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771C" w:rsidRDefault="00ED771C" w:rsidP="00ED771C">
      <w:pPr>
        <w:pStyle w:val="lib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8.25pt;height:582.75pt">
            <v:imagedata r:id="rId8" o:title="image001"/>
          </v:shape>
        </w:pict>
      </w:r>
    </w:p>
    <w:p w:rsidR="004B7F34" w:rsidRDefault="004B7F34" w:rsidP="004B7F34">
      <w:pPr>
        <w:pStyle w:val="libNormal"/>
        <w:rPr>
          <w:rtl/>
        </w:rPr>
      </w:pPr>
      <w:r>
        <w:rPr>
          <w:rtl/>
        </w:rPr>
        <w:br w:type="page"/>
      </w:r>
    </w:p>
    <w:p w:rsidR="008A74EB" w:rsidRDefault="008A74EB" w:rsidP="008A74EB">
      <w:pPr>
        <w:pStyle w:val="libCenter"/>
        <w:rPr>
          <w:rtl/>
        </w:rPr>
      </w:pPr>
    </w:p>
    <w:p w:rsidR="00ED771C" w:rsidRDefault="00ED771C" w:rsidP="00ED771C">
      <w:pPr>
        <w:pStyle w:val="libCenterBold2"/>
        <w:rPr>
          <w:rtl/>
        </w:rPr>
      </w:pPr>
      <w:r>
        <w:rPr>
          <w:rtl/>
        </w:rPr>
        <w:t>ملاحظة</w:t>
      </w:r>
    </w:p>
    <w:p w:rsidR="00ED771C" w:rsidRDefault="00ED771C" w:rsidP="00ED771C">
      <w:pPr>
        <w:pStyle w:val="libCenterBold2"/>
        <w:rPr>
          <w:rtl/>
        </w:rPr>
      </w:pPr>
      <w:r>
        <w:rPr>
          <w:rtl/>
        </w:rPr>
        <w:t>هذا الكتاب</w:t>
      </w:r>
    </w:p>
    <w:p w:rsidR="00ED771C" w:rsidRDefault="00ED771C" w:rsidP="00ED771C">
      <w:pPr>
        <w:pStyle w:val="libCenterBold2"/>
        <w:rPr>
          <w:rtl/>
        </w:rPr>
      </w:pPr>
      <w:r>
        <w:rPr>
          <w:rtl/>
        </w:rPr>
        <w:t>طبع ونشر الكترونياً وأخرج فنِيّاً برعاية وإشراف</w:t>
      </w:r>
    </w:p>
    <w:p w:rsidR="00ED771C" w:rsidRDefault="00ED771C" w:rsidP="00ED771C">
      <w:pPr>
        <w:pStyle w:val="libCenterBold2"/>
        <w:rPr>
          <w:rtl/>
        </w:rPr>
      </w:pPr>
      <w:r>
        <w:rPr>
          <w:rtl/>
        </w:rPr>
        <w:t>شبكة الإمامين الحسنين (عليهم</w:t>
      </w:r>
      <w:bookmarkStart w:id="0" w:name="_GoBack"/>
      <w:bookmarkEnd w:id="0"/>
      <w:r>
        <w:rPr>
          <w:rtl/>
        </w:rPr>
        <w:t>ا السلام) للتراث والفكر الإسلامي</w:t>
      </w:r>
    </w:p>
    <w:p w:rsidR="00ED771C" w:rsidRDefault="00ED771C" w:rsidP="00ED771C">
      <w:pPr>
        <w:pStyle w:val="libCenterBold2"/>
        <w:rPr>
          <w:rtl/>
        </w:rPr>
      </w:pPr>
      <w:r>
        <w:rPr>
          <w:rtl/>
        </w:rPr>
        <w:t>وتولَّى العمل عليه ضبطاً وتصحيحاً وترقيماً</w:t>
      </w:r>
    </w:p>
    <w:p w:rsidR="00ED771C" w:rsidRDefault="00ED771C" w:rsidP="00ED771C">
      <w:pPr>
        <w:pStyle w:val="libCenterBold2"/>
      </w:pPr>
      <w:r>
        <w:rPr>
          <w:rtl/>
        </w:rPr>
        <w:t>قسم اللجنة العلميّة في الشبكة</w:t>
      </w:r>
    </w:p>
    <w:p w:rsidR="004B7F34" w:rsidRDefault="004B7F34" w:rsidP="004B7F34">
      <w:pPr>
        <w:pStyle w:val="libNormal"/>
        <w:rPr>
          <w:rtl/>
        </w:rPr>
      </w:pPr>
      <w:r>
        <w:rPr>
          <w:rtl/>
        </w:rPr>
        <w:br w:type="page"/>
      </w:r>
    </w:p>
    <w:p w:rsidR="004B7F34" w:rsidRDefault="004B7F34" w:rsidP="004B7F34">
      <w:pPr>
        <w:pStyle w:val="libNormal"/>
        <w:rPr>
          <w:rtl/>
        </w:rPr>
      </w:pPr>
      <w:r>
        <w:rPr>
          <w:rtl/>
        </w:rPr>
        <w:lastRenderedPageBreak/>
        <w:br w:type="page"/>
      </w:r>
    </w:p>
    <w:p w:rsidR="008A74EB" w:rsidRDefault="008A74EB" w:rsidP="008A74EB">
      <w:pPr>
        <w:pStyle w:val="libCenter"/>
        <w:rPr>
          <w:rtl/>
        </w:rPr>
      </w:pPr>
      <w:r>
        <w:rPr>
          <w:noProof/>
        </w:rPr>
        <w:lastRenderedPageBreak/>
        <w:drawing>
          <wp:inline distT="0" distB="0" distL="0" distR="0">
            <wp:extent cx="4674235" cy="7404100"/>
            <wp:effectExtent l="19050" t="0" r="0" b="0"/>
            <wp:docPr id="2" name="Picture 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9"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4B7F34" w:rsidRDefault="004B7F34" w:rsidP="004B7F34">
      <w:pPr>
        <w:pStyle w:val="libNormal"/>
        <w:rPr>
          <w:rtl/>
        </w:rPr>
      </w:pPr>
      <w:r>
        <w:rPr>
          <w:rtl/>
        </w:rPr>
        <w:br w:type="page"/>
      </w:r>
    </w:p>
    <w:p w:rsidR="004B7F34" w:rsidRDefault="004B7F34" w:rsidP="004B7F34">
      <w:pPr>
        <w:pStyle w:val="libNormal"/>
        <w:rPr>
          <w:rtl/>
        </w:rPr>
      </w:pPr>
      <w:r>
        <w:rPr>
          <w:rtl/>
        </w:rPr>
        <w:lastRenderedPageBreak/>
        <w:br w:type="page"/>
      </w:r>
    </w:p>
    <w:p w:rsidR="008A74EB" w:rsidRDefault="00B866D3" w:rsidP="008A74EB">
      <w:pPr>
        <w:pStyle w:val="Heading1Center"/>
        <w:rPr>
          <w:rtl/>
        </w:rPr>
      </w:pPr>
      <w:bookmarkStart w:id="1" w:name="_Toc35348617"/>
      <w:r>
        <w:rPr>
          <w:rFonts w:hint="cs"/>
          <w:rtl/>
        </w:rPr>
        <w:lastRenderedPageBreak/>
        <w:t>(5)</w:t>
      </w:r>
      <w:bookmarkEnd w:id="1"/>
    </w:p>
    <w:p w:rsidR="008A74EB" w:rsidRDefault="008A74EB" w:rsidP="008A74EB">
      <w:pPr>
        <w:pStyle w:val="Heading1Center"/>
        <w:rPr>
          <w:rtl/>
        </w:rPr>
      </w:pPr>
      <w:bookmarkStart w:id="2" w:name="_Toc459810712"/>
      <w:bookmarkStart w:id="3" w:name="_Toc35348618"/>
      <w:r>
        <w:rPr>
          <w:rtl/>
        </w:rPr>
        <w:t>كتاب الإيمان والكفر</w:t>
      </w:r>
      <w:r w:rsidRPr="000725CE">
        <w:rPr>
          <w:rtl/>
        </w:rPr>
        <w:t>‌</w:t>
      </w:r>
      <w:bookmarkEnd w:id="2"/>
      <w:bookmarkEnd w:id="3"/>
    </w:p>
    <w:p w:rsidR="004B7F34" w:rsidRDefault="004B7F34" w:rsidP="004B7F34">
      <w:pPr>
        <w:pStyle w:val="libNormal"/>
        <w:rPr>
          <w:rtl/>
        </w:rPr>
      </w:pPr>
      <w:r>
        <w:rPr>
          <w:rtl/>
        </w:rPr>
        <w:br w:type="page"/>
      </w:r>
    </w:p>
    <w:p w:rsidR="008A74EB" w:rsidRDefault="008A74EB" w:rsidP="008A74EB">
      <w:pPr>
        <w:pStyle w:val="libCenterBold1"/>
      </w:pPr>
      <w:r w:rsidRPr="000725CE">
        <w:rPr>
          <w:rtl/>
        </w:rPr>
        <w:lastRenderedPageBreak/>
        <w:t>بِسْمِ اللهِ الرَّحْمنِ الرَّحيمِ‌</w:t>
      </w:r>
    </w:p>
    <w:p w:rsidR="008A74EB" w:rsidRDefault="008A74EB" w:rsidP="008A74EB">
      <w:pPr>
        <w:pStyle w:val="Heading1Center"/>
        <w:rPr>
          <w:rtl/>
        </w:rPr>
      </w:pPr>
      <w:bookmarkStart w:id="4" w:name="_Toc459553368"/>
      <w:bookmarkStart w:id="5" w:name="_Toc459810713"/>
      <w:bookmarkStart w:id="6" w:name="_Toc35348619"/>
      <w:r w:rsidRPr="000725CE">
        <w:rPr>
          <w:rtl/>
        </w:rPr>
        <w:t>[5]</w:t>
      </w:r>
      <w:bookmarkEnd w:id="4"/>
      <w:bookmarkEnd w:id="5"/>
      <w:bookmarkEnd w:id="6"/>
    </w:p>
    <w:p w:rsidR="008A74EB" w:rsidRDefault="008A74EB" w:rsidP="008A74EB">
      <w:pPr>
        <w:pStyle w:val="Heading1Center"/>
        <w:rPr>
          <w:rtl/>
        </w:rPr>
      </w:pPr>
      <w:bookmarkStart w:id="7" w:name="_Toc343795590"/>
      <w:bookmarkStart w:id="8" w:name="_Toc459810714"/>
      <w:bookmarkStart w:id="9" w:name="_Toc35348620"/>
      <w:r w:rsidRPr="000725CE">
        <w:rPr>
          <w:rtl/>
        </w:rPr>
        <w:t>كِتَابُ الْإِيمَانِ وَالْكُفْرِ‌</w:t>
      </w:r>
      <w:bookmarkEnd w:id="7"/>
      <w:bookmarkEnd w:id="8"/>
      <w:bookmarkEnd w:id="9"/>
    </w:p>
    <w:p w:rsidR="008A74EB" w:rsidRPr="00C9040A" w:rsidRDefault="008A74EB" w:rsidP="008A74EB">
      <w:pPr>
        <w:pStyle w:val="Heading2Center"/>
        <w:rPr>
          <w:rtl/>
          <w:lang w:bidi="fa-IR"/>
        </w:rPr>
      </w:pPr>
      <w:bookmarkStart w:id="10" w:name="_Toc343795591"/>
      <w:bookmarkStart w:id="11" w:name="_Toc459810715"/>
      <w:bookmarkStart w:id="12" w:name="_Toc35348621"/>
      <w:r w:rsidRPr="00C9040A">
        <w:rPr>
          <w:rtl/>
          <w:lang w:bidi="fa-IR"/>
        </w:rPr>
        <w:t>1</w:t>
      </w:r>
      <w:r>
        <w:rPr>
          <w:rtl/>
          <w:lang w:bidi="fa-IR"/>
        </w:rPr>
        <w:t xml:space="preserve"> </w:t>
      </w:r>
      <w:r w:rsidR="0084262C">
        <w:rPr>
          <w:rtl/>
          <w:lang w:bidi="fa-IR"/>
        </w:rPr>
        <w:t>-</w:t>
      </w:r>
      <w:r>
        <w:rPr>
          <w:rtl/>
          <w:lang w:bidi="fa-IR"/>
        </w:rPr>
        <w:t xml:space="preserve"> </w:t>
      </w:r>
      <w:r w:rsidRPr="00C9040A">
        <w:rPr>
          <w:rtl/>
          <w:lang w:bidi="fa-IR"/>
        </w:rPr>
        <w:t xml:space="preserve">بَابُ طِينَةِ الْمُؤْمِنِ وَالْكَافِرِ </w:t>
      </w:r>
      <w:r w:rsidR="006C577F" w:rsidRPr="006C577F">
        <w:rPr>
          <w:rStyle w:val="libFootnotenumChar"/>
          <w:rtl/>
        </w:rPr>
        <w:t>(1)</w:t>
      </w:r>
      <w:r w:rsidRPr="00C9040A">
        <w:rPr>
          <w:rtl/>
          <w:lang w:bidi="fa-IR"/>
        </w:rPr>
        <w:t>‌</w:t>
      </w:r>
      <w:bookmarkEnd w:id="10"/>
      <w:bookmarkEnd w:id="11"/>
      <w:bookmarkEnd w:id="12"/>
    </w:p>
    <w:p w:rsidR="008A74EB" w:rsidRPr="00C9040A" w:rsidRDefault="008A74EB" w:rsidP="008A74EB">
      <w:pPr>
        <w:pStyle w:val="libNormal"/>
        <w:rPr>
          <w:rtl/>
          <w:lang w:bidi="fa-IR"/>
        </w:rPr>
      </w:pPr>
      <w:r w:rsidRPr="001B3E10">
        <w:rPr>
          <w:rtl/>
        </w:rPr>
        <w:t>1449</w:t>
      </w:r>
      <w:r w:rsidRPr="00261CB0">
        <w:rPr>
          <w:rStyle w:val="libBold2Char"/>
          <w:rtl/>
        </w:rPr>
        <w:t xml:space="preserve"> / 1.</w:t>
      </w:r>
      <w:r w:rsidRPr="00C9040A">
        <w:rPr>
          <w:rtl/>
          <w:lang w:bidi="fa-IR"/>
        </w:rPr>
        <w:t xml:space="preserve"> عَلِيُّ بْنُ إِبْرَاهِيمَ ، عَنْ أَبِيهِ ، عَنْ حَمَّادِ بْنِ عِيسى ، عَنْ رِبْعِيِّ بْنِ عَبْدِ اللهِ ، عَنْ‌</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 ب » : « بسم الله الرحمن الرحيم ، وبه ثقتي. كتاب الإيمان والكفر. باب طينة المؤمن والكافر »</w:t>
      </w:r>
      <w:r w:rsidR="008A74EB">
        <w:rPr>
          <w:rtl/>
        </w:rPr>
        <w:t>.</w:t>
      </w:r>
    </w:p>
    <w:p w:rsidR="008A74EB" w:rsidRPr="00C9040A" w:rsidRDefault="008A74EB" w:rsidP="004A4E41">
      <w:pPr>
        <w:pStyle w:val="libFootnote0"/>
        <w:rPr>
          <w:rtl/>
          <w:lang w:bidi="fa-IR"/>
        </w:rPr>
      </w:pPr>
      <w:r w:rsidRPr="0082575F">
        <w:rPr>
          <w:rtl/>
        </w:rPr>
        <w:t>وفي « ج » : « بسم الله الرحمن الرحيم. كتاب الكفر والإيمان. باب طينة المؤمن والكافر. أخبرني محمّد بن يعقوب ، قال : حدّثني »</w:t>
      </w:r>
      <w:r>
        <w:rPr>
          <w:rtl/>
        </w:rPr>
        <w:t>.</w:t>
      </w:r>
    </w:p>
    <w:p w:rsidR="008A74EB" w:rsidRPr="00C9040A" w:rsidRDefault="008A74EB" w:rsidP="004A4E41">
      <w:pPr>
        <w:pStyle w:val="libFootnote0"/>
        <w:rPr>
          <w:rtl/>
          <w:lang w:bidi="fa-IR"/>
        </w:rPr>
      </w:pPr>
      <w:r w:rsidRPr="0082575F">
        <w:rPr>
          <w:rtl/>
        </w:rPr>
        <w:t>وفي « د » : « كتاب الإيمان والكفر. بسم الله الرحمن الرحيم. باب طينة المؤمن والكافر. أخبرنا محمّد بن يعقوب ، قال : حدّثني »</w:t>
      </w:r>
      <w:r>
        <w:rPr>
          <w:rtl/>
        </w:rPr>
        <w:t>.</w:t>
      </w:r>
    </w:p>
    <w:p w:rsidR="008A74EB" w:rsidRPr="00C9040A" w:rsidRDefault="008A74EB" w:rsidP="004A4E41">
      <w:pPr>
        <w:pStyle w:val="libFootnote0"/>
        <w:rPr>
          <w:rtl/>
          <w:lang w:bidi="fa-IR"/>
        </w:rPr>
      </w:pPr>
      <w:r w:rsidRPr="0082575F">
        <w:rPr>
          <w:rtl/>
        </w:rPr>
        <w:t>وفي « ز » : « بسم الله الرحمن الرحيم. كتاب الكفر والإيمان. باب طينة المؤمن والكافر »</w:t>
      </w:r>
      <w:r>
        <w:rPr>
          <w:rtl/>
        </w:rPr>
        <w:t>.</w:t>
      </w:r>
    </w:p>
    <w:p w:rsidR="008A74EB" w:rsidRPr="00C9040A" w:rsidRDefault="008A74EB" w:rsidP="004A4E41">
      <w:pPr>
        <w:pStyle w:val="libFootnote0"/>
        <w:rPr>
          <w:rtl/>
          <w:lang w:bidi="fa-IR"/>
        </w:rPr>
      </w:pPr>
      <w:r w:rsidRPr="0082575F">
        <w:rPr>
          <w:rtl/>
        </w:rPr>
        <w:t>وفي « ص » : « بسم الله الرحمن الرحيم. باب طينة المؤمن والكافر. حدّثني أبو محمّد هارون بن موسى بن أحمد التلّعكبري ، قال : حدّثني أبو جعفر محمّد بن يعقوب الكليني ، قال : حدّثني »</w:t>
      </w:r>
      <w:r>
        <w:rPr>
          <w:rtl/>
        </w:rPr>
        <w:t>.</w:t>
      </w:r>
    </w:p>
    <w:p w:rsidR="008A74EB" w:rsidRPr="00C9040A" w:rsidRDefault="008A74EB" w:rsidP="004A4E41">
      <w:pPr>
        <w:pStyle w:val="libFootnote0"/>
        <w:rPr>
          <w:rtl/>
          <w:lang w:bidi="fa-IR"/>
        </w:rPr>
      </w:pPr>
      <w:r w:rsidRPr="0082575F">
        <w:rPr>
          <w:rtl/>
        </w:rPr>
        <w:t>وفي « ض » : « بسم الله الرحمن الرحيم ، وبه نستعين. كتاب الإيمان والكفر. باب طينة المؤمن والكافر »</w:t>
      </w:r>
      <w:r>
        <w:rPr>
          <w:rtl/>
        </w:rPr>
        <w:t>.</w:t>
      </w:r>
    </w:p>
    <w:p w:rsidR="008A74EB" w:rsidRPr="00C9040A" w:rsidRDefault="008A74EB" w:rsidP="004A4E41">
      <w:pPr>
        <w:pStyle w:val="libFootnote0"/>
        <w:rPr>
          <w:rtl/>
          <w:lang w:bidi="fa-IR"/>
        </w:rPr>
      </w:pPr>
      <w:r w:rsidRPr="00323A39">
        <w:rPr>
          <w:rtl/>
        </w:rPr>
        <w:t>وفي « ف » : « الحمد لله</w:t>
      </w:r>
      <w:r w:rsidR="00B87229" w:rsidRPr="00323A39">
        <w:rPr>
          <w:rFonts w:hint="cs"/>
          <w:rtl/>
        </w:rPr>
        <w:t xml:space="preserve"> </w:t>
      </w:r>
      <w:r w:rsidRPr="00323A39">
        <w:rPr>
          <w:rtl/>
        </w:rPr>
        <w:t xml:space="preserve">‌ربّ العالمين. بسم الله الرحمن الرحيم. كتاب الكفر والإيمان ، والطاعات والمعاصي من المجلّد الثاني من كتاب </w:t>
      </w:r>
      <w:r w:rsidRPr="00993B55">
        <w:rPr>
          <w:rStyle w:val="libFootnoteBoldChar"/>
          <w:rtl/>
        </w:rPr>
        <w:t>الكافي</w:t>
      </w:r>
      <w:r w:rsidRPr="00323A39">
        <w:rPr>
          <w:rtl/>
        </w:rPr>
        <w:t>. باب طينة المؤمن والكافر. قال أبو جعفر محمّد بن يعقوب الكليني : حدّثني ».</w:t>
      </w:r>
    </w:p>
    <w:p w:rsidR="008A74EB" w:rsidRPr="00C9040A" w:rsidRDefault="008A74EB" w:rsidP="004A4E41">
      <w:pPr>
        <w:pStyle w:val="libFootnote0"/>
        <w:rPr>
          <w:rtl/>
          <w:lang w:bidi="fa-IR"/>
        </w:rPr>
      </w:pPr>
      <w:r w:rsidRPr="0082575F">
        <w:rPr>
          <w:rtl/>
        </w:rPr>
        <w:t xml:space="preserve">وفي « </w:t>
      </w:r>
      <w:r>
        <w:rPr>
          <w:rtl/>
        </w:rPr>
        <w:t>ه</w:t>
      </w:r>
      <w:r w:rsidRPr="0082575F">
        <w:rPr>
          <w:rtl/>
        </w:rPr>
        <w:t xml:space="preserve"> » : « بسم الله الرحمن الرحيم. كتاب الإيمان والكفر. باب طينة المؤمن والكافر. حدّثني »</w:t>
      </w:r>
      <w:r>
        <w:rPr>
          <w:rtl/>
        </w:rPr>
        <w:t>.</w:t>
      </w:r>
    </w:p>
    <w:p w:rsidR="008A74EB" w:rsidRPr="00C9040A" w:rsidRDefault="008A74EB" w:rsidP="004A4E41">
      <w:pPr>
        <w:pStyle w:val="libFootnote0"/>
        <w:rPr>
          <w:rtl/>
          <w:lang w:bidi="fa-IR"/>
        </w:rPr>
      </w:pPr>
      <w:r w:rsidRPr="00323A39">
        <w:rPr>
          <w:rtl/>
        </w:rPr>
        <w:t xml:space="preserve">وفي « بر » : « بسم الله الرحمن الرحيم. وبه ثقتي. ربِّ يسّر. المجلّد الثاني من المجلّدات السبع من الكتاب </w:t>
      </w:r>
      <w:r w:rsidRPr="00993B55">
        <w:rPr>
          <w:rStyle w:val="libFootnoteBoldChar"/>
          <w:rtl/>
        </w:rPr>
        <w:t>الكافي</w:t>
      </w:r>
      <w:r w:rsidRPr="00323A39">
        <w:rPr>
          <w:rtl/>
        </w:rPr>
        <w:t xml:space="preserve"> تأليف الشيخ الفقيه الكامل أبي جعفر محمّد بن يعقوب الكليني قدّس الله سرّه ، ونوّر ضريحه. كتاب الإيمان والكفر. باب طينة المؤمن والكافر ».</w:t>
      </w:r>
    </w:p>
    <w:p w:rsidR="008A74EB" w:rsidRPr="00C9040A" w:rsidRDefault="008A74EB" w:rsidP="004A4E41">
      <w:pPr>
        <w:pStyle w:val="libFootnote0"/>
        <w:rPr>
          <w:rtl/>
          <w:lang w:bidi="fa-IR"/>
        </w:rPr>
      </w:pPr>
      <w:r w:rsidRPr="0082575F">
        <w:rPr>
          <w:rtl/>
        </w:rPr>
        <w:t>وفي « بس » : « بسم الله الرحمن الرحيم ، وبه ثقتي. باب طينة المؤمن والكافر »</w:t>
      </w:r>
      <w:r>
        <w:rPr>
          <w:rtl/>
        </w:rPr>
        <w:t>.</w:t>
      </w:r>
      <w:r w:rsidR="00B87229">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رَجُلٍ </w:t>
      </w:r>
      <w:r w:rsidR="006C577F" w:rsidRPr="006C577F">
        <w:rPr>
          <w:rStyle w:val="libFootnotenumChar"/>
          <w:rtl/>
        </w:rPr>
        <w:t>(1)</w:t>
      </w:r>
      <w:r w:rsidRPr="00463D87">
        <w:rPr>
          <w:rFonts w:hint="cs"/>
          <w:rtl/>
        </w:rPr>
        <w:t xml:space="preserve"> </w:t>
      </w:r>
      <w:r w:rsidRPr="00C9040A">
        <w:rPr>
          <w:rtl/>
          <w:lang w:bidi="fa-IR"/>
        </w:rPr>
        <w:t>:</w:t>
      </w:r>
    </w:p>
    <w:p w:rsidR="008A74EB" w:rsidRPr="00C9040A" w:rsidRDefault="008A74EB" w:rsidP="008A74EB">
      <w:pPr>
        <w:pStyle w:val="libNormal"/>
        <w:rPr>
          <w:rtl/>
          <w:lang w:bidi="fa-IR"/>
        </w:rPr>
      </w:pPr>
      <w:r w:rsidRPr="00C9040A">
        <w:rPr>
          <w:rtl/>
          <w:lang w:bidi="fa-IR"/>
        </w:rPr>
        <w:t xml:space="preserve">عَنْ عَلِيِّ بْنِ الْحُسَيْنِ </w:t>
      </w:r>
      <w:r w:rsidRPr="0003660B">
        <w:rPr>
          <w:rStyle w:val="libAlaemChar"/>
          <w:rtl/>
        </w:rPr>
        <w:t>عليهما‌السلام</w:t>
      </w:r>
      <w:r w:rsidRPr="00C9040A">
        <w:rPr>
          <w:rtl/>
          <w:lang w:bidi="fa-IR"/>
        </w:rPr>
        <w:t xml:space="preserve"> ، قَالَ : « إِنَّ </w:t>
      </w:r>
      <w:r w:rsidR="006C577F" w:rsidRPr="006C577F">
        <w:rPr>
          <w:rStyle w:val="libFootnotenumChar"/>
          <w:rtl/>
        </w:rPr>
        <w:t>(2)</w:t>
      </w:r>
      <w:r w:rsidRPr="00C9040A">
        <w:rPr>
          <w:rtl/>
          <w:lang w:bidi="fa-IR"/>
        </w:rPr>
        <w:t xml:space="preserve">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خَلَقَ النَّبِيِّينَ مِنْ طِينَةِ عِلِّيِّينَ قُلُوبَهُمْ وَأَبْدَانَهُمْ ، وَخَلَقَ قُلُوبَ الْمُؤْمِنِينَ مِنْ تِلْكَ الطِّينَةِ </w:t>
      </w:r>
      <w:r w:rsidR="006C577F" w:rsidRPr="006C577F">
        <w:rPr>
          <w:rStyle w:val="libFootnotenumChar"/>
          <w:rtl/>
        </w:rPr>
        <w:t>(3)</w:t>
      </w:r>
      <w:r w:rsidRPr="00C9040A">
        <w:rPr>
          <w:rtl/>
          <w:lang w:bidi="fa-IR"/>
        </w:rPr>
        <w:t xml:space="preserve"> ، وَجَعَلَ </w:t>
      </w:r>
      <w:r w:rsidR="006C577F" w:rsidRPr="006C577F">
        <w:rPr>
          <w:rStyle w:val="libFootnotenumChar"/>
          <w:rtl/>
        </w:rPr>
        <w:t>(4)</w:t>
      </w:r>
      <w:r w:rsidRPr="00C9040A">
        <w:rPr>
          <w:rtl/>
          <w:lang w:bidi="fa-IR"/>
        </w:rPr>
        <w:t xml:space="preserve"> خَلْقَ أَبْدَانِ الْمُؤْمِنِينَ </w:t>
      </w:r>
      <w:r w:rsidR="006C577F" w:rsidRPr="006C577F">
        <w:rPr>
          <w:rStyle w:val="libFootnotenumChar"/>
          <w:rtl/>
        </w:rPr>
        <w:t>(5)</w:t>
      </w:r>
      <w:r w:rsidRPr="00C9040A">
        <w:rPr>
          <w:rtl/>
          <w:lang w:bidi="fa-IR"/>
        </w:rPr>
        <w:t xml:space="preserve"> مِنْ دُونِ ذلِكَ </w:t>
      </w:r>
      <w:r w:rsidR="006C577F" w:rsidRPr="006C577F">
        <w:rPr>
          <w:rStyle w:val="libFootnotenumChar"/>
          <w:rtl/>
        </w:rPr>
        <w:t>(6)</w:t>
      </w:r>
      <w:r w:rsidRPr="005B567D">
        <w:rPr>
          <w:rStyle w:val="libFootnotenumChar"/>
          <w:rtl/>
        </w:rPr>
        <w:t xml:space="preserve"> </w:t>
      </w:r>
      <w:r w:rsidRPr="00C9040A">
        <w:rPr>
          <w:rtl/>
          <w:lang w:bidi="fa-IR"/>
        </w:rPr>
        <w:t xml:space="preserve">، وَخَلَقَ الْكُفَّارَ مِنْ طِينَةِ سِجِّينٍ </w:t>
      </w:r>
      <w:r w:rsidR="006C577F" w:rsidRPr="006C577F">
        <w:rPr>
          <w:rStyle w:val="libFootnotenumChar"/>
          <w:rtl/>
        </w:rPr>
        <w:t>(7)</w:t>
      </w:r>
      <w:r w:rsidRPr="00C9040A">
        <w:rPr>
          <w:rtl/>
          <w:lang w:bidi="fa-IR"/>
        </w:rPr>
        <w:t xml:space="preserve"> قُلُوبَهُمْ وَأَبْدَانَهُمْ ، فَخَلَطَ‌</w:t>
      </w:r>
    </w:p>
    <w:p w:rsidR="008A74EB" w:rsidRPr="00C9040A" w:rsidRDefault="008A74EB" w:rsidP="008A74EB">
      <w:pPr>
        <w:pStyle w:val="libLine"/>
        <w:rPr>
          <w:rtl/>
          <w:lang w:bidi="fa-IR"/>
        </w:rPr>
      </w:pPr>
      <w:r w:rsidRPr="00C9040A">
        <w:rPr>
          <w:rtl/>
          <w:lang w:bidi="fa-IR"/>
        </w:rPr>
        <w:t>__________________</w:t>
      </w:r>
    </w:p>
    <w:p w:rsidR="008A74EB" w:rsidRPr="00C9040A" w:rsidRDefault="0084262C" w:rsidP="004A4E41">
      <w:pPr>
        <w:pStyle w:val="libFootnote0"/>
        <w:rPr>
          <w:rtl/>
          <w:lang w:bidi="fa-IR"/>
        </w:rPr>
      </w:pPr>
      <w:r w:rsidRPr="00323A39">
        <w:rPr>
          <w:rFonts w:hint="cs"/>
          <w:rtl/>
        </w:rPr>
        <w:t xml:space="preserve">= </w:t>
      </w:r>
      <w:r w:rsidR="008A74EB" w:rsidRPr="00323A39">
        <w:rPr>
          <w:rtl/>
        </w:rPr>
        <w:t xml:space="preserve">وفي « بف » : « بسم الله الرحمن الرحيم ، وبه ثقتي. كتاب الإيمان من </w:t>
      </w:r>
      <w:r w:rsidR="008A74EB" w:rsidRPr="00993B55">
        <w:rPr>
          <w:rStyle w:val="libFootnoteBoldChar"/>
          <w:rtl/>
        </w:rPr>
        <w:t>الكافي</w:t>
      </w:r>
      <w:r w:rsidR="008A74EB" w:rsidRPr="00323A39">
        <w:rPr>
          <w:rtl/>
        </w:rPr>
        <w:t xml:space="preserve"> ، والكفر ، والدعاء ، وفضل القرآن ، والزكاة ، والصوم ، والاعتكاف. باب طينة المؤمن والكافر ».</w:t>
      </w:r>
    </w:p>
    <w:p w:rsidR="008A74EB" w:rsidRPr="00C9040A" w:rsidRDefault="008A74EB" w:rsidP="004A4E41">
      <w:pPr>
        <w:pStyle w:val="libFootnote0"/>
        <w:rPr>
          <w:rtl/>
          <w:lang w:bidi="fa-IR"/>
        </w:rPr>
      </w:pPr>
      <w:r w:rsidRPr="0082575F">
        <w:rPr>
          <w:rtl/>
        </w:rPr>
        <w:t>وفي شرح المازندراني : « بسم الله الرحمن الرحيم. باب طينة المؤمن والكافر. أخبرنا محمّد بن يعقوب ، قال : حدّثني »</w:t>
      </w:r>
      <w:r>
        <w:rPr>
          <w:rtl/>
        </w:rPr>
        <w:t>.</w:t>
      </w:r>
    </w:p>
    <w:p w:rsidR="008A74EB" w:rsidRDefault="008A74EB" w:rsidP="004A4E41">
      <w:pPr>
        <w:pStyle w:val="libFootnote0"/>
        <w:rPr>
          <w:rtl/>
          <w:lang w:bidi="fa-IR"/>
        </w:rPr>
      </w:pPr>
      <w:r w:rsidRPr="00323A39">
        <w:rPr>
          <w:rtl/>
        </w:rPr>
        <w:t xml:space="preserve">وفي </w:t>
      </w:r>
      <w:r w:rsidRPr="00993B55">
        <w:rPr>
          <w:rStyle w:val="libFootnoteBoldChar"/>
          <w:rtl/>
        </w:rPr>
        <w:t>مرآة العقول</w:t>
      </w:r>
      <w:r w:rsidRPr="00323A39">
        <w:rPr>
          <w:rtl/>
        </w:rPr>
        <w:t xml:space="preserve"> ، ج 7 ، ص 1 : « كتاب الإيمان والكفر من كتاب </w:t>
      </w:r>
      <w:r w:rsidRPr="00993B55">
        <w:rPr>
          <w:rStyle w:val="libFootnoteBoldChar"/>
          <w:rtl/>
        </w:rPr>
        <w:t>الكافي</w:t>
      </w:r>
      <w:r w:rsidRPr="00323A39">
        <w:rPr>
          <w:rtl/>
        </w:rPr>
        <w:t xml:space="preserve"> ، تصنيف الشيخ أبي جعفر محمّد بن يعقوب الكلي</w:t>
      </w:r>
      <w:r w:rsidRPr="0084262C">
        <w:rPr>
          <w:rtl/>
        </w:rPr>
        <w:t>ني رضي‌</w:t>
      </w:r>
      <w:r w:rsidR="0084262C">
        <w:rPr>
          <w:rFonts w:hint="cs"/>
          <w:rtl/>
        </w:rPr>
        <w:t xml:space="preserve"> </w:t>
      </w:r>
      <w:r w:rsidRPr="0084262C">
        <w:rPr>
          <w:rtl/>
        </w:rPr>
        <w:t>الله</w:t>
      </w:r>
      <w:r w:rsidR="0084262C">
        <w:rPr>
          <w:rFonts w:hint="cs"/>
          <w:rtl/>
        </w:rPr>
        <w:t xml:space="preserve"> </w:t>
      </w:r>
      <w:r w:rsidRPr="0084262C">
        <w:rPr>
          <w:rtl/>
        </w:rPr>
        <w:t xml:space="preserve">‌عنه </w:t>
      </w:r>
      <w:r w:rsidRPr="00323A39">
        <w:rPr>
          <w:rtl/>
        </w:rPr>
        <w:t xml:space="preserve">وأرضاه » ثمّ قال : « أقول : تلك الفقرات لم تكن في بعض النسخ ، والظاهر أنّه من كلام رواة </w:t>
      </w:r>
      <w:r w:rsidRPr="00993B55">
        <w:rPr>
          <w:rStyle w:val="libFootnoteBoldChar"/>
          <w:rtl/>
        </w:rPr>
        <w:t>الكافي</w:t>
      </w:r>
      <w:r w:rsidRPr="00323A39">
        <w:rPr>
          <w:rtl/>
        </w:rPr>
        <w:t xml:space="preserve"> ».</w:t>
      </w:r>
    </w:p>
    <w:p w:rsidR="008A74EB" w:rsidRPr="00C9040A" w:rsidRDefault="006C577F" w:rsidP="004A4E41">
      <w:pPr>
        <w:pStyle w:val="libFootnote0"/>
        <w:rPr>
          <w:rtl/>
          <w:lang w:bidi="fa-IR"/>
        </w:rPr>
      </w:pPr>
      <w:r>
        <w:rPr>
          <w:rtl/>
        </w:rPr>
        <w:t>(1).</w:t>
      </w:r>
      <w:r w:rsidR="008A74EB" w:rsidRPr="00C9040A">
        <w:rPr>
          <w:rtl/>
        </w:rPr>
        <w:t xml:space="preserve"> الخبر رواه الصفّار في </w:t>
      </w:r>
      <w:r w:rsidR="008A74EB" w:rsidRPr="00993B55">
        <w:rPr>
          <w:rStyle w:val="libFootnoteBoldChar"/>
          <w:rtl/>
        </w:rPr>
        <w:t>بصائر الدرجات</w:t>
      </w:r>
      <w:r w:rsidR="008A74EB" w:rsidRPr="00C9040A">
        <w:rPr>
          <w:rtl/>
        </w:rPr>
        <w:t xml:space="preserve"> ، ص 15 ، ح 5 عن العبّاس بن معروف ، عن حمّاد بن عيسى ، عن ربعي ، عن عليّ بن الحسين </w:t>
      </w:r>
      <w:r w:rsidR="00117575" w:rsidRPr="00117575">
        <w:rPr>
          <w:rStyle w:val="libFootnoteAlaemChar"/>
          <w:rtl/>
        </w:rPr>
        <w:t xml:space="preserve">عليه‌السلام </w:t>
      </w:r>
      <w:r w:rsidR="008A74EB" w:rsidRPr="00C9040A">
        <w:rPr>
          <w:rtl/>
        </w:rPr>
        <w:t>. لكن في بعض نسخ البصائر زيادة : « عن رجل » بعد « ربعي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ض » </w:t>
      </w:r>
      <w:r w:rsidR="008A74EB">
        <w:rPr>
          <w:rtl/>
        </w:rPr>
        <w:t xml:space="preserve">: </w:t>
      </w:r>
      <w:r w:rsidR="0084262C">
        <w:rPr>
          <w:rtl/>
        </w:rPr>
        <w:t>-</w:t>
      </w:r>
      <w:r w:rsidR="008A74EB" w:rsidRPr="00C9040A">
        <w:rPr>
          <w:rtl/>
        </w:rPr>
        <w:t xml:space="preserve"> « إنّ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w:t>
      </w:r>
      <w:r w:rsidR="008A74EB" w:rsidRPr="00993B55">
        <w:rPr>
          <w:rStyle w:val="libFootnoteBoldChar"/>
          <w:rtl/>
        </w:rPr>
        <w:t>الوافي</w:t>
      </w:r>
      <w:r w:rsidR="008A74EB" w:rsidRPr="00C9040A">
        <w:rPr>
          <w:rtl/>
        </w:rPr>
        <w:t xml:space="preserve"> : « الطينة : الخلقة والجبلّة. وعلّيّين ، جمع علّيّ ، أو مفرد ويعرب بالحروف والحركات : يقال للجنّةوالسماء السابعة والملائكة الحفظة الرافعين لأعمال عباد الله الصالحين إلى الله سبحانه. والمراد به أعلى الأمكنة وأشرف المراتب وأقربها من الله ؛ وله درجات كما يدلّ عليه ما ورد في بعض الأخبار الآتية من قولهم : « أعلى علّيّين » وكما وقع التنبيه عليه في هذا الخبر بنسبة خلق القلوب والأبدان كليهما إليه ، مع اختلافهما في الرتبة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بع » والمحاسن والبصائر والعلل ، ص 82 </w:t>
      </w:r>
      <w:r w:rsidR="008A74EB">
        <w:rPr>
          <w:rtl/>
        </w:rPr>
        <w:t>و 1</w:t>
      </w:r>
      <w:r w:rsidR="008A74EB" w:rsidRPr="00C9040A">
        <w:rPr>
          <w:rtl/>
        </w:rPr>
        <w:t xml:space="preserve">16 والاختصاص </w:t>
      </w:r>
      <w:r w:rsidR="008A74EB">
        <w:rPr>
          <w:rtl/>
        </w:rPr>
        <w:t xml:space="preserve">: </w:t>
      </w:r>
      <w:r w:rsidR="0084262C">
        <w:rPr>
          <w:rtl/>
        </w:rPr>
        <w:t>-</w:t>
      </w:r>
      <w:r w:rsidR="008A74EB" w:rsidRPr="00C9040A">
        <w:rPr>
          <w:rtl/>
        </w:rPr>
        <w:t xml:space="preserve"> « جعل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العلل ، ص 82 والاختصاص : « أبدانهم » بدل « أبدان المؤمنين »</w:t>
      </w:r>
      <w:r w:rsidR="008A74EB">
        <w:rPr>
          <w:rtl/>
        </w:rPr>
        <w:t>.</w:t>
      </w:r>
    </w:p>
    <w:p w:rsidR="008A74EB" w:rsidRDefault="006C577F" w:rsidP="004A4E41">
      <w:pPr>
        <w:pStyle w:val="libFootnote0"/>
        <w:rPr>
          <w:rtl/>
          <w:lang w:bidi="fa-IR"/>
        </w:rPr>
      </w:pPr>
      <w:r>
        <w:rPr>
          <w:rtl/>
        </w:rPr>
        <w:t>(6).</w:t>
      </w:r>
      <w:r w:rsidR="008A74EB">
        <w:rPr>
          <w:rtl/>
        </w:rPr>
        <w:t xml:space="preserve"> </w:t>
      </w:r>
      <w:r w:rsidR="008A74EB" w:rsidRPr="00C9040A">
        <w:rPr>
          <w:rtl/>
        </w:rPr>
        <w:t>في « ز » : « تلك الطينة » بدل « ذلك »</w:t>
      </w:r>
      <w:r w:rsidR="008A74EB">
        <w:rPr>
          <w:rtl/>
        </w:rPr>
        <w:t>.</w:t>
      </w:r>
    </w:p>
    <w:p w:rsidR="008A74EB" w:rsidRDefault="006C577F" w:rsidP="004A4E41">
      <w:pPr>
        <w:pStyle w:val="libFootnote0"/>
        <w:rPr>
          <w:rtl/>
          <w:lang w:bidi="fa-IR"/>
        </w:rPr>
      </w:pPr>
      <w:r>
        <w:rPr>
          <w:rtl/>
        </w:rPr>
        <w:t>(7).</w:t>
      </w:r>
      <w:r w:rsidR="008A74EB" w:rsidRPr="00C9040A">
        <w:rPr>
          <w:rtl/>
        </w:rPr>
        <w:t xml:space="preserve"> « السجّين » : اسم لجهنّم بإزاء علّيّين. </w:t>
      </w:r>
      <w:r w:rsidR="008A74EB" w:rsidRPr="00993B55">
        <w:rPr>
          <w:rStyle w:val="libFootnoteBoldChar"/>
          <w:rtl/>
        </w:rPr>
        <w:t>المفردات</w:t>
      </w:r>
      <w:r w:rsidR="008A74EB" w:rsidRPr="00C9040A">
        <w:rPr>
          <w:rtl/>
        </w:rPr>
        <w:t xml:space="preserve"> للراغب ، ص 399 ( سجن )</w:t>
      </w:r>
      <w:r w:rsidR="008A74EB">
        <w:rPr>
          <w:rtl/>
        </w:rPr>
        <w:t>.</w:t>
      </w:r>
      <w:r w:rsidR="008A74EB" w:rsidRPr="00C9040A">
        <w:rPr>
          <w:rtl/>
        </w:rPr>
        <w:t xml:space="preserve"> وفي </w:t>
      </w:r>
      <w:r w:rsidR="008A74EB" w:rsidRPr="00993B55">
        <w:rPr>
          <w:rStyle w:val="libFootnoteBoldChar"/>
          <w:rtl/>
        </w:rPr>
        <w:t>النهاية</w:t>
      </w:r>
      <w:r w:rsidR="008A74EB" w:rsidRPr="00C9040A">
        <w:rPr>
          <w:rtl/>
        </w:rPr>
        <w:t xml:space="preserve"> ، ج 2 ، ص 344 : « هو فِعّيل من السجن : الحبس » ، وفي </w:t>
      </w:r>
      <w:r w:rsidR="008A74EB" w:rsidRPr="00993B55">
        <w:rPr>
          <w:rStyle w:val="libFootnoteBoldChar"/>
          <w:rtl/>
        </w:rPr>
        <w:t>الوافي</w:t>
      </w:r>
      <w:r w:rsidR="008A74EB" w:rsidRPr="00C9040A">
        <w:rPr>
          <w:rtl/>
        </w:rPr>
        <w:t xml:space="preserve"> : « وسجّين</w:t>
      </w:r>
      <w:r w:rsidR="008A74EB">
        <w:rPr>
          <w:rtl/>
        </w:rPr>
        <w:t xml:space="preserve"> ..</w:t>
      </w:r>
      <w:r w:rsidR="008A74EB" w:rsidRPr="00C9040A">
        <w:rPr>
          <w:rtl/>
        </w:rPr>
        <w:t>. يقال للنار والأرض السفلى ، والمراد به أسفل الأمكنة وأخسّ المراتب وأبعدها من الله سبحانه ، فيشبه أن يراد به حقيقة الدنيا وباطنها التي هي مخبوءة تحت عالم الملك ؛ أعني هذا العالم العنصري ؛ فإنّ الأرواح مسجونة فيه ؛ ولهذا ورد في الحديث : المسجون من سجنته الدنيا عن الآخرة. وخلق أبدان الكفّار من هذا العالم ظاهر ، وإنّما نسب خلق قلوبهم إليه لشدّة ركونهم إليه</w:t>
      </w:r>
      <w:r w:rsidR="0084262C">
        <w:rPr>
          <w:rFonts w:hint="cs"/>
          <w:rtl/>
        </w:rPr>
        <w:t xml:space="preserve"> =</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بَيْنَ </w:t>
      </w:r>
      <w:r w:rsidR="006C577F" w:rsidRPr="006C577F">
        <w:rPr>
          <w:rStyle w:val="libFootnotenumChar"/>
          <w:rtl/>
        </w:rPr>
        <w:t>(1)</w:t>
      </w:r>
      <w:r w:rsidRPr="00E711C7">
        <w:rPr>
          <w:rFonts w:hint="cs"/>
          <w:rtl/>
        </w:rPr>
        <w:t xml:space="preserve"> </w:t>
      </w:r>
      <w:r w:rsidRPr="00C9040A">
        <w:rPr>
          <w:rtl/>
          <w:lang w:bidi="fa-IR"/>
        </w:rPr>
        <w:t xml:space="preserve">الطِّينَتَيْنِ ، فَمِنْ هذَا </w:t>
      </w:r>
      <w:r w:rsidR="006C577F" w:rsidRPr="006C577F">
        <w:rPr>
          <w:rStyle w:val="libFootnotenumChar"/>
          <w:rtl/>
        </w:rPr>
        <w:t>(2)</w:t>
      </w:r>
      <w:r w:rsidRPr="00C9040A">
        <w:rPr>
          <w:rtl/>
          <w:lang w:bidi="fa-IR"/>
        </w:rPr>
        <w:t xml:space="preserve"> يَلِدُ الْمُؤْمِنُ الْكَافِرَ ، وَيَلِدُ الْكَافِرُ الْمُؤْمِنَ ، وَمِنْ هَاهُنَا يُصِيبُ الْمُؤْمِنُ السَّيِّئَةَ ، وَمِنْ هَاهُنَا يُصِيبُ الْكَافِرُ الْحَسَنَةَ ؛ فَقُلُوبُ </w:t>
      </w:r>
      <w:r w:rsidR="006C577F" w:rsidRPr="006C577F">
        <w:rPr>
          <w:rStyle w:val="libFootnotenumChar"/>
          <w:rtl/>
        </w:rPr>
        <w:t>(3)</w:t>
      </w:r>
      <w:r w:rsidRPr="00C9040A">
        <w:rPr>
          <w:rtl/>
          <w:lang w:bidi="fa-IR"/>
        </w:rPr>
        <w:t xml:space="preserve"> الْمُؤْمِنِينَ تَحِنُّ </w:t>
      </w:r>
      <w:r w:rsidR="006C577F" w:rsidRPr="006C577F">
        <w:rPr>
          <w:rStyle w:val="libFootnotenumChar"/>
          <w:rtl/>
        </w:rPr>
        <w:t>(4)</w:t>
      </w:r>
      <w:r w:rsidRPr="00C9040A">
        <w:rPr>
          <w:rtl/>
          <w:lang w:bidi="fa-IR"/>
        </w:rPr>
        <w:t xml:space="preserve"> إِلى مَا خُلِقُوا مِنْهُ ، وَقُلُوبُ الْكَافِرِينَ تَحِنُّ إِلى مَا خُلِقُوا مِنْهُ »</w:t>
      </w:r>
      <w:r>
        <w:rPr>
          <w:rtl/>
          <w:lang w:bidi="fa-IR"/>
        </w:rPr>
        <w:t>.</w:t>
      </w:r>
      <w:r w:rsidRPr="00C9040A">
        <w:rPr>
          <w:rtl/>
          <w:lang w:bidi="fa-IR"/>
        </w:rPr>
        <w:t xml:space="preserve"> </w:t>
      </w:r>
      <w:r w:rsidR="006C577F" w:rsidRPr="006C577F">
        <w:rPr>
          <w:rStyle w:val="libFootnotenumChar"/>
          <w:rtl/>
        </w:rPr>
        <w:t>(5)</w:t>
      </w:r>
      <w:r w:rsidRPr="00C9040A">
        <w:rPr>
          <w:rtl/>
          <w:lang w:bidi="fa-IR"/>
        </w:rPr>
        <w:t>‌</w:t>
      </w:r>
    </w:p>
    <w:p w:rsidR="008A74EB" w:rsidRPr="00C9040A" w:rsidRDefault="008A74EB" w:rsidP="008A74EB">
      <w:pPr>
        <w:pStyle w:val="libLine"/>
        <w:rPr>
          <w:rtl/>
          <w:lang w:bidi="fa-IR"/>
        </w:rPr>
      </w:pPr>
      <w:r w:rsidRPr="00C9040A">
        <w:rPr>
          <w:rtl/>
          <w:lang w:bidi="fa-IR"/>
        </w:rPr>
        <w:t>__________________</w:t>
      </w:r>
    </w:p>
    <w:p w:rsidR="008A74EB" w:rsidRPr="00C9040A" w:rsidRDefault="0084262C" w:rsidP="004A4E41">
      <w:pPr>
        <w:pStyle w:val="libFootnote0"/>
        <w:rPr>
          <w:rtl/>
          <w:lang w:bidi="fa-IR"/>
        </w:rPr>
      </w:pPr>
      <w:r>
        <w:rPr>
          <w:rFonts w:hint="cs"/>
          <w:rtl/>
        </w:rPr>
        <w:t xml:space="preserve">= </w:t>
      </w:r>
      <w:r w:rsidR="008A74EB" w:rsidRPr="00C9040A">
        <w:rPr>
          <w:rtl/>
        </w:rPr>
        <w:t>وإخلادهم إلى الأرض وتثاقلهم إليها ، فكأنّه ليس لهم من الملكوت نصيب لاستغراقهم في الملك. والخلط بين الطينتين إشارة إلى تعلّق الأرواح الملكوتيّة بالأبدان العنصريّة ، بل نشؤها منها شيئاً فشيئاً ، فكلّ من النشأتين غلبت عليه صار من أهلها ، فيصير مؤمناً حقيقيّاً ، أو كافراً حقيقيّاً ، أو بين الأمرين على حسب مراتب الإيمان والكفر »</w:t>
      </w:r>
      <w:r w:rsidR="008A74EB">
        <w:rPr>
          <w:rtl/>
        </w:rPr>
        <w:t>.</w:t>
      </w:r>
    </w:p>
    <w:p w:rsidR="008A74EB" w:rsidRPr="004A4E41" w:rsidRDefault="008A74EB" w:rsidP="004A4E41">
      <w:pPr>
        <w:pStyle w:val="libFootnote0"/>
        <w:rPr>
          <w:rStyle w:val="libFootnote0Char"/>
          <w:rtl/>
        </w:rPr>
      </w:pPr>
      <w:r w:rsidRPr="00323A39">
        <w:rPr>
          <w:rtl/>
        </w:rPr>
        <w:t xml:space="preserve">وقال المحقّق الشعراني في تعليقته على </w:t>
      </w:r>
      <w:r w:rsidRPr="00993B55">
        <w:rPr>
          <w:rStyle w:val="libFootnoteBoldChar"/>
          <w:rtl/>
        </w:rPr>
        <w:t>الوافي</w:t>
      </w:r>
      <w:r w:rsidRPr="00323A39">
        <w:rPr>
          <w:rtl/>
        </w:rPr>
        <w:t xml:space="preserve"> : « ظاهر هذا الكلام [ فكلّ من النشأتين غلبت عليه صار من أهلها ] موجب للجبر ، وهو لا يوافق المذهب ، ويبعد كلّ البعد أن يكون مراد المصنّف ما يظهر من كلامه هذا. فإن قال قائل : إنّ الخلق من طينتين مختلفتين لا يستلزم سلب القدرة عن الطرف المخالف. قلنا : الخلق من طينة علّيّين يوجب أقربيّة مَن خلَق منها إلى الخير ، والسجّين بالعكس ، وهذا أيضاً ظلم قبيح ، ومقتضى العدل واللطف الإلهي أن يخلق جميع الناس من طينة واحدة قريبة إلى الخير ، كما يدلّ عليه الآية الكريمة ، وإن خرج من خرج عن فطرته بسوء اختياره. فإن أمكن تأويل ما يخالف ذلك من الأحاديث بحيث يوافق الآية الكريمة والضرو</w:t>
      </w:r>
      <w:r w:rsidR="007B5BE8" w:rsidRPr="00323A39">
        <w:rPr>
          <w:rtl/>
        </w:rPr>
        <w:t>ري من مذهب الإماميّة فهو ، وإل</w:t>
      </w:r>
      <w:r w:rsidR="007B5BE8" w:rsidRPr="00323A39">
        <w:rPr>
          <w:rFonts w:hint="cs"/>
          <w:rtl/>
        </w:rPr>
        <w:t>ّ</w:t>
      </w:r>
      <w:r w:rsidR="007B5BE8" w:rsidRPr="00323A39">
        <w:rPr>
          <w:rtl/>
        </w:rPr>
        <w:t>ا</w:t>
      </w:r>
      <w:r w:rsidRPr="00323A39">
        <w:rPr>
          <w:rtl/>
        </w:rPr>
        <w:t xml:space="preserve"> فهي مردودة. ونعم ما قال الفاضل محمّد صالح المازندراني : إنّ الخلق من طينتين تابع للإيمان والكفر ومسبّب عنهما ، لا العكس ؛ لأنّ الله تعالى علم أنّ جماعة يؤمنون باختيارهم ، سواء كانوا من طينة علّيّين أو من طينة سجّين ، فخلقهم من طينة علّيّين تشريفاً لهم ، وعلم أنّ جماعة يكفرون باختيارهم ولو كانوا من طينة علّيّين ، فخلقهم من طينة سجّين توهيناً وازدراءً. هذا محصّل كلامه ، ثمّ قال : وبما قرّرنا تبيّن فساد توهّم أنّ الإيمان والفضل والكمال وأضدادها تابعة لطهارة الطينة وصفائها ، وخباثة الطينة وظلمتها ؛ انتهى. فهذه الطينة عارضة على الفطرة الأصليّة على التوحيد ».</w:t>
      </w:r>
      <w:r w:rsidRPr="00C9040A">
        <w:rPr>
          <w:rtl/>
        </w:rPr>
        <w:t xml:space="preserve"> </w:t>
      </w:r>
    </w:p>
    <w:tbl>
      <w:tblPr>
        <w:tblStyle w:val="TableGrid"/>
        <w:bidiVisual/>
        <w:tblW w:w="0" w:type="auto"/>
        <w:tblLook w:val="04A0" w:firstRow="1" w:lastRow="0" w:firstColumn="1" w:lastColumn="0" w:noHBand="0" w:noVBand="1"/>
      </w:tblPr>
      <w:tblGrid>
        <w:gridCol w:w="4006"/>
        <w:gridCol w:w="4006"/>
      </w:tblGrid>
      <w:tr w:rsidR="007B5BE8" w:rsidTr="007B5BE8">
        <w:tc>
          <w:tcPr>
            <w:tcW w:w="4006" w:type="dxa"/>
          </w:tcPr>
          <w:p w:rsidR="007B5BE8" w:rsidRDefault="006C577F" w:rsidP="004A4E41">
            <w:pPr>
              <w:pStyle w:val="libFootnote0"/>
              <w:rPr>
                <w:rtl/>
              </w:rPr>
            </w:pPr>
            <w:r>
              <w:rPr>
                <w:rtl/>
              </w:rPr>
              <w:t>(1).</w:t>
            </w:r>
            <w:r w:rsidR="007B5BE8" w:rsidRPr="00C9040A">
              <w:rPr>
                <w:rtl/>
              </w:rPr>
              <w:t xml:space="preserve"> في الاختصاص </w:t>
            </w:r>
            <w:r w:rsidR="007B5BE8">
              <w:rPr>
                <w:rtl/>
              </w:rPr>
              <w:t>: -</w:t>
            </w:r>
            <w:r w:rsidR="007B5BE8" w:rsidRPr="00C9040A">
              <w:rPr>
                <w:rtl/>
              </w:rPr>
              <w:t xml:space="preserve"> « بين »</w:t>
            </w:r>
            <w:r w:rsidR="007B5BE8">
              <w:rPr>
                <w:rtl/>
              </w:rPr>
              <w:t>.</w:t>
            </w:r>
          </w:p>
        </w:tc>
        <w:tc>
          <w:tcPr>
            <w:tcW w:w="4006" w:type="dxa"/>
          </w:tcPr>
          <w:p w:rsidR="007B5BE8" w:rsidRDefault="006C577F" w:rsidP="004A4E41">
            <w:pPr>
              <w:pStyle w:val="libFootnote0"/>
              <w:rPr>
                <w:rtl/>
              </w:rPr>
            </w:pPr>
            <w:r>
              <w:rPr>
                <w:rtl/>
              </w:rPr>
              <w:t>(2).</w:t>
            </w:r>
            <w:r w:rsidR="007B5BE8">
              <w:rPr>
                <w:rtl/>
              </w:rPr>
              <w:t xml:space="preserve"> </w:t>
            </w:r>
            <w:r w:rsidR="007B5BE8" w:rsidRPr="00C9040A">
              <w:rPr>
                <w:rtl/>
              </w:rPr>
              <w:t>في الوافي : « ذلك »</w:t>
            </w:r>
            <w:r w:rsidR="007B5BE8">
              <w:rPr>
                <w:rtl/>
              </w:rPr>
              <w:t>.</w:t>
            </w:r>
          </w:p>
        </w:tc>
      </w:tr>
    </w:tbl>
    <w:p w:rsidR="008A74EB" w:rsidRPr="00C9040A" w:rsidRDefault="006C577F" w:rsidP="004A4E41">
      <w:pPr>
        <w:pStyle w:val="libFootnote0"/>
        <w:rPr>
          <w:rtl/>
          <w:lang w:bidi="fa-IR"/>
        </w:rPr>
      </w:pPr>
      <w:r>
        <w:rPr>
          <w:rtl/>
        </w:rPr>
        <w:t>(3).</w:t>
      </w:r>
      <w:r w:rsidR="008A74EB" w:rsidRPr="00C9040A">
        <w:rPr>
          <w:rtl/>
        </w:rPr>
        <w:t xml:space="preserve"> في « ص » : « وقلوب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 تَحِنُّ » ، أي تشتاق ؛ من الحنين ، وهو الشوق وتوقان النفس ، وأصل الحنين : ترجيع الناقة صوتها إثر ولدها. راجع : </w:t>
      </w:r>
      <w:r w:rsidR="008A74EB" w:rsidRPr="00993B55">
        <w:rPr>
          <w:rStyle w:val="libFootnoteBoldChar"/>
          <w:rtl/>
        </w:rPr>
        <w:t>الصحاح</w:t>
      </w:r>
      <w:r w:rsidR="008A74EB" w:rsidRPr="00C9040A">
        <w:rPr>
          <w:rtl/>
        </w:rPr>
        <w:t xml:space="preserve"> ، ج 5 ، ص 2104 ؛ </w:t>
      </w:r>
      <w:r w:rsidR="008A74EB" w:rsidRPr="00993B55">
        <w:rPr>
          <w:rStyle w:val="libFootnoteBoldChar"/>
          <w:rtl/>
        </w:rPr>
        <w:t>النهاية</w:t>
      </w:r>
      <w:r w:rsidR="008A74EB" w:rsidRPr="00C9040A">
        <w:rPr>
          <w:rtl/>
        </w:rPr>
        <w:t xml:space="preserve"> ، ج 1 ، ص 452 ( حنن )</w:t>
      </w:r>
      <w:r w:rsidR="008A74EB">
        <w:rPr>
          <w:rtl/>
        </w:rPr>
        <w:t>.</w:t>
      </w:r>
    </w:p>
    <w:p w:rsidR="008A74EB" w:rsidRDefault="006C577F" w:rsidP="004A4E41">
      <w:pPr>
        <w:pStyle w:val="libFootnote0"/>
        <w:rPr>
          <w:rtl/>
        </w:rPr>
      </w:pPr>
      <w:r>
        <w:rPr>
          <w:rtl/>
        </w:rPr>
        <w:t>(5).</w:t>
      </w:r>
      <w:r w:rsidR="008A74EB" w:rsidRPr="00C9040A">
        <w:rPr>
          <w:rtl/>
        </w:rPr>
        <w:t xml:space="preserve"> </w:t>
      </w:r>
      <w:r w:rsidR="008A74EB" w:rsidRPr="00993B55">
        <w:rPr>
          <w:rStyle w:val="libFootnoteBoldChar"/>
          <w:rtl/>
        </w:rPr>
        <w:t>بصائر الدرجات</w:t>
      </w:r>
      <w:r w:rsidR="008A74EB" w:rsidRPr="00C9040A">
        <w:rPr>
          <w:rtl/>
        </w:rPr>
        <w:t xml:space="preserve"> ، ص 15 ، ح 5 ، بسنده عن حمّاد بن عيسى ، عن ربعي ، عن عليّ بن الحسين </w:t>
      </w:r>
      <w:r w:rsidR="00117575" w:rsidRPr="00117575">
        <w:rPr>
          <w:rStyle w:val="libFootnoteAlaemChar"/>
          <w:rtl/>
        </w:rPr>
        <w:t>عليهما‌السلام</w:t>
      </w:r>
      <w:r w:rsidR="008A74EB" w:rsidRPr="00C9040A">
        <w:rPr>
          <w:rtl/>
        </w:rPr>
        <w:t xml:space="preserve"> ؛ </w:t>
      </w:r>
      <w:r w:rsidR="008A74EB" w:rsidRPr="00993B55">
        <w:rPr>
          <w:rStyle w:val="libFootnoteBoldChar"/>
          <w:rtl/>
        </w:rPr>
        <w:t>المحاسن</w:t>
      </w:r>
      <w:r w:rsidR="008A74EB" w:rsidRPr="00C9040A">
        <w:rPr>
          <w:rtl/>
        </w:rPr>
        <w:t xml:space="preserve"> ، ص 132 ، كتاب الصفوة ، ح 6 ، إلى قوله : « خلق أبدان المؤمنين من دون ذلك » ؛ </w:t>
      </w:r>
      <w:r w:rsidR="008A74EB" w:rsidRPr="00993B55">
        <w:rPr>
          <w:rStyle w:val="libFootnoteBoldChar"/>
          <w:rtl/>
        </w:rPr>
        <w:t>علل الشرائع</w:t>
      </w:r>
      <w:r w:rsidR="008A74EB" w:rsidRPr="00C9040A">
        <w:rPr>
          <w:rtl/>
        </w:rPr>
        <w:t xml:space="preserve"> ، ص 82 ، ح 2 ، وفيهما بسند آخر عن حمّاد بن عيسى ، عن ربعي بن عبدالله الهذلي ، عمّن ذكره ، عن عليّ بن الحسين </w:t>
      </w:r>
      <w:r w:rsidR="00117575" w:rsidRPr="00117575">
        <w:rPr>
          <w:rStyle w:val="libFootnoteAlaemChar"/>
          <w:rtl/>
        </w:rPr>
        <w:t>عليهما‌السلام</w:t>
      </w:r>
      <w:r w:rsidR="008A74EB" w:rsidRPr="00C9040A">
        <w:rPr>
          <w:rtl/>
        </w:rPr>
        <w:t xml:space="preserve"> ؛ </w:t>
      </w:r>
      <w:r w:rsidR="008A74EB" w:rsidRPr="00993B55">
        <w:rPr>
          <w:rStyle w:val="libFootnoteBoldChar"/>
          <w:rtl/>
        </w:rPr>
        <w:t>وفيه</w:t>
      </w:r>
      <w:r w:rsidR="008A74EB" w:rsidRPr="00C9040A">
        <w:rPr>
          <w:rtl/>
        </w:rPr>
        <w:t xml:space="preserve"> ، ص 116 ، ح 13 ، بسنده عن حمّاد بن عيسى ، عن أبي نعيم الهذلي ، عن رجل ؛ </w:t>
      </w:r>
      <w:r w:rsidR="008A74EB" w:rsidRPr="00993B55">
        <w:rPr>
          <w:rStyle w:val="libFootnoteBoldChar"/>
          <w:rtl/>
        </w:rPr>
        <w:t>الاختصاص</w:t>
      </w:r>
      <w:r w:rsidR="008A74EB" w:rsidRPr="00C9040A">
        <w:rPr>
          <w:rtl/>
        </w:rPr>
        <w:t xml:space="preserve"> ، ص 24 ، مرسلاً عن ربعي ، عن رجل</w:t>
      </w:r>
      <w:r w:rsidR="002F2567">
        <w:rPr>
          <w:rFonts w:hint="cs"/>
          <w:rtl/>
        </w:rPr>
        <w:t>.</w:t>
      </w:r>
      <w:r w:rsidR="008A74EB" w:rsidRPr="00993B55">
        <w:rPr>
          <w:rStyle w:val="libFootnoteBoldChar"/>
          <w:rtl/>
        </w:rPr>
        <w:t>الوافي</w:t>
      </w:r>
      <w:r w:rsidR="008A74EB" w:rsidRPr="00C9040A">
        <w:rPr>
          <w:rtl/>
        </w:rPr>
        <w:t xml:space="preserve"> ، ج 4 ، ص 25 ، ح 1643.</w:t>
      </w:r>
      <w:r w:rsidR="002F2567">
        <w:rPr>
          <w:rFonts w:hint="cs"/>
          <w:rtl/>
        </w:rPr>
        <w:t>=</w:t>
      </w:r>
    </w:p>
    <w:p w:rsidR="00EC3136" w:rsidRDefault="00EC3136" w:rsidP="00EC3136">
      <w:pPr>
        <w:pStyle w:val="libNormal"/>
        <w:rPr>
          <w:rtl/>
          <w:lang w:bidi="fa-IR"/>
        </w:rPr>
      </w:pPr>
      <w:r>
        <w:rPr>
          <w:rtl/>
          <w:lang w:bidi="fa-IR"/>
        </w:rPr>
        <w:br w:type="page"/>
      </w:r>
    </w:p>
    <w:p w:rsidR="008A74EB" w:rsidRPr="00C9040A" w:rsidRDefault="008A74EB" w:rsidP="008A74EB">
      <w:pPr>
        <w:pStyle w:val="libLine"/>
        <w:rPr>
          <w:rtl/>
          <w:lang w:bidi="fa-IR"/>
        </w:rPr>
      </w:pPr>
      <w:r w:rsidRPr="00C9040A">
        <w:rPr>
          <w:rtl/>
          <w:lang w:bidi="fa-IR"/>
        </w:rPr>
        <w:lastRenderedPageBreak/>
        <w:t>__________________</w:t>
      </w:r>
    </w:p>
    <w:p w:rsidR="008A74EB" w:rsidRPr="00C9040A" w:rsidRDefault="002F2567" w:rsidP="008A74EB">
      <w:pPr>
        <w:pStyle w:val="libNormal"/>
        <w:rPr>
          <w:rtl/>
          <w:lang w:bidi="fa-IR"/>
        </w:rPr>
      </w:pPr>
      <w:r w:rsidRPr="00323A39">
        <w:rPr>
          <w:rStyle w:val="libFootnote0Char"/>
          <w:rFonts w:hint="cs"/>
          <w:rtl/>
        </w:rPr>
        <w:t xml:space="preserve">= </w:t>
      </w:r>
      <w:r w:rsidR="008A74EB" w:rsidRPr="00323A39">
        <w:rPr>
          <w:rStyle w:val="libFootnote0Char"/>
          <w:rtl/>
        </w:rPr>
        <w:t xml:space="preserve">قال المحقّق الشعراني في تعليقته على </w:t>
      </w:r>
      <w:r w:rsidR="008A74EB" w:rsidRPr="00993B55">
        <w:rPr>
          <w:rStyle w:val="libFootnoteBoldChar"/>
          <w:rtl/>
        </w:rPr>
        <w:t>شرح المازندراني</w:t>
      </w:r>
      <w:r w:rsidR="008A74EB" w:rsidRPr="00323A39">
        <w:rPr>
          <w:rStyle w:val="libFootnote0Char"/>
          <w:rtl/>
        </w:rPr>
        <w:t xml:space="preserve"> ، ج 8 ، ص 4 : « ليس في الباب الأوّل من هذا الكتاب حديث يعتمد على إسناده ، بل جميع أخباره ضعيفة بوجه ، ولكنّ في البابين بعده أخباراً توصف بالحسن أو </w:t>
      </w:r>
      <w:r w:rsidRPr="00323A39">
        <w:rPr>
          <w:rStyle w:val="libFootnote0Char"/>
          <w:rtl/>
        </w:rPr>
        <w:t>التوثيق ولكنّ مضامينها مخالفة ل</w:t>
      </w:r>
      <w:r w:rsidR="008A74EB" w:rsidRPr="00323A39">
        <w:rPr>
          <w:rStyle w:val="libFootnote0Char"/>
          <w:rtl/>
        </w:rPr>
        <w:t>ا</w:t>
      </w:r>
      <w:r w:rsidRPr="00323A39">
        <w:rPr>
          <w:rStyle w:val="libFootnote0Char"/>
          <w:rFonts w:hint="cs"/>
          <w:rtl/>
        </w:rPr>
        <w:t>ُ</w:t>
      </w:r>
      <w:r w:rsidR="008A74EB" w:rsidRPr="00323A39">
        <w:rPr>
          <w:rStyle w:val="libFootnote0Char"/>
          <w:rtl/>
        </w:rPr>
        <w:t>صول المذهب وللروايات الآتية في الباب الرابع ؛ أعني باب فطرة الخلق على التوحيد ؛ وذلك لأنّ من ا</w:t>
      </w:r>
      <w:r w:rsidRPr="00323A39">
        <w:rPr>
          <w:rStyle w:val="libFootnote0Char"/>
          <w:rFonts w:hint="cs"/>
          <w:rtl/>
        </w:rPr>
        <w:t>ُ</w:t>
      </w:r>
      <w:r w:rsidR="008A74EB" w:rsidRPr="00323A39">
        <w:rPr>
          <w:rStyle w:val="libFootnote0Char"/>
          <w:rtl/>
        </w:rPr>
        <w:t>صول مذهبنا العدل واللطف وإن لم يخلق بعض الناس أقرب إلى قبول الطاعة وبعضهم أبعد ، والتبعيض في خلق المكلّفين مخالف لمقتضى العدل ؛ لأنّه تعالى سوّى التوفيق بين الوضيع والشريف ، مكّن أداء المأمور وسهّل سبيل اجتناب المحظور. وخلق بعض الناس من طينة خبيثة ، إمّا أن يكون ملزماً باختيار المعصية جبراً ، وهو باطل ، وإمّا أن يكون أقرب إلى قبول المعصية ممّن خلق من طينة طيّبة ، وهو تبعيض وظلم ، وقلنا : إنّه مخالف للروايات الآتية في الباب الرابع ؛ لأنّها صريحة في أنّ الله تعالى خلق جميع الناس على فطرة التوحيد ، وليس في أصل خلقهم تشويه وعيب ، وإنّما العيب عارض ، وهكذا ما نرى من خلق الله تعالى ؛ فإنّه خلق الماء صافياً ، وإنّما يكدّره الأرض التربة. وكذلك الإنسان خلق سالماً من الخبائث وأبواه يهوّدانه وينصّرانه ويمجّسانه.</w:t>
      </w:r>
    </w:p>
    <w:p w:rsidR="008A74EB" w:rsidRPr="00C9040A" w:rsidRDefault="008A74EB" w:rsidP="004A4E41">
      <w:pPr>
        <w:pStyle w:val="libFootnote0"/>
        <w:rPr>
          <w:rtl/>
          <w:lang w:bidi="fa-IR"/>
        </w:rPr>
      </w:pPr>
      <w:r w:rsidRPr="00323A39">
        <w:rPr>
          <w:rtl/>
        </w:rPr>
        <w:t>وأيضاً القرآن يدلّ على أنّ جميع الناس قالوا : بلى ، في جواب</w:t>
      </w:r>
      <w:r w:rsidRPr="00323A39">
        <w:rPr>
          <w:rFonts w:hint="cs"/>
          <w:rtl/>
        </w:rPr>
        <w:t xml:space="preserve"> </w:t>
      </w:r>
      <w:r w:rsidRPr="004A4E41">
        <w:rPr>
          <w:rtl/>
        </w:rPr>
        <w:t>(</w:t>
      </w:r>
      <w:r w:rsidRPr="003C52D6">
        <w:rPr>
          <w:rFonts w:hint="cs"/>
          <w:rtl/>
        </w:rPr>
        <w:t xml:space="preserve"> </w:t>
      </w:r>
      <w:r w:rsidRPr="00883DD5">
        <w:rPr>
          <w:rStyle w:val="libFootnoteAieChar"/>
          <w:rtl/>
        </w:rPr>
        <w:t>أَلَسْتُ بِرَبِّكُمْ</w:t>
      </w:r>
      <w:r w:rsidRPr="003C52D6">
        <w:rPr>
          <w:rFonts w:hint="cs"/>
          <w:rtl/>
        </w:rPr>
        <w:t xml:space="preserve"> </w:t>
      </w:r>
      <w:r w:rsidRPr="004A4E41">
        <w:rPr>
          <w:rtl/>
        </w:rPr>
        <w:t>)</w:t>
      </w:r>
      <w:r w:rsidRPr="00323A39">
        <w:rPr>
          <w:rtl/>
        </w:rPr>
        <w:t xml:space="preserve"> [ الأعراف </w:t>
      </w:r>
      <w:r w:rsidR="006C577F" w:rsidRPr="00323A39">
        <w:rPr>
          <w:rtl/>
        </w:rPr>
        <w:t>(7).</w:t>
      </w:r>
      <w:r w:rsidRPr="00323A39">
        <w:rPr>
          <w:rtl/>
        </w:rPr>
        <w:t xml:space="preserve"> : 172 ] فالأصل الذي عليه اعتقادنا أنّ جميع أفراد الناس متساوية في الخلقة بالنسبة إلى قبول الخير والشرّ ، وإنّما اختلافهم في غير ذلك ، فإن دلّت رواية على غير هذا الأصل فهو مطروح ، أو مؤوّل بوجه ، سواء علمنا وجهه ، أو لم نعلم. ومن التأويلات التي هي في معنى طرح الروايات تأويل الشارح ؛ فإنّ الروايات صريحة في أنّ الطينة مؤثّرة في صيرورة العبد سعيداً أو شقيّاً ، وأوّلها الشارح بأنّها غير مؤثّرة ».</w:t>
      </w:r>
    </w:p>
    <w:p w:rsidR="008A74EB" w:rsidRPr="00C9040A" w:rsidRDefault="00802949" w:rsidP="004A4E41">
      <w:pPr>
        <w:pStyle w:val="libFootnote0"/>
        <w:rPr>
          <w:rtl/>
          <w:lang w:bidi="fa-IR"/>
        </w:rPr>
      </w:pPr>
      <w:r w:rsidRPr="00323A39">
        <w:rPr>
          <w:rtl/>
        </w:rPr>
        <w:t>وقال العل</w:t>
      </w:r>
      <w:r w:rsidRPr="00323A39">
        <w:rPr>
          <w:rFonts w:hint="cs"/>
          <w:rtl/>
        </w:rPr>
        <w:t>ّ</w:t>
      </w:r>
      <w:r w:rsidRPr="00323A39">
        <w:rPr>
          <w:rtl/>
        </w:rPr>
        <w:t>ا</w:t>
      </w:r>
      <w:r w:rsidR="008A74EB" w:rsidRPr="00323A39">
        <w:rPr>
          <w:rtl/>
        </w:rPr>
        <w:t xml:space="preserve">مة المجلسي في </w:t>
      </w:r>
      <w:r w:rsidR="008A74EB" w:rsidRPr="00993B55">
        <w:rPr>
          <w:rStyle w:val="libFootnoteBoldChar"/>
          <w:rtl/>
        </w:rPr>
        <w:t>مرآة العقول</w:t>
      </w:r>
      <w:r w:rsidR="008A74EB" w:rsidRPr="00323A39">
        <w:rPr>
          <w:rtl/>
        </w:rPr>
        <w:t xml:space="preserve"> ، ج 7 ، ص 15 : « اعلم أنّ ما ذكر في هذا الباب وفي بعض الأبواب الآتية من متشابهات الأخبار ومعضلات الآثار ، وممّا يوهم الجبر ونفي الاختيار ، ولأصحابنا رضوان الله عليهم فيها مسالك :</w:t>
      </w:r>
    </w:p>
    <w:p w:rsidR="008A74EB" w:rsidRPr="00C9040A" w:rsidRDefault="008A74EB" w:rsidP="004A4E41">
      <w:pPr>
        <w:pStyle w:val="libFootnote0"/>
        <w:rPr>
          <w:rtl/>
          <w:lang w:bidi="fa-IR"/>
        </w:rPr>
      </w:pPr>
      <w:r w:rsidRPr="00323A39">
        <w:rPr>
          <w:rtl/>
        </w:rPr>
        <w:t xml:space="preserve">الأوّل : ما ذهب إليه الأخباريّون ، وهو أنّا نؤمن بها مجملاً ونعترف بالجهل عن حقيقة معناها وعن أنّها من أيّ جهة صدرت ونردّ علمها إليهم </w:t>
      </w:r>
      <w:r w:rsidR="00117575" w:rsidRPr="00117575">
        <w:rPr>
          <w:rStyle w:val="libFootnoteAlaemChar"/>
          <w:rtl/>
        </w:rPr>
        <w:t>عليهم‌السلام</w:t>
      </w:r>
      <w:r w:rsidRPr="00323A39">
        <w:rPr>
          <w:rtl/>
        </w:rPr>
        <w:t>.</w:t>
      </w:r>
    </w:p>
    <w:p w:rsidR="008A74EB" w:rsidRPr="00C9040A" w:rsidRDefault="008A74EB" w:rsidP="004A4E41">
      <w:pPr>
        <w:pStyle w:val="libFootnote0"/>
        <w:rPr>
          <w:rtl/>
          <w:lang w:bidi="fa-IR"/>
        </w:rPr>
      </w:pPr>
      <w:r w:rsidRPr="0082575F">
        <w:rPr>
          <w:rtl/>
        </w:rPr>
        <w:t>الثاني : أنّها محمولة على التقيّة ؛ لموافقتها لروايات العامّة ومذاهب الأشاعرة الجبريّة ، وهم جلّهم.</w:t>
      </w:r>
    </w:p>
    <w:p w:rsidR="008A74EB" w:rsidRPr="00C9040A" w:rsidRDefault="008A74EB" w:rsidP="004A4E41">
      <w:pPr>
        <w:pStyle w:val="libFootnote0"/>
        <w:rPr>
          <w:rtl/>
          <w:lang w:bidi="fa-IR"/>
        </w:rPr>
      </w:pPr>
      <w:r w:rsidRPr="0082575F">
        <w:rPr>
          <w:rtl/>
        </w:rPr>
        <w:t>الثالث : أنّها كناية عن علمه تعالى بما هم إليه صائرون ؛ فإنّه سبحانه ل</w:t>
      </w:r>
      <w:r w:rsidR="00802949">
        <w:rPr>
          <w:rFonts w:hint="cs"/>
          <w:rtl/>
        </w:rPr>
        <w:t>ـ</w:t>
      </w:r>
      <w:r w:rsidRPr="0082575F">
        <w:rPr>
          <w:rtl/>
        </w:rPr>
        <w:t>مّا خلقهم وكان عند خلقهم عالماً بما يصيرون إليه فكأنّه خلقهم من طينات مختلفة.</w:t>
      </w:r>
    </w:p>
    <w:p w:rsidR="008A74EB" w:rsidRPr="00C9040A" w:rsidRDefault="008A74EB" w:rsidP="004A4E41">
      <w:pPr>
        <w:pStyle w:val="libFootnote0"/>
        <w:rPr>
          <w:rtl/>
          <w:lang w:bidi="fa-IR"/>
        </w:rPr>
      </w:pPr>
      <w:r w:rsidRPr="00323A39">
        <w:rPr>
          <w:rtl/>
        </w:rPr>
        <w:t xml:space="preserve">الرابع : أنّها كناية عن اختلاف استعداداتهم وقابليّاتهم ، وهذا أمر بيّن لايمكن إنكاره ؛ فإنّه لايريب عاقل في أنّ النبيّ </w:t>
      </w:r>
      <w:r w:rsidR="004A4E41" w:rsidRPr="004A4E41">
        <w:rPr>
          <w:rStyle w:val="libAlaemChar"/>
          <w:rtl/>
        </w:rPr>
        <w:t>صلى‌الله‌عليه‌وآله</w:t>
      </w:r>
      <w:r w:rsidRPr="00323A39">
        <w:rPr>
          <w:rtl/>
        </w:rPr>
        <w:t xml:space="preserve"> وأباجهل ليسا في درجة واحدة من الاستعداد والقابليّة ، وهذا لا يستلزم سقوط التكليف ؛ فإنّ الله تعالى كلّف النبيّ </w:t>
      </w:r>
      <w:r w:rsidR="004A4E41" w:rsidRPr="004A4E41">
        <w:rPr>
          <w:rStyle w:val="libAlaemChar"/>
          <w:rtl/>
        </w:rPr>
        <w:t>صلى‌الله‌عليه‌وآله</w:t>
      </w:r>
      <w:r w:rsidRPr="00323A39">
        <w:rPr>
          <w:rtl/>
        </w:rPr>
        <w:t xml:space="preserve"> بقدر ما أعطاه من الاستعداد والقابليّة لتحصيل الكمالات ، وكلّفه ما لم يكلّف أحداً مثله ، وكلّف أباجهل ما في وسعه وطاقته ، ولم يجبره على شي‌ء من الشرّ والفساد.</w:t>
      </w:r>
      <w:r w:rsidR="00802949" w:rsidRPr="00323A39">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AF405D">
        <w:rPr>
          <w:rtl/>
        </w:rPr>
        <w:lastRenderedPageBreak/>
        <w:t>1450</w:t>
      </w:r>
      <w:r w:rsidRPr="00261CB0">
        <w:rPr>
          <w:rStyle w:val="libBold2Char"/>
          <w:rtl/>
        </w:rPr>
        <w:t xml:space="preserve"> / 2.</w:t>
      </w:r>
      <w:r w:rsidRPr="00C9040A">
        <w:rPr>
          <w:rtl/>
          <w:lang w:bidi="fa-IR"/>
        </w:rPr>
        <w:t xml:space="preserve"> مُحَمَّدُ بْنُ يَحْيى ، عَنْ مُحَمَّدِ بْنِ الْحسَيْنِ </w:t>
      </w:r>
      <w:r w:rsidR="006C577F" w:rsidRPr="006C577F">
        <w:rPr>
          <w:rStyle w:val="libFootnotenumChar"/>
          <w:rtl/>
        </w:rPr>
        <w:t>(1)</w:t>
      </w:r>
      <w:r w:rsidRPr="00C9040A">
        <w:rPr>
          <w:rtl/>
          <w:lang w:bidi="fa-IR"/>
        </w:rPr>
        <w:t>، عَنِ النَّضْرِ بْنِ شُعَيْبٍ ، عَنْ‌</w:t>
      </w:r>
    </w:p>
    <w:p w:rsidR="008A74EB" w:rsidRPr="00C9040A" w:rsidRDefault="008A74EB" w:rsidP="008A74EB">
      <w:pPr>
        <w:pStyle w:val="libLine"/>
        <w:rPr>
          <w:rtl/>
          <w:lang w:bidi="fa-IR"/>
        </w:rPr>
      </w:pPr>
      <w:r w:rsidRPr="00C9040A">
        <w:rPr>
          <w:rtl/>
          <w:lang w:bidi="fa-IR"/>
        </w:rPr>
        <w:t>__________________</w:t>
      </w:r>
    </w:p>
    <w:p w:rsidR="008A74EB" w:rsidRPr="00C9040A" w:rsidRDefault="005A7E57" w:rsidP="004A4E41">
      <w:pPr>
        <w:pStyle w:val="libFootnote0"/>
        <w:rPr>
          <w:rtl/>
          <w:lang w:bidi="fa-IR"/>
        </w:rPr>
      </w:pPr>
      <w:r>
        <w:rPr>
          <w:rFonts w:hint="cs"/>
          <w:rtl/>
        </w:rPr>
        <w:t xml:space="preserve">= </w:t>
      </w:r>
      <w:r w:rsidR="008A74EB" w:rsidRPr="0082575F">
        <w:rPr>
          <w:rtl/>
        </w:rPr>
        <w:t>الخامس : أنّه ل</w:t>
      </w:r>
      <w:r>
        <w:rPr>
          <w:rFonts w:hint="cs"/>
          <w:rtl/>
        </w:rPr>
        <w:t>ـ</w:t>
      </w:r>
      <w:r w:rsidR="008A74EB" w:rsidRPr="0082575F">
        <w:rPr>
          <w:rtl/>
        </w:rPr>
        <w:t>مّا كلّف الله تعالى الأرواح أوّلاً في الذرّ وأخذ ميثاقهم فاختاروا الخير والشرّ باختيارهم في ذلك الوقت ، وتفرّع اختلاف الطينة على ما اختاروه باختيارهم ، كما دلّت عليه بعض الأخبار فلا فساد في ذلك »</w:t>
      </w:r>
      <w:r w:rsidR="008A74EB">
        <w:rPr>
          <w:rtl/>
        </w:rPr>
        <w:t>.</w:t>
      </w:r>
    </w:p>
    <w:p w:rsidR="008A74EB" w:rsidRPr="00C9040A" w:rsidRDefault="005A7E57" w:rsidP="004A4E41">
      <w:pPr>
        <w:pStyle w:val="libFootnote0"/>
        <w:rPr>
          <w:rtl/>
          <w:lang w:bidi="fa-IR"/>
        </w:rPr>
      </w:pPr>
      <w:r>
        <w:rPr>
          <w:rtl/>
        </w:rPr>
        <w:t>وقال العل</w:t>
      </w:r>
      <w:r>
        <w:rPr>
          <w:rFonts w:hint="cs"/>
          <w:rtl/>
        </w:rPr>
        <w:t>ّ</w:t>
      </w:r>
      <w:r>
        <w:rPr>
          <w:rtl/>
        </w:rPr>
        <w:t>ا</w:t>
      </w:r>
      <w:r w:rsidR="008A74EB" w:rsidRPr="0082575F">
        <w:rPr>
          <w:rtl/>
        </w:rPr>
        <w:t>مة الطباطبائي في ذيل هذا الحديث : « الأخبار مستفيضة في أنّ الله تعالى خلق السعداء من طينة علّيّين من الجنّة ، وخلق الأشقياء من طينة سجّين من النار ، وكلّ يرجع إلى حكم طينته من السعادة والشقاء. وقد ا</w:t>
      </w:r>
      <w:r>
        <w:rPr>
          <w:rFonts w:hint="cs"/>
          <w:rtl/>
        </w:rPr>
        <w:t>ُ</w:t>
      </w:r>
      <w:r w:rsidR="008A74EB" w:rsidRPr="0082575F">
        <w:rPr>
          <w:rtl/>
        </w:rPr>
        <w:t>ورد عليها أوّلاً بمخالفة الكتاب ، وثانياً باستلزام الجبر الباطل.</w:t>
      </w:r>
    </w:p>
    <w:p w:rsidR="008A74EB" w:rsidRPr="00C9040A" w:rsidRDefault="008A74EB" w:rsidP="004A4E41">
      <w:pPr>
        <w:pStyle w:val="libFootnote0"/>
        <w:rPr>
          <w:rtl/>
          <w:lang w:bidi="fa-IR"/>
        </w:rPr>
      </w:pPr>
      <w:r w:rsidRPr="00323A39">
        <w:rPr>
          <w:rtl/>
        </w:rPr>
        <w:t xml:space="preserve">أمّا البحث الأوّل فقد قال الله تعالى : </w:t>
      </w:r>
      <w:r w:rsidRPr="00B866D3">
        <w:rPr>
          <w:rStyle w:val="libFootnoteAlaemChar"/>
          <w:rtl/>
        </w:rPr>
        <w:t>(</w:t>
      </w:r>
      <w:r w:rsidRPr="00883DD5">
        <w:rPr>
          <w:rStyle w:val="libFootnoteAieChar"/>
          <w:rFonts w:hint="cs"/>
          <w:rtl/>
        </w:rPr>
        <w:t xml:space="preserve"> </w:t>
      </w:r>
      <w:r w:rsidRPr="00883DD5">
        <w:rPr>
          <w:rStyle w:val="libFootnoteAieChar"/>
          <w:rtl/>
        </w:rPr>
        <w:t>هُوَ الَّذِي خَلَقَكُمْ مِنْ طِينٍ</w:t>
      </w:r>
      <w:r w:rsidRPr="00883DD5">
        <w:rPr>
          <w:rStyle w:val="libFootnoteAieChar"/>
          <w:rFonts w:hint="cs"/>
          <w:rtl/>
        </w:rPr>
        <w:t xml:space="preserve"> </w:t>
      </w:r>
      <w:r w:rsidRPr="00B866D3">
        <w:rPr>
          <w:rStyle w:val="libFootnoteAlaemChar"/>
          <w:rtl/>
        </w:rPr>
        <w:t>)</w:t>
      </w:r>
      <w:r w:rsidRPr="00323A39">
        <w:rPr>
          <w:rtl/>
        </w:rPr>
        <w:t xml:space="preserve"> [ الأنعام </w:t>
      </w:r>
      <w:r w:rsidR="006C577F" w:rsidRPr="00323A39">
        <w:rPr>
          <w:rtl/>
        </w:rPr>
        <w:t>(6).</w:t>
      </w:r>
      <w:r w:rsidRPr="00323A39">
        <w:rPr>
          <w:rtl/>
        </w:rPr>
        <w:t xml:space="preserve"> : 2 ] وقال : </w:t>
      </w:r>
      <w:r w:rsidRPr="00B866D3">
        <w:rPr>
          <w:rStyle w:val="libFootnoteAlaemChar"/>
          <w:rtl/>
        </w:rPr>
        <w:t>(</w:t>
      </w:r>
      <w:r w:rsidRPr="00883DD5">
        <w:rPr>
          <w:rStyle w:val="libFootnoteAieChar"/>
          <w:rFonts w:hint="cs"/>
          <w:rtl/>
        </w:rPr>
        <w:t xml:space="preserve"> </w:t>
      </w:r>
      <w:r w:rsidRPr="00883DD5">
        <w:rPr>
          <w:rStyle w:val="libFootnoteAieChar"/>
          <w:rtl/>
        </w:rPr>
        <w:t>وَبَدَأَ خَلْقَ الْإِنْسانِ مِنْ طِينٍ</w:t>
      </w:r>
      <w:r w:rsidRPr="00883DD5">
        <w:rPr>
          <w:rStyle w:val="libFootnoteAieChar"/>
          <w:rFonts w:hint="cs"/>
          <w:rtl/>
        </w:rPr>
        <w:t xml:space="preserve"> </w:t>
      </w:r>
      <w:r w:rsidRPr="00B866D3">
        <w:rPr>
          <w:rStyle w:val="libFootnoteAlaemChar"/>
          <w:rtl/>
        </w:rPr>
        <w:t>)</w:t>
      </w:r>
      <w:r w:rsidRPr="00323A39">
        <w:rPr>
          <w:rtl/>
        </w:rPr>
        <w:t xml:space="preserve"> [ السجدة (32) : 7 ] ، فأفاد أنّ الإنسان مخلوق من طين ، ثمّ قال تعالى : </w:t>
      </w:r>
      <w:r w:rsidRPr="00B866D3">
        <w:rPr>
          <w:rStyle w:val="libFootnoteAlaemChar"/>
          <w:rtl/>
        </w:rPr>
        <w:t>(</w:t>
      </w:r>
      <w:r w:rsidRPr="00883DD5">
        <w:rPr>
          <w:rStyle w:val="libFootnoteAieChar"/>
          <w:rFonts w:hint="cs"/>
          <w:rtl/>
        </w:rPr>
        <w:t xml:space="preserve"> </w:t>
      </w:r>
      <w:r w:rsidRPr="00883DD5">
        <w:rPr>
          <w:rStyle w:val="libFootnoteAieChar"/>
          <w:rtl/>
        </w:rPr>
        <w:t>وَلِكُلٍّ وِجْهَةٌ هُوَ مُوَلِّيه</w:t>
      </w:r>
      <w:r w:rsidR="00357DE8">
        <w:rPr>
          <w:rStyle w:val="libFootnoteAieChar"/>
          <w:rFonts w:hint="cs"/>
          <w:rtl/>
        </w:rPr>
        <w:t>َ</w:t>
      </w:r>
      <w:r w:rsidRPr="00883DD5">
        <w:rPr>
          <w:rStyle w:val="libFootnoteAieChar"/>
          <w:rtl/>
        </w:rPr>
        <w:t>ا</w:t>
      </w:r>
      <w:r w:rsidRPr="00883DD5">
        <w:rPr>
          <w:rStyle w:val="libFootnoteAieChar"/>
          <w:rFonts w:hint="cs"/>
          <w:rtl/>
        </w:rPr>
        <w:t xml:space="preserve"> </w:t>
      </w:r>
      <w:r w:rsidRPr="00B866D3">
        <w:rPr>
          <w:rStyle w:val="libFootnoteAlaemChar"/>
          <w:rtl/>
        </w:rPr>
        <w:t>)</w:t>
      </w:r>
      <w:r w:rsidRPr="00323A39">
        <w:rPr>
          <w:rtl/>
        </w:rPr>
        <w:t xml:space="preserve"> الآية ، [ البقرة </w:t>
      </w:r>
      <w:r w:rsidR="006C577F" w:rsidRPr="00323A39">
        <w:rPr>
          <w:rtl/>
        </w:rPr>
        <w:t>(2).</w:t>
      </w:r>
      <w:r w:rsidRPr="00323A39">
        <w:rPr>
          <w:rtl/>
        </w:rPr>
        <w:t xml:space="preserve"> : 148 ] وقال : </w:t>
      </w:r>
      <w:r w:rsidRPr="00B866D3">
        <w:rPr>
          <w:rStyle w:val="libFootnoteAlaemChar"/>
          <w:rtl/>
        </w:rPr>
        <w:t>(</w:t>
      </w:r>
      <w:r w:rsidRPr="00883DD5">
        <w:rPr>
          <w:rStyle w:val="libFootnoteAieChar"/>
          <w:rFonts w:hint="cs"/>
          <w:rtl/>
        </w:rPr>
        <w:t xml:space="preserve"> </w:t>
      </w:r>
      <w:r w:rsidRPr="00883DD5">
        <w:rPr>
          <w:rStyle w:val="libFootnoteAieChar"/>
          <w:rtl/>
        </w:rPr>
        <w:t>م</w:t>
      </w:r>
      <w:r w:rsidR="00357DE8">
        <w:rPr>
          <w:rStyle w:val="libFootnoteAieChar"/>
          <w:rFonts w:hint="cs"/>
          <w:rtl/>
        </w:rPr>
        <w:t>َ</w:t>
      </w:r>
      <w:r w:rsidRPr="00883DD5">
        <w:rPr>
          <w:rStyle w:val="libFootnoteAieChar"/>
          <w:rtl/>
        </w:rPr>
        <w:t>ا أَص</w:t>
      </w:r>
      <w:r w:rsidR="00357DE8">
        <w:rPr>
          <w:rStyle w:val="libFootnoteAieChar"/>
          <w:rFonts w:hint="cs"/>
          <w:rtl/>
        </w:rPr>
        <w:t>َ</w:t>
      </w:r>
      <w:r w:rsidRPr="00883DD5">
        <w:rPr>
          <w:rStyle w:val="libFootnoteAieChar"/>
          <w:rtl/>
        </w:rPr>
        <w:t>ابَ مِنْ مُصِيبَةٍ فِي الْأَرْضِ وَل</w:t>
      </w:r>
      <w:r w:rsidR="00357DE8">
        <w:rPr>
          <w:rStyle w:val="libFootnoteAieChar"/>
          <w:rFonts w:hint="cs"/>
          <w:rtl/>
        </w:rPr>
        <w:t>َ</w:t>
      </w:r>
      <w:r w:rsidR="00357DE8">
        <w:rPr>
          <w:rStyle w:val="libFootnoteAieChar"/>
          <w:rtl/>
        </w:rPr>
        <w:t>ا فِي أَنْفُسِكُمْ إِل</w:t>
      </w:r>
      <w:r w:rsidR="00357DE8">
        <w:rPr>
          <w:rStyle w:val="libFootnoteAieChar"/>
          <w:rFonts w:hint="cs"/>
          <w:rtl/>
        </w:rPr>
        <w:t>ّ</w:t>
      </w:r>
      <w:r w:rsidR="00357DE8">
        <w:rPr>
          <w:rStyle w:val="libFootnoteAieChar"/>
          <w:rtl/>
        </w:rPr>
        <w:t>ا فِي كِتابٍ مِنْ قَبْلِ أَنْ ن</w:t>
      </w:r>
      <w:r w:rsidR="00357DE8">
        <w:rPr>
          <w:rStyle w:val="libFootnoteAieChar"/>
          <w:rFonts w:hint="cs"/>
          <w:rtl/>
        </w:rPr>
        <w:t>َّ</w:t>
      </w:r>
      <w:r w:rsidRPr="00883DD5">
        <w:rPr>
          <w:rStyle w:val="libFootnoteAieChar"/>
          <w:rtl/>
        </w:rPr>
        <w:t>بْرَأَه</w:t>
      </w:r>
      <w:r w:rsidR="00357DE8">
        <w:rPr>
          <w:rStyle w:val="libFootnoteAieChar"/>
          <w:rFonts w:hint="cs"/>
          <w:rtl/>
        </w:rPr>
        <w:t>َ</w:t>
      </w:r>
      <w:r w:rsidRPr="00883DD5">
        <w:rPr>
          <w:rStyle w:val="libFootnoteAieChar"/>
          <w:rtl/>
        </w:rPr>
        <w:t>ا</w:t>
      </w:r>
      <w:r w:rsidRPr="00883DD5">
        <w:rPr>
          <w:rStyle w:val="libFootnoteAieChar"/>
          <w:rFonts w:hint="cs"/>
          <w:rtl/>
        </w:rPr>
        <w:t xml:space="preserve"> </w:t>
      </w:r>
      <w:r w:rsidRPr="00B866D3">
        <w:rPr>
          <w:rStyle w:val="libFootnoteAlaemChar"/>
          <w:rtl/>
        </w:rPr>
        <w:t>)</w:t>
      </w:r>
      <w:r w:rsidRPr="00323A39">
        <w:rPr>
          <w:rtl/>
        </w:rPr>
        <w:t xml:space="preserve"> الآية ، [ الحديد (57) : 22 ] فأفاد أنّ للإنسان غاية ونهاية من السعادة والشقاء ، وهو متوجّه إليها ، سائر نحوها ، وقال تعالى : « </w:t>
      </w:r>
      <w:r w:rsidRPr="00B866D3">
        <w:rPr>
          <w:rStyle w:val="libFootnoteAlaemChar"/>
          <w:rtl/>
        </w:rPr>
        <w:t>(</w:t>
      </w:r>
      <w:r w:rsidRPr="00883DD5">
        <w:rPr>
          <w:rStyle w:val="libFootnoteAieChar"/>
          <w:rtl/>
        </w:rPr>
        <w:t xml:space="preserve"> كَم</w:t>
      </w:r>
      <w:r w:rsidR="00357DE8">
        <w:rPr>
          <w:rStyle w:val="libFootnoteAieChar"/>
          <w:rFonts w:hint="cs"/>
          <w:rtl/>
        </w:rPr>
        <w:t>َ</w:t>
      </w:r>
      <w:r w:rsidRPr="00883DD5">
        <w:rPr>
          <w:rStyle w:val="libFootnoteAieChar"/>
          <w:rtl/>
        </w:rPr>
        <w:t xml:space="preserve">ا بَدَأَكُمْ تَعُودُونَ </w:t>
      </w:r>
      <w:r w:rsidR="00357DE8">
        <w:rPr>
          <w:rStyle w:val="libFootnoteAieChar"/>
          <w:rFonts w:hint="cs"/>
          <w:rtl/>
        </w:rPr>
        <w:t xml:space="preserve">* </w:t>
      </w:r>
      <w:r w:rsidRPr="00883DD5">
        <w:rPr>
          <w:rStyle w:val="libFootnoteAieChar"/>
          <w:rtl/>
        </w:rPr>
        <w:t>فَرِيقاً هَد</w:t>
      </w:r>
      <w:r w:rsidR="00357DE8">
        <w:rPr>
          <w:rStyle w:val="libFootnoteAieChar"/>
          <w:rFonts w:hint="cs"/>
          <w:rtl/>
        </w:rPr>
        <w:t>َ</w:t>
      </w:r>
      <w:r w:rsidRPr="00883DD5">
        <w:rPr>
          <w:rStyle w:val="libFootnoteAieChar"/>
          <w:rtl/>
        </w:rPr>
        <w:t>ى وَفَرِيقاً حَقَّ عَلَيْهِمُ الضَّل</w:t>
      </w:r>
      <w:r w:rsidR="00357DE8">
        <w:rPr>
          <w:rStyle w:val="libFootnoteAieChar"/>
          <w:rFonts w:hint="cs"/>
          <w:rtl/>
        </w:rPr>
        <w:t>َ</w:t>
      </w:r>
      <w:r w:rsidRPr="00883DD5">
        <w:rPr>
          <w:rStyle w:val="libFootnoteAieChar"/>
          <w:rtl/>
        </w:rPr>
        <w:t>الَةُ</w:t>
      </w:r>
      <w:r w:rsidRPr="00883DD5">
        <w:rPr>
          <w:rStyle w:val="libFootnoteAieChar"/>
          <w:rFonts w:hint="cs"/>
          <w:rtl/>
        </w:rPr>
        <w:t xml:space="preserve"> </w:t>
      </w:r>
      <w:r w:rsidRPr="00B866D3">
        <w:rPr>
          <w:rStyle w:val="libFootnoteAlaemChar"/>
          <w:rtl/>
        </w:rPr>
        <w:t>)</w:t>
      </w:r>
      <w:r w:rsidRPr="00323A39">
        <w:rPr>
          <w:rtl/>
        </w:rPr>
        <w:t xml:space="preserve"> الآية ، [ الأعراف </w:t>
      </w:r>
      <w:r w:rsidR="006C577F" w:rsidRPr="00323A39">
        <w:rPr>
          <w:rtl/>
        </w:rPr>
        <w:t>(7).</w:t>
      </w:r>
      <w:r w:rsidRPr="00323A39">
        <w:rPr>
          <w:rtl/>
        </w:rPr>
        <w:t xml:space="preserve"> : 29 </w:t>
      </w:r>
      <w:r w:rsidR="0084262C" w:rsidRPr="00323A39">
        <w:rPr>
          <w:rtl/>
        </w:rPr>
        <w:t>-</w:t>
      </w:r>
      <w:r w:rsidRPr="00323A39">
        <w:rPr>
          <w:rtl/>
        </w:rPr>
        <w:t xml:space="preserve"> 30 ] فأفاد أنّ ما ينتهي إليه أمر الإنسان من السعادة والشقاء هو ما كان عليه في بدء خلقه وقد كان في بدء خلقه طيناً ، فهذه الطينة طينة سعادة وطينة شقاء. وآخر السعيد إلى الجنّة وآخر الشقيّ إلى النار ، فهما أوّلهما ؛ لكون الآخر هو الأوّل ، وحينئذ صحّ أنّ السعداء خلقوا من طينة الجنّة ، والأشقياء خلقوا من طينة النار ، وقال تعالى : </w:t>
      </w:r>
      <w:r w:rsidRPr="00B866D3">
        <w:rPr>
          <w:rStyle w:val="libFootnoteAlaemChar"/>
          <w:rtl/>
        </w:rPr>
        <w:t>(</w:t>
      </w:r>
      <w:r w:rsidRPr="00883DD5">
        <w:rPr>
          <w:rStyle w:val="libFootnoteAieChar"/>
          <w:rFonts w:hint="cs"/>
          <w:rtl/>
        </w:rPr>
        <w:t xml:space="preserve"> </w:t>
      </w:r>
      <w:r w:rsidR="00357DE8">
        <w:rPr>
          <w:rStyle w:val="libFootnoteAieChar"/>
          <w:rtl/>
        </w:rPr>
        <w:t>كَل</w:t>
      </w:r>
      <w:r w:rsidR="00357DE8">
        <w:rPr>
          <w:rStyle w:val="libFootnoteAieChar"/>
          <w:rFonts w:hint="cs"/>
          <w:rtl/>
        </w:rPr>
        <w:t>َّ</w:t>
      </w:r>
      <w:r w:rsidR="00357DE8">
        <w:rPr>
          <w:rStyle w:val="libFootnoteAieChar"/>
          <w:rtl/>
        </w:rPr>
        <w:t>ا</w:t>
      </w:r>
      <w:r w:rsidRPr="00883DD5">
        <w:rPr>
          <w:rStyle w:val="libFootnoteAieChar"/>
          <w:rtl/>
        </w:rPr>
        <w:t xml:space="preserve"> إِنَّ كِتابَ الْأَبْرارِ لَفِي عِلِّيِّينَ </w:t>
      </w:r>
      <w:r w:rsidR="00357DE8">
        <w:rPr>
          <w:rStyle w:val="libFootnoteAieChar"/>
          <w:rFonts w:hint="cs"/>
          <w:rtl/>
        </w:rPr>
        <w:t xml:space="preserve">* </w:t>
      </w:r>
      <w:r w:rsidRPr="00883DD5">
        <w:rPr>
          <w:rStyle w:val="libFootnoteAieChar"/>
          <w:rtl/>
        </w:rPr>
        <w:t>وَم</w:t>
      </w:r>
      <w:r w:rsidR="00357DE8">
        <w:rPr>
          <w:rStyle w:val="libFootnoteAieChar"/>
          <w:rFonts w:hint="cs"/>
          <w:rtl/>
        </w:rPr>
        <w:t>َ</w:t>
      </w:r>
      <w:r w:rsidRPr="00883DD5">
        <w:rPr>
          <w:rStyle w:val="libFootnoteAieChar"/>
          <w:rtl/>
        </w:rPr>
        <w:t>ا أَدْر</w:t>
      </w:r>
      <w:r w:rsidR="00357DE8">
        <w:rPr>
          <w:rStyle w:val="libFootnoteAieChar"/>
          <w:rFonts w:hint="cs"/>
          <w:rtl/>
        </w:rPr>
        <w:t>َ</w:t>
      </w:r>
      <w:r w:rsidRPr="00883DD5">
        <w:rPr>
          <w:rStyle w:val="libFootnoteAieChar"/>
          <w:rtl/>
        </w:rPr>
        <w:t>اكَ م</w:t>
      </w:r>
      <w:r w:rsidR="00357DE8">
        <w:rPr>
          <w:rStyle w:val="libFootnoteAieChar"/>
          <w:rFonts w:hint="cs"/>
          <w:rtl/>
        </w:rPr>
        <w:t>َ</w:t>
      </w:r>
      <w:r w:rsidRPr="00883DD5">
        <w:rPr>
          <w:rStyle w:val="libFootnoteAieChar"/>
          <w:rtl/>
        </w:rPr>
        <w:t xml:space="preserve">ا عِلِّيُّونَ </w:t>
      </w:r>
      <w:r w:rsidR="00357DE8">
        <w:rPr>
          <w:rStyle w:val="libFootnoteAieChar"/>
          <w:rFonts w:hint="cs"/>
          <w:rtl/>
        </w:rPr>
        <w:t xml:space="preserve">* </w:t>
      </w:r>
      <w:r w:rsidRPr="00883DD5">
        <w:rPr>
          <w:rStyle w:val="libFootnoteAieChar"/>
          <w:rtl/>
        </w:rPr>
        <w:t>كِت</w:t>
      </w:r>
      <w:r w:rsidR="00357DE8">
        <w:rPr>
          <w:rStyle w:val="libFootnoteAieChar"/>
          <w:rFonts w:hint="cs"/>
          <w:rtl/>
        </w:rPr>
        <w:t>َ</w:t>
      </w:r>
      <w:r w:rsidR="00357DE8">
        <w:rPr>
          <w:rStyle w:val="libFootnoteAieChar"/>
          <w:rtl/>
        </w:rPr>
        <w:t>ابٌ م</w:t>
      </w:r>
      <w:r w:rsidR="00357DE8">
        <w:rPr>
          <w:rStyle w:val="libFootnoteAieChar"/>
          <w:rFonts w:hint="cs"/>
          <w:rtl/>
        </w:rPr>
        <w:t>َّ</w:t>
      </w:r>
      <w:r w:rsidRPr="00883DD5">
        <w:rPr>
          <w:rStyle w:val="libFootnoteAieChar"/>
          <w:rtl/>
        </w:rPr>
        <w:t>رْقُومٌ</w:t>
      </w:r>
      <w:r w:rsidR="00357DE8">
        <w:rPr>
          <w:rStyle w:val="libFootnoteAieChar"/>
          <w:rFonts w:hint="cs"/>
          <w:rtl/>
        </w:rPr>
        <w:t xml:space="preserve"> *</w:t>
      </w:r>
      <w:r w:rsidRPr="00883DD5">
        <w:rPr>
          <w:rStyle w:val="libFootnoteAieChar"/>
          <w:rtl/>
        </w:rPr>
        <w:t xml:space="preserve"> يَشْهَدُهُ الْمُقَرَّبُونَ</w:t>
      </w:r>
      <w:r w:rsidRPr="00883DD5">
        <w:rPr>
          <w:rStyle w:val="libFootnoteAieChar"/>
          <w:rFonts w:hint="cs"/>
          <w:rtl/>
        </w:rPr>
        <w:t xml:space="preserve"> </w:t>
      </w:r>
      <w:r w:rsidRPr="00B866D3">
        <w:rPr>
          <w:rStyle w:val="libFootnoteAlaemChar"/>
          <w:rtl/>
        </w:rPr>
        <w:t>)</w:t>
      </w:r>
      <w:r w:rsidRPr="00323A39">
        <w:rPr>
          <w:rtl/>
        </w:rPr>
        <w:t xml:space="preserve"> [ المطففين (83) : 18 </w:t>
      </w:r>
      <w:r w:rsidR="0084262C" w:rsidRPr="00323A39">
        <w:rPr>
          <w:rtl/>
        </w:rPr>
        <w:t>-</w:t>
      </w:r>
      <w:r w:rsidRPr="00323A39">
        <w:rPr>
          <w:rtl/>
        </w:rPr>
        <w:t xml:space="preserve"> 21 ] ، </w:t>
      </w:r>
      <w:r w:rsidRPr="00B866D3">
        <w:rPr>
          <w:rStyle w:val="libFootnoteAlaemChar"/>
          <w:rtl/>
        </w:rPr>
        <w:t>(</w:t>
      </w:r>
      <w:r w:rsidR="00357DE8" w:rsidRPr="00357DE8">
        <w:rPr>
          <w:rStyle w:val="libFootnoteAieChar"/>
          <w:rFonts w:hint="cs"/>
          <w:rtl/>
        </w:rPr>
        <w:t xml:space="preserve"> </w:t>
      </w:r>
      <w:r w:rsidR="00357DE8">
        <w:rPr>
          <w:rStyle w:val="libFootnoteAieChar"/>
          <w:rtl/>
        </w:rPr>
        <w:t>كَل</w:t>
      </w:r>
      <w:r w:rsidR="00357DE8">
        <w:rPr>
          <w:rStyle w:val="libFootnoteAieChar"/>
          <w:rFonts w:hint="cs"/>
          <w:rtl/>
        </w:rPr>
        <w:t>َّ</w:t>
      </w:r>
      <w:r w:rsidR="00357DE8">
        <w:rPr>
          <w:rStyle w:val="libFootnoteAieChar"/>
          <w:rtl/>
        </w:rPr>
        <w:t>ا</w:t>
      </w:r>
      <w:r w:rsidR="00357DE8" w:rsidRPr="00883DD5">
        <w:rPr>
          <w:rStyle w:val="libFootnoteAieChar"/>
          <w:rtl/>
        </w:rPr>
        <w:t xml:space="preserve"> </w:t>
      </w:r>
      <w:r w:rsidRPr="00883DD5">
        <w:rPr>
          <w:rStyle w:val="libFootnoteAieChar"/>
          <w:rtl/>
        </w:rPr>
        <w:t>إِنَّ كِت</w:t>
      </w:r>
      <w:r w:rsidR="00881A15">
        <w:rPr>
          <w:rStyle w:val="libFootnoteAieChar"/>
          <w:rFonts w:hint="cs"/>
          <w:rtl/>
        </w:rPr>
        <w:t>َ</w:t>
      </w:r>
      <w:r w:rsidR="00881A15">
        <w:rPr>
          <w:rStyle w:val="libFootnoteAieChar"/>
          <w:rtl/>
        </w:rPr>
        <w:t>ابَ الفُج</w:t>
      </w:r>
      <w:r w:rsidR="00881A15">
        <w:rPr>
          <w:rStyle w:val="libFootnoteAieChar"/>
          <w:rFonts w:hint="cs"/>
          <w:rtl/>
        </w:rPr>
        <w:t>َّ</w:t>
      </w:r>
      <w:r w:rsidRPr="00883DD5">
        <w:rPr>
          <w:rStyle w:val="libFootnoteAieChar"/>
          <w:rtl/>
        </w:rPr>
        <w:t xml:space="preserve">ارِ لَفِي سِجِّينٍ </w:t>
      </w:r>
      <w:r w:rsidR="00881A15">
        <w:rPr>
          <w:rStyle w:val="libFootnoteAieChar"/>
          <w:rFonts w:hint="cs"/>
          <w:rtl/>
        </w:rPr>
        <w:t xml:space="preserve">* </w:t>
      </w:r>
      <w:r w:rsidRPr="00883DD5">
        <w:rPr>
          <w:rStyle w:val="libFootnoteAieChar"/>
          <w:rtl/>
        </w:rPr>
        <w:t>وَم</w:t>
      </w:r>
      <w:r w:rsidR="00881A15">
        <w:rPr>
          <w:rStyle w:val="libFootnoteAieChar"/>
          <w:rFonts w:hint="cs"/>
          <w:rtl/>
        </w:rPr>
        <w:t>َ</w:t>
      </w:r>
      <w:r w:rsidRPr="00883DD5">
        <w:rPr>
          <w:rStyle w:val="libFootnoteAieChar"/>
          <w:rtl/>
        </w:rPr>
        <w:t>ا أَدْراكَ م</w:t>
      </w:r>
      <w:r w:rsidR="00881A15">
        <w:rPr>
          <w:rStyle w:val="libFootnoteAieChar"/>
          <w:rFonts w:hint="cs"/>
          <w:rtl/>
        </w:rPr>
        <w:t>َ</w:t>
      </w:r>
      <w:r w:rsidRPr="00883DD5">
        <w:rPr>
          <w:rStyle w:val="libFootnoteAieChar"/>
          <w:rtl/>
        </w:rPr>
        <w:t xml:space="preserve">ا سِجِّينٌ </w:t>
      </w:r>
      <w:r w:rsidR="00881A15">
        <w:rPr>
          <w:rStyle w:val="libFootnoteAieChar"/>
          <w:rFonts w:hint="cs"/>
          <w:rtl/>
        </w:rPr>
        <w:t xml:space="preserve">* </w:t>
      </w:r>
      <w:r w:rsidRPr="00883DD5">
        <w:rPr>
          <w:rStyle w:val="libFootnoteAieChar"/>
          <w:rtl/>
        </w:rPr>
        <w:t>كِت</w:t>
      </w:r>
      <w:r w:rsidR="00881A15">
        <w:rPr>
          <w:rStyle w:val="libFootnoteAieChar"/>
          <w:rFonts w:hint="cs"/>
          <w:rtl/>
        </w:rPr>
        <w:t>َ</w:t>
      </w:r>
      <w:r w:rsidRPr="00883DD5">
        <w:rPr>
          <w:rStyle w:val="libFootnoteAieChar"/>
          <w:rtl/>
        </w:rPr>
        <w:t xml:space="preserve">ابٌ مَرْقُومٌ </w:t>
      </w:r>
      <w:r w:rsidR="00881A15">
        <w:rPr>
          <w:rStyle w:val="libFootnoteAieChar"/>
          <w:rFonts w:hint="cs"/>
          <w:rtl/>
        </w:rPr>
        <w:t xml:space="preserve">* </w:t>
      </w:r>
      <w:r w:rsidRPr="00883DD5">
        <w:rPr>
          <w:rStyle w:val="libFootnoteAieChar"/>
          <w:rtl/>
        </w:rPr>
        <w:t>وَيْلٌ يَوْمَئِذٍ لِ</w:t>
      </w:r>
      <w:r w:rsidR="00881A15">
        <w:rPr>
          <w:rStyle w:val="libFootnoteAieChar"/>
          <w:rFonts w:hint="cs"/>
          <w:rtl/>
        </w:rPr>
        <w:t>ّ</w:t>
      </w:r>
      <w:r w:rsidRPr="00883DD5">
        <w:rPr>
          <w:rStyle w:val="libFootnoteAieChar"/>
          <w:rtl/>
        </w:rPr>
        <w:t>لْمُكَذِّبِينَ</w:t>
      </w:r>
      <w:r w:rsidRPr="00883DD5">
        <w:rPr>
          <w:rStyle w:val="libFootnoteAieChar"/>
          <w:rFonts w:hint="cs"/>
          <w:rtl/>
        </w:rPr>
        <w:t xml:space="preserve"> </w:t>
      </w:r>
      <w:r w:rsidRPr="00B866D3">
        <w:rPr>
          <w:rStyle w:val="libFootnoteAlaemChar"/>
          <w:rtl/>
        </w:rPr>
        <w:t>)</w:t>
      </w:r>
      <w:r w:rsidRPr="00323A39">
        <w:rPr>
          <w:rtl/>
        </w:rPr>
        <w:t xml:space="preserve"> [ المطفّفين (83) : 7 </w:t>
      </w:r>
      <w:r w:rsidR="0084262C" w:rsidRPr="00323A39">
        <w:rPr>
          <w:rtl/>
        </w:rPr>
        <w:t>-</w:t>
      </w:r>
      <w:r w:rsidRPr="00323A39">
        <w:rPr>
          <w:rtl/>
        </w:rPr>
        <w:t xml:space="preserve"> 10 ] الآيات ، وهي تشعر بأنّ « علّيّين » و « سجّين » ، هما ما ينتهي إليه أمر الأبرار والفجّار من النعمة والعذاب ، فافهم.</w:t>
      </w:r>
    </w:p>
    <w:p w:rsidR="008A74EB" w:rsidRPr="00C9040A" w:rsidRDefault="008A74EB" w:rsidP="004A4E41">
      <w:pPr>
        <w:pStyle w:val="libFootnote0"/>
        <w:rPr>
          <w:rtl/>
          <w:lang w:bidi="fa-IR"/>
        </w:rPr>
      </w:pPr>
      <w:r w:rsidRPr="0082575F">
        <w:rPr>
          <w:rtl/>
        </w:rPr>
        <w:t>وأمّا البحث الثاني ، وهو أنّ أخبار الطينة تستلزم أن تكون السعادة والشقاء لازمين حتميّين للإنسان ، ومعه لايكون أحدهما اختياريّاً كسبيّاً للإنسان ، وهو الجبر الباطل.</w:t>
      </w:r>
    </w:p>
    <w:p w:rsidR="008A74EB" w:rsidRPr="00C9040A" w:rsidRDefault="008A74EB" w:rsidP="004A4E41">
      <w:pPr>
        <w:pStyle w:val="libFootnote0"/>
        <w:rPr>
          <w:rtl/>
          <w:lang w:bidi="fa-IR"/>
        </w:rPr>
      </w:pPr>
      <w:r w:rsidRPr="0082575F">
        <w:rPr>
          <w:rtl/>
        </w:rPr>
        <w:t>والجواب عنه أنّ اقتضاء الطينة للسعادة أو الشقاء ليس من قبل نفسها ، بل من قبل حكمه تعالى وقضائه ما قضى من سعادة وشقاء ، فيرجع الإشكال إلى سبق قضاء السعادة والشقاء في حقّ الإنسان قبل أن يخلق وأنّ ذلك يستلزم الجبر. وقد ذكرنا هذا الإشكال مع جوابه في باب المشيئة والإرادة [ ذيل ح 387 ] وحاصل الجواب أنّ القضاء متعلّق بصدور الفعل عن اختيار العبد ، وهو فعل اختياريّ في عين أنّه حتميّ الوقوع ولم يتعلّق بالفعل ، سواء اختاره العبد ، أو لم يختره حتّى يلزم منه بطلان الاختيار. وأمّا شرح ما تشتمل عليه هذه الأخبار تفصيلاً فأمر خارج عن مجال هذا البيان المختصر ، فليرجع فيه إلى مطوّلات الشروح والتعاليق ، والله الهادي »</w:t>
      </w:r>
      <w:r>
        <w:rPr>
          <w:rtl/>
        </w:rPr>
        <w:t>.</w:t>
      </w:r>
    </w:p>
    <w:p w:rsidR="008A74EB" w:rsidRDefault="006C577F" w:rsidP="004A4E41">
      <w:pPr>
        <w:pStyle w:val="libFootnote0"/>
        <w:rPr>
          <w:rtl/>
        </w:rPr>
      </w:pPr>
      <w:r>
        <w:rPr>
          <w:rtl/>
        </w:rPr>
        <w:t>(1).</w:t>
      </w:r>
      <w:r w:rsidR="008A74EB" w:rsidRPr="00C9040A">
        <w:rPr>
          <w:rtl/>
        </w:rPr>
        <w:t xml:space="preserve"> هكذا في « ب ، جح » وحاشية « جك »</w:t>
      </w:r>
      <w:r w:rsidR="008A74EB">
        <w:rPr>
          <w:rtl/>
        </w:rPr>
        <w:t>.</w:t>
      </w:r>
      <w:r w:rsidR="008A74EB" w:rsidRPr="00C9040A">
        <w:rPr>
          <w:rtl/>
        </w:rPr>
        <w:t xml:space="preserve"> وفي سائر النسخ والمطبوع : « محمّد بن الحسن »</w:t>
      </w:r>
      <w:r w:rsidR="008A74EB">
        <w:rPr>
          <w:rtl/>
        </w:rPr>
        <w:t>.</w:t>
      </w:r>
      <w:r w:rsidR="008A74EB" w:rsidRPr="00C9040A">
        <w:rPr>
          <w:rtl/>
        </w:rPr>
        <w:t xml:space="preserve"> والصواب ما أثبتناه ؛ فقد روى الصفّار الخبر في </w:t>
      </w:r>
      <w:r w:rsidR="008A74EB" w:rsidRPr="00993B55">
        <w:rPr>
          <w:rStyle w:val="libFootnoteBoldChar"/>
          <w:rtl/>
        </w:rPr>
        <w:t>بصائر الدرجات</w:t>
      </w:r>
      <w:r w:rsidR="008A74EB" w:rsidRPr="00C9040A">
        <w:rPr>
          <w:rtl/>
        </w:rPr>
        <w:t xml:space="preserve"> ، ص 16 ، ح 7 ، عن محمّد بن الحسين ، عن النضر بن شعيب ، عن عبد الغفّار الجازي. وترجم النجاشي لعبد الغفّار بن حبيب الطائي الجازي وقال : « له كتاب يرويه جماعة </w:t>
      </w:r>
      <w:r w:rsidR="00231662">
        <w:rPr>
          <w:rFonts w:hint="cs"/>
          <w:rtl/>
        </w:rPr>
        <w:t>=</w:t>
      </w:r>
    </w:p>
    <w:p w:rsidR="004B7F34" w:rsidRDefault="004B7F34" w:rsidP="004B7F34">
      <w:pPr>
        <w:pStyle w:val="libNormal"/>
        <w:rPr>
          <w:rtl/>
        </w:rPr>
      </w:pPr>
      <w:r>
        <w:rPr>
          <w:rtl/>
        </w:rPr>
        <w:br w:type="page"/>
      </w:r>
    </w:p>
    <w:p w:rsidR="008A74EB" w:rsidRPr="00C9040A" w:rsidRDefault="008A74EB" w:rsidP="008A74EB">
      <w:pPr>
        <w:pStyle w:val="libNormal0"/>
        <w:rPr>
          <w:rtl/>
          <w:lang w:bidi="fa-IR"/>
        </w:rPr>
      </w:pPr>
      <w:r w:rsidRPr="00C9040A">
        <w:rPr>
          <w:rtl/>
          <w:lang w:bidi="fa-IR"/>
        </w:rPr>
        <w:lastRenderedPageBreak/>
        <w:t xml:space="preserve">عَبْدِ الْغَفَّارِ الْجَازِيِّ </w:t>
      </w:r>
      <w:r w:rsidR="006C577F" w:rsidRPr="006C577F">
        <w:rPr>
          <w:rStyle w:val="libFootnotenumChar"/>
          <w:rtl/>
        </w:rPr>
        <w:t>(1)</w:t>
      </w:r>
      <w:r w:rsidRPr="00463D87">
        <w:rPr>
          <w:rFonts w:hint="cs"/>
          <w:rtl/>
        </w:rPr>
        <w:t xml:space="preserve"> </w:t>
      </w:r>
      <w:r w:rsidRPr="00C9040A">
        <w:rPr>
          <w:rtl/>
          <w:lang w:bidi="fa-IR"/>
        </w:rPr>
        <w:t>:</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خَلَقَ الْمُؤْمِنَ مِنْ طِينَةِ الْجَنَّةِ ، وَخَلَقَ الْكَافِرَ </w:t>
      </w:r>
      <w:r w:rsidR="006C577F" w:rsidRPr="006C577F">
        <w:rPr>
          <w:rStyle w:val="libFootnotenumChar"/>
          <w:rtl/>
        </w:rPr>
        <w:t>(2)</w:t>
      </w:r>
      <w:r w:rsidRPr="00C9040A">
        <w:rPr>
          <w:rtl/>
          <w:lang w:bidi="fa-IR"/>
        </w:rPr>
        <w:t xml:space="preserve"> مِنْ طِينَةِ النَّارِ »</w:t>
      </w:r>
      <w:r>
        <w:rPr>
          <w:rtl/>
          <w:lang w:bidi="fa-IR"/>
        </w:rPr>
        <w:t>.</w:t>
      </w:r>
    </w:p>
    <w:p w:rsidR="008A74EB" w:rsidRPr="00C9040A" w:rsidRDefault="008A74EB" w:rsidP="008A74EB">
      <w:pPr>
        <w:pStyle w:val="libNormal"/>
        <w:rPr>
          <w:rtl/>
          <w:lang w:bidi="fa-IR"/>
        </w:rPr>
      </w:pPr>
      <w:r w:rsidRPr="00C9040A">
        <w:rPr>
          <w:rtl/>
          <w:lang w:bidi="fa-IR"/>
        </w:rPr>
        <w:t xml:space="preserve">وَقَالَ : « إِذَا أَرَادَ اللهُ </w:t>
      </w:r>
      <w:r w:rsidR="006C577F" w:rsidRPr="006C577F">
        <w:rPr>
          <w:rStyle w:val="libFootnotenumChar"/>
          <w:rtl/>
        </w:rPr>
        <w:t>(3)</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بِعَبْدٍ خَيْراً ، طَيَّبَ رُوحَهُ وَجَسَدَهُ ، فَلَا يَسْمَ</w:t>
      </w:r>
      <w:r w:rsidR="00104C96">
        <w:rPr>
          <w:rtl/>
          <w:lang w:bidi="fa-IR"/>
        </w:rPr>
        <w:t>عُ شَيْئاً مِنَ الْخَيْرِ إِل</w:t>
      </w:r>
      <w:r w:rsidR="00104C96">
        <w:rPr>
          <w:rFonts w:hint="cs"/>
          <w:rtl/>
          <w:lang w:bidi="fa-IR"/>
        </w:rPr>
        <w:t>َّ</w:t>
      </w:r>
      <w:r w:rsidR="00104C96">
        <w:rPr>
          <w:rtl/>
          <w:lang w:bidi="fa-IR"/>
        </w:rPr>
        <w:t>ا</w:t>
      </w:r>
      <w:r w:rsidRPr="00C9040A">
        <w:rPr>
          <w:rtl/>
          <w:lang w:bidi="fa-IR"/>
        </w:rPr>
        <w:t xml:space="preserve"> عَرَفَهُ ، وَلَا يَسْمَعُ</w:t>
      </w:r>
      <w:r w:rsidR="00104C96">
        <w:rPr>
          <w:rtl/>
          <w:lang w:bidi="fa-IR"/>
        </w:rPr>
        <w:t xml:space="preserve"> شَيْئاً مِنَ الْمُنْكَرِ إِل</w:t>
      </w:r>
      <w:r w:rsidR="00104C96">
        <w:rPr>
          <w:rFonts w:hint="cs"/>
          <w:rtl/>
          <w:lang w:bidi="fa-IR"/>
        </w:rPr>
        <w:t>َّ</w:t>
      </w:r>
      <w:r w:rsidR="00104C96">
        <w:rPr>
          <w:rtl/>
          <w:lang w:bidi="fa-IR"/>
        </w:rPr>
        <w:t>ا</w:t>
      </w:r>
      <w:r w:rsidRPr="00C9040A">
        <w:rPr>
          <w:rtl/>
          <w:lang w:bidi="fa-IR"/>
        </w:rPr>
        <w:t xml:space="preserve"> أَنْكَرَهُ »</w:t>
      </w:r>
      <w:r>
        <w:rPr>
          <w:rtl/>
          <w:lang w:bidi="fa-IR"/>
        </w:rPr>
        <w:t>.</w:t>
      </w:r>
    </w:p>
    <w:p w:rsidR="008A74EB" w:rsidRPr="00C9040A" w:rsidRDefault="008A74EB" w:rsidP="008A74EB">
      <w:pPr>
        <w:pStyle w:val="libNormal"/>
        <w:rPr>
          <w:rtl/>
          <w:lang w:bidi="fa-IR"/>
        </w:rPr>
      </w:pPr>
      <w:r w:rsidRPr="00C9040A">
        <w:rPr>
          <w:rtl/>
          <w:lang w:bidi="fa-IR"/>
        </w:rPr>
        <w:t xml:space="preserve">قَالَ : وَسَمِعْتُهُ يَقُولُ : « الطِّينَاتُ ثَلَاثٌ </w:t>
      </w:r>
      <w:r w:rsidR="006C577F" w:rsidRPr="006C577F">
        <w:rPr>
          <w:rStyle w:val="libFootnotenumChar"/>
          <w:rtl/>
        </w:rPr>
        <w:t>(4)</w:t>
      </w:r>
      <w:r w:rsidRPr="00C9040A">
        <w:rPr>
          <w:rtl/>
          <w:lang w:bidi="fa-IR"/>
        </w:rPr>
        <w:t xml:space="preserve"> : طِينَةُ الْأَنْبِيَاءِ ، وَالْمُؤْمِن</w:t>
      </w:r>
      <w:r w:rsidR="00104C96">
        <w:rPr>
          <w:rtl/>
          <w:lang w:bidi="fa-IR"/>
        </w:rPr>
        <w:t>ُ مِنْ تِلْكَ الطِّينَةِ ، إِل</w:t>
      </w:r>
      <w:r w:rsidR="00104C96">
        <w:rPr>
          <w:rFonts w:hint="cs"/>
          <w:rtl/>
          <w:lang w:bidi="fa-IR"/>
        </w:rPr>
        <w:t>َّ</w:t>
      </w:r>
      <w:r w:rsidR="00104C96">
        <w:rPr>
          <w:rtl/>
          <w:lang w:bidi="fa-IR"/>
        </w:rPr>
        <w:t>ا</w:t>
      </w:r>
      <w:r w:rsidRPr="00C9040A">
        <w:rPr>
          <w:rtl/>
          <w:lang w:bidi="fa-IR"/>
        </w:rPr>
        <w:t xml:space="preserve"> أَنَّ الْأَنْبِيَاءَ هُمْ </w:t>
      </w:r>
      <w:r w:rsidR="006C577F" w:rsidRPr="006C577F">
        <w:rPr>
          <w:rStyle w:val="libFootnotenumChar"/>
          <w:rtl/>
        </w:rPr>
        <w:t>(5)</w:t>
      </w:r>
      <w:r w:rsidRPr="00C9040A">
        <w:rPr>
          <w:rtl/>
          <w:lang w:bidi="fa-IR"/>
        </w:rPr>
        <w:t xml:space="preserve"> مِنْ </w:t>
      </w:r>
      <w:r w:rsidR="006C577F" w:rsidRPr="006C577F">
        <w:rPr>
          <w:rStyle w:val="libFootnotenumChar"/>
          <w:rtl/>
        </w:rPr>
        <w:t>(6)</w:t>
      </w:r>
      <w:r w:rsidRPr="005B567D">
        <w:rPr>
          <w:rStyle w:val="libFootnotenumChar"/>
          <w:rtl/>
        </w:rPr>
        <w:t xml:space="preserve"> </w:t>
      </w:r>
      <w:r w:rsidRPr="00C9040A">
        <w:rPr>
          <w:rtl/>
          <w:lang w:bidi="fa-IR"/>
        </w:rPr>
        <w:t xml:space="preserve">صَفْوَتِهَا ؛ هُمُ </w:t>
      </w:r>
      <w:r w:rsidR="006C577F" w:rsidRPr="006C577F">
        <w:rPr>
          <w:rStyle w:val="libFootnotenumChar"/>
          <w:rtl/>
        </w:rPr>
        <w:t>(7)</w:t>
      </w:r>
      <w:r w:rsidRPr="00C9040A">
        <w:rPr>
          <w:rtl/>
          <w:lang w:bidi="fa-IR"/>
        </w:rPr>
        <w:t xml:space="preserve"> الْأَصْلُ وَلَهُمْ فَضْلُهُمْ ، وَالْمُؤْمِنُونَ الْفَرْعُ مِنْ طِينٍ لَازِبٍ </w:t>
      </w:r>
      <w:r w:rsidR="006C577F" w:rsidRPr="006C577F">
        <w:rPr>
          <w:rStyle w:val="libFootnotenumChar"/>
          <w:rtl/>
        </w:rPr>
        <w:t>(8)</w:t>
      </w:r>
      <w:r w:rsidRPr="00C9040A">
        <w:rPr>
          <w:rtl/>
          <w:lang w:bidi="fa-IR"/>
        </w:rPr>
        <w:t xml:space="preserve"> ، كَذلِكَ </w:t>
      </w:r>
      <w:r w:rsidR="006C577F" w:rsidRPr="006C577F">
        <w:rPr>
          <w:rStyle w:val="libFootnotenumChar"/>
          <w:rtl/>
        </w:rPr>
        <w:t>(9)</w:t>
      </w:r>
      <w:r w:rsidRPr="00C9040A">
        <w:rPr>
          <w:rtl/>
          <w:lang w:bidi="fa-IR"/>
        </w:rPr>
        <w:t xml:space="preserve"> لَايُفَرِّقُ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بَيْنَهُمْ وَبَيْنَ شِيعَتِهِمْ »</w:t>
      </w:r>
      <w:r>
        <w:rPr>
          <w:rtl/>
          <w:lang w:bidi="fa-IR"/>
        </w:rPr>
        <w:t>.</w:t>
      </w:r>
    </w:p>
    <w:p w:rsidR="008A74EB" w:rsidRPr="00C9040A" w:rsidRDefault="008A74EB" w:rsidP="008A74EB">
      <w:pPr>
        <w:pStyle w:val="libNormal"/>
        <w:rPr>
          <w:rtl/>
          <w:lang w:bidi="fa-IR"/>
        </w:rPr>
      </w:pPr>
      <w:r w:rsidRPr="00C9040A">
        <w:rPr>
          <w:rtl/>
          <w:lang w:bidi="fa-IR"/>
        </w:rPr>
        <w:t xml:space="preserve">وَقَالَ : « طِينَةُ النَّاصِبِ مِنْ حَمَاً مَسْنُونٍ </w:t>
      </w:r>
      <w:r w:rsidR="006C577F" w:rsidRPr="006C577F">
        <w:rPr>
          <w:rStyle w:val="libFootnotenumChar"/>
          <w:rtl/>
        </w:rPr>
        <w:t>(10)</w:t>
      </w:r>
      <w:r w:rsidRPr="00C9040A">
        <w:rPr>
          <w:rtl/>
          <w:lang w:bidi="fa-IR"/>
        </w:rPr>
        <w:t xml:space="preserve"> ، وَأَمَّا الْمُسْتَضْعَفُونَ </w:t>
      </w:r>
      <w:r w:rsidR="006C577F" w:rsidRPr="006C577F">
        <w:rPr>
          <w:rStyle w:val="libFootnotenumChar"/>
          <w:rtl/>
        </w:rPr>
        <w:t>(11)</w:t>
      </w:r>
      <w:r w:rsidRPr="00C9040A">
        <w:rPr>
          <w:rtl/>
          <w:lang w:bidi="fa-IR"/>
        </w:rPr>
        <w:t xml:space="preserve"> فَمِنْ تُرَابٍ ؛</w:t>
      </w:r>
    </w:p>
    <w:p w:rsidR="008A74EB" w:rsidRPr="00C9040A" w:rsidRDefault="008A74EB" w:rsidP="008A74EB">
      <w:pPr>
        <w:pStyle w:val="libLine"/>
        <w:rPr>
          <w:rtl/>
          <w:lang w:bidi="fa-IR"/>
        </w:rPr>
      </w:pPr>
      <w:r w:rsidRPr="00C9040A">
        <w:rPr>
          <w:rtl/>
          <w:lang w:bidi="fa-IR"/>
        </w:rPr>
        <w:t>__________________</w:t>
      </w:r>
    </w:p>
    <w:p w:rsidR="008A74EB" w:rsidRPr="004A4E41" w:rsidRDefault="00104C96" w:rsidP="004A4E41">
      <w:pPr>
        <w:pStyle w:val="libFootnote0"/>
        <w:rPr>
          <w:rStyle w:val="libFootnote0Char"/>
          <w:rtl/>
        </w:rPr>
      </w:pPr>
      <w:r>
        <w:rPr>
          <w:rFonts w:hint="cs"/>
          <w:rtl/>
        </w:rPr>
        <w:t xml:space="preserve">= </w:t>
      </w:r>
      <w:r w:rsidR="008A74EB" w:rsidRPr="00C9040A">
        <w:rPr>
          <w:rtl/>
        </w:rPr>
        <w:t>أخبرنا الحسين بن عبيد الله</w:t>
      </w:r>
      <w:r w:rsidR="008A74EB">
        <w:rPr>
          <w:rtl/>
        </w:rPr>
        <w:t xml:space="preserve"> ..</w:t>
      </w:r>
      <w:r w:rsidR="008A74EB" w:rsidRPr="00C9040A">
        <w:rPr>
          <w:rtl/>
        </w:rPr>
        <w:t>. عن محمّد بن عبدالجبّار ، قال : حدّثنا النضر بن شعيب ، عن عبدالغفّار بكتابه »</w:t>
      </w:r>
      <w:r w:rsidR="008A74EB">
        <w:rPr>
          <w:rtl/>
        </w:rPr>
        <w:t>.</w:t>
      </w:r>
      <w:r w:rsidR="008A74EB" w:rsidRPr="00C9040A">
        <w:rPr>
          <w:rtl/>
        </w:rPr>
        <w:t xml:space="preserve"> وطريق الشيخ الطوسي إلى كتاب خالد بن ماد القلانسي أيضاً ينتهي إلى محمّد بن الحسين بن أبي الخطّاب ، عن النضر بن شعيب. أضف إلى ذلك أنّ أكثر روايات النضر بن شعيب وردت بواسطة محمّد بن الحسين. راجع : </w:t>
      </w:r>
      <w:r w:rsidR="008A74EB" w:rsidRPr="00993B55">
        <w:rPr>
          <w:rStyle w:val="libFootnoteBoldChar"/>
          <w:rtl/>
        </w:rPr>
        <w:t>رجال النجاشي</w:t>
      </w:r>
      <w:r w:rsidR="008A74EB" w:rsidRPr="00C9040A">
        <w:rPr>
          <w:rtl/>
        </w:rPr>
        <w:t xml:space="preserve"> ، ص 274 ، الرقم 650 ؛ </w:t>
      </w:r>
      <w:r w:rsidR="008A74EB" w:rsidRPr="0034021D">
        <w:rPr>
          <w:rStyle w:val="libFootnoteBoldChar"/>
          <w:rtl/>
        </w:rPr>
        <w:t>الفهرست للطوسي</w:t>
      </w:r>
      <w:r w:rsidR="008A74EB" w:rsidRPr="00C9040A">
        <w:rPr>
          <w:rtl/>
        </w:rPr>
        <w:t xml:space="preserve"> ، ص 173 ، الرقم 266 ؛ </w:t>
      </w:r>
      <w:r w:rsidR="008A74EB" w:rsidRPr="00993B55">
        <w:rPr>
          <w:rStyle w:val="libFootnoteBoldChar"/>
          <w:rtl/>
        </w:rPr>
        <w:t>معجم رجال الحديث</w:t>
      </w:r>
      <w:r w:rsidR="008A74EB" w:rsidRPr="00C9040A">
        <w:rPr>
          <w:rtl/>
        </w:rPr>
        <w:t xml:space="preserve"> ، ج 19 ، ص 156</w:t>
      </w:r>
      <w:r w:rsidR="008A74EB">
        <w:rPr>
          <w:rtl/>
        </w:rPr>
        <w:t xml:space="preserve"> </w:t>
      </w:r>
      <w:r w:rsidR="0084262C">
        <w:rPr>
          <w:rtl/>
        </w:rPr>
        <w:t>-</w:t>
      </w:r>
      <w:r w:rsidR="008A74EB">
        <w:rPr>
          <w:rtl/>
        </w:rPr>
        <w:t xml:space="preserve"> </w:t>
      </w:r>
      <w:r w:rsidR="008A74EB" w:rsidRPr="00C9040A">
        <w:rPr>
          <w:rtl/>
        </w:rPr>
        <w:t>158.</w:t>
      </w:r>
    </w:p>
    <w:tbl>
      <w:tblPr>
        <w:tblStyle w:val="TableGrid"/>
        <w:bidiVisual/>
        <w:tblW w:w="0" w:type="auto"/>
        <w:tblLook w:val="04A0" w:firstRow="1" w:lastRow="0" w:firstColumn="1" w:lastColumn="0" w:noHBand="0" w:noVBand="1"/>
      </w:tblPr>
      <w:tblGrid>
        <w:gridCol w:w="4006"/>
        <w:gridCol w:w="4006"/>
      </w:tblGrid>
      <w:tr w:rsidR="00104C96" w:rsidTr="00104C96">
        <w:tc>
          <w:tcPr>
            <w:tcW w:w="4006" w:type="dxa"/>
          </w:tcPr>
          <w:p w:rsidR="00104C96" w:rsidRDefault="006C577F" w:rsidP="004A4E41">
            <w:pPr>
              <w:pStyle w:val="libFootnote0"/>
              <w:rPr>
                <w:rtl/>
                <w:lang w:bidi="fa-IR"/>
              </w:rPr>
            </w:pPr>
            <w:r>
              <w:rPr>
                <w:rtl/>
              </w:rPr>
              <w:t>(1).</w:t>
            </w:r>
            <w:r w:rsidR="00104C96" w:rsidRPr="00C9040A">
              <w:rPr>
                <w:rtl/>
              </w:rPr>
              <w:t xml:space="preserve"> في « </w:t>
            </w:r>
            <w:r w:rsidR="00104C96">
              <w:rPr>
                <w:rtl/>
              </w:rPr>
              <w:t>ه</w:t>
            </w:r>
            <w:r w:rsidR="00104C96" w:rsidRPr="00C9040A">
              <w:rPr>
                <w:rtl/>
              </w:rPr>
              <w:t xml:space="preserve"> » : « الخازن »</w:t>
            </w:r>
            <w:r w:rsidR="00104C96">
              <w:rPr>
                <w:rtl/>
              </w:rPr>
              <w:t>.</w:t>
            </w:r>
          </w:p>
        </w:tc>
        <w:tc>
          <w:tcPr>
            <w:tcW w:w="4006" w:type="dxa"/>
          </w:tcPr>
          <w:p w:rsidR="00104C96" w:rsidRDefault="006C577F" w:rsidP="004A4E41">
            <w:pPr>
              <w:pStyle w:val="libFootnote0"/>
              <w:rPr>
                <w:rtl/>
                <w:lang w:bidi="fa-IR"/>
              </w:rPr>
            </w:pPr>
            <w:r>
              <w:rPr>
                <w:rtl/>
              </w:rPr>
              <w:t>(2).</w:t>
            </w:r>
            <w:r w:rsidR="00104C96">
              <w:rPr>
                <w:rtl/>
              </w:rPr>
              <w:t xml:space="preserve"> </w:t>
            </w:r>
            <w:r w:rsidR="00104C96" w:rsidRPr="00C9040A">
              <w:rPr>
                <w:rtl/>
              </w:rPr>
              <w:t>في البصائر : « الناصب »</w:t>
            </w:r>
            <w:r w:rsidR="00104C96">
              <w:rPr>
                <w:rtl/>
              </w:rPr>
              <w:t>.</w:t>
            </w:r>
          </w:p>
        </w:tc>
      </w:tr>
    </w:tbl>
    <w:p w:rsidR="008A74EB" w:rsidRPr="00C9040A" w:rsidRDefault="006C577F" w:rsidP="004A4E41">
      <w:pPr>
        <w:pStyle w:val="libFootnote0"/>
        <w:rPr>
          <w:rtl/>
          <w:lang w:bidi="fa-IR"/>
        </w:rPr>
      </w:pPr>
      <w:r>
        <w:rPr>
          <w:rtl/>
        </w:rPr>
        <w:t>(3).</w:t>
      </w:r>
      <w:r w:rsidR="008A74EB" w:rsidRPr="00C9040A">
        <w:rPr>
          <w:rtl/>
        </w:rPr>
        <w:t xml:space="preserve"> في « ف » </w:t>
      </w:r>
      <w:r w:rsidR="008A74EB">
        <w:rPr>
          <w:rtl/>
        </w:rPr>
        <w:t xml:space="preserve">: </w:t>
      </w:r>
      <w:r w:rsidR="0084262C">
        <w:rPr>
          <w:rtl/>
        </w:rPr>
        <w:t>-</w:t>
      </w:r>
      <w:r w:rsidR="008A74EB" w:rsidRPr="00C9040A">
        <w:rPr>
          <w:rtl/>
        </w:rPr>
        <w:t xml:space="preserve"> « الله »</w:t>
      </w:r>
      <w:r w:rsidR="008A74EB">
        <w:rPr>
          <w:rtl/>
        </w:rPr>
        <w:t>.</w:t>
      </w:r>
    </w:p>
    <w:p w:rsidR="008A74EB" w:rsidRPr="004A4E41" w:rsidRDefault="006C577F" w:rsidP="004A4E41">
      <w:pPr>
        <w:pStyle w:val="libFootnote0"/>
        <w:rPr>
          <w:rStyle w:val="libFootnote0Char"/>
          <w:rtl/>
        </w:rPr>
      </w:pPr>
      <w:r>
        <w:rPr>
          <w:rtl/>
        </w:rPr>
        <w:t>(4).</w:t>
      </w:r>
      <w:r w:rsidR="008A74EB" w:rsidRPr="00C9040A">
        <w:rPr>
          <w:rtl/>
        </w:rPr>
        <w:t xml:space="preserve"> في « د ، ص ، ض ، </w:t>
      </w:r>
      <w:r w:rsidR="008A74EB">
        <w:rPr>
          <w:rtl/>
        </w:rPr>
        <w:t>ه</w:t>
      </w:r>
      <w:r w:rsidR="008A74EB" w:rsidRPr="00C9040A">
        <w:rPr>
          <w:rtl/>
        </w:rPr>
        <w:t xml:space="preserve"> » والبصائر : « ثلاثة »</w:t>
      </w:r>
      <w:r w:rsidR="008A74EB">
        <w:rPr>
          <w:rtl/>
        </w:rPr>
        <w:t>.</w:t>
      </w:r>
      <w:r w:rsidR="008A74EB" w:rsidRPr="00C9040A">
        <w:rPr>
          <w:rtl/>
        </w:rPr>
        <w:t xml:space="preserve"> قال في </w:t>
      </w:r>
      <w:r w:rsidR="008A74EB" w:rsidRPr="00993B55">
        <w:rPr>
          <w:rStyle w:val="libFootnoteBoldChar"/>
          <w:rtl/>
        </w:rPr>
        <w:t>النحو الوافي</w:t>
      </w:r>
      <w:r w:rsidR="008A74EB" w:rsidRPr="00C9040A">
        <w:rPr>
          <w:rtl/>
        </w:rPr>
        <w:t xml:space="preserve"> : « عند عدم ذكر التميز لا يجب المخالفة »</w:t>
      </w:r>
      <w:r w:rsidR="008A74EB">
        <w:rPr>
          <w:rtl/>
        </w:rPr>
        <w:t>.</w:t>
      </w:r>
    </w:p>
    <w:tbl>
      <w:tblPr>
        <w:tblStyle w:val="TableGrid"/>
        <w:bidiVisual/>
        <w:tblW w:w="0" w:type="auto"/>
        <w:tblLook w:val="04A0" w:firstRow="1" w:lastRow="0" w:firstColumn="1" w:lastColumn="0" w:noHBand="0" w:noVBand="1"/>
      </w:tblPr>
      <w:tblGrid>
        <w:gridCol w:w="4006"/>
        <w:gridCol w:w="4006"/>
      </w:tblGrid>
      <w:tr w:rsidR="00104C96" w:rsidTr="00104C96">
        <w:tc>
          <w:tcPr>
            <w:tcW w:w="4006" w:type="dxa"/>
          </w:tcPr>
          <w:p w:rsidR="00104C96" w:rsidRDefault="006C577F" w:rsidP="004A4E41">
            <w:pPr>
              <w:pStyle w:val="libFootnote0"/>
              <w:rPr>
                <w:rtl/>
                <w:lang w:bidi="fa-IR"/>
              </w:rPr>
            </w:pPr>
            <w:r>
              <w:rPr>
                <w:rtl/>
              </w:rPr>
              <w:t>(5).</w:t>
            </w:r>
            <w:r w:rsidR="00104C96" w:rsidRPr="00C9040A">
              <w:rPr>
                <w:rtl/>
              </w:rPr>
              <w:t xml:space="preserve"> في « د ، ص ، ض ، بر ، بس » </w:t>
            </w:r>
            <w:r w:rsidR="00104C96">
              <w:rPr>
                <w:rtl/>
              </w:rPr>
              <w:t xml:space="preserve">: - </w:t>
            </w:r>
            <w:r w:rsidR="00104C96" w:rsidRPr="00C9040A">
              <w:rPr>
                <w:rtl/>
              </w:rPr>
              <w:t>« هم »</w:t>
            </w:r>
            <w:r w:rsidR="00104C96">
              <w:rPr>
                <w:rtl/>
              </w:rPr>
              <w:t>.</w:t>
            </w:r>
          </w:p>
        </w:tc>
        <w:tc>
          <w:tcPr>
            <w:tcW w:w="4006" w:type="dxa"/>
          </w:tcPr>
          <w:p w:rsidR="00104C96" w:rsidRDefault="006C577F" w:rsidP="004A4E41">
            <w:pPr>
              <w:pStyle w:val="libFootnote0"/>
              <w:rPr>
                <w:rtl/>
                <w:lang w:bidi="fa-IR"/>
              </w:rPr>
            </w:pPr>
            <w:r>
              <w:rPr>
                <w:rtl/>
              </w:rPr>
              <w:t>(6).</w:t>
            </w:r>
            <w:r w:rsidR="00104C96">
              <w:rPr>
                <w:rtl/>
              </w:rPr>
              <w:t xml:space="preserve"> </w:t>
            </w:r>
            <w:r w:rsidR="00104C96" w:rsidRPr="00C9040A">
              <w:rPr>
                <w:rtl/>
              </w:rPr>
              <w:t xml:space="preserve">في البصائر </w:t>
            </w:r>
            <w:r w:rsidR="00104C96">
              <w:rPr>
                <w:rtl/>
              </w:rPr>
              <w:t xml:space="preserve">: - </w:t>
            </w:r>
            <w:r w:rsidR="00104C96" w:rsidRPr="00C9040A">
              <w:rPr>
                <w:rtl/>
              </w:rPr>
              <w:t>« من »</w:t>
            </w:r>
            <w:r w:rsidR="00104C96">
              <w:rPr>
                <w:rtl/>
              </w:rPr>
              <w:t>.</w:t>
            </w:r>
          </w:p>
        </w:tc>
      </w:tr>
    </w:tbl>
    <w:p w:rsidR="008A74EB" w:rsidRPr="00C9040A" w:rsidRDefault="006C577F" w:rsidP="004A4E41">
      <w:pPr>
        <w:pStyle w:val="libFootnote0"/>
        <w:rPr>
          <w:rtl/>
          <w:lang w:bidi="fa-IR"/>
        </w:rPr>
      </w:pPr>
      <w:r>
        <w:rPr>
          <w:rtl/>
        </w:rPr>
        <w:t>(7).</w:t>
      </w:r>
      <w:r w:rsidR="008A74EB" w:rsidRPr="00C9040A">
        <w:rPr>
          <w:rtl/>
        </w:rPr>
        <w:t xml:space="preserve"> في البصائر : « وهم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البصائر : « طينة »</w:t>
      </w:r>
      <w:r w:rsidR="008A74EB">
        <w:rPr>
          <w:rtl/>
        </w:rPr>
        <w:t>.</w:t>
      </w:r>
      <w:r w:rsidR="008A74EB" w:rsidRPr="00C9040A">
        <w:rPr>
          <w:rtl/>
        </w:rPr>
        <w:t xml:space="preserve"> </w:t>
      </w:r>
      <w:r w:rsidR="008A74EB">
        <w:rPr>
          <w:rtl/>
        </w:rPr>
        <w:t>و «</w:t>
      </w:r>
      <w:r w:rsidR="008A74EB" w:rsidRPr="00C9040A">
        <w:rPr>
          <w:rtl/>
        </w:rPr>
        <w:t xml:space="preserve"> طين لازب » أي ممتزج متماسك ، يلزق بعضه بعضاً. </w:t>
      </w:r>
      <w:r w:rsidR="008A74EB" w:rsidRPr="00993B55">
        <w:rPr>
          <w:rStyle w:val="libFootnoteBoldChar"/>
          <w:rtl/>
        </w:rPr>
        <w:t>مجمع البحرين</w:t>
      </w:r>
      <w:r w:rsidR="008A74EB" w:rsidRPr="00C9040A">
        <w:rPr>
          <w:rtl/>
        </w:rPr>
        <w:t xml:space="preserve"> ، ج 2 ، ص 166. وراجع : </w:t>
      </w:r>
      <w:r w:rsidR="008A74EB" w:rsidRPr="00993B55">
        <w:rPr>
          <w:rStyle w:val="libFootnoteBoldChar"/>
          <w:rtl/>
        </w:rPr>
        <w:t>الصحاح</w:t>
      </w:r>
      <w:r w:rsidR="008A74EB" w:rsidRPr="00C9040A">
        <w:rPr>
          <w:rtl/>
        </w:rPr>
        <w:t xml:space="preserve"> ، ج 1 ، ص 219 ( لزب )</w:t>
      </w:r>
      <w:r w:rsidR="008A74EB">
        <w:rPr>
          <w:rtl/>
        </w:rPr>
        <w:t>.</w:t>
      </w:r>
      <w:r w:rsidR="00A53BD5">
        <w:rPr>
          <w:rFonts w:hint="cs"/>
          <w:rtl/>
        </w:rPr>
        <w:t xml:space="preserve">     </w:t>
      </w:r>
      <w:r>
        <w:rPr>
          <w:rtl/>
        </w:rPr>
        <w:t>(9).</w:t>
      </w:r>
      <w:r w:rsidR="008A74EB" w:rsidRPr="00C9040A">
        <w:rPr>
          <w:rtl/>
        </w:rPr>
        <w:t xml:space="preserve">في </w:t>
      </w:r>
      <w:r w:rsidR="008A74EB" w:rsidRPr="00993B55">
        <w:rPr>
          <w:rStyle w:val="libFootnoteBoldChar"/>
          <w:rtl/>
        </w:rPr>
        <w:t>مرآة العقول</w:t>
      </w:r>
      <w:r w:rsidR="00B866D3">
        <w:rPr>
          <w:rtl/>
        </w:rPr>
        <w:t xml:space="preserve"> : وفي بعض النسخ : «لذلك</w:t>
      </w:r>
      <w:r w:rsidR="008A74EB" w:rsidRPr="00C9040A">
        <w:rPr>
          <w:rtl/>
        </w:rPr>
        <w:t>»</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الحَمَأ : الطين الأسود ، أو المنتن منه ، والمسنون : المتغيّر المنتن. راجع : </w:t>
      </w:r>
      <w:r w:rsidR="008A74EB" w:rsidRPr="00993B55">
        <w:rPr>
          <w:rStyle w:val="libFootnoteBoldChar"/>
          <w:rtl/>
        </w:rPr>
        <w:t>الصحاح</w:t>
      </w:r>
      <w:r w:rsidR="008A74EB" w:rsidRPr="00C9040A">
        <w:rPr>
          <w:rtl/>
        </w:rPr>
        <w:t xml:space="preserve"> ، ج 1 ، ص 45 ؛ </w:t>
      </w:r>
      <w:r w:rsidR="008A74EB" w:rsidRPr="00993B55">
        <w:rPr>
          <w:rStyle w:val="libFootnoteBoldChar"/>
          <w:rtl/>
        </w:rPr>
        <w:t xml:space="preserve">لسان‌العرب </w:t>
      </w:r>
      <w:r w:rsidR="008A74EB" w:rsidRPr="00C9040A">
        <w:rPr>
          <w:rtl/>
        </w:rPr>
        <w:t xml:space="preserve">، ج 1 ، ص 61 ( حمأ ) ؛ </w:t>
      </w:r>
      <w:r w:rsidR="008A74EB" w:rsidRPr="00993B55">
        <w:rPr>
          <w:rStyle w:val="libFootnoteBoldChar"/>
          <w:rtl/>
        </w:rPr>
        <w:t>الصحاح</w:t>
      </w:r>
      <w:r w:rsidR="008A74EB" w:rsidRPr="00C9040A">
        <w:rPr>
          <w:rtl/>
        </w:rPr>
        <w:t xml:space="preserve"> ، ج 5 ، ص 2139 ( سنن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 المستضعف » : هو الذي لا يستطيع حيلة الكفر فيكفر ، ولا يهتدي سبيلاً إلى الإيمان ، كالصبيان ، ومن كان من الرجال مثل عقول الصبيان مرفوع القلم عنهم. وعن بعض الشارحين : المستضعف : من لا يعتقد الحقّ ولا </w:t>
      </w:r>
      <w:r w:rsidR="00A53BD5">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لَا يَتَحَوَّلُ مُؤْمِنٌ عَنْ إِيمَانِهِ ، وَلَا نَاصِبٌ عَنْ نَصْبِهِ ، وَلِلّهِ الْمَشِيئَةُ فِيهِمْ </w:t>
      </w:r>
      <w:r w:rsidR="006C577F" w:rsidRPr="006C577F">
        <w:rPr>
          <w:rStyle w:val="libFootnotenumChar"/>
          <w:rtl/>
        </w:rPr>
        <w:t>(1)</w:t>
      </w:r>
      <w:r w:rsidRPr="00C9040A">
        <w:rPr>
          <w:rtl/>
          <w:lang w:bidi="fa-IR"/>
        </w:rPr>
        <w:t>»</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AF405D">
        <w:rPr>
          <w:rtl/>
        </w:rPr>
        <w:t>1451</w:t>
      </w:r>
      <w:r w:rsidRPr="00261CB0">
        <w:rPr>
          <w:rStyle w:val="libBold2Char"/>
          <w:rtl/>
        </w:rPr>
        <w:t xml:space="preserve"> / 3.</w:t>
      </w:r>
      <w:r w:rsidRPr="00C9040A">
        <w:rPr>
          <w:rtl/>
          <w:lang w:bidi="fa-IR"/>
        </w:rPr>
        <w:t xml:space="preserve"> عَلِيُّ بْنُ إِبْرَاهِيمَ ، عَنْ أَبِيهِ ، عَنِ ابْنِ مَحْبُوبٍ ، عَنْ صَالِحِ بْنِ سَهْلٍ ، قَالَ :</w:t>
      </w:r>
    </w:p>
    <w:p w:rsidR="008A74EB" w:rsidRPr="00C9040A" w:rsidRDefault="008A74EB" w:rsidP="008A74EB">
      <w:pPr>
        <w:pStyle w:val="libNormal"/>
        <w:rPr>
          <w:rtl/>
          <w:lang w:bidi="fa-IR"/>
        </w:rPr>
      </w:pPr>
      <w:r w:rsidRPr="00C9040A">
        <w:rPr>
          <w:rtl/>
          <w:lang w:bidi="fa-IR"/>
        </w:rPr>
        <w:t xml:space="preserve">قُلْتُ لِأَبِي عَبْدِ اللهِ </w:t>
      </w:r>
      <w:r w:rsidRPr="0003660B">
        <w:rPr>
          <w:rStyle w:val="libAlaemChar"/>
          <w:rtl/>
        </w:rPr>
        <w:t>عليه‌السلام</w:t>
      </w:r>
      <w:r w:rsidRPr="00C9040A">
        <w:rPr>
          <w:rtl/>
          <w:lang w:bidi="fa-IR"/>
        </w:rPr>
        <w:t xml:space="preserve"> : جُعِلْتُ فِدَاكَ ، مِنْ أَيِّ شَيْ‌ءٍ خَلَقَ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طِينَةَ الْمُؤْمِنِ</w:t>
      </w:r>
      <w:r>
        <w:rPr>
          <w:rtl/>
          <w:lang w:bidi="fa-IR"/>
        </w:rPr>
        <w:t>؟</w:t>
      </w:r>
      <w:r w:rsidRPr="00C9040A">
        <w:rPr>
          <w:rtl/>
          <w:lang w:bidi="fa-IR"/>
        </w:rPr>
        <w:t xml:space="preserve"> فَقَالَ : « مِنْ طِينَةِ الْأَنْبِيَاءِ ؛ فَلَمْ تَنْجَسْ </w:t>
      </w:r>
      <w:r w:rsidR="006C577F" w:rsidRPr="006C577F">
        <w:rPr>
          <w:rStyle w:val="libFootnotenumChar"/>
          <w:rtl/>
        </w:rPr>
        <w:t>(3)</w:t>
      </w:r>
      <w:r w:rsidRPr="00C9040A">
        <w:rPr>
          <w:rtl/>
          <w:lang w:bidi="fa-IR"/>
        </w:rPr>
        <w:t xml:space="preserve"> أَبَداً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AF405D">
        <w:rPr>
          <w:rtl/>
        </w:rPr>
        <w:t>1452</w:t>
      </w:r>
      <w:r w:rsidRPr="00261CB0">
        <w:rPr>
          <w:rStyle w:val="libBold2Char"/>
          <w:rtl/>
        </w:rPr>
        <w:t xml:space="preserve"> / 4.</w:t>
      </w:r>
      <w:r w:rsidRPr="00C9040A">
        <w:rPr>
          <w:rtl/>
          <w:lang w:bidi="fa-IR"/>
        </w:rPr>
        <w:t xml:space="preserve"> مُحَمَّدُ بْنُ يَحْيى وَغَيْرُهُ ، عَنْ أَحْمَدَ بْنِ مُحَمَّدٍ وَغَيْرِهِ ، عَنْ مُحَمَّدِ بْنِ خَالِدٍ </w:t>
      </w:r>
      <w:r w:rsidR="006C577F" w:rsidRPr="006C577F">
        <w:rPr>
          <w:rStyle w:val="libFootnotenumChar"/>
          <w:rtl/>
        </w:rPr>
        <w:t>(5)</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EA2758" w:rsidP="004A4E41">
      <w:pPr>
        <w:pStyle w:val="libFootnote0"/>
        <w:rPr>
          <w:rtl/>
          <w:lang w:bidi="fa-IR"/>
        </w:rPr>
      </w:pPr>
      <w:r>
        <w:rPr>
          <w:rFonts w:hint="cs"/>
          <w:rtl/>
        </w:rPr>
        <w:t xml:space="preserve">= </w:t>
      </w:r>
      <w:r w:rsidR="008A74EB" w:rsidRPr="00C9040A">
        <w:rPr>
          <w:rtl/>
        </w:rPr>
        <w:t xml:space="preserve">يعاند أهله ، ولا يوالي أحداً من الأئمّة </w:t>
      </w:r>
      <w:r w:rsidR="00117575" w:rsidRPr="00117575">
        <w:rPr>
          <w:rStyle w:val="libFootnoteAlaemChar"/>
          <w:rtl/>
        </w:rPr>
        <w:t>عليهم‌السلام</w:t>
      </w:r>
      <w:r w:rsidR="008A74EB" w:rsidRPr="00C9040A">
        <w:rPr>
          <w:rtl/>
        </w:rPr>
        <w:t xml:space="preserve"> ولا من غيرهم. أو هو</w:t>
      </w:r>
      <w:r w:rsidR="008A74EB">
        <w:rPr>
          <w:rtl/>
        </w:rPr>
        <w:t xml:space="preserve"> </w:t>
      </w:r>
      <w:r w:rsidR="0084262C">
        <w:rPr>
          <w:rtl/>
        </w:rPr>
        <w:t>-</w:t>
      </w:r>
      <w:r w:rsidR="008A74EB">
        <w:rPr>
          <w:rtl/>
        </w:rPr>
        <w:t xml:space="preserve"> </w:t>
      </w:r>
      <w:r w:rsidR="008A74EB" w:rsidRPr="00C9040A">
        <w:rPr>
          <w:rtl/>
        </w:rPr>
        <w:t xml:space="preserve">على ما في </w:t>
      </w:r>
      <w:r w:rsidR="008A74EB" w:rsidRPr="00993B55">
        <w:rPr>
          <w:rStyle w:val="libFootnoteBoldChar"/>
          <w:rtl/>
        </w:rPr>
        <w:t>الوافي</w:t>
      </w:r>
      <w:r w:rsidR="008A74EB">
        <w:rPr>
          <w:rtl/>
        </w:rPr>
        <w:t xml:space="preserve"> </w:t>
      </w:r>
      <w:r w:rsidR="0084262C">
        <w:rPr>
          <w:rtl/>
        </w:rPr>
        <w:t>-</w:t>
      </w:r>
      <w:r w:rsidR="008A74EB">
        <w:rPr>
          <w:rtl/>
        </w:rPr>
        <w:t xml:space="preserve"> </w:t>
      </w:r>
      <w:r w:rsidR="008A74EB" w:rsidRPr="00C9040A">
        <w:rPr>
          <w:rtl/>
        </w:rPr>
        <w:t xml:space="preserve">من لا يلزم طريقة أهل الإيمان ولا طريقة أهل الكفر ولم يتقيّد بعقيدة ، لاحقّ ولا باطل ، ليس لهم نور الملكوت ولا ظلمة باطن الملك ، بل لهم قبول كلّ من الأمرين ؛ بخلاف الآخرين ؛ فإنّهما لا يتحوّلان عمّا خلقوا له. راجع : </w:t>
      </w:r>
      <w:r w:rsidR="008A74EB" w:rsidRPr="00993B55">
        <w:rPr>
          <w:rStyle w:val="libFootnoteBoldChar"/>
          <w:rtl/>
        </w:rPr>
        <w:t>مجمع البحرين</w:t>
      </w:r>
      <w:r w:rsidR="008A74EB" w:rsidRPr="00C9040A">
        <w:rPr>
          <w:rtl/>
        </w:rPr>
        <w:t xml:space="preserve"> ، ج 5 ، ص 86 ( ضعف )</w:t>
      </w:r>
      <w:r w:rsidR="008A74EB">
        <w:rPr>
          <w:rtl/>
        </w:rPr>
        <w:t>.</w:t>
      </w:r>
    </w:p>
    <w:p w:rsidR="008A74EB" w:rsidRPr="00C9040A" w:rsidRDefault="006C577F" w:rsidP="004A4E41">
      <w:pPr>
        <w:pStyle w:val="libFootnote0"/>
        <w:rPr>
          <w:rtl/>
          <w:lang w:bidi="fa-IR"/>
        </w:rPr>
      </w:pPr>
      <w:r>
        <w:rPr>
          <w:rtl/>
        </w:rPr>
        <w:t>(1).</w:t>
      </w:r>
      <w:r w:rsidR="008A74EB" w:rsidRPr="00C9040A">
        <w:rPr>
          <w:rtl/>
        </w:rPr>
        <w:t xml:space="preserve"> في « ف » : « فيهم المشيئة »</w:t>
      </w:r>
      <w:r w:rsidR="008A74EB">
        <w:rPr>
          <w:rtl/>
        </w:rPr>
        <w:t>.</w:t>
      </w:r>
      <w:r w:rsidR="008420F8">
        <w:rPr>
          <w:rtl/>
        </w:rPr>
        <w:t xml:space="preserve"> وفي البصائر : + </w:t>
      </w:r>
      <w:r w:rsidR="008A74EB" w:rsidRPr="00C9040A">
        <w:rPr>
          <w:rtl/>
        </w:rPr>
        <w:t>« جميعاً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بصائر الدرجات</w:t>
      </w:r>
      <w:r w:rsidR="008A74EB" w:rsidRPr="00C9040A">
        <w:rPr>
          <w:rtl/>
        </w:rPr>
        <w:t xml:space="preserve"> ، ص 16 ، ح 7 ، عن محمّد بن الحسين ، عن النضر بن شعيب. وفي </w:t>
      </w:r>
      <w:r w:rsidR="008A74EB" w:rsidRPr="00993B55">
        <w:rPr>
          <w:rStyle w:val="libFootnoteBoldChar"/>
          <w:rtl/>
        </w:rPr>
        <w:t>الكافي</w:t>
      </w:r>
      <w:r w:rsidR="008A74EB" w:rsidRPr="00C9040A">
        <w:rPr>
          <w:rtl/>
        </w:rPr>
        <w:t xml:space="preserve"> ، كتاب التوحيد ، باب الهداية أنّها من الله عزّوجلّ ، ضمن ح 430 ؛ وكتاب الإيمان والكفر ، باب في ترك دعاء الناس ، ضمن ح 2227 ؛ و</w:t>
      </w:r>
      <w:r w:rsidR="008A74EB" w:rsidRPr="00993B55">
        <w:rPr>
          <w:rStyle w:val="libFootnoteBoldChar"/>
          <w:rtl/>
        </w:rPr>
        <w:t xml:space="preserve">المحاسن </w:t>
      </w:r>
      <w:r w:rsidR="008A74EB" w:rsidRPr="00C9040A">
        <w:rPr>
          <w:rtl/>
        </w:rPr>
        <w:t xml:space="preserve">، ص 200 ، كتاب مصابيح الظلم ، ضمن ح 34 ، بسند آخر. </w:t>
      </w:r>
      <w:r w:rsidR="008A74EB" w:rsidRPr="00993B55">
        <w:rPr>
          <w:rStyle w:val="libFootnoteBoldChar"/>
          <w:rtl/>
        </w:rPr>
        <w:t>تحف العقول</w:t>
      </w:r>
      <w:r w:rsidR="008A74EB" w:rsidRPr="00C9040A">
        <w:rPr>
          <w:rtl/>
        </w:rPr>
        <w:t xml:space="preserve"> ، ص 312 ، ضمن وصيّته لأبي جعفر محمّد بن النعمان ، وفي الأربعة الأخيرة من قوله : « إذا أراد الله عزّوج</w:t>
      </w:r>
      <w:r w:rsidR="008420F8">
        <w:rPr>
          <w:rtl/>
        </w:rPr>
        <w:t>لّ » إلى قوله : « من المنكر إل</w:t>
      </w:r>
      <w:r w:rsidR="008420F8">
        <w:rPr>
          <w:rFonts w:hint="cs"/>
          <w:rtl/>
        </w:rPr>
        <w:t>ّ</w:t>
      </w:r>
      <w:r w:rsidR="008420F8">
        <w:rPr>
          <w:rtl/>
        </w:rPr>
        <w:t>ا</w:t>
      </w:r>
      <w:r w:rsidR="008A74EB">
        <w:rPr>
          <w:rFonts w:hint="cs"/>
          <w:rtl/>
        </w:rPr>
        <w:t xml:space="preserve"> </w:t>
      </w:r>
      <w:r w:rsidR="008A74EB" w:rsidRPr="00C9040A">
        <w:rPr>
          <w:rtl/>
        </w:rPr>
        <w:t>أنكره » مع اختلاف يسير</w:t>
      </w:r>
      <w:r w:rsidR="008420F8">
        <w:rPr>
          <w:rFonts w:hint="cs"/>
          <w:rtl/>
        </w:rPr>
        <w:t>.</w:t>
      </w:r>
      <w:r w:rsidR="008A74EB" w:rsidRPr="00993B55">
        <w:rPr>
          <w:rStyle w:val="libFootnoteBoldChar"/>
          <w:rtl/>
        </w:rPr>
        <w:t>الوافي</w:t>
      </w:r>
      <w:r w:rsidR="008A74EB" w:rsidRPr="00C9040A">
        <w:rPr>
          <w:rtl/>
        </w:rPr>
        <w:t xml:space="preserve"> ، ج 4 ، ص 27 ، ح 1644 ؛ </w:t>
      </w:r>
      <w:r w:rsidR="008A74EB" w:rsidRPr="00993B55">
        <w:rPr>
          <w:rStyle w:val="libFootnoteBoldChar"/>
          <w:rtl/>
        </w:rPr>
        <w:t>البحار</w:t>
      </w:r>
      <w:r w:rsidR="008A74EB" w:rsidRPr="00C9040A">
        <w:rPr>
          <w:rtl/>
        </w:rPr>
        <w:t xml:space="preserve"> ، ج 67 ، ص 82 ، ح 7.</w:t>
      </w:r>
    </w:p>
    <w:p w:rsidR="008A74EB" w:rsidRPr="00C9040A" w:rsidRDefault="006C577F" w:rsidP="004A4E41">
      <w:pPr>
        <w:pStyle w:val="libFootnote0"/>
        <w:rPr>
          <w:rtl/>
          <w:lang w:bidi="fa-IR"/>
        </w:rPr>
      </w:pPr>
      <w:r>
        <w:rPr>
          <w:rtl/>
        </w:rPr>
        <w:t>(3).</w:t>
      </w:r>
      <w:r w:rsidR="008A74EB" w:rsidRPr="00C9040A">
        <w:rPr>
          <w:rtl/>
        </w:rPr>
        <w:t xml:space="preserve"> في « ب » والمحاسن : « فلم تنجّس » بحذف إحدى التاءين. وفي « ص ، </w:t>
      </w:r>
      <w:r w:rsidR="008A74EB">
        <w:rPr>
          <w:rtl/>
        </w:rPr>
        <w:t>ه</w:t>
      </w:r>
      <w:r w:rsidR="008A74EB" w:rsidRPr="00C9040A">
        <w:rPr>
          <w:rtl/>
        </w:rPr>
        <w:t xml:space="preserve"> ، بس » والوافي ومرآة العقول والبحار والمحاسن : « فلن تنجس »</w:t>
      </w:r>
      <w:r w:rsidR="008A74EB">
        <w:rPr>
          <w:rtl/>
        </w:rPr>
        <w:t>.</w:t>
      </w:r>
      <w:r w:rsidR="008A74EB" w:rsidRPr="00C9040A">
        <w:rPr>
          <w:rtl/>
        </w:rPr>
        <w:t xml:space="preserve"> والمراد بالنجاسة المنفيّة : نجاسة الكفر والشرك ، كما في </w:t>
      </w:r>
      <w:r w:rsidR="008A74EB" w:rsidRPr="00993B55">
        <w:rPr>
          <w:rStyle w:val="libFootnoteBoldChar"/>
          <w:rtl/>
        </w:rPr>
        <w:t>المرآة</w:t>
      </w:r>
      <w:r w:rsidR="008A74EB" w:rsidRPr="00C9040A">
        <w:rPr>
          <w:rtl/>
        </w:rPr>
        <w:t xml:space="preserve"> ؛ أو التعلّق بالدنيا تعلّق ركون وإخلاد يذهله عن الآخرة ، كما في الوافي.</w:t>
      </w:r>
    </w:p>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المحاسن</w:t>
      </w:r>
      <w:r w:rsidR="008A74EB" w:rsidRPr="00C9040A">
        <w:rPr>
          <w:rtl/>
        </w:rPr>
        <w:t xml:space="preserve"> ، ص 133 ، كتاب الصفوة ، ح 7 ، بسنده عن صالح بن سهل الهمداني. </w:t>
      </w:r>
      <w:r w:rsidR="008A74EB" w:rsidRPr="00993B55">
        <w:rPr>
          <w:rStyle w:val="libFootnoteBoldChar"/>
          <w:rtl/>
        </w:rPr>
        <w:t>المؤمن</w:t>
      </w:r>
      <w:r w:rsidR="008A74EB" w:rsidRPr="00C9040A">
        <w:rPr>
          <w:rtl/>
        </w:rPr>
        <w:t xml:space="preserve"> ، ص 35 ، ح 74 ، عن أبي عبدالله </w:t>
      </w:r>
      <w:r w:rsidR="00117575" w:rsidRPr="00117575">
        <w:rPr>
          <w:rStyle w:val="libFootnoteAlaemChar"/>
          <w:rtl/>
        </w:rPr>
        <w:t xml:space="preserve">عليه‌السلام </w:t>
      </w:r>
      <w:r w:rsidR="008A74EB" w:rsidRPr="00C9040A">
        <w:rPr>
          <w:rtl/>
        </w:rPr>
        <w:t xml:space="preserve"> ؛ </w:t>
      </w:r>
      <w:r w:rsidR="008A74EB" w:rsidRPr="00993B55">
        <w:rPr>
          <w:rStyle w:val="libFootnoteBoldChar"/>
          <w:rtl/>
        </w:rPr>
        <w:t>الاختصاص</w:t>
      </w:r>
      <w:r w:rsidR="008A74EB" w:rsidRPr="00C9040A">
        <w:rPr>
          <w:rtl/>
        </w:rPr>
        <w:t xml:space="preserve"> ، ص 25 ، مرسلاً عن محمّد بن حمران ، عن أبي عبد الله </w:t>
      </w:r>
      <w:r w:rsidR="00117575" w:rsidRPr="00117575">
        <w:rPr>
          <w:rStyle w:val="libFootnoteAlaemChar"/>
          <w:rtl/>
        </w:rPr>
        <w:t xml:space="preserve">عليه‌السلام </w:t>
      </w:r>
      <w:r w:rsidR="008A74EB" w:rsidRPr="00C9040A">
        <w:rPr>
          <w:rtl/>
        </w:rPr>
        <w:t xml:space="preserve"> ، مع زيادة في أوّله ، وفيهما مع اختلاف يسير</w:t>
      </w:r>
      <w:r w:rsidR="008420F8">
        <w:rPr>
          <w:rFonts w:hint="cs"/>
          <w:rtl/>
        </w:rPr>
        <w:t>.</w:t>
      </w:r>
      <w:r w:rsidR="008A74EB" w:rsidRPr="00993B55">
        <w:rPr>
          <w:rStyle w:val="libFootnoteBoldChar"/>
          <w:rtl/>
        </w:rPr>
        <w:t>الوافي</w:t>
      </w:r>
      <w:r w:rsidR="008A74EB" w:rsidRPr="00C9040A">
        <w:rPr>
          <w:rtl/>
        </w:rPr>
        <w:t xml:space="preserve"> ، ج 4 ، ص 28 ، ح 1645 ؛ </w:t>
      </w:r>
      <w:r w:rsidR="008A74EB" w:rsidRPr="00993B55">
        <w:rPr>
          <w:rStyle w:val="libFootnoteBoldChar"/>
          <w:rtl/>
        </w:rPr>
        <w:t>البحار</w:t>
      </w:r>
      <w:r w:rsidR="008A74EB" w:rsidRPr="00C9040A">
        <w:rPr>
          <w:rtl/>
        </w:rPr>
        <w:t xml:space="preserve"> ، ج 67 ، ص 93 ، ح 12.</w:t>
      </w:r>
    </w:p>
    <w:p w:rsidR="008A74EB" w:rsidRPr="00C9040A" w:rsidRDefault="006C577F" w:rsidP="004A4E41">
      <w:pPr>
        <w:pStyle w:val="libFootnote0"/>
        <w:rPr>
          <w:rtl/>
          <w:lang w:bidi="fa-IR"/>
        </w:rPr>
      </w:pPr>
      <w:r>
        <w:rPr>
          <w:rtl/>
        </w:rPr>
        <w:t>(5).</w:t>
      </w:r>
      <w:r w:rsidR="008A74EB" w:rsidRPr="00C9040A">
        <w:rPr>
          <w:rtl/>
        </w:rPr>
        <w:t xml:space="preserve"> هكذا في « </w:t>
      </w:r>
      <w:r w:rsidR="008A74EB">
        <w:rPr>
          <w:rtl/>
        </w:rPr>
        <w:t>ه</w:t>
      </w:r>
      <w:r w:rsidR="008A74EB" w:rsidRPr="00C9040A">
        <w:rPr>
          <w:rtl/>
        </w:rPr>
        <w:t xml:space="preserve"> »</w:t>
      </w:r>
      <w:r w:rsidR="008A74EB">
        <w:rPr>
          <w:rtl/>
        </w:rPr>
        <w:t>.</w:t>
      </w:r>
      <w:r w:rsidR="008A74EB" w:rsidRPr="00C9040A">
        <w:rPr>
          <w:rtl/>
        </w:rPr>
        <w:t xml:space="preserve"> وفي سائر النسخ والمطبوع والبحار : « محمّد بن خلف »</w:t>
      </w:r>
      <w:r w:rsidR="008A74EB">
        <w:rPr>
          <w:rtl/>
        </w:rPr>
        <w:t>.</w:t>
      </w:r>
      <w:r w:rsidR="008A74EB" w:rsidRPr="00C9040A">
        <w:rPr>
          <w:rtl/>
        </w:rPr>
        <w:t xml:space="preserve"> والصواب ما أثبتناه ؛ فقد تقدّم الخبرفي </w:t>
      </w:r>
      <w:r w:rsidR="008A74EB" w:rsidRPr="00993B55">
        <w:rPr>
          <w:rStyle w:val="libFootnoteBoldChar"/>
          <w:rtl/>
        </w:rPr>
        <w:t>الكافي</w:t>
      </w:r>
      <w:r w:rsidR="008A74EB" w:rsidRPr="00C9040A">
        <w:rPr>
          <w:rtl/>
        </w:rPr>
        <w:t xml:space="preserve"> ، ح 1017 ، عن عدّة من أصحابنا ، عن أحمد بن محمّد ، عن محمّد بن خالد ، عن أبي نهشل. وروى أحمد بن محمّد بن خالد البرقي أيضاً صدر الخبر في </w:t>
      </w:r>
      <w:r w:rsidR="008A74EB" w:rsidRPr="00993B55">
        <w:rPr>
          <w:rStyle w:val="libFootnoteBoldChar"/>
          <w:rtl/>
        </w:rPr>
        <w:t>المحاسن</w:t>
      </w:r>
      <w:r w:rsidR="008A74EB" w:rsidRPr="00C9040A">
        <w:rPr>
          <w:rtl/>
        </w:rPr>
        <w:t xml:space="preserve"> ، ص 132 ، ح 5 ، عن أبيه ، عن أبي نهشل ، عن محمّد بن إسماعيل ، عن أبي حمزة الثمالي ، عن أبي عبد الله </w:t>
      </w:r>
      <w:r w:rsidR="004A4E41" w:rsidRPr="00B866D3">
        <w:rPr>
          <w:rStyle w:val="libFootnoteAlaemChar"/>
          <w:rtl/>
        </w:rPr>
        <w:t>صلى‌الله‌عليه‌وآله</w:t>
      </w:r>
      <w:r w:rsidR="008A74EB">
        <w:rPr>
          <w:rtl/>
        </w:rPr>
        <w:t xml:space="preserve"> </w:t>
      </w:r>
      <w:r w:rsidR="0084262C">
        <w:rPr>
          <w:rtl/>
        </w:rPr>
        <w:t>-</w:t>
      </w:r>
      <w:r w:rsidR="008A74EB">
        <w:rPr>
          <w:rtl/>
        </w:rPr>
        <w:t xml:space="preserve"> </w:t>
      </w:r>
      <w:r w:rsidR="008A74EB" w:rsidRPr="00C9040A">
        <w:rPr>
          <w:rtl/>
        </w:rPr>
        <w:t xml:space="preserve">والظاهر من </w:t>
      </w:r>
      <w:r w:rsidR="008A74EB" w:rsidRPr="00993B55">
        <w:rPr>
          <w:rStyle w:val="libFootnoteBoldChar"/>
          <w:rtl/>
        </w:rPr>
        <w:t>البحار</w:t>
      </w:r>
      <w:r w:rsidR="008A74EB" w:rsidRPr="00C9040A">
        <w:rPr>
          <w:rtl/>
        </w:rPr>
        <w:t xml:space="preserve"> ، ج 5 ، ص 235 ، ذيل الحديث 11 ، أنّ أبا حمزة يروي الخبر عن أبي جعفر </w:t>
      </w:r>
      <w:r w:rsidR="00117575" w:rsidRPr="00117575">
        <w:rPr>
          <w:rStyle w:val="libFootnoteAlaemChar"/>
          <w:rtl/>
        </w:rPr>
        <w:t xml:space="preserve">عليه‌السلام </w:t>
      </w:r>
      <w:r w:rsidR="008A74EB" w:rsidRPr="00C9040A">
        <w:rPr>
          <w:rtl/>
        </w:rPr>
        <w:t xml:space="preserve"> ، فلاحظ</w:t>
      </w:r>
      <w:r w:rsidR="008A74EB">
        <w:rPr>
          <w:rtl/>
        </w:rPr>
        <w:t xml:space="preserve"> </w:t>
      </w:r>
      <w:r w:rsidR="0084262C">
        <w:rPr>
          <w:rtl/>
        </w:rPr>
        <w:t>-</w:t>
      </w:r>
      <w:r w:rsidR="008A74EB">
        <w:rPr>
          <w:rtl/>
        </w:rPr>
        <w:t xml:space="preserve"> </w:t>
      </w:r>
      <w:r w:rsidR="008A74EB" w:rsidRPr="00C9040A">
        <w:rPr>
          <w:rtl/>
        </w:rPr>
        <w:t xml:space="preserve">وورد الخبر في </w:t>
      </w:r>
      <w:r w:rsidR="008A74EB" w:rsidRPr="00993B55">
        <w:rPr>
          <w:rStyle w:val="libFootnoteBoldChar"/>
          <w:rtl/>
        </w:rPr>
        <w:t>تأويل الآيات</w:t>
      </w:r>
      <w:r w:rsidR="008A74EB" w:rsidRPr="00C9040A">
        <w:rPr>
          <w:rtl/>
        </w:rPr>
        <w:t xml:space="preserve"> ، ص 748 ، نقلاً ممّا نحن فيه ، وفيه أيضاً : « محمّد بن خالد »</w:t>
      </w:r>
      <w:r w:rsidR="008A74EB">
        <w:rPr>
          <w:rtl/>
        </w:rPr>
        <w:t>.</w:t>
      </w:r>
      <w:r w:rsidR="008420F8">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عَنْ أَبِي نَهْشَلٍ ، قَالَ : حَدَّثَنِي مُحَمَّدُ بْنُ إِسْمَاعِيلَ ، عَنْ أَبِي حَمْزَةَ الثُّمَالِيِّ ، قَالَ :</w:t>
      </w:r>
    </w:p>
    <w:p w:rsidR="008A74EB" w:rsidRPr="00C9040A" w:rsidRDefault="008A74EB" w:rsidP="008A74EB">
      <w:pPr>
        <w:pStyle w:val="libNormal"/>
        <w:rPr>
          <w:rtl/>
          <w:lang w:bidi="fa-IR"/>
        </w:rPr>
      </w:pPr>
      <w:r w:rsidRPr="00C9040A">
        <w:rPr>
          <w:rtl/>
          <w:lang w:bidi="fa-IR"/>
        </w:rPr>
        <w:t xml:space="preserve">سَمِعْتُ أَبَا جَعْفَرٍ </w:t>
      </w:r>
      <w:r w:rsidRPr="0003660B">
        <w:rPr>
          <w:rStyle w:val="libAlaemChar"/>
          <w:rtl/>
        </w:rPr>
        <w:t>عليه‌السلام</w:t>
      </w:r>
      <w:r w:rsidRPr="00C9040A">
        <w:rPr>
          <w:rtl/>
          <w:lang w:bidi="fa-IR"/>
        </w:rPr>
        <w:t xml:space="preserve"> يَقُولُ : « إِنَّ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خَلَقَنَا مِنْ أَعْلى عِلِّيِّينَ ، وَخَلَقَ قُلُوبَ شِيعَتِنَا مِمَّا خَلَقَنَا مِنْهُ </w:t>
      </w:r>
      <w:r w:rsidR="006C577F" w:rsidRPr="006C577F">
        <w:rPr>
          <w:rStyle w:val="libFootnotenumChar"/>
          <w:rtl/>
        </w:rPr>
        <w:t>(1)</w:t>
      </w:r>
      <w:r w:rsidRPr="00C9040A">
        <w:rPr>
          <w:rtl/>
          <w:lang w:bidi="fa-IR"/>
        </w:rPr>
        <w:t xml:space="preserve">، وَخَلَقَ أَبْدَانَهُمْ مِنْ دُونِ ذلِكَ ، وَقُلُوبُهُمْ تَهْوِي إِلَيْنَا ؛ لِأَنَّهَا خُلِقَتْ مِمَّا خُلِقْنَا </w:t>
      </w:r>
      <w:r w:rsidR="006C577F" w:rsidRPr="006C577F">
        <w:rPr>
          <w:rStyle w:val="libFootnotenumChar"/>
          <w:rtl/>
        </w:rPr>
        <w:t>(2)</w:t>
      </w:r>
      <w:r w:rsidRPr="00C9040A">
        <w:rPr>
          <w:rtl/>
          <w:lang w:bidi="fa-IR"/>
        </w:rPr>
        <w:t xml:space="preserve"> » ثُمَّ تَلَا هذِهِ الْآيَةَ : </w:t>
      </w:r>
      <w:r w:rsidRPr="0003660B">
        <w:rPr>
          <w:rStyle w:val="libAlaemChar"/>
          <w:rtl/>
        </w:rPr>
        <w:t>(</w:t>
      </w:r>
      <w:r w:rsidRPr="006A2246">
        <w:rPr>
          <w:rStyle w:val="libAieChar"/>
          <w:rtl/>
        </w:rPr>
        <w:t xml:space="preserve"> كَلاّ إِنَّ كِتابَ الْأَبْرارِ لَفِي عِلِّيِّينَ </w:t>
      </w:r>
      <w:r w:rsidR="00654275">
        <w:rPr>
          <w:rStyle w:val="libAieChar"/>
          <w:rFonts w:hint="cs"/>
          <w:rtl/>
        </w:rPr>
        <w:t xml:space="preserve">* </w:t>
      </w:r>
      <w:r w:rsidRPr="006A2246">
        <w:rPr>
          <w:rStyle w:val="libAieChar"/>
          <w:rtl/>
        </w:rPr>
        <w:t xml:space="preserve">وَما أَدْراكَ ما عِلِّيُّونَ </w:t>
      </w:r>
      <w:r w:rsidR="00654275">
        <w:rPr>
          <w:rStyle w:val="libAieChar"/>
          <w:rFonts w:hint="cs"/>
          <w:rtl/>
        </w:rPr>
        <w:t xml:space="preserve">* </w:t>
      </w:r>
      <w:r w:rsidRPr="006A2246">
        <w:rPr>
          <w:rStyle w:val="libAieChar"/>
          <w:rtl/>
        </w:rPr>
        <w:t xml:space="preserve">كِتابٌ مَرْقُومٌ </w:t>
      </w:r>
      <w:r w:rsidR="00654275">
        <w:rPr>
          <w:rStyle w:val="libAieChar"/>
          <w:rFonts w:hint="cs"/>
          <w:rtl/>
        </w:rPr>
        <w:t xml:space="preserve">* </w:t>
      </w:r>
      <w:r w:rsidRPr="006A2246">
        <w:rPr>
          <w:rStyle w:val="libAieChar"/>
          <w:rtl/>
        </w:rPr>
        <w:t xml:space="preserve">يَشْهَدُهُ الْمُقَرَّبُونَ </w:t>
      </w:r>
      <w:r w:rsidRPr="0003660B">
        <w:rPr>
          <w:rStyle w:val="libAlaemChar"/>
          <w:rtl/>
        </w:rPr>
        <w:t>)</w:t>
      </w:r>
      <w:r w:rsidRPr="00C9040A">
        <w:rPr>
          <w:rtl/>
          <w:lang w:bidi="fa-IR"/>
        </w:rPr>
        <w:t xml:space="preserve"> </w:t>
      </w:r>
      <w:r w:rsidR="006C577F" w:rsidRPr="006C577F">
        <w:rPr>
          <w:rStyle w:val="libFootnotenumChar"/>
          <w:rtl/>
        </w:rPr>
        <w:t>(3)</w:t>
      </w:r>
      <w:r>
        <w:rPr>
          <w:rtl/>
          <w:lang w:bidi="fa-IR"/>
        </w:rPr>
        <w:t>.</w:t>
      </w:r>
    </w:p>
    <w:p w:rsidR="008A74EB" w:rsidRPr="00C9040A" w:rsidRDefault="008A74EB" w:rsidP="008A74EB">
      <w:pPr>
        <w:pStyle w:val="libNormal"/>
        <w:rPr>
          <w:rtl/>
          <w:lang w:bidi="fa-IR"/>
        </w:rPr>
      </w:pPr>
      <w:r w:rsidRPr="00C9040A">
        <w:rPr>
          <w:rtl/>
          <w:lang w:bidi="fa-IR"/>
        </w:rPr>
        <w:t xml:space="preserve">« وَخَلَقَ عَدُوَّنَا مِنْ سِجِّينٍ ، وَخَلَقَ قُلُوبَ شِيعَتِهِمْ مِمَّا خَلَقَهُمْ مِنْهُ ، وَأَبْدَانَهُمْ مِنْ دُونِ ذلِكَ ؛ فَقُلُوبُهُمْ تَهْوِي إِلَيْهِمْ ؛ لِأَنَّهَا خُلِقَتْ مِمَّا خُلِقُوا مِنْهُ » ثُمَّ تَلَا هذِهِ الْآيَةَ : </w:t>
      </w:r>
      <w:r w:rsidRPr="0003660B">
        <w:rPr>
          <w:rStyle w:val="libAlaemChar"/>
          <w:rtl/>
        </w:rPr>
        <w:t>(</w:t>
      </w:r>
      <w:r w:rsidRPr="006A2246">
        <w:rPr>
          <w:rStyle w:val="libAieChar"/>
          <w:rtl/>
        </w:rPr>
        <w:t xml:space="preserve"> كَلاّ إِنَّ كِتابَ الفُجّارِ لَفِي سِجِّينٍ </w:t>
      </w:r>
      <w:r w:rsidR="00C6652F">
        <w:rPr>
          <w:rStyle w:val="libAieChar"/>
          <w:rFonts w:hint="cs"/>
          <w:rtl/>
        </w:rPr>
        <w:t xml:space="preserve">* </w:t>
      </w:r>
      <w:r w:rsidRPr="006A2246">
        <w:rPr>
          <w:rStyle w:val="libAieChar"/>
          <w:rtl/>
        </w:rPr>
        <w:t xml:space="preserve">وَما أَدْراكَ ما سِجِّينٌ </w:t>
      </w:r>
      <w:r w:rsidR="00C6652F">
        <w:rPr>
          <w:rStyle w:val="libAieChar"/>
          <w:rFonts w:hint="cs"/>
          <w:rtl/>
        </w:rPr>
        <w:t xml:space="preserve">* </w:t>
      </w:r>
      <w:r w:rsidRPr="006A2246">
        <w:rPr>
          <w:rStyle w:val="libAieChar"/>
          <w:rtl/>
        </w:rPr>
        <w:t xml:space="preserve">كِتابٌ مَرْقُومٌ </w:t>
      </w:r>
      <w:r w:rsidR="00C6652F">
        <w:rPr>
          <w:rStyle w:val="libAieChar"/>
          <w:rFonts w:hint="cs"/>
          <w:rtl/>
        </w:rPr>
        <w:t xml:space="preserve">* </w:t>
      </w:r>
      <w:r w:rsidRPr="006A2246">
        <w:rPr>
          <w:rStyle w:val="libAieChar"/>
          <w:rtl/>
        </w:rPr>
        <w:t xml:space="preserve">وَيْلٌ يَوْمَئِذٍ لِلْمُكَذِّبِينَ </w:t>
      </w:r>
      <w:r w:rsidRPr="0003660B">
        <w:rPr>
          <w:rStyle w:val="libAlaemChar"/>
          <w:rtl/>
        </w:rPr>
        <w:t>)</w:t>
      </w:r>
      <w:r w:rsidRPr="00C9040A">
        <w:rPr>
          <w:rtl/>
          <w:lang w:bidi="fa-IR"/>
        </w:rPr>
        <w:t xml:space="preserve"> </w:t>
      </w:r>
      <w:r w:rsidR="006C577F" w:rsidRPr="006C577F">
        <w:rPr>
          <w:rStyle w:val="libFootnotenumChar"/>
          <w:rtl/>
        </w:rPr>
        <w:t>(4)</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C6652F" w:rsidP="004A4E41">
      <w:pPr>
        <w:pStyle w:val="libFootnote0"/>
        <w:rPr>
          <w:rtl/>
          <w:lang w:bidi="fa-IR"/>
        </w:rPr>
      </w:pPr>
      <w:r w:rsidRPr="00323A39">
        <w:rPr>
          <w:rFonts w:hint="cs"/>
          <w:rtl/>
        </w:rPr>
        <w:t xml:space="preserve">= </w:t>
      </w:r>
      <w:r w:rsidR="008A74EB" w:rsidRPr="00323A39">
        <w:rPr>
          <w:rtl/>
        </w:rPr>
        <w:t xml:space="preserve">هذا ، وقد وردت رواية محمّد بن خالد المراد به البرقي عن أبي نهشل في </w:t>
      </w:r>
      <w:r w:rsidR="008A74EB" w:rsidRPr="00993B55">
        <w:rPr>
          <w:rStyle w:val="libFootnoteBoldChar"/>
          <w:rtl/>
        </w:rPr>
        <w:t>الكافي</w:t>
      </w:r>
      <w:r w:rsidR="008A74EB" w:rsidRPr="00323A39">
        <w:rPr>
          <w:rtl/>
        </w:rPr>
        <w:t xml:space="preserve"> ، ح 2667 و 3709 و 6069.</w:t>
      </w:r>
    </w:p>
    <w:p w:rsidR="008A74EB" w:rsidRPr="004A4E41" w:rsidRDefault="008A74EB" w:rsidP="004A4E41">
      <w:pPr>
        <w:pStyle w:val="libFootnote0"/>
        <w:rPr>
          <w:rStyle w:val="libFootnote0Char"/>
          <w:rtl/>
        </w:rPr>
      </w:pPr>
      <w:r w:rsidRPr="0082575F">
        <w:rPr>
          <w:rtl/>
        </w:rPr>
        <w:t>ثمّ إنّه لا يخفى وجه تصحيف « خالد »</w:t>
      </w:r>
      <w:r>
        <w:rPr>
          <w:rtl/>
        </w:rPr>
        <w:t xml:space="preserve"> ب</w:t>
      </w:r>
      <w:r w:rsidR="00C6652F">
        <w:rPr>
          <w:rFonts w:hint="cs"/>
          <w:rtl/>
        </w:rPr>
        <w:t>ـ</w:t>
      </w:r>
      <w:r>
        <w:rPr>
          <w:rtl/>
        </w:rPr>
        <w:t xml:space="preserve"> «</w:t>
      </w:r>
      <w:r w:rsidRPr="0082575F">
        <w:rPr>
          <w:rtl/>
        </w:rPr>
        <w:t xml:space="preserve"> خلف » على العارف بأساليب الخطوط القديمة ؛ فقد كان يُكتَبُ « خالد » في بعض تلك الخطوط من دون « الألف » فيقع في معرض التصحيف</w:t>
      </w:r>
      <w:r>
        <w:rPr>
          <w:rtl/>
        </w:rPr>
        <w:t xml:space="preserve"> ب</w:t>
      </w:r>
      <w:r w:rsidR="00C6652F">
        <w:rPr>
          <w:rFonts w:hint="cs"/>
          <w:rtl/>
        </w:rPr>
        <w:t>ـ</w:t>
      </w:r>
      <w:r>
        <w:rPr>
          <w:rtl/>
        </w:rPr>
        <w:t xml:space="preserve"> «</w:t>
      </w:r>
      <w:r w:rsidRPr="0082575F">
        <w:rPr>
          <w:rtl/>
        </w:rPr>
        <w:t xml:space="preserve"> خلف »</w:t>
      </w:r>
      <w:r>
        <w:rPr>
          <w:rtl/>
        </w:rPr>
        <w:t>.</w:t>
      </w:r>
    </w:p>
    <w:tbl>
      <w:tblPr>
        <w:tblStyle w:val="TableGrid"/>
        <w:bidiVisual/>
        <w:tblW w:w="0" w:type="auto"/>
        <w:tblLook w:val="04A0" w:firstRow="1" w:lastRow="0" w:firstColumn="1" w:lastColumn="0" w:noHBand="0" w:noVBand="1"/>
      </w:tblPr>
      <w:tblGrid>
        <w:gridCol w:w="4006"/>
        <w:gridCol w:w="4006"/>
      </w:tblGrid>
      <w:tr w:rsidR="00C6652F" w:rsidTr="00C6652F">
        <w:tc>
          <w:tcPr>
            <w:tcW w:w="4006" w:type="dxa"/>
          </w:tcPr>
          <w:p w:rsidR="00C6652F" w:rsidRDefault="006C577F" w:rsidP="004A4E41">
            <w:pPr>
              <w:pStyle w:val="libFootnote0"/>
              <w:rPr>
                <w:rtl/>
              </w:rPr>
            </w:pPr>
            <w:r>
              <w:rPr>
                <w:rtl/>
              </w:rPr>
              <w:t>(1).</w:t>
            </w:r>
            <w:r w:rsidR="00C6652F" w:rsidRPr="00C9040A">
              <w:rPr>
                <w:rtl/>
              </w:rPr>
              <w:t xml:space="preserve"> في الكافي ، ح 1017 </w:t>
            </w:r>
            <w:r w:rsidR="00C6652F">
              <w:rPr>
                <w:rtl/>
              </w:rPr>
              <w:t>: -</w:t>
            </w:r>
            <w:r w:rsidR="00C6652F" w:rsidRPr="00C9040A">
              <w:rPr>
                <w:rtl/>
              </w:rPr>
              <w:t xml:space="preserve"> « منه »</w:t>
            </w:r>
            <w:r w:rsidR="00C6652F">
              <w:rPr>
                <w:rtl/>
              </w:rPr>
              <w:t>.</w:t>
            </w:r>
          </w:p>
        </w:tc>
        <w:tc>
          <w:tcPr>
            <w:tcW w:w="4006" w:type="dxa"/>
          </w:tcPr>
          <w:p w:rsidR="00C6652F" w:rsidRDefault="006C577F" w:rsidP="004A4E41">
            <w:pPr>
              <w:pStyle w:val="libFootnote0"/>
              <w:rPr>
                <w:rtl/>
              </w:rPr>
            </w:pPr>
            <w:r>
              <w:rPr>
                <w:rtl/>
              </w:rPr>
              <w:t>(2).</w:t>
            </w:r>
            <w:r w:rsidR="003A0C25">
              <w:rPr>
                <w:rtl/>
              </w:rPr>
              <w:t xml:space="preserve"> </w:t>
            </w:r>
            <w:r w:rsidR="003A0C25" w:rsidRPr="00C9040A">
              <w:rPr>
                <w:rtl/>
              </w:rPr>
              <w:t>هكذا في النس</w:t>
            </w:r>
            <w:r w:rsidR="003A0C25">
              <w:rPr>
                <w:rtl/>
              </w:rPr>
              <w:t>خ التي قوبلت. وفي المطبوع :+«منه</w:t>
            </w:r>
            <w:r w:rsidR="003A0C25" w:rsidRPr="00C9040A">
              <w:rPr>
                <w:rtl/>
              </w:rPr>
              <w:t>»</w:t>
            </w:r>
            <w:r w:rsidR="003A0C25">
              <w:rPr>
                <w:rtl/>
              </w:rPr>
              <w:t>.</w:t>
            </w:r>
          </w:p>
        </w:tc>
      </w:tr>
    </w:tbl>
    <w:p w:rsidR="008A74EB" w:rsidRPr="00C9040A" w:rsidRDefault="006C577F" w:rsidP="004A4E41">
      <w:pPr>
        <w:pStyle w:val="libFootnote0"/>
        <w:rPr>
          <w:rtl/>
          <w:lang w:bidi="fa-IR"/>
        </w:rPr>
      </w:pPr>
      <w:r>
        <w:rPr>
          <w:rtl/>
        </w:rPr>
        <w:t>(3).</w:t>
      </w:r>
      <w:r w:rsidR="008A74EB" w:rsidRPr="00C9040A">
        <w:rPr>
          <w:rtl/>
        </w:rPr>
        <w:t xml:space="preserve"> المطفّفين (83) : 18</w:t>
      </w:r>
      <w:r w:rsidR="008A74EB">
        <w:rPr>
          <w:rtl/>
        </w:rPr>
        <w:t xml:space="preserve"> </w:t>
      </w:r>
      <w:r w:rsidR="0084262C">
        <w:rPr>
          <w:rtl/>
        </w:rPr>
        <w:t>-</w:t>
      </w:r>
      <w:r w:rsidR="008A74EB">
        <w:rPr>
          <w:rtl/>
        </w:rPr>
        <w:t xml:space="preserve"> </w:t>
      </w:r>
      <w:r w:rsidR="008A74EB" w:rsidRPr="00C9040A">
        <w:rPr>
          <w:rtl/>
        </w:rPr>
        <w:t>21.</w:t>
      </w:r>
    </w:p>
    <w:p w:rsidR="008A74EB" w:rsidRPr="00C9040A" w:rsidRDefault="006C577F" w:rsidP="004A4E41">
      <w:pPr>
        <w:pStyle w:val="libFootnote0"/>
        <w:rPr>
          <w:rtl/>
          <w:lang w:bidi="fa-IR"/>
        </w:rPr>
      </w:pPr>
      <w:r>
        <w:rPr>
          <w:rtl/>
        </w:rPr>
        <w:t>(4).</w:t>
      </w:r>
      <w:r w:rsidR="008A74EB" w:rsidRPr="00C9040A">
        <w:rPr>
          <w:rtl/>
        </w:rPr>
        <w:t xml:space="preserve"> المطفّفين (83) : 7</w:t>
      </w:r>
      <w:r w:rsidR="008A74EB">
        <w:rPr>
          <w:rtl/>
        </w:rPr>
        <w:t xml:space="preserve"> </w:t>
      </w:r>
      <w:r w:rsidR="0084262C">
        <w:rPr>
          <w:rtl/>
        </w:rPr>
        <w:t>-</w:t>
      </w:r>
      <w:r w:rsidR="008A74EB">
        <w:rPr>
          <w:rtl/>
        </w:rPr>
        <w:t xml:space="preserve"> </w:t>
      </w:r>
      <w:r w:rsidR="008A74EB" w:rsidRPr="00C9040A">
        <w:rPr>
          <w:rtl/>
        </w:rPr>
        <w:t xml:space="preserve">10. وفي « </w:t>
      </w:r>
      <w:r w:rsidR="008A74EB">
        <w:rPr>
          <w:rtl/>
        </w:rPr>
        <w:t>ه</w:t>
      </w:r>
      <w:r w:rsidR="008A74EB" w:rsidRPr="00C9040A">
        <w:rPr>
          <w:rtl/>
        </w:rPr>
        <w:t xml:space="preserve"> » والكافي ، ح 1017 والبصائر </w:t>
      </w:r>
      <w:r w:rsidR="008A74EB">
        <w:rPr>
          <w:rtl/>
        </w:rPr>
        <w:t xml:space="preserve">: </w:t>
      </w:r>
      <w:r w:rsidR="0084262C">
        <w:rPr>
          <w:rtl/>
        </w:rPr>
        <w:t>-</w:t>
      </w:r>
      <w:r w:rsidR="008A74EB" w:rsidRPr="00C9040A">
        <w:rPr>
          <w:rtl/>
        </w:rPr>
        <w:t xml:space="preserve"> </w:t>
      </w:r>
      <w:r w:rsidR="008A74EB" w:rsidRPr="00B866D3">
        <w:rPr>
          <w:rStyle w:val="libFootnoteAlaemChar"/>
          <w:rtl/>
        </w:rPr>
        <w:t>(</w:t>
      </w:r>
      <w:r w:rsidR="008A74EB" w:rsidRPr="00883DD5">
        <w:rPr>
          <w:rStyle w:val="libFootnoteAieChar"/>
          <w:rFonts w:hint="cs"/>
          <w:rtl/>
        </w:rPr>
        <w:t xml:space="preserve"> </w:t>
      </w:r>
      <w:r w:rsidR="008A74EB" w:rsidRPr="00883DD5">
        <w:rPr>
          <w:rStyle w:val="libFootnoteAieChar"/>
          <w:rtl/>
        </w:rPr>
        <w:t>وَيْلٌ يَوْمَئِذٍ لِلْمُكَذِّبِينَ</w:t>
      </w:r>
      <w:r w:rsidR="008A74EB" w:rsidRPr="00883DD5">
        <w:rPr>
          <w:rStyle w:val="libFootnoteAieChar"/>
          <w:rFonts w:hint="cs"/>
          <w:rtl/>
        </w:rPr>
        <w:t xml:space="preserve"> </w:t>
      </w:r>
      <w:r w:rsidR="008A74EB" w:rsidRPr="00B866D3">
        <w:rPr>
          <w:rStyle w:val="libFootnoteAlaemChar"/>
          <w:rtl/>
        </w:rPr>
        <w:t>)</w:t>
      </w:r>
      <w:r w:rsidR="008A74EB" w:rsidRPr="00C9040A">
        <w:rPr>
          <w:rtl/>
        </w:rPr>
        <w:t>.</w:t>
      </w:r>
    </w:p>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الكافي</w:t>
      </w:r>
      <w:r w:rsidR="008A74EB" w:rsidRPr="00C9040A">
        <w:rPr>
          <w:rtl/>
        </w:rPr>
        <w:t xml:space="preserve"> ، كتاب الحجّة ، باب خلق أبدان الأئمّة وأرواحهم وقلوبهم </w:t>
      </w:r>
      <w:r w:rsidR="00117575" w:rsidRPr="00117575">
        <w:rPr>
          <w:rStyle w:val="libFootnoteAlaemChar"/>
          <w:rtl/>
        </w:rPr>
        <w:t>عليهم‌السلام</w:t>
      </w:r>
      <w:r w:rsidR="008A74EB" w:rsidRPr="00C9040A">
        <w:rPr>
          <w:rtl/>
        </w:rPr>
        <w:t xml:space="preserve"> ، ح 1017 ، عن عدّة من أصحابنا ، عن أحمد بن محمّد ، عن محمّد بن خالد ، عن أبي نهشل. </w:t>
      </w:r>
      <w:r w:rsidR="008A74EB" w:rsidRPr="00993B55">
        <w:rPr>
          <w:rStyle w:val="libFootnoteBoldChar"/>
          <w:rtl/>
        </w:rPr>
        <w:t>المحاسن</w:t>
      </w:r>
      <w:r w:rsidR="008A74EB" w:rsidRPr="00C9040A">
        <w:rPr>
          <w:rtl/>
        </w:rPr>
        <w:t xml:space="preserve"> ، ص 132 ، كتاب الصفوة ، ح 5 ، عن أبيه ، عن أبي نهشل</w:t>
      </w:r>
      <w:r w:rsidR="008A74EB">
        <w:rPr>
          <w:rtl/>
        </w:rPr>
        <w:t xml:space="preserve"> ..</w:t>
      </w:r>
      <w:r w:rsidR="008A74EB" w:rsidRPr="00C9040A">
        <w:rPr>
          <w:rtl/>
        </w:rPr>
        <w:t xml:space="preserve">. عن أبي عبد الله </w:t>
      </w:r>
      <w:r w:rsidR="00117575" w:rsidRPr="00117575">
        <w:rPr>
          <w:rStyle w:val="libFootnoteAlaemChar"/>
          <w:rtl/>
        </w:rPr>
        <w:t>عليه‌السلام</w:t>
      </w:r>
      <w:r w:rsidR="008A74EB" w:rsidRPr="00C9040A">
        <w:rPr>
          <w:rtl/>
        </w:rPr>
        <w:t xml:space="preserve"> ، إلى قوله : </w:t>
      </w:r>
      <w:r w:rsidR="008A74EB" w:rsidRPr="00B866D3">
        <w:rPr>
          <w:rStyle w:val="libFootnoteAlaemChar"/>
          <w:rtl/>
        </w:rPr>
        <w:t>(</w:t>
      </w:r>
      <w:r w:rsidR="008A74EB" w:rsidRPr="00883DD5">
        <w:rPr>
          <w:rStyle w:val="libFootnoteAieChar"/>
          <w:rFonts w:hint="cs"/>
          <w:rtl/>
        </w:rPr>
        <w:t xml:space="preserve"> </w:t>
      </w:r>
      <w:r w:rsidR="008A74EB" w:rsidRPr="00883DD5">
        <w:rPr>
          <w:rStyle w:val="libFootnoteAieChar"/>
          <w:rtl/>
        </w:rPr>
        <w:t>يَشْهَدُهُ الْمُقَرَّبُونَ</w:t>
      </w:r>
      <w:r w:rsidR="008A74EB" w:rsidRPr="00883DD5">
        <w:rPr>
          <w:rStyle w:val="libFootnoteAieChar"/>
          <w:rFonts w:hint="cs"/>
          <w:rtl/>
        </w:rPr>
        <w:t xml:space="preserve"> </w:t>
      </w:r>
      <w:r w:rsidR="008A74EB" w:rsidRPr="00B866D3">
        <w:rPr>
          <w:rStyle w:val="libFootnoteAlaemChar"/>
          <w:rtl/>
        </w:rPr>
        <w:t>)</w:t>
      </w:r>
      <w:r w:rsidR="008A74EB" w:rsidRPr="00C9040A">
        <w:rPr>
          <w:rtl/>
        </w:rPr>
        <w:t xml:space="preserve">. </w:t>
      </w:r>
      <w:r w:rsidR="008A74EB" w:rsidRPr="00993B55">
        <w:rPr>
          <w:rStyle w:val="libFootnoteBoldChar"/>
          <w:rtl/>
        </w:rPr>
        <w:t>علل الشرائع</w:t>
      </w:r>
      <w:r w:rsidR="008A74EB" w:rsidRPr="00C9040A">
        <w:rPr>
          <w:rtl/>
        </w:rPr>
        <w:t xml:space="preserve"> ، ص 116 ، ح 12 ، بسنده عن أحمد بن أبي عبد الله البرقي ، عن أبيه ، عن أبي نهشل. </w:t>
      </w:r>
      <w:r w:rsidR="008A74EB" w:rsidRPr="00993B55">
        <w:rPr>
          <w:rStyle w:val="libFootnoteBoldChar"/>
          <w:rtl/>
        </w:rPr>
        <w:t>بصائر الدرجات</w:t>
      </w:r>
      <w:r w:rsidR="008A74EB" w:rsidRPr="00C9040A">
        <w:rPr>
          <w:rtl/>
        </w:rPr>
        <w:t xml:space="preserve"> ، ص 15 ، ح 3 ، عن أحمد بن محمّد ، عن محمّد بن خالد ، عن أبي نهشل</w:t>
      </w:r>
      <w:r w:rsidR="008A74EB">
        <w:rPr>
          <w:rtl/>
        </w:rPr>
        <w:t xml:space="preserve"> ..</w:t>
      </w:r>
      <w:r w:rsidR="008A74EB" w:rsidRPr="00C9040A">
        <w:rPr>
          <w:rtl/>
        </w:rPr>
        <w:t xml:space="preserve">. عن أبي عبد الله </w:t>
      </w:r>
      <w:r w:rsidR="00117575" w:rsidRPr="00117575">
        <w:rPr>
          <w:rStyle w:val="libFootnoteAlaemChar"/>
          <w:rtl/>
        </w:rPr>
        <w:t xml:space="preserve">عليه‌السلام </w:t>
      </w:r>
      <w:r w:rsidR="008A74EB" w:rsidRPr="00C9040A">
        <w:rPr>
          <w:rtl/>
        </w:rPr>
        <w:t xml:space="preserve"> ؛ </w:t>
      </w:r>
      <w:r w:rsidR="008A74EB" w:rsidRPr="00993B55">
        <w:rPr>
          <w:rStyle w:val="libFootnoteBoldChar"/>
          <w:rtl/>
        </w:rPr>
        <w:t>تفسير القمّي</w:t>
      </w:r>
      <w:r w:rsidR="008A74EB" w:rsidRPr="00C9040A">
        <w:rPr>
          <w:rtl/>
        </w:rPr>
        <w:t xml:space="preserve"> ، ج 2 ، ص 411 ، بسنده عن محمّد بن إسماعيل ، وفي الأخيرين إلى قوله : </w:t>
      </w:r>
      <w:r w:rsidR="008A74EB" w:rsidRPr="00B866D3">
        <w:rPr>
          <w:rStyle w:val="libFootnoteAlaemChar"/>
          <w:rtl/>
        </w:rPr>
        <w:t>(</w:t>
      </w:r>
      <w:r w:rsidR="008A74EB" w:rsidRPr="00883DD5">
        <w:rPr>
          <w:rStyle w:val="libFootnoteAieChar"/>
          <w:rFonts w:hint="cs"/>
          <w:rtl/>
        </w:rPr>
        <w:t xml:space="preserve"> </w:t>
      </w:r>
      <w:r w:rsidR="008A74EB" w:rsidRPr="00883DD5">
        <w:rPr>
          <w:rStyle w:val="libFootnoteAieChar"/>
          <w:rtl/>
        </w:rPr>
        <w:t>يَشْهَدُهُ الْمُقَرَّبُونَ</w:t>
      </w:r>
      <w:r w:rsidR="008A74EB" w:rsidRPr="00883DD5">
        <w:rPr>
          <w:rStyle w:val="libFootnoteAieChar"/>
          <w:rFonts w:hint="cs"/>
          <w:rtl/>
        </w:rPr>
        <w:t xml:space="preserve"> </w:t>
      </w:r>
      <w:r w:rsidR="008A74EB" w:rsidRPr="00B866D3">
        <w:rPr>
          <w:rStyle w:val="libFootnoteAlaemChar"/>
          <w:rtl/>
        </w:rPr>
        <w:t>)</w:t>
      </w:r>
      <w:r w:rsidR="008A74EB" w:rsidRPr="00C9040A">
        <w:rPr>
          <w:rtl/>
        </w:rPr>
        <w:t xml:space="preserve">. </w:t>
      </w:r>
      <w:r w:rsidR="008A74EB" w:rsidRPr="00993B55">
        <w:rPr>
          <w:rStyle w:val="libFootnoteBoldChar"/>
          <w:rtl/>
        </w:rPr>
        <w:t>الكافي</w:t>
      </w:r>
      <w:r w:rsidR="008A74EB" w:rsidRPr="00C9040A">
        <w:rPr>
          <w:rtl/>
        </w:rPr>
        <w:t xml:space="preserve"> ، كتاب الحجّة ، باب خلق أبدان الأئمّة وأرواحهم وقلوبهم </w:t>
      </w:r>
      <w:r w:rsidR="00117575" w:rsidRPr="00117575">
        <w:rPr>
          <w:rStyle w:val="libFootnoteAlaemChar"/>
          <w:rtl/>
        </w:rPr>
        <w:t>عليهم‌السلام</w:t>
      </w:r>
      <w:r w:rsidR="008A74EB" w:rsidRPr="00C9040A">
        <w:rPr>
          <w:rtl/>
        </w:rPr>
        <w:t xml:space="preserve"> ، ح 1014 ، إلى قوله : « خلقت ممّا خلقنا منه » ؛ </w:t>
      </w:r>
      <w:r w:rsidR="008A74EB" w:rsidRPr="00993B55">
        <w:rPr>
          <w:rStyle w:val="libFootnoteBoldChar"/>
          <w:rtl/>
        </w:rPr>
        <w:t>علل الشرائع</w:t>
      </w:r>
      <w:r w:rsidR="008A74EB" w:rsidRPr="00C9040A">
        <w:rPr>
          <w:rtl/>
        </w:rPr>
        <w:t xml:space="preserve"> ، ص 117 ، ح 14 ، وفيهما بسند آخر عن أبي عبدالله </w:t>
      </w:r>
      <w:r w:rsidR="00117575" w:rsidRPr="00117575">
        <w:rPr>
          <w:rStyle w:val="libFootnoteAlaemChar"/>
          <w:rtl/>
        </w:rPr>
        <w:t>عليه‌السلام</w:t>
      </w:r>
      <w:r w:rsidR="008A74EB" w:rsidRPr="00C9040A">
        <w:rPr>
          <w:rtl/>
        </w:rPr>
        <w:t xml:space="preserve"> ، مع اختلاف يسير. وفي </w:t>
      </w:r>
      <w:r w:rsidR="008A74EB" w:rsidRPr="00993B55">
        <w:rPr>
          <w:rStyle w:val="libFootnoteBoldChar"/>
          <w:rtl/>
        </w:rPr>
        <w:t>بصائر الدرجات</w:t>
      </w:r>
      <w:r w:rsidR="008A74EB" w:rsidRPr="00C9040A">
        <w:rPr>
          <w:rtl/>
        </w:rPr>
        <w:t xml:space="preserve"> ، ص 16 ، ح 9 ؛ وص 17 ، ح 13 ، بسند آخر عن أبي عبد الله </w:t>
      </w:r>
      <w:r w:rsidR="00117575" w:rsidRPr="00117575">
        <w:rPr>
          <w:rStyle w:val="libFootnoteAlaemChar"/>
          <w:rtl/>
        </w:rPr>
        <w:t>عليه‌السلام</w:t>
      </w:r>
      <w:r w:rsidR="008A74EB" w:rsidRPr="00C9040A">
        <w:rPr>
          <w:rtl/>
        </w:rPr>
        <w:t xml:space="preserve"> ، مع زيادة في أوّله ؛ </w:t>
      </w:r>
      <w:r w:rsidR="008A74EB" w:rsidRPr="00993B55">
        <w:rPr>
          <w:rStyle w:val="libFootnoteBoldChar"/>
          <w:rtl/>
        </w:rPr>
        <w:t>وفيه</w:t>
      </w:r>
      <w:r w:rsidR="008A74EB" w:rsidRPr="00C9040A">
        <w:rPr>
          <w:rtl/>
        </w:rPr>
        <w:t xml:space="preserve"> ، ص 18 ، ح 17 ؛ وص 171 ، ح 2 ، بسند آخر عن عليّ بن الحسين </w:t>
      </w:r>
      <w:r w:rsidR="00117575" w:rsidRPr="00117575">
        <w:rPr>
          <w:rStyle w:val="libFootnoteAlaemChar"/>
          <w:rtl/>
        </w:rPr>
        <w:t>عليهما‌السلام</w:t>
      </w:r>
      <w:r w:rsidR="008A74EB" w:rsidRPr="00C9040A">
        <w:rPr>
          <w:rtl/>
        </w:rPr>
        <w:t xml:space="preserve"> ، مع زيادة في أوّله ؛ </w:t>
      </w:r>
      <w:r w:rsidR="008A74EB" w:rsidRPr="00993B55">
        <w:rPr>
          <w:rStyle w:val="libFootnoteBoldChar"/>
          <w:rtl/>
        </w:rPr>
        <w:t>وفيه</w:t>
      </w:r>
      <w:r w:rsidR="008A74EB" w:rsidRPr="00C9040A">
        <w:rPr>
          <w:rtl/>
        </w:rPr>
        <w:t xml:space="preserve"> ، ص 24 ، ح 18 ، بسند آخر عن أبي عبد الله </w:t>
      </w:r>
      <w:r w:rsidR="00117575" w:rsidRPr="00117575">
        <w:rPr>
          <w:rStyle w:val="libFootnoteAlaemChar"/>
          <w:rtl/>
        </w:rPr>
        <w:t>عليه‌السلام</w:t>
      </w:r>
      <w:r w:rsidR="008A74EB" w:rsidRPr="00C9040A">
        <w:rPr>
          <w:rtl/>
        </w:rPr>
        <w:t xml:space="preserve"> ، وفي الخمسة الأخيرة مع اختلاف. وراجع : </w:t>
      </w:r>
      <w:r w:rsidR="008A74EB" w:rsidRPr="00993B55">
        <w:rPr>
          <w:rStyle w:val="libFootnoteBoldChar"/>
          <w:rtl/>
        </w:rPr>
        <w:t>الأمالي</w:t>
      </w:r>
      <w:r w:rsidR="008A74EB" w:rsidRPr="00C9040A">
        <w:rPr>
          <w:rtl/>
        </w:rPr>
        <w:t xml:space="preserve"> للطوسي ، ص 149 ، المجلس 5 ، ح 57</w:t>
      </w:r>
      <w:r w:rsidR="00A54EBE">
        <w:rPr>
          <w:rFonts w:hint="cs"/>
          <w:rtl/>
        </w:rPr>
        <w:t>.</w:t>
      </w:r>
      <w:r w:rsidR="008A74EB" w:rsidRPr="00993B55">
        <w:rPr>
          <w:rStyle w:val="libFootnoteBoldChar"/>
          <w:rtl/>
        </w:rPr>
        <w:t>الوافي</w:t>
      </w:r>
      <w:r w:rsidR="008A74EB" w:rsidRPr="00C9040A">
        <w:rPr>
          <w:rtl/>
        </w:rPr>
        <w:t xml:space="preserve"> ، ج 4 ، ص 29 ، ح 1647 ؛ </w:t>
      </w:r>
      <w:r w:rsidR="008A74EB" w:rsidRPr="00993B55">
        <w:rPr>
          <w:rStyle w:val="libFootnoteBoldChar"/>
          <w:rtl/>
        </w:rPr>
        <w:t>البحار</w:t>
      </w:r>
      <w:r w:rsidR="008A74EB" w:rsidRPr="00C9040A">
        <w:rPr>
          <w:rtl/>
        </w:rPr>
        <w:t xml:space="preserve"> ، ج 67 ، ص 127 ، ح 32.</w:t>
      </w:r>
    </w:p>
    <w:p w:rsidR="004B7F34" w:rsidRDefault="004B7F34" w:rsidP="004B7F34">
      <w:pPr>
        <w:pStyle w:val="libNormal"/>
        <w:rPr>
          <w:rtl/>
          <w:lang w:bidi="fa-IR"/>
        </w:rPr>
      </w:pPr>
      <w:r>
        <w:rPr>
          <w:rtl/>
          <w:lang w:bidi="fa-IR"/>
        </w:rPr>
        <w:br w:type="page"/>
      </w:r>
    </w:p>
    <w:p w:rsidR="008A74EB" w:rsidRDefault="008A74EB" w:rsidP="008A74EB">
      <w:pPr>
        <w:pStyle w:val="libNormal"/>
        <w:rPr>
          <w:rtl/>
          <w:lang w:bidi="fa-IR"/>
        </w:rPr>
      </w:pPr>
      <w:r w:rsidRPr="003D1390">
        <w:rPr>
          <w:rtl/>
        </w:rPr>
        <w:lastRenderedPageBreak/>
        <w:t>1453</w:t>
      </w:r>
      <w:r w:rsidRPr="00261CB0">
        <w:rPr>
          <w:rStyle w:val="libBold2Char"/>
          <w:rtl/>
        </w:rPr>
        <w:t xml:space="preserve"> / 5.</w:t>
      </w:r>
      <w:r w:rsidRPr="00C9040A">
        <w:rPr>
          <w:rtl/>
          <w:lang w:bidi="fa-IR"/>
        </w:rPr>
        <w:t xml:space="preserve"> عِدَّةٌ مِنْ أَصْحَابِنَا </w:t>
      </w:r>
      <w:r w:rsidR="006C577F" w:rsidRPr="006C577F">
        <w:rPr>
          <w:rStyle w:val="libFootnotenumChar"/>
          <w:rtl/>
        </w:rPr>
        <w:t>(1)</w:t>
      </w:r>
      <w:r w:rsidRPr="00C9040A">
        <w:rPr>
          <w:rtl/>
          <w:lang w:bidi="fa-IR"/>
        </w:rPr>
        <w:t>، عَنْ سَهْلِ بْنِ زِيَادٍ ؛</w:t>
      </w:r>
    </w:p>
    <w:p w:rsidR="008A74EB" w:rsidRPr="00C9040A" w:rsidRDefault="008A74EB" w:rsidP="008A74EB">
      <w:pPr>
        <w:pStyle w:val="libNormal"/>
        <w:rPr>
          <w:rtl/>
          <w:lang w:bidi="fa-IR"/>
        </w:rPr>
      </w:pPr>
      <w:r w:rsidRPr="00C9040A">
        <w:rPr>
          <w:rtl/>
          <w:lang w:bidi="fa-IR"/>
        </w:rPr>
        <w:t xml:space="preserve">وَغَيْرُ وَاحِدٍ ، عَنِ الْحُسَيْنِ بْنِ الْحَسَنِ </w:t>
      </w:r>
      <w:r w:rsidR="006C577F" w:rsidRPr="006C577F">
        <w:rPr>
          <w:rStyle w:val="libFootnotenumChar"/>
          <w:rtl/>
        </w:rPr>
        <w:t>(2)</w:t>
      </w:r>
      <w:r w:rsidRPr="00C9040A">
        <w:rPr>
          <w:rtl/>
          <w:lang w:bidi="fa-IR"/>
        </w:rPr>
        <w:t xml:space="preserve"> جَمِيعاً ، عَنْ مُحَمَّدِ بْنِ أُورَمَةَ ، عَنْ مُحَمَّدِ بْنِ عَلِيٍّ ، عَنْ إِسْمَاعِيلَ بْنِ يَسَارٍ ، عَنْ عُثْمَانَ بْنِ يُوسُفَ ، قَالَ : أَخْبَرَنِي عَبْدُ اللهِ بْنُ كَيْسَانَ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قُلْتُ لَهُ : جُعِلْتُ فِدَاكَ ، أَنَا مَوْلَاكَ عَبْدُ اللهِ بْنُ كَيْسَانَ.</w:t>
      </w:r>
    </w:p>
    <w:p w:rsidR="008A74EB" w:rsidRPr="00C9040A" w:rsidRDefault="008A74EB" w:rsidP="008A74EB">
      <w:pPr>
        <w:pStyle w:val="libNormal"/>
        <w:rPr>
          <w:rtl/>
          <w:lang w:bidi="fa-IR"/>
        </w:rPr>
      </w:pPr>
      <w:r w:rsidRPr="00C9040A">
        <w:rPr>
          <w:rtl/>
          <w:lang w:bidi="fa-IR"/>
        </w:rPr>
        <w:t>قَالَ : « أَمَّا النَّسَبُ فَأَعْرِفُهُ ، وَأَمَّا أَنْتَ فَلَسْتُ أَعْرِفُكَ »</w:t>
      </w:r>
      <w:r>
        <w:rPr>
          <w:rtl/>
          <w:lang w:bidi="fa-IR"/>
        </w:rPr>
        <w:t>.</w:t>
      </w:r>
    </w:p>
    <w:p w:rsidR="008A74EB" w:rsidRPr="00C9040A" w:rsidRDefault="008A74EB" w:rsidP="008A74EB">
      <w:pPr>
        <w:pStyle w:val="libNormal"/>
        <w:rPr>
          <w:rtl/>
          <w:lang w:bidi="fa-IR"/>
        </w:rPr>
      </w:pPr>
      <w:r w:rsidRPr="00C9040A">
        <w:rPr>
          <w:rtl/>
          <w:lang w:bidi="fa-IR"/>
        </w:rPr>
        <w:t xml:space="preserve">قَالَ : قُلْتُ لَهُ : إِنِّي وُلِدْتُ بِالْجَبَلِ </w:t>
      </w:r>
      <w:r w:rsidR="006C577F" w:rsidRPr="006C577F">
        <w:rPr>
          <w:rStyle w:val="libFootnotenumChar"/>
          <w:rtl/>
        </w:rPr>
        <w:t>(3)</w:t>
      </w:r>
      <w:r w:rsidRPr="00C9040A">
        <w:rPr>
          <w:rtl/>
          <w:lang w:bidi="fa-IR"/>
        </w:rPr>
        <w:t xml:space="preserve"> ، وَنَشَأْتُ فِي أَرْضِ فَارِسَ ، وَإِنَّنِي </w:t>
      </w:r>
      <w:r w:rsidR="006C577F" w:rsidRPr="006C577F">
        <w:rPr>
          <w:rStyle w:val="libFootnotenumChar"/>
          <w:rtl/>
        </w:rPr>
        <w:t>(4)</w:t>
      </w:r>
      <w:r w:rsidRPr="00C9040A">
        <w:rPr>
          <w:rtl/>
          <w:lang w:bidi="fa-IR"/>
        </w:rPr>
        <w:t xml:space="preserve"> أُخَالِطُ النَّاسَ فِي التِّجَارَاتِ وَغَيْرِ ذلِكَ ، فَأُخَالِطُ الرَّجُلَ ، فَأَرى لَهُ حُسْنَ السَّمْتِ </w:t>
      </w:r>
      <w:r w:rsidR="006C577F" w:rsidRPr="006C577F">
        <w:rPr>
          <w:rStyle w:val="libFootnotenumChar"/>
          <w:rtl/>
        </w:rPr>
        <w:t>(5)</w:t>
      </w:r>
      <w:r w:rsidRPr="00C9040A">
        <w:rPr>
          <w:rtl/>
          <w:lang w:bidi="fa-IR"/>
        </w:rPr>
        <w:t xml:space="preserve"> وَحُسْنَ الْخُلُقِ‌</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A54EBE">
        <w:rPr>
          <w:rtl/>
        </w:rPr>
        <w:t xml:space="preserve"> فى « ص » : +</w:t>
      </w:r>
      <w:r w:rsidR="008A74EB" w:rsidRPr="00C9040A">
        <w:rPr>
          <w:rtl/>
        </w:rPr>
        <w:t xml:space="preserve"> « عن أحمد بن محمّد »</w:t>
      </w:r>
      <w:r w:rsidR="008A74EB">
        <w:rPr>
          <w:rtl/>
        </w:rPr>
        <w:t xml:space="preserve"> </w:t>
      </w:r>
      <w:r w:rsidR="0084262C">
        <w:rPr>
          <w:rtl/>
        </w:rPr>
        <w:t>-</w:t>
      </w:r>
      <w:r w:rsidR="008A74EB">
        <w:rPr>
          <w:rtl/>
        </w:rPr>
        <w:t xml:space="preserve"> </w:t>
      </w:r>
      <w:r w:rsidR="008A74EB" w:rsidRPr="00C9040A">
        <w:rPr>
          <w:rtl/>
        </w:rPr>
        <w:t>وقد زيد فى حاشيتها تصحيحاً</w:t>
      </w:r>
      <w:r w:rsidR="008A74EB">
        <w:rPr>
          <w:rtl/>
        </w:rPr>
        <w:t xml:space="preserve"> </w:t>
      </w:r>
      <w:r w:rsidR="0084262C">
        <w:rPr>
          <w:rtl/>
        </w:rPr>
        <w:t>-</w:t>
      </w:r>
      <w:r w:rsidR="008A74EB">
        <w:rPr>
          <w:rtl/>
        </w:rPr>
        <w:t xml:space="preserve"> </w:t>
      </w:r>
      <w:r w:rsidR="008A74EB" w:rsidRPr="00C9040A">
        <w:rPr>
          <w:rtl/>
        </w:rPr>
        <w:t xml:space="preserve">وهو سهو واضح لا يخفى على من تتبّع‌أسناد </w:t>
      </w:r>
      <w:r w:rsidR="008A74EB" w:rsidRPr="00993B55">
        <w:rPr>
          <w:rStyle w:val="libFootnoteBoldChar"/>
          <w:rtl/>
        </w:rPr>
        <w:t>الكافي</w:t>
      </w:r>
      <w:r w:rsidR="008A74EB" w:rsidRPr="00C9040A">
        <w:rPr>
          <w:rtl/>
        </w:rPr>
        <w:t xml:space="preserve"> ؛ فقد أكثر الكليني من الرواية عن عدّة من أصحابنا ، عن سهل بن زياد. راجع : </w:t>
      </w:r>
      <w:r w:rsidR="008A74EB" w:rsidRPr="00993B55">
        <w:rPr>
          <w:rStyle w:val="libFootnoteBoldChar"/>
          <w:rtl/>
        </w:rPr>
        <w:t>معجم رجال الحديث</w:t>
      </w:r>
      <w:r w:rsidR="008A74EB" w:rsidRPr="00C9040A">
        <w:rPr>
          <w:rtl/>
        </w:rPr>
        <w:t xml:space="preserve"> ، ج 8 ، ص 493</w:t>
      </w:r>
      <w:r w:rsidR="008A74EB">
        <w:rPr>
          <w:rtl/>
        </w:rPr>
        <w:t xml:space="preserve"> </w:t>
      </w:r>
      <w:r w:rsidR="0084262C">
        <w:rPr>
          <w:rtl/>
        </w:rPr>
        <w:t>-</w:t>
      </w:r>
      <w:r w:rsidR="008A74EB">
        <w:rPr>
          <w:rtl/>
        </w:rPr>
        <w:t xml:space="preserve"> </w:t>
      </w:r>
      <w:r w:rsidR="008A74EB" w:rsidRPr="00C9040A">
        <w:rPr>
          <w:rtl/>
        </w:rPr>
        <w:t>540.</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الحسين بن الحسن الراوي عن محمّد بن ا</w:t>
      </w:r>
      <w:r w:rsidR="007124F1">
        <w:rPr>
          <w:rFonts w:hint="cs"/>
          <w:rtl/>
        </w:rPr>
        <w:t>ُ</w:t>
      </w:r>
      <w:r w:rsidR="008A74EB" w:rsidRPr="00C9040A">
        <w:rPr>
          <w:rtl/>
        </w:rPr>
        <w:t>ورمة ، هو الحسين بن الحسن بن أبان ، روى ابن الوليد عنه جميع‌كتبِ محمّد بن ا</w:t>
      </w:r>
      <w:r w:rsidR="007124F1">
        <w:rPr>
          <w:rFonts w:hint="cs"/>
          <w:rtl/>
        </w:rPr>
        <w:t>ُ</w:t>
      </w:r>
      <w:r w:rsidR="007124F1">
        <w:rPr>
          <w:rtl/>
        </w:rPr>
        <w:t>ورمة ، إل</w:t>
      </w:r>
      <w:r w:rsidR="007124F1">
        <w:rPr>
          <w:rFonts w:hint="cs"/>
          <w:rtl/>
        </w:rPr>
        <w:t>ّ</w:t>
      </w:r>
      <w:r w:rsidR="007124F1">
        <w:rPr>
          <w:rtl/>
        </w:rPr>
        <w:t>ا</w:t>
      </w:r>
      <w:r w:rsidR="008A74EB" w:rsidRPr="00C9040A">
        <w:rPr>
          <w:rtl/>
        </w:rPr>
        <w:t xml:space="preserve">ما كان فيه من تخليط أو غلوّ. راجع : </w:t>
      </w:r>
      <w:r w:rsidR="008A74EB" w:rsidRPr="0034021D">
        <w:rPr>
          <w:rStyle w:val="libFootnoteBoldChar"/>
          <w:rtl/>
        </w:rPr>
        <w:t>الفهرست للطوسي</w:t>
      </w:r>
      <w:r w:rsidR="008A74EB" w:rsidRPr="00C9040A">
        <w:rPr>
          <w:rtl/>
        </w:rPr>
        <w:t xml:space="preserve"> ، ص 407 ، الرقم 621 ؛ </w:t>
      </w:r>
      <w:r w:rsidR="008A74EB" w:rsidRPr="00993B55">
        <w:rPr>
          <w:rStyle w:val="libFootnoteBoldChar"/>
          <w:rtl/>
        </w:rPr>
        <w:t xml:space="preserve">رجال الطوسي </w:t>
      </w:r>
      <w:r w:rsidR="008A74EB" w:rsidRPr="00C9040A">
        <w:rPr>
          <w:rtl/>
        </w:rPr>
        <w:t>، ص 448 ، الرقم 6362.</w:t>
      </w:r>
    </w:p>
    <w:p w:rsidR="008A74EB" w:rsidRPr="00C9040A" w:rsidRDefault="008A74EB" w:rsidP="004A4E41">
      <w:pPr>
        <w:pStyle w:val="libFootnote0"/>
        <w:rPr>
          <w:rtl/>
          <w:lang w:bidi="fa-IR"/>
        </w:rPr>
      </w:pPr>
      <w:r w:rsidRPr="00323A39">
        <w:rPr>
          <w:rtl/>
        </w:rPr>
        <w:t>هذا ، وقد روى الكليني عن عدّة من أصحابنا ، عن سهل بن زياد ، عن محمّد بن ا</w:t>
      </w:r>
      <w:r w:rsidR="007124F1" w:rsidRPr="00323A39">
        <w:rPr>
          <w:rFonts w:hint="cs"/>
          <w:rtl/>
        </w:rPr>
        <w:t>ُ</w:t>
      </w:r>
      <w:r w:rsidRPr="00323A39">
        <w:rPr>
          <w:rtl/>
        </w:rPr>
        <w:t xml:space="preserve">ورمة في </w:t>
      </w:r>
      <w:r w:rsidRPr="00993B55">
        <w:rPr>
          <w:rStyle w:val="libFootnoteBoldChar"/>
          <w:rtl/>
        </w:rPr>
        <w:t>الكافي</w:t>
      </w:r>
      <w:r w:rsidRPr="00323A39">
        <w:rPr>
          <w:rtl/>
        </w:rPr>
        <w:t xml:space="preserve"> ، ح 2141 و 2153 و 2296 و 2324 و 3006 و 4449 و 4505 و 4546. وقد حُذِف عدّة من أصحابنا من صدر السند تعليقاً </w:t>
      </w:r>
      <w:r w:rsidR="0084262C" w:rsidRPr="00323A39">
        <w:rPr>
          <w:rtl/>
        </w:rPr>
        <w:t>-</w:t>
      </w:r>
      <w:r w:rsidRPr="00323A39">
        <w:rPr>
          <w:rtl/>
        </w:rPr>
        <w:t xml:space="preserve"> وح 8153 و 8159. فالظاهر في سندنا هذا أنّ سهل بن زياد والحسين بن الحسن يرويان معاً عن محمّد بن ا</w:t>
      </w:r>
      <w:r w:rsidR="007124F1" w:rsidRPr="00323A39">
        <w:rPr>
          <w:rFonts w:hint="cs"/>
          <w:rtl/>
        </w:rPr>
        <w:t>ُ</w:t>
      </w:r>
      <w:r w:rsidRPr="00323A39">
        <w:rPr>
          <w:rtl/>
        </w:rPr>
        <w:t>ورمة ، تدلّ على ذلك لفظة « جميعاً ».</w:t>
      </w:r>
    </w:p>
    <w:p w:rsidR="008A74EB" w:rsidRPr="00C9040A" w:rsidRDefault="008A74EB" w:rsidP="004A4E41">
      <w:pPr>
        <w:pStyle w:val="libFootnote0"/>
        <w:rPr>
          <w:rtl/>
          <w:lang w:bidi="fa-IR"/>
        </w:rPr>
      </w:pPr>
      <w:r w:rsidRPr="0082575F">
        <w:rPr>
          <w:rtl/>
        </w:rPr>
        <w:t>فعليه في السند تحويل ، بعطف « غير واحد ، عن الحسين بن الحسن » على « عدّة من أصحابنا ، عن سهل بن زياد »</w:t>
      </w:r>
      <w:r>
        <w:rPr>
          <w:rtl/>
        </w:rPr>
        <w:t>.</w:t>
      </w:r>
    </w:p>
    <w:p w:rsidR="008A74EB" w:rsidRPr="00C9040A" w:rsidRDefault="006C577F" w:rsidP="004A4E41">
      <w:pPr>
        <w:pStyle w:val="libFootnote0"/>
        <w:rPr>
          <w:rtl/>
          <w:lang w:bidi="fa-IR"/>
        </w:rPr>
      </w:pPr>
      <w:r>
        <w:rPr>
          <w:rtl/>
        </w:rPr>
        <w:t>(3).</w:t>
      </w:r>
      <w:r w:rsidR="008A74EB" w:rsidRPr="00C9040A">
        <w:rPr>
          <w:rtl/>
        </w:rPr>
        <w:t xml:space="preserve"> فى « ب » : « في الجبل »</w:t>
      </w:r>
      <w:r w:rsidR="008A74EB">
        <w:rPr>
          <w:rtl/>
        </w:rPr>
        <w:t>.</w:t>
      </w:r>
      <w:r w:rsidR="008A74EB" w:rsidRPr="00C9040A">
        <w:rPr>
          <w:rtl/>
        </w:rPr>
        <w:t xml:space="preserve"> وفي </w:t>
      </w:r>
      <w:r w:rsidR="008A74EB" w:rsidRPr="00993B55">
        <w:rPr>
          <w:rStyle w:val="libFootnoteBoldChar"/>
          <w:rtl/>
        </w:rPr>
        <w:t>شرح المازندراني</w:t>
      </w:r>
      <w:r w:rsidR="008A74EB" w:rsidRPr="00C9040A">
        <w:rPr>
          <w:rtl/>
        </w:rPr>
        <w:t xml:space="preserve"> ، ج 8 ، ص 9 : « قيل : المراد بالجبل : كردستان بين تبريز وبغدادوهمدان ، وغير ذلك »</w:t>
      </w:r>
      <w:r w:rsidR="008A74EB">
        <w:rPr>
          <w:rtl/>
        </w:rPr>
        <w:t>.</w:t>
      </w:r>
      <w:r w:rsidR="008A74EB" w:rsidRPr="00C9040A">
        <w:rPr>
          <w:rtl/>
        </w:rPr>
        <w:t xml:space="preserve"> وفي </w:t>
      </w:r>
      <w:r w:rsidR="008A74EB" w:rsidRPr="00993B55">
        <w:rPr>
          <w:rStyle w:val="libFootnoteBoldChar"/>
          <w:rtl/>
        </w:rPr>
        <w:t>القاموس</w:t>
      </w:r>
      <w:r w:rsidR="008A74EB" w:rsidRPr="00C9040A">
        <w:rPr>
          <w:rtl/>
        </w:rPr>
        <w:t xml:space="preserve"> ، ج 2 ، ص 1289 ( جبل ) : « بلادُ الجبل : مُدُن بين آذربيجانَ وعراقِ العرب وخوزستان وفارس وبلاد الديلم »</w:t>
      </w:r>
      <w:r w:rsidR="008A74EB">
        <w:rPr>
          <w:rtl/>
        </w:rPr>
        <w:t>.</w:t>
      </w:r>
      <w:r w:rsidR="008A74EB" w:rsidRPr="00C9040A">
        <w:rPr>
          <w:rtl/>
        </w:rPr>
        <w:t xml:space="preserve"> وراجع أيضاً : </w:t>
      </w:r>
      <w:r w:rsidR="008A74EB" w:rsidRPr="00993B55">
        <w:rPr>
          <w:rStyle w:val="libFootnoteBoldChar"/>
          <w:rtl/>
        </w:rPr>
        <w:t>معجم البلدان</w:t>
      </w:r>
      <w:r w:rsidR="008A74EB" w:rsidRPr="00C9040A">
        <w:rPr>
          <w:rtl/>
        </w:rPr>
        <w:t xml:space="preserve"> ، ج 2 ، ص 103 ( جبل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ب » : « وإنّي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 السَّمت » : هيئة أهل الخير ، وهي عبارة عن الحالة التي يكون عليها الإنسان من السَّكينة والوَقار ، وحسن‌السيرة والطريقة ، واستقامة المنظر والهَيئة. راجع : </w:t>
      </w:r>
      <w:r w:rsidR="008A74EB" w:rsidRPr="00993B55">
        <w:rPr>
          <w:rStyle w:val="libFootnoteBoldChar"/>
          <w:rtl/>
        </w:rPr>
        <w:t>مجمع البحرين</w:t>
      </w:r>
      <w:r w:rsidR="008A74EB" w:rsidRPr="00C9040A">
        <w:rPr>
          <w:rtl/>
        </w:rPr>
        <w:t xml:space="preserve"> ، ج 2 ، ص 206 ( سمت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وَكَثْرَةَ </w:t>
      </w:r>
      <w:r w:rsidR="006C577F" w:rsidRPr="006C577F">
        <w:rPr>
          <w:rStyle w:val="libFootnotenumChar"/>
          <w:rtl/>
        </w:rPr>
        <w:t>(1)</w:t>
      </w:r>
      <w:r w:rsidRPr="00E711C7">
        <w:rPr>
          <w:rFonts w:hint="cs"/>
          <w:rtl/>
        </w:rPr>
        <w:t xml:space="preserve"> </w:t>
      </w:r>
      <w:r w:rsidRPr="00C9040A">
        <w:rPr>
          <w:rtl/>
          <w:lang w:bidi="fa-IR"/>
        </w:rPr>
        <w:t xml:space="preserve">أَمَانَةٍ </w:t>
      </w:r>
      <w:r w:rsidR="006C577F" w:rsidRPr="006C577F">
        <w:rPr>
          <w:rStyle w:val="libFootnotenumChar"/>
          <w:rtl/>
        </w:rPr>
        <w:t>(2)</w:t>
      </w:r>
      <w:r w:rsidRPr="00C9040A">
        <w:rPr>
          <w:rtl/>
          <w:lang w:bidi="fa-IR"/>
        </w:rPr>
        <w:t xml:space="preserve"> ، ثُمَّ أُفَتِّشُهُ ، فَأَتَبَيَّنُهُ </w:t>
      </w:r>
      <w:r w:rsidR="006C577F" w:rsidRPr="006C577F">
        <w:rPr>
          <w:rStyle w:val="libFootnotenumChar"/>
          <w:rtl/>
        </w:rPr>
        <w:t>(3)</w:t>
      </w:r>
      <w:r w:rsidRPr="00C9040A">
        <w:rPr>
          <w:rtl/>
          <w:lang w:bidi="fa-IR"/>
        </w:rPr>
        <w:t xml:space="preserve"> عَنْ </w:t>
      </w:r>
      <w:r w:rsidR="006C577F" w:rsidRPr="006C577F">
        <w:rPr>
          <w:rStyle w:val="libFootnotenumChar"/>
          <w:rtl/>
        </w:rPr>
        <w:t>(4)</w:t>
      </w:r>
      <w:r w:rsidRPr="00C9040A">
        <w:rPr>
          <w:rtl/>
          <w:lang w:bidi="fa-IR"/>
        </w:rPr>
        <w:t xml:space="preserve"> عَدَاوَتِكُمْ ؛ وَأُخَالِطُ الرَّجُلَ ، فَأَرى مِنْهُ سُوءَ الْخُلُقِ </w:t>
      </w:r>
      <w:r w:rsidR="006C577F" w:rsidRPr="006C577F">
        <w:rPr>
          <w:rStyle w:val="libFootnotenumChar"/>
          <w:rtl/>
        </w:rPr>
        <w:t>(5)</w:t>
      </w:r>
      <w:r w:rsidRPr="00C9040A">
        <w:rPr>
          <w:rtl/>
          <w:lang w:bidi="fa-IR"/>
        </w:rPr>
        <w:t xml:space="preserve"> وَقِلَّةَ أَمَانَةٍ </w:t>
      </w:r>
      <w:r w:rsidR="006C577F" w:rsidRPr="006C577F">
        <w:rPr>
          <w:rStyle w:val="libFootnotenumChar"/>
          <w:rtl/>
        </w:rPr>
        <w:t>(6)</w:t>
      </w:r>
      <w:r w:rsidRPr="005B567D">
        <w:rPr>
          <w:rStyle w:val="libFootnotenumChar"/>
          <w:rtl/>
        </w:rPr>
        <w:t xml:space="preserve"> </w:t>
      </w:r>
      <w:r w:rsidRPr="00C9040A">
        <w:rPr>
          <w:rtl/>
          <w:lang w:bidi="fa-IR"/>
        </w:rPr>
        <w:t xml:space="preserve">وَزَعَارَّةً </w:t>
      </w:r>
      <w:r w:rsidR="006C577F" w:rsidRPr="006C577F">
        <w:rPr>
          <w:rStyle w:val="libFootnotenumChar"/>
          <w:rtl/>
        </w:rPr>
        <w:t>(7)</w:t>
      </w:r>
      <w:r w:rsidRPr="00C9040A">
        <w:rPr>
          <w:rtl/>
          <w:lang w:bidi="fa-IR"/>
        </w:rPr>
        <w:t xml:space="preserve"> ، ثُمَّ أُفَتِّشُهُ ، فَأَتَبَيَّنُهُ </w:t>
      </w:r>
      <w:r w:rsidR="006C577F" w:rsidRPr="006C577F">
        <w:rPr>
          <w:rStyle w:val="libFootnotenumChar"/>
          <w:rtl/>
        </w:rPr>
        <w:t>(8)</w:t>
      </w:r>
      <w:r w:rsidRPr="00C9040A">
        <w:rPr>
          <w:rtl/>
          <w:lang w:bidi="fa-IR"/>
        </w:rPr>
        <w:t xml:space="preserve"> عَنْ وَلَايَتِكُمْ ، فَكَيْفَ يَكُونُ ذلِكَ</w:t>
      </w:r>
      <w:r>
        <w:rPr>
          <w:rtl/>
          <w:lang w:bidi="fa-IR"/>
        </w:rPr>
        <w:t>؟</w:t>
      </w:r>
    </w:p>
    <w:p w:rsidR="008A74EB" w:rsidRPr="00C9040A" w:rsidRDefault="008A74EB" w:rsidP="008A74EB">
      <w:pPr>
        <w:pStyle w:val="libNormal"/>
        <w:rPr>
          <w:rtl/>
          <w:lang w:bidi="fa-IR"/>
        </w:rPr>
      </w:pPr>
      <w:r w:rsidRPr="00C9040A">
        <w:rPr>
          <w:rtl/>
          <w:lang w:bidi="fa-IR"/>
        </w:rPr>
        <w:t xml:space="preserve">قَالَ </w:t>
      </w:r>
      <w:r w:rsidR="006C577F" w:rsidRPr="006C577F">
        <w:rPr>
          <w:rStyle w:val="libFootnotenumChar"/>
          <w:rtl/>
        </w:rPr>
        <w:t>(9)</w:t>
      </w:r>
      <w:r w:rsidRPr="00C9040A">
        <w:rPr>
          <w:rtl/>
          <w:lang w:bidi="fa-IR"/>
        </w:rPr>
        <w:t xml:space="preserve"> : فَقَالَ لِي : « أَمَا عَلِمْتَ يَا ابْنَ كَيْسَانَ ، أَنَّ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أَخَذَ طِينَةً مِنَ الْجَنَّةِ وَطِينَةً مِنَ النَّارِ ، فَخَلَطَهُمَا جَمِيعاً ، ثُمَّ نَزَعَ هذِهِ مِنْ هذِهِ ، وَهذِهِ مِنْ هذِهِ </w:t>
      </w:r>
      <w:r w:rsidR="006C577F" w:rsidRPr="006C577F">
        <w:rPr>
          <w:rStyle w:val="libFootnotenumChar"/>
          <w:rtl/>
        </w:rPr>
        <w:t>(10)</w:t>
      </w:r>
      <w:r w:rsidRPr="00C9040A">
        <w:rPr>
          <w:rtl/>
          <w:lang w:bidi="fa-IR"/>
        </w:rPr>
        <w:t xml:space="preserve"> ، فَمَا رَأَيْتَ مِنْ </w:t>
      </w:r>
      <w:r w:rsidR="006C577F" w:rsidRPr="006C577F">
        <w:rPr>
          <w:rStyle w:val="libFootnotenumChar"/>
          <w:rtl/>
        </w:rPr>
        <w:t>(11)</w:t>
      </w:r>
      <w:r w:rsidRPr="00C9040A">
        <w:rPr>
          <w:rtl/>
          <w:lang w:bidi="fa-IR"/>
        </w:rPr>
        <w:t xml:space="preserve"> أُولئِكَ مِنَ الْأَمَانَةِ وَحُسْنِ الْخُلُقِ وَحُسْنِ السَّمْتِ ، فَمِمَّا مَسَّتْهُمْ </w:t>
      </w:r>
      <w:r w:rsidR="006C577F" w:rsidRPr="006C577F">
        <w:rPr>
          <w:rStyle w:val="libFootnotenumChar"/>
          <w:rtl/>
        </w:rPr>
        <w:t>(12)</w:t>
      </w:r>
      <w:r w:rsidRPr="00C9040A">
        <w:rPr>
          <w:rtl/>
          <w:lang w:bidi="fa-IR"/>
        </w:rPr>
        <w:t xml:space="preserve"> مِنْ طِينَةِ </w:t>
      </w:r>
      <w:r w:rsidRPr="005B567D">
        <w:rPr>
          <w:rStyle w:val="libFootnotenumChar"/>
          <w:rtl/>
        </w:rPr>
        <w:t>(13)</w:t>
      </w:r>
      <w:r w:rsidRPr="00C9040A">
        <w:rPr>
          <w:rtl/>
          <w:lang w:bidi="fa-IR"/>
        </w:rPr>
        <w:t xml:space="preserve"> الْجَنَّةِ ، وَهُمْ يَعُودُونَ إِلى مَا خُلِقُوا مِنْهُ ، وَمَا رَأَيْتَ مِنْ هؤُلَاءِ مِنْ قِلَّةِ الْأَمَانَةِ وَسُوءِ الْخُلُقِ وَالزَّعَارَّةِ </w:t>
      </w:r>
      <w:r w:rsidRPr="005B567D">
        <w:rPr>
          <w:rStyle w:val="libFootnotenumChar"/>
          <w:rtl/>
        </w:rPr>
        <w:t>(14)</w:t>
      </w:r>
      <w:r w:rsidRPr="00C9040A">
        <w:rPr>
          <w:rtl/>
          <w:lang w:bidi="fa-IR"/>
        </w:rPr>
        <w:t xml:space="preserve"> ، فَمِمَّا مَسَّتْهُمْ </w:t>
      </w:r>
      <w:r w:rsidRPr="005B567D">
        <w:rPr>
          <w:rStyle w:val="libFootnotenumChar"/>
          <w:rtl/>
        </w:rPr>
        <w:t>(15)</w:t>
      </w:r>
      <w:r w:rsidRPr="00C9040A">
        <w:rPr>
          <w:rtl/>
          <w:lang w:bidi="fa-IR"/>
        </w:rPr>
        <w:t xml:space="preserve"> مِنْ طِينَةِ النَّارِ ، وَهُمْ يَعُودُونَ </w:t>
      </w:r>
      <w:r w:rsidRPr="005B567D">
        <w:rPr>
          <w:rStyle w:val="libFootnotenumChar"/>
          <w:rtl/>
        </w:rPr>
        <w:t>(16)</w:t>
      </w:r>
      <w:r w:rsidRPr="00C9040A">
        <w:rPr>
          <w:rtl/>
          <w:lang w:bidi="fa-IR"/>
        </w:rPr>
        <w:t xml:space="preserve"> إِلى مَا خُلِقُوا مِنْهُ »</w:t>
      </w:r>
      <w:r>
        <w:rPr>
          <w:rtl/>
          <w:lang w:bidi="fa-IR"/>
        </w:rPr>
        <w:t>.</w:t>
      </w:r>
      <w:r w:rsidRPr="00C9040A">
        <w:rPr>
          <w:rtl/>
          <w:lang w:bidi="fa-IR"/>
        </w:rPr>
        <w:t xml:space="preserve"> </w:t>
      </w:r>
      <w:r w:rsidRPr="005B567D">
        <w:rPr>
          <w:rStyle w:val="libFootnotenumChar"/>
          <w:rtl/>
        </w:rPr>
        <w:t>(17)</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 ب ، ج ، د ، ص ، ض ، ف ، </w:t>
      </w:r>
      <w:r w:rsidR="008A74EB">
        <w:rPr>
          <w:rtl/>
        </w:rPr>
        <w:t>ه</w:t>
      </w:r>
      <w:r w:rsidR="008A74EB" w:rsidRPr="00C9040A">
        <w:rPr>
          <w:rtl/>
        </w:rPr>
        <w:t xml:space="preserve"> ، بس ، بف » والمحاسن </w:t>
      </w:r>
      <w:r w:rsidR="008A74EB">
        <w:rPr>
          <w:rtl/>
        </w:rPr>
        <w:t xml:space="preserve">: </w:t>
      </w:r>
      <w:r w:rsidR="0084262C">
        <w:rPr>
          <w:rtl/>
        </w:rPr>
        <w:t>-</w:t>
      </w:r>
      <w:r w:rsidR="007124F1">
        <w:rPr>
          <w:rtl/>
        </w:rPr>
        <w:t xml:space="preserve"> </w:t>
      </w:r>
      <w:r w:rsidR="008A74EB" w:rsidRPr="00C9040A">
        <w:rPr>
          <w:rtl/>
        </w:rPr>
        <w:t>« كثرة »</w:t>
      </w:r>
      <w:r w:rsidR="008A74EB">
        <w:rPr>
          <w:rtl/>
        </w:rPr>
        <w:t>.</w:t>
      </w:r>
      <w:r w:rsidR="008A74EB" w:rsidRPr="00C9040A">
        <w:rPr>
          <w:rtl/>
        </w:rPr>
        <w:t xml:space="preserve"> وفي « جم ، جه » وحاشية « ز ، بج ، بع ، جح » والبحار كما في المتن.</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الوافي والمحاسن : « الأمانة »</w:t>
      </w:r>
      <w:r w:rsidR="008A74EB">
        <w:rPr>
          <w:rtl/>
        </w:rPr>
        <w:t>.</w:t>
      </w:r>
    </w:p>
    <w:p w:rsidR="008A74EB" w:rsidRPr="004A4E41" w:rsidRDefault="006C577F" w:rsidP="004A4E41">
      <w:pPr>
        <w:pStyle w:val="libFootnote0"/>
        <w:rPr>
          <w:rStyle w:val="libFootnote0Char"/>
          <w:rtl/>
        </w:rPr>
      </w:pPr>
      <w:r>
        <w:rPr>
          <w:rtl/>
        </w:rPr>
        <w:t>(3).</w:t>
      </w:r>
      <w:r w:rsidR="008A74EB" w:rsidRPr="00C9040A">
        <w:rPr>
          <w:rtl/>
        </w:rPr>
        <w:t xml:space="preserve"> في « ب ، ص ، بر ، بس ، بف » والبحار والمحاسن : « فا</w:t>
      </w:r>
      <w:r w:rsidR="007124F1">
        <w:rPr>
          <w:rFonts w:hint="cs"/>
          <w:rtl/>
        </w:rPr>
        <w:t>ُ</w:t>
      </w:r>
      <w:r w:rsidR="008A74EB" w:rsidRPr="00C9040A">
        <w:rPr>
          <w:rtl/>
        </w:rPr>
        <w:t>فتّشه »</w:t>
      </w:r>
      <w:r w:rsidR="008A74EB">
        <w:rPr>
          <w:rtl/>
        </w:rPr>
        <w:t>.</w:t>
      </w:r>
    </w:p>
    <w:tbl>
      <w:tblPr>
        <w:tblStyle w:val="TableGrid"/>
        <w:bidiVisual/>
        <w:tblW w:w="0" w:type="auto"/>
        <w:tblLook w:val="04A0" w:firstRow="1" w:lastRow="0" w:firstColumn="1" w:lastColumn="0" w:noHBand="0" w:noVBand="1"/>
      </w:tblPr>
      <w:tblGrid>
        <w:gridCol w:w="4006"/>
        <w:gridCol w:w="4006"/>
      </w:tblGrid>
      <w:tr w:rsidR="007124F1" w:rsidTr="007124F1">
        <w:tc>
          <w:tcPr>
            <w:tcW w:w="4006" w:type="dxa"/>
          </w:tcPr>
          <w:p w:rsidR="007124F1" w:rsidRDefault="006C577F" w:rsidP="004A4E41">
            <w:pPr>
              <w:pStyle w:val="libFootnote0"/>
              <w:rPr>
                <w:rtl/>
                <w:lang w:bidi="fa-IR"/>
              </w:rPr>
            </w:pPr>
            <w:r>
              <w:rPr>
                <w:rtl/>
              </w:rPr>
              <w:t>(4).</w:t>
            </w:r>
            <w:r w:rsidR="007124F1" w:rsidRPr="00C9040A">
              <w:rPr>
                <w:rtl/>
              </w:rPr>
              <w:t xml:space="preserve"> في « ز » : « على »</w:t>
            </w:r>
            <w:r w:rsidR="007124F1">
              <w:rPr>
                <w:rtl/>
              </w:rPr>
              <w:t>.</w:t>
            </w:r>
          </w:p>
        </w:tc>
        <w:tc>
          <w:tcPr>
            <w:tcW w:w="4006" w:type="dxa"/>
          </w:tcPr>
          <w:p w:rsidR="007124F1" w:rsidRDefault="006C577F" w:rsidP="004A4E41">
            <w:pPr>
              <w:pStyle w:val="libFootnote0"/>
              <w:rPr>
                <w:rtl/>
                <w:lang w:bidi="fa-IR"/>
              </w:rPr>
            </w:pPr>
            <w:r>
              <w:rPr>
                <w:rtl/>
              </w:rPr>
              <w:t>(5).</w:t>
            </w:r>
            <w:r w:rsidR="007124F1" w:rsidRPr="00C9040A">
              <w:rPr>
                <w:rtl/>
              </w:rPr>
              <w:t xml:space="preserve"> في حاشية « ف » : « خلق »</w:t>
            </w:r>
            <w:r w:rsidR="007124F1">
              <w:rPr>
                <w:rtl/>
              </w:rPr>
              <w:t>.</w:t>
            </w:r>
          </w:p>
        </w:tc>
      </w:tr>
    </w:tbl>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الوافي : « الأمانة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يجوز فيه التخفيف. ومعناه : شراسَة الخُلُق. </w:t>
      </w:r>
      <w:r w:rsidR="008A74EB" w:rsidRPr="00993B55">
        <w:rPr>
          <w:rStyle w:val="libFootnoteBoldChar"/>
          <w:rtl/>
        </w:rPr>
        <w:t>الصحاح</w:t>
      </w:r>
      <w:r w:rsidR="008A74EB" w:rsidRPr="00C9040A">
        <w:rPr>
          <w:rtl/>
        </w:rPr>
        <w:t xml:space="preserve"> ، ج 2 ، ص 670 ( زعر )</w:t>
      </w:r>
      <w:r w:rsidR="008A74EB">
        <w:rPr>
          <w:rtl/>
        </w:rPr>
        <w:t>.</w:t>
      </w:r>
      <w:r w:rsidR="008A74EB" w:rsidRPr="00C9040A">
        <w:rPr>
          <w:rtl/>
        </w:rPr>
        <w:t xml:space="preserve"> وفي « د ، ص » وحاشية « ب ، ز » : « دعارة » ، ومعناه : الفسق والفساد.</w:t>
      </w:r>
    </w:p>
    <w:p w:rsidR="008A74EB" w:rsidRPr="00C9040A" w:rsidRDefault="006C577F" w:rsidP="004A4E41">
      <w:pPr>
        <w:pStyle w:val="libFootnote0"/>
        <w:rPr>
          <w:rtl/>
          <w:lang w:bidi="fa-IR"/>
        </w:rPr>
      </w:pPr>
      <w:r>
        <w:rPr>
          <w:rtl/>
        </w:rPr>
        <w:t>(8).</w:t>
      </w:r>
      <w:r w:rsidR="008A74EB" w:rsidRPr="00C9040A">
        <w:rPr>
          <w:rtl/>
        </w:rPr>
        <w:t xml:space="preserve"> في « ب ، د ، ص ، بر ، بس ، بف » والبحار والمحاسن : « فا</w:t>
      </w:r>
      <w:r w:rsidR="007124F1">
        <w:rPr>
          <w:rFonts w:hint="cs"/>
          <w:rtl/>
        </w:rPr>
        <w:t>ُ</w:t>
      </w:r>
      <w:r w:rsidR="008A74EB" w:rsidRPr="00C9040A">
        <w:rPr>
          <w:rtl/>
        </w:rPr>
        <w:t>فتّشه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هكذا في النسخ التي قوبلت والوافي. وفي المطبوع </w:t>
      </w:r>
      <w:r w:rsidR="008A74EB">
        <w:rPr>
          <w:rtl/>
        </w:rPr>
        <w:t xml:space="preserve">: </w:t>
      </w:r>
      <w:r w:rsidR="0084262C">
        <w:rPr>
          <w:rtl/>
        </w:rPr>
        <w:t>-</w:t>
      </w:r>
      <w:r w:rsidR="008A74EB" w:rsidRPr="00C9040A">
        <w:rPr>
          <w:rtl/>
        </w:rPr>
        <w:t xml:space="preserve"> « قال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 ض » والمحاسن </w:t>
      </w:r>
      <w:r w:rsidR="008A74EB">
        <w:rPr>
          <w:rtl/>
        </w:rPr>
        <w:t xml:space="preserve">: </w:t>
      </w:r>
      <w:r w:rsidR="0084262C">
        <w:rPr>
          <w:rtl/>
        </w:rPr>
        <w:t>-</w:t>
      </w:r>
      <w:r w:rsidR="008A74EB" w:rsidRPr="00C9040A">
        <w:rPr>
          <w:rtl/>
        </w:rPr>
        <w:t xml:space="preserve"> « وهذه من هذه »</w:t>
      </w:r>
      <w:r w:rsidR="008A74EB">
        <w:rPr>
          <w:rtl/>
        </w:rPr>
        <w:t>.</w:t>
      </w:r>
      <w:r w:rsidR="008A74EB" w:rsidRPr="00C9040A">
        <w:rPr>
          <w:rtl/>
        </w:rPr>
        <w:t xml:space="preserve"> وقال في </w:t>
      </w:r>
      <w:r w:rsidR="008A74EB" w:rsidRPr="00993B55">
        <w:rPr>
          <w:rStyle w:val="libFootnoteBoldChar"/>
          <w:rtl/>
        </w:rPr>
        <w:t>الوافي</w:t>
      </w:r>
      <w:r w:rsidR="008A74EB" w:rsidRPr="00C9040A">
        <w:rPr>
          <w:rtl/>
        </w:rPr>
        <w:t xml:space="preserve"> : « معناه أنّه نزع طينة الجنّة من طينة النار ، وطينةالنار من طينة الجنّة بعد ما مسّت إحداهما الا</w:t>
      </w:r>
      <w:r w:rsidR="007124F1">
        <w:rPr>
          <w:rFonts w:hint="cs"/>
          <w:rtl/>
        </w:rPr>
        <w:t>ُ</w:t>
      </w:r>
      <w:r w:rsidR="008A74EB" w:rsidRPr="00C9040A">
        <w:rPr>
          <w:rtl/>
        </w:rPr>
        <w:t>خرى ، ثمّ خلق أهل الجنّة من طينة الجنّة ، وخلق أهل النار من طينة النار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في « ب ، د ، ض ، </w:t>
      </w:r>
      <w:r w:rsidR="008A74EB">
        <w:rPr>
          <w:rtl/>
        </w:rPr>
        <w:t>ه</w:t>
      </w:r>
      <w:r w:rsidR="008A74EB" w:rsidRPr="00C9040A">
        <w:rPr>
          <w:rtl/>
        </w:rPr>
        <w:t xml:space="preserve"> ، بر ، بف » وحاشية « ج » وشرح المازندراني والبحار : « في »</w:t>
      </w:r>
      <w:r w:rsidR="008A74EB">
        <w:rPr>
          <w:rtl/>
        </w:rPr>
        <w:t>.</w:t>
      </w:r>
    </w:p>
    <w:p w:rsidR="008A74EB" w:rsidRPr="004A4E41" w:rsidRDefault="006C577F" w:rsidP="004A4E41">
      <w:pPr>
        <w:pStyle w:val="libFootnote0"/>
        <w:rPr>
          <w:rStyle w:val="libFootnote0Char"/>
          <w:rtl/>
        </w:rPr>
      </w:pPr>
      <w:r>
        <w:rPr>
          <w:rtl/>
        </w:rPr>
        <w:t>(12).</w:t>
      </w:r>
      <w:r w:rsidR="008A74EB" w:rsidRPr="00C9040A">
        <w:rPr>
          <w:rtl/>
        </w:rPr>
        <w:t xml:space="preserve"> في « ب ، د ، ص ، ف ، </w:t>
      </w:r>
      <w:r w:rsidR="008A74EB">
        <w:rPr>
          <w:rtl/>
        </w:rPr>
        <w:t>ه</w:t>
      </w:r>
      <w:r w:rsidR="008A74EB" w:rsidRPr="00C9040A">
        <w:rPr>
          <w:rtl/>
        </w:rPr>
        <w:t xml:space="preserve"> ، بر ، بف » والوافي : « مسّهم »</w:t>
      </w:r>
      <w:r w:rsidR="008A74EB">
        <w:rPr>
          <w:rtl/>
        </w:rPr>
        <w:t>.</w:t>
      </w:r>
    </w:p>
    <w:tbl>
      <w:tblPr>
        <w:tblStyle w:val="TableGrid"/>
        <w:bidiVisual/>
        <w:tblW w:w="0" w:type="auto"/>
        <w:tblLook w:val="04A0" w:firstRow="1" w:lastRow="0" w:firstColumn="1" w:lastColumn="0" w:noHBand="0" w:noVBand="1"/>
      </w:tblPr>
      <w:tblGrid>
        <w:gridCol w:w="4006"/>
        <w:gridCol w:w="4006"/>
      </w:tblGrid>
      <w:tr w:rsidR="007124F1" w:rsidTr="007124F1">
        <w:tc>
          <w:tcPr>
            <w:tcW w:w="4006" w:type="dxa"/>
          </w:tcPr>
          <w:p w:rsidR="007124F1" w:rsidRDefault="007124F1" w:rsidP="004A4E41">
            <w:pPr>
              <w:pStyle w:val="libFootnote0"/>
              <w:rPr>
                <w:rtl/>
                <w:lang w:bidi="fa-IR"/>
              </w:rPr>
            </w:pPr>
            <w:r>
              <w:rPr>
                <w:rtl/>
              </w:rPr>
              <w:t>(13)</w:t>
            </w:r>
            <w:r w:rsidRPr="00C9040A">
              <w:rPr>
                <w:rtl/>
              </w:rPr>
              <w:t xml:space="preserve"> في « ج ، ص » : « طين »</w:t>
            </w:r>
            <w:r>
              <w:rPr>
                <w:rtl/>
              </w:rPr>
              <w:t>.</w:t>
            </w:r>
          </w:p>
        </w:tc>
        <w:tc>
          <w:tcPr>
            <w:tcW w:w="4006" w:type="dxa"/>
          </w:tcPr>
          <w:p w:rsidR="007124F1" w:rsidRDefault="007124F1" w:rsidP="004A4E41">
            <w:pPr>
              <w:pStyle w:val="libFootnote0"/>
              <w:rPr>
                <w:rtl/>
                <w:lang w:bidi="fa-IR"/>
              </w:rPr>
            </w:pPr>
            <w:r>
              <w:rPr>
                <w:rtl/>
              </w:rPr>
              <w:t>(14)</w:t>
            </w:r>
            <w:r w:rsidRPr="00C9040A">
              <w:rPr>
                <w:rtl/>
              </w:rPr>
              <w:t xml:space="preserve"> يج</w:t>
            </w:r>
            <w:r w:rsidR="008256C9">
              <w:rPr>
                <w:rtl/>
              </w:rPr>
              <w:t>وز فيه التخفيف. وفي «ج ، ص</w:t>
            </w:r>
            <w:r w:rsidRPr="00C9040A">
              <w:rPr>
                <w:rtl/>
              </w:rPr>
              <w:t xml:space="preserve">» : </w:t>
            </w:r>
            <w:r w:rsidR="008256C9">
              <w:rPr>
                <w:rtl/>
              </w:rPr>
              <w:t>«الدعارّة</w:t>
            </w:r>
            <w:r w:rsidRPr="00C9040A">
              <w:rPr>
                <w:rtl/>
              </w:rPr>
              <w:t>»</w:t>
            </w:r>
            <w:r>
              <w:rPr>
                <w:rtl/>
              </w:rPr>
              <w:t>.</w:t>
            </w:r>
          </w:p>
        </w:tc>
      </w:tr>
    </w:tbl>
    <w:p w:rsidR="008A74EB" w:rsidRPr="00C9040A" w:rsidRDefault="008A74EB" w:rsidP="004A4E41">
      <w:pPr>
        <w:pStyle w:val="libFootnote0"/>
        <w:rPr>
          <w:rtl/>
          <w:lang w:bidi="fa-IR"/>
        </w:rPr>
      </w:pPr>
      <w:r>
        <w:rPr>
          <w:rtl/>
        </w:rPr>
        <w:t>(15)</w:t>
      </w:r>
      <w:r w:rsidRPr="00C9040A">
        <w:rPr>
          <w:rtl/>
        </w:rPr>
        <w:t xml:space="preserve"> في « ب ، د ، ص ، ف ، بر » والوافي : « مسّهم »</w:t>
      </w:r>
      <w:r>
        <w:rPr>
          <w:rtl/>
        </w:rPr>
        <w:t>.</w:t>
      </w:r>
    </w:p>
    <w:p w:rsidR="008A74EB" w:rsidRPr="00C9040A" w:rsidRDefault="008A74EB" w:rsidP="004A4E41">
      <w:pPr>
        <w:pStyle w:val="libFootnote0"/>
        <w:rPr>
          <w:rtl/>
          <w:lang w:bidi="fa-IR"/>
        </w:rPr>
      </w:pPr>
      <w:r>
        <w:rPr>
          <w:rtl/>
        </w:rPr>
        <w:t>(16)</w:t>
      </w:r>
      <w:r w:rsidRPr="00C9040A">
        <w:rPr>
          <w:rtl/>
        </w:rPr>
        <w:t xml:space="preserve"> في البحار : « يعادون »</w:t>
      </w:r>
      <w:r>
        <w:rPr>
          <w:rtl/>
        </w:rPr>
        <w:t>.</w:t>
      </w:r>
    </w:p>
    <w:p w:rsidR="008A74EB" w:rsidRPr="00C9040A" w:rsidRDefault="008A74EB" w:rsidP="004A4E41">
      <w:pPr>
        <w:pStyle w:val="libFootnote0"/>
        <w:rPr>
          <w:rtl/>
          <w:lang w:bidi="fa-IR"/>
        </w:rPr>
      </w:pPr>
      <w:r>
        <w:rPr>
          <w:rtl/>
        </w:rPr>
        <w:t>(17)</w:t>
      </w:r>
      <w:r w:rsidRPr="00C9040A">
        <w:rPr>
          <w:rtl/>
        </w:rPr>
        <w:t xml:space="preserve"> </w:t>
      </w:r>
      <w:r w:rsidRPr="00993B55">
        <w:rPr>
          <w:rStyle w:val="libFootnoteBoldChar"/>
          <w:rtl/>
        </w:rPr>
        <w:t>المحاسن</w:t>
      </w:r>
      <w:r w:rsidRPr="00C9040A">
        <w:rPr>
          <w:rtl/>
        </w:rPr>
        <w:t xml:space="preserve"> ، ص 136 ، كتاب الصفوة ، ح 20 ، عن محمّد بن عليّ</w:t>
      </w:r>
      <w:r w:rsidR="001611AC">
        <w:rPr>
          <w:rFonts w:hint="cs"/>
          <w:rtl/>
        </w:rPr>
        <w:t>.</w:t>
      </w:r>
      <w:r w:rsidRPr="00993B55">
        <w:rPr>
          <w:rStyle w:val="libFootnoteBoldChar"/>
          <w:rtl/>
        </w:rPr>
        <w:t>الوافي</w:t>
      </w:r>
      <w:r w:rsidRPr="00C9040A">
        <w:rPr>
          <w:rtl/>
        </w:rPr>
        <w:t xml:space="preserve"> ، ج 4 ، ص 31 ، ح 1648 ؛ </w:t>
      </w:r>
      <w:r w:rsidRPr="00993B55">
        <w:rPr>
          <w:rStyle w:val="libFootnoteBoldChar"/>
          <w:rtl/>
        </w:rPr>
        <w:t>البحار</w:t>
      </w:r>
      <w:r w:rsidRPr="00C9040A">
        <w:rPr>
          <w:rtl/>
        </w:rPr>
        <w:t xml:space="preserve"> ، ج 67 ، ص 86 ، ح 9.</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824E80">
        <w:rPr>
          <w:rtl/>
        </w:rPr>
        <w:lastRenderedPageBreak/>
        <w:t>1454</w:t>
      </w:r>
      <w:r w:rsidRPr="00261CB0">
        <w:rPr>
          <w:rStyle w:val="libBold2Char"/>
          <w:rtl/>
        </w:rPr>
        <w:t xml:space="preserve"> / 6.</w:t>
      </w:r>
      <w:r w:rsidRPr="00C9040A">
        <w:rPr>
          <w:rtl/>
          <w:lang w:bidi="fa-IR"/>
        </w:rPr>
        <w:t xml:space="preserve"> مُحَمَّدُ بْنُ يَحْيى ، عَنْ أَحْمَدَ بْنِ مُحَمَّدٍ ، عَنْ مُحَمَّدِ بْنِ خَالِدٍ </w:t>
      </w:r>
      <w:r w:rsidR="006C577F" w:rsidRPr="006C577F">
        <w:rPr>
          <w:rStyle w:val="libFootnotenumChar"/>
          <w:rtl/>
        </w:rPr>
        <w:t>(1)</w:t>
      </w:r>
      <w:r w:rsidRPr="00C9040A">
        <w:rPr>
          <w:rtl/>
          <w:lang w:bidi="fa-IR"/>
        </w:rPr>
        <w:t>، عَنْ صَالِحِ بْنِ سَهْلٍ ، قَالَ :</w:t>
      </w:r>
    </w:p>
    <w:p w:rsidR="008A74EB" w:rsidRPr="00C9040A" w:rsidRDefault="008A74EB" w:rsidP="008A74EB">
      <w:pPr>
        <w:pStyle w:val="libNormal"/>
        <w:rPr>
          <w:rtl/>
          <w:lang w:bidi="fa-IR"/>
        </w:rPr>
      </w:pPr>
      <w:r w:rsidRPr="00C9040A">
        <w:rPr>
          <w:rtl/>
          <w:lang w:bidi="fa-IR"/>
        </w:rPr>
        <w:t xml:space="preserve">قُلْتُ لِأَبِي عَبْدِ اللهِ </w:t>
      </w:r>
      <w:r w:rsidRPr="0003660B">
        <w:rPr>
          <w:rStyle w:val="libAlaemChar"/>
          <w:rtl/>
        </w:rPr>
        <w:t>عليه‌السلام</w:t>
      </w:r>
      <w:r w:rsidRPr="00C9040A">
        <w:rPr>
          <w:rtl/>
          <w:lang w:bidi="fa-IR"/>
        </w:rPr>
        <w:t xml:space="preserve"> : الْمُؤْمِنُونَ </w:t>
      </w:r>
      <w:r w:rsidR="006C577F" w:rsidRPr="006C577F">
        <w:rPr>
          <w:rStyle w:val="libFootnotenumChar"/>
          <w:rtl/>
        </w:rPr>
        <w:t>(2)</w:t>
      </w:r>
      <w:r w:rsidRPr="00C9040A">
        <w:rPr>
          <w:rtl/>
          <w:lang w:bidi="fa-IR"/>
        </w:rPr>
        <w:t xml:space="preserve"> مِنْ طِينَةِ الْأَنْبِيَاءِ</w:t>
      </w:r>
      <w:r>
        <w:rPr>
          <w:rtl/>
          <w:lang w:bidi="fa-IR"/>
        </w:rPr>
        <w:t>؟</w:t>
      </w:r>
      <w:r w:rsidRPr="00C9040A">
        <w:rPr>
          <w:rtl/>
          <w:lang w:bidi="fa-IR"/>
        </w:rPr>
        <w:t xml:space="preserve"> قَالَ : « نَعَمْ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824E80">
        <w:rPr>
          <w:rtl/>
        </w:rPr>
        <w:t>1455</w:t>
      </w:r>
      <w:r w:rsidRPr="00261CB0">
        <w:rPr>
          <w:rStyle w:val="libBold2Char"/>
          <w:rtl/>
        </w:rPr>
        <w:t xml:space="preserve"> / 7.</w:t>
      </w:r>
      <w:r w:rsidRPr="00C9040A">
        <w:rPr>
          <w:rtl/>
          <w:lang w:bidi="fa-IR"/>
        </w:rPr>
        <w:t xml:space="preserve"> عَلِيُّ بْنُ مُحَمَّدٍ ، عَنْ صَالِحِ بْنِ أَبِي حَمَّادٍ </w:t>
      </w:r>
      <w:r w:rsidR="006C577F" w:rsidRPr="006C577F">
        <w:rPr>
          <w:rStyle w:val="libFootnotenumChar"/>
          <w:rtl/>
        </w:rPr>
        <w:t>(4)</w:t>
      </w:r>
      <w:r w:rsidRPr="00C9040A">
        <w:rPr>
          <w:rtl/>
          <w:lang w:bidi="fa-IR"/>
        </w:rPr>
        <w:t xml:space="preserve"> ، عَنِ الْحُسَيْنِ بْنِ يَزِيدَ </w:t>
      </w:r>
      <w:r w:rsidR="006C577F" w:rsidRPr="006C577F">
        <w:rPr>
          <w:rStyle w:val="libFootnotenumChar"/>
          <w:rtl/>
        </w:rPr>
        <w:t>(5)</w:t>
      </w:r>
      <w:r w:rsidRPr="00C9040A">
        <w:rPr>
          <w:rtl/>
          <w:lang w:bidi="fa-IR"/>
        </w:rPr>
        <w:t xml:space="preserve"> ، عَنِ الْحَسَنِ بْنِ عَلِيِّ بْنِ أَبِي حَمْزَةَ ، عَنْ إِبْرَاهِيمَ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لَمَّا أَرَادَ أَنْ يَخْلُقَ آدَمَ </w:t>
      </w:r>
      <w:r w:rsidRPr="0003660B">
        <w:rPr>
          <w:rStyle w:val="libAlaemChar"/>
          <w:rtl/>
        </w:rPr>
        <w:t>عليه‌السلام</w:t>
      </w:r>
      <w:r w:rsidRPr="00C9040A">
        <w:rPr>
          <w:rtl/>
          <w:lang w:bidi="fa-IR"/>
        </w:rPr>
        <w:t xml:space="preserve"> بَعَثَ جَبْرَئِيلَ </w:t>
      </w:r>
      <w:r w:rsidRPr="0003660B">
        <w:rPr>
          <w:rStyle w:val="libAlaemChar"/>
          <w:rtl/>
        </w:rPr>
        <w:t>عليه‌السلام</w:t>
      </w:r>
      <w:r w:rsidRPr="00C9040A">
        <w:rPr>
          <w:rtl/>
          <w:lang w:bidi="fa-IR"/>
        </w:rPr>
        <w:t xml:space="preserve"> فِي أَوَّلِ سَاعَةٍ مِنْ يَوْمِ الْجُمُعَةِ ، فَقَبَضَ بِيَمِينِهِ قَبْضَةً بَلَغَتْ </w:t>
      </w:r>
      <w:r w:rsidR="006C577F" w:rsidRPr="006C577F">
        <w:rPr>
          <w:rStyle w:val="libFootnotenumChar"/>
          <w:rtl/>
        </w:rPr>
        <w:t>(6)</w:t>
      </w:r>
      <w:r w:rsidRPr="005B567D">
        <w:rPr>
          <w:rStyle w:val="libFootnotenumChar"/>
          <w:rtl/>
        </w:rPr>
        <w:t xml:space="preserve"> </w:t>
      </w:r>
      <w:r w:rsidRPr="00C9040A">
        <w:rPr>
          <w:rtl/>
          <w:lang w:bidi="fa-IR"/>
        </w:rPr>
        <w:t>قَبْضَتُهُ مِنَ السَّمَاءِ السَّابِعَةِ إِلَى السَّمَاءِ الدُّنْيَا ، وَأَخَذَ مِنْ كُلِّ سَمَاءٍ تُرْبَةً ، وَقَبَضَ قَبْضَةً أُخْرى مِنَ الْأَرْضِ السَّابِعَةِ الْعُلْيَا إِلَى الْأَرْضِ السَّابِعَةِ الْقُصْوى ، فَأَمَرَ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كَلِمَتَهُ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 ز ، ض ، بس » : « أحمد بن محمّد بن خالد » بدل « أحمد بن محمّد عن محمّد بن خالد »</w:t>
      </w:r>
      <w:r w:rsidR="008A74EB">
        <w:rPr>
          <w:rtl/>
        </w:rPr>
        <w:t>.</w:t>
      </w:r>
      <w:r w:rsidR="008A74EB" w:rsidRPr="00C9040A">
        <w:rPr>
          <w:rtl/>
        </w:rPr>
        <w:t xml:space="preserve"> وهو سهو ؛ فقدروى الخبر أحمد بن محمّد بن خالد البرقي في </w:t>
      </w:r>
      <w:r w:rsidR="008A74EB" w:rsidRPr="00993B55">
        <w:rPr>
          <w:rStyle w:val="libFootnoteBoldChar"/>
          <w:rtl/>
        </w:rPr>
        <w:t>المحاسن</w:t>
      </w:r>
      <w:r w:rsidR="008A74EB" w:rsidRPr="00C9040A">
        <w:rPr>
          <w:rtl/>
        </w:rPr>
        <w:t xml:space="preserve"> ، ص 133 ، ح 8 ، عن أبيه ، عن صالح بن سهل من أهل همدان ، قال : قلت لأبي عبد الله </w:t>
      </w:r>
      <w:r w:rsidR="00117575" w:rsidRPr="00117575">
        <w:rPr>
          <w:rStyle w:val="libFootnoteAlaemChar"/>
          <w:rtl/>
        </w:rPr>
        <w:t xml:space="preserve">عليه‌السلام </w:t>
      </w:r>
      <w:r w:rsidR="008A74EB" w:rsidRPr="00C9040A">
        <w:rPr>
          <w:rtl/>
        </w:rPr>
        <w:t>. والظاهر أنّ الموجب للسقط في النسخ الثلاثة المذكورة ، هو جواز النظر من « محمّد » في « أحمد بن محمّد » إلى « محمّد » في « محمّد بن خالد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ف » والبصائر : « المؤمن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w:t>
      </w:r>
      <w:r w:rsidR="008A74EB" w:rsidRPr="00993B55">
        <w:rPr>
          <w:rStyle w:val="libFootnoteBoldChar"/>
          <w:rtl/>
        </w:rPr>
        <w:t>المحاسن</w:t>
      </w:r>
      <w:r w:rsidR="008A74EB" w:rsidRPr="00C9040A">
        <w:rPr>
          <w:rtl/>
        </w:rPr>
        <w:t xml:space="preserve"> ، ص 133 ، كتاب الصفوة ، ح 8. </w:t>
      </w:r>
      <w:r w:rsidR="008A74EB" w:rsidRPr="00993B55">
        <w:rPr>
          <w:rStyle w:val="libFootnoteBoldChar"/>
          <w:rtl/>
        </w:rPr>
        <w:t>بصائر الدرجات</w:t>
      </w:r>
      <w:r w:rsidR="008A74EB" w:rsidRPr="00C9040A">
        <w:rPr>
          <w:rtl/>
        </w:rPr>
        <w:t xml:space="preserve"> ، ص 18 ، ح 15 ، عن أحمد بن محمّد ، عن البرقي ، عن صالح بن سهل</w:t>
      </w:r>
      <w:r w:rsidR="001611AC">
        <w:rPr>
          <w:rFonts w:hint="cs"/>
          <w:rtl/>
        </w:rPr>
        <w:t>.</w:t>
      </w:r>
      <w:r w:rsidR="008A74EB" w:rsidRPr="00993B55">
        <w:rPr>
          <w:rStyle w:val="libFootnoteBoldChar"/>
          <w:rtl/>
        </w:rPr>
        <w:t>الوافي</w:t>
      </w:r>
      <w:r w:rsidR="008A74EB" w:rsidRPr="00C9040A">
        <w:rPr>
          <w:rtl/>
        </w:rPr>
        <w:t xml:space="preserve"> ، ج 4 ، ص 29 ، ح 1646 ؛ </w:t>
      </w:r>
      <w:r w:rsidR="008A74EB" w:rsidRPr="00993B55">
        <w:rPr>
          <w:rStyle w:val="libFootnoteBoldChar"/>
          <w:rtl/>
        </w:rPr>
        <w:t>البحار</w:t>
      </w:r>
      <w:r w:rsidR="008A74EB" w:rsidRPr="00C9040A">
        <w:rPr>
          <w:rtl/>
        </w:rPr>
        <w:t xml:space="preserve"> ، ج 67 ، ص 93 ، ح 13.</w:t>
      </w:r>
    </w:p>
    <w:p w:rsidR="008A74EB" w:rsidRPr="00C9040A" w:rsidRDefault="006C577F" w:rsidP="004A4E41">
      <w:pPr>
        <w:pStyle w:val="libFootnote0"/>
        <w:rPr>
          <w:rtl/>
          <w:lang w:bidi="fa-IR"/>
        </w:rPr>
      </w:pPr>
      <w:r>
        <w:rPr>
          <w:rtl/>
        </w:rPr>
        <w:t>(4).</w:t>
      </w:r>
      <w:r w:rsidR="008A74EB" w:rsidRPr="00C9040A">
        <w:rPr>
          <w:rtl/>
        </w:rPr>
        <w:t xml:space="preserve"> في « ف » وحاشية « ص » : « صالح بن سهل بن محمّد »</w:t>
      </w:r>
      <w:r w:rsidR="008A74EB">
        <w:rPr>
          <w:rtl/>
        </w:rPr>
        <w:t>.</w:t>
      </w:r>
      <w:r w:rsidR="008A74EB" w:rsidRPr="00C9040A">
        <w:rPr>
          <w:rtl/>
        </w:rPr>
        <w:t xml:space="preserve"> لكنّه سهو ؛ فقد وردت رواية عليّ بن محمّد ، عن صالح‌بن أبي حمّاد ، عن الحسين بن يزيد في </w:t>
      </w:r>
      <w:r w:rsidR="008A74EB" w:rsidRPr="00993B55">
        <w:rPr>
          <w:rStyle w:val="libFootnoteBoldChar"/>
          <w:rtl/>
        </w:rPr>
        <w:t>الكافي</w:t>
      </w:r>
      <w:r w:rsidR="008A74EB" w:rsidRPr="00C9040A">
        <w:rPr>
          <w:rtl/>
        </w:rPr>
        <w:t xml:space="preserve"> ، ح 308 </w:t>
      </w:r>
      <w:r w:rsidR="008A74EB">
        <w:rPr>
          <w:rtl/>
        </w:rPr>
        <w:t>و 3</w:t>
      </w:r>
      <w:r w:rsidR="008A74EB" w:rsidRPr="00C9040A">
        <w:rPr>
          <w:rtl/>
        </w:rPr>
        <w:t xml:space="preserve">51 </w:t>
      </w:r>
      <w:r w:rsidR="008A74EB">
        <w:rPr>
          <w:rtl/>
        </w:rPr>
        <w:t>و 6</w:t>
      </w:r>
      <w:r w:rsidR="008A74EB" w:rsidRPr="00C9040A">
        <w:rPr>
          <w:rtl/>
        </w:rPr>
        <w:t xml:space="preserve">718 </w:t>
      </w:r>
      <w:r w:rsidR="008A74EB">
        <w:rPr>
          <w:rtl/>
        </w:rPr>
        <w:t>و 1</w:t>
      </w:r>
      <w:r w:rsidR="008A74EB" w:rsidRPr="00C9040A">
        <w:rPr>
          <w:rtl/>
        </w:rPr>
        <w:t xml:space="preserve">2225 </w:t>
      </w:r>
      <w:r w:rsidR="008A74EB">
        <w:rPr>
          <w:rtl/>
        </w:rPr>
        <w:t>و 1</w:t>
      </w:r>
      <w:r w:rsidR="008A74EB" w:rsidRPr="00C9040A">
        <w:rPr>
          <w:rtl/>
        </w:rPr>
        <w:t>2861. والظاهر أنّ الجميع قطعات من رواية واحدة.</w:t>
      </w:r>
    </w:p>
    <w:p w:rsidR="008A74EB" w:rsidRPr="00C9040A" w:rsidRDefault="006C577F" w:rsidP="004A4E41">
      <w:pPr>
        <w:pStyle w:val="libFootnote0"/>
        <w:rPr>
          <w:rtl/>
          <w:lang w:bidi="fa-IR"/>
        </w:rPr>
      </w:pPr>
      <w:r>
        <w:rPr>
          <w:rtl/>
        </w:rPr>
        <w:t>(5).</w:t>
      </w:r>
      <w:r w:rsidR="008A74EB" w:rsidRPr="00C9040A">
        <w:rPr>
          <w:rtl/>
        </w:rPr>
        <w:t xml:space="preserve"> في « ض ، بس ، جر » وحاشية « ج ، د ، ز ، ف ، بر » والبحار : « الحسين بن زيد »</w:t>
      </w:r>
      <w:r w:rsidR="008A74EB">
        <w:rPr>
          <w:rtl/>
        </w:rPr>
        <w:t>.</w:t>
      </w:r>
      <w:r w:rsidR="008A74EB" w:rsidRPr="00C9040A">
        <w:rPr>
          <w:rtl/>
        </w:rPr>
        <w:t xml:space="preserve"> وفي « ف » : « الحسن بن يزيد »</w:t>
      </w:r>
      <w:r w:rsidR="008A74EB">
        <w:rPr>
          <w:rtl/>
        </w:rPr>
        <w:t>.</w:t>
      </w:r>
      <w:r w:rsidR="008A74EB" w:rsidRPr="00C9040A">
        <w:rPr>
          <w:rtl/>
        </w:rPr>
        <w:t xml:space="preserve"> والحسين هذا ، هو الحسين بن يزيد النوفلي ؛ فقد روى علي بن محمّد ، عن صالح بن أبي حمّاد ، عن الحسين بن يزيد النوفلي ، عن الحسن بن عليّ بن أبي حمزة في </w:t>
      </w:r>
      <w:r w:rsidR="008A74EB" w:rsidRPr="00993B55">
        <w:rPr>
          <w:rStyle w:val="libFootnoteBoldChar"/>
          <w:rtl/>
        </w:rPr>
        <w:t>الكافي</w:t>
      </w:r>
      <w:r w:rsidR="008A74EB" w:rsidRPr="00C9040A">
        <w:rPr>
          <w:rtl/>
        </w:rPr>
        <w:t xml:space="preserve"> ، ح 351 ، ووردت رواية الحسين بن يزيد النوفلي ، عن الحسن بن عليّ بن أبي حمزة في </w:t>
      </w:r>
      <w:r w:rsidR="008A74EB" w:rsidRPr="0034021D">
        <w:rPr>
          <w:rStyle w:val="libFootnoteBoldChar"/>
          <w:rtl/>
        </w:rPr>
        <w:t>الأمالي للصدوق</w:t>
      </w:r>
      <w:r w:rsidR="008A74EB" w:rsidRPr="00C9040A">
        <w:rPr>
          <w:rtl/>
        </w:rPr>
        <w:t xml:space="preserve"> ، ص 99 ، المجلس 24 ، ح 2 ؛ وص 167 ، المجلس 36 ، ح 11 ؛ وص 383 ، المجلس 72 ، ح 10 ؛ و</w:t>
      </w:r>
      <w:r w:rsidR="008A74EB" w:rsidRPr="00993B55">
        <w:rPr>
          <w:rStyle w:val="libFootnoteBoldChar"/>
          <w:rtl/>
        </w:rPr>
        <w:t>كمال الدين</w:t>
      </w:r>
      <w:r w:rsidR="008A74EB" w:rsidRPr="00C9040A">
        <w:rPr>
          <w:rtl/>
        </w:rPr>
        <w:t xml:space="preserve"> ، ص 329 ، ح 11 ؛ و</w:t>
      </w:r>
      <w:r w:rsidR="008A74EB" w:rsidRPr="00993B55">
        <w:rPr>
          <w:rStyle w:val="libFootnoteBoldChar"/>
          <w:rtl/>
        </w:rPr>
        <w:t>معاني الأخبار</w:t>
      </w:r>
      <w:r w:rsidR="008A74EB" w:rsidRPr="00C9040A">
        <w:rPr>
          <w:rtl/>
        </w:rPr>
        <w:t xml:space="preserve"> ، ص 131 ، ح 1 ؛ و</w:t>
      </w:r>
      <w:r w:rsidR="008A74EB" w:rsidRPr="00993B55">
        <w:rPr>
          <w:rStyle w:val="libFootnoteBoldChar"/>
          <w:rtl/>
        </w:rPr>
        <w:t>عيون الأخبار</w:t>
      </w:r>
      <w:r w:rsidR="008A74EB" w:rsidRPr="00C9040A">
        <w:rPr>
          <w:rtl/>
        </w:rPr>
        <w:t xml:space="preserve"> ، ج 1 ، ص 59 ، ح 28.</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البحار : « فبلغت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فَأَمْسَكَ الْقَبْضَةَ الْأُولى بِيَمِينِهِ ، وَالْقَبْضَةَ </w:t>
      </w:r>
      <w:r w:rsidR="006C577F" w:rsidRPr="006C577F">
        <w:rPr>
          <w:rStyle w:val="libFootnotenumChar"/>
          <w:rtl/>
        </w:rPr>
        <w:t>(1)</w:t>
      </w:r>
      <w:r w:rsidRPr="00E711C7">
        <w:rPr>
          <w:rFonts w:hint="cs"/>
          <w:rtl/>
        </w:rPr>
        <w:t xml:space="preserve"> </w:t>
      </w:r>
      <w:r w:rsidRPr="00C9040A">
        <w:rPr>
          <w:rtl/>
          <w:lang w:bidi="fa-IR"/>
        </w:rPr>
        <w:t xml:space="preserve">الْأُخْرى بِشِمَالِهِ ، فَفَلَقَ </w:t>
      </w:r>
      <w:r w:rsidR="006C577F" w:rsidRPr="006C577F">
        <w:rPr>
          <w:rStyle w:val="libFootnotenumChar"/>
          <w:rtl/>
        </w:rPr>
        <w:t>(2)</w:t>
      </w:r>
      <w:r w:rsidRPr="00C9040A">
        <w:rPr>
          <w:rtl/>
          <w:lang w:bidi="fa-IR"/>
        </w:rPr>
        <w:t xml:space="preserve"> الطِّينَ فِلْقَتَيْنِ ، فَذَرَا </w:t>
      </w:r>
      <w:r w:rsidR="006C577F" w:rsidRPr="006C577F">
        <w:rPr>
          <w:rStyle w:val="libFootnotenumChar"/>
          <w:rtl/>
        </w:rPr>
        <w:t>(3)</w:t>
      </w:r>
      <w:r w:rsidRPr="00C9040A">
        <w:rPr>
          <w:rtl/>
          <w:lang w:bidi="fa-IR"/>
        </w:rPr>
        <w:t xml:space="preserve"> مِنَ الْأَرْضِ ذَرْواً ، وَمِنَ السَّمَاوَاتِ ذَرْواً ، فَقَالَ لِلَّذِي بِيَمِينِهِ : مِنْكَ الرُّسُلُ وَالْأَنْبِيَاءُ </w:t>
      </w:r>
      <w:r w:rsidR="006C577F" w:rsidRPr="006C577F">
        <w:rPr>
          <w:rStyle w:val="libFootnotenumChar"/>
          <w:rtl/>
        </w:rPr>
        <w:t>(4)</w:t>
      </w:r>
      <w:r w:rsidRPr="00C9040A">
        <w:rPr>
          <w:rtl/>
          <w:lang w:bidi="fa-IR"/>
        </w:rPr>
        <w:t xml:space="preserve"> وَالْأَوْصِيَاءُ وَالصِّدِّيقُونَ وَالْمُؤْمِنُونَ وَالسُّعَدَاءُ وَمَنْ أُرِيدُ كَرَامَتَهُ ، فَوَجَبَ </w:t>
      </w:r>
      <w:r w:rsidR="006C577F" w:rsidRPr="006C577F">
        <w:rPr>
          <w:rStyle w:val="libFootnotenumChar"/>
          <w:rtl/>
        </w:rPr>
        <w:t>(5)</w:t>
      </w:r>
      <w:r w:rsidRPr="00C9040A">
        <w:rPr>
          <w:rtl/>
          <w:lang w:bidi="fa-IR"/>
        </w:rPr>
        <w:t xml:space="preserve"> لَهُمْ مَا قَالَ كَمَا قَالَ ، وَقَالَ لِلَّذِي بِشِمَالِهِ : مِنْكَ الْجَبَّارُونَ وَالْمُشْرِكُونَ وَالْكَافِرُونَ وَالطَّوَاغِيتُ وَمَنْ أُرِيدُ هَوَانَهُ وَشِقْوَتَهُ ، فَوَجَبَ لَهُمْ مَا قَالَ كَمَا قَالَ.</w:t>
      </w:r>
    </w:p>
    <w:p w:rsidR="008A74EB" w:rsidRPr="00C9040A" w:rsidRDefault="008A74EB" w:rsidP="008A74EB">
      <w:pPr>
        <w:pStyle w:val="libNormal"/>
        <w:rPr>
          <w:rtl/>
          <w:lang w:bidi="fa-IR"/>
        </w:rPr>
      </w:pPr>
      <w:r w:rsidRPr="00C9040A">
        <w:rPr>
          <w:rtl/>
          <w:lang w:bidi="fa-IR"/>
        </w:rPr>
        <w:t xml:space="preserve">ثُمَّ إِنَّ الطِّينَتَيْنِ </w:t>
      </w:r>
      <w:r w:rsidR="006C577F" w:rsidRPr="006C577F">
        <w:rPr>
          <w:rStyle w:val="libFootnotenumChar"/>
          <w:rtl/>
        </w:rPr>
        <w:t>(6)</w:t>
      </w:r>
      <w:r w:rsidRPr="005B567D">
        <w:rPr>
          <w:rStyle w:val="libFootnotenumChar"/>
          <w:rtl/>
        </w:rPr>
        <w:t xml:space="preserve"> </w:t>
      </w:r>
      <w:r w:rsidRPr="00C9040A">
        <w:rPr>
          <w:rtl/>
          <w:lang w:bidi="fa-IR"/>
        </w:rPr>
        <w:t xml:space="preserve">خُلِطَتَا جَمِيعاً ، وَذلِكَ قَوْلُ اللهِ عَزَّ وَجَلَّ : </w:t>
      </w:r>
      <w:r w:rsidRPr="0003660B">
        <w:rPr>
          <w:rStyle w:val="libAlaemChar"/>
          <w:rtl/>
        </w:rPr>
        <w:t>(</w:t>
      </w:r>
      <w:r w:rsidRPr="006A2246">
        <w:rPr>
          <w:rStyle w:val="libAieChar"/>
          <w:rtl/>
        </w:rPr>
        <w:t xml:space="preserve"> إِنَّ اللهَ فالِقُ الْحَبِّ وَالنَّوى </w:t>
      </w:r>
      <w:r w:rsidRPr="0003660B">
        <w:rPr>
          <w:rStyle w:val="libAlaemChar"/>
          <w:rtl/>
        </w:rPr>
        <w:t>)</w:t>
      </w:r>
      <w:r w:rsidRPr="00C9040A">
        <w:rPr>
          <w:rtl/>
          <w:lang w:bidi="fa-IR"/>
        </w:rPr>
        <w:t xml:space="preserve"> </w:t>
      </w:r>
      <w:r w:rsidR="006C577F" w:rsidRPr="006C577F">
        <w:rPr>
          <w:rStyle w:val="libFootnotenumChar"/>
          <w:rtl/>
        </w:rPr>
        <w:t>(7)</w:t>
      </w:r>
      <w:r w:rsidRPr="00C9040A">
        <w:rPr>
          <w:rtl/>
          <w:lang w:bidi="fa-IR"/>
        </w:rPr>
        <w:t xml:space="preserve"> ، فَالْحَبُّ طِينَةُ الْمُؤْمِنِينَ </w:t>
      </w:r>
      <w:r w:rsidR="006C577F" w:rsidRPr="006C577F">
        <w:rPr>
          <w:rStyle w:val="libFootnotenumChar"/>
          <w:rtl/>
        </w:rPr>
        <w:t>(8)</w:t>
      </w:r>
      <w:r w:rsidRPr="00C9040A">
        <w:rPr>
          <w:rtl/>
          <w:lang w:bidi="fa-IR"/>
        </w:rPr>
        <w:t xml:space="preserve"> الَّتِي </w:t>
      </w:r>
      <w:r w:rsidR="006C577F" w:rsidRPr="006C577F">
        <w:rPr>
          <w:rStyle w:val="libFootnotenumChar"/>
          <w:rtl/>
        </w:rPr>
        <w:t>(9)</w:t>
      </w:r>
      <w:r w:rsidRPr="00C9040A">
        <w:rPr>
          <w:rtl/>
          <w:lang w:bidi="fa-IR"/>
        </w:rPr>
        <w:t xml:space="preserve"> أَلْقَى اللهُ عَلَيْهَا مَحَبَّتَهُ ، وَالنَّوى طِينَةُ الْكَافِرِينَ الَّذِينَ نَأَوْا </w:t>
      </w:r>
      <w:r w:rsidR="006C577F" w:rsidRPr="006C577F">
        <w:rPr>
          <w:rStyle w:val="libFootnotenumChar"/>
          <w:rtl/>
        </w:rPr>
        <w:t>(10)</w:t>
      </w:r>
      <w:r w:rsidRPr="00C9040A">
        <w:rPr>
          <w:rtl/>
          <w:lang w:bidi="fa-IR"/>
        </w:rPr>
        <w:t xml:space="preserve"> عَنْ كُلِّ خَيْرٍ ، وَإِنَّمَا سُمِّيَ النَّوى مِنْ أَجْلِ أَنَّهُ نَأى </w:t>
      </w:r>
      <w:r w:rsidR="006C577F" w:rsidRPr="006C577F">
        <w:rPr>
          <w:rStyle w:val="libFootnotenumChar"/>
          <w:rtl/>
        </w:rPr>
        <w:t>(11)</w:t>
      </w:r>
      <w:r w:rsidRPr="00C9040A">
        <w:rPr>
          <w:rtl/>
          <w:lang w:bidi="fa-IR"/>
        </w:rPr>
        <w:t xml:space="preserve"> عَنْ </w:t>
      </w:r>
      <w:r w:rsidR="006C577F" w:rsidRPr="006C577F">
        <w:rPr>
          <w:rStyle w:val="libFootnotenumChar"/>
          <w:rtl/>
        </w:rPr>
        <w:t>(12)</w:t>
      </w:r>
      <w:r w:rsidRPr="00C9040A">
        <w:rPr>
          <w:rtl/>
          <w:lang w:bidi="fa-IR"/>
        </w:rPr>
        <w:t xml:space="preserve"> كُلِّ خَيْرٍ وَتَبَاعَدَ عَنْهُ </w:t>
      </w:r>
      <w:r w:rsidRPr="005B567D">
        <w:rPr>
          <w:rStyle w:val="libFootnotenumChar"/>
          <w:rtl/>
        </w:rPr>
        <w:t>(13)</w:t>
      </w:r>
    </w:p>
    <w:p w:rsidR="008A74EB" w:rsidRPr="00C9040A" w:rsidRDefault="008A74EB" w:rsidP="008A74EB">
      <w:pPr>
        <w:pStyle w:val="libNormal"/>
        <w:rPr>
          <w:rtl/>
          <w:lang w:bidi="fa-IR"/>
        </w:rPr>
      </w:pPr>
      <w:r w:rsidRPr="00C9040A">
        <w:rPr>
          <w:rtl/>
          <w:lang w:bidi="fa-IR"/>
        </w:rPr>
        <w:t xml:space="preserve">وَقَالَ اللهُ عَزَّ وَجَلَّ : </w:t>
      </w:r>
      <w:r w:rsidRPr="0003660B">
        <w:rPr>
          <w:rStyle w:val="libAlaemChar"/>
          <w:rtl/>
        </w:rPr>
        <w:t>(</w:t>
      </w:r>
      <w:r w:rsidRPr="006A2246">
        <w:rPr>
          <w:rStyle w:val="libAieChar"/>
          <w:rtl/>
        </w:rPr>
        <w:t xml:space="preserve"> يُخْرِجُ الْحَيَّ مِنَ الْمَيِّتِ وَمُخْرِجُ الْمَيِّتِ مِنَ الْحَيِّ </w:t>
      </w:r>
      <w:r w:rsidRPr="0003660B">
        <w:rPr>
          <w:rStyle w:val="libAlaemChar"/>
          <w:rtl/>
        </w:rPr>
        <w:t>)</w:t>
      </w:r>
      <w:r w:rsidRPr="00C9040A">
        <w:rPr>
          <w:rtl/>
          <w:lang w:bidi="fa-IR"/>
        </w:rPr>
        <w:t xml:space="preserve"> </w:t>
      </w:r>
      <w:r w:rsidRPr="005B567D">
        <w:rPr>
          <w:rStyle w:val="libFootnotenumChar"/>
          <w:rtl/>
        </w:rPr>
        <w:t>(14)</w:t>
      </w:r>
      <w:r w:rsidRPr="00C9040A">
        <w:rPr>
          <w:rtl/>
          <w:lang w:bidi="fa-IR"/>
        </w:rPr>
        <w:t xml:space="preserve"> فَالْحَيُّ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 ص » </w:t>
      </w:r>
      <w:r w:rsidR="008A74EB">
        <w:rPr>
          <w:rtl/>
        </w:rPr>
        <w:t xml:space="preserve">: </w:t>
      </w:r>
      <w:r w:rsidR="0084262C">
        <w:rPr>
          <w:rtl/>
        </w:rPr>
        <w:t>-</w:t>
      </w:r>
      <w:r w:rsidR="008A74EB" w:rsidRPr="00C9040A">
        <w:rPr>
          <w:rtl/>
        </w:rPr>
        <w:t xml:space="preserve"> « القبضة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 الفَلْق » : شقّ الشي‌ء وإبانة بعضه عن بعض. يقال : فلقتُه فانفلق. والفِلْقَة : القِطْعَة وزناً ومعنىً. راجع : </w:t>
      </w:r>
      <w:r w:rsidR="008A74EB" w:rsidRPr="00993B55">
        <w:rPr>
          <w:rStyle w:val="libFootnoteBoldChar"/>
          <w:rtl/>
        </w:rPr>
        <w:t>المفردات</w:t>
      </w:r>
      <w:r w:rsidR="008A74EB" w:rsidRPr="00C9040A">
        <w:rPr>
          <w:rtl/>
        </w:rPr>
        <w:t xml:space="preserve"> للراغب ، ص 645 ؛ </w:t>
      </w:r>
      <w:r w:rsidR="008A74EB" w:rsidRPr="00993B55">
        <w:rPr>
          <w:rStyle w:val="libFootnoteBoldChar"/>
          <w:rtl/>
        </w:rPr>
        <w:t>المصباح</w:t>
      </w:r>
      <w:r w:rsidR="008A74EB" w:rsidRPr="00C9040A">
        <w:rPr>
          <w:rtl/>
        </w:rPr>
        <w:t xml:space="preserve"> المنير ، ص 481 ( فلق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ج ، ز ، ص ، بف » : « فذرأ » بالهمزة. وهو بمعنى خلق وكثّر وبذر. وأمّا « ذرا » فهو من الذَرْو بمعنى‌الإذهاب والتفريق والإطارة ، وعليه فالفاعل ضمير راجع إلى الله</w:t>
      </w:r>
      <w:r w:rsidR="00A97C80">
        <w:rPr>
          <w:rtl/>
        </w:rPr>
        <w:t xml:space="preserve"> تعالى أو جبرئيل. واختاره العل</w:t>
      </w:r>
      <w:r w:rsidR="00A97C80">
        <w:rPr>
          <w:rFonts w:hint="cs"/>
          <w:rtl/>
        </w:rPr>
        <w:t>ّ</w:t>
      </w:r>
      <w:r w:rsidR="00A97C80">
        <w:rPr>
          <w:rtl/>
        </w:rPr>
        <w:t>ا</w:t>
      </w:r>
      <w:r w:rsidR="008A74EB" w:rsidRPr="00C9040A">
        <w:rPr>
          <w:rtl/>
        </w:rPr>
        <w:t>مة المجلسي. وبمعنى الذهاب والطيران ، والضمير راجع إلى الطين ، والمعنى : تحرّز وتفرّق سري</w:t>
      </w:r>
      <w:r w:rsidR="00A97C80">
        <w:rPr>
          <w:rtl/>
        </w:rPr>
        <w:t>عاً. واختاره العل</w:t>
      </w:r>
      <w:r w:rsidR="00A97C80">
        <w:rPr>
          <w:rFonts w:hint="cs"/>
          <w:rtl/>
        </w:rPr>
        <w:t>ّ</w:t>
      </w:r>
      <w:r w:rsidR="00A97C80">
        <w:rPr>
          <w:rtl/>
        </w:rPr>
        <w:t>ا</w:t>
      </w:r>
      <w:r w:rsidR="008A74EB" w:rsidRPr="00C9040A">
        <w:rPr>
          <w:rtl/>
        </w:rPr>
        <w:t xml:space="preserve">مة المازندراني. راجع : </w:t>
      </w:r>
      <w:r w:rsidR="008A74EB" w:rsidRPr="00993B55">
        <w:rPr>
          <w:rStyle w:val="libFootnoteBoldChar"/>
          <w:rtl/>
        </w:rPr>
        <w:t>لسان العرب</w:t>
      </w:r>
      <w:r w:rsidR="008A74EB" w:rsidRPr="00C9040A">
        <w:rPr>
          <w:rtl/>
        </w:rPr>
        <w:t xml:space="preserve"> ، ج 14 ، ص 282 ؛ </w:t>
      </w:r>
      <w:r w:rsidR="008A74EB" w:rsidRPr="00993B55">
        <w:rPr>
          <w:rStyle w:val="libFootnoteBoldChar"/>
          <w:rtl/>
        </w:rPr>
        <w:t>القاموس المحيط</w:t>
      </w:r>
      <w:r w:rsidR="008A74EB" w:rsidRPr="00C9040A">
        <w:rPr>
          <w:rtl/>
        </w:rPr>
        <w:t xml:space="preserve"> ، ج 2 ، ص 1686 ( ذرا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ص ، ف » : « الأنبياء والرسل »</w:t>
      </w:r>
      <w:r w:rsidR="008A74EB">
        <w:rPr>
          <w:rtl/>
        </w:rPr>
        <w:t>.</w:t>
      </w:r>
    </w:p>
    <w:p w:rsidR="008A74EB" w:rsidRPr="004A4E41" w:rsidRDefault="006C577F" w:rsidP="004A4E41">
      <w:pPr>
        <w:pStyle w:val="libFootnote0"/>
        <w:rPr>
          <w:rStyle w:val="libFootnote0Char"/>
          <w:rtl/>
        </w:rPr>
      </w:pPr>
      <w:r>
        <w:rPr>
          <w:rtl/>
        </w:rPr>
        <w:t>(5).</w:t>
      </w:r>
      <w:r w:rsidR="008A74EB" w:rsidRPr="00C9040A">
        <w:rPr>
          <w:rtl/>
        </w:rPr>
        <w:t xml:space="preserve"> في « ض ، بف » : « فوجبت »</w:t>
      </w:r>
      <w:r w:rsidR="008A74EB">
        <w:rPr>
          <w:rtl/>
        </w:rPr>
        <w:t>.</w:t>
      </w:r>
    </w:p>
    <w:tbl>
      <w:tblPr>
        <w:tblStyle w:val="TableGrid"/>
        <w:bidiVisual/>
        <w:tblW w:w="0" w:type="auto"/>
        <w:tblLook w:val="04A0" w:firstRow="1" w:lastRow="0" w:firstColumn="1" w:lastColumn="0" w:noHBand="0" w:noVBand="1"/>
      </w:tblPr>
      <w:tblGrid>
        <w:gridCol w:w="4006"/>
        <w:gridCol w:w="4006"/>
      </w:tblGrid>
      <w:tr w:rsidR="00A97C80" w:rsidTr="00A97C80">
        <w:tc>
          <w:tcPr>
            <w:tcW w:w="4006" w:type="dxa"/>
          </w:tcPr>
          <w:p w:rsidR="00A97C80" w:rsidRDefault="006C577F" w:rsidP="004A4E41">
            <w:pPr>
              <w:pStyle w:val="libFootnote0"/>
              <w:rPr>
                <w:rtl/>
              </w:rPr>
            </w:pPr>
            <w:r>
              <w:rPr>
                <w:rtl/>
              </w:rPr>
              <w:t>(6).</w:t>
            </w:r>
            <w:r w:rsidR="00A97C80">
              <w:rPr>
                <w:rtl/>
              </w:rPr>
              <w:t xml:space="preserve"> </w:t>
            </w:r>
            <w:r w:rsidR="00A97C80" w:rsidRPr="00C9040A">
              <w:rPr>
                <w:rtl/>
              </w:rPr>
              <w:t xml:space="preserve">في « </w:t>
            </w:r>
            <w:r w:rsidR="00A97C80">
              <w:rPr>
                <w:rtl/>
              </w:rPr>
              <w:t>ه</w:t>
            </w:r>
            <w:r w:rsidR="00A97C80" w:rsidRPr="00C9040A">
              <w:rPr>
                <w:rtl/>
              </w:rPr>
              <w:t xml:space="preserve"> » : « الطينين »</w:t>
            </w:r>
            <w:r w:rsidR="00A97C80">
              <w:rPr>
                <w:rtl/>
              </w:rPr>
              <w:t>.</w:t>
            </w:r>
          </w:p>
        </w:tc>
        <w:tc>
          <w:tcPr>
            <w:tcW w:w="4006" w:type="dxa"/>
          </w:tcPr>
          <w:p w:rsidR="00A97C80" w:rsidRDefault="006C577F" w:rsidP="004A4E41">
            <w:pPr>
              <w:pStyle w:val="libFootnote0"/>
              <w:rPr>
                <w:rtl/>
              </w:rPr>
            </w:pPr>
            <w:r>
              <w:rPr>
                <w:rtl/>
              </w:rPr>
              <w:t>(7).</w:t>
            </w:r>
            <w:r w:rsidR="00A97C80" w:rsidRPr="00C9040A">
              <w:rPr>
                <w:rtl/>
              </w:rPr>
              <w:t xml:space="preserve"> الأنعام </w:t>
            </w:r>
            <w:r>
              <w:rPr>
                <w:rtl/>
              </w:rPr>
              <w:t>(6).</w:t>
            </w:r>
            <w:r w:rsidR="00A97C80">
              <w:rPr>
                <w:rtl/>
              </w:rPr>
              <w:t xml:space="preserve"> </w:t>
            </w:r>
            <w:r w:rsidR="00A97C80" w:rsidRPr="00C9040A">
              <w:rPr>
                <w:rtl/>
              </w:rPr>
              <w:t>: 95.</w:t>
            </w:r>
          </w:p>
        </w:tc>
      </w:tr>
      <w:tr w:rsidR="00A97C80" w:rsidTr="00A97C80">
        <w:tc>
          <w:tcPr>
            <w:tcW w:w="4006" w:type="dxa"/>
          </w:tcPr>
          <w:p w:rsidR="00A97C80" w:rsidRDefault="006C577F" w:rsidP="004A4E41">
            <w:pPr>
              <w:pStyle w:val="libFootnote0"/>
              <w:rPr>
                <w:rtl/>
              </w:rPr>
            </w:pPr>
            <w:r>
              <w:rPr>
                <w:rtl/>
              </w:rPr>
              <w:t>(8).</w:t>
            </w:r>
            <w:r w:rsidR="00A97C80" w:rsidRPr="00C9040A">
              <w:rPr>
                <w:rtl/>
              </w:rPr>
              <w:t xml:space="preserve"> في « ف ، </w:t>
            </w:r>
            <w:r w:rsidR="00A97C80">
              <w:rPr>
                <w:rtl/>
              </w:rPr>
              <w:t>ه</w:t>
            </w:r>
            <w:r w:rsidR="00A97C80" w:rsidRPr="00C9040A">
              <w:rPr>
                <w:rtl/>
              </w:rPr>
              <w:t xml:space="preserve"> » : « المؤمن »</w:t>
            </w:r>
            <w:r w:rsidR="00A97C80">
              <w:rPr>
                <w:rtl/>
              </w:rPr>
              <w:t>.</w:t>
            </w:r>
          </w:p>
        </w:tc>
        <w:tc>
          <w:tcPr>
            <w:tcW w:w="4006" w:type="dxa"/>
          </w:tcPr>
          <w:p w:rsidR="00A97C80" w:rsidRDefault="006C577F" w:rsidP="004A4E41">
            <w:pPr>
              <w:pStyle w:val="libFootnote0"/>
              <w:rPr>
                <w:rtl/>
              </w:rPr>
            </w:pPr>
            <w:r>
              <w:rPr>
                <w:rtl/>
              </w:rPr>
              <w:t>(9).</w:t>
            </w:r>
            <w:r w:rsidR="00A97C80" w:rsidRPr="00C9040A">
              <w:rPr>
                <w:rtl/>
              </w:rPr>
              <w:t xml:space="preserve"> في الوافي </w:t>
            </w:r>
            <w:r w:rsidR="00A97C80">
              <w:rPr>
                <w:rtl/>
              </w:rPr>
              <w:t>: -</w:t>
            </w:r>
            <w:r w:rsidR="00A97C80" w:rsidRPr="00C9040A">
              <w:rPr>
                <w:rtl/>
              </w:rPr>
              <w:t xml:space="preserve"> « التي »</w:t>
            </w:r>
            <w:r w:rsidR="00A97C80">
              <w:rPr>
                <w:rtl/>
              </w:rPr>
              <w:t>.</w:t>
            </w:r>
          </w:p>
        </w:tc>
      </w:tr>
    </w:tbl>
    <w:p w:rsidR="008A74EB" w:rsidRPr="00C9040A" w:rsidRDefault="006C577F" w:rsidP="004A4E41">
      <w:pPr>
        <w:pStyle w:val="libFootnote0"/>
        <w:rPr>
          <w:rtl/>
          <w:lang w:bidi="fa-IR"/>
        </w:rPr>
      </w:pPr>
      <w:r>
        <w:rPr>
          <w:rtl/>
        </w:rPr>
        <w:t>(10).</w:t>
      </w:r>
      <w:r w:rsidR="008A74EB" w:rsidRPr="00C9040A">
        <w:rPr>
          <w:rtl/>
        </w:rPr>
        <w:t xml:space="preserve"> في « ج » : « ناؤوا »</w:t>
      </w:r>
      <w:r w:rsidR="008A74EB">
        <w:rPr>
          <w:rtl/>
        </w:rPr>
        <w:t>.</w:t>
      </w:r>
      <w:r w:rsidR="008A74EB" w:rsidRPr="00C9040A">
        <w:rPr>
          <w:rtl/>
        </w:rPr>
        <w:t xml:space="preserve"> وناء ينوء ، لغة في نأى ينأى.</w:t>
      </w:r>
    </w:p>
    <w:p w:rsidR="008A74EB" w:rsidRPr="00C9040A" w:rsidRDefault="006C577F" w:rsidP="004A4E41">
      <w:pPr>
        <w:pStyle w:val="libFootnote0"/>
        <w:rPr>
          <w:rtl/>
          <w:lang w:bidi="fa-IR"/>
        </w:rPr>
      </w:pPr>
      <w:r>
        <w:rPr>
          <w:rtl/>
        </w:rPr>
        <w:t>(11).</w:t>
      </w:r>
      <w:r w:rsidR="008A74EB" w:rsidRPr="00C9040A">
        <w:rPr>
          <w:rtl/>
        </w:rPr>
        <w:t xml:space="preserve"> في « ب » : « ناءَ » بصيغة الماضي. وفي « ز » : « ناءٍ » اسم للفاعل.</w:t>
      </w:r>
    </w:p>
    <w:p w:rsidR="008A74EB" w:rsidRPr="00C9040A" w:rsidRDefault="006C577F" w:rsidP="004A4E41">
      <w:pPr>
        <w:pStyle w:val="libFootnote0"/>
        <w:rPr>
          <w:rtl/>
          <w:lang w:bidi="fa-IR"/>
        </w:rPr>
      </w:pPr>
      <w:r>
        <w:rPr>
          <w:rtl/>
        </w:rPr>
        <w:t>(12).</w:t>
      </w:r>
      <w:r w:rsidR="008A74EB" w:rsidRPr="00C9040A">
        <w:rPr>
          <w:rtl/>
        </w:rPr>
        <w:t xml:space="preserve"> في « </w:t>
      </w:r>
      <w:r w:rsidR="008A74EB">
        <w:rPr>
          <w:rtl/>
        </w:rPr>
        <w:t>ه</w:t>
      </w:r>
      <w:r w:rsidR="008A74EB" w:rsidRPr="00C9040A">
        <w:rPr>
          <w:rtl/>
        </w:rPr>
        <w:t xml:space="preserve"> » : « من »</w:t>
      </w:r>
      <w:r w:rsidR="008A74EB">
        <w:rPr>
          <w:rtl/>
        </w:rPr>
        <w:t>.</w:t>
      </w:r>
    </w:p>
    <w:p w:rsidR="008A74EB" w:rsidRPr="00C9040A" w:rsidRDefault="008A74EB" w:rsidP="004A4E41">
      <w:pPr>
        <w:pStyle w:val="libFootnote0"/>
        <w:rPr>
          <w:rtl/>
          <w:lang w:bidi="fa-IR"/>
        </w:rPr>
      </w:pPr>
      <w:r>
        <w:rPr>
          <w:rtl/>
        </w:rPr>
        <w:t>(13)</w:t>
      </w:r>
      <w:r w:rsidRPr="00C9040A">
        <w:rPr>
          <w:rtl/>
        </w:rPr>
        <w:t xml:space="preserve"> في « ب ، د ، ض ، ف ، </w:t>
      </w:r>
      <w:r>
        <w:rPr>
          <w:rtl/>
        </w:rPr>
        <w:t>ه</w:t>
      </w:r>
      <w:r w:rsidRPr="00C9040A">
        <w:rPr>
          <w:rtl/>
        </w:rPr>
        <w:t xml:space="preserve"> ، بر ، بس ، بف » والوافي : « منه »</w:t>
      </w:r>
      <w:r>
        <w:rPr>
          <w:rtl/>
        </w:rPr>
        <w:t>.</w:t>
      </w:r>
    </w:p>
    <w:p w:rsidR="008A74EB" w:rsidRPr="00C9040A" w:rsidRDefault="008A74EB" w:rsidP="004A4E41">
      <w:pPr>
        <w:pStyle w:val="libFootnote0"/>
        <w:rPr>
          <w:rtl/>
          <w:lang w:bidi="fa-IR"/>
        </w:rPr>
      </w:pPr>
      <w:r>
        <w:rPr>
          <w:rtl/>
        </w:rPr>
        <w:t>(14)</w:t>
      </w:r>
      <w:r w:rsidRPr="00C9040A">
        <w:rPr>
          <w:rtl/>
        </w:rPr>
        <w:t xml:space="preserve"> الأنعام </w:t>
      </w:r>
      <w:r w:rsidR="006C577F">
        <w:rPr>
          <w:rtl/>
        </w:rPr>
        <w:t>(6).</w:t>
      </w:r>
      <w:r>
        <w:rPr>
          <w:rtl/>
        </w:rPr>
        <w:t xml:space="preserve"> </w:t>
      </w:r>
      <w:r w:rsidRPr="00C9040A">
        <w:rPr>
          <w:rtl/>
        </w:rPr>
        <w:t>: 95.</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الْمُؤْمِنُ الَّذِي تَخْرُجُ </w:t>
      </w:r>
      <w:r w:rsidR="006C577F" w:rsidRPr="006C577F">
        <w:rPr>
          <w:rStyle w:val="libFootnotenumChar"/>
          <w:rtl/>
        </w:rPr>
        <w:t>(1)</w:t>
      </w:r>
      <w:r w:rsidRPr="002712F0">
        <w:rPr>
          <w:rFonts w:hint="cs"/>
          <w:rtl/>
        </w:rPr>
        <w:t xml:space="preserve"> </w:t>
      </w:r>
      <w:r w:rsidRPr="00C9040A">
        <w:rPr>
          <w:rtl/>
          <w:lang w:bidi="fa-IR"/>
        </w:rPr>
        <w:t>طِينَتُهُ مِنْ طِينَةِ الْكَافِرِ ، وَالْمَيِّتُ</w:t>
      </w:r>
      <w:r>
        <w:rPr>
          <w:rtl/>
          <w:lang w:bidi="fa-IR"/>
        </w:rPr>
        <w:t xml:space="preserve"> </w:t>
      </w:r>
      <w:r w:rsidR="0084262C">
        <w:rPr>
          <w:rtl/>
          <w:lang w:bidi="fa-IR"/>
        </w:rPr>
        <w:t>-</w:t>
      </w:r>
      <w:r>
        <w:rPr>
          <w:rtl/>
          <w:lang w:bidi="fa-IR"/>
        </w:rPr>
        <w:t xml:space="preserve"> </w:t>
      </w:r>
      <w:r w:rsidRPr="00C9040A">
        <w:rPr>
          <w:rtl/>
          <w:lang w:bidi="fa-IR"/>
        </w:rPr>
        <w:t xml:space="preserve">الَّذِي يَخْرُجُ </w:t>
      </w:r>
      <w:r w:rsidR="006C577F" w:rsidRPr="006C577F">
        <w:rPr>
          <w:rStyle w:val="libFootnotenumChar"/>
          <w:rtl/>
        </w:rPr>
        <w:t>(2)</w:t>
      </w:r>
      <w:r w:rsidRPr="00C9040A">
        <w:rPr>
          <w:rtl/>
          <w:lang w:bidi="fa-IR"/>
        </w:rPr>
        <w:t xml:space="preserve"> مِنَ الْحَيِّ</w:t>
      </w:r>
      <w:r>
        <w:rPr>
          <w:rtl/>
          <w:lang w:bidi="fa-IR"/>
        </w:rPr>
        <w:t xml:space="preserve"> </w:t>
      </w:r>
      <w:r w:rsidR="0084262C">
        <w:rPr>
          <w:rtl/>
          <w:lang w:bidi="fa-IR"/>
        </w:rPr>
        <w:t>-</w:t>
      </w:r>
      <w:r>
        <w:rPr>
          <w:rtl/>
          <w:lang w:bidi="fa-IR"/>
        </w:rPr>
        <w:t xml:space="preserve"> </w:t>
      </w:r>
      <w:r w:rsidRPr="00C9040A">
        <w:rPr>
          <w:rtl/>
          <w:lang w:bidi="fa-IR"/>
        </w:rPr>
        <w:t xml:space="preserve">هُوَ الْكَافِرُ الَّذِي يَخْرُجُ مِنْ طِينَةِ الْمُؤْمِنِ </w:t>
      </w:r>
      <w:r w:rsidR="006C577F" w:rsidRPr="006C577F">
        <w:rPr>
          <w:rStyle w:val="libFootnotenumChar"/>
          <w:rtl/>
        </w:rPr>
        <w:t>(3)</w:t>
      </w:r>
      <w:r w:rsidRPr="00C9040A">
        <w:rPr>
          <w:rtl/>
          <w:lang w:bidi="fa-IR"/>
        </w:rPr>
        <w:t xml:space="preserve"> ، فَالْحَيُّ : الْمُؤْمِنُ ، وَالْمَيِّتُ : الْكَافِرُ.</w:t>
      </w:r>
    </w:p>
    <w:p w:rsidR="008A74EB" w:rsidRPr="00C9040A" w:rsidRDefault="008A74EB" w:rsidP="008A74EB">
      <w:pPr>
        <w:pStyle w:val="libNormal"/>
        <w:rPr>
          <w:rtl/>
          <w:lang w:bidi="fa-IR"/>
        </w:rPr>
      </w:pPr>
      <w:r w:rsidRPr="00C9040A">
        <w:rPr>
          <w:rtl/>
          <w:lang w:bidi="fa-IR"/>
        </w:rPr>
        <w:t xml:space="preserve">وَذلِكَ قَوْلُهُ </w:t>
      </w:r>
      <w:r w:rsidR="006C577F" w:rsidRPr="006C577F">
        <w:rPr>
          <w:rStyle w:val="libFootnotenumChar"/>
          <w:rtl/>
        </w:rPr>
        <w:t>(4)</w:t>
      </w:r>
      <w:r w:rsidRPr="00C9040A">
        <w:rPr>
          <w:rtl/>
          <w:lang w:bidi="fa-IR"/>
        </w:rPr>
        <w:t xml:space="preserve"> عَزَّ وَجَلَّ : </w:t>
      </w:r>
      <w:r w:rsidRPr="0003660B">
        <w:rPr>
          <w:rStyle w:val="libAlaemChar"/>
          <w:rtl/>
        </w:rPr>
        <w:t>(</w:t>
      </w:r>
      <w:r w:rsidRPr="001D1D62">
        <w:rPr>
          <w:rtl/>
        </w:rPr>
        <w:t xml:space="preserve"> </w:t>
      </w:r>
      <w:r w:rsidRPr="006A2246">
        <w:rPr>
          <w:rStyle w:val="libAieChar"/>
          <w:rtl/>
        </w:rPr>
        <w:t>أَوَمَنْ كانَ مَيْتاً فَأَحْيَيْناهُ</w:t>
      </w:r>
      <w:r w:rsidRPr="001D1D62">
        <w:rPr>
          <w:rtl/>
        </w:rPr>
        <w:t xml:space="preserve"> </w:t>
      </w:r>
      <w:r w:rsidRPr="0003660B">
        <w:rPr>
          <w:rStyle w:val="libAlaemChar"/>
          <w:rtl/>
        </w:rPr>
        <w:t>)</w:t>
      </w:r>
      <w:r w:rsidRPr="00C9040A">
        <w:rPr>
          <w:rtl/>
          <w:lang w:bidi="fa-IR"/>
        </w:rPr>
        <w:t xml:space="preserve"> </w:t>
      </w:r>
      <w:r w:rsidR="006C577F" w:rsidRPr="006C577F">
        <w:rPr>
          <w:rStyle w:val="libFootnotenumChar"/>
          <w:rtl/>
        </w:rPr>
        <w:t>(5)</w:t>
      </w:r>
      <w:r w:rsidRPr="00C9040A">
        <w:rPr>
          <w:rtl/>
          <w:lang w:bidi="fa-IR"/>
        </w:rPr>
        <w:t xml:space="preserve"> فَكَانَ مَوْتُهُ اخْتِلَاطَ طِينَتِهِ مَعَ طِينَةِ الْكَافِرِ ، وَكَانَ حَيَاتُهُ حِينَ فَرَّقَ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بَيْنَهُمَا بِكَلِمَتِهِ </w:t>
      </w:r>
      <w:r w:rsidR="006C577F" w:rsidRPr="006C577F">
        <w:rPr>
          <w:rStyle w:val="libFootnotenumChar"/>
          <w:rtl/>
        </w:rPr>
        <w:t>(6)</w:t>
      </w:r>
      <w:r w:rsidRPr="005B567D">
        <w:rPr>
          <w:rStyle w:val="libFootnotenumChar"/>
          <w:rtl/>
        </w:rPr>
        <w:t xml:space="preserve"> </w:t>
      </w:r>
      <w:r w:rsidRPr="00C9040A">
        <w:rPr>
          <w:rtl/>
          <w:lang w:bidi="fa-IR"/>
        </w:rPr>
        <w:t xml:space="preserve">؛ كَذلِكَ </w:t>
      </w:r>
      <w:r w:rsidR="006C577F" w:rsidRPr="006C577F">
        <w:rPr>
          <w:rStyle w:val="libFootnotenumChar"/>
          <w:rtl/>
        </w:rPr>
        <w:t>(7)</w:t>
      </w:r>
      <w:r w:rsidRPr="00C9040A">
        <w:rPr>
          <w:rtl/>
          <w:lang w:bidi="fa-IR"/>
        </w:rPr>
        <w:t xml:space="preserve"> يُخْرِجُ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الْمُؤْمِنَ فِي الْمِيلَادِ مِنَ الظُّلْمَةِ بَعْدَ دُخُولِهِ فِيهَا إِلَى النُّورِ ، وَيُخْرِجُ </w:t>
      </w:r>
      <w:r w:rsidR="006C577F" w:rsidRPr="006C577F">
        <w:rPr>
          <w:rStyle w:val="libFootnotenumChar"/>
          <w:rtl/>
        </w:rPr>
        <w:t>(8)</w:t>
      </w:r>
      <w:r w:rsidRPr="00C9040A">
        <w:rPr>
          <w:rtl/>
          <w:lang w:bidi="fa-IR"/>
        </w:rPr>
        <w:t xml:space="preserve"> الْكَافِرَ مِنَ النُّورِ إِلَى الظُّلْمَةِ بَعْدَ دُخُولِهِ إِلَى النُّورِ ، وَذلِكَ قَوْلُهُ عَزَّ وَجَلَّ : </w:t>
      </w:r>
      <w:r w:rsidRPr="0003660B">
        <w:rPr>
          <w:rStyle w:val="libAlaemChar"/>
          <w:rtl/>
        </w:rPr>
        <w:t>(</w:t>
      </w:r>
      <w:r w:rsidRPr="004F5325">
        <w:rPr>
          <w:rtl/>
        </w:rPr>
        <w:t xml:space="preserve"> </w:t>
      </w:r>
      <w:r w:rsidRPr="006A2246">
        <w:rPr>
          <w:rStyle w:val="libAieChar"/>
          <w:rtl/>
        </w:rPr>
        <w:t>لِيُنْذِرَ مَنْ كانَ حَيًّا وَيَحِقَّ الْقَوْلُ عَلَى الْكافِرِينَ</w:t>
      </w:r>
      <w:r w:rsidRPr="004F5325">
        <w:rPr>
          <w:rtl/>
        </w:rPr>
        <w:t xml:space="preserve"> </w:t>
      </w:r>
      <w:r w:rsidRPr="0003660B">
        <w:rPr>
          <w:rStyle w:val="libAlaemChar"/>
          <w:rtl/>
        </w:rPr>
        <w:t>)</w:t>
      </w:r>
      <w:r w:rsidRPr="00C9040A">
        <w:rPr>
          <w:rtl/>
          <w:lang w:bidi="fa-IR"/>
        </w:rPr>
        <w:t xml:space="preserve"> </w:t>
      </w:r>
      <w:r w:rsidR="006C577F" w:rsidRPr="006C577F">
        <w:rPr>
          <w:rStyle w:val="libFootnotenumChar"/>
          <w:rtl/>
        </w:rPr>
        <w:t>(9)</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(10)</w:t>
      </w:r>
      <w:r w:rsidRPr="00C9040A">
        <w:rPr>
          <w:rtl/>
          <w:lang w:bidi="fa-IR"/>
        </w:rPr>
        <w:t>‌</w:t>
      </w:r>
    </w:p>
    <w:p w:rsidR="008A74EB" w:rsidRPr="00C9040A" w:rsidRDefault="008A74EB" w:rsidP="008A74EB">
      <w:pPr>
        <w:pStyle w:val="Heading2Center"/>
        <w:rPr>
          <w:rtl/>
          <w:lang w:bidi="fa-IR"/>
        </w:rPr>
      </w:pPr>
      <w:bookmarkStart w:id="13" w:name="_Toc343795592"/>
      <w:bookmarkStart w:id="14" w:name="_Toc459810716"/>
      <w:bookmarkStart w:id="15" w:name="_Toc35348622"/>
      <w:r w:rsidRPr="00C9040A">
        <w:rPr>
          <w:rtl/>
          <w:lang w:bidi="fa-IR"/>
        </w:rPr>
        <w:t>2</w:t>
      </w:r>
      <w:r>
        <w:rPr>
          <w:rtl/>
          <w:lang w:bidi="fa-IR"/>
        </w:rPr>
        <w:t xml:space="preserve"> </w:t>
      </w:r>
      <w:r w:rsidR="0084262C">
        <w:rPr>
          <w:rtl/>
          <w:lang w:bidi="fa-IR"/>
        </w:rPr>
        <w:t>-</w:t>
      </w:r>
      <w:r>
        <w:rPr>
          <w:rtl/>
          <w:lang w:bidi="fa-IR"/>
        </w:rPr>
        <w:t xml:space="preserve"> </w:t>
      </w:r>
      <w:r w:rsidRPr="00C9040A">
        <w:rPr>
          <w:rtl/>
          <w:lang w:bidi="fa-IR"/>
        </w:rPr>
        <w:t xml:space="preserve">بَابٌ آخَرُ مِنْهُ ، وَفِيهِ زِيَادَةُ وُقُوعِ التَّكْلِيفِ الْأَوَّلِ </w:t>
      </w:r>
      <w:r w:rsidR="006C577F" w:rsidRPr="006C577F">
        <w:rPr>
          <w:rStyle w:val="libFootnotenumChar"/>
          <w:rtl/>
        </w:rPr>
        <w:t>(11)</w:t>
      </w:r>
      <w:r w:rsidRPr="00C9040A">
        <w:rPr>
          <w:rtl/>
          <w:lang w:bidi="fa-IR"/>
        </w:rPr>
        <w:t xml:space="preserve"> ‌</w:t>
      </w:r>
      <w:bookmarkEnd w:id="13"/>
      <w:bookmarkEnd w:id="14"/>
      <w:bookmarkEnd w:id="15"/>
    </w:p>
    <w:p w:rsidR="008A74EB" w:rsidRPr="00C9040A" w:rsidRDefault="008A74EB" w:rsidP="008A74EB">
      <w:pPr>
        <w:pStyle w:val="libNormal"/>
        <w:rPr>
          <w:rtl/>
          <w:lang w:bidi="fa-IR"/>
        </w:rPr>
      </w:pPr>
      <w:r w:rsidRPr="00824E80">
        <w:rPr>
          <w:rtl/>
        </w:rPr>
        <w:t>1456</w:t>
      </w:r>
      <w:r w:rsidRPr="00261CB0">
        <w:rPr>
          <w:rStyle w:val="libBold2Char"/>
          <w:rtl/>
        </w:rPr>
        <w:t xml:space="preserve"> / 1.</w:t>
      </w:r>
      <w:r w:rsidRPr="00C9040A">
        <w:rPr>
          <w:rtl/>
          <w:lang w:bidi="fa-IR"/>
        </w:rPr>
        <w:t xml:space="preserve"> أَبُو عَلِيٍّ الْأَشْعَرِيُّ وَمُحَمَّدُ بْنُ يَحْيى ، عَنْ مُحَمَّدِ بْنِ إِسْمَاعِيلَ ، عَنْ عَلِيِّ بْنِ‌</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 ز ، بر ، بس ، بف » والوافي والبحار : « يخرج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F2453A">
        <w:rPr>
          <w:rtl/>
        </w:rPr>
        <w:t>في البحار : +</w:t>
      </w:r>
      <w:r w:rsidR="008A74EB" w:rsidRPr="00C9040A">
        <w:rPr>
          <w:rtl/>
        </w:rPr>
        <w:t xml:space="preserve"> « هو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ص » </w:t>
      </w:r>
      <w:r w:rsidR="008A74EB">
        <w:rPr>
          <w:rtl/>
        </w:rPr>
        <w:t xml:space="preserve">: </w:t>
      </w:r>
      <w:r w:rsidR="0084262C">
        <w:rPr>
          <w:rtl/>
        </w:rPr>
        <w:t>-</w:t>
      </w:r>
      <w:r w:rsidR="00F2453A">
        <w:rPr>
          <w:rtl/>
        </w:rPr>
        <w:t xml:space="preserve"> </w:t>
      </w:r>
      <w:r w:rsidR="008A74EB" w:rsidRPr="00C9040A">
        <w:rPr>
          <w:rtl/>
        </w:rPr>
        <w:t>« فالحيّ</w:t>
      </w:r>
      <w:r w:rsidR="008A74EB">
        <w:rPr>
          <w:rtl/>
        </w:rPr>
        <w:t xml:space="preserve"> </w:t>
      </w:r>
      <w:r w:rsidR="0084262C">
        <w:rPr>
          <w:rtl/>
        </w:rPr>
        <w:t>-</w:t>
      </w:r>
      <w:r w:rsidR="008A74EB">
        <w:rPr>
          <w:rtl/>
        </w:rPr>
        <w:t xml:space="preserve"> </w:t>
      </w:r>
      <w:r w:rsidR="008A74EB" w:rsidRPr="00C9040A">
        <w:rPr>
          <w:rtl/>
        </w:rPr>
        <w:t>إلى</w:t>
      </w:r>
      <w:r w:rsidR="008A74EB">
        <w:rPr>
          <w:rtl/>
        </w:rPr>
        <w:t xml:space="preserve"> </w:t>
      </w:r>
      <w:r w:rsidR="0084262C">
        <w:rPr>
          <w:rtl/>
        </w:rPr>
        <w:t>-</w:t>
      </w:r>
      <w:r w:rsidR="008A74EB">
        <w:rPr>
          <w:rtl/>
        </w:rPr>
        <w:t xml:space="preserve"> </w:t>
      </w:r>
      <w:r w:rsidR="008A74EB" w:rsidRPr="00C9040A">
        <w:rPr>
          <w:rtl/>
        </w:rPr>
        <w:t>المؤمن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البحار : « قول الله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الأنعام </w:t>
      </w:r>
      <w:r>
        <w:rPr>
          <w:rtl/>
        </w:rPr>
        <w:t>(6).</w:t>
      </w:r>
      <w:r w:rsidR="008A74EB">
        <w:rPr>
          <w:rtl/>
        </w:rPr>
        <w:t xml:space="preserve"> </w:t>
      </w:r>
      <w:r w:rsidR="008A74EB" w:rsidRPr="00C9040A">
        <w:rPr>
          <w:rtl/>
        </w:rPr>
        <w:t>: 122.</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بر » : « حكمته »</w:t>
      </w:r>
      <w:r w:rsidR="008A74EB">
        <w:rPr>
          <w:rtl/>
        </w:rPr>
        <w:t>.</w:t>
      </w:r>
      <w:r w:rsidR="008A74EB" w:rsidRPr="00C9040A">
        <w:rPr>
          <w:rtl/>
        </w:rPr>
        <w:t xml:space="preserve"> </w:t>
      </w:r>
      <w:r w:rsidR="008A74EB">
        <w:rPr>
          <w:rtl/>
        </w:rPr>
        <w:t>و «</w:t>
      </w:r>
      <w:r w:rsidR="008A74EB" w:rsidRPr="00C9040A">
        <w:rPr>
          <w:rtl/>
        </w:rPr>
        <w:t xml:space="preserve"> بكلمته » ، أي بأمره. وفي </w:t>
      </w:r>
      <w:r w:rsidR="008A74EB" w:rsidRPr="00993B55">
        <w:rPr>
          <w:rStyle w:val="libFootnoteBoldChar"/>
          <w:rtl/>
        </w:rPr>
        <w:t>الوافي</w:t>
      </w:r>
      <w:r w:rsidR="008A74EB" w:rsidRPr="00C9040A">
        <w:rPr>
          <w:rtl/>
        </w:rPr>
        <w:t xml:space="preserve"> : « والمراد بالكلمة جبرئيل ؛ إذ هو القابض للقبضتين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ج » : « فكذلك »</w:t>
      </w:r>
      <w:r w:rsidR="008A74EB">
        <w:rPr>
          <w:rtl/>
        </w:rPr>
        <w:t>.</w:t>
      </w:r>
      <w:r w:rsidR="008A74EB" w:rsidRPr="00C9040A">
        <w:rPr>
          <w:rtl/>
        </w:rPr>
        <w:t xml:space="preserve"> وفي « ض ، بس » : « فذلك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w:t>
      </w:r>
      <w:r w:rsidR="008A74EB" w:rsidRPr="00993B55">
        <w:rPr>
          <w:rStyle w:val="libFootnoteBoldChar"/>
          <w:rtl/>
        </w:rPr>
        <w:t>مرآة العقول</w:t>
      </w:r>
      <w:r w:rsidR="008A74EB" w:rsidRPr="00C9040A">
        <w:rPr>
          <w:rtl/>
        </w:rPr>
        <w:t xml:space="preserve"> : « يمكن أن يقرأ</w:t>
      </w:r>
      <w:r w:rsidR="008A74EB">
        <w:rPr>
          <w:rtl/>
        </w:rPr>
        <w:t xml:space="preserve"> </w:t>
      </w:r>
      <w:r w:rsidR="0084262C">
        <w:rPr>
          <w:rtl/>
        </w:rPr>
        <w:t>-</w:t>
      </w:r>
      <w:r w:rsidR="008A74EB">
        <w:rPr>
          <w:rtl/>
        </w:rPr>
        <w:t xml:space="preserve"> </w:t>
      </w:r>
      <w:r w:rsidR="008A74EB" w:rsidRPr="00C9040A">
        <w:rPr>
          <w:rtl/>
        </w:rPr>
        <w:t>أي يخرج</w:t>
      </w:r>
      <w:r w:rsidR="008A74EB">
        <w:rPr>
          <w:rtl/>
        </w:rPr>
        <w:t xml:space="preserve"> </w:t>
      </w:r>
      <w:r w:rsidR="0084262C">
        <w:rPr>
          <w:rtl/>
        </w:rPr>
        <w:t>-</w:t>
      </w:r>
      <w:r w:rsidR="008A74EB">
        <w:rPr>
          <w:rtl/>
        </w:rPr>
        <w:t xml:space="preserve"> </w:t>
      </w:r>
      <w:r w:rsidR="008A74EB" w:rsidRPr="00C9040A">
        <w:rPr>
          <w:rtl/>
        </w:rPr>
        <w:t>على بناء المجرّد المعلوم ، أو على بناء المجهول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يس (36) : 70.</w:t>
      </w:r>
    </w:p>
    <w:p w:rsidR="008A74EB" w:rsidRPr="00C9040A" w:rsidRDefault="006C577F" w:rsidP="004A4E41">
      <w:pPr>
        <w:pStyle w:val="libFootnote0"/>
        <w:rPr>
          <w:rtl/>
          <w:lang w:bidi="fa-IR"/>
        </w:rPr>
      </w:pPr>
      <w:r>
        <w:rPr>
          <w:rtl/>
        </w:rPr>
        <w:t>(10).</w:t>
      </w:r>
      <w:r w:rsidR="008A74EB" w:rsidRPr="00C9040A">
        <w:rPr>
          <w:rtl/>
        </w:rPr>
        <w:t xml:space="preserve"> </w:t>
      </w:r>
      <w:r w:rsidR="008A74EB" w:rsidRPr="00993B55">
        <w:rPr>
          <w:rStyle w:val="libFootnoteBoldChar"/>
          <w:rtl/>
        </w:rPr>
        <w:t>الوافي</w:t>
      </w:r>
      <w:r w:rsidR="008A74EB" w:rsidRPr="00C9040A">
        <w:rPr>
          <w:rtl/>
        </w:rPr>
        <w:t xml:space="preserve"> ، ج 4 ، ص 32 ، ح 1649 ؛ </w:t>
      </w:r>
      <w:r w:rsidR="008A74EB" w:rsidRPr="00993B55">
        <w:rPr>
          <w:rStyle w:val="libFootnoteBoldChar"/>
          <w:rtl/>
        </w:rPr>
        <w:t>البحار</w:t>
      </w:r>
      <w:r w:rsidR="008A74EB" w:rsidRPr="00C9040A">
        <w:rPr>
          <w:rtl/>
        </w:rPr>
        <w:t xml:space="preserve"> ، ج 67 ، ص 87 ، ح 10.</w:t>
      </w:r>
    </w:p>
    <w:p w:rsidR="008A74EB" w:rsidRPr="00C9040A" w:rsidRDefault="006C577F" w:rsidP="004A4E41">
      <w:pPr>
        <w:pStyle w:val="libFootnote0"/>
        <w:rPr>
          <w:rtl/>
          <w:lang w:bidi="fa-IR"/>
        </w:rPr>
      </w:pPr>
      <w:r>
        <w:rPr>
          <w:rtl/>
        </w:rPr>
        <w:t>(11).</w:t>
      </w:r>
      <w:r w:rsidR="008A74EB" w:rsidRPr="00C9040A">
        <w:rPr>
          <w:rtl/>
        </w:rPr>
        <w:t xml:space="preserve"> في </w:t>
      </w:r>
      <w:r w:rsidR="008A74EB" w:rsidRPr="00993B55">
        <w:rPr>
          <w:rStyle w:val="libFootnoteBoldChar"/>
          <w:rtl/>
        </w:rPr>
        <w:t>شرح المازندراني</w:t>
      </w:r>
      <w:r w:rsidR="008A74EB" w:rsidRPr="00C9040A">
        <w:rPr>
          <w:rtl/>
        </w:rPr>
        <w:t xml:space="preserve"> ، ج 8 ، ص 13 : « يفهم من الروايات أنّ التكليف الأوّل</w:t>
      </w:r>
      <w:r w:rsidR="008A74EB">
        <w:rPr>
          <w:rtl/>
        </w:rPr>
        <w:t xml:space="preserve"> </w:t>
      </w:r>
      <w:r w:rsidR="0084262C">
        <w:rPr>
          <w:rtl/>
        </w:rPr>
        <w:t>-</w:t>
      </w:r>
      <w:r w:rsidR="008A74EB">
        <w:rPr>
          <w:rtl/>
        </w:rPr>
        <w:t xml:space="preserve"> </w:t>
      </w:r>
      <w:r w:rsidR="008A74EB" w:rsidRPr="00C9040A">
        <w:rPr>
          <w:rtl/>
        </w:rPr>
        <w:t>وهو ما وقع قبل التكليف في دارالدنيا بإرسال الرسل وإنزال الكتب</w:t>
      </w:r>
      <w:r w:rsidR="008A74EB">
        <w:rPr>
          <w:rtl/>
        </w:rPr>
        <w:t xml:space="preserve"> </w:t>
      </w:r>
      <w:r w:rsidR="0084262C">
        <w:rPr>
          <w:rtl/>
        </w:rPr>
        <w:t>-</w:t>
      </w:r>
      <w:r w:rsidR="008A74EB">
        <w:rPr>
          <w:rtl/>
        </w:rPr>
        <w:t xml:space="preserve"> </w:t>
      </w:r>
      <w:r w:rsidR="008A74EB" w:rsidRPr="00C9040A">
        <w:rPr>
          <w:rtl/>
        </w:rPr>
        <w:t xml:space="preserve">متعدّد : الأوّل : كان في عالم الأرواح الصرفة. الثاني : كان وقت تخمير الطينة قبل خلق آدم منها. الثالث : كان بعد خلق آدم منها حين أخرجهم من صلبه وهم ذرّ يدبّون يميناً وشمالاً. وكلّ من أطاع في هذه التكاليف الثلاثة فهو يطيع في تكليف الدنيا ، وكلّ من عصى فيها فهو يعصي فيه. وهنا تكليف خامس يقع في القيامة ، وهو مختصّ بالأطفال والمجانين والشيوخ الذين أدركوا النبيّ وهم لايعقلون ، </w:t>
      </w:r>
      <w:r w:rsidR="00F2453A">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الْحَكَمِ ، عَنْ أَبَانِ بْنِ عُثْمَانَ ، عَنْ زُرَارَةَ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لَوْ عَلِمَ النَّاسُ كَيْفَ </w:t>
      </w:r>
      <w:r w:rsidR="006C577F" w:rsidRPr="006C577F">
        <w:rPr>
          <w:rStyle w:val="libFootnotenumChar"/>
          <w:rtl/>
        </w:rPr>
        <w:t>(1)</w:t>
      </w:r>
      <w:r w:rsidRPr="00E711C7">
        <w:rPr>
          <w:rFonts w:hint="cs"/>
          <w:rtl/>
        </w:rPr>
        <w:t xml:space="preserve"> </w:t>
      </w:r>
      <w:r w:rsidRPr="00C9040A">
        <w:rPr>
          <w:rtl/>
          <w:lang w:bidi="fa-IR"/>
        </w:rPr>
        <w:t xml:space="preserve">ابْتِدَاءُ الْخَلْقِ مَا </w:t>
      </w:r>
      <w:r w:rsidR="006C577F" w:rsidRPr="006C577F">
        <w:rPr>
          <w:rStyle w:val="libFootnotenumChar"/>
          <w:rtl/>
        </w:rPr>
        <w:t>(2)</w:t>
      </w:r>
      <w:r w:rsidRPr="00C9040A">
        <w:rPr>
          <w:rtl/>
          <w:lang w:bidi="fa-IR"/>
        </w:rPr>
        <w:t xml:space="preserve"> اخْتَلَفَ اثْنَانِ ، إِنَّ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قَبْلَ أَنْ يَخْلُقَ الْخَلْقَ قَالَ : كُنْ مَاءً عَذْباً ؛ أَخْلُقْ </w:t>
      </w:r>
      <w:r w:rsidR="006C577F" w:rsidRPr="006C577F">
        <w:rPr>
          <w:rStyle w:val="libFootnotenumChar"/>
          <w:rtl/>
        </w:rPr>
        <w:t>(3)</w:t>
      </w:r>
      <w:r w:rsidRPr="00C9040A">
        <w:rPr>
          <w:rtl/>
          <w:lang w:bidi="fa-IR"/>
        </w:rPr>
        <w:t xml:space="preserve"> مِنْكَ </w:t>
      </w:r>
      <w:r w:rsidR="006C577F" w:rsidRPr="006C577F">
        <w:rPr>
          <w:rStyle w:val="libFootnotenumChar"/>
          <w:rtl/>
        </w:rPr>
        <w:t>(4)</w:t>
      </w:r>
      <w:r w:rsidRPr="00C9040A">
        <w:rPr>
          <w:rtl/>
          <w:lang w:bidi="fa-IR"/>
        </w:rPr>
        <w:t xml:space="preserve"> جَنَّتِي وَأَهْلَ طَاعَتِي ، وَكُنْ مِلْحاً أُجَاجاً ؛ أَخْلُقْ مِنْكَ نَارِي </w:t>
      </w:r>
      <w:r w:rsidR="006C577F" w:rsidRPr="006C577F">
        <w:rPr>
          <w:rStyle w:val="libFootnotenumChar"/>
          <w:rtl/>
        </w:rPr>
        <w:t>(5)</w:t>
      </w:r>
      <w:r w:rsidRPr="00C9040A">
        <w:rPr>
          <w:rtl/>
          <w:lang w:bidi="fa-IR"/>
        </w:rPr>
        <w:t xml:space="preserve"> وَأَهْلَ مَعْصِيَتِي ، ثُمَّ أَمَرَهُمَا ، فَامْتَزَجَا ، فَمِنْ ذلِكَ صَارَ يَلِدُ الْمُؤْمِنُ الْكَافِرَ ، وَالْكَافِرُ الْمُؤْمِنَ</w:t>
      </w:r>
      <w:r w:rsidR="00073675">
        <w:rPr>
          <w:rFonts w:hint="cs"/>
          <w:rtl/>
          <w:lang w:bidi="fa-IR"/>
        </w:rPr>
        <w:t xml:space="preserve"> </w:t>
      </w:r>
      <w:r w:rsidR="006C577F" w:rsidRPr="006C577F">
        <w:rPr>
          <w:rStyle w:val="libFootnotenumChar"/>
          <w:rtl/>
        </w:rPr>
        <w:t>(6)</w:t>
      </w:r>
      <w:r w:rsidR="00073675" w:rsidRPr="00073675">
        <w:rPr>
          <w:rFonts w:hint="cs"/>
          <w:rtl/>
        </w:rPr>
        <w:t>.</w:t>
      </w:r>
    </w:p>
    <w:p w:rsidR="008A74EB" w:rsidRPr="00C9040A" w:rsidRDefault="008A74EB" w:rsidP="008A74EB">
      <w:pPr>
        <w:pStyle w:val="libNormal"/>
        <w:rPr>
          <w:rtl/>
          <w:lang w:bidi="fa-IR"/>
        </w:rPr>
      </w:pPr>
      <w:r w:rsidRPr="00C9040A">
        <w:rPr>
          <w:rtl/>
          <w:lang w:bidi="fa-IR"/>
        </w:rPr>
        <w:t xml:space="preserve">ثُمَّ أَخَذَ طِيناً </w:t>
      </w:r>
      <w:r w:rsidR="006C577F" w:rsidRPr="006C577F">
        <w:rPr>
          <w:rStyle w:val="libFootnotenumChar"/>
          <w:rtl/>
        </w:rPr>
        <w:t>(7)</w:t>
      </w:r>
      <w:r w:rsidRPr="00C9040A">
        <w:rPr>
          <w:rtl/>
          <w:lang w:bidi="fa-IR"/>
        </w:rPr>
        <w:t xml:space="preserve"> مِنْ أَدِيمِ </w:t>
      </w:r>
      <w:r w:rsidR="006C577F" w:rsidRPr="006C577F">
        <w:rPr>
          <w:rStyle w:val="libFootnotenumChar"/>
          <w:rtl/>
        </w:rPr>
        <w:t>(8)</w:t>
      </w:r>
      <w:r w:rsidRPr="00C9040A">
        <w:rPr>
          <w:rtl/>
          <w:lang w:bidi="fa-IR"/>
        </w:rPr>
        <w:t xml:space="preserve"> الْأَرْضِ ، فَعَرَكَهُ </w:t>
      </w:r>
      <w:r w:rsidR="006C577F" w:rsidRPr="006C577F">
        <w:rPr>
          <w:rStyle w:val="libFootnotenumChar"/>
          <w:rtl/>
        </w:rPr>
        <w:t>(9)</w:t>
      </w:r>
      <w:r w:rsidRPr="00C9040A">
        <w:rPr>
          <w:rtl/>
          <w:lang w:bidi="fa-IR"/>
        </w:rPr>
        <w:t xml:space="preserve"> عَرْكاً شَدِيداً ، فَإِذَا هُمْ كَالذَّرِّ </w:t>
      </w:r>
      <w:r w:rsidR="006C577F" w:rsidRPr="006C577F">
        <w:rPr>
          <w:rStyle w:val="libFootnotenumChar"/>
          <w:rtl/>
        </w:rPr>
        <w:t>(10)</w:t>
      </w:r>
    </w:p>
    <w:p w:rsidR="008A74EB" w:rsidRPr="00C9040A" w:rsidRDefault="008A74EB" w:rsidP="008A74EB">
      <w:pPr>
        <w:pStyle w:val="libLine"/>
        <w:rPr>
          <w:rtl/>
          <w:lang w:bidi="fa-IR"/>
        </w:rPr>
      </w:pPr>
      <w:r w:rsidRPr="00C9040A">
        <w:rPr>
          <w:rtl/>
          <w:lang w:bidi="fa-IR"/>
        </w:rPr>
        <w:t>__________________</w:t>
      </w:r>
    </w:p>
    <w:p w:rsidR="008A74EB" w:rsidRPr="004A4E41" w:rsidRDefault="00AA0CDF" w:rsidP="004A4E41">
      <w:pPr>
        <w:pStyle w:val="libFootnote0"/>
        <w:rPr>
          <w:rStyle w:val="libFootnote0Char"/>
          <w:rtl/>
        </w:rPr>
      </w:pPr>
      <w:r>
        <w:rPr>
          <w:rFonts w:hint="cs"/>
          <w:rtl/>
        </w:rPr>
        <w:t xml:space="preserve">= </w:t>
      </w:r>
      <w:r w:rsidR="008A74EB" w:rsidRPr="00C9040A">
        <w:rPr>
          <w:rtl/>
        </w:rPr>
        <w:t xml:space="preserve">وغيرهم ممّن ذكر في محلّه. وقال في </w:t>
      </w:r>
      <w:r w:rsidR="008A74EB" w:rsidRPr="00993B55">
        <w:rPr>
          <w:rStyle w:val="libFootnoteBoldChar"/>
          <w:rtl/>
        </w:rPr>
        <w:t>مرآة العقول</w:t>
      </w:r>
      <w:r w:rsidR="008A74EB" w:rsidRPr="00C9040A">
        <w:rPr>
          <w:rtl/>
        </w:rPr>
        <w:t xml:space="preserve"> ، ج 7 ، ص 16 : « إنّما أفرد لتلك الأخبار باباً لاشتمالها على أمر زائد لم يكن في الأخبار السابقة ؛ رعايةً لضبط العنوان بحسب الإمكان »</w:t>
      </w:r>
      <w:r w:rsidR="008A74EB">
        <w:rPr>
          <w:rtl/>
        </w:rPr>
        <w:t>.</w:t>
      </w:r>
    </w:p>
    <w:tbl>
      <w:tblPr>
        <w:tblStyle w:val="TableGrid"/>
        <w:bidiVisual/>
        <w:tblW w:w="0" w:type="auto"/>
        <w:tblLook w:val="04A0" w:firstRow="1" w:lastRow="0" w:firstColumn="1" w:lastColumn="0" w:noHBand="0" w:noVBand="1"/>
      </w:tblPr>
      <w:tblGrid>
        <w:gridCol w:w="4006"/>
        <w:gridCol w:w="4006"/>
      </w:tblGrid>
      <w:tr w:rsidR="00AA0CDF" w:rsidTr="00AA0CDF">
        <w:tc>
          <w:tcPr>
            <w:tcW w:w="4006" w:type="dxa"/>
          </w:tcPr>
          <w:p w:rsidR="00AA0CDF" w:rsidRDefault="006C577F" w:rsidP="004A4E41">
            <w:pPr>
              <w:pStyle w:val="libFootnote0"/>
              <w:rPr>
                <w:rtl/>
              </w:rPr>
            </w:pPr>
            <w:r>
              <w:rPr>
                <w:rtl/>
              </w:rPr>
              <w:t>(1).</w:t>
            </w:r>
            <w:r w:rsidR="00AA0CDF" w:rsidRPr="00C9040A">
              <w:rPr>
                <w:rtl/>
              </w:rPr>
              <w:t xml:space="preserve"> في « </w:t>
            </w:r>
            <w:r w:rsidR="00AA0CDF">
              <w:rPr>
                <w:rtl/>
              </w:rPr>
              <w:t>ه » والمحاسن : +</w:t>
            </w:r>
            <w:r w:rsidR="00AA0CDF" w:rsidRPr="00C9040A">
              <w:rPr>
                <w:rtl/>
              </w:rPr>
              <w:t xml:space="preserve"> « كان »</w:t>
            </w:r>
            <w:r w:rsidR="00AA0CDF">
              <w:rPr>
                <w:rtl/>
              </w:rPr>
              <w:t>.</w:t>
            </w:r>
          </w:p>
        </w:tc>
        <w:tc>
          <w:tcPr>
            <w:tcW w:w="4006" w:type="dxa"/>
          </w:tcPr>
          <w:p w:rsidR="00AA0CDF" w:rsidRDefault="006C577F" w:rsidP="004A4E41">
            <w:pPr>
              <w:pStyle w:val="libFootnote0"/>
              <w:rPr>
                <w:rtl/>
              </w:rPr>
            </w:pPr>
            <w:r>
              <w:rPr>
                <w:rtl/>
              </w:rPr>
              <w:t>(2).</w:t>
            </w:r>
            <w:r w:rsidR="00AA0CDF">
              <w:rPr>
                <w:rtl/>
              </w:rPr>
              <w:t xml:space="preserve"> </w:t>
            </w:r>
            <w:r w:rsidR="00AA0CDF" w:rsidRPr="00C9040A">
              <w:rPr>
                <w:rtl/>
              </w:rPr>
              <w:t xml:space="preserve">في </w:t>
            </w:r>
            <w:r w:rsidR="00AA0CDF" w:rsidRPr="00824E80">
              <w:rPr>
                <w:rtl/>
              </w:rPr>
              <w:t>مرآة العقول</w:t>
            </w:r>
            <w:r w:rsidR="00AA0CDF" w:rsidRPr="00C9040A">
              <w:rPr>
                <w:rtl/>
              </w:rPr>
              <w:t xml:space="preserve"> والبحار والمحاسن : « لما »</w:t>
            </w:r>
            <w:r w:rsidR="00AA0CDF">
              <w:rPr>
                <w:rtl/>
              </w:rPr>
              <w:t>.</w:t>
            </w:r>
          </w:p>
        </w:tc>
      </w:tr>
    </w:tbl>
    <w:p w:rsidR="008A74EB" w:rsidRPr="00C9040A" w:rsidRDefault="006C577F" w:rsidP="004A4E41">
      <w:pPr>
        <w:pStyle w:val="libFootnote0"/>
        <w:rPr>
          <w:rtl/>
          <w:lang w:bidi="fa-IR"/>
        </w:rPr>
      </w:pPr>
      <w:r>
        <w:rPr>
          <w:rtl/>
        </w:rPr>
        <w:t>(3).</w:t>
      </w:r>
      <w:r w:rsidR="008A74EB" w:rsidRPr="00C9040A">
        <w:rPr>
          <w:rtl/>
        </w:rPr>
        <w:t xml:space="preserve"> يجوز فيه الرفع. وكذا فيما يأتي.</w:t>
      </w:r>
    </w:p>
    <w:p w:rsidR="008A74EB" w:rsidRPr="00C9040A" w:rsidRDefault="006C577F" w:rsidP="004A4E41">
      <w:pPr>
        <w:pStyle w:val="libFootnote0"/>
        <w:rPr>
          <w:rtl/>
          <w:lang w:bidi="fa-IR"/>
        </w:rPr>
      </w:pPr>
      <w:r>
        <w:rPr>
          <w:rtl/>
        </w:rPr>
        <w:t>(4).</w:t>
      </w:r>
      <w:r w:rsidR="008A74EB" w:rsidRPr="00C9040A">
        <w:rPr>
          <w:rtl/>
        </w:rPr>
        <w:t xml:space="preserve"> في </w:t>
      </w:r>
      <w:r w:rsidR="008A74EB" w:rsidRPr="00993B55">
        <w:rPr>
          <w:rStyle w:val="libFootnoteBoldChar"/>
          <w:rtl/>
        </w:rPr>
        <w:t>مرآة العقول</w:t>
      </w:r>
      <w:r w:rsidR="008A74EB" w:rsidRPr="00C9040A">
        <w:rPr>
          <w:rtl/>
        </w:rPr>
        <w:t xml:space="preserve"> : « منك ، أي من أجلك » وكذا فيما يأتي.</w:t>
      </w:r>
    </w:p>
    <w:p w:rsidR="008A74EB" w:rsidRPr="00C9040A" w:rsidRDefault="006C577F" w:rsidP="004A4E41">
      <w:pPr>
        <w:pStyle w:val="libFootnote0"/>
        <w:rPr>
          <w:rtl/>
          <w:lang w:bidi="fa-IR"/>
        </w:rPr>
      </w:pPr>
      <w:r>
        <w:rPr>
          <w:rtl/>
        </w:rPr>
        <w:t>(5).</w:t>
      </w:r>
      <w:r w:rsidR="008A74EB" w:rsidRPr="00C9040A">
        <w:rPr>
          <w:rtl/>
        </w:rPr>
        <w:t xml:space="preserve"> في حاشية « ب » : « النار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w:t>
      </w:r>
      <w:r w:rsidR="008A74EB" w:rsidRPr="00993B55">
        <w:rPr>
          <w:rStyle w:val="libFootnoteBoldChar"/>
          <w:rtl/>
        </w:rPr>
        <w:t>مرآة العقول</w:t>
      </w:r>
      <w:r w:rsidR="008A74EB" w:rsidRPr="00C9040A">
        <w:rPr>
          <w:rtl/>
        </w:rPr>
        <w:t xml:space="preserve"> ، ج 7 ، ص 17 : « أقول : لايبعد أن يكن الماء العذب كناية عمّا خلق الله في الإنسان من الدواعي إلى الخير والصلاح كالعقل والنفس الملكوتي ، والماء الاجاج عمّا ينافي ويعارض ذلك ويدعو إلى الشهوات الدنيّة واللذّات الجسمانيّة من البدن وما ركّب فيه من الدواعي إلى الشهوات ؛ ويكون مزجهما كناية عن تركيبهما في الإنسان. فقوله : أخلق منك ، أي من أجلك جنّتي وأهل طاعتي ؛ إذ لولا في الإنسان من جهة الخير لم يكن لخلق الجنّة فائدة ، ولم يكن يستحقّها أحد ، ولم يصر أحد مطيعاً له تعالى. وكذا قوله : أخلق منك ناري ؛ إذ لولا ما في الإنسان من دواعي الشرور لم يكن يعصي الله أحد ، ولم يحتج إلى خلق النار للزجر عن الشرور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حاشية « ب » : « طينه »</w:t>
      </w:r>
      <w:r w:rsidR="008A74EB">
        <w:rPr>
          <w:rtl/>
        </w:rPr>
        <w:t>.</w:t>
      </w:r>
      <w:r w:rsidR="008A74EB" w:rsidRPr="00C9040A">
        <w:rPr>
          <w:rtl/>
        </w:rPr>
        <w:t xml:space="preserve"> وفي البحار : « طينة »</w:t>
      </w:r>
      <w:r w:rsidR="008A74EB">
        <w:rPr>
          <w:rtl/>
        </w:rPr>
        <w:t>.</w:t>
      </w:r>
      <w:r w:rsidR="008A74EB" w:rsidRPr="00C9040A">
        <w:rPr>
          <w:rtl/>
        </w:rPr>
        <w:t xml:space="preserve"> وفي المحاسن : « طين آدم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أديم كلّ شي‌ء : ظاهر جلده. وا</w:t>
      </w:r>
      <w:r w:rsidR="00AA06AF">
        <w:rPr>
          <w:rFonts w:hint="cs"/>
          <w:rtl/>
        </w:rPr>
        <w:t>ُ</w:t>
      </w:r>
      <w:r w:rsidR="008A74EB" w:rsidRPr="00C9040A">
        <w:rPr>
          <w:rtl/>
        </w:rPr>
        <w:t xml:space="preserve">دمة الأرض : وجهها. وفي </w:t>
      </w:r>
      <w:r w:rsidR="008A74EB" w:rsidRPr="00993B55">
        <w:rPr>
          <w:rStyle w:val="libFootnoteBoldChar"/>
          <w:rtl/>
        </w:rPr>
        <w:t>الوافي</w:t>
      </w:r>
      <w:r w:rsidR="008A74EB" w:rsidRPr="00C9040A">
        <w:rPr>
          <w:rtl/>
        </w:rPr>
        <w:t xml:space="preserve"> : « ولعلّه كناية عمّا ينبت منها ممّا يصلح لأن يصير غذاءً للإنسان ويحصل منه النطفة ، أو تتربّى منه »</w:t>
      </w:r>
      <w:r w:rsidR="008A74EB">
        <w:rPr>
          <w:rtl/>
        </w:rPr>
        <w:t>.</w:t>
      </w:r>
      <w:r w:rsidR="008A74EB" w:rsidRPr="00C9040A">
        <w:rPr>
          <w:rtl/>
        </w:rPr>
        <w:t xml:space="preserve"> راجع : </w:t>
      </w:r>
      <w:r w:rsidR="008A74EB" w:rsidRPr="00993B55">
        <w:rPr>
          <w:rStyle w:val="libFootnoteBoldChar"/>
          <w:rtl/>
        </w:rPr>
        <w:t>ترتيب كتاب العين</w:t>
      </w:r>
      <w:r w:rsidR="008A74EB" w:rsidRPr="00C9040A">
        <w:rPr>
          <w:rtl/>
        </w:rPr>
        <w:t xml:space="preserve"> ، ج 1 ، ص 72 ؛ </w:t>
      </w:r>
      <w:r w:rsidR="008A74EB" w:rsidRPr="00993B55">
        <w:rPr>
          <w:rStyle w:val="libFootnoteBoldChar"/>
          <w:rtl/>
        </w:rPr>
        <w:t>معجم مقائيس اللغة</w:t>
      </w:r>
      <w:r w:rsidR="008A74EB" w:rsidRPr="00C9040A">
        <w:rPr>
          <w:rtl/>
        </w:rPr>
        <w:t xml:space="preserve"> ، ج 1 ، ص 72 ( أدم ) ؛ </w:t>
      </w:r>
      <w:r w:rsidR="008A74EB" w:rsidRPr="00993B55">
        <w:rPr>
          <w:rStyle w:val="libFootnoteBoldChar"/>
          <w:rtl/>
        </w:rPr>
        <w:t>البحار</w:t>
      </w:r>
      <w:r w:rsidR="008A74EB" w:rsidRPr="00C9040A">
        <w:rPr>
          <w:rtl/>
        </w:rPr>
        <w:t xml:space="preserve"> ، ج 11 ، ص 100.</w:t>
      </w:r>
    </w:p>
    <w:p w:rsidR="008A74EB" w:rsidRPr="00C9040A" w:rsidRDefault="006C577F" w:rsidP="004A4E41">
      <w:pPr>
        <w:pStyle w:val="libFootnote0"/>
        <w:rPr>
          <w:rtl/>
          <w:lang w:bidi="fa-IR"/>
        </w:rPr>
      </w:pPr>
      <w:r>
        <w:rPr>
          <w:rtl/>
        </w:rPr>
        <w:t>(9).</w:t>
      </w:r>
      <w:r w:rsidR="008A74EB" w:rsidRPr="00C9040A">
        <w:rPr>
          <w:rtl/>
        </w:rPr>
        <w:t xml:space="preserve"> عركت الشي‌ء أعرُكُه عَرْكاً : دَلَكْتُه. وفي </w:t>
      </w:r>
      <w:r w:rsidR="008A74EB" w:rsidRPr="00993B55">
        <w:rPr>
          <w:rStyle w:val="libFootnoteBoldChar"/>
          <w:rtl/>
        </w:rPr>
        <w:t>الوافي</w:t>
      </w:r>
      <w:r w:rsidR="008A74EB" w:rsidRPr="00C9040A">
        <w:rPr>
          <w:rtl/>
        </w:rPr>
        <w:t xml:space="preserve"> : « ولعلّه كناية عن مزجه بحيث يحصل منه المزاج المستعدّ للحياة »</w:t>
      </w:r>
      <w:r w:rsidR="008A74EB">
        <w:rPr>
          <w:rtl/>
        </w:rPr>
        <w:t>.</w:t>
      </w:r>
      <w:r w:rsidR="008A74EB" w:rsidRPr="00C9040A">
        <w:rPr>
          <w:rtl/>
        </w:rPr>
        <w:t xml:space="preserve"> راجع : </w:t>
      </w:r>
      <w:r w:rsidR="008A74EB" w:rsidRPr="00993B55">
        <w:rPr>
          <w:rStyle w:val="libFootnoteBoldChar"/>
          <w:rtl/>
        </w:rPr>
        <w:t>الصحاح</w:t>
      </w:r>
      <w:r w:rsidR="008A74EB" w:rsidRPr="00C9040A">
        <w:rPr>
          <w:rtl/>
        </w:rPr>
        <w:t xml:space="preserve"> ، ج 4 ، ص 1599 ( عرك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 الذرّ » : صغار النمل. الواحدة : ذرّة. وفي </w:t>
      </w:r>
      <w:r w:rsidR="008A74EB" w:rsidRPr="00993B55">
        <w:rPr>
          <w:rStyle w:val="libFootnoteBoldChar"/>
          <w:rtl/>
        </w:rPr>
        <w:t>الوافي</w:t>
      </w:r>
      <w:r w:rsidR="008A74EB" w:rsidRPr="00C9040A">
        <w:rPr>
          <w:rtl/>
        </w:rPr>
        <w:t xml:space="preserve"> : « ووجه الشبه الحسّ والحركة وكونهم محلّ الشعور مع صغر الجثّة والخفاء »</w:t>
      </w:r>
      <w:r w:rsidR="008A74EB">
        <w:rPr>
          <w:rtl/>
        </w:rPr>
        <w:t>.</w:t>
      </w:r>
      <w:r w:rsidR="008A74EB" w:rsidRPr="00C9040A">
        <w:rPr>
          <w:rtl/>
        </w:rPr>
        <w:t xml:space="preserve"> راجع : </w:t>
      </w:r>
      <w:r w:rsidR="008A74EB" w:rsidRPr="00993B55">
        <w:rPr>
          <w:rStyle w:val="libFootnoteBoldChar"/>
          <w:rtl/>
        </w:rPr>
        <w:t>المصباح المنير</w:t>
      </w:r>
      <w:r w:rsidR="008A74EB" w:rsidRPr="00C9040A">
        <w:rPr>
          <w:rtl/>
        </w:rPr>
        <w:t xml:space="preserve"> ، ص 207 ( ذرّ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يَدِبُّونَ </w:t>
      </w:r>
      <w:r w:rsidR="006C577F" w:rsidRPr="006C577F">
        <w:rPr>
          <w:rStyle w:val="libFootnotenumChar"/>
          <w:rtl/>
        </w:rPr>
        <w:t>(1)</w:t>
      </w:r>
      <w:r w:rsidRPr="00C9040A">
        <w:rPr>
          <w:rtl/>
          <w:lang w:bidi="fa-IR"/>
        </w:rPr>
        <w:t>، فَقَالَ لِأَصْحَابِ الْيَمِينِ : إِلَى الْجَنَّةِ بِسَلَامٍ ، وَقَالَ لِأَصْحَابِ الشِّمَالِ : إِلَى النَّارِ وَلَا أُبَالِي.</w:t>
      </w:r>
    </w:p>
    <w:p w:rsidR="008A74EB" w:rsidRPr="00C9040A" w:rsidRDefault="008A74EB" w:rsidP="008A74EB">
      <w:pPr>
        <w:pStyle w:val="libNormal"/>
        <w:rPr>
          <w:rtl/>
          <w:lang w:bidi="fa-IR"/>
        </w:rPr>
      </w:pPr>
      <w:r w:rsidRPr="00C9040A">
        <w:rPr>
          <w:rtl/>
          <w:lang w:bidi="fa-IR"/>
        </w:rPr>
        <w:t xml:space="preserve">ثُمَّ أَمَرَ نَاراً ، فَأُسْعِرَتْ </w:t>
      </w:r>
      <w:r w:rsidR="006C577F" w:rsidRPr="006C577F">
        <w:rPr>
          <w:rStyle w:val="libFootnotenumChar"/>
          <w:rtl/>
        </w:rPr>
        <w:t>(2)</w:t>
      </w:r>
      <w:r w:rsidRPr="00C9040A">
        <w:rPr>
          <w:rtl/>
          <w:lang w:bidi="fa-IR"/>
        </w:rPr>
        <w:t xml:space="preserve"> ، فَقَالَ لِأَصْحَابِ الشِّمَالِ : ادْخُلُوهَا ، فَهَابُوهَا ، وَقَالَ </w:t>
      </w:r>
      <w:r w:rsidR="006C577F" w:rsidRPr="006C577F">
        <w:rPr>
          <w:rStyle w:val="libFootnotenumChar"/>
          <w:rtl/>
        </w:rPr>
        <w:t>(3)</w:t>
      </w:r>
      <w:r w:rsidRPr="00C9040A">
        <w:rPr>
          <w:rtl/>
          <w:lang w:bidi="fa-IR"/>
        </w:rPr>
        <w:t xml:space="preserve"> لِأَصْحَابِ الْيَمِينِ : ادْخُلُوهَا ، فَدَخَلُوهَا </w:t>
      </w:r>
      <w:r w:rsidR="006C577F" w:rsidRPr="006C577F">
        <w:rPr>
          <w:rStyle w:val="libFootnotenumChar"/>
          <w:rtl/>
        </w:rPr>
        <w:t>(4)</w:t>
      </w:r>
      <w:r w:rsidRPr="00C9040A">
        <w:rPr>
          <w:rtl/>
          <w:lang w:bidi="fa-IR"/>
        </w:rPr>
        <w:t xml:space="preserve"> ، فَقَالَ </w:t>
      </w:r>
      <w:r w:rsidR="006C577F" w:rsidRPr="006C577F">
        <w:rPr>
          <w:rStyle w:val="libFootnotenumChar"/>
          <w:rtl/>
        </w:rPr>
        <w:t>(5)</w:t>
      </w:r>
      <w:r w:rsidRPr="00C9040A">
        <w:rPr>
          <w:rtl/>
          <w:lang w:bidi="fa-IR"/>
        </w:rPr>
        <w:t xml:space="preserve"> : كُونِي بَرْداً وَسَلَاماً ، فَكَانَتْ بَرْداً وَسَلَاماً.</w:t>
      </w:r>
    </w:p>
    <w:p w:rsidR="008A74EB" w:rsidRPr="00C9040A" w:rsidRDefault="008A74EB" w:rsidP="008A74EB">
      <w:pPr>
        <w:pStyle w:val="libNormal"/>
        <w:rPr>
          <w:rtl/>
          <w:lang w:bidi="fa-IR"/>
        </w:rPr>
      </w:pPr>
      <w:r w:rsidRPr="00C9040A">
        <w:rPr>
          <w:rtl/>
          <w:lang w:bidi="fa-IR"/>
        </w:rPr>
        <w:t xml:space="preserve">فَقَالَ أَصْحَابُ الشِّمَالِ : يَا رَبِّ ، أَقِلْنَا </w:t>
      </w:r>
      <w:r w:rsidR="006C577F" w:rsidRPr="006C577F">
        <w:rPr>
          <w:rStyle w:val="libFootnotenumChar"/>
          <w:rtl/>
        </w:rPr>
        <w:t>(6)</w:t>
      </w:r>
      <w:r w:rsidRPr="005B567D">
        <w:rPr>
          <w:rStyle w:val="libFootnotenumChar"/>
          <w:rtl/>
        </w:rPr>
        <w:t xml:space="preserve"> </w:t>
      </w:r>
      <w:r w:rsidRPr="00C9040A">
        <w:rPr>
          <w:rtl/>
          <w:lang w:bidi="fa-IR"/>
        </w:rPr>
        <w:t xml:space="preserve">، فَقَالَ </w:t>
      </w:r>
      <w:r w:rsidR="006C577F" w:rsidRPr="006C577F">
        <w:rPr>
          <w:rStyle w:val="libFootnotenumChar"/>
          <w:rtl/>
        </w:rPr>
        <w:t>(7)</w:t>
      </w:r>
      <w:r w:rsidRPr="00C9040A">
        <w:rPr>
          <w:rtl/>
          <w:lang w:bidi="fa-IR"/>
        </w:rPr>
        <w:t xml:space="preserve"> : قَدْ أَقَلْتُكُمْ ، فَادْخُلُوهَا ، فَذَهَبُوا ، فَهَابُوهَا ، فَثَمَّ </w:t>
      </w:r>
      <w:r w:rsidR="006C577F" w:rsidRPr="006C577F">
        <w:rPr>
          <w:rStyle w:val="libFootnotenumChar"/>
          <w:rtl/>
        </w:rPr>
        <w:t>(8)</w:t>
      </w:r>
      <w:r w:rsidRPr="00C9040A">
        <w:rPr>
          <w:rtl/>
          <w:lang w:bidi="fa-IR"/>
        </w:rPr>
        <w:t xml:space="preserve"> ثَبَتَتِ </w:t>
      </w:r>
      <w:r w:rsidR="006C577F" w:rsidRPr="006C577F">
        <w:rPr>
          <w:rStyle w:val="libFootnotenumChar"/>
          <w:rtl/>
        </w:rPr>
        <w:t>(9)</w:t>
      </w:r>
      <w:r w:rsidRPr="00C9040A">
        <w:rPr>
          <w:rtl/>
          <w:lang w:bidi="fa-IR"/>
        </w:rPr>
        <w:t xml:space="preserve"> الطَّاعَةُ وَالْمَعْصِيَةُ ، فَلَا يَسْتَطِيعُ </w:t>
      </w:r>
      <w:r w:rsidR="006C577F" w:rsidRPr="006C577F">
        <w:rPr>
          <w:rStyle w:val="libFootnotenumChar"/>
          <w:rtl/>
        </w:rPr>
        <w:t>(10)</w:t>
      </w:r>
      <w:r w:rsidRPr="00C9040A">
        <w:rPr>
          <w:rtl/>
          <w:lang w:bidi="fa-IR"/>
        </w:rPr>
        <w:t xml:space="preserve"> هؤُلَاءِ أَنْ يَكُونُوا مِنْ هؤُلَاءِ ، وَلَا هؤُلَاءِ </w:t>
      </w:r>
      <w:r w:rsidR="006C577F" w:rsidRPr="006C577F">
        <w:rPr>
          <w:rStyle w:val="libFootnotenumChar"/>
          <w:rtl/>
        </w:rPr>
        <w:t>(11)</w:t>
      </w:r>
      <w:r w:rsidRPr="00C9040A">
        <w:rPr>
          <w:rtl/>
          <w:lang w:bidi="fa-IR"/>
        </w:rPr>
        <w:t xml:space="preserve"> مِنْ هؤُلَاءِ »</w:t>
      </w:r>
      <w:r>
        <w:rPr>
          <w:rtl/>
          <w:lang w:bidi="fa-IR"/>
        </w:rPr>
        <w:t>.</w:t>
      </w:r>
      <w:r w:rsidRPr="00C9040A">
        <w:rPr>
          <w:rtl/>
          <w:lang w:bidi="fa-IR"/>
        </w:rPr>
        <w:t xml:space="preserve"> </w:t>
      </w:r>
      <w:r w:rsidR="006C577F" w:rsidRPr="006C577F">
        <w:rPr>
          <w:rStyle w:val="libFootnotenumChar"/>
          <w:rtl/>
        </w:rPr>
        <w:t>(12)</w:t>
      </w:r>
    </w:p>
    <w:p w:rsidR="008A74EB" w:rsidRPr="00C9040A" w:rsidRDefault="008A74EB" w:rsidP="008A74EB">
      <w:pPr>
        <w:pStyle w:val="libNormal"/>
        <w:rPr>
          <w:rtl/>
          <w:lang w:bidi="fa-IR"/>
        </w:rPr>
      </w:pPr>
      <w:r w:rsidRPr="00824E80">
        <w:rPr>
          <w:rtl/>
        </w:rPr>
        <w:t>1457</w:t>
      </w:r>
      <w:r w:rsidRPr="00261CB0">
        <w:rPr>
          <w:rStyle w:val="libBold2Char"/>
          <w:rtl/>
        </w:rPr>
        <w:t xml:space="preserve"> / 2.</w:t>
      </w:r>
      <w:r w:rsidRPr="00C9040A">
        <w:rPr>
          <w:rtl/>
          <w:lang w:bidi="fa-IR"/>
        </w:rPr>
        <w:t xml:space="preserve"> عَلِيُّ بْنُ إِبْرَاهِيمَ ، عَنْ أَبِيهِ ، عَنِ ابْنِ أَبِي عُمَيْرٍ ، عَنِ ابْنِ أُذَيْنَةَ </w:t>
      </w:r>
      <w:r w:rsidRPr="005B567D">
        <w:rPr>
          <w:rStyle w:val="libFootnotenumChar"/>
          <w:rtl/>
        </w:rPr>
        <w:t>(13)</w:t>
      </w:r>
      <w:r w:rsidRPr="00C9040A">
        <w:rPr>
          <w:rtl/>
          <w:lang w:bidi="fa-IR"/>
        </w:rPr>
        <w:t xml:space="preserve"> ، عَنْ زُرَارَةَ :</w:t>
      </w:r>
    </w:p>
    <w:p w:rsidR="008A74EB" w:rsidRPr="00C9040A" w:rsidRDefault="008A74EB" w:rsidP="008A74EB">
      <w:pPr>
        <w:pStyle w:val="libNormal"/>
        <w:rPr>
          <w:rtl/>
          <w:lang w:bidi="fa-IR"/>
        </w:rPr>
      </w:pPr>
      <w:r w:rsidRPr="00C9040A">
        <w:rPr>
          <w:rtl/>
          <w:lang w:bidi="fa-IR"/>
        </w:rPr>
        <w:t xml:space="preserve">أَنَّ رَجُلاً سَأَلَ أَبَا جَعْفَرٍ </w:t>
      </w:r>
      <w:r w:rsidRPr="0003660B">
        <w:rPr>
          <w:rStyle w:val="libAlaemChar"/>
          <w:rtl/>
        </w:rPr>
        <w:t>عليه‌السلام</w:t>
      </w:r>
      <w:r w:rsidRPr="00C9040A">
        <w:rPr>
          <w:rtl/>
          <w:lang w:bidi="fa-IR"/>
        </w:rPr>
        <w:t xml:space="preserve"> عَنْ قَوْلِ اللهِ </w:t>
      </w:r>
      <w:r w:rsidRPr="005B567D">
        <w:rPr>
          <w:rStyle w:val="libFootnotenumChar"/>
          <w:rtl/>
        </w:rPr>
        <w:t>(14)</w:t>
      </w:r>
      <w:r w:rsidRPr="00C9040A">
        <w:rPr>
          <w:rtl/>
          <w:lang w:bidi="fa-IR"/>
        </w:rPr>
        <w:t xml:space="preserve"> جَلَّ وَعَزَّ : </w:t>
      </w:r>
      <w:r w:rsidRPr="0003660B">
        <w:rPr>
          <w:rStyle w:val="libAlaemChar"/>
          <w:rtl/>
        </w:rPr>
        <w:t>(</w:t>
      </w:r>
      <w:r w:rsidRPr="006A2246">
        <w:rPr>
          <w:rStyle w:val="libAieChar"/>
          <w:rtl/>
        </w:rPr>
        <w:t xml:space="preserve"> وَإِذْ أَخَذَ رَبُّكَ مِنْ بَنِي آدَمَ مِنْ ظُهُورِهِمْ ذُرِّيَّتَهُمْ وَأَشْهَدَهُمْ عَلى أَنْفُسِهِمْ أَلَسْتُ بِرَبِّكُمْ قالُوا بَلى </w:t>
      </w:r>
      <w:r w:rsidRPr="0003660B">
        <w:rPr>
          <w:rStyle w:val="libAlaemChar"/>
          <w:rtl/>
        </w:rPr>
        <w:t>)</w:t>
      </w:r>
      <w:r w:rsidRPr="00C9040A">
        <w:rPr>
          <w:rtl/>
          <w:lang w:bidi="fa-IR"/>
        </w:rPr>
        <w:t xml:space="preserve"> </w:t>
      </w:r>
      <w:r w:rsidRPr="005B567D">
        <w:rPr>
          <w:rStyle w:val="libFootnotenumChar"/>
          <w:rtl/>
        </w:rPr>
        <w:t>(15)</w:t>
      </w:r>
      <w:r w:rsidRPr="00C9040A">
        <w:rPr>
          <w:rtl/>
          <w:lang w:bidi="fa-IR"/>
        </w:rPr>
        <w:t xml:space="preserve"> إِلى آخِرِ الْآيَةِ.</w:t>
      </w:r>
    </w:p>
    <w:p w:rsidR="008A74EB" w:rsidRPr="00C9040A" w:rsidRDefault="008A74EB" w:rsidP="008A74EB">
      <w:pPr>
        <w:pStyle w:val="libNormal"/>
        <w:rPr>
          <w:rtl/>
          <w:lang w:bidi="fa-IR"/>
        </w:rPr>
      </w:pPr>
      <w:r w:rsidRPr="00C9040A">
        <w:rPr>
          <w:rtl/>
          <w:lang w:bidi="fa-IR"/>
        </w:rPr>
        <w:t>فَقَالَ</w:t>
      </w:r>
      <w:r>
        <w:rPr>
          <w:rtl/>
          <w:lang w:bidi="fa-IR"/>
        </w:rPr>
        <w:t xml:space="preserve"> </w:t>
      </w:r>
      <w:r w:rsidR="0084262C">
        <w:rPr>
          <w:rtl/>
          <w:lang w:bidi="fa-IR"/>
        </w:rPr>
        <w:t>-</w:t>
      </w:r>
      <w:r>
        <w:rPr>
          <w:rtl/>
          <w:lang w:bidi="fa-IR"/>
        </w:rPr>
        <w:t xml:space="preserve"> </w:t>
      </w:r>
      <w:r w:rsidRPr="00C9040A">
        <w:rPr>
          <w:rtl/>
          <w:lang w:bidi="fa-IR"/>
        </w:rPr>
        <w:t xml:space="preserve">وَأَبُوهُ يَسْمَعُ </w:t>
      </w:r>
      <w:r w:rsidRPr="0003660B">
        <w:rPr>
          <w:rStyle w:val="libAlaemChar"/>
          <w:rtl/>
        </w:rPr>
        <w:t>عليهما‌السلام</w:t>
      </w:r>
      <w:r>
        <w:rPr>
          <w:rtl/>
          <w:lang w:bidi="fa-IR"/>
        </w:rPr>
        <w:t xml:space="preserve"> </w:t>
      </w:r>
      <w:r w:rsidR="0084262C">
        <w:rPr>
          <w:rtl/>
          <w:lang w:bidi="fa-IR"/>
        </w:rPr>
        <w:t>-</w:t>
      </w:r>
      <w:r>
        <w:rPr>
          <w:rtl/>
          <w:lang w:bidi="fa-IR"/>
        </w:rPr>
        <w:t xml:space="preserve"> </w:t>
      </w:r>
      <w:r w:rsidRPr="00C9040A">
        <w:rPr>
          <w:rtl/>
          <w:lang w:bidi="fa-IR"/>
        </w:rPr>
        <w:t>: « حَدَّثَنِي أَبِي أَنَّ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قَبَضَ </w:t>
      </w:r>
      <w:r w:rsidRPr="005B567D">
        <w:rPr>
          <w:rStyle w:val="libFootnotenumChar"/>
          <w:rtl/>
        </w:rPr>
        <w:t>(16)</w:t>
      </w:r>
      <w:r w:rsidRPr="00C9040A">
        <w:rPr>
          <w:rtl/>
          <w:lang w:bidi="fa-IR"/>
        </w:rPr>
        <w:t xml:space="preserve"> قَبْضَةً مِنْ‌</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دبّ الصغير يدبّ دَبيباً ، ودبّ الجيش دَبيباً أيضاً : ساروا سَيراً ليّناً. </w:t>
      </w:r>
      <w:r w:rsidR="008A74EB" w:rsidRPr="00993B55">
        <w:rPr>
          <w:rStyle w:val="libFootnoteBoldChar"/>
          <w:rtl/>
        </w:rPr>
        <w:t>المصباح المنير</w:t>
      </w:r>
      <w:r w:rsidR="008A74EB" w:rsidRPr="00C9040A">
        <w:rPr>
          <w:rtl/>
        </w:rPr>
        <w:t xml:space="preserve"> ، ص 188 ( دبّ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المحاسن : « فاستعرت »</w:t>
      </w:r>
      <w:r w:rsidR="008A74EB">
        <w:rPr>
          <w:rtl/>
        </w:rPr>
        <w:t>.</w:t>
      </w:r>
    </w:p>
    <w:p w:rsidR="008A74EB" w:rsidRPr="004A4E41" w:rsidRDefault="006C577F" w:rsidP="004A4E41">
      <w:pPr>
        <w:pStyle w:val="libFootnote0"/>
        <w:rPr>
          <w:rStyle w:val="libFootnote0Char"/>
          <w:rtl/>
        </w:rPr>
      </w:pPr>
      <w:r>
        <w:rPr>
          <w:rtl/>
        </w:rPr>
        <w:t>(3).</w:t>
      </w:r>
      <w:r w:rsidR="008A74EB" w:rsidRPr="00C9040A">
        <w:rPr>
          <w:rtl/>
        </w:rPr>
        <w:t xml:space="preserve"> هكذا في « ب ، ز ، ص ، ض ، </w:t>
      </w:r>
      <w:r w:rsidR="008A74EB">
        <w:rPr>
          <w:rtl/>
        </w:rPr>
        <w:t>ه</w:t>
      </w:r>
      <w:r w:rsidR="008A74EB" w:rsidRPr="00C9040A">
        <w:rPr>
          <w:rtl/>
        </w:rPr>
        <w:t xml:space="preserve"> ، بر ، بس ، بف » والوافي والبحار والمحاسن. وفي المطبوع : « فقال »</w:t>
      </w:r>
      <w:r w:rsidR="008A74EB">
        <w:rPr>
          <w:rtl/>
        </w:rPr>
        <w:t>.</w:t>
      </w:r>
    </w:p>
    <w:tbl>
      <w:tblPr>
        <w:tblStyle w:val="TableGrid"/>
        <w:bidiVisual/>
        <w:tblW w:w="0" w:type="auto"/>
        <w:tblLook w:val="04A0" w:firstRow="1" w:lastRow="0" w:firstColumn="1" w:lastColumn="0" w:noHBand="0" w:noVBand="1"/>
      </w:tblPr>
      <w:tblGrid>
        <w:gridCol w:w="4006"/>
        <w:gridCol w:w="4006"/>
      </w:tblGrid>
      <w:tr w:rsidR="008F4BAD" w:rsidTr="008F4BAD">
        <w:tc>
          <w:tcPr>
            <w:tcW w:w="4006" w:type="dxa"/>
          </w:tcPr>
          <w:p w:rsidR="008F4BAD" w:rsidRDefault="006C577F" w:rsidP="004A4E41">
            <w:pPr>
              <w:pStyle w:val="libFootnote0"/>
              <w:rPr>
                <w:rtl/>
                <w:lang w:bidi="fa-IR"/>
              </w:rPr>
            </w:pPr>
            <w:r>
              <w:rPr>
                <w:rtl/>
              </w:rPr>
              <w:t>(4).</w:t>
            </w:r>
            <w:r w:rsidR="008F4BAD" w:rsidRPr="00C9040A">
              <w:rPr>
                <w:rtl/>
              </w:rPr>
              <w:t xml:space="preserve"> في « ب » : « ودخلوها »</w:t>
            </w:r>
            <w:r w:rsidR="008F4BAD">
              <w:rPr>
                <w:rtl/>
              </w:rPr>
              <w:t>.</w:t>
            </w:r>
          </w:p>
        </w:tc>
        <w:tc>
          <w:tcPr>
            <w:tcW w:w="4006" w:type="dxa"/>
          </w:tcPr>
          <w:p w:rsidR="008F4BAD" w:rsidRDefault="006C577F" w:rsidP="004A4E41">
            <w:pPr>
              <w:pStyle w:val="libFootnote0"/>
              <w:rPr>
                <w:rtl/>
                <w:lang w:bidi="fa-IR"/>
              </w:rPr>
            </w:pPr>
            <w:r>
              <w:rPr>
                <w:rtl/>
              </w:rPr>
              <w:t>(5).</w:t>
            </w:r>
            <w:r w:rsidR="008F4BAD" w:rsidRPr="00C9040A">
              <w:rPr>
                <w:rtl/>
              </w:rPr>
              <w:t xml:space="preserve"> في « ص » : « وقال »</w:t>
            </w:r>
            <w:r w:rsidR="008F4BAD">
              <w:rPr>
                <w:rtl/>
              </w:rPr>
              <w:t>.</w:t>
            </w:r>
          </w:p>
        </w:tc>
      </w:tr>
    </w:tbl>
    <w:p w:rsidR="008A74EB" w:rsidRPr="004A4E41" w:rsidRDefault="006C577F" w:rsidP="004A4E41">
      <w:pPr>
        <w:pStyle w:val="libFootnote0"/>
        <w:rPr>
          <w:rStyle w:val="libFootnote0Char"/>
          <w:rtl/>
        </w:rPr>
      </w:pPr>
      <w:r>
        <w:rPr>
          <w:rtl/>
        </w:rPr>
        <w:t>(6).</w:t>
      </w:r>
      <w:r w:rsidR="008A74EB">
        <w:rPr>
          <w:rtl/>
        </w:rPr>
        <w:t xml:space="preserve"> </w:t>
      </w:r>
      <w:r w:rsidR="008A74EB" w:rsidRPr="00C9040A">
        <w:rPr>
          <w:rtl/>
        </w:rPr>
        <w:t xml:space="preserve">أقال الله عثرته : رفعه من سقوطه. ومنه الإقالة في البيع ؛ لأنّها رفع العقد. </w:t>
      </w:r>
      <w:r w:rsidR="008A74EB" w:rsidRPr="00993B55">
        <w:rPr>
          <w:rStyle w:val="libFootnoteBoldChar"/>
          <w:rtl/>
        </w:rPr>
        <w:t>المصباح المنير</w:t>
      </w:r>
      <w:r w:rsidR="008A74EB" w:rsidRPr="00C9040A">
        <w:rPr>
          <w:rtl/>
        </w:rPr>
        <w:t xml:space="preserve"> ، ص 521 ( قيل )</w:t>
      </w:r>
      <w:r w:rsidR="008A74EB">
        <w:rPr>
          <w:rtl/>
        </w:rPr>
        <w:t>.</w:t>
      </w:r>
    </w:p>
    <w:tbl>
      <w:tblPr>
        <w:tblStyle w:val="TableGrid"/>
        <w:bidiVisual/>
        <w:tblW w:w="0" w:type="auto"/>
        <w:tblLook w:val="04A0" w:firstRow="1" w:lastRow="0" w:firstColumn="1" w:lastColumn="0" w:noHBand="0" w:noVBand="1"/>
      </w:tblPr>
      <w:tblGrid>
        <w:gridCol w:w="4006"/>
        <w:gridCol w:w="4006"/>
      </w:tblGrid>
      <w:tr w:rsidR="008F4BAD" w:rsidTr="008F4BAD">
        <w:tc>
          <w:tcPr>
            <w:tcW w:w="4006" w:type="dxa"/>
          </w:tcPr>
          <w:p w:rsidR="008F4BAD" w:rsidRDefault="006C577F" w:rsidP="004A4E41">
            <w:pPr>
              <w:pStyle w:val="libFootnote0"/>
              <w:rPr>
                <w:rtl/>
                <w:lang w:bidi="fa-IR"/>
              </w:rPr>
            </w:pPr>
            <w:r>
              <w:rPr>
                <w:rtl/>
              </w:rPr>
              <w:t>(7).</w:t>
            </w:r>
            <w:r w:rsidR="008F4BAD" w:rsidRPr="00C9040A">
              <w:rPr>
                <w:rtl/>
              </w:rPr>
              <w:t xml:space="preserve"> في البحار : « قال »</w:t>
            </w:r>
            <w:r w:rsidR="008F4BAD">
              <w:rPr>
                <w:rtl/>
              </w:rPr>
              <w:t>.</w:t>
            </w:r>
          </w:p>
        </w:tc>
        <w:tc>
          <w:tcPr>
            <w:tcW w:w="4006" w:type="dxa"/>
          </w:tcPr>
          <w:p w:rsidR="008F4BAD" w:rsidRDefault="006C577F" w:rsidP="004A4E41">
            <w:pPr>
              <w:pStyle w:val="libFootnote0"/>
              <w:rPr>
                <w:rtl/>
                <w:lang w:bidi="fa-IR"/>
              </w:rPr>
            </w:pPr>
            <w:r>
              <w:rPr>
                <w:rtl/>
              </w:rPr>
              <w:t>(8).</w:t>
            </w:r>
            <w:r w:rsidR="008F4BAD" w:rsidRPr="00C9040A">
              <w:rPr>
                <w:rtl/>
              </w:rPr>
              <w:t xml:space="preserve"> في « بر » : « ثَمَّ »</w:t>
            </w:r>
            <w:r w:rsidR="008F4BAD">
              <w:rPr>
                <w:rtl/>
              </w:rPr>
              <w:t>.</w:t>
            </w:r>
          </w:p>
        </w:tc>
      </w:tr>
      <w:tr w:rsidR="008F4BAD" w:rsidTr="008F4BAD">
        <w:tc>
          <w:tcPr>
            <w:tcW w:w="4006" w:type="dxa"/>
          </w:tcPr>
          <w:p w:rsidR="008F4BAD" w:rsidRDefault="006C577F" w:rsidP="004A4E41">
            <w:pPr>
              <w:pStyle w:val="libFootnote0"/>
              <w:rPr>
                <w:rtl/>
                <w:lang w:bidi="fa-IR"/>
              </w:rPr>
            </w:pPr>
            <w:r>
              <w:rPr>
                <w:rtl/>
              </w:rPr>
              <w:t>(9).</w:t>
            </w:r>
            <w:r w:rsidR="008F4BAD" w:rsidRPr="00C9040A">
              <w:rPr>
                <w:rtl/>
              </w:rPr>
              <w:t xml:space="preserve"> في « ض ، بف » : « تثبت »</w:t>
            </w:r>
            <w:r w:rsidR="008F4BAD">
              <w:rPr>
                <w:rtl/>
              </w:rPr>
              <w:t>.</w:t>
            </w:r>
          </w:p>
        </w:tc>
        <w:tc>
          <w:tcPr>
            <w:tcW w:w="4006" w:type="dxa"/>
          </w:tcPr>
          <w:p w:rsidR="008F4BAD" w:rsidRDefault="006C577F" w:rsidP="004A4E41">
            <w:pPr>
              <w:pStyle w:val="libFootnote0"/>
              <w:rPr>
                <w:rtl/>
                <w:lang w:bidi="fa-IR"/>
              </w:rPr>
            </w:pPr>
            <w:r>
              <w:rPr>
                <w:rtl/>
              </w:rPr>
              <w:t>(10).</w:t>
            </w:r>
            <w:r w:rsidR="008F4BAD" w:rsidRPr="00C9040A">
              <w:rPr>
                <w:rtl/>
              </w:rPr>
              <w:t xml:space="preserve"> في مرآة العقول والبحار : « ولا يستطيع »</w:t>
            </w:r>
            <w:r w:rsidR="008F4BAD">
              <w:rPr>
                <w:rtl/>
              </w:rPr>
              <w:t>.</w:t>
            </w:r>
          </w:p>
        </w:tc>
      </w:tr>
    </w:tbl>
    <w:p w:rsidR="008A74EB" w:rsidRPr="00C9040A" w:rsidRDefault="006C577F" w:rsidP="004A4E41">
      <w:pPr>
        <w:pStyle w:val="libFootnote0"/>
        <w:rPr>
          <w:rtl/>
          <w:lang w:bidi="fa-IR"/>
        </w:rPr>
      </w:pPr>
      <w:r>
        <w:rPr>
          <w:rtl/>
        </w:rPr>
        <w:t>(11).</w:t>
      </w:r>
      <w:r w:rsidR="008F4BAD">
        <w:rPr>
          <w:rtl/>
        </w:rPr>
        <w:t xml:space="preserve"> في « ض » والمحاسن : + </w:t>
      </w:r>
      <w:r w:rsidR="008A74EB" w:rsidRPr="00C9040A">
        <w:rPr>
          <w:rtl/>
        </w:rPr>
        <w:t>« أن يكونوا »</w:t>
      </w:r>
      <w:r w:rsidR="008A74EB">
        <w:rPr>
          <w:rtl/>
        </w:rPr>
        <w:t>.</w:t>
      </w:r>
    </w:p>
    <w:p w:rsidR="008A74EB" w:rsidRPr="004A4E41" w:rsidRDefault="006C577F" w:rsidP="004A4E41">
      <w:pPr>
        <w:pStyle w:val="libFootnote0"/>
        <w:rPr>
          <w:rStyle w:val="libFootnote0Char"/>
          <w:rtl/>
        </w:rPr>
      </w:pPr>
      <w:r>
        <w:rPr>
          <w:rtl/>
        </w:rPr>
        <w:t>(12).</w:t>
      </w:r>
      <w:r w:rsidR="008A74EB" w:rsidRPr="00C9040A">
        <w:rPr>
          <w:rtl/>
        </w:rPr>
        <w:t xml:space="preserve"> </w:t>
      </w:r>
      <w:r w:rsidR="008A74EB" w:rsidRPr="00993B55">
        <w:rPr>
          <w:rStyle w:val="libFootnoteBoldChar"/>
          <w:rtl/>
        </w:rPr>
        <w:t>المحاسن</w:t>
      </w:r>
      <w:r w:rsidR="008A74EB" w:rsidRPr="00C9040A">
        <w:rPr>
          <w:rtl/>
        </w:rPr>
        <w:t xml:space="preserve"> ، ص 282 ، كتاب مصابيح الظلم ، ح 412 ، عن عليّ بن الحكم. </w:t>
      </w:r>
      <w:r w:rsidR="008A74EB" w:rsidRPr="00993B55">
        <w:rPr>
          <w:rStyle w:val="libFootnoteBoldChar"/>
          <w:rtl/>
        </w:rPr>
        <w:t>علل الشرائع</w:t>
      </w:r>
      <w:r w:rsidR="008A74EB" w:rsidRPr="00C9040A">
        <w:rPr>
          <w:rtl/>
        </w:rPr>
        <w:t xml:space="preserve"> ، ص 83 ، ح 4 ، بسند آخر عن أبي عبد الله </w:t>
      </w:r>
      <w:r w:rsidR="00117575" w:rsidRPr="00117575">
        <w:rPr>
          <w:rStyle w:val="libFootnoteAlaemChar"/>
          <w:rtl/>
        </w:rPr>
        <w:t xml:space="preserve">عليه‌السلام </w:t>
      </w:r>
      <w:r w:rsidR="008A74EB" w:rsidRPr="00C9040A">
        <w:rPr>
          <w:rtl/>
        </w:rPr>
        <w:t xml:space="preserve"> ، من قوله : « إنّ الله عزّوجلّ » إلى قوله : « يلد المؤمن الكافر والكافر المؤمن » مع اختلاف يسير. </w:t>
      </w:r>
      <w:r w:rsidR="008A74EB" w:rsidRPr="00993B55">
        <w:rPr>
          <w:rStyle w:val="libFootnoteBoldChar"/>
          <w:rtl/>
        </w:rPr>
        <w:t>تفسير العيّاشي</w:t>
      </w:r>
      <w:r w:rsidR="008A74EB" w:rsidRPr="00C9040A">
        <w:rPr>
          <w:rtl/>
        </w:rPr>
        <w:t xml:space="preserve"> ، ج 1 ، ص 358 ، صدر ح 18 ، عن عثمان بن عيسى ، عن بعض أصحابه ، عن أبي عبد الله </w:t>
      </w:r>
      <w:r w:rsidR="00117575" w:rsidRPr="00117575">
        <w:rPr>
          <w:rStyle w:val="libFootnoteAlaemChar"/>
          <w:rtl/>
        </w:rPr>
        <w:t xml:space="preserve">عليه‌السلام </w:t>
      </w:r>
      <w:r w:rsidR="008A74EB" w:rsidRPr="00C9040A">
        <w:rPr>
          <w:rtl/>
        </w:rPr>
        <w:t xml:space="preserve"> ، من قوله : « إنّ الله عزّوجلّ » مع اختلاف</w:t>
      </w:r>
      <w:r w:rsidR="008F4BAD">
        <w:rPr>
          <w:rFonts w:hint="cs"/>
          <w:rtl/>
        </w:rPr>
        <w:t>.</w:t>
      </w:r>
      <w:r w:rsidR="008A74EB" w:rsidRPr="00993B55">
        <w:rPr>
          <w:rStyle w:val="libFootnoteBoldChar"/>
          <w:rtl/>
        </w:rPr>
        <w:t>الوافي</w:t>
      </w:r>
      <w:r w:rsidR="008A74EB" w:rsidRPr="00C9040A">
        <w:rPr>
          <w:rtl/>
        </w:rPr>
        <w:t xml:space="preserve"> ، ج 4 ، ص 34 ، ح 1650 ؛ </w:t>
      </w:r>
      <w:r w:rsidR="008A74EB" w:rsidRPr="00993B55">
        <w:rPr>
          <w:rStyle w:val="libFootnoteBoldChar"/>
          <w:rtl/>
        </w:rPr>
        <w:t>البحار</w:t>
      </w:r>
      <w:r w:rsidR="008A74EB" w:rsidRPr="00C9040A">
        <w:rPr>
          <w:rtl/>
        </w:rPr>
        <w:t xml:space="preserve"> ، ج 67 ، ص 93 ، ح 14.</w:t>
      </w:r>
    </w:p>
    <w:tbl>
      <w:tblPr>
        <w:tblStyle w:val="TableGrid"/>
        <w:bidiVisual/>
        <w:tblW w:w="0" w:type="auto"/>
        <w:tblLook w:val="04A0" w:firstRow="1" w:lastRow="0" w:firstColumn="1" w:lastColumn="0" w:noHBand="0" w:noVBand="1"/>
      </w:tblPr>
      <w:tblGrid>
        <w:gridCol w:w="4006"/>
        <w:gridCol w:w="4006"/>
      </w:tblGrid>
      <w:tr w:rsidR="008F4BAD" w:rsidTr="008F4BAD">
        <w:tc>
          <w:tcPr>
            <w:tcW w:w="4006" w:type="dxa"/>
          </w:tcPr>
          <w:p w:rsidR="008F4BAD" w:rsidRDefault="008F4BAD" w:rsidP="004A4E41">
            <w:pPr>
              <w:pStyle w:val="libFootnote0"/>
              <w:rPr>
                <w:rtl/>
              </w:rPr>
            </w:pPr>
            <w:r>
              <w:rPr>
                <w:rtl/>
              </w:rPr>
              <w:t>(13)</w:t>
            </w:r>
            <w:r w:rsidRPr="00C9040A">
              <w:rPr>
                <w:rtl/>
              </w:rPr>
              <w:t xml:space="preserve"> في البحار : « محمّد بن ا</w:t>
            </w:r>
            <w:r>
              <w:rPr>
                <w:rFonts w:hint="cs"/>
                <w:rtl/>
              </w:rPr>
              <w:t>ُ</w:t>
            </w:r>
            <w:r w:rsidRPr="00C9040A">
              <w:rPr>
                <w:rtl/>
              </w:rPr>
              <w:t>ذينة »</w:t>
            </w:r>
            <w:r>
              <w:rPr>
                <w:rtl/>
              </w:rPr>
              <w:t>.</w:t>
            </w:r>
          </w:p>
        </w:tc>
        <w:tc>
          <w:tcPr>
            <w:tcW w:w="4006" w:type="dxa"/>
          </w:tcPr>
          <w:p w:rsidR="008F4BAD" w:rsidRDefault="008F4BAD" w:rsidP="004A4E41">
            <w:pPr>
              <w:pStyle w:val="libFootnote0"/>
              <w:rPr>
                <w:rtl/>
              </w:rPr>
            </w:pPr>
            <w:r>
              <w:rPr>
                <w:rtl/>
              </w:rPr>
              <w:t>(14) في</w:t>
            </w:r>
            <w:r w:rsidR="002C46B7">
              <w:rPr>
                <w:rtl/>
              </w:rPr>
              <w:t>«</w:t>
            </w:r>
            <w:r>
              <w:rPr>
                <w:rtl/>
              </w:rPr>
              <w:t>ب</w:t>
            </w:r>
            <w:r w:rsidR="002C46B7">
              <w:rPr>
                <w:rtl/>
              </w:rPr>
              <w:t>،</w:t>
            </w:r>
            <w:r>
              <w:rPr>
                <w:rtl/>
              </w:rPr>
              <w:t>ج</w:t>
            </w:r>
            <w:r w:rsidR="002C46B7">
              <w:rPr>
                <w:rtl/>
              </w:rPr>
              <w:t>،</w:t>
            </w:r>
            <w:r>
              <w:rPr>
                <w:rtl/>
              </w:rPr>
              <w:t>ص</w:t>
            </w:r>
            <w:r w:rsidR="002C46B7">
              <w:rPr>
                <w:rtl/>
              </w:rPr>
              <w:t>،</w:t>
            </w:r>
            <w:r>
              <w:rPr>
                <w:rtl/>
              </w:rPr>
              <w:t>ف</w:t>
            </w:r>
            <w:r w:rsidR="002C46B7">
              <w:rPr>
                <w:rtl/>
              </w:rPr>
              <w:t>،</w:t>
            </w:r>
            <w:r>
              <w:rPr>
                <w:rtl/>
              </w:rPr>
              <w:t>ه</w:t>
            </w:r>
            <w:r w:rsidR="002C46B7">
              <w:rPr>
                <w:rtl/>
              </w:rPr>
              <w:t>،</w:t>
            </w:r>
            <w:r>
              <w:rPr>
                <w:rtl/>
              </w:rPr>
              <w:t>بر</w:t>
            </w:r>
            <w:r w:rsidR="002C46B7">
              <w:rPr>
                <w:rtl/>
              </w:rPr>
              <w:t>،بف» والبحار: «قوله</w:t>
            </w:r>
            <w:r w:rsidRPr="00C9040A">
              <w:rPr>
                <w:rtl/>
              </w:rPr>
              <w:t>»</w:t>
            </w:r>
            <w:r>
              <w:rPr>
                <w:rtl/>
              </w:rPr>
              <w:t>.</w:t>
            </w:r>
          </w:p>
        </w:tc>
      </w:tr>
      <w:tr w:rsidR="008F4BAD" w:rsidTr="008F4BAD">
        <w:tc>
          <w:tcPr>
            <w:tcW w:w="4006" w:type="dxa"/>
          </w:tcPr>
          <w:p w:rsidR="008F4BAD" w:rsidRDefault="009213DB" w:rsidP="004A4E41">
            <w:pPr>
              <w:pStyle w:val="libFootnote0"/>
              <w:rPr>
                <w:rtl/>
              </w:rPr>
            </w:pPr>
            <w:r>
              <w:rPr>
                <w:rtl/>
              </w:rPr>
              <w:t>(15)</w:t>
            </w:r>
            <w:r w:rsidRPr="00C9040A">
              <w:rPr>
                <w:rtl/>
              </w:rPr>
              <w:t xml:space="preserve"> الأعراف </w:t>
            </w:r>
            <w:r w:rsidR="006C577F">
              <w:rPr>
                <w:rtl/>
              </w:rPr>
              <w:t>(7).</w:t>
            </w:r>
            <w:r w:rsidRPr="00C9040A">
              <w:rPr>
                <w:rtl/>
              </w:rPr>
              <w:t xml:space="preserve"> : 172.</w:t>
            </w:r>
          </w:p>
        </w:tc>
        <w:tc>
          <w:tcPr>
            <w:tcW w:w="4006" w:type="dxa"/>
          </w:tcPr>
          <w:p w:rsidR="008F4BAD" w:rsidRDefault="009213DB" w:rsidP="004A4E41">
            <w:pPr>
              <w:pStyle w:val="libFootnote0"/>
              <w:rPr>
                <w:rtl/>
              </w:rPr>
            </w:pPr>
            <w:r>
              <w:rPr>
                <w:rtl/>
              </w:rPr>
              <w:t>(16)</w:t>
            </w:r>
            <w:r w:rsidRPr="00C9040A">
              <w:rPr>
                <w:rtl/>
              </w:rPr>
              <w:t xml:space="preserve"> في البحار : « قد قبض »</w:t>
            </w:r>
            <w:r>
              <w:rPr>
                <w:rtl/>
              </w:rPr>
              <w:t>.</w:t>
            </w:r>
          </w:p>
        </w:tc>
      </w:tr>
    </w:tbl>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تُرَابِ التُّرْبَةِ الَّتِي خَلَقَ </w:t>
      </w:r>
      <w:r w:rsidR="006C577F" w:rsidRPr="006C577F">
        <w:rPr>
          <w:rStyle w:val="libFootnotenumChar"/>
          <w:rtl/>
        </w:rPr>
        <w:t>(1)</w:t>
      </w:r>
      <w:r w:rsidRPr="002712F0">
        <w:rPr>
          <w:rFonts w:hint="cs"/>
          <w:rtl/>
        </w:rPr>
        <w:t xml:space="preserve"> </w:t>
      </w:r>
      <w:r w:rsidRPr="00C9040A">
        <w:rPr>
          <w:rtl/>
          <w:lang w:bidi="fa-IR"/>
        </w:rPr>
        <w:t xml:space="preserve">مِنْهَا آدَمَ </w:t>
      </w:r>
      <w:r w:rsidRPr="0003660B">
        <w:rPr>
          <w:rStyle w:val="libAlaemChar"/>
          <w:rtl/>
        </w:rPr>
        <w:t>عليه‌السلام</w:t>
      </w:r>
      <w:r w:rsidRPr="00C9040A">
        <w:rPr>
          <w:rtl/>
          <w:lang w:bidi="fa-IR"/>
        </w:rPr>
        <w:t xml:space="preserve"> ، فَصَبَّ عَلَيْهَا الْمَاءَ الْعَذْبَ الْفُرَاتَ ، ثُمَّ تَرَكَهَا أَرْبَعِينَ صَبَاحاً ، ثُمَّ </w:t>
      </w:r>
      <w:r w:rsidR="006C577F" w:rsidRPr="006C577F">
        <w:rPr>
          <w:rStyle w:val="libFootnotenumChar"/>
          <w:rtl/>
        </w:rPr>
        <w:t>(2)</w:t>
      </w:r>
      <w:r w:rsidRPr="00C9040A">
        <w:rPr>
          <w:rtl/>
          <w:lang w:bidi="fa-IR"/>
        </w:rPr>
        <w:t xml:space="preserve"> صَبَّ عَلَيْهَا الْمَاءَ </w:t>
      </w:r>
      <w:r w:rsidR="006C577F" w:rsidRPr="006C577F">
        <w:rPr>
          <w:rStyle w:val="libFootnotenumChar"/>
          <w:rtl/>
        </w:rPr>
        <w:t>(3)</w:t>
      </w:r>
      <w:r w:rsidRPr="00C9040A">
        <w:rPr>
          <w:rtl/>
          <w:lang w:bidi="fa-IR"/>
        </w:rPr>
        <w:t xml:space="preserve"> الْمَالِحَ </w:t>
      </w:r>
      <w:r w:rsidR="006C577F" w:rsidRPr="006C577F">
        <w:rPr>
          <w:rStyle w:val="libFootnotenumChar"/>
          <w:rtl/>
        </w:rPr>
        <w:t>(4)</w:t>
      </w:r>
      <w:r w:rsidRPr="00C9040A">
        <w:rPr>
          <w:rtl/>
          <w:lang w:bidi="fa-IR"/>
        </w:rPr>
        <w:t xml:space="preserve"> الْأُجَاجَ ، فَتَرَكَهَا أَرْبَعِينَ صَبَاحاً ، فَلَمَّا اخْتَمَرَتِ الطِّينَةُ أَخَذَهَا ، فَعَرَكَهَا عَرْكاً شَدِيداً ، فَخَرَجُوا كَالذَّرِّ مِنْ </w:t>
      </w:r>
      <w:r w:rsidR="006C577F" w:rsidRPr="006C577F">
        <w:rPr>
          <w:rStyle w:val="libFootnotenumChar"/>
          <w:rtl/>
        </w:rPr>
        <w:t>(5)</w:t>
      </w:r>
      <w:r w:rsidRPr="00C9040A">
        <w:rPr>
          <w:rtl/>
          <w:lang w:bidi="fa-IR"/>
        </w:rPr>
        <w:t xml:space="preserve"> يَمِينِهِ وَشِمَالِهِ ، وَأَمَرَهُمْ جَمِيعاً أَنْ يَقَعُوا فِي النَّارِ ، فَدَخَلَ </w:t>
      </w:r>
      <w:r w:rsidR="006C577F" w:rsidRPr="006C577F">
        <w:rPr>
          <w:rStyle w:val="libFootnotenumChar"/>
          <w:rtl/>
        </w:rPr>
        <w:t>(6)</w:t>
      </w:r>
      <w:r w:rsidRPr="005B567D">
        <w:rPr>
          <w:rStyle w:val="libFootnotenumChar"/>
          <w:rtl/>
        </w:rPr>
        <w:t xml:space="preserve"> </w:t>
      </w:r>
      <w:r w:rsidRPr="00C9040A">
        <w:rPr>
          <w:rtl/>
          <w:lang w:bidi="fa-IR"/>
        </w:rPr>
        <w:t>أَصْحَابُ</w:t>
      </w:r>
      <w:r>
        <w:rPr>
          <w:rFonts w:hint="cs"/>
          <w:rtl/>
          <w:lang w:bidi="fa-IR"/>
        </w:rPr>
        <w:t xml:space="preserve"> </w:t>
      </w:r>
      <w:r w:rsidRPr="00C9040A">
        <w:rPr>
          <w:rtl/>
          <w:lang w:bidi="fa-IR"/>
        </w:rPr>
        <w:t xml:space="preserve">الْيَمِينِ ، فَصَارَتْ عَلَيْهِمْ بَرْداً وَسَلَاماً ، وَأَبى أَصْحَابُ </w:t>
      </w:r>
      <w:r w:rsidR="006C577F" w:rsidRPr="006C577F">
        <w:rPr>
          <w:rStyle w:val="libFootnotenumChar"/>
          <w:rtl/>
        </w:rPr>
        <w:t>(7)</w:t>
      </w:r>
      <w:r w:rsidRPr="00C9040A">
        <w:rPr>
          <w:rtl/>
          <w:lang w:bidi="fa-IR"/>
        </w:rPr>
        <w:t xml:space="preserve"> الشِّمَالِ أَنْ يَدْخُلُوهَا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Normal"/>
        <w:rPr>
          <w:rtl/>
          <w:lang w:bidi="fa-IR"/>
        </w:rPr>
      </w:pPr>
      <w:r w:rsidRPr="00824E80">
        <w:rPr>
          <w:rtl/>
        </w:rPr>
        <w:t>1458</w:t>
      </w:r>
      <w:r w:rsidRPr="00261CB0">
        <w:rPr>
          <w:rStyle w:val="libBold2Char"/>
          <w:rtl/>
        </w:rPr>
        <w:t xml:space="preserve"> / 3.</w:t>
      </w:r>
      <w:r w:rsidRPr="00C9040A">
        <w:rPr>
          <w:rtl/>
          <w:lang w:bidi="fa-IR"/>
        </w:rPr>
        <w:t xml:space="preserve"> عَلِيُّ بْنُ إِبْرَاهِيمَ ، عَنْ أَبِيهِ ، عَنْ أَحْمَدَ بْنِ مُحَمَّدِ بْنِ أَبِي نَصْرٍ ، عَنْ أَبَانِ بْنِ عُثْمَانَ ، عَنْ مُحَمَّدِ بْنِ عَلِيٍّ الْحَلَبِيِّ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إِنَّ اللهَ</w:t>
      </w:r>
      <w:r>
        <w:rPr>
          <w:rtl/>
          <w:lang w:bidi="fa-IR"/>
        </w:rPr>
        <w:t xml:space="preserve"> </w:t>
      </w:r>
      <w:r w:rsidR="0084262C">
        <w:rPr>
          <w:rtl/>
          <w:lang w:bidi="fa-IR"/>
        </w:rPr>
        <w:t>-</w:t>
      </w:r>
      <w:r>
        <w:rPr>
          <w:rtl/>
          <w:lang w:bidi="fa-IR"/>
        </w:rPr>
        <w:t xml:space="preserve"> </w:t>
      </w:r>
      <w:r w:rsidRPr="00C9040A">
        <w:rPr>
          <w:rtl/>
          <w:lang w:bidi="fa-IR"/>
        </w:rPr>
        <w:t xml:space="preserve">عَزَّ وَجَلَّ </w:t>
      </w:r>
      <w:r w:rsidR="006C577F" w:rsidRPr="006C577F">
        <w:rPr>
          <w:rStyle w:val="libFootnotenumChar"/>
          <w:rtl/>
        </w:rPr>
        <w:t>(9)</w:t>
      </w:r>
      <w:r>
        <w:rPr>
          <w:rtl/>
          <w:lang w:bidi="fa-IR"/>
        </w:rPr>
        <w:t xml:space="preserve"> </w:t>
      </w:r>
      <w:r w:rsidR="0084262C">
        <w:rPr>
          <w:rtl/>
          <w:lang w:bidi="fa-IR"/>
        </w:rPr>
        <w:t>-</w:t>
      </w:r>
      <w:r>
        <w:rPr>
          <w:rtl/>
          <w:lang w:bidi="fa-IR"/>
        </w:rPr>
        <w:t xml:space="preserve"> </w:t>
      </w:r>
      <w:r w:rsidRPr="00C9040A">
        <w:rPr>
          <w:rtl/>
          <w:lang w:bidi="fa-IR"/>
        </w:rPr>
        <w:t xml:space="preserve">لَمَّا أَرَادَ أَنْ يَخْلُقَ آدَمَ </w:t>
      </w:r>
      <w:r w:rsidRPr="0003660B">
        <w:rPr>
          <w:rStyle w:val="libAlaemChar"/>
          <w:rtl/>
        </w:rPr>
        <w:t>عليه‌السلام</w:t>
      </w:r>
      <w:r w:rsidRPr="00C9040A">
        <w:rPr>
          <w:rtl/>
          <w:lang w:bidi="fa-IR"/>
        </w:rPr>
        <w:t xml:space="preserve"> ، أَرْسَلَ الْمَاءَ عَلَى الطِّينِ ، ثُمَّ قَبَضَ قَبْضَةً فَعَرَكَهَا ، ثُمَّ فَرَّقَهَا فِرْقَتَيْنِ بِيَدِهِ ، ثُمَّ ذَرَأَهُمْ فَإِذَا هُمْ يَدِبُّونَ ، ثُمَّ رَفَعَ لَهُمْ نَاراً ، فَأَمَرَ أَهْلَ الشِّمَالِ أَنْ يَدْخُلُوهَا ، فَذَهَبُوا إِلَيْهَا ، فَهَابُوهَا وَلَمْ يَدْخُلُوهَا </w:t>
      </w:r>
      <w:r w:rsidR="006C577F" w:rsidRPr="006C577F">
        <w:rPr>
          <w:rStyle w:val="libFootnotenumChar"/>
          <w:rtl/>
        </w:rPr>
        <w:t>(10)</w:t>
      </w:r>
      <w:r w:rsidRPr="00C9040A">
        <w:rPr>
          <w:rtl/>
          <w:lang w:bidi="fa-IR"/>
        </w:rPr>
        <w:t xml:space="preserve"> ، ثُمَّ أَمَرَ أَهْلَ الْيَمِينِ أَنْ يَدْخُلُوهَا ، فَذَهَبُوا ، فَدَخَلُوهَا ، فَأَمَرَ اللهُ</w:t>
      </w:r>
      <w:r>
        <w:rPr>
          <w:rtl/>
          <w:lang w:bidi="fa-IR"/>
        </w:rPr>
        <w:t xml:space="preserve"> </w:t>
      </w:r>
      <w:r w:rsidR="0084262C">
        <w:rPr>
          <w:rtl/>
          <w:lang w:bidi="fa-IR"/>
        </w:rPr>
        <w:t>-</w:t>
      </w:r>
      <w:r>
        <w:rPr>
          <w:rtl/>
          <w:lang w:bidi="fa-IR"/>
        </w:rPr>
        <w:t xml:space="preserve"> </w:t>
      </w:r>
      <w:r w:rsidRPr="00C9040A">
        <w:rPr>
          <w:rtl/>
          <w:lang w:bidi="fa-IR"/>
        </w:rPr>
        <w:t>جَلَّ وَعَزَّ</w:t>
      </w:r>
      <w:r>
        <w:rPr>
          <w:rtl/>
          <w:lang w:bidi="fa-IR"/>
        </w:rPr>
        <w:t xml:space="preserve"> </w:t>
      </w:r>
      <w:r w:rsidR="0084262C">
        <w:rPr>
          <w:rtl/>
          <w:lang w:bidi="fa-IR"/>
        </w:rPr>
        <w:t>-</w:t>
      </w:r>
      <w:r>
        <w:rPr>
          <w:rtl/>
          <w:lang w:bidi="fa-IR"/>
        </w:rPr>
        <w:t xml:space="preserve"> </w:t>
      </w:r>
      <w:r w:rsidRPr="00C9040A">
        <w:rPr>
          <w:rtl/>
          <w:lang w:bidi="fa-IR"/>
        </w:rPr>
        <w:t xml:space="preserve">النَّارَ فَكَانَتْ عَلَيْهِمْ بَرْداً وَسَلَاماً ، فَلَمَّا رَأى ذلِكَ أَهْلُ الشِّمَالِ </w:t>
      </w:r>
      <w:r w:rsidR="006C577F" w:rsidRPr="006C577F">
        <w:rPr>
          <w:rStyle w:val="libFootnotenumChar"/>
          <w:rtl/>
        </w:rPr>
        <w:t>(11)</w:t>
      </w:r>
      <w:r w:rsidRPr="00C9040A">
        <w:rPr>
          <w:rtl/>
          <w:lang w:bidi="fa-IR"/>
        </w:rPr>
        <w:t xml:space="preserve"> ، قَالُوا : رَبَّنَا ، أَقِلْنَا ،</w:t>
      </w:r>
    </w:p>
    <w:p w:rsidR="008A74EB" w:rsidRPr="00C9040A" w:rsidRDefault="008A74EB" w:rsidP="008A74EB">
      <w:pPr>
        <w:pStyle w:val="libLine"/>
        <w:rPr>
          <w:rtl/>
          <w:lang w:bidi="fa-IR"/>
        </w:rPr>
      </w:pPr>
      <w:r w:rsidRPr="00C9040A">
        <w:rPr>
          <w:rtl/>
          <w:lang w:bidi="fa-IR"/>
        </w:rPr>
        <w:t>__________________</w:t>
      </w:r>
    </w:p>
    <w:p w:rsidR="008A74EB" w:rsidRPr="004A4E41" w:rsidRDefault="006C577F" w:rsidP="004A4E41">
      <w:pPr>
        <w:pStyle w:val="libFootnote0"/>
        <w:rPr>
          <w:rStyle w:val="libFootnote0Char"/>
          <w:rtl/>
        </w:rPr>
      </w:pPr>
      <w:r>
        <w:rPr>
          <w:rtl/>
        </w:rPr>
        <w:t>(1).</w:t>
      </w:r>
      <w:r w:rsidR="008A74EB" w:rsidRPr="00C9040A">
        <w:rPr>
          <w:rtl/>
        </w:rPr>
        <w:t xml:space="preserve"> في</w:t>
      </w:r>
      <w:r w:rsidR="0037046F">
        <w:rPr>
          <w:rtl/>
        </w:rPr>
        <w:t xml:space="preserve"> حاشية « ز ، بف » والبحار : + </w:t>
      </w:r>
      <w:r w:rsidR="008A74EB" w:rsidRPr="00C9040A">
        <w:rPr>
          <w:rtl/>
        </w:rPr>
        <w:t>« الله »</w:t>
      </w:r>
      <w:r w:rsidR="008A74EB">
        <w:rPr>
          <w:rtl/>
        </w:rPr>
        <w:t>.</w:t>
      </w:r>
    </w:p>
    <w:tbl>
      <w:tblPr>
        <w:tblStyle w:val="TableGrid"/>
        <w:bidiVisual/>
        <w:tblW w:w="0" w:type="auto"/>
        <w:tblLook w:val="04A0" w:firstRow="1" w:lastRow="0" w:firstColumn="1" w:lastColumn="0" w:noHBand="0" w:noVBand="1"/>
      </w:tblPr>
      <w:tblGrid>
        <w:gridCol w:w="4006"/>
        <w:gridCol w:w="4006"/>
      </w:tblGrid>
      <w:tr w:rsidR="00A87F01" w:rsidTr="00A87F01">
        <w:tc>
          <w:tcPr>
            <w:tcW w:w="4006" w:type="dxa"/>
          </w:tcPr>
          <w:p w:rsidR="00A87F01" w:rsidRDefault="006C577F" w:rsidP="004A4E41">
            <w:pPr>
              <w:pStyle w:val="libFootnote0"/>
              <w:rPr>
                <w:rtl/>
                <w:lang w:bidi="fa-IR"/>
              </w:rPr>
            </w:pPr>
            <w:r>
              <w:rPr>
                <w:rtl/>
              </w:rPr>
              <w:t>(2).</w:t>
            </w:r>
            <w:r w:rsidR="00A87F01">
              <w:rPr>
                <w:rtl/>
              </w:rPr>
              <w:t xml:space="preserve"> </w:t>
            </w:r>
            <w:r w:rsidR="00A87F01" w:rsidRPr="00C9040A">
              <w:rPr>
                <w:rtl/>
              </w:rPr>
              <w:t>في « بس » : « فلمّا »</w:t>
            </w:r>
            <w:r w:rsidR="00A87F01">
              <w:rPr>
                <w:rtl/>
              </w:rPr>
              <w:t>.</w:t>
            </w:r>
          </w:p>
        </w:tc>
        <w:tc>
          <w:tcPr>
            <w:tcW w:w="4006" w:type="dxa"/>
          </w:tcPr>
          <w:p w:rsidR="00A87F01" w:rsidRDefault="006C577F" w:rsidP="004A4E41">
            <w:pPr>
              <w:pStyle w:val="libFootnote0"/>
              <w:rPr>
                <w:rtl/>
                <w:lang w:bidi="fa-IR"/>
              </w:rPr>
            </w:pPr>
            <w:r>
              <w:rPr>
                <w:rtl/>
              </w:rPr>
              <w:t>(3).</w:t>
            </w:r>
            <w:r w:rsidR="00A87F01" w:rsidRPr="00C9040A">
              <w:rPr>
                <w:rtl/>
              </w:rPr>
              <w:t xml:space="preserve"> في « ز » : « ماء »</w:t>
            </w:r>
            <w:r w:rsidR="00A87F01">
              <w:rPr>
                <w:rtl/>
              </w:rPr>
              <w:t>.</w:t>
            </w:r>
          </w:p>
        </w:tc>
      </w:tr>
      <w:tr w:rsidR="00A87F01" w:rsidTr="00A87F01">
        <w:tc>
          <w:tcPr>
            <w:tcW w:w="4006" w:type="dxa"/>
          </w:tcPr>
          <w:p w:rsidR="00A87F01" w:rsidRDefault="006C577F" w:rsidP="004A4E41">
            <w:pPr>
              <w:pStyle w:val="libFootnote0"/>
              <w:rPr>
                <w:rtl/>
                <w:lang w:bidi="fa-IR"/>
              </w:rPr>
            </w:pPr>
            <w:r>
              <w:rPr>
                <w:rtl/>
              </w:rPr>
              <w:t>(4).</w:t>
            </w:r>
            <w:r w:rsidR="00A87F01" w:rsidRPr="00C9040A">
              <w:rPr>
                <w:rtl/>
              </w:rPr>
              <w:t xml:space="preserve"> في « ف » : « المِلْح »</w:t>
            </w:r>
            <w:r w:rsidR="00A87F01">
              <w:rPr>
                <w:rtl/>
              </w:rPr>
              <w:t>.</w:t>
            </w:r>
          </w:p>
        </w:tc>
        <w:tc>
          <w:tcPr>
            <w:tcW w:w="4006" w:type="dxa"/>
          </w:tcPr>
          <w:p w:rsidR="00A87F01" w:rsidRDefault="006C577F" w:rsidP="004A4E41">
            <w:pPr>
              <w:pStyle w:val="libFootnote0"/>
              <w:rPr>
                <w:rtl/>
                <w:lang w:bidi="fa-IR"/>
              </w:rPr>
            </w:pPr>
            <w:r>
              <w:rPr>
                <w:rtl/>
              </w:rPr>
              <w:t>(5).</w:t>
            </w:r>
            <w:r w:rsidR="00A87F01" w:rsidRPr="00C9040A">
              <w:rPr>
                <w:rtl/>
              </w:rPr>
              <w:t xml:space="preserve"> في « د » : « عن »</w:t>
            </w:r>
            <w:r w:rsidR="00A87F01">
              <w:rPr>
                <w:rtl/>
              </w:rPr>
              <w:t>.</w:t>
            </w:r>
          </w:p>
        </w:tc>
      </w:tr>
    </w:tbl>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 </w:t>
      </w:r>
      <w:r w:rsidR="008A74EB">
        <w:rPr>
          <w:rtl/>
        </w:rPr>
        <w:t>ه</w:t>
      </w:r>
      <w:r w:rsidR="008A74EB" w:rsidRPr="00C9040A">
        <w:rPr>
          <w:rtl/>
        </w:rPr>
        <w:t xml:space="preserve"> » : « فدخلوا » على لغة أكلوني البراغيث ، أو يكون « أصحاب » بدلاً عن ضمير الجمع.</w:t>
      </w:r>
    </w:p>
    <w:p w:rsidR="008A74EB" w:rsidRPr="00C9040A" w:rsidRDefault="006C577F" w:rsidP="004A4E41">
      <w:pPr>
        <w:pStyle w:val="libFootnote0"/>
        <w:rPr>
          <w:rtl/>
          <w:lang w:bidi="fa-IR"/>
        </w:rPr>
      </w:pPr>
      <w:r>
        <w:rPr>
          <w:rtl/>
        </w:rPr>
        <w:t>(7).</w:t>
      </w:r>
      <w:r w:rsidR="008A74EB" w:rsidRPr="00C9040A">
        <w:rPr>
          <w:rtl/>
        </w:rPr>
        <w:t xml:space="preserve"> في « ب » : « أهل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w:t>
      </w:r>
      <w:r w:rsidR="008A74EB" w:rsidRPr="00993B55">
        <w:rPr>
          <w:rStyle w:val="libFootnoteBoldChar"/>
          <w:rtl/>
        </w:rPr>
        <w:t>الكافي</w:t>
      </w:r>
      <w:r w:rsidR="008A74EB" w:rsidRPr="00C9040A">
        <w:rPr>
          <w:rtl/>
        </w:rPr>
        <w:t xml:space="preserve"> ، كتاب الروضة ، ح 14871 ، عن عليّ بن إبراهيم ، عن أبيه ، عن ابن أبي عمير ، عن جميل بن درّاج ، عن زرارة ، عن أحدهما </w:t>
      </w:r>
      <w:r w:rsidR="00117575" w:rsidRPr="00117575">
        <w:rPr>
          <w:rStyle w:val="libFootnoteAlaemChar"/>
          <w:rtl/>
        </w:rPr>
        <w:t>عليهما‌السلام</w:t>
      </w:r>
      <w:r w:rsidR="008A74EB" w:rsidRPr="00C9040A">
        <w:rPr>
          <w:rtl/>
        </w:rPr>
        <w:t xml:space="preserve"> ، مع اختلاف. </w:t>
      </w:r>
      <w:r w:rsidR="008A74EB" w:rsidRPr="00993B55">
        <w:rPr>
          <w:rStyle w:val="libFootnoteBoldChar"/>
          <w:rtl/>
        </w:rPr>
        <w:t>تفسير العيّاشي</w:t>
      </w:r>
      <w:r w:rsidR="008A74EB" w:rsidRPr="00C9040A">
        <w:rPr>
          <w:rtl/>
        </w:rPr>
        <w:t xml:space="preserve"> ، ج 2 ، ص 39 ، ح 109 ، عن زرارة ، عن أبي عبد الله </w:t>
      </w:r>
      <w:r w:rsidR="00117575" w:rsidRPr="00117575">
        <w:rPr>
          <w:rStyle w:val="libFootnoteAlaemChar"/>
          <w:rtl/>
        </w:rPr>
        <w:t xml:space="preserve">عليه‌السلام </w:t>
      </w:r>
      <w:r w:rsidR="008A74EB" w:rsidRPr="00C9040A">
        <w:rPr>
          <w:rtl/>
        </w:rPr>
        <w:t xml:space="preserve"> ، مع اختلاف يسير</w:t>
      </w:r>
      <w:r w:rsidR="00BE1DDD">
        <w:rPr>
          <w:rFonts w:hint="cs"/>
          <w:rtl/>
        </w:rPr>
        <w:t>.</w:t>
      </w:r>
      <w:r w:rsidR="008A74EB" w:rsidRPr="00993B55">
        <w:rPr>
          <w:rStyle w:val="libFootnoteBoldChar"/>
          <w:rtl/>
        </w:rPr>
        <w:t>الوافي</w:t>
      </w:r>
      <w:r w:rsidR="008A74EB" w:rsidRPr="00C9040A">
        <w:rPr>
          <w:rtl/>
        </w:rPr>
        <w:t xml:space="preserve"> ، ج 4 ، ص 38 ، ح 1654 ؛ </w:t>
      </w:r>
      <w:r w:rsidR="008A74EB" w:rsidRPr="00993B55">
        <w:rPr>
          <w:rStyle w:val="libFootnoteBoldChar"/>
          <w:rtl/>
        </w:rPr>
        <w:t>البحار</w:t>
      </w:r>
      <w:r w:rsidR="008A74EB" w:rsidRPr="00C9040A">
        <w:rPr>
          <w:rtl/>
        </w:rPr>
        <w:t xml:space="preserve"> ، ج 67 ، ص 111 ، ح 22.</w:t>
      </w:r>
    </w:p>
    <w:p w:rsidR="008A74EB" w:rsidRPr="00C9040A" w:rsidRDefault="006C577F" w:rsidP="004A4E41">
      <w:pPr>
        <w:pStyle w:val="libFootnote0"/>
        <w:rPr>
          <w:rtl/>
          <w:lang w:bidi="fa-IR"/>
        </w:rPr>
      </w:pPr>
      <w:r>
        <w:rPr>
          <w:rtl/>
        </w:rPr>
        <w:t>(9).</w:t>
      </w:r>
      <w:r w:rsidR="008A74EB" w:rsidRPr="00C9040A">
        <w:rPr>
          <w:rtl/>
        </w:rPr>
        <w:t xml:space="preserve"> في « ج ، د ، ز ، ض ، </w:t>
      </w:r>
      <w:r w:rsidR="008A74EB">
        <w:rPr>
          <w:rtl/>
        </w:rPr>
        <w:t>ه</w:t>
      </w:r>
      <w:r w:rsidR="008A74EB" w:rsidRPr="00C9040A">
        <w:rPr>
          <w:rtl/>
        </w:rPr>
        <w:t xml:space="preserve"> » : « جلّ وعزّ »</w:t>
      </w:r>
      <w:r w:rsidR="008A74EB">
        <w:rPr>
          <w:rtl/>
        </w:rPr>
        <w:t>.</w:t>
      </w:r>
      <w:r w:rsidR="008A74EB" w:rsidRPr="00C9040A">
        <w:rPr>
          <w:rtl/>
        </w:rPr>
        <w:t xml:space="preserve"> وفي « بر ، بف » : « جلّ وعلا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هكذا في « ب ، ج ، د ، ز ، ص ، ف ، </w:t>
      </w:r>
      <w:r w:rsidR="008A74EB">
        <w:rPr>
          <w:rtl/>
        </w:rPr>
        <w:t>ه</w:t>
      </w:r>
      <w:r w:rsidR="008A74EB" w:rsidRPr="00C9040A">
        <w:rPr>
          <w:rtl/>
        </w:rPr>
        <w:t xml:space="preserve"> ، بر ، بس ، بف » وشرح المازندراني والوافي والبحار. وفي المطبوع : « فلم يدخلوها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في « بس » : « أهل الشمال ذلك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فَأَقَالَهُمْ ، ثُمَّ قَالَ لَهُمُ : ادْخُلُوهَا ، فَذَهَبُوا ، فَقَامُوا عَلَيْهَا وَلَمْ يَدْخُلُوهَا </w:t>
      </w:r>
      <w:r w:rsidR="006C577F" w:rsidRPr="006C577F">
        <w:rPr>
          <w:rStyle w:val="libFootnotenumChar"/>
          <w:rtl/>
        </w:rPr>
        <w:t>(1)</w:t>
      </w:r>
      <w:r w:rsidRPr="00C9040A">
        <w:rPr>
          <w:rtl/>
          <w:lang w:bidi="fa-IR"/>
        </w:rPr>
        <w:t xml:space="preserve">، فَأَعَادَهُمْ طِيناً </w:t>
      </w:r>
      <w:r w:rsidR="006C577F" w:rsidRPr="006C577F">
        <w:rPr>
          <w:rStyle w:val="libFootnotenumChar"/>
          <w:rtl/>
        </w:rPr>
        <w:t>(2)</w:t>
      </w:r>
      <w:r w:rsidRPr="00C9040A">
        <w:rPr>
          <w:rtl/>
          <w:lang w:bidi="fa-IR"/>
        </w:rPr>
        <w:t xml:space="preserve"> ، وَخَلَقَ مِنْهَا آدَمَ </w:t>
      </w:r>
      <w:r w:rsidRPr="0003660B">
        <w:rPr>
          <w:rStyle w:val="libAlaemChar"/>
          <w:rtl/>
        </w:rPr>
        <w:t>عليه‌السلام</w:t>
      </w:r>
      <w:r w:rsidRPr="00C9040A">
        <w:rPr>
          <w:rtl/>
          <w:lang w:bidi="fa-IR"/>
        </w:rPr>
        <w:t xml:space="preserve"> »</w:t>
      </w:r>
      <w:r>
        <w:rPr>
          <w:rtl/>
          <w:lang w:bidi="fa-IR"/>
        </w:rPr>
        <w:t>.</w:t>
      </w:r>
    </w:p>
    <w:p w:rsidR="008A74EB" w:rsidRPr="00C9040A" w:rsidRDefault="008A74EB" w:rsidP="008A74EB">
      <w:pPr>
        <w:pStyle w:val="libNormal"/>
        <w:rPr>
          <w:rtl/>
          <w:lang w:bidi="fa-IR"/>
        </w:rPr>
      </w:pPr>
      <w:r w:rsidRPr="00C9040A">
        <w:rPr>
          <w:rtl/>
          <w:lang w:bidi="fa-IR"/>
        </w:rPr>
        <w:t xml:space="preserve">وَقَالَ أَبُو عَبْدِ اللهِ </w:t>
      </w:r>
      <w:r w:rsidRPr="0003660B">
        <w:rPr>
          <w:rStyle w:val="libAlaemChar"/>
          <w:rtl/>
        </w:rPr>
        <w:t>عليه‌السلام</w:t>
      </w:r>
      <w:r w:rsidRPr="00C9040A">
        <w:rPr>
          <w:rtl/>
          <w:lang w:bidi="fa-IR"/>
        </w:rPr>
        <w:t xml:space="preserve"> </w:t>
      </w:r>
      <w:r w:rsidR="006C577F" w:rsidRPr="006C577F">
        <w:rPr>
          <w:rStyle w:val="libFootnotenumChar"/>
          <w:rtl/>
        </w:rPr>
        <w:t>(3)</w:t>
      </w:r>
      <w:r w:rsidRPr="00C9040A">
        <w:rPr>
          <w:rtl/>
          <w:lang w:bidi="fa-IR"/>
        </w:rPr>
        <w:t xml:space="preserve"> : « فَلَنْ يَسْتَطِيعَ هؤُلَاءِ أَنْ يَكُونُوا مِنْ هؤُلَاءِ ، وَلَا هؤُلَاءِ أَنْ يَكُونُوا مِنْ هؤُلَاءِ »</w:t>
      </w:r>
      <w:r>
        <w:rPr>
          <w:rtl/>
          <w:lang w:bidi="fa-IR"/>
        </w:rPr>
        <w:t>.</w:t>
      </w:r>
    </w:p>
    <w:p w:rsidR="008A74EB" w:rsidRPr="00C9040A" w:rsidRDefault="008A74EB" w:rsidP="00D05A39">
      <w:pPr>
        <w:pStyle w:val="libNormal"/>
        <w:rPr>
          <w:rtl/>
          <w:lang w:bidi="fa-IR"/>
        </w:rPr>
      </w:pPr>
      <w:r w:rsidRPr="00C9040A">
        <w:rPr>
          <w:rtl/>
          <w:lang w:bidi="fa-IR"/>
        </w:rPr>
        <w:t xml:space="preserve">قَالَ </w:t>
      </w:r>
      <w:r w:rsidR="006C577F" w:rsidRPr="006C577F">
        <w:rPr>
          <w:rStyle w:val="libFootnotenumChar"/>
          <w:rtl/>
        </w:rPr>
        <w:t>(4)</w:t>
      </w:r>
      <w:r w:rsidRPr="00C9040A">
        <w:rPr>
          <w:rtl/>
          <w:lang w:bidi="fa-IR"/>
        </w:rPr>
        <w:t xml:space="preserve"> : « فَيَرَوْنَ أَنَّ رَسُولَ اللهِ </w:t>
      </w:r>
      <w:r w:rsidR="004A4E41" w:rsidRPr="004A4E41">
        <w:rPr>
          <w:rStyle w:val="libAlaemChar"/>
          <w:rFonts w:eastAsiaTheme="minorHAnsi"/>
          <w:rtl/>
        </w:rPr>
        <w:t>صلى‌الله‌عليه‌وآله</w:t>
      </w:r>
      <w:r w:rsidR="00D05A39" w:rsidRPr="00C9040A">
        <w:rPr>
          <w:rtl/>
          <w:lang w:bidi="fa-IR"/>
        </w:rPr>
        <w:t xml:space="preserve"> </w:t>
      </w:r>
      <w:r w:rsidRPr="00C9040A">
        <w:rPr>
          <w:rtl/>
          <w:lang w:bidi="fa-IR"/>
        </w:rPr>
        <w:t xml:space="preserve">أَوَّلُ مَنْ دَخَلَ تِلْكَ النَّارَ ، فَلِذلِكَ قَوْلُهُ </w:t>
      </w:r>
      <w:r w:rsidR="006C577F" w:rsidRPr="006C577F">
        <w:rPr>
          <w:rStyle w:val="libFootnotenumChar"/>
          <w:rtl/>
        </w:rPr>
        <w:t>(5)</w:t>
      </w:r>
      <w:r w:rsidRPr="00C9040A">
        <w:rPr>
          <w:rtl/>
          <w:lang w:bidi="fa-IR"/>
        </w:rPr>
        <w:t xml:space="preserve"> جَلَّ وَعَزَّ :</w:t>
      </w:r>
      <w:r>
        <w:rPr>
          <w:rFonts w:hint="cs"/>
          <w:rtl/>
          <w:lang w:bidi="fa-IR"/>
        </w:rPr>
        <w:t xml:space="preserve"> </w:t>
      </w:r>
      <w:r w:rsidRPr="0003660B">
        <w:rPr>
          <w:rStyle w:val="libAlaemChar"/>
          <w:rtl/>
        </w:rPr>
        <w:t>(</w:t>
      </w:r>
      <w:r w:rsidRPr="006A2246">
        <w:rPr>
          <w:rStyle w:val="libAieChar"/>
          <w:rtl/>
        </w:rPr>
        <w:t xml:space="preserve"> قُلْ إِنْ كانَ لِلرَّحْمنِ وَلَدٌ فَأَنَا أَوَّلُ الْعابِدِينَ </w:t>
      </w:r>
      <w:r w:rsidRPr="0003660B">
        <w:rPr>
          <w:rStyle w:val="libAlaemChar"/>
          <w:rtl/>
        </w:rPr>
        <w:t>)</w:t>
      </w:r>
      <w:r w:rsidRPr="00C9040A">
        <w:rPr>
          <w:rtl/>
          <w:lang w:bidi="fa-IR"/>
        </w:rPr>
        <w:t xml:space="preserve"> </w:t>
      </w:r>
      <w:r w:rsidR="006C577F" w:rsidRPr="006C577F">
        <w:rPr>
          <w:rStyle w:val="libFootnotenumChar"/>
          <w:rtl/>
        </w:rPr>
        <w:t>(6)</w:t>
      </w:r>
      <w:r w:rsidRPr="00C9040A">
        <w:rPr>
          <w:rtl/>
          <w:lang w:bidi="fa-IR"/>
        </w:rPr>
        <w:t>»</w:t>
      </w:r>
      <w:r>
        <w:rPr>
          <w:rtl/>
          <w:lang w:bidi="fa-IR"/>
        </w:rPr>
        <w:t>.</w:t>
      </w:r>
      <w:r w:rsidR="006C577F" w:rsidRPr="006C577F">
        <w:rPr>
          <w:rStyle w:val="libFootnotenumChar"/>
          <w:rtl/>
        </w:rPr>
        <w:t>(7)</w:t>
      </w:r>
      <w:r w:rsidRPr="00C9040A">
        <w:rPr>
          <w:rtl/>
          <w:lang w:bidi="fa-IR"/>
        </w:rPr>
        <w:t xml:space="preserve"> ‌</w:t>
      </w:r>
    </w:p>
    <w:p w:rsidR="008A74EB" w:rsidRPr="00C9040A" w:rsidRDefault="008A74EB" w:rsidP="008A74EB">
      <w:pPr>
        <w:pStyle w:val="Heading2Center"/>
        <w:rPr>
          <w:rtl/>
          <w:lang w:bidi="fa-IR"/>
        </w:rPr>
      </w:pPr>
      <w:bookmarkStart w:id="16" w:name="_Toc343795593"/>
      <w:bookmarkStart w:id="17" w:name="_Toc459810717"/>
      <w:bookmarkStart w:id="18" w:name="_Toc35348623"/>
      <w:r w:rsidRPr="00C9040A">
        <w:rPr>
          <w:rtl/>
          <w:lang w:bidi="fa-IR"/>
        </w:rPr>
        <w:t>3</w:t>
      </w:r>
      <w:r>
        <w:rPr>
          <w:rtl/>
          <w:lang w:bidi="fa-IR"/>
        </w:rPr>
        <w:t xml:space="preserve"> </w:t>
      </w:r>
      <w:r w:rsidR="0084262C">
        <w:rPr>
          <w:rtl/>
          <w:lang w:bidi="fa-IR"/>
        </w:rPr>
        <w:t>-</w:t>
      </w:r>
      <w:r>
        <w:rPr>
          <w:rtl/>
          <w:lang w:bidi="fa-IR"/>
        </w:rPr>
        <w:t xml:space="preserve"> </w:t>
      </w:r>
      <w:r w:rsidRPr="00C9040A">
        <w:rPr>
          <w:rtl/>
          <w:lang w:bidi="fa-IR"/>
        </w:rPr>
        <w:t>بَابٌ آخَرُ مِنْهُ‌</w:t>
      </w:r>
      <w:bookmarkEnd w:id="16"/>
      <w:bookmarkEnd w:id="17"/>
      <w:bookmarkEnd w:id="18"/>
    </w:p>
    <w:p w:rsidR="008A74EB" w:rsidRPr="00C9040A" w:rsidRDefault="008A74EB" w:rsidP="008A74EB">
      <w:pPr>
        <w:pStyle w:val="libNormal"/>
        <w:rPr>
          <w:rtl/>
          <w:lang w:bidi="fa-IR"/>
        </w:rPr>
      </w:pPr>
      <w:r w:rsidRPr="00824E80">
        <w:rPr>
          <w:rtl/>
        </w:rPr>
        <w:t>1459</w:t>
      </w:r>
      <w:r w:rsidRPr="00261CB0">
        <w:rPr>
          <w:rStyle w:val="libBold2Char"/>
          <w:rtl/>
        </w:rPr>
        <w:t xml:space="preserve"> / 1.</w:t>
      </w:r>
      <w:r w:rsidRPr="00C9040A">
        <w:rPr>
          <w:rtl/>
          <w:lang w:bidi="fa-IR"/>
        </w:rPr>
        <w:t xml:space="preserve"> مُحَمَّدُ بْنُ يَحْيى ، عَنْ أَحْمَدَ بْنِ مُحَمَّدٍ ، عَنْ عَلِيِّ بْنِ الْحَكَمِ ، عَنْ دَاوُدَ الْعِجْلِيِّ ، عَنْ زُرَارَةَ ، عَنْ حُمْرَانَ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إِنَّ اللهَ</w:t>
      </w:r>
      <w:r>
        <w:rPr>
          <w:rtl/>
          <w:lang w:bidi="fa-IR"/>
        </w:rPr>
        <w:t xml:space="preserve"> </w:t>
      </w:r>
      <w:r w:rsidR="0084262C">
        <w:rPr>
          <w:rtl/>
          <w:lang w:bidi="fa-IR"/>
        </w:rPr>
        <w:t>-</w:t>
      </w:r>
      <w:r>
        <w:rPr>
          <w:rtl/>
          <w:lang w:bidi="fa-IR"/>
        </w:rPr>
        <w:t xml:space="preserve"> </w:t>
      </w:r>
      <w:r w:rsidRPr="00C9040A">
        <w:rPr>
          <w:rtl/>
          <w:lang w:bidi="fa-IR"/>
        </w:rPr>
        <w:t>تَبَارَكَ وَتَعَالى</w:t>
      </w:r>
      <w:r>
        <w:rPr>
          <w:rtl/>
          <w:lang w:bidi="fa-IR"/>
        </w:rPr>
        <w:t xml:space="preserve"> </w:t>
      </w:r>
      <w:r w:rsidR="0084262C">
        <w:rPr>
          <w:rtl/>
          <w:lang w:bidi="fa-IR"/>
        </w:rPr>
        <w:t>-</w:t>
      </w:r>
      <w:r>
        <w:rPr>
          <w:rtl/>
          <w:lang w:bidi="fa-IR"/>
        </w:rPr>
        <w:t xml:space="preserve"> </w:t>
      </w:r>
      <w:r w:rsidRPr="00C9040A">
        <w:rPr>
          <w:rtl/>
          <w:lang w:bidi="fa-IR"/>
        </w:rPr>
        <w:t>حَيْثُ خَلَقَ الْخَلْقَ ، خَلَقَ مَاءً عَذْباً وَ</w:t>
      </w:r>
      <w:r>
        <w:rPr>
          <w:rFonts w:hint="cs"/>
          <w:rtl/>
          <w:lang w:bidi="fa-IR"/>
        </w:rPr>
        <w:t xml:space="preserve"> </w:t>
      </w:r>
      <w:r w:rsidR="006C577F" w:rsidRPr="006C577F">
        <w:rPr>
          <w:rStyle w:val="libFootnotenumChar"/>
          <w:rtl/>
        </w:rPr>
        <w:t>(8)</w:t>
      </w:r>
      <w:r w:rsidRPr="00C9040A">
        <w:rPr>
          <w:rtl/>
          <w:lang w:bidi="fa-IR"/>
        </w:rPr>
        <w:t xml:space="preserve"> مَاءً مَالِحاً أُجَاجاً ، فَامْتَزَجَ الْمَاءَانِ ، فَأَخَذَ </w:t>
      </w:r>
      <w:r w:rsidR="006C577F" w:rsidRPr="006C577F">
        <w:rPr>
          <w:rStyle w:val="libFootnotenumChar"/>
          <w:rtl/>
        </w:rPr>
        <w:t>(9)</w:t>
      </w:r>
      <w:r w:rsidRPr="00C9040A">
        <w:rPr>
          <w:rtl/>
          <w:lang w:bidi="fa-IR"/>
        </w:rPr>
        <w:t xml:space="preserve"> طِيناً مِنْ أَدِيمِ الْأَرْضِ ، فَعَرَكَهُ عَرْكاً شَدِيداً ، فَقَالَ لِأَصْحَابِ الْيَمِينِ</w:t>
      </w:r>
      <w:r>
        <w:rPr>
          <w:rtl/>
          <w:lang w:bidi="fa-IR"/>
        </w:rPr>
        <w:t xml:space="preserve"> </w:t>
      </w:r>
      <w:r w:rsidR="0084262C">
        <w:rPr>
          <w:rtl/>
          <w:lang w:bidi="fa-IR"/>
        </w:rPr>
        <w:t>-</w:t>
      </w:r>
      <w:r>
        <w:rPr>
          <w:rtl/>
          <w:lang w:bidi="fa-IR"/>
        </w:rPr>
        <w:t xml:space="preserve"> </w:t>
      </w:r>
      <w:r w:rsidRPr="00C9040A">
        <w:rPr>
          <w:rtl/>
          <w:lang w:bidi="fa-IR"/>
        </w:rPr>
        <w:t>وَهُمْ كَالذَّرِّ يَدِبُّونَ</w:t>
      </w:r>
      <w:r>
        <w:rPr>
          <w:rtl/>
          <w:lang w:bidi="fa-IR"/>
        </w:rPr>
        <w:t xml:space="preserve"> </w:t>
      </w:r>
      <w:r w:rsidR="0084262C">
        <w:rPr>
          <w:rtl/>
          <w:lang w:bidi="fa-IR"/>
        </w:rPr>
        <w:t>-</w:t>
      </w:r>
      <w:r>
        <w:rPr>
          <w:rtl/>
          <w:lang w:bidi="fa-IR"/>
        </w:rPr>
        <w:t xml:space="preserve"> </w:t>
      </w:r>
      <w:r w:rsidRPr="00C9040A">
        <w:rPr>
          <w:rtl/>
          <w:lang w:bidi="fa-IR"/>
        </w:rPr>
        <w:t>: إِلَى الْجَنَّةِ بِسَلَامٍ ، وَقَالَ لِأَصْحَابِ الشِّمَالِ :</w:t>
      </w:r>
      <w:r>
        <w:rPr>
          <w:rFonts w:hint="cs"/>
          <w:rtl/>
          <w:lang w:bidi="fa-IR"/>
        </w:rPr>
        <w:t xml:space="preserve"> </w:t>
      </w:r>
      <w:r w:rsidRPr="00C9040A">
        <w:rPr>
          <w:rtl/>
          <w:lang w:bidi="fa-IR"/>
        </w:rPr>
        <w:t xml:space="preserve">إِلَى النَّارِ وَلَا أُبَالِي ، ثُمَّ قَالَ : </w:t>
      </w:r>
      <w:r w:rsidRPr="0003660B">
        <w:rPr>
          <w:rStyle w:val="libAlaemChar"/>
          <w:rtl/>
        </w:rPr>
        <w:t>(</w:t>
      </w:r>
      <w:r w:rsidRPr="006A2246">
        <w:rPr>
          <w:rStyle w:val="libAieChar"/>
          <w:rtl/>
        </w:rPr>
        <w:t xml:space="preserve"> أَلَسْتُ بِرَبِّكُمْ قالُوا بَلى شَهِدْنا أَنْ تَقُولُوا</w:t>
      </w:r>
      <w:r>
        <w:rPr>
          <w:rFonts w:hint="cs"/>
          <w:rtl/>
        </w:rPr>
        <w:t xml:space="preserve"> </w:t>
      </w:r>
      <w:r w:rsidR="006C577F" w:rsidRPr="006C577F">
        <w:rPr>
          <w:rStyle w:val="libFootnotenumChar"/>
          <w:rtl/>
        </w:rPr>
        <w:t>(10)</w:t>
      </w:r>
      <w:r>
        <w:rPr>
          <w:rFonts w:hint="cs"/>
          <w:rtl/>
        </w:rPr>
        <w:t xml:space="preserve"> </w:t>
      </w:r>
      <w:r w:rsidRPr="006A2246">
        <w:rPr>
          <w:rStyle w:val="libAieChar"/>
          <w:rtl/>
        </w:rPr>
        <w:t xml:space="preserve">يَوْمَ الْقِيامَةِ إِنّا كُنّا عَنْ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 ب » : « فلم يدخلوها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w:t>
      </w:r>
      <w:r w:rsidR="008A74EB" w:rsidRPr="00993B55">
        <w:rPr>
          <w:rStyle w:val="libFootnoteBoldChar"/>
          <w:rtl/>
        </w:rPr>
        <w:t>الوافي</w:t>
      </w:r>
      <w:r w:rsidR="008A74EB" w:rsidRPr="00C9040A">
        <w:rPr>
          <w:rtl/>
        </w:rPr>
        <w:t xml:space="preserve"> : « عبّر عن إظهاره إيّاهم في عالم الخلق مفصّلة متفرّقة مبسوطة متدرّجة بالاعادة ؛ لأن هذا الوجود مباين لذلك ، متعقّب له »</w:t>
      </w:r>
      <w:r w:rsidR="008A74EB">
        <w:rPr>
          <w:rtl/>
        </w:rPr>
        <w:t>.</w:t>
      </w:r>
    </w:p>
    <w:p w:rsidR="008A74EB" w:rsidRPr="004A4E41" w:rsidRDefault="006C577F" w:rsidP="004A4E41">
      <w:pPr>
        <w:pStyle w:val="libFootnote0"/>
        <w:rPr>
          <w:rStyle w:val="libFootnote0Char"/>
          <w:rtl/>
        </w:rPr>
      </w:pPr>
      <w:r>
        <w:rPr>
          <w:rtl/>
        </w:rPr>
        <w:t>(3).</w:t>
      </w:r>
      <w:r w:rsidR="008A74EB" w:rsidRPr="00C9040A">
        <w:rPr>
          <w:rtl/>
        </w:rPr>
        <w:t xml:space="preserve"> في « ض » </w:t>
      </w:r>
      <w:r w:rsidR="008A74EB">
        <w:rPr>
          <w:rtl/>
        </w:rPr>
        <w:t xml:space="preserve">: </w:t>
      </w:r>
      <w:r w:rsidR="0084262C">
        <w:rPr>
          <w:rtl/>
        </w:rPr>
        <w:t>-</w:t>
      </w:r>
      <w:r w:rsidR="008A74EB" w:rsidRPr="00C9040A">
        <w:rPr>
          <w:rtl/>
        </w:rPr>
        <w:t xml:space="preserve"> « ولم يدخلوها</w:t>
      </w:r>
      <w:r w:rsidR="008A74EB">
        <w:rPr>
          <w:rtl/>
        </w:rPr>
        <w:t xml:space="preserve"> </w:t>
      </w:r>
      <w:r w:rsidR="0084262C">
        <w:rPr>
          <w:rtl/>
        </w:rPr>
        <w:t>-</w:t>
      </w:r>
      <w:r w:rsidR="008A74EB">
        <w:rPr>
          <w:rtl/>
        </w:rPr>
        <w:t xml:space="preserve"> </w:t>
      </w:r>
      <w:r w:rsidR="008A74EB" w:rsidRPr="00C9040A">
        <w:rPr>
          <w:rtl/>
        </w:rPr>
        <w:t>إلى</w:t>
      </w:r>
      <w:r w:rsidR="008A74EB">
        <w:rPr>
          <w:rtl/>
        </w:rPr>
        <w:t xml:space="preserve"> </w:t>
      </w:r>
      <w:r w:rsidR="0084262C">
        <w:rPr>
          <w:rtl/>
        </w:rPr>
        <w:t>-</w:t>
      </w:r>
      <w:r w:rsidR="008A74EB">
        <w:rPr>
          <w:rtl/>
        </w:rPr>
        <w:t xml:space="preserve"> </w:t>
      </w:r>
      <w:r w:rsidR="008A74EB" w:rsidRPr="00C9040A">
        <w:rPr>
          <w:rtl/>
        </w:rPr>
        <w:t xml:space="preserve">وقال أبو عبدالله </w:t>
      </w:r>
      <w:r w:rsidR="00117575" w:rsidRPr="00117575">
        <w:rPr>
          <w:rStyle w:val="libFootnoteAlaemChar"/>
          <w:rtl/>
        </w:rPr>
        <w:t xml:space="preserve">عليه‌السلام </w:t>
      </w:r>
      <w:r w:rsidR="008A74EB" w:rsidRPr="00C9040A">
        <w:rPr>
          <w:rtl/>
        </w:rPr>
        <w:t xml:space="preserve"> »</w:t>
      </w:r>
      <w:r w:rsidR="008A74EB">
        <w:rPr>
          <w:rtl/>
        </w:rPr>
        <w:t>.</w:t>
      </w:r>
    </w:p>
    <w:tbl>
      <w:tblPr>
        <w:tblStyle w:val="TableGrid"/>
        <w:bidiVisual/>
        <w:tblW w:w="0" w:type="auto"/>
        <w:tblLook w:val="04A0" w:firstRow="1" w:lastRow="0" w:firstColumn="1" w:lastColumn="0" w:noHBand="0" w:noVBand="1"/>
      </w:tblPr>
      <w:tblGrid>
        <w:gridCol w:w="4006"/>
        <w:gridCol w:w="4006"/>
      </w:tblGrid>
      <w:tr w:rsidR="004F7FCB" w:rsidTr="004F7FCB">
        <w:tc>
          <w:tcPr>
            <w:tcW w:w="4006" w:type="dxa"/>
          </w:tcPr>
          <w:p w:rsidR="004F7FCB" w:rsidRDefault="006C577F" w:rsidP="004A4E41">
            <w:pPr>
              <w:pStyle w:val="libFootnote0"/>
              <w:rPr>
                <w:rtl/>
              </w:rPr>
            </w:pPr>
            <w:r>
              <w:rPr>
                <w:rtl/>
              </w:rPr>
              <w:t>(4).</w:t>
            </w:r>
            <w:r w:rsidR="004F7FCB" w:rsidRPr="00C9040A">
              <w:rPr>
                <w:rtl/>
              </w:rPr>
              <w:t xml:space="preserve"> في « بف » : « وقال »</w:t>
            </w:r>
            <w:r w:rsidR="004F7FCB">
              <w:rPr>
                <w:rtl/>
              </w:rPr>
              <w:t>.</w:t>
            </w:r>
          </w:p>
        </w:tc>
        <w:tc>
          <w:tcPr>
            <w:tcW w:w="4006" w:type="dxa"/>
          </w:tcPr>
          <w:p w:rsidR="004F7FCB" w:rsidRDefault="006C577F" w:rsidP="004A4E41">
            <w:pPr>
              <w:pStyle w:val="libFootnote0"/>
              <w:rPr>
                <w:rtl/>
              </w:rPr>
            </w:pPr>
            <w:r>
              <w:rPr>
                <w:rtl/>
              </w:rPr>
              <w:t>(5).</w:t>
            </w:r>
            <w:r w:rsidR="004F7FCB" w:rsidRPr="00C9040A">
              <w:rPr>
                <w:rtl/>
              </w:rPr>
              <w:t xml:space="preserve"> في « ف » : « قال »</w:t>
            </w:r>
            <w:r w:rsidR="004F7FCB">
              <w:rPr>
                <w:rtl/>
              </w:rPr>
              <w:t>.</w:t>
            </w:r>
          </w:p>
        </w:tc>
      </w:tr>
    </w:tbl>
    <w:p w:rsidR="008A74EB" w:rsidRPr="00C9040A" w:rsidRDefault="006C577F" w:rsidP="004A4E41">
      <w:pPr>
        <w:pStyle w:val="libFootnote0"/>
        <w:rPr>
          <w:rtl/>
          <w:lang w:bidi="fa-IR"/>
        </w:rPr>
      </w:pPr>
      <w:r>
        <w:rPr>
          <w:rtl/>
        </w:rPr>
        <w:t>(6).</w:t>
      </w:r>
      <w:r w:rsidR="008A74EB">
        <w:rPr>
          <w:rtl/>
        </w:rPr>
        <w:t xml:space="preserve"> </w:t>
      </w:r>
      <w:r w:rsidR="008A74EB" w:rsidRPr="00C9040A">
        <w:rPr>
          <w:rtl/>
        </w:rPr>
        <w:t>الزخرف (43) : 81.</w:t>
      </w:r>
    </w:p>
    <w:p w:rsidR="008A74EB" w:rsidRPr="004A4E41" w:rsidRDefault="006C577F" w:rsidP="004A4E41">
      <w:pPr>
        <w:pStyle w:val="libFootnote0"/>
        <w:rPr>
          <w:rStyle w:val="libFootnote0Char"/>
          <w:rtl/>
        </w:rPr>
      </w:pPr>
      <w:r>
        <w:rPr>
          <w:rtl/>
        </w:rPr>
        <w:t>(7).</w:t>
      </w:r>
      <w:r w:rsidR="008A74EB" w:rsidRPr="00C9040A">
        <w:rPr>
          <w:rtl/>
        </w:rPr>
        <w:t xml:space="preserve"> </w:t>
      </w:r>
      <w:r w:rsidR="008A74EB" w:rsidRPr="00993B55">
        <w:rPr>
          <w:rStyle w:val="libFootnoteBoldChar"/>
          <w:rtl/>
        </w:rPr>
        <w:t>الوافي</w:t>
      </w:r>
      <w:r w:rsidR="008A74EB" w:rsidRPr="00C9040A">
        <w:rPr>
          <w:rtl/>
        </w:rPr>
        <w:t xml:space="preserve"> ، ج 4 ، ص 40 ، ح 1656 ؛ </w:t>
      </w:r>
      <w:r w:rsidR="008A74EB" w:rsidRPr="00993B55">
        <w:rPr>
          <w:rStyle w:val="libFootnoteBoldChar"/>
          <w:rtl/>
        </w:rPr>
        <w:t>البحار</w:t>
      </w:r>
      <w:r w:rsidR="008A74EB" w:rsidRPr="00C9040A">
        <w:rPr>
          <w:rtl/>
        </w:rPr>
        <w:t xml:space="preserve"> ، ج 67 ، ص 97 ، ح 15.</w:t>
      </w:r>
    </w:p>
    <w:tbl>
      <w:tblPr>
        <w:tblStyle w:val="TableGrid"/>
        <w:bidiVisual/>
        <w:tblW w:w="0" w:type="auto"/>
        <w:tblLook w:val="04A0" w:firstRow="1" w:lastRow="0" w:firstColumn="1" w:lastColumn="0" w:noHBand="0" w:noVBand="1"/>
      </w:tblPr>
      <w:tblGrid>
        <w:gridCol w:w="4006"/>
        <w:gridCol w:w="4006"/>
      </w:tblGrid>
      <w:tr w:rsidR="00484B14" w:rsidTr="00484B14">
        <w:tc>
          <w:tcPr>
            <w:tcW w:w="4006" w:type="dxa"/>
          </w:tcPr>
          <w:p w:rsidR="00484B14" w:rsidRDefault="006C577F" w:rsidP="004A4E41">
            <w:pPr>
              <w:pStyle w:val="libFootnote0"/>
              <w:rPr>
                <w:rtl/>
              </w:rPr>
            </w:pPr>
            <w:r>
              <w:rPr>
                <w:rtl/>
              </w:rPr>
              <w:t>(8).</w:t>
            </w:r>
            <w:r w:rsidR="00484B14" w:rsidRPr="00C9040A">
              <w:rPr>
                <w:rtl/>
              </w:rPr>
              <w:t xml:space="preserve"> في « د</w:t>
            </w:r>
            <w:r w:rsidR="00484B14">
              <w:rPr>
                <w:rtl/>
              </w:rPr>
              <w:t xml:space="preserve"> » : +</w:t>
            </w:r>
            <w:r w:rsidR="00484B14" w:rsidRPr="00C9040A">
              <w:rPr>
                <w:rtl/>
              </w:rPr>
              <w:t xml:space="preserve"> « خلق »</w:t>
            </w:r>
            <w:r w:rsidR="00484B14">
              <w:rPr>
                <w:rtl/>
              </w:rPr>
              <w:t>.</w:t>
            </w:r>
          </w:p>
        </w:tc>
        <w:tc>
          <w:tcPr>
            <w:tcW w:w="4006" w:type="dxa"/>
          </w:tcPr>
          <w:p w:rsidR="00484B14" w:rsidRDefault="006C577F" w:rsidP="004A4E41">
            <w:pPr>
              <w:pStyle w:val="libFootnote0"/>
              <w:rPr>
                <w:rtl/>
              </w:rPr>
            </w:pPr>
            <w:r>
              <w:rPr>
                <w:rtl/>
              </w:rPr>
              <w:t>(9).</w:t>
            </w:r>
            <w:r w:rsidR="00484B14" w:rsidRPr="00C9040A">
              <w:rPr>
                <w:rtl/>
              </w:rPr>
              <w:t xml:space="preserve"> في « ف » : « وأخذ »</w:t>
            </w:r>
            <w:r w:rsidR="00484B14">
              <w:rPr>
                <w:rtl/>
              </w:rPr>
              <w:t>.</w:t>
            </w:r>
          </w:p>
        </w:tc>
      </w:tr>
    </w:tbl>
    <w:p w:rsidR="008A74EB" w:rsidRPr="00C9040A" w:rsidRDefault="006C577F" w:rsidP="004A4E41">
      <w:pPr>
        <w:pStyle w:val="libFootnote0"/>
        <w:rPr>
          <w:rtl/>
          <w:lang w:bidi="fa-IR"/>
        </w:rPr>
      </w:pPr>
      <w:r>
        <w:rPr>
          <w:rtl/>
        </w:rPr>
        <w:t>(10).</w:t>
      </w:r>
      <w:r w:rsidR="008A74EB" w:rsidRPr="00C9040A">
        <w:rPr>
          <w:rtl/>
        </w:rPr>
        <w:t xml:space="preserve"> في </w:t>
      </w:r>
      <w:r w:rsidR="008A74EB" w:rsidRPr="00993B55">
        <w:rPr>
          <w:rStyle w:val="libFootnoteBoldChar"/>
          <w:rtl/>
        </w:rPr>
        <w:t>مرآة العقول</w:t>
      </w:r>
      <w:r w:rsidR="008A74EB" w:rsidRPr="00C9040A">
        <w:rPr>
          <w:rtl/>
        </w:rPr>
        <w:t xml:space="preserve"> ، ج 7 ، ص 22 : « في أكثر النسخ : أن تقولوا ، بصيغة ال</w:t>
      </w:r>
      <w:r w:rsidR="00E7021A">
        <w:rPr>
          <w:rtl/>
        </w:rPr>
        <w:t>خطاب ، كما في القراءات المشهورة</w:t>
      </w:r>
      <w:r w:rsidR="008A74EB" w:rsidRPr="00C9040A">
        <w:rPr>
          <w:rtl/>
        </w:rPr>
        <w:t xml:space="preserve">، </w:t>
      </w:r>
      <w:r w:rsidR="00E7021A">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6A2246">
        <w:rPr>
          <w:rStyle w:val="libAieChar"/>
          <w:rtl/>
        </w:rPr>
        <w:lastRenderedPageBreak/>
        <w:t xml:space="preserve">هذا غافِلِينَ </w:t>
      </w:r>
      <w:r w:rsidRPr="0003660B">
        <w:rPr>
          <w:rStyle w:val="libAlaemChar"/>
          <w:rtl/>
        </w:rPr>
        <w:t>)</w:t>
      </w:r>
      <w:r w:rsidRPr="00C9040A">
        <w:rPr>
          <w:rtl/>
          <w:lang w:bidi="fa-IR"/>
        </w:rPr>
        <w:t xml:space="preserve"> </w:t>
      </w:r>
      <w:r w:rsidR="006C577F" w:rsidRPr="006C577F">
        <w:rPr>
          <w:rStyle w:val="libFootnotenumChar"/>
          <w:rtl/>
        </w:rPr>
        <w:t>(1)</w:t>
      </w:r>
    </w:p>
    <w:p w:rsidR="008A74EB" w:rsidRPr="00C9040A" w:rsidRDefault="008A74EB" w:rsidP="008A74EB">
      <w:pPr>
        <w:pStyle w:val="libNormal"/>
        <w:rPr>
          <w:rtl/>
          <w:lang w:bidi="fa-IR"/>
        </w:rPr>
      </w:pPr>
      <w:r w:rsidRPr="00C9040A">
        <w:rPr>
          <w:rtl/>
          <w:lang w:bidi="fa-IR"/>
        </w:rPr>
        <w:t>ثُمَّ أَخَذَ الْمِيثَاقَ عَل</w:t>
      </w:r>
      <w:r>
        <w:rPr>
          <w:rtl/>
          <w:lang w:bidi="fa-IR"/>
        </w:rPr>
        <w:t>َى النَّبِيِّينَ ، فَقَالَ : أَ</w:t>
      </w:r>
      <w:r w:rsidRPr="00C9040A">
        <w:rPr>
          <w:rtl/>
          <w:lang w:bidi="fa-IR"/>
        </w:rPr>
        <w:t xml:space="preserve">لَسْتُ بِرَبِّكُمْ ، وَأَنَّ هذَا مُحَمَّدٌ رَسُولِي ، وَأَنَّ هذَا عَلِيٌّ </w:t>
      </w:r>
      <w:r w:rsidR="006C577F" w:rsidRPr="006C577F">
        <w:rPr>
          <w:rStyle w:val="libFootnotenumChar"/>
          <w:rtl/>
        </w:rPr>
        <w:t>(2)</w:t>
      </w:r>
      <w:r w:rsidRPr="00C9040A">
        <w:rPr>
          <w:rtl/>
          <w:lang w:bidi="fa-IR"/>
        </w:rPr>
        <w:t xml:space="preserve"> أَمِيرُ الْمُؤْمِنِينَ</w:t>
      </w:r>
      <w:r>
        <w:rPr>
          <w:rtl/>
          <w:lang w:bidi="fa-IR"/>
        </w:rPr>
        <w:t>؟</w:t>
      </w:r>
      <w:r w:rsidRPr="00C9040A">
        <w:rPr>
          <w:rtl/>
          <w:lang w:bidi="fa-IR"/>
        </w:rPr>
        <w:t xml:space="preserve"> قَالُوا : بَلى ، فَثَبَتَتْ </w:t>
      </w:r>
      <w:r w:rsidR="006C577F" w:rsidRPr="006C577F">
        <w:rPr>
          <w:rStyle w:val="libFootnotenumChar"/>
          <w:rtl/>
        </w:rPr>
        <w:t>(3)</w:t>
      </w:r>
      <w:r w:rsidRPr="00C9040A">
        <w:rPr>
          <w:rtl/>
          <w:lang w:bidi="fa-IR"/>
        </w:rPr>
        <w:t xml:space="preserve"> لَهُمُ النُّبُوَّةُ ؛ وَأَخَذَ الْمِيثَاقَ عَلى أُولِي الْعَزْمِ أَنَّنِي رَبُّكُمْ ، وَمُحَمَّدٌ رَسُولِي ، وَعَلِيٌّ أَمِيرُ الْمُؤْمِنِينَ ، وَأَوْصِيَاؤُهُ مِنْ بَعْدِهِ وُلَاةُ أَمْرِي وَخُزَّانُ عِلْمِي </w:t>
      </w:r>
      <w:r w:rsidRPr="0003660B">
        <w:rPr>
          <w:rStyle w:val="libAlaemChar"/>
          <w:rtl/>
        </w:rPr>
        <w:t>عليهم‌السلام</w:t>
      </w:r>
      <w:r w:rsidRPr="00C9040A">
        <w:rPr>
          <w:rtl/>
          <w:lang w:bidi="fa-IR"/>
        </w:rPr>
        <w:t xml:space="preserve"> ، وَأَنَّ الْمَهْدِيَّ أَنْتَصِرُ بِهِ لِدِينِي ، وَأُظْهِرُ بِهِ </w:t>
      </w:r>
      <w:r w:rsidR="006C577F" w:rsidRPr="006C577F">
        <w:rPr>
          <w:rStyle w:val="libFootnotenumChar"/>
          <w:rtl/>
        </w:rPr>
        <w:t>(4)</w:t>
      </w:r>
      <w:r w:rsidRPr="00C9040A">
        <w:rPr>
          <w:rtl/>
          <w:lang w:bidi="fa-IR"/>
        </w:rPr>
        <w:t xml:space="preserve"> دَوْلَتِي ، وَأَنْتَقِمُ بِهِ مِنْ أَعْدَائِي ، وَأُعْبَدُ بِهِ طَوْعاً وَكَرْهاً ، قَالُوا : أَقْرَرْنَا يَا رَبِّ ، وَشَهِدْنَا </w:t>
      </w:r>
      <w:r w:rsidR="006C577F" w:rsidRPr="006C577F">
        <w:rPr>
          <w:rStyle w:val="libFootnotenumChar"/>
          <w:rtl/>
        </w:rPr>
        <w:t>(5)</w:t>
      </w:r>
      <w:r w:rsidRPr="00C9040A">
        <w:rPr>
          <w:rtl/>
          <w:lang w:bidi="fa-IR"/>
        </w:rPr>
        <w:t xml:space="preserve"> ، وَلَمْ يَجْحَدْ آدَمُ وَلَمْ يُقِرَّ ، فَثَبَتَتِ </w:t>
      </w:r>
      <w:r w:rsidR="006C577F" w:rsidRPr="006C577F">
        <w:rPr>
          <w:rStyle w:val="libFootnotenumChar"/>
          <w:rtl/>
        </w:rPr>
        <w:t>(6)</w:t>
      </w:r>
      <w:r w:rsidRPr="005B567D">
        <w:rPr>
          <w:rStyle w:val="libFootnotenumChar"/>
          <w:rtl/>
        </w:rPr>
        <w:t xml:space="preserve"> </w:t>
      </w:r>
      <w:r w:rsidRPr="00C9040A">
        <w:rPr>
          <w:rtl/>
          <w:lang w:bidi="fa-IR"/>
        </w:rPr>
        <w:t xml:space="preserve">الْعَزِيمَةُ لِهؤُلَاءِ الْخَمْسَةِ فِي الْمَهْدِيِّ ، وَلَمْ يَكُنْ لآِدَمَ عَزْمٌ عَلَى الْإِقْرَارِ بِهِ ، وَهُوَ قَوْلُهُ عَزَّ وَجَلَّ : </w:t>
      </w:r>
      <w:r w:rsidRPr="0003660B">
        <w:rPr>
          <w:rStyle w:val="libAlaemChar"/>
          <w:rtl/>
        </w:rPr>
        <w:t>(</w:t>
      </w:r>
      <w:r w:rsidRPr="006A2246">
        <w:rPr>
          <w:rStyle w:val="libAieChar"/>
          <w:rtl/>
        </w:rPr>
        <w:t xml:space="preserve"> وَلَقَدْ عَهِدْنا إِلى آدَمَ مِنْ قَبْلُ فَنَسِيَ وَلَمْ نَجِدْ لَهُ عَزْماً </w:t>
      </w:r>
      <w:r w:rsidRPr="0003660B">
        <w:rPr>
          <w:rStyle w:val="libAlaemChar"/>
          <w:rtl/>
        </w:rPr>
        <w:t>)</w:t>
      </w:r>
      <w:r w:rsidRPr="00C9040A">
        <w:rPr>
          <w:rtl/>
          <w:lang w:bidi="fa-IR"/>
        </w:rPr>
        <w:t xml:space="preserve"> » ، </w:t>
      </w:r>
      <w:r w:rsidR="006C577F" w:rsidRPr="006C577F">
        <w:rPr>
          <w:rStyle w:val="libFootnotenumChar"/>
          <w:rtl/>
        </w:rPr>
        <w:t>(7)</w:t>
      </w:r>
      <w:r w:rsidRPr="00C9040A">
        <w:rPr>
          <w:rtl/>
          <w:lang w:bidi="fa-IR"/>
        </w:rPr>
        <w:t xml:space="preserve"> قَالَ : « إِنَّمَا هُوَ : فَتَرَكَ </w:t>
      </w:r>
      <w:r w:rsidR="006C577F" w:rsidRPr="006C577F">
        <w:rPr>
          <w:rStyle w:val="libFootnotenumChar"/>
          <w:rtl/>
        </w:rPr>
        <w:t>(8)</w:t>
      </w:r>
      <w:r w:rsidR="002927F9" w:rsidRPr="002927F9">
        <w:rPr>
          <w:rFonts w:hint="cs"/>
          <w:rtl/>
        </w:rPr>
        <w:t>.</w:t>
      </w:r>
    </w:p>
    <w:p w:rsidR="008A74EB" w:rsidRPr="00C9040A" w:rsidRDefault="008A74EB" w:rsidP="008A74EB">
      <w:pPr>
        <w:pStyle w:val="libNormal"/>
        <w:rPr>
          <w:rtl/>
          <w:lang w:bidi="fa-IR"/>
        </w:rPr>
      </w:pPr>
      <w:r w:rsidRPr="00C9040A">
        <w:rPr>
          <w:rtl/>
          <w:lang w:bidi="fa-IR"/>
        </w:rPr>
        <w:t xml:space="preserve">ثُمَّ أَمَرَ نَاراً ، فَأُجِّجَتْ ، فَقَالَ لِأَصْحَابِ الشِّمَالِ : ادْخُلُوهَا ، فَهَابُوهَا ، وَقَالَ لِأَصْحَابِ الْيَمِينِ : ادْخُلُوهَا ، فَدَخَلُوهَا ، فَكَانَتْ عَلَيْهِمْ </w:t>
      </w:r>
      <w:r w:rsidR="006C577F" w:rsidRPr="006C577F">
        <w:rPr>
          <w:rStyle w:val="libFootnotenumChar"/>
          <w:rtl/>
        </w:rPr>
        <w:t>(9)</w:t>
      </w:r>
      <w:r w:rsidRPr="00C9040A">
        <w:rPr>
          <w:rtl/>
          <w:lang w:bidi="fa-IR"/>
        </w:rPr>
        <w:t xml:space="preserve"> بَرْداً وَسَلَاماً ، فَقَالَ أَصْحَابُ الشِّمَالِ :</w:t>
      </w:r>
    </w:p>
    <w:p w:rsidR="008A74EB" w:rsidRPr="00C9040A" w:rsidRDefault="008A74EB" w:rsidP="008A74EB">
      <w:pPr>
        <w:pStyle w:val="libLine"/>
        <w:rPr>
          <w:rtl/>
          <w:lang w:bidi="fa-IR"/>
        </w:rPr>
      </w:pPr>
      <w:r w:rsidRPr="00C9040A">
        <w:rPr>
          <w:rtl/>
          <w:lang w:bidi="fa-IR"/>
        </w:rPr>
        <w:t>__________________</w:t>
      </w:r>
    </w:p>
    <w:p w:rsidR="008A74EB" w:rsidRPr="004A4E41" w:rsidRDefault="002927F9" w:rsidP="004A4E41">
      <w:pPr>
        <w:pStyle w:val="libFootnote0"/>
        <w:rPr>
          <w:rStyle w:val="libFootnote0Char"/>
          <w:rtl/>
        </w:rPr>
      </w:pPr>
      <w:r>
        <w:rPr>
          <w:rFonts w:hint="cs"/>
          <w:rtl/>
        </w:rPr>
        <w:t xml:space="preserve">= </w:t>
      </w:r>
      <w:r w:rsidR="008A74EB" w:rsidRPr="00C9040A">
        <w:rPr>
          <w:rtl/>
        </w:rPr>
        <w:t>فيكون ذكر تتمّة الآية استطراداً. والأصوب هنا : أن يقولوا ، بصيغة الغيبة موافقاً لقراءة أبي عمرو في الآية »</w:t>
      </w:r>
      <w:r w:rsidR="008A74EB">
        <w:rPr>
          <w:rtl/>
        </w:rPr>
        <w:t>.</w:t>
      </w:r>
    </w:p>
    <w:tbl>
      <w:tblPr>
        <w:tblStyle w:val="TableGrid"/>
        <w:bidiVisual/>
        <w:tblW w:w="0" w:type="auto"/>
        <w:tblLook w:val="04A0" w:firstRow="1" w:lastRow="0" w:firstColumn="1" w:lastColumn="0" w:noHBand="0" w:noVBand="1"/>
      </w:tblPr>
      <w:tblGrid>
        <w:gridCol w:w="4006"/>
        <w:gridCol w:w="4006"/>
      </w:tblGrid>
      <w:tr w:rsidR="002927F9" w:rsidTr="002927F9">
        <w:tc>
          <w:tcPr>
            <w:tcW w:w="4006" w:type="dxa"/>
          </w:tcPr>
          <w:p w:rsidR="002927F9" w:rsidRDefault="006C577F" w:rsidP="004A4E41">
            <w:pPr>
              <w:pStyle w:val="libFootnote0"/>
              <w:rPr>
                <w:rtl/>
                <w:lang w:bidi="fa-IR"/>
              </w:rPr>
            </w:pPr>
            <w:r>
              <w:rPr>
                <w:rtl/>
              </w:rPr>
              <w:t>(1).</w:t>
            </w:r>
            <w:r w:rsidR="002927F9" w:rsidRPr="00C9040A">
              <w:rPr>
                <w:rtl/>
              </w:rPr>
              <w:t xml:space="preserve"> الأعراف </w:t>
            </w:r>
            <w:r>
              <w:rPr>
                <w:rtl/>
              </w:rPr>
              <w:t>(7).</w:t>
            </w:r>
            <w:r w:rsidR="002927F9" w:rsidRPr="00C9040A">
              <w:rPr>
                <w:rtl/>
              </w:rPr>
              <w:t xml:space="preserve"> : 172.</w:t>
            </w:r>
          </w:p>
        </w:tc>
        <w:tc>
          <w:tcPr>
            <w:tcW w:w="4006" w:type="dxa"/>
          </w:tcPr>
          <w:p w:rsidR="002927F9" w:rsidRDefault="006C577F" w:rsidP="004A4E41">
            <w:pPr>
              <w:pStyle w:val="libFootnote0"/>
              <w:rPr>
                <w:rtl/>
                <w:lang w:bidi="fa-IR"/>
              </w:rPr>
            </w:pPr>
            <w:r>
              <w:rPr>
                <w:rtl/>
              </w:rPr>
              <w:t>(2).</w:t>
            </w:r>
            <w:r w:rsidR="002927F9">
              <w:rPr>
                <w:rtl/>
              </w:rPr>
              <w:t xml:space="preserve"> </w:t>
            </w:r>
            <w:r w:rsidR="002927F9" w:rsidRPr="00C9040A">
              <w:rPr>
                <w:rtl/>
              </w:rPr>
              <w:t xml:space="preserve">في « ص ، ض ، </w:t>
            </w:r>
            <w:r w:rsidR="002927F9">
              <w:rPr>
                <w:rtl/>
              </w:rPr>
              <w:t>ه</w:t>
            </w:r>
            <w:r w:rsidR="002927F9" w:rsidRPr="00C9040A">
              <w:rPr>
                <w:rtl/>
              </w:rPr>
              <w:t xml:space="preserve"> ، بف » </w:t>
            </w:r>
            <w:r w:rsidR="002927F9">
              <w:rPr>
                <w:rtl/>
              </w:rPr>
              <w:t>: -</w:t>
            </w:r>
            <w:r w:rsidR="002927F9" w:rsidRPr="00C9040A">
              <w:rPr>
                <w:rtl/>
              </w:rPr>
              <w:t xml:space="preserve"> « عليّ »</w:t>
            </w:r>
            <w:r w:rsidR="002927F9">
              <w:rPr>
                <w:rtl/>
              </w:rPr>
              <w:t>.</w:t>
            </w:r>
          </w:p>
        </w:tc>
      </w:tr>
      <w:tr w:rsidR="002927F9" w:rsidTr="002927F9">
        <w:tc>
          <w:tcPr>
            <w:tcW w:w="4006" w:type="dxa"/>
          </w:tcPr>
          <w:p w:rsidR="002927F9" w:rsidRDefault="006C577F" w:rsidP="004A4E41">
            <w:pPr>
              <w:pStyle w:val="libFootnote0"/>
              <w:rPr>
                <w:rtl/>
                <w:lang w:bidi="fa-IR"/>
              </w:rPr>
            </w:pPr>
            <w:r>
              <w:rPr>
                <w:rtl/>
              </w:rPr>
              <w:t>(3).</w:t>
            </w:r>
            <w:r w:rsidR="002927F9" w:rsidRPr="00C9040A">
              <w:rPr>
                <w:rtl/>
              </w:rPr>
              <w:t xml:space="preserve"> في « ب ، ض ، ف » والوافي : « فثبت »</w:t>
            </w:r>
            <w:r w:rsidR="002927F9">
              <w:rPr>
                <w:rtl/>
              </w:rPr>
              <w:t>.</w:t>
            </w:r>
          </w:p>
        </w:tc>
        <w:tc>
          <w:tcPr>
            <w:tcW w:w="4006" w:type="dxa"/>
          </w:tcPr>
          <w:p w:rsidR="002927F9" w:rsidRDefault="006C577F" w:rsidP="004A4E41">
            <w:pPr>
              <w:pStyle w:val="libFootnote0"/>
              <w:rPr>
                <w:rtl/>
                <w:lang w:bidi="fa-IR"/>
              </w:rPr>
            </w:pPr>
            <w:r>
              <w:rPr>
                <w:rtl/>
              </w:rPr>
              <w:t>(4).</w:t>
            </w:r>
            <w:r w:rsidR="002927F9" w:rsidRPr="00C9040A">
              <w:rPr>
                <w:rtl/>
              </w:rPr>
              <w:t xml:space="preserve"> في « ض » </w:t>
            </w:r>
            <w:r w:rsidR="002927F9">
              <w:rPr>
                <w:rtl/>
              </w:rPr>
              <w:t>: -</w:t>
            </w:r>
            <w:r w:rsidR="002927F9" w:rsidRPr="00C9040A">
              <w:rPr>
                <w:rtl/>
              </w:rPr>
              <w:t xml:space="preserve"> « ا</w:t>
            </w:r>
            <w:r w:rsidR="002927F9">
              <w:rPr>
                <w:rFonts w:hint="cs"/>
                <w:rtl/>
              </w:rPr>
              <w:t>ُ</w:t>
            </w:r>
            <w:r w:rsidR="002927F9" w:rsidRPr="00C9040A">
              <w:rPr>
                <w:rtl/>
              </w:rPr>
              <w:t>ظهر به »</w:t>
            </w:r>
            <w:r w:rsidR="002927F9">
              <w:rPr>
                <w:rtl/>
              </w:rPr>
              <w:t>.</w:t>
            </w:r>
          </w:p>
        </w:tc>
      </w:tr>
      <w:tr w:rsidR="002927F9" w:rsidTr="002927F9">
        <w:tc>
          <w:tcPr>
            <w:tcW w:w="4006" w:type="dxa"/>
          </w:tcPr>
          <w:p w:rsidR="002927F9" w:rsidRDefault="006C577F" w:rsidP="004A4E41">
            <w:pPr>
              <w:pStyle w:val="libFootnote0"/>
              <w:rPr>
                <w:rtl/>
                <w:lang w:bidi="fa-IR"/>
              </w:rPr>
            </w:pPr>
            <w:r>
              <w:rPr>
                <w:rtl/>
              </w:rPr>
              <w:t>(5).</w:t>
            </w:r>
            <w:r w:rsidR="002927F9" w:rsidRPr="00C9040A">
              <w:rPr>
                <w:rtl/>
              </w:rPr>
              <w:t xml:space="preserve"> في « ض » : « وشهدوا »</w:t>
            </w:r>
            <w:r w:rsidR="002927F9">
              <w:rPr>
                <w:rtl/>
              </w:rPr>
              <w:t>.</w:t>
            </w:r>
          </w:p>
        </w:tc>
        <w:tc>
          <w:tcPr>
            <w:tcW w:w="4006" w:type="dxa"/>
          </w:tcPr>
          <w:p w:rsidR="002927F9" w:rsidRDefault="006C577F" w:rsidP="004A4E41">
            <w:pPr>
              <w:pStyle w:val="libFootnote0"/>
              <w:rPr>
                <w:rtl/>
                <w:lang w:bidi="fa-IR"/>
              </w:rPr>
            </w:pPr>
            <w:r>
              <w:rPr>
                <w:rtl/>
              </w:rPr>
              <w:t>(6).</w:t>
            </w:r>
            <w:r w:rsidR="002927F9">
              <w:rPr>
                <w:rtl/>
              </w:rPr>
              <w:t xml:space="preserve"> </w:t>
            </w:r>
            <w:r w:rsidR="002927F9" w:rsidRPr="00C9040A">
              <w:rPr>
                <w:rtl/>
              </w:rPr>
              <w:t>في « ض » : « فتثبت »</w:t>
            </w:r>
            <w:r w:rsidR="002927F9">
              <w:rPr>
                <w:rtl/>
              </w:rPr>
              <w:t>.</w:t>
            </w:r>
          </w:p>
        </w:tc>
      </w:tr>
    </w:tbl>
    <w:p w:rsidR="008A74EB" w:rsidRPr="00C9040A" w:rsidRDefault="006C577F" w:rsidP="004A4E41">
      <w:pPr>
        <w:pStyle w:val="libFootnote0"/>
        <w:rPr>
          <w:rtl/>
          <w:lang w:bidi="fa-IR"/>
        </w:rPr>
      </w:pPr>
      <w:r>
        <w:rPr>
          <w:rtl/>
        </w:rPr>
        <w:t>(7).</w:t>
      </w:r>
      <w:r w:rsidR="008A74EB" w:rsidRPr="00C9040A">
        <w:rPr>
          <w:rtl/>
        </w:rPr>
        <w:t xml:space="preserve"> طه (20) : 115.</w:t>
      </w:r>
    </w:p>
    <w:p w:rsidR="008A74EB" w:rsidRPr="00C9040A" w:rsidRDefault="006C577F" w:rsidP="004A4E41">
      <w:pPr>
        <w:pStyle w:val="libFootnote0"/>
        <w:rPr>
          <w:rtl/>
          <w:lang w:bidi="fa-IR"/>
        </w:rPr>
      </w:pPr>
      <w:r>
        <w:rPr>
          <w:rtl/>
        </w:rPr>
        <w:t>(8).</w:t>
      </w:r>
      <w:r w:rsidR="008A74EB" w:rsidRPr="00C9040A">
        <w:rPr>
          <w:rtl/>
        </w:rPr>
        <w:t xml:space="preserve"> في </w:t>
      </w:r>
      <w:r w:rsidR="008A74EB" w:rsidRPr="00993B55">
        <w:rPr>
          <w:rStyle w:val="libFootnoteBoldChar"/>
          <w:rtl/>
        </w:rPr>
        <w:t>الوافي</w:t>
      </w:r>
      <w:r w:rsidR="008A74EB" w:rsidRPr="00C9040A">
        <w:rPr>
          <w:rtl/>
        </w:rPr>
        <w:t xml:space="preserve"> : « يعني : معنى </w:t>
      </w:r>
      <w:r w:rsidR="002927F9" w:rsidRPr="004A4E41">
        <w:rPr>
          <w:rFonts w:hint="cs"/>
          <w:rtl/>
        </w:rPr>
        <w:t>(</w:t>
      </w:r>
      <w:r w:rsidR="008A74EB" w:rsidRPr="002927F9">
        <w:rPr>
          <w:rStyle w:val="libFootnoteAieChar"/>
          <w:rtl/>
        </w:rPr>
        <w:t xml:space="preserve"> فَنَسِىَ</w:t>
      </w:r>
      <w:r w:rsidR="008A74EB" w:rsidRPr="00C9040A">
        <w:rPr>
          <w:rtl/>
        </w:rPr>
        <w:t xml:space="preserve"> </w:t>
      </w:r>
      <w:r w:rsidR="002927F9" w:rsidRPr="004A4E41">
        <w:rPr>
          <w:rFonts w:hint="cs"/>
          <w:rtl/>
        </w:rPr>
        <w:t>)</w:t>
      </w:r>
      <w:r w:rsidR="002927F9">
        <w:rPr>
          <w:rtl/>
        </w:rPr>
        <w:t xml:space="preserve"> هاهنا ليس إل</w:t>
      </w:r>
      <w:r w:rsidR="002927F9">
        <w:rPr>
          <w:rFonts w:hint="cs"/>
          <w:rtl/>
        </w:rPr>
        <w:t>ّ</w:t>
      </w:r>
      <w:r w:rsidR="002927F9">
        <w:rPr>
          <w:rtl/>
        </w:rPr>
        <w:t>ا</w:t>
      </w:r>
      <w:r w:rsidR="008A74EB" w:rsidRPr="00C9040A">
        <w:rPr>
          <w:rtl/>
        </w:rPr>
        <w:t xml:space="preserve"> « فترك »</w:t>
      </w:r>
      <w:r w:rsidR="008A74EB">
        <w:rPr>
          <w:rtl/>
        </w:rPr>
        <w:t>.</w:t>
      </w:r>
      <w:r w:rsidR="008A74EB" w:rsidRPr="00C9040A">
        <w:rPr>
          <w:rtl/>
        </w:rPr>
        <w:t xml:space="preserve"> ولعلّ السرّ في عدم عزم آدم على الإقرار بالمهديّ استبعاده أن يكون لهذا النوع الإنساني اتّفاق على أمر واحد »</w:t>
      </w:r>
      <w:r w:rsidR="008A74EB">
        <w:rPr>
          <w:rtl/>
        </w:rPr>
        <w:t>.</w:t>
      </w:r>
    </w:p>
    <w:p w:rsidR="008A74EB" w:rsidRPr="00C9040A" w:rsidRDefault="008A74EB" w:rsidP="004A4E41">
      <w:pPr>
        <w:pStyle w:val="libFootnote0"/>
        <w:rPr>
          <w:rtl/>
          <w:lang w:bidi="fa-IR"/>
        </w:rPr>
      </w:pPr>
      <w:r w:rsidRPr="00323A39">
        <w:rPr>
          <w:rtl/>
        </w:rPr>
        <w:t xml:space="preserve">وفي </w:t>
      </w:r>
      <w:r w:rsidRPr="00993B55">
        <w:rPr>
          <w:rStyle w:val="libFootnoteBoldChar"/>
          <w:rtl/>
        </w:rPr>
        <w:t>مرآة العقول</w:t>
      </w:r>
      <w:r w:rsidRPr="00323A39">
        <w:rPr>
          <w:rtl/>
        </w:rPr>
        <w:t xml:space="preserve"> : « الظاهر أنّ المراد بعدم العزم عدم الاهتمام به وتذكّره ، أو عدم التصديق اللساني ؛ حيث لم يكن ذلك واجباً ، لا عدم التصديق به مطلقاً ، فإنّه لايناسب منصب النبوّة ، بل ما هو أدون منه ».</w:t>
      </w:r>
    </w:p>
    <w:p w:rsidR="008A74EB" w:rsidRPr="00C9040A" w:rsidRDefault="008A74EB" w:rsidP="004A4E41">
      <w:pPr>
        <w:pStyle w:val="libFootnote0"/>
        <w:rPr>
          <w:rtl/>
          <w:lang w:bidi="fa-IR"/>
        </w:rPr>
      </w:pPr>
      <w:r w:rsidRPr="00323A39">
        <w:rPr>
          <w:rtl/>
        </w:rPr>
        <w:t xml:space="preserve">وفي </w:t>
      </w:r>
      <w:r w:rsidRPr="00993B55">
        <w:rPr>
          <w:rStyle w:val="libFootnoteBoldChar"/>
          <w:rtl/>
        </w:rPr>
        <w:t>شرح المازندراني</w:t>
      </w:r>
      <w:r w:rsidRPr="00323A39">
        <w:rPr>
          <w:rtl/>
        </w:rPr>
        <w:t xml:space="preserve"> : « لم يجحد آدم ولم يقرّ ، أي لم يجحد آدم عهد المهديّ </w:t>
      </w:r>
      <w:r w:rsidR="00117575" w:rsidRPr="00117575">
        <w:rPr>
          <w:rStyle w:val="libFootnoteAlaemChar"/>
          <w:rtl/>
        </w:rPr>
        <w:t xml:space="preserve">عليه‌السلام </w:t>
      </w:r>
      <w:r w:rsidRPr="00323A39">
        <w:rPr>
          <w:rtl/>
        </w:rPr>
        <w:t xml:space="preserve"> قلباً ، ولم يقرّ به لساناً ، بل أقرّ به قلباً. ولم يقرّ به لساناً لتولّهه وتأسّفه بضلالة أكثر أولاده ... وعلى هذا كأنّه لم يكن له عزم تامّ على الإقرار به ؛ إ</w:t>
      </w:r>
      <w:r w:rsidR="002927F9" w:rsidRPr="00323A39">
        <w:rPr>
          <w:rtl/>
        </w:rPr>
        <w:t>ذ لو كان له ذلك العزم كما كان ل</w:t>
      </w:r>
      <w:r w:rsidRPr="00323A39">
        <w:rPr>
          <w:rtl/>
        </w:rPr>
        <w:t>ا</w:t>
      </w:r>
      <w:r w:rsidR="002927F9" w:rsidRPr="00323A39">
        <w:rPr>
          <w:rFonts w:hint="cs"/>
          <w:rtl/>
        </w:rPr>
        <w:t>ُ</w:t>
      </w:r>
      <w:r w:rsidRPr="00323A39">
        <w:rPr>
          <w:rtl/>
        </w:rPr>
        <w:t xml:space="preserve">ولي العزم من الرسل ، لأقرّ به كما أقرّوا. أمّا قوله : </w:t>
      </w:r>
      <w:r w:rsidRPr="00B866D3">
        <w:rPr>
          <w:rStyle w:val="libFootnoteAlaemChar"/>
          <w:rtl/>
        </w:rPr>
        <w:t>(</w:t>
      </w:r>
      <w:r w:rsidRPr="00883DD5">
        <w:rPr>
          <w:rStyle w:val="libFootnoteAieChar"/>
          <w:rFonts w:hint="cs"/>
          <w:rtl/>
        </w:rPr>
        <w:t xml:space="preserve"> </w:t>
      </w:r>
      <w:r w:rsidRPr="00883DD5">
        <w:rPr>
          <w:rStyle w:val="libFootnoteAieChar"/>
          <w:rtl/>
        </w:rPr>
        <w:t>فَنَسِيَ</w:t>
      </w:r>
      <w:r w:rsidRPr="00883DD5">
        <w:rPr>
          <w:rStyle w:val="libFootnoteAieChar"/>
          <w:rFonts w:hint="cs"/>
          <w:rtl/>
        </w:rPr>
        <w:t xml:space="preserve"> </w:t>
      </w:r>
      <w:r w:rsidRPr="00B866D3">
        <w:rPr>
          <w:rStyle w:val="libFootnoteAlaemChar"/>
          <w:rtl/>
        </w:rPr>
        <w:t>)</w:t>
      </w:r>
      <w:r w:rsidRPr="00323A39">
        <w:rPr>
          <w:rtl/>
        </w:rPr>
        <w:t xml:space="preserve"> معناه فترك الإقرار به لساناً ، أو فترك العزم على الإقرار به. وليس المراد به معناه الحقيقي ؛ فتأمّل ».</w:t>
      </w:r>
    </w:p>
    <w:p w:rsidR="008A74EB" w:rsidRPr="00C9040A" w:rsidRDefault="006C577F" w:rsidP="004A4E41">
      <w:pPr>
        <w:pStyle w:val="libFootnote0"/>
        <w:rPr>
          <w:rtl/>
          <w:lang w:bidi="fa-IR"/>
        </w:rPr>
      </w:pPr>
      <w:r>
        <w:rPr>
          <w:rtl/>
        </w:rPr>
        <w:t>(9).</w:t>
      </w:r>
      <w:r w:rsidR="008A74EB" w:rsidRPr="00C9040A">
        <w:rPr>
          <w:rtl/>
        </w:rPr>
        <w:t xml:space="preserve"> في « ف » </w:t>
      </w:r>
      <w:r w:rsidR="008A74EB">
        <w:rPr>
          <w:rtl/>
        </w:rPr>
        <w:t xml:space="preserve">: </w:t>
      </w:r>
      <w:r w:rsidR="0084262C">
        <w:rPr>
          <w:rtl/>
        </w:rPr>
        <w:t>-</w:t>
      </w:r>
      <w:r w:rsidR="008A74EB" w:rsidRPr="00C9040A">
        <w:rPr>
          <w:rtl/>
        </w:rPr>
        <w:t xml:space="preserve"> « عليهم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يَا رَبِّ </w:t>
      </w:r>
      <w:r w:rsidR="006C577F" w:rsidRPr="006C577F">
        <w:rPr>
          <w:rStyle w:val="libFootnotenumChar"/>
          <w:rtl/>
        </w:rPr>
        <w:t>(1)</w:t>
      </w:r>
      <w:r w:rsidRPr="00E711C7">
        <w:rPr>
          <w:rFonts w:hint="cs"/>
          <w:rtl/>
        </w:rPr>
        <w:t xml:space="preserve"> </w:t>
      </w:r>
      <w:r w:rsidRPr="00C9040A">
        <w:rPr>
          <w:rtl/>
          <w:lang w:bidi="fa-IR"/>
        </w:rPr>
        <w:t xml:space="preserve">أَقِلْنَا ، فَقَالَ : قَدْ أَقَلْتُكُمُ ، اذْهَبُوا ، فَادْخُلُوهَا </w:t>
      </w:r>
      <w:r w:rsidR="006C577F" w:rsidRPr="006C577F">
        <w:rPr>
          <w:rStyle w:val="libFootnotenumChar"/>
          <w:rtl/>
        </w:rPr>
        <w:t>(2)</w:t>
      </w:r>
      <w:r w:rsidRPr="00C9040A">
        <w:rPr>
          <w:rtl/>
          <w:lang w:bidi="fa-IR"/>
        </w:rPr>
        <w:t xml:space="preserve"> ، فَهَابُوهَا ، فَثَمَّ </w:t>
      </w:r>
      <w:r w:rsidR="006C577F" w:rsidRPr="006C577F">
        <w:rPr>
          <w:rStyle w:val="libFootnotenumChar"/>
          <w:rtl/>
        </w:rPr>
        <w:t>(3)</w:t>
      </w:r>
      <w:r w:rsidRPr="00C9040A">
        <w:rPr>
          <w:rtl/>
          <w:lang w:bidi="fa-IR"/>
        </w:rPr>
        <w:t xml:space="preserve"> ثَبَتَتِ </w:t>
      </w:r>
      <w:r w:rsidR="006C577F" w:rsidRPr="006C577F">
        <w:rPr>
          <w:rStyle w:val="libFootnotenumChar"/>
          <w:rtl/>
        </w:rPr>
        <w:t>(4)</w:t>
      </w:r>
      <w:r w:rsidRPr="00C9040A">
        <w:rPr>
          <w:rtl/>
          <w:lang w:bidi="fa-IR"/>
        </w:rPr>
        <w:t xml:space="preserve"> الطَّاعَةُ وَالْوَلَايَةُ وَالْمَعْصِيَةُ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824E80">
        <w:rPr>
          <w:rtl/>
        </w:rPr>
        <w:t>1460</w:t>
      </w:r>
      <w:r w:rsidRPr="00261CB0">
        <w:rPr>
          <w:rStyle w:val="libBold2Char"/>
          <w:rtl/>
        </w:rPr>
        <w:t xml:space="preserve"> / 2.</w:t>
      </w:r>
      <w:r w:rsidRPr="00C9040A">
        <w:rPr>
          <w:rtl/>
          <w:lang w:bidi="fa-IR"/>
        </w:rPr>
        <w:t xml:space="preserve"> مُحَمَّدُ بْنُ يَحْيى ، عَنْ أَحْمَدَ بْنِ مُحَمَّدٍ ؛ وَ</w:t>
      </w:r>
      <w:r>
        <w:rPr>
          <w:rFonts w:hint="cs"/>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عَلِيُّ بْنُ إِبْرَاهِيمَ ، عَنْ أَبِيهِ ، عَنِ الْحَسَنِ بْنِ مَحْبُوبٍ ، عَنْ هِشَامِ بْنِ سَالِمٍ ، عَنْ حَبِيبٍ السِّجِسْتَانِيِّ ، قَالَ :</w:t>
      </w:r>
    </w:p>
    <w:p w:rsidR="008A74EB" w:rsidRPr="00C9040A" w:rsidRDefault="008A74EB" w:rsidP="008A74EB">
      <w:pPr>
        <w:pStyle w:val="libNormal"/>
        <w:rPr>
          <w:rtl/>
          <w:lang w:bidi="fa-IR"/>
        </w:rPr>
      </w:pPr>
      <w:r w:rsidRPr="00C9040A">
        <w:rPr>
          <w:rtl/>
          <w:lang w:bidi="fa-IR"/>
        </w:rPr>
        <w:t xml:space="preserve">سَمِعْتُ أَبَا جَعْفَرٍ </w:t>
      </w:r>
      <w:r w:rsidRPr="0003660B">
        <w:rPr>
          <w:rStyle w:val="libAlaemChar"/>
          <w:rtl/>
        </w:rPr>
        <w:t>عليه‌السلام</w:t>
      </w:r>
      <w:r w:rsidRPr="00C9040A">
        <w:rPr>
          <w:rtl/>
          <w:lang w:bidi="fa-IR"/>
        </w:rPr>
        <w:t xml:space="preserve"> يَقُولُ : « إِنَّ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لَمَّا أَخْرَجَ ذُرِّيَّةَ آدَمَ </w:t>
      </w:r>
      <w:r w:rsidRPr="0003660B">
        <w:rPr>
          <w:rStyle w:val="libAlaemChar"/>
          <w:rtl/>
        </w:rPr>
        <w:t>عليه‌السلام</w:t>
      </w:r>
      <w:r w:rsidRPr="00C9040A">
        <w:rPr>
          <w:rtl/>
          <w:lang w:bidi="fa-IR"/>
        </w:rPr>
        <w:t xml:space="preserve"> مِنْ ظَهْرِهِ </w:t>
      </w:r>
      <w:r w:rsidR="006C577F" w:rsidRPr="006C577F">
        <w:rPr>
          <w:rStyle w:val="libFootnotenumChar"/>
          <w:rtl/>
        </w:rPr>
        <w:t>(7)</w:t>
      </w:r>
      <w:r w:rsidRPr="00C9040A">
        <w:rPr>
          <w:rtl/>
          <w:lang w:bidi="fa-IR"/>
        </w:rPr>
        <w:t xml:space="preserve"> لِيَأْخُذَ عَلَيْهِمُ الْمِيثَاقَ بِالرُّبُوبِيَّةِ لَهُ ، وَبِالنُّبُوَّةِ لِكُلِّ نَبِيٍّ ، فَكَانَ أَوَّلَ مَنْ أَخَذَ لَهُ عَلَيْهِمُ الْمِيثَاقَ بِنُبُوَّتِهِ مُحَمَّدُ بْنُ عَبْدِ اللهِ صَلَّى اللهُ عَلَيْهِ وَآلِهِ وَسَلَّمَ تَسْلِيماً </w:t>
      </w:r>
      <w:r w:rsidR="006C577F" w:rsidRPr="006C577F">
        <w:rPr>
          <w:rStyle w:val="libFootnotenumChar"/>
          <w:rtl/>
        </w:rPr>
        <w:t>(8)</w:t>
      </w:r>
      <w:r w:rsidRPr="00C9040A">
        <w:rPr>
          <w:rtl/>
          <w:lang w:bidi="fa-IR"/>
        </w:rPr>
        <w:t xml:space="preserve"> ، ثُمَّ قَالَ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لآِدَمَ : انْظُرْ مَا ذَا تَرى</w:t>
      </w:r>
      <w:r>
        <w:rPr>
          <w:rtl/>
          <w:lang w:bidi="fa-IR"/>
        </w:rPr>
        <w:t>؟</w:t>
      </w:r>
      <w:r w:rsidRPr="00C9040A">
        <w:rPr>
          <w:rtl/>
          <w:lang w:bidi="fa-IR"/>
        </w:rPr>
        <w:t xml:space="preserve"> »</w:t>
      </w:r>
      <w:r>
        <w:rPr>
          <w:rtl/>
          <w:lang w:bidi="fa-IR"/>
        </w:rPr>
        <w:t>.</w:t>
      </w:r>
    </w:p>
    <w:p w:rsidR="008A74EB" w:rsidRPr="00C9040A" w:rsidRDefault="008A74EB" w:rsidP="008A74EB">
      <w:pPr>
        <w:pStyle w:val="libNormal"/>
        <w:rPr>
          <w:rtl/>
          <w:lang w:bidi="fa-IR"/>
        </w:rPr>
      </w:pPr>
      <w:r w:rsidRPr="00C9040A">
        <w:rPr>
          <w:rtl/>
          <w:lang w:bidi="fa-IR"/>
        </w:rPr>
        <w:t xml:space="preserve">قَالَ : « فَنَظَرَ آدَمُ </w:t>
      </w:r>
      <w:r w:rsidRPr="0003660B">
        <w:rPr>
          <w:rStyle w:val="libAlaemChar"/>
          <w:rtl/>
        </w:rPr>
        <w:t>عليه‌السلام</w:t>
      </w:r>
      <w:r w:rsidRPr="00C9040A">
        <w:rPr>
          <w:rtl/>
          <w:lang w:bidi="fa-IR"/>
        </w:rPr>
        <w:t xml:space="preserve"> إِلى ذُرِّيَّتِهِ</w:t>
      </w:r>
      <w:r>
        <w:rPr>
          <w:rtl/>
          <w:lang w:bidi="fa-IR"/>
        </w:rPr>
        <w:t xml:space="preserve"> </w:t>
      </w:r>
      <w:r w:rsidR="0084262C">
        <w:rPr>
          <w:rtl/>
          <w:lang w:bidi="fa-IR"/>
        </w:rPr>
        <w:t>-</w:t>
      </w:r>
      <w:r>
        <w:rPr>
          <w:rtl/>
          <w:lang w:bidi="fa-IR"/>
        </w:rPr>
        <w:t xml:space="preserve"> </w:t>
      </w:r>
      <w:r w:rsidRPr="00C9040A">
        <w:rPr>
          <w:rtl/>
          <w:lang w:bidi="fa-IR"/>
        </w:rPr>
        <w:t>وَهُمْ ذَرٌّ</w:t>
      </w:r>
      <w:r>
        <w:rPr>
          <w:rtl/>
          <w:lang w:bidi="fa-IR"/>
        </w:rPr>
        <w:t xml:space="preserve"> </w:t>
      </w:r>
      <w:r w:rsidR="0084262C">
        <w:rPr>
          <w:rtl/>
          <w:lang w:bidi="fa-IR"/>
        </w:rPr>
        <w:t>-</w:t>
      </w:r>
      <w:r>
        <w:rPr>
          <w:rtl/>
          <w:lang w:bidi="fa-IR"/>
        </w:rPr>
        <w:t xml:space="preserve"> </w:t>
      </w:r>
      <w:r w:rsidRPr="00C9040A">
        <w:rPr>
          <w:rtl/>
          <w:lang w:bidi="fa-IR"/>
        </w:rPr>
        <w:t xml:space="preserve">قَدْ مَلَؤُوا السَّمَاءَ ، قَالَ آدَمُ </w:t>
      </w:r>
      <w:r w:rsidRPr="0003660B">
        <w:rPr>
          <w:rStyle w:val="libAlaemChar"/>
          <w:rtl/>
        </w:rPr>
        <w:t>عليه‌السلام</w:t>
      </w:r>
      <w:r w:rsidRPr="00C9040A">
        <w:rPr>
          <w:rtl/>
          <w:lang w:bidi="fa-IR"/>
        </w:rPr>
        <w:t xml:space="preserve"> : يَا رَبِّ ، مَا أَكْثَرَ ذُرِّيَّتِي</w:t>
      </w:r>
      <w:r>
        <w:rPr>
          <w:rtl/>
          <w:lang w:bidi="fa-IR"/>
        </w:rPr>
        <w:t>!</w:t>
      </w:r>
      <w:r w:rsidRPr="00C9040A">
        <w:rPr>
          <w:rtl/>
          <w:lang w:bidi="fa-IR"/>
        </w:rPr>
        <w:t xml:space="preserve"> وَلِأَمْرٍ مَا خَلَقْتَهُمْ</w:t>
      </w:r>
      <w:r>
        <w:rPr>
          <w:rtl/>
          <w:lang w:bidi="fa-IR"/>
        </w:rPr>
        <w:t>؟</w:t>
      </w:r>
      <w:r w:rsidRPr="00C9040A">
        <w:rPr>
          <w:rtl/>
          <w:lang w:bidi="fa-IR"/>
        </w:rPr>
        <w:t xml:space="preserve"> فَمَا تُرِيدُ مِنْهُمْ بِأَخْذِكَ الْمِيثَاقَ عَلَيْهِمْ</w:t>
      </w:r>
      <w:r>
        <w:rPr>
          <w:rtl/>
          <w:lang w:bidi="fa-IR"/>
        </w:rPr>
        <w:t>؟</w:t>
      </w:r>
    </w:p>
    <w:p w:rsidR="008A74EB" w:rsidRPr="00C9040A" w:rsidRDefault="008A74EB" w:rsidP="008A74EB">
      <w:pPr>
        <w:pStyle w:val="libNormal"/>
        <w:rPr>
          <w:rtl/>
          <w:lang w:bidi="fa-IR"/>
        </w:rPr>
      </w:pPr>
      <w:r w:rsidRPr="00C9040A">
        <w:rPr>
          <w:rtl/>
          <w:lang w:bidi="fa-IR"/>
        </w:rPr>
        <w:t xml:space="preserve">قَالَ اللهُ عَزَّ وَجَلَّ : </w:t>
      </w:r>
      <w:r w:rsidRPr="0003660B">
        <w:rPr>
          <w:rStyle w:val="libAlaemChar"/>
          <w:rtl/>
        </w:rPr>
        <w:t>(</w:t>
      </w:r>
      <w:r w:rsidRPr="006A2246">
        <w:rPr>
          <w:rStyle w:val="libAieChar"/>
          <w:rtl/>
        </w:rPr>
        <w:t xml:space="preserve"> يَعْبُدُونَنِي ل</w:t>
      </w:r>
      <w:r w:rsidR="00824BE2">
        <w:rPr>
          <w:rStyle w:val="libAieChar"/>
          <w:rFonts w:hint="cs"/>
          <w:rtl/>
        </w:rPr>
        <w:t>َ</w:t>
      </w:r>
      <w:r w:rsidRPr="006A2246">
        <w:rPr>
          <w:rStyle w:val="libAieChar"/>
          <w:rtl/>
        </w:rPr>
        <w:t xml:space="preserve">ا يُشْرِكُونَ بِي شَيْئاً </w:t>
      </w:r>
      <w:r w:rsidRPr="0003660B">
        <w:rPr>
          <w:rStyle w:val="libAlaemChar"/>
          <w:rtl/>
        </w:rPr>
        <w:t>)</w:t>
      </w:r>
      <w:r w:rsidRPr="00C9040A">
        <w:rPr>
          <w:rtl/>
          <w:lang w:bidi="fa-IR"/>
        </w:rPr>
        <w:t xml:space="preserve"> </w:t>
      </w:r>
      <w:r w:rsidR="006C577F" w:rsidRPr="006C577F">
        <w:rPr>
          <w:rStyle w:val="libFootnotenumChar"/>
          <w:rtl/>
        </w:rPr>
        <w:t>(9)</w:t>
      </w:r>
      <w:r w:rsidRPr="00C9040A">
        <w:rPr>
          <w:rtl/>
          <w:lang w:bidi="fa-IR"/>
        </w:rPr>
        <w:t xml:space="preserve"> وَيُؤْمِنُونَ </w:t>
      </w:r>
      <w:r w:rsidR="006C577F" w:rsidRPr="006C577F">
        <w:rPr>
          <w:rStyle w:val="libFootnotenumChar"/>
          <w:rtl/>
        </w:rPr>
        <w:t>(10)</w:t>
      </w:r>
      <w:r w:rsidRPr="00C9040A">
        <w:rPr>
          <w:rtl/>
          <w:lang w:bidi="fa-IR"/>
        </w:rPr>
        <w:t xml:space="preserve"> بِرُسُلِي ، وَيَتَّبِعُونَهُمْ.</w:t>
      </w:r>
    </w:p>
    <w:p w:rsidR="008A74EB" w:rsidRPr="00C9040A" w:rsidRDefault="008A74EB" w:rsidP="008A74EB">
      <w:pPr>
        <w:pStyle w:val="libNormal"/>
        <w:rPr>
          <w:rtl/>
          <w:lang w:bidi="fa-IR"/>
        </w:rPr>
      </w:pPr>
      <w:r w:rsidRPr="00C9040A">
        <w:rPr>
          <w:rtl/>
          <w:lang w:bidi="fa-IR"/>
        </w:rPr>
        <w:t xml:space="preserve">قَالَ آدَمُ </w:t>
      </w:r>
      <w:r w:rsidRPr="0003660B">
        <w:rPr>
          <w:rStyle w:val="libAlaemChar"/>
          <w:rtl/>
        </w:rPr>
        <w:t>عليه‌السلام</w:t>
      </w:r>
      <w:r w:rsidRPr="00C9040A">
        <w:rPr>
          <w:rtl/>
          <w:lang w:bidi="fa-IR"/>
        </w:rPr>
        <w:t xml:space="preserve"> : يَا رَبِّ ، فَمَا لِي أَرى بَعْضَ الذَّرِّ أَعْظَمَ مِنْ بَعْضٍ ، وَبَعْضَهُمْ لَهُ نُورٌ كَثِيرٌ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 ص » : « ربّنا » بدل « يا ربّ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هكذا في « ب ، ج ، د ، ز ، ص ، ض ، ف ، </w:t>
      </w:r>
      <w:r w:rsidR="006D3162">
        <w:rPr>
          <w:rtl/>
        </w:rPr>
        <w:t xml:space="preserve">ه </w:t>
      </w:r>
      <w:r w:rsidR="008A74EB" w:rsidRPr="00C9040A">
        <w:rPr>
          <w:rtl/>
        </w:rPr>
        <w:t>، بر ، بس ، بف » والبحار والبصائر. وفي المطبوع : « فادخلوا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ض » : « ثَمَّ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ض ، بس » : « ثبت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بصائر الدرجات</w:t>
      </w:r>
      <w:r w:rsidR="008A74EB" w:rsidRPr="00C9040A">
        <w:rPr>
          <w:rtl/>
        </w:rPr>
        <w:t xml:space="preserve"> ، ص 70 ، ح 2 ، عن أحمد بن محمّد</w:t>
      </w:r>
      <w:r w:rsidR="00824BE2">
        <w:rPr>
          <w:rFonts w:hint="cs"/>
          <w:rtl/>
        </w:rPr>
        <w:t>.</w:t>
      </w:r>
      <w:r w:rsidR="008A74EB" w:rsidRPr="00993B55">
        <w:rPr>
          <w:rStyle w:val="libFootnoteBoldChar"/>
          <w:rtl/>
        </w:rPr>
        <w:t>الوافي</w:t>
      </w:r>
      <w:r w:rsidR="008A74EB" w:rsidRPr="00C9040A">
        <w:rPr>
          <w:rtl/>
        </w:rPr>
        <w:t xml:space="preserve"> ، ج 4 ، ص 41 ، ح 1657 ؛ </w:t>
      </w:r>
      <w:r w:rsidR="008A74EB" w:rsidRPr="00993B55">
        <w:rPr>
          <w:rStyle w:val="libFootnoteBoldChar"/>
          <w:rtl/>
        </w:rPr>
        <w:t>البحار</w:t>
      </w:r>
      <w:r w:rsidR="008A74EB" w:rsidRPr="00C9040A">
        <w:rPr>
          <w:rtl/>
        </w:rPr>
        <w:t xml:space="preserve"> ، ج 67 ، ص 113 ، ح 23.</w:t>
      </w:r>
    </w:p>
    <w:p w:rsidR="008A74EB" w:rsidRPr="00C9040A" w:rsidRDefault="006C577F" w:rsidP="004A4E41">
      <w:pPr>
        <w:pStyle w:val="libFootnote0"/>
        <w:rPr>
          <w:rtl/>
          <w:lang w:bidi="fa-IR"/>
        </w:rPr>
      </w:pPr>
      <w:r>
        <w:rPr>
          <w:rtl/>
        </w:rPr>
        <w:t>(6).</w:t>
      </w:r>
      <w:r w:rsidR="008A74EB">
        <w:rPr>
          <w:rtl/>
        </w:rPr>
        <w:t xml:space="preserve"> </w:t>
      </w:r>
      <w:r w:rsidR="00824BE2">
        <w:rPr>
          <w:rtl/>
        </w:rPr>
        <w:t>في « ب » : +</w:t>
      </w:r>
      <w:r w:rsidR="008A74EB" w:rsidRPr="00C9040A">
        <w:rPr>
          <w:rtl/>
        </w:rPr>
        <w:t xml:space="preserve"> « عن »</w:t>
      </w:r>
      <w:r w:rsidR="008A74EB">
        <w:rPr>
          <w:rtl/>
        </w:rPr>
        <w:t>.</w:t>
      </w:r>
      <w:r w:rsidR="008A74EB" w:rsidRPr="00C9040A">
        <w:rPr>
          <w:rtl/>
        </w:rPr>
        <w:t xml:space="preserve"> هذا ، والعاطف يعطف « عليّ بن إبراهيم ، عن أبيه » على « محمّد بن يحيى ، عن أحمد بن‌محمّد » ، وأحمد بن محمّد وإبراهيم بن هاشم والد عليّ يرويان عن الحسن بن محبوب ، فيكون في السند تحويل.</w:t>
      </w:r>
    </w:p>
    <w:p w:rsidR="008A74EB" w:rsidRPr="00C9040A" w:rsidRDefault="006C577F" w:rsidP="004A4E41">
      <w:pPr>
        <w:pStyle w:val="libFootnote0"/>
        <w:rPr>
          <w:rtl/>
          <w:lang w:bidi="fa-IR"/>
        </w:rPr>
      </w:pPr>
      <w:r>
        <w:rPr>
          <w:rtl/>
        </w:rPr>
        <w:t>(7).</w:t>
      </w:r>
      <w:r w:rsidR="008A74EB" w:rsidRPr="00C9040A">
        <w:rPr>
          <w:rtl/>
        </w:rPr>
        <w:t xml:space="preserve"> في هامش المطبوع عن بعض النسخ : « من صلبه »</w:t>
      </w:r>
      <w:r w:rsidR="008A74EB">
        <w:rPr>
          <w:rtl/>
        </w:rPr>
        <w:t>.</w:t>
      </w:r>
    </w:p>
    <w:p w:rsidR="008A74EB" w:rsidRPr="004A4E41" w:rsidRDefault="006C577F" w:rsidP="00B866D3">
      <w:pPr>
        <w:pStyle w:val="libFootnote0"/>
        <w:rPr>
          <w:rStyle w:val="libFootnote0Char"/>
          <w:rtl/>
        </w:rPr>
      </w:pPr>
      <w:r>
        <w:rPr>
          <w:rtl/>
        </w:rPr>
        <w:t>(8).</w:t>
      </w:r>
      <w:r w:rsidR="008A74EB" w:rsidRPr="00C9040A">
        <w:rPr>
          <w:rtl/>
        </w:rPr>
        <w:t xml:space="preserve"> هكذا في « ب ، د ، ز ، ص ، ف ، </w:t>
      </w:r>
      <w:r w:rsidR="008A74EB">
        <w:rPr>
          <w:rtl/>
        </w:rPr>
        <w:t>ه</w:t>
      </w:r>
      <w:r w:rsidR="008A74EB" w:rsidRPr="00C9040A">
        <w:rPr>
          <w:rtl/>
        </w:rPr>
        <w:t xml:space="preserve"> ، بر ، بس ، بف »</w:t>
      </w:r>
      <w:r w:rsidR="008A74EB">
        <w:rPr>
          <w:rtl/>
        </w:rPr>
        <w:t>.</w:t>
      </w:r>
      <w:r w:rsidR="008A74EB" w:rsidRPr="00C9040A">
        <w:rPr>
          <w:rtl/>
        </w:rPr>
        <w:t xml:space="preserve"> وفي قليل من النسخ والمطبوع : « </w:t>
      </w:r>
      <w:r w:rsidR="00B866D3" w:rsidRPr="00B866D3">
        <w:rPr>
          <w:rStyle w:val="libFootnoteAlaemChar"/>
          <w:rFonts w:eastAsiaTheme="minorHAnsi"/>
          <w:rtl/>
        </w:rPr>
        <w:t>صلى‌الله‌عليه‌وآله‌وسلم</w:t>
      </w:r>
      <w:r w:rsidR="00B866D3" w:rsidRPr="00C9040A">
        <w:rPr>
          <w:rtl/>
        </w:rPr>
        <w:t xml:space="preserve"> </w:t>
      </w:r>
      <w:r w:rsidR="008A74EB" w:rsidRPr="00C9040A">
        <w:rPr>
          <w:rtl/>
        </w:rPr>
        <w:t>»</w:t>
      </w:r>
      <w:r w:rsidR="008A74EB">
        <w:rPr>
          <w:rtl/>
        </w:rPr>
        <w:t>.</w:t>
      </w:r>
    </w:p>
    <w:tbl>
      <w:tblPr>
        <w:tblStyle w:val="TableGrid"/>
        <w:bidiVisual/>
        <w:tblW w:w="0" w:type="auto"/>
        <w:tblLook w:val="04A0" w:firstRow="1" w:lastRow="0" w:firstColumn="1" w:lastColumn="0" w:noHBand="0" w:noVBand="1"/>
      </w:tblPr>
      <w:tblGrid>
        <w:gridCol w:w="4006"/>
        <w:gridCol w:w="4006"/>
      </w:tblGrid>
      <w:tr w:rsidR="00824BE2" w:rsidTr="00824BE2">
        <w:tc>
          <w:tcPr>
            <w:tcW w:w="4006" w:type="dxa"/>
          </w:tcPr>
          <w:p w:rsidR="00824BE2" w:rsidRDefault="006C577F" w:rsidP="004A4E41">
            <w:pPr>
              <w:pStyle w:val="libFootnote0"/>
              <w:rPr>
                <w:rtl/>
                <w:lang w:bidi="fa-IR"/>
              </w:rPr>
            </w:pPr>
            <w:r>
              <w:rPr>
                <w:rtl/>
              </w:rPr>
              <w:t>(9).</w:t>
            </w:r>
            <w:r w:rsidR="00824BE2" w:rsidRPr="00C9040A">
              <w:rPr>
                <w:rtl/>
              </w:rPr>
              <w:t xml:space="preserve"> النور (24) : 55.</w:t>
            </w:r>
          </w:p>
        </w:tc>
        <w:tc>
          <w:tcPr>
            <w:tcW w:w="4006" w:type="dxa"/>
          </w:tcPr>
          <w:p w:rsidR="00824BE2" w:rsidRDefault="006C577F" w:rsidP="004A4E41">
            <w:pPr>
              <w:pStyle w:val="libFootnote0"/>
              <w:rPr>
                <w:rtl/>
                <w:lang w:bidi="fa-IR"/>
              </w:rPr>
            </w:pPr>
            <w:r>
              <w:rPr>
                <w:rtl/>
              </w:rPr>
              <w:t>(10).</w:t>
            </w:r>
            <w:r w:rsidR="00824BE2">
              <w:rPr>
                <w:rtl/>
              </w:rPr>
              <w:t xml:space="preserve"> في « ف » : + </w:t>
            </w:r>
            <w:r w:rsidR="00824BE2" w:rsidRPr="00C9040A">
              <w:rPr>
                <w:rtl/>
              </w:rPr>
              <w:t xml:space="preserve">« بي </w:t>
            </w:r>
            <w:r w:rsidR="00824BE2">
              <w:rPr>
                <w:rtl/>
              </w:rPr>
              <w:t>و ».</w:t>
            </w:r>
          </w:p>
        </w:tc>
      </w:tr>
    </w:tbl>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وَبَعْضَهُمْ لَهُ نُورٌ قَلِيلٌ ، وَبَعْضَهُمْ لَيْسَ لَهُ نُورٌ </w:t>
      </w:r>
      <w:r w:rsidR="006C577F" w:rsidRPr="006C577F">
        <w:rPr>
          <w:rStyle w:val="libFootnotenumChar"/>
          <w:rtl/>
        </w:rPr>
        <w:t>(1)</w:t>
      </w:r>
      <w:r w:rsidRPr="00C9040A">
        <w:rPr>
          <w:rtl/>
          <w:lang w:bidi="fa-IR"/>
        </w:rPr>
        <w:t>؟</w:t>
      </w:r>
    </w:p>
    <w:p w:rsidR="008A74EB" w:rsidRPr="00C9040A" w:rsidRDefault="008A74EB" w:rsidP="008A74EB">
      <w:pPr>
        <w:pStyle w:val="libNormal"/>
        <w:rPr>
          <w:rtl/>
          <w:lang w:bidi="fa-IR"/>
        </w:rPr>
      </w:pPr>
      <w:r w:rsidRPr="00C9040A">
        <w:rPr>
          <w:rtl/>
          <w:lang w:bidi="fa-IR"/>
        </w:rPr>
        <w:t xml:space="preserve">فَقَالَ اللهُ عَزَّ وَجَلَّ : كَذلِكَ </w:t>
      </w:r>
      <w:r w:rsidR="006C577F" w:rsidRPr="006C577F">
        <w:rPr>
          <w:rStyle w:val="libFootnotenumChar"/>
          <w:rtl/>
        </w:rPr>
        <w:t>(2)</w:t>
      </w:r>
      <w:r w:rsidRPr="00C9040A">
        <w:rPr>
          <w:rtl/>
          <w:lang w:bidi="fa-IR"/>
        </w:rPr>
        <w:t xml:space="preserve"> خَلَقْتُهُمْ لِأَبْلُوَهُمْ فِي كُلِّ حَالَاتِهِمْ.</w:t>
      </w:r>
    </w:p>
    <w:p w:rsidR="008A74EB" w:rsidRPr="00C9040A" w:rsidRDefault="008A74EB" w:rsidP="008A74EB">
      <w:pPr>
        <w:pStyle w:val="libNormal"/>
        <w:rPr>
          <w:rtl/>
          <w:lang w:bidi="fa-IR"/>
        </w:rPr>
      </w:pPr>
      <w:r w:rsidRPr="00C9040A">
        <w:rPr>
          <w:rtl/>
          <w:lang w:bidi="fa-IR"/>
        </w:rPr>
        <w:t xml:space="preserve">قَالَ آدَمُ </w:t>
      </w:r>
      <w:r w:rsidRPr="0003660B">
        <w:rPr>
          <w:rStyle w:val="libAlaemChar"/>
          <w:rtl/>
        </w:rPr>
        <w:t>عليه‌السلام</w:t>
      </w:r>
      <w:r w:rsidRPr="00C9040A">
        <w:rPr>
          <w:rtl/>
          <w:lang w:bidi="fa-IR"/>
        </w:rPr>
        <w:t xml:space="preserve"> : يَا رَبِّ ، فَتَأْذَنُ لِي فِي الْكَلَامِ ؛ فَأَتَكَلَّمَ</w:t>
      </w:r>
      <w:r>
        <w:rPr>
          <w:rtl/>
          <w:lang w:bidi="fa-IR"/>
        </w:rPr>
        <w:t>؟</w:t>
      </w:r>
    </w:p>
    <w:p w:rsidR="008A74EB" w:rsidRPr="00C9040A" w:rsidRDefault="008A74EB" w:rsidP="008A74EB">
      <w:pPr>
        <w:pStyle w:val="libNormal"/>
        <w:rPr>
          <w:rtl/>
          <w:lang w:bidi="fa-IR"/>
        </w:rPr>
      </w:pPr>
      <w:r w:rsidRPr="00C9040A">
        <w:rPr>
          <w:rtl/>
          <w:lang w:bidi="fa-IR"/>
        </w:rPr>
        <w:t xml:space="preserve">قَالَ اللهُ عَزَّ وَجَلَّ : تَكَلَّمْ ؛ فَإِنَّ رُوحَكَ مِنْ رُوحِي ، وَطَبِيعَتَكَ </w:t>
      </w:r>
      <w:r w:rsidR="006C577F" w:rsidRPr="006C577F">
        <w:rPr>
          <w:rStyle w:val="libFootnotenumChar"/>
          <w:rtl/>
        </w:rPr>
        <w:t>(3)</w:t>
      </w:r>
      <w:r w:rsidRPr="00C9040A">
        <w:rPr>
          <w:rtl/>
          <w:lang w:bidi="fa-IR"/>
        </w:rPr>
        <w:t xml:space="preserve"> خِلَافُ </w:t>
      </w:r>
      <w:r w:rsidR="006C577F" w:rsidRPr="006C577F">
        <w:rPr>
          <w:rStyle w:val="libFootnotenumChar"/>
          <w:rtl/>
        </w:rPr>
        <w:t>(4)</w:t>
      </w:r>
      <w:r w:rsidRPr="00C9040A">
        <w:rPr>
          <w:rtl/>
          <w:lang w:bidi="fa-IR"/>
        </w:rPr>
        <w:t xml:space="preserve"> كَيْنُونَتِي </w:t>
      </w:r>
      <w:r w:rsidR="006C577F" w:rsidRPr="006C577F">
        <w:rPr>
          <w:rStyle w:val="libFootnotenumChar"/>
          <w:rtl/>
        </w:rPr>
        <w:t>(5)</w:t>
      </w:r>
      <w:r w:rsidR="00B72A58" w:rsidRPr="00B72A58">
        <w:rPr>
          <w:rFonts w:hint="cs"/>
          <w:rtl/>
        </w:rPr>
        <w:t>.</w:t>
      </w:r>
    </w:p>
    <w:p w:rsidR="008A74EB" w:rsidRPr="00C9040A" w:rsidRDefault="008A74EB" w:rsidP="008A74EB">
      <w:pPr>
        <w:pStyle w:val="libNormal"/>
        <w:rPr>
          <w:rtl/>
          <w:lang w:bidi="fa-IR"/>
        </w:rPr>
      </w:pPr>
      <w:r w:rsidRPr="00C9040A">
        <w:rPr>
          <w:rtl/>
          <w:lang w:bidi="fa-IR"/>
        </w:rPr>
        <w:t xml:space="preserve">قَالَ آدَمُ : يَا رَبِّ </w:t>
      </w:r>
      <w:r w:rsidR="006C577F" w:rsidRPr="006C577F">
        <w:rPr>
          <w:rStyle w:val="libFootnotenumChar"/>
          <w:rtl/>
        </w:rPr>
        <w:t>(6)</w:t>
      </w:r>
      <w:r w:rsidRPr="00C9040A">
        <w:rPr>
          <w:rtl/>
          <w:lang w:bidi="fa-IR"/>
        </w:rPr>
        <w:t xml:space="preserve">، فَلَوْ كُنْتَ خَلَقْتَهُمْ عَلى مِثَالٍ وَاحِدٍ ، وَقَدْرٍ وَاحِدٍ ، وَطَبِيعَةٍ وَاحِدَةٍ ، وَجِبِلَّةٍ وَاحِدَةٍ ، وَأَلْوَانٍ وَاحِدَةٍ ، وَأَعْمَارٍ وَاحِدَةٍ ، وَأَرْزَاقٍ سَوَاءٍ ، لَمْ يَبْغِ بَعْضُهُمْ عَلى بَعْضٍ ، وَلَمْ يَكُنْ </w:t>
      </w:r>
      <w:r w:rsidR="006C577F" w:rsidRPr="006C577F">
        <w:rPr>
          <w:rStyle w:val="libFootnotenumChar"/>
          <w:rtl/>
        </w:rPr>
        <w:t>(7)</w:t>
      </w:r>
      <w:r w:rsidRPr="00C9040A">
        <w:rPr>
          <w:rtl/>
          <w:lang w:bidi="fa-IR"/>
        </w:rPr>
        <w:t xml:space="preserve"> بَيْنَهُمْ تَحَاسُدٌ وَلَا تَبَاغُضٌ ، وَلَا اخْتِلَافٌ فِي شَيْ‌ءٍ مِنَ الْأَشْيَاءِ.</w:t>
      </w:r>
    </w:p>
    <w:p w:rsidR="008A74EB" w:rsidRPr="00C9040A" w:rsidRDefault="008A74EB" w:rsidP="008A74EB">
      <w:pPr>
        <w:pStyle w:val="libNormal"/>
        <w:rPr>
          <w:rtl/>
          <w:lang w:bidi="fa-IR"/>
        </w:rPr>
      </w:pPr>
      <w:r w:rsidRPr="00C9040A">
        <w:rPr>
          <w:rtl/>
          <w:lang w:bidi="fa-IR"/>
        </w:rPr>
        <w:t xml:space="preserve">قَالَ اللهُ عَزَّ وَجَلَّ : يَا آدَمُ ، بِرُوحِي </w:t>
      </w:r>
      <w:r w:rsidR="006C577F" w:rsidRPr="006C577F">
        <w:rPr>
          <w:rStyle w:val="libFootnotenumChar"/>
          <w:rtl/>
        </w:rPr>
        <w:t>(8)</w:t>
      </w:r>
      <w:r w:rsidRPr="00C9040A">
        <w:rPr>
          <w:rtl/>
          <w:lang w:bidi="fa-IR"/>
        </w:rPr>
        <w:t xml:space="preserve"> نَطَقْتَ ، وَبِضَعْفِ طَبِيعَتِكَ </w:t>
      </w:r>
      <w:r w:rsidR="006C577F" w:rsidRPr="006C577F">
        <w:rPr>
          <w:rStyle w:val="libFootnotenumChar"/>
          <w:rtl/>
        </w:rPr>
        <w:t>(9)</w:t>
      </w:r>
      <w:r w:rsidRPr="00C9040A">
        <w:rPr>
          <w:rtl/>
          <w:lang w:bidi="fa-IR"/>
        </w:rPr>
        <w:t xml:space="preserve"> تَكَلَّفْتَ </w:t>
      </w:r>
      <w:r w:rsidR="006C577F" w:rsidRPr="006C577F">
        <w:rPr>
          <w:rStyle w:val="libFootnotenumChar"/>
          <w:rtl/>
        </w:rPr>
        <w:t>(10)</w:t>
      </w:r>
      <w:r w:rsidRPr="00C9040A">
        <w:rPr>
          <w:rtl/>
          <w:lang w:bidi="fa-IR"/>
        </w:rPr>
        <w:t xml:space="preserve"> مَا لَاعِلْمَ لَكَ بِهِ ، وَأَنَا الْخَالِقُ الْعَالِمُ </w:t>
      </w:r>
      <w:r w:rsidR="006C577F" w:rsidRPr="006C577F">
        <w:rPr>
          <w:rStyle w:val="libFootnotenumChar"/>
          <w:rtl/>
        </w:rPr>
        <w:t>(11)</w:t>
      </w:r>
      <w:r w:rsidRPr="00C9040A">
        <w:rPr>
          <w:rtl/>
          <w:lang w:bidi="fa-IR"/>
        </w:rPr>
        <w:t xml:space="preserve"> ، بِعِلْمِي خَالَفْتُ بَيْنَ خَلْقِهِمْ </w:t>
      </w:r>
      <w:r w:rsidR="006C577F" w:rsidRPr="006C577F">
        <w:rPr>
          <w:rStyle w:val="libFootnotenumChar"/>
          <w:rtl/>
        </w:rPr>
        <w:t>(12)</w:t>
      </w:r>
      <w:r w:rsidRPr="00C9040A">
        <w:rPr>
          <w:rtl/>
          <w:lang w:bidi="fa-IR"/>
        </w:rPr>
        <w:t xml:space="preserve"> ، وَبِمَشِيئَتِي يَمْضِي </w:t>
      </w:r>
      <w:r w:rsidRPr="005B567D">
        <w:rPr>
          <w:rStyle w:val="libFootnotenumChar"/>
          <w:rtl/>
        </w:rPr>
        <w:t>(13)</w:t>
      </w:r>
      <w:r w:rsidRPr="00C9040A">
        <w:rPr>
          <w:rtl/>
          <w:lang w:bidi="fa-IR"/>
        </w:rPr>
        <w:t xml:space="preserve"> فِيهِمْ أَمْرِي ، وَإِلى تَدْبِيرِي وَتَقْدِيرِي </w:t>
      </w:r>
      <w:r w:rsidRPr="005B567D">
        <w:rPr>
          <w:rStyle w:val="libFootnotenumChar"/>
          <w:rtl/>
        </w:rPr>
        <w:t>(14)</w:t>
      </w:r>
      <w:r w:rsidRPr="00C9040A">
        <w:rPr>
          <w:rtl/>
          <w:lang w:bidi="fa-IR"/>
        </w:rPr>
        <w:t xml:space="preserve"> صَائِرُونَ ، لَا </w:t>
      </w:r>
      <w:r w:rsidRPr="005B567D">
        <w:rPr>
          <w:rStyle w:val="libFootnotenumChar"/>
          <w:rtl/>
        </w:rPr>
        <w:t>(15)</w:t>
      </w:r>
      <w:r w:rsidRPr="00C9040A">
        <w:rPr>
          <w:rtl/>
          <w:lang w:bidi="fa-IR"/>
        </w:rPr>
        <w:t xml:space="preserve"> تَبْدِيلَ لِخَلْقِي ، إِنَّمَا </w:t>
      </w:r>
      <w:r w:rsidRPr="005B567D">
        <w:rPr>
          <w:rStyle w:val="libFootnotenumChar"/>
          <w:rtl/>
        </w:rPr>
        <w:t>(16)</w:t>
      </w:r>
      <w:r w:rsidRPr="00C9040A">
        <w:rPr>
          <w:rtl/>
          <w:lang w:bidi="fa-IR"/>
        </w:rPr>
        <w:t xml:space="preserve"> خَلَقْتُ الْجِنَّ‌</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 </w:t>
      </w:r>
      <w:r w:rsidR="00B72A58">
        <w:rPr>
          <w:rtl/>
        </w:rPr>
        <w:t xml:space="preserve">ب » وحاشية « بف » والبحار : + </w:t>
      </w:r>
      <w:r w:rsidR="008A74EB" w:rsidRPr="00C9040A">
        <w:rPr>
          <w:rtl/>
        </w:rPr>
        <w:t>« أصلاً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w:t>
      </w:r>
      <w:r w:rsidR="008A74EB">
        <w:rPr>
          <w:rtl/>
        </w:rPr>
        <w:t>ه</w:t>
      </w:r>
      <w:r w:rsidR="008A74EB" w:rsidRPr="00C9040A">
        <w:rPr>
          <w:rtl/>
        </w:rPr>
        <w:t xml:space="preserve"> » : « لذلك »</w:t>
      </w:r>
      <w:r w:rsidR="008A74EB">
        <w:rPr>
          <w:rtl/>
        </w:rPr>
        <w:t>.</w:t>
      </w:r>
      <w:r w:rsidR="008A74EB" w:rsidRPr="00C9040A">
        <w:rPr>
          <w:rtl/>
        </w:rPr>
        <w:t xml:space="preserve"> وفي حاشية « ج » : « ولذلك »</w:t>
      </w:r>
      <w:r w:rsidR="008A74EB">
        <w:rPr>
          <w:rtl/>
        </w:rPr>
        <w:t>.</w:t>
      </w:r>
      <w:r w:rsidR="008A74EB" w:rsidRPr="00C9040A">
        <w:rPr>
          <w:rtl/>
        </w:rPr>
        <w:t xml:space="preserve"> وفي مرآة العقول والبحار : « وكذلك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هكذا في جميع النسخ. وفي المطبوع : + « [ من ] »</w:t>
      </w:r>
      <w:r w:rsidR="008A74EB">
        <w:rPr>
          <w:rtl/>
        </w:rPr>
        <w:t>.</w:t>
      </w:r>
      <w:r w:rsidR="008A74EB" w:rsidRPr="00C9040A">
        <w:rPr>
          <w:rtl/>
        </w:rPr>
        <w:t xml:space="preserve"> </w:t>
      </w:r>
      <w:r w:rsidR="008A74EB">
        <w:rPr>
          <w:rtl/>
        </w:rPr>
        <w:t>و «</w:t>
      </w:r>
      <w:r w:rsidR="008A74EB" w:rsidRPr="00C9040A">
        <w:rPr>
          <w:rtl/>
        </w:rPr>
        <w:t xml:space="preserve"> الطبع » : الجبلّة التي خلق الإنسان عليها. </w:t>
      </w:r>
      <w:r w:rsidR="008A74EB">
        <w:rPr>
          <w:rtl/>
        </w:rPr>
        <w:t>و «</w:t>
      </w:r>
      <w:r w:rsidR="008A74EB" w:rsidRPr="00C9040A">
        <w:rPr>
          <w:rtl/>
        </w:rPr>
        <w:t xml:space="preserve"> الطبيعة » : مزاج الإنسان المركّب من الأخلاط. </w:t>
      </w:r>
      <w:r w:rsidR="008A74EB" w:rsidRPr="00993B55">
        <w:rPr>
          <w:rStyle w:val="libFootnoteBoldChar"/>
          <w:rtl/>
        </w:rPr>
        <w:t>المصباح المنير</w:t>
      </w:r>
      <w:r w:rsidR="008A74EB" w:rsidRPr="00C9040A">
        <w:rPr>
          <w:rtl/>
        </w:rPr>
        <w:t xml:space="preserve"> ، ص 369 ( طبع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ف » : « بخلاف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ج ، د ، </w:t>
      </w:r>
      <w:r w:rsidR="008A74EB">
        <w:rPr>
          <w:rtl/>
        </w:rPr>
        <w:t>ه</w:t>
      </w:r>
      <w:r w:rsidR="008A74EB" w:rsidRPr="00C9040A">
        <w:rPr>
          <w:rtl/>
        </w:rPr>
        <w:t xml:space="preserve"> » وحاشية « بر » والوافي : « كينونيّتي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 ب » والبحار </w:t>
      </w:r>
      <w:r w:rsidR="008A74EB">
        <w:rPr>
          <w:rtl/>
        </w:rPr>
        <w:t xml:space="preserve">: </w:t>
      </w:r>
      <w:r w:rsidR="0084262C">
        <w:rPr>
          <w:rtl/>
        </w:rPr>
        <w:t>-</w:t>
      </w:r>
      <w:r w:rsidR="00B72A58">
        <w:rPr>
          <w:rtl/>
        </w:rPr>
        <w:t xml:space="preserve"> </w:t>
      </w:r>
      <w:r w:rsidR="008A74EB" w:rsidRPr="00C9040A">
        <w:rPr>
          <w:rtl/>
        </w:rPr>
        <w:t>« يا ربّ »</w:t>
      </w:r>
      <w:r w:rsidR="008A74EB">
        <w:rPr>
          <w:rtl/>
        </w:rPr>
        <w:t>.</w:t>
      </w:r>
    </w:p>
    <w:p w:rsidR="008A74EB" w:rsidRPr="004A4E41" w:rsidRDefault="006C577F" w:rsidP="004A4E41">
      <w:pPr>
        <w:pStyle w:val="libFootnote0"/>
        <w:rPr>
          <w:rStyle w:val="libFootnote0Char"/>
          <w:rtl/>
        </w:rPr>
      </w:pPr>
      <w:r>
        <w:rPr>
          <w:rtl/>
        </w:rPr>
        <w:t>(7).</w:t>
      </w:r>
      <w:r w:rsidR="008A74EB" w:rsidRPr="00C9040A">
        <w:rPr>
          <w:rtl/>
        </w:rPr>
        <w:t xml:space="preserve"> في البحار : « ولم يك »</w:t>
      </w:r>
      <w:r w:rsidR="008A74EB">
        <w:rPr>
          <w:rtl/>
        </w:rPr>
        <w:t>.</w:t>
      </w:r>
    </w:p>
    <w:tbl>
      <w:tblPr>
        <w:tblStyle w:val="TableGrid"/>
        <w:bidiVisual/>
        <w:tblW w:w="0" w:type="auto"/>
        <w:tblLook w:val="04A0" w:firstRow="1" w:lastRow="0" w:firstColumn="1" w:lastColumn="0" w:noHBand="0" w:noVBand="1"/>
      </w:tblPr>
      <w:tblGrid>
        <w:gridCol w:w="4006"/>
        <w:gridCol w:w="4006"/>
      </w:tblGrid>
      <w:tr w:rsidR="00B72A58" w:rsidTr="00B72A58">
        <w:tc>
          <w:tcPr>
            <w:tcW w:w="4006" w:type="dxa"/>
          </w:tcPr>
          <w:p w:rsidR="00B72A58" w:rsidRDefault="006C577F" w:rsidP="004A4E41">
            <w:pPr>
              <w:pStyle w:val="libFootnote0"/>
              <w:rPr>
                <w:rtl/>
              </w:rPr>
            </w:pPr>
            <w:r>
              <w:rPr>
                <w:rtl/>
              </w:rPr>
              <w:t>(8).</w:t>
            </w:r>
            <w:r w:rsidR="00B72A58" w:rsidRPr="00C9040A">
              <w:rPr>
                <w:rtl/>
              </w:rPr>
              <w:t xml:space="preserve"> في الاختصاص : « بوحيي »</w:t>
            </w:r>
            <w:r w:rsidR="00B72A58">
              <w:rPr>
                <w:rtl/>
              </w:rPr>
              <w:t>.</w:t>
            </w:r>
          </w:p>
        </w:tc>
        <w:tc>
          <w:tcPr>
            <w:tcW w:w="4006" w:type="dxa"/>
          </w:tcPr>
          <w:p w:rsidR="00B72A58" w:rsidRDefault="006C577F" w:rsidP="004A4E41">
            <w:pPr>
              <w:pStyle w:val="libFootnote0"/>
              <w:rPr>
                <w:rtl/>
              </w:rPr>
            </w:pPr>
            <w:r>
              <w:rPr>
                <w:rtl/>
              </w:rPr>
              <w:t>(9).</w:t>
            </w:r>
            <w:r w:rsidR="00B72A58" w:rsidRPr="00C9040A">
              <w:rPr>
                <w:rtl/>
              </w:rPr>
              <w:t xml:space="preserve"> في « ز » وحاشية « بر » : « قوّتك »</w:t>
            </w:r>
            <w:r w:rsidR="00B72A58">
              <w:rPr>
                <w:rtl/>
              </w:rPr>
              <w:t>.</w:t>
            </w:r>
          </w:p>
        </w:tc>
      </w:tr>
    </w:tbl>
    <w:p w:rsidR="008A74EB" w:rsidRPr="00C9040A" w:rsidRDefault="006C577F" w:rsidP="004A4E41">
      <w:pPr>
        <w:pStyle w:val="libFootnote0"/>
        <w:rPr>
          <w:rtl/>
          <w:lang w:bidi="fa-IR"/>
        </w:rPr>
      </w:pPr>
      <w:r>
        <w:rPr>
          <w:rtl/>
        </w:rPr>
        <w:t>(10).</w:t>
      </w:r>
      <w:r w:rsidR="008A74EB" w:rsidRPr="00C9040A">
        <w:rPr>
          <w:rtl/>
        </w:rPr>
        <w:t xml:space="preserve"> في « ف » والبحار : « تكلّمت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في « ب ، ج ، ص ، ف ، </w:t>
      </w:r>
      <w:r w:rsidR="008A74EB">
        <w:rPr>
          <w:rtl/>
        </w:rPr>
        <w:t>ه</w:t>
      </w:r>
      <w:r w:rsidR="008A74EB" w:rsidRPr="00C9040A">
        <w:rPr>
          <w:rtl/>
        </w:rPr>
        <w:t xml:space="preserve"> ، بر ، بس ، بف » وشرح المازندراني والوافي والبحار والعلل والاختصاص : « العليم »</w:t>
      </w:r>
      <w:r w:rsidR="008A74EB">
        <w:rPr>
          <w:rtl/>
        </w:rPr>
        <w:t>.</w:t>
      </w:r>
    </w:p>
    <w:p w:rsidR="008A74EB" w:rsidRPr="004A4E41" w:rsidRDefault="006C577F" w:rsidP="004A4E41">
      <w:pPr>
        <w:pStyle w:val="libFootnote0"/>
        <w:rPr>
          <w:rStyle w:val="libFootnote0Char"/>
          <w:rtl/>
        </w:rPr>
      </w:pPr>
      <w:r>
        <w:rPr>
          <w:rtl/>
        </w:rPr>
        <w:t>(12).</w:t>
      </w:r>
      <w:r w:rsidR="008A74EB" w:rsidRPr="00C9040A">
        <w:rPr>
          <w:rtl/>
        </w:rPr>
        <w:t xml:space="preserve"> في حاشية « ز » : « بعلمي خلقتهم » بدل « بعلمي خالفت بين خلقهم »</w:t>
      </w:r>
      <w:r w:rsidR="008A74EB">
        <w:rPr>
          <w:rtl/>
        </w:rPr>
        <w:t>.</w:t>
      </w:r>
    </w:p>
    <w:tbl>
      <w:tblPr>
        <w:tblStyle w:val="TableGrid"/>
        <w:bidiVisual/>
        <w:tblW w:w="0" w:type="auto"/>
        <w:tblLook w:val="04A0" w:firstRow="1" w:lastRow="0" w:firstColumn="1" w:lastColumn="0" w:noHBand="0" w:noVBand="1"/>
      </w:tblPr>
      <w:tblGrid>
        <w:gridCol w:w="4006"/>
        <w:gridCol w:w="4006"/>
      </w:tblGrid>
      <w:tr w:rsidR="00B72A58" w:rsidTr="00B72A58">
        <w:tc>
          <w:tcPr>
            <w:tcW w:w="4006" w:type="dxa"/>
          </w:tcPr>
          <w:p w:rsidR="00B72A58" w:rsidRDefault="00B72A58" w:rsidP="004A4E41">
            <w:pPr>
              <w:pStyle w:val="libFootnote0"/>
              <w:rPr>
                <w:rtl/>
              </w:rPr>
            </w:pPr>
            <w:r>
              <w:rPr>
                <w:rtl/>
              </w:rPr>
              <w:t>(13)</w:t>
            </w:r>
            <w:r w:rsidRPr="00C9040A">
              <w:rPr>
                <w:rtl/>
              </w:rPr>
              <w:t xml:space="preserve"> في « ف » : « نمضي »</w:t>
            </w:r>
            <w:r>
              <w:rPr>
                <w:rtl/>
              </w:rPr>
              <w:t>.</w:t>
            </w:r>
          </w:p>
        </w:tc>
        <w:tc>
          <w:tcPr>
            <w:tcW w:w="4006" w:type="dxa"/>
          </w:tcPr>
          <w:p w:rsidR="00B72A58" w:rsidRDefault="00B72A58" w:rsidP="004A4E41">
            <w:pPr>
              <w:pStyle w:val="libFootnote0"/>
              <w:rPr>
                <w:rtl/>
              </w:rPr>
            </w:pPr>
            <w:r>
              <w:rPr>
                <w:rtl/>
              </w:rPr>
              <w:t xml:space="preserve">(14) في « ز » : + </w:t>
            </w:r>
            <w:r w:rsidRPr="00C9040A">
              <w:rPr>
                <w:rtl/>
              </w:rPr>
              <w:t>« وأمري »</w:t>
            </w:r>
            <w:r>
              <w:rPr>
                <w:rtl/>
              </w:rPr>
              <w:t>.</w:t>
            </w:r>
          </w:p>
        </w:tc>
      </w:tr>
      <w:tr w:rsidR="00B72A58" w:rsidTr="00B72A58">
        <w:tc>
          <w:tcPr>
            <w:tcW w:w="4006" w:type="dxa"/>
          </w:tcPr>
          <w:p w:rsidR="00B72A58" w:rsidRDefault="005554BD" w:rsidP="004A4E41">
            <w:pPr>
              <w:pStyle w:val="libFootnote0"/>
              <w:rPr>
                <w:rtl/>
              </w:rPr>
            </w:pPr>
            <w:r>
              <w:rPr>
                <w:rtl/>
              </w:rPr>
              <w:t>(15)</w:t>
            </w:r>
            <w:r w:rsidRPr="00C9040A">
              <w:rPr>
                <w:rtl/>
              </w:rPr>
              <w:t xml:space="preserve"> في « ف » والبحار : « ولا »</w:t>
            </w:r>
            <w:r>
              <w:rPr>
                <w:rtl/>
              </w:rPr>
              <w:t>.</w:t>
            </w:r>
          </w:p>
        </w:tc>
        <w:tc>
          <w:tcPr>
            <w:tcW w:w="4006" w:type="dxa"/>
          </w:tcPr>
          <w:p w:rsidR="00B72A58" w:rsidRDefault="005554BD" w:rsidP="004A4E41">
            <w:pPr>
              <w:pStyle w:val="libFootnote0"/>
              <w:rPr>
                <w:rtl/>
              </w:rPr>
            </w:pPr>
            <w:r>
              <w:rPr>
                <w:rtl/>
              </w:rPr>
              <w:t>(16)</w:t>
            </w:r>
            <w:r w:rsidRPr="00C9040A">
              <w:rPr>
                <w:rtl/>
              </w:rPr>
              <w:t xml:space="preserve"> في « ص » والو</w:t>
            </w:r>
            <w:r w:rsidR="009508E8">
              <w:rPr>
                <w:rtl/>
              </w:rPr>
              <w:t>افي والعلل والاختصاص :«وإنّما</w:t>
            </w:r>
            <w:r w:rsidRPr="00C9040A">
              <w:rPr>
                <w:rtl/>
              </w:rPr>
              <w:t>»</w:t>
            </w:r>
            <w:r>
              <w:rPr>
                <w:rtl/>
              </w:rPr>
              <w:t>.</w:t>
            </w:r>
          </w:p>
        </w:tc>
      </w:tr>
    </w:tbl>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والْإِنْسَ لِيَعْبُدُونِ </w:t>
      </w:r>
      <w:r w:rsidR="006C577F" w:rsidRPr="006C577F">
        <w:rPr>
          <w:rStyle w:val="libFootnotenumChar"/>
          <w:rtl/>
        </w:rPr>
        <w:t>(1)</w:t>
      </w:r>
      <w:r w:rsidRPr="00C9040A">
        <w:rPr>
          <w:rtl/>
          <w:lang w:bidi="fa-IR"/>
        </w:rPr>
        <w:t xml:space="preserve">، وَخَلَقْتُ الْجَنَّةَ لِمَنْ أَطَاعَنِي وَعَبَدَنِي </w:t>
      </w:r>
      <w:r w:rsidR="006C577F" w:rsidRPr="006C577F">
        <w:rPr>
          <w:rStyle w:val="libFootnotenumChar"/>
          <w:rtl/>
        </w:rPr>
        <w:t>(2)</w:t>
      </w:r>
      <w:r w:rsidRPr="00C9040A">
        <w:rPr>
          <w:rtl/>
          <w:lang w:bidi="fa-IR"/>
        </w:rPr>
        <w:t xml:space="preserve"> مِنْهُمْ وَاتَّبَعَ رُسُلِي وَلَا أُبَالِي ، وَخَلَقْتُ النَّارَ لِمَنْ كَفَرَ بِي وَعَصَانِي وَلَمْ يَتَّبِعْ رُسُلِي وَلَا أُبَالِي ، وَخَلَقْتُكَ وَخَلَقْتُ ذُرِّيَّتَكَ مِنْ غَيْرِ فَاقَةٍ </w:t>
      </w:r>
      <w:r w:rsidR="006C577F" w:rsidRPr="006C577F">
        <w:rPr>
          <w:rStyle w:val="libFootnotenumChar"/>
          <w:rtl/>
        </w:rPr>
        <w:t>(3)</w:t>
      </w:r>
      <w:r w:rsidRPr="00C9040A">
        <w:rPr>
          <w:rtl/>
          <w:lang w:bidi="fa-IR"/>
        </w:rPr>
        <w:t xml:space="preserve"> بِي إِلَيْكَ وَإِلَيْهِمْ ، وَإِنَّمَا خَلَقْتُكَ وَخَلَقْتُهُمْ لِأَبْلُوَكَ وَأَبْلُوَهُمْ أَيُّكُمْ </w:t>
      </w:r>
      <w:r w:rsidR="006C577F" w:rsidRPr="006C577F">
        <w:rPr>
          <w:rStyle w:val="libFootnotenumChar"/>
          <w:rtl/>
        </w:rPr>
        <w:t>(4)</w:t>
      </w:r>
      <w:r w:rsidRPr="00C9040A">
        <w:rPr>
          <w:rtl/>
          <w:lang w:bidi="fa-IR"/>
        </w:rPr>
        <w:t xml:space="preserve"> أَحْسَنُ عَمَلاً فِي دَارِ الدُّنْيَا فِي حَيَاتِكُمْ وَقَبْلَ مَمَاتِكُمْ ، فَلِذلِكَ </w:t>
      </w:r>
      <w:r w:rsidR="006C577F" w:rsidRPr="006C577F">
        <w:rPr>
          <w:rStyle w:val="libFootnotenumChar"/>
          <w:rtl/>
        </w:rPr>
        <w:t>(5)</w:t>
      </w:r>
      <w:r w:rsidRPr="00C9040A">
        <w:rPr>
          <w:rtl/>
          <w:lang w:bidi="fa-IR"/>
        </w:rPr>
        <w:t xml:space="preserve"> خَلَقْتُ الدُّنْيَا وَالْآخِرَةَ ، وَالْحَيَاةَ وَالْمَوْتَ ، وَالطَّاعَةَ وَالْمَعْصِيَةَ ، وَالْجَنَّةَ وَالنَّارَ ، وَكَذلِكَ </w:t>
      </w:r>
      <w:r w:rsidR="006C577F" w:rsidRPr="006C577F">
        <w:rPr>
          <w:rStyle w:val="libFootnotenumChar"/>
          <w:rtl/>
        </w:rPr>
        <w:t>(6)</w:t>
      </w:r>
      <w:r w:rsidRPr="00C9040A">
        <w:rPr>
          <w:rtl/>
          <w:lang w:bidi="fa-IR"/>
        </w:rPr>
        <w:t>أَرَدْتُ فِي تَقْدِيرِي وَتَدْبِيرِي.</w:t>
      </w:r>
    </w:p>
    <w:p w:rsidR="008A74EB" w:rsidRPr="00C9040A" w:rsidRDefault="008A74EB" w:rsidP="008A74EB">
      <w:pPr>
        <w:pStyle w:val="libNormal"/>
        <w:rPr>
          <w:rtl/>
          <w:lang w:bidi="fa-IR"/>
        </w:rPr>
      </w:pPr>
      <w:r w:rsidRPr="00C9040A">
        <w:rPr>
          <w:rtl/>
          <w:lang w:bidi="fa-IR"/>
        </w:rPr>
        <w:t xml:space="preserve">وَبِعِلْمِيَ النَّافِذِ فِيهِمْ خَالَفْتُ بَيْنَ صُوَرِهِمْ وَأَجْسَامِهِمْ وَأَلْوَانِهِمْ وَأَعْمَارِهِمْ وَأَرْزَاقِهِمْ وَطَاعَتِهِمْ وَمَعْصِيَتِهِمْ </w:t>
      </w:r>
      <w:r w:rsidR="006C577F" w:rsidRPr="006C577F">
        <w:rPr>
          <w:rStyle w:val="libFootnotenumChar"/>
          <w:rtl/>
        </w:rPr>
        <w:t>(7)</w:t>
      </w:r>
      <w:r w:rsidRPr="00C9040A">
        <w:rPr>
          <w:rtl/>
          <w:lang w:bidi="fa-IR"/>
        </w:rPr>
        <w:t xml:space="preserve"> ، فَجَعَلْتُ مِنْهُمُ الشَّقِيَّ وَالسَّعِيدَ ، وَالْبَصِيرَ وَالْأَعْمى ، وَالْقَصِيرَ وَالطَّوِيلَ ، وَالْجَمِيلَ وَالدَّمِيمَ </w:t>
      </w:r>
      <w:r w:rsidR="006C577F" w:rsidRPr="006C577F">
        <w:rPr>
          <w:rStyle w:val="libFootnotenumChar"/>
          <w:rtl/>
        </w:rPr>
        <w:t>(8)</w:t>
      </w:r>
      <w:r w:rsidRPr="00C9040A">
        <w:rPr>
          <w:rtl/>
          <w:lang w:bidi="fa-IR"/>
        </w:rPr>
        <w:t xml:space="preserve"> ، وَالْعَالِمَ وَالْجَاهِلَ ، وَالْغَنِيَّ وَالْفَقِيرَ ، وَالْمُطِيعَ وَالْعَاصِيَ ، وَالصَّحِيحَ وَالسَّقِيمَ ، وَمَنْ بِهِ الزَّمَانَةُ </w:t>
      </w:r>
      <w:r w:rsidR="006C577F" w:rsidRPr="006C577F">
        <w:rPr>
          <w:rStyle w:val="libFootnotenumChar"/>
          <w:rtl/>
        </w:rPr>
        <w:t>(9)</w:t>
      </w:r>
      <w:r w:rsidRPr="00C9040A">
        <w:rPr>
          <w:rtl/>
          <w:lang w:bidi="fa-IR"/>
        </w:rPr>
        <w:t xml:space="preserve"> وَمَنْ لَاعَاهَةَ بِهِ ، فَيَنْظُرُ الصَّحِيحُ إِلَى الَّذِي </w:t>
      </w:r>
      <w:r w:rsidR="006C577F" w:rsidRPr="006C577F">
        <w:rPr>
          <w:rStyle w:val="libFootnotenumChar"/>
          <w:rtl/>
        </w:rPr>
        <w:t>(10)</w:t>
      </w:r>
      <w:r w:rsidRPr="00C9040A">
        <w:rPr>
          <w:rtl/>
          <w:lang w:bidi="fa-IR"/>
        </w:rPr>
        <w:t xml:space="preserve"> بِهِ الْعَاهَةُ ، فَيَحْمَدُنِي عَلى عَافِيَتِهِ </w:t>
      </w:r>
      <w:r w:rsidR="006C577F" w:rsidRPr="006C577F">
        <w:rPr>
          <w:rStyle w:val="libFootnotenumChar"/>
          <w:rtl/>
        </w:rPr>
        <w:t>(11)</w:t>
      </w:r>
      <w:r w:rsidRPr="00C9040A">
        <w:rPr>
          <w:rtl/>
          <w:lang w:bidi="fa-IR"/>
        </w:rPr>
        <w:t xml:space="preserve"> ، وَيَنْظُرُ الَّذِي بِهِ الْعَاهَةُ إِلَى الصَّحِيحِ ، فَيَدْعُونِي وَيَسْأَلُنِي أَنْ أُعَافِيَهُ ، وَيَصْبِرُ عَلى بَلَائِي ، فَأُثِيبُهُ </w:t>
      </w:r>
      <w:r w:rsidR="006C577F" w:rsidRPr="006C577F">
        <w:rPr>
          <w:rStyle w:val="libFootnotenumChar"/>
          <w:rtl/>
        </w:rPr>
        <w:t>(12)</w:t>
      </w:r>
      <w:r w:rsidRPr="00C9040A">
        <w:rPr>
          <w:rtl/>
          <w:lang w:bidi="fa-IR"/>
        </w:rPr>
        <w:t xml:space="preserve"> جَزِيلَ عَطَائِي ، وَيَنْظُرُ الْغَنِيُّ إِلَى الْفَقِيرِ ، فَيَحْمَدُنِي وَيَشْكُرُنِي ، وَيَنْظُرُ الْفَقِيرُ إِلَى الْغَنِيِّ ، فَيَدْعُونِي وَيَسْأَلُنِي ، وَيَنْظُرُ الْمُؤْمِنُ إِلَى الْكَافِرِ ، فَيَحْمَدُنِي عَلى مَا هَدَيْتُهُ </w:t>
      </w:r>
      <w:r w:rsidRPr="005B567D">
        <w:rPr>
          <w:rStyle w:val="libFootnotenumChar"/>
          <w:rtl/>
        </w:rPr>
        <w:t>(13)</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 ص ، ف ، </w:t>
      </w:r>
      <w:r w:rsidR="008A74EB">
        <w:rPr>
          <w:rtl/>
        </w:rPr>
        <w:t>ه</w:t>
      </w:r>
      <w:r w:rsidR="008A74EB" w:rsidRPr="00C9040A">
        <w:rPr>
          <w:rtl/>
        </w:rPr>
        <w:t xml:space="preserve"> ، بر ، بس ، بف » والوافي والبحار والعلل والاختصاص : « ليعبدوني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ب ، د ، ف ، </w:t>
      </w:r>
      <w:r w:rsidR="008A74EB">
        <w:rPr>
          <w:rtl/>
        </w:rPr>
        <w:t>ه</w:t>
      </w:r>
      <w:r w:rsidR="008A74EB" w:rsidRPr="00C9040A">
        <w:rPr>
          <w:rtl/>
        </w:rPr>
        <w:t>، بر ، بف » وحاشية « ج » والوافي والعلل والاختصاص : « عبدني وأطاعني »</w:t>
      </w:r>
      <w:r w:rsidR="008A74EB">
        <w:rPr>
          <w:rtl/>
        </w:rPr>
        <w:t>.</w:t>
      </w:r>
      <w:r w:rsidR="008A74EB" w:rsidRPr="00C9040A">
        <w:rPr>
          <w:rtl/>
        </w:rPr>
        <w:t xml:space="preserve"> وفي « ج ، ز ، ص ، بس » والبحار : « عبدني فأطاعني »</w:t>
      </w:r>
      <w:r w:rsidR="008A74EB">
        <w:rPr>
          <w:rtl/>
        </w:rPr>
        <w:t>.</w:t>
      </w:r>
    </w:p>
    <w:p w:rsidR="008A74EB" w:rsidRPr="004A4E41" w:rsidRDefault="006C577F" w:rsidP="004A4E41">
      <w:pPr>
        <w:pStyle w:val="libFootnote0"/>
        <w:rPr>
          <w:rStyle w:val="libFootnote0Char"/>
          <w:rtl/>
        </w:rPr>
      </w:pPr>
      <w:r>
        <w:rPr>
          <w:rtl/>
        </w:rPr>
        <w:t>(3).</w:t>
      </w:r>
      <w:r w:rsidR="008A74EB" w:rsidRPr="00C9040A">
        <w:rPr>
          <w:rtl/>
        </w:rPr>
        <w:t xml:space="preserve"> « الفاقة » : الحاجة ، ولا فعل لها. </w:t>
      </w:r>
      <w:r w:rsidR="008A74EB" w:rsidRPr="00993B55">
        <w:rPr>
          <w:rStyle w:val="libFootnoteBoldChar"/>
          <w:rtl/>
        </w:rPr>
        <w:t>ترتيب كتاب العين</w:t>
      </w:r>
      <w:r w:rsidR="008A74EB" w:rsidRPr="00C9040A">
        <w:rPr>
          <w:rtl/>
        </w:rPr>
        <w:t xml:space="preserve"> ، ج 3 ، ص 1425 ( فوق )</w:t>
      </w:r>
      <w:r w:rsidR="008A74EB">
        <w:rPr>
          <w:rtl/>
        </w:rPr>
        <w:t>.</w:t>
      </w:r>
    </w:p>
    <w:tbl>
      <w:tblPr>
        <w:tblStyle w:val="TableGrid"/>
        <w:bidiVisual/>
        <w:tblW w:w="0" w:type="auto"/>
        <w:tblLook w:val="04A0" w:firstRow="1" w:lastRow="0" w:firstColumn="1" w:lastColumn="0" w:noHBand="0" w:noVBand="1"/>
      </w:tblPr>
      <w:tblGrid>
        <w:gridCol w:w="4006"/>
        <w:gridCol w:w="4006"/>
      </w:tblGrid>
      <w:tr w:rsidR="00E84B9D" w:rsidTr="00E84B9D">
        <w:tc>
          <w:tcPr>
            <w:tcW w:w="4006" w:type="dxa"/>
          </w:tcPr>
          <w:p w:rsidR="00E84B9D" w:rsidRDefault="006C577F" w:rsidP="004A4E41">
            <w:pPr>
              <w:pStyle w:val="libFootnote0"/>
              <w:rPr>
                <w:rtl/>
              </w:rPr>
            </w:pPr>
            <w:r>
              <w:rPr>
                <w:rtl/>
              </w:rPr>
              <w:t>(4).</w:t>
            </w:r>
            <w:r w:rsidR="006039D8">
              <w:rPr>
                <w:rtl/>
              </w:rPr>
              <w:t xml:space="preserve"> في « ز، بس</w:t>
            </w:r>
            <w:r w:rsidR="00E84B9D" w:rsidRPr="00C9040A">
              <w:rPr>
                <w:rtl/>
              </w:rPr>
              <w:t>» وحاشية « ب ، ف » : « أيّهم »</w:t>
            </w:r>
            <w:r w:rsidR="00E84B9D">
              <w:rPr>
                <w:rtl/>
              </w:rPr>
              <w:t>.</w:t>
            </w:r>
          </w:p>
        </w:tc>
        <w:tc>
          <w:tcPr>
            <w:tcW w:w="4006" w:type="dxa"/>
          </w:tcPr>
          <w:p w:rsidR="00E84B9D" w:rsidRDefault="006C577F" w:rsidP="004A4E41">
            <w:pPr>
              <w:pStyle w:val="libFootnote0"/>
              <w:rPr>
                <w:rtl/>
              </w:rPr>
            </w:pPr>
            <w:r>
              <w:rPr>
                <w:rtl/>
              </w:rPr>
              <w:t>(5).</w:t>
            </w:r>
            <w:r w:rsidR="00E84B9D" w:rsidRPr="00C9040A">
              <w:rPr>
                <w:rtl/>
              </w:rPr>
              <w:t xml:space="preserve"> في « ب ، د ، ف ، </w:t>
            </w:r>
            <w:r w:rsidR="006D3162">
              <w:rPr>
                <w:rtl/>
              </w:rPr>
              <w:t xml:space="preserve">ه </w:t>
            </w:r>
            <w:r w:rsidR="00E84B9D" w:rsidRPr="00C9040A">
              <w:rPr>
                <w:rtl/>
              </w:rPr>
              <w:t>، بر » : « ولذلك »</w:t>
            </w:r>
            <w:r w:rsidR="00E84B9D">
              <w:rPr>
                <w:rtl/>
              </w:rPr>
              <w:t>.</w:t>
            </w:r>
          </w:p>
        </w:tc>
      </w:tr>
      <w:tr w:rsidR="00E84B9D" w:rsidTr="00E84B9D">
        <w:tc>
          <w:tcPr>
            <w:tcW w:w="4006" w:type="dxa"/>
          </w:tcPr>
          <w:p w:rsidR="00E84B9D" w:rsidRDefault="006C577F" w:rsidP="004A4E41">
            <w:pPr>
              <w:pStyle w:val="libFootnote0"/>
              <w:rPr>
                <w:rtl/>
              </w:rPr>
            </w:pPr>
            <w:r>
              <w:rPr>
                <w:rtl/>
              </w:rPr>
              <w:t>(6).</w:t>
            </w:r>
            <w:r w:rsidR="00E84B9D">
              <w:rPr>
                <w:rtl/>
              </w:rPr>
              <w:t xml:space="preserve"> </w:t>
            </w:r>
            <w:r w:rsidR="00E84B9D" w:rsidRPr="00C9040A">
              <w:rPr>
                <w:rtl/>
              </w:rPr>
              <w:t>في حاشية « ج » : « ولذلك »</w:t>
            </w:r>
            <w:r w:rsidR="00E84B9D">
              <w:rPr>
                <w:rtl/>
              </w:rPr>
              <w:t>.</w:t>
            </w:r>
          </w:p>
        </w:tc>
        <w:tc>
          <w:tcPr>
            <w:tcW w:w="4006" w:type="dxa"/>
          </w:tcPr>
          <w:p w:rsidR="00E84B9D" w:rsidRDefault="006C577F" w:rsidP="004A4E41">
            <w:pPr>
              <w:pStyle w:val="libFootnote0"/>
              <w:rPr>
                <w:rtl/>
              </w:rPr>
            </w:pPr>
            <w:r>
              <w:rPr>
                <w:rtl/>
              </w:rPr>
              <w:t>(7).</w:t>
            </w:r>
            <w:r w:rsidR="00E84B9D" w:rsidRPr="00C9040A">
              <w:rPr>
                <w:rtl/>
              </w:rPr>
              <w:t xml:space="preserve"> في حاشية « ف » : « وطاعاتهم ومعاصيهم »</w:t>
            </w:r>
            <w:r w:rsidR="00E84B9D">
              <w:rPr>
                <w:rtl/>
              </w:rPr>
              <w:t>.</w:t>
            </w:r>
          </w:p>
        </w:tc>
      </w:tr>
    </w:tbl>
    <w:p w:rsidR="008A74EB" w:rsidRPr="00C9040A" w:rsidRDefault="006C577F" w:rsidP="004A4E41">
      <w:pPr>
        <w:pStyle w:val="libFootnote0"/>
        <w:rPr>
          <w:rtl/>
          <w:lang w:bidi="fa-IR"/>
        </w:rPr>
      </w:pPr>
      <w:r>
        <w:rPr>
          <w:rtl/>
        </w:rPr>
        <w:t>(8).</w:t>
      </w:r>
      <w:r w:rsidR="008A74EB" w:rsidRPr="00C9040A">
        <w:rPr>
          <w:rtl/>
        </w:rPr>
        <w:t xml:space="preserve"> في « ب ، ج ، بر ، بس ، بف » والمرآة والعلل</w:t>
      </w:r>
      <w:r w:rsidR="008A74EB">
        <w:rPr>
          <w:rtl/>
        </w:rPr>
        <w:t xml:space="preserve"> </w:t>
      </w:r>
      <w:r w:rsidR="0084262C">
        <w:rPr>
          <w:rtl/>
        </w:rPr>
        <w:t>-</w:t>
      </w:r>
      <w:r w:rsidR="008A74EB">
        <w:rPr>
          <w:rtl/>
        </w:rPr>
        <w:t xml:space="preserve"> </w:t>
      </w:r>
      <w:r w:rsidR="008A74EB" w:rsidRPr="00C9040A">
        <w:rPr>
          <w:rtl/>
        </w:rPr>
        <w:t>ناقلاً عن أكثر النسخ</w:t>
      </w:r>
      <w:r w:rsidR="008A74EB">
        <w:rPr>
          <w:rtl/>
        </w:rPr>
        <w:t xml:space="preserve"> </w:t>
      </w:r>
      <w:r w:rsidR="0084262C">
        <w:rPr>
          <w:rtl/>
        </w:rPr>
        <w:t>-</w:t>
      </w:r>
      <w:r w:rsidR="008A74EB">
        <w:rPr>
          <w:rtl/>
        </w:rPr>
        <w:t xml:space="preserve"> </w:t>
      </w:r>
      <w:r w:rsidR="008A74EB" w:rsidRPr="00C9040A">
        <w:rPr>
          <w:rtl/>
        </w:rPr>
        <w:t>: « الذميم »</w:t>
      </w:r>
      <w:r w:rsidR="008A74EB">
        <w:rPr>
          <w:rtl/>
        </w:rPr>
        <w:t>.</w:t>
      </w:r>
      <w:r w:rsidR="008A74EB" w:rsidRPr="00C9040A">
        <w:rPr>
          <w:rtl/>
        </w:rPr>
        <w:t xml:space="preserve"> وفي شرح المازندراني : « الدهم »</w:t>
      </w:r>
      <w:r w:rsidR="008A74EB">
        <w:rPr>
          <w:rtl/>
        </w:rPr>
        <w:t>.</w:t>
      </w:r>
      <w:r w:rsidR="008A74EB" w:rsidRPr="00C9040A">
        <w:rPr>
          <w:rtl/>
        </w:rPr>
        <w:t xml:space="preserve"> </w:t>
      </w:r>
      <w:r w:rsidR="008A74EB">
        <w:rPr>
          <w:rtl/>
        </w:rPr>
        <w:t>و «</w:t>
      </w:r>
      <w:r w:rsidR="008A74EB" w:rsidRPr="00C9040A">
        <w:rPr>
          <w:rtl/>
        </w:rPr>
        <w:t xml:space="preserve"> الدمامة » : القِصَر والقبح ، ورجل دميم. </w:t>
      </w:r>
      <w:r w:rsidR="008A74EB" w:rsidRPr="00993B55">
        <w:rPr>
          <w:rStyle w:val="libFootnoteBoldChar"/>
          <w:rtl/>
        </w:rPr>
        <w:t>النهاية</w:t>
      </w:r>
      <w:r w:rsidR="008A74EB" w:rsidRPr="00C9040A">
        <w:rPr>
          <w:rtl/>
        </w:rPr>
        <w:t xml:space="preserve"> ، ج 2 ، ص 134 ( دمم )</w:t>
      </w:r>
      <w:r w:rsidR="008A74EB">
        <w:rPr>
          <w:rtl/>
        </w:rPr>
        <w:t>.</w:t>
      </w:r>
    </w:p>
    <w:p w:rsidR="008A74EB" w:rsidRPr="004A4E41" w:rsidRDefault="006C577F" w:rsidP="004A4E41">
      <w:pPr>
        <w:pStyle w:val="libFootnote0"/>
        <w:rPr>
          <w:rStyle w:val="libFootnote0Char"/>
          <w:rtl/>
        </w:rPr>
      </w:pPr>
      <w:r>
        <w:rPr>
          <w:rtl/>
        </w:rPr>
        <w:t>(9).</w:t>
      </w:r>
      <w:r w:rsidR="008A74EB" w:rsidRPr="00C9040A">
        <w:rPr>
          <w:rtl/>
        </w:rPr>
        <w:t xml:space="preserve"> « الزمانة » : العاهة. زَمِن زَمَناً وزُمَنةً وزَمانةً فهو زَمِن وزَمينٌ. </w:t>
      </w:r>
      <w:r w:rsidR="008A74EB" w:rsidRPr="00993B55">
        <w:rPr>
          <w:rStyle w:val="libFootnoteBoldChar"/>
          <w:rtl/>
        </w:rPr>
        <w:t>القاموس المحيط</w:t>
      </w:r>
      <w:r w:rsidR="008A74EB" w:rsidRPr="00C9040A">
        <w:rPr>
          <w:rtl/>
        </w:rPr>
        <w:t xml:space="preserve"> ، ج 2 ، ص 1582 ( زمن )</w:t>
      </w:r>
      <w:r w:rsidR="008A74EB">
        <w:rPr>
          <w:rtl/>
        </w:rPr>
        <w:t>.</w:t>
      </w:r>
    </w:p>
    <w:tbl>
      <w:tblPr>
        <w:tblStyle w:val="TableGrid"/>
        <w:bidiVisual/>
        <w:tblW w:w="0" w:type="auto"/>
        <w:tblLook w:val="04A0" w:firstRow="1" w:lastRow="0" w:firstColumn="1" w:lastColumn="0" w:noHBand="0" w:noVBand="1"/>
      </w:tblPr>
      <w:tblGrid>
        <w:gridCol w:w="4006"/>
        <w:gridCol w:w="4006"/>
      </w:tblGrid>
      <w:tr w:rsidR="006039D8" w:rsidTr="006039D8">
        <w:tc>
          <w:tcPr>
            <w:tcW w:w="4006" w:type="dxa"/>
          </w:tcPr>
          <w:p w:rsidR="006039D8" w:rsidRDefault="006C577F" w:rsidP="004A4E41">
            <w:pPr>
              <w:pStyle w:val="libFootnote0"/>
              <w:rPr>
                <w:rtl/>
              </w:rPr>
            </w:pPr>
            <w:r>
              <w:rPr>
                <w:rtl/>
              </w:rPr>
              <w:t>(10).</w:t>
            </w:r>
            <w:r w:rsidR="006039D8" w:rsidRPr="00C9040A">
              <w:rPr>
                <w:rtl/>
              </w:rPr>
              <w:t xml:space="preserve"> في « ج ، </w:t>
            </w:r>
            <w:r w:rsidR="006039D8">
              <w:rPr>
                <w:rtl/>
              </w:rPr>
              <w:t>ه</w:t>
            </w:r>
            <w:r w:rsidR="006039D8" w:rsidRPr="00C9040A">
              <w:rPr>
                <w:rtl/>
              </w:rPr>
              <w:t xml:space="preserve"> » : « من »</w:t>
            </w:r>
            <w:r w:rsidR="006039D8">
              <w:rPr>
                <w:rtl/>
              </w:rPr>
              <w:t>.</w:t>
            </w:r>
          </w:p>
        </w:tc>
        <w:tc>
          <w:tcPr>
            <w:tcW w:w="4006" w:type="dxa"/>
          </w:tcPr>
          <w:p w:rsidR="006039D8" w:rsidRDefault="006C577F" w:rsidP="004A4E41">
            <w:pPr>
              <w:pStyle w:val="libFootnote0"/>
              <w:rPr>
                <w:rtl/>
              </w:rPr>
            </w:pPr>
            <w:r>
              <w:rPr>
                <w:rtl/>
              </w:rPr>
              <w:t>(11).</w:t>
            </w:r>
            <w:r w:rsidR="006039D8" w:rsidRPr="00C9040A">
              <w:rPr>
                <w:rtl/>
              </w:rPr>
              <w:t xml:space="preserve"> في « ز » : « عافية »</w:t>
            </w:r>
            <w:r w:rsidR="006039D8">
              <w:rPr>
                <w:rtl/>
              </w:rPr>
              <w:t>.</w:t>
            </w:r>
          </w:p>
        </w:tc>
      </w:tr>
      <w:tr w:rsidR="006039D8" w:rsidTr="006039D8">
        <w:tc>
          <w:tcPr>
            <w:tcW w:w="4006" w:type="dxa"/>
          </w:tcPr>
          <w:p w:rsidR="006039D8" w:rsidRDefault="006C577F" w:rsidP="004A4E41">
            <w:pPr>
              <w:pStyle w:val="libFootnote0"/>
              <w:rPr>
                <w:rtl/>
              </w:rPr>
            </w:pPr>
            <w:r>
              <w:rPr>
                <w:rtl/>
              </w:rPr>
              <w:t>(12).</w:t>
            </w:r>
            <w:r w:rsidR="006039D8" w:rsidRPr="00C9040A">
              <w:rPr>
                <w:rtl/>
              </w:rPr>
              <w:t xml:space="preserve"> في الاختصاص : « فأتيته »</w:t>
            </w:r>
            <w:r w:rsidR="006039D8">
              <w:rPr>
                <w:rtl/>
              </w:rPr>
              <w:t>.</w:t>
            </w:r>
          </w:p>
        </w:tc>
        <w:tc>
          <w:tcPr>
            <w:tcW w:w="4006" w:type="dxa"/>
          </w:tcPr>
          <w:p w:rsidR="006039D8" w:rsidRDefault="006039D8" w:rsidP="004A4E41">
            <w:pPr>
              <w:pStyle w:val="libFootnote0"/>
              <w:rPr>
                <w:rtl/>
              </w:rPr>
            </w:pPr>
            <w:r>
              <w:rPr>
                <w:rtl/>
              </w:rPr>
              <w:t>(13)</w:t>
            </w:r>
            <w:r w:rsidRPr="00C9040A">
              <w:rPr>
                <w:rtl/>
              </w:rPr>
              <w:t xml:space="preserve"> في هامش المطبوع عن بعض ال</w:t>
            </w:r>
            <w:r w:rsidR="003A6BAC">
              <w:rPr>
                <w:rtl/>
              </w:rPr>
              <w:t>نسخ:«ما هديتهم</w:t>
            </w:r>
            <w:r w:rsidRPr="00C9040A">
              <w:rPr>
                <w:rtl/>
              </w:rPr>
              <w:t>»</w:t>
            </w:r>
            <w:r>
              <w:rPr>
                <w:rtl/>
              </w:rPr>
              <w:t>.</w:t>
            </w:r>
          </w:p>
        </w:tc>
      </w:tr>
    </w:tbl>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فَلِذلِكَ </w:t>
      </w:r>
      <w:r w:rsidR="006C577F" w:rsidRPr="006C577F">
        <w:rPr>
          <w:rStyle w:val="libFootnotenumChar"/>
          <w:rtl/>
        </w:rPr>
        <w:t>(1)</w:t>
      </w:r>
      <w:r w:rsidRPr="002712F0">
        <w:rPr>
          <w:rFonts w:hint="cs"/>
          <w:rtl/>
        </w:rPr>
        <w:t xml:space="preserve"> </w:t>
      </w:r>
      <w:r w:rsidRPr="00C9040A">
        <w:rPr>
          <w:rtl/>
          <w:lang w:bidi="fa-IR"/>
        </w:rPr>
        <w:t xml:space="preserve">خَلَقْتُهُمْ </w:t>
      </w:r>
      <w:r w:rsidR="006C577F" w:rsidRPr="006C577F">
        <w:rPr>
          <w:rStyle w:val="libFootnotenumChar"/>
          <w:rtl/>
        </w:rPr>
        <w:t>(2)</w:t>
      </w:r>
      <w:r w:rsidRPr="00C9040A">
        <w:rPr>
          <w:rtl/>
          <w:lang w:bidi="fa-IR"/>
        </w:rPr>
        <w:t xml:space="preserve"> لِأَبْلُوَهُمْ فِي السَّرَّاءِ وَالضَّرَّاءِ وَفِيمَا أُعَافِيهِمْ وَفِيمَا أَبْتَلِيهِمْ وَفِيمَا أُعْطِيهِمْ وَفِيمَا أَمْنَعُهُمْ.</w:t>
      </w:r>
    </w:p>
    <w:p w:rsidR="008A74EB" w:rsidRPr="00C9040A" w:rsidRDefault="008A74EB" w:rsidP="008A74EB">
      <w:pPr>
        <w:pStyle w:val="libNormal"/>
        <w:rPr>
          <w:rtl/>
          <w:lang w:bidi="fa-IR"/>
        </w:rPr>
      </w:pPr>
      <w:r w:rsidRPr="00C9040A">
        <w:rPr>
          <w:rtl/>
          <w:lang w:bidi="fa-IR"/>
        </w:rPr>
        <w:t xml:space="preserve">وَأَنَا اللهُ الْمَلِكُ الْقَادِرُ ، وَلِي أَنْ أَمْضِيَ </w:t>
      </w:r>
      <w:r w:rsidR="006C577F" w:rsidRPr="006C577F">
        <w:rPr>
          <w:rStyle w:val="libFootnotenumChar"/>
          <w:rtl/>
        </w:rPr>
        <w:t>(3)</w:t>
      </w:r>
      <w:r w:rsidRPr="00C9040A">
        <w:rPr>
          <w:rtl/>
          <w:lang w:bidi="fa-IR"/>
        </w:rPr>
        <w:t xml:space="preserve"> جَمِيعَ مَا قَدَّرْتُ عَلى مَا دَبَّرْتُ ، وَلِي أَنْ أُغَيِّرَ مِنْ ذلِكَ مَا شِئْتُ إِلى مَا شِئْتُ ، وَأُقَدِّمَ مِنْ ذلِكَ مَا أَخَّرْتُ ، وَأُؤَخِّرَ مِنْ ذلِكَ مَا قَدَّمْتُ </w:t>
      </w:r>
      <w:r w:rsidR="006C577F" w:rsidRPr="006C577F">
        <w:rPr>
          <w:rStyle w:val="libFootnotenumChar"/>
          <w:rtl/>
        </w:rPr>
        <w:t>(4)</w:t>
      </w:r>
      <w:r w:rsidRPr="00C9040A">
        <w:rPr>
          <w:rtl/>
          <w:lang w:bidi="fa-IR"/>
        </w:rPr>
        <w:t xml:space="preserve"> ، وَأَنَا اللهُ الْفَعَّالُ لِمَا أُرِيدُ </w:t>
      </w:r>
      <w:r w:rsidR="006C577F" w:rsidRPr="006C577F">
        <w:rPr>
          <w:rStyle w:val="libFootnotenumChar"/>
          <w:rtl/>
        </w:rPr>
        <w:t>(5)</w:t>
      </w:r>
      <w:r w:rsidRPr="00C9040A">
        <w:rPr>
          <w:rtl/>
          <w:lang w:bidi="fa-IR"/>
        </w:rPr>
        <w:t xml:space="preserve"> ، لَا</w:t>
      </w:r>
      <w:r>
        <w:rPr>
          <w:rFonts w:hint="cs"/>
          <w:rtl/>
          <w:lang w:bidi="fa-IR"/>
        </w:rPr>
        <w:t xml:space="preserve"> </w:t>
      </w:r>
      <w:r w:rsidRPr="00C9040A">
        <w:rPr>
          <w:rtl/>
          <w:lang w:bidi="fa-IR"/>
        </w:rPr>
        <w:t>أُسْأَلُ عَمَّا أَفْعَلُ ، وَأَنَا أَسْأَلُ خَلْقِي عَمَّا هُمْ فَاعِلُونَ »</w:t>
      </w:r>
      <w:r>
        <w:rPr>
          <w:rtl/>
          <w:lang w:bidi="fa-IR"/>
        </w:rPr>
        <w:t>.</w:t>
      </w:r>
      <w:r w:rsidRPr="00C9040A">
        <w:rPr>
          <w:rtl/>
          <w:lang w:bidi="fa-IR"/>
        </w:rPr>
        <w:t xml:space="preserve"> </w:t>
      </w:r>
      <w:r w:rsidR="006C577F" w:rsidRPr="006C577F">
        <w:rPr>
          <w:rStyle w:val="libFootnotenumChar"/>
          <w:rtl/>
        </w:rPr>
        <w:t>(6)</w:t>
      </w:r>
    </w:p>
    <w:p w:rsidR="008A74EB" w:rsidRPr="00C9040A" w:rsidRDefault="008A74EB" w:rsidP="008A74EB">
      <w:pPr>
        <w:pStyle w:val="libNormal"/>
        <w:rPr>
          <w:rtl/>
          <w:lang w:bidi="fa-IR"/>
        </w:rPr>
      </w:pPr>
      <w:r w:rsidRPr="00824E80">
        <w:rPr>
          <w:rtl/>
        </w:rPr>
        <w:t>1461</w:t>
      </w:r>
      <w:r w:rsidRPr="00261CB0">
        <w:rPr>
          <w:rStyle w:val="libBold2Char"/>
          <w:rtl/>
        </w:rPr>
        <w:t xml:space="preserve"> / 3.</w:t>
      </w:r>
      <w:r w:rsidRPr="00C9040A">
        <w:rPr>
          <w:rtl/>
          <w:lang w:bidi="fa-IR"/>
        </w:rPr>
        <w:t xml:space="preserve"> مُحَمَّدُ بْنُ يَحْيى ، عَنْ مُحَمَّدِ بْنِ الْحُسَيْنِ ، عَنْ مُحَمَّدِ بْنِ إِسْمَاعِيلَ ، عَنْ صَالِحِ بْنِ عُقْبَةَ ، عَنْ عَبْدِ اللهِ بْنِ مُحَمَّدٍ الْجُعْفِيِّ وَعُقْبَةَ </w:t>
      </w:r>
      <w:r w:rsidR="006C577F" w:rsidRPr="006C577F">
        <w:rPr>
          <w:rStyle w:val="libFootnotenumChar"/>
          <w:rtl/>
        </w:rPr>
        <w:t>(7)</w:t>
      </w:r>
      <w:r w:rsidRPr="00C9040A">
        <w:rPr>
          <w:rtl/>
          <w:lang w:bidi="fa-IR"/>
        </w:rPr>
        <w:t xml:space="preserve"> جَمِيعاً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إِنَّ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خَلَقَ الْخَلْقَ ، فَخَلَقَ مَنْ </w:t>
      </w:r>
      <w:r w:rsidR="006C577F" w:rsidRPr="006C577F">
        <w:rPr>
          <w:rStyle w:val="libFootnotenumChar"/>
          <w:rtl/>
        </w:rPr>
        <w:t>(8)</w:t>
      </w:r>
      <w:r w:rsidRPr="00C9040A">
        <w:rPr>
          <w:rtl/>
          <w:lang w:bidi="fa-IR"/>
        </w:rPr>
        <w:t xml:space="preserve"> أَحَبَّ مِمَّا أَحَبَّ ، وَكَانَ </w:t>
      </w:r>
      <w:r w:rsidR="006C577F" w:rsidRPr="006C577F">
        <w:rPr>
          <w:rStyle w:val="libFootnotenumChar"/>
          <w:rtl/>
        </w:rPr>
        <w:t>(9)</w:t>
      </w:r>
      <w:r w:rsidRPr="00C9040A">
        <w:rPr>
          <w:rtl/>
          <w:lang w:bidi="fa-IR"/>
        </w:rPr>
        <w:t xml:space="preserve"> مَا أَحَبَّ أَنْ خَلَقَهُ مِنْ طِينَةِ الْجَنَّةِ ، وَخَلَقَ مَنْ </w:t>
      </w:r>
      <w:r w:rsidR="006C577F" w:rsidRPr="006C577F">
        <w:rPr>
          <w:rStyle w:val="libFootnotenumChar"/>
          <w:rtl/>
        </w:rPr>
        <w:t>(10)</w:t>
      </w:r>
      <w:r w:rsidRPr="00C9040A">
        <w:rPr>
          <w:rtl/>
          <w:lang w:bidi="fa-IR"/>
        </w:rPr>
        <w:t xml:space="preserve"> أَبْغَضَ مِمَّا أَبْغَضَ ، وَكَانَ </w:t>
      </w:r>
      <w:r w:rsidR="006C577F" w:rsidRPr="006C577F">
        <w:rPr>
          <w:rStyle w:val="libFootnotenumChar"/>
          <w:rtl/>
        </w:rPr>
        <w:t>(11)</w:t>
      </w:r>
      <w:r w:rsidRPr="00C9040A">
        <w:rPr>
          <w:rtl/>
          <w:lang w:bidi="fa-IR"/>
        </w:rPr>
        <w:t xml:space="preserve"> مَا أَبْغَضَ أَنْ خَلَقَهُ مِنْ طِينَةِ </w:t>
      </w:r>
      <w:r w:rsidR="006C577F" w:rsidRPr="006C577F">
        <w:rPr>
          <w:rStyle w:val="libFootnotenumChar"/>
          <w:rtl/>
        </w:rPr>
        <w:t>(12)</w:t>
      </w:r>
      <w:r w:rsidRPr="00C9040A">
        <w:rPr>
          <w:rtl/>
          <w:lang w:bidi="fa-IR"/>
        </w:rPr>
        <w:t xml:space="preserve"> النَّارِ ، ثُمَّ بَعَثَهُمْ فِي الظِّلَالِ »</w:t>
      </w:r>
      <w:r>
        <w:rPr>
          <w:rtl/>
          <w:lang w:bidi="fa-IR"/>
        </w:rPr>
        <w:t>.</w:t>
      </w:r>
    </w:p>
    <w:p w:rsidR="008A74EB" w:rsidRPr="00C9040A" w:rsidRDefault="008A74EB" w:rsidP="008A74EB">
      <w:pPr>
        <w:pStyle w:val="libNormal"/>
        <w:rPr>
          <w:rtl/>
          <w:lang w:bidi="fa-IR"/>
        </w:rPr>
      </w:pPr>
      <w:r w:rsidRPr="00C9040A">
        <w:rPr>
          <w:rtl/>
          <w:lang w:bidi="fa-IR"/>
        </w:rPr>
        <w:t xml:space="preserve">فَقُلْتُ : وَأَيُّ </w:t>
      </w:r>
      <w:r w:rsidRPr="005B567D">
        <w:rPr>
          <w:rStyle w:val="libFootnotenumChar"/>
          <w:rtl/>
        </w:rPr>
        <w:t>(13)</w:t>
      </w:r>
      <w:r w:rsidRPr="00C9040A">
        <w:rPr>
          <w:rtl/>
          <w:lang w:bidi="fa-IR"/>
        </w:rPr>
        <w:t xml:space="preserve"> شَيْ‌ءٍ الظِّلَالُ</w:t>
      </w:r>
      <w:r>
        <w:rPr>
          <w:rtl/>
          <w:lang w:bidi="fa-IR"/>
        </w:rPr>
        <w:t>؟</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061F33" w:rsidTr="00061F33">
        <w:tc>
          <w:tcPr>
            <w:tcW w:w="4006" w:type="dxa"/>
          </w:tcPr>
          <w:p w:rsidR="00061F33" w:rsidRDefault="006C577F" w:rsidP="004A4E41">
            <w:pPr>
              <w:pStyle w:val="libFootnote0"/>
              <w:rPr>
                <w:rtl/>
              </w:rPr>
            </w:pPr>
            <w:r>
              <w:rPr>
                <w:rtl/>
              </w:rPr>
              <w:t>(1).</w:t>
            </w:r>
            <w:r w:rsidR="00061F33" w:rsidRPr="00C9040A">
              <w:rPr>
                <w:rtl/>
              </w:rPr>
              <w:t xml:space="preserve"> في « ف » : « فكذلك »</w:t>
            </w:r>
            <w:r w:rsidR="00061F33">
              <w:rPr>
                <w:rtl/>
              </w:rPr>
              <w:t>.</w:t>
            </w:r>
          </w:p>
        </w:tc>
        <w:tc>
          <w:tcPr>
            <w:tcW w:w="4006" w:type="dxa"/>
          </w:tcPr>
          <w:p w:rsidR="00061F33" w:rsidRDefault="006C577F" w:rsidP="004A4E41">
            <w:pPr>
              <w:pStyle w:val="libFootnote0"/>
              <w:rPr>
                <w:rtl/>
              </w:rPr>
            </w:pPr>
            <w:r>
              <w:rPr>
                <w:rtl/>
              </w:rPr>
              <w:t>(2).</w:t>
            </w:r>
            <w:r w:rsidR="00061F33">
              <w:rPr>
                <w:rtl/>
              </w:rPr>
              <w:t xml:space="preserve"> </w:t>
            </w:r>
            <w:r w:rsidR="00061F33" w:rsidRPr="00C9040A">
              <w:rPr>
                <w:rtl/>
              </w:rPr>
              <w:t xml:space="preserve">في « </w:t>
            </w:r>
            <w:r w:rsidR="00061F33">
              <w:rPr>
                <w:rtl/>
              </w:rPr>
              <w:t>ه</w:t>
            </w:r>
            <w:r w:rsidR="00061F33" w:rsidRPr="00C9040A">
              <w:rPr>
                <w:rtl/>
              </w:rPr>
              <w:t xml:space="preserve"> » وحاشية « بف » : « كلّفتهم »</w:t>
            </w:r>
            <w:r w:rsidR="00061F33">
              <w:rPr>
                <w:rtl/>
              </w:rPr>
              <w:t>.</w:t>
            </w:r>
          </w:p>
        </w:tc>
      </w:tr>
      <w:tr w:rsidR="00061F33" w:rsidTr="00061F33">
        <w:tc>
          <w:tcPr>
            <w:tcW w:w="4006" w:type="dxa"/>
          </w:tcPr>
          <w:p w:rsidR="00061F33" w:rsidRDefault="006C577F" w:rsidP="004A4E41">
            <w:pPr>
              <w:pStyle w:val="libFootnote0"/>
              <w:rPr>
                <w:rtl/>
              </w:rPr>
            </w:pPr>
            <w:r>
              <w:rPr>
                <w:rtl/>
              </w:rPr>
              <w:t>(3).</w:t>
            </w:r>
            <w:r w:rsidR="00061F33" w:rsidRPr="00C9040A">
              <w:rPr>
                <w:rtl/>
              </w:rPr>
              <w:t xml:space="preserve"> في « </w:t>
            </w:r>
            <w:r w:rsidR="00061F33">
              <w:rPr>
                <w:rtl/>
              </w:rPr>
              <w:t>ه</w:t>
            </w:r>
            <w:r w:rsidR="00061F33" w:rsidRPr="00C9040A">
              <w:rPr>
                <w:rtl/>
              </w:rPr>
              <w:t xml:space="preserve"> » : « أقضي »</w:t>
            </w:r>
            <w:r w:rsidR="00061F33">
              <w:rPr>
                <w:rtl/>
              </w:rPr>
              <w:t>.</w:t>
            </w:r>
          </w:p>
        </w:tc>
        <w:tc>
          <w:tcPr>
            <w:tcW w:w="4006" w:type="dxa"/>
          </w:tcPr>
          <w:p w:rsidR="00061F33" w:rsidRDefault="006C577F" w:rsidP="004A4E41">
            <w:pPr>
              <w:pStyle w:val="libFootnote0"/>
              <w:rPr>
                <w:rtl/>
              </w:rPr>
            </w:pPr>
            <w:r>
              <w:rPr>
                <w:rtl/>
              </w:rPr>
              <w:t>(4).</w:t>
            </w:r>
            <w:r w:rsidR="00061F33">
              <w:rPr>
                <w:rtl/>
              </w:rPr>
              <w:t>في«ب،د،ز،بر،بس، بف »:« ما</w:t>
            </w:r>
            <w:r w:rsidR="00061F33" w:rsidRPr="00C9040A">
              <w:rPr>
                <w:rtl/>
              </w:rPr>
              <w:t>قدّمت من ذلك »</w:t>
            </w:r>
            <w:r w:rsidR="00061F33">
              <w:rPr>
                <w:rtl/>
              </w:rPr>
              <w:t>.</w:t>
            </w:r>
          </w:p>
        </w:tc>
      </w:tr>
    </w:tbl>
    <w:p w:rsidR="008A74EB" w:rsidRPr="00C9040A" w:rsidRDefault="006C577F" w:rsidP="004A4E41">
      <w:pPr>
        <w:pStyle w:val="libFootnote0"/>
        <w:rPr>
          <w:rtl/>
          <w:lang w:bidi="fa-IR"/>
        </w:rPr>
      </w:pPr>
      <w:r>
        <w:rPr>
          <w:rtl/>
        </w:rPr>
        <w:t>(5).</w:t>
      </w:r>
      <w:r w:rsidR="008A74EB" w:rsidRPr="00C9040A">
        <w:rPr>
          <w:rtl/>
        </w:rPr>
        <w:t xml:space="preserve"> في « ص ، ف » : « يريد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علل الشرائع</w:t>
      </w:r>
      <w:r w:rsidR="008A74EB" w:rsidRPr="00C9040A">
        <w:rPr>
          <w:rtl/>
        </w:rPr>
        <w:t xml:space="preserve"> ، ص 10 ، ح 4 ، بطريقين مختلفين عن أحمد بن محمّد بن عيسى ، عن الحسن بن محبوب. </w:t>
      </w:r>
      <w:r w:rsidR="008A74EB" w:rsidRPr="00993B55">
        <w:rPr>
          <w:rStyle w:val="libFootnoteBoldChar"/>
          <w:rtl/>
        </w:rPr>
        <w:t>الاختصاص</w:t>
      </w:r>
      <w:r w:rsidR="008A74EB" w:rsidRPr="00C9040A">
        <w:rPr>
          <w:rtl/>
        </w:rPr>
        <w:t xml:space="preserve"> ، ص 332 ، مرسلاً عن هشام بن سالم ، وفيهما مع اختلاف يسير</w:t>
      </w:r>
      <w:r w:rsidR="00F830DA">
        <w:rPr>
          <w:rFonts w:hint="cs"/>
          <w:rtl/>
        </w:rPr>
        <w:t>.</w:t>
      </w:r>
      <w:r w:rsidR="008A74EB" w:rsidRPr="00993B55">
        <w:rPr>
          <w:rStyle w:val="libFootnoteBoldChar"/>
          <w:rtl/>
        </w:rPr>
        <w:t>الوافي</w:t>
      </w:r>
      <w:r w:rsidR="008A74EB" w:rsidRPr="00C9040A">
        <w:rPr>
          <w:rtl/>
        </w:rPr>
        <w:t xml:space="preserve"> ، ج 4 ، ص 42 ، ح 1658 ؛ </w:t>
      </w:r>
      <w:r w:rsidR="008A74EB" w:rsidRPr="00993B55">
        <w:rPr>
          <w:rStyle w:val="libFootnoteBoldChar"/>
          <w:rtl/>
        </w:rPr>
        <w:t>البحار</w:t>
      </w:r>
      <w:r w:rsidR="008A74EB" w:rsidRPr="00C9040A">
        <w:rPr>
          <w:rtl/>
        </w:rPr>
        <w:t xml:space="preserve"> ، ج 67 ، ص 116 ، ح 24.</w:t>
      </w:r>
    </w:p>
    <w:p w:rsidR="008A74EB" w:rsidRPr="004A4E41" w:rsidRDefault="006C577F" w:rsidP="004A4E41">
      <w:pPr>
        <w:pStyle w:val="libFootnote0"/>
        <w:rPr>
          <w:rStyle w:val="libFootnote0Char"/>
          <w:rtl/>
        </w:rPr>
      </w:pPr>
      <w:r>
        <w:rPr>
          <w:rtl/>
        </w:rPr>
        <w:t>(7).</w:t>
      </w:r>
      <w:r w:rsidR="008A74EB" w:rsidRPr="00C9040A">
        <w:rPr>
          <w:rtl/>
        </w:rPr>
        <w:t xml:space="preserve"> تقدّم الخبر في </w:t>
      </w:r>
      <w:r w:rsidR="008A74EB" w:rsidRPr="00993B55">
        <w:rPr>
          <w:rStyle w:val="libFootnoteBoldChar"/>
          <w:rtl/>
        </w:rPr>
        <w:t>الكافي</w:t>
      </w:r>
      <w:r w:rsidR="008A74EB" w:rsidRPr="00C9040A">
        <w:rPr>
          <w:rtl/>
        </w:rPr>
        <w:t xml:space="preserve"> ، ح 1181 بنفس الإسناد عن صالح بن عقبة ، عن عبد الله بن محمّد الجعفي</w:t>
      </w:r>
      <w:r w:rsidR="008A74EB">
        <w:rPr>
          <w:rtl/>
        </w:rPr>
        <w:t xml:space="preserve"> </w:t>
      </w:r>
      <w:r w:rsidR="0084262C">
        <w:rPr>
          <w:rtl/>
        </w:rPr>
        <w:t>-</w:t>
      </w:r>
      <w:r w:rsidR="008A74EB">
        <w:rPr>
          <w:rtl/>
        </w:rPr>
        <w:t xml:space="preserve"> </w:t>
      </w:r>
      <w:r w:rsidR="008A74EB" w:rsidRPr="00C9040A">
        <w:rPr>
          <w:rtl/>
        </w:rPr>
        <w:t>وفي المطبوع : « الجعفري » ، لكن صحّحناه هناك</w:t>
      </w:r>
      <w:r w:rsidR="008A74EB">
        <w:rPr>
          <w:rtl/>
        </w:rPr>
        <w:t xml:space="preserve"> </w:t>
      </w:r>
      <w:r w:rsidR="0084262C">
        <w:rPr>
          <w:rtl/>
        </w:rPr>
        <w:t>-</w:t>
      </w:r>
      <w:r w:rsidR="008A74EB">
        <w:rPr>
          <w:rtl/>
        </w:rPr>
        <w:t xml:space="preserve"> </w:t>
      </w:r>
      <w:r w:rsidR="008A74EB" w:rsidRPr="00C9040A">
        <w:rPr>
          <w:rtl/>
        </w:rPr>
        <w:t xml:space="preserve">عن أبي جعفر </w:t>
      </w:r>
      <w:r w:rsidR="00117575" w:rsidRPr="00117575">
        <w:rPr>
          <w:rStyle w:val="libFootnoteAlaemChar"/>
          <w:rtl/>
        </w:rPr>
        <w:t xml:space="preserve">عليه‌السلام </w:t>
      </w:r>
      <w:r w:rsidR="008A74EB" w:rsidRPr="00C9040A">
        <w:rPr>
          <w:rtl/>
        </w:rPr>
        <w:t xml:space="preserve"> ، وعن عقبة ، عن أبي جعفر </w:t>
      </w:r>
      <w:r w:rsidR="00117575" w:rsidRPr="00117575">
        <w:rPr>
          <w:rStyle w:val="libFootnoteAlaemChar"/>
          <w:rtl/>
        </w:rPr>
        <w:t xml:space="preserve">عليه‌السلام </w:t>
      </w:r>
      <w:r w:rsidR="008A74EB" w:rsidRPr="00C9040A">
        <w:rPr>
          <w:rtl/>
        </w:rPr>
        <w:t>.</w:t>
      </w:r>
    </w:p>
    <w:tbl>
      <w:tblPr>
        <w:tblStyle w:val="TableGrid"/>
        <w:bidiVisual/>
        <w:tblW w:w="0" w:type="auto"/>
        <w:tblLook w:val="04A0" w:firstRow="1" w:lastRow="0" w:firstColumn="1" w:lastColumn="0" w:noHBand="0" w:noVBand="1"/>
      </w:tblPr>
      <w:tblGrid>
        <w:gridCol w:w="4006"/>
        <w:gridCol w:w="4006"/>
      </w:tblGrid>
      <w:tr w:rsidR="00F830DA" w:rsidTr="00F830DA">
        <w:tc>
          <w:tcPr>
            <w:tcW w:w="4006" w:type="dxa"/>
          </w:tcPr>
          <w:p w:rsidR="00F830DA" w:rsidRDefault="006C577F" w:rsidP="004A4E41">
            <w:pPr>
              <w:pStyle w:val="libFootnote0"/>
              <w:rPr>
                <w:rtl/>
              </w:rPr>
            </w:pPr>
            <w:r>
              <w:rPr>
                <w:rtl/>
              </w:rPr>
              <w:t>(8).</w:t>
            </w:r>
            <w:r w:rsidR="00F830DA" w:rsidRPr="00C9040A">
              <w:rPr>
                <w:rtl/>
              </w:rPr>
              <w:t xml:space="preserve"> في الكافي ، ح 1181 : « ما »</w:t>
            </w:r>
            <w:r w:rsidR="00F830DA">
              <w:rPr>
                <w:rtl/>
              </w:rPr>
              <w:t>.</w:t>
            </w:r>
          </w:p>
        </w:tc>
        <w:tc>
          <w:tcPr>
            <w:tcW w:w="4006" w:type="dxa"/>
          </w:tcPr>
          <w:p w:rsidR="00F830DA" w:rsidRDefault="006C577F" w:rsidP="004A4E41">
            <w:pPr>
              <w:pStyle w:val="libFootnote0"/>
              <w:rPr>
                <w:rtl/>
              </w:rPr>
            </w:pPr>
            <w:r>
              <w:rPr>
                <w:rtl/>
              </w:rPr>
              <w:t>(9).</w:t>
            </w:r>
            <w:r w:rsidR="00F830DA" w:rsidRPr="00C9040A">
              <w:rPr>
                <w:rtl/>
              </w:rPr>
              <w:t xml:space="preserve"> في « ب ، ج ، </w:t>
            </w:r>
            <w:r w:rsidR="00F830DA">
              <w:rPr>
                <w:rtl/>
              </w:rPr>
              <w:t>ه</w:t>
            </w:r>
            <w:r w:rsidR="00F830DA" w:rsidRPr="00C9040A">
              <w:rPr>
                <w:rtl/>
              </w:rPr>
              <w:t xml:space="preserve"> » والبحار : « فكان »</w:t>
            </w:r>
            <w:r w:rsidR="00F830DA">
              <w:rPr>
                <w:rtl/>
              </w:rPr>
              <w:t>.</w:t>
            </w:r>
          </w:p>
        </w:tc>
      </w:tr>
      <w:tr w:rsidR="00F830DA" w:rsidTr="00F830DA">
        <w:tc>
          <w:tcPr>
            <w:tcW w:w="4006" w:type="dxa"/>
          </w:tcPr>
          <w:p w:rsidR="00F830DA" w:rsidRDefault="006C577F" w:rsidP="004A4E41">
            <w:pPr>
              <w:pStyle w:val="libFootnote0"/>
              <w:rPr>
                <w:rtl/>
              </w:rPr>
            </w:pPr>
            <w:r>
              <w:rPr>
                <w:rtl/>
              </w:rPr>
              <w:t>(10).</w:t>
            </w:r>
            <w:r w:rsidR="00F830DA" w:rsidRPr="00C9040A">
              <w:rPr>
                <w:rtl/>
              </w:rPr>
              <w:t xml:space="preserve"> في البحار والكافي ، ح 1181 : « ما »</w:t>
            </w:r>
            <w:r w:rsidR="00F830DA">
              <w:rPr>
                <w:rtl/>
              </w:rPr>
              <w:t>.</w:t>
            </w:r>
          </w:p>
        </w:tc>
        <w:tc>
          <w:tcPr>
            <w:tcW w:w="4006" w:type="dxa"/>
          </w:tcPr>
          <w:p w:rsidR="00F830DA" w:rsidRDefault="006C577F" w:rsidP="004A4E41">
            <w:pPr>
              <w:pStyle w:val="libFootnote0"/>
              <w:rPr>
                <w:rtl/>
              </w:rPr>
            </w:pPr>
            <w:r>
              <w:rPr>
                <w:rtl/>
              </w:rPr>
              <w:t>(11).</w:t>
            </w:r>
            <w:r w:rsidR="00F830DA" w:rsidRPr="00C9040A">
              <w:rPr>
                <w:rtl/>
              </w:rPr>
              <w:t xml:space="preserve"> في « ب » : « فكان »</w:t>
            </w:r>
            <w:r w:rsidR="00F830DA">
              <w:rPr>
                <w:rtl/>
              </w:rPr>
              <w:t>.</w:t>
            </w:r>
          </w:p>
        </w:tc>
      </w:tr>
    </w:tbl>
    <w:p w:rsidR="008A74EB" w:rsidRPr="00C9040A" w:rsidRDefault="006C577F" w:rsidP="004A4E41">
      <w:pPr>
        <w:pStyle w:val="libFootnote0"/>
        <w:rPr>
          <w:rtl/>
          <w:lang w:bidi="fa-IR"/>
        </w:rPr>
      </w:pPr>
      <w:r>
        <w:rPr>
          <w:rtl/>
        </w:rPr>
        <w:t>(12).</w:t>
      </w:r>
      <w:r w:rsidR="008A74EB" w:rsidRPr="00C9040A">
        <w:rPr>
          <w:rtl/>
        </w:rPr>
        <w:t xml:space="preserve"> في « ج ، د ، </w:t>
      </w:r>
      <w:r w:rsidR="006D3162">
        <w:rPr>
          <w:rtl/>
        </w:rPr>
        <w:t xml:space="preserve">ه </w:t>
      </w:r>
      <w:r w:rsidR="00CC32AF">
        <w:rPr>
          <w:rtl/>
        </w:rPr>
        <w:t>، بف » وحاشية « بر » : +</w:t>
      </w:r>
      <w:r w:rsidR="008A74EB" w:rsidRPr="00C9040A">
        <w:rPr>
          <w:rtl/>
        </w:rPr>
        <w:t xml:space="preserve"> « من »</w:t>
      </w:r>
      <w:r w:rsidR="008A74EB">
        <w:rPr>
          <w:rtl/>
        </w:rPr>
        <w:t>.</w:t>
      </w:r>
    </w:p>
    <w:p w:rsidR="008A74EB" w:rsidRPr="00C9040A" w:rsidRDefault="008A74EB" w:rsidP="004A4E41">
      <w:pPr>
        <w:pStyle w:val="libFootnote0"/>
        <w:rPr>
          <w:rtl/>
          <w:lang w:bidi="fa-IR"/>
        </w:rPr>
      </w:pPr>
      <w:r>
        <w:rPr>
          <w:rtl/>
        </w:rPr>
        <w:t>(13)</w:t>
      </w:r>
      <w:r w:rsidRPr="00C9040A">
        <w:rPr>
          <w:rtl/>
        </w:rPr>
        <w:t xml:space="preserve"> في « </w:t>
      </w:r>
      <w:r>
        <w:rPr>
          <w:rtl/>
        </w:rPr>
        <w:t>ه</w:t>
      </w:r>
      <w:r w:rsidR="00CC32AF">
        <w:rPr>
          <w:rFonts w:hint="cs"/>
          <w:rtl/>
        </w:rPr>
        <w:t xml:space="preserve"> </w:t>
      </w:r>
      <w:r w:rsidRPr="00C9040A">
        <w:rPr>
          <w:rtl/>
        </w:rPr>
        <w:t>» : « فأيّ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lastRenderedPageBreak/>
        <w:t xml:space="preserve">فَقَالَ </w:t>
      </w:r>
      <w:r w:rsidR="006C577F" w:rsidRPr="006C577F">
        <w:rPr>
          <w:rStyle w:val="libFootnotenumChar"/>
          <w:rtl/>
        </w:rPr>
        <w:t>(1)</w:t>
      </w:r>
      <w:r w:rsidRPr="00463D87">
        <w:rPr>
          <w:rFonts w:hint="cs"/>
          <w:rtl/>
        </w:rPr>
        <w:t xml:space="preserve"> </w:t>
      </w:r>
      <w:r>
        <w:rPr>
          <w:rtl/>
          <w:lang w:bidi="fa-IR"/>
        </w:rPr>
        <w:t>: « أَ</w:t>
      </w:r>
      <w:r w:rsidRPr="00C9040A">
        <w:rPr>
          <w:rtl/>
          <w:lang w:bidi="fa-IR"/>
        </w:rPr>
        <w:t xml:space="preserve">لَمْ تَرَ إِلى ظِلِّكَ </w:t>
      </w:r>
      <w:r w:rsidR="006C577F" w:rsidRPr="006C577F">
        <w:rPr>
          <w:rStyle w:val="libFootnotenumChar"/>
          <w:rtl/>
        </w:rPr>
        <w:t>(2)</w:t>
      </w:r>
      <w:r w:rsidRPr="00C9040A">
        <w:rPr>
          <w:rtl/>
          <w:lang w:bidi="fa-IR"/>
        </w:rPr>
        <w:t xml:space="preserve"> فِي الشَّمْسِ شَيْئاً </w:t>
      </w:r>
      <w:r w:rsidR="006C577F" w:rsidRPr="006C577F">
        <w:rPr>
          <w:rStyle w:val="libFootnotenumChar"/>
          <w:rtl/>
        </w:rPr>
        <w:t>(3)</w:t>
      </w:r>
      <w:r w:rsidRPr="00C9040A">
        <w:rPr>
          <w:rtl/>
          <w:lang w:bidi="fa-IR"/>
        </w:rPr>
        <w:t xml:space="preserve"> وَلَيْسَ بِشَيْ‌ءٍ »</w:t>
      </w:r>
      <w:r>
        <w:rPr>
          <w:rtl/>
          <w:lang w:bidi="fa-IR"/>
        </w:rPr>
        <w:t>.</w:t>
      </w:r>
    </w:p>
    <w:p w:rsidR="008A74EB" w:rsidRPr="00C9040A" w:rsidRDefault="008A74EB" w:rsidP="008A74EB">
      <w:pPr>
        <w:pStyle w:val="libNormal"/>
        <w:rPr>
          <w:rtl/>
          <w:lang w:bidi="fa-IR"/>
        </w:rPr>
      </w:pPr>
      <w:r w:rsidRPr="00C9040A">
        <w:rPr>
          <w:rtl/>
          <w:lang w:bidi="fa-IR"/>
        </w:rPr>
        <w:t xml:space="preserve">« ثُمَّ بَعَثَ </w:t>
      </w:r>
      <w:r w:rsidR="006C577F" w:rsidRPr="006C577F">
        <w:rPr>
          <w:rStyle w:val="libFootnotenumChar"/>
          <w:rtl/>
        </w:rPr>
        <w:t>(4)</w:t>
      </w:r>
      <w:r w:rsidRPr="00C9040A">
        <w:rPr>
          <w:rtl/>
          <w:lang w:bidi="fa-IR"/>
        </w:rPr>
        <w:t xml:space="preserve"> مِنْهُمُ </w:t>
      </w:r>
      <w:r w:rsidR="006C577F" w:rsidRPr="006C577F">
        <w:rPr>
          <w:rStyle w:val="libFootnotenumChar"/>
          <w:rtl/>
        </w:rPr>
        <w:t>(5)</w:t>
      </w:r>
      <w:r w:rsidRPr="00C9040A">
        <w:rPr>
          <w:rtl/>
          <w:lang w:bidi="fa-IR"/>
        </w:rPr>
        <w:t xml:space="preserve"> النَّبِيِّينَ ، فَدَعَوْهُمْ </w:t>
      </w:r>
      <w:r w:rsidR="006C577F" w:rsidRPr="006C577F">
        <w:rPr>
          <w:rStyle w:val="libFootnotenumChar"/>
          <w:rtl/>
        </w:rPr>
        <w:t>(6)</w:t>
      </w:r>
      <w:r w:rsidRPr="005B567D">
        <w:rPr>
          <w:rStyle w:val="libFootnotenumChar"/>
          <w:rtl/>
        </w:rPr>
        <w:t xml:space="preserve"> </w:t>
      </w:r>
      <w:r w:rsidRPr="00C9040A">
        <w:rPr>
          <w:rtl/>
          <w:lang w:bidi="fa-IR"/>
        </w:rPr>
        <w:t>إِلَى الْإِقْرَارِ بِاللهِ عَزَّ وَجَلَّ ، وَهُوَ قَوْلُهُ عَزَّوَجَلَّ :</w:t>
      </w:r>
      <w:r>
        <w:rPr>
          <w:rFonts w:hint="cs"/>
          <w:rtl/>
          <w:lang w:bidi="fa-IR"/>
        </w:rPr>
        <w:t xml:space="preserve"> </w:t>
      </w:r>
      <w:r w:rsidRPr="0003660B">
        <w:rPr>
          <w:rStyle w:val="libAlaemChar"/>
          <w:rtl/>
        </w:rPr>
        <w:t>(</w:t>
      </w:r>
      <w:r w:rsidRPr="006A2246">
        <w:rPr>
          <w:rStyle w:val="libAieChar"/>
          <w:rtl/>
        </w:rPr>
        <w:t xml:space="preserve"> وَلَئِنْ سَأَلْتَهُمْ مَنْ خَلَقَهُمْ لَيَقُولُنَّ اللهُ </w:t>
      </w:r>
      <w:r w:rsidRPr="0003660B">
        <w:rPr>
          <w:rStyle w:val="libAlaemChar"/>
          <w:rtl/>
        </w:rPr>
        <w:t>)</w:t>
      </w:r>
      <w:r w:rsidRPr="00C9040A">
        <w:rPr>
          <w:rtl/>
          <w:lang w:bidi="fa-IR"/>
        </w:rPr>
        <w:t xml:space="preserve"> </w:t>
      </w:r>
      <w:r w:rsidR="006C577F" w:rsidRPr="006C577F">
        <w:rPr>
          <w:rStyle w:val="libFootnotenumChar"/>
          <w:rtl/>
        </w:rPr>
        <w:t>(7)</w:t>
      </w:r>
      <w:r w:rsidRPr="00C9040A">
        <w:rPr>
          <w:rtl/>
          <w:lang w:bidi="fa-IR"/>
        </w:rPr>
        <w:t xml:space="preserve"> ثُمَّ دَعَوْهُمْ </w:t>
      </w:r>
      <w:r w:rsidR="006C577F" w:rsidRPr="006C577F">
        <w:rPr>
          <w:rStyle w:val="libFootnotenumChar"/>
          <w:rtl/>
        </w:rPr>
        <w:t>(8)</w:t>
      </w:r>
      <w:r w:rsidRPr="00C9040A">
        <w:rPr>
          <w:rtl/>
          <w:lang w:bidi="fa-IR"/>
        </w:rPr>
        <w:t xml:space="preserve"> إِلَى الْإِقْرَارِ بِالنَّبِيِّينَ فَأَقَرَّ بَعْضُهُمْ ، وَأَنْكَرَ بَعْضٌ </w:t>
      </w:r>
      <w:r w:rsidR="006C577F" w:rsidRPr="006C577F">
        <w:rPr>
          <w:rStyle w:val="libFootnotenumChar"/>
          <w:rtl/>
        </w:rPr>
        <w:t>(9)</w:t>
      </w:r>
      <w:r w:rsidRPr="00C9040A">
        <w:rPr>
          <w:rtl/>
          <w:lang w:bidi="fa-IR"/>
        </w:rPr>
        <w:t xml:space="preserve"> ، ثُمَّ دَعَوْهُمْ </w:t>
      </w:r>
      <w:r w:rsidR="006C577F" w:rsidRPr="006C577F">
        <w:rPr>
          <w:rStyle w:val="libFootnotenumChar"/>
          <w:rtl/>
        </w:rPr>
        <w:t>(10)</w:t>
      </w:r>
      <w:r w:rsidRPr="00C9040A">
        <w:rPr>
          <w:rtl/>
          <w:lang w:bidi="fa-IR"/>
        </w:rPr>
        <w:t xml:space="preserve"> إِلى وَلَايَتِنَا ، فَأَقَرَّ بِهَا وَاللهِ مَنْ أَحَبَّ ، وَأَنْكَرَهَا مَنْ أَبْغَضَ ، وَهُوَ قَوْلُهُ عَزَّ وَجَلَّ : </w:t>
      </w:r>
      <w:r w:rsidRPr="0003660B">
        <w:rPr>
          <w:rStyle w:val="libAlaemChar"/>
          <w:rtl/>
        </w:rPr>
        <w:t>(</w:t>
      </w:r>
      <w:r w:rsidRPr="006A2246">
        <w:rPr>
          <w:rStyle w:val="libAieChar"/>
          <w:rtl/>
        </w:rPr>
        <w:t xml:space="preserve"> فَما</w:t>
      </w:r>
      <w:r>
        <w:rPr>
          <w:rFonts w:hint="cs"/>
          <w:rtl/>
        </w:rPr>
        <w:t xml:space="preserve"> </w:t>
      </w:r>
      <w:r w:rsidR="006C577F" w:rsidRPr="006C577F">
        <w:rPr>
          <w:rStyle w:val="libFootnotenumChar"/>
          <w:rtl/>
        </w:rPr>
        <w:t>(11)</w:t>
      </w:r>
      <w:r>
        <w:rPr>
          <w:rFonts w:hint="cs"/>
          <w:rtl/>
        </w:rPr>
        <w:t xml:space="preserve"> </w:t>
      </w:r>
      <w:r w:rsidRPr="006A2246">
        <w:rPr>
          <w:rStyle w:val="libAieChar"/>
          <w:rtl/>
        </w:rPr>
        <w:t xml:space="preserve">كانُوا لِيُؤْمِنُوا بِما كَذَّبُوا بِهِ مِنْ قَبْلُ </w:t>
      </w:r>
      <w:r w:rsidRPr="0003660B">
        <w:rPr>
          <w:rStyle w:val="libAlaemChar"/>
          <w:rtl/>
        </w:rPr>
        <w:t>)</w:t>
      </w:r>
      <w:r w:rsidRPr="00C9040A">
        <w:rPr>
          <w:rtl/>
          <w:lang w:bidi="fa-IR"/>
        </w:rPr>
        <w:t xml:space="preserve"> </w:t>
      </w:r>
      <w:r w:rsidR="006C577F" w:rsidRPr="006C577F">
        <w:rPr>
          <w:rStyle w:val="libFootnotenumChar"/>
          <w:rtl/>
        </w:rPr>
        <w:t>(12)</w:t>
      </w:r>
      <w:r w:rsidRPr="00C9040A">
        <w:rPr>
          <w:rtl/>
          <w:lang w:bidi="fa-IR"/>
        </w:rPr>
        <w:t xml:space="preserve"> »</w:t>
      </w:r>
      <w:r>
        <w:rPr>
          <w:rtl/>
          <w:lang w:bidi="fa-IR"/>
        </w:rPr>
        <w:t>.</w:t>
      </w:r>
    </w:p>
    <w:p w:rsidR="008A74EB" w:rsidRPr="00C9040A" w:rsidRDefault="008A74EB" w:rsidP="008A74EB">
      <w:pPr>
        <w:pStyle w:val="libNormal"/>
        <w:rPr>
          <w:rtl/>
          <w:lang w:bidi="fa-IR"/>
        </w:rPr>
      </w:pPr>
      <w:r w:rsidRPr="00C9040A">
        <w:rPr>
          <w:rtl/>
          <w:lang w:bidi="fa-IR"/>
        </w:rPr>
        <w:t xml:space="preserve">ثُمَّ قَالَ أَبُو جَعْفَرٍ </w:t>
      </w:r>
      <w:r w:rsidRPr="0003660B">
        <w:rPr>
          <w:rStyle w:val="libAlaemChar"/>
          <w:rtl/>
        </w:rPr>
        <w:t>عليه‌السلام</w:t>
      </w:r>
      <w:r w:rsidRPr="00C9040A">
        <w:rPr>
          <w:rtl/>
          <w:lang w:bidi="fa-IR"/>
        </w:rPr>
        <w:t xml:space="preserve"> : « كَانَ التَّكْذِيبُ ثَمَّ »</w:t>
      </w:r>
      <w:r>
        <w:rPr>
          <w:rtl/>
          <w:lang w:bidi="fa-IR"/>
        </w:rPr>
        <w:t>.</w:t>
      </w:r>
      <w:r w:rsidRPr="00C9040A">
        <w:rPr>
          <w:rtl/>
          <w:lang w:bidi="fa-IR"/>
        </w:rPr>
        <w:t xml:space="preserve"> </w:t>
      </w:r>
      <w:r w:rsidRPr="005B567D">
        <w:rPr>
          <w:rStyle w:val="libFootnotenumChar"/>
          <w:rtl/>
        </w:rPr>
        <w:t>(13)</w:t>
      </w:r>
      <w:r w:rsidRPr="00C9040A">
        <w:rPr>
          <w:rtl/>
          <w:lang w:bidi="fa-IR"/>
        </w:rPr>
        <w:t xml:space="preserve"> ‌</w:t>
      </w:r>
    </w:p>
    <w:p w:rsidR="008A74EB" w:rsidRDefault="008A74EB" w:rsidP="008B7A50">
      <w:pPr>
        <w:pStyle w:val="Heading2Center"/>
        <w:rPr>
          <w:rtl/>
          <w:lang w:bidi="fa-IR"/>
        </w:rPr>
      </w:pPr>
      <w:bookmarkStart w:id="19" w:name="_Toc343795594"/>
      <w:bookmarkStart w:id="20" w:name="_Toc459810718"/>
      <w:bookmarkStart w:id="21" w:name="_Toc35348624"/>
      <w:r w:rsidRPr="00C9040A">
        <w:rPr>
          <w:rtl/>
          <w:lang w:bidi="fa-IR"/>
        </w:rPr>
        <w:t>4</w:t>
      </w:r>
      <w:r>
        <w:rPr>
          <w:rtl/>
          <w:lang w:bidi="fa-IR"/>
        </w:rPr>
        <w:t xml:space="preserve"> </w:t>
      </w:r>
      <w:r w:rsidR="0084262C">
        <w:rPr>
          <w:rtl/>
          <w:lang w:bidi="fa-IR"/>
        </w:rPr>
        <w:t>-</w:t>
      </w:r>
      <w:r>
        <w:rPr>
          <w:rtl/>
          <w:lang w:bidi="fa-IR"/>
        </w:rPr>
        <w:t xml:space="preserve"> </w:t>
      </w:r>
      <w:r w:rsidRPr="00C9040A">
        <w:rPr>
          <w:rtl/>
          <w:lang w:bidi="fa-IR"/>
        </w:rPr>
        <w:t xml:space="preserve">بَابُ أَنَّ رَسُولَ اللهِ </w:t>
      </w:r>
      <w:r w:rsidR="004A4E41" w:rsidRPr="004A4E41">
        <w:rPr>
          <w:rStyle w:val="libAlaemChar"/>
          <w:rFonts w:eastAsiaTheme="minorHAnsi"/>
          <w:rtl/>
        </w:rPr>
        <w:t>صلى‌الله‌عليه‌وآله</w:t>
      </w:r>
      <w:r w:rsidR="008B7A50" w:rsidRPr="00C9040A">
        <w:rPr>
          <w:rtl/>
          <w:lang w:bidi="fa-IR"/>
        </w:rPr>
        <w:t xml:space="preserve"> </w:t>
      </w:r>
      <w:r w:rsidRPr="00C9040A">
        <w:rPr>
          <w:rtl/>
          <w:lang w:bidi="fa-IR"/>
        </w:rPr>
        <w:t>أَوَّلُ مَنْ أَجَابَ</w:t>
      </w:r>
      <w:bookmarkEnd w:id="19"/>
      <w:bookmarkEnd w:id="20"/>
      <w:bookmarkEnd w:id="21"/>
    </w:p>
    <w:p w:rsidR="008A74EB" w:rsidRPr="00C9040A" w:rsidRDefault="008A74EB" w:rsidP="008A74EB">
      <w:pPr>
        <w:pStyle w:val="Heading2Center"/>
        <w:rPr>
          <w:rtl/>
          <w:lang w:bidi="fa-IR"/>
        </w:rPr>
      </w:pPr>
      <w:bookmarkStart w:id="22" w:name="_Toc343795595"/>
      <w:bookmarkStart w:id="23" w:name="_Toc459810719"/>
      <w:bookmarkStart w:id="24" w:name="_Toc35348625"/>
      <w:r w:rsidRPr="00C9040A">
        <w:rPr>
          <w:rtl/>
          <w:lang w:bidi="fa-IR"/>
        </w:rPr>
        <w:t xml:space="preserve">وَأَقَرَّ </w:t>
      </w:r>
      <w:r w:rsidRPr="005B567D">
        <w:rPr>
          <w:rStyle w:val="libFootnotenumChar"/>
          <w:rtl/>
        </w:rPr>
        <w:t>(14)</w:t>
      </w:r>
      <w:r>
        <w:rPr>
          <w:rtl/>
          <w:lang w:bidi="fa-IR"/>
        </w:rPr>
        <w:t xml:space="preserve"> </w:t>
      </w:r>
      <w:r w:rsidRPr="00C9040A">
        <w:rPr>
          <w:rtl/>
          <w:lang w:bidi="fa-IR"/>
        </w:rPr>
        <w:t>لِلّهِ عَزَّ وَجَلَّ بِالرُّبُوبِيَّةِ‌</w:t>
      </w:r>
      <w:bookmarkEnd w:id="22"/>
      <w:bookmarkEnd w:id="23"/>
      <w:bookmarkEnd w:id="24"/>
    </w:p>
    <w:p w:rsidR="008A74EB" w:rsidRPr="00C9040A" w:rsidRDefault="008A74EB" w:rsidP="008A74EB">
      <w:pPr>
        <w:pStyle w:val="libNormal"/>
        <w:rPr>
          <w:rtl/>
          <w:lang w:bidi="fa-IR"/>
        </w:rPr>
      </w:pPr>
      <w:r w:rsidRPr="00824E80">
        <w:rPr>
          <w:rtl/>
        </w:rPr>
        <w:t>1462</w:t>
      </w:r>
      <w:r w:rsidRPr="00261CB0">
        <w:rPr>
          <w:rStyle w:val="libBold2Char"/>
          <w:rtl/>
        </w:rPr>
        <w:t xml:space="preserve"> / 1.</w:t>
      </w:r>
      <w:r w:rsidRPr="00C9040A">
        <w:rPr>
          <w:rtl/>
          <w:lang w:bidi="fa-IR"/>
        </w:rPr>
        <w:t xml:space="preserve"> مُحَمَّدُ بْنُ يَحْيى ، عَنْ أَحْمَدَ بْنِ مُحَمَّدٍ ، عَنِ الْحَسَنِ بْنِ مَحْبُوبٍ ، عَنْ‌</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الكافي ، ح 1181 والبصائر : « قال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البصائر : « إذا ظلّل » بدل « إلى ظلّك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w:t>
      </w:r>
      <w:r w:rsidR="008A74EB">
        <w:rPr>
          <w:rtl/>
        </w:rPr>
        <w:t>ه</w:t>
      </w:r>
      <w:r w:rsidR="008A74EB" w:rsidRPr="00C9040A">
        <w:rPr>
          <w:rtl/>
        </w:rPr>
        <w:t xml:space="preserve"> » والكافي ، ح 1181 : « شي‌ء »</w:t>
      </w:r>
      <w:r w:rsidR="008A74EB">
        <w:rPr>
          <w:rtl/>
        </w:rPr>
        <w:t>.</w:t>
      </w:r>
      <w:r w:rsidR="008A74EB" w:rsidRPr="00C9040A">
        <w:rPr>
          <w:rtl/>
        </w:rPr>
        <w:t xml:space="preserve"> وقال في </w:t>
      </w:r>
      <w:r w:rsidR="008A74EB" w:rsidRPr="00993B55">
        <w:rPr>
          <w:rStyle w:val="libFootnoteBoldChar"/>
          <w:rtl/>
        </w:rPr>
        <w:t>مرآة العقول</w:t>
      </w:r>
      <w:r w:rsidR="008A74EB" w:rsidRPr="00C9040A">
        <w:rPr>
          <w:rtl/>
        </w:rPr>
        <w:t xml:space="preserve"> : « وقوله : شيئاً ، بتقدير تحسبه ، أو الرؤية بمعنى العلم ، لكن ينافيه تعديتها</w:t>
      </w:r>
      <w:r w:rsidR="008A74EB">
        <w:rPr>
          <w:rtl/>
        </w:rPr>
        <w:t xml:space="preserve"> ب</w:t>
      </w:r>
      <w:r w:rsidR="0084262C">
        <w:rPr>
          <w:rtl/>
        </w:rPr>
        <w:t>-</w:t>
      </w:r>
      <w:r w:rsidR="008A74EB">
        <w:rPr>
          <w:rtl/>
        </w:rPr>
        <w:t xml:space="preserve"> «</w:t>
      </w:r>
      <w:r w:rsidR="008A74EB" w:rsidRPr="00C9040A">
        <w:rPr>
          <w:rtl/>
        </w:rPr>
        <w:t xml:space="preserve"> إلى »</w:t>
      </w:r>
      <w:r w:rsidR="008A74EB">
        <w:rPr>
          <w:rtl/>
        </w:rPr>
        <w:t>.</w:t>
      </w:r>
      <w:r w:rsidR="008A74EB" w:rsidRPr="00C9040A">
        <w:rPr>
          <w:rtl/>
        </w:rPr>
        <w:t xml:space="preserve"> والأظهر : شي‌ء ، كما كان فيما مضى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الكافي ، ح 1181 : + « الله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البحار والكافي ، ح 1181 والبصائر وتفسير العيّاشي : « فيهم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الكافي ، ح 1181 والبصائر وتفسير العيّاشي : « يدعونهم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الزخرف (43) : 87.</w:t>
      </w:r>
    </w:p>
    <w:p w:rsidR="008A74EB" w:rsidRPr="00C9040A" w:rsidRDefault="006C577F" w:rsidP="004A4E41">
      <w:pPr>
        <w:pStyle w:val="libFootnote0"/>
        <w:rPr>
          <w:rtl/>
          <w:lang w:bidi="fa-IR"/>
        </w:rPr>
      </w:pPr>
      <w:r>
        <w:rPr>
          <w:rtl/>
        </w:rPr>
        <w:t>(8).</w:t>
      </w:r>
      <w:r w:rsidR="008A74EB" w:rsidRPr="00C9040A">
        <w:rPr>
          <w:rtl/>
        </w:rPr>
        <w:t xml:space="preserve"> في الكافي ، ح 1181 والبصائر : « دعاهم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ج » والبحار والكافي ، ح 1181 والبصائر : « بعضهم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الكافي ، ح 1181 والبصائر : « دعاهم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هكذا في القرآن. وفي أكثر النسخ والوافي : « وما »</w:t>
      </w:r>
      <w:r w:rsidR="008A74EB">
        <w:rPr>
          <w:rtl/>
        </w:rPr>
        <w:t>.</w:t>
      </w:r>
      <w:r w:rsidR="008A74EB" w:rsidRPr="00C9040A">
        <w:rPr>
          <w:rtl/>
        </w:rPr>
        <w:t xml:space="preserve"> وفي المطبوع : « ما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يونس </w:t>
      </w:r>
      <w:r>
        <w:rPr>
          <w:rtl/>
        </w:rPr>
        <w:t>(10).</w:t>
      </w:r>
      <w:r w:rsidR="008A74EB" w:rsidRPr="00C9040A">
        <w:rPr>
          <w:rtl/>
        </w:rPr>
        <w:t xml:space="preserve"> : 74.</w:t>
      </w:r>
    </w:p>
    <w:p w:rsidR="008A74EB" w:rsidRPr="00C9040A" w:rsidRDefault="008A74EB" w:rsidP="004A4E41">
      <w:pPr>
        <w:pStyle w:val="libFootnote0"/>
        <w:rPr>
          <w:rtl/>
          <w:lang w:bidi="fa-IR"/>
        </w:rPr>
      </w:pPr>
      <w:r>
        <w:rPr>
          <w:rtl/>
        </w:rPr>
        <w:t>(13)</w:t>
      </w:r>
      <w:r w:rsidRPr="00C9040A">
        <w:rPr>
          <w:rtl/>
        </w:rPr>
        <w:t xml:space="preserve"> </w:t>
      </w:r>
      <w:r w:rsidRPr="00993B55">
        <w:rPr>
          <w:rStyle w:val="libFootnoteBoldChar"/>
          <w:rtl/>
        </w:rPr>
        <w:t>الكافي</w:t>
      </w:r>
      <w:r w:rsidRPr="00C9040A">
        <w:rPr>
          <w:rtl/>
        </w:rPr>
        <w:t xml:space="preserve"> ، كتاب الحجّة ، باب فيه نتف وجوامع من الرواية في الولاية ، ح 1181. </w:t>
      </w:r>
      <w:r w:rsidRPr="00993B55">
        <w:rPr>
          <w:rStyle w:val="libFootnoteBoldChar"/>
          <w:rtl/>
        </w:rPr>
        <w:t>بصائر الدرجات</w:t>
      </w:r>
      <w:r w:rsidRPr="00C9040A">
        <w:rPr>
          <w:rtl/>
        </w:rPr>
        <w:t xml:space="preserve"> ، ص 80 ، ح 1 ، عن محمّد بن الحسين. </w:t>
      </w:r>
      <w:r w:rsidRPr="00993B55">
        <w:rPr>
          <w:rStyle w:val="libFootnoteBoldChar"/>
          <w:rtl/>
        </w:rPr>
        <w:t>علل الشرائع</w:t>
      </w:r>
      <w:r w:rsidRPr="00C9040A">
        <w:rPr>
          <w:rtl/>
        </w:rPr>
        <w:t xml:space="preserve"> ، ص 118 ، ح 3 ، بسنده عن محمّد بن إسماعيل بن بزيع. </w:t>
      </w:r>
      <w:r w:rsidRPr="00993B55">
        <w:rPr>
          <w:rStyle w:val="libFootnoteBoldChar"/>
          <w:rtl/>
        </w:rPr>
        <w:t>تفسير العيّاشي</w:t>
      </w:r>
      <w:r w:rsidRPr="00C9040A">
        <w:rPr>
          <w:rtl/>
        </w:rPr>
        <w:t xml:space="preserve"> ، ج 2 ، ص 126 ، ح 37 ، عن عبد الله بن محمّد الجعفي ، عن أبي عبدالله </w:t>
      </w:r>
      <w:r w:rsidR="00117575" w:rsidRPr="00117575">
        <w:rPr>
          <w:rStyle w:val="libFootnoteAlaemChar"/>
          <w:rtl/>
        </w:rPr>
        <w:t xml:space="preserve">عليه‌السلام </w:t>
      </w:r>
      <w:r w:rsidRPr="00C9040A">
        <w:rPr>
          <w:rtl/>
        </w:rPr>
        <w:t xml:space="preserve"> ، وفي الثلاثة الأخيرة مع اختلاف يسير </w:t>
      </w:r>
      <w:r w:rsidRPr="00993B55">
        <w:rPr>
          <w:rStyle w:val="libFootnoteBoldChar"/>
          <w:rtl/>
        </w:rPr>
        <w:t>الوافي</w:t>
      </w:r>
      <w:r w:rsidRPr="00C9040A">
        <w:rPr>
          <w:rtl/>
        </w:rPr>
        <w:t xml:space="preserve"> ، ج 4 ، ص 35 ، ح 1652 ؛ </w:t>
      </w:r>
      <w:r w:rsidRPr="00993B55">
        <w:rPr>
          <w:rStyle w:val="libFootnoteBoldChar"/>
          <w:rtl/>
        </w:rPr>
        <w:t>البحار</w:t>
      </w:r>
      <w:r w:rsidRPr="00C9040A">
        <w:rPr>
          <w:rtl/>
        </w:rPr>
        <w:t xml:space="preserve"> ، ج 67 ، ص 98 ، ح 16.</w:t>
      </w:r>
    </w:p>
    <w:p w:rsidR="008A74EB" w:rsidRPr="00C9040A" w:rsidRDefault="008A74EB" w:rsidP="004A4E41">
      <w:pPr>
        <w:pStyle w:val="libFootnote0"/>
        <w:rPr>
          <w:rtl/>
          <w:lang w:bidi="fa-IR"/>
        </w:rPr>
      </w:pPr>
      <w:r w:rsidRPr="00C9040A">
        <w:rPr>
          <w:rtl/>
        </w:rPr>
        <w:t>(14) 14. في « ص ، ف » : « أقرّ وأجاب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صَالِحِ بْنِ سَهْلٍ :</w:t>
      </w:r>
    </w:p>
    <w:p w:rsidR="008A74EB" w:rsidRPr="00C9040A" w:rsidRDefault="008A74EB" w:rsidP="008B7A50">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w:t>
      </w:r>
      <w:r w:rsidR="006C577F" w:rsidRPr="006C577F">
        <w:rPr>
          <w:rStyle w:val="libFootnotenumChar"/>
          <w:rtl/>
        </w:rPr>
        <w:t>(1)</w:t>
      </w:r>
      <w:r w:rsidRPr="00463D87">
        <w:rPr>
          <w:rFonts w:hint="cs"/>
          <w:rtl/>
        </w:rPr>
        <w:t xml:space="preserve"> </w:t>
      </w:r>
      <w:r w:rsidRPr="00C9040A">
        <w:rPr>
          <w:rtl/>
          <w:lang w:bidi="fa-IR"/>
        </w:rPr>
        <w:t xml:space="preserve">: « أَنَّ بَعْضَ قُرَيْشٍ قَالَ لِرَسُولِ اللهِ </w:t>
      </w:r>
      <w:r w:rsidR="004A4E41" w:rsidRPr="004A4E41">
        <w:rPr>
          <w:rStyle w:val="libAlaemChar"/>
          <w:rFonts w:eastAsiaTheme="minorHAnsi"/>
          <w:rtl/>
        </w:rPr>
        <w:t>صلى‌الله‌عليه‌وآله</w:t>
      </w:r>
      <w:r w:rsidRPr="00C9040A">
        <w:rPr>
          <w:rtl/>
          <w:lang w:bidi="fa-IR"/>
        </w:rPr>
        <w:t xml:space="preserve">: بِأَيِّ شَيْ‌ءٍ سَبَقْتَ الْأَنْبِيَاءَ </w:t>
      </w:r>
      <w:r w:rsidR="006C577F" w:rsidRPr="006C577F">
        <w:rPr>
          <w:rStyle w:val="libFootnotenumChar"/>
          <w:rtl/>
        </w:rPr>
        <w:t>(2)</w:t>
      </w:r>
      <w:r w:rsidRPr="00C9040A">
        <w:rPr>
          <w:rtl/>
          <w:lang w:bidi="fa-IR"/>
        </w:rPr>
        <w:t xml:space="preserve"> وَأَنْتَ بُعِثْتَ آخِرَهُمْ وَخَاتَمَهُمْ</w:t>
      </w:r>
      <w:r>
        <w:rPr>
          <w:rtl/>
          <w:lang w:bidi="fa-IR"/>
        </w:rPr>
        <w:t>؟</w:t>
      </w:r>
    </w:p>
    <w:p w:rsidR="008A74EB" w:rsidRPr="00C9040A" w:rsidRDefault="008A74EB" w:rsidP="008A74EB">
      <w:pPr>
        <w:pStyle w:val="libNormal"/>
        <w:rPr>
          <w:rtl/>
          <w:lang w:bidi="fa-IR"/>
        </w:rPr>
      </w:pPr>
      <w:r w:rsidRPr="00C9040A">
        <w:rPr>
          <w:rtl/>
          <w:lang w:bidi="fa-IR"/>
        </w:rPr>
        <w:t xml:space="preserve">فَقَالَ </w:t>
      </w:r>
      <w:r w:rsidR="006C577F" w:rsidRPr="006C577F">
        <w:rPr>
          <w:rStyle w:val="libFootnotenumChar"/>
          <w:rtl/>
        </w:rPr>
        <w:t>(3)</w:t>
      </w:r>
      <w:r w:rsidRPr="00C9040A">
        <w:rPr>
          <w:rtl/>
          <w:lang w:bidi="fa-IR"/>
        </w:rPr>
        <w:t xml:space="preserve"> : إِنِّي كُنْتُ أَوَّلَ مَنْ آمَنَ بِرَبِّي ، وَأَوَّلَ مَنْ أَجَابَ حَيْثُ </w:t>
      </w:r>
      <w:r w:rsidR="006C577F" w:rsidRPr="006C577F">
        <w:rPr>
          <w:rStyle w:val="libFootnotenumChar"/>
          <w:rtl/>
        </w:rPr>
        <w:t>(4)</w:t>
      </w:r>
      <w:r w:rsidRPr="00C9040A">
        <w:rPr>
          <w:rtl/>
          <w:lang w:bidi="fa-IR"/>
        </w:rPr>
        <w:t xml:space="preserve"> أَخَذَ اللهُ مِيثَاقَ </w:t>
      </w:r>
      <w:r w:rsidR="006C577F" w:rsidRPr="006C577F">
        <w:rPr>
          <w:rStyle w:val="libFootnotenumChar"/>
          <w:rtl/>
        </w:rPr>
        <w:t>(5)</w:t>
      </w:r>
      <w:r w:rsidRPr="00C9040A">
        <w:rPr>
          <w:rtl/>
          <w:lang w:bidi="fa-IR"/>
        </w:rPr>
        <w:t xml:space="preserve"> النَّبِيِّينَ ، </w:t>
      </w:r>
      <w:r w:rsidRPr="0003660B">
        <w:rPr>
          <w:rStyle w:val="libAlaemChar"/>
          <w:rtl/>
        </w:rPr>
        <w:t>(</w:t>
      </w:r>
      <w:r w:rsidRPr="006A2246">
        <w:rPr>
          <w:rStyle w:val="libAieChar"/>
          <w:rtl/>
        </w:rPr>
        <w:t xml:space="preserve"> وَأَشْهَدَهُمْ عَلى أَنْفُسِهِمْ أَلَسْتُ بِرَبِّكُمْ </w:t>
      </w:r>
      <w:r w:rsidRPr="0003660B">
        <w:rPr>
          <w:rStyle w:val="libAlaemChar"/>
          <w:rtl/>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 xml:space="preserve">فَكُنْتُ أَنَا أَوَّلَ نَبِيٍّ </w:t>
      </w:r>
      <w:r w:rsidR="006C577F" w:rsidRPr="006C577F">
        <w:rPr>
          <w:rStyle w:val="libFootnotenumChar"/>
          <w:rtl/>
        </w:rPr>
        <w:t>(7)</w:t>
      </w:r>
      <w:r w:rsidRPr="00C9040A">
        <w:rPr>
          <w:rtl/>
          <w:lang w:bidi="fa-IR"/>
        </w:rPr>
        <w:t xml:space="preserve"> قَالَ : بَلى ، فَسَبَقْتُهُمْ بِالْإِقْرَارِ </w:t>
      </w:r>
      <w:r w:rsidR="006C577F" w:rsidRPr="006C577F">
        <w:rPr>
          <w:rStyle w:val="libFootnotenumChar"/>
          <w:rtl/>
        </w:rPr>
        <w:t>(8)</w:t>
      </w:r>
      <w:r w:rsidRPr="00C9040A">
        <w:rPr>
          <w:rtl/>
          <w:lang w:bidi="fa-IR"/>
        </w:rPr>
        <w:t xml:space="preserve"> بِاللهِ </w:t>
      </w:r>
      <w:r w:rsidR="006C577F" w:rsidRPr="006C577F">
        <w:rPr>
          <w:rStyle w:val="libFootnotenumChar"/>
          <w:rtl/>
        </w:rPr>
        <w:t>(9)</w:t>
      </w:r>
      <w:r w:rsidRPr="00C9040A">
        <w:rPr>
          <w:rtl/>
          <w:lang w:bidi="fa-IR"/>
        </w:rPr>
        <w:t xml:space="preserve"> عَزَّ وَجَلَّ »</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Normal"/>
        <w:rPr>
          <w:rtl/>
          <w:lang w:bidi="fa-IR"/>
        </w:rPr>
      </w:pPr>
      <w:r w:rsidRPr="00824E80">
        <w:rPr>
          <w:rtl/>
        </w:rPr>
        <w:t>1463</w:t>
      </w:r>
      <w:r w:rsidRPr="00261CB0">
        <w:rPr>
          <w:rStyle w:val="libBold2Char"/>
          <w:rtl/>
        </w:rPr>
        <w:t xml:space="preserve"> / 2.</w:t>
      </w:r>
      <w:r w:rsidRPr="00C9040A">
        <w:rPr>
          <w:rtl/>
          <w:lang w:bidi="fa-IR"/>
        </w:rPr>
        <w:t xml:space="preserve"> أَحْمَدُ بْنُ مُحَمَّدٍ </w:t>
      </w:r>
      <w:r w:rsidR="006C577F" w:rsidRPr="006C577F">
        <w:rPr>
          <w:rStyle w:val="libFootnotenumChar"/>
          <w:rtl/>
        </w:rPr>
        <w:t>(11)</w:t>
      </w:r>
      <w:r w:rsidRPr="00C9040A">
        <w:rPr>
          <w:rtl/>
          <w:lang w:bidi="fa-IR"/>
        </w:rPr>
        <w:t xml:space="preserve"> ، عَنْ مُحَمَّدِ بْنِ خَالِدٍ ، عَنْ بَعْضِ أَصْحَابِنَا ، عَنْ عَبْدِ اللهِ بْنِ سِنَانٍ ، قَالَ :</w:t>
      </w:r>
    </w:p>
    <w:p w:rsidR="008A74EB" w:rsidRPr="00C9040A" w:rsidRDefault="008A74EB" w:rsidP="008A74EB">
      <w:pPr>
        <w:pStyle w:val="libNormal"/>
        <w:rPr>
          <w:rtl/>
          <w:lang w:bidi="fa-IR"/>
        </w:rPr>
      </w:pPr>
      <w:r w:rsidRPr="00C9040A">
        <w:rPr>
          <w:rtl/>
          <w:lang w:bidi="fa-IR"/>
        </w:rPr>
        <w:t xml:space="preserve">قُلْتُ لِأَبِي عَبْدِ اللهِ </w:t>
      </w:r>
      <w:r w:rsidRPr="0003660B">
        <w:rPr>
          <w:rStyle w:val="libAlaemChar"/>
          <w:rtl/>
        </w:rPr>
        <w:t>عليه‌السلام</w:t>
      </w:r>
      <w:r w:rsidRPr="00C9040A">
        <w:rPr>
          <w:rtl/>
          <w:lang w:bidi="fa-IR"/>
        </w:rPr>
        <w:t xml:space="preserve"> : جُعِلْتُ فِدَاكَ ، إِنِّي لَأَرى بَعْضَ أَصْحَابِنَا يَعْتَرِيهِ النَّزَقُ </w:t>
      </w:r>
      <w:r w:rsidR="006C577F" w:rsidRPr="006C577F">
        <w:rPr>
          <w:rStyle w:val="libFootnotenumChar"/>
          <w:rtl/>
        </w:rPr>
        <w:t>(12)</w:t>
      </w:r>
      <w:r w:rsidRPr="00C9040A">
        <w:rPr>
          <w:rtl/>
          <w:lang w:bidi="fa-IR"/>
        </w:rPr>
        <w:t xml:space="preserve"> وَالْحِدَّةُ </w:t>
      </w:r>
      <w:r w:rsidRPr="005B567D">
        <w:rPr>
          <w:rStyle w:val="libFootnotenumChar"/>
          <w:rtl/>
        </w:rPr>
        <w:t>(13)</w:t>
      </w:r>
      <w:r w:rsidRPr="00C9040A">
        <w:rPr>
          <w:rtl/>
          <w:lang w:bidi="fa-IR"/>
        </w:rPr>
        <w:t xml:space="preserve"> وَالطَّيْشُ </w:t>
      </w:r>
      <w:r w:rsidRPr="005B567D">
        <w:rPr>
          <w:rStyle w:val="libFootnotenumChar"/>
          <w:rtl/>
        </w:rPr>
        <w:t>(14)</w:t>
      </w:r>
      <w:r w:rsidRPr="00C9040A">
        <w:rPr>
          <w:rtl/>
          <w:lang w:bidi="fa-IR"/>
        </w:rPr>
        <w:t xml:space="preserve"> ، فَأَغْتَمُّ لِذلِكَ غَمّاً شَدِيداً ، وَأَرى مَنْ خَالَفَنَا ، فَأَرَاهُ حَسَنَ‌</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6D3162" w:rsidTr="006D3162">
        <w:tc>
          <w:tcPr>
            <w:tcW w:w="4006" w:type="dxa"/>
          </w:tcPr>
          <w:p w:rsidR="006D3162" w:rsidRDefault="006C577F" w:rsidP="004A4E41">
            <w:pPr>
              <w:pStyle w:val="libFootnote0"/>
              <w:rPr>
                <w:rtl/>
              </w:rPr>
            </w:pPr>
            <w:r>
              <w:rPr>
                <w:rtl/>
              </w:rPr>
              <w:t>(1).</w:t>
            </w:r>
            <w:r w:rsidR="006D3162" w:rsidRPr="00C9040A">
              <w:rPr>
                <w:rtl/>
              </w:rPr>
              <w:t xml:space="preserve"> في « ف » وتفسير العيّاشي والعلل : + « قال »</w:t>
            </w:r>
            <w:r w:rsidR="006D3162">
              <w:rPr>
                <w:rtl/>
              </w:rPr>
              <w:t>.</w:t>
            </w:r>
          </w:p>
        </w:tc>
        <w:tc>
          <w:tcPr>
            <w:tcW w:w="4006" w:type="dxa"/>
          </w:tcPr>
          <w:p w:rsidR="006D3162" w:rsidRDefault="006C577F" w:rsidP="004A4E41">
            <w:pPr>
              <w:pStyle w:val="libFootnote0"/>
              <w:rPr>
                <w:rtl/>
              </w:rPr>
            </w:pPr>
            <w:r>
              <w:rPr>
                <w:rtl/>
              </w:rPr>
              <w:t>(2).</w:t>
            </w:r>
            <w:r w:rsidR="006D3162">
              <w:rPr>
                <w:rtl/>
              </w:rPr>
              <w:t xml:space="preserve"> </w:t>
            </w:r>
            <w:r w:rsidR="006D3162" w:rsidRPr="00C9040A">
              <w:rPr>
                <w:rtl/>
              </w:rPr>
              <w:t>في العلل : + « وفضّلت عليهم »</w:t>
            </w:r>
            <w:r w:rsidR="006D3162">
              <w:rPr>
                <w:rtl/>
              </w:rPr>
              <w:t>.</w:t>
            </w:r>
          </w:p>
        </w:tc>
      </w:tr>
    </w:tbl>
    <w:p w:rsidR="008A74EB" w:rsidRPr="00C9040A" w:rsidRDefault="006C577F" w:rsidP="004A4E41">
      <w:pPr>
        <w:pStyle w:val="libFootnote0"/>
        <w:rPr>
          <w:rtl/>
          <w:lang w:bidi="fa-IR"/>
        </w:rPr>
      </w:pPr>
      <w:r>
        <w:rPr>
          <w:rtl/>
        </w:rPr>
        <w:t>(3).</w:t>
      </w:r>
      <w:r w:rsidR="008A74EB" w:rsidRPr="00C9040A">
        <w:rPr>
          <w:rtl/>
        </w:rPr>
        <w:t xml:space="preserve"> في البحار والكافي ، ح 1197 والبصائر والعلل : « قال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w:t>
      </w:r>
      <w:r w:rsidR="006D3162">
        <w:rPr>
          <w:rtl/>
        </w:rPr>
        <w:t xml:space="preserve">ه </w:t>
      </w:r>
      <w:r w:rsidR="008A74EB" w:rsidRPr="00C9040A">
        <w:rPr>
          <w:rtl/>
        </w:rPr>
        <w:t>، بف » وحاشية « ب » والوافي والكافي ، ح 1197 : « حين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ج ، </w:t>
      </w:r>
      <w:r w:rsidR="006D3162">
        <w:rPr>
          <w:rtl/>
        </w:rPr>
        <w:t xml:space="preserve">ه </w:t>
      </w:r>
      <w:r w:rsidR="008A74EB" w:rsidRPr="00C9040A">
        <w:rPr>
          <w:rtl/>
        </w:rPr>
        <w:t>» : « الميثاق على »</w:t>
      </w:r>
      <w:r w:rsidR="008A74EB">
        <w:rPr>
          <w:rtl/>
        </w:rPr>
        <w:t>.</w:t>
      </w:r>
    </w:p>
    <w:p w:rsidR="008A74EB" w:rsidRPr="004A4E41" w:rsidRDefault="006C577F" w:rsidP="004A4E41">
      <w:pPr>
        <w:pStyle w:val="libFootnote0"/>
        <w:rPr>
          <w:rStyle w:val="libFootnote0Char"/>
          <w:rtl/>
        </w:rPr>
      </w:pPr>
      <w:r>
        <w:rPr>
          <w:rtl/>
        </w:rPr>
        <w:t>(6).</w:t>
      </w:r>
      <w:r w:rsidR="008A74EB">
        <w:rPr>
          <w:rtl/>
        </w:rPr>
        <w:t xml:space="preserve"> </w:t>
      </w:r>
      <w:r w:rsidR="008A74EB" w:rsidRPr="00C9040A">
        <w:rPr>
          <w:rtl/>
        </w:rPr>
        <w:t xml:space="preserve">الأعراف </w:t>
      </w:r>
      <w:r>
        <w:rPr>
          <w:rtl/>
        </w:rPr>
        <w:t>(7).</w:t>
      </w:r>
      <w:r w:rsidR="008A74EB" w:rsidRPr="00C9040A">
        <w:rPr>
          <w:rtl/>
        </w:rPr>
        <w:t xml:space="preserve"> : 172. وفي « </w:t>
      </w:r>
      <w:r w:rsidR="006D3162">
        <w:rPr>
          <w:rtl/>
        </w:rPr>
        <w:t xml:space="preserve">ه </w:t>
      </w:r>
      <w:r w:rsidR="008A74EB" w:rsidRPr="00C9040A">
        <w:rPr>
          <w:rtl/>
        </w:rPr>
        <w:t xml:space="preserve">» والكافي ، ح 1197 والبصائر وتفسير العيّاشي والعلل : + </w:t>
      </w:r>
      <w:r w:rsidR="006D3162" w:rsidRPr="004A4E41">
        <w:rPr>
          <w:rFonts w:hint="cs"/>
          <w:rtl/>
        </w:rPr>
        <w:t>(</w:t>
      </w:r>
      <w:r w:rsidR="008A74EB" w:rsidRPr="006D3162">
        <w:rPr>
          <w:rStyle w:val="libFootnoteAieChar"/>
          <w:rtl/>
        </w:rPr>
        <w:t xml:space="preserve"> قَالُوا بَلَى </w:t>
      </w:r>
      <w:r w:rsidR="006D3162" w:rsidRPr="004A4E41">
        <w:rPr>
          <w:rFonts w:hint="cs"/>
          <w:rtl/>
        </w:rPr>
        <w:t>)</w:t>
      </w:r>
      <w:r w:rsidR="008A74EB">
        <w:rPr>
          <w:rtl/>
        </w:rPr>
        <w:t>.</w:t>
      </w:r>
    </w:p>
    <w:tbl>
      <w:tblPr>
        <w:tblStyle w:val="TableGrid"/>
        <w:bidiVisual/>
        <w:tblW w:w="0" w:type="auto"/>
        <w:tblLook w:val="04A0" w:firstRow="1" w:lastRow="0" w:firstColumn="1" w:lastColumn="0" w:noHBand="0" w:noVBand="1"/>
      </w:tblPr>
      <w:tblGrid>
        <w:gridCol w:w="4006"/>
        <w:gridCol w:w="4006"/>
      </w:tblGrid>
      <w:tr w:rsidR="006D3162" w:rsidTr="006D3162">
        <w:tc>
          <w:tcPr>
            <w:tcW w:w="4006" w:type="dxa"/>
          </w:tcPr>
          <w:p w:rsidR="006D3162" w:rsidRDefault="006C577F" w:rsidP="004A4E41">
            <w:pPr>
              <w:pStyle w:val="libFootnote0"/>
              <w:rPr>
                <w:rtl/>
              </w:rPr>
            </w:pPr>
            <w:r>
              <w:rPr>
                <w:rtl/>
              </w:rPr>
              <w:t>(7).</w:t>
            </w:r>
            <w:r w:rsidR="006D3162" w:rsidRPr="00C9040A">
              <w:rPr>
                <w:rtl/>
              </w:rPr>
              <w:t xml:space="preserve"> في « ب ، ج ، ص ، ف ، </w:t>
            </w:r>
            <w:r w:rsidR="006D3162">
              <w:rPr>
                <w:rtl/>
              </w:rPr>
              <w:t xml:space="preserve">ه </w:t>
            </w:r>
            <w:r w:rsidR="006D3162" w:rsidRPr="00C9040A">
              <w:rPr>
                <w:rtl/>
              </w:rPr>
              <w:t>، بف » : « مَن »</w:t>
            </w:r>
            <w:r w:rsidR="006D3162">
              <w:rPr>
                <w:rtl/>
              </w:rPr>
              <w:t>.</w:t>
            </w:r>
          </w:p>
        </w:tc>
        <w:tc>
          <w:tcPr>
            <w:tcW w:w="4006" w:type="dxa"/>
          </w:tcPr>
          <w:p w:rsidR="006D3162" w:rsidRDefault="006C577F" w:rsidP="004A4E41">
            <w:pPr>
              <w:pStyle w:val="libFootnote0"/>
              <w:rPr>
                <w:rtl/>
              </w:rPr>
            </w:pPr>
            <w:r>
              <w:rPr>
                <w:rtl/>
              </w:rPr>
              <w:t>(8).</w:t>
            </w:r>
            <w:r w:rsidR="006D3162" w:rsidRPr="00C9040A">
              <w:rPr>
                <w:rtl/>
              </w:rPr>
              <w:t xml:space="preserve"> في تفسير العيّاشي والعلل : « إلى الإقرار »</w:t>
            </w:r>
            <w:r w:rsidR="006D3162">
              <w:rPr>
                <w:rtl/>
              </w:rPr>
              <w:t>.</w:t>
            </w:r>
          </w:p>
        </w:tc>
      </w:tr>
    </w:tbl>
    <w:p w:rsidR="008A74EB" w:rsidRPr="00C9040A" w:rsidRDefault="006C577F" w:rsidP="004A4E41">
      <w:pPr>
        <w:pStyle w:val="libFootnote0"/>
        <w:rPr>
          <w:rtl/>
          <w:lang w:bidi="fa-IR"/>
        </w:rPr>
      </w:pPr>
      <w:r>
        <w:rPr>
          <w:rtl/>
        </w:rPr>
        <w:t>(9).</w:t>
      </w:r>
      <w:r w:rsidR="008A74EB" w:rsidRPr="00C9040A">
        <w:rPr>
          <w:rtl/>
        </w:rPr>
        <w:t xml:space="preserve"> في « ز » : « لله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w:t>
      </w:r>
      <w:r w:rsidR="008A74EB" w:rsidRPr="00993B55">
        <w:rPr>
          <w:rStyle w:val="libFootnoteBoldChar"/>
          <w:rtl/>
        </w:rPr>
        <w:t>الكافي</w:t>
      </w:r>
      <w:r w:rsidR="008A74EB" w:rsidRPr="00C9040A">
        <w:rPr>
          <w:rtl/>
        </w:rPr>
        <w:t xml:space="preserve"> ، كتاب الحجّة ، باب مولد النبيّ </w:t>
      </w:r>
      <w:r w:rsidR="004A4E41" w:rsidRPr="00B866D3">
        <w:rPr>
          <w:rStyle w:val="libFootnoteAlaemChar"/>
          <w:rtl/>
        </w:rPr>
        <w:t>صلى‌الله‌عليه‌وآله</w:t>
      </w:r>
      <w:r w:rsidR="008A74EB" w:rsidRPr="00C9040A">
        <w:rPr>
          <w:rtl/>
        </w:rPr>
        <w:t xml:space="preserve"> ووفاته ، ح 1197 ، عن عدّة من أصحابنا ، عن أحمد بن محمّد. </w:t>
      </w:r>
      <w:r w:rsidR="008A74EB" w:rsidRPr="00993B55">
        <w:rPr>
          <w:rStyle w:val="libFootnoteBoldChar"/>
          <w:rtl/>
        </w:rPr>
        <w:t>بصائر الدرجات</w:t>
      </w:r>
      <w:r w:rsidR="008A74EB" w:rsidRPr="00C9040A">
        <w:rPr>
          <w:rtl/>
        </w:rPr>
        <w:t xml:space="preserve"> ، ص 83 ، ح 2 ، عن الحسن بن محبوب. </w:t>
      </w:r>
      <w:r w:rsidR="008A74EB" w:rsidRPr="00993B55">
        <w:rPr>
          <w:rStyle w:val="libFootnoteBoldChar"/>
          <w:rtl/>
        </w:rPr>
        <w:t>علل الشرائع</w:t>
      </w:r>
      <w:r w:rsidR="008A74EB" w:rsidRPr="00C9040A">
        <w:rPr>
          <w:rtl/>
        </w:rPr>
        <w:t xml:space="preserve"> ، ص 124 ، ح 1 ، بسنده عن الحسن بن محبوب. </w:t>
      </w:r>
      <w:r w:rsidR="008A74EB" w:rsidRPr="00993B55">
        <w:rPr>
          <w:rStyle w:val="libFootnoteBoldChar"/>
          <w:rtl/>
        </w:rPr>
        <w:t>تفسير العيّاشي</w:t>
      </w:r>
      <w:r w:rsidR="008A74EB" w:rsidRPr="00C9040A">
        <w:rPr>
          <w:rtl/>
        </w:rPr>
        <w:t xml:space="preserve"> ، ج 2 ، ص 39 ، ح 107 ، عن صالح بن سهل </w:t>
      </w:r>
      <w:r w:rsidR="006D3162">
        <w:rPr>
          <w:rFonts w:hint="cs"/>
          <w:rtl/>
        </w:rPr>
        <w:t>.</w:t>
      </w:r>
      <w:r w:rsidR="008A74EB" w:rsidRPr="00993B55">
        <w:rPr>
          <w:rStyle w:val="libFootnoteBoldChar"/>
          <w:rtl/>
        </w:rPr>
        <w:t>الوافي</w:t>
      </w:r>
      <w:r w:rsidR="008A74EB" w:rsidRPr="00C9040A">
        <w:rPr>
          <w:rtl/>
        </w:rPr>
        <w:t xml:space="preserve"> ، ج 4 ، ص 126 ، ح 1720 ؛ </w:t>
      </w:r>
      <w:r w:rsidR="008A74EB" w:rsidRPr="006D3162">
        <w:rPr>
          <w:rStyle w:val="libFootnoteBoldChar"/>
          <w:rtl/>
        </w:rPr>
        <w:t>البحار</w:t>
      </w:r>
      <w:r w:rsidR="008A74EB" w:rsidRPr="00C9040A">
        <w:rPr>
          <w:rtl/>
        </w:rPr>
        <w:t xml:space="preserve"> ، ج 16 ، ص 353 ، ح 36.</w:t>
      </w:r>
    </w:p>
    <w:p w:rsidR="008A74EB" w:rsidRPr="00C9040A" w:rsidRDefault="006C577F" w:rsidP="004A4E41">
      <w:pPr>
        <w:pStyle w:val="libFootnote0"/>
        <w:rPr>
          <w:rtl/>
          <w:lang w:bidi="fa-IR"/>
        </w:rPr>
      </w:pPr>
      <w:r>
        <w:rPr>
          <w:rtl/>
        </w:rPr>
        <w:t>(11).</w:t>
      </w:r>
      <w:r w:rsidR="008A74EB" w:rsidRPr="00C9040A">
        <w:rPr>
          <w:rtl/>
        </w:rPr>
        <w:t xml:space="preserve"> السند معلّق على سابقه ، ويروي عن أحمد بن محمّد ، محمّد بن يحيى.</w:t>
      </w:r>
    </w:p>
    <w:p w:rsidR="008A74EB" w:rsidRPr="00C9040A" w:rsidRDefault="006C577F" w:rsidP="004A4E41">
      <w:pPr>
        <w:pStyle w:val="libFootnote0"/>
        <w:rPr>
          <w:rtl/>
          <w:lang w:bidi="fa-IR"/>
        </w:rPr>
      </w:pPr>
      <w:r>
        <w:rPr>
          <w:rtl/>
        </w:rPr>
        <w:t>(12).</w:t>
      </w:r>
      <w:r w:rsidR="008A74EB" w:rsidRPr="00C9040A">
        <w:rPr>
          <w:rtl/>
        </w:rPr>
        <w:t xml:space="preserve"> « النزق » : خفّة في كلّ أمرٍ ، وعجلة في جهل وحُمق. </w:t>
      </w:r>
      <w:r w:rsidR="008A74EB" w:rsidRPr="00993B55">
        <w:rPr>
          <w:rStyle w:val="libFootnoteBoldChar"/>
          <w:rtl/>
        </w:rPr>
        <w:t>ترتيب كتاب العين</w:t>
      </w:r>
      <w:r w:rsidR="008A74EB" w:rsidRPr="00C9040A">
        <w:rPr>
          <w:rtl/>
        </w:rPr>
        <w:t xml:space="preserve"> ، ج 3 ، ص 1780 ( نزق )</w:t>
      </w:r>
      <w:r w:rsidR="008A74EB">
        <w:rPr>
          <w:rtl/>
        </w:rPr>
        <w:t>.</w:t>
      </w:r>
    </w:p>
    <w:p w:rsidR="008A74EB" w:rsidRPr="00C9040A" w:rsidRDefault="008A74EB" w:rsidP="004A4E41">
      <w:pPr>
        <w:pStyle w:val="libFootnote0"/>
        <w:rPr>
          <w:rtl/>
          <w:lang w:bidi="fa-IR"/>
        </w:rPr>
      </w:pPr>
      <w:r>
        <w:rPr>
          <w:rtl/>
        </w:rPr>
        <w:t>(13)</w:t>
      </w:r>
      <w:r w:rsidRPr="00C9040A">
        <w:rPr>
          <w:rtl/>
        </w:rPr>
        <w:t xml:space="preserve"> « الحَدُّ » </w:t>
      </w:r>
      <w:r>
        <w:rPr>
          <w:rtl/>
        </w:rPr>
        <w:t>و «</w:t>
      </w:r>
      <w:r w:rsidRPr="00C9040A">
        <w:rPr>
          <w:rtl/>
        </w:rPr>
        <w:t xml:space="preserve"> الحِدَّة » : ما يعتري الإنسان من الغضب والنَّزَق. </w:t>
      </w:r>
      <w:r w:rsidRPr="00993B55">
        <w:rPr>
          <w:rStyle w:val="libFootnoteBoldChar"/>
          <w:rtl/>
        </w:rPr>
        <w:t>القاموس المحيط</w:t>
      </w:r>
      <w:r w:rsidR="006D3162">
        <w:rPr>
          <w:rtl/>
        </w:rPr>
        <w:t xml:space="preserve"> ، ج 1 ، ص 405 (حدد</w:t>
      </w:r>
      <w:r w:rsidRPr="00C9040A">
        <w:rPr>
          <w:rtl/>
        </w:rPr>
        <w:t>)</w:t>
      </w:r>
      <w:r>
        <w:rPr>
          <w:rtl/>
        </w:rPr>
        <w:t>.</w:t>
      </w:r>
    </w:p>
    <w:p w:rsidR="008A74EB" w:rsidRPr="00C9040A" w:rsidRDefault="008A74EB" w:rsidP="004A4E41">
      <w:pPr>
        <w:pStyle w:val="libFootnote0"/>
        <w:rPr>
          <w:rtl/>
        </w:rPr>
      </w:pPr>
      <w:r>
        <w:rPr>
          <w:rtl/>
        </w:rPr>
        <w:t>(14)</w:t>
      </w:r>
      <w:r w:rsidRPr="00C9040A">
        <w:rPr>
          <w:rtl/>
        </w:rPr>
        <w:t xml:space="preserve"> « الطَّيْش » : النَّزَقُ والخفَّة ، والرجل طيّاش. والنزق والحدّة والطيش متقاربة المعاني من جهة الفساد في</w:t>
      </w:r>
      <w:r w:rsidR="006D3162">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السَّمْتِ </w:t>
      </w:r>
      <w:r w:rsidR="006C577F" w:rsidRPr="006C577F">
        <w:rPr>
          <w:rStyle w:val="libFootnotenumChar"/>
          <w:rtl/>
        </w:rPr>
        <w:t>(1)</w:t>
      </w:r>
      <w:r w:rsidRPr="00C9040A">
        <w:rPr>
          <w:rtl/>
          <w:lang w:bidi="fa-IR"/>
        </w:rPr>
        <w:t>؟</w:t>
      </w:r>
    </w:p>
    <w:p w:rsidR="008A74EB" w:rsidRPr="00C9040A" w:rsidRDefault="008A74EB" w:rsidP="008A74EB">
      <w:pPr>
        <w:pStyle w:val="libNormal"/>
        <w:rPr>
          <w:rtl/>
          <w:lang w:bidi="fa-IR"/>
        </w:rPr>
      </w:pPr>
      <w:r w:rsidRPr="00C9040A">
        <w:rPr>
          <w:rtl/>
          <w:lang w:bidi="fa-IR"/>
        </w:rPr>
        <w:t xml:space="preserve">قَالَ : « لَا تَقُلْ حَسَنَ السَّمْتِ ؛ فَإِنَّ </w:t>
      </w:r>
      <w:r w:rsidR="006C577F" w:rsidRPr="006C577F">
        <w:rPr>
          <w:rStyle w:val="libFootnotenumChar"/>
          <w:rtl/>
        </w:rPr>
        <w:t>(2)</w:t>
      </w:r>
      <w:r w:rsidRPr="00C9040A">
        <w:rPr>
          <w:rtl/>
          <w:lang w:bidi="fa-IR"/>
        </w:rPr>
        <w:t xml:space="preserve"> السَّمْتَ سَمْتُ الطَّرِيقِ ، وَلكِنْ قُلْ : حَسَنَ السِّيمَاءِ ؛ فَإِنَّ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يَقُولُ : </w:t>
      </w:r>
      <w:r w:rsidRPr="0003660B">
        <w:rPr>
          <w:rStyle w:val="libAlaemChar"/>
          <w:rtl/>
        </w:rPr>
        <w:t>(</w:t>
      </w:r>
      <w:r w:rsidRPr="006A2246">
        <w:rPr>
          <w:rStyle w:val="libAieChar"/>
          <w:rtl/>
        </w:rPr>
        <w:t xml:space="preserve"> سِيماهُمْ فِي وُجُوهِهِمْ مِنْ أَثَرِ السُّجُودِ </w:t>
      </w:r>
      <w:r w:rsidRPr="0003660B">
        <w:rPr>
          <w:rStyle w:val="libAlaemChar"/>
          <w:rtl/>
        </w:rPr>
        <w:t>)</w:t>
      </w:r>
      <w:r w:rsidRPr="00C9040A">
        <w:rPr>
          <w:rtl/>
          <w:lang w:bidi="fa-IR"/>
        </w:rPr>
        <w:t xml:space="preserve"> </w:t>
      </w:r>
      <w:r w:rsidR="006C577F" w:rsidRPr="006C577F">
        <w:rPr>
          <w:rStyle w:val="libFootnotenumChar"/>
          <w:rtl/>
        </w:rPr>
        <w:t>(3)</w:t>
      </w:r>
      <w:r w:rsidRPr="00C9040A">
        <w:rPr>
          <w:rtl/>
          <w:lang w:bidi="fa-IR"/>
        </w:rPr>
        <w:t xml:space="preserve"> »</w:t>
      </w:r>
      <w:r>
        <w:rPr>
          <w:rtl/>
          <w:lang w:bidi="fa-IR"/>
        </w:rPr>
        <w:t>.</w:t>
      </w:r>
    </w:p>
    <w:p w:rsidR="008A74EB" w:rsidRPr="00C9040A" w:rsidRDefault="008A74EB" w:rsidP="008A74EB">
      <w:pPr>
        <w:pStyle w:val="libNormal"/>
        <w:rPr>
          <w:rtl/>
          <w:lang w:bidi="fa-IR"/>
        </w:rPr>
      </w:pPr>
      <w:r w:rsidRPr="00C9040A">
        <w:rPr>
          <w:rtl/>
          <w:lang w:bidi="fa-IR"/>
        </w:rPr>
        <w:t>قَالَ : قُلْتُ : فَأَرَاهُ حَسَنَ السِّيمَاءِ ، وَ</w:t>
      </w:r>
      <w:r>
        <w:rPr>
          <w:rFonts w:hint="cs"/>
          <w:rtl/>
          <w:lang w:bidi="fa-IR"/>
        </w:rPr>
        <w:t xml:space="preserve"> </w:t>
      </w:r>
      <w:r w:rsidR="006C577F" w:rsidRPr="006C577F">
        <w:rPr>
          <w:rStyle w:val="libFootnotenumChar"/>
          <w:rtl/>
        </w:rPr>
        <w:t>(4)</w:t>
      </w:r>
      <w:r w:rsidRPr="00C9040A">
        <w:rPr>
          <w:rtl/>
          <w:lang w:bidi="fa-IR"/>
        </w:rPr>
        <w:t xml:space="preserve"> لَهُ وَقَارٌ ، فَأَغْتَمُّ لِذلِكَ</w:t>
      </w:r>
      <w:r>
        <w:rPr>
          <w:rtl/>
          <w:lang w:bidi="fa-IR"/>
        </w:rPr>
        <w:t>؟</w:t>
      </w:r>
    </w:p>
    <w:p w:rsidR="008A74EB" w:rsidRPr="00C9040A" w:rsidRDefault="008A74EB" w:rsidP="008B7A50">
      <w:pPr>
        <w:pStyle w:val="libNormal"/>
        <w:rPr>
          <w:rtl/>
          <w:lang w:bidi="fa-IR"/>
        </w:rPr>
      </w:pPr>
      <w:r w:rsidRPr="00C9040A">
        <w:rPr>
          <w:rtl/>
          <w:lang w:bidi="fa-IR"/>
        </w:rPr>
        <w:t xml:space="preserve">قَالَ </w:t>
      </w:r>
      <w:r w:rsidR="006C577F" w:rsidRPr="006C577F">
        <w:rPr>
          <w:rStyle w:val="libFootnotenumChar"/>
          <w:rtl/>
        </w:rPr>
        <w:t>(5)</w:t>
      </w:r>
      <w:r w:rsidRPr="00C9040A">
        <w:rPr>
          <w:rtl/>
          <w:lang w:bidi="fa-IR"/>
        </w:rPr>
        <w:t xml:space="preserve"> : « لَا تَغْتَمَّ لِمَا رَأَيْتَ </w:t>
      </w:r>
      <w:r w:rsidR="006C577F" w:rsidRPr="006C577F">
        <w:rPr>
          <w:rStyle w:val="libFootnotenumChar"/>
          <w:rtl/>
        </w:rPr>
        <w:t>(6)</w:t>
      </w:r>
      <w:r w:rsidRPr="005B567D">
        <w:rPr>
          <w:rStyle w:val="libFootnotenumChar"/>
          <w:rtl/>
        </w:rPr>
        <w:t xml:space="preserve"> </w:t>
      </w:r>
      <w:r w:rsidRPr="00C9040A">
        <w:rPr>
          <w:rtl/>
          <w:lang w:bidi="fa-IR"/>
        </w:rPr>
        <w:t>مِنْ نَزَقِ أَصْحَابِكَ ، وَلِمَا رَأَيْتَ مِنْ حُسْنِ سِيمَاءِ مَنْ خَالَفَكَ ؛ إِنَّ اللهَ</w:t>
      </w:r>
      <w:r>
        <w:rPr>
          <w:rtl/>
          <w:lang w:bidi="fa-IR"/>
        </w:rPr>
        <w:t xml:space="preserve"> </w:t>
      </w:r>
      <w:r w:rsidR="0084262C">
        <w:rPr>
          <w:rtl/>
          <w:lang w:bidi="fa-IR"/>
        </w:rPr>
        <w:t>-</w:t>
      </w:r>
      <w:r>
        <w:rPr>
          <w:rtl/>
          <w:lang w:bidi="fa-IR"/>
        </w:rPr>
        <w:t xml:space="preserve"> </w:t>
      </w:r>
      <w:r w:rsidRPr="00C9040A">
        <w:rPr>
          <w:rtl/>
          <w:lang w:bidi="fa-IR"/>
        </w:rPr>
        <w:t>تَبَارَكَ وَتَعَالى</w:t>
      </w:r>
      <w:r>
        <w:rPr>
          <w:rtl/>
          <w:lang w:bidi="fa-IR"/>
        </w:rPr>
        <w:t xml:space="preserve"> </w:t>
      </w:r>
      <w:r w:rsidR="0084262C">
        <w:rPr>
          <w:rtl/>
          <w:lang w:bidi="fa-IR"/>
        </w:rPr>
        <w:t>-</w:t>
      </w:r>
      <w:r>
        <w:rPr>
          <w:rtl/>
          <w:lang w:bidi="fa-IR"/>
        </w:rPr>
        <w:t xml:space="preserve"> </w:t>
      </w:r>
      <w:r w:rsidRPr="00C9040A">
        <w:rPr>
          <w:rtl/>
          <w:lang w:bidi="fa-IR"/>
        </w:rPr>
        <w:t xml:space="preserve">لَمَّا أَرَادَ أَنْ يَخْلُقَ آدَمَ </w:t>
      </w:r>
      <w:r w:rsidRPr="0003660B">
        <w:rPr>
          <w:rStyle w:val="libAlaemChar"/>
          <w:rtl/>
        </w:rPr>
        <w:t>عليه‌السلام</w:t>
      </w:r>
      <w:r w:rsidRPr="00C9040A">
        <w:rPr>
          <w:rtl/>
          <w:lang w:bidi="fa-IR"/>
        </w:rPr>
        <w:t xml:space="preserve"> ، خَلَقَ تِلْكَ </w:t>
      </w:r>
      <w:r w:rsidR="006C577F" w:rsidRPr="006C577F">
        <w:rPr>
          <w:rStyle w:val="libFootnotenumChar"/>
          <w:rtl/>
        </w:rPr>
        <w:t>(7)</w:t>
      </w:r>
      <w:r w:rsidRPr="00C9040A">
        <w:rPr>
          <w:rtl/>
          <w:lang w:bidi="fa-IR"/>
        </w:rPr>
        <w:t xml:space="preserve"> الطِّينَتَيْنِ </w:t>
      </w:r>
      <w:r w:rsidR="006C577F" w:rsidRPr="006C577F">
        <w:rPr>
          <w:rStyle w:val="libFootnotenumChar"/>
          <w:rtl/>
        </w:rPr>
        <w:t>(8)</w:t>
      </w:r>
      <w:r w:rsidRPr="00C9040A">
        <w:rPr>
          <w:rtl/>
          <w:lang w:bidi="fa-IR"/>
        </w:rPr>
        <w:t xml:space="preserve"> ، ثُمَّ فَرَّقَهُمَا فِرْقَتَيْنِ ، فَقَالَ لِأَصْحَابِ الْيَمِينِ : كُونُوا خَلْقاً بِإِذْنِي ، فَكَانُوا خَلْقاً بِمَنْزِلَةِ الذَّرِّ يَسْعى ، وَقَالَ لِأَهْلِ </w:t>
      </w:r>
      <w:r w:rsidR="006C577F" w:rsidRPr="006C577F">
        <w:rPr>
          <w:rStyle w:val="libFootnotenumChar"/>
          <w:rtl/>
        </w:rPr>
        <w:t>(9)</w:t>
      </w:r>
      <w:r w:rsidRPr="00C9040A">
        <w:rPr>
          <w:rtl/>
          <w:lang w:bidi="fa-IR"/>
        </w:rPr>
        <w:t xml:space="preserve"> الشِّمَالِ : كُونُوا خَلْقاً بِإِذْنِي ، فَكَانُوا خَلْقاً بِمَنْزِلَةِ الذَّرِّ يَدْرُجُ ، ثُمَّ رَفَعَ لَهُمْ نَاراً ، فَقَالَ : ادْخُلُوهَا بِإِذْنِي </w:t>
      </w:r>
      <w:r w:rsidR="006C577F" w:rsidRPr="006C577F">
        <w:rPr>
          <w:rStyle w:val="libFootnotenumChar"/>
          <w:rtl/>
        </w:rPr>
        <w:t>(10)</w:t>
      </w:r>
      <w:r w:rsidRPr="00C9040A">
        <w:rPr>
          <w:rtl/>
          <w:lang w:bidi="fa-IR"/>
        </w:rPr>
        <w:t xml:space="preserve"> ، فَكَانَ أَوَّلَ مَنْ دَخَلَهَا مُحَمَّدٌ </w:t>
      </w:r>
      <w:r w:rsidR="006C577F" w:rsidRPr="006C577F">
        <w:rPr>
          <w:rStyle w:val="libFootnotenumChar"/>
          <w:rtl/>
        </w:rPr>
        <w:t>(11)</w:t>
      </w:r>
      <w:r w:rsidRPr="00C9040A">
        <w:rPr>
          <w:rtl/>
          <w:lang w:bidi="fa-IR"/>
        </w:rPr>
        <w:t xml:space="preserve"> </w:t>
      </w:r>
      <w:r w:rsidR="004A4E41" w:rsidRPr="004A4E41">
        <w:rPr>
          <w:rStyle w:val="libAlaemChar"/>
          <w:rFonts w:eastAsiaTheme="minorHAnsi"/>
          <w:rtl/>
        </w:rPr>
        <w:t>صلى‌الله‌عليه‌وآله</w:t>
      </w:r>
      <w:r w:rsidR="008B7A50" w:rsidRPr="00C9040A">
        <w:rPr>
          <w:rtl/>
          <w:lang w:bidi="fa-IR"/>
        </w:rPr>
        <w:t xml:space="preserve"> </w:t>
      </w:r>
      <w:r w:rsidRPr="00C9040A">
        <w:rPr>
          <w:rtl/>
          <w:lang w:bidi="fa-IR"/>
        </w:rPr>
        <w:t xml:space="preserve">، ثُمَّ اتَّبَعَهُ </w:t>
      </w:r>
      <w:r w:rsidR="006C577F" w:rsidRPr="006C577F">
        <w:rPr>
          <w:rStyle w:val="libFootnotenumChar"/>
          <w:rtl/>
        </w:rPr>
        <w:t>(12)</w:t>
      </w:r>
      <w:r w:rsidRPr="00C9040A">
        <w:rPr>
          <w:rtl/>
          <w:lang w:bidi="fa-IR"/>
        </w:rPr>
        <w:t xml:space="preserve"> أُولُو الْعَزْمِ مِنَ الرُّسُلِ وَأَوْصِيَاؤُهُمْ وَأَتْبَاعُهُمْ.</w:t>
      </w:r>
    </w:p>
    <w:p w:rsidR="008A74EB" w:rsidRPr="00C9040A" w:rsidRDefault="008A74EB" w:rsidP="008A74EB">
      <w:pPr>
        <w:pStyle w:val="libNormal"/>
        <w:rPr>
          <w:rtl/>
          <w:lang w:bidi="fa-IR"/>
        </w:rPr>
      </w:pPr>
      <w:r w:rsidRPr="00C9040A">
        <w:rPr>
          <w:rtl/>
          <w:lang w:bidi="fa-IR"/>
        </w:rPr>
        <w:t>ثُمَّ قَالَ لِأَصْحَابِ الشِّمَالِ : ادْخُلُوهَا بِإِذْنِي ، فَقَالُوا : رَبَّنَا ، خَلَقْتَنَا لِتُحْرِقَنَا</w:t>
      </w:r>
      <w:r>
        <w:rPr>
          <w:rtl/>
          <w:lang w:bidi="fa-IR"/>
        </w:rPr>
        <w:t>؟</w:t>
      </w:r>
      <w:r>
        <w:rPr>
          <w:rFonts w:hint="cs"/>
          <w:rtl/>
          <w:lang w:bidi="fa-IR"/>
        </w:rPr>
        <w:t xml:space="preserve"> </w:t>
      </w:r>
      <w:r w:rsidRPr="00C9040A">
        <w:rPr>
          <w:rtl/>
          <w:lang w:bidi="fa-IR"/>
        </w:rPr>
        <w:t xml:space="preserve">فَعَصَوْا ، فَقَالَ لِأَصْحَابِ الْيَمِينِ : اخْرُجُوا بِإِذْنِي مِنَ النَّارِ ، فَخَرَجُوا </w:t>
      </w:r>
      <w:r w:rsidRPr="005B567D">
        <w:rPr>
          <w:rStyle w:val="libFootnotenumChar"/>
          <w:rtl/>
        </w:rPr>
        <w:t>(13)</w:t>
      </w:r>
      <w:r w:rsidRPr="00C9040A">
        <w:rPr>
          <w:rtl/>
          <w:lang w:bidi="fa-IR"/>
        </w:rPr>
        <w:t xml:space="preserve"> لَمْ‌</w:t>
      </w:r>
    </w:p>
    <w:p w:rsidR="008A74EB" w:rsidRPr="00C9040A" w:rsidRDefault="008A74EB" w:rsidP="008A74EB">
      <w:pPr>
        <w:pStyle w:val="libLine"/>
        <w:rPr>
          <w:rtl/>
          <w:lang w:bidi="fa-IR"/>
        </w:rPr>
      </w:pPr>
      <w:r w:rsidRPr="00C9040A">
        <w:rPr>
          <w:rtl/>
          <w:lang w:bidi="fa-IR"/>
        </w:rPr>
        <w:t>__________________</w:t>
      </w:r>
    </w:p>
    <w:p w:rsidR="008A74EB" w:rsidRPr="00C9040A" w:rsidRDefault="006D3162" w:rsidP="004A4E41">
      <w:pPr>
        <w:pStyle w:val="libFootnote0"/>
        <w:rPr>
          <w:rtl/>
          <w:lang w:bidi="fa-IR"/>
        </w:rPr>
      </w:pPr>
      <w:r>
        <w:rPr>
          <w:rFonts w:hint="cs"/>
          <w:rtl/>
        </w:rPr>
        <w:t>=</w:t>
      </w:r>
      <w:r w:rsidR="00B866D3">
        <w:rPr>
          <w:rFonts w:hint="cs"/>
          <w:rtl/>
        </w:rPr>
        <w:t xml:space="preserve"> </w:t>
      </w:r>
      <w:r w:rsidR="008A74EB" w:rsidRPr="00C9040A">
        <w:rPr>
          <w:rtl/>
        </w:rPr>
        <w:t xml:space="preserve">القوّة الشهويّة والغضبيّة. راجع : </w:t>
      </w:r>
      <w:r w:rsidR="008A74EB" w:rsidRPr="00993B55">
        <w:rPr>
          <w:rStyle w:val="libFootnoteBoldChar"/>
          <w:rtl/>
        </w:rPr>
        <w:t>شرح المازندراني</w:t>
      </w:r>
      <w:r w:rsidR="008A74EB" w:rsidRPr="00C9040A">
        <w:rPr>
          <w:rtl/>
        </w:rPr>
        <w:t xml:space="preserve"> ، ج 8 ، ص 30 ؛ </w:t>
      </w:r>
      <w:r w:rsidR="008A74EB" w:rsidRPr="00993B55">
        <w:rPr>
          <w:rStyle w:val="libFootnoteBoldChar"/>
          <w:rtl/>
        </w:rPr>
        <w:t>الصحاح</w:t>
      </w:r>
      <w:r w:rsidR="008A74EB" w:rsidRPr="00C9040A">
        <w:rPr>
          <w:rtl/>
        </w:rPr>
        <w:t xml:space="preserve"> ، ج 4 ، ص 1691 ( خيل )</w:t>
      </w:r>
      <w:r w:rsidR="008A74EB">
        <w:rPr>
          <w:rtl/>
        </w:rPr>
        <w:t>.</w:t>
      </w:r>
    </w:p>
    <w:p w:rsidR="008A74EB" w:rsidRPr="00C9040A" w:rsidRDefault="006C577F" w:rsidP="004A4E41">
      <w:pPr>
        <w:pStyle w:val="libFootnote0"/>
        <w:rPr>
          <w:rtl/>
          <w:lang w:bidi="fa-IR"/>
        </w:rPr>
      </w:pPr>
      <w:r>
        <w:rPr>
          <w:rtl/>
        </w:rPr>
        <w:t>(1).</w:t>
      </w:r>
      <w:r w:rsidR="008A74EB" w:rsidRPr="00C9040A">
        <w:rPr>
          <w:rtl/>
        </w:rPr>
        <w:t xml:space="preserve"> « السَّمت » : عبارة عن الحالة التي يكون عليها الإنسان من السكينة والوَقار ، وحُسن السيرة والطريقة ، واستقامة المنظر والهَيئة. </w:t>
      </w:r>
      <w:r w:rsidR="008A74EB" w:rsidRPr="00993B55">
        <w:rPr>
          <w:rStyle w:val="libFootnoteBoldChar"/>
          <w:rtl/>
        </w:rPr>
        <w:t>مجمع البحرين</w:t>
      </w:r>
      <w:r w:rsidR="008A74EB" w:rsidRPr="00C9040A">
        <w:rPr>
          <w:rtl/>
        </w:rPr>
        <w:t xml:space="preserve"> ، ج 2 ، ص 206 ( سمت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9151B8">
        <w:rPr>
          <w:rtl/>
        </w:rPr>
        <w:t>في شرح المازندراني : +</w:t>
      </w:r>
      <w:r w:rsidR="008A74EB" w:rsidRPr="00C9040A">
        <w:rPr>
          <w:rtl/>
        </w:rPr>
        <w:t xml:space="preserve"> « حسن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الفتح (48) : 29. وفي « ج ، د ، ز ، ص ، ف ، بر ، بس ، بف » والوافي والبحار </w:t>
      </w:r>
      <w:r w:rsidR="008A74EB">
        <w:rPr>
          <w:rtl/>
        </w:rPr>
        <w:t xml:space="preserve">: </w:t>
      </w:r>
      <w:r w:rsidR="0084262C">
        <w:rPr>
          <w:rtl/>
        </w:rPr>
        <w:t>-</w:t>
      </w:r>
      <w:r w:rsidR="008A74EB" w:rsidRPr="00C9040A">
        <w:rPr>
          <w:rtl/>
        </w:rPr>
        <w:t xml:space="preserve"> </w:t>
      </w:r>
      <w:r w:rsidR="008A74EB" w:rsidRPr="00B866D3">
        <w:rPr>
          <w:rStyle w:val="libFootnoteAlaemChar"/>
          <w:rtl/>
        </w:rPr>
        <w:t>(</w:t>
      </w:r>
      <w:r w:rsidR="008A74EB" w:rsidRPr="00883DD5">
        <w:rPr>
          <w:rStyle w:val="libFootnoteAieChar"/>
          <w:rtl/>
        </w:rPr>
        <w:t>مِنْ أَثَرِ السُّجُودِ</w:t>
      </w:r>
      <w:r w:rsidR="008A74EB" w:rsidRPr="00B866D3">
        <w:rPr>
          <w:rStyle w:val="libFootnoteAlaemChar"/>
          <w:rtl/>
        </w:rPr>
        <w:t>)</w:t>
      </w:r>
      <w:r w:rsidR="008A74EB" w:rsidRPr="00C9040A">
        <w:rPr>
          <w:rtl/>
        </w:rPr>
        <w:t>.</w:t>
      </w:r>
    </w:p>
    <w:p w:rsidR="008A74EB" w:rsidRPr="004A4E41" w:rsidRDefault="006C577F" w:rsidP="004A4E41">
      <w:pPr>
        <w:pStyle w:val="libFootnote0"/>
        <w:rPr>
          <w:rStyle w:val="libFootnote0Char"/>
          <w:rtl/>
        </w:rPr>
      </w:pPr>
      <w:r>
        <w:rPr>
          <w:rtl/>
        </w:rPr>
        <w:t>(4).</w:t>
      </w:r>
      <w:r w:rsidR="008A74EB" w:rsidRPr="00C9040A">
        <w:rPr>
          <w:rtl/>
        </w:rPr>
        <w:t xml:space="preserve"> في « ب ، د ، ز ، ف ، </w:t>
      </w:r>
      <w:r w:rsidR="006D3162">
        <w:rPr>
          <w:rtl/>
        </w:rPr>
        <w:t xml:space="preserve">ه </w:t>
      </w:r>
      <w:r w:rsidR="008A74EB" w:rsidRPr="00C9040A">
        <w:rPr>
          <w:rtl/>
        </w:rPr>
        <w:t xml:space="preserve">، بر ، بس ، بف » والوافي والبحار </w:t>
      </w:r>
      <w:r w:rsidR="008A74EB">
        <w:rPr>
          <w:rtl/>
        </w:rPr>
        <w:t xml:space="preserve">: </w:t>
      </w:r>
      <w:r w:rsidR="0084262C">
        <w:rPr>
          <w:rtl/>
        </w:rPr>
        <w:t>-</w:t>
      </w:r>
      <w:r w:rsidR="008A74EB" w:rsidRPr="00C9040A">
        <w:rPr>
          <w:rtl/>
        </w:rPr>
        <w:t xml:space="preserve"> « </w:t>
      </w:r>
      <w:r w:rsidR="008A74EB">
        <w:rPr>
          <w:rtl/>
        </w:rPr>
        <w:t>و ».</w:t>
      </w:r>
    </w:p>
    <w:tbl>
      <w:tblPr>
        <w:tblStyle w:val="TableGrid"/>
        <w:bidiVisual/>
        <w:tblW w:w="0" w:type="auto"/>
        <w:tblLook w:val="04A0" w:firstRow="1" w:lastRow="0" w:firstColumn="1" w:lastColumn="0" w:noHBand="0" w:noVBand="1"/>
      </w:tblPr>
      <w:tblGrid>
        <w:gridCol w:w="4006"/>
        <w:gridCol w:w="4006"/>
      </w:tblGrid>
      <w:tr w:rsidR="006D3162" w:rsidTr="006D3162">
        <w:tc>
          <w:tcPr>
            <w:tcW w:w="4006" w:type="dxa"/>
          </w:tcPr>
          <w:p w:rsidR="006D3162" w:rsidRDefault="006C577F" w:rsidP="004A4E41">
            <w:pPr>
              <w:pStyle w:val="libFootnote0"/>
              <w:rPr>
                <w:rtl/>
              </w:rPr>
            </w:pPr>
            <w:r>
              <w:rPr>
                <w:rtl/>
              </w:rPr>
              <w:t>(5).</w:t>
            </w:r>
            <w:r w:rsidR="006D3162" w:rsidRPr="00C9040A">
              <w:rPr>
                <w:rtl/>
              </w:rPr>
              <w:t xml:space="preserve"> في « ج ، </w:t>
            </w:r>
            <w:r w:rsidR="006D3162">
              <w:rPr>
                <w:rtl/>
              </w:rPr>
              <w:t xml:space="preserve">ه </w:t>
            </w:r>
            <w:r w:rsidR="006D3162" w:rsidRPr="00C9040A">
              <w:rPr>
                <w:rtl/>
              </w:rPr>
              <w:t>» : « فقال »</w:t>
            </w:r>
            <w:r w:rsidR="006D3162">
              <w:rPr>
                <w:rtl/>
              </w:rPr>
              <w:t>.</w:t>
            </w:r>
          </w:p>
        </w:tc>
        <w:tc>
          <w:tcPr>
            <w:tcW w:w="4006" w:type="dxa"/>
          </w:tcPr>
          <w:p w:rsidR="006D3162" w:rsidRDefault="006C577F" w:rsidP="004A4E41">
            <w:pPr>
              <w:pStyle w:val="libFootnote0"/>
              <w:rPr>
                <w:rtl/>
              </w:rPr>
            </w:pPr>
            <w:r>
              <w:rPr>
                <w:rtl/>
              </w:rPr>
              <w:t>(6).</w:t>
            </w:r>
            <w:r w:rsidR="006D3162">
              <w:rPr>
                <w:rtl/>
              </w:rPr>
              <w:t xml:space="preserve"> </w:t>
            </w:r>
            <w:r w:rsidR="006D3162" w:rsidRPr="00C9040A">
              <w:rPr>
                <w:rtl/>
              </w:rPr>
              <w:t xml:space="preserve">في « </w:t>
            </w:r>
            <w:r w:rsidR="006D3162">
              <w:rPr>
                <w:rtl/>
              </w:rPr>
              <w:t xml:space="preserve">ه </w:t>
            </w:r>
            <w:r w:rsidR="006D3162" w:rsidRPr="00C9040A">
              <w:rPr>
                <w:rtl/>
              </w:rPr>
              <w:t>» : « لما ترى »</w:t>
            </w:r>
            <w:r w:rsidR="006D3162">
              <w:rPr>
                <w:rtl/>
              </w:rPr>
              <w:t>.</w:t>
            </w:r>
          </w:p>
        </w:tc>
      </w:tr>
    </w:tbl>
    <w:p w:rsidR="008A74EB" w:rsidRPr="004A4E41" w:rsidRDefault="006C577F" w:rsidP="004A4E41">
      <w:pPr>
        <w:pStyle w:val="libFootnote0"/>
        <w:rPr>
          <w:rStyle w:val="libFootnote0Char"/>
          <w:rtl/>
        </w:rPr>
      </w:pPr>
      <w:r>
        <w:rPr>
          <w:rtl/>
        </w:rPr>
        <w:t>(7).</w:t>
      </w:r>
      <w:r w:rsidR="008A74EB" w:rsidRPr="00C9040A">
        <w:rPr>
          <w:rtl/>
        </w:rPr>
        <w:t xml:space="preserve"> في « ز ، ص ، بس » : « ذلك »</w:t>
      </w:r>
      <w:r w:rsidR="008A74EB">
        <w:rPr>
          <w:rtl/>
        </w:rPr>
        <w:t>.</w:t>
      </w:r>
      <w:r w:rsidR="008A74EB" w:rsidRPr="00C9040A">
        <w:rPr>
          <w:rtl/>
        </w:rPr>
        <w:t xml:space="preserve"> وفي « ف » : « تينك »</w:t>
      </w:r>
      <w:r w:rsidR="008A74EB">
        <w:rPr>
          <w:rtl/>
        </w:rPr>
        <w:t>.</w:t>
      </w:r>
    </w:p>
    <w:tbl>
      <w:tblPr>
        <w:tblStyle w:val="TableGrid"/>
        <w:bidiVisual/>
        <w:tblW w:w="0" w:type="auto"/>
        <w:tblLook w:val="04A0" w:firstRow="1" w:lastRow="0" w:firstColumn="1" w:lastColumn="0" w:noHBand="0" w:noVBand="1"/>
      </w:tblPr>
      <w:tblGrid>
        <w:gridCol w:w="4006"/>
        <w:gridCol w:w="4006"/>
      </w:tblGrid>
      <w:tr w:rsidR="006D3162" w:rsidTr="006D3162">
        <w:tc>
          <w:tcPr>
            <w:tcW w:w="4006" w:type="dxa"/>
          </w:tcPr>
          <w:p w:rsidR="006D3162" w:rsidRDefault="006C577F" w:rsidP="004A4E41">
            <w:pPr>
              <w:pStyle w:val="libFootnote0"/>
              <w:rPr>
                <w:rtl/>
                <w:lang w:bidi="fa-IR"/>
              </w:rPr>
            </w:pPr>
            <w:r>
              <w:rPr>
                <w:rtl/>
              </w:rPr>
              <w:t>(8).</w:t>
            </w:r>
            <w:r w:rsidR="006D3162" w:rsidRPr="00C9040A">
              <w:rPr>
                <w:rtl/>
              </w:rPr>
              <w:t xml:space="preserve"> في « ج ، </w:t>
            </w:r>
            <w:r w:rsidR="006D3162">
              <w:rPr>
                <w:rtl/>
              </w:rPr>
              <w:t xml:space="preserve">ه </w:t>
            </w:r>
            <w:r w:rsidR="006D3162" w:rsidRPr="00C9040A">
              <w:rPr>
                <w:rtl/>
              </w:rPr>
              <w:t>» : « الطينين »</w:t>
            </w:r>
            <w:r w:rsidR="006D3162">
              <w:rPr>
                <w:rtl/>
              </w:rPr>
              <w:t>.</w:t>
            </w:r>
          </w:p>
        </w:tc>
        <w:tc>
          <w:tcPr>
            <w:tcW w:w="4006" w:type="dxa"/>
          </w:tcPr>
          <w:p w:rsidR="006D3162" w:rsidRDefault="006C577F" w:rsidP="004A4E41">
            <w:pPr>
              <w:pStyle w:val="libFootnote0"/>
              <w:rPr>
                <w:rtl/>
                <w:lang w:bidi="fa-IR"/>
              </w:rPr>
            </w:pPr>
            <w:r>
              <w:rPr>
                <w:rtl/>
              </w:rPr>
              <w:t>(9).</w:t>
            </w:r>
            <w:r w:rsidR="006D3162" w:rsidRPr="00C9040A">
              <w:rPr>
                <w:rtl/>
              </w:rPr>
              <w:t xml:space="preserve"> في حاشية « ز » والبحار : « لأصحاب »</w:t>
            </w:r>
            <w:r w:rsidR="006D3162">
              <w:rPr>
                <w:rtl/>
              </w:rPr>
              <w:t>.</w:t>
            </w:r>
          </w:p>
        </w:tc>
      </w:tr>
      <w:tr w:rsidR="006D3162" w:rsidTr="006D3162">
        <w:tc>
          <w:tcPr>
            <w:tcW w:w="4006" w:type="dxa"/>
          </w:tcPr>
          <w:p w:rsidR="006D3162" w:rsidRDefault="006C577F" w:rsidP="004A4E41">
            <w:pPr>
              <w:pStyle w:val="libFootnote0"/>
              <w:rPr>
                <w:rtl/>
                <w:lang w:bidi="fa-IR"/>
              </w:rPr>
            </w:pPr>
            <w:r>
              <w:rPr>
                <w:rtl/>
              </w:rPr>
              <w:t>(10).</w:t>
            </w:r>
            <w:r w:rsidR="009151B8">
              <w:rPr>
                <w:rtl/>
              </w:rPr>
              <w:t xml:space="preserve"> في « ص ، ف » والوافي : +</w:t>
            </w:r>
            <w:r w:rsidR="006D3162" w:rsidRPr="00C9040A">
              <w:rPr>
                <w:rtl/>
              </w:rPr>
              <w:t xml:space="preserve"> « فدخلوها »</w:t>
            </w:r>
            <w:r w:rsidR="006D3162">
              <w:rPr>
                <w:rtl/>
              </w:rPr>
              <w:t>.</w:t>
            </w:r>
          </w:p>
        </w:tc>
        <w:tc>
          <w:tcPr>
            <w:tcW w:w="4006" w:type="dxa"/>
          </w:tcPr>
          <w:p w:rsidR="006D3162" w:rsidRDefault="006C577F" w:rsidP="004A4E41">
            <w:pPr>
              <w:pStyle w:val="libFootnote0"/>
              <w:rPr>
                <w:rtl/>
                <w:lang w:bidi="fa-IR"/>
              </w:rPr>
            </w:pPr>
            <w:r>
              <w:rPr>
                <w:rtl/>
              </w:rPr>
              <w:t>(11).</w:t>
            </w:r>
            <w:r w:rsidR="006D3162" w:rsidRPr="00C9040A">
              <w:rPr>
                <w:rtl/>
              </w:rPr>
              <w:t xml:space="preserve"> في « ج ، ص » : « محمّداً »</w:t>
            </w:r>
            <w:r w:rsidR="006D3162">
              <w:rPr>
                <w:rtl/>
              </w:rPr>
              <w:t>.</w:t>
            </w:r>
          </w:p>
        </w:tc>
      </w:tr>
    </w:tbl>
    <w:p w:rsidR="008A74EB" w:rsidRPr="00C9040A" w:rsidRDefault="006C577F" w:rsidP="004A4E41">
      <w:pPr>
        <w:pStyle w:val="libFootnote0"/>
        <w:rPr>
          <w:rtl/>
          <w:lang w:bidi="fa-IR"/>
        </w:rPr>
      </w:pPr>
      <w:r>
        <w:rPr>
          <w:rtl/>
        </w:rPr>
        <w:t>(12).</w:t>
      </w:r>
      <w:r w:rsidR="008A74EB" w:rsidRPr="00C9040A">
        <w:rPr>
          <w:rtl/>
        </w:rPr>
        <w:t xml:space="preserve"> في « ب ، ص » : « أتبعه »</w:t>
      </w:r>
      <w:r w:rsidR="008A74EB">
        <w:rPr>
          <w:rtl/>
        </w:rPr>
        <w:t>.</w:t>
      </w:r>
    </w:p>
    <w:p w:rsidR="008A74EB" w:rsidRPr="00C9040A" w:rsidRDefault="008A74EB" w:rsidP="004A4E41">
      <w:pPr>
        <w:pStyle w:val="libFootnote0"/>
        <w:rPr>
          <w:rtl/>
          <w:lang w:bidi="fa-IR"/>
        </w:rPr>
      </w:pPr>
      <w:r>
        <w:rPr>
          <w:rtl/>
        </w:rPr>
        <w:t>(13)</w:t>
      </w:r>
      <w:r w:rsidRPr="00C9040A">
        <w:rPr>
          <w:rtl/>
        </w:rPr>
        <w:t xml:space="preserve"> هكذا في « ب ، ج ، د ، ز ، ص ، ف ، </w:t>
      </w:r>
      <w:r w:rsidR="006D3162">
        <w:rPr>
          <w:rtl/>
        </w:rPr>
        <w:t xml:space="preserve">ه </w:t>
      </w:r>
      <w:r w:rsidRPr="00C9040A">
        <w:rPr>
          <w:rtl/>
        </w:rPr>
        <w:t xml:space="preserve">، بس ، بف » والوافي والبحار. وفي المطبوع وبعض النسخ </w:t>
      </w:r>
      <w:r>
        <w:rPr>
          <w:rtl/>
        </w:rPr>
        <w:t xml:space="preserve">: </w:t>
      </w:r>
      <w:r w:rsidR="0084262C">
        <w:rPr>
          <w:rtl/>
        </w:rPr>
        <w:t>-</w:t>
      </w:r>
      <w:r w:rsidRPr="00C9040A">
        <w:rPr>
          <w:rtl/>
        </w:rPr>
        <w:t xml:space="preserve"> « فخرجوا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تَكْلِمِ </w:t>
      </w:r>
      <w:r w:rsidR="006C577F" w:rsidRPr="006C577F">
        <w:rPr>
          <w:rStyle w:val="libFootnotenumChar"/>
          <w:rtl/>
        </w:rPr>
        <w:t>(1)</w:t>
      </w:r>
      <w:r w:rsidRPr="00E711C7">
        <w:rPr>
          <w:rFonts w:hint="cs"/>
          <w:rtl/>
        </w:rPr>
        <w:t xml:space="preserve"> </w:t>
      </w:r>
      <w:r w:rsidRPr="00C9040A">
        <w:rPr>
          <w:rtl/>
          <w:lang w:bidi="fa-IR"/>
        </w:rPr>
        <w:t xml:space="preserve">النَّارُ مِنْهُمْ </w:t>
      </w:r>
      <w:r w:rsidR="006C577F" w:rsidRPr="006C577F">
        <w:rPr>
          <w:rStyle w:val="libFootnotenumChar"/>
          <w:rtl/>
        </w:rPr>
        <w:t>(2)</w:t>
      </w:r>
      <w:r w:rsidRPr="00C9040A">
        <w:rPr>
          <w:rtl/>
          <w:lang w:bidi="fa-IR"/>
        </w:rPr>
        <w:t xml:space="preserve"> كَلْماً ، وَلَمْ تُؤَثِّرْ فِيهِمْ أَثَراً ، فَلَمَّا رَآهُمْ أَصْحَابُ الشِّمَالِ قَالُوا : رَبَّنَا ، نَرى أَصْحَابَنَا قَدْ سَلِمُوا ، فَأَقِلْنَا </w:t>
      </w:r>
      <w:r w:rsidR="006C577F" w:rsidRPr="006C577F">
        <w:rPr>
          <w:rStyle w:val="libFootnotenumChar"/>
          <w:rtl/>
        </w:rPr>
        <w:t>(3)</w:t>
      </w:r>
      <w:r w:rsidRPr="00C9040A">
        <w:rPr>
          <w:rtl/>
          <w:lang w:bidi="fa-IR"/>
        </w:rPr>
        <w:t xml:space="preserve"> وَمُرْنَا بِالدُّخُولِ ، قَالَ </w:t>
      </w:r>
      <w:r w:rsidR="006C577F" w:rsidRPr="006C577F">
        <w:rPr>
          <w:rStyle w:val="libFootnotenumChar"/>
          <w:rtl/>
        </w:rPr>
        <w:t>(4)</w:t>
      </w:r>
      <w:r w:rsidRPr="00C9040A">
        <w:rPr>
          <w:rtl/>
          <w:lang w:bidi="fa-IR"/>
        </w:rPr>
        <w:t xml:space="preserve"> : قَدْ أَقَلْتُكُمْ ، فَادْخُلُوهَا ، فَلَمَّا دَنَوْا </w:t>
      </w:r>
      <w:r w:rsidR="006C577F" w:rsidRPr="006C577F">
        <w:rPr>
          <w:rStyle w:val="libFootnotenumChar"/>
          <w:rtl/>
        </w:rPr>
        <w:t>(5)</w:t>
      </w:r>
      <w:r w:rsidRPr="00C9040A">
        <w:rPr>
          <w:rtl/>
          <w:lang w:bidi="fa-IR"/>
        </w:rPr>
        <w:t xml:space="preserve"> وَأَصَابَهُمُ الْوَهَجُ </w:t>
      </w:r>
      <w:r w:rsidR="006C577F" w:rsidRPr="006C577F">
        <w:rPr>
          <w:rStyle w:val="libFootnotenumChar"/>
          <w:rtl/>
        </w:rPr>
        <w:t>(6)</w:t>
      </w:r>
      <w:r w:rsidRPr="005B567D">
        <w:rPr>
          <w:rStyle w:val="libFootnotenumChar"/>
          <w:rtl/>
        </w:rPr>
        <w:t xml:space="preserve"> </w:t>
      </w:r>
      <w:r w:rsidRPr="00C9040A">
        <w:rPr>
          <w:rtl/>
          <w:lang w:bidi="fa-IR"/>
        </w:rPr>
        <w:t xml:space="preserve">رَجَعُوا ، فَقَالُوا : يَا رَبَّنَا ، لَاصَبْرَ لَنَا عَلَى الِاحْتِرَاقِ ، فَعَصَوْا ، فَأَمَرَهُمْ </w:t>
      </w:r>
      <w:r w:rsidR="006C577F" w:rsidRPr="006C577F">
        <w:rPr>
          <w:rStyle w:val="libFootnotenumChar"/>
          <w:rtl/>
        </w:rPr>
        <w:t>(7)</w:t>
      </w:r>
      <w:r w:rsidRPr="00C9040A">
        <w:rPr>
          <w:rtl/>
          <w:lang w:bidi="fa-IR"/>
        </w:rPr>
        <w:t xml:space="preserve"> بِالدُّخُولِ ثَلَاثاً ، كُلَّ ذلِكَ يَعْصُونَ وَيَرْجِعُونَ ، وَأَمَرَ أُولئِكَ </w:t>
      </w:r>
      <w:r w:rsidR="006C577F" w:rsidRPr="006C577F">
        <w:rPr>
          <w:rStyle w:val="libFootnotenumChar"/>
          <w:rtl/>
        </w:rPr>
        <w:t>(8)</w:t>
      </w:r>
      <w:r w:rsidRPr="00C9040A">
        <w:rPr>
          <w:rtl/>
          <w:lang w:bidi="fa-IR"/>
        </w:rPr>
        <w:t xml:space="preserve"> ثَلَاثاً ، كُلَّ ذلِكَ يُطِيعُونَ وَيَخْرُجُونَ ، فَقَالَ لَهُمْ : كُونُوا طِيناً بِإِذْنِي ، فَخَلَقَ مِنْهُ آدَمَ </w:t>
      </w:r>
      <w:r w:rsidRPr="0003660B">
        <w:rPr>
          <w:rStyle w:val="libAlaemChar"/>
          <w:rtl/>
        </w:rPr>
        <w:t>عليه‌السلام</w:t>
      </w:r>
      <w:r w:rsidRPr="00C9040A">
        <w:rPr>
          <w:rtl/>
          <w:lang w:bidi="fa-IR"/>
        </w:rPr>
        <w:t xml:space="preserve"> »</w:t>
      </w:r>
      <w:r>
        <w:rPr>
          <w:rtl/>
          <w:lang w:bidi="fa-IR"/>
        </w:rPr>
        <w:t>.</w:t>
      </w:r>
    </w:p>
    <w:p w:rsidR="008A74EB" w:rsidRPr="00C9040A" w:rsidRDefault="008A74EB" w:rsidP="008A74EB">
      <w:pPr>
        <w:pStyle w:val="libNormal"/>
        <w:rPr>
          <w:rtl/>
          <w:lang w:bidi="fa-IR"/>
        </w:rPr>
      </w:pPr>
      <w:r w:rsidRPr="00C9040A">
        <w:rPr>
          <w:rtl/>
          <w:lang w:bidi="fa-IR"/>
        </w:rPr>
        <w:t xml:space="preserve">قَالَ : « فَمَنْ كَانَ مِنْ هؤُلَاءِ لَايَكُونُ مِنْ هؤُلَاءِ ، وَمَنْ كَانَ مِنْ هؤُلَاءِ لَايَكُونُ مِنْ هؤُلَاءِ ؛ وَمَا رَأَيْتَ مِنْ نَزَقِ أَصْحَابِكَ وَخُلُقِهِمْ ، فَمِمَّا أَصَابَهُمْ </w:t>
      </w:r>
      <w:r w:rsidR="006C577F" w:rsidRPr="006C577F">
        <w:rPr>
          <w:rStyle w:val="libFootnotenumChar"/>
          <w:rtl/>
        </w:rPr>
        <w:t>(9)</w:t>
      </w:r>
      <w:r w:rsidRPr="00C9040A">
        <w:rPr>
          <w:rtl/>
          <w:lang w:bidi="fa-IR"/>
        </w:rPr>
        <w:t xml:space="preserve"> مِنْ لَطْخِ </w:t>
      </w:r>
      <w:r w:rsidR="006C577F" w:rsidRPr="006C577F">
        <w:rPr>
          <w:rStyle w:val="libFootnotenumChar"/>
          <w:rtl/>
        </w:rPr>
        <w:t>(10)</w:t>
      </w:r>
      <w:r w:rsidRPr="00C9040A">
        <w:rPr>
          <w:rtl/>
          <w:lang w:bidi="fa-IR"/>
        </w:rPr>
        <w:t xml:space="preserve"> أَصْحَابِ الشِّمَالِ ؛ وَمَا رَأَيْتَ مِنْ حُسْنِ سِيمَاءِ </w:t>
      </w:r>
      <w:r w:rsidR="006C577F" w:rsidRPr="006C577F">
        <w:rPr>
          <w:rStyle w:val="libFootnotenumChar"/>
          <w:rtl/>
        </w:rPr>
        <w:t>(11)</w:t>
      </w:r>
      <w:r w:rsidRPr="00C9040A">
        <w:rPr>
          <w:rtl/>
          <w:lang w:bidi="fa-IR"/>
        </w:rPr>
        <w:t xml:space="preserve"> مَنْ خَالَفَكُمْ وَوَقَارِهِمْ ، فَمِمَّا أَصَابَهُمْ مِنْ لَطْخِ </w:t>
      </w:r>
      <w:r w:rsidR="006C577F" w:rsidRPr="006C577F">
        <w:rPr>
          <w:rStyle w:val="libFootnotenumChar"/>
          <w:rtl/>
        </w:rPr>
        <w:t>(12)</w:t>
      </w:r>
      <w:r w:rsidR="009151B8">
        <w:rPr>
          <w:rtl/>
          <w:lang w:bidi="fa-IR"/>
        </w:rPr>
        <w:t xml:space="preserve"> أَصْحَابِ الْيَمِينِ</w:t>
      </w:r>
      <w:r w:rsidRPr="00C9040A">
        <w:rPr>
          <w:rtl/>
          <w:lang w:bidi="fa-IR"/>
        </w:rPr>
        <w:t>»</w:t>
      </w:r>
      <w:r>
        <w:rPr>
          <w:rtl/>
          <w:lang w:bidi="fa-IR"/>
        </w:rPr>
        <w:t>.</w:t>
      </w:r>
      <w:r w:rsidRPr="00C9040A">
        <w:rPr>
          <w:rtl/>
          <w:lang w:bidi="fa-IR"/>
        </w:rPr>
        <w:t xml:space="preserve"> </w:t>
      </w:r>
      <w:r w:rsidRPr="005B567D">
        <w:rPr>
          <w:rStyle w:val="libFootnotenumChar"/>
          <w:rtl/>
        </w:rPr>
        <w:t>(13)</w:t>
      </w:r>
    </w:p>
    <w:p w:rsidR="008A74EB" w:rsidRPr="00C9040A" w:rsidRDefault="008A74EB" w:rsidP="008A74EB">
      <w:pPr>
        <w:pStyle w:val="libNormal"/>
        <w:rPr>
          <w:rtl/>
          <w:lang w:bidi="fa-IR"/>
        </w:rPr>
      </w:pPr>
      <w:r w:rsidRPr="00277CB4">
        <w:rPr>
          <w:rtl/>
        </w:rPr>
        <w:t>1464</w:t>
      </w:r>
      <w:r w:rsidRPr="00261CB0">
        <w:rPr>
          <w:rStyle w:val="libBold2Char"/>
          <w:rtl/>
        </w:rPr>
        <w:t xml:space="preserve"> / 3.</w:t>
      </w:r>
      <w:r w:rsidRPr="00C9040A">
        <w:rPr>
          <w:rtl/>
          <w:lang w:bidi="fa-IR"/>
        </w:rPr>
        <w:t xml:space="preserve"> مُحَمَّدُ بْنُ يَحْيى ، عَنْ مُحَمَّدِ بْنِ الْحَسَنِ </w:t>
      </w:r>
      <w:r w:rsidRPr="005B567D">
        <w:rPr>
          <w:rStyle w:val="libFootnotenumChar"/>
          <w:rtl/>
        </w:rPr>
        <w:t>(14)</w:t>
      </w:r>
      <w:r w:rsidRPr="00C9040A">
        <w:rPr>
          <w:rtl/>
          <w:lang w:bidi="fa-IR"/>
        </w:rPr>
        <w:t xml:space="preserve"> ، عَنْ عَلِيِّ بْنِ إِسْمَاعِيلَ ، عَنْ‌</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 د » : « فلم تكلم »</w:t>
      </w:r>
      <w:r w:rsidR="008A74EB">
        <w:rPr>
          <w:rtl/>
        </w:rPr>
        <w:t>.</w:t>
      </w:r>
      <w:r w:rsidR="008A74EB" w:rsidRPr="00C9040A">
        <w:rPr>
          <w:rtl/>
        </w:rPr>
        <w:t xml:space="preserve"> وأصل الكلم : الجرح. </w:t>
      </w:r>
      <w:r w:rsidR="008A74EB" w:rsidRPr="00993B55">
        <w:rPr>
          <w:rStyle w:val="libFootnoteBoldChar"/>
          <w:rtl/>
        </w:rPr>
        <w:t>النهاية</w:t>
      </w:r>
      <w:r w:rsidR="008A74EB" w:rsidRPr="00C9040A">
        <w:rPr>
          <w:rtl/>
        </w:rPr>
        <w:t xml:space="preserve"> ، ج 4 ، ص 199 ( كلم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ز » والبحار : « منهم النار »</w:t>
      </w:r>
      <w:r w:rsidR="008A74EB">
        <w:rPr>
          <w:rtl/>
        </w:rPr>
        <w:t>.</w:t>
      </w:r>
    </w:p>
    <w:p w:rsidR="008A74EB" w:rsidRPr="004A4E41" w:rsidRDefault="006C577F" w:rsidP="004A4E41">
      <w:pPr>
        <w:pStyle w:val="libFootnote0"/>
        <w:rPr>
          <w:rStyle w:val="libFootnote0Char"/>
          <w:rtl/>
        </w:rPr>
      </w:pPr>
      <w:r>
        <w:rPr>
          <w:rtl/>
        </w:rPr>
        <w:t>(3).</w:t>
      </w:r>
      <w:r w:rsidR="008A74EB" w:rsidRPr="00C9040A">
        <w:rPr>
          <w:rtl/>
        </w:rPr>
        <w:t xml:space="preserve"> أقال الله عثرته : رفعه من سقوطه ، ومنه الإقالة في البيع ؛ لأنّها رفع العقد. </w:t>
      </w:r>
      <w:r w:rsidR="008A74EB" w:rsidRPr="00993B55">
        <w:rPr>
          <w:rStyle w:val="libFootnoteBoldChar"/>
          <w:rtl/>
        </w:rPr>
        <w:t>المصباح المنير</w:t>
      </w:r>
      <w:r w:rsidR="008A74EB" w:rsidRPr="00C9040A">
        <w:rPr>
          <w:rtl/>
        </w:rPr>
        <w:t xml:space="preserve"> ، ص 521 ( قيل )</w:t>
      </w:r>
      <w:r w:rsidR="008A74EB">
        <w:rPr>
          <w:rtl/>
        </w:rPr>
        <w:t>.</w:t>
      </w:r>
    </w:p>
    <w:tbl>
      <w:tblPr>
        <w:tblStyle w:val="TableGrid"/>
        <w:bidiVisual/>
        <w:tblW w:w="0" w:type="auto"/>
        <w:tblLook w:val="04A0" w:firstRow="1" w:lastRow="0" w:firstColumn="1" w:lastColumn="0" w:noHBand="0" w:noVBand="1"/>
      </w:tblPr>
      <w:tblGrid>
        <w:gridCol w:w="4006"/>
        <w:gridCol w:w="4006"/>
      </w:tblGrid>
      <w:tr w:rsidR="009151B8" w:rsidTr="009151B8">
        <w:tc>
          <w:tcPr>
            <w:tcW w:w="4006" w:type="dxa"/>
          </w:tcPr>
          <w:p w:rsidR="009151B8" w:rsidRDefault="006C577F" w:rsidP="004A4E41">
            <w:pPr>
              <w:pStyle w:val="libFootnote0"/>
              <w:rPr>
                <w:rtl/>
              </w:rPr>
            </w:pPr>
            <w:r>
              <w:rPr>
                <w:rtl/>
              </w:rPr>
              <w:t>(4).</w:t>
            </w:r>
            <w:r w:rsidR="009151B8" w:rsidRPr="00C9040A">
              <w:rPr>
                <w:rtl/>
              </w:rPr>
              <w:t xml:space="preserve"> في « </w:t>
            </w:r>
            <w:r w:rsidR="009151B8">
              <w:rPr>
                <w:rtl/>
              </w:rPr>
              <w:t xml:space="preserve">ه </w:t>
            </w:r>
            <w:r w:rsidR="009151B8" w:rsidRPr="00C9040A">
              <w:rPr>
                <w:rtl/>
              </w:rPr>
              <w:t>» : « فقال »</w:t>
            </w:r>
            <w:r w:rsidR="009151B8">
              <w:rPr>
                <w:rtl/>
              </w:rPr>
              <w:t>.</w:t>
            </w:r>
          </w:p>
        </w:tc>
        <w:tc>
          <w:tcPr>
            <w:tcW w:w="4006" w:type="dxa"/>
          </w:tcPr>
          <w:p w:rsidR="009151B8" w:rsidRDefault="006C577F" w:rsidP="004A4E41">
            <w:pPr>
              <w:pStyle w:val="libFootnote0"/>
              <w:rPr>
                <w:rtl/>
              </w:rPr>
            </w:pPr>
            <w:r>
              <w:rPr>
                <w:rtl/>
              </w:rPr>
              <w:t>(5).</w:t>
            </w:r>
            <w:r w:rsidR="009151B8" w:rsidRPr="00C9040A">
              <w:rPr>
                <w:rtl/>
              </w:rPr>
              <w:t xml:space="preserve"> في « ج ، </w:t>
            </w:r>
            <w:r w:rsidR="009151B8">
              <w:rPr>
                <w:rtl/>
              </w:rPr>
              <w:t xml:space="preserve">ه </w:t>
            </w:r>
            <w:r w:rsidR="009151B8" w:rsidRPr="00C9040A">
              <w:rPr>
                <w:rtl/>
              </w:rPr>
              <w:t>» : « فلمّا أن دَنَوا »</w:t>
            </w:r>
            <w:r w:rsidR="009151B8">
              <w:rPr>
                <w:rtl/>
              </w:rPr>
              <w:t>.</w:t>
            </w:r>
          </w:p>
        </w:tc>
      </w:tr>
    </w:tbl>
    <w:p w:rsidR="008A74EB" w:rsidRPr="004A4E41" w:rsidRDefault="006C577F" w:rsidP="004A4E41">
      <w:pPr>
        <w:pStyle w:val="libFootnote0"/>
        <w:rPr>
          <w:rStyle w:val="libFootnote0Char"/>
          <w:rtl/>
        </w:rPr>
      </w:pPr>
      <w:r>
        <w:rPr>
          <w:rtl/>
        </w:rPr>
        <w:t>(6).</w:t>
      </w:r>
      <w:r w:rsidR="008A74EB">
        <w:rPr>
          <w:rtl/>
        </w:rPr>
        <w:t xml:space="preserve"> </w:t>
      </w:r>
      <w:r w:rsidR="008A74EB" w:rsidRPr="00C9040A">
        <w:rPr>
          <w:rtl/>
        </w:rPr>
        <w:t xml:space="preserve">« الوَهَجُ » : حرّ النار. </w:t>
      </w:r>
      <w:r w:rsidR="008A74EB" w:rsidRPr="00993B55">
        <w:rPr>
          <w:rStyle w:val="libFootnoteBoldChar"/>
          <w:rtl/>
        </w:rPr>
        <w:t>الصحاح</w:t>
      </w:r>
      <w:r w:rsidR="008A74EB" w:rsidRPr="00C9040A">
        <w:rPr>
          <w:rtl/>
        </w:rPr>
        <w:t xml:space="preserve"> ، ج 1 ، ص 348 ( وهج )</w:t>
      </w:r>
      <w:r w:rsidR="008A74EB">
        <w:rPr>
          <w:rtl/>
        </w:rPr>
        <w:t>.</w:t>
      </w:r>
    </w:p>
    <w:tbl>
      <w:tblPr>
        <w:tblStyle w:val="TableGrid"/>
        <w:bidiVisual/>
        <w:tblW w:w="0" w:type="auto"/>
        <w:tblLook w:val="04A0" w:firstRow="1" w:lastRow="0" w:firstColumn="1" w:lastColumn="0" w:noHBand="0" w:noVBand="1"/>
      </w:tblPr>
      <w:tblGrid>
        <w:gridCol w:w="4006"/>
        <w:gridCol w:w="4006"/>
      </w:tblGrid>
      <w:tr w:rsidR="009151B8" w:rsidTr="009151B8">
        <w:tc>
          <w:tcPr>
            <w:tcW w:w="4006" w:type="dxa"/>
          </w:tcPr>
          <w:p w:rsidR="009151B8" w:rsidRDefault="006C577F" w:rsidP="004A4E41">
            <w:pPr>
              <w:pStyle w:val="libFootnote0"/>
              <w:rPr>
                <w:rtl/>
                <w:lang w:bidi="fa-IR"/>
              </w:rPr>
            </w:pPr>
            <w:r>
              <w:rPr>
                <w:rtl/>
              </w:rPr>
              <w:t>(7).</w:t>
            </w:r>
            <w:r w:rsidR="009151B8" w:rsidRPr="00C9040A">
              <w:rPr>
                <w:rtl/>
              </w:rPr>
              <w:t xml:space="preserve"> في الوافي : « وأمرهم »</w:t>
            </w:r>
            <w:r w:rsidR="009151B8">
              <w:rPr>
                <w:rtl/>
              </w:rPr>
              <w:t>.</w:t>
            </w:r>
          </w:p>
        </w:tc>
        <w:tc>
          <w:tcPr>
            <w:tcW w:w="4006" w:type="dxa"/>
          </w:tcPr>
          <w:p w:rsidR="009151B8" w:rsidRDefault="006C577F" w:rsidP="004A4E41">
            <w:pPr>
              <w:pStyle w:val="libFootnote0"/>
              <w:rPr>
                <w:rtl/>
                <w:lang w:bidi="fa-IR"/>
              </w:rPr>
            </w:pPr>
            <w:r>
              <w:rPr>
                <w:rtl/>
              </w:rPr>
              <w:t>(8).</w:t>
            </w:r>
            <w:r w:rsidR="009151B8" w:rsidRPr="00C9040A">
              <w:rPr>
                <w:rtl/>
              </w:rPr>
              <w:t xml:space="preserve"> في « </w:t>
            </w:r>
            <w:r w:rsidR="009151B8">
              <w:rPr>
                <w:rtl/>
              </w:rPr>
              <w:t xml:space="preserve">ه </w:t>
            </w:r>
            <w:r w:rsidR="009151B8" w:rsidRPr="00C9040A">
              <w:rPr>
                <w:rtl/>
              </w:rPr>
              <w:t>» : « هؤلاء »</w:t>
            </w:r>
            <w:r w:rsidR="009151B8">
              <w:rPr>
                <w:rtl/>
              </w:rPr>
              <w:t>.</w:t>
            </w:r>
            <w:r w:rsidR="009151B8" w:rsidRPr="00C9040A">
              <w:rPr>
                <w:rtl/>
              </w:rPr>
              <w:t xml:space="preserve"> وفي « بر » : « ذلك »</w:t>
            </w:r>
            <w:r w:rsidR="009151B8">
              <w:rPr>
                <w:rtl/>
              </w:rPr>
              <w:t>.</w:t>
            </w:r>
          </w:p>
        </w:tc>
      </w:tr>
    </w:tbl>
    <w:p w:rsidR="008A74EB" w:rsidRPr="00C9040A" w:rsidRDefault="006C577F" w:rsidP="004A4E41">
      <w:pPr>
        <w:pStyle w:val="libFootnote0"/>
        <w:rPr>
          <w:rtl/>
          <w:lang w:bidi="fa-IR"/>
        </w:rPr>
      </w:pPr>
      <w:r>
        <w:rPr>
          <w:rtl/>
        </w:rPr>
        <w:t>(9).</w:t>
      </w:r>
      <w:r w:rsidR="008A74EB" w:rsidRPr="00C9040A">
        <w:rPr>
          <w:rtl/>
        </w:rPr>
        <w:t xml:space="preserve"> في البحار : « أصاب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 اللطخ » : التلويث ، والمراد المخالطة. راجع : </w:t>
      </w:r>
      <w:r w:rsidR="008A74EB" w:rsidRPr="00993B55">
        <w:rPr>
          <w:rStyle w:val="libFootnoteBoldChar"/>
          <w:rtl/>
        </w:rPr>
        <w:t>القاموس المحيط</w:t>
      </w:r>
      <w:r w:rsidR="008A74EB" w:rsidRPr="00C9040A">
        <w:rPr>
          <w:rtl/>
        </w:rPr>
        <w:t xml:space="preserve"> ، ج 1 ، ص 384 ( لطخ ) ؛ </w:t>
      </w:r>
      <w:r w:rsidR="008A74EB" w:rsidRPr="00993B55">
        <w:rPr>
          <w:rStyle w:val="libFootnoteBoldChar"/>
          <w:rtl/>
        </w:rPr>
        <w:t>مرآة العقول</w:t>
      </w:r>
      <w:r w:rsidR="008A74EB" w:rsidRPr="00C9040A">
        <w:rPr>
          <w:rtl/>
        </w:rPr>
        <w:t xml:space="preserve"> ، ج 7 ، ص 35.</w:t>
      </w:r>
      <w:r w:rsidR="009151B8">
        <w:rPr>
          <w:rFonts w:hint="cs"/>
          <w:rtl/>
        </w:rPr>
        <w:t xml:space="preserve">                                   </w:t>
      </w:r>
      <w:r>
        <w:rPr>
          <w:rtl/>
        </w:rPr>
        <w:t>(11).</w:t>
      </w:r>
      <w:r w:rsidR="008A74EB" w:rsidRPr="00C9040A">
        <w:rPr>
          <w:rtl/>
        </w:rPr>
        <w:t xml:space="preserve"> في « العلل » : « شيم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في « </w:t>
      </w:r>
      <w:r w:rsidR="006D3162">
        <w:rPr>
          <w:rtl/>
        </w:rPr>
        <w:t xml:space="preserve">ه </w:t>
      </w:r>
      <w:r w:rsidR="008A74EB" w:rsidRPr="00C9040A">
        <w:rPr>
          <w:rtl/>
        </w:rPr>
        <w:t>» : « خلط »</w:t>
      </w:r>
      <w:r w:rsidR="008A74EB">
        <w:rPr>
          <w:rtl/>
        </w:rPr>
        <w:t>.</w:t>
      </w:r>
    </w:p>
    <w:p w:rsidR="008A74EB" w:rsidRPr="00C9040A" w:rsidRDefault="008A74EB" w:rsidP="004A4E41">
      <w:pPr>
        <w:pStyle w:val="libFootnote0"/>
        <w:rPr>
          <w:rtl/>
          <w:lang w:bidi="fa-IR"/>
        </w:rPr>
      </w:pPr>
      <w:r>
        <w:rPr>
          <w:rtl/>
        </w:rPr>
        <w:t>(13)</w:t>
      </w:r>
      <w:r w:rsidRPr="00C9040A">
        <w:rPr>
          <w:rtl/>
        </w:rPr>
        <w:t xml:space="preserve"> </w:t>
      </w:r>
      <w:r w:rsidRPr="00993B55">
        <w:rPr>
          <w:rStyle w:val="libFootnoteBoldChar"/>
          <w:rtl/>
        </w:rPr>
        <w:t>علل الشرائع</w:t>
      </w:r>
      <w:r w:rsidRPr="00C9040A">
        <w:rPr>
          <w:rtl/>
        </w:rPr>
        <w:t xml:space="preserve"> ، ص 83 ، ح 5 ، بسنده عن أحمد بن محمّد بن عيسى ، عن الحسن بن عليّ بن فضّال ، عن عبد الله بن سنان ، من قوله : « وما رأيت من نزق أصحابك » </w:t>
      </w:r>
      <w:r w:rsidR="009151B8">
        <w:rPr>
          <w:rFonts w:hint="cs"/>
          <w:rtl/>
        </w:rPr>
        <w:t>.</w:t>
      </w:r>
      <w:r w:rsidRPr="00993B55">
        <w:rPr>
          <w:rStyle w:val="libFootnoteBoldChar"/>
          <w:rtl/>
        </w:rPr>
        <w:t>الوافي</w:t>
      </w:r>
      <w:r w:rsidRPr="00C9040A">
        <w:rPr>
          <w:rtl/>
        </w:rPr>
        <w:t xml:space="preserve"> ، ج 4 ، ص 37 ، ح 1653 ؛ </w:t>
      </w:r>
      <w:r w:rsidRPr="00993B55">
        <w:rPr>
          <w:rStyle w:val="libFootnoteBoldChar"/>
          <w:rtl/>
        </w:rPr>
        <w:t>البحار</w:t>
      </w:r>
      <w:r w:rsidRPr="00C9040A">
        <w:rPr>
          <w:rtl/>
        </w:rPr>
        <w:t xml:space="preserve"> ج 67 ، ص 122 ، ح 25.</w:t>
      </w:r>
    </w:p>
    <w:p w:rsidR="008A74EB" w:rsidRPr="00C9040A" w:rsidRDefault="008A74EB" w:rsidP="004A4E41">
      <w:pPr>
        <w:pStyle w:val="libFootnote0"/>
        <w:rPr>
          <w:rtl/>
          <w:lang w:bidi="fa-IR"/>
        </w:rPr>
      </w:pPr>
      <w:r>
        <w:rPr>
          <w:rtl/>
        </w:rPr>
        <w:t>(14)</w:t>
      </w:r>
      <w:r w:rsidRPr="00C9040A">
        <w:rPr>
          <w:rtl/>
        </w:rPr>
        <w:t xml:space="preserve"> هكذا في « </w:t>
      </w:r>
      <w:r w:rsidR="006D3162">
        <w:rPr>
          <w:rtl/>
        </w:rPr>
        <w:t xml:space="preserve">ه </w:t>
      </w:r>
      <w:r w:rsidRPr="00C9040A">
        <w:rPr>
          <w:rtl/>
        </w:rPr>
        <w:t>» وحاشية « بر ، بف »</w:t>
      </w:r>
      <w:r>
        <w:rPr>
          <w:rtl/>
        </w:rPr>
        <w:t>.</w:t>
      </w:r>
      <w:r w:rsidRPr="00C9040A">
        <w:rPr>
          <w:rtl/>
        </w:rPr>
        <w:t xml:space="preserve"> وفي سائر النسخ والمطبوع : « محمّد بن الحسين »</w:t>
      </w:r>
      <w:r>
        <w:rPr>
          <w:rtl/>
        </w:rPr>
        <w:t>.</w:t>
      </w:r>
      <w:r w:rsidRPr="00C9040A">
        <w:rPr>
          <w:rtl/>
        </w:rPr>
        <w:t xml:space="preserve"> وما أثبتناه هو الصواب ؛ </w:t>
      </w:r>
      <w:r w:rsidR="009151B8">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مُحَمَّدِ بْنِ إِسْمَاعِيلَ ، عَنْ سَعْدَانَ بْنِ مُسْلِمٍ ، عَنْ صَالِحِ بْنِ سَهْلٍ :</w:t>
      </w:r>
    </w:p>
    <w:p w:rsidR="008A74EB" w:rsidRPr="00C9040A" w:rsidRDefault="008A74EB" w:rsidP="008B7A50">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سُئِلَ رَسُولُ اللهِ </w:t>
      </w:r>
      <w:r w:rsidR="004A4E41" w:rsidRPr="004A4E41">
        <w:rPr>
          <w:rStyle w:val="libAlaemChar"/>
          <w:rFonts w:eastAsiaTheme="minorHAnsi"/>
          <w:rtl/>
        </w:rPr>
        <w:t>صلى‌الله‌عليه‌وآله</w:t>
      </w:r>
      <w:r w:rsidRPr="00C9040A">
        <w:rPr>
          <w:rtl/>
          <w:lang w:bidi="fa-IR"/>
        </w:rPr>
        <w:t>: بِأَيِّ شَيْ‌ءٍ سَبَقْتَ وُلْدَ آدَمَ</w:t>
      </w:r>
      <w:r>
        <w:rPr>
          <w:rtl/>
          <w:lang w:bidi="fa-IR"/>
        </w:rPr>
        <w:t>؟</w:t>
      </w:r>
    </w:p>
    <w:p w:rsidR="008A74EB" w:rsidRPr="00C9040A" w:rsidRDefault="008A74EB" w:rsidP="008A74EB">
      <w:pPr>
        <w:pStyle w:val="libNormal"/>
        <w:rPr>
          <w:rtl/>
          <w:lang w:bidi="fa-IR"/>
        </w:rPr>
      </w:pPr>
      <w:r w:rsidRPr="00C9040A">
        <w:rPr>
          <w:rtl/>
          <w:lang w:bidi="fa-IR"/>
        </w:rPr>
        <w:t xml:space="preserve">قَالَ : إِنِّي </w:t>
      </w:r>
      <w:r w:rsidR="006C577F" w:rsidRPr="006C577F">
        <w:rPr>
          <w:rStyle w:val="libFootnotenumChar"/>
          <w:rtl/>
        </w:rPr>
        <w:t>(1)</w:t>
      </w:r>
      <w:r w:rsidRPr="00E711C7">
        <w:rPr>
          <w:rFonts w:hint="cs"/>
          <w:rtl/>
        </w:rPr>
        <w:t xml:space="preserve"> </w:t>
      </w:r>
      <w:r w:rsidRPr="00C9040A">
        <w:rPr>
          <w:rtl/>
          <w:lang w:bidi="fa-IR"/>
        </w:rPr>
        <w:t xml:space="preserve">أَوَّلُ مَنْ أَقَرَّ </w:t>
      </w:r>
      <w:r w:rsidR="006C577F" w:rsidRPr="006C577F">
        <w:rPr>
          <w:rStyle w:val="libFootnotenumChar"/>
          <w:rtl/>
        </w:rPr>
        <w:t>(2)</w:t>
      </w:r>
      <w:r w:rsidRPr="00C9040A">
        <w:rPr>
          <w:rtl/>
          <w:lang w:bidi="fa-IR"/>
        </w:rPr>
        <w:t xml:space="preserve"> بِرَبِّي </w:t>
      </w:r>
      <w:r w:rsidR="006C577F" w:rsidRPr="006C577F">
        <w:rPr>
          <w:rStyle w:val="libFootnotenumChar"/>
          <w:rtl/>
        </w:rPr>
        <w:t>(3)</w:t>
      </w:r>
      <w:r w:rsidRPr="00C9040A">
        <w:rPr>
          <w:rtl/>
          <w:lang w:bidi="fa-IR"/>
        </w:rPr>
        <w:t xml:space="preserve"> ؛ إِنَّ اللهَ أَخَذَ مِيثَاقَ النَّبِيِّينَ</w:t>
      </w:r>
      <w:r>
        <w:rPr>
          <w:rFonts w:hint="cs"/>
          <w:rtl/>
          <w:lang w:bidi="fa-IR"/>
        </w:rPr>
        <w:t xml:space="preserve"> </w:t>
      </w:r>
      <w:r w:rsidRPr="0003660B">
        <w:rPr>
          <w:rStyle w:val="libAlaemChar"/>
          <w:rtl/>
        </w:rPr>
        <w:t>(</w:t>
      </w:r>
      <w:r w:rsidRPr="006A2246">
        <w:rPr>
          <w:rStyle w:val="libAieChar"/>
          <w:rtl/>
        </w:rPr>
        <w:t xml:space="preserve"> وَأَشْهَدَهُمْ عَلى أَنْفُسِهِمْ أَلَسْتُ بِرَبِّكُمْ قالُوا بَلى </w:t>
      </w:r>
      <w:r w:rsidRPr="0003660B">
        <w:rPr>
          <w:rStyle w:val="libAlaemChar"/>
          <w:rtl/>
        </w:rPr>
        <w:t>)</w:t>
      </w:r>
      <w:r w:rsidRPr="00C9040A">
        <w:rPr>
          <w:rtl/>
          <w:lang w:bidi="fa-IR"/>
        </w:rPr>
        <w:t xml:space="preserve"> </w:t>
      </w:r>
      <w:r w:rsidR="006C577F" w:rsidRPr="006C577F">
        <w:rPr>
          <w:rStyle w:val="libFootnotenumChar"/>
          <w:rtl/>
        </w:rPr>
        <w:t>(4)</w:t>
      </w:r>
      <w:r w:rsidRPr="00C9040A">
        <w:rPr>
          <w:rtl/>
          <w:lang w:bidi="fa-IR"/>
        </w:rPr>
        <w:t xml:space="preserve"> فَكُنْتُ </w:t>
      </w:r>
      <w:r w:rsidR="006C577F" w:rsidRPr="006C577F">
        <w:rPr>
          <w:rStyle w:val="libFootnotenumChar"/>
          <w:rtl/>
        </w:rPr>
        <w:t>(5)</w:t>
      </w:r>
      <w:r w:rsidRPr="00C9040A">
        <w:rPr>
          <w:rtl/>
          <w:lang w:bidi="fa-IR"/>
        </w:rPr>
        <w:t xml:space="preserve"> أَوَّلَ مَنْ أَجَابَ »</w:t>
      </w:r>
      <w:r>
        <w:rPr>
          <w:rtl/>
          <w:lang w:bidi="fa-IR"/>
        </w:rPr>
        <w:t>.</w:t>
      </w:r>
      <w:r w:rsidRPr="00C9040A">
        <w:rPr>
          <w:rtl/>
          <w:lang w:bidi="fa-IR"/>
        </w:rPr>
        <w:t xml:space="preserve"> </w:t>
      </w:r>
      <w:r w:rsidR="006C577F" w:rsidRPr="006C577F">
        <w:rPr>
          <w:rStyle w:val="libFootnotenumChar"/>
          <w:rtl/>
        </w:rPr>
        <w:t>(6)</w:t>
      </w:r>
    </w:p>
    <w:p w:rsidR="008A74EB" w:rsidRPr="00C9040A" w:rsidRDefault="008A74EB" w:rsidP="008A74EB">
      <w:pPr>
        <w:pStyle w:val="Heading2Center"/>
        <w:rPr>
          <w:rtl/>
          <w:lang w:bidi="fa-IR"/>
        </w:rPr>
      </w:pPr>
      <w:bookmarkStart w:id="25" w:name="_Toc343795596"/>
      <w:bookmarkStart w:id="26" w:name="_Toc459810720"/>
      <w:bookmarkStart w:id="27" w:name="_Toc35348626"/>
      <w:r w:rsidRPr="00C9040A">
        <w:rPr>
          <w:rtl/>
          <w:lang w:bidi="fa-IR"/>
        </w:rPr>
        <w:t>5</w:t>
      </w:r>
      <w:r>
        <w:rPr>
          <w:rtl/>
          <w:lang w:bidi="fa-IR"/>
        </w:rPr>
        <w:t xml:space="preserve"> </w:t>
      </w:r>
      <w:r w:rsidR="0084262C">
        <w:rPr>
          <w:rtl/>
          <w:lang w:bidi="fa-IR"/>
        </w:rPr>
        <w:t>-</w:t>
      </w:r>
      <w:r>
        <w:rPr>
          <w:rtl/>
          <w:lang w:bidi="fa-IR"/>
        </w:rPr>
        <w:t xml:space="preserve"> </w:t>
      </w:r>
      <w:r w:rsidRPr="00C9040A">
        <w:rPr>
          <w:rtl/>
          <w:lang w:bidi="fa-IR"/>
        </w:rPr>
        <w:t xml:space="preserve">بَابُ كَيْفَ أَجَابُوا وَهُمْ ذَرٌّ </w:t>
      </w:r>
      <w:r w:rsidR="006C577F" w:rsidRPr="006C577F">
        <w:rPr>
          <w:rStyle w:val="libFootnotenumChar"/>
          <w:rtl/>
        </w:rPr>
        <w:t>(7)</w:t>
      </w:r>
      <w:r w:rsidRPr="00C9040A">
        <w:rPr>
          <w:rtl/>
          <w:lang w:bidi="fa-IR"/>
        </w:rPr>
        <w:t xml:space="preserve"> ‌</w:t>
      </w:r>
      <w:bookmarkEnd w:id="25"/>
      <w:bookmarkEnd w:id="26"/>
      <w:bookmarkEnd w:id="27"/>
    </w:p>
    <w:p w:rsidR="008A74EB" w:rsidRPr="00C9040A" w:rsidRDefault="008A74EB" w:rsidP="008A74EB">
      <w:pPr>
        <w:pStyle w:val="libNormal"/>
        <w:rPr>
          <w:rtl/>
          <w:lang w:bidi="fa-IR"/>
        </w:rPr>
      </w:pPr>
      <w:r w:rsidRPr="00277CB4">
        <w:rPr>
          <w:rtl/>
        </w:rPr>
        <w:t>1465</w:t>
      </w:r>
      <w:r w:rsidRPr="00261CB0">
        <w:rPr>
          <w:rStyle w:val="libBold2Char"/>
          <w:rtl/>
        </w:rPr>
        <w:t xml:space="preserve"> / 1.</w:t>
      </w:r>
      <w:r w:rsidRPr="00C9040A">
        <w:rPr>
          <w:rtl/>
          <w:lang w:bidi="fa-IR"/>
        </w:rPr>
        <w:t xml:space="preserve"> عَلِيُّ بْنُ إِبْرَاهِيمَ ، عَنْ أَبِيهِ ، عَنِ ابْنِ أَبِي عُمَيْرٍ ، عَنْ بَعْضِ أَصْحَابِنَا ، عَنْ أَبِي بَصِيرٍ ، قَالَ :</w:t>
      </w:r>
    </w:p>
    <w:p w:rsidR="008A74EB" w:rsidRPr="00C9040A" w:rsidRDefault="008A74EB" w:rsidP="008A74EB">
      <w:pPr>
        <w:pStyle w:val="libNormal"/>
        <w:rPr>
          <w:rtl/>
          <w:lang w:bidi="fa-IR"/>
        </w:rPr>
      </w:pPr>
      <w:r w:rsidRPr="00C9040A">
        <w:rPr>
          <w:rtl/>
          <w:lang w:bidi="fa-IR"/>
        </w:rPr>
        <w:t xml:space="preserve">قُلْتُ لِأَبِي عَبْدِ اللهِ </w:t>
      </w:r>
      <w:r w:rsidRPr="0003660B">
        <w:rPr>
          <w:rStyle w:val="libAlaemChar"/>
          <w:rtl/>
        </w:rPr>
        <w:t>عليه‌السلام</w:t>
      </w:r>
      <w:r w:rsidRPr="00C9040A">
        <w:rPr>
          <w:rtl/>
          <w:lang w:bidi="fa-IR"/>
        </w:rPr>
        <w:t xml:space="preserve"> : كَيْفَ أَجَابُوا </w:t>
      </w:r>
      <w:r w:rsidR="006C577F" w:rsidRPr="006C577F">
        <w:rPr>
          <w:rStyle w:val="libFootnotenumChar"/>
          <w:rtl/>
        </w:rPr>
        <w:t>(8)</w:t>
      </w:r>
      <w:r w:rsidRPr="00C9040A">
        <w:rPr>
          <w:rtl/>
          <w:lang w:bidi="fa-IR"/>
        </w:rPr>
        <w:t xml:space="preserve"> وَهُمْ ذَرٌّ</w:t>
      </w:r>
      <w:r>
        <w:rPr>
          <w:rtl/>
          <w:lang w:bidi="fa-IR"/>
        </w:rPr>
        <w:t>؟!</w:t>
      </w:r>
    </w:p>
    <w:p w:rsidR="008A74EB" w:rsidRPr="00C9040A" w:rsidRDefault="008A74EB" w:rsidP="008A74EB">
      <w:pPr>
        <w:pStyle w:val="libNormal"/>
        <w:rPr>
          <w:rtl/>
          <w:lang w:bidi="fa-IR"/>
        </w:rPr>
      </w:pPr>
      <w:r w:rsidRPr="00C9040A">
        <w:rPr>
          <w:rtl/>
          <w:lang w:bidi="fa-IR"/>
        </w:rPr>
        <w:t xml:space="preserve">قَالَ : « جَعَلَ فِيهِمْ مَا إِذَا سَأَلَهُمْ أَجَابُوهُ </w:t>
      </w:r>
      <w:r w:rsidR="006C577F" w:rsidRPr="006C577F">
        <w:rPr>
          <w:rStyle w:val="libFootnotenumChar"/>
          <w:rtl/>
        </w:rPr>
        <w:t>(9)</w:t>
      </w:r>
      <w:r w:rsidRPr="00C9040A">
        <w:rPr>
          <w:rtl/>
          <w:lang w:bidi="fa-IR"/>
        </w:rPr>
        <w:t xml:space="preserve"> ، يَعْنِي فِي الْمِيثَاقِ »</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9151B8" w:rsidP="004A4E41">
      <w:pPr>
        <w:pStyle w:val="libFootnote0"/>
        <w:rPr>
          <w:rtl/>
          <w:lang w:bidi="fa-IR"/>
        </w:rPr>
      </w:pPr>
      <w:r>
        <w:rPr>
          <w:rFonts w:hint="cs"/>
          <w:rtl/>
        </w:rPr>
        <w:t xml:space="preserve">= </w:t>
      </w:r>
      <w:r w:rsidR="008A74EB" w:rsidRPr="00C9040A">
        <w:rPr>
          <w:rtl/>
        </w:rPr>
        <w:t xml:space="preserve">فقد روى محمّد بن الحسن الصفّار الخبر في </w:t>
      </w:r>
      <w:r w:rsidR="008A74EB" w:rsidRPr="00993B55">
        <w:rPr>
          <w:rStyle w:val="libFootnoteBoldChar"/>
          <w:rtl/>
        </w:rPr>
        <w:t>بصائر الدرجات</w:t>
      </w:r>
      <w:r w:rsidR="008A74EB" w:rsidRPr="00C9040A">
        <w:rPr>
          <w:rtl/>
        </w:rPr>
        <w:t xml:space="preserve"> ، ص 86 ، ح 12 ، عن عليّ بن إسماعيل ، عن محمّد بن إسماعيل ، عن سعدان بن مسلم. وورد الخبر في </w:t>
      </w:r>
      <w:r w:rsidR="008A74EB" w:rsidRPr="00993B55">
        <w:rPr>
          <w:rStyle w:val="libFootnoteBoldChar"/>
          <w:rtl/>
        </w:rPr>
        <w:t>مختصر البصائر</w:t>
      </w:r>
      <w:r w:rsidR="008A74EB" w:rsidRPr="00C9040A">
        <w:rPr>
          <w:rtl/>
        </w:rPr>
        <w:t xml:space="preserve"> ، ص 394 ، ح 447 نقلاً من </w:t>
      </w:r>
      <w:r w:rsidR="008A74EB" w:rsidRPr="00993B55">
        <w:rPr>
          <w:rStyle w:val="libFootnoteBoldChar"/>
          <w:rtl/>
        </w:rPr>
        <w:t>الكافي</w:t>
      </w:r>
      <w:r w:rsidR="008A74EB" w:rsidRPr="00C9040A">
        <w:rPr>
          <w:rtl/>
        </w:rPr>
        <w:t xml:space="preserve"> ، وفيه أيضاً : « محمّد بن الحسن »</w:t>
      </w:r>
      <w:r w:rsidR="008A74EB">
        <w:rPr>
          <w:rtl/>
        </w:rPr>
        <w:t>.</w:t>
      </w:r>
    </w:p>
    <w:p w:rsidR="008A74EB" w:rsidRPr="00323A39" w:rsidRDefault="008A74EB" w:rsidP="004A4E41">
      <w:pPr>
        <w:pStyle w:val="libFootnote0"/>
        <w:rPr>
          <w:rtl/>
        </w:rPr>
      </w:pPr>
      <w:r w:rsidRPr="00323A39">
        <w:rPr>
          <w:rtl/>
        </w:rPr>
        <w:t xml:space="preserve">يؤيّد ذلك مضافاً إلى عدم ثبوت رواية محمّد بن الحسين </w:t>
      </w:r>
      <w:r w:rsidR="0084262C" w:rsidRPr="00323A39">
        <w:rPr>
          <w:rtl/>
        </w:rPr>
        <w:t>-</w:t>
      </w:r>
      <w:r w:rsidRPr="00323A39">
        <w:rPr>
          <w:rtl/>
        </w:rPr>
        <w:t xml:space="preserve"> وهو ابن أبي الخطّاب </w:t>
      </w:r>
      <w:r w:rsidR="0084262C" w:rsidRPr="00323A39">
        <w:rPr>
          <w:rtl/>
        </w:rPr>
        <w:t>-</w:t>
      </w:r>
      <w:r w:rsidRPr="00323A39">
        <w:rPr>
          <w:rtl/>
        </w:rPr>
        <w:t xml:space="preserve"> عن عليّ بن إسماعيل في موضع ، كثرة رواية محمّد بن يحيى ، عن محمّد بن الحسين الموجبة لسهو القلم من قبل النسّاخ. راجع : </w:t>
      </w:r>
      <w:r w:rsidRPr="00993B55">
        <w:rPr>
          <w:rStyle w:val="libFootnoteBoldChar"/>
          <w:rtl/>
        </w:rPr>
        <w:t>معجم رجال الحديث</w:t>
      </w:r>
      <w:r w:rsidRPr="00323A39">
        <w:rPr>
          <w:rtl/>
        </w:rPr>
        <w:t xml:space="preserve"> ، ج 18 ، ص 7 </w:t>
      </w:r>
      <w:r w:rsidR="0084262C" w:rsidRPr="00323A39">
        <w:rPr>
          <w:rtl/>
        </w:rPr>
        <w:t>-</w:t>
      </w:r>
      <w:r w:rsidRPr="00323A39">
        <w:rPr>
          <w:rtl/>
        </w:rPr>
        <w:t xml:space="preserve"> 8. </w:t>
      </w:r>
    </w:p>
    <w:p w:rsidR="008A74EB" w:rsidRPr="00C9040A" w:rsidRDefault="006C577F" w:rsidP="004A4E41">
      <w:pPr>
        <w:pStyle w:val="libFootnote0"/>
        <w:rPr>
          <w:rtl/>
          <w:lang w:bidi="fa-IR"/>
        </w:rPr>
      </w:pPr>
      <w:r>
        <w:rPr>
          <w:rtl/>
        </w:rPr>
        <w:t>(1).</w:t>
      </w:r>
      <w:r w:rsidR="008A74EB" w:rsidRPr="00C9040A">
        <w:rPr>
          <w:rtl/>
        </w:rPr>
        <w:t xml:space="preserve"> في « ج ، د ، ز ، ص ، ف ، بر ، بس ، بف » والوافي والبحار : « إنّني »</w:t>
      </w:r>
      <w:r w:rsidR="008A74EB">
        <w:rPr>
          <w:rtl/>
        </w:rPr>
        <w:t>.</w:t>
      </w:r>
      <w:r w:rsidR="008A74EB" w:rsidRPr="00C9040A">
        <w:rPr>
          <w:rtl/>
        </w:rPr>
        <w:t xml:space="preserve"> وفي البصائر : « أنا »</w:t>
      </w:r>
      <w:r w:rsidR="008A74EB">
        <w:rPr>
          <w:rtl/>
        </w:rPr>
        <w:t>.</w:t>
      </w:r>
    </w:p>
    <w:p w:rsidR="008A74EB" w:rsidRPr="004A4E41" w:rsidRDefault="006C577F" w:rsidP="004A4E41">
      <w:pPr>
        <w:pStyle w:val="libFootnote0"/>
        <w:rPr>
          <w:rStyle w:val="libFootnote0Char"/>
          <w:rtl/>
        </w:rPr>
      </w:pPr>
      <w:r>
        <w:rPr>
          <w:rtl/>
        </w:rPr>
        <w:t>(2).</w:t>
      </w:r>
      <w:r w:rsidR="008A74EB">
        <w:rPr>
          <w:rtl/>
        </w:rPr>
        <w:t xml:space="preserve"> </w:t>
      </w:r>
      <w:r w:rsidR="008A74EB" w:rsidRPr="00C9040A">
        <w:rPr>
          <w:rtl/>
        </w:rPr>
        <w:t>في الوافي : « آمن</w:t>
      </w:r>
      <w:r w:rsidR="008A74EB">
        <w:rPr>
          <w:rtl/>
        </w:rPr>
        <w:t xml:space="preserve"> </w:t>
      </w:r>
      <w:r w:rsidR="0084262C">
        <w:rPr>
          <w:rtl/>
        </w:rPr>
        <w:t>-</w:t>
      </w:r>
      <w:r w:rsidR="008A74EB">
        <w:rPr>
          <w:rtl/>
        </w:rPr>
        <w:t xml:space="preserve"> </w:t>
      </w:r>
      <w:r w:rsidR="008A74EB" w:rsidRPr="00C9040A">
        <w:rPr>
          <w:rtl/>
        </w:rPr>
        <w:t>أقرّ خ ل</w:t>
      </w:r>
      <w:r w:rsidR="008A74EB">
        <w:rPr>
          <w:rtl/>
        </w:rPr>
        <w:t xml:space="preserve"> </w:t>
      </w:r>
      <w:r w:rsidR="0084262C">
        <w:rPr>
          <w:rtl/>
        </w:rPr>
        <w:t>-</w:t>
      </w:r>
      <w:r w:rsidR="008A74EB">
        <w:rPr>
          <w:rtl/>
        </w:rPr>
        <w:t xml:space="preserve"> </w:t>
      </w:r>
      <w:r w:rsidR="008A74EB" w:rsidRPr="00C9040A">
        <w:rPr>
          <w:rtl/>
        </w:rPr>
        <w:t>»</w:t>
      </w:r>
      <w:r w:rsidR="008A74EB">
        <w:rPr>
          <w:rtl/>
        </w:rPr>
        <w:t>.</w:t>
      </w:r>
    </w:p>
    <w:tbl>
      <w:tblPr>
        <w:tblStyle w:val="TableGrid"/>
        <w:bidiVisual/>
        <w:tblW w:w="0" w:type="auto"/>
        <w:tblLook w:val="04A0" w:firstRow="1" w:lastRow="0" w:firstColumn="1" w:lastColumn="0" w:noHBand="0" w:noVBand="1"/>
      </w:tblPr>
      <w:tblGrid>
        <w:gridCol w:w="4006"/>
        <w:gridCol w:w="4006"/>
      </w:tblGrid>
      <w:tr w:rsidR="00A02923" w:rsidTr="00A02923">
        <w:tc>
          <w:tcPr>
            <w:tcW w:w="4006" w:type="dxa"/>
          </w:tcPr>
          <w:p w:rsidR="00A02923" w:rsidRDefault="006C577F" w:rsidP="004A4E41">
            <w:pPr>
              <w:pStyle w:val="libFootnote0"/>
              <w:rPr>
                <w:rtl/>
              </w:rPr>
            </w:pPr>
            <w:r>
              <w:rPr>
                <w:rtl/>
              </w:rPr>
              <w:t>(3).</w:t>
            </w:r>
            <w:r w:rsidR="00A02923" w:rsidRPr="00C9040A">
              <w:rPr>
                <w:rtl/>
              </w:rPr>
              <w:t xml:space="preserve"> في البصائر : « ببلى »</w:t>
            </w:r>
            <w:r w:rsidR="00A02923">
              <w:rPr>
                <w:rtl/>
              </w:rPr>
              <w:t>.</w:t>
            </w:r>
          </w:p>
        </w:tc>
        <w:tc>
          <w:tcPr>
            <w:tcW w:w="4006" w:type="dxa"/>
          </w:tcPr>
          <w:p w:rsidR="00A02923" w:rsidRDefault="006C577F" w:rsidP="004A4E41">
            <w:pPr>
              <w:pStyle w:val="libFootnote0"/>
              <w:rPr>
                <w:rtl/>
              </w:rPr>
            </w:pPr>
            <w:r>
              <w:rPr>
                <w:rtl/>
              </w:rPr>
              <w:t>(4).</w:t>
            </w:r>
            <w:r w:rsidR="00A02923" w:rsidRPr="00C9040A">
              <w:rPr>
                <w:rtl/>
              </w:rPr>
              <w:t xml:space="preserve"> الأعراف </w:t>
            </w:r>
            <w:r>
              <w:rPr>
                <w:rtl/>
              </w:rPr>
              <w:t>(7)</w:t>
            </w:r>
            <w:r w:rsidR="00A02923" w:rsidRPr="00C9040A">
              <w:rPr>
                <w:rtl/>
              </w:rPr>
              <w:t xml:space="preserve"> : 172.</w:t>
            </w:r>
          </w:p>
        </w:tc>
      </w:tr>
    </w:tbl>
    <w:p w:rsidR="008A74EB" w:rsidRPr="00C9040A" w:rsidRDefault="006C577F" w:rsidP="004A4E41">
      <w:pPr>
        <w:pStyle w:val="libFootnote0"/>
        <w:rPr>
          <w:rtl/>
          <w:lang w:bidi="fa-IR"/>
        </w:rPr>
      </w:pPr>
      <w:r>
        <w:rPr>
          <w:rtl/>
        </w:rPr>
        <w:t>(5).</w:t>
      </w:r>
      <w:r w:rsidR="00A02923">
        <w:rPr>
          <w:rtl/>
        </w:rPr>
        <w:t xml:space="preserve"> في « ف » : +</w:t>
      </w:r>
      <w:r w:rsidR="008A74EB" w:rsidRPr="00C9040A">
        <w:rPr>
          <w:rtl/>
        </w:rPr>
        <w:t xml:space="preserve"> « أنا »</w:t>
      </w:r>
      <w:r w:rsidR="008A74EB">
        <w:rPr>
          <w:rtl/>
        </w:rPr>
        <w:t>.</w:t>
      </w:r>
    </w:p>
    <w:p w:rsidR="008A74EB" w:rsidRPr="004A4E41" w:rsidRDefault="006C577F" w:rsidP="004A4E41">
      <w:pPr>
        <w:pStyle w:val="libFootnote0"/>
        <w:rPr>
          <w:rStyle w:val="libFootnote0Char"/>
          <w:rtl/>
        </w:rPr>
      </w:pPr>
      <w:r>
        <w:rPr>
          <w:rtl/>
        </w:rPr>
        <w:t>(6).</w:t>
      </w:r>
      <w:r w:rsidR="008A74EB">
        <w:rPr>
          <w:rtl/>
        </w:rPr>
        <w:t xml:space="preserve"> </w:t>
      </w:r>
      <w:r w:rsidR="008A74EB" w:rsidRPr="00993B55">
        <w:rPr>
          <w:rStyle w:val="libFootnoteBoldChar"/>
          <w:rtl/>
        </w:rPr>
        <w:t>بصائر الدرجات</w:t>
      </w:r>
      <w:r w:rsidR="00B866D3">
        <w:rPr>
          <w:rtl/>
        </w:rPr>
        <w:t xml:space="preserve"> ، ص </w:t>
      </w:r>
      <w:r w:rsidR="008A74EB" w:rsidRPr="00C9040A">
        <w:rPr>
          <w:rtl/>
        </w:rPr>
        <w:t xml:space="preserve"> ، ح 12 ، عن عليّ بن إسماعيل </w:t>
      </w:r>
      <w:r w:rsidR="008A74EB" w:rsidRPr="00993B55">
        <w:rPr>
          <w:rStyle w:val="libFootnoteBoldChar"/>
          <w:rtl/>
        </w:rPr>
        <w:t>الوافي</w:t>
      </w:r>
      <w:r w:rsidR="00B866D3">
        <w:rPr>
          <w:rtl/>
        </w:rPr>
        <w:t>،</w:t>
      </w:r>
      <w:r w:rsidR="008A74EB" w:rsidRPr="00C9040A">
        <w:rPr>
          <w:rtl/>
        </w:rPr>
        <w:t xml:space="preserve">ج 4 ، ص 127 ، ح 1721 ؛ </w:t>
      </w:r>
      <w:r w:rsidR="008A74EB" w:rsidRPr="00993B55">
        <w:rPr>
          <w:rStyle w:val="libFootnoteBoldChar"/>
          <w:rtl/>
        </w:rPr>
        <w:t>البحار</w:t>
      </w:r>
      <w:r w:rsidR="008A74EB" w:rsidRPr="00C9040A">
        <w:rPr>
          <w:rtl/>
        </w:rPr>
        <w:t xml:space="preserve"> ، ج 16 ، ص 353 ، ح 37.</w:t>
      </w:r>
      <w:r>
        <w:rPr>
          <w:rFonts w:hint="cs"/>
          <w:rtl/>
        </w:rPr>
        <w:t xml:space="preserve">                 </w:t>
      </w:r>
      <w:r w:rsidR="00B866D3">
        <w:rPr>
          <w:rFonts w:hint="cs"/>
          <w:rtl/>
        </w:rPr>
        <w:t xml:space="preserve">    </w:t>
      </w:r>
      <w:r>
        <w:rPr>
          <w:rFonts w:hint="cs"/>
          <w:rtl/>
        </w:rPr>
        <w:t xml:space="preserve">   </w:t>
      </w:r>
      <w:r w:rsidR="00B866D3">
        <w:rPr>
          <w:rFonts w:hint="cs"/>
          <w:rtl/>
        </w:rPr>
        <w:t xml:space="preserve">  </w:t>
      </w:r>
      <w:r>
        <w:rPr>
          <w:rFonts w:hint="cs"/>
          <w:rtl/>
        </w:rPr>
        <w:t xml:space="preserve">       </w:t>
      </w:r>
      <w:r>
        <w:rPr>
          <w:rtl/>
        </w:rPr>
        <w:t>(7).في «ه»:«</w:t>
      </w:r>
      <w:r w:rsidR="008A74EB" w:rsidRPr="00C9040A">
        <w:rPr>
          <w:rtl/>
        </w:rPr>
        <w:t>باب في إجابة الخلق وهم ذرّ لله</w:t>
      </w:r>
      <w:r>
        <w:rPr>
          <w:rFonts w:hint="cs"/>
          <w:rtl/>
        </w:rPr>
        <w:t xml:space="preserve"> </w:t>
      </w:r>
      <w:r>
        <w:rPr>
          <w:rtl/>
        </w:rPr>
        <w:t>‌جلّ وعزّ</w:t>
      </w:r>
      <w:r w:rsidR="008A74EB" w:rsidRPr="00C9040A">
        <w:rPr>
          <w:rtl/>
        </w:rPr>
        <w:t>»</w:t>
      </w:r>
      <w:r w:rsidR="008A74EB">
        <w:rPr>
          <w:rtl/>
        </w:rPr>
        <w:t>.</w:t>
      </w:r>
    </w:p>
    <w:tbl>
      <w:tblPr>
        <w:tblStyle w:val="TableGrid"/>
        <w:bidiVisual/>
        <w:tblW w:w="0" w:type="auto"/>
        <w:tblLook w:val="04A0" w:firstRow="1" w:lastRow="0" w:firstColumn="1" w:lastColumn="0" w:noHBand="0" w:noVBand="1"/>
      </w:tblPr>
      <w:tblGrid>
        <w:gridCol w:w="4006"/>
        <w:gridCol w:w="4006"/>
      </w:tblGrid>
      <w:tr w:rsidR="006C577F" w:rsidTr="006C577F">
        <w:tc>
          <w:tcPr>
            <w:tcW w:w="4006" w:type="dxa"/>
          </w:tcPr>
          <w:p w:rsidR="006C577F" w:rsidRDefault="006C577F" w:rsidP="004A4E41">
            <w:pPr>
              <w:pStyle w:val="libFootnote0"/>
              <w:rPr>
                <w:rtl/>
                <w:lang w:bidi="fa-IR"/>
              </w:rPr>
            </w:pPr>
            <w:r>
              <w:rPr>
                <w:rtl/>
              </w:rPr>
              <w:t>(8).</w:t>
            </w:r>
            <w:r w:rsidRPr="00C9040A">
              <w:rPr>
                <w:rtl/>
              </w:rPr>
              <w:t xml:space="preserve"> في حاشية « د ، بر » والعيّاشي : « أجابوه »</w:t>
            </w:r>
            <w:r>
              <w:rPr>
                <w:rtl/>
              </w:rPr>
              <w:t>.</w:t>
            </w:r>
          </w:p>
        </w:tc>
        <w:tc>
          <w:tcPr>
            <w:tcW w:w="4006" w:type="dxa"/>
          </w:tcPr>
          <w:p w:rsidR="006C577F" w:rsidRDefault="006C577F" w:rsidP="004A4E41">
            <w:pPr>
              <w:pStyle w:val="libFootnote0"/>
              <w:rPr>
                <w:rtl/>
                <w:lang w:bidi="fa-IR"/>
              </w:rPr>
            </w:pPr>
            <w:r>
              <w:rPr>
                <w:rtl/>
              </w:rPr>
              <w:t>(9).</w:t>
            </w:r>
            <w:r w:rsidRPr="00C9040A">
              <w:rPr>
                <w:rtl/>
              </w:rPr>
              <w:t xml:space="preserve"> في البحار : « أجابوا »</w:t>
            </w:r>
            <w:r>
              <w:rPr>
                <w:rtl/>
              </w:rPr>
              <w:t>.</w:t>
            </w:r>
          </w:p>
        </w:tc>
      </w:tr>
    </w:tbl>
    <w:p w:rsidR="008A74EB" w:rsidRPr="00C9040A" w:rsidRDefault="006C577F" w:rsidP="004A4E41">
      <w:pPr>
        <w:pStyle w:val="libFootnote0"/>
        <w:rPr>
          <w:rtl/>
          <w:lang w:bidi="fa-IR"/>
        </w:rPr>
      </w:pPr>
      <w:r>
        <w:rPr>
          <w:rtl/>
        </w:rPr>
        <w:t>(10).</w:t>
      </w:r>
      <w:r w:rsidR="008A74EB" w:rsidRPr="00C9040A">
        <w:rPr>
          <w:rtl/>
        </w:rPr>
        <w:t xml:space="preserve"> </w:t>
      </w:r>
      <w:r w:rsidR="008A74EB" w:rsidRPr="00993B55">
        <w:rPr>
          <w:rStyle w:val="libFootnoteBoldChar"/>
          <w:rtl/>
        </w:rPr>
        <w:t>تفسير العيّاشي</w:t>
      </w:r>
      <w:r w:rsidR="008A74EB" w:rsidRPr="00C9040A">
        <w:rPr>
          <w:rtl/>
        </w:rPr>
        <w:t xml:space="preserve"> ، ج 2 ، ص 37 ، ح 104 ، عن أبي بصير </w:t>
      </w:r>
      <w:r>
        <w:rPr>
          <w:rFonts w:hint="cs"/>
          <w:rtl/>
        </w:rPr>
        <w:t>.</w:t>
      </w:r>
      <w:r w:rsidR="008A74EB" w:rsidRPr="00993B55">
        <w:rPr>
          <w:rStyle w:val="libFootnoteBoldChar"/>
          <w:rtl/>
        </w:rPr>
        <w:t>الوافي</w:t>
      </w:r>
      <w:r w:rsidR="008A74EB" w:rsidRPr="00C9040A">
        <w:rPr>
          <w:rtl/>
        </w:rPr>
        <w:t xml:space="preserve"> ، ج 4 ، ص 40 ، ح 1655 ؛ </w:t>
      </w:r>
      <w:r w:rsidR="008A74EB" w:rsidRPr="00993B55">
        <w:rPr>
          <w:rStyle w:val="libFootnoteBoldChar"/>
          <w:rtl/>
        </w:rPr>
        <w:t>البحار</w:t>
      </w:r>
      <w:r w:rsidR="008A74EB" w:rsidRPr="00C9040A">
        <w:rPr>
          <w:rtl/>
        </w:rPr>
        <w:t xml:space="preserve"> ، ج 67 ، ص 100 ، ح 17.</w:t>
      </w:r>
    </w:p>
    <w:p w:rsidR="004B7F34" w:rsidRDefault="004B7F34" w:rsidP="004B7F34">
      <w:pPr>
        <w:pStyle w:val="libNormal"/>
        <w:rPr>
          <w:rtl/>
          <w:lang w:bidi="fa-IR"/>
        </w:rPr>
      </w:pPr>
      <w:r>
        <w:rPr>
          <w:rtl/>
          <w:lang w:bidi="fa-IR"/>
        </w:rPr>
        <w:br w:type="page"/>
      </w:r>
    </w:p>
    <w:p w:rsidR="008A74EB" w:rsidRPr="00C9040A" w:rsidRDefault="008A74EB" w:rsidP="008A74EB">
      <w:pPr>
        <w:pStyle w:val="Heading2Center"/>
        <w:rPr>
          <w:rtl/>
          <w:lang w:bidi="fa-IR"/>
        </w:rPr>
      </w:pPr>
      <w:bookmarkStart w:id="28" w:name="_Toc343795597"/>
      <w:bookmarkStart w:id="29" w:name="_Toc459810721"/>
      <w:bookmarkStart w:id="30" w:name="_Toc35348627"/>
      <w:r w:rsidRPr="00C9040A">
        <w:rPr>
          <w:rtl/>
          <w:lang w:bidi="fa-IR"/>
        </w:rPr>
        <w:lastRenderedPageBreak/>
        <w:t>6</w:t>
      </w:r>
      <w:r>
        <w:rPr>
          <w:rtl/>
          <w:lang w:bidi="fa-IR"/>
        </w:rPr>
        <w:t xml:space="preserve"> </w:t>
      </w:r>
      <w:r w:rsidR="0084262C">
        <w:rPr>
          <w:rtl/>
          <w:lang w:bidi="fa-IR"/>
        </w:rPr>
        <w:t>-</w:t>
      </w:r>
      <w:r>
        <w:rPr>
          <w:rtl/>
          <w:lang w:bidi="fa-IR"/>
        </w:rPr>
        <w:t xml:space="preserve"> </w:t>
      </w:r>
      <w:r w:rsidRPr="00C9040A">
        <w:rPr>
          <w:rtl/>
          <w:lang w:bidi="fa-IR"/>
        </w:rPr>
        <w:t>بَابُ فِطْرَةِ الْخَلْقِ عَلَى التَّوْحِيدِ‌</w:t>
      </w:r>
      <w:bookmarkEnd w:id="28"/>
      <w:bookmarkEnd w:id="29"/>
      <w:bookmarkEnd w:id="30"/>
    </w:p>
    <w:p w:rsidR="008A74EB" w:rsidRPr="00C9040A" w:rsidRDefault="008A74EB" w:rsidP="008A74EB">
      <w:pPr>
        <w:pStyle w:val="libNormal"/>
        <w:rPr>
          <w:rtl/>
          <w:lang w:bidi="fa-IR"/>
        </w:rPr>
      </w:pPr>
      <w:r w:rsidRPr="00277CB4">
        <w:rPr>
          <w:rtl/>
        </w:rPr>
        <w:t>1466</w:t>
      </w:r>
      <w:r w:rsidRPr="00261CB0">
        <w:rPr>
          <w:rStyle w:val="libBold2Char"/>
          <w:rtl/>
        </w:rPr>
        <w:t xml:space="preserve"> / 1.</w:t>
      </w:r>
      <w:r w:rsidRPr="00C9040A">
        <w:rPr>
          <w:rtl/>
          <w:lang w:bidi="fa-IR"/>
        </w:rPr>
        <w:t xml:space="preserve"> عَلِيُّ بْنُ إِبْرَاهِيمَ ، عَنْ أَبِيهِ ، عَنِ ابْنِ أَبِي عُمَيْرٍ ، عَنْ هِشَامِ بْنِ سَالِمٍ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قُلْتُ </w:t>
      </w:r>
      <w:r w:rsidR="006C577F" w:rsidRPr="006C577F">
        <w:rPr>
          <w:rStyle w:val="libFootnotenumChar"/>
          <w:rtl/>
        </w:rPr>
        <w:t>(1)</w:t>
      </w:r>
      <w:r w:rsidRPr="00463D87">
        <w:rPr>
          <w:rFonts w:hint="cs"/>
          <w:rtl/>
        </w:rPr>
        <w:t xml:space="preserve"> </w:t>
      </w:r>
      <w:r w:rsidRPr="00C9040A">
        <w:rPr>
          <w:rtl/>
          <w:lang w:bidi="fa-IR"/>
        </w:rPr>
        <w:t xml:space="preserve">: </w:t>
      </w:r>
      <w:r w:rsidRPr="0003660B">
        <w:rPr>
          <w:rStyle w:val="libAlaemChar"/>
          <w:rtl/>
        </w:rPr>
        <w:t>(</w:t>
      </w:r>
      <w:r w:rsidRPr="006A2246">
        <w:rPr>
          <w:rStyle w:val="libAieChar"/>
          <w:rtl/>
        </w:rPr>
        <w:t xml:space="preserve"> فِطْرَتَ</w:t>
      </w:r>
      <w:r>
        <w:rPr>
          <w:rFonts w:hint="cs"/>
          <w:rtl/>
        </w:rPr>
        <w:t xml:space="preserve"> </w:t>
      </w:r>
      <w:r w:rsidR="006C577F" w:rsidRPr="006C577F">
        <w:rPr>
          <w:rStyle w:val="libFootnotenumChar"/>
          <w:rtl/>
        </w:rPr>
        <w:t>(2)</w:t>
      </w:r>
      <w:r>
        <w:rPr>
          <w:rFonts w:hint="cs"/>
          <w:rtl/>
        </w:rPr>
        <w:t xml:space="preserve"> </w:t>
      </w:r>
      <w:r w:rsidRPr="006A2246">
        <w:rPr>
          <w:rStyle w:val="libAieChar"/>
          <w:rtl/>
        </w:rPr>
        <w:t xml:space="preserve">اللهِ الَّتِي فَطَرَ النّاسَ عَلَيْها </w:t>
      </w:r>
      <w:r w:rsidRPr="0003660B">
        <w:rPr>
          <w:rStyle w:val="libAlaemChar"/>
          <w:rtl/>
        </w:rPr>
        <w:t>)</w:t>
      </w:r>
      <w:r w:rsidRPr="00C9040A">
        <w:rPr>
          <w:rtl/>
          <w:lang w:bidi="fa-IR"/>
        </w:rPr>
        <w:t xml:space="preserve"> </w:t>
      </w:r>
      <w:r w:rsidR="006C577F" w:rsidRPr="006C577F">
        <w:rPr>
          <w:rStyle w:val="libFootnotenumChar"/>
          <w:rtl/>
        </w:rPr>
        <w:t>(3)</w:t>
      </w:r>
      <w:r>
        <w:rPr>
          <w:rtl/>
          <w:lang w:bidi="fa-IR"/>
        </w:rPr>
        <w:t>؟</w:t>
      </w:r>
      <w:r w:rsidRPr="00C9040A">
        <w:rPr>
          <w:rtl/>
          <w:lang w:bidi="fa-IR"/>
        </w:rPr>
        <w:t xml:space="preserve"> قَالَ :</w:t>
      </w:r>
      <w:r>
        <w:rPr>
          <w:rFonts w:hint="cs"/>
          <w:rtl/>
          <w:lang w:bidi="fa-IR"/>
        </w:rPr>
        <w:t xml:space="preserve"> </w:t>
      </w:r>
      <w:r w:rsidRPr="00C9040A">
        <w:rPr>
          <w:rtl/>
          <w:lang w:bidi="fa-IR"/>
        </w:rPr>
        <w:t>« التَّوْحِيدُ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277CB4">
        <w:rPr>
          <w:rtl/>
        </w:rPr>
        <w:t>1467</w:t>
      </w:r>
      <w:r w:rsidRPr="00261CB0">
        <w:rPr>
          <w:rStyle w:val="libBold2Char"/>
          <w:rtl/>
        </w:rPr>
        <w:t xml:space="preserve"> / 2.</w:t>
      </w:r>
      <w:r w:rsidRPr="00C9040A">
        <w:rPr>
          <w:rtl/>
          <w:lang w:bidi="fa-IR"/>
        </w:rPr>
        <w:t xml:space="preserve"> عَلِيُّ بْنُ إِبْرَاهِيمَ ، عَنْ مُحَمَّدِ بْنِ عِيسى ، عَنْ يُونُسَ ، عَنْ عَبْدِ اللهِ بْنِ سِنَانٍ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سَأَلْتُهُ عَنْ قَوْلِ اللهِ عَزَّ وَجَلَّ : </w:t>
      </w:r>
      <w:r w:rsidRPr="0003660B">
        <w:rPr>
          <w:rStyle w:val="libAlaemChar"/>
          <w:rtl/>
        </w:rPr>
        <w:t>(</w:t>
      </w:r>
      <w:r w:rsidRPr="006A2246">
        <w:rPr>
          <w:rStyle w:val="libAieChar"/>
          <w:rtl/>
        </w:rPr>
        <w:t xml:space="preserve"> فِطْرَتَ اللهِ الَّتِي فَطَرَ النّاسَ عَلَيْها </w:t>
      </w:r>
      <w:r w:rsidRPr="0003660B">
        <w:rPr>
          <w:rStyle w:val="libAlaemChar"/>
          <w:rtl/>
        </w:rPr>
        <w:t>)</w:t>
      </w:r>
      <w:r w:rsidRPr="00C9040A">
        <w:rPr>
          <w:rtl/>
          <w:lang w:bidi="fa-IR"/>
        </w:rPr>
        <w:t xml:space="preserve"> : مَا تِلْكَ الْفِطْرَةُ</w:t>
      </w:r>
      <w:r>
        <w:rPr>
          <w:rtl/>
          <w:lang w:bidi="fa-IR"/>
        </w:rPr>
        <w:t>؟</w:t>
      </w:r>
    </w:p>
    <w:p w:rsidR="008A74EB" w:rsidRPr="00C9040A" w:rsidRDefault="008A74EB" w:rsidP="008A74EB">
      <w:pPr>
        <w:pStyle w:val="libNormal"/>
        <w:rPr>
          <w:rtl/>
          <w:lang w:bidi="fa-IR"/>
        </w:rPr>
      </w:pPr>
      <w:r w:rsidRPr="00C9040A">
        <w:rPr>
          <w:rtl/>
          <w:lang w:bidi="fa-IR"/>
        </w:rPr>
        <w:t xml:space="preserve">قَالَ : « هِيَ الْإِسْلَامُ ، فَطَرَهُمُ اللهُ حِينَ </w:t>
      </w:r>
      <w:r w:rsidR="006C577F" w:rsidRPr="006C577F">
        <w:rPr>
          <w:rStyle w:val="libFootnotenumChar"/>
          <w:rtl/>
        </w:rPr>
        <w:t>(5)</w:t>
      </w:r>
      <w:r w:rsidRPr="00C9040A">
        <w:rPr>
          <w:rtl/>
          <w:lang w:bidi="fa-IR"/>
        </w:rPr>
        <w:t xml:space="preserve"> أَخَذَ مِيثَاقَهُمْ عَلَى التَّوْحِيدِ ، قَالَ </w:t>
      </w:r>
      <w:r w:rsidR="006C577F" w:rsidRPr="006C577F">
        <w:rPr>
          <w:rStyle w:val="libFootnotenumChar"/>
          <w:rtl/>
        </w:rPr>
        <w:t>(6)</w:t>
      </w:r>
      <w:r w:rsidR="006C577F" w:rsidRPr="006C577F">
        <w:rPr>
          <w:rFonts w:hint="cs"/>
          <w:rtl/>
        </w:rPr>
        <w:t xml:space="preserve"> </w:t>
      </w:r>
      <w:r w:rsidRPr="00C9040A">
        <w:rPr>
          <w:rtl/>
          <w:lang w:bidi="fa-IR"/>
        </w:rPr>
        <w:t xml:space="preserve">: </w:t>
      </w:r>
      <w:r w:rsidRPr="0003660B">
        <w:rPr>
          <w:rStyle w:val="libAlaemChar"/>
          <w:rtl/>
        </w:rPr>
        <w:t>(</w:t>
      </w:r>
      <w:r w:rsidRPr="006A2246">
        <w:rPr>
          <w:rStyle w:val="libAieChar"/>
          <w:rtl/>
        </w:rPr>
        <w:t xml:space="preserve"> أَلَسْتُ بِرَبِّكُمْ </w:t>
      </w:r>
      <w:r w:rsidRPr="0003660B">
        <w:rPr>
          <w:rStyle w:val="libAlaemChar"/>
          <w:rtl/>
        </w:rPr>
        <w:t>)</w:t>
      </w:r>
      <w:r w:rsidRPr="00C9040A">
        <w:rPr>
          <w:rtl/>
          <w:lang w:bidi="fa-IR"/>
        </w:rPr>
        <w:t xml:space="preserve"> </w:t>
      </w:r>
      <w:r w:rsidR="006C577F" w:rsidRPr="006C577F">
        <w:rPr>
          <w:rStyle w:val="libFootnotenumChar"/>
          <w:rtl/>
        </w:rPr>
        <w:t>(7)</w:t>
      </w:r>
      <w:r w:rsidRPr="00C9040A">
        <w:rPr>
          <w:rtl/>
          <w:lang w:bidi="fa-IR"/>
        </w:rPr>
        <w:t xml:space="preserve"> وَفِيهِ </w:t>
      </w:r>
      <w:r w:rsidR="006C577F" w:rsidRPr="006C577F">
        <w:rPr>
          <w:rStyle w:val="libFootnotenumChar"/>
          <w:rtl/>
        </w:rPr>
        <w:t>(8)</w:t>
      </w:r>
      <w:r w:rsidRPr="00C9040A">
        <w:rPr>
          <w:rtl/>
          <w:lang w:bidi="fa-IR"/>
        </w:rPr>
        <w:t xml:space="preserve"> الْمُؤْمِنُ وَالْكَافِرُ </w:t>
      </w:r>
      <w:r w:rsidR="006C577F" w:rsidRPr="006C577F">
        <w:rPr>
          <w:rStyle w:val="libFootnotenumChar"/>
          <w:rtl/>
        </w:rPr>
        <w:t>(9)</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Normal"/>
        <w:rPr>
          <w:rtl/>
          <w:lang w:bidi="fa-IR"/>
        </w:rPr>
      </w:pPr>
      <w:r w:rsidRPr="00277CB4">
        <w:rPr>
          <w:rtl/>
        </w:rPr>
        <w:t>1468</w:t>
      </w:r>
      <w:r w:rsidRPr="00261CB0">
        <w:rPr>
          <w:rStyle w:val="libBold2Char"/>
          <w:rtl/>
        </w:rPr>
        <w:t xml:space="preserve"> / 3.</w:t>
      </w:r>
      <w:r w:rsidRPr="00C9040A">
        <w:rPr>
          <w:rtl/>
          <w:lang w:bidi="fa-IR"/>
        </w:rPr>
        <w:t xml:space="preserve"> مُحَمَّدُ بْنُ يَحْيى ، عَنْ أَحْمَدَ بْنِ مُحَمَّدٍ ، عَنِ ابْنِ مَحْبُوبٍ ، عَنْ عَلِيِّ بْنِ‌</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w:t>
      </w:r>
      <w:r>
        <w:rPr>
          <w:rtl/>
        </w:rPr>
        <w:t xml:space="preserve"> « ج ، د » والوافي والأمالي : +</w:t>
      </w:r>
      <w:r w:rsidR="008A74EB" w:rsidRPr="00C9040A">
        <w:rPr>
          <w:rtl/>
        </w:rPr>
        <w:t xml:space="preserve"> « له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 الفَطْر » : الابتداء والاختراع ، </w:t>
      </w:r>
      <w:r w:rsidR="008A74EB">
        <w:rPr>
          <w:rtl/>
        </w:rPr>
        <w:t>و «</w:t>
      </w:r>
      <w:r w:rsidR="008A74EB" w:rsidRPr="00C9040A">
        <w:rPr>
          <w:rtl/>
        </w:rPr>
        <w:t xml:space="preserve"> الفِطرة » : الحالة منه ؛ كالجِلْسة. والمعنى : أنّه يُخلق على نوع من الجِبِلّة والطبع المتهيِّئ لقبول التوحيد. راجع : </w:t>
      </w:r>
      <w:r w:rsidR="008A74EB" w:rsidRPr="00993B55">
        <w:rPr>
          <w:rStyle w:val="libFootnoteBoldChar"/>
          <w:rtl/>
        </w:rPr>
        <w:t>النهاية</w:t>
      </w:r>
      <w:r w:rsidR="008A74EB" w:rsidRPr="00C9040A">
        <w:rPr>
          <w:rtl/>
        </w:rPr>
        <w:t xml:space="preserve"> ، ج 3 ، ص 457 ( فطر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الروم (30) : 30. وفي حاشية « ز » : + « ما تلك الفطرة »</w:t>
      </w:r>
      <w:r w:rsidR="008A74EB">
        <w:rPr>
          <w:rtl/>
        </w:rPr>
        <w:t>.</w:t>
      </w:r>
    </w:p>
    <w:p w:rsidR="008A74EB" w:rsidRPr="004A4E41" w:rsidRDefault="006C577F" w:rsidP="004A4E41">
      <w:pPr>
        <w:pStyle w:val="libFootnote0"/>
        <w:rPr>
          <w:rStyle w:val="libFootnote0Char"/>
          <w:rtl/>
        </w:rPr>
      </w:pPr>
      <w:r>
        <w:rPr>
          <w:rtl/>
        </w:rPr>
        <w:t>(4).</w:t>
      </w:r>
      <w:r w:rsidR="008A74EB" w:rsidRPr="00C9040A">
        <w:rPr>
          <w:rtl/>
        </w:rPr>
        <w:t xml:space="preserve"> </w:t>
      </w:r>
      <w:r w:rsidR="008A74EB" w:rsidRPr="00993B55">
        <w:rPr>
          <w:rStyle w:val="libFootnoteBoldChar"/>
          <w:rtl/>
        </w:rPr>
        <w:t>التوحيد</w:t>
      </w:r>
      <w:r w:rsidR="008A74EB" w:rsidRPr="00C9040A">
        <w:rPr>
          <w:rtl/>
        </w:rPr>
        <w:t xml:space="preserve"> ، ص 328 ، ح 2 ، بسنده عن إبراهيم بن هاشم. وفي </w:t>
      </w:r>
      <w:r w:rsidR="008A74EB" w:rsidRPr="00993B55">
        <w:rPr>
          <w:rStyle w:val="libFootnoteBoldChar"/>
          <w:rtl/>
        </w:rPr>
        <w:t>بصائر الدرجات</w:t>
      </w:r>
      <w:r w:rsidR="008A74EB" w:rsidRPr="00C9040A">
        <w:rPr>
          <w:rtl/>
        </w:rPr>
        <w:t xml:space="preserve"> ، ص 78 ، ح 7 ؛ </w:t>
      </w:r>
      <w:r w:rsidR="008A74EB" w:rsidRPr="00277CB4">
        <w:rPr>
          <w:rtl/>
        </w:rPr>
        <w:t>و</w:t>
      </w:r>
      <w:r w:rsidR="008A74EB" w:rsidRPr="00993B55">
        <w:rPr>
          <w:rStyle w:val="libFootnoteBoldChar"/>
          <w:rtl/>
        </w:rPr>
        <w:t>تفسير فرات</w:t>
      </w:r>
      <w:r w:rsidR="008A74EB" w:rsidRPr="00C9040A">
        <w:rPr>
          <w:rtl/>
        </w:rPr>
        <w:t xml:space="preserve"> ، ص 322 ، ح 436 ؛ و</w:t>
      </w:r>
      <w:r w:rsidR="008A74EB" w:rsidRPr="00993B55">
        <w:rPr>
          <w:rStyle w:val="libFootnoteBoldChar"/>
          <w:rtl/>
        </w:rPr>
        <w:t xml:space="preserve">التوحيد </w:t>
      </w:r>
      <w:r w:rsidR="008A74EB" w:rsidRPr="00C9040A">
        <w:rPr>
          <w:rtl/>
        </w:rPr>
        <w:t xml:space="preserve">، ص 329 ، ح 7 ، بسند آخر ، مع زيادة في آخره. </w:t>
      </w:r>
      <w:r w:rsidR="008A74EB" w:rsidRPr="00993B55">
        <w:rPr>
          <w:rStyle w:val="libFootnoteBoldChar"/>
          <w:rtl/>
        </w:rPr>
        <w:t>التوحيد</w:t>
      </w:r>
      <w:r w:rsidR="008A74EB" w:rsidRPr="00C9040A">
        <w:rPr>
          <w:rtl/>
        </w:rPr>
        <w:t xml:space="preserve"> ، ص 328 ، ح 1 ، بسند آخر. </w:t>
      </w:r>
      <w:r w:rsidR="008A74EB" w:rsidRPr="00993B55">
        <w:rPr>
          <w:rStyle w:val="libFootnoteBoldChar"/>
          <w:rtl/>
        </w:rPr>
        <w:t>تفسير القميّ</w:t>
      </w:r>
      <w:r w:rsidR="008A74EB" w:rsidRPr="00C9040A">
        <w:rPr>
          <w:rtl/>
        </w:rPr>
        <w:t xml:space="preserve"> ، ج 2 ، ص 154 ، بسند آخر عن الرضا ، عن آبائه ، عن أبي جعفر </w:t>
      </w:r>
      <w:r w:rsidR="00117575" w:rsidRPr="00117575">
        <w:rPr>
          <w:rStyle w:val="libFootnoteAlaemChar"/>
          <w:rtl/>
        </w:rPr>
        <w:t>عليهم‌السلام</w:t>
      </w:r>
      <w:r w:rsidR="008A74EB" w:rsidRPr="00C9040A">
        <w:rPr>
          <w:rtl/>
        </w:rPr>
        <w:t xml:space="preserve"> ، مع اختلاف وزيادة. </w:t>
      </w:r>
      <w:r w:rsidR="008A74EB" w:rsidRPr="00993B55">
        <w:rPr>
          <w:rStyle w:val="libFootnoteBoldChar"/>
          <w:rtl/>
        </w:rPr>
        <w:t>الأمالي</w:t>
      </w:r>
      <w:r w:rsidR="008A74EB" w:rsidRPr="00224D00">
        <w:rPr>
          <w:rStyle w:val="libFootnoteBoldChar"/>
          <w:rtl/>
        </w:rPr>
        <w:t xml:space="preserve"> للطوسي</w:t>
      </w:r>
      <w:r w:rsidR="008A74EB" w:rsidRPr="00C9040A">
        <w:rPr>
          <w:rtl/>
        </w:rPr>
        <w:t xml:space="preserve"> ، ص </w:t>
      </w:r>
      <w:r w:rsidR="008A74EB">
        <w:rPr>
          <w:rtl/>
        </w:rPr>
        <w:t>660 ، المجلس 35 ، ح 10 ، بسند آ</w:t>
      </w:r>
      <w:r w:rsidR="008A74EB" w:rsidRPr="00C9040A">
        <w:rPr>
          <w:rtl/>
        </w:rPr>
        <w:t xml:space="preserve">خر عن أبي جعفر </w:t>
      </w:r>
      <w:r w:rsidR="00117575" w:rsidRPr="00117575">
        <w:rPr>
          <w:rStyle w:val="libFootnoteAlaemChar"/>
          <w:rtl/>
        </w:rPr>
        <w:t xml:space="preserve">عليه‌السلام </w:t>
      </w:r>
      <w:r w:rsidR="008A74EB" w:rsidRPr="00C9040A">
        <w:rPr>
          <w:rtl/>
        </w:rPr>
        <w:t xml:space="preserve"> </w:t>
      </w:r>
      <w:r w:rsidR="00224D00">
        <w:rPr>
          <w:rFonts w:hint="cs"/>
          <w:rtl/>
        </w:rPr>
        <w:t>.</w:t>
      </w:r>
      <w:r w:rsidR="008A74EB" w:rsidRPr="00993B55">
        <w:rPr>
          <w:rStyle w:val="libFootnoteBoldChar"/>
          <w:rtl/>
        </w:rPr>
        <w:t>الوافي</w:t>
      </w:r>
      <w:r w:rsidR="008A74EB" w:rsidRPr="00C9040A">
        <w:rPr>
          <w:rtl/>
        </w:rPr>
        <w:t xml:space="preserve"> ، ج 4 ، ص 57 ، ح 1661.</w:t>
      </w:r>
      <w:r w:rsidR="00B866D3">
        <w:rPr>
          <w:rFonts w:hint="cs"/>
          <w:rtl/>
        </w:rPr>
        <w:t xml:space="preserve">                  </w:t>
      </w:r>
      <w:r w:rsidR="00224D00">
        <w:rPr>
          <w:rFonts w:hint="cs"/>
          <w:rtl/>
        </w:rPr>
        <w:t xml:space="preserve">           </w:t>
      </w:r>
      <w:r>
        <w:rPr>
          <w:rtl/>
        </w:rPr>
        <w:t>(5).</w:t>
      </w:r>
      <w:r w:rsidR="008A74EB" w:rsidRPr="00C9040A">
        <w:rPr>
          <w:rtl/>
        </w:rPr>
        <w:t xml:space="preserve"> في « ف » : « حتّى »</w:t>
      </w:r>
      <w:r w:rsidR="008A74EB">
        <w:rPr>
          <w:rtl/>
        </w:rPr>
        <w:t>.</w:t>
      </w:r>
    </w:p>
    <w:tbl>
      <w:tblPr>
        <w:tblStyle w:val="TableGrid"/>
        <w:bidiVisual/>
        <w:tblW w:w="0" w:type="auto"/>
        <w:tblLook w:val="04A0" w:firstRow="1" w:lastRow="0" w:firstColumn="1" w:lastColumn="0" w:noHBand="0" w:noVBand="1"/>
      </w:tblPr>
      <w:tblGrid>
        <w:gridCol w:w="4006"/>
        <w:gridCol w:w="4006"/>
      </w:tblGrid>
      <w:tr w:rsidR="00224D00" w:rsidTr="00224D00">
        <w:tc>
          <w:tcPr>
            <w:tcW w:w="4006" w:type="dxa"/>
          </w:tcPr>
          <w:p w:rsidR="00224D00" w:rsidRDefault="00224D00" w:rsidP="004A4E41">
            <w:pPr>
              <w:pStyle w:val="libFootnote0"/>
              <w:rPr>
                <w:rtl/>
              </w:rPr>
            </w:pPr>
            <w:r>
              <w:rPr>
                <w:rtl/>
              </w:rPr>
              <w:t xml:space="preserve">(6). </w:t>
            </w:r>
            <w:r w:rsidRPr="00C9040A">
              <w:rPr>
                <w:rtl/>
              </w:rPr>
              <w:t xml:space="preserve">في « ج ، ف ، </w:t>
            </w:r>
            <w:r>
              <w:rPr>
                <w:rtl/>
              </w:rPr>
              <w:t xml:space="preserve">ه </w:t>
            </w:r>
            <w:r w:rsidRPr="00C9040A">
              <w:rPr>
                <w:rtl/>
              </w:rPr>
              <w:t>» والتوحيد : « فقال »</w:t>
            </w:r>
            <w:r>
              <w:rPr>
                <w:rtl/>
              </w:rPr>
              <w:t>.</w:t>
            </w:r>
          </w:p>
        </w:tc>
        <w:tc>
          <w:tcPr>
            <w:tcW w:w="4006" w:type="dxa"/>
          </w:tcPr>
          <w:p w:rsidR="00224D00" w:rsidRDefault="00224D00" w:rsidP="004A4E41">
            <w:pPr>
              <w:pStyle w:val="libFootnote0"/>
              <w:rPr>
                <w:rtl/>
              </w:rPr>
            </w:pPr>
            <w:r>
              <w:rPr>
                <w:rtl/>
              </w:rPr>
              <w:t>(7).</w:t>
            </w:r>
            <w:r w:rsidRPr="00C9040A">
              <w:rPr>
                <w:rtl/>
              </w:rPr>
              <w:t xml:space="preserve"> الأعراف </w:t>
            </w:r>
            <w:r>
              <w:rPr>
                <w:rtl/>
              </w:rPr>
              <w:t>(7)</w:t>
            </w:r>
            <w:r w:rsidRPr="00C9040A">
              <w:rPr>
                <w:rtl/>
              </w:rPr>
              <w:t xml:space="preserve"> : 172.</w:t>
            </w:r>
          </w:p>
        </w:tc>
      </w:tr>
    </w:tbl>
    <w:p w:rsidR="008A74EB" w:rsidRPr="00C9040A" w:rsidRDefault="006C577F" w:rsidP="004A4E41">
      <w:pPr>
        <w:pStyle w:val="libFootnote0"/>
        <w:rPr>
          <w:rtl/>
          <w:lang w:bidi="fa-IR"/>
        </w:rPr>
      </w:pPr>
      <w:r>
        <w:rPr>
          <w:rtl/>
        </w:rPr>
        <w:t>(8).</w:t>
      </w:r>
      <w:r w:rsidR="008A74EB" w:rsidRPr="00C9040A">
        <w:rPr>
          <w:rtl/>
        </w:rPr>
        <w:t xml:space="preserve"> في « بر » : « ومنهم »</w:t>
      </w:r>
      <w:r w:rsidR="008A74EB">
        <w:rPr>
          <w:rtl/>
        </w:rPr>
        <w:t>.</w:t>
      </w:r>
      <w:r w:rsidR="008A74EB" w:rsidRPr="00C9040A">
        <w:rPr>
          <w:rtl/>
        </w:rPr>
        <w:t xml:space="preserve"> وفي « بف » وحاشية « بس » : « وفيهم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البحار </w:t>
      </w:r>
      <w:r w:rsidR="008A74EB">
        <w:rPr>
          <w:rtl/>
        </w:rPr>
        <w:t xml:space="preserve">: </w:t>
      </w:r>
      <w:r w:rsidR="0084262C">
        <w:rPr>
          <w:rtl/>
        </w:rPr>
        <w:t>-</w:t>
      </w:r>
      <w:r w:rsidR="008A74EB" w:rsidRPr="00C9040A">
        <w:rPr>
          <w:rtl/>
        </w:rPr>
        <w:t xml:space="preserve"> « قال : « أَلَسْتُ بِرَبّكُمْ » ، وفيه المؤمن والكافر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w:t>
      </w:r>
      <w:r w:rsidR="008A74EB" w:rsidRPr="00993B55">
        <w:rPr>
          <w:rStyle w:val="libFootnoteBoldChar"/>
          <w:rtl/>
        </w:rPr>
        <w:t>التوحيد</w:t>
      </w:r>
      <w:r w:rsidR="008A74EB" w:rsidRPr="00C9040A">
        <w:rPr>
          <w:rtl/>
        </w:rPr>
        <w:t xml:space="preserve"> ، ص 329 ، ح 3 ، بسنده عن عليّ بن إبراهيم </w:t>
      </w:r>
      <w:r w:rsidR="00224D00">
        <w:rPr>
          <w:rFonts w:hint="cs"/>
          <w:rtl/>
        </w:rPr>
        <w:t>.</w:t>
      </w:r>
      <w:r w:rsidR="008A74EB" w:rsidRPr="00993B55">
        <w:rPr>
          <w:rStyle w:val="libFootnoteBoldChar"/>
          <w:rtl/>
        </w:rPr>
        <w:t>الوافي</w:t>
      </w:r>
      <w:r w:rsidR="008A74EB" w:rsidRPr="00C9040A">
        <w:rPr>
          <w:rtl/>
        </w:rPr>
        <w:t xml:space="preserve"> ، ج 4 ، ص 57 ، ح 1664 ؛ </w:t>
      </w:r>
      <w:r w:rsidR="008A74EB" w:rsidRPr="00993B55">
        <w:rPr>
          <w:rStyle w:val="libFootnoteBoldChar"/>
          <w:rtl/>
        </w:rPr>
        <w:t>البحار</w:t>
      </w:r>
      <w:r w:rsidR="008A74EB" w:rsidRPr="00C9040A">
        <w:rPr>
          <w:rtl/>
        </w:rPr>
        <w:t xml:space="preserve"> ، ج 67 ، ص 134 ، ح 6.</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رِئَابٍ ، عَنْ زُرَارَةَ ، قَالَ :</w:t>
      </w:r>
    </w:p>
    <w:p w:rsidR="008A74EB" w:rsidRPr="00C9040A" w:rsidRDefault="008A74EB" w:rsidP="008A74EB">
      <w:pPr>
        <w:pStyle w:val="libNormal"/>
        <w:rPr>
          <w:rtl/>
          <w:lang w:bidi="fa-IR"/>
        </w:rPr>
      </w:pPr>
      <w:r w:rsidRPr="00C9040A">
        <w:rPr>
          <w:rtl/>
          <w:lang w:bidi="fa-IR"/>
        </w:rPr>
        <w:t xml:space="preserve">سَأَلْتُ أَبَا عَبْدِ اللهِ </w:t>
      </w:r>
      <w:r w:rsidRPr="0003660B">
        <w:rPr>
          <w:rStyle w:val="libAlaemChar"/>
          <w:rtl/>
        </w:rPr>
        <w:t>عليه‌السلام</w:t>
      </w:r>
      <w:r w:rsidRPr="00C9040A">
        <w:rPr>
          <w:rtl/>
          <w:lang w:bidi="fa-IR"/>
        </w:rPr>
        <w:t xml:space="preserve"> عَنْ قَوْلِ اللهِ عَزَّ وَجَلَّ : </w:t>
      </w:r>
      <w:r w:rsidRPr="0003660B">
        <w:rPr>
          <w:rStyle w:val="libAlaemChar"/>
          <w:rtl/>
        </w:rPr>
        <w:t>(</w:t>
      </w:r>
      <w:r w:rsidRPr="006A2246">
        <w:rPr>
          <w:rStyle w:val="libAieChar"/>
          <w:rtl/>
        </w:rPr>
        <w:t xml:space="preserve"> فِطْرَتَ اللهِ الَّتِي فَطَرَ النّاسَ عَلَيْها </w:t>
      </w:r>
      <w:r w:rsidRPr="0003660B">
        <w:rPr>
          <w:rStyle w:val="libAlaemChar"/>
          <w:rtl/>
        </w:rPr>
        <w:t>)</w:t>
      </w:r>
      <w:r w:rsidRPr="00C9040A">
        <w:rPr>
          <w:rtl/>
          <w:lang w:bidi="fa-IR"/>
        </w:rPr>
        <w:t>.</w:t>
      </w:r>
    </w:p>
    <w:p w:rsidR="008A74EB" w:rsidRPr="00C9040A" w:rsidRDefault="008A74EB" w:rsidP="008A74EB">
      <w:pPr>
        <w:pStyle w:val="libNormal"/>
        <w:rPr>
          <w:rtl/>
          <w:lang w:bidi="fa-IR"/>
        </w:rPr>
      </w:pPr>
      <w:r w:rsidRPr="00C9040A">
        <w:rPr>
          <w:rtl/>
          <w:lang w:bidi="fa-IR"/>
        </w:rPr>
        <w:t xml:space="preserve">قَالَ : « فَطَرَهُمْ </w:t>
      </w:r>
      <w:r w:rsidR="006C577F" w:rsidRPr="006C577F">
        <w:rPr>
          <w:rStyle w:val="libFootnotenumChar"/>
          <w:rtl/>
        </w:rPr>
        <w:t>(1)</w:t>
      </w:r>
      <w:r w:rsidRPr="002712F0">
        <w:rPr>
          <w:rFonts w:hint="cs"/>
          <w:rtl/>
        </w:rPr>
        <w:t xml:space="preserve"> </w:t>
      </w:r>
      <w:r w:rsidRPr="00C9040A">
        <w:rPr>
          <w:rtl/>
          <w:lang w:bidi="fa-IR"/>
        </w:rPr>
        <w:t>جَمِيعاً عَلَى التَّوْحِيدِ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277CB4">
        <w:rPr>
          <w:rtl/>
        </w:rPr>
        <w:t>1469</w:t>
      </w:r>
      <w:r w:rsidRPr="00261CB0">
        <w:rPr>
          <w:rStyle w:val="libBold2Char"/>
          <w:rtl/>
        </w:rPr>
        <w:t xml:space="preserve"> / 4.</w:t>
      </w:r>
      <w:r w:rsidRPr="00C9040A">
        <w:rPr>
          <w:rtl/>
          <w:lang w:bidi="fa-IR"/>
        </w:rPr>
        <w:t xml:space="preserve"> عَلِيُّ بْنُ إِبْرَاهِيمَ ، عَنْ أَبِيهِ ، عَنِ ابْنِ أَبِي عُمَيْرٍ ، عَنِ ابْنِ أُذَيْنَةَ ، عَنْ زُرَارَةَ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سَأَلْتُهُ عَنْ قَوْلِ اللهِ عَزَّ وَجَلَّ : </w:t>
      </w:r>
      <w:r w:rsidRPr="0003660B">
        <w:rPr>
          <w:rStyle w:val="libAlaemChar"/>
          <w:rtl/>
        </w:rPr>
        <w:t>(</w:t>
      </w:r>
      <w:r w:rsidRPr="006A2246">
        <w:rPr>
          <w:rStyle w:val="libAieChar"/>
          <w:rtl/>
        </w:rPr>
        <w:t xml:space="preserve"> حُنَفاءَ لِلّهِ غَيْرَ مُشْرِكِينَ بِهِ</w:t>
      </w:r>
      <w:r w:rsidRPr="0003660B">
        <w:rPr>
          <w:rStyle w:val="libAlaemChar"/>
          <w:rtl/>
        </w:rPr>
        <w:t>)</w:t>
      </w:r>
      <w:r w:rsidR="006C577F" w:rsidRPr="006C577F">
        <w:rPr>
          <w:rStyle w:val="libFootnotenumChar"/>
          <w:rtl/>
        </w:rPr>
        <w:t>(3)</w:t>
      </w:r>
      <w:r>
        <w:rPr>
          <w:rtl/>
          <w:lang w:bidi="fa-IR"/>
        </w:rPr>
        <w:t>.</w:t>
      </w:r>
    </w:p>
    <w:p w:rsidR="008A74EB" w:rsidRPr="00C9040A" w:rsidRDefault="008A74EB" w:rsidP="008A74EB">
      <w:pPr>
        <w:pStyle w:val="libNormal"/>
        <w:rPr>
          <w:rtl/>
          <w:lang w:bidi="fa-IR"/>
        </w:rPr>
      </w:pPr>
      <w:r w:rsidRPr="00C9040A">
        <w:rPr>
          <w:rtl/>
          <w:lang w:bidi="fa-IR"/>
        </w:rPr>
        <w:t xml:space="preserve">قَالَ : « الْحَنِيفِيَّةُ مِنَ الْفِطْرَةِ الَّتِي فَطَرَ اللهُ </w:t>
      </w:r>
      <w:r w:rsidR="006C577F" w:rsidRPr="006C577F">
        <w:rPr>
          <w:rStyle w:val="libFootnotenumChar"/>
          <w:rtl/>
        </w:rPr>
        <w:t>(4)</w:t>
      </w:r>
      <w:r w:rsidRPr="00C9040A">
        <w:rPr>
          <w:rtl/>
          <w:lang w:bidi="fa-IR"/>
        </w:rPr>
        <w:t xml:space="preserve"> النَّاسَ عَلَيْهَا لَاتَبْدِيلَ لِخَلْقِ اللهِ »</w:t>
      </w:r>
      <w:r>
        <w:rPr>
          <w:rtl/>
          <w:lang w:bidi="fa-IR"/>
        </w:rPr>
        <w:t>.</w:t>
      </w:r>
      <w:r w:rsidRPr="00C9040A">
        <w:rPr>
          <w:rtl/>
          <w:lang w:bidi="fa-IR"/>
        </w:rPr>
        <w:t xml:space="preserve"> قَالَ :</w:t>
      </w:r>
      <w:r>
        <w:rPr>
          <w:rFonts w:hint="cs"/>
          <w:rtl/>
          <w:lang w:bidi="fa-IR"/>
        </w:rPr>
        <w:t xml:space="preserve"> </w:t>
      </w:r>
      <w:r w:rsidRPr="00C9040A">
        <w:rPr>
          <w:rtl/>
          <w:lang w:bidi="fa-IR"/>
        </w:rPr>
        <w:t xml:space="preserve">« فَطَرَهُمْ عَلَى الْمَعْرِفَةِ بِهِ </w:t>
      </w:r>
      <w:r w:rsidR="006C577F" w:rsidRPr="006C577F">
        <w:rPr>
          <w:rStyle w:val="libFootnotenumChar"/>
          <w:rtl/>
        </w:rPr>
        <w:t>(5)</w:t>
      </w:r>
      <w:r w:rsidRPr="00C9040A">
        <w:rPr>
          <w:rtl/>
          <w:lang w:bidi="fa-IR"/>
        </w:rPr>
        <w:t xml:space="preserve"> »</w:t>
      </w:r>
      <w:r>
        <w:rPr>
          <w:rtl/>
          <w:lang w:bidi="fa-IR"/>
        </w:rPr>
        <w:t>.</w:t>
      </w:r>
    </w:p>
    <w:p w:rsidR="008A74EB" w:rsidRPr="00C9040A" w:rsidRDefault="008A74EB" w:rsidP="008A74EB">
      <w:pPr>
        <w:pStyle w:val="libNormal"/>
        <w:rPr>
          <w:rtl/>
          <w:lang w:bidi="fa-IR"/>
        </w:rPr>
      </w:pPr>
      <w:r w:rsidRPr="00C9040A">
        <w:rPr>
          <w:rtl/>
          <w:lang w:bidi="fa-IR"/>
        </w:rPr>
        <w:t xml:space="preserve">قَالَ </w:t>
      </w:r>
      <w:r w:rsidR="006C577F" w:rsidRPr="006C577F">
        <w:rPr>
          <w:rStyle w:val="libFootnotenumChar"/>
          <w:rtl/>
        </w:rPr>
        <w:t>(6)</w:t>
      </w:r>
      <w:r w:rsidRPr="005B567D">
        <w:rPr>
          <w:rStyle w:val="libFootnotenumChar"/>
          <w:rtl/>
        </w:rPr>
        <w:t xml:space="preserve"> </w:t>
      </w:r>
      <w:r w:rsidRPr="00C9040A">
        <w:rPr>
          <w:rtl/>
          <w:lang w:bidi="fa-IR"/>
        </w:rPr>
        <w:t xml:space="preserve">زُرَارَةُ : وَسَأَلْتُهُ عَنْ قَوْلِ اللهِ </w:t>
      </w:r>
      <w:r w:rsidR="006C577F" w:rsidRPr="006C577F">
        <w:rPr>
          <w:rStyle w:val="libFootnotenumChar"/>
          <w:rtl/>
        </w:rPr>
        <w:t>(7)</w:t>
      </w:r>
      <w:r w:rsidRPr="00C9040A">
        <w:rPr>
          <w:rtl/>
          <w:lang w:bidi="fa-IR"/>
        </w:rPr>
        <w:t xml:space="preserve"> عَزَّ وَجَلَّ : </w:t>
      </w:r>
      <w:r w:rsidRPr="0003660B">
        <w:rPr>
          <w:rStyle w:val="libAlaemChar"/>
          <w:rtl/>
        </w:rPr>
        <w:t>(</w:t>
      </w:r>
      <w:r w:rsidRPr="006A2246">
        <w:rPr>
          <w:rStyle w:val="libAieChar"/>
          <w:rtl/>
        </w:rPr>
        <w:t xml:space="preserve"> وَإِذْ أَخَذَ رَبُّكَ مِنْ بَنِي آدَمَ مِنْ ظُهُورِهِمْ ذُرِّيَّتَهُمْ وَأَشْهَدَهُمْ عَلى أَنْفُسِهِمْ أَلَسْتُ بِرَبِّكُمْ قالُوا بَلى </w:t>
      </w:r>
      <w:r w:rsidRPr="0003660B">
        <w:rPr>
          <w:rStyle w:val="libAlaemChar"/>
          <w:rtl/>
        </w:rPr>
        <w:t>)</w:t>
      </w:r>
      <w:r w:rsidRPr="00C9040A">
        <w:rPr>
          <w:rtl/>
          <w:lang w:bidi="fa-IR"/>
        </w:rPr>
        <w:t xml:space="preserve"> </w:t>
      </w:r>
      <w:r w:rsidR="006C577F" w:rsidRPr="006C577F">
        <w:rPr>
          <w:rStyle w:val="libFootnotenumChar"/>
          <w:rtl/>
        </w:rPr>
        <w:t>(8)</w:t>
      </w:r>
      <w:r w:rsidRPr="00C9040A">
        <w:rPr>
          <w:rtl/>
          <w:lang w:bidi="fa-IR"/>
        </w:rPr>
        <w:t xml:space="preserve"> الْآيَةَ.</w:t>
      </w:r>
    </w:p>
    <w:p w:rsidR="008A74EB" w:rsidRPr="00C9040A" w:rsidRDefault="008A74EB" w:rsidP="008A74EB">
      <w:pPr>
        <w:pStyle w:val="libNormal"/>
        <w:rPr>
          <w:rtl/>
          <w:lang w:bidi="fa-IR"/>
        </w:rPr>
      </w:pPr>
      <w:r w:rsidRPr="00C9040A">
        <w:rPr>
          <w:rtl/>
          <w:lang w:bidi="fa-IR"/>
        </w:rPr>
        <w:t xml:space="preserve">قَالَ : « أَخْرَجَ مِنْ ظَهْرِ آدَمَ ذُرِّيَّتَهُ إِلى يَوْمِ الْقِيَامَةِ ، فَخَرَجُوا كَالذَّرِّ ، فَعَرَّفَهُمْ وَأَرَاهُمْ نَفْسَهُ </w:t>
      </w:r>
      <w:r w:rsidR="006C577F" w:rsidRPr="006C577F">
        <w:rPr>
          <w:rStyle w:val="libFootnotenumChar"/>
          <w:rtl/>
        </w:rPr>
        <w:t>(9)</w:t>
      </w:r>
      <w:r w:rsidRPr="00C9040A">
        <w:rPr>
          <w:rtl/>
          <w:lang w:bidi="fa-IR"/>
        </w:rPr>
        <w:t xml:space="preserve"> ، وَلَوْ لَا </w:t>
      </w:r>
      <w:r w:rsidR="006C577F" w:rsidRPr="006C577F">
        <w:rPr>
          <w:rStyle w:val="libFootnotenumChar"/>
          <w:rtl/>
        </w:rPr>
        <w:t>(10)</w:t>
      </w:r>
      <w:r w:rsidRPr="00C9040A">
        <w:rPr>
          <w:rtl/>
          <w:lang w:bidi="fa-IR"/>
        </w:rPr>
        <w:t xml:space="preserve"> ذلِكَ لَمْ يَعْرِفْ أَحَدٌ رَبَّهُ »</w:t>
      </w:r>
      <w:r>
        <w:rPr>
          <w:rtl/>
          <w:lang w:bidi="fa-IR"/>
        </w:rPr>
        <w:t>.</w:t>
      </w:r>
    </w:p>
    <w:p w:rsidR="008A74EB" w:rsidRPr="00C9040A" w:rsidRDefault="008A74EB" w:rsidP="008B7A50">
      <w:pPr>
        <w:pStyle w:val="libNormal"/>
        <w:rPr>
          <w:rtl/>
          <w:lang w:bidi="fa-IR"/>
        </w:rPr>
      </w:pPr>
      <w:r w:rsidRPr="00C9040A">
        <w:rPr>
          <w:rtl/>
          <w:lang w:bidi="fa-IR"/>
        </w:rPr>
        <w:t xml:space="preserve">وَقَالَ : « قَالَ </w:t>
      </w:r>
      <w:r w:rsidR="006C577F" w:rsidRPr="006C577F">
        <w:rPr>
          <w:rStyle w:val="libFootnotenumChar"/>
          <w:rtl/>
        </w:rPr>
        <w:t>(11)</w:t>
      </w:r>
      <w:r w:rsidRPr="00C9040A">
        <w:rPr>
          <w:rtl/>
          <w:lang w:bidi="fa-IR"/>
        </w:rPr>
        <w:t xml:space="preserve"> رَسُولُ اللهِ </w:t>
      </w:r>
      <w:r w:rsidR="004A4E41" w:rsidRPr="004A4E41">
        <w:rPr>
          <w:rStyle w:val="libAlaemChar"/>
          <w:rFonts w:eastAsiaTheme="minorHAnsi"/>
          <w:rtl/>
        </w:rPr>
        <w:t>صلى‌الله‌عليه‌وآله</w:t>
      </w:r>
      <w:r w:rsidRPr="00C9040A">
        <w:rPr>
          <w:rtl/>
          <w:lang w:bidi="fa-IR"/>
        </w:rPr>
        <w:t xml:space="preserve">: كُلُّ مَوْلُودٍ يُولَدُ عَلَى الْفِطْرَةِ ، يَعْنِي الْمَعْرِفَةَ </w:t>
      </w:r>
      <w:r w:rsidR="006C577F" w:rsidRPr="006C577F">
        <w:rPr>
          <w:rStyle w:val="libFootnotenumChar"/>
          <w:rtl/>
        </w:rPr>
        <w:t>(12)</w:t>
      </w:r>
      <w:r w:rsidRPr="00C9040A">
        <w:rPr>
          <w:rtl/>
          <w:lang w:bidi="fa-IR"/>
        </w:rPr>
        <w:t xml:space="preserve"> بِأَنَّ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خَالِقُهُ </w:t>
      </w:r>
      <w:r w:rsidRPr="005B567D">
        <w:rPr>
          <w:rStyle w:val="libFootnotenumChar"/>
          <w:rtl/>
        </w:rPr>
        <w:t>(13)</w:t>
      </w:r>
      <w:r w:rsidRPr="00C9040A">
        <w:rPr>
          <w:rtl/>
          <w:lang w:bidi="fa-IR"/>
        </w:rPr>
        <w:t xml:space="preserve"> ، كَذلِكَ قَوْلُهُ : </w:t>
      </w:r>
      <w:r w:rsidRPr="0003660B">
        <w:rPr>
          <w:rStyle w:val="libAlaemChar"/>
          <w:rtl/>
        </w:rPr>
        <w:t>(</w:t>
      </w:r>
      <w:r w:rsidRPr="006A2246">
        <w:rPr>
          <w:rStyle w:val="libAieChar"/>
          <w:rtl/>
        </w:rPr>
        <w:t xml:space="preserve"> وَلَئِنْ سَأَلْتَهُمْ مَنْ خَلَقَ السَّماواتِ وَالْأَرْضَ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 ف » : + « عليها »</w:t>
      </w:r>
      <w:r w:rsidR="008A74EB">
        <w:rPr>
          <w:rtl/>
        </w:rPr>
        <w:t>.</w:t>
      </w:r>
    </w:p>
    <w:p w:rsidR="008A74EB" w:rsidRPr="004A4E41" w:rsidRDefault="006C577F" w:rsidP="004A4E41">
      <w:pPr>
        <w:pStyle w:val="libFootnote0"/>
        <w:rPr>
          <w:rStyle w:val="libFootnote0Char"/>
          <w:rtl/>
        </w:rPr>
      </w:pPr>
      <w:r>
        <w:rPr>
          <w:rtl/>
        </w:rPr>
        <w:t>(2).</w:t>
      </w:r>
      <w:r w:rsidR="008A74EB">
        <w:rPr>
          <w:rtl/>
        </w:rPr>
        <w:t xml:space="preserve"> </w:t>
      </w:r>
      <w:r w:rsidR="008A74EB" w:rsidRPr="00993B55">
        <w:rPr>
          <w:rStyle w:val="libFootnoteBoldChar"/>
          <w:rtl/>
        </w:rPr>
        <w:t>التوحيد</w:t>
      </w:r>
      <w:r w:rsidR="008A74EB" w:rsidRPr="00C9040A">
        <w:rPr>
          <w:rtl/>
        </w:rPr>
        <w:t xml:space="preserve"> ، ص 329 ، ح 6 ، بسنده عن أحمد بن محمّد بن عيسى ، عن ابن محبوب ؛ وفي </w:t>
      </w:r>
      <w:r w:rsidR="008A74EB" w:rsidRPr="00993B55">
        <w:rPr>
          <w:rStyle w:val="libFootnoteBoldChar"/>
          <w:rtl/>
        </w:rPr>
        <w:t>المحاسن</w:t>
      </w:r>
      <w:r w:rsidR="008A74EB" w:rsidRPr="00C9040A">
        <w:rPr>
          <w:rtl/>
        </w:rPr>
        <w:t xml:space="preserve"> ، ص 241 ، </w:t>
      </w:r>
      <w:r w:rsidR="008A74EB" w:rsidRPr="00224D00">
        <w:rPr>
          <w:rStyle w:val="libFootnoteBoldChar"/>
          <w:rtl/>
        </w:rPr>
        <w:t>كتاب مصابيح الظلم</w:t>
      </w:r>
      <w:r w:rsidR="008A74EB" w:rsidRPr="00C9040A">
        <w:rPr>
          <w:rtl/>
        </w:rPr>
        <w:t xml:space="preserve"> ، ح 222 ؛ و</w:t>
      </w:r>
      <w:r w:rsidR="008A74EB" w:rsidRPr="00993B55">
        <w:rPr>
          <w:rStyle w:val="libFootnoteBoldChar"/>
          <w:rtl/>
        </w:rPr>
        <w:t xml:space="preserve">التوحيد </w:t>
      </w:r>
      <w:r w:rsidR="008A74EB" w:rsidRPr="00C9040A">
        <w:rPr>
          <w:rtl/>
        </w:rPr>
        <w:t xml:space="preserve">، ص 329 ، ح 4 ، بسندهما عن زرارة ؛ </w:t>
      </w:r>
      <w:r w:rsidR="008A74EB" w:rsidRPr="00993B55">
        <w:rPr>
          <w:rStyle w:val="libFootnoteBoldChar"/>
          <w:rtl/>
        </w:rPr>
        <w:t>وفيه</w:t>
      </w:r>
      <w:r w:rsidR="008A74EB" w:rsidRPr="00C9040A">
        <w:rPr>
          <w:rtl/>
        </w:rPr>
        <w:t xml:space="preserve"> ، ص 330 ، ح 8 ، بسنده عن زرارة ، عن أبي جعفر </w:t>
      </w:r>
      <w:r w:rsidR="00117575" w:rsidRPr="00117575">
        <w:rPr>
          <w:rStyle w:val="libFootnoteAlaemChar"/>
          <w:rtl/>
        </w:rPr>
        <w:t>عليه‌السلام</w:t>
      </w:r>
      <w:r w:rsidR="008A74EB" w:rsidRPr="00C9040A">
        <w:rPr>
          <w:rtl/>
        </w:rPr>
        <w:t xml:space="preserve"> ، مع زيادة في آخره </w:t>
      </w:r>
      <w:r w:rsidR="00224D00">
        <w:rPr>
          <w:rFonts w:hint="cs"/>
          <w:rtl/>
        </w:rPr>
        <w:t>.</w:t>
      </w:r>
      <w:r w:rsidR="008A74EB" w:rsidRPr="00993B55">
        <w:rPr>
          <w:rStyle w:val="libFootnoteBoldChar"/>
          <w:rtl/>
        </w:rPr>
        <w:t>الوافي</w:t>
      </w:r>
      <w:r w:rsidR="008A74EB" w:rsidRPr="00C9040A">
        <w:rPr>
          <w:rtl/>
        </w:rPr>
        <w:t xml:space="preserve"> ، ج 4 ، ص 57 ، ح 1663.</w:t>
      </w:r>
    </w:p>
    <w:tbl>
      <w:tblPr>
        <w:tblStyle w:val="TableGrid"/>
        <w:bidiVisual/>
        <w:tblW w:w="0" w:type="auto"/>
        <w:tblLook w:val="04A0" w:firstRow="1" w:lastRow="0" w:firstColumn="1" w:lastColumn="0" w:noHBand="0" w:noVBand="1"/>
      </w:tblPr>
      <w:tblGrid>
        <w:gridCol w:w="4006"/>
        <w:gridCol w:w="4006"/>
      </w:tblGrid>
      <w:tr w:rsidR="00224D00" w:rsidTr="00224D00">
        <w:tc>
          <w:tcPr>
            <w:tcW w:w="4006" w:type="dxa"/>
          </w:tcPr>
          <w:p w:rsidR="00224D00" w:rsidRDefault="00224D00" w:rsidP="004A4E41">
            <w:pPr>
              <w:pStyle w:val="libFootnote0"/>
              <w:rPr>
                <w:rtl/>
              </w:rPr>
            </w:pPr>
            <w:r>
              <w:rPr>
                <w:rtl/>
              </w:rPr>
              <w:t>(3).</w:t>
            </w:r>
            <w:r w:rsidRPr="00C9040A">
              <w:rPr>
                <w:rtl/>
              </w:rPr>
              <w:t xml:space="preserve"> الحجّ (22) : 31.</w:t>
            </w:r>
          </w:p>
        </w:tc>
        <w:tc>
          <w:tcPr>
            <w:tcW w:w="4006" w:type="dxa"/>
          </w:tcPr>
          <w:p w:rsidR="00224D00" w:rsidRDefault="00224D00" w:rsidP="004A4E41">
            <w:pPr>
              <w:pStyle w:val="libFootnote0"/>
              <w:rPr>
                <w:rtl/>
              </w:rPr>
            </w:pPr>
            <w:r>
              <w:rPr>
                <w:rtl/>
              </w:rPr>
              <w:t>(4).</w:t>
            </w:r>
            <w:r w:rsidRPr="00C9040A">
              <w:rPr>
                <w:rtl/>
              </w:rPr>
              <w:t xml:space="preserve"> في « ج » والبحار </w:t>
            </w:r>
            <w:r>
              <w:rPr>
                <w:rtl/>
              </w:rPr>
              <w:t>: -</w:t>
            </w:r>
            <w:r w:rsidRPr="00C9040A">
              <w:rPr>
                <w:rtl/>
              </w:rPr>
              <w:t xml:space="preserve"> « الله »</w:t>
            </w:r>
            <w:r>
              <w:rPr>
                <w:rtl/>
              </w:rPr>
              <w:t>.</w:t>
            </w:r>
          </w:p>
        </w:tc>
      </w:tr>
      <w:tr w:rsidR="00224D00" w:rsidTr="00224D00">
        <w:tc>
          <w:tcPr>
            <w:tcW w:w="4006" w:type="dxa"/>
          </w:tcPr>
          <w:p w:rsidR="00224D00" w:rsidRDefault="00224D00" w:rsidP="004A4E41">
            <w:pPr>
              <w:pStyle w:val="libFootnote0"/>
              <w:rPr>
                <w:rtl/>
              </w:rPr>
            </w:pPr>
            <w:r>
              <w:rPr>
                <w:rtl/>
              </w:rPr>
              <w:t>(5).</w:t>
            </w:r>
            <w:r w:rsidRPr="00C9040A">
              <w:rPr>
                <w:rtl/>
              </w:rPr>
              <w:t xml:space="preserve"> في « </w:t>
            </w:r>
            <w:r>
              <w:rPr>
                <w:rtl/>
              </w:rPr>
              <w:t xml:space="preserve">ه </w:t>
            </w:r>
            <w:r w:rsidRPr="00C9040A">
              <w:rPr>
                <w:rtl/>
              </w:rPr>
              <w:t>» : « له »</w:t>
            </w:r>
            <w:r>
              <w:rPr>
                <w:rtl/>
              </w:rPr>
              <w:t>.</w:t>
            </w:r>
          </w:p>
        </w:tc>
        <w:tc>
          <w:tcPr>
            <w:tcW w:w="4006" w:type="dxa"/>
          </w:tcPr>
          <w:p w:rsidR="00224D00" w:rsidRDefault="00224D00" w:rsidP="004A4E41">
            <w:pPr>
              <w:pStyle w:val="libFootnote0"/>
              <w:rPr>
                <w:rtl/>
              </w:rPr>
            </w:pPr>
            <w:r>
              <w:rPr>
                <w:rtl/>
              </w:rPr>
              <w:t xml:space="preserve">(6). </w:t>
            </w:r>
            <w:r w:rsidRPr="00C9040A">
              <w:rPr>
                <w:rtl/>
              </w:rPr>
              <w:t>في البحار : « فقال »</w:t>
            </w:r>
            <w:r>
              <w:rPr>
                <w:rtl/>
              </w:rPr>
              <w:t>.</w:t>
            </w:r>
          </w:p>
        </w:tc>
      </w:tr>
      <w:tr w:rsidR="00224D00" w:rsidTr="00224D00">
        <w:tc>
          <w:tcPr>
            <w:tcW w:w="4006" w:type="dxa"/>
          </w:tcPr>
          <w:p w:rsidR="00224D00" w:rsidRDefault="00224D00" w:rsidP="004A4E41">
            <w:pPr>
              <w:pStyle w:val="libFootnote0"/>
              <w:rPr>
                <w:rtl/>
              </w:rPr>
            </w:pPr>
            <w:r>
              <w:rPr>
                <w:rtl/>
              </w:rPr>
              <w:t>(7).</w:t>
            </w:r>
            <w:r w:rsidRPr="00C9040A">
              <w:rPr>
                <w:rtl/>
              </w:rPr>
              <w:t xml:space="preserve"> في « ف » : « قوله »</w:t>
            </w:r>
            <w:r>
              <w:rPr>
                <w:rtl/>
              </w:rPr>
              <w:t>.</w:t>
            </w:r>
          </w:p>
        </w:tc>
        <w:tc>
          <w:tcPr>
            <w:tcW w:w="4006" w:type="dxa"/>
          </w:tcPr>
          <w:p w:rsidR="00224D00" w:rsidRDefault="00224D00" w:rsidP="004A4E41">
            <w:pPr>
              <w:pStyle w:val="libFootnote0"/>
              <w:rPr>
                <w:rtl/>
              </w:rPr>
            </w:pPr>
            <w:r>
              <w:rPr>
                <w:rtl/>
              </w:rPr>
              <w:t>(8).</w:t>
            </w:r>
            <w:r w:rsidRPr="00C9040A">
              <w:rPr>
                <w:rtl/>
              </w:rPr>
              <w:t xml:space="preserve"> الأعراف </w:t>
            </w:r>
            <w:r>
              <w:rPr>
                <w:rtl/>
              </w:rPr>
              <w:t>(7)</w:t>
            </w:r>
            <w:r w:rsidRPr="00C9040A">
              <w:rPr>
                <w:rtl/>
              </w:rPr>
              <w:t xml:space="preserve"> : 172.</w:t>
            </w:r>
          </w:p>
        </w:tc>
      </w:tr>
      <w:tr w:rsidR="00224D00" w:rsidTr="00224D00">
        <w:tc>
          <w:tcPr>
            <w:tcW w:w="4006" w:type="dxa"/>
          </w:tcPr>
          <w:p w:rsidR="00224D00" w:rsidRDefault="00224D00" w:rsidP="004A4E41">
            <w:pPr>
              <w:pStyle w:val="libFootnote0"/>
              <w:rPr>
                <w:rtl/>
              </w:rPr>
            </w:pPr>
            <w:r>
              <w:rPr>
                <w:rtl/>
              </w:rPr>
              <w:t>(9).</w:t>
            </w:r>
            <w:r w:rsidRPr="00C9040A">
              <w:rPr>
                <w:rtl/>
              </w:rPr>
              <w:t xml:space="preserve"> في التوحيد : « صنعه »</w:t>
            </w:r>
            <w:r>
              <w:rPr>
                <w:rtl/>
              </w:rPr>
              <w:t>.</w:t>
            </w:r>
          </w:p>
        </w:tc>
        <w:tc>
          <w:tcPr>
            <w:tcW w:w="4006" w:type="dxa"/>
          </w:tcPr>
          <w:p w:rsidR="00224D00" w:rsidRDefault="00224D00" w:rsidP="004A4E41">
            <w:pPr>
              <w:pStyle w:val="libFootnote0"/>
              <w:rPr>
                <w:rtl/>
              </w:rPr>
            </w:pPr>
            <w:r>
              <w:rPr>
                <w:rtl/>
              </w:rPr>
              <w:t>(10).</w:t>
            </w:r>
            <w:r w:rsidRPr="00C9040A">
              <w:rPr>
                <w:rtl/>
              </w:rPr>
              <w:t xml:space="preserve"> في « ج ، </w:t>
            </w:r>
            <w:r>
              <w:rPr>
                <w:rtl/>
              </w:rPr>
              <w:t xml:space="preserve">ه </w:t>
            </w:r>
            <w:r w:rsidRPr="00C9040A">
              <w:rPr>
                <w:rtl/>
              </w:rPr>
              <w:t>» : « فلولا »</w:t>
            </w:r>
            <w:r>
              <w:rPr>
                <w:rtl/>
              </w:rPr>
              <w:t>.</w:t>
            </w:r>
          </w:p>
        </w:tc>
      </w:tr>
    </w:tbl>
    <w:p w:rsidR="008A74EB" w:rsidRPr="00C9040A" w:rsidRDefault="006C577F" w:rsidP="004A4E41">
      <w:pPr>
        <w:pStyle w:val="libFootnote0"/>
        <w:rPr>
          <w:rtl/>
          <w:lang w:bidi="fa-IR"/>
        </w:rPr>
      </w:pPr>
      <w:r>
        <w:rPr>
          <w:rtl/>
        </w:rPr>
        <w:t>(11).</w:t>
      </w:r>
      <w:r w:rsidR="008A74EB" w:rsidRPr="00C9040A">
        <w:rPr>
          <w:rtl/>
        </w:rPr>
        <w:t xml:space="preserve"> في « </w:t>
      </w:r>
      <w:r w:rsidR="006D3162">
        <w:rPr>
          <w:rtl/>
        </w:rPr>
        <w:t xml:space="preserve">ه </w:t>
      </w:r>
      <w:r w:rsidR="008A74EB" w:rsidRPr="00C9040A">
        <w:rPr>
          <w:rtl/>
        </w:rPr>
        <w:t>» : « قال وقال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في « ب ، ج ، د ، ف ، </w:t>
      </w:r>
      <w:r w:rsidR="006D3162">
        <w:rPr>
          <w:rtl/>
        </w:rPr>
        <w:t xml:space="preserve">ه </w:t>
      </w:r>
      <w:r w:rsidR="008A74EB" w:rsidRPr="00C9040A">
        <w:rPr>
          <w:rtl/>
        </w:rPr>
        <w:t>، بر » والوافي والتوحيد : « على المعرفة »</w:t>
      </w:r>
      <w:r w:rsidR="008A74EB">
        <w:rPr>
          <w:rtl/>
        </w:rPr>
        <w:t>.</w:t>
      </w:r>
    </w:p>
    <w:p w:rsidR="008A74EB" w:rsidRPr="00C9040A" w:rsidRDefault="008A74EB" w:rsidP="004A4E41">
      <w:pPr>
        <w:pStyle w:val="libFootnote0"/>
        <w:rPr>
          <w:rtl/>
          <w:lang w:bidi="fa-IR"/>
        </w:rPr>
      </w:pPr>
      <w:r>
        <w:rPr>
          <w:rtl/>
        </w:rPr>
        <w:t>(13)</w:t>
      </w:r>
      <w:r w:rsidRPr="00C9040A">
        <w:rPr>
          <w:rtl/>
        </w:rPr>
        <w:t xml:space="preserve"> في « ص » : « خلقه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6A2246">
        <w:rPr>
          <w:rStyle w:val="libAieChar"/>
          <w:rtl/>
        </w:rPr>
        <w:lastRenderedPageBreak/>
        <w:t xml:space="preserve">لَيَقُولُنَّ اللهُ </w:t>
      </w:r>
      <w:r w:rsidRPr="0003660B">
        <w:rPr>
          <w:rStyle w:val="libAlaemChar"/>
          <w:rtl/>
        </w:rPr>
        <w:t>)</w:t>
      </w:r>
      <w:r w:rsidRPr="00C9040A">
        <w:rPr>
          <w:rtl/>
          <w:lang w:bidi="fa-IR"/>
        </w:rPr>
        <w:t xml:space="preserve"> </w:t>
      </w:r>
      <w:r w:rsidR="006C577F" w:rsidRPr="006C577F">
        <w:rPr>
          <w:rStyle w:val="libFootnotenumChar"/>
          <w:rtl/>
        </w:rPr>
        <w:t>(1)</w:t>
      </w:r>
      <w:r w:rsidRPr="00C9040A">
        <w:rPr>
          <w:rtl/>
          <w:lang w:bidi="fa-IR"/>
        </w:rPr>
        <w:t>»</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277CB4">
        <w:rPr>
          <w:rtl/>
        </w:rPr>
        <w:t>1470</w:t>
      </w:r>
      <w:r w:rsidRPr="00261CB0">
        <w:rPr>
          <w:rStyle w:val="libBold2Char"/>
          <w:rtl/>
        </w:rPr>
        <w:t xml:space="preserve"> / 5.</w:t>
      </w:r>
      <w:r w:rsidRPr="00C9040A">
        <w:rPr>
          <w:rtl/>
          <w:lang w:bidi="fa-IR"/>
        </w:rPr>
        <w:t xml:space="preserve"> عَلِيُّ بْنُ إِبْرَاهِيمَ ، عَنْ أَبِيهِ ، عَنِ ابْنِ فَضَّالٍ ، عَنِ أَبِي جَمِيلَةَ </w:t>
      </w:r>
      <w:r w:rsidR="006C577F" w:rsidRPr="006C577F">
        <w:rPr>
          <w:rStyle w:val="libFootnotenumChar"/>
          <w:rtl/>
        </w:rPr>
        <w:t>(3)</w:t>
      </w:r>
      <w:r w:rsidRPr="00C9040A">
        <w:rPr>
          <w:rtl/>
          <w:lang w:bidi="fa-IR"/>
        </w:rPr>
        <w:t xml:space="preserve"> ، عَنْ مُحَمَّدٍ الْحَلَبِيِّ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فِي قَوْلِ اللهِ عَزَّ وَجَلَّ : </w:t>
      </w:r>
      <w:r w:rsidRPr="0003660B">
        <w:rPr>
          <w:rStyle w:val="libAlaemChar"/>
          <w:rtl/>
        </w:rPr>
        <w:t>(</w:t>
      </w:r>
      <w:r w:rsidRPr="006A2246">
        <w:rPr>
          <w:rStyle w:val="libAieChar"/>
          <w:rtl/>
        </w:rPr>
        <w:t xml:space="preserve"> فِطْرَتَ اللهِ الَّتِي فَطَرَ النّاسَ عَلَيْها </w:t>
      </w:r>
      <w:r w:rsidRPr="0003660B">
        <w:rPr>
          <w:rStyle w:val="libAlaemChar"/>
          <w:rtl/>
        </w:rPr>
        <w:t>)</w:t>
      </w:r>
      <w:r w:rsidRPr="00C9040A">
        <w:rPr>
          <w:rtl/>
          <w:lang w:bidi="fa-IR"/>
        </w:rPr>
        <w:t xml:space="preserve"> </w:t>
      </w:r>
      <w:r w:rsidR="006C577F" w:rsidRPr="006C577F">
        <w:rPr>
          <w:rStyle w:val="libFootnotenumChar"/>
          <w:rtl/>
        </w:rPr>
        <w:t>(5)</w:t>
      </w:r>
      <w:r w:rsidR="00224D00">
        <w:rPr>
          <w:rtl/>
          <w:lang w:bidi="fa-IR"/>
        </w:rPr>
        <w:t xml:space="preserve"> قَالَ</w:t>
      </w:r>
      <w:r w:rsidRPr="00C9040A">
        <w:rPr>
          <w:rtl/>
          <w:lang w:bidi="fa-IR"/>
        </w:rPr>
        <w:t>:</w:t>
      </w:r>
      <w:r>
        <w:rPr>
          <w:rFonts w:hint="cs"/>
          <w:rtl/>
          <w:lang w:bidi="fa-IR"/>
        </w:rPr>
        <w:t xml:space="preserve"> </w:t>
      </w:r>
      <w:r w:rsidRPr="00C9040A">
        <w:rPr>
          <w:rtl/>
          <w:lang w:bidi="fa-IR"/>
        </w:rPr>
        <w:t>« فَطَرَهُمْ عَلَى التَّوْحِيدِ »</w:t>
      </w:r>
      <w:r>
        <w:rPr>
          <w:rtl/>
          <w:lang w:bidi="fa-IR"/>
        </w:rPr>
        <w:t>.</w:t>
      </w:r>
      <w:r w:rsidRPr="00C9040A">
        <w:rPr>
          <w:rtl/>
          <w:lang w:bidi="fa-IR"/>
        </w:rPr>
        <w:t xml:space="preserve"> </w:t>
      </w:r>
      <w:r w:rsidR="006C577F" w:rsidRPr="006C577F">
        <w:rPr>
          <w:rStyle w:val="libFootnotenumChar"/>
          <w:rtl/>
        </w:rPr>
        <w:t>(6)</w:t>
      </w:r>
    </w:p>
    <w:p w:rsidR="008A74EB" w:rsidRPr="00C9040A" w:rsidRDefault="008A74EB" w:rsidP="008A74EB">
      <w:pPr>
        <w:pStyle w:val="Heading2Center"/>
        <w:rPr>
          <w:rtl/>
          <w:lang w:bidi="fa-IR"/>
        </w:rPr>
      </w:pPr>
      <w:bookmarkStart w:id="31" w:name="_Toc343795598"/>
      <w:bookmarkStart w:id="32" w:name="_Toc459810722"/>
      <w:bookmarkStart w:id="33" w:name="_Toc35348628"/>
      <w:r w:rsidRPr="00C9040A">
        <w:rPr>
          <w:rtl/>
          <w:lang w:bidi="fa-IR"/>
        </w:rPr>
        <w:t>7</w:t>
      </w:r>
      <w:r>
        <w:rPr>
          <w:rtl/>
          <w:lang w:bidi="fa-IR"/>
        </w:rPr>
        <w:t xml:space="preserve"> </w:t>
      </w:r>
      <w:r w:rsidR="0084262C">
        <w:rPr>
          <w:rtl/>
          <w:lang w:bidi="fa-IR"/>
        </w:rPr>
        <w:t>-</w:t>
      </w:r>
      <w:r>
        <w:rPr>
          <w:rtl/>
          <w:lang w:bidi="fa-IR"/>
        </w:rPr>
        <w:t xml:space="preserve"> </w:t>
      </w:r>
      <w:r w:rsidRPr="00C9040A">
        <w:rPr>
          <w:rtl/>
          <w:lang w:bidi="fa-IR"/>
        </w:rPr>
        <w:t>بَابُ كَوْنِ الْمُؤْمِنِ فِي صُلْبِ الْكَافِرِ‌</w:t>
      </w:r>
      <w:bookmarkEnd w:id="31"/>
      <w:bookmarkEnd w:id="32"/>
      <w:bookmarkEnd w:id="33"/>
    </w:p>
    <w:p w:rsidR="008A74EB" w:rsidRPr="00C9040A" w:rsidRDefault="008A74EB" w:rsidP="008A74EB">
      <w:pPr>
        <w:pStyle w:val="libNormal"/>
        <w:rPr>
          <w:rtl/>
          <w:lang w:bidi="fa-IR"/>
        </w:rPr>
      </w:pPr>
      <w:r w:rsidRPr="00277CB4">
        <w:rPr>
          <w:rtl/>
        </w:rPr>
        <w:t>1471</w:t>
      </w:r>
      <w:r w:rsidRPr="00261CB0">
        <w:rPr>
          <w:rStyle w:val="libBold2Char"/>
          <w:rtl/>
        </w:rPr>
        <w:t xml:space="preserve"> / 1.</w:t>
      </w:r>
      <w:r w:rsidRPr="00C9040A">
        <w:rPr>
          <w:rtl/>
          <w:lang w:bidi="fa-IR"/>
        </w:rPr>
        <w:t xml:space="preserve"> الْحُسَيْنُ بْنُ مُحَمَّدٍ ، عَنْ مُعَلَّى بْنِ مُحَمَّدٍ ، عَنِ الْحَسَنِ بْنِ عَلِيٍّ الْوَشَّاءِ ، عَنْ عَلِيِّ بْنِ مُيَسِّرٍ </w:t>
      </w:r>
      <w:r w:rsidR="006C577F" w:rsidRPr="006C577F">
        <w:rPr>
          <w:rStyle w:val="libFootnotenumChar"/>
          <w:rtl/>
        </w:rPr>
        <w:t>(7)</w:t>
      </w:r>
      <w:r w:rsidRPr="00C9040A">
        <w:rPr>
          <w:rtl/>
          <w:lang w:bidi="fa-IR"/>
        </w:rPr>
        <w:t xml:space="preserve"> ، قَالَ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لقمان (31) : 25 ؛ الزمر (39) : 38.</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معاني الأخبار</w:t>
      </w:r>
      <w:r w:rsidR="008A74EB" w:rsidRPr="00C9040A">
        <w:rPr>
          <w:rtl/>
        </w:rPr>
        <w:t xml:space="preserve"> ، ص 349 ، ح 1 ، بسنده عن عليّ بن إبراهيم ، إلى قوله : « الحنيفيّة من الفطرة »</w:t>
      </w:r>
      <w:r w:rsidR="008A74EB">
        <w:rPr>
          <w:rtl/>
        </w:rPr>
        <w:t>.</w:t>
      </w:r>
      <w:r w:rsidR="008A74EB" w:rsidRPr="00C9040A">
        <w:rPr>
          <w:rtl/>
        </w:rPr>
        <w:t xml:space="preserve"> </w:t>
      </w:r>
      <w:r w:rsidR="008A74EB" w:rsidRPr="00993B55">
        <w:rPr>
          <w:rStyle w:val="libFootnoteBoldChar"/>
          <w:rtl/>
        </w:rPr>
        <w:t>التوحيد</w:t>
      </w:r>
      <w:r w:rsidR="008A74EB" w:rsidRPr="00C9040A">
        <w:rPr>
          <w:rtl/>
        </w:rPr>
        <w:t xml:space="preserve"> ، ص 330 ، ح 9 ، بسنده عن إبراهيم بن هاشم ؛ </w:t>
      </w:r>
      <w:r w:rsidR="008A74EB" w:rsidRPr="00993B55">
        <w:rPr>
          <w:rStyle w:val="libFootnoteBoldChar"/>
          <w:rtl/>
        </w:rPr>
        <w:t>المحاسن</w:t>
      </w:r>
      <w:r w:rsidR="008A74EB" w:rsidRPr="00C9040A">
        <w:rPr>
          <w:rtl/>
        </w:rPr>
        <w:t xml:space="preserve"> ، ص 241 ، </w:t>
      </w:r>
      <w:r w:rsidR="008A74EB" w:rsidRPr="00224D00">
        <w:rPr>
          <w:rStyle w:val="libFootnoteBoldChar"/>
          <w:rtl/>
        </w:rPr>
        <w:t>كتاب مصابيح الظلم</w:t>
      </w:r>
      <w:r w:rsidR="008A74EB" w:rsidRPr="00C9040A">
        <w:rPr>
          <w:rtl/>
        </w:rPr>
        <w:t xml:space="preserve"> ، ح 223 ، عن محمّد بن أبي عمير ، عن ابن ا</w:t>
      </w:r>
      <w:r w:rsidR="00224D00">
        <w:rPr>
          <w:rFonts w:hint="cs"/>
          <w:rtl/>
        </w:rPr>
        <w:t>ُ</w:t>
      </w:r>
      <w:r w:rsidR="008A74EB" w:rsidRPr="00C9040A">
        <w:rPr>
          <w:rtl/>
        </w:rPr>
        <w:t xml:space="preserve">ذينة ، عن أبي جعفر </w:t>
      </w:r>
      <w:r w:rsidR="00117575" w:rsidRPr="00117575">
        <w:rPr>
          <w:rStyle w:val="libFootnoteAlaemChar"/>
          <w:rtl/>
        </w:rPr>
        <w:t>عليه‌السلام</w:t>
      </w:r>
      <w:r w:rsidR="008A74EB" w:rsidRPr="00C9040A">
        <w:rPr>
          <w:rtl/>
        </w:rPr>
        <w:t xml:space="preserve"> ، إلى قوله : « قال : فطرهم على المعرفة به »</w:t>
      </w:r>
      <w:r w:rsidR="008A74EB">
        <w:rPr>
          <w:rtl/>
        </w:rPr>
        <w:t>.</w:t>
      </w:r>
      <w:r w:rsidR="008A74EB" w:rsidRPr="00C9040A">
        <w:rPr>
          <w:rtl/>
        </w:rPr>
        <w:t xml:space="preserve"> وفي </w:t>
      </w:r>
      <w:r w:rsidR="008A74EB" w:rsidRPr="00993B55">
        <w:rPr>
          <w:rStyle w:val="libFootnoteBoldChar"/>
          <w:rtl/>
        </w:rPr>
        <w:t>بصائر الدرجات</w:t>
      </w:r>
      <w:r w:rsidR="008A74EB" w:rsidRPr="00C9040A">
        <w:rPr>
          <w:rtl/>
        </w:rPr>
        <w:t xml:space="preserve"> ، ص 71 ، ح 6 ؛ وص 72 ، ح 9 ، بسند آخر عن أبي عبدالله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تفسير فرات</w:t>
      </w:r>
      <w:r w:rsidR="008A74EB" w:rsidRPr="00C9040A">
        <w:rPr>
          <w:rtl/>
        </w:rPr>
        <w:t xml:space="preserve"> ، ص 148 ، ح 186 ، عن محمّد بن القاسم معنعناً عن أبي عبدالله </w:t>
      </w:r>
      <w:r w:rsidR="00117575" w:rsidRPr="00117575">
        <w:rPr>
          <w:rStyle w:val="libFootnoteAlaemChar"/>
          <w:rtl/>
        </w:rPr>
        <w:t>عليه‌السلام</w:t>
      </w:r>
      <w:r w:rsidR="008A74EB" w:rsidRPr="00C9040A">
        <w:rPr>
          <w:rtl/>
        </w:rPr>
        <w:t xml:space="preserve"> ، وفي الثلاثة الأخيرة من قوله : </w:t>
      </w:r>
      <w:r w:rsidR="008A74EB" w:rsidRPr="00B866D3">
        <w:rPr>
          <w:rStyle w:val="libFootnoteAlaemChar"/>
          <w:rtl/>
        </w:rPr>
        <w:t>(</w:t>
      </w:r>
      <w:r w:rsidR="008A74EB" w:rsidRPr="00883DD5">
        <w:rPr>
          <w:rStyle w:val="libFootnoteAieChar"/>
          <w:rFonts w:hint="cs"/>
          <w:rtl/>
        </w:rPr>
        <w:t xml:space="preserve"> </w:t>
      </w:r>
      <w:r w:rsidR="008A74EB" w:rsidRPr="00883DD5">
        <w:rPr>
          <w:rStyle w:val="libFootnoteAieChar"/>
          <w:rtl/>
        </w:rPr>
        <w:t xml:space="preserve">وَإِذْ أَخَذَ رَبُّكَ مِنْ بَنِي </w:t>
      </w:r>
      <w:r w:rsidR="00224D00">
        <w:rPr>
          <w:rStyle w:val="libFootnoteAieChar"/>
          <w:rFonts w:hint="cs"/>
          <w:rtl/>
        </w:rPr>
        <w:t>ءَا</w:t>
      </w:r>
      <w:r w:rsidR="008A74EB" w:rsidRPr="00883DD5">
        <w:rPr>
          <w:rStyle w:val="libFootnoteAieChar"/>
          <w:rtl/>
        </w:rPr>
        <w:t>دَمَ</w:t>
      </w:r>
      <w:r w:rsidR="008A74EB" w:rsidRPr="00883DD5">
        <w:rPr>
          <w:rStyle w:val="libFootnoteAieChar"/>
          <w:rFonts w:hint="cs"/>
          <w:rtl/>
        </w:rPr>
        <w:t xml:space="preserve"> </w:t>
      </w:r>
      <w:r w:rsidR="008A74EB" w:rsidRPr="00B866D3">
        <w:rPr>
          <w:rStyle w:val="libFootnoteAlaemChar"/>
          <w:rtl/>
        </w:rPr>
        <w:t>)</w:t>
      </w:r>
      <w:r w:rsidR="008A74EB" w:rsidRPr="00C9040A">
        <w:rPr>
          <w:rtl/>
        </w:rPr>
        <w:t xml:space="preserve"> ، وفي كلّها مع </w:t>
      </w:r>
      <w:r w:rsidR="008A74EB" w:rsidRPr="00224D00">
        <w:rPr>
          <w:rStyle w:val="libFootnoteBoldChar"/>
          <w:rtl/>
        </w:rPr>
        <w:t>اختلاف يسير</w:t>
      </w:r>
      <w:r w:rsidR="008A74EB" w:rsidRPr="00C9040A">
        <w:rPr>
          <w:rtl/>
        </w:rPr>
        <w:t xml:space="preserve"> </w:t>
      </w:r>
      <w:r w:rsidR="00224D00">
        <w:rPr>
          <w:rFonts w:hint="cs"/>
          <w:rtl/>
        </w:rPr>
        <w:t>.</w:t>
      </w:r>
      <w:r w:rsidR="008A74EB" w:rsidRPr="00993B55">
        <w:rPr>
          <w:rStyle w:val="libFootnoteBoldChar"/>
          <w:rtl/>
        </w:rPr>
        <w:t>الوافي</w:t>
      </w:r>
      <w:r w:rsidR="008A74EB" w:rsidRPr="00C9040A">
        <w:rPr>
          <w:rtl/>
        </w:rPr>
        <w:t xml:space="preserve"> ، ج 4 ، ص 58 ، ح 1665 ؛ </w:t>
      </w:r>
      <w:r w:rsidR="008A74EB" w:rsidRPr="00993B55">
        <w:rPr>
          <w:rStyle w:val="libFootnoteBoldChar"/>
          <w:rtl/>
        </w:rPr>
        <w:t>البحار</w:t>
      </w:r>
      <w:r w:rsidR="008A74EB" w:rsidRPr="00C9040A">
        <w:rPr>
          <w:rtl/>
        </w:rPr>
        <w:t xml:space="preserve"> ، ج 67 ، ص 135 ، ح 7 ، إلى قوله : « لم يعرف أحد ربّه »</w:t>
      </w:r>
      <w:r w:rsidR="008A74EB">
        <w:rPr>
          <w:rtl/>
        </w:rPr>
        <w:t>.</w:t>
      </w:r>
    </w:p>
    <w:p w:rsidR="008A74EB" w:rsidRPr="004A4E41" w:rsidRDefault="006C577F" w:rsidP="004A4E41">
      <w:pPr>
        <w:pStyle w:val="libFootnote0"/>
        <w:rPr>
          <w:rStyle w:val="libFootnote0Char"/>
          <w:rtl/>
        </w:rPr>
      </w:pPr>
      <w:r>
        <w:rPr>
          <w:rtl/>
        </w:rPr>
        <w:t>(3).</w:t>
      </w:r>
      <w:r w:rsidR="008A74EB" w:rsidRPr="00C9040A">
        <w:rPr>
          <w:rtl/>
        </w:rPr>
        <w:t xml:space="preserve"> هكذا في « ب ، د ، ز ، ص ، ف ، </w:t>
      </w:r>
      <w:r w:rsidR="006D3162">
        <w:rPr>
          <w:rtl/>
        </w:rPr>
        <w:t xml:space="preserve">ه </w:t>
      </w:r>
      <w:r w:rsidR="008A74EB" w:rsidRPr="00C9040A">
        <w:rPr>
          <w:rtl/>
        </w:rPr>
        <w:t>، بر ، بس ، بف ، جر » والوافي. وفي « ج » والمطبوع : « ابن أبي جميلة »</w:t>
      </w:r>
      <w:r w:rsidR="008A74EB">
        <w:rPr>
          <w:rtl/>
        </w:rPr>
        <w:t>.</w:t>
      </w:r>
      <w:r w:rsidR="008A74EB" w:rsidRPr="00C9040A">
        <w:rPr>
          <w:rtl/>
        </w:rPr>
        <w:t xml:space="preserve"> وهوسهو ؛ فقد روى الحسن بن عليّ بن فضّال ، عن أبي جميلة المفضّل بن صالح كتاب محمّد بن عليّ الحلبي ، وورد في بعض الأسناد توسّط أبي جميلة بين ابن فضّال ومحمّد [ بن عليّ ] </w:t>
      </w:r>
      <w:r w:rsidR="008A74EB" w:rsidRPr="00224D00">
        <w:rPr>
          <w:rStyle w:val="libFootnoteBoldChar"/>
          <w:rtl/>
        </w:rPr>
        <w:t>الحلبي</w:t>
      </w:r>
      <w:r w:rsidR="008A74EB" w:rsidRPr="00C9040A">
        <w:rPr>
          <w:rtl/>
        </w:rPr>
        <w:t xml:space="preserve">. راجع : </w:t>
      </w:r>
      <w:r w:rsidR="008A74EB" w:rsidRPr="0034021D">
        <w:rPr>
          <w:rStyle w:val="libFootnoteBoldChar"/>
          <w:rtl/>
        </w:rPr>
        <w:t>الفهرست للطوسي</w:t>
      </w:r>
      <w:r w:rsidR="008A74EB" w:rsidRPr="00C9040A">
        <w:rPr>
          <w:rtl/>
        </w:rPr>
        <w:t xml:space="preserve"> ، ص 385 ، الرقم 588 ؛ </w:t>
      </w:r>
      <w:r w:rsidR="008A74EB" w:rsidRPr="00993B55">
        <w:rPr>
          <w:rStyle w:val="libFootnoteBoldChar"/>
          <w:rtl/>
        </w:rPr>
        <w:t>معجم رجال الحديث</w:t>
      </w:r>
      <w:r w:rsidR="008A74EB" w:rsidRPr="00C9040A">
        <w:rPr>
          <w:rtl/>
        </w:rPr>
        <w:t xml:space="preserve"> ، ج 18 ، ص 479 ؛ وج 21 ، ص 367.</w:t>
      </w:r>
    </w:p>
    <w:tbl>
      <w:tblPr>
        <w:tblStyle w:val="TableGrid"/>
        <w:bidiVisual/>
        <w:tblW w:w="0" w:type="auto"/>
        <w:tblLook w:val="04A0" w:firstRow="1" w:lastRow="0" w:firstColumn="1" w:lastColumn="0" w:noHBand="0" w:noVBand="1"/>
      </w:tblPr>
      <w:tblGrid>
        <w:gridCol w:w="4006"/>
        <w:gridCol w:w="4006"/>
      </w:tblGrid>
      <w:tr w:rsidR="00224D00" w:rsidTr="00224D00">
        <w:tc>
          <w:tcPr>
            <w:tcW w:w="4006" w:type="dxa"/>
          </w:tcPr>
          <w:p w:rsidR="00224D00" w:rsidRDefault="00224D00" w:rsidP="004A4E41">
            <w:pPr>
              <w:pStyle w:val="libFootnote0"/>
              <w:rPr>
                <w:rtl/>
              </w:rPr>
            </w:pPr>
            <w:r>
              <w:rPr>
                <w:rtl/>
              </w:rPr>
              <w:t>(4).</w:t>
            </w:r>
            <w:r w:rsidRPr="00C9040A">
              <w:rPr>
                <w:rtl/>
              </w:rPr>
              <w:t xml:space="preserve"> في الوافي : « محمّد بن عليّ الحلبي »</w:t>
            </w:r>
            <w:r>
              <w:rPr>
                <w:rtl/>
              </w:rPr>
              <w:t>.</w:t>
            </w:r>
          </w:p>
        </w:tc>
        <w:tc>
          <w:tcPr>
            <w:tcW w:w="4006" w:type="dxa"/>
          </w:tcPr>
          <w:p w:rsidR="00224D00" w:rsidRDefault="00224D00" w:rsidP="004A4E41">
            <w:pPr>
              <w:pStyle w:val="libFootnote0"/>
              <w:rPr>
                <w:rtl/>
              </w:rPr>
            </w:pPr>
            <w:r>
              <w:rPr>
                <w:rtl/>
              </w:rPr>
              <w:t>(5).</w:t>
            </w:r>
            <w:r w:rsidRPr="00C9040A">
              <w:rPr>
                <w:rtl/>
              </w:rPr>
              <w:t xml:space="preserve"> الروم (30) : 30.</w:t>
            </w:r>
          </w:p>
        </w:tc>
      </w:tr>
    </w:tbl>
    <w:p w:rsidR="008A74EB" w:rsidRDefault="006C577F" w:rsidP="004A4E41">
      <w:pPr>
        <w:pStyle w:val="libFootnote0"/>
        <w:rPr>
          <w:rtl/>
          <w:lang w:bidi="fa-IR"/>
        </w:rPr>
      </w:pPr>
      <w:r>
        <w:rPr>
          <w:rtl/>
        </w:rPr>
        <w:t>(6).</w:t>
      </w:r>
      <w:r w:rsidR="008A74EB">
        <w:rPr>
          <w:rtl/>
        </w:rPr>
        <w:t xml:space="preserve"> </w:t>
      </w:r>
      <w:r w:rsidR="008A74EB" w:rsidRPr="00993B55">
        <w:rPr>
          <w:rStyle w:val="libFootnoteBoldChar"/>
          <w:rtl/>
        </w:rPr>
        <w:t>التوحيد</w:t>
      </w:r>
      <w:r w:rsidR="008A74EB" w:rsidRPr="00C9040A">
        <w:rPr>
          <w:rtl/>
        </w:rPr>
        <w:t xml:space="preserve"> ، ص 329 ، ح 5 ، عن أبيه ، عن عليّ بن إبراهيم </w:t>
      </w:r>
      <w:r w:rsidR="00224D00">
        <w:rPr>
          <w:rFonts w:hint="cs"/>
          <w:rtl/>
        </w:rPr>
        <w:t>.</w:t>
      </w:r>
      <w:r w:rsidR="008A74EB" w:rsidRPr="00993B55">
        <w:rPr>
          <w:rStyle w:val="libFootnoteBoldChar"/>
          <w:rtl/>
        </w:rPr>
        <w:t>الوافي</w:t>
      </w:r>
      <w:r w:rsidR="008A74EB" w:rsidRPr="00C9040A">
        <w:rPr>
          <w:rtl/>
        </w:rPr>
        <w:t xml:space="preserve"> ، ج 4 ، ص 57 ، ح 1662.</w:t>
      </w:r>
    </w:p>
    <w:p w:rsidR="008A74EB" w:rsidRDefault="006C577F" w:rsidP="004A4E41">
      <w:pPr>
        <w:pStyle w:val="libFootnote0"/>
        <w:rPr>
          <w:rtl/>
          <w:lang w:bidi="fa-IR"/>
        </w:rPr>
      </w:pPr>
      <w:r>
        <w:rPr>
          <w:rtl/>
        </w:rPr>
        <w:t>(7).</w:t>
      </w:r>
      <w:r w:rsidR="008A74EB" w:rsidRPr="00C9040A">
        <w:rPr>
          <w:rtl/>
        </w:rPr>
        <w:t xml:space="preserve"> هكذا في « ز »</w:t>
      </w:r>
      <w:r w:rsidR="008A74EB">
        <w:rPr>
          <w:rtl/>
        </w:rPr>
        <w:t>.</w:t>
      </w:r>
      <w:r w:rsidR="008A74EB" w:rsidRPr="00C9040A">
        <w:rPr>
          <w:rtl/>
        </w:rPr>
        <w:t xml:space="preserve"> وفي « ب ، ج ، د ، ص ، بر ، بف ، جر » والمطبوع : « ميسرة »</w:t>
      </w:r>
      <w:r w:rsidR="008A74EB">
        <w:rPr>
          <w:rtl/>
        </w:rPr>
        <w:t>.</w:t>
      </w:r>
      <w:r w:rsidR="00224D00">
        <w:rPr>
          <w:rtl/>
        </w:rPr>
        <w:t xml:space="preserve"> وفي « ف » : « الميسرة</w:t>
      </w:r>
      <w:r w:rsidR="008A74EB" w:rsidRPr="00C9040A">
        <w:rPr>
          <w:rtl/>
        </w:rPr>
        <w:t>»</w:t>
      </w:r>
      <w:r w:rsidR="008A74EB">
        <w:rPr>
          <w:rtl/>
        </w:rPr>
        <w:t>.</w:t>
      </w:r>
      <w:r w:rsidR="008A74EB" w:rsidRPr="00C9040A">
        <w:rPr>
          <w:rtl/>
        </w:rPr>
        <w:t xml:space="preserve"> والصواب ما أثبتناه ؛ فقد ذكر الشيخ في رجاله ، ص 309 ، الرقم 4571 : مُيَسِّر بن عبدالله النخعي. وقال « روى عنهما ( الصادق والباقر </w:t>
      </w:r>
      <w:r w:rsidR="00117575" w:rsidRPr="00117575">
        <w:rPr>
          <w:rStyle w:val="libFootnoteAlaemChar"/>
          <w:rtl/>
        </w:rPr>
        <w:t>عليهما‌السلام</w:t>
      </w:r>
      <w:r w:rsidR="008A74EB" w:rsidRPr="00C9040A">
        <w:rPr>
          <w:rtl/>
        </w:rPr>
        <w:t xml:space="preserve"> ) ابناه محمّد وعليّ »</w:t>
      </w:r>
      <w:r w:rsidR="008A74EB">
        <w:rPr>
          <w:rtl/>
        </w:rPr>
        <w:t>.</w:t>
      </w:r>
      <w:r w:rsidR="008A74EB" w:rsidRPr="00C9040A">
        <w:rPr>
          <w:rtl/>
        </w:rPr>
        <w:t xml:space="preserve"> وذكر أيضاً في أصحاب الصادق </w:t>
      </w:r>
      <w:r w:rsidR="00117575" w:rsidRPr="00117575">
        <w:rPr>
          <w:rStyle w:val="libFootnoteAlaemChar"/>
          <w:rtl/>
        </w:rPr>
        <w:t>عليه‌السلام</w:t>
      </w:r>
      <w:r w:rsidR="008A74EB" w:rsidRPr="00C9040A">
        <w:rPr>
          <w:rtl/>
        </w:rPr>
        <w:t xml:space="preserve"> عليّ بن ميسّر بن عبدالله النخعي ، مولاهم </w:t>
      </w:r>
      <w:r w:rsidR="00224D00">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lastRenderedPageBreak/>
        <w:t xml:space="preserve">قَالَ أَبُو عَبْدِ اللهِ </w:t>
      </w:r>
      <w:r w:rsidRPr="0003660B">
        <w:rPr>
          <w:rStyle w:val="libAlaemChar"/>
          <w:rtl/>
        </w:rPr>
        <w:t>عليه‌السلام</w:t>
      </w:r>
      <w:r w:rsidRPr="00C9040A">
        <w:rPr>
          <w:rtl/>
          <w:lang w:bidi="fa-IR"/>
        </w:rPr>
        <w:t xml:space="preserve"> : « إِنَّ نُطْفَةَ الْمُؤْمِنِ لَتَكُونُ </w:t>
      </w:r>
      <w:r w:rsidR="006C577F" w:rsidRPr="006C577F">
        <w:rPr>
          <w:rStyle w:val="libFootnotenumChar"/>
          <w:rtl/>
        </w:rPr>
        <w:t>(1)</w:t>
      </w:r>
      <w:r w:rsidRPr="002712F0">
        <w:rPr>
          <w:rFonts w:hint="cs"/>
          <w:rtl/>
        </w:rPr>
        <w:t xml:space="preserve"> </w:t>
      </w:r>
      <w:r w:rsidRPr="00C9040A">
        <w:rPr>
          <w:rtl/>
          <w:lang w:bidi="fa-IR"/>
        </w:rPr>
        <w:t xml:space="preserve">فِي صُلْبِ الْمُشْرِكِ ، فَلَا يُصِيبُهُ مِنَ الشَّرِّ </w:t>
      </w:r>
      <w:r w:rsidR="006C577F" w:rsidRPr="006C577F">
        <w:rPr>
          <w:rStyle w:val="libFootnotenumChar"/>
          <w:rtl/>
        </w:rPr>
        <w:t>(2)</w:t>
      </w:r>
      <w:r w:rsidRPr="00C9040A">
        <w:rPr>
          <w:rtl/>
          <w:lang w:bidi="fa-IR"/>
        </w:rPr>
        <w:t xml:space="preserve"> شَيْ‌ءٌ ، حَتّى إِذَا صَارَ </w:t>
      </w:r>
      <w:r w:rsidR="006C577F" w:rsidRPr="006C577F">
        <w:rPr>
          <w:rStyle w:val="libFootnotenumChar"/>
          <w:rtl/>
        </w:rPr>
        <w:t>(3)</w:t>
      </w:r>
      <w:r w:rsidRPr="00C9040A">
        <w:rPr>
          <w:rtl/>
          <w:lang w:bidi="fa-IR"/>
        </w:rPr>
        <w:t xml:space="preserve"> فِي رَحِمِ الْمُشْرِكَةِ ، لَمْ يُصِبْهَا </w:t>
      </w:r>
      <w:r w:rsidR="006C577F" w:rsidRPr="006C577F">
        <w:rPr>
          <w:rStyle w:val="libFootnotenumChar"/>
          <w:rtl/>
        </w:rPr>
        <w:t>(4)</w:t>
      </w:r>
      <w:r w:rsidRPr="00C9040A">
        <w:rPr>
          <w:rtl/>
          <w:lang w:bidi="fa-IR"/>
        </w:rPr>
        <w:t xml:space="preserve"> مِنَ الشَّرِّ شَيْ‌ءٌ حَتّى تَضَعَهُ ، فَإِذَا وَضَعَتْهُ ، لَمْ يُصِبْهُ مِنَ الشَّرِّ شَيْ‌ءٌ حَتّى يَجْرِيَ عَلَيْهِ الْقَلَمُ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277CB4">
        <w:rPr>
          <w:rtl/>
        </w:rPr>
        <w:t>1472</w:t>
      </w:r>
      <w:r w:rsidRPr="00261CB0">
        <w:rPr>
          <w:rStyle w:val="libBold2Char"/>
          <w:rtl/>
        </w:rPr>
        <w:t xml:space="preserve"> / 2.</w:t>
      </w:r>
      <w:r w:rsidRPr="00C9040A">
        <w:rPr>
          <w:rtl/>
          <w:lang w:bidi="fa-IR"/>
        </w:rPr>
        <w:t xml:space="preserve"> عَلِيُّ بْنُ إِبْرَاهِيمَ ، عَنْ أَبِيهِ ، عَنِ ابْنِ أَبِي عُمَيْرٍ ، عَنْ عَلِيِّ بْنِ يَقْطِينٍ :</w:t>
      </w:r>
    </w:p>
    <w:p w:rsidR="008A74EB" w:rsidRPr="00C9040A" w:rsidRDefault="008A74EB" w:rsidP="00224D00">
      <w:pPr>
        <w:pStyle w:val="libNormal"/>
        <w:rPr>
          <w:rtl/>
          <w:lang w:bidi="fa-IR"/>
        </w:rPr>
      </w:pPr>
      <w:r w:rsidRPr="00C9040A">
        <w:rPr>
          <w:rtl/>
          <w:lang w:bidi="fa-IR"/>
        </w:rPr>
        <w:t xml:space="preserve">عَنْ أَبِي الْحَسَنِ مُوسى </w:t>
      </w:r>
      <w:r w:rsidRPr="0003660B">
        <w:rPr>
          <w:rStyle w:val="libAlaemChar"/>
          <w:rtl/>
        </w:rPr>
        <w:t>عليه‌السلام</w:t>
      </w:r>
      <w:r w:rsidRPr="00C9040A">
        <w:rPr>
          <w:rtl/>
          <w:lang w:bidi="fa-IR"/>
        </w:rPr>
        <w:t xml:space="preserve"> ، قَالَ : قُلْتُ لَهُ : إِنِّي </w:t>
      </w:r>
      <w:r w:rsidR="006C577F" w:rsidRPr="006C577F">
        <w:rPr>
          <w:rStyle w:val="libFootnotenumChar"/>
          <w:rtl/>
        </w:rPr>
        <w:t>(6)</w:t>
      </w:r>
      <w:r w:rsidR="00224D00" w:rsidRPr="00C9040A">
        <w:rPr>
          <w:rtl/>
          <w:lang w:bidi="fa-IR"/>
        </w:rPr>
        <w:t xml:space="preserve"> </w:t>
      </w:r>
      <w:r w:rsidRPr="00C9040A">
        <w:rPr>
          <w:rtl/>
          <w:lang w:bidi="fa-IR"/>
        </w:rPr>
        <w:t xml:space="preserve">قَدْ </w:t>
      </w:r>
      <w:r w:rsidR="006C577F" w:rsidRPr="006C577F">
        <w:rPr>
          <w:rStyle w:val="libFootnotenumChar"/>
          <w:rtl/>
        </w:rPr>
        <w:t>(7)</w:t>
      </w:r>
      <w:r w:rsidRPr="00C9040A">
        <w:rPr>
          <w:rtl/>
          <w:lang w:bidi="fa-IR"/>
        </w:rPr>
        <w:t xml:space="preserve"> أَشْفَقْتُ مِنْ دَعْوَةِ أَبِي عَبْدِ اللهِ </w:t>
      </w:r>
      <w:r w:rsidRPr="0003660B">
        <w:rPr>
          <w:rStyle w:val="libAlaemChar"/>
          <w:rtl/>
        </w:rPr>
        <w:t>عليه‌السلام</w:t>
      </w:r>
      <w:r w:rsidRPr="00C9040A">
        <w:rPr>
          <w:rtl/>
          <w:lang w:bidi="fa-IR"/>
        </w:rPr>
        <w:t xml:space="preserve"> عَلى يَقْطِينٍ </w:t>
      </w:r>
      <w:r w:rsidR="006C577F" w:rsidRPr="006C577F">
        <w:rPr>
          <w:rStyle w:val="libFootnotenumChar"/>
          <w:rtl/>
        </w:rPr>
        <w:t>(8)</w:t>
      </w:r>
      <w:r w:rsidRPr="00C9040A">
        <w:rPr>
          <w:rtl/>
          <w:lang w:bidi="fa-IR"/>
        </w:rPr>
        <w:t xml:space="preserve"> وَمَا وَلَدَ.</w:t>
      </w:r>
    </w:p>
    <w:p w:rsidR="008A74EB" w:rsidRPr="00C9040A" w:rsidRDefault="008A74EB" w:rsidP="008A74EB">
      <w:pPr>
        <w:pStyle w:val="libLine"/>
        <w:rPr>
          <w:rtl/>
          <w:lang w:bidi="fa-IR"/>
        </w:rPr>
      </w:pPr>
      <w:r w:rsidRPr="00C9040A">
        <w:rPr>
          <w:rtl/>
          <w:lang w:bidi="fa-IR"/>
        </w:rPr>
        <w:t>__________________</w:t>
      </w:r>
    </w:p>
    <w:p w:rsidR="008A74EB" w:rsidRPr="00C9040A" w:rsidRDefault="00224D00" w:rsidP="004A4E41">
      <w:pPr>
        <w:pStyle w:val="libFootnote0"/>
        <w:rPr>
          <w:rtl/>
          <w:lang w:bidi="fa-IR"/>
        </w:rPr>
      </w:pPr>
      <w:r>
        <w:rPr>
          <w:rFonts w:hint="cs"/>
          <w:rtl/>
        </w:rPr>
        <w:t>=</w:t>
      </w:r>
      <w:r w:rsidR="008A74EB" w:rsidRPr="00C9040A">
        <w:rPr>
          <w:rtl/>
        </w:rPr>
        <w:t>كوفي ، كما ذكر محمّد بن ميسّر بن عبدالله وقال : « مولى وأخوه عليّ »</w:t>
      </w:r>
      <w:r w:rsidR="008A74EB">
        <w:rPr>
          <w:rtl/>
        </w:rPr>
        <w:t>.</w:t>
      </w:r>
      <w:r w:rsidR="008A74EB" w:rsidRPr="00C9040A">
        <w:rPr>
          <w:rtl/>
        </w:rPr>
        <w:t xml:space="preserve"> </w:t>
      </w:r>
      <w:r w:rsidR="008A74EB" w:rsidRPr="00993B55">
        <w:rPr>
          <w:rStyle w:val="libFootnoteBoldChar"/>
          <w:rtl/>
        </w:rPr>
        <w:t>رجال الطوسي</w:t>
      </w:r>
      <w:r w:rsidR="008A74EB" w:rsidRPr="00C9040A">
        <w:rPr>
          <w:rtl/>
        </w:rPr>
        <w:t xml:space="preserve"> ، ص 245 ، الرقم 3400 ؛ وص 294 ، الرقم 4299.</w:t>
      </w:r>
    </w:p>
    <w:p w:rsidR="008A74EB" w:rsidRPr="00C9040A" w:rsidRDefault="008A74EB" w:rsidP="004A4E41">
      <w:pPr>
        <w:pStyle w:val="libFootnote0"/>
        <w:rPr>
          <w:rtl/>
          <w:lang w:bidi="fa-IR"/>
        </w:rPr>
      </w:pPr>
      <w:r w:rsidRPr="00323A39">
        <w:rPr>
          <w:rtl/>
        </w:rPr>
        <w:t xml:space="preserve">هذا ، وقد قال ابن ناصر الدين في </w:t>
      </w:r>
      <w:r w:rsidRPr="00993B55">
        <w:rPr>
          <w:rStyle w:val="libFootnoteBoldChar"/>
          <w:rtl/>
        </w:rPr>
        <w:t>توضيح المشتبه</w:t>
      </w:r>
      <w:r w:rsidRPr="00323A39">
        <w:rPr>
          <w:rtl/>
        </w:rPr>
        <w:t xml:space="preserve"> ، ج 8 ، ص 30 بعد ضبط مُيَسِّر : « عليّ بن مُيَسِّر الكوفي ، وأخوه محمّد بن مُيَسِّر ، عن جعفر الصادق » ، كما قال العسقلاني في </w:t>
      </w:r>
      <w:r w:rsidRPr="00993B55">
        <w:rPr>
          <w:rStyle w:val="libFootnoteBoldChar"/>
          <w:rtl/>
        </w:rPr>
        <w:t>تبصير المنتبه بتحرير المشتبه</w:t>
      </w:r>
      <w:r w:rsidRPr="00323A39">
        <w:rPr>
          <w:rtl/>
        </w:rPr>
        <w:t xml:space="preserve"> ، ج 4 ، ص 1248 ، </w:t>
      </w:r>
      <w:r w:rsidRPr="00224D00">
        <w:rPr>
          <w:rStyle w:val="libFootnoteBoldChar"/>
          <w:rtl/>
        </w:rPr>
        <w:t>ذيل لفظة مُيسِّر</w:t>
      </w:r>
      <w:r w:rsidRPr="00323A39">
        <w:rPr>
          <w:rtl/>
        </w:rPr>
        <w:t xml:space="preserve"> : « عليّ بن مُيسِّر الكوفي وأخوه محمّد بن مُيسِّر ».</w:t>
      </w:r>
    </w:p>
    <w:p w:rsidR="008A74EB" w:rsidRPr="00C9040A" w:rsidRDefault="008A74EB" w:rsidP="004A4E41">
      <w:pPr>
        <w:pStyle w:val="libFootnote0"/>
        <w:rPr>
          <w:rtl/>
          <w:lang w:bidi="fa-IR"/>
        </w:rPr>
      </w:pPr>
      <w:r w:rsidRPr="00323A39">
        <w:rPr>
          <w:rtl/>
        </w:rPr>
        <w:t xml:space="preserve">ويؤيّد ذلك كلّه أنّ البرقي روى في </w:t>
      </w:r>
      <w:r w:rsidRPr="00993B55">
        <w:rPr>
          <w:rStyle w:val="libFootnoteBoldChar"/>
          <w:rtl/>
        </w:rPr>
        <w:t>المحاسن</w:t>
      </w:r>
      <w:r w:rsidRPr="00323A39">
        <w:rPr>
          <w:rtl/>
        </w:rPr>
        <w:t xml:space="preserve"> ، ص 138 ، ح 23 </w:t>
      </w:r>
      <w:r w:rsidR="0084262C" w:rsidRPr="00323A39">
        <w:rPr>
          <w:rtl/>
        </w:rPr>
        <w:t>-</w:t>
      </w:r>
      <w:r w:rsidRPr="00323A39">
        <w:rPr>
          <w:rtl/>
        </w:rPr>
        <w:t xml:space="preserve"> وعنه البحار ، ج 64 ، ص 78 ، ح 5 </w:t>
      </w:r>
      <w:r w:rsidR="0084262C" w:rsidRPr="00323A39">
        <w:rPr>
          <w:rtl/>
        </w:rPr>
        <w:t>-</w:t>
      </w:r>
      <w:r w:rsidRPr="00323A39">
        <w:rPr>
          <w:rtl/>
        </w:rPr>
        <w:t xml:space="preserve"> مضمون الخبر ، عن الحسن بن عليّ الوشّاء ، عن عليّ بن ميسّر ، عمّن ذكره ، عن أبي عبدالله </w:t>
      </w:r>
      <w:r w:rsidR="00117575" w:rsidRPr="00117575">
        <w:rPr>
          <w:rStyle w:val="libFootnoteAlaemChar"/>
          <w:rtl/>
        </w:rPr>
        <w:t xml:space="preserve">عليه‌السلام </w:t>
      </w:r>
      <w:r w:rsidRPr="00323A39">
        <w:rPr>
          <w:rtl/>
        </w:rPr>
        <w:t>.</w:t>
      </w:r>
    </w:p>
    <w:p w:rsidR="008A74EB" w:rsidRPr="004A4E41" w:rsidRDefault="008A74EB" w:rsidP="004A4E41">
      <w:pPr>
        <w:pStyle w:val="libFootnote0"/>
        <w:rPr>
          <w:rStyle w:val="libFootnote0Char"/>
          <w:rtl/>
        </w:rPr>
      </w:pPr>
      <w:r w:rsidRPr="0082575F">
        <w:rPr>
          <w:rtl/>
        </w:rPr>
        <w:t>ثمّ إنّه وقع الكلام في اتّحاد مُيَسِّر بن عبدالله ومُيَسِّر بن عبدالعزيز ، والظاهر اتّحادهما وأنّ ميسِّر بن عبدالله محرّف ، كما ثبت في محلّه.</w:t>
      </w:r>
    </w:p>
    <w:tbl>
      <w:tblPr>
        <w:tblStyle w:val="TableGrid"/>
        <w:bidiVisual/>
        <w:tblW w:w="0" w:type="auto"/>
        <w:tblLook w:val="04A0" w:firstRow="1" w:lastRow="0" w:firstColumn="1" w:lastColumn="0" w:noHBand="0" w:noVBand="1"/>
      </w:tblPr>
      <w:tblGrid>
        <w:gridCol w:w="4006"/>
        <w:gridCol w:w="4006"/>
      </w:tblGrid>
      <w:tr w:rsidR="00224D00" w:rsidTr="00224D00">
        <w:tc>
          <w:tcPr>
            <w:tcW w:w="4006" w:type="dxa"/>
          </w:tcPr>
          <w:p w:rsidR="00224D00" w:rsidRDefault="00224D00" w:rsidP="004A4E41">
            <w:pPr>
              <w:pStyle w:val="libFootnote0"/>
              <w:rPr>
                <w:rtl/>
              </w:rPr>
            </w:pPr>
            <w:r>
              <w:rPr>
                <w:rtl/>
              </w:rPr>
              <w:t>(1).</w:t>
            </w:r>
            <w:r w:rsidRPr="00C9040A">
              <w:rPr>
                <w:rtl/>
              </w:rPr>
              <w:t xml:space="preserve"> في « ب » : « لتكوّن »</w:t>
            </w:r>
            <w:r>
              <w:rPr>
                <w:rtl/>
              </w:rPr>
              <w:t>.</w:t>
            </w:r>
          </w:p>
        </w:tc>
        <w:tc>
          <w:tcPr>
            <w:tcW w:w="4006" w:type="dxa"/>
          </w:tcPr>
          <w:p w:rsidR="00224D00" w:rsidRDefault="00224D00" w:rsidP="004A4E41">
            <w:pPr>
              <w:pStyle w:val="libFootnote0"/>
              <w:rPr>
                <w:rtl/>
              </w:rPr>
            </w:pPr>
            <w:r>
              <w:rPr>
                <w:rtl/>
              </w:rPr>
              <w:t xml:space="preserve">(2). </w:t>
            </w:r>
            <w:r w:rsidRPr="00C9040A">
              <w:rPr>
                <w:rtl/>
              </w:rPr>
              <w:t>في حاشية « بع ، جح ، جه » : « من الشرك »</w:t>
            </w:r>
            <w:r>
              <w:rPr>
                <w:rtl/>
              </w:rPr>
              <w:t>.</w:t>
            </w:r>
          </w:p>
        </w:tc>
      </w:tr>
      <w:tr w:rsidR="00224D00" w:rsidTr="00224D00">
        <w:tc>
          <w:tcPr>
            <w:tcW w:w="4006" w:type="dxa"/>
          </w:tcPr>
          <w:p w:rsidR="00224D00" w:rsidRDefault="00224D00" w:rsidP="004A4E41">
            <w:pPr>
              <w:pStyle w:val="libFootnote0"/>
              <w:rPr>
                <w:rtl/>
              </w:rPr>
            </w:pPr>
            <w:r>
              <w:rPr>
                <w:rtl/>
              </w:rPr>
              <w:t>(3).</w:t>
            </w:r>
            <w:r w:rsidRPr="00C9040A">
              <w:rPr>
                <w:rtl/>
              </w:rPr>
              <w:t xml:space="preserve"> في « ب ، ز » : « صارت »</w:t>
            </w:r>
            <w:r>
              <w:rPr>
                <w:rtl/>
              </w:rPr>
              <w:t>.</w:t>
            </w:r>
          </w:p>
        </w:tc>
        <w:tc>
          <w:tcPr>
            <w:tcW w:w="4006" w:type="dxa"/>
          </w:tcPr>
          <w:p w:rsidR="00224D00" w:rsidRDefault="00224D00" w:rsidP="004A4E41">
            <w:pPr>
              <w:pStyle w:val="libFootnote0"/>
              <w:rPr>
                <w:rtl/>
              </w:rPr>
            </w:pPr>
            <w:r>
              <w:rPr>
                <w:rtl/>
              </w:rPr>
              <w:t>(4).</w:t>
            </w:r>
            <w:r w:rsidRPr="00C9040A">
              <w:rPr>
                <w:rtl/>
              </w:rPr>
              <w:t xml:space="preserve"> في « ج ، د » والوافي : « لم يصبه »</w:t>
            </w:r>
            <w:r>
              <w:rPr>
                <w:rtl/>
              </w:rPr>
              <w:t>.</w:t>
            </w:r>
          </w:p>
        </w:tc>
      </w:tr>
    </w:tbl>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المحاسن</w:t>
      </w:r>
      <w:r w:rsidR="008A74EB" w:rsidRPr="00C9040A">
        <w:rPr>
          <w:rtl/>
        </w:rPr>
        <w:t xml:space="preserve"> ، ص 138 ، </w:t>
      </w:r>
      <w:r w:rsidR="008A74EB" w:rsidRPr="00224D00">
        <w:rPr>
          <w:rStyle w:val="libFootnoteBoldChar"/>
          <w:rtl/>
        </w:rPr>
        <w:t>كتاب الصفوة</w:t>
      </w:r>
      <w:r w:rsidR="008A74EB" w:rsidRPr="00C9040A">
        <w:rPr>
          <w:rtl/>
        </w:rPr>
        <w:t xml:space="preserve"> ، ح 23 ، عن الحسن بن عليّ الوشّاء </w:t>
      </w:r>
      <w:r w:rsidR="00224D00">
        <w:rPr>
          <w:rFonts w:hint="cs"/>
          <w:rtl/>
        </w:rPr>
        <w:t>.</w:t>
      </w:r>
      <w:r w:rsidR="008A74EB" w:rsidRPr="00993B55">
        <w:rPr>
          <w:rStyle w:val="libFootnoteBoldChar"/>
          <w:rtl/>
        </w:rPr>
        <w:t>الوافي</w:t>
      </w:r>
      <w:r w:rsidR="008A74EB" w:rsidRPr="00C9040A">
        <w:rPr>
          <w:rtl/>
        </w:rPr>
        <w:t xml:space="preserve"> ، ج 4 ، ص 70 ، ح 1674.</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ب ، ج ، ز ، بس ، بف » وحاشية « د » والوافي : « إنّني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بس » </w:t>
      </w:r>
      <w:r w:rsidR="008A74EB">
        <w:rPr>
          <w:rtl/>
        </w:rPr>
        <w:t xml:space="preserve">: </w:t>
      </w:r>
      <w:r w:rsidR="0084262C">
        <w:rPr>
          <w:rtl/>
        </w:rPr>
        <w:t>-</w:t>
      </w:r>
      <w:r w:rsidR="008A74EB" w:rsidRPr="00C9040A">
        <w:rPr>
          <w:rtl/>
        </w:rPr>
        <w:t xml:space="preserve"> « قد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قال الشيخ في </w:t>
      </w:r>
      <w:r w:rsidR="008A74EB" w:rsidRPr="00993B55">
        <w:rPr>
          <w:rStyle w:val="libFootnoteBoldChar"/>
          <w:rtl/>
        </w:rPr>
        <w:t>الفهرست</w:t>
      </w:r>
      <w:r w:rsidR="008A74EB" w:rsidRPr="00C9040A">
        <w:rPr>
          <w:rtl/>
        </w:rPr>
        <w:t xml:space="preserve"> ، ص 90 ، الرقم 378 : « عليّ بن يقطين </w:t>
      </w:r>
      <w:r w:rsidR="00117575" w:rsidRPr="00117575">
        <w:rPr>
          <w:rStyle w:val="libFootnoteAlaemChar"/>
          <w:rtl/>
        </w:rPr>
        <w:t>رضي‌الله‌عنه</w:t>
      </w:r>
      <w:r w:rsidR="008A74EB" w:rsidRPr="00C9040A">
        <w:rPr>
          <w:rtl/>
        </w:rPr>
        <w:t xml:space="preserve"> ثقة ، جليل القدر ، له منزلة عظيمة عند أبي الحسن موسى </w:t>
      </w:r>
      <w:r w:rsidR="00117575" w:rsidRPr="00117575">
        <w:rPr>
          <w:rStyle w:val="libFootnoteAlaemChar"/>
          <w:rtl/>
        </w:rPr>
        <w:t xml:space="preserve">عليه‌السلام </w:t>
      </w:r>
      <w:r w:rsidR="008A74EB" w:rsidRPr="00C9040A">
        <w:rPr>
          <w:rtl/>
        </w:rPr>
        <w:t>، عظيم المكان في الطائفة ، وكان يقطين من وجوه الدعاة فطلبه مروان فهرب ، وابنه عليّ بن يقطين هذا ولد بالكوفة سنة أربع وعشرين ومائة وهربت به ا</w:t>
      </w:r>
      <w:r w:rsidR="00224D00">
        <w:rPr>
          <w:rFonts w:hint="cs"/>
          <w:rtl/>
        </w:rPr>
        <w:t>ُ</w:t>
      </w:r>
      <w:r w:rsidR="008A74EB" w:rsidRPr="00C9040A">
        <w:rPr>
          <w:rtl/>
        </w:rPr>
        <w:t xml:space="preserve">مّه وبأخيه عبيد بن يقطين إلى المدينة ، فلمّا ظهرت الدولة الهاشميّة ظهر يقطين وعادت أُمّ عليّ بعليّ وعبيد ، فلم يزل في خدمة السفّاح والمنصور ، مع ذلك كان يتشيّع ويقول بالإمامة ، وكذلك ولده ، وكان يحمل الأموال إلى جعفر الصادق </w:t>
      </w:r>
      <w:r w:rsidR="00117575" w:rsidRPr="00117575">
        <w:rPr>
          <w:rStyle w:val="libFootnoteAlaemChar"/>
          <w:rtl/>
        </w:rPr>
        <w:t>عليه‌السلام</w:t>
      </w:r>
      <w:r w:rsidR="008A74EB" w:rsidRPr="00C9040A">
        <w:rPr>
          <w:rtl/>
        </w:rPr>
        <w:t xml:space="preserve"> ، ونُمّ خبره إلى المنصور والمهديّ فصرفها عنه كيدهما</w:t>
      </w:r>
      <w:r w:rsidR="008A74EB">
        <w:rPr>
          <w:rtl/>
        </w:rPr>
        <w:t xml:space="preserve"> ..</w:t>
      </w:r>
      <w:r w:rsidR="008A74EB" w:rsidRPr="00C9040A">
        <w:rPr>
          <w:rtl/>
        </w:rPr>
        <w:t>.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224D00">
      <w:pPr>
        <w:pStyle w:val="libNormal"/>
        <w:rPr>
          <w:rtl/>
          <w:lang w:bidi="fa-IR"/>
        </w:rPr>
      </w:pPr>
      <w:r w:rsidRPr="00C9040A">
        <w:rPr>
          <w:rtl/>
          <w:lang w:bidi="fa-IR"/>
        </w:rPr>
        <w:lastRenderedPageBreak/>
        <w:t xml:space="preserve">فَقَالَ : « يَا أَبَا الْحَسَنِ ، لَيْسَ حَيْثُ تَذْهَبُ </w:t>
      </w:r>
      <w:r w:rsidR="006C577F" w:rsidRPr="006C577F">
        <w:rPr>
          <w:rStyle w:val="libFootnotenumChar"/>
          <w:rtl/>
        </w:rPr>
        <w:t>(1)</w:t>
      </w:r>
      <w:r w:rsidRPr="00C9040A">
        <w:rPr>
          <w:rtl/>
          <w:lang w:bidi="fa-IR"/>
        </w:rPr>
        <w:t xml:space="preserve">، إِنَّمَا الْمُؤْمِنُ فِي صُلْبِ الْكَافِرِ بِمَنْزِلَةِ الْحَصَاةِ فِي اللَّبِنَةِ ، يَجِي‌ءُ الْمَطَرُ ، فَيَغْسِلُ اللَّبِنَةَ ، وَلَا </w:t>
      </w:r>
      <w:r w:rsidR="006C577F" w:rsidRPr="006C577F">
        <w:rPr>
          <w:rStyle w:val="libFootnotenumChar"/>
          <w:rtl/>
        </w:rPr>
        <w:t>(2)</w:t>
      </w:r>
      <w:r w:rsidRPr="00C9040A">
        <w:rPr>
          <w:rtl/>
          <w:lang w:bidi="fa-IR"/>
        </w:rPr>
        <w:t xml:space="preserve"> يَضُرُّ الْحَصَاةَ شَيْئاً » </w:t>
      </w:r>
      <w:r w:rsidR="006C577F" w:rsidRPr="006C577F">
        <w:rPr>
          <w:rStyle w:val="libFootnotenumChar"/>
          <w:rtl/>
        </w:rPr>
        <w:t>(3)</w:t>
      </w:r>
      <w:r w:rsidR="00224D00">
        <w:rPr>
          <w:rFonts w:hint="cs"/>
          <w:rtl/>
          <w:lang w:bidi="fa-IR"/>
        </w:rPr>
        <w:t>.</w:t>
      </w:r>
      <w:r w:rsidR="006C577F" w:rsidRPr="006C577F">
        <w:rPr>
          <w:rStyle w:val="libFootnotenumChar"/>
          <w:rtl/>
        </w:rPr>
        <w:t>(4)</w:t>
      </w:r>
      <w:r w:rsidRPr="00C9040A">
        <w:rPr>
          <w:rtl/>
          <w:lang w:bidi="fa-IR"/>
        </w:rPr>
        <w:t xml:space="preserve"> ‌</w:t>
      </w:r>
    </w:p>
    <w:p w:rsidR="008A74EB" w:rsidRPr="00C9040A" w:rsidRDefault="008A74EB" w:rsidP="008A74EB">
      <w:pPr>
        <w:pStyle w:val="Heading2Center"/>
        <w:rPr>
          <w:rtl/>
          <w:lang w:bidi="fa-IR"/>
        </w:rPr>
      </w:pPr>
      <w:bookmarkStart w:id="34" w:name="_Toc343795599"/>
      <w:bookmarkStart w:id="35" w:name="_Toc459810723"/>
      <w:bookmarkStart w:id="36" w:name="_Toc35348629"/>
      <w:r w:rsidRPr="00C9040A">
        <w:rPr>
          <w:rtl/>
          <w:lang w:bidi="fa-IR"/>
        </w:rPr>
        <w:t>8</w:t>
      </w:r>
      <w:r>
        <w:rPr>
          <w:rtl/>
          <w:lang w:bidi="fa-IR"/>
        </w:rPr>
        <w:t xml:space="preserve"> </w:t>
      </w:r>
      <w:r w:rsidR="0084262C">
        <w:rPr>
          <w:rtl/>
          <w:lang w:bidi="fa-IR"/>
        </w:rPr>
        <w:t>-</w:t>
      </w:r>
      <w:r>
        <w:rPr>
          <w:rtl/>
          <w:lang w:bidi="fa-IR"/>
        </w:rPr>
        <w:t xml:space="preserve"> </w:t>
      </w:r>
      <w:r w:rsidRPr="00C9040A">
        <w:rPr>
          <w:rtl/>
          <w:lang w:bidi="fa-IR"/>
        </w:rPr>
        <w:t xml:space="preserve">بَابُ إِذَا أَرَادَ اللهُ عَزَّ وَجَلَّ أَنْ يَخْلُقَ الْمُؤْمِنَ </w:t>
      </w:r>
      <w:r w:rsidR="006C577F" w:rsidRPr="006C577F">
        <w:rPr>
          <w:rStyle w:val="libFootnotenumChar"/>
          <w:rtl/>
        </w:rPr>
        <w:t>(5)</w:t>
      </w:r>
      <w:r w:rsidRPr="00C9040A">
        <w:rPr>
          <w:rtl/>
          <w:lang w:bidi="fa-IR"/>
        </w:rPr>
        <w:t xml:space="preserve"> ‌</w:t>
      </w:r>
      <w:bookmarkEnd w:id="34"/>
      <w:bookmarkEnd w:id="35"/>
      <w:bookmarkEnd w:id="36"/>
    </w:p>
    <w:p w:rsidR="008A74EB" w:rsidRPr="00C9040A" w:rsidRDefault="008A74EB" w:rsidP="008A74EB">
      <w:pPr>
        <w:pStyle w:val="libNormal"/>
        <w:rPr>
          <w:rtl/>
          <w:lang w:bidi="fa-IR"/>
        </w:rPr>
      </w:pPr>
      <w:r w:rsidRPr="00277CB4">
        <w:rPr>
          <w:rtl/>
        </w:rPr>
        <w:t>1473</w:t>
      </w:r>
      <w:r w:rsidRPr="00261CB0">
        <w:rPr>
          <w:rStyle w:val="libBold2Char"/>
          <w:rtl/>
        </w:rPr>
        <w:t xml:space="preserve"> / 1.</w:t>
      </w:r>
      <w:r w:rsidRPr="00C9040A">
        <w:rPr>
          <w:rtl/>
          <w:lang w:bidi="fa-IR"/>
        </w:rPr>
        <w:t xml:space="preserve"> مُحَمَّدُ بْنُ يَحْيى ، عَنْ أَحْمَدَ بْنِ مُحَمَّدٍ ، عَنِ ابْنِ فَضَّالٍ ، عَنْ إِبْرَاهِيمَ بْنِ مُسْلِمٍ الْحُلْوَانِيِّ ، عَنْ أَبِي إِسْمَاعِيلَ الصَّيْقَلِ </w:t>
      </w:r>
      <w:r w:rsidR="006C577F" w:rsidRPr="006C577F">
        <w:rPr>
          <w:rStyle w:val="libFootnotenumChar"/>
          <w:rtl/>
        </w:rPr>
        <w:t>(6)</w:t>
      </w:r>
      <w:r w:rsidRPr="005B567D">
        <w:rPr>
          <w:rStyle w:val="libFootnotenumChar"/>
          <w:rtl/>
        </w:rPr>
        <w:t xml:space="preserve"> </w:t>
      </w:r>
      <w:r w:rsidRPr="00C9040A">
        <w:rPr>
          <w:rtl/>
          <w:lang w:bidi="fa-IR"/>
        </w:rPr>
        <w:t>الرَّازِيِّ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إِنَّ فِي الْجَنَّةِ لَشَجَرَةً </w:t>
      </w:r>
      <w:r w:rsidR="006C577F" w:rsidRPr="006C577F">
        <w:rPr>
          <w:rStyle w:val="libFootnotenumChar"/>
          <w:rtl/>
        </w:rPr>
        <w:t>(7)</w:t>
      </w:r>
      <w:r w:rsidRPr="00C9040A">
        <w:rPr>
          <w:rtl/>
          <w:lang w:bidi="fa-IR"/>
        </w:rPr>
        <w:t xml:space="preserve"> تُسَمَّى الْمُزْنَ </w:t>
      </w:r>
      <w:r w:rsidR="006C577F" w:rsidRPr="006C577F">
        <w:rPr>
          <w:rStyle w:val="libFootnotenumChar"/>
          <w:rtl/>
        </w:rPr>
        <w:t>(8)</w:t>
      </w:r>
      <w:r w:rsidRPr="00C9040A">
        <w:rPr>
          <w:rtl/>
          <w:lang w:bidi="fa-IR"/>
        </w:rPr>
        <w:t xml:space="preserve"> ، فَإِذَا أَرَادَ اللهُ أَنْ‌</w:t>
      </w:r>
    </w:p>
    <w:p w:rsidR="008A74EB" w:rsidRPr="00C9040A" w:rsidRDefault="008A74EB" w:rsidP="008A74EB">
      <w:pPr>
        <w:pStyle w:val="libLine"/>
        <w:rPr>
          <w:rtl/>
          <w:lang w:bidi="fa-IR"/>
        </w:rPr>
      </w:pPr>
      <w:r w:rsidRPr="00C9040A">
        <w:rPr>
          <w:rtl/>
          <w:lang w:bidi="fa-IR"/>
        </w:rPr>
        <w:t>__________________</w:t>
      </w:r>
    </w:p>
    <w:p w:rsidR="008A74EB" w:rsidRPr="00C9040A" w:rsidRDefault="00224D00" w:rsidP="004A4E41">
      <w:pPr>
        <w:pStyle w:val="libFootnote0"/>
        <w:rPr>
          <w:rtl/>
          <w:lang w:bidi="fa-IR"/>
        </w:rPr>
      </w:pPr>
      <w:r w:rsidRPr="00323A39">
        <w:rPr>
          <w:rFonts w:hint="cs"/>
          <w:rtl/>
        </w:rPr>
        <w:t xml:space="preserve">= </w:t>
      </w:r>
      <w:r w:rsidRPr="00323A39">
        <w:rPr>
          <w:rtl/>
        </w:rPr>
        <w:t>ونقله العل</w:t>
      </w:r>
      <w:r w:rsidRPr="00323A39">
        <w:rPr>
          <w:rFonts w:hint="cs"/>
          <w:rtl/>
        </w:rPr>
        <w:t>ّ</w:t>
      </w:r>
      <w:r w:rsidRPr="00323A39">
        <w:rPr>
          <w:rtl/>
        </w:rPr>
        <w:t>ا</w:t>
      </w:r>
      <w:r w:rsidR="008A74EB" w:rsidRPr="00323A39">
        <w:rPr>
          <w:rtl/>
        </w:rPr>
        <w:t xml:space="preserve">مة المجلسي في </w:t>
      </w:r>
      <w:r w:rsidR="008A74EB" w:rsidRPr="00993B55">
        <w:rPr>
          <w:rStyle w:val="libFootnoteBoldChar"/>
          <w:rtl/>
        </w:rPr>
        <w:t>مرآة العقول</w:t>
      </w:r>
      <w:r w:rsidR="008A74EB" w:rsidRPr="00323A39">
        <w:rPr>
          <w:rtl/>
        </w:rPr>
        <w:t xml:space="preserve"> ، ج 7 ، ص 65 ، ثمّ قال : « وأقول : هذا الخبر وما تقدّم</w:t>
      </w:r>
      <w:r w:rsidRPr="00323A39">
        <w:rPr>
          <w:rtl/>
        </w:rPr>
        <w:t xml:space="preserve"> في باب كراهية التوقيت يدل</w:t>
      </w:r>
      <w:r w:rsidRPr="00323A39">
        <w:rPr>
          <w:rFonts w:hint="cs"/>
          <w:rtl/>
        </w:rPr>
        <w:t>ّ</w:t>
      </w:r>
      <w:r w:rsidRPr="00323A39">
        <w:rPr>
          <w:rtl/>
        </w:rPr>
        <w:t>ا</w:t>
      </w:r>
      <w:r w:rsidR="008A74EB" w:rsidRPr="00323A39">
        <w:rPr>
          <w:rtl/>
        </w:rPr>
        <w:t xml:space="preserve">ن على أنّ يقطين لم يكن مشكوراً وكان منحرفاً عن هذه الناحية ، وهذا الخبر يدلّ على أنّ الصادق </w:t>
      </w:r>
      <w:r w:rsidR="00117575" w:rsidRPr="00117575">
        <w:rPr>
          <w:rStyle w:val="libFootnoteAlaemChar"/>
          <w:rtl/>
        </w:rPr>
        <w:t>عليه‌السلام</w:t>
      </w:r>
      <w:r w:rsidR="008A74EB" w:rsidRPr="00323A39">
        <w:rPr>
          <w:rtl/>
        </w:rPr>
        <w:t xml:space="preserve"> كان دعا على يقطين وولده ولعنهم ، وكان عليّ مشفقاً خائفاً من أن يصيبه أثر تلك الدعوة واللعنة ، فأجاب </w:t>
      </w:r>
      <w:r w:rsidR="00117575" w:rsidRPr="00117575">
        <w:rPr>
          <w:rStyle w:val="libFootnoteAlaemChar"/>
          <w:rtl/>
        </w:rPr>
        <w:t>عليه‌السلام</w:t>
      </w:r>
      <w:r w:rsidR="008A74EB" w:rsidRPr="00323A39">
        <w:rPr>
          <w:rtl/>
        </w:rPr>
        <w:t xml:space="preserve"> بأنّ اللعنة وسائر الشرار لاتصيب المؤمن الذي في صلب الكافر ، وشبّه ذلك بالحصاة في اللبنة ؛ فإنّه لايضرّ الحصاة ما تقع على اللبنة من المطر وغيره ، فعلى هذا شبّه </w:t>
      </w:r>
      <w:r w:rsidR="00117575" w:rsidRPr="00117575">
        <w:rPr>
          <w:rStyle w:val="libFootnoteAlaemChar"/>
          <w:rtl/>
        </w:rPr>
        <w:t>عليه‌السلام</w:t>
      </w:r>
      <w:r w:rsidR="008A74EB" w:rsidRPr="00323A39">
        <w:rPr>
          <w:rtl/>
        </w:rPr>
        <w:t xml:space="preserve"> اللعنة بالمطر ؛ لأنّ المطر يفتّت اللبنة ويفرّقها ويبطلها ، فكذا اللعنة تبطل من تصيبه وتفتّته وتفرّقه.</w:t>
      </w:r>
    </w:p>
    <w:p w:rsidR="008A74EB" w:rsidRPr="00C9040A" w:rsidRDefault="008A74EB" w:rsidP="004A4E41">
      <w:pPr>
        <w:pStyle w:val="libFootnote0"/>
        <w:rPr>
          <w:rtl/>
          <w:lang w:bidi="fa-IR"/>
        </w:rPr>
      </w:pPr>
      <w:r w:rsidRPr="00323A39">
        <w:rPr>
          <w:rtl/>
        </w:rPr>
        <w:t xml:space="preserve">ويحتمل أن يكون شبّه </w:t>
      </w:r>
      <w:r w:rsidR="00117575" w:rsidRPr="00117575">
        <w:rPr>
          <w:rStyle w:val="libFootnoteAlaemChar"/>
          <w:rtl/>
        </w:rPr>
        <w:t>عليه‌السلام</w:t>
      </w:r>
      <w:r w:rsidRPr="00323A39">
        <w:rPr>
          <w:rtl/>
        </w:rPr>
        <w:t xml:space="preserve"> الرحمة والألطاف التي تشمل من الله تعالى المؤمن بالمطر ، ويكون الغرض أنّ ألطافه سبحانه ورحماته التي تحفظ طينة المؤمن تغسله وتطهّره من لوث الكفر وما يلزمه وما يتبعه من اللعنات والعقوبات ، كما يغسل المطر لوث الطين من الحصاة ، ولعلّه أظهر.</w:t>
      </w:r>
    </w:p>
    <w:p w:rsidR="008A74EB" w:rsidRPr="00C9040A" w:rsidRDefault="008A74EB" w:rsidP="004A4E41">
      <w:pPr>
        <w:pStyle w:val="libFootnote0"/>
        <w:rPr>
          <w:rtl/>
          <w:lang w:bidi="fa-IR"/>
        </w:rPr>
      </w:pPr>
      <w:r w:rsidRPr="00323A39">
        <w:rPr>
          <w:rtl/>
        </w:rPr>
        <w:t xml:space="preserve">وحاصل الكلام على الوجهين أنّ دعاءه </w:t>
      </w:r>
      <w:r w:rsidR="00117575" w:rsidRPr="00117575">
        <w:rPr>
          <w:rStyle w:val="libFootnoteAlaemChar"/>
          <w:rtl/>
        </w:rPr>
        <w:t>عليه‌السلام</w:t>
      </w:r>
      <w:r w:rsidRPr="00323A39">
        <w:rPr>
          <w:rtl/>
        </w:rPr>
        <w:t xml:space="preserve"> كان مشروطاً بعدم إيمانهم ولم يكن مطلقاً ، وكان غرضه </w:t>
      </w:r>
      <w:r w:rsidR="00117575" w:rsidRPr="00117575">
        <w:rPr>
          <w:rStyle w:val="libFootnoteAlaemChar"/>
          <w:rtl/>
        </w:rPr>
        <w:t>عليه‌السلام</w:t>
      </w:r>
      <w:r w:rsidRPr="00323A39">
        <w:rPr>
          <w:rtl/>
        </w:rPr>
        <w:t xml:space="preserve"> اللعن على من يشبهه من أولاده ».</w:t>
      </w:r>
      <w:r w:rsidR="00E6747A" w:rsidRPr="00323A39">
        <w:rPr>
          <w:rFonts w:hint="cs"/>
          <w:rtl/>
        </w:rPr>
        <w:t xml:space="preserve">                                     </w:t>
      </w:r>
      <w:r w:rsidR="006C577F">
        <w:rPr>
          <w:rtl/>
        </w:rPr>
        <w:t>(1).</w:t>
      </w:r>
      <w:r w:rsidRPr="00C9040A">
        <w:rPr>
          <w:rtl/>
        </w:rPr>
        <w:t xml:space="preserve"> « في « </w:t>
      </w:r>
      <w:r w:rsidR="006D3162">
        <w:rPr>
          <w:rtl/>
        </w:rPr>
        <w:t xml:space="preserve">ه </w:t>
      </w:r>
      <w:r w:rsidRPr="00C9040A">
        <w:rPr>
          <w:rtl/>
        </w:rPr>
        <w:t>» : « ذهبت »</w:t>
      </w:r>
      <w:r>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البحار : « فلا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w:t>
      </w:r>
      <w:r w:rsidR="008A74EB" w:rsidRPr="00993B55">
        <w:rPr>
          <w:rStyle w:val="libFootnoteBoldChar"/>
          <w:rtl/>
        </w:rPr>
        <w:t>مرآة العقول</w:t>
      </w:r>
      <w:r w:rsidR="008A74EB" w:rsidRPr="00C9040A">
        <w:rPr>
          <w:rtl/>
        </w:rPr>
        <w:t xml:space="preserve"> : « قوله : شيئاً ، أي من الضرر. وفي بعض النسخ : شي‌ءٌ </w:t>
      </w:r>
      <w:r w:rsidR="00E6747A">
        <w:rPr>
          <w:rtl/>
        </w:rPr>
        <w:t>، أي من الآفات واللعنات والشرور</w:t>
      </w:r>
      <w:r w:rsidR="008A74EB" w:rsidRPr="00C9040A">
        <w:rPr>
          <w:rtl/>
        </w:rPr>
        <w:t>»</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الوافي</w:t>
      </w:r>
      <w:r w:rsidR="008A74EB" w:rsidRPr="00C9040A">
        <w:rPr>
          <w:rtl/>
        </w:rPr>
        <w:t xml:space="preserve"> ، ج 4 ، ص 70 ، ح 1675 ؛ </w:t>
      </w:r>
      <w:r w:rsidR="008A74EB" w:rsidRPr="00993B55">
        <w:rPr>
          <w:rStyle w:val="libFootnoteBoldChar"/>
          <w:rtl/>
        </w:rPr>
        <w:t>البحار</w:t>
      </w:r>
      <w:r w:rsidR="008A74EB" w:rsidRPr="00C9040A">
        <w:rPr>
          <w:rtl/>
        </w:rPr>
        <w:t xml:space="preserve"> ، ج 48 ، ص 158 ، ح 30.</w:t>
      </w:r>
    </w:p>
    <w:p w:rsidR="008A74EB" w:rsidRPr="004A4E41" w:rsidRDefault="006C577F" w:rsidP="004A4E41">
      <w:pPr>
        <w:pStyle w:val="libFootnote0"/>
        <w:rPr>
          <w:rStyle w:val="libFootnote0Char"/>
          <w:rtl/>
        </w:rPr>
      </w:pPr>
      <w:r>
        <w:rPr>
          <w:rtl/>
        </w:rPr>
        <w:t>(5).</w:t>
      </w:r>
      <w:r w:rsidR="008A74EB" w:rsidRPr="00C9040A">
        <w:rPr>
          <w:rtl/>
        </w:rPr>
        <w:t xml:space="preserve"> في هامش المطبوع عن بعض النسخ : « باب كيفيّة خلق المؤمن »</w:t>
      </w:r>
      <w:r w:rsidR="008A74EB">
        <w:rPr>
          <w:rtl/>
        </w:rPr>
        <w:t>.</w:t>
      </w:r>
    </w:p>
    <w:tbl>
      <w:tblPr>
        <w:tblStyle w:val="TableGrid"/>
        <w:bidiVisual/>
        <w:tblW w:w="0" w:type="auto"/>
        <w:tblLook w:val="04A0" w:firstRow="1" w:lastRow="0" w:firstColumn="1" w:lastColumn="0" w:noHBand="0" w:noVBand="1"/>
      </w:tblPr>
      <w:tblGrid>
        <w:gridCol w:w="4006"/>
        <w:gridCol w:w="4006"/>
      </w:tblGrid>
      <w:tr w:rsidR="00E6747A" w:rsidTr="00E6747A">
        <w:tc>
          <w:tcPr>
            <w:tcW w:w="4006" w:type="dxa"/>
          </w:tcPr>
          <w:p w:rsidR="00E6747A" w:rsidRDefault="00E6747A" w:rsidP="004A4E41">
            <w:pPr>
              <w:pStyle w:val="libFootnote0"/>
              <w:rPr>
                <w:rtl/>
              </w:rPr>
            </w:pPr>
            <w:r>
              <w:rPr>
                <w:rtl/>
              </w:rPr>
              <w:t xml:space="preserve">(6). </w:t>
            </w:r>
            <w:r w:rsidRPr="00C9040A">
              <w:rPr>
                <w:rtl/>
              </w:rPr>
              <w:t>في الوافي : « الصيقلي »</w:t>
            </w:r>
            <w:r>
              <w:rPr>
                <w:rtl/>
              </w:rPr>
              <w:t>.</w:t>
            </w:r>
          </w:p>
        </w:tc>
        <w:tc>
          <w:tcPr>
            <w:tcW w:w="4006" w:type="dxa"/>
          </w:tcPr>
          <w:p w:rsidR="00E6747A" w:rsidRDefault="00E6747A" w:rsidP="004A4E41">
            <w:pPr>
              <w:pStyle w:val="libFootnote0"/>
              <w:rPr>
                <w:rtl/>
              </w:rPr>
            </w:pPr>
            <w:r>
              <w:rPr>
                <w:rtl/>
              </w:rPr>
              <w:t>(7).</w:t>
            </w:r>
            <w:r w:rsidRPr="00C9040A">
              <w:rPr>
                <w:rtl/>
              </w:rPr>
              <w:t xml:space="preserve"> في البحار ، ج 60 : « لثمرة »</w:t>
            </w:r>
            <w:r>
              <w:rPr>
                <w:rtl/>
              </w:rPr>
              <w:t>.</w:t>
            </w:r>
          </w:p>
        </w:tc>
      </w:tr>
    </w:tbl>
    <w:p w:rsidR="008A74EB" w:rsidRDefault="006C577F" w:rsidP="004A4E41">
      <w:pPr>
        <w:pStyle w:val="libFootnote0"/>
        <w:rPr>
          <w:rtl/>
          <w:lang w:bidi="fa-IR"/>
        </w:rPr>
      </w:pPr>
      <w:r>
        <w:rPr>
          <w:rtl/>
        </w:rPr>
        <w:t>(8).</w:t>
      </w:r>
      <w:r w:rsidR="008A74EB" w:rsidRPr="00C9040A">
        <w:rPr>
          <w:rtl/>
        </w:rPr>
        <w:t xml:space="preserve"> في </w:t>
      </w:r>
      <w:r w:rsidR="008A74EB" w:rsidRPr="00993B55">
        <w:rPr>
          <w:rStyle w:val="libFootnoteBoldChar"/>
          <w:rtl/>
        </w:rPr>
        <w:t>الوافي</w:t>
      </w:r>
      <w:r w:rsidR="008A74EB" w:rsidRPr="00C9040A">
        <w:rPr>
          <w:rtl/>
        </w:rPr>
        <w:t xml:space="preserve"> : « قد مضى ما يصلح لأن يكون شرحاً وبياناً ما لهذا الحديث ، والجنّة تشمل جنان الجبروت والملكوت. والمزن : السحاب ، وهو أيضاً يعمّ سحاب ماء الرحمة والجود والكرم ، وسحاب ماء المطر والخصب والديم. وكما أنّ لكلّ قطرة من ماء المطر صورة وسحاباً انفصلت منه في عالم الملك ، كذلك له </w:t>
      </w:r>
      <w:r w:rsidR="00E6747A">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Line"/>
        <w:rPr>
          <w:rtl/>
          <w:lang w:bidi="fa-IR"/>
        </w:rPr>
      </w:pPr>
      <w:r w:rsidRPr="00C9040A">
        <w:rPr>
          <w:rtl/>
          <w:lang w:bidi="fa-IR"/>
        </w:rPr>
        <w:lastRenderedPageBreak/>
        <w:t>__________________</w:t>
      </w:r>
    </w:p>
    <w:p w:rsidR="008A74EB" w:rsidRPr="00C9040A" w:rsidRDefault="00E6747A" w:rsidP="004A4E41">
      <w:pPr>
        <w:pStyle w:val="libFootnote0"/>
        <w:rPr>
          <w:rtl/>
          <w:lang w:bidi="fa-IR"/>
        </w:rPr>
      </w:pPr>
      <w:r>
        <w:rPr>
          <w:rFonts w:hint="cs"/>
          <w:rtl/>
        </w:rPr>
        <w:t>=</w:t>
      </w:r>
      <w:r w:rsidR="00B866D3">
        <w:rPr>
          <w:rFonts w:hint="cs"/>
          <w:rtl/>
        </w:rPr>
        <w:t xml:space="preserve"> </w:t>
      </w:r>
      <w:r w:rsidR="008A74EB" w:rsidRPr="00C9040A">
        <w:rPr>
          <w:rtl/>
        </w:rPr>
        <w:t>صورة وسحاب انفصلت منه في عالمي الملكوت والجبروت. وكما أنّ البقلة والثمرة تتربّى بصورتها الملكيّة ، كذلك تتربّى بصورتها الملكوتيّة والجبروتيّة المخلوقتين من ذكر الله تعالى اللتين من شجرة المزن الجناني. وكما أنّهما تتربّيان بها قبل الأكل ، كذلك تتربّيان بها بعد الأكل في بدن الآكل ؛ فإنّها ما لم تستحلّ إلى صورة العضو فهي بعد في التربية.</w:t>
      </w:r>
    </w:p>
    <w:p w:rsidR="008A74EB" w:rsidRPr="00C9040A" w:rsidRDefault="008A74EB" w:rsidP="004A4E41">
      <w:pPr>
        <w:pStyle w:val="libFootnote0"/>
        <w:rPr>
          <w:rtl/>
          <w:lang w:bidi="fa-IR"/>
        </w:rPr>
      </w:pPr>
      <w:r w:rsidRPr="0082575F">
        <w:rPr>
          <w:rtl/>
        </w:rPr>
        <w:t>فالإنسان إذا أكل بقلة أو ثمرة وذكر الله عزّوجلّ عندها ، وشكر الله تعالى عليها وصرف قوّتها في طاعة الله سبحانه والأفكار الإيمانيّة والخيالات الروحانيّة ، فقد تربّت تلك البقلة أو الثمرة في جسده بماء المزن الجناني ، فإذا فضلت من مادّتها فضلة منويّة فهي من شجرة المزن التي أصلها في الجنّة ، وإذا أكلها على غفلة من الله سبحانه ، ولم يشكر الله عليها ، وصرف قوّتها في معصية الله تعالى والأفكار المموّهة الدنيويّة والخيالات الشهوانيّة ، فقد تربّت تلك البقلة أو الثمرة في جسده بم</w:t>
      </w:r>
      <w:r w:rsidR="00EC3136">
        <w:rPr>
          <w:rtl/>
        </w:rPr>
        <w:t>اء آخر غير صالح لخلق المؤمن إل</w:t>
      </w:r>
      <w:r w:rsidR="00EC3136">
        <w:rPr>
          <w:rFonts w:hint="cs"/>
          <w:rtl/>
        </w:rPr>
        <w:t>ّ</w:t>
      </w:r>
      <w:r w:rsidR="00EC3136">
        <w:rPr>
          <w:rtl/>
        </w:rPr>
        <w:t>ا</w:t>
      </w:r>
      <w:r>
        <w:rPr>
          <w:rFonts w:hint="cs"/>
          <w:rtl/>
        </w:rPr>
        <w:t xml:space="preserve"> </w:t>
      </w:r>
      <w:r w:rsidRPr="0082575F">
        <w:rPr>
          <w:rtl/>
        </w:rPr>
        <w:t>أن يكون قد تحقّق تربيتها بماء المزن الجنانيّ قبل الأكل. وأمّا مأكولة الكافر التي يخلق منها المؤمن فإنّما يتحقّق تربيتها بذلك الماء قبل أكله لها غالباً ، ولذكر الله عند زرعها أو غرسها مدخل في تلك التربية ، وكذلك لحلّ ثمنها وتقوّي زارعها أو غارسها ، إلى غير ذلك من الأسباب »</w:t>
      </w:r>
      <w:r>
        <w:rPr>
          <w:rtl/>
        </w:rPr>
        <w:t>.</w:t>
      </w:r>
    </w:p>
    <w:p w:rsidR="008A74EB" w:rsidRPr="00C9040A" w:rsidRDefault="008A74EB" w:rsidP="004A4E41">
      <w:pPr>
        <w:pStyle w:val="libFootnote0"/>
        <w:rPr>
          <w:rtl/>
          <w:lang w:bidi="fa-IR"/>
        </w:rPr>
      </w:pPr>
      <w:r w:rsidRPr="00323A39">
        <w:rPr>
          <w:rtl/>
        </w:rPr>
        <w:t xml:space="preserve">والمحقّق الشعراني بيّن في هامش </w:t>
      </w:r>
      <w:r w:rsidRPr="00993B55">
        <w:rPr>
          <w:rStyle w:val="libFootnoteBoldChar"/>
          <w:rtl/>
        </w:rPr>
        <w:t>شرح المازندراني</w:t>
      </w:r>
      <w:r w:rsidRPr="00323A39">
        <w:rPr>
          <w:rtl/>
        </w:rPr>
        <w:t xml:space="preserve"> ، ج 8 ، ص 41 أنّ في عبارة </w:t>
      </w:r>
      <w:r w:rsidRPr="00EC3136">
        <w:rPr>
          <w:rStyle w:val="libFootnoteBoldChar"/>
          <w:rtl/>
        </w:rPr>
        <w:t>الوافي</w:t>
      </w:r>
      <w:r w:rsidRPr="00323A39">
        <w:rPr>
          <w:rtl/>
        </w:rPr>
        <w:t xml:space="preserve"> تحقيقات شريفة تليق بأن يتعمّق فيها ، ثمّ قال كلاماً هو كالشرح لها وهو قوله : « والذي يستفاد من هذا الحديث وأمثاله أنّ الجنّة كما هي معاد وعلّة غائيّة لأعمال الصالحين ، كذلك لها مبدئيّة ودخل في علّيّتها الفاعليّة بنحو من الأنحاء ؛ إذ لماء هذا المزن تأثير في تربية الصالحين ، وهذا لايوجب الجبر ، كما مرّ ، وبهذا يعرف معنى وجود الأرواح قبل الأجساد ؛ لأنّ الروح قد يطلق على النفوس المنطبعة الحادثة بعد حصول المزاج الخاصّ واستعداد البدن بأن تصير النطفة علقة والعلقة مضغة إلى أن تصير قابلة لأن ينشئها الله خلقاً آخر ، فيحدث هذه النفس بعد حصول الاستعداد ولم تكن قبل ذلك ، ثمّ تتقلّب النفس في مراتبها حتّى إذا تجرّدت بالفعل وصارت عقلاً ، وهو العقل الحادث بعد النفس وبعد تركيب المزاج ، وليس هو بقيد الحدوث قبل البدن ، والموجود قبله هو عل</w:t>
      </w:r>
      <w:r w:rsidR="00EC3136">
        <w:rPr>
          <w:rtl/>
        </w:rPr>
        <w:t>ّته المفيضة ، ولم</w:t>
      </w:r>
      <w:r w:rsidR="00EC3136">
        <w:rPr>
          <w:rFonts w:hint="cs"/>
          <w:rtl/>
        </w:rPr>
        <w:t>ـّ</w:t>
      </w:r>
      <w:r w:rsidRPr="00323A39">
        <w:rPr>
          <w:rtl/>
        </w:rPr>
        <w:t>ا لم تكن العلّة شيئاً مبايناً في عرض المعلول نظير المعدّات ، كالأب بالنسبة إلى الابن ، بل هي أصل المعلول ومقوّمه والقائم عليه ، فإذا كانت العلّة موجودة ، كان المعلول موجوداً حقيقة وعرفاً.</w:t>
      </w:r>
    </w:p>
    <w:p w:rsidR="008A74EB" w:rsidRPr="00C9040A" w:rsidRDefault="008A74EB" w:rsidP="004A4E41">
      <w:pPr>
        <w:pStyle w:val="libFootnote0"/>
        <w:rPr>
          <w:rtl/>
          <w:lang w:bidi="fa-IR"/>
        </w:rPr>
      </w:pPr>
      <w:r w:rsidRPr="0082575F">
        <w:rPr>
          <w:rtl/>
        </w:rPr>
        <w:t>ألا ترى أنّه يسمّى صاحب ملكة العلم القادر على تفصيل المسائل عالماً بها ؛ لاندارجها في الملكة ، ولقدرة العالم على استخراجها كلّما أراد ، كذلك المزن الذي يتقاطر منه الملكات على نفوس الصالحين وتربّيها ، يندرج فيه جميع تلك النفوس بتفاصيلها اندراجاً إجماليّاً ، وإنّما تفصّل منه بوجودها الدنيوي ليحصل لها بالفعل ما كان كامناً بالقوّة ، ولو كانت النفوس على كما لها منفصلة عن علّتها موجودة بالفعل لم يكن حاجة إلى إرسالها إلى الدنيا وإنّما الدنيا مزرعة الآخرة.</w:t>
      </w:r>
    </w:p>
    <w:p w:rsidR="008A74EB" w:rsidRPr="00145BEA" w:rsidRDefault="008A74EB" w:rsidP="004A4E41">
      <w:pPr>
        <w:pStyle w:val="libFootnote0"/>
        <w:rPr>
          <w:rtl/>
        </w:rPr>
      </w:pPr>
      <w:r w:rsidRPr="00145BEA">
        <w:rPr>
          <w:rtl/>
        </w:rPr>
        <w:t xml:space="preserve">وبالجملة كلّ ما في هذا العالم عكس من موجود مثالي أو عقليّ قبله ينطبع على الموادّ مطابقاً لمثاله أو ظلّه </w:t>
      </w:r>
      <w:r w:rsidR="00EC3136">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EC3136">
      <w:pPr>
        <w:pStyle w:val="libNormal0"/>
        <w:rPr>
          <w:rtl/>
          <w:lang w:bidi="fa-IR"/>
        </w:rPr>
      </w:pPr>
      <w:r w:rsidRPr="00C9040A">
        <w:rPr>
          <w:rtl/>
          <w:lang w:bidi="fa-IR"/>
        </w:rPr>
        <w:lastRenderedPageBreak/>
        <w:t xml:space="preserve">يَخْلُقَ مُؤْمِناً </w:t>
      </w:r>
      <w:r w:rsidR="006C577F" w:rsidRPr="006C577F">
        <w:rPr>
          <w:rStyle w:val="libFootnotenumChar"/>
          <w:rtl/>
        </w:rPr>
        <w:t>(1)</w:t>
      </w:r>
      <w:r w:rsidRPr="00C9040A">
        <w:rPr>
          <w:rtl/>
          <w:lang w:bidi="fa-IR"/>
        </w:rPr>
        <w:t>، أَقْطَرَ مِنْهَا قَطْرَةً ، فَلَا تُصِيبُ بَقْلَةً وَلَا ثَمَرَةً أَكَلَ مِنْ</w:t>
      </w:r>
      <w:r w:rsidR="001E2A42">
        <w:rPr>
          <w:rtl/>
          <w:lang w:bidi="fa-IR"/>
        </w:rPr>
        <w:t>هَا مُؤْمِنٌ أَوْ كَافِرٌ إِل</w:t>
      </w:r>
      <w:r w:rsidR="001E2A42">
        <w:rPr>
          <w:rFonts w:hint="cs"/>
          <w:rtl/>
          <w:lang w:bidi="fa-IR"/>
        </w:rPr>
        <w:t>َّ</w:t>
      </w:r>
      <w:r w:rsidR="001E2A42">
        <w:rPr>
          <w:rtl/>
          <w:lang w:bidi="fa-IR"/>
        </w:rPr>
        <w:t>ا</w:t>
      </w:r>
      <w:r w:rsidRPr="00C9040A">
        <w:rPr>
          <w:rtl/>
          <w:lang w:bidi="fa-IR"/>
        </w:rPr>
        <w:t xml:space="preserve"> أَخْرَجَ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مِنْ صُلْبِهِ مُؤْمِناً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Heading2Center"/>
        <w:rPr>
          <w:rtl/>
          <w:lang w:bidi="fa-IR"/>
        </w:rPr>
      </w:pPr>
      <w:bookmarkStart w:id="37" w:name="_Toc343795600"/>
      <w:bookmarkStart w:id="38" w:name="_Toc459810724"/>
      <w:bookmarkStart w:id="39" w:name="_Toc35348630"/>
      <w:r w:rsidRPr="00C9040A">
        <w:rPr>
          <w:rtl/>
          <w:lang w:bidi="fa-IR"/>
        </w:rPr>
        <w:t>9</w:t>
      </w:r>
      <w:r>
        <w:rPr>
          <w:rtl/>
          <w:lang w:bidi="fa-IR"/>
        </w:rPr>
        <w:t xml:space="preserve"> </w:t>
      </w:r>
      <w:r w:rsidR="0084262C">
        <w:rPr>
          <w:rtl/>
          <w:lang w:bidi="fa-IR"/>
        </w:rPr>
        <w:t>-</w:t>
      </w:r>
      <w:r>
        <w:rPr>
          <w:rtl/>
          <w:lang w:bidi="fa-IR"/>
        </w:rPr>
        <w:t xml:space="preserve"> </w:t>
      </w:r>
      <w:r w:rsidRPr="00C9040A">
        <w:rPr>
          <w:rtl/>
          <w:lang w:bidi="fa-IR"/>
        </w:rPr>
        <w:t xml:space="preserve">بَابٌ فِي </w:t>
      </w:r>
      <w:r w:rsidR="006C577F" w:rsidRPr="006C577F">
        <w:rPr>
          <w:rStyle w:val="libFootnotenumChar"/>
          <w:rtl/>
        </w:rPr>
        <w:t>(3)</w:t>
      </w:r>
      <w:r>
        <w:rPr>
          <w:rtl/>
        </w:rPr>
        <w:t xml:space="preserve"> </w:t>
      </w:r>
      <w:r w:rsidRPr="00C9040A">
        <w:rPr>
          <w:rtl/>
          <w:lang w:bidi="fa-IR"/>
        </w:rPr>
        <w:t>أَنَّ الصِّبْغَةَ هِيَ الْإِسْلَامُ‌</w:t>
      </w:r>
      <w:bookmarkEnd w:id="37"/>
      <w:bookmarkEnd w:id="38"/>
      <w:bookmarkEnd w:id="39"/>
    </w:p>
    <w:p w:rsidR="001E2A42" w:rsidRDefault="008A74EB" w:rsidP="008A74EB">
      <w:pPr>
        <w:pStyle w:val="libNormal"/>
        <w:rPr>
          <w:rtl/>
          <w:lang w:bidi="fa-IR"/>
        </w:rPr>
      </w:pPr>
      <w:r w:rsidRPr="00277CB4">
        <w:rPr>
          <w:rtl/>
        </w:rPr>
        <w:t>1474</w:t>
      </w:r>
      <w:r w:rsidRPr="00261CB0">
        <w:rPr>
          <w:rStyle w:val="libBold2Char"/>
          <w:rtl/>
        </w:rPr>
        <w:t xml:space="preserve"> / 1.</w:t>
      </w:r>
      <w:r w:rsidRPr="00C9040A">
        <w:rPr>
          <w:rtl/>
          <w:lang w:bidi="fa-IR"/>
        </w:rPr>
        <w:t xml:space="preserve"> عَلِيُّ بْنُ إِبْرَاهِيمَ ، عَنْ أَبِيهِ ؛ </w:t>
      </w:r>
    </w:p>
    <w:p w:rsidR="008A74EB" w:rsidRPr="00C9040A" w:rsidRDefault="001E2A42" w:rsidP="008A74EB">
      <w:pPr>
        <w:pStyle w:val="libNormal"/>
        <w:rPr>
          <w:rtl/>
          <w:lang w:bidi="fa-IR"/>
        </w:rPr>
      </w:pPr>
      <w:r>
        <w:rPr>
          <w:rFonts w:hint="cs"/>
          <w:rtl/>
          <w:lang w:bidi="fa-IR"/>
        </w:rPr>
        <w:t xml:space="preserve">              </w:t>
      </w:r>
      <w:r w:rsidR="008A74EB" w:rsidRPr="00C9040A">
        <w:rPr>
          <w:rtl/>
          <w:lang w:bidi="fa-IR"/>
        </w:rPr>
        <w:t>وَمُحَمَّدُ بْنُ يَحْيى ، عَنْ أَحْمَدَ بْنِ مُحَمَّدٍ جَمِيعاً ، عَنِ ابْنِ مَحْبُوبٍ ، عَنْ عَبْدِ اللهِ بْنِ سِنَانٍ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فِي قَوْلِ اللهِ عَزَّ وَجَلَّ : </w:t>
      </w:r>
      <w:r w:rsidRPr="0003660B">
        <w:rPr>
          <w:rStyle w:val="libAlaemChar"/>
          <w:rtl/>
        </w:rPr>
        <w:t>(</w:t>
      </w:r>
      <w:r w:rsidRPr="006A2246">
        <w:rPr>
          <w:rStyle w:val="libAieChar"/>
          <w:rtl/>
        </w:rPr>
        <w:t xml:space="preserve"> صِبْغَةَ اللهِ وَمَنْ أَحْسَنُ مِنَ اللهِ صِبْغَةً </w:t>
      </w:r>
      <w:r w:rsidRPr="0003660B">
        <w:rPr>
          <w:rStyle w:val="libAlaemChar"/>
          <w:rtl/>
        </w:rPr>
        <w:t>)</w:t>
      </w:r>
      <w:r w:rsidRPr="00C9040A">
        <w:rPr>
          <w:rtl/>
          <w:lang w:bidi="fa-IR"/>
        </w:rPr>
        <w:t xml:space="preserve"> </w:t>
      </w:r>
      <w:r w:rsidR="006C577F" w:rsidRPr="006C577F">
        <w:rPr>
          <w:rStyle w:val="libFootnotenumChar"/>
          <w:rtl/>
        </w:rPr>
        <w:t>(4)</w:t>
      </w:r>
      <w:r w:rsidRPr="00C9040A">
        <w:rPr>
          <w:rtl/>
          <w:lang w:bidi="fa-IR"/>
        </w:rPr>
        <w:t xml:space="preserve"> قَالَ : « الْإِسْلَامُ »</w:t>
      </w:r>
      <w:r>
        <w:rPr>
          <w:rtl/>
          <w:lang w:bidi="fa-IR"/>
        </w:rPr>
        <w:t>.</w:t>
      </w:r>
    </w:p>
    <w:p w:rsidR="008A74EB" w:rsidRPr="00C9040A" w:rsidRDefault="008A74EB" w:rsidP="008A74EB">
      <w:pPr>
        <w:pStyle w:val="libNormal"/>
        <w:rPr>
          <w:rtl/>
          <w:lang w:bidi="fa-IR"/>
        </w:rPr>
      </w:pPr>
      <w:r w:rsidRPr="00C9040A">
        <w:rPr>
          <w:rtl/>
          <w:lang w:bidi="fa-IR"/>
        </w:rPr>
        <w:t xml:space="preserve">وَقَالَ فِي قَوْلِهِ عَزَّ وَجَلَّ : </w:t>
      </w:r>
      <w:r w:rsidRPr="0003660B">
        <w:rPr>
          <w:rStyle w:val="libAlaemChar"/>
          <w:rtl/>
        </w:rPr>
        <w:t>(</w:t>
      </w:r>
      <w:r w:rsidRPr="006A2246">
        <w:rPr>
          <w:rStyle w:val="libAieChar"/>
          <w:rtl/>
        </w:rPr>
        <w:t xml:space="preserve"> فَقَدِ اسْتَمْسَكَ بِالْعُرْوَةِ الْوُثْقى </w:t>
      </w:r>
      <w:r w:rsidRPr="0003660B">
        <w:rPr>
          <w:rStyle w:val="libAlaemChar"/>
          <w:rtl/>
        </w:rPr>
        <w:t>)</w:t>
      </w:r>
      <w:r w:rsidRPr="00C9040A">
        <w:rPr>
          <w:rtl/>
          <w:lang w:bidi="fa-IR"/>
        </w:rPr>
        <w:t xml:space="preserve"> </w:t>
      </w:r>
      <w:r w:rsidR="006C577F" w:rsidRPr="006C577F">
        <w:rPr>
          <w:rStyle w:val="libFootnotenumChar"/>
          <w:rtl/>
        </w:rPr>
        <w:t>(5)</w:t>
      </w:r>
      <w:r w:rsidRPr="00C9040A">
        <w:rPr>
          <w:rtl/>
          <w:lang w:bidi="fa-IR"/>
        </w:rPr>
        <w:t xml:space="preserve"> قَالَ : « هِيَ الْإِيمَانُ بِاللهِ وَحْدَهُ لَاشَرِيكَ لَهُ »</w:t>
      </w:r>
      <w:r>
        <w:rPr>
          <w:rtl/>
          <w:lang w:bidi="fa-IR"/>
        </w:rPr>
        <w:t>.</w:t>
      </w:r>
      <w:r w:rsidRPr="00C9040A">
        <w:rPr>
          <w:rtl/>
          <w:lang w:bidi="fa-IR"/>
        </w:rPr>
        <w:t xml:space="preserve"> </w:t>
      </w:r>
      <w:r w:rsidR="006C577F" w:rsidRPr="006C577F">
        <w:rPr>
          <w:rStyle w:val="libFootnotenumChar"/>
          <w:rtl/>
        </w:rPr>
        <w:t>(6)</w:t>
      </w:r>
    </w:p>
    <w:p w:rsidR="008A74EB" w:rsidRPr="00C9040A" w:rsidRDefault="008A74EB" w:rsidP="008A74EB">
      <w:pPr>
        <w:pStyle w:val="libNormal"/>
        <w:rPr>
          <w:rtl/>
          <w:lang w:bidi="fa-IR"/>
        </w:rPr>
      </w:pPr>
      <w:r w:rsidRPr="00277CB4">
        <w:rPr>
          <w:rtl/>
        </w:rPr>
        <w:t>1475</w:t>
      </w:r>
      <w:r w:rsidRPr="00261CB0">
        <w:rPr>
          <w:rStyle w:val="libBold2Char"/>
          <w:rtl/>
        </w:rPr>
        <w:t xml:space="preserve"> / 2.</w:t>
      </w:r>
      <w:r w:rsidRPr="00C9040A">
        <w:rPr>
          <w:rtl/>
          <w:lang w:bidi="fa-IR"/>
        </w:rPr>
        <w:t xml:space="preserve"> عِدَّةٌ مِنْ أَصْحَابِنَا ، عَنْ سَهْلِ بْنِ زِيَادٍ ، عَنْ أَحْمَدَ بْنِ مُحَمَّدِ بْنِ أَبِي نَصْرٍ ، عَنْ‌</w:t>
      </w:r>
    </w:p>
    <w:p w:rsidR="008A74EB" w:rsidRPr="00C9040A" w:rsidRDefault="008A74EB" w:rsidP="008A74EB">
      <w:pPr>
        <w:pStyle w:val="libLine"/>
        <w:rPr>
          <w:rtl/>
          <w:lang w:bidi="fa-IR"/>
        </w:rPr>
      </w:pPr>
      <w:r w:rsidRPr="00C9040A">
        <w:rPr>
          <w:rtl/>
          <w:lang w:bidi="fa-IR"/>
        </w:rPr>
        <w:t>__________________</w:t>
      </w:r>
    </w:p>
    <w:p w:rsidR="008A74EB" w:rsidRDefault="001E2A42" w:rsidP="004A4E41">
      <w:pPr>
        <w:pStyle w:val="libFootnote0"/>
        <w:rPr>
          <w:rtl/>
        </w:rPr>
      </w:pPr>
      <w:r>
        <w:rPr>
          <w:rFonts w:hint="cs"/>
          <w:rtl/>
        </w:rPr>
        <w:t xml:space="preserve">= </w:t>
      </w:r>
      <w:r w:rsidR="008A74EB" w:rsidRPr="00323A39">
        <w:rPr>
          <w:rtl/>
        </w:rPr>
        <w:t xml:space="preserve">وشبحه ، وما شئت فسمّه ، وأحسن التعبيرات عنه ما في القرآن ، حيث قال : </w:t>
      </w:r>
      <w:r w:rsidR="008A74EB" w:rsidRPr="0003660B">
        <w:rPr>
          <w:rStyle w:val="libAlaemChar"/>
          <w:rtl/>
        </w:rPr>
        <w:t>(</w:t>
      </w:r>
      <w:r w:rsidR="008A74EB" w:rsidRPr="00883DD5">
        <w:rPr>
          <w:rStyle w:val="libFootnoteAieChar"/>
          <w:rFonts w:hint="cs"/>
          <w:rtl/>
        </w:rPr>
        <w:t xml:space="preserve"> </w:t>
      </w:r>
      <w:r w:rsidR="008A74EB" w:rsidRPr="00883DD5">
        <w:rPr>
          <w:rStyle w:val="libFootnoteAieChar"/>
          <w:rtl/>
        </w:rPr>
        <w:t>فَنَفَخْنا فِيهِ مِنْ رُوحِنا</w:t>
      </w:r>
      <w:r w:rsidR="008A74EB" w:rsidRPr="00883DD5">
        <w:rPr>
          <w:rStyle w:val="libFootnoteAieChar"/>
          <w:rFonts w:hint="cs"/>
          <w:rtl/>
        </w:rPr>
        <w:t xml:space="preserve"> </w:t>
      </w:r>
      <w:r w:rsidR="008A74EB" w:rsidRPr="0003660B">
        <w:rPr>
          <w:rStyle w:val="libAlaemChar"/>
          <w:rtl/>
        </w:rPr>
        <w:t>)</w:t>
      </w:r>
      <w:r w:rsidR="008A74EB" w:rsidRPr="00323A39">
        <w:rPr>
          <w:rtl/>
        </w:rPr>
        <w:t xml:space="preserve"> [ التحريم (66) : 12 ] و</w:t>
      </w:r>
      <w:r w:rsidR="008A74EB" w:rsidRPr="00323A39">
        <w:rPr>
          <w:rFonts w:hint="cs"/>
          <w:rtl/>
        </w:rPr>
        <w:t xml:space="preserve"> </w:t>
      </w:r>
      <w:r w:rsidR="008A74EB" w:rsidRPr="0003660B">
        <w:rPr>
          <w:rStyle w:val="libAlaemChar"/>
          <w:rtl/>
        </w:rPr>
        <w:t>(</w:t>
      </w:r>
      <w:r w:rsidR="008A74EB" w:rsidRPr="00883DD5">
        <w:rPr>
          <w:rStyle w:val="libFootnoteAieChar"/>
          <w:rFonts w:hint="cs"/>
          <w:rtl/>
        </w:rPr>
        <w:t xml:space="preserve"> </w:t>
      </w:r>
      <w:r w:rsidR="008A74EB" w:rsidRPr="00883DD5">
        <w:rPr>
          <w:rStyle w:val="libFootnoteAieChar"/>
          <w:rtl/>
        </w:rPr>
        <w:t>أَنْشَأْناهُ خَلْقاً آخَرَ</w:t>
      </w:r>
      <w:r w:rsidR="008A74EB" w:rsidRPr="00883DD5">
        <w:rPr>
          <w:rStyle w:val="libFootnoteAieChar"/>
          <w:rFonts w:hint="cs"/>
          <w:rtl/>
        </w:rPr>
        <w:t xml:space="preserve"> </w:t>
      </w:r>
      <w:r w:rsidR="008A74EB" w:rsidRPr="0003660B">
        <w:rPr>
          <w:rStyle w:val="libAlaemChar"/>
          <w:rtl/>
        </w:rPr>
        <w:t>)</w:t>
      </w:r>
      <w:r w:rsidR="008A74EB" w:rsidRPr="00323A39">
        <w:rPr>
          <w:rtl/>
        </w:rPr>
        <w:t xml:space="preserve"> [ المؤمنو</w:t>
      </w:r>
      <w:r>
        <w:rPr>
          <w:rtl/>
        </w:rPr>
        <w:t>ن (23) : 14 ] ولايكون النفخ إل</w:t>
      </w:r>
      <w:r>
        <w:rPr>
          <w:rFonts w:hint="cs"/>
          <w:rtl/>
        </w:rPr>
        <w:t>ّ</w:t>
      </w:r>
      <w:r>
        <w:rPr>
          <w:rtl/>
        </w:rPr>
        <w:t>ا</w:t>
      </w:r>
      <w:r w:rsidR="008A74EB" w:rsidRPr="00323A39">
        <w:rPr>
          <w:rtl/>
        </w:rPr>
        <w:t>من نفس موجود قبله وإن كان حصوله في الجسم واتّصاف الجسم بالحياة بسببه حادثاً ».</w:t>
      </w:r>
      <w:r w:rsidR="008A74EB" w:rsidRPr="00C9040A">
        <w:rPr>
          <w:rtl/>
        </w:rPr>
        <w:t xml:space="preserve"> </w:t>
      </w:r>
    </w:p>
    <w:p w:rsidR="008A74EB" w:rsidRPr="00C9040A" w:rsidRDefault="006C577F" w:rsidP="004A4E41">
      <w:pPr>
        <w:pStyle w:val="libFootnote0"/>
        <w:rPr>
          <w:rtl/>
          <w:lang w:bidi="fa-IR"/>
        </w:rPr>
      </w:pPr>
      <w:r>
        <w:rPr>
          <w:rtl/>
        </w:rPr>
        <w:t>(1).</w:t>
      </w:r>
      <w:r w:rsidR="008A74EB" w:rsidRPr="00C9040A">
        <w:rPr>
          <w:rtl/>
        </w:rPr>
        <w:t xml:space="preserve"> في « ب ، ج ، </w:t>
      </w:r>
      <w:r w:rsidR="006D3162">
        <w:rPr>
          <w:rtl/>
        </w:rPr>
        <w:t xml:space="preserve">ه </w:t>
      </w:r>
      <w:r w:rsidR="008A74EB" w:rsidRPr="00C9040A">
        <w:rPr>
          <w:rtl/>
        </w:rPr>
        <w:t>» : « المؤمن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المحاسن</w:t>
      </w:r>
      <w:r w:rsidR="008A74EB" w:rsidRPr="00C9040A">
        <w:rPr>
          <w:rtl/>
        </w:rPr>
        <w:t xml:space="preserve"> ، ص 138 ، </w:t>
      </w:r>
      <w:r w:rsidR="008A74EB" w:rsidRPr="001E2A42">
        <w:rPr>
          <w:rStyle w:val="libFootnoteBoldChar"/>
          <w:rtl/>
        </w:rPr>
        <w:t>كتاب الصفوة</w:t>
      </w:r>
      <w:r w:rsidR="008A74EB" w:rsidRPr="00C9040A">
        <w:rPr>
          <w:rtl/>
        </w:rPr>
        <w:t xml:space="preserve"> ، ح 22 ، بسند آخر ، مع اختلاف </w:t>
      </w:r>
      <w:r w:rsidR="001E2A42">
        <w:rPr>
          <w:rFonts w:hint="cs"/>
          <w:rtl/>
        </w:rPr>
        <w:t>.</w:t>
      </w:r>
      <w:r w:rsidR="008A74EB" w:rsidRPr="00993B55">
        <w:rPr>
          <w:rStyle w:val="libFootnoteBoldChar"/>
          <w:rtl/>
        </w:rPr>
        <w:t>الوافي</w:t>
      </w:r>
      <w:r w:rsidR="008A74EB" w:rsidRPr="00C9040A">
        <w:rPr>
          <w:rtl/>
        </w:rPr>
        <w:t xml:space="preserve"> ، ج 4 ، ص 69 ، ح 1673 ؛ </w:t>
      </w:r>
      <w:r w:rsidR="008A74EB" w:rsidRPr="00993B55">
        <w:rPr>
          <w:rStyle w:val="libFootnoteBoldChar"/>
          <w:rtl/>
        </w:rPr>
        <w:t>البحار</w:t>
      </w:r>
      <w:r w:rsidR="008A74EB" w:rsidRPr="00C9040A">
        <w:rPr>
          <w:rtl/>
        </w:rPr>
        <w:t xml:space="preserve"> ، ج 60 ، ص 358 ، ح 44 ؛ وج 67 ، ص 84 ، ح 8.</w:t>
      </w:r>
    </w:p>
    <w:p w:rsidR="008A74EB" w:rsidRPr="004A4E41" w:rsidRDefault="006C577F" w:rsidP="004A4E41">
      <w:pPr>
        <w:pStyle w:val="libFootnote0"/>
        <w:rPr>
          <w:rStyle w:val="libFootnote0Char"/>
          <w:rtl/>
        </w:rPr>
      </w:pPr>
      <w:r>
        <w:rPr>
          <w:rtl/>
        </w:rPr>
        <w:t>(3).</w:t>
      </w:r>
      <w:r w:rsidR="008A74EB" w:rsidRPr="00C9040A">
        <w:rPr>
          <w:rtl/>
        </w:rPr>
        <w:t xml:space="preserve"> في « د ، ز ، ص ، ف ، بر » ومرآة العقول </w:t>
      </w:r>
      <w:r w:rsidR="008A74EB">
        <w:rPr>
          <w:rtl/>
        </w:rPr>
        <w:t xml:space="preserve">: </w:t>
      </w:r>
      <w:r w:rsidR="0084262C">
        <w:rPr>
          <w:rtl/>
        </w:rPr>
        <w:t>-</w:t>
      </w:r>
      <w:r w:rsidR="008A74EB" w:rsidRPr="00C9040A">
        <w:rPr>
          <w:rtl/>
        </w:rPr>
        <w:t xml:space="preserve"> « في »</w:t>
      </w:r>
      <w:r w:rsidR="008A74EB">
        <w:rPr>
          <w:rtl/>
        </w:rPr>
        <w:t>.</w:t>
      </w:r>
    </w:p>
    <w:tbl>
      <w:tblPr>
        <w:tblStyle w:val="TableGrid"/>
        <w:bidiVisual/>
        <w:tblW w:w="0" w:type="auto"/>
        <w:tblLook w:val="04A0" w:firstRow="1" w:lastRow="0" w:firstColumn="1" w:lastColumn="0" w:noHBand="0" w:noVBand="1"/>
      </w:tblPr>
      <w:tblGrid>
        <w:gridCol w:w="4006"/>
        <w:gridCol w:w="4006"/>
      </w:tblGrid>
      <w:tr w:rsidR="001E2A42" w:rsidTr="001E2A42">
        <w:tc>
          <w:tcPr>
            <w:tcW w:w="4006" w:type="dxa"/>
          </w:tcPr>
          <w:p w:rsidR="001E2A42" w:rsidRDefault="001E2A42" w:rsidP="004A4E41">
            <w:pPr>
              <w:pStyle w:val="libFootnote0"/>
              <w:rPr>
                <w:rtl/>
              </w:rPr>
            </w:pPr>
            <w:r>
              <w:rPr>
                <w:rtl/>
              </w:rPr>
              <w:t>(4).</w:t>
            </w:r>
            <w:r w:rsidRPr="00C9040A">
              <w:rPr>
                <w:rtl/>
              </w:rPr>
              <w:t xml:space="preserve"> البقرة </w:t>
            </w:r>
            <w:r>
              <w:rPr>
                <w:rtl/>
              </w:rPr>
              <w:t>(2)</w:t>
            </w:r>
            <w:r w:rsidRPr="00C9040A">
              <w:rPr>
                <w:rtl/>
              </w:rPr>
              <w:t xml:space="preserve"> : 138.</w:t>
            </w:r>
          </w:p>
        </w:tc>
        <w:tc>
          <w:tcPr>
            <w:tcW w:w="4006" w:type="dxa"/>
          </w:tcPr>
          <w:p w:rsidR="001E2A42" w:rsidRDefault="001E2A42" w:rsidP="004A4E41">
            <w:pPr>
              <w:pStyle w:val="libFootnote0"/>
              <w:rPr>
                <w:rtl/>
              </w:rPr>
            </w:pPr>
            <w:r>
              <w:rPr>
                <w:rtl/>
              </w:rPr>
              <w:t>(5).</w:t>
            </w:r>
            <w:r w:rsidRPr="00C9040A">
              <w:rPr>
                <w:rtl/>
              </w:rPr>
              <w:t xml:space="preserve"> البقرة </w:t>
            </w:r>
            <w:r>
              <w:rPr>
                <w:rtl/>
              </w:rPr>
              <w:t>(2)</w:t>
            </w:r>
            <w:r w:rsidRPr="00C9040A">
              <w:rPr>
                <w:rtl/>
              </w:rPr>
              <w:t xml:space="preserve"> : 256 ؛ لقمان (31) : 22.</w:t>
            </w:r>
          </w:p>
        </w:tc>
      </w:tr>
    </w:tbl>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تفسير العيّاشي</w:t>
      </w:r>
      <w:r w:rsidR="008A74EB" w:rsidRPr="00C9040A">
        <w:rPr>
          <w:rtl/>
        </w:rPr>
        <w:t xml:space="preserve"> ، ج 1 ، ص 138 ، ح 459 ، عن زرارة وحمران ومحمّد بن مسلم ، عن أبي جعفر وأبي عبد الله </w:t>
      </w:r>
      <w:r w:rsidR="00117575" w:rsidRPr="00117575">
        <w:rPr>
          <w:rStyle w:val="libFootnoteAlaemChar"/>
          <w:rtl/>
        </w:rPr>
        <w:t>عليهما‌السلام</w:t>
      </w:r>
      <w:r w:rsidR="008A74EB" w:rsidRPr="00C9040A">
        <w:rPr>
          <w:rtl/>
        </w:rPr>
        <w:t xml:space="preserve"> ، من قوله : « في قوله عزّوجلّ : </w:t>
      </w:r>
      <w:r w:rsidR="008A74EB" w:rsidRPr="0003660B">
        <w:rPr>
          <w:rStyle w:val="libAlaemChar"/>
          <w:rtl/>
        </w:rPr>
        <w:t>(</w:t>
      </w:r>
      <w:r w:rsidR="008A74EB" w:rsidRPr="00883DD5">
        <w:rPr>
          <w:rStyle w:val="libFootnoteAieChar"/>
          <w:rFonts w:hint="cs"/>
          <w:rtl/>
        </w:rPr>
        <w:t xml:space="preserve"> </w:t>
      </w:r>
      <w:r w:rsidR="008A74EB" w:rsidRPr="00883DD5">
        <w:rPr>
          <w:rStyle w:val="libFootnoteAieChar"/>
          <w:rtl/>
        </w:rPr>
        <w:t>فَقَدِ اسْتَمْسَكَ</w:t>
      </w:r>
      <w:r w:rsidR="008A74EB" w:rsidRPr="00883DD5">
        <w:rPr>
          <w:rStyle w:val="libFootnoteAieChar"/>
          <w:rFonts w:hint="cs"/>
          <w:rtl/>
        </w:rPr>
        <w:t xml:space="preserve"> </w:t>
      </w:r>
      <w:r w:rsidR="008A74EB" w:rsidRPr="0003660B">
        <w:rPr>
          <w:rStyle w:val="libAlaemChar"/>
          <w:rtl/>
        </w:rPr>
        <w:t>)</w:t>
      </w:r>
      <w:r w:rsidR="008A74EB" w:rsidRPr="00C9040A">
        <w:rPr>
          <w:rtl/>
        </w:rPr>
        <w:t xml:space="preserve"> »</w:t>
      </w:r>
      <w:r w:rsidR="008A74EB">
        <w:rPr>
          <w:rtl/>
        </w:rPr>
        <w:t>.</w:t>
      </w:r>
      <w:r w:rsidR="008A74EB" w:rsidRPr="00C9040A">
        <w:rPr>
          <w:rtl/>
        </w:rPr>
        <w:t xml:space="preserve"> </w:t>
      </w:r>
      <w:r w:rsidR="008A74EB" w:rsidRPr="00993B55">
        <w:rPr>
          <w:rStyle w:val="libFootnoteBoldChar"/>
          <w:rtl/>
        </w:rPr>
        <w:t>تفسير القمّي</w:t>
      </w:r>
      <w:r w:rsidR="008A74EB" w:rsidRPr="00C9040A">
        <w:rPr>
          <w:rtl/>
        </w:rPr>
        <w:t xml:space="preserve"> ، ج 1 ، ص 62 ، من دون الإسناد إلى المعصوم </w:t>
      </w:r>
      <w:r w:rsidR="00117575" w:rsidRPr="00117575">
        <w:rPr>
          <w:rStyle w:val="libFootnoteAlaemChar"/>
          <w:rtl/>
        </w:rPr>
        <w:t xml:space="preserve">عليه‌السلام </w:t>
      </w:r>
      <w:r w:rsidR="008A74EB" w:rsidRPr="00C9040A">
        <w:rPr>
          <w:rtl/>
        </w:rPr>
        <w:t xml:space="preserve"> ، إلى قوله : « قال : الإسلام » ، وفيهما مع اختلاف يسير </w:t>
      </w:r>
      <w:r w:rsidR="001E2A42">
        <w:rPr>
          <w:rFonts w:hint="cs"/>
          <w:rtl/>
        </w:rPr>
        <w:t>.</w:t>
      </w:r>
      <w:r w:rsidR="008A74EB" w:rsidRPr="00993B55">
        <w:rPr>
          <w:rStyle w:val="libFootnoteBoldChar"/>
          <w:rtl/>
        </w:rPr>
        <w:t>الوافي</w:t>
      </w:r>
      <w:r w:rsidR="008A74EB" w:rsidRPr="00C9040A">
        <w:rPr>
          <w:rtl/>
        </w:rPr>
        <w:t xml:space="preserve"> ، ج 4 ، ص 65 ، ح 1668 ؛ </w:t>
      </w:r>
      <w:r w:rsidR="008A74EB" w:rsidRPr="00993B55">
        <w:rPr>
          <w:rStyle w:val="libFootnoteBoldChar"/>
          <w:rtl/>
        </w:rPr>
        <w:t>البحار</w:t>
      </w:r>
      <w:r w:rsidR="008A74EB" w:rsidRPr="00C9040A">
        <w:rPr>
          <w:rtl/>
        </w:rPr>
        <w:t xml:space="preserve"> ، ج 67 ، ص 131 ، ح 1.</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دَاوُدَ بْنِ سِرْحَانَ </w:t>
      </w:r>
      <w:r w:rsidR="006C577F" w:rsidRPr="006C577F">
        <w:rPr>
          <w:rStyle w:val="libFootnotenumChar"/>
          <w:rtl/>
        </w:rPr>
        <w:t>(1)</w:t>
      </w:r>
      <w:r w:rsidRPr="00C9040A">
        <w:rPr>
          <w:rtl/>
          <w:lang w:bidi="fa-IR"/>
        </w:rPr>
        <w:t>، عَنْ عَبْدِ اللهِ بْنِ فَرْقَدٍ ، عَنْ حُمْرَانَ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فِي قَوْلِ اللهِ </w:t>
      </w:r>
      <w:r w:rsidR="006C577F" w:rsidRPr="006C577F">
        <w:rPr>
          <w:rStyle w:val="libFootnotenumChar"/>
          <w:rtl/>
        </w:rPr>
        <w:t>(2)</w:t>
      </w:r>
      <w:r w:rsidRPr="00C9040A">
        <w:rPr>
          <w:rtl/>
          <w:lang w:bidi="fa-IR"/>
        </w:rPr>
        <w:t xml:space="preserve"> عَزَّ وَجَلَّ : </w:t>
      </w:r>
      <w:r w:rsidRPr="0003660B">
        <w:rPr>
          <w:rStyle w:val="libAlaemChar"/>
          <w:rtl/>
        </w:rPr>
        <w:t>(</w:t>
      </w:r>
      <w:r w:rsidRPr="006A2246">
        <w:rPr>
          <w:rStyle w:val="libAieChar"/>
          <w:rtl/>
        </w:rPr>
        <w:t xml:space="preserve"> صِبْغَةَ اللهِ وَمَنْ أَحْسَنُ مِنَ اللهِ صِبْغَةً </w:t>
      </w:r>
      <w:r w:rsidRPr="0003660B">
        <w:rPr>
          <w:rStyle w:val="libAlaemChar"/>
          <w:rtl/>
        </w:rPr>
        <w:t>)</w:t>
      </w:r>
      <w:r w:rsidRPr="00C9040A">
        <w:rPr>
          <w:rtl/>
          <w:lang w:bidi="fa-IR"/>
        </w:rPr>
        <w:t xml:space="preserve"> قَالَ : « الصِّبْغَةُ هِيَ الْإِسْلَامُ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277CB4">
        <w:rPr>
          <w:rtl/>
        </w:rPr>
        <w:t>1476</w:t>
      </w:r>
      <w:r w:rsidRPr="00261CB0">
        <w:rPr>
          <w:rStyle w:val="libBold2Char"/>
          <w:rtl/>
        </w:rPr>
        <w:t xml:space="preserve"> / 3.</w:t>
      </w:r>
      <w:r w:rsidRPr="00C9040A">
        <w:rPr>
          <w:rtl/>
          <w:lang w:bidi="fa-IR"/>
        </w:rPr>
        <w:t xml:space="preserve"> حُمَيْدُ بْنُ زِيَادٍ ، عَنِ الْحَسَنِ بْنِ مُحَمَّدِ بْنِ سَمَاعَةَ </w:t>
      </w:r>
      <w:r w:rsidR="006C577F" w:rsidRPr="006C577F">
        <w:rPr>
          <w:rStyle w:val="libFootnotenumChar"/>
          <w:rtl/>
        </w:rPr>
        <w:t>(4)</w:t>
      </w:r>
      <w:r w:rsidRPr="00C9040A">
        <w:rPr>
          <w:rtl/>
          <w:lang w:bidi="fa-IR"/>
        </w:rPr>
        <w:t xml:space="preserve"> ، عَنْ غَيْرِ وَاحِدٍ ، عَنْ أَبَانٍ ، عَنْ مُحَمَّدِ بْنِ مُسْلِمٍ :</w:t>
      </w:r>
    </w:p>
    <w:p w:rsidR="008A74EB" w:rsidRPr="00C9040A" w:rsidRDefault="008A74EB" w:rsidP="008A74EB">
      <w:pPr>
        <w:pStyle w:val="libNormal"/>
        <w:rPr>
          <w:rtl/>
          <w:lang w:bidi="fa-IR"/>
        </w:rPr>
      </w:pPr>
      <w:r w:rsidRPr="00C9040A">
        <w:rPr>
          <w:rtl/>
          <w:lang w:bidi="fa-IR"/>
        </w:rPr>
        <w:t xml:space="preserve">عَنْ أَحَدِهِمَا </w:t>
      </w:r>
      <w:r w:rsidRPr="0003660B">
        <w:rPr>
          <w:rStyle w:val="libAlaemChar"/>
          <w:rtl/>
        </w:rPr>
        <w:t>عليهما‌السلام</w:t>
      </w:r>
      <w:r w:rsidRPr="00C9040A">
        <w:rPr>
          <w:rtl/>
          <w:lang w:bidi="fa-IR"/>
        </w:rPr>
        <w:t xml:space="preserve"> فِي قَوْلِ اللهِ عَزَّ وَجَلَّ </w:t>
      </w:r>
      <w:r w:rsidR="006C577F" w:rsidRPr="006C577F">
        <w:rPr>
          <w:rStyle w:val="libFootnotenumChar"/>
          <w:rtl/>
        </w:rPr>
        <w:t>(5)</w:t>
      </w:r>
      <w:r w:rsidRPr="00C9040A">
        <w:rPr>
          <w:rtl/>
          <w:lang w:bidi="fa-IR"/>
        </w:rPr>
        <w:t xml:space="preserve"> : </w:t>
      </w:r>
      <w:r w:rsidRPr="0003660B">
        <w:rPr>
          <w:rStyle w:val="libAlaemChar"/>
          <w:rtl/>
        </w:rPr>
        <w:t>(</w:t>
      </w:r>
      <w:r w:rsidRPr="006A2246">
        <w:rPr>
          <w:rStyle w:val="libAieChar"/>
          <w:rtl/>
        </w:rPr>
        <w:t xml:space="preserve"> صِبْغَةَ اللهِ وَمَنْ أَحْسَنُ مِنَ اللهِ صِبْغَةً </w:t>
      </w:r>
      <w:r w:rsidRPr="0003660B">
        <w:rPr>
          <w:rStyle w:val="libAlaemChar"/>
          <w:rtl/>
        </w:rPr>
        <w:t>)</w:t>
      </w:r>
      <w:r w:rsidRPr="00C9040A">
        <w:rPr>
          <w:rtl/>
          <w:lang w:bidi="fa-IR"/>
        </w:rPr>
        <w:t xml:space="preserve"> قَالَ :</w:t>
      </w:r>
      <w:r>
        <w:rPr>
          <w:rFonts w:hint="cs"/>
          <w:rtl/>
          <w:lang w:bidi="fa-IR"/>
        </w:rPr>
        <w:t xml:space="preserve"> </w:t>
      </w:r>
      <w:r w:rsidRPr="00C9040A">
        <w:rPr>
          <w:rtl/>
          <w:lang w:bidi="fa-IR"/>
        </w:rPr>
        <w:t xml:space="preserve">« الصِّبْغَةُ هِيَ الْإِسْلَامُ » </w:t>
      </w:r>
      <w:r w:rsidR="006C577F" w:rsidRPr="006C577F">
        <w:rPr>
          <w:rStyle w:val="libFootnotenumChar"/>
          <w:rtl/>
        </w:rPr>
        <w:t>(6)</w:t>
      </w:r>
      <w:r w:rsidRPr="005B567D">
        <w:rPr>
          <w:rStyle w:val="libFootnotenumChar"/>
          <w:rtl/>
        </w:rPr>
        <w:t xml:space="preserve"> </w:t>
      </w:r>
    </w:p>
    <w:p w:rsidR="008A74EB" w:rsidRPr="00C9040A" w:rsidRDefault="008A74EB" w:rsidP="008A74EB">
      <w:pPr>
        <w:pStyle w:val="libNormal"/>
        <w:rPr>
          <w:rtl/>
          <w:lang w:bidi="fa-IR"/>
        </w:rPr>
      </w:pPr>
      <w:r w:rsidRPr="00C9040A">
        <w:rPr>
          <w:rtl/>
          <w:lang w:bidi="fa-IR"/>
        </w:rPr>
        <w:t xml:space="preserve">وَقَالَ فِي قَوْلِهِ </w:t>
      </w:r>
      <w:r w:rsidR="006C577F" w:rsidRPr="006C577F">
        <w:rPr>
          <w:rStyle w:val="libFootnotenumChar"/>
          <w:rtl/>
        </w:rPr>
        <w:t>(7)</w:t>
      </w:r>
      <w:r w:rsidRPr="00C9040A">
        <w:rPr>
          <w:rtl/>
          <w:lang w:bidi="fa-IR"/>
        </w:rPr>
        <w:t xml:space="preserve"> عَزَّ وَجَلَّ : </w:t>
      </w:r>
      <w:r w:rsidRPr="0003660B">
        <w:rPr>
          <w:rStyle w:val="libAlaemChar"/>
          <w:rtl/>
        </w:rPr>
        <w:t>(</w:t>
      </w:r>
      <w:r w:rsidRPr="006A2246">
        <w:rPr>
          <w:rStyle w:val="libAieChar"/>
          <w:rtl/>
        </w:rPr>
        <w:t xml:space="preserve"> فَمَنْ يَكْفُرْ بِالطّاغُوتِ وَيُؤْمِنْ بِاللهِ فَقَدِ اسْتَمْسَكَ بِالْعُرْوَةِ الْوُثْقى </w:t>
      </w:r>
      <w:r w:rsidRPr="0003660B">
        <w:rPr>
          <w:rStyle w:val="libAlaemChar"/>
          <w:rtl/>
        </w:rPr>
        <w:t>)</w:t>
      </w:r>
      <w:r w:rsidRPr="00C9040A">
        <w:rPr>
          <w:rtl/>
          <w:lang w:bidi="fa-IR"/>
        </w:rPr>
        <w:t xml:space="preserve"> </w:t>
      </w:r>
      <w:r w:rsidR="006C577F" w:rsidRPr="006C577F">
        <w:rPr>
          <w:rStyle w:val="libFootnotenumChar"/>
          <w:rtl/>
        </w:rPr>
        <w:t>(8)</w:t>
      </w:r>
      <w:r w:rsidRPr="00C9040A">
        <w:rPr>
          <w:rtl/>
          <w:lang w:bidi="fa-IR"/>
        </w:rPr>
        <w:t xml:space="preserve"> قَالَ : « هِيَ‌</w:t>
      </w:r>
      <w:r w:rsidR="00AB2CC4">
        <w:rPr>
          <w:rFonts w:hint="cs"/>
          <w:rtl/>
          <w:lang w:bidi="fa-IR"/>
        </w:rPr>
        <w:t>........................................................</w:t>
      </w:r>
      <w:r w:rsidR="00AB2CC4">
        <w:rPr>
          <w:rFonts w:hint="cs"/>
          <w:rtl/>
          <w:lang w:bidi="fa-IR"/>
        </w:rPr>
        <w:tab/>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 ب » : « السرحان »</w:t>
      </w:r>
      <w:r w:rsidR="008A74EB">
        <w:rPr>
          <w:rtl/>
        </w:rPr>
        <w:t>.</w:t>
      </w:r>
      <w:r w:rsidR="008A74EB" w:rsidRPr="00C9040A">
        <w:rPr>
          <w:rtl/>
        </w:rPr>
        <w:t xml:space="preserve"> وفي « ز » : « سرجان »</w:t>
      </w:r>
      <w:r w:rsidR="008A74EB">
        <w:rPr>
          <w:rtl/>
        </w:rPr>
        <w:t>.</w:t>
      </w:r>
      <w:r w:rsidR="008A74EB" w:rsidRPr="00C9040A">
        <w:rPr>
          <w:rtl/>
        </w:rPr>
        <w:t xml:space="preserve"> وهو سهو ؛ فإنّ داود هذا ، هو داود بن سِرحان العطّار ، روى أحمد بن محمّد بن أبي نصر كتابه ، وتكرّرت روايته عنه في الأسناد. راجع : </w:t>
      </w:r>
      <w:r w:rsidR="008A74EB" w:rsidRPr="00993B55">
        <w:rPr>
          <w:rStyle w:val="libFootnoteBoldChar"/>
          <w:rtl/>
        </w:rPr>
        <w:t>رجال النجاشي</w:t>
      </w:r>
      <w:r w:rsidR="008A74EB" w:rsidRPr="00C9040A">
        <w:rPr>
          <w:rtl/>
        </w:rPr>
        <w:t xml:space="preserve"> ، ص 159 ، الرقم 420 ؛ </w:t>
      </w:r>
      <w:r w:rsidR="008A74EB" w:rsidRPr="0034021D">
        <w:rPr>
          <w:rStyle w:val="libFootnoteBoldChar"/>
          <w:rtl/>
        </w:rPr>
        <w:t>الفهرست للطوسي</w:t>
      </w:r>
      <w:r w:rsidR="008A74EB" w:rsidRPr="00C9040A">
        <w:rPr>
          <w:rtl/>
        </w:rPr>
        <w:t xml:space="preserve"> ، ص 184 الرقم 285 ؛ </w:t>
      </w:r>
      <w:r w:rsidR="008A74EB" w:rsidRPr="00993B55">
        <w:rPr>
          <w:rStyle w:val="libFootnoteBoldChar"/>
          <w:rtl/>
        </w:rPr>
        <w:t>معجم رجال الحديث</w:t>
      </w:r>
      <w:r w:rsidR="008A74EB" w:rsidRPr="00C9040A">
        <w:rPr>
          <w:rtl/>
        </w:rPr>
        <w:t xml:space="preserve"> ، ج 7 ، ص 402</w:t>
      </w:r>
      <w:r w:rsidR="008A74EB">
        <w:rPr>
          <w:rtl/>
        </w:rPr>
        <w:t xml:space="preserve"> </w:t>
      </w:r>
      <w:r w:rsidR="0084262C">
        <w:rPr>
          <w:rtl/>
        </w:rPr>
        <w:t>-</w:t>
      </w:r>
      <w:r w:rsidR="008A74EB">
        <w:rPr>
          <w:rtl/>
        </w:rPr>
        <w:t xml:space="preserve"> </w:t>
      </w:r>
      <w:r w:rsidR="008A74EB" w:rsidRPr="00C9040A">
        <w:rPr>
          <w:rtl/>
        </w:rPr>
        <w:t>404.</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w:t>
      </w:r>
      <w:r w:rsidR="006D3162">
        <w:rPr>
          <w:rtl/>
        </w:rPr>
        <w:t xml:space="preserve">ه </w:t>
      </w:r>
      <w:r w:rsidR="008A74EB" w:rsidRPr="00C9040A">
        <w:rPr>
          <w:rtl/>
        </w:rPr>
        <w:t>» : « قوله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w:t>
      </w:r>
      <w:r w:rsidR="008A74EB" w:rsidRPr="00993B55">
        <w:rPr>
          <w:rStyle w:val="libFootnoteBoldChar"/>
          <w:rtl/>
        </w:rPr>
        <w:t>معاني الأخبار</w:t>
      </w:r>
      <w:r w:rsidR="008A74EB" w:rsidRPr="00C9040A">
        <w:rPr>
          <w:rtl/>
        </w:rPr>
        <w:t xml:space="preserve"> ، ص 188 ، ح 1 ، بسند آخر. </w:t>
      </w:r>
      <w:r w:rsidR="008A74EB" w:rsidRPr="00993B55">
        <w:rPr>
          <w:rStyle w:val="libFootnoteBoldChar"/>
          <w:rtl/>
        </w:rPr>
        <w:t>تفسير العيّاشي</w:t>
      </w:r>
      <w:r w:rsidR="008A74EB" w:rsidRPr="00C9040A">
        <w:rPr>
          <w:rtl/>
        </w:rPr>
        <w:t xml:space="preserve"> ، ج 1 ، ص 62 ، ح 108 ، عن زرارة عن أبي جعفر </w:t>
      </w:r>
      <w:r w:rsidR="00117575" w:rsidRPr="00117575">
        <w:rPr>
          <w:rStyle w:val="libFootnoteAlaemChar"/>
          <w:rtl/>
        </w:rPr>
        <w:t xml:space="preserve">عليه‌السلام </w:t>
      </w:r>
      <w:r w:rsidR="008A74EB" w:rsidRPr="00C9040A">
        <w:rPr>
          <w:rtl/>
        </w:rPr>
        <w:t xml:space="preserve">، وحمران عن أبي عبد الله </w:t>
      </w:r>
      <w:r w:rsidR="00117575" w:rsidRPr="00117575">
        <w:rPr>
          <w:rStyle w:val="libFootnoteAlaemChar"/>
          <w:rtl/>
        </w:rPr>
        <w:t>عليه‌السلام</w:t>
      </w:r>
      <w:r w:rsidR="008A74EB" w:rsidRPr="00C9040A">
        <w:rPr>
          <w:rtl/>
        </w:rPr>
        <w:t xml:space="preserve"> ، وتمام الرواية فيه : « الصبغة : الإسلام » </w:t>
      </w:r>
      <w:r w:rsidR="00AB2CC4">
        <w:rPr>
          <w:rFonts w:hint="cs"/>
          <w:rtl/>
        </w:rPr>
        <w:t>.</w:t>
      </w:r>
      <w:r w:rsidR="008A74EB" w:rsidRPr="00993B55">
        <w:rPr>
          <w:rStyle w:val="libFootnoteBoldChar"/>
          <w:rtl/>
        </w:rPr>
        <w:t>الوافي</w:t>
      </w:r>
      <w:r w:rsidR="008A74EB" w:rsidRPr="00C9040A">
        <w:rPr>
          <w:rtl/>
        </w:rPr>
        <w:t xml:space="preserve"> ، ج 4 ، ص 65 ، ح 1666 ؛ </w:t>
      </w:r>
      <w:r w:rsidR="008A74EB" w:rsidRPr="00993B55">
        <w:rPr>
          <w:rStyle w:val="libFootnoteBoldChar"/>
          <w:rtl/>
        </w:rPr>
        <w:t>البحار</w:t>
      </w:r>
      <w:r w:rsidR="008A74EB" w:rsidRPr="00C9040A">
        <w:rPr>
          <w:rtl/>
        </w:rPr>
        <w:t xml:space="preserve"> ، ج 67 ، ص 132 ، ح 2.</w:t>
      </w:r>
    </w:p>
    <w:p w:rsidR="008A74EB" w:rsidRPr="00C9040A" w:rsidRDefault="006C577F" w:rsidP="004A4E41">
      <w:pPr>
        <w:pStyle w:val="libFootnote0"/>
        <w:rPr>
          <w:rtl/>
          <w:lang w:bidi="fa-IR"/>
        </w:rPr>
      </w:pPr>
      <w:r>
        <w:rPr>
          <w:rtl/>
        </w:rPr>
        <w:t>(4).</w:t>
      </w:r>
      <w:r w:rsidR="008A74EB" w:rsidRPr="00C9040A">
        <w:rPr>
          <w:rtl/>
        </w:rPr>
        <w:t xml:space="preserve"> في « ز » : « عن الحسن بن محبوب عن محمّد بن سَمَاعة »</w:t>
      </w:r>
      <w:r w:rsidR="008A74EB">
        <w:rPr>
          <w:rtl/>
        </w:rPr>
        <w:t>.</w:t>
      </w:r>
      <w:r w:rsidR="008A74EB" w:rsidRPr="00C9040A">
        <w:rPr>
          <w:rtl/>
        </w:rPr>
        <w:t xml:space="preserve"> وهو سهو واضح ؛ فقد أكثر حميد بن زياد من‌الرواية عن الحسن بن محمّد بن سماعة بمختلف عناوينه في الأسناد ، كما روى عنه جميع كتبه ورواياته. راجع : </w:t>
      </w:r>
      <w:r w:rsidR="008A74EB" w:rsidRPr="00993B55">
        <w:rPr>
          <w:rStyle w:val="libFootnoteBoldChar"/>
          <w:rtl/>
        </w:rPr>
        <w:t>رجال النجاشي</w:t>
      </w:r>
      <w:r w:rsidR="008A74EB" w:rsidRPr="00C9040A">
        <w:rPr>
          <w:rtl/>
        </w:rPr>
        <w:t xml:space="preserve"> ، ص 41 ، الرقم 84 ؛ </w:t>
      </w:r>
      <w:r w:rsidR="008A74EB" w:rsidRPr="0034021D">
        <w:rPr>
          <w:rStyle w:val="libFootnoteBoldChar"/>
          <w:rtl/>
        </w:rPr>
        <w:t>الفهرست للطوسي</w:t>
      </w:r>
      <w:r w:rsidR="008A74EB" w:rsidRPr="00C9040A">
        <w:rPr>
          <w:rtl/>
        </w:rPr>
        <w:t xml:space="preserve"> ، ص 133 ، الرقم 193 ؛ </w:t>
      </w:r>
      <w:r w:rsidR="008A74EB" w:rsidRPr="00993B55">
        <w:rPr>
          <w:rStyle w:val="libFootnoteBoldChar"/>
          <w:rtl/>
        </w:rPr>
        <w:t>معجم رجال الحديث</w:t>
      </w:r>
      <w:r w:rsidR="008A74EB" w:rsidRPr="00C9040A">
        <w:rPr>
          <w:rtl/>
        </w:rPr>
        <w:t xml:space="preserve"> ، ج 6 ، ص 289.</w:t>
      </w:r>
    </w:p>
    <w:p w:rsidR="008A74EB" w:rsidRPr="00C9040A" w:rsidRDefault="008A74EB" w:rsidP="004A4E41">
      <w:pPr>
        <w:pStyle w:val="libFootnote0"/>
        <w:rPr>
          <w:rtl/>
          <w:lang w:bidi="fa-IR"/>
        </w:rPr>
      </w:pPr>
      <w:r w:rsidRPr="00323A39">
        <w:rPr>
          <w:rtl/>
        </w:rPr>
        <w:t xml:space="preserve">أضف إلى ذلك أنّ طبقة حميد بن زياد المتوفّى سنة عشر وثلاثمائة تأبى عن الرواية عن ابن محبوب المتوفّى سنة أربع وعشرين ومائتين. راجع : </w:t>
      </w:r>
      <w:r w:rsidRPr="00993B55">
        <w:rPr>
          <w:rStyle w:val="libFootnoteBoldChar"/>
          <w:rtl/>
        </w:rPr>
        <w:t>رجال النجاشي</w:t>
      </w:r>
      <w:r w:rsidRPr="00323A39">
        <w:rPr>
          <w:rtl/>
        </w:rPr>
        <w:t xml:space="preserve"> ، ص 132 ، الرقم 339 ؛ </w:t>
      </w:r>
      <w:r w:rsidRPr="00993B55">
        <w:rPr>
          <w:rStyle w:val="libFootnoteBoldChar"/>
          <w:rtl/>
        </w:rPr>
        <w:t>رجال الكشّي</w:t>
      </w:r>
      <w:r w:rsidRPr="00323A39">
        <w:rPr>
          <w:rtl/>
        </w:rPr>
        <w:t xml:space="preserve"> ، ص 584 ، الرقم 1094.</w:t>
      </w:r>
    </w:p>
    <w:p w:rsidR="008A74EB" w:rsidRPr="00C9040A" w:rsidRDefault="006C577F" w:rsidP="004A4E41">
      <w:pPr>
        <w:pStyle w:val="libFootnote0"/>
        <w:rPr>
          <w:rtl/>
          <w:lang w:bidi="fa-IR"/>
        </w:rPr>
      </w:pPr>
      <w:r>
        <w:rPr>
          <w:rtl/>
        </w:rPr>
        <w:t>(5).</w:t>
      </w:r>
      <w:r w:rsidR="008A74EB" w:rsidRPr="00C9040A">
        <w:rPr>
          <w:rtl/>
        </w:rPr>
        <w:t xml:space="preserve"> في « بر » </w:t>
      </w:r>
      <w:r w:rsidR="008A74EB">
        <w:rPr>
          <w:rtl/>
        </w:rPr>
        <w:t xml:space="preserve">: </w:t>
      </w:r>
      <w:r w:rsidR="0084262C">
        <w:rPr>
          <w:rtl/>
        </w:rPr>
        <w:t>-</w:t>
      </w:r>
      <w:r w:rsidR="008A74EB" w:rsidRPr="00C9040A">
        <w:rPr>
          <w:rtl/>
        </w:rPr>
        <w:t xml:space="preserve"> « في قول الله عزّوجلّ »</w:t>
      </w:r>
      <w:r w:rsidR="008A74EB">
        <w:rPr>
          <w:rtl/>
        </w:rPr>
        <w:t>.</w:t>
      </w:r>
    </w:p>
    <w:p w:rsidR="008A74EB" w:rsidRPr="004A4E41" w:rsidRDefault="006C577F" w:rsidP="004A4E41">
      <w:pPr>
        <w:pStyle w:val="libFootnote0"/>
        <w:rPr>
          <w:rStyle w:val="libFootnote0Char"/>
          <w:rtl/>
        </w:rPr>
      </w:pPr>
      <w:r>
        <w:rPr>
          <w:rtl/>
        </w:rPr>
        <w:t>(6).</w:t>
      </w:r>
      <w:r w:rsidR="008A74EB">
        <w:rPr>
          <w:rtl/>
        </w:rPr>
        <w:t xml:space="preserve"> </w:t>
      </w:r>
      <w:r w:rsidR="008A74EB" w:rsidRPr="00C9040A">
        <w:rPr>
          <w:rtl/>
        </w:rPr>
        <w:t xml:space="preserve">لم يرد هذا الحديث من أوّله إلى « هي الإسلام » في « </w:t>
      </w:r>
      <w:r w:rsidR="006D3162">
        <w:rPr>
          <w:rtl/>
        </w:rPr>
        <w:t xml:space="preserve">ه </w:t>
      </w:r>
      <w:r w:rsidR="008A74EB" w:rsidRPr="00C9040A">
        <w:rPr>
          <w:rtl/>
        </w:rPr>
        <w:t>»</w:t>
      </w:r>
      <w:r w:rsidR="008A74EB">
        <w:rPr>
          <w:rtl/>
        </w:rPr>
        <w:t>.</w:t>
      </w:r>
      <w:r w:rsidR="008A74EB" w:rsidRPr="00C9040A">
        <w:rPr>
          <w:rtl/>
        </w:rPr>
        <w:t xml:space="preserve"> والمظنون أنّ انتقال عين الناسخ من « الصبغة هي الإسلام » في الحديث 2 إلى « الصبغة هي الإسلام » في الحديث 3 هو العامل الموجب للسقط ، كما لا يخفى.</w:t>
      </w:r>
    </w:p>
    <w:tbl>
      <w:tblPr>
        <w:tblStyle w:val="TableGrid"/>
        <w:bidiVisual/>
        <w:tblW w:w="0" w:type="auto"/>
        <w:tblLook w:val="04A0" w:firstRow="1" w:lastRow="0" w:firstColumn="1" w:lastColumn="0" w:noHBand="0" w:noVBand="1"/>
      </w:tblPr>
      <w:tblGrid>
        <w:gridCol w:w="4006"/>
        <w:gridCol w:w="4006"/>
      </w:tblGrid>
      <w:tr w:rsidR="00AB2CC4" w:rsidTr="00AB2CC4">
        <w:tc>
          <w:tcPr>
            <w:tcW w:w="4006" w:type="dxa"/>
          </w:tcPr>
          <w:p w:rsidR="00AB2CC4" w:rsidRDefault="00AB2CC4" w:rsidP="004A4E41">
            <w:pPr>
              <w:pStyle w:val="libFootnote0"/>
              <w:rPr>
                <w:rtl/>
              </w:rPr>
            </w:pPr>
            <w:r>
              <w:rPr>
                <w:rtl/>
              </w:rPr>
              <w:t>(7).في «ب،د،ز</w:t>
            </w:r>
            <w:r w:rsidRPr="00C9040A">
              <w:rPr>
                <w:rtl/>
              </w:rPr>
              <w:t xml:space="preserve">، </w:t>
            </w:r>
            <w:r>
              <w:rPr>
                <w:rtl/>
              </w:rPr>
              <w:t>ه، بر، بس، بف</w:t>
            </w:r>
            <w:r w:rsidRPr="00C9040A">
              <w:rPr>
                <w:rtl/>
              </w:rPr>
              <w:t>» : « قول الله »</w:t>
            </w:r>
            <w:r>
              <w:rPr>
                <w:rtl/>
              </w:rPr>
              <w:t>.</w:t>
            </w:r>
          </w:p>
        </w:tc>
        <w:tc>
          <w:tcPr>
            <w:tcW w:w="4006" w:type="dxa"/>
          </w:tcPr>
          <w:p w:rsidR="00AB2CC4" w:rsidRDefault="00AB2CC4" w:rsidP="004A4E41">
            <w:pPr>
              <w:pStyle w:val="libFootnote0"/>
              <w:rPr>
                <w:rtl/>
              </w:rPr>
            </w:pPr>
            <w:r>
              <w:rPr>
                <w:rtl/>
              </w:rPr>
              <w:t>(8).</w:t>
            </w:r>
            <w:r w:rsidRPr="00C9040A">
              <w:rPr>
                <w:rtl/>
              </w:rPr>
              <w:t xml:space="preserve"> البقرة </w:t>
            </w:r>
            <w:r>
              <w:rPr>
                <w:rtl/>
              </w:rPr>
              <w:t>(2)</w:t>
            </w:r>
            <w:r w:rsidRPr="00C9040A">
              <w:rPr>
                <w:rtl/>
              </w:rPr>
              <w:t xml:space="preserve"> : 256.</w:t>
            </w:r>
          </w:p>
        </w:tc>
      </w:tr>
    </w:tbl>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الْإِيمَانُ »</w:t>
      </w:r>
      <w:r>
        <w:rPr>
          <w:rtl/>
          <w:lang w:bidi="fa-IR"/>
        </w:rPr>
        <w:t>.</w:t>
      </w:r>
      <w:r w:rsidRPr="00C9040A">
        <w:rPr>
          <w:rtl/>
          <w:lang w:bidi="fa-IR"/>
        </w:rPr>
        <w:t xml:space="preserve"> </w:t>
      </w:r>
      <w:r w:rsidR="006C577F" w:rsidRPr="006C577F">
        <w:rPr>
          <w:rStyle w:val="libFootnotenumChar"/>
          <w:rtl/>
        </w:rPr>
        <w:t>(1)</w:t>
      </w:r>
      <w:r w:rsidRPr="00C9040A">
        <w:rPr>
          <w:rtl/>
          <w:lang w:bidi="fa-IR"/>
        </w:rPr>
        <w:t>‌</w:t>
      </w:r>
    </w:p>
    <w:p w:rsidR="008A74EB" w:rsidRPr="00C9040A" w:rsidRDefault="008A74EB" w:rsidP="008A74EB">
      <w:pPr>
        <w:pStyle w:val="Heading2Center"/>
        <w:rPr>
          <w:rtl/>
          <w:lang w:bidi="fa-IR"/>
        </w:rPr>
      </w:pPr>
      <w:bookmarkStart w:id="40" w:name="_Toc343795601"/>
      <w:bookmarkStart w:id="41" w:name="_Toc459810725"/>
      <w:bookmarkStart w:id="42" w:name="_Toc35348631"/>
      <w:r w:rsidRPr="00C9040A">
        <w:rPr>
          <w:rtl/>
          <w:lang w:bidi="fa-IR"/>
        </w:rPr>
        <w:t>10</w:t>
      </w:r>
      <w:r>
        <w:rPr>
          <w:rtl/>
          <w:lang w:bidi="fa-IR"/>
        </w:rPr>
        <w:t xml:space="preserve"> </w:t>
      </w:r>
      <w:r w:rsidR="0084262C">
        <w:rPr>
          <w:rtl/>
          <w:lang w:bidi="fa-IR"/>
        </w:rPr>
        <w:t>-</w:t>
      </w:r>
      <w:r>
        <w:rPr>
          <w:rtl/>
          <w:lang w:bidi="fa-IR"/>
        </w:rPr>
        <w:t xml:space="preserve"> </w:t>
      </w:r>
      <w:r w:rsidRPr="00C9040A">
        <w:rPr>
          <w:rtl/>
          <w:lang w:bidi="fa-IR"/>
        </w:rPr>
        <w:t xml:space="preserve">بَابٌ فِي </w:t>
      </w:r>
      <w:r w:rsidR="006C577F" w:rsidRPr="006C577F">
        <w:rPr>
          <w:rStyle w:val="libFootnotenumChar"/>
          <w:rtl/>
        </w:rPr>
        <w:t>(2)</w:t>
      </w:r>
      <w:r>
        <w:rPr>
          <w:rtl/>
        </w:rPr>
        <w:t xml:space="preserve"> </w:t>
      </w:r>
      <w:r w:rsidRPr="00C9040A">
        <w:rPr>
          <w:rtl/>
          <w:lang w:bidi="fa-IR"/>
        </w:rPr>
        <w:t>أَنَّ السَّكِينَةَ هِيَ الْإِيمَانُ‌</w:t>
      </w:r>
      <w:bookmarkEnd w:id="40"/>
      <w:bookmarkEnd w:id="41"/>
      <w:bookmarkEnd w:id="42"/>
    </w:p>
    <w:p w:rsidR="008A74EB" w:rsidRPr="00C9040A" w:rsidRDefault="008A74EB" w:rsidP="008A74EB">
      <w:pPr>
        <w:pStyle w:val="libNormal"/>
        <w:rPr>
          <w:rtl/>
          <w:lang w:bidi="fa-IR"/>
        </w:rPr>
      </w:pPr>
      <w:r w:rsidRPr="004F72F0">
        <w:rPr>
          <w:rtl/>
        </w:rPr>
        <w:t>1477</w:t>
      </w:r>
      <w:r w:rsidRPr="00261CB0">
        <w:rPr>
          <w:rStyle w:val="libBold2Char"/>
          <w:rtl/>
        </w:rPr>
        <w:t xml:space="preserve"> / 1.</w:t>
      </w:r>
      <w:r w:rsidRPr="00C9040A">
        <w:rPr>
          <w:rtl/>
          <w:lang w:bidi="fa-IR"/>
        </w:rPr>
        <w:t xml:space="preserve"> مُحَمَّدُ بْنُ يَحْيى ، عَنْ أَحْمَدَ بْنِ مُحَمَّدِ بْنِ عِيسى ، عَنْ عَلِيِّ بْنِ الْحَكَمِ ، عَنْ أَبِي حَمْزَةَ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سَأَلْتُهُ عَنْ قَوْلِ اللهِ عَزَّ وَجَلَّ : </w:t>
      </w:r>
      <w:r w:rsidRPr="0003660B">
        <w:rPr>
          <w:rStyle w:val="libAlaemChar"/>
          <w:rtl/>
        </w:rPr>
        <w:t>(</w:t>
      </w:r>
      <w:r w:rsidRPr="006A2246">
        <w:rPr>
          <w:rStyle w:val="libAieChar"/>
          <w:rtl/>
        </w:rPr>
        <w:t xml:space="preserve"> أَنْزَلَ السَّكِينَةَ فِي قُلُوبِ الْمُؤْمِنِينَ </w:t>
      </w:r>
      <w:r w:rsidRPr="0003660B">
        <w:rPr>
          <w:rStyle w:val="libAlaemChar"/>
          <w:rtl/>
        </w:rPr>
        <w:t>)</w:t>
      </w:r>
      <w:r w:rsidRPr="00C9040A">
        <w:rPr>
          <w:rtl/>
          <w:lang w:bidi="fa-IR"/>
        </w:rPr>
        <w:t xml:space="preserve"> </w:t>
      </w:r>
      <w:r w:rsidR="006C577F" w:rsidRPr="006C577F">
        <w:rPr>
          <w:rStyle w:val="libFootnotenumChar"/>
          <w:rtl/>
        </w:rPr>
        <w:t>(4)</w:t>
      </w:r>
      <w:r w:rsidRPr="00C9040A">
        <w:rPr>
          <w:rtl/>
          <w:lang w:bidi="fa-IR"/>
        </w:rPr>
        <w:t xml:space="preserve"> قَالَ : « هُوَ الْإِيمَانُ »</w:t>
      </w:r>
      <w:r>
        <w:rPr>
          <w:rtl/>
          <w:lang w:bidi="fa-IR"/>
        </w:rPr>
        <w:t>.</w:t>
      </w:r>
    </w:p>
    <w:p w:rsidR="008A74EB" w:rsidRPr="00C9040A" w:rsidRDefault="008A74EB" w:rsidP="008A74EB">
      <w:pPr>
        <w:pStyle w:val="libNormal"/>
        <w:rPr>
          <w:rtl/>
          <w:lang w:bidi="fa-IR"/>
        </w:rPr>
      </w:pPr>
      <w:r w:rsidRPr="00C9040A">
        <w:rPr>
          <w:rtl/>
          <w:lang w:bidi="fa-IR"/>
        </w:rPr>
        <w:t xml:space="preserve">قَالَ : وَسَأَلْتُهُ عَنْ قَوْلِ اللهِ عَزَّ وَجَلَّ : </w:t>
      </w:r>
      <w:r w:rsidRPr="0003660B">
        <w:rPr>
          <w:rStyle w:val="libAlaemChar"/>
          <w:rtl/>
        </w:rPr>
        <w:t>(</w:t>
      </w:r>
      <w:r w:rsidRPr="006A2246">
        <w:rPr>
          <w:rStyle w:val="libAieChar"/>
          <w:rtl/>
        </w:rPr>
        <w:t xml:space="preserve"> وَأَيَّدَهُمْ بِرُوحٍ مِنْهُ </w:t>
      </w:r>
      <w:r w:rsidRPr="0003660B">
        <w:rPr>
          <w:rStyle w:val="libAlaemChar"/>
          <w:rtl/>
        </w:rPr>
        <w:t>)</w:t>
      </w:r>
      <w:r w:rsidRPr="00C9040A">
        <w:rPr>
          <w:rtl/>
          <w:lang w:bidi="fa-IR"/>
        </w:rPr>
        <w:t xml:space="preserve"> </w:t>
      </w:r>
      <w:r w:rsidR="006C577F" w:rsidRPr="006C577F">
        <w:rPr>
          <w:rStyle w:val="libFootnotenumChar"/>
          <w:rtl/>
        </w:rPr>
        <w:t>(5)</w:t>
      </w:r>
      <w:r w:rsidRPr="00C9040A">
        <w:rPr>
          <w:rtl/>
          <w:lang w:bidi="fa-IR"/>
        </w:rPr>
        <w:t xml:space="preserve"> قَالَ : « هُوَ الْإِيمَانُ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Normal"/>
        <w:rPr>
          <w:rtl/>
          <w:lang w:bidi="fa-IR"/>
        </w:rPr>
      </w:pPr>
      <w:r w:rsidRPr="004F72F0">
        <w:rPr>
          <w:rtl/>
        </w:rPr>
        <w:t>1478</w:t>
      </w:r>
      <w:r w:rsidRPr="00261CB0">
        <w:rPr>
          <w:rStyle w:val="libBold2Char"/>
          <w:rtl/>
        </w:rPr>
        <w:t xml:space="preserve"> / 2.</w:t>
      </w:r>
      <w:r w:rsidRPr="00C9040A">
        <w:rPr>
          <w:rtl/>
          <w:lang w:bidi="fa-IR"/>
        </w:rPr>
        <w:t xml:space="preserve"> عَنْهُ </w:t>
      </w:r>
      <w:r w:rsidR="006C577F" w:rsidRPr="006C577F">
        <w:rPr>
          <w:rStyle w:val="libFootnotenumChar"/>
          <w:rtl/>
        </w:rPr>
        <w:t>(7)</w:t>
      </w:r>
      <w:r w:rsidRPr="00C9040A">
        <w:rPr>
          <w:rtl/>
          <w:lang w:bidi="fa-IR"/>
        </w:rPr>
        <w:t xml:space="preserve"> ، عَنْ أَحْمَدَ ، عَنْ صَفْوَانَ ، عَنْ أَبَانٍ ، عَنِ الْفُضَيلِ </w:t>
      </w:r>
      <w:r w:rsidR="006C577F" w:rsidRPr="006C577F">
        <w:rPr>
          <w:rStyle w:val="libFootnotenumChar"/>
          <w:rtl/>
        </w:rPr>
        <w:t>(8)</w:t>
      </w:r>
      <w:r w:rsidRPr="00C9040A">
        <w:rPr>
          <w:rtl/>
          <w:lang w:bidi="fa-IR"/>
        </w:rPr>
        <w:t xml:space="preserve"> ، قَالَ :</w:t>
      </w:r>
    </w:p>
    <w:p w:rsidR="008A74EB" w:rsidRPr="00C9040A" w:rsidRDefault="008A74EB" w:rsidP="008A74EB">
      <w:pPr>
        <w:pStyle w:val="libNormal"/>
        <w:rPr>
          <w:rtl/>
          <w:lang w:bidi="fa-IR"/>
        </w:rPr>
      </w:pPr>
      <w:r w:rsidRPr="00C9040A">
        <w:rPr>
          <w:rtl/>
          <w:lang w:bidi="fa-IR"/>
        </w:rPr>
        <w:t xml:space="preserve">قُلْتُ لِأَبِي عَبْدِ اللهِ </w:t>
      </w:r>
      <w:r w:rsidRPr="0003660B">
        <w:rPr>
          <w:rStyle w:val="libAlaemChar"/>
          <w:rtl/>
        </w:rPr>
        <w:t>عليه‌السلام</w:t>
      </w:r>
      <w:r w:rsidRPr="00C9040A">
        <w:rPr>
          <w:rtl/>
          <w:lang w:bidi="fa-IR"/>
        </w:rPr>
        <w:t xml:space="preserve"> : </w:t>
      </w:r>
      <w:r w:rsidRPr="0003660B">
        <w:rPr>
          <w:rStyle w:val="libAlaemChar"/>
          <w:rtl/>
        </w:rPr>
        <w:t>(</w:t>
      </w:r>
      <w:r w:rsidRPr="006A2246">
        <w:rPr>
          <w:rStyle w:val="libAieChar"/>
          <w:rtl/>
        </w:rPr>
        <w:t xml:space="preserve"> أُولئِكَ كَتَبَ فِي قُلُوبِهِمُ الْإِيمانَ </w:t>
      </w:r>
      <w:r w:rsidRPr="0003660B">
        <w:rPr>
          <w:rStyle w:val="libAlaemChar"/>
          <w:rtl/>
        </w:rPr>
        <w:t>)</w:t>
      </w:r>
      <w:r w:rsidRPr="00C9040A">
        <w:rPr>
          <w:rtl/>
          <w:lang w:bidi="fa-IR"/>
        </w:rPr>
        <w:t xml:space="preserve"> </w:t>
      </w:r>
      <w:r w:rsidR="006C577F" w:rsidRPr="006C577F">
        <w:rPr>
          <w:rStyle w:val="libFootnotenumChar"/>
          <w:rtl/>
        </w:rPr>
        <w:t>(9)</w:t>
      </w:r>
      <w:r w:rsidRPr="00C9040A">
        <w:rPr>
          <w:rtl/>
          <w:lang w:bidi="fa-IR"/>
        </w:rPr>
        <w:t xml:space="preserve"> : هَلْ لَهُمْ فِيمَا كَتَبَ فِي‌</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w:t>
      </w:r>
      <w:r w:rsidR="008A74EB" w:rsidRPr="00993B55">
        <w:rPr>
          <w:rStyle w:val="libFootnoteBoldChar"/>
          <w:rtl/>
        </w:rPr>
        <w:t>المحاسن</w:t>
      </w:r>
      <w:r w:rsidR="008A74EB" w:rsidRPr="00C9040A">
        <w:rPr>
          <w:rtl/>
        </w:rPr>
        <w:t xml:space="preserve"> ، ص 240 ، كتاب مصابيح الظلم ، ح 221 ، بسنده عن أبان الأحمر ، عن أبي جعفر الأحول ، عن محمّد بن مسلم ، عن أبي جعفر </w:t>
      </w:r>
      <w:r w:rsidR="00117575" w:rsidRPr="00117575">
        <w:rPr>
          <w:rStyle w:val="libFootnoteAlaemChar"/>
          <w:rtl/>
        </w:rPr>
        <w:t xml:space="preserve">عليه‌السلام </w:t>
      </w:r>
      <w:r w:rsidR="008A74EB" w:rsidRPr="00C9040A">
        <w:rPr>
          <w:rtl/>
        </w:rPr>
        <w:t xml:space="preserve"> ، وتمام الرواية فيه : « عروة الله الوثقى التوحيد والصبغة الإسلام »</w:t>
      </w:r>
      <w:r w:rsidR="008A74EB">
        <w:rPr>
          <w:rtl/>
        </w:rPr>
        <w:t>.</w:t>
      </w:r>
      <w:r w:rsidR="008A74EB" w:rsidRPr="00C9040A">
        <w:rPr>
          <w:rtl/>
        </w:rPr>
        <w:t xml:space="preserve"> </w:t>
      </w:r>
      <w:r w:rsidR="008A74EB" w:rsidRPr="00993B55">
        <w:rPr>
          <w:rStyle w:val="libFootnoteBoldChar"/>
          <w:rtl/>
        </w:rPr>
        <w:t>تفسير العيّاشي</w:t>
      </w:r>
      <w:r w:rsidR="008A74EB" w:rsidRPr="00C9040A">
        <w:rPr>
          <w:rtl/>
        </w:rPr>
        <w:t xml:space="preserve"> ، ج 1 ، ص 138 ، ح 459 ، عن زرارة وحمران ومحمّد بن مسلم ، عن أبي جعفر وأبي عبد الله </w:t>
      </w:r>
      <w:r w:rsidR="00117575" w:rsidRPr="00117575">
        <w:rPr>
          <w:rStyle w:val="libFootnoteAlaemChar"/>
          <w:rtl/>
        </w:rPr>
        <w:t>عليهما‌السلام</w:t>
      </w:r>
      <w:r w:rsidR="008A74EB" w:rsidRPr="00C9040A">
        <w:rPr>
          <w:rtl/>
        </w:rPr>
        <w:t xml:space="preserve"> ، وتمام الرواية فيه : « في قول الله : </w:t>
      </w:r>
      <w:r w:rsidR="00AB2CC4" w:rsidRPr="004A4E41">
        <w:rPr>
          <w:rFonts w:hint="cs"/>
          <w:rtl/>
        </w:rPr>
        <w:t>(</w:t>
      </w:r>
      <w:r w:rsidR="008A74EB" w:rsidRPr="00AB2CC4">
        <w:rPr>
          <w:rStyle w:val="libFootnoteAieChar"/>
          <w:rtl/>
        </w:rPr>
        <w:t xml:space="preserve"> بِالْعُرْوَةِ الْوُثْقَى </w:t>
      </w:r>
      <w:r w:rsidR="00AB2CC4" w:rsidRPr="004A4E41">
        <w:rPr>
          <w:rFonts w:hint="cs"/>
          <w:rtl/>
        </w:rPr>
        <w:t>)</w:t>
      </w:r>
      <w:r w:rsidR="008A74EB" w:rsidRPr="00C9040A">
        <w:rPr>
          <w:rtl/>
        </w:rPr>
        <w:t xml:space="preserve"> قال : هي الإيمان بالله يؤمن بالله وحده » </w:t>
      </w:r>
      <w:r w:rsidR="00197022">
        <w:rPr>
          <w:rFonts w:hint="cs"/>
          <w:rtl/>
        </w:rPr>
        <w:t>.</w:t>
      </w:r>
      <w:r w:rsidR="008A74EB" w:rsidRPr="00993B55">
        <w:rPr>
          <w:rStyle w:val="libFootnoteBoldChar"/>
          <w:rtl/>
        </w:rPr>
        <w:t>الوافي</w:t>
      </w:r>
      <w:r w:rsidR="008A74EB" w:rsidRPr="00C9040A">
        <w:rPr>
          <w:rtl/>
        </w:rPr>
        <w:t xml:space="preserve"> ، ج 4 ، ص 65 ، ح 1667.</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w:t>
      </w:r>
      <w:r w:rsidR="008A74EB" w:rsidRPr="00197022">
        <w:rPr>
          <w:rStyle w:val="libFootnoteBoldChar"/>
          <w:rtl/>
        </w:rPr>
        <w:t>مرآة العقول</w:t>
      </w:r>
      <w:r w:rsidR="008A74EB" w:rsidRPr="00C9040A">
        <w:rPr>
          <w:rtl/>
        </w:rPr>
        <w:t xml:space="preserve"> </w:t>
      </w:r>
      <w:r w:rsidR="008A74EB">
        <w:rPr>
          <w:rtl/>
        </w:rPr>
        <w:t xml:space="preserve">: </w:t>
      </w:r>
      <w:r w:rsidR="0084262C">
        <w:rPr>
          <w:rtl/>
        </w:rPr>
        <w:t>-</w:t>
      </w:r>
      <w:r w:rsidR="008A74EB" w:rsidRPr="00C9040A">
        <w:rPr>
          <w:rtl/>
        </w:rPr>
        <w:t xml:space="preserve"> « في »</w:t>
      </w:r>
      <w:r w:rsidR="008A74EB">
        <w:rPr>
          <w:rtl/>
        </w:rPr>
        <w:t>.</w:t>
      </w:r>
    </w:p>
    <w:p w:rsidR="008A74EB" w:rsidRPr="004A4E41" w:rsidRDefault="006C577F" w:rsidP="004A4E41">
      <w:pPr>
        <w:pStyle w:val="libFootnote0"/>
        <w:rPr>
          <w:rStyle w:val="libFootnote0Char"/>
          <w:rtl/>
        </w:rPr>
      </w:pPr>
      <w:r>
        <w:rPr>
          <w:rtl/>
        </w:rPr>
        <w:t>(3).</w:t>
      </w:r>
      <w:r w:rsidR="008A74EB" w:rsidRPr="00C9040A">
        <w:rPr>
          <w:rtl/>
        </w:rPr>
        <w:t xml:space="preserve"> في </w:t>
      </w:r>
      <w:r w:rsidR="008A74EB" w:rsidRPr="00993B55">
        <w:rPr>
          <w:rStyle w:val="libFootnoteBoldChar"/>
          <w:rtl/>
        </w:rPr>
        <w:t>مرآة العقول</w:t>
      </w:r>
      <w:r w:rsidR="008A74EB" w:rsidRPr="00C9040A">
        <w:rPr>
          <w:rtl/>
        </w:rPr>
        <w:t xml:space="preserve"> عن بعض النسخ : « عن عليّ بن أبي حمزة »</w:t>
      </w:r>
      <w:r w:rsidR="008A74EB">
        <w:rPr>
          <w:rtl/>
        </w:rPr>
        <w:t>.</w:t>
      </w:r>
      <w:r w:rsidR="008A74EB" w:rsidRPr="00C9040A">
        <w:rPr>
          <w:rtl/>
        </w:rPr>
        <w:t xml:space="preserve"> وهو سهوٌ ؛ فإنّ المراد من عليّ بن أبي حمزة في أسنادنا ، هو البطائني وهو من أصحاب أبي عبدالله وأبي الحسن موسى </w:t>
      </w:r>
      <w:r w:rsidR="00117575" w:rsidRPr="00117575">
        <w:rPr>
          <w:rStyle w:val="libFootnoteAlaemChar"/>
          <w:rtl/>
        </w:rPr>
        <w:t>عليهما‌السلام</w:t>
      </w:r>
      <w:r w:rsidR="008A74EB" w:rsidRPr="00C9040A">
        <w:rPr>
          <w:rtl/>
        </w:rPr>
        <w:t xml:space="preserve"> ، بقي بعد أبي الحسن </w:t>
      </w:r>
      <w:r w:rsidR="00117575" w:rsidRPr="00117575">
        <w:rPr>
          <w:rStyle w:val="libFootnoteAlaemChar"/>
          <w:rtl/>
        </w:rPr>
        <w:t>عليه‌السلام</w:t>
      </w:r>
      <w:r w:rsidR="008A74EB" w:rsidRPr="00C9040A">
        <w:rPr>
          <w:rtl/>
        </w:rPr>
        <w:t xml:space="preserve"> وكان أحد عمد الواقفة. راجع : </w:t>
      </w:r>
      <w:r w:rsidR="008A74EB" w:rsidRPr="00993B55">
        <w:rPr>
          <w:rStyle w:val="libFootnoteBoldChar"/>
          <w:rtl/>
        </w:rPr>
        <w:t>رجال النجاشي</w:t>
      </w:r>
      <w:r w:rsidR="008A74EB" w:rsidRPr="00C9040A">
        <w:rPr>
          <w:rtl/>
        </w:rPr>
        <w:t xml:space="preserve"> ، ص 249 ، الرقم 656 ؛ </w:t>
      </w:r>
      <w:r w:rsidR="008A74EB" w:rsidRPr="00993B55">
        <w:rPr>
          <w:rStyle w:val="libFootnoteBoldChar"/>
          <w:rtl/>
        </w:rPr>
        <w:t>رجال الكشّي</w:t>
      </w:r>
      <w:r w:rsidR="008A74EB" w:rsidRPr="00C9040A">
        <w:rPr>
          <w:rtl/>
        </w:rPr>
        <w:t xml:space="preserve"> ، ص 405 ، الرقم 759.</w:t>
      </w:r>
    </w:p>
    <w:tbl>
      <w:tblPr>
        <w:tblStyle w:val="TableGrid"/>
        <w:bidiVisual/>
        <w:tblW w:w="0" w:type="auto"/>
        <w:tblLook w:val="04A0" w:firstRow="1" w:lastRow="0" w:firstColumn="1" w:lastColumn="0" w:noHBand="0" w:noVBand="1"/>
      </w:tblPr>
      <w:tblGrid>
        <w:gridCol w:w="4006"/>
        <w:gridCol w:w="4006"/>
      </w:tblGrid>
      <w:tr w:rsidR="00197022" w:rsidTr="00197022">
        <w:tc>
          <w:tcPr>
            <w:tcW w:w="4006" w:type="dxa"/>
          </w:tcPr>
          <w:p w:rsidR="00197022" w:rsidRDefault="00197022" w:rsidP="004A4E41">
            <w:pPr>
              <w:pStyle w:val="libFootnote0"/>
              <w:rPr>
                <w:rtl/>
              </w:rPr>
            </w:pPr>
            <w:r>
              <w:rPr>
                <w:rtl/>
              </w:rPr>
              <w:t>(4).</w:t>
            </w:r>
            <w:r w:rsidRPr="00C9040A">
              <w:rPr>
                <w:rtl/>
              </w:rPr>
              <w:t xml:space="preserve"> الفتح (48) : 4.</w:t>
            </w:r>
          </w:p>
        </w:tc>
        <w:tc>
          <w:tcPr>
            <w:tcW w:w="4006" w:type="dxa"/>
          </w:tcPr>
          <w:p w:rsidR="00197022" w:rsidRDefault="00197022" w:rsidP="004A4E41">
            <w:pPr>
              <w:pStyle w:val="libFootnote0"/>
              <w:rPr>
                <w:rtl/>
              </w:rPr>
            </w:pPr>
            <w:r>
              <w:rPr>
                <w:rtl/>
              </w:rPr>
              <w:t>(5).</w:t>
            </w:r>
            <w:r w:rsidRPr="00C9040A">
              <w:rPr>
                <w:rtl/>
              </w:rPr>
              <w:t xml:space="preserve"> المجادلة (58) : 22.</w:t>
            </w:r>
          </w:p>
        </w:tc>
      </w:tr>
    </w:tbl>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الوافي</w:t>
      </w:r>
      <w:r w:rsidR="008A74EB" w:rsidRPr="00C9040A">
        <w:rPr>
          <w:rtl/>
        </w:rPr>
        <w:t xml:space="preserve"> ، ج 4 ، ص 67 ، ح 1669 ؛ </w:t>
      </w:r>
      <w:r w:rsidR="008A74EB" w:rsidRPr="00993B55">
        <w:rPr>
          <w:rStyle w:val="libFootnoteBoldChar"/>
          <w:rtl/>
        </w:rPr>
        <w:t>البحار</w:t>
      </w:r>
      <w:r w:rsidR="008A74EB" w:rsidRPr="00C9040A">
        <w:rPr>
          <w:rtl/>
        </w:rPr>
        <w:t xml:space="preserve"> ، ج 69 ، ص 199 ، ح 18.</w:t>
      </w:r>
    </w:p>
    <w:p w:rsidR="008A74EB" w:rsidRPr="00C9040A" w:rsidRDefault="006C577F" w:rsidP="004A4E41">
      <w:pPr>
        <w:pStyle w:val="libFootnote0"/>
        <w:rPr>
          <w:rtl/>
          <w:lang w:bidi="fa-IR"/>
        </w:rPr>
      </w:pPr>
      <w:r>
        <w:rPr>
          <w:rtl/>
        </w:rPr>
        <w:t>(7).</w:t>
      </w:r>
      <w:r w:rsidR="008A74EB" w:rsidRPr="00C9040A">
        <w:rPr>
          <w:rtl/>
        </w:rPr>
        <w:t xml:space="preserve"> في </w:t>
      </w:r>
      <w:r w:rsidR="008A74EB" w:rsidRPr="00993B55">
        <w:rPr>
          <w:rStyle w:val="libFootnoteBoldChar"/>
          <w:rtl/>
        </w:rPr>
        <w:t>مرآة العقول</w:t>
      </w:r>
      <w:r w:rsidR="008A74EB" w:rsidRPr="00C9040A">
        <w:rPr>
          <w:rtl/>
        </w:rPr>
        <w:t xml:space="preserve"> ، ج 7 ، ص 73 : « وإنّما ذكر هذا</w:t>
      </w:r>
      <w:r w:rsidR="008A74EB">
        <w:rPr>
          <w:rtl/>
        </w:rPr>
        <w:t xml:space="preserve"> </w:t>
      </w:r>
      <w:r w:rsidR="0084262C">
        <w:rPr>
          <w:rtl/>
        </w:rPr>
        <w:t>-</w:t>
      </w:r>
      <w:r w:rsidR="008A74EB">
        <w:rPr>
          <w:rtl/>
        </w:rPr>
        <w:t xml:space="preserve"> </w:t>
      </w:r>
      <w:r w:rsidR="008A74EB" w:rsidRPr="00C9040A">
        <w:rPr>
          <w:rtl/>
        </w:rPr>
        <w:t>أي الحديث الثاني</w:t>
      </w:r>
      <w:r w:rsidR="008A74EB">
        <w:rPr>
          <w:rtl/>
        </w:rPr>
        <w:t xml:space="preserve"> </w:t>
      </w:r>
      <w:r w:rsidR="0084262C">
        <w:rPr>
          <w:rtl/>
        </w:rPr>
        <w:t>-</w:t>
      </w:r>
      <w:r w:rsidR="008A74EB">
        <w:rPr>
          <w:rtl/>
        </w:rPr>
        <w:t xml:space="preserve"> </w:t>
      </w:r>
      <w:r w:rsidR="008A74EB" w:rsidRPr="00C9040A">
        <w:rPr>
          <w:rtl/>
        </w:rPr>
        <w:t>مع عدم اشتماله على ما عنون به الباب ؛ لأنّه كالتتمّة لما ذكر في آخر الخبر السابق ؛ لأنّهما في آية واحدة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هكذا في « ب ، ج ، د ، ز ، ف ، </w:t>
      </w:r>
      <w:r w:rsidR="006D3162">
        <w:rPr>
          <w:rtl/>
        </w:rPr>
        <w:t xml:space="preserve">ه </w:t>
      </w:r>
      <w:r w:rsidR="008A74EB" w:rsidRPr="00C9040A">
        <w:rPr>
          <w:rtl/>
        </w:rPr>
        <w:t>، بر ، بس ، بف »</w:t>
      </w:r>
      <w:r w:rsidR="008A74EB">
        <w:rPr>
          <w:rtl/>
        </w:rPr>
        <w:t>.</w:t>
      </w:r>
      <w:r w:rsidR="008A74EB" w:rsidRPr="00C9040A">
        <w:rPr>
          <w:rtl/>
        </w:rPr>
        <w:t xml:space="preserve"> وفي المطبوع : « فضيل »</w:t>
      </w:r>
      <w:r w:rsidR="008A74EB">
        <w:rPr>
          <w:rtl/>
        </w:rPr>
        <w:t>.</w:t>
      </w:r>
      <w:r w:rsidR="008A74EB" w:rsidRPr="00C9040A">
        <w:rPr>
          <w:rtl/>
        </w:rPr>
        <w:t xml:space="preserve"> وفي « ص » : « الفضل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المجادلة (58) : 22.</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قُلُوبِهِمْ صُنْعٌ </w:t>
      </w:r>
      <w:r w:rsidR="006C577F" w:rsidRPr="006C577F">
        <w:rPr>
          <w:rStyle w:val="libFootnotenumChar"/>
          <w:rtl/>
        </w:rPr>
        <w:t>(1)</w:t>
      </w:r>
      <w:r w:rsidRPr="00C9040A">
        <w:rPr>
          <w:rtl/>
          <w:lang w:bidi="fa-IR"/>
        </w:rPr>
        <w:t>؟ قَالَ : « لَا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2C02A9">
        <w:rPr>
          <w:rtl/>
        </w:rPr>
        <w:t>1479</w:t>
      </w:r>
      <w:r w:rsidRPr="00261CB0">
        <w:rPr>
          <w:rStyle w:val="libBold2Char"/>
          <w:rtl/>
        </w:rPr>
        <w:t xml:space="preserve"> / 3.</w:t>
      </w:r>
      <w:r w:rsidRPr="00C9040A">
        <w:rPr>
          <w:rtl/>
          <w:lang w:bidi="fa-IR"/>
        </w:rPr>
        <w:t xml:space="preserve"> عِدَّةٌ مِنْ أَصْحَابِنَا ، عَنْ أَحْمَدَ بْنِ مُحَمَّدِ بْنِ خَالِدٍ ، عَنِ ابْنِ مَحْبُوبٍ ، عَنِ الْعَلَاءِ ، عَنْ مُحَمَّدِ بْنِ مُسْلِمٍ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السَّكِينَةُ </w:t>
      </w:r>
      <w:r w:rsidR="006C577F" w:rsidRPr="006C577F">
        <w:rPr>
          <w:rStyle w:val="libFootnotenumChar"/>
          <w:rtl/>
        </w:rPr>
        <w:t>(3)</w:t>
      </w:r>
      <w:r w:rsidRPr="00C9040A">
        <w:rPr>
          <w:rtl/>
          <w:lang w:bidi="fa-IR"/>
        </w:rPr>
        <w:t xml:space="preserve"> : الْإِيمَانُ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2C02A9">
        <w:rPr>
          <w:rtl/>
        </w:rPr>
        <w:t>1480</w:t>
      </w:r>
      <w:r w:rsidRPr="00261CB0">
        <w:rPr>
          <w:rStyle w:val="libBold2Char"/>
          <w:rtl/>
        </w:rPr>
        <w:t xml:space="preserve"> / 4.</w:t>
      </w:r>
      <w:r w:rsidRPr="00C9040A">
        <w:rPr>
          <w:rtl/>
          <w:lang w:bidi="fa-IR"/>
        </w:rPr>
        <w:t xml:space="preserve"> عَلِيُّ بْنُ إِبْرَاهِيمَ ، عَنْ أَبِيهِ ، عَنِ ابْنِ أَبِي عُمَيْرٍ ، عَنْ حَفْصِ بْنِ الْبَخْتَرِيِّ </w:t>
      </w:r>
      <w:r w:rsidR="006C577F" w:rsidRPr="006C577F">
        <w:rPr>
          <w:rStyle w:val="libFootnotenumChar"/>
          <w:rtl/>
        </w:rPr>
        <w:t>(5)</w:t>
      </w:r>
      <w:r w:rsidRPr="00C9040A">
        <w:rPr>
          <w:rtl/>
          <w:lang w:bidi="fa-IR"/>
        </w:rPr>
        <w:t xml:space="preserve"> وَهِشَامِ بْنِ سَالِمٍ وَغَيْرِهِمَا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فِي قَوْلِ اللهِ عَزَّ وَجَلَّ : </w:t>
      </w:r>
      <w:r w:rsidRPr="0003660B">
        <w:rPr>
          <w:rStyle w:val="libAlaemChar"/>
          <w:rtl/>
        </w:rPr>
        <w:t>(</w:t>
      </w:r>
      <w:r w:rsidRPr="006A2246">
        <w:rPr>
          <w:rStyle w:val="libAieChar"/>
          <w:rtl/>
        </w:rPr>
        <w:t xml:space="preserve"> هُوَ الَّذِي أَنْزَلَ السَّكِينَةَ فِي قُلُوبِ الْمُؤْمِنِينَ</w:t>
      </w:r>
      <w:r w:rsidRPr="0003660B">
        <w:rPr>
          <w:rStyle w:val="libAlaemChar"/>
          <w:rtl/>
        </w:rPr>
        <w:t>)</w:t>
      </w:r>
      <w:r w:rsidR="006C577F" w:rsidRPr="006C577F">
        <w:rPr>
          <w:rStyle w:val="libFootnotenumChar"/>
          <w:rtl/>
        </w:rPr>
        <w:t>(6)</w:t>
      </w:r>
      <w:r w:rsidRPr="005B567D">
        <w:rPr>
          <w:rStyle w:val="libFootnotenumChar"/>
          <w:rtl/>
        </w:rPr>
        <w:t xml:space="preserve"> </w:t>
      </w:r>
      <w:r w:rsidRPr="00C9040A">
        <w:rPr>
          <w:rtl/>
          <w:lang w:bidi="fa-IR"/>
        </w:rPr>
        <w:t xml:space="preserve">قَالَ : « هُوَ </w:t>
      </w:r>
      <w:r w:rsidR="006C577F" w:rsidRPr="006C577F">
        <w:rPr>
          <w:rStyle w:val="libFootnotenumChar"/>
          <w:rtl/>
        </w:rPr>
        <w:t>(7)</w:t>
      </w:r>
      <w:r w:rsidRPr="00C9040A">
        <w:rPr>
          <w:rtl/>
          <w:lang w:bidi="fa-IR"/>
        </w:rPr>
        <w:t xml:space="preserve"> الْإِيمَانُ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Normal"/>
        <w:rPr>
          <w:rtl/>
          <w:lang w:bidi="fa-IR"/>
        </w:rPr>
      </w:pPr>
      <w:r w:rsidRPr="002C02A9">
        <w:rPr>
          <w:rtl/>
        </w:rPr>
        <w:t>1481</w:t>
      </w:r>
      <w:r w:rsidRPr="00261CB0">
        <w:rPr>
          <w:rStyle w:val="libBold2Char"/>
          <w:rtl/>
        </w:rPr>
        <w:t xml:space="preserve"> / 5.</w:t>
      </w:r>
      <w:r w:rsidRPr="00C9040A">
        <w:rPr>
          <w:rtl/>
          <w:lang w:bidi="fa-IR"/>
        </w:rPr>
        <w:t xml:space="preserve"> عَلِيُّ بْنُ إِبْرَاهِيمَ ، عَنْ مُحَمَّدِ بْنِ عِيسَى بْنِ عُبَيْدٍ </w:t>
      </w:r>
      <w:r w:rsidR="006C577F" w:rsidRPr="006C577F">
        <w:rPr>
          <w:rStyle w:val="libFootnotenumChar"/>
          <w:rtl/>
        </w:rPr>
        <w:t>(9)</w:t>
      </w:r>
      <w:r w:rsidRPr="00C9040A">
        <w:rPr>
          <w:rtl/>
          <w:lang w:bidi="fa-IR"/>
        </w:rPr>
        <w:t xml:space="preserve"> ، عَنْ يُونُسَ </w:t>
      </w:r>
      <w:r w:rsidR="006C577F" w:rsidRPr="006C577F">
        <w:rPr>
          <w:rStyle w:val="libFootnotenumChar"/>
          <w:rtl/>
        </w:rPr>
        <w:t>(10)</w:t>
      </w:r>
      <w:r w:rsidRPr="00C9040A">
        <w:rPr>
          <w:rtl/>
          <w:lang w:bidi="fa-IR"/>
        </w:rPr>
        <w:t xml:space="preserve"> ، عَنْ‌</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w:t>
      </w:r>
      <w:r w:rsidR="008A74EB" w:rsidRPr="00993B55">
        <w:rPr>
          <w:rStyle w:val="libFootnoteBoldChar"/>
          <w:rtl/>
        </w:rPr>
        <w:t>مرآة العقول</w:t>
      </w:r>
      <w:r w:rsidR="008A74EB" w:rsidRPr="00C9040A">
        <w:rPr>
          <w:rtl/>
        </w:rPr>
        <w:t xml:space="preserve"> : « وفي بعض النسخ : صبغ ، بالباء الموحّدة والغين المعجمة ، أي لهذه الكتابة صبغ ولون. وهو تصحيف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المحاسن</w:t>
      </w:r>
      <w:r w:rsidR="008A74EB" w:rsidRPr="00C9040A">
        <w:rPr>
          <w:rtl/>
        </w:rPr>
        <w:t xml:space="preserve"> ، ص 199 ، </w:t>
      </w:r>
      <w:r w:rsidR="008A74EB" w:rsidRPr="00197022">
        <w:rPr>
          <w:rStyle w:val="libFootnoteBoldChar"/>
          <w:rtl/>
        </w:rPr>
        <w:t>كتاب مصابيح الظلم</w:t>
      </w:r>
      <w:r w:rsidR="008A74EB" w:rsidRPr="00C9040A">
        <w:rPr>
          <w:rtl/>
        </w:rPr>
        <w:t xml:space="preserve"> ، ح 27 ، عن الحسن بن عليّ الوشاء ، عن أبان الأحمر بن عثمان ، عن فضل أبي العبّاس بقباق ، مع </w:t>
      </w:r>
      <w:r w:rsidR="008A74EB" w:rsidRPr="00197022">
        <w:rPr>
          <w:rStyle w:val="libFootnoteBoldChar"/>
          <w:rtl/>
        </w:rPr>
        <w:t>اختلاف يسير</w:t>
      </w:r>
      <w:r w:rsidR="008A74EB" w:rsidRPr="00C9040A">
        <w:rPr>
          <w:rtl/>
        </w:rPr>
        <w:t xml:space="preserve"> </w:t>
      </w:r>
      <w:r w:rsidR="00197022">
        <w:rPr>
          <w:rFonts w:hint="cs"/>
          <w:rtl/>
        </w:rPr>
        <w:t>.</w:t>
      </w:r>
      <w:r w:rsidR="008A74EB" w:rsidRPr="00993B55">
        <w:rPr>
          <w:rStyle w:val="libFootnoteBoldChar"/>
          <w:rtl/>
        </w:rPr>
        <w:t>الوافي</w:t>
      </w:r>
      <w:r w:rsidR="008A74EB" w:rsidRPr="00C9040A">
        <w:rPr>
          <w:rtl/>
        </w:rPr>
        <w:t xml:space="preserve"> ، ج 1 ، ص 556 ، ح 463 ؛ </w:t>
      </w:r>
      <w:r w:rsidR="008A74EB" w:rsidRPr="00993B55">
        <w:rPr>
          <w:rStyle w:val="libFootnoteBoldChar"/>
          <w:rtl/>
        </w:rPr>
        <w:t>البحار</w:t>
      </w:r>
      <w:r w:rsidR="008A74EB" w:rsidRPr="00C9040A">
        <w:rPr>
          <w:rtl/>
        </w:rPr>
        <w:t xml:space="preserve"> ، ج 69 ، ص 200 ، ح 22.</w:t>
      </w:r>
      <w:r w:rsidR="00197022">
        <w:rPr>
          <w:rFonts w:hint="cs"/>
          <w:rtl/>
        </w:rPr>
        <w:t xml:space="preserve">                                         </w:t>
      </w:r>
      <w:r>
        <w:rPr>
          <w:rtl/>
        </w:rPr>
        <w:t>(3).</w:t>
      </w:r>
      <w:r w:rsidR="008A74EB" w:rsidRPr="00C9040A">
        <w:rPr>
          <w:rtl/>
        </w:rPr>
        <w:t xml:space="preserve"> في « ب » والوافي والبحار : + « هي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معاني الأخبار</w:t>
      </w:r>
      <w:r w:rsidR="008A74EB" w:rsidRPr="00C9040A">
        <w:rPr>
          <w:rtl/>
        </w:rPr>
        <w:t xml:space="preserve"> ، ص 284 ، ح 1 ، بسنده عن العلاء </w:t>
      </w:r>
      <w:r w:rsidR="00197022">
        <w:rPr>
          <w:rFonts w:hint="cs"/>
          <w:rtl/>
        </w:rPr>
        <w:t>.</w:t>
      </w:r>
      <w:r w:rsidR="008A74EB" w:rsidRPr="00993B55">
        <w:rPr>
          <w:rStyle w:val="libFootnoteBoldChar"/>
          <w:rtl/>
        </w:rPr>
        <w:t>الوافي</w:t>
      </w:r>
      <w:r w:rsidR="008A74EB" w:rsidRPr="00C9040A">
        <w:rPr>
          <w:rtl/>
        </w:rPr>
        <w:t xml:space="preserve"> ، ج 4 ، ص 68 ، ح 1672 ؛ </w:t>
      </w:r>
      <w:r w:rsidR="008A74EB" w:rsidRPr="00993B55">
        <w:rPr>
          <w:rStyle w:val="libFootnoteBoldChar"/>
          <w:rtl/>
        </w:rPr>
        <w:t>البحار</w:t>
      </w:r>
      <w:r w:rsidR="008A74EB" w:rsidRPr="00C9040A">
        <w:rPr>
          <w:rtl/>
        </w:rPr>
        <w:t xml:space="preserve"> ، ج 69 ، ص 200 ، ح 19.</w:t>
      </w:r>
    </w:p>
    <w:p w:rsidR="008A74EB" w:rsidRPr="004A4E41" w:rsidRDefault="006C577F" w:rsidP="004A4E41">
      <w:pPr>
        <w:pStyle w:val="libFootnote0"/>
        <w:rPr>
          <w:rStyle w:val="libFootnote0Char"/>
          <w:rtl/>
        </w:rPr>
      </w:pPr>
      <w:r>
        <w:rPr>
          <w:rtl/>
        </w:rPr>
        <w:t>(5).</w:t>
      </w:r>
      <w:r w:rsidR="008A74EB" w:rsidRPr="00C9040A">
        <w:rPr>
          <w:rtl/>
        </w:rPr>
        <w:t xml:space="preserve"> في « ب » : « حفض بن البختري »</w:t>
      </w:r>
      <w:r w:rsidR="008A74EB">
        <w:rPr>
          <w:rtl/>
        </w:rPr>
        <w:t>.</w:t>
      </w:r>
      <w:r w:rsidR="008A74EB" w:rsidRPr="00C9040A">
        <w:rPr>
          <w:rtl/>
        </w:rPr>
        <w:t xml:space="preserve"> وفي « </w:t>
      </w:r>
      <w:r w:rsidR="006D3162">
        <w:rPr>
          <w:rtl/>
        </w:rPr>
        <w:t xml:space="preserve">ه </w:t>
      </w:r>
      <w:r w:rsidR="008A74EB" w:rsidRPr="00C9040A">
        <w:rPr>
          <w:rtl/>
        </w:rPr>
        <w:t>» : « حفص البختري »</w:t>
      </w:r>
      <w:r w:rsidR="008A74EB">
        <w:rPr>
          <w:rtl/>
        </w:rPr>
        <w:t>.</w:t>
      </w:r>
      <w:r w:rsidR="008A74EB" w:rsidRPr="00C9040A">
        <w:rPr>
          <w:rtl/>
        </w:rPr>
        <w:t xml:space="preserve"> وكلاهما سهو ؛ فقد روى ابن أبي عمير كتاب‌</w:t>
      </w:r>
      <w:r w:rsidR="00197022">
        <w:rPr>
          <w:rFonts w:hint="cs"/>
          <w:rtl/>
        </w:rPr>
        <w:t xml:space="preserve"> </w:t>
      </w:r>
      <w:r w:rsidR="008A74EB" w:rsidRPr="00C9040A">
        <w:rPr>
          <w:rtl/>
        </w:rPr>
        <w:t xml:space="preserve">حفص بن البختري وتكرّرت روايته عنه في الأسناد. راجع : </w:t>
      </w:r>
      <w:r w:rsidR="008A74EB" w:rsidRPr="00993B55">
        <w:rPr>
          <w:rStyle w:val="libFootnoteBoldChar"/>
          <w:rtl/>
        </w:rPr>
        <w:t>رجال النجاشي</w:t>
      </w:r>
      <w:r w:rsidR="008A74EB" w:rsidRPr="00C9040A">
        <w:rPr>
          <w:rtl/>
        </w:rPr>
        <w:t xml:space="preserve"> ، ص 134 ، الرقم 344 ؛ </w:t>
      </w:r>
      <w:r w:rsidR="008A74EB" w:rsidRPr="0034021D">
        <w:rPr>
          <w:rStyle w:val="libFootnoteBoldChar"/>
          <w:rtl/>
        </w:rPr>
        <w:t>الفهرست للطوسي</w:t>
      </w:r>
      <w:r w:rsidR="008A74EB" w:rsidRPr="00C9040A">
        <w:rPr>
          <w:rtl/>
        </w:rPr>
        <w:t xml:space="preserve"> ، ص 158 ، الرقم 243 ؛ </w:t>
      </w:r>
      <w:r w:rsidR="008A74EB" w:rsidRPr="00993B55">
        <w:rPr>
          <w:rStyle w:val="libFootnoteBoldChar"/>
          <w:rtl/>
        </w:rPr>
        <w:t>معجم رجال الحديث</w:t>
      </w:r>
      <w:r w:rsidR="008A74EB" w:rsidRPr="00C9040A">
        <w:rPr>
          <w:rtl/>
        </w:rPr>
        <w:t xml:space="preserve"> ، ج 14 ، ص 420 ؛ وج 22 ، ص 258</w:t>
      </w:r>
      <w:r w:rsidR="008A74EB">
        <w:rPr>
          <w:rtl/>
        </w:rPr>
        <w:t xml:space="preserve"> </w:t>
      </w:r>
      <w:r w:rsidR="0084262C">
        <w:rPr>
          <w:rtl/>
        </w:rPr>
        <w:t>-</w:t>
      </w:r>
      <w:r w:rsidR="008A74EB">
        <w:rPr>
          <w:rtl/>
        </w:rPr>
        <w:t xml:space="preserve"> </w:t>
      </w:r>
      <w:r w:rsidR="008A74EB" w:rsidRPr="00C9040A">
        <w:rPr>
          <w:rtl/>
        </w:rPr>
        <w:t xml:space="preserve">262. ثمّ اعلم أنّ البَخْتَريَّ اسم يشبه النسبة. راجع : </w:t>
      </w:r>
      <w:r w:rsidR="008A74EB" w:rsidRPr="00993B55">
        <w:rPr>
          <w:rStyle w:val="libFootnoteBoldChar"/>
          <w:rtl/>
        </w:rPr>
        <w:t>الأنساب</w:t>
      </w:r>
      <w:r w:rsidR="008A74EB" w:rsidRPr="00C9040A">
        <w:rPr>
          <w:rtl/>
        </w:rPr>
        <w:t xml:space="preserve"> للسمعاني ، ج 1 ، ص 294. فتأمّل.</w:t>
      </w:r>
    </w:p>
    <w:tbl>
      <w:tblPr>
        <w:tblStyle w:val="TableGrid"/>
        <w:bidiVisual/>
        <w:tblW w:w="0" w:type="auto"/>
        <w:tblLook w:val="04A0" w:firstRow="1" w:lastRow="0" w:firstColumn="1" w:lastColumn="0" w:noHBand="0" w:noVBand="1"/>
      </w:tblPr>
      <w:tblGrid>
        <w:gridCol w:w="4006"/>
        <w:gridCol w:w="4006"/>
      </w:tblGrid>
      <w:tr w:rsidR="00F14194" w:rsidTr="00F14194">
        <w:tc>
          <w:tcPr>
            <w:tcW w:w="4006" w:type="dxa"/>
          </w:tcPr>
          <w:p w:rsidR="00F14194" w:rsidRDefault="00F14194" w:rsidP="004A4E41">
            <w:pPr>
              <w:pStyle w:val="libFootnote0"/>
              <w:rPr>
                <w:rtl/>
              </w:rPr>
            </w:pPr>
            <w:r>
              <w:rPr>
                <w:rtl/>
              </w:rPr>
              <w:t xml:space="preserve">(6). </w:t>
            </w:r>
            <w:r w:rsidRPr="00C9040A">
              <w:rPr>
                <w:rtl/>
              </w:rPr>
              <w:t>الفتح (48) : 4.</w:t>
            </w:r>
          </w:p>
        </w:tc>
        <w:tc>
          <w:tcPr>
            <w:tcW w:w="4006" w:type="dxa"/>
          </w:tcPr>
          <w:p w:rsidR="00F14194" w:rsidRDefault="00F14194" w:rsidP="004A4E41">
            <w:pPr>
              <w:pStyle w:val="libFootnote0"/>
              <w:rPr>
                <w:rtl/>
              </w:rPr>
            </w:pPr>
            <w:r>
              <w:rPr>
                <w:rtl/>
              </w:rPr>
              <w:t>(7).</w:t>
            </w:r>
            <w:r w:rsidRPr="00C9040A">
              <w:rPr>
                <w:rtl/>
              </w:rPr>
              <w:t xml:space="preserve"> في « ب » : « هي »</w:t>
            </w:r>
            <w:r>
              <w:rPr>
                <w:rtl/>
              </w:rPr>
              <w:t>.</w:t>
            </w:r>
          </w:p>
        </w:tc>
      </w:tr>
    </w:tbl>
    <w:p w:rsidR="008A74EB" w:rsidRPr="00C9040A" w:rsidRDefault="006C577F" w:rsidP="004A4E41">
      <w:pPr>
        <w:pStyle w:val="libFootnote0"/>
        <w:rPr>
          <w:rtl/>
          <w:lang w:bidi="fa-IR"/>
        </w:rPr>
      </w:pPr>
      <w:r>
        <w:rPr>
          <w:rtl/>
        </w:rPr>
        <w:t>(8).</w:t>
      </w:r>
      <w:r w:rsidR="008A74EB" w:rsidRPr="00C9040A">
        <w:rPr>
          <w:rtl/>
        </w:rPr>
        <w:t xml:space="preserve"> </w:t>
      </w:r>
      <w:r w:rsidR="008A74EB" w:rsidRPr="00993B55">
        <w:rPr>
          <w:rStyle w:val="libFootnoteBoldChar"/>
          <w:rtl/>
        </w:rPr>
        <w:t>الوافي</w:t>
      </w:r>
      <w:r w:rsidR="008A74EB" w:rsidRPr="00C9040A">
        <w:rPr>
          <w:rtl/>
        </w:rPr>
        <w:t xml:space="preserve"> ، ج 4 ، ص 67 ، ح 1670 ؛ </w:t>
      </w:r>
      <w:r w:rsidR="008A74EB" w:rsidRPr="00993B55">
        <w:rPr>
          <w:rStyle w:val="libFootnoteBoldChar"/>
          <w:rtl/>
        </w:rPr>
        <w:t>البحار</w:t>
      </w:r>
      <w:r w:rsidR="008A74EB" w:rsidRPr="00C9040A">
        <w:rPr>
          <w:rtl/>
        </w:rPr>
        <w:t xml:space="preserve"> ، ج 69 ، ص 200 ، ح 20.</w:t>
      </w:r>
    </w:p>
    <w:p w:rsidR="008A74EB" w:rsidRPr="00C9040A" w:rsidRDefault="006C577F" w:rsidP="004A4E41">
      <w:pPr>
        <w:pStyle w:val="libFootnote0"/>
        <w:rPr>
          <w:rtl/>
          <w:lang w:bidi="fa-IR"/>
        </w:rPr>
      </w:pPr>
      <w:r>
        <w:rPr>
          <w:rtl/>
        </w:rPr>
        <w:t>(9).</w:t>
      </w:r>
      <w:r w:rsidR="008A74EB" w:rsidRPr="00C9040A">
        <w:rPr>
          <w:rtl/>
        </w:rPr>
        <w:t xml:space="preserve"> في « </w:t>
      </w:r>
      <w:r w:rsidR="006D3162">
        <w:rPr>
          <w:rtl/>
        </w:rPr>
        <w:t xml:space="preserve">ه </w:t>
      </w:r>
      <w:r w:rsidR="008A74EB" w:rsidRPr="00C9040A">
        <w:rPr>
          <w:rtl/>
        </w:rPr>
        <w:t xml:space="preserve">» </w:t>
      </w:r>
      <w:r w:rsidR="008A74EB">
        <w:rPr>
          <w:rtl/>
        </w:rPr>
        <w:t xml:space="preserve">: </w:t>
      </w:r>
      <w:r w:rsidR="0084262C">
        <w:rPr>
          <w:rtl/>
        </w:rPr>
        <w:t>-</w:t>
      </w:r>
      <w:r w:rsidR="008A74EB" w:rsidRPr="00C9040A">
        <w:rPr>
          <w:rtl/>
        </w:rPr>
        <w:t xml:space="preserve"> « بن عبيد »</w:t>
      </w:r>
      <w:r w:rsidR="008A74EB">
        <w:rPr>
          <w:rtl/>
        </w:rPr>
        <w:t>.</w:t>
      </w:r>
      <w:r w:rsidR="008A74EB" w:rsidRPr="00C9040A">
        <w:rPr>
          <w:rtl/>
        </w:rPr>
        <w:t xml:space="preserve"> وفي « ص » : « محمّد بن عيسى عن عبيد »</w:t>
      </w:r>
      <w:r w:rsidR="008A74EB">
        <w:rPr>
          <w:rtl/>
        </w:rPr>
        <w:t>.</w:t>
      </w:r>
      <w:r w:rsidR="008A74EB" w:rsidRPr="00C9040A">
        <w:rPr>
          <w:rtl/>
        </w:rPr>
        <w:t xml:space="preserve"> وهو سهو ؛ فقد روى محمّد بن عيسى بن‌عبيد جميع كتب يونس بن عبدالرحمن. راجع : </w:t>
      </w:r>
      <w:r w:rsidR="008A74EB" w:rsidRPr="0034021D">
        <w:rPr>
          <w:rStyle w:val="libFootnoteBoldChar"/>
          <w:rtl/>
        </w:rPr>
        <w:t>الفهرست للطوسي</w:t>
      </w:r>
      <w:r w:rsidR="008A74EB" w:rsidRPr="00C9040A">
        <w:rPr>
          <w:rtl/>
        </w:rPr>
        <w:t xml:space="preserve"> ، ص 511 ، الرقم 813 ؛ </w:t>
      </w:r>
      <w:r w:rsidR="008A74EB" w:rsidRPr="00993B55">
        <w:rPr>
          <w:rStyle w:val="libFootnoteBoldChar"/>
          <w:rtl/>
        </w:rPr>
        <w:t>رجال النجاشي</w:t>
      </w:r>
      <w:r w:rsidR="008A74EB" w:rsidRPr="00C9040A">
        <w:rPr>
          <w:rtl/>
        </w:rPr>
        <w:t xml:space="preserve"> ، ص 446 ، الرقم 1208.</w:t>
      </w:r>
    </w:p>
    <w:p w:rsidR="008A74EB" w:rsidRPr="00C9040A" w:rsidRDefault="006C577F" w:rsidP="004A4E41">
      <w:pPr>
        <w:pStyle w:val="libFootnote0"/>
        <w:rPr>
          <w:rtl/>
          <w:lang w:bidi="fa-IR"/>
        </w:rPr>
      </w:pPr>
      <w:r>
        <w:rPr>
          <w:rtl/>
        </w:rPr>
        <w:t>(10).</w:t>
      </w:r>
      <w:r w:rsidR="008A74EB" w:rsidRPr="00C9040A">
        <w:rPr>
          <w:rtl/>
        </w:rPr>
        <w:t xml:space="preserve"> في « </w:t>
      </w:r>
      <w:r w:rsidR="006D3162">
        <w:rPr>
          <w:rtl/>
        </w:rPr>
        <w:t xml:space="preserve">ه </w:t>
      </w:r>
      <w:r w:rsidR="008A74EB" w:rsidRPr="00C9040A">
        <w:rPr>
          <w:rtl/>
        </w:rPr>
        <w:t>» : + « عن ابن مسكان »</w:t>
      </w:r>
      <w:r w:rsidR="008A74EB">
        <w:rPr>
          <w:rtl/>
        </w:rPr>
        <w:t>.</w:t>
      </w:r>
      <w:r w:rsidR="008A74EB" w:rsidRPr="00C9040A">
        <w:rPr>
          <w:rtl/>
        </w:rPr>
        <w:t xml:space="preserve"> وهو زائد ؛ فإنّه لم يعهد توسّط راوٍ بين يونس بن عبد الرحمن وشيخه </w:t>
      </w:r>
      <w:r w:rsidR="00F14194">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جَمِيلٍ ، قَالَ :</w:t>
      </w:r>
    </w:p>
    <w:p w:rsidR="008A74EB" w:rsidRPr="00C9040A" w:rsidRDefault="008A74EB" w:rsidP="008A74EB">
      <w:pPr>
        <w:pStyle w:val="libNormal"/>
        <w:rPr>
          <w:rtl/>
          <w:lang w:bidi="fa-IR"/>
        </w:rPr>
      </w:pPr>
      <w:r w:rsidRPr="00C9040A">
        <w:rPr>
          <w:rtl/>
          <w:lang w:bidi="fa-IR"/>
        </w:rPr>
        <w:t xml:space="preserve">سَأَلْتُ أَبَا عَبْدِ اللهِ </w:t>
      </w:r>
      <w:r w:rsidRPr="0003660B">
        <w:rPr>
          <w:rStyle w:val="libAlaemChar"/>
          <w:rtl/>
        </w:rPr>
        <w:t>عليه‌السلام</w:t>
      </w:r>
      <w:r w:rsidRPr="00C9040A">
        <w:rPr>
          <w:rtl/>
          <w:lang w:bidi="fa-IR"/>
        </w:rPr>
        <w:t xml:space="preserve"> عَنْ قَوْلِهِ </w:t>
      </w:r>
      <w:r w:rsidR="006C577F" w:rsidRPr="006C577F">
        <w:rPr>
          <w:rStyle w:val="libFootnotenumChar"/>
          <w:rtl/>
        </w:rPr>
        <w:t>(1)</w:t>
      </w:r>
      <w:r w:rsidRPr="002712F0">
        <w:rPr>
          <w:rFonts w:hint="cs"/>
          <w:rtl/>
        </w:rPr>
        <w:t xml:space="preserve"> </w:t>
      </w:r>
      <w:r w:rsidRPr="00C9040A">
        <w:rPr>
          <w:rtl/>
          <w:lang w:bidi="fa-IR"/>
        </w:rPr>
        <w:t xml:space="preserve">عَزَّ وَجَلَّ : </w:t>
      </w:r>
      <w:r w:rsidRPr="0003660B">
        <w:rPr>
          <w:rStyle w:val="libAlaemChar"/>
          <w:rtl/>
        </w:rPr>
        <w:t>(</w:t>
      </w:r>
      <w:r w:rsidRPr="006A2246">
        <w:rPr>
          <w:rStyle w:val="libAieChar"/>
          <w:rtl/>
        </w:rPr>
        <w:t xml:space="preserve"> هُوَ الَّذِي أَنْزَلَ السَّكِينَةَ فِي قُلُوبِ الْمُؤْمِنِينَ </w:t>
      </w:r>
      <w:r w:rsidRPr="0003660B">
        <w:rPr>
          <w:rStyle w:val="libAlaemChar"/>
          <w:rtl/>
        </w:rPr>
        <w:t>)</w:t>
      </w:r>
      <w:r w:rsidRPr="00C9040A">
        <w:rPr>
          <w:rtl/>
          <w:lang w:bidi="fa-IR"/>
        </w:rPr>
        <w:t xml:space="preserve"> قَالَ : « هُوَ </w:t>
      </w:r>
      <w:r w:rsidR="006C577F" w:rsidRPr="006C577F">
        <w:rPr>
          <w:rStyle w:val="libFootnotenumChar"/>
          <w:rtl/>
        </w:rPr>
        <w:t>(2)</w:t>
      </w:r>
      <w:r w:rsidRPr="00C9040A">
        <w:rPr>
          <w:rtl/>
          <w:lang w:bidi="fa-IR"/>
        </w:rPr>
        <w:t xml:space="preserve"> الْإِيمَانُ »</w:t>
      </w:r>
      <w:r>
        <w:rPr>
          <w:rtl/>
          <w:lang w:bidi="fa-IR"/>
        </w:rPr>
        <w:t>.</w:t>
      </w:r>
    </w:p>
    <w:p w:rsidR="008A74EB" w:rsidRPr="00C9040A" w:rsidRDefault="008A74EB" w:rsidP="008A74EB">
      <w:pPr>
        <w:pStyle w:val="libNormal"/>
        <w:rPr>
          <w:rtl/>
          <w:lang w:bidi="fa-IR"/>
        </w:rPr>
      </w:pPr>
      <w:r w:rsidRPr="00C9040A">
        <w:rPr>
          <w:rtl/>
          <w:lang w:bidi="fa-IR"/>
        </w:rPr>
        <w:t xml:space="preserve">قَالَ : قُلْتُ </w:t>
      </w:r>
      <w:r w:rsidR="006C577F" w:rsidRPr="006C577F">
        <w:rPr>
          <w:rStyle w:val="libFootnotenumChar"/>
          <w:rtl/>
        </w:rPr>
        <w:t>(3)</w:t>
      </w:r>
      <w:r w:rsidRPr="00C9040A">
        <w:rPr>
          <w:rtl/>
          <w:lang w:bidi="fa-IR"/>
        </w:rPr>
        <w:t xml:space="preserve"> : </w:t>
      </w:r>
      <w:r w:rsidRPr="0003660B">
        <w:rPr>
          <w:rStyle w:val="libAlaemChar"/>
          <w:rtl/>
        </w:rPr>
        <w:t>(</w:t>
      </w:r>
      <w:r w:rsidRPr="006A2246">
        <w:rPr>
          <w:rStyle w:val="libAieChar"/>
          <w:rtl/>
        </w:rPr>
        <w:t xml:space="preserve"> وَأَيَّدَهُمْ بِرُوحٍ مِنْهُ </w:t>
      </w:r>
      <w:r w:rsidRPr="0003660B">
        <w:rPr>
          <w:rStyle w:val="libAlaemChar"/>
          <w:rtl/>
        </w:rPr>
        <w:t>)</w:t>
      </w:r>
      <w:r>
        <w:rPr>
          <w:rtl/>
          <w:lang w:bidi="fa-IR"/>
        </w:rPr>
        <w:t>؟</w:t>
      </w:r>
      <w:r w:rsidRPr="00C9040A">
        <w:rPr>
          <w:rtl/>
          <w:lang w:bidi="fa-IR"/>
        </w:rPr>
        <w:t xml:space="preserve"> قَالَ : « هُوَ الْإِيمَانُ »</w:t>
      </w:r>
      <w:r>
        <w:rPr>
          <w:rtl/>
          <w:lang w:bidi="fa-IR"/>
        </w:rPr>
        <w:t>.</w:t>
      </w:r>
    </w:p>
    <w:p w:rsidR="008A74EB" w:rsidRPr="00C9040A" w:rsidRDefault="008A74EB" w:rsidP="008A74EB">
      <w:pPr>
        <w:pStyle w:val="libNormal"/>
        <w:rPr>
          <w:rtl/>
          <w:lang w:bidi="fa-IR"/>
        </w:rPr>
      </w:pPr>
      <w:r w:rsidRPr="00C9040A">
        <w:rPr>
          <w:rtl/>
          <w:lang w:bidi="fa-IR"/>
        </w:rPr>
        <w:t xml:space="preserve">وَعَنْ قَوْلِهِ تَعَالى : </w:t>
      </w:r>
      <w:r w:rsidRPr="0003660B">
        <w:rPr>
          <w:rStyle w:val="libAlaemChar"/>
          <w:rtl/>
        </w:rPr>
        <w:t>(</w:t>
      </w:r>
      <w:r w:rsidRPr="006A2246">
        <w:rPr>
          <w:rStyle w:val="libAieChar"/>
          <w:rtl/>
        </w:rPr>
        <w:t xml:space="preserve"> وَأَلْزَمَهُمْ كَلِمَةَ التَّقْوى </w:t>
      </w:r>
      <w:r w:rsidRPr="0003660B">
        <w:rPr>
          <w:rStyle w:val="libAlaemChar"/>
          <w:rtl/>
        </w:rPr>
        <w:t>)</w:t>
      </w:r>
      <w:r w:rsidRPr="00C9040A">
        <w:rPr>
          <w:rtl/>
          <w:lang w:bidi="fa-IR"/>
        </w:rPr>
        <w:t xml:space="preserve"> </w:t>
      </w:r>
      <w:r w:rsidR="006C577F" w:rsidRPr="006C577F">
        <w:rPr>
          <w:rStyle w:val="libFootnotenumChar"/>
          <w:rtl/>
        </w:rPr>
        <w:t>(4)</w:t>
      </w:r>
      <w:r>
        <w:rPr>
          <w:rtl/>
          <w:lang w:bidi="fa-IR"/>
        </w:rPr>
        <w:t>؟</w:t>
      </w:r>
      <w:r w:rsidRPr="00C9040A">
        <w:rPr>
          <w:rtl/>
          <w:lang w:bidi="fa-IR"/>
        </w:rPr>
        <w:t xml:space="preserve"> قَالَ : « هُوَ الْإِيمَانُ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Heading2Center"/>
        <w:rPr>
          <w:rtl/>
          <w:lang w:bidi="fa-IR"/>
        </w:rPr>
      </w:pPr>
      <w:bookmarkStart w:id="43" w:name="_Toc343795602"/>
      <w:bookmarkStart w:id="44" w:name="_Toc459810726"/>
      <w:bookmarkStart w:id="45" w:name="_Toc35348632"/>
      <w:r w:rsidRPr="00C9040A">
        <w:rPr>
          <w:rtl/>
          <w:lang w:bidi="fa-IR"/>
        </w:rPr>
        <w:t>11</w:t>
      </w:r>
      <w:r>
        <w:rPr>
          <w:rtl/>
          <w:lang w:bidi="fa-IR"/>
        </w:rPr>
        <w:t xml:space="preserve"> </w:t>
      </w:r>
      <w:r w:rsidR="0084262C">
        <w:rPr>
          <w:rtl/>
          <w:lang w:bidi="fa-IR"/>
        </w:rPr>
        <w:t>-</w:t>
      </w:r>
      <w:r>
        <w:rPr>
          <w:rtl/>
          <w:lang w:bidi="fa-IR"/>
        </w:rPr>
        <w:t xml:space="preserve"> </w:t>
      </w:r>
      <w:r w:rsidRPr="00C9040A">
        <w:rPr>
          <w:rtl/>
          <w:lang w:bidi="fa-IR"/>
        </w:rPr>
        <w:t>بَابُ الْإِخْلَاصِ‌</w:t>
      </w:r>
      <w:bookmarkEnd w:id="43"/>
      <w:bookmarkEnd w:id="44"/>
      <w:bookmarkEnd w:id="45"/>
    </w:p>
    <w:p w:rsidR="008A74EB" w:rsidRPr="00C9040A" w:rsidRDefault="008A74EB" w:rsidP="008A74EB">
      <w:pPr>
        <w:pStyle w:val="libNormal"/>
        <w:rPr>
          <w:rtl/>
          <w:lang w:bidi="fa-IR"/>
        </w:rPr>
      </w:pPr>
      <w:r w:rsidRPr="002C02A9">
        <w:rPr>
          <w:rtl/>
        </w:rPr>
        <w:t>1482</w:t>
      </w:r>
      <w:r w:rsidRPr="00261CB0">
        <w:rPr>
          <w:rStyle w:val="libBold2Char"/>
          <w:rtl/>
        </w:rPr>
        <w:t xml:space="preserve"> / 1.</w:t>
      </w:r>
      <w:r w:rsidRPr="00C9040A">
        <w:rPr>
          <w:rtl/>
          <w:lang w:bidi="fa-IR"/>
        </w:rPr>
        <w:t xml:space="preserve"> عَلِيُّ بْنُ إِبْرَاهِيمَ ، عَنْ مُحَمَّدِ بْنِ عِيسى ، عَنْ يُونُسَ ، عَنْ عَبْدِ اللهِ </w:t>
      </w:r>
      <w:r w:rsidR="006C577F" w:rsidRPr="006C577F">
        <w:rPr>
          <w:rStyle w:val="libFootnotenumChar"/>
          <w:rtl/>
        </w:rPr>
        <w:t>(6)</w:t>
      </w:r>
      <w:r w:rsidRPr="005B567D">
        <w:rPr>
          <w:rStyle w:val="libFootnotenumChar"/>
          <w:rtl/>
        </w:rPr>
        <w:t xml:space="preserve"> </w:t>
      </w:r>
      <w:r w:rsidRPr="00C9040A">
        <w:rPr>
          <w:rtl/>
          <w:lang w:bidi="fa-IR"/>
        </w:rPr>
        <w:t>بْنِ مُسْكَانَ :</w:t>
      </w:r>
    </w:p>
    <w:p w:rsidR="008A74EB" w:rsidRPr="00C9040A" w:rsidRDefault="008A74EB" w:rsidP="003533F1">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فِي قَوْلِ اللهِ عَزَّ وَجَلَّ : </w:t>
      </w:r>
      <w:r w:rsidRPr="0003660B">
        <w:rPr>
          <w:rStyle w:val="libAlaemChar"/>
          <w:rtl/>
        </w:rPr>
        <w:t>(</w:t>
      </w:r>
      <w:r w:rsidRPr="006A2246">
        <w:rPr>
          <w:rStyle w:val="libAieChar"/>
          <w:rtl/>
        </w:rPr>
        <w:t xml:space="preserve"> حَنِيفاً مُسْلِماً </w:t>
      </w:r>
      <w:r w:rsidRPr="0003660B">
        <w:rPr>
          <w:rStyle w:val="libAlaemChar"/>
          <w:rtl/>
        </w:rPr>
        <w:t>)</w:t>
      </w:r>
      <w:r w:rsidRPr="00C9040A">
        <w:rPr>
          <w:rtl/>
          <w:lang w:bidi="fa-IR"/>
        </w:rPr>
        <w:t xml:space="preserve"> </w:t>
      </w:r>
      <w:r w:rsidR="006C577F" w:rsidRPr="006C577F">
        <w:rPr>
          <w:rStyle w:val="libFootnotenumChar"/>
          <w:rtl/>
        </w:rPr>
        <w:t>(7)</w:t>
      </w:r>
      <w:r w:rsidRPr="00C9040A">
        <w:rPr>
          <w:rtl/>
          <w:lang w:bidi="fa-IR"/>
        </w:rPr>
        <w:t xml:space="preserve"> قَالَ : « خَالِصاً </w:t>
      </w:r>
      <w:r w:rsidR="006C577F" w:rsidRPr="006C577F">
        <w:rPr>
          <w:rStyle w:val="libFootnotenumChar"/>
          <w:rtl/>
        </w:rPr>
        <w:t>(8)</w:t>
      </w:r>
      <w:r w:rsidRPr="00C9040A">
        <w:rPr>
          <w:rtl/>
          <w:lang w:bidi="fa-IR"/>
        </w:rPr>
        <w:t xml:space="preserve"> مُخْلِصاً ، لَيْسَ فِيهِ شَيْ‌ءٌ مِنْ عِبَادَةِ الْأَوْثَانِ »</w:t>
      </w:r>
      <w:r>
        <w:rPr>
          <w:rtl/>
          <w:lang w:bidi="fa-IR"/>
        </w:rPr>
        <w:t>.</w:t>
      </w:r>
      <w:r w:rsidRPr="00C9040A">
        <w:rPr>
          <w:rtl/>
          <w:lang w:bidi="fa-IR"/>
        </w:rPr>
        <w:t xml:space="preserve"> </w:t>
      </w:r>
      <w:r w:rsidR="006C577F" w:rsidRPr="006C577F">
        <w:rPr>
          <w:rStyle w:val="libFootnotenumChar"/>
          <w:rtl/>
        </w:rPr>
        <w:t>(9)</w:t>
      </w:r>
      <w:r w:rsidRPr="00C9040A">
        <w:rPr>
          <w:rtl/>
          <w:lang w:bidi="fa-IR"/>
        </w:rPr>
        <w:t>‌</w:t>
      </w:r>
    </w:p>
    <w:p w:rsidR="008A74EB" w:rsidRPr="00C9040A" w:rsidRDefault="008A74EB" w:rsidP="008A74EB">
      <w:pPr>
        <w:pStyle w:val="libLine"/>
        <w:rPr>
          <w:rtl/>
          <w:lang w:bidi="fa-IR"/>
        </w:rPr>
      </w:pPr>
      <w:r w:rsidRPr="00C9040A">
        <w:rPr>
          <w:rtl/>
          <w:lang w:bidi="fa-IR"/>
        </w:rPr>
        <w:t>__________________</w:t>
      </w:r>
    </w:p>
    <w:p w:rsidR="008A74EB" w:rsidRPr="004A4E41" w:rsidRDefault="003533F1" w:rsidP="004A4E41">
      <w:pPr>
        <w:pStyle w:val="libFootnote0"/>
        <w:rPr>
          <w:rStyle w:val="libFootnote0Char"/>
          <w:rtl/>
        </w:rPr>
      </w:pPr>
      <w:r>
        <w:rPr>
          <w:rFonts w:hint="cs"/>
          <w:rtl/>
        </w:rPr>
        <w:t xml:space="preserve">= </w:t>
      </w:r>
      <w:r w:rsidR="008A74EB" w:rsidRPr="00C9040A">
        <w:rPr>
          <w:rtl/>
        </w:rPr>
        <w:t>جميل بن درّاج ، كما لم نجد</w:t>
      </w:r>
      <w:r w:rsidR="008A74EB">
        <w:rPr>
          <w:rtl/>
        </w:rPr>
        <w:t xml:space="preserve"> </w:t>
      </w:r>
      <w:r w:rsidR="0084262C">
        <w:rPr>
          <w:rtl/>
        </w:rPr>
        <w:t>-</w:t>
      </w:r>
      <w:r w:rsidR="008A74EB">
        <w:rPr>
          <w:rtl/>
        </w:rPr>
        <w:t xml:space="preserve"> </w:t>
      </w:r>
      <w:r w:rsidR="008A74EB" w:rsidRPr="00C9040A">
        <w:rPr>
          <w:rtl/>
        </w:rPr>
        <w:t>مع الفحص الأكيد</w:t>
      </w:r>
      <w:r w:rsidR="008A74EB">
        <w:rPr>
          <w:rtl/>
        </w:rPr>
        <w:t xml:space="preserve"> </w:t>
      </w:r>
      <w:r w:rsidR="0084262C">
        <w:rPr>
          <w:rtl/>
        </w:rPr>
        <w:t>-</w:t>
      </w:r>
      <w:r w:rsidR="008A74EB">
        <w:rPr>
          <w:rtl/>
        </w:rPr>
        <w:t xml:space="preserve"> </w:t>
      </w:r>
      <w:r w:rsidR="008A74EB" w:rsidRPr="00C9040A">
        <w:rPr>
          <w:rtl/>
        </w:rPr>
        <w:t>رواية ابن مسكان</w:t>
      </w:r>
      <w:r w:rsidR="008A74EB">
        <w:rPr>
          <w:rtl/>
        </w:rPr>
        <w:t xml:space="preserve"> </w:t>
      </w:r>
      <w:r w:rsidR="0084262C">
        <w:rPr>
          <w:rtl/>
        </w:rPr>
        <w:t>-</w:t>
      </w:r>
      <w:r w:rsidR="008A74EB">
        <w:rPr>
          <w:rtl/>
        </w:rPr>
        <w:t xml:space="preserve"> </w:t>
      </w:r>
      <w:r w:rsidR="008A74EB" w:rsidRPr="00C9040A">
        <w:rPr>
          <w:rtl/>
        </w:rPr>
        <w:t>وهو عبد الله</w:t>
      </w:r>
      <w:r w:rsidR="008A74EB">
        <w:rPr>
          <w:rtl/>
        </w:rPr>
        <w:t xml:space="preserve"> </w:t>
      </w:r>
      <w:r w:rsidR="0084262C">
        <w:rPr>
          <w:rtl/>
        </w:rPr>
        <w:t>-</w:t>
      </w:r>
      <w:r w:rsidR="008A74EB">
        <w:rPr>
          <w:rtl/>
        </w:rPr>
        <w:t xml:space="preserve"> </w:t>
      </w:r>
      <w:r w:rsidR="008A74EB" w:rsidRPr="00C9040A">
        <w:rPr>
          <w:rtl/>
        </w:rPr>
        <w:t xml:space="preserve">عمّن يسمّى بجميل ، سواء أكان هو ابن درّاج أو ابن صالح. راجع : </w:t>
      </w:r>
      <w:r w:rsidR="008A74EB" w:rsidRPr="00993B55">
        <w:rPr>
          <w:rStyle w:val="libFootnoteBoldChar"/>
          <w:rtl/>
        </w:rPr>
        <w:t>الكافي</w:t>
      </w:r>
      <w:r w:rsidR="008A74EB" w:rsidRPr="00C9040A">
        <w:rPr>
          <w:rtl/>
        </w:rPr>
        <w:t xml:space="preserve"> ، ح 1507 ؛ </w:t>
      </w:r>
      <w:r w:rsidR="008A74EB" w:rsidRPr="00993B55">
        <w:rPr>
          <w:rStyle w:val="libFootnoteBoldChar"/>
          <w:rtl/>
        </w:rPr>
        <w:t>المحاسن</w:t>
      </w:r>
      <w:r w:rsidR="008A74EB" w:rsidRPr="00C9040A">
        <w:rPr>
          <w:rtl/>
        </w:rPr>
        <w:t xml:space="preserve"> ، ص 320 ، ح 57 ؛ وص 333 ، ح 100 ؛ و</w:t>
      </w:r>
      <w:r w:rsidR="008A74EB" w:rsidRPr="00993B55">
        <w:rPr>
          <w:rStyle w:val="libFootnoteBoldChar"/>
          <w:rtl/>
        </w:rPr>
        <w:t>علل الشرائع</w:t>
      </w:r>
      <w:r w:rsidR="008A74EB" w:rsidRPr="00C9040A">
        <w:rPr>
          <w:rtl/>
        </w:rPr>
        <w:t xml:space="preserve"> ، ص 439 ، ح 2.</w:t>
      </w:r>
    </w:p>
    <w:tbl>
      <w:tblPr>
        <w:tblStyle w:val="TableGrid"/>
        <w:bidiVisual/>
        <w:tblW w:w="0" w:type="auto"/>
        <w:tblLook w:val="04A0" w:firstRow="1" w:lastRow="0" w:firstColumn="1" w:lastColumn="0" w:noHBand="0" w:noVBand="1"/>
      </w:tblPr>
      <w:tblGrid>
        <w:gridCol w:w="4006"/>
        <w:gridCol w:w="4006"/>
      </w:tblGrid>
      <w:tr w:rsidR="003533F1" w:rsidTr="003533F1">
        <w:tc>
          <w:tcPr>
            <w:tcW w:w="4006" w:type="dxa"/>
          </w:tcPr>
          <w:p w:rsidR="003533F1" w:rsidRDefault="003533F1" w:rsidP="004A4E41">
            <w:pPr>
              <w:pStyle w:val="libFootnote0"/>
              <w:rPr>
                <w:rtl/>
              </w:rPr>
            </w:pPr>
            <w:r>
              <w:rPr>
                <w:rtl/>
              </w:rPr>
              <w:t>(1).</w:t>
            </w:r>
            <w:r w:rsidRPr="00C9040A">
              <w:rPr>
                <w:rtl/>
              </w:rPr>
              <w:t xml:space="preserve"> في « بر » والبحار : « قول الله »</w:t>
            </w:r>
            <w:r>
              <w:rPr>
                <w:rtl/>
              </w:rPr>
              <w:t>.</w:t>
            </w:r>
          </w:p>
        </w:tc>
        <w:tc>
          <w:tcPr>
            <w:tcW w:w="4006" w:type="dxa"/>
          </w:tcPr>
          <w:p w:rsidR="003533F1" w:rsidRDefault="003533F1" w:rsidP="004A4E41">
            <w:pPr>
              <w:pStyle w:val="libFootnote0"/>
              <w:rPr>
                <w:rtl/>
              </w:rPr>
            </w:pPr>
            <w:r>
              <w:rPr>
                <w:rtl/>
              </w:rPr>
              <w:t xml:space="preserve">(2). </w:t>
            </w:r>
            <w:r w:rsidRPr="00C9040A">
              <w:rPr>
                <w:rtl/>
              </w:rPr>
              <w:t xml:space="preserve">في « ج ، د ، ز ، ص ، بس » </w:t>
            </w:r>
            <w:r>
              <w:rPr>
                <w:rtl/>
              </w:rPr>
              <w:t>: -</w:t>
            </w:r>
            <w:r w:rsidRPr="00C9040A">
              <w:rPr>
                <w:rtl/>
              </w:rPr>
              <w:t xml:space="preserve"> « هو »</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هكذا في « د ، ز ، ص ، بر ، بس ، بف » والوافي والبحار. وفي « ب ، ف » : « قلت »</w:t>
      </w:r>
      <w:r w:rsidR="008A74EB">
        <w:rPr>
          <w:rtl/>
        </w:rPr>
        <w:t>.</w:t>
      </w:r>
      <w:r w:rsidR="008A74EB" w:rsidRPr="00C9040A">
        <w:rPr>
          <w:rtl/>
        </w:rPr>
        <w:t xml:space="preserve"> وفي المطبوع : « قال » كلاهما بدل « قال : قلت »</w:t>
      </w:r>
      <w:r w:rsidR="008A74EB">
        <w:rPr>
          <w:rtl/>
        </w:rPr>
        <w:t>.</w:t>
      </w:r>
      <w:r w:rsidR="003533F1">
        <w:rPr>
          <w:rFonts w:hint="cs"/>
          <w:rtl/>
        </w:rPr>
        <w:t xml:space="preserve">                        </w:t>
      </w:r>
      <w:r>
        <w:rPr>
          <w:rtl/>
        </w:rPr>
        <w:t>(4).</w:t>
      </w:r>
      <w:r w:rsidR="008A74EB" w:rsidRPr="00C9040A">
        <w:rPr>
          <w:rtl/>
        </w:rPr>
        <w:t xml:space="preserve"> الفتح (48) : 26.</w:t>
      </w:r>
    </w:p>
    <w:p w:rsidR="008A74EB" w:rsidRPr="004A4E41" w:rsidRDefault="006C577F" w:rsidP="004A4E41">
      <w:pPr>
        <w:pStyle w:val="libFootnote0"/>
        <w:rPr>
          <w:rStyle w:val="libFootnote0Char"/>
          <w:rtl/>
        </w:rPr>
      </w:pPr>
      <w:r>
        <w:rPr>
          <w:rtl/>
        </w:rPr>
        <w:t>(5).</w:t>
      </w:r>
      <w:r w:rsidR="008A74EB" w:rsidRPr="00C9040A">
        <w:rPr>
          <w:rtl/>
        </w:rPr>
        <w:t xml:space="preserve"> </w:t>
      </w:r>
      <w:r w:rsidR="008A74EB" w:rsidRPr="00993B55">
        <w:rPr>
          <w:rStyle w:val="libFootnoteBoldChar"/>
          <w:rtl/>
        </w:rPr>
        <w:t>الوافي</w:t>
      </w:r>
      <w:r w:rsidR="008A74EB" w:rsidRPr="00C9040A">
        <w:rPr>
          <w:rtl/>
        </w:rPr>
        <w:t xml:space="preserve"> ، ج 4 ، ص 67 ، ح 1671 ؛ </w:t>
      </w:r>
      <w:r w:rsidR="008A74EB" w:rsidRPr="00993B55">
        <w:rPr>
          <w:rStyle w:val="libFootnoteBoldChar"/>
          <w:rtl/>
        </w:rPr>
        <w:t>البحار</w:t>
      </w:r>
      <w:r w:rsidR="008A74EB" w:rsidRPr="00C9040A">
        <w:rPr>
          <w:rtl/>
        </w:rPr>
        <w:t xml:space="preserve"> ، ج 69 ، ص 200 ، ح 21.</w:t>
      </w:r>
    </w:p>
    <w:tbl>
      <w:tblPr>
        <w:tblStyle w:val="TableGrid"/>
        <w:bidiVisual/>
        <w:tblW w:w="0" w:type="auto"/>
        <w:tblLook w:val="04A0" w:firstRow="1" w:lastRow="0" w:firstColumn="1" w:lastColumn="0" w:noHBand="0" w:noVBand="1"/>
      </w:tblPr>
      <w:tblGrid>
        <w:gridCol w:w="4006"/>
        <w:gridCol w:w="4006"/>
      </w:tblGrid>
      <w:tr w:rsidR="003533F1" w:rsidTr="003533F1">
        <w:tc>
          <w:tcPr>
            <w:tcW w:w="4006" w:type="dxa"/>
          </w:tcPr>
          <w:p w:rsidR="003533F1" w:rsidRDefault="003533F1" w:rsidP="004A4E41">
            <w:pPr>
              <w:pStyle w:val="libFootnote0"/>
              <w:rPr>
                <w:rtl/>
              </w:rPr>
            </w:pPr>
            <w:r>
              <w:rPr>
                <w:rtl/>
              </w:rPr>
              <w:t xml:space="preserve">(6). </w:t>
            </w:r>
            <w:r w:rsidRPr="00C9040A">
              <w:rPr>
                <w:rtl/>
              </w:rPr>
              <w:t xml:space="preserve">في « بس » </w:t>
            </w:r>
            <w:r>
              <w:rPr>
                <w:rtl/>
              </w:rPr>
              <w:t>: -</w:t>
            </w:r>
            <w:r w:rsidRPr="00C9040A">
              <w:rPr>
                <w:rtl/>
              </w:rPr>
              <w:t xml:space="preserve"> « عبدالله »</w:t>
            </w:r>
            <w:r>
              <w:rPr>
                <w:rtl/>
              </w:rPr>
              <w:t>.</w:t>
            </w:r>
          </w:p>
        </w:tc>
        <w:tc>
          <w:tcPr>
            <w:tcW w:w="4006" w:type="dxa"/>
          </w:tcPr>
          <w:p w:rsidR="003533F1" w:rsidRDefault="003533F1" w:rsidP="004A4E41">
            <w:pPr>
              <w:pStyle w:val="libFootnote0"/>
              <w:rPr>
                <w:rtl/>
              </w:rPr>
            </w:pPr>
            <w:r>
              <w:rPr>
                <w:rtl/>
              </w:rPr>
              <w:t>(7).</w:t>
            </w:r>
            <w:r w:rsidRPr="00C9040A">
              <w:rPr>
                <w:rtl/>
              </w:rPr>
              <w:t xml:space="preserve"> آل عمران </w:t>
            </w:r>
            <w:r>
              <w:rPr>
                <w:rtl/>
              </w:rPr>
              <w:t>(3)</w:t>
            </w:r>
            <w:r w:rsidRPr="00C9040A">
              <w:rPr>
                <w:rtl/>
              </w:rPr>
              <w:t xml:space="preserve"> : 67.</w:t>
            </w:r>
          </w:p>
        </w:tc>
      </w:tr>
    </w:tbl>
    <w:p w:rsidR="008A74EB" w:rsidRPr="00C9040A" w:rsidRDefault="006C577F" w:rsidP="004A4E41">
      <w:pPr>
        <w:pStyle w:val="libFootnote0"/>
        <w:rPr>
          <w:rtl/>
          <w:lang w:bidi="fa-IR"/>
        </w:rPr>
      </w:pPr>
      <w:r>
        <w:rPr>
          <w:rtl/>
        </w:rPr>
        <w:t>(8).</w:t>
      </w:r>
      <w:r w:rsidR="008A74EB" w:rsidRPr="00C9040A">
        <w:rPr>
          <w:rtl/>
        </w:rPr>
        <w:t xml:space="preserve"> في شرح المازندراني : + « لله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w:t>
      </w:r>
      <w:r w:rsidR="008A74EB" w:rsidRPr="00993B55">
        <w:rPr>
          <w:rStyle w:val="libFootnoteBoldChar"/>
          <w:rtl/>
        </w:rPr>
        <w:t>المحاسن</w:t>
      </w:r>
      <w:r w:rsidR="008A74EB" w:rsidRPr="00C9040A">
        <w:rPr>
          <w:rtl/>
        </w:rPr>
        <w:t xml:space="preserve"> ، ص 251 ، كتاب مصابيح الظلم ، ح 269 ، عن أبيه ، عن يونس بن عبد الرحمن ، وتمام الرواية فيه : « في قول الله</w:t>
      </w:r>
      <w:r w:rsidR="008A74EB">
        <w:rPr>
          <w:rtl/>
        </w:rPr>
        <w:t xml:space="preserve"> ..</w:t>
      </w:r>
      <w:r w:rsidR="008A74EB" w:rsidRPr="00C9040A">
        <w:rPr>
          <w:rtl/>
        </w:rPr>
        <w:t>. خالصاً مخلصاً لا يشوبه شي‌ء »</w:t>
      </w:r>
      <w:r w:rsidR="008A74EB">
        <w:rPr>
          <w:rtl/>
        </w:rPr>
        <w:t>.</w:t>
      </w:r>
      <w:r w:rsidR="008A74EB" w:rsidRPr="00C9040A">
        <w:rPr>
          <w:rtl/>
        </w:rPr>
        <w:t xml:space="preserve"> </w:t>
      </w:r>
      <w:r w:rsidR="008A74EB" w:rsidRPr="00993B55">
        <w:rPr>
          <w:rStyle w:val="libFootnoteBoldChar"/>
          <w:rtl/>
        </w:rPr>
        <w:t>التهذيب</w:t>
      </w:r>
      <w:r w:rsidR="008A74EB" w:rsidRPr="00C9040A">
        <w:rPr>
          <w:rtl/>
        </w:rPr>
        <w:t xml:space="preserve"> ، ج 2 ، ص 42 ، ح 133 ، بسنده عن ابن مسكان ، عن أبي بصير ، عن أبي عبدالله </w:t>
      </w:r>
      <w:r w:rsidR="00117575" w:rsidRPr="00117575">
        <w:rPr>
          <w:rStyle w:val="libFootnoteAlaemChar"/>
          <w:rtl/>
        </w:rPr>
        <w:t xml:space="preserve">عليه‌السلام </w:t>
      </w:r>
      <w:r w:rsidR="008A74EB" w:rsidRPr="00C9040A">
        <w:rPr>
          <w:rtl/>
        </w:rPr>
        <w:t xml:space="preserve">، ذيل الآية : </w:t>
      </w:r>
      <w:r w:rsidR="00722AAD" w:rsidRPr="00B866D3">
        <w:rPr>
          <w:rStyle w:val="libFootnoteAlaemChar"/>
          <w:rFonts w:hint="cs"/>
          <w:rtl/>
        </w:rPr>
        <w:t>(</w:t>
      </w:r>
      <w:r w:rsidR="008A74EB" w:rsidRPr="00722AAD">
        <w:rPr>
          <w:rStyle w:val="libFootnoteAieChar"/>
          <w:rtl/>
        </w:rPr>
        <w:t xml:space="preserve"> فَأَقِمْ وَجْهَكَ لِلدّينِ حَنِيفًا </w:t>
      </w:r>
      <w:r w:rsidR="00722AAD" w:rsidRPr="00B866D3">
        <w:rPr>
          <w:rStyle w:val="libFootnoteAlaemChar"/>
          <w:rFonts w:hint="cs"/>
          <w:rtl/>
        </w:rPr>
        <w:t>)</w:t>
      </w:r>
      <w:r w:rsidR="008A74EB">
        <w:rPr>
          <w:rtl/>
        </w:rPr>
        <w:t>.</w:t>
      </w:r>
      <w:r w:rsidR="008A74EB" w:rsidRPr="00C9040A">
        <w:rPr>
          <w:rtl/>
        </w:rPr>
        <w:t xml:space="preserve"> </w:t>
      </w:r>
      <w:r w:rsidR="008A74EB" w:rsidRPr="00993B55">
        <w:rPr>
          <w:rStyle w:val="libFootnoteBoldChar"/>
          <w:rtl/>
        </w:rPr>
        <w:t>تفسير العيّاشي</w:t>
      </w:r>
      <w:r w:rsidR="008A74EB" w:rsidRPr="00C9040A">
        <w:rPr>
          <w:rtl/>
        </w:rPr>
        <w:t xml:space="preserve"> ، ج 2 ، ص 12 ، ح 20 ، عن أبي بصير ، عن أحدهما </w:t>
      </w:r>
      <w:r w:rsidR="00117575" w:rsidRPr="00117575">
        <w:rPr>
          <w:rStyle w:val="libFootnoteAlaemChar"/>
          <w:rtl/>
        </w:rPr>
        <w:t>عليهما‌السلام</w:t>
      </w:r>
      <w:r w:rsidR="008A74EB" w:rsidRPr="00C9040A">
        <w:rPr>
          <w:rtl/>
        </w:rPr>
        <w:t xml:space="preserve"> ، ذيل الآية : </w:t>
      </w:r>
      <w:r w:rsidR="00722AAD" w:rsidRPr="00B866D3">
        <w:rPr>
          <w:rStyle w:val="libFootnoteAlaemChar"/>
          <w:rFonts w:hint="cs"/>
          <w:rtl/>
        </w:rPr>
        <w:t>(</w:t>
      </w:r>
      <w:r w:rsidR="008A74EB" w:rsidRPr="00722AAD">
        <w:rPr>
          <w:rStyle w:val="libFootnoteAieChar"/>
          <w:rtl/>
        </w:rPr>
        <w:t xml:space="preserve"> وَأَقِيمُوا وُجُوهَكُمْ عِندَ كُلّ مَسْجِدٍ وَادْعُوهُ مُخْلِصِينَ لَهُ الدّينَ</w:t>
      </w:r>
      <w:r w:rsidR="008A74EB" w:rsidRPr="00C9040A">
        <w:rPr>
          <w:rtl/>
        </w:rPr>
        <w:t xml:space="preserve"> </w:t>
      </w:r>
      <w:r w:rsidR="00722AAD" w:rsidRPr="00B866D3">
        <w:rPr>
          <w:rStyle w:val="libFootnoteAlaemChar"/>
          <w:rFonts w:hint="cs"/>
          <w:rtl/>
        </w:rPr>
        <w:t>)</w:t>
      </w:r>
      <w:r w:rsidR="008A74EB" w:rsidRPr="00C9040A">
        <w:rPr>
          <w:rtl/>
        </w:rPr>
        <w:t xml:space="preserve"> ، وفيهما مع اختلاف يسير</w:t>
      </w:r>
      <w:r w:rsidR="00722AAD">
        <w:rPr>
          <w:rFonts w:hint="cs"/>
          <w:rtl/>
        </w:rPr>
        <w:t>.</w:t>
      </w:r>
      <w:r w:rsidR="008A74EB" w:rsidRPr="00993B55">
        <w:rPr>
          <w:rStyle w:val="libFootnoteBoldChar"/>
          <w:rtl/>
        </w:rPr>
        <w:t>الوافي</w:t>
      </w:r>
      <w:r w:rsidR="008A74EB" w:rsidRPr="00C9040A">
        <w:rPr>
          <w:rtl/>
        </w:rPr>
        <w:t xml:space="preserve"> ، ج 4 ، ص 373 ، ح 2143 ؛ </w:t>
      </w:r>
      <w:r w:rsidR="008A74EB" w:rsidRPr="00993B55">
        <w:rPr>
          <w:rStyle w:val="libFootnoteBoldChar"/>
          <w:rtl/>
        </w:rPr>
        <w:t>الوسائل</w:t>
      </w:r>
      <w:r w:rsidR="008A74EB" w:rsidRPr="00C9040A">
        <w:rPr>
          <w:rtl/>
        </w:rPr>
        <w:t xml:space="preserve"> ، ج 1 ، ص 59 ، ح 123.</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2C02A9">
        <w:rPr>
          <w:rtl/>
        </w:rPr>
        <w:lastRenderedPageBreak/>
        <w:t>1483</w:t>
      </w:r>
      <w:r w:rsidRPr="00261CB0">
        <w:rPr>
          <w:rStyle w:val="libBold2Char"/>
          <w:rtl/>
        </w:rPr>
        <w:t xml:space="preserve"> / 2.</w:t>
      </w:r>
      <w:r w:rsidRPr="00C9040A">
        <w:rPr>
          <w:rtl/>
          <w:lang w:bidi="fa-IR"/>
        </w:rPr>
        <w:t xml:space="preserve"> عِدَّةٌ مِنْ أَصْحَابِنَا ، عَنْ أَحْمَدَ بْنِ أَبِي عَبْدِ اللهِ </w:t>
      </w:r>
      <w:r w:rsidR="006C577F" w:rsidRPr="006C577F">
        <w:rPr>
          <w:rStyle w:val="libFootnotenumChar"/>
          <w:rtl/>
        </w:rPr>
        <w:t>(1)</w:t>
      </w:r>
      <w:r w:rsidRPr="00463D87">
        <w:rPr>
          <w:rFonts w:hint="cs"/>
          <w:rtl/>
        </w:rPr>
        <w:t xml:space="preserve"> </w:t>
      </w:r>
      <w:r w:rsidRPr="00C9040A">
        <w:rPr>
          <w:rtl/>
          <w:lang w:bidi="fa-IR"/>
        </w:rPr>
        <w:t>:</w:t>
      </w:r>
    </w:p>
    <w:p w:rsidR="008A74EB" w:rsidRPr="00C9040A" w:rsidRDefault="008A74EB" w:rsidP="008B7A50">
      <w:pPr>
        <w:pStyle w:val="libNormal"/>
        <w:rPr>
          <w:rtl/>
          <w:lang w:bidi="fa-IR"/>
        </w:rPr>
      </w:pPr>
      <w:r w:rsidRPr="00C9040A">
        <w:rPr>
          <w:rtl/>
          <w:lang w:bidi="fa-IR"/>
        </w:rPr>
        <w:t xml:space="preserve">عَنْ أَبِيهِ </w:t>
      </w:r>
      <w:r w:rsidR="006C577F" w:rsidRPr="006C577F">
        <w:rPr>
          <w:rStyle w:val="libFootnotenumChar"/>
          <w:rtl/>
        </w:rPr>
        <w:t>(2)</w:t>
      </w:r>
      <w:r w:rsidRPr="00C9040A">
        <w:rPr>
          <w:rtl/>
          <w:lang w:bidi="fa-IR"/>
        </w:rPr>
        <w:t xml:space="preserve"> رَفَعَهُ إِلى أَبِي جَعْفَرٍ </w:t>
      </w:r>
      <w:r w:rsidRPr="0003660B">
        <w:rPr>
          <w:rStyle w:val="libAlaemChar"/>
          <w:rtl/>
        </w:rPr>
        <w:t>عليه‌السلام</w:t>
      </w:r>
      <w:r w:rsidRPr="00C9040A">
        <w:rPr>
          <w:rtl/>
          <w:lang w:bidi="fa-IR"/>
        </w:rPr>
        <w:t xml:space="preserve"> ، قَالَ : « قَالَ رَسُولُ اللهِ </w:t>
      </w:r>
      <w:r w:rsidR="004A4E41" w:rsidRPr="004A4E41">
        <w:rPr>
          <w:rStyle w:val="libAlaemChar"/>
          <w:rFonts w:eastAsiaTheme="minorHAnsi"/>
          <w:rtl/>
        </w:rPr>
        <w:t>صلى‌الله‌عليه‌وآله</w:t>
      </w:r>
      <w:r w:rsidRPr="00C9040A">
        <w:rPr>
          <w:rtl/>
          <w:lang w:bidi="fa-IR"/>
        </w:rPr>
        <w:t xml:space="preserve">: يَا أَيُّهَا النَّاسُ ، إِنَّمَا هُوَ اللهُ وَالشَّيْطَانُ ، وَالْحَقُّ وَالْبَاطِلُ ، وَالْهُدى وَالضَّلَالَةُ ، وَالرُّشْدُ </w:t>
      </w:r>
      <w:r w:rsidR="006C577F" w:rsidRPr="006C577F">
        <w:rPr>
          <w:rStyle w:val="libFootnotenumChar"/>
          <w:rtl/>
        </w:rPr>
        <w:t>(3)</w:t>
      </w:r>
      <w:r w:rsidRPr="00C9040A">
        <w:rPr>
          <w:rtl/>
          <w:lang w:bidi="fa-IR"/>
        </w:rPr>
        <w:t xml:space="preserve"> وَالْغَيُّ ، وَالْعَاجِلَةُ وَالْآجِلَةُ </w:t>
      </w:r>
      <w:r w:rsidR="006C577F" w:rsidRPr="006C577F">
        <w:rPr>
          <w:rStyle w:val="libFootnotenumChar"/>
          <w:rtl/>
        </w:rPr>
        <w:t>(4)</w:t>
      </w:r>
      <w:r w:rsidRPr="00C9040A">
        <w:rPr>
          <w:rtl/>
          <w:lang w:bidi="fa-IR"/>
        </w:rPr>
        <w:t xml:space="preserve"> وَالْعَاقِبَةُ </w:t>
      </w:r>
      <w:r w:rsidR="006C577F" w:rsidRPr="006C577F">
        <w:rPr>
          <w:rStyle w:val="libFootnotenumChar"/>
          <w:rtl/>
        </w:rPr>
        <w:t>(5)</w:t>
      </w:r>
      <w:r w:rsidRPr="00C9040A">
        <w:rPr>
          <w:rtl/>
          <w:lang w:bidi="fa-IR"/>
        </w:rPr>
        <w:t xml:space="preserve"> ، وَالْحَسَنَاتُ وَالسَّيِّئَاتُ ، فَمَا كَانَ مِنْ حَسَنَاتٍ فَلِلّهِ ، وَمَا كَانَ مِنْ سَيِّئَاتٍ </w:t>
      </w:r>
      <w:r w:rsidR="006C577F" w:rsidRPr="006C577F">
        <w:rPr>
          <w:rStyle w:val="libFootnotenumChar"/>
          <w:rtl/>
        </w:rPr>
        <w:t>(6)</w:t>
      </w:r>
      <w:r w:rsidR="00722AAD" w:rsidRPr="00C9040A">
        <w:rPr>
          <w:rtl/>
          <w:lang w:bidi="fa-IR"/>
        </w:rPr>
        <w:t xml:space="preserve"> </w:t>
      </w:r>
      <w:r w:rsidRPr="00C9040A">
        <w:rPr>
          <w:rtl/>
          <w:lang w:bidi="fa-IR"/>
        </w:rPr>
        <w:t xml:space="preserve">فَلِلشَّيْطَانِ لَعَنَهُ اللهُ </w:t>
      </w:r>
      <w:r w:rsidR="006C577F" w:rsidRPr="006C577F">
        <w:rPr>
          <w:rStyle w:val="libFootnotenumChar"/>
          <w:rtl/>
        </w:rPr>
        <w:t>(7)</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(8)</w:t>
      </w:r>
    </w:p>
    <w:p w:rsidR="008A74EB" w:rsidRPr="00C9040A" w:rsidRDefault="008A74EB" w:rsidP="008A74EB">
      <w:pPr>
        <w:pStyle w:val="libNormal"/>
        <w:rPr>
          <w:rtl/>
          <w:lang w:bidi="fa-IR"/>
        </w:rPr>
      </w:pPr>
      <w:r w:rsidRPr="002C02A9">
        <w:rPr>
          <w:rtl/>
        </w:rPr>
        <w:t>1484</w:t>
      </w:r>
      <w:r w:rsidRPr="00261CB0">
        <w:rPr>
          <w:rStyle w:val="libBold2Char"/>
          <w:rtl/>
        </w:rPr>
        <w:t xml:space="preserve"> / 3.</w:t>
      </w:r>
      <w:r w:rsidRPr="00C9040A">
        <w:rPr>
          <w:rtl/>
          <w:lang w:bidi="fa-IR"/>
        </w:rPr>
        <w:t xml:space="preserve"> عِدَّةٌ مِنْ أَصْحَابِنَا ، عَنْ سَهْلِ بْنِ زِيَادٍ ، عَنْ عَلِيِّ بْنِ أَسْبَاطٍ :</w:t>
      </w:r>
    </w:p>
    <w:p w:rsidR="008A74EB" w:rsidRPr="00C9040A" w:rsidRDefault="008A74EB" w:rsidP="008A74EB">
      <w:pPr>
        <w:pStyle w:val="libNormal"/>
        <w:rPr>
          <w:rtl/>
          <w:lang w:bidi="fa-IR"/>
        </w:rPr>
      </w:pPr>
      <w:r w:rsidRPr="00C9040A">
        <w:rPr>
          <w:rtl/>
          <w:lang w:bidi="fa-IR"/>
        </w:rPr>
        <w:t xml:space="preserve">عَنْ أَبِي الْحَسَنِ الرِّضَا </w:t>
      </w:r>
      <w:r w:rsidRPr="0003660B">
        <w:rPr>
          <w:rStyle w:val="libAlaemChar"/>
          <w:rtl/>
        </w:rPr>
        <w:t>عليه‌السلام</w:t>
      </w:r>
      <w:r w:rsidRPr="00C9040A">
        <w:rPr>
          <w:rtl/>
          <w:lang w:bidi="fa-IR"/>
        </w:rPr>
        <w:t xml:space="preserve"> </w:t>
      </w:r>
      <w:r w:rsidR="006C577F" w:rsidRPr="006C577F">
        <w:rPr>
          <w:rStyle w:val="libFootnotenumChar"/>
          <w:rtl/>
        </w:rPr>
        <w:t>(9)</w:t>
      </w:r>
      <w:r w:rsidRPr="00C9040A">
        <w:rPr>
          <w:rtl/>
          <w:lang w:bidi="fa-IR"/>
        </w:rPr>
        <w:t xml:space="preserve"> : « أَنَّ أَمِيرَ الْمُؤْمِنِينَ</w:t>
      </w:r>
      <w:r>
        <w:rPr>
          <w:rtl/>
          <w:lang w:bidi="fa-IR"/>
        </w:rPr>
        <w:t xml:space="preserve"> </w:t>
      </w:r>
      <w:r w:rsidR="0084262C">
        <w:rPr>
          <w:rtl/>
          <w:lang w:bidi="fa-IR"/>
        </w:rPr>
        <w:t>-</w:t>
      </w:r>
      <w:r>
        <w:rPr>
          <w:rtl/>
          <w:lang w:bidi="fa-IR"/>
        </w:rPr>
        <w:t xml:space="preserve"> </w:t>
      </w:r>
      <w:r w:rsidRPr="00C9040A">
        <w:rPr>
          <w:rtl/>
          <w:lang w:bidi="fa-IR"/>
        </w:rPr>
        <w:t>صَلَوَاتُ اللهِ عَلَيْهِ</w:t>
      </w:r>
      <w:r>
        <w:rPr>
          <w:rtl/>
          <w:lang w:bidi="fa-IR"/>
        </w:rPr>
        <w:t xml:space="preserve"> </w:t>
      </w:r>
      <w:r w:rsidR="0084262C">
        <w:rPr>
          <w:rtl/>
          <w:lang w:bidi="fa-IR"/>
        </w:rPr>
        <w:t>-</w:t>
      </w:r>
      <w:r>
        <w:rPr>
          <w:rtl/>
          <w:lang w:bidi="fa-IR"/>
        </w:rPr>
        <w:t xml:space="preserve"> </w:t>
      </w:r>
      <w:r w:rsidRPr="00C9040A">
        <w:rPr>
          <w:rtl/>
          <w:lang w:bidi="fa-IR"/>
        </w:rPr>
        <w:t>كَانَ يَقُولُ :</w:t>
      </w:r>
      <w:r>
        <w:rPr>
          <w:rFonts w:hint="cs"/>
          <w:rtl/>
          <w:lang w:bidi="fa-IR"/>
        </w:rPr>
        <w:t xml:space="preserve"> </w:t>
      </w:r>
      <w:r w:rsidRPr="00C9040A">
        <w:rPr>
          <w:rtl/>
          <w:lang w:bidi="fa-IR"/>
        </w:rPr>
        <w:t xml:space="preserve">طُوبى لِمَنْ أَخْلَصَ لِلّهِ الْعِبَادَةَ وَالدُّعَاءَ ، وَلَمْ يَشْغَلْ </w:t>
      </w:r>
      <w:r w:rsidR="006C577F" w:rsidRPr="006C577F">
        <w:rPr>
          <w:rStyle w:val="libFootnotenumChar"/>
          <w:rtl/>
        </w:rPr>
        <w:t>(10)</w:t>
      </w:r>
      <w:r w:rsidRPr="00C9040A">
        <w:rPr>
          <w:rtl/>
          <w:lang w:bidi="fa-IR"/>
        </w:rPr>
        <w:t xml:space="preserve"> قَلْبَهُ بِمَا تَرى عَيْنَاهُ ، وَلَمْ يَنْسَ ذِكْرَ اللهِ </w:t>
      </w:r>
      <w:r w:rsidR="006C577F" w:rsidRPr="006C577F">
        <w:rPr>
          <w:rStyle w:val="libFootnotenumChar"/>
          <w:rtl/>
        </w:rPr>
        <w:t>(11)</w:t>
      </w:r>
      <w:r w:rsidRPr="00C9040A">
        <w:rPr>
          <w:rtl/>
          <w:lang w:bidi="fa-IR"/>
        </w:rPr>
        <w:t xml:space="preserve"> بِمَا تَسْمَعُ </w:t>
      </w:r>
      <w:r w:rsidR="006C577F" w:rsidRPr="006C577F">
        <w:rPr>
          <w:rStyle w:val="libFootnotenumChar"/>
          <w:rtl/>
        </w:rPr>
        <w:t>(12)</w:t>
      </w:r>
      <w:r w:rsidRPr="00C9040A">
        <w:rPr>
          <w:rtl/>
          <w:lang w:bidi="fa-IR"/>
        </w:rPr>
        <w:t xml:space="preserve"> أُذُنَاهُ ، وَلَمْ يَحْزُنْ </w:t>
      </w:r>
      <w:r w:rsidRPr="005B567D">
        <w:rPr>
          <w:rStyle w:val="libFootnotenumChar"/>
          <w:rtl/>
        </w:rPr>
        <w:t>(13)</w:t>
      </w:r>
      <w:r w:rsidRPr="00C9040A">
        <w:rPr>
          <w:rtl/>
          <w:lang w:bidi="fa-IR"/>
        </w:rPr>
        <w:t xml:space="preserve"> صَدْرَهُ بِمَا أُعْطِيَ غَيْرُهُ »</w:t>
      </w:r>
      <w:r>
        <w:rPr>
          <w:rtl/>
          <w:lang w:bidi="fa-IR"/>
        </w:rPr>
        <w:t>.</w:t>
      </w:r>
      <w:r w:rsidRPr="00C9040A">
        <w:rPr>
          <w:rtl/>
          <w:lang w:bidi="fa-IR"/>
        </w:rPr>
        <w:t xml:space="preserve"> </w:t>
      </w:r>
      <w:r w:rsidRPr="005B567D">
        <w:rPr>
          <w:rStyle w:val="libFootnotenumChar"/>
          <w:rtl/>
        </w:rPr>
        <w:t>(14)</w:t>
      </w:r>
    </w:p>
    <w:p w:rsidR="008A74EB" w:rsidRPr="00C9040A" w:rsidRDefault="008A74EB" w:rsidP="008A74EB">
      <w:pPr>
        <w:pStyle w:val="libNormal"/>
        <w:rPr>
          <w:rtl/>
          <w:lang w:bidi="fa-IR"/>
        </w:rPr>
      </w:pPr>
      <w:r w:rsidRPr="002C02A9">
        <w:rPr>
          <w:rtl/>
        </w:rPr>
        <w:t>1485</w:t>
      </w:r>
      <w:r w:rsidRPr="00261CB0">
        <w:rPr>
          <w:rStyle w:val="libBold2Char"/>
          <w:rtl/>
        </w:rPr>
        <w:t xml:space="preserve"> / 4.</w:t>
      </w:r>
      <w:r w:rsidRPr="00C9040A">
        <w:rPr>
          <w:rtl/>
          <w:lang w:bidi="fa-IR"/>
        </w:rPr>
        <w:t xml:space="preserve"> عَلِيُّ بْنُ إِبْرَاهِيمَ ، عَنْ أَبِيهِ ، عَنِ الْقَاسِمِ بْنِ مُحَمَّدٍ ، عَنِ الْمِنْقَرِيِّ ، عَنْ سُفْيَانَ بْنِ عُيَيْنَةَ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فِي قَوْلِ اللهِ </w:t>
      </w:r>
      <w:r w:rsidRPr="005B567D">
        <w:rPr>
          <w:rStyle w:val="libFootnotenumChar"/>
          <w:rtl/>
        </w:rPr>
        <w:t>(15)</w:t>
      </w:r>
      <w:r w:rsidRPr="00C9040A">
        <w:rPr>
          <w:rtl/>
          <w:lang w:bidi="fa-IR"/>
        </w:rPr>
        <w:t xml:space="preserve"> عَزَّ وَجَلَّ : </w:t>
      </w:r>
      <w:r w:rsidRPr="0003660B">
        <w:rPr>
          <w:rStyle w:val="libAlaemChar"/>
          <w:rtl/>
        </w:rPr>
        <w:t>(</w:t>
      </w:r>
      <w:r w:rsidRPr="006A2246">
        <w:rPr>
          <w:rStyle w:val="libAieChar"/>
          <w:rtl/>
        </w:rPr>
        <w:t xml:space="preserve"> لِيَبْلُوَكُمْ أَيُّكُمْ أَحْسَنُ عَمَلاً </w:t>
      </w:r>
      <w:r w:rsidRPr="0003660B">
        <w:rPr>
          <w:rStyle w:val="libAlaemChar"/>
          <w:rtl/>
        </w:rPr>
        <w:t>)</w:t>
      </w:r>
      <w:r w:rsidRPr="00C9040A">
        <w:rPr>
          <w:rtl/>
          <w:lang w:bidi="fa-IR"/>
        </w:rPr>
        <w:t xml:space="preserve"> </w:t>
      </w:r>
      <w:r w:rsidRPr="005B567D">
        <w:rPr>
          <w:rStyle w:val="libFootnotenumChar"/>
          <w:rtl/>
        </w:rPr>
        <w:t>(16)</w:t>
      </w:r>
      <w:r w:rsidR="00A3615C">
        <w:rPr>
          <w:rtl/>
          <w:lang w:bidi="fa-IR"/>
        </w:rPr>
        <w:t xml:space="preserve"> قَالَ</w:t>
      </w:r>
      <w:r w:rsidRPr="00C9040A">
        <w:rPr>
          <w:rtl/>
          <w:lang w:bidi="fa-IR"/>
        </w:rPr>
        <w:t>:</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A3615C" w:rsidTr="00A3615C">
        <w:tc>
          <w:tcPr>
            <w:tcW w:w="4006" w:type="dxa"/>
          </w:tcPr>
          <w:p w:rsidR="00A3615C" w:rsidRDefault="00A3615C" w:rsidP="004A4E41">
            <w:pPr>
              <w:pStyle w:val="libFootnote0"/>
              <w:rPr>
                <w:rtl/>
              </w:rPr>
            </w:pPr>
            <w:r>
              <w:rPr>
                <w:rtl/>
              </w:rPr>
              <w:t>(1).</w:t>
            </w:r>
            <w:r w:rsidRPr="00C9040A">
              <w:rPr>
                <w:rtl/>
              </w:rPr>
              <w:t xml:space="preserve"> في « بس » : « أحمد بن محمّد أبي عبد الله »</w:t>
            </w:r>
            <w:r>
              <w:rPr>
                <w:rtl/>
              </w:rPr>
              <w:t>.</w:t>
            </w:r>
          </w:p>
        </w:tc>
        <w:tc>
          <w:tcPr>
            <w:tcW w:w="4006" w:type="dxa"/>
          </w:tcPr>
          <w:p w:rsidR="00A3615C" w:rsidRDefault="00A3615C" w:rsidP="004A4E41">
            <w:pPr>
              <w:pStyle w:val="libFootnote0"/>
              <w:rPr>
                <w:rtl/>
              </w:rPr>
            </w:pPr>
            <w:r>
              <w:rPr>
                <w:rtl/>
              </w:rPr>
              <w:t xml:space="preserve">(2). </w:t>
            </w:r>
            <w:r w:rsidRPr="00C9040A">
              <w:rPr>
                <w:rtl/>
              </w:rPr>
              <w:t xml:space="preserve">في « بس » </w:t>
            </w:r>
            <w:r>
              <w:rPr>
                <w:rtl/>
              </w:rPr>
              <w:t>: -</w:t>
            </w:r>
            <w:r w:rsidRPr="00C9040A">
              <w:rPr>
                <w:rtl/>
              </w:rPr>
              <w:t xml:space="preserve"> « عن أبيه »</w:t>
            </w:r>
            <w:r>
              <w:rPr>
                <w:rtl/>
              </w:rPr>
              <w:t>.</w:t>
            </w:r>
          </w:p>
        </w:tc>
      </w:tr>
      <w:tr w:rsidR="00A3615C" w:rsidTr="00A3615C">
        <w:tc>
          <w:tcPr>
            <w:tcW w:w="4006" w:type="dxa"/>
          </w:tcPr>
          <w:p w:rsidR="00A3615C" w:rsidRDefault="00A3615C" w:rsidP="004A4E41">
            <w:pPr>
              <w:pStyle w:val="libFootnote0"/>
              <w:rPr>
                <w:rtl/>
              </w:rPr>
            </w:pPr>
            <w:r>
              <w:rPr>
                <w:rtl/>
              </w:rPr>
              <w:t>(3).</w:t>
            </w:r>
            <w:r w:rsidRPr="00C9040A">
              <w:rPr>
                <w:rtl/>
              </w:rPr>
              <w:t xml:space="preserve"> في « بر » : + « والبغي »</w:t>
            </w:r>
            <w:r>
              <w:rPr>
                <w:rtl/>
              </w:rPr>
              <w:t>.</w:t>
            </w:r>
          </w:p>
        </w:tc>
        <w:tc>
          <w:tcPr>
            <w:tcW w:w="4006" w:type="dxa"/>
          </w:tcPr>
          <w:p w:rsidR="00A3615C" w:rsidRDefault="00A3615C" w:rsidP="004A4E41">
            <w:pPr>
              <w:pStyle w:val="libFootnote0"/>
              <w:rPr>
                <w:rtl/>
              </w:rPr>
            </w:pPr>
            <w:r>
              <w:rPr>
                <w:rtl/>
              </w:rPr>
              <w:t>(4).</w:t>
            </w:r>
            <w:r w:rsidRPr="00C9040A">
              <w:rPr>
                <w:rtl/>
              </w:rPr>
              <w:t xml:space="preserve"> في المحاسن </w:t>
            </w:r>
            <w:r>
              <w:rPr>
                <w:rtl/>
              </w:rPr>
              <w:t>: -</w:t>
            </w:r>
            <w:r w:rsidRPr="00C9040A">
              <w:rPr>
                <w:rtl/>
              </w:rPr>
              <w:t xml:space="preserve"> « والآجلة »</w:t>
            </w:r>
            <w:r>
              <w:rPr>
                <w:rtl/>
              </w:rPr>
              <w:t>.</w:t>
            </w:r>
          </w:p>
        </w:tc>
      </w:tr>
    </w:tbl>
    <w:p w:rsidR="008A74EB" w:rsidRPr="00C9040A" w:rsidRDefault="006C577F" w:rsidP="004A4E41">
      <w:pPr>
        <w:pStyle w:val="libFootnote0"/>
        <w:rPr>
          <w:rtl/>
          <w:lang w:bidi="fa-IR"/>
        </w:rPr>
      </w:pPr>
      <w:r>
        <w:rPr>
          <w:rtl/>
        </w:rPr>
        <w:t>(5).</w:t>
      </w:r>
      <w:r w:rsidR="008A74EB" w:rsidRPr="00C9040A">
        <w:rPr>
          <w:rtl/>
        </w:rPr>
        <w:t xml:space="preserve"> في الوافي : « والعاجلة والآجلة ( والعاقبة</w:t>
      </w:r>
      <w:r w:rsidR="008A74EB">
        <w:rPr>
          <w:rtl/>
        </w:rPr>
        <w:t xml:space="preserve"> </w:t>
      </w:r>
      <w:r w:rsidR="0084262C">
        <w:rPr>
          <w:rtl/>
        </w:rPr>
        <w:t>-</w:t>
      </w:r>
      <w:r w:rsidR="008A74EB">
        <w:rPr>
          <w:rtl/>
        </w:rPr>
        <w:t xml:space="preserve"> </w:t>
      </w:r>
      <w:r w:rsidR="008A74EB" w:rsidRPr="00C9040A">
        <w:rPr>
          <w:rtl/>
        </w:rPr>
        <w:t>خ ل )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المحاسن : « السيّئات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ب ، ج ، د ، ز ، ص ، ف ، بر ، بس ، بف » والمحاسن </w:t>
      </w:r>
      <w:r w:rsidR="008A74EB">
        <w:rPr>
          <w:rtl/>
        </w:rPr>
        <w:t xml:space="preserve">: </w:t>
      </w:r>
      <w:r w:rsidR="0084262C">
        <w:rPr>
          <w:rtl/>
        </w:rPr>
        <w:t>-</w:t>
      </w:r>
      <w:r w:rsidR="008A74EB" w:rsidRPr="00C9040A">
        <w:rPr>
          <w:rtl/>
        </w:rPr>
        <w:t xml:space="preserve"> « لعنه الله »</w:t>
      </w:r>
      <w:r w:rsidR="008A74EB">
        <w:rPr>
          <w:rtl/>
        </w:rPr>
        <w:t>.</w:t>
      </w:r>
    </w:p>
    <w:p w:rsidR="008A74EB" w:rsidRPr="004A4E41" w:rsidRDefault="006C577F" w:rsidP="004A4E41">
      <w:pPr>
        <w:pStyle w:val="libFootnote0"/>
        <w:rPr>
          <w:rStyle w:val="libFootnote0Char"/>
          <w:rtl/>
        </w:rPr>
      </w:pPr>
      <w:r>
        <w:rPr>
          <w:rtl/>
        </w:rPr>
        <w:t>(8).</w:t>
      </w:r>
      <w:r w:rsidR="008A74EB" w:rsidRPr="00C9040A">
        <w:rPr>
          <w:rtl/>
        </w:rPr>
        <w:t xml:space="preserve"> </w:t>
      </w:r>
      <w:r w:rsidR="008A74EB" w:rsidRPr="00993B55">
        <w:rPr>
          <w:rStyle w:val="libFootnoteBoldChar"/>
          <w:rtl/>
        </w:rPr>
        <w:t>المحاسن</w:t>
      </w:r>
      <w:r w:rsidR="008A74EB" w:rsidRPr="00C9040A">
        <w:rPr>
          <w:rtl/>
        </w:rPr>
        <w:t xml:space="preserve"> ، ص 251 ، كتاب مصابيح الظلم ، ح 268</w:t>
      </w:r>
      <w:r w:rsidR="003E48F8">
        <w:rPr>
          <w:rFonts w:hint="cs"/>
          <w:rtl/>
        </w:rPr>
        <w:t>.</w:t>
      </w:r>
      <w:r w:rsidR="008A74EB" w:rsidRPr="00993B55">
        <w:rPr>
          <w:rStyle w:val="libFootnoteBoldChar"/>
          <w:rtl/>
        </w:rPr>
        <w:t>الوافي</w:t>
      </w:r>
      <w:r w:rsidR="008A74EB" w:rsidRPr="00C9040A">
        <w:rPr>
          <w:rtl/>
        </w:rPr>
        <w:t xml:space="preserve"> ، ج 4 ، ص 373 ، ح 2144 ؛ </w:t>
      </w:r>
      <w:r w:rsidR="008A74EB" w:rsidRPr="00993B55">
        <w:rPr>
          <w:rStyle w:val="libFootnoteBoldChar"/>
          <w:rtl/>
        </w:rPr>
        <w:t>الوسائل</w:t>
      </w:r>
      <w:r w:rsidR="003E48F8">
        <w:rPr>
          <w:rtl/>
        </w:rPr>
        <w:t xml:space="preserve"> ، ج 1 ، ص 67 ،</w:t>
      </w:r>
      <w:r w:rsidR="008A74EB" w:rsidRPr="00C9040A">
        <w:rPr>
          <w:rtl/>
        </w:rPr>
        <w:t>ذيل ح 149 ؛</w:t>
      </w:r>
      <w:r w:rsidR="008A74EB" w:rsidRPr="00993B55">
        <w:rPr>
          <w:rStyle w:val="libFootnoteBoldChar"/>
          <w:rtl/>
        </w:rPr>
        <w:t>البحار</w:t>
      </w:r>
      <w:r w:rsidR="003E48F8">
        <w:rPr>
          <w:rtl/>
        </w:rPr>
        <w:t xml:space="preserve"> ،</w:t>
      </w:r>
      <w:r w:rsidR="008A74EB" w:rsidRPr="00C9040A">
        <w:rPr>
          <w:rtl/>
        </w:rPr>
        <w:t>ج 70 ، ص 228 ، ح 4.</w:t>
      </w:r>
      <w:r w:rsidR="003E48F8">
        <w:rPr>
          <w:rFonts w:hint="cs"/>
          <w:rtl/>
        </w:rPr>
        <w:t xml:space="preserve">         </w:t>
      </w:r>
      <w:r>
        <w:rPr>
          <w:rtl/>
        </w:rPr>
        <w:t>(9).</w:t>
      </w:r>
      <w:r w:rsidR="003E48F8">
        <w:rPr>
          <w:rtl/>
        </w:rPr>
        <w:t>في «ب،بس»</w:t>
      </w:r>
      <w:r w:rsidR="008A74EB" w:rsidRPr="00C9040A">
        <w:rPr>
          <w:rtl/>
        </w:rPr>
        <w:t>: + « قال »</w:t>
      </w:r>
      <w:r w:rsidR="008A74EB">
        <w:rPr>
          <w:rtl/>
        </w:rPr>
        <w:t>.</w:t>
      </w:r>
    </w:p>
    <w:tbl>
      <w:tblPr>
        <w:tblStyle w:val="TableGrid"/>
        <w:bidiVisual/>
        <w:tblW w:w="0" w:type="auto"/>
        <w:tblLook w:val="04A0" w:firstRow="1" w:lastRow="0" w:firstColumn="1" w:lastColumn="0" w:noHBand="0" w:noVBand="1"/>
      </w:tblPr>
      <w:tblGrid>
        <w:gridCol w:w="4006"/>
        <w:gridCol w:w="4006"/>
      </w:tblGrid>
      <w:tr w:rsidR="003E48F8" w:rsidTr="003E48F8">
        <w:tc>
          <w:tcPr>
            <w:tcW w:w="4006" w:type="dxa"/>
          </w:tcPr>
          <w:p w:rsidR="003E48F8" w:rsidRDefault="003E48F8" w:rsidP="004A4E41">
            <w:pPr>
              <w:pStyle w:val="libFootnote0"/>
              <w:rPr>
                <w:rtl/>
              </w:rPr>
            </w:pPr>
            <w:r>
              <w:rPr>
                <w:rtl/>
              </w:rPr>
              <w:t>(10).</w:t>
            </w:r>
            <w:r w:rsidRPr="00C9040A">
              <w:rPr>
                <w:rtl/>
              </w:rPr>
              <w:t xml:space="preserve"> في « ج » : « ولا يشغل »</w:t>
            </w:r>
            <w:r>
              <w:rPr>
                <w:rtl/>
              </w:rPr>
              <w:t>.</w:t>
            </w:r>
          </w:p>
        </w:tc>
        <w:tc>
          <w:tcPr>
            <w:tcW w:w="4006" w:type="dxa"/>
          </w:tcPr>
          <w:p w:rsidR="003E48F8" w:rsidRDefault="003E48F8" w:rsidP="004A4E41">
            <w:pPr>
              <w:pStyle w:val="libFootnote0"/>
              <w:rPr>
                <w:rtl/>
              </w:rPr>
            </w:pPr>
            <w:r>
              <w:rPr>
                <w:rtl/>
              </w:rPr>
              <w:t>(11). في « ص » :«ذكره</w:t>
            </w:r>
            <w:r w:rsidRPr="00C9040A">
              <w:rPr>
                <w:rtl/>
              </w:rPr>
              <w:t>»</w:t>
            </w:r>
            <w:r>
              <w:rPr>
                <w:rtl/>
              </w:rPr>
              <w:t>. وفي «ه»: +«جلّ ذكره</w:t>
            </w:r>
            <w:r w:rsidRPr="00C9040A">
              <w:rPr>
                <w:rtl/>
              </w:rPr>
              <w:t>»</w:t>
            </w:r>
            <w:r>
              <w:rPr>
                <w:rtl/>
              </w:rPr>
              <w:t>.</w:t>
            </w:r>
          </w:p>
        </w:tc>
      </w:tr>
      <w:tr w:rsidR="003E48F8" w:rsidTr="003E48F8">
        <w:tc>
          <w:tcPr>
            <w:tcW w:w="4006" w:type="dxa"/>
          </w:tcPr>
          <w:p w:rsidR="003E48F8" w:rsidRDefault="003E48F8" w:rsidP="004A4E41">
            <w:pPr>
              <w:pStyle w:val="libFootnote0"/>
              <w:rPr>
                <w:rtl/>
              </w:rPr>
            </w:pPr>
            <w:r>
              <w:rPr>
                <w:rtl/>
              </w:rPr>
              <w:t>(12).</w:t>
            </w:r>
            <w:r w:rsidRPr="00C9040A">
              <w:rPr>
                <w:rtl/>
              </w:rPr>
              <w:t xml:space="preserve"> في « بف » : « يسمع »</w:t>
            </w:r>
            <w:r>
              <w:rPr>
                <w:rtl/>
              </w:rPr>
              <w:t>.</w:t>
            </w:r>
          </w:p>
        </w:tc>
        <w:tc>
          <w:tcPr>
            <w:tcW w:w="4006" w:type="dxa"/>
          </w:tcPr>
          <w:p w:rsidR="003E48F8" w:rsidRDefault="003E48F8" w:rsidP="004A4E41">
            <w:pPr>
              <w:pStyle w:val="libFootnote0"/>
              <w:rPr>
                <w:rtl/>
              </w:rPr>
            </w:pPr>
            <w:r>
              <w:rPr>
                <w:rtl/>
              </w:rPr>
              <w:t>(13)</w:t>
            </w:r>
            <w:r w:rsidRPr="00C9040A">
              <w:rPr>
                <w:rtl/>
              </w:rPr>
              <w:t xml:space="preserve"> يجوز فيه التفعيل والإفعال أيضاً.</w:t>
            </w:r>
          </w:p>
        </w:tc>
      </w:tr>
    </w:tbl>
    <w:p w:rsidR="008A74EB" w:rsidRPr="00C9040A" w:rsidRDefault="008A74EB" w:rsidP="004A4E41">
      <w:pPr>
        <w:pStyle w:val="libFootnote0"/>
        <w:rPr>
          <w:rtl/>
          <w:lang w:bidi="fa-IR"/>
        </w:rPr>
      </w:pPr>
      <w:r>
        <w:rPr>
          <w:rtl/>
        </w:rPr>
        <w:t>(14)</w:t>
      </w:r>
      <w:r w:rsidRPr="00C9040A">
        <w:rPr>
          <w:rtl/>
        </w:rPr>
        <w:t xml:space="preserve"> </w:t>
      </w:r>
      <w:r w:rsidRPr="00993B55">
        <w:rPr>
          <w:rStyle w:val="libFootnoteBoldChar"/>
          <w:rtl/>
        </w:rPr>
        <w:t>الوافي</w:t>
      </w:r>
      <w:r w:rsidRPr="00C9040A">
        <w:rPr>
          <w:rtl/>
        </w:rPr>
        <w:t xml:space="preserve"> ، ج 4 ، ص 374 ، ح 2145 ؛ </w:t>
      </w:r>
      <w:r w:rsidRPr="00993B55">
        <w:rPr>
          <w:rStyle w:val="libFootnoteBoldChar"/>
          <w:rtl/>
        </w:rPr>
        <w:t>الوسائل</w:t>
      </w:r>
      <w:r w:rsidRPr="00C9040A">
        <w:rPr>
          <w:rtl/>
        </w:rPr>
        <w:t xml:space="preserve"> ، ج 1 ، ص 59 ، ح 125 ؛ </w:t>
      </w:r>
      <w:r w:rsidRPr="00993B55">
        <w:rPr>
          <w:rStyle w:val="libFootnoteBoldChar"/>
          <w:rtl/>
        </w:rPr>
        <w:t>البحار</w:t>
      </w:r>
      <w:r w:rsidRPr="00C9040A">
        <w:rPr>
          <w:rtl/>
        </w:rPr>
        <w:t xml:space="preserve"> ، ج 70 ، ص 229 ، ح 5.</w:t>
      </w:r>
    </w:p>
    <w:p w:rsidR="008A74EB" w:rsidRPr="00C9040A" w:rsidRDefault="008A74EB" w:rsidP="004A4E41">
      <w:pPr>
        <w:pStyle w:val="libFootnote0"/>
        <w:rPr>
          <w:rtl/>
          <w:lang w:bidi="fa-IR"/>
        </w:rPr>
      </w:pPr>
      <w:r>
        <w:rPr>
          <w:rtl/>
        </w:rPr>
        <w:t>(15)</w:t>
      </w:r>
      <w:r w:rsidRPr="00C9040A">
        <w:rPr>
          <w:rtl/>
        </w:rPr>
        <w:t xml:space="preserve"> في « </w:t>
      </w:r>
      <w:r w:rsidR="006D3162">
        <w:rPr>
          <w:rtl/>
        </w:rPr>
        <w:t xml:space="preserve">ه </w:t>
      </w:r>
      <w:r w:rsidRPr="00C9040A">
        <w:rPr>
          <w:rtl/>
        </w:rPr>
        <w:t>» : « قوله »</w:t>
      </w:r>
      <w:r>
        <w:rPr>
          <w:rtl/>
        </w:rPr>
        <w:t>.</w:t>
      </w:r>
    </w:p>
    <w:p w:rsidR="008A74EB" w:rsidRPr="00C9040A" w:rsidRDefault="008A74EB" w:rsidP="004A4E41">
      <w:pPr>
        <w:pStyle w:val="libFootnote0"/>
        <w:rPr>
          <w:rtl/>
          <w:lang w:bidi="fa-IR"/>
        </w:rPr>
      </w:pPr>
      <w:r>
        <w:rPr>
          <w:rtl/>
        </w:rPr>
        <w:t>(16)</w:t>
      </w:r>
      <w:r w:rsidRPr="00C9040A">
        <w:rPr>
          <w:rtl/>
        </w:rPr>
        <w:t xml:space="preserve"> هود </w:t>
      </w:r>
      <w:r w:rsidR="006C577F">
        <w:rPr>
          <w:rtl/>
        </w:rPr>
        <w:t>(11).</w:t>
      </w:r>
      <w:r w:rsidRPr="00C9040A">
        <w:rPr>
          <w:rtl/>
        </w:rPr>
        <w:t xml:space="preserve"> : 7 ؛ الملك (67) : 2.</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 لَيْسَ يَعْنِي </w:t>
      </w:r>
      <w:r w:rsidR="006C577F" w:rsidRPr="006C577F">
        <w:rPr>
          <w:rStyle w:val="libFootnotenumChar"/>
          <w:rtl/>
        </w:rPr>
        <w:t>(1)</w:t>
      </w:r>
      <w:r w:rsidRPr="00E711C7">
        <w:rPr>
          <w:rFonts w:hint="cs"/>
          <w:rtl/>
        </w:rPr>
        <w:t xml:space="preserve"> </w:t>
      </w:r>
      <w:r w:rsidRPr="00C9040A">
        <w:rPr>
          <w:rtl/>
          <w:lang w:bidi="fa-IR"/>
        </w:rPr>
        <w:t xml:space="preserve">أَكْثَرَكُمْ </w:t>
      </w:r>
      <w:r w:rsidR="006C577F" w:rsidRPr="006C577F">
        <w:rPr>
          <w:rStyle w:val="libFootnotenumChar"/>
          <w:rtl/>
        </w:rPr>
        <w:t>(2)</w:t>
      </w:r>
      <w:r w:rsidRPr="00C9040A">
        <w:rPr>
          <w:rtl/>
          <w:lang w:bidi="fa-IR"/>
        </w:rPr>
        <w:t xml:space="preserve"> عَمَلاً ، وَلكِنْ أَصْوَبَكُمْ عَمَلاً ، وَإِنَّمَا الْإِصَابَةُ خَشْيَةُ اللهِ وَالنِّيَّةُ الصَّادِقَةُ وَالْحَسَنَةُ </w:t>
      </w:r>
      <w:r w:rsidR="006C577F" w:rsidRPr="006C577F">
        <w:rPr>
          <w:rStyle w:val="libFootnotenumChar"/>
          <w:rtl/>
        </w:rPr>
        <w:t>(3)</w:t>
      </w:r>
      <w:r w:rsidRPr="00C9040A">
        <w:rPr>
          <w:rtl/>
          <w:lang w:bidi="fa-IR"/>
        </w:rPr>
        <w:t xml:space="preserve"> »</w:t>
      </w:r>
      <w:r>
        <w:rPr>
          <w:rtl/>
          <w:lang w:bidi="fa-IR"/>
        </w:rPr>
        <w:t>.</w:t>
      </w:r>
    </w:p>
    <w:p w:rsidR="008A74EB" w:rsidRPr="00C9040A" w:rsidRDefault="008A74EB" w:rsidP="008A74EB">
      <w:pPr>
        <w:pStyle w:val="libNormal"/>
        <w:rPr>
          <w:rtl/>
          <w:lang w:bidi="fa-IR"/>
        </w:rPr>
      </w:pPr>
      <w:r w:rsidRPr="00C9040A">
        <w:rPr>
          <w:rtl/>
          <w:lang w:bidi="fa-IR"/>
        </w:rPr>
        <w:t>ثُمَّ قَالَ : « الْإِبْقَاءُ عَلَى الْعَمَلِ حَتّى يَخْلُصَ أَشَدُّ مِنَ الْعَمَلِ ، وَالْعَمَلُ الْخَالِصُ الَّذِي لَا تُرِيدُ أَنْ ي</w:t>
      </w:r>
      <w:r w:rsidR="004F7300">
        <w:rPr>
          <w:rtl/>
          <w:lang w:bidi="fa-IR"/>
        </w:rPr>
        <w:t>َحْمَدَكَ عَلَيْهِ أَحَدٌ إِل</w:t>
      </w:r>
      <w:r w:rsidR="004F7300">
        <w:rPr>
          <w:rFonts w:hint="cs"/>
          <w:rtl/>
          <w:lang w:bidi="fa-IR"/>
        </w:rPr>
        <w:t>َّ</w:t>
      </w:r>
      <w:r w:rsidR="004F7300">
        <w:rPr>
          <w:rtl/>
          <w:lang w:bidi="fa-IR"/>
        </w:rPr>
        <w:t>ا</w:t>
      </w:r>
      <w:r w:rsidRPr="00C9040A">
        <w:rPr>
          <w:rtl/>
          <w:lang w:bidi="fa-IR"/>
        </w:rPr>
        <w:t xml:space="preserve"> اللهُ عَزَّ وَجَلَّ ، وَالنِّيَّةُ أَفْضَلُ مِنَ الْعَمَلِ ، أَلَا وَإِنَّ النِّيَّةَ هِيَ </w:t>
      </w:r>
      <w:r w:rsidR="006C577F" w:rsidRPr="006C577F">
        <w:rPr>
          <w:rStyle w:val="libFootnotenumChar"/>
          <w:rtl/>
        </w:rPr>
        <w:t>(4)</w:t>
      </w:r>
      <w:r w:rsidRPr="00C9040A">
        <w:rPr>
          <w:rtl/>
          <w:lang w:bidi="fa-IR"/>
        </w:rPr>
        <w:t xml:space="preserve"> الْعَمَلُ » ، ثُمَّ تَلَا قَوْلَهُ عَزَّ وَجَلَّ : </w:t>
      </w:r>
      <w:r w:rsidRPr="0003660B">
        <w:rPr>
          <w:rStyle w:val="libAlaemChar"/>
          <w:rtl/>
        </w:rPr>
        <w:t>(</w:t>
      </w:r>
      <w:r w:rsidRPr="006A2246">
        <w:rPr>
          <w:rStyle w:val="libAieChar"/>
          <w:rtl/>
        </w:rPr>
        <w:t xml:space="preserve"> قُلْ كُلٌّ يَعْمَلُ عَلى شاكِلَتِهِ </w:t>
      </w:r>
      <w:r w:rsidRPr="0003660B">
        <w:rPr>
          <w:rStyle w:val="libAlaemChar"/>
          <w:rtl/>
        </w:rPr>
        <w:t>)</w:t>
      </w:r>
      <w:r w:rsidRPr="00C9040A">
        <w:rPr>
          <w:rtl/>
          <w:lang w:bidi="fa-IR"/>
        </w:rPr>
        <w:t xml:space="preserve"> </w:t>
      </w:r>
      <w:r w:rsidR="006C577F" w:rsidRPr="006C577F">
        <w:rPr>
          <w:rStyle w:val="libFootnotenumChar"/>
          <w:rtl/>
        </w:rPr>
        <w:t>(5)</w:t>
      </w:r>
      <w:r w:rsidRPr="00C9040A">
        <w:rPr>
          <w:rtl/>
          <w:lang w:bidi="fa-IR"/>
        </w:rPr>
        <w:t xml:space="preserve"> : « يَعْنِي عَلى نِيَّتِهِ »</w:t>
      </w:r>
      <w:r>
        <w:rPr>
          <w:rtl/>
          <w:lang w:bidi="fa-IR"/>
        </w:rPr>
        <w:t>.</w:t>
      </w:r>
      <w:r w:rsidRPr="00C9040A">
        <w:rPr>
          <w:rtl/>
          <w:lang w:bidi="fa-IR"/>
        </w:rPr>
        <w:t xml:space="preserve"> </w:t>
      </w:r>
      <w:r w:rsidR="006C577F" w:rsidRPr="006C577F">
        <w:rPr>
          <w:rStyle w:val="libFootnotenumChar"/>
          <w:rtl/>
        </w:rPr>
        <w:t>(6)</w:t>
      </w:r>
    </w:p>
    <w:p w:rsidR="008A74EB" w:rsidRPr="00C9040A" w:rsidRDefault="008A74EB" w:rsidP="008A74EB">
      <w:pPr>
        <w:pStyle w:val="libNormal"/>
        <w:rPr>
          <w:rtl/>
          <w:lang w:bidi="fa-IR"/>
        </w:rPr>
      </w:pPr>
      <w:r w:rsidRPr="002C02A9">
        <w:rPr>
          <w:rtl/>
        </w:rPr>
        <w:t>1486</w:t>
      </w:r>
      <w:r w:rsidRPr="00261CB0">
        <w:rPr>
          <w:rStyle w:val="libBold2Char"/>
          <w:rtl/>
        </w:rPr>
        <w:t xml:space="preserve"> / 5.</w:t>
      </w:r>
      <w:r w:rsidRPr="00C9040A">
        <w:rPr>
          <w:rtl/>
          <w:lang w:bidi="fa-IR"/>
        </w:rPr>
        <w:t xml:space="preserve"> وَبِهذَا الْإِسْنَادِ ، قَالَ :</w:t>
      </w:r>
    </w:p>
    <w:p w:rsidR="008A74EB" w:rsidRPr="00C9040A" w:rsidRDefault="008A74EB" w:rsidP="008A74EB">
      <w:pPr>
        <w:pStyle w:val="libNormal"/>
        <w:rPr>
          <w:rtl/>
          <w:lang w:bidi="fa-IR"/>
        </w:rPr>
      </w:pPr>
      <w:r w:rsidRPr="00C9040A">
        <w:rPr>
          <w:rtl/>
          <w:lang w:bidi="fa-IR"/>
        </w:rPr>
        <w:t xml:space="preserve">سَأَلْتُهُ عَنْ قَوْلِ اللهِ عَزَّ وَجَلَّ : </w:t>
      </w:r>
      <w:r w:rsidRPr="0003660B">
        <w:rPr>
          <w:rStyle w:val="libAlaemChar"/>
          <w:rtl/>
        </w:rPr>
        <w:t>(</w:t>
      </w:r>
      <w:r w:rsidR="004F7300">
        <w:rPr>
          <w:rStyle w:val="libAieChar"/>
          <w:rtl/>
        </w:rPr>
        <w:t xml:space="preserve"> إِل</w:t>
      </w:r>
      <w:r w:rsidR="004F7300">
        <w:rPr>
          <w:rStyle w:val="libAieChar"/>
          <w:rFonts w:hint="cs"/>
          <w:rtl/>
        </w:rPr>
        <w:t>ّ</w:t>
      </w:r>
      <w:r w:rsidR="004F7300">
        <w:rPr>
          <w:rStyle w:val="libAieChar"/>
          <w:rtl/>
        </w:rPr>
        <w:t>ا</w:t>
      </w:r>
      <w:r w:rsidRPr="006A2246">
        <w:rPr>
          <w:rStyle w:val="libAieChar"/>
          <w:rtl/>
        </w:rPr>
        <w:t xml:space="preserve"> مَنْ أَتَى اللهَ بِقَلْبٍ سَلِيمٍ </w:t>
      </w:r>
      <w:r w:rsidRPr="0003660B">
        <w:rPr>
          <w:rStyle w:val="libAlaemChar"/>
          <w:rtl/>
        </w:rPr>
        <w:t>)</w:t>
      </w:r>
      <w:r w:rsidRPr="00C9040A">
        <w:rPr>
          <w:rtl/>
          <w:lang w:bidi="fa-IR"/>
        </w:rPr>
        <w:t xml:space="preserve"> </w:t>
      </w:r>
      <w:r w:rsidR="006C577F" w:rsidRPr="006C577F">
        <w:rPr>
          <w:rStyle w:val="libFootnotenumChar"/>
          <w:rtl/>
        </w:rPr>
        <w:t>(7)</w:t>
      </w:r>
      <w:r w:rsidRPr="00C9040A">
        <w:rPr>
          <w:rtl/>
          <w:lang w:bidi="fa-IR"/>
        </w:rPr>
        <w:t xml:space="preserve"> قَالَ : « الْقَلْبُ </w:t>
      </w:r>
      <w:r w:rsidR="006C577F" w:rsidRPr="006C577F">
        <w:rPr>
          <w:rStyle w:val="libFootnotenumChar"/>
          <w:rtl/>
        </w:rPr>
        <w:t>(8)</w:t>
      </w:r>
      <w:r w:rsidRPr="00C9040A">
        <w:rPr>
          <w:rtl/>
          <w:lang w:bidi="fa-IR"/>
        </w:rPr>
        <w:t xml:space="preserve"> السَّلِيمُ الَّذِي يَلْقى رَبَّهُ وَلَيْسَ فِيهِ أَحَدٌ سِوَاهُ »</w:t>
      </w:r>
      <w:r>
        <w:rPr>
          <w:rtl/>
          <w:lang w:bidi="fa-IR"/>
        </w:rPr>
        <w:t>.</w:t>
      </w:r>
      <w:r w:rsidRPr="00C9040A">
        <w:rPr>
          <w:rtl/>
          <w:lang w:bidi="fa-IR"/>
        </w:rPr>
        <w:t xml:space="preserve"> قَالَ </w:t>
      </w:r>
      <w:r w:rsidR="006C577F" w:rsidRPr="006C577F">
        <w:rPr>
          <w:rStyle w:val="libFootnotenumChar"/>
          <w:rtl/>
        </w:rPr>
        <w:t>(9)</w:t>
      </w:r>
      <w:r w:rsidRPr="00C9040A">
        <w:rPr>
          <w:rtl/>
          <w:lang w:bidi="fa-IR"/>
        </w:rPr>
        <w:t xml:space="preserve"> : « وَكُلُّ قَلْبٍ فِيهِ شِرْكٌ أَوْ شَكٌّ </w:t>
      </w:r>
      <w:r w:rsidR="006C577F" w:rsidRPr="006C577F">
        <w:rPr>
          <w:rStyle w:val="libFootnotenumChar"/>
          <w:rtl/>
        </w:rPr>
        <w:t>(10)</w:t>
      </w:r>
      <w:r w:rsidRPr="00C9040A">
        <w:rPr>
          <w:rtl/>
          <w:lang w:bidi="fa-IR"/>
        </w:rPr>
        <w:t xml:space="preserve"> فَهُوَ سَاقِطٌ ، إِنَّمَا أَرَادُوا </w:t>
      </w:r>
      <w:r w:rsidR="006C577F" w:rsidRPr="006C577F">
        <w:rPr>
          <w:rStyle w:val="libFootnotenumChar"/>
          <w:rtl/>
        </w:rPr>
        <w:t>(11)</w:t>
      </w:r>
      <w:r w:rsidRPr="00C9040A">
        <w:rPr>
          <w:rtl/>
          <w:lang w:bidi="fa-IR"/>
        </w:rPr>
        <w:t xml:space="preserve"> بِالزُّهْدِ </w:t>
      </w:r>
      <w:r w:rsidR="006C577F" w:rsidRPr="006C577F">
        <w:rPr>
          <w:rStyle w:val="libFootnotenumChar"/>
          <w:rtl/>
        </w:rPr>
        <w:t>(12)</w:t>
      </w:r>
      <w:r w:rsidR="004F7300">
        <w:rPr>
          <w:rFonts w:hint="cs"/>
          <w:rtl/>
          <w:lang w:bidi="fa-IR"/>
        </w:rPr>
        <w:t>.....................................................</w:t>
      </w:r>
      <w:r w:rsidR="004F7300">
        <w:rPr>
          <w:rFonts w:hint="cs"/>
          <w:rtl/>
          <w:lang w:bidi="fa-IR"/>
        </w:rPr>
        <w:tab/>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 ز » : « يعني ليس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هكذا في « ب ، ص ، ف ، </w:t>
      </w:r>
      <w:r w:rsidR="006D3162">
        <w:rPr>
          <w:rtl/>
        </w:rPr>
        <w:t xml:space="preserve">ه </w:t>
      </w:r>
      <w:r w:rsidR="008A74EB" w:rsidRPr="00C9040A">
        <w:rPr>
          <w:rtl/>
        </w:rPr>
        <w:t>، بس ، بف » ومرآة العقول والبحار. وفي سائر النسخ والمطبوع : « أكثر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ب ، ج ، د ، ز ، ص ، ف ، بس ، بف » والوافي ومرآة العقول والبحار : « والخشية »</w:t>
      </w:r>
      <w:r w:rsidR="008A74EB">
        <w:rPr>
          <w:rtl/>
        </w:rPr>
        <w:t>.</w:t>
      </w:r>
      <w:r w:rsidR="008A74EB" w:rsidRPr="00C9040A">
        <w:rPr>
          <w:rtl/>
        </w:rPr>
        <w:t xml:space="preserve"> وقال في </w:t>
      </w:r>
      <w:r w:rsidR="008A74EB" w:rsidRPr="00993B55">
        <w:rPr>
          <w:rStyle w:val="libFootnoteBoldChar"/>
          <w:rtl/>
        </w:rPr>
        <w:t>الوافي</w:t>
      </w:r>
      <w:r w:rsidR="008A74EB" w:rsidRPr="00C9040A">
        <w:rPr>
          <w:rtl/>
        </w:rPr>
        <w:t xml:space="preserve"> : « ولفظة : والخشية ، بعد قوله : والنيّة الصادقة ، زائدة ، ولعلّها من طغيان قلم النسّاخ ، وليست في بعض النسخ الصحيحة ، ولو صحّت يكون معناها : خشية أن لا تقبل كما مرّ ، وهو غير خشية الله »</w:t>
      </w:r>
      <w:r w:rsidR="008A74EB">
        <w:rPr>
          <w:rtl/>
        </w:rPr>
        <w:t>.</w:t>
      </w:r>
      <w:r w:rsidR="008A74EB" w:rsidRPr="00C9040A">
        <w:rPr>
          <w:rtl/>
        </w:rPr>
        <w:t xml:space="preserve"> وفي </w:t>
      </w:r>
      <w:r w:rsidR="008A74EB" w:rsidRPr="00993B55">
        <w:rPr>
          <w:rStyle w:val="libFootnoteBoldChar"/>
          <w:rtl/>
        </w:rPr>
        <w:t>المرآة</w:t>
      </w:r>
      <w:r w:rsidR="008A74EB" w:rsidRPr="00C9040A">
        <w:rPr>
          <w:rtl/>
        </w:rPr>
        <w:t xml:space="preserve"> : « أو يقال : النيّة الصادقة ، مبتدأ ، والخشية ، معطوف عليه ، والخبر محذوف ، أي مقرونتان. أو الخشية ، منصوب ليكون مفعولاً معه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ص ، </w:t>
      </w:r>
      <w:r w:rsidR="006D3162">
        <w:rPr>
          <w:rtl/>
        </w:rPr>
        <w:t xml:space="preserve">ه </w:t>
      </w:r>
      <w:r w:rsidR="008A74EB" w:rsidRPr="00C9040A">
        <w:rPr>
          <w:rtl/>
        </w:rPr>
        <w:t>، بر » وحاشية « بس » والوافي : « هو »</w:t>
      </w:r>
      <w:r w:rsidR="008A74EB">
        <w:rPr>
          <w:rtl/>
        </w:rPr>
        <w:t>.</w:t>
      </w:r>
      <w:r w:rsidR="008A74EB" w:rsidRPr="00C9040A">
        <w:rPr>
          <w:rtl/>
        </w:rPr>
        <w:t xml:space="preserve"> وفي « ف » : « من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الإسراء (17) : 84.</w:t>
      </w:r>
    </w:p>
    <w:p w:rsidR="008A74EB" w:rsidRPr="004A4E41" w:rsidRDefault="006C577F" w:rsidP="004A4E41">
      <w:pPr>
        <w:pStyle w:val="libFootnote0"/>
        <w:rPr>
          <w:rStyle w:val="libFootnote0Char"/>
          <w:rtl/>
        </w:rPr>
      </w:pPr>
      <w:r>
        <w:rPr>
          <w:rtl/>
        </w:rPr>
        <w:t>(6).</w:t>
      </w:r>
      <w:r w:rsidR="008A74EB">
        <w:rPr>
          <w:rtl/>
        </w:rPr>
        <w:t xml:space="preserve"> </w:t>
      </w:r>
      <w:r w:rsidR="008A74EB" w:rsidRPr="00C9040A">
        <w:rPr>
          <w:rtl/>
        </w:rPr>
        <w:t xml:space="preserve">راجع : </w:t>
      </w:r>
      <w:r w:rsidR="008A74EB" w:rsidRPr="00993B55">
        <w:rPr>
          <w:rStyle w:val="libFootnoteBoldChar"/>
          <w:rtl/>
        </w:rPr>
        <w:t>الكافي</w:t>
      </w:r>
      <w:r w:rsidR="008A74EB" w:rsidRPr="00C9040A">
        <w:rPr>
          <w:rtl/>
        </w:rPr>
        <w:t xml:space="preserve"> ، كتاب الإيمان والكفر ، باب النيّة ، ح 1679 ؛ وباب الرياء ، ح 2502 ؛ و</w:t>
      </w:r>
      <w:r w:rsidR="008A74EB" w:rsidRPr="00993B55">
        <w:rPr>
          <w:rStyle w:val="libFootnoteBoldChar"/>
          <w:rtl/>
        </w:rPr>
        <w:t>المحاسن</w:t>
      </w:r>
      <w:r w:rsidR="008A74EB" w:rsidRPr="00C9040A">
        <w:rPr>
          <w:rtl/>
        </w:rPr>
        <w:t xml:space="preserve"> ، ص 330 ، كتاب العلل ، ح 94 ؛ و</w:t>
      </w:r>
      <w:r w:rsidR="008A74EB" w:rsidRPr="00993B55">
        <w:rPr>
          <w:rStyle w:val="libFootnoteBoldChar"/>
          <w:rtl/>
        </w:rPr>
        <w:t xml:space="preserve">علل الشرائع </w:t>
      </w:r>
      <w:r w:rsidR="008A74EB" w:rsidRPr="00C9040A">
        <w:rPr>
          <w:rtl/>
        </w:rPr>
        <w:t>، ج 2 ، ص 523 ، ح 1</w:t>
      </w:r>
      <w:r w:rsidR="00492D9B">
        <w:rPr>
          <w:rFonts w:hint="cs"/>
          <w:rtl/>
        </w:rPr>
        <w:t>.</w:t>
      </w:r>
      <w:r w:rsidR="008A74EB" w:rsidRPr="00993B55">
        <w:rPr>
          <w:rStyle w:val="libFootnoteBoldChar"/>
          <w:rtl/>
        </w:rPr>
        <w:t>الوافي</w:t>
      </w:r>
      <w:r w:rsidR="008A74EB" w:rsidRPr="00C9040A">
        <w:rPr>
          <w:rtl/>
        </w:rPr>
        <w:t xml:space="preserve"> ، ج 4 ، ص 375 ، ح 2146 ؛ </w:t>
      </w:r>
      <w:r w:rsidR="008A74EB" w:rsidRPr="00993B55">
        <w:rPr>
          <w:rStyle w:val="libFootnoteBoldChar"/>
          <w:rtl/>
        </w:rPr>
        <w:t>الوسائل</w:t>
      </w:r>
      <w:r w:rsidR="008A74EB" w:rsidRPr="00C9040A">
        <w:rPr>
          <w:rtl/>
        </w:rPr>
        <w:t xml:space="preserve"> ، ج 1 ، ص 51 ، ح 97 ، من قوله : « والنيّة أفضل من العمل » ؛ </w:t>
      </w:r>
      <w:r w:rsidR="008A74EB" w:rsidRPr="00993B55">
        <w:rPr>
          <w:rStyle w:val="libFootnoteBoldChar"/>
          <w:rtl/>
        </w:rPr>
        <w:t>وفيه</w:t>
      </w:r>
      <w:r w:rsidR="008A74EB" w:rsidRPr="00C9040A">
        <w:rPr>
          <w:rtl/>
        </w:rPr>
        <w:t xml:space="preserve"> ، ص 60 ، ح 126 ، من قوله : « قال : الإبقاء على العمل » إلى قوله : « أن يحمدك عليه أحد إلاّ</w:t>
      </w:r>
      <w:r w:rsidR="008A74EB">
        <w:rPr>
          <w:rFonts w:hint="cs"/>
          <w:rtl/>
        </w:rPr>
        <w:t xml:space="preserve"> </w:t>
      </w:r>
      <w:r w:rsidR="008A74EB" w:rsidRPr="00C9040A">
        <w:rPr>
          <w:rtl/>
        </w:rPr>
        <w:t xml:space="preserve">الله عزّوجلّ » ؛ </w:t>
      </w:r>
      <w:r w:rsidR="008A74EB" w:rsidRPr="00993B55">
        <w:rPr>
          <w:rStyle w:val="libFootnoteBoldChar"/>
          <w:rtl/>
        </w:rPr>
        <w:t>البحار</w:t>
      </w:r>
      <w:r w:rsidR="008A74EB" w:rsidRPr="00C9040A">
        <w:rPr>
          <w:rtl/>
        </w:rPr>
        <w:t xml:space="preserve"> ، ج 70 ، ص 230 ، ح 6.</w:t>
      </w:r>
    </w:p>
    <w:tbl>
      <w:tblPr>
        <w:tblStyle w:val="TableGrid"/>
        <w:bidiVisual/>
        <w:tblW w:w="0" w:type="auto"/>
        <w:tblLook w:val="04A0" w:firstRow="1" w:lastRow="0" w:firstColumn="1" w:lastColumn="0" w:noHBand="0" w:noVBand="1"/>
      </w:tblPr>
      <w:tblGrid>
        <w:gridCol w:w="4006"/>
        <w:gridCol w:w="4006"/>
      </w:tblGrid>
      <w:tr w:rsidR="00492D9B" w:rsidTr="00492D9B">
        <w:tc>
          <w:tcPr>
            <w:tcW w:w="4006" w:type="dxa"/>
          </w:tcPr>
          <w:p w:rsidR="00492D9B" w:rsidRDefault="00492D9B" w:rsidP="004A4E41">
            <w:pPr>
              <w:pStyle w:val="libFootnote0"/>
              <w:rPr>
                <w:rtl/>
              </w:rPr>
            </w:pPr>
            <w:r>
              <w:rPr>
                <w:rtl/>
              </w:rPr>
              <w:t>(7).</w:t>
            </w:r>
            <w:r w:rsidRPr="00C9040A">
              <w:rPr>
                <w:rtl/>
              </w:rPr>
              <w:t xml:space="preserve"> الشعراء (26) : 89.</w:t>
            </w:r>
          </w:p>
        </w:tc>
        <w:tc>
          <w:tcPr>
            <w:tcW w:w="4006" w:type="dxa"/>
          </w:tcPr>
          <w:p w:rsidR="00492D9B" w:rsidRDefault="00492D9B" w:rsidP="004A4E41">
            <w:pPr>
              <w:pStyle w:val="libFootnote0"/>
              <w:rPr>
                <w:rtl/>
              </w:rPr>
            </w:pPr>
            <w:r>
              <w:rPr>
                <w:rtl/>
              </w:rPr>
              <w:t>(8).</w:t>
            </w:r>
            <w:r w:rsidRPr="00C9040A">
              <w:rPr>
                <w:rtl/>
              </w:rPr>
              <w:t xml:space="preserve"> في « ز ، </w:t>
            </w:r>
            <w:r>
              <w:rPr>
                <w:rtl/>
              </w:rPr>
              <w:t xml:space="preserve">ه </w:t>
            </w:r>
            <w:r w:rsidRPr="00C9040A">
              <w:rPr>
                <w:rtl/>
              </w:rPr>
              <w:t xml:space="preserve">، بس » والوسائل </w:t>
            </w:r>
            <w:r>
              <w:rPr>
                <w:rtl/>
              </w:rPr>
              <w:t>: -</w:t>
            </w:r>
            <w:r w:rsidRPr="00C9040A">
              <w:rPr>
                <w:rtl/>
              </w:rPr>
              <w:t xml:space="preserve"> « القلب »</w:t>
            </w:r>
            <w:r>
              <w:rPr>
                <w:rtl/>
              </w:rPr>
              <w:t>.</w:t>
            </w:r>
          </w:p>
        </w:tc>
      </w:tr>
    </w:tbl>
    <w:p w:rsidR="008A74EB" w:rsidRPr="00C9040A" w:rsidRDefault="006C577F" w:rsidP="004A4E41">
      <w:pPr>
        <w:pStyle w:val="libFootnote0"/>
        <w:rPr>
          <w:rtl/>
          <w:lang w:bidi="fa-IR"/>
        </w:rPr>
      </w:pPr>
      <w:r>
        <w:rPr>
          <w:rtl/>
        </w:rPr>
        <w:t>(9).</w:t>
      </w:r>
      <w:r w:rsidR="008A74EB" w:rsidRPr="00C9040A">
        <w:rPr>
          <w:rtl/>
        </w:rPr>
        <w:t xml:space="preserve"> في البحار : « وقال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الوسائل والبحار ، ج 73 والكافي ، ح 1897 : « شكّ أو شرك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في « ب ، ج ، د ، بس ، بف » وحاشية « ف ، بر » : « أراد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هكذا في « ب ، د ، ص ، ف ، </w:t>
      </w:r>
      <w:r w:rsidR="006D3162">
        <w:rPr>
          <w:rtl/>
        </w:rPr>
        <w:t xml:space="preserve">ه </w:t>
      </w:r>
      <w:r w:rsidR="008A74EB" w:rsidRPr="00C9040A">
        <w:rPr>
          <w:rtl/>
        </w:rPr>
        <w:t>، بر ، بس ، بف » والوافي والوسائل والكافي ، ح 1897. وفي المطبوع : « الزهد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فِي الدُّنْيَا لِتَفْرُغَ </w:t>
      </w:r>
      <w:r w:rsidR="006C577F" w:rsidRPr="006C577F">
        <w:rPr>
          <w:rStyle w:val="libFootnotenumChar"/>
          <w:rtl/>
        </w:rPr>
        <w:t>(1)</w:t>
      </w:r>
      <w:r w:rsidRPr="002712F0">
        <w:rPr>
          <w:rFonts w:hint="cs"/>
          <w:rtl/>
        </w:rPr>
        <w:t xml:space="preserve"> </w:t>
      </w:r>
      <w:r w:rsidRPr="00C9040A">
        <w:rPr>
          <w:rtl/>
          <w:lang w:bidi="fa-IR"/>
        </w:rPr>
        <w:t xml:space="preserve">قُلُوبُهُمْ لِلآخِرَةِ </w:t>
      </w:r>
      <w:r w:rsidR="006C577F" w:rsidRPr="006C577F">
        <w:rPr>
          <w:rStyle w:val="libFootnotenumChar"/>
          <w:rtl/>
        </w:rPr>
        <w:t>(2)</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2C02A9">
        <w:rPr>
          <w:rtl/>
        </w:rPr>
        <w:t>1487</w:t>
      </w:r>
      <w:r w:rsidRPr="00261CB0">
        <w:rPr>
          <w:rStyle w:val="libBold2Char"/>
          <w:rtl/>
        </w:rPr>
        <w:t xml:space="preserve"> / 6.</w:t>
      </w:r>
      <w:r w:rsidRPr="00C9040A">
        <w:rPr>
          <w:rtl/>
          <w:lang w:bidi="fa-IR"/>
        </w:rPr>
        <w:t xml:space="preserve"> وَ</w:t>
      </w:r>
      <w:r>
        <w:rPr>
          <w:rFonts w:hint="cs"/>
          <w:rtl/>
          <w:lang w:bidi="fa-IR"/>
        </w:rPr>
        <w:t xml:space="preserve"> </w:t>
      </w:r>
      <w:r w:rsidR="006C577F" w:rsidRPr="006C577F">
        <w:rPr>
          <w:rStyle w:val="libFootnotenumChar"/>
          <w:rtl/>
        </w:rPr>
        <w:t>(4)</w:t>
      </w:r>
      <w:r w:rsidRPr="00C9040A">
        <w:rPr>
          <w:rtl/>
          <w:lang w:bidi="fa-IR"/>
        </w:rPr>
        <w:t xml:space="preserve"> بِهذَا الْإِسْنَادِ ، عَنْ سُفْيَانَ بْنِ عُيَيْنَةَ ، عَنِ السُدِّيِّ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مَا أَخْلَصَ عَبْدٌ </w:t>
      </w:r>
      <w:r w:rsidR="006C577F" w:rsidRPr="006C577F">
        <w:rPr>
          <w:rStyle w:val="libFootnotenumChar"/>
          <w:rtl/>
        </w:rPr>
        <w:t>(6)</w:t>
      </w:r>
      <w:r w:rsidR="007C2F44" w:rsidRPr="007C2F44">
        <w:rPr>
          <w:rFonts w:hint="cs"/>
          <w:rtl/>
        </w:rPr>
        <w:t xml:space="preserve"> </w:t>
      </w:r>
      <w:r w:rsidRPr="00C9040A">
        <w:rPr>
          <w:rtl/>
          <w:lang w:bidi="fa-IR"/>
        </w:rPr>
        <w:t>الْإِيمَانَ بِاللهِ أَرْبَعِينَ يَوْماً</w:t>
      </w:r>
      <w:r>
        <w:rPr>
          <w:rtl/>
          <w:lang w:bidi="fa-IR"/>
        </w:rPr>
        <w:t xml:space="preserve"> </w:t>
      </w:r>
      <w:r w:rsidR="0084262C">
        <w:rPr>
          <w:rtl/>
          <w:lang w:bidi="fa-IR"/>
        </w:rPr>
        <w:t>-</w:t>
      </w:r>
      <w:r>
        <w:rPr>
          <w:rtl/>
          <w:lang w:bidi="fa-IR"/>
        </w:rPr>
        <w:t xml:space="preserve"> </w:t>
      </w:r>
      <w:r w:rsidRPr="00C9040A">
        <w:rPr>
          <w:rtl/>
          <w:lang w:bidi="fa-IR"/>
        </w:rPr>
        <w:t xml:space="preserve">أَوْ قَالَ : مَا أَجْمَلَ </w:t>
      </w:r>
      <w:r w:rsidR="006C577F" w:rsidRPr="006C577F">
        <w:rPr>
          <w:rStyle w:val="libFootnotenumChar"/>
          <w:rtl/>
        </w:rPr>
        <w:t>(7)</w:t>
      </w:r>
      <w:r w:rsidRPr="00C9040A">
        <w:rPr>
          <w:rtl/>
          <w:lang w:bidi="fa-IR"/>
        </w:rPr>
        <w:t xml:space="preserve"> عَبْدٌ ذِكْرَ اللهِ عَزَّ وَجَلَّ أَرْبَعِينَ يَوْماً</w:t>
      </w:r>
      <w:r>
        <w:rPr>
          <w:rtl/>
          <w:lang w:bidi="fa-IR"/>
        </w:rPr>
        <w:t xml:space="preserve"> </w:t>
      </w:r>
      <w:r w:rsidR="0084262C">
        <w:rPr>
          <w:rtl/>
          <w:lang w:bidi="fa-IR"/>
        </w:rPr>
        <w:t>-</w:t>
      </w:r>
      <w:r>
        <w:rPr>
          <w:rtl/>
          <w:lang w:bidi="fa-IR"/>
        </w:rPr>
        <w:t xml:space="preserve"> </w:t>
      </w:r>
      <w:r w:rsidRPr="00C9040A">
        <w:rPr>
          <w:rtl/>
          <w:lang w:bidi="fa-IR"/>
        </w:rPr>
        <w:t xml:space="preserve">إِلاَّ زَهَّدَهُ </w:t>
      </w:r>
      <w:r w:rsidR="006C577F" w:rsidRPr="006C577F">
        <w:rPr>
          <w:rStyle w:val="libFootnotenumChar"/>
          <w:rtl/>
        </w:rPr>
        <w:t>(8)</w:t>
      </w:r>
      <w:r w:rsidRPr="00C9040A">
        <w:rPr>
          <w:rtl/>
          <w:lang w:bidi="fa-IR"/>
        </w:rPr>
        <w:t xml:space="preserve"> اللهُ عَزَّ وَجَلَّ فِي الدُّنْيَا </w:t>
      </w:r>
      <w:r w:rsidR="006C577F" w:rsidRPr="006C577F">
        <w:rPr>
          <w:rStyle w:val="libFootnotenumChar"/>
          <w:rtl/>
        </w:rPr>
        <w:t>(9)</w:t>
      </w:r>
      <w:r w:rsidRPr="00C9040A">
        <w:rPr>
          <w:rtl/>
          <w:lang w:bidi="fa-IR"/>
        </w:rPr>
        <w:t xml:space="preserve"> ، وَبَصَّرَهُ دَاءَهَا وَدَوَاءَهَا ، وَأَثْبَتَ </w:t>
      </w:r>
      <w:r w:rsidR="006C577F" w:rsidRPr="006C577F">
        <w:rPr>
          <w:rStyle w:val="libFootnotenumChar"/>
          <w:rtl/>
        </w:rPr>
        <w:t>(10)</w:t>
      </w:r>
      <w:r w:rsidRPr="00C9040A">
        <w:rPr>
          <w:rtl/>
          <w:lang w:bidi="fa-IR"/>
        </w:rPr>
        <w:t xml:space="preserve"> الْحِكْمَةَ فِي قَلْبِهِ ، وَأَنْطَقَ بِهَا لِسَانَهُ »</w:t>
      </w:r>
      <w:r>
        <w:rPr>
          <w:rtl/>
          <w:lang w:bidi="fa-IR"/>
        </w:rPr>
        <w:t>.</w:t>
      </w:r>
    </w:p>
    <w:p w:rsidR="008A74EB" w:rsidRPr="00C9040A" w:rsidRDefault="008A74EB" w:rsidP="008A74EB">
      <w:pPr>
        <w:pStyle w:val="libNormal"/>
        <w:rPr>
          <w:rtl/>
          <w:lang w:bidi="fa-IR"/>
        </w:rPr>
      </w:pPr>
      <w:r w:rsidRPr="00C9040A">
        <w:rPr>
          <w:rtl/>
          <w:lang w:bidi="fa-IR"/>
        </w:rPr>
        <w:t xml:space="preserve">ثُمَّ تَلَا </w:t>
      </w:r>
      <w:r w:rsidR="006C577F" w:rsidRPr="006C577F">
        <w:rPr>
          <w:rStyle w:val="libFootnotenumChar"/>
          <w:rtl/>
        </w:rPr>
        <w:t>(11)</w:t>
      </w:r>
      <w:r w:rsidRPr="00C9040A">
        <w:rPr>
          <w:rtl/>
          <w:lang w:bidi="fa-IR"/>
        </w:rPr>
        <w:t xml:space="preserve"> : « </w:t>
      </w:r>
      <w:r w:rsidRPr="0003660B">
        <w:rPr>
          <w:rStyle w:val="libAlaemChar"/>
          <w:rtl/>
        </w:rPr>
        <w:t>(</w:t>
      </w:r>
      <w:r w:rsidRPr="006A2246">
        <w:rPr>
          <w:rStyle w:val="libAieChar"/>
          <w:rtl/>
        </w:rPr>
        <w:t xml:space="preserve"> إِنَّ الَّذِينَ اتَّخَذُوا الْعِجْلَ سَيَنالُهُمْ غَضَبٌ مِنْ رَبِّهِمْ وَذِلَّةٌ فِي الْحَياةِ الدُّنْيا وَكَذلِكَ نَجْزِي الْمُفْتَرِينَ </w:t>
      </w:r>
      <w:r w:rsidRPr="0003660B">
        <w:rPr>
          <w:rStyle w:val="libAlaemChar"/>
          <w:rtl/>
        </w:rPr>
        <w:t>)</w:t>
      </w:r>
      <w:r w:rsidRPr="00C9040A">
        <w:rPr>
          <w:rtl/>
          <w:lang w:bidi="fa-IR"/>
        </w:rPr>
        <w:t xml:space="preserve"> </w:t>
      </w:r>
      <w:r w:rsidR="006C577F" w:rsidRPr="006C577F">
        <w:rPr>
          <w:rStyle w:val="libFootnotenumChar"/>
          <w:rtl/>
        </w:rPr>
        <w:t>(12)</w:t>
      </w:r>
      <w:r w:rsidRPr="00C9040A">
        <w:rPr>
          <w:rtl/>
          <w:lang w:bidi="fa-IR"/>
        </w:rPr>
        <w:t xml:space="preserve"> ؛ فَ</w:t>
      </w:r>
      <w:r w:rsidR="007C2F44">
        <w:rPr>
          <w:rtl/>
          <w:lang w:bidi="fa-IR"/>
        </w:rPr>
        <w:t>لَا تَرى صَاحِبَ بِدْعَةٍ إِل</w:t>
      </w:r>
      <w:r w:rsidR="007C2F44">
        <w:rPr>
          <w:rFonts w:hint="cs"/>
          <w:rtl/>
          <w:lang w:bidi="fa-IR"/>
        </w:rPr>
        <w:t>َّ</w:t>
      </w:r>
      <w:r w:rsidR="007C2F44">
        <w:rPr>
          <w:rtl/>
          <w:lang w:bidi="fa-IR"/>
        </w:rPr>
        <w:t>ا</w:t>
      </w:r>
      <w:r w:rsidRPr="00C9040A">
        <w:rPr>
          <w:rtl/>
          <w:lang w:bidi="fa-IR"/>
        </w:rPr>
        <w:t xml:space="preserve"> ذَلِيلاً ، وَ</w:t>
      </w:r>
      <w:r>
        <w:rPr>
          <w:rFonts w:hint="cs"/>
          <w:rtl/>
          <w:lang w:bidi="fa-IR"/>
        </w:rPr>
        <w:t xml:space="preserve"> </w:t>
      </w:r>
      <w:r w:rsidRPr="005B567D">
        <w:rPr>
          <w:rStyle w:val="libFootnotenumChar"/>
          <w:rtl/>
        </w:rPr>
        <w:t>(13)</w:t>
      </w:r>
      <w:r w:rsidR="007C2F44">
        <w:rPr>
          <w:rFonts w:hint="cs"/>
          <w:rtl/>
        </w:rPr>
        <w:t>.............</w:t>
      </w:r>
      <w:r w:rsidR="007C2F44">
        <w:rPr>
          <w:rFonts w:hint="cs"/>
          <w:rtl/>
        </w:rPr>
        <w:tab/>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671CA2" w:rsidTr="00671CA2">
        <w:tc>
          <w:tcPr>
            <w:tcW w:w="4006" w:type="dxa"/>
          </w:tcPr>
          <w:p w:rsidR="00671CA2" w:rsidRDefault="00671CA2" w:rsidP="004A4E41">
            <w:pPr>
              <w:pStyle w:val="libFootnote0"/>
              <w:rPr>
                <w:rtl/>
              </w:rPr>
            </w:pPr>
            <w:r>
              <w:rPr>
                <w:rtl/>
              </w:rPr>
              <w:t>(1). في «ج»:</w:t>
            </w:r>
            <w:r w:rsidRPr="00C9040A">
              <w:rPr>
                <w:rtl/>
              </w:rPr>
              <w:t>« ليتفرّغ »</w:t>
            </w:r>
            <w:r>
              <w:rPr>
                <w:rtl/>
              </w:rPr>
              <w:t>. وفي« ص،ه »:</w:t>
            </w:r>
            <w:r w:rsidRPr="00C9040A">
              <w:rPr>
                <w:rtl/>
              </w:rPr>
              <w:t>« ليفرغ »</w:t>
            </w:r>
            <w:r>
              <w:rPr>
                <w:rtl/>
              </w:rPr>
              <w:t>.</w:t>
            </w:r>
          </w:p>
        </w:tc>
        <w:tc>
          <w:tcPr>
            <w:tcW w:w="4006" w:type="dxa"/>
          </w:tcPr>
          <w:p w:rsidR="00671CA2" w:rsidRDefault="00671CA2" w:rsidP="004A4E41">
            <w:pPr>
              <w:pStyle w:val="libFootnote0"/>
              <w:rPr>
                <w:rtl/>
              </w:rPr>
            </w:pPr>
            <w:r>
              <w:rPr>
                <w:rtl/>
              </w:rPr>
              <w:t>(2). في«ز» :«في الآخرة</w:t>
            </w:r>
            <w:r w:rsidRPr="00C9040A">
              <w:rPr>
                <w:rtl/>
              </w:rPr>
              <w:t>»</w:t>
            </w:r>
            <w:r>
              <w:rPr>
                <w:rtl/>
              </w:rPr>
              <w:t>.وفي«بس»:</w:t>
            </w:r>
            <w:r w:rsidRPr="00C9040A">
              <w:rPr>
                <w:rtl/>
              </w:rPr>
              <w:t>« إلى الآخرة »</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w:t>
      </w:r>
      <w:r w:rsidR="008A74EB" w:rsidRPr="00993B55">
        <w:rPr>
          <w:rStyle w:val="libFootnoteBoldChar"/>
          <w:rtl/>
        </w:rPr>
        <w:t>الكافي</w:t>
      </w:r>
      <w:r w:rsidR="008A74EB" w:rsidRPr="00C9040A">
        <w:rPr>
          <w:rtl/>
        </w:rPr>
        <w:t xml:space="preserve"> ، كتاب الإيمان والكفر ، باب ذمّ الدنيا والزهد فيها ، ح 1897 ، عن عليّ بن إبراهيم ، عن أبيه وعليّ بن محمّد ، عن القاسم بن محمّد ، عن سليمان بن داود المنقري ، عن سفيان بن عيينة ، عن أبي عبدالله </w:t>
      </w:r>
      <w:r w:rsidR="00117575" w:rsidRPr="00117575">
        <w:rPr>
          <w:rStyle w:val="libFootnoteAlaemChar"/>
          <w:rtl/>
        </w:rPr>
        <w:t>عليه‌السلام</w:t>
      </w:r>
      <w:r w:rsidR="008A74EB" w:rsidRPr="00C9040A">
        <w:rPr>
          <w:rtl/>
        </w:rPr>
        <w:t xml:space="preserve"> ، من قوله : « وكلّ قلب فيه شكّ »</w:t>
      </w:r>
      <w:r w:rsidR="008A74EB">
        <w:rPr>
          <w:rtl/>
        </w:rPr>
        <w:t>.</w:t>
      </w:r>
      <w:r w:rsidR="008A74EB" w:rsidRPr="00C9040A">
        <w:rPr>
          <w:rtl/>
        </w:rPr>
        <w:t xml:space="preserve"> </w:t>
      </w:r>
      <w:r w:rsidR="008A74EB" w:rsidRPr="00993B55">
        <w:rPr>
          <w:rStyle w:val="libFootnoteBoldChar"/>
          <w:rtl/>
        </w:rPr>
        <w:t>تفسير القمّي</w:t>
      </w:r>
      <w:r w:rsidR="008A74EB" w:rsidRPr="00C9040A">
        <w:rPr>
          <w:rtl/>
        </w:rPr>
        <w:t xml:space="preserve"> ، ج 2 ، ص 122 ، من دون الإسناد إلى المعصوم </w:t>
      </w:r>
      <w:r w:rsidR="00117575" w:rsidRPr="00117575">
        <w:rPr>
          <w:rStyle w:val="libFootnoteAlaemChar"/>
          <w:rtl/>
        </w:rPr>
        <w:t>عليه‌السلام</w:t>
      </w:r>
      <w:r w:rsidR="008A74EB" w:rsidRPr="00C9040A">
        <w:rPr>
          <w:rtl/>
        </w:rPr>
        <w:t xml:space="preserve"> ، إلى قوله : « أحد سواه »</w:t>
      </w:r>
      <w:r w:rsidR="00AB7085">
        <w:rPr>
          <w:rFonts w:hint="cs"/>
          <w:rtl/>
        </w:rPr>
        <w:t>.</w:t>
      </w:r>
      <w:r w:rsidR="008A74EB" w:rsidRPr="00993B55">
        <w:rPr>
          <w:rStyle w:val="libFootnoteBoldChar"/>
          <w:rtl/>
        </w:rPr>
        <w:t>الوافي</w:t>
      </w:r>
      <w:r w:rsidR="008A74EB" w:rsidRPr="00C9040A">
        <w:rPr>
          <w:rtl/>
        </w:rPr>
        <w:t xml:space="preserve"> ، ج 4 ، ص 376 ، ح 2147 ؛ </w:t>
      </w:r>
      <w:r w:rsidR="008A74EB" w:rsidRPr="00993B55">
        <w:rPr>
          <w:rStyle w:val="libFootnoteBoldChar"/>
          <w:rtl/>
        </w:rPr>
        <w:t>الوسائل</w:t>
      </w:r>
      <w:r w:rsidR="008A74EB" w:rsidRPr="00C9040A">
        <w:rPr>
          <w:rtl/>
        </w:rPr>
        <w:t xml:space="preserve"> ، ج 1 ، ص 60 ، ح 127 ؛ </w:t>
      </w:r>
      <w:r w:rsidR="008A74EB" w:rsidRPr="00993B55">
        <w:rPr>
          <w:rStyle w:val="libFootnoteBoldChar"/>
          <w:rtl/>
        </w:rPr>
        <w:t>البحار</w:t>
      </w:r>
      <w:r w:rsidR="008A74EB" w:rsidRPr="00C9040A">
        <w:rPr>
          <w:rtl/>
        </w:rPr>
        <w:t xml:space="preserve"> ، ج 70 ، ص 239 ، ح 7 ؛ </w:t>
      </w:r>
      <w:r w:rsidR="008A74EB" w:rsidRPr="00993B55">
        <w:rPr>
          <w:rStyle w:val="libFootnoteBoldChar"/>
          <w:rtl/>
        </w:rPr>
        <w:t>وفيه</w:t>
      </w:r>
      <w:r w:rsidR="008A74EB" w:rsidRPr="00C9040A">
        <w:rPr>
          <w:rtl/>
        </w:rPr>
        <w:t xml:space="preserve"> ، ج 73 ، ص 52 ، ح 23 ، من قوله : « وكلّ قلب فيه شكّ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هكذا في « ب ، د ، ز ، ص ، ف ، </w:t>
      </w:r>
      <w:r w:rsidR="006D3162">
        <w:rPr>
          <w:rtl/>
        </w:rPr>
        <w:t xml:space="preserve">ه </w:t>
      </w:r>
      <w:r w:rsidR="008A74EB" w:rsidRPr="00C9040A">
        <w:rPr>
          <w:rtl/>
        </w:rPr>
        <w:t>، بر ، بس »</w:t>
      </w:r>
      <w:r w:rsidR="008A74EB">
        <w:rPr>
          <w:rtl/>
        </w:rPr>
        <w:t>.</w:t>
      </w:r>
      <w:r w:rsidR="008A74EB" w:rsidRPr="00C9040A">
        <w:rPr>
          <w:rtl/>
        </w:rPr>
        <w:t xml:space="preserve"> وفي « ج » والمطبوع </w:t>
      </w:r>
      <w:r w:rsidR="008A74EB">
        <w:rPr>
          <w:rtl/>
        </w:rPr>
        <w:t xml:space="preserve">: </w:t>
      </w:r>
      <w:r w:rsidR="0084262C">
        <w:rPr>
          <w:rtl/>
        </w:rPr>
        <w:t>-</w:t>
      </w:r>
      <w:r w:rsidR="008A74EB" w:rsidRPr="00C9040A">
        <w:rPr>
          <w:rtl/>
        </w:rPr>
        <w:t xml:space="preserve"> « </w:t>
      </w:r>
      <w:r w:rsidR="008A74EB">
        <w:rPr>
          <w:rtl/>
        </w:rPr>
        <w:t>و ».</w:t>
      </w:r>
    </w:p>
    <w:p w:rsidR="008A74EB" w:rsidRPr="00C9040A" w:rsidRDefault="006C577F" w:rsidP="004A4E41">
      <w:pPr>
        <w:pStyle w:val="libFootnote0"/>
        <w:rPr>
          <w:rtl/>
          <w:lang w:bidi="fa-IR"/>
        </w:rPr>
      </w:pPr>
      <w:r>
        <w:rPr>
          <w:rtl/>
        </w:rPr>
        <w:t>(5).</w:t>
      </w:r>
      <w:r w:rsidR="008A74EB" w:rsidRPr="00C9040A">
        <w:rPr>
          <w:rtl/>
        </w:rPr>
        <w:t xml:space="preserve"> هكذا في « ص ، ف ، </w:t>
      </w:r>
      <w:r w:rsidR="006D3162">
        <w:rPr>
          <w:rtl/>
        </w:rPr>
        <w:t xml:space="preserve">ه </w:t>
      </w:r>
      <w:r w:rsidR="008A74EB" w:rsidRPr="00C9040A">
        <w:rPr>
          <w:rtl/>
        </w:rPr>
        <w:t>، بر ، بس ، بف ، جر » وحاشية « د » والوافي. وفي « ب ، ج ، د » والمطبوع : « السندي »</w:t>
      </w:r>
      <w:r w:rsidR="008A74EB">
        <w:rPr>
          <w:rtl/>
        </w:rPr>
        <w:t>.</w:t>
      </w:r>
      <w:r w:rsidR="008A74EB" w:rsidRPr="00C9040A">
        <w:rPr>
          <w:rtl/>
        </w:rPr>
        <w:t xml:space="preserve"> وفي « ز » : « السُّندي »</w:t>
      </w:r>
      <w:r w:rsidR="008A74EB">
        <w:rPr>
          <w:rtl/>
        </w:rPr>
        <w:t>.</w:t>
      </w:r>
      <w:r w:rsidR="008A74EB" w:rsidRPr="00C9040A">
        <w:rPr>
          <w:rtl/>
        </w:rPr>
        <w:t xml:space="preserve"> والصواب ما أثبتناه ؛ فإنّا لم نجد</w:t>
      </w:r>
      <w:r w:rsidR="008A74EB">
        <w:rPr>
          <w:rtl/>
        </w:rPr>
        <w:t xml:space="preserve"> </w:t>
      </w:r>
      <w:r w:rsidR="0084262C">
        <w:rPr>
          <w:rtl/>
        </w:rPr>
        <w:t>-</w:t>
      </w:r>
      <w:r w:rsidR="008A74EB">
        <w:rPr>
          <w:rtl/>
        </w:rPr>
        <w:t xml:space="preserve"> </w:t>
      </w:r>
      <w:r w:rsidR="008A74EB" w:rsidRPr="00C9040A">
        <w:rPr>
          <w:rtl/>
        </w:rPr>
        <w:t>حسب تتبّعنا</w:t>
      </w:r>
      <w:r w:rsidR="008A74EB">
        <w:rPr>
          <w:rtl/>
        </w:rPr>
        <w:t xml:space="preserve"> </w:t>
      </w:r>
      <w:r w:rsidR="0084262C">
        <w:rPr>
          <w:rtl/>
        </w:rPr>
        <w:t>-</w:t>
      </w:r>
      <w:r w:rsidR="008A74EB">
        <w:rPr>
          <w:rtl/>
        </w:rPr>
        <w:t xml:space="preserve"> </w:t>
      </w:r>
      <w:r w:rsidR="008A74EB" w:rsidRPr="00C9040A">
        <w:rPr>
          <w:rtl/>
        </w:rPr>
        <w:t xml:space="preserve">السندي في رواة أبي جعفر الباقر </w:t>
      </w:r>
      <w:r w:rsidR="00117575" w:rsidRPr="00117575">
        <w:rPr>
          <w:rStyle w:val="libFootnoteAlaemChar"/>
          <w:rtl/>
        </w:rPr>
        <w:t xml:space="preserve">عليه‌السلام </w:t>
      </w:r>
      <w:r w:rsidR="008A74EB" w:rsidRPr="00C9040A">
        <w:rPr>
          <w:rtl/>
        </w:rPr>
        <w:t>. وأمّا السُّدّيّ ، فقد ذكر الشيخ الطوسي إسماعيل بن عبد الرحمن السُّدّيّ الكوفي</w:t>
      </w:r>
      <w:r w:rsidR="008A74EB">
        <w:rPr>
          <w:rtl/>
        </w:rPr>
        <w:t xml:space="preserve"> </w:t>
      </w:r>
      <w:r w:rsidR="0084262C">
        <w:rPr>
          <w:rtl/>
        </w:rPr>
        <w:t>-</w:t>
      </w:r>
      <w:r w:rsidR="008A74EB">
        <w:rPr>
          <w:rtl/>
        </w:rPr>
        <w:t xml:space="preserve"> </w:t>
      </w:r>
      <w:r w:rsidR="008A74EB" w:rsidRPr="00C9040A">
        <w:rPr>
          <w:rtl/>
        </w:rPr>
        <w:t>وهو إسماعيل بن عبدالرحمن بن أبي كريمة ، المتوفّى سنة سبع وعشرين ومائة ، أو تسع وعشرين ومائة</w:t>
      </w:r>
      <w:r w:rsidR="008A74EB">
        <w:rPr>
          <w:rtl/>
        </w:rPr>
        <w:t xml:space="preserve"> </w:t>
      </w:r>
      <w:r w:rsidR="0084262C">
        <w:rPr>
          <w:rtl/>
        </w:rPr>
        <w:t>-</w:t>
      </w:r>
      <w:r w:rsidR="008A74EB">
        <w:rPr>
          <w:rtl/>
        </w:rPr>
        <w:t xml:space="preserve"> </w:t>
      </w:r>
      <w:r w:rsidR="008A74EB" w:rsidRPr="00C9040A">
        <w:rPr>
          <w:rtl/>
        </w:rPr>
        <w:t xml:space="preserve">في أصحاب محمّد بن عليّ الباقر </w:t>
      </w:r>
      <w:r w:rsidR="00117575" w:rsidRPr="00117575">
        <w:rPr>
          <w:rStyle w:val="libFootnoteAlaemChar"/>
          <w:rtl/>
        </w:rPr>
        <w:t xml:space="preserve">عليه‌السلام </w:t>
      </w:r>
      <w:r w:rsidR="008A74EB" w:rsidRPr="00C9040A">
        <w:rPr>
          <w:rtl/>
        </w:rPr>
        <w:t xml:space="preserve">. راجع : </w:t>
      </w:r>
      <w:r w:rsidR="008A74EB" w:rsidRPr="00993B55">
        <w:rPr>
          <w:rStyle w:val="libFootnoteBoldChar"/>
          <w:rtl/>
        </w:rPr>
        <w:t>رجال الطوسي</w:t>
      </w:r>
      <w:r w:rsidR="008A74EB" w:rsidRPr="00C9040A">
        <w:rPr>
          <w:rtl/>
        </w:rPr>
        <w:t xml:space="preserve"> ، ص 124 ، الرقم 1247 ؛ </w:t>
      </w:r>
      <w:r w:rsidR="008A74EB" w:rsidRPr="00993B55">
        <w:rPr>
          <w:rStyle w:val="libFootnoteBoldChar"/>
          <w:rtl/>
        </w:rPr>
        <w:t>تهذيب الكمال</w:t>
      </w:r>
      <w:r w:rsidR="008A74EB" w:rsidRPr="00C9040A">
        <w:rPr>
          <w:rtl/>
        </w:rPr>
        <w:t xml:space="preserve"> ، ج 3 ، ص 132 ، الرقم 462.</w:t>
      </w:r>
    </w:p>
    <w:p w:rsidR="008A74EB" w:rsidRPr="00C9040A" w:rsidRDefault="008A74EB" w:rsidP="004A4E41">
      <w:pPr>
        <w:pStyle w:val="libFootnote0"/>
        <w:rPr>
          <w:rtl/>
          <w:lang w:bidi="fa-IR"/>
        </w:rPr>
      </w:pPr>
      <w:r w:rsidRPr="00323A39">
        <w:rPr>
          <w:rtl/>
        </w:rPr>
        <w:t xml:space="preserve">هذا وقد أورد صدر الخبر في </w:t>
      </w:r>
      <w:r w:rsidRPr="00993B55">
        <w:rPr>
          <w:rStyle w:val="libFootnoteBoldChar"/>
          <w:rtl/>
        </w:rPr>
        <w:t>مستدرك الوسائل</w:t>
      </w:r>
      <w:r w:rsidRPr="00323A39">
        <w:rPr>
          <w:rtl/>
        </w:rPr>
        <w:t xml:space="preserve"> ، ج 5 ، ص 295 ، ح 5901 نقلاً من </w:t>
      </w:r>
      <w:r w:rsidRPr="00993B55">
        <w:rPr>
          <w:rStyle w:val="libFootnoteBoldChar"/>
          <w:rtl/>
        </w:rPr>
        <w:t>الكافي</w:t>
      </w:r>
      <w:r w:rsidRPr="00323A39">
        <w:rPr>
          <w:rtl/>
        </w:rPr>
        <w:t xml:space="preserve"> وفيه أيضاً : « السُّدّيّ ».</w:t>
      </w:r>
    </w:p>
    <w:p w:rsidR="008A74EB" w:rsidRPr="004A4E41" w:rsidRDefault="006C577F" w:rsidP="004A4E41">
      <w:pPr>
        <w:pStyle w:val="libFootnote0"/>
        <w:rPr>
          <w:rStyle w:val="libFootnote0Char"/>
          <w:rtl/>
        </w:rPr>
      </w:pPr>
      <w:r>
        <w:rPr>
          <w:rtl/>
        </w:rPr>
        <w:t>(6).</w:t>
      </w:r>
      <w:r w:rsidR="008A74EB">
        <w:rPr>
          <w:rtl/>
        </w:rPr>
        <w:t xml:space="preserve"> </w:t>
      </w:r>
      <w:r w:rsidR="008A74EB" w:rsidRPr="00C9040A">
        <w:rPr>
          <w:rtl/>
        </w:rPr>
        <w:t>هكذا في النسخ التي قوبلت والوافي والبحار. وفي المطبوع : « العبد »</w:t>
      </w:r>
      <w:r w:rsidR="008A74EB">
        <w:rPr>
          <w:rtl/>
        </w:rPr>
        <w:t>.</w:t>
      </w:r>
    </w:p>
    <w:tbl>
      <w:tblPr>
        <w:tblStyle w:val="TableGrid"/>
        <w:bidiVisual/>
        <w:tblW w:w="0" w:type="auto"/>
        <w:tblLook w:val="04A0" w:firstRow="1" w:lastRow="0" w:firstColumn="1" w:lastColumn="0" w:noHBand="0" w:noVBand="1"/>
      </w:tblPr>
      <w:tblGrid>
        <w:gridCol w:w="4006"/>
        <w:gridCol w:w="4006"/>
      </w:tblGrid>
      <w:tr w:rsidR="008805FE" w:rsidTr="008805FE">
        <w:tc>
          <w:tcPr>
            <w:tcW w:w="4006" w:type="dxa"/>
          </w:tcPr>
          <w:p w:rsidR="008805FE" w:rsidRDefault="008805FE" w:rsidP="004A4E41">
            <w:pPr>
              <w:pStyle w:val="libFootnote0"/>
              <w:rPr>
                <w:rtl/>
              </w:rPr>
            </w:pPr>
            <w:r>
              <w:rPr>
                <w:rtl/>
              </w:rPr>
              <w:t>(7).</w:t>
            </w:r>
            <w:r w:rsidRPr="00C9040A">
              <w:rPr>
                <w:rtl/>
              </w:rPr>
              <w:t xml:space="preserve"> في « </w:t>
            </w:r>
            <w:r>
              <w:rPr>
                <w:rtl/>
              </w:rPr>
              <w:t xml:space="preserve">ه </w:t>
            </w:r>
            <w:r w:rsidRPr="00C9040A">
              <w:rPr>
                <w:rtl/>
              </w:rPr>
              <w:t>» : « ما أخلص »</w:t>
            </w:r>
            <w:r>
              <w:rPr>
                <w:rtl/>
              </w:rPr>
              <w:t>.</w:t>
            </w:r>
          </w:p>
        </w:tc>
        <w:tc>
          <w:tcPr>
            <w:tcW w:w="4006" w:type="dxa"/>
          </w:tcPr>
          <w:p w:rsidR="008805FE" w:rsidRDefault="008805FE" w:rsidP="004A4E41">
            <w:pPr>
              <w:pStyle w:val="libFootnote0"/>
              <w:rPr>
                <w:rtl/>
              </w:rPr>
            </w:pPr>
            <w:r>
              <w:rPr>
                <w:rtl/>
              </w:rPr>
              <w:t>(8).</w:t>
            </w:r>
            <w:r w:rsidRPr="00C9040A">
              <w:rPr>
                <w:rtl/>
              </w:rPr>
              <w:t xml:space="preserve"> في « ض » : « أزهده »</w:t>
            </w:r>
            <w:r>
              <w:rPr>
                <w:rtl/>
              </w:rPr>
              <w:t>.</w:t>
            </w:r>
          </w:p>
        </w:tc>
      </w:tr>
    </w:tbl>
    <w:p w:rsidR="008A74EB" w:rsidRPr="00C9040A" w:rsidRDefault="006C577F" w:rsidP="004A4E41">
      <w:pPr>
        <w:pStyle w:val="libFootnote0"/>
        <w:rPr>
          <w:rtl/>
          <w:lang w:bidi="fa-IR"/>
        </w:rPr>
      </w:pPr>
      <w:r>
        <w:rPr>
          <w:rtl/>
        </w:rPr>
        <w:t>(9).</w:t>
      </w:r>
      <w:r w:rsidR="008A74EB" w:rsidRPr="00C9040A">
        <w:rPr>
          <w:rtl/>
        </w:rPr>
        <w:t xml:space="preserve"> في شرح المازندراني : « فزهّده فيها وصرف قبله عنها » بدل « زهّده</w:t>
      </w:r>
      <w:r w:rsidR="008A74EB">
        <w:rPr>
          <w:rtl/>
        </w:rPr>
        <w:t xml:space="preserve"> </w:t>
      </w:r>
      <w:r w:rsidR="0084262C">
        <w:rPr>
          <w:rtl/>
        </w:rPr>
        <w:t>-</w:t>
      </w:r>
      <w:r w:rsidR="008A74EB">
        <w:rPr>
          <w:rtl/>
        </w:rPr>
        <w:t xml:space="preserve"> </w:t>
      </w:r>
      <w:r w:rsidR="008A74EB" w:rsidRPr="00C9040A">
        <w:rPr>
          <w:rtl/>
        </w:rPr>
        <w:t>إلى</w:t>
      </w:r>
      <w:r w:rsidR="008A74EB">
        <w:rPr>
          <w:rtl/>
        </w:rPr>
        <w:t xml:space="preserve"> </w:t>
      </w:r>
      <w:r w:rsidR="0084262C">
        <w:rPr>
          <w:rtl/>
        </w:rPr>
        <w:t>-</w:t>
      </w:r>
      <w:r w:rsidR="008A74EB">
        <w:rPr>
          <w:rtl/>
        </w:rPr>
        <w:t xml:space="preserve"> </w:t>
      </w:r>
      <w:r w:rsidR="008A74EB" w:rsidRPr="00C9040A">
        <w:rPr>
          <w:rtl/>
        </w:rPr>
        <w:t>الدنيا »</w:t>
      </w:r>
      <w:r w:rsidR="008A74EB">
        <w:rPr>
          <w:rtl/>
        </w:rPr>
        <w:t>.</w:t>
      </w:r>
    </w:p>
    <w:p w:rsidR="008A74EB" w:rsidRPr="004A4E41" w:rsidRDefault="006C577F" w:rsidP="004A4E41">
      <w:pPr>
        <w:pStyle w:val="libFootnote0"/>
        <w:rPr>
          <w:rStyle w:val="libFootnote0Char"/>
          <w:rtl/>
        </w:rPr>
      </w:pPr>
      <w:r>
        <w:rPr>
          <w:rtl/>
        </w:rPr>
        <w:t>(10).</w:t>
      </w:r>
      <w:r w:rsidR="008A74EB" w:rsidRPr="00C9040A">
        <w:rPr>
          <w:rtl/>
        </w:rPr>
        <w:t xml:space="preserve"> هكذا في النسخ التي قوبلت والوافي والبحار. وفي المطبوع : « فأثبت »</w:t>
      </w:r>
      <w:r w:rsidR="008A74EB">
        <w:rPr>
          <w:rtl/>
        </w:rPr>
        <w:t>.</w:t>
      </w:r>
      <w:r w:rsidR="008A74EB" w:rsidRPr="00C9040A">
        <w:rPr>
          <w:rtl/>
        </w:rPr>
        <w:t xml:space="preserve"> وفي </w:t>
      </w:r>
      <w:r w:rsidR="008A74EB" w:rsidRPr="00993B55">
        <w:rPr>
          <w:rStyle w:val="libFootnoteBoldChar"/>
          <w:rtl/>
        </w:rPr>
        <w:t>شرح المازندراني</w:t>
      </w:r>
      <w:r w:rsidR="008A74EB" w:rsidRPr="00C9040A">
        <w:rPr>
          <w:rtl/>
        </w:rPr>
        <w:t xml:space="preserve"> : « ويجوز أن يقرأ : أنبت ، بالنون ، فيكون تمثيلاً لزيادتها ونموّها بالإخلاص بإنبات الزرع ونموّه بالماء ؛ لقصد الإيضاح »</w:t>
      </w:r>
      <w:r w:rsidR="008A74EB">
        <w:rPr>
          <w:rtl/>
        </w:rPr>
        <w:t>.</w:t>
      </w:r>
    </w:p>
    <w:tbl>
      <w:tblPr>
        <w:tblStyle w:val="TableGrid"/>
        <w:bidiVisual/>
        <w:tblW w:w="0" w:type="auto"/>
        <w:tblLook w:val="04A0" w:firstRow="1" w:lastRow="0" w:firstColumn="1" w:lastColumn="0" w:noHBand="0" w:noVBand="1"/>
      </w:tblPr>
      <w:tblGrid>
        <w:gridCol w:w="4006"/>
        <w:gridCol w:w="4006"/>
      </w:tblGrid>
      <w:tr w:rsidR="008805FE" w:rsidTr="008805FE">
        <w:tc>
          <w:tcPr>
            <w:tcW w:w="4006" w:type="dxa"/>
          </w:tcPr>
          <w:p w:rsidR="008805FE" w:rsidRDefault="008805FE" w:rsidP="004A4E41">
            <w:pPr>
              <w:pStyle w:val="libFootnote0"/>
              <w:rPr>
                <w:rtl/>
              </w:rPr>
            </w:pPr>
            <w:r>
              <w:rPr>
                <w:rtl/>
              </w:rPr>
              <w:t>(11).</w:t>
            </w:r>
            <w:r w:rsidRPr="00C9040A">
              <w:rPr>
                <w:rtl/>
              </w:rPr>
              <w:t xml:space="preserve"> في « بر » : + « هذه الآية »</w:t>
            </w:r>
            <w:r>
              <w:rPr>
                <w:rtl/>
              </w:rPr>
              <w:t>.</w:t>
            </w:r>
          </w:p>
        </w:tc>
        <w:tc>
          <w:tcPr>
            <w:tcW w:w="4006" w:type="dxa"/>
          </w:tcPr>
          <w:p w:rsidR="008805FE" w:rsidRDefault="008805FE" w:rsidP="004A4E41">
            <w:pPr>
              <w:pStyle w:val="libFootnote0"/>
              <w:rPr>
                <w:rtl/>
              </w:rPr>
            </w:pPr>
            <w:r>
              <w:rPr>
                <w:rtl/>
              </w:rPr>
              <w:t>(12).</w:t>
            </w:r>
            <w:r w:rsidRPr="00C9040A">
              <w:rPr>
                <w:rtl/>
              </w:rPr>
              <w:t xml:space="preserve"> الأعراف </w:t>
            </w:r>
            <w:r>
              <w:rPr>
                <w:rtl/>
              </w:rPr>
              <w:t>(7)</w:t>
            </w:r>
            <w:r w:rsidRPr="00C9040A">
              <w:rPr>
                <w:rtl/>
              </w:rPr>
              <w:t xml:space="preserve"> : 152.</w:t>
            </w:r>
          </w:p>
        </w:tc>
      </w:tr>
    </w:tbl>
    <w:p w:rsidR="008A74EB" w:rsidRPr="00C9040A" w:rsidRDefault="008A74EB" w:rsidP="004A4E41">
      <w:pPr>
        <w:pStyle w:val="libFootnote0"/>
        <w:rPr>
          <w:rtl/>
          <w:lang w:bidi="fa-IR"/>
        </w:rPr>
      </w:pPr>
      <w:r>
        <w:rPr>
          <w:rtl/>
        </w:rPr>
        <w:t>(13)</w:t>
      </w:r>
      <w:r w:rsidRPr="00C9040A">
        <w:rPr>
          <w:rtl/>
        </w:rPr>
        <w:t xml:space="preserve"> في « ف » </w:t>
      </w:r>
      <w:r>
        <w:rPr>
          <w:rtl/>
        </w:rPr>
        <w:t xml:space="preserve">: </w:t>
      </w:r>
      <w:r w:rsidR="0084262C">
        <w:rPr>
          <w:rtl/>
        </w:rPr>
        <w:t>-</w:t>
      </w:r>
      <w:r w:rsidRPr="00C9040A">
        <w:rPr>
          <w:rtl/>
        </w:rPr>
        <w:t xml:space="preserve"> « </w:t>
      </w:r>
      <w:r>
        <w:rPr>
          <w:rtl/>
        </w:rPr>
        <w:t>و ».</w:t>
      </w:r>
      <w:r w:rsidRPr="00C9040A">
        <w:rPr>
          <w:rtl/>
        </w:rPr>
        <w:t xml:space="preserve"> وفي مرآة العقول والبحار : « أو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مُفْتَرِياً </w:t>
      </w:r>
      <w:r w:rsidR="006C577F" w:rsidRPr="006C577F">
        <w:rPr>
          <w:rStyle w:val="libFootnotenumChar"/>
          <w:rtl/>
        </w:rPr>
        <w:t>(1)</w:t>
      </w:r>
      <w:r w:rsidRPr="002712F0">
        <w:rPr>
          <w:rFonts w:hint="cs"/>
          <w:rtl/>
        </w:rPr>
        <w:t xml:space="preserve"> </w:t>
      </w:r>
      <w:r w:rsidRPr="00C9040A">
        <w:rPr>
          <w:rtl/>
          <w:lang w:bidi="fa-IR"/>
        </w:rPr>
        <w:t>عَلَى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وَعَلى رَسُولِهِ وَعَلى </w:t>
      </w:r>
      <w:r w:rsidR="006C577F" w:rsidRPr="006C577F">
        <w:rPr>
          <w:rStyle w:val="libFootnotenumChar"/>
          <w:rtl/>
        </w:rPr>
        <w:t>(2)</w:t>
      </w:r>
      <w:r w:rsidRPr="00C9040A">
        <w:rPr>
          <w:rtl/>
          <w:lang w:bidi="fa-IR"/>
        </w:rPr>
        <w:t xml:space="preserve"> أَهْلِ بَيْتِهِ</w:t>
      </w:r>
      <w:r>
        <w:rPr>
          <w:rtl/>
          <w:lang w:bidi="fa-IR"/>
        </w:rPr>
        <w:t xml:space="preserve"> </w:t>
      </w:r>
      <w:r w:rsidR="0084262C">
        <w:rPr>
          <w:rtl/>
          <w:lang w:bidi="fa-IR"/>
        </w:rPr>
        <w:t>-</w:t>
      </w:r>
      <w:r>
        <w:rPr>
          <w:rtl/>
          <w:lang w:bidi="fa-IR"/>
        </w:rPr>
        <w:t xml:space="preserve"> </w:t>
      </w:r>
      <w:r w:rsidRPr="00C9040A">
        <w:rPr>
          <w:rtl/>
          <w:lang w:bidi="fa-IR"/>
        </w:rPr>
        <w:t>صَلَوَاتُ اللهِ عَلَيْهِمْ</w:t>
      </w:r>
      <w:r>
        <w:rPr>
          <w:rtl/>
          <w:lang w:bidi="fa-IR"/>
        </w:rPr>
        <w:t xml:space="preserve"> </w:t>
      </w:r>
      <w:r w:rsidR="0084262C">
        <w:rPr>
          <w:rtl/>
          <w:lang w:bidi="fa-IR"/>
        </w:rPr>
        <w:t>-</w:t>
      </w:r>
      <w:r>
        <w:rPr>
          <w:rtl/>
          <w:lang w:bidi="fa-IR"/>
        </w:rPr>
        <w:t xml:space="preserve"> </w:t>
      </w:r>
      <w:r w:rsidR="006C577F" w:rsidRPr="006C577F">
        <w:rPr>
          <w:rStyle w:val="libFootnotenumChar"/>
          <w:rtl/>
        </w:rPr>
        <w:t>(3)</w:t>
      </w:r>
      <w:r w:rsidR="00773EB7">
        <w:rPr>
          <w:rtl/>
          <w:lang w:bidi="fa-IR"/>
        </w:rPr>
        <w:t xml:space="preserve"> إِل</w:t>
      </w:r>
      <w:r w:rsidR="00773EB7">
        <w:rPr>
          <w:rFonts w:hint="cs"/>
          <w:rtl/>
          <w:lang w:bidi="fa-IR"/>
        </w:rPr>
        <w:t>َّ</w:t>
      </w:r>
      <w:r w:rsidR="00773EB7">
        <w:rPr>
          <w:rtl/>
          <w:lang w:bidi="fa-IR"/>
        </w:rPr>
        <w:t>ا</w:t>
      </w:r>
      <w:r w:rsidRPr="00C9040A">
        <w:rPr>
          <w:rtl/>
          <w:lang w:bidi="fa-IR"/>
        </w:rPr>
        <w:t xml:space="preserve"> ذَلِيلاً </w:t>
      </w:r>
      <w:r w:rsidR="006C577F" w:rsidRPr="006C577F">
        <w:rPr>
          <w:rStyle w:val="libFootnotenumChar"/>
          <w:rtl/>
        </w:rPr>
        <w:t>(4)</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(5)</w:t>
      </w:r>
      <w:r w:rsidRPr="00C9040A">
        <w:rPr>
          <w:rtl/>
          <w:lang w:bidi="fa-IR"/>
        </w:rPr>
        <w:t>‌</w:t>
      </w:r>
    </w:p>
    <w:p w:rsidR="008A74EB" w:rsidRPr="00C9040A" w:rsidRDefault="008A74EB" w:rsidP="008A74EB">
      <w:pPr>
        <w:pStyle w:val="Heading2Center"/>
        <w:rPr>
          <w:rtl/>
          <w:lang w:bidi="fa-IR"/>
        </w:rPr>
      </w:pPr>
      <w:bookmarkStart w:id="46" w:name="_Toc343795603"/>
      <w:bookmarkStart w:id="47" w:name="_Toc459810727"/>
      <w:bookmarkStart w:id="48" w:name="_Toc35348633"/>
      <w:r w:rsidRPr="00C9040A">
        <w:rPr>
          <w:rtl/>
          <w:lang w:bidi="fa-IR"/>
        </w:rPr>
        <w:t>12</w:t>
      </w:r>
      <w:r>
        <w:rPr>
          <w:rtl/>
          <w:lang w:bidi="fa-IR"/>
        </w:rPr>
        <w:t xml:space="preserve"> </w:t>
      </w:r>
      <w:r w:rsidR="0084262C">
        <w:rPr>
          <w:rtl/>
          <w:lang w:bidi="fa-IR"/>
        </w:rPr>
        <w:t>-</w:t>
      </w:r>
      <w:r>
        <w:rPr>
          <w:rtl/>
          <w:lang w:bidi="fa-IR"/>
        </w:rPr>
        <w:t xml:space="preserve"> </w:t>
      </w:r>
      <w:r w:rsidRPr="00C9040A">
        <w:rPr>
          <w:rtl/>
          <w:lang w:bidi="fa-IR"/>
        </w:rPr>
        <w:t>بَابُ الشَّرَائِعِ‌</w:t>
      </w:r>
      <w:bookmarkEnd w:id="46"/>
      <w:bookmarkEnd w:id="47"/>
      <w:bookmarkEnd w:id="48"/>
    </w:p>
    <w:p w:rsidR="00FE6F09" w:rsidRDefault="008A74EB" w:rsidP="00FE6F09">
      <w:pPr>
        <w:pStyle w:val="libNormal"/>
        <w:rPr>
          <w:rtl/>
          <w:lang w:bidi="fa-IR"/>
        </w:rPr>
      </w:pPr>
      <w:r w:rsidRPr="002C02A9">
        <w:rPr>
          <w:rtl/>
        </w:rPr>
        <w:t>1488</w:t>
      </w:r>
      <w:r w:rsidRPr="00261CB0">
        <w:rPr>
          <w:rStyle w:val="libBold2Char"/>
          <w:rtl/>
        </w:rPr>
        <w:t xml:space="preserve"> / 1.</w:t>
      </w:r>
      <w:r w:rsidRPr="00C9040A">
        <w:rPr>
          <w:rtl/>
          <w:lang w:bidi="fa-IR"/>
        </w:rPr>
        <w:t xml:space="preserve"> عَلِيُّ بْنُ إِبْرَاهِيمَ ، عَنْ أَبِيهِ ، عَنْ أَحْمَدَ بْنِ مُحَمَّدِ بْنِ أَبِي نَصْرٍ ؛</w:t>
      </w:r>
    </w:p>
    <w:p w:rsidR="008A74EB" w:rsidRPr="00C9040A" w:rsidRDefault="008A74EB" w:rsidP="00FE6F09">
      <w:pPr>
        <w:pStyle w:val="libNormal"/>
        <w:rPr>
          <w:rtl/>
          <w:lang w:bidi="fa-IR"/>
        </w:rPr>
      </w:pPr>
      <w:r w:rsidRPr="00C9040A">
        <w:rPr>
          <w:rtl/>
          <w:lang w:bidi="fa-IR"/>
        </w:rPr>
        <w:t>وَ</w:t>
      </w:r>
      <w:r w:rsidR="00FE6F09">
        <w:rPr>
          <w:rFonts w:hint="cs"/>
          <w:rtl/>
          <w:lang w:bidi="fa-IR"/>
        </w:rPr>
        <w:t xml:space="preserve"> </w:t>
      </w:r>
      <w:r w:rsidRPr="00C9040A">
        <w:rPr>
          <w:rtl/>
          <w:lang w:bidi="fa-IR"/>
        </w:rPr>
        <w:t>عِدَّةٌ مِنْ أَصْحَابِنَا ، عَنْ أَحْمَدَ بْنِ مُحَمَّدِ بْنِ خَالِدٍ ، عَنْ إِبْرَاهِيمَ بْنِ مُحَمَّدٍ الثَّقَفِيِّ ، عَنْ مُحَمَّدِ بْنِ مَرْوَانَ جَمِيعاً ، عَنْ أَبَانِ بْنِ عُثْمَانَ ، عَمَّنْ ذَكَرَهُ :</w:t>
      </w:r>
    </w:p>
    <w:p w:rsidR="008A74EB" w:rsidRPr="00C9040A" w:rsidRDefault="008A74EB" w:rsidP="008B7A50">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إِنَّ اللهَ</w:t>
      </w:r>
      <w:r>
        <w:rPr>
          <w:rtl/>
          <w:lang w:bidi="fa-IR"/>
        </w:rPr>
        <w:t xml:space="preserve"> </w:t>
      </w:r>
      <w:r w:rsidR="0084262C">
        <w:rPr>
          <w:rtl/>
          <w:lang w:bidi="fa-IR"/>
        </w:rPr>
        <w:t>-</w:t>
      </w:r>
      <w:r>
        <w:rPr>
          <w:rtl/>
          <w:lang w:bidi="fa-IR"/>
        </w:rPr>
        <w:t xml:space="preserve"> </w:t>
      </w:r>
      <w:r w:rsidRPr="00C9040A">
        <w:rPr>
          <w:rtl/>
          <w:lang w:bidi="fa-IR"/>
        </w:rPr>
        <w:t>تَبَارَكَ وَتَعَالى</w:t>
      </w:r>
      <w:r>
        <w:rPr>
          <w:rtl/>
          <w:lang w:bidi="fa-IR"/>
        </w:rPr>
        <w:t xml:space="preserve"> </w:t>
      </w:r>
      <w:r w:rsidR="0084262C">
        <w:rPr>
          <w:rtl/>
          <w:lang w:bidi="fa-IR"/>
        </w:rPr>
        <w:t>-</w:t>
      </w:r>
      <w:r>
        <w:rPr>
          <w:rtl/>
          <w:lang w:bidi="fa-IR"/>
        </w:rPr>
        <w:t xml:space="preserve"> </w:t>
      </w:r>
      <w:r w:rsidRPr="00C9040A">
        <w:rPr>
          <w:rtl/>
          <w:lang w:bidi="fa-IR"/>
        </w:rPr>
        <w:t xml:space="preserve">أَعْطى مُحَمَّداً </w:t>
      </w:r>
      <w:r w:rsidR="004A4E41" w:rsidRPr="004A4E41">
        <w:rPr>
          <w:rStyle w:val="libAlaemChar"/>
          <w:rFonts w:eastAsiaTheme="minorHAnsi"/>
          <w:rtl/>
        </w:rPr>
        <w:t>صلى‌الله‌عليه‌وآله</w:t>
      </w:r>
      <w:r w:rsidR="008B7A50" w:rsidRPr="00C9040A">
        <w:rPr>
          <w:rtl/>
          <w:lang w:bidi="fa-IR"/>
        </w:rPr>
        <w:t xml:space="preserve"> </w:t>
      </w:r>
      <w:r w:rsidRPr="00C9040A">
        <w:rPr>
          <w:rtl/>
          <w:lang w:bidi="fa-IR"/>
        </w:rPr>
        <w:t xml:space="preserve">شَرَائِعَ نُوحٍ وَإِبْرَاهِيمَ وَمُوسى وَعِيسى </w:t>
      </w:r>
      <w:r w:rsidRPr="0003660B">
        <w:rPr>
          <w:rStyle w:val="libAlaemChar"/>
          <w:rtl/>
        </w:rPr>
        <w:t>عليهم‌السلام</w:t>
      </w:r>
      <w:r w:rsidRPr="00C9040A">
        <w:rPr>
          <w:rtl/>
          <w:lang w:bidi="fa-IR"/>
        </w:rPr>
        <w:t xml:space="preserve"> التَّوْحِيدَ وَالْإِخْلَاصَ وَخَلْعَ الْأَنْدَادِ ، وَالْفِطْرَةَ الْحَنِيفِيَّةَ السَّمْحَةَ ، وَ</w:t>
      </w:r>
      <w:r>
        <w:rPr>
          <w:rFonts w:hint="cs"/>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 xml:space="preserve">لَارَهْبَانِيَّةَ ، وَلَا سِيَاحَةَ ، أَحَلَّ فِيهَا الطَّيِّبَاتِ ، وَحَرَّمَ فِيهَا الْخَبَائِثَ </w:t>
      </w:r>
      <w:r w:rsidR="006C577F" w:rsidRPr="006C577F">
        <w:rPr>
          <w:rStyle w:val="libFootnotenumChar"/>
          <w:rtl/>
        </w:rPr>
        <w:t>(7)</w:t>
      </w:r>
      <w:r w:rsidRPr="00C9040A">
        <w:rPr>
          <w:rtl/>
          <w:lang w:bidi="fa-IR"/>
        </w:rPr>
        <w:t xml:space="preserve"> ، وَ</w:t>
      </w:r>
      <w:r w:rsidR="00FE6F09">
        <w:rPr>
          <w:rFonts w:hint="cs"/>
          <w:rtl/>
          <w:lang w:bidi="fa-IR"/>
        </w:rPr>
        <w:t xml:space="preserve"> </w:t>
      </w:r>
      <w:r w:rsidRPr="00C9040A">
        <w:rPr>
          <w:rtl/>
          <w:lang w:bidi="fa-IR"/>
        </w:rPr>
        <w:t xml:space="preserve">وَضَعَ عَنْهُمْ إِصْرَهُمْ </w:t>
      </w:r>
      <w:r w:rsidR="006C577F" w:rsidRPr="006C577F">
        <w:rPr>
          <w:rStyle w:val="libFootnotenumChar"/>
          <w:rtl/>
        </w:rPr>
        <w:t>(8)</w:t>
      </w:r>
      <w:r w:rsidRPr="00C9040A">
        <w:rPr>
          <w:rtl/>
          <w:lang w:bidi="fa-IR"/>
        </w:rPr>
        <w:t xml:space="preserve"> وَالْأَغْلَالَ الَّتِي كَانَتْ</w:t>
      </w:r>
      <w:r w:rsidR="00FE6F09">
        <w:rPr>
          <w:rFonts w:hint="cs"/>
          <w:rtl/>
          <w:lang w:bidi="fa-IR"/>
        </w:rPr>
        <w:t>.....................................................</w:t>
      </w:r>
      <w:r w:rsidR="00FE6F09">
        <w:rPr>
          <w:rFonts w:hint="cs"/>
          <w:rtl/>
          <w:lang w:bidi="fa-IR"/>
        </w:rPr>
        <w:tab/>
      </w:r>
      <w:r w:rsidRPr="00C9040A">
        <w:rPr>
          <w:rtl/>
          <w:lang w:bidi="fa-IR"/>
        </w:rPr>
        <w:t>‌</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w:t>
      </w:r>
      <w:r w:rsidR="008A74EB" w:rsidRPr="00993B55">
        <w:rPr>
          <w:rStyle w:val="libFootnoteBoldChar"/>
          <w:rtl/>
        </w:rPr>
        <w:t>شرح المازندراني</w:t>
      </w:r>
      <w:r w:rsidR="008A74EB" w:rsidRPr="00C9040A">
        <w:rPr>
          <w:rtl/>
        </w:rPr>
        <w:t xml:space="preserve"> : « قوله : ومفترياً ، عطف على صاحب بدعة ، أي فلا ترى </w:t>
      </w:r>
      <w:r w:rsidR="00FE6F09">
        <w:rPr>
          <w:rtl/>
        </w:rPr>
        <w:t>مفترياً على الله ، إلى آخره إل</w:t>
      </w:r>
      <w:r w:rsidR="00FE6F09">
        <w:rPr>
          <w:rFonts w:hint="cs"/>
          <w:rtl/>
        </w:rPr>
        <w:t>ّ</w:t>
      </w:r>
      <w:r w:rsidR="00FE6F09">
        <w:rPr>
          <w:rtl/>
        </w:rPr>
        <w:t>ا</w:t>
      </w:r>
      <w:r w:rsidR="008A74EB" w:rsidRPr="00C9040A">
        <w:rPr>
          <w:rtl/>
        </w:rPr>
        <w:t>ذليلاً</w:t>
      </w:r>
      <w:r w:rsidR="008A74EB" w:rsidRPr="00D3128A">
        <w:rPr>
          <w:rFonts w:hint="cs"/>
          <w:rtl/>
        </w:rPr>
        <w:t xml:space="preserve"> </w:t>
      </w:r>
      <w:r w:rsidR="008A74EB" w:rsidRPr="00B866D3">
        <w:rPr>
          <w:rStyle w:val="libFootnoteAlaemChar"/>
          <w:rtl/>
        </w:rPr>
        <w:t>(</w:t>
      </w:r>
      <w:r w:rsidR="008A74EB" w:rsidRPr="00883DD5">
        <w:rPr>
          <w:rStyle w:val="libFootnoteAieChar"/>
          <w:rFonts w:hint="cs"/>
          <w:rtl/>
        </w:rPr>
        <w:t xml:space="preserve"> </w:t>
      </w:r>
      <w:r w:rsidR="008A74EB" w:rsidRPr="00883DD5">
        <w:rPr>
          <w:rStyle w:val="libFootnoteAieChar"/>
          <w:rtl/>
        </w:rPr>
        <w:t>وَلِلّهِ الْعِزَّةُ وَلِرَسُولِهِ وَلِلْمُؤْمِنِينَ وَلكِنَّ الْمُنافِقِينَ لا يَعْلَمُونَ</w:t>
      </w:r>
      <w:r w:rsidR="008A74EB" w:rsidRPr="00883DD5">
        <w:rPr>
          <w:rStyle w:val="libFootnoteAieChar"/>
          <w:rFonts w:hint="cs"/>
          <w:rtl/>
        </w:rPr>
        <w:t xml:space="preserve"> </w:t>
      </w:r>
      <w:r w:rsidR="008A74EB" w:rsidRPr="00B866D3">
        <w:rPr>
          <w:rStyle w:val="libFootnoteAlaemChar"/>
          <w:rtl/>
        </w:rPr>
        <w:t>)</w:t>
      </w:r>
      <w:r w:rsidR="008A74EB" w:rsidRPr="00C9040A">
        <w:rPr>
          <w:rtl/>
        </w:rPr>
        <w:t xml:space="preserve"> [ المنافقون (63) : 8 ]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ج ، د ، ز ، ص ، ف ، </w:t>
      </w:r>
      <w:r w:rsidR="006D3162">
        <w:rPr>
          <w:rtl/>
        </w:rPr>
        <w:t xml:space="preserve">ه </w:t>
      </w:r>
      <w:r w:rsidR="008A74EB" w:rsidRPr="00C9040A">
        <w:rPr>
          <w:rtl/>
        </w:rPr>
        <w:t xml:space="preserve">، بر ، بس ، بف » والبحار </w:t>
      </w:r>
      <w:r w:rsidR="008A74EB">
        <w:rPr>
          <w:rtl/>
        </w:rPr>
        <w:t xml:space="preserve">: </w:t>
      </w:r>
      <w:r w:rsidR="0084262C">
        <w:rPr>
          <w:rtl/>
        </w:rPr>
        <w:t>-</w:t>
      </w:r>
      <w:r w:rsidR="008A74EB" w:rsidRPr="00C9040A">
        <w:rPr>
          <w:rtl/>
        </w:rPr>
        <w:t xml:space="preserve"> « على »</w:t>
      </w:r>
      <w:r w:rsidR="008A74EB">
        <w:rPr>
          <w:rtl/>
        </w:rPr>
        <w:t>.</w:t>
      </w:r>
    </w:p>
    <w:p w:rsidR="008A74EB" w:rsidRPr="00C9040A" w:rsidRDefault="006C577F" w:rsidP="00B866D3">
      <w:pPr>
        <w:pStyle w:val="libFootnote0"/>
        <w:rPr>
          <w:rtl/>
          <w:lang w:bidi="fa-IR"/>
        </w:rPr>
      </w:pPr>
      <w:r>
        <w:rPr>
          <w:rtl/>
        </w:rPr>
        <w:t>(3).</w:t>
      </w:r>
      <w:r w:rsidR="008A74EB" w:rsidRPr="00C9040A">
        <w:rPr>
          <w:rtl/>
        </w:rPr>
        <w:t xml:space="preserve"> في « ب » : « </w:t>
      </w:r>
      <w:r w:rsidR="00B866D3" w:rsidRPr="00B866D3">
        <w:rPr>
          <w:rStyle w:val="libFootnoteAlaemChar"/>
          <w:rFonts w:eastAsiaTheme="minorHAnsi"/>
          <w:rtl/>
        </w:rPr>
        <w:t>صلى‌الله‌عليه‌وآله</w:t>
      </w:r>
      <w:r w:rsidR="00B866D3" w:rsidRPr="00C9040A">
        <w:rPr>
          <w:rtl/>
        </w:rPr>
        <w:t xml:space="preserve"> </w:t>
      </w:r>
      <w:r w:rsidR="008A74EB" w:rsidRPr="00C9040A">
        <w:rPr>
          <w:rtl/>
        </w:rPr>
        <w:t>»</w:t>
      </w:r>
      <w:r w:rsidR="008A74EB">
        <w:rPr>
          <w:rtl/>
        </w:rPr>
        <w:t>.</w:t>
      </w:r>
      <w:r w:rsidR="008A74EB" w:rsidRPr="00C9040A">
        <w:rPr>
          <w:rtl/>
        </w:rPr>
        <w:t xml:space="preserve"> وفي « ج ، د ، ص ، بر ، بس ، بف » والوافي : « صلّى الله عليهم »</w:t>
      </w:r>
      <w:r w:rsidR="008A74EB">
        <w:rPr>
          <w:rtl/>
        </w:rPr>
        <w:t>.</w:t>
      </w:r>
      <w:r w:rsidR="008A74EB" w:rsidRPr="00C9040A">
        <w:rPr>
          <w:rtl/>
        </w:rPr>
        <w:t xml:space="preserve"> وفي « ز » : « </w:t>
      </w:r>
      <w:r w:rsidR="00B866D3" w:rsidRPr="00B866D3">
        <w:rPr>
          <w:rStyle w:val="libFootnoteAlaemChar"/>
          <w:rFonts w:eastAsiaTheme="minorHAnsi"/>
          <w:rtl/>
        </w:rPr>
        <w:t>عليهم‌السلام</w:t>
      </w:r>
      <w:r w:rsidR="008A74EB" w:rsidRPr="00C9040A">
        <w:rPr>
          <w:rtl/>
        </w:rPr>
        <w:t xml:space="preserve"> »</w:t>
      </w:r>
      <w:r w:rsidR="008A74EB">
        <w:rPr>
          <w:rtl/>
        </w:rPr>
        <w:t>.</w:t>
      </w:r>
      <w:r w:rsidR="008A74EB" w:rsidRPr="00C9040A">
        <w:rPr>
          <w:rtl/>
        </w:rPr>
        <w:t xml:space="preserve"> وفي « ف » : « </w:t>
      </w:r>
      <w:r w:rsidR="00B866D3" w:rsidRPr="00B866D3">
        <w:rPr>
          <w:rStyle w:val="libFootnoteAlaemChar"/>
          <w:rFonts w:eastAsiaTheme="minorHAnsi"/>
          <w:rtl/>
        </w:rPr>
        <w:t>صلى‌الله‌عليه‌وآله</w:t>
      </w:r>
      <w:r w:rsidR="00B866D3" w:rsidRPr="00C9040A">
        <w:rPr>
          <w:rtl/>
        </w:rPr>
        <w:t xml:space="preserve"> </w:t>
      </w:r>
      <w:r w:rsidR="008A74EB" w:rsidRPr="00C9040A">
        <w:rPr>
          <w:rtl/>
        </w:rPr>
        <w:t>»</w:t>
      </w:r>
      <w:r w:rsidR="008A74EB">
        <w:rPr>
          <w:rtl/>
        </w:rPr>
        <w:t>.</w:t>
      </w:r>
      <w:r w:rsidR="008A74EB" w:rsidRPr="00C9040A">
        <w:rPr>
          <w:rtl/>
        </w:rPr>
        <w:t xml:space="preserve"> وفي « </w:t>
      </w:r>
      <w:r w:rsidR="006D3162">
        <w:rPr>
          <w:rtl/>
        </w:rPr>
        <w:t xml:space="preserve">ه </w:t>
      </w:r>
      <w:r w:rsidR="008A74EB" w:rsidRPr="00C9040A">
        <w:rPr>
          <w:rtl/>
        </w:rPr>
        <w:t>» : « صلّى الله عليه وعليهم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ص » </w:t>
      </w:r>
      <w:r w:rsidR="008A74EB">
        <w:rPr>
          <w:rtl/>
        </w:rPr>
        <w:t xml:space="preserve">: </w:t>
      </w:r>
      <w:r w:rsidR="0084262C">
        <w:rPr>
          <w:rtl/>
        </w:rPr>
        <w:t>-</w:t>
      </w:r>
      <w:r w:rsidR="00FE6F09">
        <w:rPr>
          <w:rtl/>
        </w:rPr>
        <w:t xml:space="preserve"> « إل</w:t>
      </w:r>
      <w:r w:rsidR="00FE6F09">
        <w:rPr>
          <w:rFonts w:hint="cs"/>
          <w:rtl/>
        </w:rPr>
        <w:t>ّ</w:t>
      </w:r>
      <w:r w:rsidR="00FE6F09">
        <w:rPr>
          <w:rtl/>
        </w:rPr>
        <w:t>ا</w:t>
      </w:r>
      <w:r w:rsidR="008A74EB" w:rsidRPr="00C9040A">
        <w:rPr>
          <w:rtl/>
        </w:rPr>
        <w:t xml:space="preserve"> ذليلاً »</w:t>
      </w:r>
      <w:r w:rsidR="008A74EB">
        <w:rPr>
          <w:rtl/>
        </w:rPr>
        <w:t>.</w:t>
      </w:r>
      <w:r w:rsidR="008A74EB" w:rsidRPr="00C9040A">
        <w:rPr>
          <w:rtl/>
        </w:rPr>
        <w:t xml:space="preserve"> وفي </w:t>
      </w:r>
      <w:r w:rsidR="008A74EB" w:rsidRPr="00993B55">
        <w:rPr>
          <w:rStyle w:val="libFootnoteBoldChar"/>
          <w:rtl/>
        </w:rPr>
        <w:t>الوافي</w:t>
      </w:r>
      <w:r w:rsidR="008A74EB" w:rsidRPr="00C9040A">
        <w:rPr>
          <w:rtl/>
        </w:rPr>
        <w:t xml:space="preserve"> : « لعلّ الوجه في تلاوته </w:t>
      </w:r>
      <w:r w:rsidR="00117575" w:rsidRPr="00117575">
        <w:rPr>
          <w:rStyle w:val="libFootnoteAlaemChar"/>
          <w:rtl/>
        </w:rPr>
        <w:t>عليه‌السلام</w:t>
      </w:r>
      <w:r w:rsidR="008A74EB" w:rsidRPr="00C9040A">
        <w:rPr>
          <w:rtl/>
        </w:rPr>
        <w:t xml:space="preserve"> الآية التنبيه على أنّ من كانت عبادته لله‌عزّوجلّ واجتهاده فيها على وفق السنّة ، بصّره الله عيوب الدنيا ، فزهّده فيها ، فصار بسبب زهده فيها عزيزاً ؛ لأنّ المذلّة في الدنيا إنّما تكون بسبب الرغبة فيها. ومن كانت عبادته على وفق الهوى ، أعمى الله قلبه عن عيوب الدنيا ، فصار بسبب رغبته فيها ذليل</w:t>
      </w:r>
      <w:r w:rsidR="00FE6F09">
        <w:rPr>
          <w:rtl/>
        </w:rPr>
        <w:t>اً ؛ فأصحاب البدع لايزالون أذل</w:t>
      </w:r>
      <w:r w:rsidR="00FE6F09">
        <w:rPr>
          <w:rFonts w:hint="cs"/>
          <w:rtl/>
        </w:rPr>
        <w:t>ّ</w:t>
      </w:r>
      <w:r w:rsidR="00FE6F09">
        <w:rPr>
          <w:rtl/>
        </w:rPr>
        <w:t>ا</w:t>
      </w:r>
      <w:r w:rsidR="008A74EB" w:rsidRPr="00C9040A">
        <w:rPr>
          <w:rtl/>
        </w:rPr>
        <w:t>ء صغاراً. ومن هنا قال الله عزّوجلّ في متّخذي العجل ما قال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الوافي</w:t>
      </w:r>
      <w:r w:rsidR="008A74EB" w:rsidRPr="00C9040A">
        <w:rPr>
          <w:rtl/>
        </w:rPr>
        <w:t xml:space="preserve"> ، ج 4 ، ص 376 ، ح 2148 ؛ </w:t>
      </w:r>
      <w:r w:rsidR="008A74EB" w:rsidRPr="00993B55">
        <w:rPr>
          <w:rStyle w:val="libFootnoteBoldChar"/>
          <w:rtl/>
        </w:rPr>
        <w:t>البحار</w:t>
      </w:r>
      <w:r w:rsidR="008A74EB" w:rsidRPr="00C9040A">
        <w:rPr>
          <w:rtl/>
        </w:rPr>
        <w:t xml:space="preserve"> ، ج 70 ، ص 240 ، ح 8.</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 ب ، ج ، د ، ف ، بر ، بس ، بف » والوافي والمحاسن </w:t>
      </w:r>
      <w:r w:rsidR="008A74EB">
        <w:rPr>
          <w:rtl/>
        </w:rPr>
        <w:t xml:space="preserve">: </w:t>
      </w:r>
      <w:r w:rsidR="0084262C">
        <w:rPr>
          <w:rtl/>
        </w:rPr>
        <w:t>-</w:t>
      </w:r>
      <w:r w:rsidR="008A74EB" w:rsidRPr="00C9040A">
        <w:rPr>
          <w:rtl/>
        </w:rPr>
        <w:t xml:space="preserve"> « و</w:t>
      </w:r>
      <w:r w:rsidR="008A74EB">
        <w:rPr>
          <w:rFonts w:hint="cs"/>
          <w:rtl/>
        </w:rPr>
        <w:t xml:space="preserve"> </w:t>
      </w:r>
      <w:r w:rsidR="008A74EB" w:rsidRPr="00C9040A">
        <w:rPr>
          <w:rtl/>
        </w:rPr>
        <w:t>»</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المحاسن : « الخبيثات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أصل الإصر : الضيق والحبس. ويقال للثقل : إصر ؛ لأنّه يأصر صاحبه من الحركة لثقله. وقوله تعالى : </w:t>
      </w:r>
      <w:r w:rsidR="008A74EB" w:rsidRPr="00B866D3">
        <w:rPr>
          <w:rStyle w:val="libFootnoteAlaemChar"/>
          <w:rtl/>
        </w:rPr>
        <w:t>(</w:t>
      </w:r>
      <w:r w:rsidR="008A74EB" w:rsidRPr="00883DD5">
        <w:rPr>
          <w:rStyle w:val="libFootnoteAieChar"/>
          <w:rFonts w:hint="cs"/>
          <w:rtl/>
        </w:rPr>
        <w:t xml:space="preserve"> </w:t>
      </w:r>
      <w:r w:rsidR="008A74EB" w:rsidRPr="00883DD5">
        <w:rPr>
          <w:rStyle w:val="libFootnoteAieChar"/>
          <w:rtl/>
        </w:rPr>
        <w:t>وَيَضَعُ</w:t>
      </w:r>
      <w:r w:rsidR="00FE6F09" w:rsidRPr="00FE6F09">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عَلَيْهِمْ </w:t>
      </w:r>
      <w:r w:rsidR="006C577F" w:rsidRPr="006C577F">
        <w:rPr>
          <w:rStyle w:val="libFootnotenumChar"/>
          <w:rtl/>
        </w:rPr>
        <w:t>(1)</w:t>
      </w:r>
    </w:p>
    <w:p w:rsidR="008A74EB" w:rsidRPr="00C9040A" w:rsidRDefault="008A74EB" w:rsidP="008A74EB">
      <w:pPr>
        <w:pStyle w:val="libNormal"/>
        <w:rPr>
          <w:rtl/>
          <w:lang w:bidi="fa-IR"/>
        </w:rPr>
      </w:pPr>
      <w:r w:rsidRPr="00C9040A">
        <w:rPr>
          <w:rtl/>
          <w:lang w:bidi="fa-IR"/>
        </w:rPr>
        <w:t xml:space="preserve">ثُمَّ افْتَرَضَ </w:t>
      </w:r>
      <w:r w:rsidR="006C577F" w:rsidRPr="006C577F">
        <w:rPr>
          <w:rStyle w:val="libFootnotenumChar"/>
          <w:rtl/>
        </w:rPr>
        <w:t>(2)</w:t>
      </w:r>
      <w:r w:rsidRPr="00C9040A">
        <w:rPr>
          <w:rtl/>
          <w:lang w:bidi="fa-IR"/>
        </w:rPr>
        <w:t xml:space="preserve"> عَلَيْهِ </w:t>
      </w:r>
      <w:r w:rsidR="006C577F" w:rsidRPr="006C577F">
        <w:rPr>
          <w:rStyle w:val="libFootnotenumChar"/>
          <w:rtl/>
        </w:rPr>
        <w:t>(3)</w:t>
      </w:r>
      <w:r w:rsidRPr="00C9040A">
        <w:rPr>
          <w:rtl/>
          <w:lang w:bidi="fa-IR"/>
        </w:rPr>
        <w:t xml:space="preserve"> فِيهَا الصَّلَاةَ وَالزَّكَاةَ </w:t>
      </w:r>
      <w:r w:rsidR="006C577F" w:rsidRPr="006C577F">
        <w:rPr>
          <w:rStyle w:val="libFootnotenumChar"/>
          <w:rtl/>
        </w:rPr>
        <w:t>(4)</w:t>
      </w:r>
      <w:r w:rsidRPr="00C9040A">
        <w:rPr>
          <w:rtl/>
          <w:lang w:bidi="fa-IR"/>
        </w:rPr>
        <w:t xml:space="preserve"> وَالصِّيَامَ وَالْحَجَّ وَالْأَمْرَ بِالْمَعْرُوفِ وَالنَّهْيَ عَنِ الْمُنْكَرِ وَالْحَلَالَ وَالْحَرَامَ </w:t>
      </w:r>
      <w:r w:rsidR="006C577F" w:rsidRPr="006C577F">
        <w:rPr>
          <w:rStyle w:val="libFootnotenumChar"/>
          <w:rtl/>
        </w:rPr>
        <w:t>(5)</w:t>
      </w:r>
      <w:r w:rsidRPr="00C9040A">
        <w:rPr>
          <w:rtl/>
          <w:lang w:bidi="fa-IR"/>
        </w:rPr>
        <w:t xml:space="preserve"> وَالْمَوَارِيثَ وَالْحُدُودَ وَالْفَرَائِضَ </w:t>
      </w:r>
      <w:r w:rsidR="006C577F" w:rsidRPr="006C577F">
        <w:rPr>
          <w:rStyle w:val="libFootnotenumChar"/>
          <w:rtl/>
        </w:rPr>
        <w:t>(6)</w:t>
      </w:r>
      <w:r w:rsidRPr="00C9040A">
        <w:rPr>
          <w:rtl/>
          <w:lang w:bidi="fa-IR"/>
        </w:rPr>
        <w:t xml:space="preserve">وَالْجِهَادَ فِي سَبِيلِ اللهِ ، وَزَادَهُ </w:t>
      </w:r>
      <w:r w:rsidR="006C577F" w:rsidRPr="006C577F">
        <w:rPr>
          <w:rStyle w:val="libFootnotenumChar"/>
          <w:rtl/>
        </w:rPr>
        <w:t>(7)</w:t>
      </w:r>
      <w:r w:rsidRPr="00C9040A">
        <w:rPr>
          <w:rtl/>
          <w:lang w:bidi="fa-IR"/>
        </w:rPr>
        <w:t xml:space="preserve"> الْوُضُوءَ ، وَفَضَّلَهُ بِفَاتِحَةِ الْكِتَابِ وَبِخَوَاتِيمِ سُورَةِ الْبَقَرَةِ وَالْمُفَصَّلِ </w:t>
      </w:r>
      <w:r w:rsidR="006C577F" w:rsidRPr="006C577F">
        <w:rPr>
          <w:rStyle w:val="libFootnotenumChar"/>
          <w:rtl/>
        </w:rPr>
        <w:t>(8)</w:t>
      </w:r>
      <w:r w:rsidRPr="00C9040A">
        <w:rPr>
          <w:rtl/>
          <w:lang w:bidi="fa-IR"/>
        </w:rPr>
        <w:t xml:space="preserve"> ، وَأَحَلَّ لَهُ الْمَغْنَمَ وَالْفَيْ‌ءَ </w:t>
      </w:r>
      <w:r w:rsidR="006C577F" w:rsidRPr="006C577F">
        <w:rPr>
          <w:rStyle w:val="libFootnotenumChar"/>
          <w:rtl/>
        </w:rPr>
        <w:t>(9)</w:t>
      </w:r>
      <w:r w:rsidRPr="00C9040A">
        <w:rPr>
          <w:rtl/>
          <w:lang w:bidi="fa-IR"/>
        </w:rPr>
        <w:t xml:space="preserve"> ، وَنَصَرَهُ بِالرُّعْبِ </w:t>
      </w:r>
      <w:r w:rsidR="006C577F" w:rsidRPr="006C577F">
        <w:rPr>
          <w:rStyle w:val="libFootnotenumChar"/>
          <w:rtl/>
        </w:rPr>
        <w:t>(10)</w:t>
      </w:r>
      <w:r w:rsidRPr="00C9040A">
        <w:rPr>
          <w:rtl/>
          <w:lang w:bidi="fa-IR"/>
        </w:rPr>
        <w:t xml:space="preserve"> ، وَجَعَلَ لَهُ الْأَرْضَ </w:t>
      </w:r>
      <w:r w:rsidR="006C577F" w:rsidRPr="006C577F">
        <w:rPr>
          <w:rStyle w:val="libFootnotenumChar"/>
          <w:rtl/>
        </w:rPr>
        <w:t>(11)</w:t>
      </w:r>
      <w:r w:rsidRPr="00C9040A">
        <w:rPr>
          <w:rtl/>
          <w:lang w:bidi="fa-IR"/>
        </w:rPr>
        <w:t xml:space="preserve"> مَسْجِداً وَطَهُوراً ، وَأَرْسَلَهُ كَافَّةً إِلَى الْأَبْيَضِ وَالْأَسْوَدِ </w:t>
      </w:r>
      <w:r w:rsidR="006C577F" w:rsidRPr="006C577F">
        <w:rPr>
          <w:rStyle w:val="libFootnotenumChar"/>
          <w:rtl/>
        </w:rPr>
        <w:t>(12)</w:t>
      </w:r>
      <w:r w:rsidRPr="00C9040A">
        <w:rPr>
          <w:rtl/>
          <w:lang w:bidi="fa-IR"/>
        </w:rPr>
        <w:t xml:space="preserve"> ، وَالْجِنِّ وَالْإِنْسِ </w:t>
      </w:r>
      <w:r w:rsidRPr="005B567D">
        <w:rPr>
          <w:rStyle w:val="libFootnotenumChar"/>
          <w:rtl/>
        </w:rPr>
        <w:t>(13)</w:t>
      </w:r>
      <w:r w:rsidRPr="00C9040A">
        <w:rPr>
          <w:rtl/>
          <w:lang w:bidi="fa-IR"/>
        </w:rPr>
        <w:t xml:space="preserve"> ، وَأَعْطَاهُ الْجِزْيَةَ وَأَسْرَ الْمُشْرِكِينَ وَفِدَاهُمْ </w:t>
      </w:r>
      <w:r w:rsidRPr="005B567D">
        <w:rPr>
          <w:rStyle w:val="libFootnotenumChar"/>
          <w:rtl/>
        </w:rPr>
        <w:t>(14)</w:t>
      </w:r>
      <w:r w:rsidRPr="00C9040A">
        <w:rPr>
          <w:rtl/>
          <w:lang w:bidi="fa-IR"/>
        </w:rPr>
        <w:t xml:space="preserve"> ، ثُمَّ كُلِّفَ </w:t>
      </w:r>
      <w:r w:rsidRPr="005B567D">
        <w:rPr>
          <w:rStyle w:val="libFootnotenumChar"/>
          <w:rtl/>
        </w:rPr>
        <w:t>(15)</w:t>
      </w:r>
      <w:r w:rsidRPr="00C9040A">
        <w:rPr>
          <w:rtl/>
          <w:lang w:bidi="fa-IR"/>
        </w:rPr>
        <w:t xml:space="preserve"> مَا لَمْ يُكَلَّفْ أَحَدٌ مِنَ الْأَنْبِيَاءِ ، وَ</w:t>
      </w:r>
      <w:r>
        <w:rPr>
          <w:rFonts w:hint="cs"/>
          <w:rtl/>
          <w:lang w:bidi="fa-IR"/>
        </w:rPr>
        <w:t xml:space="preserve"> </w:t>
      </w:r>
      <w:r w:rsidRPr="005B567D">
        <w:rPr>
          <w:rStyle w:val="libFootnotenumChar"/>
          <w:rtl/>
        </w:rPr>
        <w:t>(16)</w:t>
      </w:r>
      <w:r w:rsidRPr="00C9040A">
        <w:rPr>
          <w:rtl/>
          <w:lang w:bidi="fa-IR"/>
        </w:rPr>
        <w:t xml:space="preserve"> أُنْزِلَ عَلَيْهِ سَيْفٌ </w:t>
      </w:r>
      <w:r w:rsidRPr="005B567D">
        <w:rPr>
          <w:rStyle w:val="libFootnotenumChar"/>
          <w:rtl/>
        </w:rPr>
        <w:t>(17)</w:t>
      </w:r>
      <w:r w:rsidRPr="00C9040A">
        <w:rPr>
          <w:rtl/>
          <w:lang w:bidi="fa-IR"/>
        </w:rPr>
        <w:t xml:space="preserve"> مِنَ السَّمَاءِ فِي </w:t>
      </w:r>
      <w:r w:rsidRPr="005B567D">
        <w:rPr>
          <w:rStyle w:val="libFootnotenumChar"/>
          <w:rtl/>
        </w:rPr>
        <w:t>(18)</w:t>
      </w:r>
      <w:r w:rsidRPr="00C9040A">
        <w:rPr>
          <w:rtl/>
          <w:lang w:bidi="fa-IR"/>
        </w:rPr>
        <w:t xml:space="preserve"> غَيْرِ غِمْدٍ ،</w:t>
      </w:r>
    </w:p>
    <w:p w:rsidR="008A74EB" w:rsidRPr="00C9040A" w:rsidRDefault="008A74EB" w:rsidP="008A74EB">
      <w:pPr>
        <w:pStyle w:val="libLine"/>
        <w:rPr>
          <w:rtl/>
          <w:lang w:bidi="fa-IR"/>
        </w:rPr>
      </w:pPr>
      <w:r w:rsidRPr="00C9040A">
        <w:rPr>
          <w:rtl/>
          <w:lang w:bidi="fa-IR"/>
        </w:rPr>
        <w:t>__________________</w:t>
      </w:r>
    </w:p>
    <w:p w:rsidR="008A74EB" w:rsidRPr="004A4E41" w:rsidRDefault="00FE6F09" w:rsidP="004A4E41">
      <w:pPr>
        <w:pStyle w:val="libFootnote0"/>
        <w:rPr>
          <w:rStyle w:val="libFootnote0Char"/>
          <w:rtl/>
        </w:rPr>
      </w:pPr>
      <w:r w:rsidRPr="00FE6F09">
        <w:rPr>
          <w:rFonts w:hint="cs"/>
          <w:rtl/>
        </w:rPr>
        <w:t>=</w:t>
      </w:r>
      <w:r>
        <w:rPr>
          <w:rStyle w:val="libFootnoteAieChar"/>
          <w:rFonts w:hint="cs"/>
          <w:rtl/>
        </w:rPr>
        <w:t xml:space="preserve"> </w:t>
      </w:r>
      <w:r w:rsidR="008A74EB" w:rsidRPr="00883DD5">
        <w:rPr>
          <w:rStyle w:val="libFootnoteAieChar"/>
          <w:rtl/>
        </w:rPr>
        <w:t>عَنْهُمْ إِصْرَهُمْ</w:t>
      </w:r>
      <w:r w:rsidR="008A74EB" w:rsidRPr="00883DD5">
        <w:rPr>
          <w:rStyle w:val="libFootnoteAieChar"/>
          <w:rFonts w:hint="cs"/>
          <w:rtl/>
        </w:rPr>
        <w:t xml:space="preserve"> </w:t>
      </w:r>
      <w:r w:rsidR="008A74EB" w:rsidRPr="00B866D3">
        <w:rPr>
          <w:rStyle w:val="libFootnoteAlaemChar"/>
          <w:rtl/>
        </w:rPr>
        <w:t>)</w:t>
      </w:r>
      <w:r w:rsidR="008A74EB" w:rsidRPr="00C9040A">
        <w:rPr>
          <w:rtl/>
        </w:rPr>
        <w:t xml:space="preserve"> [ الأعراف </w:t>
      </w:r>
      <w:r>
        <w:rPr>
          <w:rtl/>
        </w:rPr>
        <w:t>(7)</w:t>
      </w:r>
      <w:r w:rsidR="008A74EB" w:rsidRPr="00C9040A">
        <w:rPr>
          <w:rtl/>
        </w:rPr>
        <w:t xml:space="preserve"> : 157 ] هو مَثَل لثقل تكليفهم ، نحو قتل الأنفس في التوبة. </w:t>
      </w:r>
      <w:r w:rsidR="008A74EB" w:rsidRPr="00993B55">
        <w:rPr>
          <w:rStyle w:val="libFootnoteBoldChar"/>
          <w:rtl/>
        </w:rPr>
        <w:t>مجمع البحرين</w:t>
      </w:r>
      <w:r w:rsidR="008A74EB" w:rsidRPr="00C9040A">
        <w:rPr>
          <w:rtl/>
        </w:rPr>
        <w:t xml:space="preserve"> ، ج 3 ، ص 208 ( أصر )</w:t>
      </w:r>
      <w:r w:rsidR="008A74EB">
        <w:rPr>
          <w:rtl/>
        </w:rPr>
        <w:t>.</w:t>
      </w:r>
    </w:p>
    <w:tbl>
      <w:tblPr>
        <w:tblStyle w:val="TableGrid"/>
        <w:bidiVisual/>
        <w:tblW w:w="0" w:type="auto"/>
        <w:tblLook w:val="04A0" w:firstRow="1" w:lastRow="0" w:firstColumn="1" w:lastColumn="0" w:noHBand="0" w:noVBand="1"/>
      </w:tblPr>
      <w:tblGrid>
        <w:gridCol w:w="4006"/>
        <w:gridCol w:w="4006"/>
      </w:tblGrid>
      <w:tr w:rsidR="00D15D67" w:rsidTr="00D15D67">
        <w:tc>
          <w:tcPr>
            <w:tcW w:w="4006" w:type="dxa"/>
          </w:tcPr>
          <w:p w:rsidR="00D15D67" w:rsidRDefault="00D15D67" w:rsidP="004A4E41">
            <w:pPr>
              <w:pStyle w:val="libFootnote0"/>
              <w:rPr>
                <w:rtl/>
                <w:lang w:bidi="fa-IR"/>
              </w:rPr>
            </w:pPr>
            <w:r>
              <w:rPr>
                <w:rtl/>
              </w:rPr>
              <w:t>(1).</w:t>
            </w:r>
            <w:r w:rsidRPr="00C9040A">
              <w:rPr>
                <w:rtl/>
              </w:rPr>
              <w:t xml:space="preserve"> في المحاسن : + « فعرف فضله بذلك »</w:t>
            </w:r>
            <w:r>
              <w:rPr>
                <w:rtl/>
              </w:rPr>
              <w:t>.</w:t>
            </w:r>
          </w:p>
        </w:tc>
        <w:tc>
          <w:tcPr>
            <w:tcW w:w="4006" w:type="dxa"/>
          </w:tcPr>
          <w:p w:rsidR="00D15D67" w:rsidRDefault="00D15D67" w:rsidP="004A4E41">
            <w:pPr>
              <w:pStyle w:val="libFootnote0"/>
              <w:rPr>
                <w:rtl/>
                <w:lang w:bidi="fa-IR"/>
              </w:rPr>
            </w:pPr>
            <w:r>
              <w:rPr>
                <w:rtl/>
              </w:rPr>
              <w:t xml:space="preserve">(2). </w:t>
            </w:r>
            <w:r w:rsidRPr="00C9040A">
              <w:rPr>
                <w:rtl/>
              </w:rPr>
              <w:t xml:space="preserve">في « </w:t>
            </w:r>
            <w:r>
              <w:rPr>
                <w:rtl/>
              </w:rPr>
              <w:t xml:space="preserve">ه </w:t>
            </w:r>
            <w:r w:rsidRPr="00C9040A">
              <w:rPr>
                <w:rtl/>
              </w:rPr>
              <w:t>» : + « الله جلّ وعزّ »</w:t>
            </w:r>
            <w:r>
              <w:rPr>
                <w:rtl/>
              </w:rPr>
              <w:t>.</w:t>
            </w:r>
          </w:p>
        </w:tc>
      </w:tr>
      <w:tr w:rsidR="00D15D67" w:rsidTr="00D15D67">
        <w:tc>
          <w:tcPr>
            <w:tcW w:w="4006" w:type="dxa"/>
          </w:tcPr>
          <w:p w:rsidR="00D15D67" w:rsidRDefault="00D15D67" w:rsidP="004A4E41">
            <w:pPr>
              <w:pStyle w:val="libFootnote0"/>
              <w:rPr>
                <w:rtl/>
                <w:lang w:bidi="fa-IR"/>
              </w:rPr>
            </w:pPr>
            <w:r>
              <w:rPr>
                <w:rtl/>
              </w:rPr>
              <w:t>(3).</w:t>
            </w:r>
            <w:r w:rsidRPr="00C9040A">
              <w:rPr>
                <w:rtl/>
              </w:rPr>
              <w:t xml:space="preserve"> في المحاسن : « عليها »</w:t>
            </w:r>
            <w:r>
              <w:rPr>
                <w:rtl/>
              </w:rPr>
              <w:t>.</w:t>
            </w:r>
          </w:p>
        </w:tc>
        <w:tc>
          <w:tcPr>
            <w:tcW w:w="4006" w:type="dxa"/>
          </w:tcPr>
          <w:p w:rsidR="00D15D67" w:rsidRDefault="00D15D67" w:rsidP="004A4E41">
            <w:pPr>
              <w:pStyle w:val="libFootnote0"/>
              <w:rPr>
                <w:rtl/>
                <w:lang w:bidi="fa-IR"/>
              </w:rPr>
            </w:pPr>
            <w:r>
              <w:rPr>
                <w:rtl/>
              </w:rPr>
              <w:t>(4).</w:t>
            </w:r>
            <w:r w:rsidRPr="00C9040A">
              <w:rPr>
                <w:rtl/>
              </w:rPr>
              <w:t xml:space="preserve"> في « </w:t>
            </w:r>
            <w:r>
              <w:rPr>
                <w:rtl/>
              </w:rPr>
              <w:t xml:space="preserve">ه </w:t>
            </w:r>
            <w:r w:rsidRPr="00C9040A">
              <w:rPr>
                <w:rtl/>
              </w:rPr>
              <w:t>» : + « والحلال والحرام »</w:t>
            </w:r>
            <w:r>
              <w:rPr>
                <w:rtl/>
              </w:rPr>
              <w:t>.</w:t>
            </w:r>
          </w:p>
        </w:tc>
      </w:tr>
    </w:tbl>
    <w:p w:rsidR="008A74EB" w:rsidRPr="00C9040A" w:rsidRDefault="006C577F" w:rsidP="004A4E41">
      <w:pPr>
        <w:pStyle w:val="libFootnote0"/>
        <w:rPr>
          <w:rtl/>
          <w:lang w:bidi="fa-IR"/>
        </w:rPr>
      </w:pPr>
      <w:r>
        <w:rPr>
          <w:rtl/>
        </w:rPr>
        <w:t>(5).</w:t>
      </w:r>
      <w:r w:rsidR="008A74EB" w:rsidRPr="00C9040A">
        <w:rPr>
          <w:rtl/>
        </w:rPr>
        <w:t xml:space="preserve"> في « </w:t>
      </w:r>
      <w:r w:rsidR="006D3162">
        <w:rPr>
          <w:rtl/>
        </w:rPr>
        <w:t xml:space="preserve">ه </w:t>
      </w:r>
      <w:r w:rsidR="008A74EB" w:rsidRPr="00C9040A">
        <w:rPr>
          <w:rtl/>
        </w:rPr>
        <w:t xml:space="preserve">» </w:t>
      </w:r>
      <w:r w:rsidR="008A74EB">
        <w:rPr>
          <w:rtl/>
        </w:rPr>
        <w:t xml:space="preserve">: </w:t>
      </w:r>
      <w:r w:rsidR="0084262C">
        <w:rPr>
          <w:rtl/>
        </w:rPr>
        <w:t>-</w:t>
      </w:r>
      <w:r w:rsidR="008A74EB" w:rsidRPr="00C9040A">
        <w:rPr>
          <w:rtl/>
        </w:rPr>
        <w:t xml:space="preserve"> « والحلال والحرام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الوسائل ، ج 1 </w:t>
      </w:r>
      <w:r w:rsidR="008A74EB">
        <w:rPr>
          <w:rtl/>
        </w:rPr>
        <w:t xml:space="preserve">: </w:t>
      </w:r>
      <w:r w:rsidR="0084262C">
        <w:rPr>
          <w:rtl/>
        </w:rPr>
        <w:t>-</w:t>
      </w:r>
      <w:r w:rsidR="008A74EB" w:rsidRPr="00C9040A">
        <w:rPr>
          <w:rtl/>
        </w:rPr>
        <w:t xml:space="preserve"> « والحلال والحرام</w:t>
      </w:r>
      <w:r w:rsidR="008A74EB">
        <w:rPr>
          <w:rtl/>
        </w:rPr>
        <w:t xml:space="preserve"> </w:t>
      </w:r>
      <w:r w:rsidR="0084262C">
        <w:rPr>
          <w:rtl/>
        </w:rPr>
        <w:t>-</w:t>
      </w:r>
      <w:r w:rsidR="008A74EB">
        <w:rPr>
          <w:rtl/>
        </w:rPr>
        <w:t xml:space="preserve"> </w:t>
      </w:r>
      <w:r w:rsidR="008A74EB" w:rsidRPr="00C9040A">
        <w:rPr>
          <w:rtl/>
        </w:rPr>
        <w:t>إلى</w:t>
      </w:r>
      <w:r w:rsidR="008A74EB">
        <w:rPr>
          <w:rtl/>
        </w:rPr>
        <w:t xml:space="preserve"> </w:t>
      </w:r>
      <w:r w:rsidR="0084262C">
        <w:rPr>
          <w:rtl/>
        </w:rPr>
        <w:t>-</w:t>
      </w:r>
      <w:r w:rsidR="008A74EB">
        <w:rPr>
          <w:rtl/>
        </w:rPr>
        <w:t xml:space="preserve"> </w:t>
      </w:r>
      <w:r w:rsidR="008A74EB" w:rsidRPr="00C9040A">
        <w:rPr>
          <w:rtl/>
        </w:rPr>
        <w:t>الفرائض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w:t>
      </w:r>
      <w:r w:rsidR="006D3162">
        <w:rPr>
          <w:rtl/>
        </w:rPr>
        <w:t xml:space="preserve">ه </w:t>
      </w:r>
      <w:r w:rsidR="008A74EB" w:rsidRPr="00C9040A">
        <w:rPr>
          <w:rtl/>
        </w:rPr>
        <w:t>، بر ، بف » : « وزيادة »</w:t>
      </w:r>
      <w:r w:rsidR="008A74EB">
        <w:rPr>
          <w:rtl/>
        </w:rPr>
        <w:t>.</w:t>
      </w:r>
    </w:p>
    <w:p w:rsidR="008A74EB" w:rsidRPr="004A4E41" w:rsidRDefault="006C577F" w:rsidP="004A4E41">
      <w:pPr>
        <w:pStyle w:val="libFootnote0"/>
        <w:rPr>
          <w:rStyle w:val="libFootnote0Char"/>
          <w:rtl/>
        </w:rPr>
      </w:pPr>
      <w:r>
        <w:rPr>
          <w:rtl/>
        </w:rPr>
        <w:t>(8).</w:t>
      </w:r>
      <w:r w:rsidR="008A74EB" w:rsidRPr="00C9040A">
        <w:rPr>
          <w:rtl/>
        </w:rPr>
        <w:t xml:space="preserve"> في الوسائل ، ج 1 </w:t>
      </w:r>
      <w:r w:rsidR="008A74EB">
        <w:rPr>
          <w:rtl/>
        </w:rPr>
        <w:t xml:space="preserve">: </w:t>
      </w:r>
      <w:r w:rsidR="0084262C">
        <w:rPr>
          <w:rtl/>
        </w:rPr>
        <w:t>-</w:t>
      </w:r>
      <w:r w:rsidR="008A74EB" w:rsidRPr="00C9040A">
        <w:rPr>
          <w:rtl/>
        </w:rPr>
        <w:t xml:space="preserve"> « وفضله</w:t>
      </w:r>
      <w:r w:rsidR="008A74EB">
        <w:rPr>
          <w:rtl/>
        </w:rPr>
        <w:t xml:space="preserve"> </w:t>
      </w:r>
      <w:r w:rsidR="0084262C">
        <w:rPr>
          <w:rtl/>
        </w:rPr>
        <w:t>-</w:t>
      </w:r>
      <w:r w:rsidR="008A74EB">
        <w:rPr>
          <w:rtl/>
        </w:rPr>
        <w:t xml:space="preserve"> </w:t>
      </w:r>
      <w:r w:rsidR="008A74EB" w:rsidRPr="00C9040A">
        <w:rPr>
          <w:rtl/>
        </w:rPr>
        <w:t>إلى</w:t>
      </w:r>
      <w:r w:rsidR="008A74EB">
        <w:rPr>
          <w:rtl/>
        </w:rPr>
        <w:t xml:space="preserve"> </w:t>
      </w:r>
      <w:r w:rsidR="0084262C">
        <w:rPr>
          <w:rtl/>
        </w:rPr>
        <w:t>-</w:t>
      </w:r>
      <w:r w:rsidR="008A74EB">
        <w:rPr>
          <w:rtl/>
        </w:rPr>
        <w:t xml:space="preserve"> </w:t>
      </w:r>
      <w:r w:rsidR="008A74EB" w:rsidRPr="00C9040A">
        <w:rPr>
          <w:rtl/>
        </w:rPr>
        <w:t>المفصّل »</w:t>
      </w:r>
      <w:r w:rsidR="008A74EB">
        <w:rPr>
          <w:rtl/>
        </w:rPr>
        <w:t>.</w:t>
      </w:r>
      <w:r w:rsidR="008A74EB" w:rsidRPr="00C9040A">
        <w:rPr>
          <w:rtl/>
        </w:rPr>
        <w:t xml:space="preserve"> قال الراغب : « والمفصَّل من القرآن : السبع الأخير ، وذلك للفصل بين القصص بالسور القصار » وقال الشيخ الطبرسي : « أمّا المفصّل فما بعد الحواميم من قصار السور إلى آخر القرآن ؛ سمّيت مفصّلاً لكثرة الفصول بين سورها ببسم الله الرحمن الرحيم »</w:t>
      </w:r>
      <w:r w:rsidR="008A74EB">
        <w:rPr>
          <w:rtl/>
        </w:rPr>
        <w:t>.</w:t>
      </w:r>
      <w:r w:rsidR="00D15D67">
        <w:rPr>
          <w:rtl/>
        </w:rPr>
        <w:t xml:space="preserve"> وقال العل</w:t>
      </w:r>
      <w:r w:rsidR="00D15D67">
        <w:rPr>
          <w:rFonts w:hint="cs"/>
          <w:rtl/>
        </w:rPr>
        <w:t>ّ</w:t>
      </w:r>
      <w:r w:rsidR="00D15D67">
        <w:rPr>
          <w:rtl/>
        </w:rPr>
        <w:t>ا</w:t>
      </w:r>
      <w:r w:rsidR="008A74EB" w:rsidRPr="00C9040A">
        <w:rPr>
          <w:rtl/>
        </w:rPr>
        <w:t xml:space="preserve">مة المجلسي : « وأقول : اختلف في أوّل المفصّل ، فقيل : من سورة ق ، وقيل : من سورة محمّد </w:t>
      </w:r>
      <w:r w:rsidR="004A4E41" w:rsidRPr="00B866D3">
        <w:rPr>
          <w:rStyle w:val="libFootnoteAlaemChar"/>
          <w:rtl/>
        </w:rPr>
        <w:t>صلى‌الله‌عليه‌وآله</w:t>
      </w:r>
      <w:r w:rsidR="008A74EB" w:rsidRPr="00C9040A">
        <w:rPr>
          <w:rtl/>
        </w:rPr>
        <w:t xml:space="preserve"> ، وقيل : من سورة الفتح. وعن النووي : مفصّل القرآن من محمّد إلى آخر القرآن ، وقصاره من الضحى إلى آخره ، ومطوّلاته إلى عمّ ، ومتوسّطاته إلى الضحى ، وفي الخبر : المفصّل : ثمان وستّون سورة »</w:t>
      </w:r>
      <w:r w:rsidR="008A74EB">
        <w:rPr>
          <w:rtl/>
        </w:rPr>
        <w:t>.</w:t>
      </w:r>
      <w:r w:rsidR="008A74EB" w:rsidRPr="00C9040A">
        <w:rPr>
          <w:rtl/>
        </w:rPr>
        <w:t xml:space="preserve"> راجع : </w:t>
      </w:r>
      <w:r w:rsidR="008A74EB" w:rsidRPr="00993B55">
        <w:rPr>
          <w:rStyle w:val="libFootnoteBoldChar"/>
          <w:rtl/>
        </w:rPr>
        <w:t>المفردات</w:t>
      </w:r>
      <w:r w:rsidR="008A74EB" w:rsidRPr="00C9040A">
        <w:rPr>
          <w:rtl/>
        </w:rPr>
        <w:t xml:space="preserve"> للراغب ، ص 638 ( فصل ) ؛ </w:t>
      </w:r>
      <w:r w:rsidR="008A74EB" w:rsidRPr="00993B55">
        <w:rPr>
          <w:rStyle w:val="libFootnoteBoldChar"/>
          <w:rtl/>
        </w:rPr>
        <w:t>مجمع البيان</w:t>
      </w:r>
      <w:r w:rsidR="008A74EB" w:rsidRPr="00C9040A">
        <w:rPr>
          <w:rtl/>
        </w:rPr>
        <w:t xml:space="preserve"> ، ج 1 ، ص 42 ، مقدّمة الكتاب ؛ </w:t>
      </w:r>
      <w:r w:rsidR="008A74EB" w:rsidRPr="00993B55">
        <w:rPr>
          <w:rStyle w:val="libFootnoteBoldChar"/>
          <w:rtl/>
        </w:rPr>
        <w:t>مرآة العقول</w:t>
      </w:r>
      <w:r w:rsidR="008A74EB" w:rsidRPr="00C9040A">
        <w:rPr>
          <w:rtl/>
        </w:rPr>
        <w:t xml:space="preserve"> ، ج 17 ، ص 95.</w:t>
      </w:r>
    </w:p>
    <w:tbl>
      <w:tblPr>
        <w:tblStyle w:val="TableGrid"/>
        <w:bidiVisual/>
        <w:tblW w:w="0" w:type="auto"/>
        <w:tblLook w:val="04A0" w:firstRow="1" w:lastRow="0" w:firstColumn="1" w:lastColumn="0" w:noHBand="0" w:noVBand="1"/>
      </w:tblPr>
      <w:tblGrid>
        <w:gridCol w:w="4006"/>
        <w:gridCol w:w="4006"/>
      </w:tblGrid>
      <w:tr w:rsidR="00D15D67" w:rsidTr="00D15D67">
        <w:tc>
          <w:tcPr>
            <w:tcW w:w="4006" w:type="dxa"/>
          </w:tcPr>
          <w:p w:rsidR="00D15D67" w:rsidRDefault="00D15D67" w:rsidP="004A4E41">
            <w:pPr>
              <w:pStyle w:val="libFootnote0"/>
              <w:rPr>
                <w:rtl/>
              </w:rPr>
            </w:pPr>
            <w:r>
              <w:rPr>
                <w:rtl/>
              </w:rPr>
              <w:t>(9).</w:t>
            </w:r>
            <w:r w:rsidRPr="00C9040A">
              <w:rPr>
                <w:rtl/>
              </w:rPr>
              <w:t xml:space="preserve"> في « ف » : + « والأنفال »</w:t>
            </w:r>
            <w:r>
              <w:rPr>
                <w:rtl/>
              </w:rPr>
              <w:t>.</w:t>
            </w:r>
          </w:p>
        </w:tc>
        <w:tc>
          <w:tcPr>
            <w:tcW w:w="4006" w:type="dxa"/>
          </w:tcPr>
          <w:p w:rsidR="00D15D67" w:rsidRDefault="00D15D67" w:rsidP="004A4E41">
            <w:pPr>
              <w:pStyle w:val="libFootnote0"/>
              <w:rPr>
                <w:rtl/>
              </w:rPr>
            </w:pPr>
            <w:r>
              <w:rPr>
                <w:rtl/>
              </w:rPr>
              <w:t>(10).</w:t>
            </w:r>
            <w:r w:rsidRPr="00C9040A">
              <w:rPr>
                <w:rtl/>
              </w:rPr>
              <w:t xml:space="preserve"> في الوسائل ، ح 8 </w:t>
            </w:r>
            <w:r>
              <w:rPr>
                <w:rtl/>
              </w:rPr>
              <w:t>: -</w:t>
            </w:r>
            <w:r w:rsidRPr="00C9040A">
              <w:rPr>
                <w:rtl/>
              </w:rPr>
              <w:t xml:space="preserve"> « ونصره بالرعب »</w:t>
            </w:r>
            <w:r>
              <w:rPr>
                <w:rtl/>
              </w:rPr>
              <w:t>.</w:t>
            </w:r>
          </w:p>
        </w:tc>
      </w:tr>
      <w:tr w:rsidR="00D15D67" w:rsidTr="00D15D67">
        <w:tc>
          <w:tcPr>
            <w:tcW w:w="4006" w:type="dxa"/>
          </w:tcPr>
          <w:p w:rsidR="00D15D67" w:rsidRDefault="00D15D67" w:rsidP="004A4E41">
            <w:pPr>
              <w:pStyle w:val="libFootnote0"/>
              <w:rPr>
                <w:rtl/>
              </w:rPr>
            </w:pPr>
            <w:r>
              <w:rPr>
                <w:rtl/>
              </w:rPr>
              <w:t>(11).</w:t>
            </w:r>
            <w:r w:rsidRPr="00C9040A">
              <w:rPr>
                <w:rtl/>
              </w:rPr>
              <w:t xml:space="preserve"> في شرح المازندراني : « الأرض له »</w:t>
            </w:r>
            <w:r>
              <w:rPr>
                <w:rtl/>
              </w:rPr>
              <w:t>.</w:t>
            </w:r>
          </w:p>
        </w:tc>
        <w:tc>
          <w:tcPr>
            <w:tcW w:w="4006" w:type="dxa"/>
          </w:tcPr>
          <w:p w:rsidR="00D15D67" w:rsidRDefault="00D15D67" w:rsidP="004A4E41">
            <w:pPr>
              <w:pStyle w:val="libFootnote0"/>
              <w:rPr>
                <w:rtl/>
              </w:rPr>
            </w:pPr>
            <w:r>
              <w:rPr>
                <w:rtl/>
              </w:rPr>
              <w:t>(12).</w:t>
            </w:r>
            <w:r w:rsidRPr="00C9040A">
              <w:rPr>
                <w:rtl/>
              </w:rPr>
              <w:t xml:space="preserve"> في « ص ، ف ، </w:t>
            </w:r>
            <w:r>
              <w:rPr>
                <w:rtl/>
              </w:rPr>
              <w:t xml:space="preserve">ه </w:t>
            </w:r>
            <w:r w:rsidRPr="00C9040A">
              <w:rPr>
                <w:rtl/>
              </w:rPr>
              <w:t>» : « الأسود والأبيض »</w:t>
            </w:r>
            <w:r>
              <w:rPr>
                <w:rtl/>
              </w:rPr>
              <w:t>.</w:t>
            </w:r>
          </w:p>
        </w:tc>
      </w:tr>
    </w:tbl>
    <w:p w:rsidR="008A74EB" w:rsidRPr="004A4E41" w:rsidRDefault="008A74EB" w:rsidP="004A4E41">
      <w:pPr>
        <w:pStyle w:val="libFootnote0"/>
        <w:rPr>
          <w:rStyle w:val="libFootnote0Char"/>
          <w:rtl/>
        </w:rPr>
      </w:pPr>
      <w:r>
        <w:rPr>
          <w:rtl/>
        </w:rPr>
        <w:t>(13)</w:t>
      </w:r>
      <w:r w:rsidRPr="00C9040A">
        <w:rPr>
          <w:rtl/>
        </w:rPr>
        <w:t xml:space="preserve"> في الوسائل ، ح 8 </w:t>
      </w:r>
      <w:r>
        <w:rPr>
          <w:rtl/>
        </w:rPr>
        <w:t xml:space="preserve">: </w:t>
      </w:r>
      <w:r w:rsidR="0084262C">
        <w:rPr>
          <w:rtl/>
        </w:rPr>
        <w:t>-</w:t>
      </w:r>
      <w:r w:rsidRPr="00C9040A">
        <w:rPr>
          <w:rtl/>
        </w:rPr>
        <w:t xml:space="preserve"> « وأرسله</w:t>
      </w:r>
      <w:r>
        <w:rPr>
          <w:rtl/>
        </w:rPr>
        <w:t xml:space="preserve"> </w:t>
      </w:r>
      <w:r w:rsidR="0084262C">
        <w:rPr>
          <w:rtl/>
        </w:rPr>
        <w:t>-</w:t>
      </w:r>
      <w:r>
        <w:rPr>
          <w:rtl/>
        </w:rPr>
        <w:t xml:space="preserve"> </w:t>
      </w:r>
      <w:r w:rsidRPr="00C9040A">
        <w:rPr>
          <w:rtl/>
        </w:rPr>
        <w:t>إلى</w:t>
      </w:r>
      <w:r>
        <w:rPr>
          <w:rtl/>
        </w:rPr>
        <w:t xml:space="preserve"> </w:t>
      </w:r>
      <w:r w:rsidR="0084262C">
        <w:rPr>
          <w:rtl/>
        </w:rPr>
        <w:t>-</w:t>
      </w:r>
      <w:r>
        <w:rPr>
          <w:rtl/>
        </w:rPr>
        <w:t xml:space="preserve"> </w:t>
      </w:r>
      <w:r w:rsidRPr="00C9040A">
        <w:rPr>
          <w:rtl/>
        </w:rPr>
        <w:t>الإنس »</w:t>
      </w:r>
      <w:r>
        <w:rPr>
          <w:rtl/>
        </w:rPr>
        <w:t>.</w:t>
      </w:r>
    </w:p>
    <w:tbl>
      <w:tblPr>
        <w:tblStyle w:val="TableGrid"/>
        <w:bidiVisual/>
        <w:tblW w:w="0" w:type="auto"/>
        <w:tblLook w:val="04A0" w:firstRow="1" w:lastRow="0" w:firstColumn="1" w:lastColumn="0" w:noHBand="0" w:noVBand="1"/>
      </w:tblPr>
      <w:tblGrid>
        <w:gridCol w:w="4006"/>
        <w:gridCol w:w="4006"/>
      </w:tblGrid>
      <w:tr w:rsidR="006113D5" w:rsidTr="006113D5">
        <w:tc>
          <w:tcPr>
            <w:tcW w:w="4006" w:type="dxa"/>
          </w:tcPr>
          <w:p w:rsidR="006113D5" w:rsidRDefault="006113D5" w:rsidP="004A4E41">
            <w:pPr>
              <w:pStyle w:val="libFootnote0"/>
              <w:rPr>
                <w:rtl/>
                <w:lang w:bidi="fa-IR"/>
              </w:rPr>
            </w:pPr>
            <w:r>
              <w:rPr>
                <w:rtl/>
              </w:rPr>
              <w:t>(14)</w:t>
            </w:r>
            <w:r w:rsidRPr="00C9040A">
              <w:rPr>
                <w:rtl/>
              </w:rPr>
              <w:t xml:space="preserve"> في « بر » : « فداءهم »</w:t>
            </w:r>
            <w:r>
              <w:rPr>
                <w:rtl/>
              </w:rPr>
              <w:t>.</w:t>
            </w:r>
          </w:p>
        </w:tc>
        <w:tc>
          <w:tcPr>
            <w:tcW w:w="4006" w:type="dxa"/>
          </w:tcPr>
          <w:p w:rsidR="006113D5" w:rsidRDefault="006113D5" w:rsidP="004A4E41">
            <w:pPr>
              <w:pStyle w:val="libFootnote0"/>
              <w:rPr>
                <w:rtl/>
                <w:lang w:bidi="fa-IR"/>
              </w:rPr>
            </w:pPr>
            <w:r>
              <w:rPr>
                <w:rtl/>
              </w:rPr>
              <w:t>(15)</w:t>
            </w:r>
            <w:r w:rsidRPr="00C9040A">
              <w:rPr>
                <w:rtl/>
              </w:rPr>
              <w:t xml:space="preserve"> في المحاسن : « كلّفه »</w:t>
            </w:r>
            <w:r>
              <w:rPr>
                <w:rtl/>
              </w:rPr>
              <w:t>.</w:t>
            </w:r>
          </w:p>
        </w:tc>
      </w:tr>
    </w:tbl>
    <w:p w:rsidR="008A74EB" w:rsidRPr="004A4E41" w:rsidRDefault="008A74EB" w:rsidP="004A4E41">
      <w:pPr>
        <w:pStyle w:val="libFootnote0"/>
        <w:rPr>
          <w:rStyle w:val="libFootnote0Char"/>
          <w:rtl/>
        </w:rPr>
      </w:pPr>
      <w:r>
        <w:rPr>
          <w:rtl/>
        </w:rPr>
        <w:t>(16)</w:t>
      </w:r>
      <w:r w:rsidRPr="00C9040A">
        <w:rPr>
          <w:rtl/>
        </w:rPr>
        <w:t xml:space="preserve"> في « ب ، ف ، </w:t>
      </w:r>
      <w:r w:rsidR="006D3162">
        <w:rPr>
          <w:rtl/>
        </w:rPr>
        <w:t xml:space="preserve">ه </w:t>
      </w:r>
      <w:r w:rsidRPr="00C9040A">
        <w:rPr>
          <w:rtl/>
        </w:rPr>
        <w:t xml:space="preserve">، بس ، بف » والوافي والمحاسن </w:t>
      </w:r>
      <w:r>
        <w:rPr>
          <w:rtl/>
        </w:rPr>
        <w:t xml:space="preserve">: </w:t>
      </w:r>
      <w:r w:rsidR="0084262C">
        <w:rPr>
          <w:rtl/>
        </w:rPr>
        <w:t>-</w:t>
      </w:r>
      <w:r w:rsidRPr="00C9040A">
        <w:rPr>
          <w:rtl/>
        </w:rPr>
        <w:t xml:space="preserve"> « و</w:t>
      </w:r>
      <w:r>
        <w:rPr>
          <w:rFonts w:hint="cs"/>
          <w:rtl/>
        </w:rPr>
        <w:t xml:space="preserve"> </w:t>
      </w:r>
      <w:r w:rsidRPr="00C9040A">
        <w:rPr>
          <w:rtl/>
        </w:rPr>
        <w:t>»</w:t>
      </w:r>
      <w:r>
        <w:rPr>
          <w:rtl/>
        </w:rPr>
        <w:t>.</w:t>
      </w:r>
    </w:p>
    <w:tbl>
      <w:tblPr>
        <w:tblStyle w:val="TableGrid"/>
        <w:bidiVisual/>
        <w:tblW w:w="0" w:type="auto"/>
        <w:tblLook w:val="04A0" w:firstRow="1" w:lastRow="0" w:firstColumn="1" w:lastColumn="0" w:noHBand="0" w:noVBand="1"/>
      </w:tblPr>
      <w:tblGrid>
        <w:gridCol w:w="4006"/>
        <w:gridCol w:w="4006"/>
      </w:tblGrid>
      <w:tr w:rsidR="006113D5" w:rsidTr="006113D5">
        <w:tc>
          <w:tcPr>
            <w:tcW w:w="4006" w:type="dxa"/>
          </w:tcPr>
          <w:p w:rsidR="006113D5" w:rsidRDefault="006113D5" w:rsidP="004A4E41">
            <w:pPr>
              <w:pStyle w:val="libFootnote0"/>
              <w:rPr>
                <w:rtl/>
                <w:lang w:bidi="fa-IR"/>
              </w:rPr>
            </w:pPr>
            <w:r>
              <w:rPr>
                <w:rtl/>
              </w:rPr>
              <w:t>(17)</w:t>
            </w:r>
            <w:r w:rsidRPr="00C9040A">
              <w:rPr>
                <w:rtl/>
              </w:rPr>
              <w:t xml:space="preserve"> في « ج ، </w:t>
            </w:r>
            <w:r>
              <w:rPr>
                <w:rtl/>
              </w:rPr>
              <w:t xml:space="preserve">ه </w:t>
            </w:r>
            <w:r w:rsidRPr="00C9040A">
              <w:rPr>
                <w:rtl/>
              </w:rPr>
              <w:t>» : « سيفاً »</w:t>
            </w:r>
            <w:r>
              <w:rPr>
                <w:rtl/>
              </w:rPr>
              <w:t>.</w:t>
            </w:r>
          </w:p>
        </w:tc>
        <w:tc>
          <w:tcPr>
            <w:tcW w:w="4006" w:type="dxa"/>
          </w:tcPr>
          <w:p w:rsidR="006113D5" w:rsidRDefault="006113D5" w:rsidP="004A4E41">
            <w:pPr>
              <w:pStyle w:val="libFootnote0"/>
              <w:rPr>
                <w:rtl/>
                <w:lang w:bidi="fa-IR"/>
              </w:rPr>
            </w:pPr>
            <w:r>
              <w:rPr>
                <w:rtl/>
              </w:rPr>
              <w:t>(18)</w:t>
            </w:r>
            <w:r w:rsidRPr="00C9040A">
              <w:rPr>
                <w:rtl/>
              </w:rPr>
              <w:t xml:space="preserve"> في « ب » والوافي : « من »</w:t>
            </w:r>
            <w:r>
              <w:rPr>
                <w:rtl/>
              </w:rPr>
              <w:t>.</w:t>
            </w:r>
          </w:p>
        </w:tc>
      </w:tr>
    </w:tbl>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وَقِيلَ لَهُ : قَاتِلْ فِي </w:t>
      </w:r>
      <w:r w:rsidR="0037456C">
        <w:rPr>
          <w:rtl/>
          <w:lang w:bidi="fa-IR"/>
        </w:rPr>
        <w:t>سَبِيلِ اللهِ لَاتُكَلَّفُ إِل</w:t>
      </w:r>
      <w:r w:rsidR="0037456C">
        <w:rPr>
          <w:rFonts w:hint="cs"/>
          <w:rtl/>
          <w:lang w:bidi="fa-IR"/>
        </w:rPr>
        <w:t>ّ</w:t>
      </w:r>
      <w:r w:rsidR="0037456C">
        <w:rPr>
          <w:rtl/>
          <w:lang w:bidi="fa-IR"/>
        </w:rPr>
        <w:t>ا</w:t>
      </w:r>
      <w:r w:rsidRPr="00C9040A">
        <w:rPr>
          <w:rtl/>
          <w:lang w:bidi="fa-IR"/>
        </w:rPr>
        <w:t xml:space="preserve"> نَفْسَكَ </w:t>
      </w:r>
      <w:r w:rsidR="006C577F" w:rsidRPr="006C577F">
        <w:rPr>
          <w:rStyle w:val="libFootnotenumChar"/>
          <w:rtl/>
        </w:rPr>
        <w:t>(1)</w:t>
      </w:r>
      <w:r w:rsidRPr="00C9040A">
        <w:rPr>
          <w:rtl/>
          <w:lang w:bidi="fa-IR"/>
        </w:rPr>
        <w:t>»</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2C02A9">
        <w:rPr>
          <w:rtl/>
        </w:rPr>
        <w:t>1489</w:t>
      </w:r>
      <w:r w:rsidRPr="00261CB0">
        <w:rPr>
          <w:rStyle w:val="libBold2Char"/>
          <w:rtl/>
        </w:rPr>
        <w:t xml:space="preserve"> / 2.</w:t>
      </w:r>
      <w:r w:rsidRPr="00C9040A">
        <w:rPr>
          <w:rtl/>
          <w:lang w:bidi="fa-IR"/>
        </w:rPr>
        <w:t xml:space="preserve"> عِدَّةٌ مِنْ أَصْحَابِنَا ، عَنْ أَحْمَدَ بْنِ مُحَمَّدِ بْنِ خَالِدٍ ، عَنْ عُثْمَانَ بْنِ عِيسى ، عَنْ سَمَاعَةَ بْنِ مِهْرَانَ ، قَالَ :</w:t>
      </w:r>
    </w:p>
    <w:p w:rsidR="008A74EB" w:rsidRPr="00381F0E" w:rsidRDefault="008A74EB" w:rsidP="008A74EB">
      <w:pPr>
        <w:pStyle w:val="libNormal"/>
        <w:rPr>
          <w:rtl/>
        </w:rPr>
      </w:pPr>
      <w:r w:rsidRPr="00C9040A">
        <w:rPr>
          <w:rtl/>
          <w:lang w:bidi="fa-IR"/>
        </w:rPr>
        <w:t xml:space="preserve">قُلْتُ لِأَبِي عَبْدِ اللهِ </w:t>
      </w:r>
      <w:r w:rsidRPr="0003660B">
        <w:rPr>
          <w:rStyle w:val="libAlaemChar"/>
          <w:rtl/>
        </w:rPr>
        <w:t>عليه‌السلام</w:t>
      </w:r>
      <w:r w:rsidRPr="00C9040A">
        <w:rPr>
          <w:rtl/>
          <w:lang w:bidi="fa-IR"/>
        </w:rPr>
        <w:t xml:space="preserve"> : قَوْلُ اللهِ عَزَّ وَجَلَّ : </w:t>
      </w:r>
      <w:r w:rsidRPr="0003660B">
        <w:rPr>
          <w:rStyle w:val="libAlaemChar"/>
          <w:rtl/>
        </w:rPr>
        <w:t>(</w:t>
      </w:r>
      <w:r w:rsidRPr="006A2246">
        <w:rPr>
          <w:rStyle w:val="libAieChar"/>
          <w:rtl/>
        </w:rPr>
        <w:t xml:space="preserve"> فَاصْبِرْ كَما صَبَرَ أُولُوا الْعَزْمِ مِنَ الرُّسُلِ</w:t>
      </w:r>
      <w:r w:rsidRPr="0003660B">
        <w:rPr>
          <w:rStyle w:val="libAlaemChar"/>
          <w:rtl/>
        </w:rPr>
        <w:t>)</w:t>
      </w:r>
      <w:r w:rsidR="006C577F" w:rsidRPr="006C577F">
        <w:rPr>
          <w:rStyle w:val="libFootnotenumChar"/>
          <w:rtl/>
        </w:rPr>
        <w:t>(3)</w:t>
      </w:r>
      <w:r w:rsidRPr="00711AE8">
        <w:rPr>
          <w:rFonts w:hint="cs"/>
          <w:rtl/>
        </w:rPr>
        <w:t>؟</w:t>
      </w:r>
    </w:p>
    <w:p w:rsidR="008A74EB" w:rsidRPr="00C9040A" w:rsidRDefault="008A74EB" w:rsidP="008A74EB">
      <w:pPr>
        <w:pStyle w:val="libNormal"/>
        <w:rPr>
          <w:rtl/>
          <w:lang w:bidi="fa-IR"/>
        </w:rPr>
      </w:pPr>
      <w:r w:rsidRPr="00C9040A">
        <w:rPr>
          <w:rtl/>
          <w:lang w:bidi="fa-IR"/>
        </w:rPr>
        <w:t xml:space="preserve">فَقَالَ : « نُوحٌ وَإِبْرَاهِيمُ وَمُوسى وَعِيسى وَمُحَمَّدٌ صَلَّى اللهُ عَلَيْهِ وَآلِهِ وَعَلَيْهِمْ » </w:t>
      </w:r>
      <w:r w:rsidR="006C577F" w:rsidRPr="006C577F">
        <w:rPr>
          <w:rStyle w:val="libFootnotenumChar"/>
          <w:rtl/>
        </w:rPr>
        <w:t>(4)</w:t>
      </w:r>
    </w:p>
    <w:p w:rsidR="008A74EB" w:rsidRPr="00C9040A" w:rsidRDefault="008A74EB" w:rsidP="008A74EB">
      <w:pPr>
        <w:pStyle w:val="libNormal"/>
        <w:rPr>
          <w:rtl/>
          <w:lang w:bidi="fa-IR"/>
        </w:rPr>
      </w:pPr>
      <w:r w:rsidRPr="00C9040A">
        <w:rPr>
          <w:rtl/>
          <w:lang w:bidi="fa-IR"/>
        </w:rPr>
        <w:t xml:space="preserve">قُلْتُ : كَيْفَ صَارُوا أُولِي الْعَزْمِ </w:t>
      </w:r>
      <w:r w:rsidR="006C577F" w:rsidRPr="006C577F">
        <w:rPr>
          <w:rStyle w:val="libFootnotenumChar"/>
          <w:rtl/>
        </w:rPr>
        <w:t>(5)</w:t>
      </w:r>
      <w:r>
        <w:rPr>
          <w:rtl/>
          <w:lang w:bidi="fa-IR"/>
        </w:rPr>
        <w:t>؟</w:t>
      </w:r>
    </w:p>
    <w:p w:rsidR="008A74EB" w:rsidRPr="00C9040A" w:rsidRDefault="008A74EB" w:rsidP="008A74EB">
      <w:pPr>
        <w:pStyle w:val="libNormal"/>
        <w:rPr>
          <w:rtl/>
          <w:lang w:bidi="fa-IR"/>
        </w:rPr>
      </w:pPr>
      <w:r w:rsidRPr="00C9040A">
        <w:rPr>
          <w:rtl/>
          <w:lang w:bidi="fa-IR"/>
        </w:rPr>
        <w:t xml:space="preserve">قَالَ : « لِأَنَّ نُوحاً </w:t>
      </w:r>
      <w:r w:rsidRPr="0003660B">
        <w:rPr>
          <w:rStyle w:val="libAlaemChar"/>
          <w:rtl/>
        </w:rPr>
        <w:t>عليه‌السلام</w:t>
      </w:r>
      <w:r w:rsidRPr="00C9040A">
        <w:rPr>
          <w:rtl/>
          <w:lang w:bidi="fa-IR"/>
        </w:rPr>
        <w:t xml:space="preserve"> بُعِثَ بِكِتَابٍ وَشَرِيعَةٍ ، وَكُلُّ </w:t>
      </w:r>
      <w:r w:rsidR="006C577F" w:rsidRPr="006C577F">
        <w:rPr>
          <w:rStyle w:val="libFootnotenumChar"/>
          <w:rtl/>
        </w:rPr>
        <w:t>(6)</w:t>
      </w:r>
      <w:r w:rsidRPr="005B567D">
        <w:rPr>
          <w:rStyle w:val="libFootnotenumChar"/>
          <w:rtl/>
        </w:rPr>
        <w:t xml:space="preserve"> </w:t>
      </w:r>
      <w:r w:rsidRPr="00C9040A">
        <w:rPr>
          <w:rtl/>
          <w:lang w:bidi="fa-IR"/>
        </w:rPr>
        <w:t xml:space="preserve">مَنْ جَاءَ بَعْدَ نُوحٍ أَخَذَ بِكِتَابِ نُوحٍ </w:t>
      </w:r>
      <w:r w:rsidR="006C577F" w:rsidRPr="006C577F">
        <w:rPr>
          <w:rStyle w:val="libFootnotenumChar"/>
          <w:rtl/>
        </w:rPr>
        <w:t>(7)</w:t>
      </w:r>
      <w:r w:rsidRPr="00C9040A">
        <w:rPr>
          <w:rtl/>
          <w:lang w:bidi="fa-IR"/>
        </w:rPr>
        <w:t xml:space="preserve"> وَشَرِيعَتِهِ وَمِنْهَاجِهِ حَتّى جَاءَ إِبْرَاهِيمُ </w:t>
      </w:r>
      <w:r w:rsidRPr="0003660B">
        <w:rPr>
          <w:rStyle w:val="libAlaemChar"/>
          <w:rtl/>
        </w:rPr>
        <w:t>عليه‌السلام</w:t>
      </w:r>
      <w:r w:rsidRPr="00C9040A">
        <w:rPr>
          <w:rtl/>
          <w:lang w:bidi="fa-IR"/>
        </w:rPr>
        <w:t xml:space="preserve"> بِالصُّحُفِ وَبِعَزِيمَةِ تَرْكِ كِتَابِ نُوحٍ لَاكُفْراً بِهِ ، فَكُلُّ </w:t>
      </w:r>
      <w:r w:rsidR="006C577F" w:rsidRPr="006C577F">
        <w:rPr>
          <w:rStyle w:val="libFootnotenumChar"/>
          <w:rtl/>
        </w:rPr>
        <w:t>(8)</w:t>
      </w:r>
      <w:r w:rsidRPr="00C9040A">
        <w:rPr>
          <w:rtl/>
          <w:lang w:bidi="fa-IR"/>
        </w:rPr>
        <w:t xml:space="preserve"> نَبِيٍّ جَاءَ </w:t>
      </w:r>
      <w:r w:rsidR="006C577F" w:rsidRPr="006C577F">
        <w:rPr>
          <w:rStyle w:val="libFootnotenumChar"/>
          <w:rtl/>
        </w:rPr>
        <w:t>(9)</w:t>
      </w:r>
      <w:r w:rsidRPr="00C9040A">
        <w:rPr>
          <w:rtl/>
          <w:lang w:bidi="fa-IR"/>
        </w:rPr>
        <w:t xml:space="preserve"> بَعْدَ إِبْرَاهِيمَ أَخَذَ </w:t>
      </w:r>
      <w:r w:rsidR="006C577F" w:rsidRPr="006C577F">
        <w:rPr>
          <w:rStyle w:val="libFootnotenumChar"/>
          <w:rtl/>
        </w:rPr>
        <w:t>(10)</w:t>
      </w:r>
      <w:r w:rsidRPr="00C9040A">
        <w:rPr>
          <w:rtl/>
          <w:lang w:bidi="fa-IR"/>
        </w:rPr>
        <w:t xml:space="preserve"> بِشَرِيعَةِ إِبْرَاهِيمَ وَمِنْهَاجِهِ وَبِالصُّحُفِ حَتّى جَاءَ‌</w:t>
      </w:r>
      <w:r>
        <w:rPr>
          <w:rFonts w:hint="cs"/>
          <w:rtl/>
          <w:lang w:bidi="fa-IR"/>
        </w:rPr>
        <w:t xml:space="preserve"> </w:t>
      </w:r>
      <w:r w:rsidRPr="00C9040A">
        <w:rPr>
          <w:rtl/>
          <w:lang w:bidi="fa-IR"/>
        </w:rPr>
        <w:t xml:space="preserve">مُوسى </w:t>
      </w:r>
      <w:r w:rsidRPr="0003660B">
        <w:rPr>
          <w:rStyle w:val="libAlaemChar"/>
          <w:rtl/>
        </w:rPr>
        <w:t>عليه‌السلام</w:t>
      </w:r>
      <w:r w:rsidRPr="00C9040A">
        <w:rPr>
          <w:rtl/>
          <w:lang w:bidi="fa-IR"/>
        </w:rPr>
        <w:t xml:space="preserve"> بِالتَّوْرَاةِ وَشَرِيعَتِهِ وَمِنْهَاجِهِ وَبِعَزِيمَةِ تَرْكِ الصُّحُفِ ، وَكُلُّ </w:t>
      </w:r>
      <w:r w:rsidR="006C577F" w:rsidRPr="006C577F">
        <w:rPr>
          <w:rStyle w:val="libFootnotenumChar"/>
          <w:rtl/>
        </w:rPr>
        <w:t>(11)</w:t>
      </w:r>
      <w:r w:rsidRPr="001835C1">
        <w:rPr>
          <w:rFonts w:hint="cs"/>
          <w:rtl/>
        </w:rPr>
        <w:t xml:space="preserve"> </w:t>
      </w:r>
      <w:r w:rsidRPr="00C9040A">
        <w:rPr>
          <w:rtl/>
          <w:lang w:bidi="fa-IR"/>
        </w:rPr>
        <w:t>نَبِيٍّ جَاءَ بَعْدَ</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إشارة إلى الآية 84 من سورة النساء </w:t>
      </w:r>
      <w:r>
        <w:rPr>
          <w:rtl/>
        </w:rPr>
        <w:t>(4).</w:t>
      </w:r>
      <w:r w:rsidR="008A74EB" w:rsidRPr="00C9040A">
        <w:rPr>
          <w:rtl/>
        </w:rPr>
        <w:t xml:space="preserve"> وفيه </w:t>
      </w:r>
      <w:r w:rsidR="0077555E" w:rsidRPr="00B866D3">
        <w:rPr>
          <w:rStyle w:val="libFootnoteAlaemChar"/>
          <w:rFonts w:hint="cs"/>
          <w:rtl/>
        </w:rPr>
        <w:t>(</w:t>
      </w:r>
      <w:r w:rsidR="008A74EB" w:rsidRPr="0077555E">
        <w:rPr>
          <w:rStyle w:val="libFootnoteAieChar"/>
          <w:rtl/>
        </w:rPr>
        <w:t xml:space="preserve"> فَقاتَلَ</w:t>
      </w:r>
      <w:r w:rsidR="008A74EB" w:rsidRPr="00C9040A">
        <w:rPr>
          <w:rtl/>
        </w:rPr>
        <w:t xml:space="preserve"> </w:t>
      </w:r>
      <w:r w:rsidR="0077555E" w:rsidRPr="00B866D3">
        <w:rPr>
          <w:rStyle w:val="libFootnoteAlaemChar"/>
          <w:rFonts w:hint="cs"/>
          <w:rtl/>
        </w:rPr>
        <w:t>)</w:t>
      </w:r>
      <w:r w:rsidR="008A74EB" w:rsidRPr="00C9040A">
        <w:rPr>
          <w:rtl/>
        </w:rPr>
        <w:t xml:space="preserve"> بدل « قاتل »</w:t>
      </w:r>
      <w:r w:rsidR="008A74EB">
        <w:rPr>
          <w:rtl/>
        </w:rPr>
        <w:t>.</w:t>
      </w:r>
      <w:r w:rsidR="008A74EB" w:rsidRPr="00C9040A">
        <w:rPr>
          <w:rtl/>
        </w:rPr>
        <w:t xml:space="preserve"> وفي « </w:t>
      </w:r>
      <w:r w:rsidR="006D3162">
        <w:rPr>
          <w:rtl/>
        </w:rPr>
        <w:t xml:space="preserve">ه </w:t>
      </w:r>
      <w:r w:rsidR="008A74EB" w:rsidRPr="00C9040A">
        <w:rPr>
          <w:rtl/>
        </w:rPr>
        <w:t>» : + « صلّى الله عليه وعلى أهل بيته المستحفظين وسلّم تسليماً »</w:t>
      </w:r>
      <w:r w:rsidR="008A74EB">
        <w:rPr>
          <w:rtl/>
        </w:rPr>
        <w:t>.</w:t>
      </w:r>
      <w:r w:rsidR="008A74EB" w:rsidRPr="00C9040A">
        <w:rPr>
          <w:rtl/>
        </w:rPr>
        <w:t xml:space="preserve"> وفي المحاسن : + « عبّاس بن عامر. وزاد فيه بعضهم : فأخذ الناس بأربع وتركوا هذه يعني الولاية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المحاسن</w:t>
      </w:r>
      <w:r w:rsidR="008A74EB" w:rsidRPr="00C9040A">
        <w:rPr>
          <w:rtl/>
        </w:rPr>
        <w:t xml:space="preserve"> ، ص 287 ، كتاب مصابيح الظلم ، ح 431 ، عن أبي إسحاق الثقفي ، عن محمّد بن مروان</w:t>
      </w:r>
      <w:r w:rsidR="0077555E">
        <w:rPr>
          <w:rFonts w:hint="cs"/>
          <w:rtl/>
        </w:rPr>
        <w:t>.</w:t>
      </w:r>
      <w:r w:rsidR="008A74EB" w:rsidRPr="00993B55">
        <w:rPr>
          <w:rStyle w:val="libFootnoteBoldChar"/>
          <w:rtl/>
        </w:rPr>
        <w:t>الوافي</w:t>
      </w:r>
      <w:r w:rsidR="008A74EB" w:rsidRPr="00C9040A">
        <w:rPr>
          <w:rtl/>
        </w:rPr>
        <w:t xml:space="preserve"> ، ج 3 ، ص 718 ، ح 1333 ؛ </w:t>
      </w:r>
      <w:r w:rsidR="008A74EB" w:rsidRPr="00993B55">
        <w:rPr>
          <w:rStyle w:val="libFootnoteBoldChar"/>
          <w:rtl/>
        </w:rPr>
        <w:t>الوسائل</w:t>
      </w:r>
      <w:r w:rsidR="008A74EB" w:rsidRPr="00C9040A">
        <w:rPr>
          <w:rtl/>
        </w:rPr>
        <w:t xml:space="preserve"> ، ج 1 ، ص 16 ، ح 8 ، إلى قوله : « وأسر المشركين وفداهم » ؛ </w:t>
      </w:r>
      <w:r w:rsidR="008A74EB" w:rsidRPr="00993B55">
        <w:rPr>
          <w:rStyle w:val="libFootnoteBoldChar"/>
          <w:rtl/>
        </w:rPr>
        <w:t>وفيه</w:t>
      </w:r>
      <w:r w:rsidR="008A74EB" w:rsidRPr="00C9040A">
        <w:rPr>
          <w:rtl/>
        </w:rPr>
        <w:t xml:space="preserve"> ، ج 3 ، ص 349 ، ح 3838 ؛ وج 5 ، ص 117 ، ح 6082 ، وفيهما إلى قوله : « الأرض مسجداً وطهوراً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الأحقاف (46) : 35.</w:t>
      </w:r>
    </w:p>
    <w:p w:rsidR="008A74EB" w:rsidRPr="00C9040A" w:rsidRDefault="006C577F" w:rsidP="004A4E41">
      <w:pPr>
        <w:pStyle w:val="libFootnote0"/>
        <w:rPr>
          <w:rtl/>
          <w:lang w:bidi="fa-IR"/>
        </w:rPr>
      </w:pPr>
      <w:r>
        <w:rPr>
          <w:rtl/>
        </w:rPr>
        <w:t>(4).</w:t>
      </w:r>
      <w:r w:rsidR="008A74EB" w:rsidRPr="00C9040A">
        <w:rPr>
          <w:rtl/>
        </w:rPr>
        <w:t xml:space="preserve"> في « ج » </w:t>
      </w:r>
      <w:r w:rsidR="008A74EB">
        <w:rPr>
          <w:rtl/>
        </w:rPr>
        <w:t xml:space="preserve">: </w:t>
      </w:r>
      <w:r w:rsidR="0084262C">
        <w:rPr>
          <w:rtl/>
        </w:rPr>
        <w:t>-</w:t>
      </w:r>
      <w:r w:rsidR="008A74EB" w:rsidRPr="00C9040A">
        <w:rPr>
          <w:rtl/>
        </w:rPr>
        <w:t xml:space="preserve"> « عليهم »</w:t>
      </w:r>
      <w:r w:rsidR="008A74EB">
        <w:rPr>
          <w:rtl/>
        </w:rPr>
        <w:t>.</w:t>
      </w:r>
      <w:r w:rsidR="008A74EB" w:rsidRPr="00C9040A">
        <w:rPr>
          <w:rtl/>
        </w:rPr>
        <w:t xml:space="preserve"> وفي « د ، بف » : « صلّى الله عليه وعليهم »</w:t>
      </w:r>
      <w:r w:rsidR="008A74EB">
        <w:rPr>
          <w:rtl/>
        </w:rPr>
        <w:t>.</w:t>
      </w:r>
      <w:r w:rsidR="008A74EB" w:rsidRPr="00C9040A">
        <w:rPr>
          <w:rtl/>
        </w:rPr>
        <w:t xml:space="preserve"> وفي « ف » : </w:t>
      </w:r>
      <w:r w:rsidR="008A74EB" w:rsidRPr="003369D7">
        <w:rPr>
          <w:rtl/>
        </w:rPr>
        <w:t xml:space="preserve">« </w:t>
      </w:r>
      <w:r w:rsidR="006D3162" w:rsidRPr="003369D7">
        <w:rPr>
          <w:rtl/>
        </w:rPr>
        <w:t>صلى‌</w:t>
      </w:r>
      <w:r w:rsidR="003369D7">
        <w:rPr>
          <w:rFonts w:hint="cs"/>
          <w:rtl/>
        </w:rPr>
        <w:t xml:space="preserve"> </w:t>
      </w:r>
      <w:r w:rsidR="006D3162" w:rsidRPr="003369D7">
        <w:rPr>
          <w:rtl/>
        </w:rPr>
        <w:t>الله‌</w:t>
      </w:r>
      <w:r w:rsidR="003369D7">
        <w:rPr>
          <w:rFonts w:hint="cs"/>
          <w:rtl/>
        </w:rPr>
        <w:t xml:space="preserve"> </w:t>
      </w:r>
      <w:r w:rsidR="006D3162" w:rsidRPr="003369D7">
        <w:rPr>
          <w:rtl/>
        </w:rPr>
        <w:t>عليه‌</w:t>
      </w:r>
      <w:r w:rsidR="003369D7">
        <w:rPr>
          <w:rFonts w:hint="cs"/>
          <w:rtl/>
        </w:rPr>
        <w:t xml:space="preserve"> </w:t>
      </w:r>
      <w:r w:rsidR="006D3162" w:rsidRPr="003369D7">
        <w:rPr>
          <w:rtl/>
        </w:rPr>
        <w:t>و</w:t>
      </w:r>
      <w:r w:rsidR="003369D7">
        <w:rPr>
          <w:rFonts w:hint="cs"/>
          <w:rtl/>
        </w:rPr>
        <w:t xml:space="preserve"> </w:t>
      </w:r>
      <w:r w:rsidR="006D3162" w:rsidRPr="003369D7">
        <w:rPr>
          <w:rtl/>
        </w:rPr>
        <w:t>آله</w:t>
      </w:r>
      <w:r w:rsidR="008A74EB" w:rsidRPr="003369D7">
        <w:rPr>
          <w:rtl/>
        </w:rPr>
        <w:t xml:space="preserve"> و</w:t>
      </w:r>
      <w:r w:rsidR="0037456C">
        <w:rPr>
          <w:rFonts w:hint="cs"/>
          <w:rtl/>
        </w:rPr>
        <w:t xml:space="preserve"> </w:t>
      </w:r>
      <w:r w:rsidR="008A74EB" w:rsidRPr="0077555E">
        <w:rPr>
          <w:rtl/>
        </w:rPr>
        <w:t>عليهم‌</w:t>
      </w:r>
      <w:r w:rsidR="003369D7">
        <w:rPr>
          <w:rFonts w:hint="cs"/>
          <w:rtl/>
        </w:rPr>
        <w:t xml:space="preserve"> </w:t>
      </w:r>
      <w:r w:rsidR="008A74EB" w:rsidRPr="0077555E">
        <w:rPr>
          <w:rtl/>
        </w:rPr>
        <w:t>السلام</w:t>
      </w:r>
      <w:r w:rsidR="008A74EB" w:rsidRPr="00C9040A">
        <w:rPr>
          <w:rtl/>
        </w:rPr>
        <w:t xml:space="preserve"> »</w:t>
      </w:r>
      <w:r w:rsidR="008A74EB">
        <w:rPr>
          <w:rtl/>
        </w:rPr>
        <w:t>.</w:t>
      </w:r>
      <w:r w:rsidR="008A74EB" w:rsidRPr="00C9040A">
        <w:rPr>
          <w:rtl/>
        </w:rPr>
        <w:t xml:space="preserve"> وفي « </w:t>
      </w:r>
      <w:r w:rsidR="006D3162">
        <w:rPr>
          <w:rtl/>
        </w:rPr>
        <w:t xml:space="preserve">ه </w:t>
      </w:r>
      <w:r w:rsidR="008A74EB" w:rsidRPr="00C9040A">
        <w:rPr>
          <w:rtl/>
        </w:rPr>
        <w:t xml:space="preserve">» : « </w:t>
      </w:r>
      <w:r w:rsidR="008A74EB" w:rsidRPr="0077555E">
        <w:rPr>
          <w:rtl/>
        </w:rPr>
        <w:t>عليهم</w:t>
      </w:r>
      <w:r w:rsidR="003369D7">
        <w:rPr>
          <w:rFonts w:hint="cs"/>
          <w:rtl/>
        </w:rPr>
        <w:t xml:space="preserve"> </w:t>
      </w:r>
      <w:r w:rsidR="008A74EB" w:rsidRPr="0077555E">
        <w:rPr>
          <w:rtl/>
        </w:rPr>
        <w:t>‌السلام</w:t>
      </w:r>
      <w:r w:rsidR="008A74EB" w:rsidRPr="00C9040A">
        <w:rPr>
          <w:rtl/>
        </w:rPr>
        <w:t xml:space="preserve"> أجمعين »</w:t>
      </w:r>
      <w:r w:rsidR="008A74EB">
        <w:rPr>
          <w:rtl/>
        </w:rPr>
        <w:t>.</w:t>
      </w:r>
      <w:r w:rsidR="008A74EB" w:rsidRPr="00C9040A">
        <w:rPr>
          <w:rtl/>
        </w:rPr>
        <w:t xml:space="preserve"> وفي المحاسن : + « وعلى جميع أنبيائه ورسله »</w:t>
      </w:r>
      <w:r w:rsidR="008A74EB">
        <w:rPr>
          <w:rtl/>
        </w:rPr>
        <w:t>.</w:t>
      </w:r>
    </w:p>
    <w:p w:rsidR="008A74EB" w:rsidRPr="004A4E41" w:rsidRDefault="006C577F" w:rsidP="004A4E41">
      <w:pPr>
        <w:pStyle w:val="libFootnote0"/>
        <w:rPr>
          <w:rStyle w:val="libFootnote0Char"/>
          <w:rtl/>
        </w:rPr>
      </w:pPr>
      <w:r>
        <w:rPr>
          <w:rtl/>
        </w:rPr>
        <w:t>(5).</w:t>
      </w:r>
      <w:r w:rsidR="008A74EB" w:rsidRPr="00C9040A">
        <w:rPr>
          <w:rtl/>
        </w:rPr>
        <w:t xml:space="preserve"> في « ب » : + « من الرسل »</w:t>
      </w:r>
      <w:r w:rsidR="008A74EB">
        <w:rPr>
          <w:rtl/>
        </w:rPr>
        <w:t>.</w:t>
      </w:r>
    </w:p>
    <w:tbl>
      <w:tblPr>
        <w:tblStyle w:val="TableGrid"/>
        <w:bidiVisual/>
        <w:tblW w:w="0" w:type="auto"/>
        <w:tblLook w:val="04A0" w:firstRow="1" w:lastRow="0" w:firstColumn="1" w:lastColumn="0" w:noHBand="0" w:noVBand="1"/>
      </w:tblPr>
      <w:tblGrid>
        <w:gridCol w:w="4006"/>
        <w:gridCol w:w="4006"/>
      </w:tblGrid>
      <w:tr w:rsidR="003369D7" w:rsidTr="003369D7">
        <w:tc>
          <w:tcPr>
            <w:tcW w:w="4006" w:type="dxa"/>
          </w:tcPr>
          <w:p w:rsidR="003369D7" w:rsidRDefault="003369D7" w:rsidP="004A4E41">
            <w:pPr>
              <w:pStyle w:val="libFootnote0"/>
              <w:rPr>
                <w:rtl/>
              </w:rPr>
            </w:pPr>
            <w:r>
              <w:rPr>
                <w:rtl/>
              </w:rPr>
              <w:t xml:space="preserve">(6). </w:t>
            </w:r>
            <w:r w:rsidRPr="00C9040A">
              <w:rPr>
                <w:rtl/>
              </w:rPr>
              <w:t>في المحاسن : « فكلّ »</w:t>
            </w:r>
            <w:r>
              <w:rPr>
                <w:rtl/>
              </w:rPr>
              <w:t>.</w:t>
            </w:r>
          </w:p>
        </w:tc>
        <w:tc>
          <w:tcPr>
            <w:tcW w:w="4006" w:type="dxa"/>
          </w:tcPr>
          <w:p w:rsidR="003369D7" w:rsidRDefault="003369D7" w:rsidP="004A4E41">
            <w:pPr>
              <w:pStyle w:val="libFootnote0"/>
              <w:rPr>
                <w:rtl/>
              </w:rPr>
            </w:pPr>
            <w:r>
              <w:rPr>
                <w:rtl/>
              </w:rPr>
              <w:t>(7).</w:t>
            </w:r>
            <w:r w:rsidRPr="00C9040A">
              <w:rPr>
                <w:rtl/>
              </w:rPr>
              <w:t xml:space="preserve"> في المحاسن : « بكتابه » بدل « بكتاب نوح »</w:t>
            </w:r>
            <w:r>
              <w:rPr>
                <w:rtl/>
              </w:rPr>
              <w:t>.</w:t>
            </w:r>
          </w:p>
        </w:tc>
      </w:tr>
      <w:tr w:rsidR="003369D7" w:rsidTr="003369D7">
        <w:tc>
          <w:tcPr>
            <w:tcW w:w="4006" w:type="dxa"/>
          </w:tcPr>
          <w:p w:rsidR="003369D7" w:rsidRDefault="003369D7" w:rsidP="004A4E41">
            <w:pPr>
              <w:pStyle w:val="libFootnote0"/>
              <w:rPr>
                <w:rtl/>
              </w:rPr>
            </w:pPr>
            <w:r>
              <w:rPr>
                <w:rtl/>
              </w:rPr>
              <w:t>(8).</w:t>
            </w:r>
            <w:r w:rsidRPr="00C9040A">
              <w:rPr>
                <w:rtl/>
              </w:rPr>
              <w:t xml:space="preserve"> في المحاسن : « وكلّ »</w:t>
            </w:r>
            <w:r>
              <w:rPr>
                <w:rtl/>
              </w:rPr>
              <w:t>.</w:t>
            </w:r>
          </w:p>
        </w:tc>
        <w:tc>
          <w:tcPr>
            <w:tcW w:w="4006" w:type="dxa"/>
          </w:tcPr>
          <w:p w:rsidR="003369D7" w:rsidRDefault="003369D7" w:rsidP="004A4E41">
            <w:pPr>
              <w:pStyle w:val="libFootnote0"/>
              <w:rPr>
                <w:rtl/>
              </w:rPr>
            </w:pPr>
            <w:r>
              <w:rPr>
                <w:rtl/>
              </w:rPr>
              <w:t>(9).</w:t>
            </w:r>
            <w:r w:rsidRPr="00C9040A">
              <w:rPr>
                <w:rtl/>
              </w:rPr>
              <w:t xml:space="preserve"> في « </w:t>
            </w:r>
            <w:r>
              <w:rPr>
                <w:rtl/>
              </w:rPr>
              <w:t xml:space="preserve">ه </w:t>
            </w:r>
            <w:r w:rsidRPr="00C9040A">
              <w:rPr>
                <w:rtl/>
              </w:rPr>
              <w:t>» : + « من »</w:t>
            </w:r>
            <w:r>
              <w:rPr>
                <w:rtl/>
              </w:rPr>
              <w:t>.</w:t>
            </w:r>
          </w:p>
        </w:tc>
      </w:tr>
    </w:tbl>
    <w:p w:rsidR="008A74EB" w:rsidRPr="00C9040A" w:rsidRDefault="006C577F" w:rsidP="004A4E41">
      <w:pPr>
        <w:pStyle w:val="libFootnote0"/>
        <w:rPr>
          <w:rtl/>
          <w:lang w:bidi="fa-IR"/>
        </w:rPr>
      </w:pPr>
      <w:r>
        <w:rPr>
          <w:rtl/>
        </w:rPr>
        <w:t>(10).</w:t>
      </w:r>
      <w:r w:rsidR="008A74EB" w:rsidRPr="00C9040A">
        <w:rPr>
          <w:rtl/>
        </w:rPr>
        <w:t xml:space="preserve"> في المحاسن : « جاء » بدل « أخذ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في « ب ، د ، ز ، ف ، </w:t>
      </w:r>
      <w:r w:rsidR="006D3162">
        <w:rPr>
          <w:rtl/>
        </w:rPr>
        <w:t xml:space="preserve">ه </w:t>
      </w:r>
      <w:r w:rsidR="008A74EB" w:rsidRPr="00C9040A">
        <w:rPr>
          <w:rtl/>
        </w:rPr>
        <w:t>، بر ، بس ، بف » والبحار والمحاسن : « فكلّ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B7A50">
      <w:pPr>
        <w:pStyle w:val="libNormal0"/>
        <w:rPr>
          <w:rtl/>
          <w:lang w:bidi="fa-IR"/>
        </w:rPr>
      </w:pPr>
      <w:r w:rsidRPr="00C9040A">
        <w:rPr>
          <w:rtl/>
          <w:lang w:bidi="fa-IR"/>
        </w:rPr>
        <w:lastRenderedPageBreak/>
        <w:t xml:space="preserve">مُوسى أَخَذَ بِالتَّوْرَاةِ وَشَرِيعَتِهِ </w:t>
      </w:r>
      <w:r w:rsidR="006C577F" w:rsidRPr="006C577F">
        <w:rPr>
          <w:rStyle w:val="libFootnotenumChar"/>
          <w:rtl/>
        </w:rPr>
        <w:t>(1)</w:t>
      </w:r>
      <w:r w:rsidRPr="00C9040A">
        <w:rPr>
          <w:rtl/>
          <w:lang w:bidi="fa-IR"/>
        </w:rPr>
        <w:t xml:space="preserve"> وَمِنْهَاجِهِ حَتّى جَاءَ الْمَسِيحُ </w:t>
      </w:r>
      <w:r w:rsidRPr="0003660B">
        <w:rPr>
          <w:rStyle w:val="libAlaemChar"/>
          <w:rtl/>
        </w:rPr>
        <w:t>عليه‌السلام</w:t>
      </w:r>
      <w:r w:rsidRPr="00C9040A">
        <w:rPr>
          <w:rtl/>
          <w:lang w:bidi="fa-IR"/>
        </w:rPr>
        <w:t xml:space="preserve"> بِالْإِنْجِيلِ وَبِعَزِيمَةِ تَرْكِ </w:t>
      </w:r>
      <w:r w:rsidR="006C577F" w:rsidRPr="006C577F">
        <w:rPr>
          <w:rStyle w:val="libFootnotenumChar"/>
          <w:rtl/>
        </w:rPr>
        <w:t>(2)</w:t>
      </w:r>
      <w:r w:rsidRPr="00C9040A">
        <w:rPr>
          <w:rtl/>
          <w:lang w:bidi="fa-IR"/>
        </w:rPr>
        <w:t xml:space="preserve"> شَرِيعَةِ مُوسى وَمِنْهَاجِهِ ، فَكُلُّ نَبِيٍّ جَاءَ بَعْدَ الْمَسِيحِ أَخَذَ بِشَرِيعَتِهِ وَمِنْهَاجِهِ </w:t>
      </w:r>
      <w:r w:rsidR="006C577F" w:rsidRPr="006C577F">
        <w:rPr>
          <w:rStyle w:val="libFootnotenumChar"/>
          <w:rtl/>
        </w:rPr>
        <w:t>(3)</w:t>
      </w:r>
      <w:r w:rsidRPr="00C9040A">
        <w:rPr>
          <w:rtl/>
          <w:lang w:bidi="fa-IR"/>
        </w:rPr>
        <w:t xml:space="preserve"> حَتّى جَاءَ مُحَمَّدٌ </w:t>
      </w:r>
      <w:r w:rsidR="004A4E41" w:rsidRPr="004A4E41">
        <w:rPr>
          <w:rStyle w:val="libAlaemChar"/>
          <w:rFonts w:eastAsiaTheme="minorHAnsi"/>
          <w:rtl/>
        </w:rPr>
        <w:t>صلى‌الله‌عليه‌وآله</w:t>
      </w:r>
      <w:r w:rsidR="008B7A50" w:rsidRPr="00C9040A">
        <w:rPr>
          <w:rtl/>
          <w:lang w:bidi="fa-IR"/>
        </w:rPr>
        <w:t xml:space="preserve"> </w:t>
      </w:r>
      <w:r w:rsidRPr="00C9040A">
        <w:rPr>
          <w:rtl/>
          <w:lang w:bidi="fa-IR"/>
        </w:rPr>
        <w:t xml:space="preserve">، فَجَاءَ </w:t>
      </w:r>
      <w:r w:rsidR="006C577F" w:rsidRPr="006C577F">
        <w:rPr>
          <w:rStyle w:val="libFootnotenumChar"/>
          <w:rtl/>
        </w:rPr>
        <w:t>(4)</w:t>
      </w:r>
      <w:r w:rsidRPr="00C9040A">
        <w:rPr>
          <w:rtl/>
          <w:lang w:bidi="fa-IR"/>
        </w:rPr>
        <w:t xml:space="preserve"> بِالْقُرْآنِ وَبِشَرِيعَتِهِ </w:t>
      </w:r>
      <w:r w:rsidR="006C577F" w:rsidRPr="006C577F">
        <w:rPr>
          <w:rStyle w:val="libFootnotenumChar"/>
          <w:rtl/>
        </w:rPr>
        <w:t>(5)</w:t>
      </w:r>
      <w:r w:rsidRPr="005B567D">
        <w:rPr>
          <w:rStyle w:val="libFootnotenumChar"/>
          <w:rtl/>
        </w:rPr>
        <w:t xml:space="preserve"> </w:t>
      </w:r>
      <w:r w:rsidRPr="00C9040A">
        <w:rPr>
          <w:rtl/>
          <w:lang w:bidi="fa-IR"/>
        </w:rPr>
        <w:t xml:space="preserve">وَمِنْهَاجِهِ ؛ فَحَلَالُهُ حَلَالٌ إِلى يَوْمِ الْقِيَامَةِ ، وَحَرَامُهُ حَرَامٌ إِلى يَوْمِ الْقِيَامَةِ ؛ فَهؤُلَاءِ أُولُو الْعَزْمِ مِنَ الرُّسُلِ </w:t>
      </w:r>
      <w:r w:rsidRPr="0003660B">
        <w:rPr>
          <w:rStyle w:val="libAlaemChar"/>
          <w:rtl/>
        </w:rPr>
        <w:t>عليهم‌السلام</w:t>
      </w:r>
      <w:r w:rsidRPr="00C9040A">
        <w:rPr>
          <w:rtl/>
          <w:lang w:bidi="fa-IR"/>
        </w:rPr>
        <w:t xml:space="preserve"> </w:t>
      </w:r>
      <w:r w:rsidR="006C577F" w:rsidRPr="006C577F">
        <w:rPr>
          <w:rStyle w:val="libFootnotenumChar"/>
          <w:rtl/>
        </w:rPr>
        <w:t>(6)</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Heading2Center"/>
        <w:rPr>
          <w:rtl/>
          <w:lang w:bidi="fa-IR"/>
        </w:rPr>
      </w:pPr>
      <w:bookmarkStart w:id="49" w:name="_Toc343795604"/>
      <w:bookmarkStart w:id="50" w:name="_Toc459810728"/>
      <w:bookmarkStart w:id="51" w:name="_Toc35348634"/>
      <w:r w:rsidRPr="00C9040A">
        <w:rPr>
          <w:rtl/>
          <w:lang w:bidi="fa-IR"/>
        </w:rPr>
        <w:t>13</w:t>
      </w:r>
      <w:r>
        <w:rPr>
          <w:rtl/>
          <w:lang w:bidi="fa-IR"/>
        </w:rPr>
        <w:t xml:space="preserve"> </w:t>
      </w:r>
      <w:r w:rsidR="0084262C">
        <w:rPr>
          <w:rtl/>
          <w:lang w:bidi="fa-IR"/>
        </w:rPr>
        <w:t>-</w:t>
      </w:r>
      <w:r>
        <w:rPr>
          <w:rtl/>
          <w:lang w:bidi="fa-IR"/>
        </w:rPr>
        <w:t xml:space="preserve"> </w:t>
      </w:r>
      <w:r w:rsidRPr="00C9040A">
        <w:rPr>
          <w:rtl/>
          <w:lang w:bidi="fa-IR"/>
        </w:rPr>
        <w:t>بَابُ دَعَائِمِ الْإِسْلَامِ‌</w:t>
      </w:r>
      <w:bookmarkEnd w:id="49"/>
      <w:bookmarkEnd w:id="50"/>
      <w:bookmarkEnd w:id="51"/>
    </w:p>
    <w:p w:rsidR="008A74EB" w:rsidRPr="00C9040A" w:rsidRDefault="008A74EB" w:rsidP="008A74EB">
      <w:pPr>
        <w:pStyle w:val="libNormal"/>
        <w:rPr>
          <w:rtl/>
          <w:lang w:bidi="fa-IR"/>
        </w:rPr>
      </w:pPr>
      <w:r w:rsidRPr="002C02A9">
        <w:rPr>
          <w:rtl/>
        </w:rPr>
        <w:t>1490</w:t>
      </w:r>
      <w:r w:rsidRPr="00261CB0">
        <w:rPr>
          <w:rStyle w:val="libBold2Char"/>
          <w:rtl/>
        </w:rPr>
        <w:t xml:space="preserve"> / 1.</w:t>
      </w:r>
      <w:r w:rsidRPr="00C9040A">
        <w:rPr>
          <w:rtl/>
          <w:lang w:bidi="fa-IR"/>
        </w:rPr>
        <w:t xml:space="preserve"> حَدَّثَنِي الْحُسَيْنُ بْنُ مُحَمَّدٍ الْأَشْعَرِيُّ ، عَنْ مُعَلَّى بْنِ مُحَمَّدٍ الزِّيَادِيِّ ، عَنِ الْحَسَنِ بْنِ عَلِيٍّ الْوَشَّاءِ ، قَالَ : حَدَّثَنَا أَبَانُ بْنُ عُثْمَانَ ، عَنِ الْفُضَيْلِ </w:t>
      </w:r>
      <w:r w:rsidR="006C577F" w:rsidRPr="006C577F">
        <w:rPr>
          <w:rStyle w:val="libFootnotenumChar"/>
          <w:rtl/>
        </w:rPr>
        <w:t>(8)</w:t>
      </w:r>
      <w:r w:rsidRPr="00C9040A">
        <w:rPr>
          <w:rtl/>
          <w:lang w:bidi="fa-IR"/>
        </w:rPr>
        <w:t xml:space="preserve"> ، عَنْ أَبِي حَمْزَةَ :</w:t>
      </w:r>
    </w:p>
    <w:p w:rsidR="008A74EB" w:rsidRPr="00C9040A" w:rsidRDefault="008A74EB" w:rsidP="008A74EB">
      <w:pPr>
        <w:pStyle w:val="libNormal"/>
        <w:rPr>
          <w:rtl/>
          <w:lang w:bidi="fa-IR"/>
        </w:rPr>
      </w:pPr>
      <w:r w:rsidRPr="00C9040A">
        <w:rPr>
          <w:rtl/>
          <w:lang w:bidi="fa-IR"/>
        </w:rPr>
        <w:t xml:space="preserve">عَنْ أَبِي جَعْفَرٍ </w:t>
      </w:r>
      <w:r w:rsidR="006C577F" w:rsidRPr="006C577F">
        <w:rPr>
          <w:rStyle w:val="libFootnotenumChar"/>
          <w:rtl/>
        </w:rPr>
        <w:t>(9)</w:t>
      </w:r>
      <w:r w:rsidRPr="00C9040A">
        <w:rPr>
          <w:rtl/>
          <w:lang w:bidi="fa-IR"/>
        </w:rPr>
        <w:t xml:space="preserve"> </w:t>
      </w:r>
      <w:r w:rsidRPr="0003660B">
        <w:rPr>
          <w:rStyle w:val="libAlaemChar"/>
          <w:rtl/>
        </w:rPr>
        <w:t>عليه‌السلام</w:t>
      </w:r>
      <w:r w:rsidRPr="00C9040A">
        <w:rPr>
          <w:rtl/>
          <w:lang w:bidi="fa-IR"/>
        </w:rPr>
        <w:t xml:space="preserve"> ، قَالَ : « بُنِيَ الْإِسْلَامُ عَلى خَمْسٍ : عَلَى الصَّلَاةِ ، وَالزَّكَاةِ ، وَالصَّوْمِ </w:t>
      </w:r>
      <w:r w:rsidR="006C577F" w:rsidRPr="006C577F">
        <w:rPr>
          <w:rStyle w:val="libFootnotenumChar"/>
          <w:rtl/>
        </w:rPr>
        <w:t>(10)</w:t>
      </w:r>
      <w:r w:rsidRPr="00C9040A">
        <w:rPr>
          <w:rtl/>
          <w:lang w:bidi="fa-IR"/>
        </w:rPr>
        <w:t xml:space="preserve"> ، وَالْحَجِّ ، وَالْوِلَايَةِ </w:t>
      </w:r>
      <w:r w:rsidR="006C577F" w:rsidRPr="006C577F">
        <w:rPr>
          <w:rStyle w:val="libFootnotenumChar"/>
          <w:rtl/>
        </w:rPr>
        <w:t>(11)</w:t>
      </w:r>
      <w:r w:rsidRPr="00C9040A">
        <w:rPr>
          <w:rtl/>
          <w:lang w:bidi="fa-IR"/>
        </w:rPr>
        <w:t xml:space="preserve"> ؛ وَلَمْ يُنَادَ بِشَيْ‌ءٍ‌</w:t>
      </w:r>
      <w:r w:rsidR="003369D7">
        <w:rPr>
          <w:rFonts w:hint="cs"/>
          <w:rtl/>
          <w:lang w:bidi="fa-IR"/>
        </w:rPr>
        <w:t>......................................</w:t>
      </w:r>
      <w:r w:rsidR="003369D7">
        <w:rPr>
          <w:rFonts w:hint="cs"/>
          <w:rtl/>
          <w:lang w:bidi="fa-IR"/>
        </w:rPr>
        <w:tab/>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0F3AFE" w:rsidTr="000F3AFE">
        <w:tc>
          <w:tcPr>
            <w:tcW w:w="4006" w:type="dxa"/>
          </w:tcPr>
          <w:p w:rsidR="000F3AFE" w:rsidRDefault="000F3AFE" w:rsidP="004A4E41">
            <w:pPr>
              <w:pStyle w:val="libFootnote0"/>
              <w:rPr>
                <w:rtl/>
              </w:rPr>
            </w:pPr>
            <w:r>
              <w:rPr>
                <w:rtl/>
              </w:rPr>
              <w:t xml:space="preserve">(1). </w:t>
            </w:r>
            <w:r w:rsidRPr="00C9040A">
              <w:rPr>
                <w:rtl/>
              </w:rPr>
              <w:t>في الوافي : « وبشريعة »</w:t>
            </w:r>
            <w:r>
              <w:rPr>
                <w:rtl/>
              </w:rPr>
              <w:t>.</w:t>
            </w:r>
          </w:p>
        </w:tc>
        <w:tc>
          <w:tcPr>
            <w:tcW w:w="4006" w:type="dxa"/>
          </w:tcPr>
          <w:p w:rsidR="000F3AFE" w:rsidRDefault="000F3AFE" w:rsidP="004A4E41">
            <w:pPr>
              <w:pStyle w:val="libFootnote0"/>
              <w:rPr>
                <w:rtl/>
              </w:rPr>
            </w:pPr>
            <w:r>
              <w:rPr>
                <w:rtl/>
              </w:rPr>
              <w:t>(2).</w:t>
            </w:r>
            <w:r w:rsidRPr="00C9040A">
              <w:rPr>
                <w:rtl/>
              </w:rPr>
              <w:t xml:space="preserve"> في « ف » : + « التوراة و</w:t>
            </w:r>
            <w:r>
              <w:rPr>
                <w:rFonts w:hint="cs"/>
                <w:rtl/>
              </w:rPr>
              <w:t xml:space="preserve"> </w:t>
            </w:r>
            <w:r w:rsidRPr="00C9040A">
              <w:rPr>
                <w:rtl/>
              </w:rPr>
              <w:t>»</w:t>
            </w:r>
            <w:r>
              <w:rPr>
                <w:rtl/>
              </w:rPr>
              <w:t>.</w:t>
            </w:r>
          </w:p>
        </w:tc>
      </w:tr>
    </w:tbl>
    <w:p w:rsidR="008A74EB" w:rsidRPr="004A4E41" w:rsidRDefault="006C577F" w:rsidP="004A4E41">
      <w:pPr>
        <w:pStyle w:val="libFootnote0"/>
        <w:rPr>
          <w:rStyle w:val="libFootnote0Char"/>
          <w:rtl/>
        </w:rPr>
      </w:pPr>
      <w:r>
        <w:rPr>
          <w:rtl/>
        </w:rPr>
        <w:t>(3).</w:t>
      </w:r>
      <w:r w:rsidR="008A74EB" w:rsidRPr="00C9040A">
        <w:rPr>
          <w:rtl/>
        </w:rPr>
        <w:t xml:space="preserve"> في المحاسن </w:t>
      </w:r>
      <w:r w:rsidR="008A74EB">
        <w:rPr>
          <w:rtl/>
        </w:rPr>
        <w:t xml:space="preserve">: </w:t>
      </w:r>
      <w:r w:rsidR="0084262C">
        <w:rPr>
          <w:rtl/>
        </w:rPr>
        <w:t>-</w:t>
      </w:r>
      <w:r w:rsidR="008A74EB" w:rsidRPr="00C9040A">
        <w:rPr>
          <w:rtl/>
        </w:rPr>
        <w:t xml:space="preserve"> « فكلّ نبيّ جاء بعد المسيح أخذ بشريعته ومنهاجه »</w:t>
      </w:r>
      <w:r w:rsidR="008A74EB">
        <w:rPr>
          <w:rtl/>
        </w:rPr>
        <w:t>.</w:t>
      </w:r>
    </w:p>
    <w:tbl>
      <w:tblPr>
        <w:tblStyle w:val="TableGrid"/>
        <w:bidiVisual/>
        <w:tblW w:w="0" w:type="auto"/>
        <w:tblLook w:val="04A0" w:firstRow="1" w:lastRow="0" w:firstColumn="1" w:lastColumn="0" w:noHBand="0" w:noVBand="1"/>
      </w:tblPr>
      <w:tblGrid>
        <w:gridCol w:w="4006"/>
        <w:gridCol w:w="4006"/>
      </w:tblGrid>
      <w:tr w:rsidR="004A7A89" w:rsidTr="004A7A89">
        <w:tc>
          <w:tcPr>
            <w:tcW w:w="4006" w:type="dxa"/>
          </w:tcPr>
          <w:p w:rsidR="004A7A89" w:rsidRDefault="004A7A89" w:rsidP="004A4E41">
            <w:pPr>
              <w:pStyle w:val="libFootnote0"/>
              <w:rPr>
                <w:rtl/>
                <w:lang w:bidi="fa-IR"/>
              </w:rPr>
            </w:pPr>
            <w:r>
              <w:rPr>
                <w:rtl/>
              </w:rPr>
              <w:t>(4).</w:t>
            </w:r>
            <w:r w:rsidRPr="00C9040A">
              <w:rPr>
                <w:rtl/>
              </w:rPr>
              <w:t xml:space="preserve"> في الوافي </w:t>
            </w:r>
            <w:r>
              <w:rPr>
                <w:rtl/>
              </w:rPr>
              <w:t>: -</w:t>
            </w:r>
            <w:r w:rsidRPr="00C9040A">
              <w:rPr>
                <w:rtl/>
              </w:rPr>
              <w:t xml:space="preserve"> « فجاء »</w:t>
            </w:r>
            <w:r>
              <w:rPr>
                <w:rtl/>
              </w:rPr>
              <w:t>.</w:t>
            </w:r>
          </w:p>
        </w:tc>
        <w:tc>
          <w:tcPr>
            <w:tcW w:w="4006" w:type="dxa"/>
          </w:tcPr>
          <w:p w:rsidR="004A7A89" w:rsidRDefault="004A7A89" w:rsidP="004A4E41">
            <w:pPr>
              <w:pStyle w:val="libFootnote0"/>
              <w:rPr>
                <w:rtl/>
                <w:lang w:bidi="fa-IR"/>
              </w:rPr>
            </w:pPr>
            <w:r>
              <w:rPr>
                <w:rtl/>
              </w:rPr>
              <w:t xml:space="preserve">(5). </w:t>
            </w:r>
            <w:r w:rsidRPr="00C9040A">
              <w:rPr>
                <w:rtl/>
              </w:rPr>
              <w:t xml:space="preserve">في « </w:t>
            </w:r>
            <w:r>
              <w:rPr>
                <w:rtl/>
              </w:rPr>
              <w:t xml:space="preserve">ه </w:t>
            </w:r>
            <w:r w:rsidRPr="00C9040A">
              <w:rPr>
                <w:rtl/>
              </w:rPr>
              <w:t>» والمحاسن : « وشريعته »</w:t>
            </w:r>
            <w:r>
              <w:rPr>
                <w:rtl/>
              </w:rPr>
              <w:t>.</w:t>
            </w:r>
          </w:p>
        </w:tc>
      </w:tr>
    </w:tbl>
    <w:p w:rsidR="008A74EB" w:rsidRPr="00C9040A" w:rsidRDefault="006C577F" w:rsidP="004A4E41">
      <w:pPr>
        <w:pStyle w:val="libFootnote0"/>
        <w:rPr>
          <w:rtl/>
          <w:lang w:bidi="fa-IR"/>
        </w:rPr>
      </w:pPr>
      <w:r>
        <w:rPr>
          <w:rtl/>
        </w:rPr>
        <w:t>(6).</w:t>
      </w:r>
      <w:r w:rsidR="008A74EB" w:rsidRPr="00C9040A">
        <w:rPr>
          <w:rtl/>
        </w:rPr>
        <w:t xml:space="preserve"> في البحار </w:t>
      </w:r>
      <w:r w:rsidR="008A74EB">
        <w:rPr>
          <w:rtl/>
        </w:rPr>
        <w:t xml:space="preserve">: </w:t>
      </w:r>
      <w:r w:rsidR="0084262C">
        <w:rPr>
          <w:rtl/>
        </w:rPr>
        <w:t>-</w:t>
      </w:r>
      <w:r w:rsidR="008A74EB" w:rsidRPr="00C9040A">
        <w:rPr>
          <w:rtl/>
        </w:rPr>
        <w:t xml:space="preserve"> « فهؤلاء ا</w:t>
      </w:r>
      <w:r w:rsidR="004C21DA">
        <w:rPr>
          <w:rFonts w:hint="cs"/>
          <w:rtl/>
        </w:rPr>
        <w:t>ُ</w:t>
      </w:r>
      <w:r w:rsidR="008A74EB" w:rsidRPr="00C9040A">
        <w:rPr>
          <w:rtl/>
        </w:rPr>
        <w:t xml:space="preserve">ولوالعزم من الرسل </w:t>
      </w:r>
      <w:r w:rsidR="00117575" w:rsidRPr="00117575">
        <w:rPr>
          <w:rStyle w:val="libFootnoteAlaemChar"/>
          <w:rtl/>
        </w:rPr>
        <w:t>عليهم‌السلام</w:t>
      </w:r>
      <w:r w:rsidR="008A74EB" w:rsidRPr="00C9040A">
        <w:rPr>
          <w:rtl/>
        </w:rPr>
        <w:t xml:space="preserve">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المحاسن</w:t>
      </w:r>
      <w:r w:rsidR="008A74EB" w:rsidRPr="00C9040A">
        <w:rPr>
          <w:rtl/>
        </w:rPr>
        <w:t xml:space="preserve"> ، ص 269 ، كتاب مصابيح الظلم ، ح 358 ، عن عثمان بن عيسى. </w:t>
      </w:r>
      <w:r w:rsidR="008A74EB" w:rsidRPr="00993B55">
        <w:rPr>
          <w:rStyle w:val="libFootnoteBoldChar"/>
          <w:rtl/>
        </w:rPr>
        <w:t>الكافي</w:t>
      </w:r>
      <w:r w:rsidR="008A74EB" w:rsidRPr="00C9040A">
        <w:rPr>
          <w:rtl/>
        </w:rPr>
        <w:t xml:space="preserve"> ، كتاب الحجّة ، باب طبقات الأنبياء والرسل والأئمّة </w:t>
      </w:r>
      <w:r w:rsidR="00117575" w:rsidRPr="00117575">
        <w:rPr>
          <w:rStyle w:val="libFootnoteAlaemChar"/>
          <w:rtl/>
        </w:rPr>
        <w:t>عليهم‌السلام</w:t>
      </w:r>
      <w:r w:rsidR="008A74EB" w:rsidRPr="00C9040A">
        <w:rPr>
          <w:rtl/>
        </w:rPr>
        <w:t xml:space="preserve"> ، ح 441 ، بسند آخر ؛ </w:t>
      </w:r>
      <w:r w:rsidR="008A74EB" w:rsidRPr="00993B55">
        <w:rPr>
          <w:rStyle w:val="libFootnoteBoldChar"/>
          <w:rtl/>
        </w:rPr>
        <w:t>الخصال</w:t>
      </w:r>
      <w:r w:rsidR="008A74EB" w:rsidRPr="00C9040A">
        <w:rPr>
          <w:rtl/>
        </w:rPr>
        <w:t xml:space="preserve"> ، ص 300 ، باب الخمسة ، ح 73 ، بسند آخر عن أبي جعفر </w:t>
      </w:r>
      <w:r w:rsidR="00117575" w:rsidRPr="00117575">
        <w:rPr>
          <w:rStyle w:val="libFootnoteAlaemChar"/>
          <w:rtl/>
        </w:rPr>
        <w:t xml:space="preserve">عليه‌السلام </w:t>
      </w:r>
      <w:r w:rsidR="008A74EB" w:rsidRPr="00C9040A">
        <w:rPr>
          <w:rtl/>
        </w:rPr>
        <w:t xml:space="preserve">، وفي الأخيرين إلى قوله : « وعيسى ومحمّد </w:t>
      </w:r>
      <w:r w:rsidR="004A4E41" w:rsidRPr="00B866D3">
        <w:rPr>
          <w:rStyle w:val="libFootnoteAlaemChar"/>
          <w:rtl/>
        </w:rPr>
        <w:t>صلى‌الله‌عليه‌وآله</w:t>
      </w:r>
      <w:r w:rsidR="008A74EB" w:rsidRPr="00C9040A">
        <w:rPr>
          <w:rtl/>
        </w:rPr>
        <w:t xml:space="preserve"> »</w:t>
      </w:r>
      <w:r w:rsidR="008A74EB">
        <w:rPr>
          <w:rtl/>
        </w:rPr>
        <w:t>.</w:t>
      </w:r>
      <w:r w:rsidR="008A74EB" w:rsidRPr="00C9040A">
        <w:rPr>
          <w:rtl/>
        </w:rPr>
        <w:t xml:space="preserve"> وفي </w:t>
      </w:r>
      <w:r w:rsidR="008A74EB" w:rsidRPr="00993B55">
        <w:rPr>
          <w:rStyle w:val="libFootnoteBoldChar"/>
          <w:rtl/>
        </w:rPr>
        <w:t>علل الشرائع</w:t>
      </w:r>
      <w:r w:rsidR="008A74EB" w:rsidRPr="00C9040A">
        <w:rPr>
          <w:rtl/>
        </w:rPr>
        <w:t xml:space="preserve"> ، ص 122 ، ح 2 ؛ </w:t>
      </w:r>
      <w:r w:rsidR="008A74EB" w:rsidRPr="00993B55">
        <w:rPr>
          <w:rStyle w:val="libFootnoteBoldChar"/>
          <w:rtl/>
        </w:rPr>
        <w:t>وعيون الأخبار</w:t>
      </w:r>
      <w:r w:rsidR="008A74EB" w:rsidRPr="00C9040A">
        <w:rPr>
          <w:rtl/>
        </w:rPr>
        <w:t xml:space="preserve"> ، ج 2 ، ص 80 ، ح 13 ، بسند آخر عن الرضا </w:t>
      </w:r>
      <w:r w:rsidR="00117575" w:rsidRPr="00117575">
        <w:rPr>
          <w:rStyle w:val="libFootnoteAlaemChar"/>
          <w:rtl/>
        </w:rPr>
        <w:t>عليه‌السلام</w:t>
      </w:r>
      <w:r w:rsidR="008A74EB" w:rsidRPr="00C9040A">
        <w:rPr>
          <w:rtl/>
        </w:rPr>
        <w:t xml:space="preserve"> </w:t>
      </w:r>
      <w:r w:rsidR="002F12EA">
        <w:rPr>
          <w:rtl/>
        </w:rPr>
        <w:t>، وفي كلّها ( إل</w:t>
      </w:r>
      <w:r w:rsidR="002F12EA">
        <w:rPr>
          <w:rFonts w:hint="cs"/>
          <w:rtl/>
        </w:rPr>
        <w:t>ّ</w:t>
      </w:r>
      <w:r w:rsidR="002F12EA">
        <w:rPr>
          <w:rtl/>
        </w:rPr>
        <w:t>ا</w:t>
      </w:r>
      <w:r w:rsidR="008A74EB" w:rsidRPr="00C9040A">
        <w:rPr>
          <w:rtl/>
        </w:rPr>
        <w:t xml:space="preserve"> المحاسن ) مع اختلاف يسير</w:t>
      </w:r>
      <w:r w:rsidR="002F12EA">
        <w:rPr>
          <w:rFonts w:hint="cs"/>
          <w:rtl/>
        </w:rPr>
        <w:t>.</w:t>
      </w:r>
      <w:r w:rsidR="008A74EB" w:rsidRPr="00993B55">
        <w:rPr>
          <w:rStyle w:val="libFootnoteBoldChar"/>
          <w:rtl/>
        </w:rPr>
        <w:t>الوافي</w:t>
      </w:r>
      <w:r w:rsidR="008A74EB" w:rsidRPr="00C9040A">
        <w:rPr>
          <w:rtl/>
        </w:rPr>
        <w:t xml:space="preserve"> ، ج 3 ، ص 719 ، ح 1334 ؛ </w:t>
      </w:r>
      <w:r w:rsidR="008A74EB" w:rsidRPr="00993B55">
        <w:rPr>
          <w:rStyle w:val="libFootnoteBoldChar"/>
          <w:rtl/>
        </w:rPr>
        <w:t>البحار</w:t>
      </w:r>
      <w:r w:rsidR="008A74EB" w:rsidRPr="00C9040A">
        <w:rPr>
          <w:rtl/>
        </w:rPr>
        <w:t xml:space="preserve"> ، ج 16 ، ص 353 ، ح 38.</w:t>
      </w:r>
    </w:p>
    <w:p w:rsidR="008A74EB" w:rsidRPr="00C9040A" w:rsidRDefault="006C577F" w:rsidP="004A4E41">
      <w:pPr>
        <w:pStyle w:val="libFootnote0"/>
        <w:rPr>
          <w:rtl/>
          <w:lang w:bidi="fa-IR"/>
        </w:rPr>
      </w:pPr>
      <w:r>
        <w:rPr>
          <w:rtl/>
        </w:rPr>
        <w:t>(8).</w:t>
      </w:r>
      <w:r w:rsidR="008A74EB" w:rsidRPr="00C9040A">
        <w:rPr>
          <w:rtl/>
        </w:rPr>
        <w:t xml:space="preserve"> هكذا في النسخ التي قوبلت. وفي المطبوع : « فضيل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ف » : « أبي عبد الله »</w:t>
      </w:r>
      <w:r w:rsidR="008A74EB">
        <w:rPr>
          <w:rtl/>
        </w:rPr>
        <w:t>.</w:t>
      </w:r>
      <w:r w:rsidR="008A74EB" w:rsidRPr="00C9040A">
        <w:rPr>
          <w:rtl/>
        </w:rPr>
        <w:t xml:space="preserve"> وهو سهو ؛ فقد ورد مضمون الخبر عن أبي حمزة ، عن أبي جعفر </w:t>
      </w:r>
      <w:r w:rsidR="00117575" w:rsidRPr="00117575">
        <w:rPr>
          <w:rStyle w:val="libFootnoteAlaemChar"/>
          <w:rtl/>
        </w:rPr>
        <w:t>عليه‌السلام</w:t>
      </w:r>
      <w:r w:rsidR="008A74EB" w:rsidRPr="00C9040A">
        <w:rPr>
          <w:rtl/>
        </w:rPr>
        <w:t xml:space="preserve"> في </w:t>
      </w:r>
      <w:r w:rsidR="008A74EB" w:rsidRPr="00993B55">
        <w:rPr>
          <w:rStyle w:val="libFootnoteBoldChar"/>
          <w:rtl/>
        </w:rPr>
        <w:t>المحاسن</w:t>
      </w:r>
      <w:r w:rsidR="008A74EB" w:rsidRPr="00C9040A">
        <w:rPr>
          <w:rtl/>
        </w:rPr>
        <w:t xml:space="preserve"> ، ص 286 ، ح 429 ؛ و</w:t>
      </w:r>
      <w:r w:rsidR="008A74EB" w:rsidRPr="00993B55">
        <w:rPr>
          <w:rStyle w:val="libFootnoteBoldChar"/>
          <w:rtl/>
        </w:rPr>
        <w:t>الخصال</w:t>
      </w:r>
      <w:r w:rsidR="008A74EB" w:rsidRPr="00C9040A">
        <w:rPr>
          <w:rtl/>
        </w:rPr>
        <w:t xml:space="preserve"> ، ص 277 ، ح 21 ؛ و</w:t>
      </w:r>
      <w:r w:rsidR="008A74EB" w:rsidRPr="0034021D">
        <w:rPr>
          <w:rStyle w:val="libFootnoteBoldChar"/>
          <w:rtl/>
        </w:rPr>
        <w:t>الأمالي للمفيد</w:t>
      </w:r>
      <w:r w:rsidR="008A74EB" w:rsidRPr="00C9040A">
        <w:rPr>
          <w:rtl/>
        </w:rPr>
        <w:t xml:space="preserve"> ، ص 353 ، ح 4 ؛ </w:t>
      </w:r>
      <w:r w:rsidR="008A74EB" w:rsidRPr="00AC2E2F">
        <w:rPr>
          <w:rStyle w:val="libFootnoteBoldChar"/>
          <w:rtl/>
        </w:rPr>
        <w:t>والأمالي للطوسي</w:t>
      </w:r>
      <w:r w:rsidR="008A74EB" w:rsidRPr="00C9040A">
        <w:rPr>
          <w:rtl/>
        </w:rPr>
        <w:t xml:space="preserve"> ، ص 124 ، ح 5.</w:t>
      </w:r>
    </w:p>
    <w:p w:rsidR="008A74EB" w:rsidRPr="00C9040A" w:rsidRDefault="008A74EB" w:rsidP="004A4E41">
      <w:pPr>
        <w:pStyle w:val="libFootnote0"/>
        <w:rPr>
          <w:rtl/>
          <w:lang w:bidi="fa-IR"/>
        </w:rPr>
      </w:pPr>
      <w:r w:rsidRPr="0082575F">
        <w:rPr>
          <w:rtl/>
        </w:rPr>
        <w:t>ثمّ اعلم أنّا لم نجد رواية الفضيل</w:t>
      </w:r>
      <w:r>
        <w:rPr>
          <w:rtl/>
        </w:rPr>
        <w:t xml:space="preserve"> </w:t>
      </w:r>
      <w:r w:rsidR="0084262C">
        <w:rPr>
          <w:rtl/>
        </w:rPr>
        <w:t>-</w:t>
      </w:r>
      <w:r>
        <w:rPr>
          <w:rtl/>
        </w:rPr>
        <w:t xml:space="preserve"> </w:t>
      </w:r>
      <w:r w:rsidRPr="0082575F">
        <w:rPr>
          <w:rtl/>
        </w:rPr>
        <w:t>وهو ابن يسار</w:t>
      </w:r>
      <w:r>
        <w:rPr>
          <w:rtl/>
        </w:rPr>
        <w:t xml:space="preserve"> </w:t>
      </w:r>
      <w:r w:rsidR="0084262C">
        <w:rPr>
          <w:rtl/>
        </w:rPr>
        <w:t>-</w:t>
      </w:r>
      <w:r>
        <w:rPr>
          <w:rtl/>
        </w:rPr>
        <w:t xml:space="preserve"> </w:t>
      </w:r>
      <w:r w:rsidRPr="0082575F">
        <w:rPr>
          <w:rtl/>
        </w:rPr>
        <w:t>عن أبي حمزة في غير هذا الخبر.</w:t>
      </w:r>
    </w:p>
    <w:p w:rsidR="008A74EB" w:rsidRPr="00C9040A" w:rsidRDefault="006C577F" w:rsidP="004A4E41">
      <w:pPr>
        <w:pStyle w:val="libFootnote0"/>
        <w:rPr>
          <w:rtl/>
          <w:lang w:bidi="fa-IR"/>
        </w:rPr>
      </w:pPr>
      <w:r>
        <w:rPr>
          <w:rtl/>
        </w:rPr>
        <w:t>(10).</w:t>
      </w:r>
      <w:r w:rsidR="008A74EB" w:rsidRPr="00C9040A">
        <w:rPr>
          <w:rtl/>
        </w:rPr>
        <w:t xml:space="preserve"> في « </w:t>
      </w:r>
      <w:r w:rsidR="006D3162">
        <w:rPr>
          <w:rtl/>
        </w:rPr>
        <w:t xml:space="preserve">ه </w:t>
      </w:r>
      <w:r w:rsidR="008A74EB" w:rsidRPr="00C9040A">
        <w:rPr>
          <w:rtl/>
        </w:rPr>
        <w:t>» : « الصيام »</w:t>
      </w:r>
      <w:r w:rsidR="008A74EB">
        <w:rPr>
          <w:rtl/>
        </w:rPr>
        <w:t>.</w:t>
      </w:r>
      <w:r w:rsidR="008A74EB" w:rsidRPr="00C9040A">
        <w:rPr>
          <w:rtl/>
        </w:rPr>
        <w:t xml:space="preserve"> وفي « بس » : « على الصلاة والصيام والزكاة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في </w:t>
      </w:r>
      <w:r w:rsidR="008A74EB" w:rsidRPr="00993B55">
        <w:rPr>
          <w:rStyle w:val="libFootnoteBoldChar"/>
          <w:rtl/>
        </w:rPr>
        <w:t>الوافي</w:t>
      </w:r>
      <w:r w:rsidR="008A74EB" w:rsidRPr="00C9040A">
        <w:rPr>
          <w:rtl/>
        </w:rPr>
        <w:t xml:space="preserve"> : « الوَلاية</w:t>
      </w:r>
      <w:r w:rsidR="008A74EB">
        <w:rPr>
          <w:rtl/>
        </w:rPr>
        <w:t xml:space="preserve"> </w:t>
      </w:r>
      <w:r w:rsidR="0084262C">
        <w:rPr>
          <w:rtl/>
        </w:rPr>
        <w:t>-</w:t>
      </w:r>
      <w:r w:rsidR="008A74EB">
        <w:rPr>
          <w:rtl/>
        </w:rPr>
        <w:t xml:space="preserve"> </w:t>
      </w:r>
      <w:r w:rsidR="008A74EB" w:rsidRPr="00C9040A">
        <w:rPr>
          <w:rtl/>
        </w:rPr>
        <w:t>بالفتح</w:t>
      </w:r>
      <w:r w:rsidR="008A74EB">
        <w:rPr>
          <w:rtl/>
        </w:rPr>
        <w:t xml:space="preserve"> </w:t>
      </w:r>
      <w:r w:rsidR="0084262C">
        <w:rPr>
          <w:rtl/>
        </w:rPr>
        <w:t>-</w:t>
      </w:r>
      <w:r w:rsidR="008A74EB">
        <w:rPr>
          <w:rtl/>
        </w:rPr>
        <w:t xml:space="preserve"> </w:t>
      </w:r>
      <w:r w:rsidR="008A74EB" w:rsidRPr="00C9040A">
        <w:rPr>
          <w:rtl/>
        </w:rPr>
        <w:t xml:space="preserve">بمعنى المحبّة والمودّة ، وهي المراد بها في الحديث الآتي ، ولهذا لم يكتف بها </w:t>
      </w:r>
      <w:r w:rsidR="002F12EA">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كَمَا </w:t>
      </w:r>
      <w:r w:rsidR="006C577F" w:rsidRPr="006C577F">
        <w:rPr>
          <w:rStyle w:val="libFootnotenumChar"/>
          <w:rtl/>
        </w:rPr>
        <w:t>(1)</w:t>
      </w:r>
      <w:r w:rsidRPr="00711AE8">
        <w:rPr>
          <w:rFonts w:hint="cs"/>
          <w:rtl/>
        </w:rPr>
        <w:t xml:space="preserve"> </w:t>
      </w:r>
      <w:r w:rsidRPr="00C9040A">
        <w:rPr>
          <w:rtl/>
          <w:lang w:bidi="fa-IR"/>
        </w:rPr>
        <w:t>نُودِيَ بِالْوِلَايَةِ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2C02A9">
        <w:rPr>
          <w:rtl/>
        </w:rPr>
        <w:t>1491</w:t>
      </w:r>
      <w:r w:rsidRPr="00261CB0">
        <w:rPr>
          <w:rStyle w:val="libBold2Char"/>
          <w:rtl/>
        </w:rPr>
        <w:t xml:space="preserve"> / 2.</w:t>
      </w:r>
      <w:r w:rsidRPr="00C9040A">
        <w:rPr>
          <w:rtl/>
          <w:lang w:bidi="fa-IR"/>
        </w:rPr>
        <w:t xml:space="preserve"> عَلِيُّ بْنُ إِبْرَاهِيمَ ، عَنْ مُحَمَّدِ بْنِ عِيسى </w:t>
      </w:r>
      <w:r w:rsidR="006C577F" w:rsidRPr="006C577F">
        <w:rPr>
          <w:rStyle w:val="libFootnotenumChar"/>
          <w:rtl/>
        </w:rPr>
        <w:t>(3)</w:t>
      </w:r>
      <w:r w:rsidRPr="00C9040A">
        <w:rPr>
          <w:rtl/>
          <w:lang w:bidi="fa-IR"/>
        </w:rPr>
        <w:t xml:space="preserve"> ، عَنْ يُونُسَ بْنِ عَبْدِ الرَّحْمنِ ، عَنْ عَجْلَانَ </w:t>
      </w:r>
      <w:r w:rsidR="006C577F" w:rsidRPr="006C577F">
        <w:rPr>
          <w:rStyle w:val="libFootnotenumChar"/>
          <w:rtl/>
        </w:rPr>
        <w:t>(4)</w:t>
      </w:r>
      <w:r w:rsidRPr="00C9040A">
        <w:rPr>
          <w:rtl/>
          <w:lang w:bidi="fa-IR"/>
        </w:rPr>
        <w:t xml:space="preserve"> أَبِي صَالِحٍ ، قَالَ :</w:t>
      </w:r>
    </w:p>
    <w:p w:rsidR="008A74EB" w:rsidRPr="00C9040A" w:rsidRDefault="008A74EB" w:rsidP="008A74EB">
      <w:pPr>
        <w:pStyle w:val="libNormal"/>
        <w:rPr>
          <w:rtl/>
          <w:lang w:bidi="fa-IR"/>
        </w:rPr>
      </w:pPr>
      <w:r w:rsidRPr="00C9040A">
        <w:rPr>
          <w:rtl/>
          <w:lang w:bidi="fa-IR"/>
        </w:rPr>
        <w:t xml:space="preserve">قُلْتُ لِأَبِي عَبْدِ اللهِ </w:t>
      </w:r>
      <w:r w:rsidRPr="0003660B">
        <w:rPr>
          <w:rStyle w:val="libAlaemChar"/>
          <w:rtl/>
        </w:rPr>
        <w:t>عليه‌السلام</w:t>
      </w:r>
      <w:r w:rsidRPr="00C9040A">
        <w:rPr>
          <w:rtl/>
          <w:lang w:bidi="fa-IR"/>
        </w:rPr>
        <w:t xml:space="preserve"> : أَوْقِفْنِي عَلى حُدُودِ الْإِيمَانِ </w:t>
      </w:r>
      <w:r w:rsidR="006C577F" w:rsidRPr="006C577F">
        <w:rPr>
          <w:rStyle w:val="libFootnotenumChar"/>
          <w:rtl/>
        </w:rPr>
        <w:t>(5)</w:t>
      </w:r>
    </w:p>
    <w:p w:rsidR="008A74EB" w:rsidRPr="00C9040A" w:rsidRDefault="008A74EB" w:rsidP="008A74EB">
      <w:pPr>
        <w:pStyle w:val="libNormal"/>
        <w:rPr>
          <w:rtl/>
          <w:lang w:bidi="fa-IR"/>
        </w:rPr>
      </w:pPr>
      <w:r w:rsidRPr="00C9040A">
        <w:rPr>
          <w:rtl/>
          <w:lang w:bidi="fa-IR"/>
        </w:rPr>
        <w:t xml:space="preserve">فَقَالَ </w:t>
      </w:r>
      <w:r w:rsidR="006C577F" w:rsidRPr="006C577F">
        <w:rPr>
          <w:rStyle w:val="libFootnotenumChar"/>
          <w:rtl/>
        </w:rPr>
        <w:t>(6)</w:t>
      </w:r>
      <w:r w:rsidRPr="005B567D">
        <w:rPr>
          <w:rStyle w:val="libFootnotenumChar"/>
          <w:rtl/>
        </w:rPr>
        <w:t xml:space="preserve"> </w:t>
      </w:r>
      <w:r w:rsidRPr="00C9040A">
        <w:rPr>
          <w:rtl/>
          <w:lang w:bidi="fa-IR"/>
        </w:rPr>
        <w:t>: « شَهَادَةُ أَنْ لَا</w:t>
      </w:r>
      <w:r>
        <w:rPr>
          <w:rFonts w:hint="cs"/>
          <w:rtl/>
          <w:lang w:bidi="fa-IR"/>
        </w:rPr>
        <w:t xml:space="preserve"> </w:t>
      </w:r>
      <w:r w:rsidR="002F12EA">
        <w:rPr>
          <w:rtl/>
          <w:lang w:bidi="fa-IR"/>
        </w:rPr>
        <w:t>إِلهَ إِل</w:t>
      </w:r>
      <w:r w:rsidR="002F12EA">
        <w:rPr>
          <w:rFonts w:hint="cs"/>
          <w:rtl/>
          <w:lang w:bidi="fa-IR"/>
        </w:rPr>
        <w:t>َّ</w:t>
      </w:r>
      <w:r w:rsidR="002F12EA">
        <w:rPr>
          <w:rtl/>
          <w:lang w:bidi="fa-IR"/>
        </w:rPr>
        <w:t>ا</w:t>
      </w:r>
      <w:r w:rsidRPr="00C9040A">
        <w:rPr>
          <w:rtl/>
          <w:lang w:bidi="fa-IR"/>
        </w:rPr>
        <w:t xml:space="preserve"> اللهُ ، وَأَنَّ مُحَمَّداً رَسُولُ اللهِ ، وَالْإِقْرَارُ بِمَا جَاءَ </w:t>
      </w:r>
      <w:r w:rsidR="006C577F" w:rsidRPr="006C577F">
        <w:rPr>
          <w:rStyle w:val="libFootnotenumChar"/>
          <w:rtl/>
        </w:rPr>
        <w:t>(7)</w:t>
      </w:r>
      <w:r w:rsidRPr="00C9040A">
        <w:rPr>
          <w:rtl/>
          <w:lang w:bidi="fa-IR"/>
        </w:rPr>
        <w:t xml:space="preserve"> بِهِ </w:t>
      </w:r>
      <w:r w:rsidR="006C577F" w:rsidRPr="006C577F">
        <w:rPr>
          <w:rStyle w:val="libFootnotenumChar"/>
          <w:rtl/>
        </w:rPr>
        <w:t>(8)</w:t>
      </w:r>
      <w:r w:rsidRPr="00C9040A">
        <w:rPr>
          <w:rtl/>
          <w:lang w:bidi="fa-IR"/>
        </w:rPr>
        <w:t xml:space="preserve"> مِنْ عِنْدِ اللهِ ، وَصَلَاةُ </w:t>
      </w:r>
      <w:r w:rsidR="006C577F" w:rsidRPr="006C577F">
        <w:rPr>
          <w:rStyle w:val="libFootnotenumChar"/>
          <w:rtl/>
        </w:rPr>
        <w:t>(9)</w:t>
      </w:r>
      <w:r w:rsidRPr="00C9040A">
        <w:rPr>
          <w:rtl/>
          <w:lang w:bidi="fa-IR"/>
        </w:rPr>
        <w:t xml:space="preserve"> الْخَمْسِ ، وَأَدَاءُ الزَّكَاةِ ، وَصَوْمُ شَهْرِ رَمَضَانَ ، وَحِجُّ الْبَيْتِ ، وَوَلَايَةُ وَلِيِّنَا ، وَعَدَاوَةُ عَدُوِّنَا ، وَالدُّخُولُ مَعَ الصَّادِقِينَ </w:t>
      </w:r>
      <w:r w:rsidR="006C577F" w:rsidRPr="006C577F">
        <w:rPr>
          <w:rStyle w:val="libFootnotenumChar"/>
          <w:rtl/>
        </w:rPr>
        <w:t>(10)</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(11)</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2F12EA" w:rsidP="004A4E41">
      <w:pPr>
        <w:pStyle w:val="libFootnote0"/>
        <w:rPr>
          <w:rtl/>
          <w:lang w:bidi="fa-IR"/>
        </w:rPr>
      </w:pPr>
      <w:r>
        <w:rPr>
          <w:rFonts w:hint="cs"/>
          <w:rtl/>
        </w:rPr>
        <w:t xml:space="preserve">= </w:t>
      </w:r>
      <w:r w:rsidR="008A74EB" w:rsidRPr="00C9040A">
        <w:rPr>
          <w:rtl/>
        </w:rPr>
        <w:t>حتّى أردفه بقوله : والدخول مع الصادقين. وبالكسر : تولّي الا</w:t>
      </w:r>
      <w:r>
        <w:rPr>
          <w:rFonts w:hint="cs"/>
          <w:rtl/>
        </w:rPr>
        <w:t>ُ</w:t>
      </w:r>
      <w:r w:rsidR="008A74EB" w:rsidRPr="00C9040A">
        <w:rPr>
          <w:rtl/>
        </w:rPr>
        <w:t>مور ومالكيّة التصرّف فيه ؛ وهو المراد بها هاهنا وفيما يأتي. والنداء بالولاية إشارة إلى حديث يوم الغدير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ج 7 ، ص 100 : « الوِلاية</w:t>
      </w:r>
      <w:r w:rsidR="008A74EB">
        <w:rPr>
          <w:rtl/>
        </w:rPr>
        <w:t xml:space="preserve"> </w:t>
      </w:r>
      <w:r w:rsidR="0084262C">
        <w:rPr>
          <w:rtl/>
        </w:rPr>
        <w:t>-</w:t>
      </w:r>
      <w:r w:rsidR="008A74EB">
        <w:rPr>
          <w:rtl/>
        </w:rPr>
        <w:t xml:space="preserve"> </w:t>
      </w:r>
      <w:r w:rsidR="008A74EB" w:rsidRPr="00C9040A">
        <w:rPr>
          <w:rtl/>
        </w:rPr>
        <w:t>بالكسر</w:t>
      </w:r>
      <w:r w:rsidR="008A74EB">
        <w:rPr>
          <w:rtl/>
        </w:rPr>
        <w:t xml:space="preserve"> </w:t>
      </w:r>
      <w:r w:rsidR="0084262C">
        <w:rPr>
          <w:rtl/>
        </w:rPr>
        <w:t>-</w:t>
      </w:r>
      <w:r w:rsidR="008A74EB">
        <w:rPr>
          <w:rtl/>
        </w:rPr>
        <w:t xml:space="preserve"> </w:t>
      </w:r>
      <w:r w:rsidR="008A74EB" w:rsidRPr="00C9040A">
        <w:rPr>
          <w:rtl/>
        </w:rPr>
        <w:t>الإمارة وكونه أولى بالحكم والتدبير ؛ وبالفتح : المحبّة والنصرة. وهنا يحتملهما »</w:t>
      </w:r>
      <w:r w:rsidR="008A74EB">
        <w:rPr>
          <w:rtl/>
        </w:rPr>
        <w:t>.</w:t>
      </w:r>
    </w:p>
    <w:p w:rsidR="008A74EB" w:rsidRPr="00C9040A" w:rsidRDefault="006C577F" w:rsidP="004A4E41">
      <w:pPr>
        <w:pStyle w:val="libFootnote0"/>
        <w:rPr>
          <w:rtl/>
          <w:lang w:bidi="fa-IR"/>
        </w:rPr>
      </w:pPr>
      <w:r>
        <w:rPr>
          <w:rtl/>
        </w:rPr>
        <w:t>(1).</w:t>
      </w:r>
      <w:r w:rsidR="008A74EB" w:rsidRPr="00C9040A">
        <w:rPr>
          <w:rtl/>
        </w:rPr>
        <w:t xml:space="preserve"> في « د ، ف » وحاشية « بر » والوسائل والمحاسن : « ما »</w:t>
      </w:r>
      <w:r w:rsidR="008A74EB">
        <w:rPr>
          <w:rtl/>
        </w:rPr>
        <w:t>.</w:t>
      </w:r>
      <w:r w:rsidR="008A74EB" w:rsidRPr="00C9040A">
        <w:rPr>
          <w:rtl/>
        </w:rPr>
        <w:t xml:space="preserve"> وفي حاشية « د » : « مثل ما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المحاسن</w:t>
      </w:r>
      <w:r w:rsidR="008A74EB" w:rsidRPr="00C9040A">
        <w:rPr>
          <w:rtl/>
        </w:rPr>
        <w:t xml:space="preserve"> ، ص 286 ، كتاب مصابيح الظلم ، صدر ح 429 ؛ </w:t>
      </w:r>
      <w:r w:rsidR="008A74EB" w:rsidRPr="00993B55">
        <w:rPr>
          <w:rStyle w:val="libFootnoteBoldChar"/>
          <w:rtl/>
        </w:rPr>
        <w:t>الخصال</w:t>
      </w:r>
      <w:r w:rsidR="008A74EB" w:rsidRPr="00C9040A">
        <w:rPr>
          <w:rtl/>
        </w:rPr>
        <w:t xml:space="preserve"> ، ص 277 ، باب الخمسة ، ح 21 ، وفيهما مع زيادة في آخره ؛ </w:t>
      </w:r>
      <w:r w:rsidR="008A74EB" w:rsidRPr="0034021D">
        <w:rPr>
          <w:rStyle w:val="libFootnoteBoldChar"/>
          <w:rtl/>
        </w:rPr>
        <w:t>الأمالي للمفيد</w:t>
      </w:r>
      <w:r w:rsidR="008A74EB" w:rsidRPr="00C9040A">
        <w:rPr>
          <w:rtl/>
        </w:rPr>
        <w:t xml:space="preserve"> ، ص 353 ، المجلس 42 ، ح 4 ؛ </w:t>
      </w:r>
      <w:r w:rsidR="008A74EB" w:rsidRPr="00993B55">
        <w:rPr>
          <w:rStyle w:val="libFootnoteBoldChar"/>
          <w:rtl/>
        </w:rPr>
        <w:t>الأمالي</w:t>
      </w:r>
      <w:r w:rsidR="008A74EB" w:rsidRPr="00C9040A">
        <w:rPr>
          <w:rtl/>
        </w:rPr>
        <w:t xml:space="preserve"> للطوسي ، ص 124 ، المجلس 5 ، ح 5 ، وفي الثلاثة الأخيرة إلى قوله : « والحجّ والولاية » وفي كلّها بسند آخر عن أبي حمزة الثمالي ، عن أبي جعفر </w:t>
      </w:r>
      <w:r w:rsidR="00117575" w:rsidRPr="00117575">
        <w:rPr>
          <w:rStyle w:val="libFootnoteAlaemChar"/>
          <w:rtl/>
        </w:rPr>
        <w:t xml:space="preserve">عليه‌السلام </w:t>
      </w:r>
      <w:r w:rsidR="008A74EB" w:rsidRPr="00C9040A">
        <w:rPr>
          <w:rtl/>
        </w:rPr>
        <w:t>، مع اختلاف يسير</w:t>
      </w:r>
      <w:r w:rsidR="00D50BA1">
        <w:rPr>
          <w:rFonts w:hint="cs"/>
          <w:rtl/>
        </w:rPr>
        <w:t>.</w:t>
      </w:r>
      <w:r w:rsidR="008A74EB" w:rsidRPr="00993B55">
        <w:rPr>
          <w:rStyle w:val="libFootnoteBoldChar"/>
          <w:rtl/>
        </w:rPr>
        <w:t>الوافي</w:t>
      </w:r>
      <w:r w:rsidR="008A74EB" w:rsidRPr="00C9040A">
        <w:rPr>
          <w:rtl/>
        </w:rPr>
        <w:t xml:space="preserve"> ، ج 4 ، ص 87 ، ح 1694 ؛ </w:t>
      </w:r>
      <w:r w:rsidR="008A74EB" w:rsidRPr="00993B55">
        <w:rPr>
          <w:rStyle w:val="libFootnoteBoldChar"/>
          <w:rtl/>
        </w:rPr>
        <w:t>الوسائل</w:t>
      </w:r>
      <w:r w:rsidR="008A74EB" w:rsidRPr="00C9040A">
        <w:rPr>
          <w:rtl/>
        </w:rPr>
        <w:t xml:space="preserve"> ، ج 1 ، ص 17 ، ح 10 ؛ </w:t>
      </w:r>
      <w:r w:rsidR="008A74EB" w:rsidRPr="00993B55">
        <w:rPr>
          <w:rStyle w:val="libFootnoteBoldChar"/>
          <w:rtl/>
        </w:rPr>
        <w:t>البحار</w:t>
      </w:r>
      <w:r w:rsidR="008A74EB" w:rsidRPr="00C9040A">
        <w:rPr>
          <w:rtl/>
        </w:rPr>
        <w:t xml:space="preserve"> ، ج 68 ، ص 329 ، ح 1.</w:t>
      </w:r>
      <w:r w:rsidR="00D50BA1">
        <w:rPr>
          <w:rFonts w:hint="cs"/>
          <w:rtl/>
        </w:rPr>
        <w:t xml:space="preserve">         </w:t>
      </w:r>
      <w:r>
        <w:rPr>
          <w:rtl/>
        </w:rPr>
        <w:t>(3).</w:t>
      </w:r>
      <w:r w:rsidR="008A74EB" w:rsidRPr="00C9040A">
        <w:rPr>
          <w:rtl/>
        </w:rPr>
        <w:t xml:space="preserve"> في « ب ، ص ، </w:t>
      </w:r>
      <w:r w:rsidR="006D3162">
        <w:rPr>
          <w:rtl/>
        </w:rPr>
        <w:t xml:space="preserve">ه </w:t>
      </w:r>
      <w:r w:rsidR="008A74EB" w:rsidRPr="00C9040A">
        <w:rPr>
          <w:rtl/>
        </w:rPr>
        <w:t>، بر » وحاشية « بف » : + « بن عبيد »</w:t>
      </w:r>
      <w:r w:rsidR="008A74EB">
        <w:rPr>
          <w:rtl/>
        </w:rPr>
        <w:t>.</w:t>
      </w:r>
    </w:p>
    <w:p w:rsidR="008A74EB" w:rsidRPr="004A4E41" w:rsidRDefault="006C577F" w:rsidP="004A4E41">
      <w:pPr>
        <w:pStyle w:val="libFootnote0"/>
        <w:rPr>
          <w:rStyle w:val="libFootnote0Char"/>
          <w:rtl/>
        </w:rPr>
      </w:pPr>
      <w:r>
        <w:rPr>
          <w:rtl/>
        </w:rPr>
        <w:t>(4).</w:t>
      </w:r>
      <w:r w:rsidR="008A74EB" w:rsidRPr="00C9040A">
        <w:rPr>
          <w:rtl/>
        </w:rPr>
        <w:t xml:space="preserve"> في « ب » وحاشية « ج ، و، بر » : + « بن »</w:t>
      </w:r>
      <w:r w:rsidR="008A74EB">
        <w:rPr>
          <w:rtl/>
        </w:rPr>
        <w:t>.</w:t>
      </w:r>
      <w:r w:rsidR="008A74EB" w:rsidRPr="00C9040A">
        <w:rPr>
          <w:rtl/>
        </w:rPr>
        <w:t xml:space="preserve"> وهو سهو ، كما يظهر من ملاحظة الأسناد وكتب الرجال ؛ فقد روى عجلان أبو صالح عن أبي عبد الله </w:t>
      </w:r>
      <w:r w:rsidR="00117575" w:rsidRPr="00117575">
        <w:rPr>
          <w:rStyle w:val="libFootnoteAlaemChar"/>
          <w:rtl/>
        </w:rPr>
        <w:t xml:space="preserve">عليه‌السلام </w:t>
      </w:r>
      <w:r w:rsidR="008A74EB" w:rsidRPr="00C9040A">
        <w:rPr>
          <w:rtl/>
        </w:rPr>
        <w:t xml:space="preserve"> في عددٍ من الأسناد ، وذكر البرقي والكشّي والشيخ الطوسي عجلان أبا صالح في أصحاب أبي عبد الله </w:t>
      </w:r>
      <w:r w:rsidR="00117575" w:rsidRPr="00117575">
        <w:rPr>
          <w:rStyle w:val="libFootnoteAlaemChar"/>
          <w:rtl/>
        </w:rPr>
        <w:t xml:space="preserve">عليه‌السلام </w:t>
      </w:r>
      <w:r w:rsidR="008A74EB" w:rsidRPr="00C9040A">
        <w:rPr>
          <w:rtl/>
        </w:rPr>
        <w:t xml:space="preserve">. راجع : </w:t>
      </w:r>
      <w:r w:rsidR="008A74EB" w:rsidRPr="00993B55">
        <w:rPr>
          <w:rStyle w:val="libFootnoteBoldChar"/>
          <w:rtl/>
        </w:rPr>
        <w:t>رجال البرقي</w:t>
      </w:r>
      <w:r w:rsidR="008A74EB" w:rsidRPr="00C9040A">
        <w:rPr>
          <w:rtl/>
        </w:rPr>
        <w:t xml:space="preserve"> ، ص 43 ؛ </w:t>
      </w:r>
      <w:r w:rsidR="008A74EB" w:rsidRPr="00993B55">
        <w:rPr>
          <w:rStyle w:val="libFootnoteBoldChar"/>
          <w:rtl/>
        </w:rPr>
        <w:t>رجال الكشّي</w:t>
      </w:r>
      <w:r w:rsidR="008A74EB" w:rsidRPr="00C9040A">
        <w:rPr>
          <w:rtl/>
        </w:rPr>
        <w:t xml:space="preserve"> ، ص 411 ، الرقم 772 ؛ </w:t>
      </w:r>
      <w:r w:rsidR="008A74EB" w:rsidRPr="00993B55">
        <w:rPr>
          <w:rStyle w:val="libFootnoteBoldChar"/>
          <w:rtl/>
        </w:rPr>
        <w:t>رجال الطوسي</w:t>
      </w:r>
      <w:r w:rsidR="008A74EB" w:rsidRPr="00C9040A">
        <w:rPr>
          <w:rtl/>
        </w:rPr>
        <w:t xml:space="preserve"> ، ص 262 ، الرقم 3751 ؛ وص 263 ، الرقم 3752 </w:t>
      </w:r>
      <w:r w:rsidR="008A74EB">
        <w:rPr>
          <w:rtl/>
        </w:rPr>
        <w:t>و 3</w:t>
      </w:r>
      <w:r w:rsidR="008A74EB" w:rsidRPr="00C9040A">
        <w:rPr>
          <w:rtl/>
        </w:rPr>
        <w:t xml:space="preserve">753 ؛ </w:t>
      </w:r>
      <w:r w:rsidR="008A74EB" w:rsidRPr="00993B55">
        <w:rPr>
          <w:rStyle w:val="libFootnoteBoldChar"/>
          <w:rtl/>
        </w:rPr>
        <w:t>معجم رجال الحديث</w:t>
      </w:r>
      <w:r w:rsidR="008A74EB" w:rsidRPr="00C9040A">
        <w:rPr>
          <w:rtl/>
        </w:rPr>
        <w:t xml:space="preserve"> ، ج 1 ، ص 132.</w:t>
      </w:r>
    </w:p>
    <w:tbl>
      <w:tblPr>
        <w:tblStyle w:val="TableGrid"/>
        <w:bidiVisual/>
        <w:tblW w:w="0" w:type="auto"/>
        <w:tblLook w:val="04A0" w:firstRow="1" w:lastRow="0" w:firstColumn="1" w:lastColumn="0" w:noHBand="0" w:noVBand="1"/>
      </w:tblPr>
      <w:tblGrid>
        <w:gridCol w:w="4006"/>
        <w:gridCol w:w="4006"/>
      </w:tblGrid>
      <w:tr w:rsidR="00D50BA1" w:rsidTr="00D50BA1">
        <w:tc>
          <w:tcPr>
            <w:tcW w:w="4006" w:type="dxa"/>
          </w:tcPr>
          <w:p w:rsidR="00D50BA1" w:rsidRDefault="00D50BA1" w:rsidP="004A4E41">
            <w:pPr>
              <w:pStyle w:val="libFootnote0"/>
              <w:rPr>
                <w:rtl/>
              </w:rPr>
            </w:pPr>
            <w:r>
              <w:rPr>
                <w:rtl/>
              </w:rPr>
              <w:t>(5).</w:t>
            </w:r>
            <w:r w:rsidRPr="00C9040A">
              <w:rPr>
                <w:rtl/>
              </w:rPr>
              <w:t xml:space="preserve"> في « ف » : « الإسلام »</w:t>
            </w:r>
            <w:r>
              <w:rPr>
                <w:rtl/>
              </w:rPr>
              <w:t>.</w:t>
            </w:r>
          </w:p>
        </w:tc>
        <w:tc>
          <w:tcPr>
            <w:tcW w:w="4006" w:type="dxa"/>
          </w:tcPr>
          <w:p w:rsidR="00D50BA1" w:rsidRDefault="00D50BA1" w:rsidP="004A4E41">
            <w:pPr>
              <w:pStyle w:val="libFootnote0"/>
              <w:rPr>
                <w:rtl/>
              </w:rPr>
            </w:pPr>
            <w:r>
              <w:rPr>
                <w:rtl/>
              </w:rPr>
              <w:t xml:space="preserve">(6). </w:t>
            </w:r>
            <w:r w:rsidRPr="00C9040A">
              <w:rPr>
                <w:rtl/>
              </w:rPr>
              <w:t xml:space="preserve">في « </w:t>
            </w:r>
            <w:r>
              <w:rPr>
                <w:rtl/>
              </w:rPr>
              <w:t xml:space="preserve">ه </w:t>
            </w:r>
            <w:r w:rsidRPr="00C9040A">
              <w:rPr>
                <w:rtl/>
              </w:rPr>
              <w:t>» : « قال »</w:t>
            </w:r>
            <w:r>
              <w:rPr>
                <w:rtl/>
              </w:rPr>
              <w:t>.</w:t>
            </w:r>
          </w:p>
        </w:tc>
      </w:tr>
      <w:tr w:rsidR="00D50BA1" w:rsidTr="00D50BA1">
        <w:tc>
          <w:tcPr>
            <w:tcW w:w="4006" w:type="dxa"/>
          </w:tcPr>
          <w:p w:rsidR="00D50BA1" w:rsidRDefault="00D50BA1" w:rsidP="004A4E41">
            <w:pPr>
              <w:pStyle w:val="libFootnote0"/>
              <w:rPr>
                <w:rtl/>
              </w:rPr>
            </w:pPr>
            <w:r>
              <w:rPr>
                <w:rtl/>
              </w:rPr>
              <w:t>(7).</w:t>
            </w:r>
            <w:r w:rsidRPr="00C9040A">
              <w:rPr>
                <w:rtl/>
              </w:rPr>
              <w:t xml:space="preserve"> في « بر ، بف » والوافي : « بجميع ما جاء »</w:t>
            </w:r>
            <w:r>
              <w:rPr>
                <w:rtl/>
              </w:rPr>
              <w:t>.</w:t>
            </w:r>
          </w:p>
        </w:tc>
        <w:tc>
          <w:tcPr>
            <w:tcW w:w="4006" w:type="dxa"/>
          </w:tcPr>
          <w:p w:rsidR="00D50BA1" w:rsidRDefault="00D50BA1" w:rsidP="004A4E41">
            <w:pPr>
              <w:pStyle w:val="libFootnote0"/>
              <w:rPr>
                <w:rtl/>
              </w:rPr>
            </w:pPr>
            <w:r>
              <w:rPr>
                <w:rtl/>
              </w:rPr>
              <w:t>(8). في«ف،ه،بر،بس،بف»والوسائل والبحار:-«به</w:t>
            </w:r>
            <w:r w:rsidRPr="00C9040A">
              <w:rPr>
                <w:rtl/>
              </w:rPr>
              <w:t>»</w:t>
            </w:r>
            <w:r>
              <w:rPr>
                <w:rtl/>
              </w:rPr>
              <w:t>.</w:t>
            </w:r>
          </w:p>
        </w:tc>
      </w:tr>
    </w:tbl>
    <w:p w:rsidR="008A74EB" w:rsidRPr="00C9040A" w:rsidRDefault="006C577F" w:rsidP="004A4E41">
      <w:pPr>
        <w:pStyle w:val="libFootnote0"/>
        <w:rPr>
          <w:rtl/>
          <w:lang w:bidi="fa-IR"/>
        </w:rPr>
      </w:pPr>
      <w:r>
        <w:rPr>
          <w:rtl/>
        </w:rPr>
        <w:t>(9).</w:t>
      </w:r>
      <w:r w:rsidR="008A74EB" w:rsidRPr="00C9040A">
        <w:rPr>
          <w:rtl/>
        </w:rPr>
        <w:t xml:space="preserve"> كذا في النسخ والمطبوع والوسائل والبحار ، وهو هنا</w:t>
      </w:r>
      <w:r w:rsidR="008A74EB">
        <w:rPr>
          <w:rtl/>
        </w:rPr>
        <w:t xml:space="preserve"> </w:t>
      </w:r>
      <w:r w:rsidR="0084262C">
        <w:rPr>
          <w:rtl/>
        </w:rPr>
        <w:t>-</w:t>
      </w:r>
      <w:r w:rsidR="008A74EB">
        <w:rPr>
          <w:rtl/>
        </w:rPr>
        <w:t xml:space="preserve"> </w:t>
      </w:r>
      <w:r w:rsidR="008A74EB" w:rsidRPr="00C9040A">
        <w:rPr>
          <w:rtl/>
        </w:rPr>
        <w:t>بقرينة السياق</w:t>
      </w:r>
      <w:r w:rsidR="008A74EB">
        <w:rPr>
          <w:rtl/>
        </w:rPr>
        <w:t xml:space="preserve"> </w:t>
      </w:r>
      <w:r w:rsidR="0084262C">
        <w:rPr>
          <w:rtl/>
        </w:rPr>
        <w:t>-</w:t>
      </w:r>
      <w:r w:rsidR="008A74EB">
        <w:rPr>
          <w:rtl/>
        </w:rPr>
        <w:t xml:space="preserve"> </w:t>
      </w:r>
      <w:r w:rsidR="008A74EB" w:rsidRPr="00C9040A">
        <w:rPr>
          <w:rtl/>
        </w:rPr>
        <w:t>مصدر ، وفي الوافي : « صلوات » وعليه‌فالأولى هو « الصلوات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w:t>
      </w:r>
      <w:r w:rsidR="008A74EB" w:rsidRPr="00993B55">
        <w:rPr>
          <w:rStyle w:val="libFootnoteBoldChar"/>
          <w:rtl/>
        </w:rPr>
        <w:t>الوافي</w:t>
      </w:r>
      <w:r w:rsidR="008A74EB" w:rsidRPr="00C9040A">
        <w:rPr>
          <w:rtl/>
        </w:rPr>
        <w:t xml:space="preserve"> : « لعلّ المراد بالدخول مع الصادقين متابعة أهل بيت العصمة والطهارة في أقوالهم وأفعالهم ، وهو ناظر إلى قوله سبحانه : </w:t>
      </w:r>
      <w:r w:rsidR="008A74EB" w:rsidRPr="00B866D3">
        <w:rPr>
          <w:rStyle w:val="libFootnoteAlaemChar"/>
          <w:rtl/>
        </w:rPr>
        <w:t>(</w:t>
      </w:r>
      <w:r w:rsidR="008A74EB" w:rsidRPr="00883DD5">
        <w:rPr>
          <w:rStyle w:val="libFootnoteAieChar"/>
          <w:rFonts w:hint="cs"/>
          <w:rtl/>
        </w:rPr>
        <w:t xml:space="preserve"> </w:t>
      </w:r>
      <w:r w:rsidR="008A74EB" w:rsidRPr="00883DD5">
        <w:rPr>
          <w:rStyle w:val="libFootnoteAieChar"/>
          <w:rtl/>
        </w:rPr>
        <w:t>يا أَيُّهَا الَّذِينَ آمَنُوا اتَّقُوا اللهَ وَكُونُوا مَعَ الصّادِقِينَ</w:t>
      </w:r>
      <w:r w:rsidR="008A74EB" w:rsidRPr="00883DD5">
        <w:rPr>
          <w:rStyle w:val="libFootnoteAieChar"/>
          <w:rFonts w:hint="cs"/>
          <w:rtl/>
        </w:rPr>
        <w:t xml:space="preserve"> </w:t>
      </w:r>
      <w:r w:rsidR="008A74EB" w:rsidRPr="00B866D3">
        <w:rPr>
          <w:rStyle w:val="libFootnoteAlaemChar"/>
          <w:rtl/>
        </w:rPr>
        <w:t>)</w:t>
      </w:r>
      <w:r w:rsidR="008A74EB" w:rsidRPr="00C9040A">
        <w:rPr>
          <w:rtl/>
        </w:rPr>
        <w:t xml:space="preserve"> [ التوبة </w:t>
      </w:r>
      <w:r w:rsidR="008B7A39">
        <w:rPr>
          <w:rtl/>
        </w:rPr>
        <w:t>(9)</w:t>
      </w:r>
      <w:r w:rsidR="008A74EB" w:rsidRPr="00C9040A">
        <w:rPr>
          <w:rtl/>
        </w:rPr>
        <w:t xml:space="preserve"> : 119 ]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w:t>
      </w:r>
      <w:r w:rsidR="008A74EB" w:rsidRPr="00993B55">
        <w:rPr>
          <w:rStyle w:val="libFootnoteBoldChar"/>
          <w:rtl/>
        </w:rPr>
        <w:t>المحاسن</w:t>
      </w:r>
      <w:r w:rsidR="008A74EB" w:rsidRPr="00C9040A">
        <w:rPr>
          <w:rtl/>
        </w:rPr>
        <w:t xml:space="preserve"> ، ص 13 ، كتاب القرائن ، ح 38 ؛ </w:t>
      </w:r>
      <w:r w:rsidR="008A74EB" w:rsidRPr="00993B55">
        <w:rPr>
          <w:rStyle w:val="libFootnoteBoldChar"/>
          <w:rtl/>
        </w:rPr>
        <w:t>ثواب الأعمال</w:t>
      </w:r>
      <w:r w:rsidR="008A74EB" w:rsidRPr="00C9040A">
        <w:rPr>
          <w:rtl/>
        </w:rPr>
        <w:t xml:space="preserve"> ، ص 30 ، ح 1 ؛ </w:t>
      </w:r>
      <w:r w:rsidR="008A74EB" w:rsidRPr="00993B55">
        <w:rPr>
          <w:rStyle w:val="libFootnoteBoldChar"/>
          <w:rtl/>
        </w:rPr>
        <w:t>الخصال</w:t>
      </w:r>
      <w:r w:rsidR="008A74EB" w:rsidRPr="00C9040A">
        <w:rPr>
          <w:rtl/>
        </w:rPr>
        <w:t xml:space="preserve"> ، ص 432 ، باب العشرة ، </w:t>
      </w:r>
      <w:r w:rsidR="008B7A39">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2C02A9">
        <w:rPr>
          <w:rtl/>
        </w:rPr>
        <w:lastRenderedPageBreak/>
        <w:t>1492</w:t>
      </w:r>
      <w:r w:rsidRPr="00261CB0">
        <w:rPr>
          <w:rStyle w:val="libBold2Char"/>
          <w:rtl/>
        </w:rPr>
        <w:t xml:space="preserve"> / 3.</w:t>
      </w:r>
      <w:r w:rsidRPr="00C9040A">
        <w:rPr>
          <w:rtl/>
          <w:lang w:bidi="fa-IR"/>
        </w:rPr>
        <w:t xml:space="preserve"> أَبُو عَلِيٍّ الْأَشْعَرِيُّ ، عَنِ الْحَسَنِ بْنِ عَلِيٍّ الْكُوفِيِّ ، عَنْ عَبَّاسِ بْنِ عَامِرٍ ، عَنْ أَبَانِ بْنِ عُثْمَانَ ، عَنِ الْفُضَيْلِ </w:t>
      </w:r>
      <w:r w:rsidR="006C577F" w:rsidRPr="006C577F">
        <w:rPr>
          <w:rStyle w:val="libFootnotenumChar"/>
          <w:rtl/>
        </w:rPr>
        <w:t>(1)</w:t>
      </w:r>
      <w:r w:rsidRPr="002712F0">
        <w:rPr>
          <w:rFonts w:hint="cs"/>
          <w:rtl/>
        </w:rPr>
        <w:t xml:space="preserve"> </w:t>
      </w:r>
      <w:r w:rsidRPr="00C9040A">
        <w:rPr>
          <w:rtl/>
          <w:lang w:bidi="fa-IR"/>
        </w:rPr>
        <w:t>بْنِ يَسَارٍ :</w:t>
      </w:r>
    </w:p>
    <w:p w:rsidR="008A74EB" w:rsidRPr="00C9040A" w:rsidRDefault="008A74EB" w:rsidP="00B404F5">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بُنِيَ الْإِسْلَامُ عَلى خَمْسٍ </w:t>
      </w:r>
      <w:r w:rsidR="006C577F" w:rsidRPr="006C577F">
        <w:rPr>
          <w:rStyle w:val="libFootnotenumChar"/>
          <w:rtl/>
        </w:rPr>
        <w:t>(2)</w:t>
      </w:r>
      <w:r w:rsidRPr="00C9040A">
        <w:rPr>
          <w:rtl/>
          <w:lang w:bidi="fa-IR"/>
        </w:rPr>
        <w:t xml:space="preserve"> : عَلَى الصَّلَاةِ ، وَالزَّكَاةِ ، وَالْحَجِّ ، وَالصَّوْمِ </w:t>
      </w:r>
      <w:r w:rsidR="006C577F" w:rsidRPr="006C577F">
        <w:rPr>
          <w:rStyle w:val="libFootnotenumChar"/>
          <w:rtl/>
        </w:rPr>
        <w:t>(3)</w:t>
      </w:r>
      <w:r w:rsidRPr="00C9040A">
        <w:rPr>
          <w:rtl/>
          <w:lang w:bidi="fa-IR"/>
        </w:rPr>
        <w:t xml:space="preserve"> ، وَالْوِلَايَةِ ؛ وَلَمْ يُنَادَ بِشَيْ‌ءٍ كَمَا نُودِيَ بِالْوِلَايَةِ ، فَأَخَذَ النَّاسُ بِأَرْبَعٍ وَتَرَكُوا هذِهِ » يَعْنِي الْوَلَايَةَ. </w:t>
      </w:r>
      <w:r w:rsidR="006C577F" w:rsidRPr="006C577F">
        <w:rPr>
          <w:rStyle w:val="libFootnotenumChar"/>
          <w:rtl/>
        </w:rPr>
        <w:t>(4)</w:t>
      </w:r>
    </w:p>
    <w:p w:rsidR="008A74EB" w:rsidRPr="00C9040A" w:rsidRDefault="008A74EB" w:rsidP="008A74EB">
      <w:pPr>
        <w:pStyle w:val="libNormal"/>
        <w:rPr>
          <w:rtl/>
          <w:lang w:bidi="fa-IR"/>
        </w:rPr>
      </w:pPr>
      <w:r w:rsidRPr="002C02A9">
        <w:rPr>
          <w:rtl/>
        </w:rPr>
        <w:t>1493</w:t>
      </w:r>
      <w:r w:rsidRPr="00261CB0">
        <w:rPr>
          <w:rStyle w:val="libBold2Char"/>
          <w:rtl/>
        </w:rPr>
        <w:t xml:space="preserve"> / 4.</w:t>
      </w:r>
      <w:r w:rsidRPr="00C9040A">
        <w:rPr>
          <w:rtl/>
          <w:lang w:bidi="fa-IR"/>
        </w:rPr>
        <w:t xml:space="preserve"> مُحَمَّدُ بْنُ يَحْيى ، عَنْ أَحْمَدَ بْنِ مُحَمَّدِ بْنِ عِيسى ، عَنِ الْحُسَيْنِ بْنِ سَعِيدٍ ، عَنِ ابْنِ </w:t>
      </w:r>
      <w:r w:rsidR="006C577F" w:rsidRPr="006C577F">
        <w:rPr>
          <w:rStyle w:val="libFootnotenumChar"/>
          <w:rtl/>
        </w:rPr>
        <w:t>(5)</w:t>
      </w:r>
      <w:r w:rsidRPr="00C9040A">
        <w:rPr>
          <w:rtl/>
          <w:lang w:bidi="fa-IR"/>
        </w:rPr>
        <w:t xml:space="preserve"> الْعَرْزَمِيِّ ، عَنْ أَبِيهِ :</w:t>
      </w:r>
    </w:p>
    <w:p w:rsidR="008A74EB" w:rsidRPr="00C9040A" w:rsidRDefault="008A74EB" w:rsidP="008A74EB">
      <w:pPr>
        <w:pStyle w:val="libNormal"/>
        <w:rPr>
          <w:rtl/>
          <w:lang w:bidi="fa-IR"/>
        </w:rPr>
      </w:pPr>
      <w:r w:rsidRPr="00C9040A">
        <w:rPr>
          <w:rtl/>
          <w:lang w:bidi="fa-IR"/>
        </w:rPr>
        <w:t xml:space="preserve">عَنِ الصَّادِقِ </w:t>
      </w:r>
      <w:r w:rsidRPr="0003660B">
        <w:rPr>
          <w:rStyle w:val="libAlaemChar"/>
          <w:rtl/>
        </w:rPr>
        <w:t>عليه‌السلام</w:t>
      </w:r>
      <w:r w:rsidRPr="00C9040A">
        <w:rPr>
          <w:rtl/>
          <w:lang w:bidi="fa-IR"/>
        </w:rPr>
        <w:t xml:space="preserve"> ، قَالَ </w:t>
      </w:r>
      <w:r w:rsidR="006C577F" w:rsidRPr="006C577F">
        <w:rPr>
          <w:rStyle w:val="libFootnotenumChar"/>
          <w:rtl/>
        </w:rPr>
        <w:t>(6)</w:t>
      </w:r>
      <w:r w:rsidRPr="00C9040A">
        <w:rPr>
          <w:rtl/>
          <w:lang w:bidi="fa-IR"/>
        </w:rPr>
        <w:t xml:space="preserve">: « أَثَافِيُّ </w:t>
      </w:r>
      <w:r w:rsidR="006C577F" w:rsidRPr="006C577F">
        <w:rPr>
          <w:rStyle w:val="libFootnotenumChar"/>
          <w:rtl/>
        </w:rPr>
        <w:t>(7)</w:t>
      </w:r>
      <w:r w:rsidRPr="00C9040A">
        <w:rPr>
          <w:rtl/>
          <w:lang w:bidi="fa-IR"/>
        </w:rPr>
        <w:t xml:space="preserve"> الْإِسْلَامِ ثَلَاثَةٌ : الصَّلَاةُ ، وَالزَّكَاةُ ، وَالْوِلَايَةُ ، لَاتَصِحُّ </w:t>
      </w:r>
      <w:r w:rsidR="006C577F" w:rsidRPr="006C577F">
        <w:rPr>
          <w:rStyle w:val="libFootnotenumChar"/>
          <w:rtl/>
        </w:rPr>
        <w:t>(8)</w:t>
      </w:r>
      <w:r w:rsidR="00B404F5">
        <w:rPr>
          <w:rtl/>
          <w:lang w:bidi="fa-IR"/>
        </w:rPr>
        <w:t xml:space="preserve"> وَاحِدَةٌ مِنْهُنَّ إِل</w:t>
      </w:r>
      <w:r w:rsidR="00B404F5">
        <w:rPr>
          <w:rFonts w:hint="cs"/>
          <w:rtl/>
          <w:lang w:bidi="fa-IR"/>
        </w:rPr>
        <w:t>َّ</w:t>
      </w:r>
      <w:r w:rsidR="00B404F5">
        <w:rPr>
          <w:rtl/>
          <w:lang w:bidi="fa-IR"/>
        </w:rPr>
        <w:t>ا</w:t>
      </w:r>
      <w:r w:rsidRPr="00C9040A">
        <w:rPr>
          <w:rtl/>
          <w:lang w:bidi="fa-IR"/>
        </w:rPr>
        <w:t xml:space="preserve"> بِصَاحِبَتَيْهَا </w:t>
      </w:r>
      <w:r w:rsidR="006C577F" w:rsidRPr="006C577F">
        <w:rPr>
          <w:rStyle w:val="libFootnotenumChar"/>
          <w:rtl/>
        </w:rPr>
        <w:t>(9)</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B404F5" w:rsidP="004A4E41">
      <w:pPr>
        <w:pStyle w:val="libFootnote0"/>
        <w:rPr>
          <w:rtl/>
          <w:lang w:bidi="fa-IR"/>
        </w:rPr>
      </w:pPr>
      <w:r>
        <w:rPr>
          <w:rFonts w:hint="cs"/>
          <w:rtl/>
        </w:rPr>
        <w:t xml:space="preserve">= </w:t>
      </w:r>
      <w:r w:rsidR="008A74EB" w:rsidRPr="00C9040A">
        <w:rPr>
          <w:rtl/>
        </w:rPr>
        <w:t xml:space="preserve">ح 15 ، وفي كلّها بسند آخر عن أبي جعفر </w:t>
      </w:r>
      <w:r w:rsidR="00117575" w:rsidRPr="00117575">
        <w:rPr>
          <w:rStyle w:val="libFootnoteAlaemChar"/>
          <w:rtl/>
        </w:rPr>
        <w:t>عليه‌السلام</w:t>
      </w:r>
      <w:r w:rsidR="008A74EB" w:rsidRPr="00C9040A">
        <w:rPr>
          <w:rtl/>
        </w:rPr>
        <w:t xml:space="preserve"> ؛ </w:t>
      </w:r>
      <w:r w:rsidR="008A74EB" w:rsidRPr="00993B55">
        <w:rPr>
          <w:rStyle w:val="libFootnoteBoldChar"/>
          <w:rtl/>
        </w:rPr>
        <w:t>وفيه</w:t>
      </w:r>
      <w:r w:rsidR="008A74EB" w:rsidRPr="00C9040A">
        <w:rPr>
          <w:rtl/>
        </w:rPr>
        <w:t xml:space="preserve"> ، ح 16 ، بسند آخر عن أبي عبد الله ، عن أبيه ، عن جدّه </w:t>
      </w:r>
      <w:r w:rsidR="00117575" w:rsidRPr="00117575">
        <w:rPr>
          <w:rStyle w:val="libFootnoteAlaemChar"/>
          <w:rtl/>
        </w:rPr>
        <w:t>عليهم‌السلام</w:t>
      </w:r>
      <w:r w:rsidR="008A74EB" w:rsidRPr="00C9040A">
        <w:rPr>
          <w:rtl/>
        </w:rPr>
        <w:t xml:space="preserve"> ، وفي كلّها مع اختلاف. </w:t>
      </w:r>
      <w:r w:rsidR="008A74EB" w:rsidRPr="00993B55">
        <w:rPr>
          <w:rStyle w:val="libFootnoteBoldChar"/>
          <w:rtl/>
        </w:rPr>
        <w:t>تفسير العيّاشي</w:t>
      </w:r>
      <w:r w:rsidR="008A74EB" w:rsidRPr="00C9040A">
        <w:rPr>
          <w:rtl/>
        </w:rPr>
        <w:t xml:space="preserve"> ، ج 2 ، ص 117 ، ح 157 ، عن هشام بن عجلان ، عن أبي عبد الله </w:t>
      </w:r>
      <w:r w:rsidR="00117575" w:rsidRPr="00117575">
        <w:rPr>
          <w:rStyle w:val="libFootnoteAlaemChar"/>
          <w:rtl/>
        </w:rPr>
        <w:t>عليه‌السلام</w:t>
      </w:r>
      <w:r w:rsidR="008A74EB" w:rsidRPr="00C9040A">
        <w:rPr>
          <w:rtl/>
        </w:rPr>
        <w:t xml:space="preserve"> ، مع اختلاف يسير. وراجع : </w:t>
      </w:r>
      <w:r w:rsidR="008A74EB" w:rsidRPr="00993B55">
        <w:rPr>
          <w:rStyle w:val="libFootnoteBoldChar"/>
          <w:rtl/>
        </w:rPr>
        <w:t>الكافي</w:t>
      </w:r>
      <w:r w:rsidR="008A74EB" w:rsidRPr="00C9040A">
        <w:rPr>
          <w:rtl/>
        </w:rPr>
        <w:t xml:space="preserve"> ، كتاب الإيمان والكفر ، باب في أنّ الإيمان مبثوث لجوارح البدن كلّها ، ح 1523</w:t>
      </w:r>
      <w:r w:rsidR="00496AEC">
        <w:rPr>
          <w:rFonts w:hint="cs"/>
          <w:rtl/>
        </w:rPr>
        <w:t>.</w:t>
      </w:r>
      <w:r w:rsidR="008A74EB" w:rsidRPr="00993B55">
        <w:rPr>
          <w:rStyle w:val="libFootnoteBoldChar"/>
          <w:rtl/>
        </w:rPr>
        <w:t>الوافي</w:t>
      </w:r>
      <w:r w:rsidR="008A74EB" w:rsidRPr="00C9040A">
        <w:rPr>
          <w:rtl/>
        </w:rPr>
        <w:t xml:space="preserve"> ، ج 4 ، ص 87 ، ح 1693 ؛ </w:t>
      </w:r>
      <w:r w:rsidR="008A74EB" w:rsidRPr="00993B55">
        <w:rPr>
          <w:rStyle w:val="libFootnoteBoldChar"/>
          <w:rtl/>
        </w:rPr>
        <w:t>الوسائل</w:t>
      </w:r>
      <w:r w:rsidR="008A74EB" w:rsidRPr="00C9040A">
        <w:rPr>
          <w:rtl/>
        </w:rPr>
        <w:t xml:space="preserve"> ، ج 1 ، ص 17 ، ح 9 ؛ </w:t>
      </w:r>
      <w:r w:rsidR="008A74EB" w:rsidRPr="00993B55">
        <w:rPr>
          <w:rStyle w:val="libFootnoteBoldChar"/>
          <w:rtl/>
        </w:rPr>
        <w:t>البحار</w:t>
      </w:r>
      <w:r w:rsidR="008A74EB" w:rsidRPr="00C9040A">
        <w:rPr>
          <w:rtl/>
        </w:rPr>
        <w:t xml:space="preserve"> ، ج 68 ، ص 330 ، ح 4.</w:t>
      </w:r>
    </w:p>
    <w:p w:rsidR="008A74EB" w:rsidRPr="00C9040A" w:rsidRDefault="006C577F" w:rsidP="004A4E41">
      <w:pPr>
        <w:pStyle w:val="libFootnote0"/>
        <w:rPr>
          <w:rtl/>
          <w:lang w:bidi="fa-IR"/>
        </w:rPr>
      </w:pPr>
      <w:r>
        <w:rPr>
          <w:rtl/>
        </w:rPr>
        <w:t>(1).</w:t>
      </w:r>
      <w:r w:rsidR="008A74EB" w:rsidRPr="00C9040A">
        <w:rPr>
          <w:rtl/>
        </w:rPr>
        <w:t xml:space="preserve"> هكذا في النسخ التي قوبلت والوافي والوسائل. وفي المطبوع : « فضيل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ف » : « الخمس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هكذا في النسخ التي قوبلت والوافي والوسائل. وفي المطبوع : « والصوم والحجّ »</w:t>
      </w:r>
      <w:r w:rsidR="008A74EB">
        <w:rPr>
          <w:rtl/>
        </w:rPr>
        <w:t>.</w:t>
      </w:r>
    </w:p>
    <w:p w:rsidR="00496AEC" w:rsidRDefault="006C577F" w:rsidP="004A4E41">
      <w:pPr>
        <w:pStyle w:val="libFootnote0"/>
        <w:rPr>
          <w:rtl/>
        </w:rPr>
      </w:pPr>
      <w:r>
        <w:rPr>
          <w:rtl/>
        </w:rPr>
        <w:t>(4).</w:t>
      </w:r>
      <w:r w:rsidR="008A74EB" w:rsidRPr="00C9040A">
        <w:rPr>
          <w:rtl/>
        </w:rPr>
        <w:t xml:space="preserve"> راجع : ح 1 من هذا الباب ومصادره</w:t>
      </w:r>
      <w:r w:rsidR="00496AEC">
        <w:rPr>
          <w:rFonts w:hint="cs"/>
          <w:rtl/>
        </w:rPr>
        <w:t>.</w:t>
      </w:r>
      <w:r w:rsidR="008A74EB" w:rsidRPr="00993B55">
        <w:rPr>
          <w:rStyle w:val="libFootnoteBoldChar"/>
          <w:rtl/>
        </w:rPr>
        <w:t>الوافي</w:t>
      </w:r>
      <w:r w:rsidR="008A74EB" w:rsidRPr="00C9040A">
        <w:rPr>
          <w:rtl/>
        </w:rPr>
        <w:t xml:space="preserve"> ، ج 4 ، ص 88 ، ح 1696 ؛ </w:t>
      </w:r>
      <w:r w:rsidR="008A74EB" w:rsidRPr="00993B55">
        <w:rPr>
          <w:rStyle w:val="libFootnoteBoldChar"/>
          <w:rtl/>
        </w:rPr>
        <w:t>الوسائل</w:t>
      </w:r>
      <w:r w:rsidR="008A74EB" w:rsidRPr="00C9040A">
        <w:rPr>
          <w:rtl/>
        </w:rPr>
        <w:t xml:space="preserve"> ، ج 1 ، ص 13 ، ح 1 ، إلى قوله : « والصوم والولاية » ؛ </w:t>
      </w:r>
      <w:r w:rsidR="008A74EB" w:rsidRPr="00993B55">
        <w:rPr>
          <w:rStyle w:val="libFootnoteBoldChar"/>
          <w:rtl/>
        </w:rPr>
        <w:t>البحار</w:t>
      </w:r>
      <w:r w:rsidR="008A74EB" w:rsidRPr="00C9040A">
        <w:rPr>
          <w:rtl/>
        </w:rPr>
        <w:t xml:space="preserve"> ، ج 68 ، ص 329 ، ح 2.</w:t>
      </w:r>
    </w:p>
    <w:p w:rsidR="008A74EB" w:rsidRPr="00C9040A" w:rsidRDefault="006C577F" w:rsidP="004A4E41">
      <w:pPr>
        <w:pStyle w:val="libFootnote0"/>
        <w:rPr>
          <w:rtl/>
          <w:lang w:bidi="fa-IR"/>
        </w:rPr>
      </w:pPr>
      <w:r>
        <w:rPr>
          <w:rtl/>
        </w:rPr>
        <w:t>(5).</w:t>
      </w:r>
      <w:r w:rsidR="00496AEC">
        <w:rPr>
          <w:rtl/>
        </w:rPr>
        <w:t xml:space="preserve"> في«ج،د،ز،بس،بف،جر»:</w:t>
      </w:r>
      <w:r w:rsidR="0084262C">
        <w:rPr>
          <w:rtl/>
        </w:rPr>
        <w:t>-</w:t>
      </w:r>
      <w:r w:rsidR="00496AEC">
        <w:rPr>
          <w:rtl/>
        </w:rPr>
        <w:t>«ابن</w:t>
      </w:r>
      <w:r w:rsidR="008A74EB" w:rsidRPr="00C9040A">
        <w:rPr>
          <w:rtl/>
        </w:rPr>
        <w:t>»</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هكذا في « ص ، بر ، بس ، بف » والوافي والوسائل والبحار. وفي سائر النسخ والمطبوع : + « قال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 الا</w:t>
      </w:r>
      <w:r w:rsidR="00496AEC">
        <w:rPr>
          <w:rFonts w:hint="cs"/>
          <w:rtl/>
        </w:rPr>
        <w:t>ُ</w:t>
      </w:r>
      <w:r w:rsidR="008A74EB" w:rsidRPr="00C9040A">
        <w:rPr>
          <w:rtl/>
        </w:rPr>
        <w:t xml:space="preserve">ثْفيّة » بالضمّ ويكسر : الحجر يوضع عليه القِدْر ، وجمعها : أثافيّ ، ويخفّف. والتشبيه بالأثافي للتنبيه على أنّ الإسلام لا يستقيم ولا يثبت بدونها كالقدر بدون الأثافي. راجع : </w:t>
      </w:r>
      <w:r w:rsidR="008A74EB" w:rsidRPr="00993B55">
        <w:rPr>
          <w:rStyle w:val="libFootnoteBoldChar"/>
          <w:rtl/>
        </w:rPr>
        <w:t>شرح المازندراني</w:t>
      </w:r>
      <w:r w:rsidR="008A74EB" w:rsidRPr="00C9040A">
        <w:rPr>
          <w:rtl/>
        </w:rPr>
        <w:t xml:space="preserve"> ، ج 8 ، ص 59 ؛ </w:t>
      </w:r>
      <w:r w:rsidR="008A74EB" w:rsidRPr="00993B55">
        <w:rPr>
          <w:rStyle w:val="libFootnoteBoldChar"/>
          <w:rtl/>
        </w:rPr>
        <w:t>القاموس المحيط</w:t>
      </w:r>
      <w:r w:rsidR="008A74EB" w:rsidRPr="00C9040A">
        <w:rPr>
          <w:rtl/>
        </w:rPr>
        <w:t xml:space="preserve"> ، ج 2 ، ص 1056 ( أثف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 ب » : « ولا تصحّ »</w:t>
      </w:r>
      <w:r w:rsidR="008A74EB">
        <w:rPr>
          <w:rtl/>
        </w:rPr>
        <w:t>.</w:t>
      </w:r>
      <w:r w:rsidR="008A74EB" w:rsidRPr="00C9040A">
        <w:rPr>
          <w:rtl/>
        </w:rPr>
        <w:t xml:space="preserve"> وفي « ز » : « لا يصحّ »</w:t>
      </w:r>
      <w:r w:rsidR="008A74EB">
        <w:rPr>
          <w:rtl/>
        </w:rPr>
        <w:t>.</w:t>
      </w:r>
      <w:r w:rsidR="008A74EB" w:rsidRPr="00C9040A">
        <w:rPr>
          <w:rtl/>
        </w:rPr>
        <w:t xml:space="preserve"> وفي « ص ، ف » : « لا تصلح »</w:t>
      </w:r>
      <w:r w:rsidR="008A74EB">
        <w:rPr>
          <w:rtl/>
        </w:rPr>
        <w:t>.</w:t>
      </w:r>
      <w:r w:rsidR="008A74EB" w:rsidRPr="00C9040A">
        <w:rPr>
          <w:rtl/>
        </w:rPr>
        <w:t xml:space="preserve"> وفي « </w:t>
      </w:r>
      <w:r w:rsidR="006D3162">
        <w:rPr>
          <w:rtl/>
        </w:rPr>
        <w:t xml:space="preserve">ه </w:t>
      </w:r>
      <w:r w:rsidR="008A74EB" w:rsidRPr="00C9040A">
        <w:rPr>
          <w:rtl/>
        </w:rPr>
        <w:t>، بر ، بف » وحاشية « بس » : « لا يصلح »</w:t>
      </w:r>
      <w:r w:rsidR="008A74EB">
        <w:rPr>
          <w:rtl/>
        </w:rPr>
        <w:t>.</w:t>
      </w:r>
      <w:r w:rsidR="008A74EB" w:rsidRPr="00C9040A">
        <w:rPr>
          <w:rtl/>
        </w:rPr>
        <w:t xml:space="preserve"> وفي الوافي : « لا ( تصحّ</w:t>
      </w:r>
      <w:r w:rsidR="008A74EB">
        <w:rPr>
          <w:rtl/>
        </w:rPr>
        <w:t xml:space="preserve"> </w:t>
      </w:r>
      <w:r w:rsidR="0084262C">
        <w:rPr>
          <w:rtl/>
        </w:rPr>
        <w:t>-</w:t>
      </w:r>
      <w:r w:rsidR="008A74EB">
        <w:rPr>
          <w:rtl/>
        </w:rPr>
        <w:t xml:space="preserve"> </w:t>
      </w:r>
      <w:r w:rsidR="008A74EB" w:rsidRPr="00C9040A">
        <w:rPr>
          <w:rtl/>
        </w:rPr>
        <w:t>خ ل ) تصلح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ب ، ف » : « بصاحبها »</w:t>
      </w:r>
      <w:r w:rsidR="008A74EB">
        <w:rPr>
          <w:rtl/>
        </w:rPr>
        <w:t>.</w:t>
      </w:r>
      <w:r w:rsidR="008A74EB" w:rsidRPr="00C9040A">
        <w:rPr>
          <w:rtl/>
        </w:rPr>
        <w:t xml:space="preserve"> وفي « ج ، ص ، </w:t>
      </w:r>
      <w:r w:rsidR="006D3162">
        <w:rPr>
          <w:rtl/>
        </w:rPr>
        <w:t xml:space="preserve">ه </w:t>
      </w:r>
      <w:r w:rsidR="008A74EB" w:rsidRPr="00C9040A">
        <w:rPr>
          <w:rtl/>
        </w:rPr>
        <w:t>» : « بصاحبيها »</w:t>
      </w:r>
      <w:r w:rsidR="008A74EB">
        <w:rPr>
          <w:rtl/>
        </w:rPr>
        <w:t>.</w:t>
      </w:r>
      <w:r w:rsidR="008A74EB" w:rsidRPr="00C9040A">
        <w:rPr>
          <w:rtl/>
        </w:rPr>
        <w:t xml:space="preserve"> وفي « د ، بس » والوسائل : « بصاحبتها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w:t>
      </w:r>
      <w:r w:rsidR="008A74EB" w:rsidRPr="00993B55">
        <w:rPr>
          <w:rStyle w:val="libFootnoteBoldChar"/>
          <w:rtl/>
        </w:rPr>
        <w:t>المحاسن</w:t>
      </w:r>
      <w:r w:rsidR="008A74EB" w:rsidRPr="00C9040A">
        <w:rPr>
          <w:rtl/>
        </w:rPr>
        <w:t xml:space="preserve"> ، ص 286 ، كتاب مصابيح الظلم ، ح 428 ، بسند آخر عن عليّ </w:t>
      </w:r>
      <w:r w:rsidR="00117575" w:rsidRPr="00117575">
        <w:rPr>
          <w:rStyle w:val="libFootnoteAlaemChar"/>
          <w:rtl/>
        </w:rPr>
        <w:t>عليه‌السلام</w:t>
      </w:r>
      <w:r w:rsidR="008A74EB" w:rsidRPr="00C9040A">
        <w:rPr>
          <w:rtl/>
        </w:rPr>
        <w:t xml:space="preserve"> ، مع اختلاف يسير</w:t>
      </w:r>
      <w:r w:rsidR="00496AEC">
        <w:rPr>
          <w:rFonts w:hint="cs"/>
          <w:rtl/>
        </w:rPr>
        <w:t>.</w:t>
      </w:r>
      <w:r w:rsidR="008A74EB" w:rsidRPr="00993B55">
        <w:rPr>
          <w:rStyle w:val="libFootnoteBoldChar"/>
          <w:rtl/>
        </w:rPr>
        <w:t>الوافي</w:t>
      </w:r>
      <w:r w:rsidR="008A74EB" w:rsidRPr="00C9040A">
        <w:rPr>
          <w:rtl/>
        </w:rPr>
        <w:t xml:space="preserve"> ، </w:t>
      </w:r>
      <w:r w:rsidR="00496AEC">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5D70E9">
        <w:rPr>
          <w:rtl/>
        </w:rPr>
        <w:lastRenderedPageBreak/>
        <w:t>1494</w:t>
      </w:r>
      <w:r w:rsidRPr="00261CB0">
        <w:rPr>
          <w:rStyle w:val="libBold2Char"/>
          <w:rtl/>
        </w:rPr>
        <w:t xml:space="preserve"> / 5.</w:t>
      </w:r>
      <w:r w:rsidRPr="00C9040A">
        <w:rPr>
          <w:rtl/>
          <w:lang w:bidi="fa-IR"/>
        </w:rPr>
        <w:t xml:space="preserve"> عَلِيُّ بْنُ إِبْرَاهِيمَ ، عَنْ أَبِيهِ وَعَبْدِ اللهِ بْنِ الصَّلْتِ جَمِيعاً ، عَنْ حَمَّادِ بْنِ عِيسى ، عَنْ حَرِيزِ بْنِ عَبْدِ اللهِ ، عَنْ زُرَارَةَ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بُنِيَ الْإِسْلَامُ عَلى خَمْسَةِ أَشْيَاءَ : عَلَى الصَّلَاةِ ، وَالزَّكَاةِ ، وَالْحَجِّ ، وَالصَّوْمِ </w:t>
      </w:r>
      <w:r w:rsidR="006C577F" w:rsidRPr="006C577F">
        <w:rPr>
          <w:rStyle w:val="libFootnotenumChar"/>
          <w:rtl/>
        </w:rPr>
        <w:t>(1)</w:t>
      </w:r>
      <w:r w:rsidRPr="00C9040A">
        <w:rPr>
          <w:rtl/>
          <w:lang w:bidi="fa-IR"/>
        </w:rPr>
        <w:t>، وَالْوَلَايَةِ »</w:t>
      </w:r>
      <w:r>
        <w:rPr>
          <w:rtl/>
          <w:lang w:bidi="fa-IR"/>
        </w:rPr>
        <w:t>.</w:t>
      </w:r>
    </w:p>
    <w:p w:rsidR="008A74EB" w:rsidRPr="00C9040A" w:rsidRDefault="008A74EB" w:rsidP="008A74EB">
      <w:pPr>
        <w:pStyle w:val="libNormal"/>
        <w:rPr>
          <w:rtl/>
          <w:lang w:bidi="fa-IR"/>
        </w:rPr>
      </w:pPr>
      <w:r w:rsidRPr="00C9040A">
        <w:rPr>
          <w:rtl/>
          <w:lang w:bidi="fa-IR"/>
        </w:rPr>
        <w:t xml:space="preserve">قَالَ زُرَارَةُ : فَقُلْتُ : وَأَيُّ </w:t>
      </w:r>
      <w:r w:rsidR="006C577F" w:rsidRPr="006C577F">
        <w:rPr>
          <w:rStyle w:val="libFootnotenumChar"/>
          <w:rtl/>
        </w:rPr>
        <w:t>(2)</w:t>
      </w:r>
      <w:r w:rsidRPr="00C9040A">
        <w:rPr>
          <w:rtl/>
          <w:lang w:bidi="fa-IR"/>
        </w:rPr>
        <w:t xml:space="preserve"> شَيْ‌ءٍ مِنْ </w:t>
      </w:r>
      <w:r w:rsidR="006C577F" w:rsidRPr="006C577F">
        <w:rPr>
          <w:rStyle w:val="libFootnotenumChar"/>
          <w:rtl/>
        </w:rPr>
        <w:t>(3)</w:t>
      </w:r>
      <w:r w:rsidRPr="00C9040A">
        <w:rPr>
          <w:rtl/>
          <w:lang w:bidi="fa-IR"/>
        </w:rPr>
        <w:t xml:space="preserve"> ذلِكَ أَفْضَلُ</w:t>
      </w:r>
      <w:r>
        <w:rPr>
          <w:rtl/>
          <w:lang w:bidi="fa-IR"/>
        </w:rPr>
        <w:t>؟</w:t>
      </w:r>
    </w:p>
    <w:p w:rsidR="008A74EB" w:rsidRPr="00C9040A" w:rsidRDefault="008A74EB" w:rsidP="008A74EB">
      <w:pPr>
        <w:pStyle w:val="libNormal"/>
        <w:rPr>
          <w:rtl/>
          <w:lang w:bidi="fa-IR"/>
        </w:rPr>
      </w:pPr>
      <w:r w:rsidRPr="00C9040A">
        <w:rPr>
          <w:rtl/>
          <w:lang w:bidi="fa-IR"/>
        </w:rPr>
        <w:t xml:space="preserve">فَقَالَ </w:t>
      </w:r>
      <w:r w:rsidR="006C577F" w:rsidRPr="006C577F">
        <w:rPr>
          <w:rStyle w:val="libFootnotenumChar"/>
          <w:rtl/>
        </w:rPr>
        <w:t>(4)</w:t>
      </w:r>
      <w:r w:rsidRPr="00C9040A">
        <w:rPr>
          <w:rtl/>
          <w:lang w:bidi="fa-IR"/>
        </w:rPr>
        <w:t xml:space="preserve"> : « الْوِلَايَةُ أَفْضَلُ ؛ لِأَنَّهَا مِفْتَاحُهُنَّ ، وَالْوَالِي </w:t>
      </w:r>
      <w:r w:rsidR="006C577F" w:rsidRPr="006C577F">
        <w:rPr>
          <w:rStyle w:val="libFootnotenumChar"/>
          <w:rtl/>
        </w:rPr>
        <w:t>(5)</w:t>
      </w:r>
      <w:r w:rsidRPr="00C9040A">
        <w:rPr>
          <w:rtl/>
          <w:lang w:bidi="fa-IR"/>
        </w:rPr>
        <w:t xml:space="preserve"> هُوَ الدَّلِيلُ عَلَيْهِنَّ »</w:t>
      </w:r>
      <w:r>
        <w:rPr>
          <w:rtl/>
          <w:lang w:bidi="fa-IR"/>
        </w:rPr>
        <w:t>.</w:t>
      </w:r>
    </w:p>
    <w:p w:rsidR="008A74EB" w:rsidRPr="00C9040A" w:rsidRDefault="008A74EB" w:rsidP="008A74EB">
      <w:pPr>
        <w:pStyle w:val="libNormal"/>
        <w:rPr>
          <w:rtl/>
          <w:lang w:bidi="fa-IR"/>
        </w:rPr>
      </w:pPr>
      <w:r w:rsidRPr="00C9040A">
        <w:rPr>
          <w:rtl/>
          <w:lang w:bidi="fa-IR"/>
        </w:rPr>
        <w:t>قُلْتُ : ثُمَّ الَّذِي يَلِي ذلِكَ فِي الْفَضْلِ</w:t>
      </w:r>
      <w:r>
        <w:rPr>
          <w:rtl/>
          <w:lang w:bidi="fa-IR"/>
        </w:rPr>
        <w:t>؟</w:t>
      </w:r>
    </w:p>
    <w:p w:rsidR="008A74EB" w:rsidRPr="00C9040A" w:rsidRDefault="008A74EB" w:rsidP="008B7A50">
      <w:pPr>
        <w:pStyle w:val="libNormal"/>
        <w:rPr>
          <w:rtl/>
          <w:lang w:bidi="fa-IR"/>
        </w:rPr>
      </w:pPr>
      <w:r w:rsidRPr="00C9040A">
        <w:rPr>
          <w:rtl/>
          <w:lang w:bidi="fa-IR"/>
        </w:rPr>
        <w:t xml:space="preserve">فَقَالَ </w:t>
      </w:r>
      <w:r w:rsidR="006C577F" w:rsidRPr="006C577F">
        <w:rPr>
          <w:rStyle w:val="libFootnotenumChar"/>
          <w:rtl/>
        </w:rPr>
        <w:t>(6)</w:t>
      </w:r>
      <w:r w:rsidRPr="005B567D">
        <w:rPr>
          <w:rStyle w:val="libFootnotenumChar"/>
          <w:rtl/>
        </w:rPr>
        <w:t xml:space="preserve"> </w:t>
      </w:r>
      <w:r w:rsidRPr="00C9040A">
        <w:rPr>
          <w:rtl/>
          <w:lang w:bidi="fa-IR"/>
        </w:rPr>
        <w:t xml:space="preserve">: « الصَّلَاةُ ؛ إِنَّ رَسُولَ اللهِ </w:t>
      </w:r>
      <w:r w:rsidR="004A4E41" w:rsidRPr="004A4E41">
        <w:rPr>
          <w:rStyle w:val="libAlaemChar"/>
          <w:rFonts w:eastAsiaTheme="minorHAnsi"/>
          <w:rtl/>
        </w:rPr>
        <w:t>صلى‌الله‌عليه‌وآله</w:t>
      </w:r>
      <w:r w:rsidR="008B7A50" w:rsidRPr="00C9040A">
        <w:rPr>
          <w:rtl/>
          <w:lang w:bidi="fa-IR"/>
        </w:rPr>
        <w:t xml:space="preserve"> </w:t>
      </w:r>
      <w:r w:rsidRPr="00C9040A">
        <w:rPr>
          <w:rtl/>
          <w:lang w:bidi="fa-IR"/>
        </w:rPr>
        <w:t xml:space="preserve">قَالَ : الصَّلَاةُ عَمُودُ </w:t>
      </w:r>
      <w:r w:rsidR="006C577F" w:rsidRPr="006C577F">
        <w:rPr>
          <w:rStyle w:val="libFootnotenumChar"/>
          <w:rtl/>
        </w:rPr>
        <w:t>(7)</w:t>
      </w:r>
      <w:r w:rsidRPr="00C9040A">
        <w:rPr>
          <w:rtl/>
          <w:lang w:bidi="fa-IR"/>
        </w:rPr>
        <w:t xml:space="preserve"> دِينِكُمْ »</w:t>
      </w:r>
      <w:r>
        <w:rPr>
          <w:rtl/>
          <w:lang w:bidi="fa-IR"/>
        </w:rPr>
        <w:t>.</w:t>
      </w:r>
    </w:p>
    <w:p w:rsidR="008A74EB" w:rsidRPr="00C9040A" w:rsidRDefault="008A74EB" w:rsidP="008A74EB">
      <w:pPr>
        <w:pStyle w:val="libNormal"/>
        <w:rPr>
          <w:rtl/>
          <w:lang w:bidi="fa-IR"/>
        </w:rPr>
      </w:pPr>
      <w:r w:rsidRPr="00C9040A">
        <w:rPr>
          <w:rtl/>
          <w:lang w:bidi="fa-IR"/>
        </w:rPr>
        <w:t xml:space="preserve">قَالَ </w:t>
      </w:r>
      <w:r w:rsidR="006C577F" w:rsidRPr="006C577F">
        <w:rPr>
          <w:rStyle w:val="libFootnotenumChar"/>
          <w:rtl/>
        </w:rPr>
        <w:t>(8)</w:t>
      </w:r>
      <w:r w:rsidRPr="00C9040A">
        <w:rPr>
          <w:rtl/>
          <w:lang w:bidi="fa-IR"/>
        </w:rPr>
        <w:t xml:space="preserve"> : قُلْتُ : ثُمَّ الَّذِي يَلِيهَا </w:t>
      </w:r>
      <w:r w:rsidR="006C577F" w:rsidRPr="006C577F">
        <w:rPr>
          <w:rStyle w:val="libFootnotenumChar"/>
          <w:rtl/>
        </w:rPr>
        <w:t>(9)</w:t>
      </w:r>
      <w:r w:rsidRPr="00C9040A">
        <w:rPr>
          <w:rtl/>
          <w:lang w:bidi="fa-IR"/>
        </w:rPr>
        <w:t xml:space="preserve"> فِي الْفَضْلِ</w:t>
      </w:r>
      <w:r>
        <w:rPr>
          <w:rtl/>
          <w:lang w:bidi="fa-IR"/>
        </w:rPr>
        <w:t>؟</w:t>
      </w:r>
    </w:p>
    <w:p w:rsidR="008A74EB" w:rsidRPr="00C9040A" w:rsidRDefault="008A74EB" w:rsidP="008B7A50">
      <w:pPr>
        <w:pStyle w:val="libNormal"/>
        <w:rPr>
          <w:rtl/>
          <w:lang w:bidi="fa-IR"/>
        </w:rPr>
      </w:pPr>
      <w:r w:rsidRPr="00C9040A">
        <w:rPr>
          <w:rtl/>
          <w:lang w:bidi="fa-IR"/>
        </w:rPr>
        <w:t xml:space="preserve">قَالَ : « الزَّكَاةُ ؛ لِأَنَّهُ قَرَنَهَا بِهَا ، وَبَدَأَ بِالصَّلَاةِ قَبْلَهَا ، وَقَالَ رَسُولُ اللهِ </w:t>
      </w:r>
      <w:r w:rsidR="004A4E41" w:rsidRPr="004A4E41">
        <w:rPr>
          <w:rStyle w:val="libAlaemChar"/>
          <w:rFonts w:eastAsiaTheme="minorHAnsi"/>
          <w:rtl/>
        </w:rPr>
        <w:t>صلى‌الله‌عليه‌وآله</w:t>
      </w:r>
      <w:r w:rsidR="008B7A50" w:rsidRPr="00C9040A">
        <w:rPr>
          <w:rtl/>
          <w:lang w:bidi="fa-IR"/>
        </w:rPr>
        <w:t xml:space="preserve"> </w:t>
      </w:r>
      <w:r w:rsidRPr="00C9040A">
        <w:rPr>
          <w:rtl/>
          <w:lang w:bidi="fa-IR"/>
        </w:rPr>
        <w:t xml:space="preserve">: الزَّكَاةُ تُذْهِبُ الذُّنُوبَ </w:t>
      </w:r>
      <w:r w:rsidR="006C577F" w:rsidRPr="006C577F">
        <w:rPr>
          <w:rStyle w:val="libFootnotenumChar"/>
          <w:rtl/>
        </w:rPr>
        <w:t>(10)</w:t>
      </w:r>
      <w:r w:rsidRPr="00C9040A">
        <w:rPr>
          <w:rtl/>
          <w:lang w:bidi="fa-IR"/>
        </w:rPr>
        <w:t xml:space="preserve"> »</w:t>
      </w:r>
      <w:r>
        <w:rPr>
          <w:rtl/>
          <w:lang w:bidi="fa-IR"/>
        </w:rPr>
        <w:t>.</w:t>
      </w:r>
    </w:p>
    <w:p w:rsidR="008A74EB" w:rsidRPr="00C9040A" w:rsidRDefault="008A74EB" w:rsidP="008A74EB">
      <w:pPr>
        <w:pStyle w:val="libNormal"/>
        <w:rPr>
          <w:rtl/>
          <w:lang w:bidi="fa-IR"/>
        </w:rPr>
      </w:pPr>
      <w:r w:rsidRPr="00C9040A">
        <w:rPr>
          <w:rtl/>
          <w:lang w:bidi="fa-IR"/>
        </w:rPr>
        <w:t xml:space="preserve">قُلْتُ : وَالَّذِي </w:t>
      </w:r>
      <w:r w:rsidR="006C577F" w:rsidRPr="006C577F">
        <w:rPr>
          <w:rStyle w:val="libFootnotenumChar"/>
          <w:rtl/>
        </w:rPr>
        <w:t>(11)</w:t>
      </w:r>
      <w:r w:rsidRPr="00C9040A">
        <w:rPr>
          <w:rtl/>
          <w:lang w:bidi="fa-IR"/>
        </w:rPr>
        <w:t xml:space="preserve"> يَلِيهَا </w:t>
      </w:r>
      <w:r w:rsidR="006C577F" w:rsidRPr="006C577F">
        <w:rPr>
          <w:rStyle w:val="libFootnotenumChar"/>
          <w:rtl/>
        </w:rPr>
        <w:t>(12)</w:t>
      </w:r>
      <w:r w:rsidRPr="00C9040A">
        <w:rPr>
          <w:rtl/>
          <w:lang w:bidi="fa-IR"/>
        </w:rPr>
        <w:t xml:space="preserve"> فِي الْفَضْلِ</w:t>
      </w:r>
      <w:r>
        <w:rPr>
          <w:rtl/>
          <w:lang w:bidi="fa-IR"/>
        </w:rPr>
        <w:t>؟</w:t>
      </w:r>
    </w:p>
    <w:p w:rsidR="008A74EB" w:rsidRPr="00C9040A" w:rsidRDefault="008A74EB" w:rsidP="008B7A50">
      <w:pPr>
        <w:pStyle w:val="libNormal"/>
        <w:rPr>
          <w:rtl/>
          <w:lang w:bidi="fa-IR"/>
        </w:rPr>
      </w:pPr>
      <w:r w:rsidRPr="00C9040A">
        <w:rPr>
          <w:rtl/>
          <w:lang w:bidi="fa-IR"/>
        </w:rPr>
        <w:t xml:space="preserve">قَالَ : « الْحَجُّ ؛ قَالَ اللهُ عَزَّ وَجَلَّ : </w:t>
      </w:r>
      <w:r w:rsidRPr="0003660B">
        <w:rPr>
          <w:rStyle w:val="libAlaemChar"/>
          <w:rtl/>
        </w:rPr>
        <w:t>(</w:t>
      </w:r>
      <w:r w:rsidRPr="006A2246">
        <w:rPr>
          <w:rStyle w:val="libAieChar"/>
          <w:rtl/>
        </w:rPr>
        <w:t xml:space="preserve"> وَلِلّهِ عَلَى النّاسِ حِجُّ الْبَيْتِ مَنِ اسْتَطاعَ إِلَيْهِ سَبِيلاً وَمَنْ كَفَرَ فَإِنَّ اللهَ غَنِيٌّ عَنِ الْعالَمِينَ </w:t>
      </w:r>
      <w:r w:rsidRPr="0003660B">
        <w:rPr>
          <w:rStyle w:val="libAlaemChar"/>
          <w:rtl/>
        </w:rPr>
        <w:t>)</w:t>
      </w:r>
      <w:r w:rsidRPr="00C9040A">
        <w:rPr>
          <w:rtl/>
          <w:lang w:bidi="fa-IR"/>
        </w:rPr>
        <w:t xml:space="preserve"> </w:t>
      </w:r>
      <w:r w:rsidRPr="005B567D">
        <w:rPr>
          <w:rStyle w:val="libFootnotenumChar"/>
          <w:rtl/>
        </w:rPr>
        <w:t>(13)</w:t>
      </w:r>
      <w:r w:rsidRPr="00C9040A">
        <w:rPr>
          <w:rtl/>
          <w:lang w:bidi="fa-IR"/>
        </w:rPr>
        <w:t xml:space="preserve"> ؛ وَقَالَ رَسُولُ اللهِ </w:t>
      </w:r>
      <w:r w:rsidR="004A4E41" w:rsidRPr="004A4E41">
        <w:rPr>
          <w:rStyle w:val="libAlaemChar"/>
          <w:rFonts w:eastAsiaTheme="minorHAnsi"/>
          <w:rtl/>
        </w:rPr>
        <w:t>صلى‌الله‌عليه‌وآله</w:t>
      </w:r>
      <w:r w:rsidR="008B7A50" w:rsidRPr="00C9040A">
        <w:rPr>
          <w:rtl/>
          <w:lang w:bidi="fa-IR"/>
        </w:rPr>
        <w:t xml:space="preserve"> </w:t>
      </w:r>
      <w:r w:rsidRPr="00C9040A">
        <w:rPr>
          <w:rtl/>
          <w:lang w:bidi="fa-IR"/>
        </w:rPr>
        <w:t>: لَحَجَّةٌ مَقْبُولَةٌ خَيْرٌ مِنْ‌</w:t>
      </w:r>
    </w:p>
    <w:p w:rsidR="008A74EB" w:rsidRPr="00C9040A" w:rsidRDefault="008A74EB" w:rsidP="008A74EB">
      <w:pPr>
        <w:pStyle w:val="libLine"/>
        <w:rPr>
          <w:rtl/>
          <w:lang w:bidi="fa-IR"/>
        </w:rPr>
      </w:pPr>
      <w:r w:rsidRPr="00C9040A">
        <w:rPr>
          <w:rtl/>
          <w:lang w:bidi="fa-IR"/>
        </w:rPr>
        <w:t>__________________</w:t>
      </w:r>
    </w:p>
    <w:p w:rsidR="008A74EB" w:rsidRPr="00C9040A" w:rsidRDefault="001031F9" w:rsidP="004A4E41">
      <w:pPr>
        <w:pStyle w:val="libFootnote0"/>
        <w:rPr>
          <w:rtl/>
          <w:lang w:bidi="fa-IR"/>
        </w:rPr>
      </w:pPr>
      <w:r>
        <w:rPr>
          <w:rFonts w:hint="cs"/>
          <w:rtl/>
          <w:lang w:bidi="fa-IR"/>
        </w:rPr>
        <w:t xml:space="preserve">= </w:t>
      </w:r>
      <w:r w:rsidR="008A74EB" w:rsidRPr="00C9040A">
        <w:rPr>
          <w:rtl/>
        </w:rPr>
        <w:t xml:space="preserve">ج 4 ، ص 97 ، ح 1707 ؛ </w:t>
      </w:r>
      <w:r w:rsidR="008A74EB" w:rsidRPr="00993B55">
        <w:rPr>
          <w:rStyle w:val="libFootnoteBoldChar"/>
          <w:rtl/>
        </w:rPr>
        <w:t>الوسائل</w:t>
      </w:r>
      <w:r w:rsidR="008A74EB" w:rsidRPr="00C9040A">
        <w:rPr>
          <w:rtl/>
        </w:rPr>
        <w:t xml:space="preserve"> ، ج 1 ، ص 16 ، ح 7 ؛ </w:t>
      </w:r>
      <w:r w:rsidR="008A74EB" w:rsidRPr="00993B55">
        <w:rPr>
          <w:rStyle w:val="libFootnoteBoldChar"/>
          <w:rtl/>
        </w:rPr>
        <w:t>البحار</w:t>
      </w:r>
      <w:r w:rsidR="008A74EB" w:rsidRPr="00C9040A">
        <w:rPr>
          <w:rtl/>
        </w:rPr>
        <w:t xml:space="preserve"> ، ج 68 ، ص 330 ، ح 5.</w:t>
      </w:r>
    </w:p>
    <w:p w:rsidR="008A74EB" w:rsidRPr="004A4E41" w:rsidRDefault="006C577F" w:rsidP="004A4E41">
      <w:pPr>
        <w:pStyle w:val="libFootnote0"/>
        <w:rPr>
          <w:rStyle w:val="libFootnote0Char"/>
          <w:rtl/>
        </w:rPr>
      </w:pPr>
      <w:r>
        <w:rPr>
          <w:rtl/>
        </w:rPr>
        <w:t>(1).</w:t>
      </w:r>
      <w:r w:rsidR="008A74EB" w:rsidRPr="00C9040A">
        <w:rPr>
          <w:rtl/>
        </w:rPr>
        <w:t xml:space="preserve"> في « ص ، ف ، </w:t>
      </w:r>
      <w:r w:rsidR="006D3162">
        <w:rPr>
          <w:rtl/>
        </w:rPr>
        <w:t xml:space="preserve">ه </w:t>
      </w:r>
      <w:r w:rsidR="008A74EB" w:rsidRPr="00C9040A">
        <w:rPr>
          <w:rtl/>
        </w:rPr>
        <w:t>، بر ، بف » والبحار وتفسير العيّاشي وفضائل الأشهر الثلاثة : « والصوم والحجّ »</w:t>
      </w:r>
      <w:r w:rsidR="008A74EB">
        <w:rPr>
          <w:rtl/>
        </w:rPr>
        <w:t>.</w:t>
      </w:r>
    </w:p>
    <w:tbl>
      <w:tblPr>
        <w:tblStyle w:val="TableGrid"/>
        <w:bidiVisual/>
        <w:tblW w:w="0" w:type="auto"/>
        <w:tblLook w:val="04A0" w:firstRow="1" w:lastRow="0" w:firstColumn="1" w:lastColumn="0" w:noHBand="0" w:noVBand="1"/>
      </w:tblPr>
      <w:tblGrid>
        <w:gridCol w:w="4006"/>
        <w:gridCol w:w="4006"/>
      </w:tblGrid>
      <w:tr w:rsidR="001031F9" w:rsidTr="001031F9">
        <w:tc>
          <w:tcPr>
            <w:tcW w:w="4006" w:type="dxa"/>
          </w:tcPr>
          <w:p w:rsidR="001031F9" w:rsidRDefault="001031F9" w:rsidP="004A4E41">
            <w:pPr>
              <w:pStyle w:val="libFootnote0"/>
              <w:rPr>
                <w:rtl/>
              </w:rPr>
            </w:pPr>
            <w:r>
              <w:rPr>
                <w:rtl/>
              </w:rPr>
              <w:t xml:space="preserve">(2). </w:t>
            </w:r>
            <w:r w:rsidRPr="00C9040A">
              <w:rPr>
                <w:rtl/>
              </w:rPr>
              <w:t xml:space="preserve">في « </w:t>
            </w:r>
            <w:r>
              <w:rPr>
                <w:rtl/>
              </w:rPr>
              <w:t xml:space="preserve">ه </w:t>
            </w:r>
            <w:r w:rsidRPr="00C9040A">
              <w:rPr>
                <w:rtl/>
              </w:rPr>
              <w:t>» والمحاسن : « فأيّ »</w:t>
            </w:r>
            <w:r>
              <w:rPr>
                <w:rtl/>
              </w:rPr>
              <w:t>.</w:t>
            </w:r>
          </w:p>
        </w:tc>
        <w:tc>
          <w:tcPr>
            <w:tcW w:w="4006" w:type="dxa"/>
          </w:tcPr>
          <w:p w:rsidR="001031F9" w:rsidRDefault="001031F9" w:rsidP="004A4E41">
            <w:pPr>
              <w:pStyle w:val="libFootnote0"/>
              <w:rPr>
                <w:rtl/>
              </w:rPr>
            </w:pPr>
            <w:r>
              <w:rPr>
                <w:rtl/>
              </w:rPr>
              <w:t>(3).</w:t>
            </w:r>
            <w:r w:rsidRPr="00C9040A">
              <w:rPr>
                <w:rtl/>
              </w:rPr>
              <w:t xml:space="preserve"> في « </w:t>
            </w:r>
            <w:r>
              <w:rPr>
                <w:rtl/>
              </w:rPr>
              <w:t xml:space="preserve">ه </w:t>
            </w:r>
            <w:r w:rsidRPr="00C9040A">
              <w:rPr>
                <w:rtl/>
              </w:rPr>
              <w:t xml:space="preserve">» والمحاسن </w:t>
            </w:r>
            <w:r>
              <w:rPr>
                <w:rtl/>
              </w:rPr>
              <w:t>: -</w:t>
            </w:r>
            <w:r w:rsidRPr="00C9040A">
              <w:rPr>
                <w:rtl/>
              </w:rPr>
              <w:t xml:space="preserve"> « شي‌ء من »</w:t>
            </w:r>
            <w:r>
              <w:rPr>
                <w:rtl/>
              </w:rPr>
              <w:t>.</w:t>
            </w:r>
          </w:p>
        </w:tc>
      </w:tr>
    </w:tbl>
    <w:p w:rsidR="008A74EB" w:rsidRPr="004A4E41" w:rsidRDefault="006C577F" w:rsidP="004A4E41">
      <w:pPr>
        <w:pStyle w:val="libFootnote0"/>
        <w:rPr>
          <w:rStyle w:val="libFootnote0Char"/>
          <w:rtl/>
        </w:rPr>
      </w:pPr>
      <w:r>
        <w:rPr>
          <w:rtl/>
        </w:rPr>
        <w:t>(4).</w:t>
      </w:r>
      <w:r w:rsidR="008A74EB" w:rsidRPr="00C9040A">
        <w:rPr>
          <w:rtl/>
        </w:rPr>
        <w:t xml:space="preserve"> في « </w:t>
      </w:r>
      <w:r w:rsidR="006D3162">
        <w:rPr>
          <w:rtl/>
        </w:rPr>
        <w:t xml:space="preserve">ه </w:t>
      </w:r>
      <w:r w:rsidR="008A74EB" w:rsidRPr="00C9040A">
        <w:rPr>
          <w:rtl/>
        </w:rPr>
        <w:t>، بس » والبحار وتفسير العيّاشي : « قال »</w:t>
      </w:r>
      <w:r w:rsidR="008A74EB">
        <w:rPr>
          <w:rtl/>
        </w:rPr>
        <w:t>.</w:t>
      </w:r>
    </w:p>
    <w:tbl>
      <w:tblPr>
        <w:tblStyle w:val="TableGrid"/>
        <w:bidiVisual/>
        <w:tblW w:w="0" w:type="auto"/>
        <w:tblLook w:val="04A0" w:firstRow="1" w:lastRow="0" w:firstColumn="1" w:lastColumn="0" w:noHBand="0" w:noVBand="1"/>
      </w:tblPr>
      <w:tblGrid>
        <w:gridCol w:w="4006"/>
        <w:gridCol w:w="4006"/>
      </w:tblGrid>
      <w:tr w:rsidR="001031F9" w:rsidTr="001031F9">
        <w:tc>
          <w:tcPr>
            <w:tcW w:w="4006" w:type="dxa"/>
          </w:tcPr>
          <w:p w:rsidR="001031F9" w:rsidRDefault="001031F9" w:rsidP="004A4E41">
            <w:pPr>
              <w:pStyle w:val="libFootnote0"/>
              <w:rPr>
                <w:rtl/>
                <w:lang w:bidi="fa-IR"/>
              </w:rPr>
            </w:pPr>
            <w:r>
              <w:rPr>
                <w:rtl/>
              </w:rPr>
              <w:t>(5).</w:t>
            </w:r>
            <w:r w:rsidRPr="00C9040A">
              <w:rPr>
                <w:rtl/>
              </w:rPr>
              <w:t xml:space="preserve"> في « ف » : « فالوالي »</w:t>
            </w:r>
            <w:r>
              <w:rPr>
                <w:rtl/>
              </w:rPr>
              <w:t>.</w:t>
            </w:r>
          </w:p>
        </w:tc>
        <w:tc>
          <w:tcPr>
            <w:tcW w:w="4006" w:type="dxa"/>
          </w:tcPr>
          <w:p w:rsidR="001031F9" w:rsidRDefault="001031F9" w:rsidP="004A4E41">
            <w:pPr>
              <w:pStyle w:val="libFootnote0"/>
              <w:rPr>
                <w:rtl/>
                <w:lang w:bidi="fa-IR"/>
              </w:rPr>
            </w:pPr>
            <w:r>
              <w:rPr>
                <w:rtl/>
              </w:rPr>
              <w:t xml:space="preserve">(6). </w:t>
            </w:r>
            <w:r w:rsidRPr="00C9040A">
              <w:rPr>
                <w:rtl/>
              </w:rPr>
              <w:t>في « ب » والمحاسن وتفسير العيّاشي : « قال »</w:t>
            </w:r>
            <w:r>
              <w:rPr>
                <w:rtl/>
              </w:rPr>
              <w:t>.</w:t>
            </w:r>
          </w:p>
        </w:tc>
      </w:tr>
      <w:tr w:rsidR="001031F9" w:rsidTr="001031F9">
        <w:tc>
          <w:tcPr>
            <w:tcW w:w="4006" w:type="dxa"/>
          </w:tcPr>
          <w:p w:rsidR="001031F9" w:rsidRDefault="001031F9" w:rsidP="004A4E41">
            <w:pPr>
              <w:pStyle w:val="libFootnote0"/>
              <w:rPr>
                <w:rtl/>
                <w:lang w:bidi="fa-IR"/>
              </w:rPr>
            </w:pPr>
            <w:r>
              <w:rPr>
                <w:rtl/>
              </w:rPr>
              <w:t>(7).</w:t>
            </w:r>
            <w:r w:rsidRPr="00C9040A">
              <w:rPr>
                <w:rtl/>
              </w:rPr>
              <w:t xml:space="preserve"> في الوافي : « عماد ( عمود</w:t>
            </w:r>
            <w:r>
              <w:rPr>
                <w:rtl/>
              </w:rPr>
              <w:t xml:space="preserve"> - </w:t>
            </w:r>
            <w:r w:rsidRPr="00C9040A">
              <w:rPr>
                <w:rtl/>
              </w:rPr>
              <w:t>خ ل ) »</w:t>
            </w:r>
            <w:r>
              <w:rPr>
                <w:rtl/>
              </w:rPr>
              <w:t>.</w:t>
            </w:r>
          </w:p>
        </w:tc>
        <w:tc>
          <w:tcPr>
            <w:tcW w:w="4006" w:type="dxa"/>
          </w:tcPr>
          <w:p w:rsidR="001031F9" w:rsidRDefault="001031F9" w:rsidP="004A4E41">
            <w:pPr>
              <w:pStyle w:val="libFootnote0"/>
              <w:rPr>
                <w:rtl/>
                <w:lang w:bidi="fa-IR"/>
              </w:rPr>
            </w:pPr>
            <w:r>
              <w:rPr>
                <w:rtl/>
              </w:rPr>
              <w:t>(8). في الوسائل،ح 2: -«</w:t>
            </w:r>
            <w:r w:rsidRPr="00C9040A">
              <w:rPr>
                <w:rtl/>
              </w:rPr>
              <w:t>إنّ رسول الله</w:t>
            </w:r>
            <w:r>
              <w:rPr>
                <w:rtl/>
              </w:rPr>
              <w:t>-</w:t>
            </w:r>
            <w:r w:rsidRPr="00C9040A">
              <w:rPr>
                <w:rtl/>
              </w:rPr>
              <w:t>إلى</w:t>
            </w:r>
            <w:r>
              <w:rPr>
                <w:rtl/>
              </w:rPr>
              <w:t xml:space="preserve"> - </w:t>
            </w:r>
            <w:r w:rsidRPr="00C9040A">
              <w:rPr>
                <w:rtl/>
              </w:rPr>
              <w:t>قال »</w:t>
            </w:r>
            <w:r>
              <w:rPr>
                <w:rtl/>
              </w:rPr>
              <w:t>.</w:t>
            </w:r>
          </w:p>
        </w:tc>
      </w:tr>
    </w:tbl>
    <w:p w:rsidR="008A74EB" w:rsidRPr="00C9040A" w:rsidRDefault="006C577F" w:rsidP="004A4E41">
      <w:pPr>
        <w:pStyle w:val="libFootnote0"/>
        <w:rPr>
          <w:rtl/>
          <w:lang w:bidi="fa-IR"/>
        </w:rPr>
      </w:pPr>
      <w:r>
        <w:rPr>
          <w:rtl/>
        </w:rPr>
        <w:t>(9).</w:t>
      </w:r>
      <w:r w:rsidR="008A74EB" w:rsidRPr="00C9040A">
        <w:rPr>
          <w:rtl/>
        </w:rPr>
        <w:t xml:space="preserve"> في « </w:t>
      </w:r>
      <w:r w:rsidR="006D3162">
        <w:rPr>
          <w:rtl/>
        </w:rPr>
        <w:t xml:space="preserve">ه </w:t>
      </w:r>
      <w:r w:rsidR="008A74EB" w:rsidRPr="00C9040A">
        <w:rPr>
          <w:rtl/>
        </w:rPr>
        <w:t>» والمحاسن : « يليه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الوسائل ، ح 2 </w:t>
      </w:r>
      <w:r w:rsidR="008A74EB">
        <w:rPr>
          <w:rtl/>
        </w:rPr>
        <w:t xml:space="preserve">: </w:t>
      </w:r>
      <w:r w:rsidR="0084262C">
        <w:rPr>
          <w:rtl/>
        </w:rPr>
        <w:t>-</w:t>
      </w:r>
      <w:r w:rsidR="008A74EB" w:rsidRPr="00C9040A">
        <w:rPr>
          <w:rtl/>
        </w:rPr>
        <w:t xml:space="preserve"> « وقال رسول الله</w:t>
      </w:r>
      <w:r w:rsidR="008A74EB">
        <w:rPr>
          <w:rtl/>
        </w:rPr>
        <w:t xml:space="preserve"> </w:t>
      </w:r>
      <w:r w:rsidR="0084262C">
        <w:rPr>
          <w:rtl/>
        </w:rPr>
        <w:t>-</w:t>
      </w:r>
      <w:r w:rsidR="008A74EB">
        <w:rPr>
          <w:rtl/>
        </w:rPr>
        <w:t xml:space="preserve"> </w:t>
      </w:r>
      <w:r w:rsidR="008A74EB" w:rsidRPr="00C9040A">
        <w:rPr>
          <w:rtl/>
        </w:rPr>
        <w:t>إلى</w:t>
      </w:r>
      <w:r w:rsidR="008A74EB">
        <w:rPr>
          <w:rtl/>
        </w:rPr>
        <w:t xml:space="preserve"> </w:t>
      </w:r>
      <w:r w:rsidR="0084262C">
        <w:rPr>
          <w:rtl/>
        </w:rPr>
        <w:t>-</w:t>
      </w:r>
      <w:r w:rsidR="008A74EB">
        <w:rPr>
          <w:rtl/>
        </w:rPr>
        <w:t xml:space="preserve"> </w:t>
      </w:r>
      <w:r w:rsidR="008A74EB" w:rsidRPr="00C9040A">
        <w:rPr>
          <w:rtl/>
        </w:rPr>
        <w:t>الذنوب »</w:t>
      </w:r>
      <w:r w:rsidR="008A74EB">
        <w:rPr>
          <w:rtl/>
        </w:rPr>
        <w:t>.</w:t>
      </w:r>
    </w:p>
    <w:p w:rsidR="008A74EB" w:rsidRPr="004A4E41" w:rsidRDefault="006C577F" w:rsidP="004A4E41">
      <w:pPr>
        <w:pStyle w:val="libFootnote0"/>
        <w:rPr>
          <w:rStyle w:val="libFootnote0Char"/>
          <w:rtl/>
        </w:rPr>
      </w:pPr>
      <w:r>
        <w:rPr>
          <w:rtl/>
        </w:rPr>
        <w:t>(11).</w:t>
      </w:r>
      <w:r w:rsidR="008A74EB" w:rsidRPr="00C9040A">
        <w:rPr>
          <w:rtl/>
        </w:rPr>
        <w:t xml:space="preserve"> في الوسائل ، ح 2 والمحاسن وتفسير العيّاشي : « فالذي »</w:t>
      </w:r>
      <w:r w:rsidR="008A74EB">
        <w:rPr>
          <w:rtl/>
        </w:rPr>
        <w:t>.</w:t>
      </w:r>
    </w:p>
    <w:tbl>
      <w:tblPr>
        <w:tblStyle w:val="TableGrid"/>
        <w:bidiVisual/>
        <w:tblW w:w="0" w:type="auto"/>
        <w:tblLook w:val="04A0" w:firstRow="1" w:lastRow="0" w:firstColumn="1" w:lastColumn="0" w:noHBand="0" w:noVBand="1"/>
      </w:tblPr>
      <w:tblGrid>
        <w:gridCol w:w="4006"/>
        <w:gridCol w:w="4006"/>
      </w:tblGrid>
      <w:tr w:rsidR="001031F9" w:rsidTr="001031F9">
        <w:tc>
          <w:tcPr>
            <w:tcW w:w="4006" w:type="dxa"/>
          </w:tcPr>
          <w:p w:rsidR="001031F9" w:rsidRDefault="001031F9" w:rsidP="004A4E41">
            <w:pPr>
              <w:pStyle w:val="libFootnote0"/>
              <w:rPr>
                <w:rtl/>
              </w:rPr>
            </w:pPr>
            <w:r>
              <w:rPr>
                <w:rtl/>
              </w:rPr>
              <w:t>(12).</w:t>
            </w:r>
            <w:r w:rsidRPr="00C9040A">
              <w:rPr>
                <w:rtl/>
              </w:rPr>
              <w:t xml:space="preserve"> في « </w:t>
            </w:r>
            <w:r>
              <w:rPr>
                <w:rtl/>
              </w:rPr>
              <w:t xml:space="preserve">ه </w:t>
            </w:r>
            <w:r w:rsidRPr="00C9040A">
              <w:rPr>
                <w:rtl/>
              </w:rPr>
              <w:t>» والمحاسن : « يليه »</w:t>
            </w:r>
            <w:r>
              <w:rPr>
                <w:rtl/>
              </w:rPr>
              <w:t>.</w:t>
            </w:r>
          </w:p>
        </w:tc>
        <w:tc>
          <w:tcPr>
            <w:tcW w:w="4006" w:type="dxa"/>
          </w:tcPr>
          <w:p w:rsidR="001031F9" w:rsidRDefault="001031F9" w:rsidP="004A4E41">
            <w:pPr>
              <w:pStyle w:val="libFootnote0"/>
              <w:rPr>
                <w:rtl/>
              </w:rPr>
            </w:pPr>
            <w:r>
              <w:rPr>
                <w:rtl/>
              </w:rPr>
              <w:t>(13)</w:t>
            </w:r>
            <w:r w:rsidRPr="00C9040A">
              <w:rPr>
                <w:rtl/>
              </w:rPr>
              <w:t xml:space="preserve"> آل عمران </w:t>
            </w:r>
            <w:r>
              <w:rPr>
                <w:rtl/>
              </w:rPr>
              <w:t>(3)</w:t>
            </w:r>
            <w:r w:rsidRPr="00C9040A">
              <w:rPr>
                <w:rtl/>
              </w:rPr>
              <w:t xml:space="preserve"> : 97.</w:t>
            </w:r>
          </w:p>
        </w:tc>
      </w:tr>
    </w:tbl>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عِشْرِينَ صَلَاةً نَافِلَةً ، وَمَنْ طَافَ بِهذَا الْبَيْتِ طَوَافاً أَحْصى فِيهِ أُسْبُوعَهُ وَأَحْسَنَ رَكْعَتَيْهِ ، غَفَرَ اللهُ </w:t>
      </w:r>
      <w:r w:rsidR="006C577F" w:rsidRPr="006C577F">
        <w:rPr>
          <w:rStyle w:val="libFootnotenumChar"/>
          <w:rtl/>
        </w:rPr>
        <w:t>(1)</w:t>
      </w:r>
      <w:r w:rsidRPr="00FD7BB6">
        <w:rPr>
          <w:rFonts w:hint="cs"/>
          <w:rtl/>
        </w:rPr>
        <w:t xml:space="preserve"> </w:t>
      </w:r>
      <w:r w:rsidRPr="00C9040A">
        <w:rPr>
          <w:rtl/>
          <w:lang w:bidi="fa-IR"/>
        </w:rPr>
        <w:t xml:space="preserve">لَهُ ؛ وَقَالَ فِي يَوْمِ عَرَفَةَ وَيَوْمِ الْمُزْدَلِفَةِ مَا قَالَ </w:t>
      </w:r>
      <w:r w:rsidR="006C577F" w:rsidRPr="006C577F">
        <w:rPr>
          <w:rStyle w:val="libFootnotenumChar"/>
          <w:rtl/>
        </w:rPr>
        <w:t>(2)</w:t>
      </w:r>
      <w:r w:rsidRPr="00C9040A">
        <w:rPr>
          <w:rtl/>
          <w:lang w:bidi="fa-IR"/>
        </w:rPr>
        <w:t xml:space="preserve"> »</w:t>
      </w:r>
      <w:r>
        <w:rPr>
          <w:rtl/>
          <w:lang w:bidi="fa-IR"/>
        </w:rPr>
        <w:t>.</w:t>
      </w:r>
    </w:p>
    <w:p w:rsidR="008A74EB" w:rsidRPr="00C9040A" w:rsidRDefault="008A74EB" w:rsidP="008A74EB">
      <w:pPr>
        <w:pStyle w:val="libNormal"/>
        <w:rPr>
          <w:rtl/>
          <w:lang w:bidi="fa-IR"/>
        </w:rPr>
      </w:pPr>
      <w:r w:rsidRPr="00C9040A">
        <w:rPr>
          <w:rtl/>
          <w:lang w:bidi="fa-IR"/>
        </w:rPr>
        <w:t xml:space="preserve">قُلْتُ : فَمَا ذَا </w:t>
      </w:r>
      <w:r w:rsidR="006C577F" w:rsidRPr="006C577F">
        <w:rPr>
          <w:rStyle w:val="libFootnotenumChar"/>
          <w:rtl/>
        </w:rPr>
        <w:t>(3)</w:t>
      </w:r>
      <w:r w:rsidRPr="00C9040A">
        <w:rPr>
          <w:rtl/>
          <w:lang w:bidi="fa-IR"/>
        </w:rPr>
        <w:t xml:space="preserve"> يَتْبَعُهُ </w:t>
      </w:r>
      <w:r w:rsidR="006C577F" w:rsidRPr="006C577F">
        <w:rPr>
          <w:rStyle w:val="libFootnotenumChar"/>
          <w:rtl/>
        </w:rPr>
        <w:t>(4)</w:t>
      </w:r>
      <w:r>
        <w:rPr>
          <w:rtl/>
          <w:lang w:bidi="fa-IR"/>
        </w:rPr>
        <w:t>؟</w:t>
      </w:r>
      <w:r w:rsidRPr="00C9040A">
        <w:rPr>
          <w:rtl/>
          <w:lang w:bidi="fa-IR"/>
        </w:rPr>
        <w:t xml:space="preserve"> قَالَ : « الصَّوْمُ »</w:t>
      </w:r>
      <w:r>
        <w:rPr>
          <w:rtl/>
          <w:lang w:bidi="fa-IR"/>
        </w:rPr>
        <w:t>.</w:t>
      </w:r>
    </w:p>
    <w:p w:rsidR="008A74EB" w:rsidRPr="00C9040A" w:rsidRDefault="008A74EB" w:rsidP="008A74EB">
      <w:pPr>
        <w:pStyle w:val="libNormal"/>
        <w:rPr>
          <w:rtl/>
          <w:lang w:bidi="fa-IR"/>
        </w:rPr>
      </w:pPr>
      <w:r w:rsidRPr="00C9040A">
        <w:rPr>
          <w:rtl/>
          <w:lang w:bidi="fa-IR"/>
        </w:rPr>
        <w:t>قُلْتُ : وَمَا بَالُ الصَّوْمِ صَارَ آخِرَ ذلِكَ أَجْمَعَ</w:t>
      </w:r>
      <w:r>
        <w:rPr>
          <w:rtl/>
          <w:lang w:bidi="fa-IR"/>
        </w:rPr>
        <w:t>؟</w:t>
      </w:r>
    </w:p>
    <w:p w:rsidR="008A74EB" w:rsidRPr="00C9040A" w:rsidRDefault="008A74EB" w:rsidP="008B7A50">
      <w:pPr>
        <w:pStyle w:val="libNormal"/>
        <w:rPr>
          <w:rtl/>
          <w:lang w:bidi="fa-IR"/>
        </w:rPr>
      </w:pPr>
      <w:r w:rsidRPr="00C9040A">
        <w:rPr>
          <w:rtl/>
          <w:lang w:bidi="fa-IR"/>
        </w:rPr>
        <w:t xml:space="preserve">قَالَ : « قَالَ رَسُولُ اللهِ </w:t>
      </w:r>
      <w:r w:rsidR="004A4E41" w:rsidRPr="004A4E41">
        <w:rPr>
          <w:rStyle w:val="libAlaemChar"/>
          <w:rFonts w:eastAsiaTheme="minorHAnsi"/>
          <w:rtl/>
        </w:rPr>
        <w:t>صلى‌الله‌عليه‌وآله</w:t>
      </w:r>
      <w:r w:rsidRPr="00C9040A">
        <w:rPr>
          <w:rtl/>
          <w:lang w:bidi="fa-IR"/>
        </w:rPr>
        <w:t xml:space="preserve">: الصَّوْمُ جُنَّةٌ </w:t>
      </w:r>
      <w:r w:rsidR="006C577F" w:rsidRPr="006C577F">
        <w:rPr>
          <w:rStyle w:val="libFootnotenumChar"/>
          <w:rtl/>
        </w:rPr>
        <w:t>(5)</w:t>
      </w:r>
      <w:r w:rsidRPr="00C9040A">
        <w:rPr>
          <w:rtl/>
          <w:lang w:bidi="fa-IR"/>
        </w:rPr>
        <w:t xml:space="preserve"> مِنَ النَّارِ »</w:t>
      </w:r>
      <w:r>
        <w:rPr>
          <w:rtl/>
          <w:lang w:bidi="fa-IR"/>
        </w:rPr>
        <w:t>.</w:t>
      </w:r>
    </w:p>
    <w:p w:rsidR="008A74EB" w:rsidRPr="00C9040A" w:rsidRDefault="008A74EB" w:rsidP="008A74EB">
      <w:pPr>
        <w:pStyle w:val="libNormal"/>
        <w:rPr>
          <w:rtl/>
          <w:lang w:bidi="fa-IR"/>
        </w:rPr>
      </w:pPr>
      <w:r w:rsidRPr="00C9040A">
        <w:rPr>
          <w:rtl/>
          <w:lang w:bidi="fa-IR"/>
        </w:rPr>
        <w:t xml:space="preserve">قَالَ : ثُمَّ قَالَ </w:t>
      </w:r>
      <w:r w:rsidR="006C577F" w:rsidRPr="006C577F">
        <w:rPr>
          <w:rStyle w:val="libFootnotenumChar"/>
          <w:rtl/>
        </w:rPr>
        <w:t>(6)</w:t>
      </w:r>
      <w:r w:rsidRPr="005B567D">
        <w:rPr>
          <w:rStyle w:val="libFootnotenumChar"/>
          <w:rtl/>
        </w:rPr>
        <w:t xml:space="preserve"> </w:t>
      </w:r>
      <w:r w:rsidRPr="00C9040A">
        <w:rPr>
          <w:rtl/>
          <w:lang w:bidi="fa-IR"/>
        </w:rPr>
        <w:t xml:space="preserve">: « إِنَّ أَفْضَلَ الْأَشْيَاءِ مَا إِذَا </w:t>
      </w:r>
      <w:r w:rsidR="006C577F" w:rsidRPr="006C577F">
        <w:rPr>
          <w:rStyle w:val="libFootnotenumChar"/>
          <w:rtl/>
        </w:rPr>
        <w:t>(7)</w:t>
      </w:r>
      <w:r w:rsidRPr="00C9040A">
        <w:rPr>
          <w:rtl/>
          <w:lang w:bidi="fa-IR"/>
        </w:rPr>
        <w:t xml:space="preserve"> فَاتَكَ لَمْ تَكُنْ </w:t>
      </w:r>
      <w:r w:rsidR="006C577F" w:rsidRPr="006C577F">
        <w:rPr>
          <w:rStyle w:val="libFootnotenumChar"/>
          <w:rtl/>
        </w:rPr>
        <w:t>(8)</w:t>
      </w:r>
      <w:r w:rsidRPr="00C9040A">
        <w:rPr>
          <w:rtl/>
          <w:lang w:bidi="fa-IR"/>
        </w:rPr>
        <w:t xml:space="preserve"> مِنْهُ تَوْبَةٌ دُونَ أَنْ تَرْجِعَ </w:t>
      </w:r>
      <w:r w:rsidR="006C577F" w:rsidRPr="006C577F">
        <w:rPr>
          <w:rStyle w:val="libFootnotenumChar"/>
          <w:rtl/>
        </w:rPr>
        <w:t>(9)</w:t>
      </w:r>
      <w:r w:rsidRPr="00C9040A">
        <w:rPr>
          <w:rtl/>
          <w:lang w:bidi="fa-IR"/>
        </w:rPr>
        <w:t xml:space="preserve"> إِلَيْهِ فَتُؤَدِّيَهُ </w:t>
      </w:r>
      <w:r w:rsidR="006C577F" w:rsidRPr="006C577F">
        <w:rPr>
          <w:rStyle w:val="libFootnotenumChar"/>
          <w:rtl/>
        </w:rPr>
        <w:t>(10)</w:t>
      </w:r>
      <w:r w:rsidRPr="00C9040A">
        <w:rPr>
          <w:rtl/>
          <w:lang w:bidi="fa-IR"/>
        </w:rPr>
        <w:t xml:space="preserve"> بِعَيْنِهِ ، إِنَّ الصَّلَاةَ وَالزَّكَاةَ وَالْحَجَّ وَالْوِلَايَةَ لَيْسَ يَنْفَعُ </w:t>
      </w:r>
      <w:r w:rsidR="006C577F" w:rsidRPr="006C577F">
        <w:rPr>
          <w:rStyle w:val="libFootnotenumChar"/>
          <w:rtl/>
        </w:rPr>
        <w:t>(11)</w:t>
      </w:r>
      <w:r w:rsidRPr="00C9040A">
        <w:rPr>
          <w:rtl/>
          <w:lang w:bidi="fa-IR"/>
        </w:rPr>
        <w:t xml:space="preserve"> شَيْ‌ءٌ </w:t>
      </w:r>
      <w:r w:rsidR="006C577F" w:rsidRPr="006C577F">
        <w:rPr>
          <w:rStyle w:val="libFootnotenumChar"/>
          <w:rtl/>
        </w:rPr>
        <w:t>(12)</w:t>
      </w:r>
      <w:r w:rsidRPr="00C9040A">
        <w:rPr>
          <w:rtl/>
          <w:lang w:bidi="fa-IR"/>
        </w:rPr>
        <w:t xml:space="preserve"> مَكَانَهَا </w:t>
      </w:r>
      <w:r w:rsidRPr="005B567D">
        <w:rPr>
          <w:rStyle w:val="libFootnotenumChar"/>
          <w:rtl/>
        </w:rPr>
        <w:t>(13)</w:t>
      </w:r>
      <w:r w:rsidRPr="00C9040A">
        <w:rPr>
          <w:rtl/>
          <w:lang w:bidi="fa-IR"/>
        </w:rPr>
        <w:t xml:space="preserve"> دُونَ أَدَائِهَا ، وَإِنَّ الصَّوْمَ إِذَا فَاتَكَ أَوْ قَصَّرْتَ </w:t>
      </w:r>
      <w:r w:rsidRPr="005B567D">
        <w:rPr>
          <w:rStyle w:val="libFootnotenumChar"/>
          <w:rtl/>
        </w:rPr>
        <w:t>(14)</w:t>
      </w:r>
      <w:r w:rsidRPr="00C9040A">
        <w:rPr>
          <w:rtl/>
          <w:lang w:bidi="fa-IR"/>
        </w:rPr>
        <w:t xml:space="preserve"> أَوْ سَافَرْتَ فِيهِ ، أَدَّيْتَ مَكَانَهُ أَيَّاماً غَيْرَهَا </w:t>
      </w:r>
      <w:r w:rsidRPr="005B567D">
        <w:rPr>
          <w:rStyle w:val="libFootnotenumChar"/>
          <w:rtl/>
        </w:rPr>
        <w:t>(15)</w:t>
      </w:r>
      <w:r w:rsidRPr="00C9040A">
        <w:rPr>
          <w:rtl/>
          <w:lang w:bidi="fa-IR"/>
        </w:rPr>
        <w:t xml:space="preserve"> ، وَجَزَيْتَ </w:t>
      </w:r>
      <w:r w:rsidRPr="005B567D">
        <w:rPr>
          <w:rStyle w:val="libFootnotenumChar"/>
          <w:rtl/>
        </w:rPr>
        <w:t>(16)</w:t>
      </w:r>
      <w:r w:rsidRPr="00C9040A">
        <w:rPr>
          <w:rtl/>
          <w:lang w:bidi="fa-IR"/>
        </w:rPr>
        <w:t xml:space="preserve"> ذلِكَ الذَّنْبَ بِصَدَقَةٍ ، وَلَا قَضَاءَ عَلَيْكَ ، وَلَيْسَ مِنْ تِلْكَ الْأَرْبَعَةِ شَيْ‌ءٌ يُجْزِيكَ مَكَانَهُ غَيْرُهُ »</w:t>
      </w:r>
      <w:r>
        <w:rPr>
          <w:rtl/>
          <w:lang w:bidi="fa-IR"/>
        </w:rPr>
        <w:t>.</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 ب ، د ، ز ، ف ، </w:t>
      </w:r>
      <w:r w:rsidR="006D3162">
        <w:rPr>
          <w:rtl/>
        </w:rPr>
        <w:t xml:space="preserve">ه </w:t>
      </w:r>
      <w:r w:rsidR="008A74EB" w:rsidRPr="00C9040A">
        <w:rPr>
          <w:rtl/>
        </w:rPr>
        <w:t xml:space="preserve">، بر ، بس ، بف » وشرح المازندراني والبحار والمحاسن وتفسير العيّاشي </w:t>
      </w:r>
      <w:r w:rsidR="008A74EB">
        <w:rPr>
          <w:rtl/>
        </w:rPr>
        <w:t xml:space="preserve">: </w:t>
      </w:r>
      <w:r w:rsidR="0084262C">
        <w:rPr>
          <w:rtl/>
        </w:rPr>
        <w:t>-</w:t>
      </w:r>
      <w:r w:rsidR="00B866D3">
        <w:rPr>
          <w:rtl/>
        </w:rPr>
        <w:t xml:space="preserve"> « الله</w:t>
      </w:r>
      <w:r w:rsidR="008A74EB" w:rsidRPr="00C9040A">
        <w:rPr>
          <w:rtl/>
        </w:rPr>
        <w:t>»</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الوسائل ، ح 2 </w:t>
      </w:r>
      <w:r w:rsidR="008A74EB">
        <w:rPr>
          <w:rtl/>
        </w:rPr>
        <w:t xml:space="preserve">: </w:t>
      </w:r>
      <w:r w:rsidR="0084262C">
        <w:rPr>
          <w:rtl/>
        </w:rPr>
        <w:t>-</w:t>
      </w:r>
      <w:r w:rsidR="008A74EB" w:rsidRPr="00C9040A">
        <w:rPr>
          <w:rtl/>
        </w:rPr>
        <w:t xml:space="preserve"> « وقال الله عزّ وجلّ</w:t>
      </w:r>
      <w:r w:rsidR="008A74EB">
        <w:rPr>
          <w:rtl/>
        </w:rPr>
        <w:t xml:space="preserve"> </w:t>
      </w:r>
      <w:r w:rsidR="0084262C">
        <w:rPr>
          <w:rtl/>
        </w:rPr>
        <w:t>-</w:t>
      </w:r>
      <w:r w:rsidR="008A74EB">
        <w:rPr>
          <w:rtl/>
        </w:rPr>
        <w:t xml:space="preserve"> </w:t>
      </w:r>
      <w:r w:rsidR="008A74EB" w:rsidRPr="00C9040A">
        <w:rPr>
          <w:rtl/>
        </w:rPr>
        <w:t>إلى</w:t>
      </w:r>
      <w:r w:rsidR="008A74EB">
        <w:rPr>
          <w:rtl/>
        </w:rPr>
        <w:t xml:space="preserve"> </w:t>
      </w:r>
      <w:r w:rsidR="0084262C">
        <w:rPr>
          <w:rtl/>
        </w:rPr>
        <w:t>-</w:t>
      </w:r>
      <w:r w:rsidR="008A74EB">
        <w:rPr>
          <w:rtl/>
        </w:rPr>
        <w:t xml:space="preserve"> </w:t>
      </w:r>
      <w:r w:rsidR="008A74EB" w:rsidRPr="00C9040A">
        <w:rPr>
          <w:rtl/>
        </w:rPr>
        <w:t>ما قال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ج ، د ، ز ، ف ، </w:t>
      </w:r>
      <w:r w:rsidR="006D3162">
        <w:rPr>
          <w:rtl/>
        </w:rPr>
        <w:t xml:space="preserve">ه </w:t>
      </w:r>
      <w:r w:rsidR="008A74EB" w:rsidRPr="00C9040A">
        <w:rPr>
          <w:rtl/>
        </w:rPr>
        <w:t>، بر ، بس ، بف » : « بماذا »</w:t>
      </w:r>
      <w:r w:rsidR="008A74EB">
        <w:rPr>
          <w:rtl/>
        </w:rPr>
        <w:t>.</w:t>
      </w:r>
      <w:r w:rsidR="008A74EB" w:rsidRPr="00C9040A">
        <w:rPr>
          <w:rtl/>
        </w:rPr>
        <w:t xml:space="preserve"> وفي حاشية « د ، بر ، بس » والوسائل ، ح 2 : « ماذا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w:t>
      </w:r>
      <w:r w:rsidR="006D3162">
        <w:rPr>
          <w:rtl/>
        </w:rPr>
        <w:t xml:space="preserve">ه </w:t>
      </w:r>
      <w:r w:rsidR="008A74EB" w:rsidRPr="00C9040A">
        <w:rPr>
          <w:rtl/>
        </w:rPr>
        <w:t>» : « نتبعه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 الجُنّة » : الدِّرع. وكلّ ما وقاك فهو جُنَّتك. </w:t>
      </w:r>
      <w:r w:rsidR="008A74EB" w:rsidRPr="00993B55">
        <w:rPr>
          <w:rStyle w:val="libFootnoteBoldChar"/>
          <w:rtl/>
        </w:rPr>
        <w:t>ترتيب كتاب العين</w:t>
      </w:r>
      <w:r w:rsidR="008A74EB" w:rsidRPr="00C9040A">
        <w:rPr>
          <w:rtl/>
        </w:rPr>
        <w:t xml:space="preserve"> ، ج 1 ، ص 324 ( جنّ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شرح المازندراني </w:t>
      </w:r>
      <w:r w:rsidR="008A74EB">
        <w:rPr>
          <w:rtl/>
        </w:rPr>
        <w:t xml:space="preserve">: </w:t>
      </w:r>
      <w:r w:rsidR="0084262C">
        <w:rPr>
          <w:rtl/>
        </w:rPr>
        <w:t>-</w:t>
      </w:r>
      <w:r w:rsidR="008A74EB" w:rsidRPr="00C9040A">
        <w:rPr>
          <w:rtl/>
        </w:rPr>
        <w:t xml:space="preserve"> « قال »</w:t>
      </w:r>
      <w:r w:rsidR="008A74EB">
        <w:rPr>
          <w:rtl/>
        </w:rPr>
        <w:t>.</w:t>
      </w:r>
    </w:p>
    <w:p w:rsidR="008A74EB" w:rsidRPr="004A4E41" w:rsidRDefault="006C577F" w:rsidP="004A4E41">
      <w:pPr>
        <w:pStyle w:val="libFootnote0"/>
        <w:rPr>
          <w:rStyle w:val="libFootnote0Char"/>
          <w:rtl/>
        </w:rPr>
      </w:pPr>
      <w:r>
        <w:rPr>
          <w:rtl/>
        </w:rPr>
        <w:t>(7).</w:t>
      </w:r>
      <w:r w:rsidR="008A74EB" w:rsidRPr="00C9040A">
        <w:rPr>
          <w:rtl/>
        </w:rPr>
        <w:t xml:space="preserve"> في « ب ، ج ، د ، ز ، ص ، ف ، بر ، بس ، بف » وشرح المازندراني والوافي والمحاسن : + « أنت »</w:t>
      </w:r>
      <w:r w:rsidR="008A74EB">
        <w:rPr>
          <w:rtl/>
        </w:rPr>
        <w:t>.</w:t>
      </w:r>
      <w:r w:rsidR="008A74EB" w:rsidRPr="00C9040A">
        <w:rPr>
          <w:rtl/>
        </w:rPr>
        <w:t xml:space="preserve"> قال المازندراني : « الظاهر أنّ لفظ « أنت » زائد »</w:t>
      </w:r>
      <w:r w:rsidR="008A74EB">
        <w:rPr>
          <w:rtl/>
        </w:rPr>
        <w:t>.</w:t>
      </w:r>
      <w:r w:rsidR="00FD59E9">
        <w:rPr>
          <w:rFonts w:hint="cs"/>
          <w:rtl/>
        </w:rPr>
        <w:t xml:space="preserve">             </w:t>
      </w:r>
      <w:r>
        <w:rPr>
          <w:rtl/>
        </w:rPr>
        <w:t>(8).</w:t>
      </w:r>
      <w:r w:rsidR="00FD59E9">
        <w:rPr>
          <w:rtl/>
        </w:rPr>
        <w:t xml:space="preserve"> في«ب،ج،ف،ه،بف»والمحاسن:«</w:t>
      </w:r>
      <w:r w:rsidR="008A74EB" w:rsidRPr="00C9040A">
        <w:rPr>
          <w:rtl/>
        </w:rPr>
        <w:t>ل</w:t>
      </w:r>
      <w:r w:rsidR="00FD59E9">
        <w:rPr>
          <w:rtl/>
        </w:rPr>
        <w:t>م يكن</w:t>
      </w:r>
      <w:r w:rsidR="008A74EB" w:rsidRPr="00C9040A">
        <w:rPr>
          <w:rtl/>
        </w:rPr>
        <w:t>»</w:t>
      </w:r>
      <w:r w:rsidR="008A74EB">
        <w:rPr>
          <w:rtl/>
        </w:rPr>
        <w:t>.</w:t>
      </w:r>
    </w:p>
    <w:tbl>
      <w:tblPr>
        <w:tblStyle w:val="TableGrid"/>
        <w:bidiVisual/>
        <w:tblW w:w="0" w:type="auto"/>
        <w:tblLook w:val="04A0" w:firstRow="1" w:lastRow="0" w:firstColumn="1" w:lastColumn="0" w:noHBand="0" w:noVBand="1"/>
      </w:tblPr>
      <w:tblGrid>
        <w:gridCol w:w="4006"/>
        <w:gridCol w:w="4006"/>
      </w:tblGrid>
      <w:tr w:rsidR="00FD59E9" w:rsidTr="00FD59E9">
        <w:tc>
          <w:tcPr>
            <w:tcW w:w="4006" w:type="dxa"/>
          </w:tcPr>
          <w:p w:rsidR="00FD59E9" w:rsidRDefault="00FD59E9" w:rsidP="004A4E41">
            <w:pPr>
              <w:pStyle w:val="libFootnote0"/>
              <w:rPr>
                <w:rtl/>
              </w:rPr>
            </w:pPr>
            <w:r>
              <w:rPr>
                <w:rtl/>
              </w:rPr>
              <w:t>(9).</w:t>
            </w:r>
            <w:r w:rsidRPr="00C9040A">
              <w:rPr>
                <w:rtl/>
              </w:rPr>
              <w:t xml:space="preserve"> في « ز ، بر » : « يرجع »</w:t>
            </w:r>
            <w:r>
              <w:rPr>
                <w:rtl/>
              </w:rPr>
              <w:t>.</w:t>
            </w:r>
          </w:p>
        </w:tc>
        <w:tc>
          <w:tcPr>
            <w:tcW w:w="4006" w:type="dxa"/>
          </w:tcPr>
          <w:p w:rsidR="00FD59E9" w:rsidRDefault="00FD59E9" w:rsidP="004A4E41">
            <w:pPr>
              <w:pStyle w:val="libFootnote0"/>
              <w:rPr>
                <w:rtl/>
              </w:rPr>
            </w:pPr>
            <w:r>
              <w:rPr>
                <w:rtl/>
              </w:rPr>
              <w:t>(10).</w:t>
            </w:r>
            <w:r w:rsidRPr="00C9040A">
              <w:rPr>
                <w:rtl/>
              </w:rPr>
              <w:t xml:space="preserve"> في « </w:t>
            </w:r>
            <w:r>
              <w:rPr>
                <w:rtl/>
              </w:rPr>
              <w:t xml:space="preserve">ه </w:t>
            </w:r>
            <w:r w:rsidRPr="00C9040A">
              <w:rPr>
                <w:rtl/>
              </w:rPr>
              <w:t>» : « فيؤدّيه »</w:t>
            </w:r>
            <w:r>
              <w:rPr>
                <w:rtl/>
              </w:rPr>
              <w:t>.</w:t>
            </w:r>
          </w:p>
        </w:tc>
      </w:tr>
    </w:tbl>
    <w:p w:rsidR="008A74EB" w:rsidRPr="00C9040A" w:rsidRDefault="006C577F" w:rsidP="004A4E41">
      <w:pPr>
        <w:pStyle w:val="libFootnote0"/>
        <w:rPr>
          <w:rtl/>
          <w:lang w:bidi="fa-IR"/>
        </w:rPr>
      </w:pPr>
      <w:r>
        <w:rPr>
          <w:rtl/>
        </w:rPr>
        <w:t>(11).</w:t>
      </w:r>
      <w:r w:rsidR="008A74EB" w:rsidRPr="00C9040A">
        <w:rPr>
          <w:rtl/>
        </w:rPr>
        <w:t xml:space="preserve"> هكذا في « ب ، ج ، د ، ز ، ص ، ف ، </w:t>
      </w:r>
      <w:r w:rsidR="006D3162">
        <w:rPr>
          <w:rtl/>
        </w:rPr>
        <w:t xml:space="preserve">ه </w:t>
      </w:r>
      <w:r w:rsidR="008A74EB" w:rsidRPr="00C9040A">
        <w:rPr>
          <w:rtl/>
        </w:rPr>
        <w:t>، بر ، بف » والوافي والبحار وتفسير العيّاشي. وفي « بس » : « ليس ينتفع »</w:t>
      </w:r>
      <w:r w:rsidR="008A74EB">
        <w:rPr>
          <w:rtl/>
        </w:rPr>
        <w:t>.</w:t>
      </w:r>
      <w:r w:rsidR="008A74EB" w:rsidRPr="00C9040A">
        <w:rPr>
          <w:rtl/>
        </w:rPr>
        <w:t xml:space="preserve"> وفي المطبوع : « ليس يقع »</w:t>
      </w:r>
      <w:r w:rsidR="008A74EB">
        <w:rPr>
          <w:rtl/>
        </w:rPr>
        <w:t>.</w:t>
      </w:r>
      <w:r w:rsidR="00EC2BED">
        <w:rPr>
          <w:rFonts w:hint="cs"/>
          <w:rtl/>
        </w:rPr>
        <w:t xml:space="preserve">              </w:t>
      </w:r>
      <w:r>
        <w:rPr>
          <w:rtl/>
        </w:rPr>
        <w:t>(12).</w:t>
      </w:r>
      <w:r w:rsidR="008A74EB" w:rsidRPr="00C9040A">
        <w:rPr>
          <w:rtl/>
        </w:rPr>
        <w:t xml:space="preserve"> في « بس » : « بشي‌ء »</w:t>
      </w:r>
      <w:r w:rsidR="008A74EB">
        <w:rPr>
          <w:rtl/>
        </w:rPr>
        <w:t>.</w:t>
      </w:r>
    </w:p>
    <w:p w:rsidR="008A74EB" w:rsidRPr="00C9040A" w:rsidRDefault="008A74EB" w:rsidP="004A4E41">
      <w:pPr>
        <w:pStyle w:val="libFootnote0"/>
        <w:rPr>
          <w:rtl/>
          <w:lang w:bidi="fa-IR"/>
        </w:rPr>
      </w:pPr>
      <w:r>
        <w:rPr>
          <w:rtl/>
        </w:rPr>
        <w:t>(13)</w:t>
      </w:r>
      <w:r w:rsidRPr="00C9040A">
        <w:rPr>
          <w:rtl/>
        </w:rPr>
        <w:t xml:space="preserve"> في « </w:t>
      </w:r>
      <w:r w:rsidR="006D3162">
        <w:rPr>
          <w:rtl/>
        </w:rPr>
        <w:t xml:space="preserve">ه </w:t>
      </w:r>
      <w:r w:rsidRPr="00C9040A">
        <w:rPr>
          <w:rtl/>
        </w:rPr>
        <w:t>» : « شي‌ء ينفع مكانها » بدل « يقع شي‌ء مكانها »</w:t>
      </w:r>
      <w:r>
        <w:rPr>
          <w:rtl/>
        </w:rPr>
        <w:t>.</w:t>
      </w:r>
    </w:p>
    <w:p w:rsidR="008A74EB" w:rsidRPr="00C9040A" w:rsidRDefault="008A74EB" w:rsidP="004A4E41">
      <w:pPr>
        <w:pStyle w:val="libFootnote0"/>
        <w:rPr>
          <w:rtl/>
          <w:lang w:bidi="fa-IR"/>
        </w:rPr>
      </w:pPr>
      <w:r>
        <w:rPr>
          <w:rtl/>
        </w:rPr>
        <w:t>(14)</w:t>
      </w:r>
      <w:r w:rsidRPr="00C9040A">
        <w:rPr>
          <w:rtl/>
        </w:rPr>
        <w:t xml:space="preserve"> يجوز فيه التخفيف أيضاً. وفي تفسير العيّاشي : « أفطرت »</w:t>
      </w:r>
      <w:r>
        <w:rPr>
          <w:rtl/>
        </w:rPr>
        <w:t>.</w:t>
      </w:r>
    </w:p>
    <w:p w:rsidR="008A74EB" w:rsidRPr="00C9040A" w:rsidRDefault="008A74EB" w:rsidP="004A4E41">
      <w:pPr>
        <w:pStyle w:val="libFootnote0"/>
        <w:rPr>
          <w:rtl/>
          <w:lang w:bidi="fa-IR"/>
        </w:rPr>
      </w:pPr>
      <w:r>
        <w:rPr>
          <w:rtl/>
        </w:rPr>
        <w:t>(15)</w:t>
      </w:r>
      <w:r w:rsidRPr="00C9040A">
        <w:rPr>
          <w:rtl/>
        </w:rPr>
        <w:t xml:space="preserve"> في « بف » : « غيره »</w:t>
      </w:r>
      <w:r>
        <w:rPr>
          <w:rtl/>
        </w:rPr>
        <w:t>.</w:t>
      </w:r>
    </w:p>
    <w:p w:rsidR="008A74EB" w:rsidRPr="00C9040A" w:rsidRDefault="008A74EB" w:rsidP="004A4E41">
      <w:pPr>
        <w:pStyle w:val="libFootnote0"/>
        <w:rPr>
          <w:rtl/>
          <w:lang w:bidi="fa-IR"/>
        </w:rPr>
      </w:pPr>
      <w:r>
        <w:rPr>
          <w:rtl/>
        </w:rPr>
        <w:t>(16)</w:t>
      </w:r>
      <w:r w:rsidRPr="00C9040A">
        <w:rPr>
          <w:rtl/>
        </w:rPr>
        <w:t xml:space="preserve"> في « د ، ز ، </w:t>
      </w:r>
      <w:r w:rsidR="006D3162">
        <w:rPr>
          <w:rtl/>
        </w:rPr>
        <w:t xml:space="preserve">ه </w:t>
      </w:r>
      <w:r w:rsidRPr="00C9040A">
        <w:rPr>
          <w:rtl/>
        </w:rPr>
        <w:t>» والوافي والمحاسن : « وجبرت »</w:t>
      </w:r>
      <w:r>
        <w:rPr>
          <w:rtl/>
        </w:rPr>
        <w:t>.</w:t>
      </w:r>
      <w:r w:rsidRPr="00C9040A">
        <w:rPr>
          <w:rtl/>
        </w:rPr>
        <w:t xml:space="preserve"> وفي تفسير العيّاشي : « وفديت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lastRenderedPageBreak/>
        <w:t xml:space="preserve">قَالَ : ثُمَّ قَالَ </w:t>
      </w:r>
      <w:r w:rsidR="006C577F" w:rsidRPr="006C577F">
        <w:rPr>
          <w:rStyle w:val="libFootnotenumChar"/>
          <w:rtl/>
        </w:rPr>
        <w:t>(1)</w:t>
      </w:r>
      <w:r w:rsidRPr="00463D87">
        <w:rPr>
          <w:rFonts w:hint="cs"/>
          <w:rtl/>
        </w:rPr>
        <w:t xml:space="preserve"> </w:t>
      </w:r>
      <w:r w:rsidRPr="00C9040A">
        <w:rPr>
          <w:rtl/>
          <w:lang w:bidi="fa-IR"/>
        </w:rPr>
        <w:t xml:space="preserve">: « ذِرْوَةُ </w:t>
      </w:r>
      <w:r w:rsidR="006C577F" w:rsidRPr="006C577F">
        <w:rPr>
          <w:rStyle w:val="libFootnotenumChar"/>
          <w:rtl/>
        </w:rPr>
        <w:t>(2)</w:t>
      </w:r>
      <w:r w:rsidRPr="00C9040A">
        <w:rPr>
          <w:rtl/>
          <w:lang w:bidi="fa-IR"/>
        </w:rPr>
        <w:t xml:space="preserve"> الْأَمْرِ وَسَنَامُهُ </w:t>
      </w:r>
      <w:r w:rsidR="006C577F" w:rsidRPr="006C577F">
        <w:rPr>
          <w:rStyle w:val="libFootnotenumChar"/>
          <w:rtl/>
        </w:rPr>
        <w:t>(3)</w:t>
      </w:r>
      <w:r w:rsidRPr="00C9040A">
        <w:rPr>
          <w:rtl/>
          <w:lang w:bidi="fa-IR"/>
        </w:rPr>
        <w:t xml:space="preserve"> وَمِفْتَاحُهُ وَبَابُ الْأَشْيَاءِ وَرِضَا </w:t>
      </w:r>
      <w:r w:rsidR="006C577F" w:rsidRPr="006C577F">
        <w:rPr>
          <w:rStyle w:val="libFootnotenumChar"/>
          <w:rtl/>
        </w:rPr>
        <w:t>(4)</w:t>
      </w:r>
      <w:r w:rsidRPr="00C9040A">
        <w:rPr>
          <w:rtl/>
          <w:lang w:bidi="fa-IR"/>
        </w:rPr>
        <w:t xml:space="preserve"> الرَّحْمنِ الطَّاعَةُ لِلْإِمَامِ بَعْدَ مَعْرِفَتِهِ </w:t>
      </w:r>
      <w:r w:rsidR="006C577F" w:rsidRPr="006C577F">
        <w:rPr>
          <w:rStyle w:val="libFootnotenumChar"/>
          <w:rtl/>
        </w:rPr>
        <w:t>(5)</w:t>
      </w:r>
      <w:r w:rsidRPr="00C9040A">
        <w:rPr>
          <w:rtl/>
          <w:lang w:bidi="fa-IR"/>
        </w:rPr>
        <w:t xml:space="preserve"> ، إِنَّ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يَقُولُ : </w:t>
      </w:r>
      <w:r w:rsidRPr="0003660B">
        <w:rPr>
          <w:rStyle w:val="libAlaemChar"/>
          <w:rtl/>
        </w:rPr>
        <w:t>(</w:t>
      </w:r>
      <w:r w:rsidRPr="006A2246">
        <w:rPr>
          <w:rStyle w:val="libAieChar"/>
          <w:rtl/>
        </w:rPr>
        <w:t xml:space="preserve"> مَنْ يُطِعِ الرَّسُولَ فَقَدْ أَطاعَ اللهَ وَمَنْ تَوَلّى فَما أَرْسَلْناكَ عَلَيْهِمْ حَفِيظاً </w:t>
      </w:r>
      <w:r w:rsidRPr="0003660B">
        <w:rPr>
          <w:rStyle w:val="libAlaemChar"/>
          <w:rtl/>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 xml:space="preserve">أَمَا لَوْ أَنَّ رَجُلاً قَامَ لَيْلَهُ وَصَامَ نَهَارَهُ </w:t>
      </w:r>
      <w:r w:rsidR="006C577F" w:rsidRPr="006C577F">
        <w:rPr>
          <w:rStyle w:val="libFootnotenumChar"/>
          <w:rtl/>
        </w:rPr>
        <w:t>(7)</w:t>
      </w:r>
      <w:r w:rsidRPr="00C9040A">
        <w:rPr>
          <w:rtl/>
          <w:lang w:bidi="fa-IR"/>
        </w:rPr>
        <w:t xml:space="preserve"> وَتَصَدَّقَ بِجَمِيعِ مَالِهِ وَحَجَّ جَمِيعَ دَهْرِهِ وَلَمْ يَعْرِفْ وَلَايَةَ وَلِيِّ اللهِ فَيُوَالِيَهُ وَيَكُونَ </w:t>
      </w:r>
      <w:r w:rsidR="006C577F" w:rsidRPr="006C577F">
        <w:rPr>
          <w:rStyle w:val="libFootnotenumChar"/>
          <w:rtl/>
        </w:rPr>
        <w:t>(8)</w:t>
      </w:r>
      <w:r w:rsidRPr="00C9040A">
        <w:rPr>
          <w:rtl/>
          <w:lang w:bidi="fa-IR"/>
        </w:rPr>
        <w:t xml:space="preserve"> جَمِيعُ أَعْمَالِهِ بِدَلَالَتِهِ إِلَيْهِ </w:t>
      </w:r>
      <w:r w:rsidR="006C577F" w:rsidRPr="006C577F">
        <w:rPr>
          <w:rStyle w:val="libFootnotenumChar"/>
          <w:rtl/>
        </w:rPr>
        <w:t>(9)</w:t>
      </w:r>
      <w:r w:rsidRPr="00C9040A">
        <w:rPr>
          <w:rtl/>
          <w:lang w:bidi="fa-IR"/>
        </w:rPr>
        <w:t xml:space="preserve"> ، مَا كَانَ لَهُ عَلَى اللهِ حَقٌّ فِي ثَوَابِهِ </w:t>
      </w:r>
      <w:r w:rsidR="006C577F" w:rsidRPr="006C577F">
        <w:rPr>
          <w:rStyle w:val="libFootnotenumChar"/>
          <w:rtl/>
        </w:rPr>
        <w:t>(10)</w:t>
      </w:r>
      <w:r w:rsidRPr="00C9040A">
        <w:rPr>
          <w:rtl/>
          <w:lang w:bidi="fa-IR"/>
        </w:rPr>
        <w:t xml:space="preserve"> ، وَلَا كَانَ مِنْ أَهْلِ الْإِيمَانِ »</w:t>
      </w:r>
      <w:r>
        <w:rPr>
          <w:rtl/>
          <w:lang w:bidi="fa-IR"/>
        </w:rPr>
        <w:t>.</w:t>
      </w:r>
      <w:r w:rsidRPr="00C9040A">
        <w:rPr>
          <w:rtl/>
          <w:lang w:bidi="fa-IR"/>
        </w:rPr>
        <w:t xml:space="preserve"> ثُمَّ قَالَ : « أُولئِكَ الْمُحْسِنُ مِنْهُمْ يُدْخِلُهُ اللهُ الْجَنَّةَ بِفَضْلِ رَحْمَتِهِ </w:t>
      </w:r>
      <w:r w:rsidR="006C577F" w:rsidRPr="006C577F">
        <w:rPr>
          <w:rStyle w:val="libFootnotenumChar"/>
          <w:rtl/>
        </w:rPr>
        <w:t>(11)</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(12)</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 بس » : + « إنّ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الذِّروَة</w:t>
      </w:r>
      <w:r w:rsidR="008A74EB">
        <w:rPr>
          <w:rtl/>
        </w:rPr>
        <w:t xml:space="preserve"> </w:t>
      </w:r>
      <w:r w:rsidR="0084262C">
        <w:rPr>
          <w:rtl/>
        </w:rPr>
        <w:t>-</w:t>
      </w:r>
      <w:r w:rsidR="008A74EB">
        <w:rPr>
          <w:rtl/>
        </w:rPr>
        <w:t xml:space="preserve"> </w:t>
      </w:r>
      <w:r w:rsidR="008A74EB" w:rsidRPr="00C9040A">
        <w:rPr>
          <w:rtl/>
        </w:rPr>
        <w:t>بالكسر والضمّ</w:t>
      </w:r>
      <w:r w:rsidR="008A74EB">
        <w:rPr>
          <w:rtl/>
        </w:rPr>
        <w:t xml:space="preserve"> </w:t>
      </w:r>
      <w:r w:rsidR="0084262C">
        <w:rPr>
          <w:rtl/>
        </w:rPr>
        <w:t>-</w:t>
      </w:r>
      <w:r w:rsidR="008A74EB">
        <w:rPr>
          <w:rtl/>
        </w:rPr>
        <w:t xml:space="preserve"> </w:t>
      </w:r>
      <w:r w:rsidR="008A74EB" w:rsidRPr="00C9040A">
        <w:rPr>
          <w:rtl/>
        </w:rPr>
        <w:t xml:space="preserve">من كلّ شي‌ء : أعلاه. </w:t>
      </w:r>
      <w:r w:rsidR="008A74EB" w:rsidRPr="00993B55">
        <w:rPr>
          <w:rStyle w:val="libFootnoteBoldChar"/>
          <w:rtl/>
        </w:rPr>
        <w:t>المصباح المنير</w:t>
      </w:r>
      <w:r w:rsidR="008A74EB" w:rsidRPr="00C9040A">
        <w:rPr>
          <w:rtl/>
        </w:rPr>
        <w:t xml:space="preserve"> ، ص 208 ( ذرو )</w:t>
      </w:r>
      <w:r w:rsidR="008A74EB">
        <w:rPr>
          <w:rtl/>
        </w:rPr>
        <w:t>.</w:t>
      </w:r>
    </w:p>
    <w:p w:rsidR="008A74EB" w:rsidRPr="004A4E41" w:rsidRDefault="006C577F" w:rsidP="004A4E41">
      <w:pPr>
        <w:pStyle w:val="libFootnote0"/>
        <w:rPr>
          <w:rStyle w:val="libFootnote0Char"/>
          <w:rtl/>
        </w:rPr>
      </w:pPr>
      <w:r>
        <w:rPr>
          <w:rtl/>
        </w:rPr>
        <w:t>(3).</w:t>
      </w:r>
      <w:r w:rsidR="008A74EB" w:rsidRPr="00C9040A">
        <w:rPr>
          <w:rtl/>
        </w:rPr>
        <w:t xml:space="preserve"> سَنام كلّ شي‌ء : أعلاه. مجمع البحرين ، ج 6 ، ص 92 ( سنم )</w:t>
      </w:r>
      <w:r w:rsidR="008A74EB">
        <w:rPr>
          <w:rtl/>
        </w:rPr>
        <w:t>.</w:t>
      </w:r>
    </w:p>
    <w:tbl>
      <w:tblPr>
        <w:tblStyle w:val="TableGrid"/>
        <w:bidiVisual/>
        <w:tblW w:w="0" w:type="auto"/>
        <w:tblLook w:val="04A0" w:firstRow="1" w:lastRow="0" w:firstColumn="1" w:lastColumn="0" w:noHBand="0" w:noVBand="1"/>
      </w:tblPr>
      <w:tblGrid>
        <w:gridCol w:w="4006"/>
        <w:gridCol w:w="4006"/>
      </w:tblGrid>
      <w:tr w:rsidR="00EC2BED" w:rsidTr="00EC2BED">
        <w:tc>
          <w:tcPr>
            <w:tcW w:w="4006" w:type="dxa"/>
          </w:tcPr>
          <w:p w:rsidR="00EC2BED" w:rsidRDefault="00EC2BED" w:rsidP="004A4E41">
            <w:pPr>
              <w:pStyle w:val="libFootnote0"/>
              <w:rPr>
                <w:rtl/>
              </w:rPr>
            </w:pPr>
            <w:r>
              <w:rPr>
                <w:rtl/>
              </w:rPr>
              <w:t>(4).</w:t>
            </w:r>
            <w:r w:rsidRPr="00C9040A">
              <w:rPr>
                <w:rtl/>
              </w:rPr>
              <w:t xml:space="preserve"> في « ج ، د ، </w:t>
            </w:r>
            <w:r>
              <w:rPr>
                <w:rtl/>
              </w:rPr>
              <w:t xml:space="preserve">ه </w:t>
            </w:r>
            <w:r w:rsidRPr="00C9040A">
              <w:rPr>
                <w:rtl/>
              </w:rPr>
              <w:t>، بر ، بس » : « رضاء »</w:t>
            </w:r>
            <w:r>
              <w:rPr>
                <w:rtl/>
              </w:rPr>
              <w:t>.</w:t>
            </w:r>
          </w:p>
        </w:tc>
        <w:tc>
          <w:tcPr>
            <w:tcW w:w="4006" w:type="dxa"/>
          </w:tcPr>
          <w:p w:rsidR="00EC2BED" w:rsidRDefault="00EC2BED" w:rsidP="004A4E41">
            <w:pPr>
              <w:pStyle w:val="libFootnote0"/>
              <w:rPr>
                <w:rtl/>
              </w:rPr>
            </w:pPr>
            <w:r>
              <w:rPr>
                <w:rtl/>
              </w:rPr>
              <w:t>(5).</w:t>
            </w:r>
            <w:r w:rsidRPr="00C9040A">
              <w:rPr>
                <w:rtl/>
              </w:rPr>
              <w:t xml:space="preserve"> في الكافي ، ح 483 : + « ثمّ قال »</w:t>
            </w:r>
            <w:r>
              <w:rPr>
                <w:rtl/>
              </w:rPr>
              <w:t>.</w:t>
            </w:r>
          </w:p>
        </w:tc>
      </w:tr>
    </w:tbl>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النساء </w:t>
      </w:r>
      <w:r w:rsidR="00810634">
        <w:rPr>
          <w:rtl/>
        </w:rPr>
        <w:t>(4)</w:t>
      </w:r>
      <w:r w:rsidR="008A74EB" w:rsidRPr="00C9040A">
        <w:rPr>
          <w:rtl/>
        </w:rPr>
        <w:t xml:space="preserve"> : 80. وفي الوسائل ، ح 298 </w:t>
      </w:r>
      <w:r w:rsidR="008A74EB">
        <w:rPr>
          <w:rtl/>
        </w:rPr>
        <w:t xml:space="preserve">: </w:t>
      </w:r>
      <w:r w:rsidR="0084262C">
        <w:rPr>
          <w:rtl/>
        </w:rPr>
        <w:t>-</w:t>
      </w:r>
      <w:r w:rsidR="008A74EB" w:rsidRPr="00C9040A">
        <w:rPr>
          <w:rtl/>
        </w:rPr>
        <w:t xml:space="preserve"> « إنّ الله</w:t>
      </w:r>
      <w:r w:rsidR="008A74EB">
        <w:rPr>
          <w:rtl/>
        </w:rPr>
        <w:t xml:space="preserve"> </w:t>
      </w:r>
      <w:r w:rsidR="0084262C">
        <w:rPr>
          <w:rtl/>
        </w:rPr>
        <w:t>-</w:t>
      </w:r>
      <w:r w:rsidR="008A74EB">
        <w:rPr>
          <w:rtl/>
        </w:rPr>
        <w:t xml:space="preserve"> </w:t>
      </w:r>
      <w:r w:rsidR="008A74EB" w:rsidRPr="00C9040A">
        <w:rPr>
          <w:rtl/>
        </w:rPr>
        <w:t>إلى</w:t>
      </w:r>
      <w:r w:rsidR="008A74EB">
        <w:rPr>
          <w:rtl/>
        </w:rPr>
        <w:t xml:space="preserve"> </w:t>
      </w:r>
      <w:r w:rsidR="00810634">
        <w:rPr>
          <w:rtl/>
        </w:rPr>
        <w:t>–</w:t>
      </w:r>
      <w:r w:rsidR="008A74EB">
        <w:rPr>
          <w:rtl/>
        </w:rPr>
        <w:t xml:space="preserve"> </w:t>
      </w:r>
      <w:r w:rsidR="00810634" w:rsidRPr="00B866D3">
        <w:rPr>
          <w:rStyle w:val="libFootnoteAlaemChar"/>
          <w:rFonts w:hint="cs"/>
          <w:rtl/>
        </w:rPr>
        <w:t>(</w:t>
      </w:r>
      <w:r w:rsidR="008A74EB" w:rsidRPr="00810634">
        <w:rPr>
          <w:rStyle w:val="libFootnoteAieChar"/>
          <w:rtl/>
        </w:rPr>
        <w:t xml:space="preserve"> حَفِيظًا </w:t>
      </w:r>
      <w:r w:rsidR="00810634" w:rsidRPr="00B866D3">
        <w:rPr>
          <w:rStyle w:val="libFootnoteAlaemChar"/>
          <w:rFonts w:hint="cs"/>
          <w:rtl/>
        </w:rPr>
        <w:t>)</w:t>
      </w:r>
      <w:r w:rsidR="008A74EB" w:rsidRPr="00C9040A">
        <w:rPr>
          <w:rtl/>
        </w:rPr>
        <w:t xml:space="preserve">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الوسائل ، ح 33163 : « صام نهاره وقام ليله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 ب » والوسائل ، ح 33163 : « وتكون »</w:t>
      </w:r>
      <w:r w:rsidR="008A74EB">
        <w:rPr>
          <w:rtl/>
        </w:rPr>
        <w:t>.</w:t>
      </w:r>
      <w:r w:rsidR="008A74EB" w:rsidRPr="00C9040A">
        <w:rPr>
          <w:rtl/>
        </w:rPr>
        <w:t xml:space="preserve"> وفي « ز » : « فيكون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حاشية « د ، ز » : « إليها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الوسائل ، ح 33163 : « على الله ثواب » بدل « على الله حقّ في ثوابه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في حاشية « بف » : « بفضله ورحمته » وفي الوسائل ، ح 33163 </w:t>
      </w:r>
      <w:r w:rsidR="008A74EB">
        <w:rPr>
          <w:rtl/>
        </w:rPr>
        <w:t xml:space="preserve">: </w:t>
      </w:r>
      <w:r w:rsidR="0084262C">
        <w:rPr>
          <w:rtl/>
        </w:rPr>
        <w:t>-</w:t>
      </w:r>
      <w:r w:rsidR="008A74EB" w:rsidRPr="00C9040A">
        <w:rPr>
          <w:rtl/>
        </w:rPr>
        <w:t xml:space="preserve"> « ثمّ قال</w:t>
      </w:r>
      <w:r w:rsidR="008A74EB">
        <w:rPr>
          <w:rtl/>
        </w:rPr>
        <w:t xml:space="preserve"> </w:t>
      </w:r>
      <w:r w:rsidR="0084262C">
        <w:rPr>
          <w:rtl/>
        </w:rPr>
        <w:t>-</w:t>
      </w:r>
      <w:r w:rsidR="008A74EB">
        <w:rPr>
          <w:rtl/>
        </w:rPr>
        <w:t xml:space="preserve"> </w:t>
      </w:r>
      <w:r w:rsidR="008A74EB" w:rsidRPr="00C9040A">
        <w:rPr>
          <w:rtl/>
        </w:rPr>
        <w:t>إلى</w:t>
      </w:r>
      <w:r w:rsidR="008A74EB">
        <w:rPr>
          <w:rtl/>
        </w:rPr>
        <w:t xml:space="preserve"> </w:t>
      </w:r>
      <w:r w:rsidR="0084262C">
        <w:rPr>
          <w:rtl/>
        </w:rPr>
        <w:t>-</w:t>
      </w:r>
      <w:r w:rsidR="008A74EB">
        <w:rPr>
          <w:rtl/>
        </w:rPr>
        <w:t xml:space="preserve"> </w:t>
      </w:r>
      <w:r w:rsidR="008A74EB" w:rsidRPr="00C9040A">
        <w:rPr>
          <w:rtl/>
        </w:rPr>
        <w:t>رحمته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w:t>
      </w:r>
      <w:r w:rsidR="008A74EB" w:rsidRPr="00993B55">
        <w:rPr>
          <w:rStyle w:val="libFootnoteBoldChar"/>
          <w:rtl/>
        </w:rPr>
        <w:t>الكافي</w:t>
      </w:r>
      <w:r w:rsidR="008A74EB" w:rsidRPr="00C9040A">
        <w:rPr>
          <w:rtl/>
        </w:rPr>
        <w:t xml:space="preserve"> ، كتاب الحجّة ، باب فرض طاعة الأئمّة ، ح 483 ، من قوله : « ذروة الأمر وسنامه » إلى قوله : </w:t>
      </w:r>
      <w:r w:rsidR="008A74EB" w:rsidRPr="00B866D3">
        <w:rPr>
          <w:rStyle w:val="libFootnoteAlaemChar"/>
          <w:rtl/>
        </w:rPr>
        <w:t>(</w:t>
      </w:r>
      <w:r w:rsidR="008A74EB" w:rsidRPr="00883DD5">
        <w:rPr>
          <w:rStyle w:val="libFootnoteAieChar"/>
          <w:rFonts w:hint="cs"/>
          <w:rtl/>
        </w:rPr>
        <w:t xml:space="preserve"> </w:t>
      </w:r>
      <w:r w:rsidR="008A74EB" w:rsidRPr="00883DD5">
        <w:rPr>
          <w:rStyle w:val="libFootnoteAieChar"/>
          <w:rtl/>
        </w:rPr>
        <w:t>عَلَيْهِمْ حَفِيظاً</w:t>
      </w:r>
      <w:r w:rsidR="008A74EB" w:rsidRPr="00883DD5">
        <w:rPr>
          <w:rStyle w:val="libFootnoteAieChar"/>
          <w:rFonts w:hint="cs"/>
          <w:rtl/>
        </w:rPr>
        <w:t xml:space="preserve"> </w:t>
      </w:r>
      <w:r w:rsidR="008A74EB" w:rsidRPr="00B866D3">
        <w:rPr>
          <w:rStyle w:val="libFootnoteAlaemChar"/>
          <w:rtl/>
        </w:rPr>
        <w:t>)</w:t>
      </w:r>
      <w:r w:rsidR="008A74EB" w:rsidRPr="00C9040A">
        <w:rPr>
          <w:rtl/>
        </w:rPr>
        <w:t xml:space="preserve"> ؛ وفيه ، كتاب الصيام ، باب ما جاء في فضل الصوم والصائم ، ح 6252 ، وفيهما عن عليّ بن إبراهيم ، عن أبيه ، عن حمّاد بن عيسى. </w:t>
      </w:r>
      <w:r w:rsidR="008A74EB" w:rsidRPr="00993B55">
        <w:rPr>
          <w:rStyle w:val="libFootnoteBoldChar"/>
          <w:rtl/>
        </w:rPr>
        <w:t>التهذيب</w:t>
      </w:r>
      <w:r w:rsidR="008A74EB" w:rsidRPr="00C9040A">
        <w:rPr>
          <w:rtl/>
        </w:rPr>
        <w:t xml:space="preserve"> ، ج 4 ، ص 151 ، ح 418 ، معلّقاً عن الكليني في ح 6252. </w:t>
      </w:r>
      <w:r w:rsidR="008A74EB" w:rsidRPr="00993B55">
        <w:rPr>
          <w:rStyle w:val="libFootnoteBoldChar"/>
          <w:rtl/>
        </w:rPr>
        <w:t>فضائل الأشهر الثلاثة</w:t>
      </w:r>
      <w:r w:rsidR="008A74EB" w:rsidRPr="00C9040A">
        <w:rPr>
          <w:rtl/>
        </w:rPr>
        <w:t xml:space="preserve"> ، ص 119 ، ح 117 ، بسند آخر عن حمّاد بن عيسى ، وفي الثلاثة الأخيرة إلى قوله : « الحجّ والصوم والولاية » مع قطعة اخرى وهي : « وقال رسول الله </w:t>
      </w:r>
      <w:r w:rsidR="004A4E41" w:rsidRPr="00B866D3">
        <w:rPr>
          <w:rStyle w:val="libFootnoteAlaemChar"/>
          <w:rtl/>
        </w:rPr>
        <w:t>صلى‌الله‌عليه‌وآله</w:t>
      </w:r>
      <w:r w:rsidR="008A74EB" w:rsidRPr="00C9040A">
        <w:rPr>
          <w:rtl/>
        </w:rPr>
        <w:t xml:space="preserve"> الصوم جنّة من النار »</w:t>
      </w:r>
      <w:r w:rsidR="008A74EB">
        <w:rPr>
          <w:rtl/>
        </w:rPr>
        <w:t>.</w:t>
      </w:r>
      <w:r w:rsidR="008A74EB" w:rsidRPr="00C9040A">
        <w:rPr>
          <w:rtl/>
        </w:rPr>
        <w:t xml:space="preserve"> </w:t>
      </w:r>
      <w:r w:rsidR="008A74EB" w:rsidRPr="00993B55">
        <w:rPr>
          <w:rStyle w:val="libFootnoteBoldChar"/>
          <w:rtl/>
        </w:rPr>
        <w:t>المحاسن</w:t>
      </w:r>
      <w:r w:rsidR="008A74EB" w:rsidRPr="00C9040A">
        <w:rPr>
          <w:rtl/>
        </w:rPr>
        <w:t xml:space="preserve"> ، ص 286 ، كتاب مصابيح الظلم ، ح 430 ، بسند آخر عن حمّاد بن عيسى ، عن حريز بن عبدالله ، عن زرارة ، عن أبي عبدالله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الفقيه</w:t>
      </w:r>
      <w:r w:rsidR="008A74EB" w:rsidRPr="00C9040A">
        <w:rPr>
          <w:rtl/>
        </w:rPr>
        <w:t xml:space="preserve"> ، ج 2 ، ص 74 ، ح 1870 ، مرسلاً عن أبي جعفر </w:t>
      </w:r>
      <w:r w:rsidR="00117575" w:rsidRPr="00117575">
        <w:rPr>
          <w:rStyle w:val="libFootnoteAlaemChar"/>
          <w:rtl/>
        </w:rPr>
        <w:t>عليه‌السلام</w:t>
      </w:r>
      <w:r w:rsidR="008A74EB" w:rsidRPr="00C9040A">
        <w:rPr>
          <w:rtl/>
        </w:rPr>
        <w:t xml:space="preserve"> ، إلى قوله : « الحجّ والصوم والولاية » ؛ </w:t>
      </w:r>
      <w:r w:rsidR="008A74EB" w:rsidRPr="00993B55">
        <w:rPr>
          <w:rStyle w:val="libFootnoteBoldChar"/>
          <w:rtl/>
        </w:rPr>
        <w:t>وفيه</w:t>
      </w:r>
      <w:r w:rsidR="008A74EB" w:rsidRPr="00C9040A">
        <w:rPr>
          <w:rtl/>
        </w:rPr>
        <w:t xml:space="preserve"> ، ح 1871 ، مرسلاً عن رسول الله </w:t>
      </w:r>
      <w:r w:rsidR="004A4E41" w:rsidRPr="00B866D3">
        <w:rPr>
          <w:rStyle w:val="libFootnoteAlaemChar"/>
          <w:rtl/>
        </w:rPr>
        <w:t>صلى‌الله‌عليه‌وآله</w:t>
      </w:r>
      <w:r w:rsidR="008A74EB" w:rsidRPr="00C9040A">
        <w:rPr>
          <w:rtl/>
        </w:rPr>
        <w:t xml:space="preserve"> ، وتمام الرواية فيه : « الصوم جنّة من النار »</w:t>
      </w:r>
      <w:r w:rsidR="008A74EB">
        <w:rPr>
          <w:rtl/>
        </w:rPr>
        <w:t>.</w:t>
      </w:r>
      <w:r w:rsidR="008A74EB" w:rsidRPr="00C9040A">
        <w:rPr>
          <w:rtl/>
        </w:rPr>
        <w:t xml:space="preserve"> </w:t>
      </w:r>
      <w:r w:rsidR="008A74EB" w:rsidRPr="00993B55">
        <w:rPr>
          <w:rStyle w:val="libFootnoteBoldChar"/>
          <w:rtl/>
        </w:rPr>
        <w:t>تفسير العيّاشي</w:t>
      </w:r>
      <w:r w:rsidR="008A74EB" w:rsidRPr="00C9040A">
        <w:rPr>
          <w:rtl/>
        </w:rPr>
        <w:t xml:space="preserve"> ، ج 1 ، ص 191 ، ح 109 ، عن أبي جعفر </w:t>
      </w:r>
      <w:r w:rsidR="00117575" w:rsidRPr="00117575">
        <w:rPr>
          <w:rStyle w:val="libFootnoteAlaemChar"/>
          <w:rtl/>
        </w:rPr>
        <w:t xml:space="preserve">عليه‌السلام </w:t>
      </w:r>
      <w:r w:rsidR="008A74EB" w:rsidRPr="00C9040A">
        <w:rPr>
          <w:rtl/>
        </w:rPr>
        <w:t>، إلى قوله : « ليس من تلك الأربعة شي‌ء يجزيك مكانه غيره »</w:t>
      </w:r>
      <w:r w:rsidR="00EA21BD">
        <w:rPr>
          <w:rFonts w:hint="cs"/>
          <w:rtl/>
        </w:rPr>
        <w:t>.</w:t>
      </w:r>
      <w:r w:rsidR="008A74EB" w:rsidRPr="00993B55">
        <w:rPr>
          <w:rStyle w:val="libFootnoteBoldChar"/>
          <w:rtl/>
        </w:rPr>
        <w:t>الوافي</w:t>
      </w:r>
      <w:r w:rsidR="008A74EB" w:rsidRPr="00C9040A">
        <w:rPr>
          <w:rtl/>
        </w:rPr>
        <w:t xml:space="preserve"> ، ج 4 ، ص 89 ، ح 1699 ؛ </w:t>
      </w:r>
      <w:r w:rsidR="008A74EB" w:rsidRPr="00993B55">
        <w:rPr>
          <w:rStyle w:val="libFootnoteBoldChar"/>
          <w:rtl/>
        </w:rPr>
        <w:t>الوسائل</w:t>
      </w:r>
      <w:r w:rsidR="008A74EB" w:rsidRPr="00C9040A">
        <w:rPr>
          <w:rtl/>
        </w:rPr>
        <w:t xml:space="preserve"> ، ج 1 ، ص 13 ، ح 2 ، إلى قوله : « قلت : فماذا يتبعه</w:t>
      </w:r>
      <w:r w:rsidR="008A74EB">
        <w:rPr>
          <w:rtl/>
        </w:rPr>
        <w:t>؟</w:t>
      </w:r>
      <w:r w:rsidR="008A74EB" w:rsidRPr="00C9040A">
        <w:rPr>
          <w:rtl/>
        </w:rPr>
        <w:t xml:space="preserve"> قال : الصوم » ؛ </w:t>
      </w:r>
      <w:r w:rsidR="008A74EB" w:rsidRPr="00993B55">
        <w:rPr>
          <w:rStyle w:val="libFootnoteBoldChar"/>
          <w:rtl/>
        </w:rPr>
        <w:t>وفيه</w:t>
      </w:r>
      <w:r w:rsidR="008A74EB" w:rsidRPr="00C9040A">
        <w:rPr>
          <w:rtl/>
        </w:rPr>
        <w:t xml:space="preserve"> ، ص 119 ، ح 298 ، من قوله : </w:t>
      </w:r>
      <w:r w:rsidR="00EA21BD">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195EC6">
        <w:rPr>
          <w:rtl/>
        </w:rPr>
        <w:lastRenderedPageBreak/>
        <w:t>1495</w:t>
      </w:r>
      <w:r w:rsidRPr="00261CB0">
        <w:rPr>
          <w:rStyle w:val="libBold2Char"/>
          <w:rtl/>
        </w:rPr>
        <w:t xml:space="preserve"> / 6.</w:t>
      </w:r>
      <w:r w:rsidRPr="00C9040A">
        <w:rPr>
          <w:rtl/>
          <w:lang w:bidi="fa-IR"/>
        </w:rPr>
        <w:t xml:space="preserve"> مُحَمَّدُ بْنُ يَحْيى ، عَنْ أَحْمَدَ بْنِ مُحَمَّدٍ ، عَنْ صَفْوَانَ بْنِ يَحْيى ، عَنْ عِيسَى بْنِ السَّرِيِّ أَبِي الْيَسَعِ ، قَالَ :</w:t>
      </w:r>
    </w:p>
    <w:p w:rsidR="008A74EB" w:rsidRPr="00C9040A" w:rsidRDefault="008A74EB" w:rsidP="008A74EB">
      <w:pPr>
        <w:pStyle w:val="libNormal"/>
        <w:rPr>
          <w:rtl/>
          <w:lang w:bidi="fa-IR"/>
        </w:rPr>
      </w:pPr>
      <w:r w:rsidRPr="00C9040A">
        <w:rPr>
          <w:rtl/>
          <w:lang w:bidi="fa-IR"/>
        </w:rPr>
        <w:t xml:space="preserve">قُلْتُ لِأَبِي عَبْدِ اللهِ </w:t>
      </w:r>
      <w:r w:rsidRPr="0003660B">
        <w:rPr>
          <w:rStyle w:val="libAlaemChar"/>
          <w:rtl/>
        </w:rPr>
        <w:t>عليه‌السلام</w:t>
      </w:r>
      <w:r w:rsidRPr="00C9040A">
        <w:rPr>
          <w:rtl/>
          <w:lang w:bidi="fa-IR"/>
        </w:rPr>
        <w:t xml:space="preserve"> : أَخْبِرْنِي بِدَعَائِمِ الْإِسْلَامِ ، الَّتِي لَايَسَعُ أَحَداً التَّقْصِيرُ عَنْ مَعْرِفَةِ شَيْ‌ءٍ مِنْهَا ، الَّتِي </w:t>
      </w:r>
      <w:r w:rsidR="006C577F" w:rsidRPr="006C577F">
        <w:rPr>
          <w:rStyle w:val="libFootnotenumChar"/>
          <w:rtl/>
        </w:rPr>
        <w:t>(1)</w:t>
      </w:r>
      <w:r w:rsidRPr="002712F0">
        <w:rPr>
          <w:rFonts w:hint="cs"/>
          <w:rtl/>
        </w:rPr>
        <w:t xml:space="preserve"> </w:t>
      </w:r>
      <w:r w:rsidRPr="00C9040A">
        <w:rPr>
          <w:rtl/>
          <w:lang w:bidi="fa-IR"/>
        </w:rPr>
        <w:t xml:space="preserve">مَنْ قَصَّرَ عَنْ مَعْرِفَةِ شَيْ‌ءٍ مِنْهَا فَسَدَ </w:t>
      </w:r>
      <w:r w:rsidR="006C577F" w:rsidRPr="006C577F">
        <w:rPr>
          <w:rStyle w:val="libFootnotenumChar"/>
          <w:rtl/>
        </w:rPr>
        <w:t>(2)</w:t>
      </w:r>
      <w:r w:rsidRPr="00C9040A">
        <w:rPr>
          <w:rtl/>
          <w:lang w:bidi="fa-IR"/>
        </w:rPr>
        <w:t xml:space="preserve"> دِينُهُ وَلَمْ يُقْبَلْ </w:t>
      </w:r>
      <w:r w:rsidR="006C577F" w:rsidRPr="006C577F">
        <w:rPr>
          <w:rStyle w:val="libFootnotenumChar"/>
          <w:rtl/>
        </w:rPr>
        <w:t>(3)</w:t>
      </w:r>
      <w:r w:rsidRPr="00C9040A">
        <w:rPr>
          <w:rtl/>
          <w:lang w:bidi="fa-IR"/>
        </w:rPr>
        <w:t xml:space="preserve"> مِنْهُ </w:t>
      </w:r>
      <w:r w:rsidR="006C577F" w:rsidRPr="006C577F">
        <w:rPr>
          <w:rStyle w:val="libFootnotenumChar"/>
          <w:rtl/>
        </w:rPr>
        <w:t>(4)</w:t>
      </w:r>
      <w:r w:rsidRPr="00C9040A">
        <w:rPr>
          <w:rtl/>
          <w:lang w:bidi="fa-IR"/>
        </w:rPr>
        <w:t xml:space="preserve"> عَمَلُهُ ، وَمَنْ عَرَفَهَا وَعَمِلَ بِهَا صَلَحَ لَهُ دِينُهُ وَقُبِلَ </w:t>
      </w:r>
      <w:r w:rsidR="006C577F" w:rsidRPr="006C577F">
        <w:rPr>
          <w:rStyle w:val="libFootnotenumChar"/>
          <w:rtl/>
        </w:rPr>
        <w:t>(5)</w:t>
      </w:r>
      <w:r w:rsidRPr="00C9040A">
        <w:rPr>
          <w:rtl/>
          <w:lang w:bidi="fa-IR"/>
        </w:rPr>
        <w:t xml:space="preserve"> مِنْهُ عَمَلُهُ ، وَلَمْ يَضِقْ بِهِ </w:t>
      </w:r>
      <w:r w:rsidR="006C577F" w:rsidRPr="006C577F">
        <w:rPr>
          <w:rStyle w:val="libFootnotenumChar"/>
          <w:rtl/>
        </w:rPr>
        <w:t>(6)</w:t>
      </w:r>
      <w:r w:rsidRPr="005B567D">
        <w:rPr>
          <w:rStyle w:val="libFootnotenumChar"/>
          <w:rtl/>
        </w:rPr>
        <w:t xml:space="preserve"> </w:t>
      </w:r>
      <w:r w:rsidRPr="00C9040A">
        <w:rPr>
          <w:rtl/>
          <w:lang w:bidi="fa-IR"/>
        </w:rPr>
        <w:t xml:space="preserve">مِمَّا </w:t>
      </w:r>
      <w:r w:rsidR="006C577F" w:rsidRPr="006C577F">
        <w:rPr>
          <w:rStyle w:val="libFootnotenumChar"/>
          <w:rtl/>
        </w:rPr>
        <w:t>(7)</w:t>
      </w:r>
      <w:r w:rsidRPr="00C9040A">
        <w:rPr>
          <w:rtl/>
          <w:lang w:bidi="fa-IR"/>
        </w:rPr>
        <w:t xml:space="preserve"> هُوَ فِيهِ لِجَهْلِ </w:t>
      </w:r>
      <w:r w:rsidR="006C577F" w:rsidRPr="006C577F">
        <w:rPr>
          <w:rStyle w:val="libFootnotenumChar"/>
          <w:rtl/>
        </w:rPr>
        <w:t>(8)</w:t>
      </w:r>
      <w:r w:rsidRPr="00C9040A">
        <w:rPr>
          <w:rtl/>
          <w:lang w:bidi="fa-IR"/>
        </w:rPr>
        <w:t xml:space="preserve"> شَيْ‌ءٍ مِنَ الْأُمُورِ جَهِلَهُ </w:t>
      </w:r>
      <w:r w:rsidR="006C577F" w:rsidRPr="006C577F">
        <w:rPr>
          <w:rStyle w:val="libFootnotenumChar"/>
          <w:rtl/>
        </w:rPr>
        <w:t>(9)</w:t>
      </w:r>
      <w:r>
        <w:rPr>
          <w:rtl/>
          <w:lang w:bidi="fa-IR"/>
        </w:rPr>
        <w:t>؟</w:t>
      </w:r>
    </w:p>
    <w:p w:rsidR="008A74EB" w:rsidRPr="00C9040A" w:rsidRDefault="008A74EB" w:rsidP="008B7A50">
      <w:pPr>
        <w:pStyle w:val="libNormal"/>
        <w:rPr>
          <w:rtl/>
          <w:lang w:bidi="fa-IR"/>
        </w:rPr>
      </w:pPr>
      <w:r w:rsidRPr="00C9040A">
        <w:rPr>
          <w:rtl/>
          <w:lang w:bidi="fa-IR"/>
        </w:rPr>
        <w:t xml:space="preserve">فَقَالَ </w:t>
      </w:r>
      <w:r w:rsidR="006C577F" w:rsidRPr="006C577F">
        <w:rPr>
          <w:rStyle w:val="libFootnotenumChar"/>
          <w:rtl/>
        </w:rPr>
        <w:t>(10)</w:t>
      </w:r>
      <w:r w:rsidRPr="00C9040A">
        <w:rPr>
          <w:rtl/>
          <w:lang w:bidi="fa-IR"/>
        </w:rPr>
        <w:t xml:space="preserve"> : « شَهَادَةُ أَنْ لَا</w:t>
      </w:r>
      <w:r>
        <w:rPr>
          <w:rFonts w:hint="cs"/>
          <w:rtl/>
          <w:lang w:bidi="fa-IR"/>
        </w:rPr>
        <w:t xml:space="preserve"> </w:t>
      </w:r>
      <w:r w:rsidR="00747A44">
        <w:rPr>
          <w:rtl/>
          <w:lang w:bidi="fa-IR"/>
        </w:rPr>
        <w:t>إِلهَ إِل</w:t>
      </w:r>
      <w:r w:rsidR="00747A44">
        <w:rPr>
          <w:rFonts w:hint="cs"/>
          <w:rtl/>
          <w:lang w:bidi="fa-IR"/>
        </w:rPr>
        <w:t>َّ</w:t>
      </w:r>
      <w:r w:rsidR="00747A44">
        <w:rPr>
          <w:rtl/>
          <w:lang w:bidi="fa-IR"/>
        </w:rPr>
        <w:t>ا</w:t>
      </w:r>
      <w:r w:rsidRPr="00C9040A">
        <w:rPr>
          <w:rtl/>
          <w:lang w:bidi="fa-IR"/>
        </w:rPr>
        <w:t xml:space="preserve"> اللهُ ، وَالْإِيمَانُ بِأَنَّ مُحَمَّداً رَسُولُ اللهِ </w:t>
      </w:r>
      <w:r w:rsidR="004A4E41" w:rsidRPr="004A4E41">
        <w:rPr>
          <w:rStyle w:val="libAlaemChar"/>
          <w:rFonts w:eastAsiaTheme="minorHAnsi"/>
          <w:rtl/>
        </w:rPr>
        <w:t>صلى‌الله‌عليه‌وآله</w:t>
      </w:r>
      <w:r w:rsidR="008B7A50" w:rsidRPr="00C9040A">
        <w:rPr>
          <w:rtl/>
          <w:lang w:bidi="fa-IR"/>
        </w:rPr>
        <w:t xml:space="preserve"> </w:t>
      </w:r>
      <w:r w:rsidRPr="00C9040A">
        <w:rPr>
          <w:rtl/>
          <w:lang w:bidi="fa-IR"/>
        </w:rPr>
        <w:t xml:space="preserve">، وَالْإِقْرَارُ بِمَا جَاءَ بِهِ </w:t>
      </w:r>
      <w:r w:rsidR="006C577F" w:rsidRPr="006C577F">
        <w:rPr>
          <w:rStyle w:val="libFootnotenumChar"/>
          <w:rtl/>
        </w:rPr>
        <w:t>(11)</w:t>
      </w:r>
      <w:r w:rsidRPr="00C9040A">
        <w:rPr>
          <w:rtl/>
          <w:lang w:bidi="fa-IR"/>
        </w:rPr>
        <w:t xml:space="preserve"> مِنْ عِنْدِ اللهِ ، وَحَقٌّ </w:t>
      </w:r>
      <w:r w:rsidR="006C577F" w:rsidRPr="006C577F">
        <w:rPr>
          <w:rStyle w:val="libFootnotenumChar"/>
          <w:rtl/>
        </w:rPr>
        <w:t>(12)</w:t>
      </w:r>
      <w:r w:rsidRPr="00C9040A">
        <w:rPr>
          <w:rtl/>
          <w:lang w:bidi="fa-IR"/>
        </w:rPr>
        <w:t xml:space="preserve"> فِي</w:t>
      </w:r>
      <w:r w:rsidR="00747A44">
        <w:rPr>
          <w:rFonts w:hint="cs"/>
          <w:rtl/>
          <w:lang w:bidi="fa-IR"/>
        </w:rPr>
        <w:t>..............................................</w:t>
      </w:r>
      <w:r w:rsidR="00747A44">
        <w:rPr>
          <w:rFonts w:hint="cs"/>
          <w:rtl/>
          <w:lang w:bidi="fa-IR"/>
        </w:rPr>
        <w:tab/>
      </w:r>
      <w:r w:rsidRPr="00C9040A">
        <w:rPr>
          <w:rtl/>
          <w:lang w:bidi="fa-IR"/>
        </w:rPr>
        <w:t>‌</w:t>
      </w:r>
    </w:p>
    <w:p w:rsidR="008A74EB" w:rsidRPr="00C9040A" w:rsidRDefault="008A74EB" w:rsidP="008A74EB">
      <w:pPr>
        <w:pStyle w:val="libLine"/>
        <w:rPr>
          <w:rtl/>
          <w:lang w:bidi="fa-IR"/>
        </w:rPr>
      </w:pPr>
      <w:r w:rsidRPr="00C9040A">
        <w:rPr>
          <w:rtl/>
          <w:lang w:bidi="fa-IR"/>
        </w:rPr>
        <w:t>__________________</w:t>
      </w:r>
    </w:p>
    <w:p w:rsidR="008A74EB" w:rsidRPr="00C9040A" w:rsidRDefault="00223257" w:rsidP="004A4E41">
      <w:pPr>
        <w:pStyle w:val="libFootnote0"/>
        <w:rPr>
          <w:rtl/>
          <w:lang w:bidi="fa-IR"/>
        </w:rPr>
      </w:pPr>
      <w:r>
        <w:rPr>
          <w:rFonts w:hint="cs"/>
          <w:rtl/>
        </w:rPr>
        <w:t xml:space="preserve">= </w:t>
      </w:r>
      <w:r w:rsidR="008A74EB" w:rsidRPr="00C9040A">
        <w:rPr>
          <w:rtl/>
        </w:rPr>
        <w:t xml:space="preserve">« قال ذروة الأمر وسنامه » ، إلى قوله : « في ثوابه ولا كان من أهل الإيمان » ؛ </w:t>
      </w:r>
      <w:r w:rsidR="008A74EB" w:rsidRPr="00993B55">
        <w:rPr>
          <w:rStyle w:val="libFootnoteBoldChar"/>
          <w:rtl/>
        </w:rPr>
        <w:t>وفيه</w:t>
      </w:r>
      <w:r w:rsidR="008A74EB" w:rsidRPr="00C9040A">
        <w:rPr>
          <w:rtl/>
        </w:rPr>
        <w:t xml:space="preserve"> ، ج 27 ، ص 65 ، ح 33213 ، من قوله : « أما لو أنّ رجلاً قام ليله وصام نهاره » إلى قوله : « ولا كان من أهل الإيمان » ؛ </w:t>
      </w:r>
      <w:r w:rsidR="008A74EB" w:rsidRPr="00993B55">
        <w:rPr>
          <w:rStyle w:val="libFootnoteBoldChar"/>
          <w:rtl/>
        </w:rPr>
        <w:t>وفيه</w:t>
      </w:r>
      <w:r w:rsidR="008A74EB" w:rsidRPr="00C9040A">
        <w:rPr>
          <w:rtl/>
        </w:rPr>
        <w:t xml:space="preserve"> ، ص 42 ، ح 33163 ، من قوله : « أما لو أنّ رجلاً قام ليله » ؛ </w:t>
      </w:r>
      <w:r w:rsidR="008A74EB" w:rsidRPr="00993B55">
        <w:rPr>
          <w:rStyle w:val="libFootnoteBoldChar"/>
          <w:rtl/>
        </w:rPr>
        <w:t>البحار</w:t>
      </w:r>
      <w:r w:rsidR="008A74EB" w:rsidRPr="00C9040A">
        <w:rPr>
          <w:rtl/>
        </w:rPr>
        <w:t xml:space="preserve"> ، ج 68 ، ص 332 ، ح 10.</w:t>
      </w:r>
    </w:p>
    <w:p w:rsidR="008A74EB" w:rsidRPr="00C9040A" w:rsidRDefault="006C577F" w:rsidP="004A4E41">
      <w:pPr>
        <w:pStyle w:val="libFootnote0"/>
        <w:rPr>
          <w:rtl/>
          <w:lang w:bidi="fa-IR"/>
        </w:rPr>
      </w:pPr>
      <w:r>
        <w:rPr>
          <w:rtl/>
        </w:rPr>
        <w:t>(1).</w:t>
      </w:r>
      <w:r w:rsidR="008A74EB" w:rsidRPr="00C9040A">
        <w:rPr>
          <w:rtl/>
        </w:rPr>
        <w:t xml:space="preserve"> هكذا في « ب ، </w:t>
      </w:r>
      <w:r w:rsidR="006D3162">
        <w:rPr>
          <w:rtl/>
        </w:rPr>
        <w:t xml:space="preserve">ه </w:t>
      </w:r>
      <w:r w:rsidR="008A74EB" w:rsidRPr="00C9040A">
        <w:rPr>
          <w:rtl/>
        </w:rPr>
        <w:t>، بر ، بف » والبحار وتفسير العيّاشي. وفي المطبوع وسائر النسخ : « الذي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ب ، ج ، د ، ز ، ف ، </w:t>
      </w:r>
      <w:r w:rsidR="006D3162">
        <w:rPr>
          <w:rtl/>
        </w:rPr>
        <w:t xml:space="preserve">ه </w:t>
      </w:r>
      <w:r w:rsidR="008A74EB" w:rsidRPr="00C9040A">
        <w:rPr>
          <w:rtl/>
        </w:rPr>
        <w:t>، بس ، بف » والوافي والبحار وتفسير العيّاشي : + « عليه »</w:t>
      </w:r>
      <w:r w:rsidR="008A74EB">
        <w:rPr>
          <w:rtl/>
        </w:rPr>
        <w:t>.</w:t>
      </w:r>
    </w:p>
    <w:p w:rsidR="008A74EB" w:rsidRPr="004A4E41" w:rsidRDefault="006C577F" w:rsidP="004A4E41">
      <w:pPr>
        <w:pStyle w:val="libFootnote0"/>
        <w:rPr>
          <w:rStyle w:val="libFootnote0Char"/>
          <w:rtl/>
        </w:rPr>
      </w:pPr>
      <w:r>
        <w:rPr>
          <w:rtl/>
        </w:rPr>
        <w:t>(3).</w:t>
      </w:r>
      <w:r w:rsidR="008A74EB" w:rsidRPr="00C9040A">
        <w:rPr>
          <w:rtl/>
        </w:rPr>
        <w:t xml:space="preserve"> هكذا في معظم النسخ. وفي « جم » والمطبوع : + « الله »</w:t>
      </w:r>
      <w:r w:rsidR="008A74EB">
        <w:rPr>
          <w:rtl/>
        </w:rPr>
        <w:t>.</w:t>
      </w:r>
    </w:p>
    <w:tbl>
      <w:tblPr>
        <w:tblStyle w:val="TableGrid"/>
        <w:bidiVisual/>
        <w:tblW w:w="0" w:type="auto"/>
        <w:tblLook w:val="04A0" w:firstRow="1" w:lastRow="0" w:firstColumn="1" w:lastColumn="0" w:noHBand="0" w:noVBand="1"/>
      </w:tblPr>
      <w:tblGrid>
        <w:gridCol w:w="4006"/>
        <w:gridCol w:w="4006"/>
      </w:tblGrid>
      <w:tr w:rsidR="00223257" w:rsidTr="00223257">
        <w:tc>
          <w:tcPr>
            <w:tcW w:w="4006" w:type="dxa"/>
          </w:tcPr>
          <w:p w:rsidR="00223257" w:rsidRDefault="00223257" w:rsidP="004A4E41">
            <w:pPr>
              <w:pStyle w:val="libFootnote0"/>
              <w:rPr>
                <w:rtl/>
              </w:rPr>
            </w:pPr>
            <w:r>
              <w:rPr>
                <w:rtl/>
              </w:rPr>
              <w:t>(4).</w:t>
            </w:r>
            <w:r w:rsidRPr="00C9040A">
              <w:rPr>
                <w:rtl/>
              </w:rPr>
              <w:t xml:space="preserve"> في « ز » </w:t>
            </w:r>
            <w:r>
              <w:rPr>
                <w:rtl/>
              </w:rPr>
              <w:t>: -</w:t>
            </w:r>
            <w:r w:rsidRPr="00C9040A">
              <w:rPr>
                <w:rtl/>
              </w:rPr>
              <w:t xml:space="preserve"> « منه »</w:t>
            </w:r>
            <w:r>
              <w:rPr>
                <w:rtl/>
              </w:rPr>
              <w:t>.</w:t>
            </w:r>
          </w:p>
        </w:tc>
        <w:tc>
          <w:tcPr>
            <w:tcW w:w="4006" w:type="dxa"/>
          </w:tcPr>
          <w:p w:rsidR="00223257" w:rsidRDefault="00223257" w:rsidP="004A4E41">
            <w:pPr>
              <w:pStyle w:val="libFootnote0"/>
              <w:rPr>
                <w:rtl/>
              </w:rPr>
            </w:pPr>
            <w:r>
              <w:rPr>
                <w:rtl/>
              </w:rPr>
              <w:t>(5).</w:t>
            </w:r>
            <w:r w:rsidRPr="00C9040A">
              <w:rPr>
                <w:rtl/>
              </w:rPr>
              <w:t xml:space="preserve"> في « </w:t>
            </w:r>
            <w:r>
              <w:rPr>
                <w:rtl/>
              </w:rPr>
              <w:t xml:space="preserve">ه </w:t>
            </w:r>
            <w:r w:rsidRPr="00C9040A">
              <w:rPr>
                <w:rtl/>
              </w:rPr>
              <w:t>» : « ويقبل »</w:t>
            </w:r>
            <w:r>
              <w:rPr>
                <w:rtl/>
              </w:rPr>
              <w:t>.</w:t>
            </w:r>
          </w:p>
        </w:tc>
      </w:tr>
    </w:tbl>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 ب ، ج ، د ، ز ، </w:t>
      </w:r>
      <w:r w:rsidR="006D3162">
        <w:rPr>
          <w:rtl/>
        </w:rPr>
        <w:t xml:space="preserve">ه </w:t>
      </w:r>
      <w:r w:rsidR="008A74EB" w:rsidRPr="00C9040A">
        <w:rPr>
          <w:rtl/>
        </w:rPr>
        <w:t>، بف » والوافي : « ولم يضرّ به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w:t>
      </w:r>
      <w:r w:rsidR="008A74EB" w:rsidRPr="00993B55">
        <w:rPr>
          <w:rStyle w:val="libFootnoteBoldChar"/>
          <w:rtl/>
        </w:rPr>
        <w:t>مرآة العقول</w:t>
      </w:r>
      <w:r w:rsidR="008A74EB" w:rsidRPr="00C9040A">
        <w:rPr>
          <w:rtl/>
        </w:rPr>
        <w:t xml:space="preserve"> : « في بعض النسخ : فيما ، مكان ممّا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 ب ، </w:t>
      </w:r>
      <w:r w:rsidR="006D3162">
        <w:rPr>
          <w:rtl/>
        </w:rPr>
        <w:t xml:space="preserve">ه </w:t>
      </w:r>
      <w:r w:rsidR="008A74EB" w:rsidRPr="00C9040A">
        <w:rPr>
          <w:rtl/>
        </w:rPr>
        <w:t>» وتفسير العيّاشي : « بجهل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اتّفق المازندراني والمجلسي في كون « جهله » فعلاً ماضياً صفةً</w:t>
      </w:r>
      <w:r w:rsidR="008A74EB">
        <w:rPr>
          <w:rtl/>
        </w:rPr>
        <w:t xml:space="preserve"> ل</w:t>
      </w:r>
      <w:r w:rsidR="0084262C">
        <w:rPr>
          <w:rtl/>
        </w:rPr>
        <w:t>-</w:t>
      </w:r>
      <w:r w:rsidR="008A74EB">
        <w:rPr>
          <w:rtl/>
        </w:rPr>
        <w:t xml:space="preserve"> «</w:t>
      </w:r>
      <w:r w:rsidR="008A74EB" w:rsidRPr="00C9040A">
        <w:rPr>
          <w:rtl/>
        </w:rPr>
        <w:t xml:space="preserve"> شي‌ء » ، واختلفا في فاعل « لم يضق » ، فهو عند المازندراني قوله : « جهلُ شي‌ء جَهِلَه من الامور التي هي ليست من الدعائم »</w:t>
      </w:r>
      <w:r w:rsidR="008A74EB">
        <w:rPr>
          <w:rtl/>
        </w:rPr>
        <w:t>.</w:t>
      </w:r>
      <w:r w:rsidR="008A74EB" w:rsidRPr="00C9040A">
        <w:rPr>
          <w:rtl/>
        </w:rPr>
        <w:t xml:space="preserve"> وعند المجلسي قوله : « ممّا هو فيه » ، أو كلمة « شي‌ء » على أن يقرأ « لجهل » بالتنوين ، </w:t>
      </w:r>
      <w:r w:rsidR="008A74EB">
        <w:rPr>
          <w:rtl/>
        </w:rPr>
        <w:t>و «</w:t>
      </w:r>
      <w:r w:rsidR="008A74EB" w:rsidRPr="00C9040A">
        <w:rPr>
          <w:rtl/>
        </w:rPr>
        <w:t xml:space="preserve"> شي‌ء » بالرفع. وقال الفيض في </w:t>
      </w:r>
      <w:r w:rsidR="008A74EB" w:rsidRPr="00993B55">
        <w:rPr>
          <w:rStyle w:val="libFootnoteBoldChar"/>
          <w:rtl/>
        </w:rPr>
        <w:t>الوافي</w:t>
      </w:r>
      <w:r w:rsidR="008A74EB" w:rsidRPr="00C9040A">
        <w:rPr>
          <w:rtl/>
        </w:rPr>
        <w:t xml:space="preserve"> : « لم يضرّ به » على البناء للمفعول ، </w:t>
      </w:r>
      <w:r w:rsidR="008A74EB">
        <w:rPr>
          <w:rtl/>
        </w:rPr>
        <w:t>و «</w:t>
      </w:r>
      <w:r w:rsidR="008A74EB" w:rsidRPr="00C9040A">
        <w:rPr>
          <w:rtl/>
        </w:rPr>
        <w:t xml:space="preserve"> جهله » فعل ماض ، </w:t>
      </w:r>
      <w:r w:rsidR="008A74EB">
        <w:rPr>
          <w:rtl/>
        </w:rPr>
        <w:t>و «</w:t>
      </w:r>
      <w:r w:rsidR="008A74EB" w:rsidRPr="00C9040A">
        <w:rPr>
          <w:rtl/>
        </w:rPr>
        <w:t xml:space="preserve"> من » في « ممّا » صلة الضرر. أو على البناء للفاعل ، </w:t>
      </w:r>
      <w:r w:rsidR="008A74EB">
        <w:rPr>
          <w:rtl/>
        </w:rPr>
        <w:t>و «</w:t>
      </w:r>
      <w:r w:rsidR="008A74EB" w:rsidRPr="00C9040A">
        <w:rPr>
          <w:rtl/>
        </w:rPr>
        <w:t xml:space="preserve"> جهله » على المصدر فاعله ، </w:t>
      </w:r>
      <w:r w:rsidR="008A74EB">
        <w:rPr>
          <w:rtl/>
        </w:rPr>
        <w:t>و «</w:t>
      </w:r>
      <w:r w:rsidR="008A74EB" w:rsidRPr="00C9040A">
        <w:rPr>
          <w:rtl/>
        </w:rPr>
        <w:t xml:space="preserve"> من » ابتدائيّة ، والجملة معترضة »</w:t>
      </w:r>
      <w:r w:rsidR="008A74EB">
        <w:rPr>
          <w:rtl/>
        </w:rPr>
        <w:t>.</w:t>
      </w:r>
      <w:r w:rsidR="008A74EB" w:rsidRPr="00C9040A">
        <w:rPr>
          <w:rtl/>
        </w:rPr>
        <w:t xml:space="preserve"> راجع : </w:t>
      </w:r>
      <w:r w:rsidR="008A74EB" w:rsidRPr="00993B55">
        <w:rPr>
          <w:rStyle w:val="libFootnoteBoldChar"/>
          <w:rtl/>
        </w:rPr>
        <w:t xml:space="preserve">شرح المازندراني </w:t>
      </w:r>
      <w:r w:rsidR="008A74EB" w:rsidRPr="00C9040A">
        <w:rPr>
          <w:rtl/>
        </w:rPr>
        <w:t xml:space="preserve">، ج 8 ، ص 64 ؛ </w:t>
      </w:r>
      <w:r w:rsidR="008A74EB" w:rsidRPr="00993B55">
        <w:rPr>
          <w:rStyle w:val="libFootnoteBoldChar"/>
          <w:rtl/>
        </w:rPr>
        <w:t>مرآة العقول</w:t>
      </w:r>
      <w:r w:rsidR="008A74EB" w:rsidRPr="00C9040A">
        <w:rPr>
          <w:rtl/>
        </w:rPr>
        <w:t xml:space="preserve"> ، ج 7 ، ص 109 ؛ </w:t>
      </w:r>
      <w:r w:rsidR="008A74EB" w:rsidRPr="00993B55">
        <w:rPr>
          <w:rStyle w:val="libFootnoteBoldChar"/>
          <w:rtl/>
        </w:rPr>
        <w:t>الوافي</w:t>
      </w:r>
      <w:r w:rsidR="008A74EB" w:rsidRPr="00C9040A">
        <w:rPr>
          <w:rtl/>
        </w:rPr>
        <w:t xml:space="preserve"> ، ج 4 ، ص 92.</w:t>
      </w:r>
    </w:p>
    <w:p w:rsidR="008A74EB" w:rsidRPr="00C9040A" w:rsidRDefault="006C577F" w:rsidP="004A4E41">
      <w:pPr>
        <w:pStyle w:val="libFootnote0"/>
        <w:rPr>
          <w:rtl/>
          <w:lang w:bidi="fa-IR"/>
        </w:rPr>
      </w:pPr>
      <w:r>
        <w:rPr>
          <w:rtl/>
        </w:rPr>
        <w:t>(10).</w:t>
      </w:r>
      <w:r w:rsidR="008A74EB" w:rsidRPr="00C9040A">
        <w:rPr>
          <w:rtl/>
        </w:rPr>
        <w:t xml:space="preserve"> في « </w:t>
      </w:r>
      <w:r w:rsidR="006D3162">
        <w:rPr>
          <w:rtl/>
        </w:rPr>
        <w:t xml:space="preserve">ه </w:t>
      </w:r>
      <w:r w:rsidR="008A74EB" w:rsidRPr="00C9040A">
        <w:rPr>
          <w:rtl/>
        </w:rPr>
        <w:t>» وحاشية « بف » : « قال »</w:t>
      </w:r>
      <w:r w:rsidR="008A74EB">
        <w:rPr>
          <w:rtl/>
        </w:rPr>
        <w:t>.</w:t>
      </w:r>
      <w:r w:rsidR="008A74EB" w:rsidRPr="00C9040A">
        <w:rPr>
          <w:rtl/>
        </w:rPr>
        <w:t xml:space="preserve"> وفي البحار : « قال ، فقال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في « ز ، بر ، بس » وتفسير العيّاشي </w:t>
      </w:r>
      <w:r w:rsidR="008A74EB">
        <w:rPr>
          <w:rtl/>
        </w:rPr>
        <w:t xml:space="preserve">: </w:t>
      </w:r>
      <w:r w:rsidR="0084262C">
        <w:rPr>
          <w:rtl/>
        </w:rPr>
        <w:t>-</w:t>
      </w:r>
      <w:r w:rsidR="008A74EB" w:rsidRPr="00C9040A">
        <w:rPr>
          <w:rtl/>
        </w:rPr>
        <w:t xml:space="preserve"> « به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يجوز فيه الجرّ عطفاً على الموصول ، والرفع عطفاً على شهادة ، أو خبراً للزكاة. والزكاة على الأوّل </w:t>
      </w:r>
      <w:r w:rsidR="00BA6697">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B7A50">
      <w:pPr>
        <w:pStyle w:val="libNormal0"/>
        <w:rPr>
          <w:rtl/>
          <w:lang w:bidi="fa-IR"/>
        </w:rPr>
      </w:pPr>
      <w:r w:rsidRPr="00C9040A">
        <w:rPr>
          <w:rtl/>
          <w:lang w:bidi="fa-IR"/>
        </w:rPr>
        <w:lastRenderedPageBreak/>
        <w:t xml:space="preserve">الْأَمْوَالِ </w:t>
      </w:r>
      <w:r w:rsidR="006C577F" w:rsidRPr="006C577F">
        <w:rPr>
          <w:rStyle w:val="libFootnotenumChar"/>
          <w:rtl/>
        </w:rPr>
        <w:t>(1)</w:t>
      </w:r>
      <w:r w:rsidRPr="00E711C7">
        <w:rPr>
          <w:rFonts w:hint="cs"/>
          <w:rtl/>
        </w:rPr>
        <w:t xml:space="preserve"> </w:t>
      </w:r>
      <w:r w:rsidRPr="00C9040A">
        <w:rPr>
          <w:rtl/>
          <w:lang w:bidi="fa-IR"/>
        </w:rPr>
        <w:t xml:space="preserve">الزَّكَاةُ ، وَالْوَلَايَةُ </w:t>
      </w:r>
      <w:r w:rsidR="006C577F" w:rsidRPr="006C577F">
        <w:rPr>
          <w:rStyle w:val="libFootnotenumChar"/>
          <w:rtl/>
        </w:rPr>
        <w:t>(2)</w:t>
      </w:r>
      <w:r w:rsidRPr="00C9040A">
        <w:rPr>
          <w:rtl/>
          <w:lang w:bidi="fa-IR"/>
        </w:rPr>
        <w:t xml:space="preserve"> الَّتِي أَمَرَ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بِهَا وَلَايَةُ آلِ مُحَمَّدٍ </w:t>
      </w:r>
      <w:r w:rsidR="004A4E41" w:rsidRPr="004A4E41">
        <w:rPr>
          <w:rStyle w:val="libAlaemChar"/>
          <w:rFonts w:eastAsiaTheme="minorHAnsi"/>
          <w:rtl/>
        </w:rPr>
        <w:t>صلى‌الله‌عليه‌وآله</w:t>
      </w:r>
      <w:r w:rsidR="008B7A50" w:rsidRPr="00C9040A">
        <w:rPr>
          <w:rtl/>
          <w:lang w:bidi="fa-IR"/>
        </w:rPr>
        <w:t xml:space="preserve"> </w:t>
      </w:r>
      <w:r w:rsidRPr="00C9040A">
        <w:rPr>
          <w:rtl/>
          <w:lang w:bidi="fa-IR"/>
        </w:rPr>
        <w:t>»</w:t>
      </w:r>
      <w:r>
        <w:rPr>
          <w:rtl/>
          <w:lang w:bidi="fa-IR"/>
        </w:rPr>
        <w:t>.</w:t>
      </w:r>
    </w:p>
    <w:p w:rsidR="008A74EB" w:rsidRPr="00C9040A" w:rsidRDefault="008A74EB" w:rsidP="008A74EB">
      <w:pPr>
        <w:pStyle w:val="libNormal"/>
        <w:rPr>
          <w:rtl/>
          <w:lang w:bidi="fa-IR"/>
        </w:rPr>
      </w:pPr>
      <w:r w:rsidRPr="00C9040A">
        <w:rPr>
          <w:rtl/>
          <w:lang w:bidi="fa-IR"/>
        </w:rPr>
        <w:t xml:space="preserve">قَالَ : فَقُلْتُ </w:t>
      </w:r>
      <w:r w:rsidR="006C577F" w:rsidRPr="006C577F">
        <w:rPr>
          <w:rStyle w:val="libFootnotenumChar"/>
          <w:rtl/>
        </w:rPr>
        <w:t>(3)</w:t>
      </w:r>
      <w:r w:rsidRPr="00C9040A">
        <w:rPr>
          <w:rtl/>
          <w:lang w:bidi="fa-IR"/>
        </w:rPr>
        <w:t xml:space="preserve"> لَهُ : هَلْ </w:t>
      </w:r>
      <w:r w:rsidR="006C577F" w:rsidRPr="006C577F">
        <w:rPr>
          <w:rStyle w:val="libFootnotenumChar"/>
          <w:rtl/>
        </w:rPr>
        <w:t>(4)</w:t>
      </w:r>
      <w:r w:rsidRPr="00C9040A">
        <w:rPr>
          <w:rtl/>
          <w:lang w:bidi="fa-IR"/>
        </w:rPr>
        <w:t xml:space="preserve"> فِي الْوَلَايَةِ شَيْ‌ءٌ دُونَ شَيْ‌ءٍ فَضْلٌ </w:t>
      </w:r>
      <w:r w:rsidR="006C577F" w:rsidRPr="006C577F">
        <w:rPr>
          <w:rStyle w:val="libFootnotenumChar"/>
          <w:rtl/>
        </w:rPr>
        <w:t>(5)</w:t>
      </w:r>
      <w:r w:rsidRPr="00C9040A">
        <w:rPr>
          <w:rtl/>
          <w:lang w:bidi="fa-IR"/>
        </w:rPr>
        <w:t xml:space="preserve"> يُعْرَفُ </w:t>
      </w:r>
      <w:r w:rsidR="006C577F" w:rsidRPr="006C577F">
        <w:rPr>
          <w:rStyle w:val="libFootnotenumChar"/>
          <w:rtl/>
        </w:rPr>
        <w:t>(6)</w:t>
      </w:r>
      <w:r w:rsidRPr="005B567D">
        <w:rPr>
          <w:rStyle w:val="libFootnotenumChar"/>
          <w:rtl/>
        </w:rPr>
        <w:t xml:space="preserve"> </w:t>
      </w:r>
      <w:r w:rsidRPr="00C9040A">
        <w:rPr>
          <w:rtl/>
          <w:lang w:bidi="fa-IR"/>
        </w:rPr>
        <w:t>لِمَنْ أَخَذَ بِهِ</w:t>
      </w:r>
      <w:r>
        <w:rPr>
          <w:rtl/>
          <w:lang w:bidi="fa-IR"/>
        </w:rPr>
        <w:t>؟</w:t>
      </w:r>
    </w:p>
    <w:p w:rsidR="008A74EB" w:rsidRPr="00C9040A" w:rsidRDefault="008A74EB" w:rsidP="008B7A50">
      <w:pPr>
        <w:pStyle w:val="libNormal"/>
        <w:rPr>
          <w:rtl/>
          <w:lang w:bidi="fa-IR"/>
        </w:rPr>
      </w:pPr>
      <w:r w:rsidRPr="00C9040A">
        <w:rPr>
          <w:rtl/>
          <w:lang w:bidi="fa-IR"/>
        </w:rPr>
        <w:t xml:space="preserve">قَالَ : « نَعَمْ ؛ قَالَ اللهُ عَزَّ وَجَلَّ : </w:t>
      </w:r>
      <w:r w:rsidRPr="0003660B">
        <w:rPr>
          <w:rStyle w:val="libAlaemChar"/>
          <w:rtl/>
        </w:rPr>
        <w:t>(</w:t>
      </w:r>
      <w:r w:rsidRPr="006C7482">
        <w:rPr>
          <w:rtl/>
        </w:rPr>
        <w:t xml:space="preserve"> </w:t>
      </w:r>
      <w:r w:rsidRPr="006A2246">
        <w:rPr>
          <w:rStyle w:val="libAieChar"/>
          <w:rtl/>
        </w:rPr>
        <w:t>يا أَيُّهَا الَّذِينَ آمَنُوا أَطِيعُوا اللهَ وَأَطِيعُوا الرَّسُولَ وَأُولِي الْأَمْرِ مِنْكُمْ</w:t>
      </w:r>
      <w:r w:rsidRPr="006C7482">
        <w:rPr>
          <w:rtl/>
        </w:rPr>
        <w:t xml:space="preserve"> </w:t>
      </w:r>
      <w:r w:rsidRPr="0003660B">
        <w:rPr>
          <w:rStyle w:val="libAlaemChar"/>
          <w:rtl/>
        </w:rPr>
        <w:t>)</w:t>
      </w:r>
      <w:r w:rsidRPr="00C9040A">
        <w:rPr>
          <w:rtl/>
          <w:lang w:bidi="fa-IR"/>
        </w:rPr>
        <w:t xml:space="preserve"> </w:t>
      </w:r>
      <w:r w:rsidR="006C577F" w:rsidRPr="006C577F">
        <w:rPr>
          <w:rStyle w:val="libFootnotenumChar"/>
          <w:rtl/>
        </w:rPr>
        <w:t>(7)</w:t>
      </w:r>
      <w:r w:rsidRPr="00C9040A">
        <w:rPr>
          <w:rtl/>
          <w:lang w:bidi="fa-IR"/>
        </w:rPr>
        <w:t xml:space="preserve"> وَقَالَ رَسُولُ اللهِ </w:t>
      </w:r>
      <w:r w:rsidR="004A4E41" w:rsidRPr="004A4E41">
        <w:rPr>
          <w:rStyle w:val="libAlaemChar"/>
          <w:rFonts w:eastAsiaTheme="minorHAnsi"/>
          <w:rtl/>
        </w:rPr>
        <w:t>صلى‌الله‌عليه‌وآله</w:t>
      </w:r>
      <w:r w:rsidR="008B7A50" w:rsidRPr="00C9040A">
        <w:rPr>
          <w:rtl/>
          <w:lang w:bidi="fa-IR"/>
        </w:rPr>
        <w:t xml:space="preserve"> </w:t>
      </w:r>
      <w:r w:rsidRPr="00C9040A">
        <w:rPr>
          <w:rtl/>
          <w:lang w:bidi="fa-IR"/>
        </w:rPr>
        <w:t>: مَنْ مَاتَ وَ</w:t>
      </w:r>
      <w:r>
        <w:rPr>
          <w:rFonts w:hint="cs"/>
          <w:rtl/>
          <w:lang w:bidi="fa-IR"/>
        </w:rPr>
        <w:t xml:space="preserve"> </w:t>
      </w:r>
      <w:r w:rsidR="006C577F" w:rsidRPr="006C577F">
        <w:rPr>
          <w:rStyle w:val="libFootnotenumChar"/>
          <w:rtl/>
        </w:rPr>
        <w:t>(8)</w:t>
      </w:r>
      <w:r w:rsidRPr="00C9040A">
        <w:rPr>
          <w:rtl/>
          <w:lang w:bidi="fa-IR"/>
        </w:rPr>
        <w:t xml:space="preserve"> لَايَعْرِفُ </w:t>
      </w:r>
      <w:r w:rsidR="006C577F" w:rsidRPr="006C577F">
        <w:rPr>
          <w:rStyle w:val="libFootnotenumChar"/>
          <w:rtl/>
        </w:rPr>
        <w:t>(9)</w:t>
      </w:r>
      <w:r w:rsidRPr="00C9040A">
        <w:rPr>
          <w:rtl/>
          <w:lang w:bidi="fa-IR"/>
        </w:rPr>
        <w:t xml:space="preserve"> إِمَامَهُ ، مَاتَ مِيتَةً جَاهِلِيَّةً ، وَكَانَ رَسُولَ اللهِ </w:t>
      </w:r>
      <w:r w:rsidR="004A4E41" w:rsidRPr="004A4E41">
        <w:rPr>
          <w:rStyle w:val="libAlaemChar"/>
          <w:rFonts w:eastAsiaTheme="minorHAnsi"/>
          <w:rtl/>
        </w:rPr>
        <w:t>صلى‌الله‌عليه‌وآله</w:t>
      </w:r>
      <w:r w:rsidR="008B7A50" w:rsidRPr="00C9040A">
        <w:rPr>
          <w:rtl/>
          <w:lang w:bidi="fa-IR"/>
        </w:rPr>
        <w:t xml:space="preserve"> </w:t>
      </w:r>
      <w:r w:rsidRPr="00C9040A">
        <w:rPr>
          <w:rtl/>
          <w:lang w:bidi="fa-IR"/>
        </w:rPr>
        <w:t xml:space="preserve">وَكَانَ عَلِيّاً </w:t>
      </w:r>
      <w:r w:rsidR="006C577F" w:rsidRPr="006C577F">
        <w:rPr>
          <w:rStyle w:val="libFootnotenumChar"/>
          <w:rtl/>
        </w:rPr>
        <w:t>(10)</w:t>
      </w:r>
      <w:r w:rsidRPr="00C9040A">
        <w:rPr>
          <w:rtl/>
          <w:lang w:bidi="fa-IR"/>
        </w:rPr>
        <w:t xml:space="preserve"> </w:t>
      </w:r>
      <w:r w:rsidRPr="0003660B">
        <w:rPr>
          <w:rStyle w:val="libAlaemChar"/>
          <w:rtl/>
        </w:rPr>
        <w:t>عليه‌السلام</w:t>
      </w:r>
      <w:r w:rsidRPr="00C9040A">
        <w:rPr>
          <w:rtl/>
          <w:lang w:bidi="fa-IR"/>
        </w:rPr>
        <w:t xml:space="preserve"> ، وَقَالَ الْآخَرُونَ : كَانَ </w:t>
      </w:r>
      <w:r w:rsidR="006C577F" w:rsidRPr="006C577F">
        <w:rPr>
          <w:rStyle w:val="libFootnotenumChar"/>
          <w:rtl/>
        </w:rPr>
        <w:t>(11)</w:t>
      </w:r>
      <w:r w:rsidRPr="00C9040A">
        <w:rPr>
          <w:rtl/>
          <w:lang w:bidi="fa-IR"/>
        </w:rPr>
        <w:t xml:space="preserve"> مُعَ</w:t>
      </w:r>
      <w:r w:rsidR="00B866D3">
        <w:rPr>
          <w:rtl/>
          <w:lang w:bidi="fa-IR"/>
        </w:rPr>
        <w:t>اوِيَةَ ؛ ثُمَّ كَانَ الْحَسَنَ</w:t>
      </w:r>
      <w:r w:rsidRPr="00C9040A">
        <w:rPr>
          <w:rtl/>
          <w:lang w:bidi="fa-IR"/>
        </w:rPr>
        <w:t>،</w:t>
      </w:r>
    </w:p>
    <w:p w:rsidR="008A74EB" w:rsidRPr="00C9040A" w:rsidRDefault="008A74EB" w:rsidP="008A74EB">
      <w:pPr>
        <w:pStyle w:val="libLine"/>
        <w:rPr>
          <w:rtl/>
          <w:lang w:bidi="fa-IR"/>
        </w:rPr>
      </w:pPr>
      <w:r w:rsidRPr="00C9040A">
        <w:rPr>
          <w:rtl/>
          <w:lang w:bidi="fa-IR"/>
        </w:rPr>
        <w:t>__________________</w:t>
      </w:r>
    </w:p>
    <w:p w:rsidR="008A74EB" w:rsidRPr="00C9040A" w:rsidRDefault="00151C41" w:rsidP="004A4E41">
      <w:pPr>
        <w:pStyle w:val="libFootnote0"/>
        <w:rPr>
          <w:rtl/>
          <w:lang w:bidi="fa-IR"/>
        </w:rPr>
      </w:pPr>
      <w:r>
        <w:rPr>
          <w:rFonts w:hint="cs"/>
          <w:rtl/>
        </w:rPr>
        <w:t xml:space="preserve">= </w:t>
      </w:r>
      <w:r w:rsidR="008A74EB" w:rsidRPr="00C9040A">
        <w:rPr>
          <w:rtl/>
        </w:rPr>
        <w:t>والثاني بدل عنه. واستبعد المجلسي الثاني ، ثمّ قال : « يمكن أن يقرأ حقّ على بناء الماضي المجهول »</w:t>
      </w:r>
      <w:r w:rsidR="008A74EB">
        <w:rPr>
          <w:rtl/>
        </w:rPr>
        <w:t>.</w:t>
      </w:r>
    </w:p>
    <w:p w:rsidR="008A74EB" w:rsidRPr="00C9040A" w:rsidRDefault="006C577F" w:rsidP="004A4E41">
      <w:pPr>
        <w:pStyle w:val="libFootnote0"/>
        <w:rPr>
          <w:rtl/>
          <w:lang w:bidi="fa-IR"/>
        </w:rPr>
      </w:pPr>
      <w:r>
        <w:rPr>
          <w:rtl/>
        </w:rPr>
        <w:t>(1).</w:t>
      </w:r>
      <w:r w:rsidR="008A74EB" w:rsidRPr="00C9040A">
        <w:rPr>
          <w:rtl/>
        </w:rPr>
        <w:t xml:space="preserve"> في « ف » : « الأعمال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w:t>
      </w:r>
      <w:r w:rsidR="008A74EB" w:rsidRPr="00993B55">
        <w:rPr>
          <w:rStyle w:val="libFootnoteBoldChar"/>
          <w:rtl/>
        </w:rPr>
        <w:t>الوافي</w:t>
      </w:r>
      <w:r w:rsidR="008A74EB" w:rsidRPr="00C9040A">
        <w:rPr>
          <w:rtl/>
        </w:rPr>
        <w:t xml:space="preserve"> : « وأراد </w:t>
      </w:r>
      <w:r w:rsidR="00117575" w:rsidRPr="00117575">
        <w:rPr>
          <w:rStyle w:val="libFootnoteAlaemChar"/>
          <w:rtl/>
        </w:rPr>
        <w:t>عليه‌السلام</w:t>
      </w:r>
      <w:r w:rsidR="008A74EB" w:rsidRPr="00C9040A">
        <w:rPr>
          <w:rtl/>
        </w:rPr>
        <w:t xml:space="preserve"> بالولاية المأمور بها</w:t>
      </w:r>
      <w:r w:rsidR="008A74EB">
        <w:rPr>
          <w:rtl/>
        </w:rPr>
        <w:t xml:space="preserve"> </w:t>
      </w:r>
      <w:r w:rsidR="0084262C">
        <w:rPr>
          <w:rtl/>
        </w:rPr>
        <w:t>-</w:t>
      </w:r>
      <w:r w:rsidR="008A74EB">
        <w:rPr>
          <w:rtl/>
        </w:rPr>
        <w:t xml:space="preserve"> </w:t>
      </w:r>
      <w:r w:rsidR="008A74EB" w:rsidRPr="00C9040A">
        <w:rPr>
          <w:rtl/>
        </w:rPr>
        <w:t>بالكسر</w:t>
      </w:r>
      <w:r w:rsidR="008A74EB">
        <w:rPr>
          <w:rtl/>
        </w:rPr>
        <w:t xml:space="preserve"> </w:t>
      </w:r>
      <w:r w:rsidR="0084262C">
        <w:rPr>
          <w:rtl/>
        </w:rPr>
        <w:t>-</w:t>
      </w:r>
      <w:r w:rsidR="008A74EB">
        <w:rPr>
          <w:rtl/>
        </w:rPr>
        <w:t xml:space="preserve"> </w:t>
      </w:r>
      <w:r w:rsidR="008A74EB" w:rsidRPr="00C9040A">
        <w:rPr>
          <w:rtl/>
        </w:rPr>
        <w:t>الإمارة وأولويّة التصرّف »</w:t>
      </w:r>
      <w:r w:rsidR="008A74EB">
        <w:rPr>
          <w:rtl/>
        </w:rPr>
        <w:t>.</w:t>
      </w:r>
      <w:r w:rsidR="008A74EB" w:rsidRPr="00C9040A">
        <w:rPr>
          <w:rtl/>
        </w:rPr>
        <w:t xml:space="preserve"> وفي مرآة العقول : « أقول : بل الوَلاية</w:t>
      </w:r>
      <w:r w:rsidR="008A74EB">
        <w:rPr>
          <w:rtl/>
        </w:rPr>
        <w:t xml:space="preserve"> </w:t>
      </w:r>
      <w:r w:rsidR="0084262C">
        <w:rPr>
          <w:rtl/>
        </w:rPr>
        <w:t>-</w:t>
      </w:r>
      <w:r w:rsidR="008A74EB">
        <w:rPr>
          <w:rtl/>
        </w:rPr>
        <w:t xml:space="preserve"> </w:t>
      </w:r>
      <w:r w:rsidR="008A74EB" w:rsidRPr="00C9040A">
        <w:rPr>
          <w:rtl/>
        </w:rPr>
        <w:t>بالفتح</w:t>
      </w:r>
      <w:r w:rsidR="008A74EB">
        <w:rPr>
          <w:rtl/>
        </w:rPr>
        <w:t xml:space="preserve"> </w:t>
      </w:r>
      <w:r w:rsidR="0084262C">
        <w:rPr>
          <w:rtl/>
        </w:rPr>
        <w:t>-</w:t>
      </w:r>
      <w:r w:rsidR="008A74EB">
        <w:rPr>
          <w:rtl/>
        </w:rPr>
        <w:t xml:space="preserve"> </w:t>
      </w:r>
      <w:r w:rsidR="008A74EB" w:rsidRPr="00C9040A">
        <w:rPr>
          <w:rtl/>
        </w:rPr>
        <w:t>بمعنى المحبّة والنصرة والطاعة ، واعتقاد الإمامة هنا أنسب كما لا يخفى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ب ، ج » : « قلت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ب ، د ، بس » </w:t>
      </w:r>
      <w:r w:rsidR="008A74EB">
        <w:rPr>
          <w:rtl/>
        </w:rPr>
        <w:t xml:space="preserve">: </w:t>
      </w:r>
      <w:r w:rsidR="0084262C">
        <w:rPr>
          <w:rtl/>
        </w:rPr>
        <w:t>-</w:t>
      </w:r>
      <w:r w:rsidR="008A74EB" w:rsidRPr="00C9040A">
        <w:rPr>
          <w:rtl/>
        </w:rPr>
        <w:t xml:space="preserve"> « هل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بس » : « فصل » بالمهملة. وفي </w:t>
      </w:r>
      <w:r w:rsidR="008A74EB" w:rsidRPr="00993B55">
        <w:rPr>
          <w:rStyle w:val="libFootnoteBoldChar"/>
          <w:rtl/>
        </w:rPr>
        <w:t>مرآة العقول</w:t>
      </w:r>
      <w:r w:rsidR="008A74EB" w:rsidRPr="00C9040A">
        <w:rPr>
          <w:rtl/>
        </w:rPr>
        <w:t xml:space="preserve"> ، : « قوله : هل في الولاية شي‌ء ، أقول : هذا الكلام يحتمل وجهين : أحدهما أن يكون المراد : هل في الإمامة شرط مخصوص وفضل معلوم يكون في رجل خاصّ من آل محمّد بعينه يقتضي أن يكون هو وليّ الأمر دون غيره يعرف هذا الفضل لمن أخذ به ، أي بذلك الفضل وادّعاه وادّعى الإمامة ، فيكون من أخذ به الإمام</w:t>
      </w:r>
      <w:r w:rsidR="008A74EB">
        <w:rPr>
          <w:rtl/>
        </w:rPr>
        <w:t>؟</w:t>
      </w:r>
      <w:r w:rsidR="008A74EB" w:rsidRPr="00C9040A">
        <w:rPr>
          <w:rtl/>
        </w:rPr>
        <w:t xml:space="preserve"> أو يكون معروفاً لمن أخذ وتمسَّك به وتابع إماماً بسببه ، ويكون حجّته على ذلك</w:t>
      </w:r>
      <w:r w:rsidR="008A74EB">
        <w:rPr>
          <w:rtl/>
        </w:rPr>
        <w:t>؟</w:t>
      </w:r>
      <w:r w:rsidR="008A74EB" w:rsidRPr="00C9040A">
        <w:rPr>
          <w:rtl/>
        </w:rPr>
        <w:t xml:space="preserve"> فالمراد بالموصول الموالي للإمام.</w:t>
      </w:r>
    </w:p>
    <w:p w:rsidR="008A74EB" w:rsidRPr="00C9040A" w:rsidRDefault="008A74EB" w:rsidP="004A4E41">
      <w:pPr>
        <w:pStyle w:val="libFootnote0"/>
        <w:rPr>
          <w:rtl/>
          <w:lang w:bidi="fa-IR"/>
        </w:rPr>
      </w:pPr>
      <w:r w:rsidRPr="0082575F">
        <w:rPr>
          <w:rtl/>
        </w:rPr>
        <w:t>الثاني : أن يكون المراد به : هل في الولاية دليل خاصّ يدلّ على وجوبها ولزومها فضل</w:t>
      </w:r>
      <w:r>
        <w:rPr>
          <w:rtl/>
        </w:rPr>
        <w:t>؟</w:t>
      </w:r>
      <w:r w:rsidRPr="0082575F">
        <w:rPr>
          <w:rtl/>
        </w:rPr>
        <w:t xml:space="preserve"> أي فضل بيان وحجّة. وربّما يقرأ بالصاد المهملة ، أي برهان فاصل قاطع ، يعرف هذا البرهان لمن أخذ به ، أي بذلك البرهان. والأخذ يحتمل الوجهين ، ولكلّ من الوجهين شاهد في ما سيأتي.</w:t>
      </w:r>
    </w:p>
    <w:p w:rsidR="008A74EB" w:rsidRPr="00C9040A" w:rsidRDefault="008A74EB" w:rsidP="004A4E41">
      <w:pPr>
        <w:pStyle w:val="libFootnote0"/>
        <w:rPr>
          <w:rtl/>
          <w:lang w:bidi="fa-IR"/>
        </w:rPr>
      </w:pPr>
      <w:r w:rsidRPr="0082575F">
        <w:rPr>
          <w:rtl/>
        </w:rPr>
        <w:t>ويمكن الجمع بين الوجهين بأن يكون قوله : شي‌ء دون شي‌ء ، إشارة إلى الدليل ، وقوله : فضل ، إشارة إلى شرائط الإمامة وإن كان بعيداً.</w:t>
      </w:r>
    </w:p>
    <w:p w:rsidR="008A74EB" w:rsidRPr="004A4E41" w:rsidRDefault="008A74EB" w:rsidP="004A4E41">
      <w:pPr>
        <w:pStyle w:val="libFootnote0"/>
        <w:rPr>
          <w:rStyle w:val="libFootnote0Char"/>
          <w:rtl/>
        </w:rPr>
      </w:pPr>
      <w:r w:rsidRPr="00323A39">
        <w:rPr>
          <w:rtl/>
        </w:rPr>
        <w:t>وحاصل جوابه أنّه ل</w:t>
      </w:r>
      <w:r w:rsidR="00904953">
        <w:rPr>
          <w:rFonts w:hint="cs"/>
          <w:rtl/>
        </w:rPr>
        <w:t>ـ</w:t>
      </w:r>
      <w:r w:rsidRPr="00323A39">
        <w:rPr>
          <w:rtl/>
        </w:rPr>
        <w:t xml:space="preserve">مّا أمر الله بطاعة اولى الأمر مقرونة بطاعة الرسول وبطاعته فيجب طاعتهم ولا بدّ من معرفتهم ، وقال الرسول </w:t>
      </w:r>
      <w:r w:rsidR="004A4E41" w:rsidRPr="00B866D3">
        <w:rPr>
          <w:rStyle w:val="libFootnoteAlaemChar"/>
          <w:rtl/>
        </w:rPr>
        <w:t>صلى‌الله‌عليه‌وآله</w:t>
      </w:r>
      <w:r w:rsidRPr="00323A39">
        <w:rPr>
          <w:rtl/>
        </w:rPr>
        <w:t xml:space="preserve"> : من مات ولم يعرف إمام زمانه </w:t>
      </w:r>
      <w:r w:rsidR="0084262C" w:rsidRPr="00323A39">
        <w:rPr>
          <w:rtl/>
        </w:rPr>
        <w:t>-</w:t>
      </w:r>
      <w:r w:rsidRPr="00323A39">
        <w:rPr>
          <w:rtl/>
        </w:rPr>
        <w:t xml:space="preserve"> أي من يجب أن يقتدي به في زمانه </w:t>
      </w:r>
      <w:r w:rsidR="0084262C" w:rsidRPr="00323A39">
        <w:rPr>
          <w:rtl/>
        </w:rPr>
        <w:t>-</w:t>
      </w:r>
      <w:r w:rsidRPr="00323A39">
        <w:rPr>
          <w:rtl/>
        </w:rPr>
        <w:t xml:space="preserve"> مات ميتة جاهليّة ، والميتة بالكسر : مصدر للنوع ، أي كموت أهل الجاهليّة على الكفر والضلال ، فدلّ على أنّ لكلّ زمان إماماً لا بدّ من معرفته ومتابعته ».</w:t>
      </w:r>
      <w:r w:rsidR="00904953">
        <w:rPr>
          <w:rFonts w:hint="cs"/>
          <w:rtl/>
        </w:rPr>
        <w:t xml:space="preserve">                               </w:t>
      </w:r>
      <w:r w:rsidR="00B866D3">
        <w:rPr>
          <w:rFonts w:hint="cs"/>
          <w:rtl/>
        </w:rPr>
        <w:t xml:space="preserve">   </w:t>
      </w:r>
      <w:r w:rsidR="00904953">
        <w:rPr>
          <w:rFonts w:hint="cs"/>
          <w:rtl/>
        </w:rPr>
        <w:t xml:space="preserve">           </w:t>
      </w:r>
      <w:r w:rsidR="006C577F">
        <w:rPr>
          <w:rtl/>
        </w:rPr>
        <w:t>(6).</w:t>
      </w:r>
      <w:r>
        <w:rPr>
          <w:rtl/>
        </w:rPr>
        <w:t xml:space="preserve"> </w:t>
      </w:r>
      <w:r w:rsidRPr="00C9040A">
        <w:rPr>
          <w:rtl/>
        </w:rPr>
        <w:t>في « ف » : « تعرف » أي الإمامة.</w:t>
      </w:r>
    </w:p>
    <w:tbl>
      <w:tblPr>
        <w:tblStyle w:val="TableGrid"/>
        <w:bidiVisual/>
        <w:tblW w:w="0" w:type="auto"/>
        <w:tblLook w:val="04A0" w:firstRow="1" w:lastRow="0" w:firstColumn="1" w:lastColumn="0" w:noHBand="0" w:noVBand="1"/>
      </w:tblPr>
      <w:tblGrid>
        <w:gridCol w:w="4006"/>
        <w:gridCol w:w="4006"/>
      </w:tblGrid>
      <w:tr w:rsidR="00904953" w:rsidTr="00904953">
        <w:tc>
          <w:tcPr>
            <w:tcW w:w="4006" w:type="dxa"/>
          </w:tcPr>
          <w:p w:rsidR="00904953" w:rsidRDefault="00904953" w:rsidP="004A4E41">
            <w:pPr>
              <w:pStyle w:val="libFootnote0"/>
              <w:rPr>
                <w:rtl/>
              </w:rPr>
            </w:pPr>
            <w:r>
              <w:rPr>
                <w:rtl/>
              </w:rPr>
              <w:t>(7).</w:t>
            </w:r>
            <w:r w:rsidRPr="00C9040A">
              <w:rPr>
                <w:rtl/>
              </w:rPr>
              <w:t xml:space="preserve"> النساء </w:t>
            </w:r>
            <w:r>
              <w:rPr>
                <w:rtl/>
              </w:rPr>
              <w:t>(4)</w:t>
            </w:r>
            <w:r w:rsidRPr="00C9040A">
              <w:rPr>
                <w:rtl/>
              </w:rPr>
              <w:t xml:space="preserve"> : 59.</w:t>
            </w:r>
          </w:p>
        </w:tc>
        <w:tc>
          <w:tcPr>
            <w:tcW w:w="4006" w:type="dxa"/>
          </w:tcPr>
          <w:p w:rsidR="00904953" w:rsidRDefault="00904953" w:rsidP="004A4E41">
            <w:pPr>
              <w:pStyle w:val="libFootnote0"/>
              <w:rPr>
                <w:rtl/>
              </w:rPr>
            </w:pPr>
            <w:r>
              <w:rPr>
                <w:rtl/>
              </w:rPr>
              <w:t>(8). في «ب، ج، د،ه،بس،بف</w:t>
            </w:r>
            <w:r w:rsidRPr="00C9040A">
              <w:rPr>
                <w:rtl/>
              </w:rPr>
              <w:t xml:space="preserve">» والوافي </w:t>
            </w:r>
            <w:r>
              <w:rPr>
                <w:rtl/>
              </w:rPr>
              <w:t>: -</w:t>
            </w:r>
            <w:r w:rsidRPr="00C9040A">
              <w:rPr>
                <w:rtl/>
              </w:rPr>
              <w:t xml:space="preserve"> « و</w:t>
            </w:r>
            <w:r>
              <w:rPr>
                <w:rFonts w:hint="cs"/>
                <w:rtl/>
              </w:rPr>
              <w:t xml:space="preserve"> </w:t>
            </w:r>
            <w:r w:rsidRPr="00C9040A">
              <w:rPr>
                <w:rtl/>
              </w:rPr>
              <w:t>»</w:t>
            </w:r>
            <w:r>
              <w:rPr>
                <w:rtl/>
              </w:rPr>
              <w:t>.</w:t>
            </w:r>
          </w:p>
        </w:tc>
      </w:tr>
      <w:tr w:rsidR="00904953" w:rsidTr="00904953">
        <w:tc>
          <w:tcPr>
            <w:tcW w:w="4006" w:type="dxa"/>
          </w:tcPr>
          <w:p w:rsidR="00904953" w:rsidRDefault="00904953" w:rsidP="004A4E41">
            <w:pPr>
              <w:pStyle w:val="libFootnote0"/>
              <w:rPr>
                <w:rtl/>
              </w:rPr>
            </w:pPr>
            <w:r>
              <w:rPr>
                <w:rtl/>
              </w:rPr>
              <w:t>(9).</w:t>
            </w:r>
            <w:r w:rsidRPr="00C9040A">
              <w:rPr>
                <w:rtl/>
              </w:rPr>
              <w:t xml:space="preserve"> في « ص ، ف » : « ولم يعرف »</w:t>
            </w:r>
            <w:r>
              <w:rPr>
                <w:rtl/>
              </w:rPr>
              <w:t>.</w:t>
            </w:r>
          </w:p>
        </w:tc>
        <w:tc>
          <w:tcPr>
            <w:tcW w:w="4006" w:type="dxa"/>
          </w:tcPr>
          <w:p w:rsidR="00904953" w:rsidRDefault="00904953" w:rsidP="004A4E41">
            <w:pPr>
              <w:pStyle w:val="libFootnote0"/>
              <w:rPr>
                <w:rtl/>
              </w:rPr>
            </w:pPr>
            <w:r>
              <w:rPr>
                <w:rtl/>
              </w:rPr>
              <w:t>(10). في «ه،بر،بس،بف»:</w:t>
            </w:r>
            <w:r w:rsidRPr="00C9040A">
              <w:rPr>
                <w:rtl/>
              </w:rPr>
              <w:t>« عليّ »</w:t>
            </w:r>
            <w:r>
              <w:rPr>
                <w:rtl/>
              </w:rPr>
              <w:t>.</w:t>
            </w:r>
            <w:r w:rsidRPr="00C9040A">
              <w:rPr>
                <w:rtl/>
              </w:rPr>
              <w:t xml:space="preserve"> والخبر محذوف.</w:t>
            </w:r>
          </w:p>
        </w:tc>
      </w:tr>
    </w:tbl>
    <w:p w:rsidR="008A74EB" w:rsidRPr="00C9040A" w:rsidRDefault="006C577F" w:rsidP="004A4E41">
      <w:pPr>
        <w:pStyle w:val="libFootnote0"/>
        <w:rPr>
          <w:rtl/>
          <w:lang w:bidi="fa-IR"/>
        </w:rPr>
      </w:pPr>
      <w:r>
        <w:rPr>
          <w:rtl/>
        </w:rPr>
        <w:t>(11).</w:t>
      </w:r>
      <w:r w:rsidR="008A74EB" w:rsidRPr="00C9040A">
        <w:rPr>
          <w:rtl/>
        </w:rPr>
        <w:t xml:space="preserve"> في البحار : « وكان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ثُمَّ كَانَ الْحُسَيْنَ ، وَقَالَ الْآخَرُونَ : يَزِيدَ </w:t>
      </w:r>
      <w:r w:rsidR="006C577F" w:rsidRPr="006C577F">
        <w:rPr>
          <w:rStyle w:val="libFootnotenumChar"/>
          <w:rtl/>
        </w:rPr>
        <w:t>(1)</w:t>
      </w:r>
      <w:r w:rsidRPr="002712F0">
        <w:rPr>
          <w:rFonts w:hint="cs"/>
          <w:rtl/>
        </w:rPr>
        <w:t xml:space="preserve"> </w:t>
      </w:r>
      <w:r w:rsidRPr="00C9040A">
        <w:rPr>
          <w:rtl/>
          <w:lang w:bidi="fa-IR"/>
        </w:rPr>
        <w:t xml:space="preserve">بْنَ مُعَاوِيَةَ وَحُسَيْنَ بْنَ عَلِيٍّ </w:t>
      </w:r>
      <w:r w:rsidR="006C577F" w:rsidRPr="006C577F">
        <w:rPr>
          <w:rStyle w:val="libFootnotenumChar"/>
          <w:rtl/>
        </w:rPr>
        <w:t>(2)</w:t>
      </w:r>
      <w:r w:rsidRPr="00C9040A">
        <w:rPr>
          <w:rtl/>
          <w:lang w:bidi="fa-IR"/>
        </w:rPr>
        <w:t xml:space="preserve"> ؛ وَلَا سَوَاءَ وَلَا سَوَاءَ </w:t>
      </w:r>
      <w:r w:rsidR="006C577F" w:rsidRPr="006C577F">
        <w:rPr>
          <w:rStyle w:val="libFootnotenumChar"/>
          <w:rtl/>
        </w:rPr>
        <w:t>(3)</w:t>
      </w:r>
      <w:r w:rsidRPr="00C9040A">
        <w:rPr>
          <w:rtl/>
          <w:lang w:bidi="fa-IR"/>
        </w:rPr>
        <w:t>»</w:t>
      </w:r>
      <w:r>
        <w:rPr>
          <w:rtl/>
          <w:lang w:bidi="fa-IR"/>
        </w:rPr>
        <w:t>.</w:t>
      </w:r>
    </w:p>
    <w:p w:rsidR="008A74EB" w:rsidRPr="00C9040A" w:rsidRDefault="008A74EB" w:rsidP="008A74EB">
      <w:pPr>
        <w:pStyle w:val="libNormal"/>
        <w:rPr>
          <w:rtl/>
          <w:lang w:bidi="fa-IR"/>
        </w:rPr>
      </w:pPr>
      <w:r w:rsidRPr="00C9040A">
        <w:rPr>
          <w:rtl/>
          <w:lang w:bidi="fa-IR"/>
        </w:rPr>
        <w:t xml:space="preserve">قَالَ </w:t>
      </w:r>
      <w:r w:rsidR="006C577F" w:rsidRPr="006C577F">
        <w:rPr>
          <w:rStyle w:val="libFootnotenumChar"/>
          <w:rtl/>
        </w:rPr>
        <w:t>(4)</w:t>
      </w:r>
      <w:r w:rsidRPr="00C9040A">
        <w:rPr>
          <w:rtl/>
          <w:lang w:bidi="fa-IR"/>
        </w:rPr>
        <w:t xml:space="preserve"> : ثُمَّ سَكَتَ ، ثُمَّ قَالَ : « أَزِيدُكَ</w:t>
      </w:r>
      <w:r>
        <w:rPr>
          <w:rtl/>
          <w:lang w:bidi="fa-IR"/>
        </w:rPr>
        <w:t>؟</w:t>
      </w:r>
      <w:r w:rsidRPr="00C9040A">
        <w:rPr>
          <w:rtl/>
          <w:lang w:bidi="fa-IR"/>
        </w:rPr>
        <w:t xml:space="preserve"> » فَقَالَ لَهُ حَكَمٌ الْأَعْوَرُ : نَعَمْ ، جُعِلْتُ فِدَاكَ ، قَالَ :</w:t>
      </w:r>
      <w:r>
        <w:rPr>
          <w:rFonts w:hint="cs"/>
          <w:rtl/>
          <w:lang w:bidi="fa-IR"/>
        </w:rPr>
        <w:t xml:space="preserve"> </w:t>
      </w:r>
      <w:r w:rsidRPr="00C9040A">
        <w:rPr>
          <w:rtl/>
          <w:lang w:bidi="fa-IR"/>
        </w:rPr>
        <w:t xml:space="preserve">« ثُمَّ كَانَ عَلِيَّ بْنَ الْحُسَيْنِ ، ثُمَّ كَانَ مُحَمَّدَ بْنَ عَلِيٍّ أَبَا جَعْفَرٍ ، وَكَانَتِ الشِّيعَةُ قَبْلَ أَنْ يَكُونَ أَبُو جَعْفَرٍ وَهُمْ لَايَعْرِفُونَ مَنَاسِكَ حَجِّهِمْ وَحَلَالَهُمْ وَحَرَامَهُمْ ، حَتّى كَانَ أَبُو جَعْفَرٍ ، فَفَتَحَ </w:t>
      </w:r>
      <w:r w:rsidR="006C577F" w:rsidRPr="006C577F">
        <w:rPr>
          <w:rStyle w:val="libFootnotenumChar"/>
          <w:rtl/>
        </w:rPr>
        <w:t>(5)</w:t>
      </w:r>
      <w:r w:rsidRPr="00C9040A">
        <w:rPr>
          <w:rtl/>
          <w:lang w:bidi="fa-IR"/>
        </w:rPr>
        <w:t xml:space="preserve"> لَهُمْ ، وَبَيَّنَ لَهُمْ مَنَاسِكَ حَجِّهِمْ وَحَلَالَهُمْ وَحَرَامَهُمْ ، حَتّى صَارَ النَّاسُ يَحْتَاجُونَ إِلَيْهِمْ مِنْ </w:t>
      </w:r>
      <w:r w:rsidR="006C577F" w:rsidRPr="006C577F">
        <w:rPr>
          <w:rStyle w:val="libFootnotenumChar"/>
          <w:rtl/>
        </w:rPr>
        <w:t>(6)</w:t>
      </w:r>
      <w:r w:rsidR="000F30D6" w:rsidRPr="00C9040A">
        <w:rPr>
          <w:rtl/>
          <w:lang w:bidi="fa-IR"/>
        </w:rPr>
        <w:t xml:space="preserve"> </w:t>
      </w:r>
      <w:r w:rsidRPr="00C9040A">
        <w:rPr>
          <w:rtl/>
          <w:lang w:bidi="fa-IR"/>
        </w:rPr>
        <w:t xml:space="preserve">بَعْدِ مَا كَانُوا يَحْتَاجُونَ إِلَى النَّاسِ ، وَهكَذَا يَكُونُ الْأَمْرُ </w:t>
      </w:r>
      <w:r w:rsidR="006C577F" w:rsidRPr="006C577F">
        <w:rPr>
          <w:rStyle w:val="libFootnotenumChar"/>
          <w:rtl/>
        </w:rPr>
        <w:t>(7)</w:t>
      </w:r>
      <w:r w:rsidR="000F30D6">
        <w:rPr>
          <w:rtl/>
          <w:lang w:bidi="fa-IR"/>
        </w:rPr>
        <w:t xml:space="preserve"> ، وَالْأَرْضُ لَاتَكُونُ إِل</w:t>
      </w:r>
      <w:r w:rsidR="000F30D6">
        <w:rPr>
          <w:rFonts w:hint="cs"/>
          <w:rtl/>
          <w:lang w:bidi="fa-IR"/>
        </w:rPr>
        <w:t>َّ</w:t>
      </w:r>
      <w:r w:rsidR="000F30D6">
        <w:rPr>
          <w:rtl/>
          <w:lang w:bidi="fa-IR"/>
        </w:rPr>
        <w:t>ا</w:t>
      </w:r>
      <w:r w:rsidRPr="00C9040A">
        <w:rPr>
          <w:rtl/>
          <w:lang w:bidi="fa-IR"/>
        </w:rPr>
        <w:t xml:space="preserve"> بِإِمَامٍ ، وَمَنْ مَاتَ لَا </w:t>
      </w:r>
      <w:r w:rsidR="006C577F" w:rsidRPr="006C577F">
        <w:rPr>
          <w:rStyle w:val="libFootnotenumChar"/>
          <w:rtl/>
        </w:rPr>
        <w:t>(8)</w:t>
      </w:r>
      <w:r w:rsidRPr="00C9040A">
        <w:rPr>
          <w:rtl/>
          <w:lang w:bidi="fa-IR"/>
        </w:rPr>
        <w:t xml:space="preserve"> يَعْرِفُ إِمَامَهُ ، مَاتَ مِيتَةً جَاهِلِيَّةً ، وَأَحْوَجُ مَا تَكُونُ إِلى مَا أَنْتَ عَلَيْهِ إِذَا </w:t>
      </w:r>
      <w:r w:rsidR="006C577F" w:rsidRPr="006C577F">
        <w:rPr>
          <w:rStyle w:val="libFootnotenumChar"/>
          <w:rtl/>
        </w:rPr>
        <w:t>(9)</w:t>
      </w:r>
      <w:r w:rsidRPr="00C9040A">
        <w:rPr>
          <w:rtl/>
          <w:lang w:bidi="fa-IR"/>
        </w:rPr>
        <w:t xml:space="preserve"> بَلَغَتْ نَفْسُكَ </w:t>
      </w:r>
      <w:r w:rsidR="006C577F" w:rsidRPr="006C577F">
        <w:rPr>
          <w:rStyle w:val="libFootnotenumChar"/>
          <w:rtl/>
        </w:rPr>
        <w:t>(10)</w:t>
      </w:r>
      <w:r w:rsidRPr="00C9040A">
        <w:rPr>
          <w:rtl/>
          <w:lang w:bidi="fa-IR"/>
        </w:rPr>
        <w:t xml:space="preserve"> هذِهِ</w:t>
      </w:r>
      <w:r>
        <w:rPr>
          <w:rtl/>
          <w:lang w:bidi="fa-IR"/>
        </w:rPr>
        <w:t xml:space="preserve"> </w:t>
      </w:r>
      <w:r w:rsidR="0084262C">
        <w:rPr>
          <w:rtl/>
          <w:lang w:bidi="fa-IR"/>
        </w:rPr>
        <w:t>-</w:t>
      </w:r>
      <w:r>
        <w:rPr>
          <w:rtl/>
          <w:lang w:bidi="fa-IR"/>
        </w:rPr>
        <w:t xml:space="preserve"> </w:t>
      </w:r>
      <w:r w:rsidRPr="00C9040A">
        <w:rPr>
          <w:rtl/>
          <w:lang w:bidi="fa-IR"/>
        </w:rPr>
        <w:t xml:space="preserve">وَأَهْوى </w:t>
      </w:r>
      <w:r w:rsidR="006C577F" w:rsidRPr="006C577F">
        <w:rPr>
          <w:rStyle w:val="libFootnotenumChar"/>
          <w:rtl/>
        </w:rPr>
        <w:t>(11)</w:t>
      </w:r>
      <w:r w:rsidRPr="00C9040A">
        <w:rPr>
          <w:rtl/>
          <w:lang w:bidi="fa-IR"/>
        </w:rPr>
        <w:t xml:space="preserve"> بِيَدِهِ إِلى حَلْقِهِ</w:t>
      </w:r>
      <w:r>
        <w:rPr>
          <w:rtl/>
          <w:lang w:bidi="fa-IR"/>
        </w:rPr>
        <w:t xml:space="preserve"> </w:t>
      </w:r>
      <w:r w:rsidR="0084262C">
        <w:rPr>
          <w:rtl/>
          <w:lang w:bidi="fa-IR"/>
        </w:rPr>
        <w:t>-</w:t>
      </w:r>
      <w:r>
        <w:rPr>
          <w:rtl/>
          <w:lang w:bidi="fa-IR"/>
        </w:rPr>
        <w:t xml:space="preserve"> </w:t>
      </w:r>
      <w:r w:rsidRPr="00C9040A">
        <w:rPr>
          <w:rtl/>
          <w:lang w:bidi="fa-IR"/>
        </w:rPr>
        <w:t xml:space="preserve">وَانْقَطَعَتْ عَنْكَ الدُّنْيَا تَقُولُ : لَقَدْ كُنْتُ عَلى أَمْرٍ حَسَنٍ </w:t>
      </w:r>
      <w:r w:rsidR="006C577F" w:rsidRPr="006C577F">
        <w:rPr>
          <w:rStyle w:val="libFootnotenumChar"/>
          <w:rtl/>
        </w:rPr>
        <w:t>(12)</w:t>
      </w:r>
      <w:r w:rsidRPr="00C9040A">
        <w:rPr>
          <w:rtl/>
          <w:lang w:bidi="fa-IR"/>
        </w:rPr>
        <w:t xml:space="preserve"> »</w:t>
      </w:r>
      <w:r>
        <w:rPr>
          <w:rtl/>
          <w:lang w:bidi="fa-IR"/>
        </w:rPr>
        <w:t>.</w:t>
      </w:r>
      <w:r w:rsidRPr="00C9040A">
        <w:rPr>
          <w:rtl/>
          <w:lang w:bidi="fa-IR"/>
        </w:rPr>
        <w:t xml:space="preserve"> </w:t>
      </w:r>
      <w:r w:rsidRPr="005B567D">
        <w:rPr>
          <w:rStyle w:val="libFootnotenumChar"/>
          <w:rtl/>
        </w:rPr>
        <w:t>(13)</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Fonts w:hint="cs"/>
          <w:rtl/>
        </w:rPr>
        <w:t xml:space="preserve"> </w:t>
      </w:r>
      <w:r w:rsidR="008A74EB" w:rsidRPr="00C9040A">
        <w:rPr>
          <w:rtl/>
        </w:rPr>
        <w:t xml:space="preserve">في « </w:t>
      </w:r>
      <w:r w:rsidR="006D3162">
        <w:rPr>
          <w:rtl/>
        </w:rPr>
        <w:t xml:space="preserve">ه </w:t>
      </w:r>
      <w:r w:rsidR="008A74EB" w:rsidRPr="00C9040A">
        <w:rPr>
          <w:rtl/>
        </w:rPr>
        <w:t>» : + « و</w:t>
      </w:r>
      <w:r w:rsidR="008A74EB">
        <w:rPr>
          <w:rFonts w:hint="cs"/>
          <w:rtl/>
        </w:rPr>
        <w:t xml:space="preserve"> </w:t>
      </w:r>
      <w:r w:rsidR="008A74EB" w:rsidRPr="00C9040A">
        <w:rPr>
          <w:rtl/>
        </w:rPr>
        <w:t>»</w:t>
      </w:r>
      <w:r w:rsidR="008A74EB">
        <w:rPr>
          <w:rtl/>
        </w:rPr>
        <w:t>.</w:t>
      </w:r>
      <w:r w:rsidR="008A74EB" w:rsidRPr="00C9040A">
        <w:rPr>
          <w:rtl/>
        </w:rPr>
        <w:t xml:space="preserve"> ويجوز فيه وما عطف عليه الرفع والنصب.</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احتمل في </w:t>
      </w:r>
      <w:r w:rsidR="008A74EB" w:rsidRPr="00993B55">
        <w:rPr>
          <w:rStyle w:val="libFootnoteBoldChar"/>
          <w:rtl/>
        </w:rPr>
        <w:t>مرآة العقول</w:t>
      </w:r>
      <w:r w:rsidR="008A74EB" w:rsidRPr="00C9040A">
        <w:rPr>
          <w:rtl/>
        </w:rPr>
        <w:t xml:space="preserve"> : زيادة حسين بن عليّ من الرواة أو النسّاخ ، واحتمل كونه مبتدأً ، وخبره</w:t>
      </w:r>
      <w:r w:rsidR="008A74EB">
        <w:rPr>
          <w:rtl/>
        </w:rPr>
        <w:t xml:space="preserve"> </w:t>
      </w:r>
      <w:r w:rsidR="0084262C">
        <w:rPr>
          <w:rtl/>
        </w:rPr>
        <w:t>-</w:t>
      </w:r>
      <w:r w:rsidR="008A74EB">
        <w:rPr>
          <w:rtl/>
        </w:rPr>
        <w:t xml:space="preserve"> </w:t>
      </w:r>
      <w:r w:rsidR="008A74EB" w:rsidRPr="00C9040A">
        <w:rPr>
          <w:rtl/>
        </w:rPr>
        <w:t>وهو حيّ</w:t>
      </w:r>
      <w:r w:rsidR="008A74EB">
        <w:rPr>
          <w:rtl/>
        </w:rPr>
        <w:t xml:space="preserve"> </w:t>
      </w:r>
      <w:r w:rsidR="0084262C">
        <w:rPr>
          <w:rtl/>
        </w:rPr>
        <w:t>-</w:t>
      </w:r>
      <w:r w:rsidR="008A74EB">
        <w:rPr>
          <w:rtl/>
        </w:rPr>
        <w:t xml:space="preserve"> </w:t>
      </w:r>
      <w:r w:rsidR="008A74EB" w:rsidRPr="00C9040A">
        <w:rPr>
          <w:rtl/>
        </w:rPr>
        <w:t>محذوفاً ، وقال : « وقد يقرأ حسين بالتنوين فيكون ابن عليّ خبراً</w:t>
      </w:r>
      <w:r w:rsidR="008A74EB">
        <w:rPr>
          <w:rtl/>
        </w:rPr>
        <w:t xml:space="preserve"> ..</w:t>
      </w:r>
      <w:r w:rsidR="008A74EB" w:rsidRPr="00C9040A">
        <w:rPr>
          <w:rtl/>
        </w:rPr>
        <w:t>. فالمعنى : وقال آخرون : يزيد بن معاوية والحسين متعارضان »</w:t>
      </w:r>
      <w:r w:rsidR="008A74EB">
        <w:rPr>
          <w:rtl/>
        </w:rPr>
        <w:t>.</w:t>
      </w:r>
      <w:r w:rsidR="008A74EB" w:rsidRPr="00C9040A">
        <w:rPr>
          <w:rtl/>
        </w:rPr>
        <w:t xml:space="preserve"> ثمّ ذكر وجوهاً ا</w:t>
      </w:r>
      <w:r w:rsidR="000F30D6">
        <w:rPr>
          <w:rFonts w:hint="cs"/>
          <w:rtl/>
        </w:rPr>
        <w:t>ُ</w:t>
      </w:r>
      <w:r w:rsidR="008A74EB" w:rsidRPr="00C9040A">
        <w:rPr>
          <w:rtl/>
        </w:rPr>
        <w:t>خرى أيضاً.</w:t>
      </w:r>
    </w:p>
    <w:p w:rsidR="008A74EB" w:rsidRPr="004A4E41" w:rsidRDefault="006C577F" w:rsidP="004A4E41">
      <w:pPr>
        <w:pStyle w:val="libFootnote0"/>
        <w:rPr>
          <w:rStyle w:val="libFootnote0Char"/>
          <w:rtl/>
        </w:rPr>
      </w:pPr>
      <w:r>
        <w:rPr>
          <w:rtl/>
        </w:rPr>
        <w:t>(3).</w:t>
      </w:r>
      <w:r w:rsidR="008A74EB" w:rsidRPr="00C9040A">
        <w:rPr>
          <w:rtl/>
        </w:rPr>
        <w:t xml:space="preserve"> في « ص ، بر ، بف » والوافي </w:t>
      </w:r>
      <w:r w:rsidR="008A74EB">
        <w:rPr>
          <w:rtl/>
        </w:rPr>
        <w:t xml:space="preserve">: </w:t>
      </w:r>
      <w:r w:rsidR="0084262C">
        <w:rPr>
          <w:rtl/>
        </w:rPr>
        <w:t>-</w:t>
      </w:r>
      <w:r w:rsidR="008A74EB" w:rsidRPr="00C9040A">
        <w:rPr>
          <w:rtl/>
        </w:rPr>
        <w:t xml:space="preserve"> « ولا سواء »</w:t>
      </w:r>
      <w:r w:rsidR="008A74EB">
        <w:rPr>
          <w:rtl/>
        </w:rPr>
        <w:t>.</w:t>
      </w:r>
      <w:r w:rsidR="008A74EB" w:rsidRPr="00C9040A">
        <w:rPr>
          <w:rtl/>
        </w:rPr>
        <w:t xml:space="preserve"> وفي « ز » والبحار : + « ولا سواء » ، أي مرّة ثالثة. وفي </w:t>
      </w:r>
      <w:r w:rsidR="008A74EB" w:rsidRPr="00993B55">
        <w:rPr>
          <w:rStyle w:val="libFootnoteBoldChar"/>
          <w:rtl/>
        </w:rPr>
        <w:t>الوافي</w:t>
      </w:r>
      <w:r w:rsidR="008A74EB" w:rsidRPr="00C9040A">
        <w:rPr>
          <w:rtl/>
        </w:rPr>
        <w:t xml:space="preserve"> : « أي لا سواء عليّ ومعاوية ، ولا الحسين ويزيد حتّى لا يعرف الفضل ويلتبس الأمر ؛ فهو جواب لقول السائل : يعرف لمن أخذ به »</w:t>
      </w:r>
      <w:r w:rsidR="008A74EB">
        <w:rPr>
          <w:rtl/>
        </w:rPr>
        <w:t>.</w:t>
      </w:r>
      <w:r w:rsidR="000F30D6">
        <w:rPr>
          <w:rFonts w:hint="cs"/>
          <w:rtl/>
        </w:rPr>
        <w:t xml:space="preserve">                   </w:t>
      </w:r>
      <w:r w:rsidR="00B866D3">
        <w:rPr>
          <w:rFonts w:hint="cs"/>
          <w:rtl/>
        </w:rPr>
        <w:t xml:space="preserve"> </w:t>
      </w:r>
      <w:r w:rsidR="000F30D6">
        <w:rPr>
          <w:rFonts w:hint="cs"/>
          <w:rtl/>
        </w:rPr>
        <w:t xml:space="preserve">           </w:t>
      </w:r>
      <w:r>
        <w:rPr>
          <w:rtl/>
        </w:rPr>
        <w:t>(4).</w:t>
      </w:r>
      <w:r w:rsidR="008A74EB" w:rsidRPr="00C9040A">
        <w:rPr>
          <w:rtl/>
        </w:rPr>
        <w:t xml:space="preserve"> في « </w:t>
      </w:r>
      <w:r w:rsidR="006D3162">
        <w:rPr>
          <w:rtl/>
        </w:rPr>
        <w:t xml:space="preserve">ه </w:t>
      </w:r>
      <w:r w:rsidR="008A74EB" w:rsidRPr="00C9040A">
        <w:rPr>
          <w:rtl/>
        </w:rPr>
        <w:t xml:space="preserve">» </w:t>
      </w:r>
      <w:r w:rsidR="008A74EB">
        <w:rPr>
          <w:rtl/>
        </w:rPr>
        <w:t xml:space="preserve">: </w:t>
      </w:r>
      <w:r w:rsidR="0084262C">
        <w:rPr>
          <w:rtl/>
        </w:rPr>
        <w:t>-</w:t>
      </w:r>
      <w:r w:rsidR="008A74EB" w:rsidRPr="00C9040A">
        <w:rPr>
          <w:rtl/>
        </w:rPr>
        <w:t xml:space="preserve"> « قال »</w:t>
      </w:r>
      <w:r w:rsidR="008A74EB">
        <w:rPr>
          <w:rtl/>
        </w:rPr>
        <w:t>.</w:t>
      </w:r>
    </w:p>
    <w:tbl>
      <w:tblPr>
        <w:tblStyle w:val="TableGrid"/>
        <w:bidiVisual/>
        <w:tblW w:w="0" w:type="auto"/>
        <w:tblLook w:val="04A0" w:firstRow="1" w:lastRow="0" w:firstColumn="1" w:lastColumn="0" w:noHBand="0" w:noVBand="1"/>
      </w:tblPr>
      <w:tblGrid>
        <w:gridCol w:w="4006"/>
        <w:gridCol w:w="4006"/>
      </w:tblGrid>
      <w:tr w:rsidR="000F30D6" w:rsidTr="000F30D6">
        <w:tc>
          <w:tcPr>
            <w:tcW w:w="4006" w:type="dxa"/>
          </w:tcPr>
          <w:p w:rsidR="000F30D6" w:rsidRDefault="000F30D6" w:rsidP="004A4E41">
            <w:pPr>
              <w:pStyle w:val="libFootnote0"/>
              <w:rPr>
                <w:rtl/>
              </w:rPr>
            </w:pPr>
            <w:r>
              <w:rPr>
                <w:rtl/>
              </w:rPr>
              <w:t>(5).</w:t>
            </w:r>
            <w:r w:rsidRPr="00C9040A">
              <w:rPr>
                <w:rtl/>
              </w:rPr>
              <w:t xml:space="preserve"> في العيّاشي : « فحجّ »</w:t>
            </w:r>
            <w:r>
              <w:rPr>
                <w:rtl/>
              </w:rPr>
              <w:t>.</w:t>
            </w:r>
          </w:p>
        </w:tc>
        <w:tc>
          <w:tcPr>
            <w:tcW w:w="4006" w:type="dxa"/>
          </w:tcPr>
          <w:p w:rsidR="000F30D6" w:rsidRDefault="000F30D6" w:rsidP="004A4E41">
            <w:pPr>
              <w:pStyle w:val="libFootnote0"/>
              <w:rPr>
                <w:rtl/>
              </w:rPr>
            </w:pPr>
            <w:r>
              <w:rPr>
                <w:rtl/>
              </w:rPr>
              <w:t xml:space="preserve">(6). </w:t>
            </w:r>
            <w:r w:rsidRPr="00C9040A">
              <w:rPr>
                <w:rtl/>
              </w:rPr>
              <w:t xml:space="preserve">في « بف » </w:t>
            </w:r>
            <w:r>
              <w:rPr>
                <w:rtl/>
              </w:rPr>
              <w:t>: -</w:t>
            </w:r>
            <w:r w:rsidRPr="00C9040A">
              <w:rPr>
                <w:rtl/>
              </w:rPr>
              <w:t xml:space="preserve"> « من »</w:t>
            </w:r>
            <w:r>
              <w:rPr>
                <w:rtl/>
              </w:rPr>
              <w:t>.</w:t>
            </w:r>
          </w:p>
        </w:tc>
      </w:tr>
    </w:tbl>
    <w:p w:rsidR="008A74EB" w:rsidRPr="00C9040A" w:rsidRDefault="006C577F" w:rsidP="004A4E41">
      <w:pPr>
        <w:pStyle w:val="libFootnote0"/>
        <w:rPr>
          <w:rtl/>
          <w:lang w:bidi="fa-IR"/>
        </w:rPr>
      </w:pPr>
      <w:r>
        <w:rPr>
          <w:rtl/>
        </w:rPr>
        <w:t>(7).</w:t>
      </w:r>
      <w:r w:rsidR="008A74EB" w:rsidRPr="00C9040A">
        <w:rPr>
          <w:rtl/>
        </w:rPr>
        <w:t xml:space="preserve"> في </w:t>
      </w:r>
      <w:r w:rsidR="008A74EB" w:rsidRPr="00993B55">
        <w:rPr>
          <w:rStyle w:val="libFootnoteBoldChar"/>
          <w:rtl/>
        </w:rPr>
        <w:t>المرآة</w:t>
      </w:r>
      <w:r w:rsidR="008A74EB" w:rsidRPr="00C9040A">
        <w:rPr>
          <w:rtl/>
        </w:rPr>
        <w:t xml:space="preserve"> : « أي هكذا يكون أمر الإمامة دائماً مردّداً بين معصوم من أهل البيت بيّن فضله وورعه وعصمته ، وجاهل فاسق بيّن الجهالة والفسق من خلفاء الجور » ‌</w:t>
      </w:r>
      <w:r w:rsidR="00A92572">
        <w:rPr>
          <w:rFonts w:hint="cs"/>
          <w:rtl/>
        </w:rPr>
        <w:t xml:space="preserve">   </w:t>
      </w:r>
      <w:r w:rsidR="00B866D3">
        <w:rPr>
          <w:rFonts w:hint="cs"/>
          <w:rtl/>
        </w:rPr>
        <w:t xml:space="preserve">  </w:t>
      </w:r>
      <w:r w:rsidR="00A92572">
        <w:rPr>
          <w:rFonts w:hint="cs"/>
          <w:rtl/>
        </w:rPr>
        <w:t xml:space="preserve">    </w:t>
      </w:r>
      <w:r>
        <w:rPr>
          <w:rtl/>
        </w:rPr>
        <w:t>(8).</w:t>
      </w:r>
      <w:r w:rsidR="008A74EB" w:rsidRPr="00C9040A">
        <w:rPr>
          <w:rtl/>
        </w:rPr>
        <w:t xml:space="preserve"> في « ف » : « ولا »</w:t>
      </w:r>
      <w:r w:rsidR="008A74EB">
        <w:rPr>
          <w:rtl/>
        </w:rPr>
        <w:t>.</w:t>
      </w:r>
    </w:p>
    <w:p w:rsidR="008A74EB" w:rsidRPr="004A4E41" w:rsidRDefault="006C577F" w:rsidP="004A4E41">
      <w:pPr>
        <w:pStyle w:val="libFootnote0"/>
        <w:rPr>
          <w:rStyle w:val="libFootnote0Char"/>
          <w:rtl/>
        </w:rPr>
      </w:pPr>
      <w:r>
        <w:rPr>
          <w:rtl/>
        </w:rPr>
        <w:t>(9).</w:t>
      </w:r>
      <w:r w:rsidR="008A74EB" w:rsidRPr="00C9040A">
        <w:rPr>
          <w:rtl/>
        </w:rPr>
        <w:t xml:space="preserve"> هكذا في « ب ، ج ، ز ، بر ، بس ، بف » ومرآة العقول والبحار. وفي سائر النسخ والمطبوع : « إذ »</w:t>
      </w:r>
      <w:r w:rsidR="008A74EB">
        <w:rPr>
          <w:rtl/>
        </w:rPr>
        <w:t>.</w:t>
      </w:r>
    </w:p>
    <w:tbl>
      <w:tblPr>
        <w:tblStyle w:val="TableGrid"/>
        <w:bidiVisual/>
        <w:tblW w:w="0" w:type="auto"/>
        <w:tblLook w:val="04A0" w:firstRow="1" w:lastRow="0" w:firstColumn="1" w:lastColumn="0" w:noHBand="0" w:noVBand="1"/>
      </w:tblPr>
      <w:tblGrid>
        <w:gridCol w:w="4006"/>
        <w:gridCol w:w="4006"/>
      </w:tblGrid>
      <w:tr w:rsidR="00A92572" w:rsidTr="00A92572">
        <w:tc>
          <w:tcPr>
            <w:tcW w:w="4006" w:type="dxa"/>
          </w:tcPr>
          <w:p w:rsidR="00A92572" w:rsidRDefault="00A92572" w:rsidP="004A4E41">
            <w:pPr>
              <w:pStyle w:val="libFootnote0"/>
              <w:rPr>
                <w:rtl/>
              </w:rPr>
            </w:pPr>
            <w:r>
              <w:rPr>
                <w:rtl/>
              </w:rPr>
              <w:t>(10).</w:t>
            </w:r>
            <w:r w:rsidRPr="00C9040A">
              <w:rPr>
                <w:rtl/>
              </w:rPr>
              <w:t xml:space="preserve"> في هامش المطبوع عن بعض النسخ : « نفسه »</w:t>
            </w:r>
            <w:r>
              <w:rPr>
                <w:rtl/>
              </w:rPr>
              <w:t>.</w:t>
            </w:r>
          </w:p>
        </w:tc>
        <w:tc>
          <w:tcPr>
            <w:tcW w:w="4006" w:type="dxa"/>
          </w:tcPr>
          <w:p w:rsidR="00A92572" w:rsidRDefault="00A92572" w:rsidP="004A4E41">
            <w:pPr>
              <w:pStyle w:val="libFootnote0"/>
              <w:rPr>
                <w:rtl/>
              </w:rPr>
            </w:pPr>
            <w:r>
              <w:rPr>
                <w:rtl/>
              </w:rPr>
              <w:t>(11).</w:t>
            </w:r>
            <w:r w:rsidRPr="00C9040A">
              <w:rPr>
                <w:rtl/>
              </w:rPr>
              <w:t xml:space="preserve"> في « </w:t>
            </w:r>
            <w:r>
              <w:rPr>
                <w:rtl/>
              </w:rPr>
              <w:t xml:space="preserve">ه </w:t>
            </w:r>
            <w:r w:rsidRPr="00C9040A">
              <w:rPr>
                <w:rtl/>
              </w:rPr>
              <w:t>، بر » وحاشية « بف » : « وأومأ »</w:t>
            </w:r>
            <w:r>
              <w:rPr>
                <w:rtl/>
              </w:rPr>
              <w:t>.</w:t>
            </w:r>
          </w:p>
        </w:tc>
      </w:tr>
    </w:tbl>
    <w:p w:rsidR="008A74EB" w:rsidRPr="00C9040A" w:rsidRDefault="006C577F" w:rsidP="004A4E41">
      <w:pPr>
        <w:pStyle w:val="libFootnote0"/>
        <w:rPr>
          <w:rtl/>
          <w:lang w:bidi="fa-IR"/>
        </w:rPr>
      </w:pPr>
      <w:r>
        <w:rPr>
          <w:rtl/>
        </w:rPr>
        <w:t>(12).</w:t>
      </w:r>
      <w:r w:rsidR="008A74EB" w:rsidRPr="00C9040A">
        <w:rPr>
          <w:rtl/>
        </w:rPr>
        <w:t xml:space="preserve"> في </w:t>
      </w:r>
      <w:r w:rsidR="008A74EB" w:rsidRPr="00993B55">
        <w:rPr>
          <w:rStyle w:val="libFootnoteBoldChar"/>
          <w:rtl/>
        </w:rPr>
        <w:t>شرح المازندراني</w:t>
      </w:r>
      <w:r w:rsidR="008A74EB" w:rsidRPr="00C9040A">
        <w:rPr>
          <w:rtl/>
        </w:rPr>
        <w:t xml:space="preserve"> : « وهو الإقرار بالولاية ومتابعة وليّ الأمر. وفيه إشارة عظيمة ودلالة واضحة على أنّ المؤمن في جميع أزمنة عمره محتاج إلى الإمام ؛ لأنّه نور قلبه وسبب هدايته ، سيّما وقت الاحتضار ، فإنّ احتجاجه إليه حينئذٍ أشدّ وأقوى »</w:t>
      </w:r>
      <w:r w:rsidR="008A74EB">
        <w:rPr>
          <w:rtl/>
        </w:rPr>
        <w:t>.</w:t>
      </w:r>
    </w:p>
    <w:p w:rsidR="008A74EB" w:rsidRPr="00C9040A" w:rsidRDefault="008A74EB" w:rsidP="004A4E41">
      <w:pPr>
        <w:pStyle w:val="libFootnote0"/>
        <w:rPr>
          <w:rtl/>
          <w:lang w:bidi="fa-IR"/>
        </w:rPr>
      </w:pPr>
      <w:r w:rsidRPr="00C9040A">
        <w:rPr>
          <w:rtl/>
        </w:rPr>
        <w:t xml:space="preserve">(13) </w:t>
      </w:r>
      <w:r w:rsidRPr="00993B55">
        <w:rPr>
          <w:rStyle w:val="libFootnoteBoldChar"/>
          <w:rtl/>
        </w:rPr>
        <w:t>تفسير العيّاشي</w:t>
      </w:r>
      <w:r w:rsidRPr="00C9040A">
        <w:rPr>
          <w:rtl/>
        </w:rPr>
        <w:t xml:space="preserve"> ، ج 1 ، ص 252 ، ح 175 ، عن يحيى بن السريّ ، </w:t>
      </w:r>
      <w:r w:rsidR="001F50A6">
        <w:rPr>
          <w:rtl/>
        </w:rPr>
        <w:t>إلى قوله : « والأرض لا تكون إل</w:t>
      </w:r>
      <w:r w:rsidR="001F50A6">
        <w:rPr>
          <w:rFonts w:hint="cs"/>
          <w:rtl/>
        </w:rPr>
        <w:t>ّ</w:t>
      </w:r>
      <w:r w:rsidR="001F50A6">
        <w:rPr>
          <w:rtl/>
        </w:rPr>
        <w:t>ا</w:t>
      </w:r>
      <w:r w:rsidRPr="00C9040A">
        <w:rPr>
          <w:rtl/>
        </w:rPr>
        <w:t>بالإمام »</w:t>
      </w:r>
      <w:r>
        <w:rPr>
          <w:rtl/>
        </w:rPr>
        <w:t>.</w:t>
      </w:r>
      <w:r w:rsidRPr="00C9040A">
        <w:rPr>
          <w:rtl/>
        </w:rPr>
        <w:t xml:space="preserve"> </w:t>
      </w:r>
      <w:r w:rsidR="001F50A6">
        <w:rPr>
          <w:rFonts w:hint="cs"/>
          <w:rtl/>
        </w:rPr>
        <w:t>=</w:t>
      </w:r>
    </w:p>
    <w:p w:rsidR="004B7F34" w:rsidRDefault="004B7F34" w:rsidP="004B7F34">
      <w:pPr>
        <w:pStyle w:val="libNormal"/>
        <w:rPr>
          <w:rtl/>
          <w:lang w:bidi="fa-IR"/>
        </w:rPr>
      </w:pPr>
      <w:r>
        <w:rPr>
          <w:rtl/>
          <w:lang w:bidi="fa-IR"/>
        </w:rPr>
        <w:br w:type="page"/>
      </w:r>
    </w:p>
    <w:p w:rsidR="008A74EB" w:rsidRPr="00C9040A" w:rsidRDefault="00C90B23" w:rsidP="008A74EB">
      <w:pPr>
        <w:pStyle w:val="libNormal"/>
        <w:rPr>
          <w:rtl/>
          <w:lang w:bidi="fa-IR"/>
        </w:rPr>
      </w:pPr>
      <w:r>
        <w:rPr>
          <w:rFonts w:hint="cs"/>
          <w:rtl/>
          <w:lang w:bidi="fa-IR"/>
        </w:rPr>
        <w:lastRenderedPageBreak/>
        <w:t xml:space="preserve">* </w:t>
      </w:r>
      <w:r w:rsidR="008A74EB" w:rsidRPr="00C9040A">
        <w:rPr>
          <w:rtl/>
          <w:lang w:bidi="fa-IR"/>
        </w:rPr>
        <w:t xml:space="preserve">أَبُو عَلِيٍّ الْأَشْعَرِيُّ ، عَنْ مُحَمَّدِ بْنِ عَبْدِ الْجَبَّارِ ، عَنْ صَفْوَانَ ، عَنْ عِيسَى بْنِ السَّرِيِّ أَبِي الْيَسَعِ ، عَنْ أَبِي عَبْدِ اللهِ </w:t>
      </w:r>
      <w:r w:rsidR="008A74EB" w:rsidRPr="0003660B">
        <w:rPr>
          <w:rStyle w:val="libAlaemChar"/>
          <w:rtl/>
        </w:rPr>
        <w:t>عليه‌السلام</w:t>
      </w:r>
      <w:r w:rsidR="008A74EB" w:rsidRPr="00C9040A">
        <w:rPr>
          <w:rtl/>
          <w:lang w:bidi="fa-IR"/>
        </w:rPr>
        <w:t xml:space="preserve"> ، مِثْلَهُ.</w:t>
      </w:r>
    </w:p>
    <w:p w:rsidR="008A74EB" w:rsidRPr="00C9040A" w:rsidRDefault="008A74EB" w:rsidP="008A74EB">
      <w:pPr>
        <w:pStyle w:val="libNormal"/>
        <w:rPr>
          <w:rtl/>
          <w:lang w:bidi="fa-IR"/>
        </w:rPr>
      </w:pPr>
      <w:r w:rsidRPr="00195EC6">
        <w:rPr>
          <w:rtl/>
        </w:rPr>
        <w:t>1496</w:t>
      </w:r>
      <w:r w:rsidRPr="00261CB0">
        <w:rPr>
          <w:rStyle w:val="libBold2Char"/>
          <w:rtl/>
        </w:rPr>
        <w:t xml:space="preserve"> / 7.</w:t>
      </w:r>
      <w:r w:rsidRPr="00C9040A">
        <w:rPr>
          <w:rtl/>
          <w:lang w:bidi="fa-IR"/>
        </w:rPr>
        <w:t xml:space="preserve"> عِدَّةٌ مِنْ أَصْحَابِنَا ، عَنْ سَهْلِ بْنِ زِيَادٍ ، عَنْ أَحْمَدَ بْنِ مُحَمَّدِ بْنِ أَبِي نَصْرٍ </w:t>
      </w:r>
      <w:r w:rsidR="006C577F" w:rsidRPr="006C577F">
        <w:rPr>
          <w:rStyle w:val="libFootnotenumChar"/>
          <w:rtl/>
        </w:rPr>
        <w:t>(1)</w:t>
      </w:r>
      <w:r w:rsidRPr="00C9040A">
        <w:rPr>
          <w:rtl/>
          <w:lang w:bidi="fa-IR"/>
        </w:rPr>
        <w:t xml:space="preserve">، عَنْ مُثَنًّى الْحَنَّاطِ </w:t>
      </w:r>
      <w:r w:rsidR="006C577F" w:rsidRPr="006C577F">
        <w:rPr>
          <w:rStyle w:val="libFootnotenumChar"/>
          <w:rtl/>
        </w:rPr>
        <w:t>(2)</w:t>
      </w:r>
      <w:r w:rsidRPr="00C9040A">
        <w:rPr>
          <w:rtl/>
          <w:lang w:bidi="fa-IR"/>
        </w:rPr>
        <w:t xml:space="preserve"> ، عَنْ عَبْدِ اللهِ بْنِ عَجْلَانَ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بُنِيَ الْإِسْلَامُ عَلى خَمْسٍ </w:t>
      </w:r>
      <w:r w:rsidR="006C577F" w:rsidRPr="006C577F">
        <w:rPr>
          <w:rStyle w:val="libFootnotenumChar"/>
          <w:rtl/>
        </w:rPr>
        <w:t>(3)</w:t>
      </w:r>
      <w:r w:rsidRPr="00C9040A">
        <w:rPr>
          <w:rtl/>
          <w:lang w:bidi="fa-IR"/>
        </w:rPr>
        <w:t xml:space="preserve"> : الْوِلَايَةِ ، وَالصَّلَاةِ ، وَالزَّكَاةِ ، وَصَوْمِ شَهْرِ رَمَضَانَ ، وَالْحَجِّ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195EC6">
        <w:rPr>
          <w:rtl/>
        </w:rPr>
        <w:t>1497</w:t>
      </w:r>
      <w:r w:rsidRPr="00261CB0">
        <w:rPr>
          <w:rStyle w:val="libBold2Char"/>
          <w:rtl/>
        </w:rPr>
        <w:t xml:space="preserve"> / 8.</w:t>
      </w:r>
      <w:r w:rsidRPr="00C9040A">
        <w:rPr>
          <w:rtl/>
          <w:lang w:bidi="fa-IR"/>
        </w:rPr>
        <w:t xml:space="preserve"> عَلِيُّ بْنُ إِبْرَاهِيمَ ، عَنْ صَالِحِ بْنِ السِّنْدِيِّ ، عَنْ جَعْفَرِ بْنِ بَشِيرٍ ، عَنْ أَبَانٍ ، عَنِ الْفُضَيْلِ </w:t>
      </w:r>
      <w:r w:rsidR="006C577F" w:rsidRPr="006C577F">
        <w:rPr>
          <w:rStyle w:val="libFootnotenumChar"/>
          <w:rtl/>
        </w:rPr>
        <w:t>(5)</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C90B23" w:rsidP="004A4E41">
      <w:pPr>
        <w:pStyle w:val="libFootnote0"/>
        <w:rPr>
          <w:rtl/>
          <w:lang w:bidi="fa-IR"/>
        </w:rPr>
      </w:pPr>
      <w:r w:rsidRPr="00C90B23">
        <w:rPr>
          <w:rFonts w:hint="cs"/>
          <w:rtl/>
        </w:rPr>
        <w:t>=</w:t>
      </w:r>
      <w:r>
        <w:rPr>
          <w:rStyle w:val="libFootnoteBoldChar"/>
          <w:rFonts w:hint="cs"/>
          <w:rtl/>
        </w:rPr>
        <w:t xml:space="preserve"> </w:t>
      </w:r>
      <w:r w:rsidR="008A74EB" w:rsidRPr="00993B55">
        <w:rPr>
          <w:rStyle w:val="libFootnoteBoldChar"/>
          <w:rtl/>
        </w:rPr>
        <w:t>تفسير فرات</w:t>
      </w:r>
      <w:r w:rsidR="008A74EB" w:rsidRPr="00C9040A">
        <w:rPr>
          <w:rtl/>
        </w:rPr>
        <w:t xml:space="preserve"> ، ص 109 ، ح 111 ، وفيه : « حدّثني إبراهيم بن سليمان معنعناً عن عيسى بن السريّ » إلى قوله : « مات ميتة جاهليّة وكان رسول الله </w:t>
      </w:r>
      <w:r w:rsidR="004A4E41" w:rsidRPr="00B866D3">
        <w:rPr>
          <w:rStyle w:val="libFootnoteAlaemChar"/>
          <w:rtl/>
        </w:rPr>
        <w:t>صلى‌الله‌عليه‌وآله</w:t>
      </w:r>
      <w:r w:rsidR="008A74EB" w:rsidRPr="00C9040A">
        <w:rPr>
          <w:rtl/>
        </w:rPr>
        <w:t xml:space="preserve"> وكان عليّاً </w:t>
      </w:r>
      <w:r w:rsidR="00117575" w:rsidRPr="00117575">
        <w:rPr>
          <w:rStyle w:val="libFootnoteAlaemChar"/>
          <w:rtl/>
        </w:rPr>
        <w:t>عليه‌السلام</w:t>
      </w:r>
      <w:r w:rsidR="008A74EB" w:rsidRPr="00C9040A">
        <w:rPr>
          <w:rtl/>
        </w:rPr>
        <w:t xml:space="preserve"> » وفيهما مع اختلاف يسير </w:t>
      </w:r>
      <w:r w:rsidR="008A74EB" w:rsidRPr="00993B55">
        <w:rPr>
          <w:rStyle w:val="libFootnoteBoldChar"/>
          <w:rtl/>
        </w:rPr>
        <w:t>الوافي</w:t>
      </w:r>
      <w:r w:rsidR="008A74EB" w:rsidRPr="00C9040A">
        <w:rPr>
          <w:rtl/>
        </w:rPr>
        <w:t xml:space="preserve"> ، ج 4 ، ص 91 ، ح 1700 ؛ </w:t>
      </w:r>
      <w:r w:rsidR="008A74EB" w:rsidRPr="00993B55">
        <w:rPr>
          <w:rStyle w:val="libFootnoteBoldChar"/>
          <w:rtl/>
        </w:rPr>
        <w:t>البحار</w:t>
      </w:r>
      <w:r w:rsidR="008A74EB" w:rsidRPr="00C9040A">
        <w:rPr>
          <w:rtl/>
        </w:rPr>
        <w:t xml:space="preserve"> ، ج 68 ، ص 337 ، ح 11.</w:t>
      </w:r>
    </w:p>
    <w:p w:rsidR="008A74EB" w:rsidRPr="00C9040A" w:rsidRDefault="006C577F" w:rsidP="004A4E41">
      <w:pPr>
        <w:pStyle w:val="libFootnote0"/>
        <w:rPr>
          <w:rtl/>
          <w:lang w:bidi="fa-IR"/>
        </w:rPr>
      </w:pPr>
      <w:r>
        <w:rPr>
          <w:rtl/>
        </w:rPr>
        <w:t>(1).</w:t>
      </w:r>
      <w:r w:rsidR="008A74EB">
        <w:rPr>
          <w:rFonts w:hint="cs"/>
          <w:rtl/>
        </w:rPr>
        <w:t xml:space="preserve"> </w:t>
      </w:r>
      <w:r w:rsidR="008A74EB" w:rsidRPr="00C9040A">
        <w:rPr>
          <w:rtl/>
        </w:rPr>
        <w:t xml:space="preserve">في البحار </w:t>
      </w:r>
      <w:r w:rsidR="008A74EB">
        <w:rPr>
          <w:rtl/>
        </w:rPr>
        <w:t xml:space="preserve">: </w:t>
      </w:r>
      <w:r w:rsidR="0084262C">
        <w:rPr>
          <w:rtl/>
        </w:rPr>
        <w:t>-</w:t>
      </w:r>
      <w:r w:rsidR="008A74EB" w:rsidRPr="00C9040A">
        <w:rPr>
          <w:rtl/>
        </w:rPr>
        <w:t xml:space="preserve"> « عن أحمد بن محمّد بن أبي نصر »</w:t>
      </w:r>
      <w:r w:rsidR="008A74EB">
        <w:rPr>
          <w:rtl/>
        </w:rPr>
        <w:t>.</w:t>
      </w:r>
      <w:r w:rsidR="008A74EB" w:rsidRPr="00C9040A">
        <w:rPr>
          <w:rtl/>
        </w:rPr>
        <w:t xml:space="preserve"> وهو سهوٌ ؛ فقد روى سهل [ بن زياد ] عن [ أحمد بن محمّد ] بن أبي نصر عن مثنّى [ الحنّاط ] في عدّة من الأسناد. راجع : </w:t>
      </w:r>
      <w:r w:rsidR="008A74EB" w:rsidRPr="00993B55">
        <w:rPr>
          <w:rStyle w:val="libFootnoteBoldChar"/>
          <w:rtl/>
        </w:rPr>
        <w:t>معجم رجال الحديث</w:t>
      </w:r>
      <w:r w:rsidR="008A74EB" w:rsidRPr="00C9040A">
        <w:rPr>
          <w:rtl/>
        </w:rPr>
        <w:t xml:space="preserve"> ، ج 2 ، ص 616</w:t>
      </w:r>
      <w:r w:rsidR="008A74EB">
        <w:rPr>
          <w:rtl/>
        </w:rPr>
        <w:t xml:space="preserve"> </w:t>
      </w:r>
      <w:r w:rsidR="0084262C">
        <w:rPr>
          <w:rtl/>
        </w:rPr>
        <w:t>-</w:t>
      </w:r>
      <w:r w:rsidR="008A74EB">
        <w:rPr>
          <w:rtl/>
        </w:rPr>
        <w:t xml:space="preserve"> </w:t>
      </w:r>
      <w:r w:rsidR="008A74EB" w:rsidRPr="00C9040A">
        <w:rPr>
          <w:rtl/>
        </w:rPr>
        <w:t>617 ؛ ج 22 ، ص 347</w:t>
      </w:r>
      <w:r w:rsidR="008A74EB">
        <w:rPr>
          <w:rtl/>
        </w:rPr>
        <w:t xml:space="preserve"> </w:t>
      </w:r>
      <w:r w:rsidR="0084262C">
        <w:rPr>
          <w:rtl/>
        </w:rPr>
        <w:t>-</w:t>
      </w:r>
      <w:r w:rsidR="008A74EB">
        <w:rPr>
          <w:rtl/>
        </w:rPr>
        <w:t xml:space="preserve"> </w:t>
      </w:r>
      <w:r w:rsidR="008A74EB" w:rsidRPr="00C9040A">
        <w:rPr>
          <w:rtl/>
        </w:rPr>
        <w:t>348.</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ص ، </w:t>
      </w:r>
      <w:r w:rsidR="006D3162">
        <w:rPr>
          <w:rtl/>
        </w:rPr>
        <w:t xml:space="preserve">ه </w:t>
      </w:r>
      <w:r w:rsidR="008A74EB" w:rsidRPr="00C9040A">
        <w:rPr>
          <w:rtl/>
        </w:rPr>
        <w:t>، بر ، بس ، جر » : « الخيّاط »</w:t>
      </w:r>
      <w:r w:rsidR="008A74EB">
        <w:rPr>
          <w:rtl/>
        </w:rPr>
        <w:t>.</w:t>
      </w:r>
      <w:r w:rsidR="008A74EB" w:rsidRPr="00C9040A">
        <w:rPr>
          <w:rtl/>
        </w:rPr>
        <w:t xml:space="preserve"> وهو سهو ؛ فإنّ مثنّى هذا هو المثنّى بن الوليد الحنّاط. فقد وردت رواية الوشّاء عن مثنّى عن عبد الله بن عجلان في </w:t>
      </w:r>
      <w:r w:rsidR="008A74EB" w:rsidRPr="00993B55">
        <w:rPr>
          <w:rStyle w:val="libFootnoteBoldChar"/>
          <w:rtl/>
        </w:rPr>
        <w:t>الكافي</w:t>
      </w:r>
      <w:r w:rsidR="008A74EB" w:rsidRPr="00C9040A">
        <w:rPr>
          <w:rtl/>
        </w:rPr>
        <w:t xml:space="preserve"> ، ح 1102 </w:t>
      </w:r>
      <w:r w:rsidR="008A74EB">
        <w:rPr>
          <w:rtl/>
        </w:rPr>
        <w:t>و 1</w:t>
      </w:r>
      <w:r w:rsidR="008A74EB" w:rsidRPr="00C9040A">
        <w:rPr>
          <w:rtl/>
        </w:rPr>
        <w:t xml:space="preserve">107. ووردت رواية الحسن بن عليّ الوشّاء عن مثنّى الحنّاط عن عبد الله بن عجلان في </w:t>
      </w:r>
      <w:r w:rsidR="008A74EB" w:rsidRPr="00993B55">
        <w:rPr>
          <w:rStyle w:val="libFootnoteBoldChar"/>
          <w:rtl/>
        </w:rPr>
        <w:t>الكافي</w:t>
      </w:r>
      <w:r w:rsidR="008A74EB" w:rsidRPr="00C9040A">
        <w:rPr>
          <w:rtl/>
        </w:rPr>
        <w:t xml:space="preserve"> ، ح 1116. والحسن بن عليّ الوشّاء هذا هو الحسن بن عليّ الخزّاز الذي روى كتاب مثنّى بن الوليد الحنّاط عنه. راجع : </w:t>
      </w:r>
      <w:r w:rsidR="008A74EB" w:rsidRPr="0034021D">
        <w:rPr>
          <w:rStyle w:val="libFootnoteBoldChar"/>
          <w:rtl/>
        </w:rPr>
        <w:t>الفهرست للطوسي</w:t>
      </w:r>
      <w:r w:rsidR="008A74EB" w:rsidRPr="00C9040A">
        <w:rPr>
          <w:rtl/>
        </w:rPr>
        <w:t xml:space="preserve"> ، ص 468 ، الرقم 748 ؛ وص 138 ، الرقم 202 ؛ </w:t>
      </w:r>
      <w:r w:rsidR="008A74EB" w:rsidRPr="00993B55">
        <w:rPr>
          <w:rStyle w:val="libFootnoteBoldChar"/>
          <w:rtl/>
        </w:rPr>
        <w:t>رجال النجاشي</w:t>
      </w:r>
      <w:r w:rsidR="008A74EB" w:rsidRPr="00C9040A">
        <w:rPr>
          <w:rtl/>
        </w:rPr>
        <w:t xml:space="preserve"> ، ص 39 ، الرقم 80.</w:t>
      </w:r>
    </w:p>
    <w:p w:rsidR="008A74EB" w:rsidRPr="00C9040A" w:rsidRDefault="006C577F" w:rsidP="004A4E41">
      <w:pPr>
        <w:pStyle w:val="libFootnote0"/>
        <w:rPr>
          <w:rtl/>
          <w:lang w:bidi="fa-IR"/>
        </w:rPr>
      </w:pPr>
      <w:r>
        <w:rPr>
          <w:rtl/>
        </w:rPr>
        <w:t>(3).</w:t>
      </w:r>
      <w:r w:rsidR="008A74EB" w:rsidRPr="00C9040A">
        <w:rPr>
          <w:rtl/>
        </w:rPr>
        <w:t xml:space="preserve"> في « ف » : + « على »</w:t>
      </w:r>
      <w:r w:rsidR="008A74EB">
        <w:rPr>
          <w:rtl/>
        </w:rPr>
        <w:t>.</w:t>
      </w:r>
      <w:r w:rsidR="008A74EB" w:rsidRPr="00C9040A">
        <w:rPr>
          <w:rtl/>
        </w:rPr>
        <w:t xml:space="preserve"> وفي « </w:t>
      </w:r>
      <w:r w:rsidR="006D3162">
        <w:rPr>
          <w:rtl/>
        </w:rPr>
        <w:t xml:space="preserve">ه </w:t>
      </w:r>
      <w:r w:rsidR="008A74EB" w:rsidRPr="00C9040A">
        <w:rPr>
          <w:rtl/>
        </w:rPr>
        <w:t>» وحاشية « بف » والبحار : + « دعائم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w:t>
      </w:r>
      <w:r w:rsidR="008A74EB" w:rsidRPr="0034021D">
        <w:rPr>
          <w:rStyle w:val="libFootnoteBoldChar"/>
          <w:rtl/>
        </w:rPr>
        <w:t>الأمالي للصدوق</w:t>
      </w:r>
      <w:r w:rsidR="008A74EB" w:rsidRPr="00C9040A">
        <w:rPr>
          <w:rtl/>
        </w:rPr>
        <w:t xml:space="preserve"> ، ص 268 ، المجلس 45 ، ح 14 ؛ و</w:t>
      </w:r>
      <w:r w:rsidR="008A74EB" w:rsidRPr="00993B55">
        <w:rPr>
          <w:rStyle w:val="libFootnoteBoldChar"/>
          <w:rtl/>
        </w:rPr>
        <w:t>فضائل الأشهر الثلاثة</w:t>
      </w:r>
      <w:r w:rsidR="008A74EB" w:rsidRPr="00C9040A">
        <w:rPr>
          <w:rtl/>
        </w:rPr>
        <w:t xml:space="preserve"> ، ص 86 ، ح 65 ؛ وص 112 ، ح 106 ، بسند آخر عن أبي عبد الله </w:t>
      </w:r>
      <w:r w:rsidR="00117575" w:rsidRPr="00117575">
        <w:rPr>
          <w:rStyle w:val="libFootnoteAlaemChar"/>
          <w:rtl/>
        </w:rPr>
        <w:t>عليه‌السلام</w:t>
      </w:r>
      <w:r w:rsidR="008A74EB" w:rsidRPr="00C9040A">
        <w:rPr>
          <w:rtl/>
        </w:rPr>
        <w:t xml:space="preserve"> ، مع اختلاف يسير وزيادة في آخره</w:t>
      </w:r>
      <w:r w:rsidR="00C90B23">
        <w:rPr>
          <w:rFonts w:hint="cs"/>
          <w:rtl/>
        </w:rPr>
        <w:t>.</w:t>
      </w:r>
      <w:r w:rsidR="008A74EB" w:rsidRPr="00993B55">
        <w:rPr>
          <w:rStyle w:val="libFootnoteBoldChar"/>
          <w:rtl/>
        </w:rPr>
        <w:t>الوافي</w:t>
      </w:r>
      <w:r w:rsidR="008A74EB" w:rsidRPr="00C9040A">
        <w:rPr>
          <w:rtl/>
        </w:rPr>
        <w:t xml:space="preserve"> ، ج 4 ، ص 88 ، ح 1697 ؛ </w:t>
      </w:r>
      <w:r w:rsidR="008A74EB" w:rsidRPr="00993B55">
        <w:rPr>
          <w:rStyle w:val="libFootnoteBoldChar"/>
          <w:rtl/>
        </w:rPr>
        <w:t>الوسائل</w:t>
      </w:r>
      <w:r w:rsidR="008A74EB" w:rsidRPr="00C9040A">
        <w:rPr>
          <w:rtl/>
        </w:rPr>
        <w:t xml:space="preserve"> ، ج 1 ، ص 18 ، ح 11 ؛ </w:t>
      </w:r>
      <w:r w:rsidR="008A74EB" w:rsidRPr="00993B55">
        <w:rPr>
          <w:rStyle w:val="libFootnoteBoldChar"/>
          <w:rtl/>
        </w:rPr>
        <w:t>البحار</w:t>
      </w:r>
      <w:r w:rsidR="008A74EB" w:rsidRPr="00C9040A">
        <w:rPr>
          <w:rtl/>
        </w:rPr>
        <w:t xml:space="preserve"> ، ج 68 ، ص 331 ، ح 7.</w:t>
      </w:r>
    </w:p>
    <w:p w:rsidR="008A74EB" w:rsidRPr="00C9040A" w:rsidRDefault="006C577F" w:rsidP="004A4E41">
      <w:pPr>
        <w:pStyle w:val="libFootnote0"/>
        <w:rPr>
          <w:rtl/>
          <w:lang w:bidi="fa-IR"/>
        </w:rPr>
      </w:pPr>
      <w:r>
        <w:rPr>
          <w:rtl/>
        </w:rPr>
        <w:t>(5).</w:t>
      </w:r>
      <w:r w:rsidR="008A74EB" w:rsidRPr="00C9040A">
        <w:rPr>
          <w:rtl/>
        </w:rPr>
        <w:t xml:space="preserve"> هكذا في « ب ، ج ، د ، ص ، ف ، </w:t>
      </w:r>
      <w:r w:rsidR="006D3162">
        <w:rPr>
          <w:rtl/>
        </w:rPr>
        <w:t xml:space="preserve">ه </w:t>
      </w:r>
      <w:r w:rsidR="008A74EB" w:rsidRPr="00C9040A">
        <w:rPr>
          <w:rtl/>
        </w:rPr>
        <w:t>، بر ، بف ، جر » والبحار. وفي المطبوع : « فضيل »</w:t>
      </w:r>
      <w:r w:rsidR="008A74EB">
        <w:rPr>
          <w:rtl/>
        </w:rPr>
        <w:t>.</w:t>
      </w:r>
      <w:r w:rsidR="008A74EB" w:rsidRPr="00C9040A">
        <w:rPr>
          <w:rtl/>
        </w:rPr>
        <w:t xml:space="preserve"> وفي « ز ، بس » وحاشية « جر » : « الفضل »</w:t>
      </w:r>
      <w:r w:rsidR="008A74EB">
        <w:rPr>
          <w:rtl/>
        </w:rPr>
        <w:t>.</w:t>
      </w:r>
      <w:r w:rsidR="008A74EB" w:rsidRPr="00C9040A">
        <w:rPr>
          <w:rtl/>
        </w:rPr>
        <w:t xml:space="preserve"> وهو سهو ؛ فقد تقدّم في </w:t>
      </w:r>
      <w:r w:rsidR="008A74EB" w:rsidRPr="00993B55">
        <w:rPr>
          <w:rStyle w:val="libFootnoteBoldChar"/>
          <w:rtl/>
        </w:rPr>
        <w:t>الكافي</w:t>
      </w:r>
      <w:r w:rsidR="008A74EB" w:rsidRPr="00C9040A">
        <w:rPr>
          <w:rtl/>
        </w:rPr>
        <w:t xml:space="preserve"> ، ح 1492 مضمون الخبر عن أبان بن عثمان ، عن فضيل بن يسار ، عن أبي جعفر </w:t>
      </w:r>
      <w:r w:rsidR="00117575" w:rsidRPr="00117575">
        <w:rPr>
          <w:rStyle w:val="libFootnoteAlaemChar"/>
          <w:rtl/>
        </w:rPr>
        <w:t xml:space="preserve">عليه‌السلام </w:t>
      </w:r>
      <w:r w:rsidR="008A74EB" w:rsidRPr="00C9040A">
        <w:rPr>
          <w:rtl/>
        </w:rPr>
        <w:t>.</w:t>
      </w:r>
    </w:p>
    <w:p w:rsidR="004B7F34" w:rsidRDefault="004B7F34" w:rsidP="004B7F34">
      <w:pPr>
        <w:pStyle w:val="libNormal"/>
        <w:rPr>
          <w:rtl/>
          <w:lang w:bidi="fa-IR"/>
        </w:rPr>
      </w:pPr>
      <w:r>
        <w:rPr>
          <w:rtl/>
          <w:lang w:bidi="fa-IR"/>
        </w:rPr>
        <w:br w:type="page"/>
      </w:r>
    </w:p>
    <w:p w:rsidR="008A74EB" w:rsidRPr="00C9040A" w:rsidRDefault="008A74EB" w:rsidP="00C90B23">
      <w:pPr>
        <w:pStyle w:val="libNormal"/>
        <w:rPr>
          <w:rtl/>
          <w:lang w:bidi="fa-IR"/>
        </w:rPr>
      </w:pPr>
      <w:r w:rsidRPr="00C9040A">
        <w:rPr>
          <w:rtl/>
          <w:lang w:bidi="fa-IR"/>
        </w:rPr>
        <w:lastRenderedPageBreak/>
        <w:t xml:space="preserve">عَنْ أَبِي جَعْفَرٍ </w:t>
      </w:r>
      <w:r w:rsidRPr="0003660B">
        <w:rPr>
          <w:rStyle w:val="libAlaemChar"/>
          <w:rtl/>
        </w:rPr>
        <w:t>عليه‌السلام</w:t>
      </w:r>
      <w:r w:rsidRPr="00C9040A">
        <w:rPr>
          <w:rtl/>
          <w:lang w:bidi="fa-IR"/>
        </w:rPr>
        <w:t xml:space="preserve"> ، قَالَ : « بُنِيَ الْإِسْلَامُ عَلى خَمْسٍ </w:t>
      </w:r>
      <w:r w:rsidR="006C577F" w:rsidRPr="006C577F">
        <w:rPr>
          <w:rStyle w:val="libFootnotenumChar"/>
          <w:rtl/>
        </w:rPr>
        <w:t>(1)</w:t>
      </w:r>
      <w:r w:rsidRPr="00463D87">
        <w:rPr>
          <w:rFonts w:hint="cs"/>
          <w:rtl/>
        </w:rPr>
        <w:t xml:space="preserve"> </w:t>
      </w:r>
      <w:r w:rsidRPr="00C9040A">
        <w:rPr>
          <w:rtl/>
          <w:lang w:bidi="fa-IR"/>
        </w:rPr>
        <w:t xml:space="preserve">: الصَّلَاةِ ، وَالزَّكَاةِ ، وَالصَّوْمِ ، وَالْحَجِّ ، وَالْوَلَايَةِ </w:t>
      </w:r>
      <w:r w:rsidR="006C577F" w:rsidRPr="006C577F">
        <w:rPr>
          <w:rStyle w:val="libFootnotenumChar"/>
          <w:rtl/>
        </w:rPr>
        <w:t>(2)</w:t>
      </w:r>
      <w:r w:rsidRPr="00C9040A">
        <w:rPr>
          <w:rtl/>
          <w:lang w:bidi="fa-IR"/>
        </w:rPr>
        <w:t xml:space="preserve"> ؛ وَلَمْ يُنَادَ بِشَيْ‌ءٍ مَا نُودِيَ بِالْوَلَايَةِ يَوْمَ الْغَدِيرِ »</w:t>
      </w:r>
      <w:r>
        <w:rPr>
          <w:rtl/>
          <w:lang w:bidi="fa-IR"/>
        </w:rPr>
        <w:t>.</w:t>
      </w:r>
      <w:r w:rsidRPr="00C9040A">
        <w:rPr>
          <w:rtl/>
          <w:lang w:bidi="fa-IR"/>
        </w:rPr>
        <w:t xml:space="preserve"> </w:t>
      </w:r>
      <w:r w:rsidR="006C577F" w:rsidRPr="006C577F">
        <w:rPr>
          <w:rStyle w:val="libFootnotenumChar"/>
          <w:rtl/>
        </w:rPr>
        <w:t>(3)</w:t>
      </w:r>
    </w:p>
    <w:p w:rsidR="008A74EB" w:rsidRPr="00C9040A" w:rsidRDefault="008A74EB" w:rsidP="008A74EB">
      <w:pPr>
        <w:pStyle w:val="libNormal"/>
        <w:rPr>
          <w:rtl/>
          <w:lang w:bidi="fa-IR"/>
        </w:rPr>
      </w:pPr>
      <w:r w:rsidRPr="00195EC6">
        <w:rPr>
          <w:rtl/>
        </w:rPr>
        <w:t>1498</w:t>
      </w:r>
      <w:r w:rsidRPr="00261CB0">
        <w:rPr>
          <w:rStyle w:val="libBold2Char"/>
          <w:rtl/>
        </w:rPr>
        <w:t xml:space="preserve"> / 9.</w:t>
      </w:r>
      <w:r w:rsidRPr="00C9040A">
        <w:rPr>
          <w:rtl/>
          <w:lang w:bidi="fa-IR"/>
        </w:rPr>
        <w:t xml:space="preserve"> عَلِيُّ بْنُ إِبْرَاهِيمَ ، عَنْ مُحَمَّدِ بْنِ عِيسى ، عَنْ يُونُسَ ، عَنْ حَمَّادِ بْنِ عُثْمَانَ ، عَنْ عِيسَى بْنِ السَّرِيِّ ، قَالَ :</w:t>
      </w:r>
    </w:p>
    <w:p w:rsidR="008A74EB" w:rsidRPr="00C9040A" w:rsidRDefault="008A74EB" w:rsidP="008A74EB">
      <w:pPr>
        <w:pStyle w:val="libNormal"/>
        <w:rPr>
          <w:rtl/>
          <w:lang w:bidi="fa-IR"/>
        </w:rPr>
      </w:pPr>
      <w:r w:rsidRPr="00C9040A">
        <w:rPr>
          <w:rtl/>
          <w:lang w:bidi="fa-IR"/>
        </w:rPr>
        <w:t xml:space="preserve">قُلْتُ لِأَبِي عَبْدِ اللهِ </w:t>
      </w:r>
      <w:r w:rsidRPr="0003660B">
        <w:rPr>
          <w:rStyle w:val="libAlaemChar"/>
          <w:rtl/>
        </w:rPr>
        <w:t>عليه‌السلام</w:t>
      </w:r>
      <w:r w:rsidRPr="00C9040A">
        <w:rPr>
          <w:rtl/>
          <w:lang w:bidi="fa-IR"/>
        </w:rPr>
        <w:t xml:space="preserve"> : حَدِّثْنِي عَمَّا بُنِيَتْ عَلَيْهِ دَعَائِمُ الْإِسْلَامِ إِذَا أَنَا </w:t>
      </w:r>
      <w:r w:rsidR="006C577F" w:rsidRPr="006C577F">
        <w:rPr>
          <w:rStyle w:val="libFootnotenumChar"/>
          <w:rtl/>
        </w:rPr>
        <w:t>(4)</w:t>
      </w:r>
      <w:r w:rsidRPr="00C9040A">
        <w:rPr>
          <w:rtl/>
          <w:lang w:bidi="fa-IR"/>
        </w:rPr>
        <w:t xml:space="preserve"> أَخَذْتُ بِهَا زَكا عَمَلِي ، وَلَمْ يَضُرَّنِي جَهْلُ مَا جَهِلْتُ بَعْدَهُ </w:t>
      </w:r>
      <w:r w:rsidR="006C577F" w:rsidRPr="006C577F">
        <w:rPr>
          <w:rStyle w:val="libFootnotenumChar"/>
          <w:rtl/>
        </w:rPr>
        <w:t>(5)</w:t>
      </w:r>
    </w:p>
    <w:p w:rsidR="008A74EB" w:rsidRPr="00C9040A" w:rsidRDefault="008A74EB" w:rsidP="008B7A50">
      <w:pPr>
        <w:pStyle w:val="libNormal"/>
        <w:rPr>
          <w:rtl/>
          <w:lang w:bidi="fa-IR"/>
        </w:rPr>
      </w:pPr>
      <w:r w:rsidRPr="00C9040A">
        <w:rPr>
          <w:rtl/>
          <w:lang w:bidi="fa-IR"/>
        </w:rPr>
        <w:t xml:space="preserve">فَقَالَ </w:t>
      </w:r>
      <w:r w:rsidR="006C577F" w:rsidRPr="006C577F">
        <w:rPr>
          <w:rStyle w:val="libFootnotenumChar"/>
          <w:rtl/>
        </w:rPr>
        <w:t>(6)</w:t>
      </w:r>
      <w:r w:rsidRPr="00C9040A">
        <w:rPr>
          <w:rtl/>
          <w:lang w:bidi="fa-IR"/>
        </w:rPr>
        <w:t>: « شَهَادَةُ أَنْ لَا</w:t>
      </w:r>
      <w:r>
        <w:rPr>
          <w:rFonts w:hint="cs"/>
          <w:rtl/>
          <w:lang w:bidi="fa-IR"/>
        </w:rPr>
        <w:t xml:space="preserve"> </w:t>
      </w:r>
      <w:r w:rsidR="00823218">
        <w:rPr>
          <w:rtl/>
          <w:lang w:bidi="fa-IR"/>
        </w:rPr>
        <w:t>إِلهَ إِل</w:t>
      </w:r>
      <w:r w:rsidR="00823218">
        <w:rPr>
          <w:rFonts w:hint="cs"/>
          <w:rtl/>
          <w:lang w:bidi="fa-IR"/>
        </w:rPr>
        <w:t>َّ</w:t>
      </w:r>
      <w:r w:rsidR="00823218">
        <w:rPr>
          <w:rtl/>
          <w:lang w:bidi="fa-IR"/>
        </w:rPr>
        <w:t>ا</w:t>
      </w:r>
      <w:r w:rsidRPr="00C9040A">
        <w:rPr>
          <w:rtl/>
          <w:lang w:bidi="fa-IR"/>
        </w:rPr>
        <w:t xml:space="preserve"> اللهُ ، وَأَنَّ مُحَمَّداً رَسُولُ اللهِ </w:t>
      </w:r>
      <w:r w:rsidR="004A4E41" w:rsidRPr="004A4E41">
        <w:rPr>
          <w:rStyle w:val="libAlaemChar"/>
          <w:rFonts w:eastAsiaTheme="minorHAnsi"/>
          <w:rtl/>
        </w:rPr>
        <w:t>صلى‌الله‌عليه‌وآله</w:t>
      </w:r>
      <w:r w:rsidR="008B7A50" w:rsidRPr="00C9040A">
        <w:rPr>
          <w:rtl/>
          <w:lang w:bidi="fa-IR"/>
        </w:rPr>
        <w:t xml:space="preserve"> </w:t>
      </w:r>
      <w:r w:rsidRPr="00C9040A">
        <w:rPr>
          <w:rtl/>
          <w:lang w:bidi="fa-IR"/>
        </w:rPr>
        <w:t xml:space="preserve">، وَالْإِقْرَارُ بِمَا جَاءَ بِهِ </w:t>
      </w:r>
      <w:r w:rsidR="006C577F" w:rsidRPr="006C577F">
        <w:rPr>
          <w:rStyle w:val="libFootnotenumChar"/>
          <w:rtl/>
        </w:rPr>
        <w:t>(7)</w:t>
      </w:r>
      <w:r w:rsidRPr="00C9040A">
        <w:rPr>
          <w:rtl/>
          <w:lang w:bidi="fa-IR"/>
        </w:rPr>
        <w:t xml:space="preserve"> مِنْ عِنْدِ اللهِ ، وَحَقٌّ فِي الْأَمْوَالِ مِنَ </w:t>
      </w:r>
      <w:r w:rsidR="006C577F" w:rsidRPr="006C577F">
        <w:rPr>
          <w:rStyle w:val="libFootnotenumChar"/>
          <w:rtl/>
        </w:rPr>
        <w:t>(8)</w:t>
      </w:r>
      <w:r w:rsidRPr="00C9040A">
        <w:rPr>
          <w:rtl/>
          <w:lang w:bidi="fa-IR"/>
        </w:rPr>
        <w:t xml:space="preserve"> الزَّكَاةِ ، وَالْوَلَايَةُ الَّتِي أَمَرَ اللهُ بِهَا وَلَايَةُ آلِ مُحَمَّدٍ ؛ فَإِنَّ </w:t>
      </w:r>
      <w:r w:rsidR="006C577F" w:rsidRPr="006C577F">
        <w:rPr>
          <w:rStyle w:val="libFootnotenumChar"/>
          <w:rtl/>
        </w:rPr>
        <w:t>(9)</w:t>
      </w:r>
      <w:r w:rsidRPr="00C9040A">
        <w:rPr>
          <w:rtl/>
          <w:lang w:bidi="fa-IR"/>
        </w:rPr>
        <w:t xml:space="preserve"> رَسُولَ اللهِ </w:t>
      </w:r>
      <w:r w:rsidR="004A4E41" w:rsidRPr="004A4E41">
        <w:rPr>
          <w:rStyle w:val="libAlaemChar"/>
          <w:rFonts w:eastAsiaTheme="minorHAnsi"/>
          <w:rtl/>
        </w:rPr>
        <w:t>صلى‌الله‌عليه‌وآله</w:t>
      </w:r>
      <w:r w:rsidR="008B7A50" w:rsidRPr="00C9040A">
        <w:rPr>
          <w:rtl/>
          <w:lang w:bidi="fa-IR"/>
        </w:rPr>
        <w:t xml:space="preserve"> </w:t>
      </w:r>
      <w:r w:rsidRPr="00C9040A">
        <w:rPr>
          <w:rtl/>
          <w:lang w:bidi="fa-IR"/>
        </w:rPr>
        <w:t>قَالَ : مَنْ مَاتَ وَ</w:t>
      </w:r>
      <w:r>
        <w:rPr>
          <w:rFonts w:hint="cs"/>
          <w:rtl/>
          <w:lang w:bidi="fa-IR"/>
        </w:rPr>
        <w:t xml:space="preserve"> </w:t>
      </w:r>
      <w:r w:rsidR="006C577F" w:rsidRPr="006C577F">
        <w:rPr>
          <w:rStyle w:val="libFootnotenumChar"/>
          <w:rtl/>
        </w:rPr>
        <w:t>(10)</w:t>
      </w:r>
      <w:r w:rsidRPr="00C9040A">
        <w:rPr>
          <w:rtl/>
          <w:lang w:bidi="fa-IR"/>
        </w:rPr>
        <w:t xml:space="preserve"> لَايَعْرِفُ </w:t>
      </w:r>
      <w:r w:rsidR="006C577F" w:rsidRPr="006C577F">
        <w:rPr>
          <w:rStyle w:val="libFootnotenumChar"/>
          <w:rtl/>
        </w:rPr>
        <w:t>(11)</w:t>
      </w:r>
      <w:r w:rsidRPr="00C9040A">
        <w:rPr>
          <w:rtl/>
          <w:lang w:bidi="fa-IR"/>
        </w:rPr>
        <w:t xml:space="preserve"> إِمَامَهُ ، مَاتَ مِيتَةً جَاهِلِيَّةً ؛ قَالَ اللهُ عَزَّ وَجَلَّ : </w:t>
      </w:r>
      <w:r w:rsidRPr="0003660B">
        <w:rPr>
          <w:rStyle w:val="libAlaemChar"/>
          <w:rtl/>
        </w:rPr>
        <w:t>(</w:t>
      </w:r>
      <w:r w:rsidRPr="006A2246">
        <w:rPr>
          <w:rStyle w:val="libAieChar"/>
          <w:rtl/>
        </w:rPr>
        <w:t xml:space="preserve"> أَطِيعُوا اللهَ وَأَطِيعُوا الرَّسُولَ وَأُولِي الْأَمْرِ مِنْكُمْ </w:t>
      </w:r>
      <w:r w:rsidRPr="0003660B">
        <w:rPr>
          <w:rStyle w:val="libAlaemChar"/>
          <w:rtl/>
        </w:rPr>
        <w:t>)</w:t>
      </w:r>
      <w:r w:rsidRPr="00C9040A">
        <w:rPr>
          <w:rtl/>
          <w:lang w:bidi="fa-IR"/>
        </w:rPr>
        <w:t xml:space="preserve"> </w:t>
      </w:r>
      <w:r w:rsidR="006C577F" w:rsidRPr="006C577F">
        <w:rPr>
          <w:rStyle w:val="libFootnotenumChar"/>
          <w:rtl/>
        </w:rPr>
        <w:t>(12)</w:t>
      </w:r>
      <w:r w:rsidRPr="00C9040A">
        <w:rPr>
          <w:rtl/>
          <w:lang w:bidi="fa-IR"/>
        </w:rPr>
        <w:t xml:space="preserve"> فَكَانَ عَلِيٌّ ، ثُمَّ صَارَ مِنْ بَعْدِهِ الْحَسَنُ </w:t>
      </w:r>
      <w:r w:rsidRPr="005B567D">
        <w:rPr>
          <w:rStyle w:val="libFootnotenumChar"/>
          <w:rtl/>
        </w:rPr>
        <w:t>(13)</w:t>
      </w:r>
      <w:r w:rsidRPr="00C9040A">
        <w:rPr>
          <w:rtl/>
          <w:lang w:bidi="fa-IR"/>
        </w:rPr>
        <w:t xml:space="preserve"> ، ثُمَّ </w:t>
      </w:r>
      <w:r w:rsidRPr="005B567D">
        <w:rPr>
          <w:rStyle w:val="libFootnotenumChar"/>
          <w:rtl/>
        </w:rPr>
        <w:t>(14)</w:t>
      </w:r>
      <w:r w:rsidRPr="00C9040A">
        <w:rPr>
          <w:rtl/>
          <w:lang w:bidi="fa-IR"/>
        </w:rPr>
        <w:t xml:space="preserve"> مِنْ بَعْدِهِ الْحُسَيْنُ </w:t>
      </w:r>
      <w:r w:rsidRPr="005B567D">
        <w:rPr>
          <w:rStyle w:val="libFootnotenumChar"/>
          <w:rtl/>
        </w:rPr>
        <w:t>(15)</w:t>
      </w:r>
      <w:r w:rsidRPr="00C9040A">
        <w:rPr>
          <w:rtl/>
          <w:lang w:bidi="fa-IR"/>
        </w:rPr>
        <w:t xml:space="preserve"> ، ثُمَّ مِنْ بَعْدِهِ عَلِيُّ بْنُ الْحُسَيْنِ ، ثُمَّ مِنْ بَعْدِهِ مُحَمَّدُ بْنُ عَلِيٍّ ، ثُمَّ هكَذَا يَكُونُ الْأَمْرُ ؛ إِ</w:t>
      </w:r>
      <w:r w:rsidR="00823218">
        <w:rPr>
          <w:rtl/>
          <w:lang w:bidi="fa-IR"/>
        </w:rPr>
        <w:t>نَّ الْأَرْضَ لَاتَصْلُحُ إِل</w:t>
      </w:r>
      <w:r w:rsidR="00823218">
        <w:rPr>
          <w:rFonts w:hint="cs"/>
          <w:rtl/>
          <w:lang w:bidi="fa-IR"/>
        </w:rPr>
        <w:t>َّ</w:t>
      </w:r>
      <w:r w:rsidR="00823218">
        <w:rPr>
          <w:rtl/>
          <w:lang w:bidi="fa-IR"/>
        </w:rPr>
        <w:t>ا</w:t>
      </w:r>
      <w:r w:rsidRPr="00C9040A">
        <w:rPr>
          <w:rtl/>
          <w:lang w:bidi="fa-IR"/>
        </w:rPr>
        <w:t xml:space="preserve"> بِإِمَامٍ ، وَمَنْ مَاتَ‌</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 ب ، د ، بر ، بس » وحاشية « ج » والبحار : + « الولاية و</w:t>
      </w:r>
      <w:r w:rsidR="008A74EB">
        <w:rPr>
          <w:rFonts w:hint="cs"/>
          <w:rtl/>
        </w:rPr>
        <w:t xml:space="preserve"> </w:t>
      </w:r>
      <w:r w:rsidR="008A74EB" w:rsidRPr="00C9040A">
        <w:rPr>
          <w:rtl/>
        </w:rPr>
        <w:t>»</w:t>
      </w:r>
      <w:r w:rsidR="008A74EB">
        <w:rPr>
          <w:rtl/>
        </w:rPr>
        <w:t>.</w:t>
      </w:r>
      <w:r w:rsidR="008A74EB" w:rsidRPr="00C9040A">
        <w:rPr>
          <w:rtl/>
        </w:rPr>
        <w:t xml:space="preserve"> وفي « ف » : + « على »</w:t>
      </w:r>
      <w:r w:rsidR="008A74EB">
        <w:rPr>
          <w:rtl/>
        </w:rPr>
        <w:t>.</w:t>
      </w:r>
      <w:r w:rsidR="008A74EB" w:rsidRPr="00C9040A">
        <w:rPr>
          <w:rtl/>
        </w:rPr>
        <w:t xml:space="preserve"> وفي « </w:t>
      </w:r>
      <w:r w:rsidR="006D3162">
        <w:rPr>
          <w:rtl/>
        </w:rPr>
        <w:t xml:space="preserve">ه </w:t>
      </w:r>
      <w:r w:rsidR="008A74EB" w:rsidRPr="00C9040A">
        <w:rPr>
          <w:rtl/>
        </w:rPr>
        <w:t>» : « خمسة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ب ، ج ، د ، ز ، ف ، </w:t>
      </w:r>
      <w:r w:rsidR="006D3162">
        <w:rPr>
          <w:rtl/>
        </w:rPr>
        <w:t xml:space="preserve">ه </w:t>
      </w:r>
      <w:r w:rsidR="008A74EB" w:rsidRPr="00C9040A">
        <w:rPr>
          <w:rtl/>
        </w:rPr>
        <w:t xml:space="preserve">، بر ، بس ، بف » والوافي والبحار </w:t>
      </w:r>
      <w:r w:rsidR="008A74EB">
        <w:rPr>
          <w:rtl/>
        </w:rPr>
        <w:t xml:space="preserve">: </w:t>
      </w:r>
      <w:r w:rsidR="0084262C">
        <w:rPr>
          <w:rtl/>
        </w:rPr>
        <w:t>-</w:t>
      </w:r>
      <w:r w:rsidR="008A74EB" w:rsidRPr="00C9040A">
        <w:rPr>
          <w:rtl/>
        </w:rPr>
        <w:t xml:space="preserve"> « والولاية »</w:t>
      </w:r>
      <w:r w:rsidR="008A74EB">
        <w:rPr>
          <w:rtl/>
        </w:rPr>
        <w:t>.</w:t>
      </w:r>
    </w:p>
    <w:p w:rsidR="008A74EB" w:rsidRPr="004A4E41" w:rsidRDefault="006C577F" w:rsidP="004A4E41">
      <w:pPr>
        <w:pStyle w:val="libFootnote0"/>
        <w:rPr>
          <w:rStyle w:val="libFootnote0Char"/>
          <w:rtl/>
        </w:rPr>
      </w:pPr>
      <w:r>
        <w:rPr>
          <w:rtl/>
        </w:rPr>
        <w:t>(3).</w:t>
      </w:r>
      <w:r w:rsidR="008A74EB" w:rsidRPr="00C9040A">
        <w:rPr>
          <w:rtl/>
        </w:rPr>
        <w:t xml:space="preserve"> راجع : </w:t>
      </w:r>
      <w:r w:rsidR="008A74EB" w:rsidRPr="00993B55">
        <w:rPr>
          <w:rStyle w:val="libFootnoteBoldChar"/>
          <w:rtl/>
        </w:rPr>
        <w:t>الأمالي</w:t>
      </w:r>
      <w:r w:rsidR="008A74EB" w:rsidRPr="00C9040A">
        <w:rPr>
          <w:rtl/>
        </w:rPr>
        <w:t xml:space="preserve"> للطوسي ، ص 518 ، المجلس 18 ، ح 41</w:t>
      </w:r>
      <w:r w:rsidR="00823218">
        <w:rPr>
          <w:rFonts w:hint="cs"/>
          <w:rtl/>
        </w:rPr>
        <w:t>.</w:t>
      </w:r>
      <w:r w:rsidR="008A74EB" w:rsidRPr="00993B55">
        <w:rPr>
          <w:rStyle w:val="libFootnoteBoldChar"/>
          <w:rtl/>
        </w:rPr>
        <w:t>الوافي</w:t>
      </w:r>
      <w:r w:rsidR="008A74EB" w:rsidRPr="00C9040A">
        <w:rPr>
          <w:rtl/>
        </w:rPr>
        <w:t xml:space="preserve"> ، ج 4 ، ص 88 ، ح 1695 ؛ </w:t>
      </w:r>
      <w:r w:rsidR="008A74EB" w:rsidRPr="00993B55">
        <w:rPr>
          <w:rStyle w:val="libFootnoteBoldChar"/>
          <w:rtl/>
        </w:rPr>
        <w:t>الوسائل</w:t>
      </w:r>
      <w:r w:rsidR="008A74EB" w:rsidRPr="00C9040A">
        <w:rPr>
          <w:rtl/>
        </w:rPr>
        <w:t xml:space="preserve"> ، ج 1 ، ص 18 ، ذيل ح 10 ؛ </w:t>
      </w:r>
      <w:r w:rsidR="008A74EB" w:rsidRPr="00993B55">
        <w:rPr>
          <w:rStyle w:val="libFootnoteBoldChar"/>
          <w:rtl/>
        </w:rPr>
        <w:t>البحار</w:t>
      </w:r>
      <w:r w:rsidR="008A74EB" w:rsidRPr="00C9040A">
        <w:rPr>
          <w:rtl/>
        </w:rPr>
        <w:t xml:space="preserve"> ، ج 65 ، ص 332 ، ح 8.</w:t>
      </w:r>
    </w:p>
    <w:tbl>
      <w:tblPr>
        <w:tblStyle w:val="TableGrid"/>
        <w:bidiVisual/>
        <w:tblW w:w="0" w:type="auto"/>
        <w:tblLook w:val="04A0" w:firstRow="1" w:lastRow="0" w:firstColumn="1" w:lastColumn="0" w:noHBand="0" w:noVBand="1"/>
      </w:tblPr>
      <w:tblGrid>
        <w:gridCol w:w="4006"/>
        <w:gridCol w:w="4006"/>
      </w:tblGrid>
      <w:tr w:rsidR="00823218" w:rsidTr="00823218">
        <w:tc>
          <w:tcPr>
            <w:tcW w:w="4006" w:type="dxa"/>
          </w:tcPr>
          <w:p w:rsidR="00823218" w:rsidRDefault="00823218" w:rsidP="004A4E41">
            <w:pPr>
              <w:pStyle w:val="libFootnote0"/>
              <w:rPr>
                <w:rtl/>
              </w:rPr>
            </w:pPr>
            <w:r>
              <w:rPr>
                <w:rtl/>
              </w:rPr>
              <w:t>(4). في «ج،</w:t>
            </w:r>
            <w:r>
              <w:rPr>
                <w:rFonts w:hint="cs"/>
                <w:rtl/>
              </w:rPr>
              <w:t xml:space="preserve"> </w:t>
            </w:r>
            <w:r>
              <w:rPr>
                <w:rtl/>
              </w:rPr>
              <w:t>د ،ز ،ص، ف، بر، بس »: -</w:t>
            </w:r>
            <w:r w:rsidRPr="00C9040A">
              <w:rPr>
                <w:rtl/>
              </w:rPr>
              <w:t xml:space="preserve"> « أنا »</w:t>
            </w:r>
            <w:r>
              <w:rPr>
                <w:rtl/>
              </w:rPr>
              <w:t>.</w:t>
            </w:r>
          </w:p>
        </w:tc>
        <w:tc>
          <w:tcPr>
            <w:tcW w:w="4006" w:type="dxa"/>
          </w:tcPr>
          <w:p w:rsidR="00823218" w:rsidRDefault="00823218" w:rsidP="004A4E41">
            <w:pPr>
              <w:pStyle w:val="libFootnote0"/>
              <w:rPr>
                <w:rtl/>
              </w:rPr>
            </w:pPr>
            <w:r>
              <w:rPr>
                <w:rtl/>
              </w:rPr>
              <w:t>(5).</w:t>
            </w:r>
            <w:r w:rsidRPr="00C9040A">
              <w:rPr>
                <w:rtl/>
              </w:rPr>
              <w:t xml:space="preserve"> في « </w:t>
            </w:r>
            <w:r>
              <w:rPr>
                <w:rtl/>
              </w:rPr>
              <w:t xml:space="preserve">ه </w:t>
            </w:r>
            <w:r w:rsidRPr="00C9040A">
              <w:rPr>
                <w:rtl/>
              </w:rPr>
              <w:t>» : « بعدها به »</w:t>
            </w:r>
            <w:r>
              <w:rPr>
                <w:rtl/>
              </w:rPr>
              <w:t>.</w:t>
            </w:r>
          </w:p>
        </w:tc>
      </w:tr>
      <w:tr w:rsidR="00823218" w:rsidTr="00823218">
        <w:tc>
          <w:tcPr>
            <w:tcW w:w="4006" w:type="dxa"/>
          </w:tcPr>
          <w:p w:rsidR="00823218" w:rsidRDefault="00823218" w:rsidP="004A4E41">
            <w:pPr>
              <w:pStyle w:val="libFootnote0"/>
              <w:rPr>
                <w:rtl/>
              </w:rPr>
            </w:pPr>
            <w:r>
              <w:rPr>
                <w:rtl/>
              </w:rPr>
              <w:t xml:space="preserve">(6). </w:t>
            </w:r>
            <w:r w:rsidRPr="00C9040A">
              <w:rPr>
                <w:rtl/>
              </w:rPr>
              <w:t xml:space="preserve">في « </w:t>
            </w:r>
            <w:r>
              <w:rPr>
                <w:rtl/>
              </w:rPr>
              <w:t xml:space="preserve">ه </w:t>
            </w:r>
            <w:r w:rsidRPr="00C9040A">
              <w:rPr>
                <w:rtl/>
              </w:rPr>
              <w:t>» : « قال »</w:t>
            </w:r>
            <w:r>
              <w:rPr>
                <w:rtl/>
              </w:rPr>
              <w:t>.</w:t>
            </w:r>
          </w:p>
        </w:tc>
        <w:tc>
          <w:tcPr>
            <w:tcW w:w="4006" w:type="dxa"/>
          </w:tcPr>
          <w:p w:rsidR="00823218" w:rsidRDefault="00823218" w:rsidP="004A4E41">
            <w:pPr>
              <w:pStyle w:val="libFootnote0"/>
              <w:rPr>
                <w:rtl/>
              </w:rPr>
            </w:pPr>
            <w:r>
              <w:rPr>
                <w:rtl/>
              </w:rPr>
              <w:t>(7).</w:t>
            </w:r>
            <w:r w:rsidRPr="00C9040A">
              <w:rPr>
                <w:rtl/>
              </w:rPr>
              <w:t xml:space="preserve"> في « د ، بس » </w:t>
            </w:r>
            <w:r>
              <w:rPr>
                <w:rtl/>
              </w:rPr>
              <w:t>: -</w:t>
            </w:r>
            <w:r w:rsidRPr="00C9040A">
              <w:rPr>
                <w:rtl/>
              </w:rPr>
              <w:t xml:space="preserve"> « به »</w:t>
            </w:r>
            <w:r>
              <w:rPr>
                <w:rtl/>
              </w:rPr>
              <w:t>.</w:t>
            </w:r>
          </w:p>
        </w:tc>
      </w:tr>
      <w:tr w:rsidR="00823218" w:rsidTr="00823218">
        <w:tc>
          <w:tcPr>
            <w:tcW w:w="4006" w:type="dxa"/>
          </w:tcPr>
          <w:p w:rsidR="00823218" w:rsidRDefault="00823218" w:rsidP="004A4E41">
            <w:pPr>
              <w:pStyle w:val="libFootnote0"/>
              <w:rPr>
                <w:rtl/>
              </w:rPr>
            </w:pPr>
            <w:r>
              <w:rPr>
                <w:rtl/>
              </w:rPr>
              <w:t>(8).</w:t>
            </w:r>
            <w:r w:rsidRPr="00C9040A">
              <w:rPr>
                <w:rtl/>
              </w:rPr>
              <w:t xml:space="preserve"> في الوافي </w:t>
            </w:r>
            <w:r>
              <w:rPr>
                <w:rtl/>
              </w:rPr>
              <w:t>: -</w:t>
            </w:r>
            <w:r w:rsidRPr="00C9040A">
              <w:rPr>
                <w:rtl/>
              </w:rPr>
              <w:t xml:space="preserve"> « من »</w:t>
            </w:r>
            <w:r>
              <w:rPr>
                <w:rtl/>
              </w:rPr>
              <w:t>.</w:t>
            </w:r>
          </w:p>
        </w:tc>
        <w:tc>
          <w:tcPr>
            <w:tcW w:w="4006" w:type="dxa"/>
          </w:tcPr>
          <w:p w:rsidR="00823218" w:rsidRDefault="00823218" w:rsidP="004A4E41">
            <w:pPr>
              <w:pStyle w:val="libFootnote0"/>
              <w:rPr>
                <w:rtl/>
              </w:rPr>
            </w:pPr>
            <w:r>
              <w:rPr>
                <w:rtl/>
              </w:rPr>
              <w:t>(9).</w:t>
            </w:r>
            <w:r w:rsidRPr="00C9040A">
              <w:rPr>
                <w:rtl/>
              </w:rPr>
              <w:t xml:space="preserve"> في « </w:t>
            </w:r>
            <w:r>
              <w:rPr>
                <w:rtl/>
              </w:rPr>
              <w:t xml:space="preserve">ه </w:t>
            </w:r>
            <w:r w:rsidRPr="00C9040A">
              <w:rPr>
                <w:rtl/>
              </w:rPr>
              <w:t>» : « وأنّ »</w:t>
            </w:r>
            <w:r>
              <w:rPr>
                <w:rtl/>
              </w:rPr>
              <w:t>.</w:t>
            </w:r>
          </w:p>
        </w:tc>
      </w:tr>
      <w:tr w:rsidR="00823218" w:rsidTr="00823218">
        <w:tc>
          <w:tcPr>
            <w:tcW w:w="4006" w:type="dxa"/>
          </w:tcPr>
          <w:p w:rsidR="00823218" w:rsidRDefault="00823218" w:rsidP="004A4E41">
            <w:pPr>
              <w:pStyle w:val="libFootnote0"/>
              <w:rPr>
                <w:rtl/>
              </w:rPr>
            </w:pPr>
            <w:r>
              <w:rPr>
                <w:rtl/>
              </w:rPr>
              <w:t>(10). في «ب، ج</w:t>
            </w:r>
            <w:r w:rsidRPr="00C9040A">
              <w:rPr>
                <w:rtl/>
              </w:rPr>
              <w:t xml:space="preserve">، د ، </w:t>
            </w:r>
            <w:r>
              <w:rPr>
                <w:rtl/>
              </w:rPr>
              <w:t>ه، بر، بس، بف</w:t>
            </w:r>
            <w:r w:rsidRPr="00C9040A">
              <w:rPr>
                <w:rtl/>
              </w:rPr>
              <w:t xml:space="preserve">» </w:t>
            </w:r>
            <w:r>
              <w:rPr>
                <w:rtl/>
              </w:rPr>
              <w:t>:-</w:t>
            </w:r>
            <w:r w:rsidRPr="00C9040A">
              <w:rPr>
                <w:rtl/>
              </w:rPr>
              <w:t xml:space="preserve"> « و</w:t>
            </w:r>
            <w:r>
              <w:rPr>
                <w:rFonts w:hint="cs"/>
                <w:rtl/>
              </w:rPr>
              <w:t xml:space="preserve"> </w:t>
            </w:r>
            <w:r w:rsidRPr="00C9040A">
              <w:rPr>
                <w:rtl/>
              </w:rPr>
              <w:t>»</w:t>
            </w:r>
            <w:r>
              <w:rPr>
                <w:rtl/>
              </w:rPr>
              <w:t>.</w:t>
            </w:r>
          </w:p>
        </w:tc>
        <w:tc>
          <w:tcPr>
            <w:tcW w:w="4006" w:type="dxa"/>
          </w:tcPr>
          <w:p w:rsidR="00823218" w:rsidRDefault="00823218" w:rsidP="004A4E41">
            <w:pPr>
              <w:pStyle w:val="libFootnote0"/>
              <w:rPr>
                <w:rtl/>
              </w:rPr>
            </w:pPr>
            <w:r>
              <w:rPr>
                <w:rtl/>
              </w:rPr>
              <w:t>(11).</w:t>
            </w:r>
            <w:r w:rsidRPr="00C9040A">
              <w:rPr>
                <w:rtl/>
              </w:rPr>
              <w:t xml:space="preserve"> في حاشية « ف » : « ولم يعرف »</w:t>
            </w:r>
            <w:r>
              <w:rPr>
                <w:rtl/>
              </w:rPr>
              <w:t>.</w:t>
            </w:r>
          </w:p>
        </w:tc>
      </w:tr>
    </w:tbl>
    <w:p w:rsidR="008A74EB" w:rsidRPr="00C9040A" w:rsidRDefault="006C577F" w:rsidP="004A4E41">
      <w:pPr>
        <w:pStyle w:val="libFootnote0"/>
        <w:rPr>
          <w:rtl/>
          <w:lang w:bidi="fa-IR"/>
        </w:rPr>
      </w:pPr>
      <w:r>
        <w:rPr>
          <w:rtl/>
        </w:rPr>
        <w:t>(12).</w:t>
      </w:r>
      <w:r w:rsidR="008A74EB" w:rsidRPr="00C9040A">
        <w:rPr>
          <w:rtl/>
        </w:rPr>
        <w:t xml:space="preserve"> النساء </w:t>
      </w:r>
      <w:r w:rsidR="00823218">
        <w:rPr>
          <w:rtl/>
        </w:rPr>
        <w:t>(4)</w:t>
      </w:r>
      <w:r w:rsidR="008A74EB" w:rsidRPr="00C9040A">
        <w:rPr>
          <w:rtl/>
        </w:rPr>
        <w:t xml:space="preserve"> : 59.</w:t>
      </w:r>
    </w:p>
    <w:p w:rsidR="008A74EB" w:rsidRPr="00C9040A" w:rsidRDefault="008A74EB" w:rsidP="004A4E41">
      <w:pPr>
        <w:pStyle w:val="libFootnote0"/>
        <w:rPr>
          <w:rtl/>
          <w:lang w:bidi="fa-IR"/>
        </w:rPr>
      </w:pPr>
      <w:r>
        <w:rPr>
          <w:rtl/>
        </w:rPr>
        <w:t>(13)</w:t>
      </w:r>
      <w:r w:rsidRPr="00C9040A">
        <w:rPr>
          <w:rtl/>
        </w:rPr>
        <w:t xml:space="preserve"> هكذا في « ف » والوافي. وفي سائر النسخ والمطبوع : « حسن »</w:t>
      </w:r>
      <w:r>
        <w:rPr>
          <w:rtl/>
        </w:rPr>
        <w:t>.</w:t>
      </w:r>
    </w:p>
    <w:p w:rsidR="008A74EB" w:rsidRPr="00C9040A" w:rsidRDefault="008A74EB" w:rsidP="004A4E41">
      <w:pPr>
        <w:pStyle w:val="libFootnote0"/>
        <w:rPr>
          <w:rtl/>
          <w:lang w:bidi="fa-IR"/>
        </w:rPr>
      </w:pPr>
      <w:r>
        <w:rPr>
          <w:rtl/>
        </w:rPr>
        <w:t>(14)</w:t>
      </w:r>
      <w:r w:rsidRPr="00C9040A">
        <w:rPr>
          <w:rtl/>
        </w:rPr>
        <w:t xml:space="preserve"> في « ج » : + « صار »</w:t>
      </w:r>
      <w:r>
        <w:rPr>
          <w:rtl/>
        </w:rPr>
        <w:t>.</w:t>
      </w:r>
    </w:p>
    <w:p w:rsidR="008A74EB" w:rsidRPr="00C9040A" w:rsidRDefault="008A74EB" w:rsidP="004A4E41">
      <w:pPr>
        <w:pStyle w:val="libFootnote0"/>
        <w:rPr>
          <w:rtl/>
          <w:lang w:bidi="fa-IR"/>
        </w:rPr>
      </w:pPr>
      <w:r>
        <w:rPr>
          <w:rtl/>
        </w:rPr>
        <w:t>(15)</w:t>
      </w:r>
      <w:r w:rsidRPr="00C9040A">
        <w:rPr>
          <w:rtl/>
        </w:rPr>
        <w:t xml:space="preserve"> هكذا في « ف » والوافي. وفي سائر النسخ والمطبوع : « حسين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لَا يَعْرِفُ إِمَامَهُ ، مَاتَ مِيتَةً جَاهِلِيَّةً ، وَ</w:t>
      </w:r>
      <w:r>
        <w:rPr>
          <w:rFonts w:hint="cs"/>
          <w:rtl/>
          <w:lang w:bidi="fa-IR"/>
        </w:rPr>
        <w:t xml:space="preserve"> </w:t>
      </w:r>
      <w:r w:rsidR="006C577F" w:rsidRPr="006C577F">
        <w:rPr>
          <w:rStyle w:val="libFootnotenumChar"/>
          <w:rtl/>
        </w:rPr>
        <w:t>(1)</w:t>
      </w:r>
      <w:r w:rsidRPr="0036521C">
        <w:rPr>
          <w:rFonts w:hint="cs"/>
          <w:rtl/>
        </w:rPr>
        <w:t xml:space="preserve"> </w:t>
      </w:r>
      <w:r w:rsidRPr="00C9040A">
        <w:rPr>
          <w:rtl/>
          <w:lang w:bidi="fa-IR"/>
        </w:rPr>
        <w:t xml:space="preserve">أَحْوَجُ مَا يَكُونُ أَحَدُكُمْ إِلى مَعْرِفَتِهِ إِذَا بَلَغَتْ نَفْسُهُ </w:t>
      </w:r>
      <w:r w:rsidR="006C577F" w:rsidRPr="006C577F">
        <w:rPr>
          <w:rStyle w:val="libFootnotenumChar"/>
          <w:rtl/>
        </w:rPr>
        <w:t>(2)</w:t>
      </w:r>
      <w:r w:rsidRPr="00C9040A">
        <w:rPr>
          <w:rtl/>
          <w:lang w:bidi="fa-IR"/>
        </w:rPr>
        <w:t xml:space="preserve"> هَاهُنَا</w:t>
      </w:r>
      <w:r>
        <w:rPr>
          <w:rtl/>
          <w:lang w:bidi="fa-IR"/>
        </w:rPr>
        <w:t xml:space="preserve"> </w:t>
      </w:r>
      <w:r w:rsidR="0084262C">
        <w:rPr>
          <w:rtl/>
          <w:lang w:bidi="fa-IR"/>
        </w:rPr>
        <w:t>-</w:t>
      </w:r>
      <w:r>
        <w:rPr>
          <w:rtl/>
          <w:lang w:bidi="fa-IR"/>
        </w:rPr>
        <w:t xml:space="preserve"> </w:t>
      </w:r>
      <w:r w:rsidRPr="00C9040A">
        <w:rPr>
          <w:rtl/>
          <w:lang w:bidi="fa-IR"/>
        </w:rPr>
        <w:t xml:space="preserve">قَالَ </w:t>
      </w:r>
      <w:r w:rsidR="006C577F" w:rsidRPr="006C577F">
        <w:rPr>
          <w:rStyle w:val="libFootnotenumChar"/>
          <w:rtl/>
        </w:rPr>
        <w:t>(3)</w:t>
      </w:r>
      <w:r w:rsidRPr="00C9040A">
        <w:rPr>
          <w:rtl/>
          <w:lang w:bidi="fa-IR"/>
        </w:rPr>
        <w:t xml:space="preserve"> : وَأَهْوى بِيَدِهِ إِلى صَدْرِهِ</w:t>
      </w:r>
      <w:r>
        <w:rPr>
          <w:rtl/>
          <w:lang w:bidi="fa-IR"/>
        </w:rPr>
        <w:t xml:space="preserve"> </w:t>
      </w:r>
      <w:r w:rsidR="0084262C">
        <w:rPr>
          <w:rtl/>
          <w:lang w:bidi="fa-IR"/>
        </w:rPr>
        <w:t>-</w:t>
      </w:r>
      <w:r>
        <w:rPr>
          <w:rtl/>
          <w:lang w:bidi="fa-IR"/>
        </w:rPr>
        <w:t xml:space="preserve"> </w:t>
      </w:r>
      <w:r w:rsidRPr="00C9040A">
        <w:rPr>
          <w:rtl/>
          <w:lang w:bidi="fa-IR"/>
        </w:rPr>
        <w:t>يَقُولُ حِينَئِذٍ : لَقَدْ كُنْتُ عَلى أَمْرٍ حَسَنٍ »</w:t>
      </w:r>
      <w:r>
        <w:rPr>
          <w:rtl/>
          <w:lang w:bidi="fa-IR"/>
        </w:rPr>
        <w:t>.</w:t>
      </w:r>
      <w:r w:rsidRPr="00C9040A">
        <w:rPr>
          <w:rtl/>
          <w:lang w:bidi="fa-IR"/>
        </w:rPr>
        <w:t xml:space="preserve"> </w:t>
      </w:r>
      <w:r w:rsidR="006C577F" w:rsidRPr="006C577F">
        <w:rPr>
          <w:rStyle w:val="libFootnotenumChar"/>
          <w:rtl/>
        </w:rPr>
        <w:t>(4)</w:t>
      </w:r>
      <w:r w:rsidRPr="00C9040A">
        <w:rPr>
          <w:rtl/>
          <w:lang w:bidi="fa-IR"/>
        </w:rPr>
        <w:t>‌</w:t>
      </w:r>
    </w:p>
    <w:p w:rsidR="008A74EB" w:rsidRPr="00C9040A" w:rsidRDefault="008A74EB" w:rsidP="008A74EB">
      <w:pPr>
        <w:pStyle w:val="libNormal"/>
        <w:rPr>
          <w:rtl/>
          <w:lang w:bidi="fa-IR"/>
        </w:rPr>
      </w:pPr>
      <w:r w:rsidRPr="00195EC6">
        <w:rPr>
          <w:rtl/>
        </w:rPr>
        <w:t>1499</w:t>
      </w:r>
      <w:r w:rsidRPr="00261CB0">
        <w:rPr>
          <w:rStyle w:val="libBold2Char"/>
          <w:rtl/>
        </w:rPr>
        <w:t xml:space="preserve"> / 10.</w:t>
      </w:r>
      <w:r w:rsidRPr="00C9040A">
        <w:rPr>
          <w:rtl/>
          <w:lang w:bidi="fa-IR"/>
        </w:rPr>
        <w:t xml:space="preserve"> عَنْهُ </w:t>
      </w:r>
      <w:r w:rsidR="006C577F" w:rsidRPr="006C577F">
        <w:rPr>
          <w:rStyle w:val="libFootnotenumChar"/>
          <w:rtl/>
        </w:rPr>
        <w:t>(5)</w:t>
      </w:r>
      <w:r w:rsidRPr="00C9040A">
        <w:rPr>
          <w:rtl/>
          <w:lang w:bidi="fa-IR"/>
        </w:rPr>
        <w:t xml:space="preserve"> ، عَنْ أَبِي الْجَارُودِ ، قَالَ :</w:t>
      </w:r>
    </w:p>
    <w:p w:rsidR="008A74EB" w:rsidRPr="00C9040A" w:rsidRDefault="008A74EB" w:rsidP="008A74EB">
      <w:pPr>
        <w:pStyle w:val="libNormal"/>
        <w:rPr>
          <w:rtl/>
          <w:lang w:bidi="fa-IR"/>
        </w:rPr>
      </w:pPr>
      <w:r w:rsidRPr="00C9040A">
        <w:rPr>
          <w:rtl/>
          <w:lang w:bidi="fa-IR"/>
        </w:rPr>
        <w:t xml:space="preserve">قُلْتُ لِأَبِي جَعْفَرٍ </w:t>
      </w:r>
      <w:r w:rsidRPr="0003660B">
        <w:rPr>
          <w:rStyle w:val="libAlaemChar"/>
          <w:rtl/>
        </w:rPr>
        <w:t>عليه‌السلام</w:t>
      </w:r>
      <w:r w:rsidRPr="00C9040A">
        <w:rPr>
          <w:rtl/>
          <w:lang w:bidi="fa-IR"/>
        </w:rPr>
        <w:t xml:space="preserve"> : يَا ابْنَ رَسُولِ اللهِ </w:t>
      </w:r>
      <w:r w:rsidR="006C577F" w:rsidRPr="006C577F">
        <w:rPr>
          <w:rStyle w:val="libFootnotenumChar"/>
          <w:rtl/>
        </w:rPr>
        <w:t>(6)</w:t>
      </w:r>
      <w:r w:rsidRPr="005B567D">
        <w:rPr>
          <w:rStyle w:val="libFootnotenumChar"/>
          <w:rtl/>
        </w:rPr>
        <w:t xml:space="preserve"> </w:t>
      </w:r>
      <w:r w:rsidRPr="00C9040A">
        <w:rPr>
          <w:rtl/>
          <w:lang w:bidi="fa-IR"/>
        </w:rPr>
        <w:t>، هَلْ تَعْرِفُ مَوَدَّتِي لَكُمْ ، وَانْقِطَاعِي إِلَيْكُمْ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 ب » : + « قال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w:t>
      </w:r>
      <w:r w:rsidR="006D3162">
        <w:rPr>
          <w:rtl/>
        </w:rPr>
        <w:t xml:space="preserve">ه </w:t>
      </w:r>
      <w:r w:rsidR="008A74EB" w:rsidRPr="00C9040A">
        <w:rPr>
          <w:rtl/>
        </w:rPr>
        <w:t>» : + « إلى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ف ، </w:t>
      </w:r>
      <w:r w:rsidR="006D3162">
        <w:rPr>
          <w:rtl/>
        </w:rPr>
        <w:t xml:space="preserve">ه </w:t>
      </w:r>
      <w:r w:rsidR="008A74EB" w:rsidRPr="00C9040A">
        <w:rPr>
          <w:rtl/>
        </w:rPr>
        <w:t xml:space="preserve">» </w:t>
      </w:r>
      <w:r w:rsidR="008A74EB">
        <w:rPr>
          <w:rtl/>
        </w:rPr>
        <w:t xml:space="preserve">: </w:t>
      </w:r>
      <w:r w:rsidR="0084262C">
        <w:rPr>
          <w:rtl/>
        </w:rPr>
        <w:t>-</w:t>
      </w:r>
      <w:r w:rsidR="008A74EB" w:rsidRPr="00C9040A">
        <w:rPr>
          <w:rtl/>
        </w:rPr>
        <w:t xml:space="preserve"> « قال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المحاسن</w:t>
      </w:r>
      <w:r w:rsidR="008A74EB" w:rsidRPr="00C9040A">
        <w:rPr>
          <w:rtl/>
        </w:rPr>
        <w:t xml:space="preserve"> ، ص 92 ، كتاب عقاب الأعمال ، ح 46 ، بسنده عن حمّاد بن عثمان ، عن عيسى بن السري أبي اليسع ، من قوله : « ومن مات لايعرف إمامه » ؛ </w:t>
      </w:r>
      <w:r w:rsidR="008A74EB" w:rsidRPr="00993B55">
        <w:rPr>
          <w:rStyle w:val="libFootnoteBoldChar"/>
          <w:rtl/>
        </w:rPr>
        <w:t>المحاسن</w:t>
      </w:r>
      <w:r w:rsidR="008A74EB" w:rsidRPr="00C9040A">
        <w:rPr>
          <w:rtl/>
        </w:rPr>
        <w:t xml:space="preserve"> ، ص 154 ، كتاب الصفوة ، ح 79 ، بسنده عن حمّاد بن عثمان ، عن أبي اليسع عيسى بن السري ، من قوله : « إنّ الأرض لاتصلح إ</w:t>
      </w:r>
      <w:r w:rsidR="00823218">
        <w:rPr>
          <w:rtl/>
        </w:rPr>
        <w:t>ل</w:t>
      </w:r>
      <w:r w:rsidR="00823218">
        <w:rPr>
          <w:rFonts w:hint="cs"/>
          <w:rtl/>
        </w:rPr>
        <w:t>ّ</w:t>
      </w:r>
      <w:r w:rsidR="00823218">
        <w:rPr>
          <w:rtl/>
        </w:rPr>
        <w:t>ا</w:t>
      </w:r>
      <w:r w:rsidR="008A74EB" w:rsidRPr="00C9040A">
        <w:rPr>
          <w:rtl/>
        </w:rPr>
        <w:t xml:space="preserve"> بإمام » ؛ </w:t>
      </w:r>
      <w:r w:rsidR="008A74EB" w:rsidRPr="00993B55">
        <w:rPr>
          <w:rStyle w:val="libFootnoteBoldChar"/>
          <w:rtl/>
        </w:rPr>
        <w:t>ثواب الأعمال</w:t>
      </w:r>
      <w:r w:rsidR="008A74EB" w:rsidRPr="00C9040A">
        <w:rPr>
          <w:rtl/>
        </w:rPr>
        <w:t xml:space="preserve"> ، ص 244 ، ح 1 ، بسنده عن حمّاد بن عثمان ، عن عيسى بن السري اليسري ، من قوله : « ومن مات لايعرف إمامه »</w:t>
      </w:r>
      <w:r w:rsidR="008A74EB">
        <w:rPr>
          <w:rtl/>
        </w:rPr>
        <w:t>.</w:t>
      </w:r>
      <w:r w:rsidR="008A74EB" w:rsidRPr="00C9040A">
        <w:rPr>
          <w:rtl/>
        </w:rPr>
        <w:t xml:space="preserve"> راجع : </w:t>
      </w:r>
      <w:r w:rsidR="008A74EB" w:rsidRPr="00993B55">
        <w:rPr>
          <w:rStyle w:val="libFootnoteBoldChar"/>
          <w:rtl/>
        </w:rPr>
        <w:t>الكافي</w:t>
      </w:r>
      <w:r w:rsidR="008A74EB" w:rsidRPr="00C9040A">
        <w:rPr>
          <w:rtl/>
        </w:rPr>
        <w:t xml:space="preserve"> ، كتاب الحجّة ، باب من مات وليس له إمام من أئمّة الهدى</w:t>
      </w:r>
      <w:r w:rsidR="008A74EB">
        <w:rPr>
          <w:rtl/>
        </w:rPr>
        <w:t xml:space="preserve"> ..</w:t>
      </w:r>
      <w:r w:rsidR="008A74EB" w:rsidRPr="00C9040A">
        <w:rPr>
          <w:rtl/>
        </w:rPr>
        <w:t>. ، ح 978</w:t>
      </w:r>
      <w:r w:rsidR="00823218">
        <w:rPr>
          <w:rFonts w:hint="cs"/>
          <w:rtl/>
        </w:rPr>
        <w:t>.</w:t>
      </w:r>
      <w:r w:rsidR="008A74EB" w:rsidRPr="00993B55">
        <w:rPr>
          <w:rStyle w:val="libFootnoteBoldChar"/>
          <w:rtl/>
        </w:rPr>
        <w:t>الوافي</w:t>
      </w:r>
      <w:r w:rsidR="008A74EB" w:rsidRPr="00C9040A">
        <w:rPr>
          <w:rtl/>
        </w:rPr>
        <w:t xml:space="preserve"> ، ج 4 ، ص 93 ، ح 1701.</w:t>
      </w:r>
    </w:p>
    <w:p w:rsidR="008A74EB" w:rsidRPr="00C9040A" w:rsidRDefault="006C577F" w:rsidP="004A4E41">
      <w:pPr>
        <w:pStyle w:val="libFootnote0"/>
        <w:rPr>
          <w:rtl/>
          <w:lang w:bidi="fa-IR"/>
        </w:rPr>
      </w:pPr>
      <w:r>
        <w:rPr>
          <w:rtl/>
        </w:rPr>
        <w:t>(5).</w:t>
      </w:r>
      <w:r w:rsidR="008A74EB" w:rsidRPr="00C9040A">
        <w:rPr>
          <w:rtl/>
        </w:rPr>
        <w:t xml:space="preserve"> روى في </w:t>
      </w:r>
      <w:r w:rsidR="008A74EB" w:rsidRPr="00993B55">
        <w:rPr>
          <w:rStyle w:val="libFootnoteBoldChar"/>
          <w:rtl/>
        </w:rPr>
        <w:t>الكافي</w:t>
      </w:r>
      <w:r w:rsidR="008A74EB" w:rsidRPr="00C9040A">
        <w:rPr>
          <w:rtl/>
        </w:rPr>
        <w:t xml:space="preserve"> ، ح 12281 ، عليّ بن إبراهيم عن محمّد بن عيسى ، عن يونس ، عن حمّاد ، عن أبي الجارود. فيبدو في بادى النظر رجوع الضمير في ما نحن فيه إلى حمّاد بن عثمان في السند السابق ، لكنّ الظاهر أنّه لا يمكن الاعتماد على الكافي المطبوع ؛ فقد ورد في بعض نسخه المعتبرة « الجارود » وفي بعضها الآخر « جارود » بدل « أبي الجارود »</w:t>
      </w:r>
      <w:r w:rsidR="008A74EB">
        <w:rPr>
          <w:rtl/>
        </w:rPr>
        <w:t>.</w:t>
      </w:r>
      <w:r w:rsidR="008A74EB" w:rsidRPr="00C9040A">
        <w:rPr>
          <w:rtl/>
        </w:rPr>
        <w:t xml:space="preserve"> ويؤيّد ذلك ما ورد في </w:t>
      </w:r>
      <w:r w:rsidR="008A74EB" w:rsidRPr="00993B55">
        <w:rPr>
          <w:rStyle w:val="libFootnoteBoldChar"/>
          <w:rtl/>
        </w:rPr>
        <w:t>التهذيب</w:t>
      </w:r>
      <w:r w:rsidR="008A74EB" w:rsidRPr="00C9040A">
        <w:rPr>
          <w:rtl/>
        </w:rPr>
        <w:t xml:space="preserve"> ، ج 9 ، ص 109 ، ح 476 ؛ و</w:t>
      </w:r>
      <w:r w:rsidR="008A74EB" w:rsidRPr="00993B55">
        <w:rPr>
          <w:rStyle w:val="libFootnoteBoldChar"/>
          <w:rtl/>
        </w:rPr>
        <w:t>الوسائل</w:t>
      </w:r>
      <w:r w:rsidR="008A74EB" w:rsidRPr="00C9040A">
        <w:rPr>
          <w:rtl/>
        </w:rPr>
        <w:t xml:space="preserve"> ، ج 25 ، ص 335 ، ح 32056</w:t>
      </w:r>
      <w:r w:rsidR="008A74EB">
        <w:rPr>
          <w:rtl/>
        </w:rPr>
        <w:t xml:space="preserve"> </w:t>
      </w:r>
      <w:r w:rsidR="0084262C">
        <w:rPr>
          <w:rtl/>
        </w:rPr>
        <w:t>-</w:t>
      </w:r>
      <w:r w:rsidR="008A74EB">
        <w:rPr>
          <w:rtl/>
        </w:rPr>
        <w:t xml:space="preserve"> </w:t>
      </w:r>
      <w:r w:rsidR="008A74EB" w:rsidRPr="00C9040A">
        <w:rPr>
          <w:rtl/>
        </w:rPr>
        <w:t xml:space="preserve">نقلاً من </w:t>
      </w:r>
      <w:r w:rsidR="008A74EB" w:rsidRPr="00993B55">
        <w:rPr>
          <w:rStyle w:val="libFootnoteBoldChar"/>
          <w:rtl/>
        </w:rPr>
        <w:t>الكافي</w:t>
      </w:r>
      <w:r w:rsidR="008A74EB">
        <w:rPr>
          <w:rtl/>
        </w:rPr>
        <w:t xml:space="preserve"> </w:t>
      </w:r>
      <w:r w:rsidR="0084262C">
        <w:rPr>
          <w:rtl/>
        </w:rPr>
        <w:t>-</w:t>
      </w:r>
      <w:r w:rsidR="008A74EB">
        <w:rPr>
          <w:rtl/>
        </w:rPr>
        <w:t xml:space="preserve"> </w:t>
      </w:r>
      <w:r w:rsidR="008A74EB" w:rsidRPr="00C9040A">
        <w:rPr>
          <w:rtl/>
        </w:rPr>
        <w:t>من « جارود » بدل « أبي الجارود »</w:t>
      </w:r>
      <w:r w:rsidR="008A74EB">
        <w:rPr>
          <w:rtl/>
        </w:rPr>
        <w:t>.</w:t>
      </w:r>
      <w:r w:rsidR="008A74EB" w:rsidRPr="00C9040A">
        <w:rPr>
          <w:rtl/>
        </w:rPr>
        <w:t xml:space="preserve"> وجارود هو جارود بن المنذر أبوالمنذر الكندي. راجع : </w:t>
      </w:r>
      <w:r w:rsidR="008A74EB" w:rsidRPr="00993B55">
        <w:rPr>
          <w:rStyle w:val="libFootnoteBoldChar"/>
          <w:rtl/>
        </w:rPr>
        <w:t>رجال النجاشي</w:t>
      </w:r>
      <w:r w:rsidR="008A74EB" w:rsidRPr="00C9040A">
        <w:rPr>
          <w:rtl/>
        </w:rPr>
        <w:t xml:space="preserve"> ، ص 130 ، الرقم 334 ؛ </w:t>
      </w:r>
      <w:r w:rsidR="008A74EB" w:rsidRPr="00993B55">
        <w:rPr>
          <w:rStyle w:val="libFootnoteBoldChar"/>
          <w:rtl/>
        </w:rPr>
        <w:t>رجال البرقي</w:t>
      </w:r>
      <w:r w:rsidR="008A74EB" w:rsidRPr="00C9040A">
        <w:rPr>
          <w:rtl/>
        </w:rPr>
        <w:t xml:space="preserve"> ، ص 15 ؛ وص 42.</w:t>
      </w:r>
    </w:p>
    <w:p w:rsidR="008A74EB" w:rsidRPr="00C9040A" w:rsidRDefault="008A74EB" w:rsidP="004A4E41">
      <w:pPr>
        <w:pStyle w:val="libFootnote0"/>
        <w:rPr>
          <w:rtl/>
          <w:lang w:bidi="fa-IR"/>
        </w:rPr>
      </w:pPr>
      <w:r w:rsidRPr="0082575F">
        <w:rPr>
          <w:rtl/>
        </w:rPr>
        <w:t>هذا ، ولم نجد رواية حمّاد</w:t>
      </w:r>
      <w:r>
        <w:rPr>
          <w:rtl/>
        </w:rPr>
        <w:t xml:space="preserve"> </w:t>
      </w:r>
      <w:r w:rsidR="0084262C">
        <w:rPr>
          <w:rtl/>
        </w:rPr>
        <w:t>-</w:t>
      </w:r>
      <w:r>
        <w:rPr>
          <w:rtl/>
        </w:rPr>
        <w:t xml:space="preserve"> </w:t>
      </w:r>
      <w:r w:rsidRPr="0082575F">
        <w:rPr>
          <w:rtl/>
        </w:rPr>
        <w:t>وهو ابن عثمان</w:t>
      </w:r>
      <w:r>
        <w:rPr>
          <w:rtl/>
        </w:rPr>
        <w:t xml:space="preserve"> </w:t>
      </w:r>
      <w:r w:rsidR="0084262C">
        <w:rPr>
          <w:rtl/>
        </w:rPr>
        <w:t>-</w:t>
      </w:r>
      <w:r>
        <w:rPr>
          <w:rtl/>
        </w:rPr>
        <w:t xml:space="preserve"> </w:t>
      </w:r>
      <w:r w:rsidRPr="0082575F">
        <w:rPr>
          <w:rtl/>
        </w:rPr>
        <w:t>عن أبي الجارود</w:t>
      </w:r>
      <w:r>
        <w:rPr>
          <w:rtl/>
        </w:rPr>
        <w:t xml:space="preserve"> </w:t>
      </w:r>
      <w:r w:rsidR="0084262C">
        <w:rPr>
          <w:rtl/>
        </w:rPr>
        <w:t>-</w:t>
      </w:r>
      <w:r>
        <w:rPr>
          <w:rtl/>
        </w:rPr>
        <w:t xml:space="preserve"> </w:t>
      </w:r>
      <w:r w:rsidRPr="0082575F">
        <w:rPr>
          <w:rtl/>
        </w:rPr>
        <w:t>وهو زياد بن المنذر</w:t>
      </w:r>
      <w:r>
        <w:rPr>
          <w:rtl/>
        </w:rPr>
        <w:t xml:space="preserve"> </w:t>
      </w:r>
      <w:r w:rsidR="0084262C">
        <w:rPr>
          <w:rtl/>
        </w:rPr>
        <w:t>-</w:t>
      </w:r>
      <w:r>
        <w:rPr>
          <w:rtl/>
        </w:rPr>
        <w:t xml:space="preserve"> </w:t>
      </w:r>
      <w:r w:rsidRPr="0082575F">
        <w:rPr>
          <w:rtl/>
        </w:rPr>
        <w:t>في موضع.</w:t>
      </w:r>
    </w:p>
    <w:p w:rsidR="008A74EB" w:rsidRPr="00C9040A" w:rsidRDefault="008A74EB" w:rsidP="004A4E41">
      <w:pPr>
        <w:pStyle w:val="libFootnote0"/>
        <w:rPr>
          <w:rtl/>
          <w:lang w:bidi="fa-IR"/>
        </w:rPr>
      </w:pPr>
      <w:r w:rsidRPr="00323A39">
        <w:rPr>
          <w:rtl/>
        </w:rPr>
        <w:t xml:space="preserve">ثمّ إنّ الظاهر رجوع الضمير إلى عيسى بن السريّ في السند المتقدّم ؛ فقد وردت رواية أبي اليسع عن أبي الجارود ، عن أبي جعفر </w:t>
      </w:r>
      <w:r w:rsidR="00117575" w:rsidRPr="00117575">
        <w:rPr>
          <w:rStyle w:val="libFootnoteAlaemChar"/>
          <w:rtl/>
        </w:rPr>
        <w:t xml:space="preserve">عليه‌السلام </w:t>
      </w:r>
      <w:r w:rsidRPr="00323A39">
        <w:rPr>
          <w:rtl/>
        </w:rPr>
        <w:t xml:space="preserve"> في </w:t>
      </w:r>
      <w:r w:rsidRPr="00993B55">
        <w:rPr>
          <w:rStyle w:val="libFootnoteBoldChar"/>
          <w:rtl/>
        </w:rPr>
        <w:t>التوحيد</w:t>
      </w:r>
      <w:r w:rsidRPr="00323A39">
        <w:rPr>
          <w:rtl/>
        </w:rPr>
        <w:t xml:space="preserve"> ، ص 457 ، ح 13. وأبو اليسع هو عيسى بن السريّ ، كما ظهر ممّا تقدّم آنفاً من الحديث السادس وذيله ، وكذا من </w:t>
      </w:r>
      <w:r w:rsidRPr="00993B55">
        <w:rPr>
          <w:rStyle w:val="libFootnoteBoldChar"/>
          <w:rtl/>
        </w:rPr>
        <w:t>المحاسن</w:t>
      </w:r>
      <w:r w:rsidRPr="00323A39">
        <w:rPr>
          <w:rtl/>
        </w:rPr>
        <w:t xml:space="preserve"> ، ص 92 ، ح 46 ، وعنه في </w:t>
      </w:r>
      <w:r w:rsidRPr="00993B55">
        <w:rPr>
          <w:rStyle w:val="libFootnoteBoldChar"/>
          <w:rtl/>
        </w:rPr>
        <w:t>ثواب الأعمال</w:t>
      </w:r>
      <w:r w:rsidRPr="00323A39">
        <w:rPr>
          <w:rtl/>
        </w:rPr>
        <w:t xml:space="preserve"> ، ص 244 ، ح 1 ، وص 154 ، ح 79. وانظر أيضاً : </w:t>
      </w:r>
      <w:r w:rsidRPr="00993B55">
        <w:rPr>
          <w:rStyle w:val="libFootnoteBoldChar"/>
          <w:rtl/>
        </w:rPr>
        <w:t>رجال البرقي</w:t>
      </w:r>
      <w:r w:rsidRPr="00323A39">
        <w:rPr>
          <w:rtl/>
        </w:rPr>
        <w:t xml:space="preserve"> ، ص 30 ؛ </w:t>
      </w:r>
      <w:r w:rsidRPr="00993B55">
        <w:rPr>
          <w:rStyle w:val="libFootnoteBoldChar"/>
          <w:rtl/>
        </w:rPr>
        <w:t>رجال الكشّي</w:t>
      </w:r>
      <w:r w:rsidRPr="00323A39">
        <w:rPr>
          <w:rtl/>
        </w:rPr>
        <w:t xml:space="preserve"> ، ص 424 ، الرقم 799 ؛ و</w:t>
      </w:r>
      <w:r w:rsidRPr="0034021D">
        <w:rPr>
          <w:rStyle w:val="libFootnoteBoldChar"/>
          <w:rtl/>
        </w:rPr>
        <w:t>الفهرست للطوسي</w:t>
      </w:r>
      <w:r w:rsidRPr="00323A39">
        <w:rPr>
          <w:rtl/>
        </w:rPr>
        <w:t xml:space="preserve"> ، ص 333 ، الرقم 523.</w:t>
      </w:r>
    </w:p>
    <w:p w:rsidR="008A74EB" w:rsidRPr="00C9040A" w:rsidRDefault="008A74EB" w:rsidP="004A4E41">
      <w:pPr>
        <w:pStyle w:val="libFootnote0"/>
        <w:rPr>
          <w:rtl/>
          <w:lang w:bidi="fa-IR"/>
        </w:rPr>
      </w:pPr>
      <w:r w:rsidRPr="0082575F">
        <w:rPr>
          <w:rtl/>
        </w:rPr>
        <w:t>فعليه في السند تعليق ، ويكون أصله هكذا ؛ عليّ بن إبراهيم ، عن محمّد بن عيسى ، عن يونس ، عن حمّاد بن عثمان ، عن عيسى بن السريّ ، عن أبي الجارود.</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 </w:t>
      </w:r>
      <w:r w:rsidR="006D3162">
        <w:rPr>
          <w:rtl/>
        </w:rPr>
        <w:t xml:space="preserve">ه </w:t>
      </w:r>
      <w:r w:rsidR="008A74EB" w:rsidRPr="00C9040A">
        <w:rPr>
          <w:rtl/>
        </w:rPr>
        <w:t>» : + « عليك السلام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وَمُوَالَاتِي إِيَّاكُمْ</w:t>
      </w:r>
      <w:r>
        <w:rPr>
          <w:rtl/>
          <w:lang w:bidi="fa-IR"/>
        </w:rPr>
        <w:t>؟</w:t>
      </w:r>
      <w:r w:rsidRPr="00C9040A">
        <w:rPr>
          <w:rtl/>
          <w:lang w:bidi="fa-IR"/>
        </w:rPr>
        <w:t xml:space="preserve"> قَالَ </w:t>
      </w:r>
      <w:r w:rsidR="006C577F" w:rsidRPr="006C577F">
        <w:rPr>
          <w:rStyle w:val="libFootnotenumChar"/>
          <w:rtl/>
        </w:rPr>
        <w:t>(1)</w:t>
      </w:r>
      <w:r w:rsidRPr="00463D87">
        <w:rPr>
          <w:rFonts w:hint="cs"/>
          <w:rtl/>
        </w:rPr>
        <w:t xml:space="preserve"> </w:t>
      </w:r>
      <w:r w:rsidRPr="00C9040A">
        <w:rPr>
          <w:rtl/>
          <w:lang w:bidi="fa-IR"/>
        </w:rPr>
        <w:t>: فَقَالَ : « نَعَمْ »</w:t>
      </w:r>
      <w:r>
        <w:rPr>
          <w:rtl/>
          <w:lang w:bidi="fa-IR"/>
        </w:rPr>
        <w:t>.</w:t>
      </w:r>
    </w:p>
    <w:p w:rsidR="008A74EB" w:rsidRPr="00C9040A" w:rsidRDefault="008A74EB" w:rsidP="008A74EB">
      <w:pPr>
        <w:pStyle w:val="libNormal"/>
        <w:rPr>
          <w:rtl/>
          <w:lang w:bidi="fa-IR"/>
        </w:rPr>
      </w:pPr>
      <w:r w:rsidRPr="00C9040A">
        <w:rPr>
          <w:rtl/>
          <w:lang w:bidi="fa-IR"/>
        </w:rPr>
        <w:t xml:space="preserve">قَالَ </w:t>
      </w:r>
      <w:r w:rsidR="006C577F" w:rsidRPr="006C577F">
        <w:rPr>
          <w:rStyle w:val="libFootnotenumChar"/>
          <w:rtl/>
        </w:rPr>
        <w:t>(2)</w:t>
      </w:r>
      <w:r w:rsidRPr="00C9040A">
        <w:rPr>
          <w:rtl/>
          <w:lang w:bidi="fa-IR"/>
        </w:rPr>
        <w:t xml:space="preserve"> : فَقُلْتُ </w:t>
      </w:r>
      <w:r w:rsidR="006C577F" w:rsidRPr="006C577F">
        <w:rPr>
          <w:rStyle w:val="libFootnotenumChar"/>
          <w:rtl/>
        </w:rPr>
        <w:t>(3)</w:t>
      </w:r>
      <w:r w:rsidRPr="00C9040A">
        <w:rPr>
          <w:rtl/>
          <w:lang w:bidi="fa-IR"/>
        </w:rPr>
        <w:t xml:space="preserve"> : فَإِنِّي </w:t>
      </w:r>
      <w:r w:rsidR="006C577F" w:rsidRPr="006C577F">
        <w:rPr>
          <w:rStyle w:val="libFootnotenumChar"/>
          <w:rtl/>
        </w:rPr>
        <w:t>(4)</w:t>
      </w:r>
      <w:r w:rsidRPr="00C9040A">
        <w:rPr>
          <w:rtl/>
          <w:lang w:bidi="fa-IR"/>
        </w:rPr>
        <w:t xml:space="preserve"> أَسْأَلُكَ </w:t>
      </w:r>
      <w:r w:rsidR="006C577F" w:rsidRPr="006C577F">
        <w:rPr>
          <w:rStyle w:val="libFootnotenumChar"/>
          <w:rtl/>
        </w:rPr>
        <w:t>(5)</w:t>
      </w:r>
      <w:r w:rsidRPr="00C9040A">
        <w:rPr>
          <w:rtl/>
          <w:lang w:bidi="fa-IR"/>
        </w:rPr>
        <w:t xml:space="preserve"> مَسْأَلَةً تُجِيبُنِي فِيهَا </w:t>
      </w:r>
      <w:r w:rsidR="006C577F" w:rsidRPr="006C577F">
        <w:rPr>
          <w:rStyle w:val="libFootnotenumChar"/>
          <w:rtl/>
        </w:rPr>
        <w:t>(6)</w:t>
      </w:r>
      <w:r w:rsidRPr="005B567D">
        <w:rPr>
          <w:rStyle w:val="libFootnotenumChar"/>
          <w:rtl/>
        </w:rPr>
        <w:t xml:space="preserve"> </w:t>
      </w:r>
      <w:r w:rsidRPr="00C9040A">
        <w:rPr>
          <w:rtl/>
          <w:lang w:bidi="fa-IR"/>
        </w:rPr>
        <w:t xml:space="preserve">؛ فَإِنِّي مَكْفُوفُ الْبَصَرِ ، قَلِيلُ الْمَشْيِ ، وَلَا أَسْتَطِيعُ </w:t>
      </w:r>
      <w:r w:rsidR="006C577F" w:rsidRPr="006C577F">
        <w:rPr>
          <w:rStyle w:val="libFootnotenumChar"/>
          <w:rtl/>
        </w:rPr>
        <w:t>(7)</w:t>
      </w:r>
      <w:r w:rsidRPr="00C9040A">
        <w:rPr>
          <w:rtl/>
          <w:lang w:bidi="fa-IR"/>
        </w:rPr>
        <w:t xml:space="preserve"> زِيَارَتَكُمْ كُلَّ حِينٍ</w:t>
      </w:r>
      <w:r>
        <w:rPr>
          <w:rtl/>
          <w:lang w:bidi="fa-IR"/>
        </w:rPr>
        <w:t>؟</w:t>
      </w:r>
      <w:r w:rsidRPr="00C9040A">
        <w:rPr>
          <w:rtl/>
          <w:lang w:bidi="fa-IR"/>
        </w:rPr>
        <w:t xml:space="preserve"> قَالَ </w:t>
      </w:r>
      <w:r w:rsidR="006C577F" w:rsidRPr="006C577F">
        <w:rPr>
          <w:rStyle w:val="libFootnotenumChar"/>
          <w:rtl/>
        </w:rPr>
        <w:t>(8)</w:t>
      </w:r>
      <w:r w:rsidRPr="00C9040A">
        <w:rPr>
          <w:rtl/>
          <w:lang w:bidi="fa-IR"/>
        </w:rPr>
        <w:t xml:space="preserve"> : « هَاتِ </w:t>
      </w:r>
      <w:r w:rsidR="006C577F" w:rsidRPr="006C577F">
        <w:rPr>
          <w:rStyle w:val="libFootnotenumChar"/>
          <w:rtl/>
        </w:rPr>
        <w:t>(9)</w:t>
      </w:r>
      <w:r w:rsidRPr="00C9040A">
        <w:rPr>
          <w:rtl/>
          <w:lang w:bidi="fa-IR"/>
        </w:rPr>
        <w:t xml:space="preserve"> حَاجَتَكَ »</w:t>
      </w:r>
      <w:r>
        <w:rPr>
          <w:rtl/>
          <w:lang w:bidi="fa-IR"/>
        </w:rPr>
        <w:t>.</w:t>
      </w:r>
    </w:p>
    <w:p w:rsidR="008A74EB" w:rsidRPr="00C9040A" w:rsidRDefault="008A74EB" w:rsidP="008B7A50">
      <w:pPr>
        <w:pStyle w:val="libNormal"/>
        <w:rPr>
          <w:rtl/>
          <w:lang w:bidi="fa-IR"/>
        </w:rPr>
      </w:pPr>
      <w:r w:rsidRPr="00C9040A">
        <w:rPr>
          <w:rtl/>
          <w:lang w:bidi="fa-IR"/>
        </w:rPr>
        <w:t>قُلْتُ : أَخْبِرْنِي بِدِينِكَ الَّذِي تَدِينُ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بِهِ أَنْتَ وَأَهْلُ بَيْتِكَ ؛ لِأَدِينَ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بِهِ ، قَالَ </w:t>
      </w:r>
      <w:r w:rsidR="006C577F" w:rsidRPr="006C577F">
        <w:rPr>
          <w:rStyle w:val="libFootnotenumChar"/>
          <w:rtl/>
        </w:rPr>
        <w:t>(10)</w:t>
      </w:r>
      <w:r w:rsidRPr="00C9040A">
        <w:rPr>
          <w:rtl/>
          <w:lang w:bidi="fa-IR"/>
        </w:rPr>
        <w:t xml:space="preserve"> : « إِنْ كُنْتَ أَقْصَرْتَ </w:t>
      </w:r>
      <w:r w:rsidR="006C577F" w:rsidRPr="006C577F">
        <w:rPr>
          <w:rStyle w:val="libFootnotenumChar"/>
          <w:rtl/>
        </w:rPr>
        <w:t>(11)</w:t>
      </w:r>
      <w:r w:rsidRPr="00C9040A">
        <w:rPr>
          <w:rtl/>
          <w:lang w:bidi="fa-IR"/>
        </w:rPr>
        <w:t xml:space="preserve"> الْخُطْبَةَ </w:t>
      </w:r>
      <w:r w:rsidR="006C577F" w:rsidRPr="006C577F">
        <w:rPr>
          <w:rStyle w:val="libFootnotenumChar"/>
          <w:rtl/>
        </w:rPr>
        <w:t>(12)</w:t>
      </w:r>
      <w:r w:rsidRPr="00C9040A">
        <w:rPr>
          <w:rtl/>
          <w:lang w:bidi="fa-IR"/>
        </w:rPr>
        <w:t xml:space="preserve"> فَقَدْ </w:t>
      </w:r>
      <w:r w:rsidRPr="005B567D">
        <w:rPr>
          <w:rStyle w:val="libFootnotenumChar"/>
          <w:rtl/>
        </w:rPr>
        <w:t>(13)</w:t>
      </w:r>
      <w:r w:rsidRPr="00C9040A">
        <w:rPr>
          <w:rtl/>
          <w:lang w:bidi="fa-IR"/>
        </w:rPr>
        <w:t xml:space="preserve"> أَعْظَمْتَ الْمَسْأَلَةَ ، وَاللهِ لَأُعْطِيَنَّكَ دِينِي وَدِينَ آبَائِيَ الَّذِي نَدِينُ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بِهِ </w:t>
      </w:r>
      <w:r w:rsidRPr="005B567D">
        <w:rPr>
          <w:rStyle w:val="libFootnotenumChar"/>
          <w:rtl/>
        </w:rPr>
        <w:t>(14)</w:t>
      </w:r>
      <w:r w:rsidRPr="00C9040A">
        <w:rPr>
          <w:rtl/>
          <w:lang w:bidi="fa-IR"/>
        </w:rPr>
        <w:t xml:space="preserve"> ، شَهَادَةَ أَنْ لَا</w:t>
      </w:r>
      <w:r>
        <w:rPr>
          <w:rFonts w:hint="cs"/>
          <w:rtl/>
          <w:lang w:bidi="fa-IR"/>
        </w:rPr>
        <w:t xml:space="preserve"> </w:t>
      </w:r>
      <w:r w:rsidR="00AF1664">
        <w:rPr>
          <w:rtl/>
          <w:lang w:bidi="fa-IR"/>
        </w:rPr>
        <w:t>إِلهَ إِل</w:t>
      </w:r>
      <w:r w:rsidR="00AF1664">
        <w:rPr>
          <w:rFonts w:hint="cs"/>
          <w:rtl/>
          <w:lang w:bidi="fa-IR"/>
        </w:rPr>
        <w:t>َّ</w:t>
      </w:r>
      <w:r w:rsidR="00AF1664">
        <w:rPr>
          <w:rtl/>
          <w:lang w:bidi="fa-IR"/>
        </w:rPr>
        <w:t>ا</w:t>
      </w:r>
      <w:r w:rsidRPr="00C9040A">
        <w:rPr>
          <w:rtl/>
          <w:lang w:bidi="fa-IR"/>
        </w:rPr>
        <w:t xml:space="preserve"> اللهُ ، وَأَنَّ مُحَمَّداً رَسُولُ اللهِ </w:t>
      </w:r>
      <w:r w:rsidRPr="005B567D">
        <w:rPr>
          <w:rStyle w:val="libFootnotenumChar"/>
          <w:rtl/>
        </w:rPr>
        <w:t>(15)</w:t>
      </w:r>
      <w:r w:rsidRPr="00C9040A">
        <w:rPr>
          <w:rtl/>
          <w:lang w:bidi="fa-IR"/>
        </w:rPr>
        <w:t xml:space="preserve"> </w:t>
      </w:r>
      <w:r w:rsidR="004A4E41" w:rsidRPr="004A4E41">
        <w:rPr>
          <w:rStyle w:val="libAlaemChar"/>
          <w:rFonts w:eastAsiaTheme="minorHAnsi"/>
          <w:rtl/>
        </w:rPr>
        <w:t>صلى‌الله‌عليه‌وآله</w:t>
      </w:r>
      <w:r w:rsidR="008B7A50" w:rsidRPr="00C9040A">
        <w:rPr>
          <w:rtl/>
          <w:lang w:bidi="fa-IR"/>
        </w:rPr>
        <w:t xml:space="preserve"> </w:t>
      </w:r>
      <w:r w:rsidRPr="00C9040A">
        <w:rPr>
          <w:rtl/>
          <w:lang w:bidi="fa-IR"/>
        </w:rPr>
        <w:t xml:space="preserve">، وَالْإِقْرَارَ بِمَا جَاءَ بِهِ </w:t>
      </w:r>
      <w:r w:rsidRPr="005B567D">
        <w:rPr>
          <w:rStyle w:val="libFootnotenumChar"/>
          <w:rtl/>
        </w:rPr>
        <w:t>(16)</w:t>
      </w:r>
      <w:r w:rsidRPr="00C9040A">
        <w:rPr>
          <w:rtl/>
          <w:lang w:bidi="fa-IR"/>
        </w:rPr>
        <w:t xml:space="preserve"> مِنْ عِنْدِ اللهِ ، وَالْوَلَايَةَ لِوَلِيِّنَا ، وَالْبَرَاءَةَ مِنْ عَدُوِّنَا ، وَالتَّسْلِيمَ لِأَمْرِنَا ، وَانْتِظَارَ قَائِمِنَا ، وَالِاجْتِهَادَ ، وَالْوَرَعَ »</w:t>
      </w:r>
      <w:r>
        <w:rPr>
          <w:rtl/>
          <w:lang w:bidi="fa-IR"/>
        </w:rPr>
        <w:t>.</w:t>
      </w:r>
      <w:r w:rsidRPr="00C9040A">
        <w:rPr>
          <w:rtl/>
          <w:lang w:bidi="fa-IR"/>
        </w:rPr>
        <w:t xml:space="preserve"> </w:t>
      </w:r>
      <w:r w:rsidRPr="005B567D">
        <w:rPr>
          <w:rStyle w:val="libFootnotenumChar"/>
          <w:rtl/>
        </w:rPr>
        <w:t>(17)</w:t>
      </w:r>
      <w:r w:rsidRPr="00C9040A">
        <w:rPr>
          <w:rtl/>
          <w:lang w:bidi="fa-IR"/>
        </w:rPr>
        <w:t xml:space="preserve"> ‌</w:t>
      </w:r>
    </w:p>
    <w:p w:rsidR="008A74EB" w:rsidRPr="00C9040A" w:rsidRDefault="008A74EB" w:rsidP="008A74EB">
      <w:pPr>
        <w:pStyle w:val="libNormal"/>
        <w:rPr>
          <w:rtl/>
          <w:lang w:bidi="fa-IR"/>
        </w:rPr>
      </w:pPr>
      <w:r w:rsidRPr="00195EC6">
        <w:rPr>
          <w:rtl/>
        </w:rPr>
        <w:t>1500</w:t>
      </w:r>
      <w:r w:rsidRPr="00261CB0">
        <w:rPr>
          <w:rStyle w:val="libBold2Char"/>
          <w:rtl/>
        </w:rPr>
        <w:t xml:space="preserve"> / 11.</w:t>
      </w:r>
      <w:r w:rsidRPr="00C9040A">
        <w:rPr>
          <w:rtl/>
          <w:lang w:bidi="fa-IR"/>
        </w:rPr>
        <w:t xml:space="preserve"> عَلِيُّ بْنُ إِبْرَاهِيمَ ، عَنْ صَالِحِ بْنِ السِّنْدِيِّ ، عَنْ جَعْفَرِ بْنِ بَشِيرٍ ، عَنْ عَلِيِّ بْنِ أَبِي حَمْزَةَ ، عَنْ أَبِي بَصِيرٍ ، قَالَ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 </w:t>
      </w:r>
      <w:r w:rsidR="006D3162">
        <w:rPr>
          <w:rtl/>
        </w:rPr>
        <w:t xml:space="preserve">ه </w:t>
      </w:r>
      <w:r w:rsidR="008A74EB" w:rsidRPr="00C9040A">
        <w:rPr>
          <w:rtl/>
        </w:rPr>
        <w:t xml:space="preserve">» </w:t>
      </w:r>
      <w:r w:rsidR="008A74EB">
        <w:rPr>
          <w:rtl/>
        </w:rPr>
        <w:t xml:space="preserve">: </w:t>
      </w:r>
      <w:r w:rsidR="0084262C">
        <w:rPr>
          <w:rtl/>
        </w:rPr>
        <w:t>-</w:t>
      </w:r>
      <w:r w:rsidR="008A74EB" w:rsidRPr="00C9040A">
        <w:rPr>
          <w:rtl/>
        </w:rPr>
        <w:t xml:space="preserve"> « قال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بر » </w:t>
      </w:r>
      <w:r w:rsidR="008A74EB">
        <w:rPr>
          <w:rtl/>
        </w:rPr>
        <w:t xml:space="preserve">: </w:t>
      </w:r>
      <w:r w:rsidR="0084262C">
        <w:rPr>
          <w:rtl/>
        </w:rPr>
        <w:t>-</w:t>
      </w:r>
      <w:r w:rsidR="008A74EB" w:rsidRPr="00C9040A">
        <w:rPr>
          <w:rtl/>
        </w:rPr>
        <w:t xml:space="preserve"> « قال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ج ، ز ، ف ، </w:t>
      </w:r>
      <w:r w:rsidR="006D3162">
        <w:rPr>
          <w:rtl/>
        </w:rPr>
        <w:t xml:space="preserve">ه </w:t>
      </w:r>
      <w:r w:rsidR="008A74EB" w:rsidRPr="00C9040A">
        <w:rPr>
          <w:rtl/>
        </w:rPr>
        <w:t>» والوافي : « قلت »</w:t>
      </w:r>
      <w:r w:rsidR="008A74EB">
        <w:rPr>
          <w:rtl/>
        </w:rPr>
        <w:t>.</w:t>
      </w:r>
    </w:p>
    <w:p w:rsidR="008A74EB" w:rsidRPr="004A4E41" w:rsidRDefault="006C577F" w:rsidP="004A4E41">
      <w:pPr>
        <w:pStyle w:val="libFootnote0"/>
        <w:rPr>
          <w:rStyle w:val="libFootnote0Char"/>
          <w:rtl/>
        </w:rPr>
      </w:pPr>
      <w:r>
        <w:rPr>
          <w:rtl/>
        </w:rPr>
        <w:t>(4).</w:t>
      </w:r>
      <w:r w:rsidR="008A74EB" w:rsidRPr="00C9040A">
        <w:rPr>
          <w:rtl/>
        </w:rPr>
        <w:t xml:space="preserve"> في « ب ، بر » : « إنّي »</w:t>
      </w:r>
      <w:r w:rsidR="008A74EB">
        <w:rPr>
          <w:rtl/>
        </w:rPr>
        <w:t>.</w:t>
      </w:r>
    </w:p>
    <w:tbl>
      <w:tblPr>
        <w:tblStyle w:val="TableGrid"/>
        <w:bidiVisual/>
        <w:tblW w:w="0" w:type="auto"/>
        <w:tblLook w:val="04A0" w:firstRow="1" w:lastRow="0" w:firstColumn="1" w:lastColumn="0" w:noHBand="0" w:noVBand="1"/>
      </w:tblPr>
      <w:tblGrid>
        <w:gridCol w:w="4006"/>
        <w:gridCol w:w="4006"/>
      </w:tblGrid>
      <w:tr w:rsidR="00AF1664" w:rsidTr="00AF1664">
        <w:tc>
          <w:tcPr>
            <w:tcW w:w="4006" w:type="dxa"/>
          </w:tcPr>
          <w:p w:rsidR="00AF1664" w:rsidRDefault="00AF1664" w:rsidP="004A4E41">
            <w:pPr>
              <w:pStyle w:val="libFootnote0"/>
              <w:rPr>
                <w:rtl/>
              </w:rPr>
            </w:pPr>
            <w:r>
              <w:rPr>
                <w:rtl/>
              </w:rPr>
              <w:t>(5).</w:t>
            </w:r>
            <w:r w:rsidRPr="00C9040A">
              <w:rPr>
                <w:rtl/>
              </w:rPr>
              <w:t xml:space="preserve"> في « ص ، ف ، </w:t>
            </w:r>
            <w:r>
              <w:rPr>
                <w:rtl/>
              </w:rPr>
              <w:t xml:space="preserve">ه </w:t>
            </w:r>
            <w:r w:rsidRPr="00C9040A">
              <w:rPr>
                <w:rtl/>
              </w:rPr>
              <w:t>» : + « عن »</w:t>
            </w:r>
            <w:r>
              <w:rPr>
                <w:rtl/>
              </w:rPr>
              <w:t>.</w:t>
            </w:r>
          </w:p>
        </w:tc>
        <w:tc>
          <w:tcPr>
            <w:tcW w:w="4006" w:type="dxa"/>
          </w:tcPr>
          <w:p w:rsidR="00AF1664" w:rsidRDefault="00AF1664" w:rsidP="004A4E41">
            <w:pPr>
              <w:pStyle w:val="libFootnote0"/>
              <w:rPr>
                <w:rtl/>
              </w:rPr>
            </w:pPr>
            <w:r>
              <w:rPr>
                <w:rtl/>
              </w:rPr>
              <w:t xml:space="preserve">(6). </w:t>
            </w:r>
            <w:r w:rsidRPr="00C9040A">
              <w:rPr>
                <w:rtl/>
              </w:rPr>
              <w:t>في « بس » : « بها »</w:t>
            </w:r>
            <w:r>
              <w:rPr>
                <w:rtl/>
              </w:rPr>
              <w:t>.</w:t>
            </w:r>
          </w:p>
        </w:tc>
      </w:tr>
    </w:tbl>
    <w:p w:rsidR="008A74EB" w:rsidRPr="004A4E41" w:rsidRDefault="006C577F" w:rsidP="004A4E41">
      <w:pPr>
        <w:pStyle w:val="libFootnote0"/>
        <w:rPr>
          <w:rStyle w:val="libFootnote0Char"/>
          <w:rtl/>
        </w:rPr>
      </w:pPr>
      <w:r>
        <w:rPr>
          <w:rtl/>
        </w:rPr>
        <w:t>(7).</w:t>
      </w:r>
      <w:r w:rsidR="008A74EB" w:rsidRPr="00C9040A">
        <w:rPr>
          <w:rtl/>
        </w:rPr>
        <w:t xml:space="preserve"> في « بس » والبحار : « لا أستطيع » بدون الواو. وفي « ص » : « فلا أستطيع »</w:t>
      </w:r>
      <w:r w:rsidR="008A74EB">
        <w:rPr>
          <w:rtl/>
        </w:rPr>
        <w:t>.</w:t>
      </w:r>
    </w:p>
    <w:tbl>
      <w:tblPr>
        <w:tblStyle w:val="TableGrid"/>
        <w:bidiVisual/>
        <w:tblW w:w="0" w:type="auto"/>
        <w:tblLook w:val="04A0" w:firstRow="1" w:lastRow="0" w:firstColumn="1" w:lastColumn="0" w:noHBand="0" w:noVBand="1"/>
      </w:tblPr>
      <w:tblGrid>
        <w:gridCol w:w="4006"/>
        <w:gridCol w:w="4006"/>
      </w:tblGrid>
      <w:tr w:rsidR="00D438C6" w:rsidTr="00D438C6">
        <w:tc>
          <w:tcPr>
            <w:tcW w:w="4006" w:type="dxa"/>
          </w:tcPr>
          <w:p w:rsidR="00D438C6" w:rsidRDefault="00D438C6" w:rsidP="004A4E41">
            <w:pPr>
              <w:pStyle w:val="libFootnote0"/>
              <w:rPr>
                <w:rtl/>
                <w:lang w:bidi="fa-IR"/>
              </w:rPr>
            </w:pPr>
            <w:r>
              <w:rPr>
                <w:rtl/>
              </w:rPr>
              <w:t>(8).</w:t>
            </w:r>
            <w:r w:rsidRPr="00C9040A">
              <w:rPr>
                <w:rtl/>
              </w:rPr>
              <w:t xml:space="preserve"> في « </w:t>
            </w:r>
            <w:r>
              <w:rPr>
                <w:rtl/>
              </w:rPr>
              <w:t xml:space="preserve">ه </w:t>
            </w:r>
            <w:r w:rsidRPr="00C9040A">
              <w:rPr>
                <w:rtl/>
              </w:rPr>
              <w:t>» : « فقال »</w:t>
            </w:r>
            <w:r>
              <w:rPr>
                <w:rtl/>
              </w:rPr>
              <w:t>.</w:t>
            </w:r>
          </w:p>
        </w:tc>
        <w:tc>
          <w:tcPr>
            <w:tcW w:w="4006" w:type="dxa"/>
          </w:tcPr>
          <w:p w:rsidR="00D438C6" w:rsidRDefault="00D438C6" w:rsidP="004A4E41">
            <w:pPr>
              <w:pStyle w:val="libFootnote0"/>
              <w:rPr>
                <w:rtl/>
                <w:lang w:bidi="fa-IR"/>
              </w:rPr>
            </w:pPr>
            <w:r>
              <w:rPr>
                <w:rtl/>
              </w:rPr>
              <w:t>(9).</w:t>
            </w:r>
            <w:r w:rsidRPr="00C9040A">
              <w:rPr>
                <w:rtl/>
              </w:rPr>
              <w:t xml:space="preserve"> في « بس » : « فأت »</w:t>
            </w:r>
            <w:r>
              <w:rPr>
                <w:rtl/>
              </w:rPr>
              <w:t>.</w:t>
            </w:r>
          </w:p>
        </w:tc>
      </w:tr>
    </w:tbl>
    <w:p w:rsidR="008A74EB" w:rsidRPr="00C9040A" w:rsidRDefault="006C577F" w:rsidP="004A4E41">
      <w:pPr>
        <w:pStyle w:val="libFootnote0"/>
        <w:rPr>
          <w:rtl/>
          <w:lang w:bidi="fa-IR"/>
        </w:rPr>
      </w:pPr>
      <w:r>
        <w:rPr>
          <w:rtl/>
        </w:rPr>
        <w:t>(10).</w:t>
      </w:r>
      <w:r w:rsidR="008A74EB" w:rsidRPr="00C9040A">
        <w:rPr>
          <w:rtl/>
        </w:rPr>
        <w:t xml:space="preserve"> في « </w:t>
      </w:r>
      <w:r w:rsidR="006D3162">
        <w:rPr>
          <w:rtl/>
        </w:rPr>
        <w:t xml:space="preserve">ه </w:t>
      </w:r>
      <w:r w:rsidR="008A74EB" w:rsidRPr="00C9040A">
        <w:rPr>
          <w:rtl/>
        </w:rPr>
        <w:t>» : « فقال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في « </w:t>
      </w:r>
      <w:r w:rsidR="006D3162">
        <w:rPr>
          <w:rtl/>
        </w:rPr>
        <w:t xml:space="preserve">ه </w:t>
      </w:r>
      <w:r w:rsidR="008A74EB" w:rsidRPr="00C9040A">
        <w:rPr>
          <w:rtl/>
        </w:rPr>
        <w:t>» : + « في »</w:t>
      </w:r>
      <w:r w:rsidR="008A74EB">
        <w:rPr>
          <w:rtl/>
        </w:rPr>
        <w:t>.</w:t>
      </w:r>
      <w:r w:rsidR="008A74EB" w:rsidRPr="00C9040A">
        <w:rPr>
          <w:rtl/>
        </w:rPr>
        <w:t xml:space="preserve"> وفي « بر » : « قصرت » بالتخفيف. وفي « بف » : « قصّرت » بالتشديد.</w:t>
      </w:r>
    </w:p>
    <w:p w:rsidR="008A74EB" w:rsidRPr="004A4E41" w:rsidRDefault="006C577F" w:rsidP="004A4E41">
      <w:pPr>
        <w:pStyle w:val="libFootnote0"/>
        <w:rPr>
          <w:rStyle w:val="libFootnote0Char"/>
          <w:rtl/>
        </w:rPr>
      </w:pPr>
      <w:r>
        <w:rPr>
          <w:rtl/>
        </w:rPr>
        <w:t>(12).</w:t>
      </w:r>
      <w:r w:rsidR="008A74EB" w:rsidRPr="00C9040A">
        <w:rPr>
          <w:rtl/>
        </w:rPr>
        <w:t xml:space="preserve"> في « د » : « الخِطبة » بكسر الخاء. وفي </w:t>
      </w:r>
      <w:r w:rsidR="008A74EB" w:rsidRPr="00993B55">
        <w:rPr>
          <w:rStyle w:val="libFootnoteBoldChar"/>
          <w:rtl/>
        </w:rPr>
        <w:t>مرآة العقول</w:t>
      </w:r>
      <w:r w:rsidR="008A74EB" w:rsidRPr="00C9040A">
        <w:rPr>
          <w:rtl/>
        </w:rPr>
        <w:t xml:space="preserve"> : « الظاهر أنّ الخُطبة</w:t>
      </w:r>
      <w:r w:rsidR="008A74EB">
        <w:rPr>
          <w:rtl/>
        </w:rPr>
        <w:t xml:space="preserve"> </w:t>
      </w:r>
      <w:r w:rsidR="0084262C">
        <w:rPr>
          <w:rtl/>
        </w:rPr>
        <w:t>-</w:t>
      </w:r>
      <w:r w:rsidR="008A74EB">
        <w:rPr>
          <w:rtl/>
        </w:rPr>
        <w:t xml:space="preserve"> </w:t>
      </w:r>
      <w:r w:rsidR="008A74EB" w:rsidRPr="00C9040A">
        <w:rPr>
          <w:rtl/>
        </w:rPr>
        <w:t>بضمّ الخاء</w:t>
      </w:r>
      <w:r w:rsidR="008A74EB">
        <w:rPr>
          <w:rtl/>
        </w:rPr>
        <w:t xml:space="preserve"> </w:t>
      </w:r>
      <w:r w:rsidR="0084262C">
        <w:rPr>
          <w:rtl/>
        </w:rPr>
        <w:t>-</w:t>
      </w:r>
      <w:r w:rsidR="008A74EB">
        <w:rPr>
          <w:rtl/>
        </w:rPr>
        <w:t xml:space="preserve"> </w:t>
      </w:r>
      <w:r w:rsidR="008A74EB" w:rsidRPr="00C9040A">
        <w:rPr>
          <w:rtl/>
        </w:rPr>
        <w:t>أي ما يتقدّم من الكلام المناسب قبل إظهار المطلوب. ومنهم من قرأ : الخِطبة ، بالكسر ، مستعارة من خِطبة النساء ، وهو تكلّف »</w:t>
      </w:r>
      <w:r w:rsidR="008A74EB">
        <w:rPr>
          <w:rtl/>
        </w:rPr>
        <w:t>.</w:t>
      </w:r>
      <w:r w:rsidR="008A74EB" w:rsidRPr="00C9040A">
        <w:rPr>
          <w:rtl/>
        </w:rPr>
        <w:t xml:space="preserve"> وفي الوافي : « لعلّه أراد بالخُطبة ما مهّده قبل السؤال. وإقصاره إيّاه اكتفاؤه بالاستفهام من غير بيان وإعلام »</w:t>
      </w:r>
      <w:r w:rsidR="008A74EB">
        <w:rPr>
          <w:rtl/>
        </w:rPr>
        <w:t>.</w:t>
      </w:r>
    </w:p>
    <w:tbl>
      <w:tblPr>
        <w:tblStyle w:val="TableGrid"/>
        <w:bidiVisual/>
        <w:tblW w:w="0" w:type="auto"/>
        <w:tblLook w:val="04A0" w:firstRow="1" w:lastRow="0" w:firstColumn="1" w:lastColumn="0" w:noHBand="0" w:noVBand="1"/>
      </w:tblPr>
      <w:tblGrid>
        <w:gridCol w:w="4006"/>
        <w:gridCol w:w="4006"/>
      </w:tblGrid>
      <w:tr w:rsidR="0095615F" w:rsidTr="0095615F">
        <w:tc>
          <w:tcPr>
            <w:tcW w:w="4006" w:type="dxa"/>
          </w:tcPr>
          <w:p w:rsidR="0095615F" w:rsidRDefault="0095615F" w:rsidP="004A4E41">
            <w:pPr>
              <w:pStyle w:val="libFootnote0"/>
              <w:rPr>
                <w:rtl/>
              </w:rPr>
            </w:pPr>
            <w:r>
              <w:rPr>
                <w:rtl/>
              </w:rPr>
              <w:t>(13)</w:t>
            </w:r>
            <w:r w:rsidRPr="00C9040A">
              <w:rPr>
                <w:rtl/>
              </w:rPr>
              <w:t xml:space="preserve"> في « ج ، ف ، بس » وحاشية « د » : « قد »</w:t>
            </w:r>
            <w:r>
              <w:rPr>
                <w:rtl/>
              </w:rPr>
              <w:t>.</w:t>
            </w:r>
          </w:p>
        </w:tc>
        <w:tc>
          <w:tcPr>
            <w:tcW w:w="4006" w:type="dxa"/>
          </w:tcPr>
          <w:p w:rsidR="0095615F" w:rsidRDefault="0095615F" w:rsidP="004A4E41">
            <w:pPr>
              <w:pStyle w:val="libFootnote0"/>
              <w:rPr>
                <w:rtl/>
              </w:rPr>
            </w:pPr>
            <w:r>
              <w:rPr>
                <w:rtl/>
              </w:rPr>
              <w:t>(14)</w:t>
            </w:r>
            <w:r w:rsidRPr="00C9040A">
              <w:rPr>
                <w:rtl/>
              </w:rPr>
              <w:t xml:space="preserve"> في « ج » </w:t>
            </w:r>
            <w:r>
              <w:rPr>
                <w:rtl/>
              </w:rPr>
              <w:t>: -</w:t>
            </w:r>
            <w:r w:rsidRPr="00C9040A">
              <w:rPr>
                <w:rtl/>
              </w:rPr>
              <w:t xml:space="preserve"> « به »</w:t>
            </w:r>
            <w:r>
              <w:rPr>
                <w:rtl/>
              </w:rPr>
              <w:t>.</w:t>
            </w:r>
          </w:p>
        </w:tc>
      </w:tr>
      <w:tr w:rsidR="0095615F" w:rsidTr="0095615F">
        <w:tc>
          <w:tcPr>
            <w:tcW w:w="4006" w:type="dxa"/>
          </w:tcPr>
          <w:p w:rsidR="0095615F" w:rsidRDefault="0095615F" w:rsidP="004A4E41">
            <w:pPr>
              <w:pStyle w:val="libFootnote0"/>
              <w:rPr>
                <w:rtl/>
              </w:rPr>
            </w:pPr>
            <w:r>
              <w:rPr>
                <w:rtl/>
              </w:rPr>
              <w:t>(15)</w:t>
            </w:r>
            <w:r w:rsidRPr="00C9040A">
              <w:rPr>
                <w:rtl/>
              </w:rPr>
              <w:t xml:space="preserve"> في « د » </w:t>
            </w:r>
            <w:r>
              <w:rPr>
                <w:rtl/>
              </w:rPr>
              <w:t>: -</w:t>
            </w:r>
            <w:r w:rsidRPr="00C9040A">
              <w:rPr>
                <w:rtl/>
              </w:rPr>
              <w:t xml:space="preserve"> « الله »</w:t>
            </w:r>
            <w:r>
              <w:rPr>
                <w:rtl/>
              </w:rPr>
              <w:t>.</w:t>
            </w:r>
          </w:p>
        </w:tc>
        <w:tc>
          <w:tcPr>
            <w:tcW w:w="4006" w:type="dxa"/>
          </w:tcPr>
          <w:p w:rsidR="0095615F" w:rsidRDefault="0095615F" w:rsidP="004A4E41">
            <w:pPr>
              <w:pStyle w:val="libFootnote0"/>
              <w:rPr>
                <w:rtl/>
              </w:rPr>
            </w:pPr>
            <w:r>
              <w:rPr>
                <w:rtl/>
              </w:rPr>
              <w:t>(16)</w:t>
            </w:r>
            <w:r w:rsidRPr="00C9040A">
              <w:rPr>
                <w:rtl/>
              </w:rPr>
              <w:t xml:space="preserve"> في « ب ، د ، ف ، بس » والبحار </w:t>
            </w:r>
            <w:r>
              <w:rPr>
                <w:rtl/>
              </w:rPr>
              <w:t>: -</w:t>
            </w:r>
            <w:r w:rsidRPr="00C9040A">
              <w:rPr>
                <w:rtl/>
              </w:rPr>
              <w:t xml:space="preserve"> « به »</w:t>
            </w:r>
            <w:r>
              <w:rPr>
                <w:rtl/>
              </w:rPr>
              <w:t>.</w:t>
            </w:r>
          </w:p>
        </w:tc>
      </w:tr>
    </w:tbl>
    <w:p w:rsidR="008A74EB" w:rsidRPr="00C9040A" w:rsidRDefault="008A74EB" w:rsidP="004A4E41">
      <w:pPr>
        <w:pStyle w:val="libFootnote0"/>
        <w:rPr>
          <w:rtl/>
          <w:lang w:bidi="fa-IR"/>
        </w:rPr>
      </w:pPr>
      <w:r>
        <w:rPr>
          <w:rtl/>
        </w:rPr>
        <w:t>(17)</w:t>
      </w:r>
      <w:r w:rsidRPr="00C9040A">
        <w:rPr>
          <w:rtl/>
        </w:rPr>
        <w:t xml:space="preserve"> </w:t>
      </w:r>
      <w:r w:rsidRPr="00993B55">
        <w:rPr>
          <w:rStyle w:val="libFootnoteBoldChar"/>
          <w:rtl/>
        </w:rPr>
        <w:t>الوافي</w:t>
      </w:r>
      <w:r w:rsidRPr="00C9040A">
        <w:rPr>
          <w:rtl/>
        </w:rPr>
        <w:t xml:space="preserve"> ، ج 4 ، ص 93 ، ح 1702 ؛ </w:t>
      </w:r>
      <w:r w:rsidRPr="00993B55">
        <w:rPr>
          <w:rStyle w:val="libFootnoteBoldChar"/>
          <w:rtl/>
        </w:rPr>
        <w:t>البحار</w:t>
      </w:r>
      <w:r w:rsidRPr="00C9040A">
        <w:rPr>
          <w:rtl/>
        </w:rPr>
        <w:t xml:space="preserve"> ، ج 69 ، ص 14 ، ح 15.</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lastRenderedPageBreak/>
        <w:t xml:space="preserve">سَمِعْتُهُ يَسْأَلُ أَبَا عَبْدِ اللهِ </w:t>
      </w:r>
      <w:r w:rsidRPr="0003660B">
        <w:rPr>
          <w:rStyle w:val="libAlaemChar"/>
          <w:rtl/>
        </w:rPr>
        <w:t>عليه‌السلام</w:t>
      </w:r>
      <w:r w:rsidRPr="00C9040A">
        <w:rPr>
          <w:rtl/>
          <w:lang w:bidi="fa-IR"/>
        </w:rPr>
        <w:t xml:space="preserve"> ، فَقَالَ </w:t>
      </w:r>
      <w:r w:rsidR="006C577F" w:rsidRPr="006C577F">
        <w:rPr>
          <w:rStyle w:val="libFootnotenumChar"/>
          <w:rtl/>
        </w:rPr>
        <w:t>(1)</w:t>
      </w:r>
      <w:r w:rsidRPr="00FD7BB6">
        <w:rPr>
          <w:rFonts w:hint="cs"/>
          <w:rtl/>
        </w:rPr>
        <w:t xml:space="preserve"> </w:t>
      </w:r>
      <w:r w:rsidRPr="00C9040A">
        <w:rPr>
          <w:rtl/>
          <w:lang w:bidi="fa-IR"/>
        </w:rPr>
        <w:t xml:space="preserve">لَهُ </w:t>
      </w:r>
      <w:r w:rsidR="006C577F" w:rsidRPr="006C577F">
        <w:rPr>
          <w:rStyle w:val="libFootnotenumChar"/>
          <w:rtl/>
        </w:rPr>
        <w:t>(2)</w:t>
      </w:r>
      <w:r w:rsidRPr="00C9040A">
        <w:rPr>
          <w:rtl/>
          <w:lang w:bidi="fa-IR"/>
        </w:rPr>
        <w:t xml:space="preserve"> : جُعِلْتُ فِدَاكَ ، أَخْبِرْنِي </w:t>
      </w:r>
      <w:r w:rsidR="006C577F" w:rsidRPr="006C577F">
        <w:rPr>
          <w:rStyle w:val="libFootnotenumChar"/>
          <w:rtl/>
        </w:rPr>
        <w:t>(3)</w:t>
      </w:r>
      <w:r w:rsidRPr="00C9040A">
        <w:rPr>
          <w:rtl/>
          <w:lang w:bidi="fa-IR"/>
        </w:rPr>
        <w:t xml:space="preserve"> عَنِ الدِّينِ الَّذِي افْتَرَضَ </w:t>
      </w:r>
      <w:r w:rsidR="006C577F" w:rsidRPr="006C577F">
        <w:rPr>
          <w:rStyle w:val="libFootnotenumChar"/>
          <w:rtl/>
        </w:rPr>
        <w:t>(4)</w:t>
      </w:r>
      <w:r w:rsidRPr="00C9040A">
        <w:rPr>
          <w:rtl/>
          <w:lang w:bidi="fa-IR"/>
        </w:rPr>
        <w:t xml:space="preserve">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عَلَى الْعِبَادِ مَا </w:t>
      </w:r>
      <w:r w:rsidR="006C577F" w:rsidRPr="006C577F">
        <w:rPr>
          <w:rStyle w:val="libFootnotenumChar"/>
          <w:rtl/>
        </w:rPr>
        <w:t>(5)</w:t>
      </w:r>
      <w:r w:rsidRPr="00C9040A">
        <w:rPr>
          <w:rtl/>
          <w:lang w:bidi="fa-IR"/>
        </w:rPr>
        <w:t xml:space="preserve"> لَايَسَعُهُمْ جَهْلُهُ ، وَلَا يُقْبَلُ مِنْهُمْ غَيْرُهُ : مَا هُوَ</w:t>
      </w:r>
      <w:r>
        <w:rPr>
          <w:rtl/>
          <w:lang w:bidi="fa-IR"/>
        </w:rPr>
        <w:t>؟</w:t>
      </w:r>
    </w:p>
    <w:p w:rsidR="008A74EB" w:rsidRPr="00C9040A" w:rsidRDefault="008A74EB" w:rsidP="008A74EB">
      <w:pPr>
        <w:pStyle w:val="libNormal"/>
        <w:rPr>
          <w:rtl/>
          <w:lang w:bidi="fa-IR"/>
        </w:rPr>
      </w:pPr>
      <w:r w:rsidRPr="00C9040A">
        <w:rPr>
          <w:rtl/>
          <w:lang w:bidi="fa-IR"/>
        </w:rPr>
        <w:t xml:space="preserve">فَقَالَ : « أَعِدْ عَلَيَّ » فَأَعَادَ عَلَيْهِ </w:t>
      </w:r>
      <w:r w:rsidR="006C577F" w:rsidRPr="006C577F">
        <w:rPr>
          <w:rStyle w:val="libFootnotenumChar"/>
          <w:rtl/>
        </w:rPr>
        <w:t>(6)</w:t>
      </w:r>
      <w:r w:rsidRPr="005B567D">
        <w:rPr>
          <w:rStyle w:val="libFootnotenumChar"/>
          <w:rtl/>
        </w:rPr>
        <w:t xml:space="preserve"> </w:t>
      </w:r>
      <w:r w:rsidRPr="00C9040A">
        <w:rPr>
          <w:rtl/>
          <w:lang w:bidi="fa-IR"/>
        </w:rPr>
        <w:t>، فَقَالَ : « شَهَادَةُ أَنْ لَا</w:t>
      </w:r>
      <w:r>
        <w:rPr>
          <w:rFonts w:hint="cs"/>
          <w:rtl/>
          <w:lang w:bidi="fa-IR"/>
        </w:rPr>
        <w:t xml:space="preserve"> </w:t>
      </w:r>
      <w:r w:rsidR="0095615F">
        <w:rPr>
          <w:rtl/>
          <w:lang w:bidi="fa-IR"/>
        </w:rPr>
        <w:t>إِلهَ إِل</w:t>
      </w:r>
      <w:r w:rsidR="0095615F">
        <w:rPr>
          <w:rFonts w:hint="cs"/>
          <w:rtl/>
          <w:lang w:bidi="fa-IR"/>
        </w:rPr>
        <w:t>َّ</w:t>
      </w:r>
      <w:r w:rsidR="0095615F">
        <w:rPr>
          <w:rtl/>
          <w:lang w:bidi="fa-IR"/>
        </w:rPr>
        <w:t>ا</w:t>
      </w:r>
      <w:r w:rsidRPr="00C9040A">
        <w:rPr>
          <w:rtl/>
          <w:lang w:bidi="fa-IR"/>
        </w:rPr>
        <w:t xml:space="preserve"> اللهُ ، وَأَنَّ مُحَمَّداً رَسُولُ اللهِ ، وَإِقَامُ الصَّلَاةِ ، وَإِيتَاءُ الزَّكَاةِ ، وَحِجُّ الْبَيْتِ مَنِ اسْتَطَاعَ إِلَيْهِ سَبِيلاً ، وَصَوْمُ شَهْرِ رَمَضَانَ » ثُمَّ سَكَتَ قَلِيلاً ، ثُمَّ قَالَ </w:t>
      </w:r>
      <w:r w:rsidR="006C577F" w:rsidRPr="006C577F">
        <w:rPr>
          <w:rStyle w:val="libFootnotenumChar"/>
          <w:rtl/>
        </w:rPr>
        <w:t>(7)</w:t>
      </w:r>
      <w:r w:rsidRPr="00C9040A">
        <w:rPr>
          <w:rtl/>
          <w:lang w:bidi="fa-IR"/>
        </w:rPr>
        <w:t xml:space="preserve"> : « وَالْوَلَايَةُ » مَرَّتَيْنِ.</w:t>
      </w:r>
    </w:p>
    <w:p w:rsidR="008A74EB" w:rsidRPr="00C9040A" w:rsidRDefault="008A74EB" w:rsidP="008B7A50">
      <w:pPr>
        <w:pStyle w:val="libNormal"/>
        <w:rPr>
          <w:rtl/>
          <w:lang w:bidi="fa-IR"/>
        </w:rPr>
      </w:pPr>
      <w:r w:rsidRPr="00C9040A">
        <w:rPr>
          <w:rtl/>
          <w:lang w:bidi="fa-IR"/>
        </w:rPr>
        <w:t xml:space="preserve">ثُمَّ قَالَ : « هذَا الَّذِي فَرَضَ </w:t>
      </w:r>
      <w:r w:rsidR="006C577F" w:rsidRPr="006C577F">
        <w:rPr>
          <w:rStyle w:val="libFootnotenumChar"/>
          <w:rtl/>
        </w:rPr>
        <w:t>(8)</w:t>
      </w:r>
      <w:r w:rsidRPr="00C9040A">
        <w:rPr>
          <w:rtl/>
          <w:lang w:bidi="fa-IR"/>
        </w:rPr>
        <w:t xml:space="preserve"> اللهُ عَلَى الْعِبَادِ ، لَايَسْأَلُ </w:t>
      </w:r>
      <w:r w:rsidR="006C577F" w:rsidRPr="006C577F">
        <w:rPr>
          <w:rStyle w:val="libFootnotenumChar"/>
          <w:rtl/>
        </w:rPr>
        <w:t>(9)</w:t>
      </w:r>
      <w:r w:rsidRPr="00C9040A">
        <w:rPr>
          <w:rtl/>
          <w:lang w:bidi="fa-IR"/>
        </w:rPr>
        <w:t xml:space="preserve"> الرَّبُّ الْعِبَادَ </w:t>
      </w:r>
      <w:r w:rsidR="006C577F" w:rsidRPr="006C577F">
        <w:rPr>
          <w:rStyle w:val="libFootnotenumChar"/>
          <w:rtl/>
        </w:rPr>
        <w:t>(10)</w:t>
      </w:r>
      <w:r w:rsidRPr="00C9040A">
        <w:rPr>
          <w:rtl/>
          <w:lang w:bidi="fa-IR"/>
        </w:rPr>
        <w:t xml:space="preserve"> يَوْمَ </w:t>
      </w:r>
      <w:r w:rsidR="000F50C8">
        <w:rPr>
          <w:rtl/>
          <w:lang w:bidi="fa-IR"/>
        </w:rPr>
        <w:t>الْقِيَامَةِ فَيَقُولَ : أَل</w:t>
      </w:r>
      <w:r w:rsidR="000F50C8">
        <w:rPr>
          <w:rFonts w:hint="cs"/>
          <w:rtl/>
          <w:lang w:bidi="fa-IR"/>
        </w:rPr>
        <w:t>َّ</w:t>
      </w:r>
      <w:r w:rsidR="000F50C8">
        <w:rPr>
          <w:rtl/>
          <w:lang w:bidi="fa-IR"/>
        </w:rPr>
        <w:t>ا</w:t>
      </w:r>
      <w:r w:rsidRPr="00C9040A">
        <w:rPr>
          <w:rtl/>
          <w:lang w:bidi="fa-IR"/>
        </w:rPr>
        <w:t xml:space="preserve"> زِدْتَنِي عَلى مَا افْتَرَضْتُ عَلَيْكَ </w:t>
      </w:r>
      <w:r w:rsidR="006C577F" w:rsidRPr="006C577F">
        <w:rPr>
          <w:rStyle w:val="libFootnotenumChar"/>
          <w:rtl/>
        </w:rPr>
        <w:t>(11)</w:t>
      </w:r>
      <w:r w:rsidRPr="00C9040A">
        <w:rPr>
          <w:rtl/>
          <w:lang w:bidi="fa-IR"/>
        </w:rPr>
        <w:t xml:space="preserve"> ، وَلكِنْ مَنْ زَادَ زَادَهُ اللهُ </w:t>
      </w:r>
      <w:r w:rsidR="006C577F" w:rsidRPr="006C577F">
        <w:rPr>
          <w:rStyle w:val="libFootnotenumChar"/>
          <w:rtl/>
        </w:rPr>
        <w:t>(12)</w:t>
      </w:r>
      <w:r w:rsidRPr="00C9040A">
        <w:rPr>
          <w:rtl/>
          <w:lang w:bidi="fa-IR"/>
        </w:rPr>
        <w:t xml:space="preserve"> ؛ إِنَّ رَسُولَ اللهِ </w:t>
      </w:r>
      <w:r w:rsidR="004A4E41" w:rsidRPr="004A4E41">
        <w:rPr>
          <w:rStyle w:val="libAlaemChar"/>
          <w:rFonts w:eastAsiaTheme="minorHAnsi"/>
          <w:rtl/>
        </w:rPr>
        <w:t>صلى‌الله‌عليه‌وآله</w:t>
      </w:r>
      <w:r w:rsidR="008B7A50" w:rsidRPr="00C9040A">
        <w:rPr>
          <w:rtl/>
          <w:lang w:bidi="fa-IR"/>
        </w:rPr>
        <w:t xml:space="preserve"> </w:t>
      </w:r>
      <w:r w:rsidRPr="00C9040A">
        <w:rPr>
          <w:rtl/>
          <w:lang w:bidi="fa-IR"/>
        </w:rPr>
        <w:t xml:space="preserve">سَنَّ سُنَناً </w:t>
      </w:r>
      <w:r w:rsidRPr="005B567D">
        <w:rPr>
          <w:rStyle w:val="libFootnotenumChar"/>
          <w:rtl/>
        </w:rPr>
        <w:t>(13)</w:t>
      </w:r>
      <w:r w:rsidRPr="00C9040A">
        <w:rPr>
          <w:rtl/>
          <w:lang w:bidi="fa-IR"/>
        </w:rPr>
        <w:t xml:space="preserve"> حَسَنَةً جَمِيلَةً يَنْبَغِي لِلنَّاسِ الْأَخْذُ بِهَا »</w:t>
      </w:r>
      <w:r>
        <w:rPr>
          <w:rtl/>
          <w:lang w:bidi="fa-IR"/>
        </w:rPr>
        <w:t>.</w:t>
      </w:r>
      <w:r w:rsidRPr="00C9040A">
        <w:rPr>
          <w:rtl/>
          <w:lang w:bidi="fa-IR"/>
        </w:rPr>
        <w:t xml:space="preserve"> </w:t>
      </w:r>
      <w:r w:rsidRPr="005B567D">
        <w:rPr>
          <w:rStyle w:val="libFootnotenumChar"/>
          <w:rtl/>
        </w:rPr>
        <w:t>(14)</w:t>
      </w:r>
      <w:r w:rsidRPr="00C9040A">
        <w:rPr>
          <w:rtl/>
          <w:lang w:bidi="fa-IR"/>
        </w:rPr>
        <w:t xml:space="preserve"> ‌</w:t>
      </w:r>
    </w:p>
    <w:p w:rsidR="008A74EB" w:rsidRPr="00C9040A" w:rsidRDefault="008A74EB" w:rsidP="008A74EB">
      <w:pPr>
        <w:pStyle w:val="libNormal"/>
        <w:rPr>
          <w:rtl/>
          <w:lang w:bidi="fa-IR"/>
        </w:rPr>
      </w:pPr>
      <w:r w:rsidRPr="00195EC6">
        <w:rPr>
          <w:rtl/>
        </w:rPr>
        <w:t>1501</w:t>
      </w:r>
      <w:r w:rsidRPr="00261CB0">
        <w:rPr>
          <w:rStyle w:val="libBold2Char"/>
          <w:rtl/>
        </w:rPr>
        <w:t xml:space="preserve"> / 12.</w:t>
      </w:r>
      <w:r w:rsidRPr="00C9040A">
        <w:rPr>
          <w:rtl/>
          <w:lang w:bidi="fa-IR"/>
        </w:rPr>
        <w:t xml:space="preserve"> الْحُسَيْنُ بْنُ مُحَمَّدٍ </w:t>
      </w:r>
      <w:r w:rsidRPr="005B567D">
        <w:rPr>
          <w:rStyle w:val="libFootnotenumChar"/>
          <w:rtl/>
        </w:rPr>
        <w:t>(15)</w:t>
      </w:r>
      <w:r w:rsidRPr="00C9040A">
        <w:rPr>
          <w:rtl/>
          <w:lang w:bidi="fa-IR"/>
        </w:rPr>
        <w:t xml:space="preserve"> ، عَنْ مُعَلَّى بْنِ مُحَمَّدٍ ، عَنْ مُحَمَّدِ بْنِ جُمْهُورٍ ، عَنْ فَضَالَةَ بْنِ أَيُّوبَ ، عَنْ أَبِي زَيْدٍ </w:t>
      </w:r>
      <w:r w:rsidRPr="005B567D">
        <w:rPr>
          <w:rStyle w:val="libFootnotenumChar"/>
          <w:rtl/>
        </w:rPr>
        <w:t>(16)</w:t>
      </w:r>
      <w:r w:rsidRPr="00C9040A">
        <w:rPr>
          <w:rtl/>
          <w:lang w:bidi="fa-IR"/>
        </w:rPr>
        <w:t xml:space="preserve"> الْحَلاَّلِ ، عَنْ عَبْدِ الْحَمِيدِ بْنِ أَبِي الْعَلَاءِ الْأَزْدِيِّ ، قَالَ :</w:t>
      </w:r>
    </w:p>
    <w:p w:rsidR="008A74EB" w:rsidRPr="00C9040A" w:rsidRDefault="008A74EB" w:rsidP="008A74EB">
      <w:pPr>
        <w:pStyle w:val="libLine"/>
        <w:rPr>
          <w:rtl/>
          <w:lang w:bidi="fa-IR"/>
        </w:rPr>
      </w:pPr>
      <w:r w:rsidRPr="00C9040A">
        <w:rPr>
          <w:rtl/>
          <w:lang w:bidi="fa-IR"/>
        </w:rPr>
        <w:t>__________________</w:t>
      </w:r>
    </w:p>
    <w:p w:rsidR="008A74EB" w:rsidRPr="004A4E41" w:rsidRDefault="006C577F" w:rsidP="004A4E41">
      <w:pPr>
        <w:pStyle w:val="libFootnote0"/>
        <w:rPr>
          <w:rStyle w:val="libFootnote0Char"/>
          <w:rtl/>
        </w:rPr>
      </w:pPr>
      <w:r>
        <w:rPr>
          <w:rtl/>
        </w:rPr>
        <w:t>(1).</w:t>
      </w:r>
      <w:r w:rsidR="008A74EB" w:rsidRPr="00C9040A">
        <w:rPr>
          <w:rtl/>
        </w:rPr>
        <w:t xml:space="preserve"> في حاشية « ف » : « فيقول »</w:t>
      </w:r>
      <w:r w:rsidR="008A74EB">
        <w:rPr>
          <w:rtl/>
        </w:rPr>
        <w:t>.</w:t>
      </w:r>
    </w:p>
    <w:tbl>
      <w:tblPr>
        <w:tblStyle w:val="TableGrid"/>
        <w:bidiVisual/>
        <w:tblW w:w="0" w:type="auto"/>
        <w:tblLook w:val="04A0" w:firstRow="1" w:lastRow="0" w:firstColumn="1" w:lastColumn="0" w:noHBand="0" w:noVBand="1"/>
      </w:tblPr>
      <w:tblGrid>
        <w:gridCol w:w="4006"/>
        <w:gridCol w:w="4006"/>
      </w:tblGrid>
      <w:tr w:rsidR="000F50C8" w:rsidTr="000F50C8">
        <w:tc>
          <w:tcPr>
            <w:tcW w:w="4006" w:type="dxa"/>
          </w:tcPr>
          <w:p w:rsidR="000F50C8" w:rsidRDefault="000F50C8" w:rsidP="004A4E41">
            <w:pPr>
              <w:pStyle w:val="libFootnote0"/>
              <w:rPr>
                <w:rtl/>
              </w:rPr>
            </w:pPr>
            <w:r>
              <w:rPr>
                <w:rtl/>
              </w:rPr>
              <w:t xml:space="preserve">(2). </w:t>
            </w:r>
            <w:r w:rsidRPr="00C9040A">
              <w:rPr>
                <w:rtl/>
              </w:rPr>
              <w:t xml:space="preserve">في « د » </w:t>
            </w:r>
            <w:r>
              <w:rPr>
                <w:rtl/>
              </w:rPr>
              <w:t>: -</w:t>
            </w:r>
            <w:r w:rsidRPr="00C9040A">
              <w:rPr>
                <w:rtl/>
              </w:rPr>
              <w:t xml:space="preserve"> « له »</w:t>
            </w:r>
            <w:r>
              <w:rPr>
                <w:rtl/>
              </w:rPr>
              <w:t>.</w:t>
            </w:r>
          </w:p>
        </w:tc>
        <w:tc>
          <w:tcPr>
            <w:tcW w:w="4006" w:type="dxa"/>
          </w:tcPr>
          <w:p w:rsidR="000F50C8" w:rsidRDefault="000F50C8" w:rsidP="004A4E41">
            <w:pPr>
              <w:pStyle w:val="libFootnote0"/>
              <w:rPr>
                <w:rtl/>
              </w:rPr>
            </w:pPr>
            <w:r>
              <w:rPr>
                <w:rtl/>
              </w:rPr>
              <w:t>(3). في الوسائل: -«فقال له: جعلت فداك ،أخبرني</w:t>
            </w:r>
            <w:r w:rsidRPr="00C9040A">
              <w:rPr>
                <w:rtl/>
              </w:rPr>
              <w:t>»</w:t>
            </w:r>
            <w:r>
              <w:rPr>
                <w:rtl/>
              </w:rPr>
              <w:t>.</w:t>
            </w:r>
          </w:p>
        </w:tc>
      </w:tr>
      <w:tr w:rsidR="000F50C8" w:rsidTr="000F50C8">
        <w:tc>
          <w:tcPr>
            <w:tcW w:w="4006" w:type="dxa"/>
          </w:tcPr>
          <w:p w:rsidR="000F50C8" w:rsidRDefault="000F50C8" w:rsidP="004A4E41">
            <w:pPr>
              <w:pStyle w:val="libFootnote0"/>
              <w:rPr>
                <w:rtl/>
              </w:rPr>
            </w:pPr>
            <w:r>
              <w:rPr>
                <w:rtl/>
              </w:rPr>
              <w:t>(4).</w:t>
            </w:r>
            <w:r w:rsidRPr="00C9040A">
              <w:rPr>
                <w:rtl/>
              </w:rPr>
              <w:t xml:space="preserve"> في « ص » : + « من »</w:t>
            </w:r>
            <w:r>
              <w:rPr>
                <w:rtl/>
              </w:rPr>
              <w:t>.</w:t>
            </w:r>
          </w:p>
        </w:tc>
        <w:tc>
          <w:tcPr>
            <w:tcW w:w="4006" w:type="dxa"/>
          </w:tcPr>
          <w:p w:rsidR="000F50C8" w:rsidRDefault="000F50C8" w:rsidP="004A4E41">
            <w:pPr>
              <w:pStyle w:val="libFootnote0"/>
              <w:rPr>
                <w:rtl/>
              </w:rPr>
            </w:pPr>
            <w:r>
              <w:rPr>
                <w:rtl/>
              </w:rPr>
              <w:t>(5).</w:t>
            </w:r>
            <w:r w:rsidRPr="00C9040A">
              <w:rPr>
                <w:rtl/>
              </w:rPr>
              <w:t xml:space="preserve"> بدل ، أو عطف بيان للدين ، أو مبتدأ.</w:t>
            </w:r>
          </w:p>
        </w:tc>
      </w:tr>
    </w:tbl>
    <w:p w:rsidR="008A74EB" w:rsidRPr="004A4E41" w:rsidRDefault="006C577F" w:rsidP="004A4E41">
      <w:pPr>
        <w:pStyle w:val="libFootnote0"/>
        <w:rPr>
          <w:rStyle w:val="libFootnote0Char"/>
          <w:rtl/>
        </w:rPr>
      </w:pPr>
      <w:r>
        <w:rPr>
          <w:rtl/>
        </w:rPr>
        <w:t>(6).</w:t>
      </w:r>
      <w:r w:rsidR="008A74EB">
        <w:rPr>
          <w:rtl/>
        </w:rPr>
        <w:t xml:space="preserve"> </w:t>
      </w:r>
      <w:r w:rsidR="008A74EB" w:rsidRPr="00C9040A">
        <w:rPr>
          <w:rtl/>
        </w:rPr>
        <w:t xml:space="preserve">في الوسائل </w:t>
      </w:r>
      <w:r w:rsidR="008A74EB">
        <w:rPr>
          <w:rtl/>
        </w:rPr>
        <w:t xml:space="preserve">: </w:t>
      </w:r>
      <w:r w:rsidR="0084262C">
        <w:rPr>
          <w:rtl/>
        </w:rPr>
        <w:t>-</w:t>
      </w:r>
      <w:r w:rsidR="008A74EB" w:rsidRPr="00C9040A">
        <w:rPr>
          <w:rtl/>
        </w:rPr>
        <w:t xml:space="preserve"> « فقال : أعد عليّ ، فأعاد عليه »</w:t>
      </w:r>
      <w:r w:rsidR="008A74EB">
        <w:rPr>
          <w:rtl/>
        </w:rPr>
        <w:t>.</w:t>
      </w:r>
    </w:p>
    <w:tbl>
      <w:tblPr>
        <w:tblStyle w:val="TableGrid"/>
        <w:bidiVisual/>
        <w:tblW w:w="0" w:type="auto"/>
        <w:tblLook w:val="04A0" w:firstRow="1" w:lastRow="0" w:firstColumn="1" w:lastColumn="0" w:noHBand="0" w:noVBand="1"/>
      </w:tblPr>
      <w:tblGrid>
        <w:gridCol w:w="4006"/>
        <w:gridCol w:w="4006"/>
      </w:tblGrid>
      <w:tr w:rsidR="003C677A" w:rsidTr="003C677A">
        <w:tc>
          <w:tcPr>
            <w:tcW w:w="4006" w:type="dxa"/>
          </w:tcPr>
          <w:p w:rsidR="003C677A" w:rsidRDefault="003C677A" w:rsidP="004A4E41">
            <w:pPr>
              <w:pStyle w:val="libFootnote0"/>
              <w:rPr>
                <w:rtl/>
                <w:lang w:bidi="fa-IR"/>
              </w:rPr>
            </w:pPr>
            <w:r>
              <w:rPr>
                <w:rtl/>
              </w:rPr>
              <w:t>(7).</w:t>
            </w:r>
            <w:r w:rsidRPr="00C9040A">
              <w:rPr>
                <w:rtl/>
              </w:rPr>
              <w:t xml:space="preserve"> في الوسائل </w:t>
            </w:r>
            <w:r>
              <w:rPr>
                <w:rtl/>
              </w:rPr>
              <w:t>: -</w:t>
            </w:r>
            <w:r w:rsidRPr="00C9040A">
              <w:rPr>
                <w:rtl/>
              </w:rPr>
              <w:t xml:space="preserve"> « ثمّ سكت قليلاً ، ثمّ قال »</w:t>
            </w:r>
            <w:r>
              <w:rPr>
                <w:rtl/>
              </w:rPr>
              <w:t>.</w:t>
            </w:r>
          </w:p>
        </w:tc>
        <w:tc>
          <w:tcPr>
            <w:tcW w:w="4006" w:type="dxa"/>
          </w:tcPr>
          <w:p w:rsidR="003C677A" w:rsidRDefault="003C677A" w:rsidP="004A4E41">
            <w:pPr>
              <w:pStyle w:val="libFootnote0"/>
              <w:rPr>
                <w:rtl/>
                <w:lang w:bidi="fa-IR"/>
              </w:rPr>
            </w:pPr>
            <w:r>
              <w:rPr>
                <w:rtl/>
              </w:rPr>
              <w:t>(8).</w:t>
            </w:r>
            <w:r w:rsidRPr="00C9040A">
              <w:rPr>
                <w:rtl/>
              </w:rPr>
              <w:t xml:space="preserve"> في « </w:t>
            </w:r>
            <w:r>
              <w:rPr>
                <w:rtl/>
              </w:rPr>
              <w:t xml:space="preserve">ه </w:t>
            </w:r>
            <w:r w:rsidRPr="00C9040A">
              <w:rPr>
                <w:rtl/>
              </w:rPr>
              <w:t>» : « افترض »</w:t>
            </w:r>
            <w:r>
              <w:rPr>
                <w:rtl/>
              </w:rPr>
              <w:t>.</w:t>
            </w:r>
          </w:p>
        </w:tc>
      </w:tr>
    </w:tbl>
    <w:p w:rsidR="008A74EB" w:rsidRPr="004A4E41" w:rsidRDefault="006C577F" w:rsidP="004A4E41">
      <w:pPr>
        <w:pStyle w:val="libFootnote0"/>
        <w:rPr>
          <w:rStyle w:val="libFootnote0Char"/>
          <w:rtl/>
        </w:rPr>
      </w:pPr>
      <w:r>
        <w:rPr>
          <w:rtl/>
        </w:rPr>
        <w:t>(9).</w:t>
      </w:r>
      <w:r w:rsidR="008A74EB" w:rsidRPr="00C9040A">
        <w:rPr>
          <w:rtl/>
        </w:rPr>
        <w:t xml:space="preserve"> هكذا في « ب ، ج ، ص ، ف ، </w:t>
      </w:r>
      <w:r w:rsidR="006D3162">
        <w:rPr>
          <w:rtl/>
        </w:rPr>
        <w:t xml:space="preserve">ه </w:t>
      </w:r>
      <w:r w:rsidR="008A74EB" w:rsidRPr="00C9040A">
        <w:rPr>
          <w:rtl/>
        </w:rPr>
        <w:t>، بر ، بس ، بف » وشرح المازندراني والوافي والبحار. وفي سائر النسخ والمطبوع : « ولايسأل »</w:t>
      </w:r>
      <w:r w:rsidR="008A74EB">
        <w:rPr>
          <w:rtl/>
        </w:rPr>
        <w:t>.</w:t>
      </w:r>
      <w:r w:rsidR="003C677A">
        <w:rPr>
          <w:rFonts w:hint="cs"/>
          <w:rtl/>
        </w:rPr>
        <w:t xml:space="preserve">                                    </w:t>
      </w:r>
      <w:r>
        <w:rPr>
          <w:rtl/>
        </w:rPr>
        <w:t>(10).</w:t>
      </w:r>
      <w:r w:rsidR="003C677A">
        <w:rPr>
          <w:rtl/>
        </w:rPr>
        <w:t>في«ه» :«العبد</w:t>
      </w:r>
      <w:r w:rsidR="008A74EB" w:rsidRPr="00C9040A">
        <w:rPr>
          <w:rtl/>
        </w:rPr>
        <w:t>»</w:t>
      </w:r>
      <w:r w:rsidR="008A74EB">
        <w:rPr>
          <w:rtl/>
        </w:rPr>
        <w:t>.</w:t>
      </w:r>
      <w:r w:rsidR="003C677A">
        <w:rPr>
          <w:rtl/>
        </w:rPr>
        <w:t>وهذا أنسب بقوله: «أل</w:t>
      </w:r>
      <w:r w:rsidR="003C677A">
        <w:rPr>
          <w:rFonts w:hint="cs"/>
          <w:rtl/>
        </w:rPr>
        <w:t>ّ</w:t>
      </w:r>
      <w:r w:rsidR="003C677A">
        <w:rPr>
          <w:rtl/>
        </w:rPr>
        <w:t>ا</w:t>
      </w:r>
      <w:r w:rsidR="008A74EB" w:rsidRPr="00C9040A">
        <w:rPr>
          <w:rtl/>
        </w:rPr>
        <w:t xml:space="preserve"> زدتني »</w:t>
      </w:r>
      <w:r w:rsidR="008A74EB">
        <w:rPr>
          <w:rtl/>
        </w:rPr>
        <w:t>.</w:t>
      </w:r>
    </w:p>
    <w:tbl>
      <w:tblPr>
        <w:tblStyle w:val="TableGrid"/>
        <w:bidiVisual/>
        <w:tblW w:w="0" w:type="auto"/>
        <w:tblLook w:val="04A0" w:firstRow="1" w:lastRow="0" w:firstColumn="1" w:lastColumn="0" w:noHBand="0" w:noVBand="1"/>
      </w:tblPr>
      <w:tblGrid>
        <w:gridCol w:w="4006"/>
        <w:gridCol w:w="4006"/>
      </w:tblGrid>
      <w:tr w:rsidR="003C677A" w:rsidTr="003C677A">
        <w:tc>
          <w:tcPr>
            <w:tcW w:w="4006" w:type="dxa"/>
          </w:tcPr>
          <w:p w:rsidR="003C677A" w:rsidRDefault="003C677A" w:rsidP="004A4E41">
            <w:pPr>
              <w:pStyle w:val="libFootnote0"/>
              <w:rPr>
                <w:rtl/>
              </w:rPr>
            </w:pPr>
            <w:r>
              <w:rPr>
                <w:rtl/>
              </w:rPr>
              <w:t>(11).</w:t>
            </w:r>
            <w:r w:rsidRPr="00C9040A">
              <w:rPr>
                <w:rtl/>
              </w:rPr>
              <w:t xml:space="preserve"> في البحار : « عليكم »</w:t>
            </w:r>
            <w:r>
              <w:rPr>
                <w:rtl/>
              </w:rPr>
              <w:t>.</w:t>
            </w:r>
          </w:p>
        </w:tc>
        <w:tc>
          <w:tcPr>
            <w:tcW w:w="4006" w:type="dxa"/>
          </w:tcPr>
          <w:p w:rsidR="003C677A" w:rsidRDefault="003C677A" w:rsidP="004A4E41">
            <w:pPr>
              <w:pStyle w:val="libFootnote0"/>
              <w:rPr>
                <w:rtl/>
              </w:rPr>
            </w:pPr>
            <w:r>
              <w:rPr>
                <w:rtl/>
              </w:rPr>
              <w:t>(12).</w:t>
            </w:r>
            <w:r w:rsidRPr="00C9040A">
              <w:rPr>
                <w:rtl/>
              </w:rPr>
              <w:t xml:space="preserve"> في « </w:t>
            </w:r>
            <w:r>
              <w:rPr>
                <w:rtl/>
              </w:rPr>
              <w:t xml:space="preserve">ه </w:t>
            </w:r>
            <w:r w:rsidRPr="00C9040A">
              <w:rPr>
                <w:rtl/>
              </w:rPr>
              <w:t>» : + « الكريم »</w:t>
            </w:r>
            <w:r>
              <w:rPr>
                <w:rtl/>
              </w:rPr>
              <w:t>.</w:t>
            </w:r>
          </w:p>
        </w:tc>
      </w:tr>
    </w:tbl>
    <w:p w:rsidR="008A74EB" w:rsidRPr="00C9040A" w:rsidRDefault="008A74EB" w:rsidP="004A4E41">
      <w:pPr>
        <w:pStyle w:val="libFootnote0"/>
        <w:rPr>
          <w:rtl/>
          <w:lang w:bidi="fa-IR"/>
        </w:rPr>
      </w:pPr>
      <w:r>
        <w:rPr>
          <w:rtl/>
        </w:rPr>
        <w:t>(13)</w:t>
      </w:r>
      <w:r w:rsidRPr="00C9040A">
        <w:rPr>
          <w:rtl/>
        </w:rPr>
        <w:t xml:space="preserve"> في « ج ، ف » : « سنّةً »</w:t>
      </w:r>
      <w:r>
        <w:rPr>
          <w:rtl/>
        </w:rPr>
        <w:t>.</w:t>
      </w:r>
    </w:p>
    <w:p w:rsidR="008A74EB" w:rsidRPr="00C9040A" w:rsidRDefault="008A74EB" w:rsidP="004A4E41">
      <w:pPr>
        <w:pStyle w:val="libFootnote0"/>
        <w:rPr>
          <w:rtl/>
          <w:lang w:bidi="fa-IR"/>
        </w:rPr>
      </w:pPr>
      <w:r>
        <w:rPr>
          <w:rtl/>
        </w:rPr>
        <w:t>(14)</w:t>
      </w:r>
      <w:r w:rsidRPr="00C9040A">
        <w:rPr>
          <w:rtl/>
        </w:rPr>
        <w:t xml:space="preserve"> راجع : </w:t>
      </w:r>
      <w:r w:rsidRPr="00993B55">
        <w:rPr>
          <w:rStyle w:val="libFootnoteBoldChar"/>
          <w:rtl/>
        </w:rPr>
        <w:t>تفسير العيّاشي</w:t>
      </w:r>
      <w:r w:rsidRPr="00C9040A">
        <w:rPr>
          <w:rtl/>
        </w:rPr>
        <w:t xml:space="preserve"> ، ج 2 ، ص 117 ، ح 157</w:t>
      </w:r>
      <w:r w:rsidR="003C677A">
        <w:rPr>
          <w:rFonts w:hint="cs"/>
          <w:rtl/>
        </w:rPr>
        <w:t>.</w:t>
      </w:r>
      <w:r w:rsidRPr="00993B55">
        <w:rPr>
          <w:rStyle w:val="libFootnoteBoldChar"/>
          <w:rtl/>
        </w:rPr>
        <w:t>الوافي</w:t>
      </w:r>
      <w:r w:rsidRPr="00C9040A">
        <w:rPr>
          <w:rtl/>
        </w:rPr>
        <w:t xml:space="preserve"> ، ج 4 ، ص 94 ، ح 1703 ؛ </w:t>
      </w:r>
      <w:r w:rsidRPr="00993B55">
        <w:rPr>
          <w:rStyle w:val="libFootnoteBoldChar"/>
          <w:rtl/>
        </w:rPr>
        <w:t>الوسائل</w:t>
      </w:r>
      <w:r w:rsidRPr="00C9040A">
        <w:rPr>
          <w:rtl/>
        </w:rPr>
        <w:t xml:space="preserve"> ، ج 1 ، ص 18 ، ح 12 ، إلى قوله : « ثمّ سكت قليلاً ، ثمّ قال : والولاية » ؛ </w:t>
      </w:r>
      <w:r w:rsidRPr="00993B55">
        <w:rPr>
          <w:rStyle w:val="libFootnoteBoldChar"/>
          <w:rtl/>
        </w:rPr>
        <w:t>البحار</w:t>
      </w:r>
      <w:r w:rsidRPr="00C9040A">
        <w:rPr>
          <w:rtl/>
        </w:rPr>
        <w:t xml:space="preserve"> ، ج 69 ، ص 15 ، ح 16.</w:t>
      </w:r>
    </w:p>
    <w:p w:rsidR="008A74EB" w:rsidRPr="00C9040A" w:rsidRDefault="008A74EB" w:rsidP="004A4E41">
      <w:pPr>
        <w:pStyle w:val="libFootnote0"/>
        <w:rPr>
          <w:rtl/>
          <w:lang w:bidi="fa-IR"/>
        </w:rPr>
      </w:pPr>
      <w:r>
        <w:rPr>
          <w:rtl/>
        </w:rPr>
        <w:t>(15)</w:t>
      </w:r>
      <w:r w:rsidRPr="00C9040A">
        <w:rPr>
          <w:rtl/>
        </w:rPr>
        <w:t xml:space="preserve"> في هامش المطبوع : « في بعض النسخ : الحسين بن عليّ ، وفي بعضها : عليّ بن محمّد »</w:t>
      </w:r>
      <w:r>
        <w:rPr>
          <w:rtl/>
        </w:rPr>
        <w:t>.</w:t>
      </w:r>
      <w:r w:rsidRPr="00C9040A">
        <w:rPr>
          <w:rtl/>
        </w:rPr>
        <w:t xml:space="preserve"> وكلاهما سهوٌ ؛ فقدروى الحسين بن محمّد ، عن معلّى بن محمّد في كثيرٍ من الأسناد جدّاً. راجع : </w:t>
      </w:r>
      <w:r w:rsidRPr="00993B55">
        <w:rPr>
          <w:rStyle w:val="libFootnoteBoldChar"/>
          <w:rtl/>
        </w:rPr>
        <w:t>معجم رجال الحديث</w:t>
      </w:r>
      <w:r w:rsidRPr="00C9040A">
        <w:rPr>
          <w:rtl/>
        </w:rPr>
        <w:t xml:space="preserve"> ، ج 6 ، ص 343</w:t>
      </w:r>
      <w:r>
        <w:rPr>
          <w:rtl/>
        </w:rPr>
        <w:t xml:space="preserve"> </w:t>
      </w:r>
      <w:r w:rsidR="0084262C">
        <w:rPr>
          <w:rtl/>
        </w:rPr>
        <w:t>-</w:t>
      </w:r>
      <w:r>
        <w:rPr>
          <w:rtl/>
        </w:rPr>
        <w:t xml:space="preserve"> </w:t>
      </w:r>
      <w:r w:rsidRPr="00C9040A">
        <w:rPr>
          <w:rtl/>
        </w:rPr>
        <w:t>347.</w:t>
      </w:r>
    </w:p>
    <w:p w:rsidR="008A74EB" w:rsidRPr="00C9040A" w:rsidRDefault="008A74EB" w:rsidP="004A4E41">
      <w:pPr>
        <w:pStyle w:val="libFootnote0"/>
        <w:rPr>
          <w:rtl/>
          <w:lang w:bidi="fa-IR"/>
        </w:rPr>
      </w:pPr>
      <w:r>
        <w:rPr>
          <w:rtl/>
        </w:rPr>
        <w:t>(16)</w:t>
      </w:r>
      <w:r w:rsidRPr="00C9040A">
        <w:rPr>
          <w:rtl/>
        </w:rPr>
        <w:t xml:space="preserve"> في حاشية « بف » والوافي : « يزيد » ، والرجل مجهول لم نعرفه.</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lastRenderedPageBreak/>
        <w:t xml:space="preserve">سَمِعْتُ أَبَا عَبْدِ اللهِ </w:t>
      </w:r>
      <w:r w:rsidRPr="0003660B">
        <w:rPr>
          <w:rStyle w:val="libAlaemChar"/>
          <w:rtl/>
        </w:rPr>
        <w:t>عليه‌السلام</w:t>
      </w:r>
      <w:r w:rsidRPr="00C9040A">
        <w:rPr>
          <w:rtl/>
          <w:lang w:bidi="fa-IR"/>
        </w:rPr>
        <w:t xml:space="preserve"> يَقُولُ : « إِنَّ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فَرَضَ عَلى خَلْقِهِ خَمْساً ، فَرَخَّصَ فِي أَرْبَعٍ </w:t>
      </w:r>
      <w:r w:rsidR="006C577F" w:rsidRPr="006C577F">
        <w:rPr>
          <w:rStyle w:val="libFootnotenumChar"/>
          <w:rtl/>
        </w:rPr>
        <w:t>(1)</w:t>
      </w:r>
      <w:r w:rsidRPr="00C9040A">
        <w:rPr>
          <w:rtl/>
          <w:lang w:bidi="fa-IR"/>
        </w:rPr>
        <w:t>، وَلَمْ يُرَخِّصْ فِي وَاحِدَةٍ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195EC6">
        <w:rPr>
          <w:rtl/>
        </w:rPr>
        <w:t>1502</w:t>
      </w:r>
      <w:r w:rsidRPr="00261CB0">
        <w:rPr>
          <w:rStyle w:val="libBold2Char"/>
          <w:rtl/>
        </w:rPr>
        <w:t xml:space="preserve"> / 13.</w:t>
      </w:r>
      <w:r w:rsidRPr="00C9040A">
        <w:rPr>
          <w:rtl/>
          <w:lang w:bidi="fa-IR"/>
        </w:rPr>
        <w:t xml:space="preserve"> عَنْهُ ، عَنْ مُعَلَّى بْنِ مُحَمَّدٍ ، عَنِ الْوَشَّاءِ ، عَنْ أَبَانٍ ، عَنْ إِسْمَاعِيلَ الْجُعْفِيِّ ، قَالَ :</w:t>
      </w:r>
    </w:p>
    <w:p w:rsidR="008A74EB" w:rsidRPr="00C9040A" w:rsidRDefault="008A74EB" w:rsidP="008B7A50">
      <w:pPr>
        <w:pStyle w:val="libNormal"/>
        <w:rPr>
          <w:rtl/>
          <w:lang w:bidi="fa-IR"/>
        </w:rPr>
      </w:pPr>
      <w:r w:rsidRPr="00C9040A">
        <w:rPr>
          <w:rtl/>
          <w:lang w:bidi="fa-IR"/>
        </w:rPr>
        <w:t xml:space="preserve">دَخَلَ رَجُلٌ عَلى أَبِي جَعْفَرٍ </w:t>
      </w:r>
      <w:r w:rsidRPr="0003660B">
        <w:rPr>
          <w:rStyle w:val="libAlaemChar"/>
          <w:rtl/>
        </w:rPr>
        <w:t>عليه‌السلام</w:t>
      </w:r>
      <w:r w:rsidRPr="00C9040A">
        <w:rPr>
          <w:rtl/>
          <w:lang w:bidi="fa-IR"/>
        </w:rPr>
        <w:t xml:space="preserve"> وَمَعَهُ صَحِيفَةٌ </w:t>
      </w:r>
      <w:r w:rsidR="006C577F" w:rsidRPr="006C577F">
        <w:rPr>
          <w:rStyle w:val="libFootnotenumChar"/>
          <w:rtl/>
        </w:rPr>
        <w:t>(3)</w:t>
      </w:r>
      <w:r w:rsidRPr="00C9040A">
        <w:rPr>
          <w:rtl/>
          <w:lang w:bidi="fa-IR"/>
        </w:rPr>
        <w:t xml:space="preserve"> ، فَقَالَ لَهُ </w:t>
      </w:r>
      <w:r w:rsidR="006C577F" w:rsidRPr="006C577F">
        <w:rPr>
          <w:rStyle w:val="libFootnotenumChar"/>
          <w:rtl/>
        </w:rPr>
        <w:t>(4)</w:t>
      </w:r>
      <w:r w:rsidRPr="00C9040A">
        <w:rPr>
          <w:rtl/>
          <w:lang w:bidi="fa-IR"/>
        </w:rPr>
        <w:t xml:space="preserve"> أَبُو جَعْفَرٍ </w:t>
      </w:r>
      <w:r w:rsidRPr="0003660B">
        <w:rPr>
          <w:rStyle w:val="libAlaemChar"/>
          <w:rtl/>
        </w:rPr>
        <w:t>عليه‌السلام</w:t>
      </w:r>
      <w:r w:rsidRPr="00C9040A">
        <w:rPr>
          <w:rtl/>
          <w:lang w:bidi="fa-IR"/>
        </w:rPr>
        <w:t xml:space="preserve"> : « هذِهِ صَحِيفَةُ مُخَاصِمٍ </w:t>
      </w:r>
      <w:r w:rsidR="006C577F" w:rsidRPr="006C577F">
        <w:rPr>
          <w:rStyle w:val="libFootnotenumChar"/>
          <w:rtl/>
        </w:rPr>
        <w:t>(5)</w:t>
      </w:r>
      <w:r w:rsidRPr="00C9040A">
        <w:rPr>
          <w:rtl/>
          <w:lang w:bidi="fa-IR"/>
        </w:rPr>
        <w:t xml:space="preserve"> يَسْأَلُ </w:t>
      </w:r>
      <w:r w:rsidR="006C577F" w:rsidRPr="006C577F">
        <w:rPr>
          <w:rStyle w:val="libFootnotenumChar"/>
          <w:rtl/>
        </w:rPr>
        <w:t>(6)</w:t>
      </w:r>
      <w:r w:rsidRPr="00C9040A">
        <w:rPr>
          <w:rtl/>
          <w:lang w:bidi="fa-IR"/>
        </w:rPr>
        <w:t>عَنِ الدِّينِ الَّذِي يُقْبَلُ فِيهِ الْعَمَلُ »</w:t>
      </w:r>
      <w:r>
        <w:rPr>
          <w:rtl/>
          <w:lang w:bidi="fa-IR"/>
        </w:rPr>
        <w:t>.</w:t>
      </w:r>
      <w:r w:rsidRPr="00C9040A">
        <w:rPr>
          <w:rtl/>
          <w:lang w:bidi="fa-IR"/>
        </w:rPr>
        <w:t xml:space="preserve"> فَقَالَ : رَحِمَكَ اللهُ ، هذَا الَّذِي أُرِيدُ ، فَقَالَ أَبُو جَعْفَرٍ </w:t>
      </w:r>
      <w:r w:rsidRPr="0003660B">
        <w:rPr>
          <w:rStyle w:val="libAlaemChar"/>
          <w:rtl/>
        </w:rPr>
        <w:t>عليه‌السلام</w:t>
      </w:r>
      <w:r w:rsidRPr="00C9040A">
        <w:rPr>
          <w:rtl/>
          <w:lang w:bidi="fa-IR"/>
        </w:rPr>
        <w:t xml:space="preserve"> : « شَهَادَةُ أَنْ لَا</w:t>
      </w:r>
      <w:r>
        <w:rPr>
          <w:rFonts w:hint="cs"/>
          <w:rtl/>
          <w:lang w:bidi="fa-IR"/>
        </w:rPr>
        <w:t xml:space="preserve"> </w:t>
      </w:r>
      <w:r w:rsidR="003C677A">
        <w:rPr>
          <w:rtl/>
          <w:lang w:bidi="fa-IR"/>
        </w:rPr>
        <w:t>إِلهَ إِل</w:t>
      </w:r>
      <w:r w:rsidR="003C677A">
        <w:rPr>
          <w:rFonts w:hint="cs"/>
          <w:rtl/>
          <w:lang w:bidi="fa-IR"/>
        </w:rPr>
        <w:t>َّ</w:t>
      </w:r>
      <w:r w:rsidR="003C677A">
        <w:rPr>
          <w:rtl/>
          <w:lang w:bidi="fa-IR"/>
        </w:rPr>
        <w:t>ا</w:t>
      </w:r>
      <w:r w:rsidRPr="00C9040A">
        <w:rPr>
          <w:rtl/>
          <w:lang w:bidi="fa-IR"/>
        </w:rPr>
        <w:t xml:space="preserve"> اللهُ وَحْدَهُ لَاشَرِيكَ لَهُ ، وَأَنَّ مُحَمَّداً </w:t>
      </w:r>
      <w:r w:rsidR="004A4E41" w:rsidRPr="004A4E41">
        <w:rPr>
          <w:rStyle w:val="libAlaemChar"/>
          <w:rFonts w:eastAsiaTheme="minorHAnsi"/>
          <w:rtl/>
        </w:rPr>
        <w:t>صلى‌الله‌عليه‌وآله</w:t>
      </w:r>
      <w:r w:rsidR="008B7A50" w:rsidRPr="00C9040A">
        <w:rPr>
          <w:rtl/>
          <w:lang w:bidi="fa-IR"/>
        </w:rPr>
        <w:t xml:space="preserve"> </w:t>
      </w:r>
      <w:r w:rsidRPr="00C9040A">
        <w:rPr>
          <w:rtl/>
          <w:lang w:bidi="fa-IR"/>
        </w:rPr>
        <w:t xml:space="preserve">عَبْدُهُ وَرَسُولُهُ </w:t>
      </w:r>
      <w:r w:rsidR="006C577F" w:rsidRPr="006C577F">
        <w:rPr>
          <w:rStyle w:val="libFootnotenumChar"/>
          <w:rtl/>
        </w:rPr>
        <w:t>(7)</w:t>
      </w:r>
      <w:r w:rsidRPr="00C9040A">
        <w:rPr>
          <w:rtl/>
          <w:lang w:bidi="fa-IR"/>
        </w:rPr>
        <w:t xml:space="preserve"> ، وَتُقِرَّ بِمَا جَاءَ </w:t>
      </w:r>
      <w:r w:rsidR="006C577F" w:rsidRPr="006C577F">
        <w:rPr>
          <w:rStyle w:val="libFootnotenumChar"/>
          <w:rtl/>
        </w:rPr>
        <w:t>(8)</w:t>
      </w:r>
      <w:r w:rsidRPr="00C9040A">
        <w:rPr>
          <w:rtl/>
          <w:lang w:bidi="fa-IR"/>
        </w:rPr>
        <w:t xml:space="preserve"> مِنْ عِنْدِ اللهِ ، وَالْوَلَايَةُ لَنَا أَهْلَ الْبَيْتِ ، وَالْبَرَاءَةُ مِنْ عَدُوِّنَا ، وَالتَّسْلِيمُ لِأَمْرِنَا ، وَالْوَرَعُ ، وَالتَّوَاضُعُ ، وَانْتِظَارُ قَائِمِنَا ؛ فَإِنَّ لَنَا دَوْلَةً إِذَا شَاءَ اللهُ جَاءَ بِهَا </w:t>
      </w:r>
      <w:r w:rsidR="006C577F" w:rsidRPr="006C577F">
        <w:rPr>
          <w:rStyle w:val="libFootnotenumChar"/>
          <w:rtl/>
        </w:rPr>
        <w:t>(9)</w:t>
      </w:r>
      <w:r w:rsidRPr="00C9040A">
        <w:rPr>
          <w:rtl/>
          <w:lang w:bidi="fa-IR"/>
        </w:rPr>
        <w:t xml:space="preserve"> »</w:t>
      </w:r>
      <w:r>
        <w:rPr>
          <w:rtl/>
          <w:lang w:bidi="fa-IR"/>
        </w:rPr>
        <w:t>.</w:t>
      </w:r>
      <w:r w:rsidR="006C577F" w:rsidRPr="006C577F">
        <w:rPr>
          <w:rStyle w:val="libFootnotenumChar"/>
          <w:rtl/>
        </w:rPr>
        <w:t>(10)</w:t>
      </w:r>
      <w:r w:rsidRPr="00C9040A">
        <w:rPr>
          <w:rtl/>
          <w:lang w:bidi="fa-IR"/>
        </w:rPr>
        <w:t>‌</w:t>
      </w:r>
    </w:p>
    <w:p w:rsidR="008A74EB" w:rsidRPr="00C9040A" w:rsidRDefault="008A74EB" w:rsidP="008A74EB">
      <w:pPr>
        <w:pStyle w:val="libNormal"/>
        <w:rPr>
          <w:rtl/>
          <w:lang w:bidi="fa-IR"/>
        </w:rPr>
      </w:pPr>
      <w:r w:rsidRPr="00195EC6">
        <w:rPr>
          <w:rtl/>
        </w:rPr>
        <w:t>1503</w:t>
      </w:r>
      <w:r w:rsidRPr="00261CB0">
        <w:rPr>
          <w:rStyle w:val="libBold2Char"/>
          <w:rtl/>
        </w:rPr>
        <w:t xml:space="preserve"> / 14.</w:t>
      </w:r>
      <w:r w:rsidRPr="00C9040A">
        <w:rPr>
          <w:rtl/>
          <w:lang w:bidi="fa-IR"/>
        </w:rPr>
        <w:t xml:space="preserve"> عَلِيُّ بْنُ إِبْرَاهِيمَ ، عَنْ أَبِيهِ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w:t>
      </w:r>
      <w:r w:rsidR="008A74EB" w:rsidRPr="00993B55">
        <w:rPr>
          <w:rStyle w:val="libFootnoteBoldChar"/>
          <w:rtl/>
        </w:rPr>
        <w:t>الوافي</w:t>
      </w:r>
      <w:r w:rsidR="008A74EB" w:rsidRPr="00C9040A">
        <w:rPr>
          <w:rtl/>
        </w:rPr>
        <w:t xml:space="preserve"> : « لعلّ الرخصة في الأربع سقوط الصلاة عن فاقد الطهورين ، والزكاة عمّن لم يبلغ ماله النصاب ، والحجّ عمّن لم يستطع ، والصوم عن الذين لايطيقونه »</w:t>
      </w:r>
      <w:r w:rsidR="008A74EB">
        <w:rPr>
          <w:rtl/>
        </w:rPr>
        <w:t>.</w:t>
      </w:r>
    </w:p>
    <w:p w:rsidR="008A74EB" w:rsidRPr="004A4E41" w:rsidRDefault="006C577F" w:rsidP="004A4E41">
      <w:pPr>
        <w:pStyle w:val="libFootnote0"/>
        <w:rPr>
          <w:rStyle w:val="libFootnote0Char"/>
          <w:rtl/>
        </w:rPr>
      </w:pPr>
      <w:r>
        <w:rPr>
          <w:rtl/>
        </w:rPr>
        <w:t>(2).</w:t>
      </w:r>
      <w:r w:rsidR="008A74EB">
        <w:rPr>
          <w:rtl/>
        </w:rPr>
        <w:t xml:space="preserve"> </w:t>
      </w:r>
      <w:r w:rsidR="008A74EB" w:rsidRPr="00993B55">
        <w:rPr>
          <w:rStyle w:val="libFootnoteBoldChar"/>
          <w:rtl/>
        </w:rPr>
        <w:t>الوافي</w:t>
      </w:r>
      <w:r w:rsidR="008A74EB" w:rsidRPr="00C9040A">
        <w:rPr>
          <w:rtl/>
        </w:rPr>
        <w:t xml:space="preserve"> ، ج 4 ، ص 88 ، ح 1698 ؛ </w:t>
      </w:r>
      <w:r w:rsidR="008A74EB" w:rsidRPr="00993B55">
        <w:rPr>
          <w:rStyle w:val="libFootnoteBoldChar"/>
          <w:rtl/>
        </w:rPr>
        <w:t>البحار</w:t>
      </w:r>
      <w:r w:rsidR="008A74EB" w:rsidRPr="00C9040A">
        <w:rPr>
          <w:rtl/>
        </w:rPr>
        <w:t xml:space="preserve"> ، ج 68 ، ص 332 ، ح 9.</w:t>
      </w:r>
    </w:p>
    <w:tbl>
      <w:tblPr>
        <w:tblStyle w:val="TableGrid"/>
        <w:bidiVisual/>
        <w:tblW w:w="0" w:type="auto"/>
        <w:tblLook w:val="04A0" w:firstRow="1" w:lastRow="0" w:firstColumn="1" w:lastColumn="0" w:noHBand="0" w:noVBand="1"/>
      </w:tblPr>
      <w:tblGrid>
        <w:gridCol w:w="4006"/>
        <w:gridCol w:w="4006"/>
      </w:tblGrid>
      <w:tr w:rsidR="003C677A" w:rsidTr="003C677A">
        <w:tc>
          <w:tcPr>
            <w:tcW w:w="4006" w:type="dxa"/>
          </w:tcPr>
          <w:p w:rsidR="003C677A" w:rsidRDefault="003C677A" w:rsidP="004A4E41">
            <w:pPr>
              <w:pStyle w:val="libFootnote0"/>
              <w:rPr>
                <w:rtl/>
              </w:rPr>
            </w:pPr>
            <w:r>
              <w:rPr>
                <w:rtl/>
              </w:rPr>
              <w:t>(3).</w:t>
            </w:r>
            <w:r w:rsidRPr="00C9040A">
              <w:rPr>
                <w:rtl/>
              </w:rPr>
              <w:t xml:space="preserve"> في الأمالي : + « مسائل شبه الخصومة »</w:t>
            </w:r>
            <w:r>
              <w:rPr>
                <w:rtl/>
              </w:rPr>
              <w:t>.</w:t>
            </w:r>
          </w:p>
        </w:tc>
        <w:tc>
          <w:tcPr>
            <w:tcW w:w="4006" w:type="dxa"/>
          </w:tcPr>
          <w:p w:rsidR="003C677A" w:rsidRDefault="003C677A" w:rsidP="004A4E41">
            <w:pPr>
              <w:pStyle w:val="libFootnote0"/>
              <w:rPr>
                <w:rtl/>
              </w:rPr>
            </w:pPr>
            <w:r>
              <w:rPr>
                <w:rtl/>
              </w:rPr>
              <w:t>(4).</w:t>
            </w:r>
            <w:r w:rsidRPr="00C9040A">
              <w:rPr>
                <w:rtl/>
              </w:rPr>
              <w:t xml:space="preserve"> في « بس » </w:t>
            </w:r>
            <w:r>
              <w:rPr>
                <w:rtl/>
              </w:rPr>
              <w:t>: -</w:t>
            </w:r>
            <w:r w:rsidRPr="00C9040A">
              <w:rPr>
                <w:rtl/>
              </w:rPr>
              <w:t xml:space="preserve"> « له »</w:t>
            </w:r>
            <w:r>
              <w:rPr>
                <w:rtl/>
              </w:rPr>
              <w:t>.</w:t>
            </w:r>
          </w:p>
        </w:tc>
      </w:tr>
    </w:tbl>
    <w:p w:rsidR="008A74EB" w:rsidRPr="00C9040A" w:rsidRDefault="006C577F" w:rsidP="004A4E41">
      <w:pPr>
        <w:pStyle w:val="libFootnote0"/>
        <w:rPr>
          <w:rtl/>
          <w:lang w:bidi="fa-IR"/>
        </w:rPr>
      </w:pPr>
      <w:r>
        <w:rPr>
          <w:rtl/>
        </w:rPr>
        <w:t>(5).</w:t>
      </w:r>
      <w:r w:rsidR="008A74EB" w:rsidRPr="00C9040A">
        <w:rPr>
          <w:rtl/>
        </w:rPr>
        <w:t xml:space="preserve"> في </w:t>
      </w:r>
      <w:r w:rsidR="008A74EB" w:rsidRPr="00993B55">
        <w:rPr>
          <w:rStyle w:val="libFootnoteBoldChar"/>
          <w:rtl/>
        </w:rPr>
        <w:t>مرآة العقول</w:t>
      </w:r>
      <w:r w:rsidR="008A74EB" w:rsidRPr="00C9040A">
        <w:rPr>
          <w:rtl/>
        </w:rPr>
        <w:t xml:space="preserve"> : « مخاصم ، أي مناظر مجادل سائل. وفي بعض النسخ : سأل ، أي فيها. ويحتمل على هذه‌النسخة أن يكون مخاصم اسم رجل »</w:t>
      </w:r>
      <w:r w:rsidR="008A74EB">
        <w:rPr>
          <w:rtl/>
        </w:rPr>
        <w:t>.</w:t>
      </w:r>
    </w:p>
    <w:p w:rsidR="008A74EB" w:rsidRPr="004A4E41" w:rsidRDefault="006C577F" w:rsidP="004A4E41">
      <w:pPr>
        <w:pStyle w:val="libFootnote0"/>
        <w:rPr>
          <w:rStyle w:val="libFootnote0Char"/>
          <w:rtl/>
        </w:rPr>
      </w:pPr>
      <w:r>
        <w:rPr>
          <w:rtl/>
        </w:rPr>
        <w:t>(6).</w:t>
      </w:r>
      <w:r w:rsidR="008A74EB">
        <w:rPr>
          <w:rtl/>
        </w:rPr>
        <w:t xml:space="preserve"> </w:t>
      </w:r>
      <w:r w:rsidR="008A74EB" w:rsidRPr="00C9040A">
        <w:rPr>
          <w:rtl/>
        </w:rPr>
        <w:t>في « ب ، ج ، د ، ز ، بر ، بس ، بف » والوافي : « سأل »</w:t>
      </w:r>
      <w:r w:rsidR="008A74EB">
        <w:rPr>
          <w:rtl/>
        </w:rPr>
        <w:t>.</w:t>
      </w:r>
      <w:r w:rsidR="008A74EB" w:rsidRPr="00C9040A">
        <w:rPr>
          <w:rtl/>
        </w:rPr>
        <w:t xml:space="preserve"> وفي </w:t>
      </w:r>
      <w:r w:rsidR="008A74EB" w:rsidRPr="00993B55">
        <w:rPr>
          <w:rStyle w:val="libFootnoteBoldChar"/>
          <w:rtl/>
        </w:rPr>
        <w:t>الوافي</w:t>
      </w:r>
      <w:r w:rsidR="008A74EB" w:rsidRPr="00C9040A">
        <w:rPr>
          <w:rtl/>
        </w:rPr>
        <w:t xml:space="preserve"> : « وفي بعض النسخ : سل ، فعل أمر ؛ يعني لا تناظرني بل سل من غير تعنّت ، وهو أوضح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 أقول : ما رأيت هذه النسخة وفي وضوحه خفاء »</w:t>
      </w:r>
      <w:r w:rsidR="008A74EB">
        <w:rPr>
          <w:rtl/>
        </w:rPr>
        <w:t>.</w:t>
      </w:r>
      <w:r w:rsidR="001E7B88">
        <w:rPr>
          <w:rFonts w:hint="cs"/>
          <w:rtl/>
        </w:rPr>
        <w:t xml:space="preserve">                                            </w:t>
      </w:r>
      <w:r>
        <w:rPr>
          <w:rtl/>
        </w:rPr>
        <w:t>(7).</w:t>
      </w:r>
      <w:r w:rsidR="001E7B88">
        <w:rPr>
          <w:rtl/>
        </w:rPr>
        <w:t xml:space="preserve"> في« ف »:</w:t>
      </w:r>
      <w:r w:rsidR="008A74EB" w:rsidRPr="00C9040A">
        <w:rPr>
          <w:rtl/>
        </w:rPr>
        <w:t>« رسول الله » بدل « عبده ورسوله »</w:t>
      </w:r>
      <w:r w:rsidR="008A74EB">
        <w:rPr>
          <w:rtl/>
        </w:rPr>
        <w:t>.</w:t>
      </w:r>
    </w:p>
    <w:tbl>
      <w:tblPr>
        <w:tblStyle w:val="TableGrid"/>
        <w:bidiVisual/>
        <w:tblW w:w="0" w:type="auto"/>
        <w:tblLook w:val="04A0" w:firstRow="1" w:lastRow="0" w:firstColumn="1" w:lastColumn="0" w:noHBand="0" w:noVBand="1"/>
      </w:tblPr>
      <w:tblGrid>
        <w:gridCol w:w="4006"/>
        <w:gridCol w:w="4006"/>
      </w:tblGrid>
      <w:tr w:rsidR="001E7B88" w:rsidTr="001E7B88">
        <w:tc>
          <w:tcPr>
            <w:tcW w:w="4006" w:type="dxa"/>
          </w:tcPr>
          <w:p w:rsidR="001E7B88" w:rsidRDefault="001E7B88" w:rsidP="004A4E41">
            <w:pPr>
              <w:pStyle w:val="libFootnote0"/>
              <w:rPr>
                <w:rtl/>
              </w:rPr>
            </w:pPr>
            <w:r>
              <w:rPr>
                <w:rtl/>
              </w:rPr>
              <w:t>(8).</w:t>
            </w:r>
            <w:r w:rsidRPr="00C9040A">
              <w:rPr>
                <w:rtl/>
              </w:rPr>
              <w:t xml:space="preserve"> في « ج » : + « به »</w:t>
            </w:r>
            <w:r>
              <w:rPr>
                <w:rtl/>
              </w:rPr>
              <w:t>.</w:t>
            </w:r>
          </w:p>
        </w:tc>
        <w:tc>
          <w:tcPr>
            <w:tcW w:w="4006" w:type="dxa"/>
          </w:tcPr>
          <w:p w:rsidR="001E7B88" w:rsidRDefault="001E7B88" w:rsidP="004A4E41">
            <w:pPr>
              <w:pStyle w:val="libFootnote0"/>
              <w:rPr>
                <w:rtl/>
              </w:rPr>
            </w:pPr>
            <w:r>
              <w:rPr>
                <w:rtl/>
              </w:rPr>
              <w:t>(9).</w:t>
            </w:r>
            <w:r w:rsidRPr="00C9040A">
              <w:rPr>
                <w:rtl/>
              </w:rPr>
              <w:t xml:space="preserve"> في « بس » : « الله »</w:t>
            </w:r>
            <w:r>
              <w:rPr>
                <w:rtl/>
              </w:rPr>
              <w:t>.</w:t>
            </w:r>
          </w:p>
        </w:tc>
      </w:tr>
    </w:tbl>
    <w:p w:rsidR="008A74EB" w:rsidRPr="00C9040A" w:rsidRDefault="006C577F" w:rsidP="004A4E41">
      <w:pPr>
        <w:pStyle w:val="libFootnote0"/>
        <w:rPr>
          <w:rtl/>
          <w:lang w:bidi="fa-IR"/>
        </w:rPr>
      </w:pPr>
      <w:r>
        <w:rPr>
          <w:rtl/>
        </w:rPr>
        <w:t>(10).</w:t>
      </w:r>
      <w:r w:rsidR="008A74EB" w:rsidRPr="00C9040A">
        <w:rPr>
          <w:rtl/>
        </w:rPr>
        <w:t xml:space="preserve"> </w:t>
      </w:r>
      <w:r w:rsidR="008A74EB" w:rsidRPr="00993B55">
        <w:rPr>
          <w:rStyle w:val="libFootnoteBoldChar"/>
          <w:rtl/>
        </w:rPr>
        <w:t>الأمالي</w:t>
      </w:r>
      <w:r w:rsidR="008A74EB" w:rsidRPr="00C9040A">
        <w:rPr>
          <w:rtl/>
        </w:rPr>
        <w:t xml:space="preserve"> للطوسي ، ص 179 ، المجلس 7 ، ح 1 ، بسنده عن أبان بن عثمان ، عن إسماعيل الجعفي ، مع اختلاف يسير. </w:t>
      </w:r>
      <w:r w:rsidR="008A74EB" w:rsidRPr="00993B55">
        <w:rPr>
          <w:rStyle w:val="libFootnoteBoldChar"/>
          <w:rtl/>
        </w:rPr>
        <w:t>الغيبة</w:t>
      </w:r>
      <w:r w:rsidR="008A74EB" w:rsidRPr="00C9040A">
        <w:rPr>
          <w:rtl/>
        </w:rPr>
        <w:t xml:space="preserve"> للنعماني ، ص 200 ، ح 16 ، بسند آخر عن أبي عبد الله </w:t>
      </w:r>
      <w:r w:rsidR="00117575" w:rsidRPr="00117575">
        <w:rPr>
          <w:rStyle w:val="libFootnoteAlaemChar"/>
          <w:rtl/>
        </w:rPr>
        <w:t xml:space="preserve">عليه‌السلام </w:t>
      </w:r>
      <w:r w:rsidR="008A74EB" w:rsidRPr="00C9040A">
        <w:rPr>
          <w:rtl/>
        </w:rPr>
        <w:t xml:space="preserve"> ، مع اختلاف وزيادة في آخره</w:t>
      </w:r>
      <w:r w:rsidR="004E3613">
        <w:rPr>
          <w:rFonts w:hint="cs"/>
          <w:rtl/>
        </w:rPr>
        <w:t>.</w:t>
      </w:r>
      <w:r w:rsidR="008A74EB" w:rsidRPr="00993B55">
        <w:rPr>
          <w:rStyle w:val="libFootnoteBoldChar"/>
          <w:rtl/>
        </w:rPr>
        <w:t>الوافي</w:t>
      </w:r>
      <w:r w:rsidR="008A74EB" w:rsidRPr="00C9040A">
        <w:rPr>
          <w:rtl/>
        </w:rPr>
        <w:t xml:space="preserve"> ، ج 4 ، ص 94 ، ح 1704 ؛ </w:t>
      </w:r>
      <w:r w:rsidR="008A74EB" w:rsidRPr="00993B55">
        <w:rPr>
          <w:rStyle w:val="libFootnoteBoldChar"/>
          <w:rtl/>
        </w:rPr>
        <w:t>البحار</w:t>
      </w:r>
      <w:r w:rsidR="008A74EB" w:rsidRPr="00C9040A">
        <w:rPr>
          <w:rtl/>
        </w:rPr>
        <w:t xml:space="preserve"> ، ج 69 ، ص 2 ، ذيل ح 2.</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وَأَبُو عَلِيٍّ الْأَشْعَرِيُّ ، عَنْ مُحَمَّدِ بْنِ عَبْدِ الْجَبَّارِ جَمِيعاً ، عَنْ صَفْوَانَ ، عَن</w:t>
      </w:r>
      <w:r w:rsidR="00A35FD9">
        <w:rPr>
          <w:rtl/>
          <w:lang w:bidi="fa-IR"/>
        </w:rPr>
        <w:t>ْ عَمْرِو بْنِ حُرَيْثٍ ، قَالَ</w:t>
      </w:r>
      <w:r w:rsidRPr="00C9040A">
        <w:rPr>
          <w:rtl/>
          <w:lang w:bidi="fa-IR"/>
        </w:rPr>
        <w:t>:</w:t>
      </w:r>
    </w:p>
    <w:p w:rsidR="008A74EB" w:rsidRPr="00C9040A" w:rsidRDefault="008A74EB" w:rsidP="008A74EB">
      <w:pPr>
        <w:pStyle w:val="libNormal"/>
        <w:rPr>
          <w:rtl/>
          <w:lang w:bidi="fa-IR"/>
        </w:rPr>
      </w:pPr>
      <w:r w:rsidRPr="00C9040A">
        <w:rPr>
          <w:rtl/>
          <w:lang w:bidi="fa-IR"/>
        </w:rPr>
        <w:t xml:space="preserve">دَخَلْتُ عَلى أَبِي عَبْدِ اللهِ </w:t>
      </w:r>
      <w:r w:rsidRPr="0003660B">
        <w:rPr>
          <w:rStyle w:val="libAlaemChar"/>
          <w:rtl/>
        </w:rPr>
        <w:t>عليه‌السلام</w:t>
      </w:r>
      <w:r>
        <w:rPr>
          <w:rtl/>
          <w:lang w:bidi="fa-IR"/>
        </w:rPr>
        <w:t xml:space="preserve"> </w:t>
      </w:r>
      <w:r w:rsidR="0084262C">
        <w:rPr>
          <w:rtl/>
          <w:lang w:bidi="fa-IR"/>
        </w:rPr>
        <w:t>-</w:t>
      </w:r>
      <w:r>
        <w:rPr>
          <w:rtl/>
          <w:lang w:bidi="fa-IR"/>
        </w:rPr>
        <w:t xml:space="preserve"> </w:t>
      </w:r>
      <w:r w:rsidRPr="00C9040A">
        <w:rPr>
          <w:rtl/>
          <w:lang w:bidi="fa-IR"/>
        </w:rPr>
        <w:t>وَهُوَ فِي مَنْزِلِ أَخِيهِ عَبْدِ اللهِ بْنِ مُحَمَّدٍ</w:t>
      </w:r>
      <w:r>
        <w:rPr>
          <w:rtl/>
          <w:lang w:bidi="fa-IR"/>
        </w:rPr>
        <w:t xml:space="preserve"> </w:t>
      </w:r>
      <w:r w:rsidR="0084262C">
        <w:rPr>
          <w:rtl/>
          <w:lang w:bidi="fa-IR"/>
        </w:rPr>
        <w:t>-</w:t>
      </w:r>
      <w:r>
        <w:rPr>
          <w:rtl/>
          <w:lang w:bidi="fa-IR"/>
        </w:rPr>
        <w:t xml:space="preserve"> </w:t>
      </w:r>
      <w:r w:rsidRPr="00C9040A">
        <w:rPr>
          <w:rtl/>
          <w:lang w:bidi="fa-IR"/>
        </w:rPr>
        <w:t xml:space="preserve">فَقُلْتُ لَهُ </w:t>
      </w:r>
      <w:r w:rsidR="006C577F" w:rsidRPr="006C577F">
        <w:rPr>
          <w:rStyle w:val="libFootnotenumChar"/>
          <w:rtl/>
        </w:rPr>
        <w:t>(1)</w:t>
      </w:r>
      <w:r w:rsidRPr="00463D87">
        <w:rPr>
          <w:rFonts w:hint="cs"/>
          <w:rtl/>
        </w:rPr>
        <w:t xml:space="preserve"> </w:t>
      </w:r>
      <w:r w:rsidRPr="00C9040A">
        <w:rPr>
          <w:rtl/>
          <w:lang w:bidi="fa-IR"/>
        </w:rPr>
        <w:t>:</w:t>
      </w:r>
      <w:r>
        <w:rPr>
          <w:rFonts w:hint="cs"/>
          <w:rtl/>
          <w:lang w:bidi="fa-IR"/>
        </w:rPr>
        <w:t xml:space="preserve"> </w:t>
      </w:r>
      <w:r w:rsidRPr="00C9040A">
        <w:rPr>
          <w:rtl/>
          <w:lang w:bidi="fa-IR"/>
        </w:rPr>
        <w:t xml:space="preserve">جُعِلْتُ فِدَاكَ </w:t>
      </w:r>
      <w:r w:rsidR="006C577F" w:rsidRPr="006C577F">
        <w:rPr>
          <w:rStyle w:val="libFootnotenumChar"/>
          <w:rtl/>
        </w:rPr>
        <w:t>(2)</w:t>
      </w:r>
      <w:r w:rsidRPr="00C9040A">
        <w:rPr>
          <w:rtl/>
          <w:lang w:bidi="fa-IR"/>
        </w:rPr>
        <w:t xml:space="preserve"> ، مَا حَوَّلَكَ إِلى هذَا الْمَنْزِلِ</w:t>
      </w:r>
      <w:r>
        <w:rPr>
          <w:rtl/>
          <w:lang w:bidi="fa-IR"/>
        </w:rPr>
        <w:t>؟</w:t>
      </w:r>
      <w:r w:rsidRPr="00C9040A">
        <w:rPr>
          <w:rtl/>
          <w:lang w:bidi="fa-IR"/>
        </w:rPr>
        <w:t xml:space="preserve"> قَالَ </w:t>
      </w:r>
      <w:r w:rsidR="006C577F" w:rsidRPr="006C577F">
        <w:rPr>
          <w:rStyle w:val="libFootnotenumChar"/>
          <w:rtl/>
        </w:rPr>
        <w:t>(3)</w:t>
      </w:r>
      <w:r w:rsidRPr="00C9040A">
        <w:rPr>
          <w:rtl/>
          <w:lang w:bidi="fa-IR"/>
        </w:rPr>
        <w:t xml:space="preserve"> : « طَلَبُ النُّزْهَةِ » </w:t>
      </w:r>
      <w:r w:rsidR="006C577F" w:rsidRPr="006C577F">
        <w:rPr>
          <w:rStyle w:val="libFootnotenumChar"/>
          <w:rtl/>
        </w:rPr>
        <w:t>(4)</w:t>
      </w:r>
      <w:r w:rsidRPr="00C9040A">
        <w:rPr>
          <w:rtl/>
          <w:lang w:bidi="fa-IR"/>
        </w:rPr>
        <w:t xml:space="preserve"> ف</w:t>
      </w:r>
      <w:r>
        <w:rPr>
          <w:rtl/>
          <w:lang w:bidi="fa-IR"/>
        </w:rPr>
        <w:t>َقُلْتُ : جُعِلْتُ فِدَاكَ ، أَ</w:t>
      </w:r>
      <w:r w:rsidRPr="00C9040A">
        <w:rPr>
          <w:rtl/>
          <w:lang w:bidi="fa-IR"/>
        </w:rPr>
        <w:t>لَا</w:t>
      </w:r>
      <w:r>
        <w:rPr>
          <w:rFonts w:hint="cs"/>
          <w:rtl/>
          <w:lang w:bidi="fa-IR"/>
        </w:rPr>
        <w:t xml:space="preserve"> </w:t>
      </w:r>
      <w:r w:rsidRPr="00C9040A">
        <w:rPr>
          <w:rtl/>
          <w:lang w:bidi="fa-IR"/>
        </w:rPr>
        <w:t>أَقُصُّ عَلَيْكَ دِينِي</w:t>
      </w:r>
      <w:r>
        <w:rPr>
          <w:rtl/>
          <w:lang w:bidi="fa-IR"/>
        </w:rPr>
        <w:t>؟</w:t>
      </w:r>
      <w:r w:rsidRPr="00C9040A">
        <w:rPr>
          <w:rtl/>
          <w:lang w:bidi="fa-IR"/>
        </w:rPr>
        <w:t xml:space="preserve"> فَقَالَ : « بَلى »</w:t>
      </w:r>
      <w:r>
        <w:rPr>
          <w:rtl/>
          <w:lang w:bidi="fa-IR"/>
        </w:rPr>
        <w:t>.</w:t>
      </w:r>
    </w:p>
    <w:p w:rsidR="008A74EB" w:rsidRPr="00C9040A" w:rsidRDefault="008A74EB" w:rsidP="008B7A50">
      <w:pPr>
        <w:pStyle w:val="libNormal"/>
        <w:rPr>
          <w:rtl/>
          <w:lang w:bidi="fa-IR"/>
        </w:rPr>
      </w:pPr>
      <w:r w:rsidRPr="00C9040A">
        <w:rPr>
          <w:rtl/>
          <w:lang w:bidi="fa-IR"/>
        </w:rPr>
        <w:t>قُلْتُ : أَدِينُ اللهَ بِشَهَادَةِ أَنْ لَا</w:t>
      </w:r>
      <w:r>
        <w:rPr>
          <w:rFonts w:hint="cs"/>
          <w:rtl/>
          <w:lang w:bidi="fa-IR"/>
        </w:rPr>
        <w:t xml:space="preserve"> </w:t>
      </w:r>
      <w:r w:rsidR="00A35FD9">
        <w:rPr>
          <w:rtl/>
          <w:lang w:bidi="fa-IR"/>
        </w:rPr>
        <w:t>إِلهَ إِل</w:t>
      </w:r>
      <w:r w:rsidR="00A35FD9">
        <w:rPr>
          <w:rFonts w:hint="cs"/>
          <w:rtl/>
          <w:lang w:bidi="fa-IR"/>
        </w:rPr>
        <w:t>َّ</w:t>
      </w:r>
      <w:r w:rsidR="00A35FD9">
        <w:rPr>
          <w:rtl/>
          <w:lang w:bidi="fa-IR"/>
        </w:rPr>
        <w:t>ا</w:t>
      </w:r>
      <w:r w:rsidRPr="00C9040A">
        <w:rPr>
          <w:rtl/>
          <w:lang w:bidi="fa-IR"/>
        </w:rPr>
        <w:t xml:space="preserve"> اللهُ وَحْدَهُ لَاشَرِيكَ لَهُ ، وَأَنَّ مُحَمَّداً عَبْدُهُ وَرَسُولُهُ </w:t>
      </w:r>
      <w:r w:rsidR="006C577F" w:rsidRPr="006C577F">
        <w:rPr>
          <w:rStyle w:val="libFootnotenumChar"/>
          <w:rtl/>
        </w:rPr>
        <w:t>(5)</w:t>
      </w:r>
      <w:r w:rsidRPr="00C9040A">
        <w:rPr>
          <w:rtl/>
          <w:lang w:bidi="fa-IR"/>
        </w:rPr>
        <w:t xml:space="preserve"> ، وَأَنَّ السَّاعَةَ آتِيَةٌ لَارَيْبَ فِيهَا ، وَأَنَّ اللهَ يَبْعَثُ مَنْ فِي الْقُبُورِ </w:t>
      </w:r>
      <w:r w:rsidR="006C577F" w:rsidRPr="006C577F">
        <w:rPr>
          <w:rStyle w:val="libFootnotenumChar"/>
          <w:rtl/>
        </w:rPr>
        <w:t>(6)</w:t>
      </w:r>
      <w:r w:rsidRPr="005B567D">
        <w:rPr>
          <w:rStyle w:val="libFootnotenumChar"/>
          <w:rtl/>
        </w:rPr>
        <w:t xml:space="preserve"> </w:t>
      </w:r>
      <w:r w:rsidRPr="00C9040A">
        <w:rPr>
          <w:rtl/>
          <w:lang w:bidi="fa-IR"/>
        </w:rPr>
        <w:t xml:space="preserve">، وَإِقَامِ الصَّلَاةِ ، وَإِيتَاءِ الزَّكَاةِ ، وَصَوْمِ شَهْرِ رَمَضَانَ ، وَحِجِّ الْبَيْتِ ، وَالْوَلَايَةِ لِعَلِيٍّ أَمِيرِ الْمُؤْمِنِينَ بَعْدَ رَسُولِ اللهِ </w:t>
      </w:r>
      <w:r w:rsidR="004A4E41" w:rsidRPr="004A4E41">
        <w:rPr>
          <w:rStyle w:val="libAlaemChar"/>
          <w:rFonts w:eastAsiaTheme="minorHAnsi"/>
          <w:rtl/>
        </w:rPr>
        <w:t>صلى‌الله‌عليه‌وآله</w:t>
      </w:r>
      <w:r w:rsidR="008B7A50" w:rsidRPr="00C9040A">
        <w:rPr>
          <w:rtl/>
          <w:lang w:bidi="fa-IR"/>
        </w:rPr>
        <w:t xml:space="preserve"> </w:t>
      </w:r>
      <w:r w:rsidRPr="00C9040A">
        <w:rPr>
          <w:rtl/>
          <w:lang w:bidi="fa-IR"/>
        </w:rPr>
        <w:t xml:space="preserve">، وَالْوَلَايَةِ لِلْحَسَنِ وَالْحُسَيْنِ ، وَالْوَلَايَةِ لِعَلِيِّ بْنِ الْحُسَيْنِ ، وَالْوَلَايَةِ لِمُحَمَّدِ بْنِ عَلِيٍّ وَلَكَ مِنْ بَعْدِهِ </w:t>
      </w:r>
      <w:r w:rsidR="006C577F" w:rsidRPr="006C577F">
        <w:rPr>
          <w:rStyle w:val="libFootnotenumChar"/>
          <w:rtl/>
        </w:rPr>
        <w:t>(7)</w:t>
      </w:r>
      <w:r>
        <w:rPr>
          <w:rtl/>
          <w:lang w:bidi="fa-IR"/>
        </w:rPr>
        <w:t xml:space="preserve"> </w:t>
      </w:r>
      <w:r w:rsidR="0084262C">
        <w:rPr>
          <w:rtl/>
          <w:lang w:bidi="fa-IR"/>
        </w:rPr>
        <w:t>-</w:t>
      </w:r>
      <w:r>
        <w:rPr>
          <w:rtl/>
          <w:lang w:bidi="fa-IR"/>
        </w:rPr>
        <w:t xml:space="preserve"> </w:t>
      </w:r>
      <w:r w:rsidRPr="00C9040A">
        <w:rPr>
          <w:rtl/>
          <w:lang w:bidi="fa-IR"/>
        </w:rPr>
        <w:t xml:space="preserve">صَلَوَاتُ اللهِ عَلَيْهِمْ </w:t>
      </w:r>
      <w:r w:rsidR="006C577F" w:rsidRPr="006C577F">
        <w:rPr>
          <w:rStyle w:val="libFootnotenumChar"/>
          <w:rtl/>
        </w:rPr>
        <w:t>(8)</w:t>
      </w:r>
      <w:r w:rsidRPr="00C9040A">
        <w:rPr>
          <w:rtl/>
          <w:lang w:bidi="fa-IR"/>
        </w:rPr>
        <w:t xml:space="preserve"> أَجْمَعِينَ</w:t>
      </w:r>
      <w:r>
        <w:rPr>
          <w:rtl/>
          <w:lang w:bidi="fa-IR"/>
        </w:rPr>
        <w:t xml:space="preserve"> </w:t>
      </w:r>
      <w:r w:rsidR="0084262C">
        <w:rPr>
          <w:rtl/>
          <w:lang w:bidi="fa-IR"/>
        </w:rPr>
        <w:t>-</w:t>
      </w:r>
      <w:r>
        <w:rPr>
          <w:rtl/>
          <w:lang w:bidi="fa-IR"/>
        </w:rPr>
        <w:t xml:space="preserve"> </w:t>
      </w:r>
      <w:r w:rsidRPr="00C9040A">
        <w:rPr>
          <w:rtl/>
          <w:lang w:bidi="fa-IR"/>
        </w:rPr>
        <w:t>وَأَنَّكُمْ أَئِمَّتِي ، عَلَيْهِ أَحْيَا وَعَلَيْهِ أَمُوتُ ، وأَدِينُ اللهَ بِهِ.</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407D6C" w:rsidTr="00407D6C">
        <w:tc>
          <w:tcPr>
            <w:tcW w:w="4006" w:type="dxa"/>
          </w:tcPr>
          <w:p w:rsidR="00407D6C" w:rsidRDefault="00407D6C" w:rsidP="004A4E41">
            <w:pPr>
              <w:pStyle w:val="libFootnote0"/>
              <w:rPr>
                <w:rtl/>
              </w:rPr>
            </w:pPr>
            <w:r>
              <w:rPr>
                <w:rtl/>
              </w:rPr>
              <w:t>(1).</w:t>
            </w:r>
            <w:r w:rsidRPr="00C9040A">
              <w:rPr>
                <w:rtl/>
              </w:rPr>
              <w:t xml:space="preserve"> في « ب » والمحاسن </w:t>
            </w:r>
            <w:r>
              <w:rPr>
                <w:rtl/>
              </w:rPr>
              <w:t>: -</w:t>
            </w:r>
            <w:r w:rsidRPr="00C9040A">
              <w:rPr>
                <w:rtl/>
              </w:rPr>
              <w:t xml:space="preserve"> « له »</w:t>
            </w:r>
            <w:r>
              <w:rPr>
                <w:rtl/>
              </w:rPr>
              <w:t>.</w:t>
            </w:r>
          </w:p>
        </w:tc>
        <w:tc>
          <w:tcPr>
            <w:tcW w:w="4006" w:type="dxa"/>
          </w:tcPr>
          <w:p w:rsidR="00407D6C" w:rsidRDefault="00407D6C" w:rsidP="004A4E41">
            <w:pPr>
              <w:pStyle w:val="libFootnote0"/>
              <w:rPr>
                <w:rtl/>
              </w:rPr>
            </w:pPr>
            <w:r>
              <w:rPr>
                <w:rtl/>
              </w:rPr>
              <w:t xml:space="preserve">(2). </w:t>
            </w:r>
            <w:r w:rsidR="00FC46B0">
              <w:rPr>
                <w:rtl/>
              </w:rPr>
              <w:t>في الوسائل،</w:t>
            </w:r>
            <w:r w:rsidRPr="00C9040A">
              <w:rPr>
                <w:rtl/>
              </w:rPr>
              <w:t xml:space="preserve">ح 15261 </w:t>
            </w:r>
            <w:r w:rsidR="00FC46B0">
              <w:rPr>
                <w:rtl/>
              </w:rPr>
              <w:t>:</w:t>
            </w:r>
            <w:r>
              <w:rPr>
                <w:rtl/>
              </w:rPr>
              <w:t>-</w:t>
            </w:r>
            <w:r w:rsidRPr="00C9040A">
              <w:rPr>
                <w:rtl/>
              </w:rPr>
              <w:t>« له : جعلت فداك »</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في « ص ، بر ، بس ، بف » والوافي والمحاسن : « فقال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النُّزْهة » : اسم من التنزّه ، بمعنى التباعد ، والمراد</w:t>
      </w:r>
      <w:r w:rsidR="008A74EB">
        <w:rPr>
          <w:rtl/>
        </w:rPr>
        <w:t xml:space="preserve"> </w:t>
      </w:r>
      <w:r w:rsidR="0084262C">
        <w:rPr>
          <w:rtl/>
        </w:rPr>
        <w:t>-</w:t>
      </w:r>
      <w:r w:rsidR="008A74EB">
        <w:rPr>
          <w:rtl/>
        </w:rPr>
        <w:t xml:space="preserve"> </w:t>
      </w:r>
      <w:r w:rsidR="00FC46B0">
        <w:rPr>
          <w:rtl/>
        </w:rPr>
        <w:t>على ما قاله العل</w:t>
      </w:r>
      <w:r w:rsidR="00FC46B0">
        <w:rPr>
          <w:rFonts w:hint="cs"/>
          <w:rtl/>
        </w:rPr>
        <w:t>ّ</w:t>
      </w:r>
      <w:r w:rsidR="00FC46B0">
        <w:rPr>
          <w:rtl/>
        </w:rPr>
        <w:t>ا</w:t>
      </w:r>
      <w:r w:rsidR="008A74EB" w:rsidRPr="00C9040A">
        <w:rPr>
          <w:rtl/>
        </w:rPr>
        <w:t>مة المازندراني</w:t>
      </w:r>
      <w:r w:rsidR="008A74EB">
        <w:rPr>
          <w:rtl/>
        </w:rPr>
        <w:t xml:space="preserve"> </w:t>
      </w:r>
      <w:r w:rsidR="0084262C">
        <w:rPr>
          <w:rtl/>
        </w:rPr>
        <w:t>-</w:t>
      </w:r>
      <w:r w:rsidR="008A74EB">
        <w:rPr>
          <w:rtl/>
        </w:rPr>
        <w:t xml:space="preserve"> </w:t>
      </w:r>
      <w:r w:rsidR="008A74EB" w:rsidRPr="00C9040A">
        <w:rPr>
          <w:rtl/>
        </w:rPr>
        <w:t>هو البعد عن الخلق ، أو المراد بها بُعد الخاطر عن الهمّ والحزن ؛ لكون مكانه نزهاً فيه سعة وماء وكلأ وخضر. أو اسم من التنزّه ، بمعنى الخروج إلى البساطين والخضر والرياض ، وقال ابن السكّيت : هو ممّا يضعه الناس في غير موضعه ، وقال الفيروزآبادي : هو غلط قبيح ، وقال أبوعبيدة : « ذهب أهل العلم في قول الناس : خرجوا يتنزّهون إلى البساتين ، أنّه غلط ، وهو عندي ليس بغلط ؛ لأنّ البساتين في كلّ بلد إنّما تكون خارج البلد ، فإذا أراد أحد أن يأتيها فقد أراد البعد عن المنازل والبيوت ، ثمّ كثر هذا حتّى استعملت النزهة في الخضر والجنان »</w:t>
      </w:r>
      <w:r w:rsidR="008A74EB">
        <w:rPr>
          <w:rtl/>
        </w:rPr>
        <w:t>.</w:t>
      </w:r>
    </w:p>
    <w:p w:rsidR="008A74EB" w:rsidRPr="00C9040A" w:rsidRDefault="00FC46B0" w:rsidP="004A4E41">
      <w:pPr>
        <w:pStyle w:val="libFootnote0"/>
        <w:rPr>
          <w:rtl/>
          <w:lang w:bidi="fa-IR"/>
        </w:rPr>
      </w:pPr>
      <w:r>
        <w:rPr>
          <w:rtl/>
        </w:rPr>
        <w:t>وقال العل</w:t>
      </w:r>
      <w:r>
        <w:rPr>
          <w:rFonts w:hint="cs"/>
          <w:rtl/>
        </w:rPr>
        <w:t>ّ</w:t>
      </w:r>
      <w:r>
        <w:rPr>
          <w:rtl/>
        </w:rPr>
        <w:t>ا</w:t>
      </w:r>
      <w:r w:rsidR="008A74EB" w:rsidRPr="00323A39">
        <w:rPr>
          <w:rtl/>
        </w:rPr>
        <w:t xml:space="preserve">مة المجلسي : « وأقول : كفى باستعماله في هذا المعنى ظاهراً ، شاهداً على صحّته ، بل فصاحته ... مع أنّهم </w:t>
      </w:r>
      <w:r w:rsidR="00117575" w:rsidRPr="00117575">
        <w:rPr>
          <w:rStyle w:val="libFootnoteAlaemChar"/>
          <w:rtl/>
        </w:rPr>
        <w:t>عليهم‌السلام</w:t>
      </w:r>
      <w:r w:rsidR="008A74EB" w:rsidRPr="00323A39">
        <w:rPr>
          <w:rtl/>
        </w:rPr>
        <w:t xml:space="preserve"> قد كانوا يتكلّمون بعرف المخاطبين ومصطلحاتهم تقريباً إلى أفهامهم ». راجع : </w:t>
      </w:r>
      <w:r w:rsidR="008A74EB" w:rsidRPr="00993B55">
        <w:rPr>
          <w:rStyle w:val="libFootnoteBoldChar"/>
          <w:rtl/>
        </w:rPr>
        <w:t>الصحاح</w:t>
      </w:r>
      <w:r w:rsidR="008A74EB" w:rsidRPr="00323A39">
        <w:rPr>
          <w:rtl/>
        </w:rPr>
        <w:t xml:space="preserve"> ، ج 6 ، ص 2253 ؛ </w:t>
      </w:r>
      <w:r w:rsidR="008A74EB" w:rsidRPr="00993B55">
        <w:rPr>
          <w:rStyle w:val="libFootnoteBoldChar"/>
          <w:rtl/>
        </w:rPr>
        <w:t>المصباح المنير</w:t>
      </w:r>
      <w:r w:rsidR="008A74EB" w:rsidRPr="00323A39">
        <w:rPr>
          <w:rtl/>
        </w:rPr>
        <w:t xml:space="preserve"> ، ص 601 ( نزه ) ؛ </w:t>
      </w:r>
      <w:r w:rsidR="008A74EB" w:rsidRPr="00993B55">
        <w:rPr>
          <w:rStyle w:val="libFootnoteBoldChar"/>
          <w:rtl/>
        </w:rPr>
        <w:t>شرح المازندراني</w:t>
      </w:r>
      <w:r w:rsidR="008A74EB" w:rsidRPr="00323A39">
        <w:rPr>
          <w:rtl/>
        </w:rPr>
        <w:t xml:space="preserve"> ، ج 8 ، ص 69 ؛ </w:t>
      </w:r>
      <w:r w:rsidR="008A74EB" w:rsidRPr="00993B55">
        <w:rPr>
          <w:rStyle w:val="libFootnoteBoldChar"/>
          <w:rtl/>
        </w:rPr>
        <w:t>مرآة العقول</w:t>
      </w:r>
      <w:r w:rsidR="008A74EB" w:rsidRPr="00323A39">
        <w:rPr>
          <w:rtl/>
        </w:rPr>
        <w:t xml:space="preserve"> ، ج 7 ، ص 118.</w:t>
      </w:r>
    </w:p>
    <w:p w:rsidR="008A74EB" w:rsidRPr="00C9040A" w:rsidRDefault="006C577F" w:rsidP="004A4E41">
      <w:pPr>
        <w:pStyle w:val="libFootnote0"/>
        <w:rPr>
          <w:rtl/>
          <w:lang w:bidi="fa-IR"/>
        </w:rPr>
      </w:pPr>
      <w:r>
        <w:rPr>
          <w:rtl/>
        </w:rPr>
        <w:t>(5).</w:t>
      </w:r>
      <w:r w:rsidR="008A74EB" w:rsidRPr="00C9040A">
        <w:rPr>
          <w:rtl/>
        </w:rPr>
        <w:t xml:space="preserve"> في الوسائل ، ح 4 : « رسول الله » بدل « عبده ورسوله »</w:t>
      </w:r>
      <w:r w:rsidR="008A74EB">
        <w:rPr>
          <w:rtl/>
        </w:rPr>
        <w:t>.</w:t>
      </w:r>
    </w:p>
    <w:p w:rsidR="008A74EB" w:rsidRPr="004A4E41" w:rsidRDefault="006C577F" w:rsidP="004A4E41">
      <w:pPr>
        <w:pStyle w:val="libFootnote0"/>
        <w:rPr>
          <w:rStyle w:val="libFootnote0Char"/>
          <w:rtl/>
        </w:rPr>
      </w:pPr>
      <w:r>
        <w:rPr>
          <w:rtl/>
        </w:rPr>
        <w:t>(6).</w:t>
      </w:r>
      <w:r w:rsidR="008A74EB">
        <w:rPr>
          <w:rtl/>
        </w:rPr>
        <w:t xml:space="preserve"> </w:t>
      </w:r>
      <w:r w:rsidR="008A74EB" w:rsidRPr="00C9040A">
        <w:rPr>
          <w:rtl/>
        </w:rPr>
        <w:t xml:space="preserve">في الوسائل ، ح 4 </w:t>
      </w:r>
      <w:r w:rsidR="008A74EB">
        <w:rPr>
          <w:rtl/>
        </w:rPr>
        <w:t xml:space="preserve">: </w:t>
      </w:r>
      <w:r w:rsidR="0084262C">
        <w:rPr>
          <w:rtl/>
        </w:rPr>
        <w:t>-</w:t>
      </w:r>
      <w:r w:rsidR="008A74EB" w:rsidRPr="00C9040A">
        <w:rPr>
          <w:rtl/>
        </w:rPr>
        <w:t xml:space="preserve"> « وأنّ الساعة</w:t>
      </w:r>
      <w:r w:rsidR="008A74EB">
        <w:rPr>
          <w:rtl/>
        </w:rPr>
        <w:t xml:space="preserve"> </w:t>
      </w:r>
      <w:r w:rsidR="0084262C">
        <w:rPr>
          <w:rtl/>
        </w:rPr>
        <w:t>-</w:t>
      </w:r>
      <w:r w:rsidR="008A74EB">
        <w:rPr>
          <w:rtl/>
        </w:rPr>
        <w:t xml:space="preserve"> </w:t>
      </w:r>
      <w:r w:rsidR="008A74EB" w:rsidRPr="00C9040A">
        <w:rPr>
          <w:rtl/>
        </w:rPr>
        <w:t>إلى</w:t>
      </w:r>
      <w:r w:rsidR="008A74EB">
        <w:rPr>
          <w:rtl/>
        </w:rPr>
        <w:t xml:space="preserve"> </w:t>
      </w:r>
      <w:r w:rsidR="0084262C">
        <w:rPr>
          <w:rtl/>
        </w:rPr>
        <w:t>-</w:t>
      </w:r>
      <w:r w:rsidR="008A74EB">
        <w:rPr>
          <w:rtl/>
        </w:rPr>
        <w:t xml:space="preserve"> </w:t>
      </w:r>
      <w:r w:rsidR="008A74EB" w:rsidRPr="00C9040A">
        <w:rPr>
          <w:rtl/>
        </w:rPr>
        <w:t>القبور »</w:t>
      </w:r>
      <w:r w:rsidR="008A74EB">
        <w:rPr>
          <w:rtl/>
        </w:rPr>
        <w:t>.</w:t>
      </w:r>
    </w:p>
    <w:tbl>
      <w:tblPr>
        <w:tblStyle w:val="TableGrid"/>
        <w:bidiVisual/>
        <w:tblW w:w="0" w:type="auto"/>
        <w:tblLook w:val="04A0" w:firstRow="1" w:lastRow="0" w:firstColumn="1" w:lastColumn="0" w:noHBand="0" w:noVBand="1"/>
      </w:tblPr>
      <w:tblGrid>
        <w:gridCol w:w="4006"/>
        <w:gridCol w:w="4006"/>
      </w:tblGrid>
      <w:tr w:rsidR="00FC46B0" w:rsidTr="00FC46B0">
        <w:tc>
          <w:tcPr>
            <w:tcW w:w="4006" w:type="dxa"/>
          </w:tcPr>
          <w:p w:rsidR="00FC46B0" w:rsidRDefault="00FC46B0" w:rsidP="004A4E41">
            <w:pPr>
              <w:pStyle w:val="libFootnote0"/>
              <w:rPr>
                <w:rtl/>
              </w:rPr>
            </w:pPr>
            <w:r>
              <w:rPr>
                <w:rtl/>
              </w:rPr>
              <w:t>(7).</w:t>
            </w:r>
            <w:r w:rsidRPr="00C9040A">
              <w:rPr>
                <w:rtl/>
              </w:rPr>
              <w:t xml:space="preserve"> في « بف » : « بعد »</w:t>
            </w:r>
            <w:r>
              <w:rPr>
                <w:rtl/>
              </w:rPr>
              <w:t>.</w:t>
            </w:r>
          </w:p>
        </w:tc>
        <w:tc>
          <w:tcPr>
            <w:tcW w:w="4006" w:type="dxa"/>
          </w:tcPr>
          <w:p w:rsidR="00FC46B0" w:rsidRDefault="00FC46B0" w:rsidP="004A4E41">
            <w:pPr>
              <w:pStyle w:val="libFootnote0"/>
              <w:rPr>
                <w:rtl/>
              </w:rPr>
            </w:pPr>
            <w:r>
              <w:rPr>
                <w:rtl/>
              </w:rPr>
              <w:t>(8).</w:t>
            </w:r>
            <w:r w:rsidRPr="00C9040A">
              <w:rPr>
                <w:rtl/>
              </w:rPr>
              <w:t xml:space="preserve"> في « ب ، ص ، ف » : « عليكم »</w:t>
            </w:r>
            <w:r>
              <w:rPr>
                <w:rtl/>
              </w:rPr>
              <w:t>.</w:t>
            </w:r>
          </w:p>
        </w:tc>
      </w:tr>
    </w:tbl>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lastRenderedPageBreak/>
        <w:t xml:space="preserve">فَقَالَ : « يَا عَمْرُو ، هذَا </w:t>
      </w:r>
      <w:r w:rsidR="006C577F" w:rsidRPr="006C577F">
        <w:rPr>
          <w:rStyle w:val="libFootnotenumChar"/>
          <w:rtl/>
        </w:rPr>
        <w:t>(1)</w:t>
      </w:r>
      <w:r w:rsidRPr="009E51F8">
        <w:rPr>
          <w:rFonts w:hint="cs"/>
          <w:rtl/>
        </w:rPr>
        <w:t xml:space="preserve"> </w:t>
      </w:r>
      <w:r w:rsidRPr="00C9040A">
        <w:rPr>
          <w:rtl/>
          <w:lang w:bidi="fa-IR"/>
        </w:rPr>
        <w:t xml:space="preserve">وَاللهِ دِينُ اللهِ وَدِينُ آبَائِيَ الَّذِي أَدِينُ اللهَ بِهِ فِي السِّرِّ وَالْعَلَانِيَةِ ، فَاتَّقِ </w:t>
      </w:r>
      <w:r w:rsidR="0055405D">
        <w:rPr>
          <w:rtl/>
          <w:lang w:bidi="fa-IR"/>
        </w:rPr>
        <w:t>اللهَ ، وَكُفَّ لِسَانَكَ إِل</w:t>
      </w:r>
      <w:r w:rsidR="0055405D">
        <w:rPr>
          <w:rFonts w:hint="cs"/>
          <w:rtl/>
          <w:lang w:bidi="fa-IR"/>
        </w:rPr>
        <w:t>َّ</w:t>
      </w:r>
      <w:r w:rsidR="0055405D">
        <w:rPr>
          <w:rtl/>
          <w:lang w:bidi="fa-IR"/>
        </w:rPr>
        <w:t>ا</w:t>
      </w:r>
      <w:r w:rsidRPr="00C9040A">
        <w:rPr>
          <w:rtl/>
          <w:lang w:bidi="fa-IR"/>
        </w:rPr>
        <w:t xml:space="preserve"> مِنْ خَيْرٍ ، وَلَا تَقُلْ : إِنِّي هَدَيْتُ نَفْسِي ، بَلِ اللهُ هَدَاكَ ، فَأَدِّ شُكْرَ مَا أَنْعَمَ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بِهِ عَلَيْكَ ، وَلَا تَكُنْ مِمَّنْ إِذَا أَقْبَلَ طُعِنَ فِي عَيْنِهِ </w:t>
      </w:r>
      <w:r w:rsidR="006C577F" w:rsidRPr="006C577F">
        <w:rPr>
          <w:rStyle w:val="libFootnotenumChar"/>
          <w:rtl/>
        </w:rPr>
        <w:t>(2)</w:t>
      </w:r>
      <w:r w:rsidRPr="00C9040A">
        <w:rPr>
          <w:rtl/>
          <w:lang w:bidi="fa-IR"/>
        </w:rPr>
        <w:t xml:space="preserve"> ؛ وَإِذَا أَدْبَرَ طُعِنَ فِي قَفَاهُ </w:t>
      </w:r>
      <w:r w:rsidR="006C577F" w:rsidRPr="006C577F">
        <w:rPr>
          <w:rStyle w:val="libFootnotenumChar"/>
          <w:rtl/>
        </w:rPr>
        <w:t>(3)</w:t>
      </w:r>
      <w:r w:rsidRPr="00C9040A">
        <w:rPr>
          <w:rtl/>
          <w:lang w:bidi="fa-IR"/>
        </w:rPr>
        <w:t xml:space="preserve"> ، وَلَا تَحْمِلِ النَّاسَ عَلى كَاهِلِكَ </w:t>
      </w:r>
      <w:r w:rsidR="006C577F" w:rsidRPr="006C577F">
        <w:rPr>
          <w:rStyle w:val="libFootnotenumChar"/>
          <w:rtl/>
        </w:rPr>
        <w:t>(4)</w:t>
      </w:r>
      <w:r w:rsidRPr="00C9040A">
        <w:rPr>
          <w:rtl/>
          <w:lang w:bidi="fa-IR"/>
        </w:rPr>
        <w:t xml:space="preserve"> ؛ فَإِنَّكَ أَوْشَكَ</w:t>
      </w:r>
      <w:r>
        <w:rPr>
          <w:rtl/>
          <w:lang w:bidi="fa-IR"/>
        </w:rPr>
        <w:t xml:space="preserve"> </w:t>
      </w:r>
      <w:r w:rsidR="0084262C">
        <w:rPr>
          <w:rtl/>
          <w:lang w:bidi="fa-IR"/>
        </w:rPr>
        <w:t>-</w:t>
      </w:r>
      <w:r>
        <w:rPr>
          <w:rtl/>
          <w:lang w:bidi="fa-IR"/>
        </w:rPr>
        <w:t xml:space="preserve"> </w:t>
      </w:r>
      <w:r w:rsidRPr="00C9040A">
        <w:rPr>
          <w:rtl/>
          <w:lang w:bidi="fa-IR"/>
        </w:rPr>
        <w:t xml:space="preserve">إِنْ </w:t>
      </w:r>
      <w:r w:rsidR="006C577F" w:rsidRPr="006C577F">
        <w:rPr>
          <w:rStyle w:val="libFootnotenumChar"/>
          <w:rtl/>
        </w:rPr>
        <w:t>(5)</w:t>
      </w:r>
      <w:r w:rsidRPr="00C9040A">
        <w:rPr>
          <w:rtl/>
          <w:lang w:bidi="fa-IR"/>
        </w:rPr>
        <w:t xml:space="preserve"> حَمَلْتَ النَّاسَ عَلى كَاهِلِكَ</w:t>
      </w:r>
      <w:r>
        <w:rPr>
          <w:rtl/>
          <w:lang w:bidi="fa-IR"/>
        </w:rPr>
        <w:t xml:space="preserve"> </w:t>
      </w:r>
      <w:r w:rsidR="0084262C">
        <w:rPr>
          <w:rtl/>
          <w:lang w:bidi="fa-IR"/>
        </w:rPr>
        <w:t>-</w:t>
      </w:r>
      <w:r>
        <w:rPr>
          <w:rtl/>
          <w:lang w:bidi="fa-IR"/>
        </w:rPr>
        <w:t xml:space="preserve"> </w:t>
      </w:r>
      <w:r w:rsidRPr="00C9040A">
        <w:rPr>
          <w:rtl/>
          <w:lang w:bidi="fa-IR"/>
        </w:rPr>
        <w:t xml:space="preserve">أَنْ يُصَدِّعُوا </w:t>
      </w:r>
      <w:r w:rsidR="006C577F" w:rsidRPr="006C577F">
        <w:rPr>
          <w:rStyle w:val="libFootnotenumChar"/>
          <w:rtl/>
        </w:rPr>
        <w:t>(6)</w:t>
      </w:r>
      <w:r w:rsidRPr="00C9040A">
        <w:rPr>
          <w:rtl/>
          <w:lang w:bidi="fa-IR"/>
        </w:rPr>
        <w:t xml:space="preserve">شَعَبَ </w:t>
      </w:r>
      <w:r w:rsidR="006C577F" w:rsidRPr="006C577F">
        <w:rPr>
          <w:rStyle w:val="libFootnotenumChar"/>
          <w:rtl/>
        </w:rPr>
        <w:t>(7)</w:t>
      </w:r>
      <w:r w:rsidRPr="00C9040A">
        <w:rPr>
          <w:rtl/>
          <w:lang w:bidi="fa-IR"/>
        </w:rPr>
        <w:t xml:space="preserve"> كَاهِلِكَ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Normal"/>
        <w:rPr>
          <w:rtl/>
          <w:lang w:bidi="fa-IR"/>
        </w:rPr>
      </w:pPr>
      <w:r w:rsidRPr="00195EC6">
        <w:rPr>
          <w:rtl/>
        </w:rPr>
        <w:t>1504</w:t>
      </w:r>
      <w:r w:rsidRPr="00261CB0">
        <w:rPr>
          <w:rStyle w:val="libBold2Char"/>
          <w:rtl/>
        </w:rPr>
        <w:t xml:space="preserve"> / 15.</w:t>
      </w:r>
      <w:r w:rsidRPr="00C9040A">
        <w:rPr>
          <w:rtl/>
          <w:lang w:bidi="fa-IR"/>
        </w:rPr>
        <w:t xml:space="preserve"> مُحَمَّدُ بْنُ يَحْيى ، عَنْ أَحْمَدَ بْنِ مُحَمَّدٍ ، عَنْ عَلِيِّ بْنِ النُّعْمَانِ ، عَنِ ابْنِ مُسْكَانَ ، عَنْ سُلَيْمَانَ بْنِ خَالِدٍ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w:t>
      </w:r>
      <w:r w:rsidR="006C577F" w:rsidRPr="006C577F">
        <w:rPr>
          <w:rStyle w:val="libFootnotenumChar"/>
          <w:rtl/>
        </w:rPr>
        <w:t>(9)</w:t>
      </w:r>
      <w:r>
        <w:rPr>
          <w:rtl/>
          <w:lang w:bidi="fa-IR"/>
        </w:rPr>
        <w:t xml:space="preserve"> : « أَ</w:t>
      </w:r>
      <w:r w:rsidRPr="00C9040A">
        <w:rPr>
          <w:rtl/>
          <w:lang w:bidi="fa-IR"/>
        </w:rPr>
        <w:t>لَا</w:t>
      </w:r>
      <w:r>
        <w:rPr>
          <w:rFonts w:hint="cs"/>
          <w:rtl/>
          <w:lang w:bidi="fa-IR"/>
        </w:rPr>
        <w:t xml:space="preserve"> </w:t>
      </w:r>
      <w:r w:rsidRPr="00C9040A">
        <w:rPr>
          <w:rtl/>
          <w:lang w:bidi="fa-IR"/>
        </w:rPr>
        <w:t xml:space="preserve">أُخْبِرُكَ بِالْإِسْلَامِ </w:t>
      </w:r>
      <w:r w:rsidR="006C577F" w:rsidRPr="006C577F">
        <w:rPr>
          <w:rStyle w:val="libFootnotenumChar"/>
          <w:rtl/>
        </w:rPr>
        <w:t>(10)</w:t>
      </w:r>
      <w:r w:rsidRPr="00C9040A">
        <w:rPr>
          <w:rtl/>
          <w:lang w:bidi="fa-IR"/>
        </w:rPr>
        <w:t xml:space="preserve"> : أَصْلِهِ </w:t>
      </w:r>
      <w:r w:rsidR="006C577F" w:rsidRPr="006C577F">
        <w:rPr>
          <w:rStyle w:val="libFootnotenumChar"/>
          <w:rtl/>
        </w:rPr>
        <w:t>(11)</w:t>
      </w:r>
      <w:r w:rsidRPr="00C9040A">
        <w:rPr>
          <w:rtl/>
          <w:lang w:bidi="fa-IR"/>
        </w:rPr>
        <w:t xml:space="preserve"> وَفَرْعِهِ ، وَذِرْوَةِ سَنَامِهِ</w:t>
      </w:r>
      <w:r>
        <w:rPr>
          <w:rtl/>
          <w:lang w:bidi="fa-IR"/>
        </w:rPr>
        <w:t>؟</w:t>
      </w:r>
      <w:r w:rsidRPr="00C9040A">
        <w:rPr>
          <w:rtl/>
          <w:lang w:bidi="fa-IR"/>
        </w:rPr>
        <w:t xml:space="preserve"> » قُلْتُ </w:t>
      </w:r>
      <w:r w:rsidR="006C577F" w:rsidRPr="006C577F">
        <w:rPr>
          <w:rStyle w:val="libFootnotenumChar"/>
          <w:rtl/>
        </w:rPr>
        <w:t>(12)</w:t>
      </w:r>
      <w:r w:rsidRPr="00C9040A">
        <w:rPr>
          <w:rtl/>
          <w:lang w:bidi="fa-IR"/>
        </w:rPr>
        <w:t xml:space="preserve"> : بَلى جُعِلْتُ فِدَاكَ ، قَالَ </w:t>
      </w:r>
      <w:r w:rsidRPr="005B567D">
        <w:rPr>
          <w:rStyle w:val="libFootnotenumChar"/>
          <w:rtl/>
        </w:rPr>
        <w:t>(13)</w:t>
      </w:r>
      <w:r w:rsidRPr="00C9040A">
        <w:rPr>
          <w:rtl/>
          <w:lang w:bidi="fa-IR"/>
        </w:rPr>
        <w:t xml:space="preserve"> : « أَمَّا أَصْلُهُ فَالصَّلَاةُ ، وَفَرْعُهُ الزَّكَاةُ ، وَذِرْوَةُ سَنَامِهِ‌</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55405D" w:rsidTr="0055405D">
        <w:tc>
          <w:tcPr>
            <w:tcW w:w="4006" w:type="dxa"/>
          </w:tcPr>
          <w:p w:rsidR="0055405D" w:rsidRDefault="0055405D" w:rsidP="004A4E41">
            <w:pPr>
              <w:pStyle w:val="libFootnote0"/>
              <w:rPr>
                <w:rtl/>
              </w:rPr>
            </w:pPr>
            <w:r>
              <w:rPr>
                <w:rtl/>
              </w:rPr>
              <w:t>(1).</w:t>
            </w:r>
            <w:r w:rsidRPr="00C9040A">
              <w:rPr>
                <w:rtl/>
              </w:rPr>
              <w:t xml:space="preserve"> في « بر ، بف » : « هذه »</w:t>
            </w:r>
            <w:r>
              <w:rPr>
                <w:rtl/>
              </w:rPr>
              <w:t>.</w:t>
            </w:r>
          </w:p>
        </w:tc>
        <w:tc>
          <w:tcPr>
            <w:tcW w:w="4006" w:type="dxa"/>
          </w:tcPr>
          <w:p w:rsidR="0055405D" w:rsidRDefault="0055405D" w:rsidP="004A4E41">
            <w:pPr>
              <w:pStyle w:val="libFootnote0"/>
              <w:rPr>
                <w:rtl/>
              </w:rPr>
            </w:pPr>
            <w:r>
              <w:rPr>
                <w:rtl/>
              </w:rPr>
              <w:t xml:space="preserve">(2). </w:t>
            </w:r>
            <w:r w:rsidRPr="00C9040A">
              <w:rPr>
                <w:rtl/>
              </w:rPr>
              <w:t>في « بر » : « عينيه »</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في </w:t>
      </w:r>
      <w:r w:rsidR="008A74EB" w:rsidRPr="00993B55">
        <w:rPr>
          <w:rStyle w:val="libFootnoteBoldChar"/>
          <w:rtl/>
        </w:rPr>
        <w:t>شرح المازندراني</w:t>
      </w:r>
      <w:r w:rsidR="008A74EB" w:rsidRPr="00C9040A">
        <w:rPr>
          <w:rtl/>
        </w:rPr>
        <w:t xml:space="preserve"> : « هذا في الحقيقة أمر بحسن المعاشرة مع الخلق وبالتقيّة في موضعها ، أي كن بحسن صفاتك ممّن يمدحه الناس في حضوره وغيبته ، ولاتكن بشرارة ذاتك وقبح صفاتك ممّن يذمّونه فيهما. وفيه دلالة على وجوب التجنّب عن المطاعن بقدر الإمكان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w:t>
      </w:r>
      <w:r w:rsidR="008A74EB" w:rsidRPr="00993B55">
        <w:rPr>
          <w:rStyle w:val="libFootnoteBoldChar"/>
          <w:rtl/>
        </w:rPr>
        <w:t>مرآة العقول</w:t>
      </w:r>
      <w:r w:rsidR="008A74EB" w:rsidRPr="00C9040A">
        <w:rPr>
          <w:rtl/>
        </w:rPr>
        <w:t xml:space="preserve"> : « أي لا تسلّط الناس على نفسك بترك التقيّة ، أو لا تحملهم على نفسك بكثرة المداهنة والمداراة معهم بحيث تتضرّر بذلك »</w:t>
      </w:r>
      <w:r w:rsidR="008A74EB">
        <w:rPr>
          <w:rtl/>
        </w:rPr>
        <w:t>.</w:t>
      </w:r>
      <w:r w:rsidR="008A74EB" w:rsidRPr="00C9040A">
        <w:rPr>
          <w:rtl/>
        </w:rPr>
        <w:t xml:space="preserve"> </w:t>
      </w:r>
      <w:r w:rsidR="008A74EB">
        <w:rPr>
          <w:rtl/>
        </w:rPr>
        <w:t>و «</w:t>
      </w:r>
      <w:r w:rsidR="008A74EB" w:rsidRPr="00C9040A">
        <w:rPr>
          <w:rtl/>
        </w:rPr>
        <w:t xml:space="preserve"> الكاهل » : مقدّم أعلى الظهر ما يلي العُنُق ، وهو الثلث الأعلى ، وفيه ستُّ فقرات. راجع : </w:t>
      </w:r>
      <w:r w:rsidR="008A74EB" w:rsidRPr="00993B55">
        <w:rPr>
          <w:rStyle w:val="libFootnoteBoldChar"/>
          <w:rtl/>
        </w:rPr>
        <w:t>المصباح المنير</w:t>
      </w:r>
      <w:r w:rsidR="008A74EB" w:rsidRPr="00C9040A">
        <w:rPr>
          <w:rtl/>
        </w:rPr>
        <w:t xml:space="preserve"> ، ص 543 ( كهل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ص ، ف » : « إذا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 الصَّدْع » : الشَّقّ. </w:t>
      </w:r>
      <w:r w:rsidR="008A74EB" w:rsidRPr="00993B55">
        <w:rPr>
          <w:rStyle w:val="libFootnoteBoldChar"/>
          <w:rtl/>
        </w:rPr>
        <w:t>الصحاح</w:t>
      </w:r>
      <w:r w:rsidR="008A74EB" w:rsidRPr="00C9040A">
        <w:rPr>
          <w:rtl/>
        </w:rPr>
        <w:t xml:space="preserve"> ، ج 3 ، ص 1241 ( صدع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 الشَعَب » بالتحريك : بُعد ما بين المنكبين. </w:t>
      </w:r>
      <w:r w:rsidR="008A74EB" w:rsidRPr="00993B55">
        <w:rPr>
          <w:rStyle w:val="libFootnoteBoldChar"/>
          <w:rtl/>
        </w:rPr>
        <w:t>القاموس المحيط</w:t>
      </w:r>
      <w:r w:rsidR="008A74EB" w:rsidRPr="00C9040A">
        <w:rPr>
          <w:rtl/>
        </w:rPr>
        <w:t xml:space="preserve"> ، ج 1 ، ص 184 ( شعب )</w:t>
      </w:r>
      <w:r w:rsidR="008A74EB">
        <w:rPr>
          <w:rtl/>
        </w:rPr>
        <w:t>.</w:t>
      </w:r>
    </w:p>
    <w:p w:rsidR="008A74EB" w:rsidRPr="004A4E41" w:rsidRDefault="006C577F" w:rsidP="004A4E41">
      <w:pPr>
        <w:pStyle w:val="libFootnote0"/>
        <w:rPr>
          <w:rStyle w:val="libFootnote0Char"/>
          <w:rtl/>
        </w:rPr>
      </w:pPr>
      <w:r>
        <w:rPr>
          <w:rtl/>
        </w:rPr>
        <w:t>(8).</w:t>
      </w:r>
      <w:r w:rsidR="008A74EB" w:rsidRPr="00C9040A">
        <w:rPr>
          <w:rtl/>
        </w:rPr>
        <w:t xml:space="preserve"> </w:t>
      </w:r>
      <w:r w:rsidR="008A74EB" w:rsidRPr="00993B55">
        <w:rPr>
          <w:rStyle w:val="libFootnoteBoldChar"/>
          <w:rtl/>
        </w:rPr>
        <w:t>المحاسن</w:t>
      </w:r>
      <w:r w:rsidR="008A74EB" w:rsidRPr="00C9040A">
        <w:rPr>
          <w:rtl/>
        </w:rPr>
        <w:t xml:space="preserve"> ، ص 622 ، كتاب المرافق ، ح 68 ، إلى قوله : « طلب النزهة » ؛ </w:t>
      </w:r>
      <w:r w:rsidR="008A74EB" w:rsidRPr="00993B55">
        <w:rPr>
          <w:rStyle w:val="libFootnoteBoldChar"/>
          <w:rtl/>
        </w:rPr>
        <w:t>رجال الكشّي</w:t>
      </w:r>
      <w:r w:rsidR="008A74EB" w:rsidRPr="00C9040A">
        <w:rPr>
          <w:rtl/>
        </w:rPr>
        <w:t xml:space="preserve"> ، ص 418 ، ح 792 ، وفيهما بسند آخر عن صفوان بن يحيى</w:t>
      </w:r>
      <w:r w:rsidR="00B15B7D">
        <w:rPr>
          <w:rFonts w:hint="cs"/>
          <w:rtl/>
        </w:rPr>
        <w:t>.</w:t>
      </w:r>
      <w:r w:rsidR="008A74EB" w:rsidRPr="00993B55">
        <w:rPr>
          <w:rStyle w:val="libFootnoteBoldChar"/>
          <w:rtl/>
        </w:rPr>
        <w:t>الوافي</w:t>
      </w:r>
      <w:r w:rsidR="008A74EB" w:rsidRPr="00C9040A">
        <w:rPr>
          <w:rtl/>
        </w:rPr>
        <w:t xml:space="preserve"> ، ج 4 ، ص 95 ، ح 1705 ؛ </w:t>
      </w:r>
      <w:r w:rsidR="008A74EB" w:rsidRPr="00993B55">
        <w:rPr>
          <w:rStyle w:val="libFootnoteBoldChar"/>
          <w:rtl/>
        </w:rPr>
        <w:t>الوسائل</w:t>
      </w:r>
      <w:r w:rsidR="008A74EB" w:rsidRPr="00C9040A">
        <w:rPr>
          <w:rtl/>
        </w:rPr>
        <w:t xml:space="preserve"> ، ج 1 ، ص 15 ، ح 4 ، من قوله : « ألا أقصّ عليك ديني » إلى قوله : « والولاية لمحمّد بن عليّ » ؛ </w:t>
      </w:r>
      <w:r w:rsidR="008A74EB" w:rsidRPr="00993B55">
        <w:rPr>
          <w:rStyle w:val="libFootnoteBoldChar"/>
          <w:rtl/>
        </w:rPr>
        <w:t>وفيه</w:t>
      </w:r>
      <w:r w:rsidR="008A74EB" w:rsidRPr="00C9040A">
        <w:rPr>
          <w:rtl/>
        </w:rPr>
        <w:t xml:space="preserve"> ، ج 5 ، ص 339 ، ذيل ح 6733 ؛ وج 11 ، ص 460 ، ح 15261 ، إلى قوله : « طلب النزهة » ؛ </w:t>
      </w:r>
      <w:r w:rsidR="008A74EB" w:rsidRPr="00993B55">
        <w:rPr>
          <w:rStyle w:val="libFootnoteBoldChar"/>
          <w:rtl/>
        </w:rPr>
        <w:t>البحار</w:t>
      </w:r>
      <w:r w:rsidR="008A74EB" w:rsidRPr="00C9040A">
        <w:rPr>
          <w:rtl/>
        </w:rPr>
        <w:t xml:space="preserve"> ، ج 69 ، ص 6 ، ذيل ح 7.</w:t>
      </w:r>
    </w:p>
    <w:tbl>
      <w:tblPr>
        <w:tblStyle w:val="TableGrid"/>
        <w:bidiVisual/>
        <w:tblW w:w="0" w:type="auto"/>
        <w:tblLook w:val="04A0" w:firstRow="1" w:lastRow="0" w:firstColumn="1" w:lastColumn="0" w:noHBand="0" w:noVBand="1"/>
      </w:tblPr>
      <w:tblGrid>
        <w:gridCol w:w="4006"/>
        <w:gridCol w:w="4006"/>
      </w:tblGrid>
      <w:tr w:rsidR="003F20A1" w:rsidTr="003F20A1">
        <w:tc>
          <w:tcPr>
            <w:tcW w:w="4006" w:type="dxa"/>
          </w:tcPr>
          <w:p w:rsidR="003F20A1" w:rsidRDefault="003F20A1" w:rsidP="004A4E41">
            <w:pPr>
              <w:pStyle w:val="libFootnote0"/>
              <w:rPr>
                <w:rtl/>
              </w:rPr>
            </w:pPr>
            <w:r>
              <w:rPr>
                <w:rtl/>
              </w:rPr>
              <w:t>(9).</w:t>
            </w:r>
            <w:r w:rsidRPr="00C9040A">
              <w:rPr>
                <w:rtl/>
              </w:rPr>
              <w:t xml:space="preserve"> في المحاسن : + « قال »</w:t>
            </w:r>
            <w:r>
              <w:rPr>
                <w:rtl/>
              </w:rPr>
              <w:t>.</w:t>
            </w:r>
          </w:p>
        </w:tc>
        <w:tc>
          <w:tcPr>
            <w:tcW w:w="4006" w:type="dxa"/>
          </w:tcPr>
          <w:p w:rsidR="003F20A1" w:rsidRDefault="003F20A1" w:rsidP="004A4E41">
            <w:pPr>
              <w:pStyle w:val="libFootnote0"/>
              <w:rPr>
                <w:rtl/>
              </w:rPr>
            </w:pPr>
            <w:r>
              <w:rPr>
                <w:rtl/>
              </w:rPr>
              <w:t>(10). في «ج ، ز ، ص» والمحاسن:«بأصل الإسلام</w:t>
            </w:r>
            <w:r w:rsidRPr="00C9040A">
              <w:rPr>
                <w:rtl/>
              </w:rPr>
              <w:t>»</w:t>
            </w:r>
            <w:r>
              <w:rPr>
                <w:rtl/>
              </w:rPr>
              <w:t>.</w:t>
            </w:r>
          </w:p>
        </w:tc>
      </w:tr>
      <w:tr w:rsidR="003F20A1" w:rsidTr="003F20A1">
        <w:tc>
          <w:tcPr>
            <w:tcW w:w="4006" w:type="dxa"/>
          </w:tcPr>
          <w:p w:rsidR="003F20A1" w:rsidRDefault="003F20A1" w:rsidP="004A4E41">
            <w:pPr>
              <w:pStyle w:val="libFootnote0"/>
              <w:rPr>
                <w:rtl/>
              </w:rPr>
            </w:pPr>
            <w:r>
              <w:rPr>
                <w:rtl/>
              </w:rPr>
              <w:t>(11).</w:t>
            </w:r>
            <w:r w:rsidRPr="00C9040A">
              <w:rPr>
                <w:rtl/>
              </w:rPr>
              <w:t xml:space="preserve"> في « ج » </w:t>
            </w:r>
            <w:r>
              <w:rPr>
                <w:rtl/>
              </w:rPr>
              <w:t>: -</w:t>
            </w:r>
            <w:r w:rsidRPr="00C9040A">
              <w:rPr>
                <w:rtl/>
              </w:rPr>
              <w:t xml:space="preserve"> « أصله »</w:t>
            </w:r>
            <w:r>
              <w:rPr>
                <w:rtl/>
              </w:rPr>
              <w:t>.</w:t>
            </w:r>
          </w:p>
        </w:tc>
        <w:tc>
          <w:tcPr>
            <w:tcW w:w="4006" w:type="dxa"/>
          </w:tcPr>
          <w:p w:rsidR="003F20A1" w:rsidRDefault="003F20A1" w:rsidP="004A4E41">
            <w:pPr>
              <w:pStyle w:val="libFootnote0"/>
              <w:rPr>
                <w:rtl/>
              </w:rPr>
            </w:pPr>
            <w:r>
              <w:rPr>
                <w:rtl/>
              </w:rPr>
              <w:t>(12).</w:t>
            </w:r>
            <w:r w:rsidRPr="00C9040A">
              <w:rPr>
                <w:rtl/>
              </w:rPr>
              <w:t xml:space="preserve"> في المحاسن : « قال : قلت »</w:t>
            </w:r>
            <w:r>
              <w:rPr>
                <w:rtl/>
              </w:rPr>
              <w:t>.</w:t>
            </w:r>
          </w:p>
        </w:tc>
      </w:tr>
    </w:tbl>
    <w:p w:rsidR="008A74EB" w:rsidRPr="00C9040A" w:rsidRDefault="008A74EB" w:rsidP="004A4E41">
      <w:pPr>
        <w:pStyle w:val="libFootnote0"/>
        <w:rPr>
          <w:rtl/>
          <w:lang w:bidi="fa-IR"/>
        </w:rPr>
      </w:pPr>
      <w:r>
        <w:rPr>
          <w:rtl/>
        </w:rPr>
        <w:t>(13)</w:t>
      </w:r>
      <w:r w:rsidRPr="00C9040A">
        <w:rPr>
          <w:rtl/>
        </w:rPr>
        <w:t xml:space="preserve"> في « ص » : « فقال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الْجِهَادُ </w:t>
      </w:r>
      <w:r w:rsidR="006C577F" w:rsidRPr="006C577F">
        <w:rPr>
          <w:rStyle w:val="libFootnotenumChar"/>
          <w:rtl/>
        </w:rPr>
        <w:t>(1)</w:t>
      </w:r>
      <w:r w:rsidRPr="00C9040A">
        <w:rPr>
          <w:rtl/>
          <w:lang w:bidi="fa-IR"/>
        </w:rPr>
        <w:t>»</w:t>
      </w:r>
      <w:r>
        <w:rPr>
          <w:rtl/>
          <w:lang w:bidi="fa-IR"/>
        </w:rPr>
        <w:t>.</w:t>
      </w:r>
    </w:p>
    <w:p w:rsidR="008A74EB" w:rsidRPr="00C9040A" w:rsidRDefault="008A74EB" w:rsidP="00AF22A6">
      <w:pPr>
        <w:pStyle w:val="libNormal"/>
        <w:rPr>
          <w:rtl/>
          <w:lang w:bidi="fa-IR"/>
        </w:rPr>
      </w:pPr>
      <w:r w:rsidRPr="00C9040A">
        <w:rPr>
          <w:rtl/>
          <w:lang w:bidi="fa-IR"/>
        </w:rPr>
        <w:t xml:space="preserve">ثُمَّ </w:t>
      </w:r>
      <w:r w:rsidR="006C577F" w:rsidRPr="006C577F">
        <w:rPr>
          <w:rStyle w:val="libFootnotenumChar"/>
          <w:rtl/>
        </w:rPr>
        <w:t>(2)</w:t>
      </w:r>
      <w:r w:rsidRPr="00C9040A">
        <w:rPr>
          <w:rtl/>
          <w:lang w:bidi="fa-IR"/>
        </w:rPr>
        <w:t xml:space="preserve"> قَالَ : « إِنْ شِئْتَ أَخْبَرْتُكَ بِأَبْوَابِ الْخَيْرِ</w:t>
      </w:r>
      <w:r>
        <w:rPr>
          <w:rtl/>
          <w:lang w:bidi="fa-IR"/>
        </w:rPr>
        <w:t>؟</w:t>
      </w:r>
      <w:r w:rsidRPr="00C9040A">
        <w:rPr>
          <w:rtl/>
          <w:lang w:bidi="fa-IR"/>
        </w:rPr>
        <w:t xml:space="preserve"> » قُلْتُ : نَعَمْ جُعِلْتُ فِدَاكَ </w:t>
      </w:r>
      <w:r w:rsidR="006C577F" w:rsidRPr="006C577F">
        <w:rPr>
          <w:rStyle w:val="libFootnotenumChar"/>
          <w:rtl/>
        </w:rPr>
        <w:t>(3)</w:t>
      </w:r>
      <w:r w:rsidRPr="00C9040A">
        <w:rPr>
          <w:rtl/>
          <w:lang w:bidi="fa-IR"/>
        </w:rPr>
        <w:t xml:space="preserve"> ، قَالَ : « الصَّوْمُ جُنَّةٌ مِنَ النَّارِ </w:t>
      </w:r>
      <w:r w:rsidR="006C577F" w:rsidRPr="006C577F">
        <w:rPr>
          <w:rStyle w:val="libFootnotenumChar"/>
          <w:rtl/>
        </w:rPr>
        <w:t>(4)</w:t>
      </w:r>
      <w:r w:rsidRPr="00C9040A">
        <w:rPr>
          <w:rtl/>
          <w:lang w:bidi="fa-IR"/>
        </w:rPr>
        <w:t xml:space="preserve"> ، وَالصَّدَقَةُ تَذْهَبُ بِالْخَطِيئَةِ ، وَقِيَامُ الرَّجُلِ فِي جَوْفِ اللَّيْلِ بِذِكْرِ </w:t>
      </w:r>
      <w:r w:rsidR="006C577F" w:rsidRPr="006C577F">
        <w:rPr>
          <w:rStyle w:val="libFootnotenumChar"/>
          <w:rtl/>
        </w:rPr>
        <w:t>(5)</w:t>
      </w:r>
      <w:r w:rsidRPr="00C9040A">
        <w:rPr>
          <w:rtl/>
          <w:lang w:bidi="fa-IR"/>
        </w:rPr>
        <w:t xml:space="preserve"> اللهِ »</w:t>
      </w:r>
      <w:r>
        <w:rPr>
          <w:rtl/>
          <w:lang w:bidi="fa-IR"/>
        </w:rPr>
        <w:t>.</w:t>
      </w:r>
      <w:r>
        <w:rPr>
          <w:rFonts w:hint="cs"/>
          <w:rtl/>
          <w:lang w:bidi="fa-IR"/>
        </w:rPr>
        <w:t xml:space="preserve"> </w:t>
      </w:r>
      <w:r w:rsidRPr="00C9040A">
        <w:rPr>
          <w:rtl/>
          <w:lang w:bidi="fa-IR"/>
        </w:rPr>
        <w:t xml:space="preserve">ثُمَّ قَرَأَ : </w:t>
      </w:r>
      <w:r w:rsidRPr="0003660B">
        <w:rPr>
          <w:rStyle w:val="libAlaemChar"/>
          <w:rtl/>
        </w:rPr>
        <w:t>(</w:t>
      </w:r>
      <w:r w:rsidRPr="006A2246">
        <w:rPr>
          <w:rStyle w:val="libAieChar"/>
          <w:rtl/>
        </w:rPr>
        <w:t xml:space="preserve"> تَتَجافى جُنُوبُهُمْ عَنِ الْمَضاجِعِ </w:t>
      </w:r>
      <w:r w:rsidRPr="0003660B">
        <w:rPr>
          <w:rStyle w:val="libAlaemChar"/>
          <w:rtl/>
        </w:rPr>
        <w:t>)</w:t>
      </w:r>
      <w:r w:rsidRPr="00C9040A">
        <w:rPr>
          <w:rtl/>
          <w:lang w:bidi="fa-IR"/>
        </w:rPr>
        <w:t xml:space="preserve"> </w:t>
      </w:r>
      <w:r w:rsidR="006C577F" w:rsidRPr="006C577F">
        <w:rPr>
          <w:rStyle w:val="libFootnotenumChar"/>
          <w:rtl/>
        </w:rPr>
        <w:t>(6)</w:t>
      </w:r>
      <w:r w:rsidR="00AF22A6" w:rsidRPr="00AF22A6">
        <w:rPr>
          <w:rFonts w:hint="cs"/>
          <w:rtl/>
        </w:rPr>
        <w:t>.</w:t>
      </w:r>
      <w:r w:rsidR="006C577F" w:rsidRPr="006C577F">
        <w:rPr>
          <w:rStyle w:val="libFootnotenumChar"/>
          <w:rtl/>
        </w:rPr>
        <w:t>(7)</w:t>
      </w:r>
      <w:r w:rsidRPr="00C9040A">
        <w:rPr>
          <w:rtl/>
          <w:lang w:bidi="fa-IR"/>
        </w:rPr>
        <w:t xml:space="preserve"> </w:t>
      </w:r>
    </w:p>
    <w:p w:rsidR="008A74EB" w:rsidRPr="00C9040A" w:rsidRDefault="008A74EB" w:rsidP="008A74EB">
      <w:pPr>
        <w:pStyle w:val="Heading2Center"/>
        <w:rPr>
          <w:rtl/>
          <w:lang w:bidi="fa-IR"/>
        </w:rPr>
      </w:pPr>
      <w:bookmarkStart w:id="52" w:name="_Toc343795605"/>
      <w:bookmarkStart w:id="53" w:name="_Toc459810729"/>
      <w:bookmarkStart w:id="54" w:name="_Toc35348635"/>
      <w:r w:rsidRPr="00C9040A">
        <w:rPr>
          <w:rtl/>
          <w:lang w:bidi="fa-IR"/>
        </w:rPr>
        <w:t>14</w:t>
      </w:r>
      <w:r>
        <w:rPr>
          <w:rtl/>
          <w:lang w:bidi="fa-IR"/>
        </w:rPr>
        <w:t xml:space="preserve"> </w:t>
      </w:r>
      <w:r w:rsidR="0084262C">
        <w:rPr>
          <w:rtl/>
          <w:lang w:bidi="fa-IR"/>
        </w:rPr>
        <w:t>-</w:t>
      </w:r>
      <w:r>
        <w:rPr>
          <w:rtl/>
          <w:lang w:bidi="fa-IR"/>
        </w:rPr>
        <w:t xml:space="preserve"> </w:t>
      </w:r>
      <w:r w:rsidRPr="00C9040A">
        <w:rPr>
          <w:rtl/>
          <w:lang w:bidi="fa-IR"/>
        </w:rPr>
        <w:t xml:space="preserve">بَابُ أَنَّ الْإِسْلَامَ يُحْقَنُ بِهِ الدَّمُ </w:t>
      </w:r>
      <w:r w:rsidR="006C577F" w:rsidRPr="006C577F">
        <w:rPr>
          <w:rStyle w:val="libFootnotenumChar"/>
          <w:rtl/>
        </w:rPr>
        <w:t>(8)</w:t>
      </w:r>
      <w:r>
        <w:rPr>
          <w:rtl/>
        </w:rPr>
        <w:t xml:space="preserve"> </w:t>
      </w:r>
      <w:r w:rsidRPr="00C9040A">
        <w:rPr>
          <w:rtl/>
          <w:lang w:bidi="fa-IR"/>
        </w:rPr>
        <w:t>وَأَنَّ الثَّوَابَ عَلَى الْإِيمَانِ‌</w:t>
      </w:r>
      <w:bookmarkEnd w:id="52"/>
      <w:bookmarkEnd w:id="53"/>
      <w:bookmarkEnd w:id="54"/>
    </w:p>
    <w:p w:rsidR="008A74EB" w:rsidRPr="00C9040A" w:rsidRDefault="008A74EB" w:rsidP="008A74EB">
      <w:pPr>
        <w:pStyle w:val="libNormal"/>
        <w:rPr>
          <w:rtl/>
          <w:lang w:bidi="fa-IR"/>
        </w:rPr>
      </w:pPr>
      <w:r w:rsidRPr="002A5672">
        <w:rPr>
          <w:rtl/>
        </w:rPr>
        <w:t>1505</w:t>
      </w:r>
      <w:r w:rsidRPr="00261CB0">
        <w:rPr>
          <w:rStyle w:val="libBold2Char"/>
          <w:rtl/>
        </w:rPr>
        <w:t xml:space="preserve"> / 1.</w:t>
      </w:r>
      <w:r w:rsidRPr="00C9040A">
        <w:rPr>
          <w:rtl/>
          <w:lang w:bidi="fa-IR"/>
        </w:rPr>
        <w:t xml:space="preserve"> عَلِيُّ بْنُ إِبْرَاهِيمَ ، عَنْ أَبِيهِ ، عَنِ ابْنِ أَبِي عُمَيْرٍ ، عَنِ الْحَكَمِ بْنِ أَيْمَنَ ، عَنِ الْقَاسِمِ </w:t>
      </w:r>
      <w:r w:rsidR="006C577F" w:rsidRPr="006C577F">
        <w:rPr>
          <w:rStyle w:val="libFootnotenumChar"/>
          <w:rtl/>
        </w:rPr>
        <w:t>(9)</w:t>
      </w:r>
      <w:r w:rsidRPr="00C9040A">
        <w:rPr>
          <w:rtl/>
          <w:lang w:bidi="fa-IR"/>
        </w:rPr>
        <w:t xml:space="preserve"> الصَّيْرَفِيِّ شَرِيكِ الْمُفَضَّلِ ، قَالَ :</w:t>
      </w:r>
    </w:p>
    <w:p w:rsidR="008A74EB" w:rsidRPr="00C9040A" w:rsidRDefault="008A74EB" w:rsidP="008A74EB">
      <w:pPr>
        <w:pStyle w:val="libLine"/>
        <w:rPr>
          <w:rtl/>
          <w:lang w:bidi="fa-IR"/>
        </w:rPr>
      </w:pPr>
      <w:r w:rsidRPr="00C9040A">
        <w:rPr>
          <w:rtl/>
          <w:lang w:bidi="fa-IR"/>
        </w:rPr>
        <w:t>__________________</w:t>
      </w:r>
    </w:p>
    <w:p w:rsidR="008A74EB" w:rsidRPr="004A4E41" w:rsidRDefault="006C577F" w:rsidP="004A4E41">
      <w:pPr>
        <w:pStyle w:val="libFootnote0"/>
        <w:rPr>
          <w:rStyle w:val="libFootnote0Char"/>
          <w:rtl/>
        </w:rPr>
      </w:pPr>
      <w:r>
        <w:rPr>
          <w:rtl/>
        </w:rPr>
        <w:t>(1).</w:t>
      </w:r>
      <w:r w:rsidR="008A74EB" w:rsidRPr="00C9040A">
        <w:rPr>
          <w:rtl/>
        </w:rPr>
        <w:t xml:space="preserve"> في </w:t>
      </w:r>
      <w:r w:rsidR="008A74EB" w:rsidRPr="00993B55">
        <w:rPr>
          <w:rStyle w:val="libFootnoteBoldChar"/>
          <w:rtl/>
        </w:rPr>
        <w:t>الوافي</w:t>
      </w:r>
      <w:r w:rsidR="008A74EB" w:rsidRPr="00C9040A">
        <w:rPr>
          <w:rtl/>
        </w:rPr>
        <w:t xml:space="preserve"> : « إنّما صارت الصلاة أصل الإسلام ، لأنّ الإسلام بدونها لايثبت على ساق ؛ وإنّما صارت الزكاة فرع الإسلام ، لأنّها بدونه لاتصحّ ولاتقبل ؛ وإنّما صار الجهاد ذروة سنامه ، لأنّه فوق كلّ برّ ، كما ورد في الحديث »</w:t>
      </w:r>
      <w:r w:rsidR="008A74EB">
        <w:rPr>
          <w:rtl/>
        </w:rPr>
        <w:t>.</w:t>
      </w:r>
      <w:r w:rsidR="008A74EB" w:rsidRPr="00C9040A">
        <w:rPr>
          <w:rtl/>
        </w:rPr>
        <w:t xml:space="preserve"> وفي </w:t>
      </w:r>
      <w:r w:rsidR="008A74EB" w:rsidRPr="00993B55">
        <w:rPr>
          <w:rStyle w:val="libFootnoteBoldChar"/>
          <w:rtl/>
        </w:rPr>
        <w:t>المرآة</w:t>
      </w:r>
      <w:r w:rsidR="008A74EB" w:rsidRPr="00C9040A">
        <w:rPr>
          <w:rtl/>
        </w:rPr>
        <w:t xml:space="preserve"> : « ذروة سنامه ، الإضافة بيانيّة أو لاميّة ؛ إذ للسنام الذي هو ذروة البعير ذروة أيضاً هي أرفع أجزائه »</w:t>
      </w:r>
      <w:r w:rsidR="008A74EB">
        <w:rPr>
          <w:rtl/>
        </w:rPr>
        <w:t>.</w:t>
      </w:r>
      <w:r w:rsidR="008A74EB" w:rsidRPr="00C9040A">
        <w:rPr>
          <w:rtl/>
        </w:rPr>
        <w:t xml:space="preserve"> وفي الزهد : « وأمّا ذِروته وسنامه فالجهاد » بدل « وذروة سنامه الجهاد »</w:t>
      </w:r>
      <w:r w:rsidR="008A74EB">
        <w:rPr>
          <w:rtl/>
        </w:rPr>
        <w:t>.</w:t>
      </w:r>
    </w:p>
    <w:tbl>
      <w:tblPr>
        <w:tblStyle w:val="TableGrid"/>
        <w:bidiVisual/>
        <w:tblW w:w="0" w:type="auto"/>
        <w:tblLook w:val="04A0" w:firstRow="1" w:lastRow="0" w:firstColumn="1" w:lastColumn="0" w:noHBand="0" w:noVBand="1"/>
      </w:tblPr>
      <w:tblGrid>
        <w:gridCol w:w="4006"/>
        <w:gridCol w:w="4006"/>
      </w:tblGrid>
      <w:tr w:rsidR="000C3DFF" w:rsidTr="000C3DFF">
        <w:tc>
          <w:tcPr>
            <w:tcW w:w="4006" w:type="dxa"/>
          </w:tcPr>
          <w:p w:rsidR="000C3DFF" w:rsidRDefault="000C3DFF" w:rsidP="004A4E41">
            <w:pPr>
              <w:pStyle w:val="libFootnote0"/>
              <w:rPr>
                <w:rtl/>
              </w:rPr>
            </w:pPr>
            <w:r>
              <w:rPr>
                <w:rtl/>
              </w:rPr>
              <w:t xml:space="preserve">(2). </w:t>
            </w:r>
            <w:r w:rsidRPr="00C9040A">
              <w:rPr>
                <w:rtl/>
              </w:rPr>
              <w:t xml:space="preserve">في المحاسن والزهد </w:t>
            </w:r>
            <w:r>
              <w:rPr>
                <w:rtl/>
              </w:rPr>
              <w:t>: -</w:t>
            </w:r>
            <w:r w:rsidRPr="00C9040A">
              <w:rPr>
                <w:rtl/>
              </w:rPr>
              <w:t xml:space="preserve"> « ثمّ »</w:t>
            </w:r>
            <w:r>
              <w:rPr>
                <w:rtl/>
              </w:rPr>
              <w:t>.</w:t>
            </w:r>
          </w:p>
        </w:tc>
        <w:tc>
          <w:tcPr>
            <w:tcW w:w="4006" w:type="dxa"/>
          </w:tcPr>
          <w:p w:rsidR="000C3DFF" w:rsidRDefault="000C3DFF" w:rsidP="004A4E41">
            <w:pPr>
              <w:pStyle w:val="libFootnote0"/>
              <w:rPr>
                <w:rtl/>
              </w:rPr>
            </w:pPr>
            <w:r>
              <w:rPr>
                <w:rtl/>
              </w:rPr>
              <w:t>(3).</w:t>
            </w:r>
            <w:r w:rsidRPr="00C9040A">
              <w:rPr>
                <w:rtl/>
              </w:rPr>
              <w:t xml:space="preserve"> في الوسائل </w:t>
            </w:r>
            <w:r>
              <w:rPr>
                <w:rtl/>
              </w:rPr>
              <w:t>: -</w:t>
            </w:r>
            <w:r w:rsidRPr="00C9040A">
              <w:rPr>
                <w:rtl/>
              </w:rPr>
              <w:t xml:space="preserve"> « جعلت فداك »</w:t>
            </w:r>
            <w:r>
              <w:rPr>
                <w:rtl/>
              </w:rPr>
              <w:t>.</w:t>
            </w:r>
          </w:p>
        </w:tc>
      </w:tr>
    </w:tbl>
    <w:p w:rsidR="008A74EB" w:rsidRPr="004A4E41" w:rsidRDefault="006C577F" w:rsidP="004A4E41">
      <w:pPr>
        <w:pStyle w:val="libFootnote0"/>
        <w:rPr>
          <w:rStyle w:val="libFootnote0Char"/>
          <w:rtl/>
        </w:rPr>
      </w:pPr>
      <w:r>
        <w:rPr>
          <w:rtl/>
        </w:rPr>
        <w:t>(4).</w:t>
      </w:r>
      <w:r w:rsidR="008A74EB" w:rsidRPr="00C9040A">
        <w:rPr>
          <w:rtl/>
        </w:rPr>
        <w:t xml:space="preserve"> في « ج ، ز ، ص ، بس ، بف » والوافي والمحاسن </w:t>
      </w:r>
      <w:r w:rsidR="008A74EB">
        <w:rPr>
          <w:rtl/>
        </w:rPr>
        <w:t xml:space="preserve">: </w:t>
      </w:r>
      <w:r w:rsidR="0084262C">
        <w:rPr>
          <w:rtl/>
        </w:rPr>
        <w:t>-</w:t>
      </w:r>
      <w:r w:rsidR="008A74EB" w:rsidRPr="00C9040A">
        <w:rPr>
          <w:rtl/>
        </w:rPr>
        <w:t xml:space="preserve"> « من النار »</w:t>
      </w:r>
      <w:r w:rsidR="008A74EB">
        <w:rPr>
          <w:rtl/>
        </w:rPr>
        <w:t>.</w:t>
      </w:r>
    </w:p>
    <w:tbl>
      <w:tblPr>
        <w:tblStyle w:val="TableGrid"/>
        <w:bidiVisual/>
        <w:tblW w:w="0" w:type="auto"/>
        <w:tblLook w:val="04A0" w:firstRow="1" w:lastRow="0" w:firstColumn="1" w:lastColumn="0" w:noHBand="0" w:noVBand="1"/>
      </w:tblPr>
      <w:tblGrid>
        <w:gridCol w:w="4006"/>
        <w:gridCol w:w="4006"/>
      </w:tblGrid>
      <w:tr w:rsidR="000C3DFF" w:rsidTr="000C3DFF">
        <w:tc>
          <w:tcPr>
            <w:tcW w:w="4006" w:type="dxa"/>
          </w:tcPr>
          <w:p w:rsidR="000C3DFF" w:rsidRDefault="000C3DFF" w:rsidP="004A4E41">
            <w:pPr>
              <w:pStyle w:val="libFootnote0"/>
              <w:rPr>
                <w:rtl/>
                <w:lang w:bidi="fa-IR"/>
              </w:rPr>
            </w:pPr>
            <w:r>
              <w:rPr>
                <w:rtl/>
              </w:rPr>
              <w:t>(5).</w:t>
            </w:r>
            <w:r w:rsidRPr="00C9040A">
              <w:rPr>
                <w:rtl/>
              </w:rPr>
              <w:t xml:space="preserve"> في « ج ، ف ، بف » والبحار : « يذكر »</w:t>
            </w:r>
            <w:r>
              <w:rPr>
                <w:rtl/>
              </w:rPr>
              <w:t>.</w:t>
            </w:r>
          </w:p>
        </w:tc>
        <w:tc>
          <w:tcPr>
            <w:tcW w:w="4006" w:type="dxa"/>
          </w:tcPr>
          <w:p w:rsidR="000C3DFF" w:rsidRDefault="000C3DFF" w:rsidP="004A4E41">
            <w:pPr>
              <w:pStyle w:val="libFootnote0"/>
              <w:rPr>
                <w:rtl/>
                <w:lang w:bidi="fa-IR"/>
              </w:rPr>
            </w:pPr>
            <w:r>
              <w:rPr>
                <w:rtl/>
              </w:rPr>
              <w:t xml:space="preserve">(6). </w:t>
            </w:r>
            <w:r w:rsidRPr="00C9040A">
              <w:rPr>
                <w:rtl/>
              </w:rPr>
              <w:t>السجدة (32) : 16.</w:t>
            </w:r>
          </w:p>
        </w:tc>
      </w:tr>
    </w:tbl>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المحاسن</w:t>
      </w:r>
      <w:r w:rsidR="008A74EB" w:rsidRPr="00C9040A">
        <w:rPr>
          <w:rtl/>
        </w:rPr>
        <w:t xml:space="preserve"> ، ص 289 ، كتاب مصابيح الظلم ، ص 435 ، عن أبيه ، عن عليّ بن النعمان ؛ </w:t>
      </w:r>
      <w:r w:rsidR="008A74EB" w:rsidRPr="00993B55">
        <w:rPr>
          <w:rStyle w:val="libFootnoteBoldChar"/>
          <w:rtl/>
        </w:rPr>
        <w:t>الزهد</w:t>
      </w:r>
      <w:r w:rsidR="008A74EB" w:rsidRPr="00C9040A">
        <w:rPr>
          <w:rtl/>
        </w:rPr>
        <w:t xml:space="preserve"> ، ص 73 ، ح 26 ، عن عليّ بن النعمان ، إلى قوله : « وذروة سنامه الجهاد » ؛ التهذيب ، ج 2 ، ص 242 ، ح 958 ، بسنده عن ابن مسكان ، عن سليمان بن خالد ، عن أبي عبد الله </w:t>
      </w:r>
      <w:r w:rsidR="00117575" w:rsidRPr="00117575">
        <w:rPr>
          <w:rStyle w:val="libFootnoteAlaemChar"/>
          <w:rtl/>
        </w:rPr>
        <w:t xml:space="preserve">عليه‌السلام </w:t>
      </w:r>
      <w:r w:rsidR="008A74EB" w:rsidRPr="00C9040A">
        <w:rPr>
          <w:rtl/>
        </w:rPr>
        <w:t xml:space="preserve"> عن رسول الله </w:t>
      </w:r>
      <w:r w:rsidR="004A4E41" w:rsidRPr="00B866D3">
        <w:rPr>
          <w:rStyle w:val="libFootnoteAlaemChar"/>
          <w:rtl/>
        </w:rPr>
        <w:t>صلى‌الله‌عليه‌وآله</w:t>
      </w:r>
      <w:r w:rsidR="008A74EB" w:rsidRPr="00C9040A">
        <w:rPr>
          <w:rtl/>
        </w:rPr>
        <w:t xml:space="preserve">. وفي </w:t>
      </w:r>
      <w:r w:rsidR="008A74EB" w:rsidRPr="00993B55">
        <w:rPr>
          <w:rStyle w:val="libFootnoteBoldChar"/>
          <w:rtl/>
        </w:rPr>
        <w:t>المحاسن</w:t>
      </w:r>
      <w:r w:rsidR="008A74EB" w:rsidRPr="00C9040A">
        <w:rPr>
          <w:rtl/>
        </w:rPr>
        <w:t xml:space="preserve"> ، ص 289 ، كتاب مصابيح الظلم ، ح 434 ؛ و</w:t>
      </w:r>
      <w:r w:rsidR="008A74EB" w:rsidRPr="00993B55">
        <w:rPr>
          <w:rStyle w:val="libFootnoteBoldChar"/>
          <w:rtl/>
        </w:rPr>
        <w:t>الكافي</w:t>
      </w:r>
      <w:r w:rsidR="008A74EB" w:rsidRPr="00C9040A">
        <w:rPr>
          <w:rtl/>
        </w:rPr>
        <w:t xml:space="preserve"> ، كتاب الصيام ، باب ما جاء في فضل الصوم والصائم ، ح 6254 ؛ </w:t>
      </w:r>
      <w:r w:rsidR="008A74EB" w:rsidRPr="002A5672">
        <w:rPr>
          <w:rtl/>
        </w:rPr>
        <w:t>و</w:t>
      </w:r>
      <w:r w:rsidR="008A74EB" w:rsidRPr="00993B55">
        <w:rPr>
          <w:rStyle w:val="libFootnoteBoldChar"/>
          <w:rtl/>
        </w:rPr>
        <w:t>فضائل الأشهر الثلاثة</w:t>
      </w:r>
      <w:r w:rsidR="008A74EB" w:rsidRPr="00C9040A">
        <w:rPr>
          <w:rtl/>
        </w:rPr>
        <w:t xml:space="preserve"> ، ص 122 ، ح 126 ؛ و</w:t>
      </w:r>
      <w:r w:rsidR="008A74EB" w:rsidRPr="00993B55">
        <w:rPr>
          <w:rStyle w:val="libFootnoteBoldChar"/>
          <w:rtl/>
        </w:rPr>
        <w:t>التهذيب</w:t>
      </w:r>
      <w:r w:rsidR="008A74EB" w:rsidRPr="00C9040A">
        <w:rPr>
          <w:rtl/>
        </w:rPr>
        <w:t xml:space="preserve"> ، ج 4 ، ص 151 ، ح 419 ، بسند آخر عن أبي عبد الله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الفقيه</w:t>
      </w:r>
      <w:r w:rsidR="008A74EB" w:rsidRPr="00C9040A">
        <w:rPr>
          <w:rtl/>
        </w:rPr>
        <w:t xml:space="preserve"> ، ج 2 ، ص 75 ، ح 1775 ، مرسلاً عن أبي عبد الله </w:t>
      </w:r>
      <w:r w:rsidR="00117575" w:rsidRPr="00117575">
        <w:rPr>
          <w:rStyle w:val="libFootnoteAlaemChar"/>
          <w:rtl/>
        </w:rPr>
        <w:t xml:space="preserve">عليه‌السلام </w:t>
      </w:r>
      <w:r w:rsidR="008A74EB" w:rsidRPr="00C9040A">
        <w:rPr>
          <w:rtl/>
        </w:rPr>
        <w:t xml:space="preserve"> ، وفي الأربعة الأخيرة إلى قوله : « الصوم جنّة من النار »</w:t>
      </w:r>
      <w:r w:rsidR="008A74EB">
        <w:rPr>
          <w:rtl/>
        </w:rPr>
        <w:t>.</w:t>
      </w:r>
      <w:r w:rsidR="000C3DFF">
        <w:rPr>
          <w:rtl/>
        </w:rPr>
        <w:t xml:space="preserve"> وفي كلّ المصادر ( إل</w:t>
      </w:r>
      <w:r w:rsidR="000C3DFF">
        <w:rPr>
          <w:rFonts w:hint="cs"/>
          <w:rtl/>
        </w:rPr>
        <w:t>ّ</w:t>
      </w:r>
      <w:r w:rsidR="000C3DFF">
        <w:rPr>
          <w:rtl/>
        </w:rPr>
        <w:t>ا</w:t>
      </w:r>
      <w:r w:rsidR="008A74EB" w:rsidRPr="00C9040A">
        <w:rPr>
          <w:rtl/>
        </w:rPr>
        <w:t xml:space="preserve"> المحاسن ، ح 435 والزهد ) مع اختلاف يسير</w:t>
      </w:r>
      <w:r w:rsidR="000C3DFF">
        <w:rPr>
          <w:rFonts w:hint="cs"/>
          <w:rtl/>
        </w:rPr>
        <w:t>.</w:t>
      </w:r>
      <w:r w:rsidR="008A74EB" w:rsidRPr="00993B55">
        <w:rPr>
          <w:rStyle w:val="libFootnoteBoldChar"/>
          <w:rtl/>
        </w:rPr>
        <w:t>الوافي</w:t>
      </w:r>
      <w:r w:rsidR="008A74EB" w:rsidRPr="00C9040A">
        <w:rPr>
          <w:rtl/>
        </w:rPr>
        <w:t xml:space="preserve"> ، ج 4 ، ص 96 ، ح 1706 ؛ </w:t>
      </w:r>
      <w:r w:rsidR="008A74EB" w:rsidRPr="00993B55">
        <w:rPr>
          <w:rStyle w:val="libFootnoteBoldChar"/>
          <w:rtl/>
        </w:rPr>
        <w:t>الوسائل</w:t>
      </w:r>
      <w:r w:rsidR="008A74EB" w:rsidRPr="00C9040A">
        <w:rPr>
          <w:rtl/>
        </w:rPr>
        <w:t xml:space="preserve"> ، ج 1 ، ص 14 ، ح 3 ، إلى قوله : « قال : الصوم جنّة » ؛ </w:t>
      </w:r>
      <w:r w:rsidR="008A74EB" w:rsidRPr="00993B55">
        <w:rPr>
          <w:rStyle w:val="libFootnoteBoldChar"/>
          <w:rtl/>
        </w:rPr>
        <w:t>البحار</w:t>
      </w:r>
      <w:r w:rsidR="008A74EB" w:rsidRPr="00C9040A">
        <w:rPr>
          <w:rtl/>
        </w:rPr>
        <w:t xml:space="preserve"> ، ج 68 ، ص 330 ، ح 6 ؛ </w:t>
      </w:r>
      <w:r w:rsidR="008A74EB" w:rsidRPr="00993B55">
        <w:rPr>
          <w:rStyle w:val="libFootnoteBoldChar"/>
          <w:rtl/>
        </w:rPr>
        <w:t>وفيه</w:t>
      </w:r>
      <w:r w:rsidR="008A74EB" w:rsidRPr="00C9040A">
        <w:rPr>
          <w:rtl/>
        </w:rPr>
        <w:t xml:space="preserve"> ، ج 87 ، ص 124 ، من قوله : « إن شئت أخبرتك بأبواب الخير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هكذا في « ب ، ج ، د ، ز ، ص ، ض ، ف ، بر ، بس » ومرآة العقول. وفي « بف » والمطبوع : + « وتُؤدّى به الأمانة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ج » : + « بن »</w:t>
      </w:r>
      <w:r w:rsidR="008A74EB">
        <w:rPr>
          <w:rtl/>
        </w:rPr>
        <w:t>.</w:t>
      </w:r>
      <w:r w:rsidR="008A74EB" w:rsidRPr="00C9040A">
        <w:rPr>
          <w:rtl/>
        </w:rPr>
        <w:t xml:space="preserve"> والقاسم هذا ، هو القاسم بن عبد الرحمن الصيرفي شريك المفضّل بن عمر. راجع : </w:t>
      </w:r>
      <w:r w:rsidR="008A74EB" w:rsidRPr="00993B55">
        <w:rPr>
          <w:rStyle w:val="libFootnoteBoldChar"/>
          <w:rtl/>
        </w:rPr>
        <w:t>رجال الطوسي</w:t>
      </w:r>
      <w:r w:rsidR="008A74EB" w:rsidRPr="00C9040A">
        <w:rPr>
          <w:rtl/>
        </w:rPr>
        <w:t xml:space="preserve"> ، ص 271 ، الرقم 3906.</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lastRenderedPageBreak/>
        <w:t xml:space="preserve">سَمِعْتُ أَبَا عَبْدِ اللهِ </w:t>
      </w:r>
      <w:r w:rsidRPr="0003660B">
        <w:rPr>
          <w:rStyle w:val="libAlaemChar"/>
          <w:rtl/>
        </w:rPr>
        <w:t>عليه‌السلام</w:t>
      </w:r>
      <w:r w:rsidRPr="00C9040A">
        <w:rPr>
          <w:rtl/>
          <w:lang w:bidi="fa-IR"/>
        </w:rPr>
        <w:t xml:space="preserve"> يَقُولُ : « الْإِسْلَامُ يُحْقَنُ بِهِ الدَّمُ ، وَتُؤَدّى </w:t>
      </w:r>
      <w:r w:rsidR="006C577F" w:rsidRPr="006C577F">
        <w:rPr>
          <w:rStyle w:val="libFootnotenumChar"/>
          <w:rtl/>
        </w:rPr>
        <w:t>(1)</w:t>
      </w:r>
      <w:r w:rsidRPr="002712F0">
        <w:rPr>
          <w:rFonts w:hint="cs"/>
          <w:rtl/>
        </w:rPr>
        <w:t xml:space="preserve"> </w:t>
      </w:r>
      <w:r w:rsidRPr="00C9040A">
        <w:rPr>
          <w:rtl/>
          <w:lang w:bidi="fa-IR"/>
        </w:rPr>
        <w:t xml:space="preserve">بِهِ الْأَمَانَةُ </w:t>
      </w:r>
      <w:r w:rsidR="006C577F" w:rsidRPr="006C577F">
        <w:rPr>
          <w:rStyle w:val="libFootnotenumChar"/>
          <w:rtl/>
        </w:rPr>
        <w:t>(2)</w:t>
      </w:r>
      <w:r w:rsidRPr="00C9040A">
        <w:rPr>
          <w:rtl/>
          <w:lang w:bidi="fa-IR"/>
        </w:rPr>
        <w:t xml:space="preserve"> ، وَتُسْتَحَلُّ </w:t>
      </w:r>
      <w:r w:rsidR="006C577F" w:rsidRPr="006C577F">
        <w:rPr>
          <w:rStyle w:val="libFootnotenumChar"/>
          <w:rtl/>
        </w:rPr>
        <w:t>(3)</w:t>
      </w:r>
      <w:r w:rsidRPr="00C9040A">
        <w:rPr>
          <w:rtl/>
          <w:lang w:bidi="fa-IR"/>
        </w:rPr>
        <w:t xml:space="preserve"> بِهِ الْفُرُوجُ </w:t>
      </w:r>
      <w:r w:rsidR="006C577F" w:rsidRPr="006C577F">
        <w:rPr>
          <w:rStyle w:val="libFootnotenumChar"/>
          <w:rtl/>
        </w:rPr>
        <w:t>(4)</w:t>
      </w:r>
      <w:r w:rsidRPr="00C9040A">
        <w:rPr>
          <w:rtl/>
          <w:lang w:bidi="fa-IR"/>
        </w:rPr>
        <w:t xml:space="preserve"> ، وَالثَّوَابُ عَلَى الْإِيمَانِ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2A5672">
        <w:rPr>
          <w:rtl/>
        </w:rPr>
        <w:t>1506</w:t>
      </w:r>
      <w:r w:rsidRPr="00261CB0">
        <w:rPr>
          <w:rStyle w:val="libBold2Char"/>
          <w:rtl/>
        </w:rPr>
        <w:t xml:space="preserve"> / 2.</w:t>
      </w:r>
      <w:r w:rsidRPr="00C9040A">
        <w:rPr>
          <w:rtl/>
          <w:lang w:bidi="fa-IR"/>
        </w:rPr>
        <w:t xml:space="preserve"> عَلِيٌّ ، عَنْ أَبِيهِ ، عَنِ ابْنِ أَبِي عُمَيْرٍ ، عَنِ الْعَلَاءِ ، عَنْ مُحَمَّدِ بْنِ مُسْلِمٍ :</w:t>
      </w:r>
    </w:p>
    <w:p w:rsidR="008A74EB" w:rsidRPr="00C9040A" w:rsidRDefault="008A74EB" w:rsidP="008A74EB">
      <w:pPr>
        <w:pStyle w:val="libNormal"/>
        <w:rPr>
          <w:rtl/>
          <w:lang w:bidi="fa-IR"/>
        </w:rPr>
      </w:pPr>
      <w:r w:rsidRPr="00C9040A">
        <w:rPr>
          <w:rtl/>
          <w:lang w:bidi="fa-IR"/>
        </w:rPr>
        <w:t xml:space="preserve">عَنْ أَحَدِهِمَا </w:t>
      </w:r>
      <w:r w:rsidRPr="0003660B">
        <w:rPr>
          <w:rStyle w:val="libAlaemChar"/>
          <w:rtl/>
        </w:rPr>
        <w:t>عليهما‌السلام</w:t>
      </w:r>
      <w:r w:rsidRPr="00C9040A">
        <w:rPr>
          <w:rtl/>
          <w:lang w:bidi="fa-IR"/>
        </w:rPr>
        <w:t xml:space="preserve"> ، قَالَ : « الْإِيمَانُ إِقْرَارٌ وَعَمَلٌ ، وَالْإِسْلَامُ إِقْرَارٌ بِلَا عَمَلٍ »</w:t>
      </w:r>
      <w:r>
        <w:rPr>
          <w:rtl/>
          <w:lang w:bidi="fa-IR"/>
        </w:rPr>
        <w:t>.</w:t>
      </w:r>
      <w:r w:rsidRPr="00C9040A">
        <w:rPr>
          <w:rtl/>
          <w:lang w:bidi="fa-IR"/>
        </w:rPr>
        <w:t xml:space="preserve"> </w:t>
      </w:r>
      <w:r w:rsidR="006C577F" w:rsidRPr="006C577F">
        <w:rPr>
          <w:rStyle w:val="libFootnotenumChar"/>
          <w:rtl/>
        </w:rPr>
        <w:t>(6)</w:t>
      </w:r>
    </w:p>
    <w:p w:rsidR="008A74EB" w:rsidRPr="00C9040A" w:rsidRDefault="008A74EB" w:rsidP="008A74EB">
      <w:pPr>
        <w:pStyle w:val="libNormal"/>
        <w:rPr>
          <w:rtl/>
          <w:lang w:bidi="fa-IR"/>
        </w:rPr>
      </w:pPr>
      <w:r w:rsidRPr="002A5672">
        <w:rPr>
          <w:rtl/>
        </w:rPr>
        <w:t>1507</w:t>
      </w:r>
      <w:r w:rsidRPr="00261CB0">
        <w:rPr>
          <w:rStyle w:val="libBold2Char"/>
          <w:rtl/>
        </w:rPr>
        <w:t xml:space="preserve"> / 3.</w:t>
      </w:r>
      <w:r w:rsidRPr="00C9040A">
        <w:rPr>
          <w:rtl/>
          <w:lang w:bidi="fa-IR"/>
        </w:rPr>
        <w:t xml:space="preserve"> عَلِيُّ بْنُ إِبْرَاهِيمَ ، عَنْ مُحَمَّدِ بْنِ عِيسى ، عَنْ يُونُسَ ، عَن</w:t>
      </w:r>
      <w:r w:rsidR="00B866D3">
        <w:rPr>
          <w:rtl/>
          <w:lang w:bidi="fa-IR"/>
        </w:rPr>
        <w:t>ْ جَمِيلِ بْنِ دَرَّاجٍ ، قَالَ</w:t>
      </w:r>
      <w:r w:rsidRPr="00C9040A">
        <w:rPr>
          <w:rtl/>
          <w:lang w:bidi="fa-IR"/>
        </w:rPr>
        <w:t>:</w:t>
      </w:r>
    </w:p>
    <w:p w:rsidR="008A74EB" w:rsidRPr="00C9040A" w:rsidRDefault="008A74EB" w:rsidP="008A74EB">
      <w:pPr>
        <w:pStyle w:val="libNormal"/>
        <w:rPr>
          <w:rtl/>
          <w:lang w:bidi="fa-IR"/>
        </w:rPr>
      </w:pPr>
      <w:r w:rsidRPr="00C9040A">
        <w:rPr>
          <w:rtl/>
          <w:lang w:bidi="fa-IR"/>
        </w:rPr>
        <w:t xml:space="preserve">سَأَلْتُ أَبَا عَبْدِ اللهِ </w:t>
      </w:r>
      <w:r w:rsidRPr="0003660B">
        <w:rPr>
          <w:rStyle w:val="libAlaemChar"/>
          <w:rtl/>
        </w:rPr>
        <w:t>عليه‌السلام</w:t>
      </w:r>
      <w:r w:rsidRPr="00C9040A">
        <w:rPr>
          <w:rtl/>
          <w:lang w:bidi="fa-IR"/>
        </w:rPr>
        <w:t xml:space="preserve"> عَنْ قَوْلِ اللهِ عَزَّ وَجَلَّ : </w:t>
      </w:r>
      <w:r w:rsidRPr="0003660B">
        <w:rPr>
          <w:rStyle w:val="libAlaemChar"/>
          <w:rtl/>
        </w:rPr>
        <w:t>(</w:t>
      </w:r>
      <w:r w:rsidRPr="006A2246">
        <w:rPr>
          <w:rStyle w:val="libAieChar"/>
          <w:rtl/>
        </w:rPr>
        <w:t xml:space="preserve"> قالَتِ الْأَعْرابُ آمَنّا قُلْ لَمْ تُؤْمِنُوا وَلكِنْ قُولُوا أَسْلَمْنا وَلَمّا يَدْخُلِ الْإِيمانُ فِي قُلُوبِكُمْ </w:t>
      </w:r>
      <w:r w:rsidRPr="0003660B">
        <w:rPr>
          <w:rStyle w:val="libAlaemChar"/>
          <w:rtl/>
        </w:rPr>
        <w:t>)</w:t>
      </w:r>
      <w:r w:rsidRPr="00C9040A">
        <w:rPr>
          <w:rtl/>
          <w:lang w:bidi="fa-IR"/>
        </w:rPr>
        <w:t xml:space="preserve"> </w:t>
      </w:r>
      <w:r w:rsidR="006C577F" w:rsidRPr="006C577F">
        <w:rPr>
          <w:rStyle w:val="libFootnotenumChar"/>
          <w:rtl/>
        </w:rPr>
        <w:t>(7)</w:t>
      </w:r>
      <w:r w:rsidRPr="00C9040A">
        <w:rPr>
          <w:rtl/>
          <w:lang w:bidi="fa-IR"/>
        </w:rPr>
        <w:t xml:space="preserve"> فَقَالَ لِي </w:t>
      </w:r>
      <w:r w:rsidR="006C577F" w:rsidRPr="006C577F">
        <w:rPr>
          <w:rStyle w:val="libFootnotenumChar"/>
          <w:rtl/>
        </w:rPr>
        <w:t>(8)</w:t>
      </w:r>
      <w:r>
        <w:rPr>
          <w:rtl/>
          <w:lang w:bidi="fa-IR"/>
        </w:rPr>
        <w:t xml:space="preserve"> : « أَ</w:t>
      </w:r>
      <w:r w:rsidRPr="00C9040A">
        <w:rPr>
          <w:rtl/>
          <w:lang w:bidi="fa-IR"/>
        </w:rPr>
        <w:t>لَاتَرى أَنَّ الْإِيمَانَ غَيْرُ الْإِسْلَامِ</w:t>
      </w:r>
      <w:r>
        <w:rPr>
          <w:rtl/>
          <w:lang w:bidi="fa-IR"/>
        </w:rPr>
        <w:t>؟</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(9)</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 ف ، بس » والمحاسن : « ويؤدّى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w:t>
      </w:r>
      <w:r w:rsidR="008A74EB" w:rsidRPr="00993B55">
        <w:rPr>
          <w:rStyle w:val="libFootnoteBoldChar"/>
          <w:rtl/>
        </w:rPr>
        <w:t>الوافي</w:t>
      </w:r>
      <w:r w:rsidR="008A74EB" w:rsidRPr="00C9040A">
        <w:rPr>
          <w:rtl/>
        </w:rPr>
        <w:t xml:space="preserve"> : « إن قيل : أداء أمانة الكافر أيضاً واجب ، فلم خصّ بالمسلم</w:t>
      </w:r>
      <w:r w:rsidR="008A74EB">
        <w:rPr>
          <w:rtl/>
        </w:rPr>
        <w:t>؟</w:t>
      </w:r>
      <w:r w:rsidR="008A74EB" w:rsidRPr="00C9040A">
        <w:rPr>
          <w:rtl/>
        </w:rPr>
        <w:t xml:space="preserve"> قلنا : إنّما يجب أداء أمانة الكافر إذا صار في حكم المسلم بالذمّة »</w:t>
      </w:r>
      <w:r w:rsidR="008A74EB">
        <w:rPr>
          <w:rtl/>
        </w:rPr>
        <w:t>.</w:t>
      </w:r>
      <w:r w:rsidR="008A74EB" w:rsidRPr="00C9040A">
        <w:rPr>
          <w:rtl/>
        </w:rPr>
        <w:t xml:space="preserve"> وفي </w:t>
      </w:r>
      <w:r w:rsidR="008A74EB" w:rsidRPr="00993B55">
        <w:rPr>
          <w:rStyle w:val="libFootnoteBoldChar"/>
          <w:rtl/>
        </w:rPr>
        <w:t>شرح المازندراني</w:t>
      </w:r>
      <w:r w:rsidR="008A74EB" w:rsidRPr="00C9040A">
        <w:rPr>
          <w:rtl/>
        </w:rPr>
        <w:t xml:space="preserve"> ، ج 8 ، ص 71 : « كأنّ المراد أنّ أداءها إلى أهل الإسلام أوكد ، أو أنّه </w:t>
      </w:r>
      <w:r w:rsidR="000C3DFF">
        <w:rPr>
          <w:rtl/>
        </w:rPr>
        <w:t>ممّا يحكم به أهل الإسلام ، وإل</w:t>
      </w:r>
      <w:r w:rsidR="000C3DFF">
        <w:rPr>
          <w:rFonts w:hint="cs"/>
          <w:rtl/>
        </w:rPr>
        <w:t>ّ</w:t>
      </w:r>
      <w:r w:rsidR="000C3DFF">
        <w:rPr>
          <w:rtl/>
        </w:rPr>
        <w:t>ا</w:t>
      </w:r>
      <w:r w:rsidR="008A74EB" w:rsidRPr="00C9040A">
        <w:rPr>
          <w:rtl/>
        </w:rPr>
        <w:t xml:space="preserve"> فظاهر الآية والروايات الكثيرة أنّ أداء أمانة الكافر وإن كان حربيّاً واجب أيضاً. واحتمال إرادة أنّه يحفظ به ماله كما يحقن به دمه ، أو يحفظ به أمانه للحربيّ أظهر »</w:t>
      </w:r>
      <w:r w:rsidR="008A74EB">
        <w:rPr>
          <w:rtl/>
        </w:rPr>
        <w:t>.</w:t>
      </w:r>
      <w:r w:rsidR="008A74EB" w:rsidRPr="00C9040A">
        <w:rPr>
          <w:rtl/>
        </w:rPr>
        <w:t xml:space="preserve"> وراجع : </w:t>
      </w:r>
      <w:r w:rsidR="008A74EB" w:rsidRPr="00993B55">
        <w:rPr>
          <w:rStyle w:val="libFootnoteBoldChar"/>
          <w:rtl/>
        </w:rPr>
        <w:t>مرآة العقول</w:t>
      </w:r>
      <w:r w:rsidR="008A74EB" w:rsidRPr="00C9040A">
        <w:rPr>
          <w:rtl/>
        </w:rPr>
        <w:t xml:space="preserve"> ، ج 7 ، ص 124.</w:t>
      </w:r>
    </w:p>
    <w:p w:rsidR="008A74EB" w:rsidRPr="00C9040A" w:rsidRDefault="006C577F" w:rsidP="004A4E41">
      <w:pPr>
        <w:pStyle w:val="libFootnote0"/>
        <w:rPr>
          <w:rtl/>
          <w:lang w:bidi="fa-IR"/>
        </w:rPr>
      </w:pPr>
      <w:r>
        <w:rPr>
          <w:rtl/>
        </w:rPr>
        <w:t>(3).</w:t>
      </w:r>
      <w:r w:rsidR="008A74EB" w:rsidRPr="00C9040A">
        <w:rPr>
          <w:rtl/>
        </w:rPr>
        <w:t xml:space="preserve"> في « ب ، ز ، ص ، ض ، ف ، بر ، بس » والوافي والمحاسن : « ويستحلّ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المحاسن : « الفرج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المحاسن</w:t>
      </w:r>
      <w:r w:rsidR="008A74EB" w:rsidRPr="00C9040A">
        <w:rPr>
          <w:rtl/>
        </w:rPr>
        <w:t xml:space="preserve"> ، ص 285 ، كتاب مصابيح الظلم ، ح 423 ، عن أبيه ، عن ابن أبي عمير ، عن الحكم بن أيمن ، عن القاسم الصيرفي ، عن شريك المفضّل</w:t>
      </w:r>
      <w:r w:rsidR="000C3DFF">
        <w:rPr>
          <w:rFonts w:hint="cs"/>
          <w:rtl/>
        </w:rPr>
        <w:t>.</w:t>
      </w:r>
      <w:r w:rsidR="008A74EB" w:rsidRPr="00993B55">
        <w:rPr>
          <w:rStyle w:val="libFootnoteBoldChar"/>
          <w:rtl/>
        </w:rPr>
        <w:t>الوافي</w:t>
      </w:r>
      <w:r w:rsidR="008A74EB" w:rsidRPr="00C9040A">
        <w:rPr>
          <w:rtl/>
        </w:rPr>
        <w:t xml:space="preserve"> ، ج 4 ، ص 84 ، ح 1690 ؛ </w:t>
      </w:r>
      <w:r w:rsidR="008A74EB" w:rsidRPr="00993B55">
        <w:rPr>
          <w:rStyle w:val="libFootnoteBoldChar"/>
          <w:rtl/>
        </w:rPr>
        <w:t>الوسائل</w:t>
      </w:r>
      <w:r w:rsidR="008A74EB" w:rsidRPr="00C9040A">
        <w:rPr>
          <w:rtl/>
        </w:rPr>
        <w:t xml:space="preserve"> ، ج 20 ، ص 556 ، ح 26337 ؛ </w:t>
      </w:r>
      <w:r w:rsidR="008A74EB" w:rsidRPr="00993B55">
        <w:rPr>
          <w:rStyle w:val="libFootnoteBoldChar"/>
          <w:rtl/>
        </w:rPr>
        <w:t>البحار</w:t>
      </w:r>
      <w:r w:rsidR="008A74EB" w:rsidRPr="00C9040A">
        <w:rPr>
          <w:rtl/>
        </w:rPr>
        <w:t xml:space="preserve"> ، ج 68 ، ص 243 ، ذيل ح 3.</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تحف العقول</w:t>
      </w:r>
      <w:r w:rsidR="008A74EB" w:rsidRPr="00C9040A">
        <w:rPr>
          <w:rtl/>
        </w:rPr>
        <w:t xml:space="preserve"> ، ص 297 ، عن أبي جعفر </w:t>
      </w:r>
      <w:r w:rsidR="00117575" w:rsidRPr="00117575">
        <w:rPr>
          <w:rStyle w:val="libFootnoteAlaemChar"/>
          <w:rtl/>
        </w:rPr>
        <w:t>عليه‌السلام</w:t>
      </w:r>
      <w:r w:rsidR="008A74EB" w:rsidRPr="00C9040A">
        <w:rPr>
          <w:rtl/>
        </w:rPr>
        <w:t xml:space="preserve"> ؛ </w:t>
      </w:r>
      <w:r w:rsidR="008A74EB" w:rsidRPr="00993B55">
        <w:rPr>
          <w:rStyle w:val="libFootnoteBoldChar"/>
          <w:rtl/>
        </w:rPr>
        <w:t>وفيه</w:t>
      </w:r>
      <w:r w:rsidR="008A74EB" w:rsidRPr="00C9040A">
        <w:rPr>
          <w:rtl/>
        </w:rPr>
        <w:t xml:space="preserve"> ، ص 370 ، عن أبي عبد الله </w:t>
      </w:r>
      <w:r w:rsidR="00117575" w:rsidRPr="00117575">
        <w:rPr>
          <w:rStyle w:val="libFootnoteAlaemChar"/>
          <w:rtl/>
        </w:rPr>
        <w:t xml:space="preserve">عليه‌السلام </w:t>
      </w:r>
      <w:r w:rsidR="008A74EB" w:rsidRPr="00C9040A">
        <w:rPr>
          <w:rtl/>
        </w:rPr>
        <w:t>، وتمام الرواية في الأخير : « الإيمان إقرار وعمل ونيّة والإسلام إقرار وعمل »</w:t>
      </w:r>
      <w:r w:rsidR="000C3DFF">
        <w:rPr>
          <w:rFonts w:hint="cs"/>
          <w:rtl/>
        </w:rPr>
        <w:t>.</w:t>
      </w:r>
      <w:r w:rsidR="008A74EB" w:rsidRPr="00993B55">
        <w:rPr>
          <w:rStyle w:val="libFootnoteBoldChar"/>
          <w:rtl/>
        </w:rPr>
        <w:t>الوافي</w:t>
      </w:r>
      <w:r w:rsidR="008A74EB" w:rsidRPr="00C9040A">
        <w:rPr>
          <w:rtl/>
        </w:rPr>
        <w:t xml:space="preserve"> ، ج 4 ، ص 79 ، ح 1680 ؛ </w:t>
      </w:r>
      <w:r w:rsidR="008A74EB" w:rsidRPr="00993B55">
        <w:rPr>
          <w:rStyle w:val="libFootnoteBoldChar"/>
          <w:rtl/>
        </w:rPr>
        <w:t>البحار</w:t>
      </w:r>
      <w:r w:rsidR="008A74EB" w:rsidRPr="00C9040A">
        <w:rPr>
          <w:rtl/>
        </w:rPr>
        <w:t xml:space="preserve"> ، ج 68 ، ص 245 ، ح 4.</w:t>
      </w:r>
      <w:r w:rsidR="000C3DFF">
        <w:rPr>
          <w:rFonts w:hint="cs"/>
          <w:rtl/>
        </w:rPr>
        <w:t xml:space="preserve">                                              </w:t>
      </w:r>
      <w:r>
        <w:rPr>
          <w:rtl/>
        </w:rPr>
        <w:t>(7).</w:t>
      </w:r>
      <w:r w:rsidR="008A74EB" w:rsidRPr="00C9040A">
        <w:rPr>
          <w:rtl/>
        </w:rPr>
        <w:t xml:space="preserve"> الحجرات (49) : 14.</w:t>
      </w:r>
    </w:p>
    <w:p w:rsidR="008A74EB" w:rsidRPr="00C9040A" w:rsidRDefault="006C577F" w:rsidP="004A4E41">
      <w:pPr>
        <w:pStyle w:val="libFootnote0"/>
        <w:rPr>
          <w:rtl/>
          <w:lang w:bidi="fa-IR"/>
        </w:rPr>
      </w:pPr>
      <w:r>
        <w:rPr>
          <w:rtl/>
        </w:rPr>
        <w:t>(8).</w:t>
      </w:r>
      <w:r w:rsidR="008A74EB" w:rsidRPr="00C9040A">
        <w:rPr>
          <w:rtl/>
        </w:rPr>
        <w:t xml:space="preserve"> في البحار </w:t>
      </w:r>
      <w:r w:rsidR="008A74EB">
        <w:rPr>
          <w:rtl/>
        </w:rPr>
        <w:t xml:space="preserve">: </w:t>
      </w:r>
      <w:r w:rsidR="0084262C">
        <w:rPr>
          <w:rtl/>
        </w:rPr>
        <w:t>-</w:t>
      </w:r>
      <w:r w:rsidR="008A74EB" w:rsidRPr="00C9040A">
        <w:rPr>
          <w:rtl/>
        </w:rPr>
        <w:t xml:space="preserve"> « لي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راجع : </w:t>
      </w:r>
      <w:r w:rsidR="008A74EB" w:rsidRPr="00993B55">
        <w:rPr>
          <w:rStyle w:val="libFootnoteBoldChar"/>
          <w:rtl/>
        </w:rPr>
        <w:t>الخصال</w:t>
      </w:r>
      <w:r w:rsidR="008A74EB" w:rsidRPr="00C9040A">
        <w:rPr>
          <w:rtl/>
        </w:rPr>
        <w:t xml:space="preserve"> ، ص 411 ، باب الثمانية ، ح 14 ؛ و</w:t>
      </w:r>
      <w:r w:rsidR="008A74EB" w:rsidRPr="00993B55">
        <w:rPr>
          <w:rStyle w:val="libFootnoteBoldChar"/>
          <w:rtl/>
        </w:rPr>
        <w:t>معاني الأخبار</w:t>
      </w:r>
      <w:r w:rsidR="008A74EB" w:rsidRPr="00C9040A">
        <w:rPr>
          <w:rtl/>
        </w:rPr>
        <w:t xml:space="preserve"> ، ص 381 ، ح 10</w:t>
      </w:r>
      <w:r w:rsidR="000C3DFF">
        <w:rPr>
          <w:rFonts w:hint="cs"/>
          <w:rtl/>
        </w:rPr>
        <w:t>.</w:t>
      </w:r>
      <w:r w:rsidR="008A74EB" w:rsidRPr="00993B55">
        <w:rPr>
          <w:rStyle w:val="libFootnoteBoldChar"/>
          <w:rtl/>
        </w:rPr>
        <w:t>الوافي</w:t>
      </w:r>
      <w:r w:rsidR="008A74EB" w:rsidRPr="00C9040A">
        <w:rPr>
          <w:rtl/>
        </w:rPr>
        <w:t xml:space="preserve"> ، ج 4 ، ص 85 ، ح 1692 ؛ </w:t>
      </w:r>
      <w:r w:rsidR="008A74EB" w:rsidRPr="00993B55">
        <w:rPr>
          <w:rStyle w:val="libFootnoteBoldChar"/>
          <w:rtl/>
        </w:rPr>
        <w:t>البحار</w:t>
      </w:r>
      <w:r w:rsidR="008A74EB" w:rsidRPr="00C9040A">
        <w:rPr>
          <w:rtl/>
        </w:rPr>
        <w:t xml:space="preserve"> ، ج 68 ، ص 246 ، ح 5.</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2A423B">
        <w:rPr>
          <w:rtl/>
        </w:rPr>
        <w:lastRenderedPageBreak/>
        <w:t>1508</w:t>
      </w:r>
      <w:r w:rsidRPr="00261CB0">
        <w:rPr>
          <w:rStyle w:val="libBold2Char"/>
          <w:rtl/>
        </w:rPr>
        <w:t xml:space="preserve"> / 4.</w:t>
      </w:r>
      <w:r w:rsidRPr="00C9040A">
        <w:rPr>
          <w:rtl/>
          <w:lang w:bidi="fa-IR"/>
        </w:rPr>
        <w:t xml:space="preserve"> مُحَمَّدُ بْنُ يَحْيى ، عَنْ أَحْمَدَ بْنِ مُحَمَّدٍ ، عَنْ عَلِيِّ بْنِ الْحَكَمِ ، عَنْ سُفْيَانَ بْنِ السِّمْطِ ، قَالَ :</w:t>
      </w:r>
    </w:p>
    <w:p w:rsidR="008A74EB" w:rsidRPr="00C9040A" w:rsidRDefault="008A74EB" w:rsidP="008A74EB">
      <w:pPr>
        <w:pStyle w:val="libNormal"/>
        <w:rPr>
          <w:rtl/>
          <w:lang w:bidi="fa-IR"/>
        </w:rPr>
      </w:pPr>
      <w:r w:rsidRPr="00C9040A">
        <w:rPr>
          <w:rtl/>
          <w:lang w:bidi="fa-IR"/>
        </w:rPr>
        <w:t xml:space="preserve">سَأَلَ رَجُلٌ أَبَا عَبْدِ اللهِ </w:t>
      </w:r>
      <w:r w:rsidRPr="0003660B">
        <w:rPr>
          <w:rStyle w:val="libAlaemChar"/>
          <w:rtl/>
        </w:rPr>
        <w:t>عليه‌السلام</w:t>
      </w:r>
      <w:r w:rsidRPr="00C9040A">
        <w:rPr>
          <w:rtl/>
          <w:lang w:bidi="fa-IR"/>
        </w:rPr>
        <w:t xml:space="preserve"> عَنِ الْإِسْلَامِ وَالْإِيمَانِ </w:t>
      </w:r>
      <w:r w:rsidR="006C577F" w:rsidRPr="006C577F">
        <w:rPr>
          <w:rStyle w:val="libFootnotenumChar"/>
          <w:rtl/>
        </w:rPr>
        <w:t>(1)</w:t>
      </w:r>
      <w:r w:rsidRPr="00463D87">
        <w:rPr>
          <w:rFonts w:hint="cs"/>
          <w:rtl/>
        </w:rPr>
        <w:t xml:space="preserve"> </w:t>
      </w:r>
      <w:r w:rsidRPr="00C9040A">
        <w:rPr>
          <w:rtl/>
          <w:lang w:bidi="fa-IR"/>
        </w:rPr>
        <w:t xml:space="preserve">: مَا </w:t>
      </w:r>
      <w:r w:rsidR="006C577F" w:rsidRPr="006C577F">
        <w:rPr>
          <w:rStyle w:val="libFootnotenumChar"/>
          <w:rtl/>
        </w:rPr>
        <w:t>(2)</w:t>
      </w:r>
      <w:r w:rsidRPr="00C9040A">
        <w:rPr>
          <w:rtl/>
          <w:lang w:bidi="fa-IR"/>
        </w:rPr>
        <w:t xml:space="preserve"> الْفَرْقُ بَيْنَهُمَا</w:t>
      </w:r>
      <w:r>
        <w:rPr>
          <w:rtl/>
          <w:lang w:bidi="fa-IR"/>
        </w:rPr>
        <w:t>؟</w:t>
      </w:r>
      <w:r w:rsidRPr="00C9040A">
        <w:rPr>
          <w:rtl/>
          <w:lang w:bidi="fa-IR"/>
        </w:rPr>
        <w:t xml:space="preserve"> فَلَمْ يُجِبْهُ ، ثُمَّ سَأَلَهُ ، فَلَمْ يُجِبْهُ ، ثُمَّ الْتَقَيَا فِي الطَّرِيقِ وَ</w:t>
      </w:r>
      <w:r>
        <w:rPr>
          <w:rFonts w:hint="cs"/>
          <w:rtl/>
          <w:lang w:bidi="fa-IR"/>
        </w:rPr>
        <w:t xml:space="preserve"> </w:t>
      </w:r>
      <w:r w:rsidR="006C577F" w:rsidRPr="006C577F">
        <w:rPr>
          <w:rStyle w:val="libFootnotenumChar"/>
          <w:rtl/>
        </w:rPr>
        <w:t>(3)</w:t>
      </w:r>
      <w:r w:rsidRPr="00C9040A">
        <w:rPr>
          <w:rtl/>
          <w:lang w:bidi="fa-IR"/>
        </w:rPr>
        <w:t xml:space="preserve"> قَدْ أَزِفَ </w:t>
      </w:r>
      <w:r w:rsidR="006C577F" w:rsidRPr="006C577F">
        <w:rPr>
          <w:rStyle w:val="libFootnotenumChar"/>
          <w:rtl/>
        </w:rPr>
        <w:t>(4)</w:t>
      </w:r>
      <w:r w:rsidRPr="00C9040A">
        <w:rPr>
          <w:rtl/>
          <w:lang w:bidi="fa-IR"/>
        </w:rPr>
        <w:t xml:space="preserve"> مِنَ الرَّجُلِ الرَّحِيلُ ، فَقَالَ لَهُ أَبُو عَبْدِ اللهِ </w:t>
      </w:r>
      <w:r w:rsidRPr="0003660B">
        <w:rPr>
          <w:rStyle w:val="libAlaemChar"/>
          <w:rtl/>
        </w:rPr>
        <w:t>عليه‌السلام</w:t>
      </w:r>
      <w:r w:rsidRPr="00C9040A">
        <w:rPr>
          <w:rtl/>
          <w:lang w:bidi="fa-IR"/>
        </w:rPr>
        <w:t xml:space="preserve"> : « كَأَنَّهُ قَدْ أَزِفَ مِنْكَ رَحِيلٌ</w:t>
      </w:r>
      <w:r>
        <w:rPr>
          <w:rtl/>
          <w:lang w:bidi="fa-IR"/>
        </w:rPr>
        <w:t>؟</w:t>
      </w:r>
      <w:r w:rsidRPr="00C9040A">
        <w:rPr>
          <w:rtl/>
          <w:lang w:bidi="fa-IR"/>
        </w:rPr>
        <w:t xml:space="preserve"> » فَقَالَ : نَعَمْ ، فَقَالَ </w:t>
      </w:r>
      <w:r w:rsidR="006C577F" w:rsidRPr="006C577F">
        <w:rPr>
          <w:rStyle w:val="libFootnotenumChar"/>
          <w:rtl/>
        </w:rPr>
        <w:t>(5)</w:t>
      </w:r>
      <w:r w:rsidRPr="00C9040A">
        <w:rPr>
          <w:rtl/>
          <w:lang w:bidi="fa-IR"/>
        </w:rPr>
        <w:t xml:space="preserve"> : « فَالْقَنِي فِي الْبَيْتِ » فَلَقِيَهُ ، فَسَأَلَهُ عَنِ الْإِسْلَامِ وَالْإِيمَانِ </w:t>
      </w:r>
      <w:r w:rsidR="006C577F" w:rsidRPr="006C577F">
        <w:rPr>
          <w:rStyle w:val="libFootnotenumChar"/>
          <w:rtl/>
        </w:rPr>
        <w:t>(6)</w:t>
      </w:r>
      <w:r w:rsidRPr="005B567D">
        <w:rPr>
          <w:rStyle w:val="libFootnotenumChar"/>
          <w:rtl/>
        </w:rPr>
        <w:t xml:space="preserve"> </w:t>
      </w:r>
      <w:r w:rsidRPr="00C9040A">
        <w:rPr>
          <w:rtl/>
          <w:lang w:bidi="fa-IR"/>
        </w:rPr>
        <w:t>: مَا الْفَرْقُ بَيْنَهُمَا</w:t>
      </w:r>
      <w:r>
        <w:rPr>
          <w:rtl/>
          <w:lang w:bidi="fa-IR"/>
        </w:rPr>
        <w:t>؟</w:t>
      </w:r>
    </w:p>
    <w:p w:rsidR="008A74EB" w:rsidRPr="00C9040A" w:rsidRDefault="008A74EB" w:rsidP="008A74EB">
      <w:pPr>
        <w:pStyle w:val="libNormal"/>
        <w:rPr>
          <w:rtl/>
          <w:lang w:bidi="fa-IR"/>
        </w:rPr>
      </w:pPr>
      <w:r w:rsidRPr="00C9040A">
        <w:rPr>
          <w:rtl/>
          <w:lang w:bidi="fa-IR"/>
        </w:rPr>
        <w:t>فَقَالَ : « الْإِسْلَامُ هُوَ الظَّاهِرُ الَّذِي عَلَيْهِ النَّاسُ ، شَهَادَةُ أَنْ لَا</w:t>
      </w:r>
      <w:r>
        <w:rPr>
          <w:rFonts w:hint="cs"/>
          <w:rtl/>
          <w:lang w:bidi="fa-IR"/>
        </w:rPr>
        <w:t xml:space="preserve"> </w:t>
      </w:r>
      <w:r w:rsidR="000C3DFF">
        <w:rPr>
          <w:rtl/>
          <w:lang w:bidi="fa-IR"/>
        </w:rPr>
        <w:t>إِلهَ إِل</w:t>
      </w:r>
      <w:r w:rsidR="00F071CA">
        <w:rPr>
          <w:rFonts w:hint="cs"/>
          <w:rtl/>
          <w:lang w:bidi="fa-IR"/>
        </w:rPr>
        <w:t>َّ</w:t>
      </w:r>
      <w:r w:rsidR="000C3DFF">
        <w:rPr>
          <w:rtl/>
          <w:lang w:bidi="fa-IR"/>
        </w:rPr>
        <w:t>ا</w:t>
      </w:r>
      <w:r w:rsidRPr="00C9040A">
        <w:rPr>
          <w:rtl/>
          <w:lang w:bidi="fa-IR"/>
        </w:rPr>
        <w:t xml:space="preserve"> اللهُ </w:t>
      </w:r>
      <w:r w:rsidR="006C577F" w:rsidRPr="006C577F">
        <w:rPr>
          <w:rStyle w:val="libFootnotenumChar"/>
          <w:rtl/>
        </w:rPr>
        <w:t>(7)</w:t>
      </w:r>
      <w:r w:rsidRPr="00C9040A">
        <w:rPr>
          <w:rtl/>
          <w:lang w:bidi="fa-IR"/>
        </w:rPr>
        <w:t xml:space="preserve"> ، وَأَنَّ مُحَمَّداً رَسُولُ اللهِ </w:t>
      </w:r>
      <w:r w:rsidR="006C577F" w:rsidRPr="006C577F">
        <w:rPr>
          <w:rStyle w:val="libFootnotenumChar"/>
          <w:rtl/>
        </w:rPr>
        <w:t>(8)</w:t>
      </w:r>
      <w:r w:rsidRPr="00C9040A">
        <w:rPr>
          <w:rtl/>
          <w:lang w:bidi="fa-IR"/>
        </w:rPr>
        <w:t xml:space="preserve"> ، وَإِقَامُ الصَّلَاةِ ، وَإِيتَاءُ الزَّكَاةِ ، وَحِجُّ الْبَيْتِ ، وَصِيَامُ شَهْرِ </w:t>
      </w:r>
      <w:r w:rsidR="00B866D3">
        <w:rPr>
          <w:rtl/>
          <w:lang w:bidi="fa-IR"/>
        </w:rPr>
        <w:t>رَمَضَانَ ، فَهذَا الْإِسْلَامُ</w:t>
      </w:r>
      <w:r w:rsidRPr="00C9040A">
        <w:rPr>
          <w:rtl/>
          <w:lang w:bidi="fa-IR"/>
        </w:rPr>
        <w:t>»</w:t>
      </w:r>
      <w:r>
        <w:rPr>
          <w:rtl/>
          <w:lang w:bidi="fa-IR"/>
        </w:rPr>
        <w:t>.</w:t>
      </w:r>
    </w:p>
    <w:p w:rsidR="008A74EB" w:rsidRPr="00C9040A" w:rsidRDefault="008A74EB" w:rsidP="008A74EB">
      <w:pPr>
        <w:pStyle w:val="libNormal"/>
        <w:rPr>
          <w:rtl/>
          <w:lang w:bidi="fa-IR"/>
        </w:rPr>
      </w:pPr>
      <w:r w:rsidRPr="00C9040A">
        <w:rPr>
          <w:rtl/>
          <w:lang w:bidi="fa-IR"/>
        </w:rPr>
        <w:t xml:space="preserve">وَقَالَ </w:t>
      </w:r>
      <w:r w:rsidR="006C577F" w:rsidRPr="006C577F">
        <w:rPr>
          <w:rStyle w:val="libFootnotenumChar"/>
          <w:rtl/>
        </w:rPr>
        <w:t>(9)</w:t>
      </w:r>
      <w:r w:rsidRPr="00C9040A">
        <w:rPr>
          <w:rtl/>
          <w:lang w:bidi="fa-IR"/>
        </w:rPr>
        <w:t xml:space="preserve"> : « الْإِيمَانُ مَعْرِفَةُ هذَا الْأَمْرِ مَعَ هذَا ، فَإِنْ أَقَرَّ بِهَا وَلَمْ يَعْرِفْ هذَا الْأَمْرَ ، كَانَ مُسْلِماً وَكَانَ ضَالًّا »</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F071CA" w:rsidRDefault="008A74EB" w:rsidP="00F071CA">
      <w:pPr>
        <w:pStyle w:val="libNormal"/>
        <w:rPr>
          <w:rtl/>
          <w:lang w:bidi="fa-IR"/>
        </w:rPr>
      </w:pPr>
      <w:r w:rsidRPr="002A423B">
        <w:rPr>
          <w:rtl/>
        </w:rPr>
        <w:t>1509</w:t>
      </w:r>
      <w:r w:rsidRPr="00261CB0">
        <w:rPr>
          <w:rStyle w:val="libBold2Char"/>
          <w:rtl/>
        </w:rPr>
        <w:t xml:space="preserve"> / 5.</w:t>
      </w:r>
      <w:r w:rsidRPr="00C9040A">
        <w:rPr>
          <w:rtl/>
          <w:lang w:bidi="fa-IR"/>
        </w:rPr>
        <w:t xml:space="preserve"> الْحُسَيْنُ بْنُ مُحَمَّدٍ ، عَنْ مُعَلَّى بْنِ مُحَمَّدٍ ؛</w:t>
      </w:r>
    </w:p>
    <w:p w:rsidR="008A74EB" w:rsidRPr="00C9040A" w:rsidRDefault="008A74EB" w:rsidP="00F071CA">
      <w:pPr>
        <w:pStyle w:val="libNormal"/>
        <w:rPr>
          <w:rtl/>
          <w:lang w:bidi="fa-IR"/>
        </w:rPr>
      </w:pPr>
      <w:r w:rsidRPr="00C9040A">
        <w:rPr>
          <w:rtl/>
          <w:lang w:bidi="fa-IR"/>
        </w:rPr>
        <w:t>وَ</w:t>
      </w:r>
      <w:r w:rsidR="00F071CA">
        <w:rPr>
          <w:rFonts w:hint="cs"/>
          <w:rtl/>
          <w:lang w:bidi="fa-IR"/>
        </w:rPr>
        <w:t xml:space="preserve"> </w:t>
      </w:r>
      <w:r w:rsidRPr="00C9040A">
        <w:rPr>
          <w:rtl/>
          <w:lang w:bidi="fa-IR"/>
        </w:rPr>
        <w:t>عِدَّةٌ مِنْ أَصْحَابِنَا ، عَنْ أَحْمَدَ بْنِ مُحَمَّدٍ جَمِيعاً ، عَنِ الْوَشَّاءِ ، عَنْ أَبَانٍ ، عَنْ أَبِي بَصِيرٍ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سَمِعْتُهُ يَقُولُ : « </w:t>
      </w:r>
      <w:r w:rsidRPr="0003660B">
        <w:rPr>
          <w:rStyle w:val="libAlaemChar"/>
          <w:rtl/>
        </w:rPr>
        <w:t>(</w:t>
      </w:r>
      <w:r w:rsidRPr="006A2246">
        <w:rPr>
          <w:rStyle w:val="libAieChar"/>
          <w:rtl/>
        </w:rPr>
        <w:t xml:space="preserve"> قالَتِ الْأَعْرابُ آمَنّا قُلْ لَمْ تُؤْمِنُوا وَلكِنْ</w:t>
      </w:r>
    </w:p>
    <w:p w:rsidR="008A74EB" w:rsidRPr="00C9040A" w:rsidRDefault="008A74EB" w:rsidP="008A74EB">
      <w:pPr>
        <w:pStyle w:val="libLine"/>
        <w:rPr>
          <w:rtl/>
          <w:lang w:bidi="fa-IR"/>
        </w:rPr>
      </w:pPr>
      <w:r w:rsidRPr="00C9040A">
        <w:rPr>
          <w:rtl/>
          <w:lang w:bidi="fa-IR"/>
        </w:rPr>
        <w:t>__________________</w:t>
      </w:r>
    </w:p>
    <w:p w:rsidR="008A74EB" w:rsidRPr="004A4E41" w:rsidRDefault="006C577F" w:rsidP="004A4E41">
      <w:pPr>
        <w:pStyle w:val="libFootnote0"/>
        <w:rPr>
          <w:rStyle w:val="libFootnote0Char"/>
          <w:rtl/>
        </w:rPr>
      </w:pPr>
      <w:r>
        <w:rPr>
          <w:rtl/>
        </w:rPr>
        <w:t>(1).</w:t>
      </w:r>
      <w:r w:rsidR="008A74EB" w:rsidRPr="00C9040A">
        <w:rPr>
          <w:rtl/>
        </w:rPr>
        <w:t xml:space="preserve"> في « ص » : « الإيمان والإسلام »</w:t>
      </w:r>
      <w:r w:rsidR="008A74EB">
        <w:rPr>
          <w:rtl/>
        </w:rPr>
        <w:t>.</w:t>
      </w:r>
    </w:p>
    <w:tbl>
      <w:tblPr>
        <w:tblStyle w:val="TableGrid"/>
        <w:bidiVisual/>
        <w:tblW w:w="0" w:type="auto"/>
        <w:tblLook w:val="04A0" w:firstRow="1" w:lastRow="0" w:firstColumn="1" w:lastColumn="0" w:noHBand="0" w:noVBand="1"/>
      </w:tblPr>
      <w:tblGrid>
        <w:gridCol w:w="4006"/>
        <w:gridCol w:w="4006"/>
      </w:tblGrid>
      <w:tr w:rsidR="00F071CA" w:rsidTr="00F071CA">
        <w:tc>
          <w:tcPr>
            <w:tcW w:w="4006" w:type="dxa"/>
          </w:tcPr>
          <w:p w:rsidR="00F071CA" w:rsidRDefault="00F071CA" w:rsidP="004A4E41">
            <w:pPr>
              <w:pStyle w:val="libFootnote0"/>
              <w:rPr>
                <w:rtl/>
              </w:rPr>
            </w:pPr>
            <w:r>
              <w:rPr>
                <w:rtl/>
              </w:rPr>
              <w:t xml:space="preserve">(2). </w:t>
            </w:r>
            <w:r w:rsidRPr="00C9040A">
              <w:rPr>
                <w:rtl/>
              </w:rPr>
              <w:t>في « ز » : « و</w:t>
            </w:r>
            <w:r>
              <w:rPr>
                <w:rFonts w:hint="cs"/>
                <w:rtl/>
              </w:rPr>
              <w:t xml:space="preserve"> </w:t>
            </w:r>
            <w:r w:rsidRPr="00C9040A">
              <w:rPr>
                <w:rtl/>
              </w:rPr>
              <w:t>» بدل « ما »</w:t>
            </w:r>
            <w:r>
              <w:rPr>
                <w:rtl/>
              </w:rPr>
              <w:t>.</w:t>
            </w:r>
          </w:p>
        </w:tc>
        <w:tc>
          <w:tcPr>
            <w:tcW w:w="4006" w:type="dxa"/>
          </w:tcPr>
          <w:p w:rsidR="00F071CA" w:rsidRDefault="00F071CA" w:rsidP="004A4E41">
            <w:pPr>
              <w:pStyle w:val="libFootnote0"/>
              <w:rPr>
                <w:rtl/>
              </w:rPr>
            </w:pPr>
            <w:r>
              <w:rPr>
                <w:rtl/>
              </w:rPr>
              <w:t>(3).</w:t>
            </w:r>
            <w:r w:rsidRPr="00C9040A">
              <w:rPr>
                <w:rtl/>
              </w:rPr>
              <w:t xml:space="preserve"> في « بر » </w:t>
            </w:r>
            <w:r>
              <w:rPr>
                <w:rtl/>
              </w:rPr>
              <w:t>: -</w:t>
            </w:r>
            <w:r w:rsidRPr="00C9040A">
              <w:rPr>
                <w:rtl/>
              </w:rPr>
              <w:t xml:space="preserve"> « و</w:t>
            </w:r>
            <w:r>
              <w:rPr>
                <w:rFonts w:hint="cs"/>
                <w:rtl/>
              </w:rPr>
              <w:t xml:space="preserve"> </w:t>
            </w:r>
            <w:r w:rsidRPr="00C9040A">
              <w:rPr>
                <w:rtl/>
              </w:rPr>
              <w:t>»</w:t>
            </w:r>
            <w:r>
              <w:rPr>
                <w:rtl/>
              </w:rPr>
              <w:t>.</w:t>
            </w:r>
          </w:p>
        </w:tc>
      </w:tr>
    </w:tbl>
    <w:p w:rsidR="008A74EB" w:rsidRPr="004A4E41" w:rsidRDefault="006C577F" w:rsidP="004A4E41">
      <w:pPr>
        <w:pStyle w:val="libFootnote0"/>
        <w:rPr>
          <w:rStyle w:val="libFootnote0Char"/>
          <w:rtl/>
        </w:rPr>
      </w:pPr>
      <w:r>
        <w:rPr>
          <w:rtl/>
        </w:rPr>
        <w:t>(4).</w:t>
      </w:r>
      <w:r w:rsidR="008A74EB" w:rsidRPr="00C9040A">
        <w:rPr>
          <w:rtl/>
        </w:rPr>
        <w:t xml:space="preserve"> « أزف » : دنا وقرب. </w:t>
      </w:r>
      <w:r w:rsidR="008A74EB" w:rsidRPr="00993B55">
        <w:rPr>
          <w:rStyle w:val="libFootnoteBoldChar"/>
          <w:rtl/>
        </w:rPr>
        <w:t>النهاية</w:t>
      </w:r>
      <w:r w:rsidR="008A74EB" w:rsidRPr="00C9040A">
        <w:rPr>
          <w:rtl/>
        </w:rPr>
        <w:t xml:space="preserve"> ، ج 1 ، ص 45 ( أزف )</w:t>
      </w:r>
      <w:r w:rsidR="008A74EB">
        <w:rPr>
          <w:rtl/>
        </w:rPr>
        <w:t>.</w:t>
      </w:r>
    </w:p>
    <w:tbl>
      <w:tblPr>
        <w:tblStyle w:val="TableGrid"/>
        <w:bidiVisual/>
        <w:tblW w:w="0" w:type="auto"/>
        <w:tblLook w:val="04A0" w:firstRow="1" w:lastRow="0" w:firstColumn="1" w:lastColumn="0" w:noHBand="0" w:noVBand="1"/>
      </w:tblPr>
      <w:tblGrid>
        <w:gridCol w:w="4006"/>
        <w:gridCol w:w="4006"/>
      </w:tblGrid>
      <w:tr w:rsidR="005C4691" w:rsidTr="005C4691">
        <w:tc>
          <w:tcPr>
            <w:tcW w:w="4006" w:type="dxa"/>
          </w:tcPr>
          <w:p w:rsidR="005C4691" w:rsidRDefault="005C4691" w:rsidP="004A4E41">
            <w:pPr>
              <w:pStyle w:val="libFootnote0"/>
              <w:rPr>
                <w:rtl/>
              </w:rPr>
            </w:pPr>
            <w:r>
              <w:rPr>
                <w:rtl/>
              </w:rPr>
              <w:t>(5).</w:t>
            </w:r>
            <w:r w:rsidRPr="00C9040A">
              <w:rPr>
                <w:rtl/>
              </w:rPr>
              <w:t xml:space="preserve"> في « ب ، بر ، بف » والوافي : « قال »</w:t>
            </w:r>
            <w:r>
              <w:rPr>
                <w:rtl/>
              </w:rPr>
              <w:t>.</w:t>
            </w:r>
          </w:p>
        </w:tc>
        <w:tc>
          <w:tcPr>
            <w:tcW w:w="4006" w:type="dxa"/>
          </w:tcPr>
          <w:p w:rsidR="005C4691" w:rsidRDefault="005C4691" w:rsidP="004A4E41">
            <w:pPr>
              <w:pStyle w:val="libFootnote0"/>
              <w:rPr>
                <w:rtl/>
              </w:rPr>
            </w:pPr>
            <w:r>
              <w:rPr>
                <w:rtl/>
              </w:rPr>
              <w:t xml:space="preserve">(6). </w:t>
            </w:r>
            <w:r w:rsidRPr="00C9040A">
              <w:rPr>
                <w:rtl/>
              </w:rPr>
              <w:t>في « بس » : « الإيمان والإسلام »</w:t>
            </w:r>
            <w:r>
              <w:rPr>
                <w:rtl/>
              </w:rPr>
              <w:t>.</w:t>
            </w:r>
          </w:p>
        </w:tc>
      </w:tr>
    </w:tbl>
    <w:p w:rsidR="008A74EB" w:rsidRPr="00C9040A" w:rsidRDefault="006C577F" w:rsidP="004A4E41">
      <w:pPr>
        <w:pStyle w:val="libFootnote0"/>
        <w:rPr>
          <w:rtl/>
          <w:lang w:bidi="fa-IR"/>
        </w:rPr>
      </w:pPr>
      <w:r>
        <w:rPr>
          <w:rtl/>
        </w:rPr>
        <w:t>(7).</w:t>
      </w:r>
      <w:r w:rsidR="008A74EB" w:rsidRPr="00C9040A">
        <w:rPr>
          <w:rtl/>
        </w:rPr>
        <w:t xml:space="preserve"> هكذا في النسخ التي قوبلت والوافي والبحار. وفي المطبوع : + « وحده لا شريك له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هكذا في النسخ التي قوبلت والوافي والبحار. وفي المطبوع : « وأنّ محمّداً عبده ورسوله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د » : + « ألا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w:t>
      </w:r>
      <w:r w:rsidR="008A74EB" w:rsidRPr="00993B55">
        <w:rPr>
          <w:rStyle w:val="libFootnoteBoldChar"/>
          <w:rtl/>
        </w:rPr>
        <w:t>الوافي</w:t>
      </w:r>
      <w:r w:rsidR="008A74EB" w:rsidRPr="00C9040A">
        <w:rPr>
          <w:rtl/>
        </w:rPr>
        <w:t xml:space="preserve"> ، ج 4 ، ص 83 ، ح 1689 ؛ </w:t>
      </w:r>
      <w:r w:rsidR="008A74EB" w:rsidRPr="00993B55">
        <w:rPr>
          <w:rStyle w:val="libFootnoteBoldChar"/>
          <w:rtl/>
        </w:rPr>
        <w:t>البحار</w:t>
      </w:r>
      <w:r w:rsidR="008A74EB" w:rsidRPr="00C9040A">
        <w:rPr>
          <w:rtl/>
        </w:rPr>
        <w:t xml:space="preserve"> ، ج 68 ، ص 246 ، ح 6.</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6A2246">
        <w:rPr>
          <w:rStyle w:val="libAieChar"/>
          <w:rtl/>
        </w:rPr>
        <w:lastRenderedPageBreak/>
        <w:t xml:space="preserve">قُولُوا أَسْلَمْنا </w:t>
      </w:r>
      <w:r w:rsidRPr="0003660B">
        <w:rPr>
          <w:rStyle w:val="libAlaemChar"/>
          <w:rtl/>
        </w:rPr>
        <w:t>)</w:t>
      </w:r>
      <w:r w:rsidRPr="00C9040A">
        <w:rPr>
          <w:rtl/>
          <w:lang w:bidi="fa-IR"/>
        </w:rPr>
        <w:t xml:space="preserve"> فَمَنْ زَعَمَ </w:t>
      </w:r>
      <w:r w:rsidR="006C577F" w:rsidRPr="006C577F">
        <w:rPr>
          <w:rStyle w:val="libFootnotenumChar"/>
          <w:rtl/>
        </w:rPr>
        <w:t>(1)</w:t>
      </w:r>
      <w:r w:rsidRPr="00E711C7">
        <w:rPr>
          <w:rFonts w:hint="cs"/>
          <w:rtl/>
        </w:rPr>
        <w:t xml:space="preserve"> </w:t>
      </w:r>
      <w:r w:rsidRPr="00C9040A">
        <w:rPr>
          <w:rtl/>
          <w:lang w:bidi="fa-IR"/>
        </w:rPr>
        <w:t>أَنَّهُمْ آمَنُوا فَقَدْ كَذَبَ ؛ وَمَنْ زَعَمَ أَنَّهُمْ لَمْ يُسْلِمُوا فَقَدْ كَذَبَ »</w:t>
      </w:r>
      <w:r>
        <w:rPr>
          <w:rtl/>
          <w:lang w:bidi="fa-IR"/>
        </w:rPr>
        <w:t>.</w:t>
      </w:r>
      <w:r w:rsidRPr="00C9040A">
        <w:rPr>
          <w:rtl/>
          <w:lang w:bidi="fa-IR"/>
        </w:rPr>
        <w:t xml:space="preserve"> </w:t>
      </w:r>
      <w:r w:rsidR="006C577F" w:rsidRPr="006C577F">
        <w:rPr>
          <w:rStyle w:val="libFootnotenumChar"/>
          <w:rtl/>
        </w:rPr>
        <w:t>(2)</w:t>
      </w:r>
      <w:r w:rsidRPr="00C9040A">
        <w:rPr>
          <w:rtl/>
          <w:lang w:bidi="fa-IR"/>
        </w:rPr>
        <w:t>‌</w:t>
      </w:r>
    </w:p>
    <w:p w:rsidR="008A74EB" w:rsidRPr="00C9040A" w:rsidRDefault="008A74EB" w:rsidP="008A74EB">
      <w:pPr>
        <w:pStyle w:val="libNormal"/>
        <w:rPr>
          <w:rtl/>
          <w:lang w:bidi="fa-IR"/>
        </w:rPr>
      </w:pPr>
      <w:r w:rsidRPr="002A423B">
        <w:rPr>
          <w:rtl/>
        </w:rPr>
        <w:t>1510</w:t>
      </w:r>
      <w:r w:rsidRPr="00261CB0">
        <w:rPr>
          <w:rStyle w:val="libBold2Char"/>
          <w:rtl/>
        </w:rPr>
        <w:t xml:space="preserve"> / 6.</w:t>
      </w:r>
      <w:r w:rsidRPr="00C9040A">
        <w:rPr>
          <w:rtl/>
          <w:lang w:bidi="fa-IR"/>
        </w:rPr>
        <w:t xml:space="preserve"> أَحْمَدُ بْنُ مُحَمَّدٍ </w:t>
      </w:r>
      <w:r w:rsidR="006C577F" w:rsidRPr="006C577F">
        <w:rPr>
          <w:rStyle w:val="libFootnotenumChar"/>
          <w:rtl/>
        </w:rPr>
        <w:t>(3)</w:t>
      </w:r>
      <w:r w:rsidRPr="00C9040A">
        <w:rPr>
          <w:rtl/>
          <w:lang w:bidi="fa-IR"/>
        </w:rPr>
        <w:t xml:space="preserve"> ، عَنِ الْحُسَيْنِ بْنِ سَعِيدٍ ، عَنْ حَكَمِ بْنِ أَيْمَنَ </w:t>
      </w:r>
      <w:r w:rsidR="006C577F" w:rsidRPr="006C577F">
        <w:rPr>
          <w:rStyle w:val="libFootnotenumChar"/>
          <w:rtl/>
        </w:rPr>
        <w:t>(4)</w:t>
      </w:r>
      <w:r w:rsidRPr="00C9040A">
        <w:rPr>
          <w:rtl/>
          <w:lang w:bidi="fa-IR"/>
        </w:rPr>
        <w:t xml:space="preserve"> ، عَنْ قَاسِمٍ شَرِيكِ الْمُفَضَّلِ ، قَالَ :</w:t>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 « الْإِسْلَامُ يُحْقَنُ بِهِ الدَّمُ ، وَتُؤَدّى </w:t>
      </w:r>
      <w:r w:rsidR="006C577F" w:rsidRPr="006C577F">
        <w:rPr>
          <w:rStyle w:val="libFootnotenumChar"/>
          <w:rtl/>
        </w:rPr>
        <w:t>(5)</w:t>
      </w:r>
      <w:r w:rsidRPr="00C9040A">
        <w:rPr>
          <w:rtl/>
          <w:lang w:bidi="fa-IR"/>
        </w:rPr>
        <w:t xml:space="preserve"> بِهِ الْأَمَانَةُ ، وَتُسْتَحَلُّ </w:t>
      </w:r>
      <w:r w:rsidR="006C577F" w:rsidRPr="006C577F">
        <w:rPr>
          <w:rStyle w:val="libFootnotenumChar"/>
          <w:rtl/>
        </w:rPr>
        <w:t>(6)</w:t>
      </w:r>
      <w:r w:rsidRPr="00C9040A">
        <w:rPr>
          <w:rtl/>
          <w:lang w:bidi="fa-IR"/>
        </w:rPr>
        <w:t xml:space="preserve">بِهِ الْفُرُوجُ </w:t>
      </w:r>
      <w:r w:rsidR="006C577F" w:rsidRPr="006C577F">
        <w:rPr>
          <w:rStyle w:val="libFootnotenumChar"/>
          <w:rtl/>
        </w:rPr>
        <w:t>(7)</w:t>
      </w:r>
      <w:r w:rsidRPr="00C9040A">
        <w:rPr>
          <w:rtl/>
          <w:lang w:bidi="fa-IR"/>
        </w:rPr>
        <w:t xml:space="preserve"> ، وَالثَّوَابُ عَلَى الْإِيمَانِ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 الزعم » : يطلق على الظنّ ، وعلى الاعتقاد ، ومنه قوله تعالى : </w:t>
      </w:r>
      <w:r w:rsidR="008A74EB" w:rsidRPr="00B866D3">
        <w:rPr>
          <w:rStyle w:val="libFootnoteAlaemChar"/>
          <w:rtl/>
        </w:rPr>
        <w:t>(</w:t>
      </w:r>
      <w:r w:rsidR="008A74EB" w:rsidRPr="00883DD5">
        <w:rPr>
          <w:rStyle w:val="libFootnoteAieChar"/>
          <w:rFonts w:hint="cs"/>
          <w:rtl/>
        </w:rPr>
        <w:t xml:space="preserve"> </w:t>
      </w:r>
      <w:r w:rsidR="008A74EB" w:rsidRPr="00883DD5">
        <w:rPr>
          <w:rStyle w:val="libFootnoteAieChar"/>
          <w:rtl/>
        </w:rPr>
        <w:t>زَعَمَ الَّذِينَ كَفَرُوا أَنْ ل</w:t>
      </w:r>
      <w:r w:rsidR="00E972DA">
        <w:rPr>
          <w:rStyle w:val="libFootnoteAieChar"/>
          <w:rFonts w:hint="cs"/>
          <w:rtl/>
        </w:rPr>
        <w:t>َّ</w:t>
      </w:r>
      <w:r w:rsidR="008A74EB" w:rsidRPr="00883DD5">
        <w:rPr>
          <w:rStyle w:val="libFootnoteAieChar"/>
          <w:rtl/>
        </w:rPr>
        <w:t>نْ يُبْعَثُوا</w:t>
      </w:r>
      <w:r w:rsidR="008A74EB" w:rsidRPr="00883DD5">
        <w:rPr>
          <w:rStyle w:val="libFootnoteAieChar"/>
          <w:rFonts w:hint="cs"/>
          <w:rtl/>
        </w:rPr>
        <w:t xml:space="preserve"> </w:t>
      </w:r>
      <w:r w:rsidR="008A74EB" w:rsidRPr="00B866D3">
        <w:rPr>
          <w:rStyle w:val="libFootnoteAlaemChar"/>
          <w:rtl/>
        </w:rPr>
        <w:t>)</w:t>
      </w:r>
      <w:r w:rsidR="008A74EB" w:rsidRPr="00C9040A">
        <w:rPr>
          <w:rtl/>
        </w:rPr>
        <w:t xml:space="preserve"> [ التغابن (64) : 7 ]</w:t>
      </w:r>
      <w:r w:rsidR="008A74EB">
        <w:rPr>
          <w:rtl/>
        </w:rPr>
        <w:t>.</w:t>
      </w:r>
      <w:r w:rsidR="008A74EB" w:rsidRPr="00C9040A">
        <w:rPr>
          <w:rtl/>
        </w:rPr>
        <w:t xml:space="preserve"> راجع : </w:t>
      </w:r>
      <w:r w:rsidR="008A74EB" w:rsidRPr="00993B55">
        <w:rPr>
          <w:rStyle w:val="libFootnoteBoldChar"/>
          <w:rtl/>
        </w:rPr>
        <w:t>المصباح المنير</w:t>
      </w:r>
      <w:r w:rsidR="008A74EB" w:rsidRPr="00C9040A">
        <w:rPr>
          <w:rtl/>
        </w:rPr>
        <w:t xml:space="preserve"> ، ص 253 ( زعم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الوافي</w:t>
      </w:r>
      <w:r w:rsidR="008A74EB" w:rsidRPr="00C9040A">
        <w:rPr>
          <w:rtl/>
        </w:rPr>
        <w:t xml:space="preserve"> ، ج 4 ، ص 84 ، ح 1691 ؛ </w:t>
      </w:r>
      <w:r w:rsidR="008A74EB" w:rsidRPr="00993B55">
        <w:rPr>
          <w:rStyle w:val="libFootnoteBoldChar"/>
          <w:rtl/>
        </w:rPr>
        <w:t>البحار</w:t>
      </w:r>
      <w:r w:rsidR="008A74EB" w:rsidRPr="00C9040A">
        <w:rPr>
          <w:rtl/>
        </w:rPr>
        <w:t xml:space="preserve"> ، ج 68 ، ص 247 ، ح 7.</w:t>
      </w:r>
    </w:p>
    <w:p w:rsidR="008A74EB" w:rsidRPr="00C9040A" w:rsidRDefault="006C577F" w:rsidP="004A4E41">
      <w:pPr>
        <w:pStyle w:val="libFootnote0"/>
        <w:rPr>
          <w:rtl/>
          <w:lang w:bidi="fa-IR"/>
        </w:rPr>
      </w:pPr>
      <w:r>
        <w:rPr>
          <w:rtl/>
        </w:rPr>
        <w:t>(3).</w:t>
      </w:r>
      <w:r w:rsidR="008A74EB" w:rsidRPr="00C9040A">
        <w:rPr>
          <w:rtl/>
        </w:rPr>
        <w:t xml:space="preserve"> أحمد بن محمّد الراوي عن الحسين بن سعيد ، مشترك بين أحمد بن محمّد بن خالد وأحمد بن محمّد بن‌عيسى ، بل في أسناد الكافي متعيّن في ابن عيسى ، كما يعلم من ملاحظة الأسناد. راجع : </w:t>
      </w:r>
      <w:r w:rsidR="008A74EB" w:rsidRPr="00993B55">
        <w:rPr>
          <w:rStyle w:val="libFootnoteBoldChar"/>
          <w:rtl/>
        </w:rPr>
        <w:t>معجم رجال الحديث</w:t>
      </w:r>
      <w:r w:rsidR="008A74EB" w:rsidRPr="00C9040A">
        <w:rPr>
          <w:rtl/>
        </w:rPr>
        <w:t xml:space="preserve"> ، ج 5 ، ص 416</w:t>
      </w:r>
      <w:r w:rsidR="008A74EB">
        <w:rPr>
          <w:rtl/>
        </w:rPr>
        <w:t xml:space="preserve"> </w:t>
      </w:r>
      <w:r w:rsidR="0084262C">
        <w:rPr>
          <w:rtl/>
        </w:rPr>
        <w:t>-</w:t>
      </w:r>
      <w:r w:rsidR="008A74EB">
        <w:rPr>
          <w:rtl/>
        </w:rPr>
        <w:t xml:space="preserve"> </w:t>
      </w:r>
      <w:r w:rsidR="008A74EB" w:rsidRPr="00C9040A">
        <w:rPr>
          <w:rtl/>
        </w:rPr>
        <w:t>496.</w:t>
      </w:r>
    </w:p>
    <w:p w:rsidR="008A74EB" w:rsidRPr="00C9040A" w:rsidRDefault="008A74EB" w:rsidP="004A4E41">
      <w:pPr>
        <w:pStyle w:val="libFootnote0"/>
        <w:rPr>
          <w:rtl/>
          <w:lang w:bidi="fa-IR"/>
        </w:rPr>
      </w:pPr>
      <w:r w:rsidRPr="0082575F">
        <w:rPr>
          <w:rtl/>
        </w:rPr>
        <w:t>وعلى أيّ تقدير أحمد بن محمّد هذا ليس من مشايخ الكليني ، فعليه في السند تعليق. والظاهر أنّه معلّق على الحديث الرابع ، لا على الطريق الثاني من الحديث الخامس ؛ فإنّ أحمد بن محمّد في ذاك السند مشترك بين ابن عيسى وابن خالد ، وفي الحديث الرابع منصرف بل متعيّن في أحمد بن محمّد بن عيسى.</w:t>
      </w:r>
    </w:p>
    <w:p w:rsidR="008A74EB" w:rsidRPr="00C9040A" w:rsidRDefault="006C577F" w:rsidP="004A4E41">
      <w:pPr>
        <w:pStyle w:val="libFootnote0"/>
        <w:rPr>
          <w:rtl/>
          <w:lang w:bidi="fa-IR"/>
        </w:rPr>
      </w:pPr>
      <w:r>
        <w:rPr>
          <w:rtl/>
        </w:rPr>
        <w:t>(4).</w:t>
      </w:r>
      <w:r w:rsidR="008A74EB" w:rsidRPr="00C9040A">
        <w:rPr>
          <w:rtl/>
        </w:rPr>
        <w:t xml:space="preserve"> في هامش المطبوع عن بعض النسخ : « حكم بن أعين »</w:t>
      </w:r>
      <w:r w:rsidR="008A74EB">
        <w:rPr>
          <w:rtl/>
        </w:rPr>
        <w:t>.</w:t>
      </w:r>
      <w:r w:rsidR="008A74EB" w:rsidRPr="00C9040A">
        <w:rPr>
          <w:rtl/>
        </w:rPr>
        <w:t xml:space="preserve"> وهو سهوٌ ؛ فإنّه لم يعهد في رواتنا من يعرف بهذا العنوان. والمذكور في مصادرنا الرجاليّة هو الحكم بن أيمن. راجع : </w:t>
      </w:r>
      <w:r w:rsidR="008A74EB" w:rsidRPr="00993B55">
        <w:rPr>
          <w:rStyle w:val="libFootnoteBoldChar"/>
          <w:rtl/>
        </w:rPr>
        <w:t>رجال النجاشي</w:t>
      </w:r>
      <w:r w:rsidR="008A74EB" w:rsidRPr="00C9040A">
        <w:rPr>
          <w:rtl/>
        </w:rPr>
        <w:t xml:space="preserve"> ، ص 137 ، الرقم 354 ؛ </w:t>
      </w:r>
      <w:r w:rsidR="008A74EB" w:rsidRPr="0034021D">
        <w:rPr>
          <w:rStyle w:val="libFootnoteBoldChar"/>
          <w:rtl/>
        </w:rPr>
        <w:t>الفهرست للطوسي</w:t>
      </w:r>
      <w:r w:rsidR="008A74EB" w:rsidRPr="00C9040A">
        <w:rPr>
          <w:rtl/>
        </w:rPr>
        <w:t xml:space="preserve"> ، ص 160 ، الرقم 246 ؛ </w:t>
      </w:r>
      <w:r w:rsidR="008A74EB" w:rsidRPr="00993B55">
        <w:rPr>
          <w:rStyle w:val="libFootnoteBoldChar"/>
          <w:rtl/>
        </w:rPr>
        <w:t>رجال البرقي</w:t>
      </w:r>
      <w:r w:rsidR="008A74EB" w:rsidRPr="00C9040A">
        <w:rPr>
          <w:rtl/>
        </w:rPr>
        <w:t xml:space="preserve"> ، ص 38 ؛ </w:t>
      </w:r>
      <w:r w:rsidR="008A74EB" w:rsidRPr="00993B55">
        <w:rPr>
          <w:rStyle w:val="libFootnoteBoldChar"/>
          <w:rtl/>
        </w:rPr>
        <w:t>رجال الطوسي</w:t>
      </w:r>
      <w:r w:rsidR="008A74EB" w:rsidRPr="00C9040A">
        <w:rPr>
          <w:rtl/>
        </w:rPr>
        <w:t xml:space="preserve"> ، ص 185 ، الرقم 2250. ثمّ إنّه ورد في </w:t>
      </w:r>
      <w:r w:rsidR="008A74EB" w:rsidRPr="00993B55">
        <w:rPr>
          <w:rStyle w:val="libFootnoteBoldChar"/>
          <w:rtl/>
        </w:rPr>
        <w:t>التهذيب</w:t>
      </w:r>
      <w:r w:rsidR="008A74EB" w:rsidRPr="00C9040A">
        <w:rPr>
          <w:rtl/>
        </w:rPr>
        <w:t xml:space="preserve"> ، ج 5 ، ص 352 ، ح 1225 ، رواية صفوان</w:t>
      </w:r>
      <w:r w:rsidR="008A74EB">
        <w:rPr>
          <w:rtl/>
        </w:rPr>
        <w:t xml:space="preserve"> </w:t>
      </w:r>
      <w:r w:rsidR="0084262C">
        <w:rPr>
          <w:rtl/>
        </w:rPr>
        <w:t>-</w:t>
      </w:r>
      <w:r w:rsidR="008A74EB">
        <w:rPr>
          <w:rtl/>
        </w:rPr>
        <w:t xml:space="preserve"> </w:t>
      </w:r>
      <w:r w:rsidR="008A74EB" w:rsidRPr="00C9040A">
        <w:rPr>
          <w:rtl/>
        </w:rPr>
        <w:t>وهو ابن يحيى</w:t>
      </w:r>
      <w:r w:rsidR="008A74EB">
        <w:rPr>
          <w:rtl/>
        </w:rPr>
        <w:t xml:space="preserve"> </w:t>
      </w:r>
      <w:r w:rsidR="0084262C">
        <w:rPr>
          <w:rtl/>
        </w:rPr>
        <w:t>-</w:t>
      </w:r>
      <w:r w:rsidR="008A74EB">
        <w:rPr>
          <w:rtl/>
        </w:rPr>
        <w:t xml:space="preserve"> </w:t>
      </w:r>
      <w:r w:rsidR="008A74EB" w:rsidRPr="00C9040A">
        <w:rPr>
          <w:rtl/>
        </w:rPr>
        <w:t>عن الحكم بن أعين ، لكنّ المذكور في بعض نسخه المعتبرة هو « الحكم بن أيمن »</w:t>
      </w:r>
      <w:r w:rsidR="008A74EB">
        <w:rPr>
          <w:rtl/>
        </w:rPr>
        <w:t>.</w:t>
      </w:r>
      <w:r w:rsidR="008A74EB" w:rsidRPr="00C9040A">
        <w:rPr>
          <w:rtl/>
        </w:rPr>
        <w:t xml:space="preserve"> كما أنّ ما ورد في </w:t>
      </w:r>
      <w:r w:rsidR="008A74EB" w:rsidRPr="00993B55">
        <w:rPr>
          <w:rStyle w:val="libFootnoteBoldChar"/>
          <w:rtl/>
        </w:rPr>
        <w:t>البحار</w:t>
      </w:r>
      <w:r w:rsidR="008A74EB" w:rsidRPr="00C9040A">
        <w:rPr>
          <w:rtl/>
        </w:rPr>
        <w:t xml:space="preserve"> ، ج 27 ، ص 56 ، ح 12 ، نقلاً من المحاسن من حكم بن أعين ، قد ورد في </w:t>
      </w:r>
      <w:r w:rsidR="008A74EB" w:rsidRPr="00993B55">
        <w:rPr>
          <w:rStyle w:val="libFootnoteBoldChar"/>
          <w:rtl/>
        </w:rPr>
        <w:t>المحاسن</w:t>
      </w:r>
      <w:r w:rsidR="008A74EB" w:rsidRPr="00C9040A">
        <w:rPr>
          <w:rtl/>
        </w:rPr>
        <w:t xml:space="preserve"> ، ص 165 ، ح 120 ، حكم بن أيمن على الصواب.</w:t>
      </w:r>
    </w:p>
    <w:p w:rsidR="008A74EB" w:rsidRPr="00C9040A" w:rsidRDefault="006C577F" w:rsidP="004A4E41">
      <w:pPr>
        <w:pStyle w:val="libFootnote0"/>
        <w:rPr>
          <w:rtl/>
          <w:lang w:bidi="fa-IR"/>
        </w:rPr>
      </w:pPr>
      <w:r>
        <w:rPr>
          <w:rtl/>
        </w:rPr>
        <w:t>(5).</w:t>
      </w:r>
      <w:r w:rsidR="008A74EB" w:rsidRPr="00C9040A">
        <w:rPr>
          <w:rtl/>
        </w:rPr>
        <w:t xml:space="preserve"> في « ف » : « ويؤدّى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ب ، ز ، ص ، ض ، بر ، بس ، بف » والوافي : « ويستحلّ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ب ، ص ، بف » : « الفرج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راجع : ح 1 من هذا الباب</w:t>
      </w:r>
      <w:r w:rsidR="00E972DA">
        <w:rPr>
          <w:rFonts w:hint="cs"/>
          <w:rtl/>
        </w:rPr>
        <w:t>.</w:t>
      </w:r>
      <w:r w:rsidR="008A74EB" w:rsidRPr="00993B55">
        <w:rPr>
          <w:rStyle w:val="libFootnoteBoldChar"/>
          <w:rtl/>
        </w:rPr>
        <w:t>الوافي</w:t>
      </w:r>
      <w:r w:rsidR="008A74EB" w:rsidRPr="00C9040A">
        <w:rPr>
          <w:rtl/>
        </w:rPr>
        <w:t xml:space="preserve"> ، ج 4 ، ص 84 ، ح 1690 ؛ </w:t>
      </w:r>
      <w:r w:rsidR="008A74EB" w:rsidRPr="00993B55">
        <w:rPr>
          <w:rStyle w:val="libFootnoteBoldChar"/>
          <w:rtl/>
        </w:rPr>
        <w:t>الوسائل</w:t>
      </w:r>
      <w:r w:rsidR="008A74EB" w:rsidRPr="00C9040A">
        <w:rPr>
          <w:rtl/>
        </w:rPr>
        <w:t xml:space="preserve"> ، ج 20 ، ص 556 ، ذيل ح 26337 ؛ </w:t>
      </w:r>
      <w:r w:rsidR="008A74EB" w:rsidRPr="00993B55">
        <w:rPr>
          <w:rStyle w:val="libFootnoteBoldChar"/>
          <w:rtl/>
        </w:rPr>
        <w:t>البحار</w:t>
      </w:r>
      <w:r w:rsidR="008A74EB" w:rsidRPr="00C9040A">
        <w:rPr>
          <w:rtl/>
        </w:rPr>
        <w:t xml:space="preserve"> ، ج 68 ، ص 243 ، ذيل ح 3.</w:t>
      </w:r>
    </w:p>
    <w:p w:rsidR="004B7F34" w:rsidRDefault="004B7F34" w:rsidP="004B7F34">
      <w:pPr>
        <w:pStyle w:val="libNormal"/>
        <w:rPr>
          <w:rtl/>
          <w:lang w:bidi="fa-IR"/>
        </w:rPr>
      </w:pPr>
      <w:r>
        <w:rPr>
          <w:rtl/>
          <w:lang w:bidi="fa-IR"/>
        </w:rPr>
        <w:br w:type="page"/>
      </w:r>
    </w:p>
    <w:p w:rsidR="008A74EB" w:rsidRPr="00C9040A" w:rsidRDefault="008A74EB" w:rsidP="008A74EB">
      <w:pPr>
        <w:pStyle w:val="Heading2Center"/>
        <w:rPr>
          <w:rtl/>
          <w:lang w:bidi="fa-IR"/>
        </w:rPr>
      </w:pPr>
      <w:bookmarkStart w:id="55" w:name="_Toc343795606"/>
      <w:bookmarkStart w:id="56" w:name="_Toc459810730"/>
      <w:bookmarkStart w:id="57" w:name="_Toc35348636"/>
      <w:r w:rsidRPr="00C9040A">
        <w:rPr>
          <w:rtl/>
          <w:lang w:bidi="fa-IR"/>
        </w:rPr>
        <w:lastRenderedPageBreak/>
        <w:t>15</w:t>
      </w:r>
      <w:r>
        <w:rPr>
          <w:rtl/>
          <w:lang w:bidi="fa-IR"/>
        </w:rPr>
        <w:t xml:space="preserve"> </w:t>
      </w:r>
      <w:r w:rsidR="0084262C">
        <w:rPr>
          <w:rtl/>
          <w:lang w:bidi="fa-IR"/>
        </w:rPr>
        <w:t>-</w:t>
      </w:r>
      <w:r>
        <w:rPr>
          <w:rtl/>
          <w:lang w:bidi="fa-IR"/>
        </w:rPr>
        <w:t xml:space="preserve"> </w:t>
      </w:r>
      <w:r w:rsidRPr="00C9040A">
        <w:rPr>
          <w:rtl/>
          <w:lang w:bidi="fa-IR"/>
        </w:rPr>
        <w:t>بَابُ أَنَّ الْإِيمَانَ يَشْرَكُ الْإِسْلَامَ ، وَالْإِسْلَامَ لَايَشْرَكُ الْإِيمَانَ‌</w:t>
      </w:r>
      <w:bookmarkEnd w:id="55"/>
      <w:bookmarkEnd w:id="56"/>
      <w:bookmarkEnd w:id="57"/>
    </w:p>
    <w:p w:rsidR="008A74EB" w:rsidRPr="00C9040A" w:rsidRDefault="008A74EB" w:rsidP="008A74EB">
      <w:pPr>
        <w:pStyle w:val="libNormal"/>
        <w:rPr>
          <w:rtl/>
          <w:lang w:bidi="fa-IR"/>
        </w:rPr>
      </w:pPr>
      <w:r w:rsidRPr="002A423B">
        <w:rPr>
          <w:rtl/>
        </w:rPr>
        <w:t>1511</w:t>
      </w:r>
      <w:r w:rsidRPr="00261CB0">
        <w:rPr>
          <w:rStyle w:val="libBold2Char"/>
          <w:rtl/>
        </w:rPr>
        <w:t xml:space="preserve"> / 1.</w:t>
      </w:r>
      <w:r w:rsidRPr="00C9040A">
        <w:rPr>
          <w:rtl/>
          <w:lang w:bidi="fa-IR"/>
        </w:rPr>
        <w:t xml:space="preserve"> مُحَمَّدُ بْنُ يَحْيى ، عَنْ أَحْمَدَ بْنِ مُحَمَّدٍ ، عَنِ الْحَسَنِ بْنِ مَحْبُوبٍ ، عَنْ جَمِيلِ بْنِ صَالِحٍ ، عَنْ سَمَاعَةَ ، قَالَ :</w:t>
      </w:r>
    </w:p>
    <w:p w:rsidR="008A74EB" w:rsidRPr="00C9040A" w:rsidRDefault="008A74EB" w:rsidP="008A74EB">
      <w:pPr>
        <w:pStyle w:val="libNormal"/>
        <w:rPr>
          <w:rtl/>
          <w:lang w:bidi="fa-IR"/>
        </w:rPr>
      </w:pPr>
      <w:r w:rsidRPr="00C9040A">
        <w:rPr>
          <w:rtl/>
          <w:lang w:bidi="fa-IR"/>
        </w:rPr>
        <w:t xml:space="preserve">قُلْتُ لِأَبِي عَبْدِ اللهِ </w:t>
      </w:r>
      <w:r w:rsidRPr="0003660B">
        <w:rPr>
          <w:rStyle w:val="libAlaemChar"/>
          <w:rtl/>
        </w:rPr>
        <w:t>عليه‌السلام</w:t>
      </w:r>
      <w:r w:rsidRPr="00C9040A">
        <w:rPr>
          <w:rtl/>
          <w:lang w:bidi="fa-IR"/>
        </w:rPr>
        <w:t xml:space="preserve"> : أَخْبِرْنِي عَن</w:t>
      </w:r>
      <w:r>
        <w:rPr>
          <w:rtl/>
          <w:lang w:bidi="fa-IR"/>
        </w:rPr>
        <w:t>ِ الْإِسْلَامِ وَالْإِيمَانِ أَ</w:t>
      </w:r>
      <w:r w:rsidRPr="00C9040A">
        <w:rPr>
          <w:rtl/>
          <w:lang w:bidi="fa-IR"/>
        </w:rPr>
        <w:t>هُمَا مُخْتَلِفَانِ</w:t>
      </w:r>
      <w:r>
        <w:rPr>
          <w:rtl/>
          <w:lang w:bidi="fa-IR"/>
        </w:rPr>
        <w:t>؟</w:t>
      </w:r>
    </w:p>
    <w:p w:rsidR="008A74EB" w:rsidRPr="00C9040A" w:rsidRDefault="008A74EB" w:rsidP="008A74EB">
      <w:pPr>
        <w:pStyle w:val="libNormal"/>
        <w:rPr>
          <w:rtl/>
          <w:lang w:bidi="fa-IR"/>
        </w:rPr>
      </w:pPr>
      <w:r w:rsidRPr="00C9040A">
        <w:rPr>
          <w:rtl/>
          <w:lang w:bidi="fa-IR"/>
        </w:rPr>
        <w:t xml:space="preserve">فَقَالَ </w:t>
      </w:r>
      <w:r w:rsidR="006C577F" w:rsidRPr="006C577F">
        <w:rPr>
          <w:rStyle w:val="libFootnotenumChar"/>
          <w:rtl/>
        </w:rPr>
        <w:t>(1)</w:t>
      </w:r>
      <w:r w:rsidRPr="00463D87">
        <w:rPr>
          <w:rFonts w:hint="cs"/>
          <w:rtl/>
        </w:rPr>
        <w:t xml:space="preserve"> </w:t>
      </w:r>
      <w:r w:rsidRPr="00C9040A">
        <w:rPr>
          <w:rtl/>
          <w:lang w:bidi="fa-IR"/>
        </w:rPr>
        <w:t>: « إِنَّ الْإِيمَانَ يُشَارِكُ الْإِسْلَامَ ، وَالْإِسْلَامَ لَايُشَارِكُ الْإِيمَانَ »</w:t>
      </w:r>
      <w:r>
        <w:rPr>
          <w:rtl/>
          <w:lang w:bidi="fa-IR"/>
        </w:rPr>
        <w:t>.</w:t>
      </w:r>
    </w:p>
    <w:p w:rsidR="008A74EB" w:rsidRPr="00C9040A" w:rsidRDefault="008A74EB" w:rsidP="008A74EB">
      <w:pPr>
        <w:pStyle w:val="libNormal"/>
        <w:rPr>
          <w:rtl/>
          <w:lang w:bidi="fa-IR"/>
        </w:rPr>
      </w:pPr>
      <w:r w:rsidRPr="00C9040A">
        <w:rPr>
          <w:rtl/>
          <w:lang w:bidi="fa-IR"/>
        </w:rPr>
        <w:t xml:space="preserve">فَقُلْتُ : فَصِفْهُمَا </w:t>
      </w:r>
      <w:r w:rsidR="006C577F" w:rsidRPr="006C577F">
        <w:rPr>
          <w:rStyle w:val="libFootnotenumChar"/>
          <w:rtl/>
        </w:rPr>
        <w:t>(2)</w:t>
      </w:r>
      <w:r w:rsidRPr="00C9040A">
        <w:rPr>
          <w:rtl/>
          <w:lang w:bidi="fa-IR"/>
        </w:rPr>
        <w:t xml:space="preserve"> لِي.</w:t>
      </w:r>
    </w:p>
    <w:p w:rsidR="008A74EB" w:rsidRPr="00C9040A" w:rsidRDefault="008A74EB" w:rsidP="008B7A50">
      <w:pPr>
        <w:pStyle w:val="libNormal"/>
        <w:rPr>
          <w:rtl/>
          <w:lang w:bidi="fa-IR"/>
        </w:rPr>
      </w:pPr>
      <w:r w:rsidRPr="00C9040A">
        <w:rPr>
          <w:rtl/>
          <w:lang w:bidi="fa-IR"/>
        </w:rPr>
        <w:t>فَقَالَ : « الْإِسْلَامُ شَهَادَةُ أَنْ لَا</w:t>
      </w:r>
      <w:r>
        <w:rPr>
          <w:rFonts w:hint="cs"/>
          <w:rtl/>
          <w:lang w:bidi="fa-IR"/>
        </w:rPr>
        <w:t xml:space="preserve"> </w:t>
      </w:r>
      <w:r w:rsidR="002279EC">
        <w:rPr>
          <w:rtl/>
          <w:lang w:bidi="fa-IR"/>
        </w:rPr>
        <w:t>إِلهَ إِل</w:t>
      </w:r>
      <w:r w:rsidR="002279EC">
        <w:rPr>
          <w:rFonts w:hint="cs"/>
          <w:rtl/>
          <w:lang w:bidi="fa-IR"/>
        </w:rPr>
        <w:t>َّ</w:t>
      </w:r>
      <w:r w:rsidR="002279EC">
        <w:rPr>
          <w:rtl/>
          <w:lang w:bidi="fa-IR"/>
        </w:rPr>
        <w:t>ا</w:t>
      </w:r>
      <w:r w:rsidRPr="00C9040A">
        <w:rPr>
          <w:rtl/>
          <w:lang w:bidi="fa-IR"/>
        </w:rPr>
        <w:t xml:space="preserve"> اللهُ ، وَالتَّصْدِيقُ بِرَسُولِ اللهِ </w:t>
      </w:r>
      <w:r w:rsidR="004A4E41" w:rsidRPr="004A4E41">
        <w:rPr>
          <w:rStyle w:val="libAlaemChar"/>
          <w:rFonts w:eastAsiaTheme="minorHAnsi"/>
          <w:rtl/>
        </w:rPr>
        <w:t>صلى‌الله‌عليه‌وآله</w:t>
      </w:r>
      <w:r w:rsidR="008B7A50" w:rsidRPr="00C9040A">
        <w:rPr>
          <w:rtl/>
          <w:lang w:bidi="fa-IR"/>
        </w:rPr>
        <w:t xml:space="preserve"> </w:t>
      </w:r>
      <w:r w:rsidRPr="00C9040A">
        <w:rPr>
          <w:rtl/>
          <w:lang w:bidi="fa-IR"/>
        </w:rPr>
        <w:t>، بِهِ حُقِنَتِ الدِّمَاءُ ، وَعَلَيْهِ جَرَتِ الْمَنَاكِحُ وَالْمَوَارِيثُ ، وَعَلى ظَاهِرِهِ جَمَاعَةُ النَّاسِ ، وَ</w:t>
      </w:r>
      <w:r>
        <w:rPr>
          <w:rFonts w:hint="cs"/>
          <w:rtl/>
          <w:lang w:bidi="fa-IR"/>
        </w:rPr>
        <w:t xml:space="preserve"> </w:t>
      </w:r>
      <w:r w:rsidR="006C577F" w:rsidRPr="006C577F">
        <w:rPr>
          <w:rStyle w:val="libFootnotenumChar"/>
          <w:rtl/>
        </w:rPr>
        <w:t>(3)</w:t>
      </w:r>
      <w:r w:rsidRPr="00C9040A">
        <w:rPr>
          <w:rtl/>
          <w:lang w:bidi="fa-IR"/>
        </w:rPr>
        <w:t xml:space="preserve"> الْإِيمَانُ الْهُدى وَمَا يَثْبُتُ </w:t>
      </w:r>
      <w:r w:rsidR="006C577F" w:rsidRPr="006C577F">
        <w:rPr>
          <w:rStyle w:val="libFootnotenumChar"/>
          <w:rtl/>
        </w:rPr>
        <w:t>(4)</w:t>
      </w:r>
      <w:r w:rsidRPr="00C9040A">
        <w:rPr>
          <w:rtl/>
          <w:lang w:bidi="fa-IR"/>
        </w:rPr>
        <w:t xml:space="preserve"> فِي الْقُلُوبِ مِنْ صِفَةِ الْإِسْلَامِ وَمَا ظَهَرَ مِنَ الْعَمَلِ بِهِ </w:t>
      </w:r>
      <w:r w:rsidR="006C577F" w:rsidRPr="006C577F">
        <w:rPr>
          <w:rStyle w:val="libFootnotenumChar"/>
          <w:rtl/>
        </w:rPr>
        <w:t>(5)</w:t>
      </w:r>
      <w:r w:rsidRPr="00C9040A">
        <w:rPr>
          <w:rtl/>
          <w:lang w:bidi="fa-IR"/>
        </w:rPr>
        <w:t xml:space="preserve"> ، وَالْإِيمَانُ أَرْفَعُ مِنَ الْإِسْلَامِ بِدَرَجَةٍ ؛ إِنَّ </w:t>
      </w:r>
      <w:r w:rsidR="006C577F" w:rsidRPr="006C577F">
        <w:rPr>
          <w:rStyle w:val="libFootnotenumChar"/>
          <w:rtl/>
        </w:rPr>
        <w:t>(6)</w:t>
      </w:r>
      <w:r w:rsidRPr="005B567D">
        <w:rPr>
          <w:rStyle w:val="libFootnotenumChar"/>
          <w:rtl/>
        </w:rPr>
        <w:t xml:space="preserve"> </w:t>
      </w:r>
      <w:r w:rsidRPr="00C9040A">
        <w:rPr>
          <w:rtl/>
          <w:lang w:bidi="fa-IR"/>
        </w:rPr>
        <w:t>الْإِيمَانَ يُشَارِكُ الْإِسْلَامَ فِي الظَّاهِرِ ، وَالْإِسْلَامَ لَايُشَارِكُ الْإِيمَانَ فِي الْبَاطِنِ ، وَإِنِ اجْتَمَعَا فِي الْقَوْلِ وَالصِّفَةِ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2A423B">
        <w:rPr>
          <w:rtl/>
        </w:rPr>
        <w:t>1512</w:t>
      </w:r>
      <w:r w:rsidRPr="00261CB0">
        <w:rPr>
          <w:rStyle w:val="libBold2Char"/>
          <w:rtl/>
        </w:rPr>
        <w:t xml:space="preserve"> / 2.</w:t>
      </w:r>
      <w:r w:rsidRPr="00C9040A">
        <w:rPr>
          <w:rtl/>
          <w:lang w:bidi="fa-IR"/>
        </w:rPr>
        <w:t xml:space="preserve"> عَلِيُّ بْنُ إِبْرَاهِيمَ ، عَنْ مُحَمَّدِ بْنِ عِيسى ، عَنْ يُونُسَ بْنِ عَبْدِ الرَّحْمنِ ، عَنْ مُوسَى بْنِ بَكْرٍ ، عَنْ فُضَيْلِ بْنِ يَسَارٍ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الْإِيمَانُ يُشَارِكُ الْإِسْلَامَ ، وَالْإِسْلَامُ لَايُشَارِكُ الْإِيمَانَ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2279EC" w:rsidTr="002279EC">
        <w:tc>
          <w:tcPr>
            <w:tcW w:w="4006" w:type="dxa"/>
          </w:tcPr>
          <w:p w:rsidR="002279EC" w:rsidRDefault="002279EC" w:rsidP="004A4E41">
            <w:pPr>
              <w:pStyle w:val="libFootnote0"/>
              <w:rPr>
                <w:rtl/>
              </w:rPr>
            </w:pPr>
            <w:r>
              <w:rPr>
                <w:rtl/>
              </w:rPr>
              <w:t>(1).</w:t>
            </w:r>
            <w:r w:rsidRPr="00C9040A">
              <w:rPr>
                <w:rtl/>
              </w:rPr>
              <w:t xml:space="preserve"> في « ز ، بس ، بف » : « قال »</w:t>
            </w:r>
            <w:r>
              <w:rPr>
                <w:rtl/>
              </w:rPr>
              <w:t>.</w:t>
            </w:r>
          </w:p>
        </w:tc>
        <w:tc>
          <w:tcPr>
            <w:tcW w:w="4006" w:type="dxa"/>
          </w:tcPr>
          <w:p w:rsidR="002279EC" w:rsidRDefault="002279EC" w:rsidP="004A4E41">
            <w:pPr>
              <w:pStyle w:val="libFootnote0"/>
              <w:rPr>
                <w:rtl/>
              </w:rPr>
            </w:pPr>
            <w:r>
              <w:rPr>
                <w:rtl/>
              </w:rPr>
              <w:t>(2). في«ب»:«</w:t>
            </w:r>
            <w:r w:rsidRPr="00C9040A">
              <w:rPr>
                <w:rtl/>
              </w:rPr>
              <w:t>صفهما»</w:t>
            </w:r>
            <w:r>
              <w:rPr>
                <w:rtl/>
              </w:rPr>
              <w:t>. وفي « ص » :«فقصّهما</w:t>
            </w:r>
            <w:r w:rsidRPr="00C9040A">
              <w:rPr>
                <w:rtl/>
              </w:rPr>
              <w:t>»</w:t>
            </w:r>
            <w:r>
              <w:rPr>
                <w:rtl/>
              </w:rPr>
              <w:t>.</w:t>
            </w:r>
          </w:p>
        </w:tc>
      </w:tr>
      <w:tr w:rsidR="002279EC" w:rsidTr="002279EC">
        <w:tc>
          <w:tcPr>
            <w:tcW w:w="4006" w:type="dxa"/>
          </w:tcPr>
          <w:p w:rsidR="002279EC" w:rsidRDefault="002279EC" w:rsidP="004A4E41">
            <w:pPr>
              <w:pStyle w:val="libFootnote0"/>
              <w:rPr>
                <w:rtl/>
              </w:rPr>
            </w:pPr>
            <w:r>
              <w:rPr>
                <w:rtl/>
              </w:rPr>
              <w:t>(3).</w:t>
            </w:r>
            <w:r w:rsidRPr="00C9040A">
              <w:rPr>
                <w:rtl/>
              </w:rPr>
              <w:t xml:space="preserve"> في حاشية « ج » : « وأنّ »</w:t>
            </w:r>
            <w:r>
              <w:rPr>
                <w:rtl/>
              </w:rPr>
              <w:t>.</w:t>
            </w:r>
          </w:p>
        </w:tc>
        <w:tc>
          <w:tcPr>
            <w:tcW w:w="4006" w:type="dxa"/>
          </w:tcPr>
          <w:p w:rsidR="002279EC" w:rsidRDefault="002279EC" w:rsidP="004A4E41">
            <w:pPr>
              <w:pStyle w:val="libFootnote0"/>
              <w:rPr>
                <w:rtl/>
              </w:rPr>
            </w:pPr>
            <w:r>
              <w:rPr>
                <w:rtl/>
              </w:rPr>
              <w:t>(4).</w:t>
            </w:r>
            <w:r w:rsidRPr="00C9040A">
              <w:rPr>
                <w:rtl/>
              </w:rPr>
              <w:t xml:space="preserve"> في « ض » : « اثبت »</w:t>
            </w:r>
            <w:r>
              <w:rPr>
                <w:rtl/>
              </w:rPr>
              <w:t>.</w:t>
            </w:r>
          </w:p>
        </w:tc>
      </w:tr>
    </w:tbl>
    <w:p w:rsidR="008A74EB" w:rsidRPr="00C9040A" w:rsidRDefault="006C577F" w:rsidP="004A4E41">
      <w:pPr>
        <w:pStyle w:val="libFootnote0"/>
        <w:rPr>
          <w:rtl/>
          <w:lang w:bidi="fa-IR"/>
        </w:rPr>
      </w:pPr>
      <w:r>
        <w:rPr>
          <w:rtl/>
        </w:rPr>
        <w:t>(5).</w:t>
      </w:r>
      <w:r w:rsidR="008A74EB" w:rsidRPr="00C9040A">
        <w:rPr>
          <w:rtl/>
        </w:rPr>
        <w:t xml:space="preserve"> في « ص ، ض ، ف ، بس » ومرآة العقول </w:t>
      </w:r>
      <w:r w:rsidR="008A74EB">
        <w:rPr>
          <w:rtl/>
        </w:rPr>
        <w:t xml:space="preserve">: </w:t>
      </w:r>
      <w:r w:rsidR="0084262C">
        <w:rPr>
          <w:rtl/>
        </w:rPr>
        <w:t>-</w:t>
      </w:r>
      <w:r w:rsidR="008A74EB" w:rsidRPr="00C9040A">
        <w:rPr>
          <w:rtl/>
        </w:rPr>
        <w:t xml:space="preserve"> « به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 ض » ومرآة العقول </w:t>
      </w:r>
      <w:r w:rsidR="008A74EB">
        <w:rPr>
          <w:rtl/>
        </w:rPr>
        <w:t xml:space="preserve">: </w:t>
      </w:r>
      <w:r w:rsidR="0084262C">
        <w:rPr>
          <w:rtl/>
        </w:rPr>
        <w:t>-</w:t>
      </w:r>
      <w:r w:rsidR="008A74EB" w:rsidRPr="00C9040A">
        <w:rPr>
          <w:rtl/>
        </w:rPr>
        <w:t xml:space="preserve"> « إنّ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الوافي</w:t>
      </w:r>
      <w:r w:rsidR="008A74EB" w:rsidRPr="00C9040A">
        <w:rPr>
          <w:rtl/>
        </w:rPr>
        <w:t xml:space="preserve"> ، ج 4 ، ص 77 ، ح 1676 ؛ </w:t>
      </w:r>
      <w:r w:rsidR="008A74EB" w:rsidRPr="00993B55">
        <w:rPr>
          <w:rStyle w:val="libFootnoteBoldChar"/>
          <w:rtl/>
        </w:rPr>
        <w:t>البحار</w:t>
      </w:r>
      <w:r w:rsidR="008A74EB" w:rsidRPr="00C9040A">
        <w:rPr>
          <w:rtl/>
        </w:rPr>
        <w:t xml:space="preserve"> ، ج 68 ، ص 248 ، ح 8.</w:t>
      </w:r>
    </w:p>
    <w:p w:rsidR="008A74EB" w:rsidRPr="00C9040A" w:rsidRDefault="006C577F" w:rsidP="004A4E41">
      <w:pPr>
        <w:pStyle w:val="libFootnote0"/>
        <w:rPr>
          <w:rtl/>
          <w:lang w:bidi="fa-IR"/>
        </w:rPr>
      </w:pPr>
      <w:r>
        <w:rPr>
          <w:rtl/>
        </w:rPr>
        <w:t>(8).</w:t>
      </w:r>
      <w:r w:rsidR="008A74EB" w:rsidRPr="00C9040A">
        <w:rPr>
          <w:rtl/>
        </w:rPr>
        <w:t xml:space="preserve"> </w:t>
      </w:r>
      <w:r w:rsidR="008A74EB" w:rsidRPr="00993B55">
        <w:rPr>
          <w:rStyle w:val="libFootnoteBoldChar"/>
          <w:rtl/>
        </w:rPr>
        <w:t>الوافي</w:t>
      </w:r>
      <w:r w:rsidR="008A74EB" w:rsidRPr="00C9040A">
        <w:rPr>
          <w:rtl/>
        </w:rPr>
        <w:t xml:space="preserve"> ، ج 4 ، ص 79 ، ح 1678 ؛ </w:t>
      </w:r>
      <w:r w:rsidR="008A74EB" w:rsidRPr="00993B55">
        <w:rPr>
          <w:rStyle w:val="libFootnoteBoldChar"/>
          <w:rtl/>
        </w:rPr>
        <w:t>البحار</w:t>
      </w:r>
      <w:r w:rsidR="008A74EB" w:rsidRPr="00C9040A">
        <w:rPr>
          <w:rtl/>
        </w:rPr>
        <w:t xml:space="preserve"> ، ج 68 ، ص 249 ، ح 9.</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2A423B">
        <w:rPr>
          <w:rtl/>
        </w:rPr>
        <w:lastRenderedPageBreak/>
        <w:t>1513</w:t>
      </w:r>
      <w:r w:rsidRPr="00261CB0">
        <w:rPr>
          <w:rStyle w:val="libBold2Char"/>
          <w:rtl/>
        </w:rPr>
        <w:t xml:space="preserve"> / 3.</w:t>
      </w:r>
      <w:r w:rsidRPr="00C9040A">
        <w:rPr>
          <w:rtl/>
          <w:lang w:bidi="fa-IR"/>
        </w:rPr>
        <w:t xml:space="preserve"> عَلِيٌّ ، عَنْ أَبِيهِ ، عَنِ ابْنِ أَبِي عُمَيْرٍ ، عَنْ جَمِيلِ بْنِ دَرَّاجٍ ، عَنْ فُضَيْلِ بْنِ يَسَارٍ ، قَالَ :</w:t>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 « إِنَّ </w:t>
      </w:r>
      <w:r w:rsidR="006C577F" w:rsidRPr="006C577F">
        <w:rPr>
          <w:rStyle w:val="libFootnotenumChar"/>
          <w:rtl/>
        </w:rPr>
        <w:t>(1)</w:t>
      </w:r>
      <w:r w:rsidRPr="00853746">
        <w:rPr>
          <w:rFonts w:hint="cs"/>
          <w:rtl/>
        </w:rPr>
        <w:t xml:space="preserve"> </w:t>
      </w:r>
      <w:r w:rsidRPr="00C9040A">
        <w:rPr>
          <w:rtl/>
          <w:lang w:bidi="fa-IR"/>
        </w:rPr>
        <w:t xml:space="preserve">الْإِيمَانَ يُشَارِكُ الْإِسْلَامَ ، وَلَا يُشَارِكُهُ </w:t>
      </w:r>
      <w:r w:rsidR="006C577F" w:rsidRPr="006C577F">
        <w:rPr>
          <w:rStyle w:val="libFootnotenumChar"/>
          <w:rtl/>
        </w:rPr>
        <w:t>(2)</w:t>
      </w:r>
      <w:r w:rsidRPr="00C9040A">
        <w:rPr>
          <w:rtl/>
          <w:lang w:bidi="fa-IR"/>
        </w:rPr>
        <w:t xml:space="preserve"> الْإِسْلَامُ </w:t>
      </w:r>
      <w:r w:rsidR="006C577F" w:rsidRPr="006C577F">
        <w:rPr>
          <w:rStyle w:val="libFootnotenumChar"/>
          <w:rtl/>
        </w:rPr>
        <w:t>(3)</w:t>
      </w:r>
      <w:r w:rsidRPr="00C9040A">
        <w:rPr>
          <w:rtl/>
          <w:lang w:bidi="fa-IR"/>
        </w:rPr>
        <w:t xml:space="preserve"> ؛ إِنَّ الْإِيمَانَ مَا وَقَرَ </w:t>
      </w:r>
      <w:r w:rsidR="006C577F" w:rsidRPr="006C577F">
        <w:rPr>
          <w:rStyle w:val="libFootnotenumChar"/>
          <w:rtl/>
        </w:rPr>
        <w:t>(4)</w:t>
      </w:r>
      <w:r w:rsidRPr="00C9040A">
        <w:rPr>
          <w:rtl/>
          <w:lang w:bidi="fa-IR"/>
        </w:rPr>
        <w:t xml:space="preserve"> فِي الْقُلُوبِ ، وَالْإِسْلَامَ مَا عَلَيْهِ الْمَنَاكِحُ وَالْمَوَارِيثُ وَحَقْنُ الدِّمَاءِ ، وَالْإِيمَانَ يَشْرَكُ </w:t>
      </w:r>
      <w:r w:rsidR="006C577F" w:rsidRPr="006C577F">
        <w:rPr>
          <w:rStyle w:val="libFootnotenumChar"/>
          <w:rtl/>
        </w:rPr>
        <w:t>(5)</w:t>
      </w:r>
      <w:r w:rsidRPr="00C9040A">
        <w:rPr>
          <w:rtl/>
          <w:lang w:bidi="fa-IR"/>
        </w:rPr>
        <w:t xml:space="preserve"> الْإِسْلَامَ ، وَالْإِسْلَامَ لَايَشْرَكُ </w:t>
      </w:r>
      <w:r w:rsidR="006C577F" w:rsidRPr="006C577F">
        <w:rPr>
          <w:rStyle w:val="libFootnotenumChar"/>
          <w:rtl/>
        </w:rPr>
        <w:t>(6)</w:t>
      </w:r>
      <w:r w:rsidRPr="005B567D">
        <w:rPr>
          <w:rStyle w:val="libFootnotenumChar"/>
          <w:rtl/>
        </w:rPr>
        <w:t xml:space="preserve"> </w:t>
      </w:r>
      <w:r w:rsidRPr="00C9040A">
        <w:rPr>
          <w:rtl/>
          <w:lang w:bidi="fa-IR"/>
        </w:rPr>
        <w:t>الْإِيمَانَ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2A423B">
        <w:rPr>
          <w:rtl/>
        </w:rPr>
        <w:t>1514</w:t>
      </w:r>
      <w:r w:rsidRPr="00261CB0">
        <w:rPr>
          <w:rStyle w:val="libBold2Char"/>
          <w:rtl/>
        </w:rPr>
        <w:t xml:space="preserve"> / 4.</w:t>
      </w:r>
      <w:r w:rsidRPr="00C9040A">
        <w:rPr>
          <w:rtl/>
          <w:lang w:bidi="fa-IR"/>
        </w:rPr>
        <w:t xml:space="preserve"> عِدَّةٌ مِنْ أَصْحَابِنَا ، عَنْ أَحْمَدَ بْنِ مُحَمَّدِ بْنِ خَالِدٍ ، عَنِ الْحَسَنِ بْنِ مَحْبُوبٍ ، عَنْ أَبِي الصَّبَّاحِ الْكِنَانِيِّ ، قَالَ :</w:t>
      </w:r>
    </w:p>
    <w:p w:rsidR="008A74EB" w:rsidRPr="00C9040A" w:rsidRDefault="008A74EB" w:rsidP="008A74EB">
      <w:pPr>
        <w:pStyle w:val="libNormal"/>
        <w:rPr>
          <w:rtl/>
          <w:lang w:bidi="fa-IR"/>
        </w:rPr>
      </w:pPr>
      <w:r w:rsidRPr="00C9040A">
        <w:rPr>
          <w:rtl/>
          <w:lang w:bidi="fa-IR"/>
        </w:rPr>
        <w:t xml:space="preserve">قُلْتُ لِأَبِي عَبْدِ اللهِ </w:t>
      </w:r>
      <w:r w:rsidRPr="0003660B">
        <w:rPr>
          <w:rStyle w:val="libAlaemChar"/>
          <w:rtl/>
        </w:rPr>
        <w:t>عليه‌السلام</w:t>
      </w:r>
      <w:r w:rsidRPr="00C9040A">
        <w:rPr>
          <w:rtl/>
          <w:lang w:bidi="fa-IR"/>
        </w:rPr>
        <w:t xml:space="preserve"> : أَيُّهُمَا </w:t>
      </w:r>
      <w:r w:rsidR="006C577F" w:rsidRPr="006C577F">
        <w:rPr>
          <w:rStyle w:val="libFootnotenumChar"/>
          <w:rtl/>
        </w:rPr>
        <w:t>(8)</w:t>
      </w:r>
      <w:r w:rsidRPr="00C9040A">
        <w:rPr>
          <w:rtl/>
          <w:lang w:bidi="fa-IR"/>
        </w:rPr>
        <w:t xml:space="preserve"> أَفْضَلُ : الْإِيمَانُ أَوِ </w:t>
      </w:r>
      <w:r w:rsidR="006C577F" w:rsidRPr="006C577F">
        <w:rPr>
          <w:rStyle w:val="libFootnotenumChar"/>
          <w:rtl/>
        </w:rPr>
        <w:t>(9)</w:t>
      </w:r>
      <w:r w:rsidRPr="00C9040A">
        <w:rPr>
          <w:rtl/>
          <w:lang w:bidi="fa-IR"/>
        </w:rPr>
        <w:t xml:space="preserve"> الْإِسْلَامُ </w:t>
      </w:r>
      <w:r w:rsidR="006C577F" w:rsidRPr="006C577F">
        <w:rPr>
          <w:rStyle w:val="libFootnotenumChar"/>
          <w:rtl/>
        </w:rPr>
        <w:t>(10)</w:t>
      </w:r>
      <w:r>
        <w:rPr>
          <w:rtl/>
          <w:lang w:bidi="fa-IR"/>
        </w:rPr>
        <w:t>؟</w:t>
      </w:r>
      <w:r w:rsidRPr="00C9040A">
        <w:rPr>
          <w:rtl/>
          <w:lang w:bidi="fa-IR"/>
        </w:rPr>
        <w:t xml:space="preserve"> فَإِنَّ مَنْ قِبَلَنَا يَقُولُونَ : إِنَّ </w:t>
      </w:r>
      <w:r w:rsidR="006C577F" w:rsidRPr="006C577F">
        <w:rPr>
          <w:rStyle w:val="libFootnotenumChar"/>
          <w:rtl/>
        </w:rPr>
        <w:t>(11)</w:t>
      </w:r>
      <w:r w:rsidRPr="00C9040A">
        <w:rPr>
          <w:rtl/>
          <w:lang w:bidi="fa-IR"/>
        </w:rPr>
        <w:t xml:space="preserve"> الْإِسْلَامَ أَفْضَلُ مِنَ الْإِيمَانِ </w:t>
      </w:r>
      <w:r w:rsidR="006C577F" w:rsidRPr="006C577F">
        <w:rPr>
          <w:rStyle w:val="libFootnotenumChar"/>
          <w:rtl/>
        </w:rPr>
        <w:t>(12)</w:t>
      </w:r>
    </w:p>
    <w:p w:rsidR="008A74EB" w:rsidRPr="00C9040A" w:rsidRDefault="008A74EB" w:rsidP="008A74EB">
      <w:pPr>
        <w:pStyle w:val="libNormal"/>
        <w:rPr>
          <w:rtl/>
          <w:lang w:bidi="fa-IR"/>
        </w:rPr>
      </w:pPr>
      <w:r w:rsidRPr="00C9040A">
        <w:rPr>
          <w:rtl/>
          <w:lang w:bidi="fa-IR"/>
        </w:rPr>
        <w:t xml:space="preserve">فَقَالَ : « الْإِيمَانُ أَرْفَعُ مِنَ الْإِسْلَامِ </w:t>
      </w:r>
      <w:r w:rsidRPr="005B567D">
        <w:rPr>
          <w:rStyle w:val="libFootnotenumChar"/>
          <w:rtl/>
        </w:rPr>
        <w:t>(13)</w:t>
      </w:r>
      <w:r w:rsidRPr="00C9040A">
        <w:rPr>
          <w:rtl/>
          <w:lang w:bidi="fa-IR"/>
        </w:rPr>
        <w:t xml:space="preserve"> »</w:t>
      </w:r>
      <w:r>
        <w:rPr>
          <w:rtl/>
          <w:lang w:bidi="fa-IR"/>
        </w:rPr>
        <w:t>.</w:t>
      </w:r>
      <w:r w:rsidRPr="00C9040A">
        <w:rPr>
          <w:rtl/>
          <w:lang w:bidi="fa-IR"/>
        </w:rPr>
        <w:t xml:space="preserve"> قُلْتُ : فَأَوْجِدْنِي ذلِكَ ، قَالَ : « مَا </w:t>
      </w:r>
      <w:r w:rsidRPr="005B567D">
        <w:rPr>
          <w:rStyle w:val="libFootnotenumChar"/>
          <w:rtl/>
        </w:rPr>
        <w:t>(14)</w:t>
      </w:r>
      <w:r w:rsidRPr="00C9040A">
        <w:rPr>
          <w:rtl/>
          <w:lang w:bidi="fa-IR"/>
        </w:rPr>
        <w:t xml:space="preserve"> تَقُولُ فِيمَنْ أَحْدَثَ فِي الْمَسْجِدِ الْحَرَامِ مُتَعَمِّداً</w:t>
      </w:r>
      <w:r>
        <w:rPr>
          <w:rtl/>
          <w:lang w:bidi="fa-IR"/>
        </w:rPr>
        <w:t>؟</w:t>
      </w:r>
      <w:r w:rsidRPr="00C9040A">
        <w:rPr>
          <w:rtl/>
          <w:lang w:bidi="fa-IR"/>
        </w:rPr>
        <w:t xml:space="preserve"> » قَالَ : قُلْتُ : يُضْرَبُ ضَرْباً شَدِيداً ، قَالَ : « أَصَبْتَ </w:t>
      </w:r>
      <w:r w:rsidRPr="005B567D">
        <w:rPr>
          <w:rStyle w:val="libFootnotenumChar"/>
          <w:rtl/>
        </w:rPr>
        <w:t>(15)</w:t>
      </w:r>
      <w:r w:rsidRPr="00C9040A">
        <w:rPr>
          <w:rtl/>
          <w:lang w:bidi="fa-IR"/>
        </w:rPr>
        <w:t xml:space="preserve"> »</w:t>
      </w:r>
      <w:r>
        <w:rPr>
          <w:rtl/>
          <w:lang w:bidi="fa-IR"/>
        </w:rPr>
        <w:t>.</w:t>
      </w:r>
    </w:p>
    <w:p w:rsidR="008A74EB" w:rsidRPr="00C9040A" w:rsidRDefault="008A74EB" w:rsidP="008A74EB">
      <w:pPr>
        <w:pStyle w:val="libLine"/>
        <w:rPr>
          <w:rtl/>
          <w:lang w:bidi="fa-IR"/>
        </w:rPr>
      </w:pPr>
      <w:r w:rsidRPr="00C9040A">
        <w:rPr>
          <w:rtl/>
          <w:lang w:bidi="fa-IR"/>
        </w:rPr>
        <w:t>__________________</w:t>
      </w:r>
    </w:p>
    <w:p w:rsidR="008A74EB" w:rsidRPr="004A4E41" w:rsidRDefault="006C577F" w:rsidP="004A4E41">
      <w:pPr>
        <w:pStyle w:val="libFootnote0"/>
        <w:rPr>
          <w:rStyle w:val="libFootnote0Char"/>
          <w:rtl/>
        </w:rPr>
      </w:pPr>
      <w:r>
        <w:rPr>
          <w:rtl/>
        </w:rPr>
        <w:t>(1).</w:t>
      </w:r>
      <w:r w:rsidR="008A74EB" w:rsidRPr="00C9040A">
        <w:rPr>
          <w:rtl/>
        </w:rPr>
        <w:t xml:space="preserve"> في « ز » </w:t>
      </w:r>
      <w:r w:rsidR="008A74EB">
        <w:rPr>
          <w:rtl/>
        </w:rPr>
        <w:t xml:space="preserve">: </w:t>
      </w:r>
      <w:r w:rsidR="0084262C">
        <w:rPr>
          <w:rtl/>
        </w:rPr>
        <w:t>-</w:t>
      </w:r>
      <w:r w:rsidR="008A74EB" w:rsidRPr="00C9040A">
        <w:rPr>
          <w:rtl/>
        </w:rPr>
        <w:t xml:space="preserve"> « إنّ »</w:t>
      </w:r>
      <w:r w:rsidR="008A74EB">
        <w:rPr>
          <w:rtl/>
        </w:rPr>
        <w:t>.</w:t>
      </w:r>
    </w:p>
    <w:tbl>
      <w:tblPr>
        <w:tblStyle w:val="TableGrid"/>
        <w:bidiVisual/>
        <w:tblW w:w="0" w:type="auto"/>
        <w:tblLook w:val="04A0" w:firstRow="1" w:lastRow="0" w:firstColumn="1" w:lastColumn="0" w:noHBand="0" w:noVBand="1"/>
      </w:tblPr>
      <w:tblGrid>
        <w:gridCol w:w="4006"/>
        <w:gridCol w:w="4006"/>
      </w:tblGrid>
      <w:tr w:rsidR="00CC4E25" w:rsidTr="00CC4E25">
        <w:tc>
          <w:tcPr>
            <w:tcW w:w="4006" w:type="dxa"/>
          </w:tcPr>
          <w:p w:rsidR="00CC4E25" w:rsidRDefault="00CC4E25" w:rsidP="004A4E41">
            <w:pPr>
              <w:pStyle w:val="libFootnote0"/>
              <w:rPr>
                <w:rtl/>
              </w:rPr>
            </w:pPr>
            <w:r>
              <w:rPr>
                <w:rtl/>
              </w:rPr>
              <w:t xml:space="preserve">(2). </w:t>
            </w:r>
            <w:r w:rsidRPr="00C9040A">
              <w:rPr>
                <w:rtl/>
              </w:rPr>
              <w:t>في « ز » وحاشية « ج » : « ولا يشركه »</w:t>
            </w:r>
            <w:r>
              <w:rPr>
                <w:rtl/>
              </w:rPr>
              <w:t>.</w:t>
            </w:r>
          </w:p>
        </w:tc>
        <w:tc>
          <w:tcPr>
            <w:tcW w:w="4006" w:type="dxa"/>
          </w:tcPr>
          <w:p w:rsidR="00CC4E25" w:rsidRDefault="00CC4E25" w:rsidP="004A4E41">
            <w:pPr>
              <w:pStyle w:val="libFootnote0"/>
              <w:rPr>
                <w:rtl/>
              </w:rPr>
            </w:pPr>
            <w:r>
              <w:rPr>
                <w:rtl/>
              </w:rPr>
              <w:t>(3).</w:t>
            </w:r>
            <w:r w:rsidRPr="00C9040A">
              <w:rPr>
                <w:rtl/>
              </w:rPr>
              <w:t xml:space="preserve"> في « ص » : « والإسلام لا يشارك الإيمان »</w:t>
            </w:r>
            <w:r>
              <w:rPr>
                <w:rtl/>
              </w:rPr>
              <w:t>.</w:t>
            </w:r>
          </w:p>
        </w:tc>
      </w:tr>
    </w:tbl>
    <w:p w:rsidR="008A74EB" w:rsidRPr="00C9040A" w:rsidRDefault="006C577F" w:rsidP="004A4E41">
      <w:pPr>
        <w:pStyle w:val="libFootnote0"/>
        <w:rPr>
          <w:rtl/>
          <w:lang w:bidi="fa-IR"/>
        </w:rPr>
      </w:pPr>
      <w:r>
        <w:rPr>
          <w:rtl/>
        </w:rPr>
        <w:t>(4).</w:t>
      </w:r>
      <w:r w:rsidR="008A74EB" w:rsidRPr="00C9040A">
        <w:rPr>
          <w:rtl/>
        </w:rPr>
        <w:t xml:space="preserve"> في « ج ، ز ، بر » : « وقّر » بالتشديد. ووقر في صدره ، أي سكن فيه وثبت. </w:t>
      </w:r>
      <w:r w:rsidR="008A74EB" w:rsidRPr="00993B55">
        <w:rPr>
          <w:rStyle w:val="libFootnoteBoldChar"/>
          <w:rtl/>
        </w:rPr>
        <w:t>النهاية</w:t>
      </w:r>
      <w:r w:rsidR="008A74EB" w:rsidRPr="00C9040A">
        <w:rPr>
          <w:rtl/>
        </w:rPr>
        <w:t xml:space="preserve"> ، ج 5 ، ص 213 ( وقر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ب ، ج » والوافي : « يشارك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ب ، ج » والوافي : « لا يشارك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المحاسن</w:t>
      </w:r>
      <w:r w:rsidR="008A74EB" w:rsidRPr="00C9040A">
        <w:rPr>
          <w:rtl/>
        </w:rPr>
        <w:t xml:space="preserve"> ، ص 285 ، كتاب مصابيح الظلم ، ح 424 ، بسند آخر عن أبي جعفر </w:t>
      </w:r>
      <w:r w:rsidR="00117575" w:rsidRPr="00117575">
        <w:rPr>
          <w:rStyle w:val="libFootnoteAlaemChar"/>
          <w:rtl/>
        </w:rPr>
        <w:t>عليه‌السلام</w:t>
      </w:r>
      <w:r w:rsidR="008A74EB" w:rsidRPr="00C9040A">
        <w:rPr>
          <w:rtl/>
        </w:rPr>
        <w:t xml:space="preserve"> ، من قوله : « الإيمان ما وقر في القلوب » مع اختلاف يسير</w:t>
      </w:r>
      <w:r w:rsidR="00CC4E25">
        <w:rPr>
          <w:rFonts w:hint="cs"/>
          <w:rtl/>
        </w:rPr>
        <w:t>.</w:t>
      </w:r>
      <w:r w:rsidR="008A74EB" w:rsidRPr="00993B55">
        <w:rPr>
          <w:rStyle w:val="libFootnoteBoldChar"/>
          <w:rtl/>
        </w:rPr>
        <w:t>الوافي</w:t>
      </w:r>
      <w:r w:rsidR="008A74EB" w:rsidRPr="00C9040A">
        <w:rPr>
          <w:rtl/>
        </w:rPr>
        <w:t xml:space="preserve"> ، ج 4 ، ص 79 ، ح 1679 ؛ </w:t>
      </w:r>
      <w:r w:rsidR="008A74EB" w:rsidRPr="00993B55">
        <w:rPr>
          <w:rStyle w:val="libFootnoteBoldChar"/>
          <w:rtl/>
        </w:rPr>
        <w:t>البحار</w:t>
      </w:r>
      <w:r w:rsidR="008A74EB" w:rsidRPr="00C9040A">
        <w:rPr>
          <w:rtl/>
        </w:rPr>
        <w:t xml:space="preserve"> ، ج 68 ، ص 249 ، ح 10.</w:t>
      </w:r>
    </w:p>
    <w:p w:rsidR="008A74EB" w:rsidRPr="00C9040A" w:rsidRDefault="006C577F" w:rsidP="004A4E41">
      <w:pPr>
        <w:pStyle w:val="libFootnote0"/>
        <w:rPr>
          <w:rtl/>
          <w:lang w:bidi="fa-IR"/>
        </w:rPr>
      </w:pPr>
      <w:r>
        <w:rPr>
          <w:rtl/>
        </w:rPr>
        <w:t>(8).</w:t>
      </w:r>
      <w:r w:rsidR="008A74EB" w:rsidRPr="00C9040A">
        <w:rPr>
          <w:rtl/>
        </w:rPr>
        <w:t xml:space="preserve"> في المحاسن : « أيّ شي‌ء »</w:t>
      </w:r>
      <w:r w:rsidR="008A74EB">
        <w:rPr>
          <w:rtl/>
        </w:rPr>
        <w:t>.</w:t>
      </w:r>
      <w:r w:rsidR="008A74EB" w:rsidRPr="00C9040A">
        <w:rPr>
          <w:rtl/>
        </w:rPr>
        <w:t xml:space="preserve"> وفي الوسائل ، ح 34987 : « أيّما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البحار والمحاسن : « أم »</w:t>
      </w:r>
      <w:r w:rsidR="008A74EB">
        <w:rPr>
          <w:rtl/>
        </w:rPr>
        <w:t>.</w:t>
      </w:r>
    </w:p>
    <w:p w:rsidR="008A74EB" w:rsidRPr="004A4E41" w:rsidRDefault="006C577F" w:rsidP="004A4E41">
      <w:pPr>
        <w:pStyle w:val="libFootnote0"/>
        <w:rPr>
          <w:rStyle w:val="libFootnote0Char"/>
          <w:rtl/>
        </w:rPr>
      </w:pPr>
      <w:r>
        <w:rPr>
          <w:rtl/>
        </w:rPr>
        <w:t>(10).</w:t>
      </w:r>
      <w:r w:rsidR="008A74EB" w:rsidRPr="00C9040A">
        <w:rPr>
          <w:rtl/>
        </w:rPr>
        <w:t xml:space="preserve"> في الوسائل ، ح 17772 : « الإسلام أو الإيمان »</w:t>
      </w:r>
      <w:r w:rsidR="008A74EB">
        <w:rPr>
          <w:rtl/>
        </w:rPr>
        <w:t>.</w:t>
      </w:r>
    </w:p>
    <w:tbl>
      <w:tblPr>
        <w:tblStyle w:val="TableGrid"/>
        <w:bidiVisual/>
        <w:tblW w:w="0" w:type="auto"/>
        <w:tblLook w:val="04A0" w:firstRow="1" w:lastRow="0" w:firstColumn="1" w:lastColumn="0" w:noHBand="0" w:noVBand="1"/>
      </w:tblPr>
      <w:tblGrid>
        <w:gridCol w:w="4006"/>
        <w:gridCol w:w="4006"/>
      </w:tblGrid>
      <w:tr w:rsidR="00CC4E25" w:rsidTr="00CC4E25">
        <w:tc>
          <w:tcPr>
            <w:tcW w:w="4006" w:type="dxa"/>
          </w:tcPr>
          <w:p w:rsidR="00CC4E25" w:rsidRDefault="00CC4E25" w:rsidP="004A4E41">
            <w:pPr>
              <w:pStyle w:val="libFootnote0"/>
              <w:rPr>
                <w:rtl/>
              </w:rPr>
            </w:pPr>
            <w:r>
              <w:rPr>
                <w:rtl/>
              </w:rPr>
              <w:t>(11).</w:t>
            </w:r>
            <w:r w:rsidRPr="00C9040A">
              <w:rPr>
                <w:rtl/>
              </w:rPr>
              <w:t xml:space="preserve"> في « ز » والمحاسن </w:t>
            </w:r>
            <w:r>
              <w:rPr>
                <w:rtl/>
              </w:rPr>
              <w:t>: -</w:t>
            </w:r>
            <w:r w:rsidRPr="00C9040A">
              <w:rPr>
                <w:rtl/>
              </w:rPr>
              <w:t xml:space="preserve"> « إنّ »</w:t>
            </w:r>
            <w:r>
              <w:rPr>
                <w:rtl/>
              </w:rPr>
              <w:t>.</w:t>
            </w:r>
          </w:p>
        </w:tc>
        <w:tc>
          <w:tcPr>
            <w:tcW w:w="4006" w:type="dxa"/>
          </w:tcPr>
          <w:p w:rsidR="00CC4E25" w:rsidRDefault="00CC4E25" w:rsidP="004A4E41">
            <w:pPr>
              <w:pStyle w:val="libFootnote0"/>
              <w:rPr>
                <w:rtl/>
              </w:rPr>
            </w:pPr>
            <w:r>
              <w:rPr>
                <w:rtl/>
              </w:rPr>
              <w:t>(12).</w:t>
            </w:r>
            <w:r w:rsidRPr="00C9040A">
              <w:rPr>
                <w:rtl/>
              </w:rPr>
              <w:t xml:space="preserve"> في المحاسن </w:t>
            </w:r>
            <w:r>
              <w:rPr>
                <w:rtl/>
              </w:rPr>
              <w:t>: -</w:t>
            </w:r>
            <w:r w:rsidRPr="00C9040A">
              <w:rPr>
                <w:rtl/>
              </w:rPr>
              <w:t xml:space="preserve"> « من الإيمان »</w:t>
            </w:r>
            <w:r>
              <w:rPr>
                <w:rtl/>
              </w:rPr>
              <w:t>.</w:t>
            </w:r>
          </w:p>
        </w:tc>
      </w:tr>
    </w:tbl>
    <w:p w:rsidR="008A74EB" w:rsidRPr="00C9040A" w:rsidRDefault="008A74EB" w:rsidP="004A4E41">
      <w:pPr>
        <w:pStyle w:val="libFootnote0"/>
        <w:rPr>
          <w:rtl/>
          <w:lang w:bidi="fa-IR"/>
        </w:rPr>
      </w:pPr>
      <w:r>
        <w:rPr>
          <w:rtl/>
        </w:rPr>
        <w:t>(13)</w:t>
      </w:r>
      <w:r w:rsidRPr="00C9040A">
        <w:rPr>
          <w:rtl/>
        </w:rPr>
        <w:t xml:space="preserve"> في الوسائل ، ح 17772 </w:t>
      </w:r>
      <w:r>
        <w:rPr>
          <w:rtl/>
        </w:rPr>
        <w:t>و 3</w:t>
      </w:r>
      <w:r w:rsidRPr="00C9040A">
        <w:rPr>
          <w:rtl/>
        </w:rPr>
        <w:t xml:space="preserve">4987 </w:t>
      </w:r>
      <w:r>
        <w:rPr>
          <w:rtl/>
        </w:rPr>
        <w:t xml:space="preserve">: </w:t>
      </w:r>
      <w:r w:rsidR="0084262C">
        <w:rPr>
          <w:rtl/>
        </w:rPr>
        <w:t>-</w:t>
      </w:r>
      <w:r w:rsidRPr="00C9040A">
        <w:rPr>
          <w:rtl/>
        </w:rPr>
        <w:t xml:space="preserve"> « أرفع من الإسلام »</w:t>
      </w:r>
      <w:r>
        <w:rPr>
          <w:rtl/>
        </w:rPr>
        <w:t>.</w:t>
      </w:r>
    </w:p>
    <w:p w:rsidR="008A74EB" w:rsidRPr="00C9040A" w:rsidRDefault="008A74EB" w:rsidP="004A4E41">
      <w:pPr>
        <w:pStyle w:val="libFootnote0"/>
        <w:rPr>
          <w:rtl/>
          <w:lang w:bidi="fa-IR"/>
        </w:rPr>
      </w:pPr>
      <w:r>
        <w:rPr>
          <w:rtl/>
        </w:rPr>
        <w:t>(14)</w:t>
      </w:r>
      <w:r w:rsidRPr="00C9040A">
        <w:rPr>
          <w:rtl/>
        </w:rPr>
        <w:t xml:space="preserve"> في « ب » : « فما »</w:t>
      </w:r>
      <w:r>
        <w:rPr>
          <w:rtl/>
        </w:rPr>
        <w:t>.</w:t>
      </w:r>
    </w:p>
    <w:p w:rsidR="008A74EB" w:rsidRPr="00C9040A" w:rsidRDefault="008A74EB" w:rsidP="004A4E41">
      <w:pPr>
        <w:pStyle w:val="libFootnote0"/>
        <w:rPr>
          <w:rtl/>
          <w:lang w:bidi="fa-IR"/>
        </w:rPr>
      </w:pPr>
      <w:r>
        <w:rPr>
          <w:rtl/>
        </w:rPr>
        <w:t>(15)</w:t>
      </w:r>
      <w:r w:rsidRPr="00C9040A">
        <w:rPr>
          <w:rtl/>
        </w:rPr>
        <w:t xml:space="preserve"> في المحاسن </w:t>
      </w:r>
      <w:r>
        <w:rPr>
          <w:rtl/>
        </w:rPr>
        <w:t xml:space="preserve">: </w:t>
      </w:r>
      <w:r w:rsidR="0084262C">
        <w:rPr>
          <w:rtl/>
        </w:rPr>
        <w:t>-</w:t>
      </w:r>
      <w:r w:rsidRPr="00C9040A">
        <w:rPr>
          <w:rtl/>
        </w:rPr>
        <w:t xml:space="preserve"> « قال : ما تقول فيمن أحدث</w:t>
      </w:r>
      <w:r>
        <w:rPr>
          <w:rtl/>
        </w:rPr>
        <w:t xml:space="preserve"> </w:t>
      </w:r>
      <w:r w:rsidR="0084262C">
        <w:rPr>
          <w:rtl/>
        </w:rPr>
        <w:t>-</w:t>
      </w:r>
      <w:r>
        <w:rPr>
          <w:rtl/>
        </w:rPr>
        <w:t xml:space="preserve"> </w:t>
      </w:r>
      <w:r w:rsidRPr="00C9040A">
        <w:rPr>
          <w:rtl/>
        </w:rPr>
        <w:t>إلى</w:t>
      </w:r>
      <w:r>
        <w:rPr>
          <w:rtl/>
        </w:rPr>
        <w:t xml:space="preserve"> </w:t>
      </w:r>
      <w:r w:rsidR="0084262C">
        <w:rPr>
          <w:rtl/>
        </w:rPr>
        <w:t>-</w:t>
      </w:r>
      <w:r>
        <w:rPr>
          <w:rtl/>
        </w:rPr>
        <w:t xml:space="preserve"> </w:t>
      </w:r>
      <w:r w:rsidRPr="00C9040A">
        <w:rPr>
          <w:rtl/>
        </w:rPr>
        <w:t>قال : أصبت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قَالَ </w:t>
      </w:r>
      <w:r w:rsidR="006C577F" w:rsidRPr="006C577F">
        <w:rPr>
          <w:rStyle w:val="libFootnotenumChar"/>
          <w:rtl/>
        </w:rPr>
        <w:t>(1)</w:t>
      </w:r>
      <w:r w:rsidRPr="00463D87">
        <w:rPr>
          <w:rFonts w:hint="cs"/>
          <w:rtl/>
        </w:rPr>
        <w:t xml:space="preserve"> </w:t>
      </w:r>
      <w:r w:rsidRPr="00C9040A">
        <w:rPr>
          <w:rtl/>
          <w:lang w:bidi="fa-IR"/>
        </w:rPr>
        <w:t xml:space="preserve">: « فَمَا </w:t>
      </w:r>
      <w:r w:rsidR="006C577F" w:rsidRPr="006C577F">
        <w:rPr>
          <w:rStyle w:val="libFootnotenumChar"/>
          <w:rtl/>
        </w:rPr>
        <w:t>(2)</w:t>
      </w:r>
      <w:r w:rsidRPr="00C9040A">
        <w:rPr>
          <w:rtl/>
          <w:lang w:bidi="fa-IR"/>
        </w:rPr>
        <w:t xml:space="preserve"> تَقُولُ فِيمَنْ أَحْدَثَ فِي الْكَعْبَةِ مُتَعَمِّداً</w:t>
      </w:r>
      <w:r>
        <w:rPr>
          <w:rtl/>
          <w:lang w:bidi="fa-IR"/>
        </w:rPr>
        <w:t>؟</w:t>
      </w:r>
      <w:r w:rsidRPr="00C9040A">
        <w:rPr>
          <w:rtl/>
          <w:lang w:bidi="fa-IR"/>
        </w:rPr>
        <w:t xml:space="preserve"> » قُلْتُ : يُق</w:t>
      </w:r>
      <w:r>
        <w:rPr>
          <w:rtl/>
          <w:lang w:bidi="fa-IR"/>
        </w:rPr>
        <w:t>ْتَلُ ، قَالَ : « أَصَبْتَ ، أَ</w:t>
      </w:r>
      <w:r w:rsidRPr="00C9040A">
        <w:rPr>
          <w:rtl/>
          <w:lang w:bidi="fa-IR"/>
        </w:rPr>
        <w:t xml:space="preserve">لَا </w:t>
      </w:r>
      <w:r w:rsidR="006C577F" w:rsidRPr="006C577F">
        <w:rPr>
          <w:rStyle w:val="libFootnotenumChar"/>
          <w:rtl/>
        </w:rPr>
        <w:t>(3)</w:t>
      </w:r>
      <w:r w:rsidRPr="00C9040A">
        <w:rPr>
          <w:rtl/>
          <w:lang w:bidi="fa-IR"/>
        </w:rPr>
        <w:t xml:space="preserve"> تَرى أَنَّ الْكَعْبَةَ أَفْضَلُ مِنَ الْمَسْجِدِ </w:t>
      </w:r>
      <w:r w:rsidR="006C577F" w:rsidRPr="006C577F">
        <w:rPr>
          <w:rStyle w:val="libFootnotenumChar"/>
          <w:rtl/>
        </w:rPr>
        <w:t>(4)</w:t>
      </w:r>
      <w:r w:rsidRPr="00C9040A">
        <w:rPr>
          <w:rtl/>
          <w:lang w:bidi="fa-IR"/>
        </w:rPr>
        <w:t xml:space="preserve"> ، وَأَنَّ </w:t>
      </w:r>
      <w:r w:rsidR="006C577F" w:rsidRPr="006C577F">
        <w:rPr>
          <w:rStyle w:val="libFootnotenumChar"/>
          <w:rtl/>
        </w:rPr>
        <w:t>(5)</w:t>
      </w:r>
      <w:r w:rsidRPr="00C9040A">
        <w:rPr>
          <w:rtl/>
          <w:lang w:bidi="fa-IR"/>
        </w:rPr>
        <w:t xml:space="preserve"> الْكَعْبَةَ تَشْرَكُ </w:t>
      </w:r>
      <w:r w:rsidR="006C577F" w:rsidRPr="006C577F">
        <w:rPr>
          <w:rStyle w:val="libFootnotenumChar"/>
          <w:rtl/>
        </w:rPr>
        <w:t>(6)</w:t>
      </w:r>
      <w:r w:rsidRPr="005B567D">
        <w:rPr>
          <w:rStyle w:val="libFootnotenumChar"/>
          <w:rtl/>
        </w:rPr>
        <w:t xml:space="preserve"> </w:t>
      </w:r>
      <w:r w:rsidRPr="00C9040A">
        <w:rPr>
          <w:rtl/>
          <w:lang w:bidi="fa-IR"/>
        </w:rPr>
        <w:t xml:space="preserve">الْمَسْجِدَ ، وَالْمَسْجِدَ لَا يَشْرَكُ </w:t>
      </w:r>
      <w:r w:rsidR="006C577F" w:rsidRPr="006C577F">
        <w:rPr>
          <w:rStyle w:val="libFootnotenumChar"/>
          <w:rtl/>
        </w:rPr>
        <w:t>(7)</w:t>
      </w:r>
      <w:r w:rsidRPr="00C9040A">
        <w:rPr>
          <w:rtl/>
          <w:lang w:bidi="fa-IR"/>
        </w:rPr>
        <w:t xml:space="preserve"> الْكَعْبَةَ</w:t>
      </w:r>
      <w:r>
        <w:rPr>
          <w:rtl/>
          <w:lang w:bidi="fa-IR"/>
        </w:rPr>
        <w:t>؟</w:t>
      </w:r>
      <w:r w:rsidRPr="00C9040A">
        <w:rPr>
          <w:rtl/>
          <w:lang w:bidi="fa-IR"/>
        </w:rPr>
        <w:t xml:space="preserve"> وَكَذلِكَ الْإِيمَانُ يَشْرَكُ الْإِسْلَامَ ، وَالْإِسْلَامُ لَايَشْرَكُ الْإِيمَانَ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B00A2C" w:rsidRDefault="008A74EB" w:rsidP="00B00A2C">
      <w:pPr>
        <w:pStyle w:val="libNormal"/>
        <w:rPr>
          <w:rtl/>
          <w:lang w:bidi="fa-IR"/>
        </w:rPr>
      </w:pPr>
      <w:r w:rsidRPr="002A423B">
        <w:rPr>
          <w:rtl/>
        </w:rPr>
        <w:t>1515</w:t>
      </w:r>
      <w:r w:rsidRPr="00261CB0">
        <w:rPr>
          <w:rStyle w:val="libBold2Char"/>
          <w:rtl/>
        </w:rPr>
        <w:t xml:space="preserve"> / 5.</w:t>
      </w:r>
      <w:r w:rsidRPr="00C9040A">
        <w:rPr>
          <w:rtl/>
          <w:lang w:bidi="fa-IR"/>
        </w:rPr>
        <w:t xml:space="preserve"> عِدَّةٌ مِنْ أَصْحَابِنَا ، عَنْ سَهْلِ بْنِ زِيَادٍ ؛</w:t>
      </w:r>
    </w:p>
    <w:p w:rsidR="008A74EB" w:rsidRPr="00C9040A" w:rsidRDefault="008A74EB" w:rsidP="00B00A2C">
      <w:pPr>
        <w:pStyle w:val="libNormal"/>
        <w:rPr>
          <w:rtl/>
          <w:lang w:bidi="fa-IR"/>
        </w:rPr>
      </w:pPr>
      <w:r w:rsidRPr="00C9040A">
        <w:rPr>
          <w:rtl/>
          <w:lang w:bidi="fa-IR"/>
        </w:rPr>
        <w:t>وَمُحَمَّدُ بْنُ يَحْيى ، عَنْ أَحْمَدَ بْنِ مُحَمَّدٍ جَمِيعاً ، عَنِ ابْنِ مَحْبُوبٍ ، عَنْ عَلِيِّ بْنِ رِئَابٍ ، عَنْ حُمْرَانَ بْنِ أَعْيَنَ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سَمِعْتُهُ يَقُولُ : « الْإِيمَانُ مَا اسْتَقَرَّ فِي الْقَلْبِ ، وَأَفْضى بِهِ إِلَى اللهِ عَزَّ وَجَلَّ ، وَصَدَّقَهُ الْعَمَلُ بِالطَّاعَةِ لِلّهِ وَالتَّسْلِيمِ لِأَمْرِهِ </w:t>
      </w:r>
      <w:r w:rsidR="006C577F" w:rsidRPr="006C577F">
        <w:rPr>
          <w:rStyle w:val="libFootnotenumChar"/>
          <w:rtl/>
        </w:rPr>
        <w:t>(9)</w:t>
      </w:r>
      <w:r w:rsidRPr="00C9040A">
        <w:rPr>
          <w:rtl/>
          <w:lang w:bidi="fa-IR"/>
        </w:rPr>
        <w:t xml:space="preserve"> ؛ وَالْإِسْلَامُ مَا ظَهَرَ مِنْ قَوْلٍ أَوْ فِعْلٍ ، وَهُوَ الَّذِي عَلَيْهِ جَمَاعَةُ النَّاسِ مِنَ الْفِرَقِ كُلِّهَا ، وَبِهِ حُقِنَتِ الدِّمَاءُ ، وَعَلَيْهِ جَرَتِ الْمَوَارِيثُ ، وَجَازَ النِّكَاحُ ، وَاجْتَمَعُوا عَلَى الصَّلَاةِ وَالزَّكَاةِ وَالصَّوْمِ وَالْحَجِّ ، فَخَرَجُوا بِذلِكَ مِنَ الْكُفْرِ ، وَأُضِيفُوا إِلَى الْإِيمَانِ ، وَالْإِسْلَامُ لَايَشْرَكُ‌</w:t>
      </w:r>
      <w:r>
        <w:rPr>
          <w:rFonts w:hint="cs"/>
          <w:rtl/>
          <w:lang w:bidi="fa-IR"/>
        </w:rPr>
        <w:t xml:space="preserve"> </w:t>
      </w:r>
      <w:r w:rsidRPr="00C9040A">
        <w:rPr>
          <w:rtl/>
          <w:lang w:bidi="fa-IR"/>
        </w:rPr>
        <w:t xml:space="preserve">الْإِيمَانَ </w:t>
      </w:r>
      <w:r w:rsidR="006C577F" w:rsidRPr="006C577F">
        <w:rPr>
          <w:rStyle w:val="libFootnotenumChar"/>
          <w:rtl/>
        </w:rPr>
        <w:t>(10)</w:t>
      </w:r>
      <w:r w:rsidRPr="00C9040A">
        <w:rPr>
          <w:rtl/>
          <w:lang w:bidi="fa-IR"/>
        </w:rPr>
        <w:t xml:space="preserve">، وَالْإِيمَانُ يَشْرَكُ الْإِسْلَامَ ، وَهُمَا فِي الْقَوْلِ وَالْفِعْلِ يَجْتَمِعَانِ </w:t>
      </w:r>
      <w:r w:rsidR="006C577F" w:rsidRPr="006C577F">
        <w:rPr>
          <w:rStyle w:val="libFootnotenumChar"/>
          <w:rtl/>
        </w:rPr>
        <w:t>(11)</w:t>
      </w:r>
      <w:r w:rsidRPr="00C9040A">
        <w:rPr>
          <w:rtl/>
          <w:lang w:bidi="fa-IR"/>
        </w:rPr>
        <w:t xml:space="preserve"> ، كَمَا صَارَتِ الْكَعْبَةُ فِي الْمَسْجِدِ وَالْمَسْجِدُ لَيْسَ فِي الْكَعْبَةِ ، وَكَذلِكَ الْإِيمَانُ يَشْرَكُ الْإِسْلَامَ ، وَالْإِسْلَامُ لَايَشْرَكُ</w:t>
      </w:r>
    </w:p>
    <w:p w:rsidR="008A74EB" w:rsidRPr="00C9040A" w:rsidRDefault="008A74EB" w:rsidP="008A74EB">
      <w:pPr>
        <w:pStyle w:val="libLine"/>
        <w:rPr>
          <w:rtl/>
          <w:lang w:bidi="fa-IR"/>
        </w:rPr>
      </w:pPr>
      <w:r w:rsidRPr="00C9040A">
        <w:rPr>
          <w:rtl/>
          <w:lang w:bidi="fa-IR"/>
        </w:rPr>
        <w:t>__________________</w:t>
      </w:r>
    </w:p>
    <w:p w:rsidR="008A74EB" w:rsidRPr="004A4E41" w:rsidRDefault="006C577F" w:rsidP="004A4E41">
      <w:pPr>
        <w:pStyle w:val="libFootnote0"/>
        <w:rPr>
          <w:rStyle w:val="libFootnote0Char"/>
          <w:rtl/>
        </w:rPr>
      </w:pPr>
      <w:r>
        <w:rPr>
          <w:rtl/>
        </w:rPr>
        <w:t>(1).</w:t>
      </w:r>
      <w:r w:rsidR="008A74EB" w:rsidRPr="00C9040A">
        <w:rPr>
          <w:rtl/>
        </w:rPr>
        <w:t xml:space="preserve"> في « ض ، بر ، بس ، بف » والوسائل ، ح 17772 </w:t>
      </w:r>
      <w:r w:rsidR="008A74EB">
        <w:rPr>
          <w:rtl/>
        </w:rPr>
        <w:t>و 3</w:t>
      </w:r>
      <w:r w:rsidR="008A74EB" w:rsidRPr="00C9040A">
        <w:rPr>
          <w:rtl/>
        </w:rPr>
        <w:t xml:space="preserve">4987 والبحار </w:t>
      </w:r>
      <w:r w:rsidR="008A74EB">
        <w:rPr>
          <w:rtl/>
        </w:rPr>
        <w:t xml:space="preserve">: </w:t>
      </w:r>
      <w:r w:rsidR="0084262C">
        <w:rPr>
          <w:rtl/>
        </w:rPr>
        <w:t>-</w:t>
      </w:r>
      <w:r w:rsidR="008A74EB" w:rsidRPr="00C9040A">
        <w:rPr>
          <w:rtl/>
        </w:rPr>
        <w:t xml:space="preserve"> « قال »</w:t>
      </w:r>
      <w:r w:rsidR="008A74EB">
        <w:rPr>
          <w:rtl/>
        </w:rPr>
        <w:t>.</w:t>
      </w:r>
    </w:p>
    <w:tbl>
      <w:tblPr>
        <w:tblStyle w:val="TableGrid"/>
        <w:bidiVisual/>
        <w:tblW w:w="0" w:type="auto"/>
        <w:tblLook w:val="04A0" w:firstRow="1" w:lastRow="0" w:firstColumn="1" w:lastColumn="0" w:noHBand="0" w:noVBand="1"/>
      </w:tblPr>
      <w:tblGrid>
        <w:gridCol w:w="4006"/>
        <w:gridCol w:w="4006"/>
      </w:tblGrid>
      <w:tr w:rsidR="00B00A2C" w:rsidTr="00B00A2C">
        <w:tc>
          <w:tcPr>
            <w:tcW w:w="4006" w:type="dxa"/>
          </w:tcPr>
          <w:p w:rsidR="00B00A2C" w:rsidRDefault="00B00A2C" w:rsidP="004A4E41">
            <w:pPr>
              <w:pStyle w:val="libFootnote0"/>
              <w:rPr>
                <w:rtl/>
              </w:rPr>
            </w:pPr>
            <w:r>
              <w:rPr>
                <w:rtl/>
              </w:rPr>
              <w:t xml:space="preserve">(2). </w:t>
            </w:r>
            <w:r w:rsidRPr="00C9040A">
              <w:rPr>
                <w:rtl/>
              </w:rPr>
              <w:t>في المحاسن : « ما »</w:t>
            </w:r>
            <w:r>
              <w:rPr>
                <w:rtl/>
              </w:rPr>
              <w:t>.</w:t>
            </w:r>
          </w:p>
        </w:tc>
        <w:tc>
          <w:tcPr>
            <w:tcW w:w="4006" w:type="dxa"/>
          </w:tcPr>
          <w:p w:rsidR="00B00A2C" w:rsidRDefault="00B00A2C" w:rsidP="004A4E41">
            <w:pPr>
              <w:pStyle w:val="libFootnote0"/>
              <w:rPr>
                <w:rtl/>
              </w:rPr>
            </w:pPr>
            <w:r>
              <w:rPr>
                <w:rtl/>
              </w:rPr>
              <w:t>(3).</w:t>
            </w:r>
            <w:r w:rsidRPr="00C9040A">
              <w:rPr>
                <w:rtl/>
              </w:rPr>
              <w:t xml:space="preserve"> في المحاسن : « أما »</w:t>
            </w:r>
            <w:r>
              <w:rPr>
                <w:rtl/>
              </w:rPr>
              <w:t>.</w:t>
            </w:r>
          </w:p>
        </w:tc>
      </w:tr>
      <w:tr w:rsidR="00B00A2C" w:rsidTr="00B00A2C">
        <w:tc>
          <w:tcPr>
            <w:tcW w:w="4006" w:type="dxa"/>
          </w:tcPr>
          <w:p w:rsidR="00B00A2C" w:rsidRDefault="00B00A2C" w:rsidP="004A4E41">
            <w:pPr>
              <w:pStyle w:val="libFootnote0"/>
              <w:rPr>
                <w:rtl/>
              </w:rPr>
            </w:pPr>
            <w:r>
              <w:rPr>
                <w:rtl/>
              </w:rPr>
              <w:t>(4).</w:t>
            </w:r>
            <w:r w:rsidRPr="00C9040A">
              <w:rPr>
                <w:rtl/>
              </w:rPr>
              <w:t xml:space="preserve"> في « ج » : + « الحرام »</w:t>
            </w:r>
            <w:r>
              <w:rPr>
                <w:rtl/>
              </w:rPr>
              <w:t>.</w:t>
            </w:r>
          </w:p>
        </w:tc>
        <w:tc>
          <w:tcPr>
            <w:tcW w:w="4006" w:type="dxa"/>
          </w:tcPr>
          <w:p w:rsidR="00B00A2C" w:rsidRDefault="00B00A2C" w:rsidP="004A4E41">
            <w:pPr>
              <w:pStyle w:val="libFootnote0"/>
              <w:rPr>
                <w:rtl/>
              </w:rPr>
            </w:pPr>
            <w:r>
              <w:rPr>
                <w:rtl/>
              </w:rPr>
              <w:t>(5).</w:t>
            </w:r>
            <w:r w:rsidRPr="00C9040A">
              <w:rPr>
                <w:rtl/>
              </w:rPr>
              <w:t xml:space="preserve"> في « بر » </w:t>
            </w:r>
            <w:r>
              <w:rPr>
                <w:rtl/>
              </w:rPr>
              <w:t>: -</w:t>
            </w:r>
            <w:r w:rsidRPr="00C9040A">
              <w:rPr>
                <w:rtl/>
              </w:rPr>
              <w:t xml:space="preserve"> « أنّ »</w:t>
            </w:r>
            <w:r>
              <w:rPr>
                <w:rtl/>
              </w:rPr>
              <w:t>.</w:t>
            </w:r>
          </w:p>
        </w:tc>
      </w:tr>
      <w:tr w:rsidR="00B00A2C" w:rsidTr="00B00A2C">
        <w:tc>
          <w:tcPr>
            <w:tcW w:w="4006" w:type="dxa"/>
          </w:tcPr>
          <w:p w:rsidR="00B00A2C" w:rsidRDefault="00B00A2C" w:rsidP="004A4E41">
            <w:pPr>
              <w:pStyle w:val="libFootnote0"/>
              <w:rPr>
                <w:rtl/>
              </w:rPr>
            </w:pPr>
            <w:r>
              <w:rPr>
                <w:rtl/>
              </w:rPr>
              <w:t xml:space="preserve">(6). </w:t>
            </w:r>
            <w:r w:rsidRPr="00C9040A">
              <w:rPr>
                <w:rtl/>
              </w:rPr>
              <w:t>في « ض ، بر ، بف » : « يشرك »</w:t>
            </w:r>
            <w:r>
              <w:rPr>
                <w:rtl/>
              </w:rPr>
              <w:t>.</w:t>
            </w:r>
          </w:p>
        </w:tc>
        <w:tc>
          <w:tcPr>
            <w:tcW w:w="4006" w:type="dxa"/>
          </w:tcPr>
          <w:p w:rsidR="00B00A2C" w:rsidRDefault="00B00A2C" w:rsidP="004A4E41">
            <w:pPr>
              <w:pStyle w:val="libFootnote0"/>
              <w:rPr>
                <w:rtl/>
              </w:rPr>
            </w:pPr>
            <w:r>
              <w:rPr>
                <w:rtl/>
              </w:rPr>
              <w:t>(7).</w:t>
            </w:r>
            <w:r w:rsidRPr="00C9040A">
              <w:rPr>
                <w:rtl/>
              </w:rPr>
              <w:t xml:space="preserve"> في البحار : « لا تشرك »</w:t>
            </w:r>
            <w:r>
              <w:rPr>
                <w:rtl/>
              </w:rPr>
              <w:t>.</w:t>
            </w:r>
          </w:p>
        </w:tc>
      </w:tr>
    </w:tbl>
    <w:p w:rsidR="008A74EB" w:rsidRPr="004A4E41" w:rsidRDefault="006C577F" w:rsidP="004A4E41">
      <w:pPr>
        <w:pStyle w:val="libFootnote0"/>
        <w:rPr>
          <w:rStyle w:val="libFootnote0Char"/>
          <w:rtl/>
        </w:rPr>
      </w:pPr>
      <w:r>
        <w:rPr>
          <w:rtl/>
        </w:rPr>
        <w:t>(8).</w:t>
      </w:r>
      <w:r w:rsidR="008A74EB" w:rsidRPr="00C9040A">
        <w:rPr>
          <w:rtl/>
        </w:rPr>
        <w:t xml:space="preserve"> </w:t>
      </w:r>
      <w:r w:rsidR="008A74EB" w:rsidRPr="00993B55">
        <w:rPr>
          <w:rStyle w:val="libFootnoteBoldChar"/>
          <w:rtl/>
        </w:rPr>
        <w:t>المحاسن</w:t>
      </w:r>
      <w:r w:rsidR="008A74EB" w:rsidRPr="00C9040A">
        <w:rPr>
          <w:rtl/>
        </w:rPr>
        <w:t xml:space="preserve"> ، ص 285 ، كتاب مصابيح الظلم ، ح 425 ، عن الحسن بن محبوب ، عن جميل بن صالح ، عن أبى الصبّاح الكناني. وفي </w:t>
      </w:r>
      <w:r w:rsidR="008A74EB" w:rsidRPr="00993B55">
        <w:rPr>
          <w:rStyle w:val="libFootnoteBoldChar"/>
          <w:rtl/>
        </w:rPr>
        <w:t>التهذيب</w:t>
      </w:r>
      <w:r w:rsidR="008A74EB" w:rsidRPr="00C9040A">
        <w:rPr>
          <w:rtl/>
        </w:rPr>
        <w:t xml:space="preserve"> ، ج 5 ، ص 469 ، ح 1642 ، معلّقاً عن الحسن بن محبوب ، من قوله : « ما تقول فيما أحدث في المسجد الحرام » إلى قوله : « فيمن أحدث في الكعبة متعمّداً</w:t>
      </w:r>
      <w:r w:rsidR="008A74EB">
        <w:rPr>
          <w:rtl/>
        </w:rPr>
        <w:t>؟</w:t>
      </w:r>
      <w:r w:rsidR="008A74EB" w:rsidRPr="00C9040A">
        <w:rPr>
          <w:rtl/>
        </w:rPr>
        <w:t xml:space="preserve"> قلت : يقتل » مع اختلاف يسير</w:t>
      </w:r>
      <w:r w:rsidR="00B00A2C">
        <w:rPr>
          <w:rFonts w:hint="cs"/>
          <w:rtl/>
        </w:rPr>
        <w:t>.</w:t>
      </w:r>
      <w:r w:rsidR="008A74EB" w:rsidRPr="00993B55">
        <w:rPr>
          <w:rStyle w:val="libFootnoteBoldChar"/>
          <w:rtl/>
        </w:rPr>
        <w:t>الوافي</w:t>
      </w:r>
      <w:r w:rsidR="008A74EB" w:rsidRPr="00C9040A">
        <w:rPr>
          <w:rtl/>
        </w:rPr>
        <w:t xml:space="preserve"> ، ج 4 ، ص 81 ، ح 1686 ؛ </w:t>
      </w:r>
      <w:r w:rsidR="008A74EB" w:rsidRPr="00993B55">
        <w:rPr>
          <w:rStyle w:val="libFootnoteBoldChar"/>
          <w:rtl/>
        </w:rPr>
        <w:t>الوسائل</w:t>
      </w:r>
      <w:r w:rsidR="008A74EB" w:rsidRPr="00C9040A">
        <w:rPr>
          <w:rtl/>
        </w:rPr>
        <w:t xml:space="preserve"> ، ج 13 ، ص 290 ، ح 17772 ؛ وج 28 ، ص 368 ، ح 34987 ، وفيهما إلى قوله : « ألا ترى أنّ الكعبة أفضل من المسجد » ؛ </w:t>
      </w:r>
      <w:r w:rsidR="008A74EB" w:rsidRPr="00993B55">
        <w:rPr>
          <w:rStyle w:val="libFootnoteBoldChar"/>
          <w:rtl/>
        </w:rPr>
        <w:t>البحار</w:t>
      </w:r>
      <w:r w:rsidR="008A74EB" w:rsidRPr="00C9040A">
        <w:rPr>
          <w:rtl/>
        </w:rPr>
        <w:t xml:space="preserve"> ، ج 68 ، ص 250 ، ح 11.</w:t>
      </w:r>
    </w:p>
    <w:tbl>
      <w:tblPr>
        <w:tblStyle w:val="TableGrid"/>
        <w:bidiVisual/>
        <w:tblW w:w="0" w:type="auto"/>
        <w:tblLook w:val="04A0" w:firstRow="1" w:lastRow="0" w:firstColumn="1" w:lastColumn="0" w:noHBand="0" w:noVBand="1"/>
      </w:tblPr>
      <w:tblGrid>
        <w:gridCol w:w="4006"/>
        <w:gridCol w:w="4006"/>
      </w:tblGrid>
      <w:tr w:rsidR="00B00A2C" w:rsidTr="00B00A2C">
        <w:tc>
          <w:tcPr>
            <w:tcW w:w="4006" w:type="dxa"/>
          </w:tcPr>
          <w:p w:rsidR="00B00A2C" w:rsidRDefault="00B00A2C" w:rsidP="004A4E41">
            <w:pPr>
              <w:pStyle w:val="libFootnote0"/>
              <w:rPr>
                <w:rtl/>
              </w:rPr>
            </w:pPr>
            <w:r>
              <w:rPr>
                <w:rtl/>
              </w:rPr>
              <w:t>(9).</w:t>
            </w:r>
            <w:r w:rsidRPr="00C9040A">
              <w:rPr>
                <w:rtl/>
              </w:rPr>
              <w:t xml:space="preserve"> في الوافي : « لأمر الله »</w:t>
            </w:r>
            <w:r>
              <w:rPr>
                <w:rtl/>
              </w:rPr>
              <w:t>.</w:t>
            </w:r>
          </w:p>
        </w:tc>
        <w:tc>
          <w:tcPr>
            <w:tcW w:w="4006" w:type="dxa"/>
          </w:tcPr>
          <w:p w:rsidR="00B00A2C" w:rsidRDefault="00B00A2C" w:rsidP="004A4E41">
            <w:pPr>
              <w:pStyle w:val="libFootnote0"/>
              <w:rPr>
                <w:rtl/>
              </w:rPr>
            </w:pPr>
            <w:r>
              <w:rPr>
                <w:rtl/>
              </w:rPr>
              <w:t>(10).</w:t>
            </w:r>
            <w:r w:rsidRPr="00C9040A">
              <w:rPr>
                <w:rtl/>
              </w:rPr>
              <w:t xml:space="preserve"> في « ض » </w:t>
            </w:r>
            <w:r>
              <w:rPr>
                <w:rtl/>
              </w:rPr>
              <w:t>: -</w:t>
            </w:r>
            <w:r w:rsidRPr="00C9040A">
              <w:rPr>
                <w:rtl/>
              </w:rPr>
              <w:t xml:space="preserve"> « والإسلام لا يشرك الإيمان »</w:t>
            </w:r>
            <w:r>
              <w:rPr>
                <w:rtl/>
              </w:rPr>
              <w:t>.</w:t>
            </w:r>
          </w:p>
        </w:tc>
      </w:tr>
    </w:tbl>
    <w:p w:rsidR="008A74EB" w:rsidRPr="00C9040A" w:rsidRDefault="006C577F" w:rsidP="004A4E41">
      <w:pPr>
        <w:pStyle w:val="libFootnote0"/>
        <w:rPr>
          <w:rtl/>
          <w:lang w:bidi="fa-IR"/>
        </w:rPr>
      </w:pPr>
      <w:r>
        <w:rPr>
          <w:rtl/>
        </w:rPr>
        <w:t>(11).</w:t>
      </w:r>
      <w:r w:rsidR="008A74EB">
        <w:rPr>
          <w:rtl/>
        </w:rPr>
        <w:t xml:space="preserve"> </w:t>
      </w:r>
      <w:r w:rsidR="008A74EB" w:rsidRPr="00C9040A">
        <w:rPr>
          <w:rtl/>
        </w:rPr>
        <w:t>في « ف » : « مجتمعان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الْإِيمَانَ ؛ وَقَدْ قَالَ اللهُ عَزَّ وَجَلَّ : </w:t>
      </w:r>
      <w:r w:rsidRPr="0003660B">
        <w:rPr>
          <w:rStyle w:val="libAlaemChar"/>
          <w:rtl/>
        </w:rPr>
        <w:t>(</w:t>
      </w:r>
      <w:r w:rsidRPr="006A2246">
        <w:rPr>
          <w:rStyle w:val="libAieChar"/>
          <w:rtl/>
        </w:rPr>
        <w:t xml:space="preserve"> قالَتِ الْأَعْرابُ آمَنّا قُلْ لَمْ تُؤْمِنُوا وَلكِنْ قُولُوا أَسْلَمْنا وَلَمّا يَدْخُلِ الْإِيمانُ فِي قُلُوبِكُمْ </w:t>
      </w:r>
      <w:r w:rsidRPr="0003660B">
        <w:rPr>
          <w:rStyle w:val="libAlaemChar"/>
          <w:rtl/>
        </w:rPr>
        <w:t>)</w:t>
      </w:r>
      <w:r w:rsidRPr="00C9040A">
        <w:rPr>
          <w:rtl/>
          <w:lang w:bidi="fa-IR"/>
        </w:rPr>
        <w:t xml:space="preserve"> </w:t>
      </w:r>
      <w:r w:rsidR="006C577F" w:rsidRPr="006C577F">
        <w:rPr>
          <w:rStyle w:val="libFootnotenumChar"/>
          <w:rtl/>
        </w:rPr>
        <w:t>(1)</w:t>
      </w:r>
      <w:r w:rsidRPr="00C9040A">
        <w:rPr>
          <w:rtl/>
          <w:lang w:bidi="fa-IR"/>
        </w:rPr>
        <w:t xml:space="preserve"> فَقَوْلُ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أَصْدَقُ الْقَوْلِ »</w:t>
      </w:r>
      <w:r>
        <w:rPr>
          <w:rtl/>
          <w:lang w:bidi="fa-IR"/>
        </w:rPr>
        <w:t>.</w:t>
      </w:r>
    </w:p>
    <w:p w:rsidR="008A74EB" w:rsidRPr="00C9040A" w:rsidRDefault="008A74EB" w:rsidP="008A74EB">
      <w:pPr>
        <w:pStyle w:val="libNormal"/>
        <w:rPr>
          <w:rtl/>
          <w:lang w:bidi="fa-IR"/>
        </w:rPr>
      </w:pPr>
      <w:r w:rsidRPr="00C9040A">
        <w:rPr>
          <w:rtl/>
          <w:lang w:bidi="fa-IR"/>
        </w:rPr>
        <w:t xml:space="preserve">قُلْتُ </w:t>
      </w:r>
      <w:r w:rsidR="006C577F" w:rsidRPr="006C577F">
        <w:rPr>
          <w:rStyle w:val="libFootnotenumChar"/>
          <w:rtl/>
        </w:rPr>
        <w:t>(2)</w:t>
      </w:r>
      <w:r w:rsidRPr="00C9040A">
        <w:rPr>
          <w:rtl/>
          <w:lang w:bidi="fa-IR"/>
        </w:rPr>
        <w:t xml:space="preserve"> : فَهَلْ لِلْمُؤْمِنِ فَضْلٌ عَلَى الْمُسْلِمِ فِي شَيْ‌ءٍ مِنَ الْفَضَائِلِ وَ</w:t>
      </w:r>
      <w:r>
        <w:rPr>
          <w:rFonts w:hint="cs"/>
          <w:rtl/>
          <w:lang w:bidi="fa-IR"/>
        </w:rPr>
        <w:t xml:space="preserve"> </w:t>
      </w:r>
      <w:r w:rsidR="006C577F" w:rsidRPr="006C577F">
        <w:rPr>
          <w:rStyle w:val="libFootnotenumChar"/>
          <w:rtl/>
        </w:rPr>
        <w:t>(3)</w:t>
      </w:r>
      <w:r w:rsidRPr="00C9040A">
        <w:rPr>
          <w:rtl/>
          <w:lang w:bidi="fa-IR"/>
        </w:rPr>
        <w:t xml:space="preserve"> الْأَحْكَامِ وَالْحُدُودِ وَغَيْرِ ذلِكَ</w:t>
      </w:r>
      <w:r>
        <w:rPr>
          <w:rtl/>
          <w:lang w:bidi="fa-IR"/>
        </w:rPr>
        <w:t>؟</w:t>
      </w:r>
    </w:p>
    <w:p w:rsidR="008A74EB" w:rsidRPr="00C9040A" w:rsidRDefault="008A74EB" w:rsidP="008A74EB">
      <w:pPr>
        <w:pStyle w:val="libNormal"/>
        <w:rPr>
          <w:rtl/>
          <w:lang w:bidi="fa-IR"/>
        </w:rPr>
      </w:pPr>
      <w:r w:rsidRPr="00C9040A">
        <w:rPr>
          <w:rtl/>
          <w:lang w:bidi="fa-IR"/>
        </w:rPr>
        <w:t xml:space="preserve">فَقَالَ : « لَا ، هُمَا يَجْرِيَانِ </w:t>
      </w:r>
      <w:r w:rsidR="006C577F" w:rsidRPr="006C577F">
        <w:rPr>
          <w:rStyle w:val="libFootnotenumChar"/>
          <w:rtl/>
        </w:rPr>
        <w:t>(4)</w:t>
      </w:r>
      <w:r w:rsidRPr="005B567D">
        <w:rPr>
          <w:rStyle w:val="libFootnotenumChar"/>
          <w:rtl/>
        </w:rPr>
        <w:t xml:space="preserve"> </w:t>
      </w:r>
      <w:r w:rsidRPr="00C9040A">
        <w:rPr>
          <w:rtl/>
          <w:lang w:bidi="fa-IR"/>
        </w:rPr>
        <w:t xml:space="preserve">فِي ذلِكَ مَجْرى وَاحِدٍ </w:t>
      </w:r>
      <w:r w:rsidR="006C577F" w:rsidRPr="006C577F">
        <w:rPr>
          <w:rStyle w:val="libFootnotenumChar"/>
          <w:rtl/>
        </w:rPr>
        <w:t>(5)</w:t>
      </w:r>
      <w:r w:rsidRPr="00C9040A">
        <w:rPr>
          <w:rtl/>
          <w:lang w:bidi="fa-IR"/>
        </w:rPr>
        <w:t xml:space="preserve"> ، وَلكِنْ لِلْمُؤْمِنِ فَضْلٌ </w:t>
      </w:r>
      <w:r w:rsidR="006C577F" w:rsidRPr="006C577F">
        <w:rPr>
          <w:rStyle w:val="libFootnotenumChar"/>
          <w:rtl/>
        </w:rPr>
        <w:t>(6)</w:t>
      </w:r>
      <w:r w:rsidRPr="00C9040A">
        <w:rPr>
          <w:rtl/>
          <w:lang w:bidi="fa-IR"/>
        </w:rPr>
        <w:t xml:space="preserve"> عَلَى الْمُسْلِمِ فِي أَعْمَالِهِمَا وَمَا يَتَقَرَّبَانِ بِهِ إِلَى اللهِ عَزَّ وَجَلَّ »</w:t>
      </w:r>
      <w:r>
        <w:rPr>
          <w:rtl/>
          <w:lang w:bidi="fa-IR"/>
        </w:rPr>
        <w:t>.</w:t>
      </w:r>
    </w:p>
    <w:p w:rsidR="008A74EB" w:rsidRPr="00C9040A" w:rsidRDefault="008A74EB" w:rsidP="008A74EB">
      <w:pPr>
        <w:pStyle w:val="libNormal"/>
        <w:rPr>
          <w:rtl/>
          <w:lang w:bidi="fa-IR"/>
        </w:rPr>
      </w:pPr>
      <w:r>
        <w:rPr>
          <w:rtl/>
          <w:lang w:bidi="fa-IR"/>
        </w:rPr>
        <w:t>قُلْتُ : أَ</w:t>
      </w:r>
      <w:r w:rsidRPr="00C9040A">
        <w:rPr>
          <w:rtl/>
          <w:lang w:bidi="fa-IR"/>
        </w:rPr>
        <w:t>لَيْسَ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يَقُولُ : </w:t>
      </w:r>
      <w:r w:rsidRPr="0003660B">
        <w:rPr>
          <w:rStyle w:val="libAlaemChar"/>
          <w:rtl/>
        </w:rPr>
        <w:t>(</w:t>
      </w:r>
      <w:r w:rsidRPr="006A2246">
        <w:rPr>
          <w:rStyle w:val="libAieChar"/>
          <w:rtl/>
        </w:rPr>
        <w:t xml:space="preserve"> مَنْ جاءَ بِالْحَسَنَةِ فَلَهُ عَشْرُ أَمْثالِها </w:t>
      </w:r>
      <w:r w:rsidRPr="0003660B">
        <w:rPr>
          <w:rStyle w:val="libAlaemChar"/>
          <w:rtl/>
        </w:rPr>
        <w:t>)</w:t>
      </w:r>
      <w:r w:rsidRPr="00C9040A">
        <w:rPr>
          <w:rtl/>
          <w:lang w:bidi="fa-IR"/>
        </w:rPr>
        <w:t xml:space="preserve"> </w:t>
      </w:r>
      <w:r w:rsidR="006C577F" w:rsidRPr="006C577F">
        <w:rPr>
          <w:rStyle w:val="libFootnotenumChar"/>
          <w:rtl/>
        </w:rPr>
        <w:t>(7)</w:t>
      </w:r>
      <w:r w:rsidRPr="00C9040A">
        <w:rPr>
          <w:rtl/>
          <w:lang w:bidi="fa-IR"/>
        </w:rPr>
        <w:t xml:space="preserve"> وَزَعَمْتَ أَنَّهُمْ مُجْتَمِعُونَ عَلَى الصَّلَاةِ وَالزَّكَاةِ وَالصَّوْمِ وَالْحَجِّ </w:t>
      </w:r>
      <w:r w:rsidR="006C577F" w:rsidRPr="006C577F">
        <w:rPr>
          <w:rStyle w:val="libFootnotenumChar"/>
          <w:rtl/>
        </w:rPr>
        <w:t>(8)</w:t>
      </w:r>
      <w:r w:rsidRPr="00C9040A">
        <w:rPr>
          <w:rtl/>
          <w:lang w:bidi="fa-IR"/>
        </w:rPr>
        <w:t xml:space="preserve"> مَعَ الْمُؤْمِنِ</w:t>
      </w:r>
      <w:r>
        <w:rPr>
          <w:rtl/>
          <w:lang w:bidi="fa-IR"/>
        </w:rPr>
        <w:t>؟</w:t>
      </w:r>
    </w:p>
    <w:p w:rsidR="008A74EB" w:rsidRPr="00C9040A" w:rsidRDefault="008A74EB" w:rsidP="008A74EB">
      <w:pPr>
        <w:pStyle w:val="libNormal"/>
        <w:rPr>
          <w:rtl/>
          <w:lang w:bidi="fa-IR"/>
        </w:rPr>
      </w:pPr>
      <w:r>
        <w:rPr>
          <w:rtl/>
          <w:lang w:bidi="fa-IR"/>
        </w:rPr>
        <w:t>قَالَ : « أَ</w:t>
      </w:r>
      <w:r w:rsidRPr="00C9040A">
        <w:rPr>
          <w:rtl/>
          <w:lang w:bidi="fa-IR"/>
        </w:rPr>
        <w:t xml:space="preserve">لَيْسَ قَدْ </w:t>
      </w:r>
      <w:r w:rsidR="006C577F" w:rsidRPr="006C577F">
        <w:rPr>
          <w:rStyle w:val="libFootnotenumChar"/>
          <w:rtl/>
        </w:rPr>
        <w:t>(9)</w:t>
      </w:r>
      <w:r w:rsidRPr="00C9040A">
        <w:rPr>
          <w:rtl/>
          <w:lang w:bidi="fa-IR"/>
        </w:rPr>
        <w:t xml:space="preserve"> قَالَ اللهُ عَزَّ وَجَلَّ : </w:t>
      </w:r>
      <w:r w:rsidRPr="0003660B">
        <w:rPr>
          <w:rStyle w:val="libAlaemChar"/>
          <w:rtl/>
        </w:rPr>
        <w:t>(</w:t>
      </w:r>
      <w:r w:rsidRPr="006A2246">
        <w:rPr>
          <w:rStyle w:val="libAieChar"/>
          <w:rtl/>
        </w:rPr>
        <w:t xml:space="preserve"> فَيُضاعِفَهُ</w:t>
      </w:r>
      <w:r>
        <w:rPr>
          <w:rFonts w:hint="cs"/>
          <w:rtl/>
        </w:rPr>
        <w:t xml:space="preserve"> </w:t>
      </w:r>
      <w:r w:rsidR="006C577F" w:rsidRPr="006C577F">
        <w:rPr>
          <w:rStyle w:val="libFootnotenumChar"/>
          <w:rtl/>
        </w:rPr>
        <w:t>(10)</w:t>
      </w:r>
      <w:r>
        <w:rPr>
          <w:rFonts w:hint="cs"/>
          <w:rtl/>
        </w:rPr>
        <w:t xml:space="preserve"> </w:t>
      </w:r>
      <w:r w:rsidRPr="006A2246">
        <w:rPr>
          <w:rStyle w:val="libAieChar"/>
          <w:rtl/>
        </w:rPr>
        <w:t xml:space="preserve">لَهُ أَضْعافاً كَثِيرَةً </w:t>
      </w:r>
      <w:r w:rsidRPr="0003660B">
        <w:rPr>
          <w:rStyle w:val="libAlaemChar"/>
          <w:rtl/>
        </w:rPr>
        <w:t>)</w:t>
      </w:r>
      <w:r w:rsidRPr="00C9040A">
        <w:rPr>
          <w:rtl/>
          <w:lang w:bidi="fa-IR"/>
        </w:rPr>
        <w:t xml:space="preserve"> </w:t>
      </w:r>
      <w:r w:rsidR="006C577F" w:rsidRPr="006C577F">
        <w:rPr>
          <w:rStyle w:val="libFootnotenumChar"/>
          <w:rtl/>
        </w:rPr>
        <w:t>(11)</w:t>
      </w:r>
      <w:r>
        <w:rPr>
          <w:rtl/>
          <w:lang w:bidi="fa-IR"/>
        </w:rPr>
        <w:t>؟</w:t>
      </w:r>
      <w:r w:rsidRPr="00C9040A">
        <w:rPr>
          <w:rtl/>
          <w:lang w:bidi="fa-IR"/>
        </w:rPr>
        <w:t xml:space="preserve"> فَالْمُؤْمِنُونَ هُمُ الَّذِينَ يُضَاعِفُ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لَهُمْ </w:t>
      </w:r>
      <w:r w:rsidR="006C577F" w:rsidRPr="006C577F">
        <w:rPr>
          <w:rStyle w:val="libFootnotenumChar"/>
          <w:rtl/>
        </w:rPr>
        <w:t>(12)</w:t>
      </w:r>
      <w:r w:rsidRPr="00C9040A">
        <w:rPr>
          <w:rtl/>
          <w:lang w:bidi="fa-IR"/>
        </w:rPr>
        <w:t xml:space="preserve"> حَسَنَاتِهِمْ : لِكُلِّ حَسَنَةٍ سبعين </w:t>
      </w:r>
      <w:r w:rsidRPr="005B567D">
        <w:rPr>
          <w:rStyle w:val="libFootnotenumChar"/>
          <w:rtl/>
        </w:rPr>
        <w:t>(1</w:t>
      </w:r>
      <w:r w:rsidRPr="005B567D">
        <w:rPr>
          <w:rStyle w:val="libFootnotenumChar"/>
          <w:rFonts w:hint="cs"/>
          <w:rtl/>
        </w:rPr>
        <w:t>3</w:t>
      </w:r>
      <w:r w:rsidRPr="005B567D">
        <w:rPr>
          <w:rStyle w:val="libFootnotenumChar"/>
          <w:rtl/>
        </w:rPr>
        <w:t>)</w:t>
      </w:r>
      <w:r w:rsidRPr="00C9040A">
        <w:rPr>
          <w:rtl/>
          <w:lang w:bidi="fa-IR"/>
        </w:rPr>
        <w:t xml:space="preserve"> ضِعْفاً ، فَهذَا </w:t>
      </w:r>
      <w:r w:rsidRPr="005B567D">
        <w:rPr>
          <w:rStyle w:val="libFootnotenumChar"/>
          <w:rtl/>
        </w:rPr>
        <w:t>(1</w:t>
      </w:r>
      <w:r w:rsidRPr="005B567D">
        <w:rPr>
          <w:rStyle w:val="libFootnotenumChar"/>
          <w:rFonts w:hint="cs"/>
          <w:rtl/>
        </w:rPr>
        <w:t>4</w:t>
      </w:r>
      <w:r w:rsidRPr="005B567D">
        <w:rPr>
          <w:rStyle w:val="libFootnotenumChar"/>
          <w:rtl/>
        </w:rPr>
        <w:t>)</w:t>
      </w:r>
      <w:r w:rsidRPr="00C9040A">
        <w:rPr>
          <w:rtl/>
          <w:lang w:bidi="fa-IR"/>
        </w:rPr>
        <w:t xml:space="preserve"> فَضْلُ الْمُؤْمِنِ ، وَيَزِيدُهُ </w:t>
      </w:r>
      <w:r w:rsidRPr="005B567D">
        <w:rPr>
          <w:rStyle w:val="libFootnotenumChar"/>
          <w:rtl/>
        </w:rPr>
        <w:t>(1</w:t>
      </w:r>
      <w:r w:rsidRPr="005B567D">
        <w:rPr>
          <w:rStyle w:val="libFootnotenumChar"/>
          <w:rFonts w:hint="cs"/>
          <w:rtl/>
        </w:rPr>
        <w:t>5</w:t>
      </w:r>
      <w:r w:rsidRPr="005B567D">
        <w:rPr>
          <w:rStyle w:val="libFootnotenumChar"/>
          <w:rtl/>
        </w:rPr>
        <w:t>)</w:t>
      </w:r>
      <w:r w:rsidRPr="00C9040A">
        <w:rPr>
          <w:rtl/>
          <w:lang w:bidi="fa-IR"/>
        </w:rPr>
        <w:t xml:space="preserve"> اللهُ فِي حَسَنَاتِهِ عَلى قَدْرِ صِحَّةِ إِيمَانِهِ أَضْعَافاً كَثِيرَةً ، وَيَفْعَلُ اللهُ بِالْمُؤْمِنِينَ مَا يَشَاءُ مِنَ الْخَيْرِ </w:t>
      </w:r>
      <w:r w:rsidRPr="005B567D">
        <w:rPr>
          <w:rStyle w:val="libFootnotenumChar"/>
          <w:rtl/>
        </w:rPr>
        <w:t>(1</w:t>
      </w:r>
      <w:r w:rsidRPr="005B567D">
        <w:rPr>
          <w:rStyle w:val="libFootnotenumChar"/>
          <w:rFonts w:hint="cs"/>
          <w:rtl/>
        </w:rPr>
        <w:t>6</w:t>
      </w:r>
      <w:r w:rsidRPr="005B567D">
        <w:rPr>
          <w:rStyle w:val="libFootnotenumChar"/>
          <w:rtl/>
        </w:rPr>
        <w:t>)</w:t>
      </w:r>
      <w:r w:rsidRPr="00C9040A">
        <w:rPr>
          <w:rtl/>
          <w:lang w:bidi="fa-IR"/>
        </w:rPr>
        <w:t xml:space="preserve"> »</w:t>
      </w:r>
      <w:r>
        <w:rPr>
          <w:rtl/>
          <w:lang w:bidi="fa-IR"/>
        </w:rPr>
        <w:t>.</w:t>
      </w:r>
    </w:p>
    <w:p w:rsidR="008A74EB" w:rsidRPr="00C9040A" w:rsidRDefault="008A74EB" w:rsidP="008A74EB">
      <w:pPr>
        <w:pStyle w:val="libNormal"/>
        <w:rPr>
          <w:rtl/>
          <w:lang w:bidi="fa-IR"/>
        </w:rPr>
      </w:pPr>
      <w:r>
        <w:rPr>
          <w:rtl/>
          <w:lang w:bidi="fa-IR"/>
        </w:rPr>
        <w:t>قُلْتُ : أَ</w:t>
      </w:r>
      <w:r w:rsidRPr="00C9040A">
        <w:rPr>
          <w:rtl/>
          <w:lang w:bidi="fa-IR"/>
        </w:rPr>
        <w:t xml:space="preserve">رَأَيْتَ </w:t>
      </w:r>
      <w:r>
        <w:rPr>
          <w:rtl/>
          <w:lang w:bidi="fa-IR"/>
        </w:rPr>
        <w:t>مَنْ دَخَلَ فِي الْإِسْلَامِ أَ</w:t>
      </w:r>
      <w:r w:rsidRPr="00C9040A">
        <w:rPr>
          <w:rtl/>
          <w:lang w:bidi="fa-IR"/>
        </w:rPr>
        <w:t xml:space="preserve">لَيْسَ </w:t>
      </w:r>
      <w:r w:rsidRPr="005B567D">
        <w:rPr>
          <w:rStyle w:val="libFootnotenumChar"/>
          <w:rtl/>
        </w:rPr>
        <w:t>(1</w:t>
      </w:r>
      <w:r w:rsidRPr="005B567D">
        <w:rPr>
          <w:rStyle w:val="libFootnotenumChar"/>
          <w:rFonts w:hint="cs"/>
          <w:rtl/>
        </w:rPr>
        <w:t>7</w:t>
      </w:r>
      <w:r w:rsidRPr="005B567D">
        <w:rPr>
          <w:rStyle w:val="libFootnotenumChar"/>
          <w:rtl/>
        </w:rPr>
        <w:t>)</w:t>
      </w:r>
      <w:r w:rsidRPr="00C9040A">
        <w:rPr>
          <w:rtl/>
          <w:lang w:bidi="fa-IR"/>
        </w:rPr>
        <w:t xml:space="preserve"> هُوَ دَاخِلاً فِي الْإِيمَانِ</w:t>
      </w:r>
      <w:r>
        <w:rPr>
          <w:rtl/>
          <w:lang w:bidi="fa-IR"/>
        </w:rPr>
        <w:t>؟</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72630E" w:rsidTr="0072630E">
        <w:tc>
          <w:tcPr>
            <w:tcW w:w="4006" w:type="dxa"/>
          </w:tcPr>
          <w:p w:rsidR="0072630E" w:rsidRDefault="0072630E" w:rsidP="004A4E41">
            <w:pPr>
              <w:pStyle w:val="libFootnote0"/>
              <w:rPr>
                <w:rtl/>
              </w:rPr>
            </w:pPr>
            <w:r>
              <w:rPr>
                <w:rtl/>
              </w:rPr>
              <w:t>(1).</w:t>
            </w:r>
            <w:r w:rsidRPr="00C9040A">
              <w:rPr>
                <w:rtl/>
              </w:rPr>
              <w:t xml:space="preserve"> الحجرات (49) : 14.</w:t>
            </w:r>
          </w:p>
        </w:tc>
        <w:tc>
          <w:tcPr>
            <w:tcW w:w="4006" w:type="dxa"/>
          </w:tcPr>
          <w:p w:rsidR="0072630E" w:rsidRDefault="0072630E" w:rsidP="004A4E41">
            <w:pPr>
              <w:pStyle w:val="libFootnote0"/>
              <w:rPr>
                <w:rtl/>
              </w:rPr>
            </w:pPr>
            <w:r>
              <w:rPr>
                <w:rtl/>
              </w:rPr>
              <w:t>(2).</w:t>
            </w:r>
            <w:r w:rsidRPr="00C9040A">
              <w:rPr>
                <w:rtl/>
              </w:rPr>
              <w:t xml:space="preserve"> في « ج » : « فقلت »</w:t>
            </w:r>
            <w:r>
              <w:rPr>
                <w:rtl/>
              </w:rPr>
              <w:t>.</w:t>
            </w:r>
          </w:p>
        </w:tc>
      </w:tr>
      <w:tr w:rsidR="0072630E" w:rsidTr="0072630E">
        <w:tc>
          <w:tcPr>
            <w:tcW w:w="4006" w:type="dxa"/>
          </w:tcPr>
          <w:p w:rsidR="0072630E" w:rsidRDefault="0072630E" w:rsidP="004A4E41">
            <w:pPr>
              <w:pStyle w:val="libFootnote0"/>
              <w:rPr>
                <w:rtl/>
              </w:rPr>
            </w:pPr>
            <w:r>
              <w:rPr>
                <w:rtl/>
              </w:rPr>
              <w:t>(3).</w:t>
            </w:r>
            <w:r w:rsidRPr="00C9040A">
              <w:rPr>
                <w:rtl/>
              </w:rPr>
              <w:t xml:space="preserve"> في « ز » : « أو »</w:t>
            </w:r>
            <w:r>
              <w:rPr>
                <w:rtl/>
              </w:rPr>
              <w:t>.</w:t>
            </w:r>
          </w:p>
        </w:tc>
        <w:tc>
          <w:tcPr>
            <w:tcW w:w="4006" w:type="dxa"/>
          </w:tcPr>
          <w:p w:rsidR="0072630E" w:rsidRDefault="0072630E" w:rsidP="004A4E41">
            <w:pPr>
              <w:pStyle w:val="libFootnote0"/>
              <w:rPr>
                <w:rtl/>
              </w:rPr>
            </w:pPr>
            <w:r>
              <w:rPr>
                <w:rtl/>
              </w:rPr>
              <w:t xml:space="preserve">(4). </w:t>
            </w:r>
            <w:r w:rsidRPr="00C9040A">
              <w:rPr>
                <w:rtl/>
              </w:rPr>
              <w:t>في « ض » : « مجريان »</w:t>
            </w:r>
            <w:r>
              <w:rPr>
                <w:rtl/>
              </w:rPr>
              <w:t>.</w:t>
            </w:r>
          </w:p>
        </w:tc>
      </w:tr>
      <w:tr w:rsidR="0072630E" w:rsidTr="0072630E">
        <w:tc>
          <w:tcPr>
            <w:tcW w:w="4006" w:type="dxa"/>
          </w:tcPr>
          <w:p w:rsidR="0072630E" w:rsidRDefault="0072630E" w:rsidP="004A4E41">
            <w:pPr>
              <w:pStyle w:val="libFootnote0"/>
              <w:rPr>
                <w:rtl/>
              </w:rPr>
            </w:pPr>
            <w:r>
              <w:rPr>
                <w:rtl/>
              </w:rPr>
              <w:t>(5).</w:t>
            </w:r>
            <w:r w:rsidRPr="00C9040A">
              <w:rPr>
                <w:rtl/>
              </w:rPr>
              <w:t xml:space="preserve"> في « ج ، د ، ز ، ض » والوافي : « واحداً »</w:t>
            </w:r>
            <w:r>
              <w:rPr>
                <w:rtl/>
              </w:rPr>
              <w:t>.</w:t>
            </w:r>
          </w:p>
        </w:tc>
        <w:tc>
          <w:tcPr>
            <w:tcW w:w="4006" w:type="dxa"/>
          </w:tcPr>
          <w:p w:rsidR="0072630E" w:rsidRDefault="0072630E" w:rsidP="004A4E41">
            <w:pPr>
              <w:pStyle w:val="libFootnote0"/>
              <w:rPr>
                <w:rtl/>
              </w:rPr>
            </w:pPr>
            <w:r>
              <w:rPr>
                <w:rtl/>
              </w:rPr>
              <w:t>(6).</w:t>
            </w:r>
            <w:r w:rsidRPr="00C9040A">
              <w:rPr>
                <w:rtl/>
              </w:rPr>
              <w:t xml:space="preserve"> في « ف » : « ولكنّ المؤمن فُضِّل »</w:t>
            </w:r>
            <w:r>
              <w:rPr>
                <w:rtl/>
              </w:rPr>
              <w:t>.</w:t>
            </w:r>
          </w:p>
        </w:tc>
      </w:tr>
      <w:tr w:rsidR="0072630E" w:rsidTr="0072630E">
        <w:tc>
          <w:tcPr>
            <w:tcW w:w="4006" w:type="dxa"/>
          </w:tcPr>
          <w:p w:rsidR="0072630E" w:rsidRDefault="0072630E" w:rsidP="004A4E41">
            <w:pPr>
              <w:pStyle w:val="libFootnote0"/>
              <w:rPr>
                <w:rtl/>
              </w:rPr>
            </w:pPr>
            <w:r>
              <w:rPr>
                <w:rtl/>
              </w:rPr>
              <w:t>(7).</w:t>
            </w:r>
            <w:r w:rsidRPr="00C9040A">
              <w:rPr>
                <w:rtl/>
              </w:rPr>
              <w:t xml:space="preserve"> الأنعام </w:t>
            </w:r>
            <w:r>
              <w:rPr>
                <w:rtl/>
              </w:rPr>
              <w:t xml:space="preserve">(6) </w:t>
            </w:r>
            <w:r w:rsidRPr="00C9040A">
              <w:rPr>
                <w:rtl/>
              </w:rPr>
              <w:t>: 160.</w:t>
            </w:r>
          </w:p>
        </w:tc>
        <w:tc>
          <w:tcPr>
            <w:tcW w:w="4006" w:type="dxa"/>
          </w:tcPr>
          <w:p w:rsidR="0072630E" w:rsidRDefault="0072630E" w:rsidP="004A4E41">
            <w:pPr>
              <w:pStyle w:val="libFootnote0"/>
              <w:rPr>
                <w:rtl/>
              </w:rPr>
            </w:pPr>
            <w:r>
              <w:rPr>
                <w:rtl/>
              </w:rPr>
              <w:t>(8).</w:t>
            </w:r>
            <w:r w:rsidRPr="00C9040A">
              <w:rPr>
                <w:rtl/>
              </w:rPr>
              <w:t xml:space="preserve"> في حاشية « ج » : + « والجهاد »</w:t>
            </w:r>
            <w:r>
              <w:rPr>
                <w:rtl/>
              </w:rPr>
              <w:t>.</w:t>
            </w:r>
          </w:p>
        </w:tc>
      </w:tr>
    </w:tbl>
    <w:p w:rsidR="008A74EB" w:rsidRPr="00C9040A" w:rsidRDefault="006C577F" w:rsidP="004A4E41">
      <w:pPr>
        <w:pStyle w:val="libFootnote0"/>
        <w:rPr>
          <w:rtl/>
          <w:lang w:bidi="fa-IR"/>
        </w:rPr>
      </w:pPr>
      <w:r>
        <w:rPr>
          <w:rtl/>
        </w:rPr>
        <w:t>(9).</w:t>
      </w:r>
      <w:r w:rsidR="008A74EB" w:rsidRPr="00C9040A">
        <w:rPr>
          <w:rtl/>
        </w:rPr>
        <w:t xml:space="preserve"> في « ز ، ض ، بس » </w:t>
      </w:r>
      <w:r w:rsidR="008A74EB">
        <w:rPr>
          <w:rtl/>
        </w:rPr>
        <w:t xml:space="preserve">: </w:t>
      </w:r>
      <w:r w:rsidR="0084262C">
        <w:rPr>
          <w:rtl/>
        </w:rPr>
        <w:t>-</w:t>
      </w:r>
      <w:r w:rsidR="008A74EB" w:rsidRPr="00C9040A">
        <w:rPr>
          <w:rtl/>
        </w:rPr>
        <w:t xml:space="preserve"> « قد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هكذا في القرآن وجميع النسخ. وفي المطبوع : « يضاعفه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البقرة </w:t>
      </w:r>
      <w:r w:rsidR="00000AB4">
        <w:rPr>
          <w:rtl/>
        </w:rPr>
        <w:t>(2)</w:t>
      </w:r>
      <w:r w:rsidR="008A74EB" w:rsidRPr="00C9040A">
        <w:rPr>
          <w:rtl/>
        </w:rPr>
        <w:t xml:space="preserve"> : 245.</w:t>
      </w:r>
    </w:p>
    <w:p w:rsidR="008A74EB" w:rsidRPr="00C9040A" w:rsidRDefault="006C577F" w:rsidP="004A4E41">
      <w:pPr>
        <w:pStyle w:val="libFootnote0"/>
        <w:rPr>
          <w:rtl/>
          <w:lang w:bidi="fa-IR"/>
        </w:rPr>
      </w:pPr>
      <w:r>
        <w:rPr>
          <w:rtl/>
        </w:rPr>
        <w:t>(12).</w:t>
      </w:r>
      <w:r w:rsidR="008A74EB" w:rsidRPr="00C9040A">
        <w:rPr>
          <w:rtl/>
        </w:rPr>
        <w:t xml:space="preserve"> في « ز » </w:t>
      </w:r>
      <w:r w:rsidR="008A74EB">
        <w:rPr>
          <w:rtl/>
        </w:rPr>
        <w:t xml:space="preserve">: </w:t>
      </w:r>
      <w:r w:rsidR="0084262C">
        <w:rPr>
          <w:rtl/>
        </w:rPr>
        <w:t>-</w:t>
      </w:r>
      <w:r w:rsidR="008A74EB" w:rsidRPr="00C9040A">
        <w:rPr>
          <w:rtl/>
        </w:rPr>
        <w:t xml:space="preserve"> « لهم »</w:t>
      </w:r>
      <w:r w:rsidR="008A74EB">
        <w:rPr>
          <w:rtl/>
        </w:rPr>
        <w:t>.</w:t>
      </w:r>
    </w:p>
    <w:p w:rsidR="008A74EB" w:rsidRPr="004A4E41" w:rsidRDefault="008A74EB" w:rsidP="004A4E41">
      <w:pPr>
        <w:pStyle w:val="libFootnote0"/>
        <w:rPr>
          <w:rStyle w:val="libFootnote0Char"/>
          <w:rtl/>
        </w:rPr>
      </w:pPr>
      <w:r>
        <w:rPr>
          <w:rtl/>
        </w:rPr>
        <w:t>(</w:t>
      </w:r>
      <w:r>
        <w:rPr>
          <w:rFonts w:hint="cs"/>
          <w:rtl/>
        </w:rPr>
        <w:t>13</w:t>
      </w:r>
      <w:r>
        <w:rPr>
          <w:rtl/>
        </w:rPr>
        <w:t>)</w:t>
      </w:r>
      <w:r w:rsidRPr="00C9040A">
        <w:rPr>
          <w:rtl/>
        </w:rPr>
        <w:t xml:space="preserve"> هكذا في النسخ التي قوبلت والوافي. وفي المطبوع : « سبعون »</w:t>
      </w:r>
      <w:r>
        <w:rPr>
          <w:rtl/>
        </w:rPr>
        <w:t>.</w:t>
      </w:r>
    </w:p>
    <w:tbl>
      <w:tblPr>
        <w:tblStyle w:val="TableGrid"/>
        <w:bidiVisual/>
        <w:tblW w:w="0" w:type="auto"/>
        <w:tblLook w:val="04A0" w:firstRow="1" w:lastRow="0" w:firstColumn="1" w:lastColumn="0" w:noHBand="0" w:noVBand="1"/>
      </w:tblPr>
      <w:tblGrid>
        <w:gridCol w:w="4006"/>
        <w:gridCol w:w="4006"/>
      </w:tblGrid>
      <w:tr w:rsidR="00000AB4" w:rsidTr="00000AB4">
        <w:tc>
          <w:tcPr>
            <w:tcW w:w="4006" w:type="dxa"/>
          </w:tcPr>
          <w:p w:rsidR="00000AB4" w:rsidRDefault="00000AB4" w:rsidP="004A4E41">
            <w:pPr>
              <w:pStyle w:val="libFootnote0"/>
              <w:rPr>
                <w:rtl/>
              </w:rPr>
            </w:pPr>
            <w:r>
              <w:rPr>
                <w:rtl/>
              </w:rPr>
              <w:t>(1</w:t>
            </w:r>
            <w:r>
              <w:rPr>
                <w:rFonts w:hint="cs"/>
                <w:rtl/>
              </w:rPr>
              <w:t>4</w:t>
            </w:r>
            <w:r>
              <w:rPr>
                <w:rtl/>
              </w:rPr>
              <w:t>)</w:t>
            </w:r>
            <w:r w:rsidRPr="00C9040A">
              <w:rPr>
                <w:rtl/>
              </w:rPr>
              <w:t xml:space="preserve"> في « بر » : « وهذا »</w:t>
            </w:r>
            <w:r>
              <w:rPr>
                <w:rtl/>
              </w:rPr>
              <w:t>.</w:t>
            </w:r>
          </w:p>
        </w:tc>
        <w:tc>
          <w:tcPr>
            <w:tcW w:w="4006" w:type="dxa"/>
          </w:tcPr>
          <w:p w:rsidR="00000AB4" w:rsidRDefault="00000AB4" w:rsidP="004A4E41">
            <w:pPr>
              <w:pStyle w:val="libFootnote0"/>
              <w:rPr>
                <w:rtl/>
              </w:rPr>
            </w:pPr>
            <w:r>
              <w:rPr>
                <w:rtl/>
              </w:rPr>
              <w:t>(1</w:t>
            </w:r>
            <w:r>
              <w:rPr>
                <w:rFonts w:hint="cs"/>
                <w:rtl/>
              </w:rPr>
              <w:t>5</w:t>
            </w:r>
            <w:r>
              <w:rPr>
                <w:rtl/>
              </w:rPr>
              <w:t>)</w:t>
            </w:r>
            <w:r w:rsidRPr="00C9040A">
              <w:rPr>
                <w:rtl/>
              </w:rPr>
              <w:t xml:space="preserve"> في مرآة العقول والبحار : « ويزيد »</w:t>
            </w:r>
            <w:r>
              <w:rPr>
                <w:rtl/>
              </w:rPr>
              <w:t>.</w:t>
            </w:r>
          </w:p>
        </w:tc>
      </w:tr>
      <w:tr w:rsidR="00000AB4" w:rsidTr="00000AB4">
        <w:tc>
          <w:tcPr>
            <w:tcW w:w="4006" w:type="dxa"/>
          </w:tcPr>
          <w:p w:rsidR="00000AB4" w:rsidRDefault="00000AB4" w:rsidP="004A4E41">
            <w:pPr>
              <w:pStyle w:val="libFootnote0"/>
              <w:rPr>
                <w:rtl/>
              </w:rPr>
            </w:pPr>
            <w:r>
              <w:rPr>
                <w:rtl/>
              </w:rPr>
              <w:t>(1</w:t>
            </w:r>
            <w:r>
              <w:rPr>
                <w:rFonts w:hint="cs"/>
                <w:rtl/>
              </w:rPr>
              <w:t>6</w:t>
            </w:r>
            <w:r>
              <w:rPr>
                <w:rtl/>
              </w:rPr>
              <w:t>)</w:t>
            </w:r>
            <w:r w:rsidRPr="00C9040A">
              <w:rPr>
                <w:rtl/>
              </w:rPr>
              <w:t xml:space="preserve"> في « ب » : « الخيرات »</w:t>
            </w:r>
            <w:r>
              <w:rPr>
                <w:rtl/>
              </w:rPr>
              <w:t>.</w:t>
            </w:r>
          </w:p>
        </w:tc>
        <w:tc>
          <w:tcPr>
            <w:tcW w:w="4006" w:type="dxa"/>
          </w:tcPr>
          <w:p w:rsidR="00000AB4" w:rsidRDefault="00000AB4" w:rsidP="004A4E41">
            <w:pPr>
              <w:pStyle w:val="libFootnote0"/>
              <w:rPr>
                <w:rtl/>
              </w:rPr>
            </w:pPr>
            <w:r>
              <w:rPr>
                <w:rtl/>
              </w:rPr>
              <w:t>(1</w:t>
            </w:r>
            <w:r>
              <w:rPr>
                <w:rFonts w:hint="cs"/>
                <w:rtl/>
              </w:rPr>
              <w:t>7</w:t>
            </w:r>
            <w:r>
              <w:rPr>
                <w:rtl/>
              </w:rPr>
              <w:t>)</w:t>
            </w:r>
            <w:r w:rsidRPr="00C9040A">
              <w:rPr>
                <w:rtl/>
              </w:rPr>
              <w:t xml:space="preserve"> في « ب » : « ليس » بدون الهمزة.</w:t>
            </w:r>
          </w:p>
        </w:tc>
      </w:tr>
    </w:tbl>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lastRenderedPageBreak/>
        <w:t xml:space="preserve">فَقَالَ : « لَا ، وَلكِنَّهُ </w:t>
      </w:r>
      <w:r w:rsidR="006C577F" w:rsidRPr="006C577F">
        <w:rPr>
          <w:rStyle w:val="libFootnotenumChar"/>
          <w:rtl/>
        </w:rPr>
        <w:t>(1)</w:t>
      </w:r>
      <w:r w:rsidRPr="002712F0">
        <w:rPr>
          <w:rFonts w:hint="cs"/>
          <w:rtl/>
        </w:rPr>
        <w:t xml:space="preserve"> </w:t>
      </w:r>
      <w:r w:rsidRPr="00C9040A">
        <w:rPr>
          <w:rtl/>
          <w:lang w:bidi="fa-IR"/>
        </w:rPr>
        <w:t xml:space="preserve">قَدْ أُضِيفَ إِلَى الْإِيمَانِ ، وَخَرَجَ </w:t>
      </w:r>
      <w:r w:rsidR="006C577F" w:rsidRPr="006C577F">
        <w:rPr>
          <w:rStyle w:val="libFootnotenumChar"/>
          <w:rtl/>
        </w:rPr>
        <w:t>(2)</w:t>
      </w:r>
      <w:r w:rsidRPr="00C9040A">
        <w:rPr>
          <w:rtl/>
          <w:lang w:bidi="fa-IR"/>
        </w:rPr>
        <w:t xml:space="preserve"> مِنَ الْكُفْرِ وَسَأَضْرِبُ لَكَ مَثَلاً تَعْقِلُ بِهِ فَضْلَ الْإِيمَانِ عَلَى الْإِسْلَامِ </w:t>
      </w:r>
      <w:r w:rsidR="006C577F" w:rsidRPr="006C577F">
        <w:rPr>
          <w:rStyle w:val="libFootnotenumChar"/>
          <w:rtl/>
        </w:rPr>
        <w:t>(3)</w:t>
      </w:r>
      <w:r>
        <w:rPr>
          <w:rtl/>
          <w:lang w:bidi="fa-IR"/>
        </w:rPr>
        <w:t xml:space="preserve"> : أَ</w:t>
      </w:r>
      <w:r w:rsidRPr="00C9040A">
        <w:rPr>
          <w:rtl/>
          <w:lang w:bidi="fa-IR"/>
        </w:rPr>
        <w:t xml:space="preserve">رَأَيْتَ لَوْ أَبْصَرْتَ </w:t>
      </w:r>
      <w:r w:rsidR="006C577F" w:rsidRPr="006C577F">
        <w:rPr>
          <w:rStyle w:val="libFootnotenumChar"/>
          <w:rtl/>
        </w:rPr>
        <w:t>(4)</w:t>
      </w:r>
      <w:r>
        <w:rPr>
          <w:rtl/>
          <w:lang w:bidi="fa-IR"/>
        </w:rPr>
        <w:t xml:space="preserve"> رَجُلاً فِي الْمَسْجِدِ ، أَ</w:t>
      </w:r>
      <w:r w:rsidRPr="00C9040A">
        <w:rPr>
          <w:rtl/>
          <w:lang w:bidi="fa-IR"/>
        </w:rPr>
        <w:t xml:space="preserve">كُنْتَ </w:t>
      </w:r>
      <w:r w:rsidR="006C577F" w:rsidRPr="006C577F">
        <w:rPr>
          <w:rStyle w:val="libFootnotenumChar"/>
          <w:rtl/>
        </w:rPr>
        <w:t>(5)</w:t>
      </w:r>
      <w:r w:rsidRPr="00C9040A">
        <w:rPr>
          <w:rtl/>
          <w:lang w:bidi="fa-IR"/>
        </w:rPr>
        <w:t xml:space="preserve"> تَشْهَدُ أَنَّكَ رَأَيْتَهُ فِي الْكَعْبَةِ</w:t>
      </w:r>
      <w:r>
        <w:rPr>
          <w:rtl/>
          <w:lang w:bidi="fa-IR"/>
        </w:rPr>
        <w:t>؟</w:t>
      </w:r>
      <w:r w:rsidRPr="00C9040A">
        <w:rPr>
          <w:rtl/>
          <w:lang w:bidi="fa-IR"/>
        </w:rPr>
        <w:t xml:space="preserve"> » قُلْتُ : لَايَجُوزُ لِي ذلِكَ.</w:t>
      </w:r>
    </w:p>
    <w:p w:rsidR="008A74EB" w:rsidRPr="00C9040A" w:rsidRDefault="008A74EB" w:rsidP="008A74EB">
      <w:pPr>
        <w:pStyle w:val="libNormal"/>
        <w:rPr>
          <w:rtl/>
          <w:lang w:bidi="fa-IR"/>
        </w:rPr>
      </w:pPr>
      <w:r w:rsidRPr="00C9040A">
        <w:rPr>
          <w:rtl/>
          <w:lang w:bidi="fa-IR"/>
        </w:rPr>
        <w:t xml:space="preserve">قَالَ : « فَلَوْ أَبْصَرْتَ </w:t>
      </w:r>
      <w:r w:rsidR="006C577F" w:rsidRPr="006C577F">
        <w:rPr>
          <w:rStyle w:val="libFootnotenumChar"/>
          <w:rtl/>
        </w:rPr>
        <w:t>(6)</w:t>
      </w:r>
      <w:r w:rsidRPr="005B567D">
        <w:rPr>
          <w:rStyle w:val="libFootnotenumChar"/>
          <w:rtl/>
        </w:rPr>
        <w:t xml:space="preserve"> </w:t>
      </w:r>
      <w:r w:rsidRPr="00C9040A">
        <w:rPr>
          <w:rtl/>
          <w:lang w:bidi="fa-IR"/>
        </w:rPr>
        <w:t xml:space="preserve">رَجُلاً فِي الْكَعْبَةِ </w:t>
      </w:r>
      <w:r>
        <w:rPr>
          <w:rtl/>
          <w:lang w:bidi="fa-IR"/>
        </w:rPr>
        <w:t>، أَ</w:t>
      </w:r>
      <w:r w:rsidRPr="00C9040A">
        <w:rPr>
          <w:rtl/>
          <w:lang w:bidi="fa-IR"/>
        </w:rPr>
        <w:t xml:space="preserve">كُنْتَ شَاهِداً </w:t>
      </w:r>
      <w:r w:rsidR="006C577F" w:rsidRPr="006C577F">
        <w:rPr>
          <w:rStyle w:val="libFootnotenumChar"/>
          <w:rtl/>
        </w:rPr>
        <w:t>(7)</w:t>
      </w:r>
      <w:r w:rsidRPr="00C9040A">
        <w:rPr>
          <w:rtl/>
          <w:lang w:bidi="fa-IR"/>
        </w:rPr>
        <w:t xml:space="preserve"> أَنَّهُ قَدْ دَخَلَ </w:t>
      </w:r>
      <w:r w:rsidR="006C577F" w:rsidRPr="006C577F">
        <w:rPr>
          <w:rStyle w:val="libFootnotenumChar"/>
          <w:rtl/>
        </w:rPr>
        <w:t>(8)</w:t>
      </w:r>
      <w:r w:rsidRPr="00C9040A">
        <w:rPr>
          <w:rtl/>
          <w:lang w:bidi="fa-IR"/>
        </w:rPr>
        <w:t xml:space="preserve"> الْمَسْجِدَ الْحَرَامَ</w:t>
      </w:r>
      <w:r>
        <w:rPr>
          <w:rtl/>
          <w:lang w:bidi="fa-IR"/>
        </w:rPr>
        <w:t>؟</w:t>
      </w:r>
      <w:r w:rsidRPr="00C9040A">
        <w:rPr>
          <w:rtl/>
          <w:lang w:bidi="fa-IR"/>
        </w:rPr>
        <w:t xml:space="preserve"> » قُلْتُ : نَعَمْ ، قَالَ : « وَ</w:t>
      </w:r>
      <w:r>
        <w:rPr>
          <w:rFonts w:hint="cs"/>
          <w:rtl/>
          <w:lang w:bidi="fa-IR"/>
        </w:rPr>
        <w:t xml:space="preserve"> </w:t>
      </w:r>
      <w:r w:rsidR="006C577F" w:rsidRPr="006C577F">
        <w:rPr>
          <w:rStyle w:val="libFootnotenumChar"/>
          <w:rtl/>
        </w:rPr>
        <w:t>(9)</w:t>
      </w:r>
      <w:r w:rsidRPr="00C9040A">
        <w:rPr>
          <w:rtl/>
          <w:lang w:bidi="fa-IR"/>
        </w:rPr>
        <w:t xml:space="preserve"> كَيْفَ ذلِكَ</w:t>
      </w:r>
      <w:r>
        <w:rPr>
          <w:rtl/>
          <w:lang w:bidi="fa-IR"/>
        </w:rPr>
        <w:t>؟!</w:t>
      </w:r>
      <w:r w:rsidRPr="00C9040A">
        <w:rPr>
          <w:rtl/>
          <w:lang w:bidi="fa-IR"/>
        </w:rPr>
        <w:t xml:space="preserve"> » قُلْتُ : إِنَّهُ </w:t>
      </w:r>
      <w:r w:rsidR="006C577F" w:rsidRPr="006C577F">
        <w:rPr>
          <w:rStyle w:val="libFootnotenumChar"/>
          <w:rtl/>
        </w:rPr>
        <w:t>(10)</w:t>
      </w:r>
      <w:r w:rsidRPr="00C9040A">
        <w:rPr>
          <w:rtl/>
          <w:lang w:bidi="fa-IR"/>
        </w:rPr>
        <w:t xml:space="preserve"> لَايَصِلُ إِلى </w:t>
      </w:r>
      <w:r w:rsidR="006C577F" w:rsidRPr="006C577F">
        <w:rPr>
          <w:rStyle w:val="libFootnotenumChar"/>
          <w:rtl/>
        </w:rPr>
        <w:t>(11)</w:t>
      </w:r>
      <w:r w:rsidRPr="00C9040A">
        <w:rPr>
          <w:rtl/>
          <w:lang w:bidi="fa-IR"/>
        </w:rPr>
        <w:t xml:space="preserve"> دُخُولِ الْكَعْبَةِ حَتّى يَدْخُلَ الْمَسْجِدَ ، فَقَالَ </w:t>
      </w:r>
      <w:r w:rsidR="006C577F" w:rsidRPr="006C577F">
        <w:rPr>
          <w:rStyle w:val="libFootnotenumChar"/>
          <w:rtl/>
        </w:rPr>
        <w:t>(12)</w:t>
      </w:r>
      <w:r w:rsidRPr="00C9040A">
        <w:rPr>
          <w:rtl/>
          <w:lang w:bidi="fa-IR"/>
        </w:rPr>
        <w:t xml:space="preserve"> : « قَدْ </w:t>
      </w:r>
      <w:r w:rsidRPr="005B567D">
        <w:rPr>
          <w:rStyle w:val="libFootnotenumChar"/>
          <w:rtl/>
        </w:rPr>
        <w:t>(13)</w:t>
      </w:r>
      <w:r w:rsidRPr="00C9040A">
        <w:rPr>
          <w:rtl/>
          <w:lang w:bidi="fa-IR"/>
        </w:rPr>
        <w:t xml:space="preserve"> أَصَبْتَ وَأَحْسَنْتَ » ثُمَّ قَالَ : « كَذلِكَ الْإِيمَانُ وَالْإِسْلَامُ »</w:t>
      </w:r>
      <w:r>
        <w:rPr>
          <w:rtl/>
          <w:lang w:bidi="fa-IR"/>
        </w:rPr>
        <w:t>.</w:t>
      </w:r>
      <w:r w:rsidRPr="00C9040A">
        <w:rPr>
          <w:rtl/>
          <w:lang w:bidi="fa-IR"/>
        </w:rPr>
        <w:t xml:space="preserve"> </w:t>
      </w:r>
      <w:r w:rsidRPr="005B567D">
        <w:rPr>
          <w:rStyle w:val="libFootnotenumChar"/>
          <w:rtl/>
        </w:rPr>
        <w:t>(14)</w:t>
      </w:r>
      <w:r w:rsidRPr="00C9040A">
        <w:rPr>
          <w:rtl/>
          <w:lang w:bidi="fa-IR"/>
        </w:rPr>
        <w:t xml:space="preserve"> ‌</w:t>
      </w:r>
    </w:p>
    <w:p w:rsidR="008A74EB" w:rsidRPr="00C9040A" w:rsidRDefault="008A74EB" w:rsidP="008A74EB">
      <w:pPr>
        <w:pStyle w:val="Heading2Center"/>
        <w:rPr>
          <w:rtl/>
          <w:lang w:bidi="fa-IR"/>
        </w:rPr>
      </w:pPr>
      <w:bookmarkStart w:id="58" w:name="_Toc343795607"/>
      <w:bookmarkStart w:id="59" w:name="_Toc459810731"/>
      <w:bookmarkStart w:id="60" w:name="_Toc35348637"/>
      <w:r w:rsidRPr="00C9040A">
        <w:rPr>
          <w:rtl/>
          <w:lang w:bidi="fa-IR"/>
        </w:rPr>
        <w:t>16</w:t>
      </w:r>
      <w:r>
        <w:rPr>
          <w:rtl/>
          <w:lang w:bidi="fa-IR"/>
        </w:rPr>
        <w:t xml:space="preserve"> </w:t>
      </w:r>
      <w:r w:rsidR="0084262C">
        <w:rPr>
          <w:rtl/>
          <w:lang w:bidi="fa-IR"/>
        </w:rPr>
        <w:t>-</w:t>
      </w:r>
      <w:r>
        <w:rPr>
          <w:rtl/>
          <w:lang w:bidi="fa-IR"/>
        </w:rPr>
        <w:t xml:space="preserve"> </w:t>
      </w:r>
      <w:r w:rsidRPr="00C9040A">
        <w:rPr>
          <w:rtl/>
          <w:lang w:bidi="fa-IR"/>
        </w:rPr>
        <w:t>بَابٌ آخَرُ مِنْهُ وَفِيهِ أَنَّ الْإِسْلَامَ قَبْلَ الْإِيمَانِ‌</w:t>
      </w:r>
      <w:bookmarkEnd w:id="58"/>
      <w:bookmarkEnd w:id="59"/>
      <w:bookmarkEnd w:id="60"/>
    </w:p>
    <w:p w:rsidR="008A74EB" w:rsidRPr="00C9040A" w:rsidRDefault="008A74EB" w:rsidP="008A74EB">
      <w:pPr>
        <w:pStyle w:val="libNormal"/>
        <w:rPr>
          <w:rtl/>
          <w:lang w:bidi="fa-IR"/>
        </w:rPr>
      </w:pPr>
      <w:r w:rsidRPr="00B72AB0">
        <w:rPr>
          <w:rtl/>
        </w:rPr>
        <w:t>1516</w:t>
      </w:r>
      <w:r w:rsidRPr="00261CB0">
        <w:rPr>
          <w:rStyle w:val="libBold2Char"/>
          <w:rtl/>
        </w:rPr>
        <w:t xml:space="preserve"> / 1.</w:t>
      </w:r>
      <w:r w:rsidRPr="00C9040A">
        <w:rPr>
          <w:rtl/>
          <w:lang w:bidi="fa-IR"/>
        </w:rPr>
        <w:t xml:space="preserve"> عَلِيُّ بْنُ إِبْرَاهِيمَ ، عَنِ الْعَبَّاسِ بْنِ مَعْرُوفٍ ، عَنْ عَبْدِ الرَّحْمنِ بْنِ أَبِي نَجْرَانَ ، عَنْ حَمَّادِ بْنِ عُثْمَانَ ، عَنْ عَبْدِ الرَّحِيمِ الْقَصِيرِ ، قَالَ :</w:t>
      </w:r>
    </w:p>
    <w:p w:rsidR="008A74EB" w:rsidRPr="00C9040A" w:rsidRDefault="008A74EB" w:rsidP="008A74EB">
      <w:pPr>
        <w:pStyle w:val="libNormal"/>
        <w:rPr>
          <w:rtl/>
          <w:lang w:bidi="fa-IR"/>
        </w:rPr>
      </w:pPr>
      <w:r w:rsidRPr="00C9040A">
        <w:rPr>
          <w:rtl/>
          <w:lang w:bidi="fa-IR"/>
        </w:rPr>
        <w:t xml:space="preserve">كَتَبْتُ مَعَ </w:t>
      </w:r>
      <w:r w:rsidRPr="005B567D">
        <w:rPr>
          <w:rStyle w:val="libFootnotenumChar"/>
          <w:rtl/>
        </w:rPr>
        <w:t>(15)</w:t>
      </w:r>
      <w:r w:rsidRPr="00C9040A">
        <w:rPr>
          <w:rtl/>
          <w:lang w:bidi="fa-IR"/>
        </w:rPr>
        <w:t xml:space="preserve"> عَبْدِ الْمَلِكِ بْنِ أَعْيَنَ إِلى أَبِي عَبْدِ اللهِ </w:t>
      </w:r>
      <w:r w:rsidRPr="0003660B">
        <w:rPr>
          <w:rStyle w:val="libAlaemChar"/>
          <w:rtl/>
        </w:rPr>
        <w:t>عليه‌السلام</w:t>
      </w:r>
      <w:r w:rsidRPr="00C9040A">
        <w:rPr>
          <w:rtl/>
          <w:lang w:bidi="fa-IR"/>
        </w:rPr>
        <w:t xml:space="preserve"> أَسْأَلُهُ عَنِ الْإِيمَانِ : مَا هُوَ</w:t>
      </w:r>
      <w:r>
        <w:rPr>
          <w:rtl/>
          <w:lang w:bidi="fa-IR"/>
        </w:rPr>
        <w:t>؟</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 ب ، ف » : « ولكن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ض ، ف ، بف » والبحار : + « به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ف » : « المؤمن على المسلم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هكذا في النسخ التي قوبلت والوافي والبحار. وفي المطبوع : « لو بصرت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ز » : « لكنت »</w:t>
      </w:r>
      <w:r w:rsidR="008A74EB">
        <w:rPr>
          <w:rtl/>
        </w:rPr>
        <w:t>.</w:t>
      </w:r>
    </w:p>
    <w:p w:rsidR="008A74EB" w:rsidRPr="004A4E41" w:rsidRDefault="006C577F" w:rsidP="004A4E41">
      <w:pPr>
        <w:pStyle w:val="libFootnote0"/>
        <w:rPr>
          <w:rStyle w:val="libFootnote0Char"/>
          <w:rtl/>
        </w:rPr>
      </w:pPr>
      <w:r>
        <w:rPr>
          <w:rtl/>
        </w:rPr>
        <w:t>(6).</w:t>
      </w:r>
      <w:r w:rsidR="008A74EB">
        <w:rPr>
          <w:rtl/>
        </w:rPr>
        <w:t xml:space="preserve"> </w:t>
      </w:r>
      <w:r w:rsidR="008A74EB" w:rsidRPr="00C9040A">
        <w:rPr>
          <w:rtl/>
        </w:rPr>
        <w:t>هكذا في النسخ التي قوبلت والوافي والبحار. وفي المطبوع : « فلو بصرت »</w:t>
      </w:r>
      <w:r w:rsidR="008A74EB">
        <w:rPr>
          <w:rtl/>
        </w:rPr>
        <w:t>.</w:t>
      </w:r>
    </w:p>
    <w:tbl>
      <w:tblPr>
        <w:tblStyle w:val="TableGrid"/>
        <w:bidiVisual/>
        <w:tblW w:w="0" w:type="auto"/>
        <w:tblLook w:val="04A0" w:firstRow="1" w:lastRow="0" w:firstColumn="1" w:lastColumn="0" w:noHBand="0" w:noVBand="1"/>
      </w:tblPr>
      <w:tblGrid>
        <w:gridCol w:w="4006"/>
        <w:gridCol w:w="4006"/>
      </w:tblGrid>
      <w:tr w:rsidR="0099421A" w:rsidTr="0099421A">
        <w:tc>
          <w:tcPr>
            <w:tcW w:w="4006" w:type="dxa"/>
          </w:tcPr>
          <w:p w:rsidR="0099421A" w:rsidRDefault="0099421A" w:rsidP="004A4E41">
            <w:pPr>
              <w:pStyle w:val="libFootnote0"/>
              <w:rPr>
                <w:rtl/>
              </w:rPr>
            </w:pPr>
            <w:r>
              <w:rPr>
                <w:rtl/>
              </w:rPr>
              <w:t>(7).</w:t>
            </w:r>
            <w:r w:rsidRPr="00C9040A">
              <w:rPr>
                <w:rtl/>
              </w:rPr>
              <w:t xml:space="preserve"> في « ف » : « تشهد »</w:t>
            </w:r>
            <w:r>
              <w:rPr>
                <w:rtl/>
              </w:rPr>
              <w:t>.</w:t>
            </w:r>
          </w:p>
        </w:tc>
        <w:tc>
          <w:tcPr>
            <w:tcW w:w="4006" w:type="dxa"/>
          </w:tcPr>
          <w:p w:rsidR="0099421A" w:rsidRDefault="0099421A" w:rsidP="004A4E41">
            <w:pPr>
              <w:pStyle w:val="libFootnote0"/>
              <w:rPr>
                <w:rtl/>
              </w:rPr>
            </w:pPr>
            <w:r>
              <w:rPr>
                <w:rtl/>
              </w:rPr>
              <w:t>(8).</w:t>
            </w:r>
            <w:r w:rsidRPr="00C9040A">
              <w:rPr>
                <w:rtl/>
              </w:rPr>
              <w:t xml:space="preserve"> في حاشية « بف » : + « في »</w:t>
            </w:r>
            <w:r>
              <w:rPr>
                <w:rtl/>
              </w:rPr>
              <w:t>.</w:t>
            </w:r>
          </w:p>
        </w:tc>
      </w:tr>
      <w:tr w:rsidR="0099421A" w:rsidTr="0099421A">
        <w:tc>
          <w:tcPr>
            <w:tcW w:w="4006" w:type="dxa"/>
          </w:tcPr>
          <w:p w:rsidR="0099421A" w:rsidRDefault="0099421A" w:rsidP="004A4E41">
            <w:pPr>
              <w:pStyle w:val="libFootnote0"/>
              <w:rPr>
                <w:rtl/>
              </w:rPr>
            </w:pPr>
            <w:r>
              <w:rPr>
                <w:rtl/>
              </w:rPr>
              <w:t>(9).</w:t>
            </w:r>
            <w:r w:rsidRPr="00C9040A">
              <w:rPr>
                <w:rtl/>
              </w:rPr>
              <w:t xml:space="preserve"> في « ب ، د ، ص ، ض » والوافي </w:t>
            </w:r>
            <w:r>
              <w:rPr>
                <w:rtl/>
              </w:rPr>
              <w:t>: -</w:t>
            </w:r>
            <w:r w:rsidRPr="00C9040A">
              <w:rPr>
                <w:rtl/>
              </w:rPr>
              <w:t xml:space="preserve"> « و</w:t>
            </w:r>
            <w:r>
              <w:rPr>
                <w:rFonts w:hint="cs"/>
                <w:rtl/>
              </w:rPr>
              <w:t xml:space="preserve"> </w:t>
            </w:r>
            <w:r w:rsidRPr="00C9040A">
              <w:rPr>
                <w:rtl/>
              </w:rPr>
              <w:t>»</w:t>
            </w:r>
            <w:r>
              <w:rPr>
                <w:rtl/>
              </w:rPr>
              <w:t>.</w:t>
            </w:r>
          </w:p>
        </w:tc>
        <w:tc>
          <w:tcPr>
            <w:tcW w:w="4006" w:type="dxa"/>
          </w:tcPr>
          <w:p w:rsidR="0099421A" w:rsidRDefault="0099421A" w:rsidP="004A4E41">
            <w:pPr>
              <w:pStyle w:val="libFootnote0"/>
              <w:rPr>
                <w:rtl/>
              </w:rPr>
            </w:pPr>
            <w:r>
              <w:rPr>
                <w:rtl/>
              </w:rPr>
              <w:t>(10). في حاشية «بف»:«لأنّه</w:t>
            </w:r>
            <w:r w:rsidRPr="00C9040A">
              <w:rPr>
                <w:rtl/>
              </w:rPr>
              <w:t>»</w:t>
            </w:r>
            <w:r>
              <w:rPr>
                <w:rtl/>
              </w:rPr>
              <w:t>.وفي البحار: - «إنّه</w:t>
            </w:r>
            <w:r w:rsidRPr="00C9040A">
              <w:rPr>
                <w:rtl/>
              </w:rPr>
              <w:t>»</w:t>
            </w:r>
            <w:r>
              <w:rPr>
                <w:rtl/>
              </w:rPr>
              <w:t>.</w:t>
            </w:r>
          </w:p>
        </w:tc>
      </w:tr>
      <w:tr w:rsidR="0099421A" w:rsidTr="0099421A">
        <w:tc>
          <w:tcPr>
            <w:tcW w:w="4006" w:type="dxa"/>
          </w:tcPr>
          <w:p w:rsidR="0099421A" w:rsidRDefault="00981B47" w:rsidP="004A4E41">
            <w:pPr>
              <w:pStyle w:val="libFootnote0"/>
              <w:rPr>
                <w:rtl/>
              </w:rPr>
            </w:pPr>
            <w:r>
              <w:rPr>
                <w:rtl/>
              </w:rPr>
              <w:t>(11).</w:t>
            </w:r>
            <w:r w:rsidRPr="00C9040A">
              <w:rPr>
                <w:rtl/>
              </w:rPr>
              <w:t xml:space="preserve"> في الوافي </w:t>
            </w:r>
            <w:r>
              <w:rPr>
                <w:rtl/>
              </w:rPr>
              <w:t>: -</w:t>
            </w:r>
            <w:r w:rsidRPr="00C9040A">
              <w:rPr>
                <w:rtl/>
              </w:rPr>
              <w:t xml:space="preserve"> « إلى »</w:t>
            </w:r>
            <w:r>
              <w:rPr>
                <w:rtl/>
              </w:rPr>
              <w:t>.</w:t>
            </w:r>
          </w:p>
        </w:tc>
        <w:tc>
          <w:tcPr>
            <w:tcW w:w="4006" w:type="dxa"/>
          </w:tcPr>
          <w:p w:rsidR="0099421A" w:rsidRDefault="00981B47" w:rsidP="004A4E41">
            <w:pPr>
              <w:pStyle w:val="libFootnote0"/>
              <w:rPr>
                <w:rtl/>
              </w:rPr>
            </w:pPr>
            <w:r>
              <w:rPr>
                <w:rtl/>
              </w:rPr>
              <w:t>(12).</w:t>
            </w:r>
            <w:r w:rsidRPr="00C9040A">
              <w:rPr>
                <w:rtl/>
              </w:rPr>
              <w:t xml:space="preserve"> في « ج » والبحار : « قال »</w:t>
            </w:r>
            <w:r>
              <w:rPr>
                <w:rtl/>
              </w:rPr>
              <w:t>.</w:t>
            </w:r>
          </w:p>
        </w:tc>
      </w:tr>
    </w:tbl>
    <w:p w:rsidR="008A74EB" w:rsidRPr="00C9040A" w:rsidRDefault="008A74EB" w:rsidP="004A4E41">
      <w:pPr>
        <w:pStyle w:val="libFootnote0"/>
        <w:rPr>
          <w:rtl/>
          <w:lang w:bidi="fa-IR"/>
        </w:rPr>
      </w:pPr>
      <w:r>
        <w:rPr>
          <w:rtl/>
        </w:rPr>
        <w:t>(13)</w:t>
      </w:r>
      <w:r w:rsidRPr="00C9040A">
        <w:rPr>
          <w:rtl/>
        </w:rPr>
        <w:t xml:space="preserve"> في « ب ، ج ، ز ، ص ، ض ، ف ، بر ، بس ، بف » والوافي والبحار </w:t>
      </w:r>
      <w:r>
        <w:rPr>
          <w:rtl/>
        </w:rPr>
        <w:t xml:space="preserve">: </w:t>
      </w:r>
      <w:r w:rsidR="0084262C">
        <w:rPr>
          <w:rtl/>
        </w:rPr>
        <w:t>-</w:t>
      </w:r>
      <w:r w:rsidRPr="00C9040A">
        <w:rPr>
          <w:rtl/>
        </w:rPr>
        <w:t xml:space="preserve"> « قد »</w:t>
      </w:r>
      <w:r>
        <w:rPr>
          <w:rtl/>
        </w:rPr>
        <w:t>.</w:t>
      </w:r>
    </w:p>
    <w:p w:rsidR="008A74EB" w:rsidRPr="00C9040A" w:rsidRDefault="008A74EB" w:rsidP="004A4E41">
      <w:pPr>
        <w:pStyle w:val="libFootnote0"/>
        <w:rPr>
          <w:rtl/>
          <w:lang w:bidi="fa-IR"/>
        </w:rPr>
      </w:pPr>
      <w:r>
        <w:rPr>
          <w:rtl/>
        </w:rPr>
        <w:t>(14)</w:t>
      </w:r>
      <w:r w:rsidRPr="00C9040A">
        <w:rPr>
          <w:rtl/>
        </w:rPr>
        <w:t xml:space="preserve"> </w:t>
      </w:r>
      <w:r w:rsidRPr="00993B55">
        <w:rPr>
          <w:rStyle w:val="libFootnoteBoldChar"/>
          <w:rtl/>
        </w:rPr>
        <w:t>تفسير العيّاشي</w:t>
      </w:r>
      <w:r w:rsidRPr="00C9040A">
        <w:rPr>
          <w:rtl/>
        </w:rPr>
        <w:t xml:space="preserve"> ، ج 1 ، ص 146 ، ح 479 ، عن حمران عن أبي جعفر </w:t>
      </w:r>
      <w:r w:rsidR="00117575" w:rsidRPr="00117575">
        <w:rPr>
          <w:rStyle w:val="libFootnoteAlaemChar"/>
          <w:rtl/>
        </w:rPr>
        <w:t>عليه‌السلام</w:t>
      </w:r>
      <w:r w:rsidRPr="00C9040A">
        <w:rPr>
          <w:rtl/>
        </w:rPr>
        <w:t xml:space="preserve"> ، من قوله : « قلت : فهل للمؤمن فضل على المسلم » إلى قوله : « ويفعل الله بالمؤمنين ما يشاء » مع اختلاف يسير</w:t>
      </w:r>
      <w:r w:rsidR="00981B47">
        <w:rPr>
          <w:rFonts w:hint="cs"/>
          <w:rtl/>
        </w:rPr>
        <w:t>.</w:t>
      </w:r>
      <w:r w:rsidRPr="00993B55">
        <w:rPr>
          <w:rStyle w:val="libFootnoteBoldChar"/>
          <w:rtl/>
        </w:rPr>
        <w:t>الوافي</w:t>
      </w:r>
      <w:r w:rsidRPr="00C9040A">
        <w:rPr>
          <w:rtl/>
        </w:rPr>
        <w:t xml:space="preserve"> ، ج 4 ، ص 77 ، ح 1677 ؛ </w:t>
      </w:r>
      <w:r w:rsidRPr="00993B55">
        <w:rPr>
          <w:rStyle w:val="libFootnoteBoldChar"/>
          <w:rtl/>
        </w:rPr>
        <w:t>البحار</w:t>
      </w:r>
      <w:r w:rsidRPr="00C9040A">
        <w:rPr>
          <w:rtl/>
        </w:rPr>
        <w:t xml:space="preserve"> ، ج 68 ، ص 250 ، ح 12.</w:t>
      </w:r>
      <w:r w:rsidR="00981B47">
        <w:rPr>
          <w:rFonts w:hint="cs"/>
          <w:rtl/>
        </w:rPr>
        <w:t xml:space="preserve">       </w:t>
      </w:r>
      <w:r>
        <w:rPr>
          <w:rtl/>
        </w:rPr>
        <w:t>(15)</w:t>
      </w:r>
      <w:r w:rsidRPr="00C9040A">
        <w:rPr>
          <w:rtl/>
        </w:rPr>
        <w:t xml:space="preserve"> في التوحيد : « على يدي » بدل « مع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lastRenderedPageBreak/>
        <w:t xml:space="preserve">فَكَتَبَ إِلَيَّ مَعَ </w:t>
      </w:r>
      <w:r w:rsidR="006C577F" w:rsidRPr="006C577F">
        <w:rPr>
          <w:rStyle w:val="libFootnotenumChar"/>
          <w:rtl/>
        </w:rPr>
        <w:t>(1)</w:t>
      </w:r>
      <w:r w:rsidRPr="002712F0">
        <w:rPr>
          <w:rFonts w:hint="cs"/>
          <w:rtl/>
        </w:rPr>
        <w:t xml:space="preserve"> </w:t>
      </w:r>
      <w:r w:rsidRPr="00C9040A">
        <w:rPr>
          <w:rtl/>
          <w:lang w:bidi="fa-IR"/>
        </w:rPr>
        <w:t>عَبْدِ الْمَلِكِ بْنِ أَعْيَنَ : « سَأَلْتَ</w:t>
      </w:r>
      <w:r>
        <w:rPr>
          <w:rtl/>
          <w:lang w:bidi="fa-IR"/>
        </w:rPr>
        <w:t xml:space="preserve"> </w:t>
      </w:r>
      <w:r w:rsidR="0084262C">
        <w:rPr>
          <w:rtl/>
          <w:lang w:bidi="fa-IR"/>
        </w:rPr>
        <w:t>-</w:t>
      </w:r>
      <w:r>
        <w:rPr>
          <w:rtl/>
          <w:lang w:bidi="fa-IR"/>
        </w:rPr>
        <w:t xml:space="preserve"> </w:t>
      </w:r>
      <w:r w:rsidRPr="00C9040A">
        <w:rPr>
          <w:rtl/>
          <w:lang w:bidi="fa-IR"/>
        </w:rPr>
        <w:t>رَحِمَكَ اللهُ</w:t>
      </w:r>
      <w:r>
        <w:rPr>
          <w:rtl/>
          <w:lang w:bidi="fa-IR"/>
        </w:rPr>
        <w:t xml:space="preserve"> </w:t>
      </w:r>
      <w:r w:rsidR="0084262C">
        <w:rPr>
          <w:rtl/>
          <w:lang w:bidi="fa-IR"/>
        </w:rPr>
        <w:t>-</w:t>
      </w:r>
      <w:r>
        <w:rPr>
          <w:rtl/>
          <w:lang w:bidi="fa-IR"/>
        </w:rPr>
        <w:t xml:space="preserve"> </w:t>
      </w:r>
      <w:r w:rsidRPr="00C9040A">
        <w:rPr>
          <w:rtl/>
          <w:lang w:bidi="fa-IR"/>
        </w:rPr>
        <w:t>عَنِ الْإِيمَانِ ؛ وَ</w:t>
      </w:r>
      <w:r>
        <w:rPr>
          <w:rFonts w:hint="cs"/>
          <w:rtl/>
          <w:lang w:bidi="fa-IR"/>
        </w:rPr>
        <w:t xml:space="preserve"> </w:t>
      </w:r>
      <w:r w:rsidR="006C577F" w:rsidRPr="006C577F">
        <w:rPr>
          <w:rStyle w:val="libFootnotenumChar"/>
          <w:rtl/>
        </w:rPr>
        <w:t>(2)</w:t>
      </w:r>
      <w:r w:rsidRPr="00C9040A">
        <w:rPr>
          <w:rtl/>
          <w:lang w:bidi="fa-IR"/>
        </w:rPr>
        <w:t xml:space="preserve"> الْإِيمَانُ هُوَ الْإِقْرَارُ بِاللِّسَانِ ، وَعَقْدٌ فِي الْقَلْبِ </w:t>
      </w:r>
      <w:r w:rsidR="006C577F" w:rsidRPr="006C577F">
        <w:rPr>
          <w:rStyle w:val="libFootnotenumChar"/>
          <w:rtl/>
        </w:rPr>
        <w:t>(3)</w:t>
      </w:r>
      <w:r w:rsidRPr="00C9040A">
        <w:rPr>
          <w:rtl/>
          <w:lang w:bidi="fa-IR"/>
        </w:rPr>
        <w:t xml:space="preserve"> ، وَعَمَلٌ بِالْأَرْكَانِ ، وَالْإِيمَانُ </w:t>
      </w:r>
      <w:r w:rsidR="006C577F" w:rsidRPr="006C577F">
        <w:rPr>
          <w:rStyle w:val="libFootnotenumChar"/>
          <w:rtl/>
        </w:rPr>
        <w:t>(4)</w:t>
      </w:r>
      <w:r w:rsidRPr="00C9040A">
        <w:rPr>
          <w:rtl/>
          <w:lang w:bidi="fa-IR"/>
        </w:rPr>
        <w:t xml:space="preserve"> بَعْضُهُ مِنْ بَعْضٍ ، وَهُوَ دَارٌ ، وَكَذلِكَ الْإِسْلَامُ دَارٌ ، وَالْكُفْرُ دَارٌ ، فَقَدْ يَكُونُ الْعَبْدُ مُسْلِماً قَبْلَ أَنْ يَكُونَ مُؤْمِناً ، وَلَا يَكُونُ مُؤْمِناً حَتّى يَكُونَ مُسْلِماً ، فَالْإِسْلَامُ </w:t>
      </w:r>
      <w:r w:rsidR="006C577F" w:rsidRPr="006C577F">
        <w:rPr>
          <w:rStyle w:val="libFootnotenumChar"/>
          <w:rtl/>
        </w:rPr>
        <w:t>(5)</w:t>
      </w:r>
      <w:r w:rsidRPr="00C9040A">
        <w:rPr>
          <w:rtl/>
          <w:lang w:bidi="fa-IR"/>
        </w:rPr>
        <w:t xml:space="preserve"> قَبْلَ الْإِيمَانِ وَهُوَ يُشَارِكُ الْإِيمَانَ </w:t>
      </w:r>
      <w:r w:rsidR="006C577F" w:rsidRPr="006C577F">
        <w:rPr>
          <w:rStyle w:val="libFootnotenumChar"/>
          <w:rtl/>
        </w:rPr>
        <w:t>(6)</w:t>
      </w:r>
      <w:r w:rsidRPr="005B567D">
        <w:rPr>
          <w:rStyle w:val="libFootnotenumChar"/>
          <w:rtl/>
        </w:rPr>
        <w:t xml:space="preserve"> </w:t>
      </w:r>
      <w:r w:rsidRPr="00C9040A">
        <w:rPr>
          <w:rtl/>
          <w:lang w:bidi="fa-IR"/>
        </w:rPr>
        <w:t xml:space="preserve">، فَإِذَا أَتَى الْعَبْدُ كَبِيرَةً </w:t>
      </w:r>
      <w:r w:rsidR="006C577F" w:rsidRPr="006C577F">
        <w:rPr>
          <w:rStyle w:val="libFootnotenumChar"/>
          <w:rtl/>
        </w:rPr>
        <w:t>(7)</w:t>
      </w:r>
      <w:r w:rsidRPr="00C9040A">
        <w:rPr>
          <w:rtl/>
          <w:lang w:bidi="fa-IR"/>
        </w:rPr>
        <w:t xml:space="preserve"> مِنْ كَبَائِرِ </w:t>
      </w:r>
      <w:r w:rsidR="006C577F" w:rsidRPr="006C577F">
        <w:rPr>
          <w:rStyle w:val="libFootnotenumChar"/>
          <w:rtl/>
        </w:rPr>
        <w:t>(8)</w:t>
      </w:r>
      <w:r w:rsidRPr="00C9040A">
        <w:rPr>
          <w:rtl/>
          <w:lang w:bidi="fa-IR"/>
        </w:rPr>
        <w:t xml:space="preserve"> الْمَعَاصِي ، أَوْ صَغِيرَةً </w:t>
      </w:r>
      <w:r w:rsidR="006C577F" w:rsidRPr="006C577F">
        <w:rPr>
          <w:rStyle w:val="libFootnotenumChar"/>
          <w:rtl/>
        </w:rPr>
        <w:t>(9)</w:t>
      </w:r>
      <w:r w:rsidRPr="00C9040A">
        <w:rPr>
          <w:rtl/>
          <w:lang w:bidi="fa-IR"/>
        </w:rPr>
        <w:t xml:space="preserve"> مِنْ صَغَائِرِ </w:t>
      </w:r>
      <w:r w:rsidR="006C577F" w:rsidRPr="006C577F">
        <w:rPr>
          <w:rStyle w:val="libFootnotenumChar"/>
          <w:rtl/>
        </w:rPr>
        <w:t>(10)</w:t>
      </w:r>
      <w:r w:rsidRPr="00C9040A">
        <w:rPr>
          <w:rtl/>
          <w:lang w:bidi="fa-IR"/>
        </w:rPr>
        <w:t xml:space="preserve"> الْمَعَاصِي الَّتِي نَهَى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عَنْهَا ، كَانَ خَارِجاً مِنَ الْإِيمَانِ ، سَاقِطاً </w:t>
      </w:r>
      <w:r w:rsidR="006C577F" w:rsidRPr="006C577F">
        <w:rPr>
          <w:rStyle w:val="libFootnotenumChar"/>
          <w:rtl/>
        </w:rPr>
        <w:t>(11)</w:t>
      </w:r>
      <w:r w:rsidRPr="00C9040A">
        <w:rPr>
          <w:rtl/>
          <w:lang w:bidi="fa-IR"/>
        </w:rPr>
        <w:t xml:space="preserve"> عَنْهُ اسْمُ الْإِيمَانِ ، وَثَابِتاً عَلَيْهِ اسْمُ الْإِسْلَامِ </w:t>
      </w:r>
      <w:r w:rsidR="006C577F" w:rsidRPr="006C577F">
        <w:rPr>
          <w:rStyle w:val="libFootnotenumChar"/>
          <w:rtl/>
        </w:rPr>
        <w:t>(12)</w:t>
      </w:r>
      <w:r w:rsidRPr="00C9040A">
        <w:rPr>
          <w:rtl/>
          <w:lang w:bidi="fa-IR"/>
        </w:rPr>
        <w:t xml:space="preserve"> ، فَإِنْ تَابَ وَاسْتَغْفَرَ ، عَادَ إِلى دَارِ </w:t>
      </w:r>
      <w:r w:rsidRPr="005B567D">
        <w:rPr>
          <w:rStyle w:val="libFootnotenumChar"/>
          <w:rtl/>
        </w:rPr>
        <w:t>(13)</w:t>
      </w:r>
      <w:r w:rsidRPr="00C9040A">
        <w:rPr>
          <w:rtl/>
          <w:lang w:bidi="fa-IR"/>
        </w:rPr>
        <w:t xml:space="preserve"> الْإِيمَانِ ، وَلَا يُخْرِجُهُ إِلَى </w:t>
      </w:r>
      <w:r w:rsidRPr="005B567D">
        <w:rPr>
          <w:rStyle w:val="libFootnotenumChar"/>
          <w:rtl/>
        </w:rPr>
        <w:t>(14)</w:t>
      </w:r>
      <w:r w:rsidR="00981B47">
        <w:rPr>
          <w:rtl/>
          <w:lang w:bidi="fa-IR"/>
        </w:rPr>
        <w:t xml:space="preserve"> الْكُفْرِ إِل</w:t>
      </w:r>
      <w:r w:rsidR="00981B47">
        <w:rPr>
          <w:rFonts w:hint="cs"/>
          <w:rtl/>
          <w:lang w:bidi="fa-IR"/>
        </w:rPr>
        <w:t>َّ</w:t>
      </w:r>
      <w:r w:rsidR="00981B47">
        <w:rPr>
          <w:rtl/>
          <w:lang w:bidi="fa-IR"/>
        </w:rPr>
        <w:t>ا</w:t>
      </w:r>
      <w:r w:rsidRPr="00C9040A">
        <w:rPr>
          <w:rtl/>
          <w:lang w:bidi="fa-IR"/>
        </w:rPr>
        <w:t xml:space="preserve"> الْجُحُودُ وَالِاسْتِحْلَالُ بِأَنْ </w:t>
      </w:r>
      <w:r w:rsidRPr="005B567D">
        <w:rPr>
          <w:rStyle w:val="libFootnotenumChar"/>
          <w:rtl/>
        </w:rPr>
        <w:t>(15)</w:t>
      </w:r>
      <w:r w:rsidRPr="00C9040A">
        <w:rPr>
          <w:rtl/>
          <w:lang w:bidi="fa-IR"/>
        </w:rPr>
        <w:t xml:space="preserve"> يَقُولَ لِلْحَلَالِ : هذَا حَرَامٌ ، وَ</w:t>
      </w:r>
      <w:r>
        <w:rPr>
          <w:rFonts w:hint="cs"/>
          <w:rtl/>
          <w:lang w:bidi="fa-IR"/>
        </w:rPr>
        <w:t xml:space="preserve"> </w:t>
      </w:r>
      <w:r w:rsidRPr="005B567D">
        <w:rPr>
          <w:rStyle w:val="libFootnotenumChar"/>
          <w:rtl/>
        </w:rPr>
        <w:t>(16)</w:t>
      </w:r>
      <w:r w:rsidRPr="00C9040A">
        <w:rPr>
          <w:rtl/>
          <w:lang w:bidi="fa-IR"/>
        </w:rPr>
        <w:t xml:space="preserve"> لِلْحَرَامِ : هذَا حَلَالٌ ، وَدَانَ بِذلِكَ ، فَعِنْدَهَا يَكُونُ خَارِجاً مِنَ الْإِسْلَامِ وَالْإِيمَانِ ، دَاخِلاً </w:t>
      </w:r>
      <w:r w:rsidRPr="005B567D">
        <w:rPr>
          <w:rStyle w:val="libFootnotenumChar"/>
          <w:rtl/>
        </w:rPr>
        <w:t>(17)</w:t>
      </w:r>
      <w:r w:rsidRPr="00C9040A">
        <w:rPr>
          <w:rtl/>
          <w:lang w:bidi="fa-IR"/>
        </w:rPr>
        <w:t xml:space="preserve"> فِي الْكُفْرِ ، وَكَانَ بِمَنْزِلَةِ مَنْ دَخَلَ الْحَرَمَ ثُمَّ دَخَلَ الْكَعْبَةَ ، وَأَحْدَثَ فِي الْكَعْبَةِ حَدَثاً ، فَأُخْرِجَ عَنِ الْكَعْبَةِ‌</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التوحيد : « على يدي » بدل « إليَّ مع »</w:t>
      </w:r>
      <w:r w:rsidR="008A74EB">
        <w:rPr>
          <w:rtl/>
        </w:rPr>
        <w:t>.</w:t>
      </w:r>
    </w:p>
    <w:p w:rsidR="008A74EB" w:rsidRPr="004A4E41" w:rsidRDefault="006C577F" w:rsidP="004A4E41">
      <w:pPr>
        <w:pStyle w:val="libFootnote0"/>
        <w:rPr>
          <w:rStyle w:val="libFootnote0Char"/>
          <w:rtl/>
        </w:rPr>
      </w:pPr>
      <w:r>
        <w:rPr>
          <w:rtl/>
        </w:rPr>
        <w:t>(2).</w:t>
      </w:r>
      <w:r w:rsidR="008A74EB">
        <w:rPr>
          <w:rtl/>
        </w:rPr>
        <w:t xml:space="preserve"> </w:t>
      </w:r>
      <w:r w:rsidR="008A74EB" w:rsidRPr="00C9040A">
        <w:rPr>
          <w:rtl/>
        </w:rPr>
        <w:t xml:space="preserve">في « بر » </w:t>
      </w:r>
      <w:r w:rsidR="008A74EB">
        <w:rPr>
          <w:rtl/>
        </w:rPr>
        <w:t xml:space="preserve">: </w:t>
      </w:r>
      <w:r w:rsidR="0084262C">
        <w:rPr>
          <w:rtl/>
        </w:rPr>
        <w:t>-</w:t>
      </w:r>
      <w:r w:rsidR="008A74EB" w:rsidRPr="00C9040A">
        <w:rPr>
          <w:rtl/>
        </w:rPr>
        <w:t xml:space="preserve"> « و</w:t>
      </w:r>
      <w:r w:rsidR="008A74EB">
        <w:rPr>
          <w:rFonts w:hint="cs"/>
          <w:rtl/>
        </w:rPr>
        <w:t xml:space="preserve"> </w:t>
      </w:r>
      <w:r w:rsidR="008A74EB" w:rsidRPr="00C9040A">
        <w:rPr>
          <w:rtl/>
        </w:rPr>
        <w:t>»</w:t>
      </w:r>
      <w:r w:rsidR="008A74EB">
        <w:rPr>
          <w:rtl/>
        </w:rPr>
        <w:t>.</w:t>
      </w:r>
    </w:p>
    <w:tbl>
      <w:tblPr>
        <w:tblStyle w:val="TableGrid"/>
        <w:bidiVisual/>
        <w:tblW w:w="0" w:type="auto"/>
        <w:tblLook w:val="04A0" w:firstRow="1" w:lastRow="0" w:firstColumn="1" w:lastColumn="0" w:noHBand="0" w:noVBand="1"/>
      </w:tblPr>
      <w:tblGrid>
        <w:gridCol w:w="4006"/>
        <w:gridCol w:w="4006"/>
      </w:tblGrid>
      <w:tr w:rsidR="00981B47" w:rsidTr="00981B47">
        <w:tc>
          <w:tcPr>
            <w:tcW w:w="4006" w:type="dxa"/>
          </w:tcPr>
          <w:p w:rsidR="00981B47" w:rsidRDefault="00981B47" w:rsidP="004A4E41">
            <w:pPr>
              <w:pStyle w:val="libFootnote0"/>
              <w:rPr>
                <w:rtl/>
              </w:rPr>
            </w:pPr>
            <w:r>
              <w:rPr>
                <w:rtl/>
              </w:rPr>
              <w:t>(3).</w:t>
            </w:r>
            <w:r w:rsidRPr="00C9040A">
              <w:rPr>
                <w:rtl/>
              </w:rPr>
              <w:t xml:space="preserve"> في التوحيد : « بالقلب »</w:t>
            </w:r>
            <w:r>
              <w:rPr>
                <w:rtl/>
              </w:rPr>
              <w:t>.</w:t>
            </w:r>
          </w:p>
        </w:tc>
        <w:tc>
          <w:tcPr>
            <w:tcW w:w="4006" w:type="dxa"/>
          </w:tcPr>
          <w:p w:rsidR="00981B47" w:rsidRDefault="00981B47" w:rsidP="004A4E41">
            <w:pPr>
              <w:pStyle w:val="libFootnote0"/>
              <w:rPr>
                <w:rtl/>
              </w:rPr>
            </w:pPr>
            <w:r>
              <w:rPr>
                <w:rtl/>
              </w:rPr>
              <w:t>(4).</w:t>
            </w:r>
            <w:r w:rsidRPr="00C9040A">
              <w:rPr>
                <w:rtl/>
              </w:rPr>
              <w:t xml:space="preserve"> في التوحيد : « فالإيمان »</w:t>
            </w:r>
            <w:r>
              <w:rPr>
                <w:rtl/>
              </w:rPr>
              <w:t>.</w:t>
            </w:r>
          </w:p>
        </w:tc>
      </w:tr>
    </w:tbl>
    <w:p w:rsidR="008A74EB" w:rsidRPr="00C9040A" w:rsidRDefault="006C577F" w:rsidP="004A4E41">
      <w:pPr>
        <w:pStyle w:val="libFootnote0"/>
        <w:rPr>
          <w:rtl/>
          <w:lang w:bidi="fa-IR"/>
        </w:rPr>
      </w:pPr>
      <w:r>
        <w:rPr>
          <w:rtl/>
        </w:rPr>
        <w:t>(5).</w:t>
      </w:r>
      <w:r w:rsidR="008A74EB" w:rsidRPr="00C9040A">
        <w:rPr>
          <w:rtl/>
        </w:rPr>
        <w:t xml:space="preserve"> في الوسائل ، ح 34953 : « والإسلام »</w:t>
      </w:r>
      <w:r w:rsidR="008A74EB">
        <w:rPr>
          <w:rtl/>
        </w:rPr>
        <w:t>.</w:t>
      </w:r>
    </w:p>
    <w:p w:rsidR="008A74EB" w:rsidRPr="004A4E41" w:rsidRDefault="006C577F" w:rsidP="004A4E41">
      <w:pPr>
        <w:pStyle w:val="libFootnote0"/>
        <w:rPr>
          <w:rStyle w:val="libFootnote0Char"/>
          <w:rtl/>
        </w:rPr>
      </w:pPr>
      <w:r>
        <w:rPr>
          <w:rtl/>
        </w:rPr>
        <w:t>(6).</w:t>
      </w:r>
      <w:r w:rsidR="008A74EB">
        <w:rPr>
          <w:rtl/>
        </w:rPr>
        <w:t xml:space="preserve"> </w:t>
      </w:r>
      <w:r w:rsidR="008A74EB" w:rsidRPr="00C9040A">
        <w:rPr>
          <w:rtl/>
        </w:rPr>
        <w:t xml:space="preserve">في </w:t>
      </w:r>
      <w:r w:rsidR="008A74EB" w:rsidRPr="00993B55">
        <w:rPr>
          <w:rStyle w:val="libFootnoteBoldChar"/>
          <w:rtl/>
        </w:rPr>
        <w:t>الوافي</w:t>
      </w:r>
      <w:r w:rsidR="008A74EB" w:rsidRPr="00C9040A">
        <w:rPr>
          <w:rtl/>
        </w:rPr>
        <w:t xml:space="preserve"> : « وهو يشارك الإيمان ، معناه أنّه كلّما يتحقّق الإيمان فهو يشاركه في التحقّق. وأمّا ما مضى في‌الأخبار أنّه لايشارك الإيمان ، فمعناه أنّه ليس كلّما تحقّق تحقّق الإيمان ؛ فلا منافاة. ويحتمل أن يكون قد سقط من الكلام شي‌ء وكان هكذا : وهو يشارك الإسلام والإسلام لا يشارك الإيمان. فيكون على وتيرة ما سبق »</w:t>
      </w:r>
      <w:r w:rsidR="008A74EB">
        <w:rPr>
          <w:rtl/>
        </w:rPr>
        <w:t>.</w:t>
      </w:r>
      <w:r w:rsidR="008A74EB" w:rsidRPr="00C9040A">
        <w:rPr>
          <w:rtl/>
        </w:rPr>
        <w:t xml:space="preserve"> وفي </w:t>
      </w:r>
      <w:r w:rsidR="008A74EB" w:rsidRPr="00993B55">
        <w:rPr>
          <w:rStyle w:val="libFootnoteBoldChar"/>
          <w:rtl/>
        </w:rPr>
        <w:t>المرآة</w:t>
      </w:r>
      <w:r w:rsidR="008A74EB" w:rsidRPr="00C9040A">
        <w:rPr>
          <w:rtl/>
        </w:rPr>
        <w:t xml:space="preserve"> : « الظاهر هنا المشاركة في الأحكام الظاهرة ، وفيما سبق نفي المشاركة في جميع الأحكام »</w:t>
      </w:r>
      <w:r w:rsidR="008A74EB">
        <w:rPr>
          <w:rtl/>
        </w:rPr>
        <w:t>.</w:t>
      </w:r>
    </w:p>
    <w:tbl>
      <w:tblPr>
        <w:tblStyle w:val="TableGrid"/>
        <w:bidiVisual/>
        <w:tblW w:w="0" w:type="auto"/>
        <w:tblLook w:val="04A0" w:firstRow="1" w:lastRow="0" w:firstColumn="1" w:lastColumn="0" w:noHBand="0" w:noVBand="1"/>
      </w:tblPr>
      <w:tblGrid>
        <w:gridCol w:w="4006"/>
        <w:gridCol w:w="4006"/>
      </w:tblGrid>
      <w:tr w:rsidR="00981B47" w:rsidTr="00981B47">
        <w:tc>
          <w:tcPr>
            <w:tcW w:w="4006" w:type="dxa"/>
          </w:tcPr>
          <w:p w:rsidR="00981B47" w:rsidRDefault="00981B47" w:rsidP="004A4E41">
            <w:pPr>
              <w:pStyle w:val="libFootnote0"/>
              <w:rPr>
                <w:rtl/>
              </w:rPr>
            </w:pPr>
            <w:r>
              <w:rPr>
                <w:rtl/>
              </w:rPr>
              <w:t>(7).</w:t>
            </w:r>
            <w:r w:rsidRPr="00C9040A">
              <w:rPr>
                <w:rtl/>
              </w:rPr>
              <w:t xml:space="preserve"> في الوسائل ، ح 34953 والتوحيد : « بكبيرة »</w:t>
            </w:r>
            <w:r>
              <w:rPr>
                <w:rtl/>
              </w:rPr>
              <w:t>.</w:t>
            </w:r>
          </w:p>
        </w:tc>
        <w:tc>
          <w:tcPr>
            <w:tcW w:w="4006" w:type="dxa"/>
          </w:tcPr>
          <w:p w:rsidR="00981B47" w:rsidRDefault="00981B47" w:rsidP="004A4E41">
            <w:pPr>
              <w:pStyle w:val="libFootnote0"/>
              <w:rPr>
                <w:rtl/>
              </w:rPr>
            </w:pPr>
            <w:r>
              <w:rPr>
                <w:rtl/>
              </w:rPr>
              <w:t>(8).</w:t>
            </w:r>
            <w:r w:rsidRPr="00C9040A">
              <w:rPr>
                <w:rtl/>
              </w:rPr>
              <w:t xml:space="preserve"> في « ص ، بر » : « كبار »</w:t>
            </w:r>
            <w:r>
              <w:rPr>
                <w:rtl/>
              </w:rPr>
              <w:t>.</w:t>
            </w:r>
          </w:p>
        </w:tc>
      </w:tr>
      <w:tr w:rsidR="00981B47" w:rsidTr="00981B47">
        <w:tc>
          <w:tcPr>
            <w:tcW w:w="4006" w:type="dxa"/>
          </w:tcPr>
          <w:p w:rsidR="00981B47" w:rsidRDefault="00981B47" w:rsidP="004A4E41">
            <w:pPr>
              <w:pStyle w:val="libFootnote0"/>
              <w:rPr>
                <w:rtl/>
              </w:rPr>
            </w:pPr>
            <w:r>
              <w:rPr>
                <w:rtl/>
              </w:rPr>
              <w:t>(9).</w:t>
            </w:r>
            <w:r w:rsidRPr="00C9040A">
              <w:rPr>
                <w:rtl/>
              </w:rPr>
              <w:t xml:space="preserve"> في الوسائل ، ح 34953 : « بصغيرة »</w:t>
            </w:r>
            <w:r>
              <w:rPr>
                <w:rtl/>
              </w:rPr>
              <w:t>.</w:t>
            </w:r>
          </w:p>
        </w:tc>
        <w:tc>
          <w:tcPr>
            <w:tcW w:w="4006" w:type="dxa"/>
          </w:tcPr>
          <w:p w:rsidR="00981B47" w:rsidRDefault="00981B47" w:rsidP="004A4E41">
            <w:pPr>
              <w:pStyle w:val="libFootnote0"/>
              <w:rPr>
                <w:rtl/>
              </w:rPr>
            </w:pPr>
            <w:r>
              <w:rPr>
                <w:rtl/>
              </w:rPr>
              <w:t>(10).</w:t>
            </w:r>
            <w:r w:rsidRPr="00C9040A">
              <w:rPr>
                <w:rtl/>
              </w:rPr>
              <w:t xml:space="preserve"> في « ز ، ص ، بر » : « صغار »</w:t>
            </w:r>
            <w:r>
              <w:rPr>
                <w:rtl/>
              </w:rPr>
              <w:t>.</w:t>
            </w:r>
          </w:p>
        </w:tc>
      </w:tr>
      <w:tr w:rsidR="00981B47" w:rsidTr="00981B47">
        <w:tc>
          <w:tcPr>
            <w:tcW w:w="4006" w:type="dxa"/>
          </w:tcPr>
          <w:p w:rsidR="00981B47" w:rsidRDefault="00C85450" w:rsidP="004A4E41">
            <w:pPr>
              <w:pStyle w:val="libFootnote0"/>
              <w:rPr>
                <w:rtl/>
              </w:rPr>
            </w:pPr>
            <w:r>
              <w:rPr>
                <w:rtl/>
              </w:rPr>
              <w:t>(11).</w:t>
            </w:r>
            <w:r w:rsidRPr="00C9040A">
              <w:rPr>
                <w:rtl/>
              </w:rPr>
              <w:t xml:space="preserve"> في التوحيد : « وساقطاً »</w:t>
            </w:r>
            <w:r>
              <w:rPr>
                <w:rtl/>
              </w:rPr>
              <w:t>.</w:t>
            </w:r>
          </w:p>
        </w:tc>
        <w:tc>
          <w:tcPr>
            <w:tcW w:w="4006" w:type="dxa"/>
          </w:tcPr>
          <w:p w:rsidR="00981B47" w:rsidRDefault="00C85450" w:rsidP="004A4E41">
            <w:pPr>
              <w:pStyle w:val="libFootnote0"/>
              <w:rPr>
                <w:rtl/>
              </w:rPr>
            </w:pPr>
            <w:r>
              <w:rPr>
                <w:rtl/>
              </w:rPr>
              <w:t>(12).</w:t>
            </w:r>
            <w:r w:rsidRPr="00C9040A">
              <w:rPr>
                <w:rtl/>
              </w:rPr>
              <w:t xml:space="preserve"> في « ف » : + « فقال »</w:t>
            </w:r>
            <w:r>
              <w:rPr>
                <w:rtl/>
              </w:rPr>
              <w:t>.</w:t>
            </w:r>
          </w:p>
        </w:tc>
      </w:tr>
    </w:tbl>
    <w:p w:rsidR="008A74EB" w:rsidRPr="00C9040A" w:rsidRDefault="008A74EB" w:rsidP="004A4E41">
      <w:pPr>
        <w:pStyle w:val="libFootnote0"/>
        <w:rPr>
          <w:rtl/>
          <w:lang w:bidi="fa-IR"/>
        </w:rPr>
      </w:pPr>
      <w:r>
        <w:rPr>
          <w:rtl/>
        </w:rPr>
        <w:t>(13)</w:t>
      </w:r>
      <w:r w:rsidRPr="00C9040A">
        <w:rPr>
          <w:rtl/>
        </w:rPr>
        <w:t xml:space="preserve"> في الوسائل ، ح 34953 والتوحيد </w:t>
      </w:r>
      <w:r>
        <w:rPr>
          <w:rtl/>
        </w:rPr>
        <w:t xml:space="preserve">: </w:t>
      </w:r>
      <w:r w:rsidR="0084262C">
        <w:rPr>
          <w:rtl/>
        </w:rPr>
        <w:t>-</w:t>
      </w:r>
      <w:r w:rsidRPr="00C9040A">
        <w:rPr>
          <w:rtl/>
        </w:rPr>
        <w:t xml:space="preserve"> « دار »</w:t>
      </w:r>
      <w:r>
        <w:rPr>
          <w:rtl/>
        </w:rPr>
        <w:t>.</w:t>
      </w:r>
    </w:p>
    <w:p w:rsidR="008A74EB" w:rsidRPr="00C9040A" w:rsidRDefault="008A74EB" w:rsidP="004A4E41">
      <w:pPr>
        <w:pStyle w:val="libFootnote0"/>
        <w:rPr>
          <w:rtl/>
          <w:lang w:bidi="fa-IR"/>
        </w:rPr>
      </w:pPr>
      <w:r>
        <w:rPr>
          <w:rtl/>
        </w:rPr>
        <w:t>(14)</w:t>
      </w:r>
      <w:r w:rsidRPr="00C9040A">
        <w:rPr>
          <w:rtl/>
        </w:rPr>
        <w:t xml:space="preserve"> في « ب » : + « دار »</w:t>
      </w:r>
      <w:r>
        <w:rPr>
          <w:rtl/>
        </w:rPr>
        <w:t>.</w:t>
      </w:r>
    </w:p>
    <w:p w:rsidR="008A74EB" w:rsidRPr="004A4E41" w:rsidRDefault="008A74EB" w:rsidP="004A4E41">
      <w:pPr>
        <w:pStyle w:val="libFootnote0"/>
        <w:rPr>
          <w:rStyle w:val="libFootnote0Char"/>
          <w:rtl/>
        </w:rPr>
      </w:pPr>
      <w:r>
        <w:rPr>
          <w:rtl/>
        </w:rPr>
        <w:t>(15)</w:t>
      </w:r>
      <w:r w:rsidRPr="00C9040A">
        <w:rPr>
          <w:rtl/>
        </w:rPr>
        <w:t xml:space="preserve"> هكذا في « بر » والبحار. وفي سائر النسخ والمطبوع : « أن »</w:t>
      </w:r>
      <w:r>
        <w:rPr>
          <w:rtl/>
        </w:rPr>
        <w:t>.</w:t>
      </w:r>
    </w:p>
    <w:tbl>
      <w:tblPr>
        <w:tblStyle w:val="TableGrid"/>
        <w:bidiVisual/>
        <w:tblW w:w="0" w:type="auto"/>
        <w:tblLook w:val="04A0" w:firstRow="1" w:lastRow="0" w:firstColumn="1" w:lastColumn="0" w:noHBand="0" w:noVBand="1"/>
      </w:tblPr>
      <w:tblGrid>
        <w:gridCol w:w="4006"/>
        <w:gridCol w:w="4006"/>
      </w:tblGrid>
      <w:tr w:rsidR="00AA6A82" w:rsidTr="00AA6A82">
        <w:tc>
          <w:tcPr>
            <w:tcW w:w="4006" w:type="dxa"/>
          </w:tcPr>
          <w:p w:rsidR="00AA6A82" w:rsidRDefault="00AA6A82" w:rsidP="004A4E41">
            <w:pPr>
              <w:pStyle w:val="libFootnote0"/>
              <w:rPr>
                <w:rtl/>
              </w:rPr>
            </w:pPr>
            <w:r>
              <w:rPr>
                <w:rtl/>
              </w:rPr>
              <w:t>(16)</w:t>
            </w:r>
            <w:r w:rsidRPr="00C9040A">
              <w:rPr>
                <w:rtl/>
              </w:rPr>
              <w:t xml:space="preserve"> في « بر » : « أو »</w:t>
            </w:r>
            <w:r>
              <w:rPr>
                <w:rtl/>
              </w:rPr>
              <w:t>.</w:t>
            </w:r>
          </w:p>
        </w:tc>
        <w:tc>
          <w:tcPr>
            <w:tcW w:w="4006" w:type="dxa"/>
          </w:tcPr>
          <w:p w:rsidR="00AA6A82" w:rsidRDefault="00AA6A82" w:rsidP="004A4E41">
            <w:pPr>
              <w:pStyle w:val="libFootnote0"/>
              <w:rPr>
                <w:rtl/>
              </w:rPr>
            </w:pPr>
            <w:r>
              <w:rPr>
                <w:rtl/>
              </w:rPr>
              <w:t>(17)</w:t>
            </w:r>
            <w:r w:rsidRPr="00C9040A">
              <w:rPr>
                <w:rtl/>
              </w:rPr>
              <w:t xml:space="preserve"> في الوسائل ، ح 34953 : « وداخلاً »</w:t>
            </w:r>
            <w:r>
              <w:rPr>
                <w:rtl/>
              </w:rPr>
              <w:t>.</w:t>
            </w:r>
          </w:p>
        </w:tc>
      </w:tr>
    </w:tbl>
    <w:p w:rsidR="004B7F34" w:rsidRDefault="004B7F34" w:rsidP="004B7F34">
      <w:pPr>
        <w:pStyle w:val="libNormal"/>
        <w:rPr>
          <w:rtl/>
          <w:lang w:bidi="fa-IR"/>
        </w:rPr>
      </w:pPr>
      <w:r>
        <w:rPr>
          <w:rtl/>
          <w:lang w:bidi="fa-IR"/>
        </w:rPr>
        <w:br w:type="page"/>
      </w:r>
    </w:p>
    <w:p w:rsidR="008A74EB" w:rsidRPr="00C9040A" w:rsidRDefault="008A74EB" w:rsidP="0087580F">
      <w:pPr>
        <w:pStyle w:val="libNormal0"/>
        <w:rPr>
          <w:rtl/>
          <w:lang w:bidi="fa-IR"/>
        </w:rPr>
      </w:pPr>
      <w:r w:rsidRPr="00C9040A">
        <w:rPr>
          <w:rtl/>
          <w:lang w:bidi="fa-IR"/>
        </w:rPr>
        <w:lastRenderedPageBreak/>
        <w:t>وَعَنِ الْحَرَمِ ، فَضُرِبَتْ عُنُقُهُ ، وَصَارَ إِلَى النَّارِ »</w:t>
      </w:r>
      <w:r>
        <w:rPr>
          <w:rtl/>
          <w:lang w:bidi="fa-IR"/>
        </w:rPr>
        <w:t>.</w:t>
      </w:r>
      <w:r w:rsidRPr="00C9040A">
        <w:rPr>
          <w:rtl/>
          <w:lang w:bidi="fa-IR"/>
        </w:rPr>
        <w:t xml:space="preserve"> </w:t>
      </w:r>
      <w:r w:rsidR="006C577F" w:rsidRPr="006C577F">
        <w:rPr>
          <w:rStyle w:val="libFootnotenumChar"/>
          <w:rtl/>
        </w:rPr>
        <w:t>(1)</w:t>
      </w:r>
    </w:p>
    <w:p w:rsidR="008A74EB" w:rsidRPr="00C9040A" w:rsidRDefault="008A74EB" w:rsidP="008A74EB">
      <w:pPr>
        <w:pStyle w:val="libNormal"/>
        <w:rPr>
          <w:rtl/>
          <w:lang w:bidi="fa-IR"/>
        </w:rPr>
      </w:pPr>
      <w:r w:rsidRPr="009D4B3A">
        <w:rPr>
          <w:rtl/>
        </w:rPr>
        <w:t>1517</w:t>
      </w:r>
      <w:r w:rsidRPr="00261CB0">
        <w:rPr>
          <w:rStyle w:val="libBold2Char"/>
          <w:rtl/>
        </w:rPr>
        <w:t xml:space="preserve"> / 2.</w:t>
      </w:r>
      <w:r w:rsidRPr="00C9040A">
        <w:rPr>
          <w:rtl/>
          <w:lang w:bidi="fa-IR"/>
        </w:rPr>
        <w:t xml:space="preserve"> عِدَّةٌ مِنْ أَصْحَابِنَا ، عَنْ أَحْمَدَ بْنِ مُحَمَّدٍ ، عَنْ عُثْمَانَ بْنِ عِيسى ، عَنْ سَمَاعَةَ بْنِ مِهْرَانَ ، قَالَ :</w:t>
      </w:r>
    </w:p>
    <w:p w:rsidR="008A74EB" w:rsidRPr="00C9040A" w:rsidRDefault="008A74EB" w:rsidP="008A74EB">
      <w:pPr>
        <w:pStyle w:val="libNormal"/>
        <w:rPr>
          <w:rtl/>
          <w:lang w:bidi="fa-IR"/>
        </w:rPr>
      </w:pPr>
      <w:r w:rsidRPr="00C9040A">
        <w:rPr>
          <w:rtl/>
          <w:lang w:bidi="fa-IR"/>
        </w:rPr>
        <w:t>سَأَلْتُهُ عَنِ الْإِيمَانِ وَ</w:t>
      </w:r>
      <w:r>
        <w:rPr>
          <w:rtl/>
          <w:lang w:bidi="fa-IR"/>
        </w:rPr>
        <w:t>الْإِسْلَامِ : قُلْتُ لَهُ : أَ</w:t>
      </w:r>
      <w:r w:rsidRPr="00C9040A">
        <w:rPr>
          <w:rtl/>
          <w:lang w:bidi="fa-IR"/>
        </w:rPr>
        <w:t xml:space="preserve">فَرْقٌ بَيْنَ الْإِسْلَامِ وَالْإِيمَانِ </w:t>
      </w:r>
      <w:r w:rsidR="006C577F" w:rsidRPr="006C577F">
        <w:rPr>
          <w:rStyle w:val="libFootnotenumChar"/>
          <w:rtl/>
        </w:rPr>
        <w:t>(2)</w:t>
      </w:r>
      <w:r>
        <w:rPr>
          <w:rtl/>
          <w:lang w:bidi="fa-IR"/>
        </w:rPr>
        <w:t>؟</w:t>
      </w:r>
    </w:p>
    <w:p w:rsidR="008A74EB" w:rsidRPr="00C9040A" w:rsidRDefault="008A74EB" w:rsidP="008A74EB">
      <w:pPr>
        <w:pStyle w:val="libNormal"/>
        <w:rPr>
          <w:rtl/>
          <w:lang w:bidi="fa-IR"/>
        </w:rPr>
      </w:pPr>
      <w:r w:rsidRPr="00C9040A">
        <w:rPr>
          <w:rtl/>
          <w:lang w:bidi="fa-IR"/>
        </w:rPr>
        <w:t xml:space="preserve">قَالَ : « فَأَضْرِبُ لَكَ مَثَلَهُ </w:t>
      </w:r>
      <w:r w:rsidR="006C577F" w:rsidRPr="006C577F">
        <w:rPr>
          <w:rStyle w:val="libFootnotenumChar"/>
          <w:rtl/>
        </w:rPr>
        <w:t>(3)</w:t>
      </w:r>
      <w:r>
        <w:rPr>
          <w:rtl/>
          <w:lang w:bidi="fa-IR"/>
        </w:rPr>
        <w:t>؟</w:t>
      </w:r>
      <w:r w:rsidRPr="00C9040A">
        <w:rPr>
          <w:rtl/>
          <w:lang w:bidi="fa-IR"/>
        </w:rPr>
        <w:t xml:space="preserve"> » قَالَ : قُلْتُ : أَوْرِدْ </w:t>
      </w:r>
      <w:r w:rsidR="006C577F" w:rsidRPr="006C577F">
        <w:rPr>
          <w:rStyle w:val="libFootnotenumChar"/>
          <w:rtl/>
        </w:rPr>
        <w:t>(4)</w:t>
      </w:r>
      <w:r w:rsidRPr="00C9040A">
        <w:rPr>
          <w:rtl/>
          <w:lang w:bidi="fa-IR"/>
        </w:rPr>
        <w:t xml:space="preserve"> ذلِكَ ، قَالَ : « مَثَلُ الْإِيمَانِ وَالْإِسْلَامِ </w:t>
      </w:r>
      <w:r w:rsidR="006C577F" w:rsidRPr="006C577F">
        <w:rPr>
          <w:rStyle w:val="libFootnotenumChar"/>
          <w:rtl/>
        </w:rPr>
        <w:t>(5)</w:t>
      </w:r>
      <w:r w:rsidRPr="00C9040A">
        <w:rPr>
          <w:rtl/>
          <w:lang w:bidi="fa-IR"/>
        </w:rPr>
        <w:t xml:space="preserve"> مَثَلُ الْكَعْبَةِ الْحَرَامِ </w:t>
      </w:r>
      <w:r w:rsidR="006C577F" w:rsidRPr="006C577F">
        <w:rPr>
          <w:rStyle w:val="libFootnotenumChar"/>
          <w:rtl/>
        </w:rPr>
        <w:t>(6)</w:t>
      </w:r>
      <w:r w:rsidRPr="00C9040A">
        <w:rPr>
          <w:rtl/>
          <w:lang w:bidi="fa-IR"/>
        </w:rPr>
        <w:t xml:space="preserve">مِنَ الْحَرَمِ </w:t>
      </w:r>
      <w:r w:rsidR="006C577F" w:rsidRPr="006C577F">
        <w:rPr>
          <w:rStyle w:val="libFootnotenumChar"/>
          <w:rtl/>
        </w:rPr>
        <w:t>(7)</w:t>
      </w:r>
      <w:r w:rsidRPr="00C9040A">
        <w:rPr>
          <w:rtl/>
          <w:lang w:bidi="fa-IR"/>
        </w:rPr>
        <w:t xml:space="preserve"> ، قَدْ يَكُونُ </w:t>
      </w:r>
      <w:r w:rsidR="006C577F" w:rsidRPr="006C577F">
        <w:rPr>
          <w:rStyle w:val="libFootnotenumChar"/>
          <w:rtl/>
        </w:rPr>
        <w:t>(8)</w:t>
      </w:r>
      <w:r w:rsidRPr="00C9040A">
        <w:rPr>
          <w:rtl/>
          <w:lang w:bidi="fa-IR"/>
        </w:rPr>
        <w:t xml:space="preserve"> فِي الْحَرَمِ وَلَا يَكُونُ فِي الْكَعْبَةِ ، وَلَا يَكُونُ فِي الْكَعْبَةِ حَتّى يَكُونَ فِي الْحَرَمِ ، وَقَدْ يَكُونُ مُسْلِماً وَلَا يَكُونُ مُؤْمِناً ، وَلَا يَكُونُ مُؤْمِناً حَتّى يَكُونَ مُسْلِماً »</w:t>
      </w:r>
      <w:r>
        <w:rPr>
          <w:rtl/>
          <w:lang w:bidi="fa-IR"/>
        </w:rPr>
        <w:t>.</w:t>
      </w:r>
    </w:p>
    <w:p w:rsidR="008A74EB" w:rsidRPr="00C9040A" w:rsidRDefault="008A74EB" w:rsidP="008A74EB">
      <w:pPr>
        <w:pStyle w:val="libNormal"/>
        <w:rPr>
          <w:rtl/>
          <w:lang w:bidi="fa-IR"/>
        </w:rPr>
      </w:pPr>
      <w:r w:rsidRPr="00C9040A">
        <w:rPr>
          <w:rtl/>
          <w:lang w:bidi="fa-IR"/>
        </w:rPr>
        <w:t xml:space="preserve">قَالَ : قُلْتُ : فَيُخْرِجُ </w:t>
      </w:r>
      <w:r w:rsidR="006C577F" w:rsidRPr="006C577F">
        <w:rPr>
          <w:rStyle w:val="libFootnotenumChar"/>
          <w:rtl/>
        </w:rPr>
        <w:t>(9)</w:t>
      </w:r>
      <w:r w:rsidRPr="00C9040A">
        <w:rPr>
          <w:rtl/>
          <w:lang w:bidi="fa-IR"/>
        </w:rPr>
        <w:t xml:space="preserve"> مِنَ الْإِيمَانِ شَيْ‌ءٌ</w:t>
      </w:r>
      <w:r>
        <w:rPr>
          <w:rtl/>
          <w:lang w:bidi="fa-IR"/>
        </w:rPr>
        <w:t>؟</w:t>
      </w:r>
      <w:r w:rsidRPr="00C9040A">
        <w:rPr>
          <w:rtl/>
          <w:lang w:bidi="fa-IR"/>
        </w:rPr>
        <w:t xml:space="preserve"> قَالَ : « نَعَمْ »</w:t>
      </w:r>
      <w:r>
        <w:rPr>
          <w:rtl/>
          <w:lang w:bidi="fa-IR"/>
        </w:rPr>
        <w:t>.</w:t>
      </w:r>
      <w:r w:rsidRPr="00C9040A">
        <w:rPr>
          <w:rtl/>
          <w:lang w:bidi="fa-IR"/>
        </w:rPr>
        <w:t xml:space="preserve"> قُلْتُ : فَيُصَيِّرُهُ </w:t>
      </w:r>
      <w:r w:rsidR="006C577F" w:rsidRPr="006C577F">
        <w:rPr>
          <w:rStyle w:val="libFootnotenumChar"/>
          <w:rtl/>
        </w:rPr>
        <w:t>(10)</w:t>
      </w:r>
      <w:r w:rsidRPr="00C9040A">
        <w:rPr>
          <w:rtl/>
          <w:lang w:bidi="fa-IR"/>
        </w:rPr>
        <w:t xml:space="preserve"> إِلى مَا ذَا</w:t>
      </w:r>
      <w:r>
        <w:rPr>
          <w:rtl/>
          <w:lang w:bidi="fa-IR"/>
        </w:rPr>
        <w:t>؟</w:t>
      </w:r>
      <w:r>
        <w:rPr>
          <w:rFonts w:hint="cs"/>
          <w:rtl/>
          <w:lang w:bidi="fa-IR"/>
        </w:rPr>
        <w:t xml:space="preserve"> </w:t>
      </w:r>
      <w:r w:rsidRPr="00C9040A">
        <w:rPr>
          <w:rtl/>
          <w:lang w:bidi="fa-IR"/>
        </w:rPr>
        <w:t xml:space="preserve">قَالَ : « إِلَى الْإِسْلَامِ أَوِ </w:t>
      </w:r>
      <w:r w:rsidR="006C577F" w:rsidRPr="006C577F">
        <w:rPr>
          <w:rStyle w:val="libFootnotenumChar"/>
          <w:rtl/>
        </w:rPr>
        <w:t>(11)</w:t>
      </w:r>
      <w:r w:rsidRPr="00C9040A">
        <w:rPr>
          <w:rtl/>
          <w:lang w:bidi="fa-IR"/>
        </w:rPr>
        <w:t xml:space="preserve"> الْكُفْرِ »</w:t>
      </w:r>
      <w:r>
        <w:rPr>
          <w:rtl/>
          <w:lang w:bidi="fa-IR"/>
        </w:rPr>
        <w:t>.</w:t>
      </w:r>
      <w:r w:rsidRPr="00C9040A">
        <w:rPr>
          <w:rtl/>
          <w:lang w:bidi="fa-IR"/>
        </w:rPr>
        <w:t xml:space="preserve"> وَقَالَ : « لَوْ </w:t>
      </w:r>
      <w:r w:rsidR="006C577F" w:rsidRPr="006C577F">
        <w:rPr>
          <w:rStyle w:val="libFootnotenumChar"/>
          <w:rtl/>
        </w:rPr>
        <w:t>(12)</w:t>
      </w:r>
      <w:r w:rsidRPr="00C9040A">
        <w:rPr>
          <w:rtl/>
          <w:lang w:bidi="fa-IR"/>
        </w:rPr>
        <w:t xml:space="preserve"> أَنَّ رَجُلاً دَخَلَ الْكَعْبَةَ ، فَأَفْلَتَ مِنْهُ </w:t>
      </w:r>
      <w:r w:rsidRPr="005B567D">
        <w:rPr>
          <w:rStyle w:val="libFootnotenumChar"/>
          <w:rtl/>
        </w:rPr>
        <w:t>(13)</w:t>
      </w:r>
      <w:r w:rsidRPr="00C9040A">
        <w:rPr>
          <w:rtl/>
          <w:lang w:bidi="fa-IR"/>
        </w:rPr>
        <w:t xml:space="preserve"> بَوْلُهُ </w:t>
      </w:r>
      <w:r w:rsidRPr="005B567D">
        <w:rPr>
          <w:rStyle w:val="libFootnotenumChar"/>
          <w:rtl/>
        </w:rPr>
        <w:t>(14)</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w:t>
      </w:r>
      <w:r w:rsidR="008A74EB" w:rsidRPr="00993B55">
        <w:rPr>
          <w:rStyle w:val="libFootnoteBoldChar"/>
          <w:rtl/>
        </w:rPr>
        <w:t>التوحيد</w:t>
      </w:r>
      <w:r w:rsidR="008A74EB" w:rsidRPr="00C9040A">
        <w:rPr>
          <w:rtl/>
        </w:rPr>
        <w:t xml:space="preserve"> ، ص 229 ، ح 7 ، بسنده عن العبّاس بن معروف ، مع زيادة في أوّله</w:t>
      </w:r>
      <w:r w:rsidR="0087580F">
        <w:rPr>
          <w:rFonts w:hint="cs"/>
          <w:rtl/>
        </w:rPr>
        <w:t>.</w:t>
      </w:r>
      <w:r w:rsidR="008A74EB" w:rsidRPr="00993B55">
        <w:rPr>
          <w:rStyle w:val="libFootnoteBoldChar"/>
          <w:rtl/>
        </w:rPr>
        <w:t>الوافي</w:t>
      </w:r>
      <w:r w:rsidR="008A74EB" w:rsidRPr="00C9040A">
        <w:rPr>
          <w:rtl/>
        </w:rPr>
        <w:t xml:space="preserve"> ، ج 4 ، ص 82 ، ح 1687 ؛ </w:t>
      </w:r>
      <w:r w:rsidR="008A74EB" w:rsidRPr="00993B55">
        <w:rPr>
          <w:rStyle w:val="libFootnoteBoldChar"/>
          <w:rtl/>
        </w:rPr>
        <w:t>الوسائل</w:t>
      </w:r>
      <w:r w:rsidR="008A74EB" w:rsidRPr="00C9040A">
        <w:rPr>
          <w:rtl/>
        </w:rPr>
        <w:t xml:space="preserve"> ، ج 1 ، ص 37 ، ذيل ح 57 ، من قوله : « فالإسلام قبل الإيمان » ؛ </w:t>
      </w:r>
      <w:r w:rsidR="008A74EB" w:rsidRPr="00993B55">
        <w:rPr>
          <w:rStyle w:val="libFootnoteBoldChar"/>
          <w:rtl/>
        </w:rPr>
        <w:t>وفيه</w:t>
      </w:r>
      <w:r w:rsidR="008A74EB" w:rsidRPr="00C9040A">
        <w:rPr>
          <w:rtl/>
        </w:rPr>
        <w:t xml:space="preserve"> ، ج 28 ، ص 354 ، ح 34953 ، وفيهما إلى قوله : « خارجاً من الإسلام والإيمان داخلاً في الكفر » ؛ </w:t>
      </w:r>
      <w:r w:rsidR="008A74EB" w:rsidRPr="00993B55">
        <w:rPr>
          <w:rStyle w:val="libFootnoteBoldChar"/>
          <w:rtl/>
        </w:rPr>
        <w:t>وفيه</w:t>
      </w:r>
      <w:r w:rsidR="008A74EB" w:rsidRPr="00C9040A">
        <w:rPr>
          <w:rtl/>
        </w:rPr>
        <w:t xml:space="preserve"> ، ص 369 ، ح 34989 ، من قوله : « وكان بمنزلة من دخل الحرم ثمّ دخل الكعبة » ؛ </w:t>
      </w:r>
      <w:r w:rsidR="008A74EB" w:rsidRPr="00993B55">
        <w:rPr>
          <w:rStyle w:val="libFootnoteBoldChar"/>
          <w:rtl/>
        </w:rPr>
        <w:t>البحار</w:t>
      </w:r>
      <w:r w:rsidR="008A74EB" w:rsidRPr="00C9040A">
        <w:rPr>
          <w:rtl/>
        </w:rPr>
        <w:t xml:space="preserve"> ، ج 68 ، ص 256 ، ح 15.</w:t>
      </w:r>
    </w:p>
    <w:p w:rsidR="008A74EB" w:rsidRPr="004A4E41" w:rsidRDefault="006C577F" w:rsidP="004A4E41">
      <w:pPr>
        <w:pStyle w:val="libFootnote0"/>
        <w:rPr>
          <w:rStyle w:val="libFootnote0Char"/>
          <w:rtl/>
        </w:rPr>
      </w:pPr>
      <w:r>
        <w:rPr>
          <w:rtl/>
        </w:rPr>
        <w:t>(2).</w:t>
      </w:r>
      <w:r w:rsidR="008A74EB">
        <w:rPr>
          <w:rtl/>
        </w:rPr>
        <w:t xml:space="preserve"> </w:t>
      </w:r>
      <w:r w:rsidR="008A74EB" w:rsidRPr="00C9040A">
        <w:rPr>
          <w:rtl/>
        </w:rPr>
        <w:t>في « ف » : « الإيمان والإسلام »</w:t>
      </w:r>
      <w:r w:rsidR="008A74EB">
        <w:rPr>
          <w:rtl/>
        </w:rPr>
        <w:t>.</w:t>
      </w:r>
    </w:p>
    <w:tbl>
      <w:tblPr>
        <w:tblStyle w:val="TableGrid"/>
        <w:bidiVisual/>
        <w:tblW w:w="0" w:type="auto"/>
        <w:tblLook w:val="04A0" w:firstRow="1" w:lastRow="0" w:firstColumn="1" w:lastColumn="0" w:noHBand="0" w:noVBand="1"/>
      </w:tblPr>
      <w:tblGrid>
        <w:gridCol w:w="4006"/>
        <w:gridCol w:w="4006"/>
      </w:tblGrid>
      <w:tr w:rsidR="0087580F" w:rsidTr="0087580F">
        <w:tc>
          <w:tcPr>
            <w:tcW w:w="4006" w:type="dxa"/>
          </w:tcPr>
          <w:p w:rsidR="0087580F" w:rsidRDefault="0087580F" w:rsidP="004A4E41">
            <w:pPr>
              <w:pStyle w:val="libFootnote0"/>
              <w:rPr>
                <w:rtl/>
              </w:rPr>
            </w:pPr>
            <w:r>
              <w:rPr>
                <w:rtl/>
              </w:rPr>
              <w:t>(3). في «ب، د، ز»وحاشية« ج،ف »:</w:t>
            </w:r>
            <w:r w:rsidRPr="00C9040A">
              <w:rPr>
                <w:rtl/>
              </w:rPr>
              <w:t>« مثلاً »</w:t>
            </w:r>
            <w:r>
              <w:rPr>
                <w:rtl/>
              </w:rPr>
              <w:t>.</w:t>
            </w:r>
          </w:p>
        </w:tc>
        <w:tc>
          <w:tcPr>
            <w:tcW w:w="4006" w:type="dxa"/>
          </w:tcPr>
          <w:p w:rsidR="0087580F" w:rsidRDefault="0087580F" w:rsidP="004A4E41">
            <w:pPr>
              <w:pStyle w:val="libFootnote0"/>
              <w:rPr>
                <w:rtl/>
              </w:rPr>
            </w:pPr>
            <w:r>
              <w:rPr>
                <w:rtl/>
              </w:rPr>
              <w:t>(4).</w:t>
            </w:r>
            <w:r w:rsidRPr="00C9040A">
              <w:rPr>
                <w:rtl/>
              </w:rPr>
              <w:t xml:space="preserve"> في « بس » : « قد أورد »</w:t>
            </w:r>
            <w:r>
              <w:rPr>
                <w:rtl/>
              </w:rPr>
              <w:t>.</w:t>
            </w:r>
          </w:p>
        </w:tc>
      </w:tr>
    </w:tbl>
    <w:p w:rsidR="008A74EB" w:rsidRPr="004A4E41" w:rsidRDefault="006C577F" w:rsidP="004A4E41">
      <w:pPr>
        <w:pStyle w:val="libFootnote0"/>
        <w:rPr>
          <w:rStyle w:val="libFootnote0Char"/>
          <w:rtl/>
        </w:rPr>
      </w:pPr>
      <w:r>
        <w:rPr>
          <w:rtl/>
        </w:rPr>
        <w:t>(5).</w:t>
      </w:r>
      <w:r w:rsidR="008A74EB" w:rsidRPr="00C9040A">
        <w:rPr>
          <w:rtl/>
        </w:rPr>
        <w:t xml:space="preserve"> في الوسائل والمعاني : « من الإسلام » بدل « والإسلام »</w:t>
      </w:r>
      <w:r w:rsidR="008A74EB">
        <w:rPr>
          <w:rtl/>
        </w:rPr>
        <w:t>.</w:t>
      </w:r>
    </w:p>
    <w:tbl>
      <w:tblPr>
        <w:tblStyle w:val="TableGrid"/>
        <w:bidiVisual/>
        <w:tblW w:w="0" w:type="auto"/>
        <w:tblLook w:val="04A0" w:firstRow="1" w:lastRow="0" w:firstColumn="1" w:lastColumn="0" w:noHBand="0" w:noVBand="1"/>
      </w:tblPr>
      <w:tblGrid>
        <w:gridCol w:w="4006"/>
        <w:gridCol w:w="4006"/>
      </w:tblGrid>
      <w:tr w:rsidR="00345157" w:rsidTr="00345157">
        <w:tc>
          <w:tcPr>
            <w:tcW w:w="4006" w:type="dxa"/>
          </w:tcPr>
          <w:p w:rsidR="00345157" w:rsidRDefault="00345157" w:rsidP="004A4E41">
            <w:pPr>
              <w:pStyle w:val="libFootnote0"/>
              <w:rPr>
                <w:rtl/>
                <w:lang w:bidi="fa-IR"/>
              </w:rPr>
            </w:pPr>
            <w:r>
              <w:rPr>
                <w:rtl/>
              </w:rPr>
              <w:t xml:space="preserve">(6). </w:t>
            </w:r>
            <w:r w:rsidRPr="00C9040A">
              <w:rPr>
                <w:rtl/>
              </w:rPr>
              <w:t xml:space="preserve">في الوسائل </w:t>
            </w:r>
            <w:r>
              <w:rPr>
                <w:rtl/>
              </w:rPr>
              <w:t>: -</w:t>
            </w:r>
            <w:r w:rsidRPr="00C9040A">
              <w:rPr>
                <w:rtl/>
              </w:rPr>
              <w:t xml:space="preserve"> « الحرام »</w:t>
            </w:r>
            <w:r>
              <w:rPr>
                <w:rtl/>
              </w:rPr>
              <w:t>.</w:t>
            </w:r>
          </w:p>
        </w:tc>
        <w:tc>
          <w:tcPr>
            <w:tcW w:w="4006" w:type="dxa"/>
          </w:tcPr>
          <w:p w:rsidR="00345157" w:rsidRDefault="00345157" w:rsidP="004A4E41">
            <w:pPr>
              <w:pStyle w:val="libFootnote0"/>
              <w:rPr>
                <w:rtl/>
                <w:lang w:bidi="fa-IR"/>
              </w:rPr>
            </w:pPr>
            <w:r>
              <w:rPr>
                <w:rtl/>
              </w:rPr>
              <w:t>(7).</w:t>
            </w:r>
            <w:r w:rsidRPr="00C9040A">
              <w:rPr>
                <w:rtl/>
              </w:rPr>
              <w:t xml:space="preserve"> في « ض » </w:t>
            </w:r>
            <w:r>
              <w:rPr>
                <w:rtl/>
              </w:rPr>
              <w:t>: -</w:t>
            </w:r>
            <w:r w:rsidRPr="00C9040A">
              <w:rPr>
                <w:rtl/>
              </w:rPr>
              <w:t xml:space="preserve"> « الحرام من الحرم »</w:t>
            </w:r>
            <w:r>
              <w:rPr>
                <w:rtl/>
              </w:rPr>
              <w:t>.</w:t>
            </w:r>
          </w:p>
        </w:tc>
      </w:tr>
    </w:tbl>
    <w:p w:rsidR="008A74EB" w:rsidRPr="00C9040A" w:rsidRDefault="006C577F" w:rsidP="004A4E41">
      <w:pPr>
        <w:pStyle w:val="libFootnote0"/>
        <w:rPr>
          <w:rtl/>
          <w:lang w:bidi="fa-IR"/>
        </w:rPr>
      </w:pPr>
      <w:r>
        <w:rPr>
          <w:rtl/>
        </w:rPr>
        <w:t>(8).</w:t>
      </w:r>
      <w:r w:rsidR="008A74EB" w:rsidRPr="00C9040A">
        <w:rPr>
          <w:rtl/>
        </w:rPr>
        <w:t xml:space="preserve"> في « ب » : « قد تكون » وكذا فيما بعد. وفي المعاني : + « الرجل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المعاني : « فيخرجه »</w:t>
      </w:r>
      <w:r w:rsidR="008A74EB">
        <w:rPr>
          <w:rtl/>
        </w:rPr>
        <w:t>.</w:t>
      </w:r>
    </w:p>
    <w:p w:rsidR="008A74EB" w:rsidRPr="004A4E41" w:rsidRDefault="006C577F" w:rsidP="004A4E41">
      <w:pPr>
        <w:pStyle w:val="libFootnote0"/>
        <w:rPr>
          <w:rStyle w:val="libFootnote0Char"/>
          <w:rtl/>
        </w:rPr>
      </w:pPr>
      <w:r>
        <w:rPr>
          <w:rtl/>
        </w:rPr>
        <w:t>(10).</w:t>
      </w:r>
      <w:r w:rsidR="008A74EB" w:rsidRPr="00C9040A">
        <w:rPr>
          <w:rtl/>
        </w:rPr>
        <w:t xml:space="preserve"> في « ج ، بس » : « فصيّره »</w:t>
      </w:r>
      <w:r w:rsidR="008A74EB">
        <w:rPr>
          <w:rtl/>
        </w:rPr>
        <w:t>.</w:t>
      </w:r>
      <w:r w:rsidR="008A74EB" w:rsidRPr="00C9040A">
        <w:rPr>
          <w:rtl/>
        </w:rPr>
        <w:t xml:space="preserve"> وفي حاشية « د » : « فمصيره »</w:t>
      </w:r>
      <w:r w:rsidR="008A74EB">
        <w:rPr>
          <w:rtl/>
        </w:rPr>
        <w:t>.</w:t>
      </w:r>
    </w:p>
    <w:tbl>
      <w:tblPr>
        <w:tblStyle w:val="TableGrid"/>
        <w:bidiVisual/>
        <w:tblW w:w="0" w:type="auto"/>
        <w:tblLook w:val="04A0" w:firstRow="1" w:lastRow="0" w:firstColumn="1" w:lastColumn="0" w:noHBand="0" w:noVBand="1"/>
      </w:tblPr>
      <w:tblGrid>
        <w:gridCol w:w="4006"/>
        <w:gridCol w:w="4006"/>
      </w:tblGrid>
      <w:tr w:rsidR="006E185C" w:rsidTr="006E185C">
        <w:tc>
          <w:tcPr>
            <w:tcW w:w="4006" w:type="dxa"/>
          </w:tcPr>
          <w:p w:rsidR="006E185C" w:rsidRDefault="006E185C" w:rsidP="004A4E41">
            <w:pPr>
              <w:pStyle w:val="libFootnote0"/>
              <w:rPr>
                <w:rtl/>
              </w:rPr>
            </w:pPr>
            <w:r>
              <w:rPr>
                <w:rtl/>
              </w:rPr>
              <w:t>(11).</w:t>
            </w:r>
            <w:r w:rsidRPr="00C9040A">
              <w:rPr>
                <w:rtl/>
              </w:rPr>
              <w:t xml:space="preserve"> في « بس » : + « إلى »</w:t>
            </w:r>
            <w:r>
              <w:rPr>
                <w:rtl/>
              </w:rPr>
              <w:t>.</w:t>
            </w:r>
          </w:p>
        </w:tc>
        <w:tc>
          <w:tcPr>
            <w:tcW w:w="4006" w:type="dxa"/>
          </w:tcPr>
          <w:p w:rsidR="006E185C" w:rsidRDefault="006E185C" w:rsidP="004A4E41">
            <w:pPr>
              <w:pStyle w:val="libFootnote0"/>
              <w:rPr>
                <w:rtl/>
              </w:rPr>
            </w:pPr>
            <w:r>
              <w:rPr>
                <w:rtl/>
              </w:rPr>
              <w:t>(12).</w:t>
            </w:r>
            <w:r w:rsidRPr="00C9040A">
              <w:rPr>
                <w:rtl/>
              </w:rPr>
              <w:t xml:space="preserve"> في الوسائل : « ولو »</w:t>
            </w:r>
            <w:r>
              <w:rPr>
                <w:rtl/>
              </w:rPr>
              <w:t>.</w:t>
            </w:r>
          </w:p>
        </w:tc>
      </w:tr>
    </w:tbl>
    <w:p w:rsidR="008A74EB" w:rsidRPr="00C9040A" w:rsidRDefault="008A74EB" w:rsidP="004A4E41">
      <w:pPr>
        <w:pStyle w:val="libFootnote0"/>
        <w:rPr>
          <w:rtl/>
          <w:lang w:bidi="fa-IR"/>
        </w:rPr>
      </w:pPr>
      <w:r>
        <w:rPr>
          <w:rtl/>
        </w:rPr>
        <w:t>(13)</w:t>
      </w:r>
      <w:r w:rsidRPr="00C9040A">
        <w:rPr>
          <w:rtl/>
        </w:rPr>
        <w:t xml:space="preserve"> في « ف » : « فيه »</w:t>
      </w:r>
      <w:r>
        <w:rPr>
          <w:rtl/>
        </w:rPr>
        <w:t>.</w:t>
      </w:r>
    </w:p>
    <w:p w:rsidR="008A74EB" w:rsidRPr="00C9040A" w:rsidRDefault="008A74EB" w:rsidP="004A4E41">
      <w:pPr>
        <w:pStyle w:val="libFootnote0"/>
        <w:rPr>
          <w:rtl/>
          <w:lang w:bidi="fa-IR"/>
        </w:rPr>
      </w:pPr>
      <w:r>
        <w:rPr>
          <w:rtl/>
        </w:rPr>
        <w:t>(14)</w:t>
      </w:r>
      <w:r w:rsidRPr="00C9040A">
        <w:rPr>
          <w:rtl/>
        </w:rPr>
        <w:t xml:space="preserve"> « فَأَفْلَتَ مِنْهُ بَولُهُ » ، أي خرج فجأة ؛ من الإفلات ، وهو التخلّص من الشي‌ء فجأة من غير تمكّث. راجع : </w:t>
      </w:r>
      <w:r w:rsidRPr="00993B55">
        <w:rPr>
          <w:rStyle w:val="libFootnoteBoldChar"/>
          <w:rtl/>
        </w:rPr>
        <w:t>النهاية</w:t>
      </w:r>
      <w:r w:rsidRPr="00C9040A">
        <w:rPr>
          <w:rtl/>
        </w:rPr>
        <w:t xml:space="preserve"> ، ج 3 ، ص 467 ؛ </w:t>
      </w:r>
      <w:r w:rsidRPr="00993B55">
        <w:rPr>
          <w:rStyle w:val="libFootnoteBoldChar"/>
          <w:rtl/>
        </w:rPr>
        <w:t>لسان العرب</w:t>
      </w:r>
      <w:r w:rsidRPr="00C9040A">
        <w:rPr>
          <w:rtl/>
        </w:rPr>
        <w:t xml:space="preserve"> ، ج 2 ، ص 66 ( فلت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أُخْرِجَ </w:t>
      </w:r>
      <w:r w:rsidR="006C577F" w:rsidRPr="006C577F">
        <w:rPr>
          <w:rStyle w:val="libFootnotenumChar"/>
          <w:rtl/>
        </w:rPr>
        <w:t>(1)</w:t>
      </w:r>
      <w:r w:rsidRPr="002712F0">
        <w:rPr>
          <w:rFonts w:hint="cs"/>
          <w:rtl/>
        </w:rPr>
        <w:t xml:space="preserve"> </w:t>
      </w:r>
      <w:r w:rsidRPr="00C9040A">
        <w:rPr>
          <w:rtl/>
          <w:lang w:bidi="fa-IR"/>
        </w:rPr>
        <w:t xml:space="preserve">مِنَ الْكَعْبَةِ وَلَمْ يُخْرَجْ مِنَ الْحَرَمِ ، فَغَسَلَ </w:t>
      </w:r>
      <w:r w:rsidR="006C577F" w:rsidRPr="006C577F">
        <w:rPr>
          <w:rStyle w:val="libFootnotenumChar"/>
          <w:rtl/>
        </w:rPr>
        <w:t>(2)</w:t>
      </w:r>
      <w:r w:rsidRPr="00C9040A">
        <w:rPr>
          <w:rtl/>
          <w:lang w:bidi="fa-IR"/>
        </w:rPr>
        <w:t xml:space="preserve"> ثَوْبَهُ وَتَطَهَّرَ ، ثُمَّ لَمْ يُمْنَعْ </w:t>
      </w:r>
      <w:r w:rsidR="006C577F" w:rsidRPr="006C577F">
        <w:rPr>
          <w:rStyle w:val="libFootnotenumChar"/>
          <w:rtl/>
        </w:rPr>
        <w:t>(3)</w:t>
      </w:r>
      <w:r w:rsidRPr="00C9040A">
        <w:rPr>
          <w:rtl/>
          <w:lang w:bidi="fa-IR"/>
        </w:rPr>
        <w:t xml:space="preserve"> أَنْ يَدْخُلَ الْكَعْبَةَ ؛ وَلَوْ أَنَّ رَجُلاً دَخَلَ الْكَعْبَةَ </w:t>
      </w:r>
      <w:r w:rsidR="006C577F" w:rsidRPr="006C577F">
        <w:rPr>
          <w:rStyle w:val="libFootnotenumChar"/>
          <w:rtl/>
        </w:rPr>
        <w:t>(4)</w:t>
      </w:r>
      <w:r w:rsidRPr="00C9040A">
        <w:rPr>
          <w:rtl/>
          <w:lang w:bidi="fa-IR"/>
        </w:rPr>
        <w:t xml:space="preserve"> ، فَبَالَ فِيهَا </w:t>
      </w:r>
      <w:r w:rsidR="006C577F" w:rsidRPr="006C577F">
        <w:rPr>
          <w:rStyle w:val="libFootnotenumChar"/>
          <w:rtl/>
        </w:rPr>
        <w:t>(5)</w:t>
      </w:r>
      <w:r w:rsidRPr="00C9040A">
        <w:rPr>
          <w:rtl/>
          <w:lang w:bidi="fa-IR"/>
        </w:rPr>
        <w:t xml:space="preserve"> مُعَانِداً ، أُخْرِجَ مِنَ الْكَعْبَةِ وَمِنَ الْحَرَمِ ، وَضُرِبَتْ عُنُقُهُ »</w:t>
      </w:r>
      <w:r>
        <w:rPr>
          <w:rtl/>
          <w:lang w:bidi="fa-IR"/>
        </w:rPr>
        <w:t>.</w:t>
      </w:r>
      <w:r w:rsidRPr="00C9040A">
        <w:rPr>
          <w:rtl/>
          <w:lang w:bidi="fa-IR"/>
        </w:rPr>
        <w:t xml:space="preserve"> </w:t>
      </w:r>
      <w:r w:rsidR="006C577F" w:rsidRPr="006C577F">
        <w:rPr>
          <w:rStyle w:val="libFootnotenumChar"/>
          <w:rtl/>
        </w:rPr>
        <w:t>(6)</w:t>
      </w:r>
    </w:p>
    <w:p w:rsidR="008A74EB" w:rsidRPr="00C9040A" w:rsidRDefault="008A74EB" w:rsidP="008A74EB">
      <w:pPr>
        <w:pStyle w:val="Heading2Center"/>
        <w:rPr>
          <w:rtl/>
          <w:lang w:bidi="fa-IR"/>
        </w:rPr>
      </w:pPr>
      <w:bookmarkStart w:id="61" w:name="_Toc343795608"/>
      <w:bookmarkStart w:id="62" w:name="_Toc459810732"/>
      <w:bookmarkStart w:id="63" w:name="_Toc35348638"/>
      <w:r w:rsidRPr="00C9040A">
        <w:rPr>
          <w:rtl/>
          <w:lang w:bidi="fa-IR"/>
        </w:rPr>
        <w:t>17</w:t>
      </w:r>
      <w:r>
        <w:rPr>
          <w:rtl/>
          <w:lang w:bidi="fa-IR"/>
        </w:rPr>
        <w:t xml:space="preserve"> </w:t>
      </w:r>
      <w:r w:rsidR="0084262C">
        <w:rPr>
          <w:rtl/>
          <w:lang w:bidi="fa-IR"/>
        </w:rPr>
        <w:t>-</w:t>
      </w:r>
      <w:r>
        <w:rPr>
          <w:rtl/>
          <w:lang w:bidi="fa-IR"/>
        </w:rPr>
        <w:t xml:space="preserve"> </w:t>
      </w:r>
      <w:r w:rsidRPr="00C9040A">
        <w:rPr>
          <w:rtl/>
          <w:lang w:bidi="fa-IR"/>
        </w:rPr>
        <w:t xml:space="preserve">بَابٌ </w:t>
      </w:r>
      <w:r w:rsidR="006C577F" w:rsidRPr="006C577F">
        <w:rPr>
          <w:rStyle w:val="libFootnotenumChar"/>
          <w:rtl/>
        </w:rPr>
        <w:t>(7)</w:t>
      </w:r>
      <w:r w:rsidRPr="00C9040A">
        <w:rPr>
          <w:rtl/>
          <w:lang w:bidi="fa-IR"/>
        </w:rPr>
        <w:t>‌</w:t>
      </w:r>
      <w:bookmarkEnd w:id="61"/>
      <w:bookmarkEnd w:id="62"/>
      <w:bookmarkEnd w:id="63"/>
    </w:p>
    <w:p w:rsidR="008A74EB" w:rsidRPr="00C9040A" w:rsidRDefault="008A74EB" w:rsidP="008A74EB">
      <w:pPr>
        <w:pStyle w:val="libNormal"/>
        <w:rPr>
          <w:rtl/>
          <w:lang w:bidi="fa-IR"/>
        </w:rPr>
      </w:pPr>
      <w:r w:rsidRPr="009D4B3A">
        <w:rPr>
          <w:rtl/>
        </w:rPr>
        <w:t>1518</w:t>
      </w:r>
      <w:r w:rsidRPr="00261CB0">
        <w:rPr>
          <w:rStyle w:val="libBold2Char"/>
          <w:rtl/>
        </w:rPr>
        <w:t xml:space="preserve"> / 1.</w:t>
      </w:r>
      <w:r w:rsidRPr="00C9040A">
        <w:rPr>
          <w:rtl/>
          <w:lang w:bidi="fa-IR"/>
        </w:rPr>
        <w:t xml:space="preserve"> عَلِيُّ بْنُ مُحَمَّدٍ </w:t>
      </w:r>
      <w:r w:rsidR="006C577F" w:rsidRPr="006C577F">
        <w:rPr>
          <w:rStyle w:val="libFootnotenumChar"/>
          <w:rtl/>
        </w:rPr>
        <w:t>(8)</w:t>
      </w:r>
      <w:r w:rsidRPr="00C9040A">
        <w:rPr>
          <w:rtl/>
          <w:lang w:bidi="fa-IR"/>
        </w:rPr>
        <w:t xml:space="preserve"> ، عَنْ بَعْضِ أَصْحَابِهِ </w:t>
      </w:r>
      <w:r w:rsidR="006C577F" w:rsidRPr="006C577F">
        <w:rPr>
          <w:rStyle w:val="libFootnotenumChar"/>
          <w:rtl/>
        </w:rPr>
        <w:t>(9)</w:t>
      </w:r>
      <w:r w:rsidRPr="00C9040A">
        <w:rPr>
          <w:rtl/>
          <w:lang w:bidi="fa-IR"/>
        </w:rPr>
        <w:t xml:space="preserve"> ، عَنْ آدَمَ بْنِ إِسْحَاقَ ، عَنْ عَبْدِ الرَّزَّاقِ بْنِ مِهْرَانَ ، عَنِ الْحُسَيْنِ بْنِ مَيْمُونٍ ، عَنْ مُحَمَّدِ بْنِ سَالِمٍ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w:t>
      </w:r>
      <w:r w:rsidR="006C577F" w:rsidRPr="006C577F">
        <w:rPr>
          <w:rStyle w:val="libFootnotenumChar"/>
          <w:rtl/>
        </w:rPr>
        <w:t>(10)</w:t>
      </w:r>
      <w:r>
        <w:rPr>
          <w:rtl/>
          <w:lang w:bidi="fa-IR"/>
        </w:rPr>
        <w:t xml:space="preserve"> : « إِنَّ أُ</w:t>
      </w:r>
      <w:r w:rsidRPr="00C9040A">
        <w:rPr>
          <w:rtl/>
          <w:lang w:bidi="fa-IR"/>
        </w:rPr>
        <w:t xml:space="preserve">نَاساً </w:t>
      </w:r>
      <w:r w:rsidR="006C577F" w:rsidRPr="006C577F">
        <w:rPr>
          <w:rStyle w:val="libFootnotenumChar"/>
          <w:rtl/>
        </w:rPr>
        <w:t>(11)</w:t>
      </w:r>
      <w:r w:rsidRPr="00C9040A">
        <w:rPr>
          <w:rtl/>
          <w:lang w:bidi="fa-IR"/>
        </w:rPr>
        <w:t xml:space="preserve"> تَكَلَّمُوا فِي هذَا </w:t>
      </w:r>
      <w:r w:rsidR="006C577F" w:rsidRPr="006C577F">
        <w:rPr>
          <w:rStyle w:val="libFootnotenumChar"/>
          <w:rtl/>
        </w:rPr>
        <w:t>(12)</w:t>
      </w:r>
      <w:r w:rsidRPr="00C9040A">
        <w:rPr>
          <w:rtl/>
          <w:lang w:bidi="fa-IR"/>
        </w:rPr>
        <w:t xml:space="preserve"> الْقُرْآنِ بِغَيْرِ عِلْمٍ </w:t>
      </w:r>
      <w:r w:rsidRPr="005B567D">
        <w:rPr>
          <w:rStyle w:val="libFootnotenumChar"/>
          <w:rtl/>
        </w:rPr>
        <w:t>(13)</w:t>
      </w:r>
      <w:r w:rsidRPr="00C9040A">
        <w:rPr>
          <w:rtl/>
          <w:lang w:bidi="fa-IR"/>
        </w:rPr>
        <w:t xml:space="preserve"> ، وَذلِكَ أَنَّ اللهَ</w:t>
      </w:r>
      <w:r>
        <w:rPr>
          <w:rtl/>
          <w:lang w:bidi="fa-IR"/>
        </w:rPr>
        <w:t xml:space="preserve"> </w:t>
      </w:r>
      <w:r w:rsidR="0084262C">
        <w:rPr>
          <w:rtl/>
          <w:lang w:bidi="fa-IR"/>
        </w:rPr>
        <w:t>-</w:t>
      </w:r>
      <w:r>
        <w:rPr>
          <w:rtl/>
          <w:lang w:bidi="fa-IR"/>
        </w:rPr>
        <w:t xml:space="preserve"> </w:t>
      </w:r>
      <w:r w:rsidRPr="00C9040A">
        <w:rPr>
          <w:rtl/>
          <w:lang w:bidi="fa-IR"/>
        </w:rPr>
        <w:t>تَبَارَكَ وَتَعَالى</w:t>
      </w:r>
      <w:r>
        <w:rPr>
          <w:rtl/>
          <w:lang w:bidi="fa-IR"/>
        </w:rPr>
        <w:t xml:space="preserve"> </w:t>
      </w:r>
      <w:r w:rsidR="0084262C">
        <w:rPr>
          <w:rtl/>
          <w:lang w:bidi="fa-IR"/>
        </w:rPr>
        <w:t>-</w:t>
      </w:r>
      <w:r>
        <w:rPr>
          <w:rtl/>
          <w:lang w:bidi="fa-IR"/>
        </w:rPr>
        <w:t xml:space="preserve"> </w:t>
      </w:r>
      <w:r w:rsidRPr="00C9040A">
        <w:rPr>
          <w:rtl/>
          <w:lang w:bidi="fa-IR"/>
        </w:rPr>
        <w:t xml:space="preserve">يَقُولُ : </w:t>
      </w:r>
      <w:r w:rsidRPr="0003660B">
        <w:rPr>
          <w:rStyle w:val="libAlaemChar"/>
          <w:rtl/>
        </w:rPr>
        <w:t>(</w:t>
      </w:r>
      <w:r w:rsidRPr="006A2246">
        <w:rPr>
          <w:rStyle w:val="libAieChar"/>
          <w:rtl/>
        </w:rPr>
        <w:t xml:space="preserve"> هُوَ الَّذِي أَنْزَلَ عَلَيْكَ الْكِتابَ مِنْهُ آياتٌ مُحْكَماتٌ هُنَّ أُمُّ الْكِتابِ وَأُخَرُ مُتَشابِهاتٌ فَأَمَّا الَّذِينَ فِي قُلُوبِهِمْ زَيْغٌ فَيَتَّبِعُونَ ما تَشابَهَ مِنْهُ ابْتِغاءَ الْفِتْنَةِ وَابْتِغاءَ تَأْوِيلِهِ</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 ج » : « فخرج »</w:t>
      </w:r>
      <w:r w:rsidR="008A74EB">
        <w:rPr>
          <w:rtl/>
        </w:rPr>
        <w:t>.</w:t>
      </w:r>
      <w:r w:rsidR="008A74EB" w:rsidRPr="00C9040A">
        <w:rPr>
          <w:rtl/>
        </w:rPr>
        <w:t xml:space="preserve"> وفي « ص ، ف ، بس ، بف » والوسائل : « خرج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ب ، ج ، ز » : « غسل » بدون الفاء. وفي « بر » : « فيغسل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ص » : « فلم يمنع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ف » </w:t>
      </w:r>
      <w:r w:rsidR="008A74EB">
        <w:rPr>
          <w:rtl/>
        </w:rPr>
        <w:t xml:space="preserve">: </w:t>
      </w:r>
      <w:r w:rsidR="0084262C">
        <w:rPr>
          <w:rtl/>
        </w:rPr>
        <w:t>-</w:t>
      </w:r>
      <w:r w:rsidR="008A74EB" w:rsidRPr="00C9040A">
        <w:rPr>
          <w:rtl/>
        </w:rPr>
        <w:t xml:space="preserve"> « ولم يخرج</w:t>
      </w:r>
      <w:r w:rsidR="008A74EB">
        <w:rPr>
          <w:rtl/>
        </w:rPr>
        <w:t xml:space="preserve"> </w:t>
      </w:r>
      <w:r w:rsidR="0084262C">
        <w:rPr>
          <w:rtl/>
        </w:rPr>
        <w:t>-</w:t>
      </w:r>
      <w:r w:rsidR="008A74EB">
        <w:rPr>
          <w:rtl/>
        </w:rPr>
        <w:t xml:space="preserve"> </w:t>
      </w:r>
      <w:r w:rsidR="008A74EB" w:rsidRPr="00C9040A">
        <w:rPr>
          <w:rtl/>
        </w:rPr>
        <w:t>إلى</w:t>
      </w:r>
      <w:r w:rsidR="008A74EB">
        <w:rPr>
          <w:rtl/>
        </w:rPr>
        <w:t xml:space="preserve"> </w:t>
      </w:r>
      <w:r w:rsidR="0084262C">
        <w:rPr>
          <w:rtl/>
        </w:rPr>
        <w:t>-</w:t>
      </w:r>
      <w:r w:rsidR="008A74EB">
        <w:rPr>
          <w:rtl/>
        </w:rPr>
        <w:t xml:space="preserve"> </w:t>
      </w:r>
      <w:r w:rsidR="008A74EB" w:rsidRPr="00C9040A">
        <w:rPr>
          <w:rtl/>
        </w:rPr>
        <w:t>الكعبة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ف » </w:t>
      </w:r>
      <w:r w:rsidR="008A74EB">
        <w:rPr>
          <w:rtl/>
        </w:rPr>
        <w:t xml:space="preserve">: </w:t>
      </w:r>
      <w:r w:rsidR="0084262C">
        <w:rPr>
          <w:rtl/>
        </w:rPr>
        <w:t>-</w:t>
      </w:r>
      <w:r w:rsidR="008A74EB" w:rsidRPr="00C9040A">
        <w:rPr>
          <w:rtl/>
        </w:rPr>
        <w:t xml:space="preserve"> « فيها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معاني الأخبار</w:t>
      </w:r>
      <w:r w:rsidR="008A74EB" w:rsidRPr="00C9040A">
        <w:rPr>
          <w:rtl/>
        </w:rPr>
        <w:t xml:space="preserve"> ، ص 186 ، ح 1 ، بسنده عن عثمان بن عيسى. </w:t>
      </w:r>
      <w:r w:rsidR="008A74EB" w:rsidRPr="00993B55">
        <w:rPr>
          <w:rStyle w:val="libFootnoteBoldChar"/>
          <w:rtl/>
        </w:rPr>
        <w:t>الفقيه</w:t>
      </w:r>
      <w:r w:rsidR="008A74EB" w:rsidRPr="00C9040A">
        <w:rPr>
          <w:rtl/>
        </w:rPr>
        <w:t xml:space="preserve"> ، ج 2 ، ص 251 ، ح 2326 ، مرسلاً عن الصادق </w:t>
      </w:r>
      <w:r w:rsidR="00117575" w:rsidRPr="00117575">
        <w:rPr>
          <w:rStyle w:val="libFootnoteAlaemChar"/>
          <w:rtl/>
        </w:rPr>
        <w:t xml:space="preserve">عليه‌السلام </w:t>
      </w:r>
      <w:r w:rsidR="008A74EB" w:rsidRPr="00C9040A">
        <w:rPr>
          <w:rtl/>
        </w:rPr>
        <w:t>، من قوله : « ولو أنّ رجلاً دخل الكعبة فبال »</w:t>
      </w:r>
      <w:r w:rsidR="000C1D48">
        <w:rPr>
          <w:rFonts w:hint="cs"/>
          <w:rtl/>
        </w:rPr>
        <w:t>.</w:t>
      </w:r>
      <w:r w:rsidR="008A74EB" w:rsidRPr="00993B55">
        <w:rPr>
          <w:rStyle w:val="libFootnoteBoldChar"/>
          <w:rtl/>
        </w:rPr>
        <w:t>الوافي</w:t>
      </w:r>
      <w:r w:rsidR="008A74EB" w:rsidRPr="00C9040A">
        <w:rPr>
          <w:rtl/>
        </w:rPr>
        <w:t xml:space="preserve"> ، ج 4 ، ص 83 ، ح 1688 ؛ </w:t>
      </w:r>
      <w:r w:rsidR="008A74EB" w:rsidRPr="00993B55">
        <w:rPr>
          <w:rStyle w:val="libFootnoteBoldChar"/>
          <w:rtl/>
        </w:rPr>
        <w:t>الوسائل</w:t>
      </w:r>
      <w:r w:rsidR="008A74EB" w:rsidRPr="00C9040A">
        <w:rPr>
          <w:rtl/>
        </w:rPr>
        <w:t xml:space="preserve"> ، ج 13 ، ص 291 ، ح 17773 ، وفيه : « سألته عن الإيمان والإسلام</w:t>
      </w:r>
      <w:r w:rsidR="008A74EB">
        <w:rPr>
          <w:rtl/>
        </w:rPr>
        <w:t>؟</w:t>
      </w:r>
      <w:r w:rsidR="008A74EB" w:rsidRPr="00C9040A">
        <w:rPr>
          <w:rtl/>
        </w:rPr>
        <w:t xml:space="preserve"> قال : قال : مثل الإيمان من الإسلام مثل الكعبة من الحرم</w:t>
      </w:r>
      <w:r w:rsidR="008A74EB">
        <w:rPr>
          <w:rtl/>
        </w:rPr>
        <w:t xml:space="preserve"> ..</w:t>
      </w:r>
      <w:r w:rsidR="008A74EB" w:rsidRPr="00C9040A">
        <w:rPr>
          <w:rtl/>
        </w:rPr>
        <w:t>.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w:t>
      </w:r>
      <w:r w:rsidR="008A74EB" w:rsidRPr="00993B55">
        <w:rPr>
          <w:rStyle w:val="libFootnoteBoldChar"/>
          <w:rtl/>
        </w:rPr>
        <w:t>مرآة العقول</w:t>
      </w:r>
      <w:r w:rsidR="008A74EB" w:rsidRPr="00C9040A">
        <w:rPr>
          <w:rtl/>
        </w:rPr>
        <w:t xml:space="preserve"> ، ج 7 ، ص 164 : « إنّما لم يعنون الباب لأنّه قريب من البابين السابقين في أنّه مشتمل على معاني الإسلام والإيمان ، لكن ل</w:t>
      </w:r>
      <w:r w:rsidR="006E185C">
        <w:rPr>
          <w:rFonts w:hint="cs"/>
          <w:rtl/>
        </w:rPr>
        <w:t>ـ</w:t>
      </w:r>
      <w:r w:rsidR="008A74EB" w:rsidRPr="00C9040A">
        <w:rPr>
          <w:rtl/>
        </w:rPr>
        <w:t>مّا كان فيه زيادة تفصيل وتوضيح وفوائد كبيرة جعله باباً آخر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 ص » : « عليّ بن إبراهيم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ز ، بر » : « أصحابنا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 بس » </w:t>
      </w:r>
      <w:r w:rsidR="008A74EB">
        <w:rPr>
          <w:rtl/>
        </w:rPr>
        <w:t xml:space="preserve">: </w:t>
      </w:r>
      <w:r w:rsidR="0084262C">
        <w:rPr>
          <w:rtl/>
        </w:rPr>
        <w:t>-</w:t>
      </w:r>
      <w:r w:rsidR="008A74EB" w:rsidRPr="00C9040A">
        <w:rPr>
          <w:rtl/>
        </w:rPr>
        <w:t xml:space="preserve"> « قال »</w:t>
      </w:r>
      <w:r w:rsidR="008A74EB">
        <w:rPr>
          <w:rtl/>
        </w:rPr>
        <w:t>.</w:t>
      </w:r>
    </w:p>
    <w:p w:rsidR="008A74EB" w:rsidRPr="004A4E41" w:rsidRDefault="006C577F" w:rsidP="004A4E41">
      <w:pPr>
        <w:pStyle w:val="libFootnote0"/>
        <w:rPr>
          <w:rStyle w:val="libFootnote0Char"/>
          <w:rtl/>
        </w:rPr>
      </w:pPr>
      <w:r>
        <w:rPr>
          <w:rtl/>
        </w:rPr>
        <w:t>(11).</w:t>
      </w:r>
      <w:r w:rsidR="008A74EB" w:rsidRPr="00C9040A">
        <w:rPr>
          <w:rtl/>
        </w:rPr>
        <w:t xml:space="preserve"> في « ج ، د ، ز ، ص ، ف ، بر ، بس » وشرح المازندراني : « ناساً »</w:t>
      </w:r>
      <w:r w:rsidR="008A74EB">
        <w:rPr>
          <w:rtl/>
        </w:rPr>
        <w:t>.</w:t>
      </w:r>
    </w:p>
    <w:tbl>
      <w:tblPr>
        <w:tblStyle w:val="TableGrid"/>
        <w:bidiVisual/>
        <w:tblW w:w="0" w:type="auto"/>
        <w:tblLook w:val="04A0" w:firstRow="1" w:lastRow="0" w:firstColumn="1" w:lastColumn="0" w:noHBand="0" w:noVBand="1"/>
      </w:tblPr>
      <w:tblGrid>
        <w:gridCol w:w="4006"/>
        <w:gridCol w:w="4006"/>
      </w:tblGrid>
      <w:tr w:rsidR="000C1D48" w:rsidTr="000C1D48">
        <w:tc>
          <w:tcPr>
            <w:tcW w:w="4006" w:type="dxa"/>
          </w:tcPr>
          <w:p w:rsidR="000C1D48" w:rsidRDefault="000C1D48" w:rsidP="004A4E41">
            <w:pPr>
              <w:pStyle w:val="libFootnote0"/>
              <w:rPr>
                <w:rtl/>
              </w:rPr>
            </w:pPr>
            <w:r>
              <w:rPr>
                <w:rtl/>
              </w:rPr>
              <w:t>(12).</w:t>
            </w:r>
            <w:r w:rsidRPr="00C9040A">
              <w:rPr>
                <w:rtl/>
              </w:rPr>
              <w:t xml:space="preserve"> في الوسائل ، ح 33549 </w:t>
            </w:r>
            <w:r>
              <w:rPr>
                <w:rtl/>
              </w:rPr>
              <w:t>: -</w:t>
            </w:r>
            <w:r w:rsidRPr="00C9040A">
              <w:rPr>
                <w:rtl/>
              </w:rPr>
              <w:t xml:space="preserve"> « هذا »</w:t>
            </w:r>
            <w:r>
              <w:rPr>
                <w:rtl/>
              </w:rPr>
              <w:t>.</w:t>
            </w:r>
          </w:p>
        </w:tc>
        <w:tc>
          <w:tcPr>
            <w:tcW w:w="4006" w:type="dxa"/>
          </w:tcPr>
          <w:p w:rsidR="000C1D48" w:rsidRDefault="000C1D48" w:rsidP="004A4E41">
            <w:pPr>
              <w:pStyle w:val="libFootnote0"/>
              <w:rPr>
                <w:rtl/>
              </w:rPr>
            </w:pPr>
            <w:r>
              <w:rPr>
                <w:rtl/>
              </w:rPr>
              <w:t>(13)</w:t>
            </w:r>
            <w:r w:rsidRPr="00C9040A">
              <w:rPr>
                <w:rtl/>
              </w:rPr>
              <w:t xml:space="preserve"> في « بر » : « علمه »</w:t>
            </w:r>
            <w:r>
              <w:rPr>
                <w:rtl/>
              </w:rPr>
              <w:t>.</w:t>
            </w:r>
          </w:p>
        </w:tc>
      </w:tr>
    </w:tbl>
    <w:p w:rsidR="004B7F34" w:rsidRDefault="004B7F34" w:rsidP="004B7F34">
      <w:pPr>
        <w:pStyle w:val="libNormal"/>
        <w:rPr>
          <w:rtl/>
          <w:lang w:bidi="fa-IR"/>
        </w:rPr>
      </w:pPr>
      <w:r>
        <w:rPr>
          <w:rtl/>
          <w:lang w:bidi="fa-IR"/>
        </w:rPr>
        <w:br w:type="page"/>
      </w:r>
    </w:p>
    <w:p w:rsidR="008A74EB" w:rsidRPr="00C9040A" w:rsidRDefault="00D6686B" w:rsidP="008A74EB">
      <w:pPr>
        <w:pStyle w:val="libNormal0"/>
        <w:rPr>
          <w:rtl/>
          <w:lang w:bidi="fa-IR"/>
        </w:rPr>
      </w:pPr>
      <w:r>
        <w:rPr>
          <w:rStyle w:val="libAieChar"/>
          <w:rtl/>
        </w:rPr>
        <w:lastRenderedPageBreak/>
        <w:t>وَما يَعْلَمُ تَأْوِيلَهُ إِل</w:t>
      </w:r>
      <w:r>
        <w:rPr>
          <w:rStyle w:val="libAieChar"/>
          <w:rFonts w:hint="cs"/>
          <w:rtl/>
        </w:rPr>
        <w:t>َّ</w:t>
      </w:r>
      <w:r>
        <w:rPr>
          <w:rStyle w:val="libAieChar"/>
          <w:rtl/>
        </w:rPr>
        <w:t>ا</w:t>
      </w:r>
      <w:r w:rsidR="008A74EB" w:rsidRPr="006A2246">
        <w:rPr>
          <w:rStyle w:val="libAieChar"/>
          <w:rtl/>
        </w:rPr>
        <w:t xml:space="preserve"> اللهُ </w:t>
      </w:r>
      <w:r w:rsidR="008A74EB" w:rsidRPr="0003660B">
        <w:rPr>
          <w:rStyle w:val="libAlaemChar"/>
          <w:rtl/>
        </w:rPr>
        <w:t>)</w:t>
      </w:r>
      <w:r w:rsidR="008A74EB" w:rsidRPr="00C9040A">
        <w:rPr>
          <w:rtl/>
          <w:lang w:bidi="fa-IR"/>
        </w:rPr>
        <w:t xml:space="preserve"> </w:t>
      </w:r>
      <w:r w:rsidR="006C577F" w:rsidRPr="006C577F">
        <w:rPr>
          <w:rStyle w:val="libFootnotenumChar"/>
          <w:rtl/>
        </w:rPr>
        <w:t>(1)</w:t>
      </w:r>
      <w:r w:rsidR="008A74EB" w:rsidRPr="00853746">
        <w:rPr>
          <w:rFonts w:hint="cs"/>
          <w:rtl/>
        </w:rPr>
        <w:t xml:space="preserve"> </w:t>
      </w:r>
      <w:r w:rsidR="008A74EB" w:rsidRPr="00C9040A">
        <w:rPr>
          <w:rtl/>
          <w:lang w:bidi="fa-IR"/>
        </w:rPr>
        <w:t xml:space="preserve">الْآيَةَ ، فَالْمَنْسُوخَاتُ مِنَ الْمُتَشَابِهَاتِ </w:t>
      </w:r>
      <w:r w:rsidR="006C577F" w:rsidRPr="006C577F">
        <w:rPr>
          <w:rStyle w:val="libFootnotenumChar"/>
          <w:rtl/>
        </w:rPr>
        <w:t>(2)</w:t>
      </w:r>
      <w:r w:rsidR="008A74EB" w:rsidRPr="00C9040A">
        <w:rPr>
          <w:rtl/>
          <w:lang w:bidi="fa-IR"/>
        </w:rPr>
        <w:t xml:space="preserve"> ، وَالْمُحْكَمَاتُ مِنَ النَّاسِخَاتِ </w:t>
      </w:r>
      <w:r w:rsidR="006C577F" w:rsidRPr="006C577F">
        <w:rPr>
          <w:rStyle w:val="libFootnotenumChar"/>
          <w:rtl/>
        </w:rPr>
        <w:t>(3)</w:t>
      </w:r>
      <w:r w:rsidRPr="00D6686B">
        <w:rPr>
          <w:rStyle w:val="libNormalChar"/>
          <w:rFonts w:hint="cs"/>
          <w:rtl/>
        </w:rPr>
        <w:t>.</w:t>
      </w:r>
    </w:p>
    <w:p w:rsidR="008A74EB" w:rsidRPr="00C9040A" w:rsidRDefault="008A74EB" w:rsidP="008B7A50">
      <w:pPr>
        <w:pStyle w:val="libNormal"/>
        <w:rPr>
          <w:rtl/>
          <w:lang w:bidi="fa-IR"/>
        </w:rPr>
      </w:pPr>
      <w:r w:rsidRPr="00C9040A">
        <w:rPr>
          <w:rtl/>
          <w:lang w:bidi="fa-IR"/>
        </w:rPr>
        <w:t>إِنَّ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بَعَثَ نُوحاً إِلى قَوْمِهِ : </w:t>
      </w:r>
      <w:r w:rsidRPr="0003660B">
        <w:rPr>
          <w:rStyle w:val="libAlaemChar"/>
          <w:rtl/>
        </w:rPr>
        <w:t>(</w:t>
      </w:r>
      <w:r w:rsidRPr="006A2246">
        <w:rPr>
          <w:rStyle w:val="libAieChar"/>
          <w:rtl/>
        </w:rPr>
        <w:t xml:space="preserve"> أَنِ اعْبُدُوا اللهَ وَاتَّقُوهُ وَأَطِيعُونِ </w:t>
      </w:r>
      <w:r w:rsidRPr="0003660B">
        <w:rPr>
          <w:rStyle w:val="libAlaemChar"/>
          <w:rtl/>
        </w:rPr>
        <w:t>)</w:t>
      </w:r>
      <w:r w:rsidRPr="00C9040A">
        <w:rPr>
          <w:rtl/>
          <w:lang w:bidi="fa-IR"/>
        </w:rPr>
        <w:t xml:space="preserve"> </w:t>
      </w:r>
      <w:r w:rsidR="006C577F" w:rsidRPr="006C577F">
        <w:rPr>
          <w:rStyle w:val="libFootnotenumChar"/>
          <w:rtl/>
        </w:rPr>
        <w:t>(4)</w:t>
      </w:r>
      <w:r w:rsidRPr="00C9040A">
        <w:rPr>
          <w:rtl/>
          <w:lang w:bidi="fa-IR"/>
        </w:rPr>
        <w:t xml:space="preserve"> ثُمَّ دَعَاهُمْ إِلَى اللهِ وَحْدَهُ ، وَأَنْ يَعْبُدُوهُ وَلَا يُشْرِكُوا بِهِ شَيْئاً ، ثُمَّ بَعَثَ الْأَنْبِيَاءَ عَلى ذلِكَ إِلى أَنْ بَلَغُوا مُحَمَّداً </w:t>
      </w:r>
      <w:r w:rsidR="004A4E41" w:rsidRPr="004A4E41">
        <w:rPr>
          <w:rStyle w:val="libAlaemChar"/>
          <w:rFonts w:eastAsiaTheme="minorHAnsi"/>
          <w:rtl/>
        </w:rPr>
        <w:t>صلى‌الله‌عليه‌وآله</w:t>
      </w:r>
      <w:r w:rsidR="008B7A50" w:rsidRPr="00C9040A">
        <w:rPr>
          <w:rtl/>
          <w:lang w:bidi="fa-IR"/>
        </w:rPr>
        <w:t xml:space="preserve"> </w:t>
      </w:r>
      <w:r w:rsidRPr="00C9040A">
        <w:rPr>
          <w:rtl/>
          <w:lang w:bidi="fa-IR"/>
        </w:rPr>
        <w:t xml:space="preserve">، فَدَعَاهُمْ إِلى أَنْ يَعْبُدُوا اللهَ وَلَا يُشْرِكُوا بِهِ شَيْئاً ، وَقَالَ : </w:t>
      </w:r>
      <w:r w:rsidRPr="0003660B">
        <w:rPr>
          <w:rStyle w:val="libAlaemChar"/>
          <w:rtl/>
        </w:rPr>
        <w:t>(</w:t>
      </w:r>
      <w:r w:rsidRPr="006A2246">
        <w:rPr>
          <w:rStyle w:val="libAieChar"/>
          <w:rtl/>
        </w:rPr>
        <w:t xml:space="preserve"> شَرَعَ لَكُمْ مِنَ الدِّينِ ما وَصّ</w:t>
      </w:r>
      <w:r w:rsidR="00D6686B">
        <w:rPr>
          <w:rStyle w:val="libAieChar"/>
          <w:rFonts w:hint="cs"/>
          <w:rtl/>
        </w:rPr>
        <w:t>َ</w:t>
      </w:r>
      <w:r w:rsidRPr="006A2246">
        <w:rPr>
          <w:rStyle w:val="libAieChar"/>
          <w:rtl/>
        </w:rPr>
        <w:t>ى بِهِ نُوحاً وَالَّذِي أَوْحَيْنا إِلَيْكَ وَما وَصَّيْنا بِهِ إِبْراهِيمَ وَمُوسى وَعِيسى أَنْ أَقِيمُوا الدِّينَ وَلا تَتَفَرَّقُوا فِيهِ كَبُرَ عَلَى الْمُشْرِكِينَ ما تَدْعُوهُمْ إِلَيْهِ اللهُ يَجْتَبِي إِلَيْهِ مَنْ يَشاءُ وَيَهْدِي إِلَيْهِ مَنْ يُنِيبُ</w:t>
      </w:r>
      <w:r w:rsidRPr="0003660B">
        <w:rPr>
          <w:rStyle w:val="libAlaemChar"/>
          <w:rtl/>
        </w:rPr>
        <w:t>)</w:t>
      </w:r>
      <w:r w:rsidRPr="00C9040A">
        <w:rPr>
          <w:rtl/>
          <w:lang w:bidi="fa-IR"/>
        </w:rPr>
        <w:t xml:space="preserve"> </w:t>
      </w:r>
      <w:r w:rsidR="006C577F" w:rsidRPr="006C577F">
        <w:rPr>
          <w:rStyle w:val="libFootnotenumChar"/>
          <w:rtl/>
        </w:rPr>
        <w:t>(5)</w:t>
      </w:r>
      <w:r w:rsidRPr="00C9040A">
        <w:rPr>
          <w:rtl/>
          <w:lang w:bidi="fa-IR"/>
        </w:rPr>
        <w:t xml:space="preserve"> فَبَعَثَ الْأَنْبِيَاءَ إِلى قَوْمِهِمْ بِشَهَادَةِ أَنْ لَا</w:t>
      </w:r>
      <w:r>
        <w:rPr>
          <w:rFonts w:hint="cs"/>
          <w:rtl/>
          <w:lang w:bidi="fa-IR"/>
        </w:rPr>
        <w:t xml:space="preserve"> </w:t>
      </w:r>
      <w:r w:rsidR="00D6686B">
        <w:rPr>
          <w:rtl/>
          <w:lang w:bidi="fa-IR"/>
        </w:rPr>
        <w:t>إِلهَ إِل</w:t>
      </w:r>
      <w:r w:rsidR="00D6686B">
        <w:rPr>
          <w:rFonts w:hint="cs"/>
          <w:rtl/>
          <w:lang w:bidi="fa-IR"/>
        </w:rPr>
        <w:t>َّ</w:t>
      </w:r>
      <w:r w:rsidR="00D6686B">
        <w:rPr>
          <w:rtl/>
          <w:lang w:bidi="fa-IR"/>
        </w:rPr>
        <w:t>ا</w:t>
      </w:r>
      <w:r w:rsidRPr="00C9040A">
        <w:rPr>
          <w:rtl/>
          <w:lang w:bidi="fa-IR"/>
        </w:rPr>
        <w:t xml:space="preserve"> اللهُ ، وَالْإِقْرَارِ بِمَا جَاءَ بِهِ </w:t>
      </w:r>
      <w:r w:rsidR="006C577F" w:rsidRPr="006C577F">
        <w:rPr>
          <w:rStyle w:val="libFootnotenumChar"/>
          <w:rtl/>
        </w:rPr>
        <w:t>(6)</w:t>
      </w:r>
      <w:r w:rsidR="00D6686B" w:rsidRPr="00C9040A">
        <w:rPr>
          <w:rtl/>
          <w:lang w:bidi="fa-IR"/>
        </w:rPr>
        <w:t xml:space="preserve"> </w:t>
      </w:r>
      <w:r w:rsidRPr="00C9040A">
        <w:rPr>
          <w:rtl/>
          <w:lang w:bidi="fa-IR"/>
        </w:rPr>
        <w:t xml:space="preserve">مِنْ عِنْدِ اللهِ ، فَمَنْ آمَنَ </w:t>
      </w:r>
      <w:r w:rsidR="006C577F" w:rsidRPr="006C577F">
        <w:rPr>
          <w:rStyle w:val="libFootnotenumChar"/>
          <w:rtl/>
        </w:rPr>
        <w:t>(7)</w:t>
      </w:r>
      <w:r w:rsidRPr="00C9040A">
        <w:rPr>
          <w:rtl/>
          <w:lang w:bidi="fa-IR"/>
        </w:rPr>
        <w:t xml:space="preserve"> مُخْلِصاً وَمَاتَ عَلى ذلِكَ ، أَدْخَلَهُ اللهُ الْجَنَّةَ بِذلِكَ ، وَذ</w:t>
      </w:r>
      <w:r w:rsidR="008C78B3">
        <w:rPr>
          <w:rtl/>
          <w:lang w:bidi="fa-IR"/>
        </w:rPr>
        <w:t>لِكَ أَنَّ اللهَ لَيْسَ بِظَل</w:t>
      </w:r>
      <w:r w:rsidR="008C78B3">
        <w:rPr>
          <w:rFonts w:hint="cs"/>
          <w:rtl/>
          <w:lang w:bidi="fa-IR"/>
        </w:rPr>
        <w:t>َّ</w:t>
      </w:r>
      <w:r w:rsidR="008C78B3">
        <w:rPr>
          <w:rtl/>
          <w:lang w:bidi="fa-IR"/>
        </w:rPr>
        <w:t>ا</w:t>
      </w:r>
      <w:r w:rsidRPr="00C9040A">
        <w:rPr>
          <w:rtl/>
          <w:lang w:bidi="fa-IR"/>
        </w:rPr>
        <w:t xml:space="preserve">مٍ لِلْعَبِيدِ ، وَذلِكَ أَنَّ اللهَ لَمْ يَكُنْ يُعَذِّبُ عَبْداً حَتّى يُغَلِّظَ عَلَيْهِ فِي الْقَتْلِ ، وَالْمَعَاصِي الَّتِي أَوْجَبَ اللهُ عَلَيْهِ بِهَا </w:t>
      </w:r>
      <w:r w:rsidR="006C577F" w:rsidRPr="006C577F">
        <w:rPr>
          <w:rStyle w:val="libFootnotenumChar"/>
          <w:rtl/>
        </w:rPr>
        <w:t>(8)</w:t>
      </w:r>
      <w:r w:rsidRPr="00C9040A">
        <w:rPr>
          <w:rtl/>
          <w:lang w:bidi="fa-IR"/>
        </w:rPr>
        <w:t xml:space="preserve"> النَّارَ لِمَنْ عَمِلَ بِهَا.</w:t>
      </w:r>
    </w:p>
    <w:p w:rsidR="008A74EB" w:rsidRPr="00C9040A" w:rsidRDefault="008A74EB" w:rsidP="008A74EB">
      <w:pPr>
        <w:pStyle w:val="libNormal"/>
        <w:rPr>
          <w:rtl/>
          <w:lang w:bidi="fa-IR"/>
        </w:rPr>
      </w:pPr>
      <w:r w:rsidRPr="00C9040A">
        <w:rPr>
          <w:rtl/>
          <w:lang w:bidi="fa-IR"/>
        </w:rPr>
        <w:t xml:space="preserve">فَلَمَّا اسْتَجَابَ لِكُلِّ نَبِيٍّ مَنِ اسْتَجَابَ </w:t>
      </w:r>
      <w:r w:rsidR="006C577F" w:rsidRPr="006C577F">
        <w:rPr>
          <w:rStyle w:val="libFootnotenumChar"/>
          <w:rtl/>
        </w:rPr>
        <w:t>(9)</w:t>
      </w:r>
      <w:r w:rsidRPr="00C9040A">
        <w:rPr>
          <w:rtl/>
          <w:lang w:bidi="fa-IR"/>
        </w:rPr>
        <w:t xml:space="preserve"> لَهُ مِنْ قَوْمِهِ مِنَ الْمُؤْمِنِينَ ، جَعَلَ لِكُلِّ نَبِيٍّ‌</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آل عمران </w:t>
      </w:r>
      <w:r w:rsidR="008C78B3">
        <w:rPr>
          <w:rtl/>
        </w:rPr>
        <w:t>(3)</w:t>
      </w:r>
      <w:r w:rsidR="008A74EB" w:rsidRPr="00C9040A">
        <w:rPr>
          <w:rtl/>
        </w:rPr>
        <w:t xml:space="preserve"> : 7. وفي « ج » ومرآة العقول : + </w:t>
      </w:r>
      <w:r w:rsidR="008A74EB" w:rsidRPr="00B866D3">
        <w:rPr>
          <w:rStyle w:val="libFootnoteAlaemChar"/>
          <w:rtl/>
        </w:rPr>
        <w:t>(</w:t>
      </w:r>
      <w:r w:rsidR="008A74EB" w:rsidRPr="00883DD5">
        <w:rPr>
          <w:rStyle w:val="libFootnoteAieChar"/>
          <w:rFonts w:hint="cs"/>
          <w:rtl/>
        </w:rPr>
        <w:t xml:space="preserve"> </w:t>
      </w:r>
      <w:r w:rsidR="008A74EB" w:rsidRPr="00883DD5">
        <w:rPr>
          <w:rStyle w:val="libFootnoteAieChar"/>
          <w:rtl/>
        </w:rPr>
        <w:t>وَالرّ</w:t>
      </w:r>
      <w:r w:rsidR="008C78B3">
        <w:rPr>
          <w:rStyle w:val="libFootnoteAieChar"/>
          <w:rFonts w:hint="cs"/>
          <w:rtl/>
        </w:rPr>
        <w:t>َ</w:t>
      </w:r>
      <w:r w:rsidR="008A74EB" w:rsidRPr="00883DD5">
        <w:rPr>
          <w:rStyle w:val="libFootnoteAieChar"/>
          <w:rtl/>
        </w:rPr>
        <w:t>اسِخُونَ فِي الْعِلْمِ</w:t>
      </w:r>
      <w:r w:rsidR="008A74EB" w:rsidRPr="00883DD5">
        <w:rPr>
          <w:rStyle w:val="libFootnoteAieChar"/>
          <w:rFonts w:hint="cs"/>
          <w:rtl/>
        </w:rPr>
        <w:t xml:space="preserve"> </w:t>
      </w:r>
      <w:r w:rsidR="008A74EB" w:rsidRPr="00B866D3">
        <w:rPr>
          <w:rStyle w:val="libFootnoteAlaemChar"/>
          <w:rtl/>
        </w:rPr>
        <w:t>)</w:t>
      </w:r>
      <w:r w:rsidR="008A74EB" w:rsidRPr="00C9040A">
        <w:rPr>
          <w:rtl/>
        </w:rPr>
        <w:t xml:space="preserve">. وفي « ض » </w:t>
      </w:r>
      <w:r w:rsidR="008A74EB">
        <w:rPr>
          <w:rtl/>
        </w:rPr>
        <w:t xml:space="preserve">: </w:t>
      </w:r>
      <w:r w:rsidR="0084262C">
        <w:rPr>
          <w:rtl/>
        </w:rPr>
        <w:t>-</w:t>
      </w:r>
      <w:r w:rsidR="008A74EB" w:rsidRPr="00C9040A">
        <w:rPr>
          <w:rtl/>
        </w:rPr>
        <w:t xml:space="preserve"> « </w:t>
      </w:r>
      <w:r w:rsidR="008C78B3" w:rsidRPr="00B866D3">
        <w:rPr>
          <w:rStyle w:val="libFootnoteAlaemChar"/>
          <w:rtl/>
        </w:rPr>
        <w:t>(</w:t>
      </w:r>
      <w:r w:rsidR="008C78B3">
        <w:rPr>
          <w:rStyle w:val="libAlaemChar"/>
          <w:rFonts w:hint="cs"/>
          <w:rtl/>
        </w:rPr>
        <w:t xml:space="preserve"> </w:t>
      </w:r>
      <w:r w:rsidR="008A74EB" w:rsidRPr="00CD1D6F">
        <w:rPr>
          <w:rStyle w:val="libFootnoteAieChar"/>
          <w:rtl/>
        </w:rPr>
        <w:t>وَ</w:t>
      </w:r>
      <w:r w:rsidR="008A74EB" w:rsidRPr="008C78B3">
        <w:rPr>
          <w:rStyle w:val="libAieChar"/>
          <w:rFonts w:hint="cs"/>
          <w:rtl/>
        </w:rPr>
        <w:t xml:space="preserve"> </w:t>
      </w:r>
      <w:r w:rsidR="008A74EB" w:rsidRPr="00883DD5">
        <w:rPr>
          <w:rStyle w:val="libFootnoteAieChar"/>
          <w:rtl/>
        </w:rPr>
        <w:t>ابْتِغاءَ الْفِتْنَةِ</w:t>
      </w:r>
      <w:r w:rsidR="008C78B3" w:rsidRPr="00B866D3">
        <w:rPr>
          <w:rStyle w:val="libFootnoteAlaemChar"/>
          <w:rtl/>
        </w:rPr>
        <w:t>)</w:t>
      </w:r>
      <w:r w:rsidR="008A74EB">
        <w:rPr>
          <w:rFonts w:hint="cs"/>
          <w:rtl/>
        </w:rPr>
        <w:t xml:space="preserve"> </w:t>
      </w:r>
      <w:r w:rsidR="0084262C">
        <w:rPr>
          <w:rtl/>
        </w:rPr>
        <w:t>-</w:t>
      </w:r>
      <w:r w:rsidR="008A74EB">
        <w:rPr>
          <w:rtl/>
        </w:rPr>
        <w:t xml:space="preserve"> </w:t>
      </w:r>
      <w:r w:rsidR="008A74EB" w:rsidRPr="00C9040A">
        <w:rPr>
          <w:rtl/>
        </w:rPr>
        <w:t>إلى</w:t>
      </w:r>
      <w:r w:rsidR="008A74EB">
        <w:rPr>
          <w:rtl/>
        </w:rPr>
        <w:t xml:space="preserve"> </w:t>
      </w:r>
      <w:r w:rsidR="0084262C">
        <w:rPr>
          <w:rtl/>
        </w:rPr>
        <w:t>-</w:t>
      </w:r>
      <w:r w:rsidR="008A74EB">
        <w:rPr>
          <w:rFonts w:hint="cs"/>
          <w:rtl/>
        </w:rPr>
        <w:t xml:space="preserve"> </w:t>
      </w:r>
      <w:r w:rsidR="003D7AED" w:rsidRPr="00B866D3">
        <w:rPr>
          <w:rStyle w:val="libFootnoteAlaemChar"/>
          <w:rtl/>
        </w:rPr>
        <w:t>(</w:t>
      </w:r>
      <w:r w:rsidR="008C78B3">
        <w:rPr>
          <w:rStyle w:val="libFootnoteAieChar"/>
          <w:rtl/>
        </w:rPr>
        <w:t>إِل</w:t>
      </w:r>
      <w:r w:rsidR="008C78B3">
        <w:rPr>
          <w:rStyle w:val="libFootnoteAieChar"/>
          <w:rFonts w:hint="cs"/>
          <w:rtl/>
        </w:rPr>
        <w:t>َّ</w:t>
      </w:r>
      <w:r w:rsidR="008C78B3">
        <w:rPr>
          <w:rStyle w:val="libFootnoteAieChar"/>
          <w:rtl/>
        </w:rPr>
        <w:t>ا</w:t>
      </w:r>
      <w:r w:rsidR="008A74EB" w:rsidRPr="00883DD5">
        <w:rPr>
          <w:rStyle w:val="libFootnoteAieChar"/>
          <w:rtl/>
        </w:rPr>
        <w:t xml:space="preserve"> اللهُ</w:t>
      </w:r>
      <w:r w:rsidR="008A74EB" w:rsidRPr="00883DD5">
        <w:rPr>
          <w:rStyle w:val="libFootnoteAieChar"/>
          <w:rFonts w:hint="cs"/>
          <w:rtl/>
        </w:rPr>
        <w:t xml:space="preserve"> </w:t>
      </w:r>
      <w:r w:rsidR="008A74EB" w:rsidRPr="00B866D3">
        <w:rPr>
          <w:rStyle w:val="libFootnoteAlaemChar"/>
          <w:rtl/>
        </w:rPr>
        <w:t>)</w:t>
      </w:r>
      <w:r w:rsidR="008A74EB" w:rsidRPr="00C9040A">
        <w:rPr>
          <w:rtl/>
        </w:rPr>
        <w:t xml:space="preserve">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w:t>
      </w:r>
      <w:r w:rsidR="008A74EB" w:rsidRPr="00993B55">
        <w:rPr>
          <w:rStyle w:val="libFootnoteBoldChar"/>
          <w:rtl/>
        </w:rPr>
        <w:t>الوافي</w:t>
      </w:r>
      <w:r w:rsidR="008A74EB" w:rsidRPr="00C9040A">
        <w:rPr>
          <w:rtl/>
        </w:rPr>
        <w:t xml:space="preserve"> : « المحكم ما لا يحتمل غير المعنى المقصود منه ، والمتشابه بخلافه. ول</w:t>
      </w:r>
      <w:r w:rsidR="00CD1D6F">
        <w:rPr>
          <w:rFonts w:hint="cs"/>
          <w:rtl/>
        </w:rPr>
        <w:t>ـ</w:t>
      </w:r>
      <w:r w:rsidR="008A74EB" w:rsidRPr="00C9040A">
        <w:rPr>
          <w:rtl/>
        </w:rPr>
        <w:t>مّا كان بعض المحكمات مقصور الحكم على الأزمنة السابقة منسوخاً بآيات ا</w:t>
      </w:r>
      <w:r w:rsidR="00CD1D6F">
        <w:rPr>
          <w:rFonts w:hint="cs"/>
          <w:rtl/>
        </w:rPr>
        <w:t>ُ</w:t>
      </w:r>
      <w:r w:rsidR="008A74EB" w:rsidRPr="00C9040A">
        <w:rPr>
          <w:rtl/>
        </w:rPr>
        <w:t xml:space="preserve">خرى ، ونسخها خافياً على أكثر الناس ، فيزعمون بقاء حكمها ، صارت متشابهة من هذه الجهة ؛ ولهذا قال </w:t>
      </w:r>
      <w:r w:rsidR="00117575" w:rsidRPr="00117575">
        <w:rPr>
          <w:rStyle w:val="libFootnoteAlaemChar"/>
          <w:rtl/>
        </w:rPr>
        <w:t>عليه‌السلام</w:t>
      </w:r>
      <w:r w:rsidR="008A74EB" w:rsidRPr="00C9040A">
        <w:rPr>
          <w:rtl/>
        </w:rPr>
        <w:t xml:space="preserve"> : فالمنسوخات من المتشابهات. وفي بعض النسخ : من المشتبهات. وإنّما غيّر الاسلوب في اختها وقال : والمحكمات من الناسخات ، دون أن يقول : والناسخات من المحكمات ؛ لأنّ المحكم أخصّ من الناسخ من وجه ، بخلاف المتشابه ، فإنّه أعمّ من المنسوخ مطلقاً »</w:t>
      </w:r>
      <w:r w:rsidR="008A74EB">
        <w:rPr>
          <w:rtl/>
        </w:rPr>
        <w:t>.</w:t>
      </w:r>
    </w:p>
    <w:p w:rsidR="008A74EB" w:rsidRPr="004A4E41" w:rsidRDefault="006C577F" w:rsidP="004A4E41">
      <w:pPr>
        <w:pStyle w:val="libFootnote0"/>
        <w:rPr>
          <w:rStyle w:val="libFootnote0Char"/>
          <w:rtl/>
        </w:rPr>
      </w:pPr>
      <w:r>
        <w:rPr>
          <w:rtl/>
        </w:rPr>
        <w:t>(3).</w:t>
      </w:r>
      <w:r w:rsidR="008A74EB" w:rsidRPr="00C9040A">
        <w:rPr>
          <w:rtl/>
        </w:rPr>
        <w:t xml:space="preserve"> في الوسائل ، ح 33549 : « والناسخات من المحكمات »</w:t>
      </w:r>
      <w:r w:rsidR="008A74EB">
        <w:rPr>
          <w:rtl/>
        </w:rPr>
        <w:t>.</w:t>
      </w:r>
    </w:p>
    <w:tbl>
      <w:tblPr>
        <w:tblStyle w:val="TableGrid"/>
        <w:bidiVisual/>
        <w:tblW w:w="0" w:type="auto"/>
        <w:tblLook w:val="04A0" w:firstRow="1" w:lastRow="0" w:firstColumn="1" w:lastColumn="0" w:noHBand="0" w:noVBand="1"/>
      </w:tblPr>
      <w:tblGrid>
        <w:gridCol w:w="4006"/>
        <w:gridCol w:w="4006"/>
      </w:tblGrid>
      <w:tr w:rsidR="00CD1D6F" w:rsidTr="00CD1D6F">
        <w:tc>
          <w:tcPr>
            <w:tcW w:w="4006" w:type="dxa"/>
          </w:tcPr>
          <w:p w:rsidR="00CD1D6F" w:rsidRDefault="00CD1D6F" w:rsidP="004A4E41">
            <w:pPr>
              <w:pStyle w:val="libFootnote0"/>
              <w:rPr>
                <w:rtl/>
              </w:rPr>
            </w:pPr>
            <w:r>
              <w:rPr>
                <w:rtl/>
              </w:rPr>
              <w:t>(4).</w:t>
            </w:r>
            <w:r w:rsidRPr="00C9040A">
              <w:rPr>
                <w:rtl/>
              </w:rPr>
              <w:t xml:space="preserve"> نوح (71) : 3.</w:t>
            </w:r>
          </w:p>
        </w:tc>
        <w:tc>
          <w:tcPr>
            <w:tcW w:w="4006" w:type="dxa"/>
          </w:tcPr>
          <w:p w:rsidR="00CD1D6F" w:rsidRDefault="00CD1D6F" w:rsidP="004A4E41">
            <w:pPr>
              <w:pStyle w:val="libFootnote0"/>
              <w:rPr>
                <w:rtl/>
              </w:rPr>
            </w:pPr>
            <w:r>
              <w:rPr>
                <w:rtl/>
              </w:rPr>
              <w:t>(5).</w:t>
            </w:r>
            <w:r w:rsidRPr="00C9040A">
              <w:rPr>
                <w:rtl/>
              </w:rPr>
              <w:t xml:space="preserve"> الشورى (42) : 13.</w:t>
            </w:r>
          </w:p>
        </w:tc>
      </w:tr>
    </w:tbl>
    <w:p w:rsidR="008A74EB" w:rsidRPr="004A4E41" w:rsidRDefault="006C577F" w:rsidP="004A4E41">
      <w:pPr>
        <w:pStyle w:val="libFootnote0"/>
        <w:rPr>
          <w:rStyle w:val="libFootnote0Char"/>
          <w:rtl/>
        </w:rPr>
      </w:pPr>
      <w:r>
        <w:rPr>
          <w:rtl/>
        </w:rPr>
        <w:t>(6).</w:t>
      </w:r>
      <w:r w:rsidR="008A74EB">
        <w:rPr>
          <w:rtl/>
        </w:rPr>
        <w:t xml:space="preserve"> </w:t>
      </w:r>
      <w:r w:rsidR="008A74EB" w:rsidRPr="00C9040A">
        <w:rPr>
          <w:rtl/>
        </w:rPr>
        <w:t xml:space="preserve">في « ب ، ج ، د ، ص ، ض ، ف ، بح ، بس ، بف ، جل ، جم ، جه » والوافي </w:t>
      </w:r>
      <w:r w:rsidR="008A74EB">
        <w:rPr>
          <w:rtl/>
        </w:rPr>
        <w:t xml:space="preserve">: </w:t>
      </w:r>
      <w:r w:rsidR="0084262C">
        <w:rPr>
          <w:rtl/>
        </w:rPr>
        <w:t>-</w:t>
      </w:r>
      <w:r w:rsidR="008A74EB" w:rsidRPr="00C9040A">
        <w:rPr>
          <w:rtl/>
        </w:rPr>
        <w:t xml:space="preserve"> « به »</w:t>
      </w:r>
      <w:r w:rsidR="008A74EB">
        <w:rPr>
          <w:rtl/>
        </w:rPr>
        <w:t>.</w:t>
      </w:r>
      <w:r w:rsidR="008A74EB" w:rsidRPr="00C9040A">
        <w:rPr>
          <w:rtl/>
        </w:rPr>
        <w:t xml:space="preserve"> وفي « ز ، بج ، بر ، بع ، بك ، جح ، جس » كما في المتن.</w:t>
      </w:r>
      <w:r w:rsidR="00CD1D6F">
        <w:rPr>
          <w:rFonts w:hint="cs"/>
          <w:rtl/>
        </w:rPr>
        <w:t xml:space="preserve">  </w:t>
      </w:r>
      <w:r w:rsidR="00B866D3">
        <w:rPr>
          <w:rFonts w:hint="cs"/>
          <w:rtl/>
        </w:rPr>
        <w:t xml:space="preserve"> </w:t>
      </w:r>
      <w:r w:rsidR="00CD1D6F">
        <w:rPr>
          <w:rFonts w:hint="cs"/>
          <w:rtl/>
        </w:rPr>
        <w:t xml:space="preserve">       </w:t>
      </w:r>
      <w:r>
        <w:rPr>
          <w:rtl/>
        </w:rPr>
        <w:t>(7).</w:t>
      </w:r>
      <w:r w:rsidR="008A74EB" w:rsidRPr="00C9040A">
        <w:rPr>
          <w:rtl/>
        </w:rPr>
        <w:t xml:space="preserve"> في « ف » : + « خالصاً »</w:t>
      </w:r>
      <w:r w:rsidR="008A74EB">
        <w:rPr>
          <w:rtl/>
        </w:rPr>
        <w:t>.</w:t>
      </w:r>
    </w:p>
    <w:tbl>
      <w:tblPr>
        <w:tblStyle w:val="TableGrid"/>
        <w:bidiVisual/>
        <w:tblW w:w="0" w:type="auto"/>
        <w:tblLook w:val="04A0" w:firstRow="1" w:lastRow="0" w:firstColumn="1" w:lastColumn="0" w:noHBand="0" w:noVBand="1"/>
      </w:tblPr>
      <w:tblGrid>
        <w:gridCol w:w="4006"/>
        <w:gridCol w:w="4006"/>
      </w:tblGrid>
      <w:tr w:rsidR="00CD1D6F" w:rsidTr="00CD1D6F">
        <w:tc>
          <w:tcPr>
            <w:tcW w:w="4006" w:type="dxa"/>
          </w:tcPr>
          <w:p w:rsidR="00CD1D6F" w:rsidRDefault="00CD1D6F" w:rsidP="004A4E41">
            <w:pPr>
              <w:pStyle w:val="libFootnote0"/>
              <w:rPr>
                <w:rtl/>
              </w:rPr>
            </w:pPr>
            <w:r>
              <w:rPr>
                <w:rtl/>
              </w:rPr>
              <w:t>(8).</w:t>
            </w:r>
            <w:r w:rsidRPr="00C9040A">
              <w:rPr>
                <w:rtl/>
              </w:rPr>
              <w:t xml:space="preserve"> في « ج » : « به »</w:t>
            </w:r>
            <w:r>
              <w:rPr>
                <w:rtl/>
              </w:rPr>
              <w:t>.</w:t>
            </w:r>
          </w:p>
        </w:tc>
        <w:tc>
          <w:tcPr>
            <w:tcW w:w="4006" w:type="dxa"/>
          </w:tcPr>
          <w:p w:rsidR="00CD1D6F" w:rsidRDefault="00CD1D6F" w:rsidP="004A4E41">
            <w:pPr>
              <w:pStyle w:val="libFootnote0"/>
              <w:rPr>
                <w:rtl/>
              </w:rPr>
            </w:pPr>
            <w:r>
              <w:rPr>
                <w:rtl/>
              </w:rPr>
              <w:t>(9).</w:t>
            </w:r>
            <w:r w:rsidRPr="00C9040A">
              <w:rPr>
                <w:rtl/>
              </w:rPr>
              <w:t xml:space="preserve"> في « ض » </w:t>
            </w:r>
            <w:r>
              <w:rPr>
                <w:rtl/>
              </w:rPr>
              <w:t>: -</w:t>
            </w:r>
            <w:r w:rsidRPr="00C9040A">
              <w:rPr>
                <w:rtl/>
              </w:rPr>
              <w:t xml:space="preserve"> « لكلّ نبيّ من استجاب »</w:t>
            </w:r>
            <w:r>
              <w:rPr>
                <w:rtl/>
              </w:rPr>
              <w:t>.</w:t>
            </w:r>
          </w:p>
        </w:tc>
      </w:tr>
    </w:tbl>
    <w:p w:rsidR="004B7F34" w:rsidRDefault="004B7F34" w:rsidP="004B7F34">
      <w:pPr>
        <w:pStyle w:val="libNormal"/>
        <w:rPr>
          <w:rtl/>
          <w:lang w:bidi="fa-IR"/>
        </w:rPr>
      </w:pPr>
      <w:r>
        <w:rPr>
          <w:rtl/>
          <w:lang w:bidi="fa-IR"/>
        </w:rPr>
        <w:br w:type="page"/>
      </w:r>
    </w:p>
    <w:p w:rsidR="008A74EB" w:rsidRPr="00C9040A" w:rsidRDefault="008A74EB" w:rsidP="008B7A50">
      <w:pPr>
        <w:pStyle w:val="libNormal0"/>
        <w:rPr>
          <w:rtl/>
          <w:lang w:bidi="fa-IR"/>
        </w:rPr>
      </w:pPr>
      <w:r w:rsidRPr="00C9040A">
        <w:rPr>
          <w:rtl/>
          <w:lang w:bidi="fa-IR"/>
        </w:rPr>
        <w:lastRenderedPageBreak/>
        <w:t xml:space="preserve">مِنْهُمْ شِرْعَةً وَمِنْهَاجاً ، وَالشِّرْعَةُ </w:t>
      </w:r>
      <w:r w:rsidR="006C577F" w:rsidRPr="006C577F">
        <w:rPr>
          <w:rStyle w:val="libFootnotenumChar"/>
          <w:rtl/>
        </w:rPr>
        <w:t>(1)</w:t>
      </w:r>
      <w:r w:rsidRPr="009E51F8">
        <w:rPr>
          <w:rFonts w:hint="cs"/>
          <w:rtl/>
        </w:rPr>
        <w:t xml:space="preserve"> </w:t>
      </w:r>
      <w:r w:rsidRPr="00C9040A">
        <w:rPr>
          <w:rtl/>
          <w:lang w:bidi="fa-IR"/>
        </w:rPr>
        <w:t xml:space="preserve">وَالْمِنْهَاجُ سَبِيلٌ وَسُنَّةٌ ، وَقَالَ اللهُ لِمُحَمَّدٍ </w:t>
      </w:r>
      <w:r w:rsidR="004A4E41" w:rsidRPr="004A4E41">
        <w:rPr>
          <w:rStyle w:val="libAlaemChar"/>
          <w:rFonts w:eastAsiaTheme="minorHAnsi"/>
          <w:rtl/>
        </w:rPr>
        <w:t>صلى‌الله‌عليه‌وآله</w:t>
      </w:r>
      <w:r w:rsidRPr="00C9040A">
        <w:rPr>
          <w:rtl/>
          <w:lang w:bidi="fa-IR"/>
        </w:rPr>
        <w:t xml:space="preserve">: </w:t>
      </w:r>
      <w:r w:rsidRPr="0003660B">
        <w:rPr>
          <w:rStyle w:val="libAlaemChar"/>
          <w:rtl/>
        </w:rPr>
        <w:t>(</w:t>
      </w:r>
      <w:r w:rsidRPr="006A2246">
        <w:rPr>
          <w:rStyle w:val="libAieChar"/>
          <w:rtl/>
        </w:rPr>
        <w:t xml:space="preserve"> إِنّا أَوْحَيْنا إِلَيْكَ كَما أَوْحَيْنا إِلى نُوحٍ وَالنَّبِيِّينَ مِنْ بَعْدِهِ </w:t>
      </w:r>
      <w:r w:rsidRPr="0003660B">
        <w:rPr>
          <w:rStyle w:val="libAlaemChar"/>
          <w:rtl/>
        </w:rPr>
        <w:t>)</w:t>
      </w:r>
      <w:r w:rsidRPr="00C9040A">
        <w:rPr>
          <w:rtl/>
          <w:lang w:bidi="fa-IR"/>
        </w:rPr>
        <w:t xml:space="preserve"> </w:t>
      </w:r>
      <w:r w:rsidR="006C577F" w:rsidRPr="006C577F">
        <w:rPr>
          <w:rStyle w:val="libFootnotenumChar"/>
          <w:rtl/>
        </w:rPr>
        <w:t>(2)</w:t>
      </w:r>
      <w:r w:rsidRPr="00C9040A">
        <w:rPr>
          <w:rtl/>
          <w:lang w:bidi="fa-IR"/>
        </w:rPr>
        <w:t xml:space="preserve"> وَأَمَرَ كُلَّ نَبِيٍّ بِالْأَخْذِ بِالسَّبِيلِ وَالسُّنَّةِ </w:t>
      </w:r>
      <w:r w:rsidR="006C577F" w:rsidRPr="006C577F">
        <w:rPr>
          <w:rStyle w:val="libFootnotenumChar"/>
          <w:rtl/>
        </w:rPr>
        <w:t>(3)</w:t>
      </w:r>
      <w:r w:rsidRPr="00C9040A">
        <w:rPr>
          <w:rtl/>
          <w:lang w:bidi="fa-IR"/>
        </w:rPr>
        <w:t xml:space="preserve"> ، وَكَانَ مِنَ السَّبِيلِ وَالسُّنَّةِ </w:t>
      </w:r>
      <w:r w:rsidR="006C577F" w:rsidRPr="006C577F">
        <w:rPr>
          <w:rStyle w:val="libFootnotenumChar"/>
          <w:rtl/>
        </w:rPr>
        <w:t>(4)</w:t>
      </w:r>
      <w:r w:rsidRPr="00C9040A">
        <w:rPr>
          <w:rtl/>
          <w:lang w:bidi="fa-IR"/>
        </w:rPr>
        <w:t xml:space="preserve"> الَّتِي أَمَرَ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بِهَا مُوسى </w:t>
      </w:r>
      <w:r w:rsidRPr="0003660B">
        <w:rPr>
          <w:rStyle w:val="libAlaemChar"/>
          <w:rtl/>
        </w:rPr>
        <w:t>عليه‌السلام</w:t>
      </w:r>
      <w:r w:rsidRPr="00C9040A">
        <w:rPr>
          <w:rtl/>
          <w:lang w:bidi="fa-IR"/>
        </w:rPr>
        <w:t xml:space="preserve"> أَنْ جَعَلَ </w:t>
      </w:r>
      <w:r w:rsidR="006C577F" w:rsidRPr="006C577F">
        <w:rPr>
          <w:rStyle w:val="libFootnotenumChar"/>
          <w:rtl/>
        </w:rPr>
        <w:t>(5)</w:t>
      </w:r>
      <w:r w:rsidRPr="00C9040A">
        <w:rPr>
          <w:rtl/>
          <w:lang w:bidi="fa-IR"/>
        </w:rPr>
        <w:t xml:space="preserve"> عَلَيْهِمُ السَّبْتَ ، وَكَانَ </w:t>
      </w:r>
      <w:r w:rsidR="006C577F" w:rsidRPr="006C577F">
        <w:rPr>
          <w:rStyle w:val="libFootnotenumChar"/>
          <w:rtl/>
        </w:rPr>
        <w:t>(6)</w:t>
      </w:r>
      <w:r w:rsidRPr="005B567D">
        <w:rPr>
          <w:rStyle w:val="libFootnotenumChar"/>
          <w:rtl/>
        </w:rPr>
        <w:t xml:space="preserve"> </w:t>
      </w:r>
      <w:r w:rsidRPr="00C9040A">
        <w:rPr>
          <w:rtl/>
          <w:lang w:bidi="fa-IR"/>
        </w:rPr>
        <w:t xml:space="preserve">مَنْ أَعْظَمَ السَّبْتَ وَلَمْ يَسْتَحِلَّ أَنْ يَفْعَلَ ذلِكَ مِنْ خَشْيَةِ اللهِ </w:t>
      </w:r>
      <w:r w:rsidR="006C577F" w:rsidRPr="006C577F">
        <w:rPr>
          <w:rStyle w:val="libFootnotenumChar"/>
          <w:rtl/>
        </w:rPr>
        <w:t>(7)</w:t>
      </w:r>
      <w:r w:rsidRPr="00C9040A">
        <w:rPr>
          <w:rtl/>
          <w:lang w:bidi="fa-IR"/>
        </w:rPr>
        <w:t xml:space="preserve"> ، أَدْخَلَهُ </w:t>
      </w:r>
      <w:r w:rsidR="006C577F" w:rsidRPr="006C577F">
        <w:rPr>
          <w:rStyle w:val="libFootnotenumChar"/>
          <w:rtl/>
        </w:rPr>
        <w:t>(8)</w:t>
      </w:r>
      <w:r w:rsidRPr="00C9040A">
        <w:rPr>
          <w:rtl/>
          <w:lang w:bidi="fa-IR"/>
        </w:rPr>
        <w:t xml:space="preserve"> اللهُ </w:t>
      </w:r>
      <w:r w:rsidR="006C577F" w:rsidRPr="006C577F">
        <w:rPr>
          <w:rStyle w:val="libFootnotenumChar"/>
          <w:rtl/>
        </w:rPr>
        <w:t>(9)</w:t>
      </w:r>
      <w:r w:rsidRPr="00C9040A">
        <w:rPr>
          <w:rtl/>
          <w:lang w:bidi="fa-IR"/>
        </w:rPr>
        <w:t xml:space="preserve"> الْجَنَّةَ ، وَمَنِ اسْتَخَفَّ بِحَقِّهِ ، وَاسْتَحَلَّ مَا حَرَّمَ اللهُ عَلَيْهِ مِنَ الْعَمَلِ </w:t>
      </w:r>
      <w:r w:rsidR="006C577F" w:rsidRPr="006C577F">
        <w:rPr>
          <w:rStyle w:val="libFootnotenumChar"/>
          <w:rtl/>
        </w:rPr>
        <w:t>(10)</w:t>
      </w:r>
      <w:r w:rsidRPr="00C9040A">
        <w:rPr>
          <w:rtl/>
          <w:lang w:bidi="fa-IR"/>
        </w:rPr>
        <w:t xml:space="preserve"> الَّذِي نَهَاهُ </w:t>
      </w:r>
      <w:r w:rsidR="006C577F" w:rsidRPr="006C577F">
        <w:rPr>
          <w:rStyle w:val="libFootnotenumChar"/>
          <w:rtl/>
        </w:rPr>
        <w:t>(11)</w:t>
      </w:r>
      <w:r w:rsidRPr="00C9040A">
        <w:rPr>
          <w:rtl/>
          <w:lang w:bidi="fa-IR"/>
        </w:rPr>
        <w:t xml:space="preserve"> اللهُ عَنْهُ فِيهِ </w:t>
      </w:r>
      <w:r w:rsidR="006C577F" w:rsidRPr="006C577F">
        <w:rPr>
          <w:rStyle w:val="libFootnotenumChar"/>
          <w:rtl/>
        </w:rPr>
        <w:t>(12)</w:t>
      </w:r>
      <w:r w:rsidRPr="00C9040A">
        <w:rPr>
          <w:rtl/>
          <w:lang w:bidi="fa-IR"/>
        </w:rPr>
        <w:t xml:space="preserve"> ، أَدْخَلَهُ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النَّارَ ، وَذلِكَ حَيْثُ اسْتَحَلُّوا </w:t>
      </w:r>
      <w:r w:rsidRPr="005B567D">
        <w:rPr>
          <w:rStyle w:val="libFootnotenumChar"/>
          <w:rtl/>
        </w:rPr>
        <w:t>(13)</w:t>
      </w:r>
      <w:r w:rsidRPr="00C9040A">
        <w:rPr>
          <w:rtl/>
          <w:lang w:bidi="fa-IR"/>
        </w:rPr>
        <w:t xml:space="preserve"> الْحِيتَانَ ، وَاحْتَبَسُوهَا ، وَأَكَلُوهَا يَوْمَ السَّبْتِ ، غَضِبَ اللهُ عَلَيْهِمْ </w:t>
      </w:r>
      <w:r w:rsidRPr="005B567D">
        <w:rPr>
          <w:rStyle w:val="libFootnotenumChar"/>
          <w:rtl/>
        </w:rPr>
        <w:t>(14)</w:t>
      </w:r>
      <w:r w:rsidRPr="00C9040A">
        <w:rPr>
          <w:rtl/>
          <w:lang w:bidi="fa-IR"/>
        </w:rPr>
        <w:t xml:space="preserve"> مِنْ </w:t>
      </w:r>
      <w:r w:rsidRPr="005B567D">
        <w:rPr>
          <w:rStyle w:val="libFootnotenumChar"/>
          <w:rtl/>
        </w:rPr>
        <w:t>(15)</w:t>
      </w:r>
      <w:r w:rsidRPr="00C9040A">
        <w:rPr>
          <w:rtl/>
          <w:lang w:bidi="fa-IR"/>
        </w:rPr>
        <w:t xml:space="preserve"> غَيْرِ أَنْ يَكُونُوا </w:t>
      </w:r>
      <w:r w:rsidRPr="005B567D">
        <w:rPr>
          <w:rStyle w:val="libFootnotenumChar"/>
          <w:rtl/>
        </w:rPr>
        <w:t>(16)</w:t>
      </w:r>
      <w:r w:rsidRPr="00C9040A">
        <w:rPr>
          <w:rtl/>
          <w:lang w:bidi="fa-IR"/>
        </w:rPr>
        <w:t xml:space="preserve"> أَشْرَكُوا بِالرَّحْمنِ ، وَلَا شَكُّوا </w:t>
      </w:r>
      <w:r w:rsidRPr="005B567D">
        <w:rPr>
          <w:rStyle w:val="libFootnotenumChar"/>
          <w:rtl/>
        </w:rPr>
        <w:t>(17)</w:t>
      </w:r>
      <w:r w:rsidRPr="00C9040A">
        <w:rPr>
          <w:rtl/>
          <w:lang w:bidi="fa-IR"/>
        </w:rPr>
        <w:t xml:space="preserve"> فِي </w:t>
      </w:r>
      <w:r w:rsidRPr="005B567D">
        <w:rPr>
          <w:rStyle w:val="libFootnotenumChar"/>
          <w:rtl/>
        </w:rPr>
        <w:t>(18)</w:t>
      </w:r>
      <w:r w:rsidRPr="00C9040A">
        <w:rPr>
          <w:rtl/>
          <w:lang w:bidi="fa-IR"/>
        </w:rPr>
        <w:t xml:space="preserve"> شَيْ‌ءٍ مِمَّا جَاءَ بِهِ </w:t>
      </w:r>
      <w:r w:rsidRPr="005B567D">
        <w:rPr>
          <w:rStyle w:val="libFootnotenumChar"/>
          <w:rtl/>
        </w:rPr>
        <w:t>(19)</w:t>
      </w:r>
      <w:r w:rsidRPr="00C9040A">
        <w:rPr>
          <w:rtl/>
          <w:lang w:bidi="fa-IR"/>
        </w:rPr>
        <w:t xml:space="preserve"> مُوسى </w:t>
      </w:r>
      <w:r w:rsidRPr="0003660B">
        <w:rPr>
          <w:rStyle w:val="libAlaemChar"/>
          <w:rtl/>
        </w:rPr>
        <w:t>عليه‌السلام</w:t>
      </w:r>
      <w:r w:rsidRPr="00C9040A">
        <w:rPr>
          <w:rtl/>
          <w:lang w:bidi="fa-IR"/>
        </w:rPr>
        <w:t xml:space="preserve"> ، قَالَ اللهُ عَزَّ وَجَلَّ : </w:t>
      </w:r>
      <w:r w:rsidRPr="0003660B">
        <w:rPr>
          <w:rStyle w:val="libAlaemChar"/>
          <w:rtl/>
        </w:rPr>
        <w:t>(</w:t>
      </w:r>
      <w:r w:rsidRPr="006A2246">
        <w:rPr>
          <w:rStyle w:val="libAieChar"/>
          <w:rtl/>
        </w:rPr>
        <w:t xml:space="preserve"> وَلَقَدْ عَلِمْتُمُ الَّذِينَ اعْتَدَوْا مِنْكُمْ فِي السَّبْتِ فَقُلْنا لَهُمْ كُونُوا قِرَدَةً خاسِئِينَ </w:t>
      </w:r>
      <w:r w:rsidRPr="0003660B">
        <w:rPr>
          <w:rStyle w:val="libAlaemChar"/>
          <w:rtl/>
        </w:rPr>
        <w:t>)</w:t>
      </w:r>
      <w:r w:rsidRPr="00C9040A">
        <w:rPr>
          <w:rtl/>
          <w:lang w:bidi="fa-IR"/>
        </w:rPr>
        <w:t xml:space="preserve"> </w:t>
      </w:r>
      <w:r w:rsidRPr="005B567D">
        <w:rPr>
          <w:rStyle w:val="libFootnotenumChar"/>
          <w:rtl/>
        </w:rPr>
        <w:t>(20)</w:t>
      </w:r>
      <w:r w:rsidR="006D0111" w:rsidRPr="006D0111">
        <w:rPr>
          <w:rStyle w:val="libNormalChar"/>
          <w:rFonts w:hint="cs"/>
          <w:rtl/>
        </w:rPr>
        <w:t>.</w:t>
      </w:r>
    </w:p>
    <w:p w:rsidR="008A74EB" w:rsidRPr="00C9040A" w:rsidRDefault="008A74EB" w:rsidP="008A74EB">
      <w:pPr>
        <w:pStyle w:val="libNormal"/>
        <w:rPr>
          <w:rtl/>
          <w:lang w:bidi="fa-IR"/>
        </w:rPr>
      </w:pPr>
      <w:r w:rsidRPr="00C9040A">
        <w:rPr>
          <w:rtl/>
          <w:lang w:bidi="fa-IR"/>
        </w:rPr>
        <w:t xml:space="preserve">ثُمَّ بَعَثَ اللهُ عِيسى </w:t>
      </w:r>
      <w:r w:rsidRPr="0003660B">
        <w:rPr>
          <w:rStyle w:val="libAlaemChar"/>
          <w:rtl/>
        </w:rPr>
        <w:t>عليه‌السلام</w:t>
      </w:r>
      <w:r w:rsidRPr="00C9040A">
        <w:rPr>
          <w:rtl/>
          <w:lang w:bidi="fa-IR"/>
        </w:rPr>
        <w:t xml:space="preserve"> بِشَهَادَةِ أَنْ لَا</w:t>
      </w:r>
      <w:r>
        <w:rPr>
          <w:rFonts w:hint="cs"/>
          <w:rtl/>
          <w:lang w:bidi="fa-IR"/>
        </w:rPr>
        <w:t xml:space="preserve"> </w:t>
      </w:r>
      <w:r w:rsidR="003C55A2">
        <w:rPr>
          <w:rtl/>
          <w:lang w:bidi="fa-IR"/>
        </w:rPr>
        <w:t>إِلهَ إِل</w:t>
      </w:r>
      <w:r w:rsidR="003C55A2">
        <w:rPr>
          <w:rFonts w:hint="cs"/>
          <w:rtl/>
          <w:lang w:bidi="fa-IR"/>
        </w:rPr>
        <w:t>َّ</w:t>
      </w:r>
      <w:r w:rsidR="003C55A2">
        <w:rPr>
          <w:rtl/>
          <w:lang w:bidi="fa-IR"/>
        </w:rPr>
        <w:t>ا</w:t>
      </w:r>
      <w:r w:rsidRPr="00C9040A">
        <w:rPr>
          <w:rtl/>
          <w:lang w:bidi="fa-IR"/>
        </w:rPr>
        <w:t xml:space="preserve"> اللهُ ، وَالْإِقْرَارِ بِمَا جَاءَ بِهِ </w:t>
      </w:r>
      <w:r w:rsidRPr="005B567D">
        <w:rPr>
          <w:rStyle w:val="libFootnotenumChar"/>
          <w:rtl/>
        </w:rPr>
        <w:t>(21)</w:t>
      </w:r>
      <w:r w:rsidRPr="00C9040A">
        <w:rPr>
          <w:rtl/>
          <w:lang w:bidi="fa-IR"/>
        </w:rPr>
        <w:t xml:space="preserve"> مِنْ عِنْدِ‌</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 ف » : « والشرع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النساء </w:t>
      </w:r>
      <w:r w:rsidR="003C55A2">
        <w:rPr>
          <w:rtl/>
        </w:rPr>
        <w:t>(4)</w:t>
      </w:r>
      <w:r w:rsidR="008A74EB" w:rsidRPr="00C9040A">
        <w:rPr>
          <w:rtl/>
        </w:rPr>
        <w:t xml:space="preserve"> : 163.</w:t>
      </w:r>
    </w:p>
    <w:p w:rsidR="008A74EB" w:rsidRPr="00C9040A" w:rsidRDefault="006C577F" w:rsidP="004A4E41">
      <w:pPr>
        <w:pStyle w:val="libFootnote0"/>
        <w:rPr>
          <w:rtl/>
          <w:lang w:bidi="fa-IR"/>
        </w:rPr>
      </w:pPr>
      <w:r>
        <w:rPr>
          <w:rtl/>
        </w:rPr>
        <w:t>(3).</w:t>
      </w:r>
      <w:r w:rsidR="008A74EB" w:rsidRPr="00C9040A">
        <w:rPr>
          <w:rtl/>
        </w:rPr>
        <w:t xml:space="preserve"> في البحار ، ج 14 </w:t>
      </w:r>
      <w:r w:rsidR="008A74EB">
        <w:rPr>
          <w:rtl/>
        </w:rPr>
        <w:t xml:space="preserve">: </w:t>
      </w:r>
      <w:r w:rsidR="0084262C">
        <w:rPr>
          <w:rtl/>
        </w:rPr>
        <w:t>-</w:t>
      </w:r>
      <w:r w:rsidR="008A74EB" w:rsidRPr="00C9040A">
        <w:rPr>
          <w:rtl/>
        </w:rPr>
        <w:t xml:space="preserve"> « وقال الله لمحمّد</w:t>
      </w:r>
      <w:r w:rsidR="008A74EB">
        <w:rPr>
          <w:rtl/>
        </w:rPr>
        <w:t xml:space="preserve"> </w:t>
      </w:r>
      <w:r w:rsidR="0084262C">
        <w:rPr>
          <w:rtl/>
        </w:rPr>
        <w:t>-</w:t>
      </w:r>
      <w:r w:rsidR="008A74EB">
        <w:rPr>
          <w:rtl/>
        </w:rPr>
        <w:t xml:space="preserve"> </w:t>
      </w:r>
      <w:r w:rsidR="008A74EB" w:rsidRPr="00C9040A">
        <w:rPr>
          <w:rtl/>
        </w:rPr>
        <w:t>إلى</w:t>
      </w:r>
      <w:r w:rsidR="008A74EB">
        <w:rPr>
          <w:rtl/>
        </w:rPr>
        <w:t xml:space="preserve"> </w:t>
      </w:r>
      <w:r w:rsidR="0084262C">
        <w:rPr>
          <w:rtl/>
        </w:rPr>
        <w:t>-</w:t>
      </w:r>
      <w:r w:rsidR="008A74EB">
        <w:rPr>
          <w:rtl/>
        </w:rPr>
        <w:t xml:space="preserve"> </w:t>
      </w:r>
      <w:r w:rsidR="008A74EB" w:rsidRPr="00C9040A">
        <w:rPr>
          <w:rtl/>
        </w:rPr>
        <w:t>بالسبيل والسنّة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هكذا في النسخ التي قوبلت والوافي والبحار ، ج 14 </w:t>
      </w:r>
      <w:r w:rsidR="008A74EB">
        <w:rPr>
          <w:rtl/>
        </w:rPr>
        <w:t>و 6</w:t>
      </w:r>
      <w:r w:rsidR="008A74EB" w:rsidRPr="00C9040A">
        <w:rPr>
          <w:rtl/>
        </w:rPr>
        <w:t>9. وفي المطبوع : « السنّة والسبيل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هكذا في النسخ التي قوبلت والوافي ومرآة العقول والبحار ، ج 14 </w:t>
      </w:r>
      <w:r w:rsidR="008A74EB">
        <w:rPr>
          <w:rtl/>
        </w:rPr>
        <w:t>و 6</w:t>
      </w:r>
      <w:r w:rsidR="008A74EB" w:rsidRPr="00C9040A">
        <w:rPr>
          <w:rtl/>
        </w:rPr>
        <w:t>9. وفي المطبوع : + « الله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ز ، ض ، ف ، بر ، بس ، بف » : « فكان »</w:t>
      </w:r>
      <w:r w:rsidR="008A74EB">
        <w:rPr>
          <w:rtl/>
        </w:rPr>
        <w:t>.</w:t>
      </w:r>
    </w:p>
    <w:p w:rsidR="008A74EB" w:rsidRPr="004A4E41" w:rsidRDefault="006C577F" w:rsidP="004A4E41">
      <w:pPr>
        <w:pStyle w:val="libFootnote0"/>
        <w:rPr>
          <w:rStyle w:val="libFootnote0Char"/>
          <w:rtl/>
        </w:rPr>
      </w:pPr>
      <w:r>
        <w:rPr>
          <w:rtl/>
        </w:rPr>
        <w:t>(7).</w:t>
      </w:r>
      <w:r w:rsidR="008A74EB" w:rsidRPr="00C9040A">
        <w:rPr>
          <w:rtl/>
        </w:rPr>
        <w:t xml:space="preserve"> في البحار ، ج 14 : + « من قوم ثمود سبقت الحيتان إليهم يوم السبت »</w:t>
      </w:r>
      <w:r w:rsidR="008A74EB">
        <w:rPr>
          <w:rtl/>
        </w:rPr>
        <w:t>.</w:t>
      </w:r>
    </w:p>
    <w:tbl>
      <w:tblPr>
        <w:tblStyle w:val="TableGrid"/>
        <w:bidiVisual/>
        <w:tblW w:w="0" w:type="auto"/>
        <w:tblLook w:val="04A0" w:firstRow="1" w:lastRow="0" w:firstColumn="1" w:lastColumn="0" w:noHBand="0" w:noVBand="1"/>
      </w:tblPr>
      <w:tblGrid>
        <w:gridCol w:w="4006"/>
        <w:gridCol w:w="4006"/>
      </w:tblGrid>
      <w:tr w:rsidR="003C55A2" w:rsidTr="003C55A2">
        <w:tc>
          <w:tcPr>
            <w:tcW w:w="4006" w:type="dxa"/>
          </w:tcPr>
          <w:p w:rsidR="003C55A2" w:rsidRDefault="003C55A2" w:rsidP="004A4E41">
            <w:pPr>
              <w:pStyle w:val="libFootnote0"/>
              <w:rPr>
                <w:rtl/>
              </w:rPr>
            </w:pPr>
            <w:r>
              <w:rPr>
                <w:rtl/>
              </w:rPr>
              <w:t>(8).</w:t>
            </w:r>
            <w:r w:rsidRPr="00C9040A">
              <w:rPr>
                <w:rtl/>
              </w:rPr>
              <w:t xml:space="preserve"> في البحار ، ج 14 : « أدخلها »</w:t>
            </w:r>
            <w:r>
              <w:rPr>
                <w:rtl/>
              </w:rPr>
              <w:t>.</w:t>
            </w:r>
          </w:p>
        </w:tc>
        <w:tc>
          <w:tcPr>
            <w:tcW w:w="4006" w:type="dxa"/>
          </w:tcPr>
          <w:p w:rsidR="003C55A2" w:rsidRDefault="003C55A2" w:rsidP="004A4E41">
            <w:pPr>
              <w:pStyle w:val="libFootnote0"/>
              <w:rPr>
                <w:rtl/>
              </w:rPr>
            </w:pPr>
            <w:r>
              <w:rPr>
                <w:rtl/>
              </w:rPr>
              <w:t>(9).</w:t>
            </w:r>
            <w:r w:rsidRPr="00C9040A">
              <w:rPr>
                <w:rtl/>
              </w:rPr>
              <w:t xml:space="preserve"> في « د ، ز ، ض ، بس » </w:t>
            </w:r>
            <w:r>
              <w:rPr>
                <w:rtl/>
              </w:rPr>
              <w:t>: -</w:t>
            </w:r>
            <w:r w:rsidRPr="00C9040A">
              <w:rPr>
                <w:rtl/>
              </w:rPr>
              <w:t xml:space="preserve"> « الله »</w:t>
            </w:r>
            <w:r>
              <w:rPr>
                <w:rtl/>
              </w:rPr>
              <w:t>.</w:t>
            </w:r>
          </w:p>
        </w:tc>
      </w:tr>
    </w:tbl>
    <w:p w:rsidR="008A74EB" w:rsidRPr="004A4E41" w:rsidRDefault="006C577F" w:rsidP="004A4E41">
      <w:pPr>
        <w:pStyle w:val="libFootnote0"/>
        <w:rPr>
          <w:rStyle w:val="libFootnote0Char"/>
          <w:rtl/>
        </w:rPr>
      </w:pPr>
      <w:r>
        <w:rPr>
          <w:rtl/>
        </w:rPr>
        <w:t>(10).</w:t>
      </w:r>
      <w:r w:rsidR="008A74EB" w:rsidRPr="00C9040A">
        <w:rPr>
          <w:rtl/>
        </w:rPr>
        <w:t xml:space="preserve"> هكذا في النسخ التي قوبلت وتقتضيه القواعد. وفي المطبوع : « عمل »</w:t>
      </w:r>
      <w:r w:rsidR="008A74EB">
        <w:rPr>
          <w:rtl/>
        </w:rPr>
        <w:t>.</w:t>
      </w:r>
    </w:p>
    <w:tbl>
      <w:tblPr>
        <w:tblStyle w:val="TableGrid"/>
        <w:bidiVisual/>
        <w:tblW w:w="0" w:type="auto"/>
        <w:tblLook w:val="04A0" w:firstRow="1" w:lastRow="0" w:firstColumn="1" w:lastColumn="0" w:noHBand="0" w:noVBand="1"/>
      </w:tblPr>
      <w:tblGrid>
        <w:gridCol w:w="4006"/>
        <w:gridCol w:w="4006"/>
      </w:tblGrid>
      <w:tr w:rsidR="003C55A2" w:rsidTr="003C55A2">
        <w:tc>
          <w:tcPr>
            <w:tcW w:w="4006" w:type="dxa"/>
          </w:tcPr>
          <w:p w:rsidR="003C55A2" w:rsidRDefault="003C55A2" w:rsidP="004A4E41">
            <w:pPr>
              <w:pStyle w:val="libFootnote0"/>
              <w:rPr>
                <w:rtl/>
                <w:lang w:bidi="fa-IR"/>
              </w:rPr>
            </w:pPr>
            <w:r>
              <w:rPr>
                <w:rtl/>
              </w:rPr>
              <w:t>(11).</w:t>
            </w:r>
            <w:r w:rsidRPr="00C9040A">
              <w:rPr>
                <w:rtl/>
              </w:rPr>
              <w:t xml:space="preserve"> في البحار ، ج 14 : « نهى »</w:t>
            </w:r>
            <w:r>
              <w:rPr>
                <w:rtl/>
              </w:rPr>
              <w:t>.</w:t>
            </w:r>
          </w:p>
        </w:tc>
        <w:tc>
          <w:tcPr>
            <w:tcW w:w="4006" w:type="dxa"/>
          </w:tcPr>
          <w:p w:rsidR="003C55A2" w:rsidRDefault="003C55A2" w:rsidP="004A4E41">
            <w:pPr>
              <w:pStyle w:val="libFootnote0"/>
              <w:rPr>
                <w:rtl/>
                <w:lang w:bidi="fa-IR"/>
              </w:rPr>
            </w:pPr>
            <w:r>
              <w:rPr>
                <w:rtl/>
              </w:rPr>
              <w:t>(12).</w:t>
            </w:r>
            <w:r w:rsidRPr="00C9040A">
              <w:rPr>
                <w:rtl/>
              </w:rPr>
              <w:t xml:space="preserve"> في « بر » </w:t>
            </w:r>
            <w:r>
              <w:rPr>
                <w:rtl/>
              </w:rPr>
              <w:t>: -</w:t>
            </w:r>
            <w:r w:rsidRPr="00C9040A">
              <w:rPr>
                <w:rtl/>
              </w:rPr>
              <w:t xml:space="preserve"> « فيه »</w:t>
            </w:r>
            <w:r>
              <w:rPr>
                <w:rtl/>
              </w:rPr>
              <w:t>.</w:t>
            </w:r>
          </w:p>
        </w:tc>
      </w:tr>
      <w:tr w:rsidR="003C55A2" w:rsidTr="003C55A2">
        <w:tc>
          <w:tcPr>
            <w:tcW w:w="4006" w:type="dxa"/>
          </w:tcPr>
          <w:p w:rsidR="003C55A2" w:rsidRDefault="003C55A2" w:rsidP="004A4E41">
            <w:pPr>
              <w:pStyle w:val="libFootnote0"/>
              <w:rPr>
                <w:rtl/>
                <w:lang w:bidi="fa-IR"/>
              </w:rPr>
            </w:pPr>
            <w:r>
              <w:rPr>
                <w:rtl/>
              </w:rPr>
              <w:t>(13)</w:t>
            </w:r>
            <w:r w:rsidRPr="00C9040A">
              <w:rPr>
                <w:rtl/>
              </w:rPr>
              <w:t xml:space="preserve"> في « بر ، بف » : « استحلّ »</w:t>
            </w:r>
            <w:r>
              <w:rPr>
                <w:rtl/>
              </w:rPr>
              <w:t>.</w:t>
            </w:r>
          </w:p>
        </w:tc>
        <w:tc>
          <w:tcPr>
            <w:tcW w:w="4006" w:type="dxa"/>
          </w:tcPr>
          <w:p w:rsidR="003C55A2" w:rsidRDefault="003C55A2" w:rsidP="004A4E41">
            <w:pPr>
              <w:pStyle w:val="libFootnote0"/>
              <w:rPr>
                <w:rtl/>
                <w:lang w:bidi="fa-IR"/>
              </w:rPr>
            </w:pPr>
            <w:r>
              <w:rPr>
                <w:rtl/>
              </w:rPr>
              <w:t>(14)</w:t>
            </w:r>
            <w:r w:rsidRPr="00C9040A">
              <w:rPr>
                <w:rtl/>
              </w:rPr>
              <w:t xml:space="preserve"> في « ض » </w:t>
            </w:r>
            <w:r>
              <w:rPr>
                <w:rtl/>
              </w:rPr>
              <w:t>: -</w:t>
            </w:r>
            <w:r w:rsidRPr="00C9040A">
              <w:rPr>
                <w:rtl/>
              </w:rPr>
              <w:t xml:space="preserve"> « عليهم »</w:t>
            </w:r>
            <w:r>
              <w:rPr>
                <w:rtl/>
              </w:rPr>
              <w:t>.</w:t>
            </w:r>
          </w:p>
        </w:tc>
      </w:tr>
      <w:tr w:rsidR="003C55A2" w:rsidTr="003C55A2">
        <w:tc>
          <w:tcPr>
            <w:tcW w:w="4006" w:type="dxa"/>
          </w:tcPr>
          <w:p w:rsidR="003C55A2" w:rsidRDefault="003C55A2" w:rsidP="004A4E41">
            <w:pPr>
              <w:pStyle w:val="libFootnote0"/>
              <w:rPr>
                <w:rtl/>
                <w:lang w:bidi="fa-IR"/>
              </w:rPr>
            </w:pPr>
            <w:r>
              <w:rPr>
                <w:rtl/>
              </w:rPr>
              <w:t>(15)</w:t>
            </w:r>
            <w:r w:rsidRPr="00C9040A">
              <w:rPr>
                <w:rtl/>
              </w:rPr>
              <w:t xml:space="preserve"> في « ض ، بس » : « في »</w:t>
            </w:r>
            <w:r>
              <w:rPr>
                <w:rtl/>
              </w:rPr>
              <w:t>.</w:t>
            </w:r>
          </w:p>
        </w:tc>
        <w:tc>
          <w:tcPr>
            <w:tcW w:w="4006" w:type="dxa"/>
          </w:tcPr>
          <w:p w:rsidR="003C55A2" w:rsidRDefault="003C55A2" w:rsidP="004A4E41">
            <w:pPr>
              <w:pStyle w:val="libFootnote0"/>
              <w:rPr>
                <w:rtl/>
                <w:lang w:bidi="fa-IR"/>
              </w:rPr>
            </w:pPr>
            <w:r>
              <w:rPr>
                <w:rtl/>
              </w:rPr>
              <w:t>(16)</w:t>
            </w:r>
            <w:r w:rsidRPr="00C9040A">
              <w:rPr>
                <w:rtl/>
              </w:rPr>
              <w:t xml:space="preserve"> في البحار ، ج 14 : « أن يكون »</w:t>
            </w:r>
            <w:r>
              <w:rPr>
                <w:rtl/>
              </w:rPr>
              <w:t>.</w:t>
            </w:r>
          </w:p>
        </w:tc>
      </w:tr>
      <w:tr w:rsidR="003C55A2" w:rsidTr="003C55A2">
        <w:tc>
          <w:tcPr>
            <w:tcW w:w="4006" w:type="dxa"/>
          </w:tcPr>
          <w:p w:rsidR="003C55A2" w:rsidRDefault="003C55A2" w:rsidP="004A4E41">
            <w:pPr>
              <w:pStyle w:val="libFootnote0"/>
              <w:rPr>
                <w:rtl/>
                <w:lang w:bidi="fa-IR"/>
              </w:rPr>
            </w:pPr>
            <w:r>
              <w:rPr>
                <w:rtl/>
              </w:rPr>
              <w:t>(17)</w:t>
            </w:r>
            <w:r w:rsidRPr="00C9040A">
              <w:rPr>
                <w:rtl/>
              </w:rPr>
              <w:t xml:space="preserve"> في « ص » : « ولا يشكّوا »</w:t>
            </w:r>
            <w:r>
              <w:rPr>
                <w:rtl/>
              </w:rPr>
              <w:t>.</w:t>
            </w:r>
          </w:p>
        </w:tc>
        <w:tc>
          <w:tcPr>
            <w:tcW w:w="4006" w:type="dxa"/>
          </w:tcPr>
          <w:p w:rsidR="003C55A2" w:rsidRDefault="003C55A2" w:rsidP="004A4E41">
            <w:pPr>
              <w:pStyle w:val="libFootnote0"/>
              <w:rPr>
                <w:rtl/>
                <w:lang w:bidi="fa-IR"/>
              </w:rPr>
            </w:pPr>
            <w:r>
              <w:rPr>
                <w:rtl/>
              </w:rPr>
              <w:t>(18)</w:t>
            </w:r>
            <w:r w:rsidRPr="00C9040A">
              <w:rPr>
                <w:rtl/>
              </w:rPr>
              <w:t xml:space="preserve"> في « ض » : + « أيّ »</w:t>
            </w:r>
            <w:r>
              <w:rPr>
                <w:rtl/>
              </w:rPr>
              <w:t>.</w:t>
            </w:r>
          </w:p>
        </w:tc>
      </w:tr>
      <w:tr w:rsidR="003C55A2" w:rsidTr="003C55A2">
        <w:tc>
          <w:tcPr>
            <w:tcW w:w="4006" w:type="dxa"/>
          </w:tcPr>
          <w:p w:rsidR="003C55A2" w:rsidRDefault="003C55A2" w:rsidP="004A4E41">
            <w:pPr>
              <w:pStyle w:val="libFootnote0"/>
              <w:rPr>
                <w:rtl/>
                <w:lang w:bidi="fa-IR"/>
              </w:rPr>
            </w:pPr>
            <w:r>
              <w:rPr>
                <w:rtl/>
              </w:rPr>
              <w:t>(19)</w:t>
            </w:r>
            <w:r w:rsidRPr="00C9040A">
              <w:rPr>
                <w:rtl/>
              </w:rPr>
              <w:t xml:space="preserve"> في الوافي </w:t>
            </w:r>
            <w:r>
              <w:rPr>
                <w:rtl/>
              </w:rPr>
              <w:t>: -</w:t>
            </w:r>
            <w:r w:rsidRPr="00C9040A">
              <w:rPr>
                <w:rtl/>
              </w:rPr>
              <w:t xml:space="preserve"> « به »</w:t>
            </w:r>
            <w:r>
              <w:rPr>
                <w:rtl/>
              </w:rPr>
              <w:t>.</w:t>
            </w:r>
          </w:p>
        </w:tc>
        <w:tc>
          <w:tcPr>
            <w:tcW w:w="4006" w:type="dxa"/>
          </w:tcPr>
          <w:p w:rsidR="003C55A2" w:rsidRDefault="003C55A2" w:rsidP="004A4E41">
            <w:pPr>
              <w:pStyle w:val="libFootnote0"/>
              <w:rPr>
                <w:rtl/>
                <w:lang w:bidi="fa-IR"/>
              </w:rPr>
            </w:pPr>
            <w:r>
              <w:rPr>
                <w:rtl/>
              </w:rPr>
              <w:t>(20)</w:t>
            </w:r>
            <w:r w:rsidRPr="00C9040A">
              <w:rPr>
                <w:rtl/>
              </w:rPr>
              <w:t xml:space="preserve"> البقرة </w:t>
            </w:r>
            <w:r>
              <w:rPr>
                <w:rtl/>
              </w:rPr>
              <w:t>(2)</w:t>
            </w:r>
            <w:r w:rsidRPr="00C9040A">
              <w:rPr>
                <w:rtl/>
              </w:rPr>
              <w:t xml:space="preserve"> : 65.</w:t>
            </w:r>
          </w:p>
        </w:tc>
      </w:tr>
    </w:tbl>
    <w:p w:rsidR="008A74EB" w:rsidRPr="00C9040A" w:rsidRDefault="008A74EB" w:rsidP="004A4E41">
      <w:pPr>
        <w:pStyle w:val="libFootnote0"/>
        <w:rPr>
          <w:rtl/>
          <w:lang w:bidi="fa-IR"/>
        </w:rPr>
      </w:pPr>
      <w:r>
        <w:rPr>
          <w:rtl/>
        </w:rPr>
        <w:t>(21)</w:t>
      </w:r>
      <w:r w:rsidRPr="00C9040A">
        <w:rPr>
          <w:rtl/>
        </w:rPr>
        <w:t xml:space="preserve"> في « ب ، ض ، بس ، بف » </w:t>
      </w:r>
      <w:r>
        <w:rPr>
          <w:rtl/>
        </w:rPr>
        <w:t xml:space="preserve">: </w:t>
      </w:r>
      <w:r w:rsidR="0084262C">
        <w:rPr>
          <w:rtl/>
        </w:rPr>
        <w:t>-</w:t>
      </w:r>
      <w:r w:rsidRPr="00C9040A">
        <w:rPr>
          <w:rtl/>
        </w:rPr>
        <w:t xml:space="preserve"> « به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اللهِ ، وَجَعَلَ لَهُمْ شِرْعَةً وَمِنْهَاجاً ، فَهَدَمَتِ </w:t>
      </w:r>
      <w:r w:rsidR="006C577F" w:rsidRPr="006C577F">
        <w:rPr>
          <w:rStyle w:val="libFootnotenumChar"/>
          <w:rtl/>
        </w:rPr>
        <w:t>(1)</w:t>
      </w:r>
      <w:r w:rsidRPr="00853746">
        <w:rPr>
          <w:rFonts w:hint="cs"/>
          <w:rtl/>
        </w:rPr>
        <w:t xml:space="preserve"> </w:t>
      </w:r>
      <w:r w:rsidRPr="00C9040A">
        <w:rPr>
          <w:rtl/>
          <w:lang w:bidi="fa-IR"/>
        </w:rPr>
        <w:t xml:space="preserve">السَّبْتَ الَّذِي أُمِرُوا بِهِ أَنْ يُعْظِمُوهُ قَبْلَ ذلِكَ ، وَعَامَّةَ مَا كَانُوا عَلَيْهِ مِنَ السَّبِيلِ وَالسُّنَّةِ الَّتِي جَاءَ بِهَا </w:t>
      </w:r>
      <w:r w:rsidR="006C577F" w:rsidRPr="006C577F">
        <w:rPr>
          <w:rStyle w:val="libFootnotenumChar"/>
          <w:rtl/>
        </w:rPr>
        <w:t>(2)</w:t>
      </w:r>
      <w:r w:rsidRPr="00C9040A">
        <w:rPr>
          <w:rtl/>
          <w:lang w:bidi="fa-IR"/>
        </w:rPr>
        <w:t xml:space="preserve"> مُوسى ، فَمَنْ لَمْ يَتَّبِعْ سَبِيلَ عِيسى ، أَدْخَلَهُ اللهُ النَّارَ وَإِنْ كَانَ </w:t>
      </w:r>
      <w:r w:rsidR="006C577F" w:rsidRPr="006C577F">
        <w:rPr>
          <w:rStyle w:val="libFootnotenumChar"/>
          <w:rtl/>
        </w:rPr>
        <w:t>(3)</w:t>
      </w:r>
      <w:r w:rsidRPr="00C9040A">
        <w:rPr>
          <w:rtl/>
          <w:lang w:bidi="fa-IR"/>
        </w:rPr>
        <w:t xml:space="preserve"> الَّذِي جَاءَ بِهِ النَّبِيُّونَ جَمِيعاً أَنْ لَايُشْرِكُوا </w:t>
      </w:r>
      <w:r w:rsidR="006C577F" w:rsidRPr="006C577F">
        <w:rPr>
          <w:rStyle w:val="libFootnotenumChar"/>
          <w:rtl/>
        </w:rPr>
        <w:t>(4)</w:t>
      </w:r>
      <w:r w:rsidRPr="00C9040A">
        <w:rPr>
          <w:rtl/>
          <w:lang w:bidi="fa-IR"/>
        </w:rPr>
        <w:t xml:space="preserve"> بِاللهِ شَيْئاً.</w:t>
      </w:r>
    </w:p>
    <w:p w:rsidR="008A74EB" w:rsidRPr="00C9040A" w:rsidRDefault="008A74EB" w:rsidP="008B7A50">
      <w:pPr>
        <w:pStyle w:val="libNormal"/>
        <w:rPr>
          <w:rtl/>
          <w:lang w:bidi="fa-IR"/>
        </w:rPr>
      </w:pPr>
      <w:r w:rsidRPr="00C9040A">
        <w:rPr>
          <w:rtl/>
          <w:lang w:bidi="fa-IR"/>
        </w:rPr>
        <w:t xml:space="preserve">ثُمَّ بَعَثَ اللهُ مُحَمَّداً </w:t>
      </w:r>
      <w:r w:rsidR="004A4E41" w:rsidRPr="004A4E41">
        <w:rPr>
          <w:rStyle w:val="libAlaemChar"/>
          <w:rFonts w:eastAsiaTheme="minorHAnsi"/>
          <w:rtl/>
        </w:rPr>
        <w:t>صلى‌الله‌عليه‌وآله</w:t>
      </w:r>
      <w:r w:rsidR="008B7A50" w:rsidRPr="00C9040A">
        <w:rPr>
          <w:rtl/>
          <w:lang w:bidi="fa-IR"/>
        </w:rPr>
        <w:t xml:space="preserve"> </w:t>
      </w:r>
      <w:r w:rsidR="0084262C">
        <w:rPr>
          <w:rtl/>
          <w:lang w:bidi="fa-IR"/>
        </w:rPr>
        <w:t>-</w:t>
      </w:r>
      <w:r>
        <w:rPr>
          <w:rtl/>
          <w:lang w:bidi="fa-IR"/>
        </w:rPr>
        <w:t xml:space="preserve"> </w:t>
      </w:r>
      <w:r w:rsidRPr="00C9040A">
        <w:rPr>
          <w:rtl/>
          <w:lang w:bidi="fa-IR"/>
        </w:rPr>
        <w:t>وَهُوَ بِمَكَّةَ</w:t>
      </w:r>
      <w:r>
        <w:rPr>
          <w:rtl/>
          <w:lang w:bidi="fa-IR"/>
        </w:rPr>
        <w:t xml:space="preserve"> </w:t>
      </w:r>
      <w:r w:rsidR="0084262C">
        <w:rPr>
          <w:rtl/>
          <w:lang w:bidi="fa-IR"/>
        </w:rPr>
        <w:t>-</w:t>
      </w:r>
      <w:r>
        <w:rPr>
          <w:rtl/>
          <w:lang w:bidi="fa-IR"/>
        </w:rPr>
        <w:t xml:space="preserve"> </w:t>
      </w:r>
      <w:r w:rsidRPr="00C9040A">
        <w:rPr>
          <w:rtl/>
          <w:lang w:bidi="fa-IR"/>
        </w:rPr>
        <w:t xml:space="preserve">عَشْرَ سِنِينَ </w:t>
      </w:r>
      <w:r w:rsidR="006C577F" w:rsidRPr="006C577F">
        <w:rPr>
          <w:rStyle w:val="libFootnotenumChar"/>
          <w:rtl/>
        </w:rPr>
        <w:t>(5)</w:t>
      </w:r>
      <w:r w:rsidRPr="00C9040A">
        <w:rPr>
          <w:rtl/>
          <w:lang w:bidi="fa-IR"/>
        </w:rPr>
        <w:t xml:space="preserve"> ، فَلَمْ يَمُتْ بِمَكَّةَ فِي تِلْكَ الْعَشْرِ سِنِينَ أَحَدٌ يَشْهَدُ أَنْ لَا</w:t>
      </w:r>
      <w:r>
        <w:rPr>
          <w:rFonts w:hint="cs"/>
          <w:rtl/>
          <w:lang w:bidi="fa-IR"/>
        </w:rPr>
        <w:t xml:space="preserve"> </w:t>
      </w:r>
      <w:r w:rsidR="00F23311">
        <w:rPr>
          <w:rtl/>
          <w:lang w:bidi="fa-IR"/>
        </w:rPr>
        <w:t>إِلهَ إِل</w:t>
      </w:r>
      <w:r w:rsidR="00F23311">
        <w:rPr>
          <w:rFonts w:hint="cs"/>
          <w:rtl/>
          <w:lang w:bidi="fa-IR"/>
        </w:rPr>
        <w:t>َّ</w:t>
      </w:r>
      <w:r w:rsidR="00F23311">
        <w:rPr>
          <w:rtl/>
          <w:lang w:bidi="fa-IR"/>
        </w:rPr>
        <w:t>ا</w:t>
      </w:r>
      <w:r w:rsidRPr="00C9040A">
        <w:rPr>
          <w:rtl/>
          <w:lang w:bidi="fa-IR"/>
        </w:rPr>
        <w:t xml:space="preserve"> اللهُ وَأَنَّ مُحَمَّداً </w:t>
      </w:r>
      <w:r w:rsidR="004A4E41" w:rsidRPr="004A4E41">
        <w:rPr>
          <w:rStyle w:val="libAlaemChar"/>
          <w:rFonts w:eastAsiaTheme="minorHAnsi"/>
          <w:rtl/>
        </w:rPr>
        <w:t>صلى‌الله‌عليه‌وآله</w:t>
      </w:r>
      <w:r w:rsidR="008B7A50" w:rsidRPr="00C9040A">
        <w:rPr>
          <w:rtl/>
          <w:lang w:bidi="fa-IR"/>
        </w:rPr>
        <w:t xml:space="preserve"> </w:t>
      </w:r>
      <w:r w:rsidR="00F23311">
        <w:rPr>
          <w:rtl/>
          <w:lang w:bidi="fa-IR"/>
        </w:rPr>
        <w:t>رَسُولُ اللهِ إِل</w:t>
      </w:r>
      <w:r w:rsidR="00F23311">
        <w:rPr>
          <w:rFonts w:hint="cs"/>
          <w:rtl/>
          <w:lang w:bidi="fa-IR"/>
        </w:rPr>
        <w:t>َّ</w:t>
      </w:r>
      <w:r w:rsidR="00F23311">
        <w:rPr>
          <w:rtl/>
          <w:lang w:bidi="fa-IR"/>
        </w:rPr>
        <w:t>ا</w:t>
      </w:r>
      <w:r w:rsidRPr="00C9040A">
        <w:rPr>
          <w:rtl/>
          <w:lang w:bidi="fa-IR"/>
        </w:rPr>
        <w:t xml:space="preserve"> أَدْخَلَهُ اللهُ </w:t>
      </w:r>
      <w:r w:rsidR="006C577F" w:rsidRPr="006C577F">
        <w:rPr>
          <w:rStyle w:val="libFootnotenumChar"/>
          <w:rtl/>
        </w:rPr>
        <w:t>(6)</w:t>
      </w:r>
      <w:r w:rsidR="00F23311" w:rsidRPr="00C9040A">
        <w:rPr>
          <w:rtl/>
          <w:lang w:bidi="fa-IR"/>
        </w:rPr>
        <w:t xml:space="preserve"> </w:t>
      </w:r>
      <w:r w:rsidRPr="00C9040A">
        <w:rPr>
          <w:rtl/>
          <w:lang w:bidi="fa-IR"/>
        </w:rPr>
        <w:t>الْجَنَّةَ بِإِقْرَارِهِ</w:t>
      </w:r>
      <w:r>
        <w:rPr>
          <w:rtl/>
          <w:lang w:bidi="fa-IR"/>
        </w:rPr>
        <w:t xml:space="preserve"> </w:t>
      </w:r>
      <w:r w:rsidR="0084262C">
        <w:rPr>
          <w:rtl/>
          <w:lang w:bidi="fa-IR"/>
        </w:rPr>
        <w:t>-</w:t>
      </w:r>
      <w:r>
        <w:rPr>
          <w:rtl/>
          <w:lang w:bidi="fa-IR"/>
        </w:rPr>
        <w:t xml:space="preserve"> </w:t>
      </w:r>
      <w:r w:rsidRPr="00C9040A">
        <w:rPr>
          <w:rtl/>
          <w:lang w:bidi="fa-IR"/>
        </w:rPr>
        <w:t xml:space="preserve">وَهُوَ إِيمَانُ </w:t>
      </w:r>
      <w:r w:rsidR="006C577F" w:rsidRPr="006C577F">
        <w:rPr>
          <w:rStyle w:val="libFootnotenumChar"/>
          <w:rtl/>
        </w:rPr>
        <w:t>(7)</w:t>
      </w:r>
      <w:r w:rsidRPr="00C9040A">
        <w:rPr>
          <w:rtl/>
          <w:lang w:bidi="fa-IR"/>
        </w:rPr>
        <w:t xml:space="preserve"> التَّصْدِيقِ</w:t>
      </w:r>
      <w:r>
        <w:rPr>
          <w:rtl/>
          <w:lang w:bidi="fa-IR"/>
        </w:rPr>
        <w:t xml:space="preserve"> </w:t>
      </w:r>
      <w:r w:rsidR="0084262C">
        <w:rPr>
          <w:rtl/>
          <w:lang w:bidi="fa-IR"/>
        </w:rPr>
        <w:t>-</w:t>
      </w:r>
      <w:r>
        <w:rPr>
          <w:rtl/>
          <w:lang w:bidi="fa-IR"/>
        </w:rPr>
        <w:t xml:space="preserve"> </w:t>
      </w:r>
      <w:r w:rsidRPr="00C9040A">
        <w:rPr>
          <w:rtl/>
          <w:lang w:bidi="fa-IR"/>
        </w:rPr>
        <w:t>وَلَمْ يُعَذِّبِ اللهُ أَحَداً مِمَّنْ مَاتَ</w:t>
      </w:r>
      <w:r>
        <w:rPr>
          <w:rtl/>
          <w:lang w:bidi="fa-IR"/>
        </w:rPr>
        <w:t xml:space="preserve"> </w:t>
      </w:r>
      <w:r w:rsidR="0084262C">
        <w:rPr>
          <w:rtl/>
          <w:lang w:bidi="fa-IR"/>
        </w:rPr>
        <w:t>-</w:t>
      </w:r>
      <w:r>
        <w:rPr>
          <w:rtl/>
          <w:lang w:bidi="fa-IR"/>
        </w:rPr>
        <w:t xml:space="preserve"> </w:t>
      </w:r>
      <w:r w:rsidRPr="00C9040A">
        <w:rPr>
          <w:rtl/>
          <w:lang w:bidi="fa-IR"/>
        </w:rPr>
        <w:t xml:space="preserve">وَهُوَ مُتَّبِعٌ لِمُحَمَّدٍ </w:t>
      </w:r>
      <w:r w:rsidR="004A4E41" w:rsidRPr="004A4E41">
        <w:rPr>
          <w:rStyle w:val="libAlaemChar"/>
          <w:rFonts w:eastAsiaTheme="minorHAnsi"/>
          <w:rtl/>
        </w:rPr>
        <w:t>صلى‌الله‌عليه‌وآله</w:t>
      </w:r>
      <w:r w:rsidR="008B7A50" w:rsidRPr="00C9040A">
        <w:rPr>
          <w:rtl/>
          <w:lang w:bidi="fa-IR"/>
        </w:rPr>
        <w:t xml:space="preserve"> </w:t>
      </w:r>
      <w:r w:rsidRPr="00C9040A">
        <w:rPr>
          <w:rtl/>
          <w:lang w:bidi="fa-IR"/>
        </w:rPr>
        <w:t>عَلى ذلِكَ</w:t>
      </w:r>
      <w:r>
        <w:rPr>
          <w:rtl/>
          <w:lang w:bidi="fa-IR"/>
        </w:rPr>
        <w:t xml:space="preserve"> </w:t>
      </w:r>
      <w:r w:rsidR="0084262C">
        <w:rPr>
          <w:rtl/>
          <w:lang w:bidi="fa-IR"/>
        </w:rPr>
        <w:t>-</w:t>
      </w:r>
      <w:r>
        <w:rPr>
          <w:rtl/>
          <w:lang w:bidi="fa-IR"/>
        </w:rPr>
        <w:t xml:space="preserve"> </w:t>
      </w:r>
      <w:r w:rsidR="00F23311">
        <w:rPr>
          <w:rtl/>
          <w:lang w:bidi="fa-IR"/>
        </w:rPr>
        <w:t>إِل</w:t>
      </w:r>
      <w:r w:rsidR="00F23311">
        <w:rPr>
          <w:rFonts w:hint="cs"/>
          <w:rtl/>
          <w:lang w:bidi="fa-IR"/>
        </w:rPr>
        <w:t>َّ</w:t>
      </w:r>
      <w:r w:rsidR="00F23311">
        <w:rPr>
          <w:rtl/>
          <w:lang w:bidi="fa-IR"/>
        </w:rPr>
        <w:t>ا</w:t>
      </w:r>
      <w:r w:rsidRPr="00C9040A">
        <w:rPr>
          <w:rtl/>
          <w:lang w:bidi="fa-IR"/>
        </w:rPr>
        <w:t xml:space="preserve"> مَنْ أَشْرَكَ بِالرَّحْمنِ.</w:t>
      </w:r>
    </w:p>
    <w:p w:rsidR="008A74EB" w:rsidRPr="00C9040A" w:rsidRDefault="008A74EB" w:rsidP="008A74EB">
      <w:pPr>
        <w:pStyle w:val="libNormal"/>
        <w:rPr>
          <w:rtl/>
          <w:lang w:bidi="fa-IR"/>
        </w:rPr>
      </w:pPr>
      <w:r w:rsidRPr="00C9040A">
        <w:rPr>
          <w:rtl/>
          <w:lang w:bidi="fa-IR"/>
        </w:rPr>
        <w:t>وَتَصْدِيقُ ذلِكَ أَنَّ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أَنْزَلَ عَلَيْهِ فِي سُورَةِ بَنِي إِسْرَائِيلَ بِمَكَّةَ :</w:t>
      </w:r>
      <w:r>
        <w:rPr>
          <w:rFonts w:hint="cs"/>
          <w:rtl/>
          <w:lang w:bidi="fa-IR"/>
        </w:rPr>
        <w:t xml:space="preserve"> </w:t>
      </w:r>
      <w:r w:rsidRPr="0003660B">
        <w:rPr>
          <w:rStyle w:val="libAlaemChar"/>
          <w:rtl/>
        </w:rPr>
        <w:t>(</w:t>
      </w:r>
      <w:r w:rsidRPr="006A2246">
        <w:rPr>
          <w:rStyle w:val="libAieChar"/>
          <w:rtl/>
        </w:rPr>
        <w:t xml:space="preserve"> وَقَضى رَبُّكَ أَ</w:t>
      </w:r>
      <w:r w:rsidR="00F23311">
        <w:rPr>
          <w:rStyle w:val="libAieChar"/>
          <w:rtl/>
        </w:rPr>
        <w:t>ل</w:t>
      </w:r>
      <w:r w:rsidR="00F23311">
        <w:rPr>
          <w:rStyle w:val="libAieChar"/>
          <w:rFonts w:hint="cs"/>
          <w:rtl/>
        </w:rPr>
        <w:t>ّ</w:t>
      </w:r>
      <w:r w:rsidR="00F23311">
        <w:rPr>
          <w:rStyle w:val="libAieChar"/>
          <w:rtl/>
        </w:rPr>
        <w:t>ا تَعْبُدُوا إِل</w:t>
      </w:r>
      <w:r w:rsidR="00F23311">
        <w:rPr>
          <w:rStyle w:val="libAieChar"/>
          <w:rFonts w:hint="cs"/>
          <w:rtl/>
        </w:rPr>
        <w:t>ّ</w:t>
      </w:r>
      <w:r w:rsidR="00F23311">
        <w:rPr>
          <w:rStyle w:val="libAieChar"/>
          <w:rtl/>
        </w:rPr>
        <w:t>ا</w:t>
      </w:r>
      <w:r w:rsidRPr="006A2246">
        <w:rPr>
          <w:rStyle w:val="libAieChar"/>
          <w:rtl/>
        </w:rPr>
        <w:t xml:space="preserve"> إِيّاهُ وَبِالْوالِدَيْنِ إِحْساناً </w:t>
      </w:r>
      <w:r w:rsidRPr="0003660B">
        <w:rPr>
          <w:rStyle w:val="libAlaemChar"/>
          <w:rtl/>
        </w:rPr>
        <w:t>)</w:t>
      </w:r>
      <w:r w:rsidRPr="00C9040A">
        <w:rPr>
          <w:rtl/>
          <w:lang w:bidi="fa-IR"/>
        </w:rPr>
        <w:t xml:space="preserve"> إِلى قَوْلِهِ تَعَالى : </w:t>
      </w:r>
      <w:r w:rsidRPr="0003660B">
        <w:rPr>
          <w:rStyle w:val="libAlaemChar"/>
          <w:rtl/>
        </w:rPr>
        <w:t>(</w:t>
      </w:r>
      <w:r w:rsidRPr="006A2246">
        <w:rPr>
          <w:rStyle w:val="libAieChar"/>
          <w:rtl/>
        </w:rPr>
        <w:t xml:space="preserve"> إِنَّهُ كانَ بِعِبادِهِ خَبِيراً بَصِيراً </w:t>
      </w:r>
      <w:r w:rsidRPr="0003660B">
        <w:rPr>
          <w:rStyle w:val="libAlaemChar"/>
          <w:rtl/>
        </w:rPr>
        <w:t>)</w:t>
      </w:r>
      <w:r w:rsidRPr="00C9040A">
        <w:rPr>
          <w:rtl/>
          <w:lang w:bidi="fa-IR"/>
        </w:rPr>
        <w:t xml:space="preserve"> </w:t>
      </w:r>
      <w:r w:rsidR="006C577F" w:rsidRPr="006C577F">
        <w:rPr>
          <w:rStyle w:val="libFootnotenumChar"/>
          <w:rtl/>
        </w:rPr>
        <w:t>(8)</w:t>
      </w:r>
      <w:r w:rsidRPr="00C9040A">
        <w:rPr>
          <w:rtl/>
          <w:lang w:bidi="fa-IR"/>
        </w:rPr>
        <w:t xml:space="preserve"> أَدَبٌ وَعِظَةٌ وَتَعْلِيمٌ وَنَهْيٌ خَفِيفٌ ، وَلَمْ يَعِدْ عَلَيْهِ ، وَلَمْ يَتَوَاعَدْ عَلَى اجْتِرَاحِ </w:t>
      </w:r>
      <w:r w:rsidR="006C577F" w:rsidRPr="006C577F">
        <w:rPr>
          <w:rStyle w:val="libFootnotenumChar"/>
          <w:rtl/>
        </w:rPr>
        <w:t>(9)</w:t>
      </w:r>
      <w:r w:rsidRPr="00C9040A">
        <w:rPr>
          <w:rtl/>
          <w:lang w:bidi="fa-IR"/>
        </w:rPr>
        <w:t xml:space="preserve"> شَيْ‌ءٍ مِمَّا نَهى عَنْهُ ، وَأَنْزَلَ نَهْياً عَنْ أَشْيَاءَ حَذَّرَ عَلَيْهَا </w:t>
      </w:r>
      <w:r w:rsidR="006C577F" w:rsidRPr="006C577F">
        <w:rPr>
          <w:rStyle w:val="libFootnotenumChar"/>
          <w:rtl/>
        </w:rPr>
        <w:t>(10)</w:t>
      </w:r>
      <w:r w:rsidRPr="00C9040A">
        <w:rPr>
          <w:rtl/>
          <w:lang w:bidi="fa-IR"/>
        </w:rPr>
        <w:t xml:space="preserve"> ، وَلَمْ يُغَلِّظْ فِيهَا ، وَلَمْ يَتَوَاعَدْ عَلَيْهَا.</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w:t>
      </w:r>
      <w:r w:rsidR="008A74EB" w:rsidRPr="00993B55">
        <w:rPr>
          <w:rStyle w:val="libFootnoteBoldChar"/>
          <w:rtl/>
        </w:rPr>
        <w:t>مرآة العقول</w:t>
      </w:r>
      <w:r w:rsidR="008A74EB" w:rsidRPr="00C9040A">
        <w:rPr>
          <w:rtl/>
        </w:rPr>
        <w:t xml:space="preserve"> : « قوله : فهدمت ، أي الشرعة والمنهاج أيضاً ؛ لكونه بمعنى الطريق ، يجوز فيه التأنيث. ويمكن أن يقرأ على بناء المجهول بإضمار السنّة في السبت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ج ، ص » : « به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 إن » وصليّة ، </w:t>
      </w:r>
      <w:r w:rsidR="008A74EB">
        <w:rPr>
          <w:rtl/>
        </w:rPr>
        <w:t>و «</w:t>
      </w:r>
      <w:r w:rsidR="008A74EB" w:rsidRPr="00C9040A">
        <w:rPr>
          <w:rtl/>
        </w:rPr>
        <w:t xml:space="preserve"> كان » ناقصة ، والموصول اسمها ، وخبرها محذوف. أي باقياً لم يتغيّر ، أو معه ما جاء. أو هي تامّة ، والمعنى : وإن كان منه الإقرار بما جاء به النبيّون وهو التوحيد ونفي الشرك. وقوله : « أن لا يشركوا » عطف بيان أو بدل للموصول. واحتمل كونه خبر « كان » على الأوّل. راجع : </w:t>
      </w:r>
      <w:r w:rsidR="008A74EB" w:rsidRPr="00993B55">
        <w:rPr>
          <w:rStyle w:val="libFootnoteBoldChar"/>
          <w:rtl/>
        </w:rPr>
        <w:t>شرح المازندراني</w:t>
      </w:r>
      <w:r w:rsidR="008A74EB" w:rsidRPr="00C9040A">
        <w:rPr>
          <w:rtl/>
        </w:rPr>
        <w:t xml:space="preserve"> ، ج 8 ، ص 87 ؛ </w:t>
      </w:r>
      <w:r w:rsidR="008A74EB" w:rsidRPr="00993B55">
        <w:rPr>
          <w:rStyle w:val="libFootnoteBoldChar"/>
          <w:rtl/>
        </w:rPr>
        <w:t>الوافي</w:t>
      </w:r>
      <w:r w:rsidR="008A74EB" w:rsidRPr="00C9040A">
        <w:rPr>
          <w:rtl/>
        </w:rPr>
        <w:t xml:space="preserve"> ، ج 4 ، ص 111 ؛ </w:t>
      </w:r>
      <w:r w:rsidR="008A74EB" w:rsidRPr="00993B55">
        <w:rPr>
          <w:rStyle w:val="libFootnoteBoldChar"/>
          <w:rtl/>
        </w:rPr>
        <w:t>مرآة العقول</w:t>
      </w:r>
      <w:r w:rsidR="008A74EB" w:rsidRPr="00C9040A">
        <w:rPr>
          <w:rtl/>
        </w:rPr>
        <w:t xml:space="preserve"> ، ج 7 ، ص 176.</w:t>
      </w:r>
      <w:r w:rsidR="00F23311">
        <w:rPr>
          <w:rFonts w:hint="cs"/>
          <w:rtl/>
        </w:rPr>
        <w:t xml:space="preserve">     </w:t>
      </w:r>
      <w:r>
        <w:rPr>
          <w:rtl/>
        </w:rPr>
        <w:t>(4).</w:t>
      </w:r>
      <w:r w:rsidR="008A74EB" w:rsidRPr="00C9040A">
        <w:rPr>
          <w:rtl/>
        </w:rPr>
        <w:t xml:space="preserve"> في « ج ، د ، ض ، بر ، بس ، بف » والوافي : « لا يشرك »</w:t>
      </w:r>
      <w:r w:rsidR="008A74EB">
        <w:rPr>
          <w:rtl/>
        </w:rPr>
        <w:t>.</w:t>
      </w:r>
    </w:p>
    <w:p w:rsidR="008A74EB" w:rsidRPr="004A4E41" w:rsidRDefault="006C577F" w:rsidP="004A4E41">
      <w:pPr>
        <w:pStyle w:val="libFootnote0"/>
        <w:rPr>
          <w:rStyle w:val="libFootnote0Char"/>
          <w:rtl/>
        </w:rPr>
      </w:pPr>
      <w:r>
        <w:rPr>
          <w:rtl/>
        </w:rPr>
        <w:t>(5).</w:t>
      </w:r>
      <w:r w:rsidR="008A74EB" w:rsidRPr="00C9040A">
        <w:rPr>
          <w:rtl/>
        </w:rPr>
        <w:t xml:space="preserve"> في </w:t>
      </w:r>
      <w:r w:rsidR="008A74EB" w:rsidRPr="00993B55">
        <w:rPr>
          <w:rStyle w:val="libFootnoteBoldChar"/>
          <w:rtl/>
        </w:rPr>
        <w:t>مرآة العقول</w:t>
      </w:r>
      <w:r w:rsidR="008A74EB" w:rsidRPr="00C9040A">
        <w:rPr>
          <w:rtl/>
        </w:rPr>
        <w:t xml:space="preserve"> : « قوله </w:t>
      </w:r>
      <w:r w:rsidR="00117575" w:rsidRPr="00117575">
        <w:rPr>
          <w:rStyle w:val="libFootnoteAlaemChar"/>
          <w:rtl/>
        </w:rPr>
        <w:t xml:space="preserve">عليه‌السلام </w:t>
      </w:r>
      <w:r w:rsidR="008A74EB" w:rsidRPr="00C9040A">
        <w:rPr>
          <w:rtl/>
        </w:rPr>
        <w:t xml:space="preserve"> : عشر سنين. أقول : هذا مخالف لما مرّ في تاريخ النبيّ </w:t>
      </w:r>
      <w:r w:rsidR="004A4E41" w:rsidRPr="00B866D3">
        <w:rPr>
          <w:rStyle w:val="libFootnoteAlaemChar"/>
          <w:rtl/>
        </w:rPr>
        <w:t>صلى‌الله‌عليه‌وآله</w:t>
      </w:r>
      <w:r w:rsidR="008A74EB" w:rsidRPr="00C9040A">
        <w:rPr>
          <w:rtl/>
        </w:rPr>
        <w:t xml:space="preserve"> ، ولما هو المشهور من‌أنّه </w:t>
      </w:r>
      <w:r w:rsidR="004A4E41" w:rsidRPr="00B866D3">
        <w:rPr>
          <w:rStyle w:val="libFootnoteAlaemChar"/>
          <w:rtl/>
        </w:rPr>
        <w:t>صلى‌الله‌عليه‌وآله</w:t>
      </w:r>
      <w:r w:rsidR="008A74EB" w:rsidRPr="00C9040A">
        <w:rPr>
          <w:rtl/>
        </w:rPr>
        <w:t xml:space="preserve"> أقام بعد البعثة بمكّة ثلاث عشرة سنة »</w:t>
      </w:r>
      <w:r w:rsidR="008A74EB">
        <w:rPr>
          <w:rtl/>
        </w:rPr>
        <w:t>.</w:t>
      </w:r>
      <w:r w:rsidR="008A74EB" w:rsidRPr="00C9040A">
        <w:rPr>
          <w:rtl/>
        </w:rPr>
        <w:t xml:space="preserve"> ثمّ ذكر وجوهاً في توجيهه.</w:t>
      </w:r>
    </w:p>
    <w:tbl>
      <w:tblPr>
        <w:tblStyle w:val="TableGrid"/>
        <w:bidiVisual/>
        <w:tblW w:w="0" w:type="auto"/>
        <w:tblLook w:val="04A0" w:firstRow="1" w:lastRow="0" w:firstColumn="1" w:lastColumn="0" w:noHBand="0" w:noVBand="1"/>
      </w:tblPr>
      <w:tblGrid>
        <w:gridCol w:w="4006"/>
        <w:gridCol w:w="4006"/>
      </w:tblGrid>
      <w:tr w:rsidR="00F23311" w:rsidTr="00F23311">
        <w:tc>
          <w:tcPr>
            <w:tcW w:w="4006" w:type="dxa"/>
          </w:tcPr>
          <w:p w:rsidR="00F23311" w:rsidRDefault="00F23311" w:rsidP="004A4E41">
            <w:pPr>
              <w:pStyle w:val="libFootnote0"/>
              <w:rPr>
                <w:rtl/>
              </w:rPr>
            </w:pPr>
            <w:r>
              <w:rPr>
                <w:rtl/>
              </w:rPr>
              <w:t xml:space="preserve">(6). </w:t>
            </w:r>
            <w:r w:rsidRPr="00C9040A">
              <w:rPr>
                <w:rtl/>
              </w:rPr>
              <w:t xml:space="preserve">في « ض » </w:t>
            </w:r>
            <w:r>
              <w:rPr>
                <w:rtl/>
              </w:rPr>
              <w:t>: -</w:t>
            </w:r>
            <w:r w:rsidRPr="00C9040A">
              <w:rPr>
                <w:rtl/>
              </w:rPr>
              <w:t xml:space="preserve"> « الله »</w:t>
            </w:r>
            <w:r>
              <w:rPr>
                <w:rtl/>
              </w:rPr>
              <w:t>.</w:t>
            </w:r>
          </w:p>
        </w:tc>
        <w:tc>
          <w:tcPr>
            <w:tcW w:w="4006" w:type="dxa"/>
          </w:tcPr>
          <w:p w:rsidR="00F23311" w:rsidRDefault="00F23311" w:rsidP="004A4E41">
            <w:pPr>
              <w:pStyle w:val="libFootnote0"/>
              <w:rPr>
                <w:rtl/>
              </w:rPr>
            </w:pPr>
            <w:r>
              <w:rPr>
                <w:rtl/>
              </w:rPr>
              <w:t>(7).</w:t>
            </w:r>
            <w:r w:rsidRPr="00C9040A">
              <w:rPr>
                <w:rtl/>
              </w:rPr>
              <w:t xml:space="preserve"> في « ص » : « الإيمان و</w:t>
            </w:r>
            <w:r>
              <w:rPr>
                <w:rFonts w:hint="cs"/>
                <w:rtl/>
              </w:rPr>
              <w:t xml:space="preserve"> </w:t>
            </w:r>
            <w:r w:rsidRPr="00C9040A">
              <w:rPr>
                <w:rtl/>
              </w:rPr>
              <w:t>» بدل « إيمان »</w:t>
            </w:r>
            <w:r>
              <w:rPr>
                <w:rtl/>
              </w:rPr>
              <w:t>.</w:t>
            </w:r>
          </w:p>
        </w:tc>
      </w:tr>
    </w:tbl>
    <w:p w:rsidR="008A74EB" w:rsidRPr="00C9040A" w:rsidRDefault="006C577F" w:rsidP="004A4E41">
      <w:pPr>
        <w:pStyle w:val="libFootnote0"/>
        <w:rPr>
          <w:rtl/>
          <w:lang w:bidi="fa-IR"/>
        </w:rPr>
      </w:pPr>
      <w:r>
        <w:rPr>
          <w:rtl/>
        </w:rPr>
        <w:t>(8).</w:t>
      </w:r>
      <w:r w:rsidR="008A74EB" w:rsidRPr="00C9040A">
        <w:rPr>
          <w:rtl/>
        </w:rPr>
        <w:t xml:space="preserve"> الإسراء (17) : 23</w:t>
      </w:r>
      <w:r w:rsidR="008A74EB">
        <w:rPr>
          <w:rtl/>
        </w:rPr>
        <w:t xml:space="preserve"> </w:t>
      </w:r>
      <w:r w:rsidR="0084262C">
        <w:rPr>
          <w:rtl/>
        </w:rPr>
        <w:t>-</w:t>
      </w:r>
      <w:r w:rsidR="008A74EB">
        <w:rPr>
          <w:rtl/>
        </w:rPr>
        <w:t xml:space="preserve"> </w:t>
      </w:r>
      <w:r w:rsidR="008A74EB" w:rsidRPr="00C9040A">
        <w:rPr>
          <w:rtl/>
        </w:rPr>
        <w:t>30.</w:t>
      </w:r>
    </w:p>
    <w:p w:rsidR="008A74EB" w:rsidRPr="00C9040A" w:rsidRDefault="006C577F" w:rsidP="004A4E41">
      <w:pPr>
        <w:pStyle w:val="libFootnote0"/>
        <w:rPr>
          <w:rtl/>
          <w:lang w:bidi="fa-IR"/>
        </w:rPr>
      </w:pPr>
      <w:r>
        <w:rPr>
          <w:rtl/>
        </w:rPr>
        <w:t>(9).</w:t>
      </w:r>
      <w:r w:rsidR="008A74EB" w:rsidRPr="00C9040A">
        <w:rPr>
          <w:rtl/>
        </w:rPr>
        <w:t xml:space="preserve"> « اجترح » : عمل بيده واكتسب. </w:t>
      </w:r>
      <w:r w:rsidR="008A74EB" w:rsidRPr="00993B55">
        <w:rPr>
          <w:rStyle w:val="libFootnoteBoldChar"/>
          <w:rtl/>
        </w:rPr>
        <w:t>المصباح المنير</w:t>
      </w:r>
      <w:r w:rsidR="008A74EB" w:rsidRPr="00C9040A">
        <w:rPr>
          <w:rtl/>
        </w:rPr>
        <w:t xml:space="preserve"> ، ص 95 ( جرح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 ف » والوافي : « عنها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lastRenderedPageBreak/>
        <w:t xml:space="preserve">وَقَالَ : </w:t>
      </w:r>
      <w:r w:rsidRPr="0003660B">
        <w:rPr>
          <w:rStyle w:val="libAlaemChar"/>
          <w:rtl/>
        </w:rPr>
        <w:t>(</w:t>
      </w:r>
      <w:r w:rsidRPr="006A2246">
        <w:rPr>
          <w:rStyle w:val="libAieChar"/>
          <w:rtl/>
        </w:rPr>
        <w:t xml:space="preserve"> وَلا تَقْتُلُوا أَوْلادَكُمْ خَشْيَةَ إِمْلاقٍ نَحْنُ نَرْزُقُهُمْ وَإِيّاكُمْ إِنَّ قَتْلَهُمْ كانَ خِطْأً كَبِيراً</w:t>
      </w:r>
      <w:r w:rsidR="00F65E7F">
        <w:rPr>
          <w:rStyle w:val="libAieChar"/>
          <w:rFonts w:hint="cs"/>
          <w:rtl/>
        </w:rPr>
        <w:t xml:space="preserve"> *</w:t>
      </w:r>
      <w:r w:rsidRPr="006A2246">
        <w:rPr>
          <w:rStyle w:val="libAieChar"/>
          <w:rtl/>
        </w:rPr>
        <w:t xml:space="preserve"> وَلا تَقْرَبُوا الزِّنى إِنَّهُ كانَ فاحِشَةً وَساءَ سَبِيلاً </w:t>
      </w:r>
      <w:r w:rsidR="00D442C2">
        <w:rPr>
          <w:rStyle w:val="libAieChar"/>
          <w:rFonts w:hint="cs"/>
          <w:rtl/>
        </w:rPr>
        <w:t xml:space="preserve">* </w:t>
      </w:r>
      <w:r w:rsidRPr="006A2246">
        <w:rPr>
          <w:rStyle w:val="libAieChar"/>
          <w:rtl/>
        </w:rPr>
        <w:t>وَلا تَقْتُلُوا النَّ</w:t>
      </w:r>
      <w:r w:rsidR="003027A7">
        <w:rPr>
          <w:rStyle w:val="libAieChar"/>
          <w:rtl/>
        </w:rPr>
        <w:t>فْسَ الَّتِي حَرَّمَ اللهُ إِل</w:t>
      </w:r>
      <w:r w:rsidR="003027A7">
        <w:rPr>
          <w:rStyle w:val="libAieChar"/>
          <w:rFonts w:hint="cs"/>
          <w:rtl/>
        </w:rPr>
        <w:t>ّ</w:t>
      </w:r>
      <w:r w:rsidR="003027A7">
        <w:rPr>
          <w:rStyle w:val="libAieChar"/>
          <w:rtl/>
        </w:rPr>
        <w:t>ا</w:t>
      </w:r>
      <w:r w:rsidRPr="006A2246">
        <w:rPr>
          <w:rStyle w:val="libAieChar"/>
          <w:rtl/>
        </w:rPr>
        <w:t xml:space="preserve"> بِالْحَقِّ وَمَنْ قُتِلَ مَظْلُوماً فَقَدْ جَعَلْنا لِوَلِيِّهِ سُلْطاناً فَلا يُسْرِفْ فِي الْقَتْلِ إِنَّهُ كانَ مَنْصُوراً </w:t>
      </w:r>
      <w:r w:rsidR="003027A7">
        <w:rPr>
          <w:rStyle w:val="libAieChar"/>
          <w:rFonts w:hint="cs"/>
          <w:rtl/>
        </w:rPr>
        <w:t xml:space="preserve">* </w:t>
      </w:r>
      <w:r w:rsidRPr="006A2246">
        <w:rPr>
          <w:rStyle w:val="libAieChar"/>
          <w:rtl/>
        </w:rPr>
        <w:t xml:space="preserve">وَلا </w:t>
      </w:r>
      <w:r w:rsidR="00116290">
        <w:rPr>
          <w:rStyle w:val="libAieChar"/>
          <w:rtl/>
        </w:rPr>
        <w:t>تَقْرَبُوا مالَ الْيَتِيمِ إِل</w:t>
      </w:r>
      <w:r w:rsidR="00116290">
        <w:rPr>
          <w:rStyle w:val="libAieChar"/>
          <w:rFonts w:hint="cs"/>
          <w:rtl/>
        </w:rPr>
        <w:t>ّ</w:t>
      </w:r>
      <w:r w:rsidR="00116290">
        <w:rPr>
          <w:rStyle w:val="libAieChar"/>
          <w:rtl/>
        </w:rPr>
        <w:t>ا</w:t>
      </w:r>
      <w:r w:rsidRPr="006A2246">
        <w:rPr>
          <w:rStyle w:val="libAieChar"/>
          <w:rtl/>
        </w:rPr>
        <w:t xml:space="preserve"> بِالَّتِي هِيَ أَحْسَنُ حَتّى يَبْلُغَ أَشُدَّهُ وَأَوْفُوا بِالْعَهْدِ إِنَّ الْعَهْدَ كانَ مَسْؤُلاً </w:t>
      </w:r>
      <w:r w:rsidR="00116290">
        <w:rPr>
          <w:rStyle w:val="libAieChar"/>
          <w:rFonts w:hint="cs"/>
          <w:rtl/>
        </w:rPr>
        <w:t xml:space="preserve">* </w:t>
      </w:r>
      <w:r w:rsidRPr="006A2246">
        <w:rPr>
          <w:rStyle w:val="libAieChar"/>
          <w:rtl/>
        </w:rPr>
        <w:t xml:space="preserve">وَأَوْفُوا الْكَيْلَ إِذا كِلْتُمْ وَزِنُوا بِالْقِسْطاسِ الْمُسْتَقِيمِ ذلِكَ خَيْرٌ وَأَحْسَنُ تَأْوِيلاً </w:t>
      </w:r>
      <w:r w:rsidR="007C4319">
        <w:rPr>
          <w:rStyle w:val="libAieChar"/>
          <w:rFonts w:hint="cs"/>
          <w:rtl/>
        </w:rPr>
        <w:t xml:space="preserve">* </w:t>
      </w:r>
      <w:r w:rsidRPr="006A2246">
        <w:rPr>
          <w:rStyle w:val="libAieChar"/>
          <w:rtl/>
        </w:rPr>
        <w:t xml:space="preserve">وَلا تَقْفُ ما لَيْسَ لَكَ بِهِ عِلْمٌ إِنَّ السَّمْعَ وَالْبَصَرَ وَالْفُؤادَ كُلُّ أُولئِكَ كانَ عَنْهُ مَسْؤُلاً </w:t>
      </w:r>
      <w:r w:rsidR="007C4319">
        <w:rPr>
          <w:rStyle w:val="libAieChar"/>
          <w:rFonts w:hint="cs"/>
          <w:rtl/>
        </w:rPr>
        <w:t xml:space="preserve">* </w:t>
      </w:r>
      <w:r w:rsidRPr="006A2246">
        <w:rPr>
          <w:rStyle w:val="libAieChar"/>
          <w:rtl/>
        </w:rPr>
        <w:t xml:space="preserve">وَلا تَمْشِ فِي الْأَرْضِ مَرَحاً إِنَّكَ لَنْ تَخْرِقَ الْأَرْضَ وَلَنْ تَبْلُغَ الْجِبالَ طُولاً </w:t>
      </w:r>
      <w:r w:rsidR="007C4319">
        <w:rPr>
          <w:rStyle w:val="libAieChar"/>
          <w:rFonts w:hint="cs"/>
          <w:rtl/>
        </w:rPr>
        <w:t xml:space="preserve">* </w:t>
      </w:r>
      <w:r w:rsidRPr="006A2246">
        <w:rPr>
          <w:rStyle w:val="libAieChar"/>
          <w:rtl/>
        </w:rPr>
        <w:t xml:space="preserve">كُلُّ ذلِكَ كانَ سَيِّئُهُ عِنْدَ رَبِّكَ مَكْرُوهاً </w:t>
      </w:r>
      <w:r w:rsidR="007C4319">
        <w:rPr>
          <w:rStyle w:val="libAieChar"/>
          <w:rFonts w:hint="cs"/>
          <w:rtl/>
        </w:rPr>
        <w:t xml:space="preserve">* </w:t>
      </w:r>
      <w:r w:rsidRPr="006A2246">
        <w:rPr>
          <w:rStyle w:val="libAieChar"/>
          <w:rtl/>
        </w:rPr>
        <w:t>ذلِكَ مِمّا أَوْحى إِلَيْكَ رَبُّكَ مِنَ الْحِكْمَةِ وَلا تَجْعَلْ مَعَ اللهِ إِلهاً آخَرَ فَتُلْقى فِي جَهَنَّمَ مَلُوماً مَدْحُوراً</w:t>
      </w:r>
      <w:r w:rsidRPr="0003660B">
        <w:rPr>
          <w:rStyle w:val="libAlaemChar"/>
          <w:rtl/>
        </w:rPr>
        <w:t>)</w:t>
      </w:r>
      <w:r w:rsidRPr="00C9040A">
        <w:rPr>
          <w:rtl/>
          <w:lang w:bidi="fa-IR"/>
        </w:rPr>
        <w:t xml:space="preserve"> </w:t>
      </w:r>
      <w:r w:rsidR="006C577F" w:rsidRPr="006C577F">
        <w:rPr>
          <w:rStyle w:val="libFootnotenumChar"/>
          <w:rtl/>
        </w:rPr>
        <w:t>(1)</w:t>
      </w:r>
    </w:p>
    <w:p w:rsidR="008A74EB" w:rsidRPr="00C9040A" w:rsidRDefault="008A74EB" w:rsidP="008A74EB">
      <w:pPr>
        <w:pStyle w:val="libNormal"/>
        <w:rPr>
          <w:rtl/>
          <w:lang w:bidi="fa-IR"/>
        </w:rPr>
      </w:pPr>
      <w:r w:rsidRPr="00C9040A">
        <w:rPr>
          <w:rtl/>
          <w:lang w:bidi="fa-IR"/>
        </w:rPr>
        <w:t>وَأَنْزَلَ فِي</w:t>
      </w:r>
      <w:r>
        <w:rPr>
          <w:rFonts w:hint="cs"/>
          <w:rtl/>
          <w:lang w:bidi="fa-IR"/>
        </w:rPr>
        <w:t xml:space="preserve"> </w:t>
      </w:r>
      <w:r w:rsidRPr="0003660B">
        <w:rPr>
          <w:rStyle w:val="libAlaemChar"/>
          <w:rtl/>
        </w:rPr>
        <w:t>(</w:t>
      </w:r>
      <w:r w:rsidRPr="006A2246">
        <w:rPr>
          <w:rStyle w:val="libAieChar"/>
          <w:rtl/>
        </w:rPr>
        <w:t xml:space="preserve"> وَاللَّيْلِ إِذا يَغْشى </w:t>
      </w:r>
      <w:r w:rsidRPr="0003660B">
        <w:rPr>
          <w:rStyle w:val="libAlaemChar"/>
          <w:rtl/>
        </w:rPr>
        <w:t>)</w:t>
      </w:r>
      <w:r w:rsidRPr="00C9040A">
        <w:rPr>
          <w:rtl/>
          <w:lang w:bidi="fa-IR"/>
        </w:rPr>
        <w:t xml:space="preserve"> : </w:t>
      </w:r>
      <w:r w:rsidRPr="0003660B">
        <w:rPr>
          <w:rStyle w:val="libAlaemChar"/>
          <w:rtl/>
        </w:rPr>
        <w:t>(</w:t>
      </w:r>
      <w:r w:rsidRPr="006A2246">
        <w:rPr>
          <w:rStyle w:val="libAieChar"/>
          <w:rtl/>
        </w:rPr>
        <w:t xml:space="preserve"> فَأَنْذَرْتُكُمْ ناراً تَلَظّى </w:t>
      </w:r>
      <w:r w:rsidR="007C4319">
        <w:rPr>
          <w:rStyle w:val="libAieChar"/>
          <w:rFonts w:hint="cs"/>
          <w:rtl/>
        </w:rPr>
        <w:t xml:space="preserve">* </w:t>
      </w:r>
      <w:r w:rsidR="007C4319">
        <w:rPr>
          <w:rStyle w:val="libAieChar"/>
          <w:rtl/>
        </w:rPr>
        <w:t>لا يَصْلاها إِل</w:t>
      </w:r>
      <w:r w:rsidR="007C4319">
        <w:rPr>
          <w:rStyle w:val="libAieChar"/>
          <w:rFonts w:hint="cs"/>
          <w:rtl/>
        </w:rPr>
        <w:t>َّ</w:t>
      </w:r>
      <w:r w:rsidR="007C4319">
        <w:rPr>
          <w:rStyle w:val="libAieChar"/>
          <w:rtl/>
        </w:rPr>
        <w:t>ا</w:t>
      </w:r>
      <w:r w:rsidRPr="006A2246">
        <w:rPr>
          <w:rStyle w:val="libAieChar"/>
          <w:rtl/>
        </w:rPr>
        <w:t xml:space="preserve"> الْأَشْقَى</w:t>
      </w:r>
      <w:r w:rsidR="007C4319">
        <w:rPr>
          <w:rStyle w:val="libAieChar"/>
          <w:rFonts w:hint="cs"/>
          <w:rtl/>
        </w:rPr>
        <w:t xml:space="preserve"> *</w:t>
      </w:r>
      <w:r w:rsidRPr="006A2246">
        <w:rPr>
          <w:rStyle w:val="libAieChar"/>
          <w:rtl/>
        </w:rPr>
        <w:t xml:space="preserve"> الَّذِي كَذَّبَ وَتَوَلّى </w:t>
      </w:r>
      <w:r w:rsidRPr="0003660B">
        <w:rPr>
          <w:rStyle w:val="libAlaemChar"/>
          <w:rtl/>
        </w:rPr>
        <w:t>)</w:t>
      </w:r>
      <w:r w:rsidRPr="00C9040A">
        <w:rPr>
          <w:rtl/>
          <w:lang w:bidi="fa-IR"/>
        </w:rPr>
        <w:t xml:space="preserve"> </w:t>
      </w:r>
      <w:r w:rsidR="006C577F" w:rsidRPr="006C577F">
        <w:rPr>
          <w:rStyle w:val="libFootnotenumChar"/>
          <w:rtl/>
        </w:rPr>
        <w:t>(2)</w:t>
      </w:r>
      <w:r w:rsidRPr="00C9040A">
        <w:rPr>
          <w:rtl/>
          <w:lang w:bidi="fa-IR"/>
        </w:rPr>
        <w:t xml:space="preserve"> فَهذَا مُشْرِكٌ.</w:t>
      </w:r>
    </w:p>
    <w:p w:rsidR="008A74EB" w:rsidRPr="00C9040A" w:rsidRDefault="008A74EB" w:rsidP="008A74EB">
      <w:pPr>
        <w:pStyle w:val="libNormal"/>
        <w:rPr>
          <w:rtl/>
          <w:lang w:bidi="fa-IR"/>
        </w:rPr>
      </w:pPr>
      <w:r w:rsidRPr="00C9040A">
        <w:rPr>
          <w:rtl/>
          <w:lang w:bidi="fa-IR"/>
        </w:rPr>
        <w:t>وَأَنْزَلَ فِي</w:t>
      </w:r>
      <w:r>
        <w:rPr>
          <w:rFonts w:hint="cs"/>
          <w:rtl/>
          <w:lang w:bidi="fa-IR"/>
        </w:rPr>
        <w:t xml:space="preserve"> </w:t>
      </w:r>
      <w:r w:rsidRPr="0003660B">
        <w:rPr>
          <w:rStyle w:val="libAlaemChar"/>
          <w:rtl/>
        </w:rPr>
        <w:t>(</w:t>
      </w:r>
      <w:r w:rsidRPr="006A2246">
        <w:rPr>
          <w:rStyle w:val="libAieChar"/>
          <w:rtl/>
        </w:rPr>
        <w:t xml:space="preserve"> إِذَا السَّماءُ انْشَقَّتْ </w:t>
      </w:r>
      <w:r w:rsidRPr="0003660B">
        <w:rPr>
          <w:rStyle w:val="libAlaemChar"/>
          <w:rtl/>
        </w:rPr>
        <w:t>)</w:t>
      </w:r>
      <w:r w:rsidRPr="00C9040A">
        <w:rPr>
          <w:rtl/>
          <w:lang w:bidi="fa-IR"/>
        </w:rPr>
        <w:t xml:space="preserve"> : </w:t>
      </w:r>
      <w:r w:rsidRPr="0003660B">
        <w:rPr>
          <w:rStyle w:val="libAlaemChar"/>
          <w:rtl/>
        </w:rPr>
        <w:t>(</w:t>
      </w:r>
      <w:r w:rsidRPr="006A2246">
        <w:rPr>
          <w:rStyle w:val="libAieChar"/>
          <w:rtl/>
        </w:rPr>
        <w:t xml:space="preserve"> وَأَمّا مَنْ أُوتِيَ كِتابَهُ وَراءَ ظَهْرِهِ</w:t>
      </w:r>
      <w:r w:rsidR="007C4319">
        <w:rPr>
          <w:rStyle w:val="libAieChar"/>
          <w:rFonts w:hint="cs"/>
          <w:rtl/>
        </w:rPr>
        <w:t xml:space="preserve"> *</w:t>
      </w:r>
      <w:r w:rsidRPr="006A2246">
        <w:rPr>
          <w:rStyle w:val="libAieChar"/>
          <w:rtl/>
        </w:rPr>
        <w:t xml:space="preserve"> فَسَوْفَ يَدْعُوا ثُبُوراً </w:t>
      </w:r>
      <w:r w:rsidR="007C4319">
        <w:rPr>
          <w:rStyle w:val="libAieChar"/>
          <w:rFonts w:hint="cs"/>
          <w:rtl/>
        </w:rPr>
        <w:t xml:space="preserve">* </w:t>
      </w:r>
      <w:r w:rsidRPr="006A2246">
        <w:rPr>
          <w:rStyle w:val="libAieChar"/>
          <w:rtl/>
        </w:rPr>
        <w:t xml:space="preserve">وَيَصْلى سَعِيراً </w:t>
      </w:r>
      <w:r w:rsidR="007C4319">
        <w:rPr>
          <w:rStyle w:val="libAieChar"/>
          <w:rFonts w:hint="cs"/>
          <w:rtl/>
        </w:rPr>
        <w:t xml:space="preserve">* </w:t>
      </w:r>
      <w:r w:rsidRPr="006A2246">
        <w:rPr>
          <w:rStyle w:val="libAieChar"/>
          <w:rtl/>
        </w:rPr>
        <w:t>إِنَّهُ كانَ فِي أَهْلِهِ مَسْرُوراً</w:t>
      </w:r>
      <w:r w:rsidR="007C4319">
        <w:rPr>
          <w:rStyle w:val="libAieChar"/>
          <w:rFonts w:hint="cs"/>
          <w:rtl/>
        </w:rPr>
        <w:t xml:space="preserve"> *</w:t>
      </w:r>
      <w:r w:rsidRPr="006A2246">
        <w:rPr>
          <w:rStyle w:val="libAieChar"/>
          <w:rtl/>
        </w:rPr>
        <w:t xml:space="preserve"> إِنَّهُ ظَنَّ أَنْ لَنْ يَحُورَ</w:t>
      </w:r>
      <w:r w:rsidR="007C4319">
        <w:rPr>
          <w:rStyle w:val="libAieChar"/>
          <w:rFonts w:hint="cs"/>
          <w:rtl/>
        </w:rPr>
        <w:t xml:space="preserve"> *</w:t>
      </w:r>
      <w:r w:rsidRPr="006A2246">
        <w:rPr>
          <w:rStyle w:val="libAieChar"/>
          <w:rtl/>
        </w:rPr>
        <w:t xml:space="preserve"> بَلى </w:t>
      </w:r>
      <w:r w:rsidRPr="0003660B">
        <w:rPr>
          <w:rStyle w:val="libAlaemChar"/>
          <w:rtl/>
        </w:rPr>
        <w:t>)</w:t>
      </w:r>
      <w:r w:rsidRPr="00C9040A">
        <w:rPr>
          <w:rtl/>
          <w:lang w:bidi="fa-IR"/>
        </w:rPr>
        <w:t xml:space="preserve"> </w:t>
      </w:r>
      <w:r w:rsidR="006C577F" w:rsidRPr="006C577F">
        <w:rPr>
          <w:rStyle w:val="libFootnotenumChar"/>
          <w:rtl/>
        </w:rPr>
        <w:t>(3)</w:t>
      </w:r>
      <w:r w:rsidRPr="00C9040A">
        <w:rPr>
          <w:rtl/>
          <w:lang w:bidi="fa-IR"/>
        </w:rPr>
        <w:t xml:space="preserve"> فَهذَا مُشْرِكٌ.</w:t>
      </w:r>
    </w:p>
    <w:p w:rsidR="008A74EB" w:rsidRPr="00C9040A" w:rsidRDefault="008A74EB" w:rsidP="008A74EB">
      <w:pPr>
        <w:pStyle w:val="libNormal"/>
        <w:rPr>
          <w:rtl/>
          <w:lang w:bidi="fa-IR"/>
        </w:rPr>
      </w:pPr>
      <w:r w:rsidRPr="00C9040A">
        <w:rPr>
          <w:rtl/>
          <w:lang w:bidi="fa-IR"/>
        </w:rPr>
        <w:t xml:space="preserve">وَأَنْزَلَ فِي </w:t>
      </w:r>
      <w:r w:rsidR="006C577F" w:rsidRPr="006C577F">
        <w:rPr>
          <w:rStyle w:val="libFootnotenumChar"/>
          <w:rtl/>
        </w:rPr>
        <w:t>(4)</w:t>
      </w:r>
      <w:r w:rsidRPr="00C9040A">
        <w:rPr>
          <w:rtl/>
          <w:lang w:bidi="fa-IR"/>
        </w:rPr>
        <w:t xml:space="preserve"> « تَبَارَكَ » : </w:t>
      </w:r>
      <w:r w:rsidRPr="0003660B">
        <w:rPr>
          <w:rStyle w:val="libAlaemChar"/>
          <w:rtl/>
        </w:rPr>
        <w:t>(</w:t>
      </w:r>
      <w:r w:rsidRPr="006A2246">
        <w:rPr>
          <w:rStyle w:val="libAieChar"/>
          <w:rtl/>
        </w:rPr>
        <w:t xml:space="preserve"> كُلَّما أُلْقِيَ فِيها فَوْجٌ سَأَلَهُمْ خَزَنَتُها أَلَمْ يَأْتِكُمْ نَذِيرٌ </w:t>
      </w:r>
      <w:r w:rsidR="00C24C26">
        <w:rPr>
          <w:rStyle w:val="libAieChar"/>
          <w:rFonts w:hint="cs"/>
          <w:rtl/>
        </w:rPr>
        <w:t xml:space="preserve">* </w:t>
      </w:r>
      <w:r w:rsidRPr="006A2246">
        <w:rPr>
          <w:rStyle w:val="libAieChar"/>
          <w:rtl/>
        </w:rPr>
        <w:t xml:space="preserve">قالُوا بَلى قَدْ جاءَنا نَذِيرٌ فَكَذَّبْنا وَقُلْنا ما نَزَّلَ اللهُ مِنْ شَيْ‌ءٍ </w:t>
      </w:r>
      <w:r w:rsidRPr="0003660B">
        <w:rPr>
          <w:rStyle w:val="libAlaemChar"/>
          <w:rtl/>
        </w:rPr>
        <w:t>)</w:t>
      </w:r>
      <w:r w:rsidRPr="00C9040A">
        <w:rPr>
          <w:rtl/>
          <w:lang w:bidi="fa-IR"/>
        </w:rPr>
        <w:t xml:space="preserve"> </w:t>
      </w:r>
      <w:r w:rsidR="006C577F" w:rsidRPr="006C577F">
        <w:rPr>
          <w:rStyle w:val="libFootnotenumChar"/>
          <w:rtl/>
        </w:rPr>
        <w:t>(5)</w:t>
      </w:r>
      <w:r w:rsidRPr="00C9040A">
        <w:rPr>
          <w:rtl/>
          <w:lang w:bidi="fa-IR"/>
        </w:rPr>
        <w:t xml:space="preserve"> فَهؤُلَاءِ مُشْرِكُونَ.</w:t>
      </w:r>
    </w:p>
    <w:p w:rsidR="008A74EB" w:rsidRPr="00C9040A" w:rsidRDefault="008A74EB" w:rsidP="008A74EB">
      <w:pPr>
        <w:pStyle w:val="libNormal"/>
        <w:rPr>
          <w:rtl/>
          <w:lang w:bidi="fa-IR"/>
        </w:rPr>
      </w:pPr>
      <w:r w:rsidRPr="00C9040A">
        <w:rPr>
          <w:rtl/>
          <w:lang w:bidi="fa-IR"/>
        </w:rPr>
        <w:t xml:space="preserve">وَأَنْزَلَ فِي « الْوَاقِعَةِ » : </w:t>
      </w:r>
      <w:r w:rsidRPr="0003660B">
        <w:rPr>
          <w:rStyle w:val="libAlaemChar"/>
          <w:rtl/>
        </w:rPr>
        <w:t>(</w:t>
      </w:r>
      <w:r w:rsidRPr="006A2246">
        <w:rPr>
          <w:rStyle w:val="libAieChar"/>
          <w:rtl/>
        </w:rPr>
        <w:t xml:space="preserve"> وَأَمّا إِنْ كانَ مِنَ الْمُكَذِّبِينَ الضّالِّينَ </w:t>
      </w:r>
      <w:r w:rsidR="00C24C26">
        <w:rPr>
          <w:rStyle w:val="libAieChar"/>
          <w:rFonts w:hint="cs"/>
          <w:rtl/>
        </w:rPr>
        <w:t xml:space="preserve">* </w:t>
      </w:r>
      <w:r w:rsidRPr="006A2246">
        <w:rPr>
          <w:rStyle w:val="libAieChar"/>
          <w:rtl/>
        </w:rPr>
        <w:t xml:space="preserve">فَنُزُلٌ مِنْ حَمِيمٍ </w:t>
      </w:r>
      <w:r w:rsidR="00C24C26">
        <w:rPr>
          <w:rStyle w:val="libAieChar"/>
          <w:rFonts w:hint="cs"/>
          <w:rtl/>
        </w:rPr>
        <w:t xml:space="preserve">* </w:t>
      </w:r>
      <w:r w:rsidRPr="006A2246">
        <w:rPr>
          <w:rStyle w:val="libAieChar"/>
          <w:rtl/>
        </w:rPr>
        <w:t xml:space="preserve">وَتَصْلِيَةُ جَحِيمٍ </w:t>
      </w:r>
      <w:r w:rsidRPr="0003660B">
        <w:rPr>
          <w:rStyle w:val="libAlaemChar"/>
          <w:rtl/>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فَهؤُلَاءِ مُشْرِكُونَ.</w:t>
      </w:r>
    </w:p>
    <w:p w:rsidR="008A74EB" w:rsidRPr="00C9040A" w:rsidRDefault="008A74EB" w:rsidP="008A74EB">
      <w:pPr>
        <w:pStyle w:val="libNormal"/>
        <w:rPr>
          <w:rtl/>
        </w:rPr>
      </w:pPr>
      <w:r w:rsidRPr="00C9040A">
        <w:rPr>
          <w:rtl/>
          <w:lang w:bidi="fa-IR"/>
        </w:rPr>
        <w:t xml:space="preserve">وَأَنْزَلَ فِي « الْحَاقَّةِ » : </w:t>
      </w:r>
      <w:r w:rsidRPr="0003660B">
        <w:rPr>
          <w:rStyle w:val="libAlaemChar"/>
          <w:rtl/>
        </w:rPr>
        <w:t>(</w:t>
      </w:r>
      <w:r w:rsidRPr="006A2246">
        <w:rPr>
          <w:rStyle w:val="libAieChar"/>
          <w:rtl/>
        </w:rPr>
        <w:t xml:space="preserve"> وَأَمّا مَنْ أُوتِيَ كِتابَهُ بِشِمالِهِ فَيَقُولُ يا لَيْتَنِي لَمْ أُوتَ كِتابِيَهْ </w:t>
      </w:r>
      <w:r w:rsidR="00C24C26">
        <w:rPr>
          <w:rStyle w:val="libAieChar"/>
          <w:rFonts w:hint="cs"/>
          <w:rtl/>
        </w:rPr>
        <w:t xml:space="preserve">* </w:t>
      </w:r>
      <w:r w:rsidRPr="006A2246">
        <w:rPr>
          <w:rStyle w:val="libAieChar"/>
          <w:rtl/>
        </w:rPr>
        <w:t xml:space="preserve">وَلَمْ أَدْرِ ما حِسابِيَهْ </w:t>
      </w:r>
      <w:r w:rsidR="00C24C26">
        <w:rPr>
          <w:rStyle w:val="libAieChar"/>
          <w:rFonts w:hint="cs"/>
          <w:rtl/>
        </w:rPr>
        <w:t xml:space="preserve">* </w:t>
      </w:r>
      <w:r w:rsidRPr="006A2246">
        <w:rPr>
          <w:rStyle w:val="libAieChar"/>
          <w:rtl/>
        </w:rPr>
        <w:t xml:space="preserve">يا لَيْتَها كانَتِ الْقاضِيَةَ </w:t>
      </w:r>
      <w:r w:rsidR="00C24C26">
        <w:rPr>
          <w:rStyle w:val="libAieChar"/>
          <w:rFonts w:hint="cs"/>
          <w:rtl/>
        </w:rPr>
        <w:t xml:space="preserve">* </w:t>
      </w:r>
      <w:r w:rsidRPr="006A2246">
        <w:rPr>
          <w:rStyle w:val="libAieChar"/>
          <w:rtl/>
        </w:rPr>
        <w:t xml:space="preserve">ما أَغْنى عَنِّي مالِيَهْ </w:t>
      </w:r>
      <w:r w:rsidRPr="0003660B">
        <w:rPr>
          <w:rStyle w:val="libAlaemChar"/>
          <w:rtl/>
        </w:rPr>
        <w:t>)</w:t>
      </w:r>
      <w:r w:rsidRPr="00C9040A">
        <w:rPr>
          <w:rtl/>
          <w:lang w:bidi="fa-IR"/>
        </w:rPr>
        <w:t xml:space="preserve"> إِلى قَوْلِهِ : </w:t>
      </w:r>
      <w:r w:rsidRPr="0003660B">
        <w:rPr>
          <w:rStyle w:val="libAlaemChar"/>
          <w:rtl/>
        </w:rPr>
        <w:t>(</w:t>
      </w:r>
      <w:r w:rsidRPr="006A2246">
        <w:rPr>
          <w:rStyle w:val="libAieChar"/>
          <w:rtl/>
        </w:rPr>
        <w:t xml:space="preserve"> إِنَّهُ كانَ لا يُؤْمِنُ بِاللهِ</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C24C26" w:rsidTr="00C24C26">
        <w:tc>
          <w:tcPr>
            <w:tcW w:w="4006" w:type="dxa"/>
          </w:tcPr>
          <w:p w:rsidR="00C24C26" w:rsidRDefault="00C24C26" w:rsidP="004A4E41">
            <w:pPr>
              <w:pStyle w:val="libFootnote0"/>
              <w:rPr>
                <w:rtl/>
              </w:rPr>
            </w:pPr>
            <w:r>
              <w:rPr>
                <w:rtl/>
              </w:rPr>
              <w:t>(1).</w:t>
            </w:r>
            <w:r w:rsidRPr="00C9040A">
              <w:rPr>
                <w:rtl/>
              </w:rPr>
              <w:t xml:space="preserve"> الإسراء (17) : 31</w:t>
            </w:r>
            <w:r>
              <w:rPr>
                <w:rtl/>
              </w:rPr>
              <w:t xml:space="preserve"> - </w:t>
            </w:r>
            <w:r w:rsidRPr="00C9040A">
              <w:rPr>
                <w:rtl/>
              </w:rPr>
              <w:t>39.</w:t>
            </w:r>
          </w:p>
        </w:tc>
        <w:tc>
          <w:tcPr>
            <w:tcW w:w="4006" w:type="dxa"/>
          </w:tcPr>
          <w:p w:rsidR="00C24C26" w:rsidRDefault="00C24C26" w:rsidP="004A4E41">
            <w:pPr>
              <w:pStyle w:val="libFootnote0"/>
              <w:rPr>
                <w:rtl/>
              </w:rPr>
            </w:pPr>
            <w:r>
              <w:rPr>
                <w:rtl/>
              </w:rPr>
              <w:t xml:space="preserve">(2). </w:t>
            </w:r>
            <w:r w:rsidRPr="00C9040A">
              <w:rPr>
                <w:rtl/>
              </w:rPr>
              <w:t>الليل (92) : 14</w:t>
            </w:r>
            <w:r>
              <w:rPr>
                <w:rtl/>
              </w:rPr>
              <w:t xml:space="preserve"> - </w:t>
            </w:r>
            <w:r w:rsidRPr="00C9040A">
              <w:rPr>
                <w:rtl/>
              </w:rPr>
              <w:t>16.</w:t>
            </w:r>
          </w:p>
        </w:tc>
      </w:tr>
    </w:tbl>
    <w:p w:rsidR="008A74EB" w:rsidRPr="00C9040A" w:rsidRDefault="006C577F" w:rsidP="004A4E41">
      <w:pPr>
        <w:pStyle w:val="libFootnote0"/>
        <w:rPr>
          <w:rtl/>
          <w:lang w:bidi="fa-IR"/>
        </w:rPr>
      </w:pPr>
      <w:r>
        <w:rPr>
          <w:rtl/>
        </w:rPr>
        <w:t>(3).</w:t>
      </w:r>
      <w:r w:rsidR="008A74EB" w:rsidRPr="00C9040A">
        <w:rPr>
          <w:rtl/>
        </w:rPr>
        <w:t xml:space="preserve"> الانشقاق (84) : 10</w:t>
      </w:r>
      <w:r w:rsidR="008A74EB">
        <w:rPr>
          <w:rtl/>
        </w:rPr>
        <w:t xml:space="preserve"> </w:t>
      </w:r>
      <w:r w:rsidR="0084262C">
        <w:rPr>
          <w:rtl/>
        </w:rPr>
        <w:t>-</w:t>
      </w:r>
      <w:r w:rsidR="008A74EB">
        <w:rPr>
          <w:rtl/>
        </w:rPr>
        <w:t xml:space="preserve"> </w:t>
      </w:r>
      <w:r w:rsidR="008A74EB" w:rsidRPr="00C9040A">
        <w:rPr>
          <w:rtl/>
        </w:rPr>
        <w:t>15.</w:t>
      </w:r>
    </w:p>
    <w:p w:rsidR="008A74EB" w:rsidRPr="004A4E41" w:rsidRDefault="006C577F" w:rsidP="004A4E41">
      <w:pPr>
        <w:pStyle w:val="libFootnote0"/>
        <w:rPr>
          <w:rStyle w:val="libFootnote0Char"/>
          <w:rtl/>
        </w:rPr>
      </w:pPr>
      <w:r>
        <w:rPr>
          <w:rtl/>
        </w:rPr>
        <w:t>(4).</w:t>
      </w:r>
      <w:r w:rsidR="008A74EB" w:rsidRPr="00C9040A">
        <w:rPr>
          <w:rtl/>
        </w:rPr>
        <w:t xml:space="preserve"> هكذا في النسخ التي قوبلت والوافي والبحار ، ج 69. وفي المطبوع : + « سورة »</w:t>
      </w:r>
      <w:r w:rsidR="008A74EB">
        <w:rPr>
          <w:rtl/>
        </w:rPr>
        <w:t>.</w:t>
      </w:r>
    </w:p>
    <w:tbl>
      <w:tblPr>
        <w:tblStyle w:val="TableGrid"/>
        <w:bidiVisual/>
        <w:tblW w:w="0" w:type="auto"/>
        <w:tblLook w:val="04A0" w:firstRow="1" w:lastRow="0" w:firstColumn="1" w:lastColumn="0" w:noHBand="0" w:noVBand="1"/>
      </w:tblPr>
      <w:tblGrid>
        <w:gridCol w:w="4006"/>
        <w:gridCol w:w="4006"/>
      </w:tblGrid>
      <w:tr w:rsidR="00085704" w:rsidTr="00085704">
        <w:tc>
          <w:tcPr>
            <w:tcW w:w="4006" w:type="dxa"/>
          </w:tcPr>
          <w:p w:rsidR="00085704" w:rsidRDefault="00085704" w:rsidP="004A4E41">
            <w:pPr>
              <w:pStyle w:val="libFootnote0"/>
              <w:rPr>
                <w:rtl/>
              </w:rPr>
            </w:pPr>
            <w:r>
              <w:rPr>
                <w:rtl/>
              </w:rPr>
              <w:t>(5).</w:t>
            </w:r>
            <w:r w:rsidRPr="00C9040A">
              <w:rPr>
                <w:rtl/>
              </w:rPr>
              <w:t xml:space="preserve"> الملك (67) : 8</w:t>
            </w:r>
            <w:r>
              <w:rPr>
                <w:rtl/>
              </w:rPr>
              <w:t xml:space="preserve"> - </w:t>
            </w:r>
            <w:r w:rsidRPr="00C9040A">
              <w:rPr>
                <w:rtl/>
              </w:rPr>
              <w:t>9.</w:t>
            </w:r>
          </w:p>
        </w:tc>
        <w:tc>
          <w:tcPr>
            <w:tcW w:w="4006" w:type="dxa"/>
          </w:tcPr>
          <w:p w:rsidR="00085704" w:rsidRDefault="00085704" w:rsidP="004A4E41">
            <w:pPr>
              <w:pStyle w:val="libFootnote0"/>
              <w:rPr>
                <w:rtl/>
              </w:rPr>
            </w:pPr>
            <w:r>
              <w:rPr>
                <w:rtl/>
              </w:rPr>
              <w:t xml:space="preserve">(6). </w:t>
            </w:r>
            <w:r w:rsidRPr="00C9040A">
              <w:rPr>
                <w:rtl/>
              </w:rPr>
              <w:t>الواقعة (56) : 92</w:t>
            </w:r>
            <w:r>
              <w:rPr>
                <w:rtl/>
              </w:rPr>
              <w:t xml:space="preserve"> - </w:t>
            </w:r>
            <w:r w:rsidRPr="00C9040A">
              <w:rPr>
                <w:rtl/>
              </w:rPr>
              <w:t>94.</w:t>
            </w:r>
          </w:p>
        </w:tc>
      </w:tr>
    </w:tbl>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6A2246">
        <w:rPr>
          <w:rStyle w:val="libAieChar"/>
          <w:rtl/>
        </w:rPr>
        <w:lastRenderedPageBreak/>
        <w:t xml:space="preserve">الْعَظِيمِ </w:t>
      </w:r>
      <w:r w:rsidRPr="0003660B">
        <w:rPr>
          <w:rStyle w:val="libAlaemChar"/>
          <w:rtl/>
        </w:rPr>
        <w:t>)</w:t>
      </w:r>
      <w:r w:rsidRPr="00C9040A">
        <w:rPr>
          <w:rtl/>
          <w:lang w:bidi="fa-IR"/>
        </w:rPr>
        <w:t xml:space="preserve"> </w:t>
      </w:r>
      <w:r w:rsidR="006C577F" w:rsidRPr="006C577F">
        <w:rPr>
          <w:rStyle w:val="libFootnotenumChar"/>
          <w:rtl/>
        </w:rPr>
        <w:t>(1)</w:t>
      </w:r>
      <w:r w:rsidRPr="002712F0">
        <w:rPr>
          <w:rFonts w:hint="cs"/>
          <w:rtl/>
        </w:rPr>
        <w:t xml:space="preserve"> </w:t>
      </w:r>
      <w:r w:rsidRPr="00C9040A">
        <w:rPr>
          <w:rtl/>
          <w:lang w:bidi="fa-IR"/>
        </w:rPr>
        <w:t>فَهذَا مُشْرِكٌ.</w:t>
      </w:r>
    </w:p>
    <w:p w:rsidR="008A74EB" w:rsidRPr="00C9040A" w:rsidRDefault="008A74EB" w:rsidP="00C75D9F">
      <w:pPr>
        <w:pStyle w:val="libNormal"/>
        <w:rPr>
          <w:rtl/>
          <w:lang w:bidi="fa-IR"/>
        </w:rPr>
      </w:pPr>
      <w:r w:rsidRPr="00C9040A">
        <w:rPr>
          <w:rtl/>
          <w:lang w:bidi="fa-IR"/>
        </w:rPr>
        <w:t xml:space="preserve">وَأَنْزَلَ فِي « طسم » : </w:t>
      </w:r>
      <w:r w:rsidRPr="0003660B">
        <w:rPr>
          <w:rStyle w:val="libAlaemChar"/>
          <w:rtl/>
        </w:rPr>
        <w:t>(</w:t>
      </w:r>
      <w:r w:rsidRPr="006A2246">
        <w:rPr>
          <w:rStyle w:val="libAieChar"/>
          <w:rtl/>
        </w:rPr>
        <w:t xml:space="preserve"> وَبُرِّزَتِ الْجَحِيمُ لِلْغاوِينَ </w:t>
      </w:r>
      <w:r w:rsidR="00C75D9F">
        <w:rPr>
          <w:rStyle w:val="libAieChar"/>
          <w:rFonts w:hint="cs"/>
          <w:rtl/>
        </w:rPr>
        <w:t xml:space="preserve">* </w:t>
      </w:r>
      <w:r w:rsidRPr="006A2246">
        <w:rPr>
          <w:rStyle w:val="libAieChar"/>
          <w:rtl/>
        </w:rPr>
        <w:t>وَقِيلَ لَهُمْ أَيْنَ ما كُنْتُمْ تَعْبُدُونَ</w:t>
      </w:r>
      <w:r w:rsidR="00C75D9F">
        <w:rPr>
          <w:rStyle w:val="libAieChar"/>
          <w:rFonts w:hint="cs"/>
          <w:rtl/>
        </w:rPr>
        <w:t xml:space="preserve"> *</w:t>
      </w:r>
      <w:r w:rsidRPr="006A2246">
        <w:rPr>
          <w:rStyle w:val="libAieChar"/>
          <w:rtl/>
        </w:rPr>
        <w:t xml:space="preserve"> مِنْ دُونِ اللهِ هَلْ يَنْصُرُونَكُمْ أَوْ يَنْتَصِرُونَ</w:t>
      </w:r>
      <w:r w:rsidR="00C75D9F">
        <w:rPr>
          <w:rStyle w:val="libAieChar"/>
          <w:rFonts w:hint="cs"/>
          <w:rtl/>
        </w:rPr>
        <w:t xml:space="preserve"> *</w:t>
      </w:r>
      <w:r w:rsidRPr="006A2246">
        <w:rPr>
          <w:rStyle w:val="libAieChar"/>
          <w:rtl/>
        </w:rPr>
        <w:t xml:space="preserve"> فَكُبْكِبُوا فِيها هُمْ وَالْغاوُونَ </w:t>
      </w:r>
      <w:r w:rsidR="00906A18">
        <w:rPr>
          <w:rStyle w:val="libAieChar"/>
          <w:rFonts w:hint="cs"/>
          <w:rtl/>
        </w:rPr>
        <w:t xml:space="preserve">* </w:t>
      </w:r>
      <w:r w:rsidRPr="006A2246">
        <w:rPr>
          <w:rStyle w:val="libAieChar"/>
          <w:rtl/>
        </w:rPr>
        <w:t>وَجُنُودُ إِبْلِيسَ أَجْمَعُونَ</w:t>
      </w:r>
      <w:r w:rsidRPr="0003660B">
        <w:rPr>
          <w:rStyle w:val="libAlaemChar"/>
          <w:rtl/>
        </w:rPr>
        <w:t>)</w:t>
      </w:r>
      <w:r w:rsidRPr="00C9040A">
        <w:rPr>
          <w:rtl/>
          <w:lang w:bidi="fa-IR"/>
        </w:rPr>
        <w:t xml:space="preserve"> </w:t>
      </w:r>
      <w:r w:rsidR="006C577F" w:rsidRPr="006C577F">
        <w:rPr>
          <w:rStyle w:val="libFootnotenumChar"/>
          <w:rtl/>
        </w:rPr>
        <w:t>(2)</w:t>
      </w:r>
      <w:r w:rsidRPr="00C9040A">
        <w:rPr>
          <w:rtl/>
          <w:lang w:bidi="fa-IR"/>
        </w:rPr>
        <w:t xml:space="preserve"> جُنُودُ </w:t>
      </w:r>
      <w:r w:rsidR="006C577F" w:rsidRPr="006C577F">
        <w:rPr>
          <w:rStyle w:val="libFootnotenumChar"/>
          <w:rtl/>
        </w:rPr>
        <w:t>(3)</w:t>
      </w:r>
      <w:r w:rsidRPr="00C9040A">
        <w:rPr>
          <w:rtl/>
          <w:lang w:bidi="fa-IR"/>
        </w:rPr>
        <w:t xml:space="preserve"> إِبْلِيسَ ذُرِّيَّتُهُ مِنَ الشَّيَاطِينِ.</w:t>
      </w:r>
    </w:p>
    <w:p w:rsidR="008A74EB" w:rsidRPr="00C9040A" w:rsidRDefault="008A74EB" w:rsidP="008B7A50">
      <w:pPr>
        <w:pStyle w:val="libNormal"/>
        <w:rPr>
          <w:rtl/>
          <w:lang w:bidi="fa-IR"/>
        </w:rPr>
      </w:pPr>
      <w:r w:rsidRPr="00C9040A">
        <w:rPr>
          <w:rtl/>
          <w:lang w:bidi="fa-IR"/>
        </w:rPr>
        <w:t xml:space="preserve">وَقَوْلُهُ : </w:t>
      </w:r>
      <w:r w:rsidRPr="0003660B">
        <w:rPr>
          <w:rStyle w:val="libAlaemChar"/>
          <w:rtl/>
        </w:rPr>
        <w:t>(</w:t>
      </w:r>
      <w:r w:rsidR="00906A18">
        <w:rPr>
          <w:rStyle w:val="libAieChar"/>
          <w:rtl/>
        </w:rPr>
        <w:t xml:space="preserve"> وَما أَضَلَّنا إِل</w:t>
      </w:r>
      <w:r w:rsidR="00906A18">
        <w:rPr>
          <w:rStyle w:val="libAieChar"/>
          <w:rFonts w:hint="cs"/>
          <w:rtl/>
        </w:rPr>
        <w:t>َّ</w:t>
      </w:r>
      <w:r w:rsidR="00906A18">
        <w:rPr>
          <w:rStyle w:val="libAieChar"/>
          <w:rtl/>
        </w:rPr>
        <w:t>ا</w:t>
      </w:r>
      <w:r w:rsidRPr="006A2246">
        <w:rPr>
          <w:rStyle w:val="libAieChar"/>
          <w:rtl/>
        </w:rPr>
        <w:t xml:space="preserve"> الْمُجْرِمُونَ </w:t>
      </w:r>
      <w:r w:rsidRPr="0003660B">
        <w:rPr>
          <w:rStyle w:val="libAlaemChar"/>
          <w:rtl/>
        </w:rPr>
        <w:t>)</w:t>
      </w:r>
      <w:r w:rsidRPr="00C9040A">
        <w:rPr>
          <w:rtl/>
          <w:lang w:bidi="fa-IR"/>
        </w:rPr>
        <w:t xml:space="preserve"> </w:t>
      </w:r>
      <w:r w:rsidR="006C577F" w:rsidRPr="006C577F">
        <w:rPr>
          <w:rStyle w:val="libFootnotenumChar"/>
          <w:rtl/>
        </w:rPr>
        <w:t>(4)</w:t>
      </w:r>
      <w:r w:rsidRPr="00C9040A">
        <w:rPr>
          <w:rtl/>
          <w:lang w:bidi="fa-IR"/>
        </w:rPr>
        <w:t xml:space="preserve"> يَعْنِي الْمُشْرِكِينَ الَّذِينَ اقْتَدَوْا بِهِمْ هؤُلَاءِ ، فَاتَّبَعُوهُمْ عَلى شِرْكِهِمْ ، وَهُمْ قَوْمُ مُحَمَّدٍ </w:t>
      </w:r>
      <w:r w:rsidR="004A4E41" w:rsidRPr="004A4E41">
        <w:rPr>
          <w:rStyle w:val="libAlaemChar"/>
          <w:rFonts w:eastAsiaTheme="minorHAnsi"/>
          <w:rtl/>
        </w:rPr>
        <w:t>صلى‌الله‌عليه‌وآله</w:t>
      </w:r>
      <w:r w:rsidR="008B7A50" w:rsidRPr="00C9040A">
        <w:rPr>
          <w:rtl/>
          <w:lang w:bidi="fa-IR"/>
        </w:rPr>
        <w:t xml:space="preserve"> </w:t>
      </w:r>
      <w:r w:rsidRPr="00C9040A">
        <w:rPr>
          <w:rtl/>
          <w:lang w:bidi="fa-IR"/>
        </w:rPr>
        <w:t xml:space="preserve">لَيْسَ فِيهِمْ </w:t>
      </w:r>
      <w:r w:rsidR="006C577F" w:rsidRPr="006C577F">
        <w:rPr>
          <w:rStyle w:val="libFootnotenumChar"/>
          <w:rtl/>
        </w:rPr>
        <w:t>(5)</w:t>
      </w:r>
      <w:r w:rsidRPr="00C9040A">
        <w:rPr>
          <w:rtl/>
          <w:lang w:bidi="fa-IR"/>
        </w:rPr>
        <w:t xml:space="preserve"> مِنَ الْيَهُودِ وَالنَّصَارى أَحَدٌ.</w:t>
      </w:r>
    </w:p>
    <w:p w:rsidR="008A74EB" w:rsidRPr="00C9040A" w:rsidRDefault="008A74EB" w:rsidP="008A74EB">
      <w:pPr>
        <w:pStyle w:val="libNormal"/>
        <w:rPr>
          <w:rtl/>
          <w:lang w:bidi="fa-IR"/>
        </w:rPr>
      </w:pPr>
      <w:r w:rsidRPr="00C9040A">
        <w:rPr>
          <w:rtl/>
          <w:lang w:bidi="fa-IR"/>
        </w:rPr>
        <w:t xml:space="preserve">وَتَصْدِيقُ ذلِكَ قَوْلُ اللهِ عَزَّ وَجَلَّ : </w:t>
      </w:r>
      <w:r w:rsidRPr="0003660B">
        <w:rPr>
          <w:rStyle w:val="libAlaemChar"/>
          <w:rtl/>
        </w:rPr>
        <w:t>(</w:t>
      </w:r>
      <w:r w:rsidRPr="006A2246">
        <w:rPr>
          <w:rStyle w:val="libAieChar"/>
          <w:rtl/>
        </w:rPr>
        <w:t xml:space="preserve"> كَذَّبَتْ قَبْلَهُمْ</w:t>
      </w:r>
      <w:r>
        <w:rPr>
          <w:rFonts w:hint="cs"/>
          <w:rtl/>
        </w:rPr>
        <w:t xml:space="preserve"> </w:t>
      </w:r>
      <w:r w:rsidR="006C577F" w:rsidRPr="006C577F">
        <w:rPr>
          <w:rStyle w:val="libFootnotenumChar"/>
          <w:rtl/>
        </w:rPr>
        <w:t>(6)</w:t>
      </w:r>
      <w:r>
        <w:rPr>
          <w:rFonts w:hint="cs"/>
          <w:rtl/>
        </w:rPr>
        <w:t xml:space="preserve"> </w:t>
      </w:r>
      <w:r w:rsidRPr="006A2246">
        <w:rPr>
          <w:rStyle w:val="libAieChar"/>
          <w:rtl/>
        </w:rPr>
        <w:t xml:space="preserve">قَوْمُ نُوحٍ </w:t>
      </w:r>
      <w:r w:rsidRPr="0003660B">
        <w:rPr>
          <w:rStyle w:val="libAlaemChar"/>
          <w:rtl/>
        </w:rPr>
        <w:t>)</w:t>
      </w:r>
      <w:r w:rsidRPr="00C9040A">
        <w:rPr>
          <w:rtl/>
          <w:lang w:bidi="fa-IR"/>
        </w:rPr>
        <w:t xml:space="preserve"> </w:t>
      </w:r>
      <w:r w:rsidR="006C577F" w:rsidRPr="006C577F">
        <w:rPr>
          <w:rStyle w:val="libFootnotenumChar"/>
          <w:rtl/>
        </w:rPr>
        <w:t>(7)</w:t>
      </w:r>
      <w:r w:rsidRPr="00C9040A">
        <w:rPr>
          <w:rtl/>
          <w:lang w:bidi="fa-IR"/>
        </w:rPr>
        <w:t xml:space="preserve"> ، </w:t>
      </w:r>
      <w:r w:rsidRPr="0003660B">
        <w:rPr>
          <w:rStyle w:val="libAlaemChar"/>
          <w:rtl/>
        </w:rPr>
        <w:t>(</w:t>
      </w:r>
      <w:r w:rsidRPr="006A2246">
        <w:rPr>
          <w:rStyle w:val="libAieChar"/>
          <w:rtl/>
        </w:rPr>
        <w:t xml:space="preserve"> كَذَّبَ أَصْحابُ الْأَيْكَةِ </w:t>
      </w:r>
      <w:r w:rsidRPr="0003660B">
        <w:rPr>
          <w:rStyle w:val="libAlaemChar"/>
          <w:rtl/>
        </w:rPr>
        <w:t>)</w:t>
      </w:r>
      <w:r w:rsidRPr="00C9040A">
        <w:rPr>
          <w:rtl/>
          <w:lang w:bidi="fa-IR"/>
        </w:rPr>
        <w:t xml:space="preserve"> </w:t>
      </w:r>
      <w:r w:rsidR="006C577F" w:rsidRPr="006C577F">
        <w:rPr>
          <w:rStyle w:val="libFootnotenumChar"/>
          <w:rtl/>
        </w:rPr>
        <w:t>(8)</w:t>
      </w:r>
      <w:r w:rsidRPr="00C9040A">
        <w:rPr>
          <w:rtl/>
          <w:lang w:bidi="fa-IR"/>
        </w:rPr>
        <w:t xml:space="preserve"> ، </w:t>
      </w:r>
      <w:r w:rsidRPr="0003660B">
        <w:rPr>
          <w:rStyle w:val="libAlaemChar"/>
          <w:rtl/>
        </w:rPr>
        <w:t>(</w:t>
      </w:r>
      <w:r w:rsidRPr="006A2246">
        <w:rPr>
          <w:rStyle w:val="libAieChar"/>
          <w:rtl/>
        </w:rPr>
        <w:t xml:space="preserve"> كَذَّبَتْ قَوْمُ لُوطٍ </w:t>
      </w:r>
      <w:r w:rsidRPr="0003660B">
        <w:rPr>
          <w:rStyle w:val="libAlaemChar"/>
          <w:rtl/>
        </w:rPr>
        <w:t>)</w:t>
      </w:r>
      <w:r w:rsidRPr="00C9040A">
        <w:rPr>
          <w:rtl/>
          <w:lang w:bidi="fa-IR"/>
        </w:rPr>
        <w:t xml:space="preserve"> </w:t>
      </w:r>
      <w:r w:rsidR="006C577F" w:rsidRPr="006C577F">
        <w:rPr>
          <w:rStyle w:val="libFootnotenumChar"/>
          <w:rtl/>
        </w:rPr>
        <w:t>(9)</w:t>
      </w:r>
      <w:r w:rsidRPr="00C9040A">
        <w:rPr>
          <w:rtl/>
          <w:lang w:bidi="fa-IR"/>
        </w:rPr>
        <w:t xml:space="preserve"> لَيْسَ فِيهِمُ </w:t>
      </w:r>
      <w:r w:rsidR="006C577F" w:rsidRPr="006C577F">
        <w:rPr>
          <w:rStyle w:val="libFootnotenumChar"/>
          <w:rtl/>
        </w:rPr>
        <w:t>(10)</w:t>
      </w:r>
      <w:r w:rsidRPr="00C9040A">
        <w:rPr>
          <w:rtl/>
          <w:lang w:bidi="fa-IR"/>
        </w:rPr>
        <w:t xml:space="preserve"> الْيَهُودُ الَّذِينَ قَالُوا : </w:t>
      </w:r>
      <w:r w:rsidRPr="0003660B">
        <w:rPr>
          <w:rStyle w:val="libAlaemChar"/>
          <w:rtl/>
        </w:rPr>
        <w:t>(</w:t>
      </w:r>
      <w:r w:rsidRPr="006A2246">
        <w:rPr>
          <w:rStyle w:val="libAieChar"/>
          <w:rtl/>
        </w:rPr>
        <w:t xml:space="preserve"> عُزَيْرٌ ابْنُ اللهِ</w:t>
      </w:r>
      <w:r w:rsidRPr="0003660B">
        <w:rPr>
          <w:rStyle w:val="libAlaemChar"/>
          <w:rtl/>
        </w:rPr>
        <w:t>)</w:t>
      </w:r>
      <w:r w:rsidRPr="00C9040A">
        <w:rPr>
          <w:rtl/>
          <w:lang w:bidi="fa-IR"/>
        </w:rPr>
        <w:t xml:space="preserve"> ، وَلَا النَّصَارَى الَّذِينَ قَالُوا : </w:t>
      </w:r>
      <w:r w:rsidRPr="0003660B">
        <w:rPr>
          <w:rStyle w:val="libAlaemChar"/>
          <w:rtl/>
        </w:rPr>
        <w:t>(</w:t>
      </w:r>
      <w:r w:rsidRPr="006A2246">
        <w:rPr>
          <w:rStyle w:val="libAieChar"/>
          <w:rtl/>
        </w:rPr>
        <w:t xml:space="preserve"> الْمَسِيحُ ابْنُ اللهِ </w:t>
      </w:r>
      <w:r w:rsidRPr="0003660B">
        <w:rPr>
          <w:rStyle w:val="libAlaemChar"/>
          <w:rtl/>
        </w:rPr>
        <w:t>)</w:t>
      </w:r>
      <w:r w:rsidRPr="00C9040A">
        <w:rPr>
          <w:rtl/>
          <w:lang w:bidi="fa-IR"/>
        </w:rPr>
        <w:t xml:space="preserve"> </w:t>
      </w:r>
      <w:r w:rsidR="006C577F" w:rsidRPr="006C577F">
        <w:rPr>
          <w:rStyle w:val="libFootnotenumChar"/>
          <w:rtl/>
        </w:rPr>
        <w:t>(11)</w:t>
      </w:r>
      <w:r w:rsidRPr="00C9040A">
        <w:rPr>
          <w:rtl/>
          <w:lang w:bidi="fa-IR"/>
        </w:rPr>
        <w:t xml:space="preserve"> سَيُدْخِلُ اللهُ الْيَهُودَ وَالنَّصَارَى النَّارَ ، وَيُدْخِلُ كُلَّ قَوْمٍ بِأَعْمَالِهِمْ.</w:t>
      </w:r>
    </w:p>
    <w:p w:rsidR="008A74EB" w:rsidRPr="00C9040A" w:rsidRDefault="008A74EB" w:rsidP="008A74EB">
      <w:pPr>
        <w:pStyle w:val="libNormal"/>
        <w:rPr>
          <w:rtl/>
          <w:lang w:bidi="fa-IR"/>
        </w:rPr>
      </w:pPr>
      <w:r w:rsidRPr="00C9040A">
        <w:rPr>
          <w:rtl/>
          <w:lang w:bidi="fa-IR"/>
        </w:rPr>
        <w:t xml:space="preserve">وَقَوْلُهُمْ : </w:t>
      </w:r>
      <w:r w:rsidRPr="0003660B">
        <w:rPr>
          <w:rStyle w:val="libAlaemChar"/>
          <w:rtl/>
        </w:rPr>
        <w:t>(</w:t>
      </w:r>
      <w:r w:rsidR="00906A18">
        <w:rPr>
          <w:rStyle w:val="libAieChar"/>
          <w:rtl/>
        </w:rPr>
        <w:t xml:space="preserve"> وَما أَضَلَّنا إِل</w:t>
      </w:r>
      <w:r w:rsidR="00906A18">
        <w:rPr>
          <w:rStyle w:val="libAieChar"/>
          <w:rFonts w:hint="cs"/>
          <w:rtl/>
        </w:rPr>
        <w:t>َّ</w:t>
      </w:r>
      <w:r w:rsidR="00906A18">
        <w:rPr>
          <w:rStyle w:val="libAieChar"/>
          <w:rtl/>
        </w:rPr>
        <w:t>ا</w:t>
      </w:r>
      <w:r w:rsidRPr="006A2246">
        <w:rPr>
          <w:rStyle w:val="libAieChar"/>
          <w:rtl/>
        </w:rPr>
        <w:t xml:space="preserve"> الْمُجْرِمُونَ </w:t>
      </w:r>
      <w:r w:rsidRPr="0003660B">
        <w:rPr>
          <w:rStyle w:val="libAlaemChar"/>
          <w:rtl/>
        </w:rPr>
        <w:t>)</w:t>
      </w:r>
      <w:r w:rsidRPr="00C9040A">
        <w:rPr>
          <w:rtl/>
          <w:lang w:bidi="fa-IR"/>
        </w:rPr>
        <w:t xml:space="preserve"> إِذْ دَعَوْنَا </w:t>
      </w:r>
      <w:r w:rsidR="006C577F" w:rsidRPr="006C577F">
        <w:rPr>
          <w:rStyle w:val="libFootnotenumChar"/>
          <w:rtl/>
        </w:rPr>
        <w:t>(12)</w:t>
      </w:r>
      <w:r w:rsidRPr="00C9040A">
        <w:rPr>
          <w:rtl/>
          <w:lang w:bidi="fa-IR"/>
        </w:rPr>
        <w:t xml:space="preserve"> إِلى سَبِيلِهِمْ ذلِكَ قَوْلُ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فِيهِمْ حِينَ جَمَعَهُمْ إِلَى النَّارِ : </w:t>
      </w:r>
      <w:r w:rsidRPr="0003660B">
        <w:rPr>
          <w:rStyle w:val="libAlaemChar"/>
          <w:rtl/>
        </w:rPr>
        <w:t>(</w:t>
      </w:r>
      <w:r w:rsidRPr="006A2246">
        <w:rPr>
          <w:rStyle w:val="libAieChar"/>
          <w:rtl/>
        </w:rPr>
        <w:t xml:space="preserve"> قالَتْ أُخْراهُمْ لِأُولاهُمْ</w:t>
      </w:r>
      <w:r w:rsidRPr="00824E89">
        <w:rPr>
          <w:rFonts w:hint="cs"/>
          <w:rtl/>
        </w:rPr>
        <w:t xml:space="preserve"> </w:t>
      </w:r>
      <w:r w:rsidRPr="005B567D">
        <w:rPr>
          <w:rStyle w:val="libFootnotenumChar"/>
          <w:rtl/>
        </w:rPr>
        <w:t>(13)</w:t>
      </w:r>
      <w:r w:rsidRPr="00824E89">
        <w:rPr>
          <w:rFonts w:hint="cs"/>
          <w:rtl/>
        </w:rPr>
        <w:t xml:space="preserve"> </w:t>
      </w:r>
      <w:r w:rsidRPr="006A2246">
        <w:rPr>
          <w:rStyle w:val="libAieChar"/>
          <w:rtl/>
        </w:rPr>
        <w:t>رَبَّنا هؤُلاءِ أَضَلُّونا فَآتِهِمْ</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906A18" w:rsidTr="00906A18">
        <w:tc>
          <w:tcPr>
            <w:tcW w:w="4006" w:type="dxa"/>
          </w:tcPr>
          <w:p w:rsidR="00906A18" w:rsidRDefault="00906A18" w:rsidP="004A4E41">
            <w:pPr>
              <w:pStyle w:val="libFootnote0"/>
              <w:rPr>
                <w:rtl/>
              </w:rPr>
            </w:pPr>
            <w:r>
              <w:rPr>
                <w:rtl/>
              </w:rPr>
              <w:t>(1).</w:t>
            </w:r>
            <w:r w:rsidRPr="00C9040A">
              <w:rPr>
                <w:rtl/>
              </w:rPr>
              <w:t xml:space="preserve"> الحاقّة (69) : 25</w:t>
            </w:r>
            <w:r>
              <w:rPr>
                <w:rtl/>
              </w:rPr>
              <w:t xml:space="preserve"> - </w:t>
            </w:r>
            <w:r w:rsidRPr="00C9040A">
              <w:rPr>
                <w:rtl/>
              </w:rPr>
              <w:t>33.</w:t>
            </w:r>
          </w:p>
        </w:tc>
        <w:tc>
          <w:tcPr>
            <w:tcW w:w="4006" w:type="dxa"/>
          </w:tcPr>
          <w:p w:rsidR="00906A18" w:rsidRDefault="00906A18" w:rsidP="004A4E41">
            <w:pPr>
              <w:pStyle w:val="libFootnote0"/>
              <w:rPr>
                <w:rtl/>
              </w:rPr>
            </w:pPr>
            <w:r>
              <w:rPr>
                <w:rtl/>
              </w:rPr>
              <w:t xml:space="preserve">(2). </w:t>
            </w:r>
            <w:r w:rsidRPr="00C9040A">
              <w:rPr>
                <w:rtl/>
              </w:rPr>
              <w:t>الشعراء (26) : 91</w:t>
            </w:r>
            <w:r>
              <w:rPr>
                <w:rtl/>
              </w:rPr>
              <w:t xml:space="preserve"> - </w:t>
            </w:r>
            <w:r w:rsidRPr="00C9040A">
              <w:rPr>
                <w:rtl/>
              </w:rPr>
              <w:t>95.</w:t>
            </w:r>
          </w:p>
        </w:tc>
      </w:tr>
      <w:tr w:rsidR="00906A18" w:rsidTr="00906A18">
        <w:tc>
          <w:tcPr>
            <w:tcW w:w="4006" w:type="dxa"/>
          </w:tcPr>
          <w:p w:rsidR="00906A18" w:rsidRDefault="00906A18" w:rsidP="004A4E41">
            <w:pPr>
              <w:pStyle w:val="libFootnote0"/>
              <w:rPr>
                <w:rtl/>
              </w:rPr>
            </w:pPr>
            <w:r>
              <w:rPr>
                <w:rtl/>
              </w:rPr>
              <w:t>(3).</w:t>
            </w:r>
            <w:r w:rsidRPr="00C9040A">
              <w:rPr>
                <w:rtl/>
              </w:rPr>
              <w:t xml:space="preserve"> في « ب » : « وجنود »</w:t>
            </w:r>
            <w:r>
              <w:rPr>
                <w:rtl/>
              </w:rPr>
              <w:t>.</w:t>
            </w:r>
          </w:p>
        </w:tc>
        <w:tc>
          <w:tcPr>
            <w:tcW w:w="4006" w:type="dxa"/>
          </w:tcPr>
          <w:p w:rsidR="00906A18" w:rsidRDefault="00906A18" w:rsidP="004A4E41">
            <w:pPr>
              <w:pStyle w:val="libFootnote0"/>
              <w:rPr>
                <w:rtl/>
              </w:rPr>
            </w:pPr>
            <w:r>
              <w:rPr>
                <w:rtl/>
              </w:rPr>
              <w:t>(4).</w:t>
            </w:r>
            <w:r w:rsidRPr="00C9040A">
              <w:rPr>
                <w:rtl/>
              </w:rPr>
              <w:t xml:space="preserve"> الشعراء (26) : 99.</w:t>
            </w:r>
          </w:p>
        </w:tc>
      </w:tr>
    </w:tbl>
    <w:p w:rsidR="008A74EB" w:rsidRPr="00C9040A" w:rsidRDefault="006C577F" w:rsidP="004A4E41">
      <w:pPr>
        <w:pStyle w:val="libFootnote0"/>
        <w:rPr>
          <w:rtl/>
          <w:lang w:bidi="fa-IR"/>
        </w:rPr>
      </w:pPr>
      <w:r>
        <w:rPr>
          <w:rtl/>
        </w:rPr>
        <w:t>(5).</w:t>
      </w:r>
      <w:r w:rsidR="008A74EB" w:rsidRPr="00C9040A">
        <w:rPr>
          <w:rtl/>
        </w:rPr>
        <w:t xml:space="preserve"> في الوافي والبحار ، ج 69 : « هم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w:t>
      </w:r>
      <w:r w:rsidR="008A74EB" w:rsidRPr="00993B55">
        <w:rPr>
          <w:rStyle w:val="libFootnoteBoldChar"/>
          <w:rtl/>
        </w:rPr>
        <w:t>مرآة العقول</w:t>
      </w:r>
      <w:r w:rsidR="008A74EB" w:rsidRPr="00C9040A">
        <w:rPr>
          <w:rtl/>
        </w:rPr>
        <w:t xml:space="preserve"> : « قوله : </w:t>
      </w:r>
      <w:r w:rsidR="008A74EB" w:rsidRPr="00B866D3">
        <w:rPr>
          <w:rStyle w:val="libFootnoteAlaemChar"/>
          <w:rtl/>
        </w:rPr>
        <w:t>(</w:t>
      </w:r>
      <w:r w:rsidR="008A74EB" w:rsidRPr="00883DD5">
        <w:rPr>
          <w:rStyle w:val="libFootnoteAieChar"/>
          <w:rFonts w:hint="cs"/>
          <w:rtl/>
        </w:rPr>
        <w:t xml:space="preserve"> </w:t>
      </w:r>
      <w:r w:rsidR="008A74EB" w:rsidRPr="00883DD5">
        <w:rPr>
          <w:rStyle w:val="libFootnoteAieChar"/>
          <w:rtl/>
        </w:rPr>
        <w:t>كَذَّبَتْ قَبْلَهُمْ قَوْمُ نُوحٍ</w:t>
      </w:r>
      <w:r w:rsidR="008A74EB" w:rsidRPr="00883DD5">
        <w:rPr>
          <w:rStyle w:val="libFootnoteAieChar"/>
          <w:rFonts w:hint="cs"/>
          <w:rtl/>
        </w:rPr>
        <w:t xml:space="preserve"> </w:t>
      </w:r>
      <w:r w:rsidR="008A74EB" w:rsidRPr="00B866D3">
        <w:rPr>
          <w:rStyle w:val="libFootnoteAlaemChar"/>
          <w:rtl/>
        </w:rPr>
        <w:t>)</w:t>
      </w:r>
      <w:r w:rsidR="008A74EB" w:rsidRPr="00C9040A">
        <w:rPr>
          <w:rtl/>
        </w:rPr>
        <w:t xml:space="preserve"> ، كأنّه نقل بالمعنى ؛ لأنّ تلك الآيات في سورة الشعراء وليس‌فيها </w:t>
      </w:r>
      <w:r w:rsidR="003557B4" w:rsidRPr="00B866D3">
        <w:rPr>
          <w:rStyle w:val="libFootnoteAlaemChar"/>
          <w:rtl/>
        </w:rPr>
        <w:t>(</w:t>
      </w:r>
      <w:r w:rsidR="008A74EB" w:rsidRPr="003557B4">
        <w:rPr>
          <w:rStyle w:val="libFootnoteAieChar"/>
          <w:rtl/>
        </w:rPr>
        <w:t xml:space="preserve"> قَبْلَهُمْ </w:t>
      </w:r>
      <w:r w:rsidR="003557B4" w:rsidRPr="00B866D3">
        <w:rPr>
          <w:rStyle w:val="libFootnoteAlaemChar"/>
          <w:rtl/>
        </w:rPr>
        <w:t>)</w:t>
      </w:r>
      <w:r w:rsidR="008A74EB" w:rsidRPr="00C9040A">
        <w:rPr>
          <w:rtl/>
        </w:rPr>
        <w:t xml:space="preserve"> وإنّما هي في « ص</w:t>
      </w:r>
      <w:r w:rsidR="00A25D3B">
        <w:rPr>
          <w:rFonts w:hint="cs"/>
          <w:rtl/>
        </w:rPr>
        <w:t>ّ</w:t>
      </w:r>
      <w:r w:rsidR="008A74EB" w:rsidRPr="00C9040A">
        <w:rPr>
          <w:rtl/>
        </w:rPr>
        <w:t xml:space="preserve"> » [ (38) : 12 ] </w:t>
      </w:r>
      <w:r w:rsidR="008A74EB">
        <w:rPr>
          <w:rtl/>
        </w:rPr>
        <w:t>و «</w:t>
      </w:r>
      <w:r w:rsidR="008A74EB" w:rsidRPr="00C9040A">
        <w:rPr>
          <w:rtl/>
        </w:rPr>
        <w:t xml:space="preserve"> المؤمن » [ (40) : 5 ]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الحجّ (22) : 42 ؛ ق (50) : 12 ومواضع ا</w:t>
      </w:r>
      <w:r w:rsidR="00A25D3B">
        <w:rPr>
          <w:rFonts w:hint="cs"/>
          <w:rtl/>
        </w:rPr>
        <w:t>ُ</w:t>
      </w:r>
      <w:r w:rsidR="008A74EB" w:rsidRPr="00C9040A">
        <w:rPr>
          <w:rtl/>
        </w:rPr>
        <w:t xml:space="preserve">خرى من القرآن. وفي الشعراء (26) : 105 : </w:t>
      </w:r>
      <w:r w:rsidR="00A25D3B" w:rsidRPr="00B866D3">
        <w:rPr>
          <w:rStyle w:val="libFootnoteAlaemChar"/>
          <w:rFonts w:hint="cs"/>
          <w:rtl/>
        </w:rPr>
        <w:t>(</w:t>
      </w:r>
      <w:r w:rsidR="008A74EB" w:rsidRPr="00A25D3B">
        <w:rPr>
          <w:rStyle w:val="libFootnoteAieChar"/>
          <w:rtl/>
        </w:rPr>
        <w:t xml:space="preserve"> كَذَّبَتْ قَوْمُ نُوحٍ الْمُرْسَلِينَ </w:t>
      </w:r>
      <w:r w:rsidR="00A25D3B" w:rsidRPr="00B866D3">
        <w:rPr>
          <w:rStyle w:val="libFootnoteAlaemChar"/>
          <w:rFonts w:hint="cs"/>
          <w:rtl/>
        </w:rPr>
        <w:t>)</w:t>
      </w:r>
      <w:r w:rsidR="008A74EB">
        <w:rPr>
          <w:rtl/>
        </w:rPr>
        <w:t>.</w:t>
      </w:r>
      <w:r w:rsidR="00A25D3B">
        <w:rPr>
          <w:rFonts w:hint="cs"/>
          <w:rtl/>
        </w:rPr>
        <w:t xml:space="preserve">                                                </w:t>
      </w:r>
      <w:r>
        <w:rPr>
          <w:rtl/>
        </w:rPr>
        <w:t>(8).</w:t>
      </w:r>
      <w:r w:rsidR="008A74EB" w:rsidRPr="00C9040A">
        <w:rPr>
          <w:rtl/>
        </w:rPr>
        <w:t xml:space="preserve"> الشعراء (26) : 176.</w:t>
      </w:r>
    </w:p>
    <w:p w:rsidR="008A74EB" w:rsidRPr="00C9040A" w:rsidRDefault="006C577F" w:rsidP="004A4E41">
      <w:pPr>
        <w:pStyle w:val="libFootnote0"/>
        <w:rPr>
          <w:rtl/>
          <w:lang w:bidi="fa-IR"/>
        </w:rPr>
      </w:pPr>
      <w:r>
        <w:rPr>
          <w:rtl/>
        </w:rPr>
        <w:t>(9).</w:t>
      </w:r>
      <w:r w:rsidR="008A74EB" w:rsidRPr="00C9040A">
        <w:rPr>
          <w:rtl/>
        </w:rPr>
        <w:t xml:space="preserve"> الشعراء (26) : 160 ؛ القمر (54) : 33.</w:t>
      </w:r>
    </w:p>
    <w:p w:rsidR="008A74EB" w:rsidRPr="004A4E41" w:rsidRDefault="006C577F" w:rsidP="004A4E41">
      <w:pPr>
        <w:pStyle w:val="libFootnote0"/>
        <w:rPr>
          <w:rStyle w:val="libFootnote0Char"/>
          <w:rtl/>
        </w:rPr>
      </w:pPr>
      <w:r>
        <w:rPr>
          <w:rtl/>
        </w:rPr>
        <w:t>(10).</w:t>
      </w:r>
      <w:r w:rsidR="008A74EB" w:rsidRPr="00C9040A">
        <w:rPr>
          <w:rtl/>
        </w:rPr>
        <w:t xml:space="preserve"> في « ب » </w:t>
      </w:r>
      <w:r w:rsidR="008A74EB">
        <w:rPr>
          <w:rtl/>
        </w:rPr>
        <w:t xml:space="preserve">: </w:t>
      </w:r>
      <w:r w:rsidR="0084262C">
        <w:rPr>
          <w:rtl/>
        </w:rPr>
        <w:t>-</w:t>
      </w:r>
      <w:r w:rsidR="008A74EB" w:rsidRPr="00C9040A">
        <w:rPr>
          <w:rtl/>
        </w:rPr>
        <w:t xml:space="preserve"> « فيهم »</w:t>
      </w:r>
      <w:r w:rsidR="008A74EB">
        <w:rPr>
          <w:rtl/>
        </w:rPr>
        <w:t>.</w:t>
      </w:r>
      <w:r w:rsidR="008A74EB" w:rsidRPr="00C9040A">
        <w:rPr>
          <w:rtl/>
        </w:rPr>
        <w:t xml:space="preserve"> وفي « د ، ض ، ف » ومرآة العقول : « هم »</w:t>
      </w:r>
      <w:r w:rsidR="008A74EB">
        <w:rPr>
          <w:rtl/>
        </w:rPr>
        <w:t>.</w:t>
      </w:r>
    </w:p>
    <w:tbl>
      <w:tblPr>
        <w:tblStyle w:val="TableGrid"/>
        <w:bidiVisual/>
        <w:tblW w:w="0" w:type="auto"/>
        <w:tblLook w:val="04A0" w:firstRow="1" w:lastRow="0" w:firstColumn="1" w:lastColumn="0" w:noHBand="0" w:noVBand="1"/>
      </w:tblPr>
      <w:tblGrid>
        <w:gridCol w:w="4006"/>
        <w:gridCol w:w="4006"/>
      </w:tblGrid>
      <w:tr w:rsidR="00A25D3B" w:rsidTr="00A25D3B">
        <w:tc>
          <w:tcPr>
            <w:tcW w:w="4006" w:type="dxa"/>
          </w:tcPr>
          <w:p w:rsidR="00A25D3B" w:rsidRDefault="00A25D3B" w:rsidP="004A4E41">
            <w:pPr>
              <w:pStyle w:val="libFootnote0"/>
              <w:rPr>
                <w:rtl/>
              </w:rPr>
            </w:pPr>
            <w:r>
              <w:rPr>
                <w:rtl/>
              </w:rPr>
              <w:t>(11).</w:t>
            </w:r>
            <w:r w:rsidRPr="00C9040A">
              <w:rPr>
                <w:rtl/>
              </w:rPr>
              <w:t xml:space="preserve"> التوبة </w:t>
            </w:r>
            <w:r>
              <w:rPr>
                <w:rtl/>
              </w:rPr>
              <w:t>(9)</w:t>
            </w:r>
            <w:r w:rsidRPr="00C9040A">
              <w:rPr>
                <w:rtl/>
              </w:rPr>
              <w:t xml:space="preserve"> : 30.</w:t>
            </w:r>
          </w:p>
        </w:tc>
        <w:tc>
          <w:tcPr>
            <w:tcW w:w="4006" w:type="dxa"/>
          </w:tcPr>
          <w:p w:rsidR="00A25D3B" w:rsidRDefault="00A25D3B" w:rsidP="004A4E41">
            <w:pPr>
              <w:pStyle w:val="libFootnote0"/>
              <w:rPr>
                <w:rtl/>
              </w:rPr>
            </w:pPr>
            <w:r>
              <w:rPr>
                <w:rtl/>
              </w:rPr>
              <w:t>(12).</w:t>
            </w:r>
            <w:r w:rsidRPr="00C9040A">
              <w:rPr>
                <w:rtl/>
              </w:rPr>
              <w:t xml:space="preserve"> في « ض ، بف » : « دعوناهم »</w:t>
            </w:r>
            <w:r>
              <w:rPr>
                <w:rtl/>
              </w:rPr>
              <w:t>.</w:t>
            </w:r>
          </w:p>
        </w:tc>
      </w:tr>
    </w:tbl>
    <w:p w:rsidR="008A74EB" w:rsidRPr="00C9040A" w:rsidRDefault="008A74EB" w:rsidP="004A4E41">
      <w:pPr>
        <w:pStyle w:val="libFootnote0"/>
        <w:rPr>
          <w:rtl/>
          <w:lang w:bidi="fa-IR"/>
        </w:rPr>
      </w:pPr>
      <w:r>
        <w:rPr>
          <w:rtl/>
        </w:rPr>
        <w:t>(13)</w:t>
      </w:r>
      <w:r w:rsidRPr="00C9040A">
        <w:rPr>
          <w:rtl/>
        </w:rPr>
        <w:t xml:space="preserve"> هكذا في القرآن </w:t>
      </w:r>
      <w:r>
        <w:rPr>
          <w:rtl/>
        </w:rPr>
        <w:t>و «</w:t>
      </w:r>
      <w:r w:rsidRPr="00C9040A">
        <w:rPr>
          <w:rtl/>
        </w:rPr>
        <w:t xml:space="preserve"> جس » وحاشية « بح » والوافي والبحار ، ج 69. وفي سائر النسخ والمطبوع : « ا</w:t>
      </w:r>
      <w:r w:rsidR="009F7479">
        <w:rPr>
          <w:rFonts w:hint="cs"/>
          <w:rtl/>
        </w:rPr>
        <w:t>ُ</w:t>
      </w:r>
      <w:r w:rsidRPr="00C9040A">
        <w:rPr>
          <w:rtl/>
        </w:rPr>
        <w:t>وليهم‌لُاخراهم »</w:t>
      </w:r>
      <w:r>
        <w:rPr>
          <w:rtl/>
        </w:rPr>
        <w:t>.</w:t>
      </w:r>
      <w:r w:rsidRPr="00C9040A">
        <w:rPr>
          <w:rtl/>
        </w:rPr>
        <w:t xml:space="preserve"> وقال في </w:t>
      </w:r>
      <w:r w:rsidRPr="00993B55">
        <w:rPr>
          <w:rStyle w:val="libFootnoteBoldChar"/>
          <w:rtl/>
        </w:rPr>
        <w:t>مرآة العقول</w:t>
      </w:r>
      <w:r w:rsidRPr="00C9040A">
        <w:rPr>
          <w:rtl/>
        </w:rPr>
        <w:t xml:space="preserve"> بعد ذكر الآيات في سورة الأعراف : « فظهر أنّ قوله : وقالت ا</w:t>
      </w:r>
      <w:r w:rsidR="009F7479">
        <w:rPr>
          <w:rFonts w:hint="cs"/>
          <w:rtl/>
        </w:rPr>
        <w:t>ُ</w:t>
      </w:r>
      <w:r w:rsidRPr="00C9040A">
        <w:rPr>
          <w:rtl/>
        </w:rPr>
        <w:t xml:space="preserve">وليهم لُاخراهم ، </w:t>
      </w:r>
      <w:r w:rsidR="009F7479">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6A2246">
        <w:rPr>
          <w:rStyle w:val="libAieChar"/>
          <w:rtl/>
        </w:rPr>
        <w:lastRenderedPageBreak/>
        <w:t xml:space="preserve">عَذاباً ضِعْفاً مِنَ النّارِ </w:t>
      </w:r>
      <w:r w:rsidRPr="0003660B">
        <w:rPr>
          <w:rStyle w:val="libAlaemChar"/>
          <w:rtl/>
        </w:rPr>
        <w:t>)</w:t>
      </w:r>
      <w:r w:rsidRPr="00C9040A">
        <w:rPr>
          <w:rtl/>
          <w:lang w:bidi="fa-IR"/>
        </w:rPr>
        <w:t xml:space="preserve"> وَقَوْلُهُ : </w:t>
      </w:r>
      <w:r w:rsidRPr="0003660B">
        <w:rPr>
          <w:rStyle w:val="libAlaemChar"/>
          <w:rtl/>
        </w:rPr>
        <w:t>(</w:t>
      </w:r>
      <w:r w:rsidRPr="006A2246">
        <w:rPr>
          <w:rStyle w:val="libAieChar"/>
          <w:rtl/>
        </w:rPr>
        <w:t xml:space="preserve"> كُلَّما دَخَلَتْ أُمَّةٌ لَعَنَتْ أُخْتَها حَتّى إِذَا ادّارَكُوا فِيها جَمِيعاً </w:t>
      </w:r>
      <w:r w:rsidRPr="0003660B">
        <w:rPr>
          <w:rStyle w:val="libAlaemChar"/>
          <w:rtl/>
        </w:rPr>
        <w:t>)</w:t>
      </w:r>
      <w:r w:rsidRPr="00C9040A">
        <w:rPr>
          <w:rtl/>
          <w:lang w:bidi="fa-IR"/>
        </w:rPr>
        <w:t xml:space="preserve"> </w:t>
      </w:r>
      <w:r w:rsidR="006C577F" w:rsidRPr="006C577F">
        <w:rPr>
          <w:rStyle w:val="libFootnotenumChar"/>
          <w:rtl/>
        </w:rPr>
        <w:t>(1)</w:t>
      </w:r>
      <w:r w:rsidRPr="002712F0">
        <w:rPr>
          <w:rFonts w:hint="cs"/>
          <w:rtl/>
        </w:rPr>
        <w:t xml:space="preserve"> </w:t>
      </w:r>
      <w:r w:rsidRPr="00C9040A">
        <w:rPr>
          <w:rtl/>
          <w:lang w:bidi="fa-IR"/>
        </w:rPr>
        <w:t xml:space="preserve">بَرِئَ بَعْضُهُمْ مِنْ بَعْضٍ ، وَلَعَنَ بَعْضُهُمْ بَعْضاً ، يُرِيدُ بَعْضُهُمْ أَنْ يَحُجَّ </w:t>
      </w:r>
      <w:r w:rsidR="006C577F" w:rsidRPr="006C577F">
        <w:rPr>
          <w:rStyle w:val="libFootnotenumChar"/>
          <w:rtl/>
        </w:rPr>
        <w:t>(2)</w:t>
      </w:r>
      <w:r w:rsidRPr="00C9040A">
        <w:rPr>
          <w:rtl/>
          <w:lang w:bidi="fa-IR"/>
        </w:rPr>
        <w:t xml:space="preserve"> بَعْضاً رَجَاءَ الْفَلْجِ </w:t>
      </w:r>
      <w:r w:rsidR="006C577F" w:rsidRPr="006C577F">
        <w:rPr>
          <w:rStyle w:val="libFootnotenumChar"/>
          <w:rtl/>
        </w:rPr>
        <w:t>(3)</w:t>
      </w:r>
      <w:r w:rsidRPr="00C9040A">
        <w:rPr>
          <w:rtl/>
          <w:lang w:bidi="fa-IR"/>
        </w:rPr>
        <w:t xml:space="preserve"> ، فَيُفْلِتُوا </w:t>
      </w:r>
      <w:r w:rsidR="006C577F" w:rsidRPr="006C577F">
        <w:rPr>
          <w:rStyle w:val="libFootnotenumChar"/>
          <w:rtl/>
        </w:rPr>
        <w:t>(4)</w:t>
      </w:r>
      <w:r w:rsidRPr="00C9040A">
        <w:rPr>
          <w:rtl/>
          <w:lang w:bidi="fa-IR"/>
        </w:rPr>
        <w:t xml:space="preserve"> مِنْ عَظِيمِ مَا نَزَلَ بِهِمْ ، وَلَيْسَ بِأَوَانِ بَلْوى ، وَلَا اخْتِبَارٍ ، وَلَا قَبُولِ مَعْذِرَةٍ ، وَلَاتَ </w:t>
      </w:r>
      <w:r w:rsidR="006C577F" w:rsidRPr="006C577F">
        <w:rPr>
          <w:rStyle w:val="libFootnotenumChar"/>
          <w:rtl/>
        </w:rPr>
        <w:t>(5)</w:t>
      </w:r>
      <w:r w:rsidRPr="00C9040A">
        <w:rPr>
          <w:rtl/>
          <w:lang w:bidi="fa-IR"/>
        </w:rPr>
        <w:t xml:space="preserve"> حِينَ نَجَاةٍ ، وَالْآيَاتُ </w:t>
      </w:r>
      <w:r w:rsidR="006C577F" w:rsidRPr="006C577F">
        <w:rPr>
          <w:rStyle w:val="libFootnotenumChar"/>
          <w:rtl/>
        </w:rPr>
        <w:t>(6)</w:t>
      </w:r>
      <w:r w:rsidRPr="005B567D">
        <w:rPr>
          <w:rStyle w:val="libFootnotenumChar"/>
          <w:rtl/>
        </w:rPr>
        <w:t xml:space="preserve"> </w:t>
      </w:r>
      <w:r w:rsidRPr="00C9040A">
        <w:rPr>
          <w:rtl/>
          <w:lang w:bidi="fa-IR"/>
        </w:rPr>
        <w:t xml:space="preserve">وَأَشْبَاهُهُنَّ مِمَّا نَزَلَ بِهِ </w:t>
      </w:r>
      <w:r w:rsidR="006C577F" w:rsidRPr="006C577F">
        <w:rPr>
          <w:rStyle w:val="libFootnotenumChar"/>
          <w:rtl/>
        </w:rPr>
        <w:t>(7)</w:t>
      </w:r>
      <w:r w:rsidRPr="00C9040A">
        <w:rPr>
          <w:rtl/>
          <w:lang w:bidi="fa-IR"/>
        </w:rPr>
        <w:t xml:space="preserve"> بِمَكَّةَ ، وَلَ</w:t>
      </w:r>
      <w:r w:rsidR="00464ED8">
        <w:rPr>
          <w:rtl/>
          <w:lang w:bidi="fa-IR"/>
        </w:rPr>
        <w:t>ا يُدْخِلُ اللهُ النَّارَ إِل</w:t>
      </w:r>
      <w:r w:rsidR="00464ED8">
        <w:rPr>
          <w:rFonts w:hint="cs"/>
          <w:rtl/>
          <w:lang w:bidi="fa-IR"/>
        </w:rPr>
        <w:t>َّ</w:t>
      </w:r>
      <w:r w:rsidR="00464ED8">
        <w:rPr>
          <w:rtl/>
          <w:lang w:bidi="fa-IR"/>
        </w:rPr>
        <w:t>ا</w:t>
      </w:r>
      <w:r w:rsidRPr="00C9040A">
        <w:rPr>
          <w:rtl/>
          <w:lang w:bidi="fa-IR"/>
        </w:rPr>
        <w:t xml:space="preserve"> مُشْرِكاً.</w:t>
      </w:r>
    </w:p>
    <w:p w:rsidR="008A74EB" w:rsidRPr="00C9040A" w:rsidRDefault="008A74EB" w:rsidP="008B7A50">
      <w:pPr>
        <w:pStyle w:val="libNormal"/>
        <w:rPr>
          <w:rtl/>
          <w:lang w:bidi="fa-IR"/>
        </w:rPr>
      </w:pPr>
      <w:r w:rsidRPr="00C9040A">
        <w:rPr>
          <w:rtl/>
          <w:lang w:bidi="fa-IR"/>
        </w:rPr>
        <w:t xml:space="preserve">فَلَمَّا أَذِنَ اللهُ لِمُحَمَّدٍ </w:t>
      </w:r>
      <w:r w:rsidR="004A4E41" w:rsidRPr="004A4E41">
        <w:rPr>
          <w:rStyle w:val="libAlaemChar"/>
          <w:rFonts w:eastAsiaTheme="minorHAnsi"/>
          <w:rtl/>
        </w:rPr>
        <w:t>صلى‌الله‌عليه‌وآله</w:t>
      </w:r>
      <w:r w:rsidR="008B7A50" w:rsidRPr="00C9040A">
        <w:rPr>
          <w:rtl/>
          <w:lang w:bidi="fa-IR"/>
        </w:rPr>
        <w:t xml:space="preserve"> </w:t>
      </w:r>
      <w:r w:rsidRPr="00C9040A">
        <w:rPr>
          <w:rtl/>
          <w:lang w:bidi="fa-IR"/>
        </w:rPr>
        <w:t>فِي الْخُرُوجِ مِنْ مَكَّةَ إِلَى الْمَدِينَةِ ، بَنَى الْإِسْلَامَ عَلى خَمْسٍ : شَهَادَةِ أَنْ لَا</w:t>
      </w:r>
      <w:r>
        <w:rPr>
          <w:rFonts w:hint="cs"/>
          <w:rtl/>
          <w:lang w:bidi="fa-IR"/>
        </w:rPr>
        <w:t xml:space="preserve"> </w:t>
      </w:r>
      <w:r w:rsidR="00464ED8">
        <w:rPr>
          <w:rtl/>
          <w:lang w:bidi="fa-IR"/>
        </w:rPr>
        <w:t>إِلهَ إِل</w:t>
      </w:r>
      <w:r w:rsidR="00464ED8">
        <w:rPr>
          <w:rFonts w:hint="cs"/>
          <w:rtl/>
          <w:lang w:bidi="fa-IR"/>
        </w:rPr>
        <w:t>َّ</w:t>
      </w:r>
      <w:r w:rsidR="00464ED8">
        <w:rPr>
          <w:rtl/>
          <w:lang w:bidi="fa-IR"/>
        </w:rPr>
        <w:t>ا</w:t>
      </w:r>
      <w:r w:rsidRPr="00C9040A">
        <w:rPr>
          <w:rtl/>
          <w:lang w:bidi="fa-IR"/>
        </w:rPr>
        <w:t xml:space="preserve"> اللهُ ، وَأَنَّ مُحَمَّداً </w:t>
      </w:r>
      <w:r w:rsidR="004A4E41" w:rsidRPr="004A4E41">
        <w:rPr>
          <w:rStyle w:val="libAlaemChar"/>
          <w:rFonts w:eastAsiaTheme="minorHAnsi"/>
          <w:rtl/>
        </w:rPr>
        <w:t>صلى‌الله‌عليه‌وآله</w:t>
      </w:r>
      <w:r w:rsidR="008B7A50" w:rsidRPr="00C9040A">
        <w:rPr>
          <w:rtl/>
          <w:lang w:bidi="fa-IR"/>
        </w:rPr>
        <w:t xml:space="preserve"> </w:t>
      </w:r>
      <w:r w:rsidRPr="00C9040A">
        <w:rPr>
          <w:rtl/>
          <w:lang w:bidi="fa-IR"/>
        </w:rPr>
        <w:t xml:space="preserve">عَبْدُهُ وَرَسُولُهُ </w:t>
      </w:r>
      <w:r w:rsidR="006C577F" w:rsidRPr="006C577F">
        <w:rPr>
          <w:rStyle w:val="libFootnotenumChar"/>
          <w:rtl/>
        </w:rPr>
        <w:t>(8)</w:t>
      </w:r>
      <w:r w:rsidRPr="00C9040A">
        <w:rPr>
          <w:rtl/>
          <w:lang w:bidi="fa-IR"/>
        </w:rPr>
        <w:t xml:space="preserve"> ، وَإِقَامِ الصَّلَاةِ ، وَإِيتَاءِ الزَّكَاةِ ، وَحِجِّ الْبَيْتِ ، وَصِيَامِ شَهْرِ رَمَضَانَ ، وَأَنْزَلَ عَلَيْهِ الْحُدُودَ وَقِسْمَةَ الْفَرَائِضِ ، وَأَخْبَرَهُ بِالْمَعَاصِي </w:t>
      </w:r>
      <w:r w:rsidR="006C577F" w:rsidRPr="006C577F">
        <w:rPr>
          <w:rStyle w:val="libFootnotenumChar"/>
          <w:rtl/>
        </w:rPr>
        <w:t>(9)</w:t>
      </w:r>
      <w:r w:rsidRPr="00C9040A">
        <w:rPr>
          <w:rtl/>
          <w:lang w:bidi="fa-IR"/>
        </w:rPr>
        <w:t xml:space="preserve"> الَّتِي أَوْجَبَ اللهُ عَلَيْهَا وَبِهَا </w:t>
      </w:r>
      <w:r w:rsidR="006C577F" w:rsidRPr="006C577F">
        <w:rPr>
          <w:rStyle w:val="libFootnotenumChar"/>
          <w:rtl/>
        </w:rPr>
        <w:t>(10)</w:t>
      </w:r>
      <w:r w:rsidRPr="00C9040A">
        <w:rPr>
          <w:rtl/>
          <w:lang w:bidi="fa-IR"/>
        </w:rPr>
        <w:t xml:space="preserve"> النَّارَ لِمَنْ عَمِلَ بِهَا.</w:t>
      </w:r>
    </w:p>
    <w:p w:rsidR="008A74EB" w:rsidRPr="00C9040A" w:rsidRDefault="008A74EB" w:rsidP="008A74EB">
      <w:pPr>
        <w:pStyle w:val="libNormal"/>
        <w:rPr>
          <w:rtl/>
          <w:lang w:bidi="fa-IR"/>
        </w:rPr>
      </w:pPr>
      <w:r w:rsidRPr="00C9040A">
        <w:rPr>
          <w:rtl/>
          <w:lang w:bidi="fa-IR"/>
        </w:rPr>
        <w:t xml:space="preserve">وَأَنْزَلَ فِي بَيَانِ الْقَاتِلِ : </w:t>
      </w:r>
      <w:r w:rsidRPr="0003660B">
        <w:rPr>
          <w:rStyle w:val="libAlaemChar"/>
          <w:rtl/>
        </w:rPr>
        <w:t>(</w:t>
      </w:r>
      <w:r w:rsidRPr="006A2246">
        <w:rPr>
          <w:rStyle w:val="libAieChar"/>
          <w:rtl/>
        </w:rPr>
        <w:t xml:space="preserve"> وَمَنْ يَقْتُلْ مُؤْمِناً مُتَعَمِّداً فَجَزاؤُهُ جَهَنَّمُ خالِداً فِيها وَغَضِبَ</w:t>
      </w:r>
    </w:p>
    <w:p w:rsidR="008A74EB" w:rsidRPr="00C9040A" w:rsidRDefault="008A74EB" w:rsidP="008A74EB">
      <w:pPr>
        <w:pStyle w:val="libLine"/>
        <w:rPr>
          <w:rtl/>
          <w:lang w:bidi="fa-IR"/>
        </w:rPr>
      </w:pPr>
      <w:r w:rsidRPr="00C9040A">
        <w:rPr>
          <w:rtl/>
          <w:lang w:bidi="fa-IR"/>
        </w:rPr>
        <w:t>__________________</w:t>
      </w:r>
    </w:p>
    <w:p w:rsidR="008A74EB" w:rsidRPr="00C9040A" w:rsidRDefault="00464ED8" w:rsidP="004A4E41">
      <w:pPr>
        <w:pStyle w:val="libFootnote0"/>
        <w:rPr>
          <w:rtl/>
          <w:lang w:bidi="fa-IR"/>
        </w:rPr>
      </w:pPr>
      <w:r>
        <w:rPr>
          <w:rFonts w:hint="cs"/>
          <w:rtl/>
        </w:rPr>
        <w:t xml:space="preserve">= </w:t>
      </w:r>
      <w:r w:rsidR="008A74EB" w:rsidRPr="00C9040A">
        <w:rPr>
          <w:rtl/>
        </w:rPr>
        <w:t>من سهو النسّاخ أو الرواة ، وأنّ « كلّما دخلت » مقدّم على السابق في الترتيب. قالوا : « و</w:t>
      </w:r>
      <w:r w:rsidR="008A74EB">
        <w:rPr>
          <w:rFonts w:hint="cs"/>
          <w:rtl/>
        </w:rPr>
        <w:t xml:space="preserve"> </w:t>
      </w:r>
      <w:r w:rsidR="00B866D3">
        <w:rPr>
          <w:rtl/>
        </w:rPr>
        <w:t>» في قوله : « وقوله</w:t>
      </w:r>
      <w:r w:rsidR="008A74EB" w:rsidRPr="00C9040A">
        <w:rPr>
          <w:rtl/>
        </w:rPr>
        <w:t>» ، بمعنى مع ، مع أنّه لا يدلّ على الترتيب »</w:t>
      </w:r>
      <w:r w:rsidR="008A74EB">
        <w:rPr>
          <w:rtl/>
        </w:rPr>
        <w:t>.</w:t>
      </w:r>
    </w:p>
    <w:p w:rsidR="008A74EB" w:rsidRPr="00C9040A" w:rsidRDefault="006C577F" w:rsidP="004A4E41">
      <w:pPr>
        <w:pStyle w:val="libFootnote0"/>
        <w:rPr>
          <w:rtl/>
          <w:lang w:bidi="fa-IR"/>
        </w:rPr>
      </w:pPr>
      <w:r>
        <w:rPr>
          <w:rtl/>
        </w:rPr>
        <w:t>(1).</w:t>
      </w:r>
      <w:r w:rsidR="008A74EB" w:rsidRPr="00C9040A">
        <w:rPr>
          <w:rtl/>
        </w:rPr>
        <w:t xml:space="preserve"> الأعراف </w:t>
      </w:r>
      <w:r w:rsidR="00464ED8">
        <w:rPr>
          <w:rtl/>
        </w:rPr>
        <w:t>(7)</w:t>
      </w:r>
      <w:r w:rsidR="008A74EB" w:rsidRPr="00C9040A">
        <w:rPr>
          <w:rtl/>
        </w:rPr>
        <w:t xml:space="preserve"> : 38.</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ب ، بس » وحاشية « ص ، بر ، بف » والبحار ، ج 69 : « يحج</w:t>
      </w:r>
      <w:r w:rsidR="00464ED8">
        <w:rPr>
          <w:rFonts w:hint="cs"/>
          <w:rtl/>
        </w:rPr>
        <w:t>ّ</w:t>
      </w:r>
      <w:r w:rsidR="008A74EB" w:rsidRPr="00C9040A">
        <w:rPr>
          <w:rtl/>
        </w:rPr>
        <w:t>ج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ف » : « الفلاح »</w:t>
      </w:r>
      <w:r w:rsidR="008A74EB">
        <w:rPr>
          <w:rtl/>
        </w:rPr>
        <w:t>.</w:t>
      </w:r>
      <w:r w:rsidR="008A74EB" w:rsidRPr="00C9040A">
        <w:rPr>
          <w:rtl/>
        </w:rPr>
        <w:t xml:space="preserve"> وفي حاشية « ف » : « الفلح » بالمهملة. وقال الخليل : « الفلج : الظفر بمن تخاصمه » ، وقال الجوهري : « الفلج : الظفر والفوز »</w:t>
      </w:r>
      <w:r w:rsidR="008A74EB">
        <w:rPr>
          <w:rtl/>
        </w:rPr>
        <w:t>.</w:t>
      </w:r>
      <w:r w:rsidR="008A74EB" w:rsidRPr="00C9040A">
        <w:rPr>
          <w:rtl/>
        </w:rPr>
        <w:t xml:space="preserve"> راجع : </w:t>
      </w:r>
      <w:r w:rsidR="008A74EB" w:rsidRPr="00993B55">
        <w:rPr>
          <w:rStyle w:val="libFootnoteBoldChar"/>
          <w:rtl/>
        </w:rPr>
        <w:t>ترتيب كتاب العين</w:t>
      </w:r>
      <w:r w:rsidR="008A74EB" w:rsidRPr="00C9040A">
        <w:rPr>
          <w:rtl/>
        </w:rPr>
        <w:t xml:space="preserve"> ، ج 3 ، ص 1413 ؛ </w:t>
      </w:r>
      <w:r w:rsidR="008A74EB" w:rsidRPr="00993B55">
        <w:rPr>
          <w:rStyle w:val="libFootnoteBoldChar"/>
          <w:rtl/>
        </w:rPr>
        <w:t>الصحاح</w:t>
      </w:r>
      <w:r w:rsidR="008A74EB" w:rsidRPr="00C9040A">
        <w:rPr>
          <w:rtl/>
        </w:rPr>
        <w:t xml:space="preserve"> ، ج 1 ، ص 335 ( فلج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ز » : « فيخلصوا »</w:t>
      </w:r>
      <w:r w:rsidR="008A74EB">
        <w:rPr>
          <w:rtl/>
        </w:rPr>
        <w:t>.</w:t>
      </w:r>
      <w:r w:rsidR="008A74EB" w:rsidRPr="00C9040A">
        <w:rPr>
          <w:rtl/>
        </w:rPr>
        <w:t xml:space="preserve"> والإفلات : التخل</w:t>
      </w:r>
      <w:r w:rsidR="00464ED8">
        <w:rPr>
          <w:rFonts w:hint="cs"/>
          <w:rtl/>
        </w:rPr>
        <w:t>ّ</w:t>
      </w:r>
      <w:r w:rsidR="008A74EB" w:rsidRPr="00C9040A">
        <w:rPr>
          <w:rtl/>
        </w:rPr>
        <w:t>ص من فجأة من غير تمك</w:t>
      </w:r>
      <w:r w:rsidR="00464ED8">
        <w:rPr>
          <w:rFonts w:hint="cs"/>
          <w:rtl/>
        </w:rPr>
        <w:t>ّ</w:t>
      </w:r>
      <w:r w:rsidR="008A74EB" w:rsidRPr="00C9040A">
        <w:rPr>
          <w:rtl/>
        </w:rPr>
        <w:t xml:space="preserve">ث. راجع : </w:t>
      </w:r>
      <w:r w:rsidR="008A74EB" w:rsidRPr="00993B55">
        <w:rPr>
          <w:rStyle w:val="libFootnoteBoldChar"/>
          <w:rtl/>
        </w:rPr>
        <w:t>النهاية</w:t>
      </w:r>
      <w:r w:rsidR="008A74EB" w:rsidRPr="00C9040A">
        <w:rPr>
          <w:rtl/>
        </w:rPr>
        <w:t xml:space="preserve"> ، ج 3 ، ص 467 ؛ </w:t>
      </w:r>
      <w:r w:rsidR="008A74EB" w:rsidRPr="00993B55">
        <w:rPr>
          <w:rStyle w:val="libFootnoteBoldChar"/>
          <w:rtl/>
        </w:rPr>
        <w:t xml:space="preserve">لسان‌العرب </w:t>
      </w:r>
      <w:r w:rsidR="008A74EB" w:rsidRPr="00C9040A">
        <w:rPr>
          <w:rtl/>
        </w:rPr>
        <w:t>، ج 2 ، ص 66 ( فلت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ب ، ج ، د ، ز ، ص ، ض ، ف ، بر » ومرآة العقول والبحار ، ج 69 : « ولا » بدل « ولات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قوله : « الآيات » مرفوع</w:t>
      </w:r>
      <w:r w:rsidR="008A74EB">
        <w:rPr>
          <w:rtl/>
        </w:rPr>
        <w:t xml:space="preserve"> ب</w:t>
      </w:r>
      <w:r w:rsidR="00464ED8">
        <w:rPr>
          <w:rFonts w:hint="cs"/>
          <w:rtl/>
        </w:rPr>
        <w:t>ـ</w:t>
      </w:r>
      <w:r w:rsidR="008A74EB">
        <w:rPr>
          <w:rtl/>
        </w:rPr>
        <w:t xml:space="preserve"> «</w:t>
      </w:r>
      <w:r w:rsidR="008A74EB" w:rsidRPr="00C9040A">
        <w:rPr>
          <w:rtl/>
        </w:rPr>
        <w:t xml:space="preserve"> نزلت » المقد</w:t>
      </w:r>
      <w:r w:rsidR="00464ED8">
        <w:rPr>
          <w:rFonts w:hint="cs"/>
          <w:rtl/>
        </w:rPr>
        <w:t>ّ</w:t>
      </w:r>
      <w:r w:rsidR="008A74EB" w:rsidRPr="00C9040A">
        <w:rPr>
          <w:rtl/>
        </w:rPr>
        <w:t xml:space="preserve">رة. وقوله : « ولا يدخل » حال. قال في </w:t>
      </w:r>
      <w:r w:rsidR="008A74EB" w:rsidRPr="00993B55">
        <w:rPr>
          <w:rStyle w:val="libFootnoteBoldChar"/>
          <w:rtl/>
        </w:rPr>
        <w:t>مرآة العقول</w:t>
      </w:r>
      <w:r w:rsidR="008A74EB" w:rsidRPr="00C9040A">
        <w:rPr>
          <w:rtl/>
        </w:rPr>
        <w:t xml:space="preserve"> : « أي نزلت تلك الآيات في حال كان الحكم فيها أن لا يدخل الله النار إل</w:t>
      </w:r>
      <w:r w:rsidR="00464ED8">
        <w:rPr>
          <w:rFonts w:hint="cs"/>
          <w:rtl/>
        </w:rPr>
        <w:t>ّ</w:t>
      </w:r>
      <w:r w:rsidR="008A74EB" w:rsidRPr="00C9040A">
        <w:rPr>
          <w:rtl/>
        </w:rPr>
        <w:t>امشركا</w:t>
      </w:r>
      <w:r w:rsidR="00464ED8">
        <w:rPr>
          <w:rFonts w:hint="cs"/>
          <w:rtl/>
        </w:rPr>
        <w:t>ً</w:t>
      </w:r>
      <w:r w:rsidR="008A74EB" w:rsidRPr="00C9040A">
        <w:rPr>
          <w:rtl/>
        </w:rPr>
        <w:t xml:space="preserve">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الوافي </w:t>
      </w:r>
      <w:r w:rsidR="008A74EB">
        <w:rPr>
          <w:rtl/>
        </w:rPr>
        <w:t xml:space="preserve">: </w:t>
      </w:r>
      <w:r w:rsidR="0084262C">
        <w:rPr>
          <w:rtl/>
        </w:rPr>
        <w:t>-</w:t>
      </w:r>
      <w:r w:rsidR="008A74EB" w:rsidRPr="00C9040A">
        <w:rPr>
          <w:rtl/>
        </w:rPr>
        <w:t xml:space="preserve"> « به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 ب ، ج ، ز ، ف » : « رسول الله » بدل « عبده ورسوله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ص » : « المعاصي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 ف » : « عليه بها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595236">
      <w:pPr>
        <w:pStyle w:val="libNormal0"/>
        <w:rPr>
          <w:rtl/>
          <w:lang w:bidi="fa-IR"/>
        </w:rPr>
      </w:pPr>
      <w:r w:rsidRPr="006A2246">
        <w:rPr>
          <w:rStyle w:val="libAieChar"/>
          <w:rtl/>
        </w:rPr>
        <w:lastRenderedPageBreak/>
        <w:t xml:space="preserve">اللهُ عَلَيْهِ وَلَعَنَهُ وَأَعَدَّ لَهُ عَذاباً عَظِيماً </w:t>
      </w:r>
      <w:r w:rsidRPr="0003660B">
        <w:rPr>
          <w:rStyle w:val="libAlaemChar"/>
          <w:rtl/>
        </w:rPr>
        <w:t>)</w:t>
      </w:r>
      <w:r w:rsidRPr="00C9040A">
        <w:rPr>
          <w:rtl/>
          <w:lang w:bidi="fa-IR"/>
        </w:rPr>
        <w:t xml:space="preserve"> </w:t>
      </w:r>
      <w:r w:rsidR="006C577F" w:rsidRPr="006C577F">
        <w:rPr>
          <w:rStyle w:val="libFootnotenumChar"/>
          <w:rtl/>
        </w:rPr>
        <w:t>(1)</w:t>
      </w:r>
      <w:r w:rsidRPr="009E51F8">
        <w:rPr>
          <w:rFonts w:hint="cs"/>
          <w:rtl/>
        </w:rPr>
        <w:t xml:space="preserve"> </w:t>
      </w:r>
      <w:r w:rsidRPr="00C9040A">
        <w:rPr>
          <w:rtl/>
          <w:lang w:bidi="fa-IR"/>
        </w:rPr>
        <w:t xml:space="preserve">وَلَا يَلْعَنُ اللهُ مُؤْمِناً ؛ قَالَ اللهُ عَزَّ وَجَلَّ : </w:t>
      </w:r>
      <w:r w:rsidRPr="0003660B">
        <w:rPr>
          <w:rStyle w:val="libAlaemChar"/>
          <w:rtl/>
        </w:rPr>
        <w:t>(</w:t>
      </w:r>
      <w:r w:rsidRPr="006A2246">
        <w:rPr>
          <w:rStyle w:val="libAieChar"/>
          <w:rtl/>
        </w:rPr>
        <w:t xml:space="preserve"> إِنَّ اللهَ لَعَنَ الْكافِرِينَ وَأَعَدَّ لَهُمْ سَعِيراً </w:t>
      </w:r>
      <w:r w:rsidR="00464ED8">
        <w:rPr>
          <w:rStyle w:val="libAieChar"/>
          <w:rFonts w:hint="cs"/>
          <w:rtl/>
        </w:rPr>
        <w:t xml:space="preserve">* </w:t>
      </w:r>
      <w:r w:rsidRPr="006A2246">
        <w:rPr>
          <w:rStyle w:val="libAieChar"/>
          <w:rtl/>
        </w:rPr>
        <w:t xml:space="preserve">خالِدِينَ فِيها أَبَداً لا يَجِدُونَ وَلِيًّا وَلا نَصِيراً </w:t>
      </w:r>
      <w:r w:rsidRPr="0003660B">
        <w:rPr>
          <w:rStyle w:val="libAlaemChar"/>
          <w:rtl/>
        </w:rPr>
        <w:t>)</w:t>
      </w:r>
      <w:r w:rsidRPr="00C9040A">
        <w:rPr>
          <w:rtl/>
          <w:lang w:bidi="fa-IR"/>
        </w:rPr>
        <w:t xml:space="preserve"> </w:t>
      </w:r>
      <w:r w:rsidR="006C577F" w:rsidRPr="006C577F">
        <w:rPr>
          <w:rStyle w:val="libFootnotenumChar"/>
          <w:rtl/>
        </w:rPr>
        <w:t>(2)</w:t>
      </w:r>
      <w:r w:rsidRPr="00C9040A">
        <w:rPr>
          <w:rtl/>
          <w:lang w:bidi="fa-IR"/>
        </w:rPr>
        <w:t xml:space="preserve"> وَكَيْفَ يَكُونُ </w:t>
      </w:r>
      <w:r w:rsidR="006C577F" w:rsidRPr="006C577F">
        <w:rPr>
          <w:rStyle w:val="libFootnotenumChar"/>
          <w:rtl/>
        </w:rPr>
        <w:t>(3)</w:t>
      </w:r>
      <w:r w:rsidRPr="00C9040A">
        <w:rPr>
          <w:rtl/>
          <w:lang w:bidi="fa-IR"/>
        </w:rPr>
        <w:t xml:space="preserve"> فِي الْمَشِيئَةِ وَقَدْ أَلْحَقَ بِهِ</w:t>
      </w:r>
      <w:r>
        <w:rPr>
          <w:rtl/>
          <w:lang w:bidi="fa-IR"/>
        </w:rPr>
        <w:t xml:space="preserve"> </w:t>
      </w:r>
      <w:r w:rsidR="0084262C">
        <w:rPr>
          <w:rtl/>
          <w:lang w:bidi="fa-IR"/>
        </w:rPr>
        <w:t>-</w:t>
      </w:r>
      <w:r>
        <w:rPr>
          <w:rtl/>
          <w:lang w:bidi="fa-IR"/>
        </w:rPr>
        <w:t xml:space="preserve"> </w:t>
      </w:r>
      <w:r w:rsidRPr="00C9040A">
        <w:rPr>
          <w:rtl/>
          <w:lang w:bidi="fa-IR"/>
        </w:rPr>
        <w:t xml:space="preserve">حِينَ جَزَاهُ </w:t>
      </w:r>
      <w:r w:rsidR="006C577F" w:rsidRPr="006C577F">
        <w:rPr>
          <w:rStyle w:val="libFootnotenumChar"/>
          <w:rtl/>
        </w:rPr>
        <w:t>(4)</w:t>
      </w:r>
      <w:r w:rsidRPr="00C9040A">
        <w:rPr>
          <w:rtl/>
          <w:lang w:bidi="fa-IR"/>
        </w:rPr>
        <w:t xml:space="preserve"> جَهَنَّمَ</w:t>
      </w:r>
      <w:r>
        <w:rPr>
          <w:rtl/>
          <w:lang w:bidi="fa-IR"/>
        </w:rPr>
        <w:t xml:space="preserve"> </w:t>
      </w:r>
      <w:r w:rsidR="0084262C">
        <w:rPr>
          <w:rtl/>
          <w:lang w:bidi="fa-IR"/>
        </w:rPr>
        <w:t>-</w:t>
      </w:r>
      <w:r>
        <w:rPr>
          <w:rtl/>
          <w:lang w:bidi="fa-IR"/>
        </w:rPr>
        <w:t xml:space="preserve"> </w:t>
      </w:r>
      <w:r w:rsidRPr="00C9040A">
        <w:rPr>
          <w:rtl/>
          <w:lang w:bidi="fa-IR"/>
        </w:rPr>
        <w:t>الْغَضَبَ وَاللَّعْنَةَ ، وَ</w:t>
      </w:r>
      <w:r>
        <w:rPr>
          <w:rFonts w:hint="cs"/>
          <w:rtl/>
          <w:lang w:bidi="fa-IR"/>
        </w:rPr>
        <w:t xml:space="preserve"> </w:t>
      </w:r>
      <w:r w:rsidR="006C577F" w:rsidRPr="006C577F">
        <w:rPr>
          <w:rStyle w:val="libFootnotenumChar"/>
          <w:rtl/>
        </w:rPr>
        <w:t>(5)</w:t>
      </w:r>
      <w:r w:rsidRPr="00C9040A">
        <w:rPr>
          <w:rtl/>
          <w:lang w:bidi="fa-IR"/>
        </w:rPr>
        <w:t xml:space="preserve"> قَدْ بَيَّنَ ذلِكَ </w:t>
      </w:r>
      <w:r w:rsidR="006C577F" w:rsidRPr="006C577F">
        <w:rPr>
          <w:rStyle w:val="libFootnotenumChar"/>
          <w:rtl/>
        </w:rPr>
        <w:t>(6)</w:t>
      </w:r>
      <w:r w:rsidR="00595236" w:rsidRPr="00C9040A">
        <w:rPr>
          <w:rtl/>
          <w:lang w:bidi="fa-IR"/>
        </w:rPr>
        <w:t xml:space="preserve"> </w:t>
      </w:r>
      <w:r w:rsidRPr="00C9040A">
        <w:rPr>
          <w:rtl/>
          <w:lang w:bidi="fa-IR"/>
        </w:rPr>
        <w:t>مَنِ الْمَلْعُونُونَ فِي كِتَابِهِ.</w:t>
      </w:r>
    </w:p>
    <w:p w:rsidR="008A74EB" w:rsidRPr="00C9040A" w:rsidRDefault="008A74EB" w:rsidP="008A74EB">
      <w:pPr>
        <w:pStyle w:val="libNormal"/>
        <w:rPr>
          <w:rtl/>
          <w:lang w:bidi="fa-IR"/>
        </w:rPr>
      </w:pPr>
      <w:r w:rsidRPr="00C9040A">
        <w:rPr>
          <w:rtl/>
          <w:lang w:bidi="fa-IR"/>
        </w:rPr>
        <w:t xml:space="preserve">وَأَنْزَلَ فِي مَالِ الْيَتِيمِ مَنْ أَكَلَهُ ظُلْماً : </w:t>
      </w:r>
      <w:r w:rsidRPr="0003660B">
        <w:rPr>
          <w:rStyle w:val="libAlaemChar"/>
          <w:rtl/>
        </w:rPr>
        <w:t>(</w:t>
      </w:r>
      <w:r w:rsidRPr="006A2246">
        <w:rPr>
          <w:rStyle w:val="libAieChar"/>
          <w:rtl/>
        </w:rPr>
        <w:t xml:space="preserve"> إِنَّ الَّذِينَ يَأْكُلُونَ أَمْوالَ الْيَتامى ظُلْماً إِنَّما يَأْكُلُونَ فِي بُطُونِهِمْ ناراً وَسَيَصْلَوْنَ سَعِيراً </w:t>
      </w:r>
      <w:r w:rsidRPr="0003660B">
        <w:rPr>
          <w:rStyle w:val="libAlaemChar"/>
          <w:rtl/>
        </w:rPr>
        <w:t>)</w:t>
      </w:r>
      <w:r w:rsidRPr="00C9040A">
        <w:rPr>
          <w:rtl/>
          <w:lang w:bidi="fa-IR"/>
        </w:rPr>
        <w:t xml:space="preserve"> </w:t>
      </w:r>
      <w:r w:rsidR="006C577F" w:rsidRPr="006C577F">
        <w:rPr>
          <w:rStyle w:val="libFootnotenumChar"/>
          <w:rtl/>
        </w:rPr>
        <w:t>(7)</w:t>
      </w:r>
      <w:r w:rsidRPr="00C9040A">
        <w:rPr>
          <w:rtl/>
          <w:lang w:bidi="fa-IR"/>
        </w:rPr>
        <w:t xml:space="preserve"> وَذلِكَ أَنَّ آكِلَ مَالِ الْيَتِيمِ يَجِي‌ءُ يَوْمَ الْقِيَامَةِ وَالنَّارُ تَلْتَهِبُ </w:t>
      </w:r>
      <w:r w:rsidR="006C577F" w:rsidRPr="006C577F">
        <w:rPr>
          <w:rStyle w:val="libFootnotenumChar"/>
          <w:rtl/>
        </w:rPr>
        <w:t>(8)</w:t>
      </w:r>
      <w:r w:rsidRPr="00C9040A">
        <w:rPr>
          <w:rtl/>
          <w:lang w:bidi="fa-IR"/>
        </w:rPr>
        <w:t xml:space="preserve"> فِي بَطْنِهِ حَتّى يَخْرُجَ لَهَبُ النَّارِ مِنْ فِيهِ يَعْرِفُهُ </w:t>
      </w:r>
      <w:r w:rsidR="006C577F" w:rsidRPr="006C577F">
        <w:rPr>
          <w:rStyle w:val="libFootnotenumChar"/>
          <w:rtl/>
        </w:rPr>
        <w:t>(9)</w:t>
      </w:r>
      <w:r w:rsidRPr="00C9040A">
        <w:rPr>
          <w:rtl/>
          <w:lang w:bidi="fa-IR"/>
        </w:rPr>
        <w:t xml:space="preserve"> أَهْلُ </w:t>
      </w:r>
      <w:r w:rsidR="006C577F" w:rsidRPr="006C577F">
        <w:rPr>
          <w:rStyle w:val="libFootnotenumChar"/>
          <w:rtl/>
        </w:rPr>
        <w:t>(10)</w:t>
      </w:r>
      <w:r w:rsidRPr="00C9040A">
        <w:rPr>
          <w:rtl/>
          <w:lang w:bidi="fa-IR"/>
        </w:rPr>
        <w:t xml:space="preserve"> الْجَمْعِ أَنَّهُ آكِلُ مَالِ الْيَتِيمِ.</w:t>
      </w:r>
    </w:p>
    <w:p w:rsidR="008A74EB" w:rsidRPr="00C9040A" w:rsidRDefault="008A74EB" w:rsidP="008A74EB">
      <w:pPr>
        <w:pStyle w:val="libNormal"/>
        <w:rPr>
          <w:rtl/>
          <w:lang w:bidi="fa-IR"/>
        </w:rPr>
      </w:pPr>
      <w:r w:rsidRPr="00C9040A">
        <w:rPr>
          <w:rtl/>
          <w:lang w:bidi="fa-IR"/>
        </w:rPr>
        <w:t xml:space="preserve">وَأَنْزَلَ فِي الْكَيْلِ : </w:t>
      </w:r>
      <w:r w:rsidRPr="0003660B">
        <w:rPr>
          <w:rStyle w:val="libAlaemChar"/>
          <w:rtl/>
        </w:rPr>
        <w:t>(</w:t>
      </w:r>
      <w:r w:rsidRPr="006A2246">
        <w:rPr>
          <w:rStyle w:val="libAieChar"/>
          <w:rtl/>
        </w:rPr>
        <w:t xml:space="preserve"> وَيْلٌ لِلْمُطَفِّفِينَ </w:t>
      </w:r>
      <w:r w:rsidRPr="0003660B">
        <w:rPr>
          <w:rStyle w:val="libAlaemChar"/>
          <w:rtl/>
        </w:rPr>
        <w:t>)</w:t>
      </w:r>
      <w:r w:rsidRPr="00C9040A">
        <w:rPr>
          <w:rtl/>
          <w:lang w:bidi="fa-IR"/>
        </w:rPr>
        <w:t xml:space="preserve"> </w:t>
      </w:r>
      <w:r w:rsidR="006C577F" w:rsidRPr="006C577F">
        <w:rPr>
          <w:rStyle w:val="libFootnotenumChar"/>
          <w:rtl/>
        </w:rPr>
        <w:t>(11)</w:t>
      </w:r>
      <w:r w:rsidRPr="00C9040A">
        <w:rPr>
          <w:rtl/>
          <w:lang w:bidi="fa-IR"/>
        </w:rPr>
        <w:t xml:space="preserve"> وَلَمْ يَجْعَلِ الْوَيْلَ لِأَحَدٍ حَتّى يُسَمِّيَهُ كَافِراً ؛ قَالَ اللهُ عَزَّ وَجَلَّ : </w:t>
      </w:r>
      <w:r w:rsidRPr="0003660B">
        <w:rPr>
          <w:rStyle w:val="libAlaemChar"/>
          <w:rtl/>
        </w:rPr>
        <w:t>(</w:t>
      </w:r>
      <w:r w:rsidRPr="006A2246">
        <w:rPr>
          <w:rStyle w:val="libAieChar"/>
          <w:rtl/>
        </w:rPr>
        <w:t xml:space="preserve"> فَوَيْلٌ لِلَّذِينَ كَفَرُوا مِنْ مَشْهَدِ يَوْمٍ عَظِيمٍ </w:t>
      </w:r>
      <w:r w:rsidRPr="0003660B">
        <w:rPr>
          <w:rStyle w:val="libAlaemChar"/>
          <w:rtl/>
        </w:rPr>
        <w:t>)</w:t>
      </w:r>
      <w:r w:rsidRPr="00C9040A">
        <w:rPr>
          <w:rtl/>
          <w:lang w:bidi="fa-IR"/>
        </w:rPr>
        <w:t xml:space="preserve"> </w:t>
      </w:r>
      <w:r w:rsidR="006C577F" w:rsidRPr="006C577F">
        <w:rPr>
          <w:rStyle w:val="libFootnotenumChar"/>
          <w:rtl/>
        </w:rPr>
        <w:t>(12)</w:t>
      </w:r>
      <w:r w:rsidR="00CE730B" w:rsidRPr="00CE730B">
        <w:rPr>
          <w:rFonts w:hint="cs"/>
          <w:rtl/>
        </w:rPr>
        <w:t>.</w:t>
      </w:r>
    </w:p>
    <w:p w:rsidR="008A74EB" w:rsidRPr="00C9040A" w:rsidRDefault="008A74EB" w:rsidP="008A74EB">
      <w:pPr>
        <w:pStyle w:val="libNormal"/>
        <w:rPr>
          <w:rtl/>
          <w:lang w:bidi="fa-IR"/>
        </w:rPr>
      </w:pPr>
      <w:r w:rsidRPr="00C9040A">
        <w:rPr>
          <w:rtl/>
          <w:lang w:bidi="fa-IR"/>
        </w:rPr>
        <w:t xml:space="preserve">وَأَنْزَلَ فِي الْعَهْدِ : </w:t>
      </w:r>
      <w:r w:rsidRPr="0003660B">
        <w:rPr>
          <w:rStyle w:val="libAlaemChar"/>
          <w:rtl/>
        </w:rPr>
        <w:t>(</w:t>
      </w:r>
      <w:r w:rsidRPr="006A2246">
        <w:rPr>
          <w:rStyle w:val="libAieChar"/>
          <w:rtl/>
        </w:rPr>
        <w:t xml:space="preserve"> إِنَّ الَّذِينَ يَشْتَرُونَ بِعَهْدِ اللهِ وَأَيْمانِهِمْ ثَمَناً قَلِيلاً أُولئِكَ لا خَلاقَ لَهُمْ فِي الْآخِرَةِ وَلا يُكَلِّمُهُمُ اللهُ وَلا يَنْظُرُ إِلَيْهِمْ يَوْمَ الْقِيامَةِ وَلا يُزَكِّيهِمْ وَلَهُمْ عَذابٌ أَلِيمٌ </w:t>
      </w:r>
      <w:r w:rsidRPr="0003660B">
        <w:rPr>
          <w:rStyle w:val="libAlaemChar"/>
          <w:rtl/>
        </w:rPr>
        <w:t>)</w:t>
      </w:r>
      <w:r w:rsidRPr="00C9040A">
        <w:rPr>
          <w:rtl/>
          <w:lang w:bidi="fa-IR"/>
        </w:rPr>
        <w:t xml:space="preserve"> </w:t>
      </w:r>
      <w:r w:rsidRPr="005B567D">
        <w:rPr>
          <w:rStyle w:val="libFootnotenumChar"/>
          <w:rtl/>
        </w:rPr>
        <w:t>(13)</w:t>
      </w:r>
      <w:r w:rsidRPr="00C9040A">
        <w:rPr>
          <w:rtl/>
          <w:lang w:bidi="fa-IR"/>
        </w:rPr>
        <w:t xml:space="preserve"> وَالْخَلَاقُ‌</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CE730B" w:rsidTr="00CE730B">
        <w:tc>
          <w:tcPr>
            <w:tcW w:w="4006" w:type="dxa"/>
          </w:tcPr>
          <w:p w:rsidR="00CE730B" w:rsidRDefault="00CE730B" w:rsidP="004A4E41">
            <w:pPr>
              <w:pStyle w:val="libFootnote0"/>
              <w:rPr>
                <w:rtl/>
              </w:rPr>
            </w:pPr>
            <w:r>
              <w:rPr>
                <w:rtl/>
              </w:rPr>
              <w:t>(1).</w:t>
            </w:r>
            <w:r w:rsidRPr="00C9040A">
              <w:rPr>
                <w:rtl/>
              </w:rPr>
              <w:t xml:space="preserve"> النساء </w:t>
            </w:r>
            <w:r>
              <w:rPr>
                <w:rtl/>
              </w:rPr>
              <w:t>(4)</w:t>
            </w:r>
            <w:r w:rsidRPr="00C9040A">
              <w:rPr>
                <w:rtl/>
              </w:rPr>
              <w:t xml:space="preserve"> : 93.</w:t>
            </w:r>
          </w:p>
        </w:tc>
        <w:tc>
          <w:tcPr>
            <w:tcW w:w="4006" w:type="dxa"/>
          </w:tcPr>
          <w:p w:rsidR="00CE730B" w:rsidRDefault="00CE730B" w:rsidP="004A4E41">
            <w:pPr>
              <w:pStyle w:val="libFootnote0"/>
              <w:rPr>
                <w:rtl/>
              </w:rPr>
            </w:pPr>
            <w:r>
              <w:rPr>
                <w:rtl/>
              </w:rPr>
              <w:t xml:space="preserve">(2). </w:t>
            </w:r>
            <w:r w:rsidRPr="00C9040A">
              <w:rPr>
                <w:rtl/>
              </w:rPr>
              <w:t>الأحزاب (33) : 64</w:t>
            </w:r>
            <w:r>
              <w:rPr>
                <w:rtl/>
              </w:rPr>
              <w:t xml:space="preserve"> - </w:t>
            </w:r>
            <w:r w:rsidRPr="00C9040A">
              <w:rPr>
                <w:rtl/>
              </w:rPr>
              <w:t>65.</w:t>
            </w:r>
          </w:p>
        </w:tc>
      </w:tr>
    </w:tbl>
    <w:p w:rsidR="008A74EB" w:rsidRPr="004A4E41" w:rsidRDefault="006C577F" w:rsidP="004A4E41">
      <w:pPr>
        <w:pStyle w:val="libFootnote0"/>
        <w:rPr>
          <w:rStyle w:val="libFootnote0Char"/>
          <w:rtl/>
        </w:rPr>
      </w:pPr>
      <w:r>
        <w:rPr>
          <w:rtl/>
        </w:rPr>
        <w:t>(3).</w:t>
      </w:r>
      <w:r w:rsidR="008A74EB" w:rsidRPr="00C9040A">
        <w:rPr>
          <w:rtl/>
        </w:rPr>
        <w:t xml:space="preserve"> في </w:t>
      </w:r>
      <w:r w:rsidR="008A74EB" w:rsidRPr="00993B55">
        <w:rPr>
          <w:rStyle w:val="libFootnoteBoldChar"/>
          <w:rtl/>
        </w:rPr>
        <w:t>الوافي</w:t>
      </w:r>
      <w:r w:rsidR="008A74EB" w:rsidRPr="00C9040A">
        <w:rPr>
          <w:rtl/>
        </w:rPr>
        <w:t xml:space="preserve"> : « يعني كيف يكون أمر القاتل في مشيئة الله إن شاء عذّبه وإن شاء غفر له ، والحال أنّه قد ألحق به بعد أن جزاه جهنّم الغضب واللعنة المختصّين بالكفّار</w:t>
      </w:r>
      <w:r w:rsidR="008A74EB">
        <w:rPr>
          <w:rtl/>
        </w:rPr>
        <w:t>؟!</w:t>
      </w:r>
      <w:r w:rsidR="008A74EB" w:rsidRPr="00C9040A">
        <w:rPr>
          <w:rtl/>
        </w:rPr>
        <w:t xml:space="preserve"> »</w:t>
      </w:r>
      <w:r w:rsidR="008A74EB">
        <w:rPr>
          <w:rtl/>
        </w:rPr>
        <w:t>.</w:t>
      </w:r>
    </w:p>
    <w:tbl>
      <w:tblPr>
        <w:tblStyle w:val="TableGrid"/>
        <w:bidiVisual/>
        <w:tblW w:w="0" w:type="auto"/>
        <w:tblLook w:val="04A0" w:firstRow="1" w:lastRow="0" w:firstColumn="1" w:lastColumn="0" w:noHBand="0" w:noVBand="1"/>
      </w:tblPr>
      <w:tblGrid>
        <w:gridCol w:w="4006"/>
        <w:gridCol w:w="4006"/>
      </w:tblGrid>
      <w:tr w:rsidR="00CE730B" w:rsidTr="00CE730B">
        <w:tc>
          <w:tcPr>
            <w:tcW w:w="4006" w:type="dxa"/>
          </w:tcPr>
          <w:p w:rsidR="00CE730B" w:rsidRDefault="00CE730B" w:rsidP="004A4E41">
            <w:pPr>
              <w:pStyle w:val="libFootnote0"/>
              <w:rPr>
                <w:rtl/>
                <w:lang w:bidi="fa-IR"/>
              </w:rPr>
            </w:pPr>
            <w:r>
              <w:rPr>
                <w:rtl/>
              </w:rPr>
              <w:t>(4).</w:t>
            </w:r>
            <w:r w:rsidRPr="00C9040A">
              <w:rPr>
                <w:rtl/>
              </w:rPr>
              <w:t xml:space="preserve"> في « ب ، ج ، بس » : « جزاؤه »</w:t>
            </w:r>
            <w:r>
              <w:rPr>
                <w:rtl/>
              </w:rPr>
              <w:t>.</w:t>
            </w:r>
          </w:p>
        </w:tc>
        <w:tc>
          <w:tcPr>
            <w:tcW w:w="4006" w:type="dxa"/>
          </w:tcPr>
          <w:p w:rsidR="00CE730B" w:rsidRDefault="00CE730B" w:rsidP="004A4E41">
            <w:pPr>
              <w:pStyle w:val="libFootnote0"/>
              <w:rPr>
                <w:rtl/>
                <w:lang w:bidi="fa-IR"/>
              </w:rPr>
            </w:pPr>
            <w:r>
              <w:rPr>
                <w:rtl/>
              </w:rPr>
              <w:t>(5).</w:t>
            </w:r>
            <w:r w:rsidRPr="00C9040A">
              <w:rPr>
                <w:rtl/>
              </w:rPr>
              <w:t xml:space="preserve"> في الوافي </w:t>
            </w:r>
            <w:r>
              <w:rPr>
                <w:rtl/>
              </w:rPr>
              <w:t>: -</w:t>
            </w:r>
            <w:r w:rsidRPr="00C9040A">
              <w:rPr>
                <w:rtl/>
              </w:rPr>
              <w:t xml:space="preserve"> « و</w:t>
            </w:r>
            <w:r>
              <w:rPr>
                <w:rFonts w:hint="cs"/>
                <w:rtl/>
              </w:rPr>
              <w:t xml:space="preserve"> </w:t>
            </w:r>
            <w:r w:rsidRPr="00C9040A">
              <w:rPr>
                <w:rtl/>
              </w:rPr>
              <w:t>»</w:t>
            </w:r>
            <w:r>
              <w:rPr>
                <w:rtl/>
              </w:rPr>
              <w:t>.</w:t>
            </w:r>
          </w:p>
        </w:tc>
      </w:tr>
    </w:tbl>
    <w:p w:rsidR="008A74EB" w:rsidRPr="00993B55" w:rsidRDefault="006C577F" w:rsidP="004A4E41">
      <w:pPr>
        <w:pStyle w:val="libFootnote0"/>
        <w:rPr>
          <w:rStyle w:val="libFootnoteBoldChar"/>
          <w:rtl/>
        </w:rPr>
      </w:pPr>
      <w:r>
        <w:rPr>
          <w:rtl/>
        </w:rPr>
        <w:t>(6).</w:t>
      </w:r>
      <w:r w:rsidR="008A74EB">
        <w:rPr>
          <w:rtl/>
        </w:rPr>
        <w:t xml:space="preserve"> </w:t>
      </w:r>
      <w:r w:rsidR="008A74EB" w:rsidRPr="00C9040A">
        <w:rPr>
          <w:rtl/>
        </w:rPr>
        <w:t>قوله : « ذلك » فاعل « بيّن »</w:t>
      </w:r>
      <w:r w:rsidR="008A74EB">
        <w:rPr>
          <w:rtl/>
        </w:rPr>
        <w:t>.</w:t>
      </w:r>
      <w:r w:rsidR="008A74EB" w:rsidRPr="00C9040A">
        <w:rPr>
          <w:rtl/>
        </w:rPr>
        <w:t xml:space="preserve"> والمراد به آية الأحزاب المذكورة. راجع : </w:t>
      </w:r>
      <w:r w:rsidR="008A74EB" w:rsidRPr="00993B55">
        <w:rPr>
          <w:rStyle w:val="libFootnoteBoldChar"/>
          <w:rtl/>
        </w:rPr>
        <w:t xml:space="preserve">شرح المازندراني </w:t>
      </w:r>
      <w:r w:rsidR="008A74EB" w:rsidRPr="00101A2B">
        <w:rPr>
          <w:rtl/>
        </w:rPr>
        <w:t>و</w:t>
      </w:r>
      <w:r w:rsidR="008A74EB" w:rsidRPr="00993B55">
        <w:rPr>
          <w:rStyle w:val="libFootnoteBoldChar"/>
          <w:rtl/>
        </w:rPr>
        <w:t>مرآة العقول.</w:t>
      </w:r>
    </w:p>
    <w:p w:rsidR="008A74EB" w:rsidRPr="00C9040A" w:rsidRDefault="006C577F" w:rsidP="004A4E41">
      <w:pPr>
        <w:pStyle w:val="libFootnote0"/>
        <w:rPr>
          <w:rtl/>
          <w:lang w:bidi="fa-IR"/>
        </w:rPr>
      </w:pPr>
      <w:r>
        <w:rPr>
          <w:rtl/>
        </w:rPr>
        <w:t>(7).</w:t>
      </w:r>
      <w:r w:rsidR="008A74EB" w:rsidRPr="00C9040A">
        <w:rPr>
          <w:rtl/>
        </w:rPr>
        <w:t xml:space="preserve"> النساء </w:t>
      </w:r>
      <w:r w:rsidR="00AB3FD3">
        <w:rPr>
          <w:rtl/>
        </w:rPr>
        <w:t>(4)</w:t>
      </w:r>
      <w:r w:rsidR="008A74EB" w:rsidRPr="00C9040A">
        <w:rPr>
          <w:rtl/>
        </w:rPr>
        <w:t xml:space="preserve"> : 10.</w:t>
      </w:r>
    </w:p>
    <w:p w:rsidR="008A74EB" w:rsidRPr="00C9040A" w:rsidRDefault="006C577F" w:rsidP="004A4E41">
      <w:pPr>
        <w:pStyle w:val="libFootnote0"/>
        <w:rPr>
          <w:rtl/>
          <w:lang w:bidi="fa-IR"/>
        </w:rPr>
      </w:pPr>
      <w:r>
        <w:rPr>
          <w:rtl/>
        </w:rPr>
        <w:t>(8).</w:t>
      </w:r>
      <w:r w:rsidR="008A74EB" w:rsidRPr="00C9040A">
        <w:rPr>
          <w:rtl/>
        </w:rPr>
        <w:t xml:space="preserve"> في « ص » : « يلتهب » والنار قد تذكّر. وفي « ف » : « تلهب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هكذا في « ج ، ز ، ص ، ف ، بر ، بس ، بف » والوافي. وفي سائر النسخ والمطبوع : « حتّى يعرفه »</w:t>
      </w:r>
      <w:r w:rsidR="008A74EB">
        <w:rPr>
          <w:rtl/>
        </w:rPr>
        <w:t>.</w:t>
      </w:r>
      <w:r w:rsidR="008A74EB" w:rsidRPr="00C9040A">
        <w:rPr>
          <w:rtl/>
        </w:rPr>
        <w:t xml:space="preserve"> في البحار ، ج 69 : « حتّى يعرف »</w:t>
      </w:r>
      <w:r w:rsidR="008A74EB">
        <w:rPr>
          <w:rtl/>
        </w:rPr>
        <w:t>.</w:t>
      </w:r>
    </w:p>
    <w:p w:rsidR="008A74EB" w:rsidRPr="004A4E41" w:rsidRDefault="006C577F" w:rsidP="004A4E41">
      <w:pPr>
        <w:pStyle w:val="libFootnote0"/>
        <w:rPr>
          <w:rStyle w:val="libFootnote0Char"/>
          <w:rtl/>
        </w:rPr>
      </w:pPr>
      <w:r>
        <w:rPr>
          <w:rtl/>
        </w:rPr>
        <w:t>(10).</w:t>
      </w:r>
      <w:r w:rsidR="008A74EB" w:rsidRPr="00C9040A">
        <w:rPr>
          <w:rtl/>
        </w:rPr>
        <w:t xml:space="preserve"> هكذا في « ج ، ز ، ص ، ض ، ف ، بر ، بس ، بف » والوافي والبحار ، ج 69. وفي سائر النسخ والمطبوع : « كلّ أهل »</w:t>
      </w:r>
      <w:r w:rsidR="008A74EB">
        <w:rPr>
          <w:rtl/>
        </w:rPr>
        <w:t>.</w:t>
      </w:r>
      <w:r w:rsidR="00E347E6">
        <w:rPr>
          <w:rFonts w:hint="cs"/>
          <w:rtl/>
        </w:rPr>
        <w:t xml:space="preserve">                                  </w:t>
      </w:r>
      <w:r w:rsidR="00983E48">
        <w:rPr>
          <w:rFonts w:hint="cs"/>
          <w:rtl/>
        </w:rPr>
        <w:t xml:space="preserve">  </w:t>
      </w:r>
      <w:r w:rsidR="00E347E6">
        <w:rPr>
          <w:rFonts w:hint="cs"/>
          <w:rtl/>
        </w:rPr>
        <w:t xml:space="preserve"> </w:t>
      </w:r>
      <w:r w:rsidR="00B866D3">
        <w:rPr>
          <w:rFonts w:hint="cs"/>
          <w:rtl/>
        </w:rPr>
        <w:t xml:space="preserve">   </w:t>
      </w:r>
      <w:r w:rsidR="00E347E6">
        <w:rPr>
          <w:rFonts w:hint="cs"/>
          <w:rtl/>
        </w:rPr>
        <w:t xml:space="preserve">      </w:t>
      </w:r>
      <w:r>
        <w:rPr>
          <w:rtl/>
        </w:rPr>
        <w:t>(11).</w:t>
      </w:r>
      <w:r w:rsidR="008A74EB" w:rsidRPr="00C9040A">
        <w:rPr>
          <w:rtl/>
        </w:rPr>
        <w:t xml:space="preserve"> المطفّفين (83) : 1.</w:t>
      </w:r>
    </w:p>
    <w:tbl>
      <w:tblPr>
        <w:tblStyle w:val="TableGrid"/>
        <w:bidiVisual/>
        <w:tblW w:w="0" w:type="auto"/>
        <w:tblLook w:val="04A0" w:firstRow="1" w:lastRow="0" w:firstColumn="1" w:lastColumn="0" w:noHBand="0" w:noVBand="1"/>
      </w:tblPr>
      <w:tblGrid>
        <w:gridCol w:w="4006"/>
        <w:gridCol w:w="4006"/>
      </w:tblGrid>
      <w:tr w:rsidR="00E347E6" w:rsidTr="00E347E6">
        <w:tc>
          <w:tcPr>
            <w:tcW w:w="4006" w:type="dxa"/>
          </w:tcPr>
          <w:p w:rsidR="00E347E6" w:rsidRDefault="00E347E6" w:rsidP="004A4E41">
            <w:pPr>
              <w:pStyle w:val="libFootnote0"/>
              <w:rPr>
                <w:rtl/>
              </w:rPr>
            </w:pPr>
            <w:r>
              <w:rPr>
                <w:rtl/>
              </w:rPr>
              <w:t>(12).</w:t>
            </w:r>
            <w:r w:rsidRPr="00C9040A">
              <w:rPr>
                <w:rtl/>
              </w:rPr>
              <w:t xml:space="preserve"> مريم (19) : 37.</w:t>
            </w:r>
          </w:p>
        </w:tc>
        <w:tc>
          <w:tcPr>
            <w:tcW w:w="4006" w:type="dxa"/>
          </w:tcPr>
          <w:p w:rsidR="00E347E6" w:rsidRDefault="00E347E6" w:rsidP="004A4E41">
            <w:pPr>
              <w:pStyle w:val="libFootnote0"/>
              <w:rPr>
                <w:rtl/>
              </w:rPr>
            </w:pPr>
            <w:r>
              <w:rPr>
                <w:rtl/>
              </w:rPr>
              <w:t>(13)</w:t>
            </w:r>
            <w:r w:rsidRPr="00C9040A">
              <w:rPr>
                <w:rtl/>
              </w:rPr>
              <w:t xml:space="preserve"> آل عمران </w:t>
            </w:r>
            <w:r>
              <w:rPr>
                <w:rtl/>
              </w:rPr>
              <w:t>(3)</w:t>
            </w:r>
            <w:r w:rsidRPr="00C9040A">
              <w:rPr>
                <w:rtl/>
              </w:rPr>
              <w:t xml:space="preserve"> : 77.</w:t>
            </w:r>
          </w:p>
        </w:tc>
      </w:tr>
    </w:tbl>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النَّصِيبُ ، فَمَنْ لَمْ يَكُنْ لَهُ نَصِيبٌ فِي الْآخِرَةِ </w:t>
      </w:r>
      <w:r w:rsidR="006C577F" w:rsidRPr="006C577F">
        <w:rPr>
          <w:rStyle w:val="libFootnotenumChar"/>
          <w:rtl/>
        </w:rPr>
        <w:t>(1)</w:t>
      </w:r>
      <w:r w:rsidRPr="00C9040A">
        <w:rPr>
          <w:rtl/>
          <w:lang w:bidi="fa-IR"/>
        </w:rPr>
        <w:t>، فَبِأَيِّ شَيْ‌ءٍ يَدْخُلُ الْجَنَّةَ</w:t>
      </w:r>
      <w:r>
        <w:rPr>
          <w:rtl/>
          <w:lang w:bidi="fa-IR"/>
        </w:rPr>
        <w:t>؟</w:t>
      </w:r>
    </w:p>
    <w:p w:rsidR="008A74EB" w:rsidRPr="00C9040A" w:rsidRDefault="008A74EB" w:rsidP="00520E37">
      <w:pPr>
        <w:pStyle w:val="libNormal"/>
        <w:rPr>
          <w:rtl/>
          <w:lang w:bidi="fa-IR"/>
        </w:rPr>
      </w:pPr>
      <w:r w:rsidRPr="00C9040A">
        <w:rPr>
          <w:rtl/>
          <w:lang w:bidi="fa-IR"/>
        </w:rPr>
        <w:t xml:space="preserve">وَأَنْزَلَ بِالْمَدِينَةِ : </w:t>
      </w:r>
      <w:r w:rsidRPr="0003660B">
        <w:rPr>
          <w:rStyle w:val="libAlaemChar"/>
          <w:rtl/>
        </w:rPr>
        <w:t>(</w:t>
      </w:r>
      <w:r w:rsidR="00520E37">
        <w:rPr>
          <w:rStyle w:val="libAieChar"/>
          <w:rtl/>
        </w:rPr>
        <w:t xml:space="preserve"> الزّانِي لا يَنْكِحُ إِل</w:t>
      </w:r>
      <w:r w:rsidR="00520E37">
        <w:rPr>
          <w:rStyle w:val="libAieChar"/>
          <w:rFonts w:hint="cs"/>
          <w:rtl/>
        </w:rPr>
        <w:t>ّ</w:t>
      </w:r>
      <w:r w:rsidR="00520E37">
        <w:rPr>
          <w:rStyle w:val="libAieChar"/>
          <w:rtl/>
        </w:rPr>
        <w:t>ا</w:t>
      </w:r>
      <w:r w:rsidRPr="006A2246">
        <w:rPr>
          <w:rStyle w:val="libAieChar"/>
          <w:rtl/>
        </w:rPr>
        <w:t xml:space="preserve"> زانِيَةً أَوْ مُشْرِكَةً و</w:t>
      </w:r>
      <w:r w:rsidR="00520E37">
        <w:rPr>
          <w:rStyle w:val="libAieChar"/>
          <w:rtl/>
        </w:rPr>
        <w:t>َالزّانِيَةُ لا يَنْكِحُها إِل</w:t>
      </w:r>
      <w:r w:rsidR="00520E37">
        <w:rPr>
          <w:rStyle w:val="libAieChar"/>
          <w:rFonts w:hint="cs"/>
          <w:rtl/>
        </w:rPr>
        <w:t>ّ</w:t>
      </w:r>
      <w:r w:rsidR="00520E37">
        <w:rPr>
          <w:rStyle w:val="libAieChar"/>
          <w:rtl/>
        </w:rPr>
        <w:t>ا</w:t>
      </w:r>
      <w:r w:rsidRPr="006A2246">
        <w:rPr>
          <w:rStyle w:val="libAieChar"/>
          <w:rtl/>
        </w:rPr>
        <w:t xml:space="preserve"> زانٍ أَوْ مُشْرِكٌ وَحُرِّمَ ذلِكَ عَلَى الْمُؤْمِنِينَ </w:t>
      </w:r>
      <w:r w:rsidRPr="0003660B">
        <w:rPr>
          <w:rStyle w:val="libAlaemChar"/>
          <w:rtl/>
        </w:rPr>
        <w:t>)</w:t>
      </w:r>
      <w:r w:rsidRPr="00C9040A">
        <w:rPr>
          <w:rtl/>
          <w:lang w:bidi="fa-IR"/>
        </w:rPr>
        <w:t xml:space="preserve"> </w:t>
      </w:r>
      <w:r w:rsidR="006C577F" w:rsidRPr="006C577F">
        <w:rPr>
          <w:rStyle w:val="libFootnotenumChar"/>
          <w:rtl/>
        </w:rPr>
        <w:t>(2)</w:t>
      </w:r>
      <w:r w:rsidRPr="00C9040A">
        <w:rPr>
          <w:rtl/>
          <w:lang w:bidi="fa-IR"/>
        </w:rPr>
        <w:t xml:space="preserve"> فَلَمْ يُسَمِّ اللهُ الزَّانِيَ مُؤْمِناً وَلَا الزَّانِيَةَ مُؤْمِنَةً ، وَقَالَ رَسُولُ اللهِ </w:t>
      </w:r>
      <w:r w:rsidR="004A4E41" w:rsidRPr="004A4E41">
        <w:rPr>
          <w:rStyle w:val="libAlaemChar"/>
          <w:rtl/>
        </w:rPr>
        <w:t>صلى‌الله‌عليه‌وآله</w:t>
      </w:r>
      <w:r>
        <w:rPr>
          <w:rtl/>
          <w:lang w:bidi="fa-IR"/>
        </w:rPr>
        <w:t xml:space="preserve"> </w:t>
      </w:r>
      <w:r w:rsidR="0084262C">
        <w:rPr>
          <w:rtl/>
          <w:lang w:bidi="fa-IR"/>
        </w:rPr>
        <w:t>-</w:t>
      </w:r>
      <w:r>
        <w:rPr>
          <w:rtl/>
          <w:lang w:bidi="fa-IR"/>
        </w:rPr>
        <w:t xml:space="preserve"> </w:t>
      </w:r>
      <w:r w:rsidRPr="00C9040A">
        <w:rPr>
          <w:rtl/>
          <w:lang w:bidi="fa-IR"/>
        </w:rPr>
        <w:t xml:space="preserve">لَيْسَ </w:t>
      </w:r>
      <w:r w:rsidR="006C577F" w:rsidRPr="006C577F">
        <w:rPr>
          <w:rStyle w:val="libFootnotenumChar"/>
          <w:rtl/>
        </w:rPr>
        <w:t>(3)</w:t>
      </w:r>
      <w:r w:rsidRPr="00C9040A">
        <w:rPr>
          <w:rtl/>
          <w:lang w:bidi="fa-IR"/>
        </w:rPr>
        <w:t xml:space="preserve"> يَمْتَرِي </w:t>
      </w:r>
      <w:r w:rsidR="006C577F" w:rsidRPr="006C577F">
        <w:rPr>
          <w:rStyle w:val="libFootnotenumChar"/>
          <w:rtl/>
        </w:rPr>
        <w:t>(4)</w:t>
      </w:r>
      <w:r w:rsidRPr="00C9040A">
        <w:rPr>
          <w:rtl/>
          <w:lang w:bidi="fa-IR"/>
        </w:rPr>
        <w:t xml:space="preserve"> فِيهِ أَهْلُ الْعِلْمِ أَنَّهُ قَالَ </w:t>
      </w:r>
      <w:r w:rsidR="006C577F" w:rsidRPr="006C577F">
        <w:rPr>
          <w:rStyle w:val="libFootnotenumChar"/>
          <w:rtl/>
        </w:rPr>
        <w:t>(5)</w:t>
      </w:r>
      <w:r>
        <w:rPr>
          <w:rtl/>
          <w:lang w:bidi="fa-IR"/>
        </w:rPr>
        <w:t xml:space="preserve"> </w:t>
      </w:r>
      <w:r w:rsidR="0084262C">
        <w:rPr>
          <w:rtl/>
          <w:lang w:bidi="fa-IR"/>
        </w:rPr>
        <w:t>-</w:t>
      </w:r>
      <w:r>
        <w:rPr>
          <w:rtl/>
          <w:lang w:bidi="fa-IR"/>
        </w:rPr>
        <w:t xml:space="preserve"> </w:t>
      </w:r>
      <w:r w:rsidRPr="00C9040A">
        <w:rPr>
          <w:rtl/>
          <w:lang w:bidi="fa-IR"/>
        </w:rPr>
        <w:t xml:space="preserve">: لَايَزْنِي الزَّانِي حِينَ يَزْنِي وَهُوَ مُؤْمِنٌ ، وَلَا يَسْرِقُ السَّارِقُ </w:t>
      </w:r>
      <w:r w:rsidR="006C577F" w:rsidRPr="006C577F">
        <w:rPr>
          <w:rStyle w:val="libFootnotenumChar"/>
          <w:rtl/>
        </w:rPr>
        <w:t>(6)</w:t>
      </w:r>
      <w:r w:rsidR="00520E37" w:rsidRPr="00C9040A">
        <w:rPr>
          <w:rtl/>
          <w:lang w:bidi="fa-IR"/>
        </w:rPr>
        <w:t xml:space="preserve">  </w:t>
      </w:r>
      <w:r w:rsidRPr="00C9040A">
        <w:rPr>
          <w:rtl/>
          <w:lang w:bidi="fa-IR"/>
        </w:rPr>
        <w:t xml:space="preserve">حِينَ يَسْرِقُ وَهُوَ مُؤْمِنٌ ؛ فَإِنَّهُ إِذَا فَعَلَ ذلِكَ ، خُلِعَ </w:t>
      </w:r>
      <w:r w:rsidR="006C577F" w:rsidRPr="006C577F">
        <w:rPr>
          <w:rStyle w:val="libFootnotenumChar"/>
          <w:rtl/>
        </w:rPr>
        <w:t>(7)</w:t>
      </w:r>
      <w:r w:rsidRPr="00C9040A">
        <w:rPr>
          <w:rtl/>
          <w:lang w:bidi="fa-IR"/>
        </w:rPr>
        <w:t xml:space="preserve"> عَنْهُ الْإِيمَانُ كَخَلْعِ الْقَمِيصِ.</w:t>
      </w:r>
    </w:p>
    <w:p w:rsidR="008A74EB" w:rsidRPr="00C9040A" w:rsidRDefault="008A74EB" w:rsidP="008A74EB">
      <w:pPr>
        <w:pStyle w:val="libNormal"/>
        <w:rPr>
          <w:rtl/>
        </w:rPr>
      </w:pPr>
      <w:r w:rsidRPr="00C9040A">
        <w:rPr>
          <w:rtl/>
          <w:lang w:bidi="fa-IR"/>
        </w:rPr>
        <w:t xml:space="preserve">وَنَزَلَ </w:t>
      </w:r>
      <w:r w:rsidR="006C577F" w:rsidRPr="006C577F">
        <w:rPr>
          <w:rStyle w:val="libFootnotenumChar"/>
          <w:rtl/>
        </w:rPr>
        <w:t>(8)</w:t>
      </w:r>
      <w:r w:rsidRPr="00C9040A">
        <w:rPr>
          <w:rtl/>
          <w:lang w:bidi="fa-IR"/>
        </w:rPr>
        <w:t xml:space="preserve"> بِالْمَدِينَةِ : </w:t>
      </w:r>
      <w:r w:rsidRPr="0003660B">
        <w:rPr>
          <w:rStyle w:val="libAlaemChar"/>
          <w:rtl/>
        </w:rPr>
        <w:t>(</w:t>
      </w:r>
      <w:r w:rsidRPr="006A2246">
        <w:rPr>
          <w:rStyle w:val="libAieChar"/>
          <w:rtl/>
        </w:rPr>
        <w:t xml:space="preserve"> وَالَّذِينَ يَرْمُونَ الْمُحْصَناتِ ثُمَّ لَمْ يَأْتُوا بِأَرْبَعَةِ شُهَداءَ فَاجْلِدُوهُمْ ثَمانِينَ جَلْدَةً وَلا تَقْبَلُوا لَهُمْ شَهادَةً أَبَداً وَأُولئِكَ هُمُ الْفاسِقُونَ</w:t>
      </w:r>
      <w:r w:rsidR="00EE34ED">
        <w:rPr>
          <w:rStyle w:val="libAieChar"/>
          <w:rFonts w:hint="cs"/>
          <w:rtl/>
        </w:rPr>
        <w:t xml:space="preserve"> *</w:t>
      </w:r>
      <w:r w:rsidR="00EE34ED">
        <w:rPr>
          <w:rStyle w:val="libAieChar"/>
          <w:rtl/>
        </w:rPr>
        <w:t xml:space="preserve"> إِل</w:t>
      </w:r>
      <w:r w:rsidR="00EE34ED">
        <w:rPr>
          <w:rStyle w:val="libAieChar"/>
          <w:rFonts w:hint="cs"/>
          <w:rtl/>
        </w:rPr>
        <w:t>َّ</w:t>
      </w:r>
      <w:r w:rsidR="00EE34ED">
        <w:rPr>
          <w:rStyle w:val="libAieChar"/>
          <w:rtl/>
        </w:rPr>
        <w:t>ا</w:t>
      </w:r>
      <w:r w:rsidRPr="006A2246">
        <w:rPr>
          <w:rStyle w:val="libAieChar"/>
          <w:rtl/>
        </w:rPr>
        <w:t xml:space="preserve"> الَّذِينَ تابُوا مِنْ بَعْدِ ذلِكَ وَأَصْلَحُوا فَإِنَّ اللهَ غَفُورٌ رَحِيمٌ </w:t>
      </w:r>
      <w:r w:rsidRPr="0003660B">
        <w:rPr>
          <w:rStyle w:val="libAlaemChar"/>
          <w:rtl/>
        </w:rPr>
        <w:t>)</w:t>
      </w:r>
      <w:r w:rsidRPr="00C9040A">
        <w:rPr>
          <w:rtl/>
          <w:lang w:bidi="fa-IR"/>
        </w:rPr>
        <w:t xml:space="preserve"> </w:t>
      </w:r>
      <w:r w:rsidR="006C577F" w:rsidRPr="006C577F">
        <w:rPr>
          <w:rStyle w:val="libFootnotenumChar"/>
          <w:rtl/>
        </w:rPr>
        <w:t>(9)</w:t>
      </w:r>
      <w:r w:rsidRPr="00C9040A">
        <w:rPr>
          <w:rtl/>
          <w:lang w:bidi="fa-IR"/>
        </w:rPr>
        <w:t xml:space="preserve"> فَبَرَّأَهُ </w:t>
      </w:r>
      <w:r w:rsidR="006C577F" w:rsidRPr="006C577F">
        <w:rPr>
          <w:rStyle w:val="libFootnotenumChar"/>
          <w:rtl/>
        </w:rPr>
        <w:t>(10)</w:t>
      </w:r>
      <w:r w:rsidRPr="00C9040A">
        <w:rPr>
          <w:rtl/>
          <w:lang w:bidi="fa-IR"/>
        </w:rPr>
        <w:t xml:space="preserve"> اللهُ</w:t>
      </w:r>
      <w:r>
        <w:rPr>
          <w:rtl/>
          <w:lang w:bidi="fa-IR"/>
        </w:rPr>
        <w:t xml:space="preserve"> </w:t>
      </w:r>
      <w:r w:rsidR="0084262C">
        <w:rPr>
          <w:rtl/>
          <w:lang w:bidi="fa-IR"/>
        </w:rPr>
        <w:t>-</w:t>
      </w:r>
      <w:r>
        <w:rPr>
          <w:rtl/>
          <w:lang w:bidi="fa-IR"/>
        </w:rPr>
        <w:t xml:space="preserve"> </w:t>
      </w:r>
      <w:r w:rsidRPr="00C9040A">
        <w:rPr>
          <w:rtl/>
          <w:lang w:bidi="fa-IR"/>
        </w:rPr>
        <w:t xml:space="preserve">مَا كَانَ مُقِيماً عَلَى الْفِرْيَةِ </w:t>
      </w:r>
      <w:r w:rsidR="006C577F" w:rsidRPr="006C577F">
        <w:rPr>
          <w:rStyle w:val="libFootnotenumChar"/>
          <w:rtl/>
        </w:rPr>
        <w:t>(11)</w:t>
      </w:r>
      <w:r>
        <w:rPr>
          <w:rtl/>
          <w:lang w:bidi="fa-IR"/>
        </w:rPr>
        <w:t xml:space="preserve"> </w:t>
      </w:r>
      <w:r w:rsidR="0084262C">
        <w:rPr>
          <w:rtl/>
          <w:lang w:bidi="fa-IR"/>
        </w:rPr>
        <w:t>-</w:t>
      </w:r>
      <w:r>
        <w:rPr>
          <w:rtl/>
          <w:lang w:bidi="fa-IR"/>
        </w:rPr>
        <w:t xml:space="preserve"> </w:t>
      </w:r>
      <w:r w:rsidRPr="00C9040A">
        <w:rPr>
          <w:rtl/>
          <w:lang w:bidi="fa-IR"/>
        </w:rPr>
        <w:t xml:space="preserve">مِنْ أَنْ يُسَمّى بِالْإِيمَانِ ؛ قَالَ اللهُ عَزَّ وَجَلَّ : </w:t>
      </w:r>
      <w:r w:rsidRPr="0003660B">
        <w:rPr>
          <w:rStyle w:val="libAlaemChar"/>
          <w:rtl/>
        </w:rPr>
        <w:t>(</w:t>
      </w:r>
      <w:r w:rsidRPr="006A2246">
        <w:rPr>
          <w:rStyle w:val="libAieChar"/>
          <w:rtl/>
        </w:rPr>
        <w:t xml:space="preserve"> أَفَمَنْ كانَ مُؤْمِناً كَمَنْ كانَ فاسِقاً لا يَسْتَوُونَ </w:t>
      </w:r>
      <w:r w:rsidRPr="0003660B">
        <w:rPr>
          <w:rStyle w:val="libAlaemChar"/>
          <w:rtl/>
        </w:rPr>
        <w:t>)</w:t>
      </w:r>
      <w:r w:rsidRPr="00C9040A">
        <w:rPr>
          <w:rtl/>
          <w:lang w:bidi="fa-IR"/>
        </w:rPr>
        <w:t xml:space="preserve"> </w:t>
      </w:r>
      <w:r w:rsidR="006C577F" w:rsidRPr="006C577F">
        <w:rPr>
          <w:rStyle w:val="libFootnotenumChar"/>
          <w:rtl/>
        </w:rPr>
        <w:t>(12)</w:t>
      </w:r>
      <w:r w:rsidRPr="00C9040A">
        <w:rPr>
          <w:rtl/>
          <w:lang w:bidi="fa-IR"/>
        </w:rPr>
        <w:t xml:space="preserve"> وَجَعَلَهُ اللهُ مُنَافِقاً ؛ قَالَ اللهُ عَزَّ وَجَلَّ : </w:t>
      </w:r>
      <w:r w:rsidRPr="0003660B">
        <w:rPr>
          <w:rStyle w:val="libAlaemChar"/>
          <w:rtl/>
        </w:rPr>
        <w:t>(</w:t>
      </w:r>
      <w:r w:rsidRPr="006A2246">
        <w:rPr>
          <w:rStyle w:val="libAieChar"/>
          <w:rtl/>
        </w:rPr>
        <w:t xml:space="preserve"> إِنَّ الْمُنافِقِينَ هُمُ الْفاسِقُونَ </w:t>
      </w:r>
      <w:r w:rsidRPr="0003660B">
        <w:rPr>
          <w:rStyle w:val="libAlaemChar"/>
          <w:rtl/>
        </w:rPr>
        <w:t>)</w:t>
      </w:r>
      <w:r w:rsidRPr="00C9040A">
        <w:rPr>
          <w:rtl/>
          <w:lang w:bidi="fa-IR"/>
        </w:rPr>
        <w:t xml:space="preserve"> </w:t>
      </w:r>
      <w:r w:rsidRPr="005B567D">
        <w:rPr>
          <w:rStyle w:val="libFootnotenumChar"/>
          <w:rtl/>
        </w:rPr>
        <w:t>(13)</w:t>
      </w:r>
      <w:r w:rsidRPr="00C9040A">
        <w:rPr>
          <w:rtl/>
          <w:lang w:bidi="fa-IR"/>
        </w:rPr>
        <w:t xml:space="preserve"> وَجَعَلَهُ اللهُ </w:t>
      </w:r>
      <w:r w:rsidRPr="005B567D">
        <w:rPr>
          <w:rStyle w:val="libFootnotenumChar"/>
          <w:rtl/>
        </w:rPr>
        <w:t>(14)</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مِنْ أَوْلِيَاءِ إِبْلِيسَ ؛ قَالَ </w:t>
      </w:r>
      <w:r w:rsidRPr="005B567D">
        <w:rPr>
          <w:rStyle w:val="libFootnotenumChar"/>
          <w:rtl/>
        </w:rPr>
        <w:t>(15)</w:t>
      </w:r>
      <w:r w:rsidRPr="00C9040A">
        <w:rPr>
          <w:rtl/>
          <w:lang w:bidi="fa-IR"/>
        </w:rPr>
        <w:t xml:space="preserve"> : </w:t>
      </w:r>
      <w:r w:rsidRPr="0003660B">
        <w:rPr>
          <w:rStyle w:val="libAlaemChar"/>
          <w:rtl/>
        </w:rPr>
        <w:t>(</w:t>
      </w:r>
      <w:r w:rsidR="00805D18">
        <w:rPr>
          <w:rStyle w:val="libAieChar"/>
          <w:rtl/>
        </w:rPr>
        <w:t xml:space="preserve"> إِل</w:t>
      </w:r>
      <w:r w:rsidR="00805D18">
        <w:rPr>
          <w:rStyle w:val="libAieChar"/>
          <w:rFonts w:hint="cs"/>
          <w:rtl/>
        </w:rPr>
        <w:t>ّ</w:t>
      </w:r>
      <w:r w:rsidR="00805D18">
        <w:rPr>
          <w:rStyle w:val="libAieChar"/>
          <w:rtl/>
        </w:rPr>
        <w:t>ا</w:t>
      </w:r>
      <w:r w:rsidRPr="006A2246">
        <w:rPr>
          <w:rStyle w:val="libAieChar"/>
          <w:rtl/>
        </w:rPr>
        <w:t xml:space="preserve"> إِبْلِيسَ كانَ مِنَ الْجِنِّ فَفَسَقَ عَنْ أَمْرِ</w:t>
      </w:r>
      <w:r w:rsidR="00805D18" w:rsidRPr="00805D18">
        <w:rPr>
          <w:rFonts w:hint="cs"/>
          <w:rtl/>
        </w:rPr>
        <w:t>.</w:t>
      </w:r>
      <w:r w:rsidR="00345499">
        <w:rPr>
          <w:rFonts w:hint="cs"/>
          <w:rtl/>
        </w:rPr>
        <w:t>............</w:t>
      </w:r>
      <w:r w:rsidR="00805D18">
        <w:rPr>
          <w:rFonts w:hint="cs"/>
          <w:rtl/>
        </w:rPr>
        <w:t>.</w:t>
      </w:r>
      <w:r w:rsidR="00345499">
        <w:tab/>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AD4936" w:rsidTr="00AD4936">
        <w:tc>
          <w:tcPr>
            <w:tcW w:w="4006" w:type="dxa"/>
          </w:tcPr>
          <w:p w:rsidR="00AD4936" w:rsidRDefault="00AD4936" w:rsidP="004A4E41">
            <w:pPr>
              <w:pStyle w:val="libFootnote0"/>
              <w:rPr>
                <w:rtl/>
              </w:rPr>
            </w:pPr>
            <w:r>
              <w:rPr>
                <w:rtl/>
              </w:rPr>
              <w:t>(1).</w:t>
            </w:r>
            <w:r w:rsidRPr="00C9040A">
              <w:rPr>
                <w:rtl/>
              </w:rPr>
              <w:t xml:space="preserve"> في « ف » : « في الآخرة نصيب »</w:t>
            </w:r>
            <w:r>
              <w:rPr>
                <w:rtl/>
              </w:rPr>
              <w:t>.</w:t>
            </w:r>
          </w:p>
        </w:tc>
        <w:tc>
          <w:tcPr>
            <w:tcW w:w="4006" w:type="dxa"/>
          </w:tcPr>
          <w:p w:rsidR="00AD4936" w:rsidRDefault="00AD4936" w:rsidP="004A4E41">
            <w:pPr>
              <w:pStyle w:val="libFootnote0"/>
              <w:rPr>
                <w:rtl/>
              </w:rPr>
            </w:pPr>
            <w:r>
              <w:rPr>
                <w:rtl/>
              </w:rPr>
              <w:t xml:space="preserve">(2). </w:t>
            </w:r>
            <w:r w:rsidRPr="00C9040A">
              <w:rPr>
                <w:rtl/>
              </w:rPr>
              <w:t>النور (24) : 3.</w:t>
            </w:r>
          </w:p>
        </w:tc>
      </w:tr>
    </w:tbl>
    <w:p w:rsidR="008A74EB" w:rsidRPr="00C9040A" w:rsidRDefault="006C577F" w:rsidP="004A4E41">
      <w:pPr>
        <w:pStyle w:val="libFootnote0"/>
        <w:rPr>
          <w:rtl/>
          <w:lang w:bidi="fa-IR"/>
        </w:rPr>
      </w:pPr>
      <w:r>
        <w:rPr>
          <w:rtl/>
        </w:rPr>
        <w:t>(3).</w:t>
      </w:r>
      <w:r w:rsidR="008A74EB" w:rsidRPr="00C9040A">
        <w:rPr>
          <w:rtl/>
        </w:rPr>
        <w:t xml:space="preserve"> في « ز » : « وليس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الامتراء في الشي‌ء : الشكّ فيه. وكذلك التماري. </w:t>
      </w:r>
      <w:r w:rsidR="008A74EB" w:rsidRPr="00993B55">
        <w:rPr>
          <w:rStyle w:val="libFootnoteBoldChar"/>
          <w:rtl/>
        </w:rPr>
        <w:t>الصحاح</w:t>
      </w:r>
      <w:r w:rsidR="008A74EB" w:rsidRPr="00C9040A">
        <w:rPr>
          <w:rtl/>
        </w:rPr>
        <w:t xml:space="preserve"> ، ج 6 ، ص 2491 ( مرا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w:t>
      </w:r>
      <w:r w:rsidR="008A74EB" w:rsidRPr="00993B55">
        <w:rPr>
          <w:rStyle w:val="libFootnoteBoldChar"/>
          <w:rtl/>
        </w:rPr>
        <w:t>مرآة العقول</w:t>
      </w:r>
      <w:r w:rsidR="008A74EB" w:rsidRPr="00C9040A">
        <w:rPr>
          <w:rtl/>
        </w:rPr>
        <w:t xml:space="preserve"> : « الجملة إلى قوله : أنّه قال ، معترضة</w:t>
      </w:r>
      <w:r w:rsidR="008A74EB">
        <w:rPr>
          <w:rtl/>
        </w:rPr>
        <w:t xml:space="preserve"> ..</w:t>
      </w:r>
      <w:r w:rsidR="008A74EB" w:rsidRPr="00C9040A">
        <w:rPr>
          <w:rtl/>
        </w:rPr>
        <w:t>. والاعتراض لبيان أنّ الخبر معلوم متواتر بين الفريقين »</w:t>
      </w:r>
      <w:r w:rsidR="008A74EB">
        <w:rPr>
          <w:rtl/>
        </w:rPr>
        <w:t>.</w:t>
      </w:r>
      <w:r w:rsidR="003C44F8">
        <w:rPr>
          <w:rFonts w:hint="cs"/>
          <w:rtl/>
        </w:rPr>
        <w:t xml:space="preserve">                                                         </w:t>
      </w:r>
      <w:r>
        <w:rPr>
          <w:rtl/>
        </w:rPr>
        <w:t>(6).</w:t>
      </w:r>
      <w:r w:rsidR="008A74EB">
        <w:rPr>
          <w:rtl/>
        </w:rPr>
        <w:t xml:space="preserve"> </w:t>
      </w:r>
      <w:r w:rsidR="003C44F8">
        <w:rPr>
          <w:rtl/>
        </w:rPr>
        <w:t>في «ب، ج، د، ص، ض، بس، بف»</w:t>
      </w:r>
      <w:r w:rsidR="008A74EB">
        <w:rPr>
          <w:rtl/>
        </w:rPr>
        <w:t xml:space="preserve">: </w:t>
      </w:r>
      <w:r w:rsidR="0084262C">
        <w:rPr>
          <w:rtl/>
        </w:rPr>
        <w:t>-</w:t>
      </w:r>
      <w:r w:rsidR="003C44F8">
        <w:rPr>
          <w:rtl/>
        </w:rPr>
        <w:t xml:space="preserve"> «السارق</w:t>
      </w:r>
      <w:r w:rsidR="008A74EB" w:rsidRPr="00C9040A">
        <w:rPr>
          <w:rtl/>
        </w:rPr>
        <w:t>»</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د ، بر » والوافي : + « الله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 ب ، ج ، د ، ز ، ص » والوافي ومرآة العقول والبحار ، ج 69 : « وأنزل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النور (24) : 4</w:t>
      </w:r>
      <w:r w:rsidR="008A74EB">
        <w:rPr>
          <w:rtl/>
        </w:rPr>
        <w:t xml:space="preserve"> </w:t>
      </w:r>
      <w:r w:rsidR="0084262C">
        <w:rPr>
          <w:rtl/>
        </w:rPr>
        <w:t>-</w:t>
      </w:r>
      <w:r w:rsidR="008A74EB">
        <w:rPr>
          <w:rtl/>
        </w:rPr>
        <w:t xml:space="preserve"> </w:t>
      </w:r>
      <w:r w:rsidR="008A74EB" w:rsidRPr="00C9040A">
        <w:rPr>
          <w:rtl/>
        </w:rPr>
        <w:t>5.</w:t>
      </w:r>
    </w:p>
    <w:p w:rsidR="008A74EB" w:rsidRPr="00C9040A" w:rsidRDefault="006C577F" w:rsidP="004A4E41">
      <w:pPr>
        <w:pStyle w:val="libFootnote0"/>
        <w:rPr>
          <w:rtl/>
          <w:lang w:bidi="fa-IR"/>
        </w:rPr>
      </w:pPr>
      <w:r>
        <w:rPr>
          <w:rtl/>
        </w:rPr>
        <w:t>(10).</w:t>
      </w:r>
      <w:r w:rsidR="008A74EB" w:rsidRPr="00C9040A">
        <w:rPr>
          <w:rtl/>
        </w:rPr>
        <w:t xml:space="preserve"> في « ب ، ج ، ص » : « برّأه »</w:t>
      </w:r>
      <w:r w:rsidR="008A74EB">
        <w:rPr>
          <w:rtl/>
        </w:rPr>
        <w:t>.</w:t>
      </w:r>
      <w:r w:rsidR="008A74EB" w:rsidRPr="00C9040A">
        <w:rPr>
          <w:rtl/>
        </w:rPr>
        <w:t xml:space="preserve"> وفي البحار ، ج 69 : « فبرّأ »</w:t>
      </w:r>
      <w:r w:rsidR="008A74EB">
        <w:rPr>
          <w:rtl/>
        </w:rPr>
        <w:t>.</w:t>
      </w:r>
    </w:p>
    <w:p w:rsidR="008A74EB" w:rsidRPr="004A4E41" w:rsidRDefault="006C577F" w:rsidP="004A4E41">
      <w:pPr>
        <w:pStyle w:val="libFootnote0"/>
        <w:rPr>
          <w:rStyle w:val="libFootnote0Char"/>
          <w:rtl/>
        </w:rPr>
      </w:pPr>
      <w:r>
        <w:rPr>
          <w:rtl/>
        </w:rPr>
        <w:t>(11).</w:t>
      </w:r>
      <w:r w:rsidR="008A74EB" w:rsidRPr="00C9040A">
        <w:rPr>
          <w:rtl/>
        </w:rPr>
        <w:t xml:space="preserve"> « الفرية » : الكذب والقَذْف. </w:t>
      </w:r>
      <w:r w:rsidR="008A74EB" w:rsidRPr="00993B55">
        <w:rPr>
          <w:rStyle w:val="libFootnoteBoldChar"/>
          <w:rtl/>
        </w:rPr>
        <w:t>ترتيب كتاب العين</w:t>
      </w:r>
      <w:r w:rsidR="008A74EB" w:rsidRPr="00C9040A">
        <w:rPr>
          <w:rtl/>
        </w:rPr>
        <w:t xml:space="preserve"> ، ج 3 ، ص 1393 ( فري )</w:t>
      </w:r>
      <w:r w:rsidR="008A74EB">
        <w:rPr>
          <w:rtl/>
        </w:rPr>
        <w:t>.</w:t>
      </w:r>
    </w:p>
    <w:tbl>
      <w:tblPr>
        <w:tblStyle w:val="TableGrid"/>
        <w:bidiVisual/>
        <w:tblW w:w="0" w:type="auto"/>
        <w:tblLook w:val="04A0" w:firstRow="1" w:lastRow="0" w:firstColumn="1" w:lastColumn="0" w:noHBand="0" w:noVBand="1"/>
      </w:tblPr>
      <w:tblGrid>
        <w:gridCol w:w="4006"/>
        <w:gridCol w:w="4006"/>
      </w:tblGrid>
      <w:tr w:rsidR="003C44F8" w:rsidTr="003C44F8">
        <w:tc>
          <w:tcPr>
            <w:tcW w:w="4006" w:type="dxa"/>
          </w:tcPr>
          <w:p w:rsidR="003C44F8" w:rsidRDefault="003C44F8" w:rsidP="004A4E41">
            <w:pPr>
              <w:pStyle w:val="libFootnote0"/>
              <w:rPr>
                <w:rtl/>
              </w:rPr>
            </w:pPr>
            <w:r>
              <w:rPr>
                <w:rtl/>
              </w:rPr>
              <w:t>(12).</w:t>
            </w:r>
            <w:r w:rsidRPr="00C9040A">
              <w:rPr>
                <w:rtl/>
              </w:rPr>
              <w:t xml:space="preserve"> السجدة (32) : 18.</w:t>
            </w:r>
          </w:p>
        </w:tc>
        <w:tc>
          <w:tcPr>
            <w:tcW w:w="4006" w:type="dxa"/>
          </w:tcPr>
          <w:p w:rsidR="003C44F8" w:rsidRDefault="003C44F8" w:rsidP="004A4E41">
            <w:pPr>
              <w:pStyle w:val="libFootnote0"/>
              <w:rPr>
                <w:rtl/>
              </w:rPr>
            </w:pPr>
            <w:r>
              <w:rPr>
                <w:rtl/>
              </w:rPr>
              <w:t>(13)</w:t>
            </w:r>
            <w:r w:rsidRPr="00C9040A">
              <w:rPr>
                <w:rtl/>
              </w:rPr>
              <w:t xml:space="preserve"> التوبة </w:t>
            </w:r>
            <w:r>
              <w:rPr>
                <w:rtl/>
              </w:rPr>
              <w:t>(9)</w:t>
            </w:r>
            <w:r w:rsidRPr="00C9040A">
              <w:rPr>
                <w:rtl/>
              </w:rPr>
              <w:t xml:space="preserve"> : 67.</w:t>
            </w:r>
          </w:p>
        </w:tc>
      </w:tr>
    </w:tbl>
    <w:p w:rsidR="008A74EB" w:rsidRPr="00C9040A" w:rsidRDefault="008A74EB" w:rsidP="004A4E41">
      <w:pPr>
        <w:pStyle w:val="libFootnote0"/>
        <w:rPr>
          <w:rtl/>
          <w:lang w:bidi="fa-IR"/>
        </w:rPr>
      </w:pPr>
      <w:r>
        <w:rPr>
          <w:rtl/>
        </w:rPr>
        <w:t>(14)</w:t>
      </w:r>
      <w:r w:rsidRPr="00C9040A">
        <w:rPr>
          <w:rtl/>
        </w:rPr>
        <w:t xml:space="preserve"> هكذا في النسخ التي قوبلت والوافي والبحار ، ج 69. وفي المطبوع </w:t>
      </w:r>
      <w:r>
        <w:rPr>
          <w:rtl/>
        </w:rPr>
        <w:t xml:space="preserve">: </w:t>
      </w:r>
      <w:r w:rsidR="0084262C">
        <w:rPr>
          <w:rtl/>
        </w:rPr>
        <w:t>-</w:t>
      </w:r>
      <w:r w:rsidRPr="00C9040A">
        <w:rPr>
          <w:rtl/>
        </w:rPr>
        <w:t xml:space="preserve"> « الله »</w:t>
      </w:r>
      <w:r>
        <w:rPr>
          <w:rtl/>
        </w:rPr>
        <w:t>.</w:t>
      </w:r>
    </w:p>
    <w:p w:rsidR="008A74EB" w:rsidRPr="00C9040A" w:rsidRDefault="008A74EB" w:rsidP="004A4E41">
      <w:pPr>
        <w:pStyle w:val="libFootnote0"/>
        <w:rPr>
          <w:rtl/>
          <w:lang w:bidi="fa-IR"/>
        </w:rPr>
      </w:pPr>
      <w:r>
        <w:rPr>
          <w:rtl/>
        </w:rPr>
        <w:t>(15)</w:t>
      </w:r>
      <w:r w:rsidRPr="00C9040A">
        <w:rPr>
          <w:rtl/>
        </w:rPr>
        <w:t xml:space="preserve"> في « ص » والبحار ، ج 69 : + « الله »</w:t>
      </w:r>
      <w:r>
        <w:rPr>
          <w:rtl/>
        </w:rPr>
        <w:t>.</w:t>
      </w:r>
      <w:r w:rsidRPr="00C9040A">
        <w:rPr>
          <w:rtl/>
        </w:rPr>
        <w:t xml:space="preserve"> وفي « ز » : + « الله تعالى »</w:t>
      </w:r>
      <w:r>
        <w:rPr>
          <w:rtl/>
        </w:rPr>
        <w:t>.</w:t>
      </w:r>
    </w:p>
    <w:p w:rsidR="004B7F34" w:rsidRDefault="004B7F34" w:rsidP="004B7F34">
      <w:pPr>
        <w:pStyle w:val="libNormal"/>
        <w:rPr>
          <w:rtl/>
          <w:lang w:bidi="fa-IR"/>
        </w:rPr>
      </w:pPr>
      <w:r>
        <w:rPr>
          <w:rtl/>
          <w:lang w:bidi="fa-IR"/>
        </w:rPr>
        <w:br w:type="page"/>
      </w:r>
    </w:p>
    <w:p w:rsidR="008A74EB" w:rsidRPr="00C9040A" w:rsidRDefault="008A74EB" w:rsidP="00504A7D">
      <w:pPr>
        <w:pStyle w:val="libNormal0"/>
        <w:rPr>
          <w:rtl/>
          <w:lang w:bidi="fa-IR"/>
        </w:rPr>
      </w:pPr>
      <w:r w:rsidRPr="006A2246">
        <w:rPr>
          <w:rStyle w:val="libAieChar"/>
          <w:rtl/>
        </w:rPr>
        <w:lastRenderedPageBreak/>
        <w:t xml:space="preserve">رَبِّهِ </w:t>
      </w:r>
      <w:r w:rsidRPr="0003660B">
        <w:rPr>
          <w:rStyle w:val="libAlaemChar"/>
          <w:rtl/>
        </w:rPr>
        <w:t>)</w:t>
      </w:r>
      <w:r w:rsidRPr="00C9040A">
        <w:rPr>
          <w:rtl/>
          <w:lang w:bidi="fa-IR"/>
        </w:rPr>
        <w:t xml:space="preserve"> </w:t>
      </w:r>
      <w:r w:rsidR="006C577F" w:rsidRPr="006C577F">
        <w:rPr>
          <w:rStyle w:val="libFootnotenumChar"/>
          <w:rtl/>
        </w:rPr>
        <w:t>(1)</w:t>
      </w:r>
      <w:r w:rsidRPr="009E51F8">
        <w:rPr>
          <w:rFonts w:hint="cs"/>
          <w:rtl/>
        </w:rPr>
        <w:t xml:space="preserve"> </w:t>
      </w:r>
      <w:r w:rsidRPr="00C9040A">
        <w:rPr>
          <w:rtl/>
          <w:lang w:bidi="fa-IR"/>
        </w:rPr>
        <w:t xml:space="preserve">وَجَعَلَهُ </w:t>
      </w:r>
      <w:r w:rsidR="006C577F" w:rsidRPr="006C577F">
        <w:rPr>
          <w:rStyle w:val="libFootnotenumChar"/>
          <w:rtl/>
        </w:rPr>
        <w:t>(2)</w:t>
      </w:r>
      <w:r w:rsidRPr="00C9040A">
        <w:rPr>
          <w:rtl/>
          <w:lang w:bidi="fa-IR"/>
        </w:rPr>
        <w:t xml:space="preserve"> مَلْعُوناً ، فَقَالَ : </w:t>
      </w:r>
      <w:r w:rsidRPr="0003660B">
        <w:rPr>
          <w:rStyle w:val="libAlaemChar"/>
          <w:rtl/>
        </w:rPr>
        <w:t>(</w:t>
      </w:r>
      <w:r w:rsidRPr="006A2246">
        <w:rPr>
          <w:rStyle w:val="libAieChar"/>
          <w:rtl/>
        </w:rPr>
        <w:t xml:space="preserve"> إِنَّ الَّذِينَ يَرْمُونَ الْمُحْصَناتِ الْغافِلاتِ الْمُؤْمِناتِ لُعِنُوا فِي الدُّنْيا وَالْآخِرَةِ وَلَهُمْ عَذابٌ عَظِيمٌ </w:t>
      </w:r>
      <w:r w:rsidR="00AC566A">
        <w:rPr>
          <w:rStyle w:val="libAieChar"/>
          <w:rFonts w:hint="cs"/>
          <w:rtl/>
        </w:rPr>
        <w:t xml:space="preserve">* </w:t>
      </w:r>
      <w:r w:rsidRPr="006A2246">
        <w:rPr>
          <w:rStyle w:val="libAieChar"/>
          <w:rtl/>
        </w:rPr>
        <w:t xml:space="preserve">يَوْمَ تَشْهَدُ عَلَيْهِمْ أَلْسِنَتُهُمْ وَأَيْدِيهِمْ وَأَرْجُلُهُمْ بِما كانُوا يَعْمَلُونَ </w:t>
      </w:r>
      <w:r w:rsidRPr="0003660B">
        <w:rPr>
          <w:rStyle w:val="libAlaemChar"/>
          <w:rtl/>
        </w:rPr>
        <w:t>)</w:t>
      </w:r>
      <w:r w:rsidRPr="00C9040A">
        <w:rPr>
          <w:rtl/>
          <w:lang w:bidi="fa-IR"/>
        </w:rPr>
        <w:t xml:space="preserve"> </w:t>
      </w:r>
      <w:r w:rsidR="006C577F" w:rsidRPr="006C577F">
        <w:rPr>
          <w:rStyle w:val="libFootnotenumChar"/>
          <w:rtl/>
        </w:rPr>
        <w:t>(3)</w:t>
      </w:r>
      <w:r w:rsidRPr="00C9040A">
        <w:rPr>
          <w:rtl/>
          <w:lang w:bidi="fa-IR"/>
        </w:rPr>
        <w:t xml:space="preserve"> وَلَيْسَتْ تَشْهَدُ الْجَوَارِحُ عَلى </w:t>
      </w:r>
      <w:r w:rsidR="006C577F" w:rsidRPr="006C577F">
        <w:rPr>
          <w:rStyle w:val="libFootnotenumChar"/>
          <w:rtl/>
        </w:rPr>
        <w:t>(4)</w:t>
      </w:r>
      <w:r w:rsidRPr="00C9040A">
        <w:rPr>
          <w:rtl/>
          <w:lang w:bidi="fa-IR"/>
        </w:rPr>
        <w:t xml:space="preserve"> مُؤْمِنٍ ، إِنَّمَا تَشْهَدُ عَلى مَنْ حَقَّتْ عَلَيْهِ كَلِمَةُ الْعَذَابِ ، فَأَمَّا الْمُؤْمِنُ ، فَيُعْطى كِتَابَهُ بِيَمِينِهِ ؛ قَالَ اللهُ عَزَّ وَجَلَّ : </w:t>
      </w:r>
      <w:r w:rsidRPr="0003660B">
        <w:rPr>
          <w:rStyle w:val="libAlaemChar"/>
          <w:rFonts w:hint="cs"/>
          <w:rtl/>
        </w:rPr>
        <w:t>(</w:t>
      </w:r>
      <w:r w:rsidRPr="00C9040A">
        <w:rPr>
          <w:rtl/>
          <w:lang w:bidi="fa-IR"/>
        </w:rPr>
        <w:t xml:space="preserve"> ( ف</w:t>
      </w:r>
      <w:r w:rsidR="00AC566A">
        <w:rPr>
          <w:rFonts w:hint="cs"/>
          <w:rtl/>
          <w:lang w:bidi="fa-IR"/>
        </w:rPr>
        <w:t>َ</w:t>
      </w:r>
      <w:r w:rsidRPr="00C9040A">
        <w:rPr>
          <w:rtl/>
          <w:lang w:bidi="fa-IR"/>
        </w:rPr>
        <w:t>أ</w:t>
      </w:r>
      <w:r w:rsidR="00AC566A">
        <w:rPr>
          <w:rFonts w:hint="cs"/>
          <w:rtl/>
          <w:lang w:bidi="fa-IR"/>
        </w:rPr>
        <w:t>َ</w:t>
      </w:r>
      <w:r w:rsidRPr="00C9040A">
        <w:rPr>
          <w:rtl/>
          <w:lang w:bidi="fa-IR"/>
        </w:rPr>
        <w:t>م</w:t>
      </w:r>
      <w:r w:rsidR="00AC566A">
        <w:rPr>
          <w:rFonts w:hint="cs"/>
          <w:rtl/>
          <w:lang w:bidi="fa-IR"/>
        </w:rPr>
        <w:t>ّ</w:t>
      </w:r>
      <w:r w:rsidRPr="00C9040A">
        <w:rPr>
          <w:rtl/>
          <w:lang w:bidi="fa-IR"/>
        </w:rPr>
        <w:t>ا م</w:t>
      </w:r>
      <w:r w:rsidR="00AC566A">
        <w:rPr>
          <w:rFonts w:hint="cs"/>
          <w:rtl/>
          <w:lang w:bidi="fa-IR"/>
        </w:rPr>
        <w:t>َ</w:t>
      </w:r>
      <w:r w:rsidRPr="00C9040A">
        <w:rPr>
          <w:rtl/>
          <w:lang w:bidi="fa-IR"/>
        </w:rPr>
        <w:t>ن</w:t>
      </w:r>
      <w:r w:rsidR="00AC566A">
        <w:rPr>
          <w:rFonts w:hint="cs"/>
          <w:rtl/>
          <w:lang w:bidi="fa-IR"/>
        </w:rPr>
        <w:t>ْ</w:t>
      </w:r>
      <w:r w:rsidRPr="00C9040A">
        <w:rPr>
          <w:rtl/>
          <w:lang w:bidi="fa-IR"/>
        </w:rPr>
        <w:t xml:space="preserve"> ) </w:t>
      </w:r>
      <w:r w:rsidR="006C577F" w:rsidRPr="006C577F">
        <w:rPr>
          <w:rStyle w:val="libFootnotenumChar"/>
          <w:rtl/>
        </w:rPr>
        <w:t>(5)</w:t>
      </w:r>
      <w:r>
        <w:rPr>
          <w:rFonts w:hint="cs"/>
          <w:rtl/>
        </w:rPr>
        <w:t xml:space="preserve"> </w:t>
      </w:r>
      <w:r w:rsidRPr="006A2246">
        <w:rPr>
          <w:rStyle w:val="libAieChar"/>
          <w:rtl/>
        </w:rPr>
        <w:t xml:space="preserve">أُوتِيَ كِتابَهُ بِيَمِينِهِ فَأُولئِكَ يَقْرَؤُنَ كِتابَهُمْ وَلا يُظْلَمُونَ فَتِيلاً </w:t>
      </w:r>
      <w:r w:rsidR="00504A7D" w:rsidRPr="006C577F">
        <w:rPr>
          <w:rStyle w:val="libFootnotenumChar"/>
          <w:rtl/>
        </w:rPr>
        <w:t>(6)</w:t>
      </w:r>
      <w:r w:rsidRPr="0003660B">
        <w:rPr>
          <w:rStyle w:val="libAlaemChar"/>
          <w:rtl/>
        </w:rPr>
        <w:t>)</w:t>
      </w:r>
      <w:r w:rsidRPr="00C9040A">
        <w:rPr>
          <w:rtl/>
          <w:lang w:bidi="fa-IR"/>
        </w:rPr>
        <w:t xml:space="preserve"> </w:t>
      </w:r>
      <w:r w:rsidR="006C577F" w:rsidRPr="006C577F">
        <w:rPr>
          <w:rStyle w:val="libFootnotenumChar"/>
          <w:rtl/>
        </w:rPr>
        <w:t>(7)</w:t>
      </w:r>
      <w:r w:rsidR="00504A7D" w:rsidRPr="00504A7D">
        <w:rPr>
          <w:rStyle w:val="libNormalChar"/>
          <w:rFonts w:hint="cs"/>
          <w:rtl/>
        </w:rPr>
        <w:t>.</w:t>
      </w:r>
    </w:p>
    <w:p w:rsidR="008A74EB" w:rsidRDefault="008A74EB" w:rsidP="008A74EB">
      <w:pPr>
        <w:pStyle w:val="libNormal"/>
        <w:rPr>
          <w:rtl/>
        </w:rPr>
      </w:pPr>
      <w:r w:rsidRPr="00C9040A">
        <w:rPr>
          <w:rtl/>
          <w:lang w:bidi="fa-IR"/>
        </w:rPr>
        <w:t xml:space="preserve">وَسُورَةُ النُّورِ أُنْزِلَتْ </w:t>
      </w:r>
      <w:r w:rsidR="006C577F" w:rsidRPr="006C577F">
        <w:rPr>
          <w:rStyle w:val="libFootnotenumChar"/>
          <w:rtl/>
        </w:rPr>
        <w:t>(8)</w:t>
      </w:r>
      <w:r w:rsidRPr="00C9040A">
        <w:rPr>
          <w:rtl/>
          <w:lang w:bidi="fa-IR"/>
        </w:rPr>
        <w:t xml:space="preserve"> بَعْدَ سُورَةِ النِّسَاءِ ؛ وَتَصْدِيقُ ذلِكَ أَنَّ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أَنْزَلَ عَلَيْهِ فِي سُورَةِ النِّسَاءِ : </w:t>
      </w:r>
      <w:r w:rsidRPr="0003660B">
        <w:rPr>
          <w:rStyle w:val="libAlaemChar"/>
          <w:rtl/>
        </w:rPr>
        <w:t>(</w:t>
      </w:r>
      <w:r w:rsidRPr="006A2246">
        <w:rPr>
          <w:rStyle w:val="libAieChar"/>
          <w:rtl/>
        </w:rPr>
        <w:t xml:space="preserve"> وَاللاّتِي</w:t>
      </w:r>
      <w:r>
        <w:rPr>
          <w:rFonts w:hint="cs"/>
          <w:rtl/>
        </w:rPr>
        <w:t xml:space="preserve"> </w:t>
      </w:r>
      <w:r w:rsidR="006C577F" w:rsidRPr="006C577F">
        <w:rPr>
          <w:rStyle w:val="libFootnotenumChar"/>
          <w:rtl/>
        </w:rPr>
        <w:t>(9)</w:t>
      </w:r>
      <w:r>
        <w:rPr>
          <w:rFonts w:hint="cs"/>
          <w:rtl/>
        </w:rPr>
        <w:t xml:space="preserve"> </w:t>
      </w:r>
      <w:r w:rsidRPr="006A2246">
        <w:rPr>
          <w:rStyle w:val="libAieChar"/>
          <w:rtl/>
        </w:rPr>
        <w:t xml:space="preserve">يَأْتِينَ الْفاحِشَةَ مِنْ نِسائِكُمْ فَاسْتَشْهِدُوا عَلَيْهِنَّ أَرْبَعَةً مِنْكُمْ فَإِنْ شَهِدُوا فَأَمْسِكُوهُنَّ فِي الْبُيُوتِ حَتّى يَتَوَفّاهُنَّ الْمَوْتُ أَوْ يَجْعَلَ اللهُ لَهُنَّ سَبِيلاً </w:t>
      </w:r>
      <w:r w:rsidRPr="0003660B">
        <w:rPr>
          <w:rStyle w:val="libAlaemChar"/>
          <w:rtl/>
        </w:rPr>
        <w:t>)</w:t>
      </w:r>
      <w:r w:rsidRPr="00C9040A">
        <w:rPr>
          <w:rtl/>
          <w:lang w:bidi="fa-IR"/>
        </w:rPr>
        <w:t xml:space="preserve"> </w:t>
      </w:r>
      <w:r w:rsidR="006C577F" w:rsidRPr="006C577F">
        <w:rPr>
          <w:rStyle w:val="libFootnotenumChar"/>
          <w:rtl/>
        </w:rPr>
        <w:t>(10)</w:t>
      </w:r>
      <w:r w:rsidRPr="00C9040A">
        <w:rPr>
          <w:rtl/>
          <w:lang w:bidi="fa-IR"/>
        </w:rPr>
        <w:t xml:space="preserve"> وَالسَّبِيلُ الَّذِي قَالَ اللهُ عَزَّ وَجَلَّ : </w:t>
      </w:r>
      <w:r w:rsidRPr="0003660B">
        <w:rPr>
          <w:rStyle w:val="libAlaemChar"/>
          <w:rtl/>
        </w:rPr>
        <w:t>(</w:t>
      </w:r>
      <w:r w:rsidRPr="006A2246">
        <w:rPr>
          <w:rStyle w:val="libAieChar"/>
          <w:rtl/>
        </w:rPr>
        <w:t xml:space="preserve"> سُورَةٌ أَنْزَلْناها وَفَرَضْناها وَأَنْزَلْنا فِيها آياتٍ بَيِّناتٍ لَعَلَّكُمْ تَذَكَّرُونَ </w:t>
      </w:r>
      <w:r w:rsidR="00A1599B">
        <w:rPr>
          <w:rStyle w:val="libAieChar"/>
          <w:rFonts w:hint="cs"/>
          <w:rtl/>
        </w:rPr>
        <w:t xml:space="preserve">* </w:t>
      </w:r>
      <w:r w:rsidRPr="006A2246">
        <w:rPr>
          <w:rStyle w:val="libAieChar"/>
          <w:rtl/>
        </w:rPr>
        <w:t xml:space="preserve">الزّانِيَةُ وَالزّانِي فَاجْلِدُوا كُلَّ واحِدٍ مِنْهُما مِائَةَ جَلْدَةٍ وَلا تَأْخُذْكُمْ بِهِما رَأْفَةٌ فِي دِينِ اللهِ إِنْ كُنْتُمْ تُؤْمِنُونَ بِاللهِ وَالْيَوْمِ الْآخِرِ وَلْيَشْهَدْ عَذابَهُما طائِفَةٌ مِنَ الْمُؤْمِنِينَ </w:t>
      </w:r>
      <w:r w:rsidRPr="0003660B">
        <w:rPr>
          <w:rStyle w:val="libAlaemChar"/>
          <w:rtl/>
        </w:rPr>
        <w:t>)</w:t>
      </w:r>
      <w:r w:rsidRPr="00C9040A">
        <w:rPr>
          <w:rtl/>
          <w:lang w:bidi="fa-IR"/>
        </w:rPr>
        <w:t xml:space="preserve"> </w:t>
      </w:r>
      <w:r w:rsidR="006C577F" w:rsidRPr="006C577F">
        <w:rPr>
          <w:rStyle w:val="libFootnotenumChar"/>
          <w:rtl/>
        </w:rPr>
        <w:t>(11)</w:t>
      </w:r>
      <w:r w:rsidRPr="00C9040A">
        <w:rPr>
          <w:rtl/>
          <w:lang w:bidi="fa-IR"/>
        </w:rPr>
        <w:t xml:space="preserve"> »</w:t>
      </w:r>
      <w:r>
        <w:rPr>
          <w:rtl/>
          <w:lang w:bidi="fa-IR"/>
        </w:rPr>
        <w:t>.</w:t>
      </w:r>
      <w:r w:rsidR="006C577F" w:rsidRPr="006C577F">
        <w:rPr>
          <w:rStyle w:val="libFootnotenumChar"/>
          <w:rtl/>
        </w:rPr>
        <w:t>(12)</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الكهف (18) : 50.</w:t>
      </w:r>
    </w:p>
    <w:p w:rsidR="008A74EB" w:rsidRPr="004A4E41" w:rsidRDefault="006C577F" w:rsidP="004A4E41">
      <w:pPr>
        <w:pStyle w:val="libFootnote0"/>
        <w:rPr>
          <w:rStyle w:val="libFootnote0Char"/>
          <w:rtl/>
        </w:rPr>
      </w:pPr>
      <w:r>
        <w:rPr>
          <w:rtl/>
        </w:rPr>
        <w:t>(2).</w:t>
      </w:r>
      <w:r w:rsidR="008A74EB">
        <w:rPr>
          <w:rtl/>
        </w:rPr>
        <w:t xml:space="preserve"> </w:t>
      </w:r>
      <w:r w:rsidR="008A74EB" w:rsidRPr="00C9040A">
        <w:rPr>
          <w:rtl/>
        </w:rPr>
        <w:t>في « ج ، د ، ص » : + « الله »</w:t>
      </w:r>
      <w:r w:rsidR="008A74EB">
        <w:rPr>
          <w:rtl/>
        </w:rPr>
        <w:t>.</w:t>
      </w:r>
      <w:r w:rsidR="008A74EB" w:rsidRPr="00C9040A">
        <w:rPr>
          <w:rtl/>
        </w:rPr>
        <w:t xml:space="preserve"> وفي « ف » : + « الله عزّ وجلّ »</w:t>
      </w:r>
      <w:r w:rsidR="008A74EB">
        <w:rPr>
          <w:rtl/>
        </w:rPr>
        <w:t>.</w:t>
      </w:r>
    </w:p>
    <w:tbl>
      <w:tblPr>
        <w:tblStyle w:val="TableGrid"/>
        <w:bidiVisual/>
        <w:tblW w:w="0" w:type="auto"/>
        <w:tblLook w:val="04A0" w:firstRow="1" w:lastRow="0" w:firstColumn="1" w:lastColumn="0" w:noHBand="0" w:noVBand="1"/>
      </w:tblPr>
      <w:tblGrid>
        <w:gridCol w:w="4006"/>
        <w:gridCol w:w="4006"/>
      </w:tblGrid>
      <w:tr w:rsidR="00A1599B" w:rsidTr="00A1599B">
        <w:tc>
          <w:tcPr>
            <w:tcW w:w="4006" w:type="dxa"/>
          </w:tcPr>
          <w:p w:rsidR="00A1599B" w:rsidRDefault="00A1599B" w:rsidP="004A4E41">
            <w:pPr>
              <w:pStyle w:val="libFootnote0"/>
              <w:rPr>
                <w:rtl/>
              </w:rPr>
            </w:pPr>
            <w:r>
              <w:rPr>
                <w:rtl/>
              </w:rPr>
              <w:t>(3).</w:t>
            </w:r>
            <w:r w:rsidRPr="00C9040A">
              <w:rPr>
                <w:rtl/>
              </w:rPr>
              <w:t xml:space="preserve"> النور (24) : 23</w:t>
            </w:r>
            <w:r>
              <w:rPr>
                <w:rtl/>
              </w:rPr>
              <w:t xml:space="preserve"> - </w:t>
            </w:r>
            <w:r w:rsidRPr="00C9040A">
              <w:rPr>
                <w:rtl/>
              </w:rPr>
              <w:t>24.</w:t>
            </w:r>
          </w:p>
        </w:tc>
        <w:tc>
          <w:tcPr>
            <w:tcW w:w="4006" w:type="dxa"/>
          </w:tcPr>
          <w:p w:rsidR="00A1599B" w:rsidRDefault="00A1599B" w:rsidP="004A4E41">
            <w:pPr>
              <w:pStyle w:val="libFootnote0"/>
              <w:rPr>
                <w:rtl/>
              </w:rPr>
            </w:pPr>
            <w:r>
              <w:rPr>
                <w:rtl/>
              </w:rPr>
              <w:t>(4).</w:t>
            </w:r>
            <w:r w:rsidRPr="00C9040A">
              <w:rPr>
                <w:rtl/>
              </w:rPr>
              <w:t xml:space="preserve"> في « ب » : + « كلّ »</w:t>
            </w:r>
            <w:r>
              <w:rPr>
                <w:rtl/>
              </w:rPr>
              <w:t>.</w:t>
            </w:r>
          </w:p>
        </w:tc>
      </w:tr>
    </w:tbl>
    <w:p w:rsidR="008A74EB" w:rsidRPr="00C9040A" w:rsidRDefault="006C577F" w:rsidP="004A4E41">
      <w:pPr>
        <w:pStyle w:val="libFootnote0"/>
        <w:rPr>
          <w:rtl/>
          <w:lang w:bidi="fa-IR"/>
        </w:rPr>
      </w:pPr>
      <w:r>
        <w:rPr>
          <w:rtl/>
        </w:rPr>
        <w:t>(5).</w:t>
      </w:r>
      <w:r w:rsidR="008A74EB" w:rsidRPr="00C9040A">
        <w:rPr>
          <w:rtl/>
        </w:rPr>
        <w:t xml:space="preserve"> كذا في النسخ والمطبوع. وفي القرآن والبحار ، ج 69 : </w:t>
      </w:r>
      <w:r w:rsidR="0052006A" w:rsidRPr="00B866D3">
        <w:rPr>
          <w:rStyle w:val="libFootnoteAlaemChar"/>
          <w:rFonts w:hint="cs"/>
          <w:rtl/>
        </w:rPr>
        <w:t>(</w:t>
      </w:r>
      <w:r w:rsidR="008A74EB" w:rsidRPr="0052006A">
        <w:rPr>
          <w:rStyle w:val="libFootnoteAieChar"/>
          <w:rtl/>
        </w:rPr>
        <w:t xml:space="preserve"> فَمَنْ </w:t>
      </w:r>
      <w:r w:rsidR="0052006A" w:rsidRPr="00B866D3">
        <w:rPr>
          <w:rStyle w:val="libFootnoteAlaemChar"/>
          <w:rFonts w:hint="cs"/>
          <w:rtl/>
        </w:rPr>
        <w:t>)</w:t>
      </w:r>
      <w:r w:rsidR="008A74EB" w:rsidRPr="00C9040A">
        <w:rPr>
          <w:rtl/>
        </w:rPr>
        <w:t xml:space="preserve"> بدل « فأمّا من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قال الراغب : « الفتيل : المفتول ، وسمّي ما يكون في شقّ النواة فتيلاً ؛ لكونه على هيئته ، قال تعالى : </w:t>
      </w:r>
      <w:r w:rsidR="00794EF3" w:rsidRPr="00B866D3">
        <w:rPr>
          <w:rStyle w:val="libFootnoteAlaemChar"/>
          <w:rFonts w:hint="cs"/>
          <w:rtl/>
        </w:rPr>
        <w:t>(</w:t>
      </w:r>
      <w:r w:rsidR="008A74EB" w:rsidRPr="00794EF3">
        <w:rPr>
          <w:rStyle w:val="libFootnoteAieChar"/>
          <w:rtl/>
        </w:rPr>
        <w:t xml:space="preserve"> لايُظْلَمُونَ فَتِيلاً </w:t>
      </w:r>
      <w:r w:rsidR="00794EF3" w:rsidRPr="00B866D3">
        <w:rPr>
          <w:rStyle w:val="libFootnoteAlaemChar"/>
          <w:rFonts w:hint="cs"/>
          <w:rtl/>
        </w:rPr>
        <w:t>)</w:t>
      </w:r>
      <w:r w:rsidR="008A74EB" w:rsidRPr="00C9040A">
        <w:rPr>
          <w:rtl/>
        </w:rPr>
        <w:t xml:space="preserve"> وهو ما تفتله بين أصابعك من خيط أو وسخ. ويضرب به المثل في الشي‌ء الحقير »</w:t>
      </w:r>
      <w:r w:rsidR="008A74EB">
        <w:rPr>
          <w:rtl/>
        </w:rPr>
        <w:t>.</w:t>
      </w:r>
      <w:r w:rsidR="008A74EB" w:rsidRPr="00C9040A">
        <w:rPr>
          <w:rtl/>
        </w:rPr>
        <w:t xml:space="preserve"> راجع : </w:t>
      </w:r>
      <w:r w:rsidR="008A74EB" w:rsidRPr="00993B55">
        <w:rPr>
          <w:rStyle w:val="libFootnoteBoldChar"/>
          <w:rtl/>
        </w:rPr>
        <w:t>المفردات</w:t>
      </w:r>
      <w:r w:rsidR="008A74EB" w:rsidRPr="00C9040A">
        <w:rPr>
          <w:rtl/>
        </w:rPr>
        <w:t xml:space="preserve"> ، ص 623 ( فتل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الإسراء (17) : 71. وفي </w:t>
      </w:r>
      <w:r w:rsidR="008A74EB" w:rsidRPr="00993B55">
        <w:rPr>
          <w:rStyle w:val="libFootnoteBoldChar"/>
          <w:rtl/>
        </w:rPr>
        <w:t>مرآة العقول</w:t>
      </w:r>
      <w:r w:rsidR="008A74EB" w:rsidRPr="00C9040A">
        <w:rPr>
          <w:rtl/>
        </w:rPr>
        <w:t xml:space="preserve"> ، ج 7 ، ص 203 : « ثمّ اعلم أنّ هذا المضمون وقع في مواضع من القرآن المجيد</w:t>
      </w:r>
      <w:r w:rsidR="008A74EB">
        <w:rPr>
          <w:rtl/>
        </w:rPr>
        <w:t xml:space="preserve"> </w:t>
      </w:r>
      <w:r w:rsidR="0084262C">
        <w:rPr>
          <w:rtl/>
        </w:rPr>
        <w:t>-</w:t>
      </w:r>
      <w:r w:rsidR="008A74EB">
        <w:rPr>
          <w:rtl/>
        </w:rPr>
        <w:t xml:space="preserve"> </w:t>
      </w:r>
      <w:r w:rsidR="008A74EB" w:rsidRPr="00C9040A">
        <w:rPr>
          <w:rtl/>
        </w:rPr>
        <w:t>أي الإسراء (17) : 71 ؛ الحاقّة (69) : 19 ؛ الانشقاق (84) : 7</w:t>
      </w:r>
      <w:r w:rsidR="008A74EB">
        <w:rPr>
          <w:rtl/>
        </w:rPr>
        <w:t xml:space="preserve"> ..</w:t>
      </w:r>
      <w:r w:rsidR="008A74EB" w:rsidRPr="00C9040A">
        <w:rPr>
          <w:rtl/>
        </w:rPr>
        <w:t>.</w:t>
      </w:r>
      <w:r w:rsidR="008A74EB">
        <w:rPr>
          <w:rtl/>
        </w:rPr>
        <w:t xml:space="preserve"> </w:t>
      </w:r>
      <w:r w:rsidR="0084262C">
        <w:rPr>
          <w:rtl/>
        </w:rPr>
        <w:t>-</w:t>
      </w:r>
      <w:r w:rsidR="008A74EB">
        <w:rPr>
          <w:rtl/>
        </w:rPr>
        <w:t xml:space="preserve"> </w:t>
      </w:r>
      <w:r w:rsidR="008A74EB" w:rsidRPr="00C9040A">
        <w:rPr>
          <w:rtl/>
        </w:rPr>
        <w:t>وما في الحديث لا يوافق شيئاً منها وإن كان بالأوّل أنسب ، فكأنّه من تصحيف النسّاخ ، أو نقل بالمعنى ؛ جمعاً بين الآيات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 ب » : « نزلت »</w:t>
      </w:r>
      <w:r w:rsidR="008A74EB">
        <w:rPr>
          <w:rtl/>
        </w:rPr>
        <w:t>.</w:t>
      </w:r>
    </w:p>
    <w:p w:rsidR="008A74EB" w:rsidRPr="004A4E41" w:rsidRDefault="006C577F" w:rsidP="004A4E41">
      <w:pPr>
        <w:pStyle w:val="libFootnote0"/>
        <w:rPr>
          <w:rStyle w:val="libFootnote0Char"/>
          <w:rtl/>
        </w:rPr>
      </w:pPr>
      <w:r>
        <w:rPr>
          <w:rtl/>
        </w:rPr>
        <w:t>(9).</w:t>
      </w:r>
      <w:r w:rsidR="008A74EB" w:rsidRPr="00C9040A">
        <w:rPr>
          <w:rtl/>
        </w:rPr>
        <w:t xml:space="preserve"> هكذا في القرآن وأكثر النسخ وشرح المازندراني ومرآة العقول. وفي « ز » والمطبوع : « اللائي »</w:t>
      </w:r>
      <w:r w:rsidR="008A74EB">
        <w:rPr>
          <w:rtl/>
        </w:rPr>
        <w:t>.</w:t>
      </w:r>
    </w:p>
    <w:tbl>
      <w:tblPr>
        <w:tblStyle w:val="TableGrid"/>
        <w:bidiVisual/>
        <w:tblW w:w="0" w:type="auto"/>
        <w:tblLook w:val="04A0" w:firstRow="1" w:lastRow="0" w:firstColumn="1" w:lastColumn="0" w:noHBand="0" w:noVBand="1"/>
      </w:tblPr>
      <w:tblGrid>
        <w:gridCol w:w="4006"/>
        <w:gridCol w:w="4006"/>
      </w:tblGrid>
      <w:tr w:rsidR="00342883" w:rsidTr="00342883">
        <w:tc>
          <w:tcPr>
            <w:tcW w:w="4006" w:type="dxa"/>
          </w:tcPr>
          <w:p w:rsidR="00342883" w:rsidRDefault="00342883" w:rsidP="004A4E41">
            <w:pPr>
              <w:pStyle w:val="libFootnote0"/>
              <w:rPr>
                <w:rtl/>
              </w:rPr>
            </w:pPr>
            <w:r>
              <w:rPr>
                <w:rtl/>
              </w:rPr>
              <w:t>(10).</w:t>
            </w:r>
            <w:r w:rsidRPr="00C9040A">
              <w:rPr>
                <w:rtl/>
              </w:rPr>
              <w:t xml:space="preserve"> النساء </w:t>
            </w:r>
            <w:r w:rsidR="00B5696B">
              <w:rPr>
                <w:rtl/>
              </w:rPr>
              <w:t>(4)</w:t>
            </w:r>
            <w:r w:rsidRPr="00C9040A">
              <w:rPr>
                <w:rtl/>
              </w:rPr>
              <w:t xml:space="preserve"> : 15.</w:t>
            </w:r>
          </w:p>
        </w:tc>
        <w:tc>
          <w:tcPr>
            <w:tcW w:w="4006" w:type="dxa"/>
          </w:tcPr>
          <w:p w:rsidR="00342883" w:rsidRDefault="00342883" w:rsidP="004A4E41">
            <w:pPr>
              <w:pStyle w:val="libFootnote0"/>
              <w:rPr>
                <w:rtl/>
              </w:rPr>
            </w:pPr>
            <w:r>
              <w:rPr>
                <w:rtl/>
              </w:rPr>
              <w:t>(11).</w:t>
            </w:r>
            <w:r w:rsidRPr="00C9040A">
              <w:rPr>
                <w:rtl/>
              </w:rPr>
              <w:t xml:space="preserve"> النور (24) : 1</w:t>
            </w:r>
            <w:r>
              <w:rPr>
                <w:rtl/>
              </w:rPr>
              <w:t xml:space="preserve"> - </w:t>
            </w:r>
            <w:r w:rsidRPr="00C9040A">
              <w:rPr>
                <w:rtl/>
              </w:rPr>
              <w:t>2.</w:t>
            </w:r>
          </w:p>
        </w:tc>
      </w:tr>
    </w:tbl>
    <w:p w:rsidR="008A74EB" w:rsidRPr="00C9040A" w:rsidRDefault="006C577F" w:rsidP="004A4E41">
      <w:pPr>
        <w:pStyle w:val="libFootnote0"/>
        <w:rPr>
          <w:rtl/>
          <w:lang w:bidi="fa-IR"/>
        </w:rPr>
      </w:pPr>
      <w:r>
        <w:rPr>
          <w:rtl/>
        </w:rPr>
        <w:t>(12).</w:t>
      </w:r>
      <w:r w:rsidR="008A74EB" w:rsidRPr="00C9040A">
        <w:rPr>
          <w:rtl/>
        </w:rPr>
        <w:t xml:space="preserve"> راجع : </w:t>
      </w:r>
      <w:r w:rsidR="008A74EB" w:rsidRPr="00993B55">
        <w:rPr>
          <w:rStyle w:val="libFootnoteBoldChar"/>
          <w:rtl/>
        </w:rPr>
        <w:t>الكافي</w:t>
      </w:r>
      <w:r w:rsidR="008A74EB" w:rsidRPr="00C9040A">
        <w:rPr>
          <w:rtl/>
        </w:rPr>
        <w:t xml:space="preserve"> ، كتاب الإيمان والكفر ، باب الكبائر ، ح 2448 </w:t>
      </w:r>
      <w:r w:rsidR="008A74EB">
        <w:rPr>
          <w:rtl/>
        </w:rPr>
        <w:t>و 2</w:t>
      </w:r>
      <w:r w:rsidR="008A74EB" w:rsidRPr="00C9040A">
        <w:rPr>
          <w:rtl/>
        </w:rPr>
        <w:t>462</w:t>
      </w:r>
      <w:r w:rsidR="00B5696B">
        <w:rPr>
          <w:rFonts w:hint="cs"/>
          <w:rtl/>
        </w:rPr>
        <w:t>.</w:t>
      </w:r>
      <w:r w:rsidR="008A74EB" w:rsidRPr="00993B55">
        <w:rPr>
          <w:rStyle w:val="libFootnoteBoldChar"/>
          <w:rtl/>
        </w:rPr>
        <w:t>الوافي</w:t>
      </w:r>
      <w:r w:rsidR="008A74EB" w:rsidRPr="00C9040A">
        <w:rPr>
          <w:rtl/>
        </w:rPr>
        <w:t xml:space="preserve"> ، ج 4 ، ص 104 ، </w:t>
      </w:r>
      <w:r w:rsidR="00B5696B">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101A2B">
        <w:rPr>
          <w:rtl/>
        </w:rPr>
        <w:lastRenderedPageBreak/>
        <w:t>1519</w:t>
      </w:r>
      <w:r w:rsidRPr="00261CB0">
        <w:rPr>
          <w:rStyle w:val="libBold2Char"/>
          <w:rtl/>
        </w:rPr>
        <w:t xml:space="preserve"> / 2.</w:t>
      </w:r>
      <w:r w:rsidRPr="00C9040A">
        <w:rPr>
          <w:rtl/>
          <w:lang w:bidi="fa-IR"/>
        </w:rPr>
        <w:t xml:space="preserve"> مُحَمَّدُ بْنُ يَحْيى ، عَنْ أَحْمَدَ بْنِ مُحَمَّدٍ ، عَنْ مُحَمَّدِ </w:t>
      </w:r>
      <w:r w:rsidR="006C577F" w:rsidRPr="006C577F">
        <w:rPr>
          <w:rStyle w:val="libFootnotenumChar"/>
          <w:rtl/>
        </w:rPr>
        <w:t>(1)</w:t>
      </w:r>
      <w:r w:rsidRPr="002712F0">
        <w:rPr>
          <w:rFonts w:hint="cs"/>
          <w:rtl/>
        </w:rPr>
        <w:t xml:space="preserve"> </w:t>
      </w:r>
      <w:r w:rsidRPr="00C9040A">
        <w:rPr>
          <w:rtl/>
          <w:lang w:bidi="fa-IR"/>
        </w:rPr>
        <w:t xml:space="preserve">بْنِ إِسْمَاعِيلَ ، عَنْ مُحَمَّدِ بْنِ الْفُضَيْلِ </w:t>
      </w:r>
      <w:r w:rsidR="006C577F" w:rsidRPr="006C577F">
        <w:rPr>
          <w:rStyle w:val="libFootnotenumChar"/>
          <w:rtl/>
        </w:rPr>
        <w:t>(2)</w:t>
      </w:r>
      <w:r w:rsidRPr="00C9040A">
        <w:rPr>
          <w:rtl/>
          <w:lang w:bidi="fa-IR"/>
        </w:rPr>
        <w:t xml:space="preserve"> ، عَنْ أَبِي الصَّبَّاحِ الْكِنَانِيِّ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قِيلَ لِأَمِيرِ الْمُؤْمِنِينَ </w:t>
      </w:r>
      <w:r w:rsidRPr="0003660B">
        <w:rPr>
          <w:rStyle w:val="libAlaemChar"/>
          <w:rtl/>
        </w:rPr>
        <w:t>عليه‌السلام</w:t>
      </w:r>
      <w:r w:rsidRPr="00C9040A">
        <w:rPr>
          <w:rtl/>
          <w:lang w:bidi="fa-IR"/>
        </w:rPr>
        <w:t xml:space="preserve"> : مَنْ شَهِدَ </w:t>
      </w:r>
      <w:r w:rsidR="006C577F" w:rsidRPr="006C577F">
        <w:rPr>
          <w:rStyle w:val="libFootnotenumChar"/>
          <w:rtl/>
        </w:rPr>
        <w:t>(3)</w:t>
      </w:r>
      <w:r w:rsidRPr="00C9040A">
        <w:rPr>
          <w:rtl/>
          <w:lang w:bidi="fa-IR"/>
        </w:rPr>
        <w:t xml:space="preserve"> أَنْ لَا</w:t>
      </w:r>
      <w:r>
        <w:rPr>
          <w:rFonts w:hint="cs"/>
          <w:rtl/>
          <w:lang w:bidi="fa-IR"/>
        </w:rPr>
        <w:t xml:space="preserve"> </w:t>
      </w:r>
      <w:r w:rsidR="00910777">
        <w:rPr>
          <w:rtl/>
          <w:lang w:bidi="fa-IR"/>
        </w:rPr>
        <w:t>إِلهَ إِل</w:t>
      </w:r>
      <w:r w:rsidR="00910777">
        <w:rPr>
          <w:rFonts w:hint="cs"/>
          <w:rtl/>
          <w:lang w:bidi="fa-IR"/>
        </w:rPr>
        <w:t>َّ</w:t>
      </w:r>
      <w:r w:rsidR="00910777">
        <w:rPr>
          <w:rtl/>
          <w:lang w:bidi="fa-IR"/>
        </w:rPr>
        <w:t>ا</w:t>
      </w:r>
      <w:r w:rsidRPr="00C9040A">
        <w:rPr>
          <w:rtl/>
          <w:lang w:bidi="fa-IR"/>
        </w:rPr>
        <w:t xml:space="preserve"> اللهُ ، وَأَنَّ مُحَمَّداً رَسُولُ اللهِ </w:t>
      </w:r>
      <w:r w:rsidR="004A4E41" w:rsidRPr="004A4E41">
        <w:rPr>
          <w:rStyle w:val="libAlaemChar"/>
          <w:rtl/>
        </w:rPr>
        <w:t>صلى‌الله‌عليه‌وآله</w:t>
      </w:r>
      <w:r w:rsidRPr="00C9040A">
        <w:rPr>
          <w:rtl/>
          <w:lang w:bidi="fa-IR"/>
        </w:rPr>
        <w:t xml:space="preserve"> ، كَانَ مُؤْمِناً</w:t>
      </w:r>
      <w:r>
        <w:rPr>
          <w:rtl/>
          <w:lang w:bidi="fa-IR"/>
        </w:rPr>
        <w:t>؟</w:t>
      </w:r>
      <w:r w:rsidRPr="00C9040A">
        <w:rPr>
          <w:rtl/>
          <w:lang w:bidi="fa-IR"/>
        </w:rPr>
        <w:t xml:space="preserve"> قَالَ : فَأَيْنَ فَرَائِضُ اللهِ</w:t>
      </w:r>
      <w:r>
        <w:rPr>
          <w:rtl/>
          <w:lang w:bidi="fa-IR"/>
        </w:rPr>
        <w:t>؟</w:t>
      </w:r>
      <w:r w:rsidRPr="00C9040A">
        <w:rPr>
          <w:rtl/>
          <w:lang w:bidi="fa-IR"/>
        </w:rPr>
        <w:t xml:space="preserve"> » ‌</w:t>
      </w:r>
    </w:p>
    <w:p w:rsidR="008A74EB" w:rsidRPr="00C9040A" w:rsidRDefault="008A74EB" w:rsidP="008A74EB">
      <w:pPr>
        <w:pStyle w:val="libNormal"/>
        <w:rPr>
          <w:rtl/>
          <w:lang w:bidi="fa-IR"/>
        </w:rPr>
      </w:pPr>
      <w:r w:rsidRPr="00C9040A">
        <w:rPr>
          <w:rtl/>
          <w:lang w:bidi="fa-IR"/>
        </w:rPr>
        <w:t xml:space="preserve">قَالَ : وَسَمِعْتُهُ يَقُولُ : « كَانَ عَلِيٌّ </w:t>
      </w:r>
      <w:r w:rsidRPr="0003660B">
        <w:rPr>
          <w:rStyle w:val="libAlaemChar"/>
          <w:rtl/>
        </w:rPr>
        <w:t>عليه‌السلام</w:t>
      </w:r>
      <w:r w:rsidRPr="00C9040A">
        <w:rPr>
          <w:rtl/>
          <w:lang w:bidi="fa-IR"/>
        </w:rPr>
        <w:t xml:space="preserve"> يَقُولُ : لَوْ كَانَ الْإِيمَانُ كَلَاماً ، لَمْ يَنْزِلْ فِيهِ صَوْمٌ وَلَا صَلَاةٌ وَلَا حَلَالٌ وَلَا حَرَامٌ »</w:t>
      </w:r>
      <w:r>
        <w:rPr>
          <w:rtl/>
          <w:lang w:bidi="fa-IR"/>
        </w:rPr>
        <w:t>.</w:t>
      </w:r>
    </w:p>
    <w:p w:rsidR="008A74EB" w:rsidRPr="00C9040A" w:rsidRDefault="008A74EB" w:rsidP="008A74EB">
      <w:pPr>
        <w:pStyle w:val="libNormal"/>
        <w:rPr>
          <w:rtl/>
          <w:lang w:bidi="fa-IR"/>
        </w:rPr>
      </w:pPr>
      <w:r w:rsidRPr="00C9040A">
        <w:rPr>
          <w:rtl/>
          <w:lang w:bidi="fa-IR"/>
        </w:rPr>
        <w:t xml:space="preserve">قَالَ : وَقُلْتُ لِأَبِي جَعْفَرٍ </w:t>
      </w:r>
      <w:r w:rsidRPr="0003660B">
        <w:rPr>
          <w:rStyle w:val="libAlaemChar"/>
          <w:rtl/>
        </w:rPr>
        <w:t>عليه‌السلام</w:t>
      </w:r>
      <w:r w:rsidRPr="00C9040A">
        <w:rPr>
          <w:rtl/>
          <w:lang w:bidi="fa-IR"/>
        </w:rPr>
        <w:t xml:space="preserve"> : إِنَّ عِنْدَنَا قَوْماً يَقُولُونَ : إِذَا شَهِدَ أَنْ لَا</w:t>
      </w:r>
      <w:r>
        <w:rPr>
          <w:rFonts w:hint="cs"/>
          <w:rtl/>
          <w:lang w:bidi="fa-IR"/>
        </w:rPr>
        <w:t xml:space="preserve"> </w:t>
      </w:r>
      <w:r w:rsidR="00910777">
        <w:rPr>
          <w:rtl/>
          <w:lang w:bidi="fa-IR"/>
        </w:rPr>
        <w:t>إِلهَ إِل</w:t>
      </w:r>
      <w:r w:rsidR="00910777">
        <w:rPr>
          <w:rFonts w:hint="cs"/>
          <w:rtl/>
          <w:lang w:bidi="fa-IR"/>
        </w:rPr>
        <w:t>َّ</w:t>
      </w:r>
      <w:r w:rsidR="00910777">
        <w:rPr>
          <w:rtl/>
          <w:lang w:bidi="fa-IR"/>
        </w:rPr>
        <w:t>ا</w:t>
      </w:r>
      <w:r w:rsidRPr="00C9040A">
        <w:rPr>
          <w:rtl/>
          <w:lang w:bidi="fa-IR"/>
        </w:rPr>
        <w:t xml:space="preserve"> اللهُ ، وَأَنَّ مُحَمَّداً رَسُولُ اللهِ </w:t>
      </w:r>
      <w:r w:rsidR="004A4E41" w:rsidRPr="004A4E41">
        <w:rPr>
          <w:rStyle w:val="libAlaemChar"/>
          <w:rtl/>
        </w:rPr>
        <w:t>صلى‌الله‌عليه‌وآله</w:t>
      </w:r>
      <w:r w:rsidRPr="00C9040A">
        <w:rPr>
          <w:rtl/>
          <w:lang w:bidi="fa-IR"/>
        </w:rPr>
        <w:t xml:space="preserve"> ، فَهُوَ </w:t>
      </w:r>
      <w:r w:rsidR="006C577F" w:rsidRPr="006C577F">
        <w:rPr>
          <w:rStyle w:val="libFootnotenumChar"/>
          <w:rtl/>
        </w:rPr>
        <w:t>(4)</w:t>
      </w:r>
      <w:r w:rsidRPr="00C9040A">
        <w:rPr>
          <w:rtl/>
          <w:lang w:bidi="fa-IR"/>
        </w:rPr>
        <w:t xml:space="preserve"> مُؤْمِنٌ.</w:t>
      </w:r>
    </w:p>
    <w:p w:rsidR="008A74EB" w:rsidRPr="00C9040A" w:rsidRDefault="008A74EB" w:rsidP="008A74EB">
      <w:pPr>
        <w:pStyle w:val="libNormal"/>
        <w:rPr>
          <w:rtl/>
          <w:lang w:bidi="fa-IR"/>
        </w:rPr>
      </w:pPr>
      <w:r w:rsidRPr="00C9040A">
        <w:rPr>
          <w:rtl/>
          <w:lang w:bidi="fa-IR"/>
        </w:rPr>
        <w:t>قَالَ : « فَلِمَ يُضْرَبُونَ الْحُدُودَ</w:t>
      </w:r>
      <w:r>
        <w:rPr>
          <w:rtl/>
          <w:lang w:bidi="fa-IR"/>
        </w:rPr>
        <w:t>؟</w:t>
      </w:r>
      <w:r w:rsidRPr="00C9040A">
        <w:rPr>
          <w:rtl/>
          <w:lang w:bidi="fa-IR"/>
        </w:rPr>
        <w:t xml:space="preserve"> وَلِمَ تُقْطَعُ </w:t>
      </w:r>
      <w:r w:rsidR="006C577F" w:rsidRPr="006C577F">
        <w:rPr>
          <w:rStyle w:val="libFootnotenumChar"/>
          <w:rtl/>
        </w:rPr>
        <w:t>(5)</w:t>
      </w:r>
      <w:r w:rsidRPr="00C9040A">
        <w:rPr>
          <w:rtl/>
          <w:lang w:bidi="fa-IR"/>
        </w:rPr>
        <w:t xml:space="preserve"> أَيْدِيهِمْ</w:t>
      </w:r>
      <w:r>
        <w:rPr>
          <w:rtl/>
          <w:lang w:bidi="fa-IR"/>
        </w:rPr>
        <w:t>؟</w:t>
      </w:r>
      <w:r w:rsidRPr="00C9040A">
        <w:rPr>
          <w:rtl/>
          <w:lang w:bidi="fa-IR"/>
        </w:rPr>
        <w:t xml:space="preserve"> وَمَا خَلَقَ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خَلْقاً أَكْرَمَ عَلَى اللهِ</w:t>
      </w:r>
      <w:r>
        <w:rPr>
          <w:rtl/>
          <w:lang w:bidi="fa-IR"/>
        </w:rPr>
        <w:t xml:space="preserve"> </w:t>
      </w:r>
      <w:r w:rsidR="0084262C">
        <w:rPr>
          <w:rtl/>
          <w:lang w:bidi="fa-IR"/>
        </w:rPr>
        <w:t>-</w:t>
      </w:r>
      <w:r>
        <w:rPr>
          <w:rtl/>
          <w:lang w:bidi="fa-IR"/>
        </w:rPr>
        <w:t xml:space="preserve"> </w:t>
      </w:r>
      <w:r w:rsidRPr="00C9040A">
        <w:rPr>
          <w:rtl/>
          <w:lang w:bidi="fa-IR"/>
        </w:rPr>
        <w:t xml:space="preserve">عَزَّ وَجَلَّ </w:t>
      </w:r>
      <w:r w:rsidR="006C577F" w:rsidRPr="006C577F">
        <w:rPr>
          <w:rStyle w:val="libFootnotenumChar"/>
          <w:rtl/>
        </w:rPr>
        <w:t>(6)</w:t>
      </w:r>
      <w:r w:rsidR="0084262C">
        <w:rPr>
          <w:rtl/>
          <w:lang w:bidi="fa-IR"/>
        </w:rPr>
        <w:t>-</w:t>
      </w:r>
      <w:r>
        <w:rPr>
          <w:rtl/>
          <w:lang w:bidi="fa-IR"/>
        </w:rPr>
        <w:t xml:space="preserve"> </w:t>
      </w:r>
      <w:r w:rsidRPr="00C9040A">
        <w:rPr>
          <w:rtl/>
          <w:lang w:bidi="fa-IR"/>
        </w:rPr>
        <w:t xml:space="preserve">مِنَ الْمُؤْمِنِ </w:t>
      </w:r>
      <w:r w:rsidR="006C577F" w:rsidRPr="006C577F">
        <w:rPr>
          <w:rStyle w:val="libFootnotenumChar"/>
          <w:rtl/>
        </w:rPr>
        <w:t>(7)</w:t>
      </w:r>
      <w:r w:rsidRPr="00C9040A">
        <w:rPr>
          <w:rtl/>
          <w:lang w:bidi="fa-IR"/>
        </w:rPr>
        <w:t xml:space="preserve"> ؛ لِأَنَّ الْمَلَائِكَةَ خُدَّامُ الْمُؤْمِنِينَ ، وَأَنَّ جِوَارَ‌</w:t>
      </w:r>
    </w:p>
    <w:p w:rsidR="008A74EB" w:rsidRPr="00C9040A" w:rsidRDefault="008A74EB" w:rsidP="008A74EB">
      <w:pPr>
        <w:pStyle w:val="libLine"/>
        <w:rPr>
          <w:rtl/>
          <w:lang w:bidi="fa-IR"/>
        </w:rPr>
      </w:pPr>
      <w:r w:rsidRPr="00C9040A">
        <w:rPr>
          <w:rtl/>
          <w:lang w:bidi="fa-IR"/>
        </w:rPr>
        <w:t>__________________</w:t>
      </w:r>
    </w:p>
    <w:p w:rsidR="008A74EB" w:rsidRPr="00C9040A" w:rsidRDefault="006466B3" w:rsidP="004A4E41">
      <w:pPr>
        <w:pStyle w:val="libFootnote0"/>
        <w:rPr>
          <w:rtl/>
          <w:lang w:bidi="fa-IR"/>
        </w:rPr>
      </w:pPr>
      <w:r>
        <w:rPr>
          <w:rFonts w:hint="cs"/>
          <w:rtl/>
        </w:rPr>
        <w:t xml:space="preserve">= </w:t>
      </w:r>
      <w:r w:rsidR="008A74EB" w:rsidRPr="00C9040A">
        <w:rPr>
          <w:rtl/>
        </w:rPr>
        <w:t xml:space="preserve">ح 1710 ؛ وفي </w:t>
      </w:r>
      <w:r w:rsidR="008A74EB" w:rsidRPr="00993B55">
        <w:rPr>
          <w:rStyle w:val="libFootnoteBoldChar"/>
          <w:rtl/>
        </w:rPr>
        <w:t>الوسائل</w:t>
      </w:r>
      <w:r w:rsidR="008A74EB" w:rsidRPr="00C9040A">
        <w:rPr>
          <w:rtl/>
        </w:rPr>
        <w:t xml:space="preserve"> ، ج 1 ، ص 34 ، ح 53 ، من قوله : « فلمّا أذن الله لمحمّد </w:t>
      </w:r>
      <w:r w:rsidR="004A4E41" w:rsidRPr="004A4E41">
        <w:rPr>
          <w:rStyle w:val="libAlaemChar"/>
          <w:rtl/>
        </w:rPr>
        <w:t>صلى‌الله‌عليه‌وآله</w:t>
      </w:r>
      <w:r w:rsidR="008A74EB" w:rsidRPr="00C9040A">
        <w:rPr>
          <w:rtl/>
        </w:rPr>
        <w:t xml:space="preserve"> في الخروج من مكّة » إلى قوله : </w:t>
      </w:r>
      <w:r w:rsidR="008A74EB" w:rsidRPr="00B866D3">
        <w:rPr>
          <w:rStyle w:val="libFootnoteAlaemChar"/>
          <w:rtl/>
        </w:rPr>
        <w:t>(</w:t>
      </w:r>
      <w:r w:rsidR="008A74EB" w:rsidRPr="00883DD5">
        <w:rPr>
          <w:rStyle w:val="libFootnoteAieChar"/>
          <w:rFonts w:hint="cs"/>
          <w:rtl/>
        </w:rPr>
        <w:t xml:space="preserve"> </w:t>
      </w:r>
      <w:r w:rsidR="008A74EB" w:rsidRPr="00883DD5">
        <w:rPr>
          <w:rStyle w:val="libFootnoteAieChar"/>
          <w:rtl/>
        </w:rPr>
        <w:t>الْمُحْصَناتِ الْغافِلاتِ الْمُؤْمِناتِ لُعِنُوا فِي الدُّنْيا وَالْآخِرَةِ</w:t>
      </w:r>
      <w:r w:rsidR="008A74EB" w:rsidRPr="00883DD5">
        <w:rPr>
          <w:rStyle w:val="libFootnoteAieChar"/>
          <w:rFonts w:hint="cs"/>
          <w:rtl/>
        </w:rPr>
        <w:t xml:space="preserve"> </w:t>
      </w:r>
      <w:r w:rsidR="008A74EB" w:rsidRPr="00B866D3">
        <w:rPr>
          <w:rStyle w:val="libFootnoteAlaemChar"/>
          <w:rtl/>
        </w:rPr>
        <w:t>)</w:t>
      </w:r>
      <w:r w:rsidR="008A74EB" w:rsidRPr="00C9040A">
        <w:rPr>
          <w:rtl/>
        </w:rPr>
        <w:t xml:space="preserve"> ، مع تقطيع بعض الفقرات وتغيير بعض الكلمات ؛ </w:t>
      </w:r>
      <w:r w:rsidR="008A74EB" w:rsidRPr="00993B55">
        <w:rPr>
          <w:rStyle w:val="libFootnoteBoldChar"/>
          <w:rtl/>
        </w:rPr>
        <w:t>وفيه</w:t>
      </w:r>
      <w:r w:rsidR="008A74EB" w:rsidRPr="00C9040A">
        <w:rPr>
          <w:rtl/>
        </w:rPr>
        <w:t xml:space="preserve"> ، ج 27 ، ص 182 ، ح 33549 ، إلى قوله : « والمحكمات من الناسخات » ؛ </w:t>
      </w:r>
      <w:r w:rsidR="008A74EB" w:rsidRPr="00993B55">
        <w:rPr>
          <w:rStyle w:val="libFootnoteBoldChar"/>
          <w:rtl/>
        </w:rPr>
        <w:t>البحار</w:t>
      </w:r>
      <w:r w:rsidR="008A74EB" w:rsidRPr="00C9040A">
        <w:rPr>
          <w:rtl/>
        </w:rPr>
        <w:t xml:space="preserve"> ، ج 7 ، ص 318 ، ح 14 ، من قوله : « وليست تشهد الجوارح على مؤمن » إلى قوله « فأمّا المؤمن فيعطى كتابه بيمينه » ؛ </w:t>
      </w:r>
      <w:r w:rsidR="008A74EB" w:rsidRPr="00993B55">
        <w:rPr>
          <w:rStyle w:val="libFootnoteBoldChar"/>
          <w:rtl/>
        </w:rPr>
        <w:t>وفيه</w:t>
      </w:r>
      <w:r w:rsidR="008A74EB" w:rsidRPr="00C9040A">
        <w:rPr>
          <w:rtl/>
        </w:rPr>
        <w:t xml:space="preserve"> ، ج 14 ، ص 50 ، ح 4 ، من قوله : « فلمّا استجاب لكلّ نبيّ من استجاب له من قومه » إلى قوله : </w:t>
      </w:r>
      <w:r w:rsidR="008A74EB" w:rsidRPr="00B866D3">
        <w:rPr>
          <w:rStyle w:val="libFootnoteAlaemChar"/>
          <w:rtl/>
        </w:rPr>
        <w:t>(</w:t>
      </w:r>
      <w:r w:rsidR="008A74EB" w:rsidRPr="00883DD5">
        <w:rPr>
          <w:rStyle w:val="libFootnoteAieChar"/>
          <w:rFonts w:hint="cs"/>
          <w:rtl/>
        </w:rPr>
        <w:t xml:space="preserve"> </w:t>
      </w:r>
      <w:r w:rsidR="008A74EB" w:rsidRPr="00883DD5">
        <w:rPr>
          <w:rStyle w:val="libFootnoteAieChar"/>
          <w:rtl/>
        </w:rPr>
        <w:t>فَقُلْنا لَهُمْ كُونُوا قِرَدَةً خاسِئِينَ</w:t>
      </w:r>
      <w:r w:rsidR="008A74EB" w:rsidRPr="00883DD5">
        <w:rPr>
          <w:rStyle w:val="libFootnoteAieChar"/>
          <w:rFonts w:hint="cs"/>
          <w:rtl/>
        </w:rPr>
        <w:t xml:space="preserve"> </w:t>
      </w:r>
      <w:r w:rsidR="008A74EB" w:rsidRPr="00B866D3">
        <w:rPr>
          <w:rStyle w:val="libFootnoteAlaemChar"/>
          <w:rtl/>
        </w:rPr>
        <w:t>)</w:t>
      </w:r>
      <w:r w:rsidR="008A74EB" w:rsidRPr="00C9040A">
        <w:rPr>
          <w:rtl/>
        </w:rPr>
        <w:t xml:space="preserve"> ؛ وج 69 ، ص 85 ، ح 30.</w:t>
      </w:r>
    </w:p>
    <w:p w:rsidR="008A74EB" w:rsidRPr="00C9040A" w:rsidRDefault="006C577F" w:rsidP="004A4E41">
      <w:pPr>
        <w:pStyle w:val="libFootnote0"/>
        <w:rPr>
          <w:rtl/>
          <w:lang w:bidi="fa-IR"/>
        </w:rPr>
      </w:pPr>
      <w:r>
        <w:rPr>
          <w:rtl/>
        </w:rPr>
        <w:t>(1).</w:t>
      </w:r>
      <w:r w:rsidR="008A74EB" w:rsidRPr="00C9040A">
        <w:rPr>
          <w:rtl/>
        </w:rPr>
        <w:t xml:space="preserve"> في « ب » </w:t>
      </w:r>
      <w:r w:rsidR="008A74EB">
        <w:rPr>
          <w:rtl/>
        </w:rPr>
        <w:t xml:space="preserve">: </w:t>
      </w:r>
      <w:r w:rsidR="0084262C">
        <w:rPr>
          <w:rtl/>
        </w:rPr>
        <w:t>-</w:t>
      </w:r>
      <w:r w:rsidR="008A74EB" w:rsidRPr="00C9040A">
        <w:rPr>
          <w:rtl/>
        </w:rPr>
        <w:t xml:space="preserve"> « عن محمّد »</w:t>
      </w:r>
      <w:r w:rsidR="008A74EB">
        <w:rPr>
          <w:rtl/>
        </w:rPr>
        <w:t>.</w:t>
      </w:r>
      <w:r w:rsidR="008A74EB" w:rsidRPr="00C9040A">
        <w:rPr>
          <w:rtl/>
        </w:rPr>
        <w:t xml:space="preserve"> وفي « ز » </w:t>
      </w:r>
      <w:r w:rsidR="008A74EB">
        <w:rPr>
          <w:rtl/>
        </w:rPr>
        <w:t xml:space="preserve">: </w:t>
      </w:r>
      <w:r w:rsidR="0084262C">
        <w:rPr>
          <w:rtl/>
        </w:rPr>
        <w:t>-</w:t>
      </w:r>
      <w:r w:rsidR="008A74EB" w:rsidRPr="00C9040A">
        <w:rPr>
          <w:rtl/>
        </w:rPr>
        <w:t xml:space="preserve"> « عن محمّد بن إسماعيل »</w:t>
      </w:r>
      <w:r w:rsidR="008A74EB">
        <w:rPr>
          <w:rtl/>
        </w:rPr>
        <w:t>.</w:t>
      </w:r>
      <w:r w:rsidR="008A74EB" w:rsidRPr="00C9040A">
        <w:rPr>
          <w:rtl/>
        </w:rPr>
        <w:t xml:space="preserve"> وفي كلتا النسختين تحريف ؛ فقد توسّط</w:t>
      </w:r>
      <w:r w:rsidR="003300D4">
        <w:rPr>
          <w:rFonts w:hint="cs"/>
          <w:rtl/>
        </w:rPr>
        <w:t xml:space="preserve"> </w:t>
      </w:r>
      <w:r w:rsidR="008A74EB" w:rsidRPr="00C9040A">
        <w:rPr>
          <w:rtl/>
        </w:rPr>
        <w:t xml:space="preserve">محمّد بن إسماعيل [ بن بزيع ] بين أحمد بن محمّد [ بن عيسى ] ومحمّد بن الفضيل في كثير من الأسناد. ورواية أحمد بن محمّد ، عن محمّد بن الفضيل مباشرةً ، غير ثابتة. راجع : </w:t>
      </w:r>
      <w:r w:rsidR="008A74EB" w:rsidRPr="00993B55">
        <w:rPr>
          <w:rStyle w:val="libFootnoteBoldChar"/>
          <w:rtl/>
        </w:rPr>
        <w:t>معجم رجال الحديث</w:t>
      </w:r>
      <w:r w:rsidR="008A74EB" w:rsidRPr="00C9040A">
        <w:rPr>
          <w:rtl/>
        </w:rPr>
        <w:t xml:space="preserve"> ، ج 15 ، ص 350</w:t>
      </w:r>
      <w:r w:rsidR="008A74EB">
        <w:rPr>
          <w:rtl/>
        </w:rPr>
        <w:t xml:space="preserve"> </w:t>
      </w:r>
      <w:r w:rsidR="0084262C">
        <w:rPr>
          <w:rtl/>
        </w:rPr>
        <w:t>-</w:t>
      </w:r>
      <w:r w:rsidR="008A74EB">
        <w:rPr>
          <w:rtl/>
        </w:rPr>
        <w:t xml:space="preserve"> </w:t>
      </w:r>
      <w:r w:rsidR="008A74EB" w:rsidRPr="00C9040A">
        <w:rPr>
          <w:rtl/>
        </w:rPr>
        <w:t>352 ؛ وص 359.</w:t>
      </w:r>
      <w:r w:rsidR="003300D4">
        <w:rPr>
          <w:rFonts w:hint="cs"/>
          <w:rtl/>
        </w:rPr>
        <w:t xml:space="preserve">                                          </w:t>
      </w:r>
      <w:r>
        <w:rPr>
          <w:rtl/>
        </w:rPr>
        <w:t>(2).</w:t>
      </w:r>
      <w:r w:rsidR="008A74EB">
        <w:rPr>
          <w:rtl/>
        </w:rPr>
        <w:t xml:space="preserve"> </w:t>
      </w:r>
      <w:r w:rsidR="008A74EB" w:rsidRPr="00C9040A">
        <w:rPr>
          <w:rtl/>
        </w:rPr>
        <w:t>هكذا في النسخ. وفي المطبوع : « فضيل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w:t>
      </w:r>
      <w:r w:rsidR="008A74EB" w:rsidRPr="00993B55">
        <w:rPr>
          <w:rStyle w:val="libFootnoteBoldChar"/>
          <w:rtl/>
        </w:rPr>
        <w:t>شرح المازندراني</w:t>
      </w:r>
      <w:r w:rsidR="008A74EB" w:rsidRPr="00C9040A">
        <w:rPr>
          <w:rtl/>
        </w:rPr>
        <w:t xml:space="preserve"> : « هذا القول يحتمل أن يكون استفهاماً وإخباراً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ز » : « هو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ز » والبحار : « يقطع »</w:t>
      </w:r>
      <w:r w:rsidR="008A74EB">
        <w:rPr>
          <w:rtl/>
        </w:rPr>
        <w:t>.</w:t>
      </w:r>
      <w:r w:rsidR="008A74EB" w:rsidRPr="00C9040A">
        <w:rPr>
          <w:rtl/>
        </w:rPr>
        <w:t xml:space="preserve"> وفي « بر » : « يقطعون »</w:t>
      </w:r>
      <w:r w:rsidR="008A74EB">
        <w:rPr>
          <w:rtl/>
        </w:rPr>
        <w:t>.</w:t>
      </w:r>
      <w:r w:rsidR="008A74EB" w:rsidRPr="00C9040A">
        <w:rPr>
          <w:rtl/>
        </w:rPr>
        <w:t xml:space="preserve"> وفي « بف » : « تقطعون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 ف » </w:t>
      </w:r>
      <w:r w:rsidR="008A74EB">
        <w:rPr>
          <w:rtl/>
        </w:rPr>
        <w:t xml:space="preserve">: </w:t>
      </w:r>
      <w:r w:rsidR="0084262C">
        <w:rPr>
          <w:rtl/>
        </w:rPr>
        <w:t>-</w:t>
      </w:r>
      <w:r w:rsidR="008A74EB" w:rsidRPr="00C9040A">
        <w:rPr>
          <w:rtl/>
        </w:rPr>
        <w:t xml:space="preserve"> « على الله عزّ وجلّ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ب ، ج ، د ، ز ، ص ، ف ، بر ، بس ، بف » والوافي والبحار : « من مؤمن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اللهِ لِلْمُؤْمِنِينَ ، وَأَنَّ الْجَنَّةَ لِلْمُؤْمِنِينَ ، وَأَنَّ الْحُورَ الْعِينَ لِلْمُؤْمِنِينَ »</w:t>
      </w:r>
      <w:r>
        <w:rPr>
          <w:rtl/>
          <w:lang w:bidi="fa-IR"/>
        </w:rPr>
        <w:t>.</w:t>
      </w:r>
      <w:r w:rsidRPr="00C9040A">
        <w:rPr>
          <w:rtl/>
          <w:lang w:bidi="fa-IR"/>
        </w:rPr>
        <w:t xml:space="preserve"> ثُمَّ قَالَ : « فَمَا بَالُ مَنْ جَحَدَ الْفَرَائِضَ كَانَ كَافِراً</w:t>
      </w:r>
      <w:r>
        <w:rPr>
          <w:rtl/>
          <w:lang w:bidi="fa-IR"/>
        </w:rPr>
        <w:t>؟</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(1)</w:t>
      </w:r>
      <w:r w:rsidRPr="00C9040A">
        <w:rPr>
          <w:rtl/>
          <w:lang w:bidi="fa-IR"/>
        </w:rPr>
        <w:t>‌</w:t>
      </w:r>
    </w:p>
    <w:p w:rsidR="008A74EB" w:rsidRPr="00C9040A" w:rsidRDefault="008A74EB" w:rsidP="008A74EB">
      <w:pPr>
        <w:pStyle w:val="libNormal"/>
        <w:rPr>
          <w:rtl/>
          <w:lang w:bidi="fa-IR"/>
        </w:rPr>
      </w:pPr>
      <w:r w:rsidRPr="00101A2B">
        <w:rPr>
          <w:rtl/>
        </w:rPr>
        <w:t>1520</w:t>
      </w:r>
      <w:r w:rsidRPr="00261CB0">
        <w:rPr>
          <w:rStyle w:val="libBold2Char"/>
          <w:rtl/>
        </w:rPr>
        <w:t xml:space="preserve"> / 3.</w:t>
      </w:r>
      <w:r w:rsidRPr="00C9040A">
        <w:rPr>
          <w:rtl/>
          <w:lang w:bidi="fa-IR"/>
        </w:rPr>
        <w:t xml:space="preserve"> عَلِيُّ بْنُ إِبْرَاهِيمَ ، عَنْ مُحَمَّدِ بْنِ عِ</w:t>
      </w:r>
      <w:r w:rsidR="00FE00F6">
        <w:rPr>
          <w:rtl/>
          <w:lang w:bidi="fa-IR"/>
        </w:rPr>
        <w:t>يسى ، عَنْ يُونُسَ ، عَنْ سَل</w:t>
      </w:r>
      <w:r w:rsidR="00FE00F6">
        <w:rPr>
          <w:rFonts w:hint="cs"/>
          <w:rtl/>
          <w:lang w:bidi="fa-IR"/>
        </w:rPr>
        <w:t>َّ</w:t>
      </w:r>
      <w:r w:rsidR="00FE00F6">
        <w:rPr>
          <w:rtl/>
          <w:lang w:bidi="fa-IR"/>
        </w:rPr>
        <w:t>امٍ الْجُعْفِيِّ ، قَالَ</w:t>
      </w:r>
      <w:r w:rsidRPr="00C9040A">
        <w:rPr>
          <w:rtl/>
          <w:lang w:bidi="fa-IR"/>
        </w:rPr>
        <w:t>:</w:t>
      </w:r>
    </w:p>
    <w:p w:rsidR="008A74EB" w:rsidRPr="00C9040A" w:rsidRDefault="008A74EB" w:rsidP="008A74EB">
      <w:pPr>
        <w:pStyle w:val="libNormal"/>
        <w:rPr>
          <w:rtl/>
          <w:lang w:bidi="fa-IR"/>
        </w:rPr>
      </w:pPr>
      <w:r w:rsidRPr="00C9040A">
        <w:rPr>
          <w:rtl/>
          <w:lang w:bidi="fa-IR"/>
        </w:rPr>
        <w:t xml:space="preserve">سَأَلْتُ أَبَا عَبْدِ اللهِ </w:t>
      </w:r>
      <w:r w:rsidRPr="0003660B">
        <w:rPr>
          <w:rStyle w:val="libAlaemChar"/>
          <w:rtl/>
        </w:rPr>
        <w:t>عليه‌السلام</w:t>
      </w:r>
      <w:r w:rsidRPr="00C9040A">
        <w:rPr>
          <w:rtl/>
          <w:lang w:bidi="fa-IR"/>
        </w:rPr>
        <w:t xml:space="preserve"> عَنِ الْإِيمَانِ ، فَقَالَ </w:t>
      </w:r>
      <w:r w:rsidR="006C577F" w:rsidRPr="006C577F">
        <w:rPr>
          <w:rStyle w:val="libFootnotenumChar"/>
          <w:rtl/>
        </w:rPr>
        <w:t>(2)</w:t>
      </w:r>
      <w:r w:rsidRPr="00C9040A">
        <w:rPr>
          <w:rtl/>
          <w:lang w:bidi="fa-IR"/>
        </w:rPr>
        <w:t xml:space="preserve"> : « الْإِيمَانُ أَنْ يُطَاعَ اللهُ ، فَلَا يُعْصى </w:t>
      </w:r>
      <w:r w:rsidR="006C577F" w:rsidRPr="006C577F">
        <w:rPr>
          <w:rStyle w:val="libFootnotenumChar"/>
          <w:rtl/>
        </w:rPr>
        <w:t>(3)</w:t>
      </w:r>
      <w:r w:rsidRPr="00C9040A">
        <w:rPr>
          <w:rtl/>
          <w:lang w:bidi="fa-IR"/>
        </w:rPr>
        <w:t xml:space="preserve"> »</w:t>
      </w:r>
      <w:r>
        <w:rPr>
          <w:rtl/>
          <w:lang w:bidi="fa-IR"/>
        </w:rPr>
        <w:t>.</w:t>
      </w:r>
      <w:r w:rsidR="006C577F" w:rsidRPr="006C577F">
        <w:rPr>
          <w:rStyle w:val="libFootnotenumChar"/>
          <w:rtl/>
        </w:rPr>
        <w:t>(4)</w:t>
      </w:r>
      <w:r w:rsidRPr="00C9040A">
        <w:rPr>
          <w:rtl/>
          <w:lang w:bidi="fa-IR"/>
        </w:rPr>
        <w:t>‌</w:t>
      </w:r>
    </w:p>
    <w:p w:rsidR="008A74EB" w:rsidRPr="00C9040A" w:rsidRDefault="008A74EB" w:rsidP="008A74EB">
      <w:pPr>
        <w:pStyle w:val="Heading2Center"/>
        <w:rPr>
          <w:rtl/>
          <w:lang w:bidi="fa-IR"/>
        </w:rPr>
      </w:pPr>
      <w:bookmarkStart w:id="64" w:name="_Toc343795609"/>
      <w:bookmarkStart w:id="65" w:name="_Toc459810733"/>
      <w:bookmarkStart w:id="66" w:name="_Toc35348639"/>
      <w:r w:rsidRPr="00C9040A">
        <w:rPr>
          <w:rtl/>
          <w:lang w:bidi="fa-IR"/>
        </w:rPr>
        <w:t>18</w:t>
      </w:r>
      <w:r>
        <w:rPr>
          <w:rtl/>
          <w:lang w:bidi="fa-IR"/>
        </w:rPr>
        <w:t xml:space="preserve"> </w:t>
      </w:r>
      <w:r w:rsidR="0084262C">
        <w:rPr>
          <w:rtl/>
          <w:lang w:bidi="fa-IR"/>
        </w:rPr>
        <w:t>-</w:t>
      </w:r>
      <w:r>
        <w:rPr>
          <w:rtl/>
          <w:lang w:bidi="fa-IR"/>
        </w:rPr>
        <w:t xml:space="preserve"> </w:t>
      </w:r>
      <w:r w:rsidRPr="00C9040A">
        <w:rPr>
          <w:rtl/>
          <w:lang w:bidi="fa-IR"/>
        </w:rPr>
        <w:t xml:space="preserve">بَابٌ </w:t>
      </w:r>
      <w:r w:rsidR="006C577F" w:rsidRPr="006C577F">
        <w:rPr>
          <w:rStyle w:val="libFootnotenumChar"/>
          <w:rtl/>
        </w:rPr>
        <w:t>(5)</w:t>
      </w:r>
      <w:r>
        <w:rPr>
          <w:rtl/>
        </w:rPr>
        <w:t xml:space="preserve"> </w:t>
      </w:r>
      <w:r w:rsidRPr="00C9040A">
        <w:rPr>
          <w:rtl/>
          <w:lang w:bidi="fa-IR"/>
        </w:rPr>
        <w:t xml:space="preserve">فِي أَنَّ الْإِيمَانَ مَبْثُوثٌ </w:t>
      </w:r>
      <w:r w:rsidR="006C577F" w:rsidRPr="006C577F">
        <w:rPr>
          <w:rStyle w:val="libFootnotenumChar"/>
          <w:rtl/>
        </w:rPr>
        <w:t>(6)</w:t>
      </w:r>
      <w:r w:rsidRPr="005B567D">
        <w:rPr>
          <w:rStyle w:val="libFootnotenumChar"/>
          <w:rtl/>
        </w:rPr>
        <w:t xml:space="preserve"> </w:t>
      </w:r>
      <w:r w:rsidRPr="00C9040A">
        <w:rPr>
          <w:rtl/>
          <w:lang w:bidi="fa-IR"/>
        </w:rPr>
        <w:t xml:space="preserve">لِجَوَارِحِ </w:t>
      </w:r>
      <w:r w:rsidR="006C577F" w:rsidRPr="006C577F">
        <w:rPr>
          <w:rStyle w:val="libFootnotenumChar"/>
          <w:rtl/>
        </w:rPr>
        <w:t>(7)</w:t>
      </w:r>
      <w:r>
        <w:rPr>
          <w:rtl/>
        </w:rPr>
        <w:t xml:space="preserve"> </w:t>
      </w:r>
      <w:r w:rsidRPr="00C9040A">
        <w:rPr>
          <w:rtl/>
          <w:lang w:bidi="fa-IR"/>
        </w:rPr>
        <w:t>الْبَدَنِ كُلِّهَا‌</w:t>
      </w:r>
      <w:bookmarkEnd w:id="64"/>
      <w:bookmarkEnd w:id="65"/>
      <w:bookmarkEnd w:id="66"/>
    </w:p>
    <w:p w:rsidR="008A74EB" w:rsidRPr="00C9040A" w:rsidRDefault="008A74EB" w:rsidP="008A74EB">
      <w:pPr>
        <w:pStyle w:val="libNormal"/>
        <w:rPr>
          <w:rtl/>
          <w:lang w:bidi="fa-IR"/>
        </w:rPr>
      </w:pPr>
      <w:r w:rsidRPr="00101A2B">
        <w:rPr>
          <w:rtl/>
        </w:rPr>
        <w:t>1521</w:t>
      </w:r>
      <w:r w:rsidRPr="00261CB0">
        <w:rPr>
          <w:rStyle w:val="libBold2Char"/>
          <w:rtl/>
        </w:rPr>
        <w:t xml:space="preserve"> / 1.</w:t>
      </w:r>
      <w:r w:rsidRPr="00C9040A">
        <w:rPr>
          <w:rtl/>
          <w:lang w:bidi="fa-IR"/>
        </w:rPr>
        <w:t xml:space="preserve"> عَلِيُّ بْنُ إِبْرَاهِيمَ ، عَنْ أَبِيهِ ، عَنْ بَكْرِ بْنِ صَالِحٍ ، عَنِ الْقَاسِمِ بْنِ بُرَيْدٍ </w:t>
      </w:r>
      <w:r w:rsidR="006C577F" w:rsidRPr="006C577F">
        <w:rPr>
          <w:rStyle w:val="libFootnotenumChar"/>
          <w:rtl/>
        </w:rPr>
        <w:t>(8)</w:t>
      </w:r>
      <w:r w:rsidRPr="00C9040A">
        <w:rPr>
          <w:rtl/>
          <w:lang w:bidi="fa-IR"/>
        </w:rPr>
        <w:t xml:space="preserve"> ، قَالَ :</w:t>
      </w:r>
      <w:r>
        <w:rPr>
          <w:rFonts w:hint="cs"/>
          <w:rtl/>
          <w:lang w:bidi="fa-IR"/>
        </w:rPr>
        <w:t xml:space="preserve"> </w:t>
      </w:r>
      <w:r w:rsidRPr="00C9040A">
        <w:rPr>
          <w:rtl/>
          <w:lang w:bidi="fa-IR"/>
        </w:rPr>
        <w:t xml:space="preserve">حَدَّثَنَا أَبُو عَمْرٍو </w:t>
      </w:r>
      <w:r w:rsidR="006C577F" w:rsidRPr="006C577F">
        <w:rPr>
          <w:rStyle w:val="libFootnotenumChar"/>
          <w:rtl/>
        </w:rPr>
        <w:t>(9)</w:t>
      </w:r>
      <w:r w:rsidRPr="00C9040A">
        <w:rPr>
          <w:rtl/>
          <w:lang w:bidi="fa-IR"/>
        </w:rPr>
        <w:t xml:space="preserve"> الزُّبَيْرِيُّ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قُلْتُ لَهُ : أَيُّهَا الْعَالِمُ ، أَخْبِرْنِي أَيُّ الْأَعْمَالِ أَفْضَلُ عِنْدَ اللهِ</w:t>
      </w:r>
      <w:r>
        <w:rPr>
          <w:rtl/>
          <w:lang w:bidi="fa-IR"/>
        </w:rPr>
        <w:t>؟</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w:t>
      </w:r>
      <w:r w:rsidR="008A74EB" w:rsidRPr="00993B55">
        <w:rPr>
          <w:rStyle w:val="libFootnoteBoldChar"/>
          <w:rtl/>
        </w:rPr>
        <w:t>الوافي</w:t>
      </w:r>
      <w:r w:rsidR="008A74EB" w:rsidRPr="00C9040A">
        <w:rPr>
          <w:rtl/>
        </w:rPr>
        <w:t xml:space="preserve"> ، ج 4 ، ص 103 ، ح 1709 ؛ </w:t>
      </w:r>
      <w:r w:rsidR="008A74EB" w:rsidRPr="00993B55">
        <w:rPr>
          <w:rStyle w:val="libFootnoteBoldChar"/>
          <w:rtl/>
        </w:rPr>
        <w:t>الوسائل</w:t>
      </w:r>
      <w:r w:rsidR="008A74EB" w:rsidRPr="00C9040A">
        <w:rPr>
          <w:rtl/>
        </w:rPr>
        <w:t xml:space="preserve"> ، ج 1 ، ص 34 ، ح 52 ؛ </w:t>
      </w:r>
      <w:r w:rsidR="008A74EB" w:rsidRPr="00993B55">
        <w:rPr>
          <w:rStyle w:val="libFootnoteBoldChar"/>
          <w:rtl/>
        </w:rPr>
        <w:t>البحار</w:t>
      </w:r>
      <w:r w:rsidR="008A74EB" w:rsidRPr="00C9040A">
        <w:rPr>
          <w:rtl/>
        </w:rPr>
        <w:t xml:space="preserve"> ، ج 69 ، ص 19 ، ح 2.</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ص ، بر » : « قال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ف » : « ولا يعصى »</w:t>
      </w:r>
      <w:r w:rsidR="008A74EB">
        <w:rPr>
          <w:rtl/>
        </w:rPr>
        <w:t>.</w:t>
      </w:r>
    </w:p>
    <w:p w:rsidR="008A74EB" w:rsidRPr="004A4E41" w:rsidRDefault="006C577F" w:rsidP="004A4E41">
      <w:pPr>
        <w:pStyle w:val="libFootnote0"/>
        <w:rPr>
          <w:rStyle w:val="libFootnote0Char"/>
          <w:rtl/>
        </w:rPr>
      </w:pPr>
      <w:r>
        <w:rPr>
          <w:rtl/>
        </w:rPr>
        <w:t>(4).</w:t>
      </w:r>
      <w:r w:rsidR="008A74EB" w:rsidRPr="00C9040A">
        <w:rPr>
          <w:rtl/>
        </w:rPr>
        <w:t xml:space="preserve"> </w:t>
      </w:r>
      <w:r w:rsidR="008A74EB" w:rsidRPr="00993B55">
        <w:rPr>
          <w:rStyle w:val="libFootnoteBoldChar"/>
          <w:rtl/>
        </w:rPr>
        <w:t>الكافي</w:t>
      </w:r>
      <w:r w:rsidR="008A74EB" w:rsidRPr="00C9040A">
        <w:rPr>
          <w:rtl/>
        </w:rPr>
        <w:t xml:space="preserve"> ، كتاب الإيمان والكفر ، باب في أنّ الإيمان مبثوت لجوارح البدن كلّها ، ضمن ح 1525 ، بسند آخر عن أبي جعفر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الأمالي</w:t>
      </w:r>
      <w:r w:rsidR="008A74EB" w:rsidRPr="00C9040A">
        <w:rPr>
          <w:rtl/>
        </w:rPr>
        <w:t xml:space="preserve"> للطوسي ، ص 139 ، المجلس 5 ، ح 38 ، بسند آخر ، وفيهما مع زيادة في آخره. مع اختلاف</w:t>
      </w:r>
      <w:r w:rsidR="00FE00F6">
        <w:rPr>
          <w:rFonts w:hint="cs"/>
          <w:rtl/>
        </w:rPr>
        <w:t>.</w:t>
      </w:r>
      <w:r w:rsidR="008A74EB" w:rsidRPr="00993B55">
        <w:rPr>
          <w:rStyle w:val="libFootnoteBoldChar"/>
          <w:rtl/>
        </w:rPr>
        <w:t>الوافي</w:t>
      </w:r>
      <w:r w:rsidR="008A74EB" w:rsidRPr="00C9040A">
        <w:rPr>
          <w:rtl/>
        </w:rPr>
        <w:t xml:space="preserve"> ، ج 4 ، ص 99 ، ح 1708 ، وفيه « بيان » مفصّل في حقيقة الإيمان ودرجاته وكماله ؛ </w:t>
      </w:r>
      <w:r w:rsidR="008A74EB" w:rsidRPr="00993B55">
        <w:rPr>
          <w:rStyle w:val="libFootnoteBoldChar"/>
          <w:rtl/>
        </w:rPr>
        <w:t>البحار</w:t>
      </w:r>
      <w:r w:rsidR="008A74EB" w:rsidRPr="00C9040A">
        <w:rPr>
          <w:rtl/>
        </w:rPr>
        <w:t xml:space="preserve"> ، ج 68 ، ص 292 ، ح 53.</w:t>
      </w:r>
      <w:r w:rsidR="00B866D3">
        <w:rPr>
          <w:rFonts w:hint="cs"/>
          <w:rtl/>
        </w:rPr>
        <w:t xml:space="preserve">    </w:t>
      </w:r>
      <w:r w:rsidR="00FE00F6">
        <w:rPr>
          <w:rFonts w:hint="cs"/>
          <w:rtl/>
        </w:rPr>
        <w:t xml:space="preserve">                  </w:t>
      </w:r>
      <w:r>
        <w:rPr>
          <w:rtl/>
        </w:rPr>
        <w:t>(5).</w:t>
      </w:r>
      <w:r w:rsidR="008A74EB" w:rsidRPr="00C9040A">
        <w:rPr>
          <w:rtl/>
        </w:rPr>
        <w:t xml:space="preserve"> في « ج » </w:t>
      </w:r>
      <w:r w:rsidR="008A74EB">
        <w:rPr>
          <w:rtl/>
        </w:rPr>
        <w:t xml:space="preserve">: </w:t>
      </w:r>
      <w:r w:rsidR="0084262C">
        <w:rPr>
          <w:rtl/>
        </w:rPr>
        <w:t>-</w:t>
      </w:r>
      <w:r w:rsidR="008A74EB" w:rsidRPr="00C9040A">
        <w:rPr>
          <w:rtl/>
        </w:rPr>
        <w:t xml:space="preserve"> « باب »</w:t>
      </w:r>
      <w:r w:rsidR="008A74EB">
        <w:rPr>
          <w:rtl/>
        </w:rPr>
        <w:t>.</w:t>
      </w:r>
    </w:p>
    <w:tbl>
      <w:tblPr>
        <w:tblStyle w:val="TableGrid"/>
        <w:bidiVisual/>
        <w:tblW w:w="0" w:type="auto"/>
        <w:tblLook w:val="04A0" w:firstRow="1" w:lastRow="0" w:firstColumn="1" w:lastColumn="0" w:noHBand="0" w:noVBand="1"/>
      </w:tblPr>
      <w:tblGrid>
        <w:gridCol w:w="4006"/>
        <w:gridCol w:w="4006"/>
      </w:tblGrid>
      <w:tr w:rsidR="00FE00F6" w:rsidTr="00FE00F6">
        <w:tc>
          <w:tcPr>
            <w:tcW w:w="4006" w:type="dxa"/>
          </w:tcPr>
          <w:p w:rsidR="00FE00F6" w:rsidRDefault="00FE00F6" w:rsidP="004A4E41">
            <w:pPr>
              <w:pStyle w:val="libFootnote0"/>
              <w:rPr>
                <w:rtl/>
              </w:rPr>
            </w:pPr>
            <w:r>
              <w:rPr>
                <w:rtl/>
              </w:rPr>
              <w:t xml:space="preserve">(6). </w:t>
            </w:r>
            <w:r w:rsidRPr="00C9040A">
              <w:rPr>
                <w:rtl/>
              </w:rPr>
              <w:t>في حاشية « ج » : « مثبوت »</w:t>
            </w:r>
            <w:r>
              <w:rPr>
                <w:rtl/>
              </w:rPr>
              <w:t>.</w:t>
            </w:r>
          </w:p>
        </w:tc>
        <w:tc>
          <w:tcPr>
            <w:tcW w:w="4006" w:type="dxa"/>
          </w:tcPr>
          <w:p w:rsidR="00FE00F6" w:rsidRDefault="00FE00F6" w:rsidP="004A4E41">
            <w:pPr>
              <w:pStyle w:val="libFootnote0"/>
              <w:rPr>
                <w:rtl/>
              </w:rPr>
            </w:pPr>
            <w:r>
              <w:rPr>
                <w:rtl/>
              </w:rPr>
              <w:t>(7).</w:t>
            </w:r>
            <w:r w:rsidR="00C576CA">
              <w:rPr>
                <w:rtl/>
              </w:rPr>
              <w:t xml:space="preserve"> في «ب» :«في جوارح</w:t>
            </w:r>
            <w:r w:rsidRPr="00C9040A">
              <w:rPr>
                <w:rtl/>
              </w:rPr>
              <w:t>»</w:t>
            </w:r>
            <w:r>
              <w:rPr>
                <w:rtl/>
              </w:rPr>
              <w:t>.</w:t>
            </w:r>
            <w:r w:rsidR="00C576CA">
              <w:rPr>
                <w:rtl/>
              </w:rPr>
              <w:t>وفي«ز،ف»:«بجوارح</w:t>
            </w:r>
            <w:r w:rsidRPr="00C9040A">
              <w:rPr>
                <w:rtl/>
              </w:rPr>
              <w:t>»</w:t>
            </w:r>
            <w:r>
              <w:rPr>
                <w:rtl/>
              </w:rPr>
              <w:t>.</w:t>
            </w:r>
          </w:p>
        </w:tc>
      </w:tr>
    </w:tbl>
    <w:p w:rsidR="008A74EB" w:rsidRPr="00C9040A" w:rsidRDefault="006C577F" w:rsidP="004A4E41">
      <w:pPr>
        <w:pStyle w:val="libFootnote0"/>
        <w:rPr>
          <w:rtl/>
          <w:lang w:bidi="fa-IR"/>
        </w:rPr>
      </w:pPr>
      <w:r>
        <w:rPr>
          <w:rtl/>
        </w:rPr>
        <w:t>(8).</w:t>
      </w:r>
      <w:r w:rsidR="008A74EB" w:rsidRPr="00C9040A">
        <w:rPr>
          <w:rtl/>
        </w:rPr>
        <w:t xml:space="preserve"> في « ز » والوسائل : « يزيد »</w:t>
      </w:r>
      <w:r w:rsidR="008A74EB">
        <w:rPr>
          <w:rtl/>
        </w:rPr>
        <w:t>.</w:t>
      </w:r>
      <w:r w:rsidR="008A74EB" w:rsidRPr="00C9040A">
        <w:rPr>
          <w:rtl/>
        </w:rPr>
        <w:t xml:space="preserve"> وهو سهو. والقاسم ، هو القاسم بن بُرَيْد بن معاوية العجلي ؛ فقد روى النجاشي‌بسنده عن بكر بن صالح ، عن القاسم بن بريد بن معاوية ، عن أبي عمرو الزبيري كتاب المفضّل بن عمر. والقاسم بن بريد هو المترجم في كتب الرجال. راجع : </w:t>
      </w:r>
      <w:r w:rsidR="008A74EB" w:rsidRPr="00993B55">
        <w:rPr>
          <w:rStyle w:val="libFootnoteBoldChar"/>
          <w:rtl/>
        </w:rPr>
        <w:t>رجال النجاشي</w:t>
      </w:r>
      <w:r w:rsidR="008A74EB" w:rsidRPr="00C9040A">
        <w:rPr>
          <w:rtl/>
        </w:rPr>
        <w:t xml:space="preserve"> ، ص 416 ، الرقم 1112 ؛ وص 313 ، الرقم 857 ؛ </w:t>
      </w:r>
      <w:r w:rsidR="008A74EB" w:rsidRPr="00993B55">
        <w:rPr>
          <w:rStyle w:val="libFootnoteBoldChar"/>
          <w:rtl/>
        </w:rPr>
        <w:t>رجال الطوسي</w:t>
      </w:r>
      <w:r w:rsidR="008A74EB" w:rsidRPr="00C9040A">
        <w:rPr>
          <w:rtl/>
        </w:rPr>
        <w:t xml:space="preserve"> ، ص 273 ، الرقم 3947 ؛ وص 342 ، الرقم 5096.</w:t>
      </w:r>
    </w:p>
    <w:p w:rsidR="008A74EB" w:rsidRPr="00C9040A" w:rsidRDefault="006C577F" w:rsidP="004A4E41">
      <w:pPr>
        <w:pStyle w:val="libFootnote0"/>
        <w:rPr>
          <w:rtl/>
          <w:lang w:bidi="fa-IR"/>
        </w:rPr>
      </w:pPr>
      <w:r>
        <w:rPr>
          <w:rtl/>
        </w:rPr>
        <w:t>(9).</w:t>
      </w:r>
      <w:r w:rsidR="008A74EB" w:rsidRPr="00C9040A">
        <w:rPr>
          <w:rtl/>
        </w:rPr>
        <w:t xml:space="preserve"> في « ز » : « عمير »</w:t>
      </w:r>
      <w:r w:rsidR="008A74EB">
        <w:rPr>
          <w:rtl/>
        </w:rPr>
        <w:t>.</w:t>
      </w:r>
      <w:r w:rsidR="008A74EB" w:rsidRPr="00C9040A">
        <w:rPr>
          <w:rtl/>
        </w:rPr>
        <w:t xml:space="preserve"> والظاهر من ملاحظة الأسناد عدم صحّته. راجع : </w:t>
      </w:r>
      <w:r w:rsidR="008A74EB" w:rsidRPr="00993B55">
        <w:rPr>
          <w:rStyle w:val="libFootnoteBoldChar"/>
          <w:rtl/>
        </w:rPr>
        <w:t>معجم رجال الحديث</w:t>
      </w:r>
      <w:r w:rsidR="008A74EB" w:rsidRPr="00C9040A">
        <w:rPr>
          <w:rtl/>
        </w:rPr>
        <w:t xml:space="preserve"> ، ج 21 ، ص 261 ، الرقم 14622.</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lastRenderedPageBreak/>
        <w:t xml:space="preserve">قَالَ : « مَا لَايَقْبَلُ اللهُ </w:t>
      </w:r>
      <w:r w:rsidR="006C577F" w:rsidRPr="006C577F">
        <w:rPr>
          <w:rStyle w:val="libFootnotenumChar"/>
          <w:rtl/>
        </w:rPr>
        <w:t>(1)</w:t>
      </w:r>
      <w:r w:rsidRPr="002712F0">
        <w:rPr>
          <w:rFonts w:hint="cs"/>
          <w:rtl/>
        </w:rPr>
        <w:t xml:space="preserve"> </w:t>
      </w:r>
      <w:r w:rsidR="00F935C1">
        <w:rPr>
          <w:rtl/>
          <w:lang w:bidi="fa-IR"/>
        </w:rPr>
        <w:t>شَيْئاً إِل</w:t>
      </w:r>
      <w:r w:rsidR="00F935C1">
        <w:rPr>
          <w:rFonts w:hint="cs"/>
          <w:rtl/>
          <w:lang w:bidi="fa-IR"/>
        </w:rPr>
        <w:t>َّ</w:t>
      </w:r>
      <w:r w:rsidR="00F935C1">
        <w:rPr>
          <w:rtl/>
          <w:lang w:bidi="fa-IR"/>
        </w:rPr>
        <w:t>ا</w:t>
      </w:r>
      <w:r w:rsidRPr="00C9040A">
        <w:rPr>
          <w:rtl/>
          <w:lang w:bidi="fa-IR"/>
        </w:rPr>
        <w:t xml:space="preserve"> بِهِ »</w:t>
      </w:r>
      <w:r>
        <w:rPr>
          <w:rtl/>
          <w:lang w:bidi="fa-IR"/>
        </w:rPr>
        <w:t>.</w:t>
      </w:r>
    </w:p>
    <w:p w:rsidR="008A74EB" w:rsidRPr="00C9040A" w:rsidRDefault="008A74EB" w:rsidP="008A74EB">
      <w:pPr>
        <w:pStyle w:val="libNormal"/>
        <w:rPr>
          <w:rtl/>
          <w:lang w:bidi="fa-IR"/>
        </w:rPr>
      </w:pPr>
      <w:r w:rsidRPr="00C9040A">
        <w:rPr>
          <w:rtl/>
          <w:lang w:bidi="fa-IR"/>
        </w:rPr>
        <w:t>قُلْتُ : وَمَا هُوَ</w:t>
      </w:r>
      <w:r>
        <w:rPr>
          <w:rtl/>
          <w:lang w:bidi="fa-IR"/>
        </w:rPr>
        <w:t>؟</w:t>
      </w:r>
    </w:p>
    <w:p w:rsidR="008A74EB" w:rsidRPr="00C9040A" w:rsidRDefault="008A74EB" w:rsidP="008A74EB">
      <w:pPr>
        <w:pStyle w:val="libNormal"/>
        <w:rPr>
          <w:rtl/>
          <w:lang w:bidi="fa-IR"/>
        </w:rPr>
      </w:pPr>
      <w:r w:rsidRPr="00C9040A">
        <w:rPr>
          <w:rtl/>
          <w:lang w:bidi="fa-IR"/>
        </w:rPr>
        <w:t>قَالَ : « الْإِيمَانُ بِاللهِ</w:t>
      </w:r>
      <w:r>
        <w:rPr>
          <w:rtl/>
          <w:lang w:bidi="fa-IR"/>
        </w:rPr>
        <w:t xml:space="preserve"> </w:t>
      </w:r>
      <w:r w:rsidR="0084262C">
        <w:rPr>
          <w:rtl/>
          <w:lang w:bidi="fa-IR"/>
        </w:rPr>
        <w:t>-</w:t>
      </w:r>
      <w:r>
        <w:rPr>
          <w:rtl/>
          <w:lang w:bidi="fa-IR"/>
        </w:rPr>
        <w:t xml:space="preserve"> </w:t>
      </w:r>
      <w:r w:rsidRPr="00C9040A">
        <w:rPr>
          <w:rtl/>
          <w:lang w:bidi="fa-IR"/>
        </w:rPr>
        <w:t>الَّذِي لَا</w:t>
      </w:r>
      <w:r>
        <w:rPr>
          <w:rFonts w:hint="cs"/>
          <w:rtl/>
          <w:lang w:bidi="fa-IR"/>
        </w:rPr>
        <w:t xml:space="preserve"> </w:t>
      </w:r>
      <w:r w:rsidR="00852965">
        <w:rPr>
          <w:rtl/>
          <w:lang w:bidi="fa-IR"/>
        </w:rPr>
        <w:t>إِلهَ إِل</w:t>
      </w:r>
      <w:r w:rsidR="00852965">
        <w:rPr>
          <w:rFonts w:hint="cs"/>
          <w:rtl/>
          <w:lang w:bidi="fa-IR"/>
        </w:rPr>
        <w:t>َّ</w:t>
      </w:r>
      <w:r w:rsidR="00852965">
        <w:rPr>
          <w:rtl/>
          <w:lang w:bidi="fa-IR"/>
        </w:rPr>
        <w:t>ا</w:t>
      </w:r>
      <w:r w:rsidRPr="00C9040A">
        <w:rPr>
          <w:rtl/>
          <w:lang w:bidi="fa-IR"/>
        </w:rPr>
        <w:t xml:space="preserve"> هُوَ</w:t>
      </w:r>
      <w:r>
        <w:rPr>
          <w:rtl/>
          <w:lang w:bidi="fa-IR"/>
        </w:rPr>
        <w:t xml:space="preserve"> </w:t>
      </w:r>
      <w:r w:rsidR="0084262C">
        <w:rPr>
          <w:rtl/>
          <w:lang w:bidi="fa-IR"/>
        </w:rPr>
        <w:t>-</w:t>
      </w:r>
      <w:r>
        <w:rPr>
          <w:rtl/>
          <w:lang w:bidi="fa-IR"/>
        </w:rPr>
        <w:t xml:space="preserve"> </w:t>
      </w:r>
      <w:r w:rsidRPr="00C9040A">
        <w:rPr>
          <w:rtl/>
          <w:lang w:bidi="fa-IR"/>
        </w:rPr>
        <w:t>أَعْلَى الْأَعْمَالِ دَرَجَةً ، وَأَشْرَفُهَا مَنْزِلَةً ، وَأَسْنَاهَا حَظّاً »</w:t>
      </w:r>
      <w:r>
        <w:rPr>
          <w:rtl/>
          <w:lang w:bidi="fa-IR"/>
        </w:rPr>
        <w:t>.</w:t>
      </w:r>
    </w:p>
    <w:p w:rsidR="008A74EB" w:rsidRPr="00C9040A" w:rsidRDefault="008A74EB" w:rsidP="008A74EB">
      <w:pPr>
        <w:pStyle w:val="libNormal"/>
        <w:rPr>
          <w:rtl/>
          <w:lang w:bidi="fa-IR"/>
        </w:rPr>
      </w:pPr>
      <w:r>
        <w:rPr>
          <w:rtl/>
          <w:lang w:bidi="fa-IR"/>
        </w:rPr>
        <w:t>قَالَ : قُلْتُ : أَ</w:t>
      </w:r>
      <w:r w:rsidRPr="00C9040A">
        <w:rPr>
          <w:rtl/>
          <w:lang w:bidi="fa-IR"/>
        </w:rPr>
        <w:t>لَاتُ</w:t>
      </w:r>
      <w:r>
        <w:rPr>
          <w:rtl/>
          <w:lang w:bidi="fa-IR"/>
        </w:rPr>
        <w:t>خْبِرُنِي عَنِ الْإِيمَانِ : أَ</w:t>
      </w:r>
      <w:r w:rsidRPr="00C9040A">
        <w:rPr>
          <w:rtl/>
          <w:lang w:bidi="fa-IR"/>
        </w:rPr>
        <w:t xml:space="preserve">قَوْلٌ هُوَ وَعَمَلٌ ، أَمْ </w:t>
      </w:r>
      <w:r w:rsidR="006C577F" w:rsidRPr="006C577F">
        <w:rPr>
          <w:rStyle w:val="libFootnotenumChar"/>
          <w:rtl/>
        </w:rPr>
        <w:t>(2)</w:t>
      </w:r>
      <w:r w:rsidRPr="00C9040A">
        <w:rPr>
          <w:rtl/>
          <w:lang w:bidi="fa-IR"/>
        </w:rPr>
        <w:t xml:space="preserve"> قَوْلٌ بِلَا عَمَلٍ</w:t>
      </w:r>
      <w:r>
        <w:rPr>
          <w:rtl/>
          <w:lang w:bidi="fa-IR"/>
        </w:rPr>
        <w:t>؟</w:t>
      </w:r>
    </w:p>
    <w:p w:rsidR="008A74EB" w:rsidRPr="00C9040A" w:rsidRDefault="008A74EB" w:rsidP="008A74EB">
      <w:pPr>
        <w:pStyle w:val="libNormal"/>
        <w:rPr>
          <w:rtl/>
          <w:lang w:bidi="fa-IR"/>
        </w:rPr>
      </w:pPr>
      <w:r w:rsidRPr="00C9040A">
        <w:rPr>
          <w:rtl/>
          <w:lang w:bidi="fa-IR"/>
        </w:rPr>
        <w:t xml:space="preserve">فَقَالَ : « الْإِيمَانُ عَمَلٌ كُلُّهُ ، وَالْقَوْلُ بَعْضُ ذلِكَ الْعَمَلِ بِفَرْضٍ </w:t>
      </w:r>
      <w:r w:rsidR="006C577F" w:rsidRPr="006C577F">
        <w:rPr>
          <w:rStyle w:val="libFootnotenumChar"/>
          <w:rtl/>
        </w:rPr>
        <w:t>(3)</w:t>
      </w:r>
      <w:r w:rsidRPr="00C9040A">
        <w:rPr>
          <w:rtl/>
          <w:lang w:bidi="fa-IR"/>
        </w:rPr>
        <w:t xml:space="preserve"> مِنَ اللهِ بَيِّنٍ </w:t>
      </w:r>
      <w:r w:rsidR="006C577F" w:rsidRPr="006C577F">
        <w:rPr>
          <w:rStyle w:val="libFootnotenumChar"/>
          <w:rtl/>
        </w:rPr>
        <w:t>(4)</w:t>
      </w:r>
      <w:r w:rsidRPr="00C9040A">
        <w:rPr>
          <w:rtl/>
          <w:lang w:bidi="fa-IR"/>
        </w:rPr>
        <w:t xml:space="preserve"> فِي كِتَابِهِ ، وَاضِحٍ نُورُهُ ، ثَابِتَةٍ حُجَّتُهُ ، يَشْهَدُ لَهُ </w:t>
      </w:r>
      <w:r w:rsidR="006C577F" w:rsidRPr="006C577F">
        <w:rPr>
          <w:rStyle w:val="libFootnotenumChar"/>
          <w:rtl/>
        </w:rPr>
        <w:t>(5)</w:t>
      </w:r>
      <w:r w:rsidRPr="00C9040A">
        <w:rPr>
          <w:rtl/>
          <w:lang w:bidi="fa-IR"/>
        </w:rPr>
        <w:t xml:space="preserve"> بِهِ الْكِتَابُ ، وَيَدْعُوهُ </w:t>
      </w:r>
      <w:r w:rsidR="006C577F" w:rsidRPr="006C577F">
        <w:rPr>
          <w:rStyle w:val="libFootnotenumChar"/>
          <w:rtl/>
        </w:rPr>
        <w:t>(6)</w:t>
      </w:r>
      <w:r w:rsidRPr="005B567D">
        <w:rPr>
          <w:rStyle w:val="libFootnotenumChar"/>
          <w:rtl/>
        </w:rPr>
        <w:t xml:space="preserve"> </w:t>
      </w:r>
      <w:r w:rsidRPr="00C9040A">
        <w:rPr>
          <w:rtl/>
          <w:lang w:bidi="fa-IR"/>
        </w:rPr>
        <w:t>إِلَيْهِ »</w:t>
      </w:r>
      <w:r>
        <w:rPr>
          <w:rtl/>
          <w:lang w:bidi="fa-IR"/>
        </w:rPr>
        <w:t>.</w:t>
      </w:r>
    </w:p>
    <w:p w:rsidR="008A74EB" w:rsidRPr="00C9040A" w:rsidRDefault="008A74EB" w:rsidP="008A74EB">
      <w:pPr>
        <w:pStyle w:val="libNormal"/>
        <w:rPr>
          <w:rtl/>
          <w:lang w:bidi="fa-IR"/>
        </w:rPr>
      </w:pPr>
      <w:r w:rsidRPr="00C9040A">
        <w:rPr>
          <w:rtl/>
          <w:lang w:bidi="fa-IR"/>
        </w:rPr>
        <w:t xml:space="preserve">قَالَ : قُلْتُ </w:t>
      </w:r>
      <w:r w:rsidR="006C577F" w:rsidRPr="006C577F">
        <w:rPr>
          <w:rStyle w:val="libFootnotenumChar"/>
          <w:rtl/>
        </w:rPr>
        <w:t>(7)</w:t>
      </w:r>
      <w:r w:rsidRPr="00C9040A">
        <w:rPr>
          <w:rtl/>
          <w:lang w:bidi="fa-IR"/>
        </w:rPr>
        <w:t xml:space="preserve"> : صِفْهُ لِي جُعِلْتُ فِدَاكَ ، حَتّى أَفْهَمَهُ.</w:t>
      </w:r>
    </w:p>
    <w:p w:rsidR="008A74EB" w:rsidRPr="00C9040A" w:rsidRDefault="008A74EB" w:rsidP="008A74EB">
      <w:pPr>
        <w:pStyle w:val="libNormal"/>
        <w:rPr>
          <w:rtl/>
          <w:lang w:bidi="fa-IR"/>
        </w:rPr>
      </w:pPr>
      <w:r w:rsidRPr="00C9040A">
        <w:rPr>
          <w:rtl/>
          <w:lang w:bidi="fa-IR"/>
        </w:rPr>
        <w:t xml:space="preserve">قَالَ : « الْإِيمَانُ </w:t>
      </w:r>
      <w:r w:rsidR="006C577F" w:rsidRPr="006C577F">
        <w:rPr>
          <w:rStyle w:val="libFootnotenumChar"/>
          <w:rtl/>
        </w:rPr>
        <w:t>(8)</w:t>
      </w:r>
      <w:r w:rsidRPr="00C9040A">
        <w:rPr>
          <w:rtl/>
          <w:lang w:bidi="fa-IR"/>
        </w:rPr>
        <w:t xml:space="preserve"> حَالَاتٌ وَدَرَجَاتٌ وَطَبَقَاتٌ وَمَنَازِلُ ؛ فَمِنْهُ التَّامُّ </w:t>
      </w:r>
      <w:r w:rsidR="006C577F" w:rsidRPr="006C577F">
        <w:rPr>
          <w:rStyle w:val="libFootnotenumChar"/>
          <w:rtl/>
        </w:rPr>
        <w:t>(9)</w:t>
      </w:r>
      <w:r w:rsidRPr="00C9040A">
        <w:rPr>
          <w:rtl/>
          <w:lang w:bidi="fa-IR"/>
        </w:rPr>
        <w:t xml:space="preserve"> الْمُنْتَهِي تَمَامُهُ ، وَمِنْهُ النَّاقِصُ الْبَيِّنُ نُقْصَانُهُ ، وَمِنْهُ الرَّاجِحُ الزَّائِدُ </w:t>
      </w:r>
      <w:r w:rsidR="006C577F" w:rsidRPr="006C577F">
        <w:rPr>
          <w:rStyle w:val="libFootnotenumChar"/>
          <w:rtl/>
        </w:rPr>
        <w:t>(10)</w:t>
      </w:r>
      <w:r w:rsidRPr="00C9040A">
        <w:rPr>
          <w:rtl/>
          <w:lang w:bidi="fa-IR"/>
        </w:rPr>
        <w:t xml:space="preserve"> رُجْحَانُهُ »</w:t>
      </w:r>
      <w:r>
        <w:rPr>
          <w:rtl/>
          <w:lang w:bidi="fa-IR"/>
        </w:rPr>
        <w:t>.</w:t>
      </w:r>
    </w:p>
    <w:p w:rsidR="008A74EB" w:rsidRPr="00C9040A" w:rsidRDefault="008A74EB" w:rsidP="008A74EB">
      <w:pPr>
        <w:pStyle w:val="libNormal"/>
        <w:rPr>
          <w:rtl/>
          <w:lang w:bidi="fa-IR"/>
        </w:rPr>
      </w:pPr>
      <w:r w:rsidRPr="00C9040A">
        <w:rPr>
          <w:rtl/>
          <w:lang w:bidi="fa-IR"/>
        </w:rPr>
        <w:t>قُلْتُ : إِنَّ الْإِيمَانَ لَيَتِمُّ وَيَنْقُصُ وَيَزِيدُ</w:t>
      </w:r>
      <w:r>
        <w:rPr>
          <w:rtl/>
          <w:lang w:bidi="fa-IR"/>
        </w:rPr>
        <w:t>؟</w:t>
      </w:r>
    </w:p>
    <w:p w:rsidR="008A74EB" w:rsidRPr="00C9040A" w:rsidRDefault="008A74EB" w:rsidP="008A74EB">
      <w:pPr>
        <w:pStyle w:val="libNormal"/>
        <w:rPr>
          <w:rtl/>
          <w:lang w:bidi="fa-IR"/>
        </w:rPr>
      </w:pPr>
      <w:r w:rsidRPr="00C9040A">
        <w:rPr>
          <w:rtl/>
          <w:lang w:bidi="fa-IR"/>
        </w:rPr>
        <w:t>قَالَ : « نَعَمْ »</w:t>
      </w:r>
      <w:r>
        <w:rPr>
          <w:rtl/>
          <w:lang w:bidi="fa-IR"/>
        </w:rPr>
        <w:t>.</w:t>
      </w:r>
      <w:r w:rsidRPr="00C9040A">
        <w:rPr>
          <w:rtl/>
          <w:lang w:bidi="fa-IR"/>
        </w:rPr>
        <w:t xml:space="preserve"> قُلْتُ : كَيْفَ </w:t>
      </w:r>
      <w:r w:rsidR="006C577F" w:rsidRPr="006C577F">
        <w:rPr>
          <w:rStyle w:val="libFootnotenumChar"/>
          <w:rtl/>
        </w:rPr>
        <w:t>(11)</w:t>
      </w:r>
      <w:r w:rsidRPr="00C9040A">
        <w:rPr>
          <w:rtl/>
          <w:lang w:bidi="fa-IR"/>
        </w:rPr>
        <w:t xml:space="preserve"> ذلِكَ </w:t>
      </w:r>
      <w:r w:rsidR="006C577F" w:rsidRPr="006C577F">
        <w:rPr>
          <w:rStyle w:val="libFootnotenumChar"/>
          <w:rtl/>
        </w:rPr>
        <w:t>(12)</w:t>
      </w:r>
      <w:r>
        <w:rPr>
          <w:rtl/>
          <w:lang w:bidi="fa-IR"/>
        </w:rPr>
        <w:t>؟</w:t>
      </w:r>
      <w:r w:rsidRPr="00C9040A">
        <w:rPr>
          <w:rtl/>
          <w:lang w:bidi="fa-IR"/>
        </w:rPr>
        <w:t xml:space="preserve"> قَالَ : « لِأَنَّ اللهَ</w:t>
      </w:r>
      <w:r>
        <w:rPr>
          <w:rtl/>
          <w:lang w:bidi="fa-IR"/>
        </w:rPr>
        <w:t xml:space="preserve"> </w:t>
      </w:r>
      <w:r w:rsidR="0084262C">
        <w:rPr>
          <w:rtl/>
          <w:lang w:bidi="fa-IR"/>
        </w:rPr>
        <w:t>-</w:t>
      </w:r>
      <w:r>
        <w:rPr>
          <w:rtl/>
          <w:lang w:bidi="fa-IR"/>
        </w:rPr>
        <w:t xml:space="preserve"> </w:t>
      </w:r>
      <w:r w:rsidRPr="00C9040A">
        <w:rPr>
          <w:rtl/>
          <w:lang w:bidi="fa-IR"/>
        </w:rPr>
        <w:t>تَبَارَكَ وَتَعَالى</w:t>
      </w:r>
      <w:r>
        <w:rPr>
          <w:rtl/>
          <w:lang w:bidi="fa-IR"/>
        </w:rPr>
        <w:t xml:space="preserve"> </w:t>
      </w:r>
      <w:r w:rsidR="0084262C">
        <w:rPr>
          <w:rtl/>
          <w:lang w:bidi="fa-IR"/>
        </w:rPr>
        <w:t>-</w:t>
      </w:r>
      <w:r>
        <w:rPr>
          <w:rtl/>
          <w:lang w:bidi="fa-IR"/>
        </w:rPr>
        <w:t xml:space="preserve"> </w:t>
      </w:r>
      <w:r w:rsidRPr="00C9040A">
        <w:rPr>
          <w:rtl/>
          <w:lang w:bidi="fa-IR"/>
        </w:rPr>
        <w:t>فَرَضَ الْإِيمَانَ عَلى جَوَارِحِ ابْنِ آدَمَ ، وَقَسَّمَهُ عَلَيْهَا ، وَفَرَّقَهُ فِيهَا ؛ فَلَيْسَ م</w:t>
      </w:r>
      <w:r w:rsidR="007D0879">
        <w:rPr>
          <w:rtl/>
          <w:lang w:bidi="fa-IR"/>
        </w:rPr>
        <w:t>ِنْ جَوَارِحِهِ جَارِحَةٌ إِل</w:t>
      </w:r>
      <w:r w:rsidR="007D0879">
        <w:rPr>
          <w:rFonts w:hint="cs"/>
          <w:rtl/>
          <w:lang w:bidi="fa-IR"/>
        </w:rPr>
        <w:t>َّ</w:t>
      </w:r>
      <w:r w:rsidR="007D0879">
        <w:rPr>
          <w:rtl/>
          <w:lang w:bidi="fa-IR"/>
        </w:rPr>
        <w:t>ا</w:t>
      </w:r>
      <w:r w:rsidRPr="00C9040A">
        <w:rPr>
          <w:rtl/>
          <w:lang w:bidi="fa-IR"/>
        </w:rPr>
        <w:t xml:space="preserve"> وَقَدْ‌</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 ف » </w:t>
      </w:r>
      <w:r w:rsidR="008A74EB">
        <w:rPr>
          <w:rtl/>
        </w:rPr>
        <w:t xml:space="preserve">: </w:t>
      </w:r>
      <w:r w:rsidR="0084262C">
        <w:rPr>
          <w:rtl/>
        </w:rPr>
        <w:t>-</w:t>
      </w:r>
      <w:r w:rsidR="008A74EB" w:rsidRPr="00C9040A">
        <w:rPr>
          <w:rtl/>
        </w:rPr>
        <w:t xml:space="preserve"> « الله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ب » : « أو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ج ، ف » : « يفرض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يجوز فيه كونه مبنيّاً للمفعول. وأمّا كونه مبنيّاً للفاعل فهو مرجوح ؛ لاستلزامه حذف المفعول. وصرّح المازندراني في شرحه بالتنوين صفة لقوله : « بفرضٍ » ، كما اخترناه.</w:t>
      </w:r>
    </w:p>
    <w:p w:rsidR="008A74EB" w:rsidRPr="00C9040A" w:rsidRDefault="006C577F" w:rsidP="004A4E41">
      <w:pPr>
        <w:pStyle w:val="libFootnote0"/>
        <w:rPr>
          <w:rtl/>
          <w:lang w:bidi="fa-IR"/>
        </w:rPr>
      </w:pPr>
      <w:r>
        <w:rPr>
          <w:rtl/>
        </w:rPr>
        <w:t>(5).</w:t>
      </w:r>
      <w:r w:rsidR="008A74EB" w:rsidRPr="00C9040A">
        <w:rPr>
          <w:rtl/>
        </w:rPr>
        <w:t xml:space="preserve"> في « ف » </w:t>
      </w:r>
      <w:r w:rsidR="008A74EB">
        <w:rPr>
          <w:rtl/>
        </w:rPr>
        <w:t xml:space="preserve">: </w:t>
      </w:r>
      <w:r w:rsidR="0084262C">
        <w:rPr>
          <w:rtl/>
        </w:rPr>
        <w:t>-</w:t>
      </w:r>
      <w:r w:rsidR="008A74EB" w:rsidRPr="00C9040A">
        <w:rPr>
          <w:rtl/>
        </w:rPr>
        <w:t xml:space="preserve"> « له »</w:t>
      </w:r>
      <w:r w:rsidR="008A74EB">
        <w:rPr>
          <w:rtl/>
        </w:rPr>
        <w:t>.</w:t>
      </w:r>
    </w:p>
    <w:p w:rsidR="008A74EB" w:rsidRPr="004A4E41" w:rsidRDefault="006C577F" w:rsidP="004A4E41">
      <w:pPr>
        <w:pStyle w:val="libFootnote0"/>
        <w:rPr>
          <w:rStyle w:val="libFootnote0Char"/>
          <w:rtl/>
        </w:rPr>
      </w:pPr>
      <w:r>
        <w:rPr>
          <w:rtl/>
        </w:rPr>
        <w:t>(6).</w:t>
      </w:r>
      <w:r w:rsidR="008A74EB">
        <w:rPr>
          <w:rtl/>
        </w:rPr>
        <w:t xml:space="preserve"> </w:t>
      </w:r>
      <w:r w:rsidR="008A74EB" w:rsidRPr="00C9040A">
        <w:rPr>
          <w:rtl/>
        </w:rPr>
        <w:t>في « ب » : « يدعو »</w:t>
      </w:r>
      <w:r w:rsidR="008A74EB">
        <w:rPr>
          <w:rtl/>
        </w:rPr>
        <w:t>.</w:t>
      </w:r>
      <w:r w:rsidR="008A74EB" w:rsidRPr="00C9040A">
        <w:rPr>
          <w:rtl/>
        </w:rPr>
        <w:t xml:space="preserve"> وفي </w:t>
      </w:r>
      <w:r w:rsidR="008A74EB" w:rsidRPr="00993B55">
        <w:rPr>
          <w:rStyle w:val="libFootnoteBoldChar"/>
          <w:rtl/>
        </w:rPr>
        <w:t>الوافي</w:t>
      </w:r>
      <w:r w:rsidR="008A74EB" w:rsidRPr="00C9040A">
        <w:rPr>
          <w:rtl/>
        </w:rPr>
        <w:t xml:space="preserve"> : « واضح نوره » صفةٌ للفرض ، وكذا « ثابتة حجّته »</w:t>
      </w:r>
      <w:r w:rsidR="008A74EB">
        <w:rPr>
          <w:rtl/>
        </w:rPr>
        <w:t>.</w:t>
      </w:r>
      <w:r w:rsidR="008A74EB" w:rsidRPr="00C9040A">
        <w:rPr>
          <w:rtl/>
        </w:rPr>
        <w:t xml:space="preserve"> « يشهد له » أي لكونه عملاً ، أو للعامل. « به » أي بذلك الفرض. </w:t>
      </w:r>
      <w:r w:rsidR="008A74EB">
        <w:rPr>
          <w:rtl/>
        </w:rPr>
        <w:t>و «</w:t>
      </w:r>
      <w:r w:rsidR="008A74EB" w:rsidRPr="00C9040A">
        <w:rPr>
          <w:rtl/>
        </w:rPr>
        <w:t xml:space="preserve"> يدعوه إليه » أي يدعو العامل إلى ذلك الفرض.</w:t>
      </w:r>
    </w:p>
    <w:tbl>
      <w:tblPr>
        <w:tblStyle w:val="TableGrid"/>
        <w:bidiVisual/>
        <w:tblW w:w="0" w:type="auto"/>
        <w:tblLook w:val="04A0" w:firstRow="1" w:lastRow="0" w:firstColumn="1" w:lastColumn="0" w:noHBand="0" w:noVBand="1"/>
      </w:tblPr>
      <w:tblGrid>
        <w:gridCol w:w="4006"/>
        <w:gridCol w:w="4006"/>
      </w:tblGrid>
      <w:tr w:rsidR="00FA06A6" w:rsidTr="00FA06A6">
        <w:tc>
          <w:tcPr>
            <w:tcW w:w="4006" w:type="dxa"/>
          </w:tcPr>
          <w:p w:rsidR="00FA06A6" w:rsidRDefault="00FA06A6" w:rsidP="004A4E41">
            <w:pPr>
              <w:pStyle w:val="libFootnote0"/>
              <w:rPr>
                <w:rtl/>
              </w:rPr>
            </w:pPr>
            <w:r>
              <w:rPr>
                <w:rtl/>
              </w:rPr>
              <w:t>(7).</w:t>
            </w:r>
            <w:r w:rsidRPr="00C9040A">
              <w:rPr>
                <w:rtl/>
              </w:rPr>
              <w:t xml:space="preserve"> في « ص » : + « له »</w:t>
            </w:r>
            <w:r>
              <w:rPr>
                <w:rtl/>
              </w:rPr>
              <w:t>.</w:t>
            </w:r>
          </w:p>
        </w:tc>
        <w:tc>
          <w:tcPr>
            <w:tcW w:w="4006" w:type="dxa"/>
          </w:tcPr>
          <w:p w:rsidR="00FA06A6" w:rsidRDefault="00FA06A6" w:rsidP="004A4E41">
            <w:pPr>
              <w:pStyle w:val="libFootnote0"/>
              <w:rPr>
                <w:rtl/>
              </w:rPr>
            </w:pPr>
            <w:r>
              <w:rPr>
                <w:rtl/>
              </w:rPr>
              <w:t>(8).</w:t>
            </w:r>
            <w:r w:rsidRPr="00C9040A">
              <w:rPr>
                <w:rtl/>
              </w:rPr>
              <w:t xml:space="preserve"> في حاشية « ج » ومرآة العقول : « للإيمان »</w:t>
            </w:r>
            <w:r>
              <w:rPr>
                <w:rtl/>
              </w:rPr>
              <w:t>.</w:t>
            </w:r>
          </w:p>
        </w:tc>
      </w:tr>
      <w:tr w:rsidR="00FA06A6" w:rsidTr="00FA06A6">
        <w:tc>
          <w:tcPr>
            <w:tcW w:w="4006" w:type="dxa"/>
          </w:tcPr>
          <w:p w:rsidR="00FA06A6" w:rsidRDefault="00FA06A6" w:rsidP="004A4E41">
            <w:pPr>
              <w:pStyle w:val="libFootnote0"/>
              <w:rPr>
                <w:rtl/>
              </w:rPr>
            </w:pPr>
            <w:r>
              <w:rPr>
                <w:rtl/>
              </w:rPr>
              <w:t>(9).</w:t>
            </w:r>
            <w:r w:rsidRPr="00C9040A">
              <w:rPr>
                <w:rtl/>
              </w:rPr>
              <w:t xml:space="preserve"> في « ف » : « التمام »</w:t>
            </w:r>
            <w:r>
              <w:rPr>
                <w:rtl/>
              </w:rPr>
              <w:t>.</w:t>
            </w:r>
          </w:p>
        </w:tc>
        <w:tc>
          <w:tcPr>
            <w:tcW w:w="4006" w:type="dxa"/>
          </w:tcPr>
          <w:p w:rsidR="00FA06A6" w:rsidRDefault="00FA06A6" w:rsidP="004A4E41">
            <w:pPr>
              <w:pStyle w:val="libFootnote0"/>
              <w:rPr>
                <w:rtl/>
              </w:rPr>
            </w:pPr>
            <w:r>
              <w:rPr>
                <w:rtl/>
              </w:rPr>
              <w:t>(10).</w:t>
            </w:r>
            <w:r w:rsidRPr="00C9040A">
              <w:rPr>
                <w:rtl/>
              </w:rPr>
              <w:t xml:space="preserve"> في « ص » : « البيّن » بدل « الزائد »</w:t>
            </w:r>
            <w:r>
              <w:rPr>
                <w:rtl/>
              </w:rPr>
              <w:t>.</w:t>
            </w:r>
          </w:p>
        </w:tc>
      </w:tr>
      <w:tr w:rsidR="00FA06A6" w:rsidTr="00FA06A6">
        <w:tc>
          <w:tcPr>
            <w:tcW w:w="4006" w:type="dxa"/>
          </w:tcPr>
          <w:p w:rsidR="00FA06A6" w:rsidRDefault="00A73195" w:rsidP="004A4E41">
            <w:pPr>
              <w:pStyle w:val="libFootnote0"/>
              <w:rPr>
                <w:rtl/>
              </w:rPr>
            </w:pPr>
            <w:r>
              <w:rPr>
                <w:rtl/>
              </w:rPr>
              <w:t>(11).</w:t>
            </w:r>
            <w:r w:rsidRPr="00C9040A">
              <w:rPr>
                <w:rtl/>
              </w:rPr>
              <w:t xml:space="preserve"> في « ز ، ف » : « وكيف »</w:t>
            </w:r>
            <w:r>
              <w:rPr>
                <w:rtl/>
              </w:rPr>
              <w:t>.</w:t>
            </w:r>
          </w:p>
        </w:tc>
        <w:tc>
          <w:tcPr>
            <w:tcW w:w="4006" w:type="dxa"/>
          </w:tcPr>
          <w:p w:rsidR="00FA06A6" w:rsidRDefault="00A73195" w:rsidP="004A4E41">
            <w:pPr>
              <w:pStyle w:val="libFootnote0"/>
              <w:rPr>
                <w:rtl/>
              </w:rPr>
            </w:pPr>
            <w:r>
              <w:rPr>
                <w:rtl/>
              </w:rPr>
              <w:t>(12).</w:t>
            </w:r>
            <w:r w:rsidR="009C3467">
              <w:rPr>
                <w:rtl/>
              </w:rPr>
              <w:t xml:space="preserve"> في حاشية «ص، ض، بس، بف</w:t>
            </w:r>
            <w:r w:rsidRPr="00C9040A">
              <w:rPr>
                <w:rtl/>
              </w:rPr>
              <w:t>» : « ذاك »</w:t>
            </w:r>
            <w:r>
              <w:rPr>
                <w:rtl/>
              </w:rPr>
              <w:t>.</w:t>
            </w:r>
          </w:p>
        </w:tc>
      </w:tr>
    </w:tbl>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وُكِّلَتْ مِنَ الْإِيمَانِ بِغَيْرِ مَا وُكِّلَتْ بِهِ </w:t>
      </w:r>
      <w:r w:rsidR="006C577F" w:rsidRPr="006C577F">
        <w:rPr>
          <w:rStyle w:val="libFootnotenumChar"/>
          <w:rtl/>
        </w:rPr>
        <w:t>(1)</w:t>
      </w:r>
      <w:r w:rsidRPr="00853746">
        <w:rPr>
          <w:rFonts w:hint="cs"/>
          <w:rtl/>
        </w:rPr>
        <w:t xml:space="preserve"> </w:t>
      </w:r>
      <w:r w:rsidRPr="00C9040A">
        <w:rPr>
          <w:rtl/>
          <w:lang w:bidi="fa-IR"/>
        </w:rPr>
        <w:t xml:space="preserve">أُخْتُهَا ، فَمِنْهَا قَلْبُهُ الَّذِي بِهِ يَعْقِلُ وَيَفْقَهُ وَيَفْهَمُ ، وَهُوَ أَمِيرُ بَدَنِهِ الَّذِي لَاتَرِدُ </w:t>
      </w:r>
      <w:r w:rsidR="006C577F" w:rsidRPr="006C577F">
        <w:rPr>
          <w:rStyle w:val="libFootnotenumChar"/>
          <w:rtl/>
        </w:rPr>
        <w:t>(2)</w:t>
      </w:r>
      <w:r w:rsidRPr="00C9040A">
        <w:rPr>
          <w:rtl/>
          <w:lang w:bidi="fa-IR"/>
        </w:rPr>
        <w:t xml:space="preserve"> الْجَوَارِحُ وَلَا تَصْدُرُ </w:t>
      </w:r>
      <w:r w:rsidR="006C577F" w:rsidRPr="006C577F">
        <w:rPr>
          <w:rStyle w:val="libFootnotenumChar"/>
          <w:rtl/>
        </w:rPr>
        <w:t>(3)</w:t>
      </w:r>
      <w:r w:rsidR="005757AD">
        <w:rPr>
          <w:rtl/>
          <w:lang w:bidi="fa-IR"/>
        </w:rPr>
        <w:t xml:space="preserve"> إِل</w:t>
      </w:r>
      <w:r w:rsidR="005757AD">
        <w:rPr>
          <w:rFonts w:hint="cs"/>
          <w:rtl/>
          <w:lang w:bidi="fa-IR"/>
        </w:rPr>
        <w:t>َّ</w:t>
      </w:r>
      <w:r w:rsidR="005757AD">
        <w:rPr>
          <w:rtl/>
          <w:lang w:bidi="fa-IR"/>
        </w:rPr>
        <w:t>ا</w:t>
      </w:r>
      <w:r w:rsidRPr="00C9040A">
        <w:rPr>
          <w:rtl/>
          <w:lang w:bidi="fa-IR"/>
        </w:rPr>
        <w:t xml:space="preserve"> عَنْ رَأْيِهِ وَأَمْرِهِ ، وَمِنْهَا عَيْنَاهُ اللَّتَانِ يُبْصِرُ بِهِمَا ، وَأُذُنَاهُ اللَّتَانِ يَسْمَعُ بِهِمَا ، وَيَدَاهُ اللَّتَانِ يَبْطِشُ </w:t>
      </w:r>
      <w:r w:rsidR="006C577F" w:rsidRPr="006C577F">
        <w:rPr>
          <w:rStyle w:val="libFootnotenumChar"/>
          <w:rtl/>
        </w:rPr>
        <w:t>(4)</w:t>
      </w:r>
      <w:r w:rsidRPr="00C9040A">
        <w:rPr>
          <w:rtl/>
          <w:lang w:bidi="fa-IR"/>
        </w:rPr>
        <w:t xml:space="preserve"> بِهِمَا ، وَرِجْلَاهُ اللَّتَانِ يَمْشِي بِهِمَا ، وَفَرْجُهُ الَّذِي الْبَاهُ </w:t>
      </w:r>
      <w:r w:rsidR="006C577F" w:rsidRPr="006C577F">
        <w:rPr>
          <w:rStyle w:val="libFootnotenumChar"/>
          <w:rtl/>
        </w:rPr>
        <w:t>(5)</w:t>
      </w:r>
      <w:r w:rsidRPr="00C9040A">
        <w:rPr>
          <w:rtl/>
          <w:lang w:bidi="fa-IR"/>
        </w:rPr>
        <w:t xml:space="preserve"> مِنْ قِبَلِهِ ، وَلِسَانُهُ الَّذِي يَنْطِقُ بِهِ ، وَرَأْسُهُ الَّذِي فِيهِ وَجْهُهُ ، فَلَيْسَ مِنْ هذِهِ جَارِح</w:t>
      </w:r>
      <w:r w:rsidR="005757AD">
        <w:rPr>
          <w:rtl/>
          <w:lang w:bidi="fa-IR"/>
        </w:rPr>
        <w:t>َةٌ إِل</w:t>
      </w:r>
      <w:r w:rsidR="005757AD">
        <w:rPr>
          <w:rFonts w:hint="cs"/>
          <w:rtl/>
          <w:lang w:bidi="fa-IR"/>
        </w:rPr>
        <w:t>َّ</w:t>
      </w:r>
      <w:r w:rsidR="005757AD">
        <w:rPr>
          <w:rtl/>
          <w:lang w:bidi="fa-IR"/>
        </w:rPr>
        <w:t>ا</w:t>
      </w:r>
      <w:r w:rsidRPr="00C9040A">
        <w:rPr>
          <w:rtl/>
          <w:lang w:bidi="fa-IR"/>
        </w:rPr>
        <w:t xml:space="preserve"> وَ</w:t>
      </w:r>
      <w:r>
        <w:rPr>
          <w:rFonts w:hint="cs"/>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 xml:space="preserve">قَدْ وُكِّلَتْ مِنَ الْإِيمَانِ بِغَيْرِ مَا وُكِّلَتْ بِهِ </w:t>
      </w:r>
      <w:r w:rsidR="006C577F" w:rsidRPr="006C577F">
        <w:rPr>
          <w:rStyle w:val="libFootnotenumChar"/>
          <w:rtl/>
        </w:rPr>
        <w:t>(7)</w:t>
      </w:r>
      <w:r w:rsidRPr="00C9040A">
        <w:rPr>
          <w:rtl/>
          <w:lang w:bidi="fa-IR"/>
        </w:rPr>
        <w:t xml:space="preserve"> أُخْتُهَا بِفَرْضٍ مِنَ اللهِ تَبَارَكَ اسْمُهُ يَنْطِقُ بِهِ الْكِتَابُ لَهَا وَيَشْهَدُ بِهِ عَلَيْهَا.</w:t>
      </w:r>
    </w:p>
    <w:p w:rsidR="008A74EB" w:rsidRPr="00C9040A" w:rsidRDefault="008A74EB" w:rsidP="008A74EB">
      <w:pPr>
        <w:pStyle w:val="libNormal"/>
        <w:rPr>
          <w:rtl/>
          <w:lang w:bidi="fa-IR"/>
        </w:rPr>
      </w:pPr>
      <w:r w:rsidRPr="00C9040A">
        <w:rPr>
          <w:rtl/>
          <w:lang w:bidi="fa-IR"/>
        </w:rPr>
        <w:t xml:space="preserve">فَفَرَضَ </w:t>
      </w:r>
      <w:r w:rsidR="006C577F" w:rsidRPr="006C577F">
        <w:rPr>
          <w:rStyle w:val="libFootnotenumChar"/>
          <w:rtl/>
        </w:rPr>
        <w:t>(8)</w:t>
      </w:r>
      <w:r w:rsidRPr="00C9040A">
        <w:rPr>
          <w:rtl/>
          <w:lang w:bidi="fa-IR"/>
        </w:rPr>
        <w:t xml:space="preserve"> عَلَى الْقَلْبِ غَيْرَ مَا فَرَضَ عَلَى السَّمْعِ ، وَفَرَضَ عَلَى السَّمْعِ غَيْرَ مَا فَرَضَ عَلَى الْعَيْنَيْنِ </w:t>
      </w:r>
      <w:r w:rsidR="006C577F" w:rsidRPr="006C577F">
        <w:rPr>
          <w:rStyle w:val="libFootnotenumChar"/>
          <w:rtl/>
        </w:rPr>
        <w:t>(9)</w:t>
      </w:r>
      <w:r w:rsidRPr="00C9040A">
        <w:rPr>
          <w:rtl/>
          <w:lang w:bidi="fa-IR"/>
        </w:rPr>
        <w:t xml:space="preserve"> ، وَفَرَضَ عَلَى الْعَيْنَيْنِ </w:t>
      </w:r>
      <w:r w:rsidR="006C577F" w:rsidRPr="006C577F">
        <w:rPr>
          <w:rStyle w:val="libFootnotenumChar"/>
          <w:rtl/>
        </w:rPr>
        <w:t>(10)</w:t>
      </w:r>
      <w:r w:rsidRPr="00C9040A">
        <w:rPr>
          <w:rtl/>
          <w:lang w:bidi="fa-IR"/>
        </w:rPr>
        <w:t xml:space="preserve"> غَيْرَ مَا فَرَضَ عَلَى اللِّسَانِ ، وَفَرَضَ عَلَى اللِّسَانِ غَيْرَ مَا فَرَضَ عَلَى الْيَدَيْنِ ، وَفَرَضَ عَلَى الْيَدَيْنِ غَيْرَ مَا فَرَضَ عَلَى الرِّجْلَيْنِ ، وَفَرَضَ عَلَى الرِّجْلَيْنِ غَيْرَ مَا فَرَضَ عَلَى الْفَرْجِ ، وَفَرَضَ عَلَى الْفَرْجِ غَيْرَ مَا فَرَضَ عَلَى الْوَجْهِ.</w:t>
      </w:r>
    </w:p>
    <w:p w:rsidR="008A74EB" w:rsidRPr="00C9040A" w:rsidRDefault="008A74EB" w:rsidP="008A74EB">
      <w:pPr>
        <w:pStyle w:val="libNormal"/>
        <w:rPr>
          <w:rtl/>
          <w:lang w:bidi="fa-IR"/>
        </w:rPr>
      </w:pPr>
      <w:r w:rsidRPr="00C9040A">
        <w:rPr>
          <w:rtl/>
          <w:lang w:bidi="fa-IR"/>
        </w:rPr>
        <w:t xml:space="preserve">فَأَمَّا مَا فَرَضَ عَلَى الْقَلْبِ مِنَ الْإِيمَانِ ، فَالْإِقْرَارُ </w:t>
      </w:r>
      <w:r w:rsidR="006C577F" w:rsidRPr="006C577F">
        <w:rPr>
          <w:rStyle w:val="libFootnotenumChar"/>
          <w:rtl/>
        </w:rPr>
        <w:t>(11)</w:t>
      </w:r>
      <w:r w:rsidRPr="00C9040A">
        <w:rPr>
          <w:rtl/>
          <w:lang w:bidi="fa-IR"/>
        </w:rPr>
        <w:t xml:space="preserve"> وَالْمَعْرِفَةُ وَالْعَقْدُ وَالرِّضَا وَالتَّسْلِيمُ بِأَنْ لَا</w:t>
      </w:r>
      <w:r>
        <w:rPr>
          <w:rFonts w:hint="cs"/>
          <w:rtl/>
          <w:lang w:bidi="fa-IR"/>
        </w:rPr>
        <w:t xml:space="preserve"> </w:t>
      </w:r>
      <w:r w:rsidR="005757AD">
        <w:rPr>
          <w:rtl/>
          <w:lang w:bidi="fa-IR"/>
        </w:rPr>
        <w:t>إِلهَ إِل</w:t>
      </w:r>
      <w:r w:rsidR="005757AD">
        <w:rPr>
          <w:rFonts w:hint="cs"/>
          <w:rtl/>
          <w:lang w:bidi="fa-IR"/>
        </w:rPr>
        <w:t>َّ</w:t>
      </w:r>
      <w:r w:rsidR="005757AD">
        <w:rPr>
          <w:rtl/>
          <w:lang w:bidi="fa-IR"/>
        </w:rPr>
        <w:t>ا</w:t>
      </w:r>
      <w:r w:rsidRPr="00C9040A">
        <w:rPr>
          <w:rtl/>
          <w:lang w:bidi="fa-IR"/>
        </w:rPr>
        <w:t xml:space="preserve"> اللهُ وَحْدَهُ لَاشَرِيكَ لَهُ ، إِلهاً وَاحِداً لَمْ يَتَّخِذْ صَاحِبَةً‌</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 ف » </w:t>
      </w:r>
      <w:r w:rsidR="008A74EB">
        <w:rPr>
          <w:rtl/>
        </w:rPr>
        <w:t xml:space="preserve">: </w:t>
      </w:r>
      <w:r w:rsidR="0084262C">
        <w:rPr>
          <w:rtl/>
        </w:rPr>
        <w:t>-</w:t>
      </w:r>
      <w:r w:rsidR="008A74EB" w:rsidRPr="00C9040A">
        <w:rPr>
          <w:rtl/>
        </w:rPr>
        <w:t xml:space="preserve"> « به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ز ، ض » : « لا يرد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w:t>
      </w:r>
      <w:r w:rsidR="008A74EB" w:rsidRPr="00993B55">
        <w:rPr>
          <w:rStyle w:val="libFootnoteBoldChar"/>
          <w:rtl/>
        </w:rPr>
        <w:t>مرآة العقول</w:t>
      </w:r>
      <w:r w:rsidR="008A74EB" w:rsidRPr="00C9040A">
        <w:rPr>
          <w:rtl/>
        </w:rPr>
        <w:t xml:space="preserve"> : « الورود : حضور الماء للشرب ، والصدر والصدور : الانصراف عنه ، وهذا</w:t>
      </w:r>
      <w:r w:rsidR="00F54441">
        <w:rPr>
          <w:rtl/>
        </w:rPr>
        <w:t xml:space="preserve"> مثل في أنّها لا تفعل شيئاً إل</w:t>
      </w:r>
      <w:r w:rsidR="00F54441">
        <w:rPr>
          <w:rFonts w:hint="cs"/>
          <w:rtl/>
        </w:rPr>
        <w:t>ّ</w:t>
      </w:r>
      <w:r w:rsidR="00F54441">
        <w:rPr>
          <w:rtl/>
        </w:rPr>
        <w:t>ا</w:t>
      </w:r>
      <w:r w:rsidR="008A74EB" w:rsidRPr="00C9040A">
        <w:rPr>
          <w:rtl/>
        </w:rPr>
        <w:t>بأمره ، كما يقال ف</w:t>
      </w:r>
      <w:r w:rsidR="00F54441">
        <w:rPr>
          <w:rtl/>
        </w:rPr>
        <w:t>ي الفارسيّة : لا يشرب الماء إل</w:t>
      </w:r>
      <w:r w:rsidR="00F54441">
        <w:rPr>
          <w:rFonts w:hint="cs"/>
          <w:rtl/>
        </w:rPr>
        <w:t>ّ</w:t>
      </w:r>
      <w:r w:rsidR="00F54441">
        <w:rPr>
          <w:rtl/>
        </w:rPr>
        <w:t>ا</w:t>
      </w:r>
      <w:r w:rsidR="008A74EB" w:rsidRPr="00C9040A">
        <w:rPr>
          <w:rtl/>
        </w:rPr>
        <w:t>بأمره وإذنه »</w:t>
      </w:r>
      <w:r w:rsidR="008A74EB">
        <w:rPr>
          <w:rtl/>
        </w:rPr>
        <w:t>.</w:t>
      </w:r>
      <w:r w:rsidR="008A74EB" w:rsidRPr="00C9040A">
        <w:rPr>
          <w:rtl/>
        </w:rPr>
        <w:t xml:space="preserve"> وراجع : </w:t>
      </w:r>
      <w:r w:rsidR="008A74EB" w:rsidRPr="00993B55">
        <w:rPr>
          <w:rStyle w:val="libFootnoteBoldChar"/>
          <w:rtl/>
        </w:rPr>
        <w:t>المفردات</w:t>
      </w:r>
      <w:r w:rsidR="008A74EB" w:rsidRPr="00C9040A">
        <w:rPr>
          <w:rtl/>
        </w:rPr>
        <w:t xml:space="preserve"> للراغب ، ص 865 ( ورد ) ، </w:t>
      </w:r>
      <w:r w:rsidR="008A74EB" w:rsidRPr="00993B55">
        <w:rPr>
          <w:rStyle w:val="libFootnoteBoldChar"/>
          <w:rtl/>
        </w:rPr>
        <w:t>النهاية</w:t>
      </w:r>
      <w:r w:rsidR="008A74EB" w:rsidRPr="00C9040A">
        <w:rPr>
          <w:rtl/>
        </w:rPr>
        <w:t xml:space="preserve"> ، ج 3 ، ص 15 ( صدر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 البَطْش » : الأخذ القويّ الشديد. </w:t>
      </w:r>
      <w:r w:rsidR="008A74EB" w:rsidRPr="00993B55">
        <w:rPr>
          <w:rStyle w:val="libFootnoteBoldChar"/>
          <w:rtl/>
        </w:rPr>
        <w:t>النهاية</w:t>
      </w:r>
      <w:r w:rsidR="008A74EB" w:rsidRPr="00C9040A">
        <w:rPr>
          <w:rtl/>
        </w:rPr>
        <w:t xml:space="preserve"> ، ج 1 ، ص 135 ( بطش )</w:t>
      </w:r>
      <w:r w:rsidR="008A74EB">
        <w:rPr>
          <w:rtl/>
        </w:rPr>
        <w:t>.</w:t>
      </w:r>
    </w:p>
    <w:p w:rsidR="008A74EB" w:rsidRPr="004A4E41" w:rsidRDefault="006C577F" w:rsidP="004A4E41">
      <w:pPr>
        <w:pStyle w:val="libFootnote0"/>
        <w:rPr>
          <w:rStyle w:val="libFootnote0Char"/>
          <w:rtl/>
        </w:rPr>
      </w:pPr>
      <w:r>
        <w:rPr>
          <w:rtl/>
        </w:rPr>
        <w:t>(5).</w:t>
      </w:r>
      <w:r w:rsidR="008A74EB" w:rsidRPr="00C9040A">
        <w:rPr>
          <w:rtl/>
        </w:rPr>
        <w:t xml:space="preserve"> في الوافي : « الباءة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 والباه ، في بعض النسخ بدون الهمزة ، وفي بعضها بها »</w:t>
      </w:r>
      <w:r w:rsidR="008A74EB">
        <w:rPr>
          <w:rtl/>
        </w:rPr>
        <w:t>.</w:t>
      </w:r>
      <w:r w:rsidR="008A74EB" w:rsidRPr="00C9040A">
        <w:rPr>
          <w:rtl/>
        </w:rPr>
        <w:t xml:space="preserve"> وقال‌الجوهري : « الباه مثال الجاه : لغة في الباءة وهي الجماع »</w:t>
      </w:r>
      <w:r w:rsidR="008A74EB">
        <w:rPr>
          <w:rtl/>
        </w:rPr>
        <w:t>.</w:t>
      </w:r>
      <w:r w:rsidR="008A74EB" w:rsidRPr="00C9040A">
        <w:rPr>
          <w:rtl/>
        </w:rPr>
        <w:t xml:space="preserve"> </w:t>
      </w:r>
      <w:r w:rsidR="008A74EB" w:rsidRPr="00993B55">
        <w:rPr>
          <w:rStyle w:val="libFootnoteBoldChar"/>
          <w:rtl/>
        </w:rPr>
        <w:t>الصحاح</w:t>
      </w:r>
      <w:r w:rsidR="008A74EB" w:rsidRPr="00C9040A">
        <w:rPr>
          <w:rtl/>
        </w:rPr>
        <w:t xml:space="preserve"> ، ج 6 ، ص 2228 ( بوه )</w:t>
      </w:r>
      <w:r w:rsidR="008A74EB">
        <w:rPr>
          <w:rtl/>
        </w:rPr>
        <w:t>.</w:t>
      </w:r>
    </w:p>
    <w:tbl>
      <w:tblPr>
        <w:tblStyle w:val="TableGrid"/>
        <w:bidiVisual/>
        <w:tblW w:w="0" w:type="auto"/>
        <w:tblLook w:val="04A0" w:firstRow="1" w:lastRow="0" w:firstColumn="1" w:lastColumn="0" w:noHBand="0" w:noVBand="1"/>
      </w:tblPr>
      <w:tblGrid>
        <w:gridCol w:w="4006"/>
        <w:gridCol w:w="4006"/>
      </w:tblGrid>
      <w:tr w:rsidR="00F54441" w:rsidTr="00F54441">
        <w:tc>
          <w:tcPr>
            <w:tcW w:w="4006" w:type="dxa"/>
          </w:tcPr>
          <w:p w:rsidR="00F54441" w:rsidRDefault="00F54441" w:rsidP="004A4E41">
            <w:pPr>
              <w:pStyle w:val="libFootnote0"/>
              <w:rPr>
                <w:rtl/>
              </w:rPr>
            </w:pPr>
            <w:r>
              <w:rPr>
                <w:rtl/>
              </w:rPr>
              <w:t xml:space="preserve">(6). </w:t>
            </w:r>
            <w:r w:rsidRPr="00C9040A">
              <w:rPr>
                <w:rtl/>
              </w:rPr>
              <w:t xml:space="preserve">في « ز » </w:t>
            </w:r>
            <w:r>
              <w:rPr>
                <w:rtl/>
              </w:rPr>
              <w:t>: -</w:t>
            </w:r>
            <w:r w:rsidRPr="00C9040A">
              <w:rPr>
                <w:rtl/>
              </w:rPr>
              <w:t xml:space="preserve"> « و</w:t>
            </w:r>
            <w:r>
              <w:rPr>
                <w:rFonts w:hint="cs"/>
                <w:rtl/>
              </w:rPr>
              <w:t xml:space="preserve"> </w:t>
            </w:r>
            <w:r w:rsidRPr="00C9040A">
              <w:rPr>
                <w:rtl/>
              </w:rPr>
              <w:t>»</w:t>
            </w:r>
            <w:r>
              <w:rPr>
                <w:rtl/>
              </w:rPr>
              <w:t>.</w:t>
            </w:r>
          </w:p>
        </w:tc>
        <w:tc>
          <w:tcPr>
            <w:tcW w:w="4006" w:type="dxa"/>
          </w:tcPr>
          <w:p w:rsidR="00F54441" w:rsidRDefault="00F54441" w:rsidP="004A4E41">
            <w:pPr>
              <w:pStyle w:val="libFootnote0"/>
              <w:rPr>
                <w:rtl/>
              </w:rPr>
            </w:pPr>
            <w:r>
              <w:rPr>
                <w:rtl/>
              </w:rPr>
              <w:t>(7).</w:t>
            </w:r>
            <w:r w:rsidRPr="00C9040A">
              <w:rPr>
                <w:rtl/>
              </w:rPr>
              <w:t xml:space="preserve"> في « ف » : « بها »</w:t>
            </w:r>
            <w:r>
              <w:rPr>
                <w:rtl/>
              </w:rPr>
              <w:t>.</w:t>
            </w:r>
          </w:p>
        </w:tc>
      </w:tr>
      <w:tr w:rsidR="00F54441" w:rsidTr="00F54441">
        <w:tc>
          <w:tcPr>
            <w:tcW w:w="4006" w:type="dxa"/>
          </w:tcPr>
          <w:p w:rsidR="00F54441" w:rsidRDefault="00F54441" w:rsidP="004A4E41">
            <w:pPr>
              <w:pStyle w:val="libFootnote0"/>
              <w:rPr>
                <w:rtl/>
              </w:rPr>
            </w:pPr>
            <w:r>
              <w:rPr>
                <w:rtl/>
              </w:rPr>
              <w:t>(8).</w:t>
            </w:r>
            <w:r w:rsidRPr="00C9040A">
              <w:rPr>
                <w:rtl/>
              </w:rPr>
              <w:t xml:space="preserve"> في « ف » : + « الله »</w:t>
            </w:r>
            <w:r>
              <w:rPr>
                <w:rtl/>
              </w:rPr>
              <w:t>.</w:t>
            </w:r>
          </w:p>
        </w:tc>
        <w:tc>
          <w:tcPr>
            <w:tcW w:w="4006" w:type="dxa"/>
          </w:tcPr>
          <w:p w:rsidR="00F54441" w:rsidRDefault="00F54441" w:rsidP="004A4E41">
            <w:pPr>
              <w:pStyle w:val="libFootnote0"/>
              <w:rPr>
                <w:rtl/>
              </w:rPr>
            </w:pPr>
            <w:r>
              <w:rPr>
                <w:rtl/>
              </w:rPr>
              <w:t>(9).</w:t>
            </w:r>
            <w:r w:rsidRPr="00C9040A">
              <w:rPr>
                <w:rtl/>
              </w:rPr>
              <w:t xml:space="preserve"> في « ب » : « العين »</w:t>
            </w:r>
            <w:r>
              <w:rPr>
                <w:rtl/>
              </w:rPr>
              <w:t>.</w:t>
            </w:r>
          </w:p>
        </w:tc>
      </w:tr>
    </w:tbl>
    <w:p w:rsidR="008A74EB" w:rsidRPr="00C9040A" w:rsidRDefault="006C577F" w:rsidP="004A4E41">
      <w:pPr>
        <w:pStyle w:val="libFootnote0"/>
        <w:rPr>
          <w:rtl/>
          <w:lang w:bidi="fa-IR"/>
        </w:rPr>
      </w:pPr>
      <w:r>
        <w:rPr>
          <w:rtl/>
        </w:rPr>
        <w:t>(10).</w:t>
      </w:r>
      <w:r w:rsidR="008A74EB" w:rsidRPr="00C9040A">
        <w:rPr>
          <w:rtl/>
        </w:rPr>
        <w:t xml:space="preserve"> في « ب » : « العين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في « ف ، بس » : « والإقرار »</w:t>
      </w:r>
      <w:r w:rsidR="008A74EB">
        <w:rPr>
          <w:rtl/>
        </w:rPr>
        <w:t>.</w:t>
      </w:r>
      <w:r w:rsidR="008A74EB" w:rsidRPr="00C9040A">
        <w:rPr>
          <w:rtl/>
        </w:rPr>
        <w:t xml:space="preserve"> وفي حاشية « ز » : + « بالله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وَلَا وَلَداً ، وَأَنَّ مُحَمَّداً عَبْدُهُ وَرَسُولُهُ</w:t>
      </w:r>
      <w:r>
        <w:rPr>
          <w:rtl/>
          <w:lang w:bidi="fa-IR"/>
        </w:rPr>
        <w:t xml:space="preserve"> </w:t>
      </w:r>
      <w:r w:rsidR="0084262C">
        <w:rPr>
          <w:rtl/>
          <w:lang w:bidi="fa-IR"/>
        </w:rPr>
        <w:t>-</w:t>
      </w:r>
      <w:r>
        <w:rPr>
          <w:rtl/>
          <w:lang w:bidi="fa-IR"/>
        </w:rPr>
        <w:t xml:space="preserve"> </w:t>
      </w:r>
      <w:r w:rsidRPr="00C9040A">
        <w:rPr>
          <w:rtl/>
          <w:lang w:bidi="fa-IR"/>
        </w:rPr>
        <w:t xml:space="preserve">صَلَوَاتُ اللهِ عَلَيْهِ وَآلِهِ </w:t>
      </w:r>
      <w:r w:rsidR="006C577F" w:rsidRPr="006C577F">
        <w:rPr>
          <w:rStyle w:val="libFootnotenumChar"/>
          <w:rtl/>
        </w:rPr>
        <w:t>(1)</w:t>
      </w:r>
      <w:r w:rsidR="0084262C">
        <w:rPr>
          <w:rtl/>
          <w:lang w:bidi="fa-IR"/>
        </w:rPr>
        <w:t>-</w:t>
      </w:r>
      <w:r>
        <w:rPr>
          <w:rtl/>
          <w:lang w:bidi="fa-IR"/>
        </w:rPr>
        <w:t xml:space="preserve"> </w:t>
      </w:r>
      <w:r w:rsidRPr="00C9040A">
        <w:rPr>
          <w:rtl/>
          <w:lang w:bidi="fa-IR"/>
        </w:rPr>
        <w:t xml:space="preserve">وَالْإِقْرَارُ بِمَا جَاءَ مِنْ عِنْدِ اللهِ مِنْ نَبِيٍّ أَوْ </w:t>
      </w:r>
      <w:r w:rsidR="006C577F" w:rsidRPr="006C577F">
        <w:rPr>
          <w:rStyle w:val="libFootnotenumChar"/>
          <w:rtl/>
        </w:rPr>
        <w:t>(2)</w:t>
      </w:r>
      <w:r w:rsidRPr="00C9040A">
        <w:rPr>
          <w:rtl/>
          <w:lang w:bidi="fa-IR"/>
        </w:rPr>
        <w:t xml:space="preserve"> كِتَابٍ.</w:t>
      </w:r>
    </w:p>
    <w:p w:rsidR="008A74EB" w:rsidRPr="00C9040A" w:rsidRDefault="008A74EB" w:rsidP="008A74EB">
      <w:pPr>
        <w:pStyle w:val="libNormal"/>
        <w:rPr>
          <w:rtl/>
          <w:lang w:bidi="fa-IR"/>
        </w:rPr>
      </w:pPr>
      <w:r w:rsidRPr="00C9040A">
        <w:rPr>
          <w:rtl/>
          <w:lang w:bidi="fa-IR"/>
        </w:rPr>
        <w:t xml:space="preserve">فَذلِكَ مَا فَرَضَ اللهُ عَلَى الْقَلْبِ مِنَ الْإِقْرَارِ وَالْمَعْرِفَةِ وَهُوَ عَمَلُهُ ، وَهُوَ قَوْلُ اللهِ عَزَّ وَجَلَّ : </w:t>
      </w:r>
      <w:r w:rsidRPr="0003660B">
        <w:rPr>
          <w:rStyle w:val="libAlaemChar"/>
          <w:rtl/>
        </w:rPr>
        <w:t>(</w:t>
      </w:r>
      <w:r w:rsidR="00C72391">
        <w:rPr>
          <w:rStyle w:val="libAieChar"/>
          <w:rtl/>
        </w:rPr>
        <w:t xml:space="preserve"> إِل</w:t>
      </w:r>
      <w:r w:rsidR="00C72391">
        <w:rPr>
          <w:rStyle w:val="libAieChar"/>
          <w:rFonts w:hint="cs"/>
          <w:rtl/>
        </w:rPr>
        <w:t>ّ</w:t>
      </w:r>
      <w:r w:rsidR="00C72391">
        <w:rPr>
          <w:rStyle w:val="libAieChar"/>
          <w:rtl/>
        </w:rPr>
        <w:t>ا</w:t>
      </w:r>
      <w:r w:rsidRPr="006A2246">
        <w:rPr>
          <w:rStyle w:val="libAieChar"/>
          <w:rtl/>
        </w:rPr>
        <w:t xml:space="preserve"> مَنْ أُكْرِهَ وَقَلْبُهُ مُطْمَئِنٌّ بِالْإِيمانِ وَلكِنْ مَنْ شَرَحَ بِالْكُفْرِ صَدْراً </w:t>
      </w:r>
      <w:r w:rsidRPr="0003660B">
        <w:rPr>
          <w:rStyle w:val="libAlaemChar"/>
          <w:rtl/>
        </w:rPr>
        <w:t>)</w:t>
      </w:r>
      <w:r w:rsidRPr="00C9040A">
        <w:rPr>
          <w:rtl/>
          <w:lang w:bidi="fa-IR"/>
        </w:rPr>
        <w:t xml:space="preserve"> </w:t>
      </w:r>
      <w:r w:rsidR="006C577F" w:rsidRPr="006C577F">
        <w:rPr>
          <w:rStyle w:val="libFootnotenumChar"/>
          <w:rtl/>
        </w:rPr>
        <w:t>(3)</w:t>
      </w:r>
      <w:r w:rsidRPr="00C9040A">
        <w:rPr>
          <w:rtl/>
          <w:lang w:bidi="fa-IR"/>
        </w:rPr>
        <w:t xml:space="preserve"> وَقَالَ : </w:t>
      </w:r>
      <w:r w:rsidRPr="0003660B">
        <w:rPr>
          <w:rStyle w:val="libAlaemChar"/>
          <w:rtl/>
        </w:rPr>
        <w:t>(</w:t>
      </w:r>
      <w:r w:rsidRPr="006A2246">
        <w:rPr>
          <w:rStyle w:val="libAieChar"/>
          <w:rtl/>
        </w:rPr>
        <w:t xml:space="preserve"> أَلا بِذِكْرِ اللهِ تَطْمَئِنُّ الْقُلُوبُ </w:t>
      </w:r>
      <w:r w:rsidRPr="0003660B">
        <w:rPr>
          <w:rStyle w:val="libAlaemChar"/>
          <w:rtl/>
        </w:rPr>
        <w:t>)</w:t>
      </w:r>
      <w:r w:rsidRPr="00C9040A">
        <w:rPr>
          <w:rtl/>
          <w:lang w:bidi="fa-IR"/>
        </w:rPr>
        <w:t xml:space="preserve"> </w:t>
      </w:r>
      <w:r w:rsidR="006C577F" w:rsidRPr="006C577F">
        <w:rPr>
          <w:rStyle w:val="libFootnotenumChar"/>
          <w:rtl/>
        </w:rPr>
        <w:t>(4)</w:t>
      </w:r>
      <w:r w:rsidRPr="00C9040A">
        <w:rPr>
          <w:rtl/>
          <w:lang w:bidi="fa-IR"/>
        </w:rPr>
        <w:t xml:space="preserve"> وَقَالَ : </w:t>
      </w:r>
      <w:r w:rsidRPr="0003660B">
        <w:rPr>
          <w:rStyle w:val="libAlaemChar"/>
          <w:rtl/>
        </w:rPr>
        <w:t>(</w:t>
      </w:r>
      <w:r w:rsidRPr="006A2246">
        <w:rPr>
          <w:rStyle w:val="libAieChar"/>
          <w:rtl/>
        </w:rPr>
        <w:t xml:space="preserve"> الَّذِينَ قالُوا آمَنّا</w:t>
      </w:r>
      <w:r>
        <w:rPr>
          <w:rFonts w:hint="cs"/>
          <w:rtl/>
        </w:rPr>
        <w:t xml:space="preserve"> </w:t>
      </w:r>
      <w:r w:rsidR="006C577F" w:rsidRPr="006C577F">
        <w:rPr>
          <w:rStyle w:val="libFootnotenumChar"/>
          <w:rtl/>
        </w:rPr>
        <w:t>(5)</w:t>
      </w:r>
      <w:r>
        <w:rPr>
          <w:rFonts w:hint="cs"/>
          <w:rtl/>
        </w:rPr>
        <w:t xml:space="preserve"> </w:t>
      </w:r>
      <w:r w:rsidRPr="006A2246">
        <w:rPr>
          <w:rStyle w:val="libAieChar"/>
          <w:rtl/>
        </w:rPr>
        <w:t xml:space="preserve">بِأَفْواهِهِمْ وَلَمْ تُؤْمِنْ قُلُوبُهُمْ </w:t>
      </w:r>
      <w:r w:rsidRPr="0003660B">
        <w:rPr>
          <w:rStyle w:val="libAlaemChar"/>
          <w:rtl/>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 xml:space="preserve">وَقَالَ : </w:t>
      </w:r>
      <w:r w:rsidRPr="0003660B">
        <w:rPr>
          <w:rStyle w:val="libAlaemChar"/>
          <w:rtl/>
        </w:rPr>
        <w:t>(</w:t>
      </w:r>
      <w:r w:rsidRPr="006A2246">
        <w:rPr>
          <w:rStyle w:val="libAieChar"/>
          <w:rtl/>
        </w:rPr>
        <w:t xml:space="preserve"> وَإِنْ تُبْدُوا ما فِي أَنْفُسِكُمْ أَوْ تُخْفُوهُ يُحاسِبْكُمْ بِهِ اللهُ فَيَغْفِرُ لِمَنْ يَشاءُ وَيُعَذِّبُ مَنْ يَشاءُ </w:t>
      </w:r>
      <w:r w:rsidRPr="0003660B">
        <w:rPr>
          <w:rStyle w:val="libAlaemChar"/>
          <w:rtl/>
        </w:rPr>
        <w:t>)</w:t>
      </w:r>
      <w:r w:rsidRPr="00C9040A">
        <w:rPr>
          <w:rtl/>
          <w:lang w:bidi="fa-IR"/>
        </w:rPr>
        <w:t xml:space="preserve"> </w:t>
      </w:r>
      <w:r w:rsidR="006C577F" w:rsidRPr="006C577F">
        <w:rPr>
          <w:rStyle w:val="libFootnotenumChar"/>
          <w:rtl/>
        </w:rPr>
        <w:t>(7)</w:t>
      </w:r>
      <w:r w:rsidRPr="00C9040A">
        <w:rPr>
          <w:rtl/>
          <w:lang w:bidi="fa-IR"/>
        </w:rPr>
        <w:t xml:space="preserve"> فَذلِكَ مَا فَرَضَ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عَلَى الْقَلْبِ مِنَ الْإِقْرَارِ وَالْمَعْرِفَةِ ، وَهُوَ عَمَلُهُ ، وَهُوَ رَأْسُ الْإِيمَانِ.</w:t>
      </w:r>
    </w:p>
    <w:p w:rsidR="008A74EB" w:rsidRPr="00C9040A" w:rsidRDefault="008A74EB" w:rsidP="008A74EB">
      <w:pPr>
        <w:pStyle w:val="libNormal"/>
        <w:rPr>
          <w:rtl/>
          <w:lang w:bidi="fa-IR"/>
        </w:rPr>
      </w:pPr>
      <w:r w:rsidRPr="00C9040A">
        <w:rPr>
          <w:rtl/>
          <w:lang w:bidi="fa-IR"/>
        </w:rPr>
        <w:t xml:space="preserve">وَفَرَضَ اللهُ عَلَى اللِّسَانِ الْقَوْلَ وَالتَّعْبِيرَ عَنِ الْقَلْبِ بِمَا عَقَدَ </w:t>
      </w:r>
      <w:r w:rsidR="006C577F" w:rsidRPr="006C577F">
        <w:rPr>
          <w:rStyle w:val="libFootnotenumChar"/>
          <w:rtl/>
        </w:rPr>
        <w:t>(8)</w:t>
      </w:r>
      <w:r w:rsidRPr="00C9040A">
        <w:rPr>
          <w:rtl/>
          <w:lang w:bidi="fa-IR"/>
        </w:rPr>
        <w:t xml:space="preserve"> عَلَيْهِ </w:t>
      </w:r>
      <w:r w:rsidR="006C577F" w:rsidRPr="006C577F">
        <w:rPr>
          <w:rStyle w:val="libFootnotenumChar"/>
          <w:rtl/>
        </w:rPr>
        <w:t>(9)</w:t>
      </w:r>
      <w:r w:rsidRPr="00C9040A">
        <w:rPr>
          <w:rtl/>
          <w:lang w:bidi="fa-IR"/>
        </w:rPr>
        <w:t xml:space="preserve"> وَأَقَرَّ بِهِ ؛ قَالَ اللهُ تَبَارَكَ وَتَعَالى </w:t>
      </w:r>
      <w:r w:rsidR="006C577F" w:rsidRPr="006C577F">
        <w:rPr>
          <w:rStyle w:val="libFootnotenumChar"/>
          <w:rtl/>
        </w:rPr>
        <w:t>(10)</w:t>
      </w:r>
      <w:r w:rsidRPr="00C9040A">
        <w:rPr>
          <w:rtl/>
          <w:lang w:bidi="fa-IR"/>
        </w:rPr>
        <w:t xml:space="preserve"> : </w:t>
      </w:r>
      <w:r w:rsidRPr="0003660B">
        <w:rPr>
          <w:rStyle w:val="libAlaemChar"/>
          <w:rtl/>
        </w:rPr>
        <w:t>(</w:t>
      </w:r>
      <w:r w:rsidRPr="006A2246">
        <w:rPr>
          <w:rStyle w:val="libAieChar"/>
          <w:rtl/>
        </w:rPr>
        <w:t xml:space="preserve"> وَقُولُوا لِلنّاسِ حُسْناً </w:t>
      </w:r>
      <w:r w:rsidRPr="0003660B">
        <w:rPr>
          <w:rStyle w:val="libAlaemChar"/>
          <w:rtl/>
        </w:rPr>
        <w:t>)</w:t>
      </w:r>
      <w:r w:rsidRPr="00C9040A">
        <w:rPr>
          <w:rtl/>
          <w:lang w:bidi="fa-IR"/>
        </w:rPr>
        <w:t xml:space="preserve"> </w:t>
      </w:r>
      <w:r w:rsidR="006C577F" w:rsidRPr="006C577F">
        <w:rPr>
          <w:rStyle w:val="libFootnotenumChar"/>
          <w:rtl/>
        </w:rPr>
        <w:t>(11)</w:t>
      </w:r>
      <w:r w:rsidRPr="00C9040A">
        <w:rPr>
          <w:rtl/>
          <w:lang w:bidi="fa-IR"/>
        </w:rPr>
        <w:t xml:space="preserve"> قَالَ : قُولُوا آمَنّا بِاللهِ وَمَا أُنْزِلَ إِلَيْنا وَأُنْزِلَ إِلَيْكُمْ وَإِلهُنا وَإِلهُكُمْ واحِدٌ وَنَحْنُ لَهُ مُسْلِمُونَ » </w:t>
      </w:r>
      <w:r w:rsidR="006C577F" w:rsidRPr="006C577F">
        <w:rPr>
          <w:rStyle w:val="libFootnotenumChar"/>
          <w:rtl/>
        </w:rPr>
        <w:t>(12)</w:t>
      </w:r>
      <w:r w:rsidRPr="00C9040A">
        <w:rPr>
          <w:rtl/>
          <w:lang w:bidi="fa-IR"/>
        </w:rPr>
        <w:t xml:space="preserve"> فَهذَا مَا فَرَضَ اللهُ عَلَى‌اللِّسَانِ وَهُوَ عَمَلُهُ.</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 ب ، ص ، بس ، بف » : « صلوات الله عليه »</w:t>
      </w:r>
      <w:r w:rsidR="008A74EB">
        <w:rPr>
          <w:rtl/>
        </w:rPr>
        <w:t>.</w:t>
      </w:r>
      <w:r w:rsidR="008A74EB" w:rsidRPr="00C9040A">
        <w:rPr>
          <w:rtl/>
        </w:rPr>
        <w:t xml:space="preserve"> وفي « ز ، بر » : « </w:t>
      </w:r>
      <w:r w:rsidR="006D3162" w:rsidRPr="00C72391">
        <w:rPr>
          <w:rtl/>
        </w:rPr>
        <w:t>صلى</w:t>
      </w:r>
      <w:r w:rsidR="00C72391">
        <w:rPr>
          <w:rFonts w:hint="cs"/>
          <w:rtl/>
        </w:rPr>
        <w:t xml:space="preserve"> </w:t>
      </w:r>
      <w:r w:rsidR="006D3162" w:rsidRPr="00C72391">
        <w:rPr>
          <w:rtl/>
        </w:rPr>
        <w:t>‌الله</w:t>
      </w:r>
      <w:r w:rsidR="00C72391">
        <w:rPr>
          <w:rFonts w:hint="cs"/>
          <w:rtl/>
        </w:rPr>
        <w:t xml:space="preserve"> </w:t>
      </w:r>
      <w:r w:rsidR="006D3162" w:rsidRPr="00C72391">
        <w:rPr>
          <w:rtl/>
        </w:rPr>
        <w:t>‌عليه</w:t>
      </w:r>
      <w:r w:rsidR="00C72391">
        <w:rPr>
          <w:rFonts w:hint="cs"/>
          <w:rtl/>
        </w:rPr>
        <w:t xml:space="preserve"> </w:t>
      </w:r>
      <w:r w:rsidR="006D3162" w:rsidRPr="00C72391">
        <w:rPr>
          <w:rtl/>
        </w:rPr>
        <w:t>‌و</w:t>
      </w:r>
      <w:r w:rsidR="00C72391">
        <w:rPr>
          <w:rFonts w:hint="cs"/>
          <w:rtl/>
        </w:rPr>
        <w:t xml:space="preserve"> </w:t>
      </w:r>
      <w:r w:rsidR="006D3162" w:rsidRPr="00C72391">
        <w:rPr>
          <w:rtl/>
        </w:rPr>
        <w:t>آله</w:t>
      </w:r>
      <w:r w:rsidR="008A74EB" w:rsidRPr="00C9040A">
        <w:rPr>
          <w:rtl/>
        </w:rPr>
        <w:t xml:space="preserve"> »</w:t>
      </w:r>
      <w:r w:rsidR="008A74EB">
        <w:rPr>
          <w:rtl/>
        </w:rPr>
        <w:t>.</w:t>
      </w:r>
      <w:r w:rsidR="008A74EB" w:rsidRPr="00C9040A">
        <w:rPr>
          <w:rtl/>
        </w:rPr>
        <w:t xml:space="preserve"> وفي « ف » : « صلوات الله‌</w:t>
      </w:r>
      <w:r w:rsidR="00C72391">
        <w:rPr>
          <w:rFonts w:hint="cs"/>
          <w:rtl/>
        </w:rPr>
        <w:t xml:space="preserve"> </w:t>
      </w:r>
      <w:r w:rsidR="008A74EB" w:rsidRPr="00C9040A">
        <w:rPr>
          <w:rtl/>
        </w:rPr>
        <w:t>و</w:t>
      </w:r>
      <w:r w:rsidR="00C72391">
        <w:rPr>
          <w:rFonts w:hint="cs"/>
          <w:rtl/>
        </w:rPr>
        <w:t xml:space="preserve"> </w:t>
      </w:r>
      <w:r w:rsidR="008A74EB" w:rsidRPr="00C9040A">
        <w:rPr>
          <w:rtl/>
        </w:rPr>
        <w:t>سلامه عليه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ب » : « و</w:t>
      </w:r>
      <w:r w:rsidR="008A74EB">
        <w:rPr>
          <w:rFonts w:hint="cs"/>
          <w:rtl/>
        </w:rPr>
        <w:t xml:space="preserve"> </w:t>
      </w:r>
      <w:r w:rsidR="008A74EB" w:rsidRPr="00C9040A">
        <w:rPr>
          <w:rtl/>
        </w:rPr>
        <w:t>»</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النحل (16) : 106. وفي الوسائل </w:t>
      </w:r>
      <w:r w:rsidR="008A74EB">
        <w:rPr>
          <w:rtl/>
        </w:rPr>
        <w:t xml:space="preserve">: </w:t>
      </w:r>
      <w:r w:rsidR="0084262C">
        <w:rPr>
          <w:rtl/>
        </w:rPr>
        <w:t>-</w:t>
      </w:r>
      <w:r w:rsidR="008A74EB" w:rsidRPr="00C9040A">
        <w:rPr>
          <w:rtl/>
        </w:rPr>
        <w:t xml:space="preserve"> </w:t>
      </w:r>
      <w:r w:rsidR="00C72391" w:rsidRPr="00B866D3">
        <w:rPr>
          <w:rStyle w:val="libFootnoteAlaemChar"/>
          <w:rFonts w:hint="cs"/>
          <w:rtl/>
        </w:rPr>
        <w:t>(</w:t>
      </w:r>
      <w:r w:rsidR="008A74EB" w:rsidRPr="00C72391">
        <w:rPr>
          <w:rStyle w:val="libFootnoteAieChar"/>
          <w:rtl/>
        </w:rPr>
        <w:t xml:space="preserve"> وَل</w:t>
      </w:r>
      <w:r w:rsidR="00C72391">
        <w:rPr>
          <w:rStyle w:val="libFootnoteAieChar"/>
          <w:rFonts w:hint="cs"/>
          <w:rtl/>
        </w:rPr>
        <w:t>َ</w:t>
      </w:r>
      <w:r w:rsidR="008A74EB" w:rsidRPr="00C72391">
        <w:rPr>
          <w:rStyle w:val="libFootnoteAieChar"/>
          <w:rtl/>
        </w:rPr>
        <w:t xml:space="preserve">كِن مَّن شَرَحَ بِالْكُفْرِ صَدْرًا </w:t>
      </w:r>
      <w:r w:rsidR="00C72391" w:rsidRPr="00B866D3">
        <w:rPr>
          <w:rStyle w:val="libFootnoteAlaemChar"/>
          <w:rFonts w:hint="cs"/>
          <w:rtl/>
        </w:rPr>
        <w:t>)</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الرعد (13) : 28.</w:t>
      </w:r>
    </w:p>
    <w:p w:rsidR="008A74EB" w:rsidRPr="004A4E41" w:rsidRDefault="006C577F" w:rsidP="004A4E41">
      <w:pPr>
        <w:pStyle w:val="libFootnote0"/>
        <w:rPr>
          <w:rStyle w:val="libFootnote0Char"/>
          <w:rtl/>
        </w:rPr>
      </w:pPr>
      <w:r>
        <w:rPr>
          <w:rtl/>
        </w:rPr>
        <w:t>(5).</w:t>
      </w:r>
      <w:r w:rsidR="008A74EB" w:rsidRPr="00C9040A">
        <w:rPr>
          <w:rtl/>
        </w:rPr>
        <w:t xml:space="preserve"> هكذا في القرآن ونسخة الوسائل. وفي سائر النسخ والمطبوع : « الذين آمنوا »</w:t>
      </w:r>
      <w:r w:rsidR="008A74EB">
        <w:rPr>
          <w:rtl/>
        </w:rPr>
        <w:t>.</w:t>
      </w:r>
    </w:p>
    <w:tbl>
      <w:tblPr>
        <w:tblStyle w:val="TableGrid"/>
        <w:bidiVisual/>
        <w:tblW w:w="0" w:type="auto"/>
        <w:tblLook w:val="04A0" w:firstRow="1" w:lastRow="0" w:firstColumn="1" w:lastColumn="0" w:noHBand="0" w:noVBand="1"/>
      </w:tblPr>
      <w:tblGrid>
        <w:gridCol w:w="4006"/>
        <w:gridCol w:w="4006"/>
      </w:tblGrid>
      <w:tr w:rsidR="00C72391" w:rsidTr="00C72391">
        <w:tc>
          <w:tcPr>
            <w:tcW w:w="4006" w:type="dxa"/>
          </w:tcPr>
          <w:p w:rsidR="00C72391" w:rsidRDefault="00C72391" w:rsidP="004A4E41">
            <w:pPr>
              <w:pStyle w:val="libFootnote0"/>
              <w:rPr>
                <w:rtl/>
              </w:rPr>
            </w:pPr>
            <w:r>
              <w:rPr>
                <w:rtl/>
              </w:rPr>
              <w:t xml:space="preserve">(6). </w:t>
            </w:r>
            <w:r w:rsidRPr="00C9040A">
              <w:rPr>
                <w:rtl/>
              </w:rPr>
              <w:t xml:space="preserve">المائدة </w:t>
            </w:r>
            <w:r w:rsidR="00D91E1A">
              <w:rPr>
                <w:rtl/>
              </w:rPr>
              <w:t>(5)</w:t>
            </w:r>
            <w:r w:rsidRPr="00C9040A">
              <w:rPr>
                <w:rtl/>
              </w:rPr>
              <w:t xml:space="preserve"> : 41.</w:t>
            </w:r>
          </w:p>
        </w:tc>
        <w:tc>
          <w:tcPr>
            <w:tcW w:w="4006" w:type="dxa"/>
          </w:tcPr>
          <w:p w:rsidR="00C72391" w:rsidRDefault="00C72391" w:rsidP="004A4E41">
            <w:pPr>
              <w:pStyle w:val="libFootnote0"/>
              <w:rPr>
                <w:rtl/>
              </w:rPr>
            </w:pPr>
            <w:r>
              <w:rPr>
                <w:rtl/>
              </w:rPr>
              <w:t>(7).</w:t>
            </w:r>
            <w:r w:rsidRPr="00C9040A">
              <w:rPr>
                <w:rtl/>
              </w:rPr>
              <w:t xml:space="preserve"> البقرة </w:t>
            </w:r>
            <w:r w:rsidR="00D91E1A">
              <w:rPr>
                <w:rtl/>
              </w:rPr>
              <w:t>(2)</w:t>
            </w:r>
            <w:r w:rsidRPr="00C9040A">
              <w:rPr>
                <w:rtl/>
              </w:rPr>
              <w:t xml:space="preserve"> : 284.</w:t>
            </w:r>
          </w:p>
        </w:tc>
      </w:tr>
    </w:tbl>
    <w:p w:rsidR="008A74EB" w:rsidRPr="00C9040A" w:rsidRDefault="006C577F" w:rsidP="004A4E41">
      <w:pPr>
        <w:pStyle w:val="libFootnote0"/>
        <w:rPr>
          <w:rtl/>
          <w:lang w:bidi="fa-IR"/>
        </w:rPr>
      </w:pPr>
      <w:r>
        <w:rPr>
          <w:rtl/>
        </w:rPr>
        <w:t>(8).</w:t>
      </w:r>
      <w:r w:rsidR="008A74EB" w:rsidRPr="00C9040A">
        <w:rPr>
          <w:rtl/>
        </w:rPr>
        <w:t xml:space="preserve"> « العقد » : الجمع بين أطراف الشي‌ء. ويستعمل ذلك في الأجسام الصُلبة ، كعقد الحبل ، وعقد البناء ، ثمّ</w:t>
      </w:r>
      <w:r w:rsidR="00D91E1A">
        <w:rPr>
          <w:rFonts w:hint="cs"/>
          <w:rtl/>
        </w:rPr>
        <w:t xml:space="preserve"> </w:t>
      </w:r>
      <w:r w:rsidR="008A74EB" w:rsidRPr="00C9040A">
        <w:rPr>
          <w:rtl/>
        </w:rPr>
        <w:t xml:space="preserve">‌يستعار ذلك للمعاني نحو : عقد البيع. واعتقدت كذا : عقدت عليه القلب والضمير. </w:t>
      </w:r>
      <w:r w:rsidR="008A74EB" w:rsidRPr="00993B55">
        <w:rPr>
          <w:rStyle w:val="libFootnoteBoldChar"/>
          <w:rtl/>
        </w:rPr>
        <w:t>المفردات</w:t>
      </w:r>
      <w:r w:rsidR="008A74EB" w:rsidRPr="00C9040A">
        <w:rPr>
          <w:rtl/>
        </w:rPr>
        <w:t xml:space="preserve"> للراغب ، ص 576 ؛ </w:t>
      </w:r>
      <w:r w:rsidR="008A74EB" w:rsidRPr="00993B55">
        <w:rPr>
          <w:rStyle w:val="libFootnoteBoldChar"/>
          <w:rtl/>
        </w:rPr>
        <w:t>المصباح المنير</w:t>
      </w:r>
      <w:r w:rsidR="008A74EB" w:rsidRPr="00C9040A">
        <w:rPr>
          <w:rtl/>
        </w:rPr>
        <w:t xml:space="preserve"> ، ص 421 ( عقد )</w:t>
      </w:r>
      <w:r w:rsidR="008A74EB">
        <w:rPr>
          <w:rtl/>
        </w:rPr>
        <w:t>.</w:t>
      </w:r>
      <w:r w:rsidR="00D91E1A">
        <w:rPr>
          <w:rFonts w:hint="cs"/>
          <w:rtl/>
        </w:rPr>
        <w:t xml:space="preserve">                      </w:t>
      </w:r>
      <w:r>
        <w:rPr>
          <w:rtl/>
        </w:rPr>
        <w:t>(9).</w:t>
      </w:r>
      <w:r w:rsidR="008A74EB" w:rsidRPr="00C9040A">
        <w:rPr>
          <w:rtl/>
        </w:rPr>
        <w:t xml:space="preserve"> في « ف » + « ولزمه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 ج ، د ، ز ، ص ، ض ، ف ، بر ، بف » وشرح المازندراني : « تبارك اسمه »</w:t>
      </w:r>
      <w:r w:rsidR="008A74EB">
        <w:rPr>
          <w:rtl/>
        </w:rPr>
        <w:t>.</w:t>
      </w:r>
      <w:r w:rsidR="008A74EB" w:rsidRPr="00C9040A">
        <w:rPr>
          <w:rtl/>
        </w:rPr>
        <w:t xml:space="preserve"> وفي « ب ، بس » : « تبارك وتعالى‌اسمه »</w:t>
      </w:r>
      <w:r w:rsidR="008A74EB">
        <w:rPr>
          <w:rtl/>
        </w:rPr>
        <w:t>.</w:t>
      </w:r>
      <w:r w:rsidR="00D91E1A">
        <w:rPr>
          <w:rFonts w:hint="cs"/>
          <w:rtl/>
        </w:rPr>
        <w:t xml:space="preserve">                               </w:t>
      </w:r>
      <w:r w:rsidR="00B866D3">
        <w:rPr>
          <w:rFonts w:hint="cs"/>
          <w:rtl/>
        </w:rPr>
        <w:t xml:space="preserve"> </w:t>
      </w:r>
      <w:r w:rsidR="00D91E1A">
        <w:rPr>
          <w:rFonts w:hint="cs"/>
          <w:rtl/>
        </w:rPr>
        <w:t xml:space="preserve">          </w:t>
      </w:r>
      <w:r>
        <w:rPr>
          <w:rtl/>
        </w:rPr>
        <w:t>(11).</w:t>
      </w:r>
      <w:r w:rsidR="008A74EB" w:rsidRPr="00C9040A">
        <w:rPr>
          <w:rtl/>
        </w:rPr>
        <w:t xml:space="preserve"> البقرة </w:t>
      </w:r>
      <w:r w:rsidR="00D91E1A">
        <w:rPr>
          <w:rtl/>
        </w:rPr>
        <w:t>(2)</w:t>
      </w:r>
      <w:r w:rsidR="008A74EB" w:rsidRPr="00C9040A">
        <w:rPr>
          <w:rtl/>
        </w:rPr>
        <w:t xml:space="preserve"> : 83.</w:t>
      </w:r>
    </w:p>
    <w:p w:rsidR="008A74EB" w:rsidRPr="00C9040A" w:rsidRDefault="006C577F" w:rsidP="004A4E41">
      <w:pPr>
        <w:pStyle w:val="libFootnote0"/>
        <w:rPr>
          <w:rtl/>
          <w:lang w:bidi="fa-IR"/>
        </w:rPr>
      </w:pPr>
      <w:r>
        <w:rPr>
          <w:rtl/>
        </w:rPr>
        <w:t>(12).</w:t>
      </w:r>
      <w:r w:rsidR="008A74EB" w:rsidRPr="00C9040A">
        <w:rPr>
          <w:rtl/>
        </w:rPr>
        <w:t xml:space="preserve"> في </w:t>
      </w:r>
      <w:r w:rsidR="008A74EB" w:rsidRPr="00993B55">
        <w:rPr>
          <w:rStyle w:val="libFootnoteBoldChar"/>
          <w:rtl/>
        </w:rPr>
        <w:t>مرآة العقول</w:t>
      </w:r>
      <w:r w:rsidR="008A74EB" w:rsidRPr="00C9040A">
        <w:rPr>
          <w:rtl/>
        </w:rPr>
        <w:t xml:space="preserve"> : « ثمّ إنّ الآية الثانية ليست في المصاحف هكذا »</w:t>
      </w:r>
      <w:r w:rsidR="008A74EB">
        <w:rPr>
          <w:rtl/>
        </w:rPr>
        <w:t>.</w:t>
      </w:r>
      <w:r w:rsidR="008A74EB" w:rsidRPr="00C9040A">
        <w:rPr>
          <w:rtl/>
        </w:rPr>
        <w:t xml:space="preserve"> ثمّ ذكر الآية 136 من البقرة </w:t>
      </w:r>
      <w:r w:rsidR="00D91E1A">
        <w:rPr>
          <w:rtl/>
        </w:rPr>
        <w:t>(2)</w:t>
      </w:r>
      <w:r w:rsidR="008A74EB" w:rsidRPr="00C9040A">
        <w:rPr>
          <w:rtl/>
        </w:rPr>
        <w:t xml:space="preserve"> ، والآية 46 من العنكبوت (29) وقال : « فالظاهر أنّ التغيير من النسّاخ ، أو نقل الآيتين بالمعنى ، وفي النعماني موافق للُاولى. ولعلّه كان في الخبر الآيتان فأسقطوا عجز الا</w:t>
      </w:r>
      <w:r w:rsidR="004E5871">
        <w:rPr>
          <w:rFonts w:hint="cs"/>
          <w:rtl/>
        </w:rPr>
        <w:t>ُ</w:t>
      </w:r>
      <w:r w:rsidR="008A74EB" w:rsidRPr="00C9040A">
        <w:rPr>
          <w:rtl/>
        </w:rPr>
        <w:t>ولى وصدر الثانية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4E5871">
      <w:pPr>
        <w:pStyle w:val="libNormal"/>
        <w:rPr>
          <w:rtl/>
          <w:lang w:bidi="fa-IR"/>
        </w:rPr>
      </w:pPr>
      <w:r w:rsidRPr="00C9040A">
        <w:rPr>
          <w:rtl/>
          <w:lang w:bidi="fa-IR"/>
        </w:rPr>
        <w:lastRenderedPageBreak/>
        <w:t xml:space="preserve">وَفَرَضَ عَلَى السَّمْعِ أَنْ يَتَنَزَّهَ عَنِ الِاسْتِمَاعِ إِلى مَا حَرَّمَ </w:t>
      </w:r>
      <w:r w:rsidR="006C577F" w:rsidRPr="006C577F">
        <w:rPr>
          <w:rStyle w:val="libFootnotenumChar"/>
          <w:rtl/>
        </w:rPr>
        <w:t>(1)</w:t>
      </w:r>
      <w:r w:rsidRPr="00853746">
        <w:rPr>
          <w:rFonts w:hint="cs"/>
          <w:rtl/>
        </w:rPr>
        <w:t xml:space="preserve"> </w:t>
      </w:r>
      <w:r w:rsidRPr="00C9040A">
        <w:rPr>
          <w:rtl/>
          <w:lang w:bidi="fa-IR"/>
        </w:rPr>
        <w:t>اللهُ ، وَأَنْ يُعْرِضَ عَمَّا لَا يَحِلُّ لَهُ مِمَّا نَهَى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عَنْهُ ، وَالْإِصْغَاءِ إِلى مَا أَسْخَطَ اللهَ عَزَّ وَجَلَّ ، فَقَالَ فِي ذلِكَ : </w:t>
      </w:r>
      <w:r w:rsidRPr="0003660B">
        <w:rPr>
          <w:rStyle w:val="libAlaemChar"/>
          <w:rtl/>
        </w:rPr>
        <w:t>(</w:t>
      </w:r>
      <w:r w:rsidRPr="006A2246">
        <w:rPr>
          <w:rStyle w:val="libAieChar"/>
          <w:rtl/>
        </w:rPr>
        <w:t xml:space="preserve"> وَقَدْ نَزَّلَ عَلَيْكُمْ فِي الْكِتابِ أَنْ إِذا سَمِعْتُمْ آياتِ اللهِ يُكْفَرُ بِها وَيُسْتَهْزَأُ بِها فَلا تَقْعُدُوا مَعَهُمْ حَتّى يَخُوضُوا فِي حَدِيثٍ غَيْرِهِ </w:t>
      </w:r>
      <w:r w:rsidRPr="0003660B">
        <w:rPr>
          <w:rStyle w:val="libAlaemChar"/>
          <w:rtl/>
        </w:rPr>
        <w:t>)</w:t>
      </w:r>
      <w:r w:rsidRPr="00C9040A">
        <w:rPr>
          <w:rtl/>
          <w:lang w:bidi="fa-IR"/>
        </w:rPr>
        <w:t xml:space="preserve"> </w:t>
      </w:r>
      <w:r w:rsidR="006C577F" w:rsidRPr="006C577F">
        <w:rPr>
          <w:rStyle w:val="libFootnotenumChar"/>
          <w:rtl/>
        </w:rPr>
        <w:t>(2)</w:t>
      </w:r>
      <w:r w:rsidRPr="00C9040A">
        <w:rPr>
          <w:rtl/>
          <w:lang w:bidi="fa-IR"/>
        </w:rPr>
        <w:t xml:space="preserve"> ثُمَّ اسْتَثْنَى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مَوْضِعَ النِّسْيَانِ ، فَقَالَ :</w:t>
      </w:r>
      <w:r>
        <w:rPr>
          <w:rFonts w:hint="cs"/>
          <w:rtl/>
          <w:lang w:bidi="fa-IR"/>
        </w:rPr>
        <w:t xml:space="preserve"> </w:t>
      </w:r>
      <w:r w:rsidRPr="0003660B">
        <w:rPr>
          <w:rStyle w:val="libAlaemChar"/>
          <w:rtl/>
        </w:rPr>
        <w:t>(</w:t>
      </w:r>
      <w:r w:rsidRPr="006A2246">
        <w:rPr>
          <w:rStyle w:val="libAieChar"/>
          <w:rtl/>
        </w:rPr>
        <w:t xml:space="preserve"> وَإِمّا يُنْسِيَنَّكَ الشَّيْطانُ فَلا تَقْعُدْ بَعْدَ الذِّكْرى مَعَ الْقَوْمِ الظّالِمِينَ </w:t>
      </w:r>
      <w:r w:rsidRPr="0003660B">
        <w:rPr>
          <w:rStyle w:val="libAlaemChar"/>
          <w:rtl/>
        </w:rPr>
        <w:t>)</w:t>
      </w:r>
      <w:r w:rsidRPr="00C9040A">
        <w:rPr>
          <w:rtl/>
          <w:lang w:bidi="fa-IR"/>
        </w:rPr>
        <w:t xml:space="preserve"> </w:t>
      </w:r>
      <w:r w:rsidR="006C577F" w:rsidRPr="006C577F">
        <w:rPr>
          <w:rStyle w:val="libFootnotenumChar"/>
          <w:rtl/>
        </w:rPr>
        <w:t>(3)</w:t>
      </w:r>
      <w:r w:rsidRPr="00C9040A">
        <w:rPr>
          <w:rtl/>
          <w:lang w:bidi="fa-IR"/>
        </w:rPr>
        <w:t xml:space="preserve"> وَقَالَ : </w:t>
      </w:r>
      <w:r w:rsidRPr="0003660B">
        <w:rPr>
          <w:rStyle w:val="libAlaemChar"/>
          <w:rtl/>
        </w:rPr>
        <w:t>(</w:t>
      </w:r>
      <w:r w:rsidRPr="006A2246">
        <w:rPr>
          <w:rStyle w:val="libAieChar"/>
          <w:rtl/>
        </w:rPr>
        <w:t xml:space="preserve"> فَبَشِّرْ عِبادِ</w:t>
      </w:r>
      <w:r w:rsidR="004E5871">
        <w:rPr>
          <w:rStyle w:val="libAieChar"/>
          <w:rFonts w:hint="cs"/>
          <w:rtl/>
        </w:rPr>
        <w:t xml:space="preserve"> </w:t>
      </w:r>
      <w:r w:rsidR="004E5871" w:rsidRPr="004E5871">
        <w:rPr>
          <w:rStyle w:val="libAieChar"/>
          <w:rFonts w:hint="cs"/>
          <w:rtl/>
        </w:rPr>
        <w:t>*</w:t>
      </w:r>
      <w:r w:rsidR="004E5871">
        <w:rPr>
          <w:rStyle w:val="libAieChar"/>
          <w:rFonts w:hint="cs"/>
          <w:rtl/>
        </w:rPr>
        <w:t xml:space="preserve"> </w:t>
      </w:r>
      <w:r w:rsidR="006C577F" w:rsidRPr="006C577F">
        <w:rPr>
          <w:rStyle w:val="libFootnotenumChar"/>
          <w:rtl/>
        </w:rPr>
        <w:t>(4)</w:t>
      </w:r>
      <w:r>
        <w:rPr>
          <w:rFonts w:hint="cs"/>
          <w:rtl/>
        </w:rPr>
        <w:t xml:space="preserve"> </w:t>
      </w:r>
      <w:r w:rsidRPr="006A2246">
        <w:rPr>
          <w:rStyle w:val="libAieChar"/>
          <w:rtl/>
        </w:rPr>
        <w:t xml:space="preserve">الَّذِينَ يَسْتَمِعُونَ الْقَوْلَ فَيَتَّبِعُونَ أَحْسَنَهُ أُولئِكَ الَّذِينَ هَداهُمُ اللهُ وَأُولئِكَ هُمْ أُولُوا الْأَلْبابِ </w:t>
      </w:r>
      <w:r w:rsidRPr="0003660B">
        <w:rPr>
          <w:rStyle w:val="libAlaemChar"/>
          <w:rtl/>
        </w:rPr>
        <w:t>)</w:t>
      </w:r>
      <w:r w:rsidRPr="00C9040A">
        <w:rPr>
          <w:rtl/>
          <w:lang w:bidi="fa-IR"/>
        </w:rPr>
        <w:t xml:space="preserve"> </w:t>
      </w:r>
      <w:r w:rsidR="006C577F" w:rsidRPr="006C577F">
        <w:rPr>
          <w:rStyle w:val="libFootnotenumChar"/>
          <w:rtl/>
        </w:rPr>
        <w:t>(5)</w:t>
      </w:r>
      <w:r w:rsidRPr="00C9040A">
        <w:rPr>
          <w:rtl/>
          <w:lang w:bidi="fa-IR"/>
        </w:rPr>
        <w:t xml:space="preserve"> وَقَالَ </w:t>
      </w:r>
      <w:r w:rsidR="006C577F" w:rsidRPr="006C577F">
        <w:rPr>
          <w:rStyle w:val="libFootnotenumChar"/>
          <w:rtl/>
        </w:rPr>
        <w:t>(6)</w:t>
      </w:r>
      <w:r w:rsidRPr="005B567D">
        <w:rPr>
          <w:rStyle w:val="libFootnotenumChar"/>
          <w:rtl/>
        </w:rPr>
        <w:t xml:space="preserve"> </w:t>
      </w:r>
      <w:r w:rsidRPr="00C9040A">
        <w:rPr>
          <w:rtl/>
          <w:lang w:bidi="fa-IR"/>
        </w:rPr>
        <w:t xml:space="preserve">عَزَّ وَجَلَّ : </w:t>
      </w:r>
      <w:r w:rsidRPr="0003660B">
        <w:rPr>
          <w:rStyle w:val="libAlaemChar"/>
          <w:rtl/>
        </w:rPr>
        <w:t>(</w:t>
      </w:r>
      <w:r w:rsidRPr="006A2246">
        <w:rPr>
          <w:rStyle w:val="libAieChar"/>
          <w:rtl/>
        </w:rPr>
        <w:t xml:space="preserve"> قَدْ أَفْلَحَ الْمُؤْمِنُونَ </w:t>
      </w:r>
      <w:r w:rsidR="004E5871">
        <w:rPr>
          <w:rStyle w:val="libAieChar"/>
          <w:rFonts w:hint="cs"/>
          <w:rtl/>
        </w:rPr>
        <w:t xml:space="preserve">* </w:t>
      </w:r>
      <w:r w:rsidRPr="006A2246">
        <w:rPr>
          <w:rStyle w:val="libAieChar"/>
          <w:rtl/>
        </w:rPr>
        <w:t xml:space="preserve">الَّذِينَ هُمْ فِي صَلاتِهِمْ خاشِعُونَ </w:t>
      </w:r>
      <w:r w:rsidR="004E5871">
        <w:rPr>
          <w:rStyle w:val="libAieChar"/>
          <w:rFonts w:hint="cs"/>
          <w:rtl/>
        </w:rPr>
        <w:t xml:space="preserve">* </w:t>
      </w:r>
      <w:r w:rsidRPr="006A2246">
        <w:rPr>
          <w:rStyle w:val="libAieChar"/>
          <w:rtl/>
        </w:rPr>
        <w:t xml:space="preserve">وَالَّذِينَ هُمْ عَنِ اللَّغْوِ مُعْرِضُونَ </w:t>
      </w:r>
      <w:r w:rsidR="004E5871">
        <w:rPr>
          <w:rStyle w:val="libAieChar"/>
          <w:rFonts w:hint="cs"/>
          <w:rtl/>
        </w:rPr>
        <w:t xml:space="preserve">* </w:t>
      </w:r>
      <w:r w:rsidRPr="006A2246">
        <w:rPr>
          <w:rStyle w:val="libAieChar"/>
          <w:rtl/>
        </w:rPr>
        <w:t xml:space="preserve">وَالَّذِينَ هُمْ لِلزَّكاةِ فاعِلُونَ </w:t>
      </w:r>
      <w:r w:rsidRPr="0003660B">
        <w:rPr>
          <w:rStyle w:val="libAlaemChar"/>
          <w:rtl/>
        </w:rPr>
        <w:t>)</w:t>
      </w:r>
      <w:r w:rsidRPr="00C9040A">
        <w:rPr>
          <w:rtl/>
          <w:lang w:bidi="fa-IR"/>
        </w:rPr>
        <w:t xml:space="preserve"> </w:t>
      </w:r>
      <w:r w:rsidR="006C577F" w:rsidRPr="006C577F">
        <w:rPr>
          <w:rStyle w:val="libFootnotenumChar"/>
          <w:rtl/>
        </w:rPr>
        <w:t>(7)</w:t>
      </w:r>
      <w:r w:rsidRPr="00C9040A">
        <w:rPr>
          <w:rtl/>
          <w:lang w:bidi="fa-IR"/>
        </w:rPr>
        <w:t xml:space="preserve"> وَقَالَ : </w:t>
      </w:r>
      <w:r w:rsidRPr="0003660B">
        <w:rPr>
          <w:rStyle w:val="libAlaemChar"/>
          <w:rtl/>
        </w:rPr>
        <w:t>(</w:t>
      </w:r>
      <w:r w:rsidRPr="006A2246">
        <w:rPr>
          <w:rStyle w:val="libAieChar"/>
          <w:rtl/>
        </w:rPr>
        <w:t xml:space="preserve"> وَإِذا</w:t>
      </w:r>
      <w:r w:rsidRPr="00BF171D">
        <w:rPr>
          <w:rFonts w:hint="cs"/>
          <w:rtl/>
        </w:rPr>
        <w:t xml:space="preserve"> </w:t>
      </w:r>
      <w:r w:rsidR="006C577F" w:rsidRPr="006C577F">
        <w:rPr>
          <w:rStyle w:val="libFootnotenumChar"/>
          <w:rtl/>
        </w:rPr>
        <w:t>(8)</w:t>
      </w:r>
      <w:r>
        <w:rPr>
          <w:rFonts w:hint="cs"/>
          <w:rtl/>
        </w:rPr>
        <w:t xml:space="preserve"> </w:t>
      </w:r>
      <w:r w:rsidRPr="006A2246">
        <w:rPr>
          <w:rStyle w:val="libAieChar"/>
          <w:rtl/>
        </w:rPr>
        <w:t xml:space="preserve">سَمِعُوا اللَّغْوَ أَعْرَضُوا عَنْهُ وَقالُوا لَنا أَعْمالُنا وَلَكُمْ أَعْمالُكُمْ </w:t>
      </w:r>
      <w:r w:rsidRPr="0003660B">
        <w:rPr>
          <w:rStyle w:val="libAlaemChar"/>
          <w:rtl/>
        </w:rPr>
        <w:t>)</w:t>
      </w:r>
      <w:r w:rsidRPr="00C9040A">
        <w:rPr>
          <w:rtl/>
          <w:lang w:bidi="fa-IR"/>
        </w:rPr>
        <w:t xml:space="preserve"> </w:t>
      </w:r>
      <w:r w:rsidR="006C577F" w:rsidRPr="006C577F">
        <w:rPr>
          <w:rStyle w:val="libFootnotenumChar"/>
          <w:rtl/>
        </w:rPr>
        <w:t>(9)</w:t>
      </w:r>
      <w:r w:rsidRPr="00C9040A">
        <w:rPr>
          <w:rtl/>
          <w:lang w:bidi="fa-IR"/>
        </w:rPr>
        <w:t xml:space="preserve"> وَقَالَ : </w:t>
      </w:r>
      <w:r w:rsidRPr="0003660B">
        <w:rPr>
          <w:rStyle w:val="libAlaemChar"/>
          <w:rtl/>
        </w:rPr>
        <w:t>(</w:t>
      </w:r>
      <w:r w:rsidRPr="006A2246">
        <w:rPr>
          <w:rStyle w:val="libAieChar"/>
          <w:rtl/>
        </w:rPr>
        <w:t xml:space="preserve"> وَإِذا مَرُّوا بِاللَّغْوِ مَرُّوا كِراماً </w:t>
      </w:r>
      <w:r w:rsidRPr="0003660B">
        <w:rPr>
          <w:rStyle w:val="libAlaemChar"/>
          <w:rtl/>
        </w:rPr>
        <w:t>)</w:t>
      </w:r>
      <w:r w:rsidRPr="00C9040A">
        <w:rPr>
          <w:rtl/>
          <w:lang w:bidi="fa-IR"/>
        </w:rPr>
        <w:t xml:space="preserve"> </w:t>
      </w:r>
      <w:r w:rsidR="006C577F" w:rsidRPr="006C577F">
        <w:rPr>
          <w:rStyle w:val="libFootnotenumChar"/>
          <w:rtl/>
        </w:rPr>
        <w:t>(10)</w:t>
      </w:r>
      <w:r w:rsidRPr="00C9040A">
        <w:rPr>
          <w:rtl/>
          <w:lang w:bidi="fa-IR"/>
        </w:rPr>
        <w:t xml:space="preserve"> فَهذَا مَا فَرَضَ اللهُ عَلَى السَّمْعِ مِنَ الْإِيمَانِ أَنْ لَايُصْغِيَ إِلى مَا لَايَحِلُّ لَهُ ، وَهُوَ عَمَلُهُ ، وَهُوَ مِنَ الْإِيمَانِ.</w:t>
      </w:r>
    </w:p>
    <w:p w:rsidR="008A74EB" w:rsidRPr="00C9040A" w:rsidRDefault="008A74EB" w:rsidP="008A74EB">
      <w:pPr>
        <w:pStyle w:val="libNormal"/>
        <w:rPr>
          <w:rtl/>
          <w:lang w:bidi="fa-IR"/>
        </w:rPr>
      </w:pPr>
      <w:r w:rsidRPr="00C9040A">
        <w:rPr>
          <w:rtl/>
          <w:lang w:bidi="fa-IR"/>
        </w:rPr>
        <w:t xml:space="preserve">وَفَرَضَ عَلَى الْبَصَرِ أَنْ لَايَنْظُرَ إِلى مَا حَرَّمَ اللهُ عَلَيْهِ ، وَأَنْ يُعْرِضَ عَمَّا نَهَى اللهُ عَنْهُ مِمَّا لَايَحِلُّ لَهُ ، وَهُوَ عَمَلُهُ ، وَهُوَ مِنَ الْإِيمَانِ ، فَقَالَ </w:t>
      </w:r>
      <w:r w:rsidR="006C577F" w:rsidRPr="006C577F">
        <w:rPr>
          <w:rStyle w:val="libFootnotenumChar"/>
          <w:rtl/>
        </w:rPr>
        <w:t>(11)</w:t>
      </w:r>
      <w:r w:rsidRPr="00C9040A">
        <w:rPr>
          <w:rtl/>
          <w:lang w:bidi="fa-IR"/>
        </w:rPr>
        <w:t xml:space="preserve"> تَبَارَكَ وَتَعَالى :</w:t>
      </w:r>
      <w:r>
        <w:rPr>
          <w:rFonts w:hint="cs"/>
          <w:rtl/>
          <w:lang w:bidi="fa-IR"/>
        </w:rPr>
        <w:t xml:space="preserve"> </w:t>
      </w:r>
      <w:r w:rsidRPr="0003660B">
        <w:rPr>
          <w:rStyle w:val="libAlaemChar"/>
          <w:rtl/>
        </w:rPr>
        <w:t>(</w:t>
      </w:r>
      <w:r w:rsidRPr="006A2246">
        <w:rPr>
          <w:rStyle w:val="libAieChar"/>
          <w:rtl/>
        </w:rPr>
        <w:t xml:space="preserve"> قُلْ لِلْمُؤْمِنِينَ يَغُضُّوا مِنْ أَبْصارِهِمْ وَيَحْفَظُوا فُرُوجَهُمْ </w:t>
      </w:r>
      <w:r w:rsidRPr="0003660B">
        <w:rPr>
          <w:rStyle w:val="libAlaemChar"/>
          <w:rtl/>
        </w:rPr>
        <w:t>)</w:t>
      </w:r>
      <w:r w:rsidRPr="00C9040A">
        <w:rPr>
          <w:rtl/>
          <w:lang w:bidi="fa-IR"/>
        </w:rPr>
        <w:t xml:space="preserve"> ، فَنَهَاهُمْ </w:t>
      </w:r>
      <w:r w:rsidR="006C577F" w:rsidRPr="006C577F">
        <w:rPr>
          <w:rStyle w:val="libFootnotenumChar"/>
          <w:rtl/>
        </w:rPr>
        <w:t>(12)</w:t>
      </w:r>
      <w:r w:rsidRPr="00C9040A">
        <w:rPr>
          <w:rtl/>
          <w:lang w:bidi="fa-IR"/>
        </w:rPr>
        <w:t xml:space="preserve"> أَنْ يَنْظُرُوا إِلى‌</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4E5871" w:rsidTr="004E5871">
        <w:tc>
          <w:tcPr>
            <w:tcW w:w="4006" w:type="dxa"/>
          </w:tcPr>
          <w:p w:rsidR="004E5871" w:rsidRDefault="004E5871" w:rsidP="004A4E41">
            <w:pPr>
              <w:pStyle w:val="libFootnote0"/>
              <w:rPr>
                <w:rtl/>
              </w:rPr>
            </w:pPr>
            <w:r>
              <w:rPr>
                <w:rtl/>
              </w:rPr>
              <w:t>(1).</w:t>
            </w:r>
            <w:r w:rsidRPr="00C9040A">
              <w:rPr>
                <w:rtl/>
              </w:rPr>
              <w:t xml:space="preserve"> في الوافي : « حرّمه »</w:t>
            </w:r>
            <w:r>
              <w:rPr>
                <w:rtl/>
              </w:rPr>
              <w:t>.</w:t>
            </w:r>
          </w:p>
        </w:tc>
        <w:tc>
          <w:tcPr>
            <w:tcW w:w="4006" w:type="dxa"/>
          </w:tcPr>
          <w:p w:rsidR="004E5871" w:rsidRDefault="004E5871" w:rsidP="004A4E41">
            <w:pPr>
              <w:pStyle w:val="libFootnote0"/>
              <w:rPr>
                <w:rtl/>
              </w:rPr>
            </w:pPr>
            <w:r>
              <w:rPr>
                <w:rtl/>
              </w:rPr>
              <w:t xml:space="preserve">(2). </w:t>
            </w:r>
            <w:r w:rsidRPr="00C9040A">
              <w:rPr>
                <w:rtl/>
              </w:rPr>
              <w:t xml:space="preserve">النساء </w:t>
            </w:r>
            <w:r>
              <w:rPr>
                <w:rtl/>
              </w:rPr>
              <w:t>(4)</w:t>
            </w:r>
            <w:r w:rsidRPr="00C9040A">
              <w:rPr>
                <w:rtl/>
              </w:rPr>
              <w:t xml:space="preserve"> : 140.</w:t>
            </w:r>
          </w:p>
        </w:tc>
      </w:tr>
    </w:tbl>
    <w:p w:rsidR="008A74EB" w:rsidRPr="00C9040A" w:rsidRDefault="006C577F" w:rsidP="004A4E41">
      <w:pPr>
        <w:pStyle w:val="libFootnote0"/>
        <w:rPr>
          <w:rtl/>
          <w:lang w:bidi="fa-IR"/>
        </w:rPr>
      </w:pPr>
      <w:r>
        <w:rPr>
          <w:rtl/>
        </w:rPr>
        <w:t>(3).</w:t>
      </w:r>
      <w:r w:rsidR="008A74EB" w:rsidRPr="00C9040A">
        <w:rPr>
          <w:rtl/>
        </w:rPr>
        <w:t xml:space="preserve"> الأنعام </w:t>
      </w:r>
      <w:r w:rsidR="004E5871">
        <w:rPr>
          <w:rtl/>
        </w:rPr>
        <w:t>(6)</w:t>
      </w:r>
      <w:r w:rsidR="008A74EB">
        <w:rPr>
          <w:rtl/>
        </w:rPr>
        <w:t xml:space="preserve"> </w:t>
      </w:r>
      <w:r w:rsidR="008A74EB" w:rsidRPr="00C9040A">
        <w:rPr>
          <w:rtl/>
        </w:rPr>
        <w:t>: 68.</w:t>
      </w:r>
    </w:p>
    <w:p w:rsidR="008A74EB" w:rsidRPr="004A4E41" w:rsidRDefault="006C577F" w:rsidP="004A4E41">
      <w:pPr>
        <w:pStyle w:val="libFootnote0"/>
        <w:rPr>
          <w:rStyle w:val="libFootnote0Char"/>
          <w:rtl/>
        </w:rPr>
      </w:pPr>
      <w:r>
        <w:rPr>
          <w:rtl/>
        </w:rPr>
        <w:t>(4).</w:t>
      </w:r>
      <w:r w:rsidR="008A74EB" w:rsidRPr="00C9040A">
        <w:rPr>
          <w:rtl/>
        </w:rPr>
        <w:t xml:space="preserve"> في « ب ، ج ، د ، ض ، ف ، بر » : « عبادي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 عبادي ، في النسخ بإثبات الياء موافقاً لرواية أبي عمرو برواية موسى ؛ حيث قرأ في الوصل بفتح الياء وفي الوقف بإسكانها ، وقرأ الباقون بإسقاط الياء والاكتفاء بالكسرة »</w:t>
      </w:r>
      <w:r w:rsidR="008A74EB">
        <w:rPr>
          <w:rtl/>
        </w:rPr>
        <w:t>.</w:t>
      </w:r>
      <w:r w:rsidR="00666F32">
        <w:rPr>
          <w:rFonts w:hint="cs"/>
          <w:rtl/>
        </w:rPr>
        <w:t xml:space="preserve">                                </w:t>
      </w:r>
      <w:r w:rsidR="00B866D3">
        <w:rPr>
          <w:rFonts w:hint="cs"/>
          <w:rtl/>
        </w:rPr>
        <w:t xml:space="preserve">  </w:t>
      </w:r>
      <w:r w:rsidR="00666F32">
        <w:rPr>
          <w:rFonts w:hint="cs"/>
          <w:rtl/>
        </w:rPr>
        <w:t xml:space="preserve">       </w:t>
      </w:r>
      <w:r>
        <w:rPr>
          <w:rtl/>
        </w:rPr>
        <w:t>(5).</w:t>
      </w:r>
      <w:r w:rsidR="008A74EB" w:rsidRPr="00C9040A">
        <w:rPr>
          <w:rtl/>
        </w:rPr>
        <w:t xml:space="preserve"> الزمر (39) : 17</w:t>
      </w:r>
      <w:r w:rsidR="008A74EB">
        <w:rPr>
          <w:rtl/>
        </w:rPr>
        <w:t xml:space="preserve"> </w:t>
      </w:r>
      <w:r w:rsidR="0084262C">
        <w:rPr>
          <w:rtl/>
        </w:rPr>
        <w:t>-</w:t>
      </w:r>
      <w:r w:rsidR="008A74EB">
        <w:rPr>
          <w:rtl/>
        </w:rPr>
        <w:t xml:space="preserve"> </w:t>
      </w:r>
      <w:r w:rsidR="008A74EB" w:rsidRPr="00C9040A">
        <w:rPr>
          <w:rtl/>
        </w:rPr>
        <w:t>18.</w:t>
      </w:r>
    </w:p>
    <w:tbl>
      <w:tblPr>
        <w:tblStyle w:val="TableGrid"/>
        <w:bidiVisual/>
        <w:tblW w:w="0" w:type="auto"/>
        <w:tblLook w:val="04A0" w:firstRow="1" w:lastRow="0" w:firstColumn="1" w:lastColumn="0" w:noHBand="0" w:noVBand="1"/>
      </w:tblPr>
      <w:tblGrid>
        <w:gridCol w:w="4006"/>
        <w:gridCol w:w="4006"/>
      </w:tblGrid>
      <w:tr w:rsidR="00666F32" w:rsidTr="00666F32">
        <w:tc>
          <w:tcPr>
            <w:tcW w:w="4006" w:type="dxa"/>
          </w:tcPr>
          <w:p w:rsidR="00666F32" w:rsidRDefault="00666F32" w:rsidP="004A4E41">
            <w:pPr>
              <w:pStyle w:val="libFootnote0"/>
              <w:rPr>
                <w:rtl/>
              </w:rPr>
            </w:pPr>
            <w:r>
              <w:rPr>
                <w:rtl/>
              </w:rPr>
              <w:t xml:space="preserve">(6). </w:t>
            </w:r>
            <w:r w:rsidRPr="00C9040A">
              <w:rPr>
                <w:rtl/>
              </w:rPr>
              <w:t>في « د » : + « الله »</w:t>
            </w:r>
            <w:r>
              <w:rPr>
                <w:rtl/>
              </w:rPr>
              <w:t>.</w:t>
            </w:r>
          </w:p>
        </w:tc>
        <w:tc>
          <w:tcPr>
            <w:tcW w:w="4006" w:type="dxa"/>
          </w:tcPr>
          <w:p w:rsidR="00666F32" w:rsidRDefault="00666F32" w:rsidP="004A4E41">
            <w:pPr>
              <w:pStyle w:val="libFootnote0"/>
              <w:rPr>
                <w:rtl/>
              </w:rPr>
            </w:pPr>
            <w:r>
              <w:rPr>
                <w:rtl/>
              </w:rPr>
              <w:t>(7).</w:t>
            </w:r>
            <w:r w:rsidRPr="00C9040A">
              <w:rPr>
                <w:rtl/>
              </w:rPr>
              <w:t xml:space="preserve"> المؤمنون (23) : 1</w:t>
            </w:r>
            <w:r>
              <w:rPr>
                <w:rtl/>
              </w:rPr>
              <w:t xml:space="preserve"> - </w:t>
            </w:r>
            <w:r w:rsidRPr="00C9040A">
              <w:rPr>
                <w:rtl/>
              </w:rPr>
              <w:t>4.</w:t>
            </w:r>
          </w:p>
        </w:tc>
      </w:tr>
    </w:tbl>
    <w:p w:rsidR="008A74EB" w:rsidRPr="00C9040A" w:rsidRDefault="006C577F" w:rsidP="004A4E41">
      <w:pPr>
        <w:pStyle w:val="libFootnote0"/>
        <w:rPr>
          <w:rtl/>
          <w:lang w:bidi="fa-IR"/>
        </w:rPr>
      </w:pPr>
      <w:r>
        <w:rPr>
          <w:rtl/>
        </w:rPr>
        <w:t>(8).</w:t>
      </w:r>
      <w:r w:rsidR="008A74EB" w:rsidRPr="00C9040A">
        <w:rPr>
          <w:rtl/>
        </w:rPr>
        <w:t xml:space="preserve"> هكذا في « ب ، ج ، ض ، بس ، بف » وهو مطابق للقرآن. وفي « د ، ز ، ص ، ف ، بر » والمطبوع : « إذا » بدون الواو.</w:t>
      </w:r>
    </w:p>
    <w:p w:rsidR="008A74EB" w:rsidRPr="00C9040A" w:rsidRDefault="006C577F" w:rsidP="004A4E41">
      <w:pPr>
        <w:pStyle w:val="libFootnote0"/>
        <w:rPr>
          <w:rtl/>
          <w:lang w:bidi="fa-IR"/>
        </w:rPr>
      </w:pPr>
      <w:r>
        <w:rPr>
          <w:rtl/>
        </w:rPr>
        <w:t>(9).</w:t>
      </w:r>
      <w:r w:rsidR="008A74EB" w:rsidRPr="00C9040A">
        <w:rPr>
          <w:rtl/>
        </w:rPr>
        <w:t xml:space="preserve"> القصص (28) : 55. وفي « ج ، ز ، ض ، ف ، بس ، بف » والوافي والوسائل </w:t>
      </w:r>
      <w:r w:rsidR="008A74EB">
        <w:rPr>
          <w:rtl/>
        </w:rPr>
        <w:t xml:space="preserve">: </w:t>
      </w:r>
      <w:r w:rsidR="0084262C">
        <w:rPr>
          <w:rtl/>
        </w:rPr>
        <w:t>-</w:t>
      </w:r>
      <w:r w:rsidR="008A74EB" w:rsidRPr="00C9040A">
        <w:rPr>
          <w:rtl/>
        </w:rPr>
        <w:t xml:space="preserve"> </w:t>
      </w:r>
      <w:r w:rsidR="00E85B2F" w:rsidRPr="00B866D3">
        <w:rPr>
          <w:rStyle w:val="libFootnoteAlaemChar"/>
          <w:rFonts w:hint="cs"/>
          <w:rtl/>
        </w:rPr>
        <w:t>(</w:t>
      </w:r>
      <w:r w:rsidR="008A74EB" w:rsidRPr="00E85B2F">
        <w:rPr>
          <w:rStyle w:val="libFootnoteAieChar"/>
          <w:rtl/>
        </w:rPr>
        <w:t xml:space="preserve"> وَقَالُوا لَنَآ أَعْملُنَا وَلَكُمْ‌أَعْملُكُمْ </w:t>
      </w:r>
      <w:r w:rsidR="00E85B2F" w:rsidRPr="00B866D3">
        <w:rPr>
          <w:rStyle w:val="libFootnoteAlaemChar"/>
          <w:rFonts w:hint="cs"/>
          <w:rtl/>
        </w:rPr>
        <w:t>)</w:t>
      </w:r>
      <w:r w:rsidR="008A74EB">
        <w:rPr>
          <w:rtl/>
        </w:rPr>
        <w:t>.</w:t>
      </w:r>
      <w:r w:rsidR="00E85B2F">
        <w:rPr>
          <w:rFonts w:hint="cs"/>
          <w:rtl/>
        </w:rPr>
        <w:t xml:space="preserve">                       </w:t>
      </w:r>
      <w:r w:rsidR="00B866D3">
        <w:rPr>
          <w:rFonts w:hint="cs"/>
          <w:rtl/>
        </w:rPr>
        <w:t xml:space="preserve"> </w:t>
      </w:r>
      <w:r w:rsidR="00E85B2F">
        <w:rPr>
          <w:rFonts w:hint="cs"/>
          <w:rtl/>
        </w:rPr>
        <w:t xml:space="preserve">                 </w:t>
      </w:r>
      <w:r>
        <w:rPr>
          <w:rtl/>
        </w:rPr>
        <w:t>(10).</w:t>
      </w:r>
      <w:r w:rsidR="008A74EB" w:rsidRPr="00C9040A">
        <w:rPr>
          <w:rtl/>
        </w:rPr>
        <w:t xml:space="preserve"> الفرقان (25) : 72.</w:t>
      </w:r>
    </w:p>
    <w:p w:rsidR="008A74EB" w:rsidRPr="00C9040A" w:rsidRDefault="006C577F" w:rsidP="004A4E41">
      <w:pPr>
        <w:pStyle w:val="libFootnote0"/>
        <w:rPr>
          <w:rtl/>
          <w:lang w:bidi="fa-IR"/>
        </w:rPr>
      </w:pPr>
      <w:r>
        <w:rPr>
          <w:rtl/>
        </w:rPr>
        <w:t>(11).</w:t>
      </w:r>
      <w:r w:rsidR="008A74EB" w:rsidRPr="00C9040A">
        <w:rPr>
          <w:rtl/>
        </w:rPr>
        <w:t xml:space="preserve"> في « د » وحاشية « ب ، ج » والبحار : + « الله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في « بر ، بس ، بف » وحاشية « ص » والوافي : + « عن »</w:t>
      </w:r>
      <w:r w:rsidR="008A74EB">
        <w:rPr>
          <w:rtl/>
        </w:rPr>
        <w:t>.</w:t>
      </w:r>
      <w:r w:rsidR="008A74EB" w:rsidRPr="00C9040A">
        <w:rPr>
          <w:rtl/>
        </w:rPr>
        <w:t xml:space="preserve"> وفي الوسائل </w:t>
      </w:r>
      <w:r w:rsidR="008A74EB">
        <w:rPr>
          <w:rtl/>
        </w:rPr>
        <w:t xml:space="preserve">: </w:t>
      </w:r>
      <w:r w:rsidR="0084262C">
        <w:rPr>
          <w:rtl/>
        </w:rPr>
        <w:t>-</w:t>
      </w:r>
      <w:r w:rsidR="008A74EB" w:rsidRPr="00C9040A">
        <w:rPr>
          <w:rtl/>
        </w:rPr>
        <w:t xml:space="preserve"> « فنهاهم »</w:t>
      </w:r>
      <w:r w:rsidR="008A74EB">
        <w:rPr>
          <w:rtl/>
        </w:rPr>
        <w:t>.</w:t>
      </w:r>
      <w:r w:rsidR="008A74EB" w:rsidRPr="00C9040A">
        <w:rPr>
          <w:rtl/>
        </w:rPr>
        <w:t xml:space="preserve"> وفي البحار : + « من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عَوْرَاتِهِمْ </w:t>
      </w:r>
      <w:r w:rsidR="006C577F" w:rsidRPr="006C577F">
        <w:rPr>
          <w:rStyle w:val="libFootnotenumChar"/>
          <w:rtl/>
        </w:rPr>
        <w:t>(1)</w:t>
      </w:r>
      <w:r w:rsidRPr="008A71F0">
        <w:rPr>
          <w:rFonts w:hint="cs"/>
          <w:rtl/>
        </w:rPr>
        <w:t xml:space="preserve"> </w:t>
      </w:r>
      <w:r w:rsidRPr="00C9040A">
        <w:rPr>
          <w:rtl/>
          <w:lang w:bidi="fa-IR"/>
        </w:rPr>
        <w:t xml:space="preserve">، وَأَنْ يَنْظُرَ الْمَرْءُ إِلى فَرْجِ أَخِيهِ ، وَيَحْفَظَ فَرْجَهُ </w:t>
      </w:r>
      <w:r w:rsidR="006C577F" w:rsidRPr="006C577F">
        <w:rPr>
          <w:rStyle w:val="libFootnotenumChar"/>
          <w:rtl/>
        </w:rPr>
        <w:t>(2)</w:t>
      </w:r>
      <w:r w:rsidRPr="00C9040A">
        <w:rPr>
          <w:rtl/>
          <w:lang w:bidi="fa-IR"/>
        </w:rPr>
        <w:t xml:space="preserve"> أَنْ يُنْظَرَ </w:t>
      </w:r>
      <w:r w:rsidR="006C577F" w:rsidRPr="006C577F">
        <w:rPr>
          <w:rStyle w:val="libFootnotenumChar"/>
          <w:rtl/>
        </w:rPr>
        <w:t>(3)</w:t>
      </w:r>
      <w:r w:rsidRPr="00C9040A">
        <w:rPr>
          <w:rtl/>
          <w:lang w:bidi="fa-IR"/>
        </w:rPr>
        <w:t xml:space="preserve"> إِلَيْهِ ، وَ</w:t>
      </w:r>
      <w:r>
        <w:rPr>
          <w:rFonts w:hint="cs"/>
          <w:rtl/>
          <w:lang w:bidi="fa-IR"/>
        </w:rPr>
        <w:t xml:space="preserve"> </w:t>
      </w:r>
      <w:r w:rsidR="006C577F" w:rsidRPr="006C577F">
        <w:rPr>
          <w:rStyle w:val="libFootnotenumChar"/>
          <w:rtl/>
        </w:rPr>
        <w:t>(4)</w:t>
      </w:r>
      <w:r w:rsidRPr="00C9040A">
        <w:rPr>
          <w:rtl/>
          <w:lang w:bidi="fa-IR"/>
        </w:rPr>
        <w:t xml:space="preserve"> قَالَ :</w:t>
      </w:r>
      <w:r>
        <w:rPr>
          <w:rFonts w:hint="cs"/>
          <w:rtl/>
          <w:lang w:bidi="fa-IR"/>
        </w:rPr>
        <w:t xml:space="preserve"> </w:t>
      </w:r>
      <w:r w:rsidRPr="0003660B">
        <w:rPr>
          <w:rStyle w:val="libAlaemChar"/>
          <w:rtl/>
        </w:rPr>
        <w:t>(</w:t>
      </w:r>
      <w:r w:rsidRPr="006A2246">
        <w:rPr>
          <w:rStyle w:val="libAieChar"/>
          <w:rtl/>
        </w:rPr>
        <w:t xml:space="preserve"> وَقُلْ لِلْمُؤْمِناتِ يَغْضُضْنَ مِنْ أَبْصارِهِنَّ وَيَحْفَظْنَ فُرُوجَهُنَّ </w:t>
      </w:r>
      <w:r w:rsidRPr="0003660B">
        <w:rPr>
          <w:rStyle w:val="libAlaemChar"/>
          <w:rtl/>
        </w:rPr>
        <w:t>)</w:t>
      </w:r>
      <w:r w:rsidRPr="00C9040A">
        <w:rPr>
          <w:rtl/>
          <w:lang w:bidi="fa-IR"/>
        </w:rPr>
        <w:t xml:space="preserve"> </w:t>
      </w:r>
      <w:r w:rsidR="006C577F" w:rsidRPr="006C577F">
        <w:rPr>
          <w:rStyle w:val="libFootnotenumChar"/>
          <w:rtl/>
        </w:rPr>
        <w:t>(5)</w:t>
      </w:r>
      <w:r w:rsidRPr="00C9040A">
        <w:rPr>
          <w:rtl/>
          <w:lang w:bidi="fa-IR"/>
        </w:rPr>
        <w:t xml:space="preserve"> مِنْ أَنْ تَنْظُرَ </w:t>
      </w:r>
      <w:r w:rsidR="006C577F" w:rsidRPr="006C577F">
        <w:rPr>
          <w:rStyle w:val="libFootnotenumChar"/>
          <w:rtl/>
        </w:rPr>
        <w:t>(6)</w:t>
      </w:r>
      <w:r w:rsidRPr="005B567D">
        <w:rPr>
          <w:rStyle w:val="libFootnotenumChar"/>
          <w:rtl/>
        </w:rPr>
        <w:t xml:space="preserve"> </w:t>
      </w:r>
      <w:r w:rsidRPr="00C9040A">
        <w:rPr>
          <w:rtl/>
          <w:lang w:bidi="fa-IR"/>
        </w:rPr>
        <w:t xml:space="preserve">إِحْدَاهُنَّ </w:t>
      </w:r>
      <w:r w:rsidR="006C577F" w:rsidRPr="006C577F">
        <w:rPr>
          <w:rStyle w:val="libFootnotenumChar"/>
          <w:rtl/>
        </w:rPr>
        <w:t>(7)</w:t>
      </w:r>
      <w:r w:rsidRPr="00C9040A">
        <w:rPr>
          <w:rtl/>
          <w:lang w:bidi="fa-IR"/>
        </w:rPr>
        <w:t xml:space="preserve"> إِلى فَرْجِ أُخْتِهَا ، وَتَحْفَظَ فَرْجَهَا مِنْ أَنْ يُنْظَرَ </w:t>
      </w:r>
      <w:r w:rsidR="006C577F" w:rsidRPr="006C577F">
        <w:rPr>
          <w:rStyle w:val="libFootnotenumChar"/>
          <w:rtl/>
        </w:rPr>
        <w:t>(8)</w:t>
      </w:r>
      <w:r w:rsidRPr="00C9040A">
        <w:rPr>
          <w:rtl/>
          <w:lang w:bidi="fa-IR"/>
        </w:rPr>
        <w:t xml:space="preserve"> إِلَيْهَا </w:t>
      </w:r>
      <w:r w:rsidR="006C577F" w:rsidRPr="006C577F">
        <w:rPr>
          <w:rStyle w:val="libFootnotenumChar"/>
          <w:rtl/>
        </w:rPr>
        <w:t>(9)</w:t>
      </w:r>
      <w:r>
        <w:rPr>
          <w:rtl/>
          <w:lang w:bidi="fa-IR"/>
        </w:rPr>
        <w:t xml:space="preserve"> </w:t>
      </w:r>
      <w:r w:rsidR="0084262C">
        <w:rPr>
          <w:rtl/>
          <w:lang w:bidi="fa-IR"/>
        </w:rPr>
        <w:t>-</w:t>
      </w:r>
      <w:r>
        <w:rPr>
          <w:rtl/>
          <w:lang w:bidi="fa-IR"/>
        </w:rPr>
        <w:t xml:space="preserve"> </w:t>
      </w:r>
      <w:r w:rsidRPr="00C9040A">
        <w:rPr>
          <w:rtl/>
          <w:lang w:bidi="fa-IR"/>
        </w:rPr>
        <w:t>وَقَالَ</w:t>
      </w:r>
      <w:r>
        <w:rPr>
          <w:rtl/>
          <w:lang w:bidi="fa-IR"/>
        </w:rPr>
        <w:t xml:space="preserve"> </w:t>
      </w:r>
      <w:r w:rsidR="0084262C">
        <w:rPr>
          <w:rtl/>
          <w:lang w:bidi="fa-IR"/>
        </w:rPr>
        <w:t>-</w:t>
      </w:r>
      <w:r>
        <w:rPr>
          <w:rtl/>
          <w:lang w:bidi="fa-IR"/>
        </w:rPr>
        <w:t xml:space="preserve"> </w:t>
      </w:r>
      <w:r w:rsidRPr="00C9040A">
        <w:rPr>
          <w:rtl/>
          <w:lang w:bidi="fa-IR"/>
        </w:rPr>
        <w:t>: كُلُّ شَيْ‌ءٍ فِي الْقُرْآنِ مِنْ حِفْظِ الْف</w:t>
      </w:r>
      <w:r w:rsidR="00AE3FBE">
        <w:rPr>
          <w:rtl/>
          <w:lang w:bidi="fa-IR"/>
        </w:rPr>
        <w:t>َرْجِ فَهُوَ مِنْ الزِّنى إِل</w:t>
      </w:r>
      <w:r w:rsidR="00AE3FBE">
        <w:rPr>
          <w:rFonts w:hint="cs"/>
          <w:rtl/>
          <w:lang w:bidi="fa-IR"/>
        </w:rPr>
        <w:t>َّ</w:t>
      </w:r>
      <w:r w:rsidR="00AE3FBE">
        <w:rPr>
          <w:rtl/>
          <w:lang w:bidi="fa-IR"/>
        </w:rPr>
        <w:t>ا</w:t>
      </w:r>
      <w:r w:rsidRPr="00C9040A">
        <w:rPr>
          <w:rtl/>
          <w:lang w:bidi="fa-IR"/>
        </w:rPr>
        <w:t xml:space="preserve"> هذِهِ الْآيَةَ </w:t>
      </w:r>
      <w:r w:rsidR="006C577F" w:rsidRPr="006C577F">
        <w:rPr>
          <w:rStyle w:val="libFootnotenumChar"/>
          <w:rtl/>
        </w:rPr>
        <w:t>(10)</w:t>
      </w:r>
      <w:r w:rsidRPr="00C9040A">
        <w:rPr>
          <w:rtl/>
          <w:lang w:bidi="fa-IR"/>
        </w:rPr>
        <w:t xml:space="preserve"> ؛ فَإِنَّهَا مِنَ النَّظَرِ.</w:t>
      </w:r>
    </w:p>
    <w:p w:rsidR="008A74EB" w:rsidRPr="00C9040A" w:rsidRDefault="008A74EB" w:rsidP="00E64965">
      <w:pPr>
        <w:pStyle w:val="libNormal"/>
        <w:rPr>
          <w:rtl/>
          <w:lang w:bidi="fa-IR"/>
        </w:rPr>
      </w:pPr>
      <w:r w:rsidRPr="00C9040A">
        <w:rPr>
          <w:rtl/>
          <w:lang w:bidi="fa-IR"/>
        </w:rPr>
        <w:t xml:space="preserve">ثُمَّ نَظَمَ مَا فَرَضَ </w:t>
      </w:r>
      <w:r w:rsidR="006C577F" w:rsidRPr="006C577F">
        <w:rPr>
          <w:rStyle w:val="libFootnotenumChar"/>
          <w:rtl/>
        </w:rPr>
        <w:t>(11)</w:t>
      </w:r>
      <w:r w:rsidRPr="00C9040A">
        <w:rPr>
          <w:rtl/>
          <w:lang w:bidi="fa-IR"/>
        </w:rPr>
        <w:t xml:space="preserve"> عَلَى الْقَلْبِ وَاللِّسَانِ وَالسَّمْعِ وَالْبَصَرِ </w:t>
      </w:r>
      <w:r w:rsidR="006C577F" w:rsidRPr="006C577F">
        <w:rPr>
          <w:rStyle w:val="libFootnotenumChar"/>
          <w:rtl/>
        </w:rPr>
        <w:t>(12)</w:t>
      </w:r>
      <w:r w:rsidRPr="00C9040A">
        <w:rPr>
          <w:rtl/>
          <w:lang w:bidi="fa-IR"/>
        </w:rPr>
        <w:t xml:space="preserve"> فِي آيَةٍ أُخْرى ، فَقَالَ :</w:t>
      </w:r>
      <w:r>
        <w:rPr>
          <w:rFonts w:hint="cs"/>
          <w:rtl/>
          <w:lang w:bidi="fa-IR"/>
        </w:rPr>
        <w:t xml:space="preserve"> </w:t>
      </w:r>
      <w:r w:rsidRPr="0003660B">
        <w:rPr>
          <w:rStyle w:val="libAlaemChar"/>
          <w:rtl/>
        </w:rPr>
        <w:t>(</w:t>
      </w:r>
      <w:r w:rsidRPr="006A2246">
        <w:rPr>
          <w:rStyle w:val="libAieChar"/>
          <w:rtl/>
        </w:rPr>
        <w:t xml:space="preserve"> وَما كُنْتُمْ تَسْتَتِرُونَ أَنْ يَشْهَدَ عَلَيْكُمْ سَمْعُكُمْ وَلا أَبْصارُكُمْ وَلا جُلُودُكُمْ </w:t>
      </w:r>
      <w:r w:rsidRPr="0003660B">
        <w:rPr>
          <w:rStyle w:val="libAlaemChar"/>
          <w:rtl/>
        </w:rPr>
        <w:t>)</w:t>
      </w:r>
      <w:r w:rsidRPr="00C9040A">
        <w:rPr>
          <w:rtl/>
          <w:lang w:bidi="fa-IR"/>
        </w:rPr>
        <w:t xml:space="preserve"> </w:t>
      </w:r>
      <w:r w:rsidRPr="005B567D">
        <w:rPr>
          <w:rStyle w:val="libFootnotenumChar"/>
          <w:rtl/>
        </w:rPr>
        <w:t>(13)</w:t>
      </w:r>
      <w:r w:rsidRPr="00C9040A">
        <w:rPr>
          <w:rtl/>
          <w:lang w:bidi="fa-IR"/>
        </w:rPr>
        <w:t xml:space="preserve"> يَعْنِي بِالْجُلُودِ الْفُرُوجَ وَالْأَفْخَاذَ ، وَقَالَ : </w:t>
      </w:r>
      <w:r w:rsidRPr="0003660B">
        <w:rPr>
          <w:rStyle w:val="libAlaemChar"/>
          <w:rtl/>
        </w:rPr>
        <w:t>(</w:t>
      </w:r>
      <w:r w:rsidRPr="006A2246">
        <w:rPr>
          <w:rStyle w:val="libAieChar"/>
          <w:rtl/>
        </w:rPr>
        <w:t xml:space="preserve"> وَلا تَقْفُ ما لَيْسَ لَكَ بِهِ عِلْمٌ إِنَّ السَّمْعَ وَالْبَصَرَ وَالْفُؤادَ كُلُّ أُولئِكَ كانَ عَنْهُ مَسْؤُلاً </w:t>
      </w:r>
      <w:r w:rsidRPr="0003660B">
        <w:rPr>
          <w:rStyle w:val="libAlaemChar"/>
          <w:rtl/>
        </w:rPr>
        <w:t>)</w:t>
      </w:r>
      <w:r w:rsidRPr="00C9040A">
        <w:rPr>
          <w:rtl/>
          <w:lang w:bidi="fa-IR"/>
        </w:rPr>
        <w:t xml:space="preserve"> </w:t>
      </w:r>
      <w:r w:rsidRPr="005B567D">
        <w:rPr>
          <w:rStyle w:val="libFootnotenumChar"/>
          <w:rtl/>
        </w:rPr>
        <w:t>(14)</w:t>
      </w:r>
      <w:r w:rsidRPr="00C9040A">
        <w:rPr>
          <w:rtl/>
          <w:lang w:bidi="fa-IR"/>
        </w:rPr>
        <w:t xml:space="preserve"> فَهذَا مَا فَرَضَ اللهُ عَلَى الْعَيْنَيْنِ مِنْ غَضِّ الْبَصَرِ عَمَّا حَرَّمَ اللهُ عَزَّ وَجَلَّ</w:t>
      </w:r>
      <w:r w:rsidRPr="005B567D">
        <w:rPr>
          <w:rStyle w:val="libFootnotenumChar"/>
          <w:rtl/>
        </w:rPr>
        <w:t>(15)</w:t>
      </w:r>
      <w:r w:rsidRPr="00C9040A">
        <w:rPr>
          <w:rtl/>
          <w:lang w:bidi="fa-IR"/>
        </w:rPr>
        <w:t xml:space="preserve"> ، وَهُوَ عَمَلُهُمَا </w:t>
      </w:r>
      <w:r w:rsidRPr="005B567D">
        <w:rPr>
          <w:rStyle w:val="libFootnotenumChar"/>
          <w:rtl/>
        </w:rPr>
        <w:t>(16)</w:t>
      </w:r>
      <w:r w:rsidRPr="00C9040A">
        <w:rPr>
          <w:rtl/>
          <w:lang w:bidi="fa-IR"/>
        </w:rPr>
        <w:t xml:space="preserve"> ، وَهُوَ مِنَ الْإِيمَانِ.</w:t>
      </w:r>
    </w:p>
    <w:p w:rsidR="008A74EB" w:rsidRPr="00C9040A" w:rsidRDefault="008A74EB" w:rsidP="008A74EB">
      <w:pPr>
        <w:pStyle w:val="libNormal"/>
        <w:rPr>
          <w:rtl/>
          <w:lang w:bidi="fa-IR"/>
        </w:rPr>
      </w:pPr>
      <w:r w:rsidRPr="00C9040A">
        <w:rPr>
          <w:rtl/>
          <w:lang w:bidi="fa-IR"/>
        </w:rPr>
        <w:t xml:space="preserve">وَفَرَضَ اللهُ </w:t>
      </w:r>
      <w:r w:rsidRPr="005B567D">
        <w:rPr>
          <w:rStyle w:val="libFootnotenumChar"/>
          <w:rtl/>
        </w:rPr>
        <w:t>(17)</w:t>
      </w:r>
      <w:r w:rsidRPr="00C9040A">
        <w:rPr>
          <w:rtl/>
          <w:lang w:bidi="fa-IR"/>
        </w:rPr>
        <w:t xml:space="preserve"> عَلَى الْيَدَيْنِ أَنْ لَايَبْطِشَ بِهِمَا إِلى مَا حَرَّمَ اللهُ ، وَأَنْ يَبْطِشَ‌</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D12101" w:rsidTr="00D12101">
        <w:tc>
          <w:tcPr>
            <w:tcW w:w="4006" w:type="dxa"/>
          </w:tcPr>
          <w:p w:rsidR="00D12101" w:rsidRDefault="00D12101" w:rsidP="004A4E41">
            <w:pPr>
              <w:pStyle w:val="libFootnote0"/>
              <w:rPr>
                <w:rtl/>
              </w:rPr>
            </w:pPr>
            <w:r>
              <w:rPr>
                <w:rtl/>
              </w:rPr>
              <w:t>(1).</w:t>
            </w:r>
            <w:r w:rsidRPr="00C9040A">
              <w:rPr>
                <w:rtl/>
              </w:rPr>
              <w:t xml:space="preserve"> في « بس » : « عورتهم »</w:t>
            </w:r>
            <w:r>
              <w:rPr>
                <w:rtl/>
              </w:rPr>
              <w:t>.</w:t>
            </w:r>
          </w:p>
        </w:tc>
        <w:tc>
          <w:tcPr>
            <w:tcW w:w="4006" w:type="dxa"/>
          </w:tcPr>
          <w:p w:rsidR="00D12101" w:rsidRDefault="00D12101" w:rsidP="004A4E41">
            <w:pPr>
              <w:pStyle w:val="libFootnote0"/>
              <w:rPr>
                <w:rtl/>
              </w:rPr>
            </w:pPr>
            <w:r>
              <w:rPr>
                <w:rtl/>
              </w:rPr>
              <w:t xml:space="preserve">(2). </w:t>
            </w:r>
            <w:r w:rsidRPr="00C9040A">
              <w:rPr>
                <w:rtl/>
              </w:rPr>
              <w:t>في البحار : + « من »</w:t>
            </w:r>
            <w:r>
              <w:rPr>
                <w:rtl/>
              </w:rPr>
              <w:t>.</w:t>
            </w:r>
          </w:p>
        </w:tc>
      </w:tr>
      <w:tr w:rsidR="00D12101" w:rsidTr="00D12101">
        <w:tc>
          <w:tcPr>
            <w:tcW w:w="4006" w:type="dxa"/>
          </w:tcPr>
          <w:p w:rsidR="00D12101" w:rsidRDefault="00D12101" w:rsidP="004A4E41">
            <w:pPr>
              <w:pStyle w:val="libFootnote0"/>
              <w:rPr>
                <w:rtl/>
              </w:rPr>
            </w:pPr>
            <w:r>
              <w:rPr>
                <w:rtl/>
              </w:rPr>
              <w:t>(3).</w:t>
            </w:r>
            <w:r w:rsidRPr="00C9040A">
              <w:rPr>
                <w:rtl/>
              </w:rPr>
              <w:t xml:space="preserve"> في « ج » : « ينظروا »</w:t>
            </w:r>
            <w:r>
              <w:rPr>
                <w:rtl/>
              </w:rPr>
              <w:t>.</w:t>
            </w:r>
          </w:p>
        </w:tc>
        <w:tc>
          <w:tcPr>
            <w:tcW w:w="4006" w:type="dxa"/>
          </w:tcPr>
          <w:p w:rsidR="00D12101" w:rsidRDefault="00D12101" w:rsidP="004A4E41">
            <w:pPr>
              <w:pStyle w:val="libFootnote0"/>
              <w:rPr>
                <w:rtl/>
              </w:rPr>
            </w:pPr>
            <w:r>
              <w:rPr>
                <w:rtl/>
              </w:rPr>
              <w:t>(4).</w:t>
            </w:r>
            <w:r w:rsidRPr="00C9040A">
              <w:rPr>
                <w:rtl/>
              </w:rPr>
              <w:t xml:space="preserve"> في « ب ، ز » والوسائل </w:t>
            </w:r>
            <w:r>
              <w:rPr>
                <w:rtl/>
              </w:rPr>
              <w:t>: -</w:t>
            </w:r>
            <w:r w:rsidRPr="00C9040A">
              <w:rPr>
                <w:rtl/>
              </w:rPr>
              <w:t xml:space="preserve"> « و</w:t>
            </w:r>
            <w:r>
              <w:rPr>
                <w:rFonts w:hint="cs"/>
                <w:rtl/>
              </w:rPr>
              <w:t xml:space="preserve"> </w:t>
            </w:r>
            <w:r w:rsidRPr="00C9040A">
              <w:rPr>
                <w:rtl/>
              </w:rPr>
              <w:t>»</w:t>
            </w:r>
            <w:r>
              <w:rPr>
                <w:rtl/>
              </w:rPr>
              <w:t>.</w:t>
            </w:r>
          </w:p>
        </w:tc>
      </w:tr>
      <w:tr w:rsidR="00D12101" w:rsidTr="00D12101">
        <w:tc>
          <w:tcPr>
            <w:tcW w:w="4006" w:type="dxa"/>
          </w:tcPr>
          <w:p w:rsidR="00D12101" w:rsidRDefault="00D12101" w:rsidP="004A4E41">
            <w:pPr>
              <w:pStyle w:val="libFootnote0"/>
              <w:rPr>
                <w:rtl/>
              </w:rPr>
            </w:pPr>
            <w:r>
              <w:rPr>
                <w:rtl/>
              </w:rPr>
              <w:t>(5).</w:t>
            </w:r>
            <w:r w:rsidRPr="00C9040A">
              <w:rPr>
                <w:rtl/>
              </w:rPr>
              <w:t xml:space="preserve"> النور (24) : 30 </w:t>
            </w:r>
            <w:r>
              <w:rPr>
                <w:rtl/>
              </w:rPr>
              <w:t>و 3</w:t>
            </w:r>
            <w:r w:rsidRPr="00C9040A">
              <w:rPr>
                <w:rtl/>
              </w:rPr>
              <w:t>1.</w:t>
            </w:r>
          </w:p>
        </w:tc>
        <w:tc>
          <w:tcPr>
            <w:tcW w:w="4006" w:type="dxa"/>
          </w:tcPr>
          <w:p w:rsidR="00D12101" w:rsidRDefault="00D12101" w:rsidP="004A4E41">
            <w:pPr>
              <w:pStyle w:val="libFootnote0"/>
              <w:rPr>
                <w:rtl/>
              </w:rPr>
            </w:pPr>
            <w:r>
              <w:rPr>
                <w:rtl/>
              </w:rPr>
              <w:t>(6).في «ب ،د ،ض ،بر ،بف» والبحار: «أن ينظر</w:t>
            </w:r>
            <w:r w:rsidRPr="00C9040A">
              <w:rPr>
                <w:rtl/>
              </w:rPr>
              <w:t>»</w:t>
            </w:r>
            <w:r>
              <w:rPr>
                <w:rtl/>
              </w:rPr>
              <w:t>.</w:t>
            </w:r>
          </w:p>
        </w:tc>
      </w:tr>
      <w:tr w:rsidR="00D12101" w:rsidTr="00D12101">
        <w:tc>
          <w:tcPr>
            <w:tcW w:w="4006" w:type="dxa"/>
          </w:tcPr>
          <w:p w:rsidR="00D12101" w:rsidRDefault="00D12101" w:rsidP="004A4E41">
            <w:pPr>
              <w:pStyle w:val="libFootnote0"/>
              <w:rPr>
                <w:rtl/>
              </w:rPr>
            </w:pPr>
            <w:r>
              <w:rPr>
                <w:rtl/>
              </w:rPr>
              <w:t>(7).</w:t>
            </w:r>
            <w:r w:rsidRPr="00C9040A">
              <w:rPr>
                <w:rtl/>
              </w:rPr>
              <w:t xml:space="preserve"> في « بس » : « أحد منهنّ »</w:t>
            </w:r>
            <w:r>
              <w:rPr>
                <w:rtl/>
              </w:rPr>
              <w:t>.</w:t>
            </w:r>
          </w:p>
        </w:tc>
        <w:tc>
          <w:tcPr>
            <w:tcW w:w="4006" w:type="dxa"/>
          </w:tcPr>
          <w:p w:rsidR="00D12101" w:rsidRDefault="00D12101" w:rsidP="004A4E41">
            <w:pPr>
              <w:pStyle w:val="libFootnote0"/>
              <w:rPr>
                <w:rtl/>
              </w:rPr>
            </w:pPr>
            <w:r>
              <w:rPr>
                <w:rtl/>
              </w:rPr>
              <w:t>(8).</w:t>
            </w:r>
            <w:r w:rsidRPr="00C9040A">
              <w:rPr>
                <w:rtl/>
              </w:rPr>
              <w:t xml:space="preserve"> في « ف » : « أن تنظر »</w:t>
            </w:r>
            <w:r>
              <w:rPr>
                <w:rtl/>
              </w:rPr>
              <w:t>.</w:t>
            </w:r>
          </w:p>
        </w:tc>
      </w:tr>
    </w:tbl>
    <w:p w:rsidR="008A74EB" w:rsidRPr="00C9040A" w:rsidRDefault="006C577F" w:rsidP="004A4E41">
      <w:pPr>
        <w:pStyle w:val="libFootnote0"/>
        <w:rPr>
          <w:rtl/>
          <w:lang w:bidi="fa-IR"/>
        </w:rPr>
      </w:pPr>
      <w:r>
        <w:rPr>
          <w:rtl/>
        </w:rPr>
        <w:t>(9).</w:t>
      </w:r>
      <w:r w:rsidR="008A74EB" w:rsidRPr="00C9040A">
        <w:rPr>
          <w:rtl/>
        </w:rPr>
        <w:t xml:space="preserve"> في « ف » : + « ا</w:t>
      </w:r>
      <w:r w:rsidR="00D12101">
        <w:rPr>
          <w:rFonts w:hint="cs"/>
          <w:rtl/>
        </w:rPr>
        <w:t>ُ</w:t>
      </w:r>
      <w:r w:rsidR="008A74EB" w:rsidRPr="00C9040A">
        <w:rPr>
          <w:rtl/>
        </w:rPr>
        <w:t>ختها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w:t>
      </w:r>
      <w:r w:rsidR="008A74EB" w:rsidRPr="00993B55">
        <w:rPr>
          <w:rStyle w:val="libFootnoteBoldChar"/>
          <w:rtl/>
        </w:rPr>
        <w:t>مرآة العقول</w:t>
      </w:r>
      <w:r w:rsidR="008A74EB" w:rsidRPr="00C9040A">
        <w:rPr>
          <w:rtl/>
        </w:rPr>
        <w:t xml:space="preserve"> ، ج 7 ، ص 232 : « ليس المراد نقص المبصرات وتبعيضها ولا الأبصار ، بل النظر بها ، وهو المراد ممّا قيل : المراد غضّ البصر وخفضه عمّا يحرم النظر إليه والاقتصار به على ما يحلّ</w:t>
      </w:r>
      <w:r w:rsidR="008A74EB">
        <w:rPr>
          <w:rtl/>
        </w:rPr>
        <w:t xml:space="preserve"> ..</w:t>
      </w:r>
      <w:r w:rsidR="008A74EB" w:rsidRPr="00C9040A">
        <w:rPr>
          <w:rtl/>
        </w:rPr>
        <w:t>. وهذه الرواية وغيرها تدلّ على أنّ المراد بحفظ الفرج هنا ستره عن أن ينظر إليه أحد ، وكذا ظاهر الرواية تخصيص غضّ البصر بترك النظر إلى العورة »</w:t>
      </w:r>
      <w:r w:rsidR="008A74EB">
        <w:rPr>
          <w:rtl/>
        </w:rPr>
        <w:t>.</w:t>
      </w:r>
      <w:r w:rsidR="008A74EB" w:rsidRPr="00C9040A">
        <w:rPr>
          <w:rtl/>
        </w:rPr>
        <w:t xml:space="preserve"> وللمزيد راجع : </w:t>
      </w:r>
      <w:r w:rsidR="008A74EB" w:rsidRPr="00993B55">
        <w:rPr>
          <w:rStyle w:val="libFootnoteBoldChar"/>
          <w:rtl/>
        </w:rPr>
        <w:t>التبيان</w:t>
      </w:r>
      <w:r w:rsidR="008A74EB" w:rsidRPr="00C9040A">
        <w:rPr>
          <w:rtl/>
        </w:rPr>
        <w:t xml:space="preserve"> ، ج 7 ، ص 429 ؛ </w:t>
      </w:r>
      <w:r w:rsidR="008A74EB" w:rsidRPr="00993B55">
        <w:rPr>
          <w:rStyle w:val="libFootnoteBoldChar"/>
          <w:rtl/>
        </w:rPr>
        <w:t>الكشّاف</w:t>
      </w:r>
      <w:r w:rsidR="008A74EB" w:rsidRPr="00C9040A">
        <w:rPr>
          <w:rtl/>
        </w:rPr>
        <w:t xml:space="preserve"> ، ج 3 ، ص 60 ؛ </w:t>
      </w:r>
      <w:r w:rsidR="008A74EB" w:rsidRPr="00993B55">
        <w:rPr>
          <w:rStyle w:val="libFootnoteBoldChar"/>
          <w:rtl/>
        </w:rPr>
        <w:t>مجمع البيان</w:t>
      </w:r>
      <w:r w:rsidR="008A74EB" w:rsidRPr="00C9040A">
        <w:rPr>
          <w:rtl/>
        </w:rPr>
        <w:t xml:space="preserve"> ، ج 7 ، ص 241 ؛ </w:t>
      </w:r>
      <w:r w:rsidR="008A74EB" w:rsidRPr="00993B55">
        <w:rPr>
          <w:rStyle w:val="libFootnoteBoldChar"/>
          <w:rtl/>
        </w:rPr>
        <w:t>فقه القرآن</w:t>
      </w:r>
      <w:r w:rsidR="008A74EB" w:rsidRPr="00D12101">
        <w:rPr>
          <w:rStyle w:val="libFootnoteBoldChar"/>
          <w:rtl/>
        </w:rPr>
        <w:t xml:space="preserve"> للراوندي</w:t>
      </w:r>
      <w:r w:rsidR="008A74EB" w:rsidRPr="00C9040A">
        <w:rPr>
          <w:rtl/>
        </w:rPr>
        <w:t xml:space="preserve"> ، ج 2 ، ص 128 ، في كلّها ذيل الآية المذكورة ؛ </w:t>
      </w:r>
      <w:r w:rsidR="008A74EB" w:rsidRPr="00993B55">
        <w:rPr>
          <w:rStyle w:val="libFootnoteBoldChar"/>
          <w:rtl/>
        </w:rPr>
        <w:t>شرح المازندراني</w:t>
      </w:r>
      <w:r w:rsidR="008A74EB" w:rsidRPr="00C9040A">
        <w:rPr>
          <w:rtl/>
        </w:rPr>
        <w:t xml:space="preserve"> ، ج 8 ، ص 105</w:t>
      </w:r>
      <w:r w:rsidR="008A74EB">
        <w:rPr>
          <w:rtl/>
        </w:rPr>
        <w:t xml:space="preserve"> </w:t>
      </w:r>
      <w:r w:rsidR="0084262C">
        <w:rPr>
          <w:rtl/>
        </w:rPr>
        <w:t>-</w:t>
      </w:r>
      <w:r w:rsidR="008A74EB">
        <w:rPr>
          <w:rtl/>
        </w:rPr>
        <w:t xml:space="preserve"> </w:t>
      </w:r>
      <w:r w:rsidR="008A74EB" w:rsidRPr="00C9040A">
        <w:rPr>
          <w:rtl/>
        </w:rPr>
        <w:t>106.</w:t>
      </w:r>
      <w:r w:rsidR="00D12101">
        <w:rPr>
          <w:rFonts w:hint="cs"/>
          <w:rtl/>
        </w:rPr>
        <w:t xml:space="preserve">                                 </w:t>
      </w:r>
      <w:r w:rsidR="00B866D3">
        <w:rPr>
          <w:rFonts w:hint="cs"/>
          <w:rtl/>
        </w:rPr>
        <w:t xml:space="preserve">    </w:t>
      </w:r>
      <w:r w:rsidR="00D12101">
        <w:rPr>
          <w:rFonts w:hint="cs"/>
          <w:rtl/>
        </w:rPr>
        <w:t xml:space="preserve">          </w:t>
      </w:r>
      <w:r>
        <w:rPr>
          <w:rtl/>
        </w:rPr>
        <w:t>(11).</w:t>
      </w:r>
      <w:r w:rsidR="008A74EB" w:rsidRPr="00C9040A">
        <w:rPr>
          <w:rtl/>
        </w:rPr>
        <w:t xml:space="preserve"> في « ب ، ج ، ص ، ف » : + « الله »</w:t>
      </w:r>
      <w:r w:rsidR="008A74EB">
        <w:rPr>
          <w:rtl/>
        </w:rPr>
        <w:t>.</w:t>
      </w:r>
    </w:p>
    <w:p w:rsidR="008A74EB" w:rsidRPr="004A4E41" w:rsidRDefault="006C577F" w:rsidP="004A4E41">
      <w:pPr>
        <w:pStyle w:val="libFootnote0"/>
        <w:rPr>
          <w:rStyle w:val="libFootnote0Char"/>
          <w:rtl/>
        </w:rPr>
      </w:pPr>
      <w:r>
        <w:rPr>
          <w:rtl/>
        </w:rPr>
        <w:t>(12).</w:t>
      </w:r>
      <w:r w:rsidR="008A74EB" w:rsidRPr="00C9040A">
        <w:rPr>
          <w:rtl/>
        </w:rPr>
        <w:t xml:space="preserve"> في الوسائل : « البصر واللسان » بدل « اللسان والسمع والبصر »</w:t>
      </w:r>
      <w:r w:rsidR="008A74EB">
        <w:rPr>
          <w:rtl/>
        </w:rPr>
        <w:t>.</w:t>
      </w:r>
    </w:p>
    <w:tbl>
      <w:tblPr>
        <w:tblStyle w:val="TableGrid"/>
        <w:bidiVisual/>
        <w:tblW w:w="0" w:type="auto"/>
        <w:tblLook w:val="04A0" w:firstRow="1" w:lastRow="0" w:firstColumn="1" w:lastColumn="0" w:noHBand="0" w:noVBand="1"/>
      </w:tblPr>
      <w:tblGrid>
        <w:gridCol w:w="4006"/>
        <w:gridCol w:w="4006"/>
      </w:tblGrid>
      <w:tr w:rsidR="00D12101" w:rsidTr="00D12101">
        <w:tc>
          <w:tcPr>
            <w:tcW w:w="4006" w:type="dxa"/>
          </w:tcPr>
          <w:p w:rsidR="00D12101" w:rsidRDefault="00D12101" w:rsidP="004A4E41">
            <w:pPr>
              <w:pStyle w:val="libFootnote0"/>
              <w:rPr>
                <w:rtl/>
              </w:rPr>
            </w:pPr>
            <w:r>
              <w:rPr>
                <w:rtl/>
              </w:rPr>
              <w:t>(13)</w:t>
            </w:r>
            <w:r w:rsidRPr="00C9040A">
              <w:rPr>
                <w:rtl/>
              </w:rPr>
              <w:t xml:space="preserve"> فصّلت (41) : 22.</w:t>
            </w:r>
          </w:p>
        </w:tc>
        <w:tc>
          <w:tcPr>
            <w:tcW w:w="4006" w:type="dxa"/>
          </w:tcPr>
          <w:p w:rsidR="00D12101" w:rsidRDefault="00D12101" w:rsidP="004A4E41">
            <w:pPr>
              <w:pStyle w:val="libFootnote0"/>
              <w:rPr>
                <w:rtl/>
              </w:rPr>
            </w:pPr>
            <w:r>
              <w:rPr>
                <w:rtl/>
              </w:rPr>
              <w:t>(14)</w:t>
            </w:r>
            <w:r w:rsidRPr="00C9040A">
              <w:rPr>
                <w:rtl/>
              </w:rPr>
              <w:t xml:space="preserve"> الإسراء (17) : 36.</w:t>
            </w:r>
          </w:p>
        </w:tc>
      </w:tr>
      <w:tr w:rsidR="00D12101" w:rsidTr="00D12101">
        <w:tc>
          <w:tcPr>
            <w:tcW w:w="4006" w:type="dxa"/>
          </w:tcPr>
          <w:p w:rsidR="00D12101" w:rsidRDefault="00D12101" w:rsidP="004A4E41">
            <w:pPr>
              <w:pStyle w:val="libFootnote0"/>
              <w:rPr>
                <w:rtl/>
              </w:rPr>
            </w:pPr>
            <w:r>
              <w:rPr>
                <w:rtl/>
              </w:rPr>
              <w:t>(15)</w:t>
            </w:r>
            <w:r w:rsidRPr="00C9040A">
              <w:rPr>
                <w:rtl/>
              </w:rPr>
              <w:t xml:space="preserve"> في الوسائل </w:t>
            </w:r>
            <w:r>
              <w:rPr>
                <w:rtl/>
              </w:rPr>
              <w:t>: -</w:t>
            </w:r>
            <w:r w:rsidRPr="00C9040A">
              <w:rPr>
                <w:rtl/>
              </w:rPr>
              <w:t xml:space="preserve"> « عمّا حرّم الله عزّ وجلّ »</w:t>
            </w:r>
            <w:r>
              <w:rPr>
                <w:rtl/>
              </w:rPr>
              <w:t>.</w:t>
            </w:r>
          </w:p>
        </w:tc>
        <w:tc>
          <w:tcPr>
            <w:tcW w:w="4006" w:type="dxa"/>
          </w:tcPr>
          <w:p w:rsidR="00D12101" w:rsidRDefault="00D12101" w:rsidP="004A4E41">
            <w:pPr>
              <w:pStyle w:val="libFootnote0"/>
              <w:rPr>
                <w:rtl/>
              </w:rPr>
            </w:pPr>
            <w:r>
              <w:rPr>
                <w:rtl/>
              </w:rPr>
              <w:t>(16)</w:t>
            </w:r>
            <w:r w:rsidRPr="00C9040A">
              <w:rPr>
                <w:rtl/>
              </w:rPr>
              <w:t xml:space="preserve"> في « ج ، بر ، بف » : « عملها »</w:t>
            </w:r>
            <w:r>
              <w:rPr>
                <w:rtl/>
              </w:rPr>
              <w:t>.</w:t>
            </w:r>
          </w:p>
        </w:tc>
      </w:tr>
    </w:tbl>
    <w:p w:rsidR="008A74EB" w:rsidRPr="00C9040A" w:rsidRDefault="008A74EB" w:rsidP="004A4E41">
      <w:pPr>
        <w:pStyle w:val="libFootnote0"/>
        <w:rPr>
          <w:rtl/>
          <w:lang w:bidi="fa-IR"/>
        </w:rPr>
      </w:pPr>
      <w:r>
        <w:rPr>
          <w:rtl/>
        </w:rPr>
        <w:t>(17)</w:t>
      </w:r>
      <w:r w:rsidRPr="00C9040A">
        <w:rPr>
          <w:rtl/>
        </w:rPr>
        <w:t xml:space="preserve"> في « ب ، ج ، د ، ص ، ض ، ف ، بس ، بف » والوافي والوسائل </w:t>
      </w:r>
      <w:r>
        <w:rPr>
          <w:rtl/>
        </w:rPr>
        <w:t xml:space="preserve">: </w:t>
      </w:r>
      <w:r w:rsidR="0084262C">
        <w:rPr>
          <w:rtl/>
        </w:rPr>
        <w:t>-</w:t>
      </w:r>
      <w:r w:rsidRPr="00C9040A">
        <w:rPr>
          <w:rtl/>
        </w:rPr>
        <w:t xml:space="preserve"> « الله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بِهِمَا إِلى مَا أَمَرَ اللهُ عَزَّ وَجَلَّ ، وَفَرَضَ عَلَيْهِمَا مِنَ الصَّدَقَةِ وَصِلَةِ الرَّحِمِ </w:t>
      </w:r>
      <w:r w:rsidR="006C577F" w:rsidRPr="006C577F">
        <w:rPr>
          <w:rStyle w:val="libFootnotenumChar"/>
          <w:rtl/>
        </w:rPr>
        <w:t>(1)</w:t>
      </w:r>
      <w:r w:rsidRPr="009E51F8">
        <w:rPr>
          <w:rFonts w:hint="cs"/>
          <w:rtl/>
        </w:rPr>
        <w:t xml:space="preserve"> </w:t>
      </w:r>
      <w:r w:rsidRPr="00C9040A">
        <w:rPr>
          <w:rtl/>
          <w:lang w:bidi="fa-IR"/>
        </w:rPr>
        <w:t xml:space="preserve">وَالْجِهَادِ فِي سَبِيلِ اللهِ وَالطَّهُورِ لِلصَّلَاةِ </w:t>
      </w:r>
      <w:r w:rsidR="006C577F" w:rsidRPr="006C577F">
        <w:rPr>
          <w:rStyle w:val="libFootnotenumChar"/>
          <w:rtl/>
        </w:rPr>
        <w:t>(2)</w:t>
      </w:r>
      <w:r w:rsidRPr="00C9040A">
        <w:rPr>
          <w:rtl/>
          <w:lang w:bidi="fa-IR"/>
        </w:rPr>
        <w:t xml:space="preserve"> ، فَقَالَ : </w:t>
      </w:r>
      <w:r w:rsidRPr="0003660B">
        <w:rPr>
          <w:rStyle w:val="libAlaemChar"/>
          <w:rtl/>
        </w:rPr>
        <w:t>(</w:t>
      </w:r>
      <w:r w:rsidRPr="006A2246">
        <w:rPr>
          <w:rStyle w:val="libAieChar"/>
          <w:rtl/>
        </w:rPr>
        <w:t xml:space="preserve"> يا أَيُّهَا الَّذِينَ آمَنُوا إِذا قُمْتُمْ إِلَى الصَّلاةِ فَاغْسِلُوا وُجُوهَكُمْ وَأَيْدِيَكُمْ إِلَى الْمَرافِقِ وَامْسَحُوا بِرُؤُسِكُمْ وَأَرْجُلَكُمْ إِلَى الْكَعْبَيْنِ </w:t>
      </w:r>
      <w:r w:rsidRPr="0003660B">
        <w:rPr>
          <w:rStyle w:val="libAlaemChar"/>
          <w:rtl/>
        </w:rPr>
        <w:t>)</w:t>
      </w:r>
      <w:r w:rsidRPr="00C9040A">
        <w:rPr>
          <w:rtl/>
          <w:lang w:bidi="fa-IR"/>
        </w:rPr>
        <w:t xml:space="preserve"> </w:t>
      </w:r>
      <w:r w:rsidR="006C577F" w:rsidRPr="006C577F">
        <w:rPr>
          <w:rStyle w:val="libFootnotenumChar"/>
          <w:rtl/>
        </w:rPr>
        <w:t>(3)</w:t>
      </w:r>
      <w:r w:rsidRPr="00C9040A">
        <w:rPr>
          <w:rtl/>
          <w:lang w:bidi="fa-IR"/>
        </w:rPr>
        <w:t xml:space="preserve"> وَقَالَ </w:t>
      </w:r>
      <w:r w:rsidR="006C577F" w:rsidRPr="006C577F">
        <w:rPr>
          <w:rStyle w:val="libFootnotenumChar"/>
          <w:rtl/>
        </w:rPr>
        <w:t>(4)</w:t>
      </w:r>
      <w:r w:rsidRPr="00C9040A">
        <w:rPr>
          <w:rtl/>
          <w:lang w:bidi="fa-IR"/>
        </w:rPr>
        <w:t xml:space="preserve"> : </w:t>
      </w:r>
      <w:r w:rsidRPr="0003660B">
        <w:rPr>
          <w:rStyle w:val="libAlaemChar"/>
          <w:rtl/>
        </w:rPr>
        <w:t>(</w:t>
      </w:r>
      <w:r w:rsidRPr="006A2246">
        <w:rPr>
          <w:rStyle w:val="libAieChar"/>
          <w:rtl/>
        </w:rPr>
        <w:t xml:space="preserve"> فَإِذا لَقِيتُمُ الَّذِينَ كَفَرُوا فَضَرْبَ الرِّقابِ حَتّى إِذا أَثْخَنْتُمُوهُمْ فَشُدُّوا الْوَثاقَ فَإِمّا مَنًّا بَعْدُ وَإِمّا فِداءً حَتّى تَضَعَ الْحَرْبُ أَوْزارَها </w:t>
      </w:r>
      <w:r w:rsidRPr="0003660B">
        <w:rPr>
          <w:rStyle w:val="libAlaemChar"/>
          <w:rtl/>
        </w:rPr>
        <w:t>)</w:t>
      </w:r>
      <w:r w:rsidRPr="00C9040A">
        <w:rPr>
          <w:rtl/>
          <w:lang w:bidi="fa-IR"/>
        </w:rPr>
        <w:t xml:space="preserve"> </w:t>
      </w:r>
      <w:r w:rsidR="006C577F" w:rsidRPr="006C577F">
        <w:rPr>
          <w:rStyle w:val="libFootnotenumChar"/>
          <w:rtl/>
        </w:rPr>
        <w:t>(5)</w:t>
      </w:r>
      <w:r w:rsidRPr="00C9040A">
        <w:rPr>
          <w:rtl/>
          <w:lang w:bidi="fa-IR"/>
        </w:rPr>
        <w:t xml:space="preserve"> فَهذَا مَا فَرَضَ اللهُ عَلَى الْيَدَيْنِ ؛ لِأَنَّ الضَّرْبَ مِنْ عِلَاجِهِمَا.</w:t>
      </w:r>
    </w:p>
    <w:p w:rsidR="008A74EB" w:rsidRPr="00C9040A" w:rsidRDefault="008A74EB" w:rsidP="008A74EB">
      <w:pPr>
        <w:pStyle w:val="libNormal"/>
        <w:rPr>
          <w:rtl/>
          <w:lang w:bidi="fa-IR"/>
        </w:rPr>
      </w:pPr>
      <w:r w:rsidRPr="00C9040A">
        <w:rPr>
          <w:rtl/>
          <w:lang w:bidi="fa-IR"/>
        </w:rPr>
        <w:t xml:space="preserve">وَفَرَضَ عَلَى الرِّجْلَيْنِ أَنْ لَايَمْشِيَ بِهِمَا إِلى شَيْ‌ءٍ مِنْ مَعَاصِي اللهِ ، وَفَرَضَ </w:t>
      </w:r>
      <w:r w:rsidR="006C577F" w:rsidRPr="006C577F">
        <w:rPr>
          <w:rStyle w:val="libFootnotenumChar"/>
          <w:rtl/>
        </w:rPr>
        <w:t>(6)</w:t>
      </w:r>
      <w:r w:rsidRPr="005B567D">
        <w:rPr>
          <w:rStyle w:val="libFootnotenumChar"/>
          <w:rtl/>
        </w:rPr>
        <w:t xml:space="preserve"> </w:t>
      </w:r>
      <w:r w:rsidRPr="00C9040A">
        <w:rPr>
          <w:rtl/>
          <w:lang w:bidi="fa-IR"/>
        </w:rPr>
        <w:t xml:space="preserve">عَلَيْهِمَا الْمَشْيَ إِلى مَا يُرْضِي </w:t>
      </w:r>
      <w:r w:rsidR="006C577F" w:rsidRPr="006C577F">
        <w:rPr>
          <w:rStyle w:val="libFootnotenumChar"/>
          <w:rtl/>
        </w:rPr>
        <w:t>(7)</w:t>
      </w:r>
      <w:r w:rsidRPr="00C9040A">
        <w:rPr>
          <w:rtl/>
          <w:lang w:bidi="fa-IR"/>
        </w:rPr>
        <w:t xml:space="preserve"> اللهَ عَزَّ وَجَلَّ ، فَقَالَ : </w:t>
      </w:r>
      <w:r w:rsidRPr="0003660B">
        <w:rPr>
          <w:rStyle w:val="libAlaemChar"/>
          <w:rtl/>
        </w:rPr>
        <w:t>(</w:t>
      </w:r>
      <w:r w:rsidRPr="006A2246">
        <w:rPr>
          <w:rStyle w:val="libAieChar"/>
          <w:rtl/>
        </w:rPr>
        <w:t xml:space="preserve"> وَلا تَمْشِ فِي الْأَرْضِ مَرَحاً إِنَّكَ لَنْ تَخْرِقَ الْأَرْضَ وَلَنْ تَبْلُغَ الْجِبالَ طُولاً </w:t>
      </w:r>
      <w:r w:rsidRPr="0003660B">
        <w:rPr>
          <w:rStyle w:val="libAlaemChar"/>
          <w:rtl/>
        </w:rPr>
        <w:t>)</w:t>
      </w:r>
      <w:r w:rsidRPr="00C9040A">
        <w:rPr>
          <w:rtl/>
          <w:lang w:bidi="fa-IR"/>
        </w:rPr>
        <w:t xml:space="preserve"> </w:t>
      </w:r>
      <w:r w:rsidR="006C577F" w:rsidRPr="006C577F">
        <w:rPr>
          <w:rStyle w:val="libFootnotenumChar"/>
          <w:rtl/>
        </w:rPr>
        <w:t>(8)</w:t>
      </w:r>
      <w:r w:rsidRPr="00C9040A">
        <w:rPr>
          <w:rtl/>
          <w:lang w:bidi="fa-IR"/>
        </w:rPr>
        <w:t xml:space="preserve"> وَقَالَ : </w:t>
      </w:r>
      <w:r w:rsidRPr="0003660B">
        <w:rPr>
          <w:rStyle w:val="libAlaemChar"/>
          <w:rtl/>
        </w:rPr>
        <w:t>(</w:t>
      </w:r>
      <w:r w:rsidRPr="006A2246">
        <w:rPr>
          <w:rStyle w:val="libAieChar"/>
          <w:rtl/>
        </w:rPr>
        <w:t xml:space="preserve"> وَاقْصِدْ فِي مَشْيِكَ وَاغْضُضْ مِنْ صَوْتِكَ إِنَّ أَنْكَرَ الْأَصْواتِ لَصَوْتُ الْحَمِيرِ </w:t>
      </w:r>
      <w:r w:rsidRPr="0003660B">
        <w:rPr>
          <w:rStyle w:val="libAlaemChar"/>
          <w:rtl/>
        </w:rPr>
        <w:t>)</w:t>
      </w:r>
      <w:r w:rsidRPr="00C9040A">
        <w:rPr>
          <w:rtl/>
          <w:lang w:bidi="fa-IR"/>
        </w:rPr>
        <w:t xml:space="preserve"> </w:t>
      </w:r>
      <w:r w:rsidR="006C577F" w:rsidRPr="006C577F">
        <w:rPr>
          <w:rStyle w:val="libFootnotenumChar"/>
          <w:rtl/>
        </w:rPr>
        <w:t>(9)</w:t>
      </w:r>
      <w:r w:rsidRPr="00C9040A">
        <w:rPr>
          <w:rtl/>
          <w:lang w:bidi="fa-IR"/>
        </w:rPr>
        <w:t xml:space="preserve"> وَقَالَ </w:t>
      </w:r>
      <w:r w:rsidR="006C577F" w:rsidRPr="006C577F">
        <w:rPr>
          <w:rStyle w:val="libFootnotenumChar"/>
          <w:rtl/>
        </w:rPr>
        <w:t>(10)</w:t>
      </w:r>
      <w:r>
        <w:rPr>
          <w:rtl/>
          <w:lang w:bidi="fa-IR"/>
        </w:rPr>
        <w:t xml:space="preserve"> </w:t>
      </w:r>
      <w:r w:rsidR="0084262C">
        <w:rPr>
          <w:rtl/>
          <w:lang w:bidi="fa-IR"/>
        </w:rPr>
        <w:t>-</w:t>
      </w:r>
      <w:r>
        <w:rPr>
          <w:rtl/>
          <w:lang w:bidi="fa-IR"/>
        </w:rPr>
        <w:t xml:space="preserve"> </w:t>
      </w:r>
      <w:r w:rsidRPr="00C9040A">
        <w:rPr>
          <w:rtl/>
          <w:lang w:bidi="fa-IR"/>
        </w:rPr>
        <w:t xml:space="preserve">فِيمَا شَهِدَتِ </w:t>
      </w:r>
      <w:r w:rsidR="006C577F" w:rsidRPr="006C577F">
        <w:rPr>
          <w:rStyle w:val="libFootnotenumChar"/>
          <w:rtl/>
        </w:rPr>
        <w:t>(11)</w:t>
      </w:r>
      <w:r w:rsidRPr="00C9040A">
        <w:rPr>
          <w:rtl/>
          <w:lang w:bidi="fa-IR"/>
        </w:rPr>
        <w:t xml:space="preserve"> الْأَيْدِي </w:t>
      </w:r>
      <w:r w:rsidR="006C577F" w:rsidRPr="006C577F">
        <w:rPr>
          <w:rStyle w:val="libFootnotenumChar"/>
          <w:rtl/>
        </w:rPr>
        <w:t>(12)</w:t>
      </w:r>
      <w:r w:rsidRPr="00C9040A">
        <w:rPr>
          <w:rtl/>
          <w:lang w:bidi="fa-IR"/>
        </w:rPr>
        <w:t xml:space="preserve"> وَالْأَرْجُلُ عَلى </w:t>
      </w:r>
      <w:r w:rsidRPr="005B567D">
        <w:rPr>
          <w:rStyle w:val="libFootnotenumChar"/>
          <w:rtl/>
        </w:rPr>
        <w:t>(13)</w:t>
      </w:r>
      <w:r w:rsidRPr="00C9040A">
        <w:rPr>
          <w:rtl/>
          <w:lang w:bidi="fa-IR"/>
        </w:rPr>
        <w:t xml:space="preserve"> أَنْفُسِهِمَا </w:t>
      </w:r>
      <w:r w:rsidRPr="005B567D">
        <w:rPr>
          <w:rStyle w:val="libFootnotenumChar"/>
          <w:rtl/>
        </w:rPr>
        <w:t>(14)</w:t>
      </w:r>
      <w:r w:rsidRPr="00C9040A">
        <w:rPr>
          <w:rtl/>
          <w:lang w:bidi="fa-IR"/>
        </w:rPr>
        <w:t xml:space="preserve"> ، وَعَلى أَرْبَابِهِمَا </w:t>
      </w:r>
      <w:r w:rsidRPr="005B567D">
        <w:rPr>
          <w:rStyle w:val="libFootnotenumChar"/>
          <w:rtl/>
        </w:rPr>
        <w:t>(15)</w:t>
      </w:r>
      <w:r w:rsidRPr="00C9040A">
        <w:rPr>
          <w:rtl/>
          <w:lang w:bidi="fa-IR"/>
        </w:rPr>
        <w:t xml:space="preserve"> مِنْ تَضْيِيعِهِمَا </w:t>
      </w:r>
      <w:r w:rsidRPr="005B567D">
        <w:rPr>
          <w:rStyle w:val="libFootnotenumChar"/>
          <w:rtl/>
        </w:rPr>
        <w:t>(16)</w:t>
      </w:r>
      <w:r w:rsidRPr="00C9040A">
        <w:rPr>
          <w:rtl/>
          <w:lang w:bidi="fa-IR"/>
        </w:rPr>
        <w:t xml:space="preserve"> لِمَا أَمَرَ اللهُ عَزَّ وَجَلَّ بِهِ ، وَفَرَضَهُ عَلَيْهِمَا </w:t>
      </w:r>
      <w:r w:rsidRPr="005B567D">
        <w:rPr>
          <w:rStyle w:val="libFootnotenumChar"/>
          <w:rtl/>
        </w:rPr>
        <w:t>(17)</w:t>
      </w:r>
      <w:r w:rsidRPr="00C9040A">
        <w:rPr>
          <w:rtl/>
          <w:lang w:bidi="fa-IR"/>
        </w:rPr>
        <w:t xml:space="preserve"> </w:t>
      </w:r>
      <w:r w:rsidR="0084262C">
        <w:rPr>
          <w:rtl/>
          <w:lang w:bidi="fa-IR"/>
        </w:rPr>
        <w:t>-</w:t>
      </w:r>
      <w:r>
        <w:rPr>
          <w:rtl/>
          <w:lang w:bidi="fa-IR"/>
        </w:rPr>
        <w:t xml:space="preserve"> :</w:t>
      </w:r>
      <w:r w:rsidRPr="00C9040A">
        <w:rPr>
          <w:rtl/>
          <w:lang w:bidi="fa-IR"/>
        </w:rPr>
        <w:t xml:space="preserve"> </w:t>
      </w:r>
      <w:r w:rsidRPr="0003660B">
        <w:rPr>
          <w:rStyle w:val="libAlaemChar"/>
          <w:rtl/>
        </w:rPr>
        <w:t>(</w:t>
      </w:r>
      <w:r w:rsidRPr="006A2246">
        <w:rPr>
          <w:rStyle w:val="libAieChar"/>
          <w:rtl/>
        </w:rPr>
        <w:t xml:space="preserve"> الْيَوْمَ نَخْتِمُ عَلى أَفْواهِهِمْ وَتُكَلِّمُنا أَيْدِيهِمْ وَتَشْهَدُ أَرْجُلُهُمْ بِما كانُوا يَكْسِبُونَ </w:t>
      </w:r>
      <w:r w:rsidRPr="0003660B">
        <w:rPr>
          <w:rStyle w:val="libAlaemChar"/>
          <w:rtl/>
        </w:rPr>
        <w:t>)</w:t>
      </w:r>
      <w:r w:rsidRPr="00C9040A">
        <w:rPr>
          <w:rtl/>
          <w:lang w:bidi="fa-IR"/>
        </w:rPr>
        <w:t xml:space="preserve"> </w:t>
      </w:r>
      <w:r w:rsidRPr="005B567D">
        <w:rPr>
          <w:rStyle w:val="libFootnotenumChar"/>
          <w:rtl/>
        </w:rPr>
        <w:t>(18)</w:t>
      </w:r>
      <w:r w:rsidRPr="00C9040A">
        <w:rPr>
          <w:rtl/>
          <w:lang w:bidi="fa-IR"/>
        </w:rPr>
        <w:t xml:space="preserve"> فَهذَا أَيْضاً </w:t>
      </w:r>
      <w:r w:rsidRPr="005B567D">
        <w:rPr>
          <w:rStyle w:val="libFootnotenumChar"/>
          <w:rtl/>
        </w:rPr>
        <w:t>(19)</w:t>
      </w:r>
      <w:r w:rsidRPr="00C9040A">
        <w:rPr>
          <w:rtl/>
          <w:lang w:bidi="fa-IR"/>
        </w:rPr>
        <w:t xml:space="preserve"> مِمَّا فَرَضَ اللهُ عَلَى الْيَدَيْنِ وَعَلَى الرِّجْلَيْنِ ، وَهُوَ عَمَلُهُمَا </w:t>
      </w:r>
      <w:r w:rsidRPr="005B567D">
        <w:rPr>
          <w:rStyle w:val="libFootnotenumChar"/>
          <w:rtl/>
        </w:rPr>
        <w:t>(20)</w:t>
      </w:r>
      <w:r w:rsidRPr="00C9040A">
        <w:rPr>
          <w:rtl/>
          <w:lang w:bidi="fa-IR"/>
        </w:rPr>
        <w:t xml:space="preserve"> ، وَهُوَ مِنَ الْإِيمَانِ.</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حاشية « ص » : « الأرحام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ص ، بر ، بس ، بف » والوافي والوسائل والبحار : « للصلوات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المائدة </w:t>
      </w:r>
      <w:r w:rsidR="00505380">
        <w:rPr>
          <w:rtl/>
        </w:rPr>
        <w:t>(5)</w:t>
      </w:r>
      <w:r w:rsidR="008A74EB" w:rsidRPr="00C9040A">
        <w:rPr>
          <w:rtl/>
        </w:rPr>
        <w:t xml:space="preserve"> : 6.</w:t>
      </w:r>
    </w:p>
    <w:p w:rsidR="008A74EB" w:rsidRPr="004A4E41" w:rsidRDefault="006C577F" w:rsidP="004A4E41">
      <w:pPr>
        <w:pStyle w:val="libFootnote0"/>
        <w:rPr>
          <w:rStyle w:val="libFootnote0Char"/>
          <w:rtl/>
        </w:rPr>
      </w:pPr>
      <w:r>
        <w:rPr>
          <w:rtl/>
        </w:rPr>
        <w:t>(4).</w:t>
      </w:r>
      <w:r w:rsidR="008A74EB" w:rsidRPr="00C9040A">
        <w:rPr>
          <w:rtl/>
        </w:rPr>
        <w:t xml:space="preserve"> في « ز ، ص » : « فقال »</w:t>
      </w:r>
      <w:r w:rsidR="008A74EB">
        <w:rPr>
          <w:rtl/>
        </w:rPr>
        <w:t>.</w:t>
      </w:r>
    </w:p>
    <w:tbl>
      <w:tblPr>
        <w:tblStyle w:val="TableGrid"/>
        <w:bidiVisual/>
        <w:tblW w:w="0" w:type="auto"/>
        <w:tblLook w:val="04A0" w:firstRow="1" w:lastRow="0" w:firstColumn="1" w:lastColumn="0" w:noHBand="0" w:noVBand="1"/>
      </w:tblPr>
      <w:tblGrid>
        <w:gridCol w:w="4006"/>
        <w:gridCol w:w="4006"/>
      </w:tblGrid>
      <w:tr w:rsidR="00505380" w:rsidTr="00505380">
        <w:tc>
          <w:tcPr>
            <w:tcW w:w="4006" w:type="dxa"/>
          </w:tcPr>
          <w:p w:rsidR="00505380" w:rsidRDefault="00505380" w:rsidP="004A4E41">
            <w:pPr>
              <w:pStyle w:val="libFootnote0"/>
              <w:rPr>
                <w:rtl/>
              </w:rPr>
            </w:pPr>
            <w:r>
              <w:rPr>
                <w:rtl/>
              </w:rPr>
              <w:t>(5).</w:t>
            </w:r>
            <w:r w:rsidRPr="00C9040A">
              <w:rPr>
                <w:rtl/>
              </w:rPr>
              <w:t xml:space="preserve"> محمّد (47) : 4.</w:t>
            </w:r>
          </w:p>
        </w:tc>
        <w:tc>
          <w:tcPr>
            <w:tcW w:w="4006" w:type="dxa"/>
          </w:tcPr>
          <w:p w:rsidR="00505380" w:rsidRDefault="00505380" w:rsidP="004A4E41">
            <w:pPr>
              <w:pStyle w:val="libFootnote0"/>
              <w:rPr>
                <w:rtl/>
              </w:rPr>
            </w:pPr>
            <w:r>
              <w:rPr>
                <w:rtl/>
              </w:rPr>
              <w:t xml:space="preserve">(6). </w:t>
            </w:r>
            <w:r w:rsidRPr="00C9040A">
              <w:rPr>
                <w:rtl/>
              </w:rPr>
              <w:t>في « ف » : + « الله »</w:t>
            </w:r>
            <w:r>
              <w:rPr>
                <w:rtl/>
              </w:rPr>
              <w:t>.</w:t>
            </w:r>
          </w:p>
        </w:tc>
      </w:tr>
      <w:tr w:rsidR="00505380" w:rsidTr="00505380">
        <w:tc>
          <w:tcPr>
            <w:tcW w:w="4006" w:type="dxa"/>
          </w:tcPr>
          <w:p w:rsidR="00505380" w:rsidRDefault="00505380" w:rsidP="004A4E41">
            <w:pPr>
              <w:pStyle w:val="libFootnote0"/>
              <w:rPr>
                <w:rtl/>
              </w:rPr>
            </w:pPr>
            <w:r>
              <w:rPr>
                <w:rtl/>
              </w:rPr>
              <w:t>(7).</w:t>
            </w:r>
            <w:r w:rsidRPr="00C9040A">
              <w:rPr>
                <w:rtl/>
              </w:rPr>
              <w:t xml:space="preserve"> يجوز فيه التجريد أيضاً مع رفع الجلالة.</w:t>
            </w:r>
          </w:p>
        </w:tc>
        <w:tc>
          <w:tcPr>
            <w:tcW w:w="4006" w:type="dxa"/>
          </w:tcPr>
          <w:p w:rsidR="00505380" w:rsidRDefault="00505380" w:rsidP="004A4E41">
            <w:pPr>
              <w:pStyle w:val="libFootnote0"/>
              <w:rPr>
                <w:rtl/>
              </w:rPr>
            </w:pPr>
            <w:r>
              <w:rPr>
                <w:rtl/>
              </w:rPr>
              <w:t>(8).</w:t>
            </w:r>
            <w:r w:rsidRPr="00C9040A">
              <w:rPr>
                <w:rtl/>
              </w:rPr>
              <w:t xml:space="preserve"> الإسراء (17) : 37.</w:t>
            </w:r>
          </w:p>
        </w:tc>
      </w:tr>
      <w:tr w:rsidR="00505380" w:rsidTr="00505380">
        <w:tc>
          <w:tcPr>
            <w:tcW w:w="4006" w:type="dxa"/>
          </w:tcPr>
          <w:p w:rsidR="00505380" w:rsidRDefault="00505380" w:rsidP="004A4E41">
            <w:pPr>
              <w:pStyle w:val="libFootnote0"/>
              <w:rPr>
                <w:rtl/>
              </w:rPr>
            </w:pPr>
            <w:r>
              <w:rPr>
                <w:rtl/>
              </w:rPr>
              <w:t>(9).</w:t>
            </w:r>
            <w:r w:rsidRPr="00C9040A">
              <w:rPr>
                <w:rtl/>
              </w:rPr>
              <w:t xml:space="preserve"> لقمان (31) : 19.</w:t>
            </w:r>
          </w:p>
        </w:tc>
        <w:tc>
          <w:tcPr>
            <w:tcW w:w="4006" w:type="dxa"/>
          </w:tcPr>
          <w:p w:rsidR="00505380" w:rsidRDefault="00505380" w:rsidP="004A4E41">
            <w:pPr>
              <w:pStyle w:val="libFootnote0"/>
              <w:rPr>
                <w:rtl/>
              </w:rPr>
            </w:pPr>
            <w:r>
              <w:rPr>
                <w:rtl/>
              </w:rPr>
              <w:t>(10).</w:t>
            </w:r>
            <w:r w:rsidRPr="00C9040A">
              <w:rPr>
                <w:rtl/>
              </w:rPr>
              <w:t xml:space="preserve"> في « ص » : « فقال »</w:t>
            </w:r>
            <w:r>
              <w:rPr>
                <w:rtl/>
              </w:rPr>
              <w:t>.</w:t>
            </w:r>
          </w:p>
        </w:tc>
      </w:tr>
      <w:tr w:rsidR="00505380" w:rsidTr="00505380">
        <w:tc>
          <w:tcPr>
            <w:tcW w:w="4006" w:type="dxa"/>
          </w:tcPr>
          <w:p w:rsidR="00505380" w:rsidRDefault="00505380" w:rsidP="004A4E41">
            <w:pPr>
              <w:pStyle w:val="libFootnote0"/>
              <w:rPr>
                <w:rtl/>
              </w:rPr>
            </w:pPr>
            <w:r>
              <w:rPr>
                <w:rtl/>
              </w:rPr>
              <w:t>(11).</w:t>
            </w:r>
            <w:r w:rsidRPr="00C9040A">
              <w:rPr>
                <w:rtl/>
              </w:rPr>
              <w:t xml:space="preserve"> في الوسائل : + « به »</w:t>
            </w:r>
            <w:r>
              <w:rPr>
                <w:rtl/>
              </w:rPr>
              <w:t>.</w:t>
            </w:r>
          </w:p>
        </w:tc>
        <w:tc>
          <w:tcPr>
            <w:tcW w:w="4006" w:type="dxa"/>
          </w:tcPr>
          <w:p w:rsidR="00505380" w:rsidRDefault="00505380" w:rsidP="004A4E41">
            <w:pPr>
              <w:pStyle w:val="libFootnote0"/>
              <w:rPr>
                <w:rtl/>
              </w:rPr>
            </w:pPr>
            <w:r>
              <w:rPr>
                <w:rtl/>
              </w:rPr>
              <w:t>(12).</w:t>
            </w:r>
            <w:r w:rsidRPr="00C9040A">
              <w:rPr>
                <w:rtl/>
              </w:rPr>
              <w:t xml:space="preserve"> في حاشية « ض ، بف » : « الأيادي »</w:t>
            </w:r>
            <w:r>
              <w:rPr>
                <w:rtl/>
              </w:rPr>
              <w:t>.</w:t>
            </w:r>
          </w:p>
        </w:tc>
      </w:tr>
      <w:tr w:rsidR="00505380" w:rsidTr="00505380">
        <w:tc>
          <w:tcPr>
            <w:tcW w:w="4006" w:type="dxa"/>
          </w:tcPr>
          <w:p w:rsidR="00505380" w:rsidRDefault="00505380" w:rsidP="004A4E41">
            <w:pPr>
              <w:pStyle w:val="libFootnote0"/>
              <w:rPr>
                <w:rtl/>
              </w:rPr>
            </w:pPr>
            <w:r>
              <w:rPr>
                <w:rtl/>
              </w:rPr>
              <w:t>(13)</w:t>
            </w:r>
            <w:r w:rsidRPr="00C9040A">
              <w:rPr>
                <w:rtl/>
              </w:rPr>
              <w:t xml:space="preserve"> في الوافي : « في »</w:t>
            </w:r>
            <w:r>
              <w:rPr>
                <w:rtl/>
              </w:rPr>
              <w:t>.</w:t>
            </w:r>
          </w:p>
        </w:tc>
        <w:tc>
          <w:tcPr>
            <w:tcW w:w="4006" w:type="dxa"/>
          </w:tcPr>
          <w:p w:rsidR="00505380" w:rsidRDefault="00505380" w:rsidP="004A4E41">
            <w:pPr>
              <w:pStyle w:val="libFootnote0"/>
              <w:rPr>
                <w:rtl/>
              </w:rPr>
            </w:pPr>
            <w:r>
              <w:rPr>
                <w:rtl/>
              </w:rPr>
              <w:t>(14)</w:t>
            </w:r>
            <w:r w:rsidRPr="00C9040A">
              <w:rPr>
                <w:rtl/>
              </w:rPr>
              <w:t xml:space="preserve"> في الوسائل : « أنفسها »</w:t>
            </w:r>
            <w:r>
              <w:rPr>
                <w:rtl/>
              </w:rPr>
              <w:t>.</w:t>
            </w:r>
          </w:p>
        </w:tc>
      </w:tr>
      <w:tr w:rsidR="00505380" w:rsidTr="00505380">
        <w:tc>
          <w:tcPr>
            <w:tcW w:w="4006" w:type="dxa"/>
          </w:tcPr>
          <w:p w:rsidR="00505380" w:rsidRDefault="00505380" w:rsidP="004A4E41">
            <w:pPr>
              <w:pStyle w:val="libFootnote0"/>
              <w:rPr>
                <w:rtl/>
              </w:rPr>
            </w:pPr>
            <w:r>
              <w:rPr>
                <w:rtl/>
              </w:rPr>
              <w:t>(15)</w:t>
            </w:r>
            <w:r w:rsidRPr="00C9040A">
              <w:rPr>
                <w:rtl/>
              </w:rPr>
              <w:t xml:space="preserve"> في الوسائل : « أربابها »</w:t>
            </w:r>
            <w:r>
              <w:rPr>
                <w:rtl/>
              </w:rPr>
              <w:t>.</w:t>
            </w:r>
          </w:p>
        </w:tc>
        <w:tc>
          <w:tcPr>
            <w:tcW w:w="4006" w:type="dxa"/>
          </w:tcPr>
          <w:p w:rsidR="00505380" w:rsidRDefault="00505380" w:rsidP="004A4E41">
            <w:pPr>
              <w:pStyle w:val="libFootnote0"/>
              <w:rPr>
                <w:rtl/>
              </w:rPr>
            </w:pPr>
            <w:r>
              <w:rPr>
                <w:rtl/>
              </w:rPr>
              <w:t>(16)</w:t>
            </w:r>
            <w:r w:rsidRPr="00C9040A">
              <w:rPr>
                <w:rtl/>
              </w:rPr>
              <w:t xml:space="preserve"> في الوسائل : « تضييعها »</w:t>
            </w:r>
            <w:r>
              <w:rPr>
                <w:rtl/>
              </w:rPr>
              <w:t>.</w:t>
            </w:r>
          </w:p>
        </w:tc>
      </w:tr>
      <w:tr w:rsidR="00505380" w:rsidTr="00505380">
        <w:tc>
          <w:tcPr>
            <w:tcW w:w="4006" w:type="dxa"/>
          </w:tcPr>
          <w:p w:rsidR="00505380" w:rsidRDefault="00505380" w:rsidP="004A4E41">
            <w:pPr>
              <w:pStyle w:val="libFootnote0"/>
              <w:rPr>
                <w:rtl/>
              </w:rPr>
            </w:pPr>
            <w:r>
              <w:rPr>
                <w:rtl/>
              </w:rPr>
              <w:t>(17)</w:t>
            </w:r>
            <w:r w:rsidRPr="00C9040A">
              <w:rPr>
                <w:rtl/>
              </w:rPr>
              <w:t xml:space="preserve"> في الوسائل : « عليها »</w:t>
            </w:r>
            <w:r>
              <w:rPr>
                <w:rtl/>
              </w:rPr>
              <w:t>.</w:t>
            </w:r>
          </w:p>
        </w:tc>
        <w:tc>
          <w:tcPr>
            <w:tcW w:w="4006" w:type="dxa"/>
          </w:tcPr>
          <w:p w:rsidR="00505380" w:rsidRDefault="00505380" w:rsidP="004A4E41">
            <w:pPr>
              <w:pStyle w:val="libFootnote0"/>
              <w:rPr>
                <w:rtl/>
              </w:rPr>
            </w:pPr>
            <w:r>
              <w:rPr>
                <w:rtl/>
              </w:rPr>
              <w:t>(18)</w:t>
            </w:r>
            <w:r w:rsidRPr="00C9040A">
              <w:rPr>
                <w:rtl/>
              </w:rPr>
              <w:t xml:space="preserve"> يس</w:t>
            </w:r>
            <w:r>
              <w:rPr>
                <w:rFonts w:hint="cs"/>
                <w:rtl/>
              </w:rPr>
              <w:t>ّ</w:t>
            </w:r>
            <w:r w:rsidRPr="00C9040A">
              <w:rPr>
                <w:rtl/>
              </w:rPr>
              <w:t xml:space="preserve"> (36) : 65.</w:t>
            </w:r>
          </w:p>
        </w:tc>
      </w:tr>
      <w:tr w:rsidR="00505380" w:rsidTr="00505380">
        <w:tc>
          <w:tcPr>
            <w:tcW w:w="4006" w:type="dxa"/>
          </w:tcPr>
          <w:p w:rsidR="00505380" w:rsidRDefault="00505380" w:rsidP="004A4E41">
            <w:pPr>
              <w:pStyle w:val="libFootnote0"/>
              <w:rPr>
                <w:rtl/>
              </w:rPr>
            </w:pPr>
            <w:r>
              <w:rPr>
                <w:rtl/>
              </w:rPr>
              <w:t>(19)</w:t>
            </w:r>
            <w:r w:rsidRPr="00C9040A">
              <w:rPr>
                <w:rtl/>
              </w:rPr>
              <w:t xml:space="preserve"> في « بر » </w:t>
            </w:r>
            <w:r>
              <w:rPr>
                <w:rtl/>
              </w:rPr>
              <w:t>: -</w:t>
            </w:r>
            <w:r w:rsidRPr="00C9040A">
              <w:rPr>
                <w:rtl/>
              </w:rPr>
              <w:t xml:space="preserve"> « أيضاً »</w:t>
            </w:r>
            <w:r>
              <w:rPr>
                <w:rtl/>
              </w:rPr>
              <w:t>.</w:t>
            </w:r>
          </w:p>
        </w:tc>
        <w:tc>
          <w:tcPr>
            <w:tcW w:w="4006" w:type="dxa"/>
          </w:tcPr>
          <w:p w:rsidR="00505380" w:rsidRDefault="00505380" w:rsidP="004A4E41">
            <w:pPr>
              <w:pStyle w:val="libFootnote0"/>
              <w:rPr>
                <w:rtl/>
              </w:rPr>
            </w:pPr>
            <w:r>
              <w:rPr>
                <w:rtl/>
              </w:rPr>
              <w:t>(20)</w:t>
            </w:r>
            <w:r w:rsidRPr="00C9040A">
              <w:rPr>
                <w:rtl/>
              </w:rPr>
              <w:t xml:space="preserve"> في « ج » والوسائل : « عملها »</w:t>
            </w:r>
            <w:r>
              <w:rPr>
                <w:rtl/>
              </w:rPr>
              <w:t>.</w:t>
            </w:r>
          </w:p>
        </w:tc>
      </w:tr>
    </w:tbl>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lastRenderedPageBreak/>
        <w:t xml:space="preserve">وَفَرَضَ </w:t>
      </w:r>
      <w:r w:rsidR="006C577F" w:rsidRPr="006C577F">
        <w:rPr>
          <w:rStyle w:val="libFootnotenumChar"/>
          <w:rtl/>
        </w:rPr>
        <w:t>(1)</w:t>
      </w:r>
      <w:r w:rsidRPr="002712F0">
        <w:rPr>
          <w:rFonts w:hint="cs"/>
          <w:rtl/>
        </w:rPr>
        <w:t xml:space="preserve"> </w:t>
      </w:r>
      <w:r w:rsidRPr="00C9040A">
        <w:rPr>
          <w:rtl/>
          <w:lang w:bidi="fa-IR"/>
        </w:rPr>
        <w:t xml:space="preserve">عَلَى الْوَجْهِ السُّجُودَ لَهُ </w:t>
      </w:r>
      <w:r w:rsidR="006C577F" w:rsidRPr="006C577F">
        <w:rPr>
          <w:rStyle w:val="libFootnotenumChar"/>
          <w:rtl/>
        </w:rPr>
        <w:t>(2)</w:t>
      </w:r>
      <w:r w:rsidRPr="00C9040A">
        <w:rPr>
          <w:rtl/>
          <w:lang w:bidi="fa-IR"/>
        </w:rPr>
        <w:t xml:space="preserve"> بِاللَّيْلِ وَالنَّهَارِ فِي مَوَاقِيتِ الصَّلَاةِ ، فَقَالَ : </w:t>
      </w:r>
      <w:r w:rsidRPr="0003660B">
        <w:rPr>
          <w:rStyle w:val="libAlaemChar"/>
          <w:rtl/>
        </w:rPr>
        <w:t>(</w:t>
      </w:r>
      <w:r w:rsidRPr="006A2246">
        <w:rPr>
          <w:rStyle w:val="libAieChar"/>
          <w:rtl/>
        </w:rPr>
        <w:t xml:space="preserve"> يا أَيُّهَا الَّذِينَ آمَنُوا ارْكَعُوا وَاسْجُدُوا وَاعْبُدُوا رَبَّكُمْ وَافْعَلُوا الْخَيْرَ لَعَلَّكُمْ تُفْلِحُونَ </w:t>
      </w:r>
      <w:r w:rsidRPr="0003660B">
        <w:rPr>
          <w:rStyle w:val="libAlaemChar"/>
          <w:rtl/>
        </w:rPr>
        <w:t>)</w:t>
      </w:r>
      <w:r w:rsidRPr="00C9040A">
        <w:rPr>
          <w:rtl/>
          <w:lang w:bidi="fa-IR"/>
        </w:rPr>
        <w:t xml:space="preserve"> </w:t>
      </w:r>
      <w:r w:rsidR="006C577F" w:rsidRPr="006C577F">
        <w:rPr>
          <w:rStyle w:val="libFootnotenumChar"/>
          <w:rtl/>
        </w:rPr>
        <w:t>(3)</w:t>
      </w:r>
      <w:r w:rsidRPr="00C9040A">
        <w:rPr>
          <w:rtl/>
          <w:lang w:bidi="fa-IR"/>
        </w:rPr>
        <w:t xml:space="preserve"> فَهذِهِ </w:t>
      </w:r>
      <w:r w:rsidR="006C577F" w:rsidRPr="006C577F">
        <w:rPr>
          <w:rStyle w:val="libFootnotenumChar"/>
          <w:rtl/>
        </w:rPr>
        <w:t>(4)</w:t>
      </w:r>
      <w:r w:rsidRPr="00C9040A">
        <w:rPr>
          <w:rtl/>
          <w:lang w:bidi="fa-IR"/>
        </w:rPr>
        <w:t xml:space="preserve"> فَرِيضَةٌ جَامِعَةٌ عَلَى الْوَجْهِ وَالْيَدَيْنِ وَالرِّجْلَيْنِ ، وَقَالَ فِي مَوْضِعٍ آخَرَ : </w:t>
      </w:r>
      <w:r w:rsidRPr="0003660B">
        <w:rPr>
          <w:rStyle w:val="libAlaemChar"/>
          <w:rtl/>
        </w:rPr>
        <w:t>(</w:t>
      </w:r>
      <w:r w:rsidRPr="006A2246">
        <w:rPr>
          <w:rStyle w:val="libAieChar"/>
          <w:rtl/>
        </w:rPr>
        <w:t xml:space="preserve"> وَأَنَّ الْمَساجِدَ لِلّهِ فَلا تَدْعُوا مَعَ اللهِ أَحَداً </w:t>
      </w:r>
      <w:r w:rsidRPr="0003660B">
        <w:rPr>
          <w:rStyle w:val="libAlaemChar"/>
          <w:rtl/>
        </w:rPr>
        <w:t>)</w:t>
      </w:r>
      <w:r w:rsidRPr="00C9040A">
        <w:rPr>
          <w:rtl/>
          <w:lang w:bidi="fa-IR"/>
        </w:rPr>
        <w:t xml:space="preserve"> </w:t>
      </w:r>
      <w:r w:rsidR="006C577F" w:rsidRPr="006C577F">
        <w:rPr>
          <w:rStyle w:val="libFootnotenumChar"/>
          <w:rtl/>
        </w:rPr>
        <w:t>(5)</w:t>
      </w:r>
      <w:r w:rsidRPr="00C9040A">
        <w:rPr>
          <w:rtl/>
          <w:lang w:bidi="fa-IR"/>
        </w:rPr>
        <w:t xml:space="preserve"> وَقَالَ </w:t>
      </w:r>
      <w:r w:rsidR="006C577F" w:rsidRPr="006C577F">
        <w:rPr>
          <w:rStyle w:val="libFootnotenumChar"/>
          <w:rtl/>
        </w:rPr>
        <w:t>(6)</w:t>
      </w:r>
      <w:r w:rsidRPr="005B567D">
        <w:rPr>
          <w:rStyle w:val="libFootnotenumChar"/>
          <w:rtl/>
        </w:rPr>
        <w:t xml:space="preserve"> </w:t>
      </w:r>
      <w:r w:rsidRPr="00C9040A">
        <w:rPr>
          <w:rtl/>
          <w:lang w:bidi="fa-IR"/>
        </w:rPr>
        <w:t xml:space="preserve">فِيمَا فَرَضَ </w:t>
      </w:r>
      <w:r w:rsidR="006C577F" w:rsidRPr="006C577F">
        <w:rPr>
          <w:rStyle w:val="libFootnotenumChar"/>
          <w:rtl/>
        </w:rPr>
        <w:t>(7)</w:t>
      </w:r>
      <w:r w:rsidRPr="00C9040A">
        <w:rPr>
          <w:rtl/>
          <w:lang w:bidi="fa-IR"/>
        </w:rPr>
        <w:t xml:space="preserve"> عَلَى الْجَوَارِحِ مِنَ الطَّهُورِ وَالصَّلَاةِ بِهَا وَذلِكَ أَنَّ‌</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505380" w:rsidTr="00505380">
        <w:tc>
          <w:tcPr>
            <w:tcW w:w="4006" w:type="dxa"/>
          </w:tcPr>
          <w:p w:rsidR="00505380" w:rsidRDefault="00505380" w:rsidP="004A4E41">
            <w:pPr>
              <w:pStyle w:val="libFootnote0"/>
              <w:rPr>
                <w:rtl/>
              </w:rPr>
            </w:pPr>
            <w:r>
              <w:rPr>
                <w:rtl/>
              </w:rPr>
              <w:t>(1).</w:t>
            </w:r>
            <w:r w:rsidRPr="00C9040A">
              <w:rPr>
                <w:rtl/>
              </w:rPr>
              <w:t xml:space="preserve"> في « ز » : + « الله »</w:t>
            </w:r>
            <w:r>
              <w:rPr>
                <w:rtl/>
              </w:rPr>
              <w:t>.</w:t>
            </w:r>
          </w:p>
        </w:tc>
        <w:tc>
          <w:tcPr>
            <w:tcW w:w="4006" w:type="dxa"/>
          </w:tcPr>
          <w:p w:rsidR="00505380" w:rsidRDefault="00505380" w:rsidP="004A4E41">
            <w:pPr>
              <w:pStyle w:val="libFootnote0"/>
              <w:rPr>
                <w:rtl/>
              </w:rPr>
            </w:pPr>
            <w:r>
              <w:rPr>
                <w:rtl/>
              </w:rPr>
              <w:t xml:space="preserve">(2). </w:t>
            </w:r>
            <w:r w:rsidRPr="00C9040A">
              <w:rPr>
                <w:rtl/>
              </w:rPr>
              <w:t xml:space="preserve">في الوافي </w:t>
            </w:r>
            <w:r>
              <w:rPr>
                <w:rtl/>
              </w:rPr>
              <w:t>: -</w:t>
            </w:r>
            <w:r w:rsidRPr="00C9040A">
              <w:rPr>
                <w:rtl/>
              </w:rPr>
              <w:t xml:space="preserve"> « له »</w:t>
            </w:r>
            <w:r>
              <w:rPr>
                <w:rtl/>
              </w:rPr>
              <w:t>.</w:t>
            </w:r>
          </w:p>
        </w:tc>
      </w:tr>
      <w:tr w:rsidR="00505380" w:rsidTr="00505380">
        <w:tc>
          <w:tcPr>
            <w:tcW w:w="4006" w:type="dxa"/>
          </w:tcPr>
          <w:p w:rsidR="00505380" w:rsidRDefault="00505380" w:rsidP="004A4E41">
            <w:pPr>
              <w:pStyle w:val="libFootnote0"/>
              <w:rPr>
                <w:rtl/>
              </w:rPr>
            </w:pPr>
            <w:r>
              <w:rPr>
                <w:rtl/>
              </w:rPr>
              <w:t>(3).</w:t>
            </w:r>
            <w:r w:rsidRPr="00C9040A">
              <w:rPr>
                <w:rtl/>
              </w:rPr>
              <w:t xml:space="preserve"> الحجّ (22) : 77.</w:t>
            </w:r>
          </w:p>
        </w:tc>
        <w:tc>
          <w:tcPr>
            <w:tcW w:w="4006" w:type="dxa"/>
          </w:tcPr>
          <w:p w:rsidR="00505380" w:rsidRDefault="00505380" w:rsidP="004A4E41">
            <w:pPr>
              <w:pStyle w:val="libFootnote0"/>
              <w:rPr>
                <w:rtl/>
              </w:rPr>
            </w:pPr>
            <w:r>
              <w:rPr>
                <w:rtl/>
              </w:rPr>
              <w:t>(4).</w:t>
            </w:r>
            <w:r w:rsidRPr="00C9040A">
              <w:rPr>
                <w:rtl/>
              </w:rPr>
              <w:t xml:space="preserve"> في « ج ، د ، ز ، ف ، بر » والوافي : « وهذه »</w:t>
            </w:r>
            <w:r>
              <w:rPr>
                <w:rtl/>
              </w:rPr>
              <w:t>.</w:t>
            </w:r>
          </w:p>
        </w:tc>
      </w:tr>
    </w:tbl>
    <w:p w:rsidR="008A74EB" w:rsidRPr="00C9040A" w:rsidRDefault="006C577F" w:rsidP="004A4E41">
      <w:pPr>
        <w:pStyle w:val="libFootnote0"/>
        <w:rPr>
          <w:rtl/>
          <w:lang w:bidi="fa-IR"/>
        </w:rPr>
      </w:pPr>
      <w:r>
        <w:rPr>
          <w:rtl/>
        </w:rPr>
        <w:t>(5).</w:t>
      </w:r>
      <w:r w:rsidR="008A74EB" w:rsidRPr="00C9040A">
        <w:rPr>
          <w:rtl/>
        </w:rPr>
        <w:t xml:space="preserve"> الجنّ (72) : 18.</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w:t>
      </w:r>
      <w:r w:rsidR="008A74EB" w:rsidRPr="00993B55">
        <w:rPr>
          <w:rStyle w:val="libFootnoteBoldChar"/>
          <w:rtl/>
        </w:rPr>
        <w:t>شرح المازندراني</w:t>
      </w:r>
      <w:r w:rsidR="008A74EB" w:rsidRPr="00C9040A">
        <w:rPr>
          <w:rtl/>
        </w:rPr>
        <w:t xml:space="preserve"> ، ج 8 ، ص 109 : « قوله : وقال فيما فرض ، إلى آخره ، كأنّ المراد : وقال : هذه الآية</w:t>
      </w:r>
      <w:r w:rsidR="008A74EB">
        <w:rPr>
          <w:rtl/>
        </w:rPr>
        <w:t xml:space="preserve"> </w:t>
      </w:r>
      <w:r w:rsidR="0084262C">
        <w:rPr>
          <w:rtl/>
        </w:rPr>
        <w:t>-</w:t>
      </w:r>
      <w:r w:rsidR="008A74EB">
        <w:rPr>
          <w:rtl/>
        </w:rPr>
        <w:t xml:space="preserve"> </w:t>
      </w:r>
      <w:r w:rsidR="008A74EB" w:rsidRPr="00C9040A">
        <w:rPr>
          <w:rtl/>
        </w:rPr>
        <w:t xml:space="preserve">يعني </w:t>
      </w:r>
      <w:r w:rsidR="00505380" w:rsidRPr="00B866D3">
        <w:rPr>
          <w:rStyle w:val="libFootnoteAlaemChar"/>
          <w:rFonts w:hint="cs"/>
          <w:rtl/>
        </w:rPr>
        <w:t>(</w:t>
      </w:r>
      <w:r w:rsidR="008A74EB" w:rsidRPr="00505380">
        <w:rPr>
          <w:rStyle w:val="libFootnoteAieChar"/>
          <w:rtl/>
        </w:rPr>
        <w:t xml:space="preserve"> أَنَّ الْمَس</w:t>
      </w:r>
      <w:r w:rsidR="00505380" w:rsidRPr="00505380">
        <w:rPr>
          <w:rStyle w:val="libFootnoteAieChar"/>
          <w:rFonts w:hint="cs"/>
          <w:rtl/>
        </w:rPr>
        <w:t>ا</w:t>
      </w:r>
      <w:r w:rsidR="008A74EB" w:rsidRPr="00505380">
        <w:rPr>
          <w:rStyle w:val="libFootnoteAieChar"/>
          <w:rtl/>
        </w:rPr>
        <w:t xml:space="preserve">جِدَ لِلَّهِ </w:t>
      </w:r>
      <w:r w:rsidR="00505380" w:rsidRPr="00B866D3">
        <w:rPr>
          <w:rStyle w:val="libFootnoteAlaemChar"/>
          <w:rFonts w:hint="cs"/>
          <w:rtl/>
        </w:rPr>
        <w:t>)</w:t>
      </w:r>
      <w:r w:rsidR="008A74EB">
        <w:rPr>
          <w:rtl/>
        </w:rPr>
        <w:t xml:space="preserve"> </w:t>
      </w:r>
      <w:r w:rsidR="0084262C">
        <w:rPr>
          <w:rtl/>
        </w:rPr>
        <w:t>-</w:t>
      </w:r>
      <w:r w:rsidR="008A74EB">
        <w:rPr>
          <w:rtl/>
        </w:rPr>
        <w:t xml:space="preserve"> </w:t>
      </w:r>
      <w:r w:rsidR="008A74EB" w:rsidRPr="00C9040A">
        <w:rPr>
          <w:rtl/>
        </w:rPr>
        <w:t>فيما فرض الله على الجوارح السبعة من الطهور والصلاة بها ، فهذه أيضاً فريضة جامعة على الوجه واليدين والرجلين كالسابقة ، ولعلّ « ذلك » في قوله : « وذلك أنّ الله عزّوجلّ » إلى آخره ، إشارة إلى كون القرآن دليلاً على بثّ الإيمان على الجوارح ، وتفصيل القول فيه أنّ الآيات المذكورة إنّما دلّت على أنّه تعالى فرض على كلّ جارحة شيئاً غير ما فرضه على الا</w:t>
      </w:r>
      <w:r w:rsidR="00AE5FC8">
        <w:rPr>
          <w:rFonts w:hint="cs"/>
          <w:rtl/>
        </w:rPr>
        <w:t>ُ</w:t>
      </w:r>
      <w:r w:rsidR="008A74EB" w:rsidRPr="00C9040A">
        <w:rPr>
          <w:rtl/>
        </w:rPr>
        <w:t xml:space="preserve">خرى ، ولم يثبت بهذا القدر من جهة القرآن ما ذكره أوّلاً من أنّه تعالى فرض الإيمان على جوارج ابن آدم وقسمه عليها وفرّقه فيها ، فأشار هنا إلى إثبات ذلك بالقرآن ، وحاصله أنّ الآية ، وهي قوله عزّوجلّ : </w:t>
      </w:r>
      <w:r w:rsidR="00AE5FC8" w:rsidRPr="00B866D3">
        <w:rPr>
          <w:rStyle w:val="libFootnoteAlaemChar"/>
          <w:rFonts w:hint="cs"/>
          <w:rtl/>
        </w:rPr>
        <w:t>(</w:t>
      </w:r>
      <w:r w:rsidR="008A74EB" w:rsidRPr="00AE5FC8">
        <w:rPr>
          <w:rStyle w:val="libFootnoteAieChar"/>
          <w:rtl/>
        </w:rPr>
        <w:t xml:space="preserve"> وَمَا كَانَ اللهُ لِيُضِيعَ إِيم</w:t>
      </w:r>
      <w:r w:rsidR="00AE5FC8" w:rsidRPr="00AE5FC8">
        <w:rPr>
          <w:rStyle w:val="libFootnoteAieChar"/>
          <w:rFonts w:hint="cs"/>
          <w:rtl/>
        </w:rPr>
        <w:t>َا</w:t>
      </w:r>
      <w:r w:rsidR="008A74EB" w:rsidRPr="00AE5FC8">
        <w:rPr>
          <w:rStyle w:val="libFootnoteAieChar"/>
          <w:rtl/>
        </w:rPr>
        <w:t xml:space="preserve">نَكُمْ </w:t>
      </w:r>
      <w:r w:rsidR="00AE5FC8" w:rsidRPr="00B866D3">
        <w:rPr>
          <w:rStyle w:val="libFootnoteAlaemChar"/>
          <w:rFonts w:hint="cs"/>
          <w:rtl/>
        </w:rPr>
        <w:t>)</w:t>
      </w:r>
      <w:r w:rsidR="008A74EB" w:rsidRPr="00C9040A">
        <w:rPr>
          <w:rtl/>
        </w:rPr>
        <w:t xml:space="preserve"> دلّت على أنّ الصلاة إيمان ، ولاريب في أنّ الصلاة مركّبة من أفعال جميع الجوارح ، فقد ثبت أنّ الإيمان مركّب منها. هذا ما خطر بالبال على سبيل الاحتمال ، والله أعلم »</w:t>
      </w:r>
      <w:r w:rsidR="008A74EB">
        <w:rPr>
          <w:rtl/>
        </w:rPr>
        <w:t>.</w:t>
      </w:r>
    </w:p>
    <w:p w:rsidR="008A74EB" w:rsidRPr="00C9040A" w:rsidRDefault="008A74EB" w:rsidP="004A4E41">
      <w:pPr>
        <w:pStyle w:val="libFootnote0"/>
        <w:rPr>
          <w:rtl/>
          <w:lang w:bidi="fa-IR"/>
        </w:rPr>
      </w:pPr>
      <w:r w:rsidRPr="00323A39">
        <w:rPr>
          <w:rtl/>
        </w:rPr>
        <w:t xml:space="preserve">وفي </w:t>
      </w:r>
      <w:r w:rsidRPr="00993B55">
        <w:rPr>
          <w:rStyle w:val="libFootnoteBoldChar"/>
          <w:rtl/>
        </w:rPr>
        <w:t>مرآة العقول</w:t>
      </w:r>
      <w:r w:rsidRPr="00323A39">
        <w:rPr>
          <w:rtl/>
        </w:rPr>
        <w:t xml:space="preserve"> ، ج 7 ، ص 238 : « قوله : وقال فيما فرض على الجوارح من الطهور والصلاة بها ، أي بالجوارح ، وكأنّ مفعول القول محذوف ، أي ما قال ، أو « من الطهور » مفعوله بزيادة « من » ، أو بتقدير « شيئاً » أو « كثيراً » ، أو المراد : قال ذلك ، أي آية المساجد ، فيما فرض الله على هذه الجوارح من الطهور والصلاة ؛ لأنّ الطهور أيضاً يتعلّق بالمساجد. وعلى التقادير قوله : « وذلك » إشارة إلى كون الآيات السابقة دليلاً على كون الإيمان مبثوثاً على الجوارح ؛ لأنّها إنّما دلّت على أنّ الله تعالى فرض أعمالاً متعلّقة بتلك الجوارح ، ولم تدلّ على أنّها إيمان ، فاستدلّ </w:t>
      </w:r>
      <w:r w:rsidR="00117575" w:rsidRPr="00117575">
        <w:rPr>
          <w:rStyle w:val="libFootnoteAlaemChar"/>
          <w:rtl/>
        </w:rPr>
        <w:t xml:space="preserve">عليه‌السلام </w:t>
      </w:r>
      <w:r w:rsidRPr="00323A39">
        <w:rPr>
          <w:rtl/>
        </w:rPr>
        <w:t>على ذلك بأنّ الله تعالى سمّى الصلاة المتعلّقة بجميع الجوارح إيماناً ، فتمّ به الاستدلال بالآيات المذكورة على المطلوب.</w:t>
      </w:r>
    </w:p>
    <w:p w:rsidR="008A74EB" w:rsidRPr="00C9040A" w:rsidRDefault="008A74EB" w:rsidP="004A4E41">
      <w:pPr>
        <w:pStyle w:val="libFootnote0"/>
        <w:rPr>
          <w:rtl/>
          <w:lang w:bidi="fa-IR"/>
        </w:rPr>
      </w:pPr>
      <w:r w:rsidRPr="00323A39">
        <w:rPr>
          <w:rtl/>
        </w:rPr>
        <w:t>والظاهر أنّ في العبارة سقطاً أو تحريفاً أو اختصاراً مخلًّا من الرواة ، أو من المصنّف ... ويحتمل أن يكون مفعول القول</w:t>
      </w:r>
      <w:r w:rsidRPr="00323A39">
        <w:rPr>
          <w:rFonts w:hint="cs"/>
          <w:rtl/>
        </w:rPr>
        <w:t xml:space="preserve"> </w:t>
      </w:r>
      <w:r w:rsidRPr="00B866D3">
        <w:rPr>
          <w:rStyle w:val="libFootnoteAlaemChar"/>
          <w:rtl/>
        </w:rPr>
        <w:t>(</w:t>
      </w:r>
      <w:r w:rsidRPr="00883DD5">
        <w:rPr>
          <w:rStyle w:val="libFootnoteAieChar"/>
          <w:rFonts w:hint="cs"/>
          <w:rtl/>
        </w:rPr>
        <w:t xml:space="preserve"> </w:t>
      </w:r>
      <w:r w:rsidRPr="00883DD5">
        <w:rPr>
          <w:rStyle w:val="libFootnoteAieChar"/>
          <w:rtl/>
        </w:rPr>
        <w:t>وَما كانَ اللهُ لِيُضِيعَ إِيمانَكُمْ</w:t>
      </w:r>
      <w:r w:rsidRPr="00883DD5">
        <w:rPr>
          <w:rStyle w:val="libFootnoteAieChar"/>
          <w:rFonts w:hint="cs"/>
          <w:rtl/>
        </w:rPr>
        <w:t xml:space="preserve"> </w:t>
      </w:r>
      <w:r w:rsidRPr="00B866D3">
        <w:rPr>
          <w:rStyle w:val="libFootnoteAlaemChar"/>
          <w:rtl/>
        </w:rPr>
        <w:t>)</w:t>
      </w:r>
      <w:r w:rsidRPr="00323A39">
        <w:rPr>
          <w:rtl/>
        </w:rPr>
        <w:t xml:space="preserve"> ، أو مبهماً يفسّره ذلك ، حذف لدلالة التعليل عليه ، وقوله : « ذلك » تعليل للقول ، أي النزول ، وقوله </w:t>
      </w:r>
      <w:r w:rsidR="00AE5FC8">
        <w:rPr>
          <w:rtl/>
        </w:rPr>
        <w:t>: « فأنزل الله » ليس جوابَ « لم</w:t>
      </w:r>
      <w:r w:rsidR="00AE5FC8">
        <w:rPr>
          <w:rFonts w:hint="cs"/>
          <w:rtl/>
        </w:rPr>
        <w:t>ـّ</w:t>
      </w:r>
      <w:r w:rsidRPr="00323A39">
        <w:rPr>
          <w:rtl/>
        </w:rPr>
        <w:t>ا » ؛ لعدم جواز دخول الفاء عليه ، بل الجواب محذوف بتقدير : أنزل وجه الحكمة في الصرف فأنزل ».</w:t>
      </w:r>
    </w:p>
    <w:p w:rsidR="008A74EB" w:rsidRPr="00C9040A" w:rsidRDefault="006C577F" w:rsidP="004A4E41">
      <w:pPr>
        <w:pStyle w:val="libFootnote0"/>
        <w:rPr>
          <w:rtl/>
          <w:lang w:bidi="fa-IR"/>
        </w:rPr>
      </w:pPr>
      <w:r>
        <w:rPr>
          <w:rtl/>
        </w:rPr>
        <w:t>(7).</w:t>
      </w:r>
      <w:r w:rsidR="008A74EB" w:rsidRPr="00C9040A">
        <w:rPr>
          <w:rtl/>
        </w:rPr>
        <w:t xml:space="preserve"> في « ص » : + « الله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لَمَّا صَرَفَ نَبِيَّهُ </w:t>
      </w:r>
      <w:r w:rsidR="004A4E41" w:rsidRPr="004A4E41">
        <w:rPr>
          <w:rStyle w:val="libAlaemChar"/>
          <w:rtl/>
        </w:rPr>
        <w:t>صلى‌الله‌عليه‌وآله</w:t>
      </w:r>
      <w:r w:rsidRPr="00C9040A">
        <w:rPr>
          <w:rtl/>
          <w:lang w:bidi="fa-IR"/>
        </w:rPr>
        <w:t xml:space="preserve"> إِلَى الْكَعْبَةِ عَنْ </w:t>
      </w:r>
      <w:r w:rsidR="006C577F" w:rsidRPr="006C577F">
        <w:rPr>
          <w:rStyle w:val="libFootnotenumChar"/>
          <w:rtl/>
        </w:rPr>
        <w:t>(1)</w:t>
      </w:r>
      <w:r w:rsidRPr="002712F0">
        <w:rPr>
          <w:rFonts w:hint="cs"/>
          <w:rtl/>
        </w:rPr>
        <w:t xml:space="preserve"> </w:t>
      </w:r>
      <w:r w:rsidRPr="00C9040A">
        <w:rPr>
          <w:rtl/>
          <w:lang w:bidi="fa-IR"/>
        </w:rPr>
        <w:t xml:space="preserve">بَيْتِ الْمَقْدِسِ </w:t>
      </w:r>
      <w:r w:rsidR="006C577F" w:rsidRPr="006C577F">
        <w:rPr>
          <w:rStyle w:val="libFootnotenumChar"/>
          <w:rtl/>
        </w:rPr>
        <w:t>(2)</w:t>
      </w:r>
      <w:r w:rsidRPr="00C9040A">
        <w:rPr>
          <w:rtl/>
          <w:lang w:bidi="fa-IR"/>
        </w:rPr>
        <w:t xml:space="preserve"> ، فَأَنْزَلَ اللهُ عَزَّ وَجَلَّ :</w:t>
      </w:r>
      <w:r>
        <w:rPr>
          <w:rFonts w:hint="cs"/>
          <w:rtl/>
          <w:lang w:bidi="fa-IR"/>
        </w:rPr>
        <w:t xml:space="preserve"> </w:t>
      </w:r>
      <w:r w:rsidRPr="0003660B">
        <w:rPr>
          <w:rStyle w:val="libAlaemChar"/>
          <w:rtl/>
        </w:rPr>
        <w:t>(</w:t>
      </w:r>
      <w:r w:rsidRPr="006A2246">
        <w:rPr>
          <w:rStyle w:val="libAieChar"/>
          <w:rtl/>
        </w:rPr>
        <w:t xml:space="preserve"> وَما كانَ اللهُ لِيُضِيعَ إِيمانَكُمْ إِنَّ اللهَ بِالنّاسِ لَرَؤُفٌ رَحِيمٌ </w:t>
      </w:r>
      <w:r w:rsidRPr="0003660B">
        <w:rPr>
          <w:rStyle w:val="libAlaemChar"/>
          <w:rtl/>
        </w:rPr>
        <w:t>)</w:t>
      </w:r>
      <w:r w:rsidRPr="00C9040A">
        <w:rPr>
          <w:rtl/>
          <w:lang w:bidi="fa-IR"/>
        </w:rPr>
        <w:t xml:space="preserve"> </w:t>
      </w:r>
      <w:r w:rsidR="006C577F" w:rsidRPr="006C577F">
        <w:rPr>
          <w:rStyle w:val="libFootnotenumChar"/>
          <w:rtl/>
        </w:rPr>
        <w:t>(3)</w:t>
      </w:r>
      <w:r w:rsidRPr="00C9040A">
        <w:rPr>
          <w:rtl/>
          <w:lang w:bidi="fa-IR"/>
        </w:rPr>
        <w:t xml:space="preserve"> فَسَمَّى الصَّلَاةَ إِيمَاناً ، فَمَنْ لَقِيَ اللهَ عَزَّ وَجَلَّ حَافِظاً لِجَوَارِحِهِ ، مُوفِياً كُلَّ جَارِحَةٍ مِنْ جَوَارِحِهِ مَا فَرَضَ اللهُ عَزَّ وَجَلَّ عَلَيْهَا ، لَقِيَ اللهَ عَزَّ وَجَلَّ مُسْتَكْمِلاً لِإِيمَانِهِ وَهُوَ مِنْ أَهْلِ الْجَنَّةِ ؛ وَمَنْ خَانَ فِي شَيْ‌ءٍ مِنْهَا أَوْ تَعَدّى مَا </w:t>
      </w:r>
      <w:r w:rsidR="006C577F" w:rsidRPr="006C577F">
        <w:rPr>
          <w:rStyle w:val="libFootnotenumChar"/>
          <w:rtl/>
        </w:rPr>
        <w:t>(4)</w:t>
      </w:r>
      <w:r w:rsidRPr="00C9040A">
        <w:rPr>
          <w:rtl/>
          <w:lang w:bidi="fa-IR"/>
        </w:rPr>
        <w:t xml:space="preserve"> أَمَرَ اللهُ عَزَّ وَجَلَّ فِيهَا ، لَقِيَ اللهَ عَزَّ وَجَلَّ نَاقِصَ الْإِيمَانِ »</w:t>
      </w:r>
      <w:r>
        <w:rPr>
          <w:rtl/>
          <w:lang w:bidi="fa-IR"/>
        </w:rPr>
        <w:t>.</w:t>
      </w:r>
    </w:p>
    <w:p w:rsidR="008A74EB" w:rsidRPr="00C9040A" w:rsidRDefault="008A74EB" w:rsidP="008A74EB">
      <w:pPr>
        <w:pStyle w:val="libNormal"/>
        <w:rPr>
          <w:rtl/>
          <w:lang w:bidi="fa-IR"/>
        </w:rPr>
      </w:pPr>
      <w:r w:rsidRPr="00C9040A">
        <w:rPr>
          <w:rtl/>
          <w:lang w:bidi="fa-IR"/>
        </w:rPr>
        <w:t>قُلْتُ : قَدْ فَهِمْتُ نُقْصَانَ الْإِيمَانِ وَتَمَامَهُ ، فَمِنْ أَيْنَ جَاءَتْ زِيَادَتُهُ</w:t>
      </w:r>
      <w:r>
        <w:rPr>
          <w:rtl/>
          <w:lang w:bidi="fa-IR"/>
        </w:rPr>
        <w:t>؟</w:t>
      </w:r>
    </w:p>
    <w:p w:rsidR="008A74EB" w:rsidRPr="00C9040A" w:rsidRDefault="008A74EB" w:rsidP="008A74EB">
      <w:pPr>
        <w:pStyle w:val="libNormal"/>
        <w:rPr>
          <w:rtl/>
          <w:lang w:bidi="fa-IR"/>
        </w:rPr>
      </w:pPr>
      <w:r w:rsidRPr="00C9040A">
        <w:rPr>
          <w:rtl/>
          <w:lang w:bidi="fa-IR"/>
        </w:rPr>
        <w:t xml:space="preserve">فَقَالَ : « قَوْلُ اللهِ عَزَّ وَجَلَّ : </w:t>
      </w:r>
      <w:r w:rsidRPr="0003660B">
        <w:rPr>
          <w:rStyle w:val="libAlaemChar"/>
          <w:rtl/>
        </w:rPr>
        <w:t>(</w:t>
      </w:r>
      <w:r w:rsidRPr="006A2246">
        <w:rPr>
          <w:rStyle w:val="libAieChar"/>
          <w:rtl/>
        </w:rPr>
        <w:t xml:space="preserve"> وَإِذا ما أُنْزِلَتْ سُورَةٌ فَمِنْهُمْ مَنْ يَقُولُ أَيُّكُمْ زادَتْهُ هذِهِ إِيماناً فَأَمَّا الَّذِينَ آمَنُوا فَزادَتْهُمْ إِيماناً وَهُمْ يَسْتَبْشِرُونَ </w:t>
      </w:r>
      <w:r w:rsidR="003007FF">
        <w:rPr>
          <w:rStyle w:val="libAieChar"/>
          <w:rFonts w:hint="cs"/>
          <w:rtl/>
        </w:rPr>
        <w:t xml:space="preserve">* </w:t>
      </w:r>
      <w:r w:rsidRPr="006A2246">
        <w:rPr>
          <w:rStyle w:val="libAieChar"/>
          <w:rtl/>
        </w:rPr>
        <w:t xml:space="preserve">وَأَمَّا الَّذِينَ فِي قُلُوبِهِمْ مَرَضٌ فَزادَتْهُمْ رِجْساً إِلَى رِجْسِهِمْ </w:t>
      </w:r>
      <w:r w:rsidRPr="0003660B">
        <w:rPr>
          <w:rStyle w:val="libAlaemChar"/>
          <w:rtl/>
        </w:rPr>
        <w:t>)</w:t>
      </w:r>
      <w:r w:rsidRPr="00C9040A">
        <w:rPr>
          <w:rtl/>
          <w:lang w:bidi="fa-IR"/>
        </w:rPr>
        <w:t xml:space="preserve"> </w:t>
      </w:r>
      <w:r w:rsidR="006C577F" w:rsidRPr="006C577F">
        <w:rPr>
          <w:rStyle w:val="libFootnotenumChar"/>
          <w:rtl/>
        </w:rPr>
        <w:t>(5)</w:t>
      </w:r>
      <w:r w:rsidRPr="00C9040A">
        <w:rPr>
          <w:rtl/>
          <w:lang w:bidi="fa-IR"/>
        </w:rPr>
        <w:t xml:space="preserve"> وَقَالَ : </w:t>
      </w:r>
      <w:r w:rsidRPr="0003660B">
        <w:rPr>
          <w:rStyle w:val="libAlaemChar"/>
          <w:rtl/>
        </w:rPr>
        <w:t>(</w:t>
      </w:r>
      <w:r w:rsidRPr="006A2246">
        <w:rPr>
          <w:rStyle w:val="libAieChar"/>
          <w:rtl/>
        </w:rPr>
        <w:t xml:space="preserve"> نَحْنُ نَقُصُّ عَلَيْكَ نَبَأَهُمْ بِالْحَقِّ إِنَّهُمْ فِتْيَةٌ آمَنُوا بِرَبِّهِمْ وَزِدْناهُمْ هُدىً </w:t>
      </w:r>
      <w:r w:rsidRPr="0003660B">
        <w:rPr>
          <w:rStyle w:val="libAlaemChar"/>
          <w:rtl/>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 xml:space="preserve">وَلَوْ كَانَ كُلُّهُ وَاحِداً ، لَازِيَادَةَ فِيهِ وَلَا نُقْصَانَ ، لَمْ يَكُنْ لِأَحَدٍ مِنْهُمْ فَضْلٌ عَلَى الْآخَرِ ، وَلَاسْتَوَتِ النِّعَمُ فِيهِ ، وَلَاسْتَوَى النَّاسُ ، وَبَطَلَ التَّفْضِيلُ ، وَلكِنْ </w:t>
      </w:r>
      <w:r w:rsidR="006C577F" w:rsidRPr="006C577F">
        <w:rPr>
          <w:rStyle w:val="libFootnotenumChar"/>
          <w:rtl/>
        </w:rPr>
        <w:t>(7)</w:t>
      </w:r>
      <w:r w:rsidRPr="00C9040A">
        <w:rPr>
          <w:rtl/>
          <w:lang w:bidi="fa-IR"/>
        </w:rPr>
        <w:t xml:space="preserve"> بِتَمَامِ الْإِيمَانِ دَخَلَ الْمُؤْمِنُونَ الْجَنَّةَ ، وَبِالزِّيَادَةِ فِي الْإِيمَانِ تَفَاضَلَ الْمُؤْمِنُونَ بِالدَّرَجَاتِ عِنْدَ اللهِ </w:t>
      </w:r>
      <w:r w:rsidR="006C577F" w:rsidRPr="006C577F">
        <w:rPr>
          <w:rStyle w:val="libFootnotenumChar"/>
          <w:rtl/>
        </w:rPr>
        <w:t>(8)</w:t>
      </w:r>
      <w:r w:rsidRPr="00C9040A">
        <w:rPr>
          <w:rtl/>
          <w:lang w:bidi="fa-IR"/>
        </w:rPr>
        <w:t xml:space="preserve"> ، وَبِالنُّقْصَانِ دَخَلَ الْمُفَرِّطُونَ النَّارَ »</w:t>
      </w:r>
      <w:r>
        <w:rPr>
          <w:rtl/>
          <w:lang w:bidi="fa-IR"/>
        </w:rPr>
        <w:t>.</w:t>
      </w:r>
      <w:r w:rsidRPr="00C9040A">
        <w:rPr>
          <w:rtl/>
          <w:lang w:bidi="fa-IR"/>
        </w:rPr>
        <w:t xml:space="preserve"> </w:t>
      </w:r>
      <w:r w:rsidR="006C577F" w:rsidRPr="006C577F">
        <w:rPr>
          <w:rStyle w:val="libFootnotenumChar"/>
          <w:rtl/>
        </w:rPr>
        <w:t>(9)</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 ف » : « من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هكذا في النسخ التي قوبلت والوافي. وفي المطبوع : « البيت المقدّس »</w:t>
      </w:r>
      <w:r w:rsidR="008A74EB">
        <w:rPr>
          <w:rtl/>
        </w:rPr>
        <w:t>.</w:t>
      </w:r>
    </w:p>
    <w:p w:rsidR="008A74EB" w:rsidRPr="004A4E41" w:rsidRDefault="006C577F" w:rsidP="004A4E41">
      <w:pPr>
        <w:pStyle w:val="libFootnote0"/>
        <w:rPr>
          <w:rStyle w:val="libFootnote0Char"/>
          <w:rtl/>
        </w:rPr>
      </w:pPr>
      <w:r>
        <w:rPr>
          <w:rtl/>
        </w:rPr>
        <w:t>(3).</w:t>
      </w:r>
      <w:r w:rsidR="008A74EB" w:rsidRPr="00C9040A">
        <w:rPr>
          <w:rtl/>
        </w:rPr>
        <w:t xml:space="preserve"> البقرة </w:t>
      </w:r>
      <w:r w:rsidR="003007FF">
        <w:rPr>
          <w:rtl/>
        </w:rPr>
        <w:t>(2)</w:t>
      </w:r>
      <w:r w:rsidR="008A74EB" w:rsidRPr="00C9040A">
        <w:rPr>
          <w:rtl/>
        </w:rPr>
        <w:t xml:space="preserve"> : 143.</w:t>
      </w:r>
    </w:p>
    <w:tbl>
      <w:tblPr>
        <w:tblStyle w:val="TableGrid"/>
        <w:bidiVisual/>
        <w:tblW w:w="0" w:type="auto"/>
        <w:tblLook w:val="04A0" w:firstRow="1" w:lastRow="0" w:firstColumn="1" w:lastColumn="0" w:noHBand="0" w:noVBand="1"/>
      </w:tblPr>
      <w:tblGrid>
        <w:gridCol w:w="4006"/>
        <w:gridCol w:w="4006"/>
      </w:tblGrid>
      <w:tr w:rsidR="003007FF" w:rsidTr="003007FF">
        <w:tc>
          <w:tcPr>
            <w:tcW w:w="4006" w:type="dxa"/>
          </w:tcPr>
          <w:p w:rsidR="003007FF" w:rsidRDefault="003007FF" w:rsidP="004A4E41">
            <w:pPr>
              <w:pStyle w:val="libFootnote0"/>
              <w:rPr>
                <w:rtl/>
              </w:rPr>
            </w:pPr>
            <w:r>
              <w:rPr>
                <w:rtl/>
              </w:rPr>
              <w:t>(4).</w:t>
            </w:r>
            <w:r w:rsidRPr="00C9040A">
              <w:rPr>
                <w:rtl/>
              </w:rPr>
              <w:t xml:space="preserve"> في الوسائل : « ممّا »</w:t>
            </w:r>
            <w:r>
              <w:rPr>
                <w:rtl/>
              </w:rPr>
              <w:t>.</w:t>
            </w:r>
          </w:p>
        </w:tc>
        <w:tc>
          <w:tcPr>
            <w:tcW w:w="4006" w:type="dxa"/>
          </w:tcPr>
          <w:p w:rsidR="003007FF" w:rsidRDefault="003007FF" w:rsidP="004A4E41">
            <w:pPr>
              <w:pStyle w:val="libFootnote0"/>
              <w:rPr>
                <w:rtl/>
              </w:rPr>
            </w:pPr>
            <w:r>
              <w:rPr>
                <w:rtl/>
              </w:rPr>
              <w:t>(5).</w:t>
            </w:r>
            <w:r w:rsidRPr="00C9040A">
              <w:rPr>
                <w:rtl/>
              </w:rPr>
              <w:t xml:space="preserve"> التوبة </w:t>
            </w:r>
            <w:r w:rsidR="00B5273E">
              <w:rPr>
                <w:rtl/>
              </w:rPr>
              <w:t>(9)</w:t>
            </w:r>
            <w:r w:rsidRPr="00C9040A">
              <w:rPr>
                <w:rtl/>
              </w:rPr>
              <w:t xml:space="preserve"> : 124</w:t>
            </w:r>
            <w:r>
              <w:rPr>
                <w:rtl/>
              </w:rPr>
              <w:t xml:space="preserve"> - </w:t>
            </w:r>
            <w:r w:rsidRPr="00C9040A">
              <w:rPr>
                <w:rtl/>
              </w:rPr>
              <w:t>125.</w:t>
            </w:r>
          </w:p>
        </w:tc>
      </w:tr>
      <w:tr w:rsidR="003007FF" w:rsidTr="003007FF">
        <w:tc>
          <w:tcPr>
            <w:tcW w:w="4006" w:type="dxa"/>
          </w:tcPr>
          <w:p w:rsidR="003007FF" w:rsidRDefault="003007FF" w:rsidP="004A4E41">
            <w:pPr>
              <w:pStyle w:val="libFootnote0"/>
              <w:rPr>
                <w:rtl/>
              </w:rPr>
            </w:pPr>
            <w:r>
              <w:rPr>
                <w:rtl/>
              </w:rPr>
              <w:t xml:space="preserve">(6). </w:t>
            </w:r>
            <w:r w:rsidRPr="00C9040A">
              <w:rPr>
                <w:rtl/>
              </w:rPr>
              <w:t>الكهف (18) : 13.</w:t>
            </w:r>
          </w:p>
        </w:tc>
        <w:tc>
          <w:tcPr>
            <w:tcW w:w="4006" w:type="dxa"/>
          </w:tcPr>
          <w:p w:rsidR="003007FF" w:rsidRDefault="003007FF" w:rsidP="004A4E41">
            <w:pPr>
              <w:pStyle w:val="libFootnote0"/>
              <w:rPr>
                <w:rtl/>
              </w:rPr>
            </w:pPr>
            <w:r>
              <w:rPr>
                <w:rtl/>
              </w:rPr>
              <w:t>(7).</w:t>
            </w:r>
            <w:r w:rsidRPr="00C9040A">
              <w:rPr>
                <w:rtl/>
              </w:rPr>
              <w:t xml:space="preserve"> في الوسائل </w:t>
            </w:r>
            <w:r>
              <w:rPr>
                <w:rtl/>
              </w:rPr>
              <w:t>: -</w:t>
            </w:r>
            <w:r w:rsidRPr="00C9040A">
              <w:rPr>
                <w:rtl/>
              </w:rPr>
              <w:t xml:space="preserve"> « لكن »</w:t>
            </w:r>
            <w:r>
              <w:rPr>
                <w:rtl/>
              </w:rPr>
              <w:t>.</w:t>
            </w:r>
          </w:p>
        </w:tc>
      </w:tr>
    </w:tbl>
    <w:p w:rsidR="008A74EB" w:rsidRPr="00C9040A" w:rsidRDefault="006C577F" w:rsidP="004A4E41">
      <w:pPr>
        <w:pStyle w:val="libFootnote0"/>
        <w:rPr>
          <w:rtl/>
          <w:lang w:bidi="fa-IR"/>
        </w:rPr>
      </w:pPr>
      <w:r>
        <w:rPr>
          <w:rtl/>
        </w:rPr>
        <w:t>(8).</w:t>
      </w:r>
      <w:r w:rsidR="008A74EB" w:rsidRPr="00C9040A">
        <w:rPr>
          <w:rtl/>
        </w:rPr>
        <w:t xml:space="preserve"> في الوسائل </w:t>
      </w:r>
      <w:r w:rsidR="008A74EB">
        <w:rPr>
          <w:rtl/>
        </w:rPr>
        <w:t xml:space="preserve">: </w:t>
      </w:r>
      <w:r w:rsidR="0084262C">
        <w:rPr>
          <w:rtl/>
        </w:rPr>
        <w:t>-</w:t>
      </w:r>
      <w:r w:rsidR="008A74EB" w:rsidRPr="00C9040A">
        <w:rPr>
          <w:rtl/>
        </w:rPr>
        <w:t xml:space="preserve"> « وبالزيادة</w:t>
      </w:r>
      <w:r w:rsidR="008A74EB">
        <w:rPr>
          <w:rtl/>
        </w:rPr>
        <w:t xml:space="preserve"> </w:t>
      </w:r>
      <w:r w:rsidR="0084262C">
        <w:rPr>
          <w:rtl/>
        </w:rPr>
        <w:t>-</w:t>
      </w:r>
      <w:r w:rsidR="008A74EB">
        <w:rPr>
          <w:rtl/>
        </w:rPr>
        <w:t xml:space="preserve"> </w:t>
      </w:r>
      <w:r w:rsidR="008A74EB" w:rsidRPr="00C9040A">
        <w:rPr>
          <w:rtl/>
        </w:rPr>
        <w:t>إلى</w:t>
      </w:r>
      <w:r w:rsidR="008A74EB">
        <w:rPr>
          <w:rtl/>
        </w:rPr>
        <w:t xml:space="preserve"> </w:t>
      </w:r>
      <w:r w:rsidR="0084262C">
        <w:rPr>
          <w:rtl/>
        </w:rPr>
        <w:t>-</w:t>
      </w:r>
      <w:r w:rsidR="008A74EB">
        <w:rPr>
          <w:rtl/>
        </w:rPr>
        <w:t xml:space="preserve"> </w:t>
      </w:r>
      <w:r w:rsidR="008A74EB" w:rsidRPr="00C9040A">
        <w:rPr>
          <w:rtl/>
        </w:rPr>
        <w:t>عندالله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w:t>
      </w:r>
      <w:r w:rsidR="008A74EB" w:rsidRPr="00993B55">
        <w:rPr>
          <w:rStyle w:val="libFootnoteBoldChar"/>
          <w:rtl/>
        </w:rPr>
        <w:t>تفسير العيّاشي</w:t>
      </w:r>
      <w:r w:rsidR="008A74EB" w:rsidRPr="00C9040A">
        <w:rPr>
          <w:rtl/>
        </w:rPr>
        <w:t xml:space="preserve"> ، ج 1 ، ص 63 ، ح 115 ؛ وص 157 ، ح 529 ؛ وص 282 ، ح 292 ؛ وج 2 ، ص 293 ، ح 77 ؛ وص 323 ، ح 12 ، وفي كلّها عن أبي عمرو الزبيري ، قطعة منه ، مع اختلاف يسير. </w:t>
      </w:r>
      <w:r w:rsidR="008A74EB" w:rsidRPr="00993B55">
        <w:rPr>
          <w:rStyle w:val="libFootnoteBoldChar"/>
          <w:rtl/>
        </w:rPr>
        <w:t>الفقيه</w:t>
      </w:r>
      <w:r w:rsidR="008A74EB" w:rsidRPr="00C9040A">
        <w:rPr>
          <w:rtl/>
        </w:rPr>
        <w:t xml:space="preserve"> ، ج 2 ، ص 626 ، ح 3215 ، مرسلاً عن عليّ </w:t>
      </w:r>
      <w:r w:rsidR="00117575" w:rsidRPr="00117575">
        <w:rPr>
          <w:rStyle w:val="libFootnoteAlaemChar"/>
          <w:rtl/>
        </w:rPr>
        <w:t>عليه‌السلام</w:t>
      </w:r>
      <w:r w:rsidR="008A74EB" w:rsidRPr="00C9040A">
        <w:rPr>
          <w:rtl/>
        </w:rPr>
        <w:t xml:space="preserve"> في وصيّته لابنه محمّد بن الحنفيّة ، مع اختلاف </w:t>
      </w:r>
      <w:r w:rsidR="00B5273E">
        <w:rPr>
          <w:rFonts w:hint="cs"/>
          <w:rtl/>
        </w:rPr>
        <w:t>.</w:t>
      </w:r>
      <w:r w:rsidR="008A74EB" w:rsidRPr="00993B55">
        <w:rPr>
          <w:rStyle w:val="libFootnoteBoldChar"/>
          <w:rtl/>
        </w:rPr>
        <w:t>الوافي</w:t>
      </w:r>
      <w:r w:rsidR="008A74EB" w:rsidRPr="00C9040A">
        <w:rPr>
          <w:rtl/>
        </w:rPr>
        <w:t xml:space="preserve"> ، ج 4 ، ص 115 ، ح 1716 ؛ </w:t>
      </w:r>
      <w:r w:rsidR="008A74EB" w:rsidRPr="00993B55">
        <w:rPr>
          <w:rStyle w:val="libFootnoteBoldChar"/>
          <w:rtl/>
        </w:rPr>
        <w:t>الوسائل</w:t>
      </w:r>
      <w:r w:rsidR="008A74EB" w:rsidRPr="00C9040A">
        <w:rPr>
          <w:rtl/>
        </w:rPr>
        <w:t xml:space="preserve"> ، ج 15 ، ص 164 ، ح 2</w:t>
      </w:r>
      <w:r w:rsidR="00B5273E">
        <w:rPr>
          <w:rFonts w:hint="cs"/>
          <w:rtl/>
        </w:rPr>
        <w:t>0</w:t>
      </w:r>
      <w:r w:rsidR="008A74EB" w:rsidRPr="00C9040A">
        <w:rPr>
          <w:rtl/>
        </w:rPr>
        <w:t xml:space="preserve">218 ، من قوله : « قال : لأنّ الله تبارك وتعالى فرض الإيمان على جوارح » ؛ </w:t>
      </w:r>
      <w:r w:rsidR="008A74EB" w:rsidRPr="00993B55">
        <w:rPr>
          <w:rStyle w:val="libFootnoteBoldChar"/>
          <w:rtl/>
        </w:rPr>
        <w:t>البحار</w:t>
      </w:r>
      <w:r w:rsidR="008A74EB" w:rsidRPr="00C9040A">
        <w:rPr>
          <w:rtl/>
        </w:rPr>
        <w:t xml:space="preserve"> ، ج 69 ، ص 23 ، ح 6 ، مع زيادة في آخره ؛ </w:t>
      </w:r>
      <w:r w:rsidR="008A74EB" w:rsidRPr="00993B55">
        <w:rPr>
          <w:rStyle w:val="libFootnoteBoldChar"/>
          <w:rtl/>
        </w:rPr>
        <w:t>وفيه</w:t>
      </w:r>
      <w:r w:rsidR="008A74EB" w:rsidRPr="00C9040A">
        <w:rPr>
          <w:rtl/>
        </w:rPr>
        <w:t xml:space="preserve"> ، ج 85 ، ص 127 ، قطعة منه.</w:t>
      </w:r>
    </w:p>
    <w:p w:rsidR="004B7F34" w:rsidRDefault="004B7F34" w:rsidP="004B7F34">
      <w:pPr>
        <w:pStyle w:val="libNormal"/>
        <w:rPr>
          <w:rtl/>
          <w:lang w:bidi="fa-IR"/>
        </w:rPr>
      </w:pPr>
      <w:r>
        <w:rPr>
          <w:rtl/>
          <w:lang w:bidi="fa-IR"/>
        </w:rPr>
        <w:br w:type="page"/>
      </w:r>
    </w:p>
    <w:p w:rsidR="00B5273E" w:rsidRDefault="008A74EB" w:rsidP="00B5273E">
      <w:pPr>
        <w:pStyle w:val="libNormal"/>
        <w:rPr>
          <w:rtl/>
          <w:lang w:bidi="fa-IR"/>
        </w:rPr>
      </w:pPr>
      <w:r w:rsidRPr="00BD575A">
        <w:rPr>
          <w:rtl/>
        </w:rPr>
        <w:lastRenderedPageBreak/>
        <w:t>1522</w:t>
      </w:r>
      <w:r w:rsidRPr="00261CB0">
        <w:rPr>
          <w:rStyle w:val="libBold2Char"/>
          <w:rtl/>
        </w:rPr>
        <w:t xml:space="preserve"> / 2.</w:t>
      </w:r>
      <w:r w:rsidRPr="00C9040A">
        <w:rPr>
          <w:rtl/>
          <w:lang w:bidi="fa-IR"/>
        </w:rPr>
        <w:t xml:space="preserve"> عِدَّةٌ مِنْ أَصْحَابِنَا ، عَنْ أَحْمَدَ بْنِ مُحَمَّدِ بْنِ خَالِدٍ ، عَنْ أَبِيهِ ؛</w:t>
      </w:r>
    </w:p>
    <w:p w:rsidR="008A74EB" w:rsidRPr="00C9040A" w:rsidRDefault="00B5273E" w:rsidP="00B5273E">
      <w:pPr>
        <w:pStyle w:val="libNormal"/>
        <w:rPr>
          <w:rtl/>
          <w:lang w:bidi="fa-IR"/>
        </w:rPr>
      </w:pPr>
      <w:r>
        <w:rPr>
          <w:rFonts w:hint="cs"/>
          <w:rtl/>
          <w:lang w:bidi="fa-IR"/>
        </w:rPr>
        <w:t xml:space="preserve">              </w:t>
      </w:r>
      <w:r w:rsidR="008A74EB" w:rsidRPr="00C9040A">
        <w:rPr>
          <w:rtl/>
          <w:lang w:bidi="fa-IR"/>
        </w:rPr>
        <w:t xml:space="preserve">وَمُحَمَّدُ بْنُ يَحْيى ، عَنْ أَحْمَدَ بْنِ مُحَمَّدِ بْنِ عِيسى جَمِيعاً ، عَنِ الْبَرْقِيِّ </w:t>
      </w:r>
      <w:r w:rsidR="006C577F" w:rsidRPr="006C577F">
        <w:rPr>
          <w:rStyle w:val="libFootnotenumChar"/>
          <w:rtl/>
        </w:rPr>
        <w:t>(1)</w:t>
      </w:r>
      <w:r w:rsidR="008A74EB" w:rsidRPr="00C9040A">
        <w:rPr>
          <w:rtl/>
          <w:lang w:bidi="fa-IR"/>
        </w:rPr>
        <w:t xml:space="preserve">، عَنِ النَّضْرِ بْنِ سُوَيْدٍ ، عَنْ يَحْيَى بْنِ عِمْرَانَ الْحَلَبِيِّ ، عَنْ عُبَيْدِ اللهِ </w:t>
      </w:r>
      <w:r w:rsidR="006C577F" w:rsidRPr="006C577F">
        <w:rPr>
          <w:rStyle w:val="libFootnotenumChar"/>
          <w:rtl/>
        </w:rPr>
        <w:t>(2)</w:t>
      </w:r>
      <w:r w:rsidR="008A74EB" w:rsidRPr="00C9040A">
        <w:rPr>
          <w:rtl/>
          <w:lang w:bidi="fa-IR"/>
        </w:rPr>
        <w:t xml:space="preserve"> بْنِ الْحَسَنِ </w:t>
      </w:r>
      <w:r w:rsidR="006C577F" w:rsidRPr="006C577F">
        <w:rPr>
          <w:rStyle w:val="libFootnotenumChar"/>
          <w:rtl/>
        </w:rPr>
        <w:t>(3)</w:t>
      </w:r>
      <w:r w:rsidR="008A74EB" w:rsidRPr="00C9040A">
        <w:rPr>
          <w:rtl/>
          <w:lang w:bidi="fa-IR"/>
        </w:rPr>
        <w:t xml:space="preserve"> ، عَنِ الْحَسَنِ بْنِ هَارُونَ ، قَالَ :</w:t>
      </w:r>
    </w:p>
    <w:p w:rsidR="008A74EB" w:rsidRPr="00C9040A" w:rsidRDefault="008A74EB" w:rsidP="008A74EB">
      <w:pPr>
        <w:pStyle w:val="libNormal"/>
        <w:rPr>
          <w:rtl/>
          <w:lang w:bidi="fa-IR"/>
        </w:rPr>
      </w:pPr>
      <w:r w:rsidRPr="00C9040A">
        <w:rPr>
          <w:rtl/>
          <w:lang w:bidi="fa-IR"/>
        </w:rPr>
        <w:t xml:space="preserve">قَالَ لِي </w:t>
      </w:r>
      <w:r w:rsidR="006C577F" w:rsidRPr="006C577F">
        <w:rPr>
          <w:rStyle w:val="libFootnotenumChar"/>
          <w:rtl/>
        </w:rPr>
        <w:t>(4)</w:t>
      </w:r>
      <w:r w:rsidRPr="00C9040A">
        <w:rPr>
          <w:rtl/>
          <w:lang w:bidi="fa-IR"/>
        </w:rPr>
        <w:t xml:space="preserve"> أَبُو عَبْدِ اللهِ </w:t>
      </w:r>
      <w:r w:rsidRPr="0003660B">
        <w:rPr>
          <w:rStyle w:val="libAlaemChar"/>
          <w:rtl/>
        </w:rPr>
        <w:t>عليه‌السلام</w:t>
      </w:r>
      <w:r w:rsidRPr="00C9040A">
        <w:rPr>
          <w:rtl/>
          <w:lang w:bidi="fa-IR"/>
        </w:rPr>
        <w:t xml:space="preserve"> : « </w:t>
      </w:r>
      <w:r w:rsidRPr="0003660B">
        <w:rPr>
          <w:rStyle w:val="libAlaemChar"/>
          <w:rtl/>
        </w:rPr>
        <w:t>(</w:t>
      </w:r>
      <w:r w:rsidRPr="006A2246">
        <w:rPr>
          <w:rStyle w:val="libAieChar"/>
          <w:rtl/>
        </w:rPr>
        <w:t xml:space="preserve"> إِنَّ السَّمْعَ وَالْبَصَرَ وَالْفُؤادَ كُلُّ أُولئِكَ كانَ عَنْهُ مَسْؤُلاً </w:t>
      </w:r>
      <w:r w:rsidRPr="0003660B">
        <w:rPr>
          <w:rStyle w:val="libAlaemChar"/>
          <w:rtl/>
        </w:rPr>
        <w:t>)</w:t>
      </w:r>
      <w:r w:rsidRPr="00C9040A">
        <w:rPr>
          <w:rtl/>
          <w:lang w:bidi="fa-IR"/>
        </w:rPr>
        <w:t xml:space="preserve"> </w:t>
      </w:r>
      <w:r w:rsidR="006C577F" w:rsidRPr="006C577F">
        <w:rPr>
          <w:rStyle w:val="libFootnotenumChar"/>
          <w:rtl/>
        </w:rPr>
        <w:t>(5)</w:t>
      </w:r>
      <w:r w:rsidRPr="00C9040A">
        <w:rPr>
          <w:rtl/>
          <w:lang w:bidi="fa-IR"/>
        </w:rPr>
        <w:t xml:space="preserve"> » قَالَ : « يُسْأَلُ السَّمْعُ عَمَّا سَمِعَ ، وَالْبَصَرُ عَمَّا </w:t>
      </w:r>
      <w:r w:rsidR="006C577F" w:rsidRPr="006C577F">
        <w:rPr>
          <w:rStyle w:val="libFootnotenumChar"/>
          <w:rtl/>
        </w:rPr>
        <w:t>(6)</w:t>
      </w:r>
      <w:r w:rsidRPr="005B567D">
        <w:rPr>
          <w:rStyle w:val="libFootnotenumChar"/>
          <w:rtl/>
        </w:rPr>
        <w:t xml:space="preserve"> </w:t>
      </w:r>
      <w:r w:rsidRPr="00C9040A">
        <w:rPr>
          <w:rtl/>
          <w:lang w:bidi="fa-IR"/>
        </w:rPr>
        <w:t xml:space="preserve">نَظَرَ إِلَيْهِ </w:t>
      </w:r>
      <w:r w:rsidR="006C577F" w:rsidRPr="006C577F">
        <w:rPr>
          <w:rStyle w:val="libFootnotenumChar"/>
          <w:rtl/>
        </w:rPr>
        <w:t>(7)</w:t>
      </w:r>
      <w:r w:rsidRPr="00C9040A">
        <w:rPr>
          <w:rtl/>
          <w:lang w:bidi="fa-IR"/>
        </w:rPr>
        <w:t xml:space="preserve"> ، وَالْفُؤَادُ عَمَّا عَقَدَ عَلَيْهِ »</w:t>
      </w:r>
      <w:r>
        <w:rPr>
          <w:rtl/>
          <w:lang w:bidi="fa-IR"/>
        </w:rPr>
        <w:t>.</w:t>
      </w:r>
      <w:r w:rsidR="006C577F" w:rsidRPr="006C577F">
        <w:rPr>
          <w:rStyle w:val="libFootnotenumChar"/>
          <w:rtl/>
        </w:rPr>
        <w:t>(8)</w:t>
      </w:r>
    </w:p>
    <w:p w:rsidR="008A74EB" w:rsidRPr="00C9040A" w:rsidRDefault="008A74EB" w:rsidP="008A74EB">
      <w:pPr>
        <w:pStyle w:val="libNormal"/>
        <w:rPr>
          <w:rtl/>
          <w:lang w:bidi="fa-IR"/>
        </w:rPr>
      </w:pPr>
      <w:r w:rsidRPr="00BD575A">
        <w:rPr>
          <w:rtl/>
        </w:rPr>
        <w:t>1523</w:t>
      </w:r>
      <w:r w:rsidRPr="00261CB0">
        <w:rPr>
          <w:rStyle w:val="libBold2Char"/>
          <w:rtl/>
        </w:rPr>
        <w:t xml:space="preserve"> / 3.</w:t>
      </w:r>
      <w:r w:rsidRPr="00C9040A">
        <w:rPr>
          <w:rtl/>
          <w:lang w:bidi="fa-IR"/>
        </w:rPr>
        <w:t xml:space="preserve"> أَبُو عَلِيٍّ الْأَشْعَرِيُّ ، عَنْ مُحَمَّدِ بْنِ عَبْدِ الْجَبَّارِ ، عَنْ صَفْوَانَ أَوْ </w:t>
      </w:r>
      <w:r w:rsidR="006C577F" w:rsidRPr="006C577F">
        <w:rPr>
          <w:rStyle w:val="libFootnotenumChar"/>
          <w:rtl/>
        </w:rPr>
        <w:t>(9)</w:t>
      </w:r>
      <w:r w:rsidRPr="00C9040A">
        <w:rPr>
          <w:rtl/>
          <w:lang w:bidi="fa-IR"/>
        </w:rPr>
        <w:t xml:space="preserve"> غَيْرِهِ ، عَنِ الْعَلَاءِ ، عَنْ مُحَمَّدِ بْنِ مُسْلِمٍ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سَأَلْتُهُ عَنِ الْإِيمَانِ ، فَقَالَ </w:t>
      </w:r>
      <w:r w:rsidR="006C577F" w:rsidRPr="006C577F">
        <w:rPr>
          <w:rStyle w:val="libFootnotenumChar"/>
          <w:rtl/>
        </w:rPr>
        <w:t>(10)</w:t>
      </w:r>
      <w:r w:rsidRPr="00C9040A">
        <w:rPr>
          <w:rtl/>
          <w:lang w:bidi="fa-IR"/>
        </w:rPr>
        <w:t xml:space="preserve"> : « شَهَادَةُ أَنْ لَا</w:t>
      </w:r>
      <w:r>
        <w:rPr>
          <w:rFonts w:hint="cs"/>
          <w:rtl/>
          <w:lang w:bidi="fa-IR"/>
        </w:rPr>
        <w:t xml:space="preserve"> </w:t>
      </w:r>
      <w:r w:rsidR="00B5273E">
        <w:rPr>
          <w:rtl/>
          <w:lang w:bidi="fa-IR"/>
        </w:rPr>
        <w:t>إِلهَ إِل</w:t>
      </w:r>
      <w:r w:rsidR="00B5273E">
        <w:rPr>
          <w:rFonts w:hint="cs"/>
          <w:rtl/>
          <w:lang w:bidi="fa-IR"/>
        </w:rPr>
        <w:t>َّ</w:t>
      </w:r>
      <w:r w:rsidR="00B5273E">
        <w:rPr>
          <w:rtl/>
          <w:lang w:bidi="fa-IR"/>
        </w:rPr>
        <w:t>ا</w:t>
      </w:r>
      <w:r w:rsidRPr="00C9040A">
        <w:rPr>
          <w:rtl/>
          <w:lang w:bidi="fa-IR"/>
        </w:rPr>
        <w:t xml:space="preserve"> اللهُ</w:t>
      </w:r>
      <w:r w:rsidR="00B5273E">
        <w:rPr>
          <w:rFonts w:hint="cs"/>
          <w:rtl/>
          <w:lang w:bidi="fa-IR"/>
        </w:rPr>
        <w:t xml:space="preserve"> </w:t>
      </w:r>
      <w:r w:rsidR="006C577F" w:rsidRPr="006C577F">
        <w:rPr>
          <w:rStyle w:val="libFootnotenumChar"/>
          <w:rtl/>
        </w:rPr>
        <w:t>(11)</w:t>
      </w:r>
      <w:r w:rsidRPr="00C9040A">
        <w:rPr>
          <w:rtl/>
          <w:lang w:bidi="fa-IR"/>
        </w:rPr>
        <w:t>،</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السند تحويل كما هو ظاهرٌ من وقوع « محمّد بن يحيى ، عن أحمد بن محمّد بن عيسى » بعد العاطف ، والبرقي هذا هو محمّد بن خالد البرقي والد أحمد بن محمّد بن خالد ، روى عنه أحمد بن محمّد بن عيسى في كثيرٍ من الأسناد ، وروى هو كتاب النضر بن سويد. راجع : </w:t>
      </w:r>
      <w:r w:rsidR="008A74EB" w:rsidRPr="00993B55">
        <w:rPr>
          <w:rStyle w:val="libFootnoteBoldChar"/>
          <w:rtl/>
        </w:rPr>
        <w:t>معجم رجال الحديث</w:t>
      </w:r>
      <w:r w:rsidR="008A74EB" w:rsidRPr="00C9040A">
        <w:rPr>
          <w:rtl/>
        </w:rPr>
        <w:t xml:space="preserve"> ، ج 2 ، ص 693</w:t>
      </w:r>
      <w:r w:rsidR="008A74EB">
        <w:rPr>
          <w:rtl/>
        </w:rPr>
        <w:t xml:space="preserve"> </w:t>
      </w:r>
      <w:r w:rsidR="0084262C">
        <w:rPr>
          <w:rtl/>
        </w:rPr>
        <w:t>-</w:t>
      </w:r>
      <w:r w:rsidR="008A74EB">
        <w:rPr>
          <w:rtl/>
        </w:rPr>
        <w:t xml:space="preserve"> </w:t>
      </w:r>
      <w:r w:rsidR="008A74EB" w:rsidRPr="00C9040A">
        <w:rPr>
          <w:rtl/>
        </w:rPr>
        <w:t>694 ؛ وص 702</w:t>
      </w:r>
      <w:r w:rsidR="008A74EB">
        <w:rPr>
          <w:rtl/>
        </w:rPr>
        <w:t xml:space="preserve"> </w:t>
      </w:r>
      <w:r w:rsidR="0084262C">
        <w:rPr>
          <w:rtl/>
        </w:rPr>
        <w:t>-</w:t>
      </w:r>
      <w:r w:rsidR="008A74EB">
        <w:rPr>
          <w:rtl/>
        </w:rPr>
        <w:t xml:space="preserve"> </w:t>
      </w:r>
      <w:r w:rsidR="008A74EB" w:rsidRPr="00C9040A">
        <w:rPr>
          <w:rtl/>
        </w:rPr>
        <w:t>703 ؛ و</w:t>
      </w:r>
      <w:r w:rsidR="008A74EB" w:rsidRPr="0034021D">
        <w:rPr>
          <w:rStyle w:val="libFootnoteBoldChar"/>
          <w:rtl/>
        </w:rPr>
        <w:t>الفهرست للطوسي</w:t>
      </w:r>
      <w:r w:rsidR="008A74EB" w:rsidRPr="00C9040A">
        <w:rPr>
          <w:rtl/>
        </w:rPr>
        <w:t xml:space="preserve"> ، ص 481 ، الرقم 772. فالظاهر إمّا زيادة « عن أبيه » بعد « أحمد بن محمّد بن خالد » ، أو زيادة لفظة « جميعاً » في السند ، ولعلّ زيادة الثاني أولى. فتأمّل.</w:t>
      </w:r>
    </w:p>
    <w:p w:rsidR="008A74EB" w:rsidRPr="00C9040A" w:rsidRDefault="008A74EB" w:rsidP="004A4E41">
      <w:pPr>
        <w:pStyle w:val="libFootnote0"/>
        <w:rPr>
          <w:rtl/>
          <w:lang w:bidi="fa-IR"/>
        </w:rPr>
      </w:pPr>
      <w:r w:rsidRPr="00323A39">
        <w:rPr>
          <w:rtl/>
        </w:rPr>
        <w:t xml:space="preserve">هذا ، وما ورد في </w:t>
      </w:r>
      <w:r w:rsidRPr="00993B55">
        <w:rPr>
          <w:rStyle w:val="libFootnoteBoldChar"/>
          <w:rtl/>
        </w:rPr>
        <w:t xml:space="preserve">الوافي </w:t>
      </w:r>
      <w:r w:rsidRPr="00E86030">
        <w:rPr>
          <w:rStyle w:val="libFootnoteBoldChar"/>
          <w:rtl/>
        </w:rPr>
        <w:t>و</w:t>
      </w:r>
      <w:r w:rsidRPr="00993B55">
        <w:rPr>
          <w:rStyle w:val="libFootnoteBoldChar"/>
          <w:rtl/>
        </w:rPr>
        <w:t xml:space="preserve">الوسائل </w:t>
      </w:r>
      <w:r w:rsidRPr="00E86030">
        <w:rPr>
          <w:rStyle w:val="libFootnoteBoldChar"/>
          <w:rtl/>
        </w:rPr>
        <w:t>و</w:t>
      </w:r>
      <w:r w:rsidRPr="00993B55">
        <w:rPr>
          <w:rStyle w:val="libFootnoteBoldChar"/>
          <w:rtl/>
        </w:rPr>
        <w:t>البحار</w:t>
      </w:r>
      <w:r w:rsidRPr="00323A39">
        <w:rPr>
          <w:rtl/>
        </w:rPr>
        <w:t xml:space="preserve"> من عدم ذكر « عن أبيه » بعد « أحمد بن محمّد بن خالد » ، احتمال التصحيح الاجتهادي فيه قويّ جدّاً ؛ فإنّ جميع النسخ </w:t>
      </w:r>
      <w:r w:rsidR="0084262C" w:rsidRPr="00323A39">
        <w:rPr>
          <w:rtl/>
        </w:rPr>
        <w:t>-</w:t>
      </w:r>
      <w:r w:rsidRPr="00323A39">
        <w:rPr>
          <w:rtl/>
        </w:rPr>
        <w:t xml:space="preserve"> من التي قوبلت وغيرها </w:t>
      </w:r>
      <w:r w:rsidR="0084262C" w:rsidRPr="00323A39">
        <w:rPr>
          <w:rtl/>
        </w:rPr>
        <w:t>-</w:t>
      </w:r>
      <w:r w:rsidRPr="00323A39">
        <w:rPr>
          <w:rtl/>
        </w:rPr>
        <w:t xml:space="preserve"> متّفقة على ثبوت هذه العبارة.</w:t>
      </w:r>
    </w:p>
    <w:p w:rsidR="008A74EB" w:rsidRPr="004A4E41" w:rsidRDefault="006C577F" w:rsidP="004A4E41">
      <w:pPr>
        <w:pStyle w:val="libFootnote0"/>
        <w:rPr>
          <w:rStyle w:val="libFootnote0Char"/>
          <w:rtl/>
        </w:rPr>
      </w:pPr>
      <w:r>
        <w:rPr>
          <w:rtl/>
        </w:rPr>
        <w:t>(2).</w:t>
      </w:r>
      <w:r w:rsidR="008A74EB">
        <w:rPr>
          <w:rtl/>
        </w:rPr>
        <w:t xml:space="preserve"> </w:t>
      </w:r>
      <w:r w:rsidR="008A74EB" w:rsidRPr="00C9040A">
        <w:rPr>
          <w:rtl/>
        </w:rPr>
        <w:t>في « ج ، د ، بس » وحاشية « بر ، بف » والبحار : « عبد الله »</w:t>
      </w:r>
      <w:r w:rsidR="008A74EB">
        <w:rPr>
          <w:rtl/>
        </w:rPr>
        <w:t>.</w:t>
      </w:r>
    </w:p>
    <w:tbl>
      <w:tblPr>
        <w:tblStyle w:val="TableGrid"/>
        <w:bidiVisual/>
        <w:tblW w:w="0" w:type="auto"/>
        <w:tblLook w:val="04A0" w:firstRow="1" w:lastRow="0" w:firstColumn="1" w:lastColumn="0" w:noHBand="0" w:noVBand="1"/>
      </w:tblPr>
      <w:tblGrid>
        <w:gridCol w:w="4006"/>
        <w:gridCol w:w="4006"/>
      </w:tblGrid>
      <w:tr w:rsidR="00E86030" w:rsidTr="00E86030">
        <w:tc>
          <w:tcPr>
            <w:tcW w:w="4006" w:type="dxa"/>
          </w:tcPr>
          <w:p w:rsidR="00E86030" w:rsidRDefault="00E86030" w:rsidP="004A4E41">
            <w:pPr>
              <w:pStyle w:val="libFootnote0"/>
              <w:rPr>
                <w:rtl/>
              </w:rPr>
            </w:pPr>
            <w:r>
              <w:rPr>
                <w:rtl/>
              </w:rPr>
              <w:t>(3).</w:t>
            </w:r>
            <w:r w:rsidRPr="00C9040A">
              <w:rPr>
                <w:rtl/>
              </w:rPr>
              <w:t xml:space="preserve"> في « ب ، بس » : « الحسين »</w:t>
            </w:r>
            <w:r>
              <w:rPr>
                <w:rtl/>
              </w:rPr>
              <w:t>.</w:t>
            </w:r>
          </w:p>
        </w:tc>
        <w:tc>
          <w:tcPr>
            <w:tcW w:w="4006" w:type="dxa"/>
          </w:tcPr>
          <w:p w:rsidR="00E86030" w:rsidRDefault="00E86030" w:rsidP="004A4E41">
            <w:pPr>
              <w:pStyle w:val="libFootnote0"/>
              <w:rPr>
                <w:rtl/>
              </w:rPr>
            </w:pPr>
            <w:r>
              <w:rPr>
                <w:rtl/>
              </w:rPr>
              <w:t>(4).</w:t>
            </w:r>
            <w:r w:rsidRPr="00C9040A">
              <w:rPr>
                <w:rtl/>
              </w:rPr>
              <w:t xml:space="preserve"> في « ز » </w:t>
            </w:r>
            <w:r>
              <w:rPr>
                <w:rtl/>
              </w:rPr>
              <w:t>: -</w:t>
            </w:r>
            <w:r w:rsidRPr="00C9040A">
              <w:rPr>
                <w:rtl/>
              </w:rPr>
              <w:t xml:space="preserve"> « لي »</w:t>
            </w:r>
            <w:r>
              <w:rPr>
                <w:rtl/>
              </w:rPr>
              <w:t>.</w:t>
            </w:r>
          </w:p>
        </w:tc>
      </w:tr>
      <w:tr w:rsidR="00E86030" w:rsidTr="00E86030">
        <w:tc>
          <w:tcPr>
            <w:tcW w:w="4006" w:type="dxa"/>
          </w:tcPr>
          <w:p w:rsidR="00E86030" w:rsidRDefault="00E86030" w:rsidP="004A4E41">
            <w:pPr>
              <w:pStyle w:val="libFootnote0"/>
              <w:rPr>
                <w:rtl/>
              </w:rPr>
            </w:pPr>
            <w:r>
              <w:rPr>
                <w:rtl/>
              </w:rPr>
              <w:t>(5).</w:t>
            </w:r>
            <w:r w:rsidRPr="00C9040A">
              <w:rPr>
                <w:rtl/>
              </w:rPr>
              <w:t xml:space="preserve"> الإسراء (17) : 36.</w:t>
            </w:r>
          </w:p>
        </w:tc>
        <w:tc>
          <w:tcPr>
            <w:tcW w:w="4006" w:type="dxa"/>
          </w:tcPr>
          <w:p w:rsidR="00E86030" w:rsidRDefault="00E86030" w:rsidP="004A4E41">
            <w:pPr>
              <w:pStyle w:val="libFootnote0"/>
              <w:rPr>
                <w:rtl/>
              </w:rPr>
            </w:pPr>
            <w:r>
              <w:rPr>
                <w:rtl/>
              </w:rPr>
              <w:t xml:space="preserve">(6). </w:t>
            </w:r>
            <w:r w:rsidRPr="00C9040A">
              <w:rPr>
                <w:rtl/>
              </w:rPr>
              <w:t>في « ب » : « عمّن »</w:t>
            </w:r>
            <w:r>
              <w:rPr>
                <w:rtl/>
              </w:rPr>
              <w:t>.</w:t>
            </w:r>
          </w:p>
        </w:tc>
      </w:tr>
    </w:tbl>
    <w:p w:rsidR="008A74EB" w:rsidRPr="00C9040A" w:rsidRDefault="006C577F" w:rsidP="004A4E41">
      <w:pPr>
        <w:pStyle w:val="libFootnote0"/>
        <w:rPr>
          <w:rtl/>
          <w:lang w:bidi="fa-IR"/>
        </w:rPr>
      </w:pPr>
      <w:r>
        <w:rPr>
          <w:rtl/>
        </w:rPr>
        <w:t>(7).</w:t>
      </w:r>
      <w:r w:rsidR="008A74EB" w:rsidRPr="00C9040A">
        <w:rPr>
          <w:rtl/>
        </w:rPr>
        <w:t xml:space="preserve"> في تفسير العيّاشي ، ح 75 : « يطرف » بدل « نظر إليه »</w:t>
      </w:r>
      <w:r w:rsidR="008A74EB">
        <w:rPr>
          <w:rtl/>
        </w:rPr>
        <w:t>.</w:t>
      </w:r>
    </w:p>
    <w:p w:rsidR="008A74EB" w:rsidRPr="004A4E41" w:rsidRDefault="006C577F" w:rsidP="004A4E41">
      <w:pPr>
        <w:pStyle w:val="libFootnote0"/>
        <w:rPr>
          <w:rStyle w:val="libFootnote0Char"/>
          <w:rtl/>
        </w:rPr>
      </w:pPr>
      <w:r>
        <w:rPr>
          <w:rtl/>
        </w:rPr>
        <w:t>(8).</w:t>
      </w:r>
      <w:r w:rsidR="008A74EB" w:rsidRPr="00C9040A">
        <w:rPr>
          <w:rtl/>
        </w:rPr>
        <w:t xml:space="preserve"> </w:t>
      </w:r>
      <w:r w:rsidR="008A74EB" w:rsidRPr="00993B55">
        <w:rPr>
          <w:rStyle w:val="libFootnoteBoldChar"/>
          <w:rtl/>
        </w:rPr>
        <w:t>تفسير العيّاشي</w:t>
      </w:r>
      <w:r w:rsidR="008A74EB" w:rsidRPr="00C9040A">
        <w:rPr>
          <w:rtl/>
        </w:rPr>
        <w:t xml:space="preserve"> ، ج 2 ، ص 292 ، ح 75 ، عن الحسين بن هارون ؛ وح 74 ، عن الحسن ، عن أبي عبد الله </w:t>
      </w:r>
      <w:r w:rsidR="00117575" w:rsidRPr="00117575">
        <w:rPr>
          <w:rStyle w:val="libFootnoteAlaemChar"/>
          <w:rtl/>
        </w:rPr>
        <w:t>عليه‌السلام</w:t>
      </w:r>
      <w:r w:rsidR="008A74EB" w:rsidRPr="00C9040A">
        <w:rPr>
          <w:rtl/>
        </w:rPr>
        <w:t xml:space="preserve"> ، مع اختلاف وزيادة في أوّله ؛ </w:t>
      </w:r>
      <w:r w:rsidR="008A74EB" w:rsidRPr="00993B55">
        <w:rPr>
          <w:rStyle w:val="libFootnoteBoldChar"/>
          <w:rtl/>
        </w:rPr>
        <w:t>فقه الرضا</w:t>
      </w:r>
      <w:r w:rsidR="008A74EB" w:rsidRPr="00C9040A">
        <w:rPr>
          <w:rtl/>
        </w:rPr>
        <w:t xml:space="preserve"> </w:t>
      </w:r>
      <w:r w:rsidR="00117575" w:rsidRPr="00117575">
        <w:rPr>
          <w:rStyle w:val="libFootnoteAlaemChar"/>
          <w:rtl/>
        </w:rPr>
        <w:t>عليه‌السلام</w:t>
      </w:r>
      <w:r w:rsidR="008A74EB" w:rsidRPr="00C9040A">
        <w:rPr>
          <w:rtl/>
        </w:rPr>
        <w:t xml:space="preserve"> ، ص 281 ، مع زيادة في أوّله وآخره. </w:t>
      </w:r>
      <w:r w:rsidR="008A74EB" w:rsidRPr="00993B55">
        <w:rPr>
          <w:rStyle w:val="libFootnoteBoldChar"/>
          <w:rtl/>
        </w:rPr>
        <w:t>تفسير القمّي</w:t>
      </w:r>
      <w:r w:rsidR="008A74EB" w:rsidRPr="00C9040A">
        <w:rPr>
          <w:rtl/>
        </w:rPr>
        <w:t xml:space="preserve"> ، ج 2 ، ص 19 ، من دون الإسناد إلى المعصوم </w:t>
      </w:r>
      <w:r w:rsidR="00117575" w:rsidRPr="00117575">
        <w:rPr>
          <w:rStyle w:val="libFootnoteAlaemChar"/>
          <w:rtl/>
        </w:rPr>
        <w:t xml:space="preserve">عليه‌السلام </w:t>
      </w:r>
      <w:r w:rsidR="008A74EB" w:rsidRPr="00C9040A">
        <w:rPr>
          <w:rtl/>
        </w:rPr>
        <w:t xml:space="preserve">بزيادة في أوّله ، وفيهما مع اختلاف يسير </w:t>
      </w:r>
      <w:r w:rsidR="00E86030">
        <w:rPr>
          <w:rFonts w:hint="cs"/>
          <w:rtl/>
        </w:rPr>
        <w:t>.</w:t>
      </w:r>
      <w:r w:rsidR="008A74EB" w:rsidRPr="00993B55">
        <w:rPr>
          <w:rStyle w:val="libFootnoteBoldChar"/>
          <w:rtl/>
        </w:rPr>
        <w:t>الوافي</w:t>
      </w:r>
      <w:r w:rsidR="00E86030">
        <w:rPr>
          <w:rtl/>
        </w:rPr>
        <w:t xml:space="preserve"> ، ج 4 ، ص 120</w:t>
      </w:r>
      <w:r w:rsidR="008A74EB" w:rsidRPr="00C9040A">
        <w:rPr>
          <w:rtl/>
        </w:rPr>
        <w:t xml:space="preserve">، ح 1718 ؛ </w:t>
      </w:r>
      <w:r w:rsidR="008A74EB" w:rsidRPr="00993B55">
        <w:rPr>
          <w:rStyle w:val="libFootnoteBoldChar"/>
          <w:rtl/>
        </w:rPr>
        <w:t>الوسائل</w:t>
      </w:r>
      <w:r w:rsidR="008A74EB" w:rsidRPr="00C9040A">
        <w:rPr>
          <w:rtl/>
        </w:rPr>
        <w:t xml:space="preserve"> ، ج 15 ، ص 167 ، ح 20219 ؛ </w:t>
      </w:r>
      <w:r w:rsidR="008A74EB" w:rsidRPr="00993B55">
        <w:rPr>
          <w:rStyle w:val="libFootnoteBoldChar"/>
          <w:rtl/>
        </w:rPr>
        <w:t>البحار</w:t>
      </w:r>
      <w:r w:rsidR="008A74EB" w:rsidRPr="00C9040A">
        <w:rPr>
          <w:rtl/>
        </w:rPr>
        <w:t xml:space="preserve"> ، ج 69 ، ص 22 ، ح 3.</w:t>
      </w:r>
    </w:p>
    <w:tbl>
      <w:tblPr>
        <w:tblStyle w:val="TableGrid"/>
        <w:bidiVisual/>
        <w:tblW w:w="0" w:type="auto"/>
        <w:tblLook w:val="04A0" w:firstRow="1" w:lastRow="0" w:firstColumn="1" w:lastColumn="0" w:noHBand="0" w:noVBand="1"/>
      </w:tblPr>
      <w:tblGrid>
        <w:gridCol w:w="4006"/>
        <w:gridCol w:w="4006"/>
      </w:tblGrid>
      <w:tr w:rsidR="00E86030" w:rsidTr="00E86030">
        <w:tc>
          <w:tcPr>
            <w:tcW w:w="4006" w:type="dxa"/>
          </w:tcPr>
          <w:p w:rsidR="00E86030" w:rsidRDefault="00E86030" w:rsidP="004A4E41">
            <w:pPr>
              <w:pStyle w:val="libFootnote0"/>
              <w:rPr>
                <w:rtl/>
                <w:lang w:bidi="fa-IR"/>
              </w:rPr>
            </w:pPr>
            <w:r>
              <w:rPr>
                <w:rtl/>
              </w:rPr>
              <w:t>(9).</w:t>
            </w:r>
            <w:r w:rsidRPr="00C9040A">
              <w:rPr>
                <w:rtl/>
              </w:rPr>
              <w:t xml:space="preserve"> في « ز » : « و</w:t>
            </w:r>
            <w:r>
              <w:rPr>
                <w:rFonts w:hint="cs"/>
                <w:rtl/>
              </w:rPr>
              <w:t xml:space="preserve"> </w:t>
            </w:r>
            <w:r w:rsidRPr="00C9040A">
              <w:rPr>
                <w:rtl/>
              </w:rPr>
              <w:t>»</w:t>
            </w:r>
            <w:r>
              <w:rPr>
                <w:rtl/>
              </w:rPr>
              <w:t>.</w:t>
            </w:r>
          </w:p>
        </w:tc>
        <w:tc>
          <w:tcPr>
            <w:tcW w:w="4006" w:type="dxa"/>
          </w:tcPr>
          <w:p w:rsidR="00E86030" w:rsidRDefault="00E86030" w:rsidP="004A4E41">
            <w:pPr>
              <w:pStyle w:val="libFootnote0"/>
              <w:rPr>
                <w:rtl/>
                <w:lang w:bidi="fa-IR"/>
              </w:rPr>
            </w:pPr>
            <w:r>
              <w:rPr>
                <w:rtl/>
              </w:rPr>
              <w:t>(10).</w:t>
            </w:r>
            <w:r w:rsidRPr="00C9040A">
              <w:rPr>
                <w:rtl/>
              </w:rPr>
              <w:t xml:space="preserve"> في « ص ، ف » : « قال »</w:t>
            </w:r>
            <w:r>
              <w:rPr>
                <w:rtl/>
              </w:rPr>
              <w:t>.</w:t>
            </w:r>
          </w:p>
        </w:tc>
      </w:tr>
    </w:tbl>
    <w:p w:rsidR="008A74EB" w:rsidRPr="00C9040A" w:rsidRDefault="006C577F" w:rsidP="004A4E41">
      <w:pPr>
        <w:pStyle w:val="libFootnote0"/>
        <w:rPr>
          <w:rtl/>
          <w:lang w:bidi="fa-IR"/>
        </w:rPr>
      </w:pPr>
      <w:r>
        <w:rPr>
          <w:rtl/>
        </w:rPr>
        <w:t>(11).</w:t>
      </w:r>
      <w:r w:rsidR="008A74EB" w:rsidRPr="00C9040A">
        <w:rPr>
          <w:rtl/>
        </w:rPr>
        <w:t xml:space="preserve"> هكذا في النسخ التي قوبلت وشرح المازندراني والوافي ومرآة العقول. وفي المطبوع : + « [ وأنّ محمّداً </w:t>
      </w:r>
      <w:r w:rsidR="00E86030">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وَالْإِقْرَارُ </w:t>
      </w:r>
      <w:r w:rsidR="006C577F" w:rsidRPr="006C577F">
        <w:rPr>
          <w:rStyle w:val="libFootnotenumChar"/>
          <w:rtl/>
        </w:rPr>
        <w:t>(1)</w:t>
      </w:r>
      <w:r w:rsidRPr="002712F0">
        <w:rPr>
          <w:rFonts w:hint="cs"/>
          <w:rtl/>
        </w:rPr>
        <w:t xml:space="preserve"> </w:t>
      </w:r>
      <w:r w:rsidRPr="00C9040A">
        <w:rPr>
          <w:rtl/>
          <w:lang w:bidi="fa-IR"/>
        </w:rPr>
        <w:t>بِمَا جَاءَ مِنْ عِنْدِ اللهِ ، وَمَا اسْتَقَرَّ فِي الْقُلُوبِ مِنَ التَّصْدِيقِ بِذلِكَ »</w:t>
      </w:r>
      <w:r>
        <w:rPr>
          <w:rtl/>
          <w:lang w:bidi="fa-IR"/>
        </w:rPr>
        <w:t>.</w:t>
      </w:r>
    </w:p>
    <w:p w:rsidR="008A74EB" w:rsidRPr="00C9040A" w:rsidRDefault="008A74EB" w:rsidP="008A74EB">
      <w:pPr>
        <w:pStyle w:val="libNormal"/>
        <w:rPr>
          <w:rtl/>
          <w:lang w:bidi="fa-IR"/>
        </w:rPr>
      </w:pPr>
      <w:r w:rsidRPr="00C9040A">
        <w:rPr>
          <w:rtl/>
          <w:lang w:bidi="fa-IR"/>
        </w:rPr>
        <w:t>ق</w:t>
      </w:r>
      <w:r>
        <w:rPr>
          <w:rtl/>
          <w:lang w:bidi="fa-IR"/>
        </w:rPr>
        <w:t>َالَ : قُلْتُ : الشَّهَادَةُ أَ</w:t>
      </w:r>
      <w:r w:rsidRPr="00C9040A">
        <w:rPr>
          <w:rtl/>
          <w:lang w:bidi="fa-IR"/>
        </w:rPr>
        <w:t xml:space="preserve">لَيْسَتْ </w:t>
      </w:r>
      <w:r w:rsidR="006C577F" w:rsidRPr="006C577F">
        <w:rPr>
          <w:rStyle w:val="libFootnotenumChar"/>
          <w:rtl/>
        </w:rPr>
        <w:t>(2)</w:t>
      </w:r>
      <w:r w:rsidRPr="00C9040A">
        <w:rPr>
          <w:rtl/>
          <w:lang w:bidi="fa-IR"/>
        </w:rPr>
        <w:t xml:space="preserve"> عَمَلاً</w:t>
      </w:r>
      <w:r>
        <w:rPr>
          <w:rtl/>
          <w:lang w:bidi="fa-IR"/>
        </w:rPr>
        <w:t>؟</w:t>
      </w:r>
      <w:r w:rsidRPr="00C9040A">
        <w:rPr>
          <w:rtl/>
          <w:lang w:bidi="fa-IR"/>
        </w:rPr>
        <w:t xml:space="preserve"> قَالَ : « بَلى »</w:t>
      </w:r>
      <w:r>
        <w:rPr>
          <w:rtl/>
          <w:lang w:bidi="fa-IR"/>
        </w:rPr>
        <w:t>.</w:t>
      </w:r>
      <w:r w:rsidRPr="00C9040A">
        <w:rPr>
          <w:rtl/>
          <w:lang w:bidi="fa-IR"/>
        </w:rPr>
        <w:t xml:space="preserve"> قُلْتُ : الْعَمَلُ </w:t>
      </w:r>
      <w:r w:rsidR="006C577F" w:rsidRPr="006C577F">
        <w:rPr>
          <w:rStyle w:val="libFootnotenumChar"/>
          <w:rtl/>
        </w:rPr>
        <w:t>(3)</w:t>
      </w:r>
      <w:r w:rsidRPr="00C9040A">
        <w:rPr>
          <w:rtl/>
          <w:lang w:bidi="fa-IR"/>
        </w:rPr>
        <w:t xml:space="preserve"> مِنَ الْإِيمَانِ</w:t>
      </w:r>
      <w:r>
        <w:rPr>
          <w:rtl/>
          <w:lang w:bidi="fa-IR"/>
        </w:rPr>
        <w:t>؟</w:t>
      </w:r>
      <w:r w:rsidRPr="00C9040A">
        <w:rPr>
          <w:rtl/>
          <w:lang w:bidi="fa-IR"/>
        </w:rPr>
        <w:t xml:space="preserve"> قَالَ :</w:t>
      </w:r>
      <w:r>
        <w:rPr>
          <w:rFonts w:hint="cs"/>
          <w:rtl/>
          <w:lang w:bidi="fa-IR"/>
        </w:rPr>
        <w:t xml:space="preserve"> </w:t>
      </w:r>
      <w:r w:rsidRPr="00C9040A">
        <w:rPr>
          <w:rtl/>
          <w:lang w:bidi="fa-IR"/>
        </w:rPr>
        <w:t>« نَعَمْ</w:t>
      </w:r>
      <w:r w:rsidR="00E86030">
        <w:rPr>
          <w:rtl/>
          <w:lang w:bidi="fa-IR"/>
        </w:rPr>
        <w:t xml:space="preserve"> ، الْإِيمَانُ لَايَكُونُ إِل</w:t>
      </w:r>
      <w:r w:rsidR="00E86030">
        <w:rPr>
          <w:rFonts w:hint="cs"/>
          <w:rtl/>
          <w:lang w:bidi="fa-IR"/>
        </w:rPr>
        <w:t>َّ</w:t>
      </w:r>
      <w:r w:rsidR="00E86030">
        <w:rPr>
          <w:rtl/>
          <w:lang w:bidi="fa-IR"/>
        </w:rPr>
        <w:t>ا</w:t>
      </w:r>
      <w:r w:rsidRPr="00C9040A">
        <w:rPr>
          <w:rtl/>
          <w:lang w:bidi="fa-IR"/>
        </w:rPr>
        <w:t xml:space="preserve"> بِعَمَلٍ ، وَالْعَمَلُ مِنْهُ ، و</w:t>
      </w:r>
      <w:r w:rsidR="00E86030">
        <w:rPr>
          <w:rtl/>
          <w:lang w:bidi="fa-IR"/>
        </w:rPr>
        <w:t>َلَا يَثْبُتُ الْإِيمَانُ إِل</w:t>
      </w:r>
      <w:r w:rsidR="00E86030">
        <w:rPr>
          <w:rFonts w:hint="cs"/>
          <w:rtl/>
          <w:lang w:bidi="fa-IR"/>
        </w:rPr>
        <w:t>َّ</w:t>
      </w:r>
      <w:r w:rsidR="00E86030">
        <w:rPr>
          <w:rtl/>
          <w:lang w:bidi="fa-IR"/>
        </w:rPr>
        <w:t>ا</w:t>
      </w:r>
      <w:r w:rsidRPr="00C9040A">
        <w:rPr>
          <w:rtl/>
          <w:lang w:bidi="fa-IR"/>
        </w:rPr>
        <w:t xml:space="preserve"> بِعَمَلٍ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BD575A">
        <w:rPr>
          <w:rtl/>
        </w:rPr>
        <w:t>1524</w:t>
      </w:r>
      <w:r w:rsidRPr="00261CB0">
        <w:rPr>
          <w:rStyle w:val="libBold2Char"/>
          <w:rtl/>
        </w:rPr>
        <w:t xml:space="preserve"> / 4.</w:t>
      </w:r>
      <w:r w:rsidRPr="00C9040A">
        <w:rPr>
          <w:rtl/>
          <w:lang w:bidi="fa-IR"/>
        </w:rPr>
        <w:t xml:space="preserve"> عِدَّةٌ مِنْ أَصْحَابِنَا ، عَنْ أَحْمَدَ بْنِ مُحَمَّدِ بْنِ خَالِدٍ ، عَنْ عُثْمَانَ بْنِ عِيسى ، عَنْ عَبْدِ اللهِ بْنِ مُسْكَانَ ، عَنْ بَعْضِ أَصْحَابِهِ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قُلْتُ لَهُ </w:t>
      </w:r>
      <w:r w:rsidR="006C577F" w:rsidRPr="006C577F">
        <w:rPr>
          <w:rStyle w:val="libFootnotenumChar"/>
          <w:rtl/>
        </w:rPr>
        <w:t>(6)</w:t>
      </w:r>
      <w:r w:rsidRPr="005B567D">
        <w:rPr>
          <w:rStyle w:val="libFootnotenumChar"/>
          <w:rtl/>
        </w:rPr>
        <w:t xml:space="preserve"> </w:t>
      </w:r>
      <w:r w:rsidRPr="00C9040A">
        <w:rPr>
          <w:rtl/>
          <w:lang w:bidi="fa-IR"/>
        </w:rPr>
        <w:t>: مَا الْإِسْلَامُ</w:t>
      </w:r>
      <w:r>
        <w:rPr>
          <w:rtl/>
          <w:lang w:bidi="fa-IR"/>
        </w:rPr>
        <w:t>؟</w:t>
      </w:r>
    </w:p>
    <w:p w:rsidR="008A74EB" w:rsidRPr="00C9040A" w:rsidRDefault="008A74EB" w:rsidP="008A74EB">
      <w:pPr>
        <w:pStyle w:val="libNormal"/>
        <w:rPr>
          <w:rtl/>
          <w:lang w:bidi="fa-IR"/>
        </w:rPr>
      </w:pPr>
      <w:r w:rsidRPr="00C9040A">
        <w:rPr>
          <w:rtl/>
          <w:lang w:bidi="fa-IR"/>
        </w:rPr>
        <w:t xml:space="preserve">فَقَالَ </w:t>
      </w:r>
      <w:r w:rsidR="006C577F" w:rsidRPr="006C577F">
        <w:rPr>
          <w:rStyle w:val="libFootnotenumChar"/>
          <w:rtl/>
        </w:rPr>
        <w:t>(7)</w:t>
      </w:r>
      <w:r w:rsidRPr="00C9040A">
        <w:rPr>
          <w:rtl/>
          <w:lang w:bidi="fa-IR"/>
        </w:rPr>
        <w:t xml:space="preserve"> : « دِينُ اللهِ اسْمُهُ الْإِسْلَامُ ، وَهُوَ دِينُ اللهِ قَبْلَ أَنْ تَكُونُوا حَيْثُ كُنْتُمْ ، وَبَعْدَ أَنْ تَكُونُوا ، فَمَنْ </w:t>
      </w:r>
      <w:r w:rsidR="006C577F" w:rsidRPr="006C577F">
        <w:rPr>
          <w:rStyle w:val="libFootnotenumChar"/>
          <w:rtl/>
        </w:rPr>
        <w:t>(8)</w:t>
      </w:r>
      <w:r w:rsidRPr="00C9040A">
        <w:rPr>
          <w:rtl/>
          <w:lang w:bidi="fa-IR"/>
        </w:rPr>
        <w:t xml:space="preserve"> أَقَرَّ بِدِينِ اللهِ فَهُوَ مُسْلِمٌ ؛ وَمَنْ عَمِلَ بِمَا أَمَرَ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بِهِ </w:t>
      </w:r>
      <w:r w:rsidR="006C577F" w:rsidRPr="006C577F">
        <w:rPr>
          <w:rStyle w:val="libFootnotenumChar"/>
          <w:rtl/>
        </w:rPr>
        <w:t>(9)</w:t>
      </w:r>
      <w:r w:rsidR="00E86030">
        <w:rPr>
          <w:rtl/>
          <w:lang w:bidi="fa-IR"/>
        </w:rPr>
        <w:t xml:space="preserve"> فَهُوَ مُؤْمِنٌ</w:t>
      </w:r>
      <w:r w:rsidRPr="00C9040A">
        <w:rPr>
          <w:rtl/>
          <w:lang w:bidi="fa-IR"/>
        </w:rPr>
        <w:t>»</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Normal"/>
        <w:rPr>
          <w:rtl/>
          <w:lang w:bidi="fa-IR"/>
        </w:rPr>
      </w:pPr>
      <w:r w:rsidRPr="00BD575A">
        <w:rPr>
          <w:rtl/>
        </w:rPr>
        <w:t>1525</w:t>
      </w:r>
      <w:r w:rsidRPr="00261CB0">
        <w:rPr>
          <w:rStyle w:val="libBold2Char"/>
          <w:rtl/>
        </w:rPr>
        <w:t xml:space="preserve"> / 5.</w:t>
      </w:r>
      <w:r w:rsidRPr="00C9040A">
        <w:rPr>
          <w:rtl/>
          <w:lang w:bidi="fa-IR"/>
        </w:rPr>
        <w:t xml:space="preserve"> عَنْهُ </w:t>
      </w:r>
      <w:r w:rsidR="006C577F" w:rsidRPr="006C577F">
        <w:rPr>
          <w:rStyle w:val="libFootnotenumChar"/>
          <w:rtl/>
        </w:rPr>
        <w:t>(11)</w:t>
      </w:r>
      <w:r w:rsidRPr="00C9040A">
        <w:rPr>
          <w:rtl/>
          <w:lang w:bidi="fa-IR"/>
        </w:rPr>
        <w:t xml:space="preserve"> ، عَنْ‌</w:t>
      </w:r>
      <w:r w:rsidR="00E86030">
        <w:rPr>
          <w:rFonts w:hint="cs"/>
          <w:rtl/>
          <w:lang w:bidi="fa-IR"/>
        </w:rPr>
        <w:t>.................................................</w:t>
      </w:r>
      <w:r w:rsidR="00E86030">
        <w:rPr>
          <w:rFonts w:hint="cs"/>
          <w:rtl/>
          <w:lang w:bidi="fa-IR"/>
        </w:rPr>
        <w:tab/>
      </w:r>
    </w:p>
    <w:p w:rsidR="008A74EB" w:rsidRPr="00C9040A" w:rsidRDefault="008A74EB" w:rsidP="008A74EB">
      <w:pPr>
        <w:pStyle w:val="libLine"/>
        <w:rPr>
          <w:rtl/>
          <w:lang w:bidi="fa-IR"/>
        </w:rPr>
      </w:pPr>
      <w:r w:rsidRPr="00C9040A">
        <w:rPr>
          <w:rtl/>
          <w:lang w:bidi="fa-IR"/>
        </w:rPr>
        <w:t>__________________</w:t>
      </w:r>
    </w:p>
    <w:p w:rsidR="008A74EB" w:rsidRPr="004A4E41" w:rsidRDefault="00143E52" w:rsidP="004A4E41">
      <w:pPr>
        <w:pStyle w:val="libFootnote0"/>
        <w:rPr>
          <w:rStyle w:val="libFootnote0Char"/>
          <w:rtl/>
        </w:rPr>
      </w:pPr>
      <w:r>
        <w:rPr>
          <w:rFonts w:hint="cs"/>
          <w:rtl/>
        </w:rPr>
        <w:t>=</w:t>
      </w:r>
      <w:r w:rsidR="008A74EB" w:rsidRPr="00C9040A">
        <w:rPr>
          <w:rtl/>
        </w:rPr>
        <w:t>رسول الله ] »</w:t>
      </w:r>
      <w:r w:rsidR="008A74EB">
        <w:rPr>
          <w:rtl/>
        </w:rPr>
        <w:t>.</w:t>
      </w:r>
    </w:p>
    <w:tbl>
      <w:tblPr>
        <w:tblStyle w:val="TableGrid"/>
        <w:bidiVisual/>
        <w:tblW w:w="0" w:type="auto"/>
        <w:tblLook w:val="04A0" w:firstRow="1" w:lastRow="0" w:firstColumn="1" w:lastColumn="0" w:noHBand="0" w:noVBand="1"/>
      </w:tblPr>
      <w:tblGrid>
        <w:gridCol w:w="4006"/>
        <w:gridCol w:w="4006"/>
      </w:tblGrid>
      <w:tr w:rsidR="00143E52" w:rsidTr="00143E52">
        <w:tc>
          <w:tcPr>
            <w:tcW w:w="4006" w:type="dxa"/>
          </w:tcPr>
          <w:p w:rsidR="00143E52" w:rsidRDefault="00143E52" w:rsidP="004A4E41">
            <w:pPr>
              <w:pStyle w:val="libFootnote0"/>
              <w:rPr>
                <w:rtl/>
              </w:rPr>
            </w:pPr>
            <w:r>
              <w:rPr>
                <w:rtl/>
              </w:rPr>
              <w:t>(1).</w:t>
            </w:r>
            <w:r w:rsidRPr="00C9040A">
              <w:rPr>
                <w:rtl/>
              </w:rPr>
              <w:t xml:space="preserve"> في « ص ، ف » : « وإقرار »</w:t>
            </w:r>
            <w:r>
              <w:rPr>
                <w:rtl/>
              </w:rPr>
              <w:t>.</w:t>
            </w:r>
          </w:p>
        </w:tc>
        <w:tc>
          <w:tcPr>
            <w:tcW w:w="4006" w:type="dxa"/>
          </w:tcPr>
          <w:p w:rsidR="00143E52" w:rsidRDefault="00143E52" w:rsidP="004A4E41">
            <w:pPr>
              <w:pStyle w:val="libFootnote0"/>
              <w:rPr>
                <w:rtl/>
              </w:rPr>
            </w:pPr>
            <w:r>
              <w:rPr>
                <w:rtl/>
              </w:rPr>
              <w:t>(2). في « ص ، ف » : « أ</w:t>
            </w:r>
            <w:r w:rsidRPr="00C9040A">
              <w:rPr>
                <w:rtl/>
              </w:rPr>
              <w:t>ليست الشهادة »</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في « ف » : « فالعمل »</w:t>
      </w:r>
      <w:r w:rsidR="008A74EB">
        <w:rPr>
          <w:rtl/>
        </w:rPr>
        <w:t>.</w:t>
      </w:r>
    </w:p>
    <w:p w:rsidR="008A74EB" w:rsidRPr="004A4E41" w:rsidRDefault="006C577F" w:rsidP="004A4E41">
      <w:pPr>
        <w:pStyle w:val="libFootnote0"/>
        <w:rPr>
          <w:rStyle w:val="libFootnote0Char"/>
          <w:rtl/>
        </w:rPr>
      </w:pPr>
      <w:r>
        <w:rPr>
          <w:rtl/>
        </w:rPr>
        <w:t>(4).</w:t>
      </w:r>
      <w:r w:rsidR="008A74EB" w:rsidRPr="00C9040A">
        <w:rPr>
          <w:rtl/>
        </w:rPr>
        <w:t xml:space="preserve"> </w:t>
      </w:r>
      <w:r w:rsidR="008A74EB" w:rsidRPr="00993B55">
        <w:rPr>
          <w:rStyle w:val="libFootnoteBoldChar"/>
          <w:rtl/>
        </w:rPr>
        <w:t>الكافي</w:t>
      </w:r>
      <w:r w:rsidR="008A74EB" w:rsidRPr="00C9040A">
        <w:rPr>
          <w:rtl/>
        </w:rPr>
        <w:t xml:space="preserve"> ، كتاب الإيمان والكفر ، باب دعائم الإسلام ، ح 1491 ، بسند آخر. </w:t>
      </w:r>
      <w:r w:rsidR="008A74EB" w:rsidRPr="00993B55">
        <w:rPr>
          <w:rStyle w:val="libFootnoteBoldChar"/>
          <w:rtl/>
        </w:rPr>
        <w:t>تفسير العيّاشي</w:t>
      </w:r>
      <w:r w:rsidR="008A74EB" w:rsidRPr="00C9040A">
        <w:rPr>
          <w:rtl/>
        </w:rPr>
        <w:t xml:space="preserve"> ، ج 2 ، ص 117 ، ح 157 ، عن هشام بن عجلان ، عن أبي عبد الله </w:t>
      </w:r>
      <w:r w:rsidR="00117575" w:rsidRPr="00117575">
        <w:rPr>
          <w:rStyle w:val="libFootnoteAlaemChar"/>
          <w:rtl/>
        </w:rPr>
        <w:t xml:space="preserve">عليه‌السلام </w:t>
      </w:r>
      <w:r w:rsidR="008A74EB" w:rsidRPr="00C9040A">
        <w:rPr>
          <w:rtl/>
        </w:rPr>
        <w:t xml:space="preserve"> ، وفيهما إلى قوله :</w:t>
      </w:r>
      <w:r w:rsidR="008F4A9C">
        <w:rPr>
          <w:rtl/>
        </w:rPr>
        <w:t xml:space="preserve"> « والإقرار بما جاء من عند الله</w:t>
      </w:r>
      <w:r w:rsidR="008A74EB" w:rsidRPr="00C9040A">
        <w:rPr>
          <w:rtl/>
        </w:rPr>
        <w:t xml:space="preserve">» مع اختلاف يسير وزيادة في آخره </w:t>
      </w:r>
      <w:r w:rsidR="008F4A9C">
        <w:rPr>
          <w:rFonts w:hint="cs"/>
          <w:rtl/>
        </w:rPr>
        <w:t>.</w:t>
      </w:r>
      <w:r w:rsidR="008A74EB" w:rsidRPr="00993B55">
        <w:rPr>
          <w:rStyle w:val="libFootnoteBoldChar"/>
          <w:rtl/>
        </w:rPr>
        <w:t>الوافي</w:t>
      </w:r>
      <w:r w:rsidR="008A74EB" w:rsidRPr="00C9040A">
        <w:rPr>
          <w:rtl/>
        </w:rPr>
        <w:t xml:space="preserve"> ، ج 4 ، ص 81 ، ح 1684 ؛ </w:t>
      </w:r>
      <w:r w:rsidR="008A74EB" w:rsidRPr="00993B55">
        <w:rPr>
          <w:rStyle w:val="libFootnoteBoldChar"/>
          <w:rtl/>
        </w:rPr>
        <w:t>الوسائل</w:t>
      </w:r>
      <w:r w:rsidR="008A74EB" w:rsidRPr="00C9040A">
        <w:rPr>
          <w:rtl/>
        </w:rPr>
        <w:t xml:space="preserve"> ، ج 15 ، ص 168 ، ح 20220 ،</w:t>
      </w:r>
      <w:r w:rsidR="008F4A9C">
        <w:rPr>
          <w:rtl/>
        </w:rPr>
        <w:t xml:space="preserve"> من قوله : « الإيمان لايكون إل</w:t>
      </w:r>
      <w:r w:rsidR="008F4A9C">
        <w:rPr>
          <w:rFonts w:hint="cs"/>
          <w:rtl/>
        </w:rPr>
        <w:t>ّ</w:t>
      </w:r>
      <w:r w:rsidR="008F4A9C">
        <w:rPr>
          <w:rtl/>
        </w:rPr>
        <w:t>ا</w:t>
      </w:r>
      <w:r w:rsidR="008A74EB" w:rsidRPr="00C9040A">
        <w:rPr>
          <w:rtl/>
        </w:rPr>
        <w:t xml:space="preserve"> بعمل » ؛ </w:t>
      </w:r>
      <w:r w:rsidR="008A74EB" w:rsidRPr="00993B55">
        <w:rPr>
          <w:rStyle w:val="libFootnoteBoldChar"/>
          <w:rtl/>
        </w:rPr>
        <w:t>البحار</w:t>
      </w:r>
      <w:r w:rsidR="008A74EB" w:rsidRPr="00C9040A">
        <w:rPr>
          <w:rtl/>
        </w:rPr>
        <w:t xml:space="preserve"> ، ج 69 ، ص 22 ، ح 4.</w:t>
      </w:r>
    </w:p>
    <w:tbl>
      <w:tblPr>
        <w:tblStyle w:val="TableGrid"/>
        <w:bidiVisual/>
        <w:tblW w:w="0" w:type="auto"/>
        <w:tblLook w:val="04A0" w:firstRow="1" w:lastRow="0" w:firstColumn="1" w:lastColumn="0" w:noHBand="0" w:noVBand="1"/>
      </w:tblPr>
      <w:tblGrid>
        <w:gridCol w:w="4006"/>
        <w:gridCol w:w="4006"/>
      </w:tblGrid>
      <w:tr w:rsidR="008F4A9C" w:rsidTr="008F4A9C">
        <w:tc>
          <w:tcPr>
            <w:tcW w:w="4006" w:type="dxa"/>
          </w:tcPr>
          <w:p w:rsidR="008F4A9C" w:rsidRDefault="008F4A9C" w:rsidP="004A4E41">
            <w:pPr>
              <w:pStyle w:val="libFootnote0"/>
              <w:rPr>
                <w:rtl/>
              </w:rPr>
            </w:pPr>
            <w:r>
              <w:rPr>
                <w:rtl/>
              </w:rPr>
              <w:t>(5).</w:t>
            </w:r>
            <w:r w:rsidRPr="00C9040A">
              <w:rPr>
                <w:rtl/>
              </w:rPr>
              <w:t xml:space="preserve"> في حاشية « بف » : « أصحابنا »</w:t>
            </w:r>
            <w:r>
              <w:rPr>
                <w:rtl/>
              </w:rPr>
              <w:t>.</w:t>
            </w:r>
          </w:p>
        </w:tc>
        <w:tc>
          <w:tcPr>
            <w:tcW w:w="4006" w:type="dxa"/>
          </w:tcPr>
          <w:p w:rsidR="008F4A9C" w:rsidRDefault="008F4A9C" w:rsidP="004A4E41">
            <w:pPr>
              <w:pStyle w:val="libFootnote0"/>
              <w:rPr>
                <w:rtl/>
              </w:rPr>
            </w:pPr>
            <w:r>
              <w:rPr>
                <w:rtl/>
              </w:rPr>
              <w:t xml:space="preserve">(6). </w:t>
            </w:r>
            <w:r w:rsidRPr="00C9040A">
              <w:rPr>
                <w:rtl/>
              </w:rPr>
              <w:t xml:space="preserve">في « ض » </w:t>
            </w:r>
            <w:r>
              <w:rPr>
                <w:rtl/>
              </w:rPr>
              <w:t>: -</w:t>
            </w:r>
            <w:r w:rsidRPr="00C9040A">
              <w:rPr>
                <w:rtl/>
              </w:rPr>
              <w:t xml:space="preserve"> « له »</w:t>
            </w:r>
            <w:r>
              <w:rPr>
                <w:rtl/>
              </w:rPr>
              <w:t>.</w:t>
            </w:r>
          </w:p>
        </w:tc>
      </w:tr>
      <w:tr w:rsidR="008F4A9C" w:rsidTr="008F4A9C">
        <w:tc>
          <w:tcPr>
            <w:tcW w:w="4006" w:type="dxa"/>
          </w:tcPr>
          <w:p w:rsidR="008F4A9C" w:rsidRDefault="008F4A9C" w:rsidP="004A4E41">
            <w:pPr>
              <w:pStyle w:val="libFootnote0"/>
              <w:rPr>
                <w:rtl/>
              </w:rPr>
            </w:pPr>
            <w:r>
              <w:rPr>
                <w:rtl/>
              </w:rPr>
              <w:t>(7).</w:t>
            </w:r>
            <w:r w:rsidRPr="00C9040A">
              <w:rPr>
                <w:rtl/>
              </w:rPr>
              <w:t xml:space="preserve"> في « ب » وشرح المازندراني : « قال »</w:t>
            </w:r>
            <w:r>
              <w:rPr>
                <w:rtl/>
              </w:rPr>
              <w:t>.</w:t>
            </w:r>
          </w:p>
        </w:tc>
        <w:tc>
          <w:tcPr>
            <w:tcW w:w="4006" w:type="dxa"/>
          </w:tcPr>
          <w:p w:rsidR="008F4A9C" w:rsidRDefault="008F4A9C" w:rsidP="004A4E41">
            <w:pPr>
              <w:pStyle w:val="libFootnote0"/>
              <w:rPr>
                <w:rtl/>
              </w:rPr>
            </w:pPr>
            <w:r>
              <w:rPr>
                <w:rtl/>
              </w:rPr>
              <w:t>(8).</w:t>
            </w:r>
            <w:r w:rsidRPr="00C9040A">
              <w:rPr>
                <w:rtl/>
              </w:rPr>
              <w:t xml:space="preserve"> في الوسائل والبحار ، ج 75 : « من »</w:t>
            </w:r>
            <w:r>
              <w:rPr>
                <w:rtl/>
              </w:rPr>
              <w:t>.</w:t>
            </w:r>
          </w:p>
        </w:tc>
      </w:tr>
    </w:tbl>
    <w:p w:rsidR="008A74EB" w:rsidRPr="00C9040A" w:rsidRDefault="006C577F" w:rsidP="004A4E41">
      <w:pPr>
        <w:pStyle w:val="libFootnote0"/>
        <w:rPr>
          <w:rtl/>
          <w:lang w:bidi="fa-IR"/>
        </w:rPr>
      </w:pPr>
      <w:r>
        <w:rPr>
          <w:rtl/>
        </w:rPr>
        <w:t>(9).</w:t>
      </w:r>
      <w:r w:rsidR="008A74EB" w:rsidRPr="00C9040A">
        <w:rPr>
          <w:rtl/>
        </w:rPr>
        <w:t xml:space="preserve"> في « ب ، بر » والبحار ، ج 75 </w:t>
      </w:r>
      <w:r w:rsidR="008A74EB">
        <w:rPr>
          <w:rtl/>
        </w:rPr>
        <w:t xml:space="preserve">: </w:t>
      </w:r>
      <w:r w:rsidR="0084262C">
        <w:rPr>
          <w:rtl/>
        </w:rPr>
        <w:t>-</w:t>
      </w:r>
      <w:r w:rsidR="008A74EB" w:rsidRPr="00C9040A">
        <w:rPr>
          <w:rtl/>
        </w:rPr>
        <w:t xml:space="preserve"> « به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w:t>
      </w:r>
      <w:r w:rsidR="008A74EB" w:rsidRPr="00993B55">
        <w:rPr>
          <w:rStyle w:val="libFootnoteBoldChar"/>
          <w:rtl/>
        </w:rPr>
        <w:t>الوافي</w:t>
      </w:r>
      <w:r w:rsidR="008A74EB" w:rsidRPr="00C9040A">
        <w:rPr>
          <w:rtl/>
        </w:rPr>
        <w:t xml:space="preserve"> ، ج 4 ، ص 79 ، ح 1681 ؛ </w:t>
      </w:r>
      <w:r w:rsidR="008A74EB" w:rsidRPr="00993B55">
        <w:rPr>
          <w:rStyle w:val="libFootnoteBoldChar"/>
          <w:rtl/>
        </w:rPr>
        <w:t>الوسائل</w:t>
      </w:r>
      <w:r w:rsidR="008A74EB" w:rsidRPr="00C9040A">
        <w:rPr>
          <w:rtl/>
        </w:rPr>
        <w:t xml:space="preserve"> ، ج 15 ، ص 168 ، ح 20221 ؛ </w:t>
      </w:r>
      <w:r w:rsidR="008A74EB" w:rsidRPr="00993B55">
        <w:rPr>
          <w:rStyle w:val="libFootnoteBoldChar"/>
          <w:rtl/>
        </w:rPr>
        <w:t>البحار</w:t>
      </w:r>
      <w:r w:rsidR="008A74EB" w:rsidRPr="00C9040A">
        <w:rPr>
          <w:rtl/>
        </w:rPr>
        <w:t xml:space="preserve"> ، ج 75 ، ص 236 ، وفيهما من قوله : « فمن أقرّ بدين الله » ؛ وج 68 ، ص 259 ، ح 16.</w:t>
      </w:r>
    </w:p>
    <w:p w:rsidR="008A74EB" w:rsidRPr="00C9040A" w:rsidRDefault="006C577F" w:rsidP="004A4E41">
      <w:pPr>
        <w:pStyle w:val="libFootnote0"/>
        <w:rPr>
          <w:rtl/>
          <w:lang w:bidi="fa-IR"/>
        </w:rPr>
      </w:pPr>
      <w:r>
        <w:rPr>
          <w:rtl/>
        </w:rPr>
        <w:t>(11).</w:t>
      </w:r>
      <w:r w:rsidR="008A74EB" w:rsidRPr="00C9040A">
        <w:rPr>
          <w:rtl/>
        </w:rPr>
        <w:t xml:space="preserve"> ضمير « عنه » راجع إلى أحمد بن محمّد بن خالد المذكور في السند المتقدّم. فقد روى محمّد بن خالد البرقي</w:t>
      </w:r>
      <w:r w:rsidR="008A74EB">
        <w:rPr>
          <w:rtl/>
        </w:rPr>
        <w:t xml:space="preserve"> </w:t>
      </w:r>
      <w:r w:rsidR="0084262C">
        <w:rPr>
          <w:rtl/>
        </w:rPr>
        <w:t>-</w:t>
      </w:r>
      <w:r w:rsidR="008A74EB">
        <w:rPr>
          <w:rtl/>
        </w:rPr>
        <w:t xml:space="preserve"> </w:t>
      </w:r>
      <w:r w:rsidR="008A74EB" w:rsidRPr="00C9040A">
        <w:rPr>
          <w:rtl/>
        </w:rPr>
        <w:t>والد أحمد</w:t>
      </w:r>
      <w:r w:rsidR="008A74EB">
        <w:rPr>
          <w:rtl/>
        </w:rPr>
        <w:t xml:space="preserve"> </w:t>
      </w:r>
      <w:r w:rsidR="0084262C">
        <w:rPr>
          <w:rtl/>
        </w:rPr>
        <w:t>-</w:t>
      </w:r>
      <w:r w:rsidR="008A74EB">
        <w:rPr>
          <w:rtl/>
        </w:rPr>
        <w:t xml:space="preserve"> </w:t>
      </w:r>
      <w:r w:rsidR="008A74EB" w:rsidRPr="00C9040A">
        <w:rPr>
          <w:rtl/>
        </w:rPr>
        <w:t xml:space="preserve">عن النضر بن سويد كتاب يحيى بن عمران الحلبي ، وتوسّط النضر بن سويد بينه وبين يحيى بن </w:t>
      </w:r>
      <w:r w:rsidR="008F4A9C">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أَبِيهِ </w:t>
      </w:r>
      <w:r w:rsidR="006C577F" w:rsidRPr="006C577F">
        <w:rPr>
          <w:rStyle w:val="libFootnotenumChar"/>
          <w:rtl/>
        </w:rPr>
        <w:t>(1)</w:t>
      </w:r>
      <w:r w:rsidRPr="00C9040A">
        <w:rPr>
          <w:rtl/>
          <w:lang w:bidi="fa-IR"/>
        </w:rPr>
        <w:t>، عَنِ النَّضْرِ بْنِ سُوَيْدٍ ، عَنْ يَحْيَى بْنِ عِمْرَانَ الْحَلَبِيِّ ، عَنْ أَيُّوبَ بْنِ الْحُرِّ ، عَنْ أَبِي بَصِيرٍ ، قَالَ :</w:t>
      </w:r>
    </w:p>
    <w:p w:rsidR="008A74EB" w:rsidRPr="00C9040A" w:rsidRDefault="008A74EB" w:rsidP="008A74EB">
      <w:pPr>
        <w:pStyle w:val="libNormal"/>
        <w:rPr>
          <w:rtl/>
          <w:lang w:bidi="fa-IR"/>
        </w:rPr>
      </w:pPr>
      <w:r w:rsidRPr="00C9040A">
        <w:rPr>
          <w:rtl/>
          <w:lang w:bidi="fa-IR"/>
        </w:rPr>
        <w:t xml:space="preserve">كُنْتُ عِنْدَ أَبِي جَعْفَرٍ </w:t>
      </w:r>
      <w:r w:rsidRPr="0003660B">
        <w:rPr>
          <w:rStyle w:val="libAlaemChar"/>
          <w:rtl/>
        </w:rPr>
        <w:t>عليه‌السلام</w:t>
      </w:r>
      <w:r w:rsidRPr="00C9040A">
        <w:rPr>
          <w:rtl/>
          <w:lang w:bidi="fa-IR"/>
        </w:rPr>
        <w:t xml:space="preserve"> ، فَقَالَ لَهُ </w:t>
      </w:r>
      <w:r w:rsidR="006C577F" w:rsidRPr="006C577F">
        <w:rPr>
          <w:rStyle w:val="libFootnotenumChar"/>
          <w:rtl/>
        </w:rPr>
        <w:t>(2)</w:t>
      </w:r>
      <w:r w:rsidR="008F4A9C">
        <w:rPr>
          <w:rtl/>
          <w:lang w:bidi="fa-IR"/>
        </w:rPr>
        <w:t xml:space="preserve"> سَل</w:t>
      </w:r>
      <w:r w:rsidR="008F4A9C">
        <w:rPr>
          <w:rFonts w:hint="cs"/>
          <w:rtl/>
          <w:lang w:bidi="fa-IR"/>
        </w:rPr>
        <w:t>َّ</w:t>
      </w:r>
      <w:r w:rsidR="008F4A9C">
        <w:rPr>
          <w:rtl/>
          <w:lang w:bidi="fa-IR"/>
        </w:rPr>
        <w:t>ا</w:t>
      </w:r>
      <w:r w:rsidRPr="00C9040A">
        <w:rPr>
          <w:rtl/>
          <w:lang w:bidi="fa-IR"/>
        </w:rPr>
        <w:t xml:space="preserve">مٌ : إِنَّ خَيْثَمَةَ ابْنَ أَبِي خَيْثَمَةَ </w:t>
      </w:r>
      <w:r w:rsidR="006C577F" w:rsidRPr="006C577F">
        <w:rPr>
          <w:rStyle w:val="libFootnotenumChar"/>
          <w:rtl/>
        </w:rPr>
        <w:t>(3)</w:t>
      </w:r>
      <w:r w:rsidRPr="00C9040A">
        <w:rPr>
          <w:rtl/>
          <w:lang w:bidi="fa-IR"/>
        </w:rPr>
        <w:t xml:space="preserve"> يُحَدِّثُنَا عَنْكَ </w:t>
      </w:r>
      <w:r w:rsidR="006C577F" w:rsidRPr="006C577F">
        <w:rPr>
          <w:rStyle w:val="libFootnotenumChar"/>
          <w:rtl/>
        </w:rPr>
        <w:t>(4)</w:t>
      </w:r>
      <w:r w:rsidRPr="00C9040A">
        <w:rPr>
          <w:rtl/>
          <w:lang w:bidi="fa-IR"/>
        </w:rPr>
        <w:t xml:space="preserve"> أَنَّهُ سَأَلَكَ عَنِ الْإِسْلَامِ ، فَقُلْتَ لَهُ </w:t>
      </w:r>
      <w:r w:rsidR="006C577F" w:rsidRPr="006C577F">
        <w:rPr>
          <w:rStyle w:val="libFootnotenumChar"/>
          <w:rtl/>
        </w:rPr>
        <w:t>(5)</w:t>
      </w:r>
      <w:r w:rsidRPr="00C9040A">
        <w:rPr>
          <w:rtl/>
          <w:lang w:bidi="fa-IR"/>
        </w:rPr>
        <w:t xml:space="preserve"> : إِنَّ الْإِسْلَامَ مَنِ اسْتَقْبَلَ </w:t>
      </w:r>
      <w:r w:rsidR="006C577F" w:rsidRPr="006C577F">
        <w:rPr>
          <w:rStyle w:val="libFootnotenumChar"/>
          <w:rtl/>
        </w:rPr>
        <w:t>(6)</w:t>
      </w:r>
      <w:r w:rsidRPr="005B567D">
        <w:rPr>
          <w:rStyle w:val="libFootnotenumChar"/>
          <w:rtl/>
        </w:rPr>
        <w:t xml:space="preserve"> </w:t>
      </w:r>
      <w:r w:rsidRPr="00C9040A">
        <w:rPr>
          <w:rtl/>
          <w:lang w:bidi="fa-IR"/>
        </w:rPr>
        <w:t>قِبْلَتَنَا ، وَشَهِدَ شَهَادَتَنَا ، وَنَسَكَ نُسُكَنَا ، وَوَالى وَلِيَّنَا ، وَعَادى عَدُوَّنَا ؛ فَهُوَ مُسْلِمٌ</w:t>
      </w:r>
      <w:r>
        <w:rPr>
          <w:rtl/>
          <w:lang w:bidi="fa-IR"/>
        </w:rPr>
        <w:t>؟</w:t>
      </w:r>
      <w:r w:rsidRPr="00C9040A">
        <w:rPr>
          <w:rtl/>
          <w:lang w:bidi="fa-IR"/>
        </w:rPr>
        <w:t xml:space="preserve"> فَقَالَ </w:t>
      </w:r>
      <w:r w:rsidR="006C577F" w:rsidRPr="006C577F">
        <w:rPr>
          <w:rStyle w:val="libFootnotenumChar"/>
          <w:rtl/>
        </w:rPr>
        <w:t>(7)</w:t>
      </w:r>
      <w:r w:rsidRPr="00C9040A">
        <w:rPr>
          <w:rtl/>
          <w:lang w:bidi="fa-IR"/>
        </w:rPr>
        <w:t xml:space="preserve"> : « صَدَقَ </w:t>
      </w:r>
      <w:r w:rsidR="006C577F" w:rsidRPr="006C577F">
        <w:rPr>
          <w:rStyle w:val="libFootnotenumChar"/>
          <w:rtl/>
        </w:rPr>
        <w:t>(8)</w:t>
      </w:r>
      <w:r w:rsidRPr="00C9040A">
        <w:rPr>
          <w:rtl/>
          <w:lang w:bidi="fa-IR"/>
        </w:rPr>
        <w:t xml:space="preserve"> خَيْثَمَةُ »</w:t>
      </w:r>
      <w:r>
        <w:rPr>
          <w:rtl/>
          <w:lang w:bidi="fa-IR"/>
        </w:rPr>
        <w:t>.</w:t>
      </w:r>
    </w:p>
    <w:p w:rsidR="008A74EB" w:rsidRPr="00C9040A" w:rsidRDefault="008A74EB" w:rsidP="008A74EB">
      <w:pPr>
        <w:pStyle w:val="libNormal"/>
        <w:rPr>
          <w:rtl/>
          <w:lang w:bidi="fa-IR"/>
        </w:rPr>
      </w:pPr>
      <w:r w:rsidRPr="00C9040A">
        <w:rPr>
          <w:rtl/>
          <w:lang w:bidi="fa-IR"/>
        </w:rPr>
        <w:t xml:space="preserve">قُلْتُ </w:t>
      </w:r>
      <w:r w:rsidR="006C577F" w:rsidRPr="006C577F">
        <w:rPr>
          <w:rStyle w:val="libFootnotenumChar"/>
          <w:rtl/>
        </w:rPr>
        <w:t>(9)</w:t>
      </w:r>
      <w:r w:rsidRPr="00C9040A">
        <w:rPr>
          <w:rtl/>
          <w:lang w:bidi="fa-IR"/>
        </w:rPr>
        <w:t xml:space="preserve"> : وَسَأَلَكَ عَنِ الْإِيمَانِ ، فَقُلْتَ : الْإِيمَانُ بِاللهِ ، وَالتَّصْدِيقُ بِكِتَابِ اللهِ ، وَأَنْ لَا يُعْصَى اللهُ </w:t>
      </w:r>
      <w:r w:rsidR="006C577F" w:rsidRPr="006C577F">
        <w:rPr>
          <w:rStyle w:val="libFootnotenumChar"/>
          <w:rtl/>
        </w:rPr>
        <w:t>(10)</w:t>
      </w:r>
      <w:r>
        <w:rPr>
          <w:rtl/>
          <w:lang w:bidi="fa-IR"/>
        </w:rPr>
        <w:t>؟</w:t>
      </w:r>
      <w:r w:rsidRPr="00C9040A">
        <w:rPr>
          <w:rtl/>
          <w:lang w:bidi="fa-IR"/>
        </w:rPr>
        <w:t xml:space="preserve"> فَقَالَ : « صَدَقَ خَيْثَمَةُ </w:t>
      </w:r>
      <w:r w:rsidR="006C577F" w:rsidRPr="006C577F">
        <w:rPr>
          <w:rStyle w:val="libFootnotenumChar"/>
          <w:rtl/>
        </w:rPr>
        <w:t>(11)</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(12)</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F4A9C" w:rsidRPr="00C9040A" w:rsidRDefault="008F4A9C" w:rsidP="004A4E41">
      <w:pPr>
        <w:pStyle w:val="libFootnote0"/>
        <w:rPr>
          <w:rtl/>
          <w:lang w:bidi="fa-IR"/>
        </w:rPr>
      </w:pPr>
      <w:r>
        <w:rPr>
          <w:rFonts w:hint="cs"/>
          <w:rtl/>
        </w:rPr>
        <w:t>=</w:t>
      </w:r>
      <w:r w:rsidRPr="00C9040A">
        <w:rPr>
          <w:rtl/>
        </w:rPr>
        <w:t xml:space="preserve">عمران [ الحلبي ] في عددٍ من الأسناد ، منها سند الحديث الثاني من الباب. راجع : </w:t>
      </w:r>
      <w:r w:rsidRPr="00993B55">
        <w:rPr>
          <w:rStyle w:val="libFootnoteBoldChar"/>
          <w:rtl/>
        </w:rPr>
        <w:t>معجم رجال الحديث</w:t>
      </w:r>
      <w:r w:rsidRPr="00C9040A">
        <w:rPr>
          <w:rtl/>
        </w:rPr>
        <w:t xml:space="preserve"> ، ج 19 ، ص 387</w:t>
      </w:r>
      <w:r>
        <w:rPr>
          <w:rtl/>
        </w:rPr>
        <w:t xml:space="preserve"> - </w:t>
      </w:r>
      <w:r w:rsidRPr="00C9040A">
        <w:rPr>
          <w:rtl/>
        </w:rPr>
        <w:t>388.</w:t>
      </w:r>
    </w:p>
    <w:p w:rsidR="008F4A9C" w:rsidRPr="00C9040A" w:rsidRDefault="008F4A9C" w:rsidP="004A4E41">
      <w:pPr>
        <w:pStyle w:val="libFootnote0"/>
        <w:rPr>
          <w:rtl/>
          <w:lang w:bidi="fa-IR"/>
        </w:rPr>
      </w:pPr>
      <w:r w:rsidRPr="0082575F">
        <w:rPr>
          <w:rtl/>
        </w:rPr>
        <w:t>فيظهر ممّا تقدّم وقوع التحريف في ما ورد في « بر » من « عليّ » بدل « عنه » ، وكذا وقوع السهو في ما ورد في « ص » من « عدّة من أصحابنا » بدل « عنه عن أبيه »</w:t>
      </w:r>
      <w:r>
        <w:rPr>
          <w:rtl/>
        </w:rPr>
        <w:t>.</w:t>
      </w:r>
    </w:p>
    <w:p w:rsidR="008A74EB" w:rsidRPr="00C9040A" w:rsidRDefault="006C577F" w:rsidP="004A4E41">
      <w:pPr>
        <w:pStyle w:val="libFootnote0"/>
        <w:rPr>
          <w:rtl/>
          <w:lang w:bidi="fa-IR"/>
        </w:rPr>
      </w:pPr>
      <w:r>
        <w:rPr>
          <w:rtl/>
        </w:rPr>
        <w:t>(1).</w:t>
      </w:r>
      <w:r w:rsidR="008A74EB" w:rsidRPr="00C9040A">
        <w:rPr>
          <w:rtl/>
        </w:rPr>
        <w:t xml:space="preserve"> في « د ، ز ، بس ، بف » والوافي </w:t>
      </w:r>
      <w:r w:rsidR="008A74EB">
        <w:rPr>
          <w:rtl/>
        </w:rPr>
        <w:t xml:space="preserve">: </w:t>
      </w:r>
      <w:r w:rsidR="0084262C">
        <w:rPr>
          <w:rtl/>
        </w:rPr>
        <w:t>-</w:t>
      </w:r>
      <w:r w:rsidR="008A74EB" w:rsidRPr="00C9040A">
        <w:rPr>
          <w:rtl/>
        </w:rPr>
        <w:t xml:space="preserve"> « عن أبيه »</w:t>
      </w:r>
      <w:r w:rsidR="008A74EB">
        <w:rPr>
          <w:rtl/>
        </w:rPr>
        <w:t>.</w:t>
      </w:r>
      <w:r w:rsidR="008A74EB" w:rsidRPr="00C9040A">
        <w:rPr>
          <w:rtl/>
        </w:rPr>
        <w:t xml:space="preserve"> وهو سهو ، كما ظهر ممّا تقدّم آنفاً.</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الوافي </w:t>
      </w:r>
      <w:r w:rsidR="008A74EB">
        <w:rPr>
          <w:rtl/>
        </w:rPr>
        <w:t xml:space="preserve">: </w:t>
      </w:r>
      <w:r w:rsidR="0084262C">
        <w:rPr>
          <w:rtl/>
        </w:rPr>
        <w:t>-</w:t>
      </w:r>
      <w:r w:rsidR="008A74EB" w:rsidRPr="00C9040A">
        <w:rPr>
          <w:rtl/>
        </w:rPr>
        <w:t xml:space="preserve"> « له »</w:t>
      </w:r>
      <w:r w:rsidR="008A74EB">
        <w:rPr>
          <w:rtl/>
        </w:rPr>
        <w:t>.</w:t>
      </w:r>
    </w:p>
    <w:p w:rsidR="008A74EB" w:rsidRPr="004A4E41" w:rsidRDefault="006C577F" w:rsidP="004A4E41">
      <w:pPr>
        <w:pStyle w:val="libFootnote0"/>
        <w:rPr>
          <w:rStyle w:val="libFootnote0Char"/>
          <w:rtl/>
        </w:rPr>
      </w:pPr>
      <w:r>
        <w:rPr>
          <w:rtl/>
        </w:rPr>
        <w:t>(3).</w:t>
      </w:r>
      <w:r w:rsidR="008A74EB" w:rsidRPr="00C9040A">
        <w:rPr>
          <w:rtl/>
        </w:rPr>
        <w:t xml:space="preserve"> في « ب ، ج » والمحاسن : « خثيمة بن أبي خثيمة »</w:t>
      </w:r>
      <w:r w:rsidR="008A74EB">
        <w:rPr>
          <w:rtl/>
        </w:rPr>
        <w:t>.</w:t>
      </w:r>
      <w:r w:rsidR="008A74EB" w:rsidRPr="00C9040A">
        <w:rPr>
          <w:rtl/>
        </w:rPr>
        <w:t xml:space="preserve"> وهو سهو. والظاهر أنّ خيثمة هذا ، هو خيثمة بن أبي خيثمة أبو نصر البصري. راجع : </w:t>
      </w:r>
      <w:r w:rsidR="008A74EB" w:rsidRPr="00993B55">
        <w:rPr>
          <w:rStyle w:val="libFootnoteBoldChar"/>
          <w:rtl/>
        </w:rPr>
        <w:t>تهذيب الكمال</w:t>
      </w:r>
      <w:r w:rsidR="008A74EB" w:rsidRPr="00C9040A">
        <w:rPr>
          <w:rtl/>
        </w:rPr>
        <w:t xml:space="preserve"> ، ج 8 ، ص 369 ، الرقم 1746.</w:t>
      </w:r>
    </w:p>
    <w:tbl>
      <w:tblPr>
        <w:tblStyle w:val="TableGrid"/>
        <w:bidiVisual/>
        <w:tblW w:w="0" w:type="auto"/>
        <w:tblLook w:val="04A0" w:firstRow="1" w:lastRow="0" w:firstColumn="1" w:lastColumn="0" w:noHBand="0" w:noVBand="1"/>
      </w:tblPr>
      <w:tblGrid>
        <w:gridCol w:w="4006"/>
        <w:gridCol w:w="4006"/>
      </w:tblGrid>
      <w:tr w:rsidR="00913DE1" w:rsidTr="00913DE1">
        <w:tc>
          <w:tcPr>
            <w:tcW w:w="4006" w:type="dxa"/>
          </w:tcPr>
          <w:p w:rsidR="00913DE1" w:rsidRDefault="00913DE1" w:rsidP="004A4E41">
            <w:pPr>
              <w:pStyle w:val="libFootnote0"/>
              <w:rPr>
                <w:rtl/>
              </w:rPr>
            </w:pPr>
            <w:r>
              <w:rPr>
                <w:rtl/>
              </w:rPr>
              <w:t>(4).</w:t>
            </w:r>
            <w:r w:rsidRPr="00C9040A">
              <w:rPr>
                <w:rtl/>
              </w:rPr>
              <w:t xml:space="preserve"> في المحاسن : « حدّثنا » بدل « يحدّثنا عنك »</w:t>
            </w:r>
            <w:r>
              <w:rPr>
                <w:rtl/>
              </w:rPr>
              <w:t>.</w:t>
            </w:r>
          </w:p>
        </w:tc>
        <w:tc>
          <w:tcPr>
            <w:tcW w:w="4006" w:type="dxa"/>
          </w:tcPr>
          <w:p w:rsidR="00913DE1" w:rsidRDefault="00913DE1" w:rsidP="004A4E41">
            <w:pPr>
              <w:pStyle w:val="libFootnote0"/>
              <w:rPr>
                <w:rtl/>
              </w:rPr>
            </w:pPr>
            <w:r>
              <w:rPr>
                <w:rtl/>
              </w:rPr>
              <w:t>(5).في «ج ، د ، ز ، ض ، ف ، بر»والبحار: - «له</w:t>
            </w:r>
            <w:r w:rsidRPr="00C9040A">
              <w:rPr>
                <w:rtl/>
              </w:rPr>
              <w:t>»</w:t>
            </w:r>
            <w:r>
              <w:rPr>
                <w:rtl/>
              </w:rPr>
              <w:t>.</w:t>
            </w:r>
          </w:p>
        </w:tc>
      </w:tr>
    </w:tbl>
    <w:p w:rsidR="008A74EB" w:rsidRPr="004A4E41" w:rsidRDefault="006C577F" w:rsidP="004A4E41">
      <w:pPr>
        <w:pStyle w:val="libFootnote0"/>
        <w:rPr>
          <w:rStyle w:val="libFootnote0Char"/>
          <w:rtl/>
        </w:rPr>
      </w:pPr>
      <w:r>
        <w:rPr>
          <w:rtl/>
        </w:rPr>
        <w:t>(6).</w:t>
      </w:r>
      <w:r w:rsidR="008A74EB">
        <w:rPr>
          <w:rtl/>
        </w:rPr>
        <w:t xml:space="preserve"> </w:t>
      </w:r>
      <w:r w:rsidR="008A74EB" w:rsidRPr="00C9040A">
        <w:rPr>
          <w:rtl/>
        </w:rPr>
        <w:t>في « ج » : « لمن استقبل »</w:t>
      </w:r>
      <w:r w:rsidR="008A74EB">
        <w:rPr>
          <w:rtl/>
        </w:rPr>
        <w:t>.</w:t>
      </w:r>
      <w:r w:rsidR="008A74EB" w:rsidRPr="00C9040A">
        <w:rPr>
          <w:rtl/>
        </w:rPr>
        <w:t xml:space="preserve"> وفي </w:t>
      </w:r>
      <w:r w:rsidR="008A74EB" w:rsidRPr="00913DE1">
        <w:rPr>
          <w:rStyle w:val="libFootnoteBoldChar"/>
          <w:rtl/>
        </w:rPr>
        <w:t>مرآة العقول</w:t>
      </w:r>
      <w:r w:rsidR="008A74EB" w:rsidRPr="00C9040A">
        <w:rPr>
          <w:rtl/>
        </w:rPr>
        <w:t xml:space="preserve"> : « قوله : من استقبل قبلتنا ، أي دينُ من استقبل ، فقوله : فهو مسلم ، تفريع وتأكيد »</w:t>
      </w:r>
      <w:r w:rsidR="008A74EB">
        <w:rPr>
          <w:rtl/>
        </w:rPr>
        <w:t>.</w:t>
      </w:r>
      <w:r w:rsidR="00913DE1">
        <w:rPr>
          <w:rFonts w:hint="cs"/>
          <w:rtl/>
        </w:rPr>
        <w:t xml:space="preserve">                  </w:t>
      </w:r>
      <w:r w:rsidR="00B866D3">
        <w:rPr>
          <w:rFonts w:hint="cs"/>
          <w:rtl/>
        </w:rPr>
        <w:t xml:space="preserve"> </w:t>
      </w:r>
      <w:r w:rsidR="00913DE1">
        <w:rPr>
          <w:rFonts w:hint="cs"/>
          <w:rtl/>
        </w:rPr>
        <w:t xml:space="preserve">             </w:t>
      </w:r>
      <w:r>
        <w:rPr>
          <w:rtl/>
        </w:rPr>
        <w:t>(7).</w:t>
      </w:r>
      <w:r w:rsidR="008A74EB" w:rsidRPr="00C9040A">
        <w:rPr>
          <w:rtl/>
        </w:rPr>
        <w:t xml:space="preserve"> في المحاسن : « قال »</w:t>
      </w:r>
      <w:r w:rsidR="008A74EB">
        <w:rPr>
          <w:rtl/>
        </w:rPr>
        <w:t>.</w:t>
      </w:r>
    </w:p>
    <w:tbl>
      <w:tblPr>
        <w:tblStyle w:val="TableGrid"/>
        <w:bidiVisual/>
        <w:tblW w:w="0" w:type="auto"/>
        <w:tblLook w:val="04A0" w:firstRow="1" w:lastRow="0" w:firstColumn="1" w:lastColumn="0" w:noHBand="0" w:noVBand="1"/>
      </w:tblPr>
      <w:tblGrid>
        <w:gridCol w:w="4006"/>
        <w:gridCol w:w="4006"/>
      </w:tblGrid>
      <w:tr w:rsidR="00913DE1" w:rsidTr="00913DE1">
        <w:tc>
          <w:tcPr>
            <w:tcW w:w="4006" w:type="dxa"/>
          </w:tcPr>
          <w:p w:rsidR="00913DE1" w:rsidRDefault="00913DE1" w:rsidP="004A4E41">
            <w:pPr>
              <w:pStyle w:val="libFootnote0"/>
              <w:rPr>
                <w:rtl/>
              </w:rPr>
            </w:pPr>
            <w:r>
              <w:rPr>
                <w:rtl/>
              </w:rPr>
              <w:t>(8).في «ف» : «صدّقوا</w:t>
            </w:r>
            <w:r w:rsidRPr="00C9040A">
              <w:rPr>
                <w:rtl/>
              </w:rPr>
              <w:t>»</w:t>
            </w:r>
            <w:r>
              <w:rPr>
                <w:rtl/>
              </w:rPr>
              <w:t>. وفي «ض »:</w:t>
            </w:r>
            <w:r w:rsidRPr="00C9040A">
              <w:rPr>
                <w:rtl/>
              </w:rPr>
              <w:t>« صدّق »</w:t>
            </w:r>
            <w:r>
              <w:rPr>
                <w:rtl/>
              </w:rPr>
              <w:t>.</w:t>
            </w:r>
          </w:p>
        </w:tc>
        <w:tc>
          <w:tcPr>
            <w:tcW w:w="4006" w:type="dxa"/>
          </w:tcPr>
          <w:p w:rsidR="00913DE1" w:rsidRDefault="00913DE1" w:rsidP="004A4E41">
            <w:pPr>
              <w:pStyle w:val="libFootnote0"/>
              <w:rPr>
                <w:rtl/>
              </w:rPr>
            </w:pPr>
            <w:r>
              <w:rPr>
                <w:rtl/>
              </w:rPr>
              <w:t>(9).</w:t>
            </w:r>
            <w:r w:rsidRPr="00C9040A">
              <w:rPr>
                <w:rtl/>
              </w:rPr>
              <w:t xml:space="preserve"> في المحاسن </w:t>
            </w:r>
            <w:r>
              <w:rPr>
                <w:rtl/>
              </w:rPr>
              <w:t>: -</w:t>
            </w:r>
            <w:r w:rsidRPr="00C9040A">
              <w:rPr>
                <w:rtl/>
              </w:rPr>
              <w:t xml:space="preserve"> « خيثمة قلت »</w:t>
            </w:r>
            <w:r>
              <w:rPr>
                <w:rtl/>
              </w:rPr>
              <w:t>.</w:t>
            </w:r>
          </w:p>
        </w:tc>
      </w:tr>
    </w:tbl>
    <w:p w:rsidR="008A74EB" w:rsidRPr="00C9040A" w:rsidRDefault="006C577F" w:rsidP="004A4E41">
      <w:pPr>
        <w:pStyle w:val="libFootnote0"/>
        <w:rPr>
          <w:rtl/>
          <w:lang w:bidi="fa-IR"/>
        </w:rPr>
      </w:pPr>
      <w:r>
        <w:rPr>
          <w:rtl/>
        </w:rPr>
        <w:t>(10).</w:t>
      </w:r>
      <w:r w:rsidR="008A74EB" w:rsidRPr="00C9040A">
        <w:rPr>
          <w:rtl/>
        </w:rPr>
        <w:t xml:space="preserve"> في المحاسن : « والتصديق بكتابه وأن أحبّ في الله وأبغض في الله » بدل « والتصديق بكتاب الله وأن لا يعصى الله »</w:t>
      </w:r>
      <w:r w:rsidR="008A74EB">
        <w:rPr>
          <w:rtl/>
        </w:rPr>
        <w:t>.</w:t>
      </w:r>
      <w:r w:rsidR="00913DE1">
        <w:rPr>
          <w:rFonts w:hint="cs"/>
          <w:rtl/>
        </w:rPr>
        <w:t xml:space="preserve">                                                     </w:t>
      </w:r>
      <w:r>
        <w:rPr>
          <w:rtl/>
        </w:rPr>
        <w:t>(11).</w:t>
      </w:r>
      <w:r w:rsidR="008A74EB" w:rsidRPr="00C9040A">
        <w:rPr>
          <w:rtl/>
        </w:rPr>
        <w:t xml:space="preserve"> في المحاسن : « خثيمة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w:t>
      </w:r>
      <w:r w:rsidR="008A74EB" w:rsidRPr="00993B55">
        <w:rPr>
          <w:rStyle w:val="libFootnoteBoldChar"/>
          <w:rtl/>
        </w:rPr>
        <w:t>المحاسن</w:t>
      </w:r>
      <w:r w:rsidR="008A74EB" w:rsidRPr="00C9040A">
        <w:rPr>
          <w:rtl/>
        </w:rPr>
        <w:t xml:space="preserve"> ، ص 284 ، </w:t>
      </w:r>
      <w:r w:rsidR="008A74EB" w:rsidRPr="00913DE1">
        <w:rPr>
          <w:rStyle w:val="libFootnoteBoldChar"/>
          <w:rtl/>
        </w:rPr>
        <w:t>كتاب مصابيح الظلم</w:t>
      </w:r>
      <w:r w:rsidR="008A74EB" w:rsidRPr="00C9040A">
        <w:rPr>
          <w:rtl/>
        </w:rPr>
        <w:t xml:space="preserve"> ، ح 422. وفي </w:t>
      </w:r>
      <w:r w:rsidR="008A74EB" w:rsidRPr="00993B55">
        <w:rPr>
          <w:rStyle w:val="libFootnoteBoldChar"/>
          <w:rtl/>
        </w:rPr>
        <w:t>الكافي</w:t>
      </w:r>
      <w:r w:rsidR="008A74EB" w:rsidRPr="00C9040A">
        <w:rPr>
          <w:rtl/>
        </w:rPr>
        <w:t xml:space="preserve"> ، كتاب الإيمان والكفر ، باب ( بدون العنوان ) ح 1520 ، بسند آخر ، وتمام الرواية هكذا : « سألت أبا عبدالله </w:t>
      </w:r>
      <w:r w:rsidR="00117575" w:rsidRPr="00117575">
        <w:rPr>
          <w:rStyle w:val="libFootnoteAlaemChar"/>
          <w:rtl/>
        </w:rPr>
        <w:t>عليه‌السلام</w:t>
      </w:r>
      <w:r w:rsidR="008A74EB" w:rsidRPr="00C9040A">
        <w:rPr>
          <w:rtl/>
        </w:rPr>
        <w:t xml:space="preserve"> عن الإيمان فقال : الإيمان أن يطاع الله فلايعصى » ؛ </w:t>
      </w:r>
      <w:r w:rsidR="008A74EB" w:rsidRPr="00993B55">
        <w:rPr>
          <w:rStyle w:val="libFootnoteBoldChar"/>
          <w:rtl/>
        </w:rPr>
        <w:t>الأمالي</w:t>
      </w:r>
      <w:r w:rsidR="008A74EB" w:rsidRPr="00913DE1">
        <w:rPr>
          <w:rStyle w:val="libFootnoteBoldChar"/>
          <w:rtl/>
        </w:rPr>
        <w:t xml:space="preserve"> للطوسي</w:t>
      </w:r>
      <w:r w:rsidR="008A74EB" w:rsidRPr="00C9040A">
        <w:rPr>
          <w:rtl/>
        </w:rPr>
        <w:t xml:space="preserve"> ، ص 139 ، المجلس 5 ، ح 38 ، بسند آخر عن أبي عبدالله </w:t>
      </w:r>
      <w:r w:rsidR="00117575" w:rsidRPr="00117575">
        <w:rPr>
          <w:rStyle w:val="libFootnoteAlaemChar"/>
          <w:rtl/>
        </w:rPr>
        <w:t>عليه‌السلام</w:t>
      </w:r>
      <w:r w:rsidR="008A74EB" w:rsidRPr="00C9040A">
        <w:rPr>
          <w:rtl/>
        </w:rPr>
        <w:t xml:space="preserve"> ، مع اختلاف </w:t>
      </w:r>
      <w:r w:rsidR="00913DE1">
        <w:rPr>
          <w:rFonts w:hint="cs"/>
          <w:rtl/>
        </w:rPr>
        <w:t>.</w:t>
      </w:r>
      <w:r w:rsidR="008A74EB" w:rsidRPr="00993B55">
        <w:rPr>
          <w:rStyle w:val="libFootnoteBoldChar"/>
          <w:rtl/>
        </w:rPr>
        <w:t>الوافي</w:t>
      </w:r>
      <w:r w:rsidR="008A74EB" w:rsidRPr="00C9040A">
        <w:rPr>
          <w:rtl/>
        </w:rPr>
        <w:t xml:space="preserve"> ، ج 4 ، ص 80 ، ح 1682 ؛ </w:t>
      </w:r>
      <w:r w:rsidR="008A74EB" w:rsidRPr="00993B55">
        <w:rPr>
          <w:rStyle w:val="libFootnoteBoldChar"/>
          <w:rtl/>
        </w:rPr>
        <w:t>البحار</w:t>
      </w:r>
      <w:r w:rsidR="008A74EB" w:rsidRPr="00C9040A">
        <w:rPr>
          <w:rtl/>
        </w:rPr>
        <w:t xml:space="preserve"> ، ج 68 ، ص 296 ، ح 54.</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BD575A">
        <w:rPr>
          <w:rtl/>
        </w:rPr>
        <w:lastRenderedPageBreak/>
        <w:t>1526</w:t>
      </w:r>
      <w:r w:rsidRPr="00261CB0">
        <w:rPr>
          <w:rStyle w:val="libBold2Char"/>
          <w:rtl/>
        </w:rPr>
        <w:t xml:space="preserve"> / 6.</w:t>
      </w:r>
      <w:r w:rsidRPr="00C9040A">
        <w:rPr>
          <w:rtl/>
          <w:lang w:bidi="fa-IR"/>
        </w:rPr>
        <w:t xml:space="preserve"> مُحَمَّدُ بْنُ يَحْيى ، عَنْ أَحْمَدَ بْنِ مُحَمَّدِ بْنِ عِيسى ، عَنِ ابْنِ أَبِي عُمَيْرٍ ، عَنْ جَمِيلِ بْنِ دَرَّاجٍ ، قَالَ :</w:t>
      </w:r>
    </w:p>
    <w:p w:rsidR="008A74EB" w:rsidRPr="00C9040A" w:rsidRDefault="008A74EB" w:rsidP="008A74EB">
      <w:pPr>
        <w:pStyle w:val="libNormal"/>
        <w:rPr>
          <w:rtl/>
          <w:lang w:bidi="fa-IR"/>
        </w:rPr>
      </w:pPr>
      <w:r w:rsidRPr="00C9040A">
        <w:rPr>
          <w:rtl/>
          <w:lang w:bidi="fa-IR"/>
        </w:rPr>
        <w:t xml:space="preserve">سَأَلْتُ أَبَا عَبْدِ اللهِ </w:t>
      </w:r>
      <w:r w:rsidRPr="0003660B">
        <w:rPr>
          <w:rStyle w:val="libAlaemChar"/>
          <w:rtl/>
        </w:rPr>
        <w:t>عليه‌السلام</w:t>
      </w:r>
      <w:r w:rsidRPr="00C9040A">
        <w:rPr>
          <w:rtl/>
          <w:lang w:bidi="fa-IR"/>
        </w:rPr>
        <w:t xml:space="preserve"> عَنِ الْإِيمَانِ ، فَقَالَ : « شَهَادَةُ أَنْ لَا</w:t>
      </w:r>
      <w:r>
        <w:rPr>
          <w:rFonts w:hint="cs"/>
          <w:rtl/>
          <w:lang w:bidi="fa-IR"/>
        </w:rPr>
        <w:t xml:space="preserve"> </w:t>
      </w:r>
      <w:r w:rsidR="00913DE1">
        <w:rPr>
          <w:rtl/>
          <w:lang w:bidi="fa-IR"/>
        </w:rPr>
        <w:t>إِلهَ إِل</w:t>
      </w:r>
      <w:r w:rsidR="00913DE1">
        <w:rPr>
          <w:rFonts w:hint="cs"/>
          <w:rtl/>
          <w:lang w:bidi="fa-IR"/>
        </w:rPr>
        <w:t>َّ</w:t>
      </w:r>
      <w:r w:rsidR="00913DE1">
        <w:rPr>
          <w:rtl/>
          <w:lang w:bidi="fa-IR"/>
        </w:rPr>
        <w:t>ا</w:t>
      </w:r>
      <w:r w:rsidRPr="00C9040A">
        <w:rPr>
          <w:rtl/>
          <w:lang w:bidi="fa-IR"/>
        </w:rPr>
        <w:t xml:space="preserve"> اللهُ ، وَأَنَّ مُحَمَّداً رَسُولُ اللهِ »</w:t>
      </w:r>
      <w:r>
        <w:rPr>
          <w:rtl/>
          <w:lang w:bidi="fa-IR"/>
        </w:rPr>
        <w:t>.</w:t>
      </w:r>
    </w:p>
    <w:p w:rsidR="008A74EB" w:rsidRPr="00C9040A" w:rsidRDefault="008A74EB" w:rsidP="008A74EB">
      <w:pPr>
        <w:pStyle w:val="libNormal"/>
        <w:rPr>
          <w:rtl/>
          <w:lang w:bidi="fa-IR"/>
        </w:rPr>
      </w:pPr>
      <w:r>
        <w:rPr>
          <w:rtl/>
          <w:lang w:bidi="fa-IR"/>
        </w:rPr>
        <w:t>قَالَ : قُلْتُ : أَ</w:t>
      </w:r>
      <w:r w:rsidRPr="00C9040A">
        <w:rPr>
          <w:rtl/>
          <w:lang w:bidi="fa-IR"/>
        </w:rPr>
        <w:t xml:space="preserve">لَيْسَ هذَا عَمَلٌ </w:t>
      </w:r>
      <w:r w:rsidR="006C577F" w:rsidRPr="006C577F">
        <w:rPr>
          <w:rStyle w:val="libFootnotenumChar"/>
          <w:rtl/>
        </w:rPr>
        <w:t>(1)</w:t>
      </w:r>
      <w:r w:rsidRPr="00C9040A">
        <w:rPr>
          <w:rtl/>
          <w:lang w:bidi="fa-IR"/>
        </w:rPr>
        <w:t>؟ قَالَ : « بَلى »</w:t>
      </w:r>
      <w:r>
        <w:rPr>
          <w:rtl/>
          <w:lang w:bidi="fa-IR"/>
        </w:rPr>
        <w:t>.</w:t>
      </w:r>
      <w:r w:rsidRPr="00C9040A">
        <w:rPr>
          <w:rtl/>
          <w:lang w:bidi="fa-IR"/>
        </w:rPr>
        <w:t xml:space="preserve"> قُلْتُ : فَالْعَمَلُ مِنَ الْإِيمَانِ</w:t>
      </w:r>
      <w:r>
        <w:rPr>
          <w:rtl/>
          <w:lang w:bidi="fa-IR"/>
        </w:rPr>
        <w:t>؟</w:t>
      </w:r>
      <w:r w:rsidRPr="00C9040A">
        <w:rPr>
          <w:rtl/>
          <w:lang w:bidi="fa-IR"/>
        </w:rPr>
        <w:t xml:space="preserve"> قَالَ : « لَا </w:t>
      </w:r>
      <w:r w:rsidR="00913DE1">
        <w:rPr>
          <w:rtl/>
          <w:lang w:bidi="fa-IR"/>
        </w:rPr>
        <w:t>يَثْبُتُ لَهُ الْإِيمَانُ إِل</w:t>
      </w:r>
      <w:r w:rsidR="00913DE1">
        <w:rPr>
          <w:rFonts w:hint="cs"/>
          <w:rtl/>
          <w:lang w:bidi="fa-IR"/>
        </w:rPr>
        <w:t>َّ</w:t>
      </w:r>
      <w:r w:rsidR="00913DE1">
        <w:rPr>
          <w:rtl/>
          <w:lang w:bidi="fa-IR"/>
        </w:rPr>
        <w:t>ا</w:t>
      </w:r>
      <w:r w:rsidRPr="00C9040A">
        <w:rPr>
          <w:rtl/>
          <w:lang w:bidi="fa-IR"/>
        </w:rPr>
        <w:t xml:space="preserve"> بِالْعَمَلِ ، وَالْعَمَلُ مِنْهُ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BD575A">
        <w:rPr>
          <w:rtl/>
        </w:rPr>
        <w:t>1527</w:t>
      </w:r>
      <w:r w:rsidRPr="00261CB0">
        <w:rPr>
          <w:rStyle w:val="libBold2Char"/>
          <w:rtl/>
        </w:rPr>
        <w:t xml:space="preserve"> / 7.</w:t>
      </w:r>
      <w:r w:rsidRPr="00C9040A">
        <w:rPr>
          <w:rtl/>
          <w:lang w:bidi="fa-IR"/>
        </w:rPr>
        <w:t xml:space="preserve"> بَعْضُ أَصْحَابِنَا ، عَنْ عَلِيِّ بْنِ الْعَبَّاسِ ، عَنْ عَلِيِّ بْنِ مُيَسِّرٍ ، عَنْ حَمَّادِ بْنِ عَمْرٍو النَّصِيبِيِّ </w:t>
      </w:r>
      <w:r w:rsidR="006C577F" w:rsidRPr="006C577F">
        <w:rPr>
          <w:rStyle w:val="libFootnotenumChar"/>
          <w:rtl/>
        </w:rPr>
        <w:t>(3)</w:t>
      </w:r>
      <w:r w:rsidRPr="00C9040A">
        <w:rPr>
          <w:rtl/>
          <w:lang w:bidi="fa-IR"/>
        </w:rPr>
        <w:t xml:space="preserve"> ، قَالَ :</w:t>
      </w:r>
    </w:p>
    <w:p w:rsidR="008A74EB" w:rsidRPr="00C9040A" w:rsidRDefault="008A74EB" w:rsidP="008A74EB">
      <w:pPr>
        <w:pStyle w:val="libNormal"/>
        <w:rPr>
          <w:rtl/>
          <w:lang w:bidi="fa-IR"/>
        </w:rPr>
      </w:pPr>
      <w:r w:rsidRPr="00C9040A">
        <w:rPr>
          <w:rtl/>
          <w:lang w:bidi="fa-IR"/>
        </w:rPr>
        <w:t xml:space="preserve">سَأَلَ رَجُلٌ الْعَالِمَ </w:t>
      </w:r>
      <w:r w:rsidRPr="0003660B">
        <w:rPr>
          <w:rStyle w:val="libAlaemChar"/>
          <w:rtl/>
        </w:rPr>
        <w:t>عليه‌السلام</w:t>
      </w:r>
      <w:r w:rsidRPr="00C9040A">
        <w:rPr>
          <w:rtl/>
          <w:lang w:bidi="fa-IR"/>
        </w:rPr>
        <w:t xml:space="preserve"> ، فَقَالَ : أَيُّهَا الْعَالِمُ ، أَخْبِرْنِي أَيُّ الْأَعْمَالِ أَفْضَلُ عِنْدَ اللهِ</w:t>
      </w:r>
      <w:r>
        <w:rPr>
          <w:rtl/>
          <w:lang w:bidi="fa-IR"/>
        </w:rPr>
        <w:t>؟</w:t>
      </w:r>
    </w:p>
    <w:p w:rsidR="008A74EB" w:rsidRPr="00C9040A" w:rsidRDefault="008A74EB" w:rsidP="008A74EB">
      <w:pPr>
        <w:pStyle w:val="libNormal"/>
        <w:rPr>
          <w:rtl/>
          <w:lang w:bidi="fa-IR"/>
        </w:rPr>
      </w:pPr>
      <w:r w:rsidRPr="00C9040A">
        <w:rPr>
          <w:rtl/>
          <w:lang w:bidi="fa-IR"/>
        </w:rPr>
        <w:t xml:space="preserve">قَالَ : « مَا لَايُقْبَلُ </w:t>
      </w:r>
      <w:r w:rsidR="006C577F" w:rsidRPr="006C577F">
        <w:rPr>
          <w:rStyle w:val="libFootnotenumChar"/>
          <w:rtl/>
        </w:rPr>
        <w:t>(4)</w:t>
      </w:r>
      <w:r w:rsidRPr="00C9040A">
        <w:rPr>
          <w:rtl/>
          <w:lang w:bidi="fa-IR"/>
        </w:rPr>
        <w:t xml:space="preserve"> عَمَلٌ </w:t>
      </w:r>
      <w:r w:rsidR="006C577F" w:rsidRPr="006C577F">
        <w:rPr>
          <w:rStyle w:val="libFootnotenumChar"/>
          <w:rtl/>
        </w:rPr>
        <w:t>(5)</w:t>
      </w:r>
      <w:r w:rsidR="00913DE1">
        <w:rPr>
          <w:rtl/>
          <w:lang w:bidi="fa-IR"/>
        </w:rPr>
        <w:t xml:space="preserve"> إِل</w:t>
      </w:r>
      <w:r w:rsidR="00913DE1">
        <w:rPr>
          <w:rFonts w:hint="cs"/>
          <w:rtl/>
          <w:lang w:bidi="fa-IR"/>
        </w:rPr>
        <w:t>َّ</w:t>
      </w:r>
      <w:r w:rsidR="00913DE1">
        <w:rPr>
          <w:rtl/>
          <w:lang w:bidi="fa-IR"/>
        </w:rPr>
        <w:t>ا</w:t>
      </w:r>
      <w:r w:rsidRPr="00C9040A">
        <w:rPr>
          <w:rtl/>
          <w:lang w:bidi="fa-IR"/>
        </w:rPr>
        <w:t xml:space="preserve"> بِهِ » فَقَالَ : وَمَا ذلِكَ </w:t>
      </w:r>
      <w:r w:rsidR="006C577F" w:rsidRPr="006C577F">
        <w:rPr>
          <w:rStyle w:val="libFootnotenumChar"/>
          <w:rtl/>
        </w:rPr>
        <w:t>(6)</w:t>
      </w:r>
      <w:r w:rsidRPr="002F363E">
        <w:rPr>
          <w:rtl/>
        </w:rPr>
        <w:t>؟</w:t>
      </w:r>
      <w:r w:rsidRPr="00C9040A">
        <w:rPr>
          <w:rtl/>
          <w:lang w:bidi="fa-IR"/>
        </w:rPr>
        <w:t xml:space="preserve"> قَالَ : « الْإِيمَانُ بِاللهِ الَّذِي‌</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كذا في النسخ ، ومقتضى القاعدة : « عملاً »</w:t>
      </w:r>
      <w:r w:rsidR="008A74EB">
        <w:rPr>
          <w:rtl/>
        </w:rPr>
        <w:t>.</w:t>
      </w:r>
      <w:r w:rsidR="008A74EB" w:rsidRPr="00C9040A">
        <w:rPr>
          <w:rtl/>
        </w:rPr>
        <w:t xml:space="preserve"> قال في </w:t>
      </w:r>
      <w:r w:rsidR="008A74EB" w:rsidRPr="00993B55">
        <w:rPr>
          <w:rStyle w:val="libFootnoteBoldChar"/>
          <w:rtl/>
        </w:rPr>
        <w:t>مرآة العقول</w:t>
      </w:r>
      <w:r w:rsidR="008A74EB" w:rsidRPr="00C9040A">
        <w:rPr>
          <w:rtl/>
        </w:rPr>
        <w:t xml:space="preserve"> : « كذا في النسخ بالرفع ، ولعلّه من تصحيف‌</w:t>
      </w:r>
      <w:r w:rsidR="002F363E">
        <w:rPr>
          <w:rFonts w:hint="cs"/>
          <w:rtl/>
        </w:rPr>
        <w:t xml:space="preserve"> </w:t>
      </w:r>
      <w:r w:rsidR="008A74EB" w:rsidRPr="00C9040A">
        <w:rPr>
          <w:rtl/>
        </w:rPr>
        <w:t>النسّاخ. ويحتمل أن يكون اسم « ليس » ضمير الشأن ويكون مبنيّاً على لغة بني تميم ؛ حيث ذهبوا إلى أنّ « ليس » إذا انتقض نفيه يحمل على « ما » في الإهمال ، والنفي هنا منتقض بالاستفهام الإنكاري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الوافي</w:t>
      </w:r>
      <w:r w:rsidR="008A74EB" w:rsidRPr="00C9040A">
        <w:rPr>
          <w:rtl/>
        </w:rPr>
        <w:t xml:space="preserve"> ، ج 4 ، ص 80 ، ح 1683 ؛ </w:t>
      </w:r>
      <w:r w:rsidR="008A74EB" w:rsidRPr="00993B55">
        <w:rPr>
          <w:rStyle w:val="libFootnoteBoldChar"/>
          <w:rtl/>
        </w:rPr>
        <w:t>الوسائل</w:t>
      </w:r>
      <w:r w:rsidR="008A74EB" w:rsidRPr="00C9040A">
        <w:rPr>
          <w:rtl/>
        </w:rPr>
        <w:t xml:space="preserve"> ، ج 15 ، ص 168 ، ح 20223 ؛ </w:t>
      </w:r>
      <w:r w:rsidR="008A74EB" w:rsidRPr="00993B55">
        <w:rPr>
          <w:rStyle w:val="libFootnoteBoldChar"/>
          <w:rtl/>
        </w:rPr>
        <w:t>البحار</w:t>
      </w:r>
      <w:r w:rsidR="008A74EB" w:rsidRPr="00C9040A">
        <w:rPr>
          <w:rtl/>
        </w:rPr>
        <w:t xml:space="preserve"> ، ج 69 ، ص 23 ، ح 5.</w:t>
      </w:r>
    </w:p>
    <w:p w:rsidR="008A74EB" w:rsidRPr="00C9040A" w:rsidRDefault="006C577F" w:rsidP="004A4E41">
      <w:pPr>
        <w:pStyle w:val="libFootnote0"/>
        <w:rPr>
          <w:rtl/>
          <w:lang w:bidi="fa-IR"/>
        </w:rPr>
      </w:pPr>
      <w:r>
        <w:rPr>
          <w:rtl/>
        </w:rPr>
        <w:t>(3).</w:t>
      </w:r>
      <w:r w:rsidR="008A74EB" w:rsidRPr="00C9040A">
        <w:rPr>
          <w:rtl/>
        </w:rPr>
        <w:t xml:space="preserve"> في « ب ، ج ، د ، ز ، ص ، بس ، بف » : « حمّاد بن عثمان والنصيبي »</w:t>
      </w:r>
      <w:r w:rsidR="008A74EB">
        <w:rPr>
          <w:rtl/>
        </w:rPr>
        <w:t>.</w:t>
      </w:r>
      <w:r w:rsidR="008A74EB" w:rsidRPr="00C9040A">
        <w:rPr>
          <w:rtl/>
        </w:rPr>
        <w:t xml:space="preserve"> وفي « ض » : « حمّاد بن عثمان النصيبي »</w:t>
      </w:r>
      <w:r w:rsidR="008A74EB">
        <w:rPr>
          <w:rtl/>
        </w:rPr>
        <w:t>.</w:t>
      </w:r>
      <w:r w:rsidR="008A74EB" w:rsidRPr="00C9040A">
        <w:rPr>
          <w:rtl/>
        </w:rPr>
        <w:t xml:space="preserve"> وفي « ف » : « حمّاد بن عمر النصيبي »</w:t>
      </w:r>
      <w:r w:rsidR="008A74EB">
        <w:rPr>
          <w:rtl/>
        </w:rPr>
        <w:t>.</w:t>
      </w:r>
      <w:r w:rsidR="008A74EB" w:rsidRPr="00C9040A">
        <w:rPr>
          <w:rtl/>
        </w:rPr>
        <w:t xml:space="preserve"> وفي « بر » : « حمّاد بن عمرو النصيبي »</w:t>
      </w:r>
      <w:r w:rsidR="008A74EB">
        <w:rPr>
          <w:rtl/>
        </w:rPr>
        <w:t xml:space="preserve"> </w:t>
      </w:r>
      <w:r w:rsidR="0084262C">
        <w:rPr>
          <w:rtl/>
        </w:rPr>
        <w:t>-</w:t>
      </w:r>
      <w:r w:rsidR="008A74EB">
        <w:rPr>
          <w:rtl/>
        </w:rPr>
        <w:t xml:space="preserve"> </w:t>
      </w:r>
      <w:r w:rsidR="008A74EB" w:rsidRPr="00C9040A">
        <w:rPr>
          <w:rtl/>
        </w:rPr>
        <w:t>بعد تصحيحها من « حمّاد بن عيسى والنصيبي »</w:t>
      </w:r>
      <w:r w:rsidR="008A74EB">
        <w:rPr>
          <w:rtl/>
        </w:rPr>
        <w:t xml:space="preserve"> </w:t>
      </w:r>
      <w:r w:rsidR="0084262C">
        <w:rPr>
          <w:rtl/>
        </w:rPr>
        <w:t>-</w:t>
      </w:r>
      <w:r w:rsidR="008A74EB">
        <w:rPr>
          <w:rtl/>
        </w:rPr>
        <w:t xml:space="preserve"> </w:t>
      </w:r>
      <w:r w:rsidR="008A74EB" w:rsidRPr="00C9040A">
        <w:rPr>
          <w:rtl/>
        </w:rPr>
        <w:t xml:space="preserve">كما في المطبوع ، وهو الصواب. وحمّاد هذا ، هو حمّاد بن عمرو بن سلمة النصيبي. راجع : </w:t>
      </w:r>
      <w:r w:rsidR="008A74EB" w:rsidRPr="00993B55">
        <w:rPr>
          <w:rStyle w:val="libFootnoteBoldChar"/>
          <w:rtl/>
        </w:rPr>
        <w:t>تاريخ الإسلام</w:t>
      </w:r>
      <w:r w:rsidR="008A74EB" w:rsidRPr="00C9040A">
        <w:rPr>
          <w:rtl/>
        </w:rPr>
        <w:t xml:space="preserve"> ، ج 12 ، ص 133 ، الرقم 85 ؛ </w:t>
      </w:r>
      <w:r w:rsidR="008A74EB" w:rsidRPr="00993B55">
        <w:rPr>
          <w:rStyle w:val="libFootnoteBoldChar"/>
          <w:rtl/>
        </w:rPr>
        <w:t>الكامل في ضعفاء الرجال</w:t>
      </w:r>
      <w:r w:rsidR="008A74EB" w:rsidRPr="00C9040A">
        <w:rPr>
          <w:rtl/>
        </w:rPr>
        <w:t xml:space="preserve"> ، ج 2 ، ص 239 ، الرقم 415.</w:t>
      </w:r>
    </w:p>
    <w:p w:rsidR="008A74EB" w:rsidRPr="00C9040A" w:rsidRDefault="008A74EB" w:rsidP="004A4E41">
      <w:pPr>
        <w:pStyle w:val="libFootnote0"/>
        <w:rPr>
          <w:rtl/>
          <w:lang w:bidi="fa-IR"/>
        </w:rPr>
      </w:pPr>
      <w:r w:rsidRPr="0082575F">
        <w:rPr>
          <w:rtl/>
        </w:rPr>
        <w:t>ثمّ إنّ الظاهر أنّ منشأ التصحيف في أكثر النسخ أمران مرسومان في الخطوط القديمة : أحدهما : عدم كتابة « الألف » في كثير من العناوين ، ومنها « عثمان »</w:t>
      </w:r>
      <w:r>
        <w:rPr>
          <w:rtl/>
        </w:rPr>
        <w:t>.</w:t>
      </w:r>
      <w:r w:rsidR="002F363E">
        <w:rPr>
          <w:rtl/>
        </w:rPr>
        <w:t xml:space="preserve"> والآخر : عدم وضع النقطة إل</w:t>
      </w:r>
      <w:r w:rsidR="002F363E">
        <w:rPr>
          <w:rFonts w:hint="cs"/>
          <w:rtl/>
        </w:rPr>
        <w:t>ّ</w:t>
      </w:r>
      <w:r w:rsidR="002F363E">
        <w:rPr>
          <w:rtl/>
        </w:rPr>
        <w:t>ا</w:t>
      </w:r>
      <w:r w:rsidR="002F363E">
        <w:rPr>
          <w:rFonts w:hint="cs"/>
          <w:rtl/>
        </w:rPr>
        <w:t xml:space="preserve"> </w:t>
      </w:r>
      <w:r w:rsidRPr="0082575F">
        <w:rPr>
          <w:rtl/>
        </w:rPr>
        <w:t>في مواضع خاصّة ، ولذلك كان بعض الألفاظ المتشابهة في الكتابة في معرض التصحيف ببعض ، ومنها : « عثمان وعمر » ، « عثمان وعيسى »</w:t>
      </w:r>
      <w:r>
        <w:rPr>
          <w:rtl/>
        </w:rPr>
        <w:t>.</w:t>
      </w:r>
      <w:r w:rsidRPr="0082575F">
        <w:rPr>
          <w:rtl/>
        </w:rPr>
        <w:t xml:space="preserve"> ويؤيّد ذلك ما ورد في « ب ، ج ، د ، ز » من « حمّاد بن عثمن والنصيبي » ، فتأمّل.</w:t>
      </w:r>
    </w:p>
    <w:p w:rsidR="008A74EB" w:rsidRPr="00C9040A" w:rsidRDefault="006C577F" w:rsidP="004A4E41">
      <w:pPr>
        <w:pStyle w:val="libFootnote0"/>
        <w:rPr>
          <w:rtl/>
          <w:lang w:bidi="fa-IR"/>
        </w:rPr>
      </w:pPr>
      <w:r>
        <w:rPr>
          <w:rtl/>
        </w:rPr>
        <w:t>(4).</w:t>
      </w:r>
      <w:r w:rsidR="008A74EB" w:rsidRPr="00C9040A">
        <w:rPr>
          <w:rtl/>
        </w:rPr>
        <w:t xml:space="preserve"> في « ز » : + « الله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ب ، ج ، د ، ز ، ض ، بس ، بف » : « عملاً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ص » : « ذاك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هُوَ </w:t>
      </w:r>
      <w:r w:rsidR="006C577F" w:rsidRPr="006C577F">
        <w:rPr>
          <w:rStyle w:val="libFootnotenumChar"/>
          <w:rtl/>
        </w:rPr>
        <w:t>(1)</w:t>
      </w:r>
      <w:r w:rsidRPr="00853746">
        <w:rPr>
          <w:rFonts w:hint="cs"/>
          <w:rtl/>
        </w:rPr>
        <w:t xml:space="preserve"> </w:t>
      </w:r>
      <w:r w:rsidRPr="00C9040A">
        <w:rPr>
          <w:rtl/>
          <w:lang w:bidi="fa-IR"/>
        </w:rPr>
        <w:t xml:space="preserve">أَعْلَى الْأَعْمَالِ دَرَجَةً ، وَأَسْنَاهَا </w:t>
      </w:r>
      <w:r w:rsidR="006C577F" w:rsidRPr="006C577F">
        <w:rPr>
          <w:rStyle w:val="libFootnotenumChar"/>
          <w:rtl/>
        </w:rPr>
        <w:t>(2)</w:t>
      </w:r>
      <w:r w:rsidRPr="00C9040A">
        <w:rPr>
          <w:rtl/>
          <w:lang w:bidi="fa-IR"/>
        </w:rPr>
        <w:t xml:space="preserve"> حَظّاً ، وَأَشْرَفُهَا مَنْزِلَةً »</w:t>
      </w:r>
      <w:r>
        <w:rPr>
          <w:rtl/>
          <w:lang w:bidi="fa-IR"/>
        </w:rPr>
        <w:t>.</w:t>
      </w:r>
    </w:p>
    <w:p w:rsidR="008A74EB" w:rsidRPr="00C9040A" w:rsidRDefault="008A74EB" w:rsidP="008A74EB">
      <w:pPr>
        <w:pStyle w:val="libNormal"/>
        <w:rPr>
          <w:rtl/>
          <w:lang w:bidi="fa-IR"/>
        </w:rPr>
      </w:pPr>
      <w:r w:rsidRPr="00C9040A">
        <w:rPr>
          <w:rtl/>
          <w:lang w:bidi="fa-IR"/>
        </w:rPr>
        <w:t>قُلْتُ : أَ</w:t>
      </w:r>
      <w:r>
        <w:rPr>
          <w:rtl/>
          <w:lang w:bidi="fa-IR"/>
        </w:rPr>
        <w:t>خْبِرْنِي عَنِ الْإِيمَانِ : أَ</w:t>
      </w:r>
      <w:r w:rsidRPr="00C9040A">
        <w:rPr>
          <w:rtl/>
          <w:lang w:bidi="fa-IR"/>
        </w:rPr>
        <w:t xml:space="preserve">قَوْلٌ </w:t>
      </w:r>
      <w:r w:rsidR="006C577F" w:rsidRPr="006C577F">
        <w:rPr>
          <w:rStyle w:val="libFootnotenumChar"/>
          <w:rtl/>
        </w:rPr>
        <w:t>(3)</w:t>
      </w:r>
      <w:r w:rsidRPr="00C9040A">
        <w:rPr>
          <w:rtl/>
          <w:lang w:bidi="fa-IR"/>
        </w:rPr>
        <w:t xml:space="preserve"> وَعَمَلٌ ، أَمْ قَوْلٌ بِلَا عَمَلٍ</w:t>
      </w:r>
      <w:r>
        <w:rPr>
          <w:rtl/>
          <w:lang w:bidi="fa-IR"/>
        </w:rPr>
        <w:t>؟</w:t>
      </w:r>
    </w:p>
    <w:p w:rsidR="008A74EB" w:rsidRPr="00C9040A" w:rsidRDefault="008A74EB" w:rsidP="008A74EB">
      <w:pPr>
        <w:pStyle w:val="libNormal"/>
        <w:rPr>
          <w:rtl/>
          <w:lang w:bidi="fa-IR"/>
        </w:rPr>
      </w:pPr>
      <w:r w:rsidRPr="00C9040A">
        <w:rPr>
          <w:rtl/>
          <w:lang w:bidi="fa-IR"/>
        </w:rPr>
        <w:t xml:space="preserve">قَالَ : « الْإِيمَانُ عَمَلٌ كُلُّهُ ، وَالْقَوْلُ بَعْضُ ذلِكَ الْعَمَلِ ، بِفَرْضٍ </w:t>
      </w:r>
      <w:r w:rsidR="006C577F" w:rsidRPr="006C577F">
        <w:rPr>
          <w:rStyle w:val="libFootnotenumChar"/>
          <w:rtl/>
        </w:rPr>
        <w:t>(4)</w:t>
      </w:r>
      <w:r w:rsidRPr="00C9040A">
        <w:rPr>
          <w:rtl/>
          <w:lang w:bidi="fa-IR"/>
        </w:rPr>
        <w:t xml:space="preserve"> مِنَ اللهِ ، بَيَّنَهُ </w:t>
      </w:r>
      <w:r w:rsidR="006C577F" w:rsidRPr="006C577F">
        <w:rPr>
          <w:rStyle w:val="libFootnotenumChar"/>
          <w:rtl/>
        </w:rPr>
        <w:t>(5)</w:t>
      </w:r>
      <w:r w:rsidRPr="00C9040A">
        <w:rPr>
          <w:rtl/>
          <w:lang w:bidi="fa-IR"/>
        </w:rPr>
        <w:t xml:space="preserve"> فِي كِتَابِهِ ، وَاضِحٍ نُورُهُ ، ثَابِتَةٍ حُجَّتُهُ ، يَشْهَدُ بِهِ الْكِتَابُ ، وَيَدْعُو إِلَيْهِ »</w:t>
      </w:r>
      <w:r>
        <w:rPr>
          <w:rtl/>
          <w:lang w:bidi="fa-IR"/>
        </w:rPr>
        <w:t>.</w:t>
      </w:r>
    </w:p>
    <w:p w:rsidR="008A74EB" w:rsidRPr="00C9040A" w:rsidRDefault="008A74EB" w:rsidP="008A74EB">
      <w:pPr>
        <w:pStyle w:val="libNormal"/>
        <w:rPr>
          <w:rtl/>
          <w:lang w:bidi="fa-IR"/>
        </w:rPr>
      </w:pPr>
      <w:r w:rsidRPr="00C9040A">
        <w:rPr>
          <w:rtl/>
          <w:lang w:bidi="fa-IR"/>
        </w:rPr>
        <w:t>قُلْتُ : صِفْ لِي ذلِكَ حَتّى أَفْهَمَهُ.</w:t>
      </w:r>
    </w:p>
    <w:p w:rsidR="008A74EB" w:rsidRPr="00C9040A" w:rsidRDefault="008A74EB" w:rsidP="008A74EB">
      <w:pPr>
        <w:pStyle w:val="libNormal"/>
        <w:rPr>
          <w:rtl/>
          <w:lang w:bidi="fa-IR"/>
        </w:rPr>
      </w:pPr>
      <w:r w:rsidRPr="00C9040A">
        <w:rPr>
          <w:rtl/>
          <w:lang w:bidi="fa-IR"/>
        </w:rPr>
        <w:t xml:space="preserve">فَقَالَ : « إِنَّ الْإِيمَانَ </w:t>
      </w:r>
      <w:r w:rsidR="006C577F" w:rsidRPr="006C577F">
        <w:rPr>
          <w:rStyle w:val="libFootnotenumChar"/>
          <w:rtl/>
        </w:rPr>
        <w:t>(6)</w:t>
      </w:r>
      <w:r w:rsidRPr="005B567D">
        <w:rPr>
          <w:rStyle w:val="libFootnotenumChar"/>
          <w:rtl/>
        </w:rPr>
        <w:t xml:space="preserve"> </w:t>
      </w:r>
      <w:r w:rsidRPr="00C9040A">
        <w:rPr>
          <w:rtl/>
          <w:lang w:bidi="fa-IR"/>
        </w:rPr>
        <w:t xml:space="preserve">حَالَاتٌ وَدَرَجَاتٌ وَطَبَقَاتٌ وَمَنَازِلُ ، فَمِنْهُ التَّامُّ الْمُنْتَهِي تَمَامُهُ ، وَمِنْهُ النَّاقِصُ الْمُنْتَهِي نُقْصَانُهُ </w:t>
      </w:r>
      <w:r w:rsidR="006C577F" w:rsidRPr="006C577F">
        <w:rPr>
          <w:rStyle w:val="libFootnotenumChar"/>
          <w:rtl/>
        </w:rPr>
        <w:t>(7)</w:t>
      </w:r>
      <w:r w:rsidRPr="00C9040A">
        <w:rPr>
          <w:rtl/>
          <w:lang w:bidi="fa-IR"/>
        </w:rPr>
        <w:t xml:space="preserve"> ، وَمِنْهُ الزَّائِدُ الرَّاجِحُ زِيَادَتُهُ »</w:t>
      </w:r>
      <w:r>
        <w:rPr>
          <w:rtl/>
          <w:lang w:bidi="fa-IR"/>
        </w:rPr>
        <w:t>.</w:t>
      </w:r>
    </w:p>
    <w:p w:rsidR="008A74EB" w:rsidRPr="00C9040A" w:rsidRDefault="008A74EB" w:rsidP="008A74EB">
      <w:pPr>
        <w:pStyle w:val="libNormal"/>
        <w:rPr>
          <w:rtl/>
          <w:lang w:bidi="fa-IR"/>
        </w:rPr>
      </w:pPr>
      <w:r w:rsidRPr="00C9040A">
        <w:rPr>
          <w:rtl/>
          <w:lang w:bidi="fa-IR"/>
        </w:rPr>
        <w:t xml:space="preserve">قُلْتُ : وَإِنَّ </w:t>
      </w:r>
      <w:r w:rsidR="006C577F" w:rsidRPr="006C577F">
        <w:rPr>
          <w:rStyle w:val="libFootnotenumChar"/>
          <w:rtl/>
        </w:rPr>
        <w:t>(8)</w:t>
      </w:r>
      <w:r w:rsidRPr="00C9040A">
        <w:rPr>
          <w:rtl/>
          <w:lang w:bidi="fa-IR"/>
        </w:rPr>
        <w:t xml:space="preserve"> الْإِيمَانَ لَيَتِمُّ وَيَزِيدُ وَيَنْقُصُ </w:t>
      </w:r>
      <w:r w:rsidR="006C577F" w:rsidRPr="006C577F">
        <w:rPr>
          <w:rStyle w:val="libFootnotenumChar"/>
          <w:rtl/>
        </w:rPr>
        <w:t>(9)</w:t>
      </w:r>
      <w:r>
        <w:rPr>
          <w:rtl/>
          <w:lang w:bidi="fa-IR"/>
        </w:rPr>
        <w:t>؟</w:t>
      </w:r>
      <w:r w:rsidRPr="00C9040A">
        <w:rPr>
          <w:rtl/>
          <w:lang w:bidi="fa-IR"/>
        </w:rPr>
        <w:t xml:space="preserve"> قَالَ : « نَعَمْ »</w:t>
      </w:r>
      <w:r>
        <w:rPr>
          <w:rtl/>
          <w:lang w:bidi="fa-IR"/>
        </w:rPr>
        <w:t>.</w:t>
      </w:r>
      <w:r w:rsidRPr="00C9040A">
        <w:rPr>
          <w:rtl/>
          <w:lang w:bidi="fa-IR"/>
        </w:rPr>
        <w:t xml:space="preserve"> قُلْتُ : وَ</w:t>
      </w:r>
      <w:r>
        <w:rPr>
          <w:rFonts w:hint="cs"/>
          <w:rtl/>
          <w:lang w:bidi="fa-IR"/>
        </w:rPr>
        <w:t xml:space="preserve"> </w:t>
      </w:r>
      <w:r w:rsidR="006C577F" w:rsidRPr="006C577F">
        <w:rPr>
          <w:rStyle w:val="libFootnotenumChar"/>
          <w:rtl/>
        </w:rPr>
        <w:t>(10)</w:t>
      </w:r>
      <w:r w:rsidRPr="00C9040A">
        <w:rPr>
          <w:rtl/>
          <w:lang w:bidi="fa-IR"/>
        </w:rPr>
        <w:t xml:space="preserve"> كَيْفَ ذلِكَ</w:t>
      </w:r>
      <w:r>
        <w:rPr>
          <w:rtl/>
          <w:lang w:bidi="fa-IR"/>
        </w:rPr>
        <w:t>؟</w:t>
      </w:r>
      <w:r w:rsidRPr="00C9040A">
        <w:rPr>
          <w:rtl/>
          <w:lang w:bidi="fa-IR"/>
        </w:rPr>
        <w:t xml:space="preserve"> قَالَ :</w:t>
      </w:r>
      <w:r>
        <w:rPr>
          <w:rFonts w:hint="cs"/>
          <w:rtl/>
          <w:lang w:bidi="fa-IR"/>
        </w:rPr>
        <w:t xml:space="preserve"> </w:t>
      </w:r>
      <w:r w:rsidRPr="00C9040A">
        <w:rPr>
          <w:rtl/>
          <w:lang w:bidi="fa-IR"/>
        </w:rPr>
        <w:t xml:space="preserve">« إِنَّ </w:t>
      </w:r>
      <w:r w:rsidR="006C577F" w:rsidRPr="006C577F">
        <w:rPr>
          <w:rStyle w:val="libFootnotenumChar"/>
          <w:rtl/>
        </w:rPr>
        <w:t>(11)</w:t>
      </w:r>
      <w:r w:rsidRPr="00C9040A">
        <w:rPr>
          <w:rtl/>
          <w:lang w:bidi="fa-IR"/>
        </w:rPr>
        <w:t xml:space="preserve"> اللهَ</w:t>
      </w:r>
      <w:r>
        <w:rPr>
          <w:rtl/>
          <w:lang w:bidi="fa-IR"/>
        </w:rPr>
        <w:t xml:space="preserve"> </w:t>
      </w:r>
      <w:r w:rsidR="0084262C">
        <w:rPr>
          <w:rtl/>
          <w:lang w:bidi="fa-IR"/>
        </w:rPr>
        <w:t>-</w:t>
      </w:r>
      <w:r>
        <w:rPr>
          <w:rtl/>
          <w:lang w:bidi="fa-IR"/>
        </w:rPr>
        <w:t xml:space="preserve"> </w:t>
      </w:r>
      <w:r w:rsidRPr="00C9040A">
        <w:rPr>
          <w:rtl/>
          <w:lang w:bidi="fa-IR"/>
        </w:rPr>
        <w:t>تَبَارَكَ وَتَعَالى</w:t>
      </w:r>
      <w:r>
        <w:rPr>
          <w:rtl/>
          <w:lang w:bidi="fa-IR"/>
        </w:rPr>
        <w:t xml:space="preserve"> </w:t>
      </w:r>
      <w:r w:rsidR="0084262C">
        <w:rPr>
          <w:rtl/>
          <w:lang w:bidi="fa-IR"/>
        </w:rPr>
        <w:t>-</w:t>
      </w:r>
      <w:r>
        <w:rPr>
          <w:rtl/>
          <w:lang w:bidi="fa-IR"/>
        </w:rPr>
        <w:t xml:space="preserve"> </w:t>
      </w:r>
      <w:r w:rsidRPr="00C9040A">
        <w:rPr>
          <w:rtl/>
          <w:lang w:bidi="fa-IR"/>
        </w:rPr>
        <w:t xml:space="preserve">فَرَضَ الْإِيمَانَ عَلى </w:t>
      </w:r>
      <w:r w:rsidR="006C577F" w:rsidRPr="006C577F">
        <w:rPr>
          <w:rStyle w:val="libFootnotenumChar"/>
          <w:rtl/>
        </w:rPr>
        <w:t>(12)</w:t>
      </w:r>
      <w:r w:rsidRPr="00C9040A">
        <w:rPr>
          <w:rtl/>
          <w:lang w:bidi="fa-IR"/>
        </w:rPr>
        <w:t xml:space="preserve"> جَوَارِحِ بَنِي آدَمَ ، وَقَسَّمَهُ عَلَيْهَا </w:t>
      </w:r>
      <w:r w:rsidRPr="005B567D">
        <w:rPr>
          <w:rStyle w:val="libFootnotenumChar"/>
          <w:rtl/>
        </w:rPr>
        <w:t>(13)</w:t>
      </w:r>
      <w:r w:rsidRPr="00C9040A">
        <w:rPr>
          <w:rtl/>
          <w:lang w:bidi="fa-IR"/>
        </w:rPr>
        <w:t xml:space="preserve"> ، وَفَرَّقَهُ عَلَيْهَا </w:t>
      </w:r>
      <w:r w:rsidRPr="005B567D">
        <w:rPr>
          <w:rStyle w:val="libFootnotenumChar"/>
          <w:rtl/>
        </w:rPr>
        <w:t>(14)</w:t>
      </w:r>
      <w:r w:rsidRPr="00C9040A">
        <w:rPr>
          <w:rtl/>
          <w:lang w:bidi="fa-IR"/>
        </w:rPr>
        <w:t xml:space="preserve"> ؛ فَلَيْسَ مِن</w:t>
      </w:r>
      <w:r w:rsidR="00FF5CC7">
        <w:rPr>
          <w:rtl/>
          <w:lang w:bidi="fa-IR"/>
        </w:rPr>
        <w:t>ْ جَوَارِحِهِمْ جَارِحَةٌ إِل</w:t>
      </w:r>
      <w:r w:rsidR="00FF5CC7">
        <w:rPr>
          <w:rFonts w:hint="cs"/>
          <w:rtl/>
          <w:lang w:bidi="fa-IR"/>
        </w:rPr>
        <w:t>َّ</w:t>
      </w:r>
      <w:r w:rsidR="00FF5CC7">
        <w:rPr>
          <w:rtl/>
          <w:lang w:bidi="fa-IR"/>
        </w:rPr>
        <w:t>ا</w:t>
      </w:r>
      <w:r w:rsidRPr="00C9040A">
        <w:rPr>
          <w:rtl/>
          <w:lang w:bidi="fa-IR"/>
        </w:rPr>
        <w:t xml:space="preserve"> وَهِيَ </w:t>
      </w:r>
      <w:r w:rsidRPr="005B567D">
        <w:rPr>
          <w:rStyle w:val="libFootnotenumChar"/>
          <w:rtl/>
        </w:rPr>
        <w:t>(15)</w:t>
      </w:r>
      <w:r w:rsidRPr="00C9040A">
        <w:rPr>
          <w:rtl/>
          <w:lang w:bidi="fa-IR"/>
        </w:rPr>
        <w:t xml:space="preserve"> مُوَكَّلَةٌ مِنَ الْإِيمَانِ بِغَيْرِ مَا وُكِّلَتْ بِهِ أُخْتُهَا ، فَمِنْهَا قَلْبُهُ الَّذِي بِهِ</w:t>
      </w:r>
      <w:r>
        <w:rPr>
          <w:rFonts w:hint="cs"/>
          <w:rtl/>
          <w:lang w:bidi="fa-IR"/>
        </w:rPr>
        <w:t xml:space="preserve"> </w:t>
      </w:r>
      <w:r w:rsidRPr="00C9040A">
        <w:rPr>
          <w:rtl/>
          <w:lang w:bidi="fa-IR"/>
        </w:rPr>
        <w:t xml:space="preserve">يَعْقِلُ وَيَفْقَهُ وَيَفْهَمُ ، وَهُوَ أَمِيرُ بَدَنِهِ الَّذِي لَاتُورَدُ </w:t>
      </w:r>
      <w:r w:rsidRPr="005B567D">
        <w:rPr>
          <w:rStyle w:val="libFootnotenumChar"/>
          <w:rtl/>
        </w:rPr>
        <w:t>(16)</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w:t>
      </w:r>
      <w:r w:rsidR="008A74EB" w:rsidRPr="00993B55">
        <w:rPr>
          <w:rStyle w:val="libFootnoteBoldChar"/>
          <w:rtl/>
        </w:rPr>
        <w:t>مرآة العقول</w:t>
      </w:r>
      <w:r w:rsidR="008A74EB" w:rsidRPr="00C9040A">
        <w:rPr>
          <w:rtl/>
        </w:rPr>
        <w:t xml:space="preserve"> : « هو</w:t>
      </w:r>
      <w:r w:rsidR="008A74EB">
        <w:rPr>
          <w:rtl/>
        </w:rPr>
        <w:t xml:space="preserve"> </w:t>
      </w:r>
      <w:r w:rsidR="0084262C">
        <w:rPr>
          <w:rtl/>
        </w:rPr>
        <w:t>-</w:t>
      </w:r>
      <w:r w:rsidR="008A74EB">
        <w:rPr>
          <w:rtl/>
        </w:rPr>
        <w:t xml:space="preserve"> </w:t>
      </w:r>
      <w:r w:rsidR="008A74EB" w:rsidRPr="00C9040A">
        <w:rPr>
          <w:rtl/>
        </w:rPr>
        <w:t>أي هذا الخبر</w:t>
      </w:r>
      <w:r w:rsidR="008A74EB">
        <w:rPr>
          <w:rtl/>
        </w:rPr>
        <w:t xml:space="preserve"> </w:t>
      </w:r>
      <w:r w:rsidR="0084262C">
        <w:rPr>
          <w:rtl/>
        </w:rPr>
        <w:t>-</w:t>
      </w:r>
      <w:r w:rsidR="008A74EB">
        <w:rPr>
          <w:rtl/>
        </w:rPr>
        <w:t xml:space="preserve"> </w:t>
      </w:r>
      <w:r w:rsidR="008A74EB" w:rsidRPr="00C9040A">
        <w:rPr>
          <w:rtl/>
        </w:rPr>
        <w:t>جزء من الحديث الأوّل بتغييرات مخلّة ، منها قوله : بالله الذي هو ؛ فإنّ</w:t>
      </w:r>
      <w:r w:rsidR="00FF5CC7">
        <w:rPr>
          <w:rtl/>
        </w:rPr>
        <w:t xml:space="preserve"> الصحيح : بالله الذي لا إله إل</w:t>
      </w:r>
      <w:r w:rsidR="00FF5CC7">
        <w:rPr>
          <w:rFonts w:hint="cs"/>
          <w:rtl/>
        </w:rPr>
        <w:t>ّ</w:t>
      </w:r>
      <w:r w:rsidR="00FF5CC7">
        <w:rPr>
          <w:rtl/>
        </w:rPr>
        <w:t>ا</w:t>
      </w:r>
      <w:r w:rsidR="00FF5CC7">
        <w:rPr>
          <w:rFonts w:hint="cs"/>
          <w:rtl/>
        </w:rPr>
        <w:t xml:space="preserve"> </w:t>
      </w:r>
      <w:r w:rsidR="008A74EB" w:rsidRPr="00C9040A">
        <w:rPr>
          <w:rtl/>
        </w:rPr>
        <w:t>هو »</w:t>
      </w:r>
      <w:r w:rsidR="008A74EB">
        <w:rPr>
          <w:rtl/>
        </w:rPr>
        <w:t>.</w:t>
      </w:r>
    </w:p>
    <w:p w:rsidR="008A74EB" w:rsidRPr="004A4E41" w:rsidRDefault="006C577F" w:rsidP="004A4E41">
      <w:pPr>
        <w:pStyle w:val="libFootnote0"/>
        <w:rPr>
          <w:rStyle w:val="libFootnote0Char"/>
          <w:rtl/>
        </w:rPr>
      </w:pPr>
      <w:r>
        <w:rPr>
          <w:rtl/>
        </w:rPr>
        <w:t>(2).</w:t>
      </w:r>
      <w:r w:rsidR="008A74EB">
        <w:rPr>
          <w:rtl/>
        </w:rPr>
        <w:t xml:space="preserve"> </w:t>
      </w:r>
      <w:r w:rsidR="008A74EB" w:rsidRPr="00C9040A">
        <w:rPr>
          <w:rtl/>
        </w:rPr>
        <w:t xml:space="preserve">« أسناها » ، أي أرفعها ، من السناء : الرفعة. وأسناه : رَفَعه. </w:t>
      </w:r>
      <w:r w:rsidR="008A74EB" w:rsidRPr="00993B55">
        <w:rPr>
          <w:rStyle w:val="libFootnoteBoldChar"/>
          <w:rtl/>
        </w:rPr>
        <w:t>القاموس المحيط</w:t>
      </w:r>
      <w:r w:rsidR="00FF5CC7">
        <w:rPr>
          <w:rtl/>
        </w:rPr>
        <w:t xml:space="preserve"> ، ج 2 ، ص 1701 (</w:t>
      </w:r>
      <w:r w:rsidR="008A74EB" w:rsidRPr="00C9040A">
        <w:rPr>
          <w:rtl/>
        </w:rPr>
        <w:t>سنى )</w:t>
      </w:r>
      <w:r w:rsidR="008A74EB">
        <w:rPr>
          <w:rtl/>
        </w:rPr>
        <w:t>.</w:t>
      </w:r>
    </w:p>
    <w:tbl>
      <w:tblPr>
        <w:tblStyle w:val="TableGrid"/>
        <w:bidiVisual/>
        <w:tblW w:w="0" w:type="auto"/>
        <w:tblLook w:val="04A0" w:firstRow="1" w:lastRow="0" w:firstColumn="1" w:lastColumn="0" w:noHBand="0" w:noVBand="1"/>
      </w:tblPr>
      <w:tblGrid>
        <w:gridCol w:w="4006"/>
        <w:gridCol w:w="4006"/>
      </w:tblGrid>
      <w:tr w:rsidR="00FF5CC7" w:rsidTr="00FF5CC7">
        <w:tc>
          <w:tcPr>
            <w:tcW w:w="4006" w:type="dxa"/>
          </w:tcPr>
          <w:p w:rsidR="00FF5CC7" w:rsidRDefault="00FF5CC7" w:rsidP="004A4E41">
            <w:pPr>
              <w:pStyle w:val="libFootnote0"/>
              <w:rPr>
                <w:rtl/>
                <w:lang w:bidi="fa-IR"/>
              </w:rPr>
            </w:pPr>
            <w:r>
              <w:rPr>
                <w:rtl/>
              </w:rPr>
              <w:t>(3).</w:t>
            </w:r>
            <w:r w:rsidRPr="00C9040A">
              <w:rPr>
                <w:rtl/>
              </w:rPr>
              <w:t xml:space="preserve"> في « ف » : + « هو »</w:t>
            </w:r>
            <w:r>
              <w:rPr>
                <w:rtl/>
              </w:rPr>
              <w:t>.</w:t>
            </w:r>
          </w:p>
        </w:tc>
        <w:tc>
          <w:tcPr>
            <w:tcW w:w="4006" w:type="dxa"/>
          </w:tcPr>
          <w:p w:rsidR="00FF5CC7" w:rsidRDefault="00FF5CC7" w:rsidP="004A4E41">
            <w:pPr>
              <w:pStyle w:val="libFootnote0"/>
              <w:rPr>
                <w:rtl/>
                <w:lang w:bidi="fa-IR"/>
              </w:rPr>
            </w:pPr>
            <w:r>
              <w:rPr>
                <w:rtl/>
              </w:rPr>
              <w:t>(4).</w:t>
            </w:r>
            <w:r w:rsidRPr="00C9040A">
              <w:rPr>
                <w:rtl/>
              </w:rPr>
              <w:t xml:space="preserve"> في « د » : « فرض »</w:t>
            </w:r>
            <w:r>
              <w:rPr>
                <w:rtl/>
              </w:rPr>
              <w:t>.</w:t>
            </w:r>
          </w:p>
        </w:tc>
      </w:tr>
    </w:tbl>
    <w:p w:rsidR="008A74EB" w:rsidRPr="00C9040A" w:rsidRDefault="006C577F" w:rsidP="004A4E41">
      <w:pPr>
        <w:pStyle w:val="libFootnote0"/>
        <w:rPr>
          <w:rtl/>
          <w:lang w:bidi="fa-IR"/>
        </w:rPr>
      </w:pPr>
      <w:r>
        <w:rPr>
          <w:rtl/>
        </w:rPr>
        <w:t>(5).</w:t>
      </w:r>
      <w:r w:rsidR="008A74EB" w:rsidRPr="00C9040A">
        <w:rPr>
          <w:rtl/>
        </w:rPr>
        <w:t xml:space="preserve"> في « ب » وحاشية « ف ، بس ، بف » : « بيّنٍ » مجرور صفة لفرض. قال في </w:t>
      </w:r>
      <w:r w:rsidR="008A74EB" w:rsidRPr="00993B55">
        <w:rPr>
          <w:rStyle w:val="libFootnoteBoldChar"/>
          <w:rtl/>
        </w:rPr>
        <w:t>مرآة العقول</w:t>
      </w:r>
      <w:r w:rsidR="008A74EB" w:rsidRPr="00C9040A">
        <w:rPr>
          <w:rtl/>
        </w:rPr>
        <w:t xml:space="preserve"> : « وقوله : بيّنه ، والأصحّ : بيّن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حاشية « ج » : « إنّ للإيمان بها »</w:t>
      </w:r>
      <w:r w:rsidR="008A74EB">
        <w:rPr>
          <w:rtl/>
        </w:rPr>
        <w:t>.</w:t>
      </w:r>
      <w:r w:rsidR="008A74EB" w:rsidRPr="00C9040A">
        <w:rPr>
          <w:rtl/>
        </w:rPr>
        <w:t xml:space="preserve"> وفي هامش المطبوع : « في بعض النسخ : إنّ للإيمان »</w:t>
      </w:r>
      <w:r w:rsidR="008A74EB">
        <w:rPr>
          <w:rtl/>
        </w:rPr>
        <w:t>.</w:t>
      </w:r>
    </w:p>
    <w:p w:rsidR="008A74EB" w:rsidRPr="004A4E41" w:rsidRDefault="006C577F" w:rsidP="004A4E41">
      <w:pPr>
        <w:pStyle w:val="libFootnote0"/>
        <w:rPr>
          <w:rStyle w:val="libFootnote0Char"/>
          <w:rtl/>
        </w:rPr>
      </w:pPr>
      <w:r>
        <w:rPr>
          <w:rtl/>
        </w:rPr>
        <w:t>(7).</w:t>
      </w:r>
      <w:r w:rsidR="008A74EB" w:rsidRPr="00C9040A">
        <w:rPr>
          <w:rtl/>
        </w:rPr>
        <w:t xml:space="preserve"> في </w:t>
      </w:r>
      <w:r w:rsidR="008A74EB" w:rsidRPr="00993B55">
        <w:rPr>
          <w:rStyle w:val="libFootnoteBoldChar"/>
          <w:rtl/>
        </w:rPr>
        <w:t>مرآة العقول</w:t>
      </w:r>
      <w:r w:rsidR="008A74EB" w:rsidRPr="00C9040A">
        <w:rPr>
          <w:rtl/>
        </w:rPr>
        <w:t xml:space="preserve"> : « وقوله : المنتهي نقصانه ، كأنّ البيّن نقصانه أصحّ »</w:t>
      </w:r>
      <w:r w:rsidR="008A74EB">
        <w:rPr>
          <w:rtl/>
        </w:rPr>
        <w:t>.</w:t>
      </w:r>
      <w:r w:rsidR="008A74EB" w:rsidRPr="00C9040A">
        <w:rPr>
          <w:rtl/>
        </w:rPr>
        <w:t xml:space="preserve"> وهو الذي مرّ في الحديث الأوّل صدر الباب.</w:t>
      </w:r>
      <w:r w:rsidR="00FF5CC7">
        <w:rPr>
          <w:rFonts w:hint="cs"/>
          <w:rtl/>
        </w:rPr>
        <w:t xml:space="preserve">                                                  </w:t>
      </w:r>
      <w:r w:rsidR="00B866D3">
        <w:rPr>
          <w:rFonts w:hint="cs"/>
          <w:rtl/>
        </w:rPr>
        <w:t xml:space="preserve">   </w:t>
      </w:r>
      <w:r w:rsidR="00FF5CC7">
        <w:rPr>
          <w:rFonts w:hint="cs"/>
          <w:rtl/>
        </w:rPr>
        <w:t xml:space="preserve">    </w:t>
      </w:r>
      <w:r>
        <w:rPr>
          <w:rtl/>
        </w:rPr>
        <w:t>(8).</w:t>
      </w:r>
      <w:r w:rsidR="008A74EB" w:rsidRPr="00C9040A">
        <w:rPr>
          <w:rtl/>
        </w:rPr>
        <w:t xml:space="preserve"> في « ص » : « فإنّ »</w:t>
      </w:r>
      <w:r w:rsidR="008A74EB">
        <w:rPr>
          <w:rtl/>
        </w:rPr>
        <w:t>.</w:t>
      </w:r>
    </w:p>
    <w:tbl>
      <w:tblPr>
        <w:tblStyle w:val="TableGrid"/>
        <w:bidiVisual/>
        <w:tblW w:w="0" w:type="auto"/>
        <w:tblLook w:val="04A0" w:firstRow="1" w:lastRow="0" w:firstColumn="1" w:lastColumn="0" w:noHBand="0" w:noVBand="1"/>
      </w:tblPr>
      <w:tblGrid>
        <w:gridCol w:w="4006"/>
        <w:gridCol w:w="4006"/>
      </w:tblGrid>
      <w:tr w:rsidR="00FF5CC7" w:rsidTr="00FF5CC7">
        <w:tc>
          <w:tcPr>
            <w:tcW w:w="4006" w:type="dxa"/>
          </w:tcPr>
          <w:p w:rsidR="00FF5CC7" w:rsidRDefault="00FF5CC7" w:rsidP="004A4E41">
            <w:pPr>
              <w:pStyle w:val="libFootnote0"/>
              <w:rPr>
                <w:rtl/>
              </w:rPr>
            </w:pPr>
            <w:r>
              <w:rPr>
                <w:rtl/>
              </w:rPr>
              <w:t>(9).</w:t>
            </w:r>
            <w:r w:rsidRPr="00C9040A">
              <w:rPr>
                <w:rtl/>
              </w:rPr>
              <w:t xml:space="preserve"> في « ص ، ف » : « وينقص ويزيد »</w:t>
            </w:r>
            <w:r>
              <w:rPr>
                <w:rtl/>
              </w:rPr>
              <w:t>.</w:t>
            </w:r>
          </w:p>
        </w:tc>
        <w:tc>
          <w:tcPr>
            <w:tcW w:w="4006" w:type="dxa"/>
          </w:tcPr>
          <w:p w:rsidR="00FF5CC7" w:rsidRDefault="00FF5CC7" w:rsidP="004A4E41">
            <w:pPr>
              <w:pStyle w:val="libFootnote0"/>
              <w:rPr>
                <w:rtl/>
              </w:rPr>
            </w:pPr>
            <w:r>
              <w:rPr>
                <w:rtl/>
              </w:rPr>
              <w:t>(10).</w:t>
            </w:r>
            <w:r w:rsidRPr="00C9040A">
              <w:rPr>
                <w:rtl/>
              </w:rPr>
              <w:t xml:space="preserve"> في « ض » </w:t>
            </w:r>
            <w:r>
              <w:rPr>
                <w:rtl/>
              </w:rPr>
              <w:t>: -</w:t>
            </w:r>
            <w:r w:rsidRPr="00C9040A">
              <w:rPr>
                <w:rtl/>
              </w:rPr>
              <w:t xml:space="preserve"> « و</w:t>
            </w:r>
            <w:r>
              <w:rPr>
                <w:rFonts w:hint="cs"/>
                <w:rtl/>
              </w:rPr>
              <w:t xml:space="preserve"> </w:t>
            </w:r>
            <w:r w:rsidRPr="00C9040A">
              <w:rPr>
                <w:rtl/>
              </w:rPr>
              <w:t>»</w:t>
            </w:r>
            <w:r>
              <w:rPr>
                <w:rtl/>
              </w:rPr>
              <w:t>.</w:t>
            </w:r>
          </w:p>
        </w:tc>
      </w:tr>
      <w:tr w:rsidR="00FF5CC7" w:rsidTr="00FF5CC7">
        <w:tc>
          <w:tcPr>
            <w:tcW w:w="4006" w:type="dxa"/>
          </w:tcPr>
          <w:p w:rsidR="00FF5CC7" w:rsidRDefault="00FF5CC7" w:rsidP="004A4E41">
            <w:pPr>
              <w:pStyle w:val="libFootnote0"/>
              <w:rPr>
                <w:rtl/>
              </w:rPr>
            </w:pPr>
            <w:r>
              <w:rPr>
                <w:rtl/>
              </w:rPr>
              <w:t>(11).</w:t>
            </w:r>
            <w:r w:rsidRPr="00C9040A">
              <w:rPr>
                <w:rtl/>
              </w:rPr>
              <w:t xml:space="preserve"> في « ف » </w:t>
            </w:r>
            <w:r>
              <w:rPr>
                <w:rtl/>
              </w:rPr>
              <w:t>: -</w:t>
            </w:r>
            <w:r w:rsidRPr="00C9040A">
              <w:rPr>
                <w:rtl/>
              </w:rPr>
              <w:t xml:space="preserve"> « إنّ »</w:t>
            </w:r>
            <w:r>
              <w:rPr>
                <w:rtl/>
              </w:rPr>
              <w:t>.</w:t>
            </w:r>
          </w:p>
        </w:tc>
        <w:tc>
          <w:tcPr>
            <w:tcW w:w="4006" w:type="dxa"/>
          </w:tcPr>
          <w:p w:rsidR="00FF5CC7" w:rsidRDefault="00FF5CC7" w:rsidP="004A4E41">
            <w:pPr>
              <w:pStyle w:val="libFootnote0"/>
              <w:rPr>
                <w:rtl/>
              </w:rPr>
            </w:pPr>
            <w:r>
              <w:rPr>
                <w:rtl/>
              </w:rPr>
              <w:t>(12).</w:t>
            </w:r>
            <w:r w:rsidRPr="00C9040A">
              <w:rPr>
                <w:rtl/>
              </w:rPr>
              <w:t xml:space="preserve"> في « ز » : + « جميع »</w:t>
            </w:r>
            <w:r>
              <w:rPr>
                <w:rtl/>
              </w:rPr>
              <w:t>.</w:t>
            </w:r>
          </w:p>
        </w:tc>
      </w:tr>
      <w:tr w:rsidR="00FF5CC7" w:rsidTr="00FF5CC7">
        <w:tc>
          <w:tcPr>
            <w:tcW w:w="4006" w:type="dxa"/>
          </w:tcPr>
          <w:p w:rsidR="00FF5CC7" w:rsidRDefault="00FF5CC7" w:rsidP="004A4E41">
            <w:pPr>
              <w:pStyle w:val="libFootnote0"/>
              <w:rPr>
                <w:rtl/>
              </w:rPr>
            </w:pPr>
            <w:r>
              <w:rPr>
                <w:rtl/>
              </w:rPr>
              <w:t>(13)</w:t>
            </w:r>
            <w:r w:rsidRPr="00C9040A">
              <w:rPr>
                <w:rtl/>
              </w:rPr>
              <w:t xml:space="preserve"> في « ض » : « فيها »</w:t>
            </w:r>
            <w:r>
              <w:rPr>
                <w:rtl/>
              </w:rPr>
              <w:t>.</w:t>
            </w:r>
          </w:p>
        </w:tc>
        <w:tc>
          <w:tcPr>
            <w:tcW w:w="4006" w:type="dxa"/>
          </w:tcPr>
          <w:p w:rsidR="00FF5CC7" w:rsidRDefault="00FF5CC7" w:rsidP="004A4E41">
            <w:pPr>
              <w:pStyle w:val="libFootnote0"/>
              <w:rPr>
                <w:rtl/>
              </w:rPr>
            </w:pPr>
            <w:r>
              <w:rPr>
                <w:rtl/>
              </w:rPr>
              <w:t>(14)</w:t>
            </w:r>
            <w:r w:rsidRPr="00C9040A">
              <w:rPr>
                <w:rtl/>
              </w:rPr>
              <w:t xml:space="preserve"> في « ب » : « وفرّق فيها »</w:t>
            </w:r>
            <w:r>
              <w:rPr>
                <w:rtl/>
              </w:rPr>
              <w:t>.</w:t>
            </w:r>
          </w:p>
        </w:tc>
      </w:tr>
    </w:tbl>
    <w:p w:rsidR="008A74EB" w:rsidRPr="00C9040A" w:rsidRDefault="008A74EB" w:rsidP="004A4E41">
      <w:pPr>
        <w:pStyle w:val="libFootnote0"/>
        <w:rPr>
          <w:rtl/>
          <w:lang w:bidi="fa-IR"/>
        </w:rPr>
      </w:pPr>
      <w:r>
        <w:rPr>
          <w:rtl/>
        </w:rPr>
        <w:t>(15)</w:t>
      </w:r>
      <w:r w:rsidRPr="00C9040A">
        <w:rPr>
          <w:rtl/>
        </w:rPr>
        <w:t xml:space="preserve"> في « ز ، ص ، ض ، ف » </w:t>
      </w:r>
      <w:r>
        <w:rPr>
          <w:rtl/>
        </w:rPr>
        <w:t xml:space="preserve">: </w:t>
      </w:r>
      <w:r w:rsidR="0084262C">
        <w:rPr>
          <w:rtl/>
        </w:rPr>
        <w:t>-</w:t>
      </w:r>
      <w:r w:rsidRPr="00C9040A">
        <w:rPr>
          <w:rtl/>
        </w:rPr>
        <w:t xml:space="preserve"> « وهي »</w:t>
      </w:r>
      <w:r>
        <w:rPr>
          <w:rtl/>
        </w:rPr>
        <w:t>.</w:t>
      </w:r>
    </w:p>
    <w:p w:rsidR="008A74EB" w:rsidRPr="00C9040A" w:rsidRDefault="008A74EB" w:rsidP="004A4E41">
      <w:pPr>
        <w:pStyle w:val="libFootnote0"/>
        <w:rPr>
          <w:rtl/>
          <w:lang w:bidi="fa-IR"/>
        </w:rPr>
      </w:pPr>
      <w:r>
        <w:rPr>
          <w:rtl/>
        </w:rPr>
        <w:t>(16)</w:t>
      </w:r>
      <w:r w:rsidRPr="00C9040A">
        <w:rPr>
          <w:rtl/>
        </w:rPr>
        <w:t xml:space="preserve"> في « ز » : « لا يورد »</w:t>
      </w:r>
      <w:r>
        <w:rPr>
          <w:rtl/>
        </w:rPr>
        <w:t>.</w:t>
      </w:r>
      <w:r w:rsidRPr="00C9040A">
        <w:rPr>
          <w:rtl/>
        </w:rPr>
        <w:t xml:space="preserve"> وفي « د » : « لا ترد »</w:t>
      </w:r>
      <w:r>
        <w:rPr>
          <w:rtl/>
        </w:rPr>
        <w:t>.</w:t>
      </w:r>
      <w:r w:rsidRPr="00C9040A">
        <w:rPr>
          <w:rtl/>
        </w:rPr>
        <w:t xml:space="preserve"> وفي </w:t>
      </w:r>
      <w:r w:rsidRPr="00993B55">
        <w:rPr>
          <w:rStyle w:val="libFootnoteBoldChar"/>
          <w:rtl/>
        </w:rPr>
        <w:t>مرآة العقول</w:t>
      </w:r>
      <w:r w:rsidRPr="00C9040A">
        <w:rPr>
          <w:rtl/>
        </w:rPr>
        <w:t xml:space="preserve"> : « وقوله</w:t>
      </w:r>
      <w:r w:rsidR="00FF5CC7">
        <w:rPr>
          <w:rtl/>
        </w:rPr>
        <w:t xml:space="preserve"> : لا تورد ، على بناء المجهول،</w:t>
      </w:r>
      <w:r w:rsidR="00FF5CC7">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ال</w:t>
      </w:r>
      <w:r w:rsidR="00FF5CC7">
        <w:rPr>
          <w:rtl/>
          <w:lang w:bidi="fa-IR"/>
        </w:rPr>
        <w:t>ْجَوَارِحُ وَلَا تَصْدُرُ إِل</w:t>
      </w:r>
      <w:r w:rsidR="00FF5CC7">
        <w:rPr>
          <w:rFonts w:hint="cs"/>
          <w:rtl/>
          <w:lang w:bidi="fa-IR"/>
        </w:rPr>
        <w:t>َّ</w:t>
      </w:r>
      <w:r w:rsidR="00FF5CC7">
        <w:rPr>
          <w:rtl/>
          <w:lang w:bidi="fa-IR"/>
        </w:rPr>
        <w:t>ا</w:t>
      </w:r>
      <w:r w:rsidRPr="00C9040A">
        <w:rPr>
          <w:rtl/>
          <w:lang w:bidi="fa-IR"/>
        </w:rPr>
        <w:t xml:space="preserve"> عَنْ رَأْيِهِ وَأَمْرِهِ ، وَمِنْهَا يَدَاهُ اللَّتَانِ يَبْطِشُ بِهِمَا ، وَرِجْلَاهُ اللَّتَانِ يَمْشِي بِهِمَا ، وَفَرْجُهُ الَّذِي الْبَاهُ مِنْ قِبَلِهِ ، وَلِسَانُهُ الَّذِي يَنْطِقُ بِهِ الْكِتَابُ </w:t>
      </w:r>
      <w:r w:rsidR="006C577F" w:rsidRPr="006C577F">
        <w:rPr>
          <w:rStyle w:val="libFootnotenumChar"/>
          <w:rtl/>
        </w:rPr>
        <w:t>(1)</w:t>
      </w:r>
      <w:r w:rsidRPr="00C9040A">
        <w:rPr>
          <w:rtl/>
          <w:lang w:bidi="fa-IR"/>
        </w:rPr>
        <w:t>، وَيَشْهَدُ بِهِ عَلَيْهَا ، وَعَيْنَاهُ اللَّتَانِ يُبْصِرُ بِهِمَا ، وَأُذُنَاهُ اللَّتَانِ يَسْمَعُ بِهِمَا.</w:t>
      </w:r>
    </w:p>
    <w:p w:rsidR="008A74EB" w:rsidRPr="00C9040A" w:rsidRDefault="008A74EB" w:rsidP="008A74EB">
      <w:pPr>
        <w:pStyle w:val="libNormal"/>
        <w:rPr>
          <w:rtl/>
          <w:lang w:bidi="fa-IR"/>
        </w:rPr>
      </w:pPr>
      <w:r w:rsidRPr="00C9040A">
        <w:rPr>
          <w:rtl/>
          <w:lang w:bidi="fa-IR"/>
        </w:rPr>
        <w:t>وَفَرَضَ عَلَى الْقَلْبِ غَيْرَ مَا فَرَضَ عَلَى اللِّسَانِ ، وَفَرَضَ عَلَى اللِّسَانِ غَيْرَ مَا فَرَضَ عَلَى الْعَيْنَيْنِ ، وَفَرَضَ عَلَى الْعَيْنَيْنِ غَيْرَ مَا فَرَضَ عَلَى السَّمْعِ ، وَفَرَضَ عَلَى السَّمْعِ غَيْرَ مَا فَرَضَ عَلَى الْيَدَيْنِ ، وَفَرَضَ عَلَى الْيَدَيْنِ غَيْرَ مَا فَرَضَ عَلَى الرِّجْلَيْنِ ، وَفَرَضَ عَلَى الرِّجْلَيْنِ غَيْرَ مَا فَرَضَ عَلَى الْفَرْجِ ، وَفَرَضَ عَلَى الْفَرْجِ غَيْرَ مَا فَرَضَ عَلَى الْوَجْهِ.</w:t>
      </w:r>
    </w:p>
    <w:p w:rsidR="008A74EB" w:rsidRPr="00C9040A" w:rsidRDefault="008A74EB" w:rsidP="008A74EB">
      <w:pPr>
        <w:pStyle w:val="libNormal"/>
        <w:rPr>
          <w:rtl/>
          <w:lang w:bidi="fa-IR"/>
        </w:rPr>
      </w:pPr>
      <w:r w:rsidRPr="00C9040A">
        <w:rPr>
          <w:rtl/>
          <w:lang w:bidi="fa-IR"/>
        </w:rPr>
        <w:t xml:space="preserve">فَأَمَّا </w:t>
      </w:r>
      <w:r w:rsidR="006C577F" w:rsidRPr="006C577F">
        <w:rPr>
          <w:rStyle w:val="libFootnotenumChar"/>
          <w:rtl/>
        </w:rPr>
        <w:t>(2)</w:t>
      </w:r>
      <w:r w:rsidRPr="00C9040A">
        <w:rPr>
          <w:rtl/>
          <w:lang w:bidi="fa-IR"/>
        </w:rPr>
        <w:t xml:space="preserve"> مَا فَرَضَ عَلَى الْقَلْبِ مِنَ الْإِيمَانِ ، فَالْإِقْرَارُ وَالْمَعْرِفَةُ وَالتَّصْدِيقُ وَالتَّسْلِيمُ وَالْعَقْدُ وَالرِّضَا بِأَنْ لَا</w:t>
      </w:r>
      <w:r>
        <w:rPr>
          <w:rFonts w:hint="cs"/>
          <w:rtl/>
          <w:lang w:bidi="fa-IR"/>
        </w:rPr>
        <w:t xml:space="preserve"> </w:t>
      </w:r>
      <w:r w:rsidR="00E121F2">
        <w:rPr>
          <w:rtl/>
          <w:lang w:bidi="fa-IR"/>
        </w:rPr>
        <w:t>إِلهَ إِل</w:t>
      </w:r>
      <w:r w:rsidR="00E121F2">
        <w:rPr>
          <w:rFonts w:hint="cs"/>
          <w:rtl/>
          <w:lang w:bidi="fa-IR"/>
        </w:rPr>
        <w:t>َّ</w:t>
      </w:r>
      <w:r w:rsidR="00E121F2">
        <w:rPr>
          <w:rtl/>
          <w:lang w:bidi="fa-IR"/>
        </w:rPr>
        <w:t>ا</w:t>
      </w:r>
      <w:r w:rsidRPr="00C9040A">
        <w:rPr>
          <w:rtl/>
          <w:lang w:bidi="fa-IR"/>
        </w:rPr>
        <w:t xml:space="preserve"> اللهُ وَحْدَهُ لَاشَرِيكَ لَهُ </w:t>
      </w:r>
      <w:r w:rsidR="006C577F" w:rsidRPr="006C577F">
        <w:rPr>
          <w:rStyle w:val="libFootnotenumChar"/>
          <w:rtl/>
        </w:rPr>
        <w:t>(3)</w:t>
      </w:r>
      <w:r w:rsidRPr="00C9040A">
        <w:rPr>
          <w:rtl/>
          <w:lang w:bidi="fa-IR"/>
        </w:rPr>
        <w:t xml:space="preserve"> ، أَحَداً صَمَداً </w:t>
      </w:r>
      <w:r w:rsidR="006C577F" w:rsidRPr="006C577F">
        <w:rPr>
          <w:rStyle w:val="libFootnotenumChar"/>
          <w:rtl/>
        </w:rPr>
        <w:t>(4)</w:t>
      </w:r>
      <w:r w:rsidRPr="00C9040A">
        <w:rPr>
          <w:rtl/>
          <w:lang w:bidi="fa-IR"/>
        </w:rPr>
        <w:t xml:space="preserve"> ، لَمْ يَتَّخِذْ صَاحِبَةً وَلَا وَلَداً ، وَأَنَّ مُحَمَّداً </w:t>
      </w:r>
      <w:r w:rsidR="004A4E41" w:rsidRPr="004A4E41">
        <w:rPr>
          <w:rStyle w:val="libAlaemChar"/>
          <w:rtl/>
        </w:rPr>
        <w:t>صلى‌الله‌عليه‌وآله</w:t>
      </w:r>
      <w:r w:rsidRPr="00C9040A">
        <w:rPr>
          <w:rtl/>
          <w:lang w:bidi="fa-IR"/>
        </w:rPr>
        <w:t xml:space="preserve"> عَبْدُهُ وَرَسُولُهُ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BD575A">
        <w:rPr>
          <w:rtl/>
        </w:rPr>
        <w:t>1528</w:t>
      </w:r>
      <w:r w:rsidRPr="00261CB0">
        <w:rPr>
          <w:rStyle w:val="libBold2Char"/>
          <w:rtl/>
        </w:rPr>
        <w:t xml:space="preserve"> / 8.</w:t>
      </w:r>
      <w:r w:rsidRPr="00C9040A">
        <w:rPr>
          <w:rtl/>
          <w:lang w:bidi="fa-IR"/>
        </w:rPr>
        <w:t xml:space="preserve"> مُحَمَّدُ بْنُ الْحَسَنِ ، عَنْ بَعْضِ أَصْحَابِنَا ، عَنِ الْأَشْعَثِ بْنِ مُحَمَّدٍ ، عَنْ مُحَمَّدِ بْنِ حَفْصِ </w:t>
      </w:r>
      <w:r w:rsidR="006C577F" w:rsidRPr="006C577F">
        <w:rPr>
          <w:rStyle w:val="libFootnotenumChar"/>
          <w:rtl/>
        </w:rPr>
        <w:t>(6)</w:t>
      </w:r>
      <w:r w:rsidRPr="005B567D">
        <w:rPr>
          <w:rStyle w:val="libFootnotenumChar"/>
          <w:rtl/>
        </w:rPr>
        <w:t xml:space="preserve"> </w:t>
      </w:r>
      <w:r w:rsidRPr="00C9040A">
        <w:rPr>
          <w:rtl/>
          <w:lang w:bidi="fa-IR"/>
        </w:rPr>
        <w:t>بْنِ خَارِجَةَ ، قَالَ :</w:t>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w:t>
      </w:r>
      <w:r w:rsidR="006C577F" w:rsidRPr="006C577F">
        <w:rPr>
          <w:rStyle w:val="libFootnotenumChar"/>
          <w:rtl/>
        </w:rPr>
        <w:t>(7)</w:t>
      </w:r>
      <w:r>
        <w:rPr>
          <w:rtl/>
          <w:lang w:bidi="fa-IR"/>
        </w:rPr>
        <w:t xml:space="preserve"> </w:t>
      </w:r>
      <w:r w:rsidR="0084262C">
        <w:rPr>
          <w:rtl/>
          <w:lang w:bidi="fa-IR"/>
        </w:rPr>
        <w:t>-</w:t>
      </w:r>
      <w:r>
        <w:rPr>
          <w:rtl/>
          <w:lang w:bidi="fa-IR"/>
        </w:rPr>
        <w:t xml:space="preserve"> </w:t>
      </w:r>
      <w:r w:rsidRPr="00C9040A">
        <w:rPr>
          <w:rtl/>
          <w:lang w:bidi="fa-IR"/>
        </w:rPr>
        <w:t>وَسَأَلَهُ رَجُلٌ عَنْ قَوْلِ‌</w:t>
      </w:r>
      <w:r w:rsidR="00E121F2">
        <w:rPr>
          <w:rFonts w:hint="cs"/>
          <w:rtl/>
          <w:lang w:bidi="fa-IR"/>
        </w:rPr>
        <w:t>........................</w:t>
      </w:r>
      <w:r w:rsidR="00E121F2">
        <w:rPr>
          <w:rFonts w:hint="cs"/>
          <w:rtl/>
          <w:lang w:bidi="fa-IR"/>
        </w:rPr>
        <w:tab/>
      </w:r>
    </w:p>
    <w:p w:rsidR="008A74EB" w:rsidRPr="00C9040A" w:rsidRDefault="008A74EB" w:rsidP="008A74EB">
      <w:pPr>
        <w:pStyle w:val="libLine"/>
        <w:rPr>
          <w:rtl/>
          <w:lang w:bidi="fa-IR"/>
        </w:rPr>
      </w:pPr>
      <w:r w:rsidRPr="00C9040A">
        <w:rPr>
          <w:rtl/>
          <w:lang w:bidi="fa-IR"/>
        </w:rPr>
        <w:t>__________________</w:t>
      </w:r>
    </w:p>
    <w:p w:rsidR="008A74EB" w:rsidRPr="00C9040A" w:rsidRDefault="00E121F2" w:rsidP="004A4E41">
      <w:pPr>
        <w:pStyle w:val="libFootnote0"/>
        <w:rPr>
          <w:rtl/>
          <w:lang w:bidi="fa-IR"/>
        </w:rPr>
      </w:pPr>
      <w:r>
        <w:rPr>
          <w:rFonts w:hint="cs"/>
          <w:rtl/>
        </w:rPr>
        <w:t>=</w:t>
      </w:r>
      <w:r w:rsidR="008A74EB" w:rsidRPr="00C9040A">
        <w:rPr>
          <w:rtl/>
        </w:rPr>
        <w:t>والأصحّ : لا ترد ، كما في بعض النسخ هنا أيضاً »</w:t>
      </w:r>
      <w:r w:rsidR="008A74EB">
        <w:rPr>
          <w:rtl/>
        </w:rPr>
        <w:t>.</w:t>
      </w:r>
      <w:r w:rsidR="008A74EB" w:rsidRPr="00C9040A">
        <w:rPr>
          <w:rtl/>
        </w:rPr>
        <w:t xml:space="preserve"> وهو الذي مرّ في الحديث الأوّل.</w:t>
      </w:r>
    </w:p>
    <w:p w:rsidR="008A74EB" w:rsidRPr="004A4E41" w:rsidRDefault="006C577F" w:rsidP="004A4E41">
      <w:pPr>
        <w:pStyle w:val="libFootnote0"/>
        <w:rPr>
          <w:rStyle w:val="libFootnote0Char"/>
          <w:rtl/>
        </w:rPr>
      </w:pPr>
      <w:r>
        <w:rPr>
          <w:rtl/>
        </w:rPr>
        <w:t>(1).</w:t>
      </w:r>
      <w:r w:rsidR="008A74EB" w:rsidRPr="00C9040A">
        <w:rPr>
          <w:rtl/>
        </w:rPr>
        <w:t xml:space="preserve"> في </w:t>
      </w:r>
      <w:r w:rsidR="008A74EB" w:rsidRPr="00993B55">
        <w:rPr>
          <w:rStyle w:val="libFootnoteBoldChar"/>
          <w:rtl/>
        </w:rPr>
        <w:t>شرح المازندراني</w:t>
      </w:r>
      <w:r w:rsidR="008A74EB" w:rsidRPr="00C9040A">
        <w:rPr>
          <w:rtl/>
        </w:rPr>
        <w:t xml:space="preserve"> ، ج 8 ، ص 116 : « قراءة الكتاب بضمّ الكاف وشدّ التاء وإرادة الحفظة بعيدة »</w:t>
      </w:r>
      <w:r w:rsidR="008A74EB">
        <w:rPr>
          <w:rtl/>
        </w:rPr>
        <w:t>.</w:t>
      </w:r>
      <w:r w:rsidR="008A74EB" w:rsidRPr="00C9040A">
        <w:rPr>
          <w:rtl/>
        </w:rPr>
        <w:t xml:space="preserve"> وفي </w:t>
      </w:r>
      <w:r w:rsidR="008A74EB" w:rsidRPr="00993B55">
        <w:rPr>
          <w:rStyle w:val="libFootnoteBoldChar"/>
          <w:rtl/>
        </w:rPr>
        <w:t>مرآةالعقول</w:t>
      </w:r>
      <w:r w:rsidR="008A74EB" w:rsidRPr="00C9040A">
        <w:rPr>
          <w:rtl/>
        </w:rPr>
        <w:t xml:space="preserve"> ، ج 7 ، ص 247 : « قوله : ينطق به الكتاب ، يظهر ممّا مرّ أنّه سقط هنا نحو من سطرين من « ينطق به » إلى « ينطق به »</w:t>
      </w:r>
      <w:r w:rsidR="008A74EB">
        <w:rPr>
          <w:rtl/>
        </w:rPr>
        <w:t xml:space="preserve"> </w:t>
      </w:r>
      <w:r w:rsidR="0084262C">
        <w:rPr>
          <w:rtl/>
        </w:rPr>
        <w:t>-</w:t>
      </w:r>
      <w:r w:rsidR="008A74EB">
        <w:rPr>
          <w:rtl/>
        </w:rPr>
        <w:t xml:space="preserve"> </w:t>
      </w:r>
      <w:r w:rsidR="008A74EB" w:rsidRPr="00C9040A">
        <w:rPr>
          <w:rtl/>
        </w:rPr>
        <w:t>أي في ضمن الحديث الأوّل من هذا الباب</w:t>
      </w:r>
      <w:r w:rsidR="008A74EB">
        <w:rPr>
          <w:rtl/>
        </w:rPr>
        <w:t xml:space="preserve"> </w:t>
      </w:r>
      <w:r w:rsidR="0084262C">
        <w:rPr>
          <w:rtl/>
        </w:rPr>
        <w:t>-</w:t>
      </w:r>
      <w:r w:rsidR="008A74EB">
        <w:rPr>
          <w:rtl/>
        </w:rPr>
        <w:t>.</w:t>
      </w:r>
      <w:r w:rsidR="008A74EB" w:rsidRPr="00C9040A">
        <w:rPr>
          <w:rtl/>
        </w:rPr>
        <w:t xml:space="preserve"> ويمكن أن يتكلّف في تصحيح ما في النسخ بأن يقال : من عمل اللسان أنّ ما يكتب في الكتب بصير متلفّظاً به ، فكأنّ الكتاب ينطق بسبب اللسان</w:t>
      </w:r>
      <w:r w:rsidR="008A74EB">
        <w:rPr>
          <w:rtl/>
        </w:rPr>
        <w:t xml:space="preserve"> ..</w:t>
      </w:r>
      <w:r w:rsidR="008A74EB" w:rsidRPr="00C9040A">
        <w:rPr>
          <w:rtl/>
        </w:rPr>
        <w:t>. ويشهد على بناء المفعول »</w:t>
      </w:r>
      <w:r w:rsidR="008A74EB">
        <w:rPr>
          <w:rtl/>
        </w:rPr>
        <w:t>.</w:t>
      </w:r>
      <w:r w:rsidR="00E121F2">
        <w:rPr>
          <w:rFonts w:hint="cs"/>
          <w:rtl/>
        </w:rPr>
        <w:t xml:space="preserve">                            </w:t>
      </w:r>
      <w:r w:rsidR="00B866D3">
        <w:rPr>
          <w:rFonts w:hint="cs"/>
          <w:rtl/>
        </w:rPr>
        <w:t xml:space="preserve">   </w:t>
      </w:r>
      <w:r w:rsidR="00E121F2">
        <w:rPr>
          <w:rFonts w:hint="cs"/>
          <w:rtl/>
        </w:rPr>
        <w:t xml:space="preserve">            </w:t>
      </w:r>
      <w:r>
        <w:rPr>
          <w:rtl/>
        </w:rPr>
        <w:t>(2).</w:t>
      </w:r>
      <w:r w:rsidR="008A74EB">
        <w:rPr>
          <w:rtl/>
        </w:rPr>
        <w:t xml:space="preserve"> </w:t>
      </w:r>
      <w:r w:rsidR="008A74EB" w:rsidRPr="00C9040A">
        <w:rPr>
          <w:rtl/>
        </w:rPr>
        <w:t>في « ص » : « وأمّا »</w:t>
      </w:r>
      <w:r w:rsidR="008A74EB">
        <w:rPr>
          <w:rtl/>
        </w:rPr>
        <w:t>.</w:t>
      </w:r>
    </w:p>
    <w:tbl>
      <w:tblPr>
        <w:tblStyle w:val="TableGrid"/>
        <w:bidiVisual/>
        <w:tblW w:w="0" w:type="auto"/>
        <w:tblLook w:val="04A0" w:firstRow="1" w:lastRow="0" w:firstColumn="1" w:lastColumn="0" w:noHBand="0" w:noVBand="1"/>
      </w:tblPr>
      <w:tblGrid>
        <w:gridCol w:w="4006"/>
        <w:gridCol w:w="4006"/>
      </w:tblGrid>
      <w:tr w:rsidR="00E121F2" w:rsidTr="00E121F2">
        <w:tc>
          <w:tcPr>
            <w:tcW w:w="4006" w:type="dxa"/>
          </w:tcPr>
          <w:p w:rsidR="00E121F2" w:rsidRDefault="00E121F2" w:rsidP="004A4E41">
            <w:pPr>
              <w:pStyle w:val="libFootnote0"/>
              <w:rPr>
                <w:rtl/>
              </w:rPr>
            </w:pPr>
            <w:r>
              <w:rPr>
                <w:rtl/>
              </w:rPr>
              <w:t>(3).</w:t>
            </w:r>
            <w:r w:rsidRPr="00C9040A">
              <w:rPr>
                <w:rtl/>
              </w:rPr>
              <w:t xml:space="preserve"> في « ب ، بس » : + « إلهاً واحداً »</w:t>
            </w:r>
            <w:r>
              <w:rPr>
                <w:rtl/>
              </w:rPr>
              <w:t>.</w:t>
            </w:r>
          </w:p>
        </w:tc>
        <w:tc>
          <w:tcPr>
            <w:tcW w:w="4006" w:type="dxa"/>
          </w:tcPr>
          <w:p w:rsidR="00E121F2" w:rsidRDefault="00E121F2" w:rsidP="004A4E41">
            <w:pPr>
              <w:pStyle w:val="libFootnote0"/>
              <w:rPr>
                <w:rtl/>
              </w:rPr>
            </w:pPr>
            <w:r>
              <w:rPr>
                <w:rtl/>
              </w:rPr>
              <w:t>(4).</w:t>
            </w:r>
            <w:r w:rsidRPr="00C9040A">
              <w:rPr>
                <w:rtl/>
              </w:rPr>
              <w:t xml:space="preserve"> في « ج ، د ، ص ، ف » : « أحد صمد »</w:t>
            </w:r>
            <w:r>
              <w:rPr>
                <w:rtl/>
              </w:rPr>
              <w:t>.</w:t>
            </w:r>
          </w:p>
        </w:tc>
      </w:tr>
    </w:tbl>
    <w:p w:rsidR="008A74EB" w:rsidRPr="00C9040A" w:rsidRDefault="006C577F" w:rsidP="004A4E41">
      <w:pPr>
        <w:pStyle w:val="libFootnote0"/>
        <w:rPr>
          <w:rtl/>
          <w:lang w:bidi="fa-IR"/>
        </w:rPr>
      </w:pPr>
      <w:r>
        <w:rPr>
          <w:rtl/>
        </w:rPr>
        <w:t>(5).</w:t>
      </w:r>
      <w:r w:rsidR="008A74EB" w:rsidRPr="00C9040A">
        <w:rPr>
          <w:rtl/>
        </w:rPr>
        <w:t xml:space="preserve"> هذا الحديث مذكور في صدر الباب مع اختلاف في السند وتغيير يسير في المتن وحذف في الآخر. راجع الحديث الأوّل من هذا الباب ومصادره. </w:t>
      </w:r>
      <w:r w:rsidR="008A74EB" w:rsidRPr="00993B55">
        <w:rPr>
          <w:rStyle w:val="libFootnoteBoldChar"/>
          <w:rtl/>
        </w:rPr>
        <w:t>الوافي</w:t>
      </w:r>
      <w:r w:rsidR="008A74EB" w:rsidRPr="00C9040A">
        <w:rPr>
          <w:rtl/>
        </w:rPr>
        <w:t xml:space="preserve"> ، ج 4 ، ص 120 ، ح 1717.</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ز » : « منصور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w:t>
      </w:r>
      <w:r w:rsidR="008A74EB" w:rsidRPr="00993B55">
        <w:rPr>
          <w:rStyle w:val="libFootnoteBoldChar"/>
          <w:rtl/>
        </w:rPr>
        <w:t>مرآة العقول</w:t>
      </w:r>
      <w:r w:rsidR="008A74EB" w:rsidRPr="00C9040A">
        <w:rPr>
          <w:rtl/>
        </w:rPr>
        <w:t xml:space="preserve"> : « ومفعول « يقول » قوله : سبحان الله ، إلى آخر الكلام. وإعادة « فقال » للتأكيد ؛ لطول الفصل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الْمُرْجِئَةِ </w:t>
      </w:r>
      <w:r w:rsidR="006C577F" w:rsidRPr="006C577F">
        <w:rPr>
          <w:rStyle w:val="libFootnotenumChar"/>
          <w:rtl/>
        </w:rPr>
        <w:t>(1)</w:t>
      </w:r>
      <w:r w:rsidRPr="002712F0">
        <w:rPr>
          <w:rFonts w:hint="cs"/>
          <w:rtl/>
        </w:rPr>
        <w:t xml:space="preserve"> </w:t>
      </w:r>
      <w:r w:rsidRPr="00C9040A">
        <w:rPr>
          <w:rtl/>
          <w:lang w:bidi="fa-IR"/>
        </w:rPr>
        <w:t>فِي الْكُفْرِ وَالْإِيمَانِ ، وَقَالَ : إِنَّهُمْ يَحْتَجُّونَ عَلَيْنَا ، وَيَقُولُونَ : كَمَا أَنَّ الْكَافِرَ عِنْدَنَا هُوَ الْكَافِرُ عِنْدَ اللهِ ، فَكَذلِكَ نَجِدُ الْمُؤْمِنَ إِذَا أَقَرَّ بِإِيمَانِهِ أَنَّهُ عِنْدَ اللهِ مُؤْمِنٌ</w:t>
      </w:r>
      <w:r>
        <w:rPr>
          <w:rtl/>
          <w:lang w:bidi="fa-IR"/>
        </w:rPr>
        <w:t xml:space="preserve"> </w:t>
      </w:r>
      <w:r w:rsidR="0084262C">
        <w:rPr>
          <w:rtl/>
          <w:lang w:bidi="fa-IR"/>
        </w:rPr>
        <w:t>-</w:t>
      </w:r>
      <w:r>
        <w:rPr>
          <w:rtl/>
          <w:lang w:bidi="fa-IR"/>
        </w:rPr>
        <w:t xml:space="preserve"> </w:t>
      </w:r>
      <w:r w:rsidRPr="00C9040A">
        <w:rPr>
          <w:rtl/>
          <w:lang w:bidi="fa-IR"/>
        </w:rPr>
        <w:t>فَقَالَ :</w:t>
      </w:r>
      <w:r>
        <w:rPr>
          <w:rFonts w:hint="cs"/>
          <w:rtl/>
          <w:lang w:bidi="fa-IR"/>
        </w:rPr>
        <w:t xml:space="preserve"> </w:t>
      </w:r>
      <w:r w:rsidRPr="00C9040A">
        <w:rPr>
          <w:rtl/>
          <w:lang w:bidi="fa-IR"/>
        </w:rPr>
        <w:t>« سُبْحَانَ اللهِ</w:t>
      </w:r>
      <w:r>
        <w:rPr>
          <w:rtl/>
          <w:lang w:bidi="fa-IR"/>
        </w:rPr>
        <w:t>!</w:t>
      </w:r>
      <w:r w:rsidRPr="00C9040A">
        <w:rPr>
          <w:rtl/>
          <w:lang w:bidi="fa-IR"/>
        </w:rPr>
        <w:t xml:space="preserve"> وَكَيْفَ </w:t>
      </w:r>
      <w:r w:rsidR="006C577F" w:rsidRPr="006C577F">
        <w:rPr>
          <w:rStyle w:val="libFootnotenumChar"/>
          <w:rtl/>
        </w:rPr>
        <w:t>(2)</w:t>
      </w:r>
      <w:r w:rsidRPr="00C9040A">
        <w:rPr>
          <w:rtl/>
          <w:lang w:bidi="fa-IR"/>
        </w:rPr>
        <w:t xml:space="preserve"> يَسْتَوِي هذَانِ</w:t>
      </w:r>
      <w:r>
        <w:rPr>
          <w:rtl/>
          <w:lang w:bidi="fa-IR"/>
        </w:rPr>
        <w:t>؟!</w:t>
      </w:r>
      <w:r w:rsidRPr="00C9040A">
        <w:rPr>
          <w:rtl/>
          <w:lang w:bidi="fa-IR"/>
        </w:rPr>
        <w:t xml:space="preserve"> وَالْكُفْرُ إِقْرَارٌ مِنَ الْعَبْدِ ، فَلَا يُكَلَّفُ بَعْدَ إِقْرَارِهِ بِبَيِّنَةٍ ، وَالْإِيمَانُ دَعْوًى لَايَجُوزُ </w:t>
      </w:r>
      <w:r w:rsidR="006C577F" w:rsidRPr="006C577F">
        <w:rPr>
          <w:rStyle w:val="libFootnotenumChar"/>
          <w:rtl/>
        </w:rPr>
        <w:t>(3)</w:t>
      </w:r>
      <w:r w:rsidR="00696177">
        <w:rPr>
          <w:rtl/>
          <w:lang w:bidi="fa-IR"/>
        </w:rPr>
        <w:t xml:space="preserve"> إِل</w:t>
      </w:r>
      <w:r w:rsidR="00696177">
        <w:rPr>
          <w:rFonts w:hint="cs"/>
          <w:rtl/>
          <w:lang w:bidi="fa-IR"/>
        </w:rPr>
        <w:t>َّ</w:t>
      </w:r>
      <w:r w:rsidR="00696177">
        <w:rPr>
          <w:rtl/>
          <w:lang w:bidi="fa-IR"/>
        </w:rPr>
        <w:t>ا</w:t>
      </w:r>
      <w:r w:rsidRPr="00C9040A">
        <w:rPr>
          <w:rtl/>
          <w:lang w:bidi="fa-IR"/>
        </w:rPr>
        <w:t xml:space="preserve"> بِبَيِّنَةٍ ، وَبَيِّنَتُهُ عَمَلُهُ وَنِيَّتُهُ ، فَإِذَا اتَّفَقَا فَالْعَبْدُ عِنْدَ اللهِ مُؤْمِنٌ ، وَالْكُفْرُ مَوْجُودٌ بِكُلِّ جِهَةٍ مِنْ هذِهِ الْجِهَاتِ الثَّلَاثِ : مِنْ نِيَّةٍ ، أَوْ قَوْلٍ ، أَوْ عَمَلٍ ، وَالْأَحْكَامُ تَجْرِي عَلَى الْقَوْلِ وَالْعَمَلِ ، فَمَا أَكْثَرَ مَنْ يَشْهَدُ لَهُ الْمُؤْمِنُونَ بِالْإِيمَانِ ، وَيَجْرِي </w:t>
      </w:r>
      <w:r w:rsidR="006C577F" w:rsidRPr="006C577F">
        <w:rPr>
          <w:rStyle w:val="libFootnotenumChar"/>
          <w:rtl/>
        </w:rPr>
        <w:t>(4)</w:t>
      </w:r>
      <w:r w:rsidRPr="00C9040A">
        <w:rPr>
          <w:rtl/>
          <w:lang w:bidi="fa-IR"/>
        </w:rPr>
        <w:t xml:space="preserve"> عَلَيْهِ أَحْكَامُ الْمُؤْمِنِينَ وَهُوَ عِنْدَ اللهِ كَافِرٌ ، وَقَدْ أَصَابَ مَنْ أَجْرى عَلَيْهِ أَحْكَامَ الْمُؤْمِنِينَ بِظَاهِرِ قَوْلِهِ وَعَمَلِهِ </w:t>
      </w:r>
      <w:r w:rsidR="006C577F" w:rsidRPr="006C577F">
        <w:rPr>
          <w:rStyle w:val="libFootnotenumChar"/>
          <w:rtl/>
        </w:rPr>
        <w:t>(5)</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Heading2Center"/>
        <w:rPr>
          <w:rtl/>
          <w:lang w:bidi="fa-IR"/>
        </w:rPr>
      </w:pPr>
      <w:bookmarkStart w:id="67" w:name="_Toc343795610"/>
      <w:bookmarkStart w:id="68" w:name="_Toc459810734"/>
      <w:bookmarkStart w:id="69" w:name="_Toc35348640"/>
      <w:r w:rsidRPr="00C9040A">
        <w:rPr>
          <w:rtl/>
          <w:lang w:bidi="fa-IR"/>
        </w:rPr>
        <w:t>19</w:t>
      </w:r>
      <w:r>
        <w:rPr>
          <w:rtl/>
          <w:lang w:bidi="fa-IR"/>
        </w:rPr>
        <w:t xml:space="preserve"> </w:t>
      </w:r>
      <w:r w:rsidR="0084262C">
        <w:rPr>
          <w:rtl/>
          <w:lang w:bidi="fa-IR"/>
        </w:rPr>
        <w:t>-</w:t>
      </w:r>
      <w:r>
        <w:rPr>
          <w:rtl/>
          <w:lang w:bidi="fa-IR"/>
        </w:rPr>
        <w:t xml:space="preserve"> </w:t>
      </w:r>
      <w:r w:rsidRPr="00C9040A">
        <w:rPr>
          <w:rtl/>
          <w:lang w:bidi="fa-IR"/>
        </w:rPr>
        <w:t>بَابُ السَّبْقِ إِلَى الْإِيمَانِ‌</w:t>
      </w:r>
      <w:bookmarkEnd w:id="67"/>
      <w:bookmarkEnd w:id="68"/>
      <w:bookmarkEnd w:id="69"/>
    </w:p>
    <w:p w:rsidR="008A74EB" w:rsidRPr="00C9040A" w:rsidRDefault="008A74EB" w:rsidP="008A74EB">
      <w:pPr>
        <w:pStyle w:val="libNormal"/>
        <w:rPr>
          <w:rtl/>
          <w:lang w:bidi="fa-IR"/>
        </w:rPr>
      </w:pPr>
      <w:r w:rsidRPr="0084079B">
        <w:rPr>
          <w:rtl/>
        </w:rPr>
        <w:t>1529</w:t>
      </w:r>
      <w:r w:rsidRPr="00261CB0">
        <w:rPr>
          <w:rStyle w:val="libBold2Char"/>
          <w:rtl/>
        </w:rPr>
        <w:t xml:space="preserve"> / 1.</w:t>
      </w:r>
      <w:r w:rsidRPr="00C9040A">
        <w:rPr>
          <w:rtl/>
          <w:lang w:bidi="fa-IR"/>
        </w:rPr>
        <w:t xml:space="preserve"> عَلِيُّ بْنُ إِبْرَاهِيمَ ، عَنْ أَبِيهِ ، عَنْ بَكْرِ بْنِ صَالِحٍ ، عَنِ الْقَاسِمِ بْنِ بُرَيْدٍ ، قَالَ :</w:t>
      </w:r>
      <w:r>
        <w:rPr>
          <w:rFonts w:hint="cs"/>
          <w:rtl/>
          <w:lang w:bidi="fa-IR"/>
        </w:rPr>
        <w:t xml:space="preserve"> </w:t>
      </w:r>
      <w:r w:rsidRPr="00C9040A">
        <w:rPr>
          <w:rtl/>
          <w:lang w:bidi="fa-IR"/>
        </w:rPr>
        <w:t>حَدَّثَنَا أَبُو عَمْرٍو الزُّبَيْرِيُّ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قُلْتُ لَهُ : إِنَّ لِلْإِيمَانِ </w:t>
      </w:r>
      <w:r w:rsidR="006C577F" w:rsidRPr="006C577F">
        <w:rPr>
          <w:rStyle w:val="libFootnotenumChar"/>
          <w:rtl/>
        </w:rPr>
        <w:t>(7)</w:t>
      </w:r>
      <w:r w:rsidRPr="00C9040A">
        <w:rPr>
          <w:rtl/>
          <w:lang w:bidi="fa-IR"/>
        </w:rPr>
        <w:t xml:space="preserve"> دَرَجَاتٍ وَمَنَازِلَ‌</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اختُلف في المرجئة. فقيل : هم فرقة من فرق الإسلام يعتقدون أنّه لا يضرّ مع الإيمان معصية ، كما لا ينفع مع</w:t>
      </w:r>
      <w:r w:rsidR="00696177">
        <w:rPr>
          <w:rFonts w:hint="cs"/>
          <w:rtl/>
        </w:rPr>
        <w:t xml:space="preserve"> </w:t>
      </w:r>
      <w:r w:rsidR="008A74EB" w:rsidRPr="00C9040A">
        <w:rPr>
          <w:rtl/>
        </w:rPr>
        <w:t xml:space="preserve">‌الكفر طاعة. وعن ابن قتيبة أنّه قال : هم الذين يقولون : الإيمان قول بلا عمل. وقال بعض أهل المعرفة بالملل : إنّ المرجئة هم الفرقة الجبريّة الذين يقولون : إنّ العبد لا فعل له. </w:t>
      </w:r>
      <w:r w:rsidR="008A74EB" w:rsidRPr="00993B55">
        <w:rPr>
          <w:rStyle w:val="libFootnoteBoldChar"/>
          <w:rtl/>
        </w:rPr>
        <w:t>مجمع البحرين</w:t>
      </w:r>
      <w:r w:rsidR="008A74EB" w:rsidRPr="00C9040A">
        <w:rPr>
          <w:rtl/>
        </w:rPr>
        <w:t xml:space="preserve"> ، ج 1 ، ص 177 ( رجأ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ص » : « فكيف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د ، بس » والبحار : « لاتجوز »</w:t>
      </w:r>
      <w:r w:rsidR="008A74EB">
        <w:rPr>
          <w:rtl/>
        </w:rPr>
        <w:t>.</w:t>
      </w:r>
      <w:r w:rsidR="008A74EB" w:rsidRPr="00C9040A">
        <w:rPr>
          <w:rtl/>
        </w:rPr>
        <w:t xml:space="preserve"> وفي « ب ، ض ، بف » بالتاء والياء معاً.</w:t>
      </w:r>
    </w:p>
    <w:p w:rsidR="008A74EB" w:rsidRPr="00C9040A" w:rsidRDefault="006C577F" w:rsidP="004A4E41">
      <w:pPr>
        <w:pStyle w:val="libFootnote0"/>
        <w:rPr>
          <w:rtl/>
          <w:lang w:bidi="fa-IR"/>
        </w:rPr>
      </w:pPr>
      <w:r>
        <w:rPr>
          <w:rtl/>
        </w:rPr>
        <w:t>(4).</w:t>
      </w:r>
      <w:r w:rsidR="008A74EB" w:rsidRPr="00C9040A">
        <w:rPr>
          <w:rtl/>
        </w:rPr>
        <w:t xml:space="preserve"> في « د ، ز ، ف » : « وتجري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ز » : + « والحمد لله‌</w:t>
      </w:r>
      <w:r w:rsidR="00696177">
        <w:rPr>
          <w:rFonts w:hint="cs"/>
          <w:rtl/>
        </w:rPr>
        <w:t xml:space="preserve"> </w:t>
      </w:r>
      <w:r w:rsidR="008A74EB" w:rsidRPr="00C9040A">
        <w:rPr>
          <w:rtl/>
        </w:rPr>
        <w:t>وحده ، وصلّى الله على خير خلقه الطيّبين الطاهرين. الل</w:t>
      </w:r>
      <w:r w:rsidR="00696177">
        <w:rPr>
          <w:rFonts w:hint="cs"/>
          <w:rtl/>
        </w:rPr>
        <w:t>ّ</w:t>
      </w:r>
      <w:r w:rsidR="008A74EB" w:rsidRPr="00C9040A">
        <w:rPr>
          <w:rtl/>
        </w:rPr>
        <w:t>همّ تمّم تمامه بالخير والظفر ، والعافية والسلامة ، إنّك على كلّ شي‌ء قدير. ويتلوه الجزء الثالث إن شاء الله تعالى. بس</w:t>
      </w:r>
      <w:r w:rsidR="00696177">
        <w:rPr>
          <w:rtl/>
        </w:rPr>
        <w:t>م الله الرحمن الرحيم وبه نستعين</w:t>
      </w:r>
      <w:r w:rsidR="008A74EB" w:rsidRPr="00C9040A">
        <w:rPr>
          <w:rtl/>
        </w:rPr>
        <w:t>»</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الوافي</w:t>
      </w:r>
      <w:r w:rsidR="008A74EB" w:rsidRPr="00C9040A">
        <w:rPr>
          <w:rtl/>
        </w:rPr>
        <w:t xml:space="preserve"> ، ج 4 ، ص 81 ، ح 1685 ؛ </w:t>
      </w:r>
      <w:r w:rsidR="008A74EB" w:rsidRPr="00993B55">
        <w:rPr>
          <w:rStyle w:val="libFootnoteBoldChar"/>
          <w:rtl/>
        </w:rPr>
        <w:t>البحار</w:t>
      </w:r>
      <w:r w:rsidR="008A74EB" w:rsidRPr="00C9040A">
        <w:rPr>
          <w:rtl/>
        </w:rPr>
        <w:t xml:space="preserve"> ، ج 68 ، ص 297 ، ح 55.</w:t>
      </w:r>
    </w:p>
    <w:p w:rsidR="008A74EB" w:rsidRPr="00C9040A" w:rsidRDefault="006C577F" w:rsidP="004A4E41">
      <w:pPr>
        <w:pStyle w:val="libFootnote0"/>
        <w:rPr>
          <w:rtl/>
          <w:lang w:bidi="fa-IR"/>
        </w:rPr>
      </w:pPr>
      <w:r>
        <w:rPr>
          <w:rtl/>
        </w:rPr>
        <w:t>(7).</w:t>
      </w:r>
      <w:r w:rsidR="008A74EB" w:rsidRPr="00C9040A">
        <w:rPr>
          <w:rtl/>
        </w:rPr>
        <w:t xml:space="preserve"> في « د ، بر » : « الإيمان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يَتَفَاضَلُ </w:t>
      </w:r>
      <w:r w:rsidR="006C577F" w:rsidRPr="006C577F">
        <w:rPr>
          <w:rStyle w:val="libFootnotenumChar"/>
          <w:rtl/>
        </w:rPr>
        <w:t>(1)</w:t>
      </w:r>
      <w:r w:rsidRPr="00853746">
        <w:rPr>
          <w:rFonts w:hint="cs"/>
          <w:rtl/>
        </w:rPr>
        <w:t xml:space="preserve"> </w:t>
      </w:r>
      <w:r w:rsidRPr="00C9040A">
        <w:rPr>
          <w:rtl/>
          <w:lang w:bidi="fa-IR"/>
        </w:rPr>
        <w:t>الْمُؤْمِنُونَ فِيهَا عِنْدَ اللهِ</w:t>
      </w:r>
      <w:r>
        <w:rPr>
          <w:rtl/>
          <w:lang w:bidi="fa-IR"/>
        </w:rPr>
        <w:t>؟</w:t>
      </w:r>
      <w:r w:rsidRPr="00C9040A">
        <w:rPr>
          <w:rtl/>
          <w:lang w:bidi="fa-IR"/>
        </w:rPr>
        <w:t xml:space="preserve"> قَالَ : « نَعَمْ »</w:t>
      </w:r>
      <w:r>
        <w:rPr>
          <w:rtl/>
          <w:lang w:bidi="fa-IR"/>
        </w:rPr>
        <w:t>.</w:t>
      </w:r>
      <w:r w:rsidRPr="00C9040A">
        <w:rPr>
          <w:rtl/>
          <w:lang w:bidi="fa-IR"/>
        </w:rPr>
        <w:t xml:space="preserve"> قُلْتُ : صِفْهُ لِي</w:t>
      </w:r>
      <w:r>
        <w:rPr>
          <w:rtl/>
          <w:lang w:bidi="fa-IR"/>
        </w:rPr>
        <w:t xml:space="preserve"> </w:t>
      </w:r>
      <w:r w:rsidR="0084262C">
        <w:rPr>
          <w:rtl/>
          <w:lang w:bidi="fa-IR"/>
        </w:rPr>
        <w:t>-</w:t>
      </w:r>
      <w:r>
        <w:rPr>
          <w:rtl/>
          <w:lang w:bidi="fa-IR"/>
        </w:rPr>
        <w:t xml:space="preserve"> </w:t>
      </w:r>
      <w:r w:rsidRPr="00C9040A">
        <w:rPr>
          <w:rtl/>
          <w:lang w:bidi="fa-IR"/>
        </w:rPr>
        <w:t>رَحِمَكَ اللهُ</w:t>
      </w:r>
      <w:r>
        <w:rPr>
          <w:rtl/>
          <w:lang w:bidi="fa-IR"/>
        </w:rPr>
        <w:t xml:space="preserve"> </w:t>
      </w:r>
      <w:r w:rsidR="0084262C">
        <w:rPr>
          <w:rtl/>
          <w:lang w:bidi="fa-IR"/>
        </w:rPr>
        <w:t>-</w:t>
      </w:r>
      <w:r>
        <w:rPr>
          <w:rtl/>
          <w:lang w:bidi="fa-IR"/>
        </w:rPr>
        <w:t xml:space="preserve"> </w:t>
      </w:r>
      <w:r w:rsidRPr="00C9040A">
        <w:rPr>
          <w:rtl/>
          <w:lang w:bidi="fa-IR"/>
        </w:rPr>
        <w:t>حَتّى أَفْهَمَهُ.</w:t>
      </w:r>
    </w:p>
    <w:p w:rsidR="008A74EB" w:rsidRPr="00C9040A" w:rsidRDefault="008A74EB" w:rsidP="008A74EB">
      <w:pPr>
        <w:pStyle w:val="libNormal"/>
        <w:rPr>
          <w:rtl/>
          <w:lang w:bidi="fa-IR"/>
        </w:rPr>
      </w:pPr>
      <w:r w:rsidRPr="00C9040A">
        <w:rPr>
          <w:rtl/>
          <w:lang w:bidi="fa-IR"/>
        </w:rPr>
        <w:t xml:space="preserve">قَالَ </w:t>
      </w:r>
      <w:r w:rsidR="006C577F" w:rsidRPr="006C577F">
        <w:rPr>
          <w:rStyle w:val="libFootnotenumChar"/>
          <w:rtl/>
        </w:rPr>
        <w:t>(2)</w:t>
      </w:r>
      <w:r w:rsidRPr="00C9040A">
        <w:rPr>
          <w:rtl/>
          <w:lang w:bidi="fa-IR"/>
        </w:rPr>
        <w:t xml:space="preserve"> : « إِنَّ اللهَ سَبَّقَ بَيْنَ الْمُؤْمِنِينَ كَمَا يُسَبَّقُ بَيْنَ الْخَيْلِ يَوْمَ الرِّهَانِ </w:t>
      </w:r>
      <w:r w:rsidR="006C577F" w:rsidRPr="006C577F">
        <w:rPr>
          <w:rStyle w:val="libFootnotenumChar"/>
          <w:rtl/>
        </w:rPr>
        <w:t>(3)</w:t>
      </w:r>
      <w:r w:rsidRPr="00C9040A">
        <w:rPr>
          <w:rtl/>
          <w:lang w:bidi="fa-IR"/>
        </w:rPr>
        <w:t xml:space="preserve"> ، ثُمَّ فَضَّلَهُمْ عَلى دَرَجَاتِهِمْ فِي السَّبْقِ إِلَيْهِ ، فَجَعَلَ كُلَّ امْرِىً مِنْهُمْ عَلى دَرَجَةِ سَبْقِهِ ، لَايَنْقُصُهُ فِيهَا مِنْ حَقِّهِ ، وَلَا يَتَقَدَّمُ مَسْبُوقٌ سَابِقاً ، وَلَا مَفْضُولٌ فَاضِلاً ، تَفَاضَلَ بِذلِكَ أَوَائِلُ هذِهِ الْأُمَّةِ وَ</w:t>
      </w:r>
      <w:r>
        <w:rPr>
          <w:rFonts w:hint="cs"/>
          <w:rtl/>
          <w:lang w:bidi="fa-IR"/>
        </w:rPr>
        <w:t xml:space="preserve"> </w:t>
      </w:r>
      <w:r w:rsidR="006C577F" w:rsidRPr="006C577F">
        <w:rPr>
          <w:rStyle w:val="libFootnotenumChar"/>
          <w:rtl/>
        </w:rPr>
        <w:t>(4)</w:t>
      </w:r>
      <w:r w:rsidRPr="00C9040A">
        <w:rPr>
          <w:rtl/>
          <w:lang w:bidi="fa-IR"/>
        </w:rPr>
        <w:t xml:space="preserve"> أَوَاخِرُهَا </w:t>
      </w:r>
      <w:r w:rsidR="006C577F" w:rsidRPr="006C577F">
        <w:rPr>
          <w:rStyle w:val="libFootnotenumChar"/>
          <w:rtl/>
        </w:rPr>
        <w:t>(5)</w:t>
      </w:r>
      <w:r w:rsidRPr="00C9040A">
        <w:rPr>
          <w:rtl/>
          <w:lang w:bidi="fa-IR"/>
        </w:rPr>
        <w:t xml:space="preserve"> ، وَلَوْ لَمْ يَكُنْ لِلسَّابِقِ إِلَى الْإِيمَانِ فَضْلٌ عَلَى الْمَسْبُوقِ ، إِذاً </w:t>
      </w:r>
      <w:r w:rsidR="006C577F" w:rsidRPr="006C577F">
        <w:rPr>
          <w:rStyle w:val="libFootnotenumChar"/>
          <w:rtl/>
        </w:rPr>
        <w:t>(6)</w:t>
      </w:r>
      <w:r w:rsidRPr="005B567D">
        <w:rPr>
          <w:rStyle w:val="libFootnotenumChar"/>
          <w:rtl/>
        </w:rPr>
        <w:t xml:space="preserve"> </w:t>
      </w:r>
      <w:r w:rsidRPr="00C9040A">
        <w:rPr>
          <w:rtl/>
          <w:lang w:bidi="fa-IR"/>
        </w:rPr>
        <w:t xml:space="preserve">لَلَحِقَ آخِرُ هذِهِ الْأُمَّةِ أَوَّلَهَا ، نَعَمْ </w:t>
      </w:r>
      <w:r w:rsidR="006C577F" w:rsidRPr="006C577F">
        <w:rPr>
          <w:rStyle w:val="libFootnotenumChar"/>
          <w:rtl/>
        </w:rPr>
        <w:t>(7)</w:t>
      </w:r>
      <w:r w:rsidRPr="00C9040A">
        <w:rPr>
          <w:rtl/>
          <w:lang w:bidi="fa-IR"/>
        </w:rPr>
        <w:t xml:space="preserve"> ، وَلَتَقَدَّمُوهُمْ إِذَا لَمْ يَكُنْ لِمَنْ سَبَقَ إِلَى الْإِيمَانِ الْفَضْلُ عَلى مَنْ أَبْطَأَ عَنْهُ ، وَلكِنْ بِدَرَجَاتِ الْإِيمَانِ قَدَّمَ اللهُ السَّابِقِينَ ، وَبِالْإِبْطَاءِ عَنِ الْإِيمَانِ أَخَّرَ اللهُ الْمُقَصِّرِينَ ؛ لِأَنَّا نَجِدُ مِنَ الْمُؤْمِنِينَ مِنَ الْآخِرِينَ مَنْ هُوَ أَكْثَرُ عَمَلاً مِنَ الْأَوَّلِينَ ، وَأَكْثَرُهُمْ صَلَاةً وَصَوْماً وَحَجّاً وَزَكَاةً وَجِهَاداً </w:t>
      </w:r>
      <w:r w:rsidR="006C577F" w:rsidRPr="006C577F">
        <w:rPr>
          <w:rStyle w:val="libFootnotenumChar"/>
          <w:rtl/>
        </w:rPr>
        <w:t>(8)</w:t>
      </w:r>
      <w:r w:rsidRPr="00C9040A">
        <w:rPr>
          <w:rtl/>
          <w:lang w:bidi="fa-IR"/>
        </w:rPr>
        <w:t xml:space="preserve"> وَإِنْفَاقاً ، وَلَوْ لَمْ يَكُنْ </w:t>
      </w:r>
      <w:r w:rsidR="006C577F" w:rsidRPr="006C577F">
        <w:rPr>
          <w:rStyle w:val="libFootnotenumChar"/>
          <w:rtl/>
        </w:rPr>
        <w:t>(9)</w:t>
      </w:r>
      <w:r w:rsidRPr="00C9040A">
        <w:rPr>
          <w:rtl/>
          <w:lang w:bidi="fa-IR"/>
        </w:rPr>
        <w:t xml:space="preserve"> سَوَابِقُ يَفْضُلُ بِهَا الْمُؤْمِنُونَ بَعْضُهُمْ بَعْضاً عِنْدَ اللهِ ، لَكَانَ الْآخِرُونَ بِكَثْرَةِ الْعَمَلِ مُقَدَّمِينَ </w:t>
      </w:r>
      <w:r w:rsidR="006C577F" w:rsidRPr="006C577F">
        <w:rPr>
          <w:rStyle w:val="libFootnotenumChar"/>
          <w:rtl/>
        </w:rPr>
        <w:t>(10)</w:t>
      </w:r>
      <w:r w:rsidRPr="00C9040A">
        <w:rPr>
          <w:rtl/>
          <w:lang w:bidi="fa-IR"/>
        </w:rPr>
        <w:t xml:space="preserve"> عَلَى الْأَوَّلِينَ ، وَلكِنْ أَبَى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أَنْ يُدْرِكَ آخِرُ دَرَجَاتِ الْإِيمَانِ أَوَّلَهَا ، وَيُقَدَّمَ فِيهَا مَنْ أَخَّرَ اللهُ ، أَوْ </w:t>
      </w:r>
      <w:r w:rsidR="006C577F" w:rsidRPr="006C577F">
        <w:rPr>
          <w:rStyle w:val="libFootnotenumChar"/>
          <w:rtl/>
        </w:rPr>
        <w:t>(11)</w:t>
      </w:r>
      <w:r w:rsidRPr="00C9040A">
        <w:rPr>
          <w:rtl/>
          <w:lang w:bidi="fa-IR"/>
        </w:rPr>
        <w:t xml:space="preserve"> يُؤَخَّرَ فِيهَا مَنْ قَدَّمَ اللهُ </w:t>
      </w:r>
      <w:r w:rsidR="006C577F" w:rsidRPr="006C577F">
        <w:rPr>
          <w:rStyle w:val="libFootnotenumChar"/>
          <w:rtl/>
        </w:rPr>
        <w:t>(12)</w:t>
      </w:r>
      <w:r w:rsidRPr="00C9040A">
        <w:rPr>
          <w:rtl/>
          <w:lang w:bidi="fa-IR"/>
        </w:rPr>
        <w:t xml:space="preserve"> »</w:t>
      </w:r>
      <w:r>
        <w:rPr>
          <w:rtl/>
          <w:lang w:bidi="fa-IR"/>
        </w:rPr>
        <w:t>.</w:t>
      </w:r>
    </w:p>
    <w:p w:rsidR="008A74EB" w:rsidRPr="00C9040A" w:rsidRDefault="008A74EB" w:rsidP="008A74EB">
      <w:pPr>
        <w:pStyle w:val="libNormal"/>
        <w:rPr>
          <w:rtl/>
          <w:lang w:bidi="fa-IR"/>
        </w:rPr>
      </w:pPr>
      <w:r w:rsidRPr="00C9040A">
        <w:rPr>
          <w:rtl/>
          <w:lang w:bidi="fa-IR"/>
        </w:rPr>
        <w:t xml:space="preserve">قُلْتُ : أَخْبِرْنِي عَمَّا نَدَبَ </w:t>
      </w:r>
      <w:r w:rsidRPr="005B567D">
        <w:rPr>
          <w:rStyle w:val="libFootnotenumChar"/>
          <w:rtl/>
        </w:rPr>
        <w:t>(13)</w:t>
      </w:r>
      <w:r w:rsidRPr="00C9040A">
        <w:rPr>
          <w:rtl/>
          <w:lang w:bidi="fa-IR"/>
        </w:rPr>
        <w:t xml:space="preserve">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الْمُؤْمِنِينَ إِلَيْهِ مِنَ الِاسْتِبَاقِ إِلَى الْإِيمَانِ.</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 ز » : « تتفاضل »</w:t>
      </w:r>
      <w:r w:rsidR="008A74EB">
        <w:rPr>
          <w:rtl/>
        </w:rPr>
        <w:t>.</w:t>
      </w:r>
      <w:r w:rsidR="008A74EB" w:rsidRPr="00C9040A">
        <w:rPr>
          <w:rtl/>
        </w:rPr>
        <w:t xml:space="preserve"> وفي البحار ، ج 69 : « ويتفاضل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ص » : « فقال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 الرهن » : معروف. والجمع : رِهان. وراهنت فلاناً على كذا مُراهنةً : خاطَرتُه. والمراهنة والرهان بالكسر : المسابقة على الخيل. </w:t>
      </w:r>
      <w:r w:rsidR="008A74EB" w:rsidRPr="00993B55">
        <w:rPr>
          <w:rStyle w:val="libFootnoteBoldChar"/>
          <w:rtl/>
        </w:rPr>
        <w:t>الصحاح</w:t>
      </w:r>
      <w:r w:rsidR="008A74EB" w:rsidRPr="00C9040A">
        <w:rPr>
          <w:rtl/>
        </w:rPr>
        <w:t xml:space="preserve"> ، ج 5 ، ص 2128 ؛ </w:t>
      </w:r>
      <w:r w:rsidR="008A74EB" w:rsidRPr="00993B55">
        <w:rPr>
          <w:rStyle w:val="libFootnoteBoldChar"/>
          <w:rtl/>
        </w:rPr>
        <w:t>لسان العرب</w:t>
      </w:r>
      <w:r w:rsidR="008A74EB" w:rsidRPr="00C9040A">
        <w:rPr>
          <w:rtl/>
        </w:rPr>
        <w:t xml:space="preserve"> ، ج 13 ، ص 188 ( رهن )</w:t>
      </w:r>
      <w:r w:rsidR="008A74EB">
        <w:rPr>
          <w:rtl/>
        </w:rPr>
        <w:t>.</w:t>
      </w:r>
    </w:p>
    <w:p w:rsidR="008A74EB" w:rsidRPr="004A4E41" w:rsidRDefault="006C577F" w:rsidP="004A4E41">
      <w:pPr>
        <w:pStyle w:val="libFootnote0"/>
        <w:rPr>
          <w:rStyle w:val="libFootnote0Char"/>
          <w:rtl/>
        </w:rPr>
      </w:pPr>
      <w:r>
        <w:rPr>
          <w:rtl/>
        </w:rPr>
        <w:t>(4).</w:t>
      </w:r>
      <w:r w:rsidR="008A74EB" w:rsidRPr="00C9040A">
        <w:rPr>
          <w:rtl/>
        </w:rPr>
        <w:t xml:space="preserve"> في « ز ، ض ، بف » ومرآة العقول والبحار ، ج 22 </w:t>
      </w:r>
      <w:r w:rsidR="008A74EB">
        <w:rPr>
          <w:rtl/>
        </w:rPr>
        <w:t xml:space="preserve">: </w:t>
      </w:r>
      <w:r w:rsidR="0084262C">
        <w:rPr>
          <w:rtl/>
        </w:rPr>
        <w:t>-</w:t>
      </w:r>
      <w:r w:rsidR="008A74EB" w:rsidRPr="00C9040A">
        <w:rPr>
          <w:rtl/>
        </w:rPr>
        <w:t xml:space="preserve"> « و</w:t>
      </w:r>
      <w:r w:rsidR="008A74EB">
        <w:rPr>
          <w:rFonts w:hint="cs"/>
          <w:rtl/>
        </w:rPr>
        <w:t xml:space="preserve"> </w:t>
      </w:r>
      <w:r w:rsidR="008A74EB" w:rsidRPr="00C9040A">
        <w:rPr>
          <w:rtl/>
        </w:rPr>
        <w:t>»</w:t>
      </w:r>
      <w:r w:rsidR="008A74EB">
        <w:rPr>
          <w:rtl/>
        </w:rPr>
        <w:t>.</w:t>
      </w:r>
    </w:p>
    <w:tbl>
      <w:tblPr>
        <w:tblStyle w:val="TableGrid"/>
        <w:bidiVisual/>
        <w:tblW w:w="0" w:type="auto"/>
        <w:tblLook w:val="04A0" w:firstRow="1" w:lastRow="0" w:firstColumn="1" w:lastColumn="0" w:noHBand="0" w:noVBand="1"/>
      </w:tblPr>
      <w:tblGrid>
        <w:gridCol w:w="4006"/>
        <w:gridCol w:w="4006"/>
      </w:tblGrid>
      <w:tr w:rsidR="00E40CD0" w:rsidTr="00E40CD0">
        <w:tc>
          <w:tcPr>
            <w:tcW w:w="4006" w:type="dxa"/>
          </w:tcPr>
          <w:p w:rsidR="00E40CD0" w:rsidRDefault="00E40CD0" w:rsidP="004A4E41">
            <w:pPr>
              <w:pStyle w:val="libFootnote0"/>
              <w:rPr>
                <w:rtl/>
              </w:rPr>
            </w:pPr>
            <w:r>
              <w:rPr>
                <w:rtl/>
              </w:rPr>
              <w:t>(5).</w:t>
            </w:r>
            <w:r w:rsidRPr="00C9040A">
              <w:rPr>
                <w:rtl/>
              </w:rPr>
              <w:t xml:space="preserve"> في حاشية « د » : « آخرها »</w:t>
            </w:r>
            <w:r>
              <w:rPr>
                <w:rtl/>
              </w:rPr>
              <w:t>.</w:t>
            </w:r>
          </w:p>
        </w:tc>
        <w:tc>
          <w:tcPr>
            <w:tcW w:w="4006" w:type="dxa"/>
          </w:tcPr>
          <w:p w:rsidR="00E40CD0" w:rsidRDefault="00E40CD0" w:rsidP="004A4E41">
            <w:pPr>
              <w:pStyle w:val="libFootnote0"/>
              <w:rPr>
                <w:rtl/>
              </w:rPr>
            </w:pPr>
            <w:r>
              <w:rPr>
                <w:rtl/>
              </w:rPr>
              <w:t xml:space="preserve">(6). </w:t>
            </w:r>
            <w:r w:rsidRPr="00C9040A">
              <w:rPr>
                <w:rtl/>
              </w:rPr>
              <w:t>في « ص » : « وإذاً »</w:t>
            </w:r>
            <w:r>
              <w:rPr>
                <w:rtl/>
              </w:rPr>
              <w:t>.</w:t>
            </w:r>
          </w:p>
        </w:tc>
      </w:tr>
      <w:tr w:rsidR="00E40CD0" w:rsidTr="00E40CD0">
        <w:tc>
          <w:tcPr>
            <w:tcW w:w="4006" w:type="dxa"/>
          </w:tcPr>
          <w:p w:rsidR="00E40CD0" w:rsidRDefault="00E40CD0" w:rsidP="004A4E41">
            <w:pPr>
              <w:pStyle w:val="libFootnote0"/>
              <w:rPr>
                <w:rtl/>
              </w:rPr>
            </w:pPr>
            <w:r>
              <w:rPr>
                <w:rtl/>
              </w:rPr>
              <w:t>(7).</w:t>
            </w:r>
            <w:r w:rsidRPr="00C9040A">
              <w:rPr>
                <w:rtl/>
              </w:rPr>
              <w:t xml:space="preserve"> في « ف » </w:t>
            </w:r>
            <w:r>
              <w:rPr>
                <w:rtl/>
              </w:rPr>
              <w:t>: -</w:t>
            </w:r>
            <w:r w:rsidRPr="00C9040A">
              <w:rPr>
                <w:rtl/>
              </w:rPr>
              <w:t xml:space="preserve"> « نعم »</w:t>
            </w:r>
            <w:r>
              <w:rPr>
                <w:rtl/>
              </w:rPr>
              <w:t>.</w:t>
            </w:r>
          </w:p>
        </w:tc>
        <w:tc>
          <w:tcPr>
            <w:tcW w:w="4006" w:type="dxa"/>
          </w:tcPr>
          <w:p w:rsidR="00E40CD0" w:rsidRDefault="00E40CD0" w:rsidP="004A4E41">
            <w:pPr>
              <w:pStyle w:val="libFootnote0"/>
              <w:rPr>
                <w:rtl/>
              </w:rPr>
            </w:pPr>
            <w:r>
              <w:rPr>
                <w:rtl/>
              </w:rPr>
              <w:t>(8).</w:t>
            </w:r>
            <w:r w:rsidRPr="00C9040A">
              <w:rPr>
                <w:rtl/>
              </w:rPr>
              <w:t xml:space="preserve"> في « ف » : « وجهاداً وزكاة وحجّاً »</w:t>
            </w:r>
            <w:r>
              <w:rPr>
                <w:rtl/>
              </w:rPr>
              <w:t>.</w:t>
            </w:r>
          </w:p>
        </w:tc>
      </w:tr>
      <w:tr w:rsidR="00E40CD0" w:rsidTr="00E40CD0">
        <w:tc>
          <w:tcPr>
            <w:tcW w:w="4006" w:type="dxa"/>
          </w:tcPr>
          <w:p w:rsidR="00E40CD0" w:rsidRDefault="00E40CD0" w:rsidP="004A4E41">
            <w:pPr>
              <w:pStyle w:val="libFootnote0"/>
              <w:rPr>
                <w:rtl/>
              </w:rPr>
            </w:pPr>
            <w:r>
              <w:rPr>
                <w:rtl/>
              </w:rPr>
              <w:t>(9).</w:t>
            </w:r>
            <w:r w:rsidRPr="00C9040A">
              <w:rPr>
                <w:rtl/>
              </w:rPr>
              <w:t xml:space="preserve"> في الوافي : « لم تكن »</w:t>
            </w:r>
            <w:r>
              <w:rPr>
                <w:rtl/>
              </w:rPr>
              <w:t>.</w:t>
            </w:r>
          </w:p>
        </w:tc>
        <w:tc>
          <w:tcPr>
            <w:tcW w:w="4006" w:type="dxa"/>
          </w:tcPr>
          <w:p w:rsidR="00E40CD0" w:rsidRDefault="00E40CD0" w:rsidP="004A4E41">
            <w:pPr>
              <w:pStyle w:val="libFootnote0"/>
              <w:rPr>
                <w:rtl/>
              </w:rPr>
            </w:pPr>
            <w:r>
              <w:rPr>
                <w:rtl/>
              </w:rPr>
              <w:t>(10).</w:t>
            </w:r>
            <w:r w:rsidRPr="00C9040A">
              <w:rPr>
                <w:rtl/>
              </w:rPr>
              <w:t xml:space="preserve"> في حاشية « بر » : « متقدّمين »</w:t>
            </w:r>
            <w:r>
              <w:rPr>
                <w:rtl/>
              </w:rPr>
              <w:t>.</w:t>
            </w:r>
          </w:p>
        </w:tc>
      </w:tr>
      <w:tr w:rsidR="00E40CD0" w:rsidTr="00E40CD0">
        <w:tc>
          <w:tcPr>
            <w:tcW w:w="4006" w:type="dxa"/>
          </w:tcPr>
          <w:p w:rsidR="00E40CD0" w:rsidRDefault="00E40CD0" w:rsidP="004A4E41">
            <w:pPr>
              <w:pStyle w:val="libFootnote0"/>
              <w:rPr>
                <w:rtl/>
              </w:rPr>
            </w:pPr>
            <w:r>
              <w:rPr>
                <w:rtl/>
              </w:rPr>
              <w:t>(11).</w:t>
            </w:r>
            <w:r w:rsidRPr="00C9040A">
              <w:rPr>
                <w:rtl/>
              </w:rPr>
              <w:t xml:space="preserve"> في « ف » : « و</w:t>
            </w:r>
            <w:r>
              <w:rPr>
                <w:rFonts w:hint="cs"/>
                <w:rtl/>
              </w:rPr>
              <w:t xml:space="preserve"> </w:t>
            </w:r>
            <w:r w:rsidRPr="00C9040A">
              <w:rPr>
                <w:rtl/>
              </w:rPr>
              <w:t>»</w:t>
            </w:r>
            <w:r>
              <w:rPr>
                <w:rtl/>
              </w:rPr>
              <w:t>.</w:t>
            </w:r>
          </w:p>
        </w:tc>
        <w:tc>
          <w:tcPr>
            <w:tcW w:w="4006" w:type="dxa"/>
          </w:tcPr>
          <w:p w:rsidR="00E40CD0" w:rsidRDefault="00E40CD0" w:rsidP="004A4E41">
            <w:pPr>
              <w:pStyle w:val="libFootnote0"/>
              <w:rPr>
                <w:rtl/>
              </w:rPr>
            </w:pPr>
            <w:r>
              <w:rPr>
                <w:rtl/>
              </w:rPr>
              <w:t>(12).</w:t>
            </w:r>
            <w:r w:rsidRPr="00C9040A">
              <w:rPr>
                <w:rtl/>
              </w:rPr>
              <w:t xml:space="preserve"> في حاشية « ز » : + « فيها »</w:t>
            </w:r>
            <w:r>
              <w:rPr>
                <w:rtl/>
              </w:rPr>
              <w:t>.</w:t>
            </w:r>
          </w:p>
        </w:tc>
      </w:tr>
    </w:tbl>
    <w:p w:rsidR="008A74EB" w:rsidRPr="00C9040A" w:rsidRDefault="008A74EB" w:rsidP="004A4E41">
      <w:pPr>
        <w:pStyle w:val="libFootnote0"/>
        <w:rPr>
          <w:rtl/>
          <w:lang w:bidi="fa-IR"/>
        </w:rPr>
      </w:pPr>
      <w:r>
        <w:rPr>
          <w:rtl/>
        </w:rPr>
        <w:t>(13)</w:t>
      </w:r>
      <w:r w:rsidRPr="00C9040A">
        <w:rPr>
          <w:rtl/>
        </w:rPr>
        <w:t xml:space="preserve"> « ندب إليه » ، أي دعا إليه. يقال : ندبتُه فانتَدَب ، أي بعثتُه ودعوتُه فأجاب. </w:t>
      </w:r>
      <w:r w:rsidRPr="00993B55">
        <w:rPr>
          <w:rStyle w:val="libFootnoteBoldChar"/>
          <w:rtl/>
        </w:rPr>
        <w:t>النهاية</w:t>
      </w:r>
      <w:r w:rsidR="00E40CD0">
        <w:rPr>
          <w:rtl/>
        </w:rPr>
        <w:t xml:space="preserve"> ، ج 5 ، ص 34 (</w:t>
      </w:r>
      <w:r w:rsidRPr="00C9040A">
        <w:rPr>
          <w:rtl/>
        </w:rPr>
        <w:t>ندب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lastRenderedPageBreak/>
        <w:t xml:space="preserve">فَقَالَ : « قَوْلُ اللهِ عَزَّ وَجَلَّ : </w:t>
      </w:r>
      <w:r w:rsidRPr="0003660B">
        <w:rPr>
          <w:rStyle w:val="libAlaemChar"/>
          <w:rtl/>
        </w:rPr>
        <w:t>(</w:t>
      </w:r>
      <w:r w:rsidRPr="006A2246">
        <w:rPr>
          <w:rStyle w:val="libAieChar"/>
          <w:rtl/>
        </w:rPr>
        <w:t xml:space="preserve"> سابِقُوا إِلى مَغْفِرَةٍ مِنْ رَبِّكُمْ وَجَنَّةٍ عَرْضُها كَعَرْضِ السَّماءِ وَالْأَرْضِ أُعِدَّتْ لِلَّذِينَ آمَنُوا بِاللهِ وَرُسُلِهِ </w:t>
      </w:r>
      <w:r w:rsidRPr="0003660B">
        <w:rPr>
          <w:rStyle w:val="libAlaemChar"/>
          <w:rtl/>
        </w:rPr>
        <w:t>)</w:t>
      </w:r>
      <w:r w:rsidRPr="00C9040A">
        <w:rPr>
          <w:rtl/>
          <w:lang w:bidi="fa-IR"/>
        </w:rPr>
        <w:t xml:space="preserve"> </w:t>
      </w:r>
      <w:r w:rsidR="006C577F" w:rsidRPr="006C577F">
        <w:rPr>
          <w:rStyle w:val="libFootnotenumChar"/>
          <w:rtl/>
        </w:rPr>
        <w:t>(1)</w:t>
      </w:r>
      <w:r w:rsidRPr="009E51F8">
        <w:rPr>
          <w:rFonts w:hint="cs"/>
          <w:rtl/>
        </w:rPr>
        <w:t xml:space="preserve"> </w:t>
      </w:r>
      <w:r w:rsidRPr="00C9040A">
        <w:rPr>
          <w:rtl/>
          <w:lang w:bidi="fa-IR"/>
        </w:rPr>
        <w:t>وَ</w:t>
      </w:r>
      <w:r>
        <w:rPr>
          <w:rFonts w:hint="cs"/>
          <w:rtl/>
          <w:lang w:bidi="fa-IR"/>
        </w:rPr>
        <w:t xml:space="preserve"> </w:t>
      </w:r>
      <w:r w:rsidR="006C577F" w:rsidRPr="006C577F">
        <w:rPr>
          <w:rStyle w:val="libFootnotenumChar"/>
          <w:rtl/>
        </w:rPr>
        <w:t>(2)</w:t>
      </w:r>
      <w:r w:rsidRPr="00C9040A">
        <w:rPr>
          <w:rtl/>
          <w:lang w:bidi="fa-IR"/>
        </w:rPr>
        <w:t xml:space="preserve"> قَالَ : </w:t>
      </w:r>
      <w:r w:rsidRPr="0003660B">
        <w:rPr>
          <w:rStyle w:val="libAlaemChar"/>
          <w:rtl/>
        </w:rPr>
        <w:t>(</w:t>
      </w:r>
      <w:r w:rsidRPr="006A2246">
        <w:rPr>
          <w:rStyle w:val="libAieChar"/>
          <w:rtl/>
        </w:rPr>
        <w:t xml:space="preserve"> وَالسّابِقُونَ السّابِقُونَ </w:t>
      </w:r>
      <w:r w:rsidR="00CE26EA">
        <w:rPr>
          <w:rStyle w:val="libAieChar"/>
          <w:rFonts w:hint="cs"/>
          <w:rtl/>
        </w:rPr>
        <w:t xml:space="preserve">* </w:t>
      </w:r>
      <w:r w:rsidRPr="006A2246">
        <w:rPr>
          <w:rStyle w:val="libAieChar"/>
          <w:rtl/>
        </w:rPr>
        <w:t xml:space="preserve">أُولئِكَ الْمُقَرَّبُونَ </w:t>
      </w:r>
      <w:r w:rsidRPr="0003660B">
        <w:rPr>
          <w:rStyle w:val="libAlaemChar"/>
          <w:rtl/>
        </w:rPr>
        <w:t>)</w:t>
      </w:r>
      <w:r w:rsidRPr="00C9040A">
        <w:rPr>
          <w:rtl/>
          <w:lang w:bidi="fa-IR"/>
        </w:rPr>
        <w:t xml:space="preserve"> </w:t>
      </w:r>
      <w:r w:rsidR="006C577F" w:rsidRPr="006C577F">
        <w:rPr>
          <w:rStyle w:val="libFootnotenumChar"/>
          <w:rtl/>
        </w:rPr>
        <w:t>(3)</w:t>
      </w:r>
      <w:r w:rsidRPr="00C9040A">
        <w:rPr>
          <w:rtl/>
          <w:lang w:bidi="fa-IR"/>
        </w:rPr>
        <w:t xml:space="preserve"> وَ</w:t>
      </w:r>
      <w:r>
        <w:rPr>
          <w:rFonts w:hint="cs"/>
          <w:rtl/>
          <w:lang w:bidi="fa-IR"/>
        </w:rPr>
        <w:t xml:space="preserve"> </w:t>
      </w:r>
      <w:r w:rsidR="006C577F" w:rsidRPr="006C577F">
        <w:rPr>
          <w:rStyle w:val="libFootnotenumChar"/>
          <w:rtl/>
        </w:rPr>
        <w:t>(4)</w:t>
      </w:r>
      <w:r w:rsidRPr="00C9040A">
        <w:rPr>
          <w:rtl/>
          <w:lang w:bidi="fa-IR"/>
        </w:rPr>
        <w:t xml:space="preserve"> قَالَ : </w:t>
      </w:r>
      <w:r w:rsidRPr="0003660B">
        <w:rPr>
          <w:rStyle w:val="libAlaemChar"/>
          <w:rtl/>
        </w:rPr>
        <w:t>(</w:t>
      </w:r>
      <w:r w:rsidR="00CE26EA">
        <w:rPr>
          <w:rStyle w:val="libAieChar"/>
          <w:rtl/>
        </w:rPr>
        <w:t xml:space="preserve"> وَالسّابِقُونَ الْأَوَّلُونَ</w:t>
      </w:r>
      <w:r w:rsidR="00CE26EA">
        <w:rPr>
          <w:rStyle w:val="libAieChar"/>
          <w:rFonts w:hint="cs"/>
          <w:rtl/>
        </w:rPr>
        <w:t xml:space="preserve"> </w:t>
      </w:r>
      <w:r w:rsidRPr="006A2246">
        <w:rPr>
          <w:rStyle w:val="libAieChar"/>
          <w:rtl/>
        </w:rPr>
        <w:t xml:space="preserve">مِنَ الْمُهاجِرِينَ وَالْأَنْصارِ وَالَّذِينَ اتَّبَعُوهُمْ بِإِحْسانٍ رَضِيَ اللهُ عَنْهُمْ وَرَضُوا عَنْهُ </w:t>
      </w:r>
      <w:r w:rsidRPr="0003660B">
        <w:rPr>
          <w:rStyle w:val="libAlaemChar"/>
          <w:rtl/>
        </w:rPr>
        <w:t>)</w:t>
      </w:r>
      <w:r w:rsidRPr="00C9040A">
        <w:rPr>
          <w:rtl/>
          <w:lang w:bidi="fa-IR"/>
        </w:rPr>
        <w:t xml:space="preserve"> </w:t>
      </w:r>
      <w:r w:rsidR="006C577F" w:rsidRPr="006C577F">
        <w:rPr>
          <w:rStyle w:val="libFootnotenumChar"/>
          <w:rtl/>
        </w:rPr>
        <w:t>(5)</w:t>
      </w:r>
      <w:r w:rsidRPr="00C9040A">
        <w:rPr>
          <w:rtl/>
          <w:lang w:bidi="fa-IR"/>
        </w:rPr>
        <w:t xml:space="preserve"> فَبَدَأَ </w:t>
      </w:r>
      <w:r w:rsidR="006C577F" w:rsidRPr="006C577F">
        <w:rPr>
          <w:rStyle w:val="libFootnotenumChar"/>
          <w:rtl/>
        </w:rPr>
        <w:t>(6)</w:t>
      </w:r>
      <w:r w:rsidRPr="005B567D">
        <w:rPr>
          <w:rStyle w:val="libFootnotenumChar"/>
          <w:rtl/>
        </w:rPr>
        <w:t xml:space="preserve"> </w:t>
      </w:r>
      <w:r w:rsidRPr="00C9040A">
        <w:rPr>
          <w:rtl/>
          <w:lang w:bidi="fa-IR"/>
        </w:rPr>
        <w:t>بِالْمُهَاجِرِينَ الْأَوَّلِينَ عَلى دَرَجَةِ سَبْقِهِمْ ، ثُمَّ ثَنّى بِالْأَنْصَارِ ، ثُمَّ ثَلَّثَ بِالتَّابِعِينَ لَهُمْ بِإِحْسَانٍ ، فَوَضَعَ كُلَّ قَوْمٍ عَلى قَدْرِ دَرَجَاتِهِمْ وَمَنَازِلِهِمْ عِنْدَهُ.</w:t>
      </w:r>
    </w:p>
    <w:p w:rsidR="008A74EB" w:rsidRPr="00C9040A" w:rsidRDefault="008A74EB" w:rsidP="00DB2421">
      <w:pPr>
        <w:pStyle w:val="libNormal"/>
        <w:rPr>
          <w:rtl/>
        </w:rPr>
      </w:pPr>
      <w:r w:rsidRPr="00C9040A">
        <w:rPr>
          <w:rtl/>
          <w:lang w:bidi="fa-IR"/>
        </w:rPr>
        <w:t>ثُمَّ ذَكَرَ مَا فَضَّلَ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بِهِ أَوْلِيَاءَهُ بَعْضَهُمْ عَلى بَعْضٍ ، فَقَالَ </w:t>
      </w:r>
      <w:r w:rsidR="006C577F" w:rsidRPr="006C577F">
        <w:rPr>
          <w:rStyle w:val="libFootnotenumChar"/>
          <w:rtl/>
        </w:rPr>
        <w:t>(7)</w:t>
      </w:r>
      <w:r w:rsidRPr="00C9040A">
        <w:rPr>
          <w:rtl/>
          <w:lang w:bidi="fa-IR"/>
        </w:rPr>
        <w:t xml:space="preserve"> عَزَّ وَجَلَّ :</w:t>
      </w:r>
      <w:r>
        <w:rPr>
          <w:rFonts w:hint="cs"/>
          <w:rtl/>
          <w:lang w:bidi="fa-IR"/>
        </w:rPr>
        <w:t xml:space="preserve"> </w:t>
      </w:r>
      <w:r w:rsidRPr="0003660B">
        <w:rPr>
          <w:rStyle w:val="libAlaemChar"/>
          <w:rtl/>
        </w:rPr>
        <w:t>(</w:t>
      </w:r>
      <w:r w:rsidRPr="006A2246">
        <w:rPr>
          <w:rStyle w:val="libAieChar"/>
          <w:rtl/>
        </w:rPr>
        <w:t xml:space="preserve">تِلْكَ الرُّسُلُ فَضَّلْنا بَعْضَهُمْ عَلى بَعْضٍ مِنْهُمْ مَنْ كَلَّمَ اللهُ وَرَفَعَ بَعْضَهُمْ </w:t>
      </w:r>
      <w:r w:rsidRPr="00C9040A">
        <w:rPr>
          <w:rtl/>
          <w:lang w:bidi="fa-IR"/>
        </w:rPr>
        <w:t xml:space="preserve">( فوق بعض </w:t>
      </w:r>
      <w:r w:rsidR="006C577F" w:rsidRPr="006C577F">
        <w:rPr>
          <w:rStyle w:val="libFootnotenumChar"/>
          <w:rtl/>
        </w:rPr>
        <w:t>(8)</w:t>
      </w:r>
      <w:r w:rsidRPr="00C9040A">
        <w:rPr>
          <w:rtl/>
          <w:lang w:bidi="fa-IR"/>
        </w:rPr>
        <w:t xml:space="preserve"> ) </w:t>
      </w:r>
      <w:r w:rsidRPr="006A2246">
        <w:rPr>
          <w:rStyle w:val="libAieChar"/>
          <w:rtl/>
        </w:rPr>
        <w:t xml:space="preserve">دَرَجاتٍ </w:t>
      </w:r>
      <w:r w:rsidRPr="0003660B">
        <w:rPr>
          <w:rStyle w:val="libAlaemChar"/>
          <w:rtl/>
        </w:rPr>
        <w:t>)</w:t>
      </w:r>
      <w:r w:rsidRPr="00C9040A">
        <w:rPr>
          <w:rtl/>
          <w:lang w:bidi="fa-IR"/>
        </w:rPr>
        <w:t xml:space="preserve"> </w:t>
      </w:r>
      <w:r w:rsidR="006C577F" w:rsidRPr="006C577F">
        <w:rPr>
          <w:rStyle w:val="libFootnotenumChar"/>
          <w:rtl/>
        </w:rPr>
        <w:t>(9)</w:t>
      </w:r>
      <w:r w:rsidRPr="00C9040A">
        <w:rPr>
          <w:rtl/>
          <w:lang w:bidi="fa-IR"/>
        </w:rPr>
        <w:t xml:space="preserve"> إِلى آخِرِ الْآيَةِ. وَقَالَ : </w:t>
      </w:r>
      <w:r w:rsidRPr="0003660B">
        <w:rPr>
          <w:rStyle w:val="libAlaemChar"/>
          <w:rtl/>
        </w:rPr>
        <w:t>(</w:t>
      </w:r>
      <w:r w:rsidRPr="006A2246">
        <w:rPr>
          <w:rStyle w:val="libAieChar"/>
          <w:rtl/>
        </w:rPr>
        <w:t xml:space="preserve"> وَلَقَدْ فَضَّلْنا بَعْضَ النَّبِيِّينَ عَلى بَعْضٍ </w:t>
      </w:r>
      <w:r w:rsidRPr="0003660B">
        <w:rPr>
          <w:rStyle w:val="libAlaemChar"/>
          <w:rtl/>
        </w:rPr>
        <w:t>)</w:t>
      </w:r>
      <w:r w:rsidRPr="00C9040A">
        <w:rPr>
          <w:rtl/>
          <w:lang w:bidi="fa-IR"/>
        </w:rPr>
        <w:t xml:space="preserve"> </w:t>
      </w:r>
      <w:r w:rsidR="006C577F" w:rsidRPr="006C577F">
        <w:rPr>
          <w:rStyle w:val="libFootnotenumChar"/>
          <w:rtl/>
        </w:rPr>
        <w:t>(10)</w:t>
      </w:r>
      <w:r w:rsidRPr="00C9040A">
        <w:rPr>
          <w:rtl/>
          <w:lang w:bidi="fa-IR"/>
        </w:rPr>
        <w:t xml:space="preserve"> وَقَالَ : </w:t>
      </w:r>
      <w:r w:rsidRPr="0003660B">
        <w:rPr>
          <w:rStyle w:val="libAlaemChar"/>
          <w:rtl/>
        </w:rPr>
        <w:t>(</w:t>
      </w:r>
      <w:r w:rsidRPr="006A2246">
        <w:rPr>
          <w:rStyle w:val="libAieChar"/>
          <w:rtl/>
        </w:rPr>
        <w:t xml:space="preserve">انْظُرْ كَيْفَ فَضَّلْنا بَعْضَهُمْ عَلى بَعْضٍ وَلَلْآخِرَةُ أَكْبَرُ دَرَجاتٍ وَأَكْبَرُ تَفْضِيلاً </w:t>
      </w:r>
      <w:r w:rsidRPr="0003660B">
        <w:rPr>
          <w:rStyle w:val="libAlaemChar"/>
          <w:rtl/>
        </w:rPr>
        <w:t>)</w:t>
      </w:r>
      <w:r w:rsidRPr="00C9040A">
        <w:rPr>
          <w:rtl/>
          <w:lang w:bidi="fa-IR"/>
        </w:rPr>
        <w:t xml:space="preserve"> </w:t>
      </w:r>
      <w:r w:rsidR="006C577F" w:rsidRPr="006C577F">
        <w:rPr>
          <w:rStyle w:val="libFootnotenumChar"/>
          <w:rtl/>
        </w:rPr>
        <w:t>(11)</w:t>
      </w:r>
      <w:r w:rsidRPr="00C9040A">
        <w:rPr>
          <w:rtl/>
          <w:lang w:bidi="fa-IR"/>
        </w:rPr>
        <w:t xml:space="preserve"> وَقَالَ : </w:t>
      </w:r>
      <w:r w:rsidRPr="0003660B">
        <w:rPr>
          <w:rStyle w:val="libAlaemChar"/>
          <w:rtl/>
        </w:rPr>
        <w:t>(</w:t>
      </w:r>
      <w:r w:rsidRPr="006A2246">
        <w:rPr>
          <w:rStyle w:val="libAieChar"/>
          <w:rtl/>
        </w:rPr>
        <w:t xml:space="preserve">هُمْ دَرَجاتٌ عِنْدَ اللهِ </w:t>
      </w:r>
      <w:r w:rsidRPr="0003660B">
        <w:rPr>
          <w:rStyle w:val="libAlaemChar"/>
          <w:rtl/>
        </w:rPr>
        <w:t>)</w:t>
      </w:r>
      <w:r w:rsidRPr="00C9040A">
        <w:rPr>
          <w:rtl/>
          <w:lang w:bidi="fa-IR"/>
        </w:rPr>
        <w:t xml:space="preserve"> </w:t>
      </w:r>
      <w:r w:rsidR="006C577F" w:rsidRPr="006C577F">
        <w:rPr>
          <w:rStyle w:val="libFootnotenumChar"/>
          <w:rtl/>
        </w:rPr>
        <w:t>(12)</w:t>
      </w:r>
      <w:r w:rsidRPr="00C9040A">
        <w:rPr>
          <w:rtl/>
          <w:lang w:bidi="fa-IR"/>
        </w:rPr>
        <w:t xml:space="preserve"> وَقَالَ : </w:t>
      </w:r>
      <w:r w:rsidRPr="0003660B">
        <w:rPr>
          <w:rStyle w:val="libAlaemChar"/>
          <w:rtl/>
        </w:rPr>
        <w:t>(</w:t>
      </w:r>
      <w:r w:rsidRPr="006A2246">
        <w:rPr>
          <w:rStyle w:val="libAieChar"/>
          <w:rtl/>
        </w:rPr>
        <w:t xml:space="preserve"> وَيُؤْتِ كُلَّ ذِي فَضْلٍ فَضْلَهُ </w:t>
      </w:r>
      <w:r w:rsidRPr="0003660B">
        <w:rPr>
          <w:rStyle w:val="libAlaemChar"/>
          <w:rtl/>
        </w:rPr>
        <w:t>)</w:t>
      </w:r>
      <w:r w:rsidRPr="00C9040A">
        <w:rPr>
          <w:rtl/>
          <w:lang w:bidi="fa-IR"/>
        </w:rPr>
        <w:t xml:space="preserve"> </w:t>
      </w:r>
      <w:r w:rsidRPr="005B567D">
        <w:rPr>
          <w:rStyle w:val="libFootnotenumChar"/>
          <w:rtl/>
        </w:rPr>
        <w:t>(13)</w:t>
      </w:r>
      <w:r w:rsidRPr="00C9040A">
        <w:rPr>
          <w:rtl/>
          <w:lang w:bidi="fa-IR"/>
        </w:rPr>
        <w:t xml:space="preserve"> وَقَالَ : </w:t>
      </w:r>
      <w:r w:rsidRPr="0003660B">
        <w:rPr>
          <w:rStyle w:val="libAlaemChar"/>
          <w:rtl/>
        </w:rPr>
        <w:t>(</w:t>
      </w:r>
      <w:r w:rsidRPr="006A2246">
        <w:rPr>
          <w:rStyle w:val="libAieChar"/>
          <w:rtl/>
        </w:rPr>
        <w:t xml:space="preserve"> الَّذِينَ آمَنُوا وَهاجَرُوا وَجاهَدُوا فِي سَبِيلِ اللهِ بِأَمْوالِهِمْ وَأَنْفُسِهِمْ أَعْظَمُ دَرَجَةً عِنْدَ اللهِ </w:t>
      </w:r>
      <w:r w:rsidRPr="0003660B">
        <w:rPr>
          <w:rStyle w:val="libAlaemChar"/>
          <w:rtl/>
        </w:rPr>
        <w:t>)</w:t>
      </w:r>
      <w:r w:rsidRPr="00C9040A">
        <w:rPr>
          <w:rtl/>
          <w:lang w:bidi="fa-IR"/>
        </w:rPr>
        <w:t xml:space="preserve"> </w:t>
      </w:r>
      <w:r w:rsidRPr="005B567D">
        <w:rPr>
          <w:rStyle w:val="libFootnotenumChar"/>
          <w:rtl/>
        </w:rPr>
        <w:t>(14)</w:t>
      </w:r>
      <w:r w:rsidRPr="00C9040A">
        <w:rPr>
          <w:rtl/>
          <w:lang w:bidi="fa-IR"/>
        </w:rPr>
        <w:t xml:space="preserve"> وَقَالَ : </w:t>
      </w:r>
      <w:r w:rsidRPr="0003660B">
        <w:rPr>
          <w:rStyle w:val="libAlaemChar"/>
          <w:rtl/>
        </w:rPr>
        <w:t>(</w:t>
      </w:r>
      <w:r w:rsidRPr="006A2246">
        <w:rPr>
          <w:rStyle w:val="libAieChar"/>
          <w:rtl/>
        </w:rPr>
        <w:t xml:space="preserve">وَفَضَّلَ اللهُ الْمُجاهِدِينَ عَلَى الْقاعِدِينَ أَجْراً عَظِيماً </w:t>
      </w:r>
      <w:r w:rsidR="00DB2421">
        <w:rPr>
          <w:rStyle w:val="libAieChar"/>
          <w:rFonts w:hint="cs"/>
          <w:rtl/>
        </w:rPr>
        <w:t xml:space="preserve">* </w:t>
      </w:r>
      <w:r w:rsidRPr="006A2246">
        <w:rPr>
          <w:rStyle w:val="libAieChar"/>
          <w:rtl/>
        </w:rPr>
        <w:t xml:space="preserve">دَرَجاتٍ مِنْهُ وَمَغْفِرَةً وَرَحْمَةً </w:t>
      </w:r>
      <w:r w:rsidRPr="0003660B">
        <w:rPr>
          <w:rStyle w:val="libAlaemChar"/>
          <w:rtl/>
        </w:rPr>
        <w:t>)</w:t>
      </w:r>
      <w:r w:rsidRPr="00C9040A">
        <w:rPr>
          <w:rtl/>
          <w:lang w:bidi="fa-IR"/>
        </w:rPr>
        <w:t xml:space="preserve"> </w:t>
      </w:r>
      <w:r w:rsidRPr="005B567D">
        <w:rPr>
          <w:rStyle w:val="libFootnotenumChar"/>
          <w:rtl/>
        </w:rPr>
        <w:t>(15)</w:t>
      </w:r>
      <w:r w:rsidRPr="00C9040A">
        <w:rPr>
          <w:rtl/>
          <w:lang w:bidi="fa-IR"/>
        </w:rPr>
        <w:t xml:space="preserve"> وَقَالَ : </w:t>
      </w:r>
      <w:r w:rsidRPr="0003660B">
        <w:rPr>
          <w:rStyle w:val="libAlaemChar"/>
          <w:rtl/>
        </w:rPr>
        <w:t>(</w:t>
      </w:r>
      <w:r w:rsidRPr="006A2246">
        <w:rPr>
          <w:rStyle w:val="libAieChar"/>
          <w:rtl/>
        </w:rPr>
        <w:t xml:space="preserve"> لا يَسْتَوِي مِنْكُمْ مَنْ أَنْفَقَ مِنْ قَبْلِ الْفَتْحِ وَقاتَلَ</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DB2421" w:rsidTr="00DB2421">
        <w:tc>
          <w:tcPr>
            <w:tcW w:w="4006" w:type="dxa"/>
          </w:tcPr>
          <w:p w:rsidR="00DB2421" w:rsidRDefault="00DB2421" w:rsidP="004A4E41">
            <w:pPr>
              <w:pStyle w:val="libFootnote0"/>
              <w:rPr>
                <w:rtl/>
              </w:rPr>
            </w:pPr>
            <w:r>
              <w:rPr>
                <w:rtl/>
              </w:rPr>
              <w:t>(1).</w:t>
            </w:r>
            <w:r w:rsidRPr="00C9040A">
              <w:rPr>
                <w:rtl/>
              </w:rPr>
              <w:t xml:space="preserve"> الحديد (57) : 21.</w:t>
            </w:r>
          </w:p>
        </w:tc>
        <w:tc>
          <w:tcPr>
            <w:tcW w:w="4006" w:type="dxa"/>
          </w:tcPr>
          <w:p w:rsidR="00DB2421" w:rsidRDefault="00DB2421" w:rsidP="004A4E41">
            <w:pPr>
              <w:pStyle w:val="libFootnote0"/>
              <w:rPr>
                <w:rtl/>
              </w:rPr>
            </w:pPr>
            <w:r>
              <w:rPr>
                <w:rtl/>
              </w:rPr>
              <w:t xml:space="preserve">(2). </w:t>
            </w:r>
            <w:r w:rsidRPr="00C9040A">
              <w:rPr>
                <w:rtl/>
              </w:rPr>
              <w:t xml:space="preserve">في « ف » </w:t>
            </w:r>
            <w:r>
              <w:rPr>
                <w:rtl/>
              </w:rPr>
              <w:t>: -</w:t>
            </w:r>
            <w:r w:rsidRPr="00C9040A">
              <w:rPr>
                <w:rtl/>
              </w:rPr>
              <w:t xml:space="preserve"> « و</w:t>
            </w:r>
            <w:r>
              <w:rPr>
                <w:rFonts w:hint="cs"/>
                <w:rtl/>
              </w:rPr>
              <w:t xml:space="preserve"> </w:t>
            </w:r>
            <w:r w:rsidRPr="00C9040A">
              <w:rPr>
                <w:rtl/>
              </w:rPr>
              <w:t>»</w:t>
            </w:r>
            <w:r>
              <w:rPr>
                <w:rtl/>
              </w:rPr>
              <w:t>.</w:t>
            </w:r>
          </w:p>
        </w:tc>
      </w:tr>
      <w:tr w:rsidR="00DB2421" w:rsidTr="00DB2421">
        <w:tc>
          <w:tcPr>
            <w:tcW w:w="4006" w:type="dxa"/>
          </w:tcPr>
          <w:p w:rsidR="00DB2421" w:rsidRDefault="00DB2421" w:rsidP="004A4E41">
            <w:pPr>
              <w:pStyle w:val="libFootnote0"/>
              <w:rPr>
                <w:rtl/>
              </w:rPr>
            </w:pPr>
            <w:r>
              <w:rPr>
                <w:rtl/>
              </w:rPr>
              <w:t>(3).</w:t>
            </w:r>
            <w:r w:rsidRPr="00C9040A">
              <w:rPr>
                <w:rtl/>
              </w:rPr>
              <w:t xml:space="preserve"> الواقعة (56) : 10</w:t>
            </w:r>
            <w:r>
              <w:rPr>
                <w:rtl/>
              </w:rPr>
              <w:t xml:space="preserve"> - </w:t>
            </w:r>
            <w:r w:rsidRPr="00C9040A">
              <w:rPr>
                <w:rtl/>
              </w:rPr>
              <w:t>11.</w:t>
            </w:r>
          </w:p>
        </w:tc>
        <w:tc>
          <w:tcPr>
            <w:tcW w:w="4006" w:type="dxa"/>
          </w:tcPr>
          <w:p w:rsidR="00DB2421" w:rsidRDefault="00DB2421" w:rsidP="004A4E41">
            <w:pPr>
              <w:pStyle w:val="libFootnote0"/>
              <w:rPr>
                <w:rtl/>
              </w:rPr>
            </w:pPr>
            <w:r>
              <w:rPr>
                <w:rtl/>
              </w:rPr>
              <w:t>(4). في «ج ، ص ، ف ، بر»والبحار،ج 22:- «</w:t>
            </w:r>
            <w:r w:rsidRPr="00C9040A">
              <w:rPr>
                <w:rtl/>
              </w:rPr>
              <w:t>و»</w:t>
            </w:r>
            <w:r>
              <w:rPr>
                <w:rtl/>
              </w:rPr>
              <w:t>.</w:t>
            </w:r>
          </w:p>
        </w:tc>
      </w:tr>
      <w:tr w:rsidR="00DB2421" w:rsidTr="00DB2421">
        <w:tc>
          <w:tcPr>
            <w:tcW w:w="4006" w:type="dxa"/>
          </w:tcPr>
          <w:p w:rsidR="00DB2421" w:rsidRDefault="00DB2421" w:rsidP="004A4E41">
            <w:pPr>
              <w:pStyle w:val="libFootnote0"/>
              <w:rPr>
                <w:rtl/>
              </w:rPr>
            </w:pPr>
            <w:r>
              <w:rPr>
                <w:rtl/>
              </w:rPr>
              <w:t>(5).</w:t>
            </w:r>
            <w:r w:rsidRPr="00C9040A">
              <w:rPr>
                <w:rtl/>
              </w:rPr>
              <w:t xml:space="preserve"> التوبة </w:t>
            </w:r>
            <w:r>
              <w:rPr>
                <w:rtl/>
              </w:rPr>
              <w:t>(9)</w:t>
            </w:r>
            <w:r w:rsidRPr="00C9040A">
              <w:rPr>
                <w:rtl/>
              </w:rPr>
              <w:t xml:space="preserve"> : 100.</w:t>
            </w:r>
          </w:p>
        </w:tc>
        <w:tc>
          <w:tcPr>
            <w:tcW w:w="4006" w:type="dxa"/>
          </w:tcPr>
          <w:p w:rsidR="00DB2421" w:rsidRDefault="00DB2421" w:rsidP="004A4E41">
            <w:pPr>
              <w:pStyle w:val="libFootnote0"/>
              <w:rPr>
                <w:rtl/>
              </w:rPr>
            </w:pPr>
            <w:r>
              <w:rPr>
                <w:rtl/>
              </w:rPr>
              <w:t xml:space="preserve">(6). </w:t>
            </w:r>
            <w:r w:rsidRPr="00C9040A">
              <w:rPr>
                <w:rtl/>
              </w:rPr>
              <w:t>في « ج » : « بدا »</w:t>
            </w:r>
            <w:r>
              <w:rPr>
                <w:rtl/>
              </w:rPr>
              <w:t>.</w:t>
            </w:r>
          </w:p>
        </w:tc>
      </w:tr>
    </w:tbl>
    <w:p w:rsidR="008A74EB" w:rsidRPr="00C9040A" w:rsidRDefault="006C577F" w:rsidP="004A4E41">
      <w:pPr>
        <w:pStyle w:val="libFootnote0"/>
        <w:rPr>
          <w:rtl/>
          <w:lang w:bidi="fa-IR"/>
        </w:rPr>
      </w:pPr>
      <w:r>
        <w:rPr>
          <w:rtl/>
        </w:rPr>
        <w:t>(7).</w:t>
      </w:r>
      <w:r w:rsidR="008A74EB" w:rsidRPr="00C9040A">
        <w:rPr>
          <w:rtl/>
        </w:rPr>
        <w:t xml:space="preserve"> في « ص » : « وقال »</w:t>
      </w:r>
      <w:r w:rsidR="008A74EB">
        <w:rPr>
          <w:rtl/>
        </w:rPr>
        <w:t>.</w:t>
      </w:r>
      <w:r w:rsidR="008A74EB" w:rsidRPr="00C9040A">
        <w:rPr>
          <w:rtl/>
        </w:rPr>
        <w:t xml:space="preserve"> وفي حاشية « ز » : + « الله »</w:t>
      </w:r>
      <w:r w:rsidR="008A74EB">
        <w:rPr>
          <w:rtl/>
        </w:rPr>
        <w:t>.</w:t>
      </w:r>
    </w:p>
    <w:p w:rsidR="008A74EB" w:rsidRPr="004A4E41" w:rsidRDefault="006C577F" w:rsidP="004A4E41">
      <w:pPr>
        <w:pStyle w:val="libFootnote0"/>
        <w:rPr>
          <w:rStyle w:val="libFootnote0Char"/>
          <w:rtl/>
        </w:rPr>
      </w:pPr>
      <w:r>
        <w:rPr>
          <w:rtl/>
        </w:rPr>
        <w:t>(8).</w:t>
      </w:r>
      <w:r w:rsidR="008A74EB" w:rsidRPr="00C9040A">
        <w:rPr>
          <w:rtl/>
        </w:rPr>
        <w:t xml:space="preserve"> في </w:t>
      </w:r>
      <w:r w:rsidR="008A74EB" w:rsidRPr="00993B55">
        <w:rPr>
          <w:rStyle w:val="libFootnoteBoldChar"/>
          <w:rtl/>
        </w:rPr>
        <w:t>مرآة العقول</w:t>
      </w:r>
      <w:r w:rsidR="008A74EB" w:rsidRPr="00C9040A">
        <w:rPr>
          <w:rtl/>
        </w:rPr>
        <w:t xml:space="preserve"> : « وفى المصاحف : </w:t>
      </w:r>
      <w:r w:rsidR="008A74EB" w:rsidRPr="0003660B">
        <w:rPr>
          <w:rStyle w:val="libAlaemChar"/>
          <w:rtl/>
        </w:rPr>
        <w:t>(</w:t>
      </w:r>
      <w:r w:rsidR="008A74EB" w:rsidRPr="00883DD5">
        <w:rPr>
          <w:rStyle w:val="libFootnoteAieChar"/>
          <w:rFonts w:hint="cs"/>
          <w:rtl/>
        </w:rPr>
        <w:t xml:space="preserve"> </w:t>
      </w:r>
      <w:r w:rsidR="008A74EB" w:rsidRPr="00883DD5">
        <w:rPr>
          <w:rStyle w:val="libFootnoteAieChar"/>
          <w:rtl/>
        </w:rPr>
        <w:t>وَرَفَعَ بَعْضَهُمْ دَرَج</w:t>
      </w:r>
      <w:r w:rsidR="00DB2421">
        <w:rPr>
          <w:rStyle w:val="libFootnoteAieChar"/>
          <w:rFonts w:hint="cs"/>
          <w:rtl/>
        </w:rPr>
        <w:t>َ</w:t>
      </w:r>
      <w:r w:rsidR="008A74EB" w:rsidRPr="00883DD5">
        <w:rPr>
          <w:rStyle w:val="libFootnoteAieChar"/>
          <w:rtl/>
        </w:rPr>
        <w:t>اتٍ</w:t>
      </w:r>
      <w:r w:rsidR="008A74EB" w:rsidRPr="00883DD5">
        <w:rPr>
          <w:rStyle w:val="libFootnoteAieChar"/>
          <w:rFonts w:hint="cs"/>
          <w:rtl/>
        </w:rPr>
        <w:t xml:space="preserve"> </w:t>
      </w:r>
      <w:r w:rsidR="008A74EB" w:rsidRPr="0003660B">
        <w:rPr>
          <w:rStyle w:val="libAlaemChar"/>
          <w:rtl/>
        </w:rPr>
        <w:t>)</w:t>
      </w:r>
      <w:r w:rsidR="008A74EB" w:rsidRPr="00C9040A">
        <w:rPr>
          <w:rtl/>
        </w:rPr>
        <w:t xml:space="preserve"> وليس فيها « فوق بعض » فالزيادة إمّا من الرواة أوالنسّاخ ، أو منه </w:t>
      </w:r>
      <w:r w:rsidR="00117575" w:rsidRPr="00117575">
        <w:rPr>
          <w:rStyle w:val="libFootnoteAlaemChar"/>
          <w:rtl/>
        </w:rPr>
        <w:t>عليه‌السلام</w:t>
      </w:r>
      <w:r w:rsidR="008A74EB" w:rsidRPr="00C9040A">
        <w:rPr>
          <w:rtl/>
        </w:rPr>
        <w:t xml:space="preserve"> زاده للبيان والتفسير ، وهذه الزيادة مذكورة في سورة الزخرف [ (43) : 32 ] ، حيث قال : </w:t>
      </w:r>
      <w:r w:rsidR="008A74EB" w:rsidRPr="0003660B">
        <w:rPr>
          <w:rStyle w:val="libAlaemChar"/>
          <w:rtl/>
        </w:rPr>
        <w:t>(</w:t>
      </w:r>
      <w:r w:rsidR="008A74EB" w:rsidRPr="00883DD5">
        <w:rPr>
          <w:rStyle w:val="libFootnoteAieChar"/>
          <w:rFonts w:hint="cs"/>
          <w:rtl/>
        </w:rPr>
        <w:t xml:space="preserve"> </w:t>
      </w:r>
      <w:r w:rsidR="008A74EB" w:rsidRPr="00883DD5">
        <w:rPr>
          <w:rStyle w:val="libFootnoteAieChar"/>
          <w:rtl/>
        </w:rPr>
        <w:t>نَحْنُ قَسَمْنا بَيْنَهُمْ مَعِيشَتَهُمْ فِي الْحَياةِ الدُّنْيا وَرَفَعْنا بَعْضَهُمْ فَوْقَ بَعْضٍ دَرَجاتٍ</w:t>
      </w:r>
      <w:r w:rsidR="008A74EB" w:rsidRPr="00883DD5">
        <w:rPr>
          <w:rStyle w:val="libFootnoteAieChar"/>
          <w:rFonts w:hint="cs"/>
          <w:rtl/>
        </w:rPr>
        <w:t xml:space="preserve"> </w:t>
      </w:r>
      <w:r w:rsidR="008A74EB" w:rsidRPr="0003660B">
        <w:rPr>
          <w:rStyle w:val="libAlaemChar"/>
          <w:rtl/>
        </w:rPr>
        <w:t>)</w:t>
      </w:r>
      <w:r w:rsidR="008A74EB" w:rsidRPr="00C9040A">
        <w:rPr>
          <w:rtl/>
        </w:rPr>
        <w:t xml:space="preserve"> فيحتمل أن يكون الزيادة للإشارة إلى الآيتين »</w:t>
      </w:r>
      <w:r w:rsidR="008A74EB">
        <w:rPr>
          <w:rtl/>
        </w:rPr>
        <w:t>.</w:t>
      </w:r>
      <w:r w:rsidR="00DB2421">
        <w:rPr>
          <w:rFonts w:hint="cs"/>
          <w:rtl/>
        </w:rPr>
        <w:t xml:space="preserve">                     </w:t>
      </w:r>
      <w:r w:rsidR="00B866D3">
        <w:rPr>
          <w:rFonts w:hint="cs"/>
          <w:rtl/>
        </w:rPr>
        <w:t xml:space="preserve">  </w:t>
      </w:r>
      <w:r w:rsidR="00DB2421">
        <w:rPr>
          <w:rFonts w:hint="cs"/>
          <w:rtl/>
        </w:rPr>
        <w:t xml:space="preserve">                  </w:t>
      </w:r>
      <w:r>
        <w:rPr>
          <w:rtl/>
        </w:rPr>
        <w:t>(9).</w:t>
      </w:r>
      <w:r w:rsidR="008A74EB" w:rsidRPr="00C9040A">
        <w:rPr>
          <w:rtl/>
        </w:rPr>
        <w:t xml:space="preserve"> البقرة </w:t>
      </w:r>
      <w:r w:rsidR="00DB2421">
        <w:rPr>
          <w:rtl/>
        </w:rPr>
        <w:t>(2)</w:t>
      </w:r>
      <w:r w:rsidR="008A74EB" w:rsidRPr="00C9040A">
        <w:rPr>
          <w:rtl/>
        </w:rPr>
        <w:t xml:space="preserve"> : 253.</w:t>
      </w:r>
    </w:p>
    <w:tbl>
      <w:tblPr>
        <w:tblStyle w:val="TableGrid"/>
        <w:bidiVisual/>
        <w:tblW w:w="0" w:type="auto"/>
        <w:tblLook w:val="04A0" w:firstRow="1" w:lastRow="0" w:firstColumn="1" w:lastColumn="0" w:noHBand="0" w:noVBand="1"/>
      </w:tblPr>
      <w:tblGrid>
        <w:gridCol w:w="4006"/>
        <w:gridCol w:w="4006"/>
      </w:tblGrid>
      <w:tr w:rsidR="00C61ECC" w:rsidTr="00C61ECC">
        <w:tc>
          <w:tcPr>
            <w:tcW w:w="4006" w:type="dxa"/>
          </w:tcPr>
          <w:p w:rsidR="00C61ECC" w:rsidRDefault="00C61ECC" w:rsidP="004A4E41">
            <w:pPr>
              <w:pStyle w:val="libFootnote0"/>
              <w:rPr>
                <w:rtl/>
              </w:rPr>
            </w:pPr>
            <w:r>
              <w:rPr>
                <w:rtl/>
              </w:rPr>
              <w:t>(10).</w:t>
            </w:r>
            <w:r w:rsidRPr="00C9040A">
              <w:rPr>
                <w:rtl/>
              </w:rPr>
              <w:t xml:space="preserve"> الإسراء (17) : 55.</w:t>
            </w:r>
          </w:p>
        </w:tc>
        <w:tc>
          <w:tcPr>
            <w:tcW w:w="4006" w:type="dxa"/>
          </w:tcPr>
          <w:p w:rsidR="00C61ECC" w:rsidRDefault="00C61ECC" w:rsidP="004A4E41">
            <w:pPr>
              <w:pStyle w:val="libFootnote0"/>
              <w:rPr>
                <w:rtl/>
              </w:rPr>
            </w:pPr>
            <w:r>
              <w:rPr>
                <w:rtl/>
              </w:rPr>
              <w:t>(11).</w:t>
            </w:r>
            <w:r w:rsidRPr="00C9040A">
              <w:rPr>
                <w:rtl/>
              </w:rPr>
              <w:t xml:space="preserve"> الإسراء (17) : 21.</w:t>
            </w:r>
          </w:p>
        </w:tc>
      </w:tr>
      <w:tr w:rsidR="00C61ECC" w:rsidTr="00C61ECC">
        <w:tc>
          <w:tcPr>
            <w:tcW w:w="4006" w:type="dxa"/>
          </w:tcPr>
          <w:p w:rsidR="00C61ECC" w:rsidRDefault="00C61ECC" w:rsidP="004A4E41">
            <w:pPr>
              <w:pStyle w:val="libFootnote0"/>
              <w:rPr>
                <w:rtl/>
              </w:rPr>
            </w:pPr>
            <w:r>
              <w:rPr>
                <w:rtl/>
              </w:rPr>
              <w:t>(12).</w:t>
            </w:r>
            <w:r w:rsidRPr="00C9040A">
              <w:rPr>
                <w:rtl/>
              </w:rPr>
              <w:t xml:space="preserve"> آل عمران </w:t>
            </w:r>
            <w:r>
              <w:rPr>
                <w:rtl/>
              </w:rPr>
              <w:t>(3)</w:t>
            </w:r>
            <w:r w:rsidRPr="00C9040A">
              <w:rPr>
                <w:rtl/>
              </w:rPr>
              <w:t xml:space="preserve"> : 163.</w:t>
            </w:r>
          </w:p>
        </w:tc>
        <w:tc>
          <w:tcPr>
            <w:tcW w:w="4006" w:type="dxa"/>
          </w:tcPr>
          <w:p w:rsidR="00C61ECC" w:rsidRDefault="00C61ECC" w:rsidP="004A4E41">
            <w:pPr>
              <w:pStyle w:val="libFootnote0"/>
              <w:rPr>
                <w:rtl/>
              </w:rPr>
            </w:pPr>
            <w:r>
              <w:rPr>
                <w:rtl/>
              </w:rPr>
              <w:t>(13)</w:t>
            </w:r>
            <w:r>
              <w:rPr>
                <w:rFonts w:hint="cs"/>
                <w:rtl/>
              </w:rPr>
              <w:t>.</w:t>
            </w:r>
            <w:r w:rsidRPr="00C9040A">
              <w:rPr>
                <w:rtl/>
              </w:rPr>
              <w:t xml:space="preserve"> هود </w:t>
            </w:r>
            <w:r>
              <w:rPr>
                <w:rtl/>
              </w:rPr>
              <w:t>(11)</w:t>
            </w:r>
            <w:r w:rsidRPr="00C9040A">
              <w:rPr>
                <w:rtl/>
              </w:rPr>
              <w:t xml:space="preserve"> : 3.</w:t>
            </w:r>
          </w:p>
        </w:tc>
      </w:tr>
      <w:tr w:rsidR="00C61ECC" w:rsidTr="00C61ECC">
        <w:tc>
          <w:tcPr>
            <w:tcW w:w="4006" w:type="dxa"/>
          </w:tcPr>
          <w:p w:rsidR="00C61ECC" w:rsidRDefault="00C61ECC" w:rsidP="004A4E41">
            <w:pPr>
              <w:pStyle w:val="libFootnote0"/>
              <w:rPr>
                <w:rtl/>
              </w:rPr>
            </w:pPr>
            <w:r>
              <w:rPr>
                <w:rtl/>
              </w:rPr>
              <w:t>(14)</w:t>
            </w:r>
            <w:r>
              <w:rPr>
                <w:rFonts w:hint="cs"/>
                <w:rtl/>
              </w:rPr>
              <w:t>.</w:t>
            </w:r>
            <w:r w:rsidRPr="00C9040A">
              <w:rPr>
                <w:rtl/>
              </w:rPr>
              <w:t xml:space="preserve"> التوبة </w:t>
            </w:r>
            <w:r>
              <w:rPr>
                <w:rtl/>
              </w:rPr>
              <w:t>(9)</w:t>
            </w:r>
            <w:r w:rsidRPr="00C9040A">
              <w:rPr>
                <w:rtl/>
              </w:rPr>
              <w:t xml:space="preserve"> : 20.</w:t>
            </w:r>
          </w:p>
        </w:tc>
        <w:tc>
          <w:tcPr>
            <w:tcW w:w="4006" w:type="dxa"/>
          </w:tcPr>
          <w:p w:rsidR="00C61ECC" w:rsidRDefault="00C61ECC" w:rsidP="004A4E41">
            <w:pPr>
              <w:pStyle w:val="libFootnote0"/>
              <w:rPr>
                <w:rtl/>
              </w:rPr>
            </w:pPr>
            <w:r>
              <w:rPr>
                <w:rtl/>
              </w:rPr>
              <w:t>(15)</w:t>
            </w:r>
            <w:r>
              <w:rPr>
                <w:rFonts w:hint="cs"/>
                <w:rtl/>
              </w:rPr>
              <w:t>.</w:t>
            </w:r>
            <w:r w:rsidRPr="00C9040A">
              <w:rPr>
                <w:rtl/>
              </w:rPr>
              <w:t xml:space="preserve"> النساء </w:t>
            </w:r>
            <w:r>
              <w:rPr>
                <w:rtl/>
              </w:rPr>
              <w:t>(4)</w:t>
            </w:r>
            <w:r w:rsidRPr="00C9040A">
              <w:rPr>
                <w:rtl/>
              </w:rPr>
              <w:t xml:space="preserve"> : 95</w:t>
            </w:r>
            <w:r>
              <w:rPr>
                <w:rtl/>
              </w:rPr>
              <w:t xml:space="preserve"> - </w:t>
            </w:r>
            <w:r w:rsidRPr="00C9040A">
              <w:rPr>
                <w:rtl/>
              </w:rPr>
              <w:t>96.</w:t>
            </w:r>
          </w:p>
        </w:tc>
      </w:tr>
    </w:tbl>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6A2246">
        <w:rPr>
          <w:rStyle w:val="libAieChar"/>
          <w:rtl/>
        </w:rPr>
        <w:lastRenderedPageBreak/>
        <w:t xml:space="preserve">أُولئِكَ أَعْظَمُ دَرَجَةً مِنَ الَّذِينَ أَنْفَقُوا مِنْ بَعْدُ وَقاتَلُوا </w:t>
      </w:r>
      <w:r w:rsidRPr="0003660B">
        <w:rPr>
          <w:rStyle w:val="libAlaemChar"/>
          <w:rtl/>
        </w:rPr>
        <w:t>)</w:t>
      </w:r>
      <w:r w:rsidRPr="00C9040A">
        <w:rPr>
          <w:rtl/>
          <w:lang w:bidi="fa-IR"/>
        </w:rPr>
        <w:t xml:space="preserve"> </w:t>
      </w:r>
      <w:r w:rsidR="006C577F" w:rsidRPr="006C577F">
        <w:rPr>
          <w:rStyle w:val="libFootnotenumChar"/>
          <w:rtl/>
        </w:rPr>
        <w:t>(1)</w:t>
      </w:r>
      <w:r w:rsidRPr="009E51F8">
        <w:rPr>
          <w:rFonts w:hint="cs"/>
          <w:rtl/>
        </w:rPr>
        <w:t xml:space="preserve"> </w:t>
      </w:r>
      <w:r w:rsidRPr="00C9040A">
        <w:rPr>
          <w:rtl/>
          <w:lang w:bidi="fa-IR"/>
        </w:rPr>
        <w:t xml:space="preserve">وَقَالَ : </w:t>
      </w:r>
      <w:r w:rsidRPr="0003660B">
        <w:rPr>
          <w:rStyle w:val="libAlaemChar"/>
          <w:rtl/>
        </w:rPr>
        <w:t>(</w:t>
      </w:r>
      <w:r w:rsidRPr="006A2246">
        <w:rPr>
          <w:rStyle w:val="libAieChar"/>
          <w:rtl/>
        </w:rPr>
        <w:t xml:space="preserve"> يَرْفَعِ اللهُ الَّذِينَ آمَنُوا مِنْكُمْ وَالَّذِينَ أُوتُوا الْعِلْمَ دَرَجاتٍ </w:t>
      </w:r>
      <w:r w:rsidRPr="0003660B">
        <w:rPr>
          <w:rStyle w:val="libAlaemChar"/>
          <w:rtl/>
        </w:rPr>
        <w:t>)</w:t>
      </w:r>
      <w:r w:rsidRPr="00C9040A">
        <w:rPr>
          <w:rtl/>
          <w:lang w:bidi="fa-IR"/>
        </w:rPr>
        <w:t xml:space="preserve"> </w:t>
      </w:r>
      <w:r w:rsidR="006C577F" w:rsidRPr="006C577F">
        <w:rPr>
          <w:rStyle w:val="libFootnotenumChar"/>
          <w:rtl/>
        </w:rPr>
        <w:t>(2)</w:t>
      </w:r>
      <w:r w:rsidRPr="00C9040A">
        <w:rPr>
          <w:rtl/>
          <w:lang w:bidi="fa-IR"/>
        </w:rPr>
        <w:t xml:space="preserve"> وَقَالَ : </w:t>
      </w:r>
      <w:r w:rsidRPr="0003660B">
        <w:rPr>
          <w:rStyle w:val="libAlaemChar"/>
          <w:rtl/>
        </w:rPr>
        <w:t>(</w:t>
      </w:r>
      <w:r w:rsidRPr="006A2246">
        <w:rPr>
          <w:rStyle w:val="libAieChar"/>
          <w:rtl/>
        </w:rPr>
        <w:t xml:space="preserve"> ذلِكَ ب</w:t>
      </w:r>
      <w:r w:rsidR="00370D13">
        <w:rPr>
          <w:rStyle w:val="libAieChar"/>
          <w:rtl/>
        </w:rPr>
        <w:t>ِأَنَّهُمْ لا يُصِيبُهُمْ ظَمَأ</w:t>
      </w:r>
      <w:r w:rsidR="00370D13">
        <w:rPr>
          <w:rStyle w:val="libAieChar"/>
          <w:rFonts w:hint="cs"/>
          <w:rtl/>
        </w:rPr>
        <w:t>ُ</w:t>
      </w:r>
      <w:r w:rsidRPr="006A2246">
        <w:rPr>
          <w:rStyle w:val="libAieChar"/>
          <w:rtl/>
        </w:rPr>
        <w:t xml:space="preserve"> وَلا نَصَبٌ وَلا مَخْمَصَةٌ فِي سَبِيلِ اللهِ وَلا يَطَؤُنَ مَوْطِئاً يَغِيظُ الْكُفّارَ وَلا يَنا</w:t>
      </w:r>
      <w:r w:rsidR="00370D13">
        <w:rPr>
          <w:rStyle w:val="libAieChar"/>
          <w:rtl/>
        </w:rPr>
        <w:t>لُونَ مِنْ عَدُوٍّ نَيْلاً إِل</w:t>
      </w:r>
      <w:r w:rsidR="00370D13">
        <w:rPr>
          <w:rStyle w:val="libAieChar"/>
          <w:rFonts w:hint="cs"/>
          <w:rtl/>
        </w:rPr>
        <w:t>ّ</w:t>
      </w:r>
      <w:r w:rsidR="00370D13">
        <w:rPr>
          <w:rStyle w:val="libAieChar"/>
          <w:rtl/>
        </w:rPr>
        <w:t>ا</w:t>
      </w:r>
      <w:r w:rsidRPr="006A2246">
        <w:rPr>
          <w:rStyle w:val="libAieChar"/>
          <w:rtl/>
        </w:rPr>
        <w:t xml:space="preserve"> كُتِبَ لَهُمْ بِهِ عَمَلٌ صالِحٌ </w:t>
      </w:r>
      <w:r w:rsidRPr="0003660B">
        <w:rPr>
          <w:rStyle w:val="libAlaemChar"/>
          <w:rtl/>
        </w:rPr>
        <w:t>)</w:t>
      </w:r>
      <w:r w:rsidRPr="00C9040A">
        <w:rPr>
          <w:rtl/>
          <w:lang w:bidi="fa-IR"/>
        </w:rPr>
        <w:t xml:space="preserve"> </w:t>
      </w:r>
      <w:r w:rsidR="006C577F" w:rsidRPr="006C577F">
        <w:rPr>
          <w:rStyle w:val="libFootnotenumChar"/>
          <w:rtl/>
        </w:rPr>
        <w:t>(3)</w:t>
      </w:r>
      <w:r w:rsidRPr="00C9040A">
        <w:rPr>
          <w:rtl/>
          <w:lang w:bidi="fa-IR"/>
        </w:rPr>
        <w:t xml:space="preserve"> وَقَالَ : </w:t>
      </w:r>
      <w:r w:rsidRPr="0003660B">
        <w:rPr>
          <w:rStyle w:val="libAlaemChar"/>
          <w:rtl/>
        </w:rPr>
        <w:t>(</w:t>
      </w:r>
      <w:r w:rsidRPr="006A2246">
        <w:rPr>
          <w:rStyle w:val="libAieChar"/>
          <w:rFonts w:hint="cs"/>
          <w:rtl/>
        </w:rPr>
        <w:t>و</w:t>
      </w:r>
      <w:r w:rsidR="00370D13">
        <w:rPr>
          <w:rStyle w:val="libAieChar"/>
          <w:rFonts w:hint="cs"/>
          <w:rtl/>
        </w:rPr>
        <w:t>َ</w:t>
      </w:r>
      <w:r w:rsidRPr="006A2246">
        <w:rPr>
          <w:rStyle w:val="libAieChar"/>
          <w:rFonts w:hint="cs"/>
          <w:rtl/>
        </w:rPr>
        <w:t xml:space="preserve">ما </w:t>
      </w:r>
      <w:r w:rsidRPr="006A2246">
        <w:rPr>
          <w:rStyle w:val="libAieChar"/>
          <w:rtl/>
        </w:rPr>
        <w:t>تُقَدِّمُوا لِأَنْفُسِكُمْ مِنْ خَيْرٍ تَجِدُوهُ عِنْدَ اللهِ</w:t>
      </w:r>
      <w:r w:rsidRPr="0003660B">
        <w:rPr>
          <w:rStyle w:val="libAlaemChar"/>
          <w:rtl/>
        </w:rPr>
        <w:t>)</w:t>
      </w:r>
      <w:r w:rsidRPr="00C9040A">
        <w:rPr>
          <w:rtl/>
          <w:lang w:bidi="fa-IR"/>
        </w:rPr>
        <w:t xml:space="preserve"> </w:t>
      </w:r>
      <w:r w:rsidR="006C577F" w:rsidRPr="006C577F">
        <w:rPr>
          <w:rStyle w:val="libFootnotenumChar"/>
          <w:rtl/>
        </w:rPr>
        <w:t>(4)</w:t>
      </w:r>
      <w:r w:rsidRPr="00C9040A">
        <w:rPr>
          <w:rtl/>
          <w:lang w:bidi="fa-IR"/>
        </w:rPr>
        <w:t xml:space="preserve"> وَقَالَ : </w:t>
      </w:r>
      <w:r w:rsidRPr="0003660B">
        <w:rPr>
          <w:rStyle w:val="libAlaemChar"/>
          <w:rtl/>
        </w:rPr>
        <w:t>(</w:t>
      </w:r>
      <w:r w:rsidRPr="006A2246">
        <w:rPr>
          <w:rStyle w:val="libAieChar"/>
          <w:rtl/>
        </w:rPr>
        <w:t xml:space="preserve"> فَمَنْ يَعْمَلْ مِثْقالَ ذَرَّةٍ خَيْراً يَرَهُ وَمَنْ يَعْمَلْ مِثْقالَ ذَرَّةٍ شَرًّا يَرَهُ </w:t>
      </w:r>
      <w:r w:rsidRPr="0003660B">
        <w:rPr>
          <w:rStyle w:val="libAlaemChar"/>
          <w:rtl/>
        </w:rPr>
        <w:t>)</w:t>
      </w:r>
      <w:r w:rsidRPr="00C9040A">
        <w:rPr>
          <w:rtl/>
          <w:lang w:bidi="fa-IR"/>
        </w:rPr>
        <w:t xml:space="preserve"> </w:t>
      </w:r>
      <w:r w:rsidR="006C577F" w:rsidRPr="006C577F">
        <w:rPr>
          <w:rStyle w:val="libFootnotenumChar"/>
          <w:rtl/>
        </w:rPr>
        <w:t>(5)</w:t>
      </w:r>
      <w:r w:rsidRPr="00C9040A">
        <w:rPr>
          <w:rtl/>
          <w:lang w:bidi="fa-IR"/>
        </w:rPr>
        <w:t xml:space="preserve"> فَهذَا ذِكْرُ دَرَجَاتِ الْإِيمَانِ وَمَنَازِلِهِ عِنْدَ اللهِ عَزَّ وَجَلَّ </w:t>
      </w:r>
      <w:r w:rsidR="006C577F" w:rsidRPr="006C577F">
        <w:rPr>
          <w:rStyle w:val="libFootnotenumChar"/>
          <w:rtl/>
        </w:rPr>
        <w:t>(6)</w:t>
      </w:r>
      <w:r w:rsidRPr="00C9040A">
        <w:rPr>
          <w:rtl/>
          <w:lang w:bidi="fa-IR"/>
        </w:rPr>
        <w:t>»</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370D13" w:rsidTr="00370D13">
        <w:tc>
          <w:tcPr>
            <w:tcW w:w="4006" w:type="dxa"/>
          </w:tcPr>
          <w:p w:rsidR="00370D13" w:rsidRDefault="00370D13" w:rsidP="004A4E41">
            <w:pPr>
              <w:pStyle w:val="libFootnote0"/>
              <w:rPr>
                <w:rtl/>
              </w:rPr>
            </w:pPr>
            <w:r>
              <w:rPr>
                <w:rtl/>
              </w:rPr>
              <w:t>(1).</w:t>
            </w:r>
            <w:r w:rsidRPr="00C9040A">
              <w:rPr>
                <w:rtl/>
              </w:rPr>
              <w:t xml:space="preserve"> الحديد (57) : 10.</w:t>
            </w:r>
          </w:p>
        </w:tc>
        <w:tc>
          <w:tcPr>
            <w:tcW w:w="4006" w:type="dxa"/>
          </w:tcPr>
          <w:p w:rsidR="00370D13" w:rsidRDefault="00370D13" w:rsidP="004A4E41">
            <w:pPr>
              <w:pStyle w:val="libFootnote0"/>
              <w:rPr>
                <w:rtl/>
              </w:rPr>
            </w:pPr>
            <w:r>
              <w:rPr>
                <w:rtl/>
              </w:rPr>
              <w:t xml:space="preserve">(2). </w:t>
            </w:r>
            <w:r w:rsidRPr="00C9040A">
              <w:rPr>
                <w:rtl/>
              </w:rPr>
              <w:t>المجادلة (58) : 11.</w:t>
            </w:r>
          </w:p>
        </w:tc>
      </w:tr>
      <w:tr w:rsidR="00370D13" w:rsidTr="00370D13">
        <w:tc>
          <w:tcPr>
            <w:tcW w:w="4006" w:type="dxa"/>
          </w:tcPr>
          <w:p w:rsidR="00370D13" w:rsidRDefault="00370D13" w:rsidP="004A4E41">
            <w:pPr>
              <w:pStyle w:val="libFootnote0"/>
              <w:rPr>
                <w:rtl/>
              </w:rPr>
            </w:pPr>
            <w:r>
              <w:rPr>
                <w:rtl/>
              </w:rPr>
              <w:t>(3).</w:t>
            </w:r>
            <w:r w:rsidRPr="00C9040A">
              <w:rPr>
                <w:rtl/>
              </w:rPr>
              <w:t xml:space="preserve"> التوبة </w:t>
            </w:r>
            <w:r>
              <w:rPr>
                <w:rtl/>
              </w:rPr>
              <w:t>(9)</w:t>
            </w:r>
            <w:r w:rsidRPr="00C9040A">
              <w:rPr>
                <w:rtl/>
              </w:rPr>
              <w:t xml:space="preserve"> : 120.</w:t>
            </w:r>
          </w:p>
        </w:tc>
        <w:tc>
          <w:tcPr>
            <w:tcW w:w="4006" w:type="dxa"/>
          </w:tcPr>
          <w:p w:rsidR="00370D13" w:rsidRDefault="00370D13" w:rsidP="004A4E41">
            <w:pPr>
              <w:pStyle w:val="libFootnote0"/>
              <w:rPr>
                <w:rtl/>
              </w:rPr>
            </w:pPr>
            <w:r>
              <w:rPr>
                <w:rtl/>
              </w:rPr>
              <w:t>(4).</w:t>
            </w:r>
            <w:r w:rsidRPr="00C9040A">
              <w:rPr>
                <w:rtl/>
              </w:rPr>
              <w:t xml:space="preserve"> البقرة </w:t>
            </w:r>
            <w:r>
              <w:rPr>
                <w:rtl/>
              </w:rPr>
              <w:t>(2)</w:t>
            </w:r>
            <w:r w:rsidRPr="00C9040A">
              <w:rPr>
                <w:rtl/>
              </w:rPr>
              <w:t xml:space="preserve"> : 110 ؛ المزّمّل (73) : 20.</w:t>
            </w:r>
          </w:p>
        </w:tc>
      </w:tr>
    </w:tbl>
    <w:p w:rsidR="008A74EB" w:rsidRPr="00C9040A" w:rsidRDefault="006C577F" w:rsidP="004A4E41">
      <w:pPr>
        <w:pStyle w:val="libFootnote0"/>
        <w:rPr>
          <w:rtl/>
          <w:lang w:bidi="fa-IR"/>
        </w:rPr>
      </w:pPr>
      <w:r>
        <w:rPr>
          <w:rtl/>
        </w:rPr>
        <w:t>(5).</w:t>
      </w:r>
      <w:r w:rsidR="008A74EB" w:rsidRPr="00C9040A">
        <w:rPr>
          <w:rtl/>
        </w:rPr>
        <w:t xml:space="preserve"> الزلزلة (99) : 7</w:t>
      </w:r>
      <w:r w:rsidR="008A74EB">
        <w:rPr>
          <w:rtl/>
        </w:rPr>
        <w:t xml:space="preserve"> </w:t>
      </w:r>
      <w:r w:rsidR="0084262C">
        <w:rPr>
          <w:rtl/>
        </w:rPr>
        <w:t>-</w:t>
      </w:r>
      <w:r w:rsidR="008A74EB">
        <w:rPr>
          <w:rtl/>
        </w:rPr>
        <w:t xml:space="preserve"> </w:t>
      </w:r>
      <w:r w:rsidR="008A74EB" w:rsidRPr="00C9040A">
        <w:rPr>
          <w:rtl/>
        </w:rPr>
        <w:t>8.</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w:t>
      </w:r>
      <w:r w:rsidR="008A74EB" w:rsidRPr="00993B55">
        <w:rPr>
          <w:rStyle w:val="libFootnoteBoldChar"/>
          <w:rtl/>
        </w:rPr>
        <w:t>الوافي</w:t>
      </w:r>
      <w:r w:rsidR="008A74EB" w:rsidRPr="00C9040A">
        <w:rPr>
          <w:rtl/>
        </w:rPr>
        <w:t xml:space="preserve"> : « الغرض من هذا الحديث أن يبيّن أنّ تفاضل درجات الإيمان بقدر السبق والمبادرة إلى إجابة الدعوة إلى الإيمان ، وهذا يحتمل عدّة معان :</w:t>
      </w:r>
    </w:p>
    <w:p w:rsidR="008A74EB" w:rsidRPr="00C9040A" w:rsidRDefault="008A74EB" w:rsidP="004A4E41">
      <w:pPr>
        <w:pStyle w:val="libFootnote0"/>
        <w:rPr>
          <w:rtl/>
          <w:lang w:bidi="fa-IR"/>
        </w:rPr>
      </w:pPr>
      <w:r w:rsidRPr="0082575F">
        <w:rPr>
          <w:rtl/>
        </w:rPr>
        <w:t>أحدها : أن يكون المراد بالسبق ، السبق في الذرّ وعند الميثاق ، كما يدلّ عليه الخبران الآتيان</w:t>
      </w:r>
      <w:r>
        <w:rPr>
          <w:rtl/>
        </w:rPr>
        <w:t xml:space="preserve"> </w:t>
      </w:r>
      <w:r w:rsidR="0084262C">
        <w:rPr>
          <w:rtl/>
        </w:rPr>
        <w:t>-</w:t>
      </w:r>
      <w:r>
        <w:rPr>
          <w:rtl/>
        </w:rPr>
        <w:t xml:space="preserve"> </w:t>
      </w:r>
      <w:r w:rsidRPr="0082575F">
        <w:rPr>
          <w:rtl/>
        </w:rPr>
        <w:t xml:space="preserve">وهما الخبران : 1720 </w:t>
      </w:r>
      <w:r>
        <w:rPr>
          <w:rtl/>
        </w:rPr>
        <w:t>و 1</w:t>
      </w:r>
      <w:r w:rsidRPr="0082575F">
        <w:rPr>
          <w:rtl/>
        </w:rPr>
        <w:t>721 من هذا الكتاب</w:t>
      </w:r>
      <w:r>
        <w:rPr>
          <w:rtl/>
        </w:rPr>
        <w:t xml:space="preserve"> </w:t>
      </w:r>
      <w:r w:rsidR="0084262C">
        <w:rPr>
          <w:rtl/>
        </w:rPr>
        <w:t>-</w:t>
      </w:r>
      <w:r>
        <w:rPr>
          <w:rtl/>
        </w:rPr>
        <w:t>.</w:t>
      </w:r>
      <w:r w:rsidRPr="0082575F">
        <w:rPr>
          <w:rtl/>
        </w:rPr>
        <w:t xml:space="preserve"> وعلى هذا يكون المراد بأوائل هذه الأُمّة وأواخرها ، أوائلها وأواخرها في الإقرار والإجابة هناك ، فالفضل للمتقدّم فى قوله : « بلى » والمبادرة إلى ذلك ، ثمّ المتقدّم والمبادر.</w:t>
      </w:r>
    </w:p>
    <w:p w:rsidR="008A74EB" w:rsidRPr="00C9040A" w:rsidRDefault="008A74EB" w:rsidP="004A4E41">
      <w:pPr>
        <w:pStyle w:val="libFootnote0"/>
        <w:rPr>
          <w:rtl/>
          <w:lang w:bidi="fa-IR"/>
        </w:rPr>
      </w:pPr>
      <w:r w:rsidRPr="0082575F">
        <w:rPr>
          <w:rtl/>
        </w:rPr>
        <w:t>والمعنى الثاني : أن يكون المراد بالسبق ، السبق في الشرك والرتبة والعلم والحكمة وزيادة العقل والبصيرة في الدين ووفور سهام الإيمان الآتي ذكرها ، ولا سيّما اليقين ، كما يستفاد من أخبار الباب الآتي. وعلى هذا يكون المراد بأوائل هذه الا</w:t>
      </w:r>
      <w:r w:rsidR="00370D13">
        <w:rPr>
          <w:rFonts w:hint="cs"/>
          <w:rtl/>
        </w:rPr>
        <w:t>ُ</w:t>
      </w:r>
      <w:r w:rsidRPr="0082575F">
        <w:rPr>
          <w:rtl/>
        </w:rPr>
        <w:t>مّة وأواخرها ، أوائلها وأواخرها في مراتب الشرف والعقل والعلم ، فالفضل للأعقل والأعلم والأجمع للكمالات. وهذا المعنى يرجع إلى المعنى الأوّل ؛ لتلازمهما ووحدة مآلهما واتّحاد محصّلهما. والوجه في أنّ الفضل للسابق على هذين المعنيين ظاهر لا مرية فيه.</w:t>
      </w:r>
    </w:p>
    <w:p w:rsidR="008A74EB" w:rsidRPr="00C9040A" w:rsidRDefault="008A74EB" w:rsidP="004A4E41">
      <w:pPr>
        <w:pStyle w:val="libFootnote0"/>
        <w:rPr>
          <w:rtl/>
          <w:lang w:bidi="fa-IR"/>
        </w:rPr>
      </w:pPr>
      <w:r w:rsidRPr="00323A39">
        <w:rPr>
          <w:rtl/>
        </w:rPr>
        <w:t xml:space="preserve">وممّا يدلّ على إرادة هذين المعنيين اللذين مرجعهما إلى واحد ، قوله </w:t>
      </w:r>
      <w:r w:rsidR="00117575" w:rsidRPr="00117575">
        <w:rPr>
          <w:rStyle w:val="libFootnoteAlaemChar"/>
          <w:rtl/>
        </w:rPr>
        <w:t>عليه‌السلام</w:t>
      </w:r>
      <w:r w:rsidRPr="00323A39">
        <w:rPr>
          <w:rtl/>
        </w:rPr>
        <w:t xml:space="preserve"> : « ولو لم تكن سوابق يفضل بها المؤمنون » إلى قوله : « من قدّم الله » ولاسيّما قوله : « أبي الله تعالى أن يدرك آخر درجات الإيمان أوّلها ». ومن تأمّل في تتمّة الحديث أيضاً حقّ التأمّل يظهر له أنّه المراد إن شاء الله تعالى.</w:t>
      </w:r>
    </w:p>
    <w:p w:rsidR="008A74EB" w:rsidRPr="00C9040A" w:rsidRDefault="008A74EB" w:rsidP="004A4E41">
      <w:pPr>
        <w:pStyle w:val="libFootnote0"/>
        <w:rPr>
          <w:rtl/>
          <w:lang w:bidi="fa-IR"/>
        </w:rPr>
      </w:pPr>
      <w:r w:rsidRPr="00323A39">
        <w:rPr>
          <w:rtl/>
        </w:rPr>
        <w:t xml:space="preserve">والمعنى الثالث : أن يكون المراد بالسبق ، السبق الزماني في الدنيا عند دعوة النبيّ </w:t>
      </w:r>
      <w:r w:rsidR="004A4E41" w:rsidRPr="00B866D3">
        <w:rPr>
          <w:rStyle w:val="libFootnoteAlaemChar"/>
          <w:rtl/>
        </w:rPr>
        <w:t>صلى‌الله‌عليه‌وآله</w:t>
      </w:r>
      <w:r w:rsidRPr="00323A39">
        <w:rPr>
          <w:rtl/>
        </w:rPr>
        <w:t xml:space="preserve"> إيّاهم إلى الإيمان. وعلى هذا يكون المراد بأوائل هذه الا</w:t>
      </w:r>
      <w:r w:rsidR="007004A5">
        <w:rPr>
          <w:rFonts w:hint="cs"/>
          <w:rtl/>
        </w:rPr>
        <w:t>ُ</w:t>
      </w:r>
      <w:r w:rsidRPr="00323A39">
        <w:rPr>
          <w:rtl/>
        </w:rPr>
        <w:t xml:space="preserve">مّة وأواخرها ، أوائلها وأواخرها في الإجابة للنبيّ </w:t>
      </w:r>
      <w:r w:rsidR="004A4E41" w:rsidRPr="00B866D3">
        <w:rPr>
          <w:rStyle w:val="libFootnoteAlaemChar"/>
          <w:rtl/>
        </w:rPr>
        <w:t>صلى‌الله‌عليه‌وآله</w:t>
      </w:r>
      <w:r w:rsidRPr="00323A39">
        <w:rPr>
          <w:rtl/>
        </w:rPr>
        <w:t xml:space="preserve"> وقبول الإسلام والتسليم بالقلب والانقياد للتكاليف الشرعيّة طوعاً ، ويعرف الحكم في سائر الأزمنة بالمقايسة. وسبب فضل السابق على هذا المعنى أنّ السبق في الإجابة للحقّ دليل على زيادة البصيرة والعقل والشرف التي هي الفضيلة والكمال.</w:t>
      </w:r>
    </w:p>
    <w:p w:rsidR="008A74EB" w:rsidRPr="00323A39" w:rsidRDefault="008A74EB" w:rsidP="004A4E41">
      <w:pPr>
        <w:pStyle w:val="libFootnote0"/>
        <w:rPr>
          <w:rtl/>
        </w:rPr>
      </w:pPr>
      <w:r w:rsidRPr="00323A39">
        <w:rPr>
          <w:rtl/>
        </w:rPr>
        <w:t xml:space="preserve">والمعنى الرابع : أن يراد بالسبق ، السبق الزماني عند بلوغ الدعوة ، فيعمّ الأزمنة المتأخّرة عن زمن النبيّ </w:t>
      </w:r>
      <w:r w:rsidR="004A4E41" w:rsidRPr="00B866D3">
        <w:rPr>
          <w:rStyle w:val="libFootnoteAlaemChar"/>
          <w:rtl/>
        </w:rPr>
        <w:t>صلى‌الله‌عليه‌وآله</w:t>
      </w:r>
      <w:r w:rsidRPr="00323A39">
        <w:rPr>
          <w:rtl/>
        </w:rPr>
        <w:t>.</w:t>
      </w:r>
      <w:r w:rsidR="007004A5">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Heading2Center"/>
        <w:rPr>
          <w:rtl/>
          <w:lang w:bidi="fa-IR"/>
        </w:rPr>
      </w:pPr>
      <w:bookmarkStart w:id="70" w:name="_Toc343795611"/>
      <w:bookmarkStart w:id="71" w:name="_Toc459810735"/>
      <w:bookmarkStart w:id="72" w:name="_Toc35348641"/>
      <w:r w:rsidRPr="00C9040A">
        <w:rPr>
          <w:rtl/>
          <w:lang w:bidi="fa-IR"/>
        </w:rPr>
        <w:lastRenderedPageBreak/>
        <w:t>20</w:t>
      </w:r>
      <w:r>
        <w:rPr>
          <w:rtl/>
          <w:lang w:bidi="fa-IR"/>
        </w:rPr>
        <w:t xml:space="preserve"> </w:t>
      </w:r>
      <w:r w:rsidR="0084262C">
        <w:rPr>
          <w:rtl/>
          <w:lang w:bidi="fa-IR"/>
        </w:rPr>
        <w:t>-</w:t>
      </w:r>
      <w:r>
        <w:rPr>
          <w:rtl/>
          <w:lang w:bidi="fa-IR"/>
        </w:rPr>
        <w:t xml:space="preserve"> </w:t>
      </w:r>
      <w:r w:rsidRPr="00C9040A">
        <w:rPr>
          <w:rtl/>
          <w:lang w:bidi="fa-IR"/>
        </w:rPr>
        <w:t>بَابُ دَرَجَاتِ الْإِيمَانِ‌</w:t>
      </w:r>
      <w:bookmarkEnd w:id="70"/>
      <w:bookmarkEnd w:id="71"/>
      <w:bookmarkEnd w:id="72"/>
    </w:p>
    <w:p w:rsidR="008A74EB" w:rsidRPr="00C9040A" w:rsidRDefault="008A74EB" w:rsidP="008A74EB">
      <w:pPr>
        <w:pStyle w:val="libNormal"/>
        <w:rPr>
          <w:rtl/>
          <w:lang w:bidi="fa-IR"/>
        </w:rPr>
      </w:pPr>
      <w:r w:rsidRPr="0084079B">
        <w:rPr>
          <w:rtl/>
        </w:rPr>
        <w:t>1530</w:t>
      </w:r>
      <w:r w:rsidRPr="00261CB0">
        <w:rPr>
          <w:rStyle w:val="libBold2Char"/>
          <w:rtl/>
        </w:rPr>
        <w:t xml:space="preserve"> / 1.</w:t>
      </w:r>
      <w:r w:rsidRPr="00C9040A">
        <w:rPr>
          <w:rtl/>
          <w:lang w:bidi="fa-IR"/>
        </w:rPr>
        <w:t xml:space="preserve"> عِدَّةٌ مِنْ أَصْحَابِنَا ، عَنْ أَحْمَدَ بْنِ أَبِي عَبْدِ اللهِ ، عَنِ الْحَسَنِ بْنِ مَحْبُوبٍ ، عَنْ عَمَّارِ بْنِ أَبِي الْأَحْوَصِ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وَضَعَ الْإِيمَانَ عَلى سَبْعَةِ أَسْهُمٍ : عَلَى الْبِرِّ ، وَالصِّدْقِ ، وَالْيَقِينِ ، وَالرِّضَا ، وَالْوَفَاءِ ، وَالْعِلْمِ ، وَالْحِلْمِ ، ثُمَّ </w:t>
      </w:r>
      <w:r w:rsidR="006C577F" w:rsidRPr="006C577F">
        <w:rPr>
          <w:rStyle w:val="libFootnotenumChar"/>
          <w:rtl/>
        </w:rPr>
        <w:t>(1)</w:t>
      </w:r>
      <w:r w:rsidRPr="002712F0">
        <w:rPr>
          <w:rFonts w:hint="cs"/>
          <w:rtl/>
        </w:rPr>
        <w:t xml:space="preserve"> </w:t>
      </w:r>
      <w:r w:rsidRPr="00C9040A">
        <w:rPr>
          <w:rtl/>
          <w:lang w:bidi="fa-IR"/>
        </w:rPr>
        <w:t xml:space="preserve">قَسَمَ </w:t>
      </w:r>
      <w:r w:rsidR="006C577F" w:rsidRPr="006C577F">
        <w:rPr>
          <w:rStyle w:val="libFootnotenumChar"/>
          <w:rtl/>
        </w:rPr>
        <w:t>(2)</w:t>
      </w:r>
      <w:r w:rsidRPr="00C9040A">
        <w:rPr>
          <w:rtl/>
          <w:lang w:bidi="fa-IR"/>
        </w:rPr>
        <w:t xml:space="preserve"> ذلِكَ بَيْنَ النَّاسِ ، فَمَنْ جَعَلَ فِيهِ هذِهِ </w:t>
      </w:r>
      <w:r w:rsidR="006C577F" w:rsidRPr="006C577F">
        <w:rPr>
          <w:rStyle w:val="libFootnotenumChar"/>
          <w:rtl/>
        </w:rPr>
        <w:t>(3)</w:t>
      </w:r>
      <w:r w:rsidRPr="00C9040A">
        <w:rPr>
          <w:rtl/>
          <w:lang w:bidi="fa-IR"/>
        </w:rPr>
        <w:t xml:space="preserve"> السَّبْعَةَ الْأَسْهُمِ ، فَهُوَ كَامِلٌ مُحْتَمِلٌ ، وَ</w:t>
      </w:r>
      <w:r>
        <w:rPr>
          <w:rFonts w:hint="cs"/>
          <w:rtl/>
          <w:lang w:bidi="fa-IR"/>
        </w:rPr>
        <w:t xml:space="preserve"> </w:t>
      </w:r>
      <w:r w:rsidR="006C577F" w:rsidRPr="006C577F">
        <w:rPr>
          <w:rStyle w:val="libFootnotenumChar"/>
          <w:rtl/>
        </w:rPr>
        <w:t>(4)</w:t>
      </w:r>
      <w:r w:rsidRPr="00C9040A">
        <w:rPr>
          <w:rtl/>
          <w:lang w:bidi="fa-IR"/>
        </w:rPr>
        <w:t xml:space="preserve"> قَسَمَ </w:t>
      </w:r>
      <w:r w:rsidR="006C577F" w:rsidRPr="006C577F">
        <w:rPr>
          <w:rStyle w:val="libFootnotenumChar"/>
          <w:rtl/>
        </w:rPr>
        <w:t>(5)</w:t>
      </w:r>
      <w:r w:rsidRPr="00C9040A">
        <w:rPr>
          <w:rtl/>
          <w:lang w:bidi="fa-IR"/>
        </w:rPr>
        <w:t xml:space="preserve"> لِبَعْضِ النَّاسِ السَّهْمَ ، وَلِبَعْضٍ </w:t>
      </w:r>
      <w:r w:rsidR="006C577F" w:rsidRPr="006C577F">
        <w:rPr>
          <w:rStyle w:val="libFootnotenumChar"/>
          <w:rtl/>
        </w:rPr>
        <w:t>(6)</w:t>
      </w:r>
      <w:r w:rsidRPr="005B567D">
        <w:rPr>
          <w:rStyle w:val="libFootnotenumChar"/>
          <w:rtl/>
        </w:rPr>
        <w:t xml:space="preserve"> </w:t>
      </w:r>
      <w:r w:rsidRPr="00C9040A">
        <w:rPr>
          <w:rtl/>
          <w:lang w:bidi="fa-IR"/>
        </w:rPr>
        <w:t xml:space="preserve">السَّهْمَيْنِ ، وَلِبَعْضٍ </w:t>
      </w:r>
      <w:r w:rsidR="006C577F" w:rsidRPr="006C577F">
        <w:rPr>
          <w:rStyle w:val="libFootnotenumChar"/>
          <w:rtl/>
        </w:rPr>
        <w:t>(7)</w:t>
      </w:r>
      <w:r w:rsidRPr="00C9040A">
        <w:rPr>
          <w:rtl/>
          <w:lang w:bidi="fa-IR"/>
        </w:rPr>
        <w:t xml:space="preserve"> الثَّلَاثَةَ حَتَّى انْتَهَوْا </w:t>
      </w:r>
      <w:r w:rsidR="006C577F" w:rsidRPr="006C577F">
        <w:rPr>
          <w:rStyle w:val="libFootnotenumChar"/>
          <w:rtl/>
        </w:rPr>
        <w:t>(8)</w:t>
      </w:r>
      <w:r w:rsidRPr="00C9040A">
        <w:rPr>
          <w:rtl/>
          <w:lang w:bidi="fa-IR"/>
        </w:rPr>
        <w:t xml:space="preserve"> إِلَى السَّبْعَةِ </w:t>
      </w:r>
      <w:r w:rsidR="006C577F" w:rsidRPr="006C577F">
        <w:rPr>
          <w:rStyle w:val="libFootnotenumChar"/>
          <w:rtl/>
        </w:rPr>
        <w:t>(9)</w:t>
      </w:r>
      <w:r w:rsidRPr="00C9040A">
        <w:rPr>
          <w:rtl/>
          <w:lang w:bidi="fa-IR"/>
        </w:rPr>
        <w:t xml:space="preserve"> »</w:t>
      </w:r>
      <w:r>
        <w:rPr>
          <w:rtl/>
          <w:lang w:bidi="fa-IR"/>
        </w:rPr>
        <w:t>.</w:t>
      </w:r>
      <w:r w:rsidRPr="00C9040A">
        <w:rPr>
          <w:rtl/>
          <w:lang w:bidi="fa-IR"/>
        </w:rPr>
        <w:t xml:space="preserve"> ثُمَّ قَالَ : « لَا تَحْمِلُوا </w:t>
      </w:r>
      <w:r w:rsidR="006C577F" w:rsidRPr="006C577F">
        <w:rPr>
          <w:rStyle w:val="libFootnotenumChar"/>
          <w:rtl/>
        </w:rPr>
        <w:t>(10)</w:t>
      </w:r>
      <w:r w:rsidRPr="00C9040A">
        <w:rPr>
          <w:rtl/>
          <w:lang w:bidi="fa-IR"/>
        </w:rPr>
        <w:t xml:space="preserve"> عَلى صَاحِبِ السَّهْمِ سَهْمَيْنِ ، وَلَا عَلى صَاحِبِ السَّهْمَيْنِ ثَلَاثَةً ؛ فَتَبْهَضُوهُمْ </w:t>
      </w:r>
      <w:r w:rsidR="006C577F" w:rsidRPr="006C577F">
        <w:rPr>
          <w:rStyle w:val="libFootnotenumChar"/>
          <w:rtl/>
        </w:rPr>
        <w:t>(11)</w:t>
      </w:r>
      <w:r w:rsidRPr="00C9040A">
        <w:rPr>
          <w:rtl/>
          <w:lang w:bidi="fa-IR"/>
        </w:rPr>
        <w:t xml:space="preserve"> »</w:t>
      </w:r>
      <w:r>
        <w:rPr>
          <w:rtl/>
          <w:lang w:bidi="fa-IR"/>
        </w:rPr>
        <w:t>.</w:t>
      </w:r>
      <w:r w:rsidRPr="00C9040A">
        <w:rPr>
          <w:rtl/>
          <w:lang w:bidi="fa-IR"/>
        </w:rPr>
        <w:t xml:space="preserve"> ثُمَّ قَالَ كَذلِكَ حَتّى‌</w:t>
      </w:r>
      <w:r w:rsidR="007004A5">
        <w:rPr>
          <w:rFonts w:hint="cs"/>
          <w:rtl/>
          <w:lang w:bidi="fa-IR"/>
        </w:rPr>
        <w:t>..................................................................</w:t>
      </w:r>
      <w:r w:rsidR="007004A5">
        <w:rPr>
          <w:rFonts w:hint="cs"/>
          <w:rtl/>
          <w:lang w:bidi="fa-IR"/>
        </w:rPr>
        <w:tab/>
      </w:r>
    </w:p>
    <w:p w:rsidR="008A74EB" w:rsidRPr="00C9040A" w:rsidRDefault="008A74EB" w:rsidP="008A74EB">
      <w:pPr>
        <w:pStyle w:val="libLine"/>
        <w:rPr>
          <w:rtl/>
          <w:lang w:bidi="fa-IR"/>
        </w:rPr>
      </w:pPr>
      <w:r w:rsidRPr="00C9040A">
        <w:rPr>
          <w:rtl/>
          <w:lang w:bidi="fa-IR"/>
        </w:rPr>
        <w:t>__________________</w:t>
      </w:r>
    </w:p>
    <w:p w:rsidR="008A74EB" w:rsidRPr="00C9040A" w:rsidRDefault="007004A5" w:rsidP="004A4E41">
      <w:pPr>
        <w:pStyle w:val="libFootnote0"/>
        <w:rPr>
          <w:rtl/>
          <w:lang w:bidi="fa-IR"/>
        </w:rPr>
      </w:pPr>
      <w:r>
        <w:rPr>
          <w:rFonts w:hint="cs"/>
          <w:rtl/>
        </w:rPr>
        <w:t>=</w:t>
      </w:r>
      <w:r w:rsidR="008A74EB" w:rsidRPr="0082575F">
        <w:rPr>
          <w:rtl/>
        </w:rPr>
        <w:t>وهذا المعنى يحتمل وجهين :</w:t>
      </w:r>
    </w:p>
    <w:p w:rsidR="008A74EB" w:rsidRPr="00C9040A" w:rsidRDefault="008A74EB" w:rsidP="004A4E41">
      <w:pPr>
        <w:pStyle w:val="libFootnote0"/>
        <w:rPr>
          <w:rtl/>
          <w:lang w:bidi="fa-IR"/>
        </w:rPr>
      </w:pPr>
      <w:r w:rsidRPr="0082575F">
        <w:rPr>
          <w:rtl/>
        </w:rPr>
        <w:t>أحدهما : أن يكون المراد بالأوائل والأواخر ما ذكرناه أخيراً ، وكذا السبب في الفضل.</w:t>
      </w:r>
    </w:p>
    <w:p w:rsidR="008A74EB" w:rsidRPr="00C9040A" w:rsidRDefault="008A74EB" w:rsidP="004A4E41">
      <w:pPr>
        <w:pStyle w:val="libFootnote0"/>
        <w:rPr>
          <w:rtl/>
          <w:lang w:bidi="fa-IR"/>
        </w:rPr>
      </w:pPr>
      <w:r w:rsidRPr="00323A39">
        <w:rPr>
          <w:rtl/>
        </w:rPr>
        <w:t xml:space="preserve">والآخر : أن يكون المراد بالأوائل من كان في زمن النبيّ </w:t>
      </w:r>
      <w:r w:rsidR="004A4E41" w:rsidRPr="00B866D3">
        <w:rPr>
          <w:rStyle w:val="libFootnoteAlaemChar"/>
          <w:rtl/>
        </w:rPr>
        <w:t>صلى‌الله‌عليه‌وآله</w:t>
      </w:r>
      <w:r w:rsidRPr="00323A39">
        <w:rPr>
          <w:rtl/>
        </w:rPr>
        <w:t xml:space="preserve"> وبالأواخر من كان بعد ذلك. ويكون سبب فضل الأوائل صعوبة قبول الإسلام ، وترك ما نشأوا عليه في تلك الزمن وسهولته فيما بعد استقرار الأمر وظهور الإسلام وانتشاره في البلاد ، مع أنّ الأوائل سبب لاهتداء الأواخر ؛ إذ بهم وبنصرتهم استقرّ ما استقرّ وقوي ما قوي وبان ما استبان ؛ والله المستعان ».</w:t>
      </w:r>
    </w:p>
    <w:p w:rsidR="008A74EB" w:rsidRPr="004A4E41" w:rsidRDefault="006C577F" w:rsidP="004A4E41">
      <w:pPr>
        <w:pStyle w:val="libFootnote0"/>
        <w:rPr>
          <w:rStyle w:val="libFootnote0Char"/>
          <w:rtl/>
        </w:rPr>
      </w:pPr>
      <w:r>
        <w:rPr>
          <w:rtl/>
        </w:rPr>
        <w:t>(7).</w:t>
      </w:r>
      <w:r w:rsidR="008A74EB" w:rsidRPr="00C9040A">
        <w:rPr>
          <w:rtl/>
        </w:rPr>
        <w:t xml:space="preserve"> </w:t>
      </w:r>
      <w:r w:rsidR="008A74EB" w:rsidRPr="00993B55">
        <w:rPr>
          <w:rStyle w:val="libFootnoteBoldChar"/>
          <w:rtl/>
        </w:rPr>
        <w:t>تفسير العيّاشي</w:t>
      </w:r>
      <w:r w:rsidR="008A74EB" w:rsidRPr="00C9040A">
        <w:rPr>
          <w:rtl/>
        </w:rPr>
        <w:t xml:space="preserve"> ، ج 1 ، ص 135 ، ح 447 ، عن أبي عمرو الزبيري ، وفيه قطعة مع اختلاف يسير </w:t>
      </w:r>
      <w:r w:rsidR="007004A5">
        <w:rPr>
          <w:rFonts w:hint="cs"/>
          <w:rtl/>
        </w:rPr>
        <w:t>.</w:t>
      </w:r>
      <w:r w:rsidR="008A74EB" w:rsidRPr="00993B55">
        <w:rPr>
          <w:rStyle w:val="libFootnoteBoldChar"/>
          <w:rtl/>
        </w:rPr>
        <w:t>الوافي</w:t>
      </w:r>
      <w:r w:rsidR="008A74EB" w:rsidRPr="00C9040A">
        <w:rPr>
          <w:rtl/>
        </w:rPr>
        <w:t xml:space="preserve"> ، ج 4 ، ص 123 ، ح 1719 ؛ </w:t>
      </w:r>
      <w:r w:rsidR="008A74EB" w:rsidRPr="00993B55">
        <w:rPr>
          <w:rStyle w:val="libFootnoteBoldChar"/>
          <w:rtl/>
        </w:rPr>
        <w:t>البحار</w:t>
      </w:r>
      <w:r w:rsidR="008A74EB" w:rsidRPr="00C9040A">
        <w:rPr>
          <w:rtl/>
        </w:rPr>
        <w:t xml:space="preserve"> ، ج 22 ، ص 308 ، ح 9 ؛ وج 69 ، ص 28 ، ح 6.</w:t>
      </w:r>
    </w:p>
    <w:tbl>
      <w:tblPr>
        <w:tblStyle w:val="TableGrid"/>
        <w:bidiVisual/>
        <w:tblW w:w="0" w:type="auto"/>
        <w:tblLook w:val="04A0" w:firstRow="1" w:lastRow="0" w:firstColumn="1" w:lastColumn="0" w:noHBand="0" w:noVBand="1"/>
      </w:tblPr>
      <w:tblGrid>
        <w:gridCol w:w="4006"/>
        <w:gridCol w:w="4006"/>
      </w:tblGrid>
      <w:tr w:rsidR="00AE1BE3" w:rsidTr="00AE1BE3">
        <w:tc>
          <w:tcPr>
            <w:tcW w:w="4006" w:type="dxa"/>
          </w:tcPr>
          <w:p w:rsidR="00AE1BE3" w:rsidRDefault="00AE1BE3" w:rsidP="004A4E41">
            <w:pPr>
              <w:pStyle w:val="libFootnote0"/>
              <w:rPr>
                <w:rtl/>
              </w:rPr>
            </w:pPr>
            <w:r>
              <w:rPr>
                <w:rtl/>
              </w:rPr>
              <w:t>(1).</w:t>
            </w:r>
            <w:r w:rsidRPr="00C9040A">
              <w:rPr>
                <w:rtl/>
              </w:rPr>
              <w:t xml:space="preserve"> في « ف » : « و</w:t>
            </w:r>
            <w:r>
              <w:rPr>
                <w:rFonts w:hint="cs"/>
                <w:rtl/>
              </w:rPr>
              <w:t xml:space="preserve"> </w:t>
            </w:r>
            <w:r w:rsidRPr="00C9040A">
              <w:rPr>
                <w:rtl/>
              </w:rPr>
              <w:t>»</w:t>
            </w:r>
            <w:r>
              <w:rPr>
                <w:rtl/>
              </w:rPr>
              <w:t>.</w:t>
            </w:r>
          </w:p>
        </w:tc>
        <w:tc>
          <w:tcPr>
            <w:tcW w:w="4006" w:type="dxa"/>
          </w:tcPr>
          <w:p w:rsidR="00AE1BE3" w:rsidRDefault="00AE1BE3" w:rsidP="004A4E41">
            <w:pPr>
              <w:pStyle w:val="libFootnote0"/>
              <w:rPr>
                <w:rtl/>
              </w:rPr>
            </w:pPr>
            <w:r>
              <w:rPr>
                <w:rtl/>
              </w:rPr>
              <w:t xml:space="preserve">(2). </w:t>
            </w:r>
            <w:r w:rsidRPr="00C9040A">
              <w:rPr>
                <w:rtl/>
              </w:rPr>
              <w:t>يجوز فيه التشديد أيضاً.</w:t>
            </w:r>
          </w:p>
        </w:tc>
      </w:tr>
      <w:tr w:rsidR="00AE1BE3" w:rsidTr="00AE1BE3">
        <w:tc>
          <w:tcPr>
            <w:tcW w:w="4006" w:type="dxa"/>
          </w:tcPr>
          <w:p w:rsidR="00AE1BE3" w:rsidRDefault="00AE1BE3" w:rsidP="004A4E41">
            <w:pPr>
              <w:pStyle w:val="libFootnote0"/>
              <w:rPr>
                <w:rtl/>
              </w:rPr>
            </w:pPr>
            <w:r>
              <w:rPr>
                <w:rtl/>
              </w:rPr>
              <w:t>(3).</w:t>
            </w:r>
            <w:r w:rsidRPr="00C9040A">
              <w:rPr>
                <w:rtl/>
              </w:rPr>
              <w:t xml:space="preserve"> في الوسائل </w:t>
            </w:r>
            <w:r>
              <w:rPr>
                <w:rtl/>
              </w:rPr>
              <w:t>: -</w:t>
            </w:r>
            <w:r w:rsidRPr="00C9040A">
              <w:rPr>
                <w:rtl/>
              </w:rPr>
              <w:t xml:space="preserve"> « هذه »</w:t>
            </w:r>
            <w:r>
              <w:rPr>
                <w:rtl/>
              </w:rPr>
              <w:t>.</w:t>
            </w:r>
          </w:p>
        </w:tc>
        <w:tc>
          <w:tcPr>
            <w:tcW w:w="4006" w:type="dxa"/>
          </w:tcPr>
          <w:p w:rsidR="00AE1BE3" w:rsidRDefault="00AE1BE3" w:rsidP="004A4E41">
            <w:pPr>
              <w:pStyle w:val="libFootnote0"/>
              <w:rPr>
                <w:rtl/>
              </w:rPr>
            </w:pPr>
            <w:r>
              <w:rPr>
                <w:rtl/>
              </w:rPr>
              <w:t>(4).</w:t>
            </w:r>
            <w:r w:rsidRPr="00C9040A">
              <w:rPr>
                <w:rtl/>
              </w:rPr>
              <w:t xml:space="preserve"> في حاشية « ف » : « ثمّ »</w:t>
            </w:r>
            <w:r>
              <w:rPr>
                <w:rtl/>
              </w:rPr>
              <w:t>.</w:t>
            </w:r>
          </w:p>
        </w:tc>
      </w:tr>
      <w:tr w:rsidR="00AE1BE3" w:rsidTr="00AE1BE3">
        <w:tc>
          <w:tcPr>
            <w:tcW w:w="4006" w:type="dxa"/>
          </w:tcPr>
          <w:p w:rsidR="00AE1BE3" w:rsidRDefault="00AE1BE3" w:rsidP="004A4E41">
            <w:pPr>
              <w:pStyle w:val="libFootnote0"/>
              <w:rPr>
                <w:rtl/>
              </w:rPr>
            </w:pPr>
            <w:r>
              <w:rPr>
                <w:rtl/>
              </w:rPr>
              <w:t>(5).</w:t>
            </w:r>
            <w:r w:rsidRPr="00C9040A">
              <w:rPr>
                <w:rtl/>
              </w:rPr>
              <w:t xml:space="preserve"> في « ج ، ز » : « لقسم »</w:t>
            </w:r>
            <w:r>
              <w:rPr>
                <w:rtl/>
              </w:rPr>
              <w:t>.</w:t>
            </w:r>
          </w:p>
        </w:tc>
        <w:tc>
          <w:tcPr>
            <w:tcW w:w="4006" w:type="dxa"/>
          </w:tcPr>
          <w:p w:rsidR="00AE1BE3" w:rsidRDefault="00AE1BE3" w:rsidP="004A4E41">
            <w:pPr>
              <w:pStyle w:val="libFootnote0"/>
              <w:rPr>
                <w:rtl/>
              </w:rPr>
            </w:pPr>
            <w:r>
              <w:rPr>
                <w:rtl/>
              </w:rPr>
              <w:t xml:space="preserve">(6). </w:t>
            </w:r>
            <w:r w:rsidRPr="00C9040A">
              <w:rPr>
                <w:rtl/>
              </w:rPr>
              <w:t>في الوسائل : « ولبعضهم »</w:t>
            </w:r>
            <w:r>
              <w:rPr>
                <w:rtl/>
              </w:rPr>
              <w:t>.</w:t>
            </w:r>
          </w:p>
        </w:tc>
      </w:tr>
      <w:tr w:rsidR="00AE1BE3" w:rsidTr="00AE1BE3">
        <w:tc>
          <w:tcPr>
            <w:tcW w:w="4006" w:type="dxa"/>
          </w:tcPr>
          <w:p w:rsidR="00AE1BE3" w:rsidRDefault="00AE1BE3" w:rsidP="004A4E41">
            <w:pPr>
              <w:pStyle w:val="libFootnote0"/>
              <w:rPr>
                <w:rtl/>
              </w:rPr>
            </w:pPr>
            <w:r>
              <w:rPr>
                <w:rtl/>
              </w:rPr>
              <w:t>(7).</w:t>
            </w:r>
            <w:r w:rsidRPr="00C9040A">
              <w:rPr>
                <w:rtl/>
              </w:rPr>
              <w:t xml:space="preserve"> في الوسائل : « ولبعضهم »</w:t>
            </w:r>
            <w:r>
              <w:rPr>
                <w:rtl/>
              </w:rPr>
              <w:t>.</w:t>
            </w:r>
          </w:p>
        </w:tc>
        <w:tc>
          <w:tcPr>
            <w:tcW w:w="4006" w:type="dxa"/>
          </w:tcPr>
          <w:p w:rsidR="00AE1BE3" w:rsidRDefault="00AE1BE3" w:rsidP="004A4E41">
            <w:pPr>
              <w:pStyle w:val="libFootnote0"/>
              <w:rPr>
                <w:rtl/>
              </w:rPr>
            </w:pPr>
            <w:r>
              <w:rPr>
                <w:rtl/>
              </w:rPr>
              <w:t>(8).في«ض،بع»:«انتهى</w:t>
            </w:r>
            <w:r w:rsidRPr="00C9040A">
              <w:rPr>
                <w:rtl/>
              </w:rPr>
              <w:t>»</w:t>
            </w:r>
            <w:r>
              <w:rPr>
                <w:rtl/>
              </w:rPr>
              <w:t>. وفي حاشية «بع»:«ينتهي</w:t>
            </w:r>
            <w:r w:rsidRPr="00C9040A">
              <w:rPr>
                <w:rtl/>
              </w:rPr>
              <w:t>»</w:t>
            </w:r>
            <w:r>
              <w:rPr>
                <w:rtl/>
              </w:rPr>
              <w:t>.</w:t>
            </w:r>
          </w:p>
        </w:tc>
      </w:tr>
    </w:tbl>
    <w:p w:rsidR="008A74EB" w:rsidRPr="00C9040A" w:rsidRDefault="006C577F" w:rsidP="004A4E41">
      <w:pPr>
        <w:pStyle w:val="libFootnote0"/>
        <w:rPr>
          <w:rtl/>
          <w:lang w:bidi="fa-IR"/>
        </w:rPr>
      </w:pPr>
      <w:r>
        <w:rPr>
          <w:rtl/>
        </w:rPr>
        <w:t>(9).</w:t>
      </w:r>
      <w:r w:rsidR="008A74EB" w:rsidRPr="00C9040A">
        <w:rPr>
          <w:rtl/>
        </w:rPr>
        <w:t xml:space="preserve"> في « ب ، ج ، د ، ز ، ض ، ف ، بح ، بج ، بس ، بع ، بك ، جح ، جل » والوسائل : « سبعة » بدون الالف واللام. وفي « ص ، جس ، جم ، جه » وحاشية « بع » والبحار كما في المتن.</w:t>
      </w:r>
    </w:p>
    <w:p w:rsidR="008A74EB" w:rsidRPr="00C9040A" w:rsidRDefault="006C577F" w:rsidP="004A4E41">
      <w:pPr>
        <w:pStyle w:val="libFootnote0"/>
        <w:rPr>
          <w:rtl/>
          <w:lang w:bidi="fa-IR"/>
        </w:rPr>
      </w:pPr>
      <w:r>
        <w:rPr>
          <w:rtl/>
        </w:rPr>
        <w:t>(10).</w:t>
      </w:r>
      <w:r w:rsidR="008A74EB" w:rsidRPr="00C9040A">
        <w:rPr>
          <w:rtl/>
        </w:rPr>
        <w:t xml:space="preserve"> في « ز » : « لا يحملوا »</w:t>
      </w:r>
      <w:r w:rsidR="008A74EB">
        <w:rPr>
          <w:rtl/>
        </w:rPr>
        <w:t>.</w:t>
      </w:r>
      <w:r w:rsidR="008A74EB" w:rsidRPr="00C9040A">
        <w:rPr>
          <w:rtl/>
        </w:rPr>
        <w:t xml:space="preserve"> وفي « ص » : « لا تحمّلوا »</w:t>
      </w:r>
      <w:r w:rsidR="008A74EB">
        <w:rPr>
          <w:rtl/>
        </w:rPr>
        <w:t>.</w:t>
      </w:r>
      <w:r w:rsidR="008A74EB" w:rsidRPr="00C9040A">
        <w:rPr>
          <w:rtl/>
        </w:rPr>
        <w:t xml:space="preserve"> وفي مرآة العقول : « ولا تحملوا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في « ج » : والوافي والوسائل والبحار : « فتبهظوهم »</w:t>
      </w:r>
      <w:r w:rsidR="008A74EB">
        <w:rPr>
          <w:rtl/>
        </w:rPr>
        <w:t>.</w:t>
      </w:r>
      <w:r w:rsidR="008A74EB" w:rsidRPr="00C9040A">
        <w:rPr>
          <w:rtl/>
        </w:rPr>
        <w:t xml:space="preserve"> </w:t>
      </w:r>
      <w:r w:rsidR="008A74EB">
        <w:rPr>
          <w:rtl/>
        </w:rPr>
        <w:t>و «</w:t>
      </w:r>
      <w:r w:rsidR="008A74EB" w:rsidRPr="00C9040A">
        <w:rPr>
          <w:rtl/>
        </w:rPr>
        <w:t xml:space="preserve"> بهضني » </w:t>
      </w:r>
      <w:r w:rsidR="008A74EB">
        <w:rPr>
          <w:rtl/>
        </w:rPr>
        <w:t>و «</w:t>
      </w:r>
      <w:r w:rsidR="008A74EB" w:rsidRPr="00C9040A">
        <w:rPr>
          <w:rtl/>
        </w:rPr>
        <w:t xml:space="preserve"> بهظني » بمعنى ، وبالظاء أكثر. بهظه </w:t>
      </w:r>
      <w:r w:rsidR="00AE1BE3">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AE1BE3">
      <w:pPr>
        <w:pStyle w:val="libNormal0"/>
        <w:rPr>
          <w:rtl/>
          <w:lang w:bidi="fa-IR"/>
        </w:rPr>
      </w:pPr>
      <w:r w:rsidRPr="00C9040A">
        <w:rPr>
          <w:rtl/>
          <w:lang w:bidi="fa-IR"/>
        </w:rPr>
        <w:lastRenderedPageBreak/>
        <w:t xml:space="preserve">يَنْتَهِيَ </w:t>
      </w:r>
      <w:r w:rsidR="006C577F" w:rsidRPr="006C577F">
        <w:rPr>
          <w:rStyle w:val="libFootnotenumChar"/>
          <w:rtl/>
        </w:rPr>
        <w:t>(1)</w:t>
      </w:r>
      <w:r w:rsidRPr="00853746">
        <w:rPr>
          <w:rFonts w:hint="cs"/>
          <w:rtl/>
        </w:rPr>
        <w:t xml:space="preserve"> </w:t>
      </w:r>
      <w:r w:rsidRPr="00C9040A">
        <w:rPr>
          <w:rtl/>
          <w:lang w:bidi="fa-IR"/>
        </w:rPr>
        <w:t xml:space="preserve">إِلَى السَّبْعَةِ </w:t>
      </w:r>
      <w:r w:rsidR="006C577F" w:rsidRPr="006C577F">
        <w:rPr>
          <w:rStyle w:val="libFootnotenumChar"/>
          <w:rtl/>
        </w:rPr>
        <w:t>(2)</w:t>
      </w:r>
      <w:r w:rsidR="00AE1BE3" w:rsidRPr="00AE1BE3">
        <w:rPr>
          <w:rStyle w:val="libNormalChar"/>
          <w:rFonts w:hint="cs"/>
          <w:rtl/>
        </w:rPr>
        <w:t>.</w:t>
      </w:r>
      <w:r w:rsidR="006C577F" w:rsidRPr="006C577F">
        <w:rPr>
          <w:rStyle w:val="libFootnotenumChar"/>
          <w:rtl/>
        </w:rPr>
        <w:t>(3)</w:t>
      </w:r>
      <w:r w:rsidRPr="00C9040A">
        <w:rPr>
          <w:rtl/>
          <w:lang w:bidi="fa-IR"/>
        </w:rPr>
        <w:t xml:space="preserve"> ‌</w:t>
      </w:r>
    </w:p>
    <w:p w:rsidR="00AE1BE3" w:rsidRDefault="008A74EB" w:rsidP="00AE1BE3">
      <w:pPr>
        <w:pStyle w:val="libNormal"/>
        <w:rPr>
          <w:rtl/>
          <w:lang w:bidi="fa-IR"/>
        </w:rPr>
      </w:pPr>
      <w:r w:rsidRPr="00EC0D63">
        <w:rPr>
          <w:rtl/>
        </w:rPr>
        <w:t>1531</w:t>
      </w:r>
      <w:r w:rsidRPr="00261CB0">
        <w:rPr>
          <w:rStyle w:val="libBold2Char"/>
          <w:rtl/>
        </w:rPr>
        <w:t xml:space="preserve"> / 2.</w:t>
      </w:r>
      <w:r w:rsidRPr="00C9040A">
        <w:rPr>
          <w:rtl/>
          <w:lang w:bidi="fa-IR"/>
        </w:rPr>
        <w:t xml:space="preserve"> أَبُو عَلِيٍّ الْأَشْعَرِيُّ ، عَنْ مُحَمَّدِ بْنِ عَبْدِ الْجَبَّارِ ؛</w:t>
      </w:r>
    </w:p>
    <w:p w:rsidR="008A74EB" w:rsidRPr="00C9040A" w:rsidRDefault="00AE1BE3" w:rsidP="00AE1BE3">
      <w:pPr>
        <w:pStyle w:val="libNormal"/>
        <w:rPr>
          <w:rtl/>
          <w:lang w:bidi="fa-IR"/>
        </w:rPr>
      </w:pPr>
      <w:r>
        <w:rPr>
          <w:rFonts w:hint="cs"/>
          <w:rtl/>
          <w:lang w:bidi="fa-IR"/>
        </w:rPr>
        <w:t xml:space="preserve">              </w:t>
      </w:r>
      <w:r w:rsidR="008A74EB" w:rsidRPr="00C9040A">
        <w:rPr>
          <w:rtl/>
          <w:lang w:bidi="fa-IR"/>
        </w:rPr>
        <w:t xml:space="preserve">وَمُحَمَّدُ بْنُ يَحْيى ، عَنْ أَحْمَدَ بْنِ مُحَمَّدِ بْنِ عِيسى جَمِيعاً ، عَنِ ابْنِ فَضَّالٍ ، عَنِ الْحَسَنِ بْنِ الْجَهْمِ ، عَنْ أَبِي الْيَقْظَانِ </w:t>
      </w:r>
      <w:r w:rsidR="006C577F" w:rsidRPr="006C577F">
        <w:rPr>
          <w:rStyle w:val="libFootnotenumChar"/>
          <w:rtl/>
        </w:rPr>
        <w:t>(4)</w:t>
      </w:r>
      <w:r w:rsidR="008A74EB" w:rsidRPr="00C9040A">
        <w:rPr>
          <w:rtl/>
          <w:lang w:bidi="fa-IR"/>
        </w:rPr>
        <w:t xml:space="preserve"> ، عَنْ يَعْقُوبَ بْنِ الضَّحَّاكِ</w:t>
      </w:r>
      <w:r w:rsidR="008A74EB">
        <w:rPr>
          <w:rtl/>
          <w:lang w:bidi="fa-IR"/>
        </w:rPr>
        <w:t xml:space="preserve"> </w:t>
      </w:r>
      <w:r w:rsidR="0084262C">
        <w:rPr>
          <w:rtl/>
          <w:lang w:bidi="fa-IR"/>
        </w:rPr>
        <w:t>-</w:t>
      </w:r>
      <w:r w:rsidR="008A74EB">
        <w:rPr>
          <w:rtl/>
          <w:lang w:bidi="fa-IR"/>
        </w:rPr>
        <w:t xml:space="preserve"> </w:t>
      </w:r>
      <w:r w:rsidR="008A74EB" w:rsidRPr="00C9040A">
        <w:rPr>
          <w:rtl/>
          <w:lang w:bidi="fa-IR"/>
        </w:rPr>
        <w:t xml:space="preserve">: رَجُلٍ </w:t>
      </w:r>
      <w:r w:rsidR="006C577F" w:rsidRPr="006C577F">
        <w:rPr>
          <w:rStyle w:val="libFootnotenumChar"/>
          <w:rtl/>
        </w:rPr>
        <w:t>(5)</w:t>
      </w:r>
      <w:r w:rsidR="008A74EB" w:rsidRPr="00C9040A">
        <w:rPr>
          <w:rtl/>
          <w:lang w:bidi="fa-IR"/>
        </w:rPr>
        <w:t xml:space="preserve"> مِنْ أَصْحَابِنَا </w:t>
      </w:r>
      <w:r w:rsidR="0084262C">
        <w:rPr>
          <w:rtl/>
          <w:lang w:bidi="fa-IR"/>
        </w:rPr>
        <w:t>-</w:t>
      </w:r>
      <w:r w:rsidR="008A74EB" w:rsidRPr="00C9040A">
        <w:rPr>
          <w:rtl/>
          <w:lang w:bidi="fa-IR"/>
        </w:rPr>
        <w:t xml:space="preserve"> سَرَّاجٍ وَكَانَ خَادِماً لِأَبِي عَبْدِ اللهِ </w:t>
      </w:r>
      <w:r w:rsidR="008A74EB" w:rsidRPr="0003660B">
        <w:rPr>
          <w:rStyle w:val="libAlaemChar"/>
          <w:rtl/>
        </w:rPr>
        <w:t>عليه‌السلام</w:t>
      </w:r>
      <w:r w:rsidR="008A74EB">
        <w:rPr>
          <w:rtl/>
          <w:lang w:bidi="fa-IR"/>
        </w:rPr>
        <w:t xml:space="preserve"> </w:t>
      </w:r>
      <w:r w:rsidR="0084262C">
        <w:rPr>
          <w:rtl/>
          <w:lang w:bidi="fa-IR"/>
        </w:rPr>
        <w:t>-</w:t>
      </w:r>
      <w:r w:rsidR="008A74EB">
        <w:rPr>
          <w:rtl/>
          <w:lang w:bidi="fa-IR"/>
        </w:rPr>
        <w:t xml:space="preserve"> </w:t>
      </w:r>
      <w:r w:rsidR="008A74EB" w:rsidRPr="00C9040A">
        <w:rPr>
          <w:rtl/>
          <w:lang w:bidi="fa-IR"/>
        </w:rPr>
        <w:t>قَالَ :</w:t>
      </w:r>
    </w:p>
    <w:p w:rsidR="008A74EB" w:rsidRPr="00C9040A" w:rsidRDefault="008A74EB" w:rsidP="008A74EB">
      <w:pPr>
        <w:pStyle w:val="libNormal"/>
        <w:rPr>
          <w:rtl/>
          <w:lang w:bidi="fa-IR"/>
        </w:rPr>
      </w:pPr>
      <w:r w:rsidRPr="00C9040A">
        <w:rPr>
          <w:rtl/>
          <w:lang w:bidi="fa-IR"/>
        </w:rPr>
        <w:t xml:space="preserve">بَعَثَنِي أَبُو عَبْدِ اللهِ </w:t>
      </w:r>
      <w:r w:rsidRPr="0003660B">
        <w:rPr>
          <w:rStyle w:val="libAlaemChar"/>
          <w:rtl/>
        </w:rPr>
        <w:t>عليه‌السلام</w:t>
      </w:r>
      <w:r w:rsidRPr="00C9040A">
        <w:rPr>
          <w:rtl/>
          <w:lang w:bidi="fa-IR"/>
        </w:rPr>
        <w:t xml:space="preserve"> فِي حَاجَةٍ</w:t>
      </w:r>
      <w:r>
        <w:rPr>
          <w:rtl/>
          <w:lang w:bidi="fa-IR"/>
        </w:rPr>
        <w:t xml:space="preserve"> </w:t>
      </w:r>
      <w:r w:rsidR="0084262C">
        <w:rPr>
          <w:rtl/>
          <w:lang w:bidi="fa-IR"/>
        </w:rPr>
        <w:t>-</w:t>
      </w:r>
      <w:r>
        <w:rPr>
          <w:rtl/>
          <w:lang w:bidi="fa-IR"/>
        </w:rPr>
        <w:t xml:space="preserve"> </w:t>
      </w:r>
      <w:r w:rsidRPr="00C9040A">
        <w:rPr>
          <w:rtl/>
          <w:lang w:bidi="fa-IR"/>
        </w:rPr>
        <w:t xml:space="preserve">وَهُوَ بِالْحِيرَةِ </w:t>
      </w:r>
      <w:r w:rsidR="006C577F" w:rsidRPr="006C577F">
        <w:rPr>
          <w:rStyle w:val="libFootnotenumChar"/>
          <w:rtl/>
        </w:rPr>
        <w:t>(6)</w:t>
      </w:r>
      <w:r w:rsidRPr="005B567D">
        <w:rPr>
          <w:rStyle w:val="libFootnotenumChar"/>
          <w:rtl/>
        </w:rPr>
        <w:t xml:space="preserve"> </w:t>
      </w:r>
      <w:r w:rsidR="0084262C">
        <w:rPr>
          <w:rtl/>
          <w:lang w:bidi="fa-IR"/>
        </w:rPr>
        <w:t>-</w:t>
      </w:r>
      <w:r>
        <w:rPr>
          <w:rtl/>
          <w:lang w:bidi="fa-IR"/>
        </w:rPr>
        <w:t xml:space="preserve"> </w:t>
      </w:r>
      <w:r w:rsidRPr="00C9040A">
        <w:rPr>
          <w:rtl/>
          <w:lang w:bidi="fa-IR"/>
        </w:rPr>
        <w:t xml:space="preserve">أَنَا وَجَمَاعَةً مِنْ مَوَالِيهِ ، قَالَ : فَانْطَلَقْنَا فِيهَا ، ثُمَّ رَجَعْنَا مُغْتَمِّينَ </w:t>
      </w:r>
      <w:r w:rsidR="006C577F" w:rsidRPr="006C577F">
        <w:rPr>
          <w:rStyle w:val="libFootnotenumChar"/>
          <w:rtl/>
        </w:rPr>
        <w:t>(7)</w:t>
      </w:r>
      <w:r w:rsidRPr="00C9040A">
        <w:rPr>
          <w:rtl/>
          <w:lang w:bidi="fa-IR"/>
        </w:rPr>
        <w:t xml:space="preserve"> ، قَالَ : وَكَانَ فِرَاشِي فِي‌</w:t>
      </w:r>
      <w:r w:rsidR="00AE1BE3">
        <w:rPr>
          <w:rFonts w:hint="cs"/>
          <w:rtl/>
          <w:lang w:bidi="fa-IR"/>
        </w:rPr>
        <w:t>................................</w:t>
      </w:r>
      <w:r w:rsidR="00AE1BE3">
        <w:rPr>
          <w:rFonts w:hint="cs"/>
          <w:rtl/>
          <w:lang w:bidi="fa-IR"/>
        </w:rPr>
        <w:tab/>
      </w:r>
    </w:p>
    <w:p w:rsidR="008A74EB" w:rsidRPr="00C9040A" w:rsidRDefault="008A74EB" w:rsidP="008A74EB">
      <w:pPr>
        <w:pStyle w:val="libLine"/>
        <w:rPr>
          <w:rtl/>
          <w:lang w:bidi="fa-IR"/>
        </w:rPr>
      </w:pPr>
      <w:r w:rsidRPr="00C9040A">
        <w:rPr>
          <w:rtl/>
          <w:lang w:bidi="fa-IR"/>
        </w:rPr>
        <w:t>__________________</w:t>
      </w:r>
    </w:p>
    <w:p w:rsidR="008A74EB" w:rsidRPr="00C9040A" w:rsidRDefault="00AE1BE3" w:rsidP="004A4E41">
      <w:pPr>
        <w:pStyle w:val="libFootnote0"/>
        <w:rPr>
          <w:rtl/>
          <w:lang w:bidi="fa-IR"/>
        </w:rPr>
      </w:pPr>
      <w:r>
        <w:rPr>
          <w:rFonts w:hint="cs"/>
          <w:rtl/>
        </w:rPr>
        <w:t>=</w:t>
      </w:r>
      <w:r w:rsidR="008A74EB" w:rsidRPr="00C9040A">
        <w:rPr>
          <w:rtl/>
        </w:rPr>
        <w:t xml:space="preserve">الحِمْل يَبْهَظُه بهظاً : أي أثقله وعجز عنه ، فهو مبهوظ. </w:t>
      </w:r>
      <w:r w:rsidR="008A74EB" w:rsidRPr="00993B55">
        <w:rPr>
          <w:rStyle w:val="libFootnoteBoldChar"/>
          <w:rtl/>
        </w:rPr>
        <w:t>الصحاح</w:t>
      </w:r>
      <w:r w:rsidR="008A74EB" w:rsidRPr="00C9040A">
        <w:rPr>
          <w:rtl/>
        </w:rPr>
        <w:t xml:space="preserve"> ، ج 3 ، ص 1171 ( بهظ )</w:t>
      </w:r>
      <w:r w:rsidR="008A74EB">
        <w:rPr>
          <w:rtl/>
        </w:rPr>
        <w:t>.</w:t>
      </w:r>
    </w:p>
    <w:p w:rsidR="008A74EB" w:rsidRPr="00C9040A" w:rsidRDefault="006C577F" w:rsidP="004A4E41">
      <w:pPr>
        <w:pStyle w:val="libFootnote0"/>
        <w:rPr>
          <w:rtl/>
          <w:lang w:bidi="fa-IR"/>
        </w:rPr>
      </w:pPr>
      <w:r>
        <w:rPr>
          <w:rtl/>
        </w:rPr>
        <w:t>(1).</w:t>
      </w:r>
      <w:r w:rsidR="008A74EB" w:rsidRPr="00C9040A">
        <w:rPr>
          <w:rtl/>
        </w:rPr>
        <w:t xml:space="preserve"> في « ج ، د ، ز ، ض ، بس » والوسائل والبحار : « انتهى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ب ، ج ، د ، ز ، ص ، ف ، بح ، بج ، بر ، بس ، بف ، بك ، جح ، جل » والوسائل : « سبعة » بدون الالف واللام. وفي « جس ، جم ، جه » والبحار كما في المتن.</w:t>
      </w:r>
    </w:p>
    <w:p w:rsidR="008A74EB" w:rsidRPr="00C9040A" w:rsidRDefault="006C577F" w:rsidP="004A4E41">
      <w:pPr>
        <w:pStyle w:val="libFootnote0"/>
        <w:rPr>
          <w:rtl/>
          <w:lang w:bidi="fa-IR"/>
        </w:rPr>
      </w:pPr>
      <w:r>
        <w:rPr>
          <w:rtl/>
        </w:rPr>
        <w:t>(3).</w:t>
      </w:r>
      <w:r w:rsidR="008A74EB" w:rsidRPr="00C9040A">
        <w:rPr>
          <w:rtl/>
        </w:rPr>
        <w:t xml:space="preserve"> </w:t>
      </w:r>
      <w:r w:rsidR="008A74EB" w:rsidRPr="00993B55">
        <w:rPr>
          <w:rStyle w:val="libFootnoteBoldChar"/>
          <w:rtl/>
        </w:rPr>
        <w:t>الخصال</w:t>
      </w:r>
      <w:r w:rsidR="008A74EB" w:rsidRPr="00C9040A">
        <w:rPr>
          <w:rtl/>
        </w:rPr>
        <w:t xml:space="preserve"> ، ص 354 ، باب السبعة ؛ ضمن الحديث الطويل 35 ، بسنده عن الحسن بن محبوب ، وفيه : « إنّ الله تبارك وتعالى وضع الإسلام على سبعة أسهم</w:t>
      </w:r>
      <w:r w:rsidR="008A74EB">
        <w:rPr>
          <w:rtl/>
        </w:rPr>
        <w:t xml:space="preserve"> ..</w:t>
      </w:r>
      <w:r w:rsidR="008A74EB" w:rsidRPr="00C9040A">
        <w:rPr>
          <w:rtl/>
        </w:rPr>
        <w:t xml:space="preserve">. » مع اختلاف يسير </w:t>
      </w:r>
      <w:r w:rsidR="008A74EB" w:rsidRPr="00993B55">
        <w:rPr>
          <w:rStyle w:val="libFootnoteBoldChar"/>
          <w:rtl/>
        </w:rPr>
        <w:t>الوافي</w:t>
      </w:r>
      <w:r w:rsidR="008A74EB" w:rsidRPr="00C9040A">
        <w:rPr>
          <w:rtl/>
        </w:rPr>
        <w:t xml:space="preserve"> ، ج 4 ، ص 129 ، ح 1722 ؛ </w:t>
      </w:r>
      <w:r w:rsidR="008A74EB" w:rsidRPr="00993B55">
        <w:rPr>
          <w:rStyle w:val="libFootnoteBoldChar"/>
          <w:rtl/>
        </w:rPr>
        <w:t>الوسائل</w:t>
      </w:r>
      <w:r w:rsidR="008A74EB" w:rsidRPr="00C9040A">
        <w:rPr>
          <w:rtl/>
        </w:rPr>
        <w:t xml:space="preserve"> ، ج 16 ، ص 159 ، ح 21241 ؛ </w:t>
      </w:r>
      <w:r w:rsidR="008A74EB" w:rsidRPr="00993B55">
        <w:rPr>
          <w:rStyle w:val="libFootnoteBoldChar"/>
          <w:rtl/>
        </w:rPr>
        <w:t>البحار</w:t>
      </w:r>
      <w:r w:rsidR="008A74EB" w:rsidRPr="00C9040A">
        <w:rPr>
          <w:rtl/>
        </w:rPr>
        <w:t xml:space="preserve"> ، ج 69 ، ص 159 ، ح 1.</w:t>
      </w:r>
    </w:p>
    <w:p w:rsidR="008A74EB" w:rsidRPr="00C9040A" w:rsidRDefault="006C577F" w:rsidP="004A4E41">
      <w:pPr>
        <w:pStyle w:val="libFootnote0"/>
        <w:rPr>
          <w:rtl/>
          <w:lang w:bidi="fa-IR"/>
        </w:rPr>
      </w:pPr>
      <w:r>
        <w:rPr>
          <w:rtl/>
        </w:rPr>
        <w:t>(4).</w:t>
      </w:r>
      <w:r w:rsidR="008A74EB" w:rsidRPr="00C9040A">
        <w:rPr>
          <w:rtl/>
        </w:rPr>
        <w:t xml:space="preserve"> في « ز » : « أبي اليقضان »</w:t>
      </w:r>
      <w:r w:rsidR="008A74EB">
        <w:rPr>
          <w:rtl/>
        </w:rPr>
        <w:t>.</w:t>
      </w:r>
      <w:r w:rsidR="008A74EB" w:rsidRPr="00C9040A">
        <w:rPr>
          <w:rtl/>
        </w:rPr>
        <w:t xml:space="preserve"> وفي « ص » : « أبي اليقطان »</w:t>
      </w:r>
      <w:r w:rsidR="008A74EB">
        <w:rPr>
          <w:rtl/>
        </w:rPr>
        <w:t>.</w:t>
      </w:r>
      <w:r w:rsidR="008A74EB" w:rsidRPr="00C9040A">
        <w:rPr>
          <w:rtl/>
        </w:rPr>
        <w:t xml:space="preserve"> وكلاهما سهو كما يُعلَم من ملاحظة الكتب والأسناد. ا</w:t>
      </w:r>
      <w:r w:rsidR="00520114">
        <w:rPr>
          <w:rFonts w:hint="cs"/>
          <w:rtl/>
        </w:rPr>
        <w:t>ُ</w:t>
      </w:r>
      <w:r w:rsidR="008A74EB" w:rsidRPr="00C9040A">
        <w:rPr>
          <w:rtl/>
        </w:rPr>
        <w:t xml:space="preserve">نظر على سبيل المثال : </w:t>
      </w:r>
      <w:r w:rsidR="008A74EB" w:rsidRPr="00993B55">
        <w:rPr>
          <w:rStyle w:val="libFootnoteBoldChar"/>
          <w:rtl/>
        </w:rPr>
        <w:t>رجال النجاشي</w:t>
      </w:r>
      <w:r w:rsidR="008A74EB" w:rsidRPr="00C9040A">
        <w:rPr>
          <w:rtl/>
        </w:rPr>
        <w:t xml:space="preserve"> ، ص 291 ، الرقم 781 ، وص 429 ، الرقم 1152 ؛ </w:t>
      </w:r>
      <w:r w:rsidR="008A74EB" w:rsidRPr="00993B55">
        <w:rPr>
          <w:rStyle w:val="libFootnoteBoldChar"/>
          <w:rtl/>
        </w:rPr>
        <w:t>رجال الطوسي</w:t>
      </w:r>
      <w:r w:rsidR="008A74EB" w:rsidRPr="00C9040A">
        <w:rPr>
          <w:rtl/>
        </w:rPr>
        <w:t xml:space="preserve"> ، ص 70 ، الرقم 639 ، وص 251 ، الرقم 3527.</w:t>
      </w:r>
    </w:p>
    <w:p w:rsidR="008A74EB" w:rsidRPr="00C9040A" w:rsidRDefault="006C577F" w:rsidP="004A4E41">
      <w:pPr>
        <w:pStyle w:val="libFootnote0"/>
        <w:rPr>
          <w:rtl/>
          <w:lang w:bidi="fa-IR"/>
        </w:rPr>
      </w:pPr>
      <w:r>
        <w:rPr>
          <w:rtl/>
        </w:rPr>
        <w:t>(5).</w:t>
      </w:r>
      <w:r w:rsidR="008A74EB" w:rsidRPr="00C9040A">
        <w:rPr>
          <w:rtl/>
        </w:rPr>
        <w:t xml:space="preserve"> هكذا في « د ، ز ، بر ، بس ، بف ، جر »</w:t>
      </w:r>
      <w:r w:rsidR="008A74EB">
        <w:rPr>
          <w:rtl/>
        </w:rPr>
        <w:t>.</w:t>
      </w:r>
      <w:r w:rsidR="008A74EB" w:rsidRPr="00C9040A">
        <w:rPr>
          <w:rtl/>
        </w:rPr>
        <w:t xml:space="preserve"> وفي « ب ، ج ، ص ، ض ، ف » والمطبوع وحاشية « د ، بر » : « عن رجل »</w:t>
      </w:r>
      <w:r w:rsidR="008A74EB">
        <w:rPr>
          <w:rtl/>
        </w:rPr>
        <w:t>.</w:t>
      </w:r>
      <w:r w:rsidR="008A74EB" w:rsidRPr="00C9040A">
        <w:rPr>
          <w:rtl/>
        </w:rPr>
        <w:t xml:space="preserve"> وما أثبتناه هو الظاهر ، فإنّه مؤيّد أوّلاً : بالمراجعة إلى نسخ خطّيّة ا</w:t>
      </w:r>
      <w:r w:rsidR="00520114">
        <w:rPr>
          <w:rFonts w:hint="cs"/>
          <w:rtl/>
        </w:rPr>
        <w:t>ُ</w:t>
      </w:r>
      <w:r w:rsidR="008A74EB" w:rsidRPr="00C9040A">
        <w:rPr>
          <w:rtl/>
        </w:rPr>
        <w:t xml:space="preserve">خرى منها « بج ، بح ، بش ، بع ، بل ، جح ، جس ، جك ، جل وجم » ، وثانياً : بالالتفات في نفس العنوان ؛ فإنّه يستبعد جدّاً عدم كون خادم أبي عبد الله </w:t>
      </w:r>
      <w:r w:rsidR="00117575" w:rsidRPr="00117575">
        <w:rPr>
          <w:rStyle w:val="libFootnoteAlaemChar"/>
          <w:rtl/>
        </w:rPr>
        <w:t>عليه‌السلام</w:t>
      </w:r>
      <w:r w:rsidR="008A74EB" w:rsidRPr="00C9040A">
        <w:rPr>
          <w:rtl/>
        </w:rPr>
        <w:t xml:space="preserve"> معروفاً بالاسم واللقب عند الأصحاب حتّى يعبّروا عنه برجلٍ من أصحابنا سرّاج.</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ف » : « في الحيرة »</w:t>
      </w:r>
      <w:r w:rsidR="008A74EB">
        <w:rPr>
          <w:rtl/>
        </w:rPr>
        <w:t>.</w:t>
      </w:r>
      <w:r w:rsidR="008A74EB" w:rsidRPr="00C9040A">
        <w:rPr>
          <w:rtl/>
        </w:rPr>
        <w:t xml:space="preserve"> </w:t>
      </w:r>
      <w:r w:rsidR="008A74EB">
        <w:rPr>
          <w:rtl/>
        </w:rPr>
        <w:t>و «</w:t>
      </w:r>
      <w:r w:rsidR="008A74EB" w:rsidRPr="00C9040A">
        <w:rPr>
          <w:rtl/>
        </w:rPr>
        <w:t xml:space="preserve"> الحيرة » : « مدينة كانت على ثلاثة أميال من الكوفة على موضع يقال له : النجف ، كانت مسكن ملوك العرب في الجاهليّة. </w:t>
      </w:r>
      <w:r w:rsidR="008A74EB" w:rsidRPr="00993B55">
        <w:rPr>
          <w:rStyle w:val="libFootnoteBoldChar"/>
          <w:rtl/>
        </w:rPr>
        <w:t>معجم البلدان</w:t>
      </w:r>
      <w:r w:rsidR="008A74EB" w:rsidRPr="00C9040A">
        <w:rPr>
          <w:rtl/>
        </w:rPr>
        <w:t xml:space="preserve"> ، ج 2 ، ص 328 ( حيرة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هامش المطبوع : « في بعض النسخ : معتمّن » ، وقال في </w:t>
      </w:r>
      <w:r w:rsidR="008A74EB" w:rsidRPr="00993B55">
        <w:rPr>
          <w:rStyle w:val="libFootnoteBoldChar"/>
          <w:rtl/>
        </w:rPr>
        <w:t>مرآة العقول</w:t>
      </w:r>
      <w:r w:rsidR="008A74EB" w:rsidRPr="00C9040A">
        <w:rPr>
          <w:rtl/>
        </w:rPr>
        <w:t xml:space="preserve"> ، ج 7 ، ص 274 : « معتمّين ، الظاهر أنّه‌</w:t>
      </w:r>
      <w:r w:rsidR="00520114">
        <w:rPr>
          <w:rFonts w:hint="cs"/>
          <w:rtl/>
        </w:rPr>
        <w:t xml:space="preserve"> </w:t>
      </w:r>
      <w:r w:rsidR="008A74EB" w:rsidRPr="00C9040A">
        <w:rPr>
          <w:rtl/>
        </w:rPr>
        <w:t>بالعين المهملة على بناء الإفعال أو التفعيل</w:t>
      </w:r>
      <w:r w:rsidR="008A74EB">
        <w:rPr>
          <w:rtl/>
        </w:rPr>
        <w:t xml:space="preserve"> ..</w:t>
      </w:r>
      <w:r w:rsidR="008A74EB" w:rsidRPr="00C9040A">
        <w:rPr>
          <w:rtl/>
        </w:rPr>
        <w:t>. أي رجعنا داخلين في وقت العتمة. وفي أكثر النسخ بالغين المعجمة من الغمّ ، وكأنّه تصحيف. وربّما يقرأ : مغتنمين من الغنيمة وهو تحريف »</w:t>
      </w:r>
      <w:r w:rsidR="008A74EB">
        <w:rPr>
          <w:rtl/>
        </w:rPr>
        <w:t>.</w:t>
      </w:r>
      <w:r w:rsidR="008A74EB" w:rsidRPr="00C9040A">
        <w:rPr>
          <w:rtl/>
        </w:rPr>
        <w:t xml:space="preserve"> وفي هامشه : « الظاهر أنّ </w:t>
      </w:r>
      <w:r w:rsidR="00520114">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الْحَائِرِ </w:t>
      </w:r>
      <w:r w:rsidR="006C577F" w:rsidRPr="006C577F">
        <w:rPr>
          <w:rStyle w:val="libFootnotenumChar"/>
          <w:rtl/>
        </w:rPr>
        <w:t>(1)</w:t>
      </w:r>
      <w:r w:rsidRPr="00853746">
        <w:rPr>
          <w:rFonts w:hint="cs"/>
          <w:rtl/>
        </w:rPr>
        <w:t xml:space="preserve"> </w:t>
      </w:r>
      <w:r w:rsidRPr="00C9040A">
        <w:rPr>
          <w:rtl/>
          <w:lang w:bidi="fa-IR"/>
        </w:rPr>
        <w:t>الَّذِي كُنَّا فِيهِ نُزُولاً ، فَجِئْتُ</w:t>
      </w:r>
      <w:r>
        <w:rPr>
          <w:rtl/>
          <w:lang w:bidi="fa-IR"/>
        </w:rPr>
        <w:t xml:space="preserve"> </w:t>
      </w:r>
      <w:r w:rsidR="0084262C">
        <w:rPr>
          <w:rtl/>
          <w:lang w:bidi="fa-IR"/>
        </w:rPr>
        <w:t>-</w:t>
      </w:r>
      <w:r>
        <w:rPr>
          <w:rtl/>
          <w:lang w:bidi="fa-IR"/>
        </w:rPr>
        <w:t xml:space="preserve"> </w:t>
      </w:r>
      <w:r w:rsidRPr="00C9040A">
        <w:rPr>
          <w:rtl/>
          <w:lang w:bidi="fa-IR"/>
        </w:rPr>
        <w:t>وَأَنَا بِحَالٍ</w:t>
      </w:r>
      <w:r>
        <w:rPr>
          <w:rtl/>
          <w:lang w:bidi="fa-IR"/>
        </w:rPr>
        <w:t xml:space="preserve"> </w:t>
      </w:r>
      <w:r w:rsidR="0084262C">
        <w:rPr>
          <w:rtl/>
          <w:lang w:bidi="fa-IR"/>
        </w:rPr>
        <w:t>-</w:t>
      </w:r>
      <w:r>
        <w:rPr>
          <w:rtl/>
          <w:lang w:bidi="fa-IR"/>
        </w:rPr>
        <w:t xml:space="preserve"> </w:t>
      </w:r>
      <w:r w:rsidRPr="00C9040A">
        <w:rPr>
          <w:rtl/>
          <w:lang w:bidi="fa-IR"/>
        </w:rPr>
        <w:t xml:space="preserve">فَرَمَيْتُ بِنَفْسِي ، فَبَيْنَا </w:t>
      </w:r>
      <w:r w:rsidR="006C577F" w:rsidRPr="006C577F">
        <w:rPr>
          <w:rStyle w:val="libFootnotenumChar"/>
          <w:rtl/>
        </w:rPr>
        <w:t>(2)</w:t>
      </w:r>
      <w:r w:rsidRPr="00C9040A">
        <w:rPr>
          <w:rtl/>
          <w:lang w:bidi="fa-IR"/>
        </w:rPr>
        <w:t xml:space="preserve"> أَنَا كَذلِكَ إِذَا </w:t>
      </w:r>
      <w:r w:rsidR="006C577F" w:rsidRPr="006C577F">
        <w:rPr>
          <w:rStyle w:val="libFootnotenumChar"/>
          <w:rtl/>
        </w:rPr>
        <w:t>(3)</w:t>
      </w:r>
      <w:r w:rsidRPr="00C9040A">
        <w:rPr>
          <w:rtl/>
          <w:lang w:bidi="fa-IR"/>
        </w:rPr>
        <w:t xml:space="preserve"> أَنَا بِأَبِي عَبْدِ اللهِ </w:t>
      </w:r>
      <w:r w:rsidRPr="0003660B">
        <w:rPr>
          <w:rStyle w:val="libAlaemChar"/>
          <w:rtl/>
        </w:rPr>
        <w:t>عليه‌السلام</w:t>
      </w:r>
      <w:r w:rsidRPr="00C9040A">
        <w:rPr>
          <w:rtl/>
          <w:lang w:bidi="fa-IR"/>
        </w:rPr>
        <w:t xml:space="preserve"> قَدْ أَقْبَلَ ، قَالَ : فَقَالَ : « قَدْ أَتَيْنَاكَ » ، أَوْ قَالَ : « جِئْنَاكَ </w:t>
      </w:r>
      <w:r w:rsidR="006C577F" w:rsidRPr="006C577F">
        <w:rPr>
          <w:rStyle w:val="libFootnotenumChar"/>
          <w:rtl/>
        </w:rPr>
        <w:t>(4)</w:t>
      </w:r>
      <w:r w:rsidRPr="00C9040A">
        <w:rPr>
          <w:rtl/>
          <w:lang w:bidi="fa-IR"/>
        </w:rPr>
        <w:t xml:space="preserve"> » ، فَاسْتَوَيْتُ جَالِساً ، وَجَلَسَ </w:t>
      </w:r>
      <w:r w:rsidR="006C577F" w:rsidRPr="006C577F">
        <w:rPr>
          <w:rStyle w:val="libFootnotenumChar"/>
          <w:rtl/>
        </w:rPr>
        <w:t>(5)</w:t>
      </w:r>
      <w:r w:rsidRPr="00C9040A">
        <w:rPr>
          <w:rtl/>
          <w:lang w:bidi="fa-IR"/>
        </w:rPr>
        <w:t xml:space="preserve"> عَلى صَدْرِ فِرَاشِي ، فَسَأَلَنِي عَمَّا </w:t>
      </w:r>
      <w:r w:rsidR="006C577F" w:rsidRPr="006C577F">
        <w:rPr>
          <w:rStyle w:val="libFootnotenumChar"/>
          <w:rtl/>
        </w:rPr>
        <w:t>(6)</w:t>
      </w:r>
      <w:r w:rsidRPr="005B567D">
        <w:rPr>
          <w:rStyle w:val="libFootnotenumChar"/>
          <w:rtl/>
        </w:rPr>
        <w:t xml:space="preserve"> </w:t>
      </w:r>
      <w:r w:rsidRPr="00C9040A">
        <w:rPr>
          <w:rtl/>
          <w:lang w:bidi="fa-IR"/>
        </w:rPr>
        <w:t xml:space="preserve">بَعَثَنِي لَهُ </w:t>
      </w:r>
      <w:r w:rsidR="006C577F" w:rsidRPr="006C577F">
        <w:rPr>
          <w:rStyle w:val="libFootnotenumChar"/>
          <w:rtl/>
        </w:rPr>
        <w:t>(7)</w:t>
      </w:r>
      <w:r w:rsidRPr="00C9040A">
        <w:rPr>
          <w:rtl/>
          <w:lang w:bidi="fa-IR"/>
        </w:rPr>
        <w:t xml:space="preserve"> ، فَأَخْبَرْتُهُ ، فَحَمِدَ اللهَ.</w:t>
      </w:r>
    </w:p>
    <w:p w:rsidR="008A74EB" w:rsidRPr="00C9040A" w:rsidRDefault="008A74EB" w:rsidP="008A74EB">
      <w:pPr>
        <w:pStyle w:val="libNormal0"/>
        <w:rPr>
          <w:rtl/>
          <w:lang w:bidi="fa-IR"/>
        </w:rPr>
      </w:pPr>
      <w:r w:rsidRPr="00C9040A">
        <w:rPr>
          <w:rtl/>
          <w:lang w:bidi="fa-IR"/>
        </w:rPr>
        <w:t xml:space="preserve">ثُمَّ جَرى ذِكْرُ قَوْمٍ ، فَقُلْتُ : جُعِلْتُ فِدَاكَ ، إِنَّا نَبْرَأُ </w:t>
      </w:r>
      <w:r w:rsidR="006C577F" w:rsidRPr="006C577F">
        <w:rPr>
          <w:rStyle w:val="libFootnotenumChar"/>
          <w:rtl/>
        </w:rPr>
        <w:t>(8)</w:t>
      </w:r>
      <w:r w:rsidRPr="00C9040A">
        <w:rPr>
          <w:rtl/>
          <w:lang w:bidi="fa-IR"/>
        </w:rPr>
        <w:t xml:space="preserve"> مِنْهُمْ ؛ إِنَّهُمْ لَايَقُولُونَ مَا نَقُولُ </w:t>
      </w:r>
      <w:r w:rsidR="006C577F" w:rsidRPr="006C577F">
        <w:rPr>
          <w:rStyle w:val="libFootnotenumChar"/>
          <w:rtl/>
        </w:rPr>
        <w:t>(9)</w:t>
      </w:r>
      <w:r w:rsidRPr="00C9040A">
        <w:rPr>
          <w:rtl/>
          <w:lang w:bidi="fa-IR"/>
        </w:rPr>
        <w:t xml:space="preserve"> ، قَالَ </w:t>
      </w:r>
      <w:r w:rsidR="006C577F" w:rsidRPr="006C577F">
        <w:rPr>
          <w:rStyle w:val="libFootnotenumChar"/>
          <w:rtl/>
        </w:rPr>
        <w:t>(10)</w:t>
      </w:r>
      <w:r w:rsidRPr="00C9040A">
        <w:rPr>
          <w:rtl/>
          <w:lang w:bidi="fa-IR"/>
        </w:rPr>
        <w:t xml:space="preserve"> : فَقَالَ : « يَتَوَلَّوْنَا </w:t>
      </w:r>
      <w:r w:rsidR="006C577F" w:rsidRPr="006C577F">
        <w:rPr>
          <w:rStyle w:val="libFootnotenumChar"/>
          <w:rtl/>
        </w:rPr>
        <w:t>(11)</w:t>
      </w:r>
      <w:r w:rsidRPr="00C9040A">
        <w:rPr>
          <w:rtl/>
          <w:lang w:bidi="fa-IR"/>
        </w:rPr>
        <w:t xml:space="preserve"> وَلَا يَقُولُونَ مَا تَقُولُونَ ، تَبْرَؤُونَ </w:t>
      </w:r>
      <w:r w:rsidR="006C577F" w:rsidRPr="006C577F">
        <w:rPr>
          <w:rStyle w:val="libFootnotenumChar"/>
          <w:rtl/>
        </w:rPr>
        <w:t>(12)</w:t>
      </w:r>
      <w:r w:rsidRPr="00C9040A">
        <w:rPr>
          <w:rtl/>
          <w:lang w:bidi="fa-IR"/>
        </w:rPr>
        <w:t xml:space="preserve"> مِنْهُمْ</w:t>
      </w:r>
      <w:r>
        <w:rPr>
          <w:rtl/>
          <w:lang w:bidi="fa-IR"/>
        </w:rPr>
        <w:t>؟</w:t>
      </w:r>
      <w:r w:rsidRPr="00C9040A">
        <w:rPr>
          <w:rtl/>
          <w:lang w:bidi="fa-IR"/>
        </w:rPr>
        <w:t xml:space="preserve"> » قَالَ : قُلْتُ : نَعَمْ ، قَالَ :</w:t>
      </w:r>
      <w:r>
        <w:rPr>
          <w:rFonts w:hint="cs"/>
          <w:rtl/>
          <w:lang w:bidi="fa-IR"/>
        </w:rPr>
        <w:t xml:space="preserve"> </w:t>
      </w:r>
      <w:r w:rsidRPr="00C9040A">
        <w:rPr>
          <w:rtl/>
          <w:lang w:bidi="fa-IR"/>
        </w:rPr>
        <w:t>« فَهُوَ ذَا عِنْدَنَا مَا لَيْسَ عِنْدَكُمْ ، فَيَنْبَغِي لَنَا أَنْ نَبْرَأَ مِنْكُمْ</w:t>
      </w:r>
      <w:r>
        <w:rPr>
          <w:rtl/>
          <w:lang w:bidi="fa-IR"/>
        </w:rPr>
        <w:t>؟</w:t>
      </w:r>
      <w:r w:rsidRPr="00C9040A">
        <w:rPr>
          <w:rtl/>
          <w:lang w:bidi="fa-IR"/>
        </w:rPr>
        <w:t xml:space="preserve"> » قَالَ : قُلْتُ : لَا </w:t>
      </w:r>
      <w:r w:rsidRPr="005B567D">
        <w:rPr>
          <w:rStyle w:val="libFootnotenumChar"/>
          <w:rtl/>
        </w:rPr>
        <w:t>(13)</w:t>
      </w:r>
      <w:r w:rsidRPr="00C9040A">
        <w:rPr>
          <w:rtl/>
          <w:lang w:bidi="fa-IR"/>
        </w:rPr>
        <w:t xml:space="preserve"> ، جُعِلْتُ فِدَاكَ ، قَالَ </w:t>
      </w:r>
      <w:r w:rsidRPr="005B567D">
        <w:rPr>
          <w:rStyle w:val="libFootnotenumChar"/>
          <w:rtl/>
        </w:rPr>
        <w:t>(14)</w:t>
      </w:r>
      <w:r w:rsidRPr="00C9040A">
        <w:rPr>
          <w:rtl/>
          <w:lang w:bidi="fa-IR"/>
        </w:rPr>
        <w:t xml:space="preserve"> : « وَ</w:t>
      </w:r>
      <w:r>
        <w:rPr>
          <w:rFonts w:hint="cs"/>
          <w:rtl/>
          <w:lang w:bidi="fa-IR"/>
        </w:rPr>
        <w:t xml:space="preserve"> </w:t>
      </w:r>
      <w:r w:rsidRPr="005B567D">
        <w:rPr>
          <w:rStyle w:val="libFootnotenumChar"/>
          <w:rtl/>
        </w:rPr>
        <w:t>(15)</w:t>
      </w:r>
      <w:r w:rsidRPr="00C9040A">
        <w:rPr>
          <w:rtl/>
          <w:lang w:bidi="fa-IR"/>
        </w:rPr>
        <w:t xml:space="preserve"> هُوَ ذَا عِنْدَ </w:t>
      </w:r>
      <w:r>
        <w:rPr>
          <w:rtl/>
          <w:lang w:bidi="fa-IR"/>
        </w:rPr>
        <w:t>اللهِ مَا لَيْسَ عِنْدَنَا ، أَ</w:t>
      </w:r>
      <w:r w:rsidRPr="00C9040A">
        <w:rPr>
          <w:rtl/>
          <w:lang w:bidi="fa-IR"/>
        </w:rPr>
        <w:t xml:space="preserve">فَتَرَاهُ اطَّرَحَنَا </w:t>
      </w:r>
      <w:r w:rsidRPr="005B567D">
        <w:rPr>
          <w:rStyle w:val="libFootnotenumChar"/>
          <w:rtl/>
        </w:rPr>
        <w:t>(16)</w:t>
      </w:r>
      <w:r>
        <w:rPr>
          <w:rtl/>
          <w:lang w:bidi="fa-IR"/>
        </w:rPr>
        <w:t>؟</w:t>
      </w:r>
      <w:r w:rsidRPr="00C9040A">
        <w:rPr>
          <w:rtl/>
          <w:lang w:bidi="fa-IR"/>
        </w:rPr>
        <w:t xml:space="preserve"> »</w:t>
      </w:r>
      <w:r>
        <w:rPr>
          <w:rFonts w:hint="cs"/>
          <w:rtl/>
          <w:lang w:bidi="fa-IR"/>
        </w:rPr>
        <w:t xml:space="preserve"> </w:t>
      </w:r>
      <w:r w:rsidRPr="00C9040A">
        <w:rPr>
          <w:rtl/>
          <w:lang w:bidi="fa-IR"/>
        </w:rPr>
        <w:t>قَالَ : قُلْتُ : لَاوَاللهِ‌</w:t>
      </w:r>
      <w:r>
        <w:rPr>
          <w:rFonts w:hint="cs"/>
          <w:rtl/>
          <w:lang w:bidi="fa-IR"/>
        </w:rPr>
        <w:t xml:space="preserve"> </w:t>
      </w:r>
      <w:r w:rsidRPr="00C9040A">
        <w:rPr>
          <w:rtl/>
          <w:lang w:bidi="fa-IR"/>
        </w:rPr>
        <w:t xml:space="preserve">جُعِلْتُ فِدَاكَ ، مَا نَفْعَلُ </w:t>
      </w:r>
      <w:r w:rsidRPr="005B567D">
        <w:rPr>
          <w:rStyle w:val="libFootnotenumChar"/>
          <w:rtl/>
        </w:rPr>
        <w:t>(</w:t>
      </w:r>
      <w:r w:rsidRPr="005B567D">
        <w:rPr>
          <w:rStyle w:val="libFootnotenumChar"/>
          <w:rFonts w:hint="cs"/>
          <w:rtl/>
        </w:rPr>
        <w:t>17</w:t>
      </w:r>
      <w:r w:rsidRPr="005B567D">
        <w:rPr>
          <w:rStyle w:val="libFootnotenumChar"/>
          <w:rtl/>
        </w:rPr>
        <w:t>)</w:t>
      </w:r>
      <w:r w:rsidRPr="00C9040A">
        <w:rPr>
          <w:rtl/>
          <w:lang w:bidi="fa-IR"/>
        </w:rPr>
        <w:t>؟</w:t>
      </w:r>
    </w:p>
    <w:p w:rsidR="008A74EB" w:rsidRPr="00C9040A" w:rsidRDefault="008A74EB" w:rsidP="008A74EB">
      <w:pPr>
        <w:pStyle w:val="libNormal"/>
        <w:rPr>
          <w:rtl/>
          <w:lang w:bidi="fa-IR"/>
        </w:rPr>
      </w:pPr>
      <w:r w:rsidRPr="00C9040A">
        <w:rPr>
          <w:rtl/>
          <w:lang w:bidi="fa-IR"/>
        </w:rPr>
        <w:t xml:space="preserve">قَالَ : « فَتَوَلَّوْهُمْ </w:t>
      </w:r>
      <w:r w:rsidRPr="005B567D">
        <w:rPr>
          <w:rStyle w:val="libFootnotenumChar"/>
          <w:rtl/>
        </w:rPr>
        <w:t>(</w:t>
      </w:r>
      <w:r w:rsidRPr="005B567D">
        <w:rPr>
          <w:rStyle w:val="libFootnotenumChar"/>
          <w:rFonts w:hint="cs"/>
          <w:rtl/>
        </w:rPr>
        <w:t>18</w:t>
      </w:r>
      <w:r w:rsidRPr="005B567D">
        <w:rPr>
          <w:rStyle w:val="libFootnotenumChar"/>
          <w:rtl/>
        </w:rPr>
        <w:t>)</w:t>
      </w:r>
      <w:r w:rsidRPr="00C9040A">
        <w:rPr>
          <w:rtl/>
          <w:lang w:bidi="fa-IR"/>
        </w:rPr>
        <w:t xml:space="preserve"> وَلَا تَبَرَّؤُوا مِنْهُمْ ؛ إِنَّ مِنَ</w:t>
      </w:r>
      <w:r w:rsidR="00520114">
        <w:rPr>
          <w:rFonts w:hint="cs"/>
          <w:rtl/>
          <w:lang w:bidi="fa-IR"/>
        </w:rPr>
        <w:t>................................</w:t>
      </w:r>
      <w:r w:rsidR="00520114">
        <w:rPr>
          <w:rFonts w:hint="cs"/>
          <w:rtl/>
          <w:lang w:bidi="fa-IR"/>
        </w:rPr>
        <w:tab/>
      </w:r>
    </w:p>
    <w:p w:rsidR="008A74EB" w:rsidRPr="00C9040A" w:rsidRDefault="008A74EB" w:rsidP="008A74EB">
      <w:pPr>
        <w:pStyle w:val="libLine"/>
        <w:rPr>
          <w:rtl/>
          <w:lang w:bidi="fa-IR"/>
        </w:rPr>
      </w:pPr>
      <w:r w:rsidRPr="00C9040A">
        <w:rPr>
          <w:rtl/>
          <w:lang w:bidi="fa-IR"/>
        </w:rPr>
        <w:t>__________________</w:t>
      </w:r>
    </w:p>
    <w:p w:rsidR="008A74EB" w:rsidRPr="00C9040A" w:rsidRDefault="002E244B" w:rsidP="004A4E41">
      <w:pPr>
        <w:pStyle w:val="libFootnote0"/>
        <w:rPr>
          <w:rtl/>
          <w:lang w:bidi="fa-IR"/>
        </w:rPr>
      </w:pPr>
      <w:r>
        <w:rPr>
          <w:rFonts w:hint="cs"/>
          <w:rtl/>
        </w:rPr>
        <w:t>=</w:t>
      </w:r>
      <w:r w:rsidR="008A74EB" w:rsidRPr="00C9040A">
        <w:rPr>
          <w:rtl/>
        </w:rPr>
        <w:t xml:space="preserve">ذهابه </w:t>
      </w:r>
      <w:r w:rsidR="00117575" w:rsidRPr="00117575">
        <w:rPr>
          <w:rStyle w:val="libFootnoteAlaemChar"/>
          <w:rtl/>
        </w:rPr>
        <w:t xml:space="preserve">عليه‌السلام </w:t>
      </w:r>
      <w:r w:rsidR="008A74EB" w:rsidRPr="00C9040A">
        <w:rPr>
          <w:rtl/>
        </w:rPr>
        <w:t>من المدينة إلى الحيرة كان بأمر الخليفة ، أعني المنصور وهو</w:t>
      </w:r>
      <w:r w:rsidR="008A74EB">
        <w:rPr>
          <w:rtl/>
        </w:rPr>
        <w:t xml:space="preserve"> </w:t>
      </w:r>
      <w:r w:rsidR="0084262C">
        <w:rPr>
          <w:rtl/>
        </w:rPr>
        <w:t>-</w:t>
      </w:r>
      <w:r w:rsidR="008A74EB">
        <w:rPr>
          <w:rtl/>
        </w:rPr>
        <w:t xml:space="preserve"> </w:t>
      </w:r>
      <w:r w:rsidR="008A74EB" w:rsidRPr="00C9040A">
        <w:rPr>
          <w:rtl/>
        </w:rPr>
        <w:t>عليه اللعنة</w:t>
      </w:r>
      <w:r w:rsidR="008A74EB">
        <w:rPr>
          <w:rtl/>
        </w:rPr>
        <w:t xml:space="preserve"> </w:t>
      </w:r>
      <w:r w:rsidR="0084262C">
        <w:rPr>
          <w:rtl/>
        </w:rPr>
        <w:t>-</w:t>
      </w:r>
      <w:r w:rsidR="008A74EB">
        <w:rPr>
          <w:rtl/>
        </w:rPr>
        <w:t xml:space="preserve"> </w:t>
      </w:r>
      <w:r w:rsidR="008A74EB" w:rsidRPr="00C9040A">
        <w:rPr>
          <w:rtl/>
        </w:rPr>
        <w:t xml:space="preserve">يحتال في قتله </w:t>
      </w:r>
      <w:r w:rsidR="00117575" w:rsidRPr="00117575">
        <w:rPr>
          <w:rStyle w:val="libFootnoteAlaemChar"/>
          <w:rtl/>
        </w:rPr>
        <w:t xml:space="preserve">عليه‌السلام </w:t>
      </w:r>
      <w:r w:rsidR="008A74EB" w:rsidRPr="00C9040A">
        <w:rPr>
          <w:rtl/>
        </w:rPr>
        <w:t xml:space="preserve"> ، وكانت مواليه مغتمّين لذلك ويترصّدون حاله ومآل أمره مع المنصور وينتظرون رجوعه ، وقوله : أنا بحال ، أي بسوء حال من الغمّ كما فسّره </w:t>
      </w:r>
      <w:r w:rsidR="008A74EB" w:rsidRPr="00993B55">
        <w:rPr>
          <w:rStyle w:val="libFootnoteBoldChar"/>
          <w:rtl/>
        </w:rPr>
        <w:t>الوافي</w:t>
      </w:r>
      <w:r w:rsidR="008A74EB" w:rsidRPr="00C9040A">
        <w:rPr>
          <w:rtl/>
        </w:rPr>
        <w:t xml:space="preserve"> ، وعليه فما في أكثر النسخ هو الأصحّ »</w:t>
      </w:r>
      <w:r w:rsidR="008A74EB">
        <w:rPr>
          <w:rtl/>
        </w:rPr>
        <w:t>.</w:t>
      </w:r>
    </w:p>
    <w:p w:rsidR="008A74EB" w:rsidRPr="004A4E41" w:rsidRDefault="006C577F" w:rsidP="004A4E41">
      <w:pPr>
        <w:pStyle w:val="libFootnote0"/>
        <w:rPr>
          <w:rStyle w:val="libFootnote0Char"/>
          <w:rtl/>
        </w:rPr>
      </w:pPr>
      <w:r>
        <w:rPr>
          <w:rtl/>
        </w:rPr>
        <w:t>(1).</w:t>
      </w:r>
      <w:r w:rsidR="008A74EB" w:rsidRPr="00C9040A">
        <w:rPr>
          <w:rtl/>
        </w:rPr>
        <w:t xml:space="preserve"> « الحائر » : المكان المطمئنّ الوسط المرتفع الحروف ، ومجتمع الماء ، وحوض يُسَيَّبُ إليه مسيل ماء الأمطار ، والبستان. والمراد هنا البستان ، على ما يظهر من </w:t>
      </w:r>
      <w:r w:rsidR="008A74EB" w:rsidRPr="00993B55">
        <w:rPr>
          <w:rStyle w:val="libFootnoteBoldChar"/>
          <w:rtl/>
        </w:rPr>
        <w:t>الوافي</w:t>
      </w:r>
      <w:r w:rsidR="008A74EB" w:rsidRPr="00C9040A">
        <w:rPr>
          <w:rtl/>
        </w:rPr>
        <w:t xml:space="preserve">. راجع : </w:t>
      </w:r>
      <w:r w:rsidR="008A74EB" w:rsidRPr="00993B55">
        <w:rPr>
          <w:rStyle w:val="libFootnoteBoldChar"/>
          <w:rtl/>
        </w:rPr>
        <w:t>لسان العرب</w:t>
      </w:r>
      <w:r w:rsidR="008A74EB" w:rsidRPr="00C9040A">
        <w:rPr>
          <w:rtl/>
        </w:rPr>
        <w:t xml:space="preserve"> ، ج 4 ، ص 223 ؛ </w:t>
      </w:r>
      <w:r w:rsidR="008A74EB" w:rsidRPr="00993B55">
        <w:rPr>
          <w:rStyle w:val="libFootnoteBoldChar"/>
          <w:rtl/>
        </w:rPr>
        <w:t>القاموس المحيط</w:t>
      </w:r>
      <w:r w:rsidR="008A74EB" w:rsidRPr="00C9040A">
        <w:rPr>
          <w:rtl/>
        </w:rPr>
        <w:t xml:space="preserve"> ، ج 1 ، ص 541 ( حير )</w:t>
      </w:r>
      <w:r w:rsidR="008A74EB">
        <w:rPr>
          <w:rtl/>
        </w:rPr>
        <w:t>.</w:t>
      </w:r>
      <w:r w:rsidR="005E1616">
        <w:rPr>
          <w:rFonts w:hint="cs"/>
          <w:rtl/>
        </w:rPr>
        <w:t xml:space="preserve">          </w:t>
      </w:r>
      <w:r w:rsidR="00B866D3">
        <w:rPr>
          <w:rFonts w:hint="cs"/>
          <w:rtl/>
        </w:rPr>
        <w:t xml:space="preserve"> </w:t>
      </w:r>
      <w:r w:rsidR="005E1616">
        <w:rPr>
          <w:rFonts w:hint="cs"/>
          <w:rtl/>
        </w:rPr>
        <w:t xml:space="preserve">           </w:t>
      </w:r>
      <w:r>
        <w:rPr>
          <w:rtl/>
        </w:rPr>
        <w:t>(2).</w:t>
      </w:r>
      <w:r w:rsidR="008A74EB">
        <w:rPr>
          <w:rtl/>
        </w:rPr>
        <w:t xml:space="preserve"> </w:t>
      </w:r>
      <w:r w:rsidR="005E1616">
        <w:rPr>
          <w:rtl/>
        </w:rPr>
        <w:t>في «ج</w:t>
      </w:r>
      <w:r w:rsidR="005E1616">
        <w:rPr>
          <w:rFonts w:hint="cs"/>
          <w:rtl/>
        </w:rPr>
        <w:t xml:space="preserve"> </w:t>
      </w:r>
      <w:r w:rsidR="005E1616">
        <w:rPr>
          <w:rtl/>
        </w:rPr>
        <w:t>،ص</w:t>
      </w:r>
      <w:r w:rsidR="005E1616">
        <w:rPr>
          <w:rFonts w:hint="cs"/>
          <w:rtl/>
        </w:rPr>
        <w:t xml:space="preserve"> </w:t>
      </w:r>
      <w:r w:rsidR="005E1616">
        <w:rPr>
          <w:rtl/>
        </w:rPr>
        <w:t>،ف» وحاشية «بر»:</w:t>
      </w:r>
      <w:r w:rsidR="008A74EB" w:rsidRPr="00C9040A">
        <w:rPr>
          <w:rtl/>
        </w:rPr>
        <w:t>« فبينما »</w:t>
      </w:r>
      <w:r w:rsidR="008A74EB">
        <w:rPr>
          <w:rtl/>
        </w:rPr>
        <w:t>.</w:t>
      </w:r>
    </w:p>
    <w:tbl>
      <w:tblPr>
        <w:tblStyle w:val="TableGrid"/>
        <w:bidiVisual/>
        <w:tblW w:w="0" w:type="auto"/>
        <w:tblLook w:val="04A0" w:firstRow="1" w:lastRow="0" w:firstColumn="1" w:lastColumn="0" w:noHBand="0" w:noVBand="1"/>
      </w:tblPr>
      <w:tblGrid>
        <w:gridCol w:w="4006"/>
        <w:gridCol w:w="4006"/>
      </w:tblGrid>
      <w:tr w:rsidR="005E1616" w:rsidTr="005E1616">
        <w:tc>
          <w:tcPr>
            <w:tcW w:w="4006" w:type="dxa"/>
          </w:tcPr>
          <w:p w:rsidR="005E1616" w:rsidRDefault="005E1616" w:rsidP="004A4E41">
            <w:pPr>
              <w:pStyle w:val="libFootnote0"/>
              <w:rPr>
                <w:rtl/>
              </w:rPr>
            </w:pPr>
            <w:r>
              <w:rPr>
                <w:rtl/>
              </w:rPr>
              <w:t>(3).</w:t>
            </w:r>
            <w:r w:rsidRPr="00C9040A">
              <w:rPr>
                <w:rtl/>
              </w:rPr>
              <w:t xml:space="preserve"> في « ج » والوافي : « إذ »</w:t>
            </w:r>
            <w:r>
              <w:rPr>
                <w:rtl/>
              </w:rPr>
              <w:t>.</w:t>
            </w:r>
          </w:p>
        </w:tc>
        <w:tc>
          <w:tcPr>
            <w:tcW w:w="4006" w:type="dxa"/>
          </w:tcPr>
          <w:p w:rsidR="005E1616" w:rsidRDefault="005E1616" w:rsidP="004A4E41">
            <w:pPr>
              <w:pStyle w:val="libFootnote0"/>
              <w:rPr>
                <w:rtl/>
              </w:rPr>
            </w:pPr>
            <w:r>
              <w:rPr>
                <w:rtl/>
              </w:rPr>
              <w:t>(4).</w:t>
            </w:r>
            <w:r w:rsidRPr="00C9040A">
              <w:rPr>
                <w:rtl/>
              </w:rPr>
              <w:t xml:space="preserve"> في « ض ، ف ، بر » : « قد جئناك »</w:t>
            </w:r>
            <w:r>
              <w:rPr>
                <w:rtl/>
              </w:rPr>
              <w:t>.</w:t>
            </w:r>
          </w:p>
        </w:tc>
      </w:tr>
      <w:tr w:rsidR="005E1616" w:rsidTr="005E1616">
        <w:tc>
          <w:tcPr>
            <w:tcW w:w="4006" w:type="dxa"/>
          </w:tcPr>
          <w:p w:rsidR="005E1616" w:rsidRDefault="005E1616" w:rsidP="004A4E41">
            <w:pPr>
              <w:pStyle w:val="libFootnote0"/>
              <w:rPr>
                <w:rtl/>
              </w:rPr>
            </w:pPr>
            <w:r>
              <w:rPr>
                <w:rtl/>
              </w:rPr>
              <w:t>(5).</w:t>
            </w:r>
            <w:r w:rsidRPr="00C9040A">
              <w:rPr>
                <w:rtl/>
              </w:rPr>
              <w:t xml:space="preserve"> في « ص » : « فجلس »</w:t>
            </w:r>
            <w:r>
              <w:rPr>
                <w:rtl/>
              </w:rPr>
              <w:t>.</w:t>
            </w:r>
          </w:p>
        </w:tc>
        <w:tc>
          <w:tcPr>
            <w:tcW w:w="4006" w:type="dxa"/>
          </w:tcPr>
          <w:p w:rsidR="005E1616" w:rsidRDefault="005E1616" w:rsidP="004A4E41">
            <w:pPr>
              <w:pStyle w:val="libFootnote0"/>
              <w:rPr>
                <w:rtl/>
              </w:rPr>
            </w:pPr>
            <w:r>
              <w:rPr>
                <w:rtl/>
              </w:rPr>
              <w:t xml:space="preserve">(6). </w:t>
            </w:r>
            <w:r w:rsidRPr="00C9040A">
              <w:rPr>
                <w:rtl/>
              </w:rPr>
              <w:t>في « ز » : + « كان »</w:t>
            </w:r>
            <w:r>
              <w:rPr>
                <w:rtl/>
              </w:rPr>
              <w:t>.</w:t>
            </w:r>
          </w:p>
        </w:tc>
      </w:tr>
    </w:tbl>
    <w:p w:rsidR="008A74EB" w:rsidRPr="00C9040A" w:rsidRDefault="006C577F" w:rsidP="004A4E41">
      <w:pPr>
        <w:pStyle w:val="libFootnote0"/>
        <w:rPr>
          <w:rtl/>
          <w:lang w:bidi="fa-IR"/>
        </w:rPr>
      </w:pPr>
      <w:r>
        <w:rPr>
          <w:rtl/>
        </w:rPr>
        <w:t>(7).</w:t>
      </w:r>
      <w:r w:rsidR="008A74EB" w:rsidRPr="00C9040A">
        <w:rPr>
          <w:rtl/>
        </w:rPr>
        <w:t xml:space="preserve"> في « ص ، بر ، بف » والوافي : « إليه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w:t>
      </w:r>
      <w:r w:rsidR="008A74EB" w:rsidRPr="00993B55">
        <w:rPr>
          <w:rStyle w:val="libFootnoteBoldChar"/>
          <w:rtl/>
        </w:rPr>
        <w:t>الوافي</w:t>
      </w:r>
      <w:r w:rsidR="008A74EB" w:rsidRPr="00C9040A">
        <w:rPr>
          <w:rtl/>
        </w:rPr>
        <w:t xml:space="preserve"> : « نتبرّأ »</w:t>
      </w:r>
      <w:r w:rsidR="008A74EB">
        <w:rPr>
          <w:rtl/>
        </w:rPr>
        <w:t>.</w:t>
      </w:r>
      <w:r w:rsidR="008A74EB" w:rsidRPr="00C9040A">
        <w:rPr>
          <w:rtl/>
        </w:rPr>
        <w:t xml:space="preserve"> وفي الوسائل : « قال : فقلت له : إنّا لنبرأ » بدل « فقلت : جعلت فداك إنّا نبرأ »</w:t>
      </w:r>
      <w:r w:rsidR="008A74EB">
        <w:rPr>
          <w:rtl/>
        </w:rPr>
        <w:t>.</w:t>
      </w:r>
      <w:r w:rsidR="008A74EB" w:rsidRPr="00C9040A">
        <w:rPr>
          <w:rtl/>
        </w:rPr>
        <w:t xml:space="preserve"> وفي هامش‌المطبوع : « في بعض النسخ : أنا أبرأ »</w:t>
      </w:r>
      <w:r w:rsidR="008A74EB">
        <w:rPr>
          <w:rtl/>
        </w:rPr>
        <w:t>.</w:t>
      </w:r>
    </w:p>
    <w:p w:rsidR="008A74EB" w:rsidRPr="004A4E41" w:rsidRDefault="006C577F" w:rsidP="004A4E41">
      <w:pPr>
        <w:pStyle w:val="libFootnote0"/>
        <w:rPr>
          <w:rStyle w:val="libFootnote0Char"/>
          <w:rtl/>
        </w:rPr>
      </w:pPr>
      <w:r>
        <w:rPr>
          <w:rtl/>
        </w:rPr>
        <w:t>(9).</w:t>
      </w:r>
      <w:r w:rsidR="008A74EB" w:rsidRPr="00C9040A">
        <w:rPr>
          <w:rtl/>
        </w:rPr>
        <w:t xml:space="preserve"> في « ص ، بر » وحاشية « ف » : « تقول »</w:t>
      </w:r>
      <w:r w:rsidR="008A74EB">
        <w:rPr>
          <w:rtl/>
        </w:rPr>
        <w:t>.</w:t>
      </w:r>
      <w:r w:rsidR="008A74EB" w:rsidRPr="00C9040A">
        <w:rPr>
          <w:rtl/>
        </w:rPr>
        <w:t xml:space="preserve"> وفي « ف » : « تقولون »</w:t>
      </w:r>
      <w:r w:rsidR="008A74EB">
        <w:rPr>
          <w:rtl/>
        </w:rPr>
        <w:t>.</w:t>
      </w:r>
    </w:p>
    <w:tbl>
      <w:tblPr>
        <w:tblStyle w:val="TableGrid"/>
        <w:bidiVisual/>
        <w:tblW w:w="0" w:type="auto"/>
        <w:tblLook w:val="04A0" w:firstRow="1" w:lastRow="0" w:firstColumn="1" w:lastColumn="0" w:noHBand="0" w:noVBand="1"/>
      </w:tblPr>
      <w:tblGrid>
        <w:gridCol w:w="4006"/>
        <w:gridCol w:w="4006"/>
      </w:tblGrid>
      <w:tr w:rsidR="005E1616" w:rsidTr="005E1616">
        <w:tc>
          <w:tcPr>
            <w:tcW w:w="4006" w:type="dxa"/>
          </w:tcPr>
          <w:p w:rsidR="005E1616" w:rsidRDefault="005E1616" w:rsidP="004A4E41">
            <w:pPr>
              <w:pStyle w:val="libFootnote0"/>
              <w:rPr>
                <w:rtl/>
              </w:rPr>
            </w:pPr>
            <w:r>
              <w:rPr>
                <w:rtl/>
              </w:rPr>
              <w:t>(10).</w:t>
            </w:r>
            <w:r w:rsidRPr="00C9040A">
              <w:rPr>
                <w:rtl/>
              </w:rPr>
              <w:t xml:space="preserve"> في البحار </w:t>
            </w:r>
            <w:r>
              <w:rPr>
                <w:rtl/>
              </w:rPr>
              <w:t>: -</w:t>
            </w:r>
            <w:r w:rsidRPr="00C9040A">
              <w:rPr>
                <w:rtl/>
              </w:rPr>
              <w:t xml:space="preserve"> « قال »</w:t>
            </w:r>
            <w:r>
              <w:rPr>
                <w:rtl/>
              </w:rPr>
              <w:t>.</w:t>
            </w:r>
          </w:p>
        </w:tc>
        <w:tc>
          <w:tcPr>
            <w:tcW w:w="4006" w:type="dxa"/>
          </w:tcPr>
          <w:p w:rsidR="005E1616" w:rsidRDefault="005E1616" w:rsidP="004A4E41">
            <w:pPr>
              <w:pStyle w:val="libFootnote0"/>
              <w:rPr>
                <w:rtl/>
              </w:rPr>
            </w:pPr>
            <w:r>
              <w:rPr>
                <w:rtl/>
              </w:rPr>
              <w:t>(11).</w:t>
            </w:r>
            <w:r w:rsidRPr="00C9040A">
              <w:rPr>
                <w:rtl/>
              </w:rPr>
              <w:t xml:space="preserve"> في « ص » : « يتوالونا »</w:t>
            </w:r>
            <w:r>
              <w:rPr>
                <w:rtl/>
              </w:rPr>
              <w:t>.</w:t>
            </w:r>
          </w:p>
        </w:tc>
      </w:tr>
    </w:tbl>
    <w:p w:rsidR="008A74EB" w:rsidRPr="004A4E41" w:rsidRDefault="006C577F" w:rsidP="004A4E41">
      <w:pPr>
        <w:pStyle w:val="libFootnote0"/>
        <w:rPr>
          <w:rStyle w:val="libFootnote0Char"/>
          <w:rtl/>
        </w:rPr>
      </w:pPr>
      <w:r>
        <w:rPr>
          <w:rtl/>
        </w:rPr>
        <w:t>(12).</w:t>
      </w:r>
      <w:r w:rsidR="008A74EB" w:rsidRPr="00C9040A">
        <w:rPr>
          <w:rtl/>
        </w:rPr>
        <w:t xml:space="preserve"> في « ج ، بر » : « تبرّؤون »</w:t>
      </w:r>
      <w:r w:rsidR="008A74EB">
        <w:rPr>
          <w:rtl/>
        </w:rPr>
        <w:t>.</w:t>
      </w:r>
      <w:r w:rsidR="008A74EB" w:rsidRPr="00C9040A">
        <w:rPr>
          <w:rtl/>
        </w:rPr>
        <w:t xml:space="preserve"> وفي الوافي : « وتبرّؤون »</w:t>
      </w:r>
      <w:r w:rsidR="008A74EB">
        <w:rPr>
          <w:rtl/>
        </w:rPr>
        <w:t>.</w:t>
      </w:r>
    </w:p>
    <w:tbl>
      <w:tblPr>
        <w:tblStyle w:val="TableGrid"/>
        <w:bidiVisual/>
        <w:tblW w:w="0" w:type="auto"/>
        <w:tblLook w:val="04A0" w:firstRow="1" w:lastRow="0" w:firstColumn="1" w:lastColumn="0" w:noHBand="0" w:noVBand="1"/>
      </w:tblPr>
      <w:tblGrid>
        <w:gridCol w:w="4006"/>
        <w:gridCol w:w="4006"/>
      </w:tblGrid>
      <w:tr w:rsidR="005E1616" w:rsidTr="005E1616">
        <w:tc>
          <w:tcPr>
            <w:tcW w:w="4006" w:type="dxa"/>
          </w:tcPr>
          <w:p w:rsidR="005E1616" w:rsidRDefault="00EA71FE" w:rsidP="004A4E41">
            <w:pPr>
              <w:pStyle w:val="libFootnote0"/>
              <w:rPr>
                <w:rtl/>
                <w:lang w:bidi="fa-IR"/>
              </w:rPr>
            </w:pPr>
            <w:r>
              <w:rPr>
                <w:rtl/>
              </w:rPr>
              <w:t>(13)</w:t>
            </w:r>
            <w:r w:rsidRPr="00C9040A">
              <w:rPr>
                <w:rtl/>
              </w:rPr>
              <w:t xml:space="preserve"> في « ص ، ف » : + « والله »</w:t>
            </w:r>
            <w:r>
              <w:rPr>
                <w:rtl/>
              </w:rPr>
              <w:t>.</w:t>
            </w:r>
          </w:p>
        </w:tc>
        <w:tc>
          <w:tcPr>
            <w:tcW w:w="4006" w:type="dxa"/>
          </w:tcPr>
          <w:p w:rsidR="005E1616" w:rsidRDefault="00EA71FE" w:rsidP="004A4E41">
            <w:pPr>
              <w:pStyle w:val="libFootnote0"/>
              <w:rPr>
                <w:rtl/>
                <w:lang w:bidi="fa-IR"/>
              </w:rPr>
            </w:pPr>
            <w:r>
              <w:rPr>
                <w:rtl/>
              </w:rPr>
              <w:t>(14)</w:t>
            </w:r>
            <w:r w:rsidRPr="00C9040A">
              <w:rPr>
                <w:rtl/>
              </w:rPr>
              <w:t xml:space="preserve"> في « ز » : « وقال »</w:t>
            </w:r>
            <w:r>
              <w:rPr>
                <w:rtl/>
              </w:rPr>
              <w:t>.</w:t>
            </w:r>
          </w:p>
        </w:tc>
      </w:tr>
      <w:tr w:rsidR="005E1616" w:rsidTr="005E1616">
        <w:tc>
          <w:tcPr>
            <w:tcW w:w="4006" w:type="dxa"/>
          </w:tcPr>
          <w:p w:rsidR="005E1616" w:rsidRDefault="00EA71FE" w:rsidP="004A4E41">
            <w:pPr>
              <w:pStyle w:val="libFootnote0"/>
              <w:rPr>
                <w:rtl/>
                <w:lang w:bidi="fa-IR"/>
              </w:rPr>
            </w:pPr>
            <w:r>
              <w:rPr>
                <w:rtl/>
              </w:rPr>
              <w:t>(15)</w:t>
            </w:r>
            <w:r w:rsidRPr="00C9040A">
              <w:rPr>
                <w:rtl/>
              </w:rPr>
              <w:t xml:space="preserve"> في « ز » </w:t>
            </w:r>
            <w:r>
              <w:rPr>
                <w:rtl/>
              </w:rPr>
              <w:t>: -</w:t>
            </w:r>
            <w:r w:rsidRPr="00C9040A">
              <w:rPr>
                <w:rtl/>
              </w:rPr>
              <w:t xml:space="preserve"> « و</w:t>
            </w:r>
            <w:r>
              <w:rPr>
                <w:rFonts w:hint="cs"/>
                <w:rtl/>
              </w:rPr>
              <w:t xml:space="preserve"> </w:t>
            </w:r>
            <w:r w:rsidRPr="00C9040A">
              <w:rPr>
                <w:rtl/>
              </w:rPr>
              <w:t>»</w:t>
            </w:r>
            <w:r>
              <w:rPr>
                <w:rtl/>
              </w:rPr>
              <w:t>.</w:t>
            </w:r>
          </w:p>
        </w:tc>
        <w:tc>
          <w:tcPr>
            <w:tcW w:w="4006" w:type="dxa"/>
          </w:tcPr>
          <w:p w:rsidR="005E1616" w:rsidRDefault="00EA71FE" w:rsidP="004A4E41">
            <w:pPr>
              <w:pStyle w:val="libFootnote0"/>
              <w:rPr>
                <w:rtl/>
                <w:lang w:bidi="fa-IR"/>
              </w:rPr>
            </w:pPr>
            <w:r>
              <w:rPr>
                <w:rtl/>
              </w:rPr>
              <w:t>(16)</w:t>
            </w:r>
            <w:r w:rsidRPr="00C9040A">
              <w:rPr>
                <w:rtl/>
              </w:rPr>
              <w:t xml:space="preserve"> في « ف » : « طرحنا »</w:t>
            </w:r>
            <w:r>
              <w:rPr>
                <w:rtl/>
              </w:rPr>
              <w:t>.</w:t>
            </w:r>
          </w:p>
        </w:tc>
      </w:tr>
      <w:tr w:rsidR="005E1616" w:rsidTr="005E1616">
        <w:tc>
          <w:tcPr>
            <w:tcW w:w="4006" w:type="dxa"/>
          </w:tcPr>
          <w:p w:rsidR="005E1616" w:rsidRDefault="00EA71FE" w:rsidP="004A4E41">
            <w:pPr>
              <w:pStyle w:val="libFootnote0"/>
              <w:rPr>
                <w:rtl/>
                <w:lang w:bidi="fa-IR"/>
              </w:rPr>
            </w:pPr>
            <w:r>
              <w:rPr>
                <w:rtl/>
              </w:rPr>
              <w:t>(</w:t>
            </w:r>
            <w:r>
              <w:rPr>
                <w:rFonts w:hint="cs"/>
                <w:rtl/>
              </w:rPr>
              <w:t>17</w:t>
            </w:r>
            <w:r>
              <w:rPr>
                <w:rtl/>
              </w:rPr>
              <w:t>)</w:t>
            </w:r>
            <w:r w:rsidRPr="00C9040A">
              <w:rPr>
                <w:rtl/>
              </w:rPr>
              <w:t xml:space="preserve"> في « ص ، ف » : « ما يفعل »</w:t>
            </w:r>
            <w:r>
              <w:rPr>
                <w:rtl/>
              </w:rPr>
              <w:t>.</w:t>
            </w:r>
          </w:p>
        </w:tc>
        <w:tc>
          <w:tcPr>
            <w:tcW w:w="4006" w:type="dxa"/>
          </w:tcPr>
          <w:p w:rsidR="005E1616" w:rsidRDefault="00EA71FE" w:rsidP="004A4E41">
            <w:pPr>
              <w:pStyle w:val="libFootnote0"/>
              <w:rPr>
                <w:rtl/>
                <w:lang w:bidi="fa-IR"/>
              </w:rPr>
            </w:pPr>
            <w:r>
              <w:rPr>
                <w:rtl/>
              </w:rPr>
              <w:t>(</w:t>
            </w:r>
            <w:r>
              <w:rPr>
                <w:rFonts w:hint="cs"/>
                <w:rtl/>
              </w:rPr>
              <w:t>18</w:t>
            </w:r>
            <w:r>
              <w:rPr>
                <w:rtl/>
              </w:rPr>
              <w:t xml:space="preserve">) </w:t>
            </w:r>
            <w:r w:rsidRPr="00C9040A">
              <w:rPr>
                <w:rtl/>
              </w:rPr>
              <w:t>في « ب » : « تولّوهم »</w:t>
            </w:r>
            <w:r>
              <w:rPr>
                <w:rtl/>
              </w:rPr>
              <w:t>.</w:t>
            </w:r>
          </w:p>
        </w:tc>
      </w:tr>
    </w:tbl>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الْمُسْلِمِينَ </w:t>
      </w:r>
      <w:r w:rsidR="006C577F" w:rsidRPr="006C577F">
        <w:rPr>
          <w:rStyle w:val="libFootnotenumChar"/>
          <w:rtl/>
        </w:rPr>
        <w:t>(1)</w:t>
      </w:r>
      <w:r w:rsidRPr="00C9040A">
        <w:rPr>
          <w:rtl/>
          <w:lang w:bidi="fa-IR"/>
        </w:rPr>
        <w:t xml:space="preserve"> مَنْ لَهُ سَهْمٌ ، وَمِنْهُمْ </w:t>
      </w:r>
      <w:r w:rsidR="006C577F" w:rsidRPr="006C577F">
        <w:rPr>
          <w:rStyle w:val="libFootnotenumChar"/>
          <w:rtl/>
        </w:rPr>
        <w:t>(2)</w:t>
      </w:r>
      <w:r w:rsidRPr="00C9040A">
        <w:rPr>
          <w:rtl/>
          <w:lang w:bidi="fa-IR"/>
        </w:rPr>
        <w:t xml:space="preserve"> مَنْ لَهُ سَهْمَانِ ، وَمِنْهُمْ مَنْ لَهُ </w:t>
      </w:r>
      <w:r w:rsidR="006C577F" w:rsidRPr="006C577F">
        <w:rPr>
          <w:rStyle w:val="libFootnotenumChar"/>
          <w:rtl/>
        </w:rPr>
        <w:t>(3)</w:t>
      </w:r>
      <w:r w:rsidRPr="00C9040A">
        <w:rPr>
          <w:rtl/>
          <w:lang w:bidi="fa-IR"/>
        </w:rPr>
        <w:t xml:space="preserve"> ثَلَاثَةُ أَسْهُمٍ ، وَمِنْهُمْ مَنْ لَهُ أَرْبَعَةُ أَسْهُمٍ ، وَمِنْهُمْ مَنْ لَهُ خَمْسَةُ أَسْهُمٍ ، وَمِنْهُمْ مَنْ لَهُ سِتَّةُ أَسْهُمٍ ، وَمِنْهُمْ مَنْ لَهُ سَبْعَةُ أَسْهُمٍ ، فَلَيْسَ يَنْبَغِي </w:t>
      </w:r>
      <w:r w:rsidR="006C577F" w:rsidRPr="006C577F">
        <w:rPr>
          <w:rStyle w:val="libFootnotenumChar"/>
          <w:rtl/>
        </w:rPr>
        <w:t>(4)</w:t>
      </w:r>
      <w:r w:rsidRPr="005B567D">
        <w:rPr>
          <w:rStyle w:val="libFootnotenumChar"/>
          <w:rtl/>
        </w:rPr>
        <w:t xml:space="preserve"> </w:t>
      </w:r>
      <w:r w:rsidRPr="00C9040A">
        <w:rPr>
          <w:rtl/>
          <w:lang w:bidi="fa-IR"/>
        </w:rPr>
        <w:t>أَنْ يُحْمَلَ صَاحِبُ السَّهْمِ عَلى مَا عَلَيْهِ صَاحِبُ السَّهْمَيْنِ ، وَلَا صَاحِبُ السَّهْمَيْنِ عَلى مَا عَلَيْهِ صَاحِبُ الثَّلَاثَةِ ، وَلَا صَاحِبُ الثَّلَاثَةِ عَلى مَا عَلَيْهِ صَاحِبُ الْأَرْبَعَةِ ، وَلَا صَاحِبُ الْأَرْبَعَةِ عَلى مَا عَلَيْهِ صَاحِبُ الْخَمْسَةِ ، وَلَا صَاحِبُ الْخَمْسَةِ عَلى مَا عَلَيْهِ صَاحِبُ السِّتَّةِ ، وَلَا صَاحِبُ السِّتَّةِ عَلى مَا عَلَيْهِ صَاحِبُ السَّبْعَةِ.</w:t>
      </w:r>
    </w:p>
    <w:p w:rsidR="008A74EB" w:rsidRPr="00C9040A" w:rsidRDefault="008A74EB" w:rsidP="008A74EB">
      <w:pPr>
        <w:pStyle w:val="libNormal"/>
        <w:rPr>
          <w:rtl/>
          <w:lang w:bidi="fa-IR"/>
        </w:rPr>
      </w:pPr>
      <w:r w:rsidRPr="00C9040A">
        <w:rPr>
          <w:rtl/>
          <w:lang w:bidi="fa-IR"/>
        </w:rPr>
        <w:t xml:space="preserve">وَسَأَضْرِبُ لَكَ مَثَلاً : إِنَّ رَجُلاً كَانَ لَهُ جَارٌ وَكَانَ نَصْرَانِيّاً ، فَدَعَاهُ إِلَى الْإِسْلَامِ ، وَزَيَّنَهُ لَهُ </w:t>
      </w:r>
      <w:r w:rsidR="006C577F" w:rsidRPr="006C577F">
        <w:rPr>
          <w:rStyle w:val="libFootnotenumChar"/>
          <w:rtl/>
        </w:rPr>
        <w:t>(5)</w:t>
      </w:r>
      <w:r w:rsidRPr="00C9040A">
        <w:rPr>
          <w:rtl/>
          <w:lang w:bidi="fa-IR"/>
        </w:rPr>
        <w:t xml:space="preserve"> ، فَأَجَابَهُ </w:t>
      </w:r>
      <w:r w:rsidR="006C577F" w:rsidRPr="006C577F">
        <w:rPr>
          <w:rStyle w:val="libFootnotenumChar"/>
          <w:rtl/>
        </w:rPr>
        <w:t>(6)</w:t>
      </w:r>
      <w:r w:rsidRPr="00C9040A">
        <w:rPr>
          <w:rtl/>
          <w:lang w:bidi="fa-IR"/>
        </w:rPr>
        <w:t xml:space="preserve"> ، فَأَتَاهُ </w:t>
      </w:r>
      <w:r w:rsidR="006C577F" w:rsidRPr="006C577F">
        <w:rPr>
          <w:rStyle w:val="libFootnotenumChar"/>
          <w:rtl/>
        </w:rPr>
        <w:t>(7)</w:t>
      </w:r>
      <w:r w:rsidRPr="00C9040A">
        <w:rPr>
          <w:rtl/>
          <w:lang w:bidi="fa-IR"/>
        </w:rPr>
        <w:t xml:space="preserve"> سُحَيْراً ، فَقَرَعَ عَلَيْهِ الْبَابَ ، فَقَالَ لَهُ </w:t>
      </w:r>
      <w:r w:rsidR="006C577F" w:rsidRPr="006C577F">
        <w:rPr>
          <w:rStyle w:val="libFootnotenumChar"/>
          <w:rtl/>
        </w:rPr>
        <w:t>(8)</w:t>
      </w:r>
      <w:r w:rsidRPr="00C9040A">
        <w:rPr>
          <w:rtl/>
          <w:lang w:bidi="fa-IR"/>
        </w:rPr>
        <w:t xml:space="preserve"> : مَنْ هذَا</w:t>
      </w:r>
      <w:r>
        <w:rPr>
          <w:rtl/>
          <w:lang w:bidi="fa-IR"/>
        </w:rPr>
        <w:t>؟</w:t>
      </w:r>
      <w:r w:rsidRPr="00C9040A">
        <w:rPr>
          <w:rtl/>
          <w:lang w:bidi="fa-IR"/>
        </w:rPr>
        <w:t xml:space="preserve"> قَالَ </w:t>
      </w:r>
      <w:r w:rsidR="006C577F" w:rsidRPr="006C577F">
        <w:rPr>
          <w:rStyle w:val="libFootnotenumChar"/>
          <w:rtl/>
        </w:rPr>
        <w:t>(9)</w:t>
      </w:r>
      <w:r w:rsidRPr="00C9040A">
        <w:rPr>
          <w:rtl/>
          <w:lang w:bidi="fa-IR"/>
        </w:rPr>
        <w:t xml:space="preserve"> : أَنَا فُلَانٌ ، قَالَ </w:t>
      </w:r>
      <w:r w:rsidR="006C577F" w:rsidRPr="006C577F">
        <w:rPr>
          <w:rStyle w:val="libFootnotenumChar"/>
          <w:rtl/>
        </w:rPr>
        <w:t>(10)</w:t>
      </w:r>
      <w:r w:rsidRPr="00C9040A">
        <w:rPr>
          <w:rtl/>
          <w:lang w:bidi="fa-IR"/>
        </w:rPr>
        <w:t xml:space="preserve"> : وَمَا حَاجَتُكَ</w:t>
      </w:r>
      <w:r>
        <w:rPr>
          <w:rtl/>
          <w:lang w:bidi="fa-IR"/>
        </w:rPr>
        <w:t>؟</w:t>
      </w:r>
      <w:r w:rsidRPr="00C9040A">
        <w:rPr>
          <w:rtl/>
          <w:lang w:bidi="fa-IR"/>
        </w:rPr>
        <w:t xml:space="preserve"> فَقَالَ </w:t>
      </w:r>
      <w:r w:rsidR="006C577F" w:rsidRPr="006C577F">
        <w:rPr>
          <w:rStyle w:val="libFootnotenumChar"/>
          <w:rtl/>
        </w:rPr>
        <w:t>(11)</w:t>
      </w:r>
      <w:r w:rsidRPr="00C9040A">
        <w:rPr>
          <w:rtl/>
          <w:lang w:bidi="fa-IR"/>
        </w:rPr>
        <w:t xml:space="preserve"> : تَوَضَّأْ </w:t>
      </w:r>
      <w:r w:rsidR="006C577F" w:rsidRPr="006C577F">
        <w:rPr>
          <w:rStyle w:val="libFootnotenumChar"/>
          <w:rtl/>
        </w:rPr>
        <w:t>(12)</w:t>
      </w:r>
      <w:r w:rsidRPr="00C9040A">
        <w:rPr>
          <w:rtl/>
          <w:lang w:bidi="fa-IR"/>
        </w:rPr>
        <w:t xml:space="preserve"> ، وَالْبَسْ ثَوْبَيْكَ ، وَمُرَّ بِنَا إِلَى الصَّلَاةِ ، قَالَ :</w:t>
      </w:r>
      <w:r>
        <w:rPr>
          <w:rFonts w:hint="cs"/>
          <w:rtl/>
          <w:lang w:bidi="fa-IR"/>
        </w:rPr>
        <w:t xml:space="preserve"> </w:t>
      </w:r>
      <w:r w:rsidRPr="00C9040A">
        <w:rPr>
          <w:rtl/>
          <w:lang w:bidi="fa-IR"/>
        </w:rPr>
        <w:t xml:space="preserve">فَتَوَضَّأَ ، وَلَبِسَ ثَوْبَيْهِ ، وَخَرَجَ مَعَهُ ، قَالَ : فَصَلَّيَا مَا شَاءَ اللهُ ، ثُمَّ صَلَّيَا الْفَجْرَ ، ثُمَّ مَكَثَا حَتّى أَصْبَحَا </w:t>
      </w:r>
      <w:r w:rsidRPr="005B567D">
        <w:rPr>
          <w:rStyle w:val="libFootnotenumChar"/>
          <w:rtl/>
        </w:rPr>
        <w:t>(1</w:t>
      </w:r>
      <w:r w:rsidRPr="005B567D">
        <w:rPr>
          <w:rStyle w:val="libFootnotenumChar"/>
          <w:rFonts w:hint="cs"/>
          <w:rtl/>
        </w:rPr>
        <w:t>3</w:t>
      </w:r>
      <w:r w:rsidRPr="005B567D">
        <w:rPr>
          <w:rStyle w:val="libFootnotenumChar"/>
          <w:rtl/>
        </w:rPr>
        <w:t>)</w:t>
      </w:r>
      <w:r w:rsidRPr="00C9040A">
        <w:rPr>
          <w:rtl/>
          <w:lang w:bidi="fa-IR"/>
        </w:rPr>
        <w:t xml:space="preserve"> ، فَقَامَ الَّذِي كَانَ نَصْرَانِيّاً يُرِيدُ مَنْزِلَهُ </w:t>
      </w:r>
      <w:r w:rsidRPr="005B567D">
        <w:rPr>
          <w:rStyle w:val="libFootnotenumChar"/>
          <w:rtl/>
        </w:rPr>
        <w:t>(1</w:t>
      </w:r>
      <w:r w:rsidRPr="005B567D">
        <w:rPr>
          <w:rStyle w:val="libFootnotenumChar"/>
          <w:rFonts w:hint="cs"/>
          <w:rtl/>
        </w:rPr>
        <w:t>4</w:t>
      </w:r>
      <w:r w:rsidRPr="005B567D">
        <w:rPr>
          <w:rStyle w:val="libFootnotenumChar"/>
          <w:rtl/>
        </w:rPr>
        <w:t>)</w:t>
      </w:r>
      <w:r w:rsidRPr="00C9040A">
        <w:rPr>
          <w:rtl/>
          <w:lang w:bidi="fa-IR"/>
        </w:rPr>
        <w:t xml:space="preserve"> ، فَقَالَ لَهُ الرَّجُلُ : أَيْنَ تَذْهَبُ</w:t>
      </w:r>
      <w:r>
        <w:rPr>
          <w:rtl/>
          <w:lang w:bidi="fa-IR"/>
        </w:rPr>
        <w:t>؟</w:t>
      </w:r>
      <w:r>
        <w:rPr>
          <w:rFonts w:hint="cs"/>
          <w:rtl/>
          <w:lang w:bidi="fa-IR"/>
        </w:rPr>
        <w:t xml:space="preserve"> </w:t>
      </w:r>
      <w:r w:rsidRPr="00C9040A">
        <w:rPr>
          <w:rtl/>
          <w:lang w:bidi="fa-IR"/>
        </w:rPr>
        <w:t xml:space="preserve">النَّهَارُ قَصِيرٌ ، وَالَّذِي بَيْنَكَ وَبَيْنَ الظُّهْرِ قَلِيلٌ ، قَالَ : فَجَلَسَ مَعَهُ إِلى أَنْ صَلَّى </w:t>
      </w:r>
      <w:r w:rsidRPr="005B567D">
        <w:rPr>
          <w:rStyle w:val="libFootnotenumChar"/>
          <w:rtl/>
        </w:rPr>
        <w:t>(1</w:t>
      </w:r>
      <w:r w:rsidRPr="005B567D">
        <w:rPr>
          <w:rStyle w:val="libFootnotenumChar"/>
          <w:rFonts w:hint="cs"/>
          <w:rtl/>
        </w:rPr>
        <w:t>5</w:t>
      </w:r>
      <w:r w:rsidRPr="005B567D">
        <w:rPr>
          <w:rStyle w:val="libFootnotenumChar"/>
          <w:rtl/>
        </w:rPr>
        <w:t>)</w:t>
      </w:r>
      <w:r w:rsidRPr="00C9040A">
        <w:rPr>
          <w:rtl/>
          <w:lang w:bidi="fa-IR"/>
        </w:rPr>
        <w:t xml:space="preserve"> الظُّهْرَ ، ثُمَّ قَالَ : وَمَا بَيْنَ الظُّهْرِ وَالْعَصْرِ قَلِيلٌ ، فَاحْتَبَسَهُ حَتّى صَلَّى الْعَصْرَ ، قَالَ : ثُمَّ قَامَ ، وَأَرَادَ أَنْ يَنْصَرِفَ إِلى مَنْزِلِهِ ، فَقَالَ لَهُ : إِنَّ هذَا آخِرُ النَّهَارِ ، وَأَقَلُّ مِنْ أَوَّلِهِ ، فَاحْتَبَسَهُ‌</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A84603" w:rsidTr="00A84603">
        <w:tc>
          <w:tcPr>
            <w:tcW w:w="4006" w:type="dxa"/>
          </w:tcPr>
          <w:p w:rsidR="00A84603" w:rsidRDefault="00A84603" w:rsidP="004A4E41">
            <w:pPr>
              <w:pStyle w:val="libFootnote0"/>
              <w:rPr>
                <w:rtl/>
              </w:rPr>
            </w:pPr>
            <w:r>
              <w:rPr>
                <w:rtl/>
              </w:rPr>
              <w:t>(1).</w:t>
            </w:r>
            <w:r w:rsidRPr="00C9040A">
              <w:rPr>
                <w:rtl/>
              </w:rPr>
              <w:t xml:space="preserve"> في « ج » : « إنّ للمسلمين »</w:t>
            </w:r>
            <w:r>
              <w:rPr>
                <w:rtl/>
              </w:rPr>
              <w:t>.</w:t>
            </w:r>
          </w:p>
        </w:tc>
        <w:tc>
          <w:tcPr>
            <w:tcW w:w="4006" w:type="dxa"/>
          </w:tcPr>
          <w:p w:rsidR="00A84603" w:rsidRDefault="00A84603" w:rsidP="004A4E41">
            <w:pPr>
              <w:pStyle w:val="libFootnote0"/>
              <w:rPr>
                <w:rtl/>
              </w:rPr>
            </w:pPr>
            <w:r>
              <w:rPr>
                <w:rtl/>
              </w:rPr>
              <w:t>(2).</w:t>
            </w:r>
            <w:r w:rsidRPr="00C9040A">
              <w:rPr>
                <w:rtl/>
              </w:rPr>
              <w:t xml:space="preserve"> في « ص » </w:t>
            </w:r>
            <w:r>
              <w:rPr>
                <w:rtl/>
              </w:rPr>
              <w:t>: -</w:t>
            </w:r>
            <w:r w:rsidRPr="00C9040A">
              <w:rPr>
                <w:rtl/>
              </w:rPr>
              <w:t xml:space="preserve"> « منهم »</w:t>
            </w:r>
            <w:r>
              <w:rPr>
                <w:rtl/>
              </w:rPr>
              <w:t>.</w:t>
            </w:r>
          </w:p>
        </w:tc>
      </w:tr>
      <w:tr w:rsidR="00A84603" w:rsidTr="00A84603">
        <w:tc>
          <w:tcPr>
            <w:tcW w:w="4006" w:type="dxa"/>
          </w:tcPr>
          <w:p w:rsidR="00A84603" w:rsidRDefault="00A84603" w:rsidP="004A4E41">
            <w:pPr>
              <w:pStyle w:val="libFootnote0"/>
              <w:rPr>
                <w:rtl/>
              </w:rPr>
            </w:pPr>
            <w:r>
              <w:rPr>
                <w:rtl/>
              </w:rPr>
              <w:t>(3).</w:t>
            </w:r>
            <w:r w:rsidRPr="00C9040A">
              <w:rPr>
                <w:rtl/>
              </w:rPr>
              <w:t xml:space="preserve"> في « ف » </w:t>
            </w:r>
            <w:r>
              <w:rPr>
                <w:rtl/>
              </w:rPr>
              <w:t>: -</w:t>
            </w:r>
            <w:r w:rsidRPr="00C9040A">
              <w:rPr>
                <w:rtl/>
              </w:rPr>
              <w:t xml:space="preserve"> « من له »</w:t>
            </w:r>
            <w:r>
              <w:rPr>
                <w:rtl/>
              </w:rPr>
              <w:t>.</w:t>
            </w:r>
          </w:p>
        </w:tc>
        <w:tc>
          <w:tcPr>
            <w:tcW w:w="4006" w:type="dxa"/>
          </w:tcPr>
          <w:p w:rsidR="00A84603" w:rsidRDefault="00A84603" w:rsidP="004A4E41">
            <w:pPr>
              <w:pStyle w:val="libFootnote0"/>
              <w:rPr>
                <w:rtl/>
              </w:rPr>
            </w:pPr>
            <w:r>
              <w:rPr>
                <w:rtl/>
              </w:rPr>
              <w:t xml:space="preserve">(4). </w:t>
            </w:r>
            <w:r w:rsidRPr="00C9040A">
              <w:rPr>
                <w:rtl/>
              </w:rPr>
              <w:t>في حاشية « ف ، بر » والبحار : « فلا ينبغي »</w:t>
            </w:r>
            <w:r>
              <w:rPr>
                <w:rtl/>
              </w:rPr>
              <w:t>.</w:t>
            </w:r>
          </w:p>
        </w:tc>
      </w:tr>
      <w:tr w:rsidR="00A84603" w:rsidTr="00A84603">
        <w:tc>
          <w:tcPr>
            <w:tcW w:w="4006" w:type="dxa"/>
          </w:tcPr>
          <w:p w:rsidR="00A84603" w:rsidRDefault="00A84603" w:rsidP="004A4E41">
            <w:pPr>
              <w:pStyle w:val="libFootnote0"/>
              <w:rPr>
                <w:rtl/>
              </w:rPr>
            </w:pPr>
            <w:r>
              <w:rPr>
                <w:rtl/>
              </w:rPr>
              <w:t>(5).</w:t>
            </w:r>
            <w:r w:rsidRPr="00C9040A">
              <w:rPr>
                <w:rtl/>
              </w:rPr>
              <w:t xml:space="preserve"> في « ض » </w:t>
            </w:r>
            <w:r>
              <w:rPr>
                <w:rtl/>
              </w:rPr>
              <w:t>: -</w:t>
            </w:r>
            <w:r w:rsidRPr="00C9040A">
              <w:rPr>
                <w:rtl/>
              </w:rPr>
              <w:t xml:space="preserve"> « له »</w:t>
            </w:r>
            <w:r>
              <w:rPr>
                <w:rtl/>
              </w:rPr>
              <w:t>.</w:t>
            </w:r>
          </w:p>
        </w:tc>
        <w:tc>
          <w:tcPr>
            <w:tcW w:w="4006" w:type="dxa"/>
          </w:tcPr>
          <w:p w:rsidR="00A84603" w:rsidRDefault="00A84603" w:rsidP="004A4E41">
            <w:pPr>
              <w:pStyle w:val="libFootnote0"/>
              <w:rPr>
                <w:rtl/>
              </w:rPr>
            </w:pPr>
            <w:r>
              <w:rPr>
                <w:rtl/>
              </w:rPr>
              <w:t>(6).</w:t>
            </w:r>
            <w:r w:rsidRPr="00C9040A">
              <w:rPr>
                <w:rtl/>
              </w:rPr>
              <w:t xml:space="preserve"> في « ف » : « وأجابه »</w:t>
            </w:r>
            <w:r>
              <w:rPr>
                <w:rtl/>
              </w:rPr>
              <w:t>.</w:t>
            </w:r>
          </w:p>
        </w:tc>
      </w:tr>
      <w:tr w:rsidR="00A84603" w:rsidTr="00A84603">
        <w:tc>
          <w:tcPr>
            <w:tcW w:w="4006" w:type="dxa"/>
          </w:tcPr>
          <w:p w:rsidR="00A84603" w:rsidRDefault="00A84603" w:rsidP="004A4E41">
            <w:pPr>
              <w:pStyle w:val="libFootnote0"/>
              <w:rPr>
                <w:rtl/>
              </w:rPr>
            </w:pPr>
            <w:r>
              <w:rPr>
                <w:rtl/>
              </w:rPr>
              <w:t>(7).</w:t>
            </w:r>
            <w:r w:rsidRPr="00C9040A">
              <w:rPr>
                <w:rtl/>
              </w:rPr>
              <w:t xml:space="preserve"> في « ف » : « وأتاه »</w:t>
            </w:r>
            <w:r>
              <w:rPr>
                <w:rtl/>
              </w:rPr>
              <w:t>.</w:t>
            </w:r>
          </w:p>
        </w:tc>
        <w:tc>
          <w:tcPr>
            <w:tcW w:w="4006" w:type="dxa"/>
          </w:tcPr>
          <w:p w:rsidR="00A84603" w:rsidRDefault="00A84603" w:rsidP="004A4E41">
            <w:pPr>
              <w:pStyle w:val="libFootnote0"/>
              <w:rPr>
                <w:rtl/>
              </w:rPr>
            </w:pPr>
            <w:r>
              <w:rPr>
                <w:rtl/>
              </w:rPr>
              <w:t>(8).</w:t>
            </w:r>
            <w:r w:rsidRPr="00C9040A">
              <w:rPr>
                <w:rtl/>
              </w:rPr>
              <w:t xml:space="preserve"> في الوسائل </w:t>
            </w:r>
            <w:r>
              <w:rPr>
                <w:rtl/>
              </w:rPr>
              <w:t>: -</w:t>
            </w:r>
            <w:r w:rsidRPr="00C9040A">
              <w:rPr>
                <w:rtl/>
              </w:rPr>
              <w:t xml:space="preserve"> « له »</w:t>
            </w:r>
            <w:r>
              <w:rPr>
                <w:rtl/>
              </w:rPr>
              <w:t>.</w:t>
            </w:r>
          </w:p>
        </w:tc>
      </w:tr>
      <w:tr w:rsidR="00A84603" w:rsidTr="00A84603">
        <w:tc>
          <w:tcPr>
            <w:tcW w:w="4006" w:type="dxa"/>
          </w:tcPr>
          <w:p w:rsidR="00A84603" w:rsidRDefault="00A84603" w:rsidP="004A4E41">
            <w:pPr>
              <w:pStyle w:val="libFootnote0"/>
              <w:rPr>
                <w:rtl/>
              </w:rPr>
            </w:pPr>
            <w:r>
              <w:rPr>
                <w:rtl/>
              </w:rPr>
              <w:t>(9).</w:t>
            </w:r>
            <w:r w:rsidRPr="00C9040A">
              <w:rPr>
                <w:rtl/>
              </w:rPr>
              <w:t xml:space="preserve"> في « ز ، ص » : « فقال »</w:t>
            </w:r>
            <w:r>
              <w:rPr>
                <w:rtl/>
              </w:rPr>
              <w:t>.</w:t>
            </w:r>
          </w:p>
        </w:tc>
        <w:tc>
          <w:tcPr>
            <w:tcW w:w="4006" w:type="dxa"/>
          </w:tcPr>
          <w:p w:rsidR="00A84603" w:rsidRDefault="00A84603" w:rsidP="004A4E41">
            <w:pPr>
              <w:pStyle w:val="libFootnote0"/>
              <w:rPr>
                <w:rtl/>
              </w:rPr>
            </w:pPr>
            <w:r>
              <w:rPr>
                <w:rtl/>
              </w:rPr>
              <w:t>(10).</w:t>
            </w:r>
            <w:r w:rsidRPr="00C9040A">
              <w:rPr>
                <w:rtl/>
              </w:rPr>
              <w:t xml:space="preserve"> في « ز » : « فقال »</w:t>
            </w:r>
            <w:r>
              <w:rPr>
                <w:rtl/>
              </w:rPr>
              <w:t>.</w:t>
            </w:r>
          </w:p>
        </w:tc>
      </w:tr>
    </w:tbl>
    <w:p w:rsidR="008A74EB" w:rsidRPr="00C9040A" w:rsidRDefault="006C577F" w:rsidP="004A4E41">
      <w:pPr>
        <w:pStyle w:val="libFootnote0"/>
        <w:rPr>
          <w:rtl/>
          <w:lang w:bidi="fa-IR"/>
        </w:rPr>
      </w:pPr>
      <w:r>
        <w:rPr>
          <w:rtl/>
        </w:rPr>
        <w:t>(11).</w:t>
      </w:r>
      <w:r w:rsidR="008A74EB" w:rsidRPr="00C9040A">
        <w:rPr>
          <w:rtl/>
        </w:rPr>
        <w:t xml:space="preserve"> في « ب ، ض » : + « له »</w:t>
      </w:r>
      <w:r w:rsidR="008A74EB">
        <w:rPr>
          <w:rtl/>
        </w:rPr>
        <w:t>.</w:t>
      </w:r>
      <w:r w:rsidR="008A74EB" w:rsidRPr="00C9040A">
        <w:rPr>
          <w:rtl/>
        </w:rPr>
        <w:t xml:space="preserve"> وفي الوسائل والبحار : « قال »</w:t>
      </w:r>
      <w:r w:rsidR="008A74EB">
        <w:rPr>
          <w:rtl/>
        </w:rPr>
        <w:t>.</w:t>
      </w:r>
    </w:p>
    <w:p w:rsidR="008A74EB" w:rsidRPr="004A4E41" w:rsidRDefault="006C577F" w:rsidP="004A4E41">
      <w:pPr>
        <w:pStyle w:val="libFootnote0"/>
        <w:rPr>
          <w:rStyle w:val="libFootnote0Char"/>
          <w:rtl/>
        </w:rPr>
      </w:pPr>
      <w:r>
        <w:rPr>
          <w:rtl/>
        </w:rPr>
        <w:t>(12).</w:t>
      </w:r>
      <w:r w:rsidR="008A74EB" w:rsidRPr="00C9040A">
        <w:rPr>
          <w:rtl/>
        </w:rPr>
        <w:t xml:space="preserve"> في « ب ، ز ، ص ، بر » : « توضّ » بقلب الهمزة ياءً وحذفها.</w:t>
      </w:r>
    </w:p>
    <w:tbl>
      <w:tblPr>
        <w:tblStyle w:val="TableGrid"/>
        <w:bidiVisual/>
        <w:tblW w:w="0" w:type="auto"/>
        <w:tblLook w:val="04A0" w:firstRow="1" w:lastRow="0" w:firstColumn="1" w:lastColumn="0" w:noHBand="0" w:noVBand="1"/>
      </w:tblPr>
      <w:tblGrid>
        <w:gridCol w:w="4006"/>
        <w:gridCol w:w="4006"/>
      </w:tblGrid>
      <w:tr w:rsidR="00A84603" w:rsidTr="00A84603">
        <w:tc>
          <w:tcPr>
            <w:tcW w:w="4006" w:type="dxa"/>
          </w:tcPr>
          <w:p w:rsidR="00A84603" w:rsidRDefault="00A84603" w:rsidP="004A4E41">
            <w:pPr>
              <w:pStyle w:val="libFootnote0"/>
              <w:rPr>
                <w:rtl/>
              </w:rPr>
            </w:pPr>
            <w:r>
              <w:rPr>
                <w:rtl/>
              </w:rPr>
              <w:t>(1</w:t>
            </w:r>
            <w:r>
              <w:rPr>
                <w:rFonts w:hint="cs"/>
                <w:rtl/>
              </w:rPr>
              <w:t>3</w:t>
            </w:r>
            <w:r>
              <w:rPr>
                <w:rtl/>
              </w:rPr>
              <w:t>)</w:t>
            </w:r>
            <w:r w:rsidRPr="00C9040A">
              <w:rPr>
                <w:rtl/>
              </w:rPr>
              <w:t xml:space="preserve"> في « ف » : + « فقال »</w:t>
            </w:r>
            <w:r>
              <w:rPr>
                <w:rtl/>
              </w:rPr>
              <w:t>.</w:t>
            </w:r>
          </w:p>
        </w:tc>
        <w:tc>
          <w:tcPr>
            <w:tcW w:w="4006" w:type="dxa"/>
          </w:tcPr>
          <w:p w:rsidR="00A84603" w:rsidRDefault="00A84603" w:rsidP="004A4E41">
            <w:pPr>
              <w:pStyle w:val="libFootnote0"/>
              <w:rPr>
                <w:rtl/>
              </w:rPr>
            </w:pPr>
            <w:r>
              <w:rPr>
                <w:rtl/>
              </w:rPr>
              <w:t>(</w:t>
            </w:r>
            <w:r>
              <w:rPr>
                <w:rFonts w:hint="cs"/>
                <w:rtl/>
              </w:rPr>
              <w:t>14</w:t>
            </w:r>
            <w:r>
              <w:rPr>
                <w:rtl/>
              </w:rPr>
              <w:t>)</w:t>
            </w:r>
            <w:r w:rsidRPr="00C9040A">
              <w:rPr>
                <w:rtl/>
              </w:rPr>
              <w:t xml:space="preserve"> في « ب » والبحار : + « قال »</w:t>
            </w:r>
            <w:r>
              <w:rPr>
                <w:rtl/>
              </w:rPr>
              <w:t>.</w:t>
            </w:r>
          </w:p>
        </w:tc>
      </w:tr>
    </w:tbl>
    <w:p w:rsidR="008A74EB" w:rsidRPr="00C9040A" w:rsidRDefault="008A74EB" w:rsidP="004A4E41">
      <w:pPr>
        <w:pStyle w:val="libFootnote0"/>
        <w:rPr>
          <w:rtl/>
          <w:lang w:bidi="fa-IR"/>
        </w:rPr>
      </w:pPr>
      <w:r>
        <w:rPr>
          <w:rtl/>
        </w:rPr>
        <w:t>(1</w:t>
      </w:r>
      <w:r>
        <w:rPr>
          <w:rFonts w:hint="cs"/>
          <w:rtl/>
        </w:rPr>
        <w:t>5</w:t>
      </w:r>
      <w:r>
        <w:rPr>
          <w:rtl/>
        </w:rPr>
        <w:t>)</w:t>
      </w:r>
      <w:r w:rsidRPr="00C9040A">
        <w:rPr>
          <w:rtl/>
        </w:rPr>
        <w:t xml:space="preserve"> في « ف » : + « صلاة »</w:t>
      </w:r>
      <w:r>
        <w:rPr>
          <w:rtl/>
        </w:rPr>
        <w:t>.</w:t>
      </w:r>
      <w:r w:rsidRPr="00C9040A">
        <w:rPr>
          <w:rtl/>
        </w:rPr>
        <w:t xml:space="preserve"> وفي البحار : « إلى صلاة » بدل « إلى أن صلّى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حَتّى صَلَّى الْمَغْرِبَ ، ثُمَّ أَرَادَ أَنْ يَنْصَرِفَ إِلى مَنْزِلِهِ </w:t>
      </w:r>
      <w:r w:rsidR="006C577F" w:rsidRPr="006C577F">
        <w:rPr>
          <w:rStyle w:val="libFootnotenumChar"/>
          <w:rtl/>
        </w:rPr>
        <w:t>(1)</w:t>
      </w:r>
      <w:r w:rsidRPr="00C9040A">
        <w:rPr>
          <w:rtl/>
          <w:lang w:bidi="fa-IR"/>
        </w:rPr>
        <w:t xml:space="preserve">، فَقَالَ لَهُ </w:t>
      </w:r>
      <w:r w:rsidR="006C577F" w:rsidRPr="006C577F">
        <w:rPr>
          <w:rStyle w:val="libFootnotenumChar"/>
          <w:rtl/>
        </w:rPr>
        <w:t>(2)</w:t>
      </w:r>
      <w:r w:rsidRPr="00C9040A">
        <w:rPr>
          <w:rtl/>
          <w:lang w:bidi="fa-IR"/>
        </w:rPr>
        <w:t xml:space="preserve"> : إِنَّمَا بَقِيَتْ صَلَاةٌ وَاحِدَةٌ ، قَالَ : فَمَكَثَ حَتّى صَلَّى الْعِشَاءَ الْآخِرَةَ ، ثُمَّ تَفَرَّقَا.</w:t>
      </w:r>
    </w:p>
    <w:p w:rsidR="008A74EB" w:rsidRPr="00C9040A" w:rsidRDefault="008A74EB" w:rsidP="008A74EB">
      <w:pPr>
        <w:pStyle w:val="libNormal"/>
        <w:rPr>
          <w:rtl/>
          <w:lang w:bidi="fa-IR"/>
        </w:rPr>
      </w:pPr>
      <w:r w:rsidRPr="00C9040A">
        <w:rPr>
          <w:rtl/>
          <w:lang w:bidi="fa-IR"/>
        </w:rPr>
        <w:t xml:space="preserve">فَلَمَّا كَانَ سُحَيْراً </w:t>
      </w:r>
      <w:r w:rsidR="006C577F" w:rsidRPr="006C577F">
        <w:rPr>
          <w:rStyle w:val="libFootnotenumChar"/>
          <w:rtl/>
        </w:rPr>
        <w:t>(3)</w:t>
      </w:r>
      <w:r w:rsidRPr="00C9040A">
        <w:rPr>
          <w:rtl/>
          <w:lang w:bidi="fa-IR"/>
        </w:rPr>
        <w:t xml:space="preserve"> غَدَا عَلَيْهِ ، فَضَرَبَ عَلَيْهِ الْبَابَ ، فَقَالَ : مَنْ هذَا</w:t>
      </w:r>
      <w:r>
        <w:rPr>
          <w:rtl/>
          <w:lang w:bidi="fa-IR"/>
        </w:rPr>
        <w:t>؟</w:t>
      </w:r>
      <w:r w:rsidRPr="00C9040A">
        <w:rPr>
          <w:rtl/>
          <w:lang w:bidi="fa-IR"/>
        </w:rPr>
        <w:t xml:space="preserve"> قَالَ </w:t>
      </w:r>
      <w:r w:rsidR="006C577F" w:rsidRPr="006C577F">
        <w:rPr>
          <w:rStyle w:val="libFootnotenumChar"/>
          <w:rtl/>
        </w:rPr>
        <w:t>(4)</w:t>
      </w:r>
      <w:r w:rsidRPr="00C9040A">
        <w:rPr>
          <w:rtl/>
          <w:lang w:bidi="fa-IR"/>
        </w:rPr>
        <w:t xml:space="preserve"> : أَنَا فُلَانٌ ، قَالَ : وَمَا حَاجَتُكَ </w:t>
      </w:r>
      <w:r w:rsidR="006C577F" w:rsidRPr="006C577F">
        <w:rPr>
          <w:rStyle w:val="libFootnotenumChar"/>
          <w:rtl/>
        </w:rPr>
        <w:t>(5)</w:t>
      </w:r>
      <w:r>
        <w:rPr>
          <w:rtl/>
          <w:lang w:bidi="fa-IR"/>
        </w:rPr>
        <w:t>؟</w:t>
      </w:r>
      <w:r w:rsidRPr="00C9040A">
        <w:rPr>
          <w:rtl/>
          <w:lang w:bidi="fa-IR"/>
        </w:rPr>
        <w:t xml:space="preserve"> قَالَ : تَوَضَّأْ ، وَالْبَسْ </w:t>
      </w:r>
      <w:r w:rsidR="006C577F" w:rsidRPr="006C577F">
        <w:rPr>
          <w:rStyle w:val="libFootnotenumChar"/>
          <w:rtl/>
        </w:rPr>
        <w:t>(6)</w:t>
      </w:r>
      <w:r w:rsidRPr="005B567D">
        <w:rPr>
          <w:rStyle w:val="libFootnotenumChar"/>
          <w:rtl/>
        </w:rPr>
        <w:t xml:space="preserve"> </w:t>
      </w:r>
      <w:r w:rsidRPr="00C9040A">
        <w:rPr>
          <w:rtl/>
          <w:lang w:bidi="fa-IR"/>
        </w:rPr>
        <w:t xml:space="preserve">ثَوْبَيْكَ ، وَاخْرُجْ بِنَا </w:t>
      </w:r>
      <w:r w:rsidR="006C577F" w:rsidRPr="006C577F">
        <w:rPr>
          <w:rStyle w:val="libFootnotenumChar"/>
          <w:rtl/>
        </w:rPr>
        <w:t>(7)</w:t>
      </w:r>
      <w:r w:rsidRPr="00C9040A">
        <w:rPr>
          <w:rtl/>
          <w:lang w:bidi="fa-IR"/>
        </w:rPr>
        <w:t xml:space="preserve"> ، فَصَلِّ ، قَالَ : اطْلُبْ لِهذَا الدِّينِ مَنْ هُوَ أَفْرَغُ مِنِّي ، وَأَنَا إِنْسَانٌ مِسْكِينٌ ، وَعَلَيَّ عِيَالٌ »</w:t>
      </w:r>
      <w:r>
        <w:rPr>
          <w:rtl/>
          <w:lang w:bidi="fa-IR"/>
        </w:rPr>
        <w:t>.</w:t>
      </w:r>
    </w:p>
    <w:p w:rsidR="008A74EB" w:rsidRPr="00C9040A" w:rsidRDefault="008A74EB" w:rsidP="008A74EB">
      <w:pPr>
        <w:pStyle w:val="libNormal"/>
        <w:rPr>
          <w:rtl/>
          <w:lang w:bidi="fa-IR"/>
        </w:rPr>
      </w:pPr>
      <w:r w:rsidRPr="00C9040A">
        <w:rPr>
          <w:rtl/>
          <w:lang w:bidi="fa-IR"/>
        </w:rPr>
        <w:t xml:space="preserve">فَقَالَ أَبُو عَبْدِ اللهِ </w:t>
      </w:r>
      <w:r w:rsidRPr="0003660B">
        <w:rPr>
          <w:rStyle w:val="libAlaemChar"/>
          <w:rtl/>
        </w:rPr>
        <w:t>عليه‌السلام</w:t>
      </w:r>
      <w:r w:rsidRPr="00C9040A">
        <w:rPr>
          <w:rtl/>
          <w:lang w:bidi="fa-IR"/>
        </w:rPr>
        <w:t xml:space="preserve"> : « أَدْخَلَهُ فِي شَيْ‌ءٍ </w:t>
      </w:r>
      <w:r w:rsidR="006C577F" w:rsidRPr="006C577F">
        <w:rPr>
          <w:rStyle w:val="libFootnotenumChar"/>
          <w:rtl/>
        </w:rPr>
        <w:t>(8)</w:t>
      </w:r>
      <w:r w:rsidRPr="00C9040A">
        <w:rPr>
          <w:rtl/>
          <w:lang w:bidi="fa-IR"/>
        </w:rPr>
        <w:t xml:space="preserve"> أَخْرَجَهُ مِنْهُ » أَوْ قَالَ : « أَدْخَلَهُ مِنْ </w:t>
      </w:r>
      <w:r w:rsidR="006C577F" w:rsidRPr="006C577F">
        <w:rPr>
          <w:rStyle w:val="libFootnotenumChar"/>
          <w:rtl/>
        </w:rPr>
        <w:t>(9)</w:t>
      </w:r>
      <w:r w:rsidRPr="00C9040A">
        <w:rPr>
          <w:rtl/>
          <w:lang w:bidi="fa-IR"/>
        </w:rPr>
        <w:t xml:space="preserve"> مِثْلِ </w:t>
      </w:r>
      <w:r w:rsidR="006C577F" w:rsidRPr="006C577F">
        <w:rPr>
          <w:rStyle w:val="libFootnotenumChar"/>
          <w:rtl/>
        </w:rPr>
        <w:t>(10)</w:t>
      </w:r>
      <w:r w:rsidRPr="00C9040A">
        <w:rPr>
          <w:rtl/>
          <w:lang w:bidi="fa-IR"/>
        </w:rPr>
        <w:t xml:space="preserve"> ذِهْ </w:t>
      </w:r>
      <w:r w:rsidR="006C577F" w:rsidRPr="006C577F">
        <w:rPr>
          <w:rStyle w:val="libFootnotenumChar"/>
          <w:rtl/>
        </w:rPr>
        <w:t>(11)</w:t>
      </w:r>
      <w:r w:rsidRPr="00C9040A">
        <w:rPr>
          <w:rtl/>
          <w:lang w:bidi="fa-IR"/>
        </w:rPr>
        <w:t xml:space="preserve"> ، وَأَخْرَجَهُ مِنْ مِثْلِ هذَا »</w:t>
      </w:r>
      <w:r>
        <w:rPr>
          <w:rtl/>
          <w:lang w:bidi="fa-IR"/>
        </w:rPr>
        <w:t>.</w:t>
      </w:r>
      <w:r w:rsidRPr="00C9040A">
        <w:rPr>
          <w:rtl/>
          <w:lang w:bidi="fa-IR"/>
        </w:rPr>
        <w:t xml:space="preserve"> </w:t>
      </w:r>
      <w:r w:rsidR="006C577F" w:rsidRPr="006C577F">
        <w:rPr>
          <w:rStyle w:val="libFootnotenumChar"/>
          <w:rtl/>
        </w:rPr>
        <w:t>(12)</w:t>
      </w:r>
      <w:r w:rsidRPr="00C9040A">
        <w:rPr>
          <w:rtl/>
          <w:lang w:bidi="fa-IR"/>
        </w:rPr>
        <w:t xml:space="preserve"> ‌</w:t>
      </w:r>
    </w:p>
    <w:p w:rsidR="008A74EB" w:rsidRPr="00C9040A" w:rsidRDefault="008A74EB" w:rsidP="008A74EB">
      <w:pPr>
        <w:pStyle w:val="Heading2Center"/>
        <w:rPr>
          <w:rtl/>
          <w:lang w:bidi="fa-IR"/>
        </w:rPr>
      </w:pPr>
      <w:bookmarkStart w:id="73" w:name="_Toc343795612"/>
      <w:bookmarkStart w:id="74" w:name="_Toc459810736"/>
      <w:bookmarkStart w:id="75" w:name="_Toc35348642"/>
      <w:r w:rsidRPr="00C9040A">
        <w:rPr>
          <w:rtl/>
          <w:lang w:bidi="fa-IR"/>
        </w:rPr>
        <w:t>21</w:t>
      </w:r>
      <w:r>
        <w:rPr>
          <w:rtl/>
          <w:lang w:bidi="fa-IR"/>
        </w:rPr>
        <w:t xml:space="preserve"> </w:t>
      </w:r>
      <w:r w:rsidR="0084262C">
        <w:rPr>
          <w:rtl/>
          <w:lang w:bidi="fa-IR"/>
        </w:rPr>
        <w:t>-</w:t>
      </w:r>
      <w:r>
        <w:rPr>
          <w:rtl/>
          <w:lang w:bidi="fa-IR"/>
        </w:rPr>
        <w:t xml:space="preserve"> </w:t>
      </w:r>
      <w:r w:rsidRPr="00C9040A">
        <w:rPr>
          <w:rtl/>
          <w:lang w:bidi="fa-IR"/>
        </w:rPr>
        <w:t>بَابٌ آخَرُ مِنْهُ‌</w:t>
      </w:r>
      <w:bookmarkEnd w:id="73"/>
      <w:bookmarkEnd w:id="74"/>
      <w:bookmarkEnd w:id="75"/>
    </w:p>
    <w:p w:rsidR="008A74EB" w:rsidRPr="00C9040A" w:rsidRDefault="008A74EB" w:rsidP="008A74EB">
      <w:pPr>
        <w:pStyle w:val="libNormal"/>
        <w:rPr>
          <w:rtl/>
          <w:lang w:bidi="fa-IR"/>
        </w:rPr>
      </w:pPr>
      <w:r w:rsidRPr="00EC0D63">
        <w:rPr>
          <w:rtl/>
        </w:rPr>
        <w:t>1532</w:t>
      </w:r>
      <w:r w:rsidRPr="00261CB0">
        <w:rPr>
          <w:rStyle w:val="libBold2Char"/>
          <w:rtl/>
        </w:rPr>
        <w:t xml:space="preserve"> / 1.</w:t>
      </w:r>
      <w:r w:rsidRPr="00C9040A">
        <w:rPr>
          <w:rtl/>
          <w:lang w:bidi="fa-IR"/>
        </w:rPr>
        <w:t xml:space="preserve"> أَحْمَدُ بْنُ مُحَمَّدٍ ، عَنِ الْحَسَنِ بْنِ مُوسى ، عَنْ أَحْمَدَ بْنِ عُمَرَ </w:t>
      </w:r>
      <w:r w:rsidRPr="005B567D">
        <w:rPr>
          <w:rStyle w:val="libFootnotenumChar"/>
          <w:rtl/>
        </w:rPr>
        <w:t>(13)</w:t>
      </w:r>
      <w:r w:rsidRPr="00C9040A">
        <w:rPr>
          <w:rtl/>
          <w:lang w:bidi="fa-IR"/>
        </w:rPr>
        <w:t xml:space="preserve"> ، عَنْ يَحْيَى بْنِ أَبَانٍ ، عَنْ شِهَابٍ ، قَالَ :</w:t>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 « لَوْ عَلِمَ النَّاسُ كَيْفَ خَلَقَ اللهُ</w:t>
      </w:r>
      <w:r>
        <w:rPr>
          <w:rtl/>
          <w:lang w:bidi="fa-IR"/>
        </w:rPr>
        <w:t xml:space="preserve"> </w:t>
      </w:r>
      <w:r w:rsidR="0084262C">
        <w:rPr>
          <w:rtl/>
          <w:lang w:bidi="fa-IR"/>
        </w:rPr>
        <w:t>-</w:t>
      </w:r>
      <w:r>
        <w:rPr>
          <w:rtl/>
          <w:lang w:bidi="fa-IR"/>
        </w:rPr>
        <w:t xml:space="preserve"> </w:t>
      </w:r>
      <w:r w:rsidRPr="00C9040A">
        <w:rPr>
          <w:rtl/>
          <w:lang w:bidi="fa-IR"/>
        </w:rPr>
        <w:t xml:space="preserve">تَبَارَكَ وَتَعَالى </w:t>
      </w:r>
      <w:r w:rsidR="0084262C">
        <w:rPr>
          <w:rtl/>
          <w:lang w:bidi="fa-IR"/>
        </w:rPr>
        <w:t>-</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A84603" w:rsidTr="00A84603">
        <w:tc>
          <w:tcPr>
            <w:tcW w:w="4006" w:type="dxa"/>
          </w:tcPr>
          <w:p w:rsidR="00A84603" w:rsidRDefault="00A84603" w:rsidP="004A4E41">
            <w:pPr>
              <w:pStyle w:val="libFootnote0"/>
              <w:rPr>
                <w:rtl/>
              </w:rPr>
            </w:pPr>
            <w:r>
              <w:rPr>
                <w:rtl/>
              </w:rPr>
              <w:t>(1).</w:t>
            </w:r>
            <w:r w:rsidRPr="00C9040A">
              <w:rPr>
                <w:rtl/>
              </w:rPr>
              <w:t xml:space="preserve"> في « ب » : + « قال »</w:t>
            </w:r>
            <w:r>
              <w:rPr>
                <w:rtl/>
              </w:rPr>
              <w:t>.</w:t>
            </w:r>
          </w:p>
        </w:tc>
        <w:tc>
          <w:tcPr>
            <w:tcW w:w="4006" w:type="dxa"/>
          </w:tcPr>
          <w:p w:rsidR="00A84603" w:rsidRDefault="00A84603" w:rsidP="004A4E41">
            <w:pPr>
              <w:pStyle w:val="libFootnote0"/>
              <w:rPr>
                <w:rtl/>
              </w:rPr>
            </w:pPr>
            <w:r>
              <w:rPr>
                <w:rtl/>
              </w:rPr>
              <w:t xml:space="preserve">(2). </w:t>
            </w:r>
            <w:r w:rsidRPr="00C9040A">
              <w:rPr>
                <w:rtl/>
              </w:rPr>
              <w:t xml:space="preserve">في « ب » </w:t>
            </w:r>
            <w:r>
              <w:rPr>
                <w:rtl/>
              </w:rPr>
              <w:t>: -</w:t>
            </w:r>
            <w:r w:rsidRPr="00C9040A">
              <w:rPr>
                <w:rtl/>
              </w:rPr>
              <w:t xml:space="preserve"> « له »</w:t>
            </w:r>
            <w:r>
              <w:rPr>
                <w:rtl/>
              </w:rPr>
              <w:t>.</w:t>
            </w:r>
          </w:p>
        </w:tc>
      </w:tr>
    </w:tbl>
    <w:p w:rsidR="008A74EB" w:rsidRPr="004A4E41" w:rsidRDefault="006C577F" w:rsidP="004A4E41">
      <w:pPr>
        <w:pStyle w:val="libFootnote0"/>
        <w:rPr>
          <w:rStyle w:val="libFootnote0Char"/>
          <w:rtl/>
        </w:rPr>
      </w:pPr>
      <w:r>
        <w:rPr>
          <w:rtl/>
        </w:rPr>
        <w:t>(3).</w:t>
      </w:r>
      <w:r w:rsidR="008A74EB" w:rsidRPr="00C9040A">
        <w:rPr>
          <w:rtl/>
        </w:rPr>
        <w:t xml:space="preserve"> اتّفقت النسخ على نصب « سحيراً » فهو خبر « كان » واسمه راجع إلى الزمان. ويجوز رفعه وكون « كان » تامّة.</w:t>
      </w:r>
    </w:p>
    <w:tbl>
      <w:tblPr>
        <w:tblStyle w:val="TableGrid"/>
        <w:bidiVisual/>
        <w:tblW w:w="0" w:type="auto"/>
        <w:tblLook w:val="04A0" w:firstRow="1" w:lastRow="0" w:firstColumn="1" w:lastColumn="0" w:noHBand="0" w:noVBand="1"/>
      </w:tblPr>
      <w:tblGrid>
        <w:gridCol w:w="4006"/>
        <w:gridCol w:w="4006"/>
      </w:tblGrid>
      <w:tr w:rsidR="00A84603" w:rsidTr="00A84603">
        <w:tc>
          <w:tcPr>
            <w:tcW w:w="4006" w:type="dxa"/>
          </w:tcPr>
          <w:p w:rsidR="00A84603" w:rsidRDefault="00A84603" w:rsidP="004A4E41">
            <w:pPr>
              <w:pStyle w:val="libFootnote0"/>
              <w:rPr>
                <w:rtl/>
                <w:lang w:bidi="fa-IR"/>
              </w:rPr>
            </w:pPr>
            <w:r>
              <w:rPr>
                <w:rtl/>
              </w:rPr>
              <w:t>(4).</w:t>
            </w:r>
            <w:r w:rsidRPr="00C9040A">
              <w:rPr>
                <w:rtl/>
              </w:rPr>
              <w:t xml:space="preserve"> في البحار : « فقال »</w:t>
            </w:r>
            <w:r>
              <w:rPr>
                <w:rtl/>
              </w:rPr>
              <w:t>.</w:t>
            </w:r>
          </w:p>
        </w:tc>
        <w:tc>
          <w:tcPr>
            <w:tcW w:w="4006" w:type="dxa"/>
          </w:tcPr>
          <w:p w:rsidR="00A84603" w:rsidRDefault="00A84603" w:rsidP="004A4E41">
            <w:pPr>
              <w:pStyle w:val="libFootnote0"/>
              <w:rPr>
                <w:rtl/>
                <w:lang w:bidi="fa-IR"/>
              </w:rPr>
            </w:pPr>
            <w:r>
              <w:rPr>
                <w:rtl/>
              </w:rPr>
              <w:t>(5).</w:t>
            </w:r>
            <w:r w:rsidRPr="00C9040A">
              <w:rPr>
                <w:rtl/>
              </w:rPr>
              <w:t xml:space="preserve"> في « ض » </w:t>
            </w:r>
            <w:r>
              <w:rPr>
                <w:rtl/>
              </w:rPr>
              <w:t>: -</w:t>
            </w:r>
            <w:r w:rsidRPr="00C9040A">
              <w:rPr>
                <w:rtl/>
              </w:rPr>
              <w:t xml:space="preserve"> « قال : وما حاجتك »</w:t>
            </w:r>
            <w:r>
              <w:rPr>
                <w:rtl/>
              </w:rPr>
              <w:t>.</w:t>
            </w:r>
          </w:p>
        </w:tc>
      </w:tr>
      <w:tr w:rsidR="00A84603" w:rsidTr="00A84603">
        <w:tc>
          <w:tcPr>
            <w:tcW w:w="4006" w:type="dxa"/>
          </w:tcPr>
          <w:p w:rsidR="00A84603" w:rsidRDefault="00A84603" w:rsidP="004A4E41">
            <w:pPr>
              <w:pStyle w:val="libFootnote0"/>
              <w:rPr>
                <w:rtl/>
                <w:lang w:bidi="fa-IR"/>
              </w:rPr>
            </w:pPr>
            <w:r>
              <w:rPr>
                <w:rtl/>
              </w:rPr>
              <w:t xml:space="preserve">(6). </w:t>
            </w:r>
            <w:r w:rsidRPr="00C9040A">
              <w:rPr>
                <w:rtl/>
              </w:rPr>
              <w:t>في « ف » : « وألبسك »</w:t>
            </w:r>
            <w:r>
              <w:rPr>
                <w:rtl/>
              </w:rPr>
              <w:t>.</w:t>
            </w:r>
          </w:p>
        </w:tc>
        <w:tc>
          <w:tcPr>
            <w:tcW w:w="4006" w:type="dxa"/>
          </w:tcPr>
          <w:p w:rsidR="00A84603" w:rsidRDefault="00A84603" w:rsidP="004A4E41">
            <w:pPr>
              <w:pStyle w:val="libFootnote0"/>
              <w:rPr>
                <w:rtl/>
                <w:lang w:bidi="fa-IR"/>
              </w:rPr>
            </w:pPr>
            <w:r>
              <w:rPr>
                <w:rtl/>
              </w:rPr>
              <w:t>(7).</w:t>
            </w:r>
            <w:r w:rsidRPr="00C9040A">
              <w:rPr>
                <w:rtl/>
              </w:rPr>
              <w:t xml:space="preserve"> في « ز ، بر ، بس » والوسائل </w:t>
            </w:r>
            <w:r>
              <w:rPr>
                <w:rtl/>
              </w:rPr>
              <w:t>: -</w:t>
            </w:r>
            <w:r w:rsidRPr="00C9040A">
              <w:rPr>
                <w:rtl/>
              </w:rPr>
              <w:t xml:space="preserve"> « بنا »</w:t>
            </w:r>
            <w:r>
              <w:rPr>
                <w:rtl/>
              </w:rPr>
              <w:t>.</w:t>
            </w:r>
          </w:p>
        </w:tc>
      </w:tr>
    </w:tbl>
    <w:p w:rsidR="008A74EB" w:rsidRPr="00C9040A" w:rsidRDefault="006C577F" w:rsidP="004A4E41">
      <w:pPr>
        <w:pStyle w:val="libFootnote0"/>
        <w:rPr>
          <w:rtl/>
          <w:lang w:bidi="fa-IR"/>
        </w:rPr>
      </w:pPr>
      <w:r>
        <w:rPr>
          <w:rtl/>
        </w:rPr>
        <w:t>(8).</w:t>
      </w:r>
      <w:r w:rsidR="008A74EB" w:rsidRPr="00C9040A">
        <w:rPr>
          <w:rtl/>
        </w:rPr>
        <w:t xml:space="preserve"> في « ص ، ف » : + « و</w:t>
      </w:r>
      <w:r w:rsidR="008A74EB">
        <w:rPr>
          <w:rFonts w:hint="cs"/>
          <w:rtl/>
        </w:rPr>
        <w:t xml:space="preserve"> </w:t>
      </w:r>
      <w:r w:rsidR="008A74EB" w:rsidRPr="00C9040A">
        <w:rPr>
          <w:rtl/>
        </w:rPr>
        <w:t>»</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 أدخله في شي‌ء » أي من الإسلام صار سبباً لخروجه من الإسلام‌</w:t>
      </w:r>
      <w:r w:rsidR="00A84603">
        <w:rPr>
          <w:rFonts w:hint="cs"/>
          <w:rtl/>
        </w:rPr>
        <w:t xml:space="preserve"> </w:t>
      </w:r>
      <w:r w:rsidR="008A74EB" w:rsidRPr="00C9040A">
        <w:rPr>
          <w:rtl/>
        </w:rPr>
        <w:t>رأساً. أو المراد بالشي‌ء الكفر ، أي أدخله بجهله في الكفر الذي أخرجه منه. « أو قال : أدخله في مثل هذا » أي العمل الشديد. « وأخرجه من مثل هذا » أي هذا الدين القويم.</w:t>
      </w:r>
    </w:p>
    <w:p w:rsidR="008A74EB" w:rsidRPr="00C9040A" w:rsidRDefault="006C577F" w:rsidP="004A4E41">
      <w:pPr>
        <w:pStyle w:val="libFootnote0"/>
        <w:rPr>
          <w:rtl/>
          <w:lang w:bidi="fa-IR"/>
        </w:rPr>
      </w:pPr>
      <w:r>
        <w:rPr>
          <w:rtl/>
        </w:rPr>
        <w:t>(9).</w:t>
      </w:r>
      <w:r w:rsidR="008A74EB" w:rsidRPr="00C9040A">
        <w:rPr>
          <w:rtl/>
        </w:rPr>
        <w:t xml:space="preserve"> في « د » وحاشية « بف » والمرآة والبحار : « في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 ج » : « مثله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في « ب ، د ، بر ، بف » والوافي والمرآة : « هذا »</w:t>
      </w:r>
      <w:r w:rsidR="008A74EB">
        <w:rPr>
          <w:rtl/>
        </w:rPr>
        <w:t>.</w:t>
      </w:r>
      <w:r w:rsidR="008A74EB" w:rsidRPr="00C9040A">
        <w:rPr>
          <w:rtl/>
        </w:rPr>
        <w:t xml:space="preserve"> وفي « ف » : « هذه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w:t>
      </w:r>
      <w:r w:rsidR="008A74EB" w:rsidRPr="00993B55">
        <w:rPr>
          <w:rStyle w:val="libFootnoteBoldChar"/>
          <w:rtl/>
        </w:rPr>
        <w:t>الوافي</w:t>
      </w:r>
      <w:r w:rsidR="008A74EB" w:rsidRPr="00C9040A">
        <w:rPr>
          <w:rtl/>
        </w:rPr>
        <w:t xml:space="preserve"> ، ج 4 ، ص 130 ، ح 1723 ؛ </w:t>
      </w:r>
      <w:r w:rsidR="008A74EB" w:rsidRPr="00993B55">
        <w:rPr>
          <w:rStyle w:val="libFootnoteBoldChar"/>
          <w:rtl/>
        </w:rPr>
        <w:t>الوسائل</w:t>
      </w:r>
      <w:r w:rsidR="008A74EB" w:rsidRPr="00C9040A">
        <w:rPr>
          <w:rtl/>
        </w:rPr>
        <w:t xml:space="preserve"> ، ج 16 ، ص 160 ، ح 21242 ، من قوله : « ثمّ جرى ذكر قوم ، فقلت : جعلت فداك ، إنّا نبرأ منهم » ؛ </w:t>
      </w:r>
      <w:r w:rsidR="008A74EB" w:rsidRPr="00993B55">
        <w:rPr>
          <w:rStyle w:val="libFootnoteBoldChar"/>
          <w:rtl/>
        </w:rPr>
        <w:t>البحار</w:t>
      </w:r>
      <w:r w:rsidR="008A74EB" w:rsidRPr="00C9040A">
        <w:rPr>
          <w:rtl/>
        </w:rPr>
        <w:t xml:space="preserve"> ، ج 69 ، ص 161 ، ح 2.</w:t>
      </w:r>
    </w:p>
    <w:p w:rsidR="008A74EB" w:rsidRPr="00C9040A" w:rsidRDefault="008A74EB" w:rsidP="004A4E41">
      <w:pPr>
        <w:pStyle w:val="libFootnote0"/>
        <w:rPr>
          <w:rtl/>
          <w:lang w:bidi="fa-IR"/>
        </w:rPr>
      </w:pPr>
      <w:r>
        <w:rPr>
          <w:rtl/>
        </w:rPr>
        <w:t>(13)</w:t>
      </w:r>
      <w:r w:rsidRPr="00C9040A">
        <w:rPr>
          <w:rtl/>
        </w:rPr>
        <w:t xml:space="preserve"> في « ز ، ص » : « أحمد بن عمير »</w:t>
      </w:r>
      <w:r>
        <w:rPr>
          <w:rtl/>
        </w:rPr>
        <w:t>.</w:t>
      </w:r>
      <w:r w:rsidRPr="00C9040A">
        <w:rPr>
          <w:rtl/>
        </w:rPr>
        <w:t xml:space="preserve"> وفي « ف » : « أحمد عن ابن أبي عمير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هذَا الْخَلْقَ ، لَمْ يَلُمْ أَحَدٌ أَحَداً » </w:t>
      </w:r>
      <w:r w:rsidR="006C577F" w:rsidRPr="006C577F">
        <w:rPr>
          <w:rStyle w:val="libFootnotenumChar"/>
          <w:rtl/>
        </w:rPr>
        <w:t>(1)</w:t>
      </w:r>
    </w:p>
    <w:p w:rsidR="008A74EB" w:rsidRPr="00C9040A" w:rsidRDefault="008A74EB" w:rsidP="008A74EB">
      <w:pPr>
        <w:pStyle w:val="libNormal"/>
        <w:rPr>
          <w:rtl/>
          <w:lang w:bidi="fa-IR"/>
        </w:rPr>
      </w:pPr>
      <w:r w:rsidRPr="00C9040A">
        <w:rPr>
          <w:rtl/>
          <w:lang w:bidi="fa-IR"/>
        </w:rPr>
        <w:t xml:space="preserve">فَقُلْتُ : أَصْلَحَكَ اللهُ ، فَكَيْفَ </w:t>
      </w:r>
      <w:r w:rsidR="006C577F" w:rsidRPr="006C577F">
        <w:rPr>
          <w:rStyle w:val="libFootnotenumChar"/>
          <w:rtl/>
        </w:rPr>
        <w:t>(2)</w:t>
      </w:r>
      <w:r w:rsidRPr="00C9040A">
        <w:rPr>
          <w:rtl/>
          <w:lang w:bidi="fa-IR"/>
        </w:rPr>
        <w:t xml:space="preserve"> ذَاكَ </w:t>
      </w:r>
      <w:r w:rsidR="006C577F" w:rsidRPr="006C577F">
        <w:rPr>
          <w:rStyle w:val="libFootnotenumChar"/>
          <w:rtl/>
        </w:rPr>
        <w:t>(3)</w:t>
      </w:r>
      <w:r>
        <w:rPr>
          <w:rtl/>
          <w:lang w:bidi="fa-IR"/>
        </w:rPr>
        <w:t>؟</w:t>
      </w:r>
    </w:p>
    <w:p w:rsidR="008A74EB" w:rsidRPr="00C9040A" w:rsidRDefault="008A74EB" w:rsidP="008A74EB">
      <w:pPr>
        <w:pStyle w:val="libNormal"/>
        <w:rPr>
          <w:rtl/>
          <w:lang w:bidi="fa-IR"/>
        </w:rPr>
      </w:pPr>
      <w:r w:rsidRPr="00C9040A">
        <w:rPr>
          <w:rtl/>
          <w:lang w:bidi="fa-IR"/>
        </w:rPr>
        <w:t xml:space="preserve">فَقَالَ </w:t>
      </w:r>
      <w:r w:rsidR="006C577F" w:rsidRPr="006C577F">
        <w:rPr>
          <w:rStyle w:val="libFootnotenumChar"/>
          <w:rtl/>
        </w:rPr>
        <w:t>(4)</w:t>
      </w:r>
      <w:r w:rsidRPr="00C9040A">
        <w:rPr>
          <w:rtl/>
          <w:lang w:bidi="fa-IR"/>
        </w:rPr>
        <w:t xml:space="preserve"> : « إِنَّ اللهَ</w:t>
      </w:r>
      <w:r>
        <w:rPr>
          <w:rtl/>
          <w:lang w:bidi="fa-IR"/>
        </w:rPr>
        <w:t xml:space="preserve"> </w:t>
      </w:r>
      <w:r w:rsidR="0084262C">
        <w:rPr>
          <w:rtl/>
          <w:lang w:bidi="fa-IR"/>
        </w:rPr>
        <w:t>-</w:t>
      </w:r>
      <w:r>
        <w:rPr>
          <w:rtl/>
          <w:lang w:bidi="fa-IR"/>
        </w:rPr>
        <w:t xml:space="preserve"> </w:t>
      </w:r>
      <w:r w:rsidRPr="00C9040A">
        <w:rPr>
          <w:rtl/>
          <w:lang w:bidi="fa-IR"/>
        </w:rPr>
        <w:t>تَبَارَكَ وَتَعَالى</w:t>
      </w:r>
      <w:r>
        <w:rPr>
          <w:rtl/>
          <w:lang w:bidi="fa-IR"/>
        </w:rPr>
        <w:t xml:space="preserve"> </w:t>
      </w:r>
      <w:r w:rsidR="0084262C">
        <w:rPr>
          <w:rtl/>
          <w:lang w:bidi="fa-IR"/>
        </w:rPr>
        <w:t>-</w:t>
      </w:r>
      <w:r>
        <w:rPr>
          <w:rtl/>
          <w:lang w:bidi="fa-IR"/>
        </w:rPr>
        <w:t xml:space="preserve"> </w:t>
      </w:r>
      <w:r w:rsidRPr="00C9040A">
        <w:rPr>
          <w:rtl/>
          <w:lang w:bidi="fa-IR"/>
        </w:rPr>
        <w:t xml:space="preserve">خَلَقَ أَجْزَاءً بَلَغَ بِهَا تِسْعَةً وَأَرْبَعِينَ جُزْءاً ، ثُمَّ جَعَلَ الْأَجْزَاءَ أَعْشَاراً ، فَجَعَلَ الْجُزْءَ عَشْرَةَ أَعْشَارٍ ، ثُمَّ قَسَمَهُ </w:t>
      </w:r>
      <w:r w:rsidR="006C577F" w:rsidRPr="006C577F">
        <w:rPr>
          <w:rStyle w:val="libFootnotenumChar"/>
          <w:rtl/>
        </w:rPr>
        <w:t>(5)</w:t>
      </w:r>
      <w:r w:rsidRPr="00C9040A">
        <w:rPr>
          <w:rtl/>
          <w:lang w:bidi="fa-IR"/>
        </w:rPr>
        <w:t xml:space="preserve"> بَيْنَ الْخَلْقِ ، فَجَعَلَ فِي رَجُلٍ عُشْرَ جُزْءٍ ، وَفِي آخَرَ عُشْرَيْ جُزْءٍ حَتّى بَلَغَ بِهِ جُزْءاً تَامّاً ، وَفِي آخَرَ جُزْءاً وَعُشْرَ جُزْءٍ ، وَ</w:t>
      </w:r>
      <w:r>
        <w:rPr>
          <w:rFonts w:hint="cs"/>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آخَرَ جُزْءاً وَعُشْرَيْ جُزْءٍ ، وَ</w:t>
      </w:r>
      <w:r>
        <w:rPr>
          <w:rFonts w:hint="cs"/>
          <w:rtl/>
          <w:lang w:bidi="fa-IR"/>
        </w:rPr>
        <w:t xml:space="preserve"> </w:t>
      </w:r>
      <w:r w:rsidR="006C577F" w:rsidRPr="006C577F">
        <w:rPr>
          <w:rStyle w:val="libFootnotenumChar"/>
          <w:rtl/>
        </w:rPr>
        <w:t>(7)</w:t>
      </w:r>
      <w:r w:rsidRPr="00C9040A">
        <w:rPr>
          <w:rtl/>
          <w:lang w:bidi="fa-IR"/>
        </w:rPr>
        <w:t xml:space="preserve"> آخَرَ جُزْءاً وَثَلَاثَةَ أَعْشَارِ جُزْءٍ ، حَتّى بَلَغَ بِهِ جُزْءَيْنِ تَامَّيْنِ ، ثُمَّ بِحِسَابِ ذلِكَ حَتّى بَلَغَ بِأَرْفَعِهِمْ تِسْعَةً وَأَرْبَعِينَ جُزْءاً ، ف</w:t>
      </w:r>
      <w:r w:rsidR="00A84603">
        <w:rPr>
          <w:rtl/>
          <w:lang w:bidi="fa-IR"/>
        </w:rPr>
        <w:t>َمَنْ لَمْ يَجْعَلْ فِيهِ إِل</w:t>
      </w:r>
      <w:r w:rsidR="00A84603">
        <w:rPr>
          <w:rFonts w:hint="cs"/>
          <w:rtl/>
          <w:lang w:bidi="fa-IR"/>
        </w:rPr>
        <w:t>َّ</w:t>
      </w:r>
      <w:r w:rsidR="00A84603">
        <w:rPr>
          <w:rtl/>
          <w:lang w:bidi="fa-IR"/>
        </w:rPr>
        <w:t>ا</w:t>
      </w:r>
      <w:r w:rsidRPr="00C9040A">
        <w:rPr>
          <w:rtl/>
          <w:lang w:bidi="fa-IR"/>
        </w:rPr>
        <w:t xml:space="preserve"> عُشْرَ جُزْءٍ لَمْ يَقْدِرْ عَلى </w:t>
      </w:r>
      <w:r w:rsidR="006C577F" w:rsidRPr="006C577F">
        <w:rPr>
          <w:rStyle w:val="libFootnotenumChar"/>
          <w:rtl/>
        </w:rPr>
        <w:t>(8)</w:t>
      </w:r>
      <w:r w:rsidRPr="00C9040A">
        <w:rPr>
          <w:rtl/>
          <w:lang w:bidi="fa-IR"/>
        </w:rPr>
        <w:t xml:space="preserve"> أَنْ يَكُونَ مِثْلَ صَاحِبِ الْعُشْرَيْنِ ، وَكَذلِكَ </w:t>
      </w:r>
      <w:r w:rsidR="006C577F" w:rsidRPr="006C577F">
        <w:rPr>
          <w:rStyle w:val="libFootnotenumChar"/>
          <w:rtl/>
        </w:rPr>
        <w:t>(9)</w:t>
      </w:r>
      <w:r w:rsidRPr="00C9040A">
        <w:rPr>
          <w:rtl/>
          <w:lang w:bidi="fa-IR"/>
        </w:rPr>
        <w:t xml:space="preserve"> صَاحِبُ الْعُشْرَيْنِ لَايَكُونُ </w:t>
      </w:r>
      <w:r w:rsidR="006C577F" w:rsidRPr="006C577F">
        <w:rPr>
          <w:rStyle w:val="libFootnotenumChar"/>
          <w:rtl/>
        </w:rPr>
        <w:t>(10)</w:t>
      </w:r>
      <w:r w:rsidRPr="00C9040A">
        <w:rPr>
          <w:rtl/>
          <w:lang w:bidi="fa-IR"/>
        </w:rPr>
        <w:t xml:space="preserve"> مِثْلَ صَاحِبِ الثَّلَاثَةِ </w:t>
      </w:r>
      <w:r w:rsidR="006C577F" w:rsidRPr="006C577F">
        <w:rPr>
          <w:rStyle w:val="libFootnotenumChar"/>
          <w:rtl/>
        </w:rPr>
        <w:t>(11)</w:t>
      </w:r>
      <w:r w:rsidRPr="00C9040A">
        <w:rPr>
          <w:rtl/>
          <w:lang w:bidi="fa-IR"/>
        </w:rPr>
        <w:t xml:space="preserve"> الْأَعْشَارِ ، وَكَذلِكَ مَنْ تَمَّ </w:t>
      </w:r>
      <w:r w:rsidR="006C577F" w:rsidRPr="006C577F">
        <w:rPr>
          <w:rStyle w:val="libFootnotenumChar"/>
          <w:rtl/>
        </w:rPr>
        <w:t>(12)</w:t>
      </w:r>
      <w:r w:rsidRPr="00C9040A">
        <w:rPr>
          <w:rtl/>
          <w:lang w:bidi="fa-IR"/>
        </w:rPr>
        <w:t xml:space="preserve"> لَهُ جُزْءٌ </w:t>
      </w:r>
      <w:r w:rsidRPr="005B567D">
        <w:rPr>
          <w:rStyle w:val="libFootnotenumChar"/>
          <w:rtl/>
        </w:rPr>
        <w:t>(13)</w:t>
      </w:r>
      <w:r w:rsidRPr="00C9040A">
        <w:rPr>
          <w:rtl/>
          <w:lang w:bidi="fa-IR"/>
        </w:rPr>
        <w:t xml:space="preserve"> لَايَقْدِرُ عَلى أَنْ يَكُونَ مِثْلَ صَاحِبِ الْجُزْءَيْنِ ، وَلَوْ عَلِمَ النَّاسُ أَنَّ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خَلَقَ‌</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w:t>
      </w:r>
      <w:r w:rsidR="008A74EB" w:rsidRPr="00993B55">
        <w:rPr>
          <w:rStyle w:val="libFootnoteBoldChar"/>
          <w:rtl/>
        </w:rPr>
        <w:t>مرآة العقول</w:t>
      </w:r>
      <w:r w:rsidR="008A74EB" w:rsidRPr="00C9040A">
        <w:rPr>
          <w:rtl/>
        </w:rPr>
        <w:t xml:space="preserve"> ، ج 7 ، ص 277 : « لم يلم أحد أحداً ، أي في عدم فهم الدقائق والقصور عن بعض المعارف ، أو في عدم اكتساب الفضائل والأخلاق الحسنة وترك الإت</w:t>
      </w:r>
      <w:r w:rsidR="00A84603">
        <w:rPr>
          <w:rtl/>
        </w:rPr>
        <w:t>يان بالنوافل والمستحبّات ، وإل</w:t>
      </w:r>
      <w:r w:rsidR="00A84603">
        <w:rPr>
          <w:rFonts w:hint="cs"/>
          <w:rtl/>
        </w:rPr>
        <w:t>ّ</w:t>
      </w:r>
      <w:r w:rsidR="00A84603">
        <w:rPr>
          <w:rtl/>
        </w:rPr>
        <w:t>ا</w:t>
      </w:r>
      <w:r w:rsidR="008A74EB" w:rsidRPr="00C9040A">
        <w:rPr>
          <w:rtl/>
        </w:rPr>
        <w:t xml:space="preserve"> فكيف يستقيم عدم الملامة على ترك الفرائض والواجبات وفعل الكبائر والمحرّمات</w:t>
      </w:r>
      <w:r w:rsidR="008A74EB">
        <w:rPr>
          <w:rtl/>
        </w:rPr>
        <w:t>؟</w:t>
      </w:r>
      <w:r w:rsidR="008A74EB" w:rsidRPr="00C9040A">
        <w:rPr>
          <w:rtl/>
        </w:rPr>
        <w:t xml:space="preserve"> وقد مرّ أ</w:t>
      </w:r>
      <w:r w:rsidR="00B70E62">
        <w:rPr>
          <w:rtl/>
        </w:rPr>
        <w:t>نّ الله تعالى لايكلّف الناس إل</w:t>
      </w:r>
      <w:r w:rsidR="00B70E62">
        <w:rPr>
          <w:rFonts w:hint="cs"/>
          <w:rtl/>
        </w:rPr>
        <w:t>ّ</w:t>
      </w:r>
      <w:r w:rsidR="00B70E62">
        <w:rPr>
          <w:rtl/>
        </w:rPr>
        <w:t>ا</w:t>
      </w:r>
      <w:r w:rsidR="00B70E62">
        <w:rPr>
          <w:rFonts w:hint="cs"/>
          <w:rtl/>
        </w:rPr>
        <w:t xml:space="preserve"> </w:t>
      </w:r>
      <w:r w:rsidR="008A74EB" w:rsidRPr="00C9040A">
        <w:rPr>
          <w:rtl/>
        </w:rPr>
        <w:t>بقدر وسعهم ، وليسوا بمجبورين في فعل المعاصي ولا في ترك الواجبات ؛ لكن يمكن أن لايكون في وسع بعضهم معرفة دقائق الا</w:t>
      </w:r>
      <w:r w:rsidR="00B70E62">
        <w:rPr>
          <w:rFonts w:hint="cs"/>
          <w:rtl/>
        </w:rPr>
        <w:t>ُ</w:t>
      </w:r>
      <w:r w:rsidR="008A74EB" w:rsidRPr="00C9040A">
        <w:rPr>
          <w:rtl/>
        </w:rPr>
        <w:t>مور وغوامض الأسرار ، فلم يكلّفوا بها ؛ وكذا عن تحصيل بعض مراتب الإخلاص واليقين وغيرها من المكارم ، فليسوا بملومين بتركها. فالتكاليف بالنسبة إلى العباد مختلفة بحسب اختلاف قابليّاتهم واستعداداتهم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ب ، ج ، د ، ص ، ض ، بر ، بس ، بف » والبحار : « وكيف »</w:t>
      </w:r>
      <w:r w:rsidR="008A74EB">
        <w:rPr>
          <w:rtl/>
        </w:rPr>
        <w:t>.</w:t>
      </w:r>
      <w:r w:rsidR="008A74EB" w:rsidRPr="00C9040A">
        <w:rPr>
          <w:rtl/>
        </w:rPr>
        <w:t xml:space="preserve"> وفي « ف » : « كيف »</w:t>
      </w:r>
      <w:r w:rsidR="008A74EB">
        <w:rPr>
          <w:rtl/>
        </w:rPr>
        <w:t>.</w:t>
      </w:r>
    </w:p>
    <w:p w:rsidR="008A74EB" w:rsidRPr="004A4E41" w:rsidRDefault="006C577F" w:rsidP="004A4E41">
      <w:pPr>
        <w:pStyle w:val="libFootnote0"/>
        <w:rPr>
          <w:rStyle w:val="libFootnote0Char"/>
          <w:rtl/>
        </w:rPr>
      </w:pPr>
      <w:r>
        <w:rPr>
          <w:rtl/>
        </w:rPr>
        <w:t>(3).</w:t>
      </w:r>
      <w:r w:rsidR="008A74EB" w:rsidRPr="00C9040A">
        <w:rPr>
          <w:rtl/>
        </w:rPr>
        <w:t xml:space="preserve"> في « ص » والبحار : « ذلك »</w:t>
      </w:r>
      <w:r w:rsidR="008A74EB">
        <w:rPr>
          <w:rtl/>
        </w:rPr>
        <w:t>.</w:t>
      </w:r>
    </w:p>
    <w:tbl>
      <w:tblPr>
        <w:tblStyle w:val="TableGrid"/>
        <w:bidiVisual/>
        <w:tblW w:w="0" w:type="auto"/>
        <w:tblLook w:val="04A0" w:firstRow="1" w:lastRow="0" w:firstColumn="1" w:lastColumn="0" w:noHBand="0" w:noVBand="1"/>
      </w:tblPr>
      <w:tblGrid>
        <w:gridCol w:w="4006"/>
        <w:gridCol w:w="4006"/>
      </w:tblGrid>
      <w:tr w:rsidR="00B70E62" w:rsidTr="00B70E62">
        <w:tc>
          <w:tcPr>
            <w:tcW w:w="4006" w:type="dxa"/>
          </w:tcPr>
          <w:p w:rsidR="00B70E62" w:rsidRDefault="00B70E62" w:rsidP="004A4E41">
            <w:pPr>
              <w:pStyle w:val="libFootnote0"/>
              <w:rPr>
                <w:rtl/>
              </w:rPr>
            </w:pPr>
            <w:r>
              <w:rPr>
                <w:rtl/>
              </w:rPr>
              <w:t>(4).</w:t>
            </w:r>
            <w:r w:rsidRPr="00C9040A">
              <w:rPr>
                <w:rtl/>
              </w:rPr>
              <w:t xml:space="preserve"> في الوافي والبحار : « قال »</w:t>
            </w:r>
            <w:r>
              <w:rPr>
                <w:rtl/>
              </w:rPr>
              <w:t>.</w:t>
            </w:r>
          </w:p>
        </w:tc>
        <w:tc>
          <w:tcPr>
            <w:tcW w:w="4006" w:type="dxa"/>
          </w:tcPr>
          <w:p w:rsidR="00B70E62" w:rsidRDefault="00B70E62" w:rsidP="004A4E41">
            <w:pPr>
              <w:pStyle w:val="libFootnote0"/>
              <w:rPr>
                <w:rtl/>
              </w:rPr>
            </w:pPr>
            <w:r>
              <w:rPr>
                <w:rtl/>
              </w:rPr>
              <w:t>(5).</w:t>
            </w:r>
            <w:r w:rsidRPr="00C9040A">
              <w:rPr>
                <w:rtl/>
              </w:rPr>
              <w:t xml:space="preserve"> يجوز فيه التشديد أيضاً.</w:t>
            </w:r>
          </w:p>
        </w:tc>
      </w:tr>
      <w:tr w:rsidR="00B70E62" w:rsidTr="00B70E62">
        <w:tc>
          <w:tcPr>
            <w:tcW w:w="4006" w:type="dxa"/>
          </w:tcPr>
          <w:p w:rsidR="00B70E62" w:rsidRDefault="00B70E62" w:rsidP="004A4E41">
            <w:pPr>
              <w:pStyle w:val="libFootnote0"/>
              <w:rPr>
                <w:rtl/>
              </w:rPr>
            </w:pPr>
            <w:r>
              <w:rPr>
                <w:rtl/>
              </w:rPr>
              <w:t xml:space="preserve">(6). </w:t>
            </w:r>
            <w:r w:rsidRPr="00C9040A">
              <w:rPr>
                <w:rtl/>
              </w:rPr>
              <w:t>في « ف » والوسائل والبحار : « وفي »</w:t>
            </w:r>
            <w:r>
              <w:rPr>
                <w:rtl/>
              </w:rPr>
              <w:t>.</w:t>
            </w:r>
          </w:p>
        </w:tc>
        <w:tc>
          <w:tcPr>
            <w:tcW w:w="4006" w:type="dxa"/>
          </w:tcPr>
          <w:p w:rsidR="00B70E62" w:rsidRDefault="00B70E62" w:rsidP="004A4E41">
            <w:pPr>
              <w:pStyle w:val="libFootnote0"/>
              <w:rPr>
                <w:rtl/>
              </w:rPr>
            </w:pPr>
            <w:r>
              <w:rPr>
                <w:rtl/>
              </w:rPr>
              <w:t>(7).</w:t>
            </w:r>
            <w:r w:rsidRPr="00C9040A">
              <w:rPr>
                <w:rtl/>
              </w:rPr>
              <w:t xml:space="preserve"> في « ف » والبحار : « وفي »</w:t>
            </w:r>
            <w:r>
              <w:rPr>
                <w:rtl/>
              </w:rPr>
              <w:t>.</w:t>
            </w:r>
          </w:p>
        </w:tc>
      </w:tr>
      <w:tr w:rsidR="00B70E62" w:rsidTr="00B70E62">
        <w:tc>
          <w:tcPr>
            <w:tcW w:w="4006" w:type="dxa"/>
          </w:tcPr>
          <w:p w:rsidR="00B70E62" w:rsidRDefault="00B70E62" w:rsidP="004A4E41">
            <w:pPr>
              <w:pStyle w:val="libFootnote0"/>
              <w:rPr>
                <w:rtl/>
              </w:rPr>
            </w:pPr>
            <w:r>
              <w:rPr>
                <w:rtl/>
              </w:rPr>
              <w:t>(8).</w:t>
            </w:r>
            <w:r w:rsidRPr="00C9040A">
              <w:rPr>
                <w:rtl/>
              </w:rPr>
              <w:t xml:space="preserve"> في الوسائل </w:t>
            </w:r>
            <w:r>
              <w:rPr>
                <w:rtl/>
              </w:rPr>
              <w:t>: -</w:t>
            </w:r>
            <w:r w:rsidRPr="00C9040A">
              <w:rPr>
                <w:rtl/>
              </w:rPr>
              <w:t xml:space="preserve"> « على »</w:t>
            </w:r>
            <w:r>
              <w:rPr>
                <w:rtl/>
              </w:rPr>
              <w:t>.</w:t>
            </w:r>
          </w:p>
        </w:tc>
        <w:tc>
          <w:tcPr>
            <w:tcW w:w="4006" w:type="dxa"/>
          </w:tcPr>
          <w:p w:rsidR="00B70E62" w:rsidRDefault="00B70E62" w:rsidP="004A4E41">
            <w:pPr>
              <w:pStyle w:val="libFootnote0"/>
              <w:rPr>
                <w:rtl/>
              </w:rPr>
            </w:pPr>
            <w:r>
              <w:rPr>
                <w:rtl/>
              </w:rPr>
              <w:t>(9).</w:t>
            </w:r>
            <w:r w:rsidRPr="00C9040A">
              <w:rPr>
                <w:rtl/>
              </w:rPr>
              <w:t xml:space="preserve"> في « ص » : « وكذا »</w:t>
            </w:r>
            <w:r>
              <w:rPr>
                <w:rtl/>
              </w:rPr>
              <w:t>.</w:t>
            </w:r>
          </w:p>
        </w:tc>
      </w:tr>
    </w:tbl>
    <w:p w:rsidR="008A74EB" w:rsidRPr="004A4E41" w:rsidRDefault="006C577F" w:rsidP="004A4E41">
      <w:pPr>
        <w:pStyle w:val="libFootnote0"/>
        <w:rPr>
          <w:rStyle w:val="libFootnote0Char"/>
          <w:rtl/>
        </w:rPr>
      </w:pPr>
      <w:r>
        <w:rPr>
          <w:rtl/>
        </w:rPr>
        <w:t>(10).</w:t>
      </w:r>
      <w:r w:rsidR="008A74EB" w:rsidRPr="00C9040A">
        <w:rPr>
          <w:rtl/>
        </w:rPr>
        <w:t xml:space="preserve"> في « ف » : « لايقدر على أن يكون » بدل « لايكون »</w:t>
      </w:r>
      <w:r w:rsidR="008A74EB">
        <w:rPr>
          <w:rtl/>
        </w:rPr>
        <w:t>.</w:t>
      </w:r>
    </w:p>
    <w:tbl>
      <w:tblPr>
        <w:tblStyle w:val="TableGrid"/>
        <w:bidiVisual/>
        <w:tblW w:w="0" w:type="auto"/>
        <w:tblLook w:val="04A0" w:firstRow="1" w:lastRow="0" w:firstColumn="1" w:lastColumn="0" w:noHBand="0" w:noVBand="1"/>
      </w:tblPr>
      <w:tblGrid>
        <w:gridCol w:w="4006"/>
        <w:gridCol w:w="4006"/>
      </w:tblGrid>
      <w:tr w:rsidR="00B70E62" w:rsidTr="00B70E62">
        <w:tc>
          <w:tcPr>
            <w:tcW w:w="4006" w:type="dxa"/>
          </w:tcPr>
          <w:p w:rsidR="00B70E62" w:rsidRDefault="00B70E62" w:rsidP="004A4E41">
            <w:pPr>
              <w:pStyle w:val="libFootnote0"/>
              <w:rPr>
                <w:rtl/>
                <w:lang w:bidi="fa-IR"/>
              </w:rPr>
            </w:pPr>
            <w:r>
              <w:rPr>
                <w:rtl/>
              </w:rPr>
              <w:t>(11).</w:t>
            </w:r>
            <w:r w:rsidRPr="00C9040A">
              <w:rPr>
                <w:rtl/>
              </w:rPr>
              <w:t xml:space="preserve"> في الوسائل </w:t>
            </w:r>
            <w:r>
              <w:rPr>
                <w:rtl/>
              </w:rPr>
              <w:t>: -</w:t>
            </w:r>
            <w:r w:rsidRPr="00C9040A">
              <w:rPr>
                <w:rtl/>
              </w:rPr>
              <w:t xml:space="preserve"> « الثلاثة »</w:t>
            </w:r>
            <w:r>
              <w:rPr>
                <w:rtl/>
              </w:rPr>
              <w:t>.</w:t>
            </w:r>
          </w:p>
        </w:tc>
        <w:tc>
          <w:tcPr>
            <w:tcW w:w="4006" w:type="dxa"/>
          </w:tcPr>
          <w:p w:rsidR="00B70E62" w:rsidRDefault="00B70E62" w:rsidP="004A4E41">
            <w:pPr>
              <w:pStyle w:val="libFootnote0"/>
              <w:rPr>
                <w:rtl/>
                <w:lang w:bidi="fa-IR"/>
              </w:rPr>
            </w:pPr>
            <w:r>
              <w:rPr>
                <w:rtl/>
              </w:rPr>
              <w:t>(12).</w:t>
            </w:r>
            <w:r w:rsidRPr="00C9040A">
              <w:rPr>
                <w:rtl/>
              </w:rPr>
              <w:t xml:space="preserve"> في « ض » : « أتمّ »</w:t>
            </w:r>
            <w:r>
              <w:rPr>
                <w:rtl/>
              </w:rPr>
              <w:t>.</w:t>
            </w:r>
          </w:p>
        </w:tc>
      </w:tr>
    </w:tbl>
    <w:p w:rsidR="008A74EB" w:rsidRPr="00C9040A" w:rsidRDefault="008A74EB" w:rsidP="004A4E41">
      <w:pPr>
        <w:pStyle w:val="libFootnote0"/>
        <w:rPr>
          <w:rtl/>
          <w:lang w:bidi="fa-IR"/>
        </w:rPr>
      </w:pPr>
      <w:r>
        <w:rPr>
          <w:rtl/>
        </w:rPr>
        <w:t>(13)</w:t>
      </w:r>
      <w:r w:rsidRPr="00C9040A">
        <w:rPr>
          <w:rtl/>
        </w:rPr>
        <w:t xml:space="preserve"> في « ب ، ض » : « جزءاً »</w:t>
      </w:r>
      <w:r>
        <w:rPr>
          <w:rtl/>
        </w:rPr>
        <w:t>.</w:t>
      </w:r>
      <w:r w:rsidRPr="00C9040A">
        <w:rPr>
          <w:rtl/>
        </w:rPr>
        <w:t xml:space="preserve"> فهو تميز</w:t>
      </w:r>
      <w:r>
        <w:rPr>
          <w:rtl/>
        </w:rPr>
        <w:t xml:space="preserve"> ل</w:t>
      </w:r>
      <w:r w:rsidR="00B70E62">
        <w:rPr>
          <w:rFonts w:hint="cs"/>
          <w:rtl/>
        </w:rPr>
        <w:t>ـ</w:t>
      </w:r>
      <w:r>
        <w:rPr>
          <w:rtl/>
        </w:rPr>
        <w:t xml:space="preserve"> «</w:t>
      </w:r>
      <w:r w:rsidRPr="00C9040A">
        <w:rPr>
          <w:rtl/>
        </w:rPr>
        <w:t xml:space="preserve"> تمّ » كقوله تعالى : </w:t>
      </w:r>
      <w:r w:rsidR="00B70E62" w:rsidRPr="00B866D3">
        <w:rPr>
          <w:rStyle w:val="libFootnoteAlaemChar"/>
          <w:rFonts w:hint="cs"/>
          <w:rtl/>
        </w:rPr>
        <w:t>(</w:t>
      </w:r>
      <w:r w:rsidRPr="00B70E62">
        <w:rPr>
          <w:rStyle w:val="libFootnoteAieChar"/>
          <w:rtl/>
        </w:rPr>
        <w:t xml:space="preserve"> فَتَمَّ مِيقتُ رَبّهِ أَرْبَعِينَ لَيْلِةً </w:t>
      </w:r>
      <w:r w:rsidR="00B70E62" w:rsidRPr="00B866D3">
        <w:rPr>
          <w:rStyle w:val="libFootnoteAlaemChar"/>
          <w:rFonts w:hint="cs"/>
          <w:rtl/>
        </w:rPr>
        <w:t>)</w:t>
      </w:r>
      <w:r w:rsidRPr="00C9040A">
        <w:rPr>
          <w:rtl/>
        </w:rPr>
        <w:t xml:space="preserve"> الأعراف </w:t>
      </w:r>
      <w:r w:rsidR="00B70E62">
        <w:rPr>
          <w:rtl/>
        </w:rPr>
        <w:t>(7)</w:t>
      </w:r>
      <w:r w:rsidRPr="00C9040A">
        <w:rPr>
          <w:rtl/>
        </w:rPr>
        <w:t xml:space="preserve"> : 142.</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هذَا الْخَلْقَ عَلى هذَا ، لَمْ يَلُمْ أَحَدٌ أَحَداً »</w:t>
      </w:r>
      <w:r>
        <w:rPr>
          <w:rtl/>
          <w:lang w:bidi="fa-IR"/>
        </w:rPr>
        <w:t>.</w:t>
      </w:r>
      <w:r w:rsidRPr="00C9040A">
        <w:rPr>
          <w:rtl/>
          <w:lang w:bidi="fa-IR"/>
        </w:rPr>
        <w:t xml:space="preserve"> </w:t>
      </w:r>
      <w:r w:rsidR="006C577F" w:rsidRPr="006C577F">
        <w:rPr>
          <w:rStyle w:val="libFootnotenumChar"/>
          <w:rtl/>
        </w:rPr>
        <w:t>(1)</w:t>
      </w:r>
      <w:r w:rsidRPr="00C9040A">
        <w:rPr>
          <w:rtl/>
          <w:lang w:bidi="fa-IR"/>
        </w:rPr>
        <w:t>‌</w:t>
      </w:r>
    </w:p>
    <w:p w:rsidR="008A74EB" w:rsidRPr="00C9040A" w:rsidRDefault="008A74EB" w:rsidP="008A74EB">
      <w:pPr>
        <w:pStyle w:val="libNormal"/>
        <w:rPr>
          <w:rtl/>
          <w:lang w:bidi="fa-IR"/>
        </w:rPr>
      </w:pPr>
      <w:r w:rsidRPr="00EC0D63">
        <w:rPr>
          <w:rtl/>
        </w:rPr>
        <w:t>1533</w:t>
      </w:r>
      <w:r w:rsidRPr="00261CB0">
        <w:rPr>
          <w:rStyle w:val="libBold2Char"/>
          <w:rtl/>
        </w:rPr>
        <w:t xml:space="preserve"> / 2.</w:t>
      </w:r>
      <w:r w:rsidRPr="00C9040A">
        <w:rPr>
          <w:rtl/>
          <w:lang w:bidi="fa-IR"/>
        </w:rPr>
        <w:t xml:space="preserve"> مُحَمَّدُ بْنُ يَحْيى ، عَنْ مُحَمَّدِ بْنِ أَحْمَدَ ، عَنْ بَعْضِ أَصْحَابِهِ ، عَنِ الْحَسَنِ بْنِ عَلِيِّ بْنِ أَبِي عُثْمَانَ ، عَنْ مُحَمَّدِ بْنِ عُثْمَانَ </w:t>
      </w:r>
      <w:r w:rsidR="006C577F" w:rsidRPr="006C577F">
        <w:rPr>
          <w:rStyle w:val="libFootnotenumChar"/>
          <w:rtl/>
        </w:rPr>
        <w:t>(2)</w:t>
      </w:r>
      <w:r w:rsidRPr="00C9040A">
        <w:rPr>
          <w:rtl/>
          <w:lang w:bidi="fa-IR"/>
        </w:rPr>
        <w:t xml:space="preserve"> ، عَنْ مُحَمَّدِ بْنِ حَمَّادٍ الْخَزَّازِ </w:t>
      </w:r>
      <w:r w:rsidR="006C577F" w:rsidRPr="006C577F">
        <w:rPr>
          <w:rStyle w:val="libFootnotenumChar"/>
          <w:rtl/>
        </w:rPr>
        <w:t>(3)</w:t>
      </w:r>
      <w:r w:rsidRPr="00C9040A">
        <w:rPr>
          <w:rtl/>
          <w:lang w:bidi="fa-IR"/>
        </w:rPr>
        <w:t xml:space="preserve"> ، عَنْ عَبْدِ الْعَزِيزِ الْقَرَاطِيسِيِّ ، قَالَ :</w:t>
      </w:r>
    </w:p>
    <w:p w:rsidR="008A74EB" w:rsidRPr="00C9040A" w:rsidRDefault="008A74EB" w:rsidP="008A74EB">
      <w:pPr>
        <w:pStyle w:val="libNormal"/>
        <w:rPr>
          <w:rtl/>
          <w:lang w:bidi="fa-IR"/>
        </w:rPr>
      </w:pPr>
      <w:r w:rsidRPr="00C9040A">
        <w:rPr>
          <w:rtl/>
          <w:lang w:bidi="fa-IR"/>
        </w:rPr>
        <w:t xml:space="preserve">قَالَ لِي أَبُو عَبْدِ اللهِ </w:t>
      </w:r>
      <w:r w:rsidRPr="0003660B">
        <w:rPr>
          <w:rStyle w:val="libAlaemChar"/>
          <w:rtl/>
        </w:rPr>
        <w:t>عليه‌السلام</w:t>
      </w:r>
      <w:r w:rsidRPr="00C9040A">
        <w:rPr>
          <w:rtl/>
          <w:lang w:bidi="fa-IR"/>
        </w:rPr>
        <w:t xml:space="preserve"> : « يَا عَبْدَ الْعَزِيزِ ، إِنَّ الْإِيمَانَ عَشْرُ دَرَجَاتٍ ، بِمَنْزِلَةِ السُّلَّمِ يُصْعَدُ مِنْهُ مِرْقَاةً بَعْدَ </w:t>
      </w:r>
      <w:r w:rsidR="006C577F" w:rsidRPr="006C577F">
        <w:rPr>
          <w:rStyle w:val="libFootnotenumChar"/>
          <w:rtl/>
        </w:rPr>
        <w:t>(4)</w:t>
      </w:r>
      <w:r w:rsidRPr="00C9040A">
        <w:rPr>
          <w:rtl/>
          <w:lang w:bidi="fa-IR"/>
        </w:rPr>
        <w:t xml:space="preserve"> مِرْقَاةٍ ، فَلَا يَقُولَنَّ </w:t>
      </w:r>
      <w:r w:rsidR="006C577F" w:rsidRPr="006C577F">
        <w:rPr>
          <w:rStyle w:val="libFootnotenumChar"/>
          <w:rtl/>
        </w:rPr>
        <w:t>(5)</w:t>
      </w:r>
      <w:r w:rsidRPr="00C9040A">
        <w:rPr>
          <w:rtl/>
          <w:lang w:bidi="fa-IR"/>
        </w:rPr>
        <w:t xml:space="preserve"> صَاحِبُ الِاثْنَيْنِ لِصَاحِبِ الْوَاحِدِ </w:t>
      </w:r>
      <w:r w:rsidR="006C577F" w:rsidRPr="006C577F">
        <w:rPr>
          <w:rStyle w:val="libFootnotenumChar"/>
          <w:rtl/>
        </w:rPr>
        <w:t>(6)</w:t>
      </w:r>
      <w:r w:rsidRPr="005B567D">
        <w:rPr>
          <w:rStyle w:val="libFootnotenumChar"/>
          <w:rtl/>
        </w:rPr>
        <w:t xml:space="preserve"> </w:t>
      </w:r>
      <w:r w:rsidRPr="00C9040A">
        <w:rPr>
          <w:rtl/>
          <w:lang w:bidi="fa-IR"/>
        </w:rPr>
        <w:t xml:space="preserve">: لَسْتَ عَلى شَيْ‌ءٍ حَتّى </w:t>
      </w:r>
      <w:r w:rsidR="006C577F" w:rsidRPr="006C577F">
        <w:rPr>
          <w:rStyle w:val="libFootnotenumChar"/>
          <w:rtl/>
        </w:rPr>
        <w:t>(7)</w:t>
      </w:r>
      <w:r w:rsidRPr="00C9040A">
        <w:rPr>
          <w:rtl/>
          <w:lang w:bidi="fa-IR"/>
        </w:rPr>
        <w:t xml:space="preserve"> يَنْتَهِيَ </w:t>
      </w:r>
      <w:r w:rsidR="006C577F" w:rsidRPr="006C577F">
        <w:rPr>
          <w:rStyle w:val="libFootnotenumChar"/>
          <w:rtl/>
        </w:rPr>
        <w:t>(8)</w:t>
      </w:r>
      <w:r w:rsidRPr="00C9040A">
        <w:rPr>
          <w:rtl/>
          <w:lang w:bidi="fa-IR"/>
        </w:rPr>
        <w:t xml:space="preserve"> إِلَى الْعَاشِرِ </w:t>
      </w:r>
      <w:r w:rsidR="006C577F" w:rsidRPr="006C577F">
        <w:rPr>
          <w:rStyle w:val="libFootnotenumChar"/>
          <w:rtl/>
        </w:rPr>
        <w:t>(9)</w:t>
      </w:r>
      <w:r w:rsidRPr="00C9040A">
        <w:rPr>
          <w:rtl/>
          <w:lang w:bidi="fa-IR"/>
        </w:rPr>
        <w:t xml:space="preserve"> ، فَلَا تُسْقِطْ </w:t>
      </w:r>
      <w:r w:rsidR="006C577F" w:rsidRPr="006C577F">
        <w:rPr>
          <w:rStyle w:val="libFootnotenumChar"/>
          <w:rtl/>
        </w:rPr>
        <w:t>(10)</w:t>
      </w:r>
      <w:r w:rsidRPr="00C9040A">
        <w:rPr>
          <w:rtl/>
          <w:lang w:bidi="fa-IR"/>
        </w:rPr>
        <w:t xml:space="preserve"> مَنْ هُوَ دُونَكَ ؛ فَيُسْقِطَكَ </w:t>
      </w:r>
      <w:r w:rsidR="006C577F" w:rsidRPr="006C577F">
        <w:rPr>
          <w:rStyle w:val="libFootnotenumChar"/>
          <w:rtl/>
        </w:rPr>
        <w:t>(11)</w:t>
      </w:r>
      <w:r w:rsidRPr="00C9040A">
        <w:rPr>
          <w:rtl/>
          <w:lang w:bidi="fa-IR"/>
        </w:rPr>
        <w:t xml:space="preserve"> مَنْ هُوَ فَوْقَكَ ، وَإِذَا رَأَيْتَ مَنْ هُوَ أَسْفَلُ مِنْكَ بِدَرَجَةٍ ، فَارْفَعْهُ إِلَيْكَ بِرِفْقٍ ، وَلَا تَحْمِلَنَّ عَلَيْهِ مَا لَايُطِيقُ ؛ فَتَكْسِرَهُ</w:t>
      </w:r>
      <w:r w:rsidR="006C577F" w:rsidRPr="006C577F">
        <w:rPr>
          <w:rStyle w:val="libFootnotenumChar"/>
          <w:rtl/>
        </w:rPr>
        <w:t>(12)</w:t>
      </w:r>
      <w:r w:rsidRPr="00C9040A">
        <w:rPr>
          <w:rtl/>
          <w:lang w:bidi="fa-IR"/>
        </w:rPr>
        <w:t xml:space="preserve"> ؛ فَإِنَّ مَنْ كَسَرَ </w:t>
      </w:r>
      <w:r w:rsidRPr="005B567D">
        <w:rPr>
          <w:rStyle w:val="libFootnotenumChar"/>
          <w:rtl/>
        </w:rPr>
        <w:t>(13)</w:t>
      </w:r>
      <w:r w:rsidRPr="00C9040A">
        <w:rPr>
          <w:rtl/>
          <w:lang w:bidi="fa-IR"/>
        </w:rPr>
        <w:t xml:space="preserve"> مُؤْمِناً فَعَلَيْهِ جَبْرُهُ </w:t>
      </w:r>
      <w:r w:rsidRPr="005B567D">
        <w:rPr>
          <w:rStyle w:val="libFootnotenumChar"/>
          <w:rtl/>
        </w:rPr>
        <w:t>(14)</w:t>
      </w:r>
      <w:r w:rsidRPr="00C9040A">
        <w:rPr>
          <w:rtl/>
          <w:lang w:bidi="fa-IR"/>
        </w:rPr>
        <w:t xml:space="preserve"> »</w:t>
      </w:r>
      <w:r>
        <w:rPr>
          <w:rtl/>
          <w:lang w:bidi="fa-IR"/>
        </w:rPr>
        <w:t>.</w:t>
      </w:r>
      <w:r w:rsidRPr="00C9040A">
        <w:rPr>
          <w:rtl/>
          <w:lang w:bidi="fa-IR"/>
        </w:rPr>
        <w:t xml:space="preserve"> </w:t>
      </w:r>
      <w:r w:rsidRPr="005B567D">
        <w:rPr>
          <w:rStyle w:val="libFootnotenumChar"/>
          <w:rtl/>
        </w:rPr>
        <w:t>(15)</w:t>
      </w:r>
      <w:r w:rsidRPr="00C9040A">
        <w:rPr>
          <w:rtl/>
          <w:lang w:bidi="fa-IR"/>
        </w:rPr>
        <w:t xml:space="preserve"> ‌</w:t>
      </w:r>
    </w:p>
    <w:p w:rsidR="008A74EB" w:rsidRPr="00C9040A" w:rsidRDefault="008A74EB" w:rsidP="008A74EB">
      <w:pPr>
        <w:pStyle w:val="libNormal"/>
        <w:rPr>
          <w:rtl/>
          <w:lang w:bidi="fa-IR"/>
        </w:rPr>
      </w:pPr>
      <w:r w:rsidRPr="00EC0D63">
        <w:rPr>
          <w:rtl/>
        </w:rPr>
        <w:t>1534</w:t>
      </w:r>
      <w:r w:rsidRPr="00261CB0">
        <w:rPr>
          <w:rStyle w:val="libBold2Char"/>
          <w:rtl/>
        </w:rPr>
        <w:t xml:space="preserve"> / 3.</w:t>
      </w:r>
      <w:r w:rsidRPr="00C9040A">
        <w:rPr>
          <w:rtl/>
          <w:lang w:bidi="fa-IR"/>
        </w:rPr>
        <w:t xml:space="preserve"> مُحَمَّدُ بْنُ يَحْيى ، عَنْ أَحْمَدَ بْنِ مُحَمَّدِ بْنِ عِيسى ، عَنْ مُحَمَّدِ بْنِ سِنَانٍ ، عَنِ‌</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w:t>
      </w:r>
      <w:r w:rsidR="008A74EB" w:rsidRPr="00993B55">
        <w:rPr>
          <w:rStyle w:val="libFootnoteBoldChar"/>
          <w:rtl/>
        </w:rPr>
        <w:t>الوافي</w:t>
      </w:r>
      <w:r w:rsidR="008A74EB" w:rsidRPr="00C9040A">
        <w:rPr>
          <w:rtl/>
        </w:rPr>
        <w:t xml:space="preserve"> ، ج 4 ، ص 132 ، ح 1727 ؛ </w:t>
      </w:r>
      <w:r w:rsidR="008A74EB" w:rsidRPr="00993B55">
        <w:rPr>
          <w:rStyle w:val="libFootnoteBoldChar"/>
          <w:rtl/>
        </w:rPr>
        <w:t>الوسائل</w:t>
      </w:r>
      <w:r w:rsidR="008A74EB" w:rsidRPr="00C9040A">
        <w:rPr>
          <w:rtl/>
        </w:rPr>
        <w:t xml:space="preserve"> ، ج 16 ، ص 161 ، ح 21243 ؛ </w:t>
      </w:r>
      <w:r w:rsidR="008A74EB" w:rsidRPr="00993B55">
        <w:rPr>
          <w:rStyle w:val="libFootnoteBoldChar"/>
          <w:rtl/>
        </w:rPr>
        <w:t>البحار</w:t>
      </w:r>
      <w:r w:rsidR="008A74EB" w:rsidRPr="00C9040A">
        <w:rPr>
          <w:rtl/>
        </w:rPr>
        <w:t xml:space="preserve"> ، ج 69 ، ص 164 ، ح 3.</w:t>
      </w:r>
    </w:p>
    <w:p w:rsidR="008A74EB" w:rsidRPr="004A4E41" w:rsidRDefault="006C577F" w:rsidP="004A4E41">
      <w:pPr>
        <w:pStyle w:val="libFootnote0"/>
        <w:rPr>
          <w:rStyle w:val="libFootnote0Char"/>
          <w:rtl/>
        </w:rPr>
      </w:pPr>
      <w:r>
        <w:rPr>
          <w:rtl/>
        </w:rPr>
        <w:t>(2).</w:t>
      </w:r>
      <w:r w:rsidR="008A74EB">
        <w:rPr>
          <w:rtl/>
        </w:rPr>
        <w:t xml:space="preserve"> </w:t>
      </w:r>
      <w:r w:rsidR="008A74EB" w:rsidRPr="00C9040A">
        <w:rPr>
          <w:rtl/>
        </w:rPr>
        <w:t xml:space="preserve">في « ص ، ض ، بف » والبحار والخصال ، ص 447 </w:t>
      </w:r>
      <w:r w:rsidR="008A74EB">
        <w:rPr>
          <w:rtl/>
        </w:rPr>
        <w:t xml:space="preserve">: </w:t>
      </w:r>
      <w:r w:rsidR="0084262C">
        <w:rPr>
          <w:rtl/>
        </w:rPr>
        <w:t>-</w:t>
      </w:r>
      <w:r w:rsidR="008A74EB" w:rsidRPr="00C9040A">
        <w:rPr>
          <w:rtl/>
        </w:rPr>
        <w:t xml:space="preserve"> « عن محمّد بن عثمان »</w:t>
      </w:r>
      <w:r w:rsidR="008A74EB">
        <w:rPr>
          <w:rtl/>
        </w:rPr>
        <w:t>.</w:t>
      </w:r>
    </w:p>
    <w:tbl>
      <w:tblPr>
        <w:tblStyle w:val="TableGrid"/>
        <w:bidiVisual/>
        <w:tblW w:w="0" w:type="auto"/>
        <w:tblLook w:val="04A0" w:firstRow="1" w:lastRow="0" w:firstColumn="1" w:lastColumn="0" w:noHBand="0" w:noVBand="1"/>
      </w:tblPr>
      <w:tblGrid>
        <w:gridCol w:w="4006"/>
        <w:gridCol w:w="4006"/>
      </w:tblGrid>
      <w:tr w:rsidR="009D431B" w:rsidTr="009D431B">
        <w:tc>
          <w:tcPr>
            <w:tcW w:w="4006" w:type="dxa"/>
          </w:tcPr>
          <w:p w:rsidR="009D431B" w:rsidRDefault="009D431B" w:rsidP="004A4E41">
            <w:pPr>
              <w:pStyle w:val="libFootnote0"/>
              <w:rPr>
                <w:rtl/>
              </w:rPr>
            </w:pPr>
            <w:r>
              <w:rPr>
                <w:rtl/>
              </w:rPr>
              <w:t>(3).</w:t>
            </w:r>
            <w:r w:rsidRPr="00C9040A">
              <w:rPr>
                <w:rtl/>
              </w:rPr>
              <w:t xml:space="preserve"> في « ب ، ز ، ص » : « الخرّاز »</w:t>
            </w:r>
            <w:r>
              <w:rPr>
                <w:rtl/>
              </w:rPr>
              <w:t>.</w:t>
            </w:r>
          </w:p>
        </w:tc>
        <w:tc>
          <w:tcPr>
            <w:tcW w:w="4006" w:type="dxa"/>
          </w:tcPr>
          <w:p w:rsidR="009D431B" w:rsidRDefault="009D431B" w:rsidP="004A4E41">
            <w:pPr>
              <w:pStyle w:val="libFootnote0"/>
              <w:rPr>
                <w:rtl/>
              </w:rPr>
            </w:pPr>
            <w:r>
              <w:rPr>
                <w:rtl/>
              </w:rPr>
              <w:t>(4).</w:t>
            </w:r>
            <w:r w:rsidRPr="00C9040A">
              <w:rPr>
                <w:rtl/>
              </w:rPr>
              <w:t xml:space="preserve"> في « ف » </w:t>
            </w:r>
            <w:r>
              <w:rPr>
                <w:rtl/>
              </w:rPr>
              <w:t>: -</w:t>
            </w:r>
            <w:r w:rsidRPr="00C9040A">
              <w:rPr>
                <w:rtl/>
              </w:rPr>
              <w:t xml:space="preserve"> « بعد »</w:t>
            </w:r>
            <w:r>
              <w:rPr>
                <w:rtl/>
              </w:rPr>
              <w:t>.</w:t>
            </w:r>
          </w:p>
        </w:tc>
      </w:tr>
    </w:tbl>
    <w:p w:rsidR="008A74EB" w:rsidRPr="00C9040A" w:rsidRDefault="006C577F" w:rsidP="004A4E41">
      <w:pPr>
        <w:pStyle w:val="libFootnote0"/>
        <w:rPr>
          <w:rtl/>
          <w:lang w:bidi="fa-IR"/>
        </w:rPr>
      </w:pPr>
      <w:r>
        <w:rPr>
          <w:rtl/>
        </w:rPr>
        <w:t>(5).</w:t>
      </w:r>
      <w:r w:rsidR="008A74EB" w:rsidRPr="00C9040A">
        <w:rPr>
          <w:rtl/>
        </w:rPr>
        <w:t xml:space="preserve"> في « ص » : « ولا يقول »</w:t>
      </w:r>
      <w:r w:rsidR="008A74EB">
        <w:rPr>
          <w:rtl/>
        </w:rPr>
        <w:t>.</w:t>
      </w:r>
      <w:r w:rsidR="008A74EB" w:rsidRPr="00C9040A">
        <w:rPr>
          <w:rtl/>
        </w:rPr>
        <w:t xml:space="preserve"> وفي « ف » : « ولا يقولنّ »</w:t>
      </w:r>
      <w:r w:rsidR="008A74EB">
        <w:rPr>
          <w:rtl/>
        </w:rPr>
        <w:t>.</w:t>
      </w:r>
    </w:p>
    <w:p w:rsidR="008A74EB" w:rsidRPr="004A4E41" w:rsidRDefault="006C577F" w:rsidP="004A4E41">
      <w:pPr>
        <w:pStyle w:val="libFootnote0"/>
        <w:rPr>
          <w:rStyle w:val="libFootnote0Char"/>
          <w:rtl/>
        </w:rPr>
      </w:pPr>
      <w:r>
        <w:rPr>
          <w:rtl/>
        </w:rPr>
        <w:t>(6).</w:t>
      </w:r>
      <w:r w:rsidR="008A74EB">
        <w:rPr>
          <w:rtl/>
        </w:rPr>
        <w:t xml:space="preserve"> </w:t>
      </w:r>
      <w:r w:rsidR="008A74EB" w:rsidRPr="00C9040A">
        <w:rPr>
          <w:rtl/>
        </w:rPr>
        <w:t xml:space="preserve">في </w:t>
      </w:r>
      <w:r w:rsidR="008A74EB" w:rsidRPr="00EC0D63">
        <w:rPr>
          <w:rtl/>
        </w:rPr>
        <w:t>الخصال</w:t>
      </w:r>
      <w:r w:rsidR="008A74EB" w:rsidRPr="00C9040A">
        <w:rPr>
          <w:rtl/>
        </w:rPr>
        <w:t xml:space="preserve"> ، ص 447 </w:t>
      </w:r>
      <w:r w:rsidR="008A74EB">
        <w:rPr>
          <w:rtl/>
        </w:rPr>
        <w:t>و 4</w:t>
      </w:r>
      <w:r w:rsidR="008A74EB" w:rsidRPr="00C9040A">
        <w:rPr>
          <w:rtl/>
        </w:rPr>
        <w:t>48 : « فلا تقولنّ صاحب الواحد لصاحب الاثنين »</w:t>
      </w:r>
      <w:r w:rsidR="008A74EB">
        <w:rPr>
          <w:rtl/>
        </w:rPr>
        <w:t>.</w:t>
      </w:r>
    </w:p>
    <w:tbl>
      <w:tblPr>
        <w:tblStyle w:val="TableGrid"/>
        <w:bidiVisual/>
        <w:tblW w:w="0" w:type="auto"/>
        <w:tblLook w:val="04A0" w:firstRow="1" w:lastRow="0" w:firstColumn="1" w:lastColumn="0" w:noHBand="0" w:noVBand="1"/>
      </w:tblPr>
      <w:tblGrid>
        <w:gridCol w:w="4006"/>
        <w:gridCol w:w="4006"/>
      </w:tblGrid>
      <w:tr w:rsidR="009D431B" w:rsidTr="009D431B">
        <w:tc>
          <w:tcPr>
            <w:tcW w:w="4006" w:type="dxa"/>
          </w:tcPr>
          <w:p w:rsidR="009D431B" w:rsidRDefault="009D431B" w:rsidP="004A4E41">
            <w:pPr>
              <w:pStyle w:val="libFootnote0"/>
              <w:rPr>
                <w:rtl/>
              </w:rPr>
            </w:pPr>
            <w:r>
              <w:rPr>
                <w:rtl/>
              </w:rPr>
              <w:t>(7).</w:t>
            </w:r>
            <w:r w:rsidRPr="00C9040A">
              <w:rPr>
                <w:rtl/>
              </w:rPr>
              <w:t xml:space="preserve"> في « ب » : « حين »</w:t>
            </w:r>
            <w:r>
              <w:rPr>
                <w:rtl/>
              </w:rPr>
              <w:t>.</w:t>
            </w:r>
          </w:p>
        </w:tc>
        <w:tc>
          <w:tcPr>
            <w:tcW w:w="4006" w:type="dxa"/>
          </w:tcPr>
          <w:p w:rsidR="009D431B" w:rsidRDefault="009D431B" w:rsidP="004A4E41">
            <w:pPr>
              <w:pStyle w:val="libFootnote0"/>
              <w:rPr>
                <w:rtl/>
              </w:rPr>
            </w:pPr>
            <w:r>
              <w:rPr>
                <w:rtl/>
              </w:rPr>
              <w:t>(8).</w:t>
            </w:r>
            <w:r w:rsidRPr="00C9040A">
              <w:rPr>
                <w:rtl/>
              </w:rPr>
              <w:t xml:space="preserve"> في « د » : « تنتهي »</w:t>
            </w:r>
            <w:r>
              <w:rPr>
                <w:rtl/>
              </w:rPr>
              <w:t>.</w:t>
            </w:r>
          </w:p>
        </w:tc>
      </w:tr>
    </w:tbl>
    <w:p w:rsidR="008A74EB" w:rsidRPr="00C9040A" w:rsidRDefault="006C577F" w:rsidP="004A4E41">
      <w:pPr>
        <w:pStyle w:val="libFootnote0"/>
        <w:rPr>
          <w:rtl/>
          <w:lang w:bidi="fa-IR"/>
        </w:rPr>
      </w:pPr>
      <w:r>
        <w:rPr>
          <w:rtl/>
        </w:rPr>
        <w:t>(9).</w:t>
      </w:r>
      <w:r w:rsidR="008A74EB" w:rsidRPr="00C9040A">
        <w:rPr>
          <w:rtl/>
        </w:rPr>
        <w:t xml:space="preserve"> في « ج ، ف ، بر ، بس ، بف » والوافي والوسائل : « العاشرة »</w:t>
      </w:r>
      <w:r w:rsidR="008A74EB">
        <w:rPr>
          <w:rtl/>
        </w:rPr>
        <w:t>.</w:t>
      </w:r>
    </w:p>
    <w:p w:rsidR="008A74EB" w:rsidRPr="004A4E41" w:rsidRDefault="006C577F" w:rsidP="004A4E41">
      <w:pPr>
        <w:pStyle w:val="libFootnote0"/>
        <w:rPr>
          <w:rStyle w:val="libFootnote0Char"/>
          <w:rtl/>
        </w:rPr>
      </w:pPr>
      <w:r>
        <w:rPr>
          <w:rtl/>
        </w:rPr>
        <w:t>(10).</w:t>
      </w:r>
      <w:r w:rsidR="008A74EB" w:rsidRPr="00C9040A">
        <w:rPr>
          <w:rtl/>
        </w:rPr>
        <w:t xml:space="preserve"> في « ف » : « فلا يسقط »</w:t>
      </w:r>
      <w:r w:rsidR="008A74EB">
        <w:rPr>
          <w:rtl/>
        </w:rPr>
        <w:t>.</w:t>
      </w:r>
      <w:r w:rsidR="008A74EB" w:rsidRPr="00C9040A">
        <w:rPr>
          <w:rtl/>
        </w:rPr>
        <w:t xml:space="preserve"> وفي « بر » والخصال ، ص 447 : « ولا تسقط »</w:t>
      </w:r>
      <w:r w:rsidR="008A74EB">
        <w:rPr>
          <w:rtl/>
        </w:rPr>
        <w:t>.</w:t>
      </w:r>
    </w:p>
    <w:tbl>
      <w:tblPr>
        <w:tblStyle w:val="TableGrid"/>
        <w:bidiVisual/>
        <w:tblW w:w="0" w:type="auto"/>
        <w:tblLook w:val="04A0" w:firstRow="1" w:lastRow="0" w:firstColumn="1" w:lastColumn="0" w:noHBand="0" w:noVBand="1"/>
      </w:tblPr>
      <w:tblGrid>
        <w:gridCol w:w="4006"/>
        <w:gridCol w:w="4006"/>
      </w:tblGrid>
      <w:tr w:rsidR="009D431B" w:rsidTr="009D431B">
        <w:tc>
          <w:tcPr>
            <w:tcW w:w="4006" w:type="dxa"/>
          </w:tcPr>
          <w:p w:rsidR="009D431B" w:rsidRDefault="009D431B" w:rsidP="004A4E41">
            <w:pPr>
              <w:pStyle w:val="libFootnote0"/>
              <w:rPr>
                <w:rtl/>
              </w:rPr>
            </w:pPr>
            <w:r>
              <w:rPr>
                <w:rtl/>
              </w:rPr>
              <w:t>(11).</w:t>
            </w:r>
            <w:r w:rsidRPr="00C9040A">
              <w:rPr>
                <w:rtl/>
              </w:rPr>
              <w:t xml:space="preserve"> في « ف » : « فيسقط »</w:t>
            </w:r>
            <w:r>
              <w:rPr>
                <w:rtl/>
              </w:rPr>
              <w:t>.</w:t>
            </w:r>
          </w:p>
        </w:tc>
        <w:tc>
          <w:tcPr>
            <w:tcW w:w="4006" w:type="dxa"/>
          </w:tcPr>
          <w:p w:rsidR="009D431B" w:rsidRDefault="009D431B" w:rsidP="004A4E41">
            <w:pPr>
              <w:pStyle w:val="libFootnote0"/>
              <w:rPr>
                <w:rtl/>
              </w:rPr>
            </w:pPr>
            <w:r>
              <w:rPr>
                <w:rtl/>
              </w:rPr>
              <w:t>(12).</w:t>
            </w:r>
            <w:r w:rsidRPr="00C9040A">
              <w:rPr>
                <w:rtl/>
              </w:rPr>
              <w:t xml:space="preserve"> في « ج » : « فتكسّره » بالتشديد.</w:t>
            </w:r>
          </w:p>
        </w:tc>
      </w:tr>
    </w:tbl>
    <w:p w:rsidR="008A74EB" w:rsidRPr="00C9040A" w:rsidRDefault="008A74EB" w:rsidP="004A4E41">
      <w:pPr>
        <w:pStyle w:val="libFootnote0"/>
        <w:rPr>
          <w:rtl/>
          <w:lang w:bidi="fa-IR"/>
        </w:rPr>
      </w:pPr>
      <w:r>
        <w:rPr>
          <w:rtl/>
        </w:rPr>
        <w:t>(13)</w:t>
      </w:r>
      <w:r w:rsidRPr="00C9040A">
        <w:rPr>
          <w:rtl/>
        </w:rPr>
        <w:t xml:space="preserve"> في « ف » : « كسّر » بالتشديد.</w:t>
      </w:r>
    </w:p>
    <w:p w:rsidR="008A74EB" w:rsidRPr="00C9040A" w:rsidRDefault="008A74EB" w:rsidP="004A4E41">
      <w:pPr>
        <w:pStyle w:val="libFootnote0"/>
        <w:rPr>
          <w:rtl/>
          <w:lang w:bidi="fa-IR"/>
        </w:rPr>
      </w:pPr>
      <w:r>
        <w:rPr>
          <w:rtl/>
        </w:rPr>
        <w:t>(14)</w:t>
      </w:r>
      <w:r w:rsidRPr="00C9040A">
        <w:rPr>
          <w:rtl/>
        </w:rPr>
        <w:t xml:space="preserve"> في الخصال ، ص 447 : + « وكان المقداد في الثامنة ، وأبو ذرّ في التاسعة ، وسلمان في العاشرة »</w:t>
      </w:r>
      <w:r>
        <w:rPr>
          <w:rtl/>
        </w:rPr>
        <w:t>.</w:t>
      </w:r>
    </w:p>
    <w:p w:rsidR="008A74EB" w:rsidRPr="00C9040A" w:rsidRDefault="008A74EB" w:rsidP="004A4E41">
      <w:pPr>
        <w:pStyle w:val="libFootnote0"/>
        <w:rPr>
          <w:rtl/>
          <w:lang w:bidi="fa-IR"/>
        </w:rPr>
      </w:pPr>
      <w:r>
        <w:rPr>
          <w:rtl/>
        </w:rPr>
        <w:t>(15)</w:t>
      </w:r>
      <w:r w:rsidRPr="00C9040A">
        <w:rPr>
          <w:rtl/>
        </w:rPr>
        <w:t xml:space="preserve"> </w:t>
      </w:r>
      <w:r w:rsidRPr="00993B55">
        <w:rPr>
          <w:rStyle w:val="libFootnoteBoldChar"/>
          <w:rtl/>
        </w:rPr>
        <w:t>الخصال</w:t>
      </w:r>
      <w:r w:rsidRPr="00C9040A">
        <w:rPr>
          <w:rtl/>
        </w:rPr>
        <w:t xml:space="preserve"> ، ص 447 ، باب العشرة ، ح 48 ، بسنده عن محمّد بن أحمد ، عن أبي عبد الله الرازي ، عن الحسن بن عليّ بن أبي عثمان ، عن محمّد بن حمّاد الخزّاز. </w:t>
      </w:r>
      <w:r w:rsidRPr="00993B55">
        <w:rPr>
          <w:rStyle w:val="libFootnoteBoldChar"/>
          <w:rtl/>
        </w:rPr>
        <w:t>وفيه</w:t>
      </w:r>
      <w:r w:rsidRPr="00C9040A">
        <w:rPr>
          <w:rtl/>
        </w:rPr>
        <w:t xml:space="preserve"> ، ص 448 ، نفس الباب ، ح 49 ، بسنده عن محمّد بن حمّاد الخزّاز ، مع اختلاف وزيادة </w:t>
      </w:r>
      <w:r w:rsidR="009D431B">
        <w:rPr>
          <w:rFonts w:hint="cs"/>
          <w:rtl/>
        </w:rPr>
        <w:t>.</w:t>
      </w:r>
      <w:r w:rsidRPr="00993B55">
        <w:rPr>
          <w:rStyle w:val="libFootnoteBoldChar"/>
          <w:rtl/>
        </w:rPr>
        <w:t>الوافي</w:t>
      </w:r>
      <w:r w:rsidRPr="00C9040A">
        <w:rPr>
          <w:rtl/>
        </w:rPr>
        <w:t xml:space="preserve"> ، ج 4 ، ص 131 ، ح 1724 ؛ </w:t>
      </w:r>
      <w:r w:rsidRPr="00993B55">
        <w:rPr>
          <w:rStyle w:val="libFootnoteBoldChar"/>
          <w:rtl/>
        </w:rPr>
        <w:t>الوسائل</w:t>
      </w:r>
      <w:r w:rsidRPr="00C9040A">
        <w:rPr>
          <w:rtl/>
        </w:rPr>
        <w:t xml:space="preserve"> ، ج 16 ، ص 162 ، ح 21244 ؛ </w:t>
      </w:r>
      <w:r w:rsidRPr="00993B55">
        <w:rPr>
          <w:rStyle w:val="libFootnoteBoldChar"/>
          <w:rtl/>
        </w:rPr>
        <w:t>البحار</w:t>
      </w:r>
      <w:r w:rsidRPr="00C9040A">
        <w:rPr>
          <w:rtl/>
        </w:rPr>
        <w:t xml:space="preserve"> ، ج 69 ، ص 165 ، ح 4.</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ابْنِ مُسْكَانَ ، عَنْ سَدِيرٍ ، قَالَ :</w:t>
      </w:r>
    </w:p>
    <w:p w:rsidR="008A74EB" w:rsidRPr="00C9040A" w:rsidRDefault="008A74EB" w:rsidP="008A74EB">
      <w:pPr>
        <w:pStyle w:val="libNormal"/>
        <w:rPr>
          <w:rtl/>
          <w:lang w:bidi="fa-IR"/>
        </w:rPr>
      </w:pPr>
      <w:r w:rsidRPr="00C9040A">
        <w:rPr>
          <w:rtl/>
          <w:lang w:bidi="fa-IR"/>
        </w:rPr>
        <w:t xml:space="preserve">قَالَ لِي </w:t>
      </w:r>
      <w:r w:rsidR="006C577F" w:rsidRPr="006C577F">
        <w:rPr>
          <w:rStyle w:val="libFootnotenumChar"/>
          <w:rtl/>
        </w:rPr>
        <w:t>(1)</w:t>
      </w:r>
      <w:r w:rsidRPr="00853746">
        <w:rPr>
          <w:rFonts w:hint="cs"/>
          <w:rtl/>
        </w:rPr>
        <w:t xml:space="preserve"> </w:t>
      </w:r>
      <w:r w:rsidRPr="00C9040A">
        <w:rPr>
          <w:rtl/>
          <w:lang w:bidi="fa-IR"/>
        </w:rPr>
        <w:t xml:space="preserve">أَبُو جَعْفَرٍ </w:t>
      </w:r>
      <w:r w:rsidRPr="0003660B">
        <w:rPr>
          <w:rStyle w:val="libAlaemChar"/>
          <w:rtl/>
        </w:rPr>
        <w:t>عليه‌السلام</w:t>
      </w:r>
      <w:r w:rsidRPr="00C9040A">
        <w:rPr>
          <w:rtl/>
          <w:lang w:bidi="fa-IR"/>
        </w:rPr>
        <w:t xml:space="preserve"> : « إِنَّ الْمُؤْمِنِينَ عَلى مَنَازِلَ : مِنْهُمْ عَلى وَاحِدَةٍ ، وَمِنْهُمْ عَلَى اثْنَتَيْنِ </w:t>
      </w:r>
      <w:r w:rsidR="006C577F" w:rsidRPr="006C577F">
        <w:rPr>
          <w:rStyle w:val="libFootnotenumChar"/>
          <w:rtl/>
        </w:rPr>
        <w:t>(2)</w:t>
      </w:r>
      <w:r w:rsidRPr="00C9040A">
        <w:rPr>
          <w:rtl/>
          <w:lang w:bidi="fa-IR"/>
        </w:rPr>
        <w:t xml:space="preserve"> ، وَمِنْهُمْ عَلى ثَلَاثٍ ، وَمِنْهُمْ عَلى أَرْبَعٍ ، وَمِنْهُمْ عَلى خَمْسٍ ، وَمِنْهُمْ عَلى سِتٍّ ، وَمِنْهُمْ عَلى سَبْعٍ ؛ فَلَوْ ذَهَبْتَ تَحْمِلُ عَلى صَاحِبِ الْوَاحِدَةِ ثِنْتَيْنِ </w:t>
      </w:r>
      <w:r w:rsidR="006C577F" w:rsidRPr="006C577F">
        <w:rPr>
          <w:rStyle w:val="libFootnotenumChar"/>
          <w:rtl/>
        </w:rPr>
        <w:t>(3)</w:t>
      </w:r>
      <w:r w:rsidRPr="00C9040A">
        <w:rPr>
          <w:rtl/>
          <w:lang w:bidi="fa-IR"/>
        </w:rPr>
        <w:t xml:space="preserve"> ، لَمْ يَقْوَ ؛ وَعَلى صَاحِبِ الثِّنْتَيْنِ ثَلَاثاً ، لَمْ يَقْوَ ؛ وَعَلى صَاحِبِ الثَّلَاثِ أَرْبَعاً ، لَمْ يَقْوَ ؛ وَعَلى صَاحِبِ الْأَرْبَعِ خَمْساً ، لَمْ يَقْوَ ؛ وَعَلى صَاحِبِ الْخَمْسِ سِتّاً ، لَمْ يَقْوَ ؛ وَعَلى صَاحِبِ السِّتِّ سَبْعاً ، لَمْ يَقْوَ ؛ وَ</w:t>
      </w:r>
      <w:r>
        <w:rPr>
          <w:rFonts w:hint="cs"/>
          <w:rtl/>
          <w:lang w:bidi="fa-IR"/>
        </w:rPr>
        <w:t xml:space="preserve"> </w:t>
      </w:r>
      <w:r w:rsidR="006C577F" w:rsidRPr="006C577F">
        <w:rPr>
          <w:rStyle w:val="libFootnotenumChar"/>
          <w:rtl/>
        </w:rPr>
        <w:t>(4)</w:t>
      </w:r>
      <w:r w:rsidRPr="00C9040A">
        <w:rPr>
          <w:rtl/>
          <w:lang w:bidi="fa-IR"/>
        </w:rPr>
        <w:t xml:space="preserve"> عَلى هذِهِ الدَّرَجَاتُ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6E2E14">
        <w:rPr>
          <w:rtl/>
        </w:rPr>
        <w:t>1535</w:t>
      </w:r>
      <w:r w:rsidRPr="00261CB0">
        <w:rPr>
          <w:rStyle w:val="libBold2Char"/>
          <w:rtl/>
        </w:rPr>
        <w:t xml:space="preserve"> / 4.</w:t>
      </w:r>
      <w:r w:rsidRPr="00C9040A">
        <w:rPr>
          <w:rtl/>
          <w:lang w:bidi="fa-IR"/>
        </w:rPr>
        <w:t xml:space="preserve"> عَنْهُ </w:t>
      </w:r>
      <w:r w:rsidR="006C577F" w:rsidRPr="006C577F">
        <w:rPr>
          <w:rStyle w:val="libFootnotenumChar"/>
          <w:rtl/>
        </w:rPr>
        <w:t>(6)</w:t>
      </w:r>
      <w:r w:rsidRPr="005B567D">
        <w:rPr>
          <w:rStyle w:val="libFootnotenumChar"/>
          <w:rtl/>
        </w:rPr>
        <w:t xml:space="preserve"> </w:t>
      </w:r>
      <w:r w:rsidRPr="00C9040A">
        <w:rPr>
          <w:rtl/>
          <w:lang w:bidi="fa-IR"/>
        </w:rPr>
        <w:t>، عَنْ عَلِيِّ بْنِ الْحَكَمِ ، عَنْ مُحَمَّدِ بْنِ سِنَانٍ ، عَنِ الصَّبَّاحِ بْنِ سَيَابَةَ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مَا أَنْتُمْ وَالْبَرَاءَةَ يَبْرَأُ </w:t>
      </w:r>
      <w:r w:rsidR="006C577F" w:rsidRPr="006C577F">
        <w:rPr>
          <w:rStyle w:val="libFootnotenumChar"/>
          <w:rtl/>
        </w:rPr>
        <w:t>(7)</w:t>
      </w:r>
      <w:r w:rsidRPr="00C9040A">
        <w:rPr>
          <w:rtl/>
          <w:lang w:bidi="fa-IR"/>
        </w:rPr>
        <w:t xml:space="preserve"> بَعْضُكُمْ مِنْ بَعْضٍ</w:t>
      </w:r>
      <w:r>
        <w:rPr>
          <w:rtl/>
          <w:lang w:bidi="fa-IR"/>
        </w:rPr>
        <w:t>؟</w:t>
      </w:r>
      <w:r w:rsidRPr="00C9040A">
        <w:rPr>
          <w:rtl/>
          <w:lang w:bidi="fa-IR"/>
        </w:rPr>
        <w:t xml:space="preserve"> إِنَّ الْمُؤْمِنِينَ بَعْضُهُمْ أَفْضَلُ مِنْ بَعْضٍ ، وَبَعْضُهُمْ أَكْثَرُ صَلَاةً مِنْ بَعْضٍ ، وَبَعْضُهُمْ أَنْفَذُ بَصَراً </w:t>
      </w:r>
      <w:r w:rsidR="006C577F" w:rsidRPr="006C577F">
        <w:rPr>
          <w:rStyle w:val="libFootnotenumChar"/>
          <w:rtl/>
        </w:rPr>
        <w:t>(8)</w:t>
      </w:r>
      <w:r w:rsidRPr="00C9040A">
        <w:rPr>
          <w:rtl/>
          <w:lang w:bidi="fa-IR"/>
        </w:rPr>
        <w:t xml:space="preserve"> مِنْ بَعْضٍ ، وَهِيَ الدَّرَجَاتُ </w:t>
      </w:r>
      <w:r w:rsidR="006C577F" w:rsidRPr="006C577F">
        <w:rPr>
          <w:rStyle w:val="libFootnotenumChar"/>
          <w:rtl/>
        </w:rPr>
        <w:t>(9)</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 ب ، د ، ص ، ف ، بر ، بس ، جر » والوسائل </w:t>
      </w:r>
      <w:r w:rsidR="008A74EB">
        <w:rPr>
          <w:rtl/>
        </w:rPr>
        <w:t xml:space="preserve">: </w:t>
      </w:r>
      <w:r w:rsidR="0084262C">
        <w:rPr>
          <w:rtl/>
        </w:rPr>
        <w:t>-</w:t>
      </w:r>
      <w:r w:rsidR="008A74EB" w:rsidRPr="00C9040A">
        <w:rPr>
          <w:rtl/>
        </w:rPr>
        <w:t xml:space="preserve"> « لي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الوافي : « اثنين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ج ، ف » : « اثنتين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ض ، بف » </w:t>
      </w:r>
      <w:r w:rsidR="008A74EB">
        <w:rPr>
          <w:rtl/>
        </w:rPr>
        <w:t xml:space="preserve">: </w:t>
      </w:r>
      <w:r w:rsidR="0084262C">
        <w:rPr>
          <w:rtl/>
        </w:rPr>
        <w:t>-</w:t>
      </w:r>
      <w:r w:rsidR="008A74EB" w:rsidRPr="00C9040A">
        <w:rPr>
          <w:rtl/>
        </w:rPr>
        <w:t xml:space="preserve"> « و</w:t>
      </w:r>
      <w:r w:rsidR="008A74EB">
        <w:rPr>
          <w:rFonts w:hint="cs"/>
          <w:rtl/>
        </w:rPr>
        <w:t xml:space="preserve"> </w:t>
      </w:r>
      <w:r w:rsidR="008A74EB" w:rsidRPr="00C9040A">
        <w:rPr>
          <w:rtl/>
        </w:rPr>
        <w:t>»</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الوافي</w:t>
      </w:r>
      <w:r w:rsidR="008A74EB" w:rsidRPr="00C9040A">
        <w:rPr>
          <w:rtl/>
        </w:rPr>
        <w:t xml:space="preserve"> ، ج 4 ، ص 132 ، ح 1726 ؛ </w:t>
      </w:r>
      <w:r w:rsidR="008A74EB" w:rsidRPr="00993B55">
        <w:rPr>
          <w:rStyle w:val="libFootnoteBoldChar"/>
          <w:rtl/>
        </w:rPr>
        <w:t>الوسائل</w:t>
      </w:r>
      <w:r w:rsidR="008A74EB" w:rsidRPr="00C9040A">
        <w:rPr>
          <w:rtl/>
        </w:rPr>
        <w:t xml:space="preserve"> ، ج 16 ، ص 163 ، ح 21245 ؛ </w:t>
      </w:r>
      <w:r w:rsidR="008A74EB" w:rsidRPr="00993B55">
        <w:rPr>
          <w:rStyle w:val="libFootnoteBoldChar"/>
          <w:rtl/>
        </w:rPr>
        <w:t>البحار</w:t>
      </w:r>
      <w:r w:rsidR="008A74EB" w:rsidRPr="00C9040A">
        <w:rPr>
          <w:rtl/>
        </w:rPr>
        <w:t xml:space="preserve"> ، ج 69 ، ص 167 ، ح 6.</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ضمير « عنه » راجع إلى أحمد بن محمّد بن عيسى المذكور في السند المتقدّم. وأحمد بن محمّد بن عيسى وإن أكثر الرواية عن محمّد بن سنان ( </w:t>
      </w:r>
      <w:r w:rsidR="008A74EB" w:rsidRPr="00993B55">
        <w:rPr>
          <w:rStyle w:val="libFootnoteBoldChar"/>
          <w:rtl/>
        </w:rPr>
        <w:t>معجم رجال الحديث</w:t>
      </w:r>
      <w:r w:rsidR="008A74EB" w:rsidRPr="00C9040A">
        <w:rPr>
          <w:rtl/>
        </w:rPr>
        <w:t xml:space="preserve"> ، ج 2 ، ص 695</w:t>
      </w:r>
      <w:r w:rsidR="008A74EB">
        <w:rPr>
          <w:rtl/>
        </w:rPr>
        <w:t xml:space="preserve"> </w:t>
      </w:r>
      <w:r w:rsidR="0084262C">
        <w:rPr>
          <w:rtl/>
        </w:rPr>
        <w:t>-</w:t>
      </w:r>
      <w:r w:rsidR="008A74EB">
        <w:rPr>
          <w:rtl/>
        </w:rPr>
        <w:t xml:space="preserve"> </w:t>
      </w:r>
      <w:r w:rsidR="008A74EB" w:rsidRPr="00C9040A">
        <w:rPr>
          <w:rtl/>
        </w:rPr>
        <w:t xml:space="preserve">696 ) لكن قد توسّط بينهما بعض الأصحاب كعليّ بن الحكم ، كما في </w:t>
      </w:r>
      <w:r w:rsidR="008A74EB" w:rsidRPr="00993B55">
        <w:rPr>
          <w:rStyle w:val="libFootnoteBoldChar"/>
          <w:rtl/>
        </w:rPr>
        <w:t>الكافي</w:t>
      </w:r>
      <w:r w:rsidR="008A74EB" w:rsidRPr="00C9040A">
        <w:rPr>
          <w:rtl/>
        </w:rPr>
        <w:t xml:space="preserve"> ، ح 15400 ؛ والحسين بن سعيد كما في </w:t>
      </w:r>
      <w:r w:rsidR="008A74EB" w:rsidRPr="00993B55">
        <w:rPr>
          <w:rStyle w:val="libFootnoteBoldChar"/>
          <w:rtl/>
        </w:rPr>
        <w:t>الكافي</w:t>
      </w:r>
      <w:r w:rsidR="008A74EB" w:rsidRPr="00C9040A">
        <w:rPr>
          <w:rtl/>
        </w:rPr>
        <w:t xml:space="preserve"> ، ح 7562.</w:t>
      </w:r>
    </w:p>
    <w:p w:rsidR="008A74EB" w:rsidRPr="00C9040A" w:rsidRDefault="006C577F" w:rsidP="004A4E41">
      <w:pPr>
        <w:pStyle w:val="libFootnote0"/>
        <w:rPr>
          <w:rtl/>
          <w:lang w:bidi="fa-IR"/>
        </w:rPr>
      </w:pPr>
      <w:r>
        <w:rPr>
          <w:rtl/>
        </w:rPr>
        <w:t>(7).</w:t>
      </w:r>
      <w:r w:rsidR="008A74EB" w:rsidRPr="00C9040A">
        <w:rPr>
          <w:rtl/>
        </w:rPr>
        <w:t xml:space="preserve"> في « ص » : « يتبرّأ »</w:t>
      </w:r>
      <w:r w:rsidR="008A74EB">
        <w:rPr>
          <w:rtl/>
        </w:rPr>
        <w:t>.</w:t>
      </w:r>
      <w:r w:rsidR="008A74EB" w:rsidRPr="00C9040A">
        <w:rPr>
          <w:rtl/>
        </w:rPr>
        <w:t xml:space="preserve"> وفي « ف » : « تبرأ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حاشية « بر » والبحار : « بصيرة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w:t>
      </w:r>
      <w:r w:rsidR="008A74EB" w:rsidRPr="00993B55">
        <w:rPr>
          <w:rStyle w:val="libFootnoteBoldChar"/>
          <w:rtl/>
        </w:rPr>
        <w:t>مرآة العقول</w:t>
      </w:r>
      <w:r w:rsidR="008A74EB" w:rsidRPr="00C9040A">
        <w:rPr>
          <w:rtl/>
        </w:rPr>
        <w:t xml:space="preserve"> : « وهي الدرجات ، أي درجات الإيمان</w:t>
      </w:r>
      <w:r w:rsidR="008A74EB">
        <w:rPr>
          <w:rtl/>
        </w:rPr>
        <w:t xml:space="preserve"> ..</w:t>
      </w:r>
      <w:r w:rsidR="008A74EB" w:rsidRPr="00C9040A">
        <w:rPr>
          <w:rtl/>
        </w:rPr>
        <w:t xml:space="preserve">. أو هي الدرجات التي ذكرها في قوله : </w:t>
      </w:r>
      <w:r w:rsidR="008A74EB" w:rsidRPr="00B866D3">
        <w:rPr>
          <w:rStyle w:val="libFootnoteAlaemChar"/>
          <w:rtl/>
        </w:rPr>
        <w:t>(</w:t>
      </w:r>
      <w:r w:rsidR="008A74EB" w:rsidRPr="00883DD5">
        <w:rPr>
          <w:rStyle w:val="libFootnoteAieChar"/>
          <w:rFonts w:hint="cs"/>
          <w:rtl/>
        </w:rPr>
        <w:t xml:space="preserve"> </w:t>
      </w:r>
      <w:r w:rsidR="008A74EB" w:rsidRPr="00883DD5">
        <w:rPr>
          <w:rStyle w:val="libFootnoteAieChar"/>
          <w:rtl/>
        </w:rPr>
        <w:t>هُمْ دَرَجاتٌ عِنْدَ اللهِ</w:t>
      </w:r>
      <w:r w:rsidR="008A74EB" w:rsidRPr="00883DD5">
        <w:rPr>
          <w:rStyle w:val="libFootnoteAieChar"/>
          <w:rFonts w:hint="cs"/>
          <w:rtl/>
        </w:rPr>
        <w:t xml:space="preserve"> </w:t>
      </w:r>
      <w:r w:rsidR="008A74EB" w:rsidRPr="00B866D3">
        <w:rPr>
          <w:rStyle w:val="libFootnoteAlaemChar"/>
          <w:rtl/>
        </w:rPr>
        <w:t>)</w:t>
      </w:r>
      <w:r w:rsidR="008A74EB" w:rsidRPr="00C9040A">
        <w:rPr>
          <w:rtl/>
        </w:rPr>
        <w:t xml:space="preserve"> [ آل عمران </w:t>
      </w:r>
      <w:r w:rsidR="00D924A3">
        <w:rPr>
          <w:rtl/>
        </w:rPr>
        <w:t>(3)</w:t>
      </w:r>
      <w:r w:rsidR="008A74EB" w:rsidRPr="00C9040A">
        <w:rPr>
          <w:rtl/>
        </w:rPr>
        <w:t xml:space="preserve"> : 163 ] وغيره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w:t>
      </w:r>
      <w:r w:rsidR="008A74EB" w:rsidRPr="00993B55">
        <w:rPr>
          <w:rStyle w:val="libFootnoteBoldChar"/>
          <w:rtl/>
        </w:rPr>
        <w:t>الوافي</w:t>
      </w:r>
      <w:r w:rsidR="008A74EB" w:rsidRPr="00C9040A">
        <w:rPr>
          <w:rtl/>
        </w:rPr>
        <w:t xml:space="preserve"> ، ج 4 ، ص 132 ، ح 1725 ؛ </w:t>
      </w:r>
      <w:r w:rsidR="008A74EB" w:rsidRPr="00993B55">
        <w:rPr>
          <w:rStyle w:val="libFootnoteBoldChar"/>
          <w:rtl/>
        </w:rPr>
        <w:t>الوسائل</w:t>
      </w:r>
      <w:r w:rsidR="008A74EB" w:rsidRPr="00C9040A">
        <w:rPr>
          <w:rtl/>
        </w:rPr>
        <w:t xml:space="preserve"> ، ج 16 ، ص 163 ، ح 21246 ؛ </w:t>
      </w:r>
      <w:r w:rsidR="008A74EB" w:rsidRPr="00993B55">
        <w:rPr>
          <w:rStyle w:val="libFootnoteBoldChar"/>
          <w:rtl/>
        </w:rPr>
        <w:t>البحار</w:t>
      </w:r>
      <w:r w:rsidR="008A74EB" w:rsidRPr="00C9040A">
        <w:rPr>
          <w:rtl/>
        </w:rPr>
        <w:t xml:space="preserve"> ، ج 69 ، ص 168 ، ح 7.</w:t>
      </w:r>
    </w:p>
    <w:p w:rsidR="004B7F34" w:rsidRDefault="004B7F34" w:rsidP="004B7F34">
      <w:pPr>
        <w:pStyle w:val="libNormal"/>
        <w:rPr>
          <w:rtl/>
          <w:lang w:bidi="fa-IR"/>
        </w:rPr>
      </w:pPr>
      <w:r>
        <w:rPr>
          <w:rtl/>
          <w:lang w:bidi="fa-IR"/>
        </w:rPr>
        <w:br w:type="page"/>
      </w:r>
    </w:p>
    <w:p w:rsidR="008A74EB" w:rsidRPr="00C9040A" w:rsidRDefault="008A74EB" w:rsidP="008A74EB">
      <w:pPr>
        <w:pStyle w:val="Heading2Center"/>
        <w:rPr>
          <w:rtl/>
          <w:lang w:bidi="fa-IR"/>
        </w:rPr>
      </w:pPr>
      <w:bookmarkStart w:id="76" w:name="_Toc343795613"/>
      <w:bookmarkStart w:id="77" w:name="_Toc459810737"/>
      <w:bookmarkStart w:id="78" w:name="_Toc35348643"/>
      <w:r w:rsidRPr="00C9040A">
        <w:rPr>
          <w:rtl/>
          <w:lang w:bidi="fa-IR"/>
        </w:rPr>
        <w:lastRenderedPageBreak/>
        <w:t>22</w:t>
      </w:r>
      <w:r>
        <w:rPr>
          <w:rtl/>
          <w:lang w:bidi="fa-IR"/>
        </w:rPr>
        <w:t xml:space="preserve"> </w:t>
      </w:r>
      <w:r w:rsidR="0084262C">
        <w:rPr>
          <w:rtl/>
          <w:lang w:bidi="fa-IR"/>
        </w:rPr>
        <w:t>-</w:t>
      </w:r>
      <w:r>
        <w:rPr>
          <w:rtl/>
          <w:lang w:bidi="fa-IR"/>
        </w:rPr>
        <w:t xml:space="preserve"> </w:t>
      </w:r>
      <w:r w:rsidRPr="00C9040A">
        <w:rPr>
          <w:rtl/>
          <w:lang w:bidi="fa-IR"/>
        </w:rPr>
        <w:t>بَابُ نِسْبَةِ الْإِسْلَامِ‌</w:t>
      </w:r>
      <w:bookmarkEnd w:id="76"/>
      <w:bookmarkEnd w:id="77"/>
      <w:bookmarkEnd w:id="78"/>
    </w:p>
    <w:p w:rsidR="008A74EB" w:rsidRPr="00C9040A" w:rsidRDefault="008A74EB" w:rsidP="008A74EB">
      <w:pPr>
        <w:pStyle w:val="libNormal"/>
        <w:rPr>
          <w:rtl/>
          <w:lang w:bidi="fa-IR"/>
        </w:rPr>
      </w:pPr>
      <w:r w:rsidRPr="006E2E14">
        <w:rPr>
          <w:rtl/>
        </w:rPr>
        <w:t>1536</w:t>
      </w:r>
      <w:r w:rsidRPr="00261CB0">
        <w:rPr>
          <w:rStyle w:val="libBold2Char"/>
          <w:rtl/>
        </w:rPr>
        <w:t xml:space="preserve"> / 1.</w:t>
      </w:r>
      <w:r w:rsidRPr="00C9040A">
        <w:rPr>
          <w:rtl/>
          <w:lang w:bidi="fa-IR"/>
        </w:rPr>
        <w:t xml:space="preserve"> عِدَّةٌ مِنْ أَصْحَابِنَا ، عَنْ أَحْمَدَ بْنِ مُحَمَّدِ بْنِ خَالِدٍ ، عَنْ بَعْضِ أَصْحَابِنَا رَفَعَهُ ، قَالَ :</w:t>
      </w:r>
    </w:p>
    <w:p w:rsidR="008A74EB" w:rsidRPr="00C9040A" w:rsidRDefault="008A74EB" w:rsidP="008A74EB">
      <w:pPr>
        <w:pStyle w:val="libNormal"/>
        <w:rPr>
          <w:rtl/>
          <w:lang w:bidi="fa-IR"/>
        </w:rPr>
      </w:pPr>
      <w:r w:rsidRPr="00C9040A">
        <w:rPr>
          <w:rtl/>
          <w:lang w:bidi="fa-IR"/>
        </w:rPr>
        <w:t xml:space="preserve">قَالَ أَمِيرُ الْمُؤْمِنِينَ </w:t>
      </w:r>
      <w:r w:rsidRPr="0003660B">
        <w:rPr>
          <w:rStyle w:val="libAlaemChar"/>
          <w:rtl/>
        </w:rPr>
        <w:t>عليه‌السلام</w:t>
      </w:r>
      <w:r w:rsidRPr="00C9040A">
        <w:rPr>
          <w:rtl/>
          <w:lang w:bidi="fa-IR"/>
        </w:rPr>
        <w:t xml:space="preserve"> : « لَأَنْسُبَنَّ </w:t>
      </w:r>
      <w:r w:rsidR="006C577F" w:rsidRPr="006C577F">
        <w:rPr>
          <w:rStyle w:val="libFootnotenumChar"/>
          <w:rtl/>
        </w:rPr>
        <w:t>(1)</w:t>
      </w:r>
      <w:r w:rsidRPr="00853746">
        <w:rPr>
          <w:rFonts w:hint="cs"/>
          <w:rtl/>
        </w:rPr>
        <w:t xml:space="preserve"> </w:t>
      </w:r>
      <w:r w:rsidRPr="00C9040A">
        <w:rPr>
          <w:rtl/>
          <w:lang w:bidi="fa-IR"/>
        </w:rPr>
        <w:t xml:space="preserve">الْإِسْلَامَ نِسْبَةً لَمْ يَنْسُبْهُ </w:t>
      </w:r>
      <w:r w:rsidR="006C577F" w:rsidRPr="006C577F">
        <w:rPr>
          <w:rStyle w:val="libFootnotenumChar"/>
          <w:rtl/>
        </w:rPr>
        <w:t>(2)</w:t>
      </w:r>
      <w:r w:rsidRPr="00C9040A">
        <w:rPr>
          <w:rtl/>
          <w:lang w:bidi="fa-IR"/>
        </w:rPr>
        <w:t xml:space="preserve"> أَحَدٌ قَبْلِي وَلَا يَنْسُبُهُ أَحَدٌ بَعْدِي إِلاَّ بِمِثْلِ </w:t>
      </w:r>
      <w:r w:rsidR="006C577F" w:rsidRPr="006C577F">
        <w:rPr>
          <w:rStyle w:val="libFootnotenumChar"/>
          <w:rtl/>
        </w:rPr>
        <w:t>(3)</w:t>
      </w:r>
      <w:r w:rsidRPr="00C9040A">
        <w:rPr>
          <w:rtl/>
          <w:lang w:bidi="fa-IR"/>
        </w:rPr>
        <w:t xml:space="preserve"> ذلِكَ ، إِنَّ </w:t>
      </w:r>
      <w:r w:rsidR="006C577F" w:rsidRPr="006C577F">
        <w:rPr>
          <w:rStyle w:val="libFootnotenumChar"/>
          <w:rtl/>
        </w:rPr>
        <w:t>(4)</w:t>
      </w:r>
      <w:r w:rsidRPr="00C9040A">
        <w:rPr>
          <w:rtl/>
          <w:lang w:bidi="fa-IR"/>
        </w:rPr>
        <w:t xml:space="preserve"> الْإِسْلَامَ هُوَ التَّسْلِيمُ ، وَالتَّسْلِيمَ هُوَ الْيَقِينُ ، وَالْيَقِينَ هُوَ التَّصْدِيقُ ، وَالتَّصْدِيقَ هُوَ الْإِقْرَارُ ، وَالْإِقْرَارَ هُوَ الْعَمَلُ ، وَالْعَمَلَ هُوَ الْأَدَاءُ ، إِنَّ الْمُؤْمِنَ لَمْ يَأْخُذْ دِينَهُ عَنْ رَأْيِهِ ، وَلكِنْ أَتَاهُ مِنْ </w:t>
      </w:r>
      <w:r w:rsidR="006C577F" w:rsidRPr="006C577F">
        <w:rPr>
          <w:rStyle w:val="libFootnotenumChar"/>
          <w:rtl/>
        </w:rPr>
        <w:t>(5)</w:t>
      </w:r>
      <w:r w:rsidRPr="00C9040A">
        <w:rPr>
          <w:rtl/>
          <w:lang w:bidi="fa-IR"/>
        </w:rPr>
        <w:t xml:space="preserve"> رَبِّهِ ، فَأَخَذَهُ </w:t>
      </w:r>
      <w:r w:rsidR="006C577F" w:rsidRPr="006C577F">
        <w:rPr>
          <w:rStyle w:val="libFootnotenumChar"/>
          <w:rtl/>
        </w:rPr>
        <w:t>(6)</w:t>
      </w:r>
      <w:r w:rsidRPr="005B567D">
        <w:rPr>
          <w:rStyle w:val="libFootnotenumChar"/>
          <w:rtl/>
        </w:rPr>
        <w:t xml:space="preserve"> </w:t>
      </w:r>
      <w:r w:rsidRPr="00C9040A">
        <w:rPr>
          <w:rtl/>
          <w:lang w:bidi="fa-IR"/>
        </w:rPr>
        <w:t xml:space="preserve">؛ إِنَّ الْمُؤْمِنَ </w:t>
      </w:r>
      <w:r w:rsidR="006C577F" w:rsidRPr="006C577F">
        <w:rPr>
          <w:rStyle w:val="libFootnotenumChar"/>
          <w:rtl/>
        </w:rPr>
        <w:t>(7)</w:t>
      </w:r>
      <w:r w:rsidRPr="00C9040A">
        <w:rPr>
          <w:rtl/>
          <w:lang w:bidi="fa-IR"/>
        </w:rPr>
        <w:t xml:space="preserve"> يُرى </w:t>
      </w:r>
      <w:r w:rsidR="006C577F" w:rsidRPr="006C577F">
        <w:rPr>
          <w:rStyle w:val="libFootnotenumChar"/>
          <w:rtl/>
        </w:rPr>
        <w:t>(8)</w:t>
      </w:r>
      <w:r w:rsidRPr="00C9040A">
        <w:rPr>
          <w:rtl/>
          <w:lang w:bidi="fa-IR"/>
        </w:rPr>
        <w:t xml:space="preserve"> يَقِينُهُ فِي عَمَلِهِ ، وَالْكَافِرَ يُرى إِنْكَارُهُ فِي عَمَلِهِ ، فَوَ الَّذِي نَفْسِي بِيَدِهِ ، مَا عَرَفُوا أَمْرَهُمْ </w:t>
      </w:r>
      <w:r w:rsidR="006C577F" w:rsidRPr="006C577F">
        <w:rPr>
          <w:rStyle w:val="libFootnotenumChar"/>
          <w:rtl/>
        </w:rPr>
        <w:t>(9)</w:t>
      </w:r>
      <w:r w:rsidRPr="00C9040A">
        <w:rPr>
          <w:rtl/>
          <w:lang w:bidi="fa-IR"/>
        </w:rPr>
        <w:t xml:space="preserve"> ، فَاعْتَبِرُوا إِنْكَارَ الْكَافِرِينَ وَالْمُنَافِقِينَ بِأَعْمَالِهِمُ الْخَبِيثَةِ »</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المحاسن : + « اليوم »</w:t>
      </w:r>
      <w:r w:rsidR="008A74EB">
        <w:rPr>
          <w:rtl/>
        </w:rPr>
        <w:t>.</w:t>
      </w:r>
      <w:r w:rsidR="008A74EB" w:rsidRPr="00C9040A">
        <w:rPr>
          <w:rtl/>
        </w:rPr>
        <w:t xml:space="preserve"> يقال : نسبتُ الرجلَ كنصرت أو كضربت ، أي ذكرت نسبته ، والمراد بيان الإسلام</w:t>
      </w:r>
      <w:r w:rsidR="008A02EC">
        <w:rPr>
          <w:rFonts w:hint="cs"/>
          <w:rtl/>
        </w:rPr>
        <w:t xml:space="preserve"> </w:t>
      </w:r>
      <w:r w:rsidR="008A02EC">
        <w:rPr>
          <w:rtl/>
        </w:rPr>
        <w:t>‌والكشف التامّ عن معناه ، ولم</w:t>
      </w:r>
      <w:r w:rsidR="008A02EC">
        <w:rPr>
          <w:rFonts w:hint="cs"/>
          <w:rtl/>
        </w:rPr>
        <w:t>ـّ</w:t>
      </w:r>
      <w:r w:rsidR="008A74EB" w:rsidRPr="00C9040A">
        <w:rPr>
          <w:rtl/>
        </w:rPr>
        <w:t xml:space="preserve">ا كان نسبة شي‌ء إلى شي‌ء يوضح أمره وحاله وما يؤول هو إليه اطلق هنا على الإيضاح ، من باب ذكر الملزوم وإرادة اللازم. راجع : </w:t>
      </w:r>
      <w:r w:rsidR="008A74EB" w:rsidRPr="00993B55">
        <w:rPr>
          <w:rStyle w:val="libFootnoteBoldChar"/>
          <w:rtl/>
        </w:rPr>
        <w:t>المصباح المنير</w:t>
      </w:r>
      <w:r w:rsidR="008A74EB" w:rsidRPr="00C9040A">
        <w:rPr>
          <w:rtl/>
        </w:rPr>
        <w:t xml:space="preserve"> ، ص 602 ( نسب ) ؛ </w:t>
      </w:r>
      <w:r w:rsidR="008A74EB" w:rsidRPr="00993B55">
        <w:rPr>
          <w:rStyle w:val="libFootnoteBoldChar"/>
          <w:rtl/>
        </w:rPr>
        <w:t>شرح المازندراني</w:t>
      </w:r>
      <w:r w:rsidR="008A74EB" w:rsidRPr="00C9040A">
        <w:rPr>
          <w:rtl/>
        </w:rPr>
        <w:t xml:space="preserve"> ، ج 8 ، ص 135 ؛ </w:t>
      </w:r>
      <w:r w:rsidR="008A74EB" w:rsidRPr="00993B55">
        <w:rPr>
          <w:rStyle w:val="libFootnoteBoldChar"/>
          <w:rtl/>
        </w:rPr>
        <w:t>مرآة العقول</w:t>
      </w:r>
      <w:r w:rsidR="008A74EB" w:rsidRPr="00C9040A">
        <w:rPr>
          <w:rtl/>
        </w:rPr>
        <w:t xml:space="preserve"> ، ج 7 ، ص 282.</w:t>
      </w:r>
    </w:p>
    <w:p w:rsidR="008A74EB" w:rsidRPr="004A4E41" w:rsidRDefault="006C577F" w:rsidP="004A4E41">
      <w:pPr>
        <w:pStyle w:val="libFootnote0"/>
        <w:rPr>
          <w:rStyle w:val="libFootnote0Char"/>
          <w:rtl/>
        </w:rPr>
      </w:pPr>
      <w:r>
        <w:rPr>
          <w:rtl/>
        </w:rPr>
        <w:t>(2).</w:t>
      </w:r>
      <w:r w:rsidR="008A74EB">
        <w:rPr>
          <w:rtl/>
        </w:rPr>
        <w:t xml:space="preserve"> </w:t>
      </w:r>
      <w:r w:rsidR="008A74EB" w:rsidRPr="00C9040A">
        <w:rPr>
          <w:rtl/>
        </w:rPr>
        <w:t>هكذا في النسخ التي بأيدينا والوافي والوسائل والمحاسن. وفي المطبوع : « لا ينسبه »</w:t>
      </w:r>
      <w:r w:rsidR="008A74EB">
        <w:rPr>
          <w:rtl/>
        </w:rPr>
        <w:t>.</w:t>
      </w:r>
    </w:p>
    <w:tbl>
      <w:tblPr>
        <w:tblStyle w:val="TableGrid"/>
        <w:bidiVisual/>
        <w:tblW w:w="0" w:type="auto"/>
        <w:tblLook w:val="04A0" w:firstRow="1" w:lastRow="0" w:firstColumn="1" w:lastColumn="0" w:noHBand="0" w:noVBand="1"/>
      </w:tblPr>
      <w:tblGrid>
        <w:gridCol w:w="4006"/>
        <w:gridCol w:w="4006"/>
      </w:tblGrid>
      <w:tr w:rsidR="008A02EC" w:rsidTr="008A02EC">
        <w:tc>
          <w:tcPr>
            <w:tcW w:w="4006" w:type="dxa"/>
          </w:tcPr>
          <w:p w:rsidR="008A02EC" w:rsidRDefault="008A02EC" w:rsidP="004A4E41">
            <w:pPr>
              <w:pStyle w:val="libFootnote0"/>
              <w:rPr>
                <w:rtl/>
              </w:rPr>
            </w:pPr>
            <w:r>
              <w:rPr>
                <w:rtl/>
              </w:rPr>
              <w:t>(3).</w:t>
            </w:r>
            <w:r w:rsidRPr="00C9040A">
              <w:rPr>
                <w:rtl/>
              </w:rPr>
              <w:t xml:space="preserve"> في « بر » : « مثل »</w:t>
            </w:r>
            <w:r>
              <w:rPr>
                <w:rtl/>
              </w:rPr>
              <w:t>.</w:t>
            </w:r>
          </w:p>
        </w:tc>
        <w:tc>
          <w:tcPr>
            <w:tcW w:w="4006" w:type="dxa"/>
          </w:tcPr>
          <w:p w:rsidR="008A02EC" w:rsidRDefault="008A02EC" w:rsidP="004A4E41">
            <w:pPr>
              <w:pStyle w:val="libFootnote0"/>
              <w:rPr>
                <w:rtl/>
              </w:rPr>
            </w:pPr>
            <w:r>
              <w:rPr>
                <w:rtl/>
              </w:rPr>
              <w:t>(4).</w:t>
            </w:r>
            <w:r w:rsidRPr="00C9040A">
              <w:rPr>
                <w:rtl/>
              </w:rPr>
              <w:t xml:space="preserve"> في المحاسن </w:t>
            </w:r>
            <w:r>
              <w:rPr>
                <w:rtl/>
              </w:rPr>
              <w:t>: -</w:t>
            </w:r>
            <w:r w:rsidRPr="00C9040A">
              <w:rPr>
                <w:rtl/>
              </w:rPr>
              <w:t xml:space="preserve"> « إنّ »</w:t>
            </w:r>
            <w:r>
              <w:rPr>
                <w:rtl/>
              </w:rPr>
              <w:t>.</w:t>
            </w:r>
          </w:p>
        </w:tc>
      </w:tr>
      <w:tr w:rsidR="008A02EC" w:rsidTr="008A02EC">
        <w:tc>
          <w:tcPr>
            <w:tcW w:w="4006" w:type="dxa"/>
          </w:tcPr>
          <w:p w:rsidR="008A02EC" w:rsidRDefault="008A02EC" w:rsidP="004A4E41">
            <w:pPr>
              <w:pStyle w:val="libFootnote0"/>
              <w:rPr>
                <w:rtl/>
              </w:rPr>
            </w:pPr>
            <w:r>
              <w:rPr>
                <w:rtl/>
              </w:rPr>
              <w:t>(5).</w:t>
            </w:r>
            <w:r w:rsidRPr="00C9040A">
              <w:rPr>
                <w:rtl/>
              </w:rPr>
              <w:t xml:space="preserve"> في المحاسن : « عن »</w:t>
            </w:r>
            <w:r>
              <w:rPr>
                <w:rtl/>
              </w:rPr>
              <w:t>.</w:t>
            </w:r>
          </w:p>
        </w:tc>
        <w:tc>
          <w:tcPr>
            <w:tcW w:w="4006" w:type="dxa"/>
          </w:tcPr>
          <w:p w:rsidR="008A02EC" w:rsidRDefault="008A02EC" w:rsidP="004A4E41">
            <w:pPr>
              <w:pStyle w:val="libFootnote0"/>
              <w:rPr>
                <w:rtl/>
              </w:rPr>
            </w:pPr>
            <w:r>
              <w:rPr>
                <w:rtl/>
              </w:rPr>
              <w:t xml:space="preserve">(6). </w:t>
            </w:r>
            <w:r w:rsidRPr="00C9040A">
              <w:rPr>
                <w:rtl/>
              </w:rPr>
              <w:t>في الوسائل والمحاسن : « فأخذ به »</w:t>
            </w:r>
            <w:r>
              <w:rPr>
                <w:rtl/>
              </w:rPr>
              <w:t>.</w:t>
            </w:r>
          </w:p>
        </w:tc>
      </w:tr>
    </w:tbl>
    <w:p w:rsidR="008A74EB" w:rsidRPr="00C9040A" w:rsidRDefault="006C577F" w:rsidP="004A4E41">
      <w:pPr>
        <w:pStyle w:val="libFootnote0"/>
        <w:rPr>
          <w:rtl/>
          <w:lang w:bidi="fa-IR"/>
        </w:rPr>
      </w:pPr>
      <w:r>
        <w:rPr>
          <w:rtl/>
        </w:rPr>
        <w:t>(7).</w:t>
      </w:r>
      <w:r w:rsidR="008A74EB" w:rsidRPr="00C9040A">
        <w:rPr>
          <w:rtl/>
        </w:rPr>
        <w:t xml:space="preserve"> في مرآة العقول : « فالمؤمن » بدل « إنّ المؤمن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w:t>
      </w:r>
      <w:r w:rsidR="008A74EB" w:rsidRPr="00993B55">
        <w:rPr>
          <w:rStyle w:val="libFootnoteBoldChar"/>
          <w:rtl/>
        </w:rPr>
        <w:t>شرح المازندراني</w:t>
      </w:r>
      <w:r w:rsidR="008A74EB" w:rsidRPr="00C9040A">
        <w:rPr>
          <w:rtl/>
        </w:rPr>
        <w:t xml:space="preserve"> : « يرى ، إمّا مجهول من الرؤية ، أو معلوم من الإراءة. وما بعده على الأوّل مرفوع ، وعلى الثاني منصوب »</w:t>
      </w:r>
      <w:r w:rsidR="008A74EB">
        <w:rPr>
          <w:rtl/>
        </w:rPr>
        <w:t>.</w:t>
      </w:r>
      <w:r w:rsidR="008A02EC">
        <w:rPr>
          <w:rFonts w:hint="cs"/>
          <w:rtl/>
        </w:rPr>
        <w:t xml:space="preserve">                                          </w:t>
      </w:r>
      <w:r>
        <w:rPr>
          <w:rtl/>
        </w:rPr>
        <w:t>(9).</w:t>
      </w:r>
      <w:r w:rsidR="008A74EB" w:rsidRPr="00C9040A">
        <w:rPr>
          <w:rtl/>
        </w:rPr>
        <w:t xml:space="preserve"> في المحاسن : « أمر ربّهم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w:t>
      </w:r>
      <w:r w:rsidR="008A74EB" w:rsidRPr="00993B55">
        <w:rPr>
          <w:rStyle w:val="libFootnoteBoldChar"/>
          <w:rtl/>
        </w:rPr>
        <w:t>المحاسن</w:t>
      </w:r>
      <w:r w:rsidR="008A74EB" w:rsidRPr="00C9040A">
        <w:rPr>
          <w:rtl/>
        </w:rPr>
        <w:t xml:space="preserve"> ، ص 222 ، </w:t>
      </w:r>
      <w:r w:rsidR="008A74EB" w:rsidRPr="008A02EC">
        <w:rPr>
          <w:rStyle w:val="libFootnoteBoldChar"/>
          <w:rtl/>
        </w:rPr>
        <w:t>كتاب مصابيح الظلم</w:t>
      </w:r>
      <w:r w:rsidR="008A74EB" w:rsidRPr="00C9040A">
        <w:rPr>
          <w:rtl/>
        </w:rPr>
        <w:t xml:space="preserve"> ، ح 135. وفي </w:t>
      </w:r>
      <w:r w:rsidR="008A74EB" w:rsidRPr="0034021D">
        <w:rPr>
          <w:rStyle w:val="libFootnoteBoldChar"/>
          <w:rtl/>
        </w:rPr>
        <w:t>الأمالي للصدوق</w:t>
      </w:r>
      <w:r w:rsidR="008A74EB" w:rsidRPr="00C9040A">
        <w:rPr>
          <w:rtl/>
        </w:rPr>
        <w:t xml:space="preserve"> ، ص 351 ، المجلس 56 ، ح 4 ؛ و</w:t>
      </w:r>
      <w:r w:rsidR="008A74EB" w:rsidRPr="00993B55">
        <w:rPr>
          <w:rStyle w:val="libFootnoteBoldChar"/>
          <w:rtl/>
        </w:rPr>
        <w:t>معاني الأخبار</w:t>
      </w:r>
      <w:r w:rsidR="008A74EB" w:rsidRPr="00C9040A">
        <w:rPr>
          <w:rtl/>
        </w:rPr>
        <w:t xml:space="preserve"> ، ص 185 ، ح 1 ، بسندهما آخر عن أحمد بن محمّد بن خالد ، عن أبيه ، عن أحمد بن [ في المعاني </w:t>
      </w:r>
      <w:r w:rsidR="008A74EB">
        <w:rPr>
          <w:rtl/>
        </w:rPr>
        <w:t xml:space="preserve">: </w:t>
      </w:r>
      <w:r w:rsidR="0084262C">
        <w:rPr>
          <w:rtl/>
        </w:rPr>
        <w:t>-</w:t>
      </w:r>
      <w:r w:rsidR="008A74EB" w:rsidRPr="00C9040A">
        <w:rPr>
          <w:rtl/>
        </w:rPr>
        <w:t xml:space="preserve"> « أحمد بن » ] محمّد بن يحيى الخزّاز [ في المعاني </w:t>
      </w:r>
      <w:r w:rsidR="008A74EB">
        <w:rPr>
          <w:rtl/>
        </w:rPr>
        <w:t xml:space="preserve">: </w:t>
      </w:r>
      <w:r w:rsidR="0084262C">
        <w:rPr>
          <w:rtl/>
        </w:rPr>
        <w:t>-</w:t>
      </w:r>
      <w:r w:rsidR="008A74EB" w:rsidRPr="00C9040A">
        <w:rPr>
          <w:rtl/>
        </w:rPr>
        <w:t xml:space="preserve"> « الخزّاز » ] ، عن غياث بن إبراهيم ، عن الصادق ، عن آبائه ، عن أمير المؤمنين </w:t>
      </w:r>
      <w:r w:rsidR="00117575" w:rsidRPr="00117575">
        <w:rPr>
          <w:rStyle w:val="libFootnoteAlaemChar"/>
          <w:rtl/>
        </w:rPr>
        <w:t>عليهم‌السلام</w:t>
      </w:r>
      <w:r w:rsidR="008A74EB" w:rsidRPr="00C9040A">
        <w:rPr>
          <w:rtl/>
        </w:rPr>
        <w:t xml:space="preserve"> ، مع اختلاف. </w:t>
      </w:r>
      <w:r w:rsidR="008A74EB" w:rsidRPr="00993B55">
        <w:rPr>
          <w:rStyle w:val="libFootnoteBoldChar"/>
          <w:rtl/>
        </w:rPr>
        <w:t>تفسير القمّي</w:t>
      </w:r>
      <w:r w:rsidR="008A74EB" w:rsidRPr="00C9040A">
        <w:rPr>
          <w:rtl/>
        </w:rPr>
        <w:t xml:space="preserve"> ، ج 1 ، ص 99 ، عن محمّد بن يحيى البغدادي ، رفع الحديث إلى أمير المؤمنين </w:t>
      </w:r>
      <w:r w:rsidR="00117575" w:rsidRPr="00117575">
        <w:rPr>
          <w:rStyle w:val="libFootnoteAlaemChar"/>
          <w:rtl/>
        </w:rPr>
        <w:t>عليه‌السلام</w:t>
      </w:r>
      <w:r w:rsidR="008A74EB" w:rsidRPr="00C9040A">
        <w:rPr>
          <w:rtl/>
        </w:rPr>
        <w:t xml:space="preserve"> ، مع اختلاف. </w:t>
      </w:r>
      <w:r w:rsidR="008A74EB" w:rsidRPr="00993B55">
        <w:rPr>
          <w:rStyle w:val="libFootnoteBoldChar"/>
          <w:rtl/>
        </w:rPr>
        <w:t>نهج البلاغة</w:t>
      </w:r>
      <w:r w:rsidR="008A74EB" w:rsidRPr="00C9040A">
        <w:rPr>
          <w:rtl/>
        </w:rPr>
        <w:t xml:space="preserve"> ، ص 491 ، الحكمة 125 ؛ </w:t>
      </w:r>
      <w:r w:rsidR="008A02EC">
        <w:rPr>
          <w:rStyle w:val="libFootnoteBoldChar"/>
          <w:rtl/>
        </w:rPr>
        <w:t>خصائص</w:t>
      </w:r>
      <w:r w:rsidR="008A02EC">
        <w:rPr>
          <w:rStyle w:val="libFootnoteBoldCha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6E2E14">
        <w:rPr>
          <w:rtl/>
        </w:rPr>
        <w:lastRenderedPageBreak/>
        <w:t>1537</w:t>
      </w:r>
      <w:r w:rsidRPr="00261CB0">
        <w:rPr>
          <w:rStyle w:val="libBold2Char"/>
          <w:rtl/>
        </w:rPr>
        <w:t xml:space="preserve"> / 2.</w:t>
      </w:r>
      <w:r w:rsidRPr="00C9040A">
        <w:rPr>
          <w:rtl/>
          <w:lang w:bidi="fa-IR"/>
        </w:rPr>
        <w:t xml:space="preserve"> عَنْهُ </w:t>
      </w:r>
      <w:r w:rsidR="006C577F" w:rsidRPr="006C577F">
        <w:rPr>
          <w:rStyle w:val="libFootnotenumChar"/>
          <w:rtl/>
        </w:rPr>
        <w:t>(1)</w:t>
      </w:r>
      <w:r w:rsidRPr="00C9040A">
        <w:rPr>
          <w:rtl/>
          <w:lang w:bidi="fa-IR"/>
        </w:rPr>
        <w:t xml:space="preserve">، عَنْ أَبِيهِ </w:t>
      </w:r>
      <w:r w:rsidR="006C577F" w:rsidRPr="006C577F">
        <w:rPr>
          <w:rStyle w:val="libFootnotenumChar"/>
          <w:rtl/>
        </w:rPr>
        <w:t>(2)</w:t>
      </w:r>
      <w:r w:rsidRPr="00C9040A">
        <w:rPr>
          <w:rtl/>
          <w:lang w:bidi="fa-IR"/>
        </w:rPr>
        <w:t xml:space="preserve"> ، عَنْ عَبْدِ اللهِ بْنِ الْقَاسِمِ ، عَنْ مُدْرِكِ بْنِ عَبْدِ الرَّحْمنِ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w:t>
      </w:r>
      <w:r w:rsidR="006C577F" w:rsidRPr="006C577F">
        <w:rPr>
          <w:rStyle w:val="libFootnotenumChar"/>
          <w:rtl/>
        </w:rPr>
        <w:t>(3)</w:t>
      </w:r>
      <w:r w:rsidRPr="00C9040A">
        <w:rPr>
          <w:rtl/>
          <w:lang w:bidi="fa-IR"/>
        </w:rPr>
        <w:t xml:space="preserve"> : الْإِسْلَامُ عُرْيَانٌ ، فَلِبَاسُهُ الْحَيَاءُ ، وَزِينَتُهُ الْوَفَاءُ </w:t>
      </w:r>
      <w:r w:rsidR="006C577F" w:rsidRPr="006C577F">
        <w:rPr>
          <w:rStyle w:val="libFootnotenumChar"/>
          <w:rtl/>
        </w:rPr>
        <w:t>(4)</w:t>
      </w:r>
      <w:r w:rsidRPr="00C9040A">
        <w:rPr>
          <w:rtl/>
          <w:lang w:bidi="fa-IR"/>
        </w:rPr>
        <w:t xml:space="preserve"> ، وَمُرُوءَتُهُ الْعَمَلُ الصَّالِحُ ، وَعِمَادُهُ الْوَرَعُ ، وَ</w:t>
      </w:r>
      <w:r>
        <w:rPr>
          <w:rFonts w:hint="cs"/>
          <w:rtl/>
          <w:lang w:bidi="fa-IR"/>
        </w:rPr>
        <w:t xml:space="preserve"> </w:t>
      </w:r>
      <w:r w:rsidR="006C577F" w:rsidRPr="006C577F">
        <w:rPr>
          <w:rStyle w:val="libFootnotenumChar"/>
          <w:rtl/>
        </w:rPr>
        <w:t>(5)</w:t>
      </w:r>
      <w:r w:rsidRPr="00C9040A">
        <w:rPr>
          <w:rtl/>
          <w:lang w:bidi="fa-IR"/>
        </w:rPr>
        <w:t xml:space="preserve"> لِكُلِّ شَيْ‌ءٍ أَسَاسٌ </w:t>
      </w:r>
      <w:r w:rsidR="006C577F" w:rsidRPr="006C577F">
        <w:rPr>
          <w:rStyle w:val="libFootnotenumChar"/>
          <w:rtl/>
        </w:rPr>
        <w:t>(6)</w:t>
      </w:r>
      <w:r w:rsidRPr="005B567D">
        <w:rPr>
          <w:rStyle w:val="libFootnotenumChar"/>
          <w:rtl/>
        </w:rPr>
        <w:t xml:space="preserve"> </w:t>
      </w:r>
      <w:r w:rsidRPr="00C9040A">
        <w:rPr>
          <w:rtl/>
          <w:lang w:bidi="fa-IR"/>
        </w:rPr>
        <w:t>، وَأَسَاسُ الْإِسْلَامِ حُبُّنَا أَهْلَ الْبَيْتِ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BE2CF0" w:rsidP="008A74EB">
      <w:pPr>
        <w:pStyle w:val="libNormal"/>
        <w:rPr>
          <w:rtl/>
          <w:lang w:bidi="fa-IR"/>
        </w:rPr>
      </w:pPr>
      <w:r>
        <w:rPr>
          <w:rFonts w:hint="cs"/>
          <w:rtl/>
          <w:lang w:bidi="fa-IR"/>
        </w:rPr>
        <w:t xml:space="preserve">* </w:t>
      </w:r>
      <w:r w:rsidR="008A74EB" w:rsidRPr="00C9040A">
        <w:rPr>
          <w:rtl/>
          <w:lang w:bidi="fa-IR"/>
        </w:rPr>
        <w:t xml:space="preserve">عَلِيُّ بْنُ إِبْرَاهِيمَ ، عَنْ أَبِيهِ ، عَنْ عَلِيِّ بْنِ مَعْبَدٍ ، عَنْ عَبْدِ اللهِ بْنِ الْقَاسِمِ ، عَنْ مُدْرِكِ بْنِ عَبْدِ الرَّحْمنِ ، عَنْ أَبِي عَبْدِ اللهِ </w:t>
      </w:r>
      <w:r w:rsidR="008A74EB" w:rsidRPr="0003660B">
        <w:rPr>
          <w:rStyle w:val="libAlaemChar"/>
          <w:rtl/>
        </w:rPr>
        <w:t>عليه‌السلام</w:t>
      </w:r>
      <w:r w:rsidR="008A74EB" w:rsidRPr="00C9040A">
        <w:rPr>
          <w:rtl/>
          <w:lang w:bidi="fa-IR"/>
        </w:rPr>
        <w:t xml:space="preserve"> ، مِثْلَهُ. </w:t>
      </w:r>
      <w:r w:rsidR="006C577F" w:rsidRPr="006C577F">
        <w:rPr>
          <w:rStyle w:val="libFootnotenumChar"/>
          <w:rtl/>
        </w:rPr>
        <w:t>(8)</w:t>
      </w:r>
      <w:r w:rsidR="008A74EB" w:rsidRPr="00C9040A">
        <w:rPr>
          <w:rtl/>
          <w:lang w:bidi="fa-IR"/>
        </w:rPr>
        <w:t xml:space="preserve"> ‌</w:t>
      </w:r>
    </w:p>
    <w:p w:rsidR="008A74EB" w:rsidRPr="00C9040A" w:rsidRDefault="008A74EB" w:rsidP="008A74EB">
      <w:pPr>
        <w:pStyle w:val="libNormal"/>
        <w:rPr>
          <w:rtl/>
          <w:lang w:bidi="fa-IR"/>
        </w:rPr>
      </w:pPr>
      <w:r w:rsidRPr="006E2E14">
        <w:rPr>
          <w:rtl/>
        </w:rPr>
        <w:t>1538</w:t>
      </w:r>
      <w:r w:rsidRPr="00261CB0">
        <w:rPr>
          <w:rStyle w:val="libBold2Char"/>
          <w:rtl/>
        </w:rPr>
        <w:t xml:space="preserve"> / 3.</w:t>
      </w:r>
      <w:r w:rsidRPr="00C9040A">
        <w:rPr>
          <w:rtl/>
          <w:lang w:bidi="fa-IR"/>
        </w:rPr>
        <w:t xml:space="preserve"> عِدَّةٌ مِنْ أَصْحَابِنَا ، عَنْ أَحْمَدَ بْنِ مُحَمَّدٍ ، عَنْ عَبْدِ الْعَظِيمِ بْنِ عَبْدِ اللهِ الْحَسَنِيِّ :</w:t>
      </w:r>
    </w:p>
    <w:p w:rsidR="008A74EB" w:rsidRPr="00C9040A" w:rsidRDefault="008A74EB" w:rsidP="008A74EB">
      <w:pPr>
        <w:pStyle w:val="libLine"/>
        <w:rPr>
          <w:rtl/>
          <w:lang w:bidi="fa-IR"/>
        </w:rPr>
      </w:pPr>
      <w:r w:rsidRPr="00C9040A">
        <w:rPr>
          <w:rtl/>
          <w:lang w:bidi="fa-IR"/>
        </w:rPr>
        <w:t>__________________</w:t>
      </w:r>
    </w:p>
    <w:p w:rsidR="008A74EB" w:rsidRPr="00C9040A" w:rsidRDefault="00BE2CF0" w:rsidP="004A4E41">
      <w:pPr>
        <w:pStyle w:val="libFootnote0"/>
        <w:rPr>
          <w:rtl/>
          <w:lang w:bidi="fa-IR"/>
        </w:rPr>
      </w:pPr>
      <w:r w:rsidRPr="00BE2CF0">
        <w:rPr>
          <w:rFonts w:hint="cs"/>
          <w:rtl/>
        </w:rPr>
        <w:t xml:space="preserve">= </w:t>
      </w:r>
      <w:r w:rsidR="008A74EB" w:rsidRPr="00993B55">
        <w:rPr>
          <w:rStyle w:val="libFootnoteBoldChar"/>
          <w:rtl/>
        </w:rPr>
        <w:t>الأئمّة</w:t>
      </w:r>
      <w:r w:rsidR="008A74EB" w:rsidRPr="00C9040A">
        <w:rPr>
          <w:rtl/>
        </w:rPr>
        <w:t xml:space="preserve"> </w:t>
      </w:r>
      <w:r w:rsidR="00117575" w:rsidRPr="00117575">
        <w:rPr>
          <w:rStyle w:val="libFootnoteAlaemChar"/>
          <w:rtl/>
        </w:rPr>
        <w:t>عليهم‌السلام</w:t>
      </w:r>
      <w:r w:rsidR="008A74EB" w:rsidRPr="00C9040A">
        <w:rPr>
          <w:rtl/>
        </w:rPr>
        <w:t xml:space="preserve"> ، ص 100 ، مرسلاً ، وفيهما إلى قوله : « والعمل هو الأداء » مع اختلاف يسير </w:t>
      </w:r>
      <w:r>
        <w:rPr>
          <w:rFonts w:hint="cs"/>
          <w:rtl/>
        </w:rPr>
        <w:t>.</w:t>
      </w:r>
      <w:r w:rsidR="008A74EB" w:rsidRPr="00993B55">
        <w:rPr>
          <w:rStyle w:val="libFootnoteBoldChar"/>
          <w:rtl/>
        </w:rPr>
        <w:t>الوافي</w:t>
      </w:r>
      <w:r w:rsidR="008A74EB" w:rsidRPr="00C9040A">
        <w:rPr>
          <w:rtl/>
        </w:rPr>
        <w:t xml:space="preserve"> ، ج 4 ، ص 141 ، ح 1732 ؛ </w:t>
      </w:r>
      <w:r w:rsidR="008A74EB" w:rsidRPr="00993B55">
        <w:rPr>
          <w:rStyle w:val="libFootnoteBoldChar"/>
          <w:rtl/>
        </w:rPr>
        <w:t>الوسائل</w:t>
      </w:r>
      <w:r w:rsidR="008A74EB" w:rsidRPr="00C9040A">
        <w:rPr>
          <w:rtl/>
        </w:rPr>
        <w:t xml:space="preserve"> ، ج 15 ، ص 183 ، ح 20231 ، إلى قوله : « ولكن أتاه من ربّه فأخذه »</w:t>
      </w:r>
      <w:r w:rsidR="008A74EB">
        <w:rPr>
          <w:rtl/>
        </w:rPr>
        <w:t>.</w:t>
      </w:r>
    </w:p>
    <w:p w:rsidR="008A74EB" w:rsidRPr="00C9040A" w:rsidRDefault="006C577F" w:rsidP="004A4E41">
      <w:pPr>
        <w:pStyle w:val="libFootnote0"/>
        <w:rPr>
          <w:rtl/>
          <w:lang w:bidi="fa-IR"/>
        </w:rPr>
      </w:pPr>
      <w:r>
        <w:rPr>
          <w:rtl/>
        </w:rPr>
        <w:t>(1).</w:t>
      </w:r>
      <w:r w:rsidR="008A74EB" w:rsidRPr="00C9040A">
        <w:rPr>
          <w:rtl/>
        </w:rPr>
        <w:t xml:space="preserve"> الضمير راجع إلى أحمد بن محمّد بن خالد المذكور في السند السابق ، كما يعلم بأدنى التفات.</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ف » </w:t>
      </w:r>
      <w:r w:rsidR="008A74EB">
        <w:rPr>
          <w:rtl/>
        </w:rPr>
        <w:t xml:space="preserve">: </w:t>
      </w:r>
      <w:r w:rsidR="0084262C">
        <w:rPr>
          <w:rtl/>
        </w:rPr>
        <w:t>-</w:t>
      </w:r>
      <w:r w:rsidR="008A74EB" w:rsidRPr="00C9040A">
        <w:rPr>
          <w:rtl/>
        </w:rPr>
        <w:t xml:space="preserve"> « عن أبيه »</w:t>
      </w:r>
      <w:r w:rsidR="008A74EB">
        <w:rPr>
          <w:rtl/>
        </w:rPr>
        <w:t>.</w:t>
      </w:r>
      <w:r w:rsidR="008A74EB" w:rsidRPr="00C9040A">
        <w:rPr>
          <w:rtl/>
        </w:rPr>
        <w:t xml:space="preserve"> وهو سهو ؛ فقد روى أحمد بن أبي عبد الله</w:t>
      </w:r>
      <w:r w:rsidR="008A74EB">
        <w:rPr>
          <w:rtl/>
        </w:rPr>
        <w:t xml:space="preserve"> </w:t>
      </w:r>
      <w:r w:rsidR="0084262C">
        <w:rPr>
          <w:rtl/>
        </w:rPr>
        <w:t>-</w:t>
      </w:r>
      <w:r w:rsidR="008A74EB">
        <w:rPr>
          <w:rtl/>
        </w:rPr>
        <w:t xml:space="preserve"> </w:t>
      </w:r>
      <w:r w:rsidR="008A74EB" w:rsidRPr="00C9040A">
        <w:rPr>
          <w:rtl/>
        </w:rPr>
        <w:t>وهو أحمد بن محمّد بن خالد</w:t>
      </w:r>
      <w:r w:rsidR="008A74EB">
        <w:rPr>
          <w:rtl/>
        </w:rPr>
        <w:t xml:space="preserve"> </w:t>
      </w:r>
      <w:r w:rsidR="0084262C">
        <w:rPr>
          <w:rtl/>
        </w:rPr>
        <w:t>-</w:t>
      </w:r>
      <w:r w:rsidR="008A74EB">
        <w:rPr>
          <w:rtl/>
        </w:rPr>
        <w:t xml:space="preserve"> </w:t>
      </w:r>
      <w:r w:rsidR="008A74EB" w:rsidRPr="00C9040A">
        <w:rPr>
          <w:rtl/>
        </w:rPr>
        <w:t xml:space="preserve">عن أبيه كتاب عبد الله بن القاسم صاحب معاوية بن عمّار. راجع : </w:t>
      </w:r>
      <w:r w:rsidR="008A74EB" w:rsidRPr="0034021D">
        <w:rPr>
          <w:rStyle w:val="libFootnoteBoldChar"/>
          <w:rtl/>
        </w:rPr>
        <w:t>الفهرست للطوسي</w:t>
      </w:r>
      <w:r w:rsidR="008A74EB" w:rsidRPr="00C9040A">
        <w:rPr>
          <w:rtl/>
        </w:rPr>
        <w:t xml:space="preserve"> ، ص 303 ، الرقم 463 ؛ </w:t>
      </w:r>
      <w:r w:rsidR="008A74EB" w:rsidRPr="006E2E14">
        <w:rPr>
          <w:rtl/>
        </w:rPr>
        <w:t>و</w:t>
      </w:r>
      <w:r w:rsidR="008A74EB" w:rsidRPr="00993B55">
        <w:rPr>
          <w:rStyle w:val="libFootnoteBoldChar"/>
          <w:rtl/>
        </w:rPr>
        <w:t>رجال النجاشي</w:t>
      </w:r>
      <w:r w:rsidR="008A74EB" w:rsidRPr="00C9040A">
        <w:rPr>
          <w:rtl/>
        </w:rPr>
        <w:t xml:space="preserve"> ، ص 226 ، الرقم 593.</w:t>
      </w:r>
      <w:r w:rsidR="00BE2CF0">
        <w:rPr>
          <w:rFonts w:hint="cs"/>
          <w:rtl/>
        </w:rPr>
        <w:t xml:space="preserve">            </w:t>
      </w:r>
      <w:r>
        <w:rPr>
          <w:rtl/>
        </w:rPr>
        <w:t>(3).</w:t>
      </w:r>
      <w:r w:rsidR="00BE2CF0">
        <w:rPr>
          <w:rFonts w:hint="cs"/>
          <w:rtl/>
        </w:rPr>
        <w:t xml:space="preserve"> </w:t>
      </w:r>
      <w:r w:rsidR="00BE2CF0">
        <w:rPr>
          <w:rtl/>
        </w:rPr>
        <w:t>المحاسن،ص 150:</w:t>
      </w:r>
      <w:r w:rsidR="0084262C">
        <w:rPr>
          <w:rtl/>
        </w:rPr>
        <w:t>-</w:t>
      </w:r>
      <w:r w:rsidR="00BE2CF0">
        <w:rPr>
          <w:rtl/>
        </w:rPr>
        <w:t xml:space="preserve"> «</w:t>
      </w:r>
      <w:r w:rsidR="008A74EB" w:rsidRPr="00C9040A">
        <w:rPr>
          <w:rtl/>
        </w:rPr>
        <w:t xml:space="preserve">قال رسول الله </w:t>
      </w:r>
      <w:r w:rsidR="004A4E41" w:rsidRPr="00B866D3">
        <w:rPr>
          <w:rStyle w:val="libFootnoteAlaemChar"/>
          <w:rtl/>
        </w:rPr>
        <w:t>صلى‌الله‌عليه‌وآله</w:t>
      </w:r>
      <w:r w:rsidR="008A74EB" w:rsidRPr="00C9040A">
        <w:rPr>
          <w:rtl/>
        </w:rPr>
        <w:t>»</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هكذا في النسخ التي بأيدينا وشرح المازندراني والوافي ومرآة العقول والوسائل والبحار والمحاسن والفقيه‌</w:t>
      </w:r>
      <w:r w:rsidR="00BE2CF0">
        <w:rPr>
          <w:rFonts w:hint="cs"/>
          <w:rtl/>
        </w:rPr>
        <w:t xml:space="preserve"> </w:t>
      </w:r>
      <w:r w:rsidR="008A74EB" w:rsidRPr="00C9040A">
        <w:rPr>
          <w:rtl/>
        </w:rPr>
        <w:t>والأمالي. وفي المطبوع : « الوقار »</w:t>
      </w:r>
      <w:r w:rsidR="008A74EB">
        <w:rPr>
          <w:rtl/>
        </w:rPr>
        <w:t>.</w:t>
      </w:r>
      <w:r w:rsidR="00BE2CF0">
        <w:rPr>
          <w:rFonts w:hint="cs"/>
          <w:rtl/>
        </w:rPr>
        <w:t xml:space="preserve">                                  </w:t>
      </w:r>
      <w:r>
        <w:rPr>
          <w:rtl/>
        </w:rPr>
        <w:t>(5).</w:t>
      </w:r>
      <w:r w:rsidR="008A74EB" w:rsidRPr="00C9040A">
        <w:rPr>
          <w:rtl/>
        </w:rPr>
        <w:t xml:space="preserve"> في « بر » </w:t>
      </w:r>
      <w:r w:rsidR="008A74EB">
        <w:rPr>
          <w:rtl/>
        </w:rPr>
        <w:t xml:space="preserve">: </w:t>
      </w:r>
      <w:r w:rsidR="0084262C">
        <w:rPr>
          <w:rtl/>
        </w:rPr>
        <w:t>-</w:t>
      </w:r>
      <w:r w:rsidR="008A74EB" w:rsidRPr="00C9040A">
        <w:rPr>
          <w:rtl/>
        </w:rPr>
        <w:t xml:space="preserve"> « و</w:t>
      </w:r>
      <w:r w:rsidR="008A74EB">
        <w:rPr>
          <w:rFonts w:hint="cs"/>
          <w:rtl/>
        </w:rPr>
        <w:t xml:space="preserve"> </w:t>
      </w:r>
      <w:r w:rsidR="008A74EB" w:rsidRPr="00C9040A">
        <w:rPr>
          <w:rtl/>
        </w:rPr>
        <w:t>»</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w:t>
      </w:r>
      <w:r w:rsidR="008A74EB" w:rsidRPr="00993B55">
        <w:rPr>
          <w:rStyle w:val="libFootnoteBoldChar"/>
          <w:rtl/>
        </w:rPr>
        <w:t>شرح المازندراني</w:t>
      </w:r>
      <w:r w:rsidR="008A74EB" w:rsidRPr="00C9040A">
        <w:rPr>
          <w:rtl/>
        </w:rPr>
        <w:t xml:space="preserve"> : « قوله : ولكلّ شي‌ء أساس ، الظاهر أنّه كلام أبي عبد الله </w:t>
      </w:r>
      <w:r w:rsidR="00117575" w:rsidRPr="00117575">
        <w:rPr>
          <w:rStyle w:val="libFootnoteAlaemChar"/>
          <w:rtl/>
        </w:rPr>
        <w:t xml:space="preserve">عليه‌السلام </w:t>
      </w:r>
      <w:r w:rsidR="008A74EB" w:rsidRPr="00C9040A">
        <w:rPr>
          <w:rtl/>
        </w:rPr>
        <w:t xml:space="preserve"> »</w:t>
      </w:r>
      <w:r w:rsidR="008A74EB">
        <w:rPr>
          <w:rtl/>
        </w:rPr>
        <w:t>.</w:t>
      </w:r>
      <w:r w:rsidR="008A74EB" w:rsidRPr="00C9040A">
        <w:rPr>
          <w:rtl/>
        </w:rPr>
        <w:t xml:space="preserve"> واستبعده المجلسي ؛ حيث قال في </w:t>
      </w:r>
      <w:r w:rsidR="008A74EB" w:rsidRPr="00993B55">
        <w:rPr>
          <w:rStyle w:val="libFootnoteBoldChar"/>
          <w:rtl/>
        </w:rPr>
        <w:t>مرآة العقول</w:t>
      </w:r>
      <w:r w:rsidR="008A74EB" w:rsidRPr="00C9040A">
        <w:rPr>
          <w:rtl/>
        </w:rPr>
        <w:t xml:space="preserve"> : « ويحتمل كون الفقرة الأخيرة كلام الصادق </w:t>
      </w:r>
      <w:r w:rsidR="00117575" w:rsidRPr="00117575">
        <w:rPr>
          <w:rStyle w:val="libFootnoteAlaemChar"/>
          <w:rtl/>
        </w:rPr>
        <w:t xml:space="preserve">عليه‌السلام </w:t>
      </w:r>
      <w:r w:rsidR="008A74EB" w:rsidRPr="00C9040A">
        <w:rPr>
          <w:rtl/>
        </w:rPr>
        <w:t xml:space="preserve"> ، لكنّه بعيد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المحاسن</w:t>
      </w:r>
      <w:r w:rsidR="008A74EB" w:rsidRPr="00C9040A">
        <w:rPr>
          <w:rtl/>
        </w:rPr>
        <w:t xml:space="preserve"> ، ص 150 ، كتاب الصفوة ، ح 66 ، من قوله : « لكلّ شي‌ء أساس » ؛ </w:t>
      </w:r>
      <w:r w:rsidR="008A74EB" w:rsidRPr="00993B55">
        <w:rPr>
          <w:rStyle w:val="libFootnoteBoldChar"/>
          <w:rtl/>
        </w:rPr>
        <w:t>وفيه</w:t>
      </w:r>
      <w:r w:rsidR="008A74EB" w:rsidRPr="00C9040A">
        <w:rPr>
          <w:rtl/>
        </w:rPr>
        <w:t xml:space="preserve"> ، ص 286 ، </w:t>
      </w:r>
      <w:r w:rsidR="008A74EB" w:rsidRPr="00BE2CF0">
        <w:rPr>
          <w:rStyle w:val="libFootnoteBoldChar"/>
          <w:rtl/>
        </w:rPr>
        <w:t>كتاب مصابيح الظلم</w:t>
      </w:r>
      <w:r w:rsidR="008A74EB" w:rsidRPr="00C9040A">
        <w:rPr>
          <w:rtl/>
        </w:rPr>
        <w:t xml:space="preserve"> ، ح 427. </w:t>
      </w:r>
      <w:r w:rsidR="008A74EB" w:rsidRPr="00993B55">
        <w:rPr>
          <w:rStyle w:val="libFootnoteBoldChar"/>
          <w:rtl/>
        </w:rPr>
        <w:t>الفقيه</w:t>
      </w:r>
      <w:r w:rsidR="008A74EB" w:rsidRPr="00C9040A">
        <w:rPr>
          <w:rtl/>
        </w:rPr>
        <w:t xml:space="preserve"> ، ج 4 ، ص 362 ، ضمن الحديث الطويل 5765 ، بسند آخر عن أبي عبد الله ، عن آبائه </w:t>
      </w:r>
      <w:r w:rsidR="00117575" w:rsidRPr="00117575">
        <w:rPr>
          <w:rStyle w:val="libFootnoteAlaemChar"/>
          <w:rtl/>
        </w:rPr>
        <w:t>عليهم‌السلام</w:t>
      </w:r>
      <w:r w:rsidR="008A74EB" w:rsidRPr="00C9040A">
        <w:rPr>
          <w:rtl/>
        </w:rPr>
        <w:t xml:space="preserve"> عن النبيّ </w:t>
      </w:r>
      <w:r w:rsidR="004A4E41" w:rsidRPr="00B866D3">
        <w:rPr>
          <w:rStyle w:val="libFootnoteAlaemChar"/>
          <w:rtl/>
        </w:rPr>
        <w:t>صلى‌الله‌عليه‌وآله</w:t>
      </w:r>
      <w:r w:rsidR="008A74EB" w:rsidRPr="00B866D3">
        <w:rPr>
          <w:rStyle w:val="libFootnoteAlaemChar"/>
          <w:rtl/>
        </w:rPr>
        <w:t xml:space="preserve"> </w:t>
      </w:r>
      <w:r w:rsidR="008A74EB" w:rsidRPr="00C9040A">
        <w:rPr>
          <w:rtl/>
        </w:rPr>
        <w:t xml:space="preserve">؛ </w:t>
      </w:r>
      <w:r w:rsidR="008A74EB" w:rsidRPr="00993B55">
        <w:rPr>
          <w:rStyle w:val="libFootnoteBoldChar"/>
          <w:rtl/>
        </w:rPr>
        <w:t>الأمالي</w:t>
      </w:r>
      <w:r w:rsidR="008A74EB" w:rsidRPr="00BE2CF0">
        <w:rPr>
          <w:rStyle w:val="libFootnoteBoldChar"/>
          <w:rtl/>
        </w:rPr>
        <w:t xml:space="preserve"> للطوسي</w:t>
      </w:r>
      <w:r w:rsidR="008A74EB" w:rsidRPr="00C9040A">
        <w:rPr>
          <w:rtl/>
        </w:rPr>
        <w:t xml:space="preserve"> ، ص 84 ، المجلس 3 ، ح 35 ، بسند آخر عن أبي جعفر ، عن آبائه </w:t>
      </w:r>
      <w:r w:rsidR="00117575" w:rsidRPr="00117575">
        <w:rPr>
          <w:rStyle w:val="libFootnoteAlaemChar"/>
          <w:rtl/>
        </w:rPr>
        <w:t>عليهم‌السلام</w:t>
      </w:r>
      <w:r w:rsidR="008A74EB" w:rsidRPr="00C9040A">
        <w:rPr>
          <w:rtl/>
        </w:rPr>
        <w:t xml:space="preserve"> عن النبيّ </w:t>
      </w:r>
      <w:r w:rsidR="004A4E41" w:rsidRPr="00B866D3">
        <w:rPr>
          <w:rStyle w:val="libFootnoteAlaemChar"/>
          <w:rtl/>
        </w:rPr>
        <w:t>صلى‌الله‌عليه‌وآله</w:t>
      </w:r>
      <w:r w:rsidR="008A74EB" w:rsidRPr="00B866D3">
        <w:rPr>
          <w:rStyle w:val="libFootnoteAlaemChar"/>
          <w:rtl/>
        </w:rPr>
        <w:t xml:space="preserve"> </w:t>
      </w:r>
      <w:r w:rsidR="008A74EB" w:rsidRPr="00C9040A">
        <w:rPr>
          <w:rtl/>
        </w:rPr>
        <w:t xml:space="preserve">، مع اختلاف وزيادة في أوّله </w:t>
      </w:r>
      <w:r w:rsidR="00BE2CF0">
        <w:rPr>
          <w:rFonts w:hint="cs"/>
          <w:rtl/>
        </w:rPr>
        <w:t>.</w:t>
      </w:r>
      <w:r w:rsidR="008A74EB" w:rsidRPr="00993B55">
        <w:rPr>
          <w:rStyle w:val="libFootnoteBoldChar"/>
          <w:rtl/>
        </w:rPr>
        <w:t>الوافي</w:t>
      </w:r>
      <w:r w:rsidR="008A74EB" w:rsidRPr="00C9040A">
        <w:rPr>
          <w:rtl/>
        </w:rPr>
        <w:t xml:space="preserve"> ، ج 4 ، ص 142 ، ح 1733 ؛ </w:t>
      </w:r>
      <w:r w:rsidR="008A74EB" w:rsidRPr="00993B55">
        <w:rPr>
          <w:rStyle w:val="libFootnoteBoldChar"/>
          <w:rtl/>
        </w:rPr>
        <w:t>الوسائل</w:t>
      </w:r>
      <w:r w:rsidR="008A74EB" w:rsidRPr="00C9040A">
        <w:rPr>
          <w:rtl/>
        </w:rPr>
        <w:t xml:space="preserve"> ، ج 15 ، ص 184 ، ح 20232 ؛ </w:t>
      </w:r>
      <w:r w:rsidR="008A74EB" w:rsidRPr="00993B55">
        <w:rPr>
          <w:rStyle w:val="libFootnoteBoldChar"/>
          <w:rtl/>
        </w:rPr>
        <w:t>البحار</w:t>
      </w:r>
      <w:r w:rsidR="008A74EB" w:rsidRPr="00C9040A">
        <w:rPr>
          <w:rtl/>
        </w:rPr>
        <w:t xml:space="preserve"> ، ج 68 ، ص 343 ، ح 15.</w:t>
      </w:r>
    </w:p>
    <w:p w:rsidR="008A74EB" w:rsidRPr="00C9040A" w:rsidRDefault="006C577F" w:rsidP="004A4E41">
      <w:pPr>
        <w:pStyle w:val="libFootnote0"/>
        <w:rPr>
          <w:rtl/>
          <w:lang w:bidi="fa-IR"/>
        </w:rPr>
      </w:pPr>
      <w:r>
        <w:rPr>
          <w:rtl/>
        </w:rPr>
        <w:t>(8).</w:t>
      </w:r>
      <w:r w:rsidR="008A74EB" w:rsidRPr="00C9040A">
        <w:rPr>
          <w:rtl/>
        </w:rPr>
        <w:t xml:space="preserve"> </w:t>
      </w:r>
      <w:r w:rsidR="008A74EB" w:rsidRPr="0034021D">
        <w:rPr>
          <w:rStyle w:val="libFootnoteBoldChar"/>
          <w:rtl/>
        </w:rPr>
        <w:t>الأمالي للصدوق</w:t>
      </w:r>
      <w:r w:rsidR="008A74EB" w:rsidRPr="00C9040A">
        <w:rPr>
          <w:rtl/>
        </w:rPr>
        <w:t xml:space="preserve"> ، ص 268 ، المجلس 45 ، ح 16 ، بسنده عن عليّ بن معبد ، عن عبدالله بن القاسم ، عن مبارك بن عبدالرحمن ، عن أبي عبدالله ، عن آبائه </w:t>
      </w:r>
      <w:r w:rsidR="00117575" w:rsidRPr="00117575">
        <w:rPr>
          <w:rStyle w:val="libFootnoteAlaemChar"/>
          <w:rtl/>
        </w:rPr>
        <w:t>عليهم‌السلام</w:t>
      </w:r>
      <w:r w:rsidR="008A74EB" w:rsidRPr="00C9040A">
        <w:rPr>
          <w:rtl/>
        </w:rPr>
        <w:t xml:space="preserve"> عن رسول الله </w:t>
      </w:r>
      <w:r w:rsidR="004A4E41" w:rsidRPr="00B866D3">
        <w:rPr>
          <w:rStyle w:val="libFootnoteAlaemChar"/>
          <w:rtl/>
        </w:rPr>
        <w:t>صلى‌الله‌عليه‌وآله</w:t>
      </w:r>
      <w:r w:rsidR="008A74EB" w:rsidRPr="00B866D3">
        <w:rPr>
          <w:rStyle w:val="libFootnoteAlaemChar"/>
          <w:rtl/>
        </w:rPr>
        <w:t xml:space="preserve"> </w:t>
      </w:r>
      <w:r w:rsidR="00BE2CF0">
        <w:rPr>
          <w:rFonts w:hint="cs"/>
          <w:rtl/>
        </w:rPr>
        <w:t>.</w:t>
      </w:r>
      <w:r w:rsidR="008A74EB" w:rsidRPr="00993B55">
        <w:rPr>
          <w:rStyle w:val="libFootnoteBoldChar"/>
          <w:rtl/>
        </w:rPr>
        <w:t>الوافي</w:t>
      </w:r>
      <w:r w:rsidR="008A74EB" w:rsidRPr="00C9040A">
        <w:rPr>
          <w:rtl/>
        </w:rPr>
        <w:t xml:space="preserve"> ، ج 4 ، ص 142 ، ح 1733 ؛ </w:t>
      </w:r>
      <w:r w:rsidR="008A74EB" w:rsidRPr="00993B55">
        <w:rPr>
          <w:rStyle w:val="libFootnoteBoldChar"/>
          <w:rtl/>
        </w:rPr>
        <w:t>الوسائل</w:t>
      </w:r>
      <w:r w:rsidR="008A74EB" w:rsidRPr="00C9040A">
        <w:rPr>
          <w:rtl/>
        </w:rPr>
        <w:t xml:space="preserve"> ، ج 15 ، ص 184 ، ذيل ح 20232 ؛ </w:t>
      </w:r>
      <w:r w:rsidR="008A74EB" w:rsidRPr="00993B55">
        <w:rPr>
          <w:rStyle w:val="libFootnoteBoldChar"/>
          <w:rtl/>
        </w:rPr>
        <w:t>البحار</w:t>
      </w:r>
      <w:r w:rsidR="008A74EB" w:rsidRPr="00C9040A">
        <w:rPr>
          <w:rtl/>
        </w:rPr>
        <w:t xml:space="preserve"> ، ج 68 ، ص 343 ، ذيل ح 15.</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lastRenderedPageBreak/>
        <w:t xml:space="preserve">عَنْ أَبِي جَعْفَرٍ الثَّانِي </w:t>
      </w:r>
      <w:r w:rsidRPr="0003660B">
        <w:rPr>
          <w:rStyle w:val="libAlaemChar"/>
          <w:rtl/>
        </w:rPr>
        <w:t>عليه‌السلام</w:t>
      </w:r>
      <w:r w:rsidRPr="00C9040A">
        <w:rPr>
          <w:rtl/>
          <w:lang w:bidi="fa-IR"/>
        </w:rPr>
        <w:t xml:space="preserve"> ، عَنْ أَبِيهِ ، عَنْ جَدِّهِ</w:t>
      </w:r>
      <w:r>
        <w:rPr>
          <w:rtl/>
          <w:lang w:bidi="fa-IR"/>
        </w:rPr>
        <w:t xml:space="preserve"> </w:t>
      </w:r>
      <w:r w:rsidR="0084262C">
        <w:rPr>
          <w:rtl/>
          <w:lang w:bidi="fa-IR"/>
        </w:rPr>
        <w:t>-</w:t>
      </w:r>
      <w:r>
        <w:rPr>
          <w:rtl/>
          <w:lang w:bidi="fa-IR"/>
        </w:rPr>
        <w:t xml:space="preserve"> </w:t>
      </w:r>
      <w:r w:rsidRPr="00C9040A">
        <w:rPr>
          <w:rtl/>
          <w:lang w:bidi="fa-IR"/>
        </w:rPr>
        <w:t>صَلَوَاتُ اللهِ عَلَيْهِمْ</w:t>
      </w:r>
      <w:r>
        <w:rPr>
          <w:rtl/>
          <w:lang w:bidi="fa-IR"/>
        </w:rPr>
        <w:t xml:space="preserve"> </w:t>
      </w:r>
      <w:r w:rsidR="0084262C">
        <w:rPr>
          <w:rtl/>
          <w:lang w:bidi="fa-IR"/>
        </w:rPr>
        <w:t>-</w:t>
      </w:r>
      <w:r>
        <w:rPr>
          <w:rtl/>
          <w:lang w:bidi="fa-IR"/>
        </w:rPr>
        <w:t xml:space="preserve"> </w:t>
      </w:r>
      <w:r w:rsidRPr="00C9040A">
        <w:rPr>
          <w:rtl/>
          <w:lang w:bidi="fa-IR"/>
        </w:rPr>
        <w:t xml:space="preserve">قَالَ : « قَالَ أَمِيرُ الْمُؤْمِنِينَ </w:t>
      </w:r>
      <w:r w:rsidRPr="0003660B">
        <w:rPr>
          <w:rStyle w:val="libAlaemChar"/>
          <w:rtl/>
        </w:rPr>
        <w:t>عليه‌السلام</w:t>
      </w:r>
      <w:r w:rsidRPr="00C9040A">
        <w:rPr>
          <w:rtl/>
          <w:lang w:bidi="fa-IR"/>
        </w:rPr>
        <w:t xml:space="preserve"> : قَالَ رَسُولُ اللهِ </w:t>
      </w:r>
      <w:r w:rsidR="004A4E41" w:rsidRPr="004A4E41">
        <w:rPr>
          <w:rStyle w:val="libAlaemChar"/>
          <w:rtl/>
        </w:rPr>
        <w:t>صلى‌الله‌عليه‌وآله</w:t>
      </w:r>
      <w:r w:rsidRPr="00C9040A">
        <w:rPr>
          <w:rtl/>
          <w:lang w:bidi="fa-IR"/>
        </w:rPr>
        <w:t xml:space="preserve"> : إِنَّ اللهَ خَلَقَ الْإِسْلَامَ ، فَجَعَلَ لَهُ </w:t>
      </w:r>
      <w:r w:rsidR="006C577F" w:rsidRPr="006C577F">
        <w:rPr>
          <w:rStyle w:val="libFootnotenumChar"/>
          <w:rtl/>
        </w:rPr>
        <w:t>(1)</w:t>
      </w:r>
      <w:r w:rsidRPr="002712F0">
        <w:rPr>
          <w:rFonts w:hint="cs"/>
          <w:rtl/>
        </w:rPr>
        <w:t xml:space="preserve"> </w:t>
      </w:r>
      <w:r w:rsidRPr="00C9040A">
        <w:rPr>
          <w:rtl/>
          <w:lang w:bidi="fa-IR"/>
        </w:rPr>
        <w:t xml:space="preserve">عَرْصَةً </w:t>
      </w:r>
      <w:r w:rsidR="006C577F" w:rsidRPr="006C577F">
        <w:rPr>
          <w:rStyle w:val="libFootnotenumChar"/>
          <w:rtl/>
        </w:rPr>
        <w:t>(2)</w:t>
      </w:r>
      <w:r w:rsidRPr="00C9040A">
        <w:rPr>
          <w:rtl/>
          <w:lang w:bidi="fa-IR"/>
        </w:rPr>
        <w:t xml:space="preserve"> ، وَجَعَلَ لَهُ نُوراً ، وَجَعَلَ لَهُ حِصْناً ، وَجَعَلَ لَهُ نَاصِراً ؛ فَأَمَّا عَرْصَتُهُ فَالْقُرْآنُ ، وَأَمَّا نُورُهُ فَالْحِكْمَةُ ، وَأَمَّا حِصْنُهُ فَالْمَعْرُوفُ ، وَأَمَّا أَنْصَارُهُ فَأَنَا وَأَهْلُ بَيْتِي وَشِيعَتُنَا ؛ فَأَحِبُّوا أَهْلَ بَيْتِي وَشِيعَتَهُمْ وَأَنْصَارَهُمْ ؛ فَإِنَّهُ </w:t>
      </w:r>
      <w:r w:rsidR="006C577F" w:rsidRPr="006C577F">
        <w:rPr>
          <w:rStyle w:val="libFootnotenumChar"/>
          <w:rtl/>
        </w:rPr>
        <w:t>(3)</w:t>
      </w:r>
      <w:r w:rsidRPr="00C9040A">
        <w:rPr>
          <w:rtl/>
          <w:lang w:bidi="fa-IR"/>
        </w:rPr>
        <w:t xml:space="preserve"> لَمَّا أُسْرِيَ بِي إِلَى السَّمَاءِ الدُّنْيَا ، فَنَسَبَنِي </w:t>
      </w:r>
      <w:r w:rsidR="006C577F" w:rsidRPr="006C577F">
        <w:rPr>
          <w:rStyle w:val="libFootnotenumChar"/>
          <w:rtl/>
        </w:rPr>
        <w:t>(4)</w:t>
      </w:r>
      <w:r w:rsidRPr="00C9040A">
        <w:rPr>
          <w:rtl/>
          <w:lang w:bidi="fa-IR"/>
        </w:rPr>
        <w:t xml:space="preserve"> جَبْرَئِيلُ </w:t>
      </w:r>
      <w:r w:rsidRPr="0003660B">
        <w:rPr>
          <w:rStyle w:val="libAlaemChar"/>
          <w:rtl/>
        </w:rPr>
        <w:t>عليه‌السلام</w:t>
      </w:r>
      <w:r w:rsidRPr="00C9040A">
        <w:rPr>
          <w:rtl/>
          <w:lang w:bidi="fa-IR"/>
        </w:rPr>
        <w:t xml:space="preserve"> لِأَهْلِ السَّمَاءِ ، اسْتَوْدَعَ اللهُ حُبِّي وَحُبَّ أَهْلِ بَيْتِي وَشِيعَتِهِمْ فِي قُلُوبِ الْمَلَائِكَةِ ، فَهُوَ عِنْدَهُمْ وَدِيعَةٌ إِلى يَوْمِ الْقِيَامَةِ ، ثُمَّ هَبَطَ بِي إِلى أَهْلِ الْأَرْضِ ، فَنَسَبَنِي لِأَهْلِ </w:t>
      </w:r>
      <w:r w:rsidR="006C577F" w:rsidRPr="006C577F">
        <w:rPr>
          <w:rStyle w:val="libFootnotenumChar"/>
          <w:rtl/>
        </w:rPr>
        <w:t>(5)</w:t>
      </w:r>
      <w:r w:rsidRPr="00C9040A">
        <w:rPr>
          <w:rtl/>
          <w:lang w:bidi="fa-IR"/>
        </w:rPr>
        <w:t xml:space="preserve"> الْأَرْضِ ، فَاسْتَوْدَعَ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حُبِّي وَحُبَّ أَهْلِ بَيْتِي وَشِيعَتِهِمْ فِي قُلُوبِ مُؤْمِنِي أُمَّتِي ، فَمُؤْمِنُو أُمَّتِي يَحْفَظُونَ وَدِيعَتِي فِي أَهْلِ بَيْتِي </w:t>
      </w:r>
      <w:r w:rsidR="006C577F" w:rsidRPr="006C577F">
        <w:rPr>
          <w:rStyle w:val="libFootnotenumChar"/>
          <w:rtl/>
        </w:rPr>
        <w:t>(6)</w:t>
      </w:r>
      <w:r w:rsidRPr="005B567D">
        <w:rPr>
          <w:rStyle w:val="libFootnotenumChar"/>
          <w:rtl/>
        </w:rPr>
        <w:t xml:space="preserve"> </w:t>
      </w:r>
      <w:r w:rsidRPr="00C9040A">
        <w:rPr>
          <w:rtl/>
          <w:lang w:bidi="fa-IR"/>
        </w:rPr>
        <w:t xml:space="preserve">إِلى يَوْمِ الْقِيَامَةِ ، أَلَا فَلَوْ أَنَّ الرَّجُلَ </w:t>
      </w:r>
      <w:r w:rsidR="006C577F" w:rsidRPr="006C577F">
        <w:rPr>
          <w:rStyle w:val="libFootnotenumChar"/>
          <w:rtl/>
        </w:rPr>
        <w:t>(7)</w:t>
      </w:r>
      <w:r w:rsidRPr="00C9040A">
        <w:rPr>
          <w:rtl/>
          <w:lang w:bidi="fa-IR"/>
        </w:rPr>
        <w:t xml:space="preserve"> مِنْ أُمَّتِي عَبَدَ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عُمُرَهُ أَيَّامَ الدُّنْيَا ، ثُمَّ لَقِيَ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مُبْغِضاً لِأَهْلِ بَيْتِي وَشِيعَتِي </w:t>
      </w:r>
      <w:r w:rsidR="006C577F" w:rsidRPr="006C577F">
        <w:rPr>
          <w:rStyle w:val="libFootnotenumChar"/>
          <w:rtl/>
        </w:rPr>
        <w:t>(8)</w:t>
      </w:r>
      <w:r w:rsidRPr="00C9040A">
        <w:rPr>
          <w:rtl/>
          <w:lang w:bidi="fa-IR"/>
        </w:rPr>
        <w:t xml:space="preserve"> ، مَا فَرَّجَ </w:t>
      </w:r>
      <w:r w:rsidR="006C577F" w:rsidRPr="006C577F">
        <w:rPr>
          <w:rStyle w:val="libFootnotenumChar"/>
          <w:rtl/>
        </w:rPr>
        <w:t>(9)</w:t>
      </w:r>
      <w:r w:rsidR="00BE2CF0">
        <w:rPr>
          <w:rtl/>
          <w:lang w:bidi="fa-IR"/>
        </w:rPr>
        <w:t xml:space="preserve"> اللهُ صَدْرَهُ إِل</w:t>
      </w:r>
      <w:r w:rsidR="00BE2CF0">
        <w:rPr>
          <w:rFonts w:hint="cs"/>
          <w:rtl/>
          <w:lang w:bidi="fa-IR"/>
        </w:rPr>
        <w:t>َّ</w:t>
      </w:r>
      <w:r w:rsidR="00BE2CF0">
        <w:rPr>
          <w:rtl/>
          <w:lang w:bidi="fa-IR"/>
        </w:rPr>
        <w:t>ا</w:t>
      </w:r>
      <w:r w:rsidRPr="00C9040A">
        <w:rPr>
          <w:rtl/>
          <w:lang w:bidi="fa-IR"/>
        </w:rPr>
        <w:t xml:space="preserve"> عَنِ النِّفَاقِ </w:t>
      </w:r>
      <w:r w:rsidR="006C577F" w:rsidRPr="006C577F">
        <w:rPr>
          <w:rStyle w:val="libFootnotenumChar"/>
          <w:rtl/>
        </w:rPr>
        <w:t>(10)</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(11)</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 ف » : « فجعله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 العَرْصَة » : كلّ بقعة بين الدور واسعة ليس فيها بناءٌ. والجمع : العِراص والعَرَصات. </w:t>
      </w:r>
      <w:r w:rsidR="008A74EB" w:rsidRPr="00993B55">
        <w:rPr>
          <w:rStyle w:val="libFootnoteBoldChar"/>
          <w:rtl/>
        </w:rPr>
        <w:t>الصحاح</w:t>
      </w:r>
      <w:r w:rsidR="008A74EB" w:rsidRPr="00C9040A">
        <w:rPr>
          <w:rtl/>
        </w:rPr>
        <w:t xml:space="preserve"> ، ج 3 ، ص 1044 ( عرص )</w:t>
      </w:r>
      <w:r w:rsidR="008A74EB">
        <w:rPr>
          <w:rtl/>
        </w:rPr>
        <w:t>.</w:t>
      </w:r>
      <w:r w:rsidR="00BE2CF0">
        <w:rPr>
          <w:rFonts w:hint="cs"/>
          <w:rtl/>
        </w:rPr>
        <w:t xml:space="preserve">                                </w:t>
      </w:r>
      <w:r w:rsidR="00B866D3">
        <w:rPr>
          <w:rFonts w:hint="cs"/>
          <w:rtl/>
        </w:rPr>
        <w:t xml:space="preserve">       </w:t>
      </w:r>
      <w:r w:rsidR="00BE2CF0">
        <w:rPr>
          <w:rFonts w:hint="cs"/>
          <w:rtl/>
        </w:rPr>
        <w:t xml:space="preserve">   </w:t>
      </w:r>
      <w:r>
        <w:rPr>
          <w:rtl/>
        </w:rPr>
        <w:t>(3).</w:t>
      </w:r>
      <w:r w:rsidR="008A74EB" w:rsidRPr="00C9040A">
        <w:rPr>
          <w:rtl/>
        </w:rPr>
        <w:t xml:space="preserve"> في حاشية « ج » : « فإنّي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w:t>
      </w:r>
      <w:r w:rsidR="008A74EB" w:rsidRPr="00993B55">
        <w:rPr>
          <w:rStyle w:val="libFootnoteBoldChar"/>
          <w:rtl/>
        </w:rPr>
        <w:t>مرآة العقول</w:t>
      </w:r>
      <w:r w:rsidR="008A74EB" w:rsidRPr="00C9040A">
        <w:rPr>
          <w:rtl/>
        </w:rPr>
        <w:t xml:space="preserve"> : « فنسبني ، أي ذكرني أو وصفني وذكر نبوّتي ومناقبي. وأمّا ذكر نسبه لأهل الأرض فبالآيات التي أنزلها فيه وفي أهل بيته ويقرؤها الناس إلى يوم القيامة ، أو ذكر فضله ونادى به بحيث سمع من في أصلاب الرجال وأرحام النساء كنداء إبراهيم </w:t>
      </w:r>
      <w:r w:rsidR="00117575" w:rsidRPr="00117575">
        <w:rPr>
          <w:rStyle w:val="libFootnoteAlaemChar"/>
          <w:rtl/>
        </w:rPr>
        <w:t>عليه‌السلام</w:t>
      </w:r>
      <w:r w:rsidR="008A74EB" w:rsidRPr="00C9040A">
        <w:rPr>
          <w:rtl/>
        </w:rPr>
        <w:t xml:space="preserve"> </w:t>
      </w:r>
      <w:r w:rsidR="00BE2CF0">
        <w:rPr>
          <w:rtl/>
        </w:rPr>
        <w:t>بالحجّ. وقيل : لم</w:t>
      </w:r>
      <w:r w:rsidR="00BE2CF0">
        <w:rPr>
          <w:rFonts w:hint="cs"/>
          <w:rtl/>
        </w:rPr>
        <w:t>ـّ</w:t>
      </w:r>
      <w:r w:rsidR="008A74EB" w:rsidRPr="00C9040A">
        <w:rPr>
          <w:rtl/>
        </w:rPr>
        <w:t xml:space="preserve">ا وجبت الصلوات الخمس في المعراج ، فلمّا هبط </w:t>
      </w:r>
      <w:r w:rsidR="00117575" w:rsidRPr="00117575">
        <w:rPr>
          <w:rStyle w:val="libFootnoteAlaemChar"/>
          <w:rtl/>
        </w:rPr>
        <w:t xml:space="preserve">عليه‌السلام </w:t>
      </w:r>
      <w:r w:rsidR="008A74EB" w:rsidRPr="00C9040A">
        <w:rPr>
          <w:rtl/>
        </w:rPr>
        <w:t xml:space="preserve"> علّمها الناس ، وكان من أفعالها الصلاة على محمّد وآله في التشهّد ؛ فدلّهم بذلك على أنّهم أفضل الخلق ؛ لأنّه لو كان غيرهم أفضل لكانت الصلاة عليه أوجب. والأوّل أظهر »</w:t>
      </w:r>
      <w:r w:rsidR="008A74EB">
        <w:rPr>
          <w:rtl/>
        </w:rPr>
        <w:t>.</w:t>
      </w:r>
      <w:r w:rsidR="008A74EB" w:rsidRPr="00C9040A">
        <w:rPr>
          <w:rtl/>
        </w:rPr>
        <w:t xml:space="preserve"> وقيل غير ذلك. وللمزيد راجع : </w:t>
      </w:r>
      <w:r w:rsidR="008A74EB" w:rsidRPr="00993B55">
        <w:rPr>
          <w:rStyle w:val="libFootnoteBoldChar"/>
          <w:rtl/>
        </w:rPr>
        <w:t>شرح المازندراني</w:t>
      </w:r>
      <w:r w:rsidR="008A74EB" w:rsidRPr="00C9040A">
        <w:rPr>
          <w:rtl/>
        </w:rPr>
        <w:t>.</w:t>
      </w:r>
    </w:p>
    <w:p w:rsidR="008A74EB" w:rsidRPr="004A4E41" w:rsidRDefault="006C577F" w:rsidP="004A4E41">
      <w:pPr>
        <w:pStyle w:val="libFootnote0"/>
        <w:rPr>
          <w:rStyle w:val="libFootnote0Char"/>
          <w:rtl/>
        </w:rPr>
      </w:pPr>
      <w:r>
        <w:rPr>
          <w:rtl/>
        </w:rPr>
        <w:t>(5).</w:t>
      </w:r>
      <w:r w:rsidR="008A74EB" w:rsidRPr="00C9040A">
        <w:rPr>
          <w:rtl/>
        </w:rPr>
        <w:t xml:space="preserve"> هكذا في « ب ، ج ، د ، ص ، بر ، بف » وشرح المازندراني. وفي سائر النسخ والمطبوع : « إلى أهل »</w:t>
      </w:r>
      <w:r w:rsidR="008A74EB">
        <w:rPr>
          <w:rtl/>
        </w:rPr>
        <w:t>.</w:t>
      </w:r>
    </w:p>
    <w:tbl>
      <w:tblPr>
        <w:tblStyle w:val="TableGrid"/>
        <w:bidiVisual/>
        <w:tblW w:w="0" w:type="auto"/>
        <w:tblLook w:val="04A0" w:firstRow="1" w:lastRow="0" w:firstColumn="1" w:lastColumn="0" w:noHBand="0" w:noVBand="1"/>
      </w:tblPr>
      <w:tblGrid>
        <w:gridCol w:w="4006"/>
        <w:gridCol w:w="4006"/>
      </w:tblGrid>
      <w:tr w:rsidR="00BE2CF0" w:rsidTr="00BE2CF0">
        <w:tc>
          <w:tcPr>
            <w:tcW w:w="4006" w:type="dxa"/>
          </w:tcPr>
          <w:p w:rsidR="00BE2CF0" w:rsidRDefault="00BE2CF0" w:rsidP="004A4E41">
            <w:pPr>
              <w:pStyle w:val="libFootnote0"/>
              <w:rPr>
                <w:rtl/>
              </w:rPr>
            </w:pPr>
            <w:r>
              <w:rPr>
                <w:rtl/>
              </w:rPr>
              <w:t xml:space="preserve">(6). </w:t>
            </w:r>
            <w:r w:rsidRPr="00C9040A">
              <w:rPr>
                <w:rtl/>
              </w:rPr>
              <w:t xml:space="preserve">في « د ، بس » </w:t>
            </w:r>
            <w:r>
              <w:rPr>
                <w:rtl/>
              </w:rPr>
              <w:t>: -</w:t>
            </w:r>
            <w:r w:rsidRPr="00C9040A">
              <w:rPr>
                <w:rtl/>
              </w:rPr>
              <w:t xml:space="preserve"> « في أهل بيتي »</w:t>
            </w:r>
            <w:r>
              <w:rPr>
                <w:rtl/>
              </w:rPr>
              <w:t>.</w:t>
            </w:r>
          </w:p>
        </w:tc>
        <w:tc>
          <w:tcPr>
            <w:tcW w:w="4006" w:type="dxa"/>
          </w:tcPr>
          <w:p w:rsidR="00BE2CF0" w:rsidRDefault="00BE2CF0" w:rsidP="004A4E41">
            <w:pPr>
              <w:pStyle w:val="libFootnote0"/>
              <w:rPr>
                <w:rtl/>
              </w:rPr>
            </w:pPr>
            <w:r>
              <w:rPr>
                <w:rtl/>
              </w:rPr>
              <w:t>(7).</w:t>
            </w:r>
            <w:r w:rsidRPr="00C9040A">
              <w:rPr>
                <w:rtl/>
              </w:rPr>
              <w:t xml:space="preserve"> في « ض ، بس » : « رجلاً »</w:t>
            </w:r>
            <w:r>
              <w:rPr>
                <w:rtl/>
              </w:rPr>
              <w:t>.</w:t>
            </w:r>
          </w:p>
        </w:tc>
      </w:tr>
      <w:tr w:rsidR="00BE2CF0" w:rsidTr="00BE2CF0">
        <w:tc>
          <w:tcPr>
            <w:tcW w:w="4006" w:type="dxa"/>
          </w:tcPr>
          <w:p w:rsidR="00BE2CF0" w:rsidRDefault="00BE2CF0" w:rsidP="004A4E41">
            <w:pPr>
              <w:pStyle w:val="libFootnote0"/>
              <w:rPr>
                <w:rtl/>
              </w:rPr>
            </w:pPr>
            <w:r>
              <w:rPr>
                <w:rtl/>
              </w:rPr>
              <w:t>(8).</w:t>
            </w:r>
            <w:r w:rsidRPr="00C9040A">
              <w:rPr>
                <w:rtl/>
              </w:rPr>
              <w:t xml:space="preserve"> في « ب » وحاشية « بف » : « وشيعتهم »</w:t>
            </w:r>
            <w:r>
              <w:rPr>
                <w:rtl/>
              </w:rPr>
              <w:t>.</w:t>
            </w:r>
          </w:p>
        </w:tc>
        <w:tc>
          <w:tcPr>
            <w:tcW w:w="4006" w:type="dxa"/>
          </w:tcPr>
          <w:p w:rsidR="00BE2CF0" w:rsidRDefault="00BE2CF0" w:rsidP="004A4E41">
            <w:pPr>
              <w:pStyle w:val="libFootnote0"/>
              <w:rPr>
                <w:rtl/>
              </w:rPr>
            </w:pPr>
            <w:r>
              <w:rPr>
                <w:rtl/>
              </w:rPr>
              <w:t>(9). في «ف»:«فرح</w:t>
            </w:r>
            <w:r w:rsidRPr="00C9040A">
              <w:rPr>
                <w:rtl/>
              </w:rPr>
              <w:t>»</w:t>
            </w:r>
            <w:r>
              <w:rPr>
                <w:rtl/>
              </w:rPr>
              <w:t>. وفي حاشية «ف » : «</w:t>
            </w:r>
            <w:r w:rsidRPr="00C9040A">
              <w:rPr>
                <w:rtl/>
              </w:rPr>
              <w:t>شرح »</w:t>
            </w:r>
            <w:r>
              <w:rPr>
                <w:rtl/>
              </w:rPr>
              <w:t>.</w:t>
            </w:r>
          </w:p>
        </w:tc>
      </w:tr>
    </w:tbl>
    <w:p w:rsidR="008A74EB" w:rsidRPr="00C9040A" w:rsidRDefault="006C577F" w:rsidP="004A4E41">
      <w:pPr>
        <w:pStyle w:val="libFootnote0"/>
        <w:rPr>
          <w:rtl/>
          <w:lang w:bidi="fa-IR"/>
        </w:rPr>
      </w:pPr>
      <w:r>
        <w:rPr>
          <w:rtl/>
        </w:rPr>
        <w:t>(10).</w:t>
      </w:r>
      <w:r w:rsidR="008A74EB" w:rsidRPr="00C9040A">
        <w:rPr>
          <w:rtl/>
        </w:rPr>
        <w:t xml:space="preserve"> في « د ، ز ، ف ، بر ، بس ، بف » والوافي والبحار : « نفاق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w:t>
      </w:r>
      <w:r w:rsidR="008A74EB" w:rsidRPr="00993B55">
        <w:rPr>
          <w:rStyle w:val="libFootnoteBoldChar"/>
          <w:rtl/>
        </w:rPr>
        <w:t>الوافي</w:t>
      </w:r>
      <w:r w:rsidR="008A74EB" w:rsidRPr="00C9040A">
        <w:rPr>
          <w:rtl/>
        </w:rPr>
        <w:t xml:space="preserve"> ، ج 4 ، ص 142 ، ح 1734 ؛ </w:t>
      </w:r>
      <w:r w:rsidR="008A74EB" w:rsidRPr="00993B55">
        <w:rPr>
          <w:rStyle w:val="libFootnoteBoldChar"/>
          <w:rtl/>
        </w:rPr>
        <w:t>الوسائل</w:t>
      </w:r>
      <w:r w:rsidR="008A74EB" w:rsidRPr="00C9040A">
        <w:rPr>
          <w:rtl/>
        </w:rPr>
        <w:t xml:space="preserve"> ، ج 15 ، ص 184 ، ح 20233 ، إلى قوله : « وأمّا أنصاره فأنا </w:t>
      </w:r>
      <w:r w:rsidR="00992AFE">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Heading2Center"/>
        <w:rPr>
          <w:rtl/>
          <w:lang w:bidi="fa-IR"/>
        </w:rPr>
      </w:pPr>
      <w:bookmarkStart w:id="79" w:name="_Toc343795614"/>
      <w:bookmarkStart w:id="80" w:name="_Toc459810738"/>
      <w:bookmarkStart w:id="81" w:name="_Toc35348644"/>
      <w:r w:rsidRPr="00C9040A">
        <w:rPr>
          <w:rtl/>
          <w:lang w:bidi="fa-IR"/>
        </w:rPr>
        <w:lastRenderedPageBreak/>
        <w:t>23</w:t>
      </w:r>
      <w:r>
        <w:rPr>
          <w:rtl/>
          <w:lang w:bidi="fa-IR"/>
        </w:rPr>
        <w:t xml:space="preserve"> </w:t>
      </w:r>
      <w:r w:rsidR="0084262C">
        <w:rPr>
          <w:rtl/>
          <w:lang w:bidi="fa-IR"/>
        </w:rPr>
        <w:t>-</w:t>
      </w:r>
      <w:r>
        <w:rPr>
          <w:rtl/>
          <w:lang w:bidi="fa-IR"/>
        </w:rPr>
        <w:t xml:space="preserve"> </w:t>
      </w:r>
      <w:r w:rsidRPr="00C9040A">
        <w:rPr>
          <w:rtl/>
          <w:lang w:bidi="fa-IR"/>
        </w:rPr>
        <w:t xml:space="preserve">بَابٌ </w:t>
      </w:r>
      <w:r w:rsidR="006C577F" w:rsidRPr="006C577F">
        <w:rPr>
          <w:rStyle w:val="libFootnotenumChar"/>
          <w:rtl/>
        </w:rPr>
        <w:t>(1)</w:t>
      </w:r>
      <w:r w:rsidRPr="00C9040A">
        <w:rPr>
          <w:rtl/>
          <w:lang w:bidi="fa-IR"/>
        </w:rPr>
        <w:t>‌</w:t>
      </w:r>
      <w:bookmarkEnd w:id="79"/>
      <w:bookmarkEnd w:id="80"/>
      <w:bookmarkEnd w:id="81"/>
    </w:p>
    <w:p w:rsidR="008A74EB" w:rsidRPr="00C9040A" w:rsidRDefault="008A74EB" w:rsidP="008A74EB">
      <w:pPr>
        <w:pStyle w:val="libNormal"/>
        <w:rPr>
          <w:rtl/>
          <w:lang w:bidi="fa-IR"/>
        </w:rPr>
      </w:pPr>
      <w:r w:rsidRPr="006E2E14">
        <w:rPr>
          <w:rtl/>
        </w:rPr>
        <w:t>1539</w:t>
      </w:r>
      <w:r w:rsidRPr="00261CB0">
        <w:rPr>
          <w:rStyle w:val="libBold2Char"/>
          <w:rtl/>
        </w:rPr>
        <w:t xml:space="preserve"> / 1.</w:t>
      </w:r>
      <w:r w:rsidRPr="00C9040A">
        <w:rPr>
          <w:rtl/>
          <w:lang w:bidi="fa-IR"/>
        </w:rPr>
        <w:t xml:space="preserve"> مُحَمَّدُ بْنُ يَحْيى ، عَنْ أَحْمَدَ بْنِ مُحَمَّدِ بْنِ عِيسى ، عَنِ الْحَسَنِ بْنِ مَحْبُوبٍ ، عَنْ جَمِيلِ بْنِ صَالِحٍ ، عَنْ عَبْدِ الْمَلِكِ </w:t>
      </w:r>
      <w:r w:rsidR="006C577F" w:rsidRPr="006C577F">
        <w:rPr>
          <w:rStyle w:val="libFootnotenumChar"/>
          <w:rtl/>
        </w:rPr>
        <w:t>(2)</w:t>
      </w:r>
      <w:r w:rsidRPr="00C9040A">
        <w:rPr>
          <w:rtl/>
          <w:lang w:bidi="fa-IR"/>
        </w:rPr>
        <w:t xml:space="preserve"> بْنِ غَالِبٍ :</w:t>
      </w:r>
    </w:p>
    <w:p w:rsidR="008A74EB"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يَنْبَغِي لِلْمُؤْمِنِ أَنْ يَكُونَ فِيهِ ثَمَانِي </w:t>
      </w:r>
      <w:r w:rsidR="006C577F" w:rsidRPr="006C577F">
        <w:rPr>
          <w:rStyle w:val="libFootnotenumChar"/>
          <w:rtl/>
        </w:rPr>
        <w:t>(3)</w:t>
      </w:r>
      <w:r w:rsidRPr="00C9040A">
        <w:rPr>
          <w:rtl/>
          <w:lang w:bidi="fa-IR"/>
        </w:rPr>
        <w:t xml:space="preserve"> خِصَالٍ : وَقُوراً </w:t>
      </w:r>
      <w:r w:rsidR="006C577F" w:rsidRPr="006C577F">
        <w:rPr>
          <w:rStyle w:val="libFootnotenumChar"/>
          <w:rtl/>
        </w:rPr>
        <w:t>(4)</w:t>
      </w:r>
    </w:p>
    <w:p w:rsidR="008A74EB" w:rsidRPr="00C9040A" w:rsidRDefault="008A74EB" w:rsidP="008A74EB">
      <w:pPr>
        <w:pStyle w:val="libLine"/>
        <w:rPr>
          <w:rtl/>
          <w:lang w:bidi="fa-IR"/>
        </w:rPr>
      </w:pPr>
      <w:r w:rsidRPr="00C9040A">
        <w:rPr>
          <w:rtl/>
          <w:lang w:bidi="fa-IR"/>
        </w:rPr>
        <w:t>__________________</w:t>
      </w:r>
    </w:p>
    <w:p w:rsidR="008A74EB" w:rsidRPr="00C9040A" w:rsidRDefault="00732695" w:rsidP="004A4E41">
      <w:pPr>
        <w:pStyle w:val="libFootnote0"/>
        <w:rPr>
          <w:rtl/>
          <w:lang w:bidi="fa-IR"/>
        </w:rPr>
      </w:pPr>
      <w:r>
        <w:rPr>
          <w:rFonts w:hint="cs"/>
          <w:rtl/>
        </w:rPr>
        <w:t xml:space="preserve">= </w:t>
      </w:r>
      <w:r w:rsidR="008A74EB" w:rsidRPr="00C9040A">
        <w:rPr>
          <w:rtl/>
        </w:rPr>
        <w:t xml:space="preserve">وأهل بيتي وشيعتنا » ؛ </w:t>
      </w:r>
      <w:r w:rsidR="008A74EB" w:rsidRPr="00993B55">
        <w:rPr>
          <w:rStyle w:val="libFootnoteBoldChar"/>
          <w:rtl/>
        </w:rPr>
        <w:t>البحار</w:t>
      </w:r>
      <w:r w:rsidR="008A74EB" w:rsidRPr="00C9040A">
        <w:rPr>
          <w:rtl/>
        </w:rPr>
        <w:t xml:space="preserve"> ، ج 68 ، ص 341 ، ح 13.</w:t>
      </w:r>
    </w:p>
    <w:p w:rsidR="008A74EB" w:rsidRPr="00C9040A" w:rsidRDefault="006C577F" w:rsidP="004A4E41">
      <w:pPr>
        <w:pStyle w:val="libFootnote0"/>
        <w:rPr>
          <w:rtl/>
          <w:lang w:bidi="fa-IR"/>
        </w:rPr>
      </w:pPr>
      <w:r>
        <w:rPr>
          <w:rtl/>
        </w:rPr>
        <w:t>(1).</w:t>
      </w:r>
      <w:r w:rsidR="008A74EB" w:rsidRPr="00C9040A">
        <w:rPr>
          <w:rtl/>
        </w:rPr>
        <w:t xml:space="preserve"> هكذا في النسخ التي بأيدينا ومرآة العقول. وفي المطبوع : « باب [ خصال المؤمن ]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ج 7 ، ص 291 : « ل</w:t>
      </w:r>
      <w:r w:rsidR="00732695">
        <w:rPr>
          <w:rFonts w:hint="cs"/>
          <w:rtl/>
        </w:rPr>
        <w:t>ـ</w:t>
      </w:r>
      <w:r w:rsidR="008A74EB" w:rsidRPr="00C9040A">
        <w:rPr>
          <w:rtl/>
        </w:rPr>
        <w:t>مّا كانت أخبار هذا ا</w:t>
      </w:r>
      <w:r w:rsidR="008A74EB">
        <w:rPr>
          <w:rtl/>
        </w:rPr>
        <w:t>لباب متقاربة المضمون مع الباب ا</w:t>
      </w:r>
      <w:r w:rsidR="008A74EB" w:rsidRPr="00C9040A">
        <w:rPr>
          <w:rtl/>
        </w:rPr>
        <w:t>لسابق لم يعنونه ، والفرق بينهما أنّ المذكور في الباب السابق نسبة الإسلام ، وفي هذا الباب نسبة الإيمان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سيأتي الخبر</w:t>
      </w:r>
      <w:r w:rsidR="008A74EB">
        <w:rPr>
          <w:rtl/>
        </w:rPr>
        <w:t xml:space="preserve"> </w:t>
      </w:r>
      <w:r w:rsidR="0084262C">
        <w:rPr>
          <w:rtl/>
        </w:rPr>
        <w:t>-</w:t>
      </w:r>
      <w:r w:rsidR="008A74EB">
        <w:rPr>
          <w:rtl/>
        </w:rPr>
        <w:t xml:space="preserve"> </w:t>
      </w:r>
      <w:r w:rsidR="008A74EB" w:rsidRPr="00C9040A">
        <w:rPr>
          <w:rtl/>
        </w:rPr>
        <w:t>باختلاف يسير جدّاً</w:t>
      </w:r>
      <w:r w:rsidR="008A74EB">
        <w:rPr>
          <w:rtl/>
        </w:rPr>
        <w:t xml:space="preserve"> </w:t>
      </w:r>
      <w:r w:rsidR="0084262C">
        <w:rPr>
          <w:rtl/>
        </w:rPr>
        <w:t>-</w:t>
      </w:r>
      <w:r w:rsidR="008A74EB">
        <w:rPr>
          <w:rtl/>
        </w:rPr>
        <w:t xml:space="preserve"> </w:t>
      </w:r>
      <w:r w:rsidR="008A74EB" w:rsidRPr="00C9040A">
        <w:rPr>
          <w:rtl/>
        </w:rPr>
        <w:t xml:space="preserve">في نفس المجلّد ، ح 2281 ، بسند آخر عن ابن محبوب ، عن جميل بن صالح ، عن عبد الله بن غالب. ورواه الصدوق في </w:t>
      </w:r>
      <w:r w:rsidR="008A74EB" w:rsidRPr="00993B55">
        <w:rPr>
          <w:rStyle w:val="libFootnoteBoldChar"/>
          <w:rtl/>
        </w:rPr>
        <w:t>الأمالي</w:t>
      </w:r>
      <w:r w:rsidR="008A74EB" w:rsidRPr="00C9040A">
        <w:rPr>
          <w:rtl/>
        </w:rPr>
        <w:t xml:space="preserve"> ، ص 474 ، المجلس 86 ، ح 17 ؛ و</w:t>
      </w:r>
      <w:r w:rsidR="008A74EB" w:rsidRPr="00993B55">
        <w:rPr>
          <w:rStyle w:val="libFootnoteBoldChar"/>
          <w:rtl/>
        </w:rPr>
        <w:t xml:space="preserve">الخصال </w:t>
      </w:r>
      <w:r w:rsidR="008A74EB" w:rsidRPr="00C9040A">
        <w:rPr>
          <w:rtl/>
        </w:rPr>
        <w:t>، ص 406 ، ح 1. وفيهما أيضاً « عبد الله بن غالب »</w:t>
      </w:r>
      <w:r w:rsidR="008A74EB">
        <w:rPr>
          <w:rtl/>
        </w:rPr>
        <w:t>.</w:t>
      </w:r>
    </w:p>
    <w:p w:rsidR="008A74EB" w:rsidRPr="00C9040A" w:rsidRDefault="008A74EB" w:rsidP="004A4E41">
      <w:pPr>
        <w:pStyle w:val="libFootnote0"/>
        <w:rPr>
          <w:rtl/>
          <w:lang w:bidi="fa-IR"/>
        </w:rPr>
      </w:pPr>
      <w:r w:rsidRPr="00323A39">
        <w:rPr>
          <w:rtl/>
        </w:rPr>
        <w:t xml:space="preserve">والظاهر </w:t>
      </w:r>
      <w:r w:rsidR="0084262C" w:rsidRPr="00323A39">
        <w:rPr>
          <w:rtl/>
        </w:rPr>
        <w:t>-</w:t>
      </w:r>
      <w:r w:rsidRPr="00323A39">
        <w:rPr>
          <w:rtl/>
        </w:rPr>
        <w:t xml:space="preserve"> في بادئ الرأي </w:t>
      </w:r>
      <w:r w:rsidR="0084262C" w:rsidRPr="00323A39">
        <w:rPr>
          <w:rtl/>
        </w:rPr>
        <w:t>-</w:t>
      </w:r>
      <w:r w:rsidRPr="00323A39">
        <w:rPr>
          <w:rtl/>
        </w:rPr>
        <w:t xml:space="preserve"> وقوع التحريف في أحد العنوانين ، وبما أنَّ عبد الملك بن غالب لم‌نجد له ذكراً في كتب الرجال والأسناد </w:t>
      </w:r>
      <w:r w:rsidR="0084262C" w:rsidRPr="00323A39">
        <w:rPr>
          <w:rtl/>
        </w:rPr>
        <w:t>-</w:t>
      </w:r>
      <w:r w:rsidRPr="00323A39">
        <w:rPr>
          <w:rtl/>
        </w:rPr>
        <w:t xml:space="preserve"> في غير سند هذا الخبر </w:t>
      </w:r>
      <w:r w:rsidR="0084262C" w:rsidRPr="00323A39">
        <w:rPr>
          <w:rtl/>
        </w:rPr>
        <w:t>-</w:t>
      </w:r>
      <w:r w:rsidRPr="00323A39">
        <w:rPr>
          <w:rtl/>
        </w:rPr>
        <w:t xml:space="preserve"> تميل النفس إلى القول بصحّة عبد الله بن غالب ، كما قال به في </w:t>
      </w:r>
      <w:r w:rsidRPr="00993B55">
        <w:rPr>
          <w:rStyle w:val="libFootnoteBoldChar"/>
          <w:rtl/>
        </w:rPr>
        <w:t>معجم رجال الحديث</w:t>
      </w:r>
      <w:r w:rsidRPr="00323A39">
        <w:rPr>
          <w:rtl/>
        </w:rPr>
        <w:t xml:space="preserve"> ، ج 4 ، ص 460 ؛ لأنّه هو المترجم في الكتب والمذكور في الأسناد.</w:t>
      </w:r>
    </w:p>
    <w:p w:rsidR="008A74EB" w:rsidRPr="00C9040A" w:rsidRDefault="008A74EB" w:rsidP="004A4E41">
      <w:pPr>
        <w:pStyle w:val="libFootnote0"/>
        <w:rPr>
          <w:rtl/>
          <w:lang w:bidi="fa-IR"/>
        </w:rPr>
      </w:pPr>
      <w:r w:rsidRPr="00323A39">
        <w:rPr>
          <w:rtl/>
        </w:rPr>
        <w:t xml:space="preserve">لكن هذا القول أيضاً يواجه إشكالاً ، وهو أنّ عبد الله بن غالب روى الحسن بن محبوب كتابه ، وأكثر رواياته أيضاً قد وردت عن ابن محبوب بلا واسطة. فيستبعد جدّاً رواية ابن محبوب عنه بالتوسّط ، أضف إلى ذلك أنّا لم نجد رواية جميل بن صالح عن عبد الله بن غالب في غير سند هذا الخبر. راجع : </w:t>
      </w:r>
      <w:r w:rsidRPr="00993B55">
        <w:rPr>
          <w:rStyle w:val="libFootnoteBoldChar"/>
          <w:rtl/>
        </w:rPr>
        <w:t>رجال النجاشي</w:t>
      </w:r>
      <w:r w:rsidRPr="00323A39">
        <w:rPr>
          <w:rtl/>
        </w:rPr>
        <w:t xml:space="preserve"> ، ص 222 ، الرقم 582 ؛ </w:t>
      </w:r>
      <w:r w:rsidRPr="00993B55">
        <w:rPr>
          <w:rStyle w:val="libFootnoteBoldChar"/>
          <w:rtl/>
        </w:rPr>
        <w:t>معجم رجال الحديث</w:t>
      </w:r>
      <w:r w:rsidRPr="00323A39">
        <w:rPr>
          <w:rtl/>
        </w:rPr>
        <w:t xml:space="preserve"> ، ج 10 ، ص 487 </w:t>
      </w:r>
      <w:r w:rsidR="0084262C" w:rsidRPr="00323A39">
        <w:rPr>
          <w:rtl/>
        </w:rPr>
        <w:t>-</w:t>
      </w:r>
      <w:r w:rsidRPr="00323A39">
        <w:rPr>
          <w:rtl/>
        </w:rPr>
        <w:t xml:space="preserve"> 488.</w:t>
      </w:r>
    </w:p>
    <w:p w:rsidR="008A74EB" w:rsidRPr="00C9040A" w:rsidRDefault="008A74EB" w:rsidP="004A4E41">
      <w:pPr>
        <w:pStyle w:val="libFootnote0"/>
        <w:rPr>
          <w:rtl/>
          <w:lang w:bidi="fa-IR"/>
        </w:rPr>
      </w:pPr>
      <w:r w:rsidRPr="00323A39">
        <w:rPr>
          <w:rtl/>
        </w:rPr>
        <w:t>هذا ، وقد ذكر الا</w:t>
      </w:r>
      <w:r w:rsidR="00732695">
        <w:rPr>
          <w:rFonts w:hint="cs"/>
          <w:rtl/>
        </w:rPr>
        <w:t>ُ</w:t>
      </w:r>
      <w:r w:rsidRPr="00323A39">
        <w:rPr>
          <w:rtl/>
        </w:rPr>
        <w:t xml:space="preserve">ستاد السيّد محمّد جواد الشبيري </w:t>
      </w:r>
      <w:r w:rsidR="0084262C" w:rsidRPr="00323A39">
        <w:rPr>
          <w:rtl/>
        </w:rPr>
        <w:t>-</w:t>
      </w:r>
      <w:r w:rsidRPr="00323A39">
        <w:rPr>
          <w:rtl/>
        </w:rPr>
        <w:t xml:space="preserve"> دام توفيقه </w:t>
      </w:r>
      <w:r w:rsidR="0084262C" w:rsidRPr="00323A39">
        <w:rPr>
          <w:rtl/>
        </w:rPr>
        <w:t>-</w:t>
      </w:r>
      <w:r w:rsidRPr="00323A39">
        <w:rPr>
          <w:rtl/>
        </w:rPr>
        <w:t xml:space="preserve"> في تعليقته على السند ، احتمالاً آخر ؛ وهو كون الصواب عبد الملك بن عمرو </w:t>
      </w:r>
      <w:r w:rsidR="0084262C" w:rsidRPr="00323A39">
        <w:rPr>
          <w:rtl/>
        </w:rPr>
        <w:t>-</w:t>
      </w:r>
      <w:r w:rsidRPr="00323A39">
        <w:rPr>
          <w:rtl/>
        </w:rPr>
        <w:t xml:space="preserve"> بدل عبد الملك بن غالب </w:t>
      </w:r>
      <w:r w:rsidR="0084262C" w:rsidRPr="00323A39">
        <w:rPr>
          <w:rtl/>
        </w:rPr>
        <w:t>-</w:t>
      </w:r>
      <w:r w:rsidRPr="00323A39">
        <w:rPr>
          <w:rtl/>
        </w:rPr>
        <w:t xml:space="preserve"> فصُحِّف عمرو ب</w:t>
      </w:r>
      <w:r w:rsidR="006C1CAA">
        <w:rPr>
          <w:rFonts w:hint="cs"/>
          <w:rtl/>
        </w:rPr>
        <w:t>ـ</w:t>
      </w:r>
      <w:r w:rsidRPr="00323A39">
        <w:rPr>
          <w:rtl/>
        </w:rPr>
        <w:t xml:space="preserve"> « غالب » ثمّ صحّحوا عبد الملك بن غالب ، بعبد الله بن غالب. ثمّ انتشرت نسخة عبد الله بن غالب في كتب الصدوق وموضع من </w:t>
      </w:r>
      <w:r w:rsidRPr="00993B55">
        <w:rPr>
          <w:rStyle w:val="libFootnoteBoldChar"/>
          <w:rtl/>
        </w:rPr>
        <w:t>الكافي</w:t>
      </w:r>
      <w:r w:rsidRPr="00323A39">
        <w:rPr>
          <w:rtl/>
        </w:rPr>
        <w:t xml:space="preserve">. يؤيّد ذلك رواية جميل بن صالح عن عبد الملك بن عمرو في بعض الأسناد. راجع : </w:t>
      </w:r>
      <w:r w:rsidRPr="00993B55">
        <w:rPr>
          <w:rStyle w:val="libFootnoteBoldChar"/>
          <w:rtl/>
        </w:rPr>
        <w:t>معجم رجال الحديث</w:t>
      </w:r>
      <w:r w:rsidRPr="00323A39">
        <w:rPr>
          <w:rtl/>
        </w:rPr>
        <w:t xml:space="preserve"> ، ج 11 ، ص 411 </w:t>
      </w:r>
      <w:r w:rsidR="0084262C" w:rsidRPr="00323A39">
        <w:rPr>
          <w:rtl/>
        </w:rPr>
        <w:t>-</w:t>
      </w:r>
      <w:r w:rsidRPr="00323A39">
        <w:rPr>
          <w:rtl/>
        </w:rPr>
        <w:t xml:space="preserve"> 412.</w:t>
      </w:r>
    </w:p>
    <w:p w:rsidR="008A74EB" w:rsidRPr="00C9040A" w:rsidRDefault="008A74EB" w:rsidP="004A4E41">
      <w:pPr>
        <w:pStyle w:val="libFootnote0"/>
        <w:rPr>
          <w:rtl/>
          <w:lang w:bidi="fa-IR"/>
        </w:rPr>
      </w:pPr>
      <w:r w:rsidRPr="00323A39">
        <w:rPr>
          <w:rtl/>
        </w:rPr>
        <w:t xml:space="preserve">ثمّ اعلم أنّه قد ورد الخبر في </w:t>
      </w:r>
      <w:r w:rsidRPr="00993B55">
        <w:rPr>
          <w:rStyle w:val="libFootnoteBoldChar"/>
          <w:rtl/>
        </w:rPr>
        <w:t>أعلام الدين</w:t>
      </w:r>
      <w:r w:rsidRPr="00323A39">
        <w:rPr>
          <w:rtl/>
        </w:rPr>
        <w:t xml:space="preserve"> ، ص 109 ، نقلاً من كتاب </w:t>
      </w:r>
      <w:r w:rsidRPr="00993B55">
        <w:rPr>
          <w:rStyle w:val="libFootnoteBoldChar"/>
          <w:rtl/>
        </w:rPr>
        <w:t>المجالس</w:t>
      </w:r>
      <w:r w:rsidRPr="00323A39">
        <w:rPr>
          <w:rtl/>
        </w:rPr>
        <w:t xml:space="preserve"> للبرقي ، عن عبد الله بن يونس ، عن أبي عبد الله </w:t>
      </w:r>
      <w:r w:rsidR="00117575" w:rsidRPr="00117575">
        <w:rPr>
          <w:rStyle w:val="libFootnoteAlaemChar"/>
          <w:rtl/>
        </w:rPr>
        <w:t xml:space="preserve">عليه‌السلام </w:t>
      </w:r>
      <w:r w:rsidRPr="00323A39">
        <w:rPr>
          <w:rtl/>
        </w:rPr>
        <w:t>.</w:t>
      </w:r>
    </w:p>
    <w:p w:rsidR="008A74EB" w:rsidRPr="00C9040A" w:rsidRDefault="006C577F" w:rsidP="004A4E41">
      <w:pPr>
        <w:pStyle w:val="libFootnote0"/>
        <w:rPr>
          <w:rtl/>
          <w:lang w:bidi="fa-IR"/>
        </w:rPr>
      </w:pPr>
      <w:r>
        <w:rPr>
          <w:rtl/>
        </w:rPr>
        <w:t>(3).</w:t>
      </w:r>
      <w:r w:rsidR="008A74EB" w:rsidRPr="00C9040A">
        <w:rPr>
          <w:rtl/>
        </w:rPr>
        <w:t xml:space="preserve"> في الوافي والوسائل والبحار والكافي ، ح 2281 والأمالي والخصال وتحف العقول : « ثمان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 الوقار » : السكون والحِلم. يقال : هو وَقور و</w:t>
      </w:r>
      <w:r w:rsidR="00EB22D5">
        <w:rPr>
          <w:rFonts w:hint="cs"/>
          <w:rtl/>
        </w:rPr>
        <w:t xml:space="preserve"> </w:t>
      </w:r>
      <w:r w:rsidR="00EB22D5">
        <w:rPr>
          <w:rtl/>
        </w:rPr>
        <w:t>وَقار ومتوقِّر. وقال العل</w:t>
      </w:r>
      <w:r w:rsidR="00EB22D5">
        <w:rPr>
          <w:rFonts w:hint="cs"/>
          <w:rtl/>
        </w:rPr>
        <w:t>ّ</w:t>
      </w:r>
      <w:r w:rsidR="00EB22D5">
        <w:rPr>
          <w:rtl/>
        </w:rPr>
        <w:t>ا</w:t>
      </w:r>
      <w:r w:rsidR="008A74EB" w:rsidRPr="00C9040A">
        <w:rPr>
          <w:rtl/>
        </w:rPr>
        <w:t xml:space="preserve">مة المجلسي : « أي لا يعرض له </w:t>
      </w:r>
      <w:r w:rsidR="00EB22D5">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عِنْدَ الْهَزَاهِزِ </w:t>
      </w:r>
      <w:r w:rsidR="006C577F" w:rsidRPr="006C577F">
        <w:rPr>
          <w:rStyle w:val="libFootnotenumChar"/>
          <w:rtl/>
        </w:rPr>
        <w:t>(1)</w:t>
      </w:r>
      <w:r w:rsidRPr="00C9040A">
        <w:rPr>
          <w:rtl/>
          <w:lang w:bidi="fa-IR"/>
        </w:rPr>
        <w:t xml:space="preserve">، صَبُوراً عِنْدَ الْبَلَاءِ ، شَكُوراً عِنْدَ الرَّخَاءِ ، قَانِعاً بِمَا رَزَقَهُ اللهُ ، لَايَظْلِمُ الْأَعْدَاءَ ، وَلَا يَتَحَامَلُ </w:t>
      </w:r>
      <w:r w:rsidR="006C577F" w:rsidRPr="006C577F">
        <w:rPr>
          <w:rStyle w:val="libFootnotenumChar"/>
          <w:rtl/>
        </w:rPr>
        <w:t>(2)</w:t>
      </w:r>
      <w:r w:rsidRPr="00C9040A">
        <w:rPr>
          <w:rtl/>
          <w:lang w:bidi="fa-IR"/>
        </w:rPr>
        <w:t xml:space="preserve"> لِلْأَصْدِقَاءِ </w:t>
      </w:r>
      <w:r w:rsidR="006C577F" w:rsidRPr="006C577F">
        <w:rPr>
          <w:rStyle w:val="libFootnotenumChar"/>
          <w:rtl/>
        </w:rPr>
        <w:t>(3)</w:t>
      </w:r>
      <w:r w:rsidRPr="00C9040A">
        <w:rPr>
          <w:rtl/>
          <w:lang w:bidi="fa-IR"/>
        </w:rPr>
        <w:t xml:space="preserve"> ، بَدَنُهُ مِنْهُ فِي تَعَبٍ ، وَالنَّاسُ مِنْهُ فِي رَاحَةٍ.</w:t>
      </w:r>
    </w:p>
    <w:p w:rsidR="008A74EB" w:rsidRPr="00C9040A" w:rsidRDefault="008A74EB" w:rsidP="008A74EB">
      <w:pPr>
        <w:pStyle w:val="libNormal"/>
        <w:rPr>
          <w:rtl/>
          <w:lang w:bidi="fa-IR"/>
        </w:rPr>
      </w:pPr>
      <w:r w:rsidRPr="00C9040A">
        <w:rPr>
          <w:rtl/>
          <w:lang w:bidi="fa-IR"/>
        </w:rPr>
        <w:t xml:space="preserve">إِنَّ الْعِلْمَ خَلِيلُ الْمُؤْمِنِ ، وَالْحِلْمَ وَزِيرُهُ ، وَالْعَقْلَ </w:t>
      </w:r>
      <w:r w:rsidR="006C577F" w:rsidRPr="006C577F">
        <w:rPr>
          <w:rStyle w:val="libFootnotenumChar"/>
          <w:rtl/>
        </w:rPr>
        <w:t>(4)</w:t>
      </w:r>
      <w:r w:rsidRPr="00C9040A">
        <w:rPr>
          <w:rtl/>
          <w:lang w:bidi="fa-IR"/>
        </w:rPr>
        <w:t xml:space="preserve"> أَمِيرُ جُنُودِهِ ، وَالرِّفْقَ أَخُوهُ ، وَالْبِرَّ </w:t>
      </w:r>
      <w:r w:rsidR="006C577F" w:rsidRPr="006C577F">
        <w:rPr>
          <w:rStyle w:val="libFootnotenumChar"/>
          <w:rtl/>
        </w:rPr>
        <w:t>(5)</w:t>
      </w:r>
      <w:r w:rsidR="00B866D3">
        <w:rPr>
          <w:rtl/>
          <w:lang w:bidi="fa-IR"/>
        </w:rPr>
        <w:t xml:space="preserve"> وَالِدُهُ</w:t>
      </w:r>
      <w:r w:rsidRPr="00C9040A">
        <w:rPr>
          <w:rtl/>
          <w:lang w:bidi="fa-IR"/>
        </w:rPr>
        <w:t>»</w:t>
      </w:r>
      <w:r>
        <w:rPr>
          <w:rtl/>
          <w:lang w:bidi="fa-IR"/>
        </w:rPr>
        <w:t>.</w:t>
      </w:r>
      <w:r w:rsidRPr="00C9040A">
        <w:rPr>
          <w:rtl/>
          <w:lang w:bidi="fa-IR"/>
        </w:rPr>
        <w:t xml:space="preserve"> </w:t>
      </w:r>
      <w:r w:rsidR="006C577F" w:rsidRPr="006C577F">
        <w:rPr>
          <w:rStyle w:val="libFootnotenumChar"/>
          <w:rtl/>
        </w:rPr>
        <w:t>(6)</w:t>
      </w:r>
    </w:p>
    <w:p w:rsidR="008A74EB" w:rsidRPr="00C9040A" w:rsidRDefault="008A74EB" w:rsidP="008A74EB">
      <w:pPr>
        <w:pStyle w:val="libNormal"/>
        <w:rPr>
          <w:rtl/>
          <w:lang w:bidi="fa-IR"/>
        </w:rPr>
      </w:pPr>
      <w:r w:rsidRPr="006E2E14">
        <w:rPr>
          <w:rtl/>
        </w:rPr>
        <w:t>1540</w:t>
      </w:r>
      <w:r w:rsidRPr="00261CB0">
        <w:rPr>
          <w:rStyle w:val="libBold2Char"/>
          <w:rtl/>
        </w:rPr>
        <w:t xml:space="preserve"> / 2.</w:t>
      </w:r>
      <w:r w:rsidRPr="00C9040A">
        <w:rPr>
          <w:rtl/>
          <w:lang w:bidi="fa-IR"/>
        </w:rPr>
        <w:t xml:space="preserve"> عَلِيُّ بْنُ إِبْرَاهِيمَ ، عَنْ أَبِيهِ ، عَنِ النَّوْفَلِيِّ ، عَنِ السَّكُونِيِّ :</w:t>
      </w:r>
    </w:p>
    <w:p w:rsidR="008A74EB" w:rsidRPr="00C9040A" w:rsidRDefault="008A74EB" w:rsidP="008A74EB">
      <w:pPr>
        <w:pStyle w:val="libNormal"/>
        <w:rPr>
          <w:rtl/>
          <w:lang w:bidi="fa-IR"/>
        </w:rPr>
      </w:pPr>
      <w:r w:rsidRPr="00C9040A">
        <w:rPr>
          <w:rtl/>
          <w:lang w:bidi="fa-IR"/>
        </w:rPr>
        <w:t xml:space="preserve">عَنْ أَبِي عَبْدِ اللهِ ، عَنْ أَبِيهِ </w:t>
      </w:r>
      <w:r w:rsidRPr="0003660B">
        <w:rPr>
          <w:rStyle w:val="libAlaemChar"/>
          <w:rtl/>
        </w:rPr>
        <w:t>عليهما‌السلام</w:t>
      </w:r>
      <w:r w:rsidRPr="00C9040A">
        <w:rPr>
          <w:rtl/>
          <w:lang w:bidi="fa-IR"/>
        </w:rPr>
        <w:t xml:space="preserve"> </w:t>
      </w:r>
      <w:r w:rsidR="006C577F" w:rsidRPr="006C577F">
        <w:rPr>
          <w:rStyle w:val="libFootnotenumChar"/>
          <w:rtl/>
        </w:rPr>
        <w:t>(7)</w:t>
      </w:r>
      <w:r w:rsidRPr="00C9040A">
        <w:rPr>
          <w:rtl/>
          <w:lang w:bidi="fa-IR"/>
        </w:rPr>
        <w:t xml:space="preserve"> ، قَالَ : « قَالَ أَمِيرُ الْمُؤْمِنِينَ صَلَوَاتُ اللهِ عَلَيْهِ :</w:t>
      </w:r>
      <w:r>
        <w:rPr>
          <w:rFonts w:hint="cs"/>
          <w:rtl/>
          <w:lang w:bidi="fa-IR"/>
        </w:rPr>
        <w:t xml:space="preserve"> </w:t>
      </w:r>
      <w:r w:rsidRPr="00C9040A">
        <w:rPr>
          <w:rtl/>
          <w:lang w:bidi="fa-IR"/>
        </w:rPr>
        <w:t xml:space="preserve">الْإِيمَانُ </w:t>
      </w:r>
      <w:r w:rsidR="006C577F" w:rsidRPr="006C577F">
        <w:rPr>
          <w:rStyle w:val="libFootnotenumChar"/>
          <w:rtl/>
        </w:rPr>
        <w:t>(8)</w:t>
      </w:r>
      <w:r w:rsidRPr="00C9040A">
        <w:rPr>
          <w:rtl/>
          <w:lang w:bidi="fa-IR"/>
        </w:rPr>
        <w:t xml:space="preserve"> لَهُ أَرْكَانٌ أَرْبَعَةٌ </w:t>
      </w:r>
      <w:r w:rsidR="006C577F" w:rsidRPr="006C577F">
        <w:rPr>
          <w:rStyle w:val="libFootnotenumChar"/>
          <w:rtl/>
        </w:rPr>
        <w:t>(9)</w:t>
      </w:r>
      <w:r w:rsidRPr="00C9040A">
        <w:rPr>
          <w:rtl/>
          <w:lang w:bidi="fa-IR"/>
        </w:rPr>
        <w:t xml:space="preserve"> : التَّوَكُّلُ عَلَى اللهِ ، وَتَفْوِيضُ الْأَمْرِ إِلَى اللهِ ، وَالرِّضَا بِقَضَاءِ‌</w:t>
      </w:r>
    </w:p>
    <w:p w:rsidR="008A74EB" w:rsidRPr="00C9040A" w:rsidRDefault="008A74EB" w:rsidP="008A74EB">
      <w:pPr>
        <w:pStyle w:val="libLine"/>
        <w:rPr>
          <w:rtl/>
          <w:lang w:bidi="fa-IR"/>
        </w:rPr>
      </w:pPr>
      <w:r w:rsidRPr="00C9040A">
        <w:rPr>
          <w:rtl/>
          <w:lang w:bidi="fa-IR"/>
        </w:rPr>
        <w:t>__________________</w:t>
      </w:r>
    </w:p>
    <w:p w:rsidR="008A74EB" w:rsidRPr="00C9040A" w:rsidRDefault="007D4592" w:rsidP="004A4E41">
      <w:pPr>
        <w:pStyle w:val="libFootnote0"/>
        <w:rPr>
          <w:rtl/>
          <w:lang w:bidi="fa-IR"/>
        </w:rPr>
      </w:pPr>
      <w:r>
        <w:rPr>
          <w:rFonts w:hint="cs"/>
          <w:rtl/>
        </w:rPr>
        <w:t xml:space="preserve">= </w:t>
      </w:r>
      <w:r w:rsidR="008A74EB" w:rsidRPr="00C9040A">
        <w:rPr>
          <w:rtl/>
        </w:rPr>
        <w:t>شكّ عند الفتن التي تصير سبباً لشكّ الناس وكفرهم »</w:t>
      </w:r>
      <w:r w:rsidR="008A74EB">
        <w:rPr>
          <w:rtl/>
        </w:rPr>
        <w:t>.</w:t>
      </w:r>
      <w:r w:rsidR="008A74EB" w:rsidRPr="00C9040A">
        <w:rPr>
          <w:rtl/>
        </w:rPr>
        <w:t xml:space="preserve"> </w:t>
      </w:r>
      <w:r w:rsidR="008A74EB" w:rsidRPr="00993B55">
        <w:rPr>
          <w:rStyle w:val="libFootnoteBoldChar"/>
          <w:rtl/>
        </w:rPr>
        <w:t>المفردات</w:t>
      </w:r>
      <w:r w:rsidR="008A74EB" w:rsidRPr="00C9040A">
        <w:rPr>
          <w:rtl/>
        </w:rPr>
        <w:t xml:space="preserve"> للراغب ، ص 880 ( وقر )</w:t>
      </w:r>
      <w:r w:rsidR="008A74EB">
        <w:rPr>
          <w:rtl/>
        </w:rPr>
        <w:t>.</w:t>
      </w:r>
    </w:p>
    <w:p w:rsidR="008A74EB" w:rsidRPr="00C9040A" w:rsidRDefault="006C577F" w:rsidP="004A4E41">
      <w:pPr>
        <w:pStyle w:val="libFootnote0"/>
        <w:rPr>
          <w:rtl/>
          <w:lang w:bidi="fa-IR"/>
        </w:rPr>
      </w:pPr>
      <w:r>
        <w:rPr>
          <w:rtl/>
        </w:rPr>
        <w:t>(1).</w:t>
      </w:r>
      <w:r w:rsidR="008A74EB" w:rsidRPr="00C9040A">
        <w:rPr>
          <w:rtl/>
        </w:rPr>
        <w:t xml:space="preserve"> « الهزاهز » : الفتن يهتزّ فيها الناس. </w:t>
      </w:r>
      <w:r w:rsidR="008A74EB" w:rsidRPr="00993B55">
        <w:rPr>
          <w:rStyle w:val="libFootnoteBoldChar"/>
          <w:rtl/>
        </w:rPr>
        <w:t>المصباح المنير</w:t>
      </w:r>
      <w:r w:rsidR="008A74EB" w:rsidRPr="00C9040A">
        <w:rPr>
          <w:rtl/>
        </w:rPr>
        <w:t xml:space="preserve"> ، ص 637 ( هزز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تحامل في الأمر ، وبه : تكلّفه على مشقّة ، وعليه : كلّفه ما لا يطيق. </w:t>
      </w:r>
      <w:r w:rsidR="008A74EB" w:rsidRPr="00993B55">
        <w:rPr>
          <w:rStyle w:val="libFootnoteBoldChar"/>
          <w:rtl/>
        </w:rPr>
        <w:t>القاموس المحيط</w:t>
      </w:r>
      <w:r w:rsidR="008A74EB" w:rsidRPr="00C9040A">
        <w:rPr>
          <w:rtl/>
        </w:rPr>
        <w:t xml:space="preserve"> ، ج 2 ، ص 1306 ( حمل )</w:t>
      </w:r>
      <w:r w:rsidR="008A74EB">
        <w:rPr>
          <w:rtl/>
        </w:rPr>
        <w:t>.</w:t>
      </w:r>
      <w:r w:rsidR="008A74EB" w:rsidRPr="00C9040A">
        <w:rPr>
          <w:rtl/>
        </w:rPr>
        <w:t xml:space="preserve"> وتحامل عليه : أي مال. </w:t>
      </w:r>
      <w:r w:rsidR="008A74EB" w:rsidRPr="00993B55">
        <w:rPr>
          <w:rStyle w:val="libFootnoteBoldChar"/>
          <w:rtl/>
        </w:rPr>
        <w:t>الصحاح</w:t>
      </w:r>
      <w:r w:rsidR="008A74EB" w:rsidRPr="00C9040A">
        <w:rPr>
          <w:rtl/>
        </w:rPr>
        <w:t xml:space="preserve"> ، ج 4 ، ص 1677 ( حمل )</w:t>
      </w:r>
      <w:r w:rsidR="008A74EB">
        <w:rPr>
          <w:rtl/>
        </w:rPr>
        <w:t>.</w:t>
      </w:r>
      <w:r w:rsidR="008A74EB" w:rsidRPr="00C9040A">
        <w:rPr>
          <w:rtl/>
        </w:rPr>
        <w:t xml:space="preserve"> والمعنى على الأوّل : أنّه لا يتحمّل الوزر لأجل الأصدقاء ، أو لا يتكلّف لهم. وقيل غير ذلك. وعلى الأخير يكون المعنى : لا يميل على الناس لأجلهم ، كأن يشهد لهم بالزور ، أو يكتم الشهادة لرعايتهم ، أو يسعى لهم في حرام. راجع : </w:t>
      </w:r>
      <w:r w:rsidR="008A74EB" w:rsidRPr="00993B55">
        <w:rPr>
          <w:rStyle w:val="libFootnoteBoldChar"/>
          <w:rtl/>
        </w:rPr>
        <w:t>شرح المازندراني</w:t>
      </w:r>
      <w:r w:rsidR="008A74EB" w:rsidRPr="00C9040A">
        <w:rPr>
          <w:rtl/>
        </w:rPr>
        <w:t xml:space="preserve"> ، ج 8 ، ص 140 ؛ </w:t>
      </w:r>
      <w:r w:rsidR="008A74EB" w:rsidRPr="00993B55">
        <w:rPr>
          <w:rStyle w:val="libFootnoteBoldChar"/>
          <w:rtl/>
        </w:rPr>
        <w:t>الوافي</w:t>
      </w:r>
      <w:r w:rsidR="008A74EB" w:rsidRPr="00C9040A">
        <w:rPr>
          <w:rtl/>
        </w:rPr>
        <w:t xml:space="preserve"> ، ج 4 ، ص 158 ؛ </w:t>
      </w:r>
      <w:r w:rsidR="008A74EB" w:rsidRPr="00993B55">
        <w:rPr>
          <w:rStyle w:val="libFootnoteBoldChar"/>
          <w:rtl/>
        </w:rPr>
        <w:t>مرآة العقول</w:t>
      </w:r>
      <w:r w:rsidR="008A74EB" w:rsidRPr="00C9040A">
        <w:rPr>
          <w:rtl/>
        </w:rPr>
        <w:t xml:space="preserve"> ، ج 7 ، ص 292.</w:t>
      </w:r>
    </w:p>
    <w:p w:rsidR="008A74EB" w:rsidRPr="00C9040A" w:rsidRDefault="006C577F" w:rsidP="004A4E41">
      <w:pPr>
        <w:pStyle w:val="libFootnote0"/>
        <w:rPr>
          <w:rtl/>
          <w:lang w:bidi="fa-IR"/>
        </w:rPr>
      </w:pPr>
      <w:r>
        <w:rPr>
          <w:rtl/>
        </w:rPr>
        <w:t>(3).</w:t>
      </w:r>
      <w:r w:rsidR="008A74EB" w:rsidRPr="00C9040A">
        <w:rPr>
          <w:rtl/>
        </w:rPr>
        <w:t xml:space="preserve"> في « بر » : + « و</w:t>
      </w:r>
      <w:r w:rsidR="008A74EB">
        <w:rPr>
          <w:rFonts w:hint="cs"/>
          <w:rtl/>
        </w:rPr>
        <w:t xml:space="preserve"> </w:t>
      </w:r>
      <w:r w:rsidR="008A74EB" w:rsidRPr="00C9040A">
        <w:rPr>
          <w:rtl/>
        </w:rPr>
        <w:t>»</w:t>
      </w:r>
      <w:r w:rsidR="008A74EB">
        <w:rPr>
          <w:rtl/>
        </w:rPr>
        <w:t>.</w:t>
      </w:r>
      <w:r w:rsidR="008A74EB" w:rsidRPr="00C9040A">
        <w:rPr>
          <w:rtl/>
        </w:rPr>
        <w:t xml:space="preserve"> وفي تحف العقول : « لا يتحمّل الأصدقاء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الوافي والكافي ، ح 2281 والأمالي والخصال وتحف العقول : « الصبر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الكافي ، ح 2281 والأمالي والخصال وتحف العقول : « اللين »</w:t>
      </w:r>
      <w:r w:rsidR="008A74EB">
        <w:rPr>
          <w:rtl/>
        </w:rPr>
        <w:t>.</w:t>
      </w:r>
      <w:r w:rsidR="008A74EB" w:rsidRPr="00C9040A">
        <w:rPr>
          <w:rtl/>
        </w:rPr>
        <w:t xml:space="preserve"> وفي الوافي : « البرّ</w:t>
      </w:r>
      <w:r w:rsidR="008A74EB">
        <w:rPr>
          <w:rtl/>
        </w:rPr>
        <w:t xml:space="preserve"> </w:t>
      </w:r>
      <w:r w:rsidR="0084262C">
        <w:rPr>
          <w:rtl/>
        </w:rPr>
        <w:t>-</w:t>
      </w:r>
      <w:r w:rsidR="008A74EB">
        <w:rPr>
          <w:rtl/>
        </w:rPr>
        <w:t xml:space="preserve"> </w:t>
      </w:r>
      <w:r w:rsidR="008A74EB" w:rsidRPr="00C9040A">
        <w:rPr>
          <w:rtl/>
        </w:rPr>
        <w:t>خ ل</w:t>
      </w:r>
      <w:r w:rsidR="008A74EB">
        <w:rPr>
          <w:rtl/>
        </w:rPr>
        <w:t xml:space="preserve"> </w:t>
      </w:r>
      <w:r w:rsidR="0084262C">
        <w:rPr>
          <w:rtl/>
        </w:rPr>
        <w:t>-</w:t>
      </w:r>
      <w:r w:rsidR="008A74EB">
        <w:rPr>
          <w:rtl/>
        </w:rPr>
        <w:t xml:space="preserve"> </w:t>
      </w:r>
      <w:r w:rsidR="008A74EB" w:rsidRPr="00C9040A">
        <w:rPr>
          <w:rtl/>
        </w:rPr>
        <w:t>اللين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34021D">
        <w:rPr>
          <w:rStyle w:val="libFootnoteBoldChar"/>
          <w:rtl/>
        </w:rPr>
        <w:t>الأمالي للصدوق</w:t>
      </w:r>
      <w:r w:rsidR="008A74EB" w:rsidRPr="00C9040A">
        <w:rPr>
          <w:rtl/>
        </w:rPr>
        <w:t xml:space="preserve"> ، ص 592 ، المجلس 86 ، ح 17 ؛ و</w:t>
      </w:r>
      <w:r w:rsidR="008A74EB" w:rsidRPr="00993B55">
        <w:rPr>
          <w:rStyle w:val="libFootnoteBoldChar"/>
          <w:rtl/>
        </w:rPr>
        <w:t xml:space="preserve">الخصال </w:t>
      </w:r>
      <w:r w:rsidR="008A74EB" w:rsidRPr="00C9040A">
        <w:rPr>
          <w:rtl/>
        </w:rPr>
        <w:t xml:space="preserve">، ص 406 ، باب الثمانية ، ح 1 ، بسندهما عن أحمد بن محمّد بن عيسى [ في الأمالي </w:t>
      </w:r>
      <w:r w:rsidR="008A74EB">
        <w:rPr>
          <w:rtl/>
        </w:rPr>
        <w:t xml:space="preserve">: </w:t>
      </w:r>
      <w:r w:rsidR="0084262C">
        <w:rPr>
          <w:rtl/>
        </w:rPr>
        <w:t>-</w:t>
      </w:r>
      <w:r w:rsidR="008A74EB" w:rsidRPr="00C9040A">
        <w:rPr>
          <w:rtl/>
        </w:rPr>
        <w:t xml:space="preserve"> « بن عيسى ] ، عن الحسن بن محبوب ، عن جميل بن صالح ، عن عبدالله بن غالب ، عن أبي عبدالله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الكافي</w:t>
      </w:r>
      <w:r w:rsidR="008A74EB" w:rsidRPr="00C9040A">
        <w:rPr>
          <w:rtl/>
        </w:rPr>
        <w:t xml:space="preserve"> ، كتاب الإيمان والكفر ، باب المؤمن وعلاماته وصفاته ، ح 2281 ، بسنده عن الحسن بن محبوب ، عن جميل بن صالح ، عن عبدالله بن غالب ، عن أبي عبدالله </w:t>
      </w:r>
      <w:r w:rsidR="00117575" w:rsidRPr="00117575">
        <w:rPr>
          <w:rStyle w:val="libFootnoteAlaemChar"/>
          <w:rtl/>
        </w:rPr>
        <w:t xml:space="preserve">عليه‌السلام </w:t>
      </w:r>
      <w:r w:rsidR="008A74EB" w:rsidRPr="00C9040A">
        <w:rPr>
          <w:rtl/>
        </w:rPr>
        <w:t xml:space="preserve">. وفي </w:t>
      </w:r>
      <w:r w:rsidR="008A74EB" w:rsidRPr="00993B55">
        <w:rPr>
          <w:rStyle w:val="libFootnoteBoldChar"/>
          <w:rtl/>
        </w:rPr>
        <w:t>الفقيه</w:t>
      </w:r>
      <w:r w:rsidR="008A74EB" w:rsidRPr="00C9040A">
        <w:rPr>
          <w:rtl/>
        </w:rPr>
        <w:t xml:space="preserve"> ، ج 4 ، ص 352 ، ضمن الحديث الطويل 5762 ؛ و</w:t>
      </w:r>
      <w:r w:rsidR="008A74EB" w:rsidRPr="00993B55">
        <w:rPr>
          <w:rStyle w:val="libFootnoteBoldChar"/>
          <w:rtl/>
        </w:rPr>
        <w:t>الخصال</w:t>
      </w:r>
      <w:r w:rsidR="008A74EB" w:rsidRPr="00C9040A">
        <w:rPr>
          <w:rtl/>
        </w:rPr>
        <w:t xml:space="preserve"> ، ص 406 ، باب الثمانية ، ح 2 ، بسند آخر عن أبي عبد الله ، عن آبائه </w:t>
      </w:r>
      <w:r w:rsidR="00117575" w:rsidRPr="00117575">
        <w:rPr>
          <w:rStyle w:val="libFootnoteAlaemChar"/>
          <w:rtl/>
        </w:rPr>
        <w:t>عليهم‌السلام</w:t>
      </w:r>
      <w:r w:rsidR="008A74EB" w:rsidRPr="00C9040A">
        <w:rPr>
          <w:rtl/>
        </w:rPr>
        <w:t xml:space="preserve"> عن النبيّ </w:t>
      </w:r>
      <w:r w:rsidR="004A4E41" w:rsidRPr="00B866D3">
        <w:rPr>
          <w:rStyle w:val="libFootnoteAlaemChar"/>
          <w:rtl/>
        </w:rPr>
        <w:t>صلى‌الله‌عليه‌وآله</w:t>
      </w:r>
      <w:r w:rsidR="008A74EB" w:rsidRPr="00C9040A">
        <w:rPr>
          <w:rtl/>
        </w:rPr>
        <w:t xml:space="preserve"> ، إلى قوله : « والناس منه في راحة » مع اختلاف يسير</w:t>
      </w:r>
      <w:r w:rsidR="000E2829">
        <w:rPr>
          <w:rFonts w:hint="cs"/>
          <w:rtl/>
        </w:rPr>
        <w:t>.</w:t>
      </w:r>
      <w:r w:rsidR="008A74EB" w:rsidRPr="00993B55">
        <w:rPr>
          <w:rStyle w:val="libFootnoteBoldChar"/>
          <w:rtl/>
        </w:rPr>
        <w:t>الوافي</w:t>
      </w:r>
      <w:r w:rsidR="008A74EB" w:rsidRPr="00C9040A">
        <w:rPr>
          <w:rtl/>
        </w:rPr>
        <w:t xml:space="preserve"> ، ج 4 ، ص 158 ، ح 1748 ؛ </w:t>
      </w:r>
      <w:r w:rsidR="008A74EB" w:rsidRPr="00993B55">
        <w:rPr>
          <w:rStyle w:val="libFootnoteBoldChar"/>
          <w:rtl/>
        </w:rPr>
        <w:t>الوسائل</w:t>
      </w:r>
      <w:r w:rsidR="008A74EB" w:rsidRPr="00C9040A">
        <w:rPr>
          <w:rtl/>
        </w:rPr>
        <w:t xml:space="preserve"> ، ج 15 ، ص 185 ، ح 20235 ؛ </w:t>
      </w:r>
      <w:r w:rsidR="008A74EB" w:rsidRPr="00993B55">
        <w:rPr>
          <w:rStyle w:val="libFootnoteBoldChar"/>
          <w:rtl/>
        </w:rPr>
        <w:t>البحار</w:t>
      </w:r>
      <w:r w:rsidR="008A74EB" w:rsidRPr="00C9040A">
        <w:rPr>
          <w:rtl/>
        </w:rPr>
        <w:t xml:space="preserve"> ، ج 67 ، ص 268 ، ح 1.</w:t>
      </w:r>
    </w:p>
    <w:p w:rsidR="008A74EB" w:rsidRPr="00C9040A" w:rsidRDefault="006C577F" w:rsidP="004A4E41">
      <w:pPr>
        <w:pStyle w:val="libFootnote0"/>
        <w:rPr>
          <w:rtl/>
          <w:lang w:bidi="fa-IR"/>
        </w:rPr>
      </w:pPr>
      <w:r>
        <w:rPr>
          <w:rtl/>
        </w:rPr>
        <w:t>(7).</w:t>
      </w:r>
      <w:r w:rsidR="008A74EB" w:rsidRPr="00C9040A">
        <w:rPr>
          <w:rtl/>
        </w:rPr>
        <w:t xml:space="preserve"> في الكافي ، ح 1564 والوسائل </w:t>
      </w:r>
      <w:r w:rsidR="008A74EB">
        <w:rPr>
          <w:rtl/>
        </w:rPr>
        <w:t xml:space="preserve">: </w:t>
      </w:r>
      <w:r w:rsidR="0084262C">
        <w:rPr>
          <w:rtl/>
        </w:rPr>
        <w:t>-</w:t>
      </w:r>
      <w:r w:rsidR="008A74EB" w:rsidRPr="00C9040A">
        <w:rPr>
          <w:rtl/>
        </w:rPr>
        <w:t xml:space="preserve"> « عن أبيه </w:t>
      </w:r>
      <w:r w:rsidR="00117575" w:rsidRPr="00117575">
        <w:rPr>
          <w:rStyle w:val="libFootnoteAlaemChar"/>
          <w:rtl/>
        </w:rPr>
        <w:t>عليهما‌السلام</w:t>
      </w:r>
      <w:r w:rsidR="008A74EB" w:rsidRPr="00C9040A">
        <w:rPr>
          <w:rtl/>
        </w:rPr>
        <w:t xml:space="preserve">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الوسائل : « الإسلام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الكافي ح 1564 : « أربعة أركان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اللهِ </w:t>
      </w:r>
      <w:r w:rsidR="006C577F" w:rsidRPr="006C577F">
        <w:rPr>
          <w:rStyle w:val="libFootnotenumChar"/>
          <w:rtl/>
        </w:rPr>
        <w:t>(1)</w:t>
      </w:r>
      <w:r w:rsidRPr="00C9040A">
        <w:rPr>
          <w:rtl/>
          <w:lang w:bidi="fa-IR"/>
        </w:rPr>
        <w:t>، وَالتَّسْلِيمُ لِأَمْرِ اللهِ عَزَّ وَجَلَّ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6E2E14">
        <w:rPr>
          <w:rtl/>
        </w:rPr>
        <w:t>1541</w:t>
      </w:r>
      <w:r w:rsidRPr="00261CB0">
        <w:rPr>
          <w:rStyle w:val="libBold2Char"/>
          <w:rtl/>
        </w:rPr>
        <w:t xml:space="preserve"> / 3.</w:t>
      </w:r>
      <w:r w:rsidRPr="00C9040A">
        <w:rPr>
          <w:rtl/>
          <w:lang w:bidi="fa-IR"/>
        </w:rPr>
        <w:t xml:space="preserve"> عِدَّةٌ مِنْ أَصْحَابِنَا ، عَنْ أَحْمَدَ بْنِ مُحَمَّدِ بْنِ خَالِدٍ ، عَنْ أَبِيهِ ، عَمَّنْ ذَكَرَهُ ، عَنْ مُحَمَّدِ بْنِ </w:t>
      </w:r>
      <w:r w:rsidR="006C577F" w:rsidRPr="006C577F">
        <w:rPr>
          <w:rStyle w:val="libFootnotenumChar"/>
          <w:rtl/>
        </w:rPr>
        <w:t>(3)</w:t>
      </w:r>
      <w:r w:rsidRPr="00C9040A">
        <w:rPr>
          <w:rtl/>
          <w:lang w:bidi="fa-IR"/>
        </w:rPr>
        <w:t xml:space="preserve"> عَبْدِ الرَّحْمنِ بْنِ أَبِي لَيْلى ، عَنْ أَبِيهِ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إِنَّكُمْ لَاتَكُونُونَ </w:t>
      </w:r>
      <w:r w:rsidR="006C577F" w:rsidRPr="006C577F">
        <w:rPr>
          <w:rStyle w:val="libFootnotenumChar"/>
          <w:rtl/>
        </w:rPr>
        <w:t>(4)</w:t>
      </w:r>
      <w:r w:rsidRPr="00C9040A">
        <w:rPr>
          <w:rtl/>
          <w:lang w:bidi="fa-IR"/>
        </w:rPr>
        <w:t xml:space="preserve"> صَالِحِينَ حَتّى تَعْرِفُوا ، وَلَا تَعْرِفُونَ </w:t>
      </w:r>
      <w:r w:rsidR="006C577F" w:rsidRPr="006C577F">
        <w:rPr>
          <w:rStyle w:val="libFootnotenumChar"/>
          <w:rtl/>
        </w:rPr>
        <w:t>(5)</w:t>
      </w:r>
      <w:r w:rsidRPr="00C9040A">
        <w:rPr>
          <w:rtl/>
          <w:lang w:bidi="fa-IR"/>
        </w:rPr>
        <w:t xml:space="preserve"> حَتّى تُصَدِّقُوا ، وَلَا تُصَدِّقُونَ </w:t>
      </w:r>
      <w:r w:rsidR="006C577F" w:rsidRPr="006C577F">
        <w:rPr>
          <w:rStyle w:val="libFootnotenumChar"/>
          <w:rtl/>
        </w:rPr>
        <w:t>(6)</w:t>
      </w:r>
      <w:r w:rsidRPr="00C9040A">
        <w:rPr>
          <w:rtl/>
          <w:lang w:bidi="fa-IR"/>
        </w:rPr>
        <w:t>حَتّى تُسَلِّمُوا أَبْوَاباً أَرْبَعَ</w:t>
      </w:r>
      <w:r w:rsidR="00E81072">
        <w:rPr>
          <w:rtl/>
          <w:lang w:bidi="fa-IR"/>
        </w:rPr>
        <w:t>ةً لَايَصْلُحُ أَوَّلُهَا إِل</w:t>
      </w:r>
      <w:r w:rsidR="00E81072">
        <w:rPr>
          <w:rFonts w:hint="cs"/>
          <w:rtl/>
          <w:lang w:bidi="fa-IR"/>
        </w:rPr>
        <w:t>َّ</w:t>
      </w:r>
      <w:r w:rsidR="00E81072">
        <w:rPr>
          <w:rtl/>
          <w:lang w:bidi="fa-IR"/>
        </w:rPr>
        <w:t>ا</w:t>
      </w:r>
      <w:r w:rsidRPr="00C9040A">
        <w:rPr>
          <w:rtl/>
          <w:lang w:bidi="fa-IR"/>
        </w:rPr>
        <w:t xml:space="preserve"> بِآخِرِهَا </w:t>
      </w:r>
      <w:r w:rsidR="006C577F" w:rsidRPr="006C577F">
        <w:rPr>
          <w:rStyle w:val="libFootnotenumChar"/>
          <w:rtl/>
        </w:rPr>
        <w:t>(7)</w:t>
      </w:r>
      <w:r w:rsidRPr="00C9040A">
        <w:rPr>
          <w:rtl/>
          <w:lang w:bidi="fa-IR"/>
        </w:rPr>
        <w:t xml:space="preserve"> ، ضَلَّ أَصْحَابُ الثَّلَاثَةِ وَتَاهُوا تَيْهاً بَعِيداً ، إِنَّ اللهَ</w:t>
      </w:r>
      <w:r>
        <w:rPr>
          <w:rtl/>
          <w:lang w:bidi="fa-IR"/>
        </w:rPr>
        <w:t xml:space="preserve"> </w:t>
      </w:r>
      <w:r w:rsidR="0084262C">
        <w:rPr>
          <w:rtl/>
          <w:lang w:bidi="fa-IR"/>
        </w:rPr>
        <w:t>-</w:t>
      </w:r>
      <w:r>
        <w:rPr>
          <w:rtl/>
          <w:lang w:bidi="fa-IR"/>
        </w:rPr>
        <w:t xml:space="preserve"> </w:t>
      </w:r>
      <w:r w:rsidRPr="00C9040A">
        <w:rPr>
          <w:rtl/>
          <w:lang w:bidi="fa-IR"/>
        </w:rPr>
        <w:t>تَبَارَكَ وَتَعَالى</w:t>
      </w:r>
      <w:r>
        <w:rPr>
          <w:rtl/>
          <w:lang w:bidi="fa-IR"/>
        </w:rPr>
        <w:t xml:space="preserve"> </w:t>
      </w:r>
      <w:r w:rsidR="0084262C">
        <w:rPr>
          <w:rtl/>
          <w:lang w:bidi="fa-IR"/>
        </w:rPr>
        <w:t>-</w:t>
      </w:r>
      <w:r>
        <w:rPr>
          <w:rtl/>
          <w:lang w:bidi="fa-IR"/>
        </w:rPr>
        <w:t xml:space="preserve"> </w:t>
      </w:r>
      <w:r w:rsidR="00E81072">
        <w:rPr>
          <w:rtl/>
          <w:lang w:bidi="fa-IR"/>
        </w:rPr>
        <w:t>لَايَقْبَلُ إِل</w:t>
      </w:r>
      <w:r w:rsidR="00E81072">
        <w:rPr>
          <w:rFonts w:hint="cs"/>
          <w:rtl/>
          <w:lang w:bidi="fa-IR"/>
        </w:rPr>
        <w:t>َّ</w:t>
      </w:r>
      <w:r w:rsidR="00E81072">
        <w:rPr>
          <w:rtl/>
          <w:lang w:bidi="fa-IR"/>
        </w:rPr>
        <w:t>ا</w:t>
      </w:r>
      <w:r w:rsidRPr="00C9040A">
        <w:rPr>
          <w:rtl/>
          <w:lang w:bidi="fa-IR"/>
        </w:rPr>
        <w:t xml:space="preserve"> الْعَمَلَ الصَّالِحَ ، وَلَا يَتَقَبَّلُ </w:t>
      </w:r>
      <w:r w:rsidR="006C577F" w:rsidRPr="006C577F">
        <w:rPr>
          <w:rStyle w:val="libFootnotenumChar"/>
          <w:rtl/>
        </w:rPr>
        <w:t>(8)</w:t>
      </w:r>
      <w:r w:rsidRPr="00C9040A">
        <w:rPr>
          <w:rtl/>
          <w:lang w:bidi="fa-IR"/>
        </w:rPr>
        <w:t xml:space="preserve"> اللهُ </w:t>
      </w:r>
      <w:r w:rsidR="006C577F" w:rsidRPr="006C577F">
        <w:rPr>
          <w:rStyle w:val="libFootnotenumChar"/>
          <w:rtl/>
        </w:rPr>
        <w:t>(9)</w:t>
      </w:r>
      <w:r w:rsidR="00E81072">
        <w:rPr>
          <w:rtl/>
          <w:lang w:bidi="fa-IR"/>
        </w:rPr>
        <w:t xml:space="preserve"> إِل</w:t>
      </w:r>
      <w:r w:rsidR="00E81072">
        <w:rPr>
          <w:rFonts w:hint="cs"/>
          <w:rtl/>
          <w:lang w:bidi="fa-IR"/>
        </w:rPr>
        <w:t>َّ</w:t>
      </w:r>
      <w:r w:rsidR="00E81072">
        <w:rPr>
          <w:rtl/>
          <w:lang w:bidi="fa-IR"/>
        </w:rPr>
        <w:t>ا</w:t>
      </w:r>
      <w:r w:rsidRPr="00C9040A">
        <w:rPr>
          <w:rtl/>
          <w:lang w:bidi="fa-IR"/>
        </w:rPr>
        <w:t xml:space="preserve"> بِالْوَفَاءِ </w:t>
      </w:r>
      <w:r w:rsidR="006C577F" w:rsidRPr="006C577F">
        <w:rPr>
          <w:rStyle w:val="libFootnotenumChar"/>
          <w:rtl/>
        </w:rPr>
        <w:t>(10)</w:t>
      </w:r>
      <w:r w:rsidRPr="00C9040A">
        <w:rPr>
          <w:rtl/>
          <w:lang w:bidi="fa-IR"/>
        </w:rPr>
        <w:t xml:space="preserve"> بِالشُّرُوطِ وَالْعُهُودِ ، وَمَنْ </w:t>
      </w:r>
      <w:r w:rsidR="006C577F" w:rsidRPr="006C577F">
        <w:rPr>
          <w:rStyle w:val="libFootnotenumChar"/>
          <w:rtl/>
        </w:rPr>
        <w:t>(11)</w:t>
      </w:r>
      <w:r w:rsidRPr="00C9040A">
        <w:rPr>
          <w:rtl/>
          <w:lang w:bidi="fa-IR"/>
        </w:rPr>
        <w:t xml:space="preserve"> وَفَى اللهَ </w:t>
      </w:r>
      <w:r w:rsidR="006C577F" w:rsidRPr="006C577F">
        <w:rPr>
          <w:rStyle w:val="libFootnotenumChar"/>
          <w:rtl/>
        </w:rPr>
        <w:t>(12)</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الكافي ، ح 1564 : « الرضا بقضاء الله ، والتوكّل على الله ، وتفويض الأمر إلى الله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الكافي</w:t>
      </w:r>
      <w:r w:rsidR="008A74EB" w:rsidRPr="00C9040A">
        <w:rPr>
          <w:rtl/>
        </w:rPr>
        <w:t xml:space="preserve"> ، كتاب الإيمان والكفر ، باب المكارم ، ح 1564. </w:t>
      </w:r>
      <w:r w:rsidR="008A74EB" w:rsidRPr="00993B55">
        <w:rPr>
          <w:rStyle w:val="libFootnoteBoldChar"/>
          <w:rtl/>
        </w:rPr>
        <w:t>الجعفريّات</w:t>
      </w:r>
      <w:r w:rsidR="008A74EB" w:rsidRPr="00C9040A">
        <w:rPr>
          <w:rtl/>
        </w:rPr>
        <w:t xml:space="preserve"> ، ص 232 ، بسند آخر عن أبي عبد الله ، عن آبائه ، عن أمير المؤمنين </w:t>
      </w:r>
      <w:r w:rsidR="00117575" w:rsidRPr="00117575">
        <w:rPr>
          <w:rStyle w:val="libFootnoteAlaemChar"/>
          <w:rtl/>
        </w:rPr>
        <w:t>عليهم‌السلام</w:t>
      </w:r>
      <w:r w:rsidR="008A74EB" w:rsidRPr="00C9040A">
        <w:rPr>
          <w:rtl/>
        </w:rPr>
        <w:t xml:space="preserve"> ؛ </w:t>
      </w:r>
      <w:r w:rsidR="008A74EB" w:rsidRPr="00993B55">
        <w:rPr>
          <w:rStyle w:val="libFootnoteBoldChar"/>
          <w:rtl/>
        </w:rPr>
        <w:t>قرب الإسناد</w:t>
      </w:r>
      <w:r w:rsidR="008A74EB" w:rsidRPr="00C9040A">
        <w:rPr>
          <w:rtl/>
        </w:rPr>
        <w:t xml:space="preserve"> ، ص 354 ، ح 1268 ، بسند آخر عن الرضا </w:t>
      </w:r>
      <w:r w:rsidR="00117575" w:rsidRPr="00117575">
        <w:rPr>
          <w:rStyle w:val="libFootnoteAlaemChar"/>
          <w:rtl/>
        </w:rPr>
        <w:t>عليه‌السلام</w:t>
      </w:r>
      <w:r w:rsidR="008A74EB" w:rsidRPr="00C9040A">
        <w:rPr>
          <w:rtl/>
        </w:rPr>
        <w:t xml:space="preserve"> ، من دون الإسناد إلى أمير المؤمنين </w:t>
      </w:r>
      <w:r w:rsidR="00117575" w:rsidRPr="00117575">
        <w:rPr>
          <w:rStyle w:val="libFootnoteAlaemChar"/>
          <w:rtl/>
        </w:rPr>
        <w:t xml:space="preserve">عليه‌السلام </w:t>
      </w:r>
      <w:r w:rsidR="008A74EB" w:rsidRPr="00C9040A">
        <w:rPr>
          <w:rtl/>
        </w:rPr>
        <w:t xml:space="preserve"> ؛ و</w:t>
      </w:r>
      <w:r w:rsidR="008A74EB" w:rsidRPr="00993B55">
        <w:rPr>
          <w:rStyle w:val="libFootnoteBoldChar"/>
          <w:rtl/>
        </w:rPr>
        <w:t>تحف العقول</w:t>
      </w:r>
      <w:r w:rsidR="008A74EB" w:rsidRPr="00C9040A">
        <w:rPr>
          <w:rtl/>
        </w:rPr>
        <w:t xml:space="preserve"> ، ص 232 ، عن أمير المؤمنين </w:t>
      </w:r>
      <w:r w:rsidR="00117575" w:rsidRPr="00117575">
        <w:rPr>
          <w:rStyle w:val="libFootnoteAlaemChar"/>
          <w:rtl/>
        </w:rPr>
        <w:t xml:space="preserve">عليه‌السلام </w:t>
      </w:r>
      <w:r w:rsidR="008A74EB" w:rsidRPr="00C9040A">
        <w:rPr>
          <w:rtl/>
        </w:rPr>
        <w:t xml:space="preserve"> ، وفي كلّها مع اختلاف يسير ، وفي غير « </w:t>
      </w:r>
      <w:r w:rsidR="008A74EB" w:rsidRPr="00993B55">
        <w:rPr>
          <w:rStyle w:val="libFootnoteBoldChar"/>
          <w:rtl/>
        </w:rPr>
        <w:t>الكافي</w:t>
      </w:r>
      <w:r w:rsidR="008A74EB" w:rsidRPr="00C9040A">
        <w:rPr>
          <w:rtl/>
        </w:rPr>
        <w:t xml:space="preserve"> » مع زيادة في آخره</w:t>
      </w:r>
      <w:r w:rsidR="00E81072">
        <w:rPr>
          <w:rFonts w:hint="cs"/>
          <w:rtl/>
        </w:rPr>
        <w:t>.</w:t>
      </w:r>
      <w:r w:rsidR="008A74EB" w:rsidRPr="00993B55">
        <w:rPr>
          <w:rStyle w:val="libFootnoteBoldChar"/>
          <w:rtl/>
        </w:rPr>
        <w:t>الوافي</w:t>
      </w:r>
      <w:r w:rsidR="008A74EB" w:rsidRPr="00C9040A">
        <w:rPr>
          <w:rtl/>
        </w:rPr>
        <w:t xml:space="preserve"> ، ج 4 ، ص 135 ، ح 1728 ؛ </w:t>
      </w:r>
      <w:r w:rsidR="008A74EB" w:rsidRPr="00993B55">
        <w:rPr>
          <w:rStyle w:val="libFootnoteBoldChar"/>
          <w:rtl/>
        </w:rPr>
        <w:t>الوسائل</w:t>
      </w:r>
      <w:r w:rsidR="008A74EB" w:rsidRPr="00C9040A">
        <w:rPr>
          <w:rtl/>
        </w:rPr>
        <w:t xml:space="preserve"> ، ج 15 ، ص 185 ، ح 20236 ؛ </w:t>
      </w:r>
      <w:r w:rsidR="008A74EB" w:rsidRPr="00993B55">
        <w:rPr>
          <w:rStyle w:val="libFootnoteBoldChar"/>
          <w:rtl/>
        </w:rPr>
        <w:t>البحار</w:t>
      </w:r>
      <w:r w:rsidR="008A74EB" w:rsidRPr="00C9040A">
        <w:rPr>
          <w:rtl/>
        </w:rPr>
        <w:t xml:space="preserve"> ، ج 68 ، ص 340 ، ح 12.</w:t>
      </w:r>
    </w:p>
    <w:p w:rsidR="008A74EB" w:rsidRPr="00C9040A" w:rsidRDefault="006C577F" w:rsidP="004A4E41">
      <w:pPr>
        <w:pStyle w:val="libFootnote0"/>
        <w:rPr>
          <w:rtl/>
          <w:lang w:bidi="fa-IR"/>
        </w:rPr>
      </w:pPr>
      <w:r>
        <w:rPr>
          <w:rtl/>
        </w:rPr>
        <w:t>(3).</w:t>
      </w:r>
      <w:r w:rsidR="008A74EB" w:rsidRPr="00C9040A">
        <w:rPr>
          <w:rtl/>
        </w:rPr>
        <w:t xml:space="preserve"> في « ص ، ف » : « محمّد بن محمّد ، عن عبد الرحمن بن أبي ليلى »</w:t>
      </w:r>
      <w:r w:rsidR="008A74EB">
        <w:rPr>
          <w:rtl/>
        </w:rPr>
        <w:t>.</w:t>
      </w:r>
      <w:r w:rsidR="008A74EB" w:rsidRPr="00C9040A">
        <w:rPr>
          <w:rtl/>
        </w:rPr>
        <w:t xml:space="preserve"> وهو سهو ، فقد تكرّرت رواية أحمد بن محمّد بن خالد ، عن أبيه ، عمّن ذكره ، عن محمّد بن عبد الرحمن بن أبي ليلى. راجع : </w:t>
      </w:r>
      <w:r w:rsidR="008A74EB" w:rsidRPr="00993B55">
        <w:rPr>
          <w:rStyle w:val="libFootnoteBoldChar"/>
          <w:rtl/>
        </w:rPr>
        <w:t>الكافي</w:t>
      </w:r>
      <w:r w:rsidR="008A74EB" w:rsidRPr="00C9040A">
        <w:rPr>
          <w:rtl/>
        </w:rPr>
        <w:t xml:space="preserve"> ، ح 116 </w:t>
      </w:r>
      <w:r w:rsidR="008A74EB">
        <w:rPr>
          <w:rtl/>
        </w:rPr>
        <w:t>و 4</w:t>
      </w:r>
      <w:r w:rsidR="008A74EB" w:rsidRPr="00C9040A">
        <w:rPr>
          <w:rtl/>
        </w:rPr>
        <w:t>74</w:t>
      </w:r>
      <w:r w:rsidR="008A74EB">
        <w:rPr>
          <w:rtl/>
        </w:rPr>
        <w:t xml:space="preserve"> </w:t>
      </w:r>
      <w:r w:rsidR="0084262C">
        <w:rPr>
          <w:rtl/>
        </w:rPr>
        <w:t>-</w:t>
      </w:r>
      <w:r w:rsidR="008A74EB">
        <w:rPr>
          <w:rtl/>
        </w:rPr>
        <w:t xml:space="preserve"> </w:t>
      </w:r>
      <w:r w:rsidR="008A74EB" w:rsidRPr="00C9040A">
        <w:rPr>
          <w:rtl/>
        </w:rPr>
        <w:t>نفس الخبر</w:t>
      </w:r>
      <w:r w:rsidR="008A74EB">
        <w:rPr>
          <w:rtl/>
        </w:rPr>
        <w:t xml:space="preserve"> </w:t>
      </w:r>
      <w:r w:rsidR="0084262C">
        <w:rPr>
          <w:rtl/>
        </w:rPr>
        <w:t>-</w:t>
      </w:r>
      <w:r w:rsidR="008A74EB">
        <w:rPr>
          <w:rtl/>
        </w:rPr>
        <w:t xml:space="preserve"> </w:t>
      </w:r>
      <w:r w:rsidR="008A74EB" w:rsidRPr="00C9040A">
        <w:rPr>
          <w:rtl/>
        </w:rPr>
        <w:t xml:space="preserve">؛ وح 1847 </w:t>
      </w:r>
      <w:r w:rsidR="008A74EB">
        <w:rPr>
          <w:rtl/>
        </w:rPr>
        <w:t>و 2</w:t>
      </w:r>
      <w:r w:rsidR="008A74EB" w:rsidRPr="00C9040A">
        <w:rPr>
          <w:rtl/>
        </w:rPr>
        <w:t>686.</w:t>
      </w:r>
    </w:p>
    <w:p w:rsidR="008A74EB" w:rsidRPr="00C9040A" w:rsidRDefault="006C577F" w:rsidP="004A4E41">
      <w:pPr>
        <w:pStyle w:val="libFootnote0"/>
        <w:rPr>
          <w:rtl/>
          <w:lang w:bidi="fa-IR"/>
        </w:rPr>
      </w:pPr>
      <w:r>
        <w:rPr>
          <w:rtl/>
        </w:rPr>
        <w:t>(4).</w:t>
      </w:r>
      <w:r w:rsidR="008A74EB" w:rsidRPr="00C9040A">
        <w:rPr>
          <w:rtl/>
        </w:rPr>
        <w:t xml:space="preserve"> في « بف » وشرح المازندراني : « لا تكونوا »</w:t>
      </w:r>
      <w:r w:rsidR="008A74EB">
        <w:rPr>
          <w:rtl/>
        </w:rPr>
        <w:t>.</w:t>
      </w:r>
      <w:r w:rsidR="008A74EB" w:rsidRPr="00C9040A">
        <w:rPr>
          <w:rtl/>
        </w:rPr>
        <w:t xml:space="preserve"> وقال في </w:t>
      </w:r>
      <w:r w:rsidR="008A74EB" w:rsidRPr="00993B55">
        <w:rPr>
          <w:rStyle w:val="libFootnoteBoldChar"/>
          <w:rtl/>
        </w:rPr>
        <w:t>النحو الوافي</w:t>
      </w:r>
      <w:r w:rsidR="008A74EB" w:rsidRPr="00C9040A">
        <w:rPr>
          <w:rtl/>
        </w:rPr>
        <w:t xml:space="preserve"> ، ج 1 ، ص 163 : « هنا لغة تحذف نون الرفع‌بدون الناصب والجازم »</w:t>
      </w:r>
      <w:r w:rsidR="008A74EB">
        <w:rPr>
          <w:rtl/>
        </w:rPr>
        <w:t>.</w:t>
      </w:r>
      <w:r w:rsidR="00E81072">
        <w:rPr>
          <w:rFonts w:hint="cs"/>
          <w:rtl/>
        </w:rPr>
        <w:t xml:space="preserve">                          </w:t>
      </w:r>
      <w:r>
        <w:rPr>
          <w:rtl/>
        </w:rPr>
        <w:t>(5).</w:t>
      </w:r>
      <w:r w:rsidR="00E81072">
        <w:rPr>
          <w:rtl/>
        </w:rPr>
        <w:t xml:space="preserve"> في «ص،ف،بف»والكافي،ح 474 : «ولا تعرفوا</w:t>
      </w:r>
      <w:r w:rsidR="008A74EB" w:rsidRPr="00C9040A">
        <w:rPr>
          <w:rtl/>
        </w:rPr>
        <w:t>»</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ف ، بر ، بف » والكافي ، ح 474 : « ولا تصدّقوا »</w:t>
      </w:r>
      <w:r w:rsidR="008A74EB">
        <w:rPr>
          <w:rtl/>
        </w:rPr>
        <w:t>.</w:t>
      </w:r>
    </w:p>
    <w:p w:rsidR="008A74EB" w:rsidRPr="004A4E41" w:rsidRDefault="006C577F" w:rsidP="004A4E41">
      <w:pPr>
        <w:pStyle w:val="libFootnote0"/>
        <w:rPr>
          <w:rStyle w:val="libFootnote0Char"/>
          <w:rtl/>
        </w:rPr>
      </w:pPr>
      <w:r>
        <w:rPr>
          <w:rtl/>
        </w:rPr>
        <w:t>(7).</w:t>
      </w:r>
      <w:r w:rsidR="008A74EB" w:rsidRPr="00C9040A">
        <w:rPr>
          <w:rtl/>
        </w:rPr>
        <w:t xml:space="preserve"> في </w:t>
      </w:r>
      <w:r w:rsidR="008A74EB" w:rsidRPr="00993B55">
        <w:rPr>
          <w:rStyle w:val="libFootnoteBoldChar"/>
          <w:rtl/>
        </w:rPr>
        <w:t>الوافي</w:t>
      </w:r>
      <w:r w:rsidR="008A74EB" w:rsidRPr="00C9040A">
        <w:rPr>
          <w:rtl/>
        </w:rPr>
        <w:t xml:space="preserve"> : « يعني أنّ الصلاح موقوف على المعرفة ، والمعرفة موقوفة على التصديق ، والتصديق موقوف‌على تسليم أبواب أربعة ، لايتمّ بعضها بدون بعض ؛ وهي التوبة عن الشرك ، والإيمان بالتوحيد ، والعمل الصالح ، والاهتداء بالإمام ؛ فصاحب الثلاثة الا</w:t>
      </w:r>
      <w:r w:rsidR="00E81072">
        <w:rPr>
          <w:rFonts w:hint="cs"/>
          <w:rtl/>
        </w:rPr>
        <w:t>ُ</w:t>
      </w:r>
      <w:r w:rsidR="008A74EB" w:rsidRPr="00C9040A">
        <w:rPr>
          <w:rtl/>
        </w:rPr>
        <w:t xml:space="preserve">ول من دون الاهتداء بالإمام ضالّ تائه لاتقبل توبته ولا توحيده ولا عمله ؛ لعدم وفائه بجميع الشروط والعهود. أجمل </w:t>
      </w:r>
      <w:r w:rsidR="00117575" w:rsidRPr="00117575">
        <w:rPr>
          <w:rStyle w:val="libFootnoteAlaemChar"/>
          <w:rtl/>
        </w:rPr>
        <w:t>عليه‌السلام</w:t>
      </w:r>
      <w:r w:rsidR="008A74EB" w:rsidRPr="00C9040A">
        <w:rPr>
          <w:rtl/>
        </w:rPr>
        <w:t xml:space="preserve"> هذا المعنى أوّلاً ، ثمّ فصّل بقوله : إنّ الله أخبر العباد بطرق الهدي » إلى آخر ما قال.</w:t>
      </w:r>
      <w:r w:rsidR="00E81072">
        <w:rPr>
          <w:rFonts w:hint="cs"/>
          <w:rtl/>
        </w:rPr>
        <w:t xml:space="preserve">                                                      </w:t>
      </w:r>
      <w:r w:rsidR="00EC25D5">
        <w:rPr>
          <w:rFonts w:hint="cs"/>
          <w:rtl/>
        </w:rPr>
        <w:t xml:space="preserve"> </w:t>
      </w:r>
      <w:r w:rsidR="00E81072">
        <w:rPr>
          <w:rFonts w:hint="cs"/>
          <w:rtl/>
        </w:rPr>
        <w:t xml:space="preserve"> </w:t>
      </w:r>
      <w:r>
        <w:rPr>
          <w:rtl/>
        </w:rPr>
        <w:t>(8).</w:t>
      </w:r>
      <w:r w:rsidR="008A74EB" w:rsidRPr="00C9040A">
        <w:rPr>
          <w:rtl/>
        </w:rPr>
        <w:t xml:space="preserve"> في الكافي ، ح 474 : « ولا يقبل »</w:t>
      </w:r>
      <w:r w:rsidR="008A74EB">
        <w:rPr>
          <w:rtl/>
        </w:rPr>
        <w:t>.</w:t>
      </w:r>
    </w:p>
    <w:tbl>
      <w:tblPr>
        <w:tblStyle w:val="TableGrid"/>
        <w:bidiVisual/>
        <w:tblW w:w="0" w:type="auto"/>
        <w:tblLook w:val="04A0" w:firstRow="1" w:lastRow="0" w:firstColumn="1" w:lastColumn="0" w:noHBand="0" w:noVBand="1"/>
      </w:tblPr>
      <w:tblGrid>
        <w:gridCol w:w="4006"/>
        <w:gridCol w:w="4006"/>
      </w:tblGrid>
      <w:tr w:rsidR="00E81072" w:rsidTr="00E81072">
        <w:tc>
          <w:tcPr>
            <w:tcW w:w="4006" w:type="dxa"/>
          </w:tcPr>
          <w:p w:rsidR="00E81072" w:rsidRDefault="00E81072" w:rsidP="004A4E41">
            <w:pPr>
              <w:pStyle w:val="libFootnote0"/>
              <w:rPr>
                <w:rtl/>
              </w:rPr>
            </w:pPr>
            <w:r>
              <w:rPr>
                <w:rtl/>
              </w:rPr>
              <w:t>(9).</w:t>
            </w:r>
            <w:r w:rsidRPr="00C9040A">
              <w:rPr>
                <w:rtl/>
              </w:rPr>
              <w:t xml:space="preserve"> في « د ، بر ، بف » والوافي والبحار </w:t>
            </w:r>
            <w:r>
              <w:rPr>
                <w:rtl/>
              </w:rPr>
              <w:t>: -</w:t>
            </w:r>
            <w:r w:rsidRPr="00C9040A">
              <w:rPr>
                <w:rtl/>
              </w:rPr>
              <w:t xml:space="preserve"> « الله »</w:t>
            </w:r>
            <w:r>
              <w:rPr>
                <w:rtl/>
              </w:rPr>
              <w:t>.</w:t>
            </w:r>
          </w:p>
        </w:tc>
        <w:tc>
          <w:tcPr>
            <w:tcW w:w="4006" w:type="dxa"/>
          </w:tcPr>
          <w:p w:rsidR="00E81072" w:rsidRDefault="00E81072" w:rsidP="004A4E41">
            <w:pPr>
              <w:pStyle w:val="libFootnote0"/>
              <w:rPr>
                <w:rtl/>
              </w:rPr>
            </w:pPr>
            <w:r>
              <w:rPr>
                <w:rtl/>
              </w:rPr>
              <w:t>(10).</w:t>
            </w:r>
            <w:r w:rsidRPr="00C9040A">
              <w:rPr>
                <w:rtl/>
              </w:rPr>
              <w:t xml:space="preserve"> في الكافي ، ح 474 : « الوفاء »</w:t>
            </w:r>
            <w:r>
              <w:rPr>
                <w:rtl/>
              </w:rPr>
              <w:t>.</w:t>
            </w:r>
          </w:p>
        </w:tc>
      </w:tr>
    </w:tbl>
    <w:p w:rsidR="008A74EB" w:rsidRPr="00C9040A" w:rsidRDefault="006C577F" w:rsidP="004A4E41">
      <w:pPr>
        <w:pStyle w:val="libFootnote0"/>
        <w:rPr>
          <w:rtl/>
          <w:lang w:bidi="fa-IR"/>
        </w:rPr>
      </w:pPr>
      <w:r>
        <w:rPr>
          <w:rtl/>
        </w:rPr>
        <w:t>(11).</w:t>
      </w:r>
      <w:r w:rsidR="008A74EB" w:rsidRPr="00C9040A">
        <w:rPr>
          <w:rtl/>
        </w:rPr>
        <w:t xml:space="preserve"> في « ض » والكافي ، ح 474 : « فمن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في « ب ، بس » والوافي والبحار والكافي ، ح 474 : « لله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بِشُرُوطِهِ </w:t>
      </w:r>
      <w:r w:rsidR="006C577F" w:rsidRPr="006C577F">
        <w:rPr>
          <w:rStyle w:val="libFootnotenumChar"/>
          <w:rtl/>
        </w:rPr>
        <w:t>(1)</w:t>
      </w:r>
      <w:r w:rsidRPr="009E51F8">
        <w:rPr>
          <w:rFonts w:hint="cs"/>
          <w:rtl/>
        </w:rPr>
        <w:t xml:space="preserve"> </w:t>
      </w:r>
      <w:r w:rsidRPr="00C9040A">
        <w:rPr>
          <w:rtl/>
          <w:lang w:bidi="fa-IR"/>
        </w:rPr>
        <w:t xml:space="preserve">وَاسْتَكْمَلَ </w:t>
      </w:r>
      <w:r w:rsidR="006C577F" w:rsidRPr="006C577F">
        <w:rPr>
          <w:rStyle w:val="libFootnotenumChar"/>
          <w:rtl/>
        </w:rPr>
        <w:t>(2)</w:t>
      </w:r>
      <w:r w:rsidRPr="00C9040A">
        <w:rPr>
          <w:rtl/>
          <w:lang w:bidi="fa-IR"/>
        </w:rPr>
        <w:t xml:space="preserve"> مَا وَصَفَ فِي عَهْدِهِ ، نَالَ مَا </w:t>
      </w:r>
      <w:r w:rsidR="006C577F" w:rsidRPr="006C577F">
        <w:rPr>
          <w:rStyle w:val="libFootnotenumChar"/>
          <w:rtl/>
        </w:rPr>
        <w:t>(3)</w:t>
      </w:r>
      <w:r w:rsidRPr="00C9040A">
        <w:rPr>
          <w:rtl/>
          <w:lang w:bidi="fa-IR"/>
        </w:rPr>
        <w:t xml:space="preserve"> عِنْدَهُ وَاسْتَكْمَلَ وَعْدَهُ </w:t>
      </w:r>
      <w:r w:rsidR="006C577F" w:rsidRPr="006C577F">
        <w:rPr>
          <w:rStyle w:val="libFootnotenumChar"/>
          <w:rtl/>
        </w:rPr>
        <w:t>(4)</w:t>
      </w:r>
      <w:r w:rsidR="0052482E" w:rsidRPr="0052482E">
        <w:rPr>
          <w:rStyle w:val="libNormalChar"/>
          <w:rFonts w:hint="cs"/>
          <w:rtl/>
        </w:rPr>
        <w:t>.</w:t>
      </w:r>
    </w:p>
    <w:p w:rsidR="008A74EB" w:rsidRPr="00C9040A" w:rsidRDefault="008A74EB" w:rsidP="008A74EB">
      <w:pPr>
        <w:pStyle w:val="libNormal"/>
        <w:rPr>
          <w:rtl/>
          <w:lang w:bidi="fa-IR"/>
        </w:rPr>
      </w:pPr>
      <w:r w:rsidRPr="00C9040A">
        <w:rPr>
          <w:rtl/>
          <w:lang w:bidi="fa-IR"/>
        </w:rPr>
        <w:t>إِنَّ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أَخْبَرَ الْعِبَادَ بِطُرُقِ </w:t>
      </w:r>
      <w:r w:rsidR="006C577F" w:rsidRPr="006C577F">
        <w:rPr>
          <w:rStyle w:val="libFootnotenumChar"/>
          <w:rtl/>
        </w:rPr>
        <w:t>(5)</w:t>
      </w:r>
      <w:r w:rsidRPr="00C9040A">
        <w:rPr>
          <w:rtl/>
          <w:lang w:bidi="fa-IR"/>
        </w:rPr>
        <w:t xml:space="preserve"> الْهُدى ، وَشَرَعَ لَهُمْ فِيهَا الْمَنَارَ </w:t>
      </w:r>
      <w:r w:rsidR="006C577F" w:rsidRPr="006C577F">
        <w:rPr>
          <w:rStyle w:val="libFootnotenumChar"/>
          <w:rtl/>
        </w:rPr>
        <w:t>(6)</w:t>
      </w:r>
      <w:r w:rsidRPr="00C9040A">
        <w:rPr>
          <w:rtl/>
          <w:lang w:bidi="fa-IR"/>
        </w:rPr>
        <w:t xml:space="preserve">، وَأَخْبَرَهُمْ كَيْفَ يَسْلُكُونَ ، فَقَالَ : </w:t>
      </w:r>
      <w:r w:rsidRPr="0003660B">
        <w:rPr>
          <w:rStyle w:val="libAlaemChar"/>
          <w:rtl/>
        </w:rPr>
        <w:t>(</w:t>
      </w:r>
      <w:r w:rsidRPr="006A2246">
        <w:rPr>
          <w:rStyle w:val="libAieChar"/>
          <w:rtl/>
        </w:rPr>
        <w:t xml:space="preserve"> وَإِنِّي لَغَفّارٌ لِمَنْ تابَ وَآمَنَ وَعَمِلَ صالِحاً ثُمَّ اهْتَدى </w:t>
      </w:r>
      <w:r w:rsidRPr="0003660B">
        <w:rPr>
          <w:rStyle w:val="libAlaemChar"/>
          <w:rtl/>
        </w:rPr>
        <w:t>)</w:t>
      </w:r>
      <w:r w:rsidRPr="00C9040A">
        <w:rPr>
          <w:rtl/>
          <w:lang w:bidi="fa-IR"/>
        </w:rPr>
        <w:t xml:space="preserve"> </w:t>
      </w:r>
      <w:r w:rsidR="006C577F" w:rsidRPr="006C577F">
        <w:rPr>
          <w:rStyle w:val="libFootnotenumChar"/>
          <w:rtl/>
        </w:rPr>
        <w:t>(7)</w:t>
      </w:r>
      <w:r w:rsidRPr="00C9040A">
        <w:rPr>
          <w:rtl/>
          <w:lang w:bidi="fa-IR"/>
        </w:rPr>
        <w:t xml:space="preserve"> وَقَالَ : </w:t>
      </w:r>
      <w:r w:rsidRPr="0003660B">
        <w:rPr>
          <w:rStyle w:val="libAlaemChar"/>
          <w:rtl/>
        </w:rPr>
        <w:t>(</w:t>
      </w:r>
      <w:r w:rsidRPr="006A2246">
        <w:rPr>
          <w:rStyle w:val="libAieChar"/>
          <w:rtl/>
        </w:rPr>
        <w:t xml:space="preserve"> إِنَّما يَتَقَبَّلُ اللهُ مِنَ الْمُتَّقِينَ </w:t>
      </w:r>
      <w:r w:rsidRPr="0003660B">
        <w:rPr>
          <w:rStyle w:val="libAlaemChar"/>
          <w:rtl/>
        </w:rPr>
        <w:t>)</w:t>
      </w:r>
      <w:r w:rsidRPr="00C9040A">
        <w:rPr>
          <w:rtl/>
          <w:lang w:bidi="fa-IR"/>
        </w:rPr>
        <w:t xml:space="preserve"> </w:t>
      </w:r>
      <w:r w:rsidR="006C577F" w:rsidRPr="006C577F">
        <w:rPr>
          <w:rStyle w:val="libFootnotenumChar"/>
          <w:rtl/>
        </w:rPr>
        <w:t>(8)</w:t>
      </w:r>
      <w:r w:rsidRPr="00C9040A">
        <w:rPr>
          <w:rtl/>
          <w:lang w:bidi="fa-IR"/>
        </w:rPr>
        <w:t xml:space="preserve"> فَمَنِ اتَّقَى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فِيمَا أَمَرَهُ ، لَقِيَ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مُؤْمِناً بِمَا جَاءَ بِهِ مُحَمَّدٌ </w:t>
      </w:r>
      <w:r w:rsidR="004A4E41" w:rsidRPr="004A4E41">
        <w:rPr>
          <w:rStyle w:val="libAlaemChar"/>
          <w:rtl/>
        </w:rPr>
        <w:t>صلى‌الله‌عليه‌وآله</w:t>
      </w:r>
      <w:r w:rsidRPr="00C9040A">
        <w:rPr>
          <w:rtl/>
          <w:lang w:bidi="fa-IR"/>
        </w:rPr>
        <w:t xml:space="preserve"> ؛ هَيْهَاتَ هَيْهَاتَ ، فَاتَ </w:t>
      </w:r>
      <w:r w:rsidR="006C577F" w:rsidRPr="006C577F">
        <w:rPr>
          <w:rStyle w:val="libFootnotenumChar"/>
          <w:rtl/>
        </w:rPr>
        <w:t>(9)</w:t>
      </w:r>
      <w:r w:rsidRPr="00C9040A">
        <w:rPr>
          <w:rtl/>
          <w:lang w:bidi="fa-IR"/>
        </w:rPr>
        <w:t xml:space="preserve"> قَوْمٌ وَمَاتُوا قَبْلَ أَنْ يَهْتَدُوا ، وَظَنُّوا </w:t>
      </w:r>
      <w:r w:rsidR="006C577F" w:rsidRPr="006C577F">
        <w:rPr>
          <w:rStyle w:val="libFootnotenumChar"/>
          <w:rtl/>
        </w:rPr>
        <w:t>(10)</w:t>
      </w:r>
      <w:r w:rsidRPr="00C9040A">
        <w:rPr>
          <w:rtl/>
          <w:lang w:bidi="fa-IR"/>
        </w:rPr>
        <w:t xml:space="preserve"> أَنَّهُمْ آمَنُوا ، وَأَشْرَكُوا مِنْ حَيْثُ لَايَعْلَمُونَ ؛ إِنَّهُ مَنْ أَتَى الْبُيُوتَ مِنْ أَبْوَابِهَا اهْتَدى ، وَمَنْ أَخَذَ فِي غَيْرِهَا سَلَكَ طَرِيقَ </w:t>
      </w:r>
      <w:r w:rsidR="006C577F" w:rsidRPr="006C577F">
        <w:rPr>
          <w:rStyle w:val="libFootnotenumChar"/>
          <w:rtl/>
        </w:rPr>
        <w:t>(11)</w:t>
      </w:r>
      <w:r w:rsidRPr="00C9040A">
        <w:rPr>
          <w:rtl/>
          <w:lang w:bidi="fa-IR"/>
        </w:rPr>
        <w:t xml:space="preserve"> الرَّدى.</w:t>
      </w:r>
    </w:p>
    <w:p w:rsidR="008A74EB" w:rsidRPr="00C9040A" w:rsidRDefault="008A74EB" w:rsidP="008A74EB">
      <w:pPr>
        <w:pStyle w:val="libNormal"/>
        <w:rPr>
          <w:rtl/>
          <w:lang w:bidi="fa-IR"/>
        </w:rPr>
      </w:pPr>
      <w:r w:rsidRPr="00C9040A">
        <w:rPr>
          <w:rtl/>
          <w:lang w:bidi="fa-IR"/>
        </w:rPr>
        <w:t xml:space="preserve">وَصَلَ اللهُ طَاعَةَ وَلِيِّ أَمْرِهِ بِطَاعَةِ رَسُولِهِ ، وَطَاعَةَ رَسُولِهِ بِطَاعَتِهِ </w:t>
      </w:r>
      <w:r w:rsidR="006C577F" w:rsidRPr="006C577F">
        <w:rPr>
          <w:rStyle w:val="libFootnotenumChar"/>
          <w:rtl/>
        </w:rPr>
        <w:t>(12)</w:t>
      </w:r>
      <w:r w:rsidRPr="00C9040A">
        <w:rPr>
          <w:rtl/>
          <w:lang w:bidi="fa-IR"/>
        </w:rPr>
        <w:t xml:space="preserve"> ؛ فَمَنْ </w:t>
      </w:r>
      <w:r w:rsidRPr="005B567D">
        <w:rPr>
          <w:rStyle w:val="libFootnotenumChar"/>
          <w:rtl/>
        </w:rPr>
        <w:t>(13)</w:t>
      </w:r>
      <w:r w:rsidRPr="00C9040A">
        <w:rPr>
          <w:rtl/>
          <w:lang w:bidi="fa-IR"/>
        </w:rPr>
        <w:t xml:space="preserve"> تَرَكَ طَاعَةَ وُلَاةِ الْأَمْرِ ، لَمْ يُطِعِ اللهَ وَلَا رَسُولَهُ ، وَهُوَ الْإِقْرَارُ بِمَا نَزَلَ </w:t>
      </w:r>
      <w:r w:rsidRPr="005B567D">
        <w:rPr>
          <w:rStyle w:val="libFootnotenumChar"/>
          <w:rtl/>
        </w:rPr>
        <w:t>(14)</w:t>
      </w:r>
      <w:r w:rsidRPr="00C9040A">
        <w:rPr>
          <w:rtl/>
          <w:lang w:bidi="fa-IR"/>
        </w:rPr>
        <w:t xml:space="preserve"> مِنْ عِنْدِ اللهِ </w:t>
      </w:r>
      <w:r w:rsidRPr="005B567D">
        <w:rPr>
          <w:rStyle w:val="libFootnotenumChar"/>
          <w:rtl/>
        </w:rPr>
        <w:t>(15)</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4A4E41" w:rsidRDefault="006C577F" w:rsidP="004A4E41">
      <w:pPr>
        <w:pStyle w:val="libFootnote0"/>
        <w:rPr>
          <w:rStyle w:val="libFootnote0Char"/>
          <w:rtl/>
        </w:rPr>
      </w:pPr>
      <w:r>
        <w:rPr>
          <w:rtl/>
        </w:rPr>
        <w:t>(1).</w:t>
      </w:r>
      <w:r w:rsidR="008A74EB" w:rsidRPr="00C9040A">
        <w:rPr>
          <w:rtl/>
        </w:rPr>
        <w:t xml:space="preserve"> في « ص ، بر ، بف » والوافي والكافي ، ح 474 : « بشرطه »</w:t>
      </w:r>
      <w:r w:rsidR="008A74EB">
        <w:rPr>
          <w:rtl/>
        </w:rPr>
        <w:t>.</w:t>
      </w:r>
    </w:p>
    <w:tbl>
      <w:tblPr>
        <w:tblStyle w:val="TableGrid"/>
        <w:bidiVisual/>
        <w:tblW w:w="0" w:type="auto"/>
        <w:tblLook w:val="04A0" w:firstRow="1" w:lastRow="0" w:firstColumn="1" w:lastColumn="0" w:noHBand="0" w:noVBand="1"/>
      </w:tblPr>
      <w:tblGrid>
        <w:gridCol w:w="4006"/>
        <w:gridCol w:w="4006"/>
      </w:tblGrid>
      <w:tr w:rsidR="00D36DE8" w:rsidTr="00D36DE8">
        <w:tc>
          <w:tcPr>
            <w:tcW w:w="4006" w:type="dxa"/>
          </w:tcPr>
          <w:p w:rsidR="00D36DE8" w:rsidRDefault="00D36DE8" w:rsidP="004A4E41">
            <w:pPr>
              <w:pStyle w:val="libFootnote0"/>
              <w:rPr>
                <w:rtl/>
              </w:rPr>
            </w:pPr>
            <w:r>
              <w:rPr>
                <w:rtl/>
              </w:rPr>
              <w:t xml:space="preserve">(2). </w:t>
            </w:r>
            <w:r w:rsidRPr="00C9040A">
              <w:rPr>
                <w:rtl/>
              </w:rPr>
              <w:t>في الكافي ، ح 474 : « واستعمل »</w:t>
            </w:r>
            <w:r>
              <w:rPr>
                <w:rtl/>
              </w:rPr>
              <w:t>.</w:t>
            </w:r>
          </w:p>
        </w:tc>
        <w:tc>
          <w:tcPr>
            <w:tcW w:w="4006" w:type="dxa"/>
          </w:tcPr>
          <w:p w:rsidR="00D36DE8" w:rsidRDefault="00D36DE8" w:rsidP="004A4E41">
            <w:pPr>
              <w:pStyle w:val="libFootnote0"/>
              <w:rPr>
                <w:rtl/>
              </w:rPr>
            </w:pPr>
            <w:r>
              <w:rPr>
                <w:rtl/>
              </w:rPr>
              <w:t>(3).</w:t>
            </w:r>
            <w:r w:rsidRPr="00C9040A">
              <w:rPr>
                <w:rtl/>
              </w:rPr>
              <w:t xml:space="preserve"> في البحار : « ممّا »</w:t>
            </w:r>
            <w:r>
              <w:rPr>
                <w:rtl/>
              </w:rPr>
              <w:t>.</w:t>
            </w:r>
          </w:p>
        </w:tc>
      </w:tr>
    </w:tbl>
    <w:p w:rsidR="008A74EB" w:rsidRPr="00C9040A" w:rsidRDefault="006C577F" w:rsidP="004A4E41">
      <w:pPr>
        <w:pStyle w:val="libFootnote0"/>
        <w:rPr>
          <w:rtl/>
          <w:lang w:bidi="fa-IR"/>
        </w:rPr>
      </w:pPr>
      <w:r>
        <w:rPr>
          <w:rtl/>
        </w:rPr>
        <w:t>(4).</w:t>
      </w:r>
      <w:r w:rsidR="008A74EB" w:rsidRPr="00C9040A">
        <w:rPr>
          <w:rtl/>
        </w:rPr>
        <w:t xml:space="preserve"> في الكافي ، ح 474 : « ما وعده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هكذا في « ب ، ج ، ز ، ض ، ف ، بر ، بس ، بف » وحاشية « د » وشرح المازندراني والوافي والبحار والكافي‌ح 474. وفي سائر النسخ والمطبوع : « بطريق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w:t>
      </w:r>
      <w:r w:rsidR="008A74EB" w:rsidRPr="00993B55">
        <w:rPr>
          <w:rStyle w:val="libFootnoteBoldChar"/>
          <w:rtl/>
        </w:rPr>
        <w:t>الوافي</w:t>
      </w:r>
      <w:r w:rsidR="008A74EB" w:rsidRPr="00C9040A">
        <w:rPr>
          <w:rtl/>
        </w:rPr>
        <w:t xml:space="preserve"> : « كنّى بالمنار عن الأئمّة </w:t>
      </w:r>
      <w:r w:rsidR="00117575" w:rsidRPr="00117575">
        <w:rPr>
          <w:rStyle w:val="libFootnoteAlaemChar"/>
          <w:rtl/>
        </w:rPr>
        <w:t>عليهم‌السلام</w:t>
      </w:r>
      <w:r w:rsidR="008A74EB" w:rsidRPr="00C9040A">
        <w:rPr>
          <w:rtl/>
        </w:rPr>
        <w:t xml:space="preserve"> فإنّها صيغة جمع ، وبتقوى الله فيما أمره عن الاهتداء إلى الإمام والاقتداء به ، وبإتيان البيوت من أبوابها عن الدخول في المعرفة من جهة الإمام » </w:t>
      </w:r>
      <w:r w:rsidR="008A74EB">
        <w:rPr>
          <w:rtl/>
        </w:rPr>
        <w:t>و «</w:t>
      </w:r>
      <w:r w:rsidR="008A74EB" w:rsidRPr="00C9040A">
        <w:rPr>
          <w:rtl/>
        </w:rPr>
        <w:t xml:space="preserve"> المنار » : جمع منارة ، وهي العلامة تجعل بين الحدّين ، ومَنار الحرم : أعلامه التي ضربها إبراهيم الخليل</w:t>
      </w:r>
      <w:r w:rsidR="008A74EB">
        <w:rPr>
          <w:rtl/>
        </w:rPr>
        <w:t xml:space="preserve"> </w:t>
      </w:r>
      <w:r w:rsidR="0084262C">
        <w:rPr>
          <w:rtl/>
        </w:rPr>
        <w:t>-</w:t>
      </w:r>
      <w:r w:rsidR="008A74EB">
        <w:rPr>
          <w:rtl/>
        </w:rPr>
        <w:t xml:space="preserve"> </w:t>
      </w:r>
      <w:r w:rsidR="008A74EB" w:rsidRPr="00C9040A">
        <w:rPr>
          <w:rtl/>
        </w:rPr>
        <w:t>على نبيّنا وعليه الصلاة والسلام</w:t>
      </w:r>
      <w:r w:rsidR="008A74EB">
        <w:rPr>
          <w:rtl/>
        </w:rPr>
        <w:t xml:space="preserve"> </w:t>
      </w:r>
      <w:r w:rsidR="0084262C">
        <w:rPr>
          <w:rtl/>
        </w:rPr>
        <w:t>-</w:t>
      </w:r>
      <w:r w:rsidR="008A74EB">
        <w:rPr>
          <w:rtl/>
        </w:rPr>
        <w:t xml:space="preserve"> </w:t>
      </w:r>
      <w:r w:rsidR="008A74EB" w:rsidRPr="00C9040A">
        <w:rPr>
          <w:rtl/>
        </w:rPr>
        <w:t xml:space="preserve">على أنظار الحرم ونواحيه ، وبها تعرف حدود الحرم من حدود الحلّ ، والميم زائدة. </w:t>
      </w:r>
      <w:r w:rsidR="008A74EB" w:rsidRPr="00993B55">
        <w:rPr>
          <w:rStyle w:val="libFootnoteBoldChar"/>
          <w:rtl/>
        </w:rPr>
        <w:t>النهاية</w:t>
      </w:r>
      <w:r w:rsidR="008A74EB" w:rsidRPr="00C9040A">
        <w:rPr>
          <w:rtl/>
        </w:rPr>
        <w:t xml:space="preserve"> ، ج 5 ، ص 127 ( نور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طه (20) : 82.</w:t>
      </w:r>
    </w:p>
    <w:p w:rsidR="008A74EB" w:rsidRPr="00C9040A" w:rsidRDefault="006C577F" w:rsidP="004A4E41">
      <w:pPr>
        <w:pStyle w:val="libFootnote0"/>
        <w:rPr>
          <w:rtl/>
          <w:lang w:bidi="fa-IR"/>
        </w:rPr>
      </w:pPr>
      <w:r>
        <w:rPr>
          <w:rtl/>
        </w:rPr>
        <w:t>(8).</w:t>
      </w:r>
      <w:r w:rsidR="008A74EB" w:rsidRPr="00C9040A">
        <w:rPr>
          <w:rtl/>
        </w:rPr>
        <w:t xml:space="preserve"> المائدة </w:t>
      </w:r>
      <w:r w:rsidR="00317BEB">
        <w:rPr>
          <w:rtl/>
        </w:rPr>
        <w:t>(5)</w:t>
      </w:r>
      <w:r w:rsidR="008A74EB" w:rsidRPr="00C9040A">
        <w:rPr>
          <w:rtl/>
        </w:rPr>
        <w:t xml:space="preserve"> : 27.</w:t>
      </w:r>
    </w:p>
    <w:p w:rsidR="008A74EB" w:rsidRPr="00C9040A" w:rsidRDefault="006C577F" w:rsidP="004A4E41">
      <w:pPr>
        <w:pStyle w:val="libFootnote0"/>
        <w:rPr>
          <w:rtl/>
          <w:lang w:bidi="fa-IR"/>
        </w:rPr>
      </w:pPr>
      <w:r>
        <w:rPr>
          <w:rtl/>
        </w:rPr>
        <w:t>(9).</w:t>
      </w:r>
      <w:r w:rsidR="008A74EB" w:rsidRPr="00C9040A">
        <w:rPr>
          <w:rtl/>
        </w:rPr>
        <w:t xml:space="preserve"> في « ص » ومرآة العقول : « مات »</w:t>
      </w:r>
      <w:r w:rsidR="008A74EB">
        <w:rPr>
          <w:rtl/>
        </w:rPr>
        <w:t>.</w:t>
      </w:r>
      <w:r w:rsidR="008A74EB" w:rsidRPr="00C9040A">
        <w:rPr>
          <w:rtl/>
        </w:rPr>
        <w:t xml:space="preserve"> وقال في المرآة : « فيما مضى : فات قوم ، وهو أظهر ، أي فاتوا عنّا ولم‌يبايعونا ، أو ماتوا. فالثاني تأكيد »</w:t>
      </w:r>
      <w:r w:rsidR="008A74EB">
        <w:rPr>
          <w:rtl/>
        </w:rPr>
        <w:t>.</w:t>
      </w:r>
      <w:r w:rsidR="00317BEB">
        <w:rPr>
          <w:rFonts w:hint="cs"/>
          <w:rtl/>
        </w:rPr>
        <w:t xml:space="preserve">               </w:t>
      </w:r>
      <w:r w:rsidR="004E7D30">
        <w:rPr>
          <w:rFonts w:hint="cs"/>
          <w:rtl/>
        </w:rPr>
        <w:t xml:space="preserve"> </w:t>
      </w:r>
      <w:r w:rsidR="00317BEB">
        <w:rPr>
          <w:rFonts w:hint="cs"/>
          <w:rtl/>
        </w:rPr>
        <w:t xml:space="preserve">      </w:t>
      </w:r>
      <w:r>
        <w:rPr>
          <w:rtl/>
        </w:rPr>
        <w:t>(10).</w:t>
      </w:r>
      <w:r w:rsidR="00317BEB">
        <w:rPr>
          <w:rtl/>
        </w:rPr>
        <w:t xml:space="preserve"> في «ج</w:t>
      </w:r>
      <w:r w:rsidR="004E7D30">
        <w:rPr>
          <w:rFonts w:hint="cs"/>
          <w:rtl/>
        </w:rPr>
        <w:t xml:space="preserve"> </w:t>
      </w:r>
      <w:r w:rsidR="00317BEB">
        <w:rPr>
          <w:rtl/>
        </w:rPr>
        <w:t>،</w:t>
      </w:r>
      <w:r w:rsidR="004E7D30">
        <w:rPr>
          <w:rFonts w:hint="cs"/>
          <w:rtl/>
        </w:rPr>
        <w:t xml:space="preserve"> </w:t>
      </w:r>
      <w:r w:rsidR="00317BEB">
        <w:rPr>
          <w:rtl/>
        </w:rPr>
        <w:t>ض</w:t>
      </w:r>
      <w:r w:rsidR="004E7D30">
        <w:rPr>
          <w:rFonts w:hint="cs"/>
          <w:rtl/>
        </w:rPr>
        <w:t xml:space="preserve"> </w:t>
      </w:r>
      <w:r w:rsidR="00317BEB">
        <w:rPr>
          <w:rtl/>
        </w:rPr>
        <w:t>،</w:t>
      </w:r>
      <w:r w:rsidR="004E7D30">
        <w:rPr>
          <w:rFonts w:hint="cs"/>
          <w:rtl/>
        </w:rPr>
        <w:t xml:space="preserve"> </w:t>
      </w:r>
      <w:r w:rsidR="00317BEB">
        <w:rPr>
          <w:rtl/>
        </w:rPr>
        <w:t>ف» والبحار</w:t>
      </w:r>
      <w:r w:rsidR="004E7D30">
        <w:rPr>
          <w:rFonts w:hint="cs"/>
          <w:rtl/>
        </w:rPr>
        <w:t xml:space="preserve"> </w:t>
      </w:r>
      <w:r w:rsidR="00317BEB">
        <w:rPr>
          <w:rtl/>
        </w:rPr>
        <w:t>:</w:t>
      </w:r>
      <w:r w:rsidR="004E7D30">
        <w:rPr>
          <w:rFonts w:hint="cs"/>
          <w:rtl/>
        </w:rPr>
        <w:t xml:space="preserve"> </w:t>
      </w:r>
      <w:r w:rsidR="008A74EB" w:rsidRPr="00C9040A">
        <w:rPr>
          <w:rtl/>
        </w:rPr>
        <w:t>« فظنّوا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في « ب » : « طرائق »</w:t>
      </w:r>
      <w:r w:rsidR="008A74EB">
        <w:rPr>
          <w:rtl/>
        </w:rPr>
        <w:t>.</w:t>
      </w:r>
    </w:p>
    <w:p w:rsidR="008A74EB" w:rsidRPr="004A4E41" w:rsidRDefault="006C577F" w:rsidP="004A4E41">
      <w:pPr>
        <w:pStyle w:val="libFootnote0"/>
        <w:rPr>
          <w:rStyle w:val="libFootnote0Char"/>
          <w:rtl/>
        </w:rPr>
      </w:pPr>
      <w:r>
        <w:rPr>
          <w:rtl/>
        </w:rPr>
        <w:t>(12).</w:t>
      </w:r>
      <w:r w:rsidR="008A74EB" w:rsidRPr="00C9040A">
        <w:rPr>
          <w:rtl/>
        </w:rPr>
        <w:t xml:space="preserve"> إشارة إلى الآية 59 من سورة النساء </w:t>
      </w:r>
      <w:r w:rsidR="00317BEB">
        <w:rPr>
          <w:rtl/>
        </w:rPr>
        <w:t>(4)</w:t>
      </w:r>
      <w:r w:rsidR="008A74EB" w:rsidRPr="00C9040A">
        <w:rPr>
          <w:rtl/>
        </w:rPr>
        <w:t xml:space="preserve"> : </w:t>
      </w:r>
      <w:r w:rsidR="00317BEB" w:rsidRPr="00B866D3">
        <w:rPr>
          <w:rStyle w:val="libFootnoteAlaemChar"/>
          <w:rFonts w:hint="cs"/>
          <w:rtl/>
        </w:rPr>
        <w:t>(</w:t>
      </w:r>
      <w:r w:rsidR="008A74EB" w:rsidRPr="00317BEB">
        <w:rPr>
          <w:rStyle w:val="libFootnoteAieChar"/>
          <w:rtl/>
        </w:rPr>
        <w:t xml:space="preserve"> ي</w:t>
      </w:r>
      <w:r w:rsidR="00317BEB" w:rsidRPr="00317BEB">
        <w:rPr>
          <w:rStyle w:val="libFootnoteAieChar"/>
          <w:rFonts w:hint="cs"/>
          <w:rtl/>
        </w:rPr>
        <w:t>َ</w:t>
      </w:r>
      <w:r w:rsidR="008A74EB" w:rsidRPr="00317BEB">
        <w:rPr>
          <w:rStyle w:val="libFootnoteAieChar"/>
          <w:rtl/>
        </w:rPr>
        <w:t>أَيُّهَا الَّذِينَءَامَنُوا أَطِيعُوا اللهَ وَأَطِيعُوا الرَّسُولَ وَأُوْلِى الْأَمْرِ مِنكُمْ</w:t>
      </w:r>
      <w:r w:rsidR="00317BEB" w:rsidRPr="00B866D3">
        <w:rPr>
          <w:rStyle w:val="libFootnoteAlaemChar"/>
          <w:rFonts w:hint="cs"/>
          <w:rtl/>
        </w:rPr>
        <w:t>)</w:t>
      </w:r>
      <w:r w:rsidR="008A74EB">
        <w:rPr>
          <w:rtl/>
        </w:rPr>
        <w:t>.</w:t>
      </w:r>
    </w:p>
    <w:tbl>
      <w:tblPr>
        <w:tblStyle w:val="TableGrid"/>
        <w:bidiVisual/>
        <w:tblW w:w="0" w:type="auto"/>
        <w:tblLook w:val="04A0" w:firstRow="1" w:lastRow="0" w:firstColumn="1" w:lastColumn="0" w:noHBand="0" w:noVBand="1"/>
      </w:tblPr>
      <w:tblGrid>
        <w:gridCol w:w="4006"/>
        <w:gridCol w:w="4006"/>
      </w:tblGrid>
      <w:tr w:rsidR="00983935" w:rsidTr="00983935">
        <w:tc>
          <w:tcPr>
            <w:tcW w:w="4006" w:type="dxa"/>
          </w:tcPr>
          <w:p w:rsidR="00983935" w:rsidRDefault="00983935" w:rsidP="004A4E41">
            <w:pPr>
              <w:pStyle w:val="libFootnote0"/>
              <w:rPr>
                <w:rtl/>
              </w:rPr>
            </w:pPr>
            <w:r>
              <w:rPr>
                <w:rtl/>
              </w:rPr>
              <w:t>(13)</w:t>
            </w:r>
            <w:r w:rsidRPr="00C9040A">
              <w:rPr>
                <w:rtl/>
              </w:rPr>
              <w:t xml:space="preserve"> في « ص » : « ومن »</w:t>
            </w:r>
            <w:r>
              <w:rPr>
                <w:rtl/>
              </w:rPr>
              <w:t>.</w:t>
            </w:r>
          </w:p>
        </w:tc>
        <w:tc>
          <w:tcPr>
            <w:tcW w:w="4006" w:type="dxa"/>
          </w:tcPr>
          <w:p w:rsidR="00983935" w:rsidRDefault="00983935" w:rsidP="004A4E41">
            <w:pPr>
              <w:pStyle w:val="libFootnote0"/>
              <w:rPr>
                <w:rtl/>
              </w:rPr>
            </w:pPr>
            <w:r>
              <w:rPr>
                <w:rtl/>
              </w:rPr>
              <w:t>(14)</w:t>
            </w:r>
            <w:r w:rsidRPr="00C9040A">
              <w:rPr>
                <w:rtl/>
              </w:rPr>
              <w:t xml:space="preserve"> في الكافي ، ح 474 : « بما أنزل »</w:t>
            </w:r>
            <w:r>
              <w:rPr>
                <w:rtl/>
              </w:rPr>
              <w:t>.</w:t>
            </w:r>
          </w:p>
        </w:tc>
      </w:tr>
    </w:tbl>
    <w:p w:rsidR="008A74EB" w:rsidRPr="00C9040A" w:rsidRDefault="008A74EB" w:rsidP="004A4E41">
      <w:pPr>
        <w:pStyle w:val="libFootnote0"/>
        <w:rPr>
          <w:rtl/>
          <w:lang w:bidi="fa-IR"/>
        </w:rPr>
      </w:pPr>
      <w:r>
        <w:rPr>
          <w:rtl/>
        </w:rPr>
        <w:t>(15)</w:t>
      </w:r>
      <w:r w:rsidRPr="00C9040A">
        <w:rPr>
          <w:rtl/>
        </w:rPr>
        <w:t xml:space="preserve"> في « ب » : « بما نزّل الله من عنده »</w:t>
      </w:r>
      <w:r>
        <w:rPr>
          <w:rtl/>
        </w:rPr>
        <w:t>.</w:t>
      </w:r>
      <w:r w:rsidRPr="00C9040A">
        <w:rPr>
          <w:rtl/>
        </w:rPr>
        <w:t xml:space="preserve"> وفي « ف » : « بما نزّل من عند الله » ، بالتشديد.</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03660B">
        <w:rPr>
          <w:rStyle w:val="libAlaemChar"/>
          <w:rtl/>
        </w:rPr>
        <w:lastRenderedPageBreak/>
        <w:t>(</w:t>
      </w:r>
      <w:r w:rsidRPr="006A2246">
        <w:rPr>
          <w:rStyle w:val="libAieChar"/>
          <w:rtl/>
        </w:rPr>
        <w:t xml:space="preserve"> خُذُوا زِينَتَكُمْ عِنْدَ كُلِّ مَسْجِدٍ </w:t>
      </w:r>
      <w:r w:rsidRPr="0003660B">
        <w:rPr>
          <w:rStyle w:val="libAlaemChar"/>
          <w:rtl/>
        </w:rPr>
        <w:t>)</w:t>
      </w:r>
      <w:r w:rsidRPr="00C9040A">
        <w:rPr>
          <w:rtl/>
          <w:lang w:bidi="fa-IR"/>
        </w:rPr>
        <w:t xml:space="preserve"> </w:t>
      </w:r>
      <w:r w:rsidR="006C577F" w:rsidRPr="006C577F">
        <w:rPr>
          <w:rStyle w:val="libFootnotenumChar"/>
          <w:rtl/>
        </w:rPr>
        <w:t>(1)</w:t>
      </w:r>
      <w:r w:rsidRPr="00C9040A">
        <w:rPr>
          <w:rtl/>
          <w:lang w:bidi="fa-IR"/>
        </w:rPr>
        <w:t xml:space="preserve">، وَالْتَمِسُوا </w:t>
      </w:r>
      <w:r w:rsidR="006C577F" w:rsidRPr="006C577F">
        <w:rPr>
          <w:rStyle w:val="libFootnotenumChar"/>
          <w:rtl/>
        </w:rPr>
        <w:t>(2)</w:t>
      </w:r>
      <w:r w:rsidRPr="00C9040A">
        <w:rPr>
          <w:rtl/>
          <w:lang w:bidi="fa-IR"/>
        </w:rPr>
        <w:t xml:space="preserve"> الْبُيُوتَ الَّتِي</w:t>
      </w:r>
      <w:r>
        <w:rPr>
          <w:rFonts w:hint="cs"/>
          <w:rtl/>
          <w:lang w:bidi="fa-IR"/>
        </w:rPr>
        <w:t xml:space="preserve"> </w:t>
      </w:r>
      <w:r w:rsidRPr="0003660B">
        <w:rPr>
          <w:rStyle w:val="libAlaemChar"/>
          <w:rtl/>
        </w:rPr>
        <w:t>(</w:t>
      </w:r>
      <w:r w:rsidRPr="006A2246">
        <w:rPr>
          <w:rStyle w:val="libAieChar"/>
          <w:rtl/>
        </w:rPr>
        <w:t xml:space="preserve"> أَذِنَ اللهُ أَنْ تُرْفَعَ وَيُذْكَرَ فِيهَا اسْمُهُ </w:t>
      </w:r>
      <w:r w:rsidRPr="0003660B">
        <w:rPr>
          <w:rStyle w:val="libAlaemChar"/>
          <w:rtl/>
        </w:rPr>
        <w:t>)</w:t>
      </w:r>
      <w:r w:rsidRPr="00C9040A">
        <w:rPr>
          <w:rtl/>
          <w:lang w:bidi="fa-IR"/>
        </w:rPr>
        <w:t xml:space="preserve"> </w:t>
      </w:r>
      <w:r w:rsidR="006C577F" w:rsidRPr="006C577F">
        <w:rPr>
          <w:rStyle w:val="libFootnotenumChar"/>
          <w:rtl/>
        </w:rPr>
        <w:t>(3)</w:t>
      </w:r>
      <w:r w:rsidRPr="00C9040A">
        <w:rPr>
          <w:rtl/>
          <w:lang w:bidi="fa-IR"/>
        </w:rPr>
        <w:t xml:space="preserve"> ؛ فَإِنَّهُ قَدْ خَبَّرَكُمْ </w:t>
      </w:r>
      <w:r w:rsidR="006C577F" w:rsidRPr="006C577F">
        <w:rPr>
          <w:rStyle w:val="libFootnotenumChar"/>
          <w:rFonts w:hint="cs"/>
          <w:rtl/>
        </w:rPr>
        <w:t>(4)</w:t>
      </w:r>
      <w:r w:rsidRPr="00C9040A">
        <w:rPr>
          <w:rtl/>
          <w:lang w:bidi="fa-IR"/>
        </w:rPr>
        <w:t xml:space="preserve"> أَنَّهُمْ</w:t>
      </w:r>
      <w:r>
        <w:rPr>
          <w:rFonts w:hint="cs"/>
          <w:rtl/>
          <w:lang w:bidi="fa-IR"/>
        </w:rPr>
        <w:t xml:space="preserve"> </w:t>
      </w:r>
      <w:r w:rsidRPr="0003660B">
        <w:rPr>
          <w:rStyle w:val="libAlaemChar"/>
          <w:rtl/>
        </w:rPr>
        <w:t>(</w:t>
      </w:r>
      <w:r w:rsidRPr="006A2246">
        <w:rPr>
          <w:rStyle w:val="libAieChar"/>
          <w:rtl/>
        </w:rPr>
        <w:t xml:space="preserve"> رِجالٌ ل</w:t>
      </w:r>
      <w:r w:rsidR="0076130F">
        <w:rPr>
          <w:rStyle w:val="libAieChar"/>
          <w:rFonts w:hint="cs"/>
          <w:rtl/>
        </w:rPr>
        <w:t>َ</w:t>
      </w:r>
      <w:r w:rsidRPr="006A2246">
        <w:rPr>
          <w:rStyle w:val="libAieChar"/>
          <w:rtl/>
        </w:rPr>
        <w:t>ا تُلْهِيهِمْ تِجارَةٌ وَل</w:t>
      </w:r>
      <w:r w:rsidR="0076130F">
        <w:rPr>
          <w:rStyle w:val="libAieChar"/>
          <w:rFonts w:hint="cs"/>
          <w:rtl/>
        </w:rPr>
        <w:t>َ</w:t>
      </w:r>
      <w:r w:rsidRPr="006A2246">
        <w:rPr>
          <w:rStyle w:val="libAieChar"/>
          <w:rtl/>
        </w:rPr>
        <w:t xml:space="preserve">ا بَيْعٌ عَنْ ذِكْرِ اللهِ وَإِقامِ الصَّلاةِ وَإِيتاءِ الزَّكاةِ يَخافُونَ يَوْماً تَتَقَلَّبُ فِيهِ الْقُلُوبُ وَالْأَبْصارُ </w:t>
      </w:r>
      <w:r w:rsidRPr="0003660B">
        <w:rPr>
          <w:rStyle w:val="libAlaemChar"/>
          <w:rtl/>
        </w:rPr>
        <w:t>)</w:t>
      </w:r>
      <w:r w:rsidRPr="00C9040A">
        <w:rPr>
          <w:rtl/>
          <w:lang w:bidi="fa-IR"/>
        </w:rPr>
        <w:t xml:space="preserve"> </w:t>
      </w:r>
      <w:r w:rsidR="006C577F" w:rsidRPr="006C577F">
        <w:rPr>
          <w:rStyle w:val="libFootnotenumChar"/>
          <w:rtl/>
        </w:rPr>
        <w:t>(5)</w:t>
      </w:r>
      <w:r w:rsidR="00F66FDF" w:rsidRPr="00F66FDF">
        <w:rPr>
          <w:rStyle w:val="libNormalChar"/>
          <w:rFonts w:hint="cs"/>
          <w:rtl/>
        </w:rPr>
        <w:t>.</w:t>
      </w:r>
    </w:p>
    <w:p w:rsidR="008A74EB" w:rsidRPr="00C9040A" w:rsidRDefault="008A74EB" w:rsidP="008A74EB">
      <w:pPr>
        <w:pStyle w:val="libNormal"/>
        <w:rPr>
          <w:rtl/>
          <w:lang w:bidi="fa-IR"/>
        </w:rPr>
      </w:pPr>
      <w:r w:rsidRPr="00C9040A">
        <w:rPr>
          <w:rtl/>
          <w:lang w:bidi="fa-IR"/>
        </w:rPr>
        <w:t xml:space="preserve">إِنَّ اللهَ قَدِ اسْتَخْلَصَ الرُّسُلَ </w:t>
      </w:r>
      <w:r w:rsidR="006C577F" w:rsidRPr="006C577F">
        <w:rPr>
          <w:rStyle w:val="libFootnotenumChar"/>
          <w:rtl/>
        </w:rPr>
        <w:t>(6)</w:t>
      </w:r>
      <w:r w:rsidRPr="005B567D">
        <w:rPr>
          <w:rStyle w:val="libFootnotenumChar"/>
          <w:rtl/>
        </w:rPr>
        <w:t xml:space="preserve"> </w:t>
      </w:r>
      <w:r w:rsidRPr="00C9040A">
        <w:rPr>
          <w:rtl/>
          <w:lang w:bidi="fa-IR"/>
        </w:rPr>
        <w:t xml:space="preserve">لِأَمْرِهِ ، ثُمَّ </w:t>
      </w:r>
      <w:r w:rsidR="006C577F" w:rsidRPr="006C577F">
        <w:rPr>
          <w:rStyle w:val="libFootnotenumChar"/>
          <w:rtl/>
        </w:rPr>
        <w:t>(7)</w:t>
      </w:r>
      <w:r w:rsidRPr="00C9040A">
        <w:rPr>
          <w:rtl/>
          <w:lang w:bidi="fa-IR"/>
        </w:rPr>
        <w:t xml:space="preserve"> اسْتَخْلَصَهُمْ مُصَدِّقِينَ لِذلِكَ </w:t>
      </w:r>
      <w:r w:rsidR="006C577F" w:rsidRPr="006C577F">
        <w:rPr>
          <w:rStyle w:val="libFootnotenumChar"/>
          <w:rtl/>
        </w:rPr>
        <w:t>(8)</w:t>
      </w:r>
      <w:r w:rsidRPr="00C9040A">
        <w:rPr>
          <w:rtl/>
          <w:lang w:bidi="fa-IR"/>
        </w:rPr>
        <w:t xml:space="preserve"> فِي نُذُرِهِ ، فَقَالَ : </w:t>
      </w:r>
      <w:r w:rsidRPr="0003660B">
        <w:rPr>
          <w:rStyle w:val="libAlaemChar"/>
          <w:rtl/>
        </w:rPr>
        <w:t>(</w:t>
      </w:r>
      <w:r w:rsidR="00F66FDF">
        <w:rPr>
          <w:rStyle w:val="libAieChar"/>
          <w:rtl/>
        </w:rPr>
        <w:t xml:space="preserve"> وَإِنْ مِنْ أُمَّةٍ إِل</w:t>
      </w:r>
      <w:r w:rsidR="00F66FDF">
        <w:rPr>
          <w:rStyle w:val="libAieChar"/>
          <w:rFonts w:hint="cs"/>
          <w:rtl/>
        </w:rPr>
        <w:t>ّ</w:t>
      </w:r>
      <w:r w:rsidR="00F66FDF">
        <w:rPr>
          <w:rStyle w:val="libAieChar"/>
          <w:rtl/>
        </w:rPr>
        <w:t>ا</w:t>
      </w:r>
      <w:r w:rsidRPr="006A2246">
        <w:rPr>
          <w:rStyle w:val="libAieChar"/>
          <w:rtl/>
        </w:rPr>
        <w:t xml:space="preserve"> خَلا فِيها نَذِيرٌ </w:t>
      </w:r>
      <w:r w:rsidRPr="0003660B">
        <w:rPr>
          <w:rStyle w:val="libAlaemChar"/>
          <w:rtl/>
        </w:rPr>
        <w:t>)</w:t>
      </w:r>
      <w:r w:rsidRPr="00C9040A">
        <w:rPr>
          <w:rtl/>
          <w:lang w:bidi="fa-IR"/>
        </w:rPr>
        <w:t xml:space="preserve"> </w:t>
      </w:r>
      <w:r w:rsidR="006C577F" w:rsidRPr="006C577F">
        <w:rPr>
          <w:rStyle w:val="libFootnotenumChar"/>
          <w:rtl/>
        </w:rPr>
        <w:t>(9)</w:t>
      </w:r>
      <w:r w:rsidRPr="00C9040A">
        <w:rPr>
          <w:rtl/>
          <w:lang w:bidi="fa-IR"/>
        </w:rPr>
        <w:t xml:space="preserve"> تَاهَ مَنْ جَهِلَ ، وَاهْتَدى مَنْ أَبْصَرَ وَعَقَلَ ؛ إِنَّ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يَقُولُ : </w:t>
      </w:r>
      <w:r w:rsidRPr="0003660B">
        <w:rPr>
          <w:rStyle w:val="libAlaemChar"/>
          <w:rtl/>
        </w:rPr>
        <w:t>(</w:t>
      </w:r>
      <w:r w:rsidRPr="006A2246">
        <w:rPr>
          <w:rStyle w:val="libAieChar"/>
          <w:rtl/>
        </w:rPr>
        <w:t xml:space="preserve"> فَإِنَّها لا تَعْمَى الْأَبْصارُ وَلكِنْ تَعْمَى الْقُلُوبُ</w:t>
      </w:r>
      <w:r>
        <w:rPr>
          <w:rFonts w:hint="cs"/>
          <w:rtl/>
        </w:rPr>
        <w:t xml:space="preserve"> </w:t>
      </w:r>
      <w:r w:rsidR="006C577F" w:rsidRPr="006C577F">
        <w:rPr>
          <w:rStyle w:val="libFootnotenumChar"/>
          <w:rtl/>
        </w:rPr>
        <w:t>(10)</w:t>
      </w:r>
      <w:r>
        <w:rPr>
          <w:rFonts w:hint="cs"/>
          <w:rtl/>
        </w:rPr>
        <w:t xml:space="preserve"> </w:t>
      </w:r>
      <w:r w:rsidRPr="006A2246">
        <w:rPr>
          <w:rStyle w:val="libAieChar"/>
          <w:rtl/>
        </w:rPr>
        <w:t xml:space="preserve">الَّتِي فِي الصُّدُورِ </w:t>
      </w:r>
      <w:r w:rsidRPr="0003660B">
        <w:rPr>
          <w:rStyle w:val="libAlaemChar"/>
          <w:rtl/>
        </w:rPr>
        <w:t>)</w:t>
      </w:r>
      <w:r w:rsidRPr="00C9040A">
        <w:rPr>
          <w:rtl/>
          <w:lang w:bidi="fa-IR"/>
        </w:rPr>
        <w:t xml:space="preserve"> </w:t>
      </w:r>
      <w:r w:rsidR="006C577F" w:rsidRPr="006C577F">
        <w:rPr>
          <w:rStyle w:val="libFootnotenumChar"/>
          <w:rtl/>
        </w:rPr>
        <w:t>(11)</w:t>
      </w:r>
      <w:r w:rsidRPr="00C9040A">
        <w:rPr>
          <w:rtl/>
          <w:lang w:bidi="fa-IR"/>
        </w:rPr>
        <w:t xml:space="preserve"> وَكَيْفَ </w:t>
      </w:r>
      <w:r w:rsidR="006C577F" w:rsidRPr="006C577F">
        <w:rPr>
          <w:rStyle w:val="libFootnotenumChar"/>
          <w:rtl/>
        </w:rPr>
        <w:t>(12)</w:t>
      </w:r>
      <w:r w:rsidRPr="00C9040A">
        <w:rPr>
          <w:rtl/>
          <w:lang w:bidi="fa-IR"/>
        </w:rPr>
        <w:t xml:space="preserve"> يَهْتَدِي مَنْ لَمْ يُبْصِرْ </w:t>
      </w:r>
      <w:r w:rsidRPr="005B567D">
        <w:rPr>
          <w:rStyle w:val="libFootnotenumChar"/>
          <w:rtl/>
        </w:rPr>
        <w:t>(13)</w:t>
      </w:r>
      <w:r>
        <w:rPr>
          <w:rtl/>
          <w:lang w:bidi="fa-IR"/>
        </w:rPr>
        <w:t>؟</w:t>
      </w:r>
      <w:r w:rsidRPr="00C9040A">
        <w:rPr>
          <w:rtl/>
          <w:lang w:bidi="fa-IR"/>
        </w:rPr>
        <w:t xml:space="preserve"> وَكَيْفَ يُبْصِرُ مَنْ لَمْ يُنْذَرْ </w:t>
      </w:r>
      <w:r w:rsidRPr="005B567D">
        <w:rPr>
          <w:rStyle w:val="libFootnotenumChar"/>
          <w:rtl/>
        </w:rPr>
        <w:t>(14)</w:t>
      </w:r>
      <w:r>
        <w:rPr>
          <w:rtl/>
          <w:lang w:bidi="fa-IR"/>
        </w:rPr>
        <w:t>؟</w:t>
      </w:r>
      <w:r w:rsidRPr="00C9040A">
        <w:rPr>
          <w:rtl/>
          <w:lang w:bidi="fa-IR"/>
        </w:rPr>
        <w:t xml:space="preserve"> اتَّبِعُوا </w:t>
      </w:r>
      <w:r w:rsidRPr="005B567D">
        <w:rPr>
          <w:rStyle w:val="libFootnotenumChar"/>
          <w:rtl/>
        </w:rPr>
        <w:t>(15)</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الأعراف </w:t>
      </w:r>
      <w:r w:rsidR="00856166">
        <w:rPr>
          <w:rtl/>
        </w:rPr>
        <w:t>(7)</w:t>
      </w:r>
      <w:r w:rsidR="008A74EB" w:rsidRPr="00C9040A">
        <w:rPr>
          <w:rtl/>
        </w:rPr>
        <w:t xml:space="preserve"> : 31.</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ف » : « وأتوا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اقتباس من الآية 36 من سورة النور (24)</w:t>
      </w:r>
      <w:r w:rsidR="008A74EB">
        <w:rPr>
          <w:rFonts w:hint="cs"/>
          <w:rtl/>
        </w:rPr>
        <w:t xml:space="preserve"> </w:t>
      </w:r>
      <w:r w:rsidR="008A74EB" w:rsidRPr="00C9040A">
        <w:rPr>
          <w:rtl/>
        </w:rPr>
        <w:t xml:space="preserve">: </w:t>
      </w:r>
      <w:r w:rsidR="008A74EB" w:rsidRPr="00B866D3">
        <w:rPr>
          <w:rStyle w:val="libFootnoteAlaemChar"/>
          <w:rtl/>
        </w:rPr>
        <w:t>(</w:t>
      </w:r>
      <w:r w:rsidR="008A74EB" w:rsidRPr="00883DD5">
        <w:rPr>
          <w:rStyle w:val="libFootnoteAieChar"/>
          <w:rFonts w:hint="cs"/>
          <w:rtl/>
        </w:rPr>
        <w:t xml:space="preserve"> </w:t>
      </w:r>
      <w:r w:rsidR="008A74EB" w:rsidRPr="00883DD5">
        <w:rPr>
          <w:rStyle w:val="libFootnoteAieChar"/>
          <w:rtl/>
        </w:rPr>
        <w:t>فِي بُيُوتٍ أَذِنَ اللهُ أَنْ تُرْفَعَ وَيُذْكَرَ فِيهَا اسْمُهُ يُسَبِّحُ لَهُ فِيها بِالْغُدُوِّ وَالْآصالِ</w:t>
      </w:r>
      <w:r w:rsidR="008A74EB" w:rsidRPr="00883DD5">
        <w:rPr>
          <w:rStyle w:val="libFootnoteAieChar"/>
          <w:rFonts w:hint="cs"/>
          <w:rtl/>
        </w:rPr>
        <w:t xml:space="preserve"> </w:t>
      </w:r>
      <w:r w:rsidR="008A74EB" w:rsidRPr="00B866D3">
        <w:rPr>
          <w:rStyle w:val="libFootnoteAlaemChar"/>
          <w:rtl/>
        </w:rPr>
        <w:t>)</w:t>
      </w:r>
      <w:r w:rsidR="008A74EB" w:rsidRPr="00C9040A">
        <w:rPr>
          <w:rtl/>
        </w:rPr>
        <w:t>.</w:t>
      </w:r>
    </w:p>
    <w:p w:rsidR="008A74EB" w:rsidRPr="00C9040A" w:rsidRDefault="006C577F" w:rsidP="004A4E41">
      <w:pPr>
        <w:pStyle w:val="libFootnote0"/>
        <w:rPr>
          <w:rtl/>
          <w:lang w:bidi="fa-IR"/>
        </w:rPr>
      </w:pPr>
      <w:r>
        <w:rPr>
          <w:rtl/>
        </w:rPr>
        <w:t>(4).</w:t>
      </w:r>
      <w:r w:rsidR="008A74EB" w:rsidRPr="00C9040A">
        <w:rPr>
          <w:rtl/>
        </w:rPr>
        <w:t xml:space="preserve"> في الكافي ، ح 474 : « أخبركم » بدل « قد خبّركم »</w:t>
      </w:r>
      <w:r w:rsidR="008A74EB">
        <w:rPr>
          <w:rtl/>
        </w:rPr>
        <w:t>.</w:t>
      </w:r>
    </w:p>
    <w:p w:rsidR="008A74EB" w:rsidRPr="004A4E41" w:rsidRDefault="006C577F" w:rsidP="004A4E41">
      <w:pPr>
        <w:pStyle w:val="libFootnote0"/>
        <w:rPr>
          <w:rStyle w:val="libFootnote0Char"/>
          <w:rtl/>
        </w:rPr>
      </w:pPr>
      <w:r>
        <w:rPr>
          <w:rtl/>
        </w:rPr>
        <w:t>(5).</w:t>
      </w:r>
      <w:r w:rsidR="008A74EB" w:rsidRPr="00C9040A">
        <w:rPr>
          <w:rtl/>
        </w:rPr>
        <w:t xml:space="preserve"> النور (24) : 37. وفي </w:t>
      </w:r>
      <w:r w:rsidR="008A74EB" w:rsidRPr="00993B55">
        <w:rPr>
          <w:rStyle w:val="libFootnoteBoldChar"/>
          <w:rtl/>
        </w:rPr>
        <w:t>الوافي</w:t>
      </w:r>
      <w:r w:rsidR="008A74EB" w:rsidRPr="00C9040A">
        <w:rPr>
          <w:rtl/>
        </w:rPr>
        <w:t xml:space="preserve"> : « وا</w:t>
      </w:r>
      <w:r w:rsidR="00AC1A71">
        <w:rPr>
          <w:rFonts w:hint="cs"/>
          <w:rtl/>
        </w:rPr>
        <w:t>ُ</w:t>
      </w:r>
      <w:r w:rsidR="008A74EB" w:rsidRPr="00C9040A">
        <w:rPr>
          <w:rtl/>
        </w:rPr>
        <w:t xml:space="preserve">وِّلَ الزينة بمعرفة الإمام ، والمسجد بمطلق العبادة ، والبيوت ببيوت أهل العصمة سلام الله عليهم ، والرجال بهم </w:t>
      </w:r>
      <w:r w:rsidR="00117575" w:rsidRPr="00117575">
        <w:rPr>
          <w:rStyle w:val="libFootnoteAlaemChar"/>
          <w:rtl/>
        </w:rPr>
        <w:t>عليهم‌السلام</w:t>
      </w:r>
      <w:r w:rsidR="008A74EB" w:rsidRPr="00C9040A">
        <w:rPr>
          <w:rtl/>
        </w:rPr>
        <w:t>. والمراد بعدم إلهائهم البيع والتجارة عن الذكر أنّهم يجمعون بين ذين وذا ، لا أنّهم يتركونها رأساً ، كما ورد النصّ عليه في خبر آخر »</w:t>
      </w:r>
      <w:r w:rsidR="008A74EB">
        <w:rPr>
          <w:rtl/>
        </w:rPr>
        <w:t>.</w:t>
      </w:r>
    </w:p>
    <w:tbl>
      <w:tblPr>
        <w:tblStyle w:val="TableGrid"/>
        <w:bidiVisual/>
        <w:tblW w:w="0" w:type="auto"/>
        <w:tblLook w:val="04A0" w:firstRow="1" w:lastRow="0" w:firstColumn="1" w:lastColumn="0" w:noHBand="0" w:noVBand="1"/>
      </w:tblPr>
      <w:tblGrid>
        <w:gridCol w:w="4006"/>
        <w:gridCol w:w="4006"/>
      </w:tblGrid>
      <w:tr w:rsidR="00AC1A71" w:rsidTr="00AC1A71">
        <w:tc>
          <w:tcPr>
            <w:tcW w:w="4006" w:type="dxa"/>
          </w:tcPr>
          <w:p w:rsidR="00AC1A71" w:rsidRDefault="00AC1A71" w:rsidP="004A4E41">
            <w:pPr>
              <w:pStyle w:val="libFootnote0"/>
              <w:rPr>
                <w:rtl/>
              </w:rPr>
            </w:pPr>
            <w:r>
              <w:rPr>
                <w:rtl/>
              </w:rPr>
              <w:t xml:space="preserve">(6). </w:t>
            </w:r>
            <w:r w:rsidRPr="00C9040A">
              <w:rPr>
                <w:rtl/>
              </w:rPr>
              <w:t>في « ف » : « الرسول »</w:t>
            </w:r>
            <w:r>
              <w:rPr>
                <w:rtl/>
              </w:rPr>
              <w:t>.</w:t>
            </w:r>
          </w:p>
        </w:tc>
        <w:tc>
          <w:tcPr>
            <w:tcW w:w="4006" w:type="dxa"/>
          </w:tcPr>
          <w:p w:rsidR="00AC1A71" w:rsidRDefault="00AC1A71" w:rsidP="004A4E41">
            <w:pPr>
              <w:pStyle w:val="libFootnote0"/>
              <w:rPr>
                <w:rtl/>
              </w:rPr>
            </w:pPr>
            <w:r>
              <w:rPr>
                <w:rtl/>
              </w:rPr>
              <w:t>(7).</w:t>
            </w:r>
            <w:r w:rsidRPr="00C9040A">
              <w:rPr>
                <w:rtl/>
              </w:rPr>
              <w:t xml:space="preserve"> في « ف » : « و</w:t>
            </w:r>
            <w:r>
              <w:rPr>
                <w:rFonts w:hint="cs"/>
                <w:rtl/>
              </w:rPr>
              <w:t xml:space="preserve"> </w:t>
            </w:r>
            <w:r w:rsidRPr="00C9040A">
              <w:rPr>
                <w:rtl/>
              </w:rPr>
              <w:t>»</w:t>
            </w:r>
            <w:r>
              <w:rPr>
                <w:rtl/>
              </w:rPr>
              <w:t>.</w:t>
            </w:r>
          </w:p>
        </w:tc>
      </w:tr>
      <w:tr w:rsidR="00AC1A71" w:rsidTr="00AC1A71">
        <w:tc>
          <w:tcPr>
            <w:tcW w:w="4006" w:type="dxa"/>
          </w:tcPr>
          <w:p w:rsidR="00AC1A71" w:rsidRDefault="00F024C8" w:rsidP="004A4E41">
            <w:pPr>
              <w:pStyle w:val="libFootnote0"/>
              <w:rPr>
                <w:rtl/>
              </w:rPr>
            </w:pPr>
            <w:r>
              <w:rPr>
                <w:rtl/>
              </w:rPr>
              <w:t>(8).</w:t>
            </w:r>
            <w:r w:rsidRPr="00C9040A">
              <w:rPr>
                <w:rtl/>
              </w:rPr>
              <w:t xml:space="preserve"> في الكافي ، ح 474 : « بذلك »</w:t>
            </w:r>
            <w:r>
              <w:rPr>
                <w:rtl/>
              </w:rPr>
              <w:t>.</w:t>
            </w:r>
          </w:p>
        </w:tc>
        <w:tc>
          <w:tcPr>
            <w:tcW w:w="4006" w:type="dxa"/>
          </w:tcPr>
          <w:p w:rsidR="00AC1A71" w:rsidRDefault="00F024C8" w:rsidP="004A4E41">
            <w:pPr>
              <w:pStyle w:val="libFootnote0"/>
              <w:rPr>
                <w:rtl/>
              </w:rPr>
            </w:pPr>
            <w:r>
              <w:rPr>
                <w:rtl/>
              </w:rPr>
              <w:t>(9).</w:t>
            </w:r>
            <w:r w:rsidRPr="00C9040A">
              <w:rPr>
                <w:rtl/>
              </w:rPr>
              <w:t xml:space="preserve"> فاطر (35) : 24.</w:t>
            </w:r>
          </w:p>
        </w:tc>
      </w:tr>
    </w:tbl>
    <w:p w:rsidR="008A74EB" w:rsidRPr="004A4E41" w:rsidRDefault="006C577F" w:rsidP="004A4E41">
      <w:pPr>
        <w:pStyle w:val="libFootnote0"/>
        <w:rPr>
          <w:rStyle w:val="libFootnote0Char"/>
          <w:rtl/>
        </w:rPr>
      </w:pPr>
      <w:r>
        <w:rPr>
          <w:rtl/>
        </w:rPr>
        <w:t>(10).</w:t>
      </w:r>
      <w:r w:rsidR="008A74EB" w:rsidRPr="00C9040A">
        <w:rPr>
          <w:rtl/>
        </w:rPr>
        <w:t xml:space="preserve"> « القلب » : هو الفؤاد. وقيل : هو أخصّ منه. وقيل : هما سواء. والجمع : قلوب. وعن بعض أهل التحقيق : إنّ‌القلب يطلق على معنيين : أحدهما : اللحم الصنوبري الشكل ال</w:t>
      </w:r>
      <w:r w:rsidR="00B24EC2">
        <w:rPr>
          <w:rFonts w:hint="cs"/>
          <w:rtl/>
        </w:rPr>
        <w:t>ـ</w:t>
      </w:r>
      <w:r w:rsidR="008A74EB" w:rsidRPr="00C9040A">
        <w:rPr>
          <w:rtl/>
        </w:rPr>
        <w:t>مُودع في الجانب الأيسر من الصدر ، وهو لحم مخصوص ، وفي باطنه تجويف وفي ذلك التجويف دم أسود ، وهو منبع الروح ومعدنه. وهذا المعنى من القلب موجود للبهائم ، بل للميّت. والمعنى الثاني : لطيفة ربّانيّة روحانيّة لها بهذا القلب تعلّق ، وتلك اللطيفة هي المعبّر عنها بالقلب تارة ، وبالنفس ا</w:t>
      </w:r>
      <w:r w:rsidR="00B24EC2">
        <w:rPr>
          <w:rFonts w:hint="cs"/>
          <w:rtl/>
        </w:rPr>
        <w:t>ُ</w:t>
      </w:r>
      <w:r w:rsidR="008A74EB" w:rsidRPr="00C9040A">
        <w:rPr>
          <w:rtl/>
        </w:rPr>
        <w:t>خرى ، وبالروح ا</w:t>
      </w:r>
      <w:r w:rsidR="00B24EC2">
        <w:rPr>
          <w:rFonts w:hint="cs"/>
          <w:rtl/>
        </w:rPr>
        <w:t>ُ</w:t>
      </w:r>
      <w:r w:rsidR="008A74EB" w:rsidRPr="00C9040A">
        <w:rPr>
          <w:rtl/>
        </w:rPr>
        <w:t>خرى ، وبالإنسان أيضاً. وهو ال</w:t>
      </w:r>
      <w:r w:rsidR="00B24EC2">
        <w:rPr>
          <w:rFonts w:hint="cs"/>
          <w:rtl/>
        </w:rPr>
        <w:t>ـ</w:t>
      </w:r>
      <w:r w:rsidR="008A74EB" w:rsidRPr="00C9040A">
        <w:rPr>
          <w:rtl/>
        </w:rPr>
        <w:t>مُدْرِك العالِمُ العارف ، وهو المخاطب والمطالب وال</w:t>
      </w:r>
      <w:r w:rsidR="00B24EC2">
        <w:rPr>
          <w:rFonts w:hint="cs"/>
          <w:rtl/>
        </w:rPr>
        <w:t>ـ</w:t>
      </w:r>
      <w:r w:rsidR="008A74EB" w:rsidRPr="00C9040A">
        <w:rPr>
          <w:rtl/>
        </w:rPr>
        <w:t xml:space="preserve">مُعاقَب. وله علاقة مع القلب الجسماني ، وقد تحيّر أكثر الخلق في إدراك وجه علاقته. </w:t>
      </w:r>
      <w:r w:rsidR="008A74EB" w:rsidRPr="00993B55">
        <w:rPr>
          <w:rStyle w:val="libFootnoteBoldChar"/>
          <w:rtl/>
        </w:rPr>
        <w:t>مجمع البحرين</w:t>
      </w:r>
      <w:r w:rsidR="008A74EB" w:rsidRPr="00C9040A">
        <w:rPr>
          <w:rtl/>
        </w:rPr>
        <w:t xml:space="preserve"> ، ج 2 ، ص 147 ( قلب )</w:t>
      </w:r>
      <w:r w:rsidR="008A74EB">
        <w:rPr>
          <w:rtl/>
        </w:rPr>
        <w:t>.</w:t>
      </w:r>
    </w:p>
    <w:tbl>
      <w:tblPr>
        <w:tblStyle w:val="TableGrid"/>
        <w:bidiVisual/>
        <w:tblW w:w="0" w:type="auto"/>
        <w:tblLook w:val="04A0" w:firstRow="1" w:lastRow="0" w:firstColumn="1" w:lastColumn="0" w:noHBand="0" w:noVBand="1"/>
      </w:tblPr>
      <w:tblGrid>
        <w:gridCol w:w="4006"/>
        <w:gridCol w:w="4006"/>
      </w:tblGrid>
      <w:tr w:rsidR="00B24EC2" w:rsidTr="00B24EC2">
        <w:tc>
          <w:tcPr>
            <w:tcW w:w="4006" w:type="dxa"/>
          </w:tcPr>
          <w:p w:rsidR="00B24EC2" w:rsidRDefault="00B24EC2" w:rsidP="004A4E41">
            <w:pPr>
              <w:pStyle w:val="libFootnote0"/>
              <w:rPr>
                <w:rtl/>
              </w:rPr>
            </w:pPr>
            <w:r>
              <w:rPr>
                <w:rtl/>
              </w:rPr>
              <w:t>(11).</w:t>
            </w:r>
            <w:r w:rsidRPr="00C9040A">
              <w:rPr>
                <w:rtl/>
              </w:rPr>
              <w:t xml:space="preserve"> الحجّ (22) : 46.</w:t>
            </w:r>
          </w:p>
        </w:tc>
        <w:tc>
          <w:tcPr>
            <w:tcW w:w="4006" w:type="dxa"/>
          </w:tcPr>
          <w:p w:rsidR="00B24EC2" w:rsidRDefault="00B24EC2" w:rsidP="004A4E41">
            <w:pPr>
              <w:pStyle w:val="libFootnote0"/>
              <w:rPr>
                <w:rtl/>
              </w:rPr>
            </w:pPr>
            <w:r>
              <w:rPr>
                <w:rtl/>
              </w:rPr>
              <w:t>(12).</w:t>
            </w:r>
            <w:r w:rsidRPr="00C9040A">
              <w:rPr>
                <w:rtl/>
              </w:rPr>
              <w:t xml:space="preserve"> في « ف » : « فكيف »</w:t>
            </w:r>
            <w:r>
              <w:rPr>
                <w:rtl/>
              </w:rPr>
              <w:t>.</w:t>
            </w:r>
          </w:p>
        </w:tc>
      </w:tr>
      <w:tr w:rsidR="00B24EC2" w:rsidTr="00B24EC2">
        <w:tc>
          <w:tcPr>
            <w:tcW w:w="4006" w:type="dxa"/>
          </w:tcPr>
          <w:p w:rsidR="00B24EC2" w:rsidRDefault="00B24EC2" w:rsidP="004A4E41">
            <w:pPr>
              <w:pStyle w:val="libFootnote0"/>
              <w:rPr>
                <w:rtl/>
              </w:rPr>
            </w:pPr>
            <w:r>
              <w:rPr>
                <w:rtl/>
              </w:rPr>
              <w:t>(13)</w:t>
            </w:r>
            <w:r w:rsidRPr="00C9040A">
              <w:rPr>
                <w:rtl/>
              </w:rPr>
              <w:t xml:space="preserve"> في « بر ، بف » : « لا يبصر »</w:t>
            </w:r>
            <w:r>
              <w:rPr>
                <w:rtl/>
              </w:rPr>
              <w:t>.</w:t>
            </w:r>
          </w:p>
        </w:tc>
        <w:tc>
          <w:tcPr>
            <w:tcW w:w="4006" w:type="dxa"/>
          </w:tcPr>
          <w:p w:rsidR="00B24EC2" w:rsidRDefault="00B24EC2" w:rsidP="004A4E41">
            <w:pPr>
              <w:pStyle w:val="libFootnote0"/>
              <w:rPr>
                <w:rtl/>
              </w:rPr>
            </w:pPr>
            <w:r>
              <w:rPr>
                <w:rtl/>
              </w:rPr>
              <w:t>(14)</w:t>
            </w:r>
            <w:r w:rsidRPr="00C9040A">
              <w:rPr>
                <w:rtl/>
              </w:rPr>
              <w:t xml:space="preserve"> في « بس » والكافي ، ح 474 : « لم يتدبّر »</w:t>
            </w:r>
            <w:r>
              <w:rPr>
                <w:rtl/>
              </w:rPr>
              <w:t>.</w:t>
            </w:r>
          </w:p>
        </w:tc>
      </w:tr>
    </w:tbl>
    <w:p w:rsidR="008A74EB" w:rsidRPr="00C9040A" w:rsidRDefault="008A74EB" w:rsidP="004A4E41">
      <w:pPr>
        <w:pStyle w:val="libFootnote0"/>
        <w:rPr>
          <w:rtl/>
          <w:lang w:bidi="fa-IR"/>
        </w:rPr>
      </w:pPr>
      <w:r>
        <w:rPr>
          <w:rtl/>
        </w:rPr>
        <w:t>(15)</w:t>
      </w:r>
      <w:r w:rsidRPr="00C9040A">
        <w:rPr>
          <w:rtl/>
        </w:rPr>
        <w:t xml:space="preserve"> في كمال الدين : + « قول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رَسُولَ اللهِ </w:t>
      </w:r>
      <w:r w:rsidR="006C577F" w:rsidRPr="006C577F">
        <w:rPr>
          <w:rStyle w:val="libFootnotenumChar"/>
          <w:rtl/>
        </w:rPr>
        <w:t>(1)</w:t>
      </w:r>
      <w:r w:rsidR="004A4E41" w:rsidRPr="004A4E41">
        <w:rPr>
          <w:rStyle w:val="libAlaemChar"/>
          <w:rtl/>
        </w:rPr>
        <w:t>صلى‌الله‌عليه‌وآله</w:t>
      </w:r>
      <w:r w:rsidRPr="00C9040A">
        <w:rPr>
          <w:rtl/>
          <w:lang w:bidi="fa-IR"/>
        </w:rPr>
        <w:t xml:space="preserve"> </w:t>
      </w:r>
      <w:r w:rsidR="006C577F" w:rsidRPr="006C577F">
        <w:rPr>
          <w:rStyle w:val="libFootnotenumChar"/>
          <w:rtl/>
        </w:rPr>
        <w:t>(2)</w:t>
      </w:r>
      <w:r w:rsidRPr="00C9040A">
        <w:rPr>
          <w:rtl/>
          <w:lang w:bidi="fa-IR"/>
        </w:rPr>
        <w:t xml:space="preserve"> ، وَأَقِرُّوا بِمَا نَزَلَ </w:t>
      </w:r>
      <w:r w:rsidR="006C577F" w:rsidRPr="006C577F">
        <w:rPr>
          <w:rStyle w:val="libFootnotenumChar"/>
          <w:rtl/>
        </w:rPr>
        <w:t>(3)</w:t>
      </w:r>
      <w:r w:rsidRPr="00C9040A">
        <w:rPr>
          <w:rtl/>
          <w:lang w:bidi="fa-IR"/>
        </w:rPr>
        <w:t xml:space="preserve"> مِنْ عِنْدِ </w:t>
      </w:r>
      <w:r w:rsidR="006C577F" w:rsidRPr="006C577F">
        <w:rPr>
          <w:rStyle w:val="libFootnotenumChar"/>
          <w:rtl/>
        </w:rPr>
        <w:t>(4)</w:t>
      </w:r>
      <w:r w:rsidRPr="00C9040A">
        <w:rPr>
          <w:rtl/>
          <w:lang w:bidi="fa-IR"/>
        </w:rPr>
        <w:t xml:space="preserve"> اللهِ ، وَاتَّبِعُوا </w:t>
      </w:r>
      <w:r w:rsidR="006C577F" w:rsidRPr="006C577F">
        <w:rPr>
          <w:rStyle w:val="libFootnotenumChar"/>
          <w:rtl/>
        </w:rPr>
        <w:t>(5)</w:t>
      </w:r>
      <w:r w:rsidRPr="00C9040A">
        <w:rPr>
          <w:rtl/>
          <w:lang w:bidi="fa-IR"/>
        </w:rPr>
        <w:t xml:space="preserve"> آثَارَ الْهُدى ؛ فَإِنَّهُمْ </w:t>
      </w:r>
      <w:r w:rsidR="006C577F" w:rsidRPr="006C577F">
        <w:rPr>
          <w:rStyle w:val="libFootnotenumChar"/>
          <w:rtl/>
        </w:rPr>
        <w:t>(6)</w:t>
      </w:r>
      <w:r w:rsidRPr="00C9040A">
        <w:rPr>
          <w:rtl/>
          <w:lang w:bidi="fa-IR"/>
        </w:rPr>
        <w:t>عَلَامَاتُ الْأَمَانَةِ وَالتُّقى.</w:t>
      </w:r>
    </w:p>
    <w:p w:rsidR="008A74EB" w:rsidRPr="00C9040A" w:rsidRDefault="008A74EB" w:rsidP="008A74EB">
      <w:pPr>
        <w:pStyle w:val="libNormal"/>
        <w:rPr>
          <w:rtl/>
          <w:lang w:bidi="fa-IR"/>
        </w:rPr>
      </w:pPr>
      <w:r w:rsidRPr="00C9040A">
        <w:rPr>
          <w:rtl/>
          <w:lang w:bidi="fa-IR"/>
        </w:rPr>
        <w:t xml:space="preserve">وَاعْلَمُوا أَنَّهُ لَوْ أَنْكَرَ رَجُلٌ عِيسَى بْنَ مَرْيَمَ </w:t>
      </w:r>
      <w:r w:rsidRPr="0003660B">
        <w:rPr>
          <w:rStyle w:val="libAlaemChar"/>
          <w:rtl/>
        </w:rPr>
        <w:t>عليه‌السلام</w:t>
      </w:r>
      <w:r w:rsidRPr="00C9040A">
        <w:rPr>
          <w:rtl/>
          <w:lang w:bidi="fa-IR"/>
        </w:rPr>
        <w:t xml:space="preserve"> ، وَأَقَرَّ بِمَنْ سِوَاهُ مِنَ الرُّسُلِ ، لَمْ يُؤْمِنْ ؛ اقْتَصُّوا </w:t>
      </w:r>
      <w:r w:rsidR="006C577F" w:rsidRPr="006C577F">
        <w:rPr>
          <w:rStyle w:val="libFootnotenumChar"/>
          <w:rtl/>
        </w:rPr>
        <w:t>(7)</w:t>
      </w:r>
      <w:r w:rsidRPr="00C9040A">
        <w:rPr>
          <w:rtl/>
          <w:lang w:bidi="fa-IR"/>
        </w:rPr>
        <w:t xml:space="preserve"> الطَّرِيقَ بِالْتِمَاسِ الْمَنَارِ </w:t>
      </w:r>
      <w:r w:rsidR="006C577F" w:rsidRPr="006C577F">
        <w:rPr>
          <w:rStyle w:val="libFootnotenumChar"/>
          <w:rtl/>
        </w:rPr>
        <w:t>(8)</w:t>
      </w:r>
      <w:r w:rsidRPr="00C9040A">
        <w:rPr>
          <w:rtl/>
          <w:lang w:bidi="fa-IR"/>
        </w:rPr>
        <w:t xml:space="preserve"> ، وَالْتَمِسُوا مِنْ وَرَاءِ الْحُجُبِ الْآثَارَ ؛ تَسْتَكْمِلُوا أَمْرَ دِينِكُمْ ، وَتُؤْمِنُوا بِاللهِ رَبِّكُمْ »</w:t>
      </w:r>
      <w:r>
        <w:rPr>
          <w:rtl/>
          <w:lang w:bidi="fa-IR"/>
        </w:rPr>
        <w:t>.</w:t>
      </w:r>
      <w:r w:rsidRPr="00C9040A">
        <w:rPr>
          <w:rtl/>
          <w:lang w:bidi="fa-IR"/>
        </w:rPr>
        <w:t xml:space="preserve"> </w:t>
      </w:r>
      <w:r w:rsidR="006C577F" w:rsidRPr="006C577F">
        <w:rPr>
          <w:rStyle w:val="libFootnotenumChar"/>
          <w:rtl/>
        </w:rPr>
        <w:t>(9)</w:t>
      </w:r>
      <w:r w:rsidRPr="00C9040A">
        <w:rPr>
          <w:rtl/>
          <w:lang w:bidi="fa-IR"/>
        </w:rPr>
        <w:t>‌</w:t>
      </w:r>
    </w:p>
    <w:p w:rsidR="008A74EB" w:rsidRPr="00C9040A" w:rsidRDefault="008A74EB" w:rsidP="008A74EB">
      <w:pPr>
        <w:pStyle w:val="libNormal"/>
        <w:rPr>
          <w:rtl/>
          <w:lang w:bidi="fa-IR"/>
        </w:rPr>
      </w:pPr>
      <w:r w:rsidRPr="00EC21FE">
        <w:rPr>
          <w:rtl/>
        </w:rPr>
        <w:t>1542</w:t>
      </w:r>
      <w:r w:rsidRPr="00261CB0">
        <w:rPr>
          <w:rStyle w:val="libBold2Char"/>
          <w:rtl/>
        </w:rPr>
        <w:t xml:space="preserve"> / 4.</w:t>
      </w:r>
      <w:r w:rsidRPr="00C9040A">
        <w:rPr>
          <w:rtl/>
          <w:lang w:bidi="fa-IR"/>
        </w:rPr>
        <w:t xml:space="preserve"> عَنْهُ </w:t>
      </w:r>
      <w:r w:rsidR="006C577F" w:rsidRPr="006C577F">
        <w:rPr>
          <w:rStyle w:val="libFootnotenumChar"/>
          <w:rtl/>
        </w:rPr>
        <w:t>(10)</w:t>
      </w:r>
      <w:r w:rsidRPr="00C9040A">
        <w:rPr>
          <w:rtl/>
          <w:lang w:bidi="fa-IR"/>
        </w:rPr>
        <w:t xml:space="preserve"> ، عَنْ أَبِيهِ ، عَنْ سُلَيْمَانَ الْجَعْفَرِيِّ :</w:t>
      </w:r>
    </w:p>
    <w:p w:rsidR="008A74EB" w:rsidRPr="00C9040A" w:rsidRDefault="008A74EB" w:rsidP="008A74EB">
      <w:pPr>
        <w:pStyle w:val="libNormal"/>
        <w:rPr>
          <w:rtl/>
          <w:lang w:bidi="fa-IR"/>
        </w:rPr>
      </w:pPr>
      <w:r w:rsidRPr="00C9040A">
        <w:rPr>
          <w:rtl/>
          <w:lang w:bidi="fa-IR"/>
        </w:rPr>
        <w:t xml:space="preserve">عَنْ أَبِي الْحَسَنِ الرِّضَا ، عَنْ أَبِيهِ </w:t>
      </w:r>
      <w:r w:rsidRPr="0003660B">
        <w:rPr>
          <w:rStyle w:val="libAlaemChar"/>
          <w:rtl/>
        </w:rPr>
        <w:t>عليهما‌السلام</w:t>
      </w:r>
      <w:r w:rsidRPr="00C9040A">
        <w:rPr>
          <w:rtl/>
          <w:lang w:bidi="fa-IR"/>
        </w:rPr>
        <w:t xml:space="preserve"> ، قَالَ : « رَفَعَ </w:t>
      </w:r>
      <w:r w:rsidR="006C577F" w:rsidRPr="006C577F">
        <w:rPr>
          <w:rStyle w:val="libFootnotenumChar"/>
          <w:rtl/>
        </w:rPr>
        <w:t>(11)</w:t>
      </w:r>
      <w:r w:rsidRPr="00C9040A">
        <w:rPr>
          <w:rtl/>
          <w:lang w:bidi="fa-IR"/>
        </w:rPr>
        <w:t xml:space="preserve"> إِلى رَسُولِ اللهِ </w:t>
      </w:r>
      <w:r w:rsidR="004A4E41" w:rsidRPr="004A4E41">
        <w:rPr>
          <w:rStyle w:val="libAlaemChar"/>
          <w:rtl/>
        </w:rPr>
        <w:t>صلى‌الله‌عليه‌وآله</w:t>
      </w:r>
      <w:r w:rsidRPr="00C9040A">
        <w:rPr>
          <w:rtl/>
          <w:lang w:bidi="fa-IR"/>
        </w:rPr>
        <w:t xml:space="preserve"> قَوْمٌ فِي بَعْضِ غَزَوَاتِهِ ، فَقَالَ : مَنِ الْقَوْمُ </w:t>
      </w:r>
      <w:r w:rsidR="006C577F" w:rsidRPr="006C577F">
        <w:rPr>
          <w:rStyle w:val="libFootnotenumChar"/>
          <w:rtl/>
        </w:rPr>
        <w:t>(12)</w:t>
      </w:r>
      <w:r>
        <w:rPr>
          <w:rtl/>
          <w:lang w:bidi="fa-IR"/>
        </w:rPr>
        <w:t>؟</w:t>
      </w:r>
      <w:r w:rsidRPr="00C9040A">
        <w:rPr>
          <w:rtl/>
          <w:lang w:bidi="fa-IR"/>
        </w:rPr>
        <w:t xml:space="preserve"> فَقَالُوا : مُؤْمِنُونَ يَا رَسُولَ اللهِ </w:t>
      </w:r>
      <w:r w:rsidRPr="005B567D">
        <w:rPr>
          <w:rStyle w:val="libFootnotenumChar"/>
          <w:rtl/>
        </w:rPr>
        <w:t>(13)</w:t>
      </w:r>
      <w:r w:rsidRPr="00C9040A">
        <w:rPr>
          <w:rtl/>
          <w:lang w:bidi="fa-IR"/>
        </w:rPr>
        <w:t xml:space="preserve"> ، قَالَ </w:t>
      </w:r>
      <w:r w:rsidRPr="005B567D">
        <w:rPr>
          <w:rStyle w:val="libFootnotenumChar"/>
          <w:rtl/>
        </w:rPr>
        <w:t>(14)</w:t>
      </w:r>
      <w:r w:rsidRPr="00C9040A">
        <w:rPr>
          <w:rtl/>
          <w:lang w:bidi="fa-IR"/>
        </w:rPr>
        <w:t xml:space="preserve"> : وَمَا بَلَغَ مِنْ‌</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9073BC" w:rsidTr="009073BC">
        <w:tc>
          <w:tcPr>
            <w:tcW w:w="4006" w:type="dxa"/>
          </w:tcPr>
          <w:p w:rsidR="009073BC" w:rsidRDefault="009073BC" w:rsidP="004A4E41">
            <w:pPr>
              <w:pStyle w:val="libFootnote0"/>
              <w:rPr>
                <w:rtl/>
              </w:rPr>
            </w:pPr>
            <w:r>
              <w:rPr>
                <w:rtl/>
              </w:rPr>
              <w:t>(1).</w:t>
            </w:r>
            <w:r w:rsidRPr="00C9040A">
              <w:rPr>
                <w:rtl/>
              </w:rPr>
              <w:t xml:space="preserve"> في « ج » : « رسوله »</w:t>
            </w:r>
            <w:r>
              <w:rPr>
                <w:rtl/>
              </w:rPr>
              <w:t>.</w:t>
            </w:r>
          </w:p>
        </w:tc>
        <w:tc>
          <w:tcPr>
            <w:tcW w:w="4006" w:type="dxa"/>
          </w:tcPr>
          <w:p w:rsidR="009073BC" w:rsidRDefault="009073BC" w:rsidP="004A4E41">
            <w:pPr>
              <w:pStyle w:val="libFootnote0"/>
              <w:rPr>
                <w:rtl/>
              </w:rPr>
            </w:pPr>
            <w:r>
              <w:rPr>
                <w:rtl/>
              </w:rPr>
              <w:t xml:space="preserve">(2). </w:t>
            </w:r>
            <w:r w:rsidRPr="00C9040A">
              <w:rPr>
                <w:rtl/>
              </w:rPr>
              <w:t>في الكافي ، ح 474 : + « وأهل بيته »</w:t>
            </w:r>
            <w:r>
              <w:rPr>
                <w:rtl/>
              </w:rPr>
              <w:t>.</w:t>
            </w:r>
          </w:p>
        </w:tc>
      </w:tr>
      <w:tr w:rsidR="009073BC" w:rsidTr="009073BC">
        <w:tc>
          <w:tcPr>
            <w:tcW w:w="4006" w:type="dxa"/>
          </w:tcPr>
          <w:p w:rsidR="009073BC" w:rsidRDefault="009073BC" w:rsidP="004A4E41">
            <w:pPr>
              <w:pStyle w:val="libFootnote0"/>
              <w:rPr>
                <w:rtl/>
              </w:rPr>
            </w:pPr>
            <w:r>
              <w:rPr>
                <w:rtl/>
              </w:rPr>
              <w:t>(3).</w:t>
            </w:r>
            <w:r w:rsidRPr="00C9040A">
              <w:rPr>
                <w:rtl/>
              </w:rPr>
              <w:t xml:space="preserve"> في البحار : « أنزل »</w:t>
            </w:r>
            <w:r>
              <w:rPr>
                <w:rtl/>
              </w:rPr>
              <w:t>.</w:t>
            </w:r>
          </w:p>
        </w:tc>
        <w:tc>
          <w:tcPr>
            <w:tcW w:w="4006" w:type="dxa"/>
          </w:tcPr>
          <w:p w:rsidR="009073BC" w:rsidRDefault="009073BC" w:rsidP="004A4E41">
            <w:pPr>
              <w:pStyle w:val="libFootnote0"/>
              <w:rPr>
                <w:rtl/>
              </w:rPr>
            </w:pPr>
            <w:r>
              <w:rPr>
                <w:rtl/>
              </w:rPr>
              <w:t>(4).</w:t>
            </w:r>
            <w:r w:rsidRPr="00C9040A">
              <w:rPr>
                <w:rtl/>
              </w:rPr>
              <w:t xml:space="preserve"> في البحار </w:t>
            </w:r>
            <w:r>
              <w:rPr>
                <w:rtl/>
              </w:rPr>
              <w:t>: -</w:t>
            </w:r>
            <w:r w:rsidRPr="00C9040A">
              <w:rPr>
                <w:rtl/>
              </w:rPr>
              <w:t xml:space="preserve"> « من عند »</w:t>
            </w:r>
            <w:r>
              <w:rPr>
                <w:rtl/>
              </w:rPr>
              <w:t>.</w:t>
            </w:r>
          </w:p>
        </w:tc>
      </w:tr>
    </w:tbl>
    <w:p w:rsidR="008A74EB" w:rsidRPr="00C9040A" w:rsidRDefault="006C577F" w:rsidP="004A4E41">
      <w:pPr>
        <w:pStyle w:val="libFootnote0"/>
        <w:rPr>
          <w:rtl/>
          <w:lang w:bidi="fa-IR"/>
        </w:rPr>
      </w:pPr>
      <w:r>
        <w:rPr>
          <w:rtl/>
        </w:rPr>
        <w:t>(5).</w:t>
      </w:r>
      <w:r w:rsidR="008A74EB" w:rsidRPr="00C9040A">
        <w:rPr>
          <w:rtl/>
        </w:rPr>
        <w:t xml:space="preserve"> في الوافي ومرآة العقول وهامش المطبوع : « في بعض النسخ : وابتغوا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البحار : « فإنّها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ص » : « اقتفوا »</w:t>
      </w:r>
      <w:r w:rsidR="008A74EB">
        <w:rPr>
          <w:rtl/>
        </w:rPr>
        <w:t>.</w:t>
      </w:r>
      <w:r w:rsidR="008A74EB" w:rsidRPr="00C9040A">
        <w:rPr>
          <w:rtl/>
        </w:rPr>
        <w:t xml:space="preserve"> وفي كمال الدين : « اقصدوا »</w:t>
      </w:r>
      <w:r w:rsidR="008A74EB">
        <w:rPr>
          <w:rtl/>
        </w:rPr>
        <w:t>.</w:t>
      </w:r>
      <w:r w:rsidR="008A74EB" w:rsidRPr="00C9040A">
        <w:rPr>
          <w:rtl/>
        </w:rPr>
        <w:t xml:space="preserve"> وقَصَّ أثره : تتبّعه. وكذلك اقتصّ أثره وتقصّص أثره. </w:t>
      </w:r>
      <w:r w:rsidR="008A74EB" w:rsidRPr="00993B55">
        <w:rPr>
          <w:rStyle w:val="libFootnoteBoldChar"/>
          <w:rtl/>
        </w:rPr>
        <w:t>الصحاح</w:t>
      </w:r>
      <w:r w:rsidR="008A74EB" w:rsidRPr="00C9040A">
        <w:rPr>
          <w:rtl/>
        </w:rPr>
        <w:t xml:space="preserve"> ، ج 3 ، ص 1051 ( قصص )</w:t>
      </w:r>
      <w:r w:rsidR="008A74EB">
        <w:rPr>
          <w:rtl/>
        </w:rPr>
        <w:t>.</w:t>
      </w:r>
      <w:r w:rsidR="00E21A43">
        <w:rPr>
          <w:rFonts w:hint="cs"/>
          <w:rtl/>
        </w:rPr>
        <w:t xml:space="preserve">                  </w:t>
      </w:r>
      <w:r>
        <w:rPr>
          <w:rtl/>
        </w:rPr>
        <w:t>(8).</w:t>
      </w:r>
      <w:r w:rsidR="008A74EB" w:rsidRPr="00C9040A">
        <w:rPr>
          <w:rtl/>
        </w:rPr>
        <w:t xml:space="preserve"> في « ض ، ف » : « النار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w:t>
      </w:r>
      <w:r w:rsidR="008A74EB" w:rsidRPr="00993B55">
        <w:rPr>
          <w:rStyle w:val="libFootnoteBoldChar"/>
          <w:rtl/>
        </w:rPr>
        <w:t>الكافي</w:t>
      </w:r>
      <w:r w:rsidR="008A74EB" w:rsidRPr="00C9040A">
        <w:rPr>
          <w:rtl/>
        </w:rPr>
        <w:t xml:space="preserve"> ، كتاب الحجّة ، باب معرفة الإمام والردّ إليه ، ح 474. وفي </w:t>
      </w:r>
      <w:r w:rsidR="008A74EB" w:rsidRPr="00993B55">
        <w:rPr>
          <w:rStyle w:val="libFootnoteBoldChar"/>
          <w:rtl/>
        </w:rPr>
        <w:t>كمال الدين</w:t>
      </w:r>
      <w:r w:rsidR="008A74EB" w:rsidRPr="00C9040A">
        <w:rPr>
          <w:rtl/>
        </w:rPr>
        <w:t xml:space="preserve"> ، ص 411 ، ح 7 ، بسنده عن أحمد بن أبي عبد الله ، عن أبيه ، عن ابن أبي عمير ، عن محمّد بن عبد الرحمن بن أبي ليلى ، من قوله : « كيف يهتدي من لم يبصر »</w:t>
      </w:r>
      <w:r w:rsidR="00E21A43">
        <w:rPr>
          <w:rFonts w:hint="cs"/>
          <w:rtl/>
        </w:rPr>
        <w:t>.</w:t>
      </w:r>
      <w:r w:rsidR="008A74EB" w:rsidRPr="00993B55">
        <w:rPr>
          <w:rStyle w:val="libFootnoteBoldChar"/>
          <w:rtl/>
        </w:rPr>
        <w:t>الوافي</w:t>
      </w:r>
      <w:r w:rsidR="008A74EB" w:rsidRPr="00C9040A">
        <w:rPr>
          <w:rtl/>
        </w:rPr>
        <w:t xml:space="preserve"> ، ج 4 ، ص 135 ، ح 1729 ؛ </w:t>
      </w:r>
      <w:r w:rsidR="008A74EB" w:rsidRPr="00993B55">
        <w:rPr>
          <w:rStyle w:val="libFootnoteBoldChar"/>
          <w:rtl/>
        </w:rPr>
        <w:t>الوسائل</w:t>
      </w:r>
      <w:r w:rsidR="008A74EB" w:rsidRPr="00C9040A">
        <w:rPr>
          <w:rtl/>
        </w:rPr>
        <w:t xml:space="preserve"> ، ج 15 ، ص 184 ، ح 20234 ، </w:t>
      </w:r>
      <w:r w:rsidR="00E21A43">
        <w:rPr>
          <w:rtl/>
        </w:rPr>
        <w:t>إلى قوله : « لا يصلح أوّلها إل</w:t>
      </w:r>
      <w:r w:rsidR="00E21A43">
        <w:rPr>
          <w:rFonts w:hint="cs"/>
          <w:rtl/>
        </w:rPr>
        <w:t>ّ</w:t>
      </w:r>
      <w:r w:rsidR="00E21A43">
        <w:rPr>
          <w:rtl/>
        </w:rPr>
        <w:t>ا</w:t>
      </w:r>
      <w:r w:rsidR="008A74EB" w:rsidRPr="00C9040A">
        <w:rPr>
          <w:rtl/>
        </w:rPr>
        <w:t xml:space="preserve">بآخرها » ؛ </w:t>
      </w:r>
      <w:r w:rsidR="008A74EB" w:rsidRPr="00993B55">
        <w:rPr>
          <w:rStyle w:val="libFootnoteBoldChar"/>
          <w:rtl/>
        </w:rPr>
        <w:t>البحار</w:t>
      </w:r>
      <w:r w:rsidR="008A74EB" w:rsidRPr="00C9040A">
        <w:rPr>
          <w:rtl/>
        </w:rPr>
        <w:t xml:space="preserve"> ، ج 69 ، ص 10 ، ح 12.</w:t>
      </w:r>
    </w:p>
    <w:p w:rsidR="008A74EB" w:rsidRPr="00C9040A" w:rsidRDefault="006C577F" w:rsidP="004A4E41">
      <w:pPr>
        <w:pStyle w:val="libFootnote0"/>
        <w:rPr>
          <w:rtl/>
          <w:lang w:bidi="fa-IR"/>
        </w:rPr>
      </w:pPr>
      <w:r>
        <w:rPr>
          <w:rtl/>
        </w:rPr>
        <w:t>(10).</w:t>
      </w:r>
      <w:r w:rsidR="008A74EB" w:rsidRPr="00C9040A">
        <w:rPr>
          <w:rtl/>
        </w:rPr>
        <w:t xml:space="preserve"> الضمير راجع إلى أحمد بن محمّد بن خالد المذكور في السند السابق ؛ فقد روى أحمد بن محمّد بن خالد ، عن أبيه ، عن سليمان الجعفري في عددٍ من الأسناد. انظر على سبيل المثال : </w:t>
      </w:r>
      <w:r w:rsidR="008A74EB" w:rsidRPr="00993B55">
        <w:rPr>
          <w:rStyle w:val="libFootnoteBoldChar"/>
          <w:rtl/>
        </w:rPr>
        <w:t>المحاسن</w:t>
      </w:r>
      <w:r w:rsidR="008A74EB" w:rsidRPr="00C9040A">
        <w:rPr>
          <w:rtl/>
        </w:rPr>
        <w:t xml:space="preserve"> ، ص 371 ، ح 130 ؛ وص 406 ، ح 117 ؛ وص 441 ، ح 303 ؛ وص 537 ، ح 818 ؛ وص 640 ، ح 154 ؛ وص 642 ، ح 160 </w:t>
      </w:r>
      <w:r w:rsidR="008A74EB">
        <w:rPr>
          <w:rtl/>
        </w:rPr>
        <w:t>و 1</w:t>
      </w:r>
      <w:r w:rsidR="008A74EB" w:rsidRPr="00C9040A">
        <w:rPr>
          <w:rtl/>
        </w:rPr>
        <w:t>61.</w:t>
      </w:r>
    </w:p>
    <w:p w:rsidR="008A74EB" w:rsidRPr="004A4E41" w:rsidRDefault="006C577F" w:rsidP="004A4E41">
      <w:pPr>
        <w:pStyle w:val="libFootnote0"/>
        <w:rPr>
          <w:rStyle w:val="libFootnote0Char"/>
          <w:rtl/>
        </w:rPr>
      </w:pPr>
      <w:r>
        <w:rPr>
          <w:rtl/>
        </w:rPr>
        <w:t>(11).</w:t>
      </w:r>
      <w:r w:rsidR="008A74EB" w:rsidRPr="00C9040A">
        <w:rPr>
          <w:rtl/>
        </w:rPr>
        <w:t xml:space="preserve"> في </w:t>
      </w:r>
      <w:r w:rsidR="008A74EB" w:rsidRPr="00993B55">
        <w:rPr>
          <w:rStyle w:val="libFootnoteBoldChar"/>
          <w:rtl/>
        </w:rPr>
        <w:t>مرآة العقول</w:t>
      </w:r>
      <w:r w:rsidR="008A74EB" w:rsidRPr="00C9040A">
        <w:rPr>
          <w:rtl/>
        </w:rPr>
        <w:t xml:space="preserve"> : « رفع إلى رسول الله ، كمنع على البناء المعلوم ، أي أسرعوا إليه. أو على بناء المجهول [ كما في « بر » ] أي ظهروا ؛ فإنّ الرفع ملزوم للظهور</w:t>
      </w:r>
      <w:r w:rsidR="008A74EB">
        <w:rPr>
          <w:rtl/>
        </w:rPr>
        <w:t xml:space="preserve"> ..</w:t>
      </w:r>
      <w:r w:rsidR="008A74EB" w:rsidRPr="00C9040A">
        <w:rPr>
          <w:rtl/>
        </w:rPr>
        <w:t xml:space="preserve">. ويمكن أن يقرأ بالدال. ولكن قد عرفت أنّه لا حاجة إليه. قال في </w:t>
      </w:r>
      <w:r w:rsidR="008A74EB" w:rsidRPr="00993B55">
        <w:rPr>
          <w:rStyle w:val="libFootnoteBoldChar"/>
          <w:rtl/>
        </w:rPr>
        <w:t>المصباح</w:t>
      </w:r>
      <w:r w:rsidR="008A74EB" w:rsidRPr="00C9040A">
        <w:rPr>
          <w:rtl/>
        </w:rPr>
        <w:t xml:space="preserve"> : دُفِعْتُ إلى كذا ، بالبناء للمفعول : انتهيتُ إليه »</w:t>
      </w:r>
      <w:r w:rsidR="008A74EB">
        <w:rPr>
          <w:rtl/>
        </w:rPr>
        <w:t>.</w:t>
      </w:r>
      <w:r w:rsidR="008A74EB" w:rsidRPr="00C9040A">
        <w:rPr>
          <w:rtl/>
        </w:rPr>
        <w:t xml:space="preserve"> وراجع : </w:t>
      </w:r>
      <w:r w:rsidR="008A74EB" w:rsidRPr="00993B55">
        <w:rPr>
          <w:rStyle w:val="libFootnoteBoldChar"/>
          <w:rtl/>
        </w:rPr>
        <w:t>المصباح المنير</w:t>
      </w:r>
      <w:r w:rsidR="008A74EB" w:rsidRPr="00C9040A">
        <w:rPr>
          <w:rtl/>
        </w:rPr>
        <w:t xml:space="preserve"> ، ص 196 ( دفع )</w:t>
      </w:r>
      <w:r w:rsidR="008A74EB">
        <w:rPr>
          <w:rtl/>
        </w:rPr>
        <w:t>.</w:t>
      </w:r>
    </w:p>
    <w:tbl>
      <w:tblPr>
        <w:tblStyle w:val="TableGrid"/>
        <w:bidiVisual/>
        <w:tblW w:w="0" w:type="auto"/>
        <w:tblLook w:val="04A0" w:firstRow="1" w:lastRow="0" w:firstColumn="1" w:lastColumn="0" w:noHBand="0" w:noVBand="1"/>
      </w:tblPr>
      <w:tblGrid>
        <w:gridCol w:w="4006"/>
        <w:gridCol w:w="4006"/>
      </w:tblGrid>
      <w:tr w:rsidR="00E21A43" w:rsidTr="00E21A43">
        <w:tc>
          <w:tcPr>
            <w:tcW w:w="4006" w:type="dxa"/>
          </w:tcPr>
          <w:p w:rsidR="00E21A43" w:rsidRDefault="00E21A43" w:rsidP="004A4E41">
            <w:pPr>
              <w:pStyle w:val="libFootnote0"/>
              <w:rPr>
                <w:rtl/>
              </w:rPr>
            </w:pPr>
            <w:r>
              <w:rPr>
                <w:rtl/>
              </w:rPr>
              <w:t>(12).</w:t>
            </w:r>
            <w:r w:rsidRPr="00C9040A">
              <w:rPr>
                <w:rtl/>
              </w:rPr>
              <w:t xml:space="preserve"> في حاشية « د ، ج » : « من أنتم »</w:t>
            </w:r>
            <w:r>
              <w:rPr>
                <w:rtl/>
              </w:rPr>
              <w:t>.</w:t>
            </w:r>
          </w:p>
        </w:tc>
        <w:tc>
          <w:tcPr>
            <w:tcW w:w="4006" w:type="dxa"/>
          </w:tcPr>
          <w:p w:rsidR="00E21A43" w:rsidRDefault="00E21A43" w:rsidP="004A4E41">
            <w:pPr>
              <w:pStyle w:val="libFootnote0"/>
              <w:rPr>
                <w:rtl/>
              </w:rPr>
            </w:pPr>
            <w:r>
              <w:rPr>
                <w:rtl/>
              </w:rPr>
              <w:t>(13)</w:t>
            </w:r>
            <w:r w:rsidRPr="00C9040A">
              <w:rPr>
                <w:rtl/>
              </w:rPr>
              <w:t xml:space="preserve"> في « ض » : + « عليك السلام »</w:t>
            </w:r>
            <w:r>
              <w:rPr>
                <w:rtl/>
              </w:rPr>
              <w:t>.</w:t>
            </w:r>
          </w:p>
        </w:tc>
      </w:tr>
    </w:tbl>
    <w:p w:rsidR="008A74EB" w:rsidRPr="00C9040A" w:rsidRDefault="008A74EB" w:rsidP="004A4E41">
      <w:pPr>
        <w:pStyle w:val="libFootnote0"/>
        <w:rPr>
          <w:rtl/>
          <w:lang w:bidi="fa-IR"/>
        </w:rPr>
      </w:pPr>
      <w:r>
        <w:rPr>
          <w:rtl/>
        </w:rPr>
        <w:t>(14)</w:t>
      </w:r>
      <w:r w:rsidRPr="00C9040A">
        <w:rPr>
          <w:rtl/>
        </w:rPr>
        <w:t xml:space="preserve"> في الوافي : « فقال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إِيمَانِكُمْ</w:t>
      </w:r>
      <w:r>
        <w:rPr>
          <w:rtl/>
          <w:lang w:bidi="fa-IR"/>
        </w:rPr>
        <w:t>؟</w:t>
      </w:r>
      <w:r w:rsidRPr="00C9040A">
        <w:rPr>
          <w:rtl/>
          <w:lang w:bidi="fa-IR"/>
        </w:rPr>
        <w:t xml:space="preserve"> قَالُوا : الصَّبْرُ عِنْدَ </w:t>
      </w:r>
      <w:r w:rsidR="006C577F" w:rsidRPr="006C577F">
        <w:rPr>
          <w:rStyle w:val="libFootnotenumChar"/>
          <w:rtl/>
        </w:rPr>
        <w:t>(1)</w:t>
      </w:r>
      <w:r w:rsidRPr="00853746">
        <w:rPr>
          <w:rFonts w:hint="cs"/>
          <w:rtl/>
        </w:rPr>
        <w:t xml:space="preserve"> </w:t>
      </w:r>
      <w:r w:rsidRPr="00C9040A">
        <w:rPr>
          <w:rtl/>
          <w:lang w:bidi="fa-IR"/>
        </w:rPr>
        <w:t>الْبَلَاءِ ، وَالشُّكْرُ عِنْدَ الرَّخَاءِ ، وَالرِّضَا بِالْقَضَاءِ.</w:t>
      </w:r>
    </w:p>
    <w:p w:rsidR="008A74EB" w:rsidRPr="00C9040A" w:rsidRDefault="008A74EB" w:rsidP="008A74EB">
      <w:pPr>
        <w:pStyle w:val="libNormal"/>
        <w:rPr>
          <w:rtl/>
          <w:lang w:bidi="fa-IR"/>
        </w:rPr>
      </w:pPr>
      <w:r w:rsidRPr="00C9040A">
        <w:rPr>
          <w:rtl/>
          <w:lang w:bidi="fa-IR"/>
        </w:rPr>
        <w:t xml:space="preserve">فَقَالَ رَسُولُ اللهِ </w:t>
      </w:r>
      <w:r w:rsidR="004A4E41" w:rsidRPr="004A4E41">
        <w:rPr>
          <w:rStyle w:val="libAlaemChar"/>
          <w:rtl/>
        </w:rPr>
        <w:t>صلى‌الله‌عليه‌وآله</w:t>
      </w:r>
      <w:r w:rsidRPr="00C9040A">
        <w:rPr>
          <w:rtl/>
          <w:lang w:bidi="fa-IR"/>
        </w:rPr>
        <w:t xml:space="preserve"> : حُلَمَاءُ </w:t>
      </w:r>
      <w:r w:rsidR="006C577F" w:rsidRPr="006C577F">
        <w:rPr>
          <w:rStyle w:val="libFootnotenumChar"/>
          <w:rtl/>
        </w:rPr>
        <w:t>(2)</w:t>
      </w:r>
      <w:r w:rsidRPr="00C9040A">
        <w:rPr>
          <w:rtl/>
          <w:lang w:bidi="fa-IR"/>
        </w:rPr>
        <w:t xml:space="preserve"> ، عُلَمَاءُ ، كَادُوا مِنَ الْفِقْهِ أَنْ يَكُونُوا أَنْبِيَاءَ </w:t>
      </w:r>
      <w:r w:rsidR="006C577F" w:rsidRPr="006C577F">
        <w:rPr>
          <w:rStyle w:val="libFootnotenumChar"/>
          <w:rtl/>
        </w:rPr>
        <w:t>(3)</w:t>
      </w:r>
      <w:r w:rsidRPr="00C9040A">
        <w:rPr>
          <w:rtl/>
          <w:lang w:bidi="fa-IR"/>
        </w:rPr>
        <w:t xml:space="preserve"> ، إِنْ كُنْتُمْ كَمَا تَصِفُونَ فَلَا تَبْنُوا مَا لَاتَسْكُنُونَ ، وَلَا تَجْمَعُوا مَا </w:t>
      </w:r>
      <w:r w:rsidR="006C577F" w:rsidRPr="006C577F">
        <w:rPr>
          <w:rStyle w:val="libFootnotenumChar"/>
          <w:rtl/>
        </w:rPr>
        <w:t>(4)</w:t>
      </w:r>
      <w:r w:rsidRPr="00C9040A">
        <w:rPr>
          <w:rtl/>
          <w:lang w:bidi="fa-IR"/>
        </w:rPr>
        <w:t xml:space="preserve"> لَاتَأْكُلُونَ ، وَاتَّقُوا اللهَ الَّذِي إِلَيْهِ تُرْجَعُونَ </w:t>
      </w:r>
      <w:r w:rsidR="006C577F" w:rsidRPr="006C577F">
        <w:rPr>
          <w:rStyle w:val="libFootnotenumChar"/>
          <w:rtl/>
        </w:rPr>
        <w:t>(5)</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(6)</w:t>
      </w:r>
    </w:p>
    <w:p w:rsidR="008A74EB" w:rsidRPr="00C9040A" w:rsidRDefault="008A74EB" w:rsidP="008A74EB">
      <w:pPr>
        <w:pStyle w:val="Heading2Center"/>
        <w:rPr>
          <w:rtl/>
          <w:lang w:bidi="fa-IR"/>
        </w:rPr>
      </w:pPr>
      <w:bookmarkStart w:id="82" w:name="_Toc343795615"/>
      <w:bookmarkStart w:id="83" w:name="_Toc459810739"/>
      <w:bookmarkStart w:id="84" w:name="_Toc35348645"/>
      <w:r w:rsidRPr="00C9040A">
        <w:rPr>
          <w:rtl/>
          <w:lang w:bidi="fa-IR"/>
        </w:rPr>
        <w:t>24</w:t>
      </w:r>
      <w:r>
        <w:rPr>
          <w:rtl/>
          <w:lang w:bidi="fa-IR"/>
        </w:rPr>
        <w:t xml:space="preserve"> </w:t>
      </w:r>
      <w:r w:rsidR="0084262C">
        <w:rPr>
          <w:rtl/>
          <w:lang w:bidi="fa-IR"/>
        </w:rPr>
        <w:t>-</w:t>
      </w:r>
      <w:r>
        <w:rPr>
          <w:rtl/>
          <w:lang w:bidi="fa-IR"/>
        </w:rPr>
        <w:t xml:space="preserve"> </w:t>
      </w:r>
      <w:r w:rsidRPr="00C9040A">
        <w:rPr>
          <w:rtl/>
          <w:lang w:bidi="fa-IR"/>
        </w:rPr>
        <w:t xml:space="preserve">بَابٌ </w:t>
      </w:r>
      <w:r w:rsidR="006C577F" w:rsidRPr="006C577F">
        <w:rPr>
          <w:rStyle w:val="libFootnotenumChar"/>
          <w:rtl/>
        </w:rPr>
        <w:t>(7)</w:t>
      </w:r>
      <w:r w:rsidRPr="00C9040A">
        <w:rPr>
          <w:rtl/>
          <w:lang w:bidi="fa-IR"/>
        </w:rPr>
        <w:t xml:space="preserve"> ‌</w:t>
      </w:r>
      <w:bookmarkEnd w:id="82"/>
      <w:bookmarkEnd w:id="83"/>
      <w:bookmarkEnd w:id="84"/>
    </w:p>
    <w:p w:rsidR="00B164A1" w:rsidRDefault="008A74EB" w:rsidP="00B164A1">
      <w:pPr>
        <w:pStyle w:val="libNormal"/>
        <w:rPr>
          <w:rtl/>
          <w:lang w:bidi="fa-IR"/>
        </w:rPr>
      </w:pPr>
      <w:r w:rsidRPr="00EF767A">
        <w:rPr>
          <w:rtl/>
        </w:rPr>
        <w:t>1543</w:t>
      </w:r>
      <w:r w:rsidRPr="00261CB0">
        <w:rPr>
          <w:rStyle w:val="libBold2Char"/>
          <w:rtl/>
        </w:rPr>
        <w:t xml:space="preserve"> / 1.</w:t>
      </w:r>
      <w:r w:rsidRPr="00C9040A">
        <w:rPr>
          <w:rtl/>
          <w:lang w:bidi="fa-IR"/>
        </w:rPr>
        <w:t xml:space="preserve"> عَلِيُّ بْنُ إِبْرَاهِيمَ ، عَنْ أَبِيهِ ؛</w:t>
      </w:r>
    </w:p>
    <w:p w:rsidR="00B164A1" w:rsidRDefault="008A74EB" w:rsidP="00B164A1">
      <w:pPr>
        <w:pStyle w:val="libNormal"/>
        <w:rPr>
          <w:rtl/>
          <w:lang w:bidi="fa-IR"/>
        </w:rPr>
      </w:pPr>
      <w:r w:rsidRPr="00C9040A">
        <w:rPr>
          <w:rtl/>
          <w:lang w:bidi="fa-IR"/>
        </w:rPr>
        <w:t>وَمُحَمَّدُ بْنُ يَحْيى ، عَنْ أَحْمَدَ بْنِ مُحَمَّدِ بْنِ عِيسى ؛</w:t>
      </w:r>
    </w:p>
    <w:p w:rsidR="00B164A1" w:rsidRDefault="008A74EB" w:rsidP="00B164A1">
      <w:pPr>
        <w:pStyle w:val="libNormal"/>
        <w:rPr>
          <w:rtl/>
          <w:lang w:bidi="fa-IR"/>
        </w:rPr>
      </w:pPr>
      <w:r w:rsidRPr="00C9040A">
        <w:rPr>
          <w:rtl/>
          <w:lang w:bidi="fa-IR"/>
        </w:rPr>
        <w:t xml:space="preserve">وَعِدَّةٌ مِنْ أَصْحَابِنَا ، عَنْ أَحْمَدَ بْنِ مُحَمَّدِ بْنِ خَالِدٍ جَمِيعاً </w:t>
      </w:r>
      <w:r w:rsidR="006C577F" w:rsidRPr="006C577F">
        <w:rPr>
          <w:rStyle w:val="libFootnotenumChar"/>
          <w:rtl/>
        </w:rPr>
        <w:t>(8)</w:t>
      </w:r>
      <w:r w:rsidRPr="00C9040A">
        <w:rPr>
          <w:rtl/>
          <w:lang w:bidi="fa-IR"/>
        </w:rPr>
        <w:t xml:space="preserve"> ، عَنِ الْحَسَنِ بْنِ مَحْبُوبٍ ، عَنْ يَعْقُوبَ السَّرَّاجِ ، عَنْ جَابِرٍ ، عَنْ أَبِي جَعْفَرٍ </w:t>
      </w:r>
      <w:r w:rsidR="006C577F" w:rsidRPr="006C577F">
        <w:rPr>
          <w:rStyle w:val="libFootnotenumChar"/>
          <w:rtl/>
        </w:rPr>
        <w:t>(9)</w:t>
      </w:r>
      <w:r w:rsidRPr="00C9040A">
        <w:rPr>
          <w:rtl/>
          <w:lang w:bidi="fa-IR"/>
        </w:rPr>
        <w:t xml:space="preserve"> </w:t>
      </w:r>
      <w:r w:rsidRPr="0003660B">
        <w:rPr>
          <w:rStyle w:val="libAlaemChar"/>
          <w:rtl/>
        </w:rPr>
        <w:t>عليه‌السلام</w:t>
      </w:r>
      <w:r w:rsidRPr="00C9040A">
        <w:rPr>
          <w:rtl/>
          <w:lang w:bidi="fa-IR"/>
        </w:rPr>
        <w:t xml:space="preserve"> ؛</w:t>
      </w:r>
    </w:p>
    <w:p w:rsidR="008A74EB" w:rsidRPr="00C9040A" w:rsidRDefault="008A74EB" w:rsidP="00B164A1">
      <w:pPr>
        <w:pStyle w:val="libNormal"/>
        <w:rPr>
          <w:rtl/>
          <w:lang w:bidi="fa-IR"/>
        </w:rPr>
      </w:pPr>
      <w:r w:rsidRPr="00C9040A">
        <w:rPr>
          <w:rtl/>
          <w:lang w:bidi="fa-IR"/>
        </w:rPr>
        <w:t>وَبِأَسَانِيدَ مُخْتَلِفَةٍ ، عَنِ الْأَصْبَغِ بْنِ نُبَاتَةَ ، قَالَ :</w:t>
      </w:r>
    </w:p>
    <w:p w:rsidR="008A74EB" w:rsidRPr="00C9040A" w:rsidRDefault="008A74EB" w:rsidP="008A74EB">
      <w:pPr>
        <w:pStyle w:val="libNormal"/>
        <w:rPr>
          <w:rtl/>
          <w:lang w:bidi="fa-IR"/>
        </w:rPr>
      </w:pPr>
      <w:r w:rsidRPr="00C9040A">
        <w:rPr>
          <w:rtl/>
          <w:lang w:bidi="fa-IR"/>
        </w:rPr>
        <w:t xml:space="preserve">خَطَبَنَا </w:t>
      </w:r>
      <w:r w:rsidR="006C577F" w:rsidRPr="006C577F">
        <w:rPr>
          <w:rStyle w:val="libFootnotenumChar"/>
          <w:rtl/>
        </w:rPr>
        <w:t>(10)</w:t>
      </w:r>
      <w:r w:rsidRPr="00C9040A">
        <w:rPr>
          <w:rtl/>
          <w:lang w:bidi="fa-IR"/>
        </w:rPr>
        <w:t xml:space="preserve"> أَمِيرُ الْمُؤْمِنِينَ </w:t>
      </w:r>
      <w:r w:rsidRPr="0003660B">
        <w:rPr>
          <w:rStyle w:val="libAlaemChar"/>
          <w:rtl/>
        </w:rPr>
        <w:t>عليه‌السلام</w:t>
      </w:r>
      <w:r w:rsidRPr="00C9040A">
        <w:rPr>
          <w:rtl/>
          <w:lang w:bidi="fa-IR"/>
        </w:rPr>
        <w:t xml:space="preserve"> فِي دَارِهِ</w:t>
      </w:r>
      <w:r>
        <w:rPr>
          <w:rtl/>
          <w:lang w:bidi="fa-IR"/>
        </w:rPr>
        <w:t xml:space="preserve"> </w:t>
      </w:r>
      <w:r w:rsidR="0084262C">
        <w:rPr>
          <w:rtl/>
          <w:lang w:bidi="fa-IR"/>
        </w:rPr>
        <w:t>-</w:t>
      </w:r>
      <w:r>
        <w:rPr>
          <w:rtl/>
          <w:lang w:bidi="fa-IR"/>
        </w:rPr>
        <w:t xml:space="preserve"> </w:t>
      </w:r>
      <w:r w:rsidRPr="00C9040A">
        <w:rPr>
          <w:rtl/>
          <w:lang w:bidi="fa-IR"/>
        </w:rPr>
        <w:t>أَوْ قَالَ : فِي الْقَصْرِ</w:t>
      </w:r>
      <w:r>
        <w:rPr>
          <w:rtl/>
          <w:lang w:bidi="fa-IR"/>
        </w:rPr>
        <w:t xml:space="preserve"> </w:t>
      </w:r>
      <w:r w:rsidR="0084262C">
        <w:rPr>
          <w:rtl/>
          <w:lang w:bidi="fa-IR"/>
        </w:rPr>
        <w:t>-</w:t>
      </w:r>
      <w:r>
        <w:rPr>
          <w:rtl/>
          <w:lang w:bidi="fa-IR"/>
        </w:rPr>
        <w:t xml:space="preserve"> </w:t>
      </w:r>
      <w:r w:rsidRPr="00C9040A">
        <w:rPr>
          <w:rtl/>
          <w:lang w:bidi="fa-IR"/>
        </w:rPr>
        <w:t>وَنَحْنُ مُجْتَمِعُونَ ، ثُمَّ أَمَرَ</w:t>
      </w:r>
      <w:r>
        <w:rPr>
          <w:rtl/>
          <w:lang w:bidi="fa-IR"/>
        </w:rPr>
        <w:t xml:space="preserve"> </w:t>
      </w:r>
      <w:r w:rsidR="0084262C">
        <w:rPr>
          <w:rtl/>
          <w:lang w:bidi="fa-IR"/>
        </w:rPr>
        <w:t>-</w:t>
      </w:r>
      <w:r>
        <w:rPr>
          <w:rtl/>
          <w:lang w:bidi="fa-IR"/>
        </w:rPr>
        <w:t xml:space="preserve"> </w:t>
      </w:r>
      <w:r w:rsidRPr="00C9040A">
        <w:rPr>
          <w:rtl/>
          <w:lang w:bidi="fa-IR"/>
        </w:rPr>
        <w:t>صَلَوَاتُ اللهِ عَلَيْهِ</w:t>
      </w:r>
      <w:r>
        <w:rPr>
          <w:rtl/>
          <w:lang w:bidi="fa-IR"/>
        </w:rPr>
        <w:t xml:space="preserve"> </w:t>
      </w:r>
      <w:r w:rsidR="0084262C">
        <w:rPr>
          <w:rtl/>
          <w:lang w:bidi="fa-IR"/>
        </w:rPr>
        <w:t>-</w:t>
      </w:r>
      <w:r>
        <w:rPr>
          <w:rtl/>
          <w:lang w:bidi="fa-IR"/>
        </w:rPr>
        <w:t xml:space="preserve"> </w:t>
      </w:r>
      <w:r w:rsidRPr="00C9040A">
        <w:rPr>
          <w:rtl/>
          <w:lang w:bidi="fa-IR"/>
        </w:rPr>
        <w:t xml:space="preserve">فَكُتِبَ فِي كِتَابٍ ، وَقُرِئَ </w:t>
      </w:r>
      <w:r w:rsidR="006C577F" w:rsidRPr="006C577F">
        <w:rPr>
          <w:rStyle w:val="libFootnotenumChar"/>
          <w:rtl/>
        </w:rPr>
        <w:t>(11)</w:t>
      </w:r>
      <w:r w:rsidRPr="00C9040A">
        <w:rPr>
          <w:rtl/>
          <w:lang w:bidi="fa-IR"/>
        </w:rPr>
        <w:t xml:space="preserve"> عَلَى النَّاسِ.</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B164A1" w:rsidTr="00B164A1">
        <w:tc>
          <w:tcPr>
            <w:tcW w:w="4006" w:type="dxa"/>
          </w:tcPr>
          <w:p w:rsidR="00B164A1" w:rsidRDefault="00B164A1" w:rsidP="004A4E41">
            <w:pPr>
              <w:pStyle w:val="libFootnote0"/>
              <w:rPr>
                <w:rtl/>
              </w:rPr>
            </w:pPr>
            <w:r>
              <w:rPr>
                <w:rtl/>
              </w:rPr>
              <w:t>(1).</w:t>
            </w:r>
            <w:r w:rsidRPr="00C9040A">
              <w:rPr>
                <w:rtl/>
              </w:rPr>
              <w:t xml:space="preserve"> في « ض » : « على »</w:t>
            </w:r>
            <w:r>
              <w:rPr>
                <w:rtl/>
              </w:rPr>
              <w:t>.</w:t>
            </w:r>
          </w:p>
        </w:tc>
        <w:tc>
          <w:tcPr>
            <w:tcW w:w="4006" w:type="dxa"/>
          </w:tcPr>
          <w:p w:rsidR="00B164A1" w:rsidRDefault="00B164A1" w:rsidP="004A4E41">
            <w:pPr>
              <w:pStyle w:val="libFootnote0"/>
              <w:rPr>
                <w:rtl/>
              </w:rPr>
            </w:pPr>
            <w:r>
              <w:rPr>
                <w:rtl/>
              </w:rPr>
              <w:t xml:space="preserve">(2). </w:t>
            </w:r>
            <w:r w:rsidRPr="00C9040A">
              <w:rPr>
                <w:rtl/>
              </w:rPr>
              <w:t>في هامش المطبوع عن بعض النسخ : « حكماء »</w:t>
            </w:r>
            <w:r>
              <w:rPr>
                <w:rtl/>
              </w:rPr>
              <w:t>.</w:t>
            </w:r>
          </w:p>
        </w:tc>
      </w:tr>
      <w:tr w:rsidR="00B164A1" w:rsidTr="00B164A1">
        <w:tc>
          <w:tcPr>
            <w:tcW w:w="4006" w:type="dxa"/>
          </w:tcPr>
          <w:p w:rsidR="00B164A1" w:rsidRDefault="00B164A1" w:rsidP="004A4E41">
            <w:pPr>
              <w:pStyle w:val="libFootnote0"/>
              <w:rPr>
                <w:rtl/>
              </w:rPr>
            </w:pPr>
            <w:r>
              <w:rPr>
                <w:rtl/>
              </w:rPr>
              <w:t>(3).</w:t>
            </w:r>
            <w:r w:rsidRPr="00C9040A">
              <w:rPr>
                <w:rtl/>
              </w:rPr>
              <w:t xml:space="preserve"> في « ف » : « من الأنبياء »</w:t>
            </w:r>
            <w:r>
              <w:rPr>
                <w:rtl/>
              </w:rPr>
              <w:t>.</w:t>
            </w:r>
          </w:p>
        </w:tc>
        <w:tc>
          <w:tcPr>
            <w:tcW w:w="4006" w:type="dxa"/>
          </w:tcPr>
          <w:p w:rsidR="00B164A1" w:rsidRDefault="00B164A1" w:rsidP="004A4E41">
            <w:pPr>
              <w:pStyle w:val="libFootnote0"/>
              <w:rPr>
                <w:rtl/>
              </w:rPr>
            </w:pPr>
            <w:r>
              <w:rPr>
                <w:rtl/>
              </w:rPr>
              <w:t>(4).</w:t>
            </w:r>
            <w:r w:rsidRPr="00C9040A">
              <w:rPr>
                <w:rtl/>
              </w:rPr>
              <w:t xml:space="preserve"> في « ف » : « مالاً »</w:t>
            </w:r>
            <w:r>
              <w:rPr>
                <w:rtl/>
              </w:rPr>
              <w:t>.</w:t>
            </w:r>
          </w:p>
        </w:tc>
      </w:tr>
    </w:tbl>
    <w:p w:rsidR="008A74EB" w:rsidRPr="00C9040A" w:rsidRDefault="006C577F" w:rsidP="004A4E41">
      <w:pPr>
        <w:pStyle w:val="libFootnote0"/>
        <w:rPr>
          <w:rtl/>
          <w:lang w:bidi="fa-IR"/>
        </w:rPr>
      </w:pPr>
      <w:r>
        <w:rPr>
          <w:rtl/>
        </w:rPr>
        <w:t>(5).</w:t>
      </w:r>
      <w:r w:rsidR="008A74EB" w:rsidRPr="00C9040A">
        <w:rPr>
          <w:rtl/>
        </w:rPr>
        <w:t xml:space="preserve"> في « ض » : « تحشرون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الكافي</w:t>
      </w:r>
      <w:r w:rsidR="008A74EB" w:rsidRPr="00C9040A">
        <w:rPr>
          <w:rtl/>
        </w:rPr>
        <w:t xml:space="preserve"> ، كتاب الإيمان والكفر ، باب حقيقة الإيمان واليقين ، ح 1515 ؛ و</w:t>
      </w:r>
      <w:r w:rsidR="008A74EB" w:rsidRPr="00993B55">
        <w:rPr>
          <w:rStyle w:val="libFootnoteBoldChar"/>
          <w:rtl/>
        </w:rPr>
        <w:t>المحاسن</w:t>
      </w:r>
      <w:r w:rsidR="008A74EB" w:rsidRPr="00C9040A">
        <w:rPr>
          <w:rtl/>
        </w:rPr>
        <w:t xml:space="preserve"> ، ص 226 ، كتاب مصابيح الظلم ، ح 151 ؛ و</w:t>
      </w:r>
      <w:r w:rsidR="008A74EB" w:rsidRPr="00993B55">
        <w:rPr>
          <w:rStyle w:val="libFootnoteBoldChar"/>
          <w:rtl/>
        </w:rPr>
        <w:t>التوحيد</w:t>
      </w:r>
      <w:r w:rsidR="008A74EB" w:rsidRPr="00C9040A">
        <w:rPr>
          <w:rtl/>
        </w:rPr>
        <w:t xml:space="preserve"> ، ص 371 ، ح 12 ؛ و</w:t>
      </w:r>
      <w:r w:rsidR="008A74EB" w:rsidRPr="00993B55">
        <w:rPr>
          <w:rStyle w:val="libFootnoteBoldChar"/>
          <w:rtl/>
        </w:rPr>
        <w:t>الخصال</w:t>
      </w:r>
      <w:r w:rsidR="008A74EB" w:rsidRPr="00C9040A">
        <w:rPr>
          <w:rtl/>
        </w:rPr>
        <w:t xml:space="preserve"> ، ص 146 ، باب الثلاثة ، ح 175 ؛ و</w:t>
      </w:r>
      <w:r w:rsidR="008A74EB" w:rsidRPr="00993B55">
        <w:rPr>
          <w:rStyle w:val="libFootnoteBoldChar"/>
          <w:rtl/>
        </w:rPr>
        <w:t>معاني الأخبار</w:t>
      </w:r>
      <w:r w:rsidR="008A74EB" w:rsidRPr="00C9040A">
        <w:rPr>
          <w:rtl/>
        </w:rPr>
        <w:t xml:space="preserve"> ، ص 187 ، ح 6 ، بسند آخر عن أبي جعفر </w:t>
      </w:r>
      <w:r w:rsidR="00117575" w:rsidRPr="00117575">
        <w:rPr>
          <w:rStyle w:val="libFootnoteAlaemChar"/>
          <w:rtl/>
        </w:rPr>
        <w:t xml:space="preserve">عليه‌السلام </w:t>
      </w:r>
      <w:r w:rsidR="008A74EB" w:rsidRPr="00C9040A">
        <w:rPr>
          <w:rtl/>
        </w:rPr>
        <w:t xml:space="preserve"> عن رسول الله </w:t>
      </w:r>
      <w:r w:rsidR="004A4E41" w:rsidRPr="00B866D3">
        <w:rPr>
          <w:rStyle w:val="libFootnoteAlaemChar"/>
          <w:rtl/>
        </w:rPr>
        <w:t>صلى‌الله‌عليه‌وآله</w:t>
      </w:r>
      <w:r w:rsidR="008A74EB" w:rsidRPr="00C9040A">
        <w:rPr>
          <w:rtl/>
        </w:rPr>
        <w:t xml:space="preserve"> ، مع اختلاف يسير</w:t>
      </w:r>
      <w:r w:rsidR="002A051C">
        <w:rPr>
          <w:rFonts w:hint="cs"/>
          <w:rtl/>
        </w:rPr>
        <w:t>.</w:t>
      </w:r>
      <w:r w:rsidR="008A74EB" w:rsidRPr="00993B55">
        <w:rPr>
          <w:rStyle w:val="libFootnoteBoldChar"/>
          <w:rtl/>
        </w:rPr>
        <w:t>الوافي</w:t>
      </w:r>
      <w:r w:rsidR="008A74EB" w:rsidRPr="00C9040A">
        <w:rPr>
          <w:rtl/>
        </w:rPr>
        <w:t xml:space="preserve"> ، ج 4 ، ص 148 ، ح 1743 ؛ </w:t>
      </w:r>
      <w:r w:rsidR="008A74EB" w:rsidRPr="00993B55">
        <w:rPr>
          <w:rStyle w:val="libFootnoteBoldChar"/>
          <w:rtl/>
        </w:rPr>
        <w:t>البحار</w:t>
      </w:r>
      <w:r w:rsidR="008A74EB" w:rsidRPr="00C9040A">
        <w:rPr>
          <w:rtl/>
        </w:rPr>
        <w:t xml:space="preserve"> ، ج 67 ، ص 284 ، ح 7.</w:t>
      </w:r>
    </w:p>
    <w:p w:rsidR="008A74EB" w:rsidRPr="00C9040A" w:rsidRDefault="006C577F" w:rsidP="004A4E41">
      <w:pPr>
        <w:pStyle w:val="libFootnote0"/>
        <w:rPr>
          <w:rtl/>
          <w:lang w:bidi="fa-IR"/>
        </w:rPr>
      </w:pPr>
      <w:r>
        <w:rPr>
          <w:rtl/>
        </w:rPr>
        <w:t>(7).</w:t>
      </w:r>
      <w:r w:rsidR="008A74EB" w:rsidRPr="00C9040A">
        <w:rPr>
          <w:rtl/>
        </w:rPr>
        <w:t xml:space="preserve"> في </w:t>
      </w:r>
      <w:r w:rsidR="008A74EB" w:rsidRPr="00993B55">
        <w:rPr>
          <w:rStyle w:val="libFootnoteBoldChar"/>
          <w:rtl/>
        </w:rPr>
        <w:t>مرآة العقول</w:t>
      </w:r>
      <w:r w:rsidR="008A74EB" w:rsidRPr="00C9040A">
        <w:rPr>
          <w:rtl/>
        </w:rPr>
        <w:t xml:space="preserve"> ، ج 7 ، ص 298 : « إنّما لم يعنون لأنّه من تتمّة البابين السابقين ، وإنّما أفرده لأنّ فيه نسبة الإيمان والإسلام معاً ، أو لأنّ فيه مدح الإسلام وفضله ، لا صفاته »</w:t>
      </w:r>
      <w:r w:rsidR="008A74EB">
        <w:rPr>
          <w:rtl/>
        </w:rPr>
        <w:t>.</w:t>
      </w:r>
    </w:p>
    <w:p w:rsidR="008A74EB" w:rsidRPr="004A4E41" w:rsidRDefault="006C577F" w:rsidP="004A4E41">
      <w:pPr>
        <w:pStyle w:val="libFootnote0"/>
        <w:rPr>
          <w:rStyle w:val="libFootnote0Char"/>
          <w:rtl/>
        </w:rPr>
      </w:pPr>
      <w:r>
        <w:rPr>
          <w:rtl/>
        </w:rPr>
        <w:t>(8).</w:t>
      </w:r>
      <w:r w:rsidR="008A74EB" w:rsidRPr="00C9040A">
        <w:rPr>
          <w:rtl/>
        </w:rPr>
        <w:t xml:space="preserve"> للمصنّف إلى أبي جعفر </w:t>
      </w:r>
      <w:r w:rsidR="00117575" w:rsidRPr="00117575">
        <w:rPr>
          <w:rStyle w:val="libFootnoteAlaemChar"/>
          <w:rtl/>
        </w:rPr>
        <w:t xml:space="preserve">عليه‌السلام </w:t>
      </w:r>
      <w:r w:rsidR="008A74EB" w:rsidRPr="00C9040A">
        <w:rPr>
          <w:rtl/>
        </w:rPr>
        <w:t xml:space="preserve"> ثلاثة طرق ، وتنضمّ هذه الطرق إلى طريق الأصبغ بن نباتة الذي لم يذكر المصنّف‌أسانيده إليه.</w:t>
      </w:r>
      <w:r w:rsidR="00D923B6">
        <w:rPr>
          <w:rFonts w:hint="cs"/>
          <w:rtl/>
        </w:rPr>
        <w:t xml:space="preserve">            </w:t>
      </w:r>
      <w:r w:rsidR="00B866D3">
        <w:rPr>
          <w:rFonts w:hint="cs"/>
          <w:rtl/>
        </w:rPr>
        <w:t xml:space="preserve">  </w:t>
      </w:r>
      <w:r w:rsidR="00D923B6">
        <w:rPr>
          <w:rFonts w:hint="cs"/>
          <w:rtl/>
        </w:rPr>
        <w:t xml:space="preserve">                         </w:t>
      </w:r>
      <w:r w:rsidR="003B36FD">
        <w:rPr>
          <w:rFonts w:hint="cs"/>
          <w:rtl/>
        </w:rPr>
        <w:t xml:space="preserve">  </w:t>
      </w:r>
      <w:r w:rsidR="00D923B6">
        <w:rPr>
          <w:rFonts w:hint="cs"/>
          <w:rtl/>
        </w:rPr>
        <w:t xml:space="preserve"> </w:t>
      </w:r>
      <w:r>
        <w:rPr>
          <w:rtl/>
        </w:rPr>
        <w:t>(9).</w:t>
      </w:r>
      <w:r w:rsidR="008A74EB" w:rsidRPr="00C9040A">
        <w:rPr>
          <w:rtl/>
        </w:rPr>
        <w:t xml:space="preserve"> في « ص ، ف » : « أبي عبد الله »</w:t>
      </w:r>
      <w:r w:rsidR="008A74EB">
        <w:rPr>
          <w:rtl/>
        </w:rPr>
        <w:t>.</w:t>
      </w:r>
    </w:p>
    <w:tbl>
      <w:tblPr>
        <w:tblStyle w:val="TableGrid"/>
        <w:bidiVisual/>
        <w:tblW w:w="0" w:type="auto"/>
        <w:tblLook w:val="04A0" w:firstRow="1" w:lastRow="0" w:firstColumn="1" w:lastColumn="0" w:noHBand="0" w:noVBand="1"/>
      </w:tblPr>
      <w:tblGrid>
        <w:gridCol w:w="4006"/>
        <w:gridCol w:w="4006"/>
      </w:tblGrid>
      <w:tr w:rsidR="00D923B6" w:rsidTr="00D923B6">
        <w:tc>
          <w:tcPr>
            <w:tcW w:w="4006" w:type="dxa"/>
          </w:tcPr>
          <w:p w:rsidR="00D923B6" w:rsidRDefault="00D923B6" w:rsidP="004A4E41">
            <w:pPr>
              <w:pStyle w:val="libFootnote0"/>
              <w:rPr>
                <w:rtl/>
              </w:rPr>
            </w:pPr>
            <w:r>
              <w:rPr>
                <w:rtl/>
              </w:rPr>
              <w:t>(10).</w:t>
            </w:r>
            <w:r w:rsidRPr="00C9040A">
              <w:rPr>
                <w:rtl/>
              </w:rPr>
              <w:t xml:space="preserve"> في « ب » : « خطب »</w:t>
            </w:r>
            <w:r>
              <w:rPr>
                <w:rtl/>
              </w:rPr>
              <w:t>.</w:t>
            </w:r>
          </w:p>
        </w:tc>
        <w:tc>
          <w:tcPr>
            <w:tcW w:w="4006" w:type="dxa"/>
          </w:tcPr>
          <w:p w:rsidR="00D923B6" w:rsidRDefault="00D923B6" w:rsidP="004A4E41">
            <w:pPr>
              <w:pStyle w:val="libFootnote0"/>
              <w:rPr>
                <w:rtl/>
              </w:rPr>
            </w:pPr>
            <w:r>
              <w:rPr>
                <w:rtl/>
              </w:rPr>
              <w:t>(11).</w:t>
            </w:r>
            <w:r w:rsidRPr="00C9040A">
              <w:rPr>
                <w:rtl/>
              </w:rPr>
              <w:t xml:space="preserve"> في « ب » : « فقرئ »</w:t>
            </w:r>
            <w:r>
              <w:rPr>
                <w:rtl/>
              </w:rPr>
              <w:t>.</w:t>
            </w:r>
          </w:p>
        </w:tc>
      </w:tr>
    </w:tbl>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lastRenderedPageBreak/>
        <w:t xml:space="preserve">وَرَوى غَيْرُهُ </w:t>
      </w:r>
      <w:r w:rsidR="006C577F" w:rsidRPr="006C577F">
        <w:rPr>
          <w:rStyle w:val="libFootnotenumChar"/>
          <w:rtl/>
        </w:rPr>
        <w:t>(1)</w:t>
      </w:r>
      <w:r w:rsidRPr="00853746">
        <w:rPr>
          <w:rFonts w:hint="cs"/>
          <w:rtl/>
        </w:rPr>
        <w:t xml:space="preserve"> </w:t>
      </w:r>
      <w:r w:rsidRPr="00C9040A">
        <w:rPr>
          <w:rtl/>
          <w:lang w:bidi="fa-IR"/>
        </w:rPr>
        <w:t xml:space="preserve">أَنَّ ابْنَ الْكَوَّاءِ سَأَلَ أَمِيرَ الْمُؤْمِنِينَ </w:t>
      </w:r>
      <w:r w:rsidRPr="0003660B">
        <w:rPr>
          <w:rStyle w:val="libAlaemChar"/>
          <w:rtl/>
        </w:rPr>
        <w:t>عليه‌السلام</w:t>
      </w:r>
      <w:r w:rsidRPr="00C9040A">
        <w:rPr>
          <w:rtl/>
          <w:lang w:bidi="fa-IR"/>
        </w:rPr>
        <w:t xml:space="preserve"> عَنْ صِفَةِ الْإِسْلَامِ وَالْإِيمَانِ وَالْكُفْرِ وَالنِّفَاقِ ، فَقَالَ :</w:t>
      </w:r>
    </w:p>
    <w:p w:rsidR="008A74EB" w:rsidRPr="00C9040A" w:rsidRDefault="008A74EB" w:rsidP="008A74EB">
      <w:pPr>
        <w:pStyle w:val="libNormal"/>
        <w:rPr>
          <w:rtl/>
          <w:lang w:bidi="fa-IR"/>
        </w:rPr>
      </w:pPr>
      <w:r w:rsidRPr="00C9040A">
        <w:rPr>
          <w:rtl/>
          <w:lang w:bidi="fa-IR"/>
        </w:rPr>
        <w:t>« أَمَّا بَعْدُ ، فَإِنَّ اللهَ</w:t>
      </w:r>
      <w:r>
        <w:rPr>
          <w:rtl/>
          <w:lang w:bidi="fa-IR"/>
        </w:rPr>
        <w:t xml:space="preserve"> </w:t>
      </w:r>
      <w:r w:rsidR="0084262C">
        <w:rPr>
          <w:rtl/>
          <w:lang w:bidi="fa-IR"/>
        </w:rPr>
        <w:t>-</w:t>
      </w:r>
      <w:r>
        <w:rPr>
          <w:rtl/>
          <w:lang w:bidi="fa-IR"/>
        </w:rPr>
        <w:t xml:space="preserve"> </w:t>
      </w:r>
      <w:r w:rsidRPr="00C9040A">
        <w:rPr>
          <w:rtl/>
          <w:lang w:bidi="fa-IR"/>
        </w:rPr>
        <w:t>تَبَارَكَ وَتَعَالى</w:t>
      </w:r>
      <w:r>
        <w:rPr>
          <w:rtl/>
          <w:lang w:bidi="fa-IR"/>
        </w:rPr>
        <w:t xml:space="preserve"> </w:t>
      </w:r>
      <w:r w:rsidR="0084262C">
        <w:rPr>
          <w:rtl/>
          <w:lang w:bidi="fa-IR"/>
        </w:rPr>
        <w:t>-</w:t>
      </w:r>
      <w:r>
        <w:rPr>
          <w:rtl/>
          <w:lang w:bidi="fa-IR"/>
        </w:rPr>
        <w:t xml:space="preserve"> </w:t>
      </w:r>
      <w:r w:rsidRPr="00C9040A">
        <w:rPr>
          <w:rtl/>
          <w:lang w:bidi="fa-IR"/>
        </w:rPr>
        <w:t xml:space="preserve">شَرَعَ الْإِسْلَامَ ، وَسَهَّلَ شَرَائِعَهُ </w:t>
      </w:r>
      <w:r w:rsidR="006C577F" w:rsidRPr="006C577F">
        <w:rPr>
          <w:rStyle w:val="libFootnotenumChar"/>
          <w:rtl/>
        </w:rPr>
        <w:t>(2)</w:t>
      </w:r>
      <w:r w:rsidRPr="00C9040A">
        <w:rPr>
          <w:rtl/>
          <w:lang w:bidi="fa-IR"/>
        </w:rPr>
        <w:t xml:space="preserve"> لِمَنْ وَرَدَهُ ، وَأَعَزَّ أَرْكَانَهُ لِمَنْ حَارَبَهُ </w:t>
      </w:r>
      <w:r w:rsidR="006C577F" w:rsidRPr="006C577F">
        <w:rPr>
          <w:rStyle w:val="libFootnotenumChar"/>
          <w:rtl/>
        </w:rPr>
        <w:t>(3)</w:t>
      </w:r>
      <w:r w:rsidRPr="00C9040A">
        <w:rPr>
          <w:rtl/>
          <w:lang w:bidi="fa-IR"/>
        </w:rPr>
        <w:t xml:space="preserve"> ، وَجَعَلَهُ عِزّاً لِمَنْ تَ</w:t>
      </w:r>
      <w:r w:rsidR="00431758">
        <w:rPr>
          <w:rtl/>
          <w:lang w:bidi="fa-IR"/>
        </w:rPr>
        <w:t>وَل</w:t>
      </w:r>
      <w:r w:rsidR="00431758">
        <w:rPr>
          <w:rFonts w:hint="cs"/>
          <w:rtl/>
          <w:lang w:bidi="fa-IR"/>
        </w:rPr>
        <w:t>َّ</w:t>
      </w:r>
      <w:r w:rsidR="00431758">
        <w:rPr>
          <w:rtl/>
          <w:lang w:bidi="fa-IR"/>
        </w:rPr>
        <w:t>ا</w:t>
      </w:r>
      <w:r w:rsidRPr="00C9040A">
        <w:rPr>
          <w:rtl/>
          <w:lang w:bidi="fa-IR"/>
        </w:rPr>
        <w:t xml:space="preserve">هُ ، وَسِلْماً لِمَنْ دَخَلَهُ ، وَهُدًى لِمَنِ ائْتَمَّ بِهِ ، وَزِينَةً لِمَنْ تَجَلَّلَهُ </w:t>
      </w:r>
      <w:r w:rsidR="006C577F" w:rsidRPr="006C577F">
        <w:rPr>
          <w:rStyle w:val="libFootnotenumChar"/>
          <w:rtl/>
        </w:rPr>
        <w:t>(4)</w:t>
      </w:r>
      <w:r w:rsidRPr="00C9040A">
        <w:rPr>
          <w:rtl/>
          <w:lang w:bidi="fa-IR"/>
        </w:rPr>
        <w:t xml:space="preserve"> ، وَعُذْراً </w:t>
      </w:r>
      <w:r w:rsidR="006C577F" w:rsidRPr="006C577F">
        <w:rPr>
          <w:rStyle w:val="libFootnotenumChar"/>
          <w:rtl/>
        </w:rPr>
        <w:t>(5)</w:t>
      </w:r>
      <w:r w:rsidRPr="00C9040A">
        <w:rPr>
          <w:rtl/>
          <w:lang w:bidi="fa-IR"/>
        </w:rPr>
        <w:t xml:space="preserve"> لِمَنِ انْتَحَلَهُ </w:t>
      </w:r>
      <w:r w:rsidR="006C577F" w:rsidRPr="006C577F">
        <w:rPr>
          <w:rStyle w:val="libFootnotenumChar"/>
          <w:rtl/>
        </w:rPr>
        <w:t>(6)</w:t>
      </w:r>
      <w:r w:rsidRPr="005B567D">
        <w:rPr>
          <w:rStyle w:val="libFootnotenumChar"/>
          <w:rtl/>
        </w:rPr>
        <w:t xml:space="preserve"> </w:t>
      </w:r>
      <w:r w:rsidRPr="00C9040A">
        <w:rPr>
          <w:rtl/>
          <w:lang w:bidi="fa-IR"/>
        </w:rPr>
        <w:t xml:space="preserve">، وَعُرْوَةً لِمَنِ اعْتَصَمَ بِهِ ، وَحَبْلاً لِمَنِ اسْتَمْسَكَ بِهِ ، وَبُرْهَاناً لِمَنْ تَكَلَّمَ بِهِ ، وَنُوراً لِمَنِ اسْتَضَاءَ بِهِ ، وَعَوْناً </w:t>
      </w:r>
      <w:r w:rsidR="006C577F" w:rsidRPr="006C577F">
        <w:rPr>
          <w:rStyle w:val="libFootnotenumChar"/>
          <w:rtl/>
        </w:rPr>
        <w:t>(7)</w:t>
      </w:r>
      <w:r w:rsidRPr="00C9040A">
        <w:rPr>
          <w:rtl/>
          <w:lang w:bidi="fa-IR"/>
        </w:rPr>
        <w:t xml:space="preserve"> لِمَنِ اسْتَغَاثَ بِهِ </w:t>
      </w:r>
      <w:r w:rsidR="006C577F" w:rsidRPr="006C577F">
        <w:rPr>
          <w:rStyle w:val="libFootnotenumChar"/>
          <w:rtl/>
        </w:rPr>
        <w:t>(8)</w:t>
      </w:r>
      <w:r w:rsidRPr="00C9040A">
        <w:rPr>
          <w:rtl/>
          <w:lang w:bidi="fa-IR"/>
        </w:rPr>
        <w:t xml:space="preserve"> ، وَشَاهِداً لِمَنْ خَاصَمَ </w:t>
      </w:r>
      <w:r w:rsidR="006C577F" w:rsidRPr="006C577F">
        <w:rPr>
          <w:rStyle w:val="libFootnotenumChar"/>
          <w:rtl/>
        </w:rPr>
        <w:t>(9)</w:t>
      </w:r>
      <w:r w:rsidRPr="00C9040A">
        <w:rPr>
          <w:rtl/>
          <w:lang w:bidi="fa-IR"/>
        </w:rPr>
        <w:t xml:space="preserve"> بِهِ ، وَفُلْجاً </w:t>
      </w:r>
      <w:r w:rsidR="006C577F" w:rsidRPr="006C577F">
        <w:rPr>
          <w:rStyle w:val="libFootnotenumChar"/>
          <w:rtl/>
        </w:rPr>
        <w:t>(10)</w:t>
      </w:r>
      <w:r w:rsidRPr="00C9040A">
        <w:rPr>
          <w:rtl/>
          <w:lang w:bidi="fa-IR"/>
        </w:rPr>
        <w:t xml:space="preserve"> لِمَنْ حَاجَّ بِهِ ، وَعِلْماً لِمَنْ وَعَاهُ </w:t>
      </w:r>
      <w:r w:rsidR="006C577F" w:rsidRPr="006C577F">
        <w:rPr>
          <w:rStyle w:val="libFootnotenumChar"/>
          <w:rtl/>
        </w:rPr>
        <w:t>(11)</w:t>
      </w:r>
      <w:r w:rsidRPr="00C9040A">
        <w:rPr>
          <w:rtl/>
          <w:lang w:bidi="fa-IR"/>
        </w:rPr>
        <w:t xml:space="preserve"> ، وَحَدِيثاً لِمَنْ‌</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ضمير « غيره » راجع إلى الأصبغ بن نباتة ، فيكون للخبر طريق خامس مُرسَل.</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 الشرع والشريعة » : هو ما شرع الله لعباده من الدين ، أي سنّه لهم وافترضه عليهم. وقد شرع الله الدينَ شرعاً : إذا أظهره وبيّنه. والشريعة : مورد الإبل على الماء الجاري. وتقال لما شرع الله تعالى لعباده إذ به حياة الأرواح ، كما بالماء حياة الأبدان. راجع : </w:t>
      </w:r>
      <w:r w:rsidR="008A74EB" w:rsidRPr="00993B55">
        <w:rPr>
          <w:rStyle w:val="libFootnoteBoldChar"/>
          <w:rtl/>
        </w:rPr>
        <w:t>الوافي</w:t>
      </w:r>
      <w:r w:rsidR="008A74EB" w:rsidRPr="00C9040A">
        <w:rPr>
          <w:rtl/>
        </w:rPr>
        <w:t xml:space="preserve"> ، ج 4 ، ص 139 ؛ </w:t>
      </w:r>
      <w:r w:rsidR="008A74EB" w:rsidRPr="00993B55">
        <w:rPr>
          <w:rStyle w:val="libFootnoteBoldChar"/>
          <w:rtl/>
        </w:rPr>
        <w:t>النهاية</w:t>
      </w:r>
      <w:r w:rsidR="008A74EB" w:rsidRPr="00C9040A">
        <w:rPr>
          <w:rtl/>
        </w:rPr>
        <w:t xml:space="preserve"> ، ج 2 ، ص 460 ( شرع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w:t>
      </w:r>
      <w:r w:rsidR="008A74EB" w:rsidRPr="00993B55">
        <w:rPr>
          <w:rStyle w:val="libFootnoteBoldChar"/>
          <w:rtl/>
        </w:rPr>
        <w:t>الوافي</w:t>
      </w:r>
      <w:r w:rsidR="008A74EB" w:rsidRPr="00C9040A">
        <w:rPr>
          <w:rtl/>
        </w:rPr>
        <w:t xml:space="preserve"> : « محاربة الإسلام ، إمّا كناية عن محاربة أهله ، وإمّا على حقيقته ، بمعنى أنّه حاربه في نفسه‌ببغضه له وشنآنه إيّاه »</w:t>
      </w:r>
      <w:r w:rsidR="008A74EB">
        <w:rPr>
          <w:rtl/>
        </w:rPr>
        <w:t>.</w:t>
      </w:r>
      <w:r w:rsidR="008A74EB" w:rsidRPr="00C9040A">
        <w:rPr>
          <w:rtl/>
        </w:rPr>
        <w:t xml:space="preserve"> وفي البحار : « جأر به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 وفي بعض النسخ : جأر به</w:t>
      </w:r>
      <w:r w:rsidR="008A74EB">
        <w:rPr>
          <w:rtl/>
        </w:rPr>
        <w:t xml:space="preserve"> </w:t>
      </w:r>
      <w:r w:rsidR="0084262C">
        <w:rPr>
          <w:rtl/>
        </w:rPr>
        <w:t>-</w:t>
      </w:r>
      <w:r w:rsidR="008A74EB">
        <w:rPr>
          <w:rtl/>
        </w:rPr>
        <w:t xml:space="preserve"> </w:t>
      </w:r>
      <w:r w:rsidR="008A74EB" w:rsidRPr="00C9040A">
        <w:rPr>
          <w:rtl/>
        </w:rPr>
        <w:t>كسأل بالجيم والهمز</w:t>
      </w:r>
      <w:r w:rsidR="008A74EB">
        <w:rPr>
          <w:rtl/>
        </w:rPr>
        <w:t xml:space="preserve"> </w:t>
      </w:r>
      <w:r w:rsidR="0084262C">
        <w:rPr>
          <w:rtl/>
        </w:rPr>
        <w:t>-</w:t>
      </w:r>
      <w:r w:rsidR="008A74EB">
        <w:rPr>
          <w:rtl/>
        </w:rPr>
        <w:t xml:space="preserve"> </w:t>
      </w:r>
      <w:r w:rsidR="008A74EB" w:rsidRPr="00C9040A">
        <w:rPr>
          <w:rtl/>
        </w:rPr>
        <w:t>أي استغاث به ولجأ إليه »</w:t>
      </w:r>
      <w:r w:rsidR="008A74EB">
        <w:rPr>
          <w:rtl/>
        </w:rPr>
        <w:t>.</w:t>
      </w:r>
      <w:r w:rsidR="008A74EB" w:rsidRPr="00C9040A">
        <w:rPr>
          <w:rtl/>
        </w:rPr>
        <w:t xml:space="preserve"> وفي </w:t>
      </w:r>
      <w:r w:rsidR="008A74EB" w:rsidRPr="00993B55">
        <w:rPr>
          <w:rStyle w:val="libFootnoteBoldChar"/>
          <w:rtl/>
        </w:rPr>
        <w:t>النهج</w:t>
      </w:r>
      <w:r w:rsidR="008A74EB" w:rsidRPr="00C9040A">
        <w:rPr>
          <w:rtl/>
        </w:rPr>
        <w:t xml:space="preserve"> : « وأعزّ أركانه على من غالبه »</w:t>
      </w:r>
      <w:r w:rsidR="008A74EB">
        <w:rPr>
          <w:rtl/>
        </w:rPr>
        <w:t>.</w:t>
      </w:r>
      <w:r w:rsidR="008A74EB" w:rsidRPr="00C9040A">
        <w:rPr>
          <w:rtl/>
        </w:rPr>
        <w:t xml:space="preserve"> وفي </w:t>
      </w:r>
      <w:r w:rsidR="008A74EB" w:rsidRPr="00993B55">
        <w:rPr>
          <w:rStyle w:val="libFootnoteBoldChar"/>
          <w:rtl/>
        </w:rPr>
        <w:t>التحف</w:t>
      </w:r>
      <w:r w:rsidR="00B866D3">
        <w:rPr>
          <w:rtl/>
        </w:rPr>
        <w:t xml:space="preserve"> : « وأعزّ أركانه على من جانبه</w:t>
      </w:r>
      <w:r w:rsidR="008A74EB" w:rsidRPr="00C9040A">
        <w:rPr>
          <w:rtl/>
        </w:rPr>
        <w:t>»</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ص ، بر » والوافي : « تحلّله »</w:t>
      </w:r>
      <w:r w:rsidR="008A74EB">
        <w:rPr>
          <w:rtl/>
        </w:rPr>
        <w:t>.</w:t>
      </w:r>
      <w:r w:rsidR="008A74EB" w:rsidRPr="00C9040A">
        <w:rPr>
          <w:rtl/>
        </w:rPr>
        <w:t xml:space="preserve"> </w:t>
      </w:r>
      <w:r w:rsidR="008A74EB">
        <w:rPr>
          <w:rtl/>
        </w:rPr>
        <w:t>و «</w:t>
      </w:r>
      <w:r w:rsidR="008A74EB" w:rsidRPr="00C9040A">
        <w:rPr>
          <w:rtl/>
        </w:rPr>
        <w:t xml:space="preserve"> جلّله » : غطّاه. وتجلّل بثوبه : تغطّى به. </w:t>
      </w:r>
      <w:r w:rsidR="008A74EB" w:rsidRPr="00993B55">
        <w:rPr>
          <w:rStyle w:val="libFootnoteBoldChar"/>
          <w:rtl/>
        </w:rPr>
        <w:t>أساس البلاغة</w:t>
      </w:r>
      <w:r w:rsidR="008A74EB" w:rsidRPr="00C9040A">
        <w:rPr>
          <w:rtl/>
        </w:rPr>
        <w:t xml:space="preserve"> ، ص 62 ( جلل )</w:t>
      </w:r>
      <w:r w:rsidR="008A74EB">
        <w:rPr>
          <w:rtl/>
        </w:rPr>
        <w:t>.</w:t>
      </w:r>
      <w:r w:rsidR="008A74EB" w:rsidRPr="00C9040A">
        <w:rPr>
          <w:rtl/>
        </w:rPr>
        <w:t xml:space="preserve"> ويتجلّل الصبح السماء : أي يعلوها بضوء ويعمّها ، من قولهم : تجلّله : أي علاه. </w:t>
      </w:r>
      <w:r w:rsidR="008A74EB" w:rsidRPr="00993B55">
        <w:rPr>
          <w:rStyle w:val="libFootnoteBoldChar"/>
          <w:rtl/>
        </w:rPr>
        <w:t>مجمع البحرين</w:t>
      </w:r>
      <w:r w:rsidR="008A74EB" w:rsidRPr="00C9040A">
        <w:rPr>
          <w:rtl/>
        </w:rPr>
        <w:t xml:space="preserve"> ، ج 5 ، ص 340 ( جلل )</w:t>
      </w:r>
      <w:r w:rsidR="008A74EB">
        <w:rPr>
          <w:rtl/>
        </w:rPr>
        <w:t>.</w:t>
      </w:r>
      <w:r w:rsidR="008A74EB" w:rsidRPr="00C9040A">
        <w:rPr>
          <w:rtl/>
        </w:rPr>
        <w:t xml:space="preserve"> وفي </w:t>
      </w:r>
      <w:r w:rsidR="008A74EB" w:rsidRPr="00993B55">
        <w:rPr>
          <w:rStyle w:val="libFootnoteBoldChar"/>
          <w:rtl/>
        </w:rPr>
        <w:t>شرح المازندراني</w:t>
      </w:r>
      <w:r w:rsidR="008A74EB" w:rsidRPr="00C9040A">
        <w:rPr>
          <w:rtl/>
        </w:rPr>
        <w:t xml:space="preserve"> : « أي جعله برداً ولباساً من قولهم : جلّل فرساً له فتجلّل ، ولا ريب في أنّ أحكام الإسلام بعضها يتعلّق بالظاهر وبعضها يتعلّق بالباطن ، ومن تلبّس بها يتزيّن ظاهره وباطنه ، فيصير إنساناً كاملاً له صورة مزيّنة ظاهراً وباطناً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الغارات : « وزينة لمن تحلّى به وعدلاً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فلان ينتحِل مذهب كذا وقبيلة كذا : إذا انتسب إليه وادّعاه كاذباً. راجع ؛ </w:t>
      </w:r>
      <w:r w:rsidR="008A74EB" w:rsidRPr="00993B55">
        <w:rPr>
          <w:rStyle w:val="libFootnoteBoldChar"/>
          <w:rtl/>
        </w:rPr>
        <w:t>الصحاح</w:t>
      </w:r>
      <w:r w:rsidR="008A74EB" w:rsidRPr="00C9040A">
        <w:rPr>
          <w:rtl/>
        </w:rPr>
        <w:t xml:space="preserve"> ، ج 5 ، ص 1827 ( نحل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ب ، بر » : « وغوثاً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 ج ، د ، ز ، ص ، ض ، ف ، بس ، بف » والوافي والبحار والغارات </w:t>
      </w:r>
      <w:r w:rsidR="008A74EB">
        <w:rPr>
          <w:rtl/>
        </w:rPr>
        <w:t xml:space="preserve">: </w:t>
      </w:r>
      <w:r w:rsidR="0084262C">
        <w:rPr>
          <w:rtl/>
        </w:rPr>
        <w:t>-</w:t>
      </w:r>
      <w:r w:rsidR="008A74EB" w:rsidRPr="00C9040A">
        <w:rPr>
          <w:rtl/>
        </w:rPr>
        <w:t xml:space="preserve"> « وعوناً لمن استغاث به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ف » : « تخاصم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 ج ، ف » : « وفلحاً »</w:t>
      </w:r>
      <w:r w:rsidR="008A74EB">
        <w:rPr>
          <w:rtl/>
        </w:rPr>
        <w:t>.</w:t>
      </w:r>
      <w:r w:rsidR="008A74EB" w:rsidRPr="00C9040A">
        <w:rPr>
          <w:rtl/>
        </w:rPr>
        <w:t xml:space="preserve"> </w:t>
      </w:r>
      <w:r w:rsidR="008A74EB">
        <w:rPr>
          <w:rtl/>
        </w:rPr>
        <w:t>و «</w:t>
      </w:r>
      <w:r w:rsidR="008A74EB" w:rsidRPr="00C9040A">
        <w:rPr>
          <w:rtl/>
        </w:rPr>
        <w:t xml:space="preserve"> الفُلْج » : الظَّفر بمن تخاصمه. </w:t>
      </w:r>
      <w:r w:rsidR="008A74EB" w:rsidRPr="00993B55">
        <w:rPr>
          <w:rStyle w:val="libFootnoteBoldChar"/>
          <w:rtl/>
        </w:rPr>
        <w:t>ترتيب كتاب العين</w:t>
      </w:r>
      <w:r w:rsidR="008A74EB" w:rsidRPr="00C9040A">
        <w:rPr>
          <w:rtl/>
        </w:rPr>
        <w:t xml:space="preserve"> ، ج 3 ، ص 1413 ( فلج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في « ج » : « دعاه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رَوى ، وَحُكْماً لِمَنْ قَضى ، وَحِلْماً لِمَنْ جَرَّبَ </w:t>
      </w:r>
      <w:r w:rsidR="006C577F" w:rsidRPr="006C577F">
        <w:rPr>
          <w:rStyle w:val="libFootnotenumChar"/>
          <w:rtl/>
        </w:rPr>
        <w:t>(1)</w:t>
      </w:r>
      <w:r w:rsidRPr="00C9040A">
        <w:rPr>
          <w:rtl/>
          <w:lang w:bidi="fa-IR"/>
        </w:rPr>
        <w:t xml:space="preserve">، وَلِبَاساً لِمَنْ تَدَبَّرَ </w:t>
      </w:r>
      <w:r w:rsidR="006C577F" w:rsidRPr="006C577F">
        <w:rPr>
          <w:rStyle w:val="libFootnotenumChar"/>
          <w:rtl/>
        </w:rPr>
        <w:t>(2)</w:t>
      </w:r>
      <w:r w:rsidRPr="00C9040A">
        <w:rPr>
          <w:rtl/>
          <w:lang w:bidi="fa-IR"/>
        </w:rPr>
        <w:t xml:space="preserve"> ، وَفَهْماً لِمَنْ تَفَطَّنَ ، وَيَقِيناً لِمَنْ عَقَلَ </w:t>
      </w:r>
      <w:r w:rsidR="006C577F" w:rsidRPr="006C577F">
        <w:rPr>
          <w:rStyle w:val="libFootnotenumChar"/>
          <w:rtl/>
        </w:rPr>
        <w:t>(3)</w:t>
      </w:r>
      <w:r w:rsidRPr="00C9040A">
        <w:rPr>
          <w:rtl/>
          <w:lang w:bidi="fa-IR"/>
        </w:rPr>
        <w:t xml:space="preserve"> ، وَبَصِيرَةً لِمَنْ عَزَمَ ، وَآيَةً لِمَنْ تَوَسَّمَ </w:t>
      </w:r>
      <w:r w:rsidR="006C577F" w:rsidRPr="006C577F">
        <w:rPr>
          <w:rStyle w:val="libFootnotenumChar"/>
          <w:rtl/>
        </w:rPr>
        <w:t>(4)</w:t>
      </w:r>
      <w:r w:rsidRPr="00C9040A">
        <w:rPr>
          <w:rtl/>
          <w:lang w:bidi="fa-IR"/>
        </w:rPr>
        <w:t xml:space="preserve"> ، وَعِبْرَةً لِمَنِ اتَّعَظَ ، وَنَجَاةً لِمَنْ صَدَّقَ </w:t>
      </w:r>
      <w:r w:rsidR="006C577F" w:rsidRPr="006C577F">
        <w:rPr>
          <w:rStyle w:val="libFootnotenumChar"/>
          <w:rtl/>
        </w:rPr>
        <w:t>(5)</w:t>
      </w:r>
      <w:r w:rsidRPr="00C9040A">
        <w:rPr>
          <w:rtl/>
          <w:lang w:bidi="fa-IR"/>
        </w:rPr>
        <w:t xml:space="preserve"> ، وَتُؤَدَةً </w:t>
      </w:r>
      <w:r w:rsidR="006C577F" w:rsidRPr="006C577F">
        <w:rPr>
          <w:rStyle w:val="libFootnotenumChar"/>
          <w:rtl/>
        </w:rPr>
        <w:t>(6)</w:t>
      </w:r>
      <w:r w:rsidRPr="005B567D">
        <w:rPr>
          <w:rStyle w:val="libFootnotenumChar"/>
          <w:rtl/>
        </w:rPr>
        <w:t xml:space="preserve"> </w:t>
      </w:r>
      <w:r w:rsidRPr="00C9040A">
        <w:rPr>
          <w:rtl/>
          <w:lang w:bidi="fa-IR"/>
        </w:rPr>
        <w:t xml:space="preserve">لِمَنْ أَصْلَحَ ، وَزُلْفى لِمَنِ اقْتَرَبَ </w:t>
      </w:r>
      <w:r w:rsidR="006C577F" w:rsidRPr="006C577F">
        <w:rPr>
          <w:rStyle w:val="libFootnotenumChar"/>
          <w:rtl/>
        </w:rPr>
        <w:t>(7)</w:t>
      </w:r>
      <w:r w:rsidRPr="00C9040A">
        <w:rPr>
          <w:rtl/>
          <w:lang w:bidi="fa-IR"/>
        </w:rPr>
        <w:t xml:space="preserve"> ، وَثِقَةً لِمَنْ تَوَكَّلَ ، وَرَخَاءً </w:t>
      </w:r>
      <w:r w:rsidR="006C577F" w:rsidRPr="006C577F">
        <w:rPr>
          <w:rStyle w:val="libFootnotenumChar"/>
          <w:rtl/>
        </w:rPr>
        <w:t>(8)</w:t>
      </w:r>
      <w:r w:rsidRPr="00C9040A">
        <w:rPr>
          <w:rtl/>
          <w:lang w:bidi="fa-IR"/>
        </w:rPr>
        <w:t xml:space="preserve"> لِمَنْ فَوَّضَ ، وَسُبْقَةً </w:t>
      </w:r>
      <w:r w:rsidR="006C577F" w:rsidRPr="006C577F">
        <w:rPr>
          <w:rStyle w:val="libFootnotenumChar"/>
          <w:rtl/>
        </w:rPr>
        <w:t>(9)</w:t>
      </w:r>
      <w:r w:rsidRPr="00C9040A">
        <w:rPr>
          <w:rtl/>
          <w:lang w:bidi="fa-IR"/>
        </w:rPr>
        <w:t xml:space="preserve"> لِمَنْ أَحْسَنَ ، وَخَيْراً لِمَنْ سَارَعَ ، وَجُنَّةً </w:t>
      </w:r>
      <w:r w:rsidR="006C577F" w:rsidRPr="006C577F">
        <w:rPr>
          <w:rStyle w:val="libFootnotenumChar"/>
          <w:rtl/>
        </w:rPr>
        <w:t>(10)</w:t>
      </w:r>
      <w:r w:rsidRPr="00C9040A">
        <w:rPr>
          <w:rtl/>
          <w:lang w:bidi="fa-IR"/>
        </w:rPr>
        <w:t xml:space="preserve"> لِمَنْ صَبَرَ ، وَلِبَاساً لِمَنِ اتَّقى ،</w:t>
      </w:r>
      <w:r>
        <w:rPr>
          <w:rFonts w:hint="cs"/>
          <w:rtl/>
          <w:lang w:bidi="fa-IR"/>
        </w:rPr>
        <w:t xml:space="preserve"> </w:t>
      </w:r>
      <w:r w:rsidRPr="00C9040A">
        <w:rPr>
          <w:rtl/>
          <w:lang w:bidi="fa-IR"/>
        </w:rPr>
        <w:t xml:space="preserve">وَظَهِيراً </w:t>
      </w:r>
      <w:r w:rsidR="006C577F" w:rsidRPr="006C577F">
        <w:rPr>
          <w:rStyle w:val="libFootnotenumChar"/>
          <w:rtl/>
        </w:rPr>
        <w:t>(11)</w:t>
      </w:r>
      <w:r w:rsidRPr="00C9040A">
        <w:rPr>
          <w:rtl/>
          <w:lang w:bidi="fa-IR"/>
        </w:rPr>
        <w:t xml:space="preserve"> لِمَنْ رَشَدَ ، وَكَهْفاً </w:t>
      </w:r>
      <w:r w:rsidR="006C577F" w:rsidRPr="006C577F">
        <w:rPr>
          <w:rStyle w:val="libFootnotenumChar"/>
          <w:rtl/>
        </w:rPr>
        <w:t>(12)</w:t>
      </w:r>
      <w:r w:rsidRPr="00C9040A">
        <w:rPr>
          <w:rtl/>
          <w:lang w:bidi="fa-IR"/>
        </w:rPr>
        <w:t xml:space="preserve"> لِمَنْ آمَنَ ، وَأَمَنَةً لِمَنْ أَسْلَمَ ، وَرَجَاءً </w:t>
      </w:r>
      <w:r w:rsidRPr="005B567D">
        <w:rPr>
          <w:rStyle w:val="libFootnotenumChar"/>
          <w:rtl/>
        </w:rPr>
        <w:t>(13)</w:t>
      </w:r>
      <w:r w:rsidRPr="00C9040A">
        <w:rPr>
          <w:rtl/>
          <w:lang w:bidi="fa-IR"/>
        </w:rPr>
        <w:t xml:space="preserve"> لِمَنْ صَدَقَ </w:t>
      </w:r>
      <w:r w:rsidRPr="005B567D">
        <w:rPr>
          <w:rStyle w:val="libFootnotenumChar"/>
          <w:rtl/>
        </w:rPr>
        <w:t>(14)</w:t>
      </w:r>
      <w:r w:rsidRPr="00C9040A">
        <w:rPr>
          <w:rtl/>
          <w:lang w:bidi="fa-IR"/>
        </w:rPr>
        <w:t xml:space="preserve"> ، وَغِنًى لِمَنْ قَنِعَ.</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الغارات : « حرب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w:t>
      </w:r>
      <w:r w:rsidR="008A74EB" w:rsidRPr="00653123">
        <w:rPr>
          <w:rtl/>
        </w:rPr>
        <w:t>الوافي</w:t>
      </w:r>
      <w:r w:rsidR="008A74EB" w:rsidRPr="00C9040A">
        <w:rPr>
          <w:rtl/>
        </w:rPr>
        <w:t xml:space="preserve"> : « تدثّر »</w:t>
      </w:r>
      <w:r w:rsidR="008A74EB">
        <w:rPr>
          <w:rtl/>
        </w:rPr>
        <w:t>.</w:t>
      </w:r>
      <w:r w:rsidR="008A74EB" w:rsidRPr="00C9040A">
        <w:rPr>
          <w:rtl/>
        </w:rPr>
        <w:t xml:space="preserve"> وقال : « التدثّر</w:t>
      </w:r>
      <w:r w:rsidR="008A74EB">
        <w:rPr>
          <w:rtl/>
        </w:rPr>
        <w:t xml:space="preserve"> </w:t>
      </w:r>
      <w:r w:rsidR="0084262C">
        <w:rPr>
          <w:rtl/>
        </w:rPr>
        <w:t>-</w:t>
      </w:r>
      <w:r w:rsidR="008A74EB">
        <w:rPr>
          <w:rtl/>
        </w:rPr>
        <w:t xml:space="preserve"> </w:t>
      </w:r>
      <w:r w:rsidR="008A74EB" w:rsidRPr="00C9040A">
        <w:rPr>
          <w:rtl/>
        </w:rPr>
        <w:t>بالمثلّثة بين المهملتين</w:t>
      </w:r>
      <w:r w:rsidR="008A74EB">
        <w:rPr>
          <w:rtl/>
        </w:rPr>
        <w:t xml:space="preserve"> </w:t>
      </w:r>
      <w:r w:rsidR="0084262C">
        <w:rPr>
          <w:rtl/>
        </w:rPr>
        <w:t>-</w:t>
      </w:r>
      <w:r w:rsidR="008A74EB">
        <w:rPr>
          <w:rtl/>
        </w:rPr>
        <w:t xml:space="preserve"> </w:t>
      </w:r>
      <w:r w:rsidR="008A74EB" w:rsidRPr="00C9040A">
        <w:rPr>
          <w:rtl/>
        </w:rPr>
        <w:t>: الاشتمال بالثوب »</w:t>
      </w:r>
      <w:r w:rsidR="008A74EB">
        <w:rPr>
          <w:rtl/>
        </w:rPr>
        <w:t>.</w:t>
      </w:r>
      <w:r w:rsidR="008A74EB" w:rsidRPr="00C9040A">
        <w:rPr>
          <w:rtl/>
        </w:rPr>
        <w:t xml:space="preserve"> وفي </w:t>
      </w:r>
      <w:r w:rsidR="008A74EB" w:rsidRPr="00993B55">
        <w:rPr>
          <w:rStyle w:val="libFootnoteBoldChar"/>
          <w:rtl/>
        </w:rPr>
        <w:t xml:space="preserve">مرآة العقول </w:t>
      </w:r>
      <w:r w:rsidR="008A74EB" w:rsidRPr="00C9040A">
        <w:rPr>
          <w:rtl/>
        </w:rPr>
        <w:t>: « أي لباس عافية لمن تدبّر في العواقب ، أو في أوامره ونواهيه. أو لباس زينة. والأوّل أظهر. وقد يقرأ « تدثّر » بالثاء المثلّثة ، أي لبسه وجعله مشتملاً على نفسه كالدثار ، وهو تصحيف لطيف »</w:t>
      </w:r>
      <w:r w:rsidR="008A74EB">
        <w:rPr>
          <w:rtl/>
        </w:rPr>
        <w:t>.</w:t>
      </w:r>
      <w:r w:rsidR="008A74EB" w:rsidRPr="00C9040A">
        <w:rPr>
          <w:rtl/>
        </w:rPr>
        <w:t xml:space="preserve"> وفي نهج البلاغة وكتاب سليم والغارات وأمالي المفيد والطوسي والتحف : « ولُبّاً لمن تدبّر »</w:t>
      </w:r>
      <w:r w:rsidR="008A74EB">
        <w:rPr>
          <w:rtl/>
        </w:rPr>
        <w:t>.</w:t>
      </w:r>
      <w:r w:rsidR="008A74EB" w:rsidRPr="00C9040A">
        <w:rPr>
          <w:rtl/>
        </w:rPr>
        <w:t xml:space="preserve"> وقال المجلسي في </w:t>
      </w:r>
      <w:r w:rsidR="008A74EB" w:rsidRPr="00993B55">
        <w:rPr>
          <w:rStyle w:val="libFootnoteBoldChar"/>
          <w:rtl/>
        </w:rPr>
        <w:t>المرآة</w:t>
      </w:r>
      <w:r w:rsidR="008A74EB" w:rsidRPr="00C9040A">
        <w:rPr>
          <w:rtl/>
        </w:rPr>
        <w:t xml:space="preserve"> : « وفي النهج والكتابين : ولُبّاً لمن تدبّر. واللبّ : العقل ؛ وهو أصوب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الغارات : « علم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توسّمت فيه الخير : أي تفرّست. والمتوسّم. المتفرّس المتأمّل المتثبّت في نظره حتّى يعرف حقيقة سَمْت الشي‌ء. </w:t>
      </w:r>
      <w:r w:rsidR="008A74EB" w:rsidRPr="00993B55">
        <w:rPr>
          <w:rStyle w:val="libFootnoteBoldChar"/>
          <w:rtl/>
        </w:rPr>
        <w:t>الصحاح</w:t>
      </w:r>
      <w:r w:rsidR="008A74EB" w:rsidRPr="00C9040A">
        <w:rPr>
          <w:rtl/>
        </w:rPr>
        <w:t xml:space="preserve"> ، ج 5 ، ص 2052 ؛ </w:t>
      </w:r>
      <w:r w:rsidR="008A74EB" w:rsidRPr="00993B55">
        <w:rPr>
          <w:rStyle w:val="libFootnoteBoldChar"/>
          <w:rtl/>
        </w:rPr>
        <w:t>مجمع البحرين</w:t>
      </w:r>
      <w:r w:rsidR="008A74EB" w:rsidRPr="00C9040A">
        <w:rPr>
          <w:rtl/>
        </w:rPr>
        <w:t xml:space="preserve"> ، ج 6 ، ص 183 ( وسم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يجوز فيه التخفيف أيضاً ، كما احتمله المجلسي في مرآة العقول.</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ص » : « مودّة »</w:t>
      </w:r>
      <w:r w:rsidR="008A74EB">
        <w:rPr>
          <w:rtl/>
        </w:rPr>
        <w:t>.</w:t>
      </w:r>
      <w:r w:rsidR="008A74EB" w:rsidRPr="00C9040A">
        <w:rPr>
          <w:rtl/>
        </w:rPr>
        <w:t xml:space="preserve"> </w:t>
      </w:r>
      <w:r w:rsidR="008A74EB">
        <w:rPr>
          <w:rtl/>
        </w:rPr>
        <w:t>و «</w:t>
      </w:r>
      <w:r w:rsidR="008A74EB" w:rsidRPr="00C9040A">
        <w:rPr>
          <w:rtl/>
        </w:rPr>
        <w:t xml:space="preserve"> التُؤدة » : التأنّي. يقال : اتّأد في فعله وقوله ، وتوأّد : إذا تأنّى وتثبّت ولم يعجل. </w:t>
      </w:r>
      <w:r w:rsidR="008A74EB" w:rsidRPr="00993B55">
        <w:rPr>
          <w:rStyle w:val="libFootnoteBoldChar"/>
          <w:rtl/>
        </w:rPr>
        <w:t>النهاية</w:t>
      </w:r>
      <w:r w:rsidR="008A74EB" w:rsidRPr="00C9040A">
        <w:rPr>
          <w:rtl/>
        </w:rPr>
        <w:t xml:space="preserve"> ، ج 1 ، ص 178 ( تئد )</w:t>
      </w:r>
      <w:r w:rsidR="008A74EB">
        <w:rPr>
          <w:rtl/>
        </w:rPr>
        <w:t>.</w:t>
      </w:r>
      <w:r w:rsidR="008A74EB" w:rsidRPr="00C9040A">
        <w:rPr>
          <w:rtl/>
        </w:rPr>
        <w:t xml:space="preserve"> وهو ظاهر ؛ لأنّ من أصلح بقواعد الإسلام وتبع حكمه كان الإسلام سبباً لتأنّيه ورزانته. راجع : </w:t>
      </w:r>
      <w:r w:rsidR="008A74EB" w:rsidRPr="00993B55">
        <w:rPr>
          <w:rStyle w:val="libFootnoteBoldChar"/>
          <w:rtl/>
        </w:rPr>
        <w:t>شرح المازندراني</w:t>
      </w:r>
      <w:r w:rsidR="008A74EB" w:rsidRPr="00C9040A">
        <w:rPr>
          <w:rtl/>
        </w:rPr>
        <w:t xml:space="preserve"> ، ج 8 ، ص 154.</w:t>
      </w:r>
    </w:p>
    <w:p w:rsidR="008A74EB" w:rsidRPr="00C9040A" w:rsidRDefault="006C577F" w:rsidP="004A4E41">
      <w:pPr>
        <w:pStyle w:val="libFootnote0"/>
        <w:rPr>
          <w:rtl/>
          <w:lang w:bidi="fa-IR"/>
        </w:rPr>
      </w:pPr>
      <w:r>
        <w:rPr>
          <w:rtl/>
        </w:rPr>
        <w:t>(7).</w:t>
      </w:r>
      <w:r w:rsidR="008A74EB" w:rsidRPr="00C9040A">
        <w:rPr>
          <w:rtl/>
        </w:rPr>
        <w:t xml:space="preserve"> في « بر ، بف » : « اقترن »</w:t>
      </w:r>
      <w:r w:rsidR="008A74EB">
        <w:rPr>
          <w:rtl/>
        </w:rPr>
        <w:t>.</w:t>
      </w:r>
      <w:r w:rsidR="008A74EB" w:rsidRPr="00C9040A">
        <w:rPr>
          <w:rtl/>
        </w:rPr>
        <w:t xml:space="preserve"> وقال المجلسي في </w:t>
      </w:r>
      <w:r w:rsidR="008A74EB" w:rsidRPr="00993B55">
        <w:rPr>
          <w:rStyle w:val="libFootnoteBoldChar"/>
          <w:rtl/>
        </w:rPr>
        <w:t>مرآة العقول</w:t>
      </w:r>
      <w:r w:rsidR="008A74EB" w:rsidRPr="00C9040A">
        <w:rPr>
          <w:rtl/>
        </w:rPr>
        <w:t xml:space="preserve"> : « كأنّه تصحيف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 ز ، ص ، بر ، بف » والوافي ومرآة العقول والبحار : « ورجاء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ض » : « سابقة »</w:t>
      </w:r>
      <w:r w:rsidR="008A74EB">
        <w:rPr>
          <w:rtl/>
        </w:rPr>
        <w:t>.</w:t>
      </w:r>
      <w:r w:rsidR="008A74EB" w:rsidRPr="00C9040A">
        <w:rPr>
          <w:rtl/>
        </w:rPr>
        <w:t xml:space="preserve"> وفي الغارات : « صبغة »</w:t>
      </w:r>
      <w:r w:rsidR="008A74EB">
        <w:rPr>
          <w:rtl/>
        </w:rPr>
        <w:t>.</w:t>
      </w:r>
    </w:p>
    <w:p w:rsidR="008A74EB" w:rsidRPr="004A4E41" w:rsidRDefault="006C577F" w:rsidP="004A4E41">
      <w:pPr>
        <w:pStyle w:val="libFootnote0"/>
        <w:rPr>
          <w:rStyle w:val="libFootnote0Char"/>
          <w:rtl/>
        </w:rPr>
      </w:pPr>
      <w:r>
        <w:rPr>
          <w:rtl/>
        </w:rPr>
        <w:t>(10).</w:t>
      </w:r>
      <w:r w:rsidR="008A74EB" w:rsidRPr="00C9040A">
        <w:rPr>
          <w:rtl/>
        </w:rPr>
        <w:t xml:space="preserve"> « الجُنّة » : الدِرع ، وكلّ ما وقاك فهو جنّتُك. </w:t>
      </w:r>
      <w:r w:rsidR="008A74EB" w:rsidRPr="00993B55">
        <w:rPr>
          <w:rStyle w:val="libFootnoteBoldChar"/>
          <w:rtl/>
        </w:rPr>
        <w:t>ترتيب كتاب العين</w:t>
      </w:r>
      <w:r w:rsidR="008A74EB" w:rsidRPr="00C9040A">
        <w:rPr>
          <w:rtl/>
        </w:rPr>
        <w:t xml:space="preserve"> ، ج 1 ، ص 324 ( جنّ )</w:t>
      </w:r>
      <w:r w:rsidR="008A74EB">
        <w:rPr>
          <w:rtl/>
        </w:rPr>
        <w:t>.</w:t>
      </w:r>
    </w:p>
    <w:tbl>
      <w:tblPr>
        <w:tblStyle w:val="TableGrid"/>
        <w:bidiVisual/>
        <w:tblW w:w="0" w:type="auto"/>
        <w:tblLook w:val="04A0" w:firstRow="1" w:lastRow="0" w:firstColumn="1" w:lastColumn="0" w:noHBand="0" w:noVBand="1"/>
      </w:tblPr>
      <w:tblGrid>
        <w:gridCol w:w="4006"/>
        <w:gridCol w:w="4006"/>
      </w:tblGrid>
      <w:tr w:rsidR="00570DDD" w:rsidTr="00570DDD">
        <w:tc>
          <w:tcPr>
            <w:tcW w:w="4006" w:type="dxa"/>
          </w:tcPr>
          <w:p w:rsidR="00570DDD" w:rsidRDefault="00570DDD" w:rsidP="004A4E41">
            <w:pPr>
              <w:pStyle w:val="libFootnote0"/>
              <w:rPr>
                <w:rtl/>
              </w:rPr>
            </w:pPr>
            <w:r>
              <w:rPr>
                <w:rtl/>
              </w:rPr>
              <w:t>(11).</w:t>
            </w:r>
            <w:r w:rsidRPr="00C9040A">
              <w:rPr>
                <w:rtl/>
              </w:rPr>
              <w:t xml:space="preserve"> في الغارات : « وطهراً »</w:t>
            </w:r>
            <w:r>
              <w:rPr>
                <w:rtl/>
              </w:rPr>
              <w:t>.</w:t>
            </w:r>
          </w:p>
        </w:tc>
        <w:tc>
          <w:tcPr>
            <w:tcW w:w="4006" w:type="dxa"/>
          </w:tcPr>
          <w:p w:rsidR="00570DDD" w:rsidRDefault="00570DDD" w:rsidP="004A4E41">
            <w:pPr>
              <w:pStyle w:val="libFootnote0"/>
              <w:rPr>
                <w:rtl/>
              </w:rPr>
            </w:pPr>
            <w:r>
              <w:rPr>
                <w:rtl/>
              </w:rPr>
              <w:t>(12).</w:t>
            </w:r>
            <w:r w:rsidRPr="00C9040A">
              <w:rPr>
                <w:rtl/>
              </w:rPr>
              <w:t xml:space="preserve"> في الغارات : « وكتبة »</w:t>
            </w:r>
            <w:r>
              <w:rPr>
                <w:rtl/>
              </w:rPr>
              <w:t>.</w:t>
            </w:r>
          </w:p>
        </w:tc>
      </w:tr>
    </w:tbl>
    <w:p w:rsidR="008A74EB" w:rsidRPr="00C9040A" w:rsidRDefault="008A74EB" w:rsidP="004A4E41">
      <w:pPr>
        <w:pStyle w:val="libFootnote0"/>
        <w:rPr>
          <w:rtl/>
          <w:lang w:bidi="fa-IR"/>
        </w:rPr>
      </w:pPr>
      <w:r>
        <w:rPr>
          <w:rtl/>
        </w:rPr>
        <w:t>(13)</w:t>
      </w:r>
      <w:r w:rsidRPr="00C9040A">
        <w:rPr>
          <w:rtl/>
        </w:rPr>
        <w:t xml:space="preserve"> في « ب » وحاشية « بر ، بس » والوافي والغارات : « وروحاً »</w:t>
      </w:r>
      <w:r>
        <w:rPr>
          <w:rtl/>
        </w:rPr>
        <w:t>.</w:t>
      </w:r>
    </w:p>
    <w:p w:rsidR="008A74EB" w:rsidRPr="00C9040A" w:rsidRDefault="008A74EB" w:rsidP="004A4E41">
      <w:pPr>
        <w:pStyle w:val="libFootnote0"/>
        <w:rPr>
          <w:rtl/>
          <w:lang w:bidi="fa-IR"/>
        </w:rPr>
      </w:pPr>
      <w:r>
        <w:rPr>
          <w:rtl/>
        </w:rPr>
        <w:t>(14)</w:t>
      </w:r>
      <w:r w:rsidRPr="00C9040A">
        <w:rPr>
          <w:rtl/>
        </w:rPr>
        <w:t xml:space="preserve"> في « ب ، ج ، د » وشرح المازندراني ومرآة العقول : « صدّق » بالتشديد. وأيّد المجلسي التخفيف بما في </w:t>
      </w:r>
      <w:r w:rsidRPr="00B35385">
        <w:rPr>
          <w:rStyle w:val="libFootnoteBoldChar"/>
          <w:rtl/>
        </w:rPr>
        <w:t>تح</w:t>
      </w:r>
      <w:r w:rsidR="00B35385" w:rsidRPr="00B35385">
        <w:rPr>
          <w:rStyle w:val="libFootnoteBoldChar"/>
          <w:rFonts w:hint="cs"/>
          <w:rtl/>
        </w:rPr>
        <w:t>ف</w:t>
      </w:r>
      <w:r w:rsidRPr="00993B55">
        <w:rPr>
          <w:rStyle w:val="libFootnoteBoldChar"/>
          <w:rtl/>
        </w:rPr>
        <w:t xml:space="preserve"> العقول </w:t>
      </w:r>
      <w:r w:rsidRPr="00C9040A">
        <w:rPr>
          <w:rtl/>
        </w:rPr>
        <w:t>: « وروحاً للصادقين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lastRenderedPageBreak/>
        <w:t xml:space="preserve">فَذلِكَ الْحَقُّ سَبِيلُهُ الْهُدى ، وَمَأْثُرَتُهُ </w:t>
      </w:r>
      <w:r w:rsidR="006C577F" w:rsidRPr="006C577F">
        <w:rPr>
          <w:rStyle w:val="libFootnotenumChar"/>
          <w:rtl/>
        </w:rPr>
        <w:t>(1)</w:t>
      </w:r>
      <w:r w:rsidRPr="00853746">
        <w:rPr>
          <w:rFonts w:hint="cs"/>
          <w:rtl/>
        </w:rPr>
        <w:t xml:space="preserve"> </w:t>
      </w:r>
      <w:r w:rsidRPr="00C9040A">
        <w:rPr>
          <w:rtl/>
          <w:lang w:bidi="fa-IR"/>
        </w:rPr>
        <w:t xml:space="preserve">الْمَجْدُ ، وَصِفَتُهُ الْحُسْنى ؛ فَهُوَ أَبْلَجُ </w:t>
      </w:r>
      <w:r w:rsidR="006C577F" w:rsidRPr="006C577F">
        <w:rPr>
          <w:rStyle w:val="libFootnotenumChar"/>
          <w:rtl/>
        </w:rPr>
        <w:t>(2)</w:t>
      </w:r>
      <w:r w:rsidRPr="00C9040A">
        <w:rPr>
          <w:rtl/>
          <w:lang w:bidi="fa-IR"/>
        </w:rPr>
        <w:t xml:space="preserve"> الْمِنْهَاجِ </w:t>
      </w:r>
      <w:r w:rsidR="006C577F" w:rsidRPr="006C577F">
        <w:rPr>
          <w:rStyle w:val="libFootnotenumChar"/>
          <w:rtl/>
        </w:rPr>
        <w:t>(3)</w:t>
      </w:r>
      <w:r w:rsidRPr="00C9040A">
        <w:rPr>
          <w:rtl/>
          <w:lang w:bidi="fa-IR"/>
        </w:rPr>
        <w:t xml:space="preserve"> ، مُشْرِقُ </w:t>
      </w:r>
      <w:r w:rsidR="006C577F" w:rsidRPr="006C577F">
        <w:rPr>
          <w:rStyle w:val="libFootnotenumChar"/>
          <w:rtl/>
        </w:rPr>
        <w:t>(4)</w:t>
      </w:r>
      <w:r w:rsidRPr="00C9040A">
        <w:rPr>
          <w:rtl/>
          <w:lang w:bidi="fa-IR"/>
        </w:rPr>
        <w:t xml:space="preserve"> الْمَنَارِ ، ذَاكِي </w:t>
      </w:r>
      <w:r w:rsidR="006C577F" w:rsidRPr="006C577F">
        <w:rPr>
          <w:rStyle w:val="libFootnotenumChar"/>
          <w:rtl/>
        </w:rPr>
        <w:t>(5)</w:t>
      </w:r>
      <w:r w:rsidRPr="00C9040A">
        <w:rPr>
          <w:rtl/>
          <w:lang w:bidi="fa-IR"/>
        </w:rPr>
        <w:t xml:space="preserve"> الْمِصْبَاحِ ، رَفِيعُ الْغَايَةِ ، يَسِيرُ </w:t>
      </w:r>
      <w:r w:rsidR="006C577F" w:rsidRPr="006C577F">
        <w:rPr>
          <w:rStyle w:val="libFootnotenumChar"/>
          <w:rtl/>
        </w:rPr>
        <w:t>(6)</w:t>
      </w:r>
      <w:r w:rsidRPr="00247D36">
        <w:rPr>
          <w:rtl/>
        </w:rPr>
        <w:t xml:space="preserve"> </w:t>
      </w:r>
      <w:r w:rsidRPr="00C9040A">
        <w:rPr>
          <w:rtl/>
          <w:lang w:bidi="fa-IR"/>
        </w:rPr>
        <w:t xml:space="preserve">الْمِضْمَارِ </w:t>
      </w:r>
      <w:r w:rsidR="006C577F" w:rsidRPr="006C577F">
        <w:rPr>
          <w:rStyle w:val="libFootnotenumChar"/>
          <w:rtl/>
        </w:rPr>
        <w:t>(7)</w:t>
      </w:r>
      <w:r w:rsidRPr="00C9040A">
        <w:rPr>
          <w:rtl/>
          <w:lang w:bidi="fa-IR"/>
        </w:rPr>
        <w:t xml:space="preserve"> ، جَامِعُ الْحَلْبَةِ </w:t>
      </w:r>
      <w:r w:rsidR="006C577F" w:rsidRPr="006C577F">
        <w:rPr>
          <w:rStyle w:val="libFootnotenumChar"/>
          <w:rtl/>
        </w:rPr>
        <w:t>(8)</w:t>
      </w:r>
      <w:r w:rsidRPr="00C9040A">
        <w:rPr>
          <w:rtl/>
          <w:lang w:bidi="fa-IR"/>
        </w:rPr>
        <w:t xml:space="preserve"> ، سَرِيعُ السَّبْقَةِ </w:t>
      </w:r>
      <w:r w:rsidR="006C577F" w:rsidRPr="006C577F">
        <w:rPr>
          <w:rStyle w:val="libFootnotenumChar"/>
          <w:rtl/>
        </w:rPr>
        <w:t>(9)</w:t>
      </w:r>
      <w:r w:rsidRPr="00C9040A">
        <w:rPr>
          <w:rtl/>
          <w:lang w:bidi="fa-IR"/>
        </w:rPr>
        <w:t xml:space="preserve"> ، أَلِيمُ النَّقِمَةِ ، كَامِلُ </w:t>
      </w:r>
      <w:r w:rsidR="006C577F" w:rsidRPr="006C577F">
        <w:rPr>
          <w:rStyle w:val="libFootnotenumChar"/>
          <w:rtl/>
        </w:rPr>
        <w:t>(10)</w:t>
      </w:r>
      <w:r w:rsidRPr="00C9040A">
        <w:rPr>
          <w:rtl/>
          <w:lang w:bidi="fa-IR"/>
        </w:rPr>
        <w:t xml:space="preserve"> الْعُدَّةِ ، كَرِيمُ الْفُرْسَانِ ؛ فَالْإِيمَانُ </w:t>
      </w:r>
      <w:r w:rsidR="006C577F" w:rsidRPr="006C577F">
        <w:rPr>
          <w:rStyle w:val="libFootnotenumChar"/>
          <w:rtl/>
        </w:rPr>
        <w:t>(11)</w:t>
      </w:r>
      <w:r w:rsidRPr="00C9040A">
        <w:rPr>
          <w:rtl/>
          <w:lang w:bidi="fa-IR"/>
        </w:rPr>
        <w:t xml:space="preserve"> مِنْهَاجُهُ ، وَالصَّالِحَاتُ مَنَارُهُ ، وَالْفِقْهُ </w:t>
      </w:r>
      <w:r w:rsidR="006C577F" w:rsidRPr="006C577F">
        <w:rPr>
          <w:rStyle w:val="libFootnotenumChar"/>
          <w:rtl/>
        </w:rPr>
        <w:t>(12)</w:t>
      </w:r>
      <w:r w:rsidRPr="00C9040A">
        <w:rPr>
          <w:rtl/>
          <w:lang w:bidi="fa-IR"/>
        </w:rPr>
        <w:t xml:space="preserve"> مَصَابِيحُهُ ، وَالدُّنْيَا مِضْمَارُهُ ، وَالْمَوْتُ غَايَتُهُ ، وَالْقِيَامَةُ حَلْبَتُهُ </w:t>
      </w:r>
      <w:r w:rsidRPr="005B567D">
        <w:rPr>
          <w:rStyle w:val="libFootnotenumChar"/>
          <w:rtl/>
        </w:rPr>
        <w:t>(13)</w:t>
      </w:r>
      <w:r w:rsidRPr="00C9040A">
        <w:rPr>
          <w:rtl/>
          <w:lang w:bidi="fa-IR"/>
        </w:rPr>
        <w:t xml:space="preserve"> ، وَالْجَنَّةُ سُبْقَتُهُ ، وَالنَّارُ نَقِمَتُهُ ، وَالتَّقْوى عُدَّتُهُ ، وَالْمُحْسِنُونَ </w:t>
      </w:r>
      <w:r w:rsidRPr="005B567D">
        <w:rPr>
          <w:rStyle w:val="libFootnotenumChar"/>
          <w:rtl/>
        </w:rPr>
        <w:t>(14)</w:t>
      </w:r>
      <w:r w:rsidRPr="00C9040A">
        <w:rPr>
          <w:rtl/>
          <w:lang w:bidi="fa-IR"/>
        </w:rPr>
        <w:t xml:space="preserve"> فُرْسَانُهُ.</w:t>
      </w:r>
    </w:p>
    <w:p w:rsidR="008A74EB" w:rsidRPr="00C9040A" w:rsidRDefault="008A74EB" w:rsidP="008A74EB">
      <w:pPr>
        <w:pStyle w:val="libNormal"/>
        <w:rPr>
          <w:rtl/>
          <w:lang w:bidi="fa-IR"/>
        </w:rPr>
      </w:pPr>
      <w:r w:rsidRPr="00C9040A">
        <w:rPr>
          <w:rtl/>
          <w:lang w:bidi="fa-IR"/>
        </w:rPr>
        <w:t xml:space="preserve">فَبِالْإِيمَانِ </w:t>
      </w:r>
      <w:r w:rsidRPr="005B567D">
        <w:rPr>
          <w:rStyle w:val="libFootnotenumChar"/>
          <w:rtl/>
        </w:rPr>
        <w:t>(15)</w:t>
      </w:r>
      <w:r w:rsidRPr="00C9040A">
        <w:rPr>
          <w:rtl/>
          <w:lang w:bidi="fa-IR"/>
        </w:rPr>
        <w:t xml:space="preserve"> يُسْتَدَلُّ عَلَى الصَّالِحَاتِ ، وَبِالصَّالِحَاتِ </w:t>
      </w:r>
      <w:r w:rsidRPr="005B567D">
        <w:rPr>
          <w:rStyle w:val="libFootnotenumChar"/>
          <w:rtl/>
        </w:rPr>
        <w:t>(16)</w:t>
      </w:r>
      <w:r w:rsidRPr="00C9040A">
        <w:rPr>
          <w:rtl/>
          <w:lang w:bidi="fa-IR"/>
        </w:rPr>
        <w:t xml:space="preserve"> يُعْمَرُ الْفِقْهُ ، وَبِالْفِقْهِ يُرْهَبُ‌</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 المأثرة » : المكرمة. ومآثر العرب : مكارمها ومفاخرها التي تؤثر عنها ، أي تروى وتذكر. </w:t>
      </w:r>
      <w:r w:rsidR="008A74EB" w:rsidRPr="00993B55">
        <w:rPr>
          <w:rStyle w:val="libFootnoteBoldChar"/>
          <w:rtl/>
        </w:rPr>
        <w:t>ترتيب كتاب العين</w:t>
      </w:r>
      <w:r w:rsidR="008A74EB" w:rsidRPr="00C9040A">
        <w:rPr>
          <w:rtl/>
        </w:rPr>
        <w:t xml:space="preserve"> ، ج 1 ، ص 66 ؛ </w:t>
      </w:r>
      <w:r w:rsidR="008A74EB" w:rsidRPr="00993B55">
        <w:rPr>
          <w:rStyle w:val="libFootnoteBoldChar"/>
          <w:rtl/>
        </w:rPr>
        <w:t>النهاية</w:t>
      </w:r>
      <w:r w:rsidR="008A74EB" w:rsidRPr="00C9040A">
        <w:rPr>
          <w:rtl/>
        </w:rPr>
        <w:t xml:space="preserve"> ، ج 1 ، ص 22 ( أثر )</w:t>
      </w:r>
      <w:r w:rsidR="008A74EB">
        <w:rPr>
          <w:rtl/>
        </w:rPr>
        <w:t>.</w:t>
      </w:r>
    </w:p>
    <w:p w:rsidR="008A74EB" w:rsidRPr="004A4E41" w:rsidRDefault="006C577F" w:rsidP="004A4E41">
      <w:pPr>
        <w:pStyle w:val="libFootnote0"/>
        <w:rPr>
          <w:rStyle w:val="libFootnote0Char"/>
          <w:rtl/>
        </w:rPr>
      </w:pPr>
      <w:r>
        <w:rPr>
          <w:rtl/>
        </w:rPr>
        <w:t>(2).</w:t>
      </w:r>
      <w:r w:rsidR="008A74EB">
        <w:rPr>
          <w:rtl/>
        </w:rPr>
        <w:t xml:space="preserve"> </w:t>
      </w:r>
      <w:r w:rsidR="008A74EB" w:rsidRPr="00C9040A">
        <w:rPr>
          <w:rtl/>
        </w:rPr>
        <w:t>في « ج ، ز ، ف » وحاشية « ص » : « أبلغ »</w:t>
      </w:r>
      <w:r w:rsidR="008A74EB">
        <w:rPr>
          <w:rtl/>
        </w:rPr>
        <w:t>.</w:t>
      </w:r>
      <w:r w:rsidR="008A74EB" w:rsidRPr="00C9040A">
        <w:rPr>
          <w:rtl/>
        </w:rPr>
        <w:t xml:space="preserve"> وفي « ص » : « أبلح »</w:t>
      </w:r>
      <w:r w:rsidR="008A74EB">
        <w:rPr>
          <w:rtl/>
        </w:rPr>
        <w:t>.</w:t>
      </w:r>
      <w:r w:rsidR="008A74EB" w:rsidRPr="00C9040A">
        <w:rPr>
          <w:rtl/>
        </w:rPr>
        <w:t xml:space="preserve"> وبلج الصُبُح بُلوجاً : أسفر وأنار ، ومنه قيل : بلج الحقّ إذا وضح وظهر. وأبلج ، بالألف كذلك. </w:t>
      </w:r>
      <w:r w:rsidR="008A74EB" w:rsidRPr="00993B55">
        <w:rPr>
          <w:rStyle w:val="libFootnoteBoldChar"/>
          <w:rtl/>
        </w:rPr>
        <w:t>المصباح المنير</w:t>
      </w:r>
      <w:r w:rsidR="008A74EB" w:rsidRPr="00C9040A">
        <w:rPr>
          <w:rtl/>
        </w:rPr>
        <w:t xml:space="preserve"> ، ص 60 ( بلج )</w:t>
      </w:r>
      <w:r w:rsidR="008A74EB">
        <w:rPr>
          <w:rtl/>
        </w:rPr>
        <w:t>.</w:t>
      </w:r>
    </w:p>
    <w:tbl>
      <w:tblPr>
        <w:tblStyle w:val="TableGrid"/>
        <w:bidiVisual/>
        <w:tblW w:w="0" w:type="auto"/>
        <w:tblLook w:val="04A0" w:firstRow="1" w:lastRow="0" w:firstColumn="1" w:lastColumn="0" w:noHBand="0" w:noVBand="1"/>
      </w:tblPr>
      <w:tblGrid>
        <w:gridCol w:w="4006"/>
        <w:gridCol w:w="4006"/>
      </w:tblGrid>
      <w:tr w:rsidR="00247D36" w:rsidTr="00247D36">
        <w:tc>
          <w:tcPr>
            <w:tcW w:w="4006" w:type="dxa"/>
          </w:tcPr>
          <w:p w:rsidR="00247D36" w:rsidRDefault="00247D36" w:rsidP="004A4E41">
            <w:pPr>
              <w:pStyle w:val="libFootnote0"/>
              <w:rPr>
                <w:rtl/>
              </w:rPr>
            </w:pPr>
            <w:r>
              <w:rPr>
                <w:rtl/>
              </w:rPr>
              <w:t>(3).</w:t>
            </w:r>
            <w:r w:rsidRPr="00C9040A">
              <w:rPr>
                <w:rtl/>
              </w:rPr>
              <w:t xml:space="preserve"> في « ص » : « المناهج »</w:t>
            </w:r>
            <w:r>
              <w:rPr>
                <w:rtl/>
              </w:rPr>
              <w:t>.</w:t>
            </w:r>
          </w:p>
        </w:tc>
        <w:tc>
          <w:tcPr>
            <w:tcW w:w="4006" w:type="dxa"/>
          </w:tcPr>
          <w:p w:rsidR="00247D36" w:rsidRDefault="00247D36" w:rsidP="004A4E41">
            <w:pPr>
              <w:pStyle w:val="libFootnote0"/>
              <w:rPr>
                <w:rtl/>
              </w:rPr>
            </w:pPr>
            <w:r>
              <w:rPr>
                <w:rtl/>
              </w:rPr>
              <w:t>(4).</w:t>
            </w:r>
            <w:r w:rsidRPr="00C9040A">
              <w:rPr>
                <w:rtl/>
              </w:rPr>
              <w:t xml:space="preserve"> في « بر ، بف » : « مشرف » بالفاء.</w:t>
            </w:r>
          </w:p>
        </w:tc>
      </w:tr>
    </w:tbl>
    <w:p w:rsidR="008A74EB" w:rsidRPr="00C9040A" w:rsidRDefault="006C577F" w:rsidP="004A4E41">
      <w:pPr>
        <w:pStyle w:val="libFootnote0"/>
        <w:rPr>
          <w:rtl/>
          <w:lang w:bidi="fa-IR"/>
        </w:rPr>
      </w:pPr>
      <w:r>
        <w:rPr>
          <w:rtl/>
        </w:rPr>
        <w:t>(5).</w:t>
      </w:r>
      <w:r w:rsidR="008A74EB" w:rsidRPr="00C9040A">
        <w:rPr>
          <w:rtl/>
        </w:rPr>
        <w:t xml:space="preserve"> ذكت النارُ ذُكوّاً وذكاً وذكاءً ، واستذكت : اشتدّ لَهَبُها ، وهي ذكيّة. </w:t>
      </w:r>
      <w:r w:rsidR="008A74EB" w:rsidRPr="00993B55">
        <w:rPr>
          <w:rStyle w:val="libFootnoteBoldChar"/>
          <w:rtl/>
        </w:rPr>
        <w:t>القاموس المحيط</w:t>
      </w:r>
      <w:r w:rsidR="008A74EB" w:rsidRPr="00C9040A">
        <w:rPr>
          <w:rtl/>
        </w:rPr>
        <w:t xml:space="preserve"> ، ج 2 ، ص 1686 ( ذكو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w:t>
      </w:r>
      <w:r w:rsidR="008A74EB" w:rsidRPr="00993B55">
        <w:rPr>
          <w:rStyle w:val="libFootnoteBoldChar"/>
          <w:rtl/>
        </w:rPr>
        <w:t>شرح المازندراني</w:t>
      </w:r>
      <w:r w:rsidR="008A74EB" w:rsidRPr="00C9040A">
        <w:rPr>
          <w:rtl/>
        </w:rPr>
        <w:t xml:space="preserve"> : « وفي بعض النسخ : بشير ، بالشين المعجمة ، فكأنّها تبشّر للسابق بما عند الله تعالى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 المضمار » : الموضع الذي تضمّر فيه الخَيل ، ويكون وقتاً للأيّام التي تُضَمَّر فيها. وال</w:t>
      </w:r>
      <w:r w:rsidR="00073462">
        <w:rPr>
          <w:rFonts w:hint="cs"/>
          <w:rtl/>
        </w:rPr>
        <w:t>ـ</w:t>
      </w:r>
      <w:r w:rsidR="008A74EB" w:rsidRPr="00C9040A">
        <w:rPr>
          <w:rtl/>
        </w:rPr>
        <w:t>مُضمِّر : الذي يُضمِّر خيله لغزو أو سباق. وتضمير الخيل : هو أن يظاهَر عليها بال</w:t>
      </w:r>
      <w:r w:rsidR="00B76247">
        <w:rPr>
          <w:rtl/>
        </w:rPr>
        <w:t>علف حتّى تسمن ، ثمّ لا تعلف إل</w:t>
      </w:r>
      <w:r w:rsidR="00B76247">
        <w:rPr>
          <w:rFonts w:hint="cs"/>
          <w:rtl/>
        </w:rPr>
        <w:t>ّ</w:t>
      </w:r>
      <w:r w:rsidR="00B76247">
        <w:rPr>
          <w:rtl/>
        </w:rPr>
        <w:t>ا</w:t>
      </w:r>
      <w:r w:rsidR="008A74EB" w:rsidRPr="00C9040A">
        <w:rPr>
          <w:rtl/>
        </w:rPr>
        <w:t xml:space="preserve">قوتاً لتخفّ. </w:t>
      </w:r>
      <w:r w:rsidR="008A74EB" w:rsidRPr="00993B55">
        <w:rPr>
          <w:rStyle w:val="libFootnoteBoldChar"/>
          <w:rtl/>
        </w:rPr>
        <w:t>النهاية</w:t>
      </w:r>
      <w:r w:rsidR="008A74EB" w:rsidRPr="00C9040A">
        <w:rPr>
          <w:rtl/>
        </w:rPr>
        <w:t xml:space="preserve"> ، ج 3 ، ص 99 ( ضمر )</w:t>
      </w:r>
      <w:r w:rsidR="008A74EB">
        <w:rPr>
          <w:rtl/>
        </w:rPr>
        <w:t>.</w:t>
      </w:r>
      <w:r w:rsidR="008A74EB" w:rsidRPr="00C9040A">
        <w:rPr>
          <w:rtl/>
        </w:rPr>
        <w:t xml:space="preserve"> قال المازندراني : « مضمار الإسلام الدنيا ، وهي يسير قليل يس</w:t>
      </w:r>
      <w:r w:rsidR="00B866D3">
        <w:rPr>
          <w:rtl/>
        </w:rPr>
        <w:t>هل السبق فيها إلى الله تعالى</w:t>
      </w:r>
      <w:r w:rsidR="008A74EB" w:rsidRPr="00C9040A">
        <w:rPr>
          <w:rtl/>
        </w:rPr>
        <w:t>» ، وقال المجلسي : «</w:t>
      </w:r>
      <w:r w:rsidR="008A74EB">
        <w:rPr>
          <w:rtl/>
        </w:rPr>
        <w:t xml:space="preserve"> ..</w:t>
      </w:r>
      <w:r w:rsidR="008A74EB" w:rsidRPr="00C9040A">
        <w:rPr>
          <w:rtl/>
        </w:rPr>
        <w:t>. المراد بقوله : يسير المضمار ، قلّة مدّته وسرعة ظهور السبق وعدمه ، أو سهولة قطعه وعدم وعورته ، أو سهولة التضمير فيه وعدم صعوبته لقصر المدّة ، وتهيّؤ الأسباب من الله تعالى »</w:t>
      </w:r>
      <w:r w:rsidR="008A74EB">
        <w:rPr>
          <w:rtl/>
        </w:rPr>
        <w:t>.</w:t>
      </w:r>
      <w:r w:rsidR="008A74EB" w:rsidRPr="00C9040A">
        <w:rPr>
          <w:rtl/>
        </w:rPr>
        <w:t xml:space="preserve"> راجع : </w:t>
      </w:r>
      <w:r w:rsidR="008A74EB" w:rsidRPr="00993B55">
        <w:rPr>
          <w:rStyle w:val="libFootnoteBoldChar"/>
          <w:rtl/>
        </w:rPr>
        <w:t>شرح المازندراني</w:t>
      </w:r>
      <w:r w:rsidR="008A74EB" w:rsidRPr="00C9040A">
        <w:rPr>
          <w:rtl/>
        </w:rPr>
        <w:t xml:space="preserve"> ، ج 8 ، ص 153 ؛ </w:t>
      </w:r>
      <w:r w:rsidR="008A74EB" w:rsidRPr="00993B55">
        <w:rPr>
          <w:rStyle w:val="libFootnoteBoldChar"/>
          <w:rtl/>
        </w:rPr>
        <w:t>مرآة العقول</w:t>
      </w:r>
      <w:r w:rsidR="008A74EB" w:rsidRPr="00C9040A">
        <w:rPr>
          <w:rtl/>
        </w:rPr>
        <w:t xml:space="preserve"> ، ج 7 ، ص 308.</w:t>
      </w:r>
    </w:p>
    <w:p w:rsidR="008A74EB" w:rsidRPr="00C9040A" w:rsidRDefault="006C577F" w:rsidP="004A4E41">
      <w:pPr>
        <w:pStyle w:val="libFootnote0"/>
        <w:rPr>
          <w:rtl/>
          <w:lang w:bidi="fa-IR"/>
        </w:rPr>
      </w:pPr>
      <w:r>
        <w:rPr>
          <w:rtl/>
        </w:rPr>
        <w:t>(8).</w:t>
      </w:r>
      <w:r w:rsidR="008A74EB" w:rsidRPr="00C9040A">
        <w:rPr>
          <w:rtl/>
        </w:rPr>
        <w:t xml:space="preserve"> في « ب ، ز ، بر ، بف » : « الحلية »</w:t>
      </w:r>
      <w:r w:rsidR="008A74EB">
        <w:rPr>
          <w:rtl/>
        </w:rPr>
        <w:t>.</w:t>
      </w:r>
      <w:r w:rsidR="008A74EB" w:rsidRPr="00C9040A">
        <w:rPr>
          <w:rtl/>
        </w:rPr>
        <w:t xml:space="preserve"> وفي « ص ، ف » : « حليته »</w:t>
      </w:r>
      <w:r w:rsidR="008A74EB">
        <w:rPr>
          <w:rtl/>
        </w:rPr>
        <w:t>.</w:t>
      </w:r>
      <w:r w:rsidR="008A74EB" w:rsidRPr="00C9040A">
        <w:rPr>
          <w:rtl/>
        </w:rPr>
        <w:t xml:space="preserve"> </w:t>
      </w:r>
      <w:r w:rsidR="008A74EB">
        <w:rPr>
          <w:rtl/>
        </w:rPr>
        <w:t>و «</w:t>
      </w:r>
      <w:r w:rsidR="008A74EB" w:rsidRPr="00C9040A">
        <w:rPr>
          <w:rtl/>
        </w:rPr>
        <w:t xml:space="preserve"> الحَلْبَة » : خيلٌ تُجمع للسباق من كلّ أوب. </w:t>
      </w:r>
      <w:r w:rsidR="008A74EB" w:rsidRPr="00993B55">
        <w:rPr>
          <w:rStyle w:val="libFootnoteBoldChar"/>
          <w:rtl/>
        </w:rPr>
        <w:t>لسان‌العرب</w:t>
      </w:r>
      <w:r w:rsidR="008A74EB" w:rsidRPr="00C9040A">
        <w:rPr>
          <w:rtl/>
        </w:rPr>
        <w:t xml:space="preserve"> ، ج 1 ، ص 328 ( حلب )</w:t>
      </w:r>
      <w:r w:rsidR="008A74EB">
        <w:rPr>
          <w:rtl/>
        </w:rPr>
        <w:t>.</w:t>
      </w:r>
    </w:p>
    <w:p w:rsidR="008A74EB" w:rsidRPr="004A4E41" w:rsidRDefault="006C577F" w:rsidP="004A4E41">
      <w:pPr>
        <w:pStyle w:val="libFootnote0"/>
        <w:rPr>
          <w:rStyle w:val="libFootnote0Char"/>
          <w:rtl/>
        </w:rPr>
      </w:pPr>
      <w:r>
        <w:rPr>
          <w:rtl/>
        </w:rPr>
        <w:t>(9).</w:t>
      </w:r>
      <w:r w:rsidR="008A74EB" w:rsidRPr="00C9040A">
        <w:rPr>
          <w:rtl/>
        </w:rPr>
        <w:t xml:space="preserve"> يجوز فيه الضمّ أيضاً ، كما احتمله المجلسي في </w:t>
      </w:r>
      <w:r w:rsidR="008A74EB" w:rsidRPr="00993B55">
        <w:rPr>
          <w:rStyle w:val="libFootnoteBoldChar"/>
          <w:rtl/>
        </w:rPr>
        <w:t>مرآة العقول</w:t>
      </w:r>
      <w:r w:rsidR="008A74EB" w:rsidRPr="00C9040A">
        <w:rPr>
          <w:rtl/>
        </w:rPr>
        <w:t>.</w:t>
      </w:r>
    </w:p>
    <w:tbl>
      <w:tblPr>
        <w:tblStyle w:val="TableGrid"/>
        <w:bidiVisual/>
        <w:tblW w:w="0" w:type="auto"/>
        <w:tblLook w:val="04A0" w:firstRow="1" w:lastRow="0" w:firstColumn="1" w:lastColumn="0" w:noHBand="0" w:noVBand="1"/>
      </w:tblPr>
      <w:tblGrid>
        <w:gridCol w:w="4006"/>
        <w:gridCol w:w="4006"/>
      </w:tblGrid>
      <w:tr w:rsidR="00B76247" w:rsidTr="00B76247">
        <w:tc>
          <w:tcPr>
            <w:tcW w:w="4006" w:type="dxa"/>
          </w:tcPr>
          <w:p w:rsidR="00B76247" w:rsidRDefault="00B76247" w:rsidP="004A4E41">
            <w:pPr>
              <w:pStyle w:val="libFootnote0"/>
              <w:rPr>
                <w:rtl/>
              </w:rPr>
            </w:pPr>
            <w:r>
              <w:rPr>
                <w:rtl/>
              </w:rPr>
              <w:t>(10).</w:t>
            </w:r>
            <w:r w:rsidRPr="00C9040A">
              <w:rPr>
                <w:rtl/>
              </w:rPr>
              <w:t xml:space="preserve"> في الغارات : « قديم »</w:t>
            </w:r>
            <w:r>
              <w:rPr>
                <w:rtl/>
              </w:rPr>
              <w:t>.</w:t>
            </w:r>
          </w:p>
        </w:tc>
        <w:tc>
          <w:tcPr>
            <w:tcW w:w="4006" w:type="dxa"/>
          </w:tcPr>
          <w:p w:rsidR="00B76247" w:rsidRDefault="00B76247" w:rsidP="004A4E41">
            <w:pPr>
              <w:pStyle w:val="libFootnote0"/>
              <w:rPr>
                <w:rtl/>
              </w:rPr>
            </w:pPr>
            <w:r>
              <w:rPr>
                <w:rtl/>
              </w:rPr>
              <w:t>(11).</w:t>
            </w:r>
            <w:r w:rsidRPr="00C9040A">
              <w:rPr>
                <w:rtl/>
              </w:rPr>
              <w:t xml:space="preserve"> في « ض » : « والإيمان »</w:t>
            </w:r>
            <w:r>
              <w:rPr>
                <w:rtl/>
              </w:rPr>
              <w:t>.</w:t>
            </w:r>
          </w:p>
        </w:tc>
      </w:tr>
      <w:tr w:rsidR="00B76247" w:rsidTr="00B76247">
        <w:tc>
          <w:tcPr>
            <w:tcW w:w="4006" w:type="dxa"/>
          </w:tcPr>
          <w:p w:rsidR="00B76247" w:rsidRDefault="00B76247" w:rsidP="004A4E41">
            <w:pPr>
              <w:pStyle w:val="libFootnote0"/>
              <w:rPr>
                <w:rtl/>
              </w:rPr>
            </w:pPr>
            <w:r>
              <w:rPr>
                <w:rtl/>
              </w:rPr>
              <w:t>(12).</w:t>
            </w:r>
            <w:r w:rsidRPr="00C9040A">
              <w:rPr>
                <w:rtl/>
              </w:rPr>
              <w:t xml:space="preserve"> في الغارات : « والعفّة »</w:t>
            </w:r>
            <w:r>
              <w:rPr>
                <w:rtl/>
              </w:rPr>
              <w:t>.</w:t>
            </w:r>
          </w:p>
        </w:tc>
        <w:tc>
          <w:tcPr>
            <w:tcW w:w="4006" w:type="dxa"/>
          </w:tcPr>
          <w:p w:rsidR="00B76247" w:rsidRDefault="00B76247" w:rsidP="004A4E41">
            <w:pPr>
              <w:pStyle w:val="libFootnote0"/>
              <w:rPr>
                <w:rtl/>
              </w:rPr>
            </w:pPr>
            <w:r>
              <w:rPr>
                <w:rtl/>
              </w:rPr>
              <w:t>(13)</w:t>
            </w:r>
            <w:r w:rsidRPr="00C9040A">
              <w:rPr>
                <w:rtl/>
              </w:rPr>
              <w:t xml:space="preserve"> في « بر ، بف » : « حليته »</w:t>
            </w:r>
            <w:r>
              <w:rPr>
                <w:rtl/>
              </w:rPr>
              <w:t>.</w:t>
            </w:r>
          </w:p>
        </w:tc>
      </w:tr>
    </w:tbl>
    <w:p w:rsidR="008A74EB" w:rsidRPr="004A4E41" w:rsidRDefault="008A74EB" w:rsidP="004A4E41">
      <w:pPr>
        <w:pStyle w:val="libFootnote0"/>
        <w:rPr>
          <w:rStyle w:val="libFootnote0Char"/>
          <w:rtl/>
        </w:rPr>
      </w:pPr>
      <w:r>
        <w:rPr>
          <w:rtl/>
        </w:rPr>
        <w:t>(14)</w:t>
      </w:r>
      <w:r w:rsidRPr="00C9040A">
        <w:rPr>
          <w:rtl/>
        </w:rPr>
        <w:t xml:space="preserve"> في هامش المطبوع عن بعض النسخ : « والمؤمنون »</w:t>
      </w:r>
      <w:r>
        <w:rPr>
          <w:rtl/>
        </w:rPr>
        <w:t>.</w:t>
      </w:r>
    </w:p>
    <w:tbl>
      <w:tblPr>
        <w:tblStyle w:val="TableGrid"/>
        <w:bidiVisual/>
        <w:tblW w:w="0" w:type="auto"/>
        <w:tblLook w:val="04A0" w:firstRow="1" w:lastRow="0" w:firstColumn="1" w:lastColumn="0" w:noHBand="0" w:noVBand="1"/>
      </w:tblPr>
      <w:tblGrid>
        <w:gridCol w:w="4006"/>
        <w:gridCol w:w="4006"/>
      </w:tblGrid>
      <w:tr w:rsidR="003F3723" w:rsidTr="003F3723">
        <w:tc>
          <w:tcPr>
            <w:tcW w:w="4006" w:type="dxa"/>
          </w:tcPr>
          <w:p w:rsidR="003F3723" w:rsidRDefault="003F3723" w:rsidP="004A4E41">
            <w:pPr>
              <w:pStyle w:val="libFootnote0"/>
              <w:rPr>
                <w:rtl/>
                <w:lang w:bidi="fa-IR"/>
              </w:rPr>
            </w:pPr>
            <w:r>
              <w:rPr>
                <w:rtl/>
              </w:rPr>
              <w:t>(15)</w:t>
            </w:r>
            <w:r w:rsidRPr="00C9040A">
              <w:rPr>
                <w:rtl/>
              </w:rPr>
              <w:t xml:space="preserve"> في الغارات : « فبالإسلام »</w:t>
            </w:r>
            <w:r>
              <w:rPr>
                <w:rtl/>
              </w:rPr>
              <w:t>.</w:t>
            </w:r>
          </w:p>
        </w:tc>
        <w:tc>
          <w:tcPr>
            <w:tcW w:w="4006" w:type="dxa"/>
          </w:tcPr>
          <w:p w:rsidR="003F3723" w:rsidRDefault="003F3723" w:rsidP="004A4E41">
            <w:pPr>
              <w:pStyle w:val="libFootnote0"/>
              <w:rPr>
                <w:rtl/>
                <w:lang w:bidi="fa-IR"/>
              </w:rPr>
            </w:pPr>
            <w:r>
              <w:rPr>
                <w:rtl/>
              </w:rPr>
              <w:t>(16)</w:t>
            </w:r>
            <w:r w:rsidRPr="00C9040A">
              <w:rPr>
                <w:rtl/>
              </w:rPr>
              <w:t xml:space="preserve"> في « ز » : « والصالحات »</w:t>
            </w:r>
            <w:r>
              <w:rPr>
                <w:rtl/>
              </w:rPr>
              <w:t>.</w:t>
            </w:r>
          </w:p>
        </w:tc>
      </w:tr>
    </w:tbl>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الْمَوْتُ ، وَبِالْمَوْتِ تُخْتَمُ </w:t>
      </w:r>
      <w:r w:rsidR="006C577F" w:rsidRPr="006C577F">
        <w:rPr>
          <w:rStyle w:val="libFootnotenumChar"/>
          <w:rtl/>
        </w:rPr>
        <w:t>(1)</w:t>
      </w:r>
      <w:r w:rsidRPr="00853746">
        <w:rPr>
          <w:rFonts w:hint="cs"/>
          <w:rtl/>
        </w:rPr>
        <w:t xml:space="preserve"> </w:t>
      </w:r>
      <w:r w:rsidRPr="00C9040A">
        <w:rPr>
          <w:rtl/>
          <w:lang w:bidi="fa-IR"/>
        </w:rPr>
        <w:t xml:space="preserve">الدُّنْيَا ، وَبِالدُّنْيَا تَجُوزُ </w:t>
      </w:r>
      <w:r w:rsidR="006C577F" w:rsidRPr="006C577F">
        <w:rPr>
          <w:rStyle w:val="libFootnotenumChar"/>
          <w:rtl/>
        </w:rPr>
        <w:t>(2)</w:t>
      </w:r>
      <w:r w:rsidRPr="00C9040A">
        <w:rPr>
          <w:rtl/>
          <w:lang w:bidi="fa-IR"/>
        </w:rPr>
        <w:t xml:space="preserve"> الْقِيَامَةَ ، وَبِالْقِيَامَةِ تُزْلَفُ الْجَنَّةُ ، وَالْجَنَّةُ حَسْرَةُ أَهْلِ النَّارِ ، وَالنَّارُ </w:t>
      </w:r>
      <w:r w:rsidR="006C577F" w:rsidRPr="006C577F">
        <w:rPr>
          <w:rStyle w:val="libFootnotenumChar"/>
          <w:rtl/>
        </w:rPr>
        <w:t>(3)</w:t>
      </w:r>
      <w:r w:rsidRPr="00C9040A">
        <w:rPr>
          <w:rtl/>
          <w:lang w:bidi="fa-IR"/>
        </w:rPr>
        <w:t xml:space="preserve"> مَوْعِظَةُ الْمُتَّقِينَ </w:t>
      </w:r>
      <w:r w:rsidR="006C577F" w:rsidRPr="006C577F">
        <w:rPr>
          <w:rStyle w:val="libFootnotenumChar"/>
          <w:rtl/>
        </w:rPr>
        <w:t>(4)</w:t>
      </w:r>
      <w:r w:rsidRPr="00C9040A">
        <w:rPr>
          <w:rtl/>
          <w:lang w:bidi="fa-IR"/>
        </w:rPr>
        <w:t xml:space="preserve"> ، وَالتَّقْوى سِنْخُ </w:t>
      </w:r>
      <w:r w:rsidR="006C577F" w:rsidRPr="006C577F">
        <w:rPr>
          <w:rStyle w:val="libFootnotenumChar"/>
          <w:rtl/>
        </w:rPr>
        <w:t>(5)</w:t>
      </w:r>
      <w:r w:rsidRPr="00C9040A">
        <w:rPr>
          <w:rtl/>
          <w:lang w:bidi="fa-IR"/>
        </w:rPr>
        <w:t xml:space="preserve"> الْإِيمَانِ »</w:t>
      </w:r>
      <w:r>
        <w:rPr>
          <w:rtl/>
          <w:lang w:bidi="fa-IR"/>
        </w:rPr>
        <w:t>.</w:t>
      </w:r>
      <w:r w:rsidRPr="00C9040A">
        <w:rPr>
          <w:rtl/>
          <w:lang w:bidi="fa-IR"/>
        </w:rPr>
        <w:t xml:space="preserve"> </w:t>
      </w:r>
      <w:r w:rsidR="006C577F" w:rsidRPr="006C577F">
        <w:rPr>
          <w:rStyle w:val="libFootnotenumChar"/>
          <w:rtl/>
        </w:rPr>
        <w:t>(6)</w:t>
      </w:r>
    </w:p>
    <w:p w:rsidR="008A74EB" w:rsidRPr="00C9040A" w:rsidRDefault="008A74EB" w:rsidP="008A74EB">
      <w:pPr>
        <w:pStyle w:val="Heading2Center"/>
        <w:rPr>
          <w:rtl/>
          <w:lang w:bidi="fa-IR"/>
        </w:rPr>
      </w:pPr>
      <w:bookmarkStart w:id="85" w:name="_Toc343795616"/>
      <w:bookmarkStart w:id="86" w:name="_Toc459810740"/>
      <w:bookmarkStart w:id="87" w:name="_Toc35348646"/>
      <w:r w:rsidRPr="00C9040A">
        <w:rPr>
          <w:rtl/>
          <w:lang w:bidi="fa-IR"/>
        </w:rPr>
        <w:t>25</w:t>
      </w:r>
      <w:r>
        <w:rPr>
          <w:rtl/>
          <w:lang w:bidi="fa-IR"/>
        </w:rPr>
        <w:t xml:space="preserve"> </w:t>
      </w:r>
      <w:r w:rsidR="0084262C">
        <w:rPr>
          <w:rtl/>
          <w:lang w:bidi="fa-IR"/>
        </w:rPr>
        <w:t>-</w:t>
      </w:r>
      <w:r>
        <w:rPr>
          <w:rtl/>
          <w:lang w:bidi="fa-IR"/>
        </w:rPr>
        <w:t xml:space="preserve"> </w:t>
      </w:r>
      <w:r w:rsidRPr="00C9040A">
        <w:rPr>
          <w:rtl/>
          <w:lang w:bidi="fa-IR"/>
        </w:rPr>
        <w:t>بَابُ صِفَةِ الْإِيمَانِ‌</w:t>
      </w:r>
      <w:bookmarkEnd w:id="85"/>
      <w:bookmarkEnd w:id="86"/>
      <w:bookmarkEnd w:id="87"/>
    </w:p>
    <w:p w:rsidR="008A74EB" w:rsidRPr="00C9040A" w:rsidRDefault="008A74EB" w:rsidP="008A74EB">
      <w:pPr>
        <w:pStyle w:val="libNormal"/>
        <w:rPr>
          <w:rtl/>
          <w:lang w:bidi="fa-IR"/>
        </w:rPr>
      </w:pPr>
      <w:r w:rsidRPr="00653123">
        <w:rPr>
          <w:rtl/>
        </w:rPr>
        <w:t>1544</w:t>
      </w:r>
      <w:r w:rsidRPr="00261CB0">
        <w:rPr>
          <w:rStyle w:val="libBold2Char"/>
          <w:rtl/>
        </w:rPr>
        <w:t xml:space="preserve"> / 1.</w:t>
      </w:r>
      <w:r w:rsidRPr="00C9040A">
        <w:rPr>
          <w:rtl/>
          <w:lang w:bidi="fa-IR"/>
        </w:rPr>
        <w:t xml:space="preserve"> بِالْإِسْنَادِ </w:t>
      </w:r>
      <w:r w:rsidR="006C577F" w:rsidRPr="006C577F">
        <w:rPr>
          <w:rStyle w:val="libFootnotenumChar"/>
          <w:rtl/>
        </w:rPr>
        <w:t>(7)</w:t>
      </w:r>
      <w:r w:rsidRPr="00C9040A">
        <w:rPr>
          <w:rtl/>
          <w:lang w:bidi="fa-IR"/>
        </w:rPr>
        <w:t xml:space="preserve"> الْأَوَّلِ </w:t>
      </w:r>
      <w:r w:rsidR="006C577F" w:rsidRPr="006C577F">
        <w:rPr>
          <w:rStyle w:val="libFootnotenumChar"/>
          <w:rtl/>
        </w:rPr>
        <w:t>(8)</w:t>
      </w:r>
      <w:r w:rsidRPr="00C9040A">
        <w:rPr>
          <w:rtl/>
          <w:lang w:bidi="fa-IR"/>
        </w:rPr>
        <w:t xml:space="preserve"> ، عَنِ ابْنِ مَحْبُوبٍ ، عَنْ يَعْقُوبَ السَّرَّاجِ ، عَنْ جَابِرٍ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سُئِلَ أَمِيرُ الْمُؤْمِنِينَ </w:t>
      </w:r>
      <w:r w:rsidRPr="0003660B">
        <w:rPr>
          <w:rStyle w:val="libAlaemChar"/>
          <w:rtl/>
        </w:rPr>
        <w:t>عليه‌السلام</w:t>
      </w:r>
      <w:r w:rsidRPr="00C9040A">
        <w:rPr>
          <w:rtl/>
          <w:lang w:bidi="fa-IR"/>
        </w:rPr>
        <w:t xml:space="preserve"> عَنِ الْإِيمَانِ ، فَقَالَ : إِنَّ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جَعَلَ الْإِيمَانَ عَلى أَرْبَعِ دَعَائِمَ : عَلَى الصَّبْرِ ، وَالْيَقِينِ ، وَالْعَدْلِ ، وَالْجِهَادِ.</w:t>
      </w:r>
    </w:p>
    <w:p w:rsidR="008A74EB" w:rsidRPr="00C9040A" w:rsidRDefault="008A74EB" w:rsidP="008A74EB">
      <w:pPr>
        <w:pStyle w:val="libNormal"/>
        <w:rPr>
          <w:rtl/>
          <w:lang w:bidi="fa-IR"/>
        </w:rPr>
      </w:pPr>
      <w:r w:rsidRPr="00C9040A">
        <w:rPr>
          <w:rtl/>
          <w:lang w:bidi="fa-IR"/>
        </w:rPr>
        <w:t xml:space="preserve">فَالصَّبْرُ مِنْ ذلِكَ عَلى أَرْبَعِ شُعَبٍ : عَلَى الشَّوْقِ ، وَالْإِشْفَاقِ </w:t>
      </w:r>
      <w:r w:rsidR="006C577F" w:rsidRPr="006C577F">
        <w:rPr>
          <w:rStyle w:val="libFootnotenumChar"/>
          <w:rtl/>
        </w:rPr>
        <w:t>(9)</w:t>
      </w:r>
      <w:r w:rsidRPr="00C9040A">
        <w:rPr>
          <w:rtl/>
          <w:lang w:bidi="fa-IR"/>
        </w:rPr>
        <w:t xml:space="preserve"> ، وَالزُّهْدِ ، وَالتَّرَقُّبِ ؛ فَمَنِ اشْتَاقَ إِلَى الْجَنَّةِ ، سَلَا </w:t>
      </w:r>
      <w:r w:rsidR="006C577F" w:rsidRPr="006C577F">
        <w:rPr>
          <w:rStyle w:val="libFootnotenumChar"/>
          <w:rtl/>
        </w:rPr>
        <w:t>(10)</w:t>
      </w:r>
      <w:r w:rsidRPr="00C9040A">
        <w:rPr>
          <w:rtl/>
          <w:lang w:bidi="fa-IR"/>
        </w:rPr>
        <w:t xml:space="preserve"> عَنِ الشَّهَوَاتِ ؛ وَمَنْ أَشْفَقَ مِنَ </w:t>
      </w:r>
      <w:r w:rsidR="006C577F" w:rsidRPr="006C577F">
        <w:rPr>
          <w:rStyle w:val="libFootnotenumChar"/>
          <w:rtl/>
        </w:rPr>
        <w:t>(11)</w:t>
      </w:r>
      <w:r w:rsidRPr="00C9040A">
        <w:rPr>
          <w:rtl/>
          <w:lang w:bidi="fa-IR"/>
        </w:rPr>
        <w:t xml:space="preserve"> النَّارِ ، رَجَعَ‌</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 ز » والبحار : « يختم »</w:t>
      </w:r>
      <w:r w:rsidR="008A74EB">
        <w:rPr>
          <w:rtl/>
        </w:rPr>
        <w:t>.</w:t>
      </w:r>
    </w:p>
    <w:p w:rsidR="008A74EB" w:rsidRPr="004A4E41" w:rsidRDefault="006C577F" w:rsidP="004A4E41">
      <w:pPr>
        <w:pStyle w:val="libFootnote0"/>
        <w:rPr>
          <w:rStyle w:val="libFootnote0Char"/>
          <w:rtl/>
        </w:rPr>
      </w:pPr>
      <w:r>
        <w:rPr>
          <w:rtl/>
        </w:rPr>
        <w:t>(2).</w:t>
      </w:r>
      <w:r w:rsidR="008A74EB">
        <w:rPr>
          <w:rtl/>
        </w:rPr>
        <w:t xml:space="preserve"> </w:t>
      </w:r>
      <w:r w:rsidR="008A74EB" w:rsidRPr="00C9040A">
        <w:rPr>
          <w:rtl/>
        </w:rPr>
        <w:t>في « ص ، ف ، بر » : « تحوز »</w:t>
      </w:r>
      <w:r w:rsidR="008A74EB">
        <w:rPr>
          <w:rtl/>
        </w:rPr>
        <w:t>.</w:t>
      </w:r>
      <w:r w:rsidR="008A74EB" w:rsidRPr="00C9040A">
        <w:rPr>
          <w:rtl/>
        </w:rPr>
        <w:t xml:space="preserve"> وقال الفيض : « وفي بعض النسخ : تُجاز ، بالبناء للمفعول ولعلّه الأصحّ. وربّما يوجد في بعضها بالمهملة</w:t>
      </w:r>
      <w:r w:rsidR="008A74EB">
        <w:rPr>
          <w:rtl/>
        </w:rPr>
        <w:t xml:space="preserve"> </w:t>
      </w:r>
      <w:r w:rsidR="0084262C">
        <w:rPr>
          <w:rtl/>
        </w:rPr>
        <w:t>-</w:t>
      </w:r>
      <w:r w:rsidR="008A74EB">
        <w:rPr>
          <w:rtl/>
        </w:rPr>
        <w:t xml:space="preserve"> </w:t>
      </w:r>
      <w:r w:rsidR="008A74EB" w:rsidRPr="00C9040A">
        <w:rPr>
          <w:rtl/>
        </w:rPr>
        <w:t>أي تُحاز</w:t>
      </w:r>
      <w:r w:rsidR="008A74EB">
        <w:rPr>
          <w:rtl/>
        </w:rPr>
        <w:t xml:space="preserve"> </w:t>
      </w:r>
      <w:r w:rsidR="0084262C">
        <w:rPr>
          <w:rtl/>
        </w:rPr>
        <w:t>-</w:t>
      </w:r>
      <w:r w:rsidR="008A74EB">
        <w:rPr>
          <w:rtl/>
        </w:rPr>
        <w:t xml:space="preserve"> </w:t>
      </w:r>
      <w:r w:rsidR="008A74EB" w:rsidRPr="00C9040A">
        <w:rPr>
          <w:rtl/>
        </w:rPr>
        <w:t>من الحيازة. وعلى التقادير فالوجه فيه أنّ كلّ ما يلقاه العبد في القيامة فإنّما هو نتائج أعماله وأخلاقه وعقائده المكتسبة في الدنيا ؛ فبالدنيا تجاز القيامة أو تحاز »</w:t>
      </w:r>
      <w:r w:rsidR="008A74EB">
        <w:rPr>
          <w:rtl/>
        </w:rPr>
        <w:t>.</w:t>
      </w:r>
      <w:r w:rsidR="008A74EB" w:rsidRPr="00C9040A">
        <w:rPr>
          <w:rtl/>
        </w:rPr>
        <w:t xml:space="preserve"> وقرأ المازندراني : يجوز ، وهو الذي نقله المجلسي عن بعض النسخ ، ثمّ قال : « أي يجوز المؤمن أو الإنسان. وفي بعضها : يجاز على بناء المجهول وهو أظهر ، وفي بعضها : يحاز ، بالحاء المهملة من الحيازة</w:t>
      </w:r>
      <w:r w:rsidR="008A74EB">
        <w:rPr>
          <w:rtl/>
        </w:rPr>
        <w:t xml:space="preserve"> ..</w:t>
      </w:r>
      <w:r w:rsidR="008A74EB" w:rsidRPr="00C9040A">
        <w:rPr>
          <w:rtl/>
        </w:rPr>
        <w:t>. ومنهم من قرأ : تحوز بالحاء المهملة</w:t>
      </w:r>
      <w:r w:rsidR="008A74EB">
        <w:rPr>
          <w:rtl/>
        </w:rPr>
        <w:t xml:space="preserve"> ..</w:t>
      </w:r>
      <w:r w:rsidR="008A74EB" w:rsidRPr="00C9040A">
        <w:rPr>
          <w:rtl/>
        </w:rPr>
        <w:t>. وفي التحف : تحذر القيامة ، وكأنّه أظهر »</w:t>
      </w:r>
      <w:r w:rsidR="008A74EB">
        <w:rPr>
          <w:rtl/>
        </w:rPr>
        <w:t>.</w:t>
      </w:r>
      <w:r w:rsidR="008A74EB" w:rsidRPr="00C9040A">
        <w:rPr>
          <w:rtl/>
        </w:rPr>
        <w:t xml:space="preserve"> ولكن في </w:t>
      </w:r>
      <w:r w:rsidR="008A74EB" w:rsidRPr="00993B55">
        <w:rPr>
          <w:rStyle w:val="libFootnoteBoldChar"/>
          <w:rtl/>
        </w:rPr>
        <w:t>التحف</w:t>
      </w:r>
      <w:r w:rsidR="008A74EB" w:rsidRPr="00C9040A">
        <w:rPr>
          <w:rtl/>
        </w:rPr>
        <w:t xml:space="preserve"> المطبوع : « وبالدنيا تحذو الآخرة »</w:t>
      </w:r>
      <w:r w:rsidR="008A74EB">
        <w:rPr>
          <w:rtl/>
        </w:rPr>
        <w:t>.</w:t>
      </w:r>
    </w:p>
    <w:tbl>
      <w:tblPr>
        <w:tblStyle w:val="TableGrid"/>
        <w:bidiVisual/>
        <w:tblW w:w="0" w:type="auto"/>
        <w:tblLook w:val="04A0" w:firstRow="1" w:lastRow="0" w:firstColumn="1" w:lastColumn="0" w:noHBand="0" w:noVBand="1"/>
      </w:tblPr>
      <w:tblGrid>
        <w:gridCol w:w="4006"/>
        <w:gridCol w:w="4006"/>
      </w:tblGrid>
      <w:tr w:rsidR="00AD3A02" w:rsidTr="00AD3A02">
        <w:tc>
          <w:tcPr>
            <w:tcW w:w="4006" w:type="dxa"/>
          </w:tcPr>
          <w:p w:rsidR="00AD3A02" w:rsidRDefault="00AD3A02" w:rsidP="004A4E41">
            <w:pPr>
              <w:pStyle w:val="libFootnote0"/>
              <w:rPr>
                <w:rtl/>
              </w:rPr>
            </w:pPr>
            <w:r>
              <w:rPr>
                <w:rtl/>
              </w:rPr>
              <w:t>(3).</w:t>
            </w:r>
            <w:r w:rsidRPr="00C9040A">
              <w:rPr>
                <w:rtl/>
              </w:rPr>
              <w:t xml:space="preserve"> في « بس » : « فالنار »</w:t>
            </w:r>
            <w:r>
              <w:rPr>
                <w:rtl/>
              </w:rPr>
              <w:t>.</w:t>
            </w:r>
          </w:p>
        </w:tc>
        <w:tc>
          <w:tcPr>
            <w:tcW w:w="4006" w:type="dxa"/>
          </w:tcPr>
          <w:p w:rsidR="00AD3A02" w:rsidRDefault="00AD3A02" w:rsidP="004A4E41">
            <w:pPr>
              <w:pStyle w:val="libFootnote0"/>
              <w:rPr>
                <w:rtl/>
              </w:rPr>
            </w:pPr>
            <w:r>
              <w:rPr>
                <w:rtl/>
              </w:rPr>
              <w:t>(4).</w:t>
            </w:r>
            <w:r w:rsidR="0030004B">
              <w:rPr>
                <w:rtl/>
              </w:rPr>
              <w:t xml:space="preserve"> في « ج،ف،بر،بس»والوافي والبحار :«</w:t>
            </w:r>
            <w:r w:rsidRPr="00C9040A">
              <w:rPr>
                <w:rtl/>
              </w:rPr>
              <w:t>للمتّقين »</w:t>
            </w:r>
            <w:r>
              <w:rPr>
                <w:rtl/>
              </w:rPr>
              <w:t>.</w:t>
            </w:r>
          </w:p>
        </w:tc>
      </w:tr>
    </w:tbl>
    <w:p w:rsidR="008A74EB" w:rsidRPr="00C9040A" w:rsidRDefault="006C577F" w:rsidP="004A4E41">
      <w:pPr>
        <w:pStyle w:val="libFootnote0"/>
        <w:rPr>
          <w:rtl/>
          <w:lang w:bidi="fa-IR"/>
        </w:rPr>
      </w:pPr>
      <w:r>
        <w:rPr>
          <w:rtl/>
        </w:rPr>
        <w:t>(5).</w:t>
      </w:r>
      <w:r w:rsidR="008A74EB" w:rsidRPr="00C9040A">
        <w:rPr>
          <w:rtl/>
        </w:rPr>
        <w:t xml:space="preserve"> في « ص » : « نهج »</w:t>
      </w:r>
      <w:r w:rsidR="008A74EB">
        <w:rPr>
          <w:rtl/>
        </w:rPr>
        <w:t>.</w:t>
      </w:r>
    </w:p>
    <w:p w:rsidR="008A74EB" w:rsidRPr="004A4E41" w:rsidRDefault="006C577F" w:rsidP="004A4E41">
      <w:pPr>
        <w:pStyle w:val="libFootnote0"/>
        <w:rPr>
          <w:rStyle w:val="libFootnote0Char"/>
          <w:rtl/>
        </w:rPr>
      </w:pPr>
      <w:r>
        <w:rPr>
          <w:rtl/>
        </w:rPr>
        <w:t>(6).</w:t>
      </w:r>
      <w:r w:rsidR="008A74EB">
        <w:rPr>
          <w:rtl/>
        </w:rPr>
        <w:t xml:space="preserve"> </w:t>
      </w:r>
      <w:r w:rsidR="008A74EB" w:rsidRPr="00993B55">
        <w:rPr>
          <w:rStyle w:val="libFootnoteBoldChar"/>
          <w:rtl/>
        </w:rPr>
        <w:t>كتاب</w:t>
      </w:r>
      <w:r w:rsidR="008A74EB" w:rsidRPr="00C9040A">
        <w:rPr>
          <w:rtl/>
        </w:rPr>
        <w:t xml:space="preserve"> </w:t>
      </w:r>
      <w:r w:rsidR="008A74EB" w:rsidRPr="00993B55">
        <w:rPr>
          <w:rStyle w:val="libFootnoteBoldChar"/>
          <w:rtl/>
        </w:rPr>
        <w:t>سليم بن قيس</w:t>
      </w:r>
      <w:r w:rsidR="008A74EB" w:rsidRPr="00C9040A">
        <w:rPr>
          <w:rtl/>
        </w:rPr>
        <w:t xml:space="preserve"> ، ص 618 ، ح 9 ؛ و</w:t>
      </w:r>
      <w:r w:rsidR="008A74EB" w:rsidRPr="00993B55">
        <w:rPr>
          <w:rStyle w:val="libFootnoteBoldChar"/>
          <w:rtl/>
        </w:rPr>
        <w:t>الغارات</w:t>
      </w:r>
      <w:r w:rsidR="008A74EB" w:rsidRPr="00C9040A">
        <w:rPr>
          <w:rtl/>
        </w:rPr>
        <w:t xml:space="preserve"> ، ص 82 ؛ و</w:t>
      </w:r>
      <w:r w:rsidR="008A74EB" w:rsidRPr="0034021D">
        <w:rPr>
          <w:rStyle w:val="libFootnoteBoldChar"/>
          <w:rtl/>
        </w:rPr>
        <w:t>الأمالي للمفيد</w:t>
      </w:r>
      <w:r w:rsidR="008A74EB" w:rsidRPr="00C9040A">
        <w:rPr>
          <w:rtl/>
        </w:rPr>
        <w:t xml:space="preserve"> ، ص 275 ، المجلس 33 ، ح 3 ؛ </w:t>
      </w:r>
      <w:r w:rsidR="008A74EB" w:rsidRPr="00AC2E2F">
        <w:rPr>
          <w:rStyle w:val="libFootnoteBoldChar"/>
          <w:rtl/>
        </w:rPr>
        <w:t>والأمالي للطوسي</w:t>
      </w:r>
      <w:r w:rsidR="008A74EB" w:rsidRPr="00C9040A">
        <w:rPr>
          <w:rtl/>
        </w:rPr>
        <w:t xml:space="preserve"> ، ص 37 ، المجلس 2 ، ح 9 ، بسند آخر عن أمير المؤمنين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تحف العقول</w:t>
      </w:r>
      <w:r w:rsidR="008A74EB" w:rsidRPr="00C9040A">
        <w:rPr>
          <w:rtl/>
        </w:rPr>
        <w:t xml:space="preserve"> ، ص 162 ، وفي كلّها مع اختلاف يسير وزيادة في آخره ؛ </w:t>
      </w:r>
      <w:r w:rsidR="008A74EB" w:rsidRPr="00993B55">
        <w:rPr>
          <w:rStyle w:val="libFootnoteBoldChar"/>
          <w:rtl/>
        </w:rPr>
        <w:t>نهج البلاغة</w:t>
      </w:r>
      <w:r w:rsidR="008A74EB" w:rsidRPr="00C9040A">
        <w:rPr>
          <w:rtl/>
        </w:rPr>
        <w:t xml:space="preserve"> ، ص 153 ، الخطبة 106 ، إلى قوله : « والقيامة حلبته والجنّة سبقته » مع اختلاف</w:t>
      </w:r>
      <w:r w:rsidR="00A30E21">
        <w:rPr>
          <w:rFonts w:hint="cs"/>
          <w:rtl/>
        </w:rPr>
        <w:t>.</w:t>
      </w:r>
      <w:r w:rsidR="008A74EB" w:rsidRPr="00993B55">
        <w:rPr>
          <w:rStyle w:val="libFootnoteBoldChar"/>
          <w:rtl/>
        </w:rPr>
        <w:t>الوافي</w:t>
      </w:r>
      <w:r w:rsidR="008A74EB" w:rsidRPr="00C9040A">
        <w:rPr>
          <w:rtl/>
        </w:rPr>
        <w:t xml:space="preserve"> ، ج 4 ، ص 138 ، ح 1730 ؛ </w:t>
      </w:r>
      <w:r w:rsidR="008A74EB" w:rsidRPr="00993B55">
        <w:rPr>
          <w:rStyle w:val="libFootnoteBoldChar"/>
          <w:rtl/>
        </w:rPr>
        <w:t>البحار</w:t>
      </w:r>
      <w:r w:rsidR="008A74EB" w:rsidRPr="00C9040A">
        <w:rPr>
          <w:rtl/>
        </w:rPr>
        <w:t xml:space="preserve"> ، ج 68 ، ص 349 ، ح 18.</w:t>
      </w:r>
    </w:p>
    <w:tbl>
      <w:tblPr>
        <w:tblStyle w:val="TableGrid"/>
        <w:bidiVisual/>
        <w:tblW w:w="0" w:type="auto"/>
        <w:tblLook w:val="04A0" w:firstRow="1" w:lastRow="0" w:firstColumn="1" w:lastColumn="0" w:noHBand="0" w:noVBand="1"/>
      </w:tblPr>
      <w:tblGrid>
        <w:gridCol w:w="4006"/>
        <w:gridCol w:w="4006"/>
      </w:tblGrid>
      <w:tr w:rsidR="00A30E21" w:rsidTr="00A30E21">
        <w:tc>
          <w:tcPr>
            <w:tcW w:w="4006" w:type="dxa"/>
          </w:tcPr>
          <w:p w:rsidR="00A30E21" w:rsidRDefault="00A30E21" w:rsidP="004A4E41">
            <w:pPr>
              <w:pStyle w:val="libFootnote0"/>
              <w:rPr>
                <w:rtl/>
              </w:rPr>
            </w:pPr>
            <w:r>
              <w:rPr>
                <w:rtl/>
              </w:rPr>
              <w:t>(7).</w:t>
            </w:r>
            <w:r w:rsidRPr="00C9040A">
              <w:rPr>
                <w:rtl/>
              </w:rPr>
              <w:t xml:space="preserve"> في « ج ، ض » : « وبالإسناد »</w:t>
            </w:r>
            <w:r>
              <w:rPr>
                <w:rtl/>
              </w:rPr>
              <w:t>.</w:t>
            </w:r>
          </w:p>
        </w:tc>
        <w:tc>
          <w:tcPr>
            <w:tcW w:w="4006" w:type="dxa"/>
          </w:tcPr>
          <w:p w:rsidR="00A30E21" w:rsidRDefault="00A30E21" w:rsidP="004A4E41">
            <w:pPr>
              <w:pStyle w:val="libFootnote0"/>
              <w:rPr>
                <w:rtl/>
              </w:rPr>
            </w:pPr>
            <w:r>
              <w:rPr>
                <w:rtl/>
              </w:rPr>
              <w:t>(8).</w:t>
            </w:r>
            <w:r w:rsidRPr="00C9040A">
              <w:rPr>
                <w:rtl/>
              </w:rPr>
              <w:t xml:space="preserve"> المراد به : « عليّ بن إبراهيم ، عن أبيه »</w:t>
            </w:r>
            <w:r>
              <w:rPr>
                <w:rtl/>
              </w:rPr>
              <w:t>.</w:t>
            </w:r>
          </w:p>
        </w:tc>
      </w:tr>
    </w:tbl>
    <w:p w:rsidR="008A74EB" w:rsidRPr="00C9040A" w:rsidRDefault="006C577F" w:rsidP="004A4E41">
      <w:pPr>
        <w:pStyle w:val="libFootnote0"/>
        <w:rPr>
          <w:rtl/>
          <w:lang w:bidi="fa-IR"/>
        </w:rPr>
      </w:pPr>
      <w:r>
        <w:rPr>
          <w:rtl/>
        </w:rPr>
        <w:t>(9).</w:t>
      </w:r>
      <w:r w:rsidR="008A74EB" w:rsidRPr="00C9040A">
        <w:rPr>
          <w:rtl/>
        </w:rPr>
        <w:t xml:space="preserve"> « الإشفاق » : الخوف. </w:t>
      </w:r>
      <w:r w:rsidR="008A74EB" w:rsidRPr="00993B55">
        <w:rPr>
          <w:rStyle w:val="libFootnoteBoldChar"/>
          <w:rtl/>
        </w:rPr>
        <w:t>لسان العرب</w:t>
      </w:r>
      <w:r w:rsidR="008A74EB" w:rsidRPr="00C9040A">
        <w:rPr>
          <w:rtl/>
        </w:rPr>
        <w:t xml:space="preserve"> ، ج 10 ، ص 179 ( شفق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سلوت عنه سُلُوّاً : صبرت ، وسلاه وعنه : نسيه. والاسم : السَّلوة ، ويضمّ. </w:t>
      </w:r>
      <w:r w:rsidR="008A74EB" w:rsidRPr="00993B55">
        <w:rPr>
          <w:rStyle w:val="libFootnoteBoldChar"/>
          <w:rtl/>
        </w:rPr>
        <w:t>المصباح المنير</w:t>
      </w:r>
      <w:r w:rsidR="008A74EB" w:rsidRPr="00C9040A">
        <w:rPr>
          <w:rtl/>
        </w:rPr>
        <w:t xml:space="preserve"> ، ص 287 ؛ </w:t>
      </w:r>
      <w:r w:rsidR="008A74EB" w:rsidRPr="00993B55">
        <w:rPr>
          <w:rStyle w:val="libFootnoteBoldChar"/>
          <w:rtl/>
        </w:rPr>
        <w:t>القاموس‌المحيط</w:t>
      </w:r>
      <w:r w:rsidR="008A74EB" w:rsidRPr="00C9040A">
        <w:rPr>
          <w:rtl/>
        </w:rPr>
        <w:t xml:space="preserve"> ، ج 2 ، ص 1700 ( سلو )</w:t>
      </w:r>
      <w:r w:rsidR="008A74EB">
        <w:rPr>
          <w:rtl/>
        </w:rPr>
        <w:t>.</w:t>
      </w:r>
      <w:r w:rsidR="000A19D8">
        <w:rPr>
          <w:rFonts w:hint="cs"/>
          <w:rtl/>
        </w:rPr>
        <w:t xml:space="preserve">           </w:t>
      </w:r>
      <w:r>
        <w:rPr>
          <w:rtl/>
        </w:rPr>
        <w:t>(11).</w:t>
      </w:r>
      <w:r w:rsidR="008A74EB" w:rsidRPr="00C9040A">
        <w:rPr>
          <w:rtl/>
        </w:rPr>
        <w:t xml:space="preserve"> في « ز » والبحار : « عن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عَنِ </w:t>
      </w:r>
      <w:r w:rsidR="006C577F" w:rsidRPr="006C577F">
        <w:rPr>
          <w:rStyle w:val="libFootnotenumChar"/>
          <w:rtl/>
        </w:rPr>
        <w:t>(1)</w:t>
      </w:r>
      <w:r w:rsidRPr="00853746">
        <w:rPr>
          <w:rFonts w:hint="cs"/>
          <w:rtl/>
        </w:rPr>
        <w:t xml:space="preserve"> </w:t>
      </w:r>
      <w:r w:rsidRPr="00C9040A">
        <w:rPr>
          <w:rtl/>
          <w:lang w:bidi="fa-IR"/>
        </w:rPr>
        <w:t xml:space="preserve">الْمُحَرَّمَاتِ </w:t>
      </w:r>
      <w:r w:rsidR="006C577F" w:rsidRPr="006C577F">
        <w:rPr>
          <w:rStyle w:val="libFootnotenumChar"/>
          <w:rtl/>
        </w:rPr>
        <w:t>(2)</w:t>
      </w:r>
      <w:r w:rsidRPr="00C9040A">
        <w:rPr>
          <w:rtl/>
          <w:lang w:bidi="fa-IR"/>
        </w:rPr>
        <w:t xml:space="preserve"> ؛ وَمَنْ زَهِدَ فِي الدُّنْيَا ، هَانَتْ </w:t>
      </w:r>
      <w:r w:rsidR="006C577F" w:rsidRPr="006C577F">
        <w:rPr>
          <w:rStyle w:val="libFootnotenumChar"/>
          <w:rtl/>
        </w:rPr>
        <w:t>(3)</w:t>
      </w:r>
      <w:r w:rsidRPr="00C9040A">
        <w:rPr>
          <w:rtl/>
          <w:lang w:bidi="fa-IR"/>
        </w:rPr>
        <w:t xml:space="preserve"> عَلَيْهِ الْمُصِيبَاتُ </w:t>
      </w:r>
      <w:r w:rsidR="006C577F" w:rsidRPr="006C577F">
        <w:rPr>
          <w:rStyle w:val="libFootnotenumChar"/>
          <w:rtl/>
        </w:rPr>
        <w:t>(4)</w:t>
      </w:r>
      <w:r w:rsidRPr="00C9040A">
        <w:rPr>
          <w:rtl/>
          <w:lang w:bidi="fa-IR"/>
        </w:rPr>
        <w:t xml:space="preserve"> ؛ وَمَنْ رَاقَبَ الْمَوْتَ ، سَارَعَ إِلَى الْخَيْرَاتِ.</w:t>
      </w:r>
    </w:p>
    <w:p w:rsidR="008A74EB" w:rsidRPr="00C9040A" w:rsidRDefault="008A74EB" w:rsidP="008A74EB">
      <w:pPr>
        <w:pStyle w:val="libNormal"/>
        <w:rPr>
          <w:rtl/>
          <w:lang w:bidi="fa-IR"/>
        </w:rPr>
      </w:pPr>
      <w:r w:rsidRPr="00C9040A">
        <w:rPr>
          <w:rtl/>
          <w:lang w:bidi="fa-IR"/>
        </w:rPr>
        <w:t xml:space="preserve">وَالْيَقِينُ عَلى أَرْبَعِ شُعَبٍ : تَبْصِرَةِ الْفِطْنَةِ </w:t>
      </w:r>
      <w:r w:rsidR="006C577F" w:rsidRPr="006C577F">
        <w:rPr>
          <w:rStyle w:val="libFootnotenumChar"/>
          <w:rtl/>
        </w:rPr>
        <w:t>(5)</w:t>
      </w:r>
      <w:r w:rsidRPr="00C9040A">
        <w:rPr>
          <w:rtl/>
          <w:lang w:bidi="fa-IR"/>
        </w:rPr>
        <w:t xml:space="preserve"> ، وَتَأَوُّلِ </w:t>
      </w:r>
      <w:r w:rsidR="006C577F" w:rsidRPr="006C577F">
        <w:rPr>
          <w:rStyle w:val="libFootnotenumChar"/>
          <w:rtl/>
        </w:rPr>
        <w:t>(6)</w:t>
      </w:r>
      <w:r w:rsidRPr="005B567D">
        <w:rPr>
          <w:rStyle w:val="libFootnotenumChar"/>
          <w:rtl/>
        </w:rPr>
        <w:t xml:space="preserve"> </w:t>
      </w:r>
      <w:r w:rsidRPr="00C9040A">
        <w:rPr>
          <w:rtl/>
          <w:lang w:bidi="fa-IR"/>
        </w:rPr>
        <w:t xml:space="preserve">الْحِكْمَةِ ، وَمَعْرِفَةِ الْعِبْرَةِ </w:t>
      </w:r>
      <w:r w:rsidR="006C577F" w:rsidRPr="006C577F">
        <w:rPr>
          <w:rStyle w:val="libFootnotenumChar"/>
          <w:rtl/>
        </w:rPr>
        <w:t>(7)</w:t>
      </w:r>
      <w:r w:rsidRPr="00C9040A">
        <w:rPr>
          <w:rtl/>
          <w:lang w:bidi="fa-IR"/>
        </w:rPr>
        <w:t xml:space="preserve"> ، وَسُنَّةِ الْأَوَّلِينَ ؛ فَمَنْ أَبْصَرَ الْفِطْنَةَ ، عَرَفَ الْحِكْمَةَ </w:t>
      </w:r>
      <w:r w:rsidR="006C577F" w:rsidRPr="006C577F">
        <w:rPr>
          <w:rStyle w:val="libFootnotenumChar"/>
          <w:rtl/>
        </w:rPr>
        <w:t>(8)</w:t>
      </w:r>
      <w:r w:rsidRPr="00C9040A">
        <w:rPr>
          <w:rtl/>
          <w:lang w:bidi="fa-IR"/>
        </w:rPr>
        <w:t xml:space="preserve"> ؛ وَمَنْ تَأَوَّلَ الْحِكْمَةَ ، عَرَفَ الْعِبْرَةَ </w:t>
      </w:r>
      <w:r w:rsidR="006C577F" w:rsidRPr="006C577F">
        <w:rPr>
          <w:rStyle w:val="libFootnotenumChar"/>
          <w:rtl/>
        </w:rPr>
        <w:t>(9)</w:t>
      </w:r>
      <w:r w:rsidRPr="00C9040A">
        <w:rPr>
          <w:rtl/>
          <w:lang w:bidi="fa-IR"/>
        </w:rPr>
        <w:t xml:space="preserve"> ؛ وَمَنْ عَرَفَ الْعِبْرَةَ ، عَرَفَ السُّنَّةَ ؛ وَمَنْ عَرَفَ السُّنَّةَ ، فَكَأَنَّمَا كَانَ مَعَ الْأَوَّلِينَ ، وَاهْتَدى </w:t>
      </w:r>
      <w:r w:rsidR="006C577F" w:rsidRPr="006C577F">
        <w:rPr>
          <w:rStyle w:val="libFootnotenumChar"/>
          <w:rtl/>
        </w:rPr>
        <w:t>(10)</w:t>
      </w:r>
      <w:r w:rsidRPr="00C9040A">
        <w:rPr>
          <w:rtl/>
          <w:lang w:bidi="fa-IR"/>
        </w:rPr>
        <w:t xml:space="preserve"> إِلَى الَّتِي </w:t>
      </w:r>
      <w:r w:rsidR="006C577F" w:rsidRPr="006C577F">
        <w:rPr>
          <w:rStyle w:val="libFootnotenumChar"/>
          <w:rtl/>
        </w:rPr>
        <w:t>(11)</w:t>
      </w:r>
      <w:r w:rsidRPr="00C9040A">
        <w:rPr>
          <w:rtl/>
          <w:lang w:bidi="fa-IR"/>
        </w:rPr>
        <w:t xml:space="preserve"> هِيَ أَقْوَمُ ، وَنَظَرَ إِلى مَنْ نَجَا بِمَا نَجَا ، وَمَنْ هَلَكَ بِمَا هَلَكَ ، وَإِنَّمَا </w:t>
      </w:r>
      <w:r w:rsidR="006C577F" w:rsidRPr="006C577F">
        <w:rPr>
          <w:rStyle w:val="libFootnotenumChar"/>
          <w:rtl/>
        </w:rPr>
        <w:t>(12)</w:t>
      </w:r>
      <w:r w:rsidRPr="00C9040A">
        <w:rPr>
          <w:rtl/>
          <w:lang w:bidi="fa-IR"/>
        </w:rPr>
        <w:t xml:space="preserve"> أَهْلَكَ اللهُ مَنْ أَهْلَكَ </w:t>
      </w:r>
      <w:r w:rsidRPr="005B567D">
        <w:rPr>
          <w:rStyle w:val="libFootnotenumChar"/>
          <w:rtl/>
        </w:rPr>
        <w:t>(13)</w:t>
      </w:r>
      <w:r w:rsidRPr="00C9040A">
        <w:rPr>
          <w:rtl/>
          <w:lang w:bidi="fa-IR"/>
        </w:rPr>
        <w:t xml:space="preserve"> بِمَعْصِيَتِهِ ، وَأَنْجى مَنْ أَنْجى بِطَاعَتِهِ </w:t>
      </w:r>
      <w:r w:rsidRPr="005B567D">
        <w:rPr>
          <w:rStyle w:val="libFootnotenumChar"/>
          <w:rtl/>
        </w:rPr>
        <w:t>(14)</w:t>
      </w:r>
    </w:p>
    <w:p w:rsidR="008A74EB" w:rsidRPr="00C9040A" w:rsidRDefault="008A74EB" w:rsidP="008A74EB">
      <w:pPr>
        <w:pStyle w:val="libNormal"/>
        <w:rPr>
          <w:rtl/>
          <w:lang w:bidi="fa-IR"/>
        </w:rPr>
      </w:pPr>
      <w:r w:rsidRPr="00C9040A">
        <w:rPr>
          <w:rtl/>
          <w:lang w:bidi="fa-IR"/>
        </w:rPr>
        <w:t xml:space="preserve">وَالْعَدْلُ عَلى أَرْبَعِ شُعَبٍ : غَامِضِ </w:t>
      </w:r>
      <w:r w:rsidRPr="005B567D">
        <w:rPr>
          <w:rStyle w:val="libFootnotenumChar"/>
          <w:rtl/>
        </w:rPr>
        <w:t>(15)</w:t>
      </w:r>
      <w:r w:rsidRPr="00C9040A">
        <w:rPr>
          <w:rtl/>
          <w:lang w:bidi="fa-IR"/>
        </w:rPr>
        <w:t xml:space="preserve"> الْفَهْمِ ، وَغَمْرِ </w:t>
      </w:r>
      <w:r w:rsidRPr="005B567D">
        <w:rPr>
          <w:rStyle w:val="libFootnotenumChar"/>
          <w:rtl/>
        </w:rPr>
        <w:t>(16)</w:t>
      </w:r>
      <w:r w:rsidRPr="00C9040A">
        <w:rPr>
          <w:rtl/>
          <w:lang w:bidi="fa-IR"/>
        </w:rPr>
        <w:t xml:space="preserve"> الْعِلْمِ ، وَزَهْرَةِ‌</w:t>
      </w:r>
      <w:r w:rsidR="0067330C">
        <w:rPr>
          <w:rFonts w:hint="cs"/>
          <w:rtl/>
          <w:lang w:bidi="fa-IR"/>
        </w:rPr>
        <w:t>..............</w:t>
      </w:r>
      <w:r w:rsidR="0067330C">
        <w:rPr>
          <w:rFonts w:hint="cs"/>
          <w:rtl/>
          <w:lang w:bidi="fa-IR"/>
        </w:rPr>
        <w:tab/>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1D4022" w:rsidTr="001D4022">
        <w:tc>
          <w:tcPr>
            <w:tcW w:w="4006" w:type="dxa"/>
          </w:tcPr>
          <w:p w:rsidR="001D4022" w:rsidRDefault="001D4022" w:rsidP="004A4E41">
            <w:pPr>
              <w:pStyle w:val="libFootnote0"/>
              <w:rPr>
                <w:rtl/>
              </w:rPr>
            </w:pPr>
            <w:r>
              <w:rPr>
                <w:rtl/>
              </w:rPr>
              <w:t>(1).</w:t>
            </w:r>
            <w:r w:rsidRPr="00C9040A">
              <w:rPr>
                <w:rtl/>
              </w:rPr>
              <w:t xml:space="preserve"> في نهج البلاغة : « اجتنب » بدل « رجع عن »</w:t>
            </w:r>
            <w:r>
              <w:rPr>
                <w:rtl/>
              </w:rPr>
              <w:t>.</w:t>
            </w:r>
          </w:p>
        </w:tc>
        <w:tc>
          <w:tcPr>
            <w:tcW w:w="4006" w:type="dxa"/>
          </w:tcPr>
          <w:p w:rsidR="001D4022" w:rsidRDefault="001D4022" w:rsidP="004A4E41">
            <w:pPr>
              <w:pStyle w:val="libFootnote0"/>
              <w:rPr>
                <w:rtl/>
              </w:rPr>
            </w:pPr>
            <w:r>
              <w:rPr>
                <w:rtl/>
              </w:rPr>
              <w:t xml:space="preserve">(2). </w:t>
            </w:r>
            <w:r w:rsidR="00A117E2">
              <w:rPr>
                <w:rtl/>
              </w:rPr>
              <w:t>في « ب</w:t>
            </w:r>
            <w:r w:rsidRPr="00C9040A">
              <w:rPr>
                <w:rtl/>
              </w:rPr>
              <w:t>، ج ، ص ، ض ، بف » : « الحرمات »</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في « بر » : « هان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ج ، ز » وحاشية « د ، ض ، بر » ومرآة العقول : « المصائب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 الفِطنة » : الحِذق ، وضدّه : الغباوة. وقيل : الفطنة : الفهم. فطن به وإليه فَطناً ، فهو فاطن وفطين وفَطِن. وقيل : الفَطانة : جودة استعداد الذهن لإدراك ما يرد عليه من الغير. </w:t>
      </w:r>
      <w:r w:rsidR="008A74EB" w:rsidRPr="00993B55">
        <w:rPr>
          <w:rStyle w:val="libFootnoteBoldChar"/>
          <w:rtl/>
        </w:rPr>
        <w:t>تاج العروس</w:t>
      </w:r>
      <w:r w:rsidR="008A74EB" w:rsidRPr="00C9040A">
        <w:rPr>
          <w:rtl/>
        </w:rPr>
        <w:t xml:space="preserve"> ، ج 18 ، ص 434 ( فطن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الوسائل : « وتأويل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الوافي : « تبصرة الفطنة : جعلها بصيرة بالشي‌ء. وتأوّل الحكمة ، تأويلها أي جعلها مكشوفة بالتدبّر فيها. ومعرفة العبرة ، أي المعرفة بأنّه كيف ينبغي أن يعتبر من الشي‌ء ، أي يتّعظ به وينتقل منه إلى ما يناسبه »</w:t>
      </w:r>
      <w:r w:rsidR="008A74EB">
        <w:rPr>
          <w:rtl/>
        </w:rPr>
        <w:t>.</w:t>
      </w:r>
    </w:p>
    <w:p w:rsidR="008A74EB" w:rsidRPr="004A4E41" w:rsidRDefault="006C577F" w:rsidP="004A4E41">
      <w:pPr>
        <w:pStyle w:val="libFootnote0"/>
        <w:rPr>
          <w:rStyle w:val="libFootnote0Char"/>
          <w:rtl/>
        </w:rPr>
      </w:pPr>
      <w:r>
        <w:rPr>
          <w:rtl/>
        </w:rPr>
        <w:t>(8).</w:t>
      </w:r>
      <w:r w:rsidR="008A74EB" w:rsidRPr="00C9040A">
        <w:rPr>
          <w:rtl/>
        </w:rPr>
        <w:t xml:space="preserve"> في « ف » </w:t>
      </w:r>
      <w:r w:rsidR="008A74EB">
        <w:rPr>
          <w:rtl/>
        </w:rPr>
        <w:t xml:space="preserve">: </w:t>
      </w:r>
      <w:r w:rsidR="0084262C">
        <w:rPr>
          <w:rtl/>
        </w:rPr>
        <w:t>-</w:t>
      </w:r>
      <w:r w:rsidR="008A74EB" w:rsidRPr="00C9040A">
        <w:rPr>
          <w:rtl/>
        </w:rPr>
        <w:t xml:space="preserve"> « وتأوّل الحكمة</w:t>
      </w:r>
      <w:r w:rsidR="008A74EB">
        <w:rPr>
          <w:rtl/>
        </w:rPr>
        <w:t xml:space="preserve"> </w:t>
      </w:r>
      <w:r w:rsidR="0084262C">
        <w:rPr>
          <w:rtl/>
        </w:rPr>
        <w:t>-</w:t>
      </w:r>
      <w:r w:rsidR="008A74EB">
        <w:rPr>
          <w:rtl/>
        </w:rPr>
        <w:t xml:space="preserve"> </w:t>
      </w:r>
      <w:r w:rsidR="008A74EB" w:rsidRPr="00C9040A">
        <w:rPr>
          <w:rtl/>
        </w:rPr>
        <w:t>إلى</w:t>
      </w:r>
      <w:r w:rsidR="008A74EB">
        <w:rPr>
          <w:rtl/>
        </w:rPr>
        <w:t xml:space="preserve"> </w:t>
      </w:r>
      <w:r w:rsidR="0084262C">
        <w:rPr>
          <w:rtl/>
        </w:rPr>
        <w:t>-</w:t>
      </w:r>
      <w:r w:rsidR="008A74EB">
        <w:rPr>
          <w:rtl/>
        </w:rPr>
        <w:t xml:space="preserve"> </w:t>
      </w:r>
      <w:r w:rsidR="008A74EB" w:rsidRPr="00C9040A">
        <w:rPr>
          <w:rtl/>
        </w:rPr>
        <w:t>عرف الحكمة »</w:t>
      </w:r>
      <w:r w:rsidR="008A74EB">
        <w:rPr>
          <w:rtl/>
        </w:rPr>
        <w:t>.</w:t>
      </w:r>
    </w:p>
    <w:tbl>
      <w:tblPr>
        <w:tblStyle w:val="TableGrid"/>
        <w:bidiVisual/>
        <w:tblW w:w="0" w:type="auto"/>
        <w:tblLook w:val="04A0" w:firstRow="1" w:lastRow="0" w:firstColumn="1" w:lastColumn="0" w:noHBand="0" w:noVBand="1"/>
      </w:tblPr>
      <w:tblGrid>
        <w:gridCol w:w="4006"/>
        <w:gridCol w:w="4006"/>
      </w:tblGrid>
      <w:tr w:rsidR="00EA09F9" w:rsidTr="00EA09F9">
        <w:tc>
          <w:tcPr>
            <w:tcW w:w="4006" w:type="dxa"/>
          </w:tcPr>
          <w:p w:rsidR="00EA09F9" w:rsidRDefault="00EA09F9" w:rsidP="004A4E41">
            <w:pPr>
              <w:pStyle w:val="libFootnote0"/>
              <w:rPr>
                <w:rtl/>
              </w:rPr>
            </w:pPr>
            <w:r>
              <w:rPr>
                <w:rtl/>
              </w:rPr>
              <w:t>(9).</w:t>
            </w:r>
            <w:r w:rsidRPr="00C9040A">
              <w:rPr>
                <w:rtl/>
              </w:rPr>
              <w:t xml:space="preserve"> في « ب » </w:t>
            </w:r>
            <w:r>
              <w:rPr>
                <w:rtl/>
              </w:rPr>
              <w:t>: -</w:t>
            </w:r>
            <w:r w:rsidRPr="00C9040A">
              <w:rPr>
                <w:rtl/>
              </w:rPr>
              <w:t xml:space="preserve"> « فمن أبصر</w:t>
            </w:r>
            <w:r>
              <w:rPr>
                <w:rtl/>
              </w:rPr>
              <w:t xml:space="preserve"> - </w:t>
            </w:r>
            <w:r w:rsidRPr="00C9040A">
              <w:rPr>
                <w:rtl/>
              </w:rPr>
              <w:t>إلى</w:t>
            </w:r>
            <w:r>
              <w:rPr>
                <w:rtl/>
              </w:rPr>
              <w:t xml:space="preserve"> - </w:t>
            </w:r>
            <w:r w:rsidRPr="00C9040A">
              <w:rPr>
                <w:rtl/>
              </w:rPr>
              <w:t>العبرة »</w:t>
            </w:r>
            <w:r>
              <w:rPr>
                <w:rtl/>
              </w:rPr>
              <w:t>.</w:t>
            </w:r>
          </w:p>
        </w:tc>
        <w:tc>
          <w:tcPr>
            <w:tcW w:w="4006" w:type="dxa"/>
          </w:tcPr>
          <w:p w:rsidR="00EA09F9" w:rsidRDefault="00EA09F9" w:rsidP="004A4E41">
            <w:pPr>
              <w:pStyle w:val="libFootnote0"/>
              <w:rPr>
                <w:rtl/>
              </w:rPr>
            </w:pPr>
            <w:r>
              <w:rPr>
                <w:rtl/>
              </w:rPr>
              <w:t>(10).</w:t>
            </w:r>
            <w:r w:rsidRPr="00C9040A">
              <w:rPr>
                <w:rtl/>
              </w:rPr>
              <w:t xml:space="preserve"> في « ض » : « فاهتدى »</w:t>
            </w:r>
            <w:r>
              <w:rPr>
                <w:rtl/>
              </w:rPr>
              <w:t>.</w:t>
            </w:r>
          </w:p>
        </w:tc>
      </w:tr>
      <w:tr w:rsidR="00EA09F9" w:rsidTr="00EA09F9">
        <w:tc>
          <w:tcPr>
            <w:tcW w:w="4006" w:type="dxa"/>
          </w:tcPr>
          <w:p w:rsidR="00EA09F9" w:rsidRDefault="00EA09F9" w:rsidP="004A4E41">
            <w:pPr>
              <w:pStyle w:val="libFootnote0"/>
              <w:rPr>
                <w:rtl/>
              </w:rPr>
            </w:pPr>
            <w:r>
              <w:rPr>
                <w:rtl/>
              </w:rPr>
              <w:t>(11).</w:t>
            </w:r>
            <w:r w:rsidRPr="00C9040A">
              <w:rPr>
                <w:rtl/>
              </w:rPr>
              <w:t xml:space="preserve"> في « بر ، بف » والوافي : « للتي »</w:t>
            </w:r>
            <w:r>
              <w:rPr>
                <w:rtl/>
              </w:rPr>
              <w:t>.</w:t>
            </w:r>
          </w:p>
        </w:tc>
        <w:tc>
          <w:tcPr>
            <w:tcW w:w="4006" w:type="dxa"/>
          </w:tcPr>
          <w:p w:rsidR="00EA09F9" w:rsidRDefault="00EA09F9" w:rsidP="004A4E41">
            <w:pPr>
              <w:pStyle w:val="libFootnote0"/>
              <w:rPr>
                <w:rtl/>
              </w:rPr>
            </w:pPr>
            <w:r>
              <w:rPr>
                <w:rtl/>
              </w:rPr>
              <w:t>(12).</w:t>
            </w:r>
            <w:r w:rsidRPr="00C9040A">
              <w:rPr>
                <w:rtl/>
              </w:rPr>
              <w:t xml:space="preserve"> في « ز ، ض » : « فإنّما »</w:t>
            </w:r>
            <w:r>
              <w:rPr>
                <w:rtl/>
              </w:rPr>
              <w:t>.</w:t>
            </w:r>
          </w:p>
        </w:tc>
      </w:tr>
      <w:tr w:rsidR="00EA09F9" w:rsidTr="00EA09F9">
        <w:tc>
          <w:tcPr>
            <w:tcW w:w="4006" w:type="dxa"/>
          </w:tcPr>
          <w:p w:rsidR="00EA09F9" w:rsidRDefault="00EA09F9" w:rsidP="004A4E41">
            <w:pPr>
              <w:pStyle w:val="libFootnote0"/>
              <w:rPr>
                <w:rtl/>
              </w:rPr>
            </w:pPr>
            <w:r>
              <w:rPr>
                <w:rtl/>
              </w:rPr>
              <w:t>(13)</w:t>
            </w:r>
            <w:r w:rsidRPr="00C9040A">
              <w:rPr>
                <w:rtl/>
              </w:rPr>
              <w:t xml:space="preserve"> في البحار : « هلك »</w:t>
            </w:r>
            <w:r>
              <w:rPr>
                <w:rtl/>
              </w:rPr>
              <w:t>.</w:t>
            </w:r>
          </w:p>
        </w:tc>
        <w:tc>
          <w:tcPr>
            <w:tcW w:w="4006" w:type="dxa"/>
          </w:tcPr>
          <w:p w:rsidR="00EA09F9" w:rsidRDefault="00EA09F9" w:rsidP="004A4E41">
            <w:pPr>
              <w:pStyle w:val="libFootnote0"/>
              <w:rPr>
                <w:rtl/>
              </w:rPr>
            </w:pPr>
            <w:r>
              <w:rPr>
                <w:rtl/>
              </w:rPr>
              <w:t>(14)</w:t>
            </w:r>
            <w:r w:rsidRPr="00C9040A">
              <w:rPr>
                <w:rtl/>
              </w:rPr>
              <w:t xml:space="preserve"> في الوسائل </w:t>
            </w:r>
            <w:r>
              <w:rPr>
                <w:rtl/>
              </w:rPr>
              <w:t>: -</w:t>
            </w:r>
            <w:r w:rsidRPr="00C9040A">
              <w:rPr>
                <w:rtl/>
              </w:rPr>
              <w:t xml:space="preserve"> « فمن أبصر</w:t>
            </w:r>
            <w:r>
              <w:rPr>
                <w:rtl/>
              </w:rPr>
              <w:t xml:space="preserve"> - </w:t>
            </w:r>
            <w:r w:rsidRPr="00C9040A">
              <w:rPr>
                <w:rtl/>
              </w:rPr>
              <w:t>إلى</w:t>
            </w:r>
            <w:r>
              <w:rPr>
                <w:rtl/>
              </w:rPr>
              <w:t xml:space="preserve"> - </w:t>
            </w:r>
            <w:r w:rsidRPr="00C9040A">
              <w:rPr>
                <w:rtl/>
              </w:rPr>
              <w:t>بطاعته »</w:t>
            </w:r>
            <w:r>
              <w:rPr>
                <w:rtl/>
              </w:rPr>
              <w:t>.</w:t>
            </w:r>
          </w:p>
        </w:tc>
      </w:tr>
    </w:tbl>
    <w:p w:rsidR="008A74EB" w:rsidRPr="00C9040A" w:rsidRDefault="008A74EB" w:rsidP="004A4E41">
      <w:pPr>
        <w:pStyle w:val="libFootnote0"/>
        <w:rPr>
          <w:rtl/>
          <w:lang w:bidi="fa-IR"/>
        </w:rPr>
      </w:pPr>
      <w:r>
        <w:rPr>
          <w:rtl/>
        </w:rPr>
        <w:t>(15)</w:t>
      </w:r>
      <w:r w:rsidRPr="00C9040A">
        <w:rPr>
          <w:rtl/>
        </w:rPr>
        <w:t xml:space="preserve"> في الخصال والغارات ونهج البلاغة وتحف العقول : « غائص »</w:t>
      </w:r>
      <w:r>
        <w:rPr>
          <w:rtl/>
        </w:rPr>
        <w:t>.</w:t>
      </w:r>
      <w:r w:rsidRPr="00C9040A">
        <w:rPr>
          <w:rtl/>
        </w:rPr>
        <w:t xml:space="preserve"> </w:t>
      </w:r>
      <w:r>
        <w:rPr>
          <w:rtl/>
        </w:rPr>
        <w:t>و «</w:t>
      </w:r>
      <w:r w:rsidRPr="00C9040A">
        <w:rPr>
          <w:rtl/>
        </w:rPr>
        <w:t xml:space="preserve"> الغامض » : المطمئنّ من الأرض. والغُموض : بطون الأودية. وأغمض حدَّ السيف : رقّقه. </w:t>
      </w:r>
      <w:r w:rsidRPr="00993B55">
        <w:rPr>
          <w:rStyle w:val="libFootnoteBoldChar"/>
          <w:rtl/>
        </w:rPr>
        <w:t>ترتيب كتاب العين</w:t>
      </w:r>
      <w:r w:rsidRPr="00C9040A">
        <w:rPr>
          <w:rtl/>
        </w:rPr>
        <w:t xml:space="preserve"> ، ج 2 ، ص 1356 ؛ </w:t>
      </w:r>
      <w:r w:rsidRPr="00993B55">
        <w:rPr>
          <w:rStyle w:val="libFootnoteBoldChar"/>
          <w:rtl/>
        </w:rPr>
        <w:t>القاموس المحيط</w:t>
      </w:r>
      <w:r w:rsidRPr="00C9040A">
        <w:rPr>
          <w:rtl/>
        </w:rPr>
        <w:t xml:space="preserve"> ، ج 1 ، ص 878 ( غمض )</w:t>
      </w:r>
      <w:r>
        <w:rPr>
          <w:rtl/>
        </w:rPr>
        <w:t>.</w:t>
      </w:r>
      <w:r w:rsidRPr="00C9040A">
        <w:rPr>
          <w:rtl/>
        </w:rPr>
        <w:t xml:space="preserve"> والمراد : عمق الفهم ، أو دقّته ، كما قال المازندراني : « أي الفهم الغامض الذي ينفذ في بواطن الأشياء » ، أو المراد فهم الغوامض ، كما احتمله أيضاً المجلسي. راجع : </w:t>
      </w:r>
      <w:r w:rsidRPr="00993B55">
        <w:rPr>
          <w:rStyle w:val="libFootnoteBoldChar"/>
          <w:rtl/>
        </w:rPr>
        <w:t>شرح المازندراني</w:t>
      </w:r>
      <w:r w:rsidRPr="00C9040A">
        <w:rPr>
          <w:rtl/>
        </w:rPr>
        <w:t xml:space="preserve"> ، ج 8 ، ص 185 ؛ </w:t>
      </w:r>
      <w:r w:rsidRPr="00993B55">
        <w:rPr>
          <w:rStyle w:val="libFootnoteBoldChar"/>
          <w:rtl/>
        </w:rPr>
        <w:t>مرآة العقول</w:t>
      </w:r>
      <w:r w:rsidRPr="00C9040A">
        <w:rPr>
          <w:rtl/>
        </w:rPr>
        <w:t xml:space="preserve"> ، ج 7 ، ص 318.</w:t>
      </w:r>
    </w:p>
    <w:p w:rsidR="008A74EB" w:rsidRPr="00C9040A" w:rsidRDefault="008A74EB" w:rsidP="004A4E41">
      <w:pPr>
        <w:pStyle w:val="libFootnote0"/>
        <w:rPr>
          <w:rtl/>
          <w:lang w:bidi="fa-IR"/>
        </w:rPr>
      </w:pPr>
      <w:r>
        <w:rPr>
          <w:rtl/>
        </w:rPr>
        <w:t>(16)</w:t>
      </w:r>
      <w:r w:rsidRPr="00C9040A">
        <w:rPr>
          <w:rtl/>
        </w:rPr>
        <w:t xml:space="preserve"> في نهج البلاغة : « غور »</w:t>
      </w:r>
      <w:r>
        <w:rPr>
          <w:rtl/>
        </w:rPr>
        <w:t>.</w:t>
      </w:r>
      <w:r w:rsidRPr="00C9040A">
        <w:rPr>
          <w:rtl/>
        </w:rPr>
        <w:t xml:space="preserve"> </w:t>
      </w:r>
      <w:r>
        <w:rPr>
          <w:rtl/>
        </w:rPr>
        <w:t>و «</w:t>
      </w:r>
      <w:r w:rsidRPr="00C9040A">
        <w:rPr>
          <w:rtl/>
        </w:rPr>
        <w:t xml:space="preserve"> الغمر » : الكثير. </w:t>
      </w:r>
      <w:r w:rsidRPr="00993B55">
        <w:rPr>
          <w:rStyle w:val="libFootnoteBoldChar"/>
          <w:rtl/>
        </w:rPr>
        <w:t>النهاية</w:t>
      </w:r>
      <w:r w:rsidRPr="00C9040A">
        <w:rPr>
          <w:rtl/>
        </w:rPr>
        <w:t xml:space="preserve"> ، ج 3 ، ص 383 ( غمر )</w:t>
      </w:r>
      <w:r>
        <w:rPr>
          <w:rtl/>
        </w:rPr>
        <w:t>.</w:t>
      </w:r>
      <w:r w:rsidRPr="00C9040A">
        <w:rPr>
          <w:rtl/>
        </w:rPr>
        <w:t xml:space="preserve"> وفي </w:t>
      </w:r>
      <w:r w:rsidRPr="00993B55">
        <w:rPr>
          <w:rStyle w:val="libFootnoteBoldChar"/>
          <w:rtl/>
        </w:rPr>
        <w:t>شرح المازندراني</w:t>
      </w:r>
      <w:r w:rsidRPr="00C9040A">
        <w:rPr>
          <w:rtl/>
        </w:rPr>
        <w:t xml:space="preserve"> : </w:t>
      </w:r>
      <w:r w:rsidR="00EA09F9">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الْحُكْمِ </w:t>
      </w:r>
      <w:r w:rsidR="006C577F" w:rsidRPr="006C577F">
        <w:rPr>
          <w:rStyle w:val="libFootnotenumChar"/>
          <w:rtl/>
        </w:rPr>
        <w:t>(1)</w:t>
      </w:r>
      <w:r w:rsidRPr="00C9040A">
        <w:rPr>
          <w:rtl/>
          <w:lang w:bidi="fa-IR"/>
        </w:rPr>
        <w:t xml:space="preserve">، وَرَوْضَةِ </w:t>
      </w:r>
      <w:r w:rsidR="006C577F" w:rsidRPr="006C577F">
        <w:rPr>
          <w:rStyle w:val="libFootnotenumChar"/>
          <w:rtl/>
        </w:rPr>
        <w:t>(2)</w:t>
      </w:r>
      <w:r w:rsidRPr="00C9040A">
        <w:rPr>
          <w:rtl/>
          <w:lang w:bidi="fa-IR"/>
        </w:rPr>
        <w:t xml:space="preserve"> الْحِلْمِ ؛ فَمَنْ فَهِمَ ، فَسَّرَ جَمِيعَ الْعِلْمِ ؛ وَمَنْ عَلِمَ ، عَرَفَ شَرَائِعَ </w:t>
      </w:r>
      <w:r w:rsidR="006C577F" w:rsidRPr="006C577F">
        <w:rPr>
          <w:rStyle w:val="libFootnotenumChar"/>
          <w:rtl/>
        </w:rPr>
        <w:t>(3)</w:t>
      </w:r>
      <w:r w:rsidRPr="00C9040A">
        <w:rPr>
          <w:rtl/>
          <w:lang w:bidi="fa-IR"/>
        </w:rPr>
        <w:t xml:space="preserve"> الْحُكْمِ </w:t>
      </w:r>
      <w:r w:rsidR="006C577F" w:rsidRPr="006C577F">
        <w:rPr>
          <w:rStyle w:val="libFootnotenumChar"/>
          <w:rtl/>
        </w:rPr>
        <w:t>(4)</w:t>
      </w:r>
      <w:r w:rsidRPr="00C9040A">
        <w:rPr>
          <w:rtl/>
          <w:lang w:bidi="fa-IR"/>
        </w:rPr>
        <w:t xml:space="preserve"> ؛ وَمَنْ حَلُمَ ، لَمْ يُفَرِّطْ </w:t>
      </w:r>
      <w:r w:rsidR="006C577F" w:rsidRPr="006C577F">
        <w:rPr>
          <w:rStyle w:val="libFootnotenumChar"/>
          <w:rtl/>
        </w:rPr>
        <w:t>(5)</w:t>
      </w:r>
      <w:r w:rsidRPr="00C9040A">
        <w:rPr>
          <w:rtl/>
          <w:lang w:bidi="fa-IR"/>
        </w:rPr>
        <w:t xml:space="preserve"> فِي أَمْرِهِ ، وَعَاشَ فِي النَّاسِ حَمِيداً.</w:t>
      </w:r>
    </w:p>
    <w:p w:rsidR="008A74EB" w:rsidRPr="00C9040A" w:rsidRDefault="008A74EB" w:rsidP="00797772">
      <w:pPr>
        <w:pStyle w:val="libNormal"/>
        <w:rPr>
          <w:rtl/>
          <w:lang w:bidi="fa-IR"/>
        </w:rPr>
      </w:pPr>
      <w:r w:rsidRPr="00C9040A">
        <w:rPr>
          <w:rtl/>
          <w:lang w:bidi="fa-IR"/>
        </w:rPr>
        <w:t xml:space="preserve">وَالْجِهَادُ عَلى أَرْبَعِ شُعَبٍ : عَلَى </w:t>
      </w:r>
      <w:r w:rsidR="006C577F" w:rsidRPr="006C577F">
        <w:rPr>
          <w:rStyle w:val="libFootnotenumChar"/>
          <w:rtl/>
        </w:rPr>
        <w:t>(6)</w:t>
      </w:r>
      <w:r w:rsidRPr="005B567D">
        <w:rPr>
          <w:rStyle w:val="libFootnotenumChar"/>
          <w:rtl/>
        </w:rPr>
        <w:t xml:space="preserve"> </w:t>
      </w:r>
      <w:r w:rsidRPr="00C9040A">
        <w:rPr>
          <w:rtl/>
          <w:lang w:bidi="fa-IR"/>
        </w:rPr>
        <w:t xml:space="preserve">الْأَمْرِ بِالْمَعْرُوفِ ، وَالنَّهْيِ عَنِ الْمُنْكَرِ ، وَالصِّدْقِ فِي الْمَوَاطِنِ ، وَشَنَآنِ </w:t>
      </w:r>
      <w:r w:rsidR="006C577F" w:rsidRPr="006C577F">
        <w:rPr>
          <w:rStyle w:val="libFootnotenumChar"/>
          <w:rtl/>
        </w:rPr>
        <w:t>(7)</w:t>
      </w:r>
      <w:r w:rsidRPr="00C9040A">
        <w:rPr>
          <w:rtl/>
          <w:lang w:bidi="fa-IR"/>
        </w:rPr>
        <w:t xml:space="preserve"> الْفَاسِقِينَ ؛ فَمَنْ أَمَرَ بِالْمَعْرُوفِ ، شَدَّ ظَهْرَ الْمُؤْمِنِ </w:t>
      </w:r>
      <w:r w:rsidR="006C577F" w:rsidRPr="006C577F">
        <w:rPr>
          <w:rStyle w:val="libFootnotenumChar"/>
          <w:rtl/>
        </w:rPr>
        <w:t>(8)</w:t>
      </w:r>
      <w:r w:rsidRPr="00C9040A">
        <w:rPr>
          <w:rtl/>
          <w:lang w:bidi="fa-IR"/>
        </w:rPr>
        <w:t xml:space="preserve"> ؛ وَمَنْ نَهى عَنِ الْمُنْكَرِ ، أَرْغَمَ أَنْفَ </w:t>
      </w:r>
      <w:r w:rsidR="006C577F" w:rsidRPr="006C577F">
        <w:rPr>
          <w:rStyle w:val="libFootnotenumChar"/>
          <w:rtl/>
        </w:rPr>
        <w:t>(9)</w:t>
      </w:r>
      <w:r w:rsidRPr="00C9040A">
        <w:rPr>
          <w:rtl/>
          <w:lang w:bidi="fa-IR"/>
        </w:rPr>
        <w:t xml:space="preserve"> الْمُنَافِقِ </w:t>
      </w:r>
      <w:r w:rsidR="006C577F" w:rsidRPr="006C577F">
        <w:rPr>
          <w:rStyle w:val="libFootnotenumChar"/>
          <w:rtl/>
        </w:rPr>
        <w:t>(10)</w:t>
      </w:r>
      <w:r w:rsidRPr="00C9040A">
        <w:rPr>
          <w:rtl/>
          <w:lang w:bidi="fa-IR"/>
        </w:rPr>
        <w:t xml:space="preserve"> وَأَمِنَ كَيْدَهُ ؛ وَمَنْ صَدَقَ فِي الْمَوَاطِنِ ، قَضَى الَّذِي عَلَيْهِ ؛ وَمَنْ شَنِئَ الْفَاسِقِينَ ، غَضِبَ لِلّهِ ؛ وَمَنْ غَضِبَ لِلّهِ ، غَضِبَ اللهُ لَهُ ؛ فَذلِكَ الْإِيمَانُ وَ</w:t>
      </w:r>
      <w:r>
        <w:rPr>
          <w:rFonts w:hint="cs"/>
          <w:rtl/>
          <w:lang w:bidi="fa-IR"/>
        </w:rPr>
        <w:t xml:space="preserve"> </w:t>
      </w:r>
      <w:r w:rsidR="006C577F" w:rsidRPr="006C577F">
        <w:rPr>
          <w:rStyle w:val="libFootnotenumChar"/>
          <w:rtl/>
        </w:rPr>
        <w:t>(11)</w:t>
      </w:r>
      <w:r w:rsidRPr="00C9040A">
        <w:rPr>
          <w:rtl/>
          <w:lang w:bidi="fa-IR"/>
        </w:rPr>
        <w:t xml:space="preserve"> دَعَائِمُهُ وَشُعَبُهُ »</w:t>
      </w:r>
      <w:r>
        <w:rPr>
          <w:rtl/>
          <w:lang w:bidi="fa-IR"/>
        </w:rPr>
        <w:t>.</w:t>
      </w:r>
      <w:r w:rsidRPr="00C9040A">
        <w:rPr>
          <w:rtl/>
          <w:lang w:bidi="fa-IR"/>
        </w:rPr>
        <w:t xml:space="preserve"> </w:t>
      </w:r>
      <w:r w:rsidR="006C577F" w:rsidRPr="006C577F">
        <w:rPr>
          <w:rStyle w:val="libFootnotenumChar"/>
          <w:rtl/>
        </w:rPr>
        <w:t>(12)</w:t>
      </w:r>
    </w:p>
    <w:p w:rsidR="008A74EB" w:rsidRPr="00C9040A" w:rsidRDefault="008A74EB" w:rsidP="008A74EB">
      <w:pPr>
        <w:pStyle w:val="libLine"/>
        <w:rPr>
          <w:rtl/>
          <w:lang w:bidi="fa-IR"/>
        </w:rPr>
      </w:pPr>
      <w:r w:rsidRPr="00C9040A">
        <w:rPr>
          <w:rtl/>
          <w:lang w:bidi="fa-IR"/>
        </w:rPr>
        <w:t>__________________</w:t>
      </w:r>
    </w:p>
    <w:p w:rsidR="008A74EB" w:rsidRPr="00C9040A" w:rsidRDefault="00387DAE" w:rsidP="004A4E41">
      <w:pPr>
        <w:pStyle w:val="libFootnote0"/>
        <w:rPr>
          <w:rtl/>
          <w:lang w:bidi="fa-IR"/>
        </w:rPr>
      </w:pPr>
      <w:r>
        <w:rPr>
          <w:rFonts w:hint="cs"/>
          <w:rtl/>
        </w:rPr>
        <w:t xml:space="preserve">= </w:t>
      </w:r>
      <w:r w:rsidR="008A74EB" w:rsidRPr="00C9040A">
        <w:rPr>
          <w:rtl/>
        </w:rPr>
        <w:t>« الغامر ، أي الغائر الذي يطّلع عليه أذهان الأذكياء »</w:t>
      </w:r>
      <w:r w:rsidR="008A74EB">
        <w:rPr>
          <w:rtl/>
        </w:rPr>
        <w:t>.</w:t>
      </w:r>
    </w:p>
    <w:p w:rsidR="008A74EB" w:rsidRPr="00C9040A" w:rsidRDefault="006C577F" w:rsidP="004A4E41">
      <w:pPr>
        <w:pStyle w:val="libFootnote0"/>
        <w:rPr>
          <w:rtl/>
          <w:lang w:bidi="fa-IR"/>
        </w:rPr>
      </w:pPr>
      <w:r>
        <w:rPr>
          <w:rtl/>
        </w:rPr>
        <w:t>(1).</w:t>
      </w:r>
      <w:r w:rsidR="008A74EB" w:rsidRPr="00C9040A">
        <w:rPr>
          <w:rtl/>
        </w:rPr>
        <w:t xml:space="preserve"> في « ف » : « الحكمة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نهج البلاغة : « ورساخة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الغارات ، ص 80 : « شعائرهم »</w:t>
      </w:r>
      <w:r w:rsidR="008A74EB">
        <w:rPr>
          <w:rtl/>
        </w:rPr>
        <w:t>.</w:t>
      </w:r>
      <w:r w:rsidR="008A74EB" w:rsidRPr="00C9040A">
        <w:rPr>
          <w:rtl/>
        </w:rPr>
        <w:t xml:space="preserve"> وفيه ، ص 82 : « غرائب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نهج البلاغة : « فمن فهم علم غور العلم ، ومن علم غور العلم صدر عن شرائع الحكم » بدل « فمن فهم فسّر جميع العلم ، ومن علم عرف شرائع الحكم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ج » : « لا يفرّط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 ولم يفرّط ، على بناء التفعيل</w:t>
      </w:r>
      <w:r w:rsidR="008A74EB">
        <w:rPr>
          <w:rtl/>
        </w:rPr>
        <w:t xml:space="preserve"> ..</w:t>
      </w:r>
      <w:r w:rsidR="008A74EB" w:rsidRPr="00C9040A">
        <w:rPr>
          <w:rtl/>
        </w:rPr>
        <w:t>. وفي بعض نسخ النهج على بناء الإفعال »</w:t>
      </w:r>
      <w:r w:rsidR="008A74EB">
        <w:rPr>
          <w:rtl/>
        </w:rPr>
        <w:t>.</w:t>
      </w:r>
      <w:r w:rsidR="008A74EB" w:rsidRPr="00C9040A">
        <w:rPr>
          <w:rtl/>
        </w:rPr>
        <w:t xml:space="preserve"> وجواز الوجهين هو الظاهر من شرح المازندراني.</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شرح المازندراني </w:t>
      </w:r>
      <w:r w:rsidR="008A74EB">
        <w:rPr>
          <w:rtl/>
        </w:rPr>
        <w:t xml:space="preserve">: </w:t>
      </w:r>
      <w:r w:rsidR="0084262C">
        <w:rPr>
          <w:rtl/>
        </w:rPr>
        <w:t>-</w:t>
      </w:r>
      <w:r w:rsidR="008A74EB" w:rsidRPr="00C9040A">
        <w:rPr>
          <w:rtl/>
        </w:rPr>
        <w:t xml:space="preserve"> « على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هامش المطبوع عن بعض النسخ : « شنى‌ء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نهج البلاغة : « شدّ ظهور المؤمنين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نهج البلاغة : « ا</w:t>
      </w:r>
      <w:r w:rsidR="00387DAE">
        <w:rPr>
          <w:rFonts w:hint="cs"/>
          <w:rtl/>
        </w:rPr>
        <w:t>ُ</w:t>
      </w:r>
      <w:r w:rsidR="008A74EB" w:rsidRPr="00C9040A">
        <w:rPr>
          <w:rtl/>
        </w:rPr>
        <w:t>نوف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نهج البلاغة : « أرغم ا</w:t>
      </w:r>
      <w:r w:rsidR="00387DAE">
        <w:rPr>
          <w:rFonts w:hint="cs"/>
          <w:rtl/>
        </w:rPr>
        <w:t>ُ</w:t>
      </w:r>
      <w:r w:rsidR="008A74EB" w:rsidRPr="00C9040A">
        <w:rPr>
          <w:rtl/>
        </w:rPr>
        <w:t>نوف الكافرين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في « ز ، ص ، بر » </w:t>
      </w:r>
      <w:r w:rsidR="008A74EB">
        <w:rPr>
          <w:rtl/>
        </w:rPr>
        <w:t xml:space="preserve">: </w:t>
      </w:r>
      <w:r w:rsidR="0084262C">
        <w:rPr>
          <w:rtl/>
        </w:rPr>
        <w:t>-</w:t>
      </w:r>
      <w:r w:rsidR="008A74EB" w:rsidRPr="00C9040A">
        <w:rPr>
          <w:rtl/>
        </w:rPr>
        <w:t xml:space="preserve"> « و</w:t>
      </w:r>
      <w:r w:rsidR="008A74EB">
        <w:rPr>
          <w:rFonts w:hint="cs"/>
          <w:rtl/>
        </w:rPr>
        <w:t xml:space="preserve"> </w:t>
      </w:r>
      <w:r w:rsidR="008A74EB" w:rsidRPr="00C9040A">
        <w:rPr>
          <w:rtl/>
        </w:rPr>
        <w:t>»</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w:t>
      </w:r>
      <w:r w:rsidR="008A74EB" w:rsidRPr="00993B55">
        <w:rPr>
          <w:rStyle w:val="libFootnoteBoldChar"/>
          <w:rtl/>
        </w:rPr>
        <w:t>كتاب سليم بن قيس</w:t>
      </w:r>
      <w:r w:rsidR="008A74EB" w:rsidRPr="00C9040A">
        <w:rPr>
          <w:rtl/>
        </w:rPr>
        <w:t xml:space="preserve"> ، ص 613 ، ضمن ح 8 ؛ و</w:t>
      </w:r>
      <w:r w:rsidR="008A74EB" w:rsidRPr="00993B55">
        <w:rPr>
          <w:rStyle w:val="libFootnoteBoldChar"/>
          <w:rtl/>
        </w:rPr>
        <w:t>الغارات</w:t>
      </w:r>
      <w:r w:rsidR="008A74EB" w:rsidRPr="00C9040A">
        <w:rPr>
          <w:rtl/>
        </w:rPr>
        <w:t xml:space="preserve"> ، ص 80 ؛ وص 82 ، ضمن الحديث ؛ و</w:t>
      </w:r>
      <w:r w:rsidR="008A74EB" w:rsidRPr="00993B55">
        <w:rPr>
          <w:rStyle w:val="libFootnoteBoldChar"/>
          <w:rtl/>
        </w:rPr>
        <w:t>الخصال</w:t>
      </w:r>
      <w:r w:rsidR="008A74EB" w:rsidRPr="00C9040A">
        <w:rPr>
          <w:rtl/>
        </w:rPr>
        <w:t xml:space="preserve"> ، ص 231 ، باب الأربعة ، صدر ح 74 ؛ و</w:t>
      </w:r>
      <w:r w:rsidR="008A74EB" w:rsidRPr="0034021D">
        <w:rPr>
          <w:rStyle w:val="libFootnoteBoldChar"/>
          <w:rtl/>
        </w:rPr>
        <w:t>الأمالي للمفيد</w:t>
      </w:r>
      <w:r w:rsidR="008A74EB" w:rsidRPr="00C9040A">
        <w:rPr>
          <w:rtl/>
        </w:rPr>
        <w:t xml:space="preserve"> ، ص 275 ، المجلس 33 ، ذيل ح 3 ؛ </w:t>
      </w:r>
      <w:r w:rsidR="008A74EB" w:rsidRPr="00AC2E2F">
        <w:rPr>
          <w:rStyle w:val="libFootnoteBoldChar"/>
          <w:rtl/>
        </w:rPr>
        <w:t>والأمالي للطوسي</w:t>
      </w:r>
      <w:r w:rsidR="008A74EB" w:rsidRPr="00C9040A">
        <w:rPr>
          <w:rtl/>
        </w:rPr>
        <w:t xml:space="preserve"> ، ص 37 ، المجلس 2 ، ذيل ح 9 ، بسند آخر عن أميرالمؤمنين </w:t>
      </w:r>
      <w:r w:rsidR="00117575" w:rsidRPr="00117575">
        <w:rPr>
          <w:rStyle w:val="libFootnoteAlaemChar"/>
          <w:rtl/>
        </w:rPr>
        <w:t xml:space="preserve">عليه‌السلام </w:t>
      </w:r>
      <w:r w:rsidR="008A74EB" w:rsidRPr="00C9040A">
        <w:rPr>
          <w:rtl/>
        </w:rPr>
        <w:t xml:space="preserve">. وفي </w:t>
      </w:r>
      <w:r w:rsidR="008A74EB" w:rsidRPr="00993B55">
        <w:rPr>
          <w:rStyle w:val="libFootnoteBoldChar"/>
          <w:rtl/>
        </w:rPr>
        <w:t>تحف العقول</w:t>
      </w:r>
      <w:r w:rsidR="008A74EB" w:rsidRPr="00C9040A">
        <w:rPr>
          <w:rtl/>
        </w:rPr>
        <w:t xml:space="preserve"> ، ص 162 ، ضمن الحديث ؛ </w:t>
      </w:r>
      <w:r w:rsidR="008A74EB" w:rsidRPr="004C04F5">
        <w:rPr>
          <w:rtl/>
        </w:rPr>
        <w:t>و</w:t>
      </w:r>
      <w:r w:rsidR="008A74EB" w:rsidRPr="00993B55">
        <w:rPr>
          <w:rStyle w:val="libFootnoteBoldChar"/>
          <w:rtl/>
        </w:rPr>
        <w:t>نهج البلاغة</w:t>
      </w:r>
      <w:r w:rsidR="008A74EB" w:rsidRPr="00C9040A">
        <w:rPr>
          <w:rtl/>
        </w:rPr>
        <w:t xml:space="preserve"> ، ص 473 ، صدر الحكمة 31 ، عن أميرالمؤمنين </w:t>
      </w:r>
      <w:r w:rsidR="00117575" w:rsidRPr="00117575">
        <w:rPr>
          <w:rStyle w:val="libFootnoteAlaemChar"/>
          <w:rtl/>
        </w:rPr>
        <w:t>عليه‌السلام</w:t>
      </w:r>
      <w:r w:rsidR="008A74EB" w:rsidRPr="00C9040A">
        <w:rPr>
          <w:rtl/>
        </w:rPr>
        <w:t xml:space="preserve"> ، وفي كلّها مع اختلاف يسير</w:t>
      </w:r>
      <w:r w:rsidR="00387DAE">
        <w:rPr>
          <w:rFonts w:hint="cs"/>
          <w:rtl/>
        </w:rPr>
        <w:t>.</w:t>
      </w:r>
      <w:r w:rsidR="008A74EB" w:rsidRPr="00993B55">
        <w:rPr>
          <w:rStyle w:val="libFootnoteBoldChar"/>
          <w:rtl/>
        </w:rPr>
        <w:t>الوافي</w:t>
      </w:r>
      <w:r w:rsidR="008A74EB" w:rsidRPr="00C9040A">
        <w:rPr>
          <w:rtl/>
        </w:rPr>
        <w:t xml:space="preserve"> ، ج 4 ، ص 140 ، ح 1731 ؛ </w:t>
      </w:r>
      <w:r w:rsidR="008A74EB" w:rsidRPr="00993B55">
        <w:rPr>
          <w:rStyle w:val="libFootnoteBoldChar"/>
          <w:rtl/>
        </w:rPr>
        <w:t>الوسائل</w:t>
      </w:r>
      <w:r w:rsidR="008A74EB" w:rsidRPr="00C9040A">
        <w:rPr>
          <w:rtl/>
        </w:rPr>
        <w:t xml:space="preserve"> ، ج 15 ، ص 186 ، ح 20237 ، إلى قوله : « والصدق في المواطن وشنآن الفاسقين » ؛ </w:t>
      </w:r>
      <w:r w:rsidR="008A74EB" w:rsidRPr="00993B55">
        <w:rPr>
          <w:rStyle w:val="libFootnoteBoldChar"/>
          <w:rtl/>
        </w:rPr>
        <w:t>البحار</w:t>
      </w:r>
      <w:r w:rsidR="008A74EB" w:rsidRPr="00C9040A">
        <w:rPr>
          <w:rtl/>
        </w:rPr>
        <w:t xml:space="preserve"> ، ج 68 ، ص 350 ، ح 19.</w:t>
      </w:r>
    </w:p>
    <w:p w:rsidR="004B7F34" w:rsidRDefault="004B7F34" w:rsidP="004B7F34">
      <w:pPr>
        <w:pStyle w:val="libNormal"/>
        <w:rPr>
          <w:rtl/>
          <w:lang w:bidi="fa-IR"/>
        </w:rPr>
      </w:pPr>
      <w:r>
        <w:rPr>
          <w:rtl/>
          <w:lang w:bidi="fa-IR"/>
        </w:rPr>
        <w:br w:type="page"/>
      </w:r>
    </w:p>
    <w:p w:rsidR="008A74EB" w:rsidRPr="00C9040A" w:rsidRDefault="008A74EB" w:rsidP="008A74EB">
      <w:pPr>
        <w:pStyle w:val="Heading2Center"/>
        <w:rPr>
          <w:rtl/>
          <w:lang w:bidi="fa-IR"/>
        </w:rPr>
      </w:pPr>
      <w:bookmarkStart w:id="88" w:name="_Toc343795617"/>
      <w:bookmarkStart w:id="89" w:name="_Toc459810741"/>
      <w:bookmarkStart w:id="90" w:name="_Toc35348647"/>
      <w:r w:rsidRPr="00C9040A">
        <w:rPr>
          <w:rtl/>
          <w:lang w:bidi="fa-IR"/>
        </w:rPr>
        <w:lastRenderedPageBreak/>
        <w:t>26</w:t>
      </w:r>
      <w:r>
        <w:rPr>
          <w:rtl/>
          <w:lang w:bidi="fa-IR"/>
        </w:rPr>
        <w:t xml:space="preserve"> </w:t>
      </w:r>
      <w:r w:rsidR="0084262C">
        <w:rPr>
          <w:rtl/>
          <w:lang w:bidi="fa-IR"/>
        </w:rPr>
        <w:t>-</w:t>
      </w:r>
      <w:r>
        <w:rPr>
          <w:rtl/>
          <w:lang w:bidi="fa-IR"/>
        </w:rPr>
        <w:t xml:space="preserve"> </w:t>
      </w:r>
      <w:r w:rsidRPr="00C9040A">
        <w:rPr>
          <w:rtl/>
          <w:lang w:bidi="fa-IR"/>
        </w:rPr>
        <w:t>بَابُ فَضْلِ الْإِيمَانِ عَلَى الْإِسْلَامِ وَالْيَقِينِ عَلَى الْإِيمَانِ‌</w:t>
      </w:r>
      <w:bookmarkEnd w:id="88"/>
      <w:bookmarkEnd w:id="89"/>
      <w:bookmarkEnd w:id="90"/>
    </w:p>
    <w:p w:rsidR="008A74EB" w:rsidRPr="00C9040A" w:rsidRDefault="008A74EB" w:rsidP="008A74EB">
      <w:pPr>
        <w:pStyle w:val="libNormal"/>
        <w:rPr>
          <w:rtl/>
          <w:lang w:bidi="fa-IR"/>
        </w:rPr>
      </w:pPr>
      <w:r w:rsidRPr="004C04F5">
        <w:rPr>
          <w:rtl/>
        </w:rPr>
        <w:t>1545</w:t>
      </w:r>
      <w:r w:rsidRPr="00261CB0">
        <w:rPr>
          <w:rStyle w:val="libBold2Char"/>
          <w:rtl/>
        </w:rPr>
        <w:t xml:space="preserve"> / 1.</w:t>
      </w:r>
      <w:r w:rsidRPr="00C9040A">
        <w:rPr>
          <w:rtl/>
          <w:lang w:bidi="fa-IR"/>
        </w:rPr>
        <w:t xml:space="preserve"> أَبُو عَلِيٍّ الْأَشْعَرِيُّ ، عَنْ مُحَمَّدِ بْنِ سَالِمٍ ، عَنْ أَحْمَدَ بْنِ النَّضْرِ ، عَنْ عَمْرِو بْنِ شِمْرٍ ، عَنْ جَابِرٍ ، قَالَ :</w:t>
      </w:r>
    </w:p>
    <w:p w:rsidR="008A74EB" w:rsidRPr="00C9040A" w:rsidRDefault="008A74EB" w:rsidP="008A74EB">
      <w:pPr>
        <w:pStyle w:val="libNormal"/>
        <w:rPr>
          <w:rtl/>
          <w:lang w:bidi="fa-IR"/>
        </w:rPr>
      </w:pPr>
      <w:r w:rsidRPr="00C9040A">
        <w:rPr>
          <w:rtl/>
          <w:lang w:bidi="fa-IR"/>
        </w:rPr>
        <w:t xml:space="preserve">قَالَ لِي </w:t>
      </w:r>
      <w:r w:rsidR="006C577F" w:rsidRPr="006C577F">
        <w:rPr>
          <w:rStyle w:val="libFootnotenumChar"/>
          <w:rtl/>
        </w:rPr>
        <w:t>(1)</w:t>
      </w:r>
      <w:r w:rsidRPr="00853746">
        <w:rPr>
          <w:rFonts w:hint="cs"/>
          <w:rtl/>
        </w:rPr>
        <w:t xml:space="preserve"> </w:t>
      </w:r>
      <w:r w:rsidRPr="00C9040A">
        <w:rPr>
          <w:rtl/>
          <w:lang w:bidi="fa-IR"/>
        </w:rPr>
        <w:t xml:space="preserve">أَبُو عَبْدِ اللهِ </w:t>
      </w:r>
      <w:r w:rsidRPr="0003660B">
        <w:rPr>
          <w:rStyle w:val="libAlaemChar"/>
          <w:rtl/>
        </w:rPr>
        <w:t>عليه‌السلام</w:t>
      </w:r>
      <w:r w:rsidRPr="00C9040A">
        <w:rPr>
          <w:rtl/>
          <w:lang w:bidi="fa-IR"/>
        </w:rPr>
        <w:t xml:space="preserve"> : « يَا أَخَا جُعْفٍ ، إِنَّ الْإِيمَانَ أَفْضَلُ مِنَ الْإِسْلَامِ ، وَإِنَّ </w:t>
      </w:r>
      <w:r w:rsidR="006C577F" w:rsidRPr="006C577F">
        <w:rPr>
          <w:rStyle w:val="libFootnotenumChar"/>
          <w:rtl/>
        </w:rPr>
        <w:t>(2)</w:t>
      </w:r>
      <w:r w:rsidRPr="00C9040A">
        <w:rPr>
          <w:rtl/>
          <w:lang w:bidi="fa-IR"/>
        </w:rPr>
        <w:t xml:space="preserve"> الْيَقِينَ أَفْضَلُ مِنَ الْإِيمَانِ ، وَمَا مِنْ شَيْ‌ءٍ أَعَزَّ </w:t>
      </w:r>
      <w:r w:rsidR="006C577F" w:rsidRPr="006C577F">
        <w:rPr>
          <w:rStyle w:val="libFootnotenumChar"/>
          <w:rtl/>
        </w:rPr>
        <w:t>(3)</w:t>
      </w:r>
      <w:r w:rsidRPr="00C9040A">
        <w:rPr>
          <w:rtl/>
          <w:lang w:bidi="fa-IR"/>
        </w:rPr>
        <w:t xml:space="preserve"> مِنَ الْيَقِينِ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387DAE" w:rsidRDefault="008A74EB" w:rsidP="00387DAE">
      <w:pPr>
        <w:pStyle w:val="libNormal"/>
        <w:rPr>
          <w:rtl/>
          <w:lang w:bidi="fa-IR"/>
        </w:rPr>
      </w:pPr>
      <w:r w:rsidRPr="004C04F5">
        <w:rPr>
          <w:rtl/>
        </w:rPr>
        <w:t>1546</w:t>
      </w:r>
      <w:r w:rsidRPr="00261CB0">
        <w:rPr>
          <w:rStyle w:val="libBold2Char"/>
          <w:rtl/>
        </w:rPr>
        <w:t xml:space="preserve"> / 2.</w:t>
      </w:r>
      <w:r w:rsidRPr="00C9040A">
        <w:rPr>
          <w:rtl/>
          <w:lang w:bidi="fa-IR"/>
        </w:rPr>
        <w:t xml:space="preserve"> عِدَّةٌ مِنْ أَصْحَابِنَا ، عَنْ سَهْلِ بْنِ زِيَادٍ ؛</w:t>
      </w:r>
    </w:p>
    <w:p w:rsidR="008A74EB" w:rsidRPr="00C9040A" w:rsidRDefault="008A74EB" w:rsidP="00387DAE">
      <w:pPr>
        <w:pStyle w:val="libNormal"/>
        <w:rPr>
          <w:rtl/>
          <w:lang w:bidi="fa-IR"/>
        </w:rPr>
      </w:pPr>
      <w:r w:rsidRPr="00C9040A">
        <w:rPr>
          <w:rtl/>
          <w:lang w:bidi="fa-IR"/>
        </w:rPr>
        <w:t xml:space="preserve">وَالْحُسَيْنُ بْنُ مُحَمَّدٍ ، عَنْ مُعَلَّى </w:t>
      </w:r>
      <w:r w:rsidR="006C577F" w:rsidRPr="006C577F">
        <w:rPr>
          <w:rStyle w:val="libFootnotenumChar"/>
          <w:rtl/>
        </w:rPr>
        <w:t>(5)</w:t>
      </w:r>
      <w:r w:rsidRPr="00C9040A">
        <w:rPr>
          <w:rtl/>
          <w:lang w:bidi="fa-IR"/>
        </w:rPr>
        <w:t xml:space="preserve"> بْنِ مُحَمَّدٍ جَمِيعاً ، عَنِ الْوَشَّاءِ :</w:t>
      </w:r>
    </w:p>
    <w:p w:rsidR="008A74EB" w:rsidRPr="00C9040A" w:rsidRDefault="008A74EB" w:rsidP="008A74EB">
      <w:pPr>
        <w:pStyle w:val="libNormal"/>
        <w:rPr>
          <w:rtl/>
          <w:lang w:bidi="fa-IR"/>
        </w:rPr>
      </w:pPr>
      <w:r w:rsidRPr="00C9040A">
        <w:rPr>
          <w:rtl/>
          <w:lang w:bidi="fa-IR"/>
        </w:rPr>
        <w:t xml:space="preserve">عَنْ أَبِي الْحَسَنِ </w:t>
      </w:r>
      <w:r w:rsidRPr="0003660B">
        <w:rPr>
          <w:rStyle w:val="libAlaemChar"/>
          <w:rtl/>
        </w:rPr>
        <w:t>عليه‌السلام</w:t>
      </w:r>
      <w:r w:rsidRPr="00C9040A">
        <w:rPr>
          <w:rtl/>
          <w:lang w:bidi="fa-IR"/>
        </w:rPr>
        <w:t xml:space="preserve"> ، قَالَ : سَمِعْتُهُ يَقُولُ : « الْإِيمَانُ فَوْقَ الْإِسْلَامِ بِدَرَجَةٍ ، وَالتَّقْوى فَوْقَ الْإِيمَانِ بِدَرَجَةٍ ، وَالْيَقِينُ فَوْقَ التَّقْوى بِدَرَجَةٍ ، وَمَا قُسِمَ </w:t>
      </w:r>
      <w:r w:rsidR="006C577F" w:rsidRPr="006C577F">
        <w:rPr>
          <w:rStyle w:val="libFootnotenumChar"/>
          <w:rtl/>
        </w:rPr>
        <w:t>(6)</w:t>
      </w:r>
      <w:r w:rsidRPr="005B567D">
        <w:rPr>
          <w:rStyle w:val="libFootnotenumChar"/>
          <w:rtl/>
        </w:rPr>
        <w:t xml:space="preserve"> </w:t>
      </w:r>
      <w:r w:rsidRPr="00C9040A">
        <w:rPr>
          <w:rtl/>
          <w:lang w:bidi="fa-IR"/>
        </w:rPr>
        <w:t xml:space="preserve">فِي النَّاسِ </w:t>
      </w:r>
      <w:r w:rsidR="006C577F" w:rsidRPr="006C577F">
        <w:rPr>
          <w:rStyle w:val="libFootnotenumChar"/>
          <w:rtl/>
        </w:rPr>
        <w:t>(7)</w:t>
      </w:r>
      <w:r w:rsidRPr="00C9040A">
        <w:rPr>
          <w:rtl/>
          <w:lang w:bidi="fa-IR"/>
        </w:rPr>
        <w:t xml:space="preserve"> شَيْ‌ءٌ أَقَلُّ </w:t>
      </w:r>
      <w:r w:rsidR="006C577F" w:rsidRPr="006C577F">
        <w:rPr>
          <w:rStyle w:val="libFootnotenumChar"/>
          <w:rtl/>
        </w:rPr>
        <w:t>(8)</w:t>
      </w:r>
      <w:r w:rsidRPr="00C9040A">
        <w:rPr>
          <w:rtl/>
          <w:lang w:bidi="fa-IR"/>
        </w:rPr>
        <w:t xml:space="preserve"> مِنَ الْيَقِي</w:t>
      </w:r>
      <w:r w:rsidR="00B866D3">
        <w:rPr>
          <w:rtl/>
          <w:lang w:bidi="fa-IR"/>
        </w:rPr>
        <w:t>نِ</w:t>
      </w:r>
      <w:r w:rsidRPr="00C9040A">
        <w:rPr>
          <w:rtl/>
          <w:lang w:bidi="fa-IR"/>
        </w:rPr>
        <w:t>»</w:t>
      </w:r>
      <w:r>
        <w:rPr>
          <w:rtl/>
          <w:lang w:bidi="fa-IR"/>
        </w:rPr>
        <w:t>.</w:t>
      </w:r>
      <w:r w:rsidR="006C577F" w:rsidRPr="006C577F">
        <w:rPr>
          <w:rStyle w:val="libFootnotenumChar"/>
          <w:rtl/>
        </w:rPr>
        <w:t>(9)</w:t>
      </w:r>
      <w:r w:rsidRPr="00C9040A">
        <w:rPr>
          <w:rtl/>
          <w:lang w:bidi="fa-IR"/>
        </w:rPr>
        <w:t xml:space="preserve"> ‌</w:t>
      </w:r>
    </w:p>
    <w:p w:rsidR="008A74EB" w:rsidRPr="00C9040A" w:rsidRDefault="008A74EB" w:rsidP="008A74EB">
      <w:pPr>
        <w:pStyle w:val="libNormal"/>
        <w:rPr>
          <w:rtl/>
          <w:lang w:bidi="fa-IR"/>
        </w:rPr>
      </w:pPr>
      <w:r w:rsidRPr="004C04F5">
        <w:rPr>
          <w:rtl/>
        </w:rPr>
        <w:t>1547</w:t>
      </w:r>
      <w:r w:rsidRPr="00261CB0">
        <w:rPr>
          <w:rStyle w:val="libBold2Char"/>
          <w:rtl/>
        </w:rPr>
        <w:t xml:space="preserve"> / 3.</w:t>
      </w:r>
      <w:r w:rsidRPr="00C9040A">
        <w:rPr>
          <w:rtl/>
          <w:lang w:bidi="fa-IR"/>
        </w:rPr>
        <w:t xml:space="preserve"> مُحَمَّدُ بْنُ يَحْيى ، عَنْ أَحْمَدَ بْنِ مُحَمَّدِ بْنِ عِيسى ، عَنِ الْحَسَنِ بْنِ مَحْبُوبٍ ، عَنْ عَلِيِّ بْنِ رِئَابٍ ، عَنْ حُمْرَانَ بْنِ أَعْيَنَ ، قَالَ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 ز » </w:t>
      </w:r>
      <w:r w:rsidR="008A74EB">
        <w:rPr>
          <w:rtl/>
        </w:rPr>
        <w:t xml:space="preserve">: </w:t>
      </w:r>
      <w:r w:rsidR="0084262C">
        <w:rPr>
          <w:rtl/>
        </w:rPr>
        <w:t>-</w:t>
      </w:r>
      <w:r w:rsidR="008A74EB" w:rsidRPr="00C9040A">
        <w:rPr>
          <w:rtl/>
        </w:rPr>
        <w:t xml:space="preserve"> « لي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ص » </w:t>
      </w:r>
      <w:r w:rsidR="008A74EB">
        <w:rPr>
          <w:rtl/>
        </w:rPr>
        <w:t xml:space="preserve">: </w:t>
      </w:r>
      <w:r w:rsidR="0084262C">
        <w:rPr>
          <w:rtl/>
        </w:rPr>
        <w:t>-</w:t>
      </w:r>
      <w:r w:rsidR="008A74EB" w:rsidRPr="00C9040A">
        <w:rPr>
          <w:rtl/>
        </w:rPr>
        <w:t xml:space="preserve"> « وإنّ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يجوز فيه الرفع أيضاً باعتبار محلّ « شي‌ء »</w:t>
      </w:r>
      <w:r w:rsidR="008A74EB">
        <w:rPr>
          <w:rtl/>
        </w:rPr>
        <w:t>.</w:t>
      </w:r>
      <w:r w:rsidR="008A74EB" w:rsidRPr="00C9040A">
        <w:rPr>
          <w:rtl/>
        </w:rPr>
        <w:t xml:space="preserve"> وعزّ الشي‌ء : قلّ ، فلا يكاد يوجد ، فهو عزيز. </w:t>
      </w:r>
      <w:r w:rsidR="008A74EB" w:rsidRPr="00993B55">
        <w:rPr>
          <w:rStyle w:val="libFootnoteBoldChar"/>
          <w:rtl/>
        </w:rPr>
        <w:t>القاموس المحيط</w:t>
      </w:r>
      <w:r w:rsidR="008A74EB" w:rsidRPr="00C9040A">
        <w:rPr>
          <w:rtl/>
        </w:rPr>
        <w:t xml:space="preserve"> ، ج 1 ، ص 712 ( عزز )</w:t>
      </w:r>
      <w:r w:rsidR="008A74EB">
        <w:rPr>
          <w:rtl/>
        </w:rPr>
        <w:t>.</w:t>
      </w:r>
    </w:p>
    <w:p w:rsidR="008A74EB" w:rsidRPr="004A4E41" w:rsidRDefault="006C577F" w:rsidP="004A4E41">
      <w:pPr>
        <w:pStyle w:val="libFootnote0"/>
        <w:rPr>
          <w:rStyle w:val="libFootnote0Char"/>
          <w:rtl/>
        </w:rPr>
      </w:pPr>
      <w:r>
        <w:rPr>
          <w:rtl/>
        </w:rPr>
        <w:t>(4).</w:t>
      </w:r>
      <w:r w:rsidR="008A74EB" w:rsidRPr="00C9040A">
        <w:rPr>
          <w:rtl/>
        </w:rPr>
        <w:t xml:space="preserve"> </w:t>
      </w:r>
      <w:r w:rsidR="008A74EB" w:rsidRPr="00993B55">
        <w:rPr>
          <w:rStyle w:val="libFootnoteBoldChar"/>
          <w:rtl/>
        </w:rPr>
        <w:t>التمحيص</w:t>
      </w:r>
      <w:r w:rsidR="008A74EB" w:rsidRPr="00C9040A">
        <w:rPr>
          <w:rtl/>
        </w:rPr>
        <w:t xml:space="preserve"> ، ص 62 ، ح 138 ، عن جابر الجعفي ، من قوله : « إنّ اليقين »</w:t>
      </w:r>
      <w:r w:rsidR="008A74EB">
        <w:rPr>
          <w:rtl/>
        </w:rPr>
        <w:t>.</w:t>
      </w:r>
      <w:r w:rsidR="008A74EB" w:rsidRPr="00C9040A">
        <w:rPr>
          <w:rtl/>
        </w:rPr>
        <w:t xml:space="preserve"> راجع : </w:t>
      </w:r>
      <w:r w:rsidR="008A74EB" w:rsidRPr="00993B55">
        <w:rPr>
          <w:rStyle w:val="libFootnoteBoldChar"/>
          <w:rtl/>
        </w:rPr>
        <w:t>فقه الرضا</w:t>
      </w:r>
      <w:r w:rsidR="008A74EB" w:rsidRPr="00C9040A">
        <w:rPr>
          <w:rtl/>
        </w:rPr>
        <w:t xml:space="preserve"> </w:t>
      </w:r>
      <w:r w:rsidR="00117575" w:rsidRPr="00117575">
        <w:rPr>
          <w:rStyle w:val="libFootnoteAlaemChar"/>
          <w:rtl/>
        </w:rPr>
        <w:t>عليه‌السلام</w:t>
      </w:r>
      <w:r w:rsidR="008A74EB" w:rsidRPr="00C9040A">
        <w:rPr>
          <w:rtl/>
        </w:rPr>
        <w:t xml:space="preserve"> ، ص 368</w:t>
      </w:r>
      <w:r w:rsidR="00387DAE">
        <w:rPr>
          <w:rFonts w:hint="cs"/>
          <w:rtl/>
        </w:rPr>
        <w:t>.</w:t>
      </w:r>
      <w:r w:rsidR="008A74EB" w:rsidRPr="00993B55">
        <w:rPr>
          <w:rStyle w:val="libFootnoteBoldChar"/>
          <w:rtl/>
        </w:rPr>
        <w:t>الوافي</w:t>
      </w:r>
      <w:r w:rsidR="008A74EB" w:rsidRPr="00C9040A">
        <w:rPr>
          <w:rtl/>
        </w:rPr>
        <w:t xml:space="preserve"> ، ج 4 ، ص 146 ، ح 1739 ؛ </w:t>
      </w:r>
      <w:r w:rsidR="008A74EB" w:rsidRPr="00993B55">
        <w:rPr>
          <w:rStyle w:val="libFootnoteBoldChar"/>
          <w:rtl/>
        </w:rPr>
        <w:t>البحار</w:t>
      </w:r>
      <w:r w:rsidR="008A74EB" w:rsidRPr="00C9040A">
        <w:rPr>
          <w:rtl/>
        </w:rPr>
        <w:t xml:space="preserve"> ، ج 70 ، ص 135 ، ح 1.</w:t>
      </w:r>
    </w:p>
    <w:tbl>
      <w:tblPr>
        <w:tblStyle w:val="TableGrid"/>
        <w:bidiVisual/>
        <w:tblW w:w="0" w:type="auto"/>
        <w:tblLook w:val="04A0" w:firstRow="1" w:lastRow="0" w:firstColumn="1" w:lastColumn="0" w:noHBand="0" w:noVBand="1"/>
      </w:tblPr>
      <w:tblGrid>
        <w:gridCol w:w="4006"/>
        <w:gridCol w:w="4006"/>
      </w:tblGrid>
      <w:tr w:rsidR="00387DAE" w:rsidTr="00387DAE">
        <w:tc>
          <w:tcPr>
            <w:tcW w:w="4006" w:type="dxa"/>
          </w:tcPr>
          <w:p w:rsidR="00387DAE" w:rsidRDefault="00387DAE" w:rsidP="004A4E41">
            <w:pPr>
              <w:pStyle w:val="libFootnote0"/>
              <w:rPr>
                <w:rtl/>
              </w:rPr>
            </w:pPr>
            <w:r>
              <w:rPr>
                <w:rtl/>
              </w:rPr>
              <w:t>(5).</w:t>
            </w:r>
            <w:r w:rsidRPr="00C9040A">
              <w:rPr>
                <w:rtl/>
              </w:rPr>
              <w:t xml:space="preserve"> في « ج » : « المعلّى »</w:t>
            </w:r>
            <w:r>
              <w:rPr>
                <w:rtl/>
              </w:rPr>
              <w:t>.</w:t>
            </w:r>
          </w:p>
        </w:tc>
        <w:tc>
          <w:tcPr>
            <w:tcW w:w="4006" w:type="dxa"/>
          </w:tcPr>
          <w:p w:rsidR="00387DAE" w:rsidRDefault="00387DAE" w:rsidP="004A4E41">
            <w:pPr>
              <w:pStyle w:val="libFootnote0"/>
              <w:rPr>
                <w:rtl/>
              </w:rPr>
            </w:pPr>
            <w:r>
              <w:rPr>
                <w:rtl/>
              </w:rPr>
              <w:t xml:space="preserve">(6). </w:t>
            </w:r>
            <w:r w:rsidRPr="00C9040A">
              <w:rPr>
                <w:rtl/>
              </w:rPr>
              <w:t>يجوز فيه التشديد أيضاً.</w:t>
            </w:r>
          </w:p>
        </w:tc>
      </w:tr>
      <w:tr w:rsidR="00387DAE" w:rsidTr="00387DAE">
        <w:tc>
          <w:tcPr>
            <w:tcW w:w="4006" w:type="dxa"/>
          </w:tcPr>
          <w:p w:rsidR="00387DAE" w:rsidRDefault="00387DAE" w:rsidP="004A4E41">
            <w:pPr>
              <w:pStyle w:val="libFootnote0"/>
              <w:rPr>
                <w:rtl/>
              </w:rPr>
            </w:pPr>
            <w:r>
              <w:rPr>
                <w:rtl/>
              </w:rPr>
              <w:t>(7).</w:t>
            </w:r>
            <w:r w:rsidRPr="00C9040A">
              <w:rPr>
                <w:rtl/>
              </w:rPr>
              <w:t xml:space="preserve"> في مرآة العقول : « للنّاس »</w:t>
            </w:r>
            <w:r>
              <w:rPr>
                <w:rtl/>
              </w:rPr>
              <w:t>.</w:t>
            </w:r>
          </w:p>
        </w:tc>
        <w:tc>
          <w:tcPr>
            <w:tcW w:w="4006" w:type="dxa"/>
          </w:tcPr>
          <w:p w:rsidR="00387DAE" w:rsidRDefault="00387DAE" w:rsidP="004A4E41">
            <w:pPr>
              <w:pStyle w:val="libFootnote0"/>
              <w:rPr>
                <w:rtl/>
              </w:rPr>
            </w:pPr>
            <w:r>
              <w:rPr>
                <w:rtl/>
              </w:rPr>
              <w:t>(8).</w:t>
            </w:r>
            <w:r w:rsidRPr="00C9040A">
              <w:rPr>
                <w:rtl/>
              </w:rPr>
              <w:t xml:space="preserve"> في تحف العقول : « أشدّ »</w:t>
            </w:r>
            <w:r>
              <w:rPr>
                <w:rtl/>
              </w:rPr>
              <w:t>.</w:t>
            </w:r>
          </w:p>
        </w:tc>
      </w:tr>
    </w:tbl>
    <w:p w:rsidR="008A74EB" w:rsidRPr="00C9040A" w:rsidRDefault="006C577F" w:rsidP="004A4E41">
      <w:pPr>
        <w:pStyle w:val="libFootnote0"/>
        <w:rPr>
          <w:rtl/>
          <w:lang w:bidi="fa-IR"/>
        </w:rPr>
      </w:pPr>
      <w:r>
        <w:rPr>
          <w:rtl/>
        </w:rPr>
        <w:t>(9).</w:t>
      </w:r>
      <w:r w:rsidR="008A74EB" w:rsidRPr="00C9040A">
        <w:rPr>
          <w:rtl/>
        </w:rPr>
        <w:t xml:space="preserve"> </w:t>
      </w:r>
      <w:r w:rsidR="008A74EB" w:rsidRPr="00993B55">
        <w:rPr>
          <w:rStyle w:val="libFootnoteBoldChar"/>
          <w:rtl/>
        </w:rPr>
        <w:t>قرب الإسناد</w:t>
      </w:r>
      <w:r w:rsidR="008A74EB" w:rsidRPr="00C9040A">
        <w:rPr>
          <w:rtl/>
        </w:rPr>
        <w:t xml:space="preserve"> ، ص 354 ، ح 1269 ، بسند آخر عن الرضا </w:t>
      </w:r>
      <w:r w:rsidR="00117575" w:rsidRPr="00117575">
        <w:rPr>
          <w:rStyle w:val="libFootnoteAlaemChar"/>
          <w:rtl/>
        </w:rPr>
        <w:t>عليه‌السلام</w:t>
      </w:r>
      <w:r w:rsidR="008A74EB" w:rsidRPr="00C9040A">
        <w:rPr>
          <w:rtl/>
        </w:rPr>
        <w:t xml:space="preserve"> ، مع اختلاف يسير. </w:t>
      </w:r>
      <w:r w:rsidR="008A74EB" w:rsidRPr="00993B55">
        <w:rPr>
          <w:rStyle w:val="libFootnoteBoldChar"/>
          <w:rtl/>
        </w:rPr>
        <w:t>تحف العقول</w:t>
      </w:r>
      <w:r w:rsidR="008A74EB" w:rsidRPr="00C9040A">
        <w:rPr>
          <w:rtl/>
        </w:rPr>
        <w:t xml:space="preserve"> ، ص 372 ، عن الصادق </w:t>
      </w:r>
      <w:r w:rsidR="00117575" w:rsidRPr="00117575">
        <w:rPr>
          <w:rStyle w:val="libFootnoteAlaemChar"/>
          <w:rtl/>
        </w:rPr>
        <w:t>عليه‌السلام</w:t>
      </w:r>
      <w:r w:rsidR="008A74EB" w:rsidRPr="00C9040A">
        <w:rPr>
          <w:rtl/>
        </w:rPr>
        <w:t xml:space="preserve"> ، مع اختلاف وزيادة ؛ </w:t>
      </w:r>
      <w:r w:rsidR="008A74EB" w:rsidRPr="00993B55">
        <w:rPr>
          <w:rStyle w:val="libFootnoteBoldChar"/>
          <w:rtl/>
        </w:rPr>
        <w:t>فقه الرضا</w:t>
      </w:r>
      <w:r w:rsidR="008A74EB" w:rsidRPr="00C9040A">
        <w:rPr>
          <w:rtl/>
        </w:rPr>
        <w:t xml:space="preserve"> </w:t>
      </w:r>
      <w:r w:rsidR="00117575" w:rsidRPr="00117575">
        <w:rPr>
          <w:rStyle w:val="libFootnoteAlaemChar"/>
          <w:rtl/>
        </w:rPr>
        <w:t>عليه‌السلام</w:t>
      </w:r>
      <w:r w:rsidR="008A74EB" w:rsidRPr="00C9040A">
        <w:rPr>
          <w:rtl/>
        </w:rPr>
        <w:t xml:space="preserve"> ، ص 381 ، وتمام الرواية فيه : « ما قسم بين الناس أقلّ من اليقين »</w:t>
      </w:r>
      <w:r w:rsidR="00387DAE">
        <w:rPr>
          <w:rFonts w:hint="cs"/>
          <w:rtl/>
        </w:rPr>
        <w:t>.</w:t>
      </w:r>
      <w:r w:rsidR="008A74EB" w:rsidRPr="00993B55">
        <w:rPr>
          <w:rStyle w:val="libFootnoteBoldChar"/>
          <w:rtl/>
        </w:rPr>
        <w:t>الوافي</w:t>
      </w:r>
      <w:r w:rsidR="008A74EB" w:rsidRPr="00C9040A">
        <w:rPr>
          <w:rtl/>
        </w:rPr>
        <w:t xml:space="preserve"> ، ج 4 ، ص 145 ، ح 1735 ؛ </w:t>
      </w:r>
      <w:r w:rsidR="008A74EB" w:rsidRPr="00993B55">
        <w:rPr>
          <w:rStyle w:val="libFootnoteBoldChar"/>
          <w:rtl/>
        </w:rPr>
        <w:t>البحار</w:t>
      </w:r>
      <w:r w:rsidR="008A74EB" w:rsidRPr="00C9040A">
        <w:rPr>
          <w:rtl/>
        </w:rPr>
        <w:t xml:space="preserve"> ، ج 70 ، ص 136 ، ح 2.</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lastRenderedPageBreak/>
        <w:t xml:space="preserve">سَمِعْتُ أَبَا جَعْفَرٍ </w:t>
      </w:r>
      <w:r w:rsidRPr="0003660B">
        <w:rPr>
          <w:rStyle w:val="libAlaemChar"/>
          <w:rtl/>
        </w:rPr>
        <w:t>عليه‌السلام</w:t>
      </w:r>
      <w:r w:rsidRPr="00C9040A">
        <w:rPr>
          <w:rtl/>
          <w:lang w:bidi="fa-IR"/>
        </w:rPr>
        <w:t xml:space="preserve"> يَقُولُ : « إِنَّ اللهَ فَضَّلَ الْإِيمَانَ عَلَى الْإِسْلَامِ بِدَرَجَةٍ ، كَمَا فَضَّلَ الْكَعْبَةَ عَلَى الْمَسْجِدِ الْحَرَامِ </w:t>
      </w:r>
      <w:r w:rsidR="006C577F" w:rsidRPr="006C577F">
        <w:rPr>
          <w:rStyle w:val="libFootnotenumChar"/>
          <w:rtl/>
        </w:rPr>
        <w:t>(1)</w:t>
      </w:r>
      <w:r w:rsidRPr="00C9040A">
        <w:rPr>
          <w:rtl/>
          <w:lang w:bidi="fa-IR"/>
        </w:rPr>
        <w:t>»</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22388B">
        <w:rPr>
          <w:rtl/>
        </w:rPr>
        <w:t>1548</w:t>
      </w:r>
      <w:r w:rsidRPr="00261CB0">
        <w:rPr>
          <w:rStyle w:val="libBold2Char"/>
          <w:rtl/>
        </w:rPr>
        <w:t xml:space="preserve"> / 4.</w:t>
      </w:r>
      <w:r w:rsidRPr="00C9040A">
        <w:rPr>
          <w:rtl/>
          <w:lang w:bidi="fa-IR"/>
        </w:rPr>
        <w:t xml:space="preserve"> عِدَّةٌ مِنْ أَصْحَابِنَا ، عَنْ أَحْمَدَ بْنِ مُحَمَّدِ بْنِ خَالِدٍ ، عَنْ أَبِيهِ ، عَنْ هَارُونَ بْنِ الْجَهْمِ أَوْ غَيْرِهِ ، عَنْ عُمَرَ بْنِ أَبَانٍ الْكَلْبِيِّ ، عَنْ عَبْدِ الْحَمِيدِ الْوَاسِطِيِّ ، عَنْ أَبِي بَصِيرٍ ، قَالَ :</w:t>
      </w:r>
    </w:p>
    <w:p w:rsidR="008A74EB" w:rsidRPr="00C9040A" w:rsidRDefault="008A74EB" w:rsidP="008A74EB">
      <w:pPr>
        <w:pStyle w:val="libNormal"/>
        <w:rPr>
          <w:rtl/>
          <w:lang w:bidi="fa-IR"/>
        </w:rPr>
      </w:pPr>
      <w:r w:rsidRPr="00C9040A">
        <w:rPr>
          <w:rtl/>
          <w:lang w:bidi="fa-IR"/>
        </w:rPr>
        <w:t xml:space="preserve">قَالَ لِي أَبُو عَبْدِ اللهِ </w:t>
      </w:r>
      <w:r w:rsidRPr="0003660B">
        <w:rPr>
          <w:rStyle w:val="libAlaemChar"/>
          <w:rtl/>
        </w:rPr>
        <w:t>عليه‌السلام</w:t>
      </w:r>
      <w:r w:rsidRPr="00C9040A">
        <w:rPr>
          <w:rtl/>
          <w:lang w:bidi="fa-IR"/>
        </w:rPr>
        <w:t xml:space="preserve"> : « يَا أَبَا مُحَمَّدٍ ، الْإِسْلَامُ دَرَجَةٌ </w:t>
      </w:r>
      <w:r w:rsidR="006C577F" w:rsidRPr="006C577F">
        <w:rPr>
          <w:rStyle w:val="libFootnotenumChar"/>
          <w:rtl/>
        </w:rPr>
        <w:t>(3)</w:t>
      </w:r>
      <w:r w:rsidRPr="00C9040A">
        <w:rPr>
          <w:rtl/>
          <w:lang w:bidi="fa-IR"/>
        </w:rPr>
        <w:t xml:space="preserve"> » قُلْتُ : نَعَمْ ، قَالَ </w:t>
      </w:r>
      <w:r w:rsidR="006C577F" w:rsidRPr="006C577F">
        <w:rPr>
          <w:rStyle w:val="libFootnotenumChar"/>
          <w:rtl/>
        </w:rPr>
        <w:t>(4)</w:t>
      </w:r>
      <w:r w:rsidRPr="00C9040A">
        <w:rPr>
          <w:rtl/>
          <w:lang w:bidi="fa-IR"/>
        </w:rPr>
        <w:t xml:space="preserve"> :</w:t>
      </w:r>
      <w:r>
        <w:rPr>
          <w:rFonts w:hint="cs"/>
          <w:rtl/>
          <w:lang w:bidi="fa-IR"/>
        </w:rPr>
        <w:t xml:space="preserve"> </w:t>
      </w:r>
      <w:r w:rsidRPr="00C9040A">
        <w:rPr>
          <w:rtl/>
          <w:lang w:bidi="fa-IR"/>
        </w:rPr>
        <w:t xml:space="preserve">« وَالْإِيمَانُ عَلَى الْإِسْلَامِ دَرَجَةٌ » قَالَ </w:t>
      </w:r>
      <w:r w:rsidR="006C577F" w:rsidRPr="006C577F">
        <w:rPr>
          <w:rStyle w:val="libFootnotenumChar"/>
          <w:rtl/>
        </w:rPr>
        <w:t>(5)</w:t>
      </w:r>
      <w:r w:rsidRPr="00C9040A">
        <w:rPr>
          <w:rtl/>
          <w:lang w:bidi="fa-IR"/>
        </w:rPr>
        <w:t xml:space="preserve"> : قُلْتُ : نَعَمْ ، قَالَ : « وَالتَّقْوى عَلَى الْإِيمَانِ دَرَجَةٌ » قَالَ : قُلْتُ : نَعَمْ ، قَالَ </w:t>
      </w:r>
      <w:r w:rsidR="006C577F" w:rsidRPr="006C577F">
        <w:rPr>
          <w:rStyle w:val="libFootnotenumChar"/>
          <w:rtl/>
        </w:rPr>
        <w:t>(6)</w:t>
      </w:r>
      <w:r w:rsidRPr="005B567D">
        <w:rPr>
          <w:rStyle w:val="libFootnotenumChar"/>
          <w:rtl/>
        </w:rPr>
        <w:t xml:space="preserve"> </w:t>
      </w:r>
      <w:r w:rsidRPr="00C9040A">
        <w:rPr>
          <w:rtl/>
          <w:lang w:bidi="fa-IR"/>
        </w:rPr>
        <w:t xml:space="preserve">: « وَالْيَقِينُ عَلَى التَّقْوى دَرَجَةٌ » قَالَ </w:t>
      </w:r>
      <w:r w:rsidR="006C577F" w:rsidRPr="006C577F">
        <w:rPr>
          <w:rStyle w:val="libFootnotenumChar"/>
          <w:rtl/>
        </w:rPr>
        <w:t>(7)</w:t>
      </w:r>
      <w:r w:rsidRPr="00C9040A">
        <w:rPr>
          <w:rtl/>
          <w:lang w:bidi="fa-IR"/>
        </w:rPr>
        <w:t xml:space="preserve"> : قُلْتُ : نَعَمْ ، قَالَ : « فَمَا </w:t>
      </w:r>
      <w:r w:rsidR="006C577F" w:rsidRPr="006C577F">
        <w:rPr>
          <w:rStyle w:val="libFootnotenumChar"/>
          <w:rtl/>
        </w:rPr>
        <w:t>(8)</w:t>
      </w:r>
      <w:r w:rsidRPr="00C9040A">
        <w:rPr>
          <w:rtl/>
          <w:lang w:bidi="fa-IR"/>
        </w:rPr>
        <w:t xml:space="preserve"> أُوتِيَ النَّاسُ أَقَلَّ مِنَ الْيَقِينِ ، وَإِنَّمَا تَمَسَّكْتُمْ بِأَدْنَى الْإِسْلَامِ ؛ فَإِيَّاكُمْ </w:t>
      </w:r>
      <w:r w:rsidR="006C577F" w:rsidRPr="006C577F">
        <w:rPr>
          <w:rStyle w:val="libFootnotenumChar"/>
          <w:rtl/>
        </w:rPr>
        <w:t>(9)</w:t>
      </w:r>
      <w:r w:rsidRPr="00C9040A">
        <w:rPr>
          <w:rtl/>
          <w:lang w:bidi="fa-IR"/>
        </w:rPr>
        <w:t xml:space="preserve"> أَنْ يَنْفَلِتَ </w:t>
      </w:r>
      <w:r w:rsidR="006C577F" w:rsidRPr="006C577F">
        <w:rPr>
          <w:rStyle w:val="libFootnotenumChar"/>
          <w:rtl/>
        </w:rPr>
        <w:t>(10)</w:t>
      </w:r>
      <w:r w:rsidRPr="00C9040A">
        <w:rPr>
          <w:rtl/>
          <w:lang w:bidi="fa-IR"/>
        </w:rPr>
        <w:t xml:space="preserve"> مِنْ أَيْدِيكُمْ </w:t>
      </w:r>
      <w:r w:rsidR="006C577F" w:rsidRPr="006C577F">
        <w:rPr>
          <w:rStyle w:val="libFootnotenumChar"/>
          <w:rtl/>
        </w:rPr>
        <w:t>(11)</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(12)</w:t>
      </w:r>
      <w:r w:rsidRPr="00C9040A">
        <w:rPr>
          <w:rtl/>
          <w:lang w:bidi="fa-IR"/>
        </w:rPr>
        <w:t xml:space="preserve"> ‌</w:t>
      </w:r>
    </w:p>
    <w:p w:rsidR="008A74EB" w:rsidRPr="00C9040A" w:rsidRDefault="008A74EB" w:rsidP="008A74EB">
      <w:pPr>
        <w:pStyle w:val="libNormal"/>
        <w:rPr>
          <w:rtl/>
          <w:lang w:bidi="fa-IR"/>
        </w:rPr>
      </w:pPr>
      <w:r w:rsidRPr="0022388B">
        <w:rPr>
          <w:rtl/>
        </w:rPr>
        <w:t>1549</w:t>
      </w:r>
      <w:r w:rsidRPr="00261CB0">
        <w:rPr>
          <w:rStyle w:val="libBold2Char"/>
          <w:rtl/>
        </w:rPr>
        <w:t xml:space="preserve"> / 5.</w:t>
      </w:r>
      <w:r w:rsidRPr="00C9040A">
        <w:rPr>
          <w:rtl/>
          <w:lang w:bidi="fa-IR"/>
        </w:rPr>
        <w:t xml:space="preserve"> عَلِيُّ بْنُ إِبْرَاهِيمَ ، عَنْ مُحَمَّدِ بْنِ عِيسى ، عَنْ يُونُسَ ، قَالَ :</w:t>
      </w:r>
    </w:p>
    <w:p w:rsidR="008A74EB" w:rsidRPr="00C9040A" w:rsidRDefault="008A74EB" w:rsidP="008A74EB">
      <w:pPr>
        <w:pStyle w:val="libNormal"/>
        <w:rPr>
          <w:rtl/>
          <w:lang w:bidi="fa-IR"/>
        </w:rPr>
      </w:pPr>
      <w:r w:rsidRPr="00C9040A">
        <w:rPr>
          <w:rtl/>
          <w:lang w:bidi="fa-IR"/>
        </w:rPr>
        <w:t xml:space="preserve">سَأَلْتُ أَبَا الْحَسَنِ الرِّضَا </w:t>
      </w:r>
      <w:r w:rsidRPr="0003660B">
        <w:rPr>
          <w:rStyle w:val="libAlaemChar"/>
          <w:rtl/>
        </w:rPr>
        <w:t>عليه‌السلام</w:t>
      </w:r>
      <w:r w:rsidRPr="00C9040A">
        <w:rPr>
          <w:rtl/>
          <w:lang w:bidi="fa-IR"/>
        </w:rPr>
        <w:t xml:space="preserve"> عَنِ الْإِيمَانِ وَالْإِسْلَامِ.</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تفسير القمّي : + « بدرجة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تفسير القمّي</w:t>
      </w:r>
      <w:r w:rsidR="008A74EB" w:rsidRPr="00C9040A">
        <w:rPr>
          <w:rtl/>
        </w:rPr>
        <w:t xml:space="preserve"> ، ج 1 ، ص 99 ، بسنده عن الحسن بن محبوب</w:t>
      </w:r>
      <w:r w:rsidR="00387DAE">
        <w:rPr>
          <w:rFonts w:hint="cs"/>
          <w:rtl/>
        </w:rPr>
        <w:t>.</w:t>
      </w:r>
      <w:r w:rsidR="008A74EB" w:rsidRPr="00993B55">
        <w:rPr>
          <w:rStyle w:val="libFootnoteBoldChar"/>
          <w:rtl/>
        </w:rPr>
        <w:t>الوافي</w:t>
      </w:r>
      <w:r w:rsidR="008A74EB" w:rsidRPr="00C9040A">
        <w:rPr>
          <w:rtl/>
        </w:rPr>
        <w:t xml:space="preserve"> ، ج 4 ، ص 146 ، ح 1740 ؛ </w:t>
      </w:r>
      <w:r w:rsidR="008A74EB" w:rsidRPr="00993B55">
        <w:rPr>
          <w:rStyle w:val="libFootnoteBoldChar"/>
          <w:rtl/>
        </w:rPr>
        <w:t>البحار</w:t>
      </w:r>
      <w:r w:rsidR="008A74EB" w:rsidRPr="00C9040A">
        <w:rPr>
          <w:rtl/>
        </w:rPr>
        <w:t xml:space="preserve"> ، ج 68 ، ص 260 ، ح 17.</w:t>
      </w:r>
    </w:p>
    <w:p w:rsidR="008A74EB" w:rsidRPr="004A4E41" w:rsidRDefault="006C577F" w:rsidP="004A4E41">
      <w:pPr>
        <w:pStyle w:val="libFootnote0"/>
        <w:rPr>
          <w:rStyle w:val="libFootnote0Char"/>
          <w:rtl/>
        </w:rPr>
      </w:pPr>
      <w:r>
        <w:rPr>
          <w:rtl/>
        </w:rPr>
        <w:t>(3).</w:t>
      </w:r>
      <w:r w:rsidR="008A74EB" w:rsidRPr="00C9040A">
        <w:rPr>
          <w:rtl/>
        </w:rPr>
        <w:t xml:space="preserve"> هكذا في النسخ التي بأيدينا والوافي والبحار. وفي المطبوع : + « قال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 الإسلام درجة ، أي‌درجة من الدرجات ، أو أوّل درجة. وهو استفهام أو خبر. </w:t>
      </w:r>
      <w:r w:rsidR="008A74EB">
        <w:rPr>
          <w:rtl/>
        </w:rPr>
        <w:t>و «</w:t>
      </w:r>
      <w:r w:rsidR="008A74EB" w:rsidRPr="00C9040A">
        <w:rPr>
          <w:rtl/>
        </w:rPr>
        <w:t xml:space="preserve"> نعم » يقع في جوابهما »</w:t>
      </w:r>
      <w:r w:rsidR="008A74EB">
        <w:rPr>
          <w:rtl/>
        </w:rPr>
        <w:t>.</w:t>
      </w:r>
    </w:p>
    <w:tbl>
      <w:tblPr>
        <w:tblStyle w:val="TableGrid"/>
        <w:bidiVisual/>
        <w:tblW w:w="0" w:type="auto"/>
        <w:tblLook w:val="04A0" w:firstRow="1" w:lastRow="0" w:firstColumn="1" w:lastColumn="0" w:noHBand="0" w:noVBand="1"/>
      </w:tblPr>
      <w:tblGrid>
        <w:gridCol w:w="4006"/>
        <w:gridCol w:w="4006"/>
      </w:tblGrid>
      <w:tr w:rsidR="001B7A0B" w:rsidTr="001B7A0B">
        <w:tc>
          <w:tcPr>
            <w:tcW w:w="4006" w:type="dxa"/>
          </w:tcPr>
          <w:p w:rsidR="001B7A0B" w:rsidRDefault="001B7A0B" w:rsidP="004A4E41">
            <w:pPr>
              <w:pStyle w:val="libFootnote0"/>
              <w:rPr>
                <w:rtl/>
              </w:rPr>
            </w:pPr>
            <w:r>
              <w:rPr>
                <w:rtl/>
              </w:rPr>
              <w:t>(4).</w:t>
            </w:r>
            <w:r w:rsidRPr="00C9040A">
              <w:rPr>
                <w:rtl/>
              </w:rPr>
              <w:t xml:space="preserve"> في « ص » : + « قال »</w:t>
            </w:r>
            <w:r>
              <w:rPr>
                <w:rtl/>
              </w:rPr>
              <w:t>.</w:t>
            </w:r>
          </w:p>
        </w:tc>
        <w:tc>
          <w:tcPr>
            <w:tcW w:w="4006" w:type="dxa"/>
          </w:tcPr>
          <w:p w:rsidR="001B7A0B" w:rsidRDefault="001B7A0B" w:rsidP="004A4E41">
            <w:pPr>
              <w:pStyle w:val="libFootnote0"/>
              <w:rPr>
                <w:rtl/>
              </w:rPr>
            </w:pPr>
            <w:r>
              <w:rPr>
                <w:rtl/>
              </w:rPr>
              <w:t>(5).</w:t>
            </w:r>
            <w:r w:rsidRPr="00C9040A">
              <w:rPr>
                <w:rtl/>
              </w:rPr>
              <w:t xml:space="preserve"> في البحار </w:t>
            </w:r>
            <w:r>
              <w:rPr>
                <w:rtl/>
              </w:rPr>
              <w:t>: -</w:t>
            </w:r>
            <w:r w:rsidRPr="00C9040A">
              <w:rPr>
                <w:rtl/>
              </w:rPr>
              <w:t xml:space="preserve"> « قال »</w:t>
            </w:r>
            <w:r>
              <w:rPr>
                <w:rtl/>
              </w:rPr>
              <w:t>.</w:t>
            </w:r>
          </w:p>
        </w:tc>
      </w:tr>
      <w:tr w:rsidR="001B7A0B" w:rsidTr="001B7A0B">
        <w:tc>
          <w:tcPr>
            <w:tcW w:w="4006" w:type="dxa"/>
          </w:tcPr>
          <w:p w:rsidR="001B7A0B" w:rsidRDefault="001B7A0B" w:rsidP="004A4E41">
            <w:pPr>
              <w:pStyle w:val="libFootnote0"/>
              <w:rPr>
                <w:rtl/>
              </w:rPr>
            </w:pPr>
            <w:r>
              <w:rPr>
                <w:rtl/>
              </w:rPr>
              <w:t xml:space="preserve">(6). </w:t>
            </w:r>
            <w:r w:rsidRPr="00C9040A">
              <w:rPr>
                <w:rtl/>
              </w:rPr>
              <w:t xml:space="preserve">في « ب ، بس » </w:t>
            </w:r>
            <w:r>
              <w:rPr>
                <w:rtl/>
              </w:rPr>
              <w:t>: -</w:t>
            </w:r>
            <w:r w:rsidRPr="00C9040A">
              <w:rPr>
                <w:rtl/>
              </w:rPr>
              <w:t xml:space="preserve"> « قال »</w:t>
            </w:r>
            <w:r>
              <w:rPr>
                <w:rtl/>
              </w:rPr>
              <w:t>.</w:t>
            </w:r>
          </w:p>
        </w:tc>
        <w:tc>
          <w:tcPr>
            <w:tcW w:w="4006" w:type="dxa"/>
          </w:tcPr>
          <w:p w:rsidR="001B7A0B" w:rsidRDefault="001B7A0B" w:rsidP="004A4E41">
            <w:pPr>
              <w:pStyle w:val="libFootnote0"/>
              <w:rPr>
                <w:rtl/>
              </w:rPr>
            </w:pPr>
            <w:r>
              <w:rPr>
                <w:rtl/>
              </w:rPr>
              <w:t>(7).</w:t>
            </w:r>
            <w:r w:rsidRPr="00C9040A">
              <w:rPr>
                <w:rtl/>
              </w:rPr>
              <w:t xml:space="preserve"> في «</w:t>
            </w:r>
            <w:r w:rsidR="009D6531">
              <w:rPr>
                <w:rtl/>
              </w:rPr>
              <w:t>ب،ج،ز،ص</w:t>
            </w:r>
            <w:r w:rsidRPr="00C9040A">
              <w:rPr>
                <w:rtl/>
              </w:rPr>
              <w:t>،</w:t>
            </w:r>
            <w:r w:rsidR="009D6531">
              <w:rPr>
                <w:rtl/>
              </w:rPr>
              <w:t>ض،بر،بس»والبحار:</w:t>
            </w:r>
            <w:r>
              <w:rPr>
                <w:rtl/>
              </w:rPr>
              <w:t>-</w:t>
            </w:r>
            <w:r w:rsidRPr="00C9040A">
              <w:rPr>
                <w:rtl/>
              </w:rPr>
              <w:t>« قال »</w:t>
            </w:r>
            <w:r>
              <w:rPr>
                <w:rtl/>
              </w:rPr>
              <w:t>.</w:t>
            </w:r>
          </w:p>
        </w:tc>
      </w:tr>
      <w:tr w:rsidR="001B7A0B" w:rsidTr="001B7A0B">
        <w:tc>
          <w:tcPr>
            <w:tcW w:w="4006" w:type="dxa"/>
          </w:tcPr>
          <w:p w:rsidR="001B7A0B" w:rsidRDefault="009D6531" w:rsidP="004A4E41">
            <w:pPr>
              <w:pStyle w:val="libFootnote0"/>
              <w:rPr>
                <w:rtl/>
              </w:rPr>
            </w:pPr>
            <w:r>
              <w:rPr>
                <w:rtl/>
              </w:rPr>
              <w:t>(8).</w:t>
            </w:r>
            <w:r w:rsidRPr="00C9040A">
              <w:rPr>
                <w:rtl/>
              </w:rPr>
              <w:t xml:space="preserve"> في مرآة العقول : « ما »</w:t>
            </w:r>
            <w:r>
              <w:rPr>
                <w:rtl/>
              </w:rPr>
              <w:t>.</w:t>
            </w:r>
          </w:p>
        </w:tc>
        <w:tc>
          <w:tcPr>
            <w:tcW w:w="4006" w:type="dxa"/>
          </w:tcPr>
          <w:p w:rsidR="001B7A0B" w:rsidRDefault="009D6531" w:rsidP="004A4E41">
            <w:pPr>
              <w:pStyle w:val="libFootnote0"/>
              <w:rPr>
                <w:rtl/>
              </w:rPr>
            </w:pPr>
            <w:r>
              <w:rPr>
                <w:rtl/>
              </w:rPr>
              <w:t>(9).</w:t>
            </w:r>
            <w:r w:rsidRPr="00C9040A">
              <w:rPr>
                <w:rtl/>
              </w:rPr>
              <w:t xml:space="preserve"> في « ب » : « وإيّاكم »</w:t>
            </w:r>
            <w:r>
              <w:rPr>
                <w:rtl/>
              </w:rPr>
              <w:t>.</w:t>
            </w:r>
          </w:p>
        </w:tc>
      </w:tr>
    </w:tbl>
    <w:p w:rsidR="008A74EB" w:rsidRPr="00C9040A" w:rsidRDefault="006C577F" w:rsidP="004A4E41">
      <w:pPr>
        <w:pStyle w:val="libFootnote0"/>
        <w:rPr>
          <w:rtl/>
          <w:lang w:bidi="fa-IR"/>
        </w:rPr>
      </w:pPr>
      <w:r>
        <w:rPr>
          <w:rtl/>
        </w:rPr>
        <w:t>(10).</w:t>
      </w:r>
      <w:r w:rsidR="008A74EB" w:rsidRPr="00C9040A">
        <w:rPr>
          <w:rtl/>
        </w:rPr>
        <w:t xml:space="preserve"> في « ص ، بس » وحاشية « ض ، بر » : « يتفلّت »</w:t>
      </w:r>
      <w:r w:rsidR="008A74EB">
        <w:rPr>
          <w:rtl/>
        </w:rPr>
        <w:t>.</w:t>
      </w:r>
      <w:r w:rsidR="008A74EB" w:rsidRPr="00C9040A">
        <w:rPr>
          <w:rtl/>
        </w:rPr>
        <w:t xml:space="preserve"> وفي « بف » والوافي : « يُفلت »</w:t>
      </w:r>
      <w:r w:rsidR="008A74EB">
        <w:rPr>
          <w:rtl/>
        </w:rPr>
        <w:t>.</w:t>
      </w:r>
      <w:r w:rsidR="008A74EB" w:rsidRPr="00C9040A">
        <w:rPr>
          <w:rtl/>
        </w:rPr>
        <w:t xml:space="preserve"> والإفلات والتفلّت والانفلات بمعنى التخلّص من الشي‌ء فجأة. وفيه ترغيب في إمساك ما لهم من أدنى الإسلام وحفظه ، وتحذير من الغفلة عنه وتفلّته ، فإنّ تفلّته يوجب الدخول في الكفر. راجع : </w:t>
      </w:r>
      <w:r w:rsidR="008A74EB" w:rsidRPr="00993B55">
        <w:rPr>
          <w:rStyle w:val="libFootnoteBoldChar"/>
          <w:rtl/>
        </w:rPr>
        <w:t>شرح المازندراني</w:t>
      </w:r>
      <w:r w:rsidR="008A74EB" w:rsidRPr="00C9040A">
        <w:rPr>
          <w:rtl/>
        </w:rPr>
        <w:t xml:space="preserve"> ، ج 8 ، ص 161 ؛ </w:t>
      </w:r>
      <w:r w:rsidR="008A74EB" w:rsidRPr="00993B55">
        <w:rPr>
          <w:rStyle w:val="libFootnoteBoldChar"/>
          <w:rtl/>
        </w:rPr>
        <w:t>لسان العرب</w:t>
      </w:r>
      <w:r w:rsidR="008A74EB" w:rsidRPr="00C9040A">
        <w:rPr>
          <w:rtl/>
        </w:rPr>
        <w:t xml:space="preserve"> ، ج 2 ، ص 66 ( فلت )</w:t>
      </w:r>
      <w:r w:rsidR="008A74EB">
        <w:rPr>
          <w:rtl/>
        </w:rPr>
        <w:t>.</w:t>
      </w:r>
      <w:r w:rsidR="003C247E">
        <w:rPr>
          <w:rFonts w:hint="cs"/>
          <w:rtl/>
        </w:rPr>
        <w:t xml:space="preserve">                                     </w:t>
      </w:r>
      <w:r>
        <w:rPr>
          <w:rtl/>
        </w:rPr>
        <w:t>(11).</w:t>
      </w:r>
      <w:r w:rsidR="008A74EB" w:rsidRPr="00C9040A">
        <w:rPr>
          <w:rtl/>
        </w:rPr>
        <w:t xml:space="preserve"> في « ب » : « أيدكم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w:t>
      </w:r>
      <w:r w:rsidR="008A74EB" w:rsidRPr="00993B55">
        <w:rPr>
          <w:rStyle w:val="libFootnoteBoldChar"/>
          <w:rtl/>
        </w:rPr>
        <w:t>تحف العقول</w:t>
      </w:r>
      <w:r w:rsidR="008A74EB" w:rsidRPr="00C9040A">
        <w:rPr>
          <w:rtl/>
        </w:rPr>
        <w:t xml:space="preserve"> ، ص 358 ، إلى قوله : « فما ا</w:t>
      </w:r>
      <w:r w:rsidR="003C247E">
        <w:rPr>
          <w:rFonts w:hint="cs"/>
          <w:rtl/>
        </w:rPr>
        <w:t>ُ</w:t>
      </w:r>
      <w:r w:rsidR="008A74EB" w:rsidRPr="00C9040A">
        <w:rPr>
          <w:rtl/>
        </w:rPr>
        <w:t>وتي الناس أقلّ من اليقين » مع اختلاف</w:t>
      </w:r>
      <w:r w:rsidR="003C247E">
        <w:rPr>
          <w:rFonts w:hint="cs"/>
          <w:rtl/>
        </w:rPr>
        <w:t>.</w:t>
      </w:r>
      <w:r w:rsidR="008A74EB" w:rsidRPr="00993B55">
        <w:rPr>
          <w:rStyle w:val="libFootnoteBoldChar"/>
          <w:rtl/>
        </w:rPr>
        <w:t>الوافي</w:t>
      </w:r>
      <w:r w:rsidR="008A74EB" w:rsidRPr="00C9040A">
        <w:rPr>
          <w:rtl/>
        </w:rPr>
        <w:t xml:space="preserve"> ، ج 4 ، ص 145 ، ح 1738 ؛ </w:t>
      </w:r>
      <w:r w:rsidR="008A74EB" w:rsidRPr="00993B55">
        <w:rPr>
          <w:rStyle w:val="libFootnoteBoldChar"/>
          <w:rtl/>
        </w:rPr>
        <w:t>البحار</w:t>
      </w:r>
      <w:r w:rsidR="008A74EB" w:rsidRPr="00C9040A">
        <w:rPr>
          <w:rtl/>
        </w:rPr>
        <w:t xml:space="preserve"> ، ج 70 ، ص 137 ، ح 3.</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lastRenderedPageBreak/>
        <w:t xml:space="preserve">فَقَالَ : « قَالَ أَبُو جَعْفَرٍ </w:t>
      </w:r>
      <w:r w:rsidRPr="0003660B">
        <w:rPr>
          <w:rStyle w:val="libAlaemChar"/>
          <w:rtl/>
        </w:rPr>
        <w:t>عليه‌السلام</w:t>
      </w:r>
      <w:r w:rsidRPr="00C9040A">
        <w:rPr>
          <w:rtl/>
          <w:lang w:bidi="fa-IR"/>
        </w:rPr>
        <w:t xml:space="preserve"> : إِنَّمَا هُوَ الْإِسْلَامُ ، وَالْإِيمَانُ فَوْقَهُ بِدَرَجَةٍ ، وَالتَّقْوى فَوْقَ الْإِيمَانِ بِدَرَجَةٍ ، وَالْيَقِينُ فَوْقَ التَّقْوى بِدَرَجَةٍ ، وَلَمْ يُقْسَمْ بَيْنَ النَّاسِ شَيْ‌ءٌ أَقَلُّ مِنَ الْيَقِينِ »</w:t>
      </w:r>
      <w:r>
        <w:rPr>
          <w:rtl/>
          <w:lang w:bidi="fa-IR"/>
        </w:rPr>
        <w:t>.</w:t>
      </w:r>
    </w:p>
    <w:p w:rsidR="008A74EB" w:rsidRPr="00C9040A" w:rsidRDefault="008A74EB" w:rsidP="008A74EB">
      <w:pPr>
        <w:pStyle w:val="libNormal"/>
        <w:rPr>
          <w:rtl/>
          <w:lang w:bidi="fa-IR"/>
        </w:rPr>
      </w:pPr>
      <w:r w:rsidRPr="00C9040A">
        <w:rPr>
          <w:rtl/>
          <w:lang w:bidi="fa-IR"/>
        </w:rPr>
        <w:t>قَالَ : قُلْتُ : فَأَيُّ شَيْ‌ءٍ الْيَقِينُ</w:t>
      </w:r>
      <w:r>
        <w:rPr>
          <w:rtl/>
          <w:lang w:bidi="fa-IR"/>
        </w:rPr>
        <w:t>؟</w:t>
      </w:r>
    </w:p>
    <w:p w:rsidR="008A74EB" w:rsidRPr="00C9040A" w:rsidRDefault="008A74EB" w:rsidP="008A74EB">
      <w:pPr>
        <w:pStyle w:val="libNormal"/>
        <w:rPr>
          <w:rtl/>
          <w:lang w:bidi="fa-IR"/>
        </w:rPr>
      </w:pPr>
      <w:r w:rsidRPr="00C9040A">
        <w:rPr>
          <w:rtl/>
          <w:lang w:bidi="fa-IR"/>
        </w:rPr>
        <w:t xml:space="preserve">قَالَ : « التَّوَكُّلُ عَلَى اللهِ ، وَالتَّسْلِيمُ لِلّهِ ، وَالرِّضَا بِقَضَاءِ اللهِ ، وَالتَّفْوِيضُ إِلَى اللهِ </w:t>
      </w:r>
      <w:r w:rsidR="006C577F" w:rsidRPr="006C577F">
        <w:rPr>
          <w:rStyle w:val="libFootnotenumChar"/>
          <w:rtl/>
        </w:rPr>
        <w:t>(1)</w:t>
      </w:r>
      <w:r w:rsidRPr="00C9040A">
        <w:rPr>
          <w:rtl/>
          <w:lang w:bidi="fa-IR"/>
        </w:rPr>
        <w:t>»</w:t>
      </w:r>
      <w:r>
        <w:rPr>
          <w:rtl/>
          <w:lang w:bidi="fa-IR"/>
        </w:rPr>
        <w:t>.</w:t>
      </w:r>
    </w:p>
    <w:p w:rsidR="008A74EB" w:rsidRPr="00C9040A" w:rsidRDefault="008A74EB" w:rsidP="008A74EB">
      <w:pPr>
        <w:pStyle w:val="libNormal"/>
        <w:rPr>
          <w:rtl/>
          <w:lang w:bidi="fa-IR"/>
        </w:rPr>
      </w:pPr>
      <w:r w:rsidRPr="00C9040A">
        <w:rPr>
          <w:rtl/>
          <w:lang w:bidi="fa-IR"/>
        </w:rPr>
        <w:t>قُلْتُ : فَمَا تَفْسِيرُ ذلِكَ</w:t>
      </w:r>
      <w:r>
        <w:rPr>
          <w:rtl/>
          <w:lang w:bidi="fa-IR"/>
        </w:rPr>
        <w:t>؟</w:t>
      </w:r>
      <w:r w:rsidRPr="00C9040A">
        <w:rPr>
          <w:rtl/>
          <w:lang w:bidi="fa-IR"/>
        </w:rPr>
        <w:t xml:space="preserve"> قَالَ : « هكَذَا قَالَ أَبُو جَعْفَرٍ </w:t>
      </w:r>
      <w:r w:rsidRPr="0003660B">
        <w:rPr>
          <w:rStyle w:val="libAlaemChar"/>
          <w:rtl/>
        </w:rPr>
        <w:t>عليه‌السلام</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22388B">
        <w:rPr>
          <w:rtl/>
        </w:rPr>
        <w:t>1550</w:t>
      </w:r>
      <w:r w:rsidRPr="00261CB0">
        <w:rPr>
          <w:rStyle w:val="libBold2Char"/>
          <w:rtl/>
        </w:rPr>
        <w:t xml:space="preserve"> / 6.</w:t>
      </w:r>
      <w:r w:rsidRPr="00C9040A">
        <w:rPr>
          <w:rtl/>
          <w:lang w:bidi="fa-IR"/>
        </w:rPr>
        <w:t xml:space="preserve"> مُحَمَّدُ بْنُ يَحْيى ، عَنْ أَحْمَدَ بْنِ مُحَمَّدِ بْنِ عِيسى ، عَنْ أَحْمَدَ ب</w:t>
      </w:r>
      <w:r w:rsidR="004C5EED">
        <w:rPr>
          <w:rtl/>
          <w:lang w:bidi="fa-IR"/>
        </w:rPr>
        <w:t>ْنِ مُحَمَّدِ بْنِ أَبِي نَصْرٍ</w:t>
      </w:r>
      <w:r w:rsidRPr="00C9040A">
        <w:rPr>
          <w:rtl/>
          <w:lang w:bidi="fa-IR"/>
        </w:rPr>
        <w:t>:</w:t>
      </w:r>
    </w:p>
    <w:p w:rsidR="008A74EB" w:rsidRPr="00C9040A" w:rsidRDefault="008A74EB" w:rsidP="008A74EB">
      <w:pPr>
        <w:pStyle w:val="libNormal"/>
        <w:rPr>
          <w:rtl/>
          <w:lang w:bidi="fa-IR"/>
        </w:rPr>
      </w:pPr>
      <w:r w:rsidRPr="00C9040A">
        <w:rPr>
          <w:rtl/>
          <w:lang w:bidi="fa-IR"/>
        </w:rPr>
        <w:t xml:space="preserve">عَنِ الرِّضَا </w:t>
      </w:r>
      <w:r w:rsidRPr="0003660B">
        <w:rPr>
          <w:rStyle w:val="libAlaemChar"/>
          <w:rtl/>
        </w:rPr>
        <w:t>عليه‌السلام</w:t>
      </w:r>
      <w:r w:rsidRPr="00C9040A">
        <w:rPr>
          <w:rtl/>
          <w:lang w:bidi="fa-IR"/>
        </w:rPr>
        <w:t xml:space="preserve"> ، قَالَ : « الْإِيمَانُ فَوْقَ الْإِسْلَامِ بِدَرَجَةٍ ، وَالتَّقْوى فَوْقَ الْإِيمَانِ بِدَرَجَةٍ ، وَالْيَقِينُ فَوْقَ التَّقْوى بِدَرَجَةٍ </w:t>
      </w:r>
      <w:r w:rsidR="006C577F" w:rsidRPr="006C577F">
        <w:rPr>
          <w:rStyle w:val="libFootnotenumChar"/>
          <w:rtl/>
        </w:rPr>
        <w:t>(3)</w:t>
      </w:r>
      <w:r w:rsidRPr="00C9040A">
        <w:rPr>
          <w:rtl/>
          <w:lang w:bidi="fa-IR"/>
        </w:rPr>
        <w:t xml:space="preserve"> ، وَلَمْ يُقْسَمْ </w:t>
      </w:r>
      <w:r w:rsidR="006C577F" w:rsidRPr="006C577F">
        <w:rPr>
          <w:rStyle w:val="libFootnotenumChar"/>
          <w:rtl/>
        </w:rPr>
        <w:t>(4)</w:t>
      </w:r>
      <w:r w:rsidRPr="00C9040A">
        <w:rPr>
          <w:rtl/>
          <w:lang w:bidi="fa-IR"/>
        </w:rPr>
        <w:t xml:space="preserve"> بَيْنَ </w:t>
      </w:r>
      <w:r w:rsidR="006C577F" w:rsidRPr="006C577F">
        <w:rPr>
          <w:rStyle w:val="libFootnotenumChar"/>
          <w:rtl/>
        </w:rPr>
        <w:t>(5)</w:t>
      </w:r>
      <w:r w:rsidRPr="00C9040A">
        <w:rPr>
          <w:rtl/>
          <w:lang w:bidi="fa-IR"/>
        </w:rPr>
        <w:t xml:space="preserve"> الْعِبَادِ </w:t>
      </w:r>
      <w:r w:rsidR="006C577F" w:rsidRPr="006C577F">
        <w:rPr>
          <w:rStyle w:val="libFootnotenumChar"/>
          <w:rtl/>
        </w:rPr>
        <w:t>(6)</w:t>
      </w:r>
      <w:r w:rsidRPr="005B567D">
        <w:rPr>
          <w:rStyle w:val="libFootnotenumChar"/>
          <w:rtl/>
        </w:rPr>
        <w:t xml:space="preserve"> </w:t>
      </w:r>
      <w:r w:rsidRPr="00C9040A">
        <w:rPr>
          <w:rtl/>
          <w:lang w:bidi="fa-IR"/>
        </w:rPr>
        <w:t>شَيْ‌ءٌ أَقَلُّ مِنَ الْيَقِينِ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Heading2Center"/>
        <w:rPr>
          <w:rtl/>
          <w:lang w:bidi="fa-IR"/>
        </w:rPr>
      </w:pPr>
      <w:bookmarkStart w:id="91" w:name="_Toc343795618"/>
      <w:bookmarkStart w:id="92" w:name="_Toc459810742"/>
      <w:bookmarkStart w:id="93" w:name="_Toc35348648"/>
      <w:r w:rsidRPr="00C9040A">
        <w:rPr>
          <w:rtl/>
          <w:lang w:bidi="fa-IR"/>
        </w:rPr>
        <w:t>27</w:t>
      </w:r>
      <w:r>
        <w:rPr>
          <w:rtl/>
          <w:lang w:bidi="fa-IR"/>
        </w:rPr>
        <w:t xml:space="preserve"> </w:t>
      </w:r>
      <w:r w:rsidR="0084262C">
        <w:rPr>
          <w:rtl/>
          <w:lang w:bidi="fa-IR"/>
        </w:rPr>
        <w:t>-</w:t>
      </w:r>
      <w:r>
        <w:rPr>
          <w:rtl/>
          <w:lang w:bidi="fa-IR"/>
        </w:rPr>
        <w:t xml:space="preserve"> </w:t>
      </w:r>
      <w:r w:rsidRPr="00C9040A">
        <w:rPr>
          <w:rtl/>
          <w:lang w:bidi="fa-IR"/>
        </w:rPr>
        <w:t>بَابُ حَقِيقَةِ الْإِيمَانِ وَالْيَقِينِ‌</w:t>
      </w:r>
      <w:bookmarkEnd w:id="91"/>
      <w:bookmarkEnd w:id="92"/>
      <w:bookmarkEnd w:id="93"/>
    </w:p>
    <w:p w:rsidR="008A74EB" w:rsidRPr="00C9040A" w:rsidRDefault="008A74EB" w:rsidP="008A74EB">
      <w:pPr>
        <w:pStyle w:val="libNormal"/>
        <w:rPr>
          <w:rtl/>
          <w:lang w:bidi="fa-IR"/>
        </w:rPr>
      </w:pPr>
      <w:r w:rsidRPr="0022388B">
        <w:rPr>
          <w:rtl/>
        </w:rPr>
        <w:t>1551</w:t>
      </w:r>
      <w:r w:rsidRPr="00261CB0">
        <w:rPr>
          <w:rStyle w:val="libBold2Char"/>
          <w:rtl/>
        </w:rPr>
        <w:t xml:space="preserve"> / 1.</w:t>
      </w:r>
      <w:r w:rsidRPr="00C9040A">
        <w:rPr>
          <w:rtl/>
          <w:lang w:bidi="fa-IR"/>
        </w:rPr>
        <w:t xml:space="preserve"> عِدَّةٌ مِنْ أَصْحَابِنَا ، عَنْ أَحْمَدَ بْنِ مُحَمَّدِ بْنِ خَالِدٍ ، عَنْ مُحَمَّدِ بْنِ إِسْمَاعِيلَ بْنِ بَزِيعٍ ، عَنْ مُحَمَّدِ بْنِ عُذَافِرٍ ، عَنْ أَبِيهِ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بَيْنَا رَسُولُ اللهِ </w:t>
      </w:r>
      <w:r w:rsidR="004A4E41" w:rsidRPr="004A4E41">
        <w:rPr>
          <w:rStyle w:val="libAlaemChar"/>
          <w:rtl/>
        </w:rPr>
        <w:t>صلى‌الله‌عليه‌وآله</w:t>
      </w:r>
      <w:r w:rsidRPr="00C9040A">
        <w:rPr>
          <w:rtl/>
          <w:lang w:bidi="fa-IR"/>
        </w:rPr>
        <w:t xml:space="preserve"> فِي بَعْضِ أَسْفَارِهِ إِذْ </w:t>
      </w:r>
      <w:r w:rsidR="006C577F" w:rsidRPr="006C577F">
        <w:rPr>
          <w:rStyle w:val="libFootnotenumChar"/>
          <w:rtl/>
        </w:rPr>
        <w:t>(8)</w:t>
      </w:r>
      <w:r w:rsidRPr="00C9040A">
        <w:rPr>
          <w:rtl/>
          <w:lang w:bidi="fa-IR"/>
        </w:rPr>
        <w:t xml:space="preserve"> لَقِيَهُ رَكْبٌ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 ف » : + « قال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التمحيص</w:t>
      </w:r>
      <w:r w:rsidR="008A74EB" w:rsidRPr="00C9040A">
        <w:rPr>
          <w:rtl/>
        </w:rPr>
        <w:t xml:space="preserve"> ، ص 63 ، ح 145 ، عن يونس</w:t>
      </w:r>
      <w:r w:rsidR="00816477">
        <w:rPr>
          <w:rFonts w:hint="cs"/>
          <w:rtl/>
        </w:rPr>
        <w:t>.</w:t>
      </w:r>
      <w:r w:rsidR="008A74EB" w:rsidRPr="00993B55">
        <w:rPr>
          <w:rStyle w:val="libFootnoteBoldChar"/>
          <w:rtl/>
        </w:rPr>
        <w:t>الوافي</w:t>
      </w:r>
      <w:r w:rsidR="008A74EB" w:rsidRPr="00C9040A">
        <w:rPr>
          <w:rtl/>
        </w:rPr>
        <w:t xml:space="preserve"> ، ج 4 ، ص 145 ح 1737 ؛ </w:t>
      </w:r>
      <w:r w:rsidR="008A74EB" w:rsidRPr="00993B55">
        <w:rPr>
          <w:rStyle w:val="libFootnoteBoldChar"/>
          <w:rtl/>
        </w:rPr>
        <w:t>البحار</w:t>
      </w:r>
      <w:r w:rsidR="008A74EB" w:rsidRPr="00C9040A">
        <w:rPr>
          <w:rtl/>
        </w:rPr>
        <w:t xml:space="preserve"> ، ج 70 ، ص 138 ، ح 4 ، إلى قوله : « والتقوى فوق الإيمان بدرجة »</w:t>
      </w:r>
      <w:r w:rsidR="008A74EB">
        <w:rPr>
          <w:rtl/>
        </w:rPr>
        <w:t>.</w:t>
      </w:r>
      <w:r w:rsidR="00816477">
        <w:rPr>
          <w:rFonts w:hint="cs"/>
          <w:rtl/>
        </w:rPr>
        <w:t xml:space="preserve">           </w:t>
      </w:r>
      <w:r>
        <w:rPr>
          <w:rtl/>
        </w:rPr>
        <w:t>(3).</w:t>
      </w:r>
      <w:r w:rsidR="00816477">
        <w:rPr>
          <w:rtl/>
        </w:rPr>
        <w:t xml:space="preserve"> في«ب»:</w:t>
      </w:r>
      <w:r w:rsidR="0084262C">
        <w:rPr>
          <w:rtl/>
        </w:rPr>
        <w:t>-</w:t>
      </w:r>
      <w:r w:rsidR="00816477">
        <w:rPr>
          <w:rtl/>
        </w:rPr>
        <w:t>«واليقين فوق التقوى</w:t>
      </w:r>
      <w:r w:rsidR="00816477">
        <w:rPr>
          <w:rFonts w:hint="cs"/>
          <w:rtl/>
        </w:rPr>
        <w:t xml:space="preserve"> </w:t>
      </w:r>
      <w:r w:rsidR="00816477">
        <w:rPr>
          <w:rtl/>
        </w:rPr>
        <w:t>بدرجة</w:t>
      </w:r>
      <w:r w:rsidR="008A74EB" w:rsidRPr="00C9040A">
        <w:rPr>
          <w:rtl/>
        </w:rPr>
        <w:t>»</w:t>
      </w:r>
      <w:r w:rsidR="008A74EB">
        <w:rPr>
          <w:rtl/>
        </w:rPr>
        <w:t>.</w:t>
      </w:r>
    </w:p>
    <w:p w:rsidR="008A74EB" w:rsidRPr="004A4E41" w:rsidRDefault="006C577F" w:rsidP="004A4E41">
      <w:pPr>
        <w:pStyle w:val="libFootnote0"/>
        <w:rPr>
          <w:rStyle w:val="libFootnote0Char"/>
          <w:rtl/>
        </w:rPr>
      </w:pPr>
      <w:r>
        <w:rPr>
          <w:rtl/>
        </w:rPr>
        <w:t>(4).</w:t>
      </w:r>
      <w:r w:rsidR="008A74EB" w:rsidRPr="00C9040A">
        <w:rPr>
          <w:rtl/>
        </w:rPr>
        <w:t xml:space="preserve"> في « ف » : « فلم يقسم »</w:t>
      </w:r>
      <w:r w:rsidR="008A74EB">
        <w:rPr>
          <w:rtl/>
        </w:rPr>
        <w:t>.</w:t>
      </w:r>
      <w:r w:rsidR="008A74EB" w:rsidRPr="00C9040A">
        <w:rPr>
          <w:rtl/>
        </w:rPr>
        <w:t xml:space="preserve"> وفي الوافي : « ما قسّم »</w:t>
      </w:r>
      <w:r w:rsidR="008A74EB">
        <w:rPr>
          <w:rtl/>
        </w:rPr>
        <w:t>.</w:t>
      </w:r>
    </w:p>
    <w:tbl>
      <w:tblPr>
        <w:tblStyle w:val="TableGrid"/>
        <w:bidiVisual/>
        <w:tblW w:w="0" w:type="auto"/>
        <w:tblLook w:val="04A0" w:firstRow="1" w:lastRow="0" w:firstColumn="1" w:lastColumn="0" w:noHBand="0" w:noVBand="1"/>
      </w:tblPr>
      <w:tblGrid>
        <w:gridCol w:w="4006"/>
        <w:gridCol w:w="4006"/>
      </w:tblGrid>
      <w:tr w:rsidR="00062B67" w:rsidTr="00062B67">
        <w:tc>
          <w:tcPr>
            <w:tcW w:w="4006" w:type="dxa"/>
          </w:tcPr>
          <w:p w:rsidR="00062B67" w:rsidRDefault="00062B67" w:rsidP="004A4E41">
            <w:pPr>
              <w:pStyle w:val="libFootnote0"/>
              <w:rPr>
                <w:rtl/>
              </w:rPr>
            </w:pPr>
            <w:r>
              <w:rPr>
                <w:rtl/>
              </w:rPr>
              <w:t>(5).</w:t>
            </w:r>
            <w:r w:rsidRPr="00C9040A">
              <w:rPr>
                <w:rtl/>
              </w:rPr>
              <w:t xml:space="preserve"> في الوافي : « في »</w:t>
            </w:r>
            <w:r>
              <w:rPr>
                <w:rtl/>
              </w:rPr>
              <w:t>.</w:t>
            </w:r>
          </w:p>
        </w:tc>
        <w:tc>
          <w:tcPr>
            <w:tcW w:w="4006" w:type="dxa"/>
          </w:tcPr>
          <w:p w:rsidR="00062B67" w:rsidRDefault="00627A60" w:rsidP="004A4E41">
            <w:pPr>
              <w:pStyle w:val="libFootnote0"/>
              <w:rPr>
                <w:rtl/>
              </w:rPr>
            </w:pPr>
            <w:r>
              <w:rPr>
                <w:rtl/>
              </w:rPr>
              <w:t xml:space="preserve">(6). </w:t>
            </w:r>
            <w:r w:rsidRPr="00C9040A">
              <w:rPr>
                <w:rtl/>
              </w:rPr>
              <w:t>في « د ، بر » والوافي : « الناس »</w:t>
            </w:r>
            <w:r>
              <w:rPr>
                <w:rtl/>
              </w:rPr>
              <w:t>.</w:t>
            </w:r>
          </w:p>
        </w:tc>
      </w:tr>
    </w:tbl>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الوافي</w:t>
      </w:r>
      <w:r w:rsidR="008A74EB" w:rsidRPr="00C9040A">
        <w:rPr>
          <w:rtl/>
        </w:rPr>
        <w:t xml:space="preserve"> ، ج 4 ، ص 145 ، ح 1736 ؛ </w:t>
      </w:r>
      <w:r w:rsidR="008A74EB" w:rsidRPr="00993B55">
        <w:rPr>
          <w:rStyle w:val="libFootnoteBoldChar"/>
          <w:rtl/>
        </w:rPr>
        <w:t>البحار</w:t>
      </w:r>
      <w:r w:rsidR="008A74EB" w:rsidRPr="00C9040A">
        <w:rPr>
          <w:rtl/>
        </w:rPr>
        <w:t xml:space="preserve"> ، ج 70 ، ص 139 ، ح 5.</w:t>
      </w:r>
    </w:p>
    <w:p w:rsidR="008A74EB" w:rsidRPr="00C9040A" w:rsidRDefault="006C577F" w:rsidP="004A4E41">
      <w:pPr>
        <w:pStyle w:val="libFootnote0"/>
        <w:rPr>
          <w:rtl/>
          <w:lang w:bidi="fa-IR"/>
        </w:rPr>
      </w:pPr>
      <w:r>
        <w:rPr>
          <w:rtl/>
        </w:rPr>
        <w:t>(8).</w:t>
      </w:r>
      <w:r w:rsidR="008A74EB" w:rsidRPr="00C9040A">
        <w:rPr>
          <w:rtl/>
        </w:rPr>
        <w:t xml:space="preserve"> في المحاسن : « إذا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فَقَالُوا : السَّلَامُ عَلَيْكَ يَا رَسُولَ اللهِ ، فَقَالَ </w:t>
      </w:r>
      <w:r w:rsidR="006C577F" w:rsidRPr="006C577F">
        <w:rPr>
          <w:rStyle w:val="libFootnotenumChar"/>
          <w:rtl/>
        </w:rPr>
        <w:t>(1)</w:t>
      </w:r>
      <w:r w:rsidRPr="001E6F92">
        <w:rPr>
          <w:rFonts w:hint="cs"/>
          <w:rtl/>
        </w:rPr>
        <w:t xml:space="preserve"> </w:t>
      </w:r>
      <w:r w:rsidRPr="00C9040A">
        <w:rPr>
          <w:rtl/>
          <w:lang w:bidi="fa-IR"/>
        </w:rPr>
        <w:t>: مَا أَنْتُمْ</w:t>
      </w:r>
      <w:r>
        <w:rPr>
          <w:rtl/>
          <w:lang w:bidi="fa-IR"/>
        </w:rPr>
        <w:t>؟</w:t>
      </w:r>
      <w:r w:rsidRPr="00C9040A">
        <w:rPr>
          <w:rtl/>
          <w:lang w:bidi="fa-IR"/>
        </w:rPr>
        <w:t xml:space="preserve"> فَقَالُوا </w:t>
      </w:r>
      <w:r w:rsidR="006C577F" w:rsidRPr="006C577F">
        <w:rPr>
          <w:rStyle w:val="libFootnotenumChar"/>
          <w:rtl/>
        </w:rPr>
        <w:t>(2)</w:t>
      </w:r>
      <w:r w:rsidRPr="00C9040A">
        <w:rPr>
          <w:rtl/>
          <w:lang w:bidi="fa-IR"/>
        </w:rPr>
        <w:t xml:space="preserve"> : نَحْنُ </w:t>
      </w:r>
      <w:r w:rsidR="006C577F" w:rsidRPr="006C577F">
        <w:rPr>
          <w:rStyle w:val="libFootnotenumChar"/>
          <w:rtl/>
        </w:rPr>
        <w:t>(3)</w:t>
      </w:r>
      <w:r w:rsidRPr="00C9040A">
        <w:rPr>
          <w:rtl/>
          <w:lang w:bidi="fa-IR"/>
        </w:rPr>
        <w:t xml:space="preserve"> مُؤْمِنُونَ يَا رَسُولَ اللهِ ، قَالَ </w:t>
      </w:r>
      <w:r w:rsidR="006C577F" w:rsidRPr="006C577F">
        <w:rPr>
          <w:rStyle w:val="libFootnotenumChar"/>
          <w:rtl/>
        </w:rPr>
        <w:t>(4)</w:t>
      </w:r>
      <w:r w:rsidRPr="00C9040A">
        <w:rPr>
          <w:rtl/>
          <w:lang w:bidi="fa-IR"/>
        </w:rPr>
        <w:t xml:space="preserve"> : فَمَا حَقِيقَةُ إِيمَانِكُمْ</w:t>
      </w:r>
      <w:r>
        <w:rPr>
          <w:rtl/>
          <w:lang w:bidi="fa-IR"/>
        </w:rPr>
        <w:t>؟</w:t>
      </w:r>
      <w:r w:rsidRPr="00C9040A">
        <w:rPr>
          <w:rtl/>
          <w:lang w:bidi="fa-IR"/>
        </w:rPr>
        <w:t xml:space="preserve"> قَالُوا : الرِّضَا بِقَضَاءِ اللهِ </w:t>
      </w:r>
      <w:r w:rsidR="006C577F" w:rsidRPr="006C577F">
        <w:rPr>
          <w:rStyle w:val="libFootnotenumChar"/>
          <w:rtl/>
        </w:rPr>
        <w:t>(5)</w:t>
      </w:r>
      <w:r w:rsidRPr="00C9040A">
        <w:rPr>
          <w:rtl/>
          <w:lang w:bidi="fa-IR"/>
        </w:rPr>
        <w:t xml:space="preserve"> ، وَالتَّفْوِيضُ إِلَى اللهِ ، وَالتَّسْلِيمُ </w:t>
      </w:r>
      <w:r w:rsidR="006C577F" w:rsidRPr="006C577F">
        <w:rPr>
          <w:rStyle w:val="libFootnotenumChar"/>
          <w:rtl/>
        </w:rPr>
        <w:t>(6)</w:t>
      </w:r>
      <w:r w:rsidRPr="00C9040A">
        <w:rPr>
          <w:rtl/>
          <w:lang w:bidi="fa-IR"/>
        </w:rPr>
        <w:t>لِأَمْرِ اللهِ.</w:t>
      </w:r>
    </w:p>
    <w:p w:rsidR="008A74EB" w:rsidRPr="00C9040A" w:rsidRDefault="008A74EB" w:rsidP="008A74EB">
      <w:pPr>
        <w:pStyle w:val="libNormal"/>
        <w:rPr>
          <w:rtl/>
          <w:lang w:bidi="fa-IR"/>
        </w:rPr>
      </w:pPr>
      <w:r w:rsidRPr="00C9040A">
        <w:rPr>
          <w:rtl/>
          <w:lang w:bidi="fa-IR"/>
        </w:rPr>
        <w:t xml:space="preserve">فَقَالَ رَسُولُ اللهِ </w:t>
      </w:r>
      <w:r w:rsidR="004A4E41" w:rsidRPr="004A4E41">
        <w:rPr>
          <w:rStyle w:val="libAlaemChar"/>
          <w:rtl/>
        </w:rPr>
        <w:t>صلى‌الله‌عليه‌وآله</w:t>
      </w:r>
      <w:r w:rsidRPr="00C9040A">
        <w:rPr>
          <w:rtl/>
          <w:lang w:bidi="fa-IR"/>
        </w:rPr>
        <w:t xml:space="preserve"> : عُلَمَاءُ ، حُكَمَاءُ </w:t>
      </w:r>
      <w:r w:rsidR="006C577F" w:rsidRPr="006C577F">
        <w:rPr>
          <w:rStyle w:val="libFootnotenumChar"/>
          <w:rtl/>
        </w:rPr>
        <w:t>(7)</w:t>
      </w:r>
      <w:r w:rsidRPr="00C9040A">
        <w:rPr>
          <w:rtl/>
          <w:lang w:bidi="fa-IR"/>
        </w:rPr>
        <w:t xml:space="preserve"> ، كَادُوا أَنْ يَكُونُوا مِنَ الْحِكْمَةِ أَنْبِيَاءَ ، فَإِنْ كُنْتُمْ صَادِقِينَ فَلَا تَبْنُوا مَا لَاتَسْكُنُونَ ، وَلَا تَجْمَعُوا مَا لَاتَأْكُلُونَ ، وَاتَّقُوا اللهَ الَّذِي إِلَيْهِ تُرْجَعُونَ </w:t>
      </w:r>
      <w:r w:rsidR="006C577F" w:rsidRPr="006C577F">
        <w:rPr>
          <w:rStyle w:val="libFootnotenumChar"/>
          <w:rtl/>
        </w:rPr>
        <w:t>(8)</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(9)</w:t>
      </w:r>
      <w:r w:rsidRPr="00C9040A">
        <w:rPr>
          <w:rtl/>
          <w:lang w:bidi="fa-IR"/>
        </w:rPr>
        <w:t xml:space="preserve"> ‌</w:t>
      </w:r>
    </w:p>
    <w:p w:rsidR="00C4164A" w:rsidRDefault="008A74EB" w:rsidP="00C4164A">
      <w:pPr>
        <w:pStyle w:val="libNormal"/>
        <w:rPr>
          <w:rtl/>
          <w:lang w:bidi="fa-IR"/>
        </w:rPr>
      </w:pPr>
      <w:r w:rsidRPr="0022388B">
        <w:rPr>
          <w:rtl/>
        </w:rPr>
        <w:t>1552</w:t>
      </w:r>
      <w:r w:rsidRPr="00261CB0">
        <w:rPr>
          <w:rStyle w:val="libBold2Char"/>
          <w:rtl/>
        </w:rPr>
        <w:t xml:space="preserve"> / 2.</w:t>
      </w:r>
      <w:r w:rsidRPr="00C9040A">
        <w:rPr>
          <w:rtl/>
          <w:lang w:bidi="fa-IR"/>
        </w:rPr>
        <w:t xml:space="preserve"> مُحَمَّدُ بْنُ يَحْيى ، عَنْ أَحْمَدَ بْنِ مُحَمَّدِ بْنِ عِيسى ؛</w:t>
      </w:r>
    </w:p>
    <w:p w:rsidR="008A74EB" w:rsidRPr="00C9040A" w:rsidRDefault="008A74EB" w:rsidP="00C4164A">
      <w:pPr>
        <w:pStyle w:val="libNormal"/>
        <w:rPr>
          <w:rtl/>
          <w:lang w:bidi="fa-IR"/>
        </w:rPr>
      </w:pPr>
      <w:r w:rsidRPr="00C9040A">
        <w:rPr>
          <w:rtl/>
          <w:lang w:bidi="fa-IR"/>
        </w:rPr>
        <w:t>وَعَلِيُّ بْنُ إِبْرَاهِيمَ ، عَنْ أَبِيهِ جَمِيعاً ، عَنِ ابْنِ مَحْبُوبٍ ، عَنْ أَبِي مُحَمَّدٍ الْوَابِشِيِّ وَإِبْرَاهِيمَ بْنِ مِهْزَمٍ ، عَنْ إِسْحَاقَ بْنِ عَمَّارٍ ، قَالَ :</w:t>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 « إِنَّ رَسُولَ اللهِ </w:t>
      </w:r>
      <w:r w:rsidR="004A4E41" w:rsidRPr="004A4E41">
        <w:rPr>
          <w:rStyle w:val="libAlaemChar"/>
          <w:rtl/>
        </w:rPr>
        <w:t>صلى‌الله‌عليه‌وآله</w:t>
      </w:r>
      <w:r w:rsidRPr="00C9040A">
        <w:rPr>
          <w:rtl/>
          <w:lang w:bidi="fa-IR"/>
        </w:rPr>
        <w:t xml:space="preserve"> صَلّى بِالنَّاسِ الصُّبْحَ ، فَنَظَرَ إِلى شَابٍّ فِي الْمَسْجِدِ ، وَهُوَ </w:t>
      </w:r>
      <w:r w:rsidR="006C577F" w:rsidRPr="006C577F">
        <w:rPr>
          <w:rStyle w:val="libFootnotenumChar"/>
          <w:rtl/>
        </w:rPr>
        <w:t>(10)</w:t>
      </w:r>
      <w:r w:rsidRPr="00C9040A">
        <w:rPr>
          <w:rtl/>
          <w:lang w:bidi="fa-IR"/>
        </w:rPr>
        <w:t xml:space="preserve"> يَخْفِقُ وَيَهْوِي بِرَأْسِهِ </w:t>
      </w:r>
      <w:r w:rsidR="006C577F" w:rsidRPr="006C577F">
        <w:rPr>
          <w:rStyle w:val="libFootnotenumChar"/>
          <w:rtl/>
        </w:rPr>
        <w:t>(11)</w:t>
      </w:r>
      <w:r w:rsidRPr="00C9040A">
        <w:rPr>
          <w:rtl/>
          <w:lang w:bidi="fa-IR"/>
        </w:rPr>
        <w:t xml:space="preserve"> مُصْفَرّاً لَوْنُهُ ، قَدْ </w:t>
      </w:r>
      <w:r w:rsidR="006C577F" w:rsidRPr="006C577F">
        <w:rPr>
          <w:rStyle w:val="libFootnotenumChar"/>
          <w:rtl/>
        </w:rPr>
        <w:t>(12)</w:t>
      </w:r>
      <w:r w:rsidRPr="00C9040A">
        <w:rPr>
          <w:rtl/>
          <w:lang w:bidi="fa-IR"/>
        </w:rPr>
        <w:t xml:space="preserve"> نَحِفَ جِسْمُهُ ، وَغَارَتْ عَيْنَاهُ فِي رَأْسِهِ ، فَقَالَ لَهُ رَسُولُ اللهِ </w:t>
      </w:r>
      <w:r w:rsidR="004A4E41" w:rsidRPr="004A4E41">
        <w:rPr>
          <w:rStyle w:val="libAlaemChar"/>
          <w:rtl/>
        </w:rPr>
        <w:t>صلى‌الله‌عليه‌وآله</w:t>
      </w:r>
      <w:r w:rsidRPr="00C9040A">
        <w:rPr>
          <w:rtl/>
          <w:lang w:bidi="fa-IR"/>
        </w:rPr>
        <w:t xml:space="preserve"> : كَيْفَ أَصْبَحْتَ يَا فُلَانُ</w:t>
      </w:r>
      <w:r>
        <w:rPr>
          <w:rtl/>
          <w:lang w:bidi="fa-IR"/>
        </w:rPr>
        <w:t>؟</w:t>
      </w:r>
      <w:r w:rsidRPr="00C9040A">
        <w:rPr>
          <w:rtl/>
          <w:lang w:bidi="fa-IR"/>
        </w:rPr>
        <w:t xml:space="preserve"> قَالَ </w:t>
      </w:r>
      <w:r w:rsidRPr="005B567D">
        <w:rPr>
          <w:rStyle w:val="libFootnotenumChar"/>
          <w:rtl/>
        </w:rPr>
        <w:t>(13)</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 ض » : « قال »</w:t>
      </w:r>
      <w:r w:rsidR="008A74EB">
        <w:rPr>
          <w:rtl/>
        </w:rPr>
        <w:t>.</w:t>
      </w:r>
    </w:p>
    <w:p w:rsidR="008A74EB" w:rsidRPr="004A4E41" w:rsidRDefault="006C577F" w:rsidP="004A4E41">
      <w:pPr>
        <w:pStyle w:val="libFootnote0"/>
        <w:rPr>
          <w:rStyle w:val="libFootnote0Char"/>
          <w:rtl/>
        </w:rPr>
      </w:pPr>
      <w:r>
        <w:rPr>
          <w:rtl/>
        </w:rPr>
        <w:t>(2).</w:t>
      </w:r>
      <w:r w:rsidR="008A74EB">
        <w:rPr>
          <w:rtl/>
        </w:rPr>
        <w:t xml:space="preserve"> </w:t>
      </w:r>
      <w:r w:rsidR="008A74EB" w:rsidRPr="00C9040A">
        <w:rPr>
          <w:rtl/>
        </w:rPr>
        <w:t>في « ض ، ف ، بف » والمحاسن والخصال والمعاني : « قالوا »</w:t>
      </w:r>
      <w:r w:rsidR="008A74EB">
        <w:rPr>
          <w:rtl/>
        </w:rPr>
        <w:t>.</w:t>
      </w:r>
    </w:p>
    <w:tbl>
      <w:tblPr>
        <w:tblStyle w:val="TableGrid"/>
        <w:bidiVisual/>
        <w:tblW w:w="0" w:type="auto"/>
        <w:tblLook w:val="04A0" w:firstRow="1" w:lastRow="0" w:firstColumn="1" w:lastColumn="0" w:noHBand="0" w:noVBand="1"/>
      </w:tblPr>
      <w:tblGrid>
        <w:gridCol w:w="4006"/>
        <w:gridCol w:w="4006"/>
      </w:tblGrid>
      <w:tr w:rsidR="00C4164A" w:rsidTr="00C4164A">
        <w:tc>
          <w:tcPr>
            <w:tcW w:w="4006" w:type="dxa"/>
          </w:tcPr>
          <w:p w:rsidR="00C4164A" w:rsidRDefault="00C4164A" w:rsidP="004A4E41">
            <w:pPr>
              <w:pStyle w:val="libFootnote0"/>
              <w:rPr>
                <w:rtl/>
              </w:rPr>
            </w:pPr>
            <w:r>
              <w:rPr>
                <w:rtl/>
              </w:rPr>
              <w:t>(3).</w:t>
            </w:r>
            <w:r w:rsidRPr="00C9040A">
              <w:rPr>
                <w:rtl/>
              </w:rPr>
              <w:t xml:space="preserve"> في « ب » والوافي : + « قوم »</w:t>
            </w:r>
            <w:r>
              <w:rPr>
                <w:rtl/>
              </w:rPr>
              <w:t>.</w:t>
            </w:r>
          </w:p>
        </w:tc>
        <w:tc>
          <w:tcPr>
            <w:tcW w:w="4006" w:type="dxa"/>
          </w:tcPr>
          <w:p w:rsidR="00C4164A" w:rsidRDefault="00C4164A" w:rsidP="004A4E41">
            <w:pPr>
              <w:pStyle w:val="libFootnote0"/>
              <w:rPr>
                <w:rtl/>
              </w:rPr>
            </w:pPr>
            <w:r>
              <w:rPr>
                <w:rtl/>
              </w:rPr>
              <w:t>(4).</w:t>
            </w:r>
            <w:r w:rsidRPr="00C9040A">
              <w:rPr>
                <w:rtl/>
              </w:rPr>
              <w:t xml:space="preserve"> في « ج » : « فقال »</w:t>
            </w:r>
            <w:r>
              <w:rPr>
                <w:rtl/>
              </w:rPr>
              <w:t>.</w:t>
            </w:r>
          </w:p>
        </w:tc>
      </w:tr>
      <w:tr w:rsidR="00C4164A" w:rsidTr="00C4164A">
        <w:tc>
          <w:tcPr>
            <w:tcW w:w="4006" w:type="dxa"/>
          </w:tcPr>
          <w:p w:rsidR="00C4164A" w:rsidRDefault="00C4164A" w:rsidP="004A4E41">
            <w:pPr>
              <w:pStyle w:val="libFootnote0"/>
              <w:rPr>
                <w:rtl/>
              </w:rPr>
            </w:pPr>
            <w:r>
              <w:rPr>
                <w:rtl/>
              </w:rPr>
              <w:t>(5).</w:t>
            </w:r>
            <w:r w:rsidRPr="00C9040A">
              <w:rPr>
                <w:rtl/>
              </w:rPr>
              <w:t xml:space="preserve"> في « ف » : « بالقضاء » بدون الله.</w:t>
            </w:r>
          </w:p>
        </w:tc>
        <w:tc>
          <w:tcPr>
            <w:tcW w:w="4006" w:type="dxa"/>
          </w:tcPr>
          <w:p w:rsidR="00C4164A" w:rsidRDefault="00E16B08" w:rsidP="004A4E41">
            <w:pPr>
              <w:pStyle w:val="libFootnote0"/>
              <w:rPr>
                <w:rtl/>
              </w:rPr>
            </w:pPr>
            <w:r>
              <w:rPr>
                <w:rtl/>
              </w:rPr>
              <w:t xml:space="preserve">(6). </w:t>
            </w:r>
            <w:r w:rsidRPr="00C9040A">
              <w:rPr>
                <w:rtl/>
              </w:rPr>
              <w:t>في « ب » : « والتسليمة »</w:t>
            </w:r>
            <w:r>
              <w:rPr>
                <w:rtl/>
              </w:rPr>
              <w:t>.</w:t>
            </w:r>
          </w:p>
        </w:tc>
      </w:tr>
      <w:tr w:rsidR="00C4164A" w:rsidTr="00C4164A">
        <w:tc>
          <w:tcPr>
            <w:tcW w:w="4006" w:type="dxa"/>
          </w:tcPr>
          <w:p w:rsidR="00C4164A" w:rsidRDefault="0049277F" w:rsidP="004A4E41">
            <w:pPr>
              <w:pStyle w:val="libFootnote0"/>
              <w:rPr>
                <w:rtl/>
              </w:rPr>
            </w:pPr>
            <w:r>
              <w:rPr>
                <w:rtl/>
              </w:rPr>
              <w:t>(7).</w:t>
            </w:r>
            <w:r w:rsidRPr="00C9040A">
              <w:rPr>
                <w:rtl/>
              </w:rPr>
              <w:t xml:space="preserve"> في « ص ، ز ، بف » والوافي : « حلماء »</w:t>
            </w:r>
            <w:r>
              <w:rPr>
                <w:rtl/>
              </w:rPr>
              <w:t>.</w:t>
            </w:r>
          </w:p>
        </w:tc>
        <w:tc>
          <w:tcPr>
            <w:tcW w:w="4006" w:type="dxa"/>
          </w:tcPr>
          <w:p w:rsidR="00C4164A" w:rsidRDefault="0049277F" w:rsidP="004A4E41">
            <w:pPr>
              <w:pStyle w:val="libFootnote0"/>
              <w:rPr>
                <w:rtl/>
              </w:rPr>
            </w:pPr>
            <w:r>
              <w:rPr>
                <w:rtl/>
              </w:rPr>
              <w:t>(8).</w:t>
            </w:r>
            <w:r w:rsidRPr="00C9040A">
              <w:rPr>
                <w:rtl/>
              </w:rPr>
              <w:t xml:space="preserve"> في « ص » : « تحشرون »</w:t>
            </w:r>
            <w:r>
              <w:rPr>
                <w:rtl/>
              </w:rPr>
              <w:t>.</w:t>
            </w:r>
          </w:p>
        </w:tc>
      </w:tr>
    </w:tbl>
    <w:p w:rsidR="008A74EB" w:rsidRPr="00C9040A" w:rsidRDefault="006C577F" w:rsidP="004A4E41">
      <w:pPr>
        <w:pStyle w:val="libFootnote0"/>
        <w:rPr>
          <w:rtl/>
          <w:lang w:bidi="fa-IR"/>
        </w:rPr>
      </w:pPr>
      <w:r>
        <w:rPr>
          <w:rtl/>
        </w:rPr>
        <w:t>(9).</w:t>
      </w:r>
      <w:r w:rsidR="008A74EB" w:rsidRPr="00C9040A">
        <w:rPr>
          <w:rtl/>
        </w:rPr>
        <w:t xml:space="preserve"> </w:t>
      </w:r>
      <w:r w:rsidR="008A74EB" w:rsidRPr="00993B55">
        <w:rPr>
          <w:rStyle w:val="libFootnoteBoldChar"/>
          <w:rtl/>
        </w:rPr>
        <w:t>المحاسن</w:t>
      </w:r>
      <w:r w:rsidR="008A74EB" w:rsidRPr="00C9040A">
        <w:rPr>
          <w:rtl/>
        </w:rPr>
        <w:t xml:space="preserve"> ، ص 226 ، كتاب مصابيح الظلم ، ح 151. وفي </w:t>
      </w:r>
      <w:r w:rsidR="008A74EB" w:rsidRPr="00993B55">
        <w:rPr>
          <w:rStyle w:val="libFootnoteBoldChar"/>
          <w:rtl/>
        </w:rPr>
        <w:t>التوحيد</w:t>
      </w:r>
      <w:r w:rsidR="008A74EB" w:rsidRPr="00C9040A">
        <w:rPr>
          <w:rtl/>
        </w:rPr>
        <w:t xml:space="preserve"> ، ص 371 ، ح 12 ؛ و</w:t>
      </w:r>
      <w:r w:rsidR="008A74EB" w:rsidRPr="00993B55">
        <w:rPr>
          <w:rStyle w:val="libFootnoteBoldChar"/>
          <w:rtl/>
        </w:rPr>
        <w:t>الخصال</w:t>
      </w:r>
      <w:r w:rsidR="008A74EB" w:rsidRPr="00C9040A">
        <w:rPr>
          <w:rtl/>
        </w:rPr>
        <w:t xml:space="preserve"> ، ص 146 ، باب الثلاثة ، ح 175 ؛ و</w:t>
      </w:r>
      <w:r w:rsidR="008A74EB" w:rsidRPr="00993B55">
        <w:rPr>
          <w:rStyle w:val="libFootnoteBoldChar"/>
          <w:rtl/>
        </w:rPr>
        <w:t>معاني الأخبار</w:t>
      </w:r>
      <w:r w:rsidR="008A74EB" w:rsidRPr="00C9040A">
        <w:rPr>
          <w:rtl/>
        </w:rPr>
        <w:t xml:space="preserve"> ، ص 187 ، ح 6 ، بسند آخر عن محمّد بن إسماعيل بن بزيع. </w:t>
      </w:r>
      <w:r w:rsidR="008A74EB" w:rsidRPr="00993B55">
        <w:rPr>
          <w:rStyle w:val="libFootnoteBoldChar"/>
          <w:rtl/>
        </w:rPr>
        <w:t>الكافي</w:t>
      </w:r>
      <w:r w:rsidR="008A74EB" w:rsidRPr="00C9040A">
        <w:rPr>
          <w:rtl/>
        </w:rPr>
        <w:t xml:space="preserve"> ، كتاب الإيمان والكفر ، باب خصال المؤمن ، ح 1542 ، بسند آخر عن أبي الحسن الرضا ، عن أبيه </w:t>
      </w:r>
      <w:r w:rsidR="00117575" w:rsidRPr="00117575">
        <w:rPr>
          <w:rStyle w:val="libFootnoteAlaemChar"/>
          <w:rtl/>
        </w:rPr>
        <w:t>عليهما‌السلام</w:t>
      </w:r>
      <w:r w:rsidR="008A74EB" w:rsidRPr="00C9040A">
        <w:rPr>
          <w:rtl/>
        </w:rPr>
        <w:t xml:space="preserve"> عن رسول الله </w:t>
      </w:r>
      <w:r w:rsidR="004A4E41" w:rsidRPr="00B866D3">
        <w:rPr>
          <w:rStyle w:val="libFootnoteAlaemChar"/>
          <w:rtl/>
        </w:rPr>
        <w:t>صلى‌الله‌عليه‌وآله</w:t>
      </w:r>
      <w:r w:rsidR="008A74EB" w:rsidRPr="00C9040A">
        <w:rPr>
          <w:rtl/>
        </w:rPr>
        <w:t xml:space="preserve"> ، مع اختلاف يسير</w:t>
      </w:r>
      <w:r w:rsidR="0049277F">
        <w:rPr>
          <w:rFonts w:hint="cs"/>
          <w:rtl/>
        </w:rPr>
        <w:t>.</w:t>
      </w:r>
      <w:r w:rsidR="008A74EB" w:rsidRPr="00993B55">
        <w:rPr>
          <w:rStyle w:val="libFootnoteBoldChar"/>
          <w:rtl/>
        </w:rPr>
        <w:t>الوافي</w:t>
      </w:r>
      <w:r w:rsidR="008A74EB" w:rsidRPr="00C9040A">
        <w:rPr>
          <w:rtl/>
        </w:rPr>
        <w:t xml:space="preserve"> ، ج 4 ، ص 147 ، ح 1742 ؛ </w:t>
      </w:r>
      <w:r w:rsidR="008A74EB" w:rsidRPr="00993B55">
        <w:rPr>
          <w:rStyle w:val="libFootnoteBoldChar"/>
          <w:rtl/>
        </w:rPr>
        <w:t>البحار</w:t>
      </w:r>
      <w:r w:rsidR="008A74EB" w:rsidRPr="00C9040A">
        <w:rPr>
          <w:rtl/>
        </w:rPr>
        <w:t xml:space="preserve"> ، ج 67 ، ص 286 ، ح 8.</w:t>
      </w:r>
    </w:p>
    <w:p w:rsidR="008A74EB" w:rsidRPr="004A4E41" w:rsidRDefault="006C577F" w:rsidP="004A4E41">
      <w:pPr>
        <w:pStyle w:val="libFootnote0"/>
        <w:rPr>
          <w:rStyle w:val="libFootnote0Char"/>
          <w:rtl/>
        </w:rPr>
      </w:pPr>
      <w:r>
        <w:rPr>
          <w:rtl/>
        </w:rPr>
        <w:t>(10).</w:t>
      </w:r>
      <w:r w:rsidR="008A74EB" w:rsidRPr="00C9040A">
        <w:rPr>
          <w:rtl/>
        </w:rPr>
        <w:t xml:space="preserve"> في المحاسن : « شابّ من الأنصار وهو في المسجد » بدل « شابّ في المسجد وهو »</w:t>
      </w:r>
      <w:r w:rsidR="008A74EB">
        <w:rPr>
          <w:rtl/>
        </w:rPr>
        <w:t>.</w:t>
      </w:r>
    </w:p>
    <w:tbl>
      <w:tblPr>
        <w:tblStyle w:val="TableGrid"/>
        <w:bidiVisual/>
        <w:tblW w:w="0" w:type="auto"/>
        <w:tblLook w:val="04A0" w:firstRow="1" w:lastRow="0" w:firstColumn="1" w:lastColumn="0" w:noHBand="0" w:noVBand="1"/>
      </w:tblPr>
      <w:tblGrid>
        <w:gridCol w:w="4006"/>
        <w:gridCol w:w="4006"/>
      </w:tblGrid>
      <w:tr w:rsidR="0049277F" w:rsidTr="0049277F">
        <w:tc>
          <w:tcPr>
            <w:tcW w:w="4006" w:type="dxa"/>
          </w:tcPr>
          <w:p w:rsidR="0049277F" w:rsidRDefault="0049277F" w:rsidP="004A4E41">
            <w:pPr>
              <w:pStyle w:val="libFootnote0"/>
              <w:rPr>
                <w:rtl/>
              </w:rPr>
            </w:pPr>
            <w:r>
              <w:rPr>
                <w:rtl/>
              </w:rPr>
              <w:t>(11).</w:t>
            </w:r>
            <w:r w:rsidRPr="00C9040A">
              <w:rPr>
                <w:rtl/>
              </w:rPr>
              <w:t xml:space="preserve"> في « ز » : « رأسه »</w:t>
            </w:r>
            <w:r>
              <w:rPr>
                <w:rtl/>
              </w:rPr>
              <w:t>.</w:t>
            </w:r>
          </w:p>
        </w:tc>
        <w:tc>
          <w:tcPr>
            <w:tcW w:w="4006" w:type="dxa"/>
          </w:tcPr>
          <w:p w:rsidR="0049277F" w:rsidRDefault="0049277F" w:rsidP="004A4E41">
            <w:pPr>
              <w:pStyle w:val="libFootnote0"/>
              <w:rPr>
                <w:rtl/>
              </w:rPr>
            </w:pPr>
            <w:r>
              <w:rPr>
                <w:rtl/>
              </w:rPr>
              <w:t>(12).</w:t>
            </w:r>
            <w:r w:rsidRPr="00C9040A">
              <w:rPr>
                <w:rtl/>
              </w:rPr>
              <w:t xml:space="preserve"> في حاشية « ص » : « وقد »</w:t>
            </w:r>
            <w:r>
              <w:rPr>
                <w:rtl/>
              </w:rPr>
              <w:t>.</w:t>
            </w:r>
          </w:p>
        </w:tc>
      </w:tr>
    </w:tbl>
    <w:p w:rsidR="008A74EB" w:rsidRPr="00C9040A" w:rsidRDefault="008A74EB" w:rsidP="004A4E41">
      <w:pPr>
        <w:pStyle w:val="libFootnote0"/>
        <w:rPr>
          <w:rtl/>
          <w:lang w:bidi="fa-IR"/>
        </w:rPr>
      </w:pPr>
      <w:r>
        <w:rPr>
          <w:rtl/>
        </w:rPr>
        <w:t>(13)</w:t>
      </w:r>
      <w:r w:rsidRPr="00C9040A">
        <w:rPr>
          <w:rtl/>
        </w:rPr>
        <w:t xml:space="preserve"> في « ض » والمحاسن : « فقال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أَصْبَحْتُ</w:t>
      </w:r>
      <w:r>
        <w:rPr>
          <w:rtl/>
          <w:lang w:bidi="fa-IR"/>
        </w:rPr>
        <w:t xml:space="preserve"> </w:t>
      </w:r>
      <w:r w:rsidR="0084262C">
        <w:rPr>
          <w:rtl/>
          <w:lang w:bidi="fa-IR"/>
        </w:rPr>
        <w:t>-</w:t>
      </w:r>
      <w:r>
        <w:rPr>
          <w:rtl/>
          <w:lang w:bidi="fa-IR"/>
        </w:rPr>
        <w:t xml:space="preserve"> </w:t>
      </w:r>
      <w:r w:rsidRPr="00C9040A">
        <w:rPr>
          <w:rtl/>
          <w:lang w:bidi="fa-IR"/>
        </w:rPr>
        <w:t>يَا رَسُولَ اللهِ</w:t>
      </w:r>
      <w:r>
        <w:rPr>
          <w:rtl/>
          <w:lang w:bidi="fa-IR"/>
        </w:rPr>
        <w:t xml:space="preserve"> </w:t>
      </w:r>
      <w:r w:rsidR="0084262C">
        <w:rPr>
          <w:rtl/>
          <w:lang w:bidi="fa-IR"/>
        </w:rPr>
        <w:t>-</w:t>
      </w:r>
      <w:r>
        <w:rPr>
          <w:rtl/>
          <w:lang w:bidi="fa-IR"/>
        </w:rPr>
        <w:t xml:space="preserve"> </w:t>
      </w:r>
      <w:r w:rsidRPr="00C9040A">
        <w:rPr>
          <w:rtl/>
          <w:lang w:bidi="fa-IR"/>
        </w:rPr>
        <w:t>مُوقِناً.</w:t>
      </w:r>
    </w:p>
    <w:p w:rsidR="008A74EB" w:rsidRPr="00C9040A" w:rsidRDefault="008A74EB" w:rsidP="008A74EB">
      <w:pPr>
        <w:pStyle w:val="libNormal"/>
        <w:rPr>
          <w:rtl/>
          <w:lang w:bidi="fa-IR"/>
        </w:rPr>
      </w:pPr>
      <w:r w:rsidRPr="00C9040A">
        <w:rPr>
          <w:rtl/>
          <w:lang w:bidi="fa-IR"/>
        </w:rPr>
        <w:t xml:space="preserve">فَعَجِبَ رَسُولُ اللهِ </w:t>
      </w:r>
      <w:r w:rsidR="004A4E41" w:rsidRPr="004A4E41">
        <w:rPr>
          <w:rStyle w:val="libAlaemChar"/>
          <w:rtl/>
        </w:rPr>
        <w:t>صلى‌الله‌عليه‌وآله</w:t>
      </w:r>
      <w:r w:rsidRPr="00C9040A">
        <w:rPr>
          <w:rtl/>
          <w:lang w:bidi="fa-IR"/>
        </w:rPr>
        <w:t xml:space="preserve"> مِنْ قَوْلِهِ ، وَقَالَ : </w:t>
      </w:r>
      <w:r w:rsidR="006C577F" w:rsidRPr="006C577F">
        <w:rPr>
          <w:rStyle w:val="libFootnotenumChar"/>
          <w:rtl/>
        </w:rPr>
        <w:t>(1)</w:t>
      </w:r>
      <w:r w:rsidRPr="00853746">
        <w:rPr>
          <w:rFonts w:hint="cs"/>
          <w:rtl/>
        </w:rPr>
        <w:t xml:space="preserve"> </w:t>
      </w:r>
      <w:r w:rsidRPr="00C9040A">
        <w:rPr>
          <w:rtl/>
          <w:lang w:bidi="fa-IR"/>
        </w:rPr>
        <w:t xml:space="preserve">إِنَّ لِكُلِّ يَقِينٍ </w:t>
      </w:r>
      <w:r w:rsidR="006C577F" w:rsidRPr="006C577F">
        <w:rPr>
          <w:rStyle w:val="libFootnotenumChar"/>
          <w:rtl/>
        </w:rPr>
        <w:t>(2)</w:t>
      </w:r>
      <w:r w:rsidRPr="00C9040A">
        <w:rPr>
          <w:rtl/>
          <w:lang w:bidi="fa-IR"/>
        </w:rPr>
        <w:t xml:space="preserve"> حَقِيقَةً ، فَمَا حَقِيقَةُ يَقِينِكَ</w:t>
      </w:r>
      <w:r>
        <w:rPr>
          <w:rtl/>
          <w:lang w:bidi="fa-IR"/>
        </w:rPr>
        <w:t>؟</w:t>
      </w:r>
    </w:p>
    <w:p w:rsidR="008A74EB" w:rsidRPr="00C9040A" w:rsidRDefault="008A74EB" w:rsidP="008A74EB">
      <w:pPr>
        <w:pStyle w:val="libNormal"/>
        <w:rPr>
          <w:rtl/>
          <w:lang w:bidi="fa-IR"/>
        </w:rPr>
      </w:pPr>
      <w:r w:rsidRPr="00C9040A">
        <w:rPr>
          <w:rtl/>
          <w:lang w:bidi="fa-IR"/>
        </w:rPr>
        <w:t>فَقَالَ : إِنَّ يَقِينِي</w:t>
      </w:r>
      <w:r>
        <w:rPr>
          <w:rtl/>
          <w:lang w:bidi="fa-IR"/>
        </w:rPr>
        <w:t xml:space="preserve"> </w:t>
      </w:r>
      <w:r w:rsidR="0084262C">
        <w:rPr>
          <w:rtl/>
          <w:lang w:bidi="fa-IR"/>
        </w:rPr>
        <w:t>-</w:t>
      </w:r>
      <w:r>
        <w:rPr>
          <w:rtl/>
          <w:lang w:bidi="fa-IR"/>
        </w:rPr>
        <w:t xml:space="preserve"> </w:t>
      </w:r>
      <w:r w:rsidRPr="00C9040A">
        <w:rPr>
          <w:rtl/>
          <w:lang w:bidi="fa-IR"/>
        </w:rPr>
        <w:t>يَا رَسُولَ اللهِ</w:t>
      </w:r>
      <w:r>
        <w:rPr>
          <w:rtl/>
          <w:lang w:bidi="fa-IR"/>
        </w:rPr>
        <w:t xml:space="preserve"> </w:t>
      </w:r>
      <w:r w:rsidR="0084262C">
        <w:rPr>
          <w:rtl/>
          <w:lang w:bidi="fa-IR"/>
        </w:rPr>
        <w:t>-</w:t>
      </w:r>
      <w:r>
        <w:rPr>
          <w:rtl/>
          <w:lang w:bidi="fa-IR"/>
        </w:rPr>
        <w:t xml:space="preserve"> </w:t>
      </w:r>
      <w:r w:rsidRPr="00C9040A">
        <w:rPr>
          <w:rtl/>
          <w:lang w:bidi="fa-IR"/>
        </w:rPr>
        <w:t xml:space="preserve">هُوَ الَّذِي أَحْزَنَنِي ، وَأَسْهَرَ لَيْلِي ، وَأَظْمَأَ هَوَاجِرِي </w:t>
      </w:r>
      <w:r w:rsidR="006C577F" w:rsidRPr="006C577F">
        <w:rPr>
          <w:rStyle w:val="libFootnotenumChar"/>
          <w:rtl/>
        </w:rPr>
        <w:t>(3)</w:t>
      </w:r>
      <w:r w:rsidRPr="00C9040A">
        <w:rPr>
          <w:rtl/>
          <w:lang w:bidi="fa-IR"/>
        </w:rPr>
        <w:t xml:space="preserve"> ، فَعَزَفَتْ </w:t>
      </w:r>
      <w:r w:rsidR="006C577F" w:rsidRPr="006C577F">
        <w:rPr>
          <w:rStyle w:val="libFootnotenumChar"/>
          <w:rtl/>
        </w:rPr>
        <w:t>(4)</w:t>
      </w:r>
      <w:r w:rsidRPr="00C9040A">
        <w:rPr>
          <w:rtl/>
          <w:lang w:bidi="fa-IR"/>
        </w:rPr>
        <w:t xml:space="preserve"> نَفْسِي عَنِ الدُّنْيَا وَمَا فِيهَا حَتّى كَأَنِّي أَنْظُرُ إِلى عَرْشِ رَبِّي وَقَدْ نُصِبَ لِلْحِسَابِ </w:t>
      </w:r>
      <w:r w:rsidR="006C577F" w:rsidRPr="006C577F">
        <w:rPr>
          <w:rStyle w:val="libFootnotenumChar"/>
          <w:rtl/>
        </w:rPr>
        <w:t>(5)</w:t>
      </w:r>
      <w:r w:rsidRPr="00C9040A">
        <w:rPr>
          <w:rtl/>
          <w:lang w:bidi="fa-IR"/>
        </w:rPr>
        <w:t xml:space="preserve"> ، وَحُشِرَ الْخَلَائِقُ لِذلِكَ وَأَنَا فِيهِمْ ، وَكَأَنِّي أَنْظُرُ إِلى أَهْلِ الْجَنَّةِ يَتَنَعَّمُونَ </w:t>
      </w:r>
      <w:r w:rsidR="006C577F" w:rsidRPr="006C577F">
        <w:rPr>
          <w:rStyle w:val="libFootnotenumChar"/>
          <w:rtl/>
        </w:rPr>
        <w:t>(6)</w:t>
      </w:r>
      <w:r w:rsidRPr="005B567D">
        <w:rPr>
          <w:rStyle w:val="libFootnotenumChar"/>
          <w:rtl/>
        </w:rPr>
        <w:t xml:space="preserve"> </w:t>
      </w:r>
      <w:r w:rsidRPr="00C9040A">
        <w:rPr>
          <w:rtl/>
          <w:lang w:bidi="fa-IR"/>
        </w:rPr>
        <w:t>فِي الْجَنَّةِ وَيَتَعَارَفُونَ ، وَ</w:t>
      </w:r>
      <w:r>
        <w:rPr>
          <w:rFonts w:hint="cs"/>
          <w:rtl/>
          <w:lang w:bidi="fa-IR"/>
        </w:rPr>
        <w:t xml:space="preserve"> </w:t>
      </w:r>
      <w:r w:rsidR="006C577F" w:rsidRPr="006C577F">
        <w:rPr>
          <w:rStyle w:val="libFootnotenumChar"/>
          <w:rtl/>
        </w:rPr>
        <w:t>(7)</w:t>
      </w:r>
      <w:r w:rsidRPr="00C9040A">
        <w:rPr>
          <w:rtl/>
          <w:lang w:bidi="fa-IR"/>
        </w:rPr>
        <w:t xml:space="preserve"> عَلَى الْأَرَائِكِ مُتَّكِئُونَ ، وَكَأَنِّي أَنْظُرُ إِلى أَهْلِ النَّارِ وَهُمْ فِيهَا مُعَذَّبُونَ </w:t>
      </w:r>
      <w:r w:rsidR="006C577F" w:rsidRPr="006C577F">
        <w:rPr>
          <w:rStyle w:val="libFootnotenumChar"/>
          <w:rtl/>
        </w:rPr>
        <w:t>(8)</w:t>
      </w:r>
      <w:r w:rsidRPr="00C9040A">
        <w:rPr>
          <w:rtl/>
          <w:lang w:bidi="fa-IR"/>
        </w:rPr>
        <w:t xml:space="preserve"> مُصْطَرِخُونَ </w:t>
      </w:r>
      <w:r w:rsidR="006C577F" w:rsidRPr="006C577F">
        <w:rPr>
          <w:rStyle w:val="libFootnotenumChar"/>
          <w:rtl/>
        </w:rPr>
        <w:t>(9)</w:t>
      </w:r>
      <w:r w:rsidRPr="00C9040A">
        <w:rPr>
          <w:rtl/>
          <w:lang w:bidi="fa-IR"/>
        </w:rPr>
        <w:t xml:space="preserve"> ، وَكَأَنِّي </w:t>
      </w:r>
      <w:r w:rsidR="006C577F" w:rsidRPr="006C577F">
        <w:rPr>
          <w:rStyle w:val="libFootnotenumChar"/>
          <w:rtl/>
        </w:rPr>
        <w:t>(10)</w:t>
      </w:r>
      <w:r w:rsidRPr="00C9040A">
        <w:rPr>
          <w:rtl/>
          <w:lang w:bidi="fa-IR"/>
        </w:rPr>
        <w:t xml:space="preserve"> الْآنَ أَسْمَعُ زَفِيرَ النَّارِ يَدُورُ </w:t>
      </w:r>
      <w:r w:rsidR="006C577F" w:rsidRPr="006C577F">
        <w:rPr>
          <w:rStyle w:val="libFootnotenumChar"/>
          <w:rtl/>
        </w:rPr>
        <w:t>(11)</w:t>
      </w:r>
      <w:r w:rsidRPr="00C9040A">
        <w:rPr>
          <w:rtl/>
          <w:lang w:bidi="fa-IR"/>
        </w:rPr>
        <w:t xml:space="preserve"> فِي مَسَامِعِي.</w:t>
      </w:r>
    </w:p>
    <w:p w:rsidR="008A74EB" w:rsidRPr="00C9040A" w:rsidRDefault="008A74EB" w:rsidP="008A74EB">
      <w:pPr>
        <w:pStyle w:val="libNormal"/>
        <w:rPr>
          <w:rtl/>
          <w:lang w:bidi="fa-IR"/>
        </w:rPr>
      </w:pPr>
      <w:r w:rsidRPr="00C9040A">
        <w:rPr>
          <w:rtl/>
          <w:lang w:bidi="fa-IR"/>
        </w:rPr>
        <w:t xml:space="preserve">فَقَالَ رَسُولُ اللهِ </w:t>
      </w:r>
      <w:r w:rsidR="004A4E41" w:rsidRPr="004A4E41">
        <w:rPr>
          <w:rStyle w:val="libAlaemChar"/>
          <w:rtl/>
        </w:rPr>
        <w:t>صلى‌الله‌عليه‌وآله</w:t>
      </w:r>
      <w:r w:rsidRPr="00C9040A">
        <w:rPr>
          <w:rtl/>
          <w:lang w:bidi="fa-IR"/>
        </w:rPr>
        <w:t xml:space="preserve"> لِأَصْحَابِهِ </w:t>
      </w:r>
      <w:r w:rsidR="006C577F" w:rsidRPr="006C577F">
        <w:rPr>
          <w:rStyle w:val="libFootnotenumChar"/>
          <w:rtl/>
        </w:rPr>
        <w:t>(12)</w:t>
      </w:r>
      <w:r w:rsidRPr="00C9040A">
        <w:rPr>
          <w:rtl/>
          <w:lang w:bidi="fa-IR"/>
        </w:rPr>
        <w:t xml:space="preserve"> : هذَا عَبْدٌ نَوَّرَ اللهُ قَلْبَهُ بِالْإِيمَانِ </w:t>
      </w:r>
      <w:r w:rsidRPr="005B567D">
        <w:rPr>
          <w:rStyle w:val="libFootnotenumChar"/>
          <w:rtl/>
        </w:rPr>
        <w:t>(13)</w:t>
      </w:r>
      <w:r w:rsidRPr="00C9040A">
        <w:rPr>
          <w:rtl/>
          <w:lang w:bidi="fa-IR"/>
        </w:rPr>
        <w:t xml:space="preserve"> ، ثُمَّ قَالَ لَهُ : الْزَمْ مَا أَنْتَ عَلَيْهِ.</w:t>
      </w:r>
    </w:p>
    <w:p w:rsidR="008A74EB" w:rsidRPr="00C9040A" w:rsidRDefault="008A74EB" w:rsidP="008A74EB">
      <w:pPr>
        <w:pStyle w:val="libNormal"/>
        <w:rPr>
          <w:rtl/>
          <w:lang w:bidi="fa-IR"/>
        </w:rPr>
      </w:pPr>
      <w:r w:rsidRPr="00C9040A">
        <w:rPr>
          <w:rtl/>
          <w:lang w:bidi="fa-IR"/>
        </w:rPr>
        <w:t xml:space="preserve">فَقَالَ الشَّابُّ : ادْعُ اللهَ لِي يَا رَسُولَ اللهِ أَنْ أُرْزَقَ الشَّهَادَةَ </w:t>
      </w:r>
      <w:r w:rsidRPr="005B567D">
        <w:rPr>
          <w:rStyle w:val="libFootnotenumChar"/>
          <w:rtl/>
        </w:rPr>
        <w:t>(14)</w:t>
      </w:r>
      <w:r w:rsidRPr="00C9040A">
        <w:rPr>
          <w:rtl/>
          <w:lang w:bidi="fa-IR"/>
        </w:rPr>
        <w:t xml:space="preserve"> مَعَكَ.</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 ض » والوافي والبحار والمحاسن : + « له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المحاسن : « شي‌ء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أي في هواجري. </w:t>
      </w:r>
      <w:r w:rsidR="008A74EB">
        <w:rPr>
          <w:rtl/>
        </w:rPr>
        <w:t>و «</w:t>
      </w:r>
      <w:r w:rsidR="008A74EB" w:rsidRPr="00C9040A">
        <w:rPr>
          <w:rtl/>
        </w:rPr>
        <w:t xml:space="preserve"> الهواجر » : جمع الهاجرة ، نصف النهار عند اشتداد الحَرّ ، أو من عند الزوال إلى العصر ؛ لأنّ الناس يسكنون في بيوتهم كأنّهم قد تهاجروا من شدّة الحرّ. </w:t>
      </w:r>
      <w:r w:rsidR="008A74EB" w:rsidRPr="00993B55">
        <w:rPr>
          <w:rStyle w:val="libFootnoteBoldChar"/>
          <w:rtl/>
        </w:rPr>
        <w:t>مجمع البحرين</w:t>
      </w:r>
      <w:r w:rsidR="008A74EB" w:rsidRPr="00C9040A">
        <w:rPr>
          <w:rtl/>
        </w:rPr>
        <w:t xml:space="preserve"> ، ج 3 ، ص 1860 ( هجر )</w:t>
      </w:r>
      <w:r w:rsidR="008A74EB">
        <w:rPr>
          <w:rtl/>
        </w:rPr>
        <w:t>.</w:t>
      </w:r>
    </w:p>
    <w:p w:rsidR="008A74EB" w:rsidRPr="004A4E41" w:rsidRDefault="006C577F" w:rsidP="004A4E41">
      <w:pPr>
        <w:pStyle w:val="libFootnote0"/>
        <w:rPr>
          <w:rStyle w:val="libFootnote0Char"/>
          <w:rtl/>
        </w:rPr>
      </w:pPr>
      <w:r>
        <w:rPr>
          <w:rtl/>
        </w:rPr>
        <w:t>(4).</w:t>
      </w:r>
      <w:r w:rsidR="008A74EB" w:rsidRPr="00C9040A">
        <w:rPr>
          <w:rtl/>
        </w:rPr>
        <w:t xml:space="preserve"> في « ف » : « عزّفتُ » بضمّ التاء. وفي </w:t>
      </w:r>
      <w:r w:rsidR="008A74EB" w:rsidRPr="00993B55">
        <w:rPr>
          <w:rStyle w:val="libFootnoteBoldChar"/>
          <w:rtl/>
        </w:rPr>
        <w:t>شرح المازندراني</w:t>
      </w:r>
      <w:r w:rsidR="008A74EB" w:rsidRPr="00C9040A">
        <w:rPr>
          <w:rtl/>
        </w:rPr>
        <w:t xml:space="preserve"> : « وعزفت ، بسكون التاء ، أي عاقتها وكرهتها نفسي وانصرفت عنها. وبضمّ التاء محتمل ، أي منعت نفسي وصرفتها عنها »</w:t>
      </w:r>
      <w:r w:rsidR="008A74EB">
        <w:rPr>
          <w:rtl/>
        </w:rPr>
        <w:t>.</w:t>
      </w:r>
    </w:p>
    <w:tbl>
      <w:tblPr>
        <w:tblStyle w:val="TableGrid"/>
        <w:bidiVisual/>
        <w:tblW w:w="0" w:type="auto"/>
        <w:tblLook w:val="04A0" w:firstRow="1" w:lastRow="0" w:firstColumn="1" w:lastColumn="0" w:noHBand="0" w:noVBand="1"/>
      </w:tblPr>
      <w:tblGrid>
        <w:gridCol w:w="4006"/>
        <w:gridCol w:w="4006"/>
      </w:tblGrid>
      <w:tr w:rsidR="00C0464A" w:rsidTr="00C0464A">
        <w:tc>
          <w:tcPr>
            <w:tcW w:w="4006" w:type="dxa"/>
          </w:tcPr>
          <w:p w:rsidR="00C0464A" w:rsidRDefault="00C0464A" w:rsidP="004A4E41">
            <w:pPr>
              <w:pStyle w:val="libFootnote0"/>
              <w:rPr>
                <w:rtl/>
              </w:rPr>
            </w:pPr>
            <w:r>
              <w:rPr>
                <w:rtl/>
              </w:rPr>
              <w:t>(5).</w:t>
            </w:r>
            <w:r w:rsidRPr="00C9040A">
              <w:rPr>
                <w:rtl/>
              </w:rPr>
              <w:t xml:space="preserve"> في « ج » : « الحساب »</w:t>
            </w:r>
            <w:r>
              <w:rPr>
                <w:rtl/>
              </w:rPr>
              <w:t>.</w:t>
            </w:r>
          </w:p>
        </w:tc>
        <w:tc>
          <w:tcPr>
            <w:tcW w:w="4006" w:type="dxa"/>
          </w:tcPr>
          <w:p w:rsidR="00C0464A" w:rsidRDefault="00C0464A" w:rsidP="004A4E41">
            <w:pPr>
              <w:pStyle w:val="libFootnote0"/>
              <w:rPr>
                <w:rtl/>
              </w:rPr>
            </w:pPr>
            <w:r>
              <w:rPr>
                <w:rtl/>
              </w:rPr>
              <w:t xml:space="preserve">(6). </w:t>
            </w:r>
            <w:r w:rsidRPr="00C9040A">
              <w:rPr>
                <w:rtl/>
              </w:rPr>
              <w:t>في « ض » : « يتمتّعون »</w:t>
            </w:r>
            <w:r>
              <w:rPr>
                <w:rtl/>
              </w:rPr>
              <w:t>.</w:t>
            </w:r>
          </w:p>
        </w:tc>
      </w:tr>
    </w:tbl>
    <w:p w:rsidR="008A74EB" w:rsidRPr="00C9040A" w:rsidRDefault="006C577F" w:rsidP="004A4E41">
      <w:pPr>
        <w:pStyle w:val="libFootnote0"/>
        <w:rPr>
          <w:rtl/>
          <w:lang w:bidi="fa-IR"/>
        </w:rPr>
      </w:pPr>
      <w:r>
        <w:rPr>
          <w:rtl/>
        </w:rPr>
        <w:t>(7).</w:t>
      </w:r>
      <w:r w:rsidR="008A74EB" w:rsidRPr="00C9040A">
        <w:rPr>
          <w:rtl/>
        </w:rPr>
        <w:t xml:space="preserve"> في « ب ، ج ، د ، ز ، ص ، ض ، ف » والوافي والبحار والمحاسن </w:t>
      </w:r>
      <w:r w:rsidR="008A74EB">
        <w:rPr>
          <w:rtl/>
        </w:rPr>
        <w:t xml:space="preserve">: </w:t>
      </w:r>
      <w:r w:rsidR="0084262C">
        <w:rPr>
          <w:rtl/>
        </w:rPr>
        <w:t>-</w:t>
      </w:r>
      <w:r w:rsidR="008A74EB" w:rsidRPr="00C9040A">
        <w:rPr>
          <w:rtl/>
        </w:rPr>
        <w:t xml:space="preserve"> « و</w:t>
      </w:r>
      <w:r w:rsidR="008A74EB">
        <w:rPr>
          <w:rFonts w:hint="cs"/>
          <w:rtl/>
        </w:rPr>
        <w:t xml:space="preserve"> </w:t>
      </w:r>
      <w:r w:rsidR="008A74EB" w:rsidRPr="00C9040A">
        <w:rPr>
          <w:rtl/>
        </w:rPr>
        <w:t>»</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 ض » : « يعذّبون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اصطرخ : استغاث. </w:t>
      </w:r>
      <w:r w:rsidR="008A74EB" w:rsidRPr="00993B55">
        <w:rPr>
          <w:rStyle w:val="libFootnoteBoldChar"/>
          <w:rtl/>
        </w:rPr>
        <w:t>لسان العرب</w:t>
      </w:r>
      <w:r w:rsidR="008A74EB" w:rsidRPr="00C9040A">
        <w:rPr>
          <w:rtl/>
        </w:rPr>
        <w:t xml:space="preserve"> ، ج 3 ، ص 33 ( صرخ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 ج » : « وكأنّ »</w:t>
      </w:r>
      <w:r w:rsidR="008A74EB">
        <w:rPr>
          <w:rtl/>
        </w:rPr>
        <w:t>.</w:t>
      </w:r>
      <w:r w:rsidR="008A74EB" w:rsidRPr="00C9040A">
        <w:rPr>
          <w:rtl/>
        </w:rPr>
        <w:t xml:space="preserve"> وفي « ف » : « فكأنّي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في المحاسن : « ينقرون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في شرح المازندراني والبحار </w:t>
      </w:r>
      <w:r w:rsidR="008A74EB">
        <w:rPr>
          <w:rtl/>
        </w:rPr>
        <w:t xml:space="preserve">: </w:t>
      </w:r>
      <w:r w:rsidR="0084262C">
        <w:rPr>
          <w:rtl/>
        </w:rPr>
        <w:t>-</w:t>
      </w:r>
      <w:r w:rsidR="008A74EB" w:rsidRPr="00C9040A">
        <w:rPr>
          <w:rtl/>
        </w:rPr>
        <w:t xml:space="preserve"> « لأصحابه »</w:t>
      </w:r>
      <w:r w:rsidR="008A74EB">
        <w:rPr>
          <w:rtl/>
        </w:rPr>
        <w:t>.</w:t>
      </w:r>
    </w:p>
    <w:p w:rsidR="008A74EB" w:rsidRPr="00C9040A" w:rsidRDefault="008A74EB" w:rsidP="004A4E41">
      <w:pPr>
        <w:pStyle w:val="libFootnote0"/>
        <w:rPr>
          <w:rtl/>
          <w:lang w:bidi="fa-IR"/>
        </w:rPr>
      </w:pPr>
      <w:r>
        <w:rPr>
          <w:rtl/>
        </w:rPr>
        <w:t>(13)</w:t>
      </w:r>
      <w:r w:rsidRPr="00C9040A">
        <w:rPr>
          <w:rtl/>
        </w:rPr>
        <w:t xml:space="preserve"> في المحاسن : « للإيمان »</w:t>
      </w:r>
      <w:r>
        <w:rPr>
          <w:rtl/>
        </w:rPr>
        <w:t>.</w:t>
      </w:r>
    </w:p>
    <w:p w:rsidR="008A74EB" w:rsidRPr="00C9040A" w:rsidRDefault="008A74EB" w:rsidP="004A4E41">
      <w:pPr>
        <w:pStyle w:val="libFootnote0"/>
        <w:rPr>
          <w:rtl/>
          <w:lang w:bidi="fa-IR"/>
        </w:rPr>
      </w:pPr>
      <w:r>
        <w:rPr>
          <w:rtl/>
        </w:rPr>
        <w:t>(14)</w:t>
      </w:r>
      <w:r w:rsidRPr="00C9040A">
        <w:rPr>
          <w:rtl/>
        </w:rPr>
        <w:t xml:space="preserve"> في « ف » : « يا رسول الله </w:t>
      </w:r>
      <w:r w:rsidR="004A4E41" w:rsidRPr="00B866D3">
        <w:rPr>
          <w:rStyle w:val="libFootnoteAlaemChar"/>
          <w:rtl/>
        </w:rPr>
        <w:t>صلى‌الله‌عليه‌وآله</w:t>
      </w:r>
      <w:r w:rsidRPr="00C9040A">
        <w:rPr>
          <w:rtl/>
        </w:rPr>
        <w:t xml:space="preserve"> ، ادع الله لي أن أرزقني الشهادة بين يديك و</w:t>
      </w:r>
      <w:r>
        <w:rPr>
          <w:rFonts w:hint="cs"/>
          <w:rtl/>
        </w:rPr>
        <w:t xml:space="preserve"> </w:t>
      </w:r>
      <w:r w:rsidRPr="00C9040A">
        <w:rPr>
          <w:rtl/>
        </w:rPr>
        <w:t>» بدل « ادع</w:t>
      </w:r>
      <w:r>
        <w:rPr>
          <w:rtl/>
        </w:rPr>
        <w:t xml:space="preserve"> </w:t>
      </w:r>
      <w:r w:rsidR="0084262C">
        <w:rPr>
          <w:rtl/>
        </w:rPr>
        <w:t>-</w:t>
      </w:r>
      <w:r>
        <w:rPr>
          <w:rtl/>
        </w:rPr>
        <w:t xml:space="preserve"> </w:t>
      </w:r>
      <w:r w:rsidRPr="00C9040A">
        <w:rPr>
          <w:rtl/>
        </w:rPr>
        <w:t>إلى</w:t>
      </w:r>
      <w:r>
        <w:rPr>
          <w:rtl/>
        </w:rPr>
        <w:t xml:space="preserve"> </w:t>
      </w:r>
      <w:r w:rsidR="0084262C">
        <w:rPr>
          <w:rtl/>
        </w:rPr>
        <w:t>-</w:t>
      </w:r>
      <w:r>
        <w:rPr>
          <w:rtl/>
        </w:rPr>
        <w:t xml:space="preserve"> </w:t>
      </w:r>
      <w:r w:rsidRPr="00C9040A">
        <w:rPr>
          <w:rtl/>
        </w:rPr>
        <w:t>الشهادة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lastRenderedPageBreak/>
        <w:t xml:space="preserve">فَدَعَا لَهُ رَسُولُ اللهِ </w:t>
      </w:r>
      <w:r w:rsidR="004A4E41" w:rsidRPr="004A4E41">
        <w:rPr>
          <w:rStyle w:val="libAlaemChar"/>
          <w:rtl/>
        </w:rPr>
        <w:t>صلى‌الله‌عليه‌وآله</w:t>
      </w:r>
      <w:r w:rsidRPr="00C9040A">
        <w:rPr>
          <w:rtl/>
          <w:lang w:bidi="fa-IR"/>
        </w:rPr>
        <w:t xml:space="preserve"> ، فَلَمْ يَلْبَثْ أَنْ خَرَجَ فِي بَعْضِ </w:t>
      </w:r>
      <w:r w:rsidR="006C577F" w:rsidRPr="006C577F">
        <w:rPr>
          <w:rStyle w:val="libFootnotenumChar"/>
          <w:rtl/>
        </w:rPr>
        <w:t>(1)</w:t>
      </w:r>
      <w:r w:rsidRPr="002712F0">
        <w:rPr>
          <w:rFonts w:hint="cs"/>
          <w:rtl/>
        </w:rPr>
        <w:t xml:space="preserve"> </w:t>
      </w:r>
      <w:r w:rsidRPr="00C9040A">
        <w:rPr>
          <w:rtl/>
          <w:lang w:bidi="fa-IR"/>
        </w:rPr>
        <w:t xml:space="preserve">غَزَوَاتِ النَّبِيِّ </w:t>
      </w:r>
      <w:r w:rsidR="004A4E41" w:rsidRPr="004A4E41">
        <w:rPr>
          <w:rStyle w:val="libAlaemChar"/>
          <w:rtl/>
        </w:rPr>
        <w:t>صلى‌الله‌عليه‌وآله</w:t>
      </w:r>
      <w:r w:rsidRPr="00C9040A">
        <w:rPr>
          <w:rtl/>
          <w:lang w:bidi="fa-IR"/>
        </w:rPr>
        <w:t xml:space="preserve"> ، فَاسْتُشْهِدَ بَعْدَ تِسْعَةِ نَفَرٍ ، وَكَانَ هُوَ الْعَاشِرَ </w:t>
      </w:r>
      <w:r w:rsidR="006C577F" w:rsidRPr="006C577F">
        <w:rPr>
          <w:rStyle w:val="libFootnotenumChar"/>
          <w:rtl/>
        </w:rPr>
        <w:t>(2)</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22388B">
        <w:rPr>
          <w:rtl/>
        </w:rPr>
        <w:t>1553</w:t>
      </w:r>
      <w:r w:rsidRPr="00261CB0">
        <w:rPr>
          <w:rStyle w:val="libBold2Char"/>
          <w:rtl/>
        </w:rPr>
        <w:t xml:space="preserve"> / 3.</w:t>
      </w:r>
      <w:r w:rsidRPr="00C9040A">
        <w:rPr>
          <w:rtl/>
          <w:lang w:bidi="fa-IR"/>
        </w:rPr>
        <w:t xml:space="preserve"> مُحَمَّدُ بْنُ يَحْيى ، عَنْ أَحْمَدَ بْنِ مُحَمَّدٍ ، عَنْ مُحَمَّدِ </w:t>
      </w:r>
      <w:r w:rsidR="006C577F" w:rsidRPr="006C577F">
        <w:rPr>
          <w:rStyle w:val="libFootnotenumChar"/>
          <w:rtl/>
        </w:rPr>
        <w:t>(4)</w:t>
      </w:r>
      <w:r w:rsidRPr="00C9040A">
        <w:rPr>
          <w:rtl/>
          <w:lang w:bidi="fa-IR"/>
        </w:rPr>
        <w:t xml:space="preserve"> بْنِ سِنَانٍ </w:t>
      </w:r>
      <w:r w:rsidR="006C577F" w:rsidRPr="006C577F">
        <w:rPr>
          <w:rStyle w:val="libFootnotenumChar"/>
          <w:rtl/>
        </w:rPr>
        <w:t>(5)</w:t>
      </w:r>
      <w:r w:rsidRPr="00C9040A">
        <w:rPr>
          <w:rtl/>
          <w:lang w:bidi="fa-IR"/>
        </w:rPr>
        <w:t xml:space="preserve"> ، عَنْ عَبْدِ اللهِ بْنِ مُسْكَانَ ، عَنْ أَبِي بَصِيرٍ :</w:t>
      </w:r>
    </w:p>
    <w:p w:rsidR="008A74EB" w:rsidRPr="00C9040A" w:rsidRDefault="008A74EB" w:rsidP="00546458">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اسْتَقْبَلَ رَسُولُ اللهِ </w:t>
      </w:r>
      <w:r w:rsidR="004A4E41" w:rsidRPr="004A4E41">
        <w:rPr>
          <w:rStyle w:val="libAlaemChar"/>
          <w:rtl/>
        </w:rPr>
        <w:t>صلى‌الله‌عليه‌وآله</w:t>
      </w:r>
      <w:r w:rsidR="00546458" w:rsidRPr="00C9040A">
        <w:rPr>
          <w:rtl/>
          <w:lang w:bidi="fa-IR"/>
        </w:rPr>
        <w:t xml:space="preserve"> </w:t>
      </w:r>
      <w:r w:rsidRPr="00C9040A">
        <w:rPr>
          <w:rtl/>
          <w:lang w:bidi="fa-IR"/>
        </w:rPr>
        <w:t xml:space="preserve">حَارِثَةَ بْنَ مَالِكِ بْنِ النُّعْمَانِ الْأَنْصَارِيَّ ، فَقَالَ لَهُ : كَيْفَ أَنْتَ يَا حَارِثَةَ بْنَ مَالِكٍ </w:t>
      </w:r>
      <w:r w:rsidR="006C577F" w:rsidRPr="006C577F">
        <w:rPr>
          <w:rStyle w:val="libFootnotenumChar"/>
          <w:rtl/>
        </w:rPr>
        <w:t>(6)</w:t>
      </w:r>
      <w:r w:rsidRPr="003B7B1B">
        <w:rPr>
          <w:rtl/>
        </w:rPr>
        <w:t>؟</w:t>
      </w:r>
    </w:p>
    <w:p w:rsidR="008A74EB" w:rsidRPr="00C9040A" w:rsidRDefault="008A74EB" w:rsidP="008A74EB">
      <w:pPr>
        <w:pStyle w:val="libNormal"/>
        <w:rPr>
          <w:rtl/>
          <w:lang w:bidi="fa-IR"/>
        </w:rPr>
      </w:pPr>
      <w:r w:rsidRPr="00C9040A">
        <w:rPr>
          <w:rtl/>
          <w:lang w:bidi="fa-IR"/>
        </w:rPr>
        <w:t xml:space="preserve">فَقَالَ : يَا رَسُولَ اللهِ </w:t>
      </w:r>
      <w:r w:rsidR="006C577F" w:rsidRPr="006C577F">
        <w:rPr>
          <w:rStyle w:val="libFootnotenumChar"/>
          <w:rtl/>
        </w:rPr>
        <w:t>(7)</w:t>
      </w:r>
      <w:r w:rsidRPr="00C9040A">
        <w:rPr>
          <w:rtl/>
          <w:lang w:bidi="fa-IR"/>
        </w:rPr>
        <w:t xml:space="preserve"> ، مُؤْمِنٌ </w:t>
      </w:r>
      <w:r w:rsidR="006C577F" w:rsidRPr="006C577F">
        <w:rPr>
          <w:rStyle w:val="libFootnotenumChar"/>
          <w:rtl/>
        </w:rPr>
        <w:t>(8)</w:t>
      </w:r>
      <w:r w:rsidRPr="00C9040A">
        <w:rPr>
          <w:rtl/>
          <w:lang w:bidi="fa-IR"/>
        </w:rPr>
        <w:t xml:space="preserve"> حَقّاً.</w:t>
      </w:r>
    </w:p>
    <w:p w:rsidR="008A74EB" w:rsidRPr="00C9040A" w:rsidRDefault="008A74EB" w:rsidP="008A74EB">
      <w:pPr>
        <w:pStyle w:val="libNormal"/>
        <w:rPr>
          <w:rtl/>
          <w:lang w:bidi="fa-IR"/>
        </w:rPr>
      </w:pPr>
      <w:r w:rsidRPr="00C9040A">
        <w:rPr>
          <w:rtl/>
          <w:lang w:bidi="fa-IR"/>
        </w:rPr>
        <w:t xml:space="preserve">فَقَالَ لَهُ رَسُولُ اللهِ </w:t>
      </w:r>
      <w:r w:rsidR="004A4E41" w:rsidRPr="004A4E41">
        <w:rPr>
          <w:rStyle w:val="libAlaemChar"/>
          <w:rtl/>
        </w:rPr>
        <w:t>صلى‌الله‌عليه‌وآله</w:t>
      </w:r>
      <w:r w:rsidRPr="00C9040A">
        <w:rPr>
          <w:rtl/>
          <w:lang w:bidi="fa-IR"/>
        </w:rPr>
        <w:t xml:space="preserve"> : لِكُلِّ شَيْ‌ءٍ حَقِيقَةٌ ، فَمَا حَقِيقَةُ قَوْلِكَ</w:t>
      </w:r>
      <w:r>
        <w:rPr>
          <w:rtl/>
          <w:lang w:bidi="fa-IR"/>
        </w:rPr>
        <w:t>؟</w:t>
      </w:r>
    </w:p>
    <w:p w:rsidR="008A74EB" w:rsidRPr="00C9040A" w:rsidRDefault="008A74EB" w:rsidP="008A74EB">
      <w:pPr>
        <w:pStyle w:val="libNormal"/>
        <w:rPr>
          <w:rtl/>
          <w:lang w:bidi="fa-IR"/>
        </w:rPr>
      </w:pPr>
      <w:r w:rsidRPr="00C9040A">
        <w:rPr>
          <w:rtl/>
          <w:lang w:bidi="fa-IR"/>
        </w:rPr>
        <w:t xml:space="preserve">فَقَالَ : يَا رَسُولَ اللهِ ، عَزَفَتْ نَفْسِي عَنِ الدُّنْيَا ، فَأَسْهَرَتْ </w:t>
      </w:r>
      <w:r w:rsidR="006C577F" w:rsidRPr="006C577F">
        <w:rPr>
          <w:rStyle w:val="libFootnotenumChar"/>
          <w:rtl/>
        </w:rPr>
        <w:t>(9)</w:t>
      </w:r>
      <w:r w:rsidRPr="00C9040A">
        <w:rPr>
          <w:rtl/>
          <w:lang w:bidi="fa-IR"/>
        </w:rPr>
        <w:t xml:space="preserve"> لَيْلِي ، وَأَظْمَأَتْ هَوَاجِرِي ، وَكَأَنِّي </w:t>
      </w:r>
      <w:r w:rsidR="006C577F" w:rsidRPr="006C577F">
        <w:rPr>
          <w:rStyle w:val="libFootnotenumChar"/>
          <w:rtl/>
        </w:rPr>
        <w:t>(10)</w:t>
      </w:r>
      <w:r w:rsidRPr="00C9040A">
        <w:rPr>
          <w:rtl/>
          <w:lang w:bidi="fa-IR"/>
        </w:rPr>
        <w:t xml:space="preserve"> أَنْظُرُ إِلى عَرْشِ رَبِّي وَ</w:t>
      </w:r>
      <w:r>
        <w:rPr>
          <w:rFonts w:hint="cs"/>
          <w:rtl/>
          <w:lang w:bidi="fa-IR"/>
        </w:rPr>
        <w:t xml:space="preserve"> </w:t>
      </w:r>
      <w:r w:rsidR="006C577F" w:rsidRPr="006C577F">
        <w:rPr>
          <w:rStyle w:val="libFootnotenumChar"/>
          <w:rtl/>
        </w:rPr>
        <w:t>(11)</w:t>
      </w:r>
      <w:r w:rsidRPr="00C9040A">
        <w:rPr>
          <w:rtl/>
          <w:lang w:bidi="fa-IR"/>
        </w:rPr>
        <w:t xml:space="preserve"> قَدْ وُضِعَ لِلْحِسَابِ ، وَكَأَنِّي أَنْظُرُ إِلى أَهْلِ الْجَنَّةِ يَتَزَاوَرُونَ‌</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2F5788" w:rsidTr="002F5788">
        <w:tc>
          <w:tcPr>
            <w:tcW w:w="4006" w:type="dxa"/>
          </w:tcPr>
          <w:p w:rsidR="002F5788" w:rsidRDefault="002F5788" w:rsidP="004A4E41">
            <w:pPr>
              <w:pStyle w:val="libFootnote0"/>
              <w:rPr>
                <w:rtl/>
              </w:rPr>
            </w:pPr>
            <w:r>
              <w:rPr>
                <w:rtl/>
              </w:rPr>
              <w:t>(1).</w:t>
            </w:r>
            <w:r w:rsidRPr="00C9040A">
              <w:rPr>
                <w:rtl/>
              </w:rPr>
              <w:t xml:space="preserve"> في « ف » : « أخصّ »</w:t>
            </w:r>
            <w:r>
              <w:rPr>
                <w:rtl/>
              </w:rPr>
              <w:t>.</w:t>
            </w:r>
          </w:p>
        </w:tc>
        <w:tc>
          <w:tcPr>
            <w:tcW w:w="4006" w:type="dxa"/>
          </w:tcPr>
          <w:p w:rsidR="002F5788" w:rsidRDefault="002F5788" w:rsidP="004A4E41">
            <w:pPr>
              <w:pStyle w:val="libFootnote0"/>
              <w:rPr>
                <w:rtl/>
              </w:rPr>
            </w:pPr>
            <w:r>
              <w:rPr>
                <w:rtl/>
              </w:rPr>
              <w:t xml:space="preserve">(2). </w:t>
            </w:r>
            <w:r w:rsidRPr="00C9040A">
              <w:rPr>
                <w:rtl/>
              </w:rPr>
              <w:t xml:space="preserve">في « بر » : + « </w:t>
            </w:r>
            <w:r w:rsidR="00117575" w:rsidRPr="00117575">
              <w:rPr>
                <w:rStyle w:val="libFootnoteAlaemChar"/>
                <w:rtl/>
              </w:rPr>
              <w:t>رحمه‌الله</w:t>
            </w:r>
            <w:r w:rsidRPr="00C9040A">
              <w:rPr>
                <w:rtl/>
              </w:rPr>
              <w:t xml:space="preserve"> »</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w:t>
      </w:r>
      <w:r w:rsidR="008A74EB" w:rsidRPr="00993B55">
        <w:rPr>
          <w:rStyle w:val="libFootnoteBoldChar"/>
          <w:rtl/>
        </w:rPr>
        <w:t>المحاسن</w:t>
      </w:r>
      <w:r w:rsidR="008A74EB" w:rsidRPr="00C9040A">
        <w:rPr>
          <w:rtl/>
        </w:rPr>
        <w:t xml:space="preserve"> ، ص 250 ، كتاب مصابيح الظلم ، ح 265 ، عن الحسن بن محبوب ، مع اختلاف يسير</w:t>
      </w:r>
      <w:r w:rsidR="00015E58">
        <w:rPr>
          <w:rFonts w:hint="cs"/>
          <w:rtl/>
        </w:rPr>
        <w:t>.</w:t>
      </w:r>
      <w:r w:rsidR="008A74EB" w:rsidRPr="00993B55">
        <w:rPr>
          <w:rStyle w:val="libFootnoteBoldChar"/>
          <w:rtl/>
        </w:rPr>
        <w:t>الوافي</w:t>
      </w:r>
      <w:r w:rsidR="008A74EB" w:rsidRPr="00C9040A">
        <w:rPr>
          <w:rtl/>
        </w:rPr>
        <w:t xml:space="preserve"> ، ج 4 ، ص 148 ، ح 1744 ؛ </w:t>
      </w:r>
      <w:r w:rsidR="008A74EB" w:rsidRPr="00993B55">
        <w:rPr>
          <w:rStyle w:val="libFootnoteBoldChar"/>
          <w:rtl/>
        </w:rPr>
        <w:t>البحار</w:t>
      </w:r>
      <w:r w:rsidR="008A74EB" w:rsidRPr="00C9040A">
        <w:rPr>
          <w:rtl/>
        </w:rPr>
        <w:t xml:space="preserve"> ، ج 70 ، ص 159 ، ح 17.</w:t>
      </w:r>
    </w:p>
    <w:p w:rsidR="008A74EB" w:rsidRPr="00C9040A" w:rsidRDefault="006C577F" w:rsidP="004A4E41">
      <w:pPr>
        <w:pStyle w:val="libFootnote0"/>
        <w:rPr>
          <w:rtl/>
          <w:lang w:bidi="fa-IR"/>
        </w:rPr>
      </w:pPr>
      <w:r>
        <w:rPr>
          <w:rtl/>
        </w:rPr>
        <w:t>(4).</w:t>
      </w:r>
      <w:r w:rsidR="008A74EB" w:rsidRPr="00C9040A">
        <w:rPr>
          <w:rtl/>
        </w:rPr>
        <w:t xml:space="preserve"> في « ف » </w:t>
      </w:r>
      <w:r w:rsidR="008A74EB">
        <w:rPr>
          <w:rtl/>
        </w:rPr>
        <w:t xml:space="preserve">: </w:t>
      </w:r>
      <w:r w:rsidR="0084262C">
        <w:rPr>
          <w:rtl/>
        </w:rPr>
        <w:t>-</w:t>
      </w:r>
      <w:r w:rsidR="008A74EB" w:rsidRPr="00C9040A">
        <w:rPr>
          <w:rtl/>
        </w:rPr>
        <w:t xml:space="preserve"> « عن محمّد »</w:t>
      </w:r>
      <w:r w:rsidR="008A74EB">
        <w:rPr>
          <w:rtl/>
        </w:rPr>
        <w:t>.</w:t>
      </w:r>
      <w:r w:rsidR="008A74EB" w:rsidRPr="00C9040A">
        <w:rPr>
          <w:rtl/>
        </w:rPr>
        <w:t xml:space="preserve"> ولا يخفى ما فيها من وقوع التحريف بجواز النظر من « محمّد » في « أحمد بن‌محمّد » إلى « محمّد » في « محمّد بن سنان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الوافي : + « عن عبدالله بن سنان » وهو سهو ؛ فقد روى محمّد بن سنان كتب عبدالله بن مسكان ، وتوسّط [ عبدالله ] بن مسكان بين [ محمّد ] بن سنان وبين أبي بصير في أسناد عديدة. ولم نجد في شي‌ءٍ من الأسناد توسّط عبدالله بن سنان بين محمّد بن سنان وشيخه ابن مسكان. راجع : </w:t>
      </w:r>
      <w:r w:rsidR="008A74EB" w:rsidRPr="00993B55">
        <w:rPr>
          <w:rStyle w:val="libFootnoteBoldChar"/>
          <w:rtl/>
        </w:rPr>
        <w:t>رجال النجاشي</w:t>
      </w:r>
      <w:r w:rsidR="008A74EB" w:rsidRPr="00C9040A">
        <w:rPr>
          <w:rtl/>
        </w:rPr>
        <w:t xml:space="preserve"> ، ص 214 ، الرقم 559 ؛ </w:t>
      </w:r>
      <w:r w:rsidR="008A74EB" w:rsidRPr="00993B55">
        <w:rPr>
          <w:rStyle w:val="libFootnoteBoldChar"/>
          <w:rtl/>
        </w:rPr>
        <w:t>معجم رجال الحديث</w:t>
      </w:r>
      <w:r w:rsidR="008A74EB" w:rsidRPr="00C9040A">
        <w:rPr>
          <w:rtl/>
        </w:rPr>
        <w:t xml:space="preserve"> ، ج 1 ، ص 499</w:t>
      </w:r>
      <w:r w:rsidR="008A74EB">
        <w:rPr>
          <w:rtl/>
        </w:rPr>
        <w:t xml:space="preserve"> </w:t>
      </w:r>
      <w:r w:rsidR="0084262C">
        <w:rPr>
          <w:rtl/>
        </w:rPr>
        <w:t>-</w:t>
      </w:r>
      <w:r w:rsidR="008A74EB">
        <w:rPr>
          <w:rtl/>
        </w:rPr>
        <w:t xml:space="preserve"> </w:t>
      </w:r>
      <w:r w:rsidR="008A74EB" w:rsidRPr="00C9040A">
        <w:rPr>
          <w:rtl/>
        </w:rPr>
        <w:t>501 ؛ ج 1 ، ص 499</w:t>
      </w:r>
      <w:r w:rsidR="008A74EB">
        <w:rPr>
          <w:rtl/>
        </w:rPr>
        <w:t xml:space="preserve"> </w:t>
      </w:r>
      <w:r w:rsidR="0084262C">
        <w:rPr>
          <w:rtl/>
        </w:rPr>
        <w:t>-</w:t>
      </w:r>
      <w:r w:rsidR="008A74EB">
        <w:rPr>
          <w:rtl/>
        </w:rPr>
        <w:t xml:space="preserve"> </w:t>
      </w:r>
      <w:r w:rsidR="008A74EB" w:rsidRPr="00C9040A">
        <w:rPr>
          <w:rtl/>
        </w:rPr>
        <w:t>501 ؛ ج 23 ، ص 286</w:t>
      </w:r>
      <w:r w:rsidR="008A74EB">
        <w:rPr>
          <w:rtl/>
        </w:rPr>
        <w:t xml:space="preserve"> </w:t>
      </w:r>
      <w:r w:rsidR="0084262C">
        <w:rPr>
          <w:rtl/>
        </w:rPr>
        <w:t>-</w:t>
      </w:r>
      <w:r w:rsidR="008A74EB">
        <w:rPr>
          <w:rtl/>
        </w:rPr>
        <w:t xml:space="preserve"> </w:t>
      </w:r>
      <w:r w:rsidR="008A74EB" w:rsidRPr="00C9040A">
        <w:rPr>
          <w:rtl/>
        </w:rPr>
        <w:t>289.</w:t>
      </w:r>
    </w:p>
    <w:p w:rsidR="008A74EB" w:rsidRPr="004A4E41" w:rsidRDefault="008A74EB" w:rsidP="004A4E41">
      <w:pPr>
        <w:pStyle w:val="libFootnote0"/>
        <w:rPr>
          <w:rStyle w:val="libFootnote0Char"/>
          <w:rtl/>
        </w:rPr>
      </w:pPr>
      <w:r w:rsidRPr="0082575F">
        <w:rPr>
          <w:rtl/>
        </w:rPr>
        <w:t>وأمّا احتمال عطف عبدالله بن مسكان على عبدالله بن سنان ، فضعيف جدّاً ؛ لعدم توسّط عبدالله بن سنان بين محمّد بن سنان وبين أبي بصير في الأسناد.</w:t>
      </w:r>
      <w:r w:rsidR="00015E58">
        <w:rPr>
          <w:rFonts w:hint="cs"/>
          <w:rtl/>
        </w:rPr>
        <w:t xml:space="preserve">             </w:t>
      </w:r>
      <w:r w:rsidR="00B866D3">
        <w:rPr>
          <w:rFonts w:hint="cs"/>
          <w:rtl/>
        </w:rPr>
        <w:t xml:space="preserve"> </w:t>
      </w:r>
      <w:r w:rsidR="00015E58">
        <w:rPr>
          <w:rFonts w:hint="cs"/>
          <w:rtl/>
        </w:rPr>
        <w:t xml:space="preserve">            </w:t>
      </w:r>
      <w:r w:rsidR="006C577F">
        <w:rPr>
          <w:rtl/>
        </w:rPr>
        <w:t>(6).</w:t>
      </w:r>
      <w:r>
        <w:rPr>
          <w:rtl/>
        </w:rPr>
        <w:t xml:space="preserve"> </w:t>
      </w:r>
      <w:r w:rsidRPr="00C9040A">
        <w:rPr>
          <w:rtl/>
        </w:rPr>
        <w:t>في البحار : + « النعماني »</w:t>
      </w:r>
      <w:r>
        <w:rPr>
          <w:rtl/>
        </w:rPr>
        <w:t>.</w:t>
      </w:r>
    </w:p>
    <w:tbl>
      <w:tblPr>
        <w:tblStyle w:val="TableGrid"/>
        <w:bidiVisual/>
        <w:tblW w:w="0" w:type="auto"/>
        <w:tblLook w:val="04A0" w:firstRow="1" w:lastRow="0" w:firstColumn="1" w:lastColumn="0" w:noHBand="0" w:noVBand="1"/>
      </w:tblPr>
      <w:tblGrid>
        <w:gridCol w:w="4006"/>
        <w:gridCol w:w="4006"/>
      </w:tblGrid>
      <w:tr w:rsidR="00015E58" w:rsidTr="00015E58">
        <w:tc>
          <w:tcPr>
            <w:tcW w:w="4006" w:type="dxa"/>
          </w:tcPr>
          <w:p w:rsidR="00015E58" w:rsidRDefault="00015E58" w:rsidP="004A4E41">
            <w:pPr>
              <w:pStyle w:val="libFootnote0"/>
              <w:rPr>
                <w:rtl/>
              </w:rPr>
            </w:pPr>
            <w:r>
              <w:rPr>
                <w:rtl/>
              </w:rPr>
              <w:t>(7).</w:t>
            </w:r>
            <w:r w:rsidRPr="00C9040A">
              <w:rPr>
                <w:rtl/>
              </w:rPr>
              <w:t xml:space="preserve"> في المحاسن : + « أصبحت »</w:t>
            </w:r>
            <w:r>
              <w:rPr>
                <w:rtl/>
              </w:rPr>
              <w:t>.</w:t>
            </w:r>
          </w:p>
        </w:tc>
        <w:tc>
          <w:tcPr>
            <w:tcW w:w="4006" w:type="dxa"/>
          </w:tcPr>
          <w:p w:rsidR="00015E58" w:rsidRDefault="00015E58" w:rsidP="004A4E41">
            <w:pPr>
              <w:pStyle w:val="libFootnote0"/>
              <w:rPr>
                <w:rtl/>
              </w:rPr>
            </w:pPr>
            <w:r>
              <w:rPr>
                <w:rtl/>
              </w:rPr>
              <w:t>(8).</w:t>
            </w:r>
            <w:r w:rsidRPr="00C9040A">
              <w:rPr>
                <w:rtl/>
              </w:rPr>
              <w:t xml:space="preserve"> في « ف » : « مؤمناً »</w:t>
            </w:r>
            <w:r>
              <w:rPr>
                <w:rtl/>
              </w:rPr>
              <w:t>.</w:t>
            </w:r>
          </w:p>
        </w:tc>
      </w:tr>
    </w:tbl>
    <w:p w:rsidR="008A74EB" w:rsidRPr="004A4E41" w:rsidRDefault="006C577F" w:rsidP="004A4E41">
      <w:pPr>
        <w:pStyle w:val="libFootnote0"/>
        <w:rPr>
          <w:rStyle w:val="libFootnote0Char"/>
          <w:rtl/>
        </w:rPr>
      </w:pPr>
      <w:r>
        <w:rPr>
          <w:rtl/>
        </w:rPr>
        <w:t>(9).</w:t>
      </w:r>
      <w:r w:rsidR="008A74EB" w:rsidRPr="00C9040A">
        <w:rPr>
          <w:rtl/>
        </w:rPr>
        <w:t xml:space="preserve"> في « د ، ف » : « فأسهرتُ » بصيغة التكلّم. وكذا « أظمأتُ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 فأسهرت ليلي ، على صيغة الغيبةبإرجاع الضمير إلى النفس ، أو على صيغة التكلّم. وكذا الفقرة التالية تحتمل الوجهين »</w:t>
      </w:r>
      <w:r w:rsidR="008A74EB">
        <w:rPr>
          <w:rtl/>
        </w:rPr>
        <w:t>.</w:t>
      </w:r>
    </w:p>
    <w:tbl>
      <w:tblPr>
        <w:tblStyle w:val="TableGrid"/>
        <w:bidiVisual/>
        <w:tblW w:w="0" w:type="auto"/>
        <w:tblLook w:val="04A0" w:firstRow="1" w:lastRow="0" w:firstColumn="1" w:lastColumn="0" w:noHBand="0" w:noVBand="1"/>
      </w:tblPr>
      <w:tblGrid>
        <w:gridCol w:w="4006"/>
        <w:gridCol w:w="4006"/>
      </w:tblGrid>
      <w:tr w:rsidR="001817DA" w:rsidTr="001817DA">
        <w:tc>
          <w:tcPr>
            <w:tcW w:w="4006" w:type="dxa"/>
          </w:tcPr>
          <w:p w:rsidR="001817DA" w:rsidRDefault="001817DA" w:rsidP="004A4E41">
            <w:pPr>
              <w:pStyle w:val="libFootnote0"/>
              <w:rPr>
                <w:rtl/>
                <w:lang w:bidi="fa-IR"/>
              </w:rPr>
            </w:pPr>
            <w:r>
              <w:rPr>
                <w:rtl/>
              </w:rPr>
              <w:t>(10).</w:t>
            </w:r>
            <w:r w:rsidRPr="00C9040A">
              <w:rPr>
                <w:rtl/>
              </w:rPr>
              <w:t xml:space="preserve"> في الوافي : « فكأنّي »</w:t>
            </w:r>
            <w:r>
              <w:rPr>
                <w:rtl/>
              </w:rPr>
              <w:t>.</w:t>
            </w:r>
          </w:p>
        </w:tc>
        <w:tc>
          <w:tcPr>
            <w:tcW w:w="4006" w:type="dxa"/>
          </w:tcPr>
          <w:p w:rsidR="001817DA" w:rsidRDefault="001817DA" w:rsidP="004A4E41">
            <w:pPr>
              <w:pStyle w:val="libFootnote0"/>
              <w:rPr>
                <w:rtl/>
                <w:lang w:bidi="fa-IR"/>
              </w:rPr>
            </w:pPr>
            <w:r>
              <w:rPr>
                <w:rtl/>
              </w:rPr>
              <w:t>(11).</w:t>
            </w:r>
            <w:r w:rsidRPr="00C9040A">
              <w:rPr>
                <w:rtl/>
              </w:rPr>
              <w:t xml:space="preserve"> في « ب ، ز ، بس ، بف » </w:t>
            </w:r>
            <w:r>
              <w:rPr>
                <w:rtl/>
              </w:rPr>
              <w:t>: -</w:t>
            </w:r>
            <w:r w:rsidRPr="00C9040A">
              <w:rPr>
                <w:rtl/>
              </w:rPr>
              <w:t xml:space="preserve"> « و</w:t>
            </w:r>
            <w:r>
              <w:rPr>
                <w:rFonts w:hint="cs"/>
                <w:rtl/>
              </w:rPr>
              <w:t xml:space="preserve"> </w:t>
            </w:r>
            <w:r w:rsidRPr="00C9040A">
              <w:rPr>
                <w:rtl/>
              </w:rPr>
              <w:t>»</w:t>
            </w:r>
            <w:r>
              <w:rPr>
                <w:rtl/>
              </w:rPr>
              <w:t>.</w:t>
            </w:r>
          </w:p>
        </w:tc>
      </w:tr>
    </w:tbl>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فِي الْجَنَّةِ ، وَكَأَنِّي أَسْمَعُ عُوَاءَ </w:t>
      </w:r>
      <w:r w:rsidR="006C577F" w:rsidRPr="006C577F">
        <w:rPr>
          <w:rStyle w:val="libFootnotenumChar"/>
          <w:rtl/>
        </w:rPr>
        <w:t>(1)</w:t>
      </w:r>
      <w:r w:rsidRPr="00853746">
        <w:rPr>
          <w:rFonts w:hint="cs"/>
          <w:rtl/>
        </w:rPr>
        <w:t xml:space="preserve"> </w:t>
      </w:r>
      <w:r w:rsidRPr="00C9040A">
        <w:rPr>
          <w:rtl/>
          <w:lang w:bidi="fa-IR"/>
        </w:rPr>
        <w:t>أَهْلِ النَّارِ فِي النَّارِ.</w:t>
      </w:r>
    </w:p>
    <w:p w:rsidR="008A74EB" w:rsidRPr="00C9040A" w:rsidRDefault="008A74EB" w:rsidP="008A74EB">
      <w:pPr>
        <w:pStyle w:val="libNormal"/>
        <w:rPr>
          <w:rtl/>
          <w:lang w:bidi="fa-IR"/>
        </w:rPr>
      </w:pPr>
      <w:r w:rsidRPr="00C9040A">
        <w:rPr>
          <w:rtl/>
          <w:lang w:bidi="fa-IR"/>
        </w:rPr>
        <w:t xml:space="preserve">فَقَالَ </w:t>
      </w:r>
      <w:r w:rsidR="006C577F" w:rsidRPr="006C577F">
        <w:rPr>
          <w:rStyle w:val="libFootnotenumChar"/>
          <w:rtl/>
        </w:rPr>
        <w:t>(2)</w:t>
      </w:r>
      <w:r w:rsidRPr="00C9040A">
        <w:rPr>
          <w:rtl/>
          <w:lang w:bidi="fa-IR"/>
        </w:rPr>
        <w:t xml:space="preserve"> رَسُولُ اللهِ </w:t>
      </w:r>
      <w:r w:rsidR="004A4E41" w:rsidRPr="004A4E41">
        <w:rPr>
          <w:rStyle w:val="libAlaemChar"/>
          <w:rtl/>
        </w:rPr>
        <w:t>صلى‌الله‌عليه‌وآله</w:t>
      </w:r>
      <w:r w:rsidRPr="00C9040A">
        <w:rPr>
          <w:rtl/>
          <w:lang w:bidi="fa-IR"/>
        </w:rPr>
        <w:t xml:space="preserve"> : عَبْدٌ نَوَّرَ اللهُ قَلْبَهُ </w:t>
      </w:r>
      <w:r w:rsidR="006C577F" w:rsidRPr="006C577F">
        <w:rPr>
          <w:rStyle w:val="libFootnotenumChar"/>
          <w:rtl/>
        </w:rPr>
        <w:t>(3)</w:t>
      </w:r>
      <w:r w:rsidRPr="00C9040A">
        <w:rPr>
          <w:rtl/>
          <w:lang w:bidi="fa-IR"/>
        </w:rPr>
        <w:t xml:space="preserve"> ؛ أَبْصَرْتَ </w:t>
      </w:r>
      <w:r w:rsidR="006C577F" w:rsidRPr="006C577F">
        <w:rPr>
          <w:rStyle w:val="libFootnotenumChar"/>
          <w:rtl/>
        </w:rPr>
        <w:t>(4)</w:t>
      </w:r>
      <w:r w:rsidRPr="00C9040A">
        <w:rPr>
          <w:rtl/>
          <w:lang w:bidi="fa-IR"/>
        </w:rPr>
        <w:t xml:space="preserve"> ، فَاثْبُتْ.</w:t>
      </w:r>
    </w:p>
    <w:p w:rsidR="008A74EB" w:rsidRPr="0022388B" w:rsidRDefault="008A74EB" w:rsidP="00833314">
      <w:pPr>
        <w:pStyle w:val="libNormal"/>
        <w:rPr>
          <w:rtl/>
        </w:rPr>
      </w:pPr>
      <w:r w:rsidRPr="00C9040A">
        <w:rPr>
          <w:rtl/>
          <w:lang w:bidi="fa-IR"/>
        </w:rPr>
        <w:t xml:space="preserve">فَقَالَ : يَا رَسُولَ اللهِ ، ادْعُ اللهَ لِي </w:t>
      </w:r>
      <w:r w:rsidR="006C577F" w:rsidRPr="006C577F">
        <w:rPr>
          <w:rStyle w:val="libFootnotenumChar"/>
          <w:rtl/>
        </w:rPr>
        <w:t>(5)</w:t>
      </w:r>
      <w:r w:rsidRPr="00C9040A">
        <w:rPr>
          <w:rtl/>
          <w:lang w:bidi="fa-IR"/>
        </w:rPr>
        <w:t xml:space="preserve"> أَنْ يَرْزُقَنِي </w:t>
      </w:r>
      <w:r w:rsidR="006C577F" w:rsidRPr="006C577F">
        <w:rPr>
          <w:rStyle w:val="libFootnotenumChar"/>
          <w:rtl/>
        </w:rPr>
        <w:t>(6)</w:t>
      </w:r>
      <w:r w:rsidR="00833314" w:rsidRPr="00C9040A">
        <w:rPr>
          <w:rtl/>
          <w:lang w:bidi="fa-IR"/>
        </w:rPr>
        <w:t xml:space="preserve"> </w:t>
      </w:r>
      <w:r w:rsidRPr="00C9040A">
        <w:rPr>
          <w:rtl/>
          <w:lang w:bidi="fa-IR"/>
        </w:rPr>
        <w:t xml:space="preserve">الشَّهَادَةَ مَعَكَ </w:t>
      </w:r>
      <w:r w:rsidR="006C577F" w:rsidRPr="006C577F">
        <w:rPr>
          <w:rStyle w:val="libFootnotenumChar"/>
          <w:rtl/>
        </w:rPr>
        <w:t>(7)</w:t>
      </w:r>
      <w:r w:rsidRPr="00C9040A">
        <w:rPr>
          <w:rtl/>
          <w:lang w:bidi="fa-IR"/>
        </w:rPr>
        <w:t xml:space="preserve"> ، فَقَالَ </w:t>
      </w:r>
      <w:r w:rsidR="006C577F" w:rsidRPr="006C577F">
        <w:rPr>
          <w:rStyle w:val="libFootnotenumChar"/>
          <w:rtl/>
        </w:rPr>
        <w:t>(8)</w:t>
      </w:r>
      <w:r w:rsidRPr="00C9040A">
        <w:rPr>
          <w:rtl/>
          <w:lang w:bidi="fa-IR"/>
        </w:rPr>
        <w:t xml:space="preserve"> : اللهُمَّ ارْزُقْ حَارِثَةَ الشَّ</w:t>
      </w:r>
      <w:r w:rsidR="00833314">
        <w:rPr>
          <w:rtl/>
          <w:lang w:bidi="fa-IR"/>
        </w:rPr>
        <w:t>هَادَةَ ، فَلَمْ يَلْبَثْ إِل</w:t>
      </w:r>
      <w:r w:rsidR="00833314">
        <w:rPr>
          <w:rFonts w:hint="cs"/>
          <w:rtl/>
          <w:lang w:bidi="fa-IR"/>
        </w:rPr>
        <w:t>َّ</w:t>
      </w:r>
      <w:r w:rsidR="00833314">
        <w:rPr>
          <w:rtl/>
          <w:lang w:bidi="fa-IR"/>
        </w:rPr>
        <w:t>ا</w:t>
      </w:r>
      <w:r w:rsidRPr="00C9040A">
        <w:rPr>
          <w:rtl/>
          <w:lang w:bidi="fa-IR"/>
        </w:rPr>
        <w:t xml:space="preserve"> أَيَّاماً حَتّى بَعَثَ رَسُولُ اللهِ </w:t>
      </w:r>
      <w:r w:rsidR="004A4E41" w:rsidRPr="004A4E41">
        <w:rPr>
          <w:rStyle w:val="libAlaemChar"/>
          <w:rtl/>
        </w:rPr>
        <w:t>صلى‌الله‌عليه‌وآله</w:t>
      </w:r>
      <w:r w:rsidRPr="00C9040A">
        <w:rPr>
          <w:rtl/>
          <w:lang w:bidi="fa-IR"/>
        </w:rPr>
        <w:t xml:space="preserve"> سَرِيَّةً </w:t>
      </w:r>
      <w:r w:rsidR="006C577F" w:rsidRPr="006C577F">
        <w:rPr>
          <w:rStyle w:val="libFootnotenumChar"/>
          <w:rtl/>
        </w:rPr>
        <w:t>(9)</w:t>
      </w:r>
      <w:r w:rsidRPr="00C9040A">
        <w:rPr>
          <w:rtl/>
          <w:lang w:bidi="fa-IR"/>
        </w:rPr>
        <w:t xml:space="preserve"> ، فَبَعَثَهُ فِيهَا ، فَقَاتَلَ ، فَقُتِلَ تِسْعَةٌ </w:t>
      </w:r>
      <w:r w:rsidR="006C577F" w:rsidRPr="006C577F">
        <w:rPr>
          <w:rStyle w:val="libFootnotenumChar"/>
          <w:rtl/>
        </w:rPr>
        <w:t>(10)</w:t>
      </w:r>
      <w:r w:rsidRPr="00C9040A">
        <w:rPr>
          <w:rtl/>
          <w:lang w:bidi="fa-IR"/>
        </w:rPr>
        <w:t xml:space="preserve"> أَوْ ثَمَانِيَةٌ ، ثُمَّ قُتِلَ »</w:t>
      </w:r>
      <w:r>
        <w:rPr>
          <w:rtl/>
          <w:lang w:bidi="fa-IR"/>
        </w:rPr>
        <w:t>.</w:t>
      </w:r>
      <w:r w:rsidRPr="00C9040A">
        <w:rPr>
          <w:rtl/>
          <w:lang w:bidi="fa-IR"/>
        </w:rPr>
        <w:t xml:space="preserve"> </w:t>
      </w:r>
      <w:r w:rsidR="006C577F" w:rsidRPr="006C577F">
        <w:rPr>
          <w:rStyle w:val="libFootnotenumChar"/>
          <w:rtl/>
        </w:rPr>
        <w:t>(11)</w:t>
      </w:r>
      <w:r w:rsidRPr="0022388B">
        <w:rPr>
          <w:rFonts w:hint="cs"/>
          <w:rtl/>
        </w:rPr>
        <w:t xml:space="preserve"> </w:t>
      </w:r>
    </w:p>
    <w:p w:rsidR="008A74EB" w:rsidRPr="00C9040A" w:rsidRDefault="00833314" w:rsidP="008A74EB">
      <w:pPr>
        <w:pStyle w:val="libNormal"/>
        <w:rPr>
          <w:rtl/>
          <w:lang w:bidi="fa-IR"/>
        </w:rPr>
      </w:pPr>
      <w:r>
        <w:rPr>
          <w:rFonts w:hint="cs"/>
          <w:rtl/>
          <w:lang w:bidi="fa-IR"/>
        </w:rPr>
        <w:t xml:space="preserve">* </w:t>
      </w:r>
      <w:r w:rsidR="008A74EB" w:rsidRPr="00C9040A">
        <w:rPr>
          <w:rtl/>
          <w:lang w:bidi="fa-IR"/>
        </w:rPr>
        <w:t xml:space="preserve">وَفِي رِوَايَةِ الْقَاسِمِ بْنِ بُرَيْدٍ </w:t>
      </w:r>
      <w:r w:rsidR="006C577F" w:rsidRPr="006C577F">
        <w:rPr>
          <w:rStyle w:val="libFootnotenumChar"/>
          <w:rtl/>
        </w:rPr>
        <w:t>(12)</w:t>
      </w:r>
      <w:r w:rsidR="008A74EB" w:rsidRPr="00C9040A">
        <w:rPr>
          <w:rtl/>
          <w:lang w:bidi="fa-IR"/>
        </w:rPr>
        <w:t xml:space="preserve"> ، عَنْ أَبِي بَصِيرٍ ، قَالَ : « اسْتُشْهِدَ مَعَ جَعْفَرِ بْنِ أَبِي طَالِبٍ بَعْدَ تِسْعَةِ نَفَرٍ ، وَكَانَ هُوَ </w:t>
      </w:r>
      <w:r w:rsidR="008A74EB" w:rsidRPr="005B567D">
        <w:rPr>
          <w:rStyle w:val="libFootnotenumChar"/>
          <w:rtl/>
        </w:rPr>
        <w:t>(13)</w:t>
      </w:r>
      <w:r w:rsidR="008A74EB" w:rsidRPr="00C9040A">
        <w:rPr>
          <w:rtl/>
          <w:lang w:bidi="fa-IR"/>
        </w:rPr>
        <w:t xml:space="preserve"> الْعَاشِرَ »</w:t>
      </w:r>
      <w:r w:rsidR="008A74EB">
        <w:rPr>
          <w:rtl/>
          <w:lang w:bidi="fa-IR"/>
        </w:rPr>
        <w:t>.</w:t>
      </w:r>
      <w:r w:rsidR="008A74EB" w:rsidRPr="00C9040A">
        <w:rPr>
          <w:rtl/>
          <w:lang w:bidi="fa-IR"/>
        </w:rPr>
        <w:t xml:space="preserve"> </w:t>
      </w:r>
      <w:r w:rsidR="008A74EB" w:rsidRPr="005B567D">
        <w:rPr>
          <w:rStyle w:val="libFootnotenumChar"/>
          <w:rtl/>
        </w:rPr>
        <w:t>(14)</w:t>
      </w:r>
      <w:r w:rsidR="008A74EB"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 العواء » : الصياح ، وكأنّه بالذئب والكلب أخصّ. </w:t>
      </w:r>
      <w:r w:rsidR="008A74EB" w:rsidRPr="00993B55">
        <w:rPr>
          <w:rStyle w:val="libFootnoteBoldChar"/>
          <w:rtl/>
        </w:rPr>
        <w:t>لسان العرب</w:t>
      </w:r>
      <w:r w:rsidR="008A74EB" w:rsidRPr="00C9040A">
        <w:rPr>
          <w:rtl/>
        </w:rPr>
        <w:t xml:space="preserve"> ، ج 15 ، ص 107 ( عوى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هكذا في النسخ التي قوبلت والوافي والمحاسن والمعاني والجعفريّات. وفي المطبوع : + « له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ز » والمحاسن : + « للإيمان »</w:t>
      </w:r>
      <w:r w:rsidR="008A74EB">
        <w:rPr>
          <w:rtl/>
        </w:rPr>
        <w:t>.</w:t>
      </w:r>
    </w:p>
    <w:p w:rsidR="008A74EB" w:rsidRPr="004A4E41" w:rsidRDefault="006C577F" w:rsidP="004A4E41">
      <w:pPr>
        <w:pStyle w:val="libFootnote0"/>
        <w:rPr>
          <w:rStyle w:val="libFootnote0Char"/>
          <w:rtl/>
        </w:rPr>
      </w:pPr>
      <w:r>
        <w:rPr>
          <w:rtl/>
        </w:rPr>
        <w:t>(4).</w:t>
      </w:r>
      <w:r w:rsidR="008A74EB" w:rsidRPr="00C9040A">
        <w:rPr>
          <w:rtl/>
        </w:rPr>
        <w:t xml:space="preserve"> في المحاسن </w:t>
      </w:r>
      <w:r w:rsidR="008A74EB">
        <w:rPr>
          <w:rtl/>
        </w:rPr>
        <w:t xml:space="preserve">: </w:t>
      </w:r>
      <w:r w:rsidR="0084262C">
        <w:rPr>
          <w:rtl/>
        </w:rPr>
        <w:t>-</w:t>
      </w:r>
      <w:r w:rsidR="008A74EB" w:rsidRPr="00C9040A">
        <w:rPr>
          <w:rtl/>
        </w:rPr>
        <w:t xml:space="preserve"> « أبصرت »</w:t>
      </w:r>
      <w:r w:rsidR="008A74EB">
        <w:rPr>
          <w:rtl/>
        </w:rPr>
        <w:t>.</w:t>
      </w:r>
    </w:p>
    <w:tbl>
      <w:tblPr>
        <w:tblStyle w:val="TableGrid"/>
        <w:bidiVisual/>
        <w:tblW w:w="0" w:type="auto"/>
        <w:tblLook w:val="04A0" w:firstRow="1" w:lastRow="0" w:firstColumn="1" w:lastColumn="0" w:noHBand="0" w:noVBand="1"/>
      </w:tblPr>
      <w:tblGrid>
        <w:gridCol w:w="4006"/>
        <w:gridCol w:w="4006"/>
      </w:tblGrid>
      <w:tr w:rsidR="00833314" w:rsidTr="00833314">
        <w:tc>
          <w:tcPr>
            <w:tcW w:w="4006" w:type="dxa"/>
          </w:tcPr>
          <w:p w:rsidR="00833314" w:rsidRDefault="00833314" w:rsidP="004A4E41">
            <w:pPr>
              <w:pStyle w:val="libFootnote0"/>
              <w:rPr>
                <w:rtl/>
              </w:rPr>
            </w:pPr>
            <w:r>
              <w:rPr>
                <w:rtl/>
              </w:rPr>
              <w:t>(5).</w:t>
            </w:r>
            <w:r w:rsidRPr="00C9040A">
              <w:rPr>
                <w:rtl/>
              </w:rPr>
              <w:t xml:space="preserve"> في « ز » : + « ربّي »</w:t>
            </w:r>
            <w:r>
              <w:rPr>
                <w:rtl/>
              </w:rPr>
              <w:t>.</w:t>
            </w:r>
          </w:p>
        </w:tc>
        <w:tc>
          <w:tcPr>
            <w:tcW w:w="4006" w:type="dxa"/>
          </w:tcPr>
          <w:p w:rsidR="00833314" w:rsidRDefault="00833314" w:rsidP="004A4E41">
            <w:pPr>
              <w:pStyle w:val="libFootnote0"/>
              <w:rPr>
                <w:rtl/>
              </w:rPr>
            </w:pPr>
            <w:r>
              <w:rPr>
                <w:rtl/>
              </w:rPr>
              <w:t xml:space="preserve">(6). </w:t>
            </w:r>
            <w:r w:rsidRPr="00C9040A">
              <w:rPr>
                <w:rtl/>
              </w:rPr>
              <w:t>في « ف » : « أرزقني »</w:t>
            </w:r>
            <w:r>
              <w:rPr>
                <w:rtl/>
              </w:rPr>
              <w:t>.</w:t>
            </w:r>
          </w:p>
        </w:tc>
      </w:tr>
      <w:tr w:rsidR="00833314" w:rsidTr="00833314">
        <w:tc>
          <w:tcPr>
            <w:tcW w:w="4006" w:type="dxa"/>
          </w:tcPr>
          <w:p w:rsidR="00833314" w:rsidRDefault="00833314" w:rsidP="004A4E41">
            <w:pPr>
              <w:pStyle w:val="libFootnote0"/>
              <w:rPr>
                <w:rtl/>
              </w:rPr>
            </w:pPr>
            <w:r>
              <w:rPr>
                <w:rtl/>
              </w:rPr>
              <w:t>(7).</w:t>
            </w:r>
            <w:r w:rsidRPr="00C9040A">
              <w:rPr>
                <w:rtl/>
              </w:rPr>
              <w:t xml:space="preserve"> في المحاسن </w:t>
            </w:r>
            <w:r>
              <w:rPr>
                <w:rtl/>
              </w:rPr>
              <w:t>: -</w:t>
            </w:r>
            <w:r w:rsidRPr="00C9040A">
              <w:rPr>
                <w:rtl/>
              </w:rPr>
              <w:t xml:space="preserve"> « معك »</w:t>
            </w:r>
            <w:r>
              <w:rPr>
                <w:rtl/>
              </w:rPr>
              <w:t>.</w:t>
            </w:r>
          </w:p>
        </w:tc>
        <w:tc>
          <w:tcPr>
            <w:tcW w:w="4006" w:type="dxa"/>
          </w:tcPr>
          <w:p w:rsidR="00833314" w:rsidRDefault="00833314" w:rsidP="004A4E41">
            <w:pPr>
              <w:pStyle w:val="libFootnote0"/>
              <w:rPr>
                <w:rtl/>
              </w:rPr>
            </w:pPr>
            <w:r>
              <w:rPr>
                <w:rtl/>
              </w:rPr>
              <w:t>(8).</w:t>
            </w:r>
            <w:r w:rsidRPr="00C9040A">
              <w:rPr>
                <w:rtl/>
              </w:rPr>
              <w:t xml:space="preserve"> في « ض » : « قال »</w:t>
            </w:r>
            <w:r>
              <w:rPr>
                <w:rtl/>
              </w:rPr>
              <w:t>.</w:t>
            </w:r>
          </w:p>
        </w:tc>
      </w:tr>
    </w:tbl>
    <w:p w:rsidR="008A74EB" w:rsidRPr="00C9040A" w:rsidRDefault="006C577F" w:rsidP="004A4E41">
      <w:pPr>
        <w:pStyle w:val="libFootnote0"/>
        <w:rPr>
          <w:rtl/>
          <w:lang w:bidi="fa-IR"/>
        </w:rPr>
      </w:pPr>
      <w:r>
        <w:rPr>
          <w:rtl/>
        </w:rPr>
        <w:t>(9).</w:t>
      </w:r>
      <w:r w:rsidR="008A74EB" w:rsidRPr="00C9040A">
        <w:rPr>
          <w:rtl/>
        </w:rPr>
        <w:t xml:space="preserve"> في حاشية « ج ، ض ، بر ، بس » والبحار : « بسريّة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المحاسن : « سبعة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w:t>
      </w:r>
      <w:r w:rsidR="008A74EB" w:rsidRPr="00993B55">
        <w:rPr>
          <w:rStyle w:val="libFootnoteBoldChar"/>
          <w:rtl/>
        </w:rPr>
        <w:t>المحاسن</w:t>
      </w:r>
      <w:r w:rsidR="008A74EB" w:rsidRPr="00C9040A">
        <w:rPr>
          <w:rtl/>
        </w:rPr>
        <w:t xml:space="preserve"> ، ص 246 ، كتاب مصابيح الظلم ، ح 247 ، عن أبيه ، عن ابن سنان ، مع اختلاف يسير. </w:t>
      </w:r>
      <w:r w:rsidR="008A74EB" w:rsidRPr="00993B55">
        <w:rPr>
          <w:rStyle w:val="libFootnoteBoldChar"/>
          <w:rtl/>
        </w:rPr>
        <w:t>معاني الأخبار</w:t>
      </w:r>
      <w:r w:rsidR="008A74EB" w:rsidRPr="00C9040A">
        <w:rPr>
          <w:rtl/>
        </w:rPr>
        <w:t xml:space="preserve"> ، ص 187 ، ح 5 ، بسند آخر ، إلى قوله : « عبد نوّر الله قلبه أبصرت فاثبت » ، مع اختلاف يسير وزيادة في آخره. </w:t>
      </w:r>
      <w:r w:rsidR="008A74EB" w:rsidRPr="00993B55">
        <w:rPr>
          <w:rStyle w:val="libFootnoteBoldChar"/>
          <w:rtl/>
        </w:rPr>
        <w:t>الجعفريّات</w:t>
      </w:r>
      <w:r w:rsidR="008A74EB" w:rsidRPr="00C9040A">
        <w:rPr>
          <w:rtl/>
        </w:rPr>
        <w:t xml:space="preserve"> ، ص 76 ، بسند آخر عن أبي عبد الله ، عن آبائه </w:t>
      </w:r>
      <w:r w:rsidR="00117575" w:rsidRPr="00117575">
        <w:rPr>
          <w:rStyle w:val="libFootnoteAlaemChar"/>
          <w:rtl/>
        </w:rPr>
        <w:t>عليهم‌السلام</w:t>
      </w:r>
      <w:r w:rsidR="008A74EB" w:rsidRPr="00C9040A">
        <w:rPr>
          <w:rtl/>
        </w:rPr>
        <w:t xml:space="preserve"> عن رسول الله </w:t>
      </w:r>
      <w:r w:rsidR="004A4E41" w:rsidRPr="00B866D3">
        <w:rPr>
          <w:rStyle w:val="libFootnoteAlaemChar"/>
          <w:rtl/>
        </w:rPr>
        <w:t>صلى‌الله‌عليه‌وآله</w:t>
      </w:r>
      <w:r w:rsidR="008A74EB" w:rsidRPr="00C9040A">
        <w:rPr>
          <w:rtl/>
        </w:rPr>
        <w:t xml:space="preserve"> ، مع اختلاف يسير</w:t>
      </w:r>
      <w:r w:rsidR="00833314">
        <w:rPr>
          <w:rFonts w:hint="cs"/>
          <w:rtl/>
        </w:rPr>
        <w:t>.</w:t>
      </w:r>
      <w:r w:rsidR="008A74EB" w:rsidRPr="00993B55">
        <w:rPr>
          <w:rStyle w:val="libFootnoteBoldChar"/>
          <w:rtl/>
        </w:rPr>
        <w:t>الوافي</w:t>
      </w:r>
      <w:r w:rsidR="008A74EB" w:rsidRPr="00C9040A">
        <w:rPr>
          <w:rtl/>
        </w:rPr>
        <w:t xml:space="preserve"> ، ج 4 ، ص 150 ، ح 1745 ؛ </w:t>
      </w:r>
      <w:r w:rsidR="008A74EB" w:rsidRPr="00993B55">
        <w:rPr>
          <w:rStyle w:val="libFootnoteBoldChar"/>
          <w:rtl/>
        </w:rPr>
        <w:t>البحار</w:t>
      </w:r>
      <w:r w:rsidR="008A74EB" w:rsidRPr="00C9040A">
        <w:rPr>
          <w:rtl/>
        </w:rPr>
        <w:t xml:space="preserve"> ، ج 22 ، ص 126 ، ح 98 ؛ وج 67 ، ص 287 ، ح 9.</w:t>
      </w:r>
    </w:p>
    <w:p w:rsidR="008A74EB" w:rsidRPr="00C9040A" w:rsidRDefault="006C577F" w:rsidP="004A4E41">
      <w:pPr>
        <w:pStyle w:val="libFootnote0"/>
        <w:rPr>
          <w:rtl/>
          <w:lang w:bidi="fa-IR"/>
        </w:rPr>
      </w:pPr>
      <w:r>
        <w:rPr>
          <w:rtl/>
        </w:rPr>
        <w:t>(12).</w:t>
      </w:r>
      <w:r w:rsidR="008A74EB" w:rsidRPr="00C9040A">
        <w:rPr>
          <w:rtl/>
        </w:rPr>
        <w:t xml:space="preserve"> في « ز ، ص ، بس ، بف » وحاشية « ج » : « يزيد »</w:t>
      </w:r>
      <w:r w:rsidR="008A74EB">
        <w:rPr>
          <w:rtl/>
        </w:rPr>
        <w:t>.</w:t>
      </w:r>
    </w:p>
    <w:p w:rsidR="008A74EB" w:rsidRPr="00C9040A" w:rsidRDefault="008A74EB" w:rsidP="004A4E41">
      <w:pPr>
        <w:pStyle w:val="libFootnote0"/>
        <w:rPr>
          <w:rtl/>
          <w:lang w:bidi="fa-IR"/>
        </w:rPr>
      </w:pPr>
      <w:r w:rsidRPr="00323A39">
        <w:rPr>
          <w:rtl/>
        </w:rPr>
        <w:t xml:space="preserve">ولم يُعهَد في رواتنا من يسمّى بالقاسم بن يزيد ، وما ورد في بعض الأسناد القليلة محرّفٌ من « القاسم بن بريد ». وهو القاسم بن بريد بن معاوية العجلي ، روى كتابه فضالة بن أيّوب وتكرّرت روايته عنه في الأسناد. راجع : </w:t>
      </w:r>
      <w:r w:rsidRPr="00993B55">
        <w:rPr>
          <w:rStyle w:val="libFootnoteBoldChar"/>
          <w:rtl/>
        </w:rPr>
        <w:t>رجال النجاشي</w:t>
      </w:r>
      <w:r w:rsidRPr="00323A39">
        <w:rPr>
          <w:rtl/>
        </w:rPr>
        <w:t xml:space="preserve"> ، ص 313 ، الرقم 857 ؛ </w:t>
      </w:r>
      <w:r w:rsidRPr="00993B55">
        <w:rPr>
          <w:rStyle w:val="libFootnoteBoldChar"/>
          <w:rtl/>
        </w:rPr>
        <w:t>معجم رجال الحديث</w:t>
      </w:r>
      <w:r w:rsidRPr="00323A39">
        <w:rPr>
          <w:rtl/>
        </w:rPr>
        <w:t xml:space="preserve"> ، ج 13 ، ص 439 </w:t>
      </w:r>
      <w:r w:rsidR="0084262C" w:rsidRPr="00323A39">
        <w:rPr>
          <w:rtl/>
        </w:rPr>
        <w:t>-</w:t>
      </w:r>
      <w:r w:rsidRPr="00323A39">
        <w:rPr>
          <w:rtl/>
        </w:rPr>
        <w:t xml:space="preserve"> 440 ، وص 450.</w:t>
      </w:r>
    </w:p>
    <w:p w:rsidR="008A74EB" w:rsidRPr="00C9040A" w:rsidRDefault="008A74EB" w:rsidP="004A4E41">
      <w:pPr>
        <w:pStyle w:val="libFootnote0"/>
        <w:rPr>
          <w:rtl/>
          <w:lang w:bidi="fa-IR"/>
        </w:rPr>
      </w:pPr>
      <w:r w:rsidRPr="00323A39">
        <w:rPr>
          <w:rtl/>
        </w:rPr>
        <w:t xml:space="preserve">هذا ، وقد روى محمّد بن سنان عن القاسم بن بريد في طريق الشيخ الصدوق إلى القاسم ، فاحتمال وقوع التعليق في السند بأن يكون محمّد بن سنان راوياً عن القاسم بن بريد ، غير منفيّ. راجع : </w:t>
      </w:r>
      <w:r w:rsidRPr="00993B55">
        <w:rPr>
          <w:rStyle w:val="libFootnoteBoldChar"/>
          <w:rtl/>
        </w:rPr>
        <w:t>الفقيه</w:t>
      </w:r>
      <w:r w:rsidRPr="00323A39">
        <w:rPr>
          <w:rtl/>
        </w:rPr>
        <w:t xml:space="preserve"> ، ج 4 ، ص 516.</w:t>
      </w:r>
    </w:p>
    <w:p w:rsidR="008A74EB" w:rsidRPr="00C9040A" w:rsidRDefault="008A74EB" w:rsidP="004A4E41">
      <w:pPr>
        <w:pStyle w:val="libFootnote0"/>
        <w:rPr>
          <w:rtl/>
          <w:lang w:bidi="fa-IR"/>
        </w:rPr>
      </w:pPr>
      <w:r>
        <w:rPr>
          <w:rtl/>
        </w:rPr>
        <w:t>(13)</w:t>
      </w:r>
      <w:r w:rsidRPr="00C9040A">
        <w:rPr>
          <w:rtl/>
        </w:rPr>
        <w:t xml:space="preserve"> في « بس ، بف » </w:t>
      </w:r>
      <w:r>
        <w:rPr>
          <w:rtl/>
        </w:rPr>
        <w:t xml:space="preserve">: </w:t>
      </w:r>
      <w:r w:rsidR="0084262C">
        <w:rPr>
          <w:rtl/>
        </w:rPr>
        <w:t>-</w:t>
      </w:r>
      <w:r w:rsidRPr="00C9040A">
        <w:rPr>
          <w:rtl/>
        </w:rPr>
        <w:t xml:space="preserve"> « هو »</w:t>
      </w:r>
      <w:r>
        <w:rPr>
          <w:rtl/>
        </w:rPr>
        <w:t>.</w:t>
      </w:r>
    </w:p>
    <w:p w:rsidR="008A74EB" w:rsidRPr="00C9040A" w:rsidRDefault="008A74EB" w:rsidP="004A4E41">
      <w:pPr>
        <w:pStyle w:val="libFootnote0"/>
        <w:rPr>
          <w:rtl/>
          <w:lang w:bidi="fa-IR"/>
        </w:rPr>
      </w:pPr>
      <w:r>
        <w:rPr>
          <w:rtl/>
        </w:rPr>
        <w:t>(14)</w:t>
      </w:r>
      <w:r w:rsidRPr="00C9040A">
        <w:rPr>
          <w:rtl/>
        </w:rPr>
        <w:t xml:space="preserve"> </w:t>
      </w:r>
      <w:r w:rsidRPr="00993B55">
        <w:rPr>
          <w:rStyle w:val="libFootnoteBoldChar"/>
          <w:rtl/>
        </w:rPr>
        <w:t>الوافي</w:t>
      </w:r>
      <w:r w:rsidRPr="00C9040A">
        <w:rPr>
          <w:rtl/>
        </w:rPr>
        <w:t xml:space="preserve"> ، ج 4 ، ص 151 ، ح 1746 ؛ </w:t>
      </w:r>
      <w:r w:rsidRPr="00993B55">
        <w:rPr>
          <w:rStyle w:val="libFootnoteBoldChar"/>
          <w:rtl/>
        </w:rPr>
        <w:t>البحار</w:t>
      </w:r>
      <w:r w:rsidRPr="00C9040A">
        <w:rPr>
          <w:rtl/>
        </w:rPr>
        <w:t xml:space="preserve"> ، ج 22 ، ص 126 ، ذيل ح 98 ؛ وج 67 ، ص 287 ، ذيل ح 9.</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22388B">
        <w:rPr>
          <w:rtl/>
        </w:rPr>
        <w:lastRenderedPageBreak/>
        <w:t>1554</w:t>
      </w:r>
      <w:r w:rsidRPr="00261CB0">
        <w:rPr>
          <w:rStyle w:val="libBold2Char"/>
          <w:rtl/>
        </w:rPr>
        <w:t xml:space="preserve"> / 4.</w:t>
      </w:r>
      <w:r w:rsidRPr="00C9040A">
        <w:rPr>
          <w:rtl/>
          <w:lang w:bidi="fa-IR"/>
        </w:rPr>
        <w:t xml:space="preserve"> عَلِيُّ بْنُ إِبْرَاهِيمَ ، عَنْ أَبِيهِ ، عَنِ النَّوْفَلِيِّ ، عَنِ السَّكُونِيِّ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أَمِيرُ الْمُؤْمِنِينَ صَلَوَاتُ اللهِ عَلَيْهِ </w:t>
      </w:r>
      <w:r w:rsidR="006C577F" w:rsidRPr="006C577F">
        <w:rPr>
          <w:rStyle w:val="libFootnotenumChar"/>
          <w:rtl/>
        </w:rPr>
        <w:t>(1)</w:t>
      </w:r>
      <w:r w:rsidRPr="001E6F92">
        <w:rPr>
          <w:rFonts w:hint="cs"/>
          <w:rtl/>
        </w:rPr>
        <w:t xml:space="preserve"> </w:t>
      </w:r>
      <w:r w:rsidRPr="00C9040A">
        <w:rPr>
          <w:rtl/>
          <w:lang w:bidi="fa-IR"/>
        </w:rPr>
        <w:t xml:space="preserve">: إِنَّ عَلى كُلِّ حَقٍّ حَقِيقَةً ، وَعَلى كُلِّ صَوَابٍ </w:t>
      </w:r>
      <w:r w:rsidR="006C577F" w:rsidRPr="006C577F">
        <w:rPr>
          <w:rStyle w:val="libFootnotenumChar"/>
          <w:rtl/>
        </w:rPr>
        <w:t>(2)</w:t>
      </w:r>
      <w:r w:rsidRPr="00C9040A">
        <w:rPr>
          <w:rtl/>
          <w:lang w:bidi="fa-IR"/>
        </w:rPr>
        <w:t xml:space="preserve"> نُوراً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Heading2Center"/>
        <w:rPr>
          <w:rtl/>
          <w:lang w:bidi="fa-IR"/>
        </w:rPr>
      </w:pPr>
      <w:bookmarkStart w:id="94" w:name="_Toc343795619"/>
      <w:bookmarkStart w:id="95" w:name="_Toc459810743"/>
      <w:bookmarkStart w:id="96" w:name="_Toc35348649"/>
      <w:r w:rsidRPr="00C9040A">
        <w:rPr>
          <w:rtl/>
          <w:lang w:bidi="fa-IR"/>
        </w:rPr>
        <w:t>28</w:t>
      </w:r>
      <w:r>
        <w:rPr>
          <w:rtl/>
          <w:lang w:bidi="fa-IR"/>
        </w:rPr>
        <w:t xml:space="preserve"> </w:t>
      </w:r>
      <w:r w:rsidR="0084262C">
        <w:rPr>
          <w:rtl/>
          <w:lang w:bidi="fa-IR"/>
        </w:rPr>
        <w:t>-</w:t>
      </w:r>
      <w:r>
        <w:rPr>
          <w:rtl/>
          <w:lang w:bidi="fa-IR"/>
        </w:rPr>
        <w:t xml:space="preserve"> </w:t>
      </w:r>
      <w:r w:rsidRPr="00C9040A">
        <w:rPr>
          <w:rtl/>
          <w:lang w:bidi="fa-IR"/>
        </w:rPr>
        <w:t>بَابُ التَّفَكُّرِ‌</w:t>
      </w:r>
      <w:bookmarkEnd w:id="94"/>
      <w:bookmarkEnd w:id="95"/>
      <w:bookmarkEnd w:id="96"/>
    </w:p>
    <w:p w:rsidR="008A74EB" w:rsidRPr="00C9040A" w:rsidRDefault="008A74EB" w:rsidP="008A74EB">
      <w:pPr>
        <w:pStyle w:val="libNormal"/>
        <w:rPr>
          <w:rtl/>
          <w:lang w:bidi="fa-IR"/>
        </w:rPr>
      </w:pPr>
      <w:r w:rsidRPr="0022388B">
        <w:rPr>
          <w:rtl/>
        </w:rPr>
        <w:t>1555</w:t>
      </w:r>
      <w:r w:rsidRPr="00261CB0">
        <w:rPr>
          <w:rStyle w:val="libBold2Char"/>
          <w:rtl/>
        </w:rPr>
        <w:t xml:space="preserve"> / 1.</w:t>
      </w:r>
      <w:r w:rsidRPr="00C9040A">
        <w:rPr>
          <w:rtl/>
          <w:lang w:bidi="fa-IR"/>
        </w:rPr>
        <w:t xml:space="preserve"> عَلِيُّ بْنُ إِبْرَاهِيمَ ، عَنْ أَبِيهِ ، عَنِ النَّوْفَلِيِّ ، عَنِ السَّكُونِيِّ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كَانَ أَمِيرُ الْمُؤْمِنِينَ </w:t>
      </w:r>
      <w:r w:rsidRPr="0003660B">
        <w:rPr>
          <w:rStyle w:val="libAlaemChar"/>
          <w:rtl/>
        </w:rPr>
        <w:t>عليه‌السلام</w:t>
      </w:r>
      <w:r w:rsidRPr="00C9040A">
        <w:rPr>
          <w:rtl/>
          <w:lang w:bidi="fa-IR"/>
        </w:rPr>
        <w:t xml:space="preserve"> يَقُولُ : نَبِّهْ بِالتَّفَكُّرِ </w:t>
      </w:r>
      <w:r w:rsidR="006C577F" w:rsidRPr="006C577F">
        <w:rPr>
          <w:rStyle w:val="libFootnotenumChar"/>
          <w:rtl/>
        </w:rPr>
        <w:t>(4)</w:t>
      </w:r>
      <w:r w:rsidRPr="00C9040A">
        <w:rPr>
          <w:rtl/>
          <w:lang w:bidi="fa-IR"/>
        </w:rPr>
        <w:t xml:space="preserve"> قَلْبَكَ ، وَجَافِ </w:t>
      </w:r>
      <w:r w:rsidR="006C577F" w:rsidRPr="006C577F">
        <w:rPr>
          <w:rStyle w:val="libFootnotenumChar"/>
          <w:rtl/>
        </w:rPr>
        <w:t>(5)</w:t>
      </w:r>
      <w:r w:rsidRPr="00C9040A">
        <w:rPr>
          <w:rtl/>
          <w:lang w:bidi="fa-IR"/>
        </w:rPr>
        <w:t xml:space="preserve"> عَنِ اللَّيْلِ </w:t>
      </w:r>
      <w:r w:rsidR="006C577F" w:rsidRPr="006C577F">
        <w:rPr>
          <w:rStyle w:val="libFootnotenumChar"/>
          <w:rtl/>
        </w:rPr>
        <w:t>(6)</w:t>
      </w:r>
      <w:r w:rsidRPr="005B567D">
        <w:rPr>
          <w:rStyle w:val="libFootnotenumChar"/>
          <w:rtl/>
        </w:rPr>
        <w:t xml:space="preserve"> </w:t>
      </w:r>
      <w:r w:rsidRPr="00C9040A">
        <w:rPr>
          <w:rtl/>
          <w:lang w:bidi="fa-IR"/>
        </w:rPr>
        <w:t>جَنْبَكَ ، وَاتَّقِ اللهَ رَبَّكَ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22388B">
        <w:rPr>
          <w:rtl/>
        </w:rPr>
        <w:t>1556</w:t>
      </w:r>
      <w:r w:rsidRPr="00261CB0">
        <w:rPr>
          <w:rStyle w:val="libBold2Char"/>
          <w:rtl/>
        </w:rPr>
        <w:t xml:space="preserve"> / 2.</w:t>
      </w:r>
      <w:r w:rsidRPr="00C9040A">
        <w:rPr>
          <w:rtl/>
          <w:lang w:bidi="fa-IR"/>
        </w:rPr>
        <w:t xml:space="preserve"> عَلِيُّ بْنُ إِبْرَاهِيمَ ، عَنْ أَبِيهِ ، عَنْ بَعْضِ أَصْحَابِهِ ، عَنْ أَبَانٍ ، عَنِ الْحَسَنِ الصَّيْقَلِ ، قَالَ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الكافي ، ح 203 : « قال رسول الله </w:t>
      </w:r>
      <w:r w:rsidR="004A4E41" w:rsidRPr="00B866D3">
        <w:rPr>
          <w:rStyle w:val="libFootnoteAlaemChar"/>
          <w:rtl/>
        </w:rPr>
        <w:t>صلى‌الله‌عليه‌وآله</w:t>
      </w:r>
      <w:r w:rsidR="008A74EB" w:rsidRPr="00C9040A">
        <w:rPr>
          <w:rtl/>
        </w:rPr>
        <w:t xml:space="preserve"> » بدل « قال أميرالمؤمنين صلوات الله عليه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تفسير العيّاشي : « ثواب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w:t>
      </w:r>
      <w:r w:rsidR="008A74EB" w:rsidRPr="00993B55">
        <w:rPr>
          <w:rStyle w:val="libFootnoteBoldChar"/>
          <w:rtl/>
        </w:rPr>
        <w:t>الكافي</w:t>
      </w:r>
      <w:r w:rsidR="008A74EB" w:rsidRPr="00C9040A">
        <w:rPr>
          <w:rtl/>
        </w:rPr>
        <w:t xml:space="preserve"> ، كتاب فضل العلم ، باب الأخذ بالسنّة وشواهد الكتاب ، ح 203. وفي </w:t>
      </w:r>
      <w:r w:rsidR="008A74EB" w:rsidRPr="00993B55">
        <w:rPr>
          <w:rStyle w:val="libFootnoteBoldChar"/>
          <w:rtl/>
        </w:rPr>
        <w:t>المحاسن</w:t>
      </w:r>
      <w:r w:rsidR="008A74EB" w:rsidRPr="00C9040A">
        <w:rPr>
          <w:rtl/>
        </w:rPr>
        <w:t xml:space="preserve"> ، ص 226 ، كتاب مصابيح الظلم ، ح 150 ، عن النوفليّ ، عن السكوني ، عن أبي عبدالله ، عن آبائه ، عن عليّ </w:t>
      </w:r>
      <w:r w:rsidR="00117575" w:rsidRPr="00117575">
        <w:rPr>
          <w:rStyle w:val="libFootnoteAlaemChar"/>
          <w:rtl/>
        </w:rPr>
        <w:t>عليهم‌السلام</w:t>
      </w:r>
      <w:r w:rsidR="008A74EB" w:rsidRPr="00C9040A">
        <w:rPr>
          <w:rtl/>
        </w:rPr>
        <w:t xml:space="preserve"> ؛ </w:t>
      </w:r>
      <w:r w:rsidR="008A74EB" w:rsidRPr="0034021D">
        <w:rPr>
          <w:rStyle w:val="libFootnoteBoldChar"/>
          <w:rtl/>
        </w:rPr>
        <w:t>الأمالي للصدوق</w:t>
      </w:r>
      <w:r w:rsidR="008A74EB" w:rsidRPr="00C9040A">
        <w:rPr>
          <w:rtl/>
        </w:rPr>
        <w:t xml:space="preserve"> ، ص 367 ، المجلس 58 ، ح 16 ، بسنده عن عليّ بن إبراهيم ، وفي كلّها مع زيادة في آخره. </w:t>
      </w:r>
      <w:r w:rsidR="008A74EB" w:rsidRPr="00993B55">
        <w:rPr>
          <w:rStyle w:val="libFootnoteBoldChar"/>
          <w:rtl/>
        </w:rPr>
        <w:t>الغيبة</w:t>
      </w:r>
      <w:r w:rsidR="008A74EB" w:rsidRPr="00C9040A">
        <w:rPr>
          <w:rtl/>
        </w:rPr>
        <w:t xml:space="preserve"> للنعماني ، ص 141 ، ح 2 ، بسند آخر عن أبي عبد الله </w:t>
      </w:r>
      <w:r w:rsidR="00117575" w:rsidRPr="00117575">
        <w:rPr>
          <w:rStyle w:val="libFootnoteAlaemChar"/>
          <w:rtl/>
        </w:rPr>
        <w:t>عليه‌السلام</w:t>
      </w:r>
      <w:r w:rsidR="008A74EB" w:rsidRPr="00C9040A">
        <w:rPr>
          <w:rtl/>
        </w:rPr>
        <w:t xml:space="preserve"> ، مع اختلاف يسير وزيادة في أوّله وآخره. </w:t>
      </w:r>
      <w:r w:rsidR="008A74EB" w:rsidRPr="00993B55">
        <w:rPr>
          <w:rStyle w:val="libFootnoteBoldChar"/>
          <w:rtl/>
        </w:rPr>
        <w:t>تفسير العيّاشي</w:t>
      </w:r>
      <w:r w:rsidR="008A74EB" w:rsidRPr="00C9040A">
        <w:rPr>
          <w:rtl/>
        </w:rPr>
        <w:t xml:space="preserve"> ، ج 1 ، ص 9 ، ح 2 ، عن السكوني ؛ وج 2 ، ص 115 ، ح 150 ، عن عبد الأعلى ، عن أبي عبد الله </w:t>
      </w:r>
      <w:r w:rsidR="00117575" w:rsidRPr="00117575">
        <w:rPr>
          <w:rStyle w:val="libFootnoteAlaemChar"/>
          <w:rtl/>
        </w:rPr>
        <w:t>عليه‌السلام</w:t>
      </w:r>
      <w:r w:rsidR="008A74EB" w:rsidRPr="00C9040A">
        <w:rPr>
          <w:rtl/>
        </w:rPr>
        <w:t xml:space="preserve"> ، وفيهما مع اختلاف يسير وزيادة في أوّله وآخره</w:t>
      </w:r>
      <w:r w:rsidR="00833314">
        <w:rPr>
          <w:rFonts w:hint="cs"/>
          <w:rtl/>
        </w:rPr>
        <w:t>.</w:t>
      </w:r>
      <w:r w:rsidR="008A74EB" w:rsidRPr="00993B55">
        <w:rPr>
          <w:rStyle w:val="libFootnoteBoldChar"/>
          <w:rtl/>
        </w:rPr>
        <w:t>الوافي</w:t>
      </w:r>
      <w:r w:rsidR="008A74EB" w:rsidRPr="00C9040A">
        <w:rPr>
          <w:rtl/>
        </w:rPr>
        <w:t xml:space="preserve"> ، ج 4 ، ص 147 ، ح 1741.</w:t>
      </w:r>
    </w:p>
    <w:p w:rsidR="008A74EB" w:rsidRPr="00C9040A" w:rsidRDefault="006C577F" w:rsidP="004A4E41">
      <w:pPr>
        <w:pStyle w:val="libFootnote0"/>
        <w:rPr>
          <w:rtl/>
          <w:lang w:bidi="fa-IR"/>
        </w:rPr>
      </w:pPr>
      <w:r>
        <w:rPr>
          <w:rtl/>
        </w:rPr>
        <w:t>(4).</w:t>
      </w:r>
      <w:r w:rsidR="008A74EB" w:rsidRPr="00C9040A">
        <w:rPr>
          <w:rtl/>
        </w:rPr>
        <w:t xml:space="preserve"> في الوسائل : « بالفكر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جفا الشي‌ءُ يجفو جَفاءً ، كالسرج يجفو عن الظهر ، وكالجنب يجفو عن الفراش. وتجافى مثله. وقوله تعالى : </w:t>
      </w:r>
      <w:r w:rsidR="008A74EB" w:rsidRPr="00B866D3">
        <w:rPr>
          <w:rStyle w:val="libFootnoteAlaemChar"/>
          <w:rtl/>
        </w:rPr>
        <w:t>(</w:t>
      </w:r>
      <w:r w:rsidR="008A74EB" w:rsidRPr="00883DD5">
        <w:rPr>
          <w:rStyle w:val="libFootnoteAieChar"/>
          <w:rFonts w:hint="cs"/>
          <w:rtl/>
        </w:rPr>
        <w:t xml:space="preserve"> </w:t>
      </w:r>
      <w:r w:rsidR="008A74EB" w:rsidRPr="00883DD5">
        <w:rPr>
          <w:rStyle w:val="libFootnoteAieChar"/>
          <w:rtl/>
        </w:rPr>
        <w:t>تَتَج</w:t>
      </w:r>
      <w:r w:rsidR="00833314">
        <w:rPr>
          <w:rStyle w:val="libFootnoteAieChar"/>
          <w:rFonts w:hint="cs"/>
          <w:rtl/>
        </w:rPr>
        <w:t>َ</w:t>
      </w:r>
      <w:r w:rsidR="008A74EB" w:rsidRPr="00883DD5">
        <w:rPr>
          <w:rStyle w:val="libFootnoteAieChar"/>
          <w:rtl/>
        </w:rPr>
        <w:t>اف</w:t>
      </w:r>
      <w:r w:rsidR="00833314">
        <w:rPr>
          <w:rStyle w:val="libFootnoteAieChar"/>
          <w:rFonts w:hint="cs"/>
          <w:rtl/>
        </w:rPr>
        <w:t>َ</w:t>
      </w:r>
      <w:r w:rsidR="008A74EB" w:rsidRPr="00883DD5">
        <w:rPr>
          <w:rStyle w:val="libFootnoteAieChar"/>
          <w:rtl/>
        </w:rPr>
        <w:t>ى جُنُوبُهُمْ عَنِ الْمَض</w:t>
      </w:r>
      <w:r w:rsidR="00833314">
        <w:rPr>
          <w:rStyle w:val="libFootnoteAieChar"/>
          <w:rFonts w:hint="cs"/>
          <w:rtl/>
        </w:rPr>
        <w:t>َ</w:t>
      </w:r>
      <w:r w:rsidR="008A74EB" w:rsidRPr="00883DD5">
        <w:rPr>
          <w:rStyle w:val="libFootnoteAieChar"/>
          <w:rtl/>
        </w:rPr>
        <w:t>اجِعِ</w:t>
      </w:r>
      <w:r w:rsidR="008A74EB" w:rsidRPr="00883DD5">
        <w:rPr>
          <w:rStyle w:val="libFootnoteAieChar"/>
          <w:rFonts w:hint="cs"/>
          <w:rtl/>
        </w:rPr>
        <w:t xml:space="preserve"> </w:t>
      </w:r>
      <w:r w:rsidR="008A74EB" w:rsidRPr="00B866D3">
        <w:rPr>
          <w:rStyle w:val="libFootnoteAlaemChar"/>
          <w:rtl/>
        </w:rPr>
        <w:t>)</w:t>
      </w:r>
      <w:r w:rsidR="008A74EB" w:rsidRPr="00C9040A">
        <w:rPr>
          <w:rtl/>
        </w:rPr>
        <w:t xml:space="preserve"> [ السجدة (32) : 16 ] أي ترتفع وتنبو عن الفُرُش. يقال : تجافى جنبه عن الفراش إذا لم يستقرّ عليه. </w:t>
      </w:r>
      <w:r w:rsidR="008A74EB" w:rsidRPr="00993B55">
        <w:rPr>
          <w:rStyle w:val="libFootnoteBoldChar"/>
          <w:rtl/>
        </w:rPr>
        <w:t>ترتيب كتاب العين</w:t>
      </w:r>
      <w:r w:rsidR="008A74EB" w:rsidRPr="00C9040A">
        <w:rPr>
          <w:rtl/>
        </w:rPr>
        <w:t xml:space="preserve"> ، ج 1 ، ص 301 ؛ </w:t>
      </w:r>
      <w:r w:rsidR="008A74EB" w:rsidRPr="00993B55">
        <w:rPr>
          <w:rStyle w:val="libFootnoteBoldChar"/>
          <w:rtl/>
        </w:rPr>
        <w:t>مجمع البحرين</w:t>
      </w:r>
      <w:r w:rsidR="008A74EB" w:rsidRPr="00C9040A">
        <w:rPr>
          <w:rtl/>
        </w:rPr>
        <w:t xml:space="preserve"> ، ج 1 ، ص 88 ( جفو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الأمالي : « النوم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w:t>
      </w:r>
      <w:r w:rsidR="008A74EB" w:rsidRPr="0034021D">
        <w:rPr>
          <w:rStyle w:val="libFootnoteBoldChar"/>
          <w:rtl/>
        </w:rPr>
        <w:t>الأمالي للمفيد</w:t>
      </w:r>
      <w:r w:rsidR="008A74EB" w:rsidRPr="00C9040A">
        <w:rPr>
          <w:rtl/>
        </w:rPr>
        <w:t xml:space="preserve"> ، ص 208 ، المجلس 23 ، ح 42 ، بسنده عن إسماعيل ، عن أبي عبد الله </w:t>
      </w:r>
      <w:r w:rsidR="00117575" w:rsidRPr="00117575">
        <w:rPr>
          <w:rStyle w:val="libFootnoteAlaemChar"/>
          <w:rtl/>
        </w:rPr>
        <w:t>عليه‌السلام</w:t>
      </w:r>
      <w:r w:rsidR="008A74EB" w:rsidRPr="00C9040A">
        <w:rPr>
          <w:rtl/>
        </w:rPr>
        <w:t xml:space="preserve"> ، مع اختلاف يسير</w:t>
      </w:r>
      <w:r w:rsidR="00833314">
        <w:rPr>
          <w:rFonts w:hint="cs"/>
          <w:rtl/>
        </w:rPr>
        <w:t>.</w:t>
      </w:r>
      <w:r w:rsidR="008A74EB" w:rsidRPr="00993B55">
        <w:rPr>
          <w:rStyle w:val="libFootnoteBoldChar"/>
          <w:rtl/>
        </w:rPr>
        <w:t>الوافي</w:t>
      </w:r>
      <w:r w:rsidR="008A74EB" w:rsidRPr="00C9040A">
        <w:rPr>
          <w:rtl/>
        </w:rPr>
        <w:t xml:space="preserve"> ، ج 4 ، ص 384 ، ح 2162 ؛ </w:t>
      </w:r>
      <w:r w:rsidR="008A74EB" w:rsidRPr="00993B55">
        <w:rPr>
          <w:rStyle w:val="libFootnoteBoldChar"/>
          <w:rtl/>
        </w:rPr>
        <w:t>الوسائل</w:t>
      </w:r>
      <w:r w:rsidR="008A74EB" w:rsidRPr="00C9040A">
        <w:rPr>
          <w:rtl/>
        </w:rPr>
        <w:t xml:space="preserve"> ، ج 15 ، ص 195 ، ح 20258 ؛ </w:t>
      </w:r>
      <w:r w:rsidR="008A74EB" w:rsidRPr="00993B55">
        <w:rPr>
          <w:rStyle w:val="libFootnoteBoldChar"/>
          <w:rtl/>
        </w:rPr>
        <w:t>البحار</w:t>
      </w:r>
      <w:r w:rsidR="008A74EB" w:rsidRPr="00C9040A">
        <w:rPr>
          <w:rtl/>
        </w:rPr>
        <w:t xml:space="preserve"> ، ج 71 ، ص 318 ، ح 1.</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lastRenderedPageBreak/>
        <w:t xml:space="preserve">سَأَلْتُ أَبَا عَبْدِ اللهِ </w:t>
      </w:r>
      <w:r w:rsidRPr="0003660B">
        <w:rPr>
          <w:rStyle w:val="libAlaemChar"/>
          <w:rtl/>
        </w:rPr>
        <w:t>عليه‌السلام</w:t>
      </w:r>
      <w:r w:rsidRPr="00C9040A">
        <w:rPr>
          <w:rtl/>
          <w:lang w:bidi="fa-IR"/>
        </w:rPr>
        <w:t xml:space="preserve"> عَمَّا يَرْوِي </w:t>
      </w:r>
      <w:r w:rsidR="006C577F" w:rsidRPr="006C577F">
        <w:rPr>
          <w:rStyle w:val="libFootnotenumChar"/>
          <w:rtl/>
        </w:rPr>
        <w:t>(1)</w:t>
      </w:r>
      <w:r w:rsidRPr="00853746">
        <w:rPr>
          <w:rFonts w:hint="cs"/>
          <w:rtl/>
        </w:rPr>
        <w:t xml:space="preserve"> </w:t>
      </w:r>
      <w:r w:rsidRPr="00C9040A">
        <w:rPr>
          <w:rtl/>
          <w:lang w:bidi="fa-IR"/>
        </w:rPr>
        <w:t xml:space="preserve">النَّاسُ أَنَّ </w:t>
      </w:r>
      <w:r w:rsidR="006C577F" w:rsidRPr="006C577F">
        <w:rPr>
          <w:rStyle w:val="libFootnotenumChar"/>
          <w:rtl/>
        </w:rPr>
        <w:t>(2)</w:t>
      </w:r>
      <w:r w:rsidRPr="00C9040A">
        <w:rPr>
          <w:rtl/>
          <w:lang w:bidi="fa-IR"/>
        </w:rPr>
        <w:t xml:space="preserve"> تَفَكُّرَ </w:t>
      </w:r>
      <w:r w:rsidR="006C577F" w:rsidRPr="006C577F">
        <w:rPr>
          <w:rStyle w:val="libFootnotenumChar"/>
          <w:rtl/>
        </w:rPr>
        <w:t>(3)</w:t>
      </w:r>
      <w:r w:rsidRPr="00C9040A">
        <w:rPr>
          <w:rtl/>
          <w:lang w:bidi="fa-IR"/>
        </w:rPr>
        <w:t xml:space="preserve"> سَاعَةٍ خَيْرٌ مِنْ قِيَامِ لَيْلَةٍ : قُلْتُ :</w:t>
      </w:r>
      <w:r>
        <w:rPr>
          <w:rFonts w:hint="cs"/>
          <w:rtl/>
          <w:lang w:bidi="fa-IR"/>
        </w:rPr>
        <w:t xml:space="preserve"> </w:t>
      </w:r>
      <w:r w:rsidRPr="00C9040A">
        <w:rPr>
          <w:rtl/>
          <w:lang w:bidi="fa-IR"/>
        </w:rPr>
        <w:t>كَيْفَ يَتَفَكَّرُ</w:t>
      </w:r>
      <w:r>
        <w:rPr>
          <w:rtl/>
          <w:lang w:bidi="fa-IR"/>
        </w:rPr>
        <w:t>؟</w:t>
      </w:r>
    </w:p>
    <w:p w:rsidR="008A74EB" w:rsidRPr="00C9040A" w:rsidRDefault="008A74EB" w:rsidP="008A74EB">
      <w:pPr>
        <w:pStyle w:val="libNormal"/>
        <w:rPr>
          <w:rtl/>
          <w:lang w:bidi="fa-IR"/>
        </w:rPr>
      </w:pPr>
      <w:r w:rsidRPr="00C9040A">
        <w:rPr>
          <w:rtl/>
          <w:lang w:bidi="fa-IR"/>
        </w:rPr>
        <w:t xml:space="preserve">قَالَ : « يَمُرُّ بِالْخَرِبَةِ </w:t>
      </w:r>
      <w:r w:rsidR="006C577F" w:rsidRPr="006C577F">
        <w:rPr>
          <w:rStyle w:val="libFootnotenumChar"/>
          <w:rtl/>
        </w:rPr>
        <w:t>(4)</w:t>
      </w:r>
      <w:r w:rsidRPr="00C9040A">
        <w:rPr>
          <w:rtl/>
          <w:lang w:bidi="fa-IR"/>
        </w:rPr>
        <w:t xml:space="preserve"> أَوْ بِالدَّارِ </w:t>
      </w:r>
      <w:r w:rsidR="006C577F" w:rsidRPr="006C577F">
        <w:rPr>
          <w:rStyle w:val="libFootnotenumChar"/>
          <w:rtl/>
        </w:rPr>
        <w:t>(5)</w:t>
      </w:r>
      <w:r w:rsidRPr="00C9040A">
        <w:rPr>
          <w:rtl/>
          <w:lang w:bidi="fa-IR"/>
        </w:rPr>
        <w:t xml:space="preserve"> ، فَيَقُولُ : أَيْنَ سَاكِنُوكِ</w:t>
      </w:r>
      <w:r>
        <w:rPr>
          <w:rtl/>
          <w:lang w:bidi="fa-IR"/>
        </w:rPr>
        <w:t>؟</w:t>
      </w:r>
      <w:r w:rsidRPr="00C9040A">
        <w:rPr>
          <w:rtl/>
          <w:lang w:bidi="fa-IR"/>
        </w:rPr>
        <w:t xml:space="preserve"> أَيْنَ </w:t>
      </w:r>
      <w:r w:rsidR="006C577F" w:rsidRPr="006C577F">
        <w:rPr>
          <w:rStyle w:val="libFootnotenumChar"/>
          <w:rtl/>
        </w:rPr>
        <w:t>(6)</w:t>
      </w:r>
      <w:r w:rsidRPr="005B567D">
        <w:rPr>
          <w:rStyle w:val="libFootnotenumChar"/>
          <w:rtl/>
        </w:rPr>
        <w:t xml:space="preserve"> </w:t>
      </w:r>
      <w:r w:rsidRPr="00C9040A">
        <w:rPr>
          <w:rtl/>
          <w:lang w:bidi="fa-IR"/>
        </w:rPr>
        <w:t>بَانُوكِ</w:t>
      </w:r>
      <w:r>
        <w:rPr>
          <w:rtl/>
          <w:lang w:bidi="fa-IR"/>
        </w:rPr>
        <w:t>؟</w:t>
      </w:r>
      <w:r w:rsidRPr="00C9040A">
        <w:rPr>
          <w:rtl/>
          <w:lang w:bidi="fa-IR"/>
        </w:rPr>
        <w:t xml:space="preserve"> مَا لَكِ </w:t>
      </w:r>
      <w:r w:rsidR="006C577F" w:rsidRPr="006C577F">
        <w:rPr>
          <w:rStyle w:val="libFootnotenumChar"/>
          <w:rtl/>
        </w:rPr>
        <w:t>(7)</w:t>
      </w:r>
      <w:r w:rsidRPr="00C9040A">
        <w:rPr>
          <w:rtl/>
          <w:lang w:bidi="fa-IR"/>
        </w:rPr>
        <w:t xml:space="preserve"> لَا تَتَكَلَّمِينَ</w:t>
      </w:r>
      <w:r>
        <w:rPr>
          <w:rtl/>
          <w:lang w:bidi="fa-IR"/>
        </w:rPr>
        <w:t>؟</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Normal"/>
        <w:rPr>
          <w:rtl/>
          <w:lang w:bidi="fa-IR"/>
        </w:rPr>
      </w:pPr>
      <w:r w:rsidRPr="0022388B">
        <w:rPr>
          <w:rtl/>
        </w:rPr>
        <w:t>1557</w:t>
      </w:r>
      <w:r w:rsidRPr="00261CB0">
        <w:rPr>
          <w:rStyle w:val="libBold2Char"/>
          <w:rtl/>
        </w:rPr>
        <w:t xml:space="preserve"> / 3.</w:t>
      </w:r>
      <w:r w:rsidRPr="00C9040A">
        <w:rPr>
          <w:rtl/>
          <w:lang w:bidi="fa-IR"/>
        </w:rPr>
        <w:t xml:space="preserve"> عِدَّةٌ مِنْ أَصْحَابِنَا ، عَنْ أَحْمَدَ بْنِ مُحَمَّدِ بْنِ خَالِدٍ ، عَنْ أَحْمَدَ بْنِ مُحَمَّدِ بْنِ أَبِي نَصْرٍ ، عَنْ بَعْضِ </w:t>
      </w:r>
      <w:r w:rsidR="006C577F" w:rsidRPr="006C577F">
        <w:rPr>
          <w:rStyle w:val="libFootnotenumChar"/>
          <w:rtl/>
        </w:rPr>
        <w:t>(9)</w:t>
      </w:r>
      <w:r w:rsidRPr="00C9040A">
        <w:rPr>
          <w:rtl/>
          <w:lang w:bidi="fa-IR"/>
        </w:rPr>
        <w:t xml:space="preserve"> رِجَالِهِ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أَفْضَلُ الْعِبَادَةِ إِدْمَانُ التَّفَكُّرِ فِي اللهِ </w:t>
      </w:r>
      <w:r w:rsidR="006C577F" w:rsidRPr="006C577F">
        <w:rPr>
          <w:rStyle w:val="libFootnotenumChar"/>
          <w:rtl/>
        </w:rPr>
        <w:t>(10)</w:t>
      </w:r>
      <w:r w:rsidRPr="00C9040A">
        <w:rPr>
          <w:rtl/>
          <w:lang w:bidi="fa-IR"/>
        </w:rPr>
        <w:t xml:space="preserve"> وَفِي قُدْرَتِهِ »</w:t>
      </w:r>
      <w:r>
        <w:rPr>
          <w:rtl/>
          <w:lang w:bidi="fa-IR"/>
        </w:rPr>
        <w:t>.</w:t>
      </w:r>
      <w:r w:rsidRPr="00C9040A">
        <w:rPr>
          <w:rtl/>
          <w:lang w:bidi="fa-IR"/>
        </w:rPr>
        <w:t xml:space="preserve"> </w:t>
      </w:r>
      <w:r w:rsidR="006C577F" w:rsidRPr="006C577F">
        <w:rPr>
          <w:rStyle w:val="libFootnotenumChar"/>
          <w:rtl/>
        </w:rPr>
        <w:t>(11)</w:t>
      </w:r>
      <w:r w:rsidRPr="00C9040A">
        <w:rPr>
          <w:rtl/>
          <w:lang w:bidi="fa-IR"/>
        </w:rPr>
        <w:t xml:space="preserve"> ‌</w:t>
      </w:r>
    </w:p>
    <w:p w:rsidR="008A74EB" w:rsidRPr="00C9040A" w:rsidRDefault="008A74EB" w:rsidP="008A74EB">
      <w:pPr>
        <w:pStyle w:val="libNormal"/>
        <w:rPr>
          <w:rtl/>
          <w:lang w:bidi="fa-IR"/>
        </w:rPr>
      </w:pPr>
      <w:r w:rsidRPr="0022388B">
        <w:rPr>
          <w:rtl/>
        </w:rPr>
        <w:t>1558</w:t>
      </w:r>
      <w:r w:rsidRPr="00261CB0">
        <w:rPr>
          <w:rStyle w:val="libBold2Char"/>
          <w:rtl/>
        </w:rPr>
        <w:t xml:space="preserve"> / 4.</w:t>
      </w:r>
      <w:r w:rsidRPr="00C9040A">
        <w:rPr>
          <w:rtl/>
          <w:lang w:bidi="fa-IR"/>
        </w:rPr>
        <w:t xml:space="preserve"> مُحَمَّدُ بْنُ يَحْيى ، عَنْ أَحْمَدَ بْنِ مُحَمَّدِ بْنِ عِيسى ، عَنْ مُعَمَّرِ بْنِ خَلاَّدٍ ، قَالَ :</w:t>
      </w:r>
    </w:p>
    <w:p w:rsidR="008A74EB" w:rsidRPr="00C9040A" w:rsidRDefault="008A74EB" w:rsidP="008A74EB">
      <w:pPr>
        <w:pStyle w:val="libNormal"/>
        <w:rPr>
          <w:rtl/>
          <w:lang w:bidi="fa-IR"/>
        </w:rPr>
      </w:pPr>
      <w:r w:rsidRPr="00C9040A">
        <w:rPr>
          <w:rtl/>
          <w:lang w:bidi="fa-IR"/>
        </w:rPr>
        <w:t xml:space="preserve">سَمِعْتُ أَبَا الْحَسَنِ الرِّضَا </w:t>
      </w:r>
      <w:r w:rsidRPr="0003660B">
        <w:rPr>
          <w:rStyle w:val="libAlaemChar"/>
          <w:rtl/>
        </w:rPr>
        <w:t>عليه‌السلام</w:t>
      </w:r>
      <w:r w:rsidRPr="00C9040A">
        <w:rPr>
          <w:rtl/>
          <w:lang w:bidi="fa-IR"/>
        </w:rPr>
        <w:t xml:space="preserve"> يَقُولُ : « لَيْسَ </w:t>
      </w:r>
      <w:r w:rsidR="006C577F" w:rsidRPr="006C577F">
        <w:rPr>
          <w:rStyle w:val="libFootnotenumChar"/>
          <w:rtl/>
        </w:rPr>
        <w:t>(12)</w:t>
      </w:r>
      <w:r w:rsidRPr="00C9040A">
        <w:rPr>
          <w:rtl/>
          <w:lang w:bidi="fa-IR"/>
        </w:rPr>
        <w:t xml:space="preserve"> الْعِبَادَةُ كَثْرَةَ الصَّلَاةِ وَالصَّوْمِ </w:t>
      </w:r>
      <w:r w:rsidRPr="005B567D">
        <w:rPr>
          <w:rStyle w:val="libFootnotenumChar"/>
          <w:rtl/>
        </w:rPr>
        <w:t>(13)</w:t>
      </w:r>
      <w:r w:rsidRPr="00C9040A">
        <w:rPr>
          <w:rtl/>
          <w:lang w:bidi="fa-IR"/>
        </w:rPr>
        <w:t xml:space="preserve"> ، إِنَّمَا‌</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D11508" w:rsidTr="00D11508">
        <w:tc>
          <w:tcPr>
            <w:tcW w:w="4006" w:type="dxa"/>
          </w:tcPr>
          <w:p w:rsidR="00D11508" w:rsidRDefault="00D11508" w:rsidP="004A4E41">
            <w:pPr>
              <w:pStyle w:val="libFootnote0"/>
              <w:rPr>
                <w:rtl/>
              </w:rPr>
            </w:pPr>
            <w:r>
              <w:rPr>
                <w:rtl/>
              </w:rPr>
              <w:t>(1).</w:t>
            </w:r>
            <w:r w:rsidRPr="00C9040A">
              <w:rPr>
                <w:rtl/>
              </w:rPr>
              <w:t xml:space="preserve"> في « ز » : « يروون »</w:t>
            </w:r>
            <w:r>
              <w:rPr>
                <w:rtl/>
              </w:rPr>
              <w:t>.</w:t>
            </w:r>
          </w:p>
        </w:tc>
        <w:tc>
          <w:tcPr>
            <w:tcW w:w="4006" w:type="dxa"/>
          </w:tcPr>
          <w:p w:rsidR="00D11508" w:rsidRDefault="00D11508" w:rsidP="004A4E41">
            <w:pPr>
              <w:pStyle w:val="libFootnote0"/>
              <w:rPr>
                <w:rtl/>
              </w:rPr>
            </w:pPr>
            <w:r>
              <w:rPr>
                <w:rtl/>
              </w:rPr>
              <w:t xml:space="preserve">(2). </w:t>
            </w:r>
            <w:r w:rsidRPr="00C9040A">
              <w:rPr>
                <w:rtl/>
              </w:rPr>
              <w:t xml:space="preserve">في « ج ، د ، ض ، بس » والوسائل </w:t>
            </w:r>
            <w:r>
              <w:rPr>
                <w:rtl/>
              </w:rPr>
              <w:t>: -</w:t>
            </w:r>
            <w:r w:rsidRPr="00C9040A">
              <w:rPr>
                <w:rtl/>
              </w:rPr>
              <w:t xml:space="preserve"> « أنّ »</w:t>
            </w:r>
            <w:r>
              <w:rPr>
                <w:rtl/>
              </w:rPr>
              <w:t>.</w:t>
            </w:r>
          </w:p>
        </w:tc>
      </w:tr>
      <w:tr w:rsidR="00D11508" w:rsidTr="00D11508">
        <w:tc>
          <w:tcPr>
            <w:tcW w:w="4006" w:type="dxa"/>
          </w:tcPr>
          <w:p w:rsidR="00D11508" w:rsidRDefault="00D11508" w:rsidP="004A4E41">
            <w:pPr>
              <w:pStyle w:val="libFootnote0"/>
              <w:rPr>
                <w:rtl/>
              </w:rPr>
            </w:pPr>
            <w:r>
              <w:rPr>
                <w:rtl/>
              </w:rPr>
              <w:t>(3).</w:t>
            </w:r>
            <w:r w:rsidRPr="00C9040A">
              <w:rPr>
                <w:rtl/>
              </w:rPr>
              <w:t xml:space="preserve"> في « بر » : « فكر »</w:t>
            </w:r>
            <w:r>
              <w:rPr>
                <w:rtl/>
              </w:rPr>
              <w:t>.</w:t>
            </w:r>
          </w:p>
        </w:tc>
        <w:tc>
          <w:tcPr>
            <w:tcW w:w="4006" w:type="dxa"/>
          </w:tcPr>
          <w:p w:rsidR="00D11508" w:rsidRDefault="00D11508" w:rsidP="004A4E41">
            <w:pPr>
              <w:pStyle w:val="libFootnote0"/>
              <w:rPr>
                <w:rtl/>
              </w:rPr>
            </w:pPr>
            <w:r>
              <w:rPr>
                <w:rtl/>
              </w:rPr>
              <w:t>(4).</w:t>
            </w:r>
            <w:r w:rsidRPr="00C9040A">
              <w:rPr>
                <w:rtl/>
              </w:rPr>
              <w:t xml:space="preserve"> في مرآة العقول : « بخربة »</w:t>
            </w:r>
            <w:r>
              <w:rPr>
                <w:rtl/>
              </w:rPr>
              <w:t>.</w:t>
            </w:r>
          </w:p>
        </w:tc>
      </w:tr>
    </w:tbl>
    <w:p w:rsidR="008A74EB" w:rsidRPr="00C9040A" w:rsidRDefault="006C577F" w:rsidP="004A4E41">
      <w:pPr>
        <w:pStyle w:val="libFootnote0"/>
        <w:rPr>
          <w:rtl/>
          <w:lang w:bidi="fa-IR"/>
        </w:rPr>
      </w:pPr>
      <w:r>
        <w:rPr>
          <w:rtl/>
        </w:rPr>
        <w:t>(5).</w:t>
      </w:r>
      <w:r w:rsidR="008A74EB" w:rsidRPr="00C9040A">
        <w:rPr>
          <w:rtl/>
        </w:rPr>
        <w:t xml:space="preserve"> في حاشية « ف » : « الدور »</w:t>
      </w:r>
      <w:r w:rsidR="008A74EB">
        <w:rPr>
          <w:rtl/>
        </w:rPr>
        <w:t>.</w:t>
      </w:r>
      <w:r w:rsidR="008A74EB" w:rsidRPr="00C9040A">
        <w:rPr>
          <w:rtl/>
        </w:rPr>
        <w:t xml:space="preserve"> وفي الزهد : + « فيتفكّر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البحار والزهد : « وأين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هكذا في « ب ، ج ، ز ، ض ، بر ، بس ، بف » ومرآة العقول والوسائل والبحار والزهد والمحاسن. وفي سائر النسخ والمطبوع : « ما بالك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w:t>
      </w:r>
      <w:r w:rsidR="008A74EB" w:rsidRPr="00993B55">
        <w:rPr>
          <w:rStyle w:val="libFootnoteBoldChar"/>
          <w:rtl/>
        </w:rPr>
        <w:t>الزهد</w:t>
      </w:r>
      <w:r w:rsidR="008A74EB" w:rsidRPr="00C9040A">
        <w:rPr>
          <w:rtl/>
        </w:rPr>
        <w:t xml:space="preserve"> ، ص 75 ، ح 29 ، عن القاسم وفضالة ، عن أبان ؛ </w:t>
      </w:r>
      <w:r w:rsidR="008A74EB" w:rsidRPr="00993B55">
        <w:rPr>
          <w:rStyle w:val="libFootnoteBoldChar"/>
          <w:rtl/>
        </w:rPr>
        <w:t>المحاسن</w:t>
      </w:r>
      <w:r w:rsidR="008A74EB" w:rsidRPr="00C9040A">
        <w:rPr>
          <w:rtl/>
        </w:rPr>
        <w:t xml:space="preserve"> ، ص 26 ، كتاب ثواب الأعمال ، ح 5 ، بسنده عن جعفر بن أبان ، عن الحسن الصيقل ، وفيهما مع اختلاف يسير. </w:t>
      </w:r>
      <w:r w:rsidR="008A74EB" w:rsidRPr="00993B55">
        <w:rPr>
          <w:rStyle w:val="libFootnoteBoldChar"/>
          <w:rtl/>
        </w:rPr>
        <w:t>فقه الرضا</w:t>
      </w:r>
      <w:r w:rsidR="008A74EB" w:rsidRPr="00C9040A">
        <w:rPr>
          <w:rtl/>
        </w:rPr>
        <w:t xml:space="preserve"> </w:t>
      </w:r>
      <w:r w:rsidR="00117575" w:rsidRPr="00117575">
        <w:rPr>
          <w:rStyle w:val="libFootnoteAlaemChar"/>
          <w:rtl/>
        </w:rPr>
        <w:t>عليه‌السلام</w:t>
      </w:r>
      <w:r w:rsidR="008A74EB" w:rsidRPr="00C9040A">
        <w:rPr>
          <w:rtl/>
        </w:rPr>
        <w:t xml:space="preserve"> ، ص 380 ، مع اختلاف يسير وزيادة في آخره</w:t>
      </w:r>
      <w:r w:rsidR="007B5C49">
        <w:rPr>
          <w:rFonts w:hint="cs"/>
          <w:rtl/>
        </w:rPr>
        <w:t>.</w:t>
      </w:r>
      <w:r w:rsidR="008A74EB" w:rsidRPr="00993B55">
        <w:rPr>
          <w:rStyle w:val="libFootnoteBoldChar"/>
          <w:rtl/>
        </w:rPr>
        <w:t>الوافي</w:t>
      </w:r>
      <w:r w:rsidR="008A74EB" w:rsidRPr="00C9040A">
        <w:rPr>
          <w:rtl/>
        </w:rPr>
        <w:t xml:space="preserve"> ، ج 4 ، ص 385 ، ح 2163 ؛ </w:t>
      </w:r>
      <w:r w:rsidR="008A74EB" w:rsidRPr="00993B55">
        <w:rPr>
          <w:rStyle w:val="libFootnoteBoldChar"/>
          <w:rtl/>
        </w:rPr>
        <w:t>الوسائل</w:t>
      </w:r>
      <w:r w:rsidR="008A74EB" w:rsidRPr="00C9040A">
        <w:rPr>
          <w:rtl/>
        </w:rPr>
        <w:t xml:space="preserve"> ، ج 15 ، ص 195 ، ح 20259 ؛ </w:t>
      </w:r>
      <w:r w:rsidR="008A74EB" w:rsidRPr="00993B55">
        <w:rPr>
          <w:rStyle w:val="libFootnoteBoldChar"/>
          <w:rtl/>
        </w:rPr>
        <w:t>البحار</w:t>
      </w:r>
      <w:r w:rsidR="008A74EB" w:rsidRPr="00C9040A">
        <w:rPr>
          <w:rtl/>
        </w:rPr>
        <w:t xml:space="preserve"> ، ج 71 ، ص 320 ، ح 2.</w:t>
      </w:r>
      <w:r w:rsidR="007B5C49">
        <w:rPr>
          <w:rFonts w:hint="cs"/>
          <w:rtl/>
        </w:rPr>
        <w:t xml:space="preserve">                            </w:t>
      </w:r>
      <w:r>
        <w:rPr>
          <w:rtl/>
        </w:rPr>
        <w:t>(9).</w:t>
      </w:r>
      <w:r w:rsidR="008A74EB" w:rsidRPr="00C9040A">
        <w:rPr>
          <w:rtl/>
        </w:rPr>
        <w:t xml:space="preserve"> في « ف » </w:t>
      </w:r>
      <w:r w:rsidR="008A74EB">
        <w:rPr>
          <w:rtl/>
        </w:rPr>
        <w:t xml:space="preserve">: </w:t>
      </w:r>
      <w:r w:rsidR="0084262C">
        <w:rPr>
          <w:rtl/>
        </w:rPr>
        <w:t>-</w:t>
      </w:r>
      <w:r w:rsidR="008A74EB" w:rsidRPr="00C9040A">
        <w:rPr>
          <w:rtl/>
        </w:rPr>
        <w:t xml:space="preserve"> « بعض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w:t>
      </w:r>
      <w:r w:rsidR="008A74EB" w:rsidRPr="00993B55">
        <w:rPr>
          <w:rStyle w:val="libFootnoteBoldChar"/>
          <w:rtl/>
        </w:rPr>
        <w:t>الوافي</w:t>
      </w:r>
      <w:r w:rsidR="008A74EB" w:rsidRPr="00C9040A">
        <w:rPr>
          <w:rtl/>
        </w:rPr>
        <w:t xml:space="preserve"> : « ليس المراد بالتفكّر في الله التفكّر في ذات الله سبحانه ، فإنّه ممنوع منه ؛ لأنّه يورث الحيرة والدهش واضطراب العقل ، كما مرّ في أبواب التوحيد ؛ بل المراد منه النظر إلى أفعاله وعجائب صنعه وبدائع أمره في خلقه ، فإنّها تدلّ على جلاله وكبريائه وتقدّسه وتعاليه ، وتدلّ على كمال علمه وحكمته وعلى نفاذ مشيئته وقدرته وإحاطته بالأشياء ومعيّته لها ؛ وهذا تفكّر اولي الألباب »</w:t>
      </w:r>
      <w:r w:rsidR="008A74EB">
        <w:rPr>
          <w:rtl/>
        </w:rPr>
        <w:t>.</w:t>
      </w:r>
    </w:p>
    <w:p w:rsidR="008A74EB" w:rsidRPr="004A4E41" w:rsidRDefault="006C577F" w:rsidP="004A4E41">
      <w:pPr>
        <w:pStyle w:val="libFootnote0"/>
        <w:rPr>
          <w:rStyle w:val="libFootnote0Char"/>
          <w:rtl/>
        </w:rPr>
      </w:pPr>
      <w:r>
        <w:rPr>
          <w:rtl/>
        </w:rPr>
        <w:t>(11).</w:t>
      </w:r>
      <w:r w:rsidR="008A74EB" w:rsidRPr="00C9040A">
        <w:rPr>
          <w:rtl/>
        </w:rPr>
        <w:t xml:space="preserve"> </w:t>
      </w:r>
      <w:r w:rsidR="008A74EB" w:rsidRPr="00993B55">
        <w:rPr>
          <w:rStyle w:val="libFootnoteBoldChar"/>
          <w:rtl/>
        </w:rPr>
        <w:t>الوافي</w:t>
      </w:r>
      <w:r w:rsidR="008A74EB" w:rsidRPr="00C9040A">
        <w:rPr>
          <w:rtl/>
        </w:rPr>
        <w:t xml:space="preserve"> ، ج 4 ، ص 383 ، ح 2159 ؛ </w:t>
      </w:r>
      <w:r w:rsidR="008A74EB" w:rsidRPr="00993B55">
        <w:rPr>
          <w:rStyle w:val="libFootnoteBoldChar"/>
          <w:rtl/>
        </w:rPr>
        <w:t>الوسائل</w:t>
      </w:r>
      <w:r w:rsidR="008A74EB" w:rsidRPr="00C9040A">
        <w:rPr>
          <w:rtl/>
        </w:rPr>
        <w:t xml:space="preserve"> ، ج 15 ، ص 196 ، ح 20260 ؛ </w:t>
      </w:r>
      <w:r w:rsidR="008A74EB" w:rsidRPr="00993B55">
        <w:rPr>
          <w:rStyle w:val="libFootnoteBoldChar"/>
          <w:rtl/>
        </w:rPr>
        <w:t>البحار</w:t>
      </w:r>
      <w:r w:rsidR="008A74EB" w:rsidRPr="00C9040A">
        <w:rPr>
          <w:rtl/>
        </w:rPr>
        <w:t xml:space="preserve"> ، ج 71 ، ص 321 ، ح 3.</w:t>
      </w:r>
    </w:p>
    <w:tbl>
      <w:tblPr>
        <w:tblStyle w:val="TableGrid"/>
        <w:bidiVisual/>
        <w:tblW w:w="0" w:type="auto"/>
        <w:tblLook w:val="04A0" w:firstRow="1" w:lastRow="0" w:firstColumn="1" w:lastColumn="0" w:noHBand="0" w:noVBand="1"/>
      </w:tblPr>
      <w:tblGrid>
        <w:gridCol w:w="4006"/>
        <w:gridCol w:w="4006"/>
      </w:tblGrid>
      <w:tr w:rsidR="007B5C49" w:rsidTr="007B5C49">
        <w:tc>
          <w:tcPr>
            <w:tcW w:w="4006" w:type="dxa"/>
          </w:tcPr>
          <w:p w:rsidR="007B5C49" w:rsidRDefault="007B5C49" w:rsidP="004A4E41">
            <w:pPr>
              <w:pStyle w:val="libFootnote0"/>
              <w:rPr>
                <w:rtl/>
              </w:rPr>
            </w:pPr>
            <w:r>
              <w:rPr>
                <w:rtl/>
              </w:rPr>
              <w:t>(12).</w:t>
            </w:r>
            <w:r w:rsidRPr="00C9040A">
              <w:rPr>
                <w:rtl/>
              </w:rPr>
              <w:t xml:space="preserve"> في « ض » وفقه الرضا : « ليست »</w:t>
            </w:r>
            <w:r>
              <w:rPr>
                <w:rtl/>
              </w:rPr>
              <w:t>.</w:t>
            </w:r>
          </w:p>
        </w:tc>
        <w:tc>
          <w:tcPr>
            <w:tcW w:w="4006" w:type="dxa"/>
          </w:tcPr>
          <w:p w:rsidR="007B5C49" w:rsidRDefault="007B5C49" w:rsidP="004A4E41">
            <w:pPr>
              <w:pStyle w:val="libFootnote0"/>
              <w:rPr>
                <w:rtl/>
              </w:rPr>
            </w:pPr>
            <w:r>
              <w:rPr>
                <w:rtl/>
              </w:rPr>
              <w:t>(13)</w:t>
            </w:r>
            <w:r w:rsidRPr="00C9040A">
              <w:rPr>
                <w:rtl/>
              </w:rPr>
              <w:t xml:space="preserve"> في « ز » : « الصوم والصلاة »</w:t>
            </w:r>
            <w:r>
              <w:rPr>
                <w:rtl/>
              </w:rPr>
              <w:t>.</w:t>
            </w:r>
          </w:p>
        </w:tc>
      </w:tr>
    </w:tbl>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الْعِبَادَةُ التَّفَكُّرُ فِي أَمْرِ اللهِ عَزَّ وَجَلَّ »</w:t>
      </w:r>
      <w:r>
        <w:rPr>
          <w:rtl/>
          <w:lang w:bidi="fa-IR"/>
        </w:rPr>
        <w:t>.</w:t>
      </w:r>
      <w:r w:rsidRPr="00C9040A">
        <w:rPr>
          <w:rtl/>
          <w:lang w:bidi="fa-IR"/>
        </w:rPr>
        <w:t xml:space="preserve"> </w:t>
      </w:r>
      <w:r w:rsidR="006C577F" w:rsidRPr="006C577F">
        <w:rPr>
          <w:rStyle w:val="libFootnotenumChar"/>
          <w:rtl/>
        </w:rPr>
        <w:t>(1)</w:t>
      </w:r>
      <w:r w:rsidRPr="00C9040A">
        <w:rPr>
          <w:rtl/>
          <w:lang w:bidi="fa-IR"/>
        </w:rPr>
        <w:t>‌</w:t>
      </w:r>
    </w:p>
    <w:p w:rsidR="008A74EB" w:rsidRPr="00C9040A" w:rsidRDefault="008A74EB" w:rsidP="008A74EB">
      <w:pPr>
        <w:pStyle w:val="libNormal"/>
        <w:rPr>
          <w:rtl/>
          <w:lang w:bidi="fa-IR"/>
        </w:rPr>
      </w:pPr>
      <w:r w:rsidRPr="0043146D">
        <w:rPr>
          <w:rtl/>
        </w:rPr>
        <w:t>1559</w:t>
      </w:r>
      <w:r w:rsidRPr="00261CB0">
        <w:rPr>
          <w:rStyle w:val="libBold2Char"/>
          <w:rtl/>
        </w:rPr>
        <w:t xml:space="preserve"> / 5.</w:t>
      </w:r>
      <w:r w:rsidRPr="00C9040A">
        <w:rPr>
          <w:rtl/>
          <w:lang w:bidi="fa-IR"/>
        </w:rPr>
        <w:t xml:space="preserve"> مُحَمَّدُ بْنُ يَحْيى ، عَنْ أَحْمَدَ بْنِ مُحَمَّدٍ </w:t>
      </w:r>
      <w:r w:rsidR="006C577F" w:rsidRPr="006C577F">
        <w:rPr>
          <w:rStyle w:val="libFootnotenumChar"/>
          <w:rtl/>
        </w:rPr>
        <w:t>(2)</w:t>
      </w:r>
      <w:r w:rsidRPr="00C9040A">
        <w:rPr>
          <w:rtl/>
          <w:lang w:bidi="fa-IR"/>
        </w:rPr>
        <w:t xml:space="preserve"> ، عَنْ إِسْمَاعِيلَ بْنِ سَهْلٍ ، عَنْ حَمَّادٍ ، عَنْ رِبْعِيٍّ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قَالَ أَمِيرُ الْمُؤْمِنِينَ صَلَوَاتُ اللهِ عَلَيْهِ </w:t>
      </w:r>
      <w:r w:rsidR="006C577F" w:rsidRPr="006C577F">
        <w:rPr>
          <w:rStyle w:val="libFootnotenumChar"/>
          <w:rtl/>
        </w:rPr>
        <w:t>(3)</w:t>
      </w:r>
      <w:r w:rsidRPr="00C9040A">
        <w:rPr>
          <w:rtl/>
          <w:lang w:bidi="fa-IR"/>
        </w:rPr>
        <w:t xml:space="preserve"> : التَّفَكُّرُ </w:t>
      </w:r>
      <w:r w:rsidR="006C577F" w:rsidRPr="006C577F">
        <w:rPr>
          <w:rStyle w:val="libFootnotenumChar"/>
          <w:rtl/>
        </w:rPr>
        <w:t>(4)</w:t>
      </w:r>
      <w:r w:rsidRPr="00C9040A">
        <w:rPr>
          <w:rtl/>
          <w:lang w:bidi="fa-IR"/>
        </w:rPr>
        <w:t xml:space="preserve"> يَدْعُو إِلَى الْبِرِّ وَالْعَمَلِ بِهِ </w:t>
      </w:r>
      <w:r w:rsidR="006C577F" w:rsidRPr="006C577F">
        <w:rPr>
          <w:rStyle w:val="libFootnotenumChar"/>
          <w:rtl/>
        </w:rPr>
        <w:t>(5)</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(6)</w:t>
      </w:r>
    </w:p>
    <w:p w:rsidR="008A74EB" w:rsidRPr="00C9040A" w:rsidRDefault="008A74EB" w:rsidP="008A74EB">
      <w:pPr>
        <w:pStyle w:val="Heading2Center"/>
        <w:rPr>
          <w:rtl/>
          <w:lang w:bidi="fa-IR"/>
        </w:rPr>
      </w:pPr>
      <w:bookmarkStart w:id="97" w:name="_Toc343795620"/>
      <w:bookmarkStart w:id="98" w:name="_Toc459810744"/>
      <w:bookmarkStart w:id="99" w:name="_Toc35348650"/>
      <w:r w:rsidRPr="00C9040A">
        <w:rPr>
          <w:rtl/>
          <w:lang w:bidi="fa-IR"/>
        </w:rPr>
        <w:t>29</w:t>
      </w:r>
      <w:r>
        <w:rPr>
          <w:rtl/>
          <w:lang w:bidi="fa-IR"/>
        </w:rPr>
        <w:t xml:space="preserve"> </w:t>
      </w:r>
      <w:r w:rsidR="0084262C">
        <w:rPr>
          <w:rtl/>
          <w:lang w:bidi="fa-IR"/>
        </w:rPr>
        <w:t>-</w:t>
      </w:r>
      <w:r>
        <w:rPr>
          <w:rtl/>
          <w:lang w:bidi="fa-IR"/>
        </w:rPr>
        <w:t xml:space="preserve"> </w:t>
      </w:r>
      <w:r w:rsidRPr="00C9040A">
        <w:rPr>
          <w:rtl/>
          <w:lang w:bidi="fa-IR"/>
        </w:rPr>
        <w:t>بَابُ الْمَكَارِمِ‌</w:t>
      </w:r>
      <w:bookmarkEnd w:id="97"/>
      <w:bookmarkEnd w:id="98"/>
      <w:bookmarkEnd w:id="99"/>
    </w:p>
    <w:p w:rsidR="008A74EB" w:rsidRPr="00C9040A" w:rsidRDefault="008A74EB" w:rsidP="008A74EB">
      <w:pPr>
        <w:pStyle w:val="libNormal"/>
        <w:rPr>
          <w:rtl/>
          <w:lang w:bidi="fa-IR"/>
        </w:rPr>
      </w:pPr>
      <w:r w:rsidRPr="0043146D">
        <w:rPr>
          <w:rtl/>
        </w:rPr>
        <w:t>1560</w:t>
      </w:r>
      <w:r w:rsidRPr="00261CB0">
        <w:rPr>
          <w:rStyle w:val="libBold2Char"/>
          <w:rtl/>
        </w:rPr>
        <w:t xml:space="preserve"> / 1.</w:t>
      </w:r>
      <w:r w:rsidRPr="00C9040A">
        <w:rPr>
          <w:rtl/>
          <w:lang w:bidi="fa-IR"/>
        </w:rPr>
        <w:t xml:space="preserve"> مُحَمَّدُ بْنُ يَحْيى ، عَنْ أَحْمَدَ بْنِ مُحَمَّدِ بْنِ عِيسى ، عَنِ الْهَيْثَمِ بْنِ أَبِي مَسْرُوقٍ ، عَنْ يَزِيدَ بْنِ إِسْحَاقَ شَعِرٍ ، عَنِ الْحَسَنِ </w:t>
      </w:r>
      <w:r w:rsidR="006C577F" w:rsidRPr="006C577F">
        <w:rPr>
          <w:rStyle w:val="libFootnotenumChar"/>
          <w:rtl/>
        </w:rPr>
        <w:t>(7)</w:t>
      </w:r>
      <w:r w:rsidRPr="00C9040A">
        <w:rPr>
          <w:rtl/>
          <w:lang w:bidi="fa-IR"/>
        </w:rPr>
        <w:t xml:space="preserve"> بْنِ عَطِيَّةَ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w:t>
      </w:r>
      <w:r w:rsidR="008A74EB" w:rsidRPr="00993B55">
        <w:rPr>
          <w:rStyle w:val="libFootnoteBoldChar"/>
          <w:rtl/>
        </w:rPr>
        <w:t>فقه الرضا</w:t>
      </w:r>
      <w:r w:rsidR="008A74EB" w:rsidRPr="00C9040A">
        <w:rPr>
          <w:rtl/>
        </w:rPr>
        <w:t xml:space="preserve"> </w:t>
      </w:r>
      <w:r w:rsidR="00117575" w:rsidRPr="00117575">
        <w:rPr>
          <w:rStyle w:val="libFootnoteAlaemChar"/>
          <w:rtl/>
        </w:rPr>
        <w:t>عليه‌السلام</w:t>
      </w:r>
      <w:r w:rsidR="008A74EB" w:rsidRPr="00C9040A">
        <w:rPr>
          <w:rtl/>
        </w:rPr>
        <w:t xml:space="preserve"> ، ص 380 ، مع زيادة في أوّله ؛ </w:t>
      </w:r>
      <w:r w:rsidR="008A74EB" w:rsidRPr="00993B55">
        <w:rPr>
          <w:rStyle w:val="libFootnoteBoldChar"/>
          <w:rtl/>
        </w:rPr>
        <w:t>تحف العقول</w:t>
      </w:r>
      <w:r w:rsidR="008A74EB" w:rsidRPr="00C9040A">
        <w:rPr>
          <w:rtl/>
        </w:rPr>
        <w:t xml:space="preserve"> ، ص 442 ، عن الرضا </w:t>
      </w:r>
      <w:r w:rsidR="00117575" w:rsidRPr="00117575">
        <w:rPr>
          <w:rStyle w:val="libFootnoteAlaemChar"/>
          <w:rtl/>
        </w:rPr>
        <w:t>عليه‌السلام</w:t>
      </w:r>
      <w:r w:rsidR="008A74EB" w:rsidRPr="00C9040A">
        <w:rPr>
          <w:rtl/>
        </w:rPr>
        <w:t xml:space="preserve"> ؛ </w:t>
      </w:r>
      <w:r w:rsidR="008A74EB" w:rsidRPr="00993B55">
        <w:rPr>
          <w:rStyle w:val="libFootnoteBoldChar"/>
          <w:rtl/>
        </w:rPr>
        <w:t>وفيه</w:t>
      </w:r>
      <w:r w:rsidR="008A74EB" w:rsidRPr="00C9040A">
        <w:rPr>
          <w:rtl/>
        </w:rPr>
        <w:t xml:space="preserve"> ، ص 488 ، عن الهادي </w:t>
      </w:r>
      <w:r w:rsidR="00117575" w:rsidRPr="00117575">
        <w:rPr>
          <w:rStyle w:val="libFootnoteAlaemChar"/>
          <w:rtl/>
        </w:rPr>
        <w:t>عليه‌السلام</w:t>
      </w:r>
      <w:r w:rsidR="008A74EB" w:rsidRPr="00C9040A">
        <w:rPr>
          <w:rtl/>
        </w:rPr>
        <w:t xml:space="preserve"> ، مع اختلاف يسير</w:t>
      </w:r>
      <w:r w:rsidR="00CE0DF9">
        <w:rPr>
          <w:rFonts w:hint="cs"/>
          <w:rtl/>
        </w:rPr>
        <w:t>.</w:t>
      </w:r>
      <w:r w:rsidR="008A74EB" w:rsidRPr="00993B55">
        <w:rPr>
          <w:rStyle w:val="libFootnoteBoldChar"/>
          <w:rtl/>
        </w:rPr>
        <w:t>الوافي</w:t>
      </w:r>
      <w:r w:rsidR="008A74EB" w:rsidRPr="00C9040A">
        <w:rPr>
          <w:rtl/>
        </w:rPr>
        <w:t xml:space="preserve"> ، ج 4 ، ص 384 ، ح 2160 ؛ </w:t>
      </w:r>
      <w:r w:rsidR="008A74EB" w:rsidRPr="00993B55">
        <w:rPr>
          <w:rStyle w:val="libFootnoteBoldChar"/>
          <w:rtl/>
        </w:rPr>
        <w:t>الوسائل</w:t>
      </w:r>
      <w:r w:rsidR="008A74EB" w:rsidRPr="00C9040A">
        <w:rPr>
          <w:rtl/>
        </w:rPr>
        <w:t xml:space="preserve"> ، ج 15 ، ص 196 ، ح 20261 ؛ </w:t>
      </w:r>
      <w:r w:rsidR="008A74EB" w:rsidRPr="00993B55">
        <w:rPr>
          <w:rStyle w:val="libFootnoteBoldChar"/>
          <w:rtl/>
        </w:rPr>
        <w:t>البحار</w:t>
      </w:r>
      <w:r w:rsidR="008A74EB" w:rsidRPr="00C9040A">
        <w:rPr>
          <w:rtl/>
        </w:rPr>
        <w:t xml:space="preserve"> ، ج 71 ، ص 322 ، ح 4.</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البحار : « عن أحمد بن محمّد بن عيسى ، عن أحمد بن محمّد » بدل « عن أحمد بن محمّد »</w:t>
      </w:r>
      <w:r w:rsidR="008A74EB">
        <w:rPr>
          <w:rtl/>
        </w:rPr>
        <w:t>.</w:t>
      </w:r>
      <w:r w:rsidR="008A74EB" w:rsidRPr="00C9040A">
        <w:rPr>
          <w:rtl/>
        </w:rPr>
        <w:t xml:space="preserve"> وهو سهوٌظاهراً ؛ فقد روى محمّد بن يحيى عن أحمد بن محمّد بن عيسى</w:t>
      </w:r>
      <w:r w:rsidR="008A74EB">
        <w:rPr>
          <w:rtl/>
        </w:rPr>
        <w:t xml:space="preserve"> </w:t>
      </w:r>
      <w:r w:rsidR="0084262C">
        <w:rPr>
          <w:rtl/>
        </w:rPr>
        <w:t>-</w:t>
      </w:r>
      <w:r w:rsidR="008A74EB">
        <w:rPr>
          <w:rtl/>
        </w:rPr>
        <w:t xml:space="preserve"> </w:t>
      </w:r>
      <w:r w:rsidR="008A74EB" w:rsidRPr="00C9040A">
        <w:rPr>
          <w:rtl/>
        </w:rPr>
        <w:t>وهو المراد من أحمد بن محمّد في سندنا هذا</w:t>
      </w:r>
      <w:r w:rsidR="008A74EB">
        <w:rPr>
          <w:rtl/>
        </w:rPr>
        <w:t xml:space="preserve"> </w:t>
      </w:r>
      <w:r w:rsidR="0084262C">
        <w:rPr>
          <w:rtl/>
        </w:rPr>
        <w:t>-</w:t>
      </w:r>
      <w:r w:rsidR="008A74EB">
        <w:rPr>
          <w:rtl/>
        </w:rPr>
        <w:t xml:space="preserve"> </w:t>
      </w:r>
      <w:r w:rsidR="008A74EB" w:rsidRPr="00C9040A">
        <w:rPr>
          <w:rtl/>
        </w:rPr>
        <w:t xml:space="preserve">عن إسماعيل بن سهل ، في </w:t>
      </w:r>
      <w:r w:rsidR="008A74EB" w:rsidRPr="00993B55">
        <w:rPr>
          <w:rStyle w:val="libFootnoteBoldChar"/>
          <w:rtl/>
        </w:rPr>
        <w:t>الكافي</w:t>
      </w:r>
      <w:r w:rsidR="008A74EB" w:rsidRPr="00C9040A">
        <w:rPr>
          <w:rtl/>
        </w:rPr>
        <w:t xml:space="preserve"> ، ح 2953 ، ووردت رواية عدّة من أصحابنا عن أحمد بن محمّد بن عيسى عن إسماعيل بن سهل ، في الكافي ، ح 3438 ، ووردت أحمد بن محمّد بن عيسى عن إسماعيل بن سهل في </w:t>
      </w:r>
      <w:r w:rsidR="008A74EB" w:rsidRPr="00993B55">
        <w:rPr>
          <w:rStyle w:val="libFootnoteBoldChar"/>
          <w:rtl/>
        </w:rPr>
        <w:t>كامل الزيارات</w:t>
      </w:r>
      <w:r w:rsidR="008A74EB" w:rsidRPr="00C9040A">
        <w:rPr>
          <w:rtl/>
        </w:rPr>
        <w:t xml:space="preserve"> ، ص 288 ، ح 6.</w:t>
      </w:r>
    </w:p>
    <w:p w:rsidR="008A74EB" w:rsidRPr="00C9040A" w:rsidRDefault="006C577F" w:rsidP="004A4E41">
      <w:pPr>
        <w:pStyle w:val="libFootnote0"/>
        <w:rPr>
          <w:rtl/>
          <w:lang w:bidi="fa-IR"/>
        </w:rPr>
      </w:pPr>
      <w:r>
        <w:rPr>
          <w:rtl/>
        </w:rPr>
        <w:t>(3).</w:t>
      </w:r>
      <w:r w:rsidR="008A74EB" w:rsidRPr="00C9040A">
        <w:rPr>
          <w:rtl/>
        </w:rPr>
        <w:t xml:space="preserve"> هكذا في النسخ التي بأيدينا وشرح المازندراني والوافي ومرآة العقول والبحار. وفي المطبوع : + « إنّ »</w:t>
      </w:r>
      <w:r w:rsidR="008A74EB">
        <w:rPr>
          <w:rtl/>
        </w:rPr>
        <w:t>.</w:t>
      </w:r>
    </w:p>
    <w:p w:rsidR="008A74EB" w:rsidRPr="00C9040A" w:rsidRDefault="008A74EB" w:rsidP="004A4E41">
      <w:pPr>
        <w:pStyle w:val="libFootnote0"/>
        <w:rPr>
          <w:rtl/>
          <w:lang w:bidi="fa-IR"/>
        </w:rPr>
      </w:pPr>
      <w:r w:rsidRPr="0082575F">
        <w:rPr>
          <w:rtl/>
        </w:rPr>
        <w:t xml:space="preserve">وفي الوسائل </w:t>
      </w:r>
      <w:r>
        <w:rPr>
          <w:rtl/>
        </w:rPr>
        <w:t xml:space="preserve">: </w:t>
      </w:r>
      <w:r w:rsidR="0084262C">
        <w:rPr>
          <w:rtl/>
        </w:rPr>
        <w:t>-</w:t>
      </w:r>
      <w:r w:rsidRPr="0082575F">
        <w:rPr>
          <w:rtl/>
        </w:rPr>
        <w:t xml:space="preserve"> / « قال أمير المؤمنين صلوات الله عليه »</w:t>
      </w:r>
      <w:r>
        <w:rPr>
          <w:rtl/>
        </w:rPr>
        <w:t>.</w:t>
      </w:r>
    </w:p>
    <w:p w:rsidR="008A74EB" w:rsidRPr="00C9040A" w:rsidRDefault="006C577F" w:rsidP="004A4E41">
      <w:pPr>
        <w:pStyle w:val="libFootnote0"/>
        <w:rPr>
          <w:rtl/>
          <w:lang w:bidi="fa-IR"/>
        </w:rPr>
      </w:pPr>
      <w:r>
        <w:rPr>
          <w:rtl/>
        </w:rPr>
        <w:t>(4).</w:t>
      </w:r>
      <w:r w:rsidR="008A74EB" w:rsidRPr="00C9040A">
        <w:rPr>
          <w:rtl/>
        </w:rPr>
        <w:t xml:space="preserve"> في </w:t>
      </w:r>
      <w:r w:rsidR="008A74EB" w:rsidRPr="00993B55">
        <w:rPr>
          <w:rStyle w:val="libFootnoteBoldChar"/>
          <w:rtl/>
        </w:rPr>
        <w:t>مرآة العقول</w:t>
      </w:r>
      <w:r w:rsidR="008A74EB" w:rsidRPr="00C9040A">
        <w:rPr>
          <w:rtl/>
        </w:rPr>
        <w:t xml:space="preserve"> ، ج 7 ، ص 342 : « كأنّ التفكّر الوارد في هذا الخبر شامل لجميع التفكّرات الصحيحة التي أشرنا إليها ، كالتفكّر في عظمة الله ، فإنّه يدعو إلى خشيته وطاعته ، والتفكّر في فناء الدنيا ولذّاتها ، فإنّه يدعو إلى تركها ، والتفكّر في عواقب من مضى من الصالحين ، فيدعو إلى اقتضاء آثارهم و</w:t>
      </w:r>
      <w:r w:rsidR="008A74EB">
        <w:rPr>
          <w:rtl/>
        </w:rPr>
        <w:t xml:space="preserve"> ..</w:t>
      </w:r>
      <w:r w:rsidR="008A74EB" w:rsidRPr="00C9040A">
        <w:rPr>
          <w:rtl/>
        </w:rPr>
        <w:t>.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ف » </w:t>
      </w:r>
      <w:r w:rsidR="008A74EB">
        <w:rPr>
          <w:rtl/>
        </w:rPr>
        <w:t xml:space="preserve">: </w:t>
      </w:r>
      <w:r w:rsidR="0084262C">
        <w:rPr>
          <w:rtl/>
        </w:rPr>
        <w:t>-</w:t>
      </w:r>
      <w:r w:rsidR="008A74EB" w:rsidRPr="00C9040A">
        <w:rPr>
          <w:rtl/>
        </w:rPr>
        <w:t xml:space="preserve"> « به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الوافي</w:t>
      </w:r>
      <w:r w:rsidR="008A74EB" w:rsidRPr="00C9040A">
        <w:rPr>
          <w:rtl/>
        </w:rPr>
        <w:t xml:space="preserve"> ، ج 4 ، ص 384 ، ح 2161 ؛ </w:t>
      </w:r>
      <w:r w:rsidR="008A74EB" w:rsidRPr="00993B55">
        <w:rPr>
          <w:rStyle w:val="libFootnoteBoldChar"/>
          <w:rtl/>
        </w:rPr>
        <w:t>الوسائل</w:t>
      </w:r>
      <w:r w:rsidR="008A74EB" w:rsidRPr="00C9040A">
        <w:rPr>
          <w:rtl/>
        </w:rPr>
        <w:t xml:space="preserve"> ، ج 15 ، ص 196 ، ح 20262 ؛ </w:t>
      </w:r>
      <w:r w:rsidR="008A74EB" w:rsidRPr="00993B55">
        <w:rPr>
          <w:rStyle w:val="libFootnoteBoldChar"/>
          <w:rtl/>
        </w:rPr>
        <w:t>البحار</w:t>
      </w:r>
      <w:r w:rsidR="008A74EB" w:rsidRPr="00C9040A">
        <w:rPr>
          <w:rtl/>
        </w:rPr>
        <w:t xml:space="preserve"> ، ج 71 ، ص 322 ، ح 5.</w:t>
      </w:r>
    </w:p>
    <w:p w:rsidR="008A74EB" w:rsidRPr="00C9040A" w:rsidRDefault="006C577F" w:rsidP="004A4E41">
      <w:pPr>
        <w:pStyle w:val="libFootnote0"/>
        <w:rPr>
          <w:rtl/>
          <w:lang w:bidi="fa-IR"/>
        </w:rPr>
      </w:pPr>
      <w:r>
        <w:rPr>
          <w:rtl/>
        </w:rPr>
        <w:t>(7).</w:t>
      </w:r>
      <w:r w:rsidR="008A74EB" w:rsidRPr="00C9040A">
        <w:rPr>
          <w:rtl/>
        </w:rPr>
        <w:t xml:space="preserve"> هكذا في « ح »</w:t>
      </w:r>
      <w:r w:rsidR="008A74EB">
        <w:rPr>
          <w:rtl/>
        </w:rPr>
        <w:t>.</w:t>
      </w:r>
      <w:r w:rsidR="008A74EB" w:rsidRPr="00C9040A">
        <w:rPr>
          <w:rtl/>
        </w:rPr>
        <w:t xml:space="preserve"> وفي سائر النسخ والمطبوع : « الحسين »</w:t>
      </w:r>
      <w:r w:rsidR="008A74EB">
        <w:rPr>
          <w:rtl/>
        </w:rPr>
        <w:t>.</w:t>
      </w:r>
      <w:r w:rsidR="008A74EB" w:rsidRPr="00C9040A">
        <w:rPr>
          <w:rtl/>
        </w:rPr>
        <w:t xml:space="preserve"> لكن في حاشي</w:t>
      </w:r>
      <w:r w:rsidR="00CE0DF9">
        <w:rPr>
          <w:rtl/>
        </w:rPr>
        <w:t>تها : عن بعض النسخ : « الحسن بن</w:t>
      </w:r>
      <w:r w:rsidR="00CE0DF9">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lastRenderedPageBreak/>
        <w:t xml:space="preserve">عَنْ أَبِي عَبْدِ اللهِ </w:t>
      </w:r>
      <w:r w:rsidRPr="0003660B">
        <w:rPr>
          <w:rStyle w:val="libAlaemChar"/>
          <w:rtl/>
        </w:rPr>
        <w:t>عليه‌السلام</w:t>
      </w:r>
      <w:r w:rsidRPr="00C9040A">
        <w:rPr>
          <w:rtl/>
          <w:lang w:bidi="fa-IR"/>
        </w:rPr>
        <w:t xml:space="preserve"> ، قَالَ : « الْمَكَارِمُ عَشْرٌ ، فَإِنِ اسْتَطَعْتَ أَنْ تَكُونَ فِيكَ فَلْتَكُنْ ؛ فَإِنَّهَا تَكُونُ فِي الرَّجُلِ وَلَا تَكُونُ فِي وَلَدِهِ </w:t>
      </w:r>
      <w:r w:rsidR="006C577F" w:rsidRPr="006C577F">
        <w:rPr>
          <w:rStyle w:val="libFootnotenumChar"/>
          <w:rtl/>
        </w:rPr>
        <w:t>(1)</w:t>
      </w:r>
      <w:r w:rsidRPr="00C9040A">
        <w:rPr>
          <w:rtl/>
          <w:lang w:bidi="fa-IR"/>
        </w:rPr>
        <w:t>، وَتَكُونُ فِي الْوَلَدِ وَلَا تَكُونُ فِي أَبِيهِ ، وَتَكُونُ فِي الْعَبْدِ وَلَا تَكُونُ فِي الْحُرِّ »</w:t>
      </w:r>
      <w:r>
        <w:rPr>
          <w:rtl/>
          <w:lang w:bidi="fa-IR"/>
        </w:rPr>
        <w:t>.</w:t>
      </w:r>
    </w:p>
    <w:p w:rsidR="008A74EB" w:rsidRPr="00C9040A" w:rsidRDefault="008A74EB" w:rsidP="008A74EB">
      <w:pPr>
        <w:pStyle w:val="libNormal"/>
        <w:rPr>
          <w:rtl/>
          <w:lang w:bidi="fa-IR"/>
        </w:rPr>
      </w:pPr>
      <w:r w:rsidRPr="00C9040A">
        <w:rPr>
          <w:rtl/>
          <w:lang w:bidi="fa-IR"/>
        </w:rPr>
        <w:t>قِيلَ : وَمَا هُنَّ</w:t>
      </w:r>
      <w:r>
        <w:rPr>
          <w:rtl/>
          <w:lang w:bidi="fa-IR"/>
        </w:rPr>
        <w:t>؟</w:t>
      </w:r>
    </w:p>
    <w:p w:rsidR="008A74EB" w:rsidRPr="00C9040A" w:rsidRDefault="008A74EB" w:rsidP="008A74EB">
      <w:pPr>
        <w:pStyle w:val="libNormal"/>
        <w:rPr>
          <w:rtl/>
          <w:lang w:bidi="fa-IR"/>
        </w:rPr>
      </w:pPr>
      <w:r w:rsidRPr="00C9040A">
        <w:rPr>
          <w:rtl/>
          <w:lang w:bidi="fa-IR"/>
        </w:rPr>
        <w:t xml:space="preserve">قَالَ : « صِدْقُ الْيَأْسِ </w:t>
      </w:r>
      <w:r w:rsidR="006C577F" w:rsidRPr="006C577F">
        <w:rPr>
          <w:rStyle w:val="libFootnotenumChar"/>
          <w:rtl/>
        </w:rPr>
        <w:t>(2)</w:t>
      </w:r>
      <w:r w:rsidRPr="00C9040A">
        <w:rPr>
          <w:rtl/>
          <w:lang w:bidi="fa-IR"/>
        </w:rPr>
        <w:t xml:space="preserve"> ، وَصِدْقُ اللِّسَانِ ، وَأَدَاءُ الْأَمَانَةِ ، وَصِلَةُ الرَّحِمِ ،</w:t>
      </w:r>
    </w:p>
    <w:p w:rsidR="008A74EB" w:rsidRPr="00C9040A" w:rsidRDefault="008A74EB" w:rsidP="008A74EB">
      <w:pPr>
        <w:pStyle w:val="libLine"/>
        <w:rPr>
          <w:rtl/>
          <w:lang w:bidi="fa-IR"/>
        </w:rPr>
      </w:pPr>
      <w:r w:rsidRPr="00C9040A">
        <w:rPr>
          <w:rtl/>
          <w:lang w:bidi="fa-IR"/>
        </w:rPr>
        <w:t>__________________</w:t>
      </w:r>
    </w:p>
    <w:p w:rsidR="008A74EB" w:rsidRPr="00C9040A" w:rsidRDefault="00CE0DF9" w:rsidP="004A4E41">
      <w:pPr>
        <w:pStyle w:val="libFootnote0"/>
        <w:rPr>
          <w:rtl/>
          <w:lang w:bidi="fa-IR"/>
        </w:rPr>
      </w:pPr>
      <w:r>
        <w:rPr>
          <w:rFonts w:hint="cs"/>
          <w:rtl/>
        </w:rPr>
        <w:t xml:space="preserve">= </w:t>
      </w:r>
      <w:r w:rsidR="008A74EB" w:rsidRPr="00C9040A">
        <w:rPr>
          <w:rtl/>
        </w:rPr>
        <w:t>عطيّة »</w:t>
      </w:r>
      <w:r w:rsidR="008A74EB">
        <w:rPr>
          <w:rtl/>
        </w:rPr>
        <w:t>.</w:t>
      </w:r>
      <w:r w:rsidR="008A74EB" w:rsidRPr="00C9040A">
        <w:rPr>
          <w:rtl/>
        </w:rPr>
        <w:t xml:space="preserve"> والصواب ما أثبتناه ، فقد روى يزيد بن إسحاق عن الحسن بن عطيّة في </w:t>
      </w:r>
      <w:r w:rsidR="008A74EB" w:rsidRPr="00993B55">
        <w:rPr>
          <w:rStyle w:val="libFootnoteBoldChar"/>
          <w:rtl/>
        </w:rPr>
        <w:t>كامل الزيارات</w:t>
      </w:r>
      <w:r w:rsidR="008A74EB" w:rsidRPr="00C9040A">
        <w:rPr>
          <w:rtl/>
        </w:rPr>
        <w:t xml:space="preserve"> ، ص 55 ، ح 3 ؛ وص 213 ، ح 10 ؛ وص 245 ، ح 3.</w:t>
      </w:r>
    </w:p>
    <w:p w:rsidR="008A74EB" w:rsidRPr="00C9040A" w:rsidRDefault="008A74EB" w:rsidP="004A4E41">
      <w:pPr>
        <w:pStyle w:val="libFootnote0"/>
        <w:rPr>
          <w:rtl/>
          <w:lang w:bidi="fa-IR"/>
        </w:rPr>
      </w:pPr>
      <w:r w:rsidRPr="00323A39">
        <w:rPr>
          <w:rtl/>
        </w:rPr>
        <w:t xml:space="preserve">ثمّ إنّ هذا الخبر رواه الصدوق في </w:t>
      </w:r>
      <w:r w:rsidRPr="00993B55">
        <w:rPr>
          <w:rStyle w:val="libFootnoteBoldChar"/>
          <w:rtl/>
        </w:rPr>
        <w:t>الخصال</w:t>
      </w:r>
      <w:r w:rsidRPr="00323A39">
        <w:rPr>
          <w:rtl/>
        </w:rPr>
        <w:t xml:space="preserve"> ، ص 431 ، ح 11 ، والشيخ الطوسي في </w:t>
      </w:r>
      <w:r w:rsidRPr="00993B55">
        <w:rPr>
          <w:rStyle w:val="libFootnoteBoldChar"/>
          <w:rtl/>
        </w:rPr>
        <w:t>الأمالي</w:t>
      </w:r>
      <w:r w:rsidRPr="00323A39">
        <w:rPr>
          <w:rtl/>
        </w:rPr>
        <w:t xml:space="preserve"> ، ص 10 ، المجلس 1 ، ح 12 ، بسنديهما عن يزيد بن إسحاق عن الحسن بن عطيّة. وأمّا </w:t>
      </w:r>
      <w:r w:rsidRPr="0034021D">
        <w:rPr>
          <w:rStyle w:val="libFootnoteBoldChar"/>
          <w:rtl/>
        </w:rPr>
        <w:t>الأمالي للمفيد</w:t>
      </w:r>
      <w:r w:rsidRPr="00B866D3">
        <w:rPr>
          <w:rStyle w:val="libFootnoteBoldChar"/>
          <w:rtl/>
        </w:rPr>
        <w:t xml:space="preserve"> </w:t>
      </w:r>
      <w:r w:rsidRPr="00323A39">
        <w:rPr>
          <w:rtl/>
        </w:rPr>
        <w:t>، ص 226 ، المجلس 26 ، ح 4 ، فقد ورد الخبر فيه عن يزيد بن إسحاق عن الحسين بن عطيّة ، ولكنّ المذكور في حاشية الكتاب نقلاً من بعض النسخ هو « الحسن بن عطيّة ».</w:t>
      </w:r>
    </w:p>
    <w:p w:rsidR="008A74EB" w:rsidRDefault="008A74EB" w:rsidP="004A4E41">
      <w:pPr>
        <w:pStyle w:val="libFootnote0"/>
        <w:rPr>
          <w:rtl/>
        </w:rPr>
      </w:pPr>
      <w:r w:rsidRPr="0082575F">
        <w:rPr>
          <w:rtl/>
        </w:rPr>
        <w:t>هذا ، ولم نجد رواية يزيد بن إسحاق عن الحسين بن عطيّة</w:t>
      </w:r>
      <w:r>
        <w:rPr>
          <w:rtl/>
        </w:rPr>
        <w:t xml:space="preserve"> </w:t>
      </w:r>
      <w:r w:rsidR="0084262C">
        <w:rPr>
          <w:rtl/>
        </w:rPr>
        <w:t>-</w:t>
      </w:r>
      <w:r>
        <w:rPr>
          <w:rtl/>
        </w:rPr>
        <w:t xml:space="preserve"> </w:t>
      </w:r>
      <w:r w:rsidRPr="0082575F">
        <w:rPr>
          <w:rtl/>
        </w:rPr>
        <w:t>مع الفحص الأكيد</w:t>
      </w:r>
      <w:r>
        <w:rPr>
          <w:rtl/>
        </w:rPr>
        <w:t xml:space="preserve"> </w:t>
      </w:r>
      <w:r w:rsidR="0084262C">
        <w:rPr>
          <w:rtl/>
        </w:rPr>
        <w:t>-</w:t>
      </w:r>
      <w:r>
        <w:rPr>
          <w:rtl/>
        </w:rPr>
        <w:t xml:space="preserve"> </w:t>
      </w:r>
      <w:r w:rsidRPr="0082575F">
        <w:rPr>
          <w:rtl/>
        </w:rPr>
        <w:t>في غير سند هذا الخبر.</w:t>
      </w:r>
    </w:p>
    <w:p w:rsidR="008A74EB" w:rsidRPr="00C9040A" w:rsidRDefault="006C577F" w:rsidP="004A4E41">
      <w:pPr>
        <w:pStyle w:val="libFootnote0"/>
        <w:rPr>
          <w:rtl/>
          <w:lang w:bidi="fa-IR"/>
        </w:rPr>
      </w:pPr>
      <w:r>
        <w:rPr>
          <w:rtl/>
        </w:rPr>
        <w:t>(1).</w:t>
      </w:r>
      <w:r w:rsidR="008A74EB" w:rsidRPr="00C9040A">
        <w:rPr>
          <w:rtl/>
        </w:rPr>
        <w:t xml:space="preserve"> في « ج » : « الولد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ص ، ف » وحاشية « ج ، بس » وشرح المازندراني والوافي والخصال و</w:t>
      </w:r>
      <w:r w:rsidR="008A74EB" w:rsidRPr="0034021D">
        <w:rPr>
          <w:rStyle w:val="libFootnoteBoldChar"/>
          <w:rtl/>
        </w:rPr>
        <w:t>الأمالي للمفيد</w:t>
      </w:r>
      <w:r w:rsidR="008A74EB" w:rsidRPr="00C9040A">
        <w:rPr>
          <w:rtl/>
        </w:rPr>
        <w:t xml:space="preserve"> </w:t>
      </w:r>
      <w:r w:rsidR="008A74EB" w:rsidRPr="00AC2E2F">
        <w:rPr>
          <w:rStyle w:val="libFootnoteBoldChar"/>
          <w:rtl/>
        </w:rPr>
        <w:t>والأمالي للطوسي</w:t>
      </w:r>
      <w:r w:rsidR="008A74EB" w:rsidRPr="00C9040A">
        <w:rPr>
          <w:rtl/>
        </w:rPr>
        <w:t xml:space="preserve"> ، ص 10 : « البأس »</w:t>
      </w:r>
      <w:r w:rsidR="008A74EB">
        <w:rPr>
          <w:rtl/>
        </w:rPr>
        <w:t>.</w:t>
      </w:r>
      <w:r w:rsidR="008A74EB" w:rsidRPr="00C9040A">
        <w:rPr>
          <w:rtl/>
        </w:rPr>
        <w:t xml:space="preserve"> وفي « بس ، بف » والجعفريّات </w:t>
      </w:r>
      <w:r w:rsidR="008A74EB" w:rsidRPr="00AC2E2F">
        <w:rPr>
          <w:rStyle w:val="libFootnoteBoldChar"/>
          <w:rtl/>
        </w:rPr>
        <w:t>والأمالي للطوسي</w:t>
      </w:r>
      <w:r w:rsidR="008A74EB" w:rsidRPr="00C9040A">
        <w:rPr>
          <w:rtl/>
        </w:rPr>
        <w:t xml:space="preserve"> ، ص 301 : « الناس »</w:t>
      </w:r>
      <w:r w:rsidR="008A74EB">
        <w:rPr>
          <w:rtl/>
        </w:rPr>
        <w:t>.</w:t>
      </w:r>
      <w:r w:rsidR="008A74EB" w:rsidRPr="00C9040A">
        <w:rPr>
          <w:rtl/>
        </w:rPr>
        <w:t xml:space="preserve"> وقال في </w:t>
      </w:r>
      <w:r w:rsidR="008A74EB" w:rsidRPr="00993B55">
        <w:rPr>
          <w:rStyle w:val="libFootnoteBoldChar"/>
          <w:rtl/>
        </w:rPr>
        <w:t>الوافي</w:t>
      </w:r>
      <w:r w:rsidR="008A74EB" w:rsidRPr="00C9040A">
        <w:rPr>
          <w:rtl/>
        </w:rPr>
        <w:t xml:space="preserve"> : « ا</w:t>
      </w:r>
      <w:r w:rsidR="00CE0DF9">
        <w:rPr>
          <w:rFonts w:hint="cs"/>
          <w:rtl/>
        </w:rPr>
        <w:t>ُ</w:t>
      </w:r>
      <w:r w:rsidR="008A74EB" w:rsidRPr="00C9040A">
        <w:rPr>
          <w:rtl/>
        </w:rPr>
        <w:t>ريد بصدق البأس موافقة خشوع ظاهره وإخباته لخشوع باطنه وإخباته ، لايرى التخشّع في الظاهر أكثر ممّا في باطنه »</w:t>
      </w:r>
      <w:r w:rsidR="008A74EB">
        <w:rPr>
          <w:rtl/>
        </w:rPr>
        <w:t>.</w:t>
      </w:r>
      <w:r w:rsidR="008A74EB" w:rsidRPr="00C9040A">
        <w:rPr>
          <w:rtl/>
        </w:rPr>
        <w:t xml:space="preserve"> وقال في </w:t>
      </w:r>
      <w:r w:rsidR="008A74EB" w:rsidRPr="00993B55">
        <w:rPr>
          <w:rStyle w:val="libFootnoteBoldChar"/>
          <w:rtl/>
        </w:rPr>
        <w:t>شرح المازندراني</w:t>
      </w:r>
      <w:r w:rsidR="008A74EB" w:rsidRPr="00C9040A">
        <w:rPr>
          <w:rtl/>
        </w:rPr>
        <w:t xml:space="preserve"> ، ج 8 ، ص 173 : « صدق البأس ، أي الخوف ، أو الخضوع ، أو الشدّة والفقر ، ومنه البائس الفقير ، أو القوّة. وصدق الخوف عن المعصية بأن يتركها ، ومن التقصير في العمل بأن يسعى في كماله ، ومن عدم الوصول إلى درجة الأبرار بأن يسعى في اكتساب الخيرات</w:t>
      </w:r>
      <w:r w:rsidR="008A74EB">
        <w:rPr>
          <w:rtl/>
        </w:rPr>
        <w:t xml:space="preserve"> ..</w:t>
      </w:r>
      <w:r w:rsidR="008A74EB" w:rsidRPr="00C9040A">
        <w:rPr>
          <w:rtl/>
        </w:rPr>
        <w:t>. وصدق الخضوع بأن يخضع لله‌تعالى ، لا لغيره</w:t>
      </w:r>
      <w:r w:rsidR="008A74EB">
        <w:rPr>
          <w:rtl/>
        </w:rPr>
        <w:t xml:space="preserve"> ..</w:t>
      </w:r>
      <w:r w:rsidR="008A74EB" w:rsidRPr="00C9040A">
        <w:rPr>
          <w:rtl/>
        </w:rPr>
        <w:t>. وصدق الفقر بأن يترك عن نفسه</w:t>
      </w:r>
      <w:r w:rsidR="00CE0DF9">
        <w:rPr>
          <w:rtl/>
        </w:rPr>
        <w:t xml:space="preserve"> هواها ومتميّناتها وآمالها وإل</w:t>
      </w:r>
      <w:r w:rsidR="00CE0DF9">
        <w:rPr>
          <w:rFonts w:hint="cs"/>
          <w:rtl/>
        </w:rPr>
        <w:t>ّ</w:t>
      </w:r>
      <w:r w:rsidR="00CE0DF9">
        <w:rPr>
          <w:rtl/>
        </w:rPr>
        <w:t>ا</w:t>
      </w:r>
      <w:r w:rsidR="008A74EB" w:rsidRPr="00C9040A">
        <w:rPr>
          <w:rtl/>
        </w:rPr>
        <w:t xml:space="preserve"> فهو ليس بفقير ، وصدق القوّة أن يصرفها في الطاعات فمن صرفها في المعاصي فهو ضعيف عاجز »</w:t>
      </w:r>
      <w:r w:rsidR="008A74EB">
        <w:rPr>
          <w:rtl/>
        </w:rPr>
        <w:t>.</w:t>
      </w:r>
    </w:p>
    <w:p w:rsidR="008A74EB" w:rsidRPr="00C9040A" w:rsidRDefault="00CE0DF9" w:rsidP="004A4E41">
      <w:pPr>
        <w:pStyle w:val="libFootnote0"/>
        <w:rPr>
          <w:rtl/>
          <w:lang w:bidi="fa-IR"/>
        </w:rPr>
      </w:pPr>
      <w:r>
        <w:rPr>
          <w:rtl/>
        </w:rPr>
        <w:t>ونقل العل</w:t>
      </w:r>
      <w:r>
        <w:rPr>
          <w:rFonts w:hint="cs"/>
          <w:rtl/>
        </w:rPr>
        <w:t>ّ</w:t>
      </w:r>
      <w:r>
        <w:rPr>
          <w:rtl/>
        </w:rPr>
        <w:t>ا</w:t>
      </w:r>
      <w:r w:rsidR="008A74EB" w:rsidRPr="00323A39">
        <w:rPr>
          <w:rtl/>
        </w:rPr>
        <w:t xml:space="preserve">مة المجلسي في </w:t>
      </w:r>
      <w:r w:rsidR="008A74EB" w:rsidRPr="00993B55">
        <w:rPr>
          <w:rStyle w:val="libFootnoteBoldChar"/>
          <w:rtl/>
        </w:rPr>
        <w:t>مرآة العقول</w:t>
      </w:r>
      <w:r w:rsidR="008A74EB" w:rsidRPr="00323A39">
        <w:rPr>
          <w:rtl/>
        </w:rPr>
        <w:t xml:space="preserve"> ، ج 7 ، ص 344 عن بعض النسخ : « اليأس » وعن بعضها : « البأس » ، ثمّ قال : « فعلى الأوّل المراد به اليأس عمّا في أيدي الناس وقصر النظر على فضله تعالى ولطفه ، والمراد بصدقه عدم كونه بمحض الدعوى من غير ظهور آثاره ... وعلى الثاني المراد بالبأس إمّا الشجاعة والشدّة في الحرب وغيره ، أي الشجاعة الحسنة الصادقة في الجهاد في سبيل الله وإظهار الحقّ والنهي عن المنكر ، أو من البؤس والفقر ، كما قيل : أُريد بصدق البأس موافقة خشوع ظاهره وإخباته لخشوع باطنه وإخباته ، لايرى التخشّع في الظاهر أكثر ممّا في باطنه. انتهى ، وهو بعيد عن اللفظ ؛ إذ الظاهر حينئذٍ البؤس ، بالضمّ ، وهو خلاف المضبوط من الرسم » ، ثمّ نقل كلام المازندراني أيضاً وقال : « وفي أكثرها تكلّف مستغنى عنه ».</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وَإِقْرَاءُ </w:t>
      </w:r>
      <w:r w:rsidR="006C577F" w:rsidRPr="006C577F">
        <w:rPr>
          <w:rStyle w:val="libFootnotenumChar"/>
          <w:rtl/>
        </w:rPr>
        <w:t>(1)</w:t>
      </w:r>
      <w:r w:rsidRPr="00853746">
        <w:rPr>
          <w:rFonts w:hint="cs"/>
          <w:rtl/>
        </w:rPr>
        <w:t xml:space="preserve"> </w:t>
      </w:r>
      <w:r w:rsidRPr="00C9040A">
        <w:rPr>
          <w:rtl/>
          <w:lang w:bidi="fa-IR"/>
        </w:rPr>
        <w:t xml:space="preserve">الضَّيْفِ ، وَإِطْعَامُ السَّائِلِ ، وَالْمُكَافَأَةُ عَلَى الصَّنَائِعِ ، وَالتَّذَمُّمُ </w:t>
      </w:r>
      <w:r w:rsidR="006C577F" w:rsidRPr="006C577F">
        <w:rPr>
          <w:rStyle w:val="libFootnotenumChar"/>
          <w:rtl/>
        </w:rPr>
        <w:t>(2)</w:t>
      </w:r>
      <w:r w:rsidRPr="00C9040A">
        <w:rPr>
          <w:rtl/>
          <w:lang w:bidi="fa-IR"/>
        </w:rPr>
        <w:t xml:space="preserve"> لِلْجَارِ ، وَالتَّذَمُّمُ لِلصَّاحِبِ ، وَرَأْسُهُنَّ الْحَيَاءُ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E7018C">
        <w:rPr>
          <w:rtl/>
        </w:rPr>
        <w:t>1561</w:t>
      </w:r>
      <w:r w:rsidRPr="00261CB0">
        <w:rPr>
          <w:rStyle w:val="libBold2Char"/>
          <w:rtl/>
        </w:rPr>
        <w:t xml:space="preserve"> / 2.</w:t>
      </w:r>
      <w:r w:rsidRPr="00C9040A">
        <w:rPr>
          <w:rtl/>
          <w:lang w:bidi="fa-IR"/>
        </w:rPr>
        <w:t xml:space="preserve"> عِدَّةٌ مِنْ أَصْحَابِنَا ، عَنْ أَحْمَدَ بْنِ مُحَمَّدِ بْنِ خَالِدٍ ، عَنْ عُثْمَانَ بْنِ عِيسى ، عَنْ عَبْدِ اللهِ بْنِ مُسْكَانَ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خَصَّ رُسُلَهُ </w:t>
      </w:r>
      <w:r w:rsidR="006C577F" w:rsidRPr="006C577F">
        <w:rPr>
          <w:rStyle w:val="libFootnotenumChar"/>
          <w:rtl/>
        </w:rPr>
        <w:t>(4)</w:t>
      </w:r>
      <w:r w:rsidRPr="00C9040A">
        <w:rPr>
          <w:rtl/>
          <w:lang w:bidi="fa-IR"/>
        </w:rPr>
        <w:t xml:space="preserve"> بِمَكَارِمِ الْأَخْلَاقِ ؛ فَامْتَحِنُوا أَنْفُسَكُمْ ، فَإِنْ كَانَتْ فِيكُمْ ، فَاحْمَدُوا اللهَ ، وَاعْلَمُوا أَنَّ ذلِكَ مِنْ خَيْرٍ ؛ وَإِنْ لَا تَكُنْ </w:t>
      </w:r>
      <w:r w:rsidR="006C577F" w:rsidRPr="006C577F">
        <w:rPr>
          <w:rStyle w:val="libFootnotenumChar"/>
          <w:rtl/>
        </w:rPr>
        <w:t>(5)</w:t>
      </w:r>
      <w:r w:rsidRPr="00C9040A">
        <w:rPr>
          <w:rtl/>
          <w:lang w:bidi="fa-IR"/>
        </w:rPr>
        <w:t xml:space="preserve"> فِيكُمْ ، فَاسْأَلُوا </w:t>
      </w:r>
      <w:r w:rsidR="006C577F" w:rsidRPr="006C577F">
        <w:rPr>
          <w:rStyle w:val="libFootnotenumChar"/>
          <w:rtl/>
        </w:rPr>
        <w:t>(6)</w:t>
      </w:r>
      <w:r w:rsidRPr="005B567D">
        <w:rPr>
          <w:rStyle w:val="libFootnotenumChar"/>
          <w:rtl/>
        </w:rPr>
        <w:t xml:space="preserve"> </w:t>
      </w:r>
      <w:r w:rsidRPr="00C9040A">
        <w:rPr>
          <w:rtl/>
          <w:lang w:bidi="fa-IR"/>
        </w:rPr>
        <w:t xml:space="preserve">اللهَ ، وَارْغَبُوا </w:t>
      </w:r>
      <w:r w:rsidR="006C577F" w:rsidRPr="006C577F">
        <w:rPr>
          <w:rStyle w:val="libFootnotenumChar"/>
          <w:rtl/>
        </w:rPr>
        <w:t>(7)</w:t>
      </w:r>
      <w:r w:rsidRPr="00C9040A">
        <w:rPr>
          <w:rtl/>
          <w:lang w:bidi="fa-IR"/>
        </w:rPr>
        <w:t xml:space="preserve"> إلَيْهِ فِيها </w:t>
      </w:r>
      <w:r w:rsidR="006C577F" w:rsidRPr="006C577F">
        <w:rPr>
          <w:rStyle w:val="libFootnotenumChar"/>
          <w:rtl/>
        </w:rPr>
        <w:t>(8)</w:t>
      </w:r>
      <w:r w:rsidRPr="00C9040A">
        <w:rPr>
          <w:rtl/>
          <w:lang w:bidi="fa-IR"/>
        </w:rPr>
        <w:t xml:space="preserve"> »</w:t>
      </w:r>
      <w:r>
        <w:rPr>
          <w:rtl/>
          <w:lang w:bidi="fa-IR"/>
        </w:rPr>
        <w:t>.</w:t>
      </w:r>
    </w:p>
    <w:p w:rsidR="008A74EB" w:rsidRPr="00C9040A" w:rsidRDefault="008A74EB" w:rsidP="008A74EB">
      <w:pPr>
        <w:pStyle w:val="libNormal"/>
        <w:rPr>
          <w:rtl/>
          <w:lang w:bidi="fa-IR"/>
        </w:rPr>
      </w:pPr>
      <w:r w:rsidRPr="00C9040A">
        <w:rPr>
          <w:rtl/>
          <w:lang w:bidi="fa-IR"/>
        </w:rPr>
        <w:t xml:space="preserve">قال : فَذَكَرَهَا </w:t>
      </w:r>
      <w:r w:rsidR="006C577F" w:rsidRPr="006C577F">
        <w:rPr>
          <w:rStyle w:val="libFootnotenumChar"/>
          <w:rtl/>
        </w:rPr>
        <w:t>(9)</w:t>
      </w:r>
      <w:r w:rsidRPr="00C9040A">
        <w:rPr>
          <w:rtl/>
          <w:lang w:bidi="fa-IR"/>
        </w:rPr>
        <w:t xml:space="preserve"> عَشَرَةً : « الْيَقِينَ </w:t>
      </w:r>
      <w:r w:rsidR="006C577F" w:rsidRPr="006C577F">
        <w:rPr>
          <w:rStyle w:val="libFootnotenumChar"/>
          <w:rtl/>
        </w:rPr>
        <w:t>(10)</w:t>
      </w:r>
      <w:r w:rsidRPr="00C9040A">
        <w:rPr>
          <w:rtl/>
          <w:lang w:bidi="fa-IR"/>
        </w:rPr>
        <w:t xml:space="preserve"> ، وَالْقَنَاعَةَ ، وَالصَّبْرَ </w:t>
      </w:r>
      <w:r w:rsidR="006C577F" w:rsidRPr="006C577F">
        <w:rPr>
          <w:rStyle w:val="libFootnotenumChar"/>
          <w:rtl/>
        </w:rPr>
        <w:t>(11)</w:t>
      </w:r>
      <w:r w:rsidRPr="00C9040A">
        <w:rPr>
          <w:rtl/>
          <w:lang w:bidi="fa-IR"/>
        </w:rPr>
        <w:t xml:space="preserve"> ، وَالشُّكْرَ ،</w:t>
      </w:r>
      <w:r w:rsidR="00DD083D">
        <w:rPr>
          <w:rFonts w:hint="cs"/>
          <w:rtl/>
          <w:lang w:bidi="fa-IR"/>
        </w:rPr>
        <w:t>........</w:t>
      </w:r>
      <w:r w:rsidR="00DD083D">
        <w:rPr>
          <w:rFonts w:hint="cs"/>
          <w:rtl/>
          <w:lang w:bidi="fa-IR"/>
        </w:rPr>
        <w:tab/>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الأمالي للطوسي ، ص 301 : « قرى »</w:t>
      </w:r>
      <w:r w:rsidR="008A74EB">
        <w:rPr>
          <w:rtl/>
        </w:rPr>
        <w:t>.</w:t>
      </w:r>
      <w:r w:rsidR="008A74EB" w:rsidRPr="00C9040A">
        <w:rPr>
          <w:rtl/>
        </w:rPr>
        <w:t xml:space="preserve"> وفي </w:t>
      </w:r>
      <w:r w:rsidR="008A74EB" w:rsidRPr="00993B55">
        <w:rPr>
          <w:rStyle w:val="libFootnoteBoldChar"/>
          <w:rtl/>
        </w:rPr>
        <w:t>شرح المازندراني</w:t>
      </w:r>
      <w:r w:rsidR="008A74EB" w:rsidRPr="00C9040A">
        <w:rPr>
          <w:rtl/>
        </w:rPr>
        <w:t xml:space="preserve"> : « الظاهر أنّ الإقراء بمعنى القِرَى المجرّد ، يقال : قَرَيْتُ الضيفَ »</w:t>
      </w:r>
      <w:r w:rsidR="008A74EB">
        <w:rPr>
          <w:rtl/>
        </w:rPr>
        <w:t>.</w:t>
      </w:r>
      <w:r w:rsidR="008A74EB" w:rsidRPr="00C9040A">
        <w:rPr>
          <w:rtl/>
        </w:rPr>
        <w:t xml:space="preserve"> أي أضَفتُهُ. وقال المجلسي في </w:t>
      </w:r>
      <w:r w:rsidR="008A74EB" w:rsidRPr="00993B55">
        <w:rPr>
          <w:rStyle w:val="libFootnoteBoldChar"/>
          <w:rtl/>
        </w:rPr>
        <w:t>مرآة العقول</w:t>
      </w:r>
      <w:r w:rsidR="008A74EB" w:rsidRPr="00C9040A">
        <w:rPr>
          <w:rtl/>
        </w:rPr>
        <w:t xml:space="preserve"> </w:t>
      </w:r>
      <w:r w:rsidR="00DD083D">
        <w:rPr>
          <w:rtl/>
        </w:rPr>
        <w:t>: « كذا في نسخ الكتاب وغيره إل</w:t>
      </w:r>
      <w:r w:rsidR="00DD083D">
        <w:rPr>
          <w:rFonts w:hint="cs"/>
          <w:rtl/>
        </w:rPr>
        <w:t>ّ</w:t>
      </w:r>
      <w:r w:rsidR="00DD083D">
        <w:rPr>
          <w:rtl/>
        </w:rPr>
        <w:t>ا</w:t>
      </w:r>
      <w:r w:rsidR="008A74EB" w:rsidRPr="00C9040A">
        <w:rPr>
          <w:rtl/>
        </w:rPr>
        <w:t>في رواية اخرى رواها الشيخ في المجالس موافقة المضامين لهذه الرواية ؛ فإنّ فيها : قرى الضيف ، وهو أظهر وأوفق لما في كتب اللغة</w:t>
      </w:r>
      <w:r w:rsidR="008A74EB">
        <w:rPr>
          <w:rtl/>
        </w:rPr>
        <w:t xml:space="preserve"> ..</w:t>
      </w:r>
      <w:r w:rsidR="008A74EB" w:rsidRPr="00C9040A">
        <w:rPr>
          <w:rtl/>
        </w:rPr>
        <w:t>. لكن قد نرى كثيراً من الأبنية مستعملة في الأخبار والعرف العامّ والخاصّ لم يتعرّض لها اللغويّون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 التذمّم » : هو أن يحفظ زمامه ويطرح عن نفسه ذمّ الناس له إن لم يحفظه ، والمراد دفع الضرر عمّن يصاحبه سفراً أو حضراً وعمّن يجاوره في البيت أو في المجلس. راجع : </w:t>
      </w:r>
      <w:r w:rsidR="008A74EB" w:rsidRPr="00993B55">
        <w:rPr>
          <w:rStyle w:val="libFootnoteBoldChar"/>
          <w:rtl/>
        </w:rPr>
        <w:t>النهاية</w:t>
      </w:r>
      <w:r w:rsidR="008A74EB" w:rsidRPr="00C9040A">
        <w:rPr>
          <w:rtl/>
        </w:rPr>
        <w:t xml:space="preserve"> ، ج 2 ، ص 169 ( ذمم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w:t>
      </w:r>
      <w:r w:rsidR="008A74EB" w:rsidRPr="00993B55">
        <w:rPr>
          <w:rStyle w:val="libFootnoteBoldChar"/>
          <w:rtl/>
        </w:rPr>
        <w:t>الخصال</w:t>
      </w:r>
      <w:r w:rsidR="008A74EB" w:rsidRPr="00C9040A">
        <w:rPr>
          <w:rtl/>
        </w:rPr>
        <w:t xml:space="preserve"> ، ص 431 ، باب العشرة ، ح 11 ، بسنده عن يزيد بن إسحاق ؛ وفي </w:t>
      </w:r>
      <w:r w:rsidR="008A74EB" w:rsidRPr="0034021D">
        <w:rPr>
          <w:rStyle w:val="libFootnoteBoldChar"/>
          <w:rtl/>
        </w:rPr>
        <w:t>الأمالي للمفيد</w:t>
      </w:r>
      <w:r w:rsidR="008A74EB" w:rsidRPr="00C9040A">
        <w:rPr>
          <w:rtl/>
        </w:rPr>
        <w:t xml:space="preserve"> ، ص 226 ، المجلس 26 ، ح 4 ؛ </w:t>
      </w:r>
      <w:r w:rsidR="008A74EB" w:rsidRPr="00AC2E2F">
        <w:rPr>
          <w:rStyle w:val="libFootnoteBoldChar"/>
          <w:rtl/>
        </w:rPr>
        <w:t>والأمالي للطوسي</w:t>
      </w:r>
      <w:r w:rsidR="008A74EB" w:rsidRPr="00C9040A">
        <w:rPr>
          <w:rtl/>
        </w:rPr>
        <w:t xml:space="preserve"> ، ص 10 ، المجلس 1 ، ح 12 ، بسندهما عن أحمد بن محمّد بن عيسى. </w:t>
      </w:r>
      <w:r w:rsidR="008A74EB" w:rsidRPr="00993B55">
        <w:rPr>
          <w:rStyle w:val="libFootnoteBoldChar"/>
          <w:rtl/>
        </w:rPr>
        <w:t>وفيه</w:t>
      </w:r>
      <w:r w:rsidR="008A74EB" w:rsidRPr="00C9040A">
        <w:rPr>
          <w:rtl/>
        </w:rPr>
        <w:t xml:space="preserve"> ، ص 301 ، المجلس 11 ، ح 44 ، بسند آخر ، مع اختلاف يسير ؛ </w:t>
      </w:r>
      <w:r w:rsidR="008A74EB" w:rsidRPr="00993B55">
        <w:rPr>
          <w:rStyle w:val="libFootnoteBoldChar"/>
          <w:rtl/>
        </w:rPr>
        <w:t>الجعفريّات</w:t>
      </w:r>
      <w:r w:rsidR="008A74EB" w:rsidRPr="00C9040A">
        <w:rPr>
          <w:rtl/>
        </w:rPr>
        <w:t xml:space="preserve"> ، ص 151 ، بسند آخر عن أبي عبد الله ، عن آبائه </w:t>
      </w:r>
      <w:r w:rsidR="00117575" w:rsidRPr="00117575">
        <w:rPr>
          <w:rStyle w:val="libFootnoteAlaemChar"/>
          <w:rtl/>
        </w:rPr>
        <w:t>عليهم‌السلام</w:t>
      </w:r>
      <w:r w:rsidR="008A74EB" w:rsidRPr="00C9040A">
        <w:rPr>
          <w:rtl/>
        </w:rPr>
        <w:t xml:space="preserve"> عن رسول الله </w:t>
      </w:r>
      <w:r w:rsidR="004A4E41" w:rsidRPr="00B866D3">
        <w:rPr>
          <w:rStyle w:val="libFootnoteAlaemChar"/>
          <w:rtl/>
        </w:rPr>
        <w:t>صلى‌الله‌عليه‌وآله</w:t>
      </w:r>
      <w:r w:rsidR="008A74EB" w:rsidRPr="00C9040A">
        <w:rPr>
          <w:rtl/>
        </w:rPr>
        <w:t xml:space="preserve"> ، مع اختلاف </w:t>
      </w:r>
      <w:r w:rsidR="008A74EB" w:rsidRPr="00993B55">
        <w:rPr>
          <w:rStyle w:val="libFootnoteBoldChar"/>
          <w:rtl/>
        </w:rPr>
        <w:t>الوافي</w:t>
      </w:r>
      <w:r w:rsidR="008A74EB" w:rsidRPr="00C9040A">
        <w:rPr>
          <w:rtl/>
        </w:rPr>
        <w:t xml:space="preserve"> ، ج 3 ، ص 265 ، ح 1910 ؛ </w:t>
      </w:r>
      <w:r w:rsidR="008A74EB" w:rsidRPr="00993B55">
        <w:rPr>
          <w:rStyle w:val="libFootnoteBoldChar"/>
          <w:rtl/>
        </w:rPr>
        <w:t>الوسائل</w:t>
      </w:r>
      <w:r w:rsidR="008A74EB" w:rsidRPr="00C9040A">
        <w:rPr>
          <w:rtl/>
        </w:rPr>
        <w:t xml:space="preserve"> ، ج 15 ، ص 183 ، ذيل ح 20230 ؛ </w:t>
      </w:r>
      <w:r w:rsidR="008A74EB" w:rsidRPr="00993B55">
        <w:rPr>
          <w:rStyle w:val="libFootnoteBoldChar"/>
          <w:rtl/>
        </w:rPr>
        <w:t>البحار</w:t>
      </w:r>
      <w:r w:rsidR="008A74EB" w:rsidRPr="00C9040A">
        <w:rPr>
          <w:rtl/>
        </w:rPr>
        <w:t xml:space="preserve"> ، ج 70 ، ص 367 ، ح 17.</w:t>
      </w:r>
    </w:p>
    <w:p w:rsidR="008A74EB" w:rsidRPr="00C9040A" w:rsidRDefault="006C577F" w:rsidP="004A4E41">
      <w:pPr>
        <w:pStyle w:val="libFootnote0"/>
        <w:rPr>
          <w:rtl/>
          <w:lang w:bidi="fa-IR"/>
        </w:rPr>
      </w:pPr>
      <w:r>
        <w:rPr>
          <w:rtl/>
        </w:rPr>
        <w:t>(4).</w:t>
      </w:r>
      <w:r w:rsidR="008A74EB" w:rsidRPr="00C9040A">
        <w:rPr>
          <w:rtl/>
        </w:rPr>
        <w:t xml:space="preserve"> في « ب ، ج » والفقيه وفقه الرضا والخصال : « رسوله »</w:t>
      </w:r>
      <w:r w:rsidR="008A74EB">
        <w:rPr>
          <w:rtl/>
        </w:rPr>
        <w:t>.</w:t>
      </w:r>
      <w:r w:rsidR="008A74EB" w:rsidRPr="00C9040A">
        <w:rPr>
          <w:rtl/>
        </w:rPr>
        <w:t xml:space="preserve"> وفي صفات الشيعة والمعاني : « رسول الله </w:t>
      </w:r>
      <w:r w:rsidR="004A4E41" w:rsidRPr="00B866D3">
        <w:rPr>
          <w:rStyle w:val="libFootnoteAlaemChar"/>
          <w:rtl/>
        </w:rPr>
        <w:t>صلى‌الله‌عليه‌وآله</w:t>
      </w:r>
      <w:r w:rsidR="008A74EB" w:rsidRPr="00C9040A">
        <w:rPr>
          <w:rtl/>
        </w:rPr>
        <w:t xml:space="preserve">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بف » : « لا يكنّ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ض » : « فسلوا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رغب إليه رَغَباً : ابتهل ، أو هو الضراعة والمسألة. </w:t>
      </w:r>
      <w:r w:rsidR="008A74EB" w:rsidRPr="00993B55">
        <w:rPr>
          <w:rStyle w:val="libFootnoteBoldChar"/>
          <w:rtl/>
        </w:rPr>
        <w:t>القاموس المحيط</w:t>
      </w:r>
      <w:r w:rsidR="008A74EB" w:rsidRPr="00C9040A">
        <w:rPr>
          <w:rtl/>
        </w:rPr>
        <w:t xml:space="preserve"> ، ج 1 ، ص 169 ( رغب )</w:t>
      </w:r>
      <w:r w:rsidR="008A74EB">
        <w:rPr>
          <w:rtl/>
        </w:rPr>
        <w:t>.</w:t>
      </w:r>
    </w:p>
    <w:p w:rsidR="008A74EB" w:rsidRPr="004A4E41" w:rsidRDefault="006C577F" w:rsidP="004A4E41">
      <w:pPr>
        <w:pStyle w:val="libFootnote0"/>
        <w:rPr>
          <w:rStyle w:val="libFootnote0Char"/>
          <w:rtl/>
        </w:rPr>
      </w:pPr>
      <w:r>
        <w:rPr>
          <w:rtl/>
        </w:rPr>
        <w:t>(8).</w:t>
      </w:r>
      <w:r w:rsidR="008A74EB" w:rsidRPr="00C9040A">
        <w:rPr>
          <w:rtl/>
        </w:rPr>
        <w:t xml:space="preserve"> في الفقيه والأمالي والخصال وصفات الشيعة والمعاني : « وارغبوا في الزيادة منها » بدل « واعلموا أنّ</w:t>
      </w:r>
      <w:r w:rsidR="008A74EB">
        <w:rPr>
          <w:rtl/>
        </w:rPr>
        <w:t xml:space="preserve"> </w:t>
      </w:r>
      <w:r w:rsidR="0084262C">
        <w:rPr>
          <w:rtl/>
        </w:rPr>
        <w:t>-</w:t>
      </w:r>
      <w:r w:rsidR="008A74EB">
        <w:rPr>
          <w:rtl/>
        </w:rPr>
        <w:t xml:space="preserve"> </w:t>
      </w:r>
      <w:r w:rsidR="008A74EB" w:rsidRPr="00C9040A">
        <w:rPr>
          <w:rtl/>
        </w:rPr>
        <w:t>إلى</w:t>
      </w:r>
      <w:r w:rsidR="008A74EB">
        <w:rPr>
          <w:rtl/>
        </w:rPr>
        <w:t xml:space="preserve"> </w:t>
      </w:r>
      <w:r w:rsidR="0084262C">
        <w:rPr>
          <w:rtl/>
        </w:rPr>
        <w:t>-</w:t>
      </w:r>
      <w:r w:rsidR="008A74EB">
        <w:rPr>
          <w:rtl/>
        </w:rPr>
        <w:t xml:space="preserve"> </w:t>
      </w:r>
      <w:r w:rsidR="008A74EB" w:rsidRPr="00C9040A">
        <w:rPr>
          <w:rtl/>
        </w:rPr>
        <w:t>فيها »</w:t>
      </w:r>
      <w:r w:rsidR="008A74EB">
        <w:rPr>
          <w:rtl/>
        </w:rPr>
        <w:t>.</w:t>
      </w:r>
      <w:r w:rsidR="001D500A">
        <w:rPr>
          <w:rFonts w:hint="cs"/>
          <w:rtl/>
        </w:rPr>
        <w:t xml:space="preserve">                                         </w:t>
      </w:r>
      <w:r w:rsidR="00B866D3">
        <w:rPr>
          <w:rFonts w:hint="cs"/>
          <w:rtl/>
        </w:rPr>
        <w:t xml:space="preserve">   </w:t>
      </w:r>
      <w:r w:rsidR="001D500A">
        <w:rPr>
          <w:rFonts w:hint="cs"/>
          <w:rtl/>
        </w:rPr>
        <w:t xml:space="preserve">            </w:t>
      </w:r>
      <w:r>
        <w:rPr>
          <w:rtl/>
        </w:rPr>
        <w:t>(9).</w:t>
      </w:r>
      <w:r w:rsidR="008A74EB" w:rsidRPr="00C9040A">
        <w:rPr>
          <w:rtl/>
        </w:rPr>
        <w:t xml:space="preserve"> في « ز ، بس » والبحار : « فذكر »</w:t>
      </w:r>
      <w:r w:rsidR="008A74EB">
        <w:rPr>
          <w:rtl/>
        </w:rPr>
        <w:t>.</w:t>
      </w:r>
    </w:p>
    <w:tbl>
      <w:tblPr>
        <w:tblStyle w:val="TableGrid"/>
        <w:bidiVisual/>
        <w:tblW w:w="0" w:type="auto"/>
        <w:tblLook w:val="04A0" w:firstRow="1" w:lastRow="0" w:firstColumn="1" w:lastColumn="0" w:noHBand="0" w:noVBand="1"/>
      </w:tblPr>
      <w:tblGrid>
        <w:gridCol w:w="4006"/>
        <w:gridCol w:w="4006"/>
      </w:tblGrid>
      <w:tr w:rsidR="001D500A" w:rsidTr="001D500A">
        <w:tc>
          <w:tcPr>
            <w:tcW w:w="4006" w:type="dxa"/>
          </w:tcPr>
          <w:p w:rsidR="001D500A" w:rsidRDefault="001D500A" w:rsidP="004A4E41">
            <w:pPr>
              <w:pStyle w:val="libFootnote0"/>
              <w:rPr>
                <w:rtl/>
              </w:rPr>
            </w:pPr>
            <w:r>
              <w:rPr>
                <w:rtl/>
              </w:rPr>
              <w:t>(10).</w:t>
            </w:r>
            <w:r w:rsidRPr="00C9040A">
              <w:rPr>
                <w:rtl/>
              </w:rPr>
              <w:t xml:space="preserve"> يجوز فيه وما عطف عليه الرفع أيضاً.</w:t>
            </w:r>
          </w:p>
        </w:tc>
        <w:tc>
          <w:tcPr>
            <w:tcW w:w="4006" w:type="dxa"/>
          </w:tcPr>
          <w:p w:rsidR="001D500A" w:rsidRDefault="001D500A" w:rsidP="004A4E41">
            <w:pPr>
              <w:pStyle w:val="libFootnote0"/>
              <w:rPr>
                <w:rtl/>
              </w:rPr>
            </w:pPr>
            <w:r>
              <w:rPr>
                <w:rtl/>
              </w:rPr>
              <w:t>(11).</w:t>
            </w:r>
            <w:r w:rsidRPr="00C9040A">
              <w:rPr>
                <w:rtl/>
              </w:rPr>
              <w:t xml:space="preserve"> في فقه الرضا : « والبصيرة »</w:t>
            </w:r>
            <w:r>
              <w:rPr>
                <w:rtl/>
              </w:rPr>
              <w:t>.</w:t>
            </w:r>
          </w:p>
        </w:tc>
      </w:tr>
    </w:tbl>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وَالْحِلْمَ </w:t>
      </w:r>
      <w:r w:rsidR="006C577F" w:rsidRPr="006C577F">
        <w:rPr>
          <w:rStyle w:val="libFootnotenumChar"/>
          <w:rtl/>
        </w:rPr>
        <w:t>(1)</w:t>
      </w:r>
      <w:r w:rsidRPr="00C9040A">
        <w:rPr>
          <w:rtl/>
          <w:lang w:bidi="fa-IR"/>
        </w:rPr>
        <w:t>، وَحُسْنَ الْخُلُقِ ، وَالسَّخَاءَ ، وَالْغَيْرَةَ ، وَالشَّجَاعَةَ ، وَالْمُرُوءَةَ »</w:t>
      </w:r>
      <w:r>
        <w:rPr>
          <w:rtl/>
          <w:lang w:bidi="fa-IR"/>
        </w:rPr>
        <w:t>.</w:t>
      </w:r>
    </w:p>
    <w:p w:rsidR="008A74EB" w:rsidRPr="00C9040A" w:rsidRDefault="008A74EB" w:rsidP="008A74EB">
      <w:pPr>
        <w:pStyle w:val="libNormal"/>
        <w:rPr>
          <w:rtl/>
          <w:lang w:bidi="fa-IR"/>
        </w:rPr>
      </w:pPr>
      <w:r w:rsidRPr="00C9040A">
        <w:rPr>
          <w:rtl/>
          <w:lang w:bidi="fa-IR"/>
        </w:rPr>
        <w:t xml:space="preserve">قَالَ : وَرَوى بَعْضُهُمْ بَعْدَ هذِهِ الْخِصَالِ الْعَشَرَةِ </w:t>
      </w:r>
      <w:r w:rsidR="006C577F" w:rsidRPr="006C577F">
        <w:rPr>
          <w:rStyle w:val="libFootnotenumChar"/>
          <w:rtl/>
        </w:rPr>
        <w:t>(2)</w:t>
      </w:r>
      <w:r w:rsidRPr="00C9040A">
        <w:rPr>
          <w:rtl/>
          <w:lang w:bidi="fa-IR"/>
        </w:rPr>
        <w:t xml:space="preserve"> وَزَادَ فِيهَا : « الصِّدْقَ </w:t>
      </w:r>
      <w:r w:rsidR="006C577F" w:rsidRPr="006C577F">
        <w:rPr>
          <w:rStyle w:val="libFootnotenumChar"/>
          <w:rtl/>
        </w:rPr>
        <w:t>(3)</w:t>
      </w:r>
      <w:r w:rsidR="00B866D3">
        <w:rPr>
          <w:rtl/>
          <w:lang w:bidi="fa-IR"/>
        </w:rPr>
        <w:t xml:space="preserve"> ، وَأَدَاءَ الْأَمَانَةِ</w:t>
      </w:r>
      <w:r w:rsidRPr="00C9040A">
        <w:rPr>
          <w:rtl/>
          <w:lang w:bidi="fa-IR"/>
        </w:rPr>
        <w:t>»</w:t>
      </w:r>
      <w:r>
        <w:rPr>
          <w:rtl/>
          <w:lang w:bidi="fa-IR"/>
        </w:rPr>
        <w:t>.</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D122A4">
        <w:rPr>
          <w:rtl/>
        </w:rPr>
        <w:t>1562</w:t>
      </w:r>
      <w:r w:rsidRPr="00261CB0">
        <w:rPr>
          <w:rStyle w:val="libBold2Char"/>
          <w:rtl/>
        </w:rPr>
        <w:t xml:space="preserve"> / 3.</w:t>
      </w:r>
      <w:r w:rsidRPr="00C9040A">
        <w:rPr>
          <w:rtl/>
          <w:lang w:bidi="fa-IR"/>
        </w:rPr>
        <w:t xml:space="preserve"> عَنْهُ </w:t>
      </w:r>
      <w:r w:rsidR="006C577F" w:rsidRPr="006C577F">
        <w:rPr>
          <w:rStyle w:val="libFootnotenumChar"/>
          <w:rtl/>
        </w:rPr>
        <w:t>(5)</w:t>
      </w:r>
      <w:r w:rsidRPr="00C9040A">
        <w:rPr>
          <w:rtl/>
          <w:lang w:bidi="fa-IR"/>
        </w:rPr>
        <w:t xml:space="preserve"> ، عَنْ بَكْرِ بْنِ صَالِحٍ ، عَنْ جَعْفَرِ بْنِ مُحَمَّدٍ الْهَاشِمِيِّ ، عَنْ إِسْمَاعِيلَ بْنِ عَبَّادٍ</w:t>
      </w:r>
      <w:r>
        <w:rPr>
          <w:rtl/>
          <w:lang w:bidi="fa-IR"/>
        </w:rPr>
        <w:t xml:space="preserve"> </w:t>
      </w:r>
      <w:r w:rsidR="0084262C">
        <w:rPr>
          <w:rtl/>
          <w:lang w:bidi="fa-IR"/>
        </w:rPr>
        <w:t>-</w:t>
      </w:r>
      <w:r>
        <w:rPr>
          <w:rtl/>
          <w:lang w:bidi="fa-IR"/>
        </w:rPr>
        <w:t xml:space="preserve"> </w:t>
      </w:r>
      <w:r w:rsidRPr="00C9040A">
        <w:rPr>
          <w:rtl/>
          <w:lang w:bidi="fa-IR"/>
        </w:rPr>
        <w:t xml:space="preserve">قَالَ بَكْرٌ </w:t>
      </w:r>
      <w:r w:rsidR="006C577F" w:rsidRPr="006C577F">
        <w:rPr>
          <w:rStyle w:val="libFootnotenumChar"/>
          <w:rtl/>
        </w:rPr>
        <w:t>(6)</w:t>
      </w:r>
      <w:r w:rsidRPr="005B567D">
        <w:rPr>
          <w:rStyle w:val="libFootnotenumChar"/>
          <w:rtl/>
        </w:rPr>
        <w:t xml:space="preserve"> </w:t>
      </w:r>
      <w:r w:rsidRPr="00C9040A">
        <w:rPr>
          <w:rtl/>
          <w:lang w:bidi="fa-IR"/>
        </w:rPr>
        <w:t xml:space="preserve">: وَأَظُنُّنِي </w:t>
      </w:r>
      <w:r w:rsidR="006C577F" w:rsidRPr="006C577F">
        <w:rPr>
          <w:rStyle w:val="libFootnotenumChar"/>
          <w:rtl/>
        </w:rPr>
        <w:t>(7)</w:t>
      </w:r>
      <w:r w:rsidRPr="00C9040A">
        <w:rPr>
          <w:rtl/>
          <w:lang w:bidi="fa-IR"/>
        </w:rPr>
        <w:t xml:space="preserve"> قَدْ سَمِعْتُهُ مِنْ إِسْمَاعِيلَ</w:t>
      </w:r>
      <w:r>
        <w:rPr>
          <w:rtl/>
          <w:lang w:bidi="fa-IR"/>
        </w:rPr>
        <w:t xml:space="preserve"> </w:t>
      </w:r>
      <w:r w:rsidR="0084262C">
        <w:rPr>
          <w:rtl/>
          <w:lang w:bidi="fa-IR"/>
        </w:rPr>
        <w:t>-</w:t>
      </w:r>
      <w:r>
        <w:rPr>
          <w:rtl/>
          <w:lang w:bidi="fa-IR"/>
        </w:rPr>
        <w:t xml:space="preserve"> </w:t>
      </w:r>
      <w:r w:rsidRPr="00C9040A">
        <w:rPr>
          <w:rtl/>
          <w:lang w:bidi="fa-IR"/>
        </w:rPr>
        <w:t>عَنْ عَبْدِ اللهِ بْنِ بُكَيْرٍ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إِنَّا لَنُحِبُّ </w:t>
      </w:r>
      <w:r w:rsidR="006C577F" w:rsidRPr="006C577F">
        <w:rPr>
          <w:rStyle w:val="libFootnotenumChar"/>
          <w:rtl/>
        </w:rPr>
        <w:t>(8)</w:t>
      </w:r>
      <w:r w:rsidRPr="00C9040A">
        <w:rPr>
          <w:rtl/>
          <w:lang w:bidi="fa-IR"/>
        </w:rPr>
        <w:t xml:space="preserve"> مَنْ كَانَ عَاقِلاً </w:t>
      </w:r>
      <w:r w:rsidR="006C577F" w:rsidRPr="006C577F">
        <w:rPr>
          <w:rStyle w:val="libFootnotenumChar"/>
          <w:rtl/>
        </w:rPr>
        <w:t>(9)</w:t>
      </w:r>
      <w:r w:rsidRPr="00C9040A">
        <w:rPr>
          <w:rtl/>
          <w:lang w:bidi="fa-IR"/>
        </w:rPr>
        <w:t xml:space="preserve"> فَهِماً </w:t>
      </w:r>
      <w:r w:rsidR="006C577F" w:rsidRPr="006C577F">
        <w:rPr>
          <w:rStyle w:val="libFootnotenumChar"/>
          <w:rtl/>
        </w:rPr>
        <w:t>(10)</w:t>
      </w:r>
      <w:r w:rsidRPr="00C9040A">
        <w:rPr>
          <w:rtl/>
          <w:lang w:bidi="fa-IR"/>
        </w:rPr>
        <w:t xml:space="preserve"> فَقِيهاً حَلِيماً مُدَارِياً صَبُوراً</w:t>
      </w:r>
      <w:r>
        <w:rPr>
          <w:rFonts w:hint="cs"/>
          <w:rtl/>
          <w:lang w:bidi="fa-IR"/>
        </w:rPr>
        <w:t xml:space="preserve"> </w:t>
      </w:r>
      <w:r w:rsidRPr="00C9040A">
        <w:rPr>
          <w:rtl/>
          <w:lang w:bidi="fa-IR"/>
        </w:rPr>
        <w:t>صَدُوقاً وَفِيّاً ؛ إِنَّ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خَصَّ الْأَنْبِيَاءَ بِمَكَارِمِ الْأَخْلَاقِ ؛ فَمَنْ‌</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الخصال والمعاني : « والرضا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ض ، بر ، بس ، بف » : « العشر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فقه الرضا : + « والحياء »</w:t>
      </w:r>
      <w:r w:rsidR="008A74EB">
        <w:rPr>
          <w:rtl/>
        </w:rPr>
        <w:t>.</w:t>
      </w:r>
      <w:r w:rsidR="008A74EB" w:rsidRPr="00C9040A">
        <w:rPr>
          <w:rtl/>
        </w:rPr>
        <w:t xml:space="preserve"> </w:t>
      </w:r>
      <w:r w:rsidR="008A74EB">
        <w:rPr>
          <w:rtl/>
        </w:rPr>
        <w:t>و «</w:t>
      </w:r>
      <w:r w:rsidR="008A74EB" w:rsidRPr="00C9040A">
        <w:rPr>
          <w:rtl/>
        </w:rPr>
        <w:t xml:space="preserve"> الصدق » مفعولُ « روى » ، أو « زاد » على سبيل التنازع. وفي شرح المازندراني : « وإن توهّم زيادة لفظ بعد ، أو زاد »</w:t>
      </w:r>
      <w:r w:rsidR="008A74EB">
        <w:rPr>
          <w:rtl/>
        </w:rPr>
        <w:t>.</w:t>
      </w:r>
      <w:r w:rsidR="008A74EB" w:rsidRPr="00C9040A">
        <w:rPr>
          <w:rtl/>
        </w:rPr>
        <w:t xml:space="preserve"> وفي مرآة العقول : « فقوله : وزاد فيها ، تأكيد للكلام السابق ؛ لئلاّ يتوهّم أنّه أتى بها بدلاً من خصلتين من العشر تركهما ، فلابدّ من سقوط « عشرة » من الرواية الأخيرة ، كما في الرواية الآتية ، أو إبدالها باثنتي عشرة. ويحتمل أن يكون المراد بقوله : وزاد فيها ، أنّه زاد في أصل العدد أيضاً بما ذكرنا من الإبدال. والله أعلم بحقيقة الحال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الفقيه</w:t>
      </w:r>
      <w:r w:rsidR="008A74EB" w:rsidRPr="00C9040A">
        <w:rPr>
          <w:rtl/>
        </w:rPr>
        <w:t xml:space="preserve"> ، ج 3 ، ص 554 ، ح 4901 ؛ </w:t>
      </w:r>
      <w:r w:rsidR="008A74EB" w:rsidRPr="0034021D">
        <w:rPr>
          <w:rStyle w:val="libFootnoteBoldChar"/>
          <w:rtl/>
        </w:rPr>
        <w:t>الأمالي للصدوق</w:t>
      </w:r>
      <w:r w:rsidR="008A74EB" w:rsidRPr="00C9040A">
        <w:rPr>
          <w:rtl/>
        </w:rPr>
        <w:t xml:space="preserve"> ، ص 221 ، المجلس 39 ، ح 8 ؛ </w:t>
      </w:r>
      <w:r w:rsidR="008A74EB" w:rsidRPr="00993B55">
        <w:rPr>
          <w:rStyle w:val="libFootnoteBoldChar"/>
          <w:rtl/>
        </w:rPr>
        <w:t>الخصال</w:t>
      </w:r>
      <w:r w:rsidR="008A74EB" w:rsidRPr="00C9040A">
        <w:rPr>
          <w:rtl/>
        </w:rPr>
        <w:t xml:space="preserve"> ، ص 431 ، باب العشرة ، ح 12 ؛ </w:t>
      </w:r>
      <w:r w:rsidR="008A74EB" w:rsidRPr="00993B55">
        <w:rPr>
          <w:rStyle w:val="libFootnoteBoldChar"/>
          <w:rtl/>
        </w:rPr>
        <w:t>صفات الشيعة</w:t>
      </w:r>
      <w:r w:rsidR="008A74EB" w:rsidRPr="00C9040A">
        <w:rPr>
          <w:rtl/>
        </w:rPr>
        <w:t xml:space="preserve"> ، ص 47 ، ح 67 ؛ </w:t>
      </w:r>
      <w:r w:rsidR="008A74EB" w:rsidRPr="00993B55">
        <w:rPr>
          <w:rStyle w:val="libFootnoteBoldChar"/>
          <w:rtl/>
        </w:rPr>
        <w:t>معاني الأخبار</w:t>
      </w:r>
      <w:r w:rsidR="008A74EB" w:rsidRPr="00C9040A">
        <w:rPr>
          <w:rtl/>
        </w:rPr>
        <w:t xml:space="preserve"> ، ص 191 ، ح 3 ، وفي كلّها بسند آخر عن أحمد بن يحيى العطّار ، عن أحمد بن محمّد بن عيسى ، عن عثمان بن عيسى ، إلى قوله : « والسخاء والغيرة والشجاعة والمروءة » مع اختلاف يسير. </w:t>
      </w:r>
      <w:r w:rsidR="008A74EB" w:rsidRPr="00993B55">
        <w:rPr>
          <w:rStyle w:val="libFootnoteBoldChar"/>
          <w:rtl/>
        </w:rPr>
        <w:t>فقه الرضا</w:t>
      </w:r>
      <w:r w:rsidR="008A74EB" w:rsidRPr="00C9040A">
        <w:rPr>
          <w:rtl/>
        </w:rPr>
        <w:t xml:space="preserve"> </w:t>
      </w:r>
      <w:r w:rsidR="00117575" w:rsidRPr="00117575">
        <w:rPr>
          <w:rStyle w:val="libFootnoteAlaemChar"/>
          <w:rtl/>
        </w:rPr>
        <w:t xml:space="preserve">عليه‌السلام </w:t>
      </w:r>
      <w:r w:rsidR="008A74EB" w:rsidRPr="00C9040A">
        <w:rPr>
          <w:rtl/>
        </w:rPr>
        <w:t xml:space="preserve">، ص 353 ، مع اختلاف يسير </w:t>
      </w:r>
      <w:r w:rsidR="008A74EB" w:rsidRPr="00993B55">
        <w:rPr>
          <w:rStyle w:val="libFootnoteBoldChar"/>
          <w:rtl/>
        </w:rPr>
        <w:t>الوافي</w:t>
      </w:r>
      <w:r w:rsidR="008A74EB" w:rsidRPr="00C9040A">
        <w:rPr>
          <w:rtl/>
        </w:rPr>
        <w:t xml:space="preserve"> ، ج 4 ، ص 264 ، ح 1907 ؛ </w:t>
      </w:r>
      <w:r w:rsidR="008A74EB" w:rsidRPr="00993B55">
        <w:rPr>
          <w:rStyle w:val="libFootnoteBoldChar"/>
          <w:rtl/>
        </w:rPr>
        <w:t>الوسائل</w:t>
      </w:r>
      <w:r w:rsidR="008A74EB" w:rsidRPr="00C9040A">
        <w:rPr>
          <w:rtl/>
        </w:rPr>
        <w:t xml:space="preserve"> ، ج 15 ، ص 180 ، ذيل ح 20227 ؛ </w:t>
      </w:r>
      <w:r w:rsidR="008A74EB" w:rsidRPr="00993B55">
        <w:rPr>
          <w:rStyle w:val="libFootnoteBoldChar"/>
          <w:rtl/>
        </w:rPr>
        <w:t>البحار</w:t>
      </w:r>
      <w:r w:rsidR="008A74EB" w:rsidRPr="00C9040A">
        <w:rPr>
          <w:rtl/>
        </w:rPr>
        <w:t xml:space="preserve"> ، ج 70 ، ص 371 ، ح 18.</w:t>
      </w:r>
    </w:p>
    <w:p w:rsidR="008A74EB" w:rsidRPr="00C9040A" w:rsidRDefault="006C577F" w:rsidP="004A4E41">
      <w:pPr>
        <w:pStyle w:val="libFootnote0"/>
        <w:rPr>
          <w:rtl/>
          <w:lang w:bidi="fa-IR"/>
        </w:rPr>
      </w:pPr>
      <w:r>
        <w:rPr>
          <w:rtl/>
        </w:rPr>
        <w:t>(5).</w:t>
      </w:r>
      <w:r w:rsidR="008A74EB" w:rsidRPr="00C9040A">
        <w:rPr>
          <w:rtl/>
        </w:rPr>
        <w:t xml:space="preserve"> الضمير راجع إلى أحمد بن محمّد بن خالد المذكور في السند السابق ؛ فقد روى أحمد عن بكر بن صالح في‌عدّة من الأسناد. انظر على سبيل المثال : </w:t>
      </w:r>
      <w:r w:rsidR="008A74EB" w:rsidRPr="00993B55">
        <w:rPr>
          <w:rStyle w:val="libFootnoteBoldChar"/>
          <w:rtl/>
        </w:rPr>
        <w:t>المحاسن</w:t>
      </w:r>
      <w:r w:rsidR="008A74EB" w:rsidRPr="00C9040A">
        <w:rPr>
          <w:rtl/>
        </w:rPr>
        <w:t xml:space="preserve"> ، ص 60 ، ح 101 ؛ وص 348 ، ح 21 ؛ وص 355 ، ح 53 ؛ وص 356 ، ح 58 ؛ وص 370 ، ح 122 ؛ وص 446 ، ح 338</w:t>
      </w:r>
      <w:r w:rsidR="008A74EB">
        <w:rPr>
          <w:rtl/>
        </w:rPr>
        <w:t xml:space="preserve"> </w:t>
      </w:r>
      <w:r w:rsidR="0084262C">
        <w:rPr>
          <w:rtl/>
        </w:rPr>
        <w:t>-</w:t>
      </w:r>
      <w:r w:rsidR="008A74EB">
        <w:rPr>
          <w:rtl/>
        </w:rPr>
        <w:t xml:space="preserve"> </w:t>
      </w:r>
      <w:r w:rsidR="008A74EB" w:rsidRPr="00C9040A">
        <w:rPr>
          <w:rtl/>
        </w:rPr>
        <w:t>وقد روى فيه بكر بن صالح ، عن جعفر بن محمّد الهاشمي</w:t>
      </w:r>
      <w:r w:rsidR="008A74EB">
        <w:rPr>
          <w:rtl/>
        </w:rPr>
        <w:t xml:space="preserve"> </w:t>
      </w:r>
      <w:r w:rsidR="0084262C">
        <w:rPr>
          <w:rtl/>
        </w:rPr>
        <w:t>-</w:t>
      </w:r>
      <w:r w:rsidR="008A74EB">
        <w:rPr>
          <w:rtl/>
        </w:rPr>
        <w:t xml:space="preserve"> </w:t>
      </w:r>
      <w:r w:rsidR="008A74EB" w:rsidRPr="00C9040A">
        <w:rPr>
          <w:rtl/>
        </w:rPr>
        <w:t>؛ و</w:t>
      </w:r>
      <w:r w:rsidR="008A74EB" w:rsidRPr="00993B55">
        <w:rPr>
          <w:rStyle w:val="libFootnoteBoldChar"/>
          <w:rtl/>
        </w:rPr>
        <w:t>معجم رجال الحديث</w:t>
      </w:r>
      <w:r w:rsidR="008A74EB" w:rsidRPr="00C9040A">
        <w:rPr>
          <w:rtl/>
        </w:rPr>
        <w:t xml:space="preserve"> ، ج 3 ، ص 347</w:t>
      </w:r>
      <w:r w:rsidR="008A74EB">
        <w:rPr>
          <w:rtl/>
        </w:rPr>
        <w:t xml:space="preserve"> </w:t>
      </w:r>
      <w:r w:rsidR="0084262C">
        <w:rPr>
          <w:rtl/>
        </w:rPr>
        <w:t>-</w:t>
      </w:r>
      <w:r w:rsidR="008A74EB">
        <w:rPr>
          <w:rtl/>
        </w:rPr>
        <w:t xml:space="preserve"> </w:t>
      </w:r>
      <w:r w:rsidR="008A74EB" w:rsidRPr="00C9040A">
        <w:rPr>
          <w:rtl/>
        </w:rPr>
        <w:t>348.</w:t>
      </w:r>
    </w:p>
    <w:p w:rsidR="008A74EB" w:rsidRPr="004A4E41" w:rsidRDefault="006C577F" w:rsidP="004A4E41">
      <w:pPr>
        <w:pStyle w:val="libFootnote0"/>
        <w:rPr>
          <w:rStyle w:val="libFootnote0Char"/>
          <w:rtl/>
        </w:rPr>
      </w:pPr>
      <w:r>
        <w:rPr>
          <w:rtl/>
        </w:rPr>
        <w:t>(6).</w:t>
      </w:r>
      <w:r w:rsidR="008A74EB">
        <w:rPr>
          <w:rtl/>
        </w:rPr>
        <w:t xml:space="preserve"> </w:t>
      </w:r>
      <w:r w:rsidR="008A74EB" w:rsidRPr="00C9040A">
        <w:rPr>
          <w:rtl/>
        </w:rPr>
        <w:t>هو بكر بن صالح المذكور في نفس السند ، والمراد أنّ بكراً كما سمع الخبر من جعفر بن محمّد الهاشمي عن إسماعيل بن عبّاد ، سمعه أيضاً من إسماعيل بن عبّاد مباشرة ، فللمصنّف إلى عبد الله بن بكير طريقان.</w:t>
      </w:r>
    </w:p>
    <w:tbl>
      <w:tblPr>
        <w:tblStyle w:val="TableGrid"/>
        <w:bidiVisual/>
        <w:tblW w:w="0" w:type="auto"/>
        <w:tblLook w:val="04A0" w:firstRow="1" w:lastRow="0" w:firstColumn="1" w:lastColumn="0" w:noHBand="0" w:noVBand="1"/>
      </w:tblPr>
      <w:tblGrid>
        <w:gridCol w:w="4006"/>
        <w:gridCol w:w="4006"/>
      </w:tblGrid>
      <w:tr w:rsidR="000E19B7" w:rsidTr="000E19B7">
        <w:tc>
          <w:tcPr>
            <w:tcW w:w="4006" w:type="dxa"/>
          </w:tcPr>
          <w:p w:rsidR="000E19B7" w:rsidRDefault="000E19B7" w:rsidP="004A4E41">
            <w:pPr>
              <w:pStyle w:val="libFootnote0"/>
              <w:rPr>
                <w:rtl/>
              </w:rPr>
            </w:pPr>
            <w:r>
              <w:rPr>
                <w:rtl/>
              </w:rPr>
              <w:t>(7).</w:t>
            </w:r>
            <w:r w:rsidRPr="00C9040A">
              <w:rPr>
                <w:rtl/>
              </w:rPr>
              <w:t xml:space="preserve"> في « ص » وحاشية « بف » : « وأظنّ »</w:t>
            </w:r>
            <w:r>
              <w:rPr>
                <w:rtl/>
              </w:rPr>
              <w:t>.</w:t>
            </w:r>
          </w:p>
        </w:tc>
        <w:tc>
          <w:tcPr>
            <w:tcW w:w="4006" w:type="dxa"/>
          </w:tcPr>
          <w:p w:rsidR="000E19B7" w:rsidRDefault="000E19B7" w:rsidP="004A4E41">
            <w:pPr>
              <w:pStyle w:val="libFootnote0"/>
              <w:rPr>
                <w:rtl/>
              </w:rPr>
            </w:pPr>
            <w:r>
              <w:rPr>
                <w:rtl/>
              </w:rPr>
              <w:t>(8).</w:t>
            </w:r>
            <w:r w:rsidRPr="00C9040A">
              <w:rPr>
                <w:rtl/>
              </w:rPr>
              <w:t xml:space="preserve"> في الأمالي : + « من شيعتنا »</w:t>
            </w:r>
            <w:r>
              <w:rPr>
                <w:rtl/>
              </w:rPr>
              <w:t>.</w:t>
            </w:r>
          </w:p>
        </w:tc>
      </w:tr>
      <w:tr w:rsidR="000E19B7" w:rsidTr="000E19B7">
        <w:tc>
          <w:tcPr>
            <w:tcW w:w="4006" w:type="dxa"/>
          </w:tcPr>
          <w:p w:rsidR="000E19B7" w:rsidRDefault="000E19B7" w:rsidP="004A4E41">
            <w:pPr>
              <w:pStyle w:val="libFootnote0"/>
              <w:rPr>
                <w:rtl/>
              </w:rPr>
            </w:pPr>
            <w:r>
              <w:rPr>
                <w:rtl/>
              </w:rPr>
              <w:t>(9).</w:t>
            </w:r>
            <w:r w:rsidRPr="00C9040A">
              <w:rPr>
                <w:rtl/>
              </w:rPr>
              <w:t xml:space="preserve"> في تحف العقول : + « عالماً »</w:t>
            </w:r>
            <w:r>
              <w:rPr>
                <w:rtl/>
              </w:rPr>
              <w:t>.</w:t>
            </w:r>
          </w:p>
        </w:tc>
        <w:tc>
          <w:tcPr>
            <w:tcW w:w="4006" w:type="dxa"/>
          </w:tcPr>
          <w:p w:rsidR="000E19B7" w:rsidRDefault="000E19B7" w:rsidP="004A4E41">
            <w:pPr>
              <w:pStyle w:val="libFootnote0"/>
              <w:rPr>
                <w:rtl/>
              </w:rPr>
            </w:pPr>
            <w:r>
              <w:rPr>
                <w:rtl/>
              </w:rPr>
              <w:t>(10).</w:t>
            </w:r>
            <w:r w:rsidRPr="00C9040A">
              <w:rPr>
                <w:rtl/>
              </w:rPr>
              <w:t xml:space="preserve"> في « ف » : « فهيماً »</w:t>
            </w:r>
            <w:r>
              <w:rPr>
                <w:rtl/>
              </w:rPr>
              <w:t>.</w:t>
            </w:r>
          </w:p>
        </w:tc>
      </w:tr>
    </w:tbl>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كَانَتْ فِيهِ ، فَلْيَحْمَدِ </w:t>
      </w:r>
      <w:r w:rsidR="006C577F" w:rsidRPr="006C577F">
        <w:rPr>
          <w:rStyle w:val="libFootnotenumChar"/>
          <w:rtl/>
        </w:rPr>
        <w:t>(1)</w:t>
      </w:r>
      <w:r w:rsidRPr="00853746">
        <w:rPr>
          <w:rFonts w:hint="cs"/>
          <w:rtl/>
        </w:rPr>
        <w:t xml:space="preserve"> </w:t>
      </w:r>
      <w:r w:rsidRPr="00C9040A">
        <w:rPr>
          <w:rtl/>
          <w:lang w:bidi="fa-IR"/>
        </w:rPr>
        <w:t xml:space="preserve">اللهَ عَلى ذلِكَ ؛ وَمَنْ لَمْ تَكُنْ </w:t>
      </w:r>
      <w:r w:rsidR="006C577F" w:rsidRPr="006C577F">
        <w:rPr>
          <w:rStyle w:val="libFootnotenumChar"/>
          <w:rtl/>
        </w:rPr>
        <w:t>(2)</w:t>
      </w:r>
      <w:r w:rsidRPr="00C9040A">
        <w:rPr>
          <w:rtl/>
          <w:lang w:bidi="fa-IR"/>
        </w:rPr>
        <w:t xml:space="preserve"> فِيهِ ، فَلْيَتَضَرَّعْ إِلَى اللهِ عَزَّ وَجَلَّ ، وَلْيَسْأَلْهُ إِيَّاهَا </w:t>
      </w:r>
      <w:r w:rsidR="006C577F" w:rsidRPr="006C577F">
        <w:rPr>
          <w:rStyle w:val="libFootnotenumChar"/>
          <w:rtl/>
        </w:rPr>
        <w:t>(3)</w:t>
      </w:r>
      <w:r w:rsidRPr="00C9040A">
        <w:rPr>
          <w:rtl/>
          <w:lang w:bidi="fa-IR"/>
        </w:rPr>
        <w:t xml:space="preserve"> »</w:t>
      </w:r>
      <w:r>
        <w:rPr>
          <w:rtl/>
          <w:lang w:bidi="fa-IR"/>
        </w:rPr>
        <w:t>.</w:t>
      </w:r>
    </w:p>
    <w:p w:rsidR="008A74EB" w:rsidRPr="00C9040A" w:rsidRDefault="008A74EB" w:rsidP="008A74EB">
      <w:pPr>
        <w:pStyle w:val="libNormal"/>
        <w:rPr>
          <w:rtl/>
          <w:lang w:bidi="fa-IR"/>
        </w:rPr>
      </w:pPr>
      <w:r w:rsidRPr="00C9040A">
        <w:rPr>
          <w:rtl/>
          <w:lang w:bidi="fa-IR"/>
        </w:rPr>
        <w:t>قَالَ : قُلْتُ : جُعِلْتُ فِدَاكَ ، وَمَا هُنَّ</w:t>
      </w:r>
      <w:r>
        <w:rPr>
          <w:rtl/>
          <w:lang w:bidi="fa-IR"/>
        </w:rPr>
        <w:t>؟</w:t>
      </w:r>
    </w:p>
    <w:p w:rsidR="008A74EB" w:rsidRPr="00C9040A" w:rsidRDefault="008A74EB" w:rsidP="008A74EB">
      <w:pPr>
        <w:pStyle w:val="libNormal"/>
        <w:rPr>
          <w:rtl/>
          <w:lang w:bidi="fa-IR"/>
        </w:rPr>
      </w:pPr>
      <w:r w:rsidRPr="00C9040A">
        <w:rPr>
          <w:rtl/>
          <w:lang w:bidi="fa-IR"/>
        </w:rPr>
        <w:t xml:space="preserve">قَالَ : « هُنَّ </w:t>
      </w:r>
      <w:r w:rsidR="006C577F" w:rsidRPr="006C577F">
        <w:rPr>
          <w:rStyle w:val="libFootnotenumChar"/>
          <w:rtl/>
        </w:rPr>
        <w:t>(4)</w:t>
      </w:r>
      <w:r w:rsidRPr="00C9040A">
        <w:rPr>
          <w:rtl/>
          <w:lang w:bidi="fa-IR"/>
        </w:rPr>
        <w:t xml:space="preserve"> : الْوَرَعُ ، وَالْقَنَاعَةُ </w:t>
      </w:r>
      <w:r w:rsidR="006C577F" w:rsidRPr="006C577F">
        <w:rPr>
          <w:rStyle w:val="libFootnotenumChar"/>
          <w:rtl/>
        </w:rPr>
        <w:t>(5)</w:t>
      </w:r>
      <w:r w:rsidRPr="00C9040A">
        <w:rPr>
          <w:rtl/>
          <w:lang w:bidi="fa-IR"/>
        </w:rPr>
        <w:t xml:space="preserve"> ، وَالصَّبْرُ ، وَالشُّكْرُ ، وَالْحِلْمُ ، وَالْحَيَاءُ ، وَالسَّخَاءُ ، وَالشَّجَاعَةُ ، وَالْغَيْرَةُ ، وَالْبِرُّ ، وَصِدْقُ الْحَدِيثِ ، وَأَدَاءُ الْأَمَانَةِ </w:t>
      </w:r>
      <w:r w:rsidR="006C577F" w:rsidRPr="006C577F">
        <w:rPr>
          <w:rStyle w:val="libFootnotenumChar"/>
          <w:rtl/>
        </w:rPr>
        <w:t>(6)</w:t>
      </w:r>
      <w:r w:rsidRPr="00C9040A">
        <w:rPr>
          <w:rtl/>
          <w:lang w:bidi="fa-IR"/>
        </w:rPr>
        <w:t>»</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D122A4">
        <w:rPr>
          <w:rtl/>
        </w:rPr>
        <w:t>1563</w:t>
      </w:r>
      <w:r w:rsidRPr="00261CB0">
        <w:rPr>
          <w:rStyle w:val="libBold2Char"/>
          <w:rtl/>
        </w:rPr>
        <w:t xml:space="preserve"> / 4.</w:t>
      </w:r>
      <w:r w:rsidRPr="00C9040A">
        <w:rPr>
          <w:rtl/>
          <w:lang w:bidi="fa-IR"/>
        </w:rPr>
        <w:t xml:space="preserve"> مُحَمَّدُ بْنُ يَحْيى ، عَنْ أَحْمَدَ بْنِ مُحَمَّدِ بْنِ عِيسى ، عَنِ الْحَسَنِ بْنِ مَحْبُوبٍ ، عَنْ بَعْضِ أَصْحَابِهِ </w:t>
      </w:r>
      <w:r w:rsidR="006C577F" w:rsidRPr="006C577F">
        <w:rPr>
          <w:rStyle w:val="libFootnotenumChar"/>
          <w:rtl/>
        </w:rPr>
        <w:t>(8)</w:t>
      </w:r>
      <w:r w:rsidRPr="00C9040A">
        <w:rPr>
          <w:rtl/>
          <w:lang w:bidi="fa-IR"/>
        </w:rPr>
        <w:t xml:space="preserve">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ارْتَضى لَكُمُ الْإِسْلَامَ دِيناً </w:t>
      </w:r>
      <w:r w:rsidR="006C577F" w:rsidRPr="006C577F">
        <w:rPr>
          <w:rStyle w:val="libFootnotenumChar"/>
          <w:rtl/>
        </w:rPr>
        <w:t>(9)</w:t>
      </w:r>
      <w:r w:rsidRPr="00C9040A">
        <w:rPr>
          <w:rtl/>
          <w:lang w:bidi="fa-IR"/>
        </w:rPr>
        <w:t xml:space="preserve"> ؛ فَأَحْسِنُوا صُحْبَتَهُ بِالسَّخَاءِ وَحُسْنِ الْخُلُقِ »</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Normal"/>
        <w:rPr>
          <w:rtl/>
          <w:lang w:bidi="fa-IR"/>
        </w:rPr>
      </w:pPr>
      <w:r w:rsidRPr="00D122A4">
        <w:rPr>
          <w:rtl/>
        </w:rPr>
        <w:t>1564</w:t>
      </w:r>
      <w:r w:rsidRPr="00261CB0">
        <w:rPr>
          <w:rStyle w:val="libBold2Char"/>
          <w:rtl/>
        </w:rPr>
        <w:t xml:space="preserve"> / 5.</w:t>
      </w:r>
      <w:r w:rsidRPr="00C9040A">
        <w:rPr>
          <w:rtl/>
          <w:lang w:bidi="fa-IR"/>
        </w:rPr>
        <w:t xml:space="preserve"> عَلِيُّ بْنُ إِبْرَاهِيمَ ، عَنْ أَبِيهِ ، عَنِ النَّوْفَلِيِّ ، عَنِ السَّكُونِيِّ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w:t>
      </w:r>
      <w:r w:rsidR="006C577F" w:rsidRPr="006C577F">
        <w:rPr>
          <w:rStyle w:val="libFootnotenumChar"/>
          <w:rtl/>
        </w:rPr>
        <w:t>(11)</w:t>
      </w:r>
      <w:r w:rsidRPr="00C9040A">
        <w:rPr>
          <w:rtl/>
          <w:lang w:bidi="fa-IR"/>
        </w:rPr>
        <w:t xml:space="preserve"> ، قَالَ : « قَالَ أَمِيرُ الْمُؤْمِنِينَ صَلَوَاتُ اللهِ عَلَيْهِ : الْإِيمَانُ‌</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 ف » : « فليحمدوا »</w:t>
      </w:r>
      <w:r w:rsidR="008A74EB">
        <w:rPr>
          <w:rtl/>
        </w:rPr>
        <w:t>.</w:t>
      </w:r>
    </w:p>
    <w:p w:rsidR="008A74EB" w:rsidRPr="004A4E41" w:rsidRDefault="006C577F" w:rsidP="004A4E41">
      <w:pPr>
        <w:pStyle w:val="libFootnote0"/>
        <w:rPr>
          <w:rStyle w:val="libFootnote0Char"/>
          <w:rtl/>
        </w:rPr>
      </w:pPr>
      <w:r>
        <w:rPr>
          <w:rtl/>
        </w:rPr>
        <w:t>(2).</w:t>
      </w:r>
      <w:r w:rsidR="008A74EB">
        <w:rPr>
          <w:rtl/>
        </w:rPr>
        <w:t xml:space="preserve"> </w:t>
      </w:r>
      <w:r w:rsidR="008A74EB" w:rsidRPr="00C9040A">
        <w:rPr>
          <w:rtl/>
        </w:rPr>
        <w:t>في « ف » : « لم يكنّ »</w:t>
      </w:r>
      <w:r w:rsidR="008A74EB">
        <w:rPr>
          <w:rtl/>
        </w:rPr>
        <w:t>.</w:t>
      </w:r>
    </w:p>
    <w:tbl>
      <w:tblPr>
        <w:tblStyle w:val="TableGrid"/>
        <w:bidiVisual/>
        <w:tblW w:w="0" w:type="auto"/>
        <w:tblLook w:val="04A0" w:firstRow="1" w:lastRow="0" w:firstColumn="1" w:lastColumn="0" w:noHBand="0" w:noVBand="1"/>
      </w:tblPr>
      <w:tblGrid>
        <w:gridCol w:w="4006"/>
        <w:gridCol w:w="4006"/>
      </w:tblGrid>
      <w:tr w:rsidR="0074527D" w:rsidTr="0074527D">
        <w:tc>
          <w:tcPr>
            <w:tcW w:w="4006" w:type="dxa"/>
          </w:tcPr>
          <w:p w:rsidR="0074527D" w:rsidRDefault="0074527D" w:rsidP="004A4E41">
            <w:pPr>
              <w:pStyle w:val="libFootnote0"/>
              <w:rPr>
                <w:rtl/>
              </w:rPr>
            </w:pPr>
            <w:r>
              <w:rPr>
                <w:rtl/>
              </w:rPr>
              <w:t>(3).</w:t>
            </w:r>
            <w:r w:rsidRPr="00C9040A">
              <w:rPr>
                <w:rtl/>
              </w:rPr>
              <w:t xml:space="preserve"> في الأمالي : « إيّاه »</w:t>
            </w:r>
            <w:r>
              <w:rPr>
                <w:rtl/>
              </w:rPr>
              <w:t>.</w:t>
            </w:r>
          </w:p>
        </w:tc>
        <w:tc>
          <w:tcPr>
            <w:tcW w:w="4006" w:type="dxa"/>
          </w:tcPr>
          <w:p w:rsidR="0074527D" w:rsidRDefault="0074527D" w:rsidP="004A4E41">
            <w:pPr>
              <w:pStyle w:val="libFootnote0"/>
              <w:rPr>
                <w:rtl/>
              </w:rPr>
            </w:pPr>
            <w:r>
              <w:rPr>
                <w:rtl/>
              </w:rPr>
              <w:t>(4).</w:t>
            </w:r>
            <w:r w:rsidRPr="00C9040A">
              <w:rPr>
                <w:rtl/>
              </w:rPr>
              <w:t xml:space="preserve"> في « بس » : « لهنّ »</w:t>
            </w:r>
            <w:r>
              <w:rPr>
                <w:rtl/>
              </w:rPr>
              <w:t>.</w:t>
            </w:r>
          </w:p>
        </w:tc>
      </w:tr>
    </w:tbl>
    <w:p w:rsidR="008A74EB" w:rsidRPr="00C9040A" w:rsidRDefault="006C577F" w:rsidP="004A4E41">
      <w:pPr>
        <w:pStyle w:val="libFootnote0"/>
        <w:rPr>
          <w:rtl/>
          <w:lang w:bidi="fa-IR"/>
        </w:rPr>
      </w:pPr>
      <w:r>
        <w:rPr>
          <w:rtl/>
        </w:rPr>
        <w:t>(5).</w:t>
      </w:r>
      <w:r w:rsidR="008A74EB" w:rsidRPr="00C9040A">
        <w:rPr>
          <w:rtl/>
        </w:rPr>
        <w:t xml:space="preserve"> في الأمالي : « والقنوع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تحف العقول : + « واليقين وحسن الخلق والمروّة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w:t>
      </w:r>
      <w:r w:rsidR="008A74EB" w:rsidRPr="0034021D">
        <w:rPr>
          <w:rStyle w:val="libFootnoteBoldChar"/>
          <w:rtl/>
        </w:rPr>
        <w:t>الأمالي للمفيد</w:t>
      </w:r>
      <w:r w:rsidR="008A74EB" w:rsidRPr="00C9040A">
        <w:rPr>
          <w:rtl/>
        </w:rPr>
        <w:t xml:space="preserve"> ، ص 192 ، المجلس 23 ، ح 22 ، بسنده عن جعفر بن محمّد ، عن إسماعيل بن عبّاد ، عن بكير ، عن أبي عبد الله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تحف العقول</w:t>
      </w:r>
      <w:r w:rsidR="008A74EB" w:rsidRPr="00C9040A">
        <w:rPr>
          <w:rtl/>
        </w:rPr>
        <w:t xml:space="preserve"> ، ص 362</w:t>
      </w:r>
      <w:r w:rsidR="00897A88">
        <w:rPr>
          <w:rFonts w:hint="cs"/>
          <w:rtl/>
        </w:rPr>
        <w:t>.</w:t>
      </w:r>
      <w:r w:rsidR="008A74EB" w:rsidRPr="00993B55">
        <w:rPr>
          <w:rStyle w:val="libFootnoteBoldChar"/>
          <w:rtl/>
        </w:rPr>
        <w:t>الوافي</w:t>
      </w:r>
      <w:r w:rsidR="008A74EB" w:rsidRPr="00C9040A">
        <w:rPr>
          <w:rtl/>
        </w:rPr>
        <w:t xml:space="preserve"> ، ج 4 ، ص 264 ، ح 1909 ؛ </w:t>
      </w:r>
      <w:r w:rsidR="008A74EB" w:rsidRPr="00993B55">
        <w:rPr>
          <w:rStyle w:val="libFootnoteBoldChar"/>
          <w:rtl/>
        </w:rPr>
        <w:t>الوسائل</w:t>
      </w:r>
      <w:r w:rsidR="008A74EB" w:rsidRPr="00C9040A">
        <w:rPr>
          <w:rtl/>
        </w:rPr>
        <w:t xml:space="preserve"> ، ج 15 ، ص 198 ، ح 20267 ؛ </w:t>
      </w:r>
      <w:r w:rsidR="008A74EB" w:rsidRPr="00993B55">
        <w:rPr>
          <w:rStyle w:val="libFootnoteBoldChar"/>
          <w:rtl/>
        </w:rPr>
        <w:t>البحار</w:t>
      </w:r>
      <w:r w:rsidR="008A74EB" w:rsidRPr="00C9040A">
        <w:rPr>
          <w:rtl/>
        </w:rPr>
        <w:t xml:space="preserve"> ، ج 70 ، ص 374 ، ح 19.</w:t>
      </w:r>
    </w:p>
    <w:p w:rsidR="008A74EB" w:rsidRPr="00C9040A" w:rsidRDefault="006C577F" w:rsidP="004A4E41">
      <w:pPr>
        <w:pStyle w:val="libFootnote0"/>
        <w:rPr>
          <w:rtl/>
          <w:lang w:bidi="fa-IR"/>
        </w:rPr>
      </w:pPr>
      <w:r>
        <w:rPr>
          <w:rtl/>
        </w:rPr>
        <w:t>(8).</w:t>
      </w:r>
      <w:r w:rsidR="008A74EB" w:rsidRPr="00C9040A">
        <w:rPr>
          <w:rtl/>
        </w:rPr>
        <w:t xml:space="preserve"> في « ض » : « عن بعض رجاله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الكافي ، ح 1805 : « اصطفى الإسلام واختاره » بدل « ارتضى لكم الإسلام ديناً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w:t>
      </w:r>
      <w:r w:rsidR="008A74EB" w:rsidRPr="00993B55">
        <w:rPr>
          <w:rStyle w:val="libFootnoteBoldChar"/>
          <w:rtl/>
        </w:rPr>
        <w:t>الكافي</w:t>
      </w:r>
      <w:r w:rsidR="008A74EB" w:rsidRPr="00C9040A">
        <w:rPr>
          <w:rtl/>
        </w:rPr>
        <w:t xml:space="preserve"> ، كتاب الإيمان والكفر ، باب كظم الغيظ ، ح 1805 ، بسند آخر ، مع اختلاف يسير وزيادة في آخره. </w:t>
      </w:r>
      <w:r w:rsidR="008A74EB" w:rsidRPr="0034021D">
        <w:rPr>
          <w:rStyle w:val="libFootnoteBoldChar"/>
          <w:rtl/>
        </w:rPr>
        <w:t>الأمالي للصدوق</w:t>
      </w:r>
      <w:r w:rsidR="008A74EB" w:rsidRPr="00C9040A">
        <w:rPr>
          <w:rtl/>
        </w:rPr>
        <w:t xml:space="preserve"> ، ص 270 ، المجلس 46 ، ح 3 ، بسند آخر ؛ </w:t>
      </w:r>
      <w:r w:rsidR="008A74EB" w:rsidRPr="00993B55">
        <w:rPr>
          <w:rStyle w:val="libFootnoteBoldChar"/>
          <w:rtl/>
        </w:rPr>
        <w:t>الزهد</w:t>
      </w:r>
      <w:r w:rsidR="008A74EB" w:rsidRPr="00C9040A">
        <w:rPr>
          <w:rtl/>
        </w:rPr>
        <w:t xml:space="preserve"> ، ص 87 ، ح 58 ، بسند آخر ، وفيه : « إنّ الله ارتضى الإسلام لنفسه ديناً ، فأحسنوا</w:t>
      </w:r>
      <w:r w:rsidR="008A74EB">
        <w:rPr>
          <w:rtl/>
        </w:rPr>
        <w:t xml:space="preserve"> ..</w:t>
      </w:r>
      <w:r w:rsidR="008A74EB" w:rsidRPr="00C9040A">
        <w:rPr>
          <w:rtl/>
        </w:rPr>
        <w:t>. »</w:t>
      </w:r>
      <w:r w:rsidR="00897A88">
        <w:rPr>
          <w:rFonts w:hint="cs"/>
          <w:rtl/>
        </w:rPr>
        <w:t>.</w:t>
      </w:r>
      <w:r w:rsidR="008A74EB" w:rsidRPr="00993B55">
        <w:rPr>
          <w:rStyle w:val="libFootnoteBoldChar"/>
          <w:rtl/>
        </w:rPr>
        <w:t>الوافي</w:t>
      </w:r>
      <w:r w:rsidR="008A74EB" w:rsidRPr="00C9040A">
        <w:rPr>
          <w:rtl/>
        </w:rPr>
        <w:t xml:space="preserve"> ، ج 4 ، ص 265 ، ح 1911 ؛ </w:t>
      </w:r>
      <w:r w:rsidR="008A74EB" w:rsidRPr="00993B55">
        <w:rPr>
          <w:rStyle w:val="libFootnoteBoldChar"/>
          <w:rtl/>
        </w:rPr>
        <w:t>الوسائل</w:t>
      </w:r>
      <w:r w:rsidR="008A74EB" w:rsidRPr="00C9040A">
        <w:rPr>
          <w:rtl/>
        </w:rPr>
        <w:t xml:space="preserve"> ، ج 15 ، ص 198 ، ح 20269.</w:t>
      </w:r>
    </w:p>
    <w:p w:rsidR="008A74EB" w:rsidRPr="00C9040A" w:rsidRDefault="006C577F" w:rsidP="004A4E41">
      <w:pPr>
        <w:pStyle w:val="libFootnote0"/>
        <w:rPr>
          <w:rtl/>
          <w:lang w:bidi="fa-IR"/>
        </w:rPr>
      </w:pPr>
      <w:r>
        <w:rPr>
          <w:rtl/>
        </w:rPr>
        <w:t>(11).</w:t>
      </w:r>
      <w:r w:rsidR="008A74EB" w:rsidRPr="00C9040A">
        <w:rPr>
          <w:rtl/>
        </w:rPr>
        <w:t xml:space="preserve"> في الكافي ، ح 1537 : « أبي عبد الله ، عن أبيه </w:t>
      </w:r>
      <w:r w:rsidR="00117575" w:rsidRPr="00117575">
        <w:rPr>
          <w:rStyle w:val="libFootnoteAlaemChar"/>
          <w:rtl/>
        </w:rPr>
        <w:t>عليهما‌السلام</w:t>
      </w:r>
      <w:r w:rsidR="008A74EB" w:rsidRPr="00C9040A">
        <w:rPr>
          <w:rtl/>
        </w:rPr>
        <w:t xml:space="preserve">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أَرْبَعَةُ أَرْكَانٍ </w:t>
      </w:r>
      <w:r w:rsidR="006C577F" w:rsidRPr="006C577F">
        <w:rPr>
          <w:rStyle w:val="libFootnotenumChar"/>
          <w:rtl/>
        </w:rPr>
        <w:t>(1)</w:t>
      </w:r>
      <w:r w:rsidRPr="001E6F92">
        <w:rPr>
          <w:rFonts w:hint="cs"/>
          <w:rtl/>
        </w:rPr>
        <w:t xml:space="preserve"> </w:t>
      </w:r>
      <w:r w:rsidRPr="00C9040A">
        <w:rPr>
          <w:rtl/>
          <w:lang w:bidi="fa-IR"/>
        </w:rPr>
        <w:t xml:space="preserve">: الرِّضَا بِقَضَاءِ اللهِ ، وَالتَّوَكُّلُ عَلَى اللهِ ، وَتَفْوِيضُ </w:t>
      </w:r>
      <w:r w:rsidR="006C577F" w:rsidRPr="006C577F">
        <w:rPr>
          <w:rStyle w:val="libFootnotenumChar"/>
          <w:rtl/>
        </w:rPr>
        <w:t>(2)</w:t>
      </w:r>
      <w:r w:rsidRPr="00C9040A">
        <w:rPr>
          <w:rtl/>
          <w:lang w:bidi="fa-IR"/>
        </w:rPr>
        <w:t xml:space="preserve"> الْأَمْرِ </w:t>
      </w:r>
      <w:r w:rsidR="006C577F" w:rsidRPr="006C577F">
        <w:rPr>
          <w:rStyle w:val="libFootnotenumChar"/>
          <w:rtl/>
        </w:rPr>
        <w:t>(3)</w:t>
      </w:r>
      <w:r w:rsidRPr="00C9040A">
        <w:rPr>
          <w:rtl/>
          <w:lang w:bidi="fa-IR"/>
        </w:rPr>
        <w:t xml:space="preserve"> إِلَى اللهِ </w:t>
      </w:r>
      <w:r w:rsidR="006C577F" w:rsidRPr="006C577F">
        <w:rPr>
          <w:rStyle w:val="libFootnotenumChar"/>
          <w:rtl/>
        </w:rPr>
        <w:t>(4)</w:t>
      </w:r>
      <w:r w:rsidRPr="00C9040A">
        <w:rPr>
          <w:rtl/>
          <w:lang w:bidi="fa-IR"/>
        </w:rPr>
        <w:t xml:space="preserve"> ، وَالتَّسْلِيمُ لِأَمْرِ اللهِ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D122A4">
        <w:rPr>
          <w:rtl/>
        </w:rPr>
        <w:t>1565</w:t>
      </w:r>
      <w:r w:rsidRPr="00261CB0">
        <w:rPr>
          <w:rStyle w:val="libBold2Char"/>
          <w:rtl/>
        </w:rPr>
        <w:t xml:space="preserve"> / 6.</w:t>
      </w:r>
      <w:r w:rsidRPr="00C9040A">
        <w:rPr>
          <w:rtl/>
          <w:lang w:bidi="fa-IR"/>
        </w:rPr>
        <w:t xml:space="preserve"> الْحُسَيْنُ بْنُ مُحَمَّدٍ ، عَنْ مُعَلَّى بْنِ مُحَمَّدٍ ، عَنِ الْحَسَنِ بْنِ عَلِيٍّ ، عَنْ عَبْدِ اللهِ بْنِ سِنَانٍ ، عَنْ رَجُلٍ مِنْ بَنِي هَاشِمٍ ، قَالَ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Normal"/>
        <w:rPr>
          <w:rtl/>
          <w:lang w:bidi="fa-IR"/>
        </w:rPr>
      </w:pPr>
      <w:r w:rsidRPr="00C9040A">
        <w:rPr>
          <w:rtl/>
          <w:lang w:bidi="fa-IR"/>
        </w:rPr>
        <w:t xml:space="preserve">« أَرْبَعٌ مَنْ كُنَّ فِيهِ كَمَلَ إِسْلَامُهُ </w:t>
      </w:r>
      <w:r w:rsidR="006C577F" w:rsidRPr="006C577F">
        <w:rPr>
          <w:rStyle w:val="libFootnotenumChar"/>
          <w:rtl/>
        </w:rPr>
        <w:t>(7)</w:t>
      </w:r>
      <w:r w:rsidRPr="00C9040A">
        <w:rPr>
          <w:rtl/>
          <w:lang w:bidi="fa-IR"/>
        </w:rPr>
        <w:t xml:space="preserve"> وَلَوْ </w:t>
      </w:r>
      <w:r w:rsidR="006C577F" w:rsidRPr="006C577F">
        <w:rPr>
          <w:rStyle w:val="libFootnotenumChar"/>
          <w:rtl/>
        </w:rPr>
        <w:t>(8)</w:t>
      </w:r>
      <w:r w:rsidRPr="00C9040A">
        <w:rPr>
          <w:rtl/>
          <w:lang w:bidi="fa-IR"/>
        </w:rPr>
        <w:t xml:space="preserve"> كَانَ مِنْ قَرْنِهِ </w:t>
      </w:r>
      <w:r w:rsidR="006C577F" w:rsidRPr="006C577F">
        <w:rPr>
          <w:rStyle w:val="libFootnotenumChar"/>
          <w:rtl/>
        </w:rPr>
        <w:t>(9)</w:t>
      </w:r>
      <w:r w:rsidRPr="00C9040A">
        <w:rPr>
          <w:rtl/>
          <w:lang w:bidi="fa-IR"/>
        </w:rPr>
        <w:t xml:space="preserve"> إِلى قَدَمِهِ خَطَايَا ، لَمْ تَنْقُصْهُ </w:t>
      </w:r>
      <w:r w:rsidR="006C577F" w:rsidRPr="006C577F">
        <w:rPr>
          <w:rStyle w:val="libFootnotenumChar"/>
          <w:rtl/>
        </w:rPr>
        <w:t>(10)</w:t>
      </w:r>
      <w:r w:rsidRPr="00C9040A">
        <w:rPr>
          <w:rtl/>
          <w:lang w:bidi="fa-IR"/>
        </w:rPr>
        <w:t xml:space="preserve"> :</w:t>
      </w:r>
      <w:r>
        <w:rPr>
          <w:rFonts w:hint="cs"/>
          <w:rtl/>
          <w:lang w:bidi="fa-IR"/>
        </w:rPr>
        <w:t xml:space="preserve"> </w:t>
      </w:r>
      <w:r w:rsidRPr="00C9040A">
        <w:rPr>
          <w:rtl/>
          <w:lang w:bidi="fa-IR"/>
        </w:rPr>
        <w:t>الصِّدْقُ ، وَالْحَيَاءُ ، وَحُسْنُ الْخُلُقِ ، وَالشُّكْرُ »</w:t>
      </w:r>
      <w:r>
        <w:rPr>
          <w:rtl/>
          <w:lang w:bidi="fa-IR"/>
        </w:rPr>
        <w:t>.</w:t>
      </w:r>
      <w:r w:rsidRPr="00C9040A">
        <w:rPr>
          <w:rtl/>
          <w:lang w:bidi="fa-IR"/>
        </w:rPr>
        <w:t xml:space="preserve"> </w:t>
      </w:r>
      <w:r w:rsidR="006C577F" w:rsidRPr="006C577F">
        <w:rPr>
          <w:rStyle w:val="libFootnotenumChar"/>
          <w:rtl/>
        </w:rPr>
        <w:t>(11)</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4A4E41" w:rsidRDefault="006C577F" w:rsidP="004A4E41">
      <w:pPr>
        <w:pStyle w:val="libFootnote0"/>
        <w:rPr>
          <w:rStyle w:val="libFootnote0Char"/>
          <w:rtl/>
        </w:rPr>
      </w:pPr>
      <w:r>
        <w:rPr>
          <w:rtl/>
        </w:rPr>
        <w:t>(1).</w:t>
      </w:r>
      <w:r w:rsidR="008A74EB" w:rsidRPr="00C9040A">
        <w:rPr>
          <w:rtl/>
        </w:rPr>
        <w:t xml:space="preserve"> في الكافي ، ح 1537 : « له أركان أربعة » بدل « أربعة أركان »</w:t>
      </w:r>
      <w:r w:rsidR="008A74EB">
        <w:rPr>
          <w:rtl/>
        </w:rPr>
        <w:t>.</w:t>
      </w:r>
    </w:p>
    <w:tbl>
      <w:tblPr>
        <w:tblStyle w:val="TableGrid"/>
        <w:bidiVisual/>
        <w:tblW w:w="0" w:type="auto"/>
        <w:tblLook w:val="04A0" w:firstRow="1" w:lastRow="0" w:firstColumn="1" w:lastColumn="0" w:noHBand="0" w:noVBand="1"/>
      </w:tblPr>
      <w:tblGrid>
        <w:gridCol w:w="4006"/>
        <w:gridCol w:w="4006"/>
      </w:tblGrid>
      <w:tr w:rsidR="00370AB4" w:rsidTr="00370AB4">
        <w:tc>
          <w:tcPr>
            <w:tcW w:w="4006" w:type="dxa"/>
          </w:tcPr>
          <w:p w:rsidR="00370AB4" w:rsidRDefault="00370AB4" w:rsidP="004A4E41">
            <w:pPr>
              <w:pStyle w:val="libFootnote0"/>
              <w:rPr>
                <w:rtl/>
              </w:rPr>
            </w:pPr>
            <w:r>
              <w:rPr>
                <w:rtl/>
              </w:rPr>
              <w:t xml:space="preserve">(2). </w:t>
            </w:r>
            <w:r w:rsidRPr="00C9040A">
              <w:rPr>
                <w:rtl/>
              </w:rPr>
              <w:t>في « بر » : « التفويض »</w:t>
            </w:r>
            <w:r>
              <w:rPr>
                <w:rtl/>
              </w:rPr>
              <w:t>.</w:t>
            </w:r>
          </w:p>
        </w:tc>
        <w:tc>
          <w:tcPr>
            <w:tcW w:w="4006" w:type="dxa"/>
          </w:tcPr>
          <w:p w:rsidR="00370AB4" w:rsidRDefault="00370AB4" w:rsidP="004A4E41">
            <w:pPr>
              <w:pStyle w:val="libFootnote0"/>
              <w:rPr>
                <w:rtl/>
              </w:rPr>
            </w:pPr>
            <w:r>
              <w:rPr>
                <w:rtl/>
              </w:rPr>
              <w:t>(3).</w:t>
            </w:r>
            <w:r w:rsidRPr="00C9040A">
              <w:rPr>
                <w:rtl/>
              </w:rPr>
              <w:t xml:space="preserve"> في « بر » </w:t>
            </w:r>
            <w:r>
              <w:rPr>
                <w:rtl/>
              </w:rPr>
              <w:t>: -</w:t>
            </w:r>
            <w:r w:rsidRPr="00C9040A">
              <w:rPr>
                <w:rtl/>
              </w:rPr>
              <w:t xml:space="preserve"> « الأمر »</w:t>
            </w:r>
            <w:r>
              <w:rPr>
                <w:rtl/>
              </w:rPr>
              <w:t>.</w:t>
            </w:r>
          </w:p>
        </w:tc>
      </w:tr>
    </w:tbl>
    <w:p w:rsidR="008A74EB" w:rsidRPr="00C9040A" w:rsidRDefault="006C577F" w:rsidP="004A4E41">
      <w:pPr>
        <w:pStyle w:val="libFootnote0"/>
        <w:rPr>
          <w:rtl/>
          <w:lang w:bidi="fa-IR"/>
        </w:rPr>
      </w:pPr>
      <w:r>
        <w:rPr>
          <w:rtl/>
        </w:rPr>
        <w:t>(4).</w:t>
      </w:r>
      <w:r w:rsidR="008A74EB" w:rsidRPr="00C9040A">
        <w:rPr>
          <w:rtl/>
        </w:rPr>
        <w:t xml:space="preserve"> في الكافي ، ح 1537 : « التوكّل على الله ، وتفويض الأمر إلى الله ، والرضا بقضاء الله »</w:t>
      </w:r>
      <w:r w:rsidR="008A74EB">
        <w:rPr>
          <w:rtl/>
        </w:rPr>
        <w:t>.</w:t>
      </w:r>
    </w:p>
    <w:p w:rsidR="008A74EB" w:rsidRPr="004A4E41" w:rsidRDefault="006C577F" w:rsidP="004A4E41">
      <w:pPr>
        <w:pStyle w:val="libFootnote0"/>
        <w:rPr>
          <w:rStyle w:val="libFootnote0Char"/>
          <w:rtl/>
        </w:rPr>
      </w:pPr>
      <w:r>
        <w:rPr>
          <w:rtl/>
        </w:rPr>
        <w:t>(5).</w:t>
      </w:r>
      <w:r w:rsidR="008A74EB" w:rsidRPr="00C9040A">
        <w:rPr>
          <w:rtl/>
        </w:rPr>
        <w:t xml:space="preserve"> </w:t>
      </w:r>
      <w:r w:rsidR="008A74EB" w:rsidRPr="00993B55">
        <w:rPr>
          <w:rStyle w:val="libFootnoteBoldChar"/>
          <w:rtl/>
        </w:rPr>
        <w:t>الكافي</w:t>
      </w:r>
      <w:r w:rsidR="008A74EB" w:rsidRPr="00C9040A">
        <w:rPr>
          <w:rtl/>
        </w:rPr>
        <w:t xml:space="preserve"> ، كتاب الإيمان والكفر ، باب خصال المؤمن ، ح 1537. وفي </w:t>
      </w:r>
      <w:r w:rsidR="008A74EB" w:rsidRPr="00993B55">
        <w:rPr>
          <w:rStyle w:val="libFootnoteBoldChar"/>
          <w:rtl/>
        </w:rPr>
        <w:t>الجعفريّات</w:t>
      </w:r>
      <w:r w:rsidR="008A74EB" w:rsidRPr="00C9040A">
        <w:rPr>
          <w:rtl/>
        </w:rPr>
        <w:t xml:space="preserve"> ، ص 232 ، بسند آخر عن أبي عبدالله ، عن آبائه ، عن أميرالمؤمنين </w:t>
      </w:r>
      <w:r w:rsidR="00117575" w:rsidRPr="00117575">
        <w:rPr>
          <w:rStyle w:val="libFootnoteAlaemChar"/>
          <w:rtl/>
        </w:rPr>
        <w:t>عليهم‌السلام</w:t>
      </w:r>
      <w:r w:rsidR="008A74EB" w:rsidRPr="00C9040A">
        <w:rPr>
          <w:rtl/>
        </w:rPr>
        <w:t xml:space="preserve"> ؛ </w:t>
      </w:r>
      <w:r w:rsidR="008A74EB" w:rsidRPr="00993B55">
        <w:rPr>
          <w:rStyle w:val="libFootnoteBoldChar"/>
          <w:rtl/>
        </w:rPr>
        <w:t>قرب الإسناد</w:t>
      </w:r>
      <w:r w:rsidR="008A74EB" w:rsidRPr="00C9040A">
        <w:rPr>
          <w:rtl/>
        </w:rPr>
        <w:t xml:space="preserve"> ، ص 354 ، ح 1268 ، بسند آخر عن الرضا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تحف العقول</w:t>
      </w:r>
      <w:r w:rsidR="008A74EB" w:rsidRPr="00C9040A">
        <w:rPr>
          <w:rtl/>
        </w:rPr>
        <w:t xml:space="preserve"> ، ص 445 ، عن الرضا </w:t>
      </w:r>
      <w:r w:rsidR="00117575" w:rsidRPr="00117575">
        <w:rPr>
          <w:rStyle w:val="libFootnoteAlaemChar"/>
          <w:rtl/>
        </w:rPr>
        <w:t>عليه‌السلام</w:t>
      </w:r>
      <w:r w:rsidR="008A74EB" w:rsidRPr="00C9040A">
        <w:rPr>
          <w:rtl/>
        </w:rPr>
        <w:t xml:space="preserve"> ، وفيهما من دون الإسناد إلى أميرالمؤمنين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وفيه</w:t>
      </w:r>
      <w:r w:rsidR="008A74EB" w:rsidRPr="00C9040A">
        <w:rPr>
          <w:rtl/>
        </w:rPr>
        <w:t xml:space="preserve"> ، ص 232 ، عن أميرالمؤمنين </w:t>
      </w:r>
      <w:r w:rsidR="00117575" w:rsidRPr="00117575">
        <w:rPr>
          <w:rStyle w:val="libFootnoteAlaemChar"/>
          <w:rtl/>
        </w:rPr>
        <w:t>عليه‌السلام</w:t>
      </w:r>
      <w:r w:rsidR="008A74EB" w:rsidRPr="00C9040A">
        <w:rPr>
          <w:rtl/>
        </w:rPr>
        <w:t xml:space="preserve"> ، وفي كلّها مع اختلاف يسير ، وفي غير </w:t>
      </w:r>
      <w:r w:rsidR="008A74EB" w:rsidRPr="00993B55">
        <w:rPr>
          <w:rStyle w:val="libFootnoteBoldChar"/>
          <w:rtl/>
        </w:rPr>
        <w:t>الكافي</w:t>
      </w:r>
      <w:r w:rsidR="008A74EB" w:rsidRPr="00C9040A">
        <w:rPr>
          <w:rtl/>
        </w:rPr>
        <w:t xml:space="preserve"> مع زيادة في آخره</w:t>
      </w:r>
      <w:r w:rsidR="00523492">
        <w:rPr>
          <w:rFonts w:hint="cs"/>
          <w:rtl/>
        </w:rPr>
        <w:t>.</w:t>
      </w:r>
      <w:r w:rsidR="008A74EB" w:rsidRPr="00993B55">
        <w:rPr>
          <w:rStyle w:val="libFootnoteBoldChar"/>
          <w:rtl/>
        </w:rPr>
        <w:t>الوافي</w:t>
      </w:r>
      <w:r w:rsidR="008A74EB" w:rsidRPr="00C9040A">
        <w:rPr>
          <w:rtl/>
        </w:rPr>
        <w:t xml:space="preserve"> ، ج 4 ، ص 135 ، ح 1728 ؛ </w:t>
      </w:r>
      <w:r w:rsidR="008A74EB" w:rsidRPr="00993B55">
        <w:rPr>
          <w:rStyle w:val="libFootnoteBoldChar"/>
          <w:rtl/>
        </w:rPr>
        <w:t>الوسائل</w:t>
      </w:r>
      <w:r w:rsidR="008A74EB" w:rsidRPr="00C9040A">
        <w:rPr>
          <w:rtl/>
        </w:rPr>
        <w:t xml:space="preserve"> ، ج 15 ، ص 199 ، ح 20270 ؛ </w:t>
      </w:r>
      <w:r w:rsidR="008A74EB" w:rsidRPr="00993B55">
        <w:rPr>
          <w:rStyle w:val="libFootnoteBoldChar"/>
          <w:rtl/>
        </w:rPr>
        <w:t>البحار</w:t>
      </w:r>
      <w:r w:rsidR="008A74EB" w:rsidRPr="00C9040A">
        <w:rPr>
          <w:rtl/>
        </w:rPr>
        <w:t xml:space="preserve"> ، ج 72 ، ص 333 ، ح 17.</w:t>
      </w:r>
    </w:p>
    <w:tbl>
      <w:tblPr>
        <w:tblStyle w:val="TableGrid"/>
        <w:bidiVisual/>
        <w:tblW w:w="0" w:type="auto"/>
        <w:tblLook w:val="04A0" w:firstRow="1" w:lastRow="0" w:firstColumn="1" w:lastColumn="0" w:noHBand="0" w:noVBand="1"/>
      </w:tblPr>
      <w:tblGrid>
        <w:gridCol w:w="4006"/>
        <w:gridCol w:w="4006"/>
      </w:tblGrid>
      <w:tr w:rsidR="00523492" w:rsidTr="00523492">
        <w:tc>
          <w:tcPr>
            <w:tcW w:w="4006" w:type="dxa"/>
          </w:tcPr>
          <w:p w:rsidR="00523492" w:rsidRDefault="00523492" w:rsidP="004A4E41">
            <w:pPr>
              <w:pStyle w:val="libFootnote0"/>
              <w:rPr>
                <w:rtl/>
              </w:rPr>
            </w:pPr>
            <w:r>
              <w:rPr>
                <w:rtl/>
              </w:rPr>
              <w:t xml:space="preserve">(6). </w:t>
            </w:r>
            <w:r w:rsidRPr="00C9040A">
              <w:rPr>
                <w:rtl/>
              </w:rPr>
              <w:t>في الزهد : + « سمعته يقول »</w:t>
            </w:r>
            <w:r>
              <w:rPr>
                <w:rtl/>
              </w:rPr>
              <w:t>.</w:t>
            </w:r>
          </w:p>
        </w:tc>
        <w:tc>
          <w:tcPr>
            <w:tcW w:w="4006" w:type="dxa"/>
          </w:tcPr>
          <w:p w:rsidR="00523492" w:rsidRDefault="00523492" w:rsidP="004A4E41">
            <w:pPr>
              <w:pStyle w:val="libFootnote0"/>
              <w:rPr>
                <w:rtl/>
              </w:rPr>
            </w:pPr>
            <w:r>
              <w:rPr>
                <w:rtl/>
              </w:rPr>
              <w:t>(7).</w:t>
            </w:r>
            <w:r w:rsidRPr="00C9040A">
              <w:rPr>
                <w:rtl/>
              </w:rPr>
              <w:t xml:space="preserve"> في « ب » : « الإسلام »</w:t>
            </w:r>
            <w:r>
              <w:rPr>
                <w:rtl/>
              </w:rPr>
              <w:t>.</w:t>
            </w:r>
          </w:p>
        </w:tc>
      </w:tr>
    </w:tbl>
    <w:p w:rsidR="008A74EB" w:rsidRPr="00C9040A" w:rsidRDefault="006C577F" w:rsidP="004A4E41">
      <w:pPr>
        <w:pStyle w:val="libFootnote0"/>
        <w:rPr>
          <w:rtl/>
          <w:lang w:bidi="fa-IR"/>
        </w:rPr>
      </w:pPr>
      <w:r>
        <w:rPr>
          <w:rtl/>
        </w:rPr>
        <w:t>(8).</w:t>
      </w:r>
      <w:r w:rsidR="008A74EB" w:rsidRPr="00C9040A">
        <w:rPr>
          <w:rtl/>
        </w:rPr>
        <w:t xml:space="preserve"> في الوسائل : « وإن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 القرن » : الجانب الأعلى من الرأس ، وجمعه : قرون. </w:t>
      </w:r>
      <w:r w:rsidR="008A74EB" w:rsidRPr="00993B55">
        <w:rPr>
          <w:rStyle w:val="libFootnoteBoldChar"/>
          <w:rtl/>
        </w:rPr>
        <w:t>القاموس المحيط</w:t>
      </w:r>
      <w:r w:rsidR="008A74EB" w:rsidRPr="00C9040A">
        <w:rPr>
          <w:rtl/>
        </w:rPr>
        <w:t xml:space="preserve"> ، ج 2 ، ص 1606 ( قرن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 ف » : « لم ينقصه شي‌ء »</w:t>
      </w:r>
      <w:r w:rsidR="008A74EB">
        <w:rPr>
          <w:rtl/>
        </w:rPr>
        <w:t>.</w:t>
      </w:r>
      <w:r w:rsidR="008A74EB" w:rsidRPr="00C9040A">
        <w:rPr>
          <w:rtl/>
        </w:rPr>
        <w:t xml:space="preserve"> وفي الزهد : « لم ينقصه ذلك »</w:t>
      </w:r>
      <w:r w:rsidR="008A74EB">
        <w:rPr>
          <w:rtl/>
        </w:rPr>
        <w:t>.</w:t>
      </w:r>
      <w:r w:rsidR="008A74EB" w:rsidRPr="00C9040A">
        <w:rPr>
          <w:rtl/>
        </w:rPr>
        <w:t xml:space="preserve"> وفي الوسائل : « لم ينقصه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w:t>
      </w:r>
      <w:r w:rsidR="008A74EB" w:rsidRPr="00993B55">
        <w:rPr>
          <w:rStyle w:val="libFootnoteBoldChar"/>
          <w:rtl/>
        </w:rPr>
        <w:t>الزهد</w:t>
      </w:r>
      <w:r w:rsidR="008A74EB" w:rsidRPr="00C9040A">
        <w:rPr>
          <w:rtl/>
        </w:rPr>
        <w:t xml:space="preserve"> ، ص 88 ، ح 61 ، عن النضر بن سويد ، عن عبد الله بن سنان. </w:t>
      </w:r>
      <w:r w:rsidR="008A74EB" w:rsidRPr="00993B55">
        <w:rPr>
          <w:rStyle w:val="libFootnoteBoldChar"/>
          <w:rtl/>
        </w:rPr>
        <w:t>الكافي</w:t>
      </w:r>
      <w:r w:rsidR="008A74EB" w:rsidRPr="00C9040A">
        <w:rPr>
          <w:rtl/>
        </w:rPr>
        <w:t xml:space="preserve"> ، كتاب الإيمان والكفر ، باب الحياء ، ح 1787 ، بسند آخر عن أبي عبدالله </w:t>
      </w:r>
      <w:r w:rsidR="00117575" w:rsidRPr="00117575">
        <w:rPr>
          <w:rStyle w:val="libFootnoteAlaemChar"/>
          <w:rtl/>
        </w:rPr>
        <w:t>عليه‌السلام</w:t>
      </w:r>
      <w:r w:rsidR="008A74EB" w:rsidRPr="00C9040A">
        <w:rPr>
          <w:rtl/>
        </w:rPr>
        <w:t xml:space="preserve"> عن رسول الله </w:t>
      </w:r>
      <w:r w:rsidR="004A4E41" w:rsidRPr="00B866D3">
        <w:rPr>
          <w:rStyle w:val="libFootnoteAlaemChar"/>
          <w:rtl/>
        </w:rPr>
        <w:t>صلى‌الله‌عليه‌وآله</w:t>
      </w:r>
      <w:r w:rsidR="008A74EB" w:rsidRPr="00C9040A">
        <w:rPr>
          <w:rtl/>
        </w:rPr>
        <w:t xml:space="preserve"> ؛ </w:t>
      </w:r>
      <w:r w:rsidR="008A74EB" w:rsidRPr="00993B55">
        <w:rPr>
          <w:rStyle w:val="libFootnoteBoldChar"/>
          <w:rtl/>
        </w:rPr>
        <w:t>وفيه</w:t>
      </w:r>
      <w:r w:rsidR="008A74EB" w:rsidRPr="00C9040A">
        <w:rPr>
          <w:rtl/>
        </w:rPr>
        <w:t xml:space="preserve"> ، باب حسن الخلق ، ح 1747 ؛ </w:t>
      </w:r>
      <w:r w:rsidR="008A74EB" w:rsidRPr="00AC2E2F">
        <w:rPr>
          <w:rStyle w:val="libFootnoteBoldChar"/>
          <w:rtl/>
        </w:rPr>
        <w:t>والأمالي للطوسي</w:t>
      </w:r>
      <w:r w:rsidR="008A74EB" w:rsidRPr="00C9040A">
        <w:rPr>
          <w:rtl/>
        </w:rPr>
        <w:t xml:space="preserve"> ، ص 44 ، المجلس 2 ، ح 51 ، بسند آخر ؛ </w:t>
      </w:r>
      <w:r w:rsidR="008A74EB" w:rsidRPr="00993B55">
        <w:rPr>
          <w:rStyle w:val="libFootnoteBoldChar"/>
          <w:rtl/>
        </w:rPr>
        <w:t>التهذيب</w:t>
      </w:r>
      <w:r w:rsidR="008A74EB" w:rsidRPr="00C9040A">
        <w:rPr>
          <w:rtl/>
        </w:rPr>
        <w:t xml:space="preserve"> ، ج 6 ، ص 350 ، ح 990 ، بسند آخر عن أبي عبد الله ، عن أبيه </w:t>
      </w:r>
      <w:r w:rsidR="00117575" w:rsidRPr="00117575">
        <w:rPr>
          <w:rStyle w:val="libFootnoteAlaemChar"/>
          <w:rtl/>
        </w:rPr>
        <w:t>عليهما‌السلام</w:t>
      </w:r>
      <w:r w:rsidR="008A74EB" w:rsidRPr="00C9040A">
        <w:rPr>
          <w:rtl/>
        </w:rPr>
        <w:t xml:space="preserve"> ، وفي الأربعة الأخيرة مع اختلاف يسير. وفي </w:t>
      </w:r>
      <w:r w:rsidR="008A74EB" w:rsidRPr="00993B55">
        <w:rPr>
          <w:rStyle w:val="libFootnoteBoldChar"/>
          <w:rtl/>
        </w:rPr>
        <w:t>المحاسن</w:t>
      </w:r>
      <w:r w:rsidR="008A74EB" w:rsidRPr="00C9040A">
        <w:rPr>
          <w:rtl/>
        </w:rPr>
        <w:t xml:space="preserve"> ، ص 8 ، كتاب القرائن ، ح 21 ؛ و</w:t>
      </w:r>
      <w:r w:rsidR="008A74EB" w:rsidRPr="00993B55">
        <w:rPr>
          <w:rStyle w:val="libFootnoteBoldChar"/>
          <w:rtl/>
        </w:rPr>
        <w:t xml:space="preserve">الخصال </w:t>
      </w:r>
      <w:r w:rsidR="008A74EB" w:rsidRPr="00C9040A">
        <w:rPr>
          <w:rtl/>
        </w:rPr>
        <w:t>، ص 222 ، باب الأربعة ، ح 50 ؛ و</w:t>
      </w:r>
      <w:r w:rsidR="008A74EB" w:rsidRPr="0034021D">
        <w:rPr>
          <w:rStyle w:val="libFootnoteBoldChar"/>
          <w:rtl/>
        </w:rPr>
        <w:t>الأمالي للمفيد</w:t>
      </w:r>
      <w:r w:rsidR="008A74EB" w:rsidRPr="00C9040A">
        <w:rPr>
          <w:rtl/>
        </w:rPr>
        <w:t xml:space="preserve"> ، ص 299 ، المجلس 35 ، ح 9 ؛ </w:t>
      </w:r>
      <w:r w:rsidR="008A74EB" w:rsidRPr="00AC2E2F">
        <w:rPr>
          <w:rStyle w:val="libFootnoteBoldChar"/>
          <w:rtl/>
        </w:rPr>
        <w:t>والأمالي للطوسي</w:t>
      </w:r>
      <w:r w:rsidR="008A74EB" w:rsidRPr="00C9040A">
        <w:rPr>
          <w:rtl/>
        </w:rPr>
        <w:t xml:space="preserve"> ، ص 73 ، المجلس 3 ، ح 106 ، بسند آخر عن الباقر ، عن أبيه </w:t>
      </w:r>
      <w:r w:rsidR="00117575" w:rsidRPr="00117575">
        <w:rPr>
          <w:rStyle w:val="libFootnoteAlaemChar"/>
          <w:rtl/>
        </w:rPr>
        <w:t>عليهما‌السلام</w:t>
      </w:r>
      <w:r w:rsidR="008A74EB" w:rsidRPr="00C9040A">
        <w:rPr>
          <w:rtl/>
        </w:rPr>
        <w:t xml:space="preserve"> ، مع اختلاف. وفي </w:t>
      </w:r>
      <w:r w:rsidR="008A74EB" w:rsidRPr="0034021D">
        <w:rPr>
          <w:rStyle w:val="libFootnoteBoldChar"/>
          <w:rtl/>
        </w:rPr>
        <w:t>الأمالي للمفيد</w:t>
      </w:r>
      <w:r w:rsidR="008A74EB" w:rsidRPr="00C9040A">
        <w:rPr>
          <w:rtl/>
        </w:rPr>
        <w:t xml:space="preserve"> ، ص 166 ، المجلس 21 ، ح 1 ؛ </w:t>
      </w:r>
      <w:r w:rsidR="008A74EB" w:rsidRPr="00AC2E2F">
        <w:rPr>
          <w:rStyle w:val="libFootnoteBoldChar"/>
          <w:rtl/>
        </w:rPr>
        <w:t>والأمالي للطوسي</w:t>
      </w:r>
      <w:r w:rsidR="008A74EB" w:rsidRPr="00C9040A">
        <w:rPr>
          <w:rtl/>
        </w:rPr>
        <w:t xml:space="preserve"> ، ص 189 ، المجلس 7 ، ح 319 ، بسند آخر عن الباقر </w:t>
      </w:r>
      <w:r w:rsidR="00117575" w:rsidRPr="00117575">
        <w:rPr>
          <w:rStyle w:val="libFootnoteAlaemChar"/>
          <w:rtl/>
        </w:rPr>
        <w:t>عليه‌السلام</w:t>
      </w:r>
      <w:r w:rsidR="008A74EB" w:rsidRPr="00C9040A">
        <w:rPr>
          <w:rtl/>
        </w:rPr>
        <w:t xml:space="preserve"> ، مع اختلاف وزيادة في آخره</w:t>
      </w:r>
      <w:r w:rsidR="00424D5B">
        <w:rPr>
          <w:rFonts w:hint="cs"/>
          <w:rtl/>
        </w:rPr>
        <w:t>.</w:t>
      </w:r>
      <w:r w:rsidR="008A74EB" w:rsidRPr="00993B55">
        <w:rPr>
          <w:rStyle w:val="libFootnoteBoldChar"/>
          <w:rtl/>
        </w:rPr>
        <w:t>الوافي</w:t>
      </w:r>
      <w:r w:rsidR="008A74EB" w:rsidRPr="00C9040A">
        <w:rPr>
          <w:rtl/>
        </w:rPr>
        <w:t xml:space="preserve"> ، ج 4 ، ص 266 ، ح 1914 ؛ </w:t>
      </w:r>
      <w:r w:rsidR="008A74EB" w:rsidRPr="00993B55">
        <w:rPr>
          <w:rStyle w:val="libFootnoteBoldChar"/>
          <w:rtl/>
        </w:rPr>
        <w:t>الوسائل</w:t>
      </w:r>
      <w:r w:rsidR="008A74EB" w:rsidRPr="00C9040A">
        <w:rPr>
          <w:rtl/>
        </w:rPr>
        <w:t xml:space="preserve"> ، ج 15 ، ص 199 ، ح 20271 ؛ </w:t>
      </w:r>
      <w:r w:rsidR="008A74EB" w:rsidRPr="00993B55">
        <w:rPr>
          <w:rStyle w:val="libFootnoteBoldChar"/>
          <w:rtl/>
        </w:rPr>
        <w:t>البحار</w:t>
      </w:r>
      <w:r w:rsidR="008A74EB" w:rsidRPr="00C9040A">
        <w:rPr>
          <w:rtl/>
        </w:rPr>
        <w:t xml:space="preserve"> ، ج 70 ، ص 376 ، ح 21.</w:t>
      </w:r>
    </w:p>
    <w:p w:rsidR="004B7F34" w:rsidRDefault="004B7F34" w:rsidP="004B7F34">
      <w:pPr>
        <w:pStyle w:val="libNormal"/>
        <w:rPr>
          <w:rtl/>
          <w:lang w:bidi="fa-IR"/>
        </w:rPr>
      </w:pPr>
      <w:r>
        <w:rPr>
          <w:rtl/>
          <w:lang w:bidi="fa-IR"/>
        </w:rPr>
        <w:br w:type="page"/>
      </w:r>
    </w:p>
    <w:p w:rsidR="00424D5B" w:rsidRDefault="008A74EB" w:rsidP="00424D5B">
      <w:pPr>
        <w:pStyle w:val="libNormal"/>
        <w:rPr>
          <w:rtl/>
          <w:lang w:bidi="fa-IR"/>
        </w:rPr>
      </w:pPr>
      <w:r w:rsidRPr="001C2425">
        <w:rPr>
          <w:rtl/>
        </w:rPr>
        <w:lastRenderedPageBreak/>
        <w:t>1566</w:t>
      </w:r>
      <w:r w:rsidRPr="00261CB0">
        <w:rPr>
          <w:rStyle w:val="libBold2Char"/>
          <w:rtl/>
        </w:rPr>
        <w:t xml:space="preserve"> / 7.</w:t>
      </w:r>
      <w:r w:rsidRPr="00C9040A">
        <w:rPr>
          <w:rtl/>
          <w:lang w:bidi="fa-IR"/>
        </w:rPr>
        <w:t xml:space="preserve"> عِدَّةٌ مِنْ أَصْحَابِنَا ، عَنْ سَهْلِ بْنِ زِيَادٍ ؛</w:t>
      </w:r>
    </w:p>
    <w:p w:rsidR="008A74EB" w:rsidRPr="00C9040A" w:rsidRDefault="008A74EB" w:rsidP="00424D5B">
      <w:pPr>
        <w:pStyle w:val="libNormal"/>
        <w:rPr>
          <w:rtl/>
          <w:lang w:bidi="fa-IR"/>
        </w:rPr>
      </w:pPr>
      <w:r w:rsidRPr="00C9040A">
        <w:rPr>
          <w:rtl/>
          <w:lang w:bidi="fa-IR"/>
        </w:rPr>
        <w:t>وَعَلِيُّ بْنُ إِبْرَاهِيمَ ، عَنْ أَبِيهِ جَمِيعاً ، عَنِ ابْنِ مَحْبُوبٍ ، عَنِ ابْنِ رِئَابٍ ، عَنْ أَبِي حَمْزَةَ ، عَنْ جَابِرِ بْنِ عَبْدِ اللهِ ، قَالَ :</w:t>
      </w:r>
    </w:p>
    <w:p w:rsidR="008A74EB" w:rsidRPr="00C9040A" w:rsidRDefault="008A74EB" w:rsidP="008A74EB">
      <w:pPr>
        <w:pStyle w:val="libNormal"/>
        <w:rPr>
          <w:rtl/>
          <w:lang w:bidi="fa-IR"/>
        </w:rPr>
      </w:pPr>
      <w:r w:rsidRPr="00C9040A">
        <w:rPr>
          <w:rtl/>
          <w:lang w:bidi="fa-IR"/>
        </w:rPr>
        <w:t xml:space="preserve">قَالَ رَسُولُ اللهِ </w:t>
      </w:r>
      <w:r w:rsidR="004A4E41" w:rsidRPr="004A4E41">
        <w:rPr>
          <w:rStyle w:val="libAlaemChar"/>
          <w:rtl/>
        </w:rPr>
        <w:t>صلى‌الله‌عليه‌وآله</w:t>
      </w:r>
      <w:r>
        <w:rPr>
          <w:rtl/>
          <w:lang w:bidi="fa-IR"/>
        </w:rPr>
        <w:t xml:space="preserve"> : « أَ</w:t>
      </w:r>
      <w:r w:rsidRPr="00C9040A">
        <w:rPr>
          <w:rtl/>
          <w:lang w:bidi="fa-IR"/>
        </w:rPr>
        <w:t>لَا</w:t>
      </w:r>
      <w:r>
        <w:rPr>
          <w:rFonts w:hint="cs"/>
          <w:rtl/>
          <w:lang w:bidi="fa-IR"/>
        </w:rPr>
        <w:t xml:space="preserve"> </w:t>
      </w:r>
      <w:r w:rsidRPr="00C9040A">
        <w:rPr>
          <w:rtl/>
          <w:lang w:bidi="fa-IR"/>
        </w:rPr>
        <w:t>أُخْبِرُكُمْ بِخَيْرِ رِجَالِكُمْ</w:t>
      </w:r>
      <w:r>
        <w:rPr>
          <w:rtl/>
          <w:lang w:bidi="fa-IR"/>
        </w:rPr>
        <w:t>؟</w:t>
      </w:r>
      <w:r w:rsidRPr="00C9040A">
        <w:rPr>
          <w:rtl/>
          <w:lang w:bidi="fa-IR"/>
        </w:rPr>
        <w:t xml:space="preserve"> » قُلْنَا : بَلى يَا رَسُولَ اللهِ ، قَالَ : « إِنَّ مِنْ </w:t>
      </w:r>
      <w:r w:rsidR="006C577F" w:rsidRPr="006C577F">
        <w:rPr>
          <w:rStyle w:val="libFootnotenumChar"/>
          <w:rtl/>
        </w:rPr>
        <w:t>(1)</w:t>
      </w:r>
      <w:r w:rsidRPr="002712F0">
        <w:rPr>
          <w:rFonts w:hint="cs"/>
          <w:rtl/>
        </w:rPr>
        <w:t xml:space="preserve"> </w:t>
      </w:r>
      <w:r w:rsidRPr="00C9040A">
        <w:rPr>
          <w:rtl/>
          <w:lang w:bidi="fa-IR"/>
        </w:rPr>
        <w:t xml:space="preserve">خَيْرِ رِجَالِكُمُ </w:t>
      </w:r>
      <w:r w:rsidR="006C577F" w:rsidRPr="006C577F">
        <w:rPr>
          <w:rStyle w:val="libFootnotenumChar"/>
          <w:rtl/>
        </w:rPr>
        <w:t>(2)</w:t>
      </w:r>
      <w:r w:rsidRPr="00C9040A">
        <w:rPr>
          <w:rtl/>
          <w:lang w:bidi="fa-IR"/>
        </w:rPr>
        <w:t xml:space="preserve"> التَّقِيَّ ، النَّقِيَّ ، السَّمْحَ الْكَفَّيْنِ ، النَّقِيَّ الطَّرَفَيْنِ </w:t>
      </w:r>
      <w:r w:rsidR="006C577F" w:rsidRPr="006C577F">
        <w:rPr>
          <w:rStyle w:val="libFootnotenumChar"/>
          <w:rtl/>
        </w:rPr>
        <w:t>(3)</w:t>
      </w:r>
      <w:r w:rsidRPr="00C9040A">
        <w:rPr>
          <w:rtl/>
          <w:lang w:bidi="fa-IR"/>
        </w:rPr>
        <w:t xml:space="preserve"> ، الْبَرَّ بِوَالِدَيْهِ ، وَلَا يُلْجِئُ عِيَالَهُ إِلى غَيْرِهِ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Heading2Center"/>
        <w:rPr>
          <w:rtl/>
          <w:lang w:bidi="fa-IR"/>
        </w:rPr>
      </w:pPr>
      <w:bookmarkStart w:id="100" w:name="_Toc343795621"/>
      <w:bookmarkStart w:id="101" w:name="_Toc459810745"/>
      <w:bookmarkStart w:id="102" w:name="_Toc35348651"/>
      <w:r w:rsidRPr="00C9040A">
        <w:rPr>
          <w:rtl/>
          <w:lang w:bidi="fa-IR"/>
        </w:rPr>
        <w:t>30</w:t>
      </w:r>
      <w:r>
        <w:rPr>
          <w:rtl/>
          <w:lang w:bidi="fa-IR"/>
        </w:rPr>
        <w:t xml:space="preserve"> </w:t>
      </w:r>
      <w:r w:rsidR="0084262C">
        <w:rPr>
          <w:rtl/>
          <w:lang w:bidi="fa-IR"/>
        </w:rPr>
        <w:t>-</w:t>
      </w:r>
      <w:r>
        <w:rPr>
          <w:rtl/>
          <w:lang w:bidi="fa-IR"/>
        </w:rPr>
        <w:t xml:space="preserve"> </w:t>
      </w:r>
      <w:r w:rsidRPr="00C9040A">
        <w:rPr>
          <w:rtl/>
          <w:lang w:bidi="fa-IR"/>
        </w:rPr>
        <w:t>بَابُ فَضْلِ الْيَقِينِ‌</w:t>
      </w:r>
      <w:bookmarkEnd w:id="100"/>
      <w:bookmarkEnd w:id="101"/>
      <w:bookmarkEnd w:id="102"/>
    </w:p>
    <w:p w:rsidR="008A74EB" w:rsidRPr="00C9040A" w:rsidRDefault="008A74EB" w:rsidP="008A74EB">
      <w:pPr>
        <w:pStyle w:val="libNormal"/>
        <w:rPr>
          <w:rtl/>
          <w:lang w:bidi="fa-IR"/>
        </w:rPr>
      </w:pPr>
      <w:r w:rsidRPr="001C2425">
        <w:rPr>
          <w:rtl/>
        </w:rPr>
        <w:t>1567</w:t>
      </w:r>
      <w:r w:rsidRPr="00261CB0">
        <w:rPr>
          <w:rStyle w:val="libBold2Char"/>
          <w:rtl/>
        </w:rPr>
        <w:t xml:space="preserve"> / 1.</w:t>
      </w:r>
      <w:r w:rsidRPr="00C9040A">
        <w:rPr>
          <w:rtl/>
          <w:lang w:bidi="fa-IR"/>
        </w:rPr>
        <w:t xml:space="preserve"> الْحُسَيْنُ بْنُ مُحَمَّدٍ ، عَنْ مُعَلَّى بْنِ مُحَمَّدٍ ، عَنِ الْحَسَنِ بْنِ عَلِيٍّ الْوَشَّاءِ ، عَنِ الْمُثَنَّى بْنِ الْوَلِيدِ ، عَنْ أَبِي بَصِيرٍ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w:t>
      </w:r>
      <w:r w:rsidR="00424D5B">
        <w:rPr>
          <w:rtl/>
          <w:lang w:bidi="fa-IR"/>
        </w:rPr>
        <w:t xml:space="preserve"> قَالَ : « لَيْسَ شَيْ‌ءٌ إِل</w:t>
      </w:r>
      <w:r w:rsidR="00424D5B">
        <w:rPr>
          <w:rFonts w:hint="cs"/>
          <w:rtl/>
          <w:lang w:bidi="fa-IR"/>
        </w:rPr>
        <w:t>َّ</w:t>
      </w:r>
      <w:r w:rsidR="00424D5B">
        <w:rPr>
          <w:rtl/>
          <w:lang w:bidi="fa-IR"/>
        </w:rPr>
        <w:t>ا</w:t>
      </w:r>
      <w:r w:rsidRPr="00C9040A">
        <w:rPr>
          <w:rtl/>
          <w:lang w:bidi="fa-IR"/>
        </w:rPr>
        <w:t xml:space="preserve"> وَلَهُ حَدٌّ »</w:t>
      </w:r>
      <w:r>
        <w:rPr>
          <w:rtl/>
          <w:lang w:bidi="fa-IR"/>
        </w:rPr>
        <w:t>.</w:t>
      </w:r>
      <w:r w:rsidRPr="00C9040A">
        <w:rPr>
          <w:rtl/>
          <w:lang w:bidi="fa-IR"/>
        </w:rPr>
        <w:t xml:space="preserve"> قَالَ : قُلْتُ : جُعِلْتُ فِدَاكَ ، فَمَا حَدُّ التَّوَكُّلِ</w:t>
      </w:r>
      <w:r>
        <w:rPr>
          <w:rtl/>
          <w:lang w:bidi="fa-IR"/>
        </w:rPr>
        <w:t>؟</w:t>
      </w:r>
      <w:r w:rsidRPr="00C9040A">
        <w:rPr>
          <w:rtl/>
          <w:lang w:bidi="fa-IR"/>
        </w:rPr>
        <w:t xml:space="preserve"> قَالَ : « الْيَقِينُ »</w:t>
      </w:r>
      <w:r>
        <w:rPr>
          <w:rtl/>
          <w:lang w:bidi="fa-IR"/>
        </w:rPr>
        <w:t>.</w:t>
      </w:r>
      <w:r w:rsidRPr="00C9040A">
        <w:rPr>
          <w:rtl/>
          <w:lang w:bidi="fa-IR"/>
        </w:rPr>
        <w:t xml:space="preserve"> قُلْتُ : فَمَا حَدُّ الْيَقِينِ</w:t>
      </w:r>
      <w:r>
        <w:rPr>
          <w:rtl/>
          <w:lang w:bidi="fa-IR"/>
        </w:rPr>
        <w:t>؟</w:t>
      </w:r>
      <w:r w:rsidR="00424D5B">
        <w:rPr>
          <w:rtl/>
          <w:lang w:bidi="fa-IR"/>
        </w:rPr>
        <w:t xml:space="preserve"> قَالَ : « أَل</w:t>
      </w:r>
      <w:r w:rsidR="00424D5B">
        <w:rPr>
          <w:rFonts w:hint="cs"/>
          <w:rtl/>
          <w:lang w:bidi="fa-IR"/>
        </w:rPr>
        <w:t>َّ</w:t>
      </w:r>
      <w:r w:rsidR="00424D5B">
        <w:rPr>
          <w:rtl/>
          <w:lang w:bidi="fa-IR"/>
        </w:rPr>
        <w:t>ا</w:t>
      </w:r>
      <w:r w:rsidRPr="00C9040A">
        <w:rPr>
          <w:rtl/>
          <w:lang w:bidi="fa-IR"/>
        </w:rPr>
        <w:t xml:space="preserve"> تَخَافَ مَعَ اللهِ شَيْئاً »</w:t>
      </w:r>
      <w:r>
        <w:rPr>
          <w:rtl/>
          <w:lang w:bidi="fa-IR"/>
        </w:rPr>
        <w:t>.</w:t>
      </w:r>
      <w:r w:rsidR="006C577F" w:rsidRPr="006C577F">
        <w:rPr>
          <w:rStyle w:val="libFootnotenumChar"/>
          <w:rtl/>
        </w:rPr>
        <w:t>(5)</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الوسائل </w:t>
      </w:r>
      <w:r w:rsidR="008A74EB">
        <w:rPr>
          <w:rtl/>
        </w:rPr>
        <w:t xml:space="preserve">: </w:t>
      </w:r>
      <w:r w:rsidR="0084262C">
        <w:rPr>
          <w:rtl/>
        </w:rPr>
        <w:t>-</w:t>
      </w:r>
      <w:r w:rsidR="008A74EB" w:rsidRPr="00C9040A">
        <w:rPr>
          <w:rtl/>
        </w:rPr>
        <w:t xml:space="preserve"> « من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ذكر المازندراني هاهنا إشكالاً بأنّه لا يقال : قوله : بخير رجالكم ، ينافي قوله : من خير رجالكم ؛ لأنّ الأوّل يفيد أنّه الخير مطلقاً ، والثاني يفيد أنّه من جملة خير الرجال وبعضهم. ثمّ أجاب بأنّ المراد بالأوّل الصنف ، وبالثاني كلّ فرد من هذا الصنف ، أو الخير في الأوّل إضافي بالنسبة إلى من توجد فيه الصفات المذكورة دون الخير الحقيقي وعلى الإطلاق. وقال المجلسي : « وأقول : يحتمل أن يكون </w:t>
      </w:r>
      <w:r w:rsidR="00117575" w:rsidRPr="00117575">
        <w:rPr>
          <w:rStyle w:val="libFootnoteAlaemChar"/>
          <w:rtl/>
        </w:rPr>
        <w:t>عليه‌السلام</w:t>
      </w:r>
      <w:r w:rsidR="008A74EB" w:rsidRPr="00C9040A">
        <w:rPr>
          <w:rtl/>
        </w:rPr>
        <w:t xml:space="preserve"> أراد ذكر الكلّ ثمّ اكتفى بذكر البعض. أو المراد أنّ المتّصف بكلّ من الصفات المذكورة من جملة الخير ، أو المراد بقوله : بخير رجالكم ، ببعضهم ، بقرينة الأخير ، ومرجعه إلى بعض الوجوه المتقدّمة »</w:t>
      </w:r>
      <w:r w:rsidR="008A74EB">
        <w:rPr>
          <w:rtl/>
        </w:rPr>
        <w:t>.</w:t>
      </w:r>
      <w:r w:rsidR="008A74EB" w:rsidRPr="00C9040A">
        <w:rPr>
          <w:rtl/>
        </w:rPr>
        <w:t xml:space="preserve"> راجع : </w:t>
      </w:r>
      <w:r w:rsidR="008A74EB" w:rsidRPr="00993B55">
        <w:rPr>
          <w:rStyle w:val="libFootnoteBoldChar"/>
          <w:rtl/>
        </w:rPr>
        <w:t>شرح المازندراني</w:t>
      </w:r>
      <w:r w:rsidR="008A74EB" w:rsidRPr="00C9040A">
        <w:rPr>
          <w:rtl/>
        </w:rPr>
        <w:t xml:space="preserve"> ، ج 8 ، ص 179 ؛ </w:t>
      </w:r>
      <w:r w:rsidR="008A74EB" w:rsidRPr="00993B55">
        <w:rPr>
          <w:rStyle w:val="libFootnoteBoldChar"/>
          <w:rtl/>
        </w:rPr>
        <w:t>مرآة العقول</w:t>
      </w:r>
      <w:r w:rsidR="008A74EB" w:rsidRPr="00C9040A">
        <w:rPr>
          <w:rtl/>
        </w:rPr>
        <w:t xml:space="preserve"> ، ج 7 ، ص 352.</w:t>
      </w:r>
    </w:p>
    <w:p w:rsidR="008A74EB" w:rsidRPr="00C9040A" w:rsidRDefault="006C577F" w:rsidP="004A4E41">
      <w:pPr>
        <w:pStyle w:val="libFootnote0"/>
        <w:rPr>
          <w:rtl/>
          <w:lang w:bidi="fa-IR"/>
        </w:rPr>
      </w:pPr>
      <w:r>
        <w:rPr>
          <w:rtl/>
        </w:rPr>
        <w:t>(3).</w:t>
      </w:r>
      <w:r w:rsidR="008A74EB" w:rsidRPr="00C9040A">
        <w:rPr>
          <w:rtl/>
        </w:rPr>
        <w:t xml:space="preserve"> طرفا الإنسان : ذَكَره ولسانه. كذا في الوافي والصحاح ، ج 4 ، ص 1394 ( طرف )</w:t>
      </w:r>
      <w:r w:rsidR="008A74EB">
        <w:rPr>
          <w:rtl/>
        </w:rPr>
        <w:t>.</w:t>
      </w:r>
      <w:r w:rsidR="008A74EB" w:rsidRPr="00C9040A">
        <w:rPr>
          <w:rtl/>
        </w:rPr>
        <w:t xml:space="preserve"> واحتمل وجوه ا</w:t>
      </w:r>
      <w:r w:rsidR="00DA5F05">
        <w:rPr>
          <w:rFonts w:hint="cs"/>
          <w:rtl/>
        </w:rPr>
        <w:t>ُ</w:t>
      </w:r>
      <w:r w:rsidR="008A74EB" w:rsidRPr="00C9040A">
        <w:rPr>
          <w:rtl/>
        </w:rPr>
        <w:t>خر هي : الفرجان ، أو الفرج والفم والبطن ، أو الوالدان.</w:t>
      </w:r>
    </w:p>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التهذيب</w:t>
      </w:r>
      <w:r w:rsidR="008A74EB" w:rsidRPr="00C9040A">
        <w:rPr>
          <w:rtl/>
        </w:rPr>
        <w:t xml:space="preserve"> ، ج 7 ، ص 400 ، ضمن الحديث الطويل 1597 ، معلّقاً عن الحسن بن محبوب ، عن عليّ بن رئاب</w:t>
      </w:r>
      <w:r w:rsidR="00DA5F05">
        <w:rPr>
          <w:rFonts w:hint="cs"/>
          <w:rtl/>
        </w:rPr>
        <w:t>.</w:t>
      </w:r>
      <w:r w:rsidR="008A74EB" w:rsidRPr="00993B55">
        <w:rPr>
          <w:rStyle w:val="libFootnoteBoldChar"/>
          <w:rtl/>
        </w:rPr>
        <w:t>الوافي</w:t>
      </w:r>
      <w:r w:rsidR="008A74EB" w:rsidRPr="00C9040A">
        <w:rPr>
          <w:rtl/>
        </w:rPr>
        <w:t xml:space="preserve"> ، ج 4 ، ص 266 ، ح 1917 ؛ </w:t>
      </w:r>
      <w:r w:rsidR="008A74EB" w:rsidRPr="00993B55">
        <w:rPr>
          <w:rStyle w:val="libFootnoteBoldChar"/>
          <w:rtl/>
        </w:rPr>
        <w:t>الوسائل</w:t>
      </w:r>
      <w:r w:rsidR="008A74EB" w:rsidRPr="00C9040A">
        <w:rPr>
          <w:rtl/>
        </w:rPr>
        <w:t xml:space="preserve"> ، ج 15 ، ص 198 ، ح 20268 ؛ </w:t>
      </w:r>
      <w:r w:rsidR="008A74EB" w:rsidRPr="00993B55">
        <w:rPr>
          <w:rStyle w:val="libFootnoteBoldChar"/>
          <w:rtl/>
        </w:rPr>
        <w:t>البحار</w:t>
      </w:r>
      <w:r w:rsidR="008A74EB" w:rsidRPr="00C9040A">
        <w:rPr>
          <w:rtl/>
        </w:rPr>
        <w:t xml:space="preserve"> ، ج 70 ، ص 375 ، ح 20.</w:t>
      </w:r>
    </w:p>
    <w:p w:rsidR="008A74EB" w:rsidRPr="00C9040A" w:rsidRDefault="006C577F" w:rsidP="004A4E41">
      <w:pPr>
        <w:pStyle w:val="libFootnote0"/>
        <w:rPr>
          <w:rtl/>
          <w:lang w:bidi="fa-IR"/>
        </w:rPr>
      </w:pPr>
      <w:r>
        <w:rPr>
          <w:rtl/>
        </w:rPr>
        <w:t>(5).</w:t>
      </w:r>
      <w:r w:rsidR="008A74EB" w:rsidRPr="00C9040A">
        <w:rPr>
          <w:rtl/>
        </w:rPr>
        <w:t xml:space="preserve"> </w:t>
      </w:r>
      <w:r w:rsidR="008A74EB" w:rsidRPr="0034021D">
        <w:rPr>
          <w:rStyle w:val="libFootnoteBoldChar"/>
          <w:rtl/>
        </w:rPr>
        <w:t>الأمالي للصدوق</w:t>
      </w:r>
      <w:r w:rsidR="008A74EB" w:rsidRPr="00C9040A">
        <w:rPr>
          <w:rtl/>
        </w:rPr>
        <w:t xml:space="preserve"> ، ص 240 ، المجلس 42 ، ح 8 ؛ و</w:t>
      </w:r>
      <w:r w:rsidR="008A74EB" w:rsidRPr="00993B55">
        <w:rPr>
          <w:rStyle w:val="libFootnoteBoldChar"/>
          <w:rtl/>
        </w:rPr>
        <w:t>عيون الأخبار</w:t>
      </w:r>
      <w:r w:rsidR="0040613C">
        <w:rPr>
          <w:rtl/>
        </w:rPr>
        <w:t xml:space="preserve"> ، ج 2 ، ص 49 ، ح 92 ، بسند آخر</w:t>
      </w:r>
      <w:r w:rsidR="0040613C">
        <w:rPr>
          <w:rFonts w:hint="cs"/>
          <w:rtl/>
        </w:rPr>
        <w:t>=</w:t>
      </w:r>
    </w:p>
    <w:p w:rsidR="004B7F34" w:rsidRDefault="004B7F34" w:rsidP="004B7F34">
      <w:pPr>
        <w:pStyle w:val="libNormal"/>
        <w:rPr>
          <w:rtl/>
          <w:lang w:bidi="fa-IR"/>
        </w:rPr>
      </w:pPr>
      <w:r>
        <w:rPr>
          <w:rtl/>
          <w:lang w:bidi="fa-IR"/>
        </w:rPr>
        <w:br w:type="page"/>
      </w:r>
    </w:p>
    <w:p w:rsidR="008051D9" w:rsidRDefault="008A74EB" w:rsidP="008051D9">
      <w:pPr>
        <w:pStyle w:val="libNormal"/>
        <w:rPr>
          <w:rtl/>
          <w:lang w:bidi="fa-IR"/>
        </w:rPr>
      </w:pPr>
      <w:r w:rsidRPr="001C2425">
        <w:rPr>
          <w:rtl/>
        </w:rPr>
        <w:lastRenderedPageBreak/>
        <w:t>1568</w:t>
      </w:r>
      <w:r w:rsidRPr="00261CB0">
        <w:rPr>
          <w:rStyle w:val="libBold2Char"/>
          <w:rtl/>
        </w:rPr>
        <w:t xml:space="preserve"> / 2.</w:t>
      </w:r>
      <w:r w:rsidRPr="00C9040A">
        <w:rPr>
          <w:rtl/>
          <w:lang w:bidi="fa-IR"/>
        </w:rPr>
        <w:t xml:space="preserve"> عَنْهُ ، عَنْ مُعَلًّى ، عَنِ الْحَسَنِ بْنِ عَلِيٍّ الْوَشَّاءِ ، عَنْ عَبْدِ اللهِ بْنِ سِنَانٍ ، عَنْ أَبِي عَبْدِ اللهِ </w:t>
      </w:r>
      <w:r w:rsidRPr="0003660B">
        <w:rPr>
          <w:rStyle w:val="libAlaemChar"/>
          <w:rtl/>
        </w:rPr>
        <w:t>عليه‌السلام</w:t>
      </w:r>
      <w:r w:rsidRPr="00C9040A">
        <w:rPr>
          <w:rtl/>
          <w:lang w:bidi="fa-IR"/>
        </w:rPr>
        <w:t xml:space="preserve"> ؛</w:t>
      </w:r>
    </w:p>
    <w:p w:rsidR="008A74EB" w:rsidRPr="00C9040A" w:rsidRDefault="008A74EB" w:rsidP="008051D9">
      <w:pPr>
        <w:pStyle w:val="libNormal"/>
        <w:rPr>
          <w:rtl/>
          <w:lang w:bidi="fa-IR"/>
        </w:rPr>
      </w:pPr>
      <w:r w:rsidRPr="00C9040A">
        <w:rPr>
          <w:rtl/>
          <w:lang w:bidi="fa-IR"/>
        </w:rPr>
        <w:t>وَمُحَمَّدُ بْنُ يَحْيى ، عَنْ أَحْمَدَ بْنِ مُحَمَّدٍ ، عَنِ ابْ</w:t>
      </w:r>
      <w:r w:rsidR="008051D9">
        <w:rPr>
          <w:rtl/>
          <w:lang w:bidi="fa-IR"/>
        </w:rPr>
        <w:t>نِ مَحْبُوبٍ ، عَنْ أَبِي وَل</w:t>
      </w:r>
      <w:r w:rsidR="008051D9">
        <w:rPr>
          <w:rFonts w:hint="cs"/>
          <w:rtl/>
          <w:lang w:bidi="fa-IR"/>
        </w:rPr>
        <w:t>َّ</w:t>
      </w:r>
      <w:r w:rsidR="008051D9">
        <w:rPr>
          <w:rtl/>
          <w:lang w:bidi="fa-IR"/>
        </w:rPr>
        <w:t>ا</w:t>
      </w:r>
      <w:r w:rsidRPr="00C9040A">
        <w:rPr>
          <w:rtl/>
          <w:lang w:bidi="fa-IR"/>
        </w:rPr>
        <w:t xml:space="preserve">دٍ </w:t>
      </w:r>
      <w:r w:rsidR="006C577F" w:rsidRPr="006C577F">
        <w:rPr>
          <w:rStyle w:val="libFootnotenumChar"/>
          <w:rtl/>
        </w:rPr>
        <w:t>(1)</w:t>
      </w:r>
      <w:r w:rsidRPr="00853746">
        <w:rPr>
          <w:rFonts w:hint="cs"/>
          <w:rtl/>
        </w:rPr>
        <w:t xml:space="preserve"> </w:t>
      </w:r>
      <w:r w:rsidRPr="00C9040A">
        <w:rPr>
          <w:rtl/>
          <w:lang w:bidi="fa-IR"/>
        </w:rPr>
        <w:t>الْحَنَّاطِ وَ</w:t>
      </w:r>
      <w:r>
        <w:rPr>
          <w:rFonts w:hint="cs"/>
          <w:rtl/>
          <w:lang w:bidi="fa-IR"/>
        </w:rPr>
        <w:t xml:space="preserve"> </w:t>
      </w:r>
      <w:r w:rsidR="006C577F" w:rsidRPr="006C577F">
        <w:rPr>
          <w:rStyle w:val="libFootnotenumChar"/>
          <w:rtl/>
        </w:rPr>
        <w:t>(2)</w:t>
      </w:r>
      <w:r w:rsidRPr="00C9040A">
        <w:rPr>
          <w:rtl/>
          <w:lang w:bidi="fa-IR"/>
        </w:rPr>
        <w:t xml:space="preserve"> عَبْدِ اللهِ بْنِ سِنَانٍ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مِنْ صِحَّةِ يَقِينِ الْمَرْءِ الْمُسْلِمِ أَنْ لَايُرْضِيَ النَّاسَ بِسَخَطِ اللهِ ، وَلَا يَلُومَهُمْ عَلى مَا لَمْ يُؤْتِهِ اللهُ </w:t>
      </w:r>
      <w:r w:rsidR="006C577F" w:rsidRPr="006C577F">
        <w:rPr>
          <w:rStyle w:val="libFootnotenumChar"/>
          <w:rtl/>
        </w:rPr>
        <w:t>(3)</w:t>
      </w:r>
      <w:r w:rsidRPr="00C9040A">
        <w:rPr>
          <w:rtl/>
          <w:lang w:bidi="fa-IR"/>
        </w:rPr>
        <w:t xml:space="preserve"> ؛ فَإِنَّ الرِّزْقَ لَايَسُوقُهُ حِرْصُ حَرِيصٍ </w:t>
      </w:r>
      <w:r w:rsidR="006C577F" w:rsidRPr="006C577F">
        <w:rPr>
          <w:rStyle w:val="libFootnotenumChar"/>
          <w:rtl/>
        </w:rPr>
        <w:t>(4)</w:t>
      </w:r>
      <w:r w:rsidRPr="00C9040A">
        <w:rPr>
          <w:rtl/>
          <w:lang w:bidi="fa-IR"/>
        </w:rPr>
        <w:t xml:space="preserve"> ، وَلَا يَرُدُّهُ كَرَاهِيَةُ </w:t>
      </w:r>
      <w:r w:rsidR="006C577F" w:rsidRPr="006C577F">
        <w:rPr>
          <w:rStyle w:val="libFootnotenumChar"/>
          <w:rtl/>
        </w:rPr>
        <w:t>(5)</w:t>
      </w:r>
      <w:r w:rsidRPr="00C9040A">
        <w:rPr>
          <w:rtl/>
          <w:lang w:bidi="fa-IR"/>
        </w:rPr>
        <w:t xml:space="preserve"> كَارِهٍ ، وَلَوْ أَنَّ أَحَدَكُمْ فَرَّ مِنْ رِزْقِهِ كَمَا يَفِرُّ مِنَ الْمَوْتِ ، لَأَدْرَكَهُ رِزْقُهُ كَمَا يُدْرِكُهُ الْمَوْتُ »</w:t>
      </w:r>
      <w:r>
        <w:rPr>
          <w:rtl/>
          <w:lang w:bidi="fa-IR"/>
        </w:rPr>
        <w:t>.</w:t>
      </w:r>
    </w:p>
    <w:p w:rsidR="008A74EB" w:rsidRPr="00C9040A" w:rsidRDefault="008A74EB" w:rsidP="008A74EB">
      <w:pPr>
        <w:pStyle w:val="libNormal"/>
        <w:rPr>
          <w:rtl/>
          <w:lang w:bidi="fa-IR"/>
        </w:rPr>
      </w:pPr>
      <w:r w:rsidRPr="00C9040A">
        <w:rPr>
          <w:rtl/>
          <w:lang w:bidi="fa-IR"/>
        </w:rPr>
        <w:t>ثُمَّ قَالَ : « إِنَّ اللهَ بِعَدْلِهِ وَقِسْطِهِ جَعَلَ الرَّوْحَ وَالرَّاحَةَ فِي الْيَقِينِ وَالرِّضَا ، وَجَعَلَ الْهَمَّ وَالْحَزَنَ فِي الشَّكِّ وَالسَّخَطِ »</w:t>
      </w:r>
      <w:r>
        <w:rPr>
          <w:rtl/>
          <w:lang w:bidi="fa-IR"/>
        </w:rPr>
        <w:t>.</w:t>
      </w:r>
      <w:r w:rsidRPr="00C9040A">
        <w:rPr>
          <w:rtl/>
          <w:lang w:bidi="fa-IR"/>
        </w:rPr>
        <w:t xml:space="preserve"> </w:t>
      </w:r>
      <w:r w:rsidR="006C577F" w:rsidRPr="006C577F">
        <w:rPr>
          <w:rStyle w:val="libFootnotenumChar"/>
          <w:rtl/>
        </w:rPr>
        <w:t>(6)</w:t>
      </w:r>
    </w:p>
    <w:p w:rsidR="008A74EB" w:rsidRPr="00C9040A" w:rsidRDefault="008A74EB" w:rsidP="008A74EB">
      <w:pPr>
        <w:pStyle w:val="libLine"/>
        <w:rPr>
          <w:rtl/>
          <w:lang w:bidi="fa-IR"/>
        </w:rPr>
      </w:pPr>
      <w:r w:rsidRPr="00C9040A">
        <w:rPr>
          <w:rtl/>
          <w:lang w:bidi="fa-IR"/>
        </w:rPr>
        <w:t>__________________</w:t>
      </w:r>
    </w:p>
    <w:p w:rsidR="008A74EB" w:rsidRPr="00C9040A" w:rsidRDefault="008051D9" w:rsidP="004A4E41">
      <w:pPr>
        <w:pStyle w:val="libFootnote0"/>
        <w:rPr>
          <w:rtl/>
          <w:lang w:bidi="fa-IR"/>
        </w:rPr>
      </w:pPr>
      <w:r>
        <w:rPr>
          <w:rFonts w:hint="cs"/>
          <w:rtl/>
        </w:rPr>
        <w:t xml:space="preserve">= </w:t>
      </w:r>
      <w:r w:rsidR="008A74EB" w:rsidRPr="00C9040A">
        <w:rPr>
          <w:rtl/>
        </w:rPr>
        <w:t xml:space="preserve">عن الرضا </w:t>
      </w:r>
      <w:r w:rsidR="00117575" w:rsidRPr="00117575">
        <w:rPr>
          <w:rStyle w:val="libFootnoteAlaemChar"/>
          <w:rtl/>
        </w:rPr>
        <w:t>عليه‌السلام</w:t>
      </w:r>
      <w:r w:rsidR="008A74EB" w:rsidRPr="00C9040A">
        <w:rPr>
          <w:rtl/>
        </w:rPr>
        <w:t xml:space="preserve"> ، هكذا : « سألت الرضا </w:t>
      </w:r>
      <w:r w:rsidR="00117575" w:rsidRPr="00117575">
        <w:rPr>
          <w:rStyle w:val="libFootnoteAlaemChar"/>
          <w:rtl/>
        </w:rPr>
        <w:t>عليه‌السلام</w:t>
      </w:r>
      <w:r w:rsidR="008A74EB" w:rsidRPr="00C9040A">
        <w:rPr>
          <w:rtl/>
        </w:rPr>
        <w:t xml:space="preserve"> فقلت له : جعلت فداك ما حدّ التوكّل</w:t>
      </w:r>
      <w:r w:rsidR="008A74EB">
        <w:rPr>
          <w:rtl/>
        </w:rPr>
        <w:t>؟</w:t>
      </w:r>
      <w:r w:rsidR="008A74EB" w:rsidRPr="00C9040A">
        <w:rPr>
          <w:rtl/>
        </w:rPr>
        <w:t xml:space="preserve"> فقال لي : أن لا تخاف مع الله أحداً » مع زيادة في آخره. </w:t>
      </w:r>
      <w:r w:rsidR="008A74EB" w:rsidRPr="00993B55">
        <w:rPr>
          <w:rStyle w:val="libFootnoteBoldChar"/>
          <w:rtl/>
        </w:rPr>
        <w:t>فقه الرضا</w:t>
      </w:r>
      <w:r w:rsidR="008A74EB" w:rsidRPr="00C9040A">
        <w:rPr>
          <w:rtl/>
        </w:rPr>
        <w:t xml:space="preserve"> </w:t>
      </w:r>
      <w:r w:rsidR="00117575" w:rsidRPr="00117575">
        <w:rPr>
          <w:rStyle w:val="libFootnoteAlaemChar"/>
          <w:rtl/>
        </w:rPr>
        <w:t>عليه‌السلام</w:t>
      </w:r>
      <w:r w:rsidR="008A74EB" w:rsidRPr="00C9040A">
        <w:rPr>
          <w:rtl/>
        </w:rPr>
        <w:t xml:space="preserve"> ، ص 358 ؛ </w:t>
      </w:r>
      <w:r w:rsidR="008A74EB" w:rsidRPr="00993B55">
        <w:rPr>
          <w:rStyle w:val="libFootnoteBoldChar"/>
          <w:rtl/>
        </w:rPr>
        <w:t>تحف العقول</w:t>
      </w:r>
      <w:r w:rsidR="008A74EB" w:rsidRPr="00C9040A">
        <w:rPr>
          <w:rtl/>
        </w:rPr>
        <w:t xml:space="preserve"> ، ص 445 ، عن الرضا </w:t>
      </w:r>
      <w:r w:rsidR="00117575" w:rsidRPr="00117575">
        <w:rPr>
          <w:rStyle w:val="libFootnoteAlaemChar"/>
          <w:rtl/>
        </w:rPr>
        <w:t>عليه‌السلام</w:t>
      </w:r>
      <w:r w:rsidR="008A74EB" w:rsidRPr="00C9040A">
        <w:rPr>
          <w:rtl/>
        </w:rPr>
        <w:t xml:space="preserve"> ، وفيهما مع اختلاف</w:t>
      </w:r>
      <w:r>
        <w:rPr>
          <w:rFonts w:hint="cs"/>
          <w:rtl/>
        </w:rPr>
        <w:t>.</w:t>
      </w:r>
      <w:r w:rsidR="008A74EB" w:rsidRPr="00993B55">
        <w:rPr>
          <w:rStyle w:val="libFootnoteBoldChar"/>
          <w:rtl/>
        </w:rPr>
        <w:t>الوافي</w:t>
      </w:r>
      <w:r w:rsidR="008A74EB" w:rsidRPr="00C9040A">
        <w:rPr>
          <w:rtl/>
        </w:rPr>
        <w:t xml:space="preserve"> ، ج 4 ، ص 269 ، ح 1922 ؛ </w:t>
      </w:r>
      <w:r w:rsidR="008A74EB" w:rsidRPr="00993B55">
        <w:rPr>
          <w:rStyle w:val="libFootnoteBoldChar"/>
          <w:rtl/>
        </w:rPr>
        <w:t>الوسائل</w:t>
      </w:r>
      <w:r w:rsidR="008A74EB" w:rsidRPr="00C9040A">
        <w:rPr>
          <w:rtl/>
        </w:rPr>
        <w:t xml:space="preserve"> ، ج 15 ، ص 202 ، ح 20279 ؛ </w:t>
      </w:r>
      <w:r w:rsidR="008A74EB" w:rsidRPr="00993B55">
        <w:rPr>
          <w:rStyle w:val="libFootnoteBoldChar"/>
          <w:rtl/>
        </w:rPr>
        <w:t>البحار</w:t>
      </w:r>
      <w:r w:rsidR="008A74EB" w:rsidRPr="00C9040A">
        <w:rPr>
          <w:rtl/>
        </w:rPr>
        <w:t xml:space="preserve"> ، ج 70 ، ص 142 ، ح 6.</w:t>
      </w:r>
    </w:p>
    <w:p w:rsidR="008A74EB" w:rsidRPr="00C9040A" w:rsidRDefault="006C577F" w:rsidP="004A4E41">
      <w:pPr>
        <w:pStyle w:val="libFootnote0"/>
        <w:rPr>
          <w:rtl/>
          <w:lang w:bidi="fa-IR"/>
        </w:rPr>
      </w:pPr>
      <w:r>
        <w:rPr>
          <w:rtl/>
        </w:rPr>
        <w:t>(1).</w:t>
      </w:r>
      <w:r w:rsidR="008051D9">
        <w:rPr>
          <w:rtl/>
        </w:rPr>
        <w:t xml:space="preserve"> في « ف » : « أبي الول</w:t>
      </w:r>
      <w:r w:rsidR="008051D9">
        <w:rPr>
          <w:rFonts w:hint="cs"/>
          <w:rtl/>
        </w:rPr>
        <w:t>ّ</w:t>
      </w:r>
      <w:r w:rsidR="008051D9">
        <w:rPr>
          <w:rtl/>
        </w:rPr>
        <w:t>ا</w:t>
      </w:r>
      <w:r w:rsidR="008A74EB" w:rsidRPr="00C9040A">
        <w:rPr>
          <w:rtl/>
        </w:rPr>
        <w:t>د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ف » : « عن »</w:t>
      </w:r>
      <w:r w:rsidR="008A74EB">
        <w:rPr>
          <w:rtl/>
        </w:rPr>
        <w:t>.</w:t>
      </w:r>
      <w:r w:rsidR="008051D9">
        <w:rPr>
          <w:rtl/>
        </w:rPr>
        <w:t xml:space="preserve"> وهو سهو ؛ فإنّ أبا ول</w:t>
      </w:r>
      <w:r w:rsidR="008051D9">
        <w:rPr>
          <w:rFonts w:hint="cs"/>
          <w:rtl/>
        </w:rPr>
        <w:t>ّ</w:t>
      </w:r>
      <w:r w:rsidR="008051D9">
        <w:rPr>
          <w:rtl/>
        </w:rPr>
        <w:t>ا</w:t>
      </w:r>
      <w:r w:rsidR="008A74EB" w:rsidRPr="00C9040A">
        <w:rPr>
          <w:rtl/>
        </w:rPr>
        <w:t>د الحنّاط وعبد الله بن سنان كليهما من مشايخ الحسن بن محبوب ، وروى عنهما في كثير من</w:t>
      </w:r>
      <w:r w:rsidR="001A2154">
        <w:rPr>
          <w:rtl/>
        </w:rPr>
        <w:t xml:space="preserve"> الأسناد ، كما أنّ كتاب أبي ول</w:t>
      </w:r>
      <w:r w:rsidR="001A2154">
        <w:rPr>
          <w:rFonts w:hint="cs"/>
          <w:rtl/>
        </w:rPr>
        <w:t>ّ</w:t>
      </w:r>
      <w:r w:rsidR="001A2154">
        <w:rPr>
          <w:rtl/>
        </w:rPr>
        <w:t>ا</w:t>
      </w:r>
      <w:r w:rsidR="008A74EB" w:rsidRPr="00C9040A">
        <w:rPr>
          <w:rtl/>
        </w:rPr>
        <w:t xml:space="preserve">د رواه الحسن بن محبوب عنه. راجع : </w:t>
      </w:r>
      <w:r w:rsidR="008A74EB" w:rsidRPr="00993B55">
        <w:rPr>
          <w:rStyle w:val="libFootnoteBoldChar"/>
          <w:rtl/>
        </w:rPr>
        <w:t>معجم رجال الحديث</w:t>
      </w:r>
      <w:r w:rsidR="008A74EB" w:rsidRPr="00C9040A">
        <w:rPr>
          <w:rtl/>
        </w:rPr>
        <w:t xml:space="preserve"> ، ج 5 ، ص 337</w:t>
      </w:r>
      <w:r w:rsidR="008A74EB">
        <w:rPr>
          <w:rtl/>
        </w:rPr>
        <w:t xml:space="preserve"> </w:t>
      </w:r>
      <w:r w:rsidR="0084262C">
        <w:rPr>
          <w:rtl/>
        </w:rPr>
        <w:t>-</w:t>
      </w:r>
      <w:r w:rsidR="008A74EB">
        <w:rPr>
          <w:rtl/>
        </w:rPr>
        <w:t xml:space="preserve"> </w:t>
      </w:r>
      <w:r w:rsidR="008A74EB" w:rsidRPr="00C9040A">
        <w:rPr>
          <w:rtl/>
        </w:rPr>
        <w:t>339 ، وص 355</w:t>
      </w:r>
      <w:r w:rsidR="008A74EB">
        <w:rPr>
          <w:rtl/>
        </w:rPr>
        <w:t xml:space="preserve"> </w:t>
      </w:r>
      <w:r w:rsidR="0084262C">
        <w:rPr>
          <w:rtl/>
        </w:rPr>
        <w:t>-</w:t>
      </w:r>
      <w:r w:rsidR="008A74EB">
        <w:rPr>
          <w:rtl/>
        </w:rPr>
        <w:t xml:space="preserve"> </w:t>
      </w:r>
      <w:r w:rsidR="008A74EB" w:rsidRPr="00C9040A">
        <w:rPr>
          <w:rtl/>
        </w:rPr>
        <w:t>356 ؛ وج 23 ، ص 242</w:t>
      </w:r>
      <w:r w:rsidR="008A74EB">
        <w:rPr>
          <w:rtl/>
        </w:rPr>
        <w:t xml:space="preserve"> </w:t>
      </w:r>
      <w:r w:rsidR="0084262C">
        <w:rPr>
          <w:rtl/>
        </w:rPr>
        <w:t>-</w:t>
      </w:r>
      <w:r w:rsidR="008A74EB">
        <w:rPr>
          <w:rtl/>
        </w:rPr>
        <w:t xml:space="preserve"> </w:t>
      </w:r>
      <w:r w:rsidR="008A74EB" w:rsidRPr="00C9040A">
        <w:rPr>
          <w:rtl/>
        </w:rPr>
        <w:t>244 ، وص 264</w:t>
      </w:r>
      <w:r w:rsidR="008A74EB">
        <w:rPr>
          <w:rtl/>
        </w:rPr>
        <w:t xml:space="preserve"> </w:t>
      </w:r>
      <w:r w:rsidR="0084262C">
        <w:rPr>
          <w:rtl/>
        </w:rPr>
        <w:t>-</w:t>
      </w:r>
      <w:r w:rsidR="008A74EB">
        <w:rPr>
          <w:rtl/>
        </w:rPr>
        <w:t xml:space="preserve"> </w:t>
      </w:r>
      <w:r w:rsidR="008A74EB" w:rsidRPr="00C9040A">
        <w:rPr>
          <w:rtl/>
        </w:rPr>
        <w:t xml:space="preserve">266 ؛ </w:t>
      </w:r>
      <w:r w:rsidR="008A74EB" w:rsidRPr="00993B55">
        <w:rPr>
          <w:rStyle w:val="libFootnoteBoldChar"/>
          <w:rtl/>
        </w:rPr>
        <w:t>رجال النجاشي</w:t>
      </w:r>
      <w:r w:rsidR="008A74EB" w:rsidRPr="00C9040A">
        <w:rPr>
          <w:rtl/>
        </w:rPr>
        <w:t xml:space="preserve"> ، ص 135 ، الرقم 347 ؛ و</w:t>
      </w:r>
      <w:r w:rsidR="008A74EB" w:rsidRPr="0034021D">
        <w:rPr>
          <w:rStyle w:val="libFootnoteBoldChar"/>
          <w:rtl/>
        </w:rPr>
        <w:t>الفهرست للطوسي</w:t>
      </w:r>
      <w:r w:rsidR="008A74EB" w:rsidRPr="00C9040A">
        <w:rPr>
          <w:rtl/>
        </w:rPr>
        <w:t xml:space="preserve"> ، ص 159 ، الرقم 245.</w:t>
      </w:r>
    </w:p>
    <w:p w:rsidR="008A74EB" w:rsidRPr="004A4E41" w:rsidRDefault="006C577F" w:rsidP="004A4E41">
      <w:pPr>
        <w:pStyle w:val="libFootnote0"/>
        <w:rPr>
          <w:rStyle w:val="libFootnote0Char"/>
          <w:rtl/>
        </w:rPr>
      </w:pPr>
      <w:r>
        <w:rPr>
          <w:rtl/>
        </w:rPr>
        <w:t>(3).</w:t>
      </w:r>
      <w:r w:rsidR="008A74EB" w:rsidRPr="00C9040A">
        <w:rPr>
          <w:rtl/>
        </w:rPr>
        <w:t xml:space="preserve"> في </w:t>
      </w:r>
      <w:r w:rsidR="008A74EB" w:rsidRPr="00993B55">
        <w:rPr>
          <w:rStyle w:val="libFootnoteBoldChar"/>
          <w:rtl/>
        </w:rPr>
        <w:t>الوافي</w:t>
      </w:r>
      <w:r w:rsidR="008A74EB" w:rsidRPr="00C9040A">
        <w:rPr>
          <w:rtl/>
        </w:rPr>
        <w:t xml:space="preserve"> : « لعلّ المراد بقوله : « ولا يلومهم على ما لم يؤته الله » أن لا يشكوهم على ترك صلتهم إيّاه بالمال‌ونحوه</w:t>
      </w:r>
      <w:r w:rsidR="008A74EB">
        <w:rPr>
          <w:rtl/>
        </w:rPr>
        <w:t xml:space="preserve"> ....</w:t>
      </w:r>
      <w:r w:rsidR="008A74EB" w:rsidRPr="00C9040A">
        <w:rPr>
          <w:rtl/>
        </w:rPr>
        <w:t xml:space="preserve"> ويحتمل أن يكون المراد أن لايلومهم على ما لم يؤته الله إيّاهم »</w:t>
      </w:r>
      <w:r w:rsidR="008A74EB">
        <w:rPr>
          <w:rtl/>
        </w:rPr>
        <w:t>.</w:t>
      </w:r>
    </w:p>
    <w:tbl>
      <w:tblPr>
        <w:tblStyle w:val="TableGrid"/>
        <w:bidiVisual/>
        <w:tblW w:w="0" w:type="auto"/>
        <w:tblLook w:val="04A0" w:firstRow="1" w:lastRow="0" w:firstColumn="1" w:lastColumn="0" w:noHBand="0" w:noVBand="1"/>
      </w:tblPr>
      <w:tblGrid>
        <w:gridCol w:w="4006"/>
        <w:gridCol w:w="4006"/>
      </w:tblGrid>
      <w:tr w:rsidR="001A2154" w:rsidTr="001A2154">
        <w:tc>
          <w:tcPr>
            <w:tcW w:w="4006" w:type="dxa"/>
          </w:tcPr>
          <w:p w:rsidR="001A2154" w:rsidRDefault="001A2154" w:rsidP="004A4E41">
            <w:pPr>
              <w:pStyle w:val="libFootnote0"/>
              <w:rPr>
                <w:rtl/>
              </w:rPr>
            </w:pPr>
            <w:r>
              <w:rPr>
                <w:rtl/>
              </w:rPr>
              <w:t>(4).</w:t>
            </w:r>
            <w:r w:rsidRPr="00C9040A">
              <w:rPr>
                <w:rtl/>
              </w:rPr>
              <w:t xml:space="preserve"> في « ف » : « الحريص »</w:t>
            </w:r>
            <w:r>
              <w:rPr>
                <w:rtl/>
              </w:rPr>
              <w:t>.</w:t>
            </w:r>
          </w:p>
        </w:tc>
        <w:tc>
          <w:tcPr>
            <w:tcW w:w="4006" w:type="dxa"/>
          </w:tcPr>
          <w:p w:rsidR="001A2154" w:rsidRDefault="001A2154" w:rsidP="004A4E41">
            <w:pPr>
              <w:pStyle w:val="libFootnote0"/>
              <w:rPr>
                <w:rtl/>
              </w:rPr>
            </w:pPr>
            <w:r>
              <w:rPr>
                <w:rtl/>
              </w:rPr>
              <w:t>(5).</w:t>
            </w:r>
            <w:r w:rsidRPr="00C9040A">
              <w:rPr>
                <w:rtl/>
              </w:rPr>
              <w:t xml:space="preserve"> في مرآة العقول : « كراهة »</w:t>
            </w:r>
            <w:r>
              <w:rPr>
                <w:rtl/>
              </w:rPr>
              <w:t>.</w:t>
            </w:r>
          </w:p>
        </w:tc>
      </w:tr>
    </w:tbl>
    <w:p w:rsidR="008A74EB" w:rsidRPr="00C9040A" w:rsidRDefault="006C577F" w:rsidP="004A4E41">
      <w:pPr>
        <w:pStyle w:val="libFootnote0"/>
        <w:rPr>
          <w:rtl/>
          <w:lang w:bidi="fa-IR"/>
        </w:rPr>
      </w:pPr>
      <w:r>
        <w:rPr>
          <w:rtl/>
        </w:rPr>
        <w:t>(6).</w:t>
      </w:r>
      <w:r w:rsidR="008A74EB">
        <w:rPr>
          <w:rtl/>
        </w:rPr>
        <w:t xml:space="preserve"> </w:t>
      </w:r>
      <w:r w:rsidR="008A74EB" w:rsidRPr="0034021D">
        <w:rPr>
          <w:rStyle w:val="libFootnoteBoldChar"/>
          <w:rtl/>
        </w:rPr>
        <w:t>الأمالي للمفيد</w:t>
      </w:r>
      <w:r w:rsidR="008A74EB" w:rsidRPr="00C9040A">
        <w:rPr>
          <w:rtl/>
        </w:rPr>
        <w:t xml:space="preserve"> ، ص 284 ، المجلس 34 ، ح 2 ؛ </w:t>
      </w:r>
      <w:r w:rsidR="008A74EB" w:rsidRPr="00AC2E2F">
        <w:rPr>
          <w:rStyle w:val="libFootnoteBoldChar"/>
          <w:rtl/>
        </w:rPr>
        <w:t>والأمالي للطوسي</w:t>
      </w:r>
      <w:r w:rsidR="008A74EB" w:rsidRPr="00C9040A">
        <w:rPr>
          <w:rtl/>
        </w:rPr>
        <w:t xml:space="preserve"> ، ص 61 ، المجلس 2 ، ح 60 ، بسند آخر ، إلى قوله : « كما يدركه الموت » ؛ وفي </w:t>
      </w:r>
      <w:r w:rsidR="008A74EB" w:rsidRPr="00993B55">
        <w:rPr>
          <w:rStyle w:val="libFootnoteBoldChar"/>
          <w:rtl/>
        </w:rPr>
        <w:t>المحاسن</w:t>
      </w:r>
      <w:r w:rsidR="008A74EB" w:rsidRPr="00C9040A">
        <w:rPr>
          <w:rtl/>
        </w:rPr>
        <w:t xml:space="preserve"> ، ص 16 ، كتاب القرائن ، ح 47 ؛ و</w:t>
      </w:r>
      <w:r w:rsidR="008A74EB" w:rsidRPr="00993B55">
        <w:rPr>
          <w:rStyle w:val="libFootnoteBoldChar"/>
          <w:rtl/>
        </w:rPr>
        <w:t>التوحيد</w:t>
      </w:r>
      <w:r w:rsidR="008A74EB" w:rsidRPr="00C9040A">
        <w:rPr>
          <w:rtl/>
        </w:rPr>
        <w:t xml:space="preserve"> ، ص 375 ، ح 20 ، بسند آخر عن أبي عبد الله ، عن آبائه ، عن النبيّ </w:t>
      </w:r>
      <w:r w:rsidR="00117575" w:rsidRPr="00117575">
        <w:rPr>
          <w:rStyle w:val="libFootnoteAlaemChar"/>
          <w:rtl/>
        </w:rPr>
        <w:t>عليهم‌السلام</w:t>
      </w:r>
      <w:r w:rsidR="008A74EB" w:rsidRPr="00C9040A">
        <w:rPr>
          <w:rtl/>
        </w:rPr>
        <w:t xml:space="preserve"> ، مع زيادة في آخره. </w:t>
      </w:r>
      <w:r w:rsidR="008A74EB" w:rsidRPr="00993B55">
        <w:rPr>
          <w:rStyle w:val="libFootnoteBoldChar"/>
          <w:rtl/>
        </w:rPr>
        <w:t>تحف العقول</w:t>
      </w:r>
      <w:r w:rsidR="008A74EB" w:rsidRPr="00C9040A">
        <w:rPr>
          <w:rtl/>
        </w:rPr>
        <w:t xml:space="preserve"> ، ص 377 ، إلى قوله : « كما يدركه الموت » ؛ </w:t>
      </w:r>
      <w:r w:rsidR="008A74EB" w:rsidRPr="00993B55">
        <w:rPr>
          <w:rStyle w:val="libFootnoteBoldChar"/>
          <w:rtl/>
        </w:rPr>
        <w:t>وفيه</w:t>
      </w:r>
      <w:r w:rsidR="008A74EB" w:rsidRPr="00C9040A">
        <w:rPr>
          <w:rtl/>
        </w:rPr>
        <w:t xml:space="preserve"> ، ص 6 ، عن النبيّ </w:t>
      </w:r>
      <w:r w:rsidR="004A4E41" w:rsidRPr="00B866D3">
        <w:rPr>
          <w:rStyle w:val="libFootnoteAlaemChar"/>
          <w:rtl/>
        </w:rPr>
        <w:t>صلى‌الله‌عليه‌وآله</w:t>
      </w:r>
      <w:r w:rsidR="008A74EB" w:rsidRPr="00C9040A">
        <w:rPr>
          <w:rtl/>
        </w:rPr>
        <w:t xml:space="preserve"> في وصيّته لأمير المؤمنين </w:t>
      </w:r>
      <w:r w:rsidR="00117575" w:rsidRPr="00117575">
        <w:rPr>
          <w:rStyle w:val="libFootnoteAlaemChar"/>
          <w:rtl/>
        </w:rPr>
        <w:t xml:space="preserve">عليه‌السلام </w:t>
      </w:r>
      <w:r w:rsidR="008A74EB" w:rsidRPr="00C9040A">
        <w:rPr>
          <w:rtl/>
        </w:rPr>
        <w:t>، وفي كلّ المصادر مع اختلاف يسير</w:t>
      </w:r>
      <w:r w:rsidR="004B0DF1">
        <w:rPr>
          <w:rFonts w:hint="cs"/>
          <w:rtl/>
        </w:rPr>
        <w:t>.</w:t>
      </w:r>
      <w:r w:rsidR="008A74EB" w:rsidRPr="00993B55">
        <w:rPr>
          <w:rStyle w:val="libFootnoteBoldChar"/>
          <w:rtl/>
        </w:rPr>
        <w:t>الوافي</w:t>
      </w:r>
      <w:r w:rsidR="008A74EB" w:rsidRPr="00C9040A">
        <w:rPr>
          <w:rtl/>
        </w:rPr>
        <w:t xml:space="preserve"> ، ج 4 ، ص 269 ، ح 1923 ؛ </w:t>
      </w:r>
      <w:r w:rsidR="008A74EB" w:rsidRPr="00993B55">
        <w:rPr>
          <w:rStyle w:val="libFootnoteBoldChar"/>
          <w:rtl/>
        </w:rPr>
        <w:t>الوسائل</w:t>
      </w:r>
      <w:r w:rsidR="008A74EB" w:rsidRPr="00C9040A">
        <w:rPr>
          <w:rtl/>
        </w:rPr>
        <w:t xml:space="preserve"> ، ج 15 ، ص 202 ، ح 20280 ، ح 5 ؛ </w:t>
      </w:r>
      <w:r w:rsidR="008A74EB" w:rsidRPr="00993B55">
        <w:rPr>
          <w:rStyle w:val="libFootnoteBoldChar"/>
          <w:rtl/>
        </w:rPr>
        <w:t>البحار</w:t>
      </w:r>
      <w:r w:rsidR="008A74EB" w:rsidRPr="00C9040A">
        <w:rPr>
          <w:rtl/>
        </w:rPr>
        <w:t xml:space="preserve"> ، ج 70 ، ص 143 ، ح 7.</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1C2425">
        <w:rPr>
          <w:rtl/>
        </w:rPr>
        <w:lastRenderedPageBreak/>
        <w:t>1569</w:t>
      </w:r>
      <w:r w:rsidRPr="00261CB0">
        <w:rPr>
          <w:rStyle w:val="libBold2Char"/>
          <w:rtl/>
        </w:rPr>
        <w:t xml:space="preserve"> / 3.</w:t>
      </w:r>
      <w:r w:rsidRPr="00C9040A">
        <w:rPr>
          <w:rtl/>
          <w:lang w:bidi="fa-IR"/>
        </w:rPr>
        <w:t xml:space="preserve"> ابْنُ مَحْبُوبٍ </w:t>
      </w:r>
      <w:r w:rsidR="006C577F" w:rsidRPr="006C577F">
        <w:rPr>
          <w:rStyle w:val="libFootnotenumChar"/>
          <w:rtl/>
        </w:rPr>
        <w:t>(1)</w:t>
      </w:r>
      <w:r w:rsidRPr="00C9040A">
        <w:rPr>
          <w:rtl/>
          <w:lang w:bidi="fa-IR"/>
        </w:rPr>
        <w:t>، عَنْ هِشَامِ بْنِ سَالِمٍ ، قَالَ :</w:t>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w:t>
      </w:r>
      <w:r w:rsidR="006C577F" w:rsidRPr="006C577F">
        <w:rPr>
          <w:rStyle w:val="libFootnotenumChar"/>
          <w:rtl/>
        </w:rPr>
        <w:t>(2)</w:t>
      </w:r>
      <w:r w:rsidRPr="00C9040A">
        <w:rPr>
          <w:rtl/>
          <w:lang w:bidi="fa-IR"/>
        </w:rPr>
        <w:t xml:space="preserve"> : « إِنَّ الْعَمَلَ الدَّائِمَ الْقَلِيلَ </w:t>
      </w:r>
      <w:r w:rsidR="006C577F" w:rsidRPr="006C577F">
        <w:rPr>
          <w:rStyle w:val="libFootnotenumChar"/>
          <w:rtl/>
        </w:rPr>
        <w:t>(3)</w:t>
      </w:r>
      <w:r w:rsidRPr="00C9040A">
        <w:rPr>
          <w:rtl/>
          <w:lang w:bidi="fa-IR"/>
        </w:rPr>
        <w:t xml:space="preserve"> عَلَى الْيَقِينِ </w:t>
      </w:r>
      <w:r w:rsidR="006C577F" w:rsidRPr="006C577F">
        <w:rPr>
          <w:rStyle w:val="libFootnotenumChar"/>
          <w:rtl/>
        </w:rPr>
        <w:t>(4)</w:t>
      </w:r>
      <w:r w:rsidRPr="00C9040A">
        <w:rPr>
          <w:rtl/>
          <w:lang w:bidi="fa-IR"/>
        </w:rPr>
        <w:t xml:space="preserve"> أَفْضَلُ عِنْدَ اللهِ مِنَ الْعَمَلِ الْكَثِيرِ عَلى غَيْرِ يَقِينٍ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1C2425">
        <w:rPr>
          <w:rtl/>
        </w:rPr>
        <w:t>1570</w:t>
      </w:r>
      <w:r w:rsidRPr="00261CB0">
        <w:rPr>
          <w:rStyle w:val="libBold2Char"/>
          <w:rtl/>
        </w:rPr>
        <w:t xml:space="preserve"> / 4.</w:t>
      </w:r>
      <w:r w:rsidRPr="00C9040A">
        <w:rPr>
          <w:rtl/>
          <w:lang w:bidi="fa-IR"/>
        </w:rPr>
        <w:t xml:space="preserve"> الْحُسَيْنُ بْنُ مُحَمَّدٍ ، عَنْ مُعَلَّى بْنِ مُحَمَّدٍ ، عَنِ الْوَشَّاءِ ، عَنْ أَبَانٍ ، عَنْ زُرَارَةَ :</w:t>
      </w:r>
    </w:p>
    <w:p w:rsidR="008A74EB" w:rsidRPr="00C9040A" w:rsidRDefault="008A74EB" w:rsidP="007A11E8">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أَمِيرُ الْمُؤْمِنِينَ صَلَوَاتُ اللهِ عَلَيْهِ عَلَى الْمِنْبَرِ : لَا يَجِدُ أَحَدُكُمْ </w:t>
      </w:r>
      <w:r w:rsidR="006C577F" w:rsidRPr="006C577F">
        <w:rPr>
          <w:rStyle w:val="libFootnotenumChar"/>
          <w:rtl/>
        </w:rPr>
        <w:t>(6)</w:t>
      </w:r>
      <w:r w:rsidR="007A11E8" w:rsidRPr="00C9040A">
        <w:rPr>
          <w:rtl/>
          <w:lang w:bidi="fa-IR"/>
        </w:rPr>
        <w:t xml:space="preserve"> </w:t>
      </w:r>
      <w:r w:rsidRPr="00C9040A">
        <w:rPr>
          <w:rtl/>
          <w:lang w:bidi="fa-IR"/>
        </w:rPr>
        <w:t xml:space="preserve">طَعْمَ الْإِيمَانِ </w:t>
      </w:r>
      <w:r w:rsidR="006C577F" w:rsidRPr="006C577F">
        <w:rPr>
          <w:rStyle w:val="libFootnotenumChar"/>
          <w:rtl/>
        </w:rPr>
        <w:t>(7)</w:t>
      </w:r>
      <w:r w:rsidRPr="00C9040A">
        <w:rPr>
          <w:rtl/>
          <w:lang w:bidi="fa-IR"/>
        </w:rPr>
        <w:t xml:space="preserve"> حَتّى يَعْلَمَ أَنَّ مَا أَصَابَهُ لَمْ يَكُنْ لِيُخْطِئَهُ ، وَمَا أَخْطَأَهُ لَمْ يَكُنْ لِيُصِيبَهُ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Normal"/>
        <w:rPr>
          <w:rtl/>
          <w:lang w:bidi="fa-IR"/>
        </w:rPr>
      </w:pPr>
      <w:r w:rsidRPr="001C2425">
        <w:rPr>
          <w:rtl/>
        </w:rPr>
        <w:t>1571</w:t>
      </w:r>
      <w:r w:rsidRPr="00261CB0">
        <w:rPr>
          <w:rStyle w:val="libBold2Char"/>
          <w:rtl/>
        </w:rPr>
        <w:t xml:space="preserve"> / 5.</w:t>
      </w:r>
      <w:r w:rsidRPr="00C9040A">
        <w:rPr>
          <w:rtl/>
          <w:lang w:bidi="fa-IR"/>
        </w:rPr>
        <w:t xml:space="preserve"> عَلِيُّ بْنُ إِبْرَاهِيمَ ، عَنْ أَبِيهِ ، عَنِ ابْنِ أَبِي عُمَيْرٍ ، عَنْ زَيْدٍ الشَّحَّامِ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قَالَ </w:t>
      </w:r>
      <w:r w:rsidR="006C577F" w:rsidRPr="006C577F">
        <w:rPr>
          <w:rStyle w:val="libFootnotenumChar"/>
          <w:rtl/>
        </w:rPr>
        <w:t>(9)</w:t>
      </w:r>
      <w:r w:rsidRPr="00C9040A">
        <w:rPr>
          <w:rtl/>
          <w:lang w:bidi="fa-IR"/>
        </w:rPr>
        <w:t xml:space="preserve"> : « أَنَّ أَمِيرَ الْمُؤْمِنِينَ صَلَوَاتُ اللهِ عَلَيْهِ جَلَسَ إِلى حَائِطٍ مَائِلٍ </w:t>
      </w:r>
      <w:r w:rsidR="006C577F" w:rsidRPr="006C577F">
        <w:rPr>
          <w:rStyle w:val="libFootnotenumChar"/>
          <w:rtl/>
        </w:rPr>
        <w:t>(10)</w:t>
      </w:r>
      <w:r w:rsidRPr="00C9040A">
        <w:rPr>
          <w:rtl/>
          <w:lang w:bidi="fa-IR"/>
        </w:rPr>
        <w:t xml:space="preserve"> يَقْضِي بَيْنَ النَّاسِ ، فَقَالَ بَعْضُهُمْ : لَاتَقْعُدْ تَحْتَ هذَا الْحَائِطِ ، فَإِنَّهُ مُعْوِرٌ </w:t>
      </w:r>
      <w:r w:rsidR="006C577F" w:rsidRPr="006C577F">
        <w:rPr>
          <w:rStyle w:val="libFootnotenumChar"/>
          <w:rtl/>
        </w:rPr>
        <w:t>(11)</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السند معلّق على السند الثاني من الخبر المتقدّم. ويروي عن ابن محبوب ، محمّد بن يحيى عن أحمد بن محمّد.</w:t>
      </w:r>
    </w:p>
    <w:p w:rsidR="008A74EB" w:rsidRPr="004A4E41" w:rsidRDefault="006C577F" w:rsidP="004A4E41">
      <w:pPr>
        <w:pStyle w:val="libFootnote0"/>
        <w:rPr>
          <w:rStyle w:val="libFootnote0Char"/>
          <w:rtl/>
        </w:rPr>
      </w:pPr>
      <w:r>
        <w:rPr>
          <w:rtl/>
        </w:rPr>
        <w:t>(2).</w:t>
      </w:r>
      <w:r w:rsidR="008A74EB">
        <w:rPr>
          <w:rtl/>
        </w:rPr>
        <w:t xml:space="preserve"> </w:t>
      </w:r>
      <w:r w:rsidR="008A74EB" w:rsidRPr="00C9040A">
        <w:rPr>
          <w:rtl/>
        </w:rPr>
        <w:t>في الكافي ، ح 15153 والعلل والاختصاص : + « لحمران بن أعين : يا حمران ، واعلم »</w:t>
      </w:r>
      <w:r w:rsidR="008A74EB">
        <w:rPr>
          <w:rtl/>
        </w:rPr>
        <w:t>.</w:t>
      </w:r>
    </w:p>
    <w:tbl>
      <w:tblPr>
        <w:tblStyle w:val="TableGrid"/>
        <w:bidiVisual/>
        <w:tblW w:w="0" w:type="auto"/>
        <w:tblLook w:val="04A0" w:firstRow="1" w:lastRow="0" w:firstColumn="1" w:lastColumn="0" w:noHBand="0" w:noVBand="1"/>
      </w:tblPr>
      <w:tblGrid>
        <w:gridCol w:w="4006"/>
        <w:gridCol w:w="4006"/>
      </w:tblGrid>
      <w:tr w:rsidR="0043708F" w:rsidTr="0043708F">
        <w:tc>
          <w:tcPr>
            <w:tcW w:w="4006" w:type="dxa"/>
          </w:tcPr>
          <w:p w:rsidR="0043708F" w:rsidRDefault="0043708F" w:rsidP="004A4E41">
            <w:pPr>
              <w:pStyle w:val="libFootnote0"/>
              <w:rPr>
                <w:rtl/>
              </w:rPr>
            </w:pPr>
            <w:r>
              <w:rPr>
                <w:rtl/>
              </w:rPr>
              <w:t>(3).</w:t>
            </w:r>
            <w:r w:rsidRPr="00C9040A">
              <w:rPr>
                <w:rtl/>
              </w:rPr>
              <w:t xml:space="preserve"> في الوسائل : « القليل الدائم »</w:t>
            </w:r>
            <w:r>
              <w:rPr>
                <w:rtl/>
              </w:rPr>
              <w:t>.</w:t>
            </w:r>
          </w:p>
        </w:tc>
        <w:tc>
          <w:tcPr>
            <w:tcW w:w="4006" w:type="dxa"/>
          </w:tcPr>
          <w:p w:rsidR="0043708F" w:rsidRDefault="0043708F" w:rsidP="004A4E41">
            <w:pPr>
              <w:pStyle w:val="libFootnote0"/>
              <w:rPr>
                <w:rtl/>
              </w:rPr>
            </w:pPr>
            <w:r>
              <w:rPr>
                <w:rtl/>
              </w:rPr>
              <w:t>(4).</w:t>
            </w:r>
            <w:r w:rsidRPr="00C9040A">
              <w:rPr>
                <w:rtl/>
              </w:rPr>
              <w:t xml:space="preserve"> في فقه الرضا : + « والبصيرة »</w:t>
            </w:r>
            <w:r>
              <w:rPr>
                <w:rtl/>
              </w:rPr>
              <w:t>.</w:t>
            </w:r>
          </w:p>
        </w:tc>
      </w:tr>
    </w:tbl>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الكافي</w:t>
      </w:r>
      <w:r w:rsidR="008A74EB" w:rsidRPr="00C9040A">
        <w:rPr>
          <w:rtl/>
        </w:rPr>
        <w:t xml:space="preserve"> ، كتاب الروضة ، ح 15153 ؛ و</w:t>
      </w:r>
      <w:r w:rsidR="008A74EB" w:rsidRPr="00993B55">
        <w:rPr>
          <w:rStyle w:val="libFootnoteBoldChar"/>
          <w:rtl/>
        </w:rPr>
        <w:t>علل الشرائع</w:t>
      </w:r>
      <w:r w:rsidR="008A74EB" w:rsidRPr="00C9040A">
        <w:rPr>
          <w:rtl/>
        </w:rPr>
        <w:t xml:space="preserve"> ، ص 559 ، ح 1 ، بسندهما عن ابن محبوب. </w:t>
      </w:r>
      <w:r w:rsidR="008A74EB" w:rsidRPr="00993B55">
        <w:rPr>
          <w:rStyle w:val="libFootnoteBoldChar"/>
          <w:rtl/>
        </w:rPr>
        <w:t>الاختصاص</w:t>
      </w:r>
      <w:r w:rsidR="008A74EB" w:rsidRPr="00C9040A">
        <w:rPr>
          <w:rtl/>
        </w:rPr>
        <w:t xml:space="preserve"> ، ص 227 ، مرسلاً عن هشام بن سالم ؛ </w:t>
      </w:r>
      <w:r w:rsidR="008A74EB" w:rsidRPr="00993B55">
        <w:rPr>
          <w:rStyle w:val="libFootnoteBoldChar"/>
          <w:rtl/>
        </w:rPr>
        <w:t>فقه الرضا</w:t>
      </w:r>
      <w:r w:rsidR="008A74EB" w:rsidRPr="00C9040A">
        <w:rPr>
          <w:rtl/>
        </w:rPr>
        <w:t xml:space="preserve"> </w:t>
      </w:r>
      <w:r w:rsidR="00117575" w:rsidRPr="00117575">
        <w:rPr>
          <w:rStyle w:val="libFootnoteAlaemChar"/>
          <w:rtl/>
        </w:rPr>
        <w:t>عليه‌السلام</w:t>
      </w:r>
      <w:r w:rsidR="008A74EB" w:rsidRPr="00C9040A">
        <w:rPr>
          <w:rtl/>
        </w:rPr>
        <w:t xml:space="preserve"> ، ص 356 ؛ </w:t>
      </w:r>
      <w:r w:rsidR="008A74EB" w:rsidRPr="00993B55">
        <w:rPr>
          <w:rStyle w:val="libFootnoteBoldChar"/>
          <w:rtl/>
        </w:rPr>
        <w:t>تحف العقول</w:t>
      </w:r>
      <w:r w:rsidR="008A74EB" w:rsidRPr="00C9040A">
        <w:rPr>
          <w:rtl/>
        </w:rPr>
        <w:t xml:space="preserve"> ، ص 360 ، وفي كلّها مع زيادة في أوّله وآخره</w:t>
      </w:r>
      <w:r w:rsidR="007F6601">
        <w:rPr>
          <w:rFonts w:hint="cs"/>
          <w:rtl/>
        </w:rPr>
        <w:t>.</w:t>
      </w:r>
      <w:r w:rsidR="008A74EB" w:rsidRPr="00993B55">
        <w:rPr>
          <w:rStyle w:val="libFootnoteBoldChar"/>
          <w:rtl/>
        </w:rPr>
        <w:t>الوافي</w:t>
      </w:r>
      <w:r w:rsidR="008A74EB" w:rsidRPr="00C9040A">
        <w:rPr>
          <w:rtl/>
        </w:rPr>
        <w:t xml:space="preserve"> ، ج 4 ، ص 270 ، ح 1924 ؛ </w:t>
      </w:r>
      <w:r w:rsidR="008A74EB" w:rsidRPr="00993B55">
        <w:rPr>
          <w:rStyle w:val="libFootnoteBoldChar"/>
          <w:rtl/>
        </w:rPr>
        <w:t>الوسائل</w:t>
      </w:r>
      <w:r w:rsidR="008A74EB" w:rsidRPr="00C9040A">
        <w:rPr>
          <w:rtl/>
        </w:rPr>
        <w:t xml:space="preserve"> ، ج 15 ، ص 202 ، ح 20281 ؛ </w:t>
      </w:r>
      <w:r w:rsidR="008A74EB" w:rsidRPr="00993B55">
        <w:rPr>
          <w:rStyle w:val="libFootnoteBoldChar"/>
          <w:rtl/>
        </w:rPr>
        <w:t>البحار</w:t>
      </w:r>
      <w:r w:rsidR="008A74EB" w:rsidRPr="00C9040A">
        <w:rPr>
          <w:rtl/>
        </w:rPr>
        <w:t xml:space="preserve"> ، ج 70 ، ص 147 ، ح 8.</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ب ، ص ، بر ، بس ، بف » : « أحد »</w:t>
      </w:r>
      <w:r w:rsidR="008A74EB">
        <w:rPr>
          <w:rtl/>
        </w:rPr>
        <w:t>.</w:t>
      </w:r>
      <w:r w:rsidR="008A74EB" w:rsidRPr="00C9040A">
        <w:rPr>
          <w:rtl/>
        </w:rPr>
        <w:t xml:space="preserve"> وفي « ض » وتحف العقول ، ص 218 : « عبد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فقه الرضا : « لا يكون المؤمن مؤمناً حقّاً » بدل « لا يجد أحدكم طعم الإيمان »</w:t>
      </w:r>
      <w:r w:rsidR="008A74EB">
        <w:rPr>
          <w:rtl/>
        </w:rPr>
        <w:t>.</w:t>
      </w:r>
    </w:p>
    <w:p w:rsidR="008A74EB" w:rsidRPr="00C9040A" w:rsidRDefault="006C577F" w:rsidP="004A4E41">
      <w:pPr>
        <w:pStyle w:val="libFootnote0"/>
        <w:rPr>
          <w:rtl/>
          <w:lang w:bidi="fa-IR"/>
        </w:rPr>
      </w:pPr>
      <w:r>
        <w:rPr>
          <w:rtl/>
          <w:lang w:bidi="fa-IR"/>
        </w:rPr>
        <w:t>(8).</w:t>
      </w:r>
      <w:r w:rsidR="008A74EB" w:rsidRPr="00C9040A">
        <w:rPr>
          <w:rtl/>
          <w:lang w:bidi="fa-IR"/>
        </w:rPr>
        <w:t xml:space="preserve"> </w:t>
      </w:r>
      <w:r w:rsidR="008A74EB" w:rsidRPr="00993B55">
        <w:rPr>
          <w:rStyle w:val="libFootnoteBoldChar"/>
          <w:rtl/>
        </w:rPr>
        <w:t>التمحيص</w:t>
      </w:r>
      <w:r w:rsidR="008A74EB" w:rsidRPr="00C9040A">
        <w:rPr>
          <w:rtl/>
          <w:lang w:bidi="fa-IR"/>
        </w:rPr>
        <w:t xml:space="preserve"> ، ص 63 ، ح 139 ؛ </w:t>
      </w:r>
      <w:r w:rsidR="008A74EB" w:rsidRPr="00993B55">
        <w:rPr>
          <w:rStyle w:val="libFootnoteBoldChar"/>
          <w:rtl/>
        </w:rPr>
        <w:t>تحف العقول</w:t>
      </w:r>
      <w:r w:rsidR="008A74EB" w:rsidRPr="00C9040A">
        <w:rPr>
          <w:rtl/>
          <w:lang w:bidi="fa-IR"/>
        </w:rPr>
        <w:t xml:space="preserve"> ، ص 207 </w:t>
      </w:r>
      <w:r w:rsidR="008A74EB">
        <w:rPr>
          <w:rtl/>
          <w:lang w:bidi="fa-IR"/>
        </w:rPr>
        <w:t>و 2</w:t>
      </w:r>
      <w:r w:rsidR="008A74EB" w:rsidRPr="00C9040A">
        <w:rPr>
          <w:rtl/>
          <w:lang w:bidi="fa-IR"/>
        </w:rPr>
        <w:t xml:space="preserve">18 ؛ </w:t>
      </w:r>
      <w:r w:rsidR="008A74EB" w:rsidRPr="00993B55">
        <w:rPr>
          <w:rStyle w:val="libFootnoteBoldChar"/>
          <w:rtl/>
        </w:rPr>
        <w:t>فقه الرضا</w:t>
      </w:r>
      <w:r w:rsidR="008A74EB" w:rsidRPr="00C9040A">
        <w:rPr>
          <w:rtl/>
          <w:lang w:bidi="fa-IR"/>
        </w:rPr>
        <w:t xml:space="preserve"> </w:t>
      </w:r>
      <w:r w:rsidR="00117575" w:rsidRPr="00117575">
        <w:rPr>
          <w:rStyle w:val="libFootnoteAlaemChar"/>
          <w:rtl/>
        </w:rPr>
        <w:t>عليه‌السلام</w:t>
      </w:r>
      <w:r w:rsidR="008A74EB" w:rsidRPr="00C9040A">
        <w:rPr>
          <w:rtl/>
          <w:lang w:bidi="fa-IR"/>
        </w:rPr>
        <w:t xml:space="preserve"> ، ص 348 ؛ </w:t>
      </w:r>
      <w:r w:rsidR="008A74EB" w:rsidRPr="00993B55">
        <w:rPr>
          <w:rStyle w:val="libFootnoteBoldChar"/>
          <w:rtl/>
        </w:rPr>
        <w:t>التوحيد</w:t>
      </w:r>
      <w:r w:rsidR="008A74EB" w:rsidRPr="00C9040A">
        <w:rPr>
          <w:rtl/>
          <w:lang w:bidi="fa-IR"/>
        </w:rPr>
        <w:t xml:space="preserve"> ، ص 374 ، ح 19 ؛ و</w:t>
      </w:r>
      <w:r w:rsidR="008A74EB" w:rsidRPr="00993B55">
        <w:rPr>
          <w:rStyle w:val="libFootnoteBoldChar"/>
          <w:rtl/>
        </w:rPr>
        <w:t>معاني الأخبار</w:t>
      </w:r>
      <w:r w:rsidR="008A74EB" w:rsidRPr="00C9040A">
        <w:rPr>
          <w:rtl/>
          <w:lang w:bidi="fa-IR"/>
        </w:rPr>
        <w:t xml:space="preserve"> ، ص 260 ، ح 1</w:t>
      </w:r>
      <w:r w:rsidR="007F6601">
        <w:rPr>
          <w:rFonts w:hint="cs"/>
          <w:rtl/>
          <w:lang w:bidi="fa-IR"/>
        </w:rPr>
        <w:t>.</w:t>
      </w:r>
      <w:r w:rsidR="008A74EB" w:rsidRPr="00993B55">
        <w:rPr>
          <w:rStyle w:val="libFootnoteBoldChar"/>
          <w:rtl/>
        </w:rPr>
        <w:t>الوافي</w:t>
      </w:r>
      <w:r w:rsidR="008A74EB" w:rsidRPr="00C9040A">
        <w:rPr>
          <w:rtl/>
          <w:lang w:bidi="fa-IR"/>
        </w:rPr>
        <w:t xml:space="preserve"> ، ج 4 ، ص 270 ، ح 1925 ؛ </w:t>
      </w:r>
      <w:r w:rsidR="008A74EB" w:rsidRPr="00993B55">
        <w:rPr>
          <w:rStyle w:val="libFootnoteBoldChar"/>
          <w:rtl/>
        </w:rPr>
        <w:t>البحار</w:t>
      </w:r>
      <w:r w:rsidR="008A74EB" w:rsidRPr="00C9040A">
        <w:rPr>
          <w:rtl/>
          <w:lang w:bidi="fa-IR"/>
        </w:rPr>
        <w:t xml:space="preserve"> ، ج 70 ، ص 147 ، ح 90.</w:t>
      </w:r>
    </w:p>
    <w:p w:rsidR="008A74EB" w:rsidRPr="00C9040A" w:rsidRDefault="006C577F" w:rsidP="004A4E41">
      <w:pPr>
        <w:pStyle w:val="libFootnote0"/>
        <w:rPr>
          <w:rtl/>
          <w:lang w:bidi="fa-IR"/>
        </w:rPr>
      </w:pPr>
      <w:r>
        <w:rPr>
          <w:rtl/>
        </w:rPr>
        <w:t>(9).</w:t>
      </w:r>
      <w:r w:rsidR="008A74EB" w:rsidRPr="00C9040A">
        <w:rPr>
          <w:rtl/>
        </w:rPr>
        <w:t xml:space="preserve"> هكذا في « ج »</w:t>
      </w:r>
      <w:r w:rsidR="008A74EB">
        <w:rPr>
          <w:rtl/>
        </w:rPr>
        <w:t>.</w:t>
      </w:r>
      <w:r w:rsidR="008A74EB" w:rsidRPr="00C9040A">
        <w:rPr>
          <w:rtl/>
        </w:rPr>
        <w:t xml:space="preserve"> وفي سائر النسخ والمطبوع </w:t>
      </w:r>
      <w:r w:rsidR="008A74EB">
        <w:rPr>
          <w:rtl/>
        </w:rPr>
        <w:t xml:space="preserve">: </w:t>
      </w:r>
      <w:r w:rsidR="0084262C">
        <w:rPr>
          <w:rtl/>
        </w:rPr>
        <w:t>-</w:t>
      </w:r>
      <w:r w:rsidR="008A74EB" w:rsidRPr="00C9040A">
        <w:rPr>
          <w:rtl/>
        </w:rPr>
        <w:t xml:space="preserve"> « قال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 ج » : « مال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في « ب ، ج ، ص ، بر » : « معوَّر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ج 7 ، ص 361 : « فإنّه معور ، على بناء الفاعل من </w:t>
      </w:r>
      <w:r w:rsidR="007F6601">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فَقَالَ أَمِيرُ الْمُؤْمِنِينَ صَلَوَاتُ اللهِ عَلَيْهِ : حَرَسَ امْرَأً أَجَلُهُ </w:t>
      </w:r>
      <w:r w:rsidR="006C577F" w:rsidRPr="006C577F">
        <w:rPr>
          <w:rStyle w:val="libFootnotenumChar"/>
          <w:rtl/>
        </w:rPr>
        <w:t>(1)</w:t>
      </w:r>
      <w:r w:rsidRPr="00C9040A">
        <w:rPr>
          <w:rtl/>
          <w:lang w:bidi="fa-IR"/>
        </w:rPr>
        <w:t xml:space="preserve">، فَلَمَّا قَامَ </w:t>
      </w:r>
      <w:r w:rsidR="006C577F" w:rsidRPr="006C577F">
        <w:rPr>
          <w:rStyle w:val="libFootnotenumChar"/>
          <w:rtl/>
        </w:rPr>
        <w:t>(2)</w:t>
      </w:r>
      <w:r w:rsidRPr="00C9040A">
        <w:rPr>
          <w:rtl/>
          <w:lang w:bidi="fa-IR"/>
        </w:rPr>
        <w:t xml:space="preserve"> سَقَطَ الْحَائِطُ »</w:t>
      </w:r>
      <w:r>
        <w:rPr>
          <w:rtl/>
          <w:lang w:bidi="fa-IR"/>
        </w:rPr>
        <w:t>.</w:t>
      </w:r>
    </w:p>
    <w:p w:rsidR="008A74EB" w:rsidRPr="00C9040A" w:rsidRDefault="008A74EB" w:rsidP="008A74EB">
      <w:pPr>
        <w:pStyle w:val="libNormal"/>
        <w:rPr>
          <w:rtl/>
          <w:lang w:bidi="fa-IR"/>
        </w:rPr>
      </w:pPr>
      <w:r w:rsidRPr="00C9040A">
        <w:rPr>
          <w:rtl/>
          <w:lang w:bidi="fa-IR"/>
        </w:rPr>
        <w:t xml:space="preserve">قَالَ </w:t>
      </w:r>
      <w:r w:rsidR="006C577F" w:rsidRPr="006C577F">
        <w:rPr>
          <w:rStyle w:val="libFootnotenumChar"/>
          <w:rtl/>
        </w:rPr>
        <w:t>(3)</w:t>
      </w:r>
      <w:r w:rsidRPr="00C9040A">
        <w:rPr>
          <w:rtl/>
          <w:lang w:bidi="fa-IR"/>
        </w:rPr>
        <w:t xml:space="preserve"> : « وَكَانَ أَمِيرُ الْمُؤْمِنِينَ </w:t>
      </w:r>
      <w:r w:rsidRPr="0003660B">
        <w:rPr>
          <w:rStyle w:val="libAlaemChar"/>
          <w:rtl/>
        </w:rPr>
        <w:t>عليه‌السلام</w:t>
      </w:r>
      <w:r w:rsidRPr="00C9040A">
        <w:rPr>
          <w:rtl/>
          <w:lang w:bidi="fa-IR"/>
        </w:rPr>
        <w:t xml:space="preserve"> مِمَّا </w:t>
      </w:r>
      <w:r w:rsidR="006C577F" w:rsidRPr="006C577F">
        <w:rPr>
          <w:rStyle w:val="libFootnotenumChar"/>
          <w:rtl/>
        </w:rPr>
        <w:t>(4)</w:t>
      </w:r>
      <w:r w:rsidRPr="00C9040A">
        <w:rPr>
          <w:rtl/>
          <w:lang w:bidi="fa-IR"/>
        </w:rPr>
        <w:t xml:space="preserve"> يَفْعَلُ هذَا وَأَشْبَاهَهُ ، وَهذَا الْيَقِينُ </w:t>
      </w:r>
      <w:r w:rsidR="006C577F" w:rsidRPr="006C577F">
        <w:rPr>
          <w:rStyle w:val="libFootnotenumChar"/>
          <w:rtl/>
        </w:rPr>
        <w:t>(5)</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(6)</w:t>
      </w:r>
    </w:p>
    <w:p w:rsidR="008A74EB" w:rsidRPr="00C9040A" w:rsidRDefault="008A74EB" w:rsidP="008A74EB">
      <w:pPr>
        <w:pStyle w:val="libNormal"/>
        <w:rPr>
          <w:rtl/>
          <w:lang w:bidi="fa-IR"/>
        </w:rPr>
      </w:pPr>
      <w:r w:rsidRPr="001C2425">
        <w:rPr>
          <w:rtl/>
        </w:rPr>
        <w:t>1572</w:t>
      </w:r>
      <w:r w:rsidRPr="00261CB0">
        <w:rPr>
          <w:rStyle w:val="libBold2Char"/>
          <w:rtl/>
        </w:rPr>
        <w:t xml:space="preserve"> / 6.</w:t>
      </w:r>
      <w:r w:rsidRPr="00C9040A">
        <w:rPr>
          <w:rtl/>
          <w:lang w:bidi="fa-IR"/>
        </w:rPr>
        <w:t xml:space="preserve"> عِدَّةٌ مِنْ أَصْحَابِنَا ، عَنْ أَحْمَدَ بْنِ مُحَمَّدِ بْنِ خَالِدٍ ، عَنْ أَحْمَدَ بْنِ مُحَمَّدِ بْنِ أَبِي نَصْرٍ ، عَنْ صَفْوَانَ الْجَمَّالِ ، قَالَ :</w:t>
      </w:r>
    </w:p>
    <w:p w:rsidR="008A74EB" w:rsidRPr="00C9040A" w:rsidRDefault="008A74EB" w:rsidP="008A74EB">
      <w:pPr>
        <w:pStyle w:val="libNormal"/>
        <w:rPr>
          <w:rtl/>
          <w:lang w:bidi="fa-IR"/>
        </w:rPr>
      </w:pPr>
      <w:r w:rsidRPr="00C9040A">
        <w:rPr>
          <w:rtl/>
          <w:lang w:bidi="fa-IR"/>
        </w:rPr>
        <w:t xml:space="preserve">سَأَلْتُ أَبَا عَبْدِ اللهِ </w:t>
      </w:r>
      <w:r w:rsidRPr="0003660B">
        <w:rPr>
          <w:rStyle w:val="libAlaemChar"/>
          <w:rtl/>
        </w:rPr>
        <w:t>عليه‌السلام</w:t>
      </w:r>
      <w:r w:rsidRPr="00C9040A">
        <w:rPr>
          <w:rtl/>
          <w:lang w:bidi="fa-IR"/>
        </w:rPr>
        <w:t xml:space="preserve"> عَنْ قَوْلِ اللهِ عَزَّ وَجَلَّ : </w:t>
      </w:r>
      <w:r w:rsidRPr="0003660B">
        <w:rPr>
          <w:rStyle w:val="libAlaemChar"/>
          <w:rtl/>
        </w:rPr>
        <w:t>(</w:t>
      </w:r>
      <w:r w:rsidRPr="006A2246">
        <w:rPr>
          <w:rStyle w:val="libAieChar"/>
          <w:rtl/>
        </w:rPr>
        <w:t xml:space="preserve"> وَأَمَّا</w:t>
      </w:r>
      <w:r>
        <w:rPr>
          <w:rFonts w:hint="cs"/>
          <w:rtl/>
        </w:rPr>
        <w:t xml:space="preserve"> </w:t>
      </w:r>
      <w:r w:rsidR="006C577F" w:rsidRPr="006C577F">
        <w:rPr>
          <w:rStyle w:val="libFootnotenumChar"/>
          <w:rtl/>
        </w:rPr>
        <w:t>(7)</w:t>
      </w:r>
      <w:r>
        <w:rPr>
          <w:rFonts w:hint="cs"/>
          <w:rtl/>
        </w:rPr>
        <w:t xml:space="preserve"> </w:t>
      </w:r>
      <w:r w:rsidRPr="006A2246">
        <w:rPr>
          <w:rStyle w:val="libAieChar"/>
          <w:rtl/>
        </w:rPr>
        <w:t xml:space="preserve">الْجِدارُ فَكانَ لِغُلامَيْنِ يَتِيمَيْنِ فِي الْمَدِينَةِ وَكانَ تَحْتَهُ كَنْزٌ لَهُما </w:t>
      </w:r>
      <w:r w:rsidRPr="0003660B">
        <w:rPr>
          <w:rStyle w:val="libAlaemChar"/>
          <w:rtl/>
        </w:rPr>
        <w:t>)</w:t>
      </w:r>
      <w:r w:rsidRPr="00C9040A">
        <w:rPr>
          <w:rtl/>
          <w:lang w:bidi="fa-IR"/>
        </w:rPr>
        <w:t xml:space="preserve"> </w:t>
      </w:r>
      <w:r w:rsidR="006C577F" w:rsidRPr="006C577F">
        <w:rPr>
          <w:rStyle w:val="libFootnotenumChar"/>
          <w:rtl/>
        </w:rPr>
        <w:t>(8)</w:t>
      </w:r>
      <w:r w:rsidRPr="00C9040A">
        <w:rPr>
          <w:rtl/>
          <w:lang w:bidi="fa-IR"/>
        </w:rPr>
        <w:t xml:space="preserve"> فَقَالَ : « أَمَا إِنَّهُ </w:t>
      </w:r>
      <w:r w:rsidR="006C577F" w:rsidRPr="006C577F">
        <w:rPr>
          <w:rStyle w:val="libFootnotenumChar"/>
          <w:rtl/>
        </w:rPr>
        <w:t>(9)</w:t>
      </w:r>
      <w:r w:rsidRPr="00C9040A">
        <w:rPr>
          <w:rtl/>
          <w:lang w:bidi="fa-IR"/>
        </w:rPr>
        <w:t xml:space="preserve"> مَا كَانَ ذَهَباً وَلَا فِضَّةً ، وَإِنَّمَا كَانَ أَرْبَعَ كَلِمَاتٍ </w:t>
      </w:r>
      <w:r w:rsidR="006C577F" w:rsidRPr="006C577F">
        <w:rPr>
          <w:rStyle w:val="libFootnotenumChar"/>
          <w:rtl/>
        </w:rPr>
        <w:t>(10)</w:t>
      </w:r>
      <w:r w:rsidRPr="00C9040A">
        <w:rPr>
          <w:rtl/>
          <w:lang w:bidi="fa-IR"/>
        </w:rPr>
        <w:t xml:space="preserve"> : </w:t>
      </w:r>
      <w:r>
        <w:rPr>
          <w:rtl/>
          <w:lang w:bidi="fa-IR"/>
        </w:rPr>
        <w:t>لَا إِلهَ</w:t>
      </w:r>
      <w:r w:rsidR="00AE4942">
        <w:rPr>
          <w:rtl/>
          <w:lang w:bidi="fa-IR"/>
        </w:rPr>
        <w:t xml:space="preserve"> إِل</w:t>
      </w:r>
      <w:r w:rsidR="00AE4942">
        <w:rPr>
          <w:rFonts w:hint="cs"/>
          <w:rtl/>
          <w:lang w:bidi="fa-IR"/>
        </w:rPr>
        <w:t>َّ</w:t>
      </w:r>
      <w:r w:rsidR="00AE4942">
        <w:rPr>
          <w:rtl/>
          <w:lang w:bidi="fa-IR"/>
        </w:rPr>
        <w:t>ا</w:t>
      </w:r>
      <w:r w:rsidRPr="00C9040A">
        <w:rPr>
          <w:rtl/>
          <w:lang w:bidi="fa-IR"/>
        </w:rPr>
        <w:t xml:space="preserve"> أَنَا </w:t>
      </w:r>
      <w:r w:rsidR="006C577F" w:rsidRPr="006C577F">
        <w:rPr>
          <w:rStyle w:val="libFootnotenumChar"/>
          <w:rtl/>
        </w:rPr>
        <w:t>(11)</w:t>
      </w:r>
      <w:r w:rsidRPr="00C9040A">
        <w:rPr>
          <w:rtl/>
          <w:lang w:bidi="fa-IR"/>
        </w:rPr>
        <w:t xml:space="preserve"> ؛ مَنْ أَيْقَنَ بِالْمَوْتِ لَمْ يَضْحَكْ سِنُّهُ </w:t>
      </w:r>
      <w:r w:rsidR="006C577F" w:rsidRPr="006C577F">
        <w:rPr>
          <w:rStyle w:val="libFootnotenumChar"/>
          <w:rtl/>
        </w:rPr>
        <w:t>(12)</w:t>
      </w:r>
      <w:r w:rsidRPr="00C9040A">
        <w:rPr>
          <w:rtl/>
          <w:lang w:bidi="fa-IR"/>
        </w:rPr>
        <w:t xml:space="preserve"> ، وَمَنْ أَيْقَنَ </w:t>
      </w:r>
      <w:r w:rsidRPr="005B567D">
        <w:rPr>
          <w:rStyle w:val="libFootnotenumChar"/>
          <w:rtl/>
        </w:rPr>
        <w:t>(13)</w:t>
      </w:r>
      <w:r w:rsidRPr="00C9040A">
        <w:rPr>
          <w:rtl/>
          <w:lang w:bidi="fa-IR"/>
        </w:rPr>
        <w:t xml:space="preserve"> بِالْحِسَابِ لَمْ‌</w:t>
      </w:r>
    </w:p>
    <w:p w:rsidR="008A74EB" w:rsidRPr="00C9040A" w:rsidRDefault="008A74EB" w:rsidP="008A74EB">
      <w:pPr>
        <w:pStyle w:val="libLine"/>
        <w:rPr>
          <w:rtl/>
          <w:lang w:bidi="fa-IR"/>
        </w:rPr>
      </w:pPr>
      <w:r w:rsidRPr="00C9040A">
        <w:rPr>
          <w:rtl/>
          <w:lang w:bidi="fa-IR"/>
        </w:rPr>
        <w:t>__________________</w:t>
      </w:r>
    </w:p>
    <w:p w:rsidR="008A74EB" w:rsidRPr="00C9040A" w:rsidRDefault="002827BC" w:rsidP="004A4E41">
      <w:pPr>
        <w:pStyle w:val="libFootnote0"/>
        <w:rPr>
          <w:rtl/>
          <w:lang w:bidi="fa-IR"/>
        </w:rPr>
      </w:pPr>
      <w:r>
        <w:rPr>
          <w:rFonts w:hint="cs"/>
          <w:rtl/>
        </w:rPr>
        <w:t xml:space="preserve">= </w:t>
      </w:r>
      <w:r w:rsidR="008A74EB" w:rsidRPr="00C9040A">
        <w:rPr>
          <w:rtl/>
        </w:rPr>
        <w:t>باب الإفعال ، أي ذو شقّ وخلل يخاف منه. أو على بناء المفعول من التفعيل أو الإفعال ، أي ذو عيب »</w:t>
      </w:r>
      <w:r w:rsidR="008A74EB">
        <w:rPr>
          <w:rtl/>
        </w:rPr>
        <w:t>.</w:t>
      </w:r>
      <w:r w:rsidR="008A74EB" w:rsidRPr="00C9040A">
        <w:rPr>
          <w:rtl/>
        </w:rPr>
        <w:t xml:space="preserve"> من العَوار ، وهو العيب ، والضمّ لغة. راجع : </w:t>
      </w:r>
      <w:r w:rsidR="008A74EB" w:rsidRPr="00993B55">
        <w:rPr>
          <w:rStyle w:val="libFootnoteBoldChar"/>
          <w:rtl/>
        </w:rPr>
        <w:t>المصباح المنير</w:t>
      </w:r>
      <w:r w:rsidR="008A74EB" w:rsidRPr="00C9040A">
        <w:rPr>
          <w:rtl/>
        </w:rPr>
        <w:t xml:space="preserve"> ، ص 437 ( عور )</w:t>
      </w:r>
      <w:r w:rsidR="008A74EB">
        <w:rPr>
          <w:rtl/>
        </w:rPr>
        <w:t>.</w:t>
      </w:r>
    </w:p>
    <w:p w:rsidR="008A74EB" w:rsidRPr="004A4E41" w:rsidRDefault="006C577F" w:rsidP="004A4E41">
      <w:pPr>
        <w:pStyle w:val="libFootnote0"/>
        <w:rPr>
          <w:rStyle w:val="libFootnote0Char"/>
          <w:rtl/>
        </w:rPr>
      </w:pPr>
      <w:r>
        <w:rPr>
          <w:rtl/>
        </w:rPr>
        <w:t>(1).</w:t>
      </w:r>
      <w:r w:rsidR="008A74EB" w:rsidRPr="00C9040A">
        <w:rPr>
          <w:rtl/>
        </w:rPr>
        <w:t xml:space="preserve"> في </w:t>
      </w:r>
      <w:r w:rsidR="008A74EB" w:rsidRPr="00993B55">
        <w:rPr>
          <w:rStyle w:val="libFootnoteBoldChar"/>
          <w:rtl/>
        </w:rPr>
        <w:t>شرح المازندراني</w:t>
      </w:r>
      <w:r w:rsidR="008A74EB" w:rsidRPr="00C9040A">
        <w:rPr>
          <w:rtl/>
        </w:rPr>
        <w:t xml:space="preserve"> ، ج 8 ، ص 184 : « امرأ ، مرفوع على الفاعليّة. وأجله ، منصوب على المفعوليّة ، والعكس محتمل. والمقصود الإنكار ؛ لأنّ أجل المرء ليس بيده حتّى يحرسه »</w:t>
      </w:r>
      <w:r w:rsidR="008A74EB">
        <w:rPr>
          <w:rtl/>
        </w:rPr>
        <w:t>.</w:t>
      </w:r>
      <w:r w:rsidR="008A74EB" w:rsidRPr="00C9040A">
        <w:rPr>
          <w:rtl/>
        </w:rPr>
        <w:t xml:space="preserve"> وتعجّب منه المجلسي في </w:t>
      </w:r>
      <w:r w:rsidR="008A74EB" w:rsidRPr="00993B55">
        <w:rPr>
          <w:rStyle w:val="libFootnoteBoldChar"/>
          <w:rtl/>
        </w:rPr>
        <w:t>مرآة العقول</w:t>
      </w:r>
      <w:r w:rsidR="008A74EB" w:rsidRPr="00C9040A">
        <w:rPr>
          <w:rtl/>
        </w:rPr>
        <w:t xml:space="preserve"> ، ج 7 ، ص 362 ، ثمّ قال : « ويشكل هذا بأنّه يدلّ على جواز إلقاء النفس إلى التهلكة وعدم وجوب الفرار عمّا يظنّ عنده الهلاك ، والمشهور عند الأصحاب خلافه » ثمّ أجاب عنه بوجوه. وفي </w:t>
      </w:r>
      <w:r w:rsidR="008A74EB" w:rsidRPr="00993B55">
        <w:rPr>
          <w:rStyle w:val="libFootnoteBoldChar"/>
          <w:rtl/>
        </w:rPr>
        <w:t>الوافي</w:t>
      </w:r>
      <w:r w:rsidR="008A74EB" w:rsidRPr="00C9040A">
        <w:rPr>
          <w:rtl/>
        </w:rPr>
        <w:t xml:space="preserve"> : « يعني إنّ أجل المرء حارسه عن الآفات حتّى يدركه »</w:t>
      </w:r>
      <w:r w:rsidR="008A74EB">
        <w:rPr>
          <w:rtl/>
        </w:rPr>
        <w:t>.</w:t>
      </w:r>
      <w:r w:rsidR="00913EB9">
        <w:rPr>
          <w:rFonts w:hint="cs"/>
          <w:rtl/>
        </w:rPr>
        <w:t xml:space="preserve">                             </w:t>
      </w:r>
      <w:r w:rsidR="00401C2F">
        <w:rPr>
          <w:rFonts w:hint="cs"/>
          <w:rtl/>
        </w:rPr>
        <w:t xml:space="preserve">      </w:t>
      </w:r>
      <w:r w:rsidR="00B866D3">
        <w:rPr>
          <w:rFonts w:hint="cs"/>
          <w:rtl/>
        </w:rPr>
        <w:t xml:space="preserve">  </w:t>
      </w:r>
      <w:r w:rsidR="00401C2F">
        <w:rPr>
          <w:rFonts w:hint="cs"/>
          <w:rtl/>
        </w:rPr>
        <w:t xml:space="preserve">   </w:t>
      </w:r>
      <w:r w:rsidR="00913EB9">
        <w:rPr>
          <w:rFonts w:hint="cs"/>
          <w:rtl/>
        </w:rPr>
        <w:t xml:space="preserve"> </w:t>
      </w:r>
      <w:r>
        <w:rPr>
          <w:rtl/>
        </w:rPr>
        <w:t>(2).</w:t>
      </w:r>
      <w:r w:rsidR="008A74EB">
        <w:rPr>
          <w:rtl/>
        </w:rPr>
        <w:t xml:space="preserve"> </w:t>
      </w:r>
      <w:r w:rsidR="008A74EB" w:rsidRPr="00C9040A">
        <w:rPr>
          <w:rtl/>
        </w:rPr>
        <w:t xml:space="preserve">في البحار ، ج 41 : + « أمير المؤمنين </w:t>
      </w:r>
      <w:r w:rsidR="00117575" w:rsidRPr="00117575">
        <w:rPr>
          <w:rStyle w:val="libFootnoteAlaemChar"/>
          <w:rtl/>
        </w:rPr>
        <w:t>عليه‌السلام</w:t>
      </w:r>
      <w:r w:rsidR="008A74EB" w:rsidRPr="00C9040A">
        <w:rPr>
          <w:rtl/>
        </w:rPr>
        <w:t xml:space="preserve"> »</w:t>
      </w:r>
      <w:r w:rsidR="008A74EB">
        <w:rPr>
          <w:rtl/>
        </w:rPr>
        <w:t>.</w:t>
      </w:r>
    </w:p>
    <w:tbl>
      <w:tblPr>
        <w:tblStyle w:val="TableGrid"/>
        <w:bidiVisual/>
        <w:tblW w:w="0" w:type="auto"/>
        <w:tblLook w:val="04A0" w:firstRow="1" w:lastRow="0" w:firstColumn="1" w:lastColumn="0" w:noHBand="0" w:noVBand="1"/>
      </w:tblPr>
      <w:tblGrid>
        <w:gridCol w:w="4006"/>
        <w:gridCol w:w="4006"/>
      </w:tblGrid>
      <w:tr w:rsidR="00913EB9" w:rsidTr="00913EB9">
        <w:tc>
          <w:tcPr>
            <w:tcW w:w="4006" w:type="dxa"/>
          </w:tcPr>
          <w:p w:rsidR="00913EB9" w:rsidRDefault="00913EB9" w:rsidP="004A4E41">
            <w:pPr>
              <w:pStyle w:val="libFootnote0"/>
              <w:rPr>
                <w:rtl/>
              </w:rPr>
            </w:pPr>
            <w:r>
              <w:rPr>
                <w:rtl/>
              </w:rPr>
              <w:t>(3).</w:t>
            </w:r>
            <w:r w:rsidRPr="00C9040A">
              <w:rPr>
                <w:rtl/>
              </w:rPr>
              <w:t xml:space="preserve"> في الوسائل </w:t>
            </w:r>
            <w:r>
              <w:rPr>
                <w:rtl/>
              </w:rPr>
              <w:t>: -</w:t>
            </w:r>
            <w:r w:rsidRPr="00C9040A">
              <w:rPr>
                <w:rtl/>
              </w:rPr>
              <w:t xml:space="preserve"> « قال »</w:t>
            </w:r>
            <w:r>
              <w:rPr>
                <w:rtl/>
              </w:rPr>
              <w:t>.</w:t>
            </w:r>
          </w:p>
        </w:tc>
        <w:tc>
          <w:tcPr>
            <w:tcW w:w="4006" w:type="dxa"/>
          </w:tcPr>
          <w:p w:rsidR="00913EB9" w:rsidRDefault="00FD7249" w:rsidP="004A4E41">
            <w:pPr>
              <w:pStyle w:val="libFootnote0"/>
              <w:rPr>
                <w:rtl/>
              </w:rPr>
            </w:pPr>
            <w:r>
              <w:rPr>
                <w:rtl/>
              </w:rPr>
              <w:t>(4).</w:t>
            </w:r>
            <w:r w:rsidRPr="00C9040A">
              <w:rPr>
                <w:rtl/>
              </w:rPr>
              <w:t xml:space="preserve"> في البحار ، ج 5 </w:t>
            </w:r>
            <w:r>
              <w:rPr>
                <w:rtl/>
              </w:rPr>
              <w:t>: -</w:t>
            </w:r>
            <w:r w:rsidRPr="00C9040A">
              <w:rPr>
                <w:rtl/>
              </w:rPr>
              <w:t xml:space="preserve"> « ممّا »</w:t>
            </w:r>
            <w:r>
              <w:rPr>
                <w:rtl/>
              </w:rPr>
              <w:t>.</w:t>
            </w:r>
          </w:p>
        </w:tc>
      </w:tr>
    </w:tbl>
    <w:p w:rsidR="008A74EB" w:rsidRPr="00C9040A" w:rsidRDefault="006C577F" w:rsidP="004A4E41">
      <w:pPr>
        <w:pStyle w:val="libFootnote0"/>
        <w:rPr>
          <w:rtl/>
          <w:lang w:bidi="fa-IR"/>
        </w:rPr>
      </w:pPr>
      <w:r>
        <w:rPr>
          <w:rtl/>
        </w:rPr>
        <w:t>(5).</w:t>
      </w:r>
      <w:r w:rsidR="008A74EB" w:rsidRPr="00C9040A">
        <w:rPr>
          <w:rtl/>
        </w:rPr>
        <w:t xml:space="preserve"> في </w:t>
      </w:r>
      <w:r w:rsidR="008A74EB" w:rsidRPr="00993B55">
        <w:rPr>
          <w:rStyle w:val="libFootnoteBoldChar"/>
          <w:rtl/>
        </w:rPr>
        <w:t>المرآة</w:t>
      </w:r>
      <w:r w:rsidR="008A74EB" w:rsidRPr="00C9040A">
        <w:rPr>
          <w:rtl/>
        </w:rPr>
        <w:t xml:space="preserve"> : « وهذا اليقين ، أي من ثمرات اليقين بقضاء الله وقدره وقدرته وحكمته ولطفه ورأفته وصدق أنبيائه ورسله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الوافي</w:t>
      </w:r>
      <w:r w:rsidR="008A74EB" w:rsidRPr="00C9040A">
        <w:rPr>
          <w:rtl/>
        </w:rPr>
        <w:t xml:space="preserve"> ، ج 4 ، ص 270 ، ح 1927 ؛ </w:t>
      </w:r>
      <w:r w:rsidR="008A74EB" w:rsidRPr="00993B55">
        <w:rPr>
          <w:rStyle w:val="libFootnoteBoldChar"/>
          <w:rtl/>
        </w:rPr>
        <w:t>الوسائل</w:t>
      </w:r>
      <w:r w:rsidR="008A74EB" w:rsidRPr="00C9040A">
        <w:rPr>
          <w:rtl/>
        </w:rPr>
        <w:t xml:space="preserve"> ، ج 15 ، ص 201 ، ح 20278 ؛ </w:t>
      </w:r>
      <w:r w:rsidR="008A74EB" w:rsidRPr="00993B55">
        <w:rPr>
          <w:rStyle w:val="libFootnoteBoldChar"/>
          <w:rtl/>
        </w:rPr>
        <w:t>البحار</w:t>
      </w:r>
      <w:r w:rsidR="008A74EB" w:rsidRPr="00C9040A">
        <w:rPr>
          <w:rtl/>
        </w:rPr>
        <w:t xml:space="preserve"> ، ج 5 ، ص 104 ، ح 30 ؛ وج 41 ، ص 6 ، ح 6 ؛ وج 70 ، ص 149 ، ح 10.</w:t>
      </w:r>
    </w:p>
    <w:p w:rsidR="008A74EB" w:rsidRPr="00C9040A" w:rsidRDefault="006C577F" w:rsidP="004A4E41">
      <w:pPr>
        <w:pStyle w:val="libFootnote0"/>
        <w:rPr>
          <w:rtl/>
          <w:lang w:bidi="fa-IR"/>
        </w:rPr>
      </w:pPr>
      <w:r>
        <w:rPr>
          <w:rtl/>
        </w:rPr>
        <w:t>(7).</w:t>
      </w:r>
      <w:r w:rsidR="008A74EB" w:rsidRPr="00C9040A">
        <w:rPr>
          <w:rtl/>
        </w:rPr>
        <w:t xml:space="preserve"> في « ف » : « فأمّا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الكهف (18) : 82. وفي « ص » : + </w:t>
      </w:r>
      <w:r w:rsidR="003E2506" w:rsidRPr="00B866D3">
        <w:rPr>
          <w:rStyle w:val="libFootnoteAlaemChar"/>
          <w:rFonts w:hint="cs"/>
          <w:rtl/>
        </w:rPr>
        <w:t>(</w:t>
      </w:r>
      <w:r w:rsidR="008A74EB" w:rsidRPr="003E2506">
        <w:rPr>
          <w:rStyle w:val="libFootnoteAieChar"/>
          <w:rtl/>
        </w:rPr>
        <w:t xml:space="preserve"> وَكَانَ أَبُوهُمَا ص</w:t>
      </w:r>
      <w:r w:rsidR="00831FEB">
        <w:rPr>
          <w:rStyle w:val="libFootnoteAieChar"/>
          <w:rFonts w:hint="cs"/>
          <w:rtl/>
        </w:rPr>
        <w:t>َا</w:t>
      </w:r>
      <w:r w:rsidR="008A74EB" w:rsidRPr="003E2506">
        <w:rPr>
          <w:rStyle w:val="libFootnoteAieChar"/>
          <w:rtl/>
        </w:rPr>
        <w:t xml:space="preserve">لِحًا </w:t>
      </w:r>
      <w:r w:rsidR="003E2506" w:rsidRPr="00B866D3">
        <w:rPr>
          <w:rStyle w:val="libFootnoteAlaemChar"/>
          <w:rFonts w:hint="cs"/>
          <w:rtl/>
        </w:rPr>
        <w:t>)</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فقه الرضا : « والله » بدل « أما إنّه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فقه الرضا : « لكنّه كان لوحاً مكتوباً عليه أربعة أحرف : أنا الله » بدل « إنّما كان أربع كلمات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في شرح المازندراني : + « الله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في « ض » </w:t>
      </w:r>
      <w:r w:rsidR="008A74EB">
        <w:rPr>
          <w:rtl/>
        </w:rPr>
        <w:t xml:space="preserve">: </w:t>
      </w:r>
      <w:r w:rsidR="0084262C">
        <w:rPr>
          <w:rtl/>
        </w:rPr>
        <w:t>-</w:t>
      </w:r>
      <w:r w:rsidR="008A74EB" w:rsidRPr="00C9040A">
        <w:rPr>
          <w:rtl/>
        </w:rPr>
        <w:t xml:space="preserve"> « سنّه »</w:t>
      </w:r>
      <w:r w:rsidR="008A74EB">
        <w:rPr>
          <w:rtl/>
        </w:rPr>
        <w:t>.</w:t>
      </w:r>
      <w:r w:rsidR="008A74EB" w:rsidRPr="00C9040A">
        <w:rPr>
          <w:rtl/>
        </w:rPr>
        <w:t xml:space="preserve"> واحتمل المازندراني كون لفظ « سنّه » منصوباً ؛ حيث قال : « يحتمل أن يراد به</w:t>
      </w:r>
      <w:r w:rsidR="008A74EB">
        <w:rPr>
          <w:rtl/>
        </w:rPr>
        <w:t xml:space="preserve"> </w:t>
      </w:r>
      <w:r w:rsidR="0084262C">
        <w:rPr>
          <w:rtl/>
        </w:rPr>
        <w:t>-</w:t>
      </w:r>
      <w:r w:rsidR="008A74EB">
        <w:rPr>
          <w:rtl/>
        </w:rPr>
        <w:t xml:space="preserve"> </w:t>
      </w:r>
      <w:r w:rsidR="008A74EB" w:rsidRPr="00C9040A">
        <w:rPr>
          <w:rtl/>
        </w:rPr>
        <w:t>أي السنّ</w:t>
      </w:r>
      <w:r w:rsidR="008A74EB">
        <w:rPr>
          <w:rtl/>
        </w:rPr>
        <w:t xml:space="preserve"> </w:t>
      </w:r>
      <w:r w:rsidR="0084262C">
        <w:rPr>
          <w:rtl/>
        </w:rPr>
        <w:t>-</w:t>
      </w:r>
      <w:r w:rsidR="008A74EB">
        <w:rPr>
          <w:rtl/>
        </w:rPr>
        <w:t xml:space="preserve"> </w:t>
      </w:r>
      <w:r w:rsidR="008A74EB" w:rsidRPr="00C9040A">
        <w:rPr>
          <w:rtl/>
        </w:rPr>
        <w:t>العمر ، أي لم يضحك في مدّة عمره »</w:t>
      </w:r>
      <w:r w:rsidR="008A74EB">
        <w:rPr>
          <w:rtl/>
        </w:rPr>
        <w:t>.</w:t>
      </w:r>
      <w:r w:rsidR="008A74EB" w:rsidRPr="00C9040A">
        <w:rPr>
          <w:rtl/>
        </w:rPr>
        <w:t xml:space="preserve"> واستبعده المجلسي.</w:t>
      </w:r>
    </w:p>
    <w:p w:rsidR="008A74EB" w:rsidRPr="00C9040A" w:rsidRDefault="008A74EB" w:rsidP="004A4E41">
      <w:pPr>
        <w:pStyle w:val="libFootnote0"/>
        <w:rPr>
          <w:rtl/>
          <w:lang w:bidi="fa-IR"/>
        </w:rPr>
      </w:pPr>
      <w:r>
        <w:rPr>
          <w:rtl/>
        </w:rPr>
        <w:t>(13)</w:t>
      </w:r>
      <w:r w:rsidRPr="00C9040A">
        <w:rPr>
          <w:rtl/>
        </w:rPr>
        <w:t xml:space="preserve"> في تفسير العيّاشي : « أقرّ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يَفْرَحْ قَلْبُهُ ، وَمَنْ أَيْقَنَ </w:t>
      </w:r>
      <w:r w:rsidR="006C577F" w:rsidRPr="006C577F">
        <w:rPr>
          <w:rStyle w:val="libFootnotenumChar"/>
          <w:rtl/>
        </w:rPr>
        <w:t>(1)</w:t>
      </w:r>
      <w:r w:rsidRPr="002712F0">
        <w:rPr>
          <w:rFonts w:hint="cs"/>
          <w:rtl/>
        </w:rPr>
        <w:t xml:space="preserve"> </w:t>
      </w:r>
      <w:r w:rsidRPr="00C9040A">
        <w:rPr>
          <w:rtl/>
          <w:lang w:bidi="fa-IR"/>
        </w:rPr>
        <w:t xml:space="preserve">بِالْقَدَرِ </w:t>
      </w:r>
      <w:r w:rsidR="006C577F" w:rsidRPr="006C577F">
        <w:rPr>
          <w:rStyle w:val="libFootnotenumChar"/>
          <w:rtl/>
        </w:rPr>
        <w:t>(2)</w:t>
      </w:r>
      <w:r w:rsidR="00D438E7">
        <w:rPr>
          <w:rtl/>
          <w:lang w:bidi="fa-IR"/>
        </w:rPr>
        <w:t xml:space="preserve"> لَمْ يَخْشَ إِل</w:t>
      </w:r>
      <w:r w:rsidR="00D438E7">
        <w:rPr>
          <w:rFonts w:hint="cs"/>
          <w:rtl/>
          <w:lang w:bidi="fa-IR"/>
        </w:rPr>
        <w:t>َّ</w:t>
      </w:r>
      <w:r w:rsidR="00D438E7">
        <w:rPr>
          <w:rtl/>
          <w:lang w:bidi="fa-IR"/>
        </w:rPr>
        <w:t>ا</w:t>
      </w:r>
      <w:r w:rsidRPr="00C9040A">
        <w:rPr>
          <w:rtl/>
          <w:lang w:bidi="fa-IR"/>
        </w:rPr>
        <w:t xml:space="preserve"> اللهَ </w:t>
      </w:r>
      <w:r w:rsidR="006C577F" w:rsidRPr="006C577F">
        <w:rPr>
          <w:rStyle w:val="libFootnotenumChar"/>
          <w:rtl/>
        </w:rPr>
        <w:t>(3)</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1C2425">
        <w:rPr>
          <w:rtl/>
        </w:rPr>
        <w:t>1573</w:t>
      </w:r>
      <w:r w:rsidRPr="00261CB0">
        <w:rPr>
          <w:rStyle w:val="libBold2Char"/>
          <w:rtl/>
        </w:rPr>
        <w:t xml:space="preserve"> / 7.</w:t>
      </w:r>
      <w:r w:rsidRPr="00C9040A">
        <w:rPr>
          <w:rtl/>
          <w:lang w:bidi="fa-IR"/>
        </w:rPr>
        <w:t xml:space="preserve"> عَنْهُ </w:t>
      </w:r>
      <w:r w:rsidR="006C577F" w:rsidRPr="006C577F">
        <w:rPr>
          <w:rStyle w:val="libFootnotenumChar"/>
          <w:rtl/>
        </w:rPr>
        <w:t>(5)</w:t>
      </w:r>
      <w:r w:rsidRPr="00C9040A">
        <w:rPr>
          <w:rtl/>
          <w:lang w:bidi="fa-IR"/>
        </w:rPr>
        <w:t xml:space="preserve"> ، عَنْ عَلِيِّ بْنِ الْحَكَمِ ، عَنْ صَفْوَانَ الْجَمَّالِ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كَانَ أَمِيرُ الْمُؤْمِنِينَ </w:t>
      </w:r>
      <w:r w:rsidRPr="0003660B">
        <w:rPr>
          <w:rStyle w:val="libAlaemChar"/>
          <w:rtl/>
        </w:rPr>
        <w:t>عليه‌السلام</w:t>
      </w:r>
      <w:r w:rsidRPr="00C9040A">
        <w:rPr>
          <w:rtl/>
          <w:lang w:bidi="fa-IR"/>
        </w:rPr>
        <w:t xml:space="preserve"> يَقُولُ : لَايَجِدُ عَبْدٌ طَعْمَ الْإِيمَانِ حَتّى يَعْلَمَ أَنَّ مَا أَصَابَهُ لَمْ يَكُنْ لِيُخْطِئَهُ ، وَأَنَّ مَا أَخْطَأَهُ لَمْ يَكُنْ لِيُصِيبَهُ ، وَأَنَّ الضَّارَّ النَّافِعَ هُوَ اللهُ عَزَّ وَجَلَّ »</w:t>
      </w:r>
      <w:r>
        <w:rPr>
          <w:rtl/>
          <w:lang w:bidi="fa-IR"/>
        </w:rPr>
        <w:t>.</w:t>
      </w:r>
      <w:r w:rsidRPr="00C9040A">
        <w:rPr>
          <w:rtl/>
          <w:lang w:bidi="fa-IR"/>
        </w:rPr>
        <w:t xml:space="preserve"> </w:t>
      </w:r>
      <w:r w:rsidR="006C577F" w:rsidRPr="006C577F">
        <w:rPr>
          <w:rStyle w:val="libFootnotenumChar"/>
          <w:rtl/>
        </w:rPr>
        <w:t>(6)</w:t>
      </w:r>
    </w:p>
    <w:p w:rsidR="008A74EB" w:rsidRPr="00C9040A" w:rsidRDefault="008A74EB" w:rsidP="008A74EB">
      <w:pPr>
        <w:pStyle w:val="libNormal"/>
        <w:rPr>
          <w:rtl/>
          <w:lang w:bidi="fa-IR"/>
        </w:rPr>
      </w:pPr>
      <w:r w:rsidRPr="001C2425">
        <w:rPr>
          <w:rtl/>
        </w:rPr>
        <w:t>1574</w:t>
      </w:r>
      <w:r w:rsidRPr="00261CB0">
        <w:rPr>
          <w:rStyle w:val="libBold2Char"/>
          <w:rtl/>
        </w:rPr>
        <w:t xml:space="preserve"> / 8.</w:t>
      </w:r>
      <w:r w:rsidRPr="00C9040A">
        <w:rPr>
          <w:rtl/>
          <w:lang w:bidi="fa-IR"/>
        </w:rPr>
        <w:t xml:space="preserve"> مُحَمَّدُ بْنُ يَحْيى ، عَنْ أَحْمَدَ بْنِ مُحَمَّدِ بْنِ عِيسى ، عَنِ الْوَشَّاءِ ، عَنْ عَبْدِ اللهِ بْنِ سِنَانٍ ، عَنْ أَبِي حَمْزَةَ ، عَنْ سَعِيدِ بْنِ قَيْسٍ الْهَمْدَانِيِّ ، قَالَ :</w:t>
      </w:r>
    </w:p>
    <w:p w:rsidR="008A74EB" w:rsidRPr="00C9040A" w:rsidRDefault="008A74EB" w:rsidP="008A74EB">
      <w:pPr>
        <w:pStyle w:val="libNormal"/>
        <w:rPr>
          <w:rtl/>
          <w:lang w:bidi="fa-IR"/>
        </w:rPr>
      </w:pPr>
      <w:r w:rsidRPr="00C9040A">
        <w:rPr>
          <w:rtl/>
          <w:lang w:bidi="fa-IR"/>
        </w:rPr>
        <w:t xml:space="preserve">نَظَرْتُ يَوْماً فِي الْحَرْبِ إِلى رَجُلٍ عَلَيْهِ ثَوْبَانِ ، فَحَرَّكْتُ فَرَسِي ، فَإِذَا هُوَ أَمِيرُ الْمُؤْمِنِينَ </w:t>
      </w:r>
      <w:r w:rsidRPr="005D38CD">
        <w:rPr>
          <w:rStyle w:val="libFootnoteAlaemChar"/>
          <w:rtl/>
        </w:rPr>
        <w:t>عليه‌السلام</w:t>
      </w:r>
      <w:r w:rsidRPr="00C9040A">
        <w:rPr>
          <w:rtl/>
          <w:lang w:bidi="fa-IR"/>
        </w:rPr>
        <w:t xml:space="preserve"> ، فَقُلْتُ : يَا </w:t>
      </w:r>
      <w:r w:rsidR="006C577F" w:rsidRPr="006C577F">
        <w:rPr>
          <w:rStyle w:val="libFootnotenumChar"/>
          <w:rtl/>
        </w:rPr>
        <w:t>(7)</w:t>
      </w:r>
      <w:r w:rsidRPr="00C9040A">
        <w:rPr>
          <w:rtl/>
          <w:lang w:bidi="fa-IR"/>
        </w:rPr>
        <w:t xml:space="preserve"> أَمِيرَ الْمُؤْمِنِينَ ، فِي مِثْلِ هذَا الْمَوْضِعِ</w:t>
      </w:r>
      <w:r>
        <w:rPr>
          <w:rtl/>
          <w:lang w:bidi="fa-IR"/>
        </w:rPr>
        <w:t>؟</w:t>
      </w:r>
    </w:p>
    <w:p w:rsidR="008A74EB" w:rsidRPr="00C9040A" w:rsidRDefault="008A74EB" w:rsidP="008A74EB">
      <w:pPr>
        <w:pStyle w:val="libNormal"/>
        <w:rPr>
          <w:rtl/>
          <w:lang w:bidi="fa-IR"/>
        </w:rPr>
      </w:pPr>
      <w:r w:rsidRPr="00C9040A">
        <w:rPr>
          <w:rtl/>
          <w:lang w:bidi="fa-IR"/>
        </w:rPr>
        <w:t xml:space="preserve">فَقَالَ </w:t>
      </w:r>
      <w:r w:rsidR="006C577F" w:rsidRPr="006C577F">
        <w:rPr>
          <w:rStyle w:val="libFootnotenumChar"/>
          <w:rtl/>
        </w:rPr>
        <w:t>(8)</w:t>
      </w:r>
      <w:r w:rsidRPr="00C9040A">
        <w:rPr>
          <w:rtl/>
          <w:lang w:bidi="fa-IR"/>
        </w:rPr>
        <w:t xml:space="preserve"> : « نَعَمْ ، يَا سَعِيدَ بْنَ قَيْسٍ ، إ</w:t>
      </w:r>
      <w:r w:rsidR="005D38CD">
        <w:rPr>
          <w:rtl/>
          <w:lang w:bidi="fa-IR"/>
        </w:rPr>
        <w:t>ِنَّهُ لَيْسَ مِنْ عَبْدٍ إِل</w:t>
      </w:r>
      <w:r w:rsidR="005D38CD">
        <w:rPr>
          <w:rFonts w:hint="cs"/>
          <w:rtl/>
          <w:lang w:bidi="fa-IR"/>
        </w:rPr>
        <w:t>َّ</w:t>
      </w:r>
      <w:r w:rsidR="005D38CD">
        <w:rPr>
          <w:rtl/>
          <w:lang w:bidi="fa-IR"/>
        </w:rPr>
        <w:t>ا</w:t>
      </w:r>
      <w:r w:rsidRPr="00C9040A">
        <w:rPr>
          <w:rtl/>
          <w:lang w:bidi="fa-IR"/>
        </w:rPr>
        <w:t xml:space="preserve"> وَلَهُ مِنَ اللهِ</w:t>
      </w:r>
      <w:r>
        <w:rPr>
          <w:rtl/>
          <w:lang w:bidi="fa-IR"/>
        </w:rPr>
        <w:t xml:space="preserve"> </w:t>
      </w:r>
      <w:r w:rsidR="0084262C">
        <w:rPr>
          <w:rtl/>
          <w:lang w:bidi="fa-IR"/>
        </w:rPr>
        <w:t>-</w:t>
      </w:r>
      <w:r>
        <w:rPr>
          <w:rtl/>
          <w:lang w:bidi="fa-IR"/>
        </w:rPr>
        <w:t xml:space="preserve"> </w:t>
      </w:r>
      <w:r w:rsidRPr="00C9040A">
        <w:rPr>
          <w:rtl/>
          <w:lang w:bidi="fa-IR"/>
        </w:rPr>
        <w:t>عَزَّوَجَلَّ</w:t>
      </w:r>
      <w:r>
        <w:rPr>
          <w:rtl/>
          <w:lang w:bidi="fa-IR"/>
        </w:rPr>
        <w:t xml:space="preserve"> </w:t>
      </w:r>
      <w:r w:rsidR="0084262C">
        <w:rPr>
          <w:rtl/>
          <w:lang w:bidi="fa-IR"/>
        </w:rPr>
        <w:t>-</w:t>
      </w:r>
      <w:r>
        <w:rPr>
          <w:rtl/>
          <w:lang w:bidi="fa-IR"/>
        </w:rPr>
        <w:t xml:space="preserve"> </w:t>
      </w:r>
      <w:r w:rsidRPr="00C9040A">
        <w:rPr>
          <w:rtl/>
          <w:lang w:bidi="fa-IR"/>
        </w:rPr>
        <w:t xml:space="preserve">حَافِظٌ </w:t>
      </w:r>
      <w:r w:rsidR="006C577F" w:rsidRPr="006C577F">
        <w:rPr>
          <w:rStyle w:val="libFootnotenumChar"/>
          <w:rtl/>
        </w:rPr>
        <w:t>(9)</w:t>
      </w:r>
      <w:r w:rsidRPr="00C9040A">
        <w:rPr>
          <w:rtl/>
          <w:lang w:bidi="fa-IR"/>
        </w:rPr>
        <w:t xml:space="preserve"> وَوَاقِيَةٌ </w:t>
      </w:r>
      <w:r w:rsidR="006C577F" w:rsidRPr="006C577F">
        <w:rPr>
          <w:rStyle w:val="libFootnotenumChar"/>
          <w:rtl/>
        </w:rPr>
        <w:t>(10)</w:t>
      </w:r>
      <w:r w:rsidRPr="00C9040A">
        <w:rPr>
          <w:rtl/>
          <w:lang w:bidi="fa-IR"/>
        </w:rPr>
        <w:t xml:space="preserve"> ، مَعَهُ مَلَكَانِ يَحْفَظَانِهِ مِنْ أَنْ يَسْقُطَ مِنْ رَأْسِ جَبَلٍ ، أَوْ يَقَعَ فِي بِئْرٍ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تفسير العيّاشي : « آمن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البحار : « بالقدرة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فقه الرضا : « علم أنّه ل</w:t>
      </w:r>
      <w:r w:rsidR="005D38CD">
        <w:rPr>
          <w:rtl/>
        </w:rPr>
        <w:t>ا يصيبه إل</w:t>
      </w:r>
      <w:r w:rsidR="005D38CD">
        <w:rPr>
          <w:rFonts w:hint="cs"/>
          <w:rtl/>
        </w:rPr>
        <w:t>ّ</w:t>
      </w:r>
      <w:r w:rsidR="005D38CD">
        <w:rPr>
          <w:rtl/>
        </w:rPr>
        <w:t>ا</w:t>
      </w:r>
      <w:r w:rsidR="008A74EB" w:rsidRPr="00C9040A">
        <w:rPr>
          <w:rtl/>
        </w:rPr>
        <w:t xml:space="preserve">ما قدر عليه » بدل « لم يخش </w:t>
      </w:r>
      <w:r w:rsidR="005D38CD">
        <w:rPr>
          <w:rtl/>
        </w:rPr>
        <w:t>إل</w:t>
      </w:r>
      <w:r w:rsidR="005D38CD">
        <w:rPr>
          <w:rFonts w:hint="cs"/>
          <w:rtl/>
        </w:rPr>
        <w:t>ّ</w:t>
      </w:r>
      <w:r w:rsidR="005D38CD">
        <w:rPr>
          <w:rtl/>
        </w:rPr>
        <w:t>ا</w:t>
      </w:r>
      <w:r w:rsidR="008A74EB">
        <w:rPr>
          <w:rtl/>
        </w:rPr>
        <w:t xml:space="preserve"> الله</w:t>
      </w:r>
      <w:r w:rsidR="008A74EB" w:rsidRPr="00C9040A">
        <w:rPr>
          <w:rtl/>
        </w:rPr>
        <w:t xml:space="preserve">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الخصال</w:t>
      </w:r>
      <w:r w:rsidR="008A74EB" w:rsidRPr="00C9040A">
        <w:rPr>
          <w:rtl/>
        </w:rPr>
        <w:t xml:space="preserve"> ، ص 236 ، باب الأربعة ، ح 79 ، بسند آخر عن أبي جعفر </w:t>
      </w:r>
      <w:r w:rsidR="00117575" w:rsidRPr="00117575">
        <w:rPr>
          <w:rStyle w:val="libFootnoteAlaemChar"/>
          <w:rtl/>
        </w:rPr>
        <w:t>عليه‌السلام</w:t>
      </w:r>
      <w:r w:rsidR="008A74EB" w:rsidRPr="00C9040A">
        <w:rPr>
          <w:rtl/>
        </w:rPr>
        <w:t xml:space="preserve"> ، مع اختلاف. </w:t>
      </w:r>
      <w:r w:rsidR="008A74EB" w:rsidRPr="00993B55">
        <w:rPr>
          <w:rStyle w:val="libFootnoteBoldChar"/>
          <w:rtl/>
        </w:rPr>
        <w:t>تفسير العيّاشي</w:t>
      </w:r>
      <w:r w:rsidR="008A74EB" w:rsidRPr="00C9040A">
        <w:rPr>
          <w:rtl/>
        </w:rPr>
        <w:t xml:space="preserve"> ، ج 2 ، ص 338 ، ح 66 ، عن صفوان الجمّال ، مع اختلاف يسير ؛ </w:t>
      </w:r>
      <w:r w:rsidR="008A74EB" w:rsidRPr="00993B55">
        <w:rPr>
          <w:rStyle w:val="libFootnoteBoldChar"/>
          <w:rtl/>
        </w:rPr>
        <w:t>فقه الرضا</w:t>
      </w:r>
      <w:r w:rsidR="008A74EB" w:rsidRPr="00C9040A">
        <w:rPr>
          <w:rtl/>
        </w:rPr>
        <w:t xml:space="preserve"> </w:t>
      </w:r>
      <w:r w:rsidR="00117575" w:rsidRPr="00117575">
        <w:rPr>
          <w:rStyle w:val="libFootnoteAlaemChar"/>
          <w:rtl/>
        </w:rPr>
        <w:t>عليه‌السلام</w:t>
      </w:r>
      <w:r w:rsidR="008A74EB" w:rsidRPr="00C9040A">
        <w:rPr>
          <w:rtl/>
        </w:rPr>
        <w:t xml:space="preserve"> ، ص 370</w:t>
      </w:r>
      <w:r w:rsidR="00552CA8">
        <w:rPr>
          <w:rFonts w:hint="cs"/>
          <w:rtl/>
        </w:rPr>
        <w:t>.</w:t>
      </w:r>
      <w:r w:rsidR="008A74EB" w:rsidRPr="00993B55">
        <w:rPr>
          <w:rStyle w:val="libFootnoteBoldChar"/>
          <w:rtl/>
        </w:rPr>
        <w:t>الوافي</w:t>
      </w:r>
      <w:r w:rsidR="008A74EB" w:rsidRPr="00C9040A">
        <w:rPr>
          <w:rtl/>
        </w:rPr>
        <w:t xml:space="preserve"> ، ج 4 ، ص 272 ، ح 1931 ؛ </w:t>
      </w:r>
      <w:r w:rsidR="008A74EB" w:rsidRPr="00993B55">
        <w:rPr>
          <w:rStyle w:val="libFootnoteBoldChar"/>
          <w:rtl/>
        </w:rPr>
        <w:t>الوسائل</w:t>
      </w:r>
      <w:r w:rsidR="008A74EB" w:rsidRPr="00C9040A">
        <w:rPr>
          <w:rtl/>
        </w:rPr>
        <w:t xml:space="preserve"> ، ج 15 ، ص 201 ، ح 20277 ؛ </w:t>
      </w:r>
      <w:r w:rsidR="008A74EB" w:rsidRPr="00993B55">
        <w:rPr>
          <w:rStyle w:val="libFootnoteBoldChar"/>
          <w:rtl/>
        </w:rPr>
        <w:t>البحار</w:t>
      </w:r>
      <w:r w:rsidR="008A74EB" w:rsidRPr="00C9040A">
        <w:rPr>
          <w:rtl/>
        </w:rPr>
        <w:t xml:space="preserve"> ، ج 70 ، ص 152 ، ح 11.</w:t>
      </w:r>
    </w:p>
    <w:p w:rsidR="008A74EB" w:rsidRPr="00C9040A" w:rsidRDefault="006C577F" w:rsidP="004A4E41">
      <w:pPr>
        <w:pStyle w:val="libFootnote0"/>
        <w:rPr>
          <w:rtl/>
          <w:lang w:bidi="fa-IR"/>
        </w:rPr>
      </w:pPr>
      <w:r>
        <w:rPr>
          <w:rtl/>
        </w:rPr>
        <w:t>(5).</w:t>
      </w:r>
      <w:r w:rsidR="008A74EB" w:rsidRPr="00C9040A">
        <w:rPr>
          <w:rtl/>
        </w:rPr>
        <w:t xml:space="preserve"> الضمير راجع إلى أحمد بن محمّد بن خالد المذكور في السند السابق.</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الوافي</w:t>
      </w:r>
      <w:r w:rsidR="008A74EB" w:rsidRPr="00C9040A">
        <w:rPr>
          <w:rtl/>
        </w:rPr>
        <w:t xml:space="preserve"> ، ج 4 ، ص 270 ، ح 1926 ؛ </w:t>
      </w:r>
      <w:r w:rsidR="008A74EB" w:rsidRPr="00993B55">
        <w:rPr>
          <w:rStyle w:val="libFootnoteBoldChar"/>
          <w:rtl/>
        </w:rPr>
        <w:t>الوسائل</w:t>
      </w:r>
      <w:r w:rsidR="008A74EB" w:rsidRPr="00C9040A">
        <w:rPr>
          <w:rtl/>
        </w:rPr>
        <w:t xml:space="preserve"> ، ج 15 ، ص 201 ، ح 20276 ؛ </w:t>
      </w:r>
      <w:r w:rsidR="008A74EB" w:rsidRPr="00993B55">
        <w:rPr>
          <w:rStyle w:val="libFootnoteBoldChar"/>
          <w:rtl/>
        </w:rPr>
        <w:t>البحار</w:t>
      </w:r>
      <w:r w:rsidR="008A74EB" w:rsidRPr="00C9040A">
        <w:rPr>
          <w:rtl/>
        </w:rPr>
        <w:t xml:space="preserve"> ، ج 70 ، ص 154 ، ح 12.</w:t>
      </w:r>
    </w:p>
    <w:p w:rsidR="008A74EB" w:rsidRPr="00C9040A" w:rsidRDefault="006C577F" w:rsidP="004A4E41">
      <w:pPr>
        <w:pStyle w:val="libFootnote0"/>
        <w:rPr>
          <w:rtl/>
          <w:lang w:bidi="fa-IR"/>
        </w:rPr>
      </w:pPr>
      <w:r>
        <w:rPr>
          <w:rtl/>
        </w:rPr>
        <w:t>(7).</w:t>
      </w:r>
      <w:r w:rsidR="008A74EB" w:rsidRPr="00C9040A">
        <w:rPr>
          <w:rtl/>
        </w:rPr>
        <w:t xml:space="preserve"> في « ف » </w:t>
      </w:r>
      <w:r w:rsidR="008A74EB">
        <w:rPr>
          <w:rtl/>
        </w:rPr>
        <w:t xml:space="preserve">: </w:t>
      </w:r>
      <w:r w:rsidR="0084262C">
        <w:rPr>
          <w:rtl/>
        </w:rPr>
        <w:t>-</w:t>
      </w:r>
      <w:r w:rsidR="008A74EB" w:rsidRPr="00C9040A">
        <w:rPr>
          <w:rtl/>
        </w:rPr>
        <w:t xml:space="preserve"> « يا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 بس » : « قال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ف » : « حافظة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w:t>
      </w:r>
      <w:r w:rsidR="008A74EB" w:rsidRPr="00993B55">
        <w:rPr>
          <w:rStyle w:val="libFootnoteBoldChar"/>
          <w:rtl/>
        </w:rPr>
        <w:t>الوافي</w:t>
      </w:r>
      <w:r w:rsidR="008A74EB" w:rsidRPr="00C9040A">
        <w:rPr>
          <w:rtl/>
        </w:rPr>
        <w:t xml:space="preserve"> : « واقية ، أي جُنّة واقية ، كأنّها من الصفات الغالبة. أو التاء للمبالغة عطف تفسيري للحافظ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 ملائكة واقية</w:t>
      </w:r>
      <w:r w:rsidR="008A74EB">
        <w:rPr>
          <w:rtl/>
        </w:rPr>
        <w:t xml:space="preserve"> ..</w:t>
      </w:r>
      <w:r w:rsidR="008A74EB" w:rsidRPr="00C9040A">
        <w:rPr>
          <w:rtl/>
        </w:rPr>
        <w:t>. وقيل : التاء في قوله : واقية ، للنقل إلى الاسميّة ؛ إذ المراد : الواقية من خصوص الموت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فَإِذَا نَزَلَ </w:t>
      </w:r>
      <w:r w:rsidR="006C577F" w:rsidRPr="006C577F">
        <w:rPr>
          <w:rStyle w:val="libFootnotenumChar"/>
          <w:rtl/>
        </w:rPr>
        <w:t>(1)</w:t>
      </w:r>
      <w:r w:rsidRPr="00853746">
        <w:rPr>
          <w:rFonts w:hint="cs"/>
          <w:rtl/>
        </w:rPr>
        <w:t xml:space="preserve"> </w:t>
      </w:r>
      <w:r w:rsidRPr="00C9040A">
        <w:rPr>
          <w:rtl/>
          <w:lang w:bidi="fa-IR"/>
        </w:rPr>
        <w:t>الْقَضَاءُ خَلَّيَا بَيْنَهُ وَبَيْنَ كُلِّ شَيْ‌ءٍ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1C2425">
        <w:rPr>
          <w:rtl/>
        </w:rPr>
        <w:t>1575</w:t>
      </w:r>
      <w:r w:rsidRPr="00261CB0">
        <w:rPr>
          <w:rStyle w:val="libBold2Char"/>
          <w:rtl/>
        </w:rPr>
        <w:t xml:space="preserve"> / 9.</w:t>
      </w:r>
      <w:r w:rsidRPr="00C9040A">
        <w:rPr>
          <w:rtl/>
          <w:lang w:bidi="fa-IR"/>
        </w:rPr>
        <w:t xml:space="preserve"> الْحُسَيْنُ بْنُ مُحَمَّدٍ ، عَنْ مُعَلَّى بْنِ مُحَمَّدٍ ، عَنْ عَلِيِّ بْنِ أَسْبَاطٍ ، قَالَ :</w:t>
      </w:r>
    </w:p>
    <w:p w:rsidR="008A74EB" w:rsidRPr="00C9040A" w:rsidRDefault="008A74EB" w:rsidP="008A74EB">
      <w:pPr>
        <w:pStyle w:val="libNormal"/>
        <w:rPr>
          <w:rtl/>
          <w:lang w:bidi="fa-IR"/>
        </w:rPr>
      </w:pPr>
      <w:r w:rsidRPr="00C9040A">
        <w:rPr>
          <w:rtl/>
          <w:lang w:bidi="fa-IR"/>
        </w:rPr>
        <w:t xml:space="preserve">سَمِعْتُ أَبَا الْحَسَنِ الرِّضَا </w:t>
      </w:r>
      <w:r w:rsidRPr="0003660B">
        <w:rPr>
          <w:rStyle w:val="libAlaemChar"/>
          <w:rtl/>
        </w:rPr>
        <w:t>عليه‌السلام</w:t>
      </w:r>
      <w:r w:rsidRPr="00C9040A">
        <w:rPr>
          <w:rtl/>
          <w:lang w:bidi="fa-IR"/>
        </w:rPr>
        <w:t xml:space="preserve"> يَقُولُ : « كَانَ فِي الْكَنْزِ الَّذِي قَالَ اللهُ عَزَّ وَجَلَّ : </w:t>
      </w:r>
      <w:r w:rsidRPr="0003660B">
        <w:rPr>
          <w:rStyle w:val="libAlaemChar"/>
          <w:rtl/>
        </w:rPr>
        <w:t>(</w:t>
      </w:r>
      <w:r w:rsidRPr="006A2246">
        <w:rPr>
          <w:rStyle w:val="libAieChar"/>
          <w:rtl/>
        </w:rPr>
        <w:t xml:space="preserve"> وَكانَ تَحْتَهُ كَنْزٌ لَهُما </w:t>
      </w:r>
      <w:r w:rsidRPr="0003660B">
        <w:rPr>
          <w:rStyle w:val="libAlaemChar"/>
          <w:rtl/>
        </w:rPr>
        <w:t>)</w:t>
      </w:r>
      <w:r w:rsidRPr="00C9040A">
        <w:rPr>
          <w:rtl/>
          <w:lang w:bidi="fa-IR"/>
        </w:rPr>
        <w:t xml:space="preserve"> </w:t>
      </w:r>
      <w:r w:rsidR="006C577F" w:rsidRPr="006C577F">
        <w:rPr>
          <w:rStyle w:val="libFootnotenumChar"/>
          <w:rtl/>
        </w:rPr>
        <w:t>(3)</w:t>
      </w:r>
      <w:r w:rsidRPr="00C9040A">
        <w:rPr>
          <w:rtl/>
          <w:lang w:bidi="fa-IR"/>
        </w:rPr>
        <w:t xml:space="preserve"> كَانَ </w:t>
      </w:r>
      <w:r w:rsidR="006C577F" w:rsidRPr="006C577F">
        <w:rPr>
          <w:rStyle w:val="libFootnotenumChar"/>
          <w:rtl/>
        </w:rPr>
        <w:t>(4)</w:t>
      </w:r>
      <w:r w:rsidRPr="00C9040A">
        <w:rPr>
          <w:rtl/>
          <w:lang w:bidi="fa-IR"/>
        </w:rPr>
        <w:t xml:space="preserve"> فِيهِ : بِسْمِ اللهِ الرَّحْمنِ الرَّحِيمِ ، عَجِبْتُ لِمَنْ أَيْقَنَ بِالْمَوْتِ كَيْفَ يَفْرَحُ ، وَعَجِبْتُ لِمَنْ أَيْقَنَ بِالْقَدَرِ كَيْفَ يَحْزَنُ ، عَجِبْتُ لِمَنْ رَأَى الدُّنْيَا وَتَقَلُّبَهَا بِأَهْلِهَا كَيْفَ يَرْكَنُ إِلَيْهَا ، وَيَنْبَغِي </w:t>
      </w:r>
      <w:r w:rsidR="006C577F" w:rsidRPr="006C577F">
        <w:rPr>
          <w:rStyle w:val="libFootnotenumChar"/>
          <w:rtl/>
        </w:rPr>
        <w:t>(5)</w:t>
      </w:r>
      <w:r w:rsidRPr="00C9040A">
        <w:rPr>
          <w:rtl/>
          <w:lang w:bidi="fa-IR"/>
        </w:rPr>
        <w:t xml:space="preserve"> لِمَنْ عَقَلَ عَنِ اللهِ أَنْ لَايَتَّهِمَ اللهَ فِي قَضَائِهِ ، وَلَا يَسْتَبْطِئَهُ فِي رِزْقِهِ »</w:t>
      </w:r>
      <w:r>
        <w:rPr>
          <w:rtl/>
          <w:lang w:bidi="fa-IR"/>
        </w:rPr>
        <w:t>.</w:t>
      </w:r>
    </w:p>
    <w:p w:rsidR="008A74EB" w:rsidRPr="00C9040A" w:rsidRDefault="008A74EB" w:rsidP="000F32CA">
      <w:pPr>
        <w:pStyle w:val="libNormal"/>
        <w:rPr>
          <w:rtl/>
          <w:lang w:bidi="fa-IR"/>
        </w:rPr>
      </w:pPr>
      <w:r w:rsidRPr="00C9040A">
        <w:rPr>
          <w:rtl/>
          <w:lang w:bidi="fa-IR"/>
        </w:rPr>
        <w:t xml:space="preserve">فَقُلْتُ </w:t>
      </w:r>
      <w:r w:rsidR="006C577F" w:rsidRPr="006C577F">
        <w:rPr>
          <w:rStyle w:val="libFootnotenumChar"/>
          <w:rtl/>
        </w:rPr>
        <w:t>(6)</w:t>
      </w:r>
      <w:r w:rsidR="000F32CA" w:rsidRPr="00C9040A">
        <w:rPr>
          <w:rtl/>
          <w:lang w:bidi="fa-IR"/>
        </w:rPr>
        <w:t xml:space="preserve"> </w:t>
      </w:r>
      <w:r w:rsidRPr="00C9040A">
        <w:rPr>
          <w:rtl/>
          <w:lang w:bidi="fa-IR"/>
        </w:rPr>
        <w:t xml:space="preserve">: جُعِلْتُ فِدَاكَ ، أُرِيدُ أَنْ أَكْتُبَهُ ، قَالَ : فَضَرَبَ وَاللهِ يَدَهُ </w:t>
      </w:r>
      <w:r w:rsidR="006C577F" w:rsidRPr="006C577F">
        <w:rPr>
          <w:rStyle w:val="libFootnotenumChar"/>
          <w:rtl/>
        </w:rPr>
        <w:t>(7)</w:t>
      </w:r>
      <w:r w:rsidRPr="00C9040A">
        <w:rPr>
          <w:rtl/>
          <w:lang w:bidi="fa-IR"/>
        </w:rPr>
        <w:t xml:space="preserve"> إِلَى </w:t>
      </w:r>
      <w:r w:rsidR="006C577F" w:rsidRPr="006C577F">
        <w:rPr>
          <w:rStyle w:val="libFootnotenumChar"/>
          <w:rtl/>
        </w:rPr>
        <w:t>(8)</w:t>
      </w:r>
      <w:r w:rsidRPr="00C9040A">
        <w:rPr>
          <w:rtl/>
          <w:lang w:bidi="fa-IR"/>
        </w:rPr>
        <w:t xml:space="preserve"> الدَّوَاةِ لِيَضَعَهَا بَيْنَ يَدَيَّ ، فَتَنَاوَلْتُ يَدَهُ ، فَقَبَّلْتُهَا ، وَأَخَذْتُ الدَّوَاةَ ، فَكَتَبْتُهُ. </w:t>
      </w:r>
      <w:r w:rsidR="006C577F" w:rsidRPr="006C577F">
        <w:rPr>
          <w:rStyle w:val="libFootnotenumChar"/>
          <w:rtl/>
        </w:rPr>
        <w:t>(9)</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 ب » : « ا</w:t>
      </w:r>
      <w:r w:rsidR="007C6058">
        <w:rPr>
          <w:rFonts w:hint="cs"/>
          <w:rtl/>
        </w:rPr>
        <w:t>ُ</w:t>
      </w:r>
      <w:r w:rsidR="008A74EB" w:rsidRPr="00C9040A">
        <w:rPr>
          <w:rtl/>
        </w:rPr>
        <w:t>نزل »</w:t>
      </w:r>
      <w:r w:rsidR="008A74EB">
        <w:rPr>
          <w:rtl/>
        </w:rPr>
        <w:t>.</w:t>
      </w:r>
    </w:p>
    <w:p w:rsidR="008A74EB" w:rsidRPr="004A4E41" w:rsidRDefault="006C577F" w:rsidP="004A4E41">
      <w:pPr>
        <w:pStyle w:val="libFootnote0"/>
        <w:rPr>
          <w:rStyle w:val="libFootnote0Char"/>
          <w:rtl/>
        </w:rPr>
      </w:pPr>
      <w:r>
        <w:rPr>
          <w:rtl/>
        </w:rPr>
        <w:t>(2).</w:t>
      </w:r>
      <w:r w:rsidR="008A74EB">
        <w:rPr>
          <w:rtl/>
        </w:rPr>
        <w:t xml:space="preserve"> </w:t>
      </w:r>
      <w:r w:rsidR="008A74EB" w:rsidRPr="00993B55">
        <w:rPr>
          <w:rStyle w:val="libFootnoteBoldChar"/>
          <w:rtl/>
        </w:rPr>
        <w:t>الوافي</w:t>
      </w:r>
      <w:r w:rsidR="008A74EB" w:rsidRPr="00C9040A">
        <w:rPr>
          <w:rtl/>
        </w:rPr>
        <w:t xml:space="preserve"> ، ج 4 ، ص 271 ، ح 1928 ؛ </w:t>
      </w:r>
      <w:r w:rsidR="008A74EB" w:rsidRPr="00993B55">
        <w:rPr>
          <w:rStyle w:val="libFootnoteBoldChar"/>
          <w:rtl/>
        </w:rPr>
        <w:t>الوسائل</w:t>
      </w:r>
      <w:r w:rsidR="008A74EB" w:rsidRPr="00C9040A">
        <w:rPr>
          <w:rtl/>
        </w:rPr>
        <w:t xml:space="preserve"> ، ج 15 ، ص 203 ، ح 20282 ؛ </w:t>
      </w:r>
      <w:r w:rsidR="008A74EB" w:rsidRPr="00993B55">
        <w:rPr>
          <w:rStyle w:val="libFootnoteBoldChar"/>
          <w:rtl/>
        </w:rPr>
        <w:t>البحار</w:t>
      </w:r>
      <w:r w:rsidR="008A74EB" w:rsidRPr="00C9040A">
        <w:rPr>
          <w:rtl/>
        </w:rPr>
        <w:t xml:space="preserve"> ، ج 5 ، ص 105 ، ح 31 ؛ وج 41 ، ص 6 ، ح 7 ؛ وج 70 ، ص 154 ، ح 13.</w:t>
      </w:r>
    </w:p>
    <w:tbl>
      <w:tblPr>
        <w:tblStyle w:val="TableGrid"/>
        <w:bidiVisual/>
        <w:tblW w:w="0" w:type="auto"/>
        <w:tblLook w:val="04A0" w:firstRow="1" w:lastRow="0" w:firstColumn="1" w:lastColumn="0" w:noHBand="0" w:noVBand="1"/>
      </w:tblPr>
      <w:tblGrid>
        <w:gridCol w:w="4006"/>
        <w:gridCol w:w="4006"/>
      </w:tblGrid>
      <w:tr w:rsidR="007C6058" w:rsidTr="007C6058">
        <w:tc>
          <w:tcPr>
            <w:tcW w:w="4006" w:type="dxa"/>
          </w:tcPr>
          <w:p w:rsidR="007C6058" w:rsidRDefault="007C6058" w:rsidP="004A4E41">
            <w:pPr>
              <w:pStyle w:val="libFootnote0"/>
              <w:rPr>
                <w:rtl/>
              </w:rPr>
            </w:pPr>
            <w:r>
              <w:rPr>
                <w:rtl/>
              </w:rPr>
              <w:t>(3).</w:t>
            </w:r>
            <w:r w:rsidRPr="00C9040A">
              <w:rPr>
                <w:rtl/>
              </w:rPr>
              <w:t xml:space="preserve"> الكهف (18) : 82.</w:t>
            </w:r>
          </w:p>
        </w:tc>
        <w:tc>
          <w:tcPr>
            <w:tcW w:w="4006" w:type="dxa"/>
          </w:tcPr>
          <w:p w:rsidR="007C6058" w:rsidRDefault="007C6058" w:rsidP="004A4E41">
            <w:pPr>
              <w:pStyle w:val="libFootnote0"/>
              <w:rPr>
                <w:rtl/>
              </w:rPr>
            </w:pPr>
            <w:r>
              <w:rPr>
                <w:rtl/>
              </w:rPr>
              <w:t>(4).</w:t>
            </w:r>
            <w:r w:rsidR="00ED77FF">
              <w:rPr>
                <w:rtl/>
              </w:rPr>
              <w:t xml:space="preserve"> في تفسير العيّاشي :«لوح من ذهب»بدل«كان</w:t>
            </w:r>
            <w:r w:rsidRPr="00C9040A">
              <w:rPr>
                <w:rtl/>
              </w:rPr>
              <w:t>»</w:t>
            </w:r>
            <w:r>
              <w:rPr>
                <w:rtl/>
              </w:rPr>
              <w:t>.</w:t>
            </w:r>
          </w:p>
        </w:tc>
      </w:tr>
    </w:tbl>
    <w:p w:rsidR="008A74EB" w:rsidRPr="00C9040A" w:rsidRDefault="006C577F" w:rsidP="004A4E41">
      <w:pPr>
        <w:pStyle w:val="libFootnote0"/>
        <w:rPr>
          <w:rtl/>
          <w:lang w:bidi="fa-IR"/>
        </w:rPr>
      </w:pPr>
      <w:r>
        <w:rPr>
          <w:rtl/>
        </w:rPr>
        <w:t>(5).</w:t>
      </w:r>
      <w:r w:rsidR="008A74EB" w:rsidRPr="00C9040A">
        <w:rPr>
          <w:rtl/>
        </w:rPr>
        <w:t xml:space="preserve"> في </w:t>
      </w:r>
      <w:r w:rsidR="008A74EB" w:rsidRPr="00993B55">
        <w:rPr>
          <w:rStyle w:val="libFootnoteBoldChar"/>
          <w:rtl/>
        </w:rPr>
        <w:t>الوافي</w:t>
      </w:r>
      <w:r w:rsidR="008A74EB" w:rsidRPr="00C9040A">
        <w:rPr>
          <w:rtl/>
        </w:rPr>
        <w:t xml:space="preserve"> : « لعلّ قوله : « وينبغي » إلى آخره ، من كلام الرضا </w:t>
      </w:r>
      <w:r w:rsidR="00117575" w:rsidRPr="00117575">
        <w:rPr>
          <w:rStyle w:val="libFootnoteAlaemChar"/>
          <w:rtl/>
        </w:rPr>
        <w:t>عليه‌السلام</w:t>
      </w:r>
      <w:r w:rsidR="008A74EB" w:rsidRPr="00C9040A">
        <w:rPr>
          <w:rtl/>
        </w:rPr>
        <w:t xml:space="preserve"> ، دون أن يكون من جملة ما في الكنز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ج ، ز ، ف ، بر » والبحار : + « له »</w:t>
      </w:r>
      <w:r w:rsidR="008A74EB">
        <w:rPr>
          <w:rtl/>
        </w:rPr>
        <w:t>.</w:t>
      </w:r>
      <w:r w:rsidR="008A74EB" w:rsidRPr="00C9040A">
        <w:rPr>
          <w:rtl/>
        </w:rPr>
        <w:t xml:space="preserve"> وفي « ص » : « قلت »</w:t>
      </w:r>
      <w:r w:rsidR="008A74EB">
        <w:rPr>
          <w:rtl/>
        </w:rPr>
        <w:t>.</w:t>
      </w:r>
      <w:r w:rsidR="008A74EB" w:rsidRPr="00C9040A">
        <w:rPr>
          <w:rtl/>
        </w:rPr>
        <w:t xml:space="preserve"> وفي الوسائل : « قال : قلت له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الوسائل : « فضرب يده والله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 ص » : « على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w:t>
      </w:r>
      <w:r w:rsidR="008A74EB" w:rsidRPr="00993B55">
        <w:rPr>
          <w:rStyle w:val="libFootnoteBoldChar"/>
          <w:rtl/>
        </w:rPr>
        <w:t>التهذيب</w:t>
      </w:r>
      <w:r w:rsidR="008A74EB" w:rsidRPr="00C9040A">
        <w:rPr>
          <w:rtl/>
        </w:rPr>
        <w:t xml:space="preserve"> ، ج 9 ، ص 276 ، ح 1001 ، بسنده عن عليّ بن أسباط. </w:t>
      </w:r>
      <w:r w:rsidR="008A74EB" w:rsidRPr="00993B55">
        <w:rPr>
          <w:rStyle w:val="libFootnoteBoldChar"/>
          <w:rtl/>
        </w:rPr>
        <w:t>قرب الإسناد</w:t>
      </w:r>
      <w:r w:rsidR="008A74EB" w:rsidRPr="00C9040A">
        <w:rPr>
          <w:rtl/>
        </w:rPr>
        <w:t xml:space="preserve"> ، ص 374 ، ضمن ح 1330 ، بسند آخر ، وفيهما إلى قوله : « ولا يستبطئه في رزقه » ؛ </w:t>
      </w:r>
      <w:r w:rsidR="008A74EB" w:rsidRPr="00993B55">
        <w:rPr>
          <w:rStyle w:val="libFootnoteBoldChar"/>
          <w:rtl/>
        </w:rPr>
        <w:t>الجعفريّات</w:t>
      </w:r>
      <w:r w:rsidR="008A74EB" w:rsidRPr="00C9040A">
        <w:rPr>
          <w:rtl/>
        </w:rPr>
        <w:t xml:space="preserve"> ، ص 237 ، بسند آخر عن جعفر بن محمّد ، عن آبائه ، عن عليّ </w:t>
      </w:r>
      <w:r w:rsidR="00117575" w:rsidRPr="00117575">
        <w:rPr>
          <w:rStyle w:val="libFootnoteAlaemChar"/>
          <w:rtl/>
        </w:rPr>
        <w:t>عليهم‌السلام</w:t>
      </w:r>
      <w:r w:rsidR="008A74EB" w:rsidRPr="00C9040A">
        <w:rPr>
          <w:rtl/>
        </w:rPr>
        <w:t xml:space="preserve"> عن رسول الله </w:t>
      </w:r>
      <w:r w:rsidR="004A4E41" w:rsidRPr="00B866D3">
        <w:rPr>
          <w:rStyle w:val="libFootnoteAlaemChar"/>
          <w:rtl/>
        </w:rPr>
        <w:t>صلى‌الله‌عليه‌وآله</w:t>
      </w:r>
      <w:r w:rsidR="008A74EB" w:rsidRPr="00C9040A">
        <w:rPr>
          <w:rtl/>
        </w:rPr>
        <w:t xml:space="preserve"> ، مع اختلاف ؛ </w:t>
      </w:r>
      <w:r w:rsidR="008A74EB" w:rsidRPr="00993B55">
        <w:rPr>
          <w:rStyle w:val="libFootnoteBoldChar"/>
          <w:rtl/>
        </w:rPr>
        <w:t>علل الشرائع</w:t>
      </w:r>
      <w:r w:rsidR="008A74EB" w:rsidRPr="00C9040A">
        <w:rPr>
          <w:rtl/>
        </w:rPr>
        <w:t xml:space="preserve"> ، ص 61 ، ح 1 ، بسند آخر عن جعفر بن محمّد </w:t>
      </w:r>
      <w:r w:rsidR="00117575" w:rsidRPr="00117575">
        <w:rPr>
          <w:rStyle w:val="libFootnoteAlaemChar"/>
          <w:rtl/>
        </w:rPr>
        <w:t>عليه‌السلام</w:t>
      </w:r>
      <w:r w:rsidR="008A74EB" w:rsidRPr="00C9040A">
        <w:rPr>
          <w:rtl/>
        </w:rPr>
        <w:t xml:space="preserve"> ، مع زيادة في أوّله وآخره ؛ </w:t>
      </w:r>
      <w:r w:rsidR="008A74EB" w:rsidRPr="00993B55">
        <w:rPr>
          <w:rStyle w:val="libFootnoteBoldChar"/>
          <w:rtl/>
        </w:rPr>
        <w:t>معاني الأخبار</w:t>
      </w:r>
      <w:r w:rsidR="008A74EB" w:rsidRPr="00C9040A">
        <w:rPr>
          <w:rtl/>
        </w:rPr>
        <w:t xml:space="preserve"> ، ص 200 ، ح 1 ، بسند آخر عن عليّ </w:t>
      </w:r>
      <w:r w:rsidR="00117575" w:rsidRPr="00117575">
        <w:rPr>
          <w:rStyle w:val="libFootnoteAlaemChar"/>
          <w:rtl/>
        </w:rPr>
        <w:t>عليه‌السلام</w:t>
      </w:r>
      <w:r w:rsidR="008A74EB" w:rsidRPr="00C9040A">
        <w:rPr>
          <w:rtl/>
        </w:rPr>
        <w:t xml:space="preserve"> ، مع اختلاف ؛ </w:t>
      </w:r>
      <w:r w:rsidR="008A74EB" w:rsidRPr="00993B55">
        <w:rPr>
          <w:rStyle w:val="libFootnoteBoldChar"/>
          <w:rtl/>
        </w:rPr>
        <w:t>الكافي</w:t>
      </w:r>
      <w:r w:rsidR="008A74EB" w:rsidRPr="00C9040A">
        <w:rPr>
          <w:rtl/>
        </w:rPr>
        <w:t xml:space="preserve"> ، كتاب الإيمان والكفر ، باب الرضا بالقضاء ، ح 1582 ، بسند آخر عن أبي الحسن الأوّل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تحف العقول</w:t>
      </w:r>
      <w:r w:rsidR="008A74EB" w:rsidRPr="00C9040A">
        <w:rPr>
          <w:rtl/>
        </w:rPr>
        <w:t xml:space="preserve"> ، ص 408 ، عن موسى بن جعفر </w:t>
      </w:r>
      <w:r w:rsidR="00117575" w:rsidRPr="00117575">
        <w:rPr>
          <w:rStyle w:val="libFootnoteAlaemChar"/>
          <w:rtl/>
        </w:rPr>
        <w:t xml:space="preserve">عليه‌السلام </w:t>
      </w:r>
      <w:r w:rsidR="008A74EB" w:rsidRPr="00C9040A">
        <w:rPr>
          <w:rtl/>
        </w:rPr>
        <w:t xml:space="preserve"> ، وتمام الرواية فيهما : « ينبغي لمن عقل عن الله أن لا يستبطئه في رزقه ولايتّهمه في قضائه » ؛ </w:t>
      </w:r>
      <w:r w:rsidR="008A74EB" w:rsidRPr="00993B55">
        <w:rPr>
          <w:rStyle w:val="libFootnoteBoldChar"/>
          <w:rtl/>
        </w:rPr>
        <w:t>تفسير العيّاشي</w:t>
      </w:r>
      <w:r w:rsidR="008A74EB" w:rsidRPr="00C9040A">
        <w:rPr>
          <w:rtl/>
        </w:rPr>
        <w:t xml:space="preserve"> ، ج 2 ، ص 338 ، ح 67 ، عن عليّ بن أسباط ، إلى قوله : « ولايستبطئه في رزقه »</w:t>
      </w:r>
      <w:r w:rsidR="004C5B35">
        <w:rPr>
          <w:rFonts w:hint="cs"/>
          <w:rtl/>
        </w:rPr>
        <w:t>.</w:t>
      </w:r>
      <w:r w:rsidR="008A74EB" w:rsidRPr="00993B55">
        <w:rPr>
          <w:rStyle w:val="libFootnoteBoldChar"/>
          <w:rtl/>
        </w:rPr>
        <w:t>الوافي</w:t>
      </w:r>
      <w:r w:rsidR="008A74EB" w:rsidRPr="00C9040A">
        <w:rPr>
          <w:rtl/>
        </w:rPr>
        <w:t xml:space="preserve"> ، ج 4 ، ص 272 ، ح 1932 ؛ </w:t>
      </w:r>
      <w:r w:rsidR="008A74EB" w:rsidRPr="00993B55">
        <w:rPr>
          <w:rStyle w:val="libFootnoteBoldChar"/>
          <w:rtl/>
        </w:rPr>
        <w:t>الوسائل</w:t>
      </w:r>
      <w:r w:rsidR="008A74EB" w:rsidRPr="00C9040A">
        <w:rPr>
          <w:rtl/>
        </w:rPr>
        <w:t xml:space="preserve"> ، ج 15 ، ص 203 ، ح 20283 ، إلى قوله : « كيف يحزن » ؛ وج 27 ، ص 83 ، ح 33269 ، من قوله : « جعلت فداك ا</w:t>
      </w:r>
      <w:r w:rsidR="004C5B35">
        <w:rPr>
          <w:rFonts w:hint="cs"/>
          <w:rtl/>
        </w:rPr>
        <w:t>ُ</w:t>
      </w:r>
      <w:r w:rsidR="008A74EB" w:rsidRPr="00C9040A">
        <w:rPr>
          <w:rtl/>
        </w:rPr>
        <w:t xml:space="preserve">ريد أن أكتبه » ؛ </w:t>
      </w:r>
      <w:r w:rsidR="008A74EB" w:rsidRPr="00993B55">
        <w:rPr>
          <w:rStyle w:val="libFootnoteBoldChar"/>
          <w:rtl/>
        </w:rPr>
        <w:t>البحار</w:t>
      </w:r>
      <w:r w:rsidR="008A74EB" w:rsidRPr="00C9040A">
        <w:rPr>
          <w:rtl/>
        </w:rPr>
        <w:t xml:space="preserve"> ، ج 70 ، ص 156 ، ح 14.</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1C2425">
        <w:rPr>
          <w:rtl/>
        </w:rPr>
        <w:lastRenderedPageBreak/>
        <w:t>1576</w:t>
      </w:r>
      <w:r w:rsidRPr="00261CB0">
        <w:rPr>
          <w:rStyle w:val="libBold2Char"/>
          <w:rtl/>
        </w:rPr>
        <w:t xml:space="preserve"> / 10.</w:t>
      </w:r>
      <w:r w:rsidRPr="00C9040A">
        <w:rPr>
          <w:rtl/>
          <w:lang w:bidi="fa-IR"/>
        </w:rPr>
        <w:t xml:space="preserve"> مُحَمَّدُ بْنُ يَحْيى ، عَنْ أَحْمَدَ بْنِ مُحَمَّدٍ ، عَنْ عَلِيِّ بْنِ الْحَكَمِ ، عَنْ عَبْدِ الرَّحْمنِ الْعَرْزَمِيِّ </w:t>
      </w:r>
      <w:r w:rsidR="006C577F" w:rsidRPr="006C577F">
        <w:rPr>
          <w:rStyle w:val="libFootnotenumChar"/>
          <w:rtl/>
        </w:rPr>
        <w:t>(1)</w:t>
      </w:r>
      <w:r w:rsidRPr="00C9040A">
        <w:rPr>
          <w:rtl/>
          <w:lang w:bidi="fa-IR"/>
        </w:rPr>
        <w:t>، عَنْ أَبِيهِ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كَانَ قَنْبَرٌ غُلَامُ عَلِيٍّ </w:t>
      </w:r>
      <w:r w:rsidR="006C577F" w:rsidRPr="006C577F">
        <w:rPr>
          <w:rStyle w:val="libFootnotenumChar"/>
          <w:rtl/>
        </w:rPr>
        <w:t>(2)</w:t>
      </w:r>
      <w:r w:rsidRPr="00C9040A">
        <w:rPr>
          <w:rtl/>
          <w:lang w:bidi="fa-IR"/>
        </w:rPr>
        <w:t xml:space="preserve"> يُحِبُّ عَلِيّاً </w:t>
      </w:r>
      <w:r w:rsidR="006C577F" w:rsidRPr="006C577F">
        <w:rPr>
          <w:rStyle w:val="libFootnotenumChar"/>
          <w:rtl/>
        </w:rPr>
        <w:t>(3)</w:t>
      </w:r>
      <w:r w:rsidRPr="00C9040A">
        <w:rPr>
          <w:rtl/>
          <w:lang w:bidi="fa-IR"/>
        </w:rPr>
        <w:t xml:space="preserve"> </w:t>
      </w:r>
      <w:r w:rsidRPr="0003660B">
        <w:rPr>
          <w:rStyle w:val="libAlaemChar"/>
          <w:rtl/>
        </w:rPr>
        <w:t>عليه‌السلام</w:t>
      </w:r>
      <w:r w:rsidRPr="00C9040A">
        <w:rPr>
          <w:rtl/>
          <w:lang w:bidi="fa-IR"/>
        </w:rPr>
        <w:t xml:space="preserve"> حُبّاً شَدِيداً ، فَإِذَا خَرَجَ عَلِيٌّ </w:t>
      </w:r>
      <w:r w:rsidR="006C577F" w:rsidRPr="006C577F">
        <w:rPr>
          <w:rStyle w:val="libFootnotenumChar"/>
          <w:rtl/>
        </w:rPr>
        <w:t>(4)</w:t>
      </w:r>
      <w:r w:rsidRPr="00C9040A">
        <w:rPr>
          <w:rtl/>
          <w:lang w:bidi="fa-IR"/>
        </w:rPr>
        <w:t xml:space="preserve"> </w:t>
      </w:r>
      <w:r w:rsidRPr="0003660B">
        <w:rPr>
          <w:rStyle w:val="libAlaemChar"/>
          <w:rtl/>
        </w:rPr>
        <w:t>عليه‌السلام</w:t>
      </w:r>
      <w:r w:rsidRPr="00C9040A">
        <w:rPr>
          <w:rtl/>
          <w:lang w:bidi="fa-IR"/>
        </w:rPr>
        <w:t xml:space="preserve"> خَرَجَ عَلى أَثَرِهِ بِالسَّيْفِ ، فَرَآهُ ذَاتَ لَيْلَةٍ </w:t>
      </w:r>
      <w:r w:rsidR="006C577F" w:rsidRPr="006C577F">
        <w:rPr>
          <w:rStyle w:val="libFootnotenumChar"/>
          <w:rtl/>
        </w:rPr>
        <w:t>(5)</w:t>
      </w:r>
      <w:r w:rsidRPr="00C9040A">
        <w:rPr>
          <w:rtl/>
          <w:lang w:bidi="fa-IR"/>
        </w:rPr>
        <w:t xml:space="preserve"> ، فَقَالَ </w:t>
      </w:r>
      <w:r w:rsidR="006C577F" w:rsidRPr="006C577F">
        <w:rPr>
          <w:rStyle w:val="libFootnotenumChar"/>
          <w:rtl/>
        </w:rPr>
        <w:t>(6)</w:t>
      </w:r>
      <w:r w:rsidRPr="005B567D">
        <w:rPr>
          <w:rStyle w:val="libFootnotenumChar"/>
          <w:rtl/>
        </w:rPr>
        <w:t xml:space="preserve"> </w:t>
      </w:r>
      <w:r w:rsidRPr="00C9040A">
        <w:rPr>
          <w:rtl/>
          <w:lang w:bidi="fa-IR"/>
        </w:rPr>
        <w:t>: يَا قَنْبَرُ ، مَا لَكَ</w:t>
      </w:r>
      <w:r>
        <w:rPr>
          <w:rtl/>
          <w:lang w:bidi="fa-IR"/>
        </w:rPr>
        <w:t>؟</w:t>
      </w:r>
      <w:r w:rsidRPr="00C9040A">
        <w:rPr>
          <w:rtl/>
          <w:lang w:bidi="fa-IR"/>
        </w:rPr>
        <w:t xml:space="preserve"> فَقَالَ :</w:t>
      </w:r>
      <w:r>
        <w:rPr>
          <w:rFonts w:hint="cs"/>
          <w:rtl/>
          <w:lang w:bidi="fa-IR"/>
        </w:rPr>
        <w:t xml:space="preserve"> </w:t>
      </w:r>
      <w:r w:rsidRPr="00C9040A">
        <w:rPr>
          <w:rtl/>
          <w:lang w:bidi="fa-IR"/>
        </w:rPr>
        <w:t xml:space="preserve">جِئْتُ لِأَمْشِيَ خَلْفَكَ يَا أَمِيرَ الْمُؤْمِنِينَ </w:t>
      </w:r>
      <w:r w:rsidR="006C577F" w:rsidRPr="006C577F">
        <w:rPr>
          <w:rStyle w:val="libFootnotenumChar"/>
          <w:rtl/>
        </w:rPr>
        <w:t>(7)</w:t>
      </w:r>
      <w:r>
        <w:rPr>
          <w:rtl/>
          <w:lang w:bidi="fa-IR"/>
        </w:rPr>
        <w:t xml:space="preserve"> ، قَالَ : وَيْحَكَ ، أَ</w:t>
      </w:r>
      <w:r w:rsidRPr="00C9040A">
        <w:rPr>
          <w:rtl/>
          <w:lang w:bidi="fa-IR"/>
        </w:rPr>
        <w:t xml:space="preserve">مِنْ أَهْلِ السَّمَاءِ تَحْرُسُنِي ، أَوْ </w:t>
      </w:r>
      <w:r w:rsidR="006C577F" w:rsidRPr="006C577F">
        <w:rPr>
          <w:rStyle w:val="libFootnotenumChar"/>
          <w:rtl/>
        </w:rPr>
        <w:t>(8)</w:t>
      </w:r>
      <w:r w:rsidRPr="00C9040A">
        <w:rPr>
          <w:rtl/>
          <w:lang w:bidi="fa-IR"/>
        </w:rPr>
        <w:t xml:space="preserve"> مِنْ أَهْلِ الْأَرْضِ</w:t>
      </w:r>
      <w:r>
        <w:rPr>
          <w:rtl/>
          <w:lang w:bidi="fa-IR"/>
        </w:rPr>
        <w:t>؟</w:t>
      </w:r>
      <w:r w:rsidRPr="00C9040A">
        <w:rPr>
          <w:rtl/>
          <w:lang w:bidi="fa-IR"/>
        </w:rPr>
        <w:t xml:space="preserve"> فَقَالَ : لَا </w:t>
      </w:r>
      <w:r w:rsidR="006C577F" w:rsidRPr="006C577F">
        <w:rPr>
          <w:rStyle w:val="libFootnotenumChar"/>
          <w:rtl/>
        </w:rPr>
        <w:t>(9)</w:t>
      </w:r>
      <w:r w:rsidRPr="00C9040A">
        <w:rPr>
          <w:rtl/>
          <w:lang w:bidi="fa-IR"/>
        </w:rPr>
        <w:t xml:space="preserve"> ، بَلْ مِنْ أَهْلِ الْأَرْضِ ، فَقَالَ : إِنَّ </w:t>
      </w:r>
      <w:r w:rsidR="006C577F" w:rsidRPr="006C577F">
        <w:rPr>
          <w:rStyle w:val="libFootnotenumChar"/>
          <w:rtl/>
        </w:rPr>
        <w:t>(10)</w:t>
      </w:r>
      <w:r w:rsidRPr="00C9040A">
        <w:rPr>
          <w:rtl/>
          <w:lang w:bidi="fa-IR"/>
        </w:rPr>
        <w:t xml:space="preserve"> أَهْلَ الْأَرْضِ لَاي</w:t>
      </w:r>
      <w:r w:rsidR="00373240">
        <w:rPr>
          <w:rtl/>
          <w:lang w:bidi="fa-IR"/>
        </w:rPr>
        <w:t>َسْتَطِيعُونَ لِي شَيْئاً إِل</w:t>
      </w:r>
      <w:r w:rsidR="00373240">
        <w:rPr>
          <w:rFonts w:hint="cs"/>
          <w:rtl/>
          <w:lang w:bidi="fa-IR"/>
        </w:rPr>
        <w:t>َّ</w:t>
      </w:r>
      <w:r w:rsidR="00373240">
        <w:rPr>
          <w:rtl/>
          <w:lang w:bidi="fa-IR"/>
        </w:rPr>
        <w:t>ا</w:t>
      </w:r>
      <w:r w:rsidRPr="00C9040A">
        <w:rPr>
          <w:rtl/>
          <w:lang w:bidi="fa-IR"/>
        </w:rPr>
        <w:t xml:space="preserve"> بِإِذْنِ اللهِ مِنَ السَّمَاءِ ، فَارْجِعْ ، فَرَجَعَ »</w:t>
      </w:r>
      <w:r>
        <w:rPr>
          <w:rtl/>
          <w:lang w:bidi="fa-IR"/>
        </w:rPr>
        <w:t>.</w:t>
      </w:r>
      <w:r w:rsidRPr="00C9040A">
        <w:rPr>
          <w:rtl/>
          <w:lang w:bidi="fa-IR"/>
        </w:rPr>
        <w:t xml:space="preserve"> </w:t>
      </w:r>
      <w:r w:rsidR="006C577F" w:rsidRPr="006C577F">
        <w:rPr>
          <w:rStyle w:val="libFootnotenumChar"/>
          <w:rtl/>
        </w:rPr>
        <w:t>(11)</w:t>
      </w:r>
      <w:r w:rsidRPr="00C9040A">
        <w:rPr>
          <w:rtl/>
          <w:lang w:bidi="fa-IR"/>
        </w:rPr>
        <w:t xml:space="preserve"> ‌</w:t>
      </w:r>
    </w:p>
    <w:p w:rsidR="008A74EB" w:rsidRPr="00C9040A" w:rsidRDefault="008A74EB" w:rsidP="008A74EB">
      <w:pPr>
        <w:pStyle w:val="libNormal"/>
        <w:rPr>
          <w:rtl/>
          <w:lang w:bidi="fa-IR"/>
        </w:rPr>
      </w:pPr>
      <w:r w:rsidRPr="001C2425">
        <w:rPr>
          <w:rtl/>
        </w:rPr>
        <w:t>1577</w:t>
      </w:r>
      <w:r w:rsidRPr="00261CB0">
        <w:rPr>
          <w:rStyle w:val="libBold2Char"/>
          <w:rtl/>
        </w:rPr>
        <w:t xml:space="preserve"> / 11.</w:t>
      </w:r>
      <w:r w:rsidRPr="00C9040A">
        <w:rPr>
          <w:rtl/>
          <w:lang w:bidi="fa-IR"/>
        </w:rPr>
        <w:t xml:space="preserve"> عَلِيُّ بْنُ إِبْرَاهِيمَ ، عَنْ مُحَمَّدِ بْنِ عِيسى ، عَنْ يُونُسَ ، عَمَّنْ ذَكَرَهُ ، قَالَ :</w:t>
      </w:r>
    </w:p>
    <w:p w:rsidR="008A74EB" w:rsidRPr="00C9040A" w:rsidRDefault="008A74EB" w:rsidP="008A74EB">
      <w:pPr>
        <w:pStyle w:val="libNormal"/>
        <w:rPr>
          <w:rtl/>
          <w:lang w:bidi="fa-IR"/>
        </w:rPr>
      </w:pPr>
      <w:r w:rsidRPr="00C9040A">
        <w:rPr>
          <w:rtl/>
          <w:lang w:bidi="fa-IR"/>
        </w:rPr>
        <w:t xml:space="preserve">قِيلَ لِلرِّضَا </w:t>
      </w:r>
      <w:r w:rsidRPr="0003660B">
        <w:rPr>
          <w:rStyle w:val="libAlaemChar"/>
          <w:rtl/>
        </w:rPr>
        <w:t>عليه‌السلام</w:t>
      </w:r>
      <w:r w:rsidRPr="00C9040A">
        <w:rPr>
          <w:rtl/>
          <w:lang w:bidi="fa-IR"/>
        </w:rPr>
        <w:t xml:space="preserve"> : إِنَّكَ تَتَكَلَّمُ </w:t>
      </w:r>
      <w:r w:rsidR="006C577F" w:rsidRPr="006C577F">
        <w:rPr>
          <w:rStyle w:val="libFootnotenumChar"/>
          <w:rtl/>
        </w:rPr>
        <w:t>(12)</w:t>
      </w:r>
      <w:r w:rsidRPr="00C9040A">
        <w:rPr>
          <w:rtl/>
          <w:lang w:bidi="fa-IR"/>
        </w:rPr>
        <w:t xml:space="preserve"> بِهذَا الْكَلَامِ </w:t>
      </w:r>
      <w:r w:rsidRPr="005B567D">
        <w:rPr>
          <w:rStyle w:val="libFootnotenumChar"/>
          <w:rtl/>
        </w:rPr>
        <w:t>(13)</w:t>
      </w:r>
      <w:r w:rsidRPr="00C9040A">
        <w:rPr>
          <w:rtl/>
          <w:lang w:bidi="fa-IR"/>
        </w:rPr>
        <w:t xml:space="preserve"> وَالسَّيْفُ يَقْطُرُ دَماً </w:t>
      </w:r>
      <w:r w:rsidRPr="005B567D">
        <w:rPr>
          <w:rStyle w:val="libFootnotenumChar"/>
          <w:rtl/>
        </w:rPr>
        <w:t>(14)</w:t>
      </w:r>
      <w:r w:rsidR="00373240" w:rsidRPr="00373240">
        <w:rPr>
          <w:rFonts w:hint="cs"/>
          <w:rtl/>
        </w:rPr>
        <w:t>.</w:t>
      </w:r>
    </w:p>
    <w:p w:rsidR="008A74EB" w:rsidRPr="00C9040A" w:rsidRDefault="008A74EB" w:rsidP="008A74EB">
      <w:pPr>
        <w:pStyle w:val="libNormal"/>
        <w:rPr>
          <w:rtl/>
          <w:lang w:bidi="fa-IR"/>
        </w:rPr>
      </w:pPr>
      <w:r w:rsidRPr="00C9040A">
        <w:rPr>
          <w:rtl/>
          <w:lang w:bidi="fa-IR"/>
        </w:rPr>
        <w:t xml:space="preserve">فَقَالَ : « إِنَّ لِلّهِ وَادِياً مِنْ ذَهَبٍ حَمَاهُ بِأَضْعَفِ خَلْقِهِ </w:t>
      </w:r>
      <w:r w:rsidRPr="005B567D">
        <w:rPr>
          <w:rStyle w:val="libFootnotenumChar"/>
          <w:rtl/>
        </w:rPr>
        <w:t>(15)</w:t>
      </w:r>
      <w:r w:rsidRPr="00C9040A">
        <w:rPr>
          <w:rtl/>
          <w:lang w:bidi="fa-IR"/>
        </w:rPr>
        <w:t xml:space="preserve"> النَّمْلِ ، فَلَوْ رَامَهُ </w:t>
      </w:r>
      <w:r w:rsidRPr="005B567D">
        <w:rPr>
          <w:rStyle w:val="libFootnotenumChar"/>
          <w:rtl/>
        </w:rPr>
        <w:t>(16)</w:t>
      </w:r>
      <w:r w:rsidRPr="00C9040A">
        <w:rPr>
          <w:rtl/>
          <w:lang w:bidi="fa-IR"/>
        </w:rPr>
        <w:t xml:space="preserve"> الْبَخَاتِيُّ </w:t>
      </w:r>
      <w:r w:rsidRPr="005B567D">
        <w:rPr>
          <w:rStyle w:val="libFootnotenumChar"/>
          <w:rtl/>
        </w:rPr>
        <w:t>(17)</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 ب ، بس » : « العزرمي »</w:t>
      </w:r>
      <w:r w:rsidR="008A74EB">
        <w:rPr>
          <w:rtl/>
        </w:rPr>
        <w:t>.</w:t>
      </w:r>
      <w:r w:rsidR="008A74EB" w:rsidRPr="00C9040A">
        <w:rPr>
          <w:rtl/>
        </w:rPr>
        <w:t xml:space="preserve"> وفي « ض » : « العرزفي » والصواب هو « العَرْزَميّ » بفتح العين المهملة وسكون الراء وفتح الزاي المعجمة. راجع : </w:t>
      </w:r>
      <w:r w:rsidR="008A74EB" w:rsidRPr="00993B55">
        <w:rPr>
          <w:rStyle w:val="libFootnoteBoldChar"/>
          <w:rtl/>
        </w:rPr>
        <w:t>الأنساب</w:t>
      </w:r>
      <w:r w:rsidR="008A74EB" w:rsidRPr="00C9040A">
        <w:rPr>
          <w:rtl/>
        </w:rPr>
        <w:t xml:space="preserve"> للسمعاني ، ج 4 ، ص 178.</w:t>
      </w:r>
    </w:p>
    <w:p w:rsidR="008A74EB" w:rsidRPr="004A4E41" w:rsidRDefault="006C577F" w:rsidP="004A4E41">
      <w:pPr>
        <w:pStyle w:val="libFootnote0"/>
        <w:rPr>
          <w:rStyle w:val="libFootnote0Char"/>
          <w:rtl/>
        </w:rPr>
      </w:pPr>
      <w:r>
        <w:rPr>
          <w:rtl/>
        </w:rPr>
        <w:t>(2).</w:t>
      </w:r>
      <w:r w:rsidR="008A74EB">
        <w:rPr>
          <w:rtl/>
        </w:rPr>
        <w:t xml:space="preserve"> </w:t>
      </w:r>
      <w:r w:rsidR="008A74EB" w:rsidRPr="00C9040A">
        <w:rPr>
          <w:rtl/>
        </w:rPr>
        <w:t>في « ب ، بر » : + « وكان »</w:t>
      </w:r>
      <w:r w:rsidR="008A74EB">
        <w:rPr>
          <w:rtl/>
        </w:rPr>
        <w:t>.</w:t>
      </w:r>
      <w:r w:rsidR="008A74EB" w:rsidRPr="00C9040A">
        <w:rPr>
          <w:rtl/>
        </w:rPr>
        <w:t xml:space="preserve"> وفي « ض » : + « أمير المؤمنين </w:t>
      </w:r>
      <w:r w:rsidR="00117575" w:rsidRPr="00117575">
        <w:rPr>
          <w:rStyle w:val="libFootnoteAlaemChar"/>
          <w:rtl/>
        </w:rPr>
        <w:t xml:space="preserve">عليه‌السلام </w:t>
      </w:r>
      <w:r w:rsidR="008A74EB" w:rsidRPr="00C9040A">
        <w:rPr>
          <w:rtl/>
        </w:rPr>
        <w:t xml:space="preserve"> وكان »</w:t>
      </w:r>
      <w:r w:rsidR="008A74EB">
        <w:rPr>
          <w:rtl/>
        </w:rPr>
        <w:t>.</w:t>
      </w:r>
    </w:p>
    <w:tbl>
      <w:tblPr>
        <w:tblStyle w:val="TableGrid"/>
        <w:bidiVisual/>
        <w:tblW w:w="0" w:type="auto"/>
        <w:tblLook w:val="04A0" w:firstRow="1" w:lastRow="0" w:firstColumn="1" w:lastColumn="0" w:noHBand="0" w:noVBand="1"/>
      </w:tblPr>
      <w:tblGrid>
        <w:gridCol w:w="4006"/>
        <w:gridCol w:w="4006"/>
      </w:tblGrid>
      <w:tr w:rsidR="00373240" w:rsidTr="00373240">
        <w:tc>
          <w:tcPr>
            <w:tcW w:w="4006" w:type="dxa"/>
          </w:tcPr>
          <w:p w:rsidR="00373240" w:rsidRDefault="00373240" w:rsidP="004A4E41">
            <w:pPr>
              <w:pStyle w:val="libFootnote0"/>
              <w:rPr>
                <w:rtl/>
              </w:rPr>
            </w:pPr>
            <w:r>
              <w:rPr>
                <w:rtl/>
              </w:rPr>
              <w:t>(3).</w:t>
            </w:r>
            <w:r w:rsidRPr="00C9040A">
              <w:rPr>
                <w:rtl/>
              </w:rPr>
              <w:t xml:space="preserve"> في « ض » : « أمير المؤمنين »</w:t>
            </w:r>
            <w:r>
              <w:rPr>
                <w:rtl/>
              </w:rPr>
              <w:t>.</w:t>
            </w:r>
          </w:p>
        </w:tc>
        <w:tc>
          <w:tcPr>
            <w:tcW w:w="4006" w:type="dxa"/>
          </w:tcPr>
          <w:p w:rsidR="00373240" w:rsidRDefault="00373240" w:rsidP="004A4E41">
            <w:pPr>
              <w:pStyle w:val="libFootnote0"/>
              <w:rPr>
                <w:rtl/>
              </w:rPr>
            </w:pPr>
            <w:r>
              <w:rPr>
                <w:rtl/>
              </w:rPr>
              <w:t>(4).</w:t>
            </w:r>
            <w:r w:rsidRPr="00C9040A">
              <w:rPr>
                <w:rtl/>
              </w:rPr>
              <w:t xml:space="preserve"> في « ض » : « أمير المؤمنين »</w:t>
            </w:r>
            <w:r>
              <w:rPr>
                <w:rtl/>
              </w:rPr>
              <w:t>.</w:t>
            </w:r>
          </w:p>
        </w:tc>
      </w:tr>
      <w:tr w:rsidR="00373240" w:rsidTr="00373240">
        <w:tc>
          <w:tcPr>
            <w:tcW w:w="4006" w:type="dxa"/>
          </w:tcPr>
          <w:p w:rsidR="00373240" w:rsidRDefault="005C4399" w:rsidP="004A4E41">
            <w:pPr>
              <w:pStyle w:val="libFootnote0"/>
              <w:rPr>
                <w:rtl/>
              </w:rPr>
            </w:pPr>
            <w:r>
              <w:rPr>
                <w:rtl/>
              </w:rPr>
              <w:t>(5).</w:t>
            </w:r>
            <w:r w:rsidRPr="00C9040A">
              <w:rPr>
                <w:rtl/>
              </w:rPr>
              <w:t xml:space="preserve"> في « ف » : « يوم »</w:t>
            </w:r>
            <w:r>
              <w:rPr>
                <w:rtl/>
              </w:rPr>
              <w:t>.</w:t>
            </w:r>
          </w:p>
        </w:tc>
        <w:tc>
          <w:tcPr>
            <w:tcW w:w="4006" w:type="dxa"/>
          </w:tcPr>
          <w:p w:rsidR="00373240" w:rsidRDefault="005C4399" w:rsidP="004A4E41">
            <w:pPr>
              <w:pStyle w:val="libFootnote0"/>
              <w:rPr>
                <w:rtl/>
              </w:rPr>
            </w:pPr>
            <w:r>
              <w:rPr>
                <w:rtl/>
              </w:rPr>
              <w:t xml:space="preserve">(6). </w:t>
            </w:r>
            <w:r w:rsidRPr="00C9040A">
              <w:rPr>
                <w:rtl/>
              </w:rPr>
              <w:t>في « ب ، ف ، بف » : « قال »</w:t>
            </w:r>
            <w:r>
              <w:rPr>
                <w:rtl/>
              </w:rPr>
              <w:t>.</w:t>
            </w:r>
          </w:p>
        </w:tc>
      </w:tr>
    </w:tbl>
    <w:p w:rsidR="008A74EB" w:rsidRPr="004A4E41" w:rsidRDefault="006C577F" w:rsidP="004A4E41">
      <w:pPr>
        <w:pStyle w:val="libFootnote0"/>
        <w:rPr>
          <w:rStyle w:val="libFootnote0Char"/>
          <w:rtl/>
        </w:rPr>
      </w:pPr>
      <w:r>
        <w:rPr>
          <w:rtl/>
        </w:rPr>
        <w:t>(7).</w:t>
      </w:r>
      <w:r w:rsidR="008A74EB" w:rsidRPr="00C9040A">
        <w:rPr>
          <w:rtl/>
        </w:rPr>
        <w:t xml:space="preserve"> في التوحيد : « خلفك ، فإنّ الناس كما تراهم يا أمير المؤمنين ، فخفت عليك » بدل « خلفك يا أمير المؤمنين »</w:t>
      </w:r>
      <w:r w:rsidR="008A74EB">
        <w:rPr>
          <w:rtl/>
        </w:rPr>
        <w:t>.</w:t>
      </w:r>
    </w:p>
    <w:tbl>
      <w:tblPr>
        <w:tblStyle w:val="TableGrid"/>
        <w:bidiVisual/>
        <w:tblW w:w="0" w:type="auto"/>
        <w:tblLook w:val="04A0" w:firstRow="1" w:lastRow="0" w:firstColumn="1" w:lastColumn="0" w:noHBand="0" w:noVBand="1"/>
      </w:tblPr>
      <w:tblGrid>
        <w:gridCol w:w="4006"/>
        <w:gridCol w:w="4006"/>
      </w:tblGrid>
      <w:tr w:rsidR="003A3816" w:rsidTr="003A3816">
        <w:tc>
          <w:tcPr>
            <w:tcW w:w="4006" w:type="dxa"/>
          </w:tcPr>
          <w:p w:rsidR="003A3816" w:rsidRDefault="003A3816" w:rsidP="004A4E41">
            <w:pPr>
              <w:pStyle w:val="libFootnote0"/>
              <w:rPr>
                <w:rtl/>
                <w:lang w:bidi="fa-IR"/>
              </w:rPr>
            </w:pPr>
            <w:r>
              <w:rPr>
                <w:rtl/>
              </w:rPr>
              <w:t>(8).</w:t>
            </w:r>
            <w:r w:rsidRPr="00C9040A">
              <w:rPr>
                <w:rtl/>
              </w:rPr>
              <w:t xml:space="preserve"> في « ز ، ص ، ض ، بس » والتوحيد : « أم »</w:t>
            </w:r>
            <w:r>
              <w:rPr>
                <w:rtl/>
              </w:rPr>
              <w:t>.</w:t>
            </w:r>
          </w:p>
        </w:tc>
        <w:tc>
          <w:tcPr>
            <w:tcW w:w="4006" w:type="dxa"/>
          </w:tcPr>
          <w:p w:rsidR="003A3816" w:rsidRDefault="003A3816" w:rsidP="004A4E41">
            <w:pPr>
              <w:pStyle w:val="libFootnote0"/>
              <w:rPr>
                <w:rtl/>
                <w:lang w:bidi="fa-IR"/>
              </w:rPr>
            </w:pPr>
            <w:r>
              <w:rPr>
                <w:rtl/>
              </w:rPr>
              <w:t>(9).</w:t>
            </w:r>
            <w:r w:rsidRPr="00C9040A">
              <w:rPr>
                <w:rtl/>
              </w:rPr>
              <w:t xml:space="preserve"> في « ف » </w:t>
            </w:r>
            <w:r>
              <w:rPr>
                <w:rtl/>
              </w:rPr>
              <w:t>: -</w:t>
            </w:r>
            <w:r w:rsidRPr="00C9040A">
              <w:rPr>
                <w:rtl/>
              </w:rPr>
              <w:t xml:space="preserve"> « لا »</w:t>
            </w:r>
            <w:r>
              <w:rPr>
                <w:rtl/>
              </w:rPr>
              <w:t>.</w:t>
            </w:r>
          </w:p>
        </w:tc>
      </w:tr>
    </w:tbl>
    <w:p w:rsidR="008A74EB" w:rsidRPr="00C9040A" w:rsidRDefault="006C577F" w:rsidP="004A4E41">
      <w:pPr>
        <w:pStyle w:val="libFootnote0"/>
        <w:rPr>
          <w:rtl/>
          <w:lang w:bidi="fa-IR"/>
        </w:rPr>
      </w:pPr>
      <w:r>
        <w:rPr>
          <w:rtl/>
        </w:rPr>
        <w:t>(10).</w:t>
      </w:r>
      <w:r w:rsidR="008A74EB" w:rsidRPr="00C9040A">
        <w:rPr>
          <w:rtl/>
        </w:rPr>
        <w:t xml:space="preserve"> في « ب » </w:t>
      </w:r>
      <w:r w:rsidR="008A74EB">
        <w:rPr>
          <w:rtl/>
        </w:rPr>
        <w:t xml:space="preserve">: </w:t>
      </w:r>
      <w:r w:rsidR="0084262C">
        <w:rPr>
          <w:rtl/>
        </w:rPr>
        <w:t>-</w:t>
      </w:r>
      <w:r w:rsidR="008A74EB" w:rsidRPr="00C9040A">
        <w:rPr>
          <w:rtl/>
        </w:rPr>
        <w:t xml:space="preserve"> « إنّ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w:t>
      </w:r>
      <w:r w:rsidR="008A74EB" w:rsidRPr="00993B55">
        <w:rPr>
          <w:rStyle w:val="libFootnoteBoldChar"/>
          <w:rtl/>
        </w:rPr>
        <w:t>التوحيد</w:t>
      </w:r>
      <w:r w:rsidR="008A74EB" w:rsidRPr="00C9040A">
        <w:rPr>
          <w:rtl/>
        </w:rPr>
        <w:t xml:space="preserve"> ، ص 338 ، ح 7 ، بسنده عن العرزمي ، عن أبيه ، مع اختلاف يسير</w:t>
      </w:r>
      <w:r w:rsidR="00060C16">
        <w:rPr>
          <w:rFonts w:hint="cs"/>
          <w:rtl/>
        </w:rPr>
        <w:t>.</w:t>
      </w:r>
      <w:r w:rsidR="008A74EB" w:rsidRPr="00993B55">
        <w:rPr>
          <w:rStyle w:val="libFootnoteBoldChar"/>
          <w:rtl/>
        </w:rPr>
        <w:t>الوافي</w:t>
      </w:r>
      <w:r w:rsidR="008A74EB" w:rsidRPr="00C9040A">
        <w:rPr>
          <w:rtl/>
        </w:rPr>
        <w:t xml:space="preserve"> ، ج 4 ، ص 271 ، ح 1929 ؛ </w:t>
      </w:r>
      <w:r w:rsidR="008A74EB" w:rsidRPr="00993B55">
        <w:rPr>
          <w:rStyle w:val="libFootnoteBoldChar"/>
          <w:rtl/>
        </w:rPr>
        <w:t>البحار</w:t>
      </w:r>
      <w:r w:rsidR="008A74EB" w:rsidRPr="00C9040A">
        <w:rPr>
          <w:rtl/>
        </w:rPr>
        <w:t xml:space="preserve"> ، ج 70 ، ص 158 ، ح 15.</w:t>
      </w:r>
      <w:r w:rsidR="00B866D3">
        <w:rPr>
          <w:rFonts w:hint="cs"/>
          <w:rtl/>
        </w:rPr>
        <w:t xml:space="preserve">   </w:t>
      </w:r>
      <w:r w:rsidR="00060C16">
        <w:rPr>
          <w:rFonts w:hint="cs"/>
          <w:rtl/>
        </w:rPr>
        <w:t xml:space="preserve"> </w:t>
      </w:r>
      <w:r>
        <w:rPr>
          <w:rtl/>
        </w:rPr>
        <w:t>(12).</w:t>
      </w:r>
      <w:r w:rsidR="008A74EB" w:rsidRPr="00C9040A">
        <w:rPr>
          <w:rtl/>
        </w:rPr>
        <w:t xml:space="preserve"> في البحار : « متكلّم »</w:t>
      </w:r>
      <w:r w:rsidR="008A74EB">
        <w:rPr>
          <w:rtl/>
        </w:rPr>
        <w:t>.</w:t>
      </w:r>
    </w:p>
    <w:p w:rsidR="008A74EB" w:rsidRPr="004A4E41" w:rsidRDefault="008A74EB" w:rsidP="004A4E41">
      <w:pPr>
        <w:pStyle w:val="libFootnote0"/>
        <w:rPr>
          <w:rStyle w:val="libFootnote0Char"/>
          <w:rtl/>
        </w:rPr>
      </w:pPr>
      <w:r>
        <w:rPr>
          <w:rtl/>
        </w:rPr>
        <w:t>(13)</w:t>
      </w:r>
      <w:r w:rsidRPr="00C9040A">
        <w:rPr>
          <w:rtl/>
        </w:rPr>
        <w:t xml:space="preserve"> « بهذا الكلام » أي بدعوى الإمامة. </w:t>
      </w:r>
      <w:r>
        <w:rPr>
          <w:rtl/>
        </w:rPr>
        <w:t>و «</w:t>
      </w:r>
      <w:r w:rsidRPr="00C9040A">
        <w:rPr>
          <w:rtl/>
        </w:rPr>
        <w:t xml:space="preserve"> السيف » أي سيف السلطان. راجع : </w:t>
      </w:r>
      <w:r w:rsidRPr="00993B55">
        <w:rPr>
          <w:rStyle w:val="libFootnoteBoldChar"/>
          <w:rtl/>
        </w:rPr>
        <w:t>مرآة العقول</w:t>
      </w:r>
      <w:r w:rsidRPr="00C9040A">
        <w:rPr>
          <w:rtl/>
        </w:rPr>
        <w:t xml:space="preserve"> ، ج 7 ، ص 371.</w:t>
      </w:r>
    </w:p>
    <w:tbl>
      <w:tblPr>
        <w:tblStyle w:val="TableGrid"/>
        <w:bidiVisual/>
        <w:tblW w:w="0" w:type="auto"/>
        <w:tblLook w:val="04A0" w:firstRow="1" w:lastRow="0" w:firstColumn="1" w:lastColumn="0" w:noHBand="0" w:noVBand="1"/>
      </w:tblPr>
      <w:tblGrid>
        <w:gridCol w:w="4006"/>
        <w:gridCol w:w="4006"/>
      </w:tblGrid>
      <w:tr w:rsidR="00060C16" w:rsidTr="00060C16">
        <w:tc>
          <w:tcPr>
            <w:tcW w:w="4006" w:type="dxa"/>
          </w:tcPr>
          <w:p w:rsidR="00060C16" w:rsidRDefault="00060C16" w:rsidP="004A4E41">
            <w:pPr>
              <w:pStyle w:val="libFootnote0"/>
              <w:rPr>
                <w:rtl/>
              </w:rPr>
            </w:pPr>
            <w:r>
              <w:rPr>
                <w:rtl/>
              </w:rPr>
              <w:t>(14)</w:t>
            </w:r>
            <w:r w:rsidRPr="00C9040A">
              <w:rPr>
                <w:rtl/>
              </w:rPr>
              <w:t xml:space="preserve"> في البحار : « الدم »</w:t>
            </w:r>
            <w:r>
              <w:rPr>
                <w:rtl/>
              </w:rPr>
              <w:t>.</w:t>
            </w:r>
          </w:p>
        </w:tc>
        <w:tc>
          <w:tcPr>
            <w:tcW w:w="4006" w:type="dxa"/>
          </w:tcPr>
          <w:p w:rsidR="00060C16" w:rsidRDefault="00060C16" w:rsidP="004A4E41">
            <w:pPr>
              <w:pStyle w:val="libFootnote0"/>
              <w:rPr>
                <w:rtl/>
              </w:rPr>
            </w:pPr>
            <w:r>
              <w:rPr>
                <w:rtl/>
              </w:rPr>
              <w:t>(15)</w:t>
            </w:r>
            <w:r w:rsidRPr="00C9040A">
              <w:rPr>
                <w:rtl/>
              </w:rPr>
              <w:t xml:space="preserve"> في حاشية « ج » : + « وهو »</w:t>
            </w:r>
            <w:r>
              <w:rPr>
                <w:rtl/>
              </w:rPr>
              <w:t>.</w:t>
            </w:r>
          </w:p>
        </w:tc>
      </w:tr>
    </w:tbl>
    <w:p w:rsidR="008A74EB" w:rsidRPr="00C9040A" w:rsidRDefault="008A74EB" w:rsidP="004A4E41">
      <w:pPr>
        <w:pStyle w:val="libFootnote0"/>
        <w:rPr>
          <w:rtl/>
          <w:lang w:bidi="fa-IR"/>
        </w:rPr>
      </w:pPr>
      <w:r>
        <w:rPr>
          <w:rtl/>
        </w:rPr>
        <w:t>(16)</w:t>
      </w:r>
      <w:r w:rsidRPr="00C9040A">
        <w:rPr>
          <w:rtl/>
        </w:rPr>
        <w:t xml:space="preserve"> « رامه » ، أي طلبه ؛ من الرَّوْم ، وهو الطلب. راجع : </w:t>
      </w:r>
      <w:r w:rsidRPr="00993B55">
        <w:rPr>
          <w:rStyle w:val="libFootnoteBoldChar"/>
          <w:rtl/>
        </w:rPr>
        <w:t>الصحاح</w:t>
      </w:r>
      <w:r w:rsidRPr="00C9040A">
        <w:rPr>
          <w:rtl/>
        </w:rPr>
        <w:t xml:space="preserve"> ، ج 5 ، ص 1938 ؛ </w:t>
      </w:r>
      <w:r w:rsidRPr="00993B55">
        <w:rPr>
          <w:rStyle w:val="libFootnoteBoldChar"/>
          <w:rtl/>
        </w:rPr>
        <w:t>المصباح المنير</w:t>
      </w:r>
      <w:r w:rsidRPr="00C9040A">
        <w:rPr>
          <w:rtl/>
        </w:rPr>
        <w:t xml:space="preserve"> ، ص 246 ( روم )</w:t>
      </w:r>
      <w:r>
        <w:rPr>
          <w:rtl/>
        </w:rPr>
        <w:t>.</w:t>
      </w:r>
      <w:r w:rsidRPr="00C9040A">
        <w:rPr>
          <w:rtl/>
        </w:rPr>
        <w:t xml:space="preserve"> في </w:t>
      </w:r>
      <w:r w:rsidRPr="00993B55">
        <w:rPr>
          <w:rStyle w:val="libFootnoteBoldChar"/>
          <w:rtl/>
        </w:rPr>
        <w:t>البحار</w:t>
      </w:r>
      <w:r w:rsidRPr="00C9040A">
        <w:rPr>
          <w:rtl/>
        </w:rPr>
        <w:t xml:space="preserve"> ، ج 49 </w:t>
      </w:r>
      <w:r>
        <w:rPr>
          <w:rtl/>
        </w:rPr>
        <w:t>و 6</w:t>
      </w:r>
      <w:r w:rsidRPr="00C9040A">
        <w:rPr>
          <w:rtl/>
        </w:rPr>
        <w:t>0 : « رامته »</w:t>
      </w:r>
      <w:r>
        <w:rPr>
          <w:rtl/>
        </w:rPr>
        <w:t>.</w:t>
      </w:r>
      <w:r w:rsidRPr="00C9040A">
        <w:rPr>
          <w:rtl/>
        </w:rPr>
        <w:t xml:space="preserve"> وفي البحار ، ج 70 : « رامت »</w:t>
      </w:r>
      <w:r>
        <w:rPr>
          <w:rtl/>
        </w:rPr>
        <w:t>.</w:t>
      </w:r>
    </w:p>
    <w:p w:rsidR="008A74EB" w:rsidRPr="00C9040A" w:rsidRDefault="008A74EB" w:rsidP="004A4E41">
      <w:pPr>
        <w:pStyle w:val="libFootnote0"/>
        <w:rPr>
          <w:rtl/>
          <w:lang w:bidi="fa-IR"/>
        </w:rPr>
      </w:pPr>
      <w:r>
        <w:rPr>
          <w:rtl/>
        </w:rPr>
        <w:t>(17)</w:t>
      </w:r>
      <w:r w:rsidRPr="00C9040A">
        <w:rPr>
          <w:rtl/>
        </w:rPr>
        <w:t xml:space="preserve"> البَخاتِيُّ : جمع البُخْت ، وهي جمال طوال الأعناق ، وهو معرّب ، وقيل : هو عربيّ. راجع : </w:t>
      </w:r>
      <w:r w:rsidRPr="00993B55">
        <w:rPr>
          <w:rStyle w:val="libFootnoteBoldChar"/>
          <w:rtl/>
        </w:rPr>
        <w:t>الصحاح</w:t>
      </w:r>
      <w:r w:rsidRPr="00C9040A">
        <w:rPr>
          <w:rtl/>
        </w:rPr>
        <w:t xml:space="preserve"> ، </w:t>
      </w:r>
      <w:r w:rsidR="00105A3C">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لَمْ تَصِلْ </w:t>
      </w:r>
      <w:r w:rsidR="006C577F" w:rsidRPr="006C577F">
        <w:rPr>
          <w:rStyle w:val="libFootnotenumChar"/>
          <w:rtl/>
        </w:rPr>
        <w:t>(1)</w:t>
      </w:r>
      <w:r w:rsidRPr="00853746">
        <w:rPr>
          <w:rFonts w:hint="cs"/>
          <w:rtl/>
        </w:rPr>
        <w:t xml:space="preserve"> </w:t>
      </w:r>
      <w:r w:rsidRPr="00C9040A">
        <w:rPr>
          <w:rtl/>
          <w:lang w:bidi="fa-IR"/>
        </w:rPr>
        <w:t>إِلَيْهِ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Heading2Center"/>
        <w:rPr>
          <w:rtl/>
          <w:lang w:bidi="fa-IR"/>
        </w:rPr>
      </w:pPr>
      <w:bookmarkStart w:id="103" w:name="_Toc343795622"/>
      <w:bookmarkStart w:id="104" w:name="_Toc459810746"/>
      <w:bookmarkStart w:id="105" w:name="_Toc35348652"/>
      <w:r w:rsidRPr="00C9040A">
        <w:rPr>
          <w:rtl/>
          <w:lang w:bidi="fa-IR"/>
        </w:rPr>
        <w:t>31</w:t>
      </w:r>
      <w:r>
        <w:rPr>
          <w:rtl/>
          <w:lang w:bidi="fa-IR"/>
        </w:rPr>
        <w:t xml:space="preserve"> </w:t>
      </w:r>
      <w:r w:rsidR="0084262C">
        <w:rPr>
          <w:rtl/>
          <w:lang w:bidi="fa-IR"/>
        </w:rPr>
        <w:t>-</w:t>
      </w:r>
      <w:r>
        <w:rPr>
          <w:rtl/>
          <w:lang w:bidi="fa-IR"/>
        </w:rPr>
        <w:t xml:space="preserve"> </w:t>
      </w:r>
      <w:r w:rsidRPr="00C9040A">
        <w:rPr>
          <w:rtl/>
          <w:lang w:bidi="fa-IR"/>
        </w:rPr>
        <w:t>بَابُ الرِّضَا بِالْقَضَاءِ‌</w:t>
      </w:r>
      <w:bookmarkEnd w:id="103"/>
      <w:bookmarkEnd w:id="104"/>
      <w:bookmarkEnd w:id="105"/>
    </w:p>
    <w:p w:rsidR="008A74EB" w:rsidRPr="00C9040A" w:rsidRDefault="008A74EB" w:rsidP="008A74EB">
      <w:pPr>
        <w:pStyle w:val="libNormal"/>
        <w:rPr>
          <w:rtl/>
          <w:lang w:bidi="fa-IR"/>
        </w:rPr>
      </w:pPr>
      <w:r w:rsidRPr="00873C06">
        <w:rPr>
          <w:rtl/>
        </w:rPr>
        <w:t>1578</w:t>
      </w:r>
      <w:r w:rsidRPr="00261CB0">
        <w:rPr>
          <w:rStyle w:val="libBold2Char"/>
          <w:rtl/>
        </w:rPr>
        <w:t xml:space="preserve"> / 1.</w:t>
      </w:r>
      <w:r w:rsidRPr="00C9040A">
        <w:rPr>
          <w:rtl/>
          <w:lang w:bidi="fa-IR"/>
        </w:rPr>
        <w:t xml:space="preserve"> عَلِيُّ بْنُ إِبْرَاهِيمَ ، عَنْ أَبِيهِ ، عَنِ ابْنِ أَبِي عُمَيْرٍ ، عَنْ جَمِيلِ بْنِ صَالِحٍ ، عَنْ بَعْضِ أَشْيَاخِ بَنِي النَّجَاشِيِّ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رَأْسُ طَاعَةِ اللهِ </w:t>
      </w:r>
      <w:r w:rsidR="006C577F" w:rsidRPr="006C577F">
        <w:rPr>
          <w:rStyle w:val="libFootnotenumChar"/>
          <w:rtl/>
        </w:rPr>
        <w:t>(4)</w:t>
      </w:r>
      <w:r w:rsidRPr="00C9040A">
        <w:rPr>
          <w:rtl/>
          <w:lang w:bidi="fa-IR"/>
        </w:rPr>
        <w:t xml:space="preserve"> الصَّبْرُ وَالرِّضَا عَنِ اللهِ فِيمَا أَحَبَّ الْعَبْدُ أَوْ كَرِهَ ، وَلَا يَرْضى عَبْدٌ عَنِ اللهِ فِيمَا أَحَبَّ </w:t>
      </w:r>
      <w:r w:rsidR="006C577F" w:rsidRPr="006C577F">
        <w:rPr>
          <w:rStyle w:val="libFootnotenumChar"/>
          <w:rtl/>
        </w:rPr>
        <w:t>(5)</w:t>
      </w:r>
      <w:r w:rsidR="00297B80">
        <w:rPr>
          <w:rtl/>
          <w:lang w:bidi="fa-IR"/>
        </w:rPr>
        <w:t xml:space="preserve"> أَوْ كَرِهَ إِل</w:t>
      </w:r>
      <w:r w:rsidR="00297B80">
        <w:rPr>
          <w:rFonts w:hint="cs"/>
          <w:rtl/>
          <w:lang w:bidi="fa-IR"/>
        </w:rPr>
        <w:t>َّ</w:t>
      </w:r>
      <w:r w:rsidR="00297B80">
        <w:rPr>
          <w:rtl/>
          <w:lang w:bidi="fa-IR"/>
        </w:rPr>
        <w:t>ا</w:t>
      </w:r>
      <w:r w:rsidRPr="00C9040A">
        <w:rPr>
          <w:rtl/>
          <w:lang w:bidi="fa-IR"/>
        </w:rPr>
        <w:t xml:space="preserve"> كَانَ خَيْراً لَهُ فِيمَا أَحَبَّ أَوْ كَرِهَ »</w:t>
      </w:r>
      <w:r>
        <w:rPr>
          <w:rtl/>
          <w:lang w:bidi="fa-IR"/>
        </w:rPr>
        <w:t>.</w:t>
      </w:r>
      <w:r w:rsidRPr="00C9040A">
        <w:rPr>
          <w:rtl/>
          <w:lang w:bidi="fa-IR"/>
        </w:rPr>
        <w:t xml:space="preserve"> </w:t>
      </w:r>
      <w:r w:rsidR="006C577F" w:rsidRPr="006C577F">
        <w:rPr>
          <w:rStyle w:val="libFootnotenumChar"/>
          <w:rtl/>
        </w:rPr>
        <w:t>(6)</w:t>
      </w:r>
    </w:p>
    <w:p w:rsidR="008A74EB" w:rsidRPr="00C9040A" w:rsidRDefault="008A74EB" w:rsidP="008A74EB">
      <w:pPr>
        <w:pStyle w:val="libNormal"/>
        <w:rPr>
          <w:rtl/>
          <w:lang w:bidi="fa-IR"/>
        </w:rPr>
      </w:pPr>
      <w:r w:rsidRPr="00873C06">
        <w:rPr>
          <w:rtl/>
        </w:rPr>
        <w:t>1579</w:t>
      </w:r>
      <w:r w:rsidRPr="00261CB0">
        <w:rPr>
          <w:rStyle w:val="libBold2Char"/>
          <w:rtl/>
        </w:rPr>
        <w:t xml:space="preserve"> / 2.</w:t>
      </w:r>
      <w:r w:rsidRPr="00C9040A">
        <w:rPr>
          <w:rtl/>
          <w:lang w:bidi="fa-IR"/>
        </w:rPr>
        <w:t xml:space="preserve"> عِدَّةٌ مِنْ أَصْحَابِنَا ، عَنْ أَحْمَدَ بْنِ أَبِي عَبْدِ اللهِ ، عَنْ أَبِيهِ ، عَنْ حَمَّادِ بْنِ عِيسى ، عَنْ عَبْدِ اللهِ بْنِ مُسْكَانَ ، عَنْ لَيْثٍ الْمُرَادِيِّ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إِنَّ أَعْلَمَ النَّاسِ بِاللهِ </w:t>
      </w:r>
      <w:r w:rsidR="006C577F" w:rsidRPr="006C577F">
        <w:rPr>
          <w:rStyle w:val="libFootnotenumChar"/>
          <w:rtl/>
        </w:rPr>
        <w:t>(7)</w:t>
      </w:r>
      <w:r w:rsidRPr="00C9040A">
        <w:rPr>
          <w:rtl/>
          <w:lang w:bidi="fa-IR"/>
        </w:rPr>
        <w:t xml:space="preserve"> أَرْضَاهُمْ بِقَضَاءِ اللهِ عَزَّ وَجَلَّ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D302D7" w:rsidP="004A4E41">
      <w:pPr>
        <w:pStyle w:val="libFootnote0"/>
        <w:rPr>
          <w:rtl/>
          <w:lang w:bidi="fa-IR"/>
        </w:rPr>
      </w:pPr>
      <w:r>
        <w:rPr>
          <w:rFonts w:hint="cs"/>
          <w:rtl/>
        </w:rPr>
        <w:t xml:space="preserve">= </w:t>
      </w:r>
      <w:r w:rsidR="008A74EB" w:rsidRPr="00C9040A">
        <w:rPr>
          <w:rtl/>
        </w:rPr>
        <w:t xml:space="preserve">ج 1 ، ص 243 ؛ </w:t>
      </w:r>
      <w:r w:rsidR="008A74EB" w:rsidRPr="00993B55">
        <w:rPr>
          <w:rStyle w:val="libFootnoteBoldChar"/>
          <w:rtl/>
        </w:rPr>
        <w:t>النهاية</w:t>
      </w:r>
      <w:r w:rsidR="008A74EB" w:rsidRPr="00C9040A">
        <w:rPr>
          <w:rtl/>
        </w:rPr>
        <w:t xml:space="preserve"> ، ج 1 ، ص 101 ( بخت )</w:t>
      </w:r>
      <w:r w:rsidR="008A74EB">
        <w:rPr>
          <w:rtl/>
        </w:rPr>
        <w:t>.</w:t>
      </w:r>
    </w:p>
    <w:p w:rsidR="008A74EB" w:rsidRPr="00C9040A" w:rsidRDefault="006C577F" w:rsidP="004A4E41">
      <w:pPr>
        <w:pStyle w:val="libFootnote0"/>
        <w:rPr>
          <w:rtl/>
          <w:lang w:bidi="fa-IR"/>
        </w:rPr>
      </w:pPr>
      <w:r>
        <w:rPr>
          <w:rtl/>
        </w:rPr>
        <w:t>(1).</w:t>
      </w:r>
      <w:r w:rsidR="008A74EB" w:rsidRPr="00C9040A">
        <w:rPr>
          <w:rtl/>
        </w:rPr>
        <w:t xml:space="preserve"> في « ض ، ف ، بر » : « لم يصل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تفسير القمّي</w:t>
      </w:r>
      <w:r w:rsidR="008A74EB" w:rsidRPr="00C9040A">
        <w:rPr>
          <w:rtl/>
        </w:rPr>
        <w:t xml:space="preserve"> ، ج 2 ، ص 126 ، مرسلاً عن الصادق </w:t>
      </w:r>
      <w:r w:rsidR="00117575" w:rsidRPr="00117575">
        <w:rPr>
          <w:rStyle w:val="libFootnoteAlaemChar"/>
          <w:rtl/>
        </w:rPr>
        <w:t>عليه‌السلام</w:t>
      </w:r>
      <w:r w:rsidR="008A74EB" w:rsidRPr="00C9040A">
        <w:rPr>
          <w:rtl/>
        </w:rPr>
        <w:t xml:space="preserve"> ، من قوله : « إنّ لله‌وادياً » مع اختلاف يسير</w:t>
      </w:r>
      <w:r w:rsidR="00BC2D19">
        <w:rPr>
          <w:rFonts w:hint="cs"/>
          <w:rtl/>
        </w:rPr>
        <w:t>.</w:t>
      </w:r>
      <w:r w:rsidR="008A74EB" w:rsidRPr="00993B55">
        <w:rPr>
          <w:rStyle w:val="libFootnoteBoldChar"/>
          <w:rtl/>
        </w:rPr>
        <w:t>الوافي</w:t>
      </w:r>
      <w:r w:rsidR="008A74EB" w:rsidRPr="00C9040A">
        <w:rPr>
          <w:rtl/>
        </w:rPr>
        <w:t xml:space="preserve"> ، ج 4 ، ص 272 ، ح 1930 ؛ </w:t>
      </w:r>
      <w:r w:rsidR="008A74EB" w:rsidRPr="00993B55">
        <w:rPr>
          <w:rStyle w:val="libFootnoteBoldChar"/>
          <w:rtl/>
        </w:rPr>
        <w:t>الوسائل</w:t>
      </w:r>
      <w:r w:rsidR="008A74EB" w:rsidRPr="00C9040A">
        <w:rPr>
          <w:rtl/>
        </w:rPr>
        <w:t xml:space="preserve"> ، ج 15 ، ص 203 ، ح 20284 ؛ </w:t>
      </w:r>
      <w:r w:rsidR="008A74EB" w:rsidRPr="00993B55">
        <w:rPr>
          <w:rStyle w:val="libFootnoteBoldChar"/>
          <w:rtl/>
        </w:rPr>
        <w:t>البحار</w:t>
      </w:r>
      <w:r w:rsidR="008A74EB" w:rsidRPr="00C9040A">
        <w:rPr>
          <w:rtl/>
        </w:rPr>
        <w:t xml:space="preserve"> ، ج 49 ، ص 116 ، ح 8 ؛ وج 60 ، ص 186 ، ح 17 ؛ وج 70 ، ص 158 ، ح 16.</w:t>
      </w:r>
    </w:p>
    <w:p w:rsidR="008A74EB" w:rsidRPr="00C9040A" w:rsidRDefault="006C577F" w:rsidP="004A4E41">
      <w:pPr>
        <w:pStyle w:val="libFootnote0"/>
        <w:rPr>
          <w:rtl/>
          <w:lang w:bidi="fa-IR"/>
        </w:rPr>
      </w:pPr>
      <w:r>
        <w:rPr>
          <w:rtl/>
        </w:rPr>
        <w:t>(3).</w:t>
      </w:r>
      <w:r w:rsidR="008A74EB" w:rsidRPr="00C9040A">
        <w:rPr>
          <w:rtl/>
        </w:rPr>
        <w:t xml:space="preserve"> في الوسائل : « عن رجل » بدل « عن بعض أشياخ بني النجاشي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w:t>
      </w:r>
      <w:r w:rsidR="008A74EB" w:rsidRPr="00993B55">
        <w:rPr>
          <w:rStyle w:val="libFootnoteBoldChar"/>
          <w:rtl/>
        </w:rPr>
        <w:t>مرآة العقول</w:t>
      </w:r>
      <w:r w:rsidR="008A74EB" w:rsidRPr="00C9040A">
        <w:rPr>
          <w:rtl/>
        </w:rPr>
        <w:t xml:space="preserve"> ، ج 8 ، ص 1 : « وفي بعض نسخ الحديث : كلّ طاعة الله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ج » : + « العبد »</w:t>
      </w:r>
      <w:r w:rsidR="008A74EB">
        <w:rPr>
          <w:rtl/>
        </w:rPr>
        <w:t>.</w:t>
      </w:r>
    </w:p>
    <w:p w:rsidR="008A74EB" w:rsidRPr="00C9040A" w:rsidRDefault="006C577F" w:rsidP="00B866D3">
      <w:pPr>
        <w:pStyle w:val="libFootnote0"/>
        <w:rPr>
          <w:rtl/>
          <w:lang w:bidi="fa-IR"/>
        </w:rPr>
      </w:pPr>
      <w:r>
        <w:rPr>
          <w:rtl/>
        </w:rPr>
        <w:t>(6).</w:t>
      </w:r>
      <w:r w:rsidR="008A74EB">
        <w:rPr>
          <w:rtl/>
        </w:rPr>
        <w:t xml:space="preserve"> </w:t>
      </w:r>
      <w:r w:rsidR="008A74EB" w:rsidRPr="00993B55">
        <w:rPr>
          <w:rStyle w:val="libFootnoteBoldChar"/>
          <w:rtl/>
        </w:rPr>
        <w:t>الأمالي</w:t>
      </w:r>
      <w:r w:rsidR="008A74EB" w:rsidRPr="00C9040A">
        <w:rPr>
          <w:rtl/>
        </w:rPr>
        <w:t xml:space="preserve"> للطوسي ، ص 196 ، المجلس 7 ، ح 37 ، بسنده عن محمّد بن يعقوب ، عن عليّ بن إبراهيم ، عن محمّد بن عيسى ، عن يونس بن عبد الرحمن ، عن إسحاق بن عمّار ، عن أبي عبدالله </w:t>
      </w:r>
      <w:r w:rsidR="00117575" w:rsidRPr="00117575">
        <w:rPr>
          <w:rStyle w:val="libFootnoteAlaemChar"/>
          <w:rtl/>
        </w:rPr>
        <w:t xml:space="preserve">عليه‌السلام </w:t>
      </w:r>
      <w:r w:rsidR="008A74EB" w:rsidRPr="00C9040A">
        <w:rPr>
          <w:rtl/>
        </w:rPr>
        <w:t xml:space="preserve">، مع اختلاف. </w:t>
      </w:r>
      <w:r w:rsidR="008A74EB" w:rsidRPr="00993B55">
        <w:rPr>
          <w:rStyle w:val="libFootnoteBoldChar"/>
          <w:rtl/>
        </w:rPr>
        <w:t>المؤمن</w:t>
      </w:r>
      <w:r w:rsidR="008A74EB" w:rsidRPr="00C9040A">
        <w:rPr>
          <w:rtl/>
        </w:rPr>
        <w:t xml:space="preserve"> ، ص 20 ، ح 15 ، عن إسحاق بن عمّار ، مع اختلاف. </w:t>
      </w:r>
      <w:r w:rsidR="008A74EB" w:rsidRPr="00993B55">
        <w:rPr>
          <w:rStyle w:val="libFootnoteBoldChar"/>
          <w:rtl/>
        </w:rPr>
        <w:t>فقه الرضا</w:t>
      </w:r>
      <w:r w:rsidR="008A74EB" w:rsidRPr="00C9040A">
        <w:rPr>
          <w:rtl/>
        </w:rPr>
        <w:t xml:space="preserve"> </w:t>
      </w:r>
      <w:r w:rsidR="00117575" w:rsidRPr="00117575">
        <w:rPr>
          <w:rStyle w:val="libFootnoteAlaemChar"/>
          <w:rtl/>
        </w:rPr>
        <w:t>عليه‌السلام</w:t>
      </w:r>
      <w:r w:rsidR="008A74EB" w:rsidRPr="00C9040A">
        <w:rPr>
          <w:rtl/>
        </w:rPr>
        <w:t xml:space="preserve"> ، ص 359 ، وتمام الرواية فيه : « رأس طاعة الله الصبر والرضا »</w:t>
      </w:r>
      <w:r w:rsidR="00FB2092">
        <w:rPr>
          <w:rFonts w:hint="cs"/>
          <w:rtl/>
        </w:rPr>
        <w:t>.</w:t>
      </w:r>
      <w:r w:rsidR="008A74EB" w:rsidRPr="00993B55">
        <w:rPr>
          <w:rStyle w:val="libFootnoteBoldChar"/>
          <w:rtl/>
        </w:rPr>
        <w:t>الوافي</w:t>
      </w:r>
      <w:r w:rsidR="008A74EB" w:rsidRPr="00C9040A">
        <w:rPr>
          <w:rtl/>
        </w:rPr>
        <w:t xml:space="preserve"> ، ج 4 ، ص 275 ، ح 1933 ؛ </w:t>
      </w:r>
      <w:r w:rsidR="008A74EB" w:rsidRPr="00993B55">
        <w:rPr>
          <w:rStyle w:val="libFootnoteBoldChar"/>
          <w:rtl/>
        </w:rPr>
        <w:t>الوسائل</w:t>
      </w:r>
      <w:r w:rsidR="008A74EB" w:rsidRPr="00C9040A">
        <w:rPr>
          <w:rtl/>
        </w:rPr>
        <w:t xml:space="preserve"> ، ج 3 ، ص 253 ، ح 3555 ؛ </w:t>
      </w:r>
      <w:r w:rsidR="008A74EB" w:rsidRPr="00993B55">
        <w:rPr>
          <w:rStyle w:val="libFootnoteBoldChar"/>
          <w:rtl/>
        </w:rPr>
        <w:t>البحار</w:t>
      </w:r>
      <w:r w:rsidR="008A74EB" w:rsidRPr="00C9040A">
        <w:rPr>
          <w:rtl/>
        </w:rPr>
        <w:t xml:space="preserve"> ، ج 72 ، ص 333 ، ح 18.</w:t>
      </w:r>
      <w:r w:rsidR="000C7C25">
        <w:rPr>
          <w:rFonts w:hint="cs"/>
          <w:rtl/>
        </w:rPr>
        <w:t xml:space="preserve">                                      </w:t>
      </w:r>
      <w:r>
        <w:rPr>
          <w:rtl/>
        </w:rPr>
        <w:t>(7).</w:t>
      </w:r>
      <w:r w:rsidR="008A74EB" w:rsidRPr="00C9040A">
        <w:rPr>
          <w:rtl/>
        </w:rPr>
        <w:t xml:space="preserve"> في « ص » </w:t>
      </w:r>
      <w:r w:rsidR="008A74EB">
        <w:rPr>
          <w:rtl/>
        </w:rPr>
        <w:t xml:space="preserve">: </w:t>
      </w:r>
      <w:r w:rsidR="0084262C">
        <w:rPr>
          <w:rtl/>
        </w:rPr>
        <w:t>-</w:t>
      </w:r>
      <w:r w:rsidR="008A74EB" w:rsidRPr="00C9040A">
        <w:rPr>
          <w:rtl/>
        </w:rPr>
        <w:t xml:space="preserve"> « بالله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w:t>
      </w:r>
      <w:r w:rsidR="008A74EB" w:rsidRPr="00993B55">
        <w:rPr>
          <w:rStyle w:val="libFootnoteBoldChar"/>
          <w:rtl/>
        </w:rPr>
        <w:t>التمحيص</w:t>
      </w:r>
      <w:r w:rsidR="008A74EB" w:rsidRPr="00C9040A">
        <w:rPr>
          <w:rtl/>
        </w:rPr>
        <w:t xml:space="preserve"> ، ص 60 ، ح 130 ، عن ابن مسكان ، عن أبي عبدالله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فقه الرضا</w:t>
      </w:r>
      <w:r w:rsidR="008A74EB" w:rsidRPr="00C9040A">
        <w:rPr>
          <w:rtl/>
        </w:rPr>
        <w:t xml:space="preserve"> </w:t>
      </w:r>
      <w:r w:rsidR="00117575" w:rsidRPr="00117575">
        <w:rPr>
          <w:rStyle w:val="libFootnoteAlaemChar"/>
          <w:rtl/>
        </w:rPr>
        <w:t>عليه‌السلام</w:t>
      </w:r>
      <w:r w:rsidR="008A74EB" w:rsidRPr="00C9040A">
        <w:rPr>
          <w:rtl/>
        </w:rPr>
        <w:t xml:space="preserve"> ، ص 359 </w:t>
      </w:r>
      <w:r w:rsidR="008A74EB" w:rsidRPr="00993B55">
        <w:rPr>
          <w:rStyle w:val="libFootnoteBoldChar"/>
          <w:rtl/>
        </w:rPr>
        <w:t>الوافي</w:t>
      </w:r>
      <w:r w:rsidR="008A74EB" w:rsidRPr="00C9040A">
        <w:rPr>
          <w:rtl/>
        </w:rPr>
        <w:t xml:space="preserve"> </w:t>
      </w:r>
      <w:r w:rsidR="00FF4061" w:rsidRPr="00C9040A">
        <w:rPr>
          <w:rtl/>
        </w:rPr>
        <w:t xml:space="preserve">، </w:t>
      </w:r>
      <w:r w:rsidR="000C7C25">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873C06">
        <w:rPr>
          <w:rtl/>
        </w:rPr>
        <w:lastRenderedPageBreak/>
        <w:t>1580</w:t>
      </w:r>
      <w:r w:rsidRPr="00261CB0">
        <w:rPr>
          <w:rStyle w:val="libBold2Char"/>
          <w:rtl/>
        </w:rPr>
        <w:t xml:space="preserve"> / 3.</w:t>
      </w:r>
      <w:r w:rsidRPr="00C9040A">
        <w:rPr>
          <w:rtl/>
          <w:lang w:bidi="fa-IR"/>
        </w:rPr>
        <w:t xml:space="preserve"> عَنْهُ </w:t>
      </w:r>
      <w:r w:rsidR="006C577F" w:rsidRPr="006C577F">
        <w:rPr>
          <w:rStyle w:val="libFootnotenumChar"/>
          <w:rtl/>
        </w:rPr>
        <w:t>(1)</w:t>
      </w:r>
      <w:r w:rsidRPr="00C9040A">
        <w:rPr>
          <w:rtl/>
          <w:lang w:bidi="fa-IR"/>
        </w:rPr>
        <w:t xml:space="preserve">، عَنْ يَحْيَى بْنِ إِبْرَاهِيمَ بْنِ أَبِي الْبِلَادِ </w:t>
      </w:r>
      <w:r w:rsidR="006C577F" w:rsidRPr="006C577F">
        <w:rPr>
          <w:rStyle w:val="libFootnotenumChar"/>
          <w:rtl/>
        </w:rPr>
        <w:t>(2)</w:t>
      </w:r>
      <w:r w:rsidRPr="00C9040A">
        <w:rPr>
          <w:rtl/>
          <w:lang w:bidi="fa-IR"/>
        </w:rPr>
        <w:t xml:space="preserve"> ، عَنْ عَاصِمِ بْنِ حُمَيْدٍ ، عَنْ أَبِي حَمْزَةَ الثُّمَالِيِّ :</w:t>
      </w:r>
    </w:p>
    <w:p w:rsidR="008A74EB" w:rsidRPr="00C9040A" w:rsidRDefault="008A74EB" w:rsidP="008A74EB">
      <w:pPr>
        <w:pStyle w:val="libNormal"/>
        <w:rPr>
          <w:rtl/>
          <w:lang w:bidi="fa-IR"/>
        </w:rPr>
      </w:pPr>
      <w:r w:rsidRPr="00C9040A">
        <w:rPr>
          <w:rtl/>
          <w:lang w:bidi="fa-IR"/>
        </w:rPr>
        <w:t xml:space="preserve">عَنْ عَلِيِّ بْنِ الْحُسَيْنِ </w:t>
      </w:r>
      <w:r w:rsidRPr="0003660B">
        <w:rPr>
          <w:rStyle w:val="libAlaemChar"/>
          <w:rtl/>
        </w:rPr>
        <w:t>عليهما‌السلام</w:t>
      </w:r>
      <w:r w:rsidRPr="00C9040A">
        <w:rPr>
          <w:rtl/>
          <w:lang w:bidi="fa-IR"/>
        </w:rPr>
        <w:t xml:space="preserve"> ، قَالَ : « الصَّبْرُ وَالرِّضَا عَنِ اللهِ رَأْسُ طَاعَةِ اللهِ ، وَمَنْ صَبَرَ وَرَضِيَ عَنِ اللهِ فِيمَا قَضى عَلَيْهِ فِيمَا أَحَبَّ أَوْ كَرِهَ ، لَمْ يَقْضِ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لَهُ </w:t>
      </w:r>
      <w:r w:rsidR="006C577F" w:rsidRPr="006C577F">
        <w:rPr>
          <w:rStyle w:val="libFootnotenumChar"/>
          <w:rtl/>
        </w:rPr>
        <w:t>(3)</w:t>
      </w:r>
      <w:r w:rsidRPr="00C9040A">
        <w:rPr>
          <w:rtl/>
          <w:lang w:bidi="fa-IR"/>
        </w:rPr>
        <w:t xml:space="preserve"> فِيمَا أَحَبَّ أَوْ كَرِهَ إِلاَّ مَا </w:t>
      </w:r>
      <w:r w:rsidR="006C577F" w:rsidRPr="006C577F">
        <w:rPr>
          <w:rStyle w:val="libFootnotenumChar"/>
          <w:rtl/>
        </w:rPr>
        <w:t>(4)</w:t>
      </w:r>
      <w:r w:rsidRPr="00C9040A">
        <w:rPr>
          <w:rtl/>
          <w:lang w:bidi="fa-IR"/>
        </w:rPr>
        <w:t xml:space="preserve"> هُوَ خَيْرٌ لَهُ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873C06">
        <w:rPr>
          <w:rtl/>
        </w:rPr>
        <w:t>1581</w:t>
      </w:r>
      <w:r w:rsidRPr="00261CB0">
        <w:rPr>
          <w:rStyle w:val="libBold2Char"/>
          <w:rtl/>
        </w:rPr>
        <w:t xml:space="preserve"> / 4.</w:t>
      </w:r>
      <w:r w:rsidRPr="00C9040A">
        <w:rPr>
          <w:rtl/>
          <w:lang w:bidi="fa-IR"/>
        </w:rPr>
        <w:t xml:space="preserve"> مُحَمَّدُ بْنُ يَحْيى ، عَنْ أَحْمَدَ بْنِ مُحَمَّدِ بْنِ عِيسى ، عَنِ ابْنِ مَحْبُوبٍ ، عَنْ دَاوُدَ الرَّقِّيِّ ، عَنْ أَبِي عُبَيْدَةَ الْحَذَّاءِ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قَالَ اللهُ عَزَّ وَجَلَّ : إِنَّ مِنْ عِبَادِيَ </w:t>
      </w:r>
      <w:r w:rsidR="006C577F" w:rsidRPr="006C577F">
        <w:rPr>
          <w:rStyle w:val="libFootnotenumChar"/>
          <w:rtl/>
        </w:rPr>
        <w:t>(6)</w:t>
      </w:r>
      <w:r w:rsidRPr="005B567D">
        <w:rPr>
          <w:rStyle w:val="libFootnotenumChar"/>
          <w:rtl/>
        </w:rPr>
        <w:t xml:space="preserve"> </w:t>
      </w:r>
      <w:r w:rsidRPr="00C9040A">
        <w:rPr>
          <w:rtl/>
          <w:lang w:bidi="fa-IR"/>
        </w:rPr>
        <w:t xml:space="preserve">الْمُؤْمِنِينَ عِبَاداً لَايَصْلُحُ لَهُمْ </w:t>
      </w:r>
      <w:r w:rsidR="006C577F" w:rsidRPr="006C577F">
        <w:rPr>
          <w:rStyle w:val="libFootnotenumChar"/>
          <w:rtl/>
        </w:rPr>
        <w:t>(7)</w:t>
      </w:r>
      <w:r w:rsidRPr="00C9040A">
        <w:rPr>
          <w:rtl/>
          <w:lang w:bidi="fa-IR"/>
        </w:rPr>
        <w:t xml:space="preserve"> أَمْرُ دِينِهِمْ إ</w:t>
      </w:r>
      <w:r w:rsidR="0030106A">
        <w:rPr>
          <w:rtl/>
          <w:lang w:bidi="fa-IR"/>
        </w:rPr>
        <w:t>ِل</w:t>
      </w:r>
      <w:r w:rsidR="0030106A">
        <w:rPr>
          <w:rFonts w:hint="cs"/>
          <w:rtl/>
          <w:lang w:bidi="fa-IR"/>
        </w:rPr>
        <w:t>َّ</w:t>
      </w:r>
      <w:r w:rsidR="0030106A">
        <w:rPr>
          <w:rtl/>
          <w:lang w:bidi="fa-IR"/>
        </w:rPr>
        <w:t>ا</w:t>
      </w:r>
      <w:r w:rsidRPr="00C9040A">
        <w:rPr>
          <w:rtl/>
          <w:lang w:bidi="fa-IR"/>
        </w:rPr>
        <w:t xml:space="preserve"> بِالْغِنى وَالسَّعَةِ وَالصِّحَّةِ فِي الْبَدَنِ ، فَأَبْلُوهُمْ بِالْغِنى وَالسَّعَةِ وَصِحَّةِ الْبَدَنِ </w:t>
      </w:r>
      <w:r w:rsidR="006C577F" w:rsidRPr="006C577F">
        <w:rPr>
          <w:rStyle w:val="libFootnotenumChar"/>
          <w:rtl/>
        </w:rPr>
        <w:t>(8)</w:t>
      </w:r>
      <w:r w:rsidRPr="00C9040A">
        <w:rPr>
          <w:rtl/>
          <w:lang w:bidi="fa-IR"/>
        </w:rPr>
        <w:t xml:space="preserve"> ، فَيُصْلِحُ عَلَيْهِمْ </w:t>
      </w:r>
      <w:r w:rsidR="006C577F" w:rsidRPr="006C577F">
        <w:rPr>
          <w:rStyle w:val="libFootnotenumChar"/>
          <w:rtl/>
        </w:rPr>
        <w:t>(9)</w:t>
      </w:r>
      <w:r w:rsidRPr="00C9040A">
        <w:rPr>
          <w:rtl/>
          <w:lang w:bidi="fa-IR"/>
        </w:rPr>
        <w:t xml:space="preserve"> أَمْرَ دِينِهِمْ.</w:t>
      </w:r>
    </w:p>
    <w:p w:rsidR="008A74EB" w:rsidRPr="00C9040A" w:rsidRDefault="008A74EB" w:rsidP="008A74EB">
      <w:pPr>
        <w:pStyle w:val="libNormal"/>
        <w:rPr>
          <w:rtl/>
          <w:lang w:bidi="fa-IR"/>
        </w:rPr>
      </w:pPr>
      <w:r w:rsidRPr="00C9040A">
        <w:rPr>
          <w:rtl/>
          <w:lang w:bidi="fa-IR"/>
        </w:rPr>
        <w:t xml:space="preserve">وَإِنَّ مِنْ عِبَادِيَ الْمُؤْمِنِينَ لَعِبَاداً </w:t>
      </w:r>
      <w:r w:rsidR="006C577F" w:rsidRPr="006C577F">
        <w:rPr>
          <w:rStyle w:val="libFootnotenumChar"/>
          <w:rtl/>
        </w:rPr>
        <w:t>(10)</w:t>
      </w:r>
      <w:r w:rsidRPr="00C9040A">
        <w:rPr>
          <w:rtl/>
          <w:lang w:bidi="fa-IR"/>
        </w:rPr>
        <w:t xml:space="preserve"> لَايَصْلُحُ لَهُمْ أَمْرُ دِينِهِمْ إِل</w:t>
      </w:r>
      <w:r w:rsidR="0030106A">
        <w:rPr>
          <w:rFonts w:hint="cs"/>
          <w:rtl/>
          <w:lang w:bidi="fa-IR"/>
        </w:rPr>
        <w:t>َّ</w:t>
      </w:r>
      <w:r w:rsidR="0030106A">
        <w:rPr>
          <w:rtl/>
          <w:lang w:bidi="fa-IR"/>
        </w:rPr>
        <w:t>ا</w:t>
      </w:r>
      <w:r w:rsidRPr="00C9040A">
        <w:rPr>
          <w:rtl/>
          <w:lang w:bidi="fa-IR"/>
        </w:rPr>
        <w:t xml:space="preserve"> بِالْفَاقَةِ </w:t>
      </w:r>
      <w:r w:rsidR="006C577F" w:rsidRPr="006C577F">
        <w:rPr>
          <w:rStyle w:val="libFootnotenumChar"/>
          <w:rtl/>
        </w:rPr>
        <w:t>(11)</w:t>
      </w:r>
      <w:r w:rsidRPr="00C9040A">
        <w:rPr>
          <w:rtl/>
          <w:lang w:bidi="fa-IR"/>
        </w:rPr>
        <w:t xml:space="preserve"> وَالْمَسْكَنَةِ </w:t>
      </w:r>
      <w:r w:rsidR="006C577F" w:rsidRPr="006C577F">
        <w:rPr>
          <w:rStyle w:val="libFootnotenumChar"/>
          <w:rtl/>
        </w:rPr>
        <w:t>(12)</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30106A" w:rsidRDefault="0030106A" w:rsidP="004A4E41">
      <w:pPr>
        <w:pStyle w:val="libFootnote0"/>
        <w:rPr>
          <w:rtl/>
        </w:rPr>
      </w:pPr>
      <w:r>
        <w:rPr>
          <w:rFonts w:hint="cs"/>
          <w:rtl/>
        </w:rPr>
        <w:t xml:space="preserve">= </w:t>
      </w:r>
      <w:r w:rsidRPr="00C9040A">
        <w:rPr>
          <w:rtl/>
        </w:rPr>
        <w:t xml:space="preserve">ج 4 ، ص 275 ، ح 1935 ؛ </w:t>
      </w:r>
      <w:r w:rsidRPr="00993B55">
        <w:rPr>
          <w:rStyle w:val="libFootnoteBoldChar"/>
          <w:rtl/>
        </w:rPr>
        <w:t>الوسائل</w:t>
      </w:r>
      <w:r w:rsidRPr="00C9040A">
        <w:rPr>
          <w:rtl/>
        </w:rPr>
        <w:t xml:space="preserve"> ، ج 3 ، ص 251 ، ح 3546 ؛ </w:t>
      </w:r>
      <w:r w:rsidRPr="00993B55">
        <w:rPr>
          <w:rStyle w:val="libFootnoteBoldChar"/>
          <w:rtl/>
        </w:rPr>
        <w:t>البحار</w:t>
      </w:r>
      <w:r w:rsidRPr="00C9040A">
        <w:rPr>
          <w:rtl/>
        </w:rPr>
        <w:t xml:space="preserve"> ، ج 72 ، ص 333 ، ح 19.</w:t>
      </w:r>
    </w:p>
    <w:p w:rsidR="008A74EB" w:rsidRPr="00C9040A" w:rsidRDefault="006C577F" w:rsidP="004A4E41">
      <w:pPr>
        <w:pStyle w:val="libFootnote0"/>
        <w:rPr>
          <w:rtl/>
          <w:lang w:bidi="fa-IR"/>
        </w:rPr>
      </w:pPr>
      <w:r>
        <w:rPr>
          <w:rtl/>
        </w:rPr>
        <w:t>(1).</w:t>
      </w:r>
      <w:r w:rsidR="008A74EB" w:rsidRPr="00C9040A">
        <w:rPr>
          <w:rtl/>
        </w:rPr>
        <w:t xml:space="preserve"> الضمير راجع إلى أحمد بن أبي عبد الله المذكور في السند السابق ؛ فقد روى هو عن يحيى بن إبراهيم بن أبي‌البلاد في كثير من الأسناد. ا</w:t>
      </w:r>
      <w:r w:rsidR="0072716C">
        <w:rPr>
          <w:rFonts w:hint="cs"/>
          <w:rtl/>
        </w:rPr>
        <w:t>ُ</w:t>
      </w:r>
      <w:r w:rsidR="008A74EB" w:rsidRPr="00C9040A">
        <w:rPr>
          <w:rtl/>
        </w:rPr>
        <w:t xml:space="preserve">نظر على سبيل المثال : </w:t>
      </w:r>
      <w:r w:rsidR="008A74EB" w:rsidRPr="00993B55">
        <w:rPr>
          <w:rStyle w:val="libFootnoteBoldChar"/>
          <w:rtl/>
        </w:rPr>
        <w:t>المحاسن</w:t>
      </w:r>
      <w:r w:rsidR="008A74EB" w:rsidRPr="00C9040A">
        <w:rPr>
          <w:rtl/>
        </w:rPr>
        <w:t xml:space="preserve"> ، ص 135 ، ح 17 ؛ وص 202 ، ذيل ح 42 ؛ وص 203 ، ح 48 ؛ وص 266 ، ح 347 ؛ وص 295 ، ح 461 ؛ وص 404 ، ح 107 ؛ وص 440 ، ح 300.</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ب ، ج » : « عن يحيى بن إبراهيم ، عن أبي البلاد »</w:t>
      </w:r>
      <w:r w:rsidR="008A74EB">
        <w:rPr>
          <w:rtl/>
        </w:rPr>
        <w:t>.</w:t>
      </w:r>
      <w:r w:rsidR="008A74EB" w:rsidRPr="00C9040A">
        <w:rPr>
          <w:rtl/>
        </w:rPr>
        <w:t xml:space="preserve"> وفي « ز ، بف » : « عن يحيى بن إبراهيم ، عن ابن أبي البلاد »</w:t>
      </w:r>
      <w:r w:rsidR="008A74EB">
        <w:rPr>
          <w:rtl/>
        </w:rPr>
        <w:t>.</w:t>
      </w:r>
      <w:r w:rsidR="008A74EB" w:rsidRPr="00C9040A">
        <w:rPr>
          <w:rtl/>
        </w:rPr>
        <w:t xml:space="preserve"> وفي « ف » </w:t>
      </w:r>
      <w:r w:rsidR="008A74EB">
        <w:rPr>
          <w:rtl/>
        </w:rPr>
        <w:t xml:space="preserve">: </w:t>
      </w:r>
      <w:r w:rsidR="0084262C">
        <w:rPr>
          <w:rtl/>
        </w:rPr>
        <w:t>-</w:t>
      </w:r>
      <w:r w:rsidR="008A74EB" w:rsidRPr="00C9040A">
        <w:rPr>
          <w:rtl/>
        </w:rPr>
        <w:t xml:space="preserve"> « أبي »</w:t>
      </w:r>
      <w:r w:rsidR="008A74EB">
        <w:rPr>
          <w:rtl/>
        </w:rPr>
        <w:t>.</w:t>
      </w:r>
      <w:r w:rsidR="0072716C">
        <w:rPr>
          <w:rFonts w:hint="cs"/>
          <w:rtl/>
        </w:rPr>
        <w:t xml:space="preserve">                           </w:t>
      </w:r>
      <w:r>
        <w:rPr>
          <w:rtl/>
        </w:rPr>
        <w:t>(3).</w:t>
      </w:r>
      <w:r w:rsidR="008A74EB" w:rsidRPr="00C9040A">
        <w:rPr>
          <w:rtl/>
        </w:rPr>
        <w:t xml:space="preserve"> في « ز ، ص ، ف » </w:t>
      </w:r>
      <w:r w:rsidR="008A74EB">
        <w:rPr>
          <w:rtl/>
        </w:rPr>
        <w:t xml:space="preserve">: </w:t>
      </w:r>
      <w:r w:rsidR="0084262C">
        <w:rPr>
          <w:rtl/>
        </w:rPr>
        <w:t>-</w:t>
      </w:r>
      <w:r w:rsidR="008A74EB" w:rsidRPr="00C9040A">
        <w:rPr>
          <w:rtl/>
        </w:rPr>
        <w:t xml:space="preserve"> « له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بر » : « </w:t>
      </w:r>
      <w:r w:rsidR="008A74EB">
        <w:rPr>
          <w:rtl/>
        </w:rPr>
        <w:t>و »</w:t>
      </w:r>
      <w:r w:rsidR="008A74EB" w:rsidRPr="00C9040A">
        <w:rPr>
          <w:rtl/>
        </w:rPr>
        <w:t xml:space="preserve"> بدل « ما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الوافي</w:t>
      </w:r>
      <w:r w:rsidR="008A74EB" w:rsidRPr="00C9040A">
        <w:rPr>
          <w:rtl/>
        </w:rPr>
        <w:t xml:space="preserve"> ، ج 4 ، ص 275 ، ح 1934 ؛ </w:t>
      </w:r>
      <w:r w:rsidR="008A74EB" w:rsidRPr="00993B55">
        <w:rPr>
          <w:rStyle w:val="libFootnoteBoldChar"/>
          <w:rtl/>
        </w:rPr>
        <w:t>الوسائل</w:t>
      </w:r>
      <w:r w:rsidR="008A74EB" w:rsidRPr="00C9040A">
        <w:rPr>
          <w:rtl/>
        </w:rPr>
        <w:t xml:space="preserve"> ، ج 3 ، ص 251 ، ح 3547 ؛ </w:t>
      </w:r>
      <w:r w:rsidR="008A74EB" w:rsidRPr="00993B55">
        <w:rPr>
          <w:rStyle w:val="libFootnoteBoldChar"/>
          <w:rtl/>
        </w:rPr>
        <w:t>البحار</w:t>
      </w:r>
      <w:r w:rsidR="008A74EB" w:rsidRPr="00C9040A">
        <w:rPr>
          <w:rtl/>
        </w:rPr>
        <w:t xml:space="preserve"> ، ج 72 ، ص 334 ، ح 20.</w:t>
      </w:r>
    </w:p>
    <w:p w:rsidR="008A74EB" w:rsidRPr="004A4E41" w:rsidRDefault="006C577F" w:rsidP="004A4E41">
      <w:pPr>
        <w:pStyle w:val="libFootnote0"/>
        <w:rPr>
          <w:rStyle w:val="libFootnote0Char"/>
          <w:rtl/>
        </w:rPr>
      </w:pPr>
      <w:r>
        <w:rPr>
          <w:rtl/>
        </w:rPr>
        <w:t>(6).</w:t>
      </w:r>
      <w:r w:rsidR="008A74EB">
        <w:rPr>
          <w:rtl/>
        </w:rPr>
        <w:t xml:space="preserve"> </w:t>
      </w:r>
      <w:r w:rsidR="008A74EB" w:rsidRPr="00C9040A">
        <w:rPr>
          <w:rtl/>
        </w:rPr>
        <w:t>في « ص » : « عباد »</w:t>
      </w:r>
      <w:r w:rsidR="008A74EB">
        <w:rPr>
          <w:rtl/>
        </w:rPr>
        <w:t>.</w:t>
      </w:r>
      <w:r w:rsidR="008A74EB" w:rsidRPr="00C9040A">
        <w:rPr>
          <w:rtl/>
        </w:rPr>
        <w:t xml:space="preserve"> وفي حاشية « ج » : « عبادنا »</w:t>
      </w:r>
      <w:r w:rsidR="008A74EB">
        <w:rPr>
          <w:rtl/>
        </w:rPr>
        <w:t>.</w:t>
      </w:r>
    </w:p>
    <w:tbl>
      <w:tblPr>
        <w:tblStyle w:val="TableGrid"/>
        <w:bidiVisual/>
        <w:tblW w:w="0" w:type="auto"/>
        <w:tblLook w:val="04A0" w:firstRow="1" w:lastRow="0" w:firstColumn="1" w:lastColumn="0" w:noHBand="0" w:noVBand="1"/>
      </w:tblPr>
      <w:tblGrid>
        <w:gridCol w:w="4006"/>
        <w:gridCol w:w="4006"/>
      </w:tblGrid>
      <w:tr w:rsidR="00214F6D" w:rsidTr="00214F6D">
        <w:tc>
          <w:tcPr>
            <w:tcW w:w="4006" w:type="dxa"/>
          </w:tcPr>
          <w:p w:rsidR="00214F6D" w:rsidRDefault="00214F6D" w:rsidP="004A4E41">
            <w:pPr>
              <w:pStyle w:val="libFootnote0"/>
              <w:rPr>
                <w:rtl/>
              </w:rPr>
            </w:pPr>
            <w:r>
              <w:rPr>
                <w:rtl/>
              </w:rPr>
              <w:t>(7).</w:t>
            </w:r>
            <w:r w:rsidRPr="00C9040A">
              <w:rPr>
                <w:rtl/>
              </w:rPr>
              <w:t xml:space="preserve"> في شرح المازندراني </w:t>
            </w:r>
            <w:r>
              <w:rPr>
                <w:rtl/>
              </w:rPr>
              <w:t>: -</w:t>
            </w:r>
            <w:r w:rsidRPr="00C9040A">
              <w:rPr>
                <w:rtl/>
              </w:rPr>
              <w:t xml:space="preserve"> « لهم »</w:t>
            </w:r>
            <w:r>
              <w:rPr>
                <w:rtl/>
              </w:rPr>
              <w:t>.</w:t>
            </w:r>
          </w:p>
        </w:tc>
        <w:tc>
          <w:tcPr>
            <w:tcW w:w="4006" w:type="dxa"/>
          </w:tcPr>
          <w:p w:rsidR="00214F6D" w:rsidRDefault="00214F6D" w:rsidP="004A4E41">
            <w:pPr>
              <w:pStyle w:val="libFootnote0"/>
              <w:rPr>
                <w:rtl/>
              </w:rPr>
            </w:pPr>
            <w:r>
              <w:rPr>
                <w:rtl/>
              </w:rPr>
              <w:t>(8).</w:t>
            </w:r>
            <w:r w:rsidRPr="00C9040A">
              <w:rPr>
                <w:rtl/>
              </w:rPr>
              <w:t xml:space="preserve"> في « ف » :</w:t>
            </w:r>
            <w:r w:rsidR="00112DEB">
              <w:rPr>
                <w:rtl/>
              </w:rPr>
              <w:t xml:space="preserve"> « والصحّة » بدل</w:t>
            </w:r>
            <w:r w:rsidRPr="00C9040A">
              <w:rPr>
                <w:rtl/>
              </w:rPr>
              <w:t>« وصحّة البدن »</w:t>
            </w:r>
            <w:r>
              <w:rPr>
                <w:rtl/>
              </w:rPr>
              <w:t>.</w:t>
            </w:r>
          </w:p>
        </w:tc>
      </w:tr>
    </w:tbl>
    <w:p w:rsidR="008A74EB" w:rsidRPr="00C9040A" w:rsidRDefault="006C577F" w:rsidP="004A4E41">
      <w:pPr>
        <w:pStyle w:val="libFootnote0"/>
        <w:rPr>
          <w:rtl/>
          <w:lang w:bidi="fa-IR"/>
        </w:rPr>
      </w:pPr>
      <w:r>
        <w:rPr>
          <w:rtl/>
        </w:rPr>
        <w:t>(9).</w:t>
      </w:r>
      <w:r w:rsidR="008A74EB" w:rsidRPr="00C9040A">
        <w:rPr>
          <w:rtl/>
        </w:rPr>
        <w:t xml:space="preserve"> في « ب ، بر ، بف » وحاشية « ف ، بس » : « عليه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 ص » : « عباداً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 الفاقة » : الحاجة. ولا فعل لها. </w:t>
      </w:r>
      <w:r w:rsidR="008A74EB" w:rsidRPr="00993B55">
        <w:rPr>
          <w:rStyle w:val="libFootnoteBoldChar"/>
          <w:rtl/>
        </w:rPr>
        <w:t>ترتيب كتاب العين</w:t>
      </w:r>
      <w:r w:rsidR="008A74EB" w:rsidRPr="00C9040A">
        <w:rPr>
          <w:rtl/>
        </w:rPr>
        <w:t xml:space="preserve"> ، ج 3 ، ص 1425 ( فوق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 المسكين » </w:t>
      </w:r>
      <w:r w:rsidR="008A74EB">
        <w:rPr>
          <w:rtl/>
        </w:rPr>
        <w:t>و «</w:t>
      </w:r>
      <w:r w:rsidR="008A74EB" w:rsidRPr="00C9040A">
        <w:rPr>
          <w:rtl/>
        </w:rPr>
        <w:t xml:space="preserve"> المسكنة » </w:t>
      </w:r>
      <w:r w:rsidR="008A74EB">
        <w:rPr>
          <w:rtl/>
        </w:rPr>
        <w:t>و «</w:t>
      </w:r>
      <w:r w:rsidR="008A74EB" w:rsidRPr="00C9040A">
        <w:rPr>
          <w:rtl/>
        </w:rPr>
        <w:t xml:space="preserve"> التمسكن » : كلّها يدور معناها على الخضوع</w:t>
      </w:r>
      <w:r w:rsidR="00950917">
        <w:rPr>
          <w:rtl/>
        </w:rPr>
        <w:t xml:space="preserve"> والذلّة ، وقلّة المال ، والحال</w:t>
      </w:r>
      <w:r w:rsidR="00D10F86">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وَالسُّقْمِ فِي أَبْدَانِهِمْ ، فَأَبْلُوهُمْ بِالْفَاقَةِ وَالْمَسْكَنَةِ وَالسُّقْمِ </w:t>
      </w:r>
      <w:r w:rsidR="006C577F" w:rsidRPr="006C577F">
        <w:rPr>
          <w:rStyle w:val="libFootnotenumChar"/>
          <w:rtl/>
        </w:rPr>
        <w:t>(1)</w:t>
      </w:r>
      <w:r w:rsidRPr="00C9040A">
        <w:rPr>
          <w:rtl/>
          <w:lang w:bidi="fa-IR"/>
        </w:rPr>
        <w:t xml:space="preserve">، فَيُصْلِحُ عَلَيْهِمْ </w:t>
      </w:r>
      <w:r w:rsidR="006C577F" w:rsidRPr="006C577F">
        <w:rPr>
          <w:rStyle w:val="libFootnotenumChar"/>
          <w:rtl/>
        </w:rPr>
        <w:t>(2)</w:t>
      </w:r>
      <w:r w:rsidRPr="00C9040A">
        <w:rPr>
          <w:rtl/>
          <w:lang w:bidi="fa-IR"/>
        </w:rPr>
        <w:t xml:space="preserve"> أَمْرَ دِينِهِمْ ، وَأَنَا أَعْلَمُ بِمَا يَصْلُحُ عَلَيْهِ أَمْرُ دِينِ عِبَادِيَ الْمُؤْمِنِينَ.</w:t>
      </w:r>
    </w:p>
    <w:p w:rsidR="008A74EB" w:rsidRPr="00C9040A" w:rsidRDefault="008A74EB" w:rsidP="00DD469A">
      <w:pPr>
        <w:pStyle w:val="libNormal"/>
        <w:rPr>
          <w:rtl/>
          <w:lang w:bidi="fa-IR"/>
        </w:rPr>
      </w:pPr>
      <w:r w:rsidRPr="00C9040A">
        <w:rPr>
          <w:rtl/>
          <w:lang w:bidi="fa-IR"/>
        </w:rPr>
        <w:t xml:space="preserve">وَإِنَّ مِنْ عِبَادِيَ الْمُؤْمِنِينَ لَمَنْ يَجْتَهِدُ فِي عِبَادَتِي ، فَيَقُومُ </w:t>
      </w:r>
      <w:r w:rsidR="006C577F" w:rsidRPr="006C577F">
        <w:rPr>
          <w:rStyle w:val="libFootnotenumChar"/>
          <w:rtl/>
        </w:rPr>
        <w:t>(3)</w:t>
      </w:r>
      <w:r w:rsidRPr="00C9040A">
        <w:rPr>
          <w:rtl/>
          <w:lang w:bidi="fa-IR"/>
        </w:rPr>
        <w:t xml:space="preserve"> مِنْ رُقَادِهِ وَلَذِيذِ وِسَادِهِ </w:t>
      </w:r>
      <w:r w:rsidR="006C577F" w:rsidRPr="006C577F">
        <w:rPr>
          <w:rStyle w:val="libFootnotenumChar"/>
          <w:rtl/>
        </w:rPr>
        <w:t>(4)</w:t>
      </w:r>
      <w:r w:rsidRPr="00C9040A">
        <w:rPr>
          <w:rtl/>
          <w:lang w:bidi="fa-IR"/>
        </w:rPr>
        <w:t xml:space="preserve"> ، فَيَتَهَجَّدُ </w:t>
      </w:r>
      <w:r w:rsidR="006C577F" w:rsidRPr="006C577F">
        <w:rPr>
          <w:rStyle w:val="libFootnotenumChar"/>
          <w:rtl/>
        </w:rPr>
        <w:t>(5)</w:t>
      </w:r>
      <w:r w:rsidRPr="00C9040A">
        <w:rPr>
          <w:rtl/>
          <w:lang w:bidi="fa-IR"/>
        </w:rPr>
        <w:t xml:space="preserve"> لِيَ </w:t>
      </w:r>
      <w:r w:rsidR="006C577F" w:rsidRPr="006C577F">
        <w:rPr>
          <w:rStyle w:val="libFootnotenumChar"/>
          <w:rtl/>
        </w:rPr>
        <w:t>(6)</w:t>
      </w:r>
      <w:r w:rsidR="00DD469A" w:rsidRPr="00C9040A">
        <w:rPr>
          <w:rtl/>
          <w:lang w:bidi="fa-IR"/>
        </w:rPr>
        <w:t xml:space="preserve"> </w:t>
      </w:r>
      <w:r w:rsidRPr="00C9040A">
        <w:rPr>
          <w:rtl/>
          <w:lang w:bidi="fa-IR"/>
        </w:rPr>
        <w:t xml:space="preserve">اللَّيَالِيَ </w:t>
      </w:r>
      <w:r w:rsidR="006C577F" w:rsidRPr="006C577F">
        <w:rPr>
          <w:rStyle w:val="libFootnotenumChar"/>
          <w:rtl/>
        </w:rPr>
        <w:t>(7)</w:t>
      </w:r>
      <w:r w:rsidRPr="00C9040A">
        <w:rPr>
          <w:rtl/>
          <w:lang w:bidi="fa-IR"/>
        </w:rPr>
        <w:t xml:space="preserve"> ، فَيُتْعِبُ نَفْسَهُ فِي عِبَادَتِي ، فَأَضْرِبُهُ بِالنُّعَاسِ اللَّيْلَةَ وَاللَّيْلَتَيْنِ ؛ نَظَراً </w:t>
      </w:r>
      <w:r w:rsidR="006C577F" w:rsidRPr="006C577F">
        <w:rPr>
          <w:rStyle w:val="libFootnotenumChar"/>
          <w:rtl/>
        </w:rPr>
        <w:t>(8)</w:t>
      </w:r>
      <w:r w:rsidRPr="00C9040A">
        <w:rPr>
          <w:rtl/>
          <w:lang w:bidi="fa-IR"/>
        </w:rPr>
        <w:t xml:space="preserve"> مِنِّي لَهُ </w:t>
      </w:r>
      <w:r w:rsidR="006C577F" w:rsidRPr="006C577F">
        <w:rPr>
          <w:rStyle w:val="libFootnotenumChar"/>
          <w:rtl/>
        </w:rPr>
        <w:t>(9)</w:t>
      </w:r>
      <w:r w:rsidRPr="00C9040A">
        <w:rPr>
          <w:rtl/>
          <w:lang w:bidi="fa-IR"/>
        </w:rPr>
        <w:t xml:space="preserve"> ، وَإِبْقَاءً عَلَيْهِ ، فَيَنَامُ حَتّى يُصْبِحَ ، فَيَقُومُ وَهُوَ مَاقِتٌ لِنَفْسِهِ ، زَارِئٌ </w:t>
      </w:r>
      <w:r w:rsidR="006C577F" w:rsidRPr="006C577F">
        <w:rPr>
          <w:rStyle w:val="libFootnotenumChar"/>
          <w:rtl/>
        </w:rPr>
        <w:t>(10)</w:t>
      </w:r>
      <w:r w:rsidRPr="00C9040A">
        <w:rPr>
          <w:rtl/>
          <w:lang w:bidi="fa-IR"/>
        </w:rPr>
        <w:t xml:space="preserve"> عَلَيْهَا ، وَلَوْ أُخَلِّي بَيْنَهُ وَبَيْنَ مَا يُرِيدُ مِنْ عِبَادَتِي لَدَخَلَهُ الْعُجْبُ مِنْ ذلِكَ ، فَيُصَيِّرُهُ الْعُجْبُ </w:t>
      </w:r>
      <w:r w:rsidR="006C577F" w:rsidRPr="006C577F">
        <w:rPr>
          <w:rStyle w:val="libFootnotenumChar"/>
          <w:rtl/>
        </w:rPr>
        <w:t>(11)</w:t>
      </w:r>
      <w:r w:rsidRPr="00C9040A">
        <w:rPr>
          <w:rtl/>
          <w:lang w:bidi="fa-IR"/>
        </w:rPr>
        <w:t xml:space="preserve"> إِلَى الْفِتْنَةِ بِأَعْمَالِهِ ، فَيَأْتِيهِ مِنْ ذلِكَ مَا فِيهِ هَلَاكُهُ ؛ لِعُجْبِهِ بِأَعْمَالِهِ ، وَرِضَاهُ عَنْ نَفْسِهِ ، حَتّى يَظُنَّ أَنَّهُ قَدْ فَاقَ الْعَابِدِينَ ، وَجَازَ فِي عِبَادَتِهِ حَدَّ التَّقْصِيرِ ، فَيَتَبَاعَدُ مِنِّي عِنْدَ ذلِكَ وَهُوَ يَظُنُّ أَنَّهُ يَتَقَرَّبُ إِلَيَّ ، فَلَا يَتَّكِلِ </w:t>
      </w:r>
      <w:r w:rsidR="006C577F" w:rsidRPr="006C577F">
        <w:rPr>
          <w:rStyle w:val="libFootnotenumChar"/>
          <w:rtl/>
        </w:rPr>
        <w:t>(12)</w:t>
      </w:r>
      <w:r w:rsidRPr="00C9040A">
        <w:rPr>
          <w:rtl/>
          <w:lang w:bidi="fa-IR"/>
        </w:rPr>
        <w:t xml:space="preserve"> الْعَامِلُونَ </w:t>
      </w:r>
      <w:r w:rsidRPr="005B567D">
        <w:rPr>
          <w:rStyle w:val="libFootnotenumChar"/>
          <w:rtl/>
        </w:rPr>
        <w:t>(13)</w:t>
      </w:r>
      <w:r w:rsidRPr="00C9040A">
        <w:rPr>
          <w:rtl/>
          <w:lang w:bidi="fa-IR"/>
        </w:rPr>
        <w:t xml:space="preserve"> عَلى أَعْمَالِهِمُ الَّتِي يَعْمَلُونَهَا </w:t>
      </w:r>
      <w:r w:rsidRPr="005B567D">
        <w:rPr>
          <w:rStyle w:val="libFootnotenumChar"/>
          <w:rtl/>
        </w:rPr>
        <w:t>(14)</w:t>
      </w:r>
      <w:r w:rsidRPr="00C9040A">
        <w:rPr>
          <w:rtl/>
          <w:lang w:bidi="fa-IR"/>
        </w:rPr>
        <w:t xml:space="preserve"> لِثَوَابِي ؛ فَإِنَّهُمْ لَوِ اجْتَهَدُوا وَأَتْعَبُوا أَنْفُسَهُمْ وَأَفْنَوْا </w:t>
      </w:r>
      <w:r w:rsidRPr="005B567D">
        <w:rPr>
          <w:rStyle w:val="libFootnotenumChar"/>
          <w:rtl/>
        </w:rPr>
        <w:t>(15)</w:t>
      </w:r>
      <w:r w:rsidRPr="00C9040A">
        <w:rPr>
          <w:rtl/>
          <w:lang w:bidi="fa-IR"/>
        </w:rPr>
        <w:t xml:space="preserve"> أَعْمَارَهُمْ فِي عِبَادَتِي كَانُوا مُقَصِّرِينَ ، غَيْرَ بَالِغِينَ فِي عِبَادَتِهِمْ كُنْهَ عِبَادَتِي فِيمَا يَطْلُبُونَ عِنْدِي </w:t>
      </w:r>
      <w:r w:rsidRPr="005B567D">
        <w:rPr>
          <w:rStyle w:val="libFootnotenumChar"/>
          <w:rtl/>
        </w:rPr>
        <w:t>(16)</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4A4E41" w:rsidRDefault="00906A27" w:rsidP="004A4E41">
      <w:pPr>
        <w:pStyle w:val="libFootnote0"/>
        <w:rPr>
          <w:rStyle w:val="libFootnote0Char"/>
          <w:rtl/>
        </w:rPr>
      </w:pPr>
      <w:r>
        <w:rPr>
          <w:rFonts w:hint="cs"/>
          <w:rtl/>
        </w:rPr>
        <w:t xml:space="preserve">= </w:t>
      </w:r>
      <w:r w:rsidR="008A74EB" w:rsidRPr="00C9040A">
        <w:rPr>
          <w:rtl/>
        </w:rPr>
        <w:t xml:space="preserve">السيّئة. </w:t>
      </w:r>
      <w:r w:rsidR="008A74EB">
        <w:rPr>
          <w:rtl/>
        </w:rPr>
        <w:t>و «</w:t>
      </w:r>
      <w:r w:rsidR="008A74EB" w:rsidRPr="00C9040A">
        <w:rPr>
          <w:rtl/>
        </w:rPr>
        <w:t xml:space="preserve"> المسكين » : هو الذي لا شي‌ء له. وقيل : هو الذي له بعض الشي‌ء. وقد تقع المسكنة على الضعف. </w:t>
      </w:r>
      <w:r w:rsidR="008A74EB" w:rsidRPr="00993B55">
        <w:rPr>
          <w:rStyle w:val="libFootnoteBoldChar"/>
          <w:rtl/>
        </w:rPr>
        <w:t>النهاية</w:t>
      </w:r>
      <w:r w:rsidR="008A74EB" w:rsidRPr="00C9040A">
        <w:rPr>
          <w:rtl/>
        </w:rPr>
        <w:t xml:space="preserve"> ، ج 2 ، ص 385 ( سكن )</w:t>
      </w:r>
      <w:r w:rsidR="008A74EB">
        <w:rPr>
          <w:rtl/>
        </w:rPr>
        <w:t>.</w:t>
      </w:r>
    </w:p>
    <w:tbl>
      <w:tblPr>
        <w:tblStyle w:val="TableGrid"/>
        <w:bidiVisual/>
        <w:tblW w:w="0" w:type="auto"/>
        <w:tblLook w:val="04A0" w:firstRow="1" w:lastRow="0" w:firstColumn="1" w:lastColumn="0" w:noHBand="0" w:noVBand="1"/>
      </w:tblPr>
      <w:tblGrid>
        <w:gridCol w:w="4006"/>
        <w:gridCol w:w="4006"/>
      </w:tblGrid>
      <w:tr w:rsidR="00A57DF8" w:rsidTr="00A57DF8">
        <w:tc>
          <w:tcPr>
            <w:tcW w:w="4006" w:type="dxa"/>
          </w:tcPr>
          <w:p w:rsidR="00A57DF8" w:rsidRDefault="00A57DF8" w:rsidP="004A4E41">
            <w:pPr>
              <w:pStyle w:val="libFootnote0"/>
              <w:rPr>
                <w:rtl/>
                <w:lang w:bidi="fa-IR"/>
              </w:rPr>
            </w:pPr>
            <w:r>
              <w:rPr>
                <w:rtl/>
              </w:rPr>
              <w:t>(1).</w:t>
            </w:r>
            <w:r w:rsidRPr="00C9040A">
              <w:rPr>
                <w:rtl/>
              </w:rPr>
              <w:t xml:space="preserve"> في البحار : + « في أبدانهم »</w:t>
            </w:r>
            <w:r>
              <w:rPr>
                <w:rtl/>
              </w:rPr>
              <w:t>.</w:t>
            </w:r>
          </w:p>
        </w:tc>
        <w:tc>
          <w:tcPr>
            <w:tcW w:w="4006" w:type="dxa"/>
          </w:tcPr>
          <w:p w:rsidR="00A57DF8" w:rsidRDefault="00A57DF8" w:rsidP="004A4E41">
            <w:pPr>
              <w:pStyle w:val="libFootnote0"/>
              <w:rPr>
                <w:rtl/>
                <w:lang w:bidi="fa-IR"/>
              </w:rPr>
            </w:pPr>
            <w:r>
              <w:rPr>
                <w:rtl/>
              </w:rPr>
              <w:t xml:space="preserve">(2). </w:t>
            </w:r>
            <w:r w:rsidRPr="00C9040A">
              <w:rPr>
                <w:rtl/>
              </w:rPr>
              <w:t>في « ض ، بر » : « عليه »</w:t>
            </w:r>
            <w:r>
              <w:rPr>
                <w:rtl/>
              </w:rPr>
              <w:t>.</w:t>
            </w:r>
          </w:p>
        </w:tc>
      </w:tr>
      <w:tr w:rsidR="00A57DF8" w:rsidTr="00A57DF8">
        <w:tc>
          <w:tcPr>
            <w:tcW w:w="4006" w:type="dxa"/>
          </w:tcPr>
          <w:p w:rsidR="00A57DF8" w:rsidRDefault="00A57DF8" w:rsidP="004A4E41">
            <w:pPr>
              <w:pStyle w:val="libFootnote0"/>
              <w:rPr>
                <w:rtl/>
                <w:lang w:bidi="fa-IR"/>
              </w:rPr>
            </w:pPr>
            <w:r>
              <w:rPr>
                <w:rtl/>
              </w:rPr>
              <w:t>(3).</w:t>
            </w:r>
            <w:r w:rsidRPr="00C9040A">
              <w:rPr>
                <w:rtl/>
              </w:rPr>
              <w:t xml:space="preserve"> في « ص » : « يقوم »</w:t>
            </w:r>
            <w:r>
              <w:rPr>
                <w:rtl/>
              </w:rPr>
              <w:t>.</w:t>
            </w:r>
          </w:p>
        </w:tc>
        <w:tc>
          <w:tcPr>
            <w:tcW w:w="4006" w:type="dxa"/>
          </w:tcPr>
          <w:p w:rsidR="00A57DF8" w:rsidRDefault="00A57DF8" w:rsidP="004A4E41">
            <w:pPr>
              <w:pStyle w:val="libFootnote0"/>
              <w:rPr>
                <w:rtl/>
                <w:lang w:bidi="fa-IR"/>
              </w:rPr>
            </w:pPr>
            <w:r>
              <w:rPr>
                <w:rtl/>
              </w:rPr>
              <w:t>(4).</w:t>
            </w:r>
            <w:r w:rsidRPr="00C9040A">
              <w:rPr>
                <w:rtl/>
              </w:rPr>
              <w:t xml:space="preserve"> في « ف » : « وسادته »</w:t>
            </w:r>
            <w:r>
              <w:rPr>
                <w:rtl/>
              </w:rPr>
              <w:t>.</w:t>
            </w:r>
          </w:p>
        </w:tc>
      </w:tr>
    </w:tbl>
    <w:p w:rsidR="008A74EB" w:rsidRPr="004A4E41" w:rsidRDefault="006C577F" w:rsidP="004A4E41">
      <w:pPr>
        <w:pStyle w:val="libFootnote0"/>
        <w:rPr>
          <w:rStyle w:val="libFootnote0Char"/>
          <w:rtl/>
        </w:rPr>
      </w:pPr>
      <w:r>
        <w:rPr>
          <w:rtl/>
        </w:rPr>
        <w:t>(5).</w:t>
      </w:r>
      <w:r w:rsidR="008A74EB" w:rsidRPr="00C9040A">
        <w:rPr>
          <w:rtl/>
        </w:rPr>
        <w:t xml:space="preserve"> في « ج » وحاشية « ب ، ز ، ص ، ف ، بس ، بف » والوسائل ، ح 234 والبحار وفقه الرضا : « فيجتهد »</w:t>
      </w:r>
      <w:r w:rsidR="008A74EB">
        <w:rPr>
          <w:rtl/>
        </w:rPr>
        <w:t>.</w:t>
      </w:r>
    </w:p>
    <w:tbl>
      <w:tblPr>
        <w:tblStyle w:val="TableGrid"/>
        <w:bidiVisual/>
        <w:tblW w:w="0" w:type="auto"/>
        <w:tblLook w:val="04A0" w:firstRow="1" w:lastRow="0" w:firstColumn="1" w:lastColumn="0" w:noHBand="0" w:noVBand="1"/>
      </w:tblPr>
      <w:tblGrid>
        <w:gridCol w:w="4006"/>
        <w:gridCol w:w="4006"/>
      </w:tblGrid>
      <w:tr w:rsidR="003D6865" w:rsidTr="003D6865">
        <w:tc>
          <w:tcPr>
            <w:tcW w:w="4006" w:type="dxa"/>
          </w:tcPr>
          <w:p w:rsidR="003D6865" w:rsidRDefault="003D6865" w:rsidP="004A4E41">
            <w:pPr>
              <w:pStyle w:val="libFootnote0"/>
              <w:rPr>
                <w:rtl/>
                <w:lang w:bidi="fa-IR"/>
              </w:rPr>
            </w:pPr>
            <w:r>
              <w:rPr>
                <w:rtl/>
              </w:rPr>
              <w:t xml:space="preserve">(6). </w:t>
            </w:r>
            <w:r w:rsidRPr="00C9040A">
              <w:rPr>
                <w:rtl/>
              </w:rPr>
              <w:t>في التوحيد : « في »</w:t>
            </w:r>
            <w:r>
              <w:rPr>
                <w:rtl/>
              </w:rPr>
              <w:t>.</w:t>
            </w:r>
          </w:p>
        </w:tc>
        <w:tc>
          <w:tcPr>
            <w:tcW w:w="4006" w:type="dxa"/>
          </w:tcPr>
          <w:p w:rsidR="003D6865" w:rsidRDefault="003D6865" w:rsidP="004A4E41">
            <w:pPr>
              <w:pStyle w:val="libFootnote0"/>
              <w:rPr>
                <w:rtl/>
                <w:lang w:bidi="fa-IR"/>
              </w:rPr>
            </w:pPr>
            <w:r>
              <w:rPr>
                <w:rtl/>
              </w:rPr>
              <w:t>(7).</w:t>
            </w:r>
            <w:r w:rsidRPr="00C9040A">
              <w:rPr>
                <w:rtl/>
              </w:rPr>
              <w:t xml:space="preserve"> في « ب ، ز ، ص » : « بالليالي »</w:t>
            </w:r>
            <w:r>
              <w:rPr>
                <w:rtl/>
              </w:rPr>
              <w:t>.</w:t>
            </w:r>
          </w:p>
        </w:tc>
      </w:tr>
    </w:tbl>
    <w:p w:rsidR="008A74EB" w:rsidRPr="00C9040A" w:rsidRDefault="006C577F" w:rsidP="004A4E41">
      <w:pPr>
        <w:pStyle w:val="libFootnote0"/>
        <w:rPr>
          <w:rtl/>
          <w:lang w:bidi="fa-IR"/>
        </w:rPr>
      </w:pPr>
      <w:r>
        <w:rPr>
          <w:rtl/>
        </w:rPr>
        <w:t>(8).</w:t>
      </w:r>
      <w:r w:rsidR="008A74EB" w:rsidRPr="00C9040A">
        <w:rPr>
          <w:rtl/>
        </w:rPr>
        <w:t xml:space="preserve"> أي عطفاً منّي عليه ورحمة منّي له. تقول العرب : نظرتُ لك : أي عطفتُ عليك بما عندي. راجع : </w:t>
      </w:r>
      <w:r w:rsidR="008A74EB" w:rsidRPr="00993B55">
        <w:rPr>
          <w:rStyle w:val="libFootnoteBoldChar"/>
          <w:rtl/>
        </w:rPr>
        <w:t>ترتيب‌كتاب العين</w:t>
      </w:r>
      <w:r w:rsidR="008A74EB" w:rsidRPr="00C9040A">
        <w:rPr>
          <w:rtl/>
        </w:rPr>
        <w:t xml:space="preserve"> ، ج 3 ، ص 1808 ( نظر )</w:t>
      </w:r>
      <w:r w:rsidR="008A74EB">
        <w:rPr>
          <w:rtl/>
        </w:rPr>
        <w:t>.</w:t>
      </w:r>
      <w:r w:rsidR="00643700">
        <w:rPr>
          <w:rFonts w:hint="cs"/>
          <w:rtl/>
        </w:rPr>
        <w:t xml:space="preserve">                       </w:t>
      </w:r>
      <w:r>
        <w:rPr>
          <w:rtl/>
        </w:rPr>
        <w:t>(9).</w:t>
      </w:r>
      <w:r w:rsidR="008A74EB" w:rsidRPr="00C9040A">
        <w:rPr>
          <w:rtl/>
        </w:rPr>
        <w:t xml:space="preserve"> في حاشية « بس » والبحار : « إليه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 ض » والبحار والتوحيد : « زارٍ » بقلب الهمزة ياءً ، ثمّ حذفها. وفي </w:t>
      </w:r>
      <w:r w:rsidR="008A74EB" w:rsidRPr="00993B55">
        <w:rPr>
          <w:rStyle w:val="libFootnoteBoldChar"/>
          <w:rtl/>
        </w:rPr>
        <w:t>الوافي</w:t>
      </w:r>
      <w:r w:rsidR="008A74EB" w:rsidRPr="00C9040A">
        <w:rPr>
          <w:rtl/>
        </w:rPr>
        <w:t xml:space="preserve"> : « زارٍ عليها ، بالزاي أوّلاً والراءأخيراً ، أي عاتب ساخط غير راض »</w:t>
      </w:r>
      <w:r w:rsidR="008A74EB">
        <w:rPr>
          <w:rtl/>
        </w:rPr>
        <w:t>.</w:t>
      </w:r>
      <w:r w:rsidR="00AC1627">
        <w:rPr>
          <w:rFonts w:hint="cs"/>
          <w:rtl/>
        </w:rPr>
        <w:t xml:space="preserve">                 </w:t>
      </w:r>
      <w:r>
        <w:rPr>
          <w:rtl/>
        </w:rPr>
        <w:t>(11).</w:t>
      </w:r>
      <w:r w:rsidR="008A74EB" w:rsidRPr="00C9040A">
        <w:rPr>
          <w:rtl/>
        </w:rPr>
        <w:t xml:space="preserve"> في « ض » </w:t>
      </w:r>
      <w:r w:rsidR="008A74EB">
        <w:rPr>
          <w:rtl/>
        </w:rPr>
        <w:t xml:space="preserve">: </w:t>
      </w:r>
      <w:r w:rsidR="0084262C">
        <w:rPr>
          <w:rtl/>
        </w:rPr>
        <w:t>-</w:t>
      </w:r>
      <w:r w:rsidR="008A74EB" w:rsidRPr="00C9040A">
        <w:rPr>
          <w:rtl/>
        </w:rPr>
        <w:t xml:space="preserve"> « من ذلك فيصيّره العجب »</w:t>
      </w:r>
      <w:r w:rsidR="008A74EB">
        <w:rPr>
          <w:rtl/>
        </w:rPr>
        <w:t>.</w:t>
      </w:r>
    </w:p>
    <w:p w:rsidR="008A74EB" w:rsidRPr="004A4E41" w:rsidRDefault="006C577F" w:rsidP="004A4E41">
      <w:pPr>
        <w:pStyle w:val="libFootnote0"/>
        <w:rPr>
          <w:rStyle w:val="libFootnote0Char"/>
          <w:rtl/>
        </w:rPr>
      </w:pPr>
      <w:r>
        <w:rPr>
          <w:rtl/>
        </w:rPr>
        <w:t>(12).</w:t>
      </w:r>
      <w:r w:rsidR="008A74EB" w:rsidRPr="00C9040A">
        <w:rPr>
          <w:rtl/>
        </w:rPr>
        <w:t xml:space="preserve"> في الوسائل ، ح 231 والكافي ، ح 1612 والأمالي : « لا يتّكل »</w:t>
      </w:r>
      <w:r w:rsidR="008A74EB">
        <w:rPr>
          <w:rtl/>
        </w:rPr>
        <w:t>.</w:t>
      </w:r>
    </w:p>
    <w:tbl>
      <w:tblPr>
        <w:tblStyle w:val="TableGrid"/>
        <w:bidiVisual/>
        <w:tblW w:w="0" w:type="auto"/>
        <w:tblLook w:val="04A0" w:firstRow="1" w:lastRow="0" w:firstColumn="1" w:lastColumn="0" w:noHBand="0" w:noVBand="1"/>
      </w:tblPr>
      <w:tblGrid>
        <w:gridCol w:w="4006"/>
        <w:gridCol w:w="4006"/>
      </w:tblGrid>
      <w:tr w:rsidR="00AC1627" w:rsidTr="00AC1627">
        <w:tc>
          <w:tcPr>
            <w:tcW w:w="4006" w:type="dxa"/>
          </w:tcPr>
          <w:p w:rsidR="00AC1627" w:rsidRDefault="00AC1627" w:rsidP="004A4E41">
            <w:pPr>
              <w:pStyle w:val="libFootnote0"/>
              <w:rPr>
                <w:rtl/>
              </w:rPr>
            </w:pPr>
            <w:r>
              <w:rPr>
                <w:rtl/>
              </w:rPr>
              <w:t>(13)</w:t>
            </w:r>
            <w:r w:rsidRPr="00C9040A">
              <w:rPr>
                <w:rtl/>
              </w:rPr>
              <w:t xml:space="preserve"> في « بر » والوسائل ، ح 231 : + « لي »</w:t>
            </w:r>
            <w:r>
              <w:rPr>
                <w:rtl/>
              </w:rPr>
              <w:t>.</w:t>
            </w:r>
          </w:p>
        </w:tc>
        <w:tc>
          <w:tcPr>
            <w:tcW w:w="4006" w:type="dxa"/>
          </w:tcPr>
          <w:p w:rsidR="00AC1627" w:rsidRDefault="00AC1627" w:rsidP="004A4E41">
            <w:pPr>
              <w:pStyle w:val="libFootnote0"/>
              <w:rPr>
                <w:rtl/>
              </w:rPr>
            </w:pPr>
            <w:r>
              <w:rPr>
                <w:rtl/>
              </w:rPr>
              <w:t>(14)</w:t>
            </w:r>
            <w:r w:rsidRPr="00C9040A">
              <w:rPr>
                <w:rtl/>
              </w:rPr>
              <w:t xml:space="preserve"> في الأمالي : « يعملون بها »</w:t>
            </w:r>
            <w:r>
              <w:rPr>
                <w:rtl/>
              </w:rPr>
              <w:t>.</w:t>
            </w:r>
          </w:p>
        </w:tc>
      </w:tr>
    </w:tbl>
    <w:p w:rsidR="008A74EB" w:rsidRPr="00C9040A" w:rsidRDefault="008A74EB" w:rsidP="004A4E41">
      <w:pPr>
        <w:pStyle w:val="libFootnote0"/>
        <w:rPr>
          <w:rtl/>
          <w:lang w:bidi="fa-IR"/>
        </w:rPr>
      </w:pPr>
      <w:r>
        <w:rPr>
          <w:rtl/>
        </w:rPr>
        <w:t>(15)</w:t>
      </w:r>
      <w:r w:rsidRPr="00C9040A">
        <w:rPr>
          <w:rtl/>
        </w:rPr>
        <w:t xml:space="preserve"> في الوسائل ، ح 231 والبحار والكافي ، ح 1612 والأمالي </w:t>
      </w:r>
      <w:r>
        <w:rPr>
          <w:rtl/>
        </w:rPr>
        <w:t xml:space="preserve">: </w:t>
      </w:r>
      <w:r w:rsidR="0084262C">
        <w:rPr>
          <w:rtl/>
        </w:rPr>
        <w:t>-</w:t>
      </w:r>
      <w:r w:rsidRPr="00C9040A">
        <w:rPr>
          <w:rtl/>
        </w:rPr>
        <w:t xml:space="preserve"> « وأفنوا »</w:t>
      </w:r>
      <w:r>
        <w:rPr>
          <w:rtl/>
        </w:rPr>
        <w:t>.</w:t>
      </w:r>
    </w:p>
    <w:p w:rsidR="008A74EB" w:rsidRPr="00C9040A" w:rsidRDefault="008A74EB" w:rsidP="004A4E41">
      <w:pPr>
        <w:pStyle w:val="libFootnote0"/>
        <w:rPr>
          <w:rtl/>
          <w:lang w:bidi="fa-IR"/>
        </w:rPr>
      </w:pPr>
      <w:r>
        <w:rPr>
          <w:rtl/>
        </w:rPr>
        <w:t>(16)</w:t>
      </w:r>
      <w:r w:rsidRPr="00C9040A">
        <w:rPr>
          <w:rtl/>
        </w:rPr>
        <w:t xml:space="preserve"> في الأمالي </w:t>
      </w:r>
      <w:r>
        <w:rPr>
          <w:rtl/>
        </w:rPr>
        <w:t xml:space="preserve">: </w:t>
      </w:r>
      <w:r w:rsidR="0084262C">
        <w:rPr>
          <w:rtl/>
        </w:rPr>
        <w:t>-</w:t>
      </w:r>
      <w:r w:rsidRPr="00C9040A">
        <w:rPr>
          <w:rtl/>
        </w:rPr>
        <w:t xml:space="preserve"> « عندي »</w:t>
      </w:r>
      <w:r>
        <w:rPr>
          <w:rtl/>
        </w:rPr>
        <w:t>.</w:t>
      </w:r>
    </w:p>
    <w:p w:rsidR="004B7F34" w:rsidRDefault="004B7F34" w:rsidP="004B7F34">
      <w:pPr>
        <w:pStyle w:val="libNormal"/>
        <w:rPr>
          <w:rtl/>
          <w:lang w:bidi="fa-IR"/>
        </w:rPr>
      </w:pPr>
      <w:r>
        <w:rPr>
          <w:rtl/>
          <w:lang w:bidi="fa-IR"/>
        </w:rPr>
        <w:br w:type="page"/>
      </w:r>
    </w:p>
    <w:p w:rsidR="008A74EB" w:rsidRPr="00C9040A" w:rsidRDefault="008A74EB" w:rsidP="0003145C">
      <w:pPr>
        <w:pStyle w:val="libNormal0"/>
        <w:rPr>
          <w:rtl/>
          <w:lang w:bidi="fa-IR"/>
        </w:rPr>
      </w:pPr>
      <w:r w:rsidRPr="00C9040A">
        <w:rPr>
          <w:rtl/>
          <w:lang w:bidi="fa-IR"/>
        </w:rPr>
        <w:lastRenderedPageBreak/>
        <w:t xml:space="preserve">مِنْ كَرَامَتِي وَالنَّعِيمِ فِي جَنَّاتِي وَرَفِيعِ دَرَجَاتِيَ </w:t>
      </w:r>
      <w:r w:rsidR="006C577F" w:rsidRPr="006C577F">
        <w:rPr>
          <w:rStyle w:val="libFootnotenumChar"/>
          <w:rtl/>
        </w:rPr>
        <w:t>(1)</w:t>
      </w:r>
      <w:r w:rsidRPr="00853746">
        <w:rPr>
          <w:rFonts w:hint="cs"/>
          <w:rtl/>
        </w:rPr>
        <w:t xml:space="preserve"> </w:t>
      </w:r>
      <w:r w:rsidRPr="00C9040A">
        <w:rPr>
          <w:rtl/>
          <w:lang w:bidi="fa-IR"/>
        </w:rPr>
        <w:t xml:space="preserve">الْعُلى </w:t>
      </w:r>
      <w:r w:rsidR="006C577F" w:rsidRPr="006C577F">
        <w:rPr>
          <w:rStyle w:val="libFootnotenumChar"/>
          <w:rtl/>
        </w:rPr>
        <w:t>(2)</w:t>
      </w:r>
      <w:r w:rsidRPr="00C9040A">
        <w:rPr>
          <w:rtl/>
          <w:lang w:bidi="fa-IR"/>
        </w:rPr>
        <w:t xml:space="preserve"> فِي جِوَارِي ، وَلكِنْ </w:t>
      </w:r>
      <w:r w:rsidR="006C577F" w:rsidRPr="006C577F">
        <w:rPr>
          <w:rStyle w:val="libFootnotenumChar"/>
          <w:rtl/>
        </w:rPr>
        <w:t>(3)</w:t>
      </w:r>
      <w:r w:rsidRPr="00C9040A">
        <w:rPr>
          <w:rtl/>
          <w:lang w:bidi="fa-IR"/>
        </w:rPr>
        <w:t xml:space="preserve"> فَبِرَحْمَتِي </w:t>
      </w:r>
      <w:r w:rsidR="006C577F" w:rsidRPr="006C577F">
        <w:rPr>
          <w:rStyle w:val="libFootnotenumChar"/>
          <w:rtl/>
        </w:rPr>
        <w:t>(4)</w:t>
      </w:r>
      <w:r w:rsidRPr="00C9040A">
        <w:rPr>
          <w:rtl/>
          <w:lang w:bidi="fa-IR"/>
        </w:rPr>
        <w:t xml:space="preserve"> فَلْيَثِقُوا ، وَبِفَضْلِي </w:t>
      </w:r>
      <w:r w:rsidR="006C577F" w:rsidRPr="006C577F">
        <w:rPr>
          <w:rStyle w:val="libFootnotenumChar"/>
          <w:rtl/>
        </w:rPr>
        <w:t>(5)</w:t>
      </w:r>
      <w:r w:rsidRPr="00C9040A">
        <w:rPr>
          <w:rtl/>
          <w:lang w:bidi="fa-IR"/>
        </w:rPr>
        <w:t xml:space="preserve"> فَلْيَفْرَحُوا </w:t>
      </w:r>
      <w:r w:rsidR="006C577F" w:rsidRPr="006C577F">
        <w:rPr>
          <w:rStyle w:val="libFootnotenumChar"/>
          <w:rtl/>
        </w:rPr>
        <w:t>(6)</w:t>
      </w:r>
      <w:r w:rsidR="0003145C" w:rsidRPr="00C9040A">
        <w:rPr>
          <w:rtl/>
          <w:lang w:bidi="fa-IR"/>
        </w:rPr>
        <w:t xml:space="preserve"> </w:t>
      </w:r>
      <w:r w:rsidRPr="00C9040A">
        <w:rPr>
          <w:rtl/>
          <w:lang w:bidi="fa-IR"/>
        </w:rPr>
        <w:t xml:space="preserve">، وَإِلى حُسْنِ الظَّنِّ بِي فَلْيَطْمَئِنُّوا ؛ فَإِنَّ رَحْمَتِي عِنْدَ ذلِكَ تَدَارَكُهُمْ </w:t>
      </w:r>
      <w:r w:rsidR="006C577F" w:rsidRPr="006C577F">
        <w:rPr>
          <w:rStyle w:val="libFootnotenumChar"/>
          <w:rtl/>
        </w:rPr>
        <w:t>(7)</w:t>
      </w:r>
      <w:r w:rsidRPr="00C9040A">
        <w:rPr>
          <w:rtl/>
          <w:lang w:bidi="fa-IR"/>
        </w:rPr>
        <w:t xml:space="preserve"> ، وَمَنِّي يُبَلِّغُهُمْ رِضْوَانِي ، وَمَغْفِرَتِي تُلْبِسُهُمْ </w:t>
      </w:r>
      <w:r w:rsidR="006C577F" w:rsidRPr="006C577F">
        <w:rPr>
          <w:rStyle w:val="libFootnotenumChar"/>
          <w:rtl/>
        </w:rPr>
        <w:t>(8)</w:t>
      </w:r>
      <w:r w:rsidRPr="00C9040A">
        <w:rPr>
          <w:rtl/>
          <w:lang w:bidi="fa-IR"/>
        </w:rPr>
        <w:t xml:space="preserve"> عَفْوِي ؛ فَإِنِّي أَنَا اللهُ الرَّحْمنُ الرَّحِيمُ ، وَ</w:t>
      </w:r>
      <w:r>
        <w:rPr>
          <w:rFonts w:hint="cs"/>
          <w:rtl/>
          <w:lang w:bidi="fa-IR"/>
        </w:rPr>
        <w:t xml:space="preserve"> </w:t>
      </w:r>
      <w:r w:rsidR="006C577F" w:rsidRPr="006C577F">
        <w:rPr>
          <w:rStyle w:val="libFootnotenumChar"/>
          <w:rtl/>
        </w:rPr>
        <w:t>(9)</w:t>
      </w:r>
      <w:r w:rsidRPr="00C9040A">
        <w:rPr>
          <w:rtl/>
          <w:lang w:bidi="fa-IR"/>
        </w:rPr>
        <w:t xml:space="preserve"> بِذلِكَ تَسَمَّيْتُ »</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Normal"/>
        <w:rPr>
          <w:rtl/>
          <w:lang w:bidi="fa-IR"/>
        </w:rPr>
      </w:pPr>
      <w:r w:rsidRPr="00782A57">
        <w:rPr>
          <w:rtl/>
        </w:rPr>
        <w:t>1582</w:t>
      </w:r>
      <w:r w:rsidRPr="00261CB0">
        <w:rPr>
          <w:rStyle w:val="libBold2Char"/>
          <w:rtl/>
        </w:rPr>
        <w:t xml:space="preserve"> / 5.</w:t>
      </w:r>
      <w:r w:rsidRPr="00C9040A">
        <w:rPr>
          <w:rtl/>
          <w:lang w:bidi="fa-IR"/>
        </w:rPr>
        <w:t xml:space="preserve"> عِدَّةٌ مِنْ أَصْحَابِنَا ، عَنْ سَهْلِ بْنِ زِيَادٍ ، عَنْ أَحْمَدَ بْنِ مُحَمَّدِ بْنِ أَبِي نَصْرٍ ، عَنْ صَفْوَانَ الْجَمَّالِ :</w:t>
      </w:r>
    </w:p>
    <w:p w:rsidR="008A74EB" w:rsidRPr="00C9040A" w:rsidRDefault="008A74EB" w:rsidP="008A74EB">
      <w:pPr>
        <w:pStyle w:val="libLine"/>
        <w:rPr>
          <w:rtl/>
          <w:lang w:bidi="fa-IR"/>
        </w:rPr>
      </w:pPr>
      <w:r w:rsidRPr="00C9040A">
        <w:rPr>
          <w:rtl/>
          <w:lang w:bidi="fa-IR"/>
        </w:rPr>
        <w:t>__________________</w:t>
      </w:r>
    </w:p>
    <w:p w:rsidR="008A74EB" w:rsidRPr="004A4E41" w:rsidRDefault="006C577F" w:rsidP="004A4E41">
      <w:pPr>
        <w:pStyle w:val="libFootnote0"/>
        <w:rPr>
          <w:rStyle w:val="libFootnote0Char"/>
          <w:rtl/>
        </w:rPr>
      </w:pPr>
      <w:r>
        <w:rPr>
          <w:rtl/>
        </w:rPr>
        <w:t>(1).</w:t>
      </w:r>
      <w:r w:rsidR="008A74EB" w:rsidRPr="00C9040A">
        <w:rPr>
          <w:rtl/>
        </w:rPr>
        <w:t xml:space="preserve"> في « ب ، ز ، ص ، بس ، بف » وحاشية « ف » والبحار : « درجات » بكون كسرة التاء بدلاً من الياء. وفي الوسائل ، ح 231 والكافي ، ح 1612 والأمالي : « الدرجات »</w:t>
      </w:r>
      <w:r w:rsidR="008A74EB">
        <w:rPr>
          <w:rtl/>
        </w:rPr>
        <w:t>.</w:t>
      </w:r>
    </w:p>
    <w:tbl>
      <w:tblPr>
        <w:tblStyle w:val="TableGrid"/>
        <w:bidiVisual/>
        <w:tblW w:w="0" w:type="auto"/>
        <w:tblLook w:val="04A0" w:firstRow="1" w:lastRow="0" w:firstColumn="1" w:lastColumn="0" w:noHBand="0" w:noVBand="1"/>
      </w:tblPr>
      <w:tblGrid>
        <w:gridCol w:w="4006"/>
        <w:gridCol w:w="4006"/>
      </w:tblGrid>
      <w:tr w:rsidR="00F5075B" w:rsidTr="00F5075B">
        <w:tc>
          <w:tcPr>
            <w:tcW w:w="4006" w:type="dxa"/>
          </w:tcPr>
          <w:p w:rsidR="00F5075B" w:rsidRDefault="00F5075B" w:rsidP="004A4E41">
            <w:pPr>
              <w:pStyle w:val="libFootnote0"/>
              <w:rPr>
                <w:rtl/>
              </w:rPr>
            </w:pPr>
            <w:r>
              <w:rPr>
                <w:rtl/>
              </w:rPr>
              <w:t xml:space="preserve">(2). </w:t>
            </w:r>
            <w:r w:rsidRPr="00C9040A">
              <w:rPr>
                <w:rtl/>
              </w:rPr>
              <w:t xml:space="preserve">في الأمالي </w:t>
            </w:r>
            <w:r>
              <w:rPr>
                <w:rtl/>
              </w:rPr>
              <w:t>: -</w:t>
            </w:r>
            <w:r w:rsidRPr="00C9040A">
              <w:rPr>
                <w:rtl/>
              </w:rPr>
              <w:t xml:space="preserve"> « العلى »</w:t>
            </w:r>
            <w:r>
              <w:rPr>
                <w:rtl/>
              </w:rPr>
              <w:t>.</w:t>
            </w:r>
          </w:p>
        </w:tc>
        <w:tc>
          <w:tcPr>
            <w:tcW w:w="4006" w:type="dxa"/>
          </w:tcPr>
          <w:p w:rsidR="00F5075B" w:rsidRDefault="00F5075B" w:rsidP="004A4E41">
            <w:pPr>
              <w:pStyle w:val="libFootnote0"/>
              <w:rPr>
                <w:rtl/>
              </w:rPr>
            </w:pPr>
            <w:r>
              <w:rPr>
                <w:rtl/>
              </w:rPr>
              <w:t>(3).</w:t>
            </w:r>
            <w:r w:rsidRPr="00C9040A">
              <w:rPr>
                <w:rtl/>
              </w:rPr>
              <w:t xml:space="preserve"> في « بر » : « ولكنّي »</w:t>
            </w:r>
            <w:r>
              <w:rPr>
                <w:rtl/>
              </w:rPr>
              <w:t>.</w:t>
            </w:r>
          </w:p>
        </w:tc>
      </w:tr>
    </w:tbl>
    <w:p w:rsidR="008A74EB" w:rsidRPr="00C9040A" w:rsidRDefault="006C577F" w:rsidP="004A4E41">
      <w:pPr>
        <w:pStyle w:val="libFootnote0"/>
        <w:rPr>
          <w:rtl/>
          <w:lang w:bidi="fa-IR"/>
        </w:rPr>
      </w:pPr>
      <w:r>
        <w:rPr>
          <w:rtl/>
        </w:rPr>
        <w:t>(4).</w:t>
      </w:r>
      <w:r w:rsidR="008A74EB" w:rsidRPr="00C9040A">
        <w:rPr>
          <w:rtl/>
        </w:rPr>
        <w:t xml:space="preserve"> في الوسائل ، ح 231 والكافي ، ح 1612 والتمحيص والأمالي : « برحمتي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الوسائل ، ح 231 والكافي ، ح 1612 والأمالي : « فضلي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بر » والوسائل ، ح 231 والكافي ، ح 1612 والتمحيص والأمالي : « فليرجوا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أصله : تتداركهم ، حذفت إحدى التاءين كما نصّ عليه في </w:t>
      </w:r>
      <w:r w:rsidR="008A74EB" w:rsidRPr="00993B55">
        <w:rPr>
          <w:rStyle w:val="libFootnoteBoldChar"/>
          <w:rtl/>
        </w:rPr>
        <w:t>مرآة العقول</w:t>
      </w:r>
      <w:r w:rsidR="008A74EB" w:rsidRPr="00C9040A">
        <w:rPr>
          <w:rtl/>
        </w:rPr>
        <w:t>. ويجوز كونه من المفاعلة. وفي‌الكافي ، ح 1612 والأمالي : « تدركهم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الأمالي : « بمنّي ا</w:t>
      </w:r>
      <w:r w:rsidR="00831914">
        <w:rPr>
          <w:rFonts w:hint="cs"/>
          <w:rtl/>
        </w:rPr>
        <w:t>ُ</w:t>
      </w:r>
      <w:r w:rsidR="008A74EB" w:rsidRPr="00C9040A">
        <w:rPr>
          <w:rtl/>
        </w:rPr>
        <w:t>بلّغهم رضواني وا</w:t>
      </w:r>
      <w:r w:rsidR="00831914">
        <w:rPr>
          <w:rFonts w:hint="cs"/>
          <w:rtl/>
        </w:rPr>
        <w:t>ُ</w:t>
      </w:r>
      <w:r w:rsidR="008A74EB" w:rsidRPr="00C9040A">
        <w:rPr>
          <w:rtl/>
        </w:rPr>
        <w:t>لبسهم » بدل « منّي</w:t>
      </w:r>
      <w:r w:rsidR="008A74EB">
        <w:rPr>
          <w:rtl/>
        </w:rPr>
        <w:t xml:space="preserve"> </w:t>
      </w:r>
      <w:r w:rsidR="0084262C">
        <w:rPr>
          <w:rtl/>
        </w:rPr>
        <w:t>-</w:t>
      </w:r>
      <w:r w:rsidR="008A74EB">
        <w:rPr>
          <w:rtl/>
        </w:rPr>
        <w:t xml:space="preserve"> </w:t>
      </w:r>
      <w:r w:rsidR="008A74EB" w:rsidRPr="00C9040A">
        <w:rPr>
          <w:rtl/>
        </w:rPr>
        <w:t>إلى</w:t>
      </w:r>
      <w:r w:rsidR="008A74EB">
        <w:rPr>
          <w:rtl/>
        </w:rPr>
        <w:t xml:space="preserve"> </w:t>
      </w:r>
      <w:r w:rsidR="0084262C">
        <w:rPr>
          <w:rtl/>
        </w:rPr>
        <w:t>-</w:t>
      </w:r>
      <w:r w:rsidR="008A74EB">
        <w:rPr>
          <w:rtl/>
        </w:rPr>
        <w:t xml:space="preserve"> </w:t>
      </w:r>
      <w:r w:rsidR="008A74EB" w:rsidRPr="00C9040A">
        <w:rPr>
          <w:rtl/>
        </w:rPr>
        <w:t>تلبسهم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التمحيص والأمالي </w:t>
      </w:r>
      <w:r w:rsidR="008A74EB">
        <w:rPr>
          <w:rtl/>
        </w:rPr>
        <w:t xml:space="preserve">: </w:t>
      </w:r>
      <w:r w:rsidR="0084262C">
        <w:rPr>
          <w:rtl/>
        </w:rPr>
        <w:t>-</w:t>
      </w:r>
      <w:r w:rsidR="008A74EB" w:rsidRPr="00C9040A">
        <w:rPr>
          <w:rtl/>
        </w:rPr>
        <w:t xml:space="preserve"> « </w:t>
      </w:r>
      <w:r w:rsidR="008A74EB">
        <w:rPr>
          <w:rtl/>
        </w:rPr>
        <w:t>و ».</w:t>
      </w:r>
    </w:p>
    <w:p w:rsidR="008A74EB" w:rsidRPr="00C9040A" w:rsidRDefault="006C577F" w:rsidP="004A4E41">
      <w:pPr>
        <w:pStyle w:val="libFootnote0"/>
        <w:rPr>
          <w:rtl/>
          <w:lang w:bidi="fa-IR"/>
        </w:rPr>
      </w:pPr>
      <w:r>
        <w:rPr>
          <w:rtl/>
        </w:rPr>
        <w:t>(10).</w:t>
      </w:r>
      <w:r w:rsidR="008A74EB" w:rsidRPr="00C9040A">
        <w:rPr>
          <w:rtl/>
        </w:rPr>
        <w:t xml:space="preserve"> </w:t>
      </w:r>
      <w:r w:rsidR="008A74EB" w:rsidRPr="00993B55">
        <w:rPr>
          <w:rStyle w:val="libFootnoteBoldChar"/>
          <w:rtl/>
        </w:rPr>
        <w:t>الكافي</w:t>
      </w:r>
      <w:r w:rsidR="008A74EB" w:rsidRPr="00C9040A">
        <w:rPr>
          <w:rtl/>
        </w:rPr>
        <w:t xml:space="preserve"> ، كتاب الإيمان والكفر ، باب حسن الظنّ بالله عزّ وجلّ ، ح 1612 ، عن عدّة من أصحابنا ، عن أحمد بن محمّد بن عيسى. </w:t>
      </w:r>
      <w:r w:rsidR="008A74EB" w:rsidRPr="00993B55">
        <w:rPr>
          <w:rStyle w:val="libFootnoteBoldChar"/>
          <w:rtl/>
        </w:rPr>
        <w:t>الأمالي</w:t>
      </w:r>
      <w:r w:rsidR="008A74EB" w:rsidRPr="00C9040A">
        <w:rPr>
          <w:rtl/>
        </w:rPr>
        <w:t xml:space="preserve"> للطوسي ، ص 211 ، المجلس 8 ، ح 18 ، بسنده عن الكليني ، عن عدّة من أصحابنا ، عن أحمد بن محمّد بن عيسى ، وفيهما من قوله : « فلا يتّكل العاملون على أعمالهم » مع اختلاف يسير. </w:t>
      </w:r>
      <w:r w:rsidR="008A74EB" w:rsidRPr="00993B55">
        <w:rPr>
          <w:rStyle w:val="libFootnoteBoldChar"/>
          <w:rtl/>
        </w:rPr>
        <w:t>التوحيد</w:t>
      </w:r>
      <w:r w:rsidR="008A74EB" w:rsidRPr="00C9040A">
        <w:rPr>
          <w:rtl/>
        </w:rPr>
        <w:t xml:space="preserve"> ، ص 404 ، ح 12 ، بسنده عن أحمد بن محمّد بن عيسى ، إلى قوله : « وهو يظنّ أنّه يتقرّب إليّ » مع اختلاف يسير ؛ </w:t>
      </w:r>
      <w:r w:rsidR="008A74EB" w:rsidRPr="00993B55">
        <w:rPr>
          <w:rStyle w:val="libFootnoteBoldChar"/>
          <w:rtl/>
        </w:rPr>
        <w:t>الأمالي</w:t>
      </w:r>
      <w:r w:rsidR="008A74EB" w:rsidRPr="00C9040A">
        <w:rPr>
          <w:rtl/>
        </w:rPr>
        <w:t xml:space="preserve"> للطوسي ، ص 166 ، المجلس 6 ، ح 30 ، بسند آخر عن الرضا ، عن آبائه </w:t>
      </w:r>
      <w:r w:rsidR="00117575" w:rsidRPr="00117575">
        <w:rPr>
          <w:rStyle w:val="libFootnoteAlaemChar"/>
          <w:rtl/>
        </w:rPr>
        <w:t>عليهم‌السلام</w:t>
      </w:r>
      <w:r w:rsidR="008A74EB" w:rsidRPr="00C9040A">
        <w:rPr>
          <w:rtl/>
        </w:rPr>
        <w:t xml:space="preserve"> عن رسول الله </w:t>
      </w:r>
      <w:r w:rsidR="004A4E41" w:rsidRPr="00B866D3">
        <w:rPr>
          <w:rStyle w:val="libFootnoteAlaemChar"/>
          <w:rtl/>
        </w:rPr>
        <w:t>صلى‌الله‌عليه‌وآله</w:t>
      </w:r>
      <w:r w:rsidR="008A74EB" w:rsidRPr="00C9040A">
        <w:rPr>
          <w:rtl/>
        </w:rPr>
        <w:t xml:space="preserve"> ، مع اختلاف. </w:t>
      </w:r>
      <w:r w:rsidR="008A74EB" w:rsidRPr="00993B55">
        <w:rPr>
          <w:rStyle w:val="libFootnoteBoldChar"/>
          <w:rtl/>
        </w:rPr>
        <w:t>المؤمن</w:t>
      </w:r>
      <w:r w:rsidR="008A74EB" w:rsidRPr="00C9040A">
        <w:rPr>
          <w:rtl/>
        </w:rPr>
        <w:t xml:space="preserve"> ، ص 24 ، ح 37 ، عن أبي عبد الله </w:t>
      </w:r>
      <w:r w:rsidR="00117575" w:rsidRPr="00117575">
        <w:rPr>
          <w:rStyle w:val="libFootnoteAlaemChar"/>
          <w:rtl/>
        </w:rPr>
        <w:t>عليه‌السلام</w:t>
      </w:r>
      <w:r w:rsidR="008A74EB" w:rsidRPr="00C9040A">
        <w:rPr>
          <w:rtl/>
        </w:rPr>
        <w:t xml:space="preserve"> ، إلى قوله : « فأبلوهم بالفاقة والمسكنة والسقم فيصلح عليهم أمر دينهم » ؛ </w:t>
      </w:r>
      <w:r w:rsidR="008A74EB" w:rsidRPr="00993B55">
        <w:rPr>
          <w:rStyle w:val="libFootnoteBoldChar"/>
          <w:rtl/>
        </w:rPr>
        <w:t>فقه الرضا</w:t>
      </w:r>
      <w:r w:rsidR="008A74EB" w:rsidRPr="00C9040A">
        <w:rPr>
          <w:rtl/>
        </w:rPr>
        <w:t xml:space="preserve"> </w:t>
      </w:r>
      <w:r w:rsidR="00117575" w:rsidRPr="00117575">
        <w:rPr>
          <w:rStyle w:val="libFootnoteAlaemChar"/>
          <w:rtl/>
        </w:rPr>
        <w:t>عليه‌السلام</w:t>
      </w:r>
      <w:r w:rsidR="008A74EB" w:rsidRPr="00C9040A">
        <w:rPr>
          <w:rtl/>
        </w:rPr>
        <w:t xml:space="preserve"> ، ص 387 ، عن رسول الله </w:t>
      </w:r>
      <w:r w:rsidR="004A4E41" w:rsidRPr="00B866D3">
        <w:rPr>
          <w:rStyle w:val="libFootnoteAlaemChar"/>
          <w:rtl/>
        </w:rPr>
        <w:t>صلى‌الله‌عليه‌وآله</w:t>
      </w:r>
      <w:r w:rsidR="008A74EB" w:rsidRPr="00C9040A">
        <w:rPr>
          <w:rtl/>
        </w:rPr>
        <w:t xml:space="preserve"> ، من قوله : « أنا أعلم بما يصلح عليه » مع اختلاف ؛ </w:t>
      </w:r>
      <w:r w:rsidR="008A74EB" w:rsidRPr="00993B55">
        <w:rPr>
          <w:rStyle w:val="libFootnoteBoldChar"/>
          <w:rtl/>
        </w:rPr>
        <w:t>وفيه</w:t>
      </w:r>
      <w:r w:rsidR="008A74EB" w:rsidRPr="00C9040A">
        <w:rPr>
          <w:rtl/>
        </w:rPr>
        <w:t xml:space="preserve"> ، ص 361 ، من قوله : « فلا يتّكل العاملون على أعمالهم » مع اختلاف</w:t>
      </w:r>
      <w:r w:rsidR="00EC18CB">
        <w:rPr>
          <w:rFonts w:hint="cs"/>
          <w:rtl/>
        </w:rPr>
        <w:t>.</w:t>
      </w:r>
      <w:r w:rsidR="008A74EB" w:rsidRPr="00993B55">
        <w:rPr>
          <w:rStyle w:val="libFootnoteBoldChar"/>
          <w:rtl/>
        </w:rPr>
        <w:t>الوافي</w:t>
      </w:r>
      <w:r w:rsidR="008A74EB" w:rsidRPr="00C9040A">
        <w:rPr>
          <w:rtl/>
        </w:rPr>
        <w:t xml:space="preserve"> ، ج 4 ، ص 276 ، ح 1936 ؛ </w:t>
      </w:r>
      <w:r w:rsidR="008A74EB" w:rsidRPr="00993B55">
        <w:rPr>
          <w:rStyle w:val="libFootnoteBoldChar"/>
          <w:rtl/>
        </w:rPr>
        <w:t>الوسائل</w:t>
      </w:r>
      <w:r w:rsidR="008A74EB" w:rsidRPr="00C9040A">
        <w:rPr>
          <w:rtl/>
        </w:rPr>
        <w:t xml:space="preserve"> ، ج 1 ، ص 96 ، ح 231 ، من قوله : « فلا يتّكل العاملون على أعمالهم » إلى قوله : « وإلى حسن الظنّ بي فليطمئنّوا » ؛ </w:t>
      </w:r>
      <w:r w:rsidR="008A74EB" w:rsidRPr="00993B55">
        <w:rPr>
          <w:rStyle w:val="libFootnoteBoldChar"/>
          <w:rtl/>
        </w:rPr>
        <w:t>وفيه</w:t>
      </w:r>
      <w:r w:rsidR="008A74EB" w:rsidRPr="00C9040A">
        <w:rPr>
          <w:rtl/>
        </w:rPr>
        <w:t xml:space="preserve"> ، ص 98 ، ح 234 ، من قوله : « وإنّ من عبادي المؤمنين لمن يجتهد في عبادتي » إلى قوله : « وهو يظنّ أنّه يتقرّب إليّ » ؛ </w:t>
      </w:r>
      <w:r w:rsidR="008A74EB" w:rsidRPr="00993B55">
        <w:rPr>
          <w:rStyle w:val="libFootnoteBoldChar"/>
          <w:rtl/>
        </w:rPr>
        <w:t>البحار</w:t>
      </w:r>
      <w:r w:rsidR="008A74EB" w:rsidRPr="00C9040A">
        <w:rPr>
          <w:rtl/>
        </w:rPr>
        <w:t xml:space="preserve"> ، ج 72 ، ص 327 ، ح 11.</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lastRenderedPageBreak/>
        <w:t xml:space="preserve">عَنْ أَبِي الْحَسَنِ الْأَوَّلِ </w:t>
      </w:r>
      <w:r w:rsidRPr="0003660B">
        <w:rPr>
          <w:rStyle w:val="libAlaemChar"/>
          <w:rtl/>
        </w:rPr>
        <w:t>عليه‌السلام</w:t>
      </w:r>
      <w:r w:rsidRPr="00C9040A">
        <w:rPr>
          <w:rtl/>
          <w:lang w:bidi="fa-IR"/>
        </w:rPr>
        <w:t xml:space="preserve"> ، قَالَ : « يَنْبَغِي لِمَنْ عَقَلَ </w:t>
      </w:r>
      <w:r w:rsidR="006C577F" w:rsidRPr="006C577F">
        <w:rPr>
          <w:rStyle w:val="libFootnotenumChar"/>
          <w:rtl/>
        </w:rPr>
        <w:t>(1)</w:t>
      </w:r>
      <w:r w:rsidRPr="002712F0">
        <w:rPr>
          <w:rFonts w:hint="cs"/>
          <w:rtl/>
        </w:rPr>
        <w:t xml:space="preserve"> </w:t>
      </w:r>
      <w:r w:rsidRPr="00C9040A">
        <w:rPr>
          <w:rtl/>
          <w:lang w:bidi="fa-IR"/>
        </w:rPr>
        <w:t xml:space="preserve">عَنِ اللهِ أَنْ لَايَسْتَبْطِئَهُ </w:t>
      </w:r>
      <w:r w:rsidR="006C577F" w:rsidRPr="006C577F">
        <w:rPr>
          <w:rStyle w:val="libFootnotenumChar"/>
          <w:rtl/>
        </w:rPr>
        <w:t>(2)</w:t>
      </w:r>
      <w:r w:rsidRPr="00C9040A">
        <w:rPr>
          <w:rtl/>
          <w:lang w:bidi="fa-IR"/>
        </w:rPr>
        <w:t xml:space="preserve"> فِي رِزْقِهِ ، وَلَا يَتَّهِمَهُ فِي قَضَائِهِ »</w:t>
      </w:r>
      <w:r>
        <w:rPr>
          <w:rtl/>
          <w:lang w:bidi="fa-IR"/>
        </w:rPr>
        <w:t>.</w:t>
      </w:r>
      <w:r w:rsidRPr="00C9040A">
        <w:rPr>
          <w:rtl/>
          <w:lang w:bidi="fa-IR"/>
        </w:rPr>
        <w:t xml:space="preserve"> </w:t>
      </w:r>
      <w:r w:rsidR="006C577F" w:rsidRPr="006C577F">
        <w:rPr>
          <w:rStyle w:val="libFootnotenumChar"/>
          <w:rtl/>
        </w:rPr>
        <w:t>(3)</w:t>
      </w:r>
    </w:p>
    <w:p w:rsidR="008A74EB" w:rsidRPr="00C9040A" w:rsidRDefault="008A74EB" w:rsidP="008A74EB">
      <w:pPr>
        <w:pStyle w:val="libNormal"/>
        <w:rPr>
          <w:rtl/>
          <w:lang w:bidi="fa-IR"/>
        </w:rPr>
      </w:pPr>
      <w:r w:rsidRPr="00782A57">
        <w:rPr>
          <w:rtl/>
        </w:rPr>
        <w:t>1583</w:t>
      </w:r>
      <w:r w:rsidRPr="00261CB0">
        <w:rPr>
          <w:rStyle w:val="libBold2Char"/>
          <w:rtl/>
        </w:rPr>
        <w:t xml:space="preserve"> / 6.</w:t>
      </w:r>
      <w:r w:rsidRPr="00C9040A">
        <w:rPr>
          <w:rtl/>
          <w:lang w:bidi="fa-IR"/>
        </w:rPr>
        <w:t xml:space="preserve"> أَبُو عَلِيٍّ الْأَشْعَرِيُّ ، عَنْ مُحَمَّدِ بْنِ عَبْدِ الْجَبَّارِ ، عَنْ مُحَمَّدِ بْنِ إِسْمَاعِيلَ ، عَنْ عَلِيِّ بْنِ النُّعْمَانِ ، عَنْ عَمْرِو بْنِ نُهَيْكٍ بَيَّاعِ الْهَرَوِيِّ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قَالَ اللهُ عَزَّ وَجَلَّ : عَبْدِيَ الْمُؤْمِنَ لَا</w:t>
      </w:r>
      <w:r>
        <w:rPr>
          <w:rFonts w:hint="cs"/>
          <w:rtl/>
          <w:lang w:bidi="fa-IR"/>
        </w:rPr>
        <w:t xml:space="preserve"> </w:t>
      </w:r>
      <w:r w:rsidRPr="00C9040A">
        <w:rPr>
          <w:rtl/>
          <w:lang w:bidi="fa-IR"/>
        </w:rPr>
        <w:t xml:space="preserve">أَصْرِفُهُ </w:t>
      </w:r>
      <w:r w:rsidR="006C577F" w:rsidRPr="006C577F">
        <w:rPr>
          <w:rStyle w:val="libFootnotenumChar"/>
          <w:rtl/>
        </w:rPr>
        <w:t>(4)</w:t>
      </w:r>
      <w:r w:rsidR="00EC18CB">
        <w:rPr>
          <w:rtl/>
          <w:lang w:bidi="fa-IR"/>
        </w:rPr>
        <w:t xml:space="preserve"> فِي شَيْ‌ءٍ إِل</w:t>
      </w:r>
      <w:r w:rsidR="00EC18CB">
        <w:rPr>
          <w:rFonts w:hint="cs"/>
          <w:rtl/>
          <w:lang w:bidi="fa-IR"/>
        </w:rPr>
        <w:t>َّ</w:t>
      </w:r>
      <w:r w:rsidR="00EC18CB">
        <w:rPr>
          <w:rtl/>
          <w:lang w:bidi="fa-IR"/>
        </w:rPr>
        <w:t>ا</w:t>
      </w:r>
      <w:r w:rsidRPr="00C9040A">
        <w:rPr>
          <w:rtl/>
          <w:lang w:bidi="fa-IR"/>
        </w:rPr>
        <w:t xml:space="preserve"> جَعَلْتُهُ خَيْراً لَهُ ؛ فَلْيَرْضَ بِقَضَائِي ، وَلْيَصْبِرْ عَلى بَلَائِي </w:t>
      </w:r>
      <w:r w:rsidR="006C577F" w:rsidRPr="006C577F">
        <w:rPr>
          <w:rStyle w:val="libFootnotenumChar"/>
          <w:rtl/>
        </w:rPr>
        <w:t>(5)</w:t>
      </w:r>
      <w:r w:rsidRPr="00C9040A">
        <w:rPr>
          <w:rtl/>
          <w:lang w:bidi="fa-IR"/>
        </w:rPr>
        <w:t xml:space="preserve"> ، وَلْيَشْكُرْ </w:t>
      </w:r>
      <w:r w:rsidR="006C577F" w:rsidRPr="006C577F">
        <w:rPr>
          <w:rStyle w:val="libFootnotenumChar"/>
          <w:rtl/>
        </w:rPr>
        <w:t>(6)</w:t>
      </w:r>
      <w:r w:rsidRPr="005B567D">
        <w:rPr>
          <w:rStyle w:val="libFootnotenumChar"/>
          <w:rtl/>
        </w:rPr>
        <w:t xml:space="preserve"> </w:t>
      </w:r>
      <w:r w:rsidRPr="00C9040A">
        <w:rPr>
          <w:rtl/>
          <w:lang w:bidi="fa-IR"/>
        </w:rPr>
        <w:t xml:space="preserve">نَعْمَائِي </w:t>
      </w:r>
      <w:r w:rsidR="006C577F" w:rsidRPr="006C577F">
        <w:rPr>
          <w:rStyle w:val="libFootnotenumChar"/>
          <w:rtl/>
        </w:rPr>
        <w:t>(7)</w:t>
      </w:r>
      <w:r w:rsidRPr="00C9040A">
        <w:rPr>
          <w:rtl/>
          <w:lang w:bidi="fa-IR"/>
        </w:rPr>
        <w:t xml:space="preserve"> ؛ أَكْتُبْهُ</w:t>
      </w:r>
      <w:r>
        <w:rPr>
          <w:rtl/>
          <w:lang w:bidi="fa-IR"/>
        </w:rPr>
        <w:t xml:space="preserve"> </w:t>
      </w:r>
      <w:r w:rsidR="0084262C">
        <w:rPr>
          <w:rtl/>
          <w:lang w:bidi="fa-IR"/>
        </w:rPr>
        <w:t>-</w:t>
      </w:r>
      <w:r>
        <w:rPr>
          <w:rtl/>
          <w:lang w:bidi="fa-IR"/>
        </w:rPr>
        <w:t xml:space="preserve"> </w:t>
      </w:r>
      <w:r w:rsidRPr="00C9040A">
        <w:rPr>
          <w:rtl/>
          <w:lang w:bidi="fa-IR"/>
        </w:rPr>
        <w:t>يَا مُحَمَّدُ</w:t>
      </w:r>
      <w:r>
        <w:rPr>
          <w:rtl/>
          <w:lang w:bidi="fa-IR"/>
        </w:rPr>
        <w:t xml:space="preserve"> </w:t>
      </w:r>
      <w:r w:rsidR="0084262C">
        <w:rPr>
          <w:rtl/>
          <w:lang w:bidi="fa-IR"/>
        </w:rPr>
        <w:t>-</w:t>
      </w:r>
      <w:r>
        <w:rPr>
          <w:rtl/>
          <w:lang w:bidi="fa-IR"/>
        </w:rPr>
        <w:t xml:space="preserve"> </w:t>
      </w:r>
      <w:r w:rsidRPr="00C9040A">
        <w:rPr>
          <w:rtl/>
          <w:lang w:bidi="fa-IR"/>
        </w:rPr>
        <w:t xml:space="preserve">مِنَ </w:t>
      </w:r>
      <w:r w:rsidR="006C577F" w:rsidRPr="006C577F">
        <w:rPr>
          <w:rStyle w:val="libFootnotenumChar"/>
          <w:rtl/>
        </w:rPr>
        <w:t>(8)</w:t>
      </w:r>
      <w:r w:rsidRPr="00C9040A">
        <w:rPr>
          <w:rtl/>
          <w:lang w:bidi="fa-IR"/>
        </w:rPr>
        <w:t xml:space="preserve"> الصِّدِّيقِينَ عِنْدِي »</w:t>
      </w:r>
      <w:r>
        <w:rPr>
          <w:rtl/>
          <w:lang w:bidi="fa-IR"/>
        </w:rPr>
        <w:t>.</w:t>
      </w:r>
      <w:r w:rsidRPr="00C9040A">
        <w:rPr>
          <w:rtl/>
          <w:lang w:bidi="fa-IR"/>
        </w:rPr>
        <w:t xml:space="preserve"> </w:t>
      </w:r>
      <w:r w:rsidR="006C577F" w:rsidRPr="006C577F">
        <w:rPr>
          <w:rStyle w:val="libFootnotenumChar"/>
          <w:rtl/>
        </w:rPr>
        <w:t>(9)</w:t>
      </w:r>
      <w:r w:rsidRPr="00C9040A">
        <w:rPr>
          <w:rtl/>
          <w:lang w:bidi="fa-IR"/>
        </w:rPr>
        <w:t xml:space="preserve"> ‌</w:t>
      </w:r>
    </w:p>
    <w:p w:rsidR="008A74EB" w:rsidRPr="00C9040A" w:rsidRDefault="008A74EB" w:rsidP="008A74EB">
      <w:pPr>
        <w:pStyle w:val="libNormal"/>
        <w:rPr>
          <w:rtl/>
          <w:lang w:bidi="fa-IR"/>
        </w:rPr>
      </w:pPr>
      <w:r w:rsidRPr="00782A57">
        <w:rPr>
          <w:rtl/>
        </w:rPr>
        <w:t>1584</w:t>
      </w:r>
      <w:r w:rsidRPr="00261CB0">
        <w:rPr>
          <w:rStyle w:val="libBold2Char"/>
          <w:rtl/>
        </w:rPr>
        <w:t xml:space="preserve"> / 7.</w:t>
      </w:r>
      <w:r w:rsidRPr="00C9040A">
        <w:rPr>
          <w:rtl/>
          <w:lang w:bidi="fa-IR"/>
        </w:rPr>
        <w:t xml:space="preserve"> مُحَمَّدُ بْنُ يَحْيى ، عَنْ أَحْمَدَ بْنِ مُحَمَّدِ بْنِ عِيسى ، عَنِ الْحَسَنِ بْنِ مَحْبُوبٍ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 العقل » : يقال للقوّة المتهيّئة لقبول العلم ، ويقال للعلم الذي يستفيده الإنسان بتلك القوّة. وأصل العقل : الإمساك والاستمساك ، كعقل البعير بالعِقال ، وعقل الدواء البَطنَ. وعَقَل لسانه : كفّه. </w:t>
      </w:r>
      <w:r w:rsidR="008A74EB" w:rsidRPr="00993B55">
        <w:rPr>
          <w:rStyle w:val="libFootnoteBoldChar"/>
          <w:rtl/>
        </w:rPr>
        <w:t>المفردات</w:t>
      </w:r>
      <w:r w:rsidR="008A74EB" w:rsidRPr="00C9040A">
        <w:rPr>
          <w:rtl/>
        </w:rPr>
        <w:t xml:space="preserve"> للراغب ، ص 578 ( عقل )</w:t>
      </w:r>
      <w:r w:rsidR="008A74EB">
        <w:rPr>
          <w:rtl/>
        </w:rPr>
        <w:t>.</w:t>
      </w:r>
    </w:p>
    <w:p w:rsidR="008A74EB" w:rsidRPr="00C9040A" w:rsidRDefault="008A74EB" w:rsidP="004A4E41">
      <w:pPr>
        <w:pStyle w:val="libFootnote0"/>
        <w:rPr>
          <w:rtl/>
          <w:lang w:bidi="fa-IR"/>
        </w:rPr>
      </w:pPr>
      <w:r w:rsidRPr="00323A39">
        <w:rPr>
          <w:rtl/>
        </w:rPr>
        <w:t xml:space="preserve">وفي </w:t>
      </w:r>
      <w:r w:rsidRPr="00993B55">
        <w:rPr>
          <w:rStyle w:val="libFootnoteBoldChar"/>
          <w:rtl/>
        </w:rPr>
        <w:t>مجمع البحرين</w:t>
      </w:r>
      <w:r w:rsidRPr="00323A39">
        <w:rPr>
          <w:rtl/>
        </w:rPr>
        <w:t xml:space="preserve"> ، ج 5 ، ص 426 ( عقل ) : « عقل عن الله ، أي عرف عنه ، كأن أخذ العلم من كتاب الله وسنّة نبيّه </w:t>
      </w:r>
      <w:r w:rsidR="004A4E41" w:rsidRPr="00B866D3">
        <w:rPr>
          <w:rStyle w:val="libFootnoteAlaemChar"/>
          <w:rtl/>
        </w:rPr>
        <w:t>صلى‌الله‌عليه‌وآله</w:t>
      </w:r>
      <w:r w:rsidRPr="00323A39">
        <w:rPr>
          <w:rtl/>
        </w:rPr>
        <w:t xml:space="preserve"> » ، وقال في </w:t>
      </w:r>
      <w:r w:rsidRPr="00993B55">
        <w:rPr>
          <w:rStyle w:val="libFootnoteBoldChar"/>
          <w:rtl/>
        </w:rPr>
        <w:t>شرح المازندراني</w:t>
      </w:r>
      <w:r w:rsidRPr="00323A39">
        <w:rPr>
          <w:rtl/>
        </w:rPr>
        <w:t xml:space="preserve"> ، ج 8 ، ص 192 : « المجرور في « رزقه » يعود إلى الله ، أو إلى « مَنْ » ، أي من عرفه ينبغي أن لا ينسب البطء والبخل في إيصال الرزق ، كاليهود قالوا : يدالله مغلولة ».</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بس ، بف » : « لا يستبطيه » بقلب الهمزة ياءً.</w:t>
      </w:r>
    </w:p>
    <w:p w:rsidR="008A74EB" w:rsidRPr="00C9040A" w:rsidRDefault="006C577F" w:rsidP="004A4E41">
      <w:pPr>
        <w:pStyle w:val="libFootnote0"/>
        <w:rPr>
          <w:rtl/>
          <w:lang w:bidi="fa-IR"/>
        </w:rPr>
      </w:pPr>
      <w:r>
        <w:rPr>
          <w:rtl/>
        </w:rPr>
        <w:t>(3).</w:t>
      </w:r>
      <w:r w:rsidR="008A74EB" w:rsidRPr="00C9040A">
        <w:rPr>
          <w:rtl/>
        </w:rPr>
        <w:t xml:space="preserve"> </w:t>
      </w:r>
      <w:r w:rsidR="008A74EB" w:rsidRPr="00993B55">
        <w:rPr>
          <w:rStyle w:val="libFootnoteBoldChar"/>
          <w:rtl/>
        </w:rPr>
        <w:t>الكافي</w:t>
      </w:r>
      <w:r w:rsidR="008A74EB" w:rsidRPr="00C9040A">
        <w:rPr>
          <w:rtl/>
        </w:rPr>
        <w:t xml:space="preserve"> ، كتاب الإيمان والكفر ، باب فضل اليقين ، ح 1575 ؛ و</w:t>
      </w:r>
      <w:r w:rsidR="008A74EB" w:rsidRPr="00993B55">
        <w:rPr>
          <w:rStyle w:val="libFootnoteBoldChar"/>
          <w:rtl/>
        </w:rPr>
        <w:t>التهذيب</w:t>
      </w:r>
      <w:r w:rsidR="008A74EB" w:rsidRPr="00C9040A">
        <w:rPr>
          <w:rtl/>
        </w:rPr>
        <w:t xml:space="preserve"> ، ج 9 ، ص 276 ، ح 1001 ؛ و</w:t>
      </w:r>
      <w:r w:rsidR="008A74EB" w:rsidRPr="00993B55">
        <w:rPr>
          <w:rStyle w:val="libFootnoteBoldChar"/>
          <w:rtl/>
        </w:rPr>
        <w:t>قرب الإسناد</w:t>
      </w:r>
      <w:r w:rsidR="008A74EB" w:rsidRPr="00C9040A">
        <w:rPr>
          <w:rtl/>
        </w:rPr>
        <w:t xml:space="preserve"> ، ص 375 ، ضمن الحديث الطويل 1330 ، بسند آخر عن الرضا </w:t>
      </w:r>
      <w:r w:rsidR="00117575" w:rsidRPr="00117575">
        <w:rPr>
          <w:rStyle w:val="libFootnoteAlaemChar"/>
          <w:rtl/>
        </w:rPr>
        <w:t>عليه‌السلام</w:t>
      </w:r>
      <w:r w:rsidR="008A74EB" w:rsidRPr="00C9040A">
        <w:rPr>
          <w:rtl/>
        </w:rPr>
        <w:t xml:space="preserve"> ، مع اختلاف يسير وزيادة في أوّله وآخره. </w:t>
      </w:r>
      <w:r w:rsidR="008A74EB" w:rsidRPr="00993B55">
        <w:rPr>
          <w:rStyle w:val="libFootnoteBoldChar"/>
          <w:rtl/>
        </w:rPr>
        <w:t>تفسير العيّاشي</w:t>
      </w:r>
      <w:r w:rsidR="008A74EB" w:rsidRPr="00C9040A">
        <w:rPr>
          <w:rtl/>
        </w:rPr>
        <w:t xml:space="preserve"> ، ج 2 ، ص 338 ، ح 67 ، عن عليّ بن أسباط ، عن الرضا </w:t>
      </w:r>
      <w:r w:rsidR="00117575" w:rsidRPr="00117575">
        <w:rPr>
          <w:rStyle w:val="libFootnoteAlaemChar"/>
          <w:rtl/>
        </w:rPr>
        <w:t>عليه‌السلام</w:t>
      </w:r>
      <w:r w:rsidR="008A74EB" w:rsidRPr="00C9040A">
        <w:rPr>
          <w:rtl/>
        </w:rPr>
        <w:t xml:space="preserve"> ، مع اختلاف يسير وزيادة في أوّله. </w:t>
      </w:r>
      <w:r w:rsidR="008A74EB" w:rsidRPr="00993B55">
        <w:rPr>
          <w:rStyle w:val="libFootnoteBoldChar"/>
          <w:rtl/>
        </w:rPr>
        <w:t>تحف العقول</w:t>
      </w:r>
      <w:r w:rsidR="008A74EB" w:rsidRPr="00C9040A">
        <w:rPr>
          <w:rtl/>
        </w:rPr>
        <w:t xml:space="preserve"> ، ص 408</w:t>
      </w:r>
      <w:r w:rsidR="00E34238">
        <w:rPr>
          <w:rFonts w:hint="cs"/>
          <w:rtl/>
        </w:rPr>
        <w:t>.</w:t>
      </w:r>
      <w:r w:rsidR="008A74EB" w:rsidRPr="00993B55">
        <w:rPr>
          <w:rStyle w:val="libFootnoteBoldChar"/>
          <w:rtl/>
        </w:rPr>
        <w:t>الوافي</w:t>
      </w:r>
      <w:r w:rsidR="008A74EB" w:rsidRPr="00C9040A">
        <w:rPr>
          <w:rtl/>
        </w:rPr>
        <w:t xml:space="preserve"> ، ج 4 ، ص 277 ، ح 1937 ؛ </w:t>
      </w:r>
      <w:r w:rsidR="008A74EB" w:rsidRPr="00993B55">
        <w:rPr>
          <w:rStyle w:val="libFootnoteBoldChar"/>
          <w:rtl/>
        </w:rPr>
        <w:t>الوسائل</w:t>
      </w:r>
      <w:r w:rsidR="008A74EB" w:rsidRPr="00C9040A">
        <w:rPr>
          <w:rtl/>
        </w:rPr>
        <w:t xml:space="preserve"> ، ج 3 ، ص 251 ، ح 3548 ؛ </w:t>
      </w:r>
      <w:r w:rsidR="008A74EB" w:rsidRPr="00993B55">
        <w:rPr>
          <w:rStyle w:val="libFootnoteBoldChar"/>
          <w:rtl/>
        </w:rPr>
        <w:t>البحار</w:t>
      </w:r>
      <w:r w:rsidR="008A74EB" w:rsidRPr="00C9040A">
        <w:rPr>
          <w:rtl/>
        </w:rPr>
        <w:t xml:space="preserve"> ، ج 72 ، ص 334 ، ح 21.</w:t>
      </w:r>
    </w:p>
    <w:p w:rsidR="008A74EB" w:rsidRPr="004A4E41" w:rsidRDefault="006C577F" w:rsidP="004A4E41">
      <w:pPr>
        <w:pStyle w:val="libFootnote0"/>
        <w:rPr>
          <w:rStyle w:val="libFootnote0Char"/>
          <w:rtl/>
        </w:rPr>
      </w:pPr>
      <w:r>
        <w:rPr>
          <w:rtl/>
        </w:rPr>
        <w:t>(4).</w:t>
      </w:r>
      <w:r w:rsidR="008A74EB" w:rsidRPr="00C9040A">
        <w:rPr>
          <w:rtl/>
        </w:rPr>
        <w:t xml:space="preserve"> في « بر » : « لا ا</w:t>
      </w:r>
      <w:r w:rsidR="00E34238">
        <w:rPr>
          <w:rFonts w:hint="cs"/>
          <w:rtl/>
        </w:rPr>
        <w:t>ُ</w:t>
      </w:r>
      <w:r w:rsidR="008A74EB" w:rsidRPr="00C9040A">
        <w:rPr>
          <w:rtl/>
        </w:rPr>
        <w:t>صرّفه »</w:t>
      </w:r>
      <w:r w:rsidR="008A74EB">
        <w:rPr>
          <w:rtl/>
        </w:rPr>
        <w:t>.</w:t>
      </w:r>
      <w:r w:rsidR="008A74EB" w:rsidRPr="00C9040A">
        <w:rPr>
          <w:rtl/>
        </w:rPr>
        <w:t xml:space="preserve"> وفي « بس » : « أحترمه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 لا أصرفه في شي‌ء ، بالتخفيف ، وكأنّ « في » بمعنى إلى</w:t>
      </w:r>
      <w:r w:rsidR="008A74EB">
        <w:rPr>
          <w:rtl/>
        </w:rPr>
        <w:t xml:space="preserve"> ..</w:t>
      </w:r>
      <w:r w:rsidR="008A74EB" w:rsidRPr="00C9040A">
        <w:rPr>
          <w:rtl/>
        </w:rPr>
        <w:t>. أو على بناء التفعيل. يقال : صرّفته في الأمر تصريفاً فتصرّف : قلّبته قتقلّب »</w:t>
      </w:r>
      <w:r w:rsidR="008A74EB">
        <w:rPr>
          <w:rtl/>
        </w:rPr>
        <w:t>.</w:t>
      </w:r>
    </w:p>
    <w:tbl>
      <w:tblPr>
        <w:tblStyle w:val="TableGrid"/>
        <w:bidiVisual/>
        <w:tblW w:w="0" w:type="auto"/>
        <w:tblLook w:val="04A0" w:firstRow="1" w:lastRow="0" w:firstColumn="1" w:lastColumn="0" w:noHBand="0" w:noVBand="1"/>
      </w:tblPr>
      <w:tblGrid>
        <w:gridCol w:w="4006"/>
        <w:gridCol w:w="4006"/>
      </w:tblGrid>
      <w:tr w:rsidR="00D83B03" w:rsidTr="00D83B03">
        <w:tc>
          <w:tcPr>
            <w:tcW w:w="4006" w:type="dxa"/>
          </w:tcPr>
          <w:p w:rsidR="00D83B03" w:rsidRDefault="00D83B03" w:rsidP="004A4E41">
            <w:pPr>
              <w:pStyle w:val="libFootnote0"/>
              <w:rPr>
                <w:rtl/>
                <w:lang w:bidi="fa-IR"/>
              </w:rPr>
            </w:pPr>
            <w:r>
              <w:rPr>
                <w:rtl/>
              </w:rPr>
              <w:t>(5).</w:t>
            </w:r>
            <w:r w:rsidRPr="00C9040A">
              <w:rPr>
                <w:rtl/>
              </w:rPr>
              <w:t xml:space="preserve"> في « بس » : « بلاي » بحذف الهمزة تخفيفاً.</w:t>
            </w:r>
          </w:p>
        </w:tc>
        <w:tc>
          <w:tcPr>
            <w:tcW w:w="4006" w:type="dxa"/>
          </w:tcPr>
          <w:p w:rsidR="00D83B03" w:rsidRDefault="00D83B03" w:rsidP="004A4E41">
            <w:pPr>
              <w:pStyle w:val="libFootnote0"/>
              <w:rPr>
                <w:rtl/>
                <w:lang w:bidi="fa-IR"/>
              </w:rPr>
            </w:pPr>
            <w:r>
              <w:rPr>
                <w:rtl/>
              </w:rPr>
              <w:t xml:space="preserve">(6). </w:t>
            </w:r>
            <w:r w:rsidRPr="00C9040A">
              <w:rPr>
                <w:rtl/>
              </w:rPr>
              <w:t>في « ز ، ص » والمؤمن : + « على »</w:t>
            </w:r>
            <w:r>
              <w:rPr>
                <w:rtl/>
              </w:rPr>
              <w:t>.</w:t>
            </w:r>
          </w:p>
        </w:tc>
      </w:tr>
      <w:tr w:rsidR="00D83B03" w:rsidTr="00D83B03">
        <w:tc>
          <w:tcPr>
            <w:tcW w:w="4006" w:type="dxa"/>
          </w:tcPr>
          <w:p w:rsidR="00D83B03" w:rsidRDefault="00D83B03" w:rsidP="004A4E41">
            <w:pPr>
              <w:pStyle w:val="libFootnote0"/>
              <w:rPr>
                <w:rtl/>
                <w:lang w:bidi="fa-IR"/>
              </w:rPr>
            </w:pPr>
            <w:r>
              <w:rPr>
                <w:rtl/>
              </w:rPr>
              <w:t>(7).</w:t>
            </w:r>
            <w:r w:rsidRPr="00C9040A">
              <w:rPr>
                <w:rtl/>
              </w:rPr>
              <w:t xml:space="preserve"> في « بس » : « نعماي » بحذف الهمزة تخفيفاً.</w:t>
            </w:r>
          </w:p>
        </w:tc>
        <w:tc>
          <w:tcPr>
            <w:tcW w:w="4006" w:type="dxa"/>
          </w:tcPr>
          <w:p w:rsidR="00D83B03" w:rsidRDefault="00D83B03" w:rsidP="004A4E41">
            <w:pPr>
              <w:pStyle w:val="libFootnote0"/>
              <w:rPr>
                <w:rtl/>
                <w:lang w:bidi="fa-IR"/>
              </w:rPr>
            </w:pPr>
            <w:r>
              <w:rPr>
                <w:rtl/>
              </w:rPr>
              <w:t>(8).</w:t>
            </w:r>
            <w:r w:rsidRPr="00C9040A">
              <w:rPr>
                <w:rtl/>
              </w:rPr>
              <w:t xml:space="preserve"> في شرح المازندراني : « في »</w:t>
            </w:r>
            <w:r>
              <w:rPr>
                <w:rtl/>
              </w:rPr>
              <w:t>.</w:t>
            </w:r>
          </w:p>
        </w:tc>
      </w:tr>
    </w:tbl>
    <w:p w:rsidR="008A74EB" w:rsidRPr="00C9040A" w:rsidRDefault="006C577F" w:rsidP="004A4E41">
      <w:pPr>
        <w:pStyle w:val="libFootnote0"/>
        <w:rPr>
          <w:rtl/>
          <w:lang w:bidi="fa-IR"/>
        </w:rPr>
      </w:pPr>
      <w:r>
        <w:rPr>
          <w:rtl/>
        </w:rPr>
        <w:t>(9).</w:t>
      </w:r>
      <w:r w:rsidR="008A74EB" w:rsidRPr="00C9040A">
        <w:rPr>
          <w:rtl/>
        </w:rPr>
        <w:t xml:space="preserve"> </w:t>
      </w:r>
      <w:r w:rsidR="008A74EB" w:rsidRPr="00993B55">
        <w:rPr>
          <w:rStyle w:val="libFootnoteBoldChar"/>
          <w:rtl/>
        </w:rPr>
        <w:t>المؤمن</w:t>
      </w:r>
      <w:r w:rsidR="008A74EB" w:rsidRPr="00C9040A">
        <w:rPr>
          <w:rtl/>
        </w:rPr>
        <w:t xml:space="preserve"> ، ص 27 ، ح 48 ، عن أبي عبدالله </w:t>
      </w:r>
      <w:r w:rsidR="00117575" w:rsidRPr="00117575">
        <w:rPr>
          <w:rStyle w:val="libFootnoteAlaemChar"/>
          <w:rtl/>
        </w:rPr>
        <w:t>عليه‌السلام</w:t>
      </w:r>
      <w:r w:rsidR="008A74EB" w:rsidRPr="00C9040A">
        <w:rPr>
          <w:rtl/>
        </w:rPr>
        <w:t xml:space="preserve"> ، مع اختلاف يسير</w:t>
      </w:r>
      <w:r w:rsidR="00846E3F">
        <w:rPr>
          <w:rFonts w:hint="cs"/>
          <w:rtl/>
        </w:rPr>
        <w:t>.</w:t>
      </w:r>
      <w:r w:rsidR="008A74EB" w:rsidRPr="00993B55">
        <w:rPr>
          <w:rStyle w:val="libFootnoteBoldChar"/>
          <w:rtl/>
        </w:rPr>
        <w:t>الوافي</w:t>
      </w:r>
      <w:r w:rsidR="008A74EB" w:rsidRPr="00C9040A">
        <w:rPr>
          <w:rtl/>
        </w:rPr>
        <w:t xml:space="preserve"> ، ج 4 ، ص 277 ، ح 1938 ؛ </w:t>
      </w:r>
      <w:r w:rsidR="008A74EB" w:rsidRPr="00993B55">
        <w:rPr>
          <w:rStyle w:val="libFootnoteBoldChar"/>
          <w:rtl/>
        </w:rPr>
        <w:t>الوسائل</w:t>
      </w:r>
      <w:r w:rsidR="008A74EB" w:rsidRPr="00C9040A">
        <w:rPr>
          <w:rtl/>
        </w:rPr>
        <w:t xml:space="preserve"> ، ج 3 ، ص 250 ، ح 3545 ؛ </w:t>
      </w:r>
      <w:r w:rsidR="008A74EB" w:rsidRPr="00993B55">
        <w:rPr>
          <w:rStyle w:val="libFootnoteBoldChar"/>
          <w:rtl/>
        </w:rPr>
        <w:t>البحار</w:t>
      </w:r>
      <w:r w:rsidR="008A74EB" w:rsidRPr="00C9040A">
        <w:rPr>
          <w:rtl/>
        </w:rPr>
        <w:t xml:space="preserve"> ، ج 72 ، ص 330 ، ح 13.</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عَنْ مَالِكِ بْنِ عَطِيَّةَ ، عَنْ دَاوُدَ بْنِ فَرْقَدٍ :</w:t>
      </w:r>
    </w:p>
    <w:p w:rsidR="008A74EB" w:rsidRPr="00C9040A" w:rsidRDefault="008A74EB" w:rsidP="00846E3F">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قَالَ </w:t>
      </w:r>
      <w:r w:rsidR="006C577F" w:rsidRPr="006C577F">
        <w:rPr>
          <w:rStyle w:val="libFootnotenumChar"/>
          <w:rtl/>
        </w:rPr>
        <w:t>(1)</w:t>
      </w:r>
      <w:r w:rsidRPr="001E6F92">
        <w:rPr>
          <w:rFonts w:hint="cs"/>
          <w:rtl/>
        </w:rPr>
        <w:t xml:space="preserve"> </w:t>
      </w:r>
      <w:r w:rsidRPr="00C9040A">
        <w:rPr>
          <w:rtl/>
          <w:lang w:bidi="fa-IR"/>
        </w:rPr>
        <w:t xml:space="preserve">: « إِنَّ فِيمَا أَوْحَى </w:t>
      </w:r>
      <w:r w:rsidR="006C577F" w:rsidRPr="006C577F">
        <w:rPr>
          <w:rStyle w:val="libFootnotenumChar"/>
          <w:rtl/>
        </w:rPr>
        <w:t>(2)</w:t>
      </w:r>
      <w:r w:rsidRPr="00C9040A">
        <w:rPr>
          <w:rtl/>
          <w:lang w:bidi="fa-IR"/>
        </w:rPr>
        <w:t xml:space="preserve">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إِلى مُوسَى بْنِ عِمْرَانَ </w:t>
      </w:r>
      <w:r w:rsidRPr="0003660B">
        <w:rPr>
          <w:rStyle w:val="libAlaemChar"/>
          <w:rtl/>
        </w:rPr>
        <w:t>عليه‌السلام</w:t>
      </w:r>
      <w:r w:rsidRPr="00C9040A">
        <w:rPr>
          <w:rtl/>
          <w:lang w:bidi="fa-IR"/>
        </w:rPr>
        <w:t xml:space="preserve"> : يَا مُوسَى بْنَ عِمْرَانَ </w:t>
      </w:r>
      <w:r w:rsidR="006C577F" w:rsidRPr="006C577F">
        <w:rPr>
          <w:rStyle w:val="libFootnotenumChar"/>
          <w:rtl/>
        </w:rPr>
        <w:t>(3)</w:t>
      </w:r>
      <w:r w:rsidRPr="00C9040A">
        <w:rPr>
          <w:rtl/>
          <w:lang w:bidi="fa-IR"/>
        </w:rPr>
        <w:t xml:space="preserve"> ، مَا خَلَقْتُ خَلْقاً أَحَبَّ إِلَيَّ مِنْ عَبْدِيَ الْمُؤْمِنِ ؛ فَإِنِّي </w:t>
      </w:r>
      <w:r w:rsidR="006C577F" w:rsidRPr="006C577F">
        <w:rPr>
          <w:rStyle w:val="libFootnotenumChar"/>
          <w:rtl/>
        </w:rPr>
        <w:t>(4)</w:t>
      </w:r>
      <w:r w:rsidRPr="00C9040A">
        <w:rPr>
          <w:rtl/>
          <w:lang w:bidi="fa-IR"/>
        </w:rPr>
        <w:t xml:space="preserve"> إِنَّمَا أَبْتَلِيهِ </w:t>
      </w:r>
      <w:r w:rsidR="006C577F" w:rsidRPr="006C577F">
        <w:rPr>
          <w:rStyle w:val="libFootnotenumChar"/>
          <w:rtl/>
        </w:rPr>
        <w:t>(5)</w:t>
      </w:r>
      <w:r w:rsidRPr="00C9040A">
        <w:rPr>
          <w:rtl/>
          <w:lang w:bidi="fa-IR"/>
        </w:rPr>
        <w:t xml:space="preserve"> لِمَا هُوَ خَيْرٌ لَهُ ، وَأُعَافِيهِ لِمَا هُوَ خَيْرٌ لَهُ </w:t>
      </w:r>
      <w:r w:rsidR="006C577F" w:rsidRPr="006C577F">
        <w:rPr>
          <w:rStyle w:val="libFootnotenumChar"/>
          <w:rtl/>
        </w:rPr>
        <w:t>(6)</w:t>
      </w:r>
      <w:r w:rsidR="00846E3F" w:rsidRPr="00C9040A">
        <w:rPr>
          <w:rtl/>
          <w:lang w:bidi="fa-IR"/>
        </w:rPr>
        <w:t xml:space="preserve"> </w:t>
      </w:r>
      <w:r w:rsidRPr="00C9040A">
        <w:rPr>
          <w:rtl/>
          <w:lang w:bidi="fa-IR"/>
        </w:rPr>
        <w:t xml:space="preserve">، وَأَزْوِي عَنْهُ </w:t>
      </w:r>
      <w:r w:rsidR="006C577F" w:rsidRPr="006C577F">
        <w:rPr>
          <w:rStyle w:val="libFootnotenumChar"/>
          <w:rtl/>
        </w:rPr>
        <w:t>(7)</w:t>
      </w:r>
      <w:r w:rsidRPr="00C9040A">
        <w:rPr>
          <w:rtl/>
          <w:lang w:bidi="fa-IR"/>
        </w:rPr>
        <w:t xml:space="preserve"> مَا </w:t>
      </w:r>
      <w:r w:rsidR="006C577F" w:rsidRPr="006C577F">
        <w:rPr>
          <w:rStyle w:val="libFootnotenumChar"/>
          <w:rtl/>
        </w:rPr>
        <w:t>(8)</w:t>
      </w:r>
      <w:r w:rsidRPr="00C9040A">
        <w:rPr>
          <w:rtl/>
          <w:lang w:bidi="fa-IR"/>
        </w:rPr>
        <w:t xml:space="preserve"> هُوَ شَرٌّ لَهُ </w:t>
      </w:r>
      <w:r w:rsidR="006C577F" w:rsidRPr="006C577F">
        <w:rPr>
          <w:rStyle w:val="libFootnotenumChar"/>
          <w:rtl/>
        </w:rPr>
        <w:t>(9)</w:t>
      </w:r>
      <w:r w:rsidRPr="00C9040A">
        <w:rPr>
          <w:rtl/>
          <w:lang w:bidi="fa-IR"/>
        </w:rPr>
        <w:t xml:space="preserve"> لِمَا هُوَ خَيْرٌ لَهُ </w:t>
      </w:r>
      <w:r w:rsidR="006C577F" w:rsidRPr="006C577F">
        <w:rPr>
          <w:rStyle w:val="libFootnotenumChar"/>
          <w:rtl/>
        </w:rPr>
        <w:t>(10)</w:t>
      </w:r>
      <w:r w:rsidRPr="00C9040A">
        <w:rPr>
          <w:rtl/>
          <w:lang w:bidi="fa-IR"/>
        </w:rPr>
        <w:t xml:space="preserve"> ، وَأَنَا أَعْلَمُ بِمَا يَصْلُحُ عَلَيْهِ </w:t>
      </w:r>
      <w:r w:rsidR="006C577F" w:rsidRPr="006C577F">
        <w:rPr>
          <w:rStyle w:val="libFootnotenumChar"/>
          <w:rtl/>
        </w:rPr>
        <w:t>(11)</w:t>
      </w:r>
      <w:r w:rsidRPr="00C9040A">
        <w:rPr>
          <w:rtl/>
          <w:lang w:bidi="fa-IR"/>
        </w:rPr>
        <w:t xml:space="preserve"> عَبْدِي ، فَلْيَصْبِرْ عَلى بَلَائِي </w:t>
      </w:r>
      <w:r w:rsidR="006C577F" w:rsidRPr="006C577F">
        <w:rPr>
          <w:rStyle w:val="libFootnotenumChar"/>
          <w:rtl/>
        </w:rPr>
        <w:t>(12)</w:t>
      </w:r>
      <w:r w:rsidRPr="00C9040A">
        <w:rPr>
          <w:rtl/>
          <w:lang w:bidi="fa-IR"/>
        </w:rPr>
        <w:t xml:space="preserve"> ، وَلْيَشْكُرْ </w:t>
      </w:r>
      <w:r w:rsidRPr="005B567D">
        <w:rPr>
          <w:rStyle w:val="libFootnotenumChar"/>
          <w:rtl/>
        </w:rPr>
        <w:t>(13)</w:t>
      </w:r>
      <w:r w:rsidRPr="00C9040A">
        <w:rPr>
          <w:rtl/>
          <w:lang w:bidi="fa-IR"/>
        </w:rPr>
        <w:t xml:space="preserve"> نَعْمَائِي </w:t>
      </w:r>
      <w:r w:rsidRPr="005B567D">
        <w:rPr>
          <w:rStyle w:val="libFootnotenumChar"/>
          <w:rtl/>
        </w:rPr>
        <w:t>(14)</w:t>
      </w:r>
      <w:r w:rsidRPr="00C9040A">
        <w:rPr>
          <w:rtl/>
          <w:lang w:bidi="fa-IR"/>
        </w:rPr>
        <w:t xml:space="preserve"> ، وَلْيَرْضَ بِقَضَائِي </w:t>
      </w:r>
      <w:r w:rsidRPr="005B567D">
        <w:rPr>
          <w:rStyle w:val="libFootnotenumChar"/>
          <w:rtl/>
        </w:rPr>
        <w:t>(15)</w:t>
      </w:r>
      <w:r w:rsidRPr="00C9040A">
        <w:rPr>
          <w:rtl/>
          <w:lang w:bidi="fa-IR"/>
        </w:rPr>
        <w:t xml:space="preserve"> ؛ أَكْتُبْهُ فِي </w:t>
      </w:r>
      <w:r w:rsidRPr="005B567D">
        <w:rPr>
          <w:rStyle w:val="libFootnotenumChar"/>
          <w:rtl/>
        </w:rPr>
        <w:t>(16)</w:t>
      </w:r>
      <w:r w:rsidRPr="00C9040A">
        <w:rPr>
          <w:rtl/>
          <w:lang w:bidi="fa-IR"/>
        </w:rPr>
        <w:t xml:space="preserve"> الصِّدِّيقِينَ عِنْدِي إِذَا عَمِلَ بِرِضَائِي </w:t>
      </w:r>
      <w:r w:rsidRPr="005B567D">
        <w:rPr>
          <w:rStyle w:val="libFootnotenumChar"/>
          <w:rtl/>
        </w:rPr>
        <w:t>(17)</w:t>
      </w:r>
      <w:r w:rsidR="00B866D3">
        <w:rPr>
          <w:rtl/>
          <w:lang w:bidi="fa-IR"/>
        </w:rPr>
        <w:t xml:space="preserve"> ، وَأَطَاعَ أَمْرِي</w:t>
      </w:r>
      <w:r w:rsidRPr="00C9040A">
        <w:rPr>
          <w:rtl/>
          <w:lang w:bidi="fa-IR"/>
        </w:rPr>
        <w:t>»</w:t>
      </w:r>
      <w:r>
        <w:rPr>
          <w:rtl/>
          <w:lang w:bidi="fa-IR"/>
        </w:rPr>
        <w:t>.</w:t>
      </w:r>
      <w:r w:rsidRPr="005B567D">
        <w:rPr>
          <w:rStyle w:val="libFootnotenumChar"/>
          <w:rtl/>
        </w:rPr>
        <w:t>(18)</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هكذا في « ب » وحاشية « ز ، بر ، بس » والوافي والوسائل والبحار والتوحيد والأمالي. وفي سائر النسخ‌والمطبوع </w:t>
      </w:r>
      <w:r w:rsidR="008A74EB">
        <w:rPr>
          <w:rtl/>
        </w:rPr>
        <w:t xml:space="preserve">: </w:t>
      </w:r>
      <w:r w:rsidR="0084262C">
        <w:rPr>
          <w:rtl/>
        </w:rPr>
        <w:t>-</w:t>
      </w:r>
      <w:r w:rsidR="008A74EB" w:rsidRPr="00C9040A">
        <w:rPr>
          <w:rtl/>
        </w:rPr>
        <w:t xml:space="preserve"> « قال »</w:t>
      </w:r>
      <w:r w:rsidR="008A74EB">
        <w:rPr>
          <w:rtl/>
        </w:rPr>
        <w:t>.</w:t>
      </w:r>
      <w:r w:rsidR="00846E3F">
        <w:rPr>
          <w:rFonts w:hint="cs"/>
          <w:rtl/>
        </w:rPr>
        <w:t xml:space="preserve">                             </w:t>
      </w:r>
      <w:r w:rsidR="00A53EE1">
        <w:rPr>
          <w:rFonts w:hint="cs"/>
          <w:rtl/>
        </w:rPr>
        <w:t xml:space="preserve"> </w:t>
      </w:r>
      <w:r>
        <w:rPr>
          <w:rtl/>
        </w:rPr>
        <w:t>(2).</w:t>
      </w:r>
      <w:r w:rsidR="008A74EB">
        <w:rPr>
          <w:rtl/>
        </w:rPr>
        <w:t xml:space="preserve"> </w:t>
      </w:r>
      <w:r w:rsidR="008A74EB" w:rsidRPr="00C9040A">
        <w:rPr>
          <w:rtl/>
        </w:rPr>
        <w:t xml:space="preserve">في </w:t>
      </w:r>
      <w:r w:rsidR="008A74EB" w:rsidRPr="0034021D">
        <w:rPr>
          <w:rStyle w:val="libFootnoteBoldChar"/>
          <w:rtl/>
        </w:rPr>
        <w:t>الأمالي للمفيد</w:t>
      </w:r>
      <w:r w:rsidR="008A74EB" w:rsidRPr="00C9040A">
        <w:rPr>
          <w:rtl/>
        </w:rPr>
        <w:t xml:space="preserve"> : « ناجى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الوسائل </w:t>
      </w:r>
      <w:r w:rsidR="008A74EB" w:rsidRPr="00AC2E2F">
        <w:rPr>
          <w:rStyle w:val="libFootnoteBoldChar"/>
          <w:rtl/>
        </w:rPr>
        <w:t>والأمالي للطوسي</w:t>
      </w:r>
      <w:r w:rsidR="008A74EB" w:rsidRPr="00C9040A">
        <w:rPr>
          <w:rtl/>
        </w:rPr>
        <w:t xml:space="preserve"> </w:t>
      </w:r>
      <w:r w:rsidR="008A74EB">
        <w:rPr>
          <w:rtl/>
        </w:rPr>
        <w:t xml:space="preserve">: </w:t>
      </w:r>
      <w:r w:rsidR="0084262C">
        <w:rPr>
          <w:rtl/>
        </w:rPr>
        <w:t>-</w:t>
      </w:r>
      <w:r w:rsidR="008A74EB" w:rsidRPr="00C9040A">
        <w:rPr>
          <w:rtl/>
        </w:rPr>
        <w:t xml:space="preserve"> « بن عمران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د ، ز ، ص ، ض ، بر ، بس ، بف » والوافي والوسائل و</w:t>
      </w:r>
      <w:r w:rsidR="008A74EB" w:rsidRPr="0034021D">
        <w:rPr>
          <w:rStyle w:val="libFootnoteBoldChar"/>
          <w:rtl/>
        </w:rPr>
        <w:t>الأمالي للمفيد</w:t>
      </w:r>
      <w:r w:rsidR="008A74EB" w:rsidRPr="00C9040A">
        <w:rPr>
          <w:rtl/>
        </w:rPr>
        <w:t xml:space="preserve"> والطوسي : « وإنّي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ز » </w:t>
      </w:r>
      <w:r w:rsidR="008A74EB" w:rsidRPr="00AC2E2F">
        <w:rPr>
          <w:rStyle w:val="libFootnoteBoldChar"/>
          <w:rtl/>
        </w:rPr>
        <w:t>والأمالي للطوسي</w:t>
      </w:r>
      <w:r w:rsidR="008A74EB" w:rsidRPr="00C9040A">
        <w:rPr>
          <w:rtl/>
        </w:rPr>
        <w:t xml:space="preserve"> : « ابتليته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د ، بف » والوافي والوسائل و</w:t>
      </w:r>
      <w:r w:rsidR="008A74EB" w:rsidRPr="0034021D">
        <w:rPr>
          <w:rStyle w:val="libFootnoteBoldChar"/>
          <w:rtl/>
        </w:rPr>
        <w:t>الأمالي للمفيد</w:t>
      </w:r>
      <w:r w:rsidR="008A74EB" w:rsidRPr="00C9040A">
        <w:rPr>
          <w:rtl/>
        </w:rPr>
        <w:t xml:space="preserve"> </w:t>
      </w:r>
      <w:r w:rsidR="008A74EB">
        <w:rPr>
          <w:rtl/>
        </w:rPr>
        <w:t xml:space="preserve">: </w:t>
      </w:r>
      <w:r w:rsidR="0084262C">
        <w:rPr>
          <w:rtl/>
        </w:rPr>
        <w:t>-</w:t>
      </w:r>
      <w:r w:rsidR="008A74EB" w:rsidRPr="00C9040A">
        <w:rPr>
          <w:rtl/>
        </w:rPr>
        <w:t xml:space="preserve"> « وا</w:t>
      </w:r>
      <w:r w:rsidR="00587C25">
        <w:rPr>
          <w:rFonts w:hint="cs"/>
          <w:rtl/>
        </w:rPr>
        <w:t>ُ</w:t>
      </w:r>
      <w:r w:rsidR="008A74EB" w:rsidRPr="00C9040A">
        <w:rPr>
          <w:rtl/>
        </w:rPr>
        <w:t>عافيه لما هو خير له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 أزوي عنه » ، أي أصرف عنه وأجمع ، يقال : زويت الشي‌ء ، أي جمعته وطويته وصرفته وقبضته. راجع : </w:t>
      </w:r>
      <w:r w:rsidR="008A74EB" w:rsidRPr="00993B55">
        <w:rPr>
          <w:rStyle w:val="libFootnoteBoldChar"/>
          <w:rtl/>
        </w:rPr>
        <w:t>الصحاح</w:t>
      </w:r>
      <w:r w:rsidR="008A74EB" w:rsidRPr="00C9040A">
        <w:rPr>
          <w:rtl/>
        </w:rPr>
        <w:t xml:space="preserve"> ، ج 6 ، ص 2369 ؛ </w:t>
      </w:r>
      <w:r w:rsidR="008A74EB" w:rsidRPr="00993B55">
        <w:rPr>
          <w:rStyle w:val="libFootnoteBoldChar"/>
          <w:rtl/>
        </w:rPr>
        <w:t>النهاية</w:t>
      </w:r>
      <w:r w:rsidR="008A74EB" w:rsidRPr="00C9040A">
        <w:rPr>
          <w:rtl/>
        </w:rPr>
        <w:t xml:space="preserve"> ، ج 2 ، ص 320 ( زوى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 ب ، د » : « لما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د ، ز ، ض ، ف ، بر ، بس ، بف » والوافي والوسائل والبحار </w:t>
      </w:r>
      <w:r w:rsidR="008A74EB">
        <w:rPr>
          <w:rtl/>
        </w:rPr>
        <w:t xml:space="preserve">: </w:t>
      </w:r>
      <w:r w:rsidR="0084262C">
        <w:rPr>
          <w:rtl/>
        </w:rPr>
        <w:t>-</w:t>
      </w:r>
      <w:r w:rsidR="008A74EB" w:rsidRPr="00C9040A">
        <w:rPr>
          <w:rtl/>
        </w:rPr>
        <w:t xml:space="preserve"> « ما هو شرّ له »</w:t>
      </w:r>
      <w:r w:rsidR="008A74EB">
        <w:rPr>
          <w:rtl/>
        </w:rPr>
        <w:t>.</w:t>
      </w:r>
      <w:r w:rsidR="008A74EB" w:rsidRPr="00C9040A">
        <w:rPr>
          <w:rtl/>
        </w:rPr>
        <w:t xml:space="preserve"> وفي </w:t>
      </w:r>
      <w:r w:rsidR="008A74EB" w:rsidRPr="0034021D">
        <w:rPr>
          <w:rStyle w:val="libFootnoteBoldChar"/>
          <w:rtl/>
        </w:rPr>
        <w:t>الأمالي للمفيد</w:t>
      </w:r>
      <w:r w:rsidR="008A74EB" w:rsidRPr="00C9040A">
        <w:rPr>
          <w:rtl/>
        </w:rPr>
        <w:t xml:space="preserve"> : « ما يشتهيه » بدل « ما هو شرّ له »</w:t>
      </w:r>
      <w:r w:rsidR="008A74EB">
        <w:rPr>
          <w:rtl/>
        </w:rPr>
        <w:t>.</w:t>
      </w:r>
      <w:r w:rsidR="00587C25">
        <w:rPr>
          <w:rFonts w:hint="cs"/>
          <w:rtl/>
        </w:rPr>
        <w:t xml:space="preserve">          </w:t>
      </w:r>
      <w:r w:rsidR="002D6DF3">
        <w:rPr>
          <w:rFonts w:hint="cs"/>
          <w:rtl/>
        </w:rPr>
        <w:t xml:space="preserve"> </w:t>
      </w:r>
      <w:r>
        <w:rPr>
          <w:rtl/>
        </w:rPr>
        <w:t>(10).</w:t>
      </w:r>
      <w:r w:rsidR="00587C25">
        <w:rPr>
          <w:rtl/>
        </w:rPr>
        <w:t xml:space="preserve">في </w:t>
      </w:r>
      <w:r w:rsidR="00587C25" w:rsidRPr="0034021D">
        <w:rPr>
          <w:rStyle w:val="libFootnoteBoldChar"/>
          <w:rtl/>
        </w:rPr>
        <w:t>الأمالي للمفيد</w:t>
      </w:r>
      <w:r w:rsidR="00587C25">
        <w:rPr>
          <w:rtl/>
        </w:rPr>
        <w:t>:</w:t>
      </w:r>
      <w:r w:rsidR="002D6DF3">
        <w:rPr>
          <w:rFonts w:hint="cs"/>
          <w:rtl/>
        </w:rPr>
        <w:t xml:space="preserve"> </w:t>
      </w:r>
      <w:r w:rsidR="00587C25">
        <w:rPr>
          <w:rtl/>
        </w:rPr>
        <w:t>+</w:t>
      </w:r>
      <w:r w:rsidR="002D6DF3">
        <w:rPr>
          <w:rFonts w:hint="cs"/>
          <w:rtl/>
        </w:rPr>
        <w:t xml:space="preserve"> </w:t>
      </w:r>
      <w:r w:rsidR="00587C25">
        <w:rPr>
          <w:rtl/>
        </w:rPr>
        <w:t>«</w:t>
      </w:r>
      <w:r w:rsidR="002D6DF3">
        <w:rPr>
          <w:rFonts w:hint="cs"/>
          <w:rtl/>
        </w:rPr>
        <w:t xml:space="preserve"> </w:t>
      </w:r>
      <w:r w:rsidR="00587C25">
        <w:rPr>
          <w:rtl/>
        </w:rPr>
        <w:t>و</w:t>
      </w:r>
      <w:r w:rsidR="002D6DF3">
        <w:rPr>
          <w:rFonts w:hint="cs"/>
          <w:rtl/>
        </w:rPr>
        <w:t xml:space="preserve"> </w:t>
      </w:r>
      <w:r w:rsidR="00587C25">
        <w:rPr>
          <w:rtl/>
        </w:rPr>
        <w:t>أعطيته لما</w:t>
      </w:r>
      <w:r w:rsidR="00587C25">
        <w:rPr>
          <w:rFonts w:hint="cs"/>
          <w:rtl/>
        </w:rPr>
        <w:t xml:space="preserve"> </w:t>
      </w:r>
      <w:r w:rsidR="00587C25">
        <w:rPr>
          <w:rtl/>
        </w:rPr>
        <w:t>هو</w:t>
      </w:r>
      <w:r w:rsidR="00587C25">
        <w:rPr>
          <w:rFonts w:hint="cs"/>
          <w:rtl/>
        </w:rPr>
        <w:t xml:space="preserve"> </w:t>
      </w:r>
      <w:r w:rsidR="00587C25">
        <w:rPr>
          <w:rtl/>
        </w:rPr>
        <w:t>خير</w:t>
      </w:r>
      <w:r w:rsidR="00587C25">
        <w:rPr>
          <w:rFonts w:hint="cs"/>
          <w:rtl/>
        </w:rPr>
        <w:t xml:space="preserve"> </w:t>
      </w:r>
      <w:r w:rsidR="008A74EB" w:rsidRPr="00C9040A">
        <w:rPr>
          <w:rtl/>
        </w:rPr>
        <w:t>له »</w:t>
      </w:r>
      <w:r w:rsidR="008A74EB">
        <w:rPr>
          <w:rtl/>
        </w:rPr>
        <w:t>.</w:t>
      </w:r>
    </w:p>
    <w:p w:rsidR="008A74EB" w:rsidRPr="004A4E41" w:rsidRDefault="006C577F" w:rsidP="004A4E41">
      <w:pPr>
        <w:pStyle w:val="libFootnote0"/>
        <w:rPr>
          <w:rStyle w:val="libFootnote0Char"/>
          <w:rtl/>
        </w:rPr>
      </w:pPr>
      <w:r>
        <w:rPr>
          <w:rtl/>
        </w:rPr>
        <w:t>(11).</w:t>
      </w:r>
      <w:r w:rsidR="008A74EB" w:rsidRPr="00C9040A">
        <w:rPr>
          <w:rtl/>
        </w:rPr>
        <w:t xml:space="preserve"> في </w:t>
      </w:r>
      <w:r w:rsidR="008A74EB" w:rsidRPr="0034021D">
        <w:rPr>
          <w:rStyle w:val="libFootnoteBoldChar"/>
          <w:rtl/>
        </w:rPr>
        <w:t>الأمالي للمفيد</w:t>
      </w:r>
      <w:r w:rsidR="008A74EB" w:rsidRPr="00C9040A">
        <w:rPr>
          <w:rtl/>
        </w:rPr>
        <w:t xml:space="preserve"> </w:t>
      </w:r>
      <w:r w:rsidR="008A74EB">
        <w:rPr>
          <w:rtl/>
        </w:rPr>
        <w:t xml:space="preserve">: </w:t>
      </w:r>
      <w:r w:rsidR="0084262C">
        <w:rPr>
          <w:rtl/>
        </w:rPr>
        <w:t>-</w:t>
      </w:r>
      <w:r w:rsidR="008A74EB" w:rsidRPr="00C9040A">
        <w:rPr>
          <w:rtl/>
        </w:rPr>
        <w:t xml:space="preserve"> « عليه »</w:t>
      </w:r>
      <w:r w:rsidR="008A74EB">
        <w:rPr>
          <w:rtl/>
        </w:rPr>
        <w:t>.</w:t>
      </w:r>
      <w:r w:rsidR="008A74EB" w:rsidRPr="00C9040A">
        <w:rPr>
          <w:rtl/>
        </w:rPr>
        <w:t xml:space="preserve"> وفي التوحيد : + « أمر »</w:t>
      </w:r>
      <w:r w:rsidR="008A74EB">
        <w:rPr>
          <w:rtl/>
        </w:rPr>
        <w:t>.</w:t>
      </w:r>
    </w:p>
    <w:tbl>
      <w:tblPr>
        <w:tblStyle w:val="TableGrid"/>
        <w:bidiVisual/>
        <w:tblW w:w="0" w:type="auto"/>
        <w:tblLook w:val="04A0" w:firstRow="1" w:lastRow="0" w:firstColumn="1" w:lastColumn="0" w:noHBand="0" w:noVBand="1"/>
      </w:tblPr>
      <w:tblGrid>
        <w:gridCol w:w="4006"/>
        <w:gridCol w:w="4006"/>
      </w:tblGrid>
      <w:tr w:rsidR="002D6DF3" w:rsidTr="002D6DF3">
        <w:tc>
          <w:tcPr>
            <w:tcW w:w="4006" w:type="dxa"/>
          </w:tcPr>
          <w:p w:rsidR="002D6DF3" w:rsidRDefault="002D6DF3" w:rsidP="004A4E41">
            <w:pPr>
              <w:pStyle w:val="libFootnote0"/>
              <w:rPr>
                <w:rtl/>
              </w:rPr>
            </w:pPr>
            <w:r>
              <w:rPr>
                <w:rtl/>
              </w:rPr>
              <w:t>(12).</w:t>
            </w:r>
            <w:r w:rsidRPr="00C9040A">
              <w:rPr>
                <w:rtl/>
              </w:rPr>
              <w:t xml:space="preserve"> في « بس » : « بلاي »</w:t>
            </w:r>
            <w:r>
              <w:rPr>
                <w:rtl/>
              </w:rPr>
              <w:t>.</w:t>
            </w:r>
          </w:p>
        </w:tc>
        <w:tc>
          <w:tcPr>
            <w:tcW w:w="4006" w:type="dxa"/>
          </w:tcPr>
          <w:p w:rsidR="002D6DF3" w:rsidRDefault="002D6DF3" w:rsidP="004A4E41">
            <w:pPr>
              <w:pStyle w:val="libFootnote0"/>
              <w:rPr>
                <w:rtl/>
              </w:rPr>
            </w:pPr>
            <w:r>
              <w:rPr>
                <w:rtl/>
              </w:rPr>
              <w:t>(13)</w:t>
            </w:r>
            <w:r w:rsidRPr="00C9040A">
              <w:rPr>
                <w:rtl/>
              </w:rPr>
              <w:t xml:space="preserve"> في « ص » : + « على »</w:t>
            </w:r>
            <w:r>
              <w:rPr>
                <w:rtl/>
              </w:rPr>
              <w:t>.</w:t>
            </w:r>
          </w:p>
        </w:tc>
      </w:tr>
      <w:tr w:rsidR="002D6DF3" w:rsidTr="002D6DF3">
        <w:tc>
          <w:tcPr>
            <w:tcW w:w="4006" w:type="dxa"/>
          </w:tcPr>
          <w:p w:rsidR="002D6DF3" w:rsidRDefault="00A53EE1" w:rsidP="004A4E41">
            <w:pPr>
              <w:pStyle w:val="libFootnote0"/>
              <w:rPr>
                <w:rtl/>
              </w:rPr>
            </w:pPr>
            <w:r>
              <w:rPr>
                <w:rtl/>
              </w:rPr>
              <w:t>(14)</w:t>
            </w:r>
            <w:r w:rsidRPr="00C9040A">
              <w:rPr>
                <w:rtl/>
              </w:rPr>
              <w:t xml:space="preserve"> في « بس » : « نعماي »</w:t>
            </w:r>
            <w:r>
              <w:rPr>
                <w:rtl/>
              </w:rPr>
              <w:t>.</w:t>
            </w:r>
          </w:p>
        </w:tc>
        <w:tc>
          <w:tcPr>
            <w:tcW w:w="4006" w:type="dxa"/>
          </w:tcPr>
          <w:p w:rsidR="002D6DF3" w:rsidRDefault="00A53EE1" w:rsidP="004A4E41">
            <w:pPr>
              <w:pStyle w:val="libFootnote0"/>
              <w:rPr>
                <w:rtl/>
              </w:rPr>
            </w:pPr>
            <w:r>
              <w:rPr>
                <w:rtl/>
              </w:rPr>
              <w:t>(15)</w:t>
            </w:r>
            <w:r w:rsidRPr="00C9040A">
              <w:rPr>
                <w:rtl/>
              </w:rPr>
              <w:t xml:space="preserve"> في « بس » : « بقضاي »</w:t>
            </w:r>
            <w:r>
              <w:rPr>
                <w:rtl/>
              </w:rPr>
              <w:t>.</w:t>
            </w:r>
          </w:p>
        </w:tc>
      </w:tr>
    </w:tbl>
    <w:p w:rsidR="008A74EB" w:rsidRPr="00C9040A" w:rsidRDefault="008A74EB" w:rsidP="004A4E41">
      <w:pPr>
        <w:pStyle w:val="libFootnote0"/>
        <w:rPr>
          <w:rtl/>
          <w:lang w:bidi="fa-IR"/>
        </w:rPr>
      </w:pPr>
      <w:r>
        <w:rPr>
          <w:rtl/>
        </w:rPr>
        <w:t>(16)</w:t>
      </w:r>
      <w:r w:rsidRPr="00C9040A">
        <w:rPr>
          <w:rtl/>
        </w:rPr>
        <w:t xml:space="preserve"> في « بر » : « من »</w:t>
      </w:r>
      <w:r>
        <w:rPr>
          <w:rtl/>
        </w:rPr>
        <w:t>.</w:t>
      </w:r>
    </w:p>
    <w:p w:rsidR="008A74EB" w:rsidRPr="00C9040A" w:rsidRDefault="008A74EB" w:rsidP="004A4E41">
      <w:pPr>
        <w:pStyle w:val="libFootnote0"/>
        <w:rPr>
          <w:rtl/>
          <w:lang w:bidi="fa-IR"/>
        </w:rPr>
      </w:pPr>
      <w:r>
        <w:rPr>
          <w:rtl/>
        </w:rPr>
        <w:t>(17)</w:t>
      </w:r>
      <w:r w:rsidRPr="00C9040A">
        <w:rPr>
          <w:rtl/>
        </w:rPr>
        <w:t xml:space="preserve"> في « ض ، بس » والوافي : « برضاي » بتخفيف الهمزة. وفي </w:t>
      </w:r>
      <w:r w:rsidRPr="0034021D">
        <w:rPr>
          <w:rStyle w:val="libFootnoteBoldChar"/>
          <w:rtl/>
        </w:rPr>
        <w:t>الأمالي للمفيد</w:t>
      </w:r>
      <w:r w:rsidRPr="00C9040A">
        <w:rPr>
          <w:rtl/>
        </w:rPr>
        <w:t xml:space="preserve"> : « بما يرضيني » بدل « برضائي »</w:t>
      </w:r>
      <w:r>
        <w:rPr>
          <w:rtl/>
        </w:rPr>
        <w:t>.</w:t>
      </w:r>
    </w:p>
    <w:p w:rsidR="008A74EB" w:rsidRPr="00C9040A" w:rsidRDefault="008A74EB" w:rsidP="004A4E41">
      <w:pPr>
        <w:pStyle w:val="libFootnote0"/>
        <w:rPr>
          <w:rtl/>
          <w:lang w:bidi="fa-IR"/>
        </w:rPr>
      </w:pPr>
      <w:r>
        <w:rPr>
          <w:rtl/>
        </w:rPr>
        <w:t>(18)</w:t>
      </w:r>
      <w:r w:rsidRPr="00C9040A">
        <w:rPr>
          <w:rtl/>
        </w:rPr>
        <w:t xml:space="preserve"> </w:t>
      </w:r>
      <w:r w:rsidRPr="0034021D">
        <w:rPr>
          <w:rStyle w:val="libFootnoteBoldChar"/>
          <w:rtl/>
        </w:rPr>
        <w:t>الأمالي للمفيد</w:t>
      </w:r>
      <w:r w:rsidRPr="00C9040A">
        <w:rPr>
          <w:rtl/>
        </w:rPr>
        <w:t xml:space="preserve"> ، ص 93 ، المجلس 11 ، ح 2 ، بسنده عن أحمد بن محمّد بن عيسى ؛ </w:t>
      </w:r>
      <w:r w:rsidRPr="00993B55">
        <w:rPr>
          <w:rStyle w:val="libFootnoteBoldChar"/>
          <w:rtl/>
        </w:rPr>
        <w:t>التوحيد</w:t>
      </w:r>
      <w:r w:rsidRPr="00C9040A">
        <w:rPr>
          <w:rtl/>
        </w:rPr>
        <w:t xml:space="preserve"> ، ص 405 ، ح 13 ، بسنده عن الحسن بن محبوب ؛ </w:t>
      </w:r>
      <w:r w:rsidRPr="00993B55">
        <w:rPr>
          <w:rStyle w:val="libFootnoteBoldChar"/>
          <w:rtl/>
        </w:rPr>
        <w:t>الأمالي</w:t>
      </w:r>
      <w:r w:rsidRPr="00C9040A">
        <w:rPr>
          <w:rtl/>
        </w:rPr>
        <w:t xml:space="preserve"> للطوسي ، ص 238 ، المجلس 9 ، ح 13 ، بسنده عن أحمد بن محمّد بن عيسى ، عن الحسين بن سعيد ، عن الحسن بن محبوب. </w:t>
      </w:r>
      <w:r w:rsidRPr="00993B55">
        <w:rPr>
          <w:rStyle w:val="libFootnoteBoldChar"/>
          <w:rtl/>
        </w:rPr>
        <w:t>المؤمن</w:t>
      </w:r>
      <w:r w:rsidRPr="00C9040A">
        <w:rPr>
          <w:rtl/>
        </w:rPr>
        <w:t xml:space="preserve"> ، ص 17 ، ح 9 ، عن أبي عبدالله </w:t>
      </w:r>
      <w:r w:rsidR="00117575" w:rsidRPr="00117575">
        <w:rPr>
          <w:rStyle w:val="libFootnoteAlaemChar"/>
          <w:rtl/>
        </w:rPr>
        <w:t>عليه‌السلام</w:t>
      </w:r>
      <w:r w:rsidRPr="00C9040A">
        <w:rPr>
          <w:rtl/>
        </w:rPr>
        <w:t xml:space="preserve"> ؛ </w:t>
      </w:r>
      <w:r w:rsidRPr="00993B55">
        <w:rPr>
          <w:rStyle w:val="libFootnoteBoldChar"/>
          <w:rtl/>
        </w:rPr>
        <w:t>فقه الرضا</w:t>
      </w:r>
      <w:r w:rsidRPr="00C9040A">
        <w:rPr>
          <w:rtl/>
        </w:rPr>
        <w:t xml:space="preserve"> </w:t>
      </w:r>
      <w:r w:rsidR="00117575" w:rsidRPr="00117575">
        <w:rPr>
          <w:rStyle w:val="libFootnoteAlaemChar"/>
          <w:rtl/>
        </w:rPr>
        <w:t>عليه‌السلام</w:t>
      </w:r>
      <w:r w:rsidRPr="00C9040A">
        <w:rPr>
          <w:rtl/>
        </w:rPr>
        <w:t xml:space="preserve"> ، ص 359 ، وفي كلّها مع اختلاف يسير</w:t>
      </w:r>
      <w:r w:rsidR="0078670E">
        <w:rPr>
          <w:rFonts w:hint="cs"/>
          <w:rtl/>
        </w:rPr>
        <w:t>.</w:t>
      </w:r>
      <w:r w:rsidRPr="00993B55">
        <w:rPr>
          <w:rStyle w:val="libFootnoteBoldChar"/>
          <w:rtl/>
        </w:rPr>
        <w:t>الوافي</w:t>
      </w:r>
      <w:r w:rsidRPr="00C9040A">
        <w:rPr>
          <w:rtl/>
        </w:rPr>
        <w:t xml:space="preserve"> ، ج 4 ، ص 277 ، ح 1939 ؛ </w:t>
      </w:r>
      <w:r w:rsidRPr="00993B55">
        <w:rPr>
          <w:rStyle w:val="libFootnoteBoldChar"/>
          <w:rtl/>
        </w:rPr>
        <w:t>الوسائل</w:t>
      </w:r>
      <w:r w:rsidRPr="00C9040A">
        <w:rPr>
          <w:rtl/>
        </w:rPr>
        <w:t xml:space="preserve"> ، ج 3 ، ص 252 ، ح 3552 ؛ </w:t>
      </w:r>
      <w:r w:rsidRPr="00993B55">
        <w:rPr>
          <w:rStyle w:val="libFootnoteBoldChar"/>
          <w:rtl/>
        </w:rPr>
        <w:t>البحار</w:t>
      </w:r>
      <w:r w:rsidRPr="00C9040A">
        <w:rPr>
          <w:rtl/>
        </w:rPr>
        <w:t xml:space="preserve"> ، ج 72 ، ص 331 ، ح 14.</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782A57">
        <w:rPr>
          <w:rtl/>
        </w:rPr>
        <w:lastRenderedPageBreak/>
        <w:t>1585</w:t>
      </w:r>
      <w:r w:rsidRPr="00261CB0">
        <w:rPr>
          <w:rStyle w:val="libBold2Char"/>
          <w:rtl/>
        </w:rPr>
        <w:t xml:space="preserve"> / 8.</w:t>
      </w:r>
      <w:r w:rsidRPr="00C9040A">
        <w:rPr>
          <w:rtl/>
          <w:lang w:bidi="fa-IR"/>
        </w:rPr>
        <w:t xml:space="preserve"> أَبُو عَلِيٍّ الْأَشْعَرِيُّ ، عَنْ مُحَمَّدِ بْنِ عَبْدِ الْجَبَّارِ ، عَنْ صَفْوَانَ بْنِ يَحْيى ، عَنْ فُضَيْلِ </w:t>
      </w:r>
      <w:r w:rsidR="006C577F" w:rsidRPr="006C577F">
        <w:rPr>
          <w:rStyle w:val="libFootnotenumChar"/>
          <w:rtl/>
        </w:rPr>
        <w:t>(1)</w:t>
      </w:r>
      <w:r w:rsidRPr="002712F0">
        <w:rPr>
          <w:rFonts w:hint="cs"/>
          <w:rtl/>
        </w:rPr>
        <w:t xml:space="preserve"> </w:t>
      </w:r>
      <w:r w:rsidRPr="00C9040A">
        <w:rPr>
          <w:rtl/>
          <w:lang w:bidi="fa-IR"/>
        </w:rPr>
        <w:t>بْنِ عُثْمَانَ ، عَنِ ابْنِ أَبِي يَعْفُورٍ :</w:t>
      </w:r>
    </w:p>
    <w:p w:rsidR="008A74EB" w:rsidRPr="00C9040A" w:rsidRDefault="008A74EB" w:rsidP="0078670E">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عَجِبْتُ لِلْمَرْءِ الْمُسْلِمِ </w:t>
      </w:r>
      <w:r w:rsidR="006C577F" w:rsidRPr="006C577F">
        <w:rPr>
          <w:rStyle w:val="libFootnotenumChar"/>
          <w:rtl/>
        </w:rPr>
        <w:t>(2)</w:t>
      </w:r>
      <w:r w:rsidRPr="00C9040A">
        <w:rPr>
          <w:rtl/>
          <w:lang w:bidi="fa-IR"/>
        </w:rPr>
        <w:t xml:space="preserve"> ؛ لَايَقْضِي </w:t>
      </w:r>
      <w:r w:rsidR="006C577F" w:rsidRPr="006C577F">
        <w:rPr>
          <w:rStyle w:val="libFootnotenumChar"/>
          <w:rtl/>
        </w:rPr>
        <w:t>(3)</w:t>
      </w:r>
      <w:r w:rsidRPr="00C9040A">
        <w:rPr>
          <w:rtl/>
          <w:lang w:bidi="fa-IR"/>
        </w:rPr>
        <w:t xml:space="preserve">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لَهُ </w:t>
      </w:r>
      <w:r w:rsidR="006C577F" w:rsidRPr="006C577F">
        <w:rPr>
          <w:rStyle w:val="libFootnotenumChar"/>
          <w:rtl/>
        </w:rPr>
        <w:t>(4)</w:t>
      </w:r>
      <w:r w:rsidR="0078670E">
        <w:rPr>
          <w:rtl/>
          <w:lang w:bidi="fa-IR"/>
        </w:rPr>
        <w:t xml:space="preserve"> قَضَاءً إِل</w:t>
      </w:r>
      <w:r w:rsidR="0078670E">
        <w:rPr>
          <w:rFonts w:hint="cs"/>
          <w:rtl/>
          <w:lang w:bidi="fa-IR"/>
        </w:rPr>
        <w:t>َّ</w:t>
      </w:r>
      <w:r w:rsidR="0078670E">
        <w:rPr>
          <w:rtl/>
          <w:lang w:bidi="fa-IR"/>
        </w:rPr>
        <w:t>ا</w:t>
      </w:r>
      <w:r w:rsidRPr="00C9040A">
        <w:rPr>
          <w:rtl/>
          <w:lang w:bidi="fa-IR"/>
        </w:rPr>
        <w:t xml:space="preserve"> كَانَ خَيْراً لَهُ ؛ وَ</w:t>
      </w:r>
      <w:r>
        <w:rPr>
          <w:rFonts w:hint="cs"/>
          <w:rtl/>
          <w:lang w:bidi="fa-IR"/>
        </w:rPr>
        <w:t xml:space="preserve"> </w:t>
      </w:r>
      <w:r w:rsidR="006C577F" w:rsidRPr="006C577F">
        <w:rPr>
          <w:rStyle w:val="libFootnotenumChar"/>
          <w:rtl/>
        </w:rPr>
        <w:t>(5)</w:t>
      </w:r>
      <w:r w:rsidRPr="00C9040A">
        <w:rPr>
          <w:rtl/>
          <w:lang w:bidi="fa-IR"/>
        </w:rPr>
        <w:t xml:space="preserve"> إِنْ قُرِّضَ </w:t>
      </w:r>
      <w:r w:rsidR="006C577F" w:rsidRPr="006C577F">
        <w:rPr>
          <w:rStyle w:val="libFootnotenumChar"/>
          <w:rtl/>
        </w:rPr>
        <w:t>(6)</w:t>
      </w:r>
      <w:r w:rsidR="0078670E" w:rsidRPr="00C9040A">
        <w:rPr>
          <w:rtl/>
          <w:lang w:bidi="fa-IR"/>
        </w:rPr>
        <w:t xml:space="preserve"> </w:t>
      </w:r>
      <w:r w:rsidRPr="00C9040A">
        <w:rPr>
          <w:rtl/>
          <w:lang w:bidi="fa-IR"/>
        </w:rPr>
        <w:t xml:space="preserve">بِالْمَقَارِيضِ كَانَ خَيْراً لَهُ ، وَإِنْ مَلَكَ </w:t>
      </w:r>
      <w:r w:rsidR="006C577F" w:rsidRPr="006C577F">
        <w:rPr>
          <w:rStyle w:val="libFootnotenumChar"/>
          <w:rtl/>
        </w:rPr>
        <w:t>(7)</w:t>
      </w:r>
      <w:r w:rsidRPr="00C9040A">
        <w:rPr>
          <w:rtl/>
          <w:lang w:bidi="fa-IR"/>
        </w:rPr>
        <w:t xml:space="preserve"> مَشَارِقَ الْأَرْضِ وَمَغَارِبَهَا كَانَ خَيْراً لَهُ »</w:t>
      </w:r>
      <w:r>
        <w:rPr>
          <w:rtl/>
          <w:lang w:bidi="fa-IR"/>
        </w:rPr>
        <w:t>.</w:t>
      </w:r>
      <w:r w:rsidRPr="00C9040A">
        <w:rPr>
          <w:rtl/>
          <w:lang w:bidi="fa-IR"/>
        </w:rPr>
        <w:t xml:space="preserve"> </w:t>
      </w:r>
      <w:r w:rsidR="006C577F" w:rsidRPr="006C577F">
        <w:rPr>
          <w:rStyle w:val="libFootnotenumChar"/>
          <w:rtl/>
        </w:rPr>
        <w:t>(8)</w:t>
      </w:r>
      <w:r w:rsidRPr="00C9040A">
        <w:rPr>
          <w:rtl/>
          <w:lang w:bidi="fa-IR"/>
        </w:rPr>
        <w:t>‌</w:t>
      </w:r>
    </w:p>
    <w:p w:rsidR="008A74EB" w:rsidRPr="00C9040A" w:rsidRDefault="008A74EB" w:rsidP="008A74EB">
      <w:pPr>
        <w:pStyle w:val="libNormal"/>
        <w:rPr>
          <w:rtl/>
          <w:lang w:bidi="fa-IR"/>
        </w:rPr>
      </w:pPr>
      <w:r w:rsidRPr="00782A57">
        <w:rPr>
          <w:rtl/>
        </w:rPr>
        <w:t>1586</w:t>
      </w:r>
      <w:r w:rsidRPr="00261CB0">
        <w:rPr>
          <w:rStyle w:val="libBold2Char"/>
          <w:rtl/>
        </w:rPr>
        <w:t xml:space="preserve"> / 9.</w:t>
      </w:r>
      <w:r w:rsidRPr="00C9040A">
        <w:rPr>
          <w:rtl/>
          <w:lang w:bidi="fa-IR"/>
        </w:rPr>
        <w:t xml:space="preserve"> مُحَمَّدُ بْنُ يَحْيى ، عَنْ أَحْمَدَ بْنِ مُحَمَّدِ بْنِ عِيسى ، عَنِ ابْنِ سِنَانٍ ، عَنْ صَالِحِ بْنِ عُقْبَةَ ، عَنْ عَبْدِ اللهِ بْنِ مُحَمَّدٍ الْجُعْفِيِّ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أَحَقُّ خَلْقِ اللهِ أَنْ يُسَلِّمَ </w:t>
      </w:r>
      <w:r w:rsidR="006C577F" w:rsidRPr="006C577F">
        <w:rPr>
          <w:rStyle w:val="libFootnotenumChar"/>
          <w:rtl/>
        </w:rPr>
        <w:t>(9)</w:t>
      </w:r>
      <w:r w:rsidRPr="00C9040A">
        <w:rPr>
          <w:rtl/>
          <w:lang w:bidi="fa-IR"/>
        </w:rPr>
        <w:t xml:space="preserve"> لِمَا </w:t>
      </w:r>
      <w:r w:rsidR="006C577F" w:rsidRPr="006C577F">
        <w:rPr>
          <w:rStyle w:val="libFootnotenumChar"/>
          <w:rtl/>
        </w:rPr>
        <w:t>(10)</w:t>
      </w:r>
      <w:r w:rsidRPr="00C9040A">
        <w:rPr>
          <w:rtl/>
          <w:lang w:bidi="fa-IR"/>
        </w:rPr>
        <w:t xml:space="preserve"> قَضَى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مَنْ عَرَفَ اللهَ عَزَّ وَجَلَّ ؛ وَمَنْ رَضِيَ بِالْقَضَاءِ ، أَتى عَلَيْهِ الْقَضَاءُ ، وَعَظَّمَ </w:t>
      </w:r>
      <w:r w:rsidR="006C577F" w:rsidRPr="006C577F">
        <w:rPr>
          <w:rStyle w:val="libFootnotenumChar"/>
          <w:rtl/>
        </w:rPr>
        <w:t>(11)</w:t>
      </w:r>
      <w:r w:rsidRPr="00C9040A">
        <w:rPr>
          <w:rtl/>
          <w:lang w:bidi="fa-IR"/>
        </w:rPr>
        <w:t xml:space="preserve"> اللهُ أَجْرَهُ </w:t>
      </w:r>
      <w:r w:rsidR="006C577F" w:rsidRPr="006C577F">
        <w:rPr>
          <w:rStyle w:val="libFootnotenumChar"/>
          <w:rtl/>
        </w:rPr>
        <w:t>(12)</w:t>
      </w:r>
      <w:r w:rsidRPr="00C9040A">
        <w:rPr>
          <w:rtl/>
          <w:lang w:bidi="fa-IR"/>
        </w:rPr>
        <w:t xml:space="preserve"> ؛ وَمَنْ‌</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 ص ، بف » : « فضل »</w:t>
      </w:r>
      <w:r w:rsidR="008A74EB">
        <w:rPr>
          <w:rtl/>
        </w:rPr>
        <w:t>.</w:t>
      </w:r>
      <w:r w:rsidR="008A74EB" w:rsidRPr="00C9040A">
        <w:rPr>
          <w:rtl/>
        </w:rPr>
        <w:t xml:space="preserve"> وهذا أيضاً صحيح. راجع : </w:t>
      </w:r>
      <w:r w:rsidR="008A74EB" w:rsidRPr="00993B55">
        <w:rPr>
          <w:rStyle w:val="libFootnoteBoldChar"/>
          <w:rtl/>
        </w:rPr>
        <w:t>رجال الطوسي</w:t>
      </w:r>
      <w:r w:rsidR="008A74EB" w:rsidRPr="00C9040A">
        <w:rPr>
          <w:rtl/>
        </w:rPr>
        <w:t xml:space="preserve"> ، ص 268 ، الرقم 3854 ؛ وص 269 ، الرقم 387.</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w:t>
      </w:r>
      <w:r w:rsidR="008A74EB" w:rsidRPr="00993B55">
        <w:rPr>
          <w:rStyle w:val="libFootnoteBoldChar"/>
          <w:rtl/>
        </w:rPr>
        <w:t>مرآة العقول</w:t>
      </w:r>
      <w:r w:rsidR="008A74EB" w:rsidRPr="00C9040A">
        <w:rPr>
          <w:rtl/>
        </w:rPr>
        <w:t xml:space="preserve"> : « كأنّ المراد المسلم بالمعنى الأخصّ ، أي المؤمن المنقاد لله. وربّما يقرأ بالتشديد من‌التسليم »</w:t>
      </w:r>
      <w:r w:rsidR="008A74EB">
        <w:rPr>
          <w:rtl/>
        </w:rPr>
        <w:t>.</w:t>
      </w:r>
    </w:p>
    <w:p w:rsidR="008A74EB" w:rsidRPr="004A4E41" w:rsidRDefault="006C577F" w:rsidP="004A4E41">
      <w:pPr>
        <w:pStyle w:val="libFootnote0"/>
        <w:rPr>
          <w:rStyle w:val="libFootnote0Char"/>
          <w:rtl/>
        </w:rPr>
      </w:pPr>
      <w:r>
        <w:rPr>
          <w:rtl/>
        </w:rPr>
        <w:t>(3).</w:t>
      </w:r>
      <w:r w:rsidR="008A74EB" w:rsidRPr="00C9040A">
        <w:rPr>
          <w:rtl/>
        </w:rPr>
        <w:t xml:space="preserve"> في « ف » : « أن لا يقضي »</w:t>
      </w:r>
      <w:r w:rsidR="008A74EB">
        <w:rPr>
          <w:rtl/>
        </w:rPr>
        <w:t>.</w:t>
      </w:r>
    </w:p>
    <w:tbl>
      <w:tblPr>
        <w:tblStyle w:val="TableGrid"/>
        <w:bidiVisual/>
        <w:tblW w:w="0" w:type="auto"/>
        <w:tblLook w:val="04A0" w:firstRow="1" w:lastRow="0" w:firstColumn="1" w:lastColumn="0" w:noHBand="0" w:noVBand="1"/>
      </w:tblPr>
      <w:tblGrid>
        <w:gridCol w:w="4006"/>
        <w:gridCol w:w="4006"/>
      </w:tblGrid>
      <w:tr w:rsidR="002306F8" w:rsidTr="002306F8">
        <w:tc>
          <w:tcPr>
            <w:tcW w:w="4006" w:type="dxa"/>
          </w:tcPr>
          <w:p w:rsidR="002306F8" w:rsidRDefault="002306F8" w:rsidP="004A4E41">
            <w:pPr>
              <w:pStyle w:val="libFootnote0"/>
              <w:rPr>
                <w:rtl/>
              </w:rPr>
            </w:pPr>
            <w:r>
              <w:rPr>
                <w:rtl/>
              </w:rPr>
              <w:t>(4).</w:t>
            </w:r>
            <w:r w:rsidRPr="00C9040A">
              <w:rPr>
                <w:rtl/>
              </w:rPr>
              <w:t xml:space="preserve"> في « ب ، بر ، بف » : « عليه »</w:t>
            </w:r>
            <w:r>
              <w:rPr>
                <w:rtl/>
              </w:rPr>
              <w:t>.</w:t>
            </w:r>
          </w:p>
        </w:tc>
        <w:tc>
          <w:tcPr>
            <w:tcW w:w="4006" w:type="dxa"/>
          </w:tcPr>
          <w:p w:rsidR="002306F8" w:rsidRDefault="002306F8" w:rsidP="004A4E41">
            <w:pPr>
              <w:pStyle w:val="libFootnote0"/>
              <w:rPr>
                <w:rtl/>
              </w:rPr>
            </w:pPr>
            <w:r>
              <w:rPr>
                <w:rtl/>
              </w:rPr>
              <w:t>(5).</w:t>
            </w:r>
            <w:r w:rsidRPr="00C9040A">
              <w:rPr>
                <w:rtl/>
              </w:rPr>
              <w:t xml:space="preserve"> في « ب ، د ، ص ، ض ، ف » </w:t>
            </w:r>
            <w:r>
              <w:rPr>
                <w:rtl/>
              </w:rPr>
              <w:t>: -</w:t>
            </w:r>
            <w:r w:rsidRPr="00C9040A">
              <w:rPr>
                <w:rtl/>
              </w:rPr>
              <w:t xml:space="preserve"> « </w:t>
            </w:r>
            <w:r>
              <w:rPr>
                <w:rtl/>
              </w:rPr>
              <w:t>و ».</w:t>
            </w:r>
          </w:p>
        </w:tc>
      </w:tr>
    </w:tbl>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w:t>
      </w:r>
      <w:r w:rsidR="008A74EB" w:rsidRPr="00993B55">
        <w:rPr>
          <w:rStyle w:val="libFootnoteBoldChar"/>
          <w:rtl/>
        </w:rPr>
        <w:t>مرآة العقول</w:t>
      </w:r>
      <w:r w:rsidR="008A74EB" w:rsidRPr="00C9040A">
        <w:rPr>
          <w:rtl/>
        </w:rPr>
        <w:t xml:space="preserve"> : « وإن قرض ، على بناء المجهول ، من باب ضرب. أو على بناء التفعيل ، للتكثير والمبالغة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w:t>
      </w:r>
      <w:r w:rsidR="008A74EB" w:rsidRPr="00993B55">
        <w:rPr>
          <w:rStyle w:val="libFootnoteBoldChar"/>
          <w:rtl/>
        </w:rPr>
        <w:t>مرآة العقول</w:t>
      </w:r>
      <w:r w:rsidR="008A74EB" w:rsidRPr="00C9040A">
        <w:rPr>
          <w:rtl/>
        </w:rPr>
        <w:t xml:space="preserve"> : « وإن ملك ، على بناء المجرّد المعلوم ، أو على بناء المفعول من التفعيل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w:t>
      </w:r>
      <w:r w:rsidR="008A74EB" w:rsidRPr="00993B55">
        <w:rPr>
          <w:rStyle w:val="libFootnoteBoldChar"/>
          <w:rtl/>
        </w:rPr>
        <w:t>الكافي</w:t>
      </w:r>
      <w:r w:rsidR="008A74EB" w:rsidRPr="00C9040A">
        <w:rPr>
          <w:rtl/>
        </w:rPr>
        <w:t xml:space="preserve"> ، كتاب المعيشة ، باب دخول الصوفيّة على أبي عبد الله </w:t>
      </w:r>
      <w:r w:rsidR="00117575" w:rsidRPr="00117575">
        <w:rPr>
          <w:rStyle w:val="libFootnoteAlaemChar"/>
          <w:rtl/>
        </w:rPr>
        <w:t xml:space="preserve">عليه‌السلام </w:t>
      </w:r>
      <w:r w:rsidR="008A74EB">
        <w:rPr>
          <w:rtl/>
        </w:rPr>
        <w:t xml:space="preserve"> ..</w:t>
      </w:r>
      <w:r w:rsidR="008A74EB" w:rsidRPr="00C9040A">
        <w:rPr>
          <w:rtl/>
        </w:rPr>
        <w:t xml:space="preserve">. ، ح 8352 ، بسند آخر عن أبي عبد الله ، عن آبائه </w:t>
      </w:r>
      <w:r w:rsidR="00117575" w:rsidRPr="00117575">
        <w:rPr>
          <w:rStyle w:val="libFootnoteAlaemChar"/>
          <w:rtl/>
        </w:rPr>
        <w:t>عليهم‌السلام</w:t>
      </w:r>
      <w:r w:rsidR="008A74EB" w:rsidRPr="00C9040A">
        <w:rPr>
          <w:rtl/>
        </w:rPr>
        <w:t xml:space="preserve"> عن رسول الله </w:t>
      </w:r>
      <w:r w:rsidR="004A4E41" w:rsidRPr="00B866D3">
        <w:rPr>
          <w:rStyle w:val="libFootnoteAlaemChar"/>
          <w:rtl/>
        </w:rPr>
        <w:t>صلى‌الله‌عليه‌وآله</w:t>
      </w:r>
      <w:r w:rsidR="008A74EB" w:rsidRPr="00C9040A">
        <w:rPr>
          <w:rtl/>
        </w:rPr>
        <w:t xml:space="preserve"> ، مع اختلاف يسير وزيادة في أوّله وآخره. وفي </w:t>
      </w:r>
      <w:r w:rsidR="008A74EB" w:rsidRPr="00993B55">
        <w:rPr>
          <w:rStyle w:val="libFootnoteBoldChar"/>
          <w:rtl/>
        </w:rPr>
        <w:t>التوحيد</w:t>
      </w:r>
      <w:r w:rsidR="008A74EB" w:rsidRPr="00C9040A">
        <w:rPr>
          <w:rtl/>
        </w:rPr>
        <w:t xml:space="preserve"> ، ص 401 ، ح 5 ؛ و</w:t>
      </w:r>
      <w:r w:rsidR="008A74EB" w:rsidRPr="0034021D">
        <w:rPr>
          <w:rStyle w:val="libFootnoteBoldChar"/>
          <w:rtl/>
        </w:rPr>
        <w:t>الأمالي للصدوق</w:t>
      </w:r>
      <w:r w:rsidR="008A74EB" w:rsidRPr="00C9040A">
        <w:rPr>
          <w:rtl/>
        </w:rPr>
        <w:t xml:space="preserve"> ، ص 546 ، المجلس 81 ، ح 15 ، بسندهما عن أبي عبد الله ، عن آبائه </w:t>
      </w:r>
      <w:r w:rsidR="00117575" w:rsidRPr="00117575">
        <w:rPr>
          <w:rStyle w:val="libFootnoteAlaemChar"/>
          <w:rtl/>
        </w:rPr>
        <w:t>عليهم‌السلام</w:t>
      </w:r>
      <w:r w:rsidR="008A74EB" w:rsidRPr="00C9040A">
        <w:rPr>
          <w:rtl/>
        </w:rPr>
        <w:t xml:space="preserve"> عن رسول الله </w:t>
      </w:r>
      <w:r w:rsidR="004A4E41" w:rsidRPr="00B866D3">
        <w:rPr>
          <w:rStyle w:val="libFootnoteAlaemChar"/>
          <w:rtl/>
        </w:rPr>
        <w:t>صلى‌الله‌عليه‌وآله</w:t>
      </w:r>
      <w:r w:rsidR="008A74EB" w:rsidRPr="00C9040A">
        <w:rPr>
          <w:rtl/>
        </w:rPr>
        <w:t xml:space="preserve">. </w:t>
      </w:r>
      <w:r w:rsidR="008A74EB" w:rsidRPr="00993B55">
        <w:rPr>
          <w:rStyle w:val="libFootnoteBoldChar"/>
          <w:rtl/>
        </w:rPr>
        <w:t>المؤمن</w:t>
      </w:r>
      <w:r w:rsidR="008A74EB" w:rsidRPr="00C9040A">
        <w:rPr>
          <w:rtl/>
        </w:rPr>
        <w:t xml:space="preserve"> ، ص 27 ، ح 49 ، عن أبي عبدالله </w:t>
      </w:r>
      <w:r w:rsidR="00117575" w:rsidRPr="00117575">
        <w:rPr>
          <w:rStyle w:val="libFootnoteAlaemChar"/>
          <w:rtl/>
        </w:rPr>
        <w:t xml:space="preserve">عليه‌السلام </w:t>
      </w:r>
      <w:r w:rsidR="008A74EB" w:rsidRPr="00C9040A">
        <w:rPr>
          <w:rtl/>
        </w:rPr>
        <w:t xml:space="preserve"> عن رسول الله </w:t>
      </w:r>
      <w:r w:rsidR="004A4E41" w:rsidRPr="00B866D3">
        <w:rPr>
          <w:rStyle w:val="libFootnoteAlaemChar"/>
          <w:rtl/>
        </w:rPr>
        <w:t>صلى‌الله‌عليه‌وآله</w:t>
      </w:r>
      <w:r w:rsidR="008A74EB" w:rsidRPr="00C9040A">
        <w:rPr>
          <w:rtl/>
        </w:rPr>
        <w:t xml:space="preserve"> ، وفي الثلاثة الأخيرة : « عجبت للمرء المسلم أنّه ليس </w:t>
      </w:r>
      <w:r w:rsidR="00692417">
        <w:rPr>
          <w:rtl/>
        </w:rPr>
        <w:t>من قضاء يقضيه الله عزّ وجلّ إل</w:t>
      </w:r>
      <w:r w:rsidR="00692417">
        <w:rPr>
          <w:rFonts w:hint="cs"/>
          <w:rtl/>
        </w:rPr>
        <w:t>ّ</w:t>
      </w:r>
      <w:r w:rsidR="00692417">
        <w:rPr>
          <w:rtl/>
        </w:rPr>
        <w:t>ا</w:t>
      </w:r>
      <w:r w:rsidR="008A74EB" w:rsidRPr="00C9040A">
        <w:rPr>
          <w:rtl/>
        </w:rPr>
        <w:t xml:space="preserve">كان خيراً له في عاقبة أمره » مع زيادة في أوّله. </w:t>
      </w:r>
      <w:r w:rsidR="008A74EB" w:rsidRPr="00993B55">
        <w:rPr>
          <w:rStyle w:val="libFootnoteBoldChar"/>
          <w:rtl/>
        </w:rPr>
        <w:t>فقه الرضا</w:t>
      </w:r>
      <w:r w:rsidR="008A74EB" w:rsidRPr="00C9040A">
        <w:rPr>
          <w:rtl/>
        </w:rPr>
        <w:t xml:space="preserve"> </w:t>
      </w:r>
      <w:r w:rsidR="00117575" w:rsidRPr="00117575">
        <w:rPr>
          <w:rStyle w:val="libFootnoteAlaemChar"/>
          <w:rtl/>
        </w:rPr>
        <w:t>عليه‌السلام</w:t>
      </w:r>
      <w:r w:rsidR="008A74EB" w:rsidRPr="00C9040A">
        <w:rPr>
          <w:rtl/>
        </w:rPr>
        <w:t xml:space="preserve"> ، ص 360 ، مع اختلاف يسير</w:t>
      </w:r>
      <w:r w:rsidR="00692417">
        <w:rPr>
          <w:rFonts w:hint="cs"/>
          <w:rtl/>
        </w:rPr>
        <w:t>.</w:t>
      </w:r>
      <w:r w:rsidR="008A74EB" w:rsidRPr="00993B55">
        <w:rPr>
          <w:rStyle w:val="libFootnoteBoldChar"/>
          <w:rtl/>
        </w:rPr>
        <w:t>الوافي</w:t>
      </w:r>
      <w:r w:rsidR="008A74EB" w:rsidRPr="00C9040A">
        <w:rPr>
          <w:rtl/>
        </w:rPr>
        <w:t xml:space="preserve"> ، ج 4 ، ص 277 ، ح 1940 ؛ </w:t>
      </w:r>
      <w:r w:rsidR="008A74EB" w:rsidRPr="00993B55">
        <w:rPr>
          <w:rStyle w:val="libFootnoteBoldChar"/>
          <w:rtl/>
        </w:rPr>
        <w:t>الوسائل</w:t>
      </w:r>
      <w:r w:rsidR="008A74EB" w:rsidRPr="00C9040A">
        <w:rPr>
          <w:rtl/>
        </w:rPr>
        <w:t xml:space="preserve"> ، ج 3 ، ص 250 ، ح 3544 ؛ </w:t>
      </w:r>
      <w:r w:rsidR="008A74EB" w:rsidRPr="00993B55">
        <w:rPr>
          <w:rStyle w:val="libFootnoteBoldChar"/>
          <w:rtl/>
        </w:rPr>
        <w:t>البحار</w:t>
      </w:r>
      <w:r w:rsidR="008A74EB" w:rsidRPr="00C9040A">
        <w:rPr>
          <w:rtl/>
        </w:rPr>
        <w:t xml:space="preserve"> ، ج 72 ، ص 331 ، ح 15.</w:t>
      </w:r>
    </w:p>
    <w:p w:rsidR="008A74EB" w:rsidRPr="004A4E41" w:rsidRDefault="006C577F" w:rsidP="004A4E41">
      <w:pPr>
        <w:pStyle w:val="libFootnote0"/>
        <w:rPr>
          <w:rStyle w:val="libFootnote0Char"/>
          <w:rtl/>
        </w:rPr>
      </w:pPr>
      <w:r>
        <w:rPr>
          <w:rtl/>
        </w:rPr>
        <w:t>(9).</w:t>
      </w:r>
      <w:r w:rsidR="008A74EB" w:rsidRPr="00C9040A">
        <w:rPr>
          <w:rtl/>
        </w:rPr>
        <w:t xml:space="preserve"> في </w:t>
      </w:r>
      <w:r w:rsidR="008A74EB" w:rsidRPr="00993B55">
        <w:rPr>
          <w:rStyle w:val="libFootnoteBoldChar"/>
          <w:rtl/>
        </w:rPr>
        <w:t>مرآة العقول</w:t>
      </w:r>
      <w:r w:rsidR="008A74EB" w:rsidRPr="00C9040A">
        <w:rPr>
          <w:rtl/>
        </w:rPr>
        <w:t xml:space="preserve"> : « أن يسلّم ، بفتح الهمزة بتقدير الباء ، أي بأن يسلّم ، على بناء التفعيل ، ويحتمل الإفعال »</w:t>
      </w:r>
      <w:r w:rsidR="008A74EB">
        <w:rPr>
          <w:rtl/>
        </w:rPr>
        <w:t>.</w:t>
      </w:r>
    </w:p>
    <w:tbl>
      <w:tblPr>
        <w:tblStyle w:val="TableGrid"/>
        <w:bidiVisual/>
        <w:tblW w:w="0" w:type="auto"/>
        <w:tblLook w:val="04A0" w:firstRow="1" w:lastRow="0" w:firstColumn="1" w:lastColumn="0" w:noHBand="0" w:noVBand="1"/>
      </w:tblPr>
      <w:tblGrid>
        <w:gridCol w:w="4006"/>
        <w:gridCol w:w="4006"/>
      </w:tblGrid>
      <w:tr w:rsidR="00692417" w:rsidTr="00692417">
        <w:tc>
          <w:tcPr>
            <w:tcW w:w="4006" w:type="dxa"/>
          </w:tcPr>
          <w:p w:rsidR="00692417" w:rsidRDefault="00692417" w:rsidP="004A4E41">
            <w:pPr>
              <w:pStyle w:val="libFootnote0"/>
              <w:rPr>
                <w:rtl/>
              </w:rPr>
            </w:pPr>
            <w:r>
              <w:rPr>
                <w:rtl/>
              </w:rPr>
              <w:t>(10).</w:t>
            </w:r>
            <w:r w:rsidRPr="00C9040A">
              <w:rPr>
                <w:rtl/>
              </w:rPr>
              <w:t xml:space="preserve"> في مرآة العقول : « بما »</w:t>
            </w:r>
            <w:r>
              <w:rPr>
                <w:rtl/>
              </w:rPr>
              <w:t>.</w:t>
            </w:r>
          </w:p>
        </w:tc>
        <w:tc>
          <w:tcPr>
            <w:tcW w:w="4006" w:type="dxa"/>
          </w:tcPr>
          <w:p w:rsidR="00692417" w:rsidRDefault="00692417" w:rsidP="004A4E41">
            <w:pPr>
              <w:pStyle w:val="libFootnote0"/>
              <w:rPr>
                <w:rtl/>
              </w:rPr>
            </w:pPr>
            <w:r>
              <w:rPr>
                <w:rtl/>
              </w:rPr>
              <w:t>(11).</w:t>
            </w:r>
            <w:r w:rsidRPr="00C9040A">
              <w:rPr>
                <w:rtl/>
              </w:rPr>
              <w:t xml:space="preserve"> في الوسائل : « وأعظم »</w:t>
            </w:r>
            <w:r>
              <w:rPr>
                <w:rtl/>
              </w:rPr>
              <w:t>.</w:t>
            </w:r>
          </w:p>
        </w:tc>
      </w:tr>
    </w:tbl>
    <w:p w:rsidR="008A74EB" w:rsidRPr="00C9040A" w:rsidRDefault="006C577F" w:rsidP="004A4E41">
      <w:pPr>
        <w:pStyle w:val="libFootnote0"/>
        <w:rPr>
          <w:rtl/>
          <w:lang w:bidi="fa-IR"/>
        </w:rPr>
      </w:pPr>
      <w:r>
        <w:rPr>
          <w:rtl/>
        </w:rPr>
        <w:t>(12).</w:t>
      </w:r>
      <w:r w:rsidR="008A74EB" w:rsidRPr="00C9040A">
        <w:rPr>
          <w:rtl/>
        </w:rPr>
        <w:t xml:space="preserve"> في الخصال : « وهو مأجور » بدل « وعظّم الله أجره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سَخِطَ الْقَضَاءَ ، مَضى عَلَيْهِ الْقَضَاءُ ، وَأَحْبَطَ اللهُ أَجْرَهُ »</w:t>
      </w:r>
      <w:r>
        <w:rPr>
          <w:rtl/>
          <w:lang w:bidi="fa-IR"/>
        </w:rPr>
        <w:t>.</w:t>
      </w:r>
      <w:r w:rsidRPr="00C9040A">
        <w:rPr>
          <w:rtl/>
          <w:lang w:bidi="fa-IR"/>
        </w:rPr>
        <w:t xml:space="preserve"> </w:t>
      </w:r>
      <w:r w:rsidR="006C577F" w:rsidRPr="006C577F">
        <w:rPr>
          <w:rStyle w:val="libFootnotenumChar"/>
          <w:rtl/>
        </w:rPr>
        <w:t>(1)</w:t>
      </w:r>
      <w:r w:rsidRPr="00C9040A">
        <w:rPr>
          <w:rtl/>
          <w:lang w:bidi="fa-IR"/>
        </w:rPr>
        <w:t>‌</w:t>
      </w:r>
    </w:p>
    <w:p w:rsidR="008A74EB" w:rsidRPr="00C9040A" w:rsidRDefault="008A74EB" w:rsidP="008A74EB">
      <w:pPr>
        <w:pStyle w:val="libNormal"/>
        <w:rPr>
          <w:rtl/>
          <w:lang w:bidi="fa-IR"/>
        </w:rPr>
      </w:pPr>
      <w:r w:rsidRPr="00782A57">
        <w:rPr>
          <w:rtl/>
        </w:rPr>
        <w:t>1587</w:t>
      </w:r>
      <w:r w:rsidRPr="00261CB0">
        <w:rPr>
          <w:rStyle w:val="libBold2Char"/>
          <w:rtl/>
        </w:rPr>
        <w:t xml:space="preserve"> / 10.</w:t>
      </w:r>
      <w:r w:rsidRPr="00C9040A">
        <w:rPr>
          <w:rtl/>
          <w:lang w:bidi="fa-IR"/>
        </w:rPr>
        <w:t xml:space="preserve"> عَلِيُّ بْنُ إِبْرَاهِيمَ ، عَنْ أَبِيهِ ، عَنِ الْقَاسِمِ بْنِ مُحَمَّدٍ ، عَنِ الْمِنْقَرِيِّ ، عَنْ عَلِيِّ بْنِ هَاشِمِ بْنِ الْبَرِيدِ ، عَنْ أَبِيهِ ، قَالَ :</w:t>
      </w:r>
    </w:p>
    <w:p w:rsidR="008A74EB" w:rsidRPr="00C9040A" w:rsidRDefault="008A74EB" w:rsidP="008A74EB">
      <w:pPr>
        <w:pStyle w:val="libNormal"/>
        <w:rPr>
          <w:rtl/>
          <w:lang w:bidi="fa-IR"/>
        </w:rPr>
      </w:pPr>
      <w:r w:rsidRPr="00C9040A">
        <w:rPr>
          <w:rtl/>
          <w:lang w:bidi="fa-IR"/>
        </w:rPr>
        <w:t xml:space="preserve">قَالَ </w:t>
      </w:r>
      <w:r w:rsidR="006C577F" w:rsidRPr="006C577F">
        <w:rPr>
          <w:rStyle w:val="libFootnotenumChar"/>
          <w:rtl/>
        </w:rPr>
        <w:t>(2)</w:t>
      </w:r>
      <w:r w:rsidRPr="00C9040A">
        <w:rPr>
          <w:rtl/>
          <w:lang w:bidi="fa-IR"/>
        </w:rPr>
        <w:t xml:space="preserve"> عَلِيُّ بْنُ الْحُسَيْنِ صَلَوَاتُ اللهِ عَلَيْهِمَا : « الزُّهْدُ عَشَرَةُ أَجْزَاءٍ ؛ أَعْلى دَرَجَةِ الزُّهْدِ أَدْنى دَرَجَةِ الْوَرَعِ ، وَأَعْلى دَرَجَةِ الْوَرَعِ أَدْنى دَرَجَةِ الْيَقِينِ ، وَأَعْلى دَرَجَةِ الْيَقِينِ أَدْنى دَرَجَةِ الرِّضَا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782A57">
        <w:rPr>
          <w:rtl/>
        </w:rPr>
        <w:t>1588</w:t>
      </w:r>
      <w:r w:rsidRPr="00261CB0">
        <w:rPr>
          <w:rStyle w:val="libBold2Char"/>
          <w:rtl/>
        </w:rPr>
        <w:t xml:space="preserve"> / 11.</w:t>
      </w:r>
      <w:r w:rsidRPr="00C9040A">
        <w:rPr>
          <w:rtl/>
          <w:lang w:bidi="fa-IR"/>
        </w:rPr>
        <w:t xml:space="preserve"> عِدَّةٌ مِنْ أَصْحَابِنَا ، عَنْ أَحْمَدَ بْنِ مُحَمَّدِ بْنِ خَالِدٍ ، عَنْ مُحَمَّدِ بْنِ عَلِيٍّ ، عَنْ عَلِيِّ بْنِ أَسْبَاطٍ ، عَمَّنْ ذَكَرَهُ :</w:t>
      </w:r>
    </w:p>
    <w:p w:rsidR="008A74EB" w:rsidRPr="00C9040A" w:rsidRDefault="008A74EB" w:rsidP="009B3464">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لَقِيَ الْحَسَنُ </w:t>
      </w:r>
      <w:r w:rsidR="006C577F" w:rsidRPr="006C577F">
        <w:rPr>
          <w:rStyle w:val="libFootnotenumChar"/>
          <w:rtl/>
        </w:rPr>
        <w:t>(4)</w:t>
      </w:r>
      <w:r w:rsidRPr="00C9040A">
        <w:rPr>
          <w:rtl/>
          <w:lang w:bidi="fa-IR"/>
        </w:rPr>
        <w:t xml:space="preserve"> بْنُ عَلِيٍّ </w:t>
      </w:r>
      <w:r w:rsidRPr="0003660B">
        <w:rPr>
          <w:rStyle w:val="libAlaemChar"/>
          <w:rtl/>
        </w:rPr>
        <w:t>عليهما‌السلام</w:t>
      </w:r>
      <w:r w:rsidRPr="00C9040A">
        <w:rPr>
          <w:rtl/>
          <w:lang w:bidi="fa-IR"/>
        </w:rPr>
        <w:t xml:space="preserve"> عَبْدَ اللهِ بْنَ جَعْفَرٍ ، فَقَالَ </w:t>
      </w:r>
      <w:r w:rsidR="006C577F" w:rsidRPr="006C577F">
        <w:rPr>
          <w:rStyle w:val="libFootnotenumChar"/>
          <w:rtl/>
        </w:rPr>
        <w:t>(5)</w:t>
      </w:r>
      <w:r w:rsidRPr="00C9040A">
        <w:rPr>
          <w:rtl/>
          <w:lang w:bidi="fa-IR"/>
        </w:rPr>
        <w:t xml:space="preserve"> :</w:t>
      </w:r>
      <w:r>
        <w:rPr>
          <w:rFonts w:hint="cs"/>
          <w:rtl/>
          <w:lang w:bidi="fa-IR"/>
        </w:rPr>
        <w:t xml:space="preserve"> </w:t>
      </w:r>
      <w:r w:rsidRPr="00C9040A">
        <w:rPr>
          <w:rtl/>
          <w:lang w:bidi="fa-IR"/>
        </w:rPr>
        <w:t xml:space="preserve">يَا عَبْدَ اللهِ </w:t>
      </w:r>
      <w:r w:rsidR="006C577F" w:rsidRPr="006C577F">
        <w:rPr>
          <w:rStyle w:val="libFootnotenumChar"/>
          <w:rtl/>
        </w:rPr>
        <w:t>(6)</w:t>
      </w:r>
      <w:r w:rsidR="009B3464" w:rsidRPr="00C9040A">
        <w:rPr>
          <w:rtl/>
          <w:lang w:bidi="fa-IR"/>
        </w:rPr>
        <w:t xml:space="preserve"> </w:t>
      </w:r>
      <w:r w:rsidRPr="00C9040A">
        <w:rPr>
          <w:rtl/>
          <w:lang w:bidi="fa-IR"/>
        </w:rPr>
        <w:t xml:space="preserve">، كَيْفَ يَكُونُ الْمُؤْمِنُ مُؤْمِناً وَهُوَ يَسْخَطُ قِسْمَهُ </w:t>
      </w:r>
      <w:r w:rsidR="006C577F" w:rsidRPr="006C577F">
        <w:rPr>
          <w:rStyle w:val="libFootnotenumChar"/>
          <w:rtl/>
        </w:rPr>
        <w:t>(7)</w:t>
      </w:r>
      <w:r w:rsidRPr="00C9040A">
        <w:rPr>
          <w:rtl/>
          <w:lang w:bidi="fa-IR"/>
        </w:rPr>
        <w:t xml:space="preserve"> ، وَيُحَقِّرُ مَنْزِلَتَهُ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w:t>
      </w:r>
      <w:r w:rsidR="008A74EB" w:rsidRPr="00993B55">
        <w:rPr>
          <w:rStyle w:val="libFootnoteBoldChar"/>
          <w:rtl/>
        </w:rPr>
        <w:t>الخصال</w:t>
      </w:r>
      <w:r w:rsidR="008A74EB" w:rsidRPr="00C9040A">
        <w:rPr>
          <w:rtl/>
        </w:rPr>
        <w:t xml:space="preserve"> ، ص 23 ، باب الواحد ، ح 80 ، بسند آخر عن أبي عبد الله </w:t>
      </w:r>
      <w:r w:rsidR="00117575" w:rsidRPr="00117575">
        <w:rPr>
          <w:rStyle w:val="libFootnoteAlaemChar"/>
          <w:rtl/>
        </w:rPr>
        <w:t>عليه‌السلام</w:t>
      </w:r>
      <w:r w:rsidR="008A74EB" w:rsidRPr="00C9040A">
        <w:rPr>
          <w:rtl/>
        </w:rPr>
        <w:t xml:space="preserve"> ، من قوله : « ومن رضي بالقضاء أتى عليه القضاء » مع اختلاف يسير</w:t>
      </w:r>
      <w:r w:rsidR="009A0E53">
        <w:rPr>
          <w:rFonts w:hint="cs"/>
          <w:rtl/>
        </w:rPr>
        <w:t>.</w:t>
      </w:r>
      <w:r w:rsidR="008A74EB" w:rsidRPr="00993B55">
        <w:rPr>
          <w:rStyle w:val="libFootnoteBoldChar"/>
          <w:rtl/>
        </w:rPr>
        <w:t>الوافي</w:t>
      </w:r>
      <w:r w:rsidR="008A74EB" w:rsidRPr="00C9040A">
        <w:rPr>
          <w:rtl/>
        </w:rPr>
        <w:t xml:space="preserve"> ، ج 4 ، ص 278 ، ح 1941 ؛ </w:t>
      </w:r>
      <w:r w:rsidR="008A74EB" w:rsidRPr="00993B55">
        <w:rPr>
          <w:rStyle w:val="libFootnoteBoldChar"/>
          <w:rtl/>
        </w:rPr>
        <w:t>الوسائل</w:t>
      </w:r>
      <w:r w:rsidR="008A74EB" w:rsidRPr="00C9040A">
        <w:rPr>
          <w:rtl/>
        </w:rPr>
        <w:t xml:space="preserve"> ، ج 3 ، ص 253 ، ح 3554 ؛ </w:t>
      </w:r>
      <w:r w:rsidR="008A74EB" w:rsidRPr="00993B55">
        <w:rPr>
          <w:rStyle w:val="libFootnoteBoldChar"/>
          <w:rtl/>
        </w:rPr>
        <w:t>البحار</w:t>
      </w:r>
      <w:r w:rsidR="008A74EB" w:rsidRPr="00C9040A">
        <w:rPr>
          <w:rtl/>
        </w:rPr>
        <w:t xml:space="preserve"> ، ج 72 ، ص 332 ، ح 16.</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هكذا في النسخ التي قوبلت والوافي والوسائل ، ح 3556 والبحار ، ج 72. وفي المطبوع والوسائل ، ح 20832 والبحار ، ج 73 : + « لي »</w:t>
      </w:r>
      <w:r w:rsidR="008A74EB">
        <w:rPr>
          <w:rtl/>
        </w:rPr>
        <w:t>.</w:t>
      </w:r>
    </w:p>
    <w:p w:rsidR="008A74EB" w:rsidRPr="004A4E41" w:rsidRDefault="006C577F" w:rsidP="004A4E41">
      <w:pPr>
        <w:pStyle w:val="libFootnote0"/>
        <w:rPr>
          <w:rStyle w:val="libFootnote0Char"/>
          <w:rtl/>
        </w:rPr>
      </w:pPr>
      <w:r>
        <w:rPr>
          <w:rtl/>
        </w:rPr>
        <w:t>(3).</w:t>
      </w:r>
      <w:r w:rsidR="008A74EB" w:rsidRPr="00C9040A">
        <w:rPr>
          <w:rtl/>
        </w:rPr>
        <w:t xml:space="preserve"> </w:t>
      </w:r>
      <w:r w:rsidR="008A74EB" w:rsidRPr="00993B55">
        <w:rPr>
          <w:rStyle w:val="libFootnoteBoldChar"/>
          <w:rtl/>
        </w:rPr>
        <w:t>الكافي</w:t>
      </w:r>
      <w:r w:rsidR="008A74EB" w:rsidRPr="00C9040A">
        <w:rPr>
          <w:rtl/>
        </w:rPr>
        <w:t xml:space="preserve"> ، كتاب الإيمان والكفر ، باب ذمّ الدنيا والزهد فيها ، ح 1896 ، عن عليّ بن إبراهيم ، عن أبيه وعليّ بن محمّد ، عن القاسم بن محمّد. وفي </w:t>
      </w:r>
      <w:r w:rsidR="008A74EB" w:rsidRPr="00993B55">
        <w:rPr>
          <w:rStyle w:val="libFootnoteBoldChar"/>
          <w:rtl/>
        </w:rPr>
        <w:t>الخصال</w:t>
      </w:r>
      <w:r w:rsidR="008A74EB" w:rsidRPr="00C9040A">
        <w:rPr>
          <w:rtl/>
        </w:rPr>
        <w:t xml:space="preserve"> ، ص 437 ، باب العشرة ، ح 26 ؛ و</w:t>
      </w:r>
      <w:r w:rsidR="008A74EB" w:rsidRPr="00993B55">
        <w:rPr>
          <w:rStyle w:val="libFootnoteBoldChar"/>
          <w:rtl/>
        </w:rPr>
        <w:t xml:space="preserve">معاني الأخبار </w:t>
      </w:r>
      <w:r w:rsidR="008A74EB" w:rsidRPr="00C9040A">
        <w:rPr>
          <w:rtl/>
        </w:rPr>
        <w:t xml:space="preserve">، ص 252 ، ح 4 ، بسندهما عن القاسم بن محمّد الإصبهاني ، وفي كلّها مع اختلاف يسير وزيادة في آخره. وراجع : </w:t>
      </w:r>
      <w:r w:rsidR="008A74EB" w:rsidRPr="00993B55">
        <w:rPr>
          <w:rStyle w:val="libFootnoteBoldChar"/>
          <w:rtl/>
        </w:rPr>
        <w:t>تفسير القمّي</w:t>
      </w:r>
      <w:r w:rsidR="008A74EB" w:rsidRPr="00C9040A">
        <w:rPr>
          <w:rtl/>
        </w:rPr>
        <w:t xml:space="preserve"> ، ج 2 ، ص 259</w:t>
      </w:r>
      <w:r w:rsidR="009A0E53">
        <w:rPr>
          <w:rFonts w:hint="cs"/>
          <w:rtl/>
        </w:rPr>
        <w:t>.</w:t>
      </w:r>
      <w:r w:rsidR="008A74EB" w:rsidRPr="00993B55">
        <w:rPr>
          <w:rStyle w:val="libFootnoteBoldChar"/>
          <w:rtl/>
        </w:rPr>
        <w:t>الوافي</w:t>
      </w:r>
      <w:r w:rsidR="008A74EB" w:rsidRPr="00C9040A">
        <w:rPr>
          <w:rtl/>
        </w:rPr>
        <w:t xml:space="preserve"> ، ج 4 ، ص 278 ، ح 1942 ؛ </w:t>
      </w:r>
      <w:r w:rsidR="008A74EB" w:rsidRPr="00993B55">
        <w:rPr>
          <w:rStyle w:val="libFootnoteBoldChar"/>
          <w:rtl/>
        </w:rPr>
        <w:t>الوسائل</w:t>
      </w:r>
      <w:r w:rsidR="008A74EB" w:rsidRPr="00C9040A">
        <w:rPr>
          <w:rtl/>
        </w:rPr>
        <w:t xml:space="preserve"> ، ج 3 ، ص 253 ، ح 3556 ؛ وج 16 ، ص 12 ، ح 20832 ؛ </w:t>
      </w:r>
      <w:r w:rsidR="008A74EB" w:rsidRPr="00993B55">
        <w:rPr>
          <w:rStyle w:val="libFootnoteBoldChar"/>
          <w:rtl/>
        </w:rPr>
        <w:t>البحار</w:t>
      </w:r>
      <w:r w:rsidR="008A74EB" w:rsidRPr="00C9040A">
        <w:rPr>
          <w:rtl/>
        </w:rPr>
        <w:t xml:space="preserve"> ، ج 73 ، ص 50 ، ح 22 ؛ وج 72 ، ص 334 ، ح 22.</w:t>
      </w:r>
    </w:p>
    <w:tbl>
      <w:tblPr>
        <w:tblStyle w:val="TableGrid"/>
        <w:bidiVisual/>
        <w:tblW w:w="0" w:type="auto"/>
        <w:tblLook w:val="04A0" w:firstRow="1" w:lastRow="0" w:firstColumn="1" w:lastColumn="0" w:noHBand="0" w:noVBand="1"/>
      </w:tblPr>
      <w:tblGrid>
        <w:gridCol w:w="4006"/>
        <w:gridCol w:w="4006"/>
      </w:tblGrid>
      <w:tr w:rsidR="009A0E53" w:rsidTr="009A0E53">
        <w:tc>
          <w:tcPr>
            <w:tcW w:w="4006" w:type="dxa"/>
          </w:tcPr>
          <w:p w:rsidR="009A0E53" w:rsidRDefault="009A0E53" w:rsidP="004A4E41">
            <w:pPr>
              <w:pStyle w:val="libFootnote0"/>
              <w:rPr>
                <w:rtl/>
              </w:rPr>
            </w:pPr>
            <w:r>
              <w:rPr>
                <w:rtl/>
              </w:rPr>
              <w:t>(4).</w:t>
            </w:r>
            <w:r w:rsidRPr="00C9040A">
              <w:rPr>
                <w:rtl/>
              </w:rPr>
              <w:t xml:space="preserve"> في « ز » : « الحسين »</w:t>
            </w:r>
            <w:r>
              <w:rPr>
                <w:rtl/>
              </w:rPr>
              <w:t>.</w:t>
            </w:r>
          </w:p>
        </w:tc>
        <w:tc>
          <w:tcPr>
            <w:tcW w:w="4006" w:type="dxa"/>
          </w:tcPr>
          <w:p w:rsidR="009A0E53" w:rsidRDefault="009A0E53" w:rsidP="004A4E41">
            <w:pPr>
              <w:pStyle w:val="libFootnote0"/>
              <w:rPr>
                <w:rtl/>
              </w:rPr>
            </w:pPr>
            <w:r>
              <w:rPr>
                <w:rtl/>
              </w:rPr>
              <w:t>(5).</w:t>
            </w:r>
            <w:r w:rsidRPr="00C9040A">
              <w:rPr>
                <w:rtl/>
              </w:rPr>
              <w:t xml:space="preserve"> في الوسائل : + « له »</w:t>
            </w:r>
            <w:r>
              <w:rPr>
                <w:rtl/>
              </w:rPr>
              <w:t>.</w:t>
            </w:r>
          </w:p>
        </w:tc>
      </w:tr>
    </w:tbl>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ض » : + « بن جعفر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ص ، ف » وحاشية « بر » : « قسمته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 القسم ، بالكسر وهو النصيب ، أو بالفتح مصدر قسمه كضربه ، أو بكسر القاف وفتح السين جمع قسمة بالكسر مصدراً أيضاً. وعلى الأوّل الضمير البارز راجع إلى المؤمن ، وعلى الأخيرين إمّا راجع إليه أيضاً بالإضافة إلى المفعول ، أو إلى الله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وَالْحَاكِمُ </w:t>
      </w:r>
      <w:r w:rsidR="006C577F" w:rsidRPr="006C577F">
        <w:rPr>
          <w:rStyle w:val="libFootnotenumChar"/>
          <w:rtl/>
        </w:rPr>
        <w:t>(1)</w:t>
      </w:r>
      <w:r w:rsidRPr="002712F0">
        <w:rPr>
          <w:rFonts w:hint="cs"/>
          <w:rtl/>
        </w:rPr>
        <w:t xml:space="preserve"> </w:t>
      </w:r>
      <w:r w:rsidRPr="00C9040A">
        <w:rPr>
          <w:rtl/>
          <w:lang w:bidi="fa-IR"/>
        </w:rPr>
        <w:t>عَلَيْهِ اللهُ</w:t>
      </w:r>
      <w:r>
        <w:rPr>
          <w:rtl/>
          <w:lang w:bidi="fa-IR"/>
        </w:rPr>
        <w:t>؟</w:t>
      </w:r>
      <w:r w:rsidRPr="00C9040A">
        <w:rPr>
          <w:rtl/>
          <w:lang w:bidi="fa-IR"/>
        </w:rPr>
        <w:t xml:space="preserve"> وَأَنَا الضَّامِنُ لِمَنْ لَمْ يَهْجُسْ </w:t>
      </w:r>
      <w:r w:rsidR="006C577F" w:rsidRPr="006C577F">
        <w:rPr>
          <w:rStyle w:val="libFootnotenumChar"/>
          <w:rtl/>
        </w:rPr>
        <w:t>(2)</w:t>
      </w:r>
      <w:r w:rsidR="00B47D33">
        <w:rPr>
          <w:rtl/>
          <w:lang w:bidi="fa-IR"/>
        </w:rPr>
        <w:t xml:space="preserve"> فِي قَلْبِهِ إِل</w:t>
      </w:r>
      <w:r w:rsidR="00B47D33">
        <w:rPr>
          <w:rFonts w:hint="cs"/>
          <w:rtl/>
          <w:lang w:bidi="fa-IR"/>
        </w:rPr>
        <w:t>َّ</w:t>
      </w:r>
      <w:r w:rsidR="00B47D33">
        <w:rPr>
          <w:rtl/>
          <w:lang w:bidi="fa-IR"/>
        </w:rPr>
        <w:t>ا</w:t>
      </w:r>
      <w:r w:rsidRPr="00C9040A">
        <w:rPr>
          <w:rtl/>
          <w:lang w:bidi="fa-IR"/>
        </w:rPr>
        <w:t xml:space="preserve"> الرِّضَا أَنْ يَدْعُوَ اللهَ ، فَيُسْتَجَابَ لَهُ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782A57">
        <w:rPr>
          <w:rtl/>
        </w:rPr>
        <w:t>1589</w:t>
      </w:r>
      <w:r w:rsidRPr="00261CB0">
        <w:rPr>
          <w:rStyle w:val="libBold2Char"/>
          <w:rtl/>
        </w:rPr>
        <w:t xml:space="preserve"> / 12.</w:t>
      </w:r>
      <w:r w:rsidRPr="00C9040A">
        <w:rPr>
          <w:rtl/>
          <w:lang w:bidi="fa-IR"/>
        </w:rPr>
        <w:t xml:space="preserve"> عَنْهُ </w:t>
      </w:r>
      <w:r w:rsidR="006C577F" w:rsidRPr="006C577F">
        <w:rPr>
          <w:rStyle w:val="libFootnotenumChar"/>
          <w:rtl/>
        </w:rPr>
        <w:t>(4)</w:t>
      </w:r>
      <w:r w:rsidRPr="00C9040A">
        <w:rPr>
          <w:rtl/>
          <w:lang w:bidi="fa-IR"/>
        </w:rPr>
        <w:t xml:space="preserve"> ، عَنْ أَبِيهِ ، عَنِ ابْنِ سِنَانٍ ، عَمَّنْ ذَكَرَهُ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قُلْتُ لَهُ </w:t>
      </w:r>
      <w:r w:rsidR="006C577F" w:rsidRPr="006C577F">
        <w:rPr>
          <w:rStyle w:val="libFootnotenumChar"/>
          <w:rtl/>
        </w:rPr>
        <w:t>(5)</w:t>
      </w:r>
      <w:r w:rsidRPr="00C9040A">
        <w:rPr>
          <w:rtl/>
          <w:lang w:bidi="fa-IR"/>
        </w:rPr>
        <w:t xml:space="preserve"> : بِأَيِّ شَيْ‌ءٍ يَعْلَمُ </w:t>
      </w:r>
      <w:r w:rsidR="006C577F" w:rsidRPr="006C577F">
        <w:rPr>
          <w:rStyle w:val="libFootnotenumChar"/>
          <w:rtl/>
        </w:rPr>
        <w:t>(6)</w:t>
      </w:r>
      <w:r w:rsidRPr="005B567D">
        <w:rPr>
          <w:rStyle w:val="libFootnotenumChar"/>
          <w:rtl/>
        </w:rPr>
        <w:t xml:space="preserve"> </w:t>
      </w:r>
      <w:r w:rsidRPr="00C9040A">
        <w:rPr>
          <w:rtl/>
          <w:lang w:bidi="fa-IR"/>
        </w:rPr>
        <w:t xml:space="preserve">الْمُؤْمِنُ بِأَنَّهُ </w:t>
      </w:r>
      <w:r w:rsidR="006C577F" w:rsidRPr="006C577F">
        <w:rPr>
          <w:rStyle w:val="libFootnotenumChar"/>
          <w:rtl/>
        </w:rPr>
        <w:t>(7)</w:t>
      </w:r>
      <w:r w:rsidRPr="00C9040A">
        <w:rPr>
          <w:rtl/>
          <w:lang w:bidi="fa-IR"/>
        </w:rPr>
        <w:t xml:space="preserve"> مُؤْمِنٌ</w:t>
      </w:r>
      <w:r>
        <w:rPr>
          <w:rtl/>
          <w:lang w:bidi="fa-IR"/>
        </w:rPr>
        <w:t>؟</w:t>
      </w:r>
    </w:p>
    <w:p w:rsidR="008A74EB" w:rsidRPr="00C9040A" w:rsidRDefault="008A74EB" w:rsidP="008A74EB">
      <w:pPr>
        <w:pStyle w:val="libNormal"/>
        <w:rPr>
          <w:rtl/>
          <w:lang w:bidi="fa-IR"/>
        </w:rPr>
      </w:pPr>
      <w:r w:rsidRPr="00C9040A">
        <w:rPr>
          <w:rtl/>
          <w:lang w:bidi="fa-IR"/>
        </w:rPr>
        <w:t xml:space="preserve">قَالَ : « بِالتَّسْلِيمِ لِلّهِ ، وَالرِّضَا فِيمَا </w:t>
      </w:r>
      <w:r w:rsidR="006C577F" w:rsidRPr="006C577F">
        <w:rPr>
          <w:rStyle w:val="libFootnotenumChar"/>
          <w:rtl/>
        </w:rPr>
        <w:t>(8)</w:t>
      </w:r>
      <w:r w:rsidRPr="00C9040A">
        <w:rPr>
          <w:rtl/>
          <w:lang w:bidi="fa-IR"/>
        </w:rPr>
        <w:t xml:space="preserve"> وَرَدَ عَلَيْهِ مِنْ سُرُورٍ أَوْ </w:t>
      </w:r>
      <w:r w:rsidR="006C577F" w:rsidRPr="006C577F">
        <w:rPr>
          <w:rStyle w:val="libFootnotenumChar"/>
          <w:rtl/>
        </w:rPr>
        <w:t>(9)</w:t>
      </w:r>
      <w:r w:rsidRPr="00C9040A">
        <w:rPr>
          <w:rtl/>
          <w:lang w:bidi="fa-IR"/>
        </w:rPr>
        <w:t xml:space="preserve"> سَخَطٍ »</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Normal"/>
        <w:rPr>
          <w:rtl/>
          <w:lang w:bidi="fa-IR"/>
        </w:rPr>
      </w:pPr>
      <w:r w:rsidRPr="00782A57">
        <w:rPr>
          <w:rtl/>
        </w:rPr>
        <w:t>1590</w:t>
      </w:r>
      <w:r w:rsidRPr="00261CB0">
        <w:rPr>
          <w:rStyle w:val="libBold2Char"/>
          <w:rtl/>
        </w:rPr>
        <w:t xml:space="preserve"> / 13.</w:t>
      </w:r>
      <w:r w:rsidRPr="00C9040A">
        <w:rPr>
          <w:rtl/>
          <w:lang w:bidi="fa-IR"/>
        </w:rPr>
        <w:t xml:space="preserve"> عَنْهُ ، عَنْ أَبِيهِ </w:t>
      </w:r>
      <w:r w:rsidR="006C577F" w:rsidRPr="006C577F">
        <w:rPr>
          <w:rStyle w:val="libFootnotenumChar"/>
          <w:rtl/>
        </w:rPr>
        <w:t>(11)</w:t>
      </w:r>
      <w:r w:rsidRPr="00C9040A">
        <w:rPr>
          <w:rtl/>
          <w:lang w:bidi="fa-IR"/>
        </w:rPr>
        <w:t xml:space="preserve"> ، عَنِ ابْنِ سِنَانٍ ، عَنِ الْحُسَيْنِ بْنِ الْمُخْتَارِ ، عَنْ عَبْدِ اللهِ بْنِ أَبِي يَعْفُورٍ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لَمْ يَكُنْ رَسُولُ اللهِ </w:t>
      </w:r>
      <w:r w:rsidR="004A4E41" w:rsidRPr="004A4E41">
        <w:rPr>
          <w:rStyle w:val="libAlaemChar"/>
          <w:rtl/>
        </w:rPr>
        <w:t>صلى‌الله‌عليه‌وآله</w:t>
      </w:r>
      <w:r w:rsidRPr="00C9040A">
        <w:rPr>
          <w:rtl/>
          <w:lang w:bidi="fa-IR"/>
        </w:rPr>
        <w:t xml:space="preserve"> يَقُولُ لِشَيْ‌ءٍ قَدْ مَضى : لَوْ كَانَ‌</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w:t>
      </w:r>
      <w:r w:rsidR="008A74EB" w:rsidRPr="00993B55">
        <w:rPr>
          <w:rStyle w:val="libFootnoteBoldChar"/>
          <w:rtl/>
        </w:rPr>
        <w:t>شرح المازندراني</w:t>
      </w:r>
      <w:r w:rsidR="008A74EB" w:rsidRPr="00C9040A">
        <w:rPr>
          <w:rtl/>
        </w:rPr>
        <w:t xml:space="preserve"> : « والحاكم</w:t>
      </w:r>
      <w:r w:rsidR="008A74EB">
        <w:rPr>
          <w:rtl/>
        </w:rPr>
        <w:t xml:space="preserve"> ..</w:t>
      </w:r>
      <w:r w:rsidR="008A74EB" w:rsidRPr="00C9040A">
        <w:rPr>
          <w:rtl/>
        </w:rPr>
        <w:t>. عطف على « منزلته » والله بدل عن الحاكم ، أي ويحقّر الحاكم عليه وهوالله ؛ لأنّ تحقير حكم الحاكم تحقير له » ، واستبعده المجلسي في مرآة العقول.</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يهجس في القلب ، أي ما يخطر به ويدور فيه من الأحاديث والأفكار. </w:t>
      </w:r>
      <w:r w:rsidR="008A74EB" w:rsidRPr="00993B55">
        <w:rPr>
          <w:rStyle w:val="libFootnoteBoldChar"/>
          <w:rtl/>
        </w:rPr>
        <w:t>النهاية</w:t>
      </w:r>
      <w:r w:rsidR="008A74EB" w:rsidRPr="00C9040A">
        <w:rPr>
          <w:rtl/>
        </w:rPr>
        <w:t xml:space="preserve"> ، ج 5 ، ص 247 ( هجس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w:t>
      </w:r>
      <w:r w:rsidR="008A74EB" w:rsidRPr="00993B55">
        <w:rPr>
          <w:rStyle w:val="libFootnoteBoldChar"/>
          <w:rtl/>
        </w:rPr>
        <w:t>الوافي</w:t>
      </w:r>
      <w:r w:rsidR="008A74EB" w:rsidRPr="00C9040A">
        <w:rPr>
          <w:rtl/>
        </w:rPr>
        <w:t xml:space="preserve"> ، ج 4 ، ص 278 ، ح 1943 ؛ </w:t>
      </w:r>
      <w:r w:rsidR="008A74EB" w:rsidRPr="00993B55">
        <w:rPr>
          <w:rStyle w:val="libFootnoteBoldChar"/>
          <w:rtl/>
        </w:rPr>
        <w:t>الوسائل</w:t>
      </w:r>
      <w:r w:rsidR="008A74EB" w:rsidRPr="00C9040A">
        <w:rPr>
          <w:rtl/>
        </w:rPr>
        <w:t xml:space="preserve"> ، ج 3 ، ص 251 ، ح 3549 ؛ </w:t>
      </w:r>
      <w:r w:rsidR="008A74EB" w:rsidRPr="00993B55">
        <w:rPr>
          <w:rStyle w:val="libFootnoteBoldChar"/>
          <w:rtl/>
        </w:rPr>
        <w:t>البحار</w:t>
      </w:r>
      <w:r w:rsidR="008A74EB" w:rsidRPr="00C9040A">
        <w:rPr>
          <w:rtl/>
        </w:rPr>
        <w:t xml:space="preserve"> ، ج 43 ، ص 351 ، ح 25 ؛ وج 72 ، ص 335 ، ح 23.</w:t>
      </w:r>
    </w:p>
    <w:p w:rsidR="008A74EB" w:rsidRPr="00C9040A" w:rsidRDefault="006C577F" w:rsidP="004A4E41">
      <w:pPr>
        <w:pStyle w:val="libFootnote0"/>
        <w:rPr>
          <w:rtl/>
          <w:lang w:bidi="fa-IR"/>
        </w:rPr>
      </w:pPr>
      <w:r>
        <w:rPr>
          <w:rtl/>
        </w:rPr>
        <w:t>(4).</w:t>
      </w:r>
      <w:r w:rsidR="008A74EB" w:rsidRPr="00C9040A">
        <w:rPr>
          <w:rtl/>
        </w:rPr>
        <w:t xml:space="preserve"> الضمير راجع إلى « أحمد بن محمّد بن خالد » المذكور في السند السابق ؛ فقد روى الخبر في </w:t>
      </w:r>
      <w:r w:rsidR="008A74EB" w:rsidRPr="00993B55">
        <w:rPr>
          <w:rStyle w:val="libFootnoteBoldChar"/>
          <w:rtl/>
        </w:rPr>
        <w:t>المحاسن</w:t>
      </w:r>
      <w:r w:rsidR="008A74EB" w:rsidRPr="00C9040A">
        <w:rPr>
          <w:rtl/>
        </w:rPr>
        <w:t xml:space="preserve"> ، ص 328 ، ح 85 ، عن أبيه ، عن محمّد بن سنان.</w:t>
      </w:r>
    </w:p>
    <w:p w:rsidR="008A74EB" w:rsidRPr="00C9040A" w:rsidRDefault="006C577F" w:rsidP="004A4E41">
      <w:pPr>
        <w:pStyle w:val="libFootnote0"/>
        <w:rPr>
          <w:rtl/>
          <w:lang w:bidi="fa-IR"/>
        </w:rPr>
      </w:pPr>
      <w:r>
        <w:rPr>
          <w:rtl/>
        </w:rPr>
        <w:t>(5).</w:t>
      </w:r>
      <w:r w:rsidR="008A74EB" w:rsidRPr="00C9040A">
        <w:rPr>
          <w:rtl/>
        </w:rPr>
        <w:t xml:space="preserve"> في المحاسن </w:t>
      </w:r>
      <w:r w:rsidR="008A74EB">
        <w:rPr>
          <w:rtl/>
        </w:rPr>
        <w:t xml:space="preserve">: </w:t>
      </w:r>
      <w:r w:rsidR="0084262C">
        <w:rPr>
          <w:rtl/>
        </w:rPr>
        <w:t>-</w:t>
      </w:r>
      <w:r w:rsidR="008A74EB" w:rsidRPr="00C9040A">
        <w:rPr>
          <w:rtl/>
        </w:rPr>
        <w:t xml:space="preserve"> « له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ج ، ص ، ف » وحاشية « د ، ز ، بس ، بف » والوسائل والمحاسن : « علم »</w:t>
      </w:r>
      <w:r w:rsidR="008A74EB">
        <w:rPr>
          <w:rtl/>
        </w:rPr>
        <w:t>.</w:t>
      </w:r>
      <w:r w:rsidR="008A74EB" w:rsidRPr="00C9040A">
        <w:rPr>
          <w:rtl/>
        </w:rPr>
        <w:t xml:space="preserve"> وفي « بر » : « أعلم »</w:t>
      </w:r>
      <w:r w:rsidR="008A74EB">
        <w:rPr>
          <w:rtl/>
        </w:rPr>
        <w:t>.</w:t>
      </w:r>
    </w:p>
    <w:p w:rsidR="008A74EB" w:rsidRPr="004A4E41" w:rsidRDefault="006C577F" w:rsidP="004A4E41">
      <w:pPr>
        <w:pStyle w:val="libFootnote0"/>
        <w:rPr>
          <w:rStyle w:val="libFootnote0Char"/>
          <w:rtl/>
        </w:rPr>
      </w:pPr>
      <w:r>
        <w:rPr>
          <w:rtl/>
        </w:rPr>
        <w:t>(7).</w:t>
      </w:r>
      <w:r w:rsidR="008A74EB" w:rsidRPr="00C9040A">
        <w:rPr>
          <w:rtl/>
        </w:rPr>
        <w:t xml:space="preserve"> في « ب ، ج ، د ، ص ، ض ، ف ، بف » والوسائل والمحاسن : « أنّه »</w:t>
      </w:r>
      <w:r w:rsidR="008A74EB">
        <w:rPr>
          <w:rtl/>
        </w:rPr>
        <w:t>.</w:t>
      </w:r>
    </w:p>
    <w:tbl>
      <w:tblPr>
        <w:tblStyle w:val="TableGrid"/>
        <w:bidiVisual/>
        <w:tblW w:w="0" w:type="auto"/>
        <w:tblLook w:val="04A0" w:firstRow="1" w:lastRow="0" w:firstColumn="1" w:lastColumn="0" w:noHBand="0" w:noVBand="1"/>
      </w:tblPr>
      <w:tblGrid>
        <w:gridCol w:w="4006"/>
        <w:gridCol w:w="4006"/>
      </w:tblGrid>
      <w:tr w:rsidR="00B47D33" w:rsidTr="00B47D33">
        <w:tc>
          <w:tcPr>
            <w:tcW w:w="4006" w:type="dxa"/>
          </w:tcPr>
          <w:p w:rsidR="00B47D33" w:rsidRDefault="00B47D33" w:rsidP="004A4E41">
            <w:pPr>
              <w:pStyle w:val="libFootnote0"/>
              <w:rPr>
                <w:rtl/>
              </w:rPr>
            </w:pPr>
            <w:r>
              <w:rPr>
                <w:rtl/>
              </w:rPr>
              <w:t>(8).</w:t>
            </w:r>
            <w:r w:rsidRPr="00C9040A">
              <w:rPr>
                <w:rtl/>
              </w:rPr>
              <w:t xml:space="preserve"> في المحاسن : « بما »</w:t>
            </w:r>
            <w:r>
              <w:rPr>
                <w:rtl/>
              </w:rPr>
              <w:t>.</w:t>
            </w:r>
          </w:p>
        </w:tc>
        <w:tc>
          <w:tcPr>
            <w:tcW w:w="4006" w:type="dxa"/>
          </w:tcPr>
          <w:p w:rsidR="00B47D33" w:rsidRDefault="00B47D33" w:rsidP="004A4E41">
            <w:pPr>
              <w:pStyle w:val="libFootnote0"/>
              <w:rPr>
                <w:rtl/>
              </w:rPr>
            </w:pPr>
            <w:r>
              <w:rPr>
                <w:rtl/>
              </w:rPr>
              <w:t>(9).</w:t>
            </w:r>
            <w:r w:rsidRPr="00C9040A">
              <w:rPr>
                <w:rtl/>
              </w:rPr>
              <w:t xml:space="preserve"> في المحاسن : « </w:t>
            </w:r>
            <w:r>
              <w:rPr>
                <w:rtl/>
              </w:rPr>
              <w:t>و ».</w:t>
            </w:r>
          </w:p>
        </w:tc>
      </w:tr>
    </w:tbl>
    <w:p w:rsidR="008A74EB" w:rsidRPr="00C9040A" w:rsidRDefault="006C577F" w:rsidP="004A4E41">
      <w:pPr>
        <w:pStyle w:val="libFootnote0"/>
        <w:rPr>
          <w:rtl/>
          <w:lang w:bidi="fa-IR"/>
        </w:rPr>
      </w:pPr>
      <w:r>
        <w:rPr>
          <w:rtl/>
        </w:rPr>
        <w:t>(10).</w:t>
      </w:r>
      <w:r w:rsidR="008A74EB" w:rsidRPr="00C9040A">
        <w:rPr>
          <w:rtl/>
        </w:rPr>
        <w:t xml:space="preserve"> </w:t>
      </w:r>
      <w:r w:rsidR="008A74EB" w:rsidRPr="00993B55">
        <w:rPr>
          <w:rStyle w:val="libFootnoteBoldChar"/>
          <w:rtl/>
        </w:rPr>
        <w:t>المحاسن</w:t>
      </w:r>
      <w:r w:rsidR="008A74EB" w:rsidRPr="00C9040A">
        <w:rPr>
          <w:rtl/>
        </w:rPr>
        <w:t xml:space="preserve"> ، ص 328 ، كتاب العلل ، ح 85 ، مع زيادة في أوّله. وفي </w:t>
      </w:r>
      <w:r w:rsidR="008A74EB" w:rsidRPr="00993B55">
        <w:rPr>
          <w:rStyle w:val="libFootnoteBoldChar"/>
          <w:rtl/>
        </w:rPr>
        <w:t>بصائر الدرجات</w:t>
      </w:r>
      <w:r w:rsidR="008A74EB" w:rsidRPr="00C9040A">
        <w:rPr>
          <w:rtl/>
        </w:rPr>
        <w:t xml:space="preserve"> ، ص 522 ، ح 15 ، بسند آخر ، مع زيادة في أوّله</w:t>
      </w:r>
      <w:r w:rsidR="002D01EF">
        <w:rPr>
          <w:rFonts w:hint="cs"/>
          <w:rtl/>
        </w:rPr>
        <w:t>.</w:t>
      </w:r>
      <w:r w:rsidR="008A74EB" w:rsidRPr="00993B55">
        <w:rPr>
          <w:rStyle w:val="libFootnoteBoldChar"/>
          <w:rtl/>
        </w:rPr>
        <w:t>الوافي</w:t>
      </w:r>
      <w:r w:rsidR="008A74EB" w:rsidRPr="00C9040A">
        <w:rPr>
          <w:rtl/>
        </w:rPr>
        <w:t xml:space="preserve"> ، ج 4 ، ص 279 ، ح 1944 ؛ </w:t>
      </w:r>
      <w:r w:rsidR="008A74EB" w:rsidRPr="00993B55">
        <w:rPr>
          <w:rStyle w:val="libFootnoteBoldChar"/>
          <w:rtl/>
        </w:rPr>
        <w:t>الوسائل</w:t>
      </w:r>
      <w:r w:rsidR="008A74EB" w:rsidRPr="00C9040A">
        <w:rPr>
          <w:rtl/>
        </w:rPr>
        <w:t xml:space="preserve"> ، ج 3 ، ص 252 ، ح 3550 ؛ </w:t>
      </w:r>
      <w:r w:rsidR="008A74EB" w:rsidRPr="00993B55">
        <w:rPr>
          <w:rStyle w:val="libFootnoteBoldChar"/>
          <w:rtl/>
        </w:rPr>
        <w:t>البحار</w:t>
      </w:r>
      <w:r w:rsidR="008A74EB" w:rsidRPr="00C9040A">
        <w:rPr>
          <w:rtl/>
        </w:rPr>
        <w:t xml:space="preserve"> ، ج 72 ، ص 336 ، ح 24.</w:t>
      </w:r>
    </w:p>
    <w:p w:rsidR="008A74EB" w:rsidRPr="00C9040A" w:rsidRDefault="006C577F" w:rsidP="004A4E41">
      <w:pPr>
        <w:pStyle w:val="libFootnote0"/>
        <w:rPr>
          <w:rtl/>
          <w:lang w:bidi="fa-IR"/>
        </w:rPr>
      </w:pPr>
      <w:r>
        <w:rPr>
          <w:rtl/>
        </w:rPr>
        <w:t>(11).</w:t>
      </w:r>
      <w:r w:rsidR="008A74EB" w:rsidRPr="00C9040A">
        <w:rPr>
          <w:rtl/>
        </w:rPr>
        <w:t xml:space="preserve"> في « ز ، ص ، ض ، بس ، بف » </w:t>
      </w:r>
      <w:r w:rsidR="008A74EB">
        <w:rPr>
          <w:rtl/>
        </w:rPr>
        <w:t xml:space="preserve">: </w:t>
      </w:r>
      <w:r w:rsidR="0084262C">
        <w:rPr>
          <w:rtl/>
        </w:rPr>
        <w:t>-</w:t>
      </w:r>
      <w:r w:rsidR="008A74EB" w:rsidRPr="00C9040A">
        <w:rPr>
          <w:rtl/>
        </w:rPr>
        <w:t xml:space="preserve"> « عن أبيه »</w:t>
      </w:r>
      <w:r w:rsidR="008A74EB">
        <w:rPr>
          <w:rtl/>
        </w:rPr>
        <w:t>.</w:t>
      </w:r>
      <w:r w:rsidR="008A74EB" w:rsidRPr="00C9040A">
        <w:rPr>
          <w:rtl/>
        </w:rPr>
        <w:t xml:space="preserve"> هذا ، وعلى فرض صحّة هذه النسخ ضمير « عنه » في صدر السندراجع إلى « أبيه »</w:t>
      </w:r>
      <w:r w:rsidR="008A74EB">
        <w:rPr>
          <w:rtl/>
        </w:rPr>
        <w:t xml:space="preserve"> </w:t>
      </w:r>
      <w:r w:rsidR="0084262C">
        <w:rPr>
          <w:rtl/>
        </w:rPr>
        <w:t>-</w:t>
      </w:r>
      <w:r w:rsidR="008A74EB">
        <w:rPr>
          <w:rtl/>
        </w:rPr>
        <w:t xml:space="preserve"> </w:t>
      </w:r>
      <w:r w:rsidR="008A74EB" w:rsidRPr="00C9040A">
        <w:rPr>
          <w:rtl/>
        </w:rPr>
        <w:t>والمراد منه محمّد بن خالد</w:t>
      </w:r>
      <w:r w:rsidR="008A74EB">
        <w:rPr>
          <w:rtl/>
        </w:rPr>
        <w:t xml:space="preserve"> </w:t>
      </w:r>
      <w:r w:rsidR="0084262C">
        <w:rPr>
          <w:rtl/>
        </w:rPr>
        <w:t>-</w:t>
      </w:r>
      <w:r w:rsidR="008A74EB">
        <w:rPr>
          <w:rtl/>
        </w:rPr>
        <w:t xml:space="preserve"> </w:t>
      </w:r>
      <w:r w:rsidR="008A74EB" w:rsidRPr="00C9040A">
        <w:rPr>
          <w:rtl/>
        </w:rPr>
        <w:t>في السند السابق ؛ فإنّا لم نجد سنداً روى فيه أحمد بن محمّد بن خالد ، عن محمّد بن سنان ،</w:t>
      </w:r>
      <w:r w:rsidR="008A74EB">
        <w:rPr>
          <w:rtl/>
        </w:rPr>
        <w:t xml:space="preserve"> </w:t>
      </w:r>
      <w:r w:rsidR="0084262C">
        <w:rPr>
          <w:rtl/>
        </w:rPr>
        <w:t>-</w:t>
      </w:r>
      <w:r w:rsidR="008A74EB">
        <w:rPr>
          <w:rtl/>
        </w:rPr>
        <w:t xml:space="preserve"> </w:t>
      </w:r>
      <w:r w:rsidR="008A74EB" w:rsidRPr="00C9040A">
        <w:rPr>
          <w:rtl/>
        </w:rPr>
        <w:t>وهو المراد من ابن سنان</w:t>
      </w:r>
      <w:r w:rsidR="008A74EB">
        <w:rPr>
          <w:rtl/>
        </w:rPr>
        <w:t xml:space="preserve"> </w:t>
      </w:r>
      <w:r w:rsidR="0084262C">
        <w:rPr>
          <w:rtl/>
        </w:rPr>
        <w:t>-</w:t>
      </w:r>
      <w:r w:rsidR="008A74EB">
        <w:rPr>
          <w:rtl/>
        </w:rPr>
        <w:t xml:space="preserve"> </w:t>
      </w:r>
      <w:r w:rsidR="008A74EB" w:rsidRPr="00C9040A">
        <w:rPr>
          <w:rtl/>
        </w:rPr>
        <w:t>عن الحسين بن المختار ، إل</w:t>
      </w:r>
      <w:r w:rsidR="002D01EF">
        <w:rPr>
          <w:rFonts w:hint="cs"/>
          <w:rtl/>
        </w:rPr>
        <w:t>ّ</w:t>
      </w:r>
      <w:r w:rsidR="008A74EB" w:rsidRPr="00C9040A">
        <w:rPr>
          <w:rtl/>
        </w:rPr>
        <w:t>ا</w:t>
      </w:r>
      <w:r w:rsidR="008A74EB">
        <w:rPr>
          <w:rFonts w:hint="cs"/>
          <w:rtl/>
        </w:rPr>
        <w:t xml:space="preserve"> </w:t>
      </w:r>
      <w:r w:rsidR="008A74EB" w:rsidRPr="00C9040A">
        <w:rPr>
          <w:rtl/>
        </w:rPr>
        <w:t xml:space="preserve">أن توسَّط والد أحمد بينه وبين ابن سنان. راجع : </w:t>
      </w:r>
      <w:r w:rsidR="008A74EB" w:rsidRPr="00993B55">
        <w:rPr>
          <w:rStyle w:val="libFootnoteBoldChar"/>
          <w:rtl/>
        </w:rPr>
        <w:t>المحاسن</w:t>
      </w:r>
      <w:r w:rsidR="008A74EB" w:rsidRPr="00C9040A">
        <w:rPr>
          <w:rtl/>
        </w:rPr>
        <w:t xml:space="preserve"> ، ص 249 ، ح 261 ؛ وص 255 ، ح 285 ؛ و</w:t>
      </w:r>
      <w:r w:rsidR="008A74EB" w:rsidRPr="00993B55">
        <w:rPr>
          <w:rStyle w:val="libFootnoteBoldChar"/>
          <w:rtl/>
        </w:rPr>
        <w:t>معاني الأخبار</w:t>
      </w:r>
      <w:r w:rsidR="008A74EB" w:rsidRPr="00C9040A">
        <w:rPr>
          <w:rtl/>
        </w:rPr>
        <w:t xml:space="preserve"> ، ص 255 ، ح 1.</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غَيْرُهُ »</w:t>
      </w:r>
      <w:r>
        <w:rPr>
          <w:rtl/>
          <w:lang w:bidi="fa-IR"/>
        </w:rPr>
        <w:t>.</w:t>
      </w:r>
      <w:r w:rsidRPr="00C9040A">
        <w:rPr>
          <w:rtl/>
          <w:lang w:bidi="fa-IR"/>
        </w:rPr>
        <w:t xml:space="preserve"> </w:t>
      </w:r>
      <w:r w:rsidR="006C577F" w:rsidRPr="006C577F">
        <w:rPr>
          <w:rStyle w:val="libFootnotenumChar"/>
          <w:rtl/>
        </w:rPr>
        <w:t>(1)</w:t>
      </w:r>
      <w:r w:rsidRPr="00C9040A">
        <w:rPr>
          <w:rtl/>
          <w:lang w:bidi="fa-IR"/>
        </w:rPr>
        <w:t>‌</w:t>
      </w:r>
    </w:p>
    <w:p w:rsidR="008A74EB" w:rsidRPr="00C9040A" w:rsidRDefault="008A74EB" w:rsidP="008A74EB">
      <w:pPr>
        <w:pStyle w:val="Heading2Center"/>
        <w:rPr>
          <w:rtl/>
          <w:lang w:bidi="fa-IR"/>
        </w:rPr>
      </w:pPr>
      <w:bookmarkStart w:id="106" w:name="_Toc343795623"/>
      <w:bookmarkStart w:id="107" w:name="_Toc459810747"/>
      <w:bookmarkStart w:id="108" w:name="_Toc35348653"/>
      <w:r w:rsidRPr="00C9040A">
        <w:rPr>
          <w:rtl/>
          <w:lang w:bidi="fa-IR"/>
        </w:rPr>
        <w:t>32</w:t>
      </w:r>
      <w:r>
        <w:rPr>
          <w:rtl/>
          <w:lang w:bidi="fa-IR"/>
        </w:rPr>
        <w:t xml:space="preserve"> </w:t>
      </w:r>
      <w:r w:rsidR="0084262C">
        <w:rPr>
          <w:rtl/>
          <w:lang w:bidi="fa-IR"/>
        </w:rPr>
        <w:t>-</w:t>
      </w:r>
      <w:r>
        <w:rPr>
          <w:rtl/>
          <w:lang w:bidi="fa-IR"/>
        </w:rPr>
        <w:t xml:space="preserve"> </w:t>
      </w:r>
      <w:r w:rsidRPr="00C9040A">
        <w:rPr>
          <w:rtl/>
          <w:lang w:bidi="fa-IR"/>
        </w:rPr>
        <w:t>بَابُ التَّفْوِيضِ إِلَى اللهِ وَالتَّوَكُّلِ عَلَيْهِ‌</w:t>
      </w:r>
      <w:bookmarkEnd w:id="106"/>
      <w:bookmarkEnd w:id="107"/>
      <w:bookmarkEnd w:id="108"/>
    </w:p>
    <w:p w:rsidR="008A74EB" w:rsidRPr="00C9040A" w:rsidRDefault="008A74EB" w:rsidP="008A74EB">
      <w:pPr>
        <w:pStyle w:val="libNormal"/>
        <w:rPr>
          <w:rtl/>
          <w:lang w:bidi="fa-IR"/>
        </w:rPr>
      </w:pPr>
      <w:r w:rsidRPr="00782A57">
        <w:rPr>
          <w:rtl/>
        </w:rPr>
        <w:t>1591</w:t>
      </w:r>
      <w:r w:rsidRPr="00261CB0">
        <w:rPr>
          <w:rStyle w:val="libBold2Char"/>
          <w:rtl/>
        </w:rPr>
        <w:t xml:space="preserve"> / 1.</w:t>
      </w:r>
      <w:r w:rsidRPr="00C9040A">
        <w:rPr>
          <w:rtl/>
          <w:lang w:bidi="fa-IR"/>
        </w:rPr>
        <w:t xml:space="preserve"> مُحَمَّدُ بْنُ يَحْيى ، عَنْ أَحْمَدَ بْنِ مُحَمَّدٍ ، عَنْ مُحَمَّدِ بْنِ سِنَانٍ ، عَنْ مُفَضَّلٍ :</w:t>
      </w:r>
    </w:p>
    <w:p w:rsidR="008A74EB" w:rsidRPr="00C9040A" w:rsidRDefault="008A74EB" w:rsidP="002D01EF">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أَوْحَى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إِلى دَاوُدَ </w:t>
      </w:r>
      <w:r w:rsidRPr="0003660B">
        <w:rPr>
          <w:rStyle w:val="libAlaemChar"/>
          <w:rtl/>
        </w:rPr>
        <w:t>عليه‌السلام</w:t>
      </w:r>
      <w:r w:rsidRPr="00C9040A">
        <w:rPr>
          <w:rtl/>
          <w:lang w:bidi="fa-IR"/>
        </w:rPr>
        <w:t xml:space="preserve"> : مَا اعْتَصَمَ بِي عَبْدٌ مِنْ عِبَادِي دُونَ أَحَدٍ مِنْ خَلْقِي عَرَفْتُ ذلِكَ </w:t>
      </w:r>
      <w:r w:rsidR="006C577F" w:rsidRPr="006C577F">
        <w:rPr>
          <w:rStyle w:val="libFootnotenumChar"/>
          <w:rtl/>
        </w:rPr>
        <w:t>(2)</w:t>
      </w:r>
      <w:r w:rsidRPr="00C9040A">
        <w:rPr>
          <w:rtl/>
          <w:lang w:bidi="fa-IR"/>
        </w:rPr>
        <w:t xml:space="preserve"> مِنْ نِيَّتِهِ ، ثُمَّ تَكِيدُهُ </w:t>
      </w:r>
      <w:r w:rsidR="006C577F" w:rsidRPr="006C577F">
        <w:rPr>
          <w:rStyle w:val="libFootnotenumChar"/>
          <w:rtl/>
        </w:rPr>
        <w:t>(3)</w:t>
      </w:r>
      <w:r w:rsidRPr="00C9040A">
        <w:rPr>
          <w:rtl/>
          <w:lang w:bidi="fa-IR"/>
        </w:rPr>
        <w:t xml:space="preserve"> السَّمَاوَاتُ وَالْأَرْضُ وَمَنْ </w:t>
      </w:r>
      <w:r w:rsidR="006C577F" w:rsidRPr="006C577F">
        <w:rPr>
          <w:rStyle w:val="libFootnotenumChar"/>
          <w:rtl/>
        </w:rPr>
        <w:t>(4)</w:t>
      </w:r>
      <w:r w:rsidR="002D01EF">
        <w:rPr>
          <w:rtl/>
          <w:lang w:bidi="fa-IR"/>
        </w:rPr>
        <w:t xml:space="preserve"> فِيهِنَّ ، إِل</w:t>
      </w:r>
      <w:r w:rsidR="002D01EF">
        <w:rPr>
          <w:rFonts w:hint="cs"/>
          <w:rtl/>
          <w:lang w:bidi="fa-IR"/>
        </w:rPr>
        <w:t>َّ</w:t>
      </w:r>
      <w:r w:rsidR="002D01EF">
        <w:rPr>
          <w:rtl/>
          <w:lang w:bidi="fa-IR"/>
        </w:rPr>
        <w:t>ا</w:t>
      </w:r>
      <w:r w:rsidRPr="00C9040A">
        <w:rPr>
          <w:rtl/>
          <w:lang w:bidi="fa-IR"/>
        </w:rPr>
        <w:t xml:space="preserve"> جَعَلْتُ لَهُ الْمَخْرَجَ مِنْ بَيْنِهِنَّ ؛ وَمَا اعْتَصَمَ عَبْدٌ مِنْ عِبَادِي </w:t>
      </w:r>
      <w:r w:rsidR="006C577F" w:rsidRPr="006C577F">
        <w:rPr>
          <w:rStyle w:val="libFootnotenumChar"/>
          <w:rtl/>
        </w:rPr>
        <w:t>(5)</w:t>
      </w:r>
      <w:r w:rsidRPr="00C9040A">
        <w:rPr>
          <w:rtl/>
          <w:lang w:bidi="fa-IR"/>
        </w:rPr>
        <w:t xml:space="preserve"> بِأَحَدٍ مِنْ خَلْقِي </w:t>
      </w:r>
      <w:r w:rsidR="006C577F" w:rsidRPr="006C577F">
        <w:rPr>
          <w:rStyle w:val="libFootnotenumChar"/>
          <w:rtl/>
        </w:rPr>
        <w:t>(6)</w:t>
      </w:r>
      <w:r w:rsidR="002D01EF" w:rsidRPr="00C9040A">
        <w:rPr>
          <w:rtl/>
          <w:lang w:bidi="fa-IR"/>
        </w:rPr>
        <w:t xml:space="preserve"> </w:t>
      </w:r>
      <w:r w:rsidRPr="00C9040A">
        <w:rPr>
          <w:rtl/>
          <w:lang w:bidi="fa-IR"/>
        </w:rPr>
        <w:t xml:space="preserve">عَرَفْتُ ذلِكَ </w:t>
      </w:r>
      <w:r w:rsidR="006C577F" w:rsidRPr="006C577F">
        <w:rPr>
          <w:rStyle w:val="libFootnotenumChar"/>
          <w:rtl/>
        </w:rPr>
        <w:t>(7)</w:t>
      </w:r>
      <w:r w:rsidR="00127D06">
        <w:rPr>
          <w:rtl/>
          <w:lang w:bidi="fa-IR"/>
        </w:rPr>
        <w:t xml:space="preserve"> مِنْ نِيَّتِهِ ، إِل</w:t>
      </w:r>
      <w:r w:rsidR="00127D06">
        <w:rPr>
          <w:rFonts w:hint="cs"/>
          <w:rtl/>
          <w:lang w:bidi="fa-IR"/>
        </w:rPr>
        <w:t>َّ</w:t>
      </w:r>
      <w:r w:rsidR="00127D06">
        <w:rPr>
          <w:rtl/>
          <w:lang w:bidi="fa-IR"/>
        </w:rPr>
        <w:t>ا</w:t>
      </w:r>
      <w:r w:rsidRPr="00C9040A">
        <w:rPr>
          <w:rtl/>
          <w:lang w:bidi="fa-IR"/>
        </w:rPr>
        <w:t xml:space="preserve"> قَطَعْتُ </w:t>
      </w:r>
      <w:r w:rsidR="006C577F" w:rsidRPr="006C577F">
        <w:rPr>
          <w:rStyle w:val="libFootnotenumChar"/>
          <w:rtl/>
        </w:rPr>
        <w:t>(8)</w:t>
      </w:r>
      <w:r w:rsidRPr="00C9040A">
        <w:rPr>
          <w:rtl/>
          <w:lang w:bidi="fa-IR"/>
        </w:rPr>
        <w:t xml:space="preserve"> أَسْبَابَ السَّمَاوَاتِ </w:t>
      </w:r>
      <w:r w:rsidR="006C577F" w:rsidRPr="006C577F">
        <w:rPr>
          <w:rStyle w:val="libFootnotenumChar"/>
          <w:rtl/>
        </w:rPr>
        <w:t>(9)</w:t>
      </w:r>
      <w:r w:rsidRPr="00C9040A">
        <w:rPr>
          <w:rtl/>
          <w:lang w:bidi="fa-IR"/>
        </w:rPr>
        <w:t xml:space="preserve"> مِنْ يَدَيْهِ ، وَأَسَخْتُ </w:t>
      </w:r>
      <w:r w:rsidR="006C577F" w:rsidRPr="006C577F">
        <w:rPr>
          <w:rStyle w:val="libFootnotenumChar"/>
          <w:rtl/>
        </w:rPr>
        <w:t>(10)</w:t>
      </w:r>
      <w:r w:rsidRPr="00C9040A">
        <w:rPr>
          <w:rtl/>
          <w:lang w:bidi="fa-IR"/>
        </w:rPr>
        <w:t xml:space="preserve"> الْأَرْضَ مِنْ تَحْتِهِ ، وَلَمْ أُبَالِ بِأَيِّ وَادٍ هَلَكَ </w:t>
      </w:r>
      <w:r w:rsidR="006C577F" w:rsidRPr="006C577F">
        <w:rPr>
          <w:rStyle w:val="libFootnotenumChar"/>
          <w:rtl/>
        </w:rPr>
        <w:t>(11)</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(12)</w:t>
      </w:r>
      <w:r w:rsidRPr="00C9040A">
        <w:rPr>
          <w:rtl/>
          <w:lang w:bidi="fa-IR"/>
        </w:rPr>
        <w:t xml:space="preserve"> ‌</w:t>
      </w:r>
    </w:p>
    <w:p w:rsidR="008A74EB" w:rsidRPr="00C9040A" w:rsidRDefault="008A74EB" w:rsidP="008A74EB">
      <w:pPr>
        <w:pStyle w:val="libNormal"/>
        <w:rPr>
          <w:rtl/>
          <w:lang w:bidi="fa-IR"/>
        </w:rPr>
      </w:pPr>
      <w:r w:rsidRPr="00782A57">
        <w:rPr>
          <w:rtl/>
        </w:rPr>
        <w:t>1592</w:t>
      </w:r>
      <w:r w:rsidRPr="00261CB0">
        <w:rPr>
          <w:rStyle w:val="libBold2Char"/>
          <w:rtl/>
        </w:rPr>
        <w:t xml:space="preserve"> / 2.</w:t>
      </w:r>
      <w:r w:rsidRPr="00C9040A">
        <w:rPr>
          <w:rtl/>
          <w:lang w:bidi="fa-IR"/>
        </w:rPr>
        <w:t xml:space="preserve"> أَبُو عَلِيٍّ الْأَشْعَرِيُّ ، عَنْ مُحَمَّدِ بْنِ عَبْدِ الْجَبَّارِ ، عَنِ ابْنِ مَحْبُوبٍ ، عَنْ أَبِي‌</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w:t>
      </w:r>
      <w:r w:rsidR="008A74EB" w:rsidRPr="00993B55">
        <w:rPr>
          <w:rStyle w:val="libFootnoteBoldChar"/>
          <w:rtl/>
        </w:rPr>
        <w:t>فقه الرضا</w:t>
      </w:r>
      <w:r w:rsidR="008A74EB" w:rsidRPr="00C9040A">
        <w:rPr>
          <w:rtl/>
        </w:rPr>
        <w:t xml:space="preserve"> </w:t>
      </w:r>
      <w:r w:rsidR="00117575" w:rsidRPr="00117575">
        <w:rPr>
          <w:rStyle w:val="libFootnoteAlaemChar"/>
          <w:rtl/>
        </w:rPr>
        <w:t>عليه‌السلام</w:t>
      </w:r>
      <w:r w:rsidR="008A74EB" w:rsidRPr="00C9040A">
        <w:rPr>
          <w:rtl/>
        </w:rPr>
        <w:t xml:space="preserve"> ، ص 359 ، وفيه : « ولا تقل لشي‌ء قد مضى : لو كان غيره »</w:t>
      </w:r>
      <w:r w:rsidR="00127D06">
        <w:rPr>
          <w:rFonts w:hint="cs"/>
          <w:rtl/>
        </w:rPr>
        <w:t>.</w:t>
      </w:r>
      <w:r w:rsidR="008A74EB" w:rsidRPr="00993B55">
        <w:rPr>
          <w:rStyle w:val="libFootnoteBoldChar"/>
          <w:rtl/>
        </w:rPr>
        <w:t>الوافي</w:t>
      </w:r>
      <w:r w:rsidR="008A74EB" w:rsidRPr="00C9040A">
        <w:rPr>
          <w:rtl/>
        </w:rPr>
        <w:t xml:space="preserve"> ، ج 4 ، ص 279 ، ح 1945 ؛ </w:t>
      </w:r>
      <w:r w:rsidR="008A74EB" w:rsidRPr="00993B55">
        <w:rPr>
          <w:rStyle w:val="libFootnoteBoldChar"/>
          <w:rtl/>
        </w:rPr>
        <w:t>الوسائل</w:t>
      </w:r>
      <w:r w:rsidR="008A74EB" w:rsidRPr="00C9040A">
        <w:rPr>
          <w:rtl/>
        </w:rPr>
        <w:t xml:space="preserve"> ، ج 3 ، ص 252 ، ح 3551.</w:t>
      </w:r>
      <w:r w:rsidR="00127D06">
        <w:rPr>
          <w:rFonts w:hint="cs"/>
          <w:rtl/>
        </w:rPr>
        <w:t xml:space="preserve">  </w:t>
      </w:r>
      <w:r w:rsidR="00D450B4">
        <w:rPr>
          <w:rFonts w:hint="cs"/>
          <w:rtl/>
        </w:rPr>
        <w:t xml:space="preserve">  </w:t>
      </w:r>
      <w:r w:rsidR="00127D06">
        <w:rPr>
          <w:rFonts w:hint="cs"/>
          <w:rtl/>
        </w:rPr>
        <w:t xml:space="preserve"> </w:t>
      </w:r>
      <w:r>
        <w:rPr>
          <w:rtl/>
        </w:rPr>
        <w:t>(2).</w:t>
      </w:r>
      <w:r w:rsidR="008A74EB">
        <w:rPr>
          <w:rtl/>
        </w:rPr>
        <w:t xml:space="preserve"> </w:t>
      </w:r>
      <w:r w:rsidR="008A74EB" w:rsidRPr="00C9040A">
        <w:rPr>
          <w:rtl/>
        </w:rPr>
        <w:t>في « ف » : + « منه »</w:t>
      </w:r>
      <w:r w:rsidR="008A74EB">
        <w:rPr>
          <w:rtl/>
        </w:rPr>
        <w:t>.</w:t>
      </w:r>
    </w:p>
    <w:p w:rsidR="008A74EB" w:rsidRPr="004A4E41" w:rsidRDefault="006C577F" w:rsidP="004A4E41">
      <w:pPr>
        <w:pStyle w:val="libFootnote0"/>
        <w:rPr>
          <w:rStyle w:val="libFootnote0Char"/>
          <w:rtl/>
        </w:rPr>
      </w:pPr>
      <w:r>
        <w:rPr>
          <w:rtl/>
        </w:rPr>
        <w:t>(3).</w:t>
      </w:r>
      <w:r w:rsidR="008A74EB" w:rsidRPr="00C9040A">
        <w:rPr>
          <w:rtl/>
        </w:rPr>
        <w:t xml:space="preserve"> في الوسائل : « يكيده »</w:t>
      </w:r>
      <w:r w:rsidR="008A74EB">
        <w:rPr>
          <w:rtl/>
        </w:rPr>
        <w:t>.</w:t>
      </w:r>
      <w:r w:rsidR="008A74EB" w:rsidRPr="00C9040A">
        <w:rPr>
          <w:rtl/>
        </w:rPr>
        <w:t xml:space="preserve"> وفي فقه الرضا : « يكيده أهل »</w:t>
      </w:r>
      <w:r w:rsidR="008A74EB">
        <w:rPr>
          <w:rtl/>
        </w:rPr>
        <w:t>.</w:t>
      </w:r>
    </w:p>
    <w:tbl>
      <w:tblPr>
        <w:tblStyle w:val="TableGrid"/>
        <w:bidiVisual/>
        <w:tblW w:w="0" w:type="auto"/>
        <w:tblLook w:val="04A0" w:firstRow="1" w:lastRow="0" w:firstColumn="1" w:lastColumn="0" w:noHBand="0" w:noVBand="1"/>
      </w:tblPr>
      <w:tblGrid>
        <w:gridCol w:w="4006"/>
        <w:gridCol w:w="4006"/>
      </w:tblGrid>
      <w:tr w:rsidR="00C64A46" w:rsidTr="00C64A46">
        <w:tc>
          <w:tcPr>
            <w:tcW w:w="4006" w:type="dxa"/>
          </w:tcPr>
          <w:p w:rsidR="00C64A46" w:rsidRDefault="00C64A46" w:rsidP="004A4E41">
            <w:pPr>
              <w:pStyle w:val="libFootnote0"/>
              <w:rPr>
                <w:rtl/>
              </w:rPr>
            </w:pPr>
            <w:r>
              <w:rPr>
                <w:rtl/>
              </w:rPr>
              <w:t>(4).</w:t>
            </w:r>
            <w:r w:rsidRPr="00C9040A">
              <w:rPr>
                <w:rtl/>
              </w:rPr>
              <w:t xml:space="preserve"> في فقه الرضا : « وما »</w:t>
            </w:r>
            <w:r>
              <w:rPr>
                <w:rtl/>
              </w:rPr>
              <w:t>.</w:t>
            </w:r>
          </w:p>
        </w:tc>
        <w:tc>
          <w:tcPr>
            <w:tcW w:w="4006" w:type="dxa"/>
          </w:tcPr>
          <w:p w:rsidR="00C64A46" w:rsidRDefault="00C64A46" w:rsidP="004A4E41">
            <w:pPr>
              <w:pStyle w:val="libFootnote0"/>
              <w:rPr>
                <w:rtl/>
              </w:rPr>
            </w:pPr>
            <w:r>
              <w:rPr>
                <w:rtl/>
              </w:rPr>
              <w:t>(5).</w:t>
            </w:r>
            <w:r w:rsidRPr="00C9040A">
              <w:rPr>
                <w:rtl/>
              </w:rPr>
              <w:t xml:space="preserve"> في حاشية « ص » : « المؤمنين »</w:t>
            </w:r>
            <w:r>
              <w:rPr>
                <w:rtl/>
              </w:rPr>
              <w:t>.</w:t>
            </w:r>
          </w:p>
        </w:tc>
      </w:tr>
      <w:tr w:rsidR="00C64A46" w:rsidTr="00C64A46">
        <w:tc>
          <w:tcPr>
            <w:tcW w:w="4006" w:type="dxa"/>
          </w:tcPr>
          <w:p w:rsidR="00C64A46" w:rsidRDefault="005E4320" w:rsidP="004A4E41">
            <w:pPr>
              <w:pStyle w:val="libFootnote0"/>
              <w:rPr>
                <w:rtl/>
              </w:rPr>
            </w:pPr>
            <w:r>
              <w:rPr>
                <w:rtl/>
              </w:rPr>
              <w:t xml:space="preserve">(6). </w:t>
            </w:r>
            <w:r w:rsidRPr="00C9040A">
              <w:rPr>
                <w:rtl/>
              </w:rPr>
              <w:t>في فقه الرضا : + « دوني »</w:t>
            </w:r>
            <w:r>
              <w:rPr>
                <w:rtl/>
              </w:rPr>
              <w:t>.</w:t>
            </w:r>
          </w:p>
        </w:tc>
        <w:tc>
          <w:tcPr>
            <w:tcW w:w="4006" w:type="dxa"/>
          </w:tcPr>
          <w:p w:rsidR="00C64A46" w:rsidRDefault="005E4320" w:rsidP="004A4E41">
            <w:pPr>
              <w:pStyle w:val="libFootnote0"/>
              <w:rPr>
                <w:rtl/>
              </w:rPr>
            </w:pPr>
            <w:r>
              <w:rPr>
                <w:rtl/>
              </w:rPr>
              <w:t>(7).</w:t>
            </w:r>
            <w:r w:rsidRPr="00C9040A">
              <w:rPr>
                <w:rtl/>
              </w:rPr>
              <w:t xml:space="preserve"> في « ف » : + « منه »</w:t>
            </w:r>
            <w:r>
              <w:rPr>
                <w:rtl/>
              </w:rPr>
              <w:t>.</w:t>
            </w:r>
          </w:p>
        </w:tc>
      </w:tr>
    </w:tbl>
    <w:p w:rsidR="008A74EB" w:rsidRPr="00C9040A" w:rsidRDefault="006C577F" w:rsidP="004A4E41">
      <w:pPr>
        <w:pStyle w:val="libFootnote0"/>
        <w:rPr>
          <w:rtl/>
          <w:lang w:bidi="fa-IR"/>
        </w:rPr>
      </w:pPr>
      <w:r>
        <w:rPr>
          <w:rtl/>
        </w:rPr>
        <w:t>(8).</w:t>
      </w:r>
      <w:r w:rsidR="008A74EB" w:rsidRPr="00C9040A">
        <w:rPr>
          <w:rtl/>
        </w:rPr>
        <w:t xml:space="preserve"> في « ج » : « فقطعت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هكذا في « ب ، ج ، د ، ز ، ص ، ض ، بر ، بس ، بف »</w:t>
      </w:r>
      <w:r w:rsidR="008A74EB">
        <w:rPr>
          <w:rtl/>
        </w:rPr>
        <w:t>.</w:t>
      </w:r>
      <w:r w:rsidR="008A74EB" w:rsidRPr="00C9040A">
        <w:rPr>
          <w:rtl/>
        </w:rPr>
        <w:t xml:space="preserve"> وفي « ف » والمطبوع : + « والأرض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ساخت بهم الأرض : خسفت. ويعدّى بالهمزة ، فيقال : أساخه الله. </w:t>
      </w:r>
      <w:r w:rsidR="008A74EB" w:rsidRPr="00993B55">
        <w:rPr>
          <w:rStyle w:val="libFootnoteBoldChar"/>
          <w:rtl/>
        </w:rPr>
        <w:t>المصباح المنير</w:t>
      </w:r>
      <w:r w:rsidR="008A74EB" w:rsidRPr="00C9040A">
        <w:rPr>
          <w:rtl/>
        </w:rPr>
        <w:t xml:space="preserve"> ، ص 294 ( سوخ )</w:t>
      </w:r>
      <w:r w:rsidR="008A74EB">
        <w:rPr>
          <w:rtl/>
        </w:rPr>
        <w:t>.</w:t>
      </w:r>
      <w:r w:rsidR="008A74EB" w:rsidRPr="00C9040A">
        <w:rPr>
          <w:rtl/>
        </w:rPr>
        <w:t xml:space="preserve"> وقال في </w:t>
      </w:r>
      <w:r w:rsidR="008A74EB" w:rsidRPr="00993B55">
        <w:rPr>
          <w:rStyle w:val="libFootnoteBoldChar"/>
          <w:rtl/>
        </w:rPr>
        <w:t>مرآة العقول</w:t>
      </w:r>
      <w:r w:rsidR="008A74EB" w:rsidRPr="00C9040A">
        <w:rPr>
          <w:rtl/>
        </w:rPr>
        <w:t xml:space="preserve"> ، ج 8 ، ص 16 : « وأسختّ ، بالخاء المعجمة وتشديد التاء ، من السَخْت وهو الشديد. وهو من اللغات المشتركة بين العرب والعجم. أي لا ينبت له زرع ولا يخرج له خير من الأرض. أو من السوخ ، وهو الانخساف ، على بناء الإفعال ، أي خسفت الأرض به. وربّما يقرأ بالحاء المهملة من السياحة ، كناية عن الزلزلة »</w:t>
      </w:r>
      <w:r w:rsidR="008A74EB">
        <w:rPr>
          <w:rtl/>
        </w:rPr>
        <w:t>.</w:t>
      </w:r>
      <w:r w:rsidR="008A74EB" w:rsidRPr="00C9040A">
        <w:rPr>
          <w:rtl/>
        </w:rPr>
        <w:t xml:space="preserve"> والوجه الأوّل هو الظاهر من </w:t>
      </w:r>
      <w:r w:rsidR="008A74EB" w:rsidRPr="00993B55">
        <w:rPr>
          <w:rStyle w:val="libFootnoteBoldChar"/>
          <w:rtl/>
        </w:rPr>
        <w:t>شرح المازندراني</w:t>
      </w:r>
      <w:r w:rsidR="008A74EB" w:rsidRPr="00C9040A">
        <w:rPr>
          <w:rtl/>
        </w:rPr>
        <w:t xml:space="preserve"> ، ج 8 ، ص 198.</w:t>
      </w:r>
    </w:p>
    <w:p w:rsidR="008A74EB" w:rsidRPr="00C9040A" w:rsidRDefault="006C577F" w:rsidP="004A4E41">
      <w:pPr>
        <w:pStyle w:val="libFootnote0"/>
        <w:rPr>
          <w:rtl/>
          <w:lang w:bidi="fa-IR"/>
        </w:rPr>
      </w:pPr>
      <w:r>
        <w:rPr>
          <w:rtl/>
        </w:rPr>
        <w:t>(11).</w:t>
      </w:r>
      <w:r w:rsidR="008A74EB" w:rsidRPr="00C9040A">
        <w:rPr>
          <w:rtl/>
        </w:rPr>
        <w:t xml:space="preserve"> في « ج ، د ، ز ، ض ، بس » والبحار ، ج 14 : « تهالك »</w:t>
      </w:r>
      <w:r w:rsidR="008A74EB">
        <w:rPr>
          <w:rtl/>
        </w:rPr>
        <w:t>.</w:t>
      </w:r>
      <w:r w:rsidR="008A74EB" w:rsidRPr="00C9040A">
        <w:rPr>
          <w:rtl/>
        </w:rPr>
        <w:t xml:space="preserve"> وفي الوسائل : « يهلك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w:t>
      </w:r>
      <w:r w:rsidR="008A74EB" w:rsidRPr="00993B55">
        <w:rPr>
          <w:rStyle w:val="libFootnoteBoldChar"/>
          <w:rtl/>
        </w:rPr>
        <w:t>فقه الرضا</w:t>
      </w:r>
      <w:r w:rsidR="008A74EB" w:rsidRPr="00C9040A">
        <w:rPr>
          <w:rtl/>
        </w:rPr>
        <w:t xml:space="preserve"> </w:t>
      </w:r>
      <w:r w:rsidR="00117575" w:rsidRPr="00117575">
        <w:rPr>
          <w:rStyle w:val="libFootnoteAlaemChar"/>
          <w:rtl/>
        </w:rPr>
        <w:t xml:space="preserve">عليه‌السلام </w:t>
      </w:r>
      <w:r w:rsidR="008A74EB" w:rsidRPr="00C9040A">
        <w:rPr>
          <w:rtl/>
        </w:rPr>
        <w:t xml:space="preserve"> ، ص 358 ، مع اختلاف يسير</w:t>
      </w:r>
      <w:r w:rsidR="003B6A3E">
        <w:rPr>
          <w:rFonts w:hint="cs"/>
          <w:rtl/>
        </w:rPr>
        <w:t>.</w:t>
      </w:r>
      <w:r w:rsidR="008A74EB" w:rsidRPr="00993B55">
        <w:rPr>
          <w:rStyle w:val="libFootnoteBoldChar"/>
          <w:rtl/>
        </w:rPr>
        <w:t>الوافي</w:t>
      </w:r>
      <w:r w:rsidR="008A74EB" w:rsidRPr="00C9040A">
        <w:rPr>
          <w:rtl/>
        </w:rPr>
        <w:t xml:space="preserve"> ، ج 4 ، ص 281 ، ح 1946 ؛ </w:t>
      </w:r>
      <w:r w:rsidR="008A74EB" w:rsidRPr="00993B55">
        <w:rPr>
          <w:rStyle w:val="libFootnoteBoldChar"/>
          <w:rtl/>
        </w:rPr>
        <w:t>الوسائل</w:t>
      </w:r>
      <w:r w:rsidR="008A74EB" w:rsidRPr="00C9040A">
        <w:rPr>
          <w:rtl/>
        </w:rPr>
        <w:t xml:space="preserve"> ، ج 15 ، ص 211 ، ح 20304 ؛ </w:t>
      </w:r>
      <w:r w:rsidR="008A74EB" w:rsidRPr="00993B55">
        <w:rPr>
          <w:rStyle w:val="libFootnoteBoldChar"/>
          <w:rtl/>
        </w:rPr>
        <w:t>البحار</w:t>
      </w:r>
      <w:r w:rsidR="008A74EB" w:rsidRPr="00C9040A">
        <w:rPr>
          <w:rtl/>
        </w:rPr>
        <w:t xml:space="preserve"> ، ج 14 ، ص 41 ، ح 29 ؛ وج 71 ، ص 125 ، ح 2.</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حَفْصٍ </w:t>
      </w:r>
      <w:r w:rsidR="006C577F" w:rsidRPr="006C577F">
        <w:rPr>
          <w:rStyle w:val="libFootnotenumChar"/>
          <w:rtl/>
        </w:rPr>
        <w:t>(1)</w:t>
      </w:r>
      <w:r w:rsidRPr="00853746">
        <w:rPr>
          <w:rFonts w:hint="cs"/>
          <w:rtl/>
        </w:rPr>
        <w:t xml:space="preserve"> </w:t>
      </w:r>
      <w:r w:rsidRPr="00C9040A">
        <w:rPr>
          <w:rtl/>
          <w:lang w:bidi="fa-IR"/>
        </w:rPr>
        <w:t xml:space="preserve">الْأَعْشى ، عَنْ عَمْرِو </w:t>
      </w:r>
      <w:r w:rsidR="006C577F" w:rsidRPr="006C577F">
        <w:rPr>
          <w:rStyle w:val="libFootnotenumChar"/>
          <w:rtl/>
        </w:rPr>
        <w:t>(2)</w:t>
      </w:r>
      <w:r w:rsidRPr="00C9040A">
        <w:rPr>
          <w:rtl/>
          <w:lang w:bidi="fa-IR"/>
        </w:rPr>
        <w:t xml:space="preserve"> بْنِ خَالِدٍ ، عَنْ أَبِي حَمْزَةَ الثُّمَالِيِّ :</w:t>
      </w:r>
    </w:p>
    <w:p w:rsidR="008A74EB" w:rsidRPr="00C9040A" w:rsidRDefault="008A74EB" w:rsidP="00812268">
      <w:pPr>
        <w:pStyle w:val="libNormal"/>
        <w:rPr>
          <w:rtl/>
          <w:lang w:bidi="fa-IR"/>
        </w:rPr>
      </w:pPr>
      <w:r w:rsidRPr="00C9040A">
        <w:rPr>
          <w:rtl/>
          <w:lang w:bidi="fa-IR"/>
        </w:rPr>
        <w:t xml:space="preserve">عَنْ عَلِيِّ بْنِ الْحُسَيْنِ صَلَوَاتُ اللهِ عَلَيْهِمَا ، قَالَ : « خَرَجْتُ حَتَّى انْتَهَيْتُ إِلى هذَا الْحَائِطِ ، فَاتَّكَأْتُ </w:t>
      </w:r>
      <w:r w:rsidR="006C577F" w:rsidRPr="006C577F">
        <w:rPr>
          <w:rStyle w:val="libFootnotenumChar"/>
          <w:rtl/>
        </w:rPr>
        <w:t>(3)</w:t>
      </w:r>
      <w:r w:rsidRPr="00C9040A">
        <w:rPr>
          <w:rtl/>
          <w:lang w:bidi="fa-IR"/>
        </w:rPr>
        <w:t xml:space="preserve"> عَلَيْهِ ، فَإِذَا رَجُلٌ </w:t>
      </w:r>
      <w:r w:rsidR="006C577F" w:rsidRPr="006C577F">
        <w:rPr>
          <w:rStyle w:val="libFootnotenumChar"/>
          <w:rtl/>
        </w:rPr>
        <w:t>(4)</w:t>
      </w:r>
      <w:r w:rsidRPr="00C9040A">
        <w:rPr>
          <w:rtl/>
          <w:lang w:bidi="fa-IR"/>
        </w:rPr>
        <w:t xml:space="preserve"> عَلَيْهِ ثَوْبَانِ أَبْيَضَانِ ، يَنْظُرُ فِي تُجَاهِ وَجْهِي ، ثُمَّ قَالَ </w:t>
      </w:r>
      <w:r w:rsidR="006C577F" w:rsidRPr="006C577F">
        <w:rPr>
          <w:rStyle w:val="libFootnotenumChar"/>
          <w:rtl/>
        </w:rPr>
        <w:t>(5)</w:t>
      </w:r>
      <w:r w:rsidRPr="00C9040A">
        <w:rPr>
          <w:rtl/>
          <w:lang w:bidi="fa-IR"/>
        </w:rPr>
        <w:t xml:space="preserve"> : يَا عَلِيَّ بْنَ الْحُسَيْنِ ، مَا لِي أَرَاكَ كَئِيباً حَزِيناً </w:t>
      </w:r>
      <w:r w:rsidR="006C577F" w:rsidRPr="006C577F">
        <w:rPr>
          <w:rStyle w:val="libFootnotenumChar"/>
          <w:rtl/>
        </w:rPr>
        <w:t>(6)</w:t>
      </w:r>
      <w:r w:rsidR="00812268" w:rsidRPr="00812268">
        <w:rPr>
          <w:rtl/>
          <w:lang w:bidi="fa-IR"/>
        </w:rPr>
        <w:t xml:space="preserve"> </w:t>
      </w:r>
      <w:r w:rsidR="00812268">
        <w:rPr>
          <w:rtl/>
          <w:lang w:bidi="fa-IR"/>
        </w:rPr>
        <w:t>؟</w:t>
      </w:r>
      <w:r>
        <w:rPr>
          <w:rtl/>
          <w:lang w:bidi="fa-IR"/>
        </w:rPr>
        <w:t xml:space="preserve"> أَ</w:t>
      </w:r>
      <w:r w:rsidRPr="00C9040A">
        <w:rPr>
          <w:rtl/>
          <w:lang w:bidi="fa-IR"/>
        </w:rPr>
        <w:t xml:space="preserve">عَلَى الدُّنْيَا </w:t>
      </w:r>
      <w:r w:rsidR="006C577F" w:rsidRPr="006C577F">
        <w:rPr>
          <w:rStyle w:val="libFootnotenumChar"/>
          <w:rtl/>
        </w:rPr>
        <w:t>(7)</w:t>
      </w:r>
      <w:r>
        <w:rPr>
          <w:rtl/>
          <w:lang w:bidi="fa-IR"/>
        </w:rPr>
        <w:t>؟</w:t>
      </w:r>
      <w:r w:rsidRPr="00C9040A">
        <w:rPr>
          <w:rtl/>
          <w:lang w:bidi="fa-IR"/>
        </w:rPr>
        <w:t xml:space="preserve"> فَرِزْقُ اللهِ حَاضِرٌ لِلْبَرِّ </w:t>
      </w:r>
      <w:r w:rsidR="006C577F" w:rsidRPr="006C577F">
        <w:rPr>
          <w:rStyle w:val="libFootnotenumChar"/>
          <w:rtl/>
        </w:rPr>
        <w:t>(8)</w:t>
      </w:r>
      <w:r w:rsidRPr="00C9040A">
        <w:rPr>
          <w:rtl/>
          <w:lang w:bidi="fa-IR"/>
        </w:rPr>
        <w:t xml:space="preserve"> وَالْفَاجِرِ. قُلْتُ : مَا عَلى هذَا أَحْزَنُ ، وَإِنَّهُ لَكَمَا تَقُولُ. قَالَ </w:t>
      </w:r>
      <w:r w:rsidR="006C577F" w:rsidRPr="006C577F">
        <w:rPr>
          <w:rStyle w:val="libFootnotenumChar"/>
          <w:rtl/>
        </w:rPr>
        <w:t>(9)</w:t>
      </w:r>
      <w:r w:rsidRPr="00C9040A">
        <w:rPr>
          <w:rtl/>
          <w:lang w:bidi="fa-IR"/>
        </w:rPr>
        <w:t xml:space="preserve"> : فَعَلَى الْآخِرَةِ</w:t>
      </w:r>
      <w:r>
        <w:rPr>
          <w:rtl/>
          <w:lang w:bidi="fa-IR"/>
        </w:rPr>
        <w:t>؟</w:t>
      </w:r>
      <w:r w:rsidRPr="00C9040A">
        <w:rPr>
          <w:rtl/>
          <w:lang w:bidi="fa-IR"/>
        </w:rPr>
        <w:t xml:space="preserve"> فَوَعْدٌ صَادِقٌ يَحْكُمُ فِيهِ مَلِكٌ قَاهِرٌ</w:t>
      </w:r>
      <w:r>
        <w:rPr>
          <w:rtl/>
          <w:lang w:bidi="fa-IR"/>
        </w:rPr>
        <w:t xml:space="preserve"> </w:t>
      </w:r>
      <w:r w:rsidR="0084262C">
        <w:rPr>
          <w:rtl/>
          <w:lang w:bidi="fa-IR"/>
        </w:rPr>
        <w:t>-</w:t>
      </w:r>
      <w:r>
        <w:rPr>
          <w:rtl/>
          <w:lang w:bidi="fa-IR"/>
        </w:rPr>
        <w:t xml:space="preserve"> </w:t>
      </w:r>
      <w:r w:rsidRPr="00C9040A">
        <w:rPr>
          <w:rtl/>
          <w:lang w:bidi="fa-IR"/>
        </w:rPr>
        <w:t xml:space="preserve">أَوْ قَالَ : قَادِرٌ </w:t>
      </w:r>
      <w:r w:rsidR="006C577F" w:rsidRPr="006C577F">
        <w:rPr>
          <w:rStyle w:val="libFootnotenumChar"/>
          <w:rtl/>
        </w:rPr>
        <w:t>(10)</w:t>
      </w:r>
      <w:r>
        <w:rPr>
          <w:rtl/>
          <w:lang w:bidi="fa-IR"/>
        </w:rPr>
        <w:t xml:space="preserve"> </w:t>
      </w:r>
      <w:r w:rsidR="0084262C">
        <w:rPr>
          <w:rtl/>
          <w:lang w:bidi="fa-IR"/>
        </w:rPr>
        <w:t>-</w:t>
      </w:r>
      <w:r>
        <w:rPr>
          <w:rtl/>
          <w:lang w:bidi="fa-IR"/>
        </w:rPr>
        <w:t xml:space="preserve"> </w:t>
      </w:r>
      <w:r w:rsidRPr="00C9040A">
        <w:rPr>
          <w:rtl/>
          <w:lang w:bidi="fa-IR"/>
        </w:rPr>
        <w:t xml:space="preserve">قُلْتُ : مَا عَلى هذَا أَحْزَنُ ، وَإِنَّهُ لَكَمَا تَقُولُ. فَقَالَ </w:t>
      </w:r>
      <w:r w:rsidR="006C577F" w:rsidRPr="006C577F">
        <w:rPr>
          <w:rStyle w:val="libFootnotenumChar"/>
          <w:rtl/>
        </w:rPr>
        <w:t>(11)</w:t>
      </w:r>
      <w:r w:rsidRPr="00C9040A">
        <w:rPr>
          <w:rtl/>
          <w:lang w:bidi="fa-IR"/>
        </w:rPr>
        <w:t xml:space="preserve"> : مِمَّ </w:t>
      </w:r>
      <w:r w:rsidR="006C577F" w:rsidRPr="006C577F">
        <w:rPr>
          <w:rStyle w:val="libFootnotenumChar"/>
          <w:rtl/>
        </w:rPr>
        <w:t>(12)</w:t>
      </w:r>
      <w:r w:rsidRPr="00C9040A">
        <w:rPr>
          <w:rtl/>
          <w:lang w:bidi="fa-IR"/>
        </w:rPr>
        <w:t xml:space="preserve"> حُزْنُكَ</w:t>
      </w:r>
      <w:r>
        <w:rPr>
          <w:rtl/>
          <w:lang w:bidi="fa-IR"/>
        </w:rPr>
        <w:t>؟</w:t>
      </w:r>
      <w:r w:rsidRPr="00C9040A">
        <w:rPr>
          <w:rtl/>
          <w:lang w:bidi="fa-IR"/>
        </w:rPr>
        <w:t xml:space="preserve"> قُلْتُ </w:t>
      </w:r>
      <w:r w:rsidRPr="005B567D">
        <w:rPr>
          <w:rStyle w:val="libFootnotenumChar"/>
          <w:rtl/>
        </w:rPr>
        <w:t>(13)</w:t>
      </w:r>
      <w:r w:rsidRPr="00C9040A">
        <w:rPr>
          <w:rtl/>
          <w:lang w:bidi="fa-IR"/>
        </w:rPr>
        <w:t xml:space="preserve"> : مِمَّا </w:t>
      </w:r>
      <w:r w:rsidRPr="005B567D">
        <w:rPr>
          <w:rStyle w:val="libFootnotenumChar"/>
          <w:rtl/>
        </w:rPr>
        <w:t>(14)</w:t>
      </w:r>
      <w:r w:rsidR="00EA1952">
        <w:rPr>
          <w:rFonts w:hint="cs"/>
          <w:rtl/>
          <w:lang w:bidi="fa-IR"/>
        </w:rPr>
        <w:t>..................................................</w:t>
      </w:r>
      <w:r w:rsidR="00EA1952">
        <w:rPr>
          <w:rFonts w:hint="cs"/>
          <w:rtl/>
          <w:lang w:bidi="fa-IR"/>
        </w:rPr>
        <w:tab/>
      </w:r>
      <w:r w:rsidRPr="00C9040A">
        <w:rPr>
          <w:rtl/>
          <w:lang w:bidi="fa-IR"/>
        </w:rPr>
        <w:t>‌</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 ض ، بر » : « حفض »</w:t>
      </w:r>
      <w:r w:rsidR="008A74EB">
        <w:rPr>
          <w:rtl/>
        </w:rPr>
        <w:t>.</w:t>
      </w:r>
      <w:r w:rsidR="008A74EB" w:rsidRPr="00C9040A">
        <w:rPr>
          <w:rtl/>
        </w:rPr>
        <w:t xml:space="preserve"> وهو سهو ؛ فقد ورد الخبر في </w:t>
      </w:r>
      <w:r w:rsidR="008A74EB" w:rsidRPr="00993B55">
        <w:rPr>
          <w:rStyle w:val="libFootnoteBoldChar"/>
          <w:rtl/>
        </w:rPr>
        <w:t>التوحيد</w:t>
      </w:r>
      <w:r w:rsidR="008A74EB" w:rsidRPr="00C9040A">
        <w:rPr>
          <w:rtl/>
        </w:rPr>
        <w:t xml:space="preserve"> للصدوق ، ص 373 ، ح 1 ، بسنده عن أبي حفص الأعشى ، عن أبي حمزة ؛ وورد في </w:t>
      </w:r>
      <w:r w:rsidR="008A74EB" w:rsidRPr="00993B55">
        <w:rPr>
          <w:rStyle w:val="libFootnoteBoldChar"/>
          <w:rtl/>
        </w:rPr>
        <w:t>الإرشاد</w:t>
      </w:r>
      <w:r w:rsidR="008A74EB" w:rsidRPr="00C9040A">
        <w:rPr>
          <w:rtl/>
        </w:rPr>
        <w:t xml:space="preserve"> للمفيد ، ج 2 ، ص 148 ، بسنده عن أبي جعفر الأعشى ، عن أبي حمزة الثمالي. والمذكور في </w:t>
      </w:r>
      <w:r w:rsidR="008A74EB" w:rsidRPr="00993B55">
        <w:rPr>
          <w:rStyle w:val="libFootnoteBoldChar"/>
          <w:rtl/>
        </w:rPr>
        <w:t>البحار</w:t>
      </w:r>
      <w:r w:rsidR="008A74EB" w:rsidRPr="00C9040A">
        <w:rPr>
          <w:rtl/>
        </w:rPr>
        <w:t xml:space="preserve"> ، ج 71 ، ص 148 ، ح 43</w:t>
      </w:r>
      <w:r w:rsidR="008A74EB">
        <w:rPr>
          <w:rtl/>
        </w:rPr>
        <w:t xml:space="preserve"> </w:t>
      </w:r>
      <w:r w:rsidR="0084262C">
        <w:rPr>
          <w:rtl/>
        </w:rPr>
        <w:t>-</w:t>
      </w:r>
      <w:r w:rsidR="008A74EB">
        <w:rPr>
          <w:rtl/>
        </w:rPr>
        <w:t xml:space="preserve"> </w:t>
      </w:r>
      <w:r w:rsidR="008A74EB" w:rsidRPr="00C9040A">
        <w:rPr>
          <w:rtl/>
        </w:rPr>
        <w:t xml:space="preserve">نقلاً من </w:t>
      </w:r>
      <w:r w:rsidR="008A74EB" w:rsidRPr="00993B55">
        <w:rPr>
          <w:rStyle w:val="libFootnoteBoldChar"/>
          <w:rtl/>
        </w:rPr>
        <w:t>الإرشاد</w:t>
      </w:r>
      <w:r w:rsidR="008A74EB">
        <w:rPr>
          <w:rtl/>
        </w:rPr>
        <w:t xml:space="preserve"> </w:t>
      </w:r>
      <w:r w:rsidR="0084262C">
        <w:rPr>
          <w:rtl/>
        </w:rPr>
        <w:t>-</w:t>
      </w:r>
      <w:r w:rsidR="008A74EB">
        <w:rPr>
          <w:rtl/>
        </w:rPr>
        <w:t xml:space="preserve"> </w:t>
      </w:r>
      <w:r w:rsidR="008A74EB" w:rsidRPr="00C9040A">
        <w:rPr>
          <w:rtl/>
        </w:rPr>
        <w:t xml:space="preserve">أبي حفص الأعشى ؛ وورد الخبر في </w:t>
      </w:r>
      <w:r w:rsidR="008A74EB" w:rsidRPr="0034021D">
        <w:rPr>
          <w:rStyle w:val="libFootnoteBoldChar"/>
          <w:rtl/>
        </w:rPr>
        <w:t>الأمالي للمفيد</w:t>
      </w:r>
      <w:r w:rsidR="008A74EB" w:rsidRPr="00C9040A">
        <w:rPr>
          <w:rtl/>
        </w:rPr>
        <w:t xml:space="preserve"> ، ص 204 ، المجلس 23 ، ح 34 ، بسنده عن أبي حفص الأعشى ومحمّد بن سنان ، عن رجل من بني أسد ، جميعاً عن أبي حمزة الثمالي. ولا يخفى ما في سند </w:t>
      </w:r>
      <w:r w:rsidR="008A74EB" w:rsidRPr="00993B55">
        <w:rPr>
          <w:rStyle w:val="libFootnoteBoldChar"/>
          <w:rtl/>
        </w:rPr>
        <w:t>الأمالي</w:t>
      </w:r>
      <w:r w:rsidR="008A74EB" w:rsidRPr="00C9040A">
        <w:rPr>
          <w:rtl/>
        </w:rPr>
        <w:t xml:space="preserve"> من التحويل ، ورواية أبي حفص الأعشى ، عن أبي حمزة الثمالي في الطريق الأوّل.</w:t>
      </w:r>
    </w:p>
    <w:p w:rsidR="008A74EB" w:rsidRPr="00C9040A" w:rsidRDefault="008A74EB" w:rsidP="004A4E41">
      <w:pPr>
        <w:pStyle w:val="libFootnote0"/>
        <w:rPr>
          <w:rtl/>
          <w:lang w:bidi="fa-IR"/>
        </w:rPr>
      </w:pPr>
      <w:r w:rsidRPr="00323A39">
        <w:rPr>
          <w:rtl/>
        </w:rPr>
        <w:t xml:space="preserve">هذا. وأبو حفص الأعشى هو عمرو بن خالد ، ترجم له في </w:t>
      </w:r>
      <w:r w:rsidRPr="00993B55">
        <w:rPr>
          <w:rStyle w:val="libFootnoteBoldChar"/>
          <w:rtl/>
        </w:rPr>
        <w:t>تهذيب الكمال</w:t>
      </w:r>
      <w:r w:rsidRPr="00323A39">
        <w:rPr>
          <w:rtl/>
        </w:rPr>
        <w:t xml:space="preserve"> ، ج 21 ، ص 607 ، الرقم 4358 ، وعدّ من مشايخه أبا حمزة الثمالي. ا</w:t>
      </w:r>
      <w:r w:rsidR="003C7F55">
        <w:rPr>
          <w:rFonts w:hint="cs"/>
          <w:rtl/>
        </w:rPr>
        <w:t>ُ</w:t>
      </w:r>
      <w:r w:rsidRPr="00323A39">
        <w:rPr>
          <w:rtl/>
        </w:rPr>
        <w:t xml:space="preserve">نظر أيضاً : </w:t>
      </w:r>
      <w:r w:rsidRPr="0034021D">
        <w:rPr>
          <w:rStyle w:val="libFootnoteBoldChar"/>
          <w:rtl/>
        </w:rPr>
        <w:t>الفهرست للطوسي</w:t>
      </w:r>
      <w:r w:rsidRPr="00323A39">
        <w:rPr>
          <w:rtl/>
        </w:rPr>
        <w:t xml:space="preserve"> ، ص 318 ، ح 491 ؛ و</w:t>
      </w:r>
      <w:r w:rsidRPr="00993B55">
        <w:rPr>
          <w:rStyle w:val="libFootnoteBoldChar"/>
          <w:rtl/>
        </w:rPr>
        <w:t>رجال الطوسي</w:t>
      </w:r>
      <w:r w:rsidRPr="00323A39">
        <w:rPr>
          <w:rtl/>
        </w:rPr>
        <w:t xml:space="preserve"> ، ص 250 ، الرقم 3459.</w:t>
      </w:r>
    </w:p>
    <w:p w:rsidR="008A74EB" w:rsidRPr="00C9040A" w:rsidRDefault="008A74EB" w:rsidP="004A4E41">
      <w:pPr>
        <w:pStyle w:val="libFootnote0"/>
        <w:rPr>
          <w:rtl/>
          <w:lang w:bidi="fa-IR"/>
        </w:rPr>
      </w:pPr>
      <w:r w:rsidRPr="0082575F">
        <w:rPr>
          <w:rtl/>
        </w:rPr>
        <w:t>فعليه ، الظاهر وقوع التحريف في السند. والصواب أبي حفص الأعشى عمرو بن خالد.</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د ، ز ، ص ، بف » والوسائل والبحار : « عمر »</w:t>
      </w:r>
      <w:r w:rsidR="008A74EB">
        <w:rPr>
          <w:rtl/>
        </w:rPr>
        <w:t>.</w:t>
      </w:r>
      <w:r w:rsidR="008A74EB" w:rsidRPr="00C9040A">
        <w:rPr>
          <w:rtl/>
        </w:rPr>
        <w:t xml:space="preserve"> وهو سهوٌ ، كما ظهر ممّا تقدّم آنفاً.</w:t>
      </w:r>
    </w:p>
    <w:p w:rsidR="008A74EB" w:rsidRPr="00C9040A" w:rsidRDefault="006C577F" w:rsidP="004A4E41">
      <w:pPr>
        <w:pStyle w:val="libFootnote0"/>
        <w:rPr>
          <w:rtl/>
          <w:lang w:bidi="fa-IR"/>
        </w:rPr>
      </w:pPr>
      <w:r>
        <w:rPr>
          <w:rtl/>
        </w:rPr>
        <w:t>(3).</w:t>
      </w:r>
      <w:r w:rsidR="008A74EB" w:rsidRPr="00C9040A">
        <w:rPr>
          <w:rtl/>
        </w:rPr>
        <w:t xml:space="preserve"> في « ض » : « فاتّكلت »</w:t>
      </w:r>
      <w:r w:rsidR="008A74EB">
        <w:rPr>
          <w:rtl/>
        </w:rPr>
        <w:t>.</w:t>
      </w:r>
      <w:r w:rsidR="008A74EB" w:rsidRPr="00C9040A">
        <w:rPr>
          <w:rtl/>
        </w:rPr>
        <w:t xml:space="preserve"> وفي « ف » والتوحيد : « فاتّكيت » بقلب الهمزة ياءً.</w:t>
      </w:r>
    </w:p>
    <w:p w:rsidR="008A74EB" w:rsidRPr="00C9040A" w:rsidRDefault="006C577F" w:rsidP="004A4E41">
      <w:pPr>
        <w:pStyle w:val="libFootnote0"/>
        <w:rPr>
          <w:rtl/>
          <w:lang w:bidi="fa-IR"/>
        </w:rPr>
      </w:pPr>
      <w:r>
        <w:rPr>
          <w:rtl/>
        </w:rPr>
        <w:t>(4).</w:t>
      </w:r>
      <w:r w:rsidR="008A74EB" w:rsidRPr="00C9040A">
        <w:rPr>
          <w:rtl/>
        </w:rPr>
        <w:t xml:space="preserve"> في </w:t>
      </w:r>
      <w:r w:rsidR="008A74EB" w:rsidRPr="00993B55">
        <w:rPr>
          <w:rStyle w:val="libFootnoteBoldChar"/>
          <w:rtl/>
        </w:rPr>
        <w:t>الوافي</w:t>
      </w:r>
      <w:r w:rsidR="008A74EB" w:rsidRPr="00C9040A">
        <w:rPr>
          <w:rtl/>
        </w:rPr>
        <w:t xml:space="preserve"> : « لعلّ الرجل كان هو الخضر على نبيّنا وآله </w:t>
      </w:r>
      <w:r w:rsidR="008A74EB">
        <w:rPr>
          <w:rFonts w:hint="cs"/>
          <w:rtl/>
        </w:rPr>
        <w:t>وعليه السلام</w:t>
      </w:r>
      <w:r w:rsidR="008A74EB" w:rsidRPr="00C9040A">
        <w:rPr>
          <w:rtl/>
        </w:rPr>
        <w:t xml:space="preserve"> »</w:t>
      </w:r>
      <w:r w:rsidR="008A74EB">
        <w:rPr>
          <w:rtl/>
        </w:rPr>
        <w:t>.</w:t>
      </w:r>
    </w:p>
    <w:p w:rsidR="008A74EB" w:rsidRPr="004A4E41" w:rsidRDefault="006C577F" w:rsidP="004A4E41">
      <w:pPr>
        <w:pStyle w:val="libFootnote0"/>
        <w:rPr>
          <w:rStyle w:val="libFootnote0Char"/>
          <w:rtl/>
        </w:rPr>
      </w:pPr>
      <w:r>
        <w:rPr>
          <w:rtl/>
        </w:rPr>
        <w:t>(5).</w:t>
      </w:r>
      <w:r w:rsidR="008A74EB" w:rsidRPr="00C9040A">
        <w:rPr>
          <w:rtl/>
        </w:rPr>
        <w:t xml:space="preserve"> في « ب » وحاشية « ز ، بس » والتوحيد : + « لي »</w:t>
      </w:r>
      <w:r w:rsidR="008A74EB">
        <w:rPr>
          <w:rtl/>
        </w:rPr>
        <w:t>.</w:t>
      </w:r>
    </w:p>
    <w:tbl>
      <w:tblPr>
        <w:tblStyle w:val="TableGrid"/>
        <w:bidiVisual/>
        <w:tblW w:w="0" w:type="auto"/>
        <w:tblLook w:val="04A0" w:firstRow="1" w:lastRow="0" w:firstColumn="1" w:lastColumn="0" w:noHBand="0" w:noVBand="1"/>
      </w:tblPr>
      <w:tblGrid>
        <w:gridCol w:w="4006"/>
        <w:gridCol w:w="4006"/>
      </w:tblGrid>
      <w:tr w:rsidR="003C7F55" w:rsidTr="003C7F55">
        <w:tc>
          <w:tcPr>
            <w:tcW w:w="4006" w:type="dxa"/>
          </w:tcPr>
          <w:p w:rsidR="003C7F55" w:rsidRDefault="003C7F55" w:rsidP="004A4E41">
            <w:pPr>
              <w:pStyle w:val="libFootnote0"/>
              <w:rPr>
                <w:rtl/>
              </w:rPr>
            </w:pPr>
            <w:r>
              <w:rPr>
                <w:rtl/>
              </w:rPr>
              <w:t xml:space="preserve">(6). </w:t>
            </w:r>
            <w:r w:rsidRPr="00C9040A">
              <w:rPr>
                <w:rtl/>
              </w:rPr>
              <w:t>في « بس » : « حزيناً كئيباً »</w:t>
            </w:r>
            <w:r>
              <w:rPr>
                <w:rtl/>
              </w:rPr>
              <w:t>.</w:t>
            </w:r>
          </w:p>
        </w:tc>
        <w:tc>
          <w:tcPr>
            <w:tcW w:w="4006" w:type="dxa"/>
          </w:tcPr>
          <w:p w:rsidR="003C7F55" w:rsidRDefault="003C7F55" w:rsidP="004A4E41">
            <w:pPr>
              <w:pStyle w:val="libFootnote0"/>
              <w:rPr>
                <w:rtl/>
              </w:rPr>
            </w:pPr>
            <w:r>
              <w:rPr>
                <w:rtl/>
              </w:rPr>
              <w:t>(7).</w:t>
            </w:r>
            <w:r w:rsidRPr="00C9040A">
              <w:rPr>
                <w:rtl/>
              </w:rPr>
              <w:t xml:space="preserve"> في التوحيد والإرشاد : + « حزنك »</w:t>
            </w:r>
            <w:r>
              <w:rPr>
                <w:rtl/>
              </w:rPr>
              <w:t>.</w:t>
            </w:r>
          </w:p>
        </w:tc>
      </w:tr>
      <w:tr w:rsidR="003C7F55" w:rsidTr="003C7F55">
        <w:tc>
          <w:tcPr>
            <w:tcW w:w="4006" w:type="dxa"/>
          </w:tcPr>
          <w:p w:rsidR="003C7F55" w:rsidRDefault="00160E32" w:rsidP="004A4E41">
            <w:pPr>
              <w:pStyle w:val="libFootnote0"/>
              <w:rPr>
                <w:rtl/>
              </w:rPr>
            </w:pPr>
            <w:r>
              <w:rPr>
                <w:rtl/>
              </w:rPr>
              <w:t>(8).</w:t>
            </w:r>
            <w:r w:rsidRPr="00C9040A">
              <w:rPr>
                <w:rtl/>
              </w:rPr>
              <w:t xml:space="preserve"> في حاشية « ف » : « للبارّ »</w:t>
            </w:r>
            <w:r>
              <w:rPr>
                <w:rtl/>
              </w:rPr>
              <w:t>.</w:t>
            </w:r>
          </w:p>
        </w:tc>
        <w:tc>
          <w:tcPr>
            <w:tcW w:w="4006" w:type="dxa"/>
          </w:tcPr>
          <w:p w:rsidR="003C7F55" w:rsidRDefault="00160E32" w:rsidP="004A4E41">
            <w:pPr>
              <w:pStyle w:val="libFootnote0"/>
              <w:rPr>
                <w:rtl/>
              </w:rPr>
            </w:pPr>
            <w:r>
              <w:rPr>
                <w:rtl/>
              </w:rPr>
              <w:t>(9).</w:t>
            </w:r>
            <w:r w:rsidRPr="00C9040A">
              <w:rPr>
                <w:rtl/>
              </w:rPr>
              <w:t xml:space="preserve"> في « ب » : « فقال »</w:t>
            </w:r>
            <w:r>
              <w:rPr>
                <w:rtl/>
              </w:rPr>
              <w:t>.</w:t>
            </w:r>
          </w:p>
        </w:tc>
      </w:tr>
    </w:tbl>
    <w:p w:rsidR="008A74EB" w:rsidRPr="004A4E41" w:rsidRDefault="006C577F" w:rsidP="004A4E41">
      <w:pPr>
        <w:pStyle w:val="libFootnote0"/>
        <w:rPr>
          <w:rStyle w:val="libFootnote0Char"/>
          <w:rtl/>
        </w:rPr>
      </w:pPr>
      <w:r>
        <w:rPr>
          <w:rtl/>
        </w:rPr>
        <w:t>(10).</w:t>
      </w:r>
      <w:r w:rsidR="008A74EB" w:rsidRPr="00C9040A">
        <w:rPr>
          <w:rtl/>
        </w:rPr>
        <w:t xml:space="preserve"> في التوحيد والإرشاد والأمالي </w:t>
      </w:r>
      <w:r w:rsidR="008A74EB">
        <w:rPr>
          <w:rtl/>
        </w:rPr>
        <w:t xml:space="preserve">: </w:t>
      </w:r>
      <w:r w:rsidR="0084262C">
        <w:rPr>
          <w:rtl/>
        </w:rPr>
        <w:t>-</w:t>
      </w:r>
      <w:r w:rsidR="008A74EB" w:rsidRPr="00C9040A">
        <w:rPr>
          <w:rtl/>
        </w:rPr>
        <w:t xml:space="preserve"> « أو قال قادر »</w:t>
      </w:r>
      <w:r w:rsidR="008A74EB">
        <w:rPr>
          <w:rtl/>
        </w:rPr>
        <w:t>.</w:t>
      </w:r>
    </w:p>
    <w:tbl>
      <w:tblPr>
        <w:tblStyle w:val="TableGrid"/>
        <w:bidiVisual/>
        <w:tblW w:w="0" w:type="auto"/>
        <w:tblLook w:val="04A0" w:firstRow="1" w:lastRow="0" w:firstColumn="1" w:lastColumn="0" w:noHBand="0" w:noVBand="1"/>
      </w:tblPr>
      <w:tblGrid>
        <w:gridCol w:w="4006"/>
        <w:gridCol w:w="4006"/>
      </w:tblGrid>
      <w:tr w:rsidR="00EA40AA" w:rsidTr="00EA40AA">
        <w:tc>
          <w:tcPr>
            <w:tcW w:w="4006" w:type="dxa"/>
          </w:tcPr>
          <w:p w:rsidR="00EA40AA" w:rsidRDefault="00EA40AA" w:rsidP="004A4E41">
            <w:pPr>
              <w:pStyle w:val="libFootnote0"/>
              <w:rPr>
                <w:rtl/>
                <w:lang w:bidi="fa-IR"/>
              </w:rPr>
            </w:pPr>
            <w:r>
              <w:rPr>
                <w:rtl/>
              </w:rPr>
              <w:t>(11).</w:t>
            </w:r>
            <w:r w:rsidRPr="00C9040A">
              <w:rPr>
                <w:rtl/>
              </w:rPr>
              <w:t xml:space="preserve"> في « ج ، ص ، ف » : « قال »</w:t>
            </w:r>
            <w:r>
              <w:rPr>
                <w:rtl/>
              </w:rPr>
              <w:t>.</w:t>
            </w:r>
          </w:p>
        </w:tc>
        <w:tc>
          <w:tcPr>
            <w:tcW w:w="4006" w:type="dxa"/>
          </w:tcPr>
          <w:p w:rsidR="00EA40AA" w:rsidRDefault="00EA40AA" w:rsidP="004A4E41">
            <w:pPr>
              <w:pStyle w:val="libFootnote0"/>
              <w:rPr>
                <w:rtl/>
                <w:lang w:bidi="fa-IR"/>
              </w:rPr>
            </w:pPr>
            <w:r>
              <w:rPr>
                <w:rtl/>
              </w:rPr>
              <w:t>(12).</w:t>
            </w:r>
            <w:r w:rsidRPr="00C9040A">
              <w:rPr>
                <w:rtl/>
              </w:rPr>
              <w:t xml:space="preserve"> في « ج ، بر » وحاشية « ز ، بر » : « ممّا »</w:t>
            </w:r>
            <w:r>
              <w:rPr>
                <w:rtl/>
              </w:rPr>
              <w:t>.</w:t>
            </w:r>
          </w:p>
        </w:tc>
      </w:tr>
      <w:tr w:rsidR="00EA40AA" w:rsidTr="00EA40AA">
        <w:tc>
          <w:tcPr>
            <w:tcW w:w="4006" w:type="dxa"/>
          </w:tcPr>
          <w:p w:rsidR="00EA40AA" w:rsidRDefault="00D04DBF" w:rsidP="004A4E41">
            <w:pPr>
              <w:pStyle w:val="libFootnote0"/>
              <w:rPr>
                <w:rtl/>
                <w:lang w:bidi="fa-IR"/>
              </w:rPr>
            </w:pPr>
            <w:r>
              <w:rPr>
                <w:rtl/>
              </w:rPr>
              <w:t>(13)</w:t>
            </w:r>
            <w:r w:rsidRPr="00C9040A">
              <w:rPr>
                <w:rtl/>
              </w:rPr>
              <w:t xml:space="preserve"> في « د » : « فقلت »</w:t>
            </w:r>
            <w:r>
              <w:rPr>
                <w:rtl/>
              </w:rPr>
              <w:t>.</w:t>
            </w:r>
          </w:p>
        </w:tc>
        <w:tc>
          <w:tcPr>
            <w:tcW w:w="4006" w:type="dxa"/>
          </w:tcPr>
          <w:p w:rsidR="00EA40AA" w:rsidRDefault="00D04DBF" w:rsidP="004A4E41">
            <w:pPr>
              <w:pStyle w:val="libFootnote0"/>
              <w:rPr>
                <w:rtl/>
                <w:lang w:bidi="fa-IR"/>
              </w:rPr>
            </w:pPr>
            <w:r>
              <w:rPr>
                <w:rtl/>
              </w:rPr>
              <w:t>(14)</w:t>
            </w:r>
            <w:r w:rsidRPr="00C9040A">
              <w:rPr>
                <w:rtl/>
              </w:rPr>
              <w:t xml:space="preserve"> في حاشية « بر » : « ممّ »</w:t>
            </w:r>
            <w:r>
              <w:rPr>
                <w:rtl/>
              </w:rPr>
              <w:t>.</w:t>
            </w:r>
          </w:p>
        </w:tc>
      </w:tr>
    </w:tbl>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نَتَخَوَّفُ </w:t>
      </w:r>
      <w:r w:rsidR="006C577F" w:rsidRPr="006C577F">
        <w:rPr>
          <w:rStyle w:val="libFootnotenumChar"/>
          <w:rtl/>
        </w:rPr>
        <w:t>(1)</w:t>
      </w:r>
      <w:r w:rsidRPr="002712F0">
        <w:rPr>
          <w:rFonts w:hint="cs"/>
          <w:rtl/>
        </w:rPr>
        <w:t xml:space="preserve"> </w:t>
      </w:r>
      <w:r w:rsidRPr="00C9040A">
        <w:rPr>
          <w:rtl/>
          <w:lang w:bidi="fa-IR"/>
        </w:rPr>
        <w:t xml:space="preserve">مِنْ فِتْنَةِ ابْنِ الزُّبَيْرِ </w:t>
      </w:r>
      <w:r w:rsidR="006C577F" w:rsidRPr="006C577F">
        <w:rPr>
          <w:rStyle w:val="libFootnotenumChar"/>
          <w:rtl/>
        </w:rPr>
        <w:t>(2)</w:t>
      </w:r>
      <w:r w:rsidRPr="00C9040A">
        <w:rPr>
          <w:rtl/>
          <w:lang w:bidi="fa-IR"/>
        </w:rPr>
        <w:t xml:space="preserve"> وَمَا فِيهِ‌</w:t>
      </w:r>
      <w:r w:rsidR="00E2508E">
        <w:rPr>
          <w:rFonts w:hint="cs"/>
          <w:rtl/>
          <w:lang w:bidi="fa-IR"/>
        </w:rPr>
        <w:t>.........................................</w:t>
      </w:r>
      <w:r w:rsidR="00E2508E">
        <w:rPr>
          <w:rFonts w:hint="cs"/>
          <w:rtl/>
          <w:lang w:bidi="fa-IR"/>
        </w:rPr>
        <w:tab/>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البحار : « يتخوّف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w:t>
      </w:r>
      <w:r w:rsidR="008A74EB" w:rsidRPr="00993B55">
        <w:rPr>
          <w:rStyle w:val="libFootnoteBoldChar"/>
          <w:rtl/>
        </w:rPr>
        <w:t>مرآة العقول</w:t>
      </w:r>
      <w:r w:rsidR="008A74EB" w:rsidRPr="00C9040A">
        <w:rPr>
          <w:rtl/>
        </w:rPr>
        <w:t xml:space="preserve"> ، ج 8 ، ص 18</w:t>
      </w:r>
      <w:r w:rsidR="008A74EB">
        <w:rPr>
          <w:rtl/>
        </w:rPr>
        <w:t xml:space="preserve"> </w:t>
      </w:r>
      <w:r w:rsidR="0084262C">
        <w:rPr>
          <w:rtl/>
        </w:rPr>
        <w:t>-</w:t>
      </w:r>
      <w:r w:rsidR="008A74EB">
        <w:rPr>
          <w:rtl/>
        </w:rPr>
        <w:t xml:space="preserve"> </w:t>
      </w:r>
      <w:r w:rsidR="008A74EB" w:rsidRPr="00C9040A">
        <w:rPr>
          <w:rtl/>
        </w:rPr>
        <w:t xml:space="preserve">20 : « ابن الزبير هو عبدالله ، وكان أعدى عدوّ أهل البيت </w:t>
      </w:r>
      <w:r w:rsidR="00117575" w:rsidRPr="00117575">
        <w:rPr>
          <w:rStyle w:val="libFootnoteAlaemChar"/>
          <w:rtl/>
        </w:rPr>
        <w:t>عليهم‌السلام</w:t>
      </w:r>
      <w:r w:rsidR="008A74EB" w:rsidRPr="00C9040A">
        <w:rPr>
          <w:rtl/>
        </w:rPr>
        <w:t xml:space="preserve"> ، وهو صار سبباً لعدول الزبير عن ناحية أميرالمؤمنين </w:t>
      </w:r>
      <w:r w:rsidR="00117575" w:rsidRPr="00117575">
        <w:rPr>
          <w:rStyle w:val="libFootnoteAlaemChar"/>
          <w:rtl/>
        </w:rPr>
        <w:t xml:space="preserve">عليه‌السلام </w:t>
      </w:r>
      <w:r w:rsidR="008A74EB" w:rsidRPr="00C9040A">
        <w:rPr>
          <w:rtl/>
        </w:rPr>
        <w:t xml:space="preserve"> ؛ حيث قال </w:t>
      </w:r>
      <w:r w:rsidR="00117575" w:rsidRPr="00117575">
        <w:rPr>
          <w:rStyle w:val="libFootnoteAlaemChar"/>
          <w:rtl/>
        </w:rPr>
        <w:t xml:space="preserve">عليه‌السلام </w:t>
      </w:r>
      <w:r w:rsidR="008A74EB" w:rsidRPr="00C9040A">
        <w:rPr>
          <w:rtl/>
        </w:rPr>
        <w:t xml:space="preserve"> : لازال الزبير معنا حتّى أدرك فرخه.</w:t>
      </w:r>
    </w:p>
    <w:p w:rsidR="008A74EB" w:rsidRPr="00C9040A" w:rsidRDefault="008A74EB" w:rsidP="004A4E41">
      <w:pPr>
        <w:pStyle w:val="libFootnote0"/>
        <w:rPr>
          <w:rtl/>
          <w:lang w:bidi="fa-IR"/>
        </w:rPr>
      </w:pPr>
      <w:r w:rsidRPr="00323A39">
        <w:rPr>
          <w:rtl/>
        </w:rPr>
        <w:t xml:space="preserve">والمشهور أنّه بويع له بالخلافة بعد شهادة الحسين </w:t>
      </w:r>
      <w:r w:rsidR="00117575" w:rsidRPr="00117575">
        <w:rPr>
          <w:rStyle w:val="libFootnoteAlaemChar"/>
          <w:rtl/>
        </w:rPr>
        <w:t xml:space="preserve">عليه‌السلام </w:t>
      </w:r>
      <w:r w:rsidRPr="00323A39">
        <w:rPr>
          <w:rtl/>
        </w:rPr>
        <w:t xml:space="preserve"> لسبع بقين من رجب سنة أربع وستّين في أيّام يزيد ، وقيل : ل</w:t>
      </w:r>
      <w:r w:rsidR="00A84D24">
        <w:rPr>
          <w:rFonts w:hint="cs"/>
          <w:rtl/>
        </w:rPr>
        <w:t>ـ</w:t>
      </w:r>
      <w:r w:rsidRPr="00323A39">
        <w:rPr>
          <w:rtl/>
        </w:rPr>
        <w:t xml:space="preserve">مّا استشهد الحسين </w:t>
      </w:r>
      <w:r w:rsidR="00117575" w:rsidRPr="00117575">
        <w:rPr>
          <w:rStyle w:val="libFootnoteAlaemChar"/>
          <w:rtl/>
        </w:rPr>
        <w:t xml:space="preserve">عليه‌السلام </w:t>
      </w:r>
      <w:r w:rsidRPr="00323A39">
        <w:rPr>
          <w:rtl/>
        </w:rPr>
        <w:t xml:space="preserve"> في سنة ستّين من الهجرة دعا ابن الزبير بمكّة إلى نفسه وعاب يزيد بالفسوق والمعاصي وشرب الخمور ، فبايعه أهل تهامة والحجاز ، فلمّا بلغ يزيد ذلك ندب له الحصين بن نمير وروح بن زنباع ، وضمّ إلى كلّ واحد جيشاً ، واستعمل على الجميع مسلم بن عقبة ، وجعله أميرالا</w:t>
      </w:r>
      <w:r w:rsidR="00A84D24">
        <w:rPr>
          <w:rFonts w:hint="cs"/>
          <w:rtl/>
        </w:rPr>
        <w:t>ُ</w:t>
      </w:r>
      <w:r w:rsidRPr="00323A39">
        <w:rPr>
          <w:rtl/>
        </w:rPr>
        <w:t>مراء ، ول</w:t>
      </w:r>
      <w:r w:rsidR="00A84D24">
        <w:rPr>
          <w:rFonts w:hint="cs"/>
          <w:rtl/>
        </w:rPr>
        <w:t>ـ</w:t>
      </w:r>
      <w:r w:rsidRPr="00323A39">
        <w:rPr>
          <w:rtl/>
        </w:rPr>
        <w:t>مّا ودّعهم قال : يا مسلم لاتردّ أهل الشام عن شي‌ء يريدونه لعدوّهم ، واجعل طريقك على المدينة ، فإن حاربوك فحاربهم ، فإن ظفرت بهم فأبحهم ثلاثاً ، فسار مسلم حتّى نزل الحرّة ، فخرج أهل المدينة فعسكروا بها وأميرهم عبدالله بن حنظلة الراهب غسيل الملائكة ، فدعاهم مسلم ثلاثاً فلم يجيبوا ، فقاتلهم فغلب أهل الشام وقتل عبدالله وسبعمائة من المهاجرين والأنصار ، ودخل مسلم المدينة وأباحها ثلاثة أيّام.</w:t>
      </w:r>
    </w:p>
    <w:p w:rsidR="008A74EB" w:rsidRPr="00C9040A" w:rsidRDefault="008A74EB" w:rsidP="004A4E41">
      <w:pPr>
        <w:pStyle w:val="libFootnote0"/>
        <w:rPr>
          <w:rtl/>
          <w:lang w:bidi="fa-IR"/>
        </w:rPr>
      </w:pPr>
      <w:r w:rsidRPr="0082575F">
        <w:rPr>
          <w:rtl/>
        </w:rPr>
        <w:t>ثمّ شخص بالجيش إلى مكّة وكتب إلى يزيد بما صنع بالمدينة ، ومات مسلم لعنه الله في الطريق ، فتولّى أمر الجيش الحصين بن نمر حتّى وافى مكّة ، فتحصّن منه ابن الزبير في المسجد الحرام في جميع من كان معه ، ونصب الحصين المنجنيق على أبي قبيس ورمى به الكعبة ، فبينما هم كذلك إذ ورد الخبر على الحصين بموت يزيد لعنة الله عليهما ، فأرسل إلى ابن الزبير يسأله الموادعة ، فأجابه إلى ذلك ، وفتح الأبواب واختلط العسكران يطوفون بالبيت ، فبينما الحصين يطوف ليلة بعد العشاء إذ استقبله ابن الزبير ، فأخذ الحصين بيده وقال له سرّاً : هل لك في الخروج معي إلى الشام ، فأدعو الناس إلى بيعتك ؛ فإنّ أمرهم قد مرج ، ولا أدري أحداً أحقّ بها اليوم منك ، ولست ا</w:t>
      </w:r>
      <w:r w:rsidR="00882132">
        <w:rPr>
          <w:rFonts w:hint="cs"/>
          <w:rtl/>
        </w:rPr>
        <w:t>ُ</w:t>
      </w:r>
      <w:r w:rsidRPr="0082575F">
        <w:rPr>
          <w:rtl/>
        </w:rPr>
        <w:t>عصى هناك ، فاجتذب ابن الزبير يده من يده وهو يجهر : دون أن أقتل بكلّ واحد من أهل الحجاز عشرة من الشام ، فقال الحصين : لقد كذب الّذي زعم أنّك من دهاة العرب ، ا</w:t>
      </w:r>
      <w:r w:rsidR="00AF5F67">
        <w:rPr>
          <w:rFonts w:hint="cs"/>
          <w:rtl/>
        </w:rPr>
        <w:t>ُ</w:t>
      </w:r>
      <w:r w:rsidRPr="0082575F">
        <w:rPr>
          <w:rtl/>
        </w:rPr>
        <w:t>كلّمك سرّاً وتكلّمني</w:t>
      </w:r>
      <w:r>
        <w:rPr>
          <w:rFonts w:hint="cs"/>
          <w:rtl/>
        </w:rPr>
        <w:t xml:space="preserve"> </w:t>
      </w:r>
      <w:r w:rsidRPr="0082575F">
        <w:rPr>
          <w:rtl/>
        </w:rPr>
        <w:t>علانية ، وأدعوك إلى الخلافة وتدعوني إلى الحرب.</w:t>
      </w:r>
    </w:p>
    <w:p w:rsidR="008A74EB" w:rsidRPr="00C9040A" w:rsidRDefault="008A74EB" w:rsidP="004A4E41">
      <w:pPr>
        <w:pStyle w:val="libFootnote0"/>
        <w:rPr>
          <w:rtl/>
          <w:lang w:bidi="fa-IR"/>
        </w:rPr>
      </w:pPr>
      <w:r w:rsidRPr="0082575F">
        <w:rPr>
          <w:rtl/>
        </w:rPr>
        <w:t>ثمّ انصرف بمن معه إلى الشام وقالوا : بايعه أهل العراق وأهل مصر وبعض أهل الشام إلى أن بايعوا لمروان بعد حروب ، واستمرّ له العراق إلى سنة إحدى وسبعين ، وهي الّتي قتل فيها عبدالملك بن مروان أخاه مصعب بن الزبير ، وهدم قصر الإمارة بالكوفة.</w:t>
      </w:r>
    </w:p>
    <w:p w:rsidR="008A74EB" w:rsidRPr="00C9040A" w:rsidRDefault="008A74EB" w:rsidP="004A4E41">
      <w:pPr>
        <w:pStyle w:val="libFootnote0"/>
        <w:rPr>
          <w:rtl/>
          <w:lang w:bidi="fa-IR"/>
        </w:rPr>
      </w:pPr>
      <w:r w:rsidRPr="0082575F">
        <w:rPr>
          <w:rtl/>
        </w:rPr>
        <w:t>ول</w:t>
      </w:r>
      <w:r w:rsidR="00AF5F67">
        <w:rPr>
          <w:rFonts w:hint="cs"/>
          <w:rtl/>
        </w:rPr>
        <w:t>ـ</w:t>
      </w:r>
      <w:r w:rsidRPr="0082575F">
        <w:rPr>
          <w:rtl/>
        </w:rPr>
        <w:t>مّا قتل مصعب انهزم أصحابه ، فاستدعى بهم عبدالملك ، فبايعوه وسار إلى الكوفة ودخلها واستقرّ له الأمر بالعراق والشام ومصر ، ثمّ جهّز الحجّاج في سنة ثلاث وسبعين إلى عبدالله بن الزبير ، فحصره بمكّة ، ورمى البيت بالمنجنيق ، ثمّ ظفر به وقتله واجتزّ الحجّاج رأسه وصلبه منكّساً ، ثمّ أنزله ودفنه في مقابر اليهود.</w:t>
      </w:r>
    </w:p>
    <w:p w:rsidR="008A74EB" w:rsidRPr="00C9040A" w:rsidRDefault="008A74EB" w:rsidP="004A4E41">
      <w:pPr>
        <w:pStyle w:val="libFootnote0"/>
        <w:rPr>
          <w:rtl/>
          <w:lang w:bidi="fa-IR"/>
        </w:rPr>
      </w:pPr>
      <w:r w:rsidRPr="0082575F">
        <w:rPr>
          <w:rtl/>
        </w:rPr>
        <w:t>وكانت خلافته بالحجاز والعراق تسع سنين واثنين وعشرين يوماً ، وله من العمر ثلاث وسبعون سنة ، وقيل : اثنان وسبعون سنة ، وكانت ا</w:t>
      </w:r>
      <w:r w:rsidR="00077E3A">
        <w:rPr>
          <w:rFonts w:hint="cs"/>
          <w:rtl/>
        </w:rPr>
        <w:t>ُ</w:t>
      </w:r>
      <w:r w:rsidRPr="0082575F">
        <w:rPr>
          <w:rtl/>
        </w:rPr>
        <w:t>مّه أسماء بنت أبي بكر.</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النَّاسُ </w:t>
      </w:r>
      <w:r w:rsidR="006C577F" w:rsidRPr="006C577F">
        <w:rPr>
          <w:rStyle w:val="libFootnotenumChar"/>
          <w:rtl/>
        </w:rPr>
        <w:t>(1)</w:t>
      </w:r>
      <w:r w:rsidRPr="00C9040A">
        <w:rPr>
          <w:rtl/>
          <w:lang w:bidi="fa-IR"/>
        </w:rPr>
        <w:t>»</w:t>
      </w:r>
      <w:r>
        <w:rPr>
          <w:rtl/>
          <w:lang w:bidi="fa-IR"/>
        </w:rPr>
        <w:t>.</w:t>
      </w:r>
    </w:p>
    <w:p w:rsidR="008A74EB" w:rsidRPr="00C9040A" w:rsidRDefault="008A74EB" w:rsidP="008A74EB">
      <w:pPr>
        <w:pStyle w:val="libNormal"/>
        <w:rPr>
          <w:rtl/>
          <w:lang w:bidi="fa-IR"/>
        </w:rPr>
      </w:pPr>
      <w:r w:rsidRPr="00C9040A">
        <w:rPr>
          <w:rtl/>
          <w:lang w:bidi="fa-IR"/>
        </w:rPr>
        <w:t xml:space="preserve">قَالَ : « فَضَحِكَ ، ثُمَّ قَالَ : يَا عَلِيَّ بْنَ الْحُسَيْنِ ، هَلْ </w:t>
      </w:r>
      <w:r w:rsidR="006C577F" w:rsidRPr="006C577F">
        <w:rPr>
          <w:rStyle w:val="libFootnotenumChar"/>
          <w:rtl/>
        </w:rPr>
        <w:t>(2)</w:t>
      </w:r>
      <w:r w:rsidRPr="00C9040A">
        <w:rPr>
          <w:rtl/>
          <w:lang w:bidi="fa-IR"/>
        </w:rPr>
        <w:t xml:space="preserve"> رَأَيْتَ </w:t>
      </w:r>
      <w:r w:rsidR="006C577F" w:rsidRPr="006C577F">
        <w:rPr>
          <w:rStyle w:val="libFootnotenumChar"/>
          <w:rtl/>
        </w:rPr>
        <w:t>(3)</w:t>
      </w:r>
      <w:r w:rsidRPr="00C9040A">
        <w:rPr>
          <w:rtl/>
          <w:lang w:bidi="fa-IR"/>
        </w:rPr>
        <w:t xml:space="preserve"> أَحَداً دَعَا </w:t>
      </w:r>
      <w:r w:rsidR="006C577F" w:rsidRPr="006C577F">
        <w:rPr>
          <w:rStyle w:val="libFootnotenumChar"/>
          <w:rtl/>
        </w:rPr>
        <w:t>(4)</w:t>
      </w:r>
      <w:r w:rsidRPr="00C9040A">
        <w:rPr>
          <w:rtl/>
          <w:lang w:bidi="fa-IR"/>
        </w:rPr>
        <w:t xml:space="preserve"> اللهَ </w:t>
      </w:r>
      <w:r w:rsidR="006C577F" w:rsidRPr="006C577F">
        <w:rPr>
          <w:rStyle w:val="libFootnotenumChar"/>
          <w:rtl/>
        </w:rPr>
        <w:t>(5)</w:t>
      </w:r>
      <w:r w:rsidRPr="00C9040A">
        <w:rPr>
          <w:rtl/>
          <w:lang w:bidi="fa-IR"/>
        </w:rPr>
        <w:t xml:space="preserve"> فَلَمْ يُجِبْهُ </w:t>
      </w:r>
      <w:r w:rsidR="006C577F" w:rsidRPr="006C577F">
        <w:rPr>
          <w:rStyle w:val="libFootnotenumChar"/>
          <w:rtl/>
        </w:rPr>
        <w:t>(6)</w:t>
      </w:r>
      <w:r w:rsidRPr="00077E3A">
        <w:rPr>
          <w:rtl/>
        </w:rPr>
        <w:t>؟</w:t>
      </w:r>
      <w:r w:rsidRPr="00C9040A">
        <w:rPr>
          <w:rtl/>
          <w:lang w:bidi="fa-IR"/>
        </w:rPr>
        <w:t xml:space="preserve"> قُلْتُ : لَا. قَالَ </w:t>
      </w:r>
      <w:r w:rsidR="006C577F" w:rsidRPr="006C577F">
        <w:rPr>
          <w:rStyle w:val="libFootnotenumChar"/>
          <w:rtl/>
        </w:rPr>
        <w:t>(7)</w:t>
      </w:r>
      <w:r w:rsidRPr="00C9040A">
        <w:rPr>
          <w:rtl/>
          <w:lang w:bidi="fa-IR"/>
        </w:rPr>
        <w:t xml:space="preserve"> : فَهَلْ رَأَيْتَ أَحَداً تَوَكَّلَ عَلَى اللهِ فَلَمْ يَكْفِهِ</w:t>
      </w:r>
      <w:r>
        <w:rPr>
          <w:rtl/>
          <w:lang w:bidi="fa-IR"/>
        </w:rPr>
        <w:t>؟</w:t>
      </w:r>
      <w:r w:rsidRPr="00C9040A">
        <w:rPr>
          <w:rtl/>
          <w:lang w:bidi="fa-IR"/>
        </w:rPr>
        <w:t xml:space="preserve"> قُلْتُ : لَا. قَالَ : فَهَلْ رَأَيْتَ أَحَداً سَأَلَ اللهَ فَلَمْ يُعْطِهِ</w:t>
      </w:r>
      <w:r>
        <w:rPr>
          <w:rtl/>
          <w:lang w:bidi="fa-IR"/>
        </w:rPr>
        <w:t>؟</w:t>
      </w:r>
      <w:r w:rsidRPr="00C9040A">
        <w:rPr>
          <w:rtl/>
          <w:lang w:bidi="fa-IR"/>
        </w:rPr>
        <w:t xml:space="preserve"> قُلْتُ : لَا ، ثُمَّ غَابَ عَنِّي </w:t>
      </w:r>
      <w:r w:rsidR="006C577F" w:rsidRPr="006C577F">
        <w:rPr>
          <w:rStyle w:val="libFootnotenumChar"/>
          <w:rtl/>
        </w:rPr>
        <w:t>(8)</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(9)</w:t>
      </w:r>
      <w:r w:rsidRPr="00C9040A">
        <w:rPr>
          <w:rtl/>
          <w:lang w:bidi="fa-IR"/>
        </w:rPr>
        <w:t xml:space="preserve"> ‌</w:t>
      </w:r>
    </w:p>
    <w:p w:rsidR="008A74EB" w:rsidRPr="00C9040A" w:rsidRDefault="000B4661" w:rsidP="008A74EB">
      <w:pPr>
        <w:pStyle w:val="libNormal"/>
        <w:rPr>
          <w:rtl/>
          <w:lang w:bidi="fa-IR"/>
        </w:rPr>
      </w:pPr>
      <w:r>
        <w:rPr>
          <w:rFonts w:hint="cs"/>
          <w:rtl/>
          <w:lang w:bidi="fa-IR"/>
        </w:rPr>
        <w:t xml:space="preserve">* </w:t>
      </w:r>
      <w:r w:rsidR="008A74EB" w:rsidRPr="00C9040A">
        <w:rPr>
          <w:rtl/>
          <w:lang w:bidi="fa-IR"/>
        </w:rPr>
        <w:t>عَلِيُّ بْنُ إِبْرَاهِيمَ ، عَنْ أَبِيهِ ، عَنِ ابْنِ مَحْبُوبٍ ، مِثْلَهُ.</w:t>
      </w:r>
    </w:p>
    <w:p w:rsidR="008A74EB" w:rsidRPr="00C9040A" w:rsidRDefault="008A74EB" w:rsidP="008A74EB">
      <w:pPr>
        <w:pStyle w:val="libNormal"/>
        <w:rPr>
          <w:rtl/>
          <w:lang w:bidi="fa-IR"/>
        </w:rPr>
      </w:pPr>
      <w:r w:rsidRPr="00782A57">
        <w:rPr>
          <w:rtl/>
        </w:rPr>
        <w:t>1593</w:t>
      </w:r>
      <w:r w:rsidRPr="00261CB0">
        <w:rPr>
          <w:rStyle w:val="libBold2Char"/>
          <w:rtl/>
        </w:rPr>
        <w:t xml:space="preserve"> / 3.</w:t>
      </w:r>
      <w:r w:rsidRPr="00C9040A">
        <w:rPr>
          <w:rtl/>
          <w:lang w:bidi="fa-IR"/>
        </w:rPr>
        <w:t xml:space="preserve"> عِدَّةٌ مِنْ أَصْحَابِنَا ، عَنْ سَهْلِ بْنِ زِيَادٍ ، عَنْ عَلِيِّ بْنِ حَسَّانَ ، عَنْ عَمِّهِ عَبْدِ الرَّحْمنِ بْنِ كَثِيرٍ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إِنَّ الْغِنى وَالْعِزَّ يَجُولَانِ ، فَإِذَا ظَفِرَا بِمَوْضِعِ التَّوَكُّلِ أَوْطَنَا </w:t>
      </w:r>
      <w:r w:rsidR="006C577F" w:rsidRPr="006C577F">
        <w:rPr>
          <w:rStyle w:val="libFootnotenumChar"/>
          <w:rtl/>
        </w:rPr>
        <w:t>(10)</w:t>
      </w:r>
      <w:r w:rsidRPr="00C9040A">
        <w:rPr>
          <w:rtl/>
          <w:lang w:bidi="fa-IR"/>
        </w:rPr>
        <w:t>»</w:t>
      </w:r>
      <w:r>
        <w:rPr>
          <w:rtl/>
          <w:lang w:bidi="fa-IR"/>
        </w:rPr>
        <w:t>.</w:t>
      </w:r>
      <w:r w:rsidR="006C577F" w:rsidRPr="006C577F">
        <w:rPr>
          <w:rStyle w:val="libFootnotenumChar"/>
          <w:rtl/>
        </w:rPr>
        <w:t>(11)</w:t>
      </w:r>
      <w:r w:rsidRPr="00C9040A">
        <w:rPr>
          <w:rtl/>
          <w:lang w:bidi="fa-IR"/>
        </w:rPr>
        <w:t xml:space="preserve"> ‌</w:t>
      </w:r>
    </w:p>
    <w:p w:rsidR="008A74EB" w:rsidRPr="00C9040A" w:rsidRDefault="00403333" w:rsidP="008A74EB">
      <w:pPr>
        <w:pStyle w:val="libNormal"/>
        <w:rPr>
          <w:rtl/>
          <w:lang w:bidi="fa-IR"/>
        </w:rPr>
      </w:pPr>
      <w:r>
        <w:rPr>
          <w:rFonts w:hint="cs"/>
          <w:rtl/>
          <w:lang w:bidi="fa-IR"/>
        </w:rPr>
        <w:t xml:space="preserve">* </w:t>
      </w:r>
      <w:r w:rsidR="008A74EB" w:rsidRPr="00C9040A">
        <w:rPr>
          <w:rtl/>
          <w:lang w:bidi="fa-IR"/>
        </w:rPr>
        <w:t>عِدَّةٌ مِنْ أَصْحَابِنَا ، عَنْ أَحْمَدَ بْنِ أَبِي عَبْدِ اللهِ ، عَنْ مُحَمَّدِ بْنِ عَلِيٍّ ، عَنْ عَلِيِّ بْنِ‌</w:t>
      </w:r>
    </w:p>
    <w:p w:rsidR="008A74EB" w:rsidRPr="00C9040A" w:rsidRDefault="008A74EB" w:rsidP="008A74EB">
      <w:pPr>
        <w:pStyle w:val="libLine"/>
        <w:rPr>
          <w:rtl/>
          <w:lang w:bidi="fa-IR"/>
        </w:rPr>
      </w:pPr>
      <w:r w:rsidRPr="00C9040A">
        <w:rPr>
          <w:rtl/>
          <w:lang w:bidi="fa-IR"/>
        </w:rPr>
        <w:t>__________________</w:t>
      </w:r>
    </w:p>
    <w:p w:rsidR="008A74EB" w:rsidRDefault="00C51E84" w:rsidP="004A4E41">
      <w:pPr>
        <w:pStyle w:val="libFootnote0"/>
        <w:rPr>
          <w:rtl/>
        </w:rPr>
      </w:pPr>
      <w:r>
        <w:rPr>
          <w:rFonts w:hint="cs"/>
          <w:rtl/>
          <w:lang w:bidi="fa-IR"/>
        </w:rPr>
        <w:t xml:space="preserve">= </w:t>
      </w:r>
      <w:r w:rsidR="008A74EB" w:rsidRPr="00323A39">
        <w:rPr>
          <w:rtl/>
        </w:rPr>
        <w:t xml:space="preserve">وأقول : الظاهر أنّ خوفه </w:t>
      </w:r>
      <w:r w:rsidR="00117575" w:rsidRPr="00117575">
        <w:rPr>
          <w:rStyle w:val="libFootnoteAlaemChar"/>
          <w:rtl/>
        </w:rPr>
        <w:t xml:space="preserve">عليه‌السلام </w:t>
      </w:r>
      <w:r w:rsidR="008A74EB" w:rsidRPr="00323A39">
        <w:rPr>
          <w:rtl/>
        </w:rPr>
        <w:t xml:space="preserve"> كان من ابن الزبير عليه وعلى شيعته ، ويحتمل أن يكون من الحجّاج وغيره ممّن حاربه. وكان الفرق بين الدعاء والسؤال أنّ الدعاء لدفع الضرر ، والسؤال لجلب النفع ».</w:t>
      </w:r>
    </w:p>
    <w:p w:rsidR="008A74EB" w:rsidRPr="004A4E41" w:rsidRDefault="006C577F" w:rsidP="004A4E41">
      <w:pPr>
        <w:pStyle w:val="libFootnote0"/>
        <w:rPr>
          <w:rStyle w:val="libFootnote0Char"/>
          <w:rtl/>
        </w:rPr>
      </w:pPr>
      <w:r>
        <w:rPr>
          <w:rtl/>
        </w:rPr>
        <w:t>(1).</w:t>
      </w:r>
      <w:r w:rsidR="008A74EB" w:rsidRPr="00C9040A">
        <w:rPr>
          <w:rtl/>
        </w:rPr>
        <w:t xml:space="preserve"> في التوحيد والإرشاد والأمالي </w:t>
      </w:r>
      <w:r w:rsidR="008A74EB">
        <w:rPr>
          <w:rtl/>
        </w:rPr>
        <w:t xml:space="preserve">: </w:t>
      </w:r>
      <w:r w:rsidR="0084262C">
        <w:rPr>
          <w:rtl/>
        </w:rPr>
        <w:t>-</w:t>
      </w:r>
      <w:r w:rsidR="008A74EB" w:rsidRPr="00C9040A">
        <w:rPr>
          <w:rtl/>
        </w:rPr>
        <w:t xml:space="preserve"> « وما فيه الناس »</w:t>
      </w:r>
      <w:r w:rsidR="008A74EB">
        <w:rPr>
          <w:rtl/>
        </w:rPr>
        <w:t>.</w:t>
      </w:r>
    </w:p>
    <w:tbl>
      <w:tblPr>
        <w:tblStyle w:val="TableGrid"/>
        <w:bidiVisual/>
        <w:tblW w:w="0" w:type="auto"/>
        <w:tblLook w:val="04A0" w:firstRow="1" w:lastRow="0" w:firstColumn="1" w:lastColumn="0" w:noHBand="0" w:noVBand="1"/>
      </w:tblPr>
      <w:tblGrid>
        <w:gridCol w:w="4006"/>
        <w:gridCol w:w="4006"/>
      </w:tblGrid>
      <w:tr w:rsidR="003D33CD" w:rsidTr="003D33CD">
        <w:tc>
          <w:tcPr>
            <w:tcW w:w="4006" w:type="dxa"/>
          </w:tcPr>
          <w:p w:rsidR="003D33CD" w:rsidRDefault="003D33CD" w:rsidP="004A4E41">
            <w:pPr>
              <w:pStyle w:val="libFootnote0"/>
              <w:rPr>
                <w:rtl/>
              </w:rPr>
            </w:pPr>
            <w:r>
              <w:rPr>
                <w:rtl/>
              </w:rPr>
              <w:t xml:space="preserve">(2). </w:t>
            </w:r>
            <w:r w:rsidRPr="00C9040A">
              <w:rPr>
                <w:rtl/>
              </w:rPr>
              <w:t>في « ب » : « فهل »</w:t>
            </w:r>
            <w:r>
              <w:rPr>
                <w:rtl/>
              </w:rPr>
              <w:t>.</w:t>
            </w:r>
          </w:p>
        </w:tc>
        <w:tc>
          <w:tcPr>
            <w:tcW w:w="4006" w:type="dxa"/>
          </w:tcPr>
          <w:p w:rsidR="003D33CD" w:rsidRDefault="003D33CD" w:rsidP="004A4E41">
            <w:pPr>
              <w:pStyle w:val="libFootnote0"/>
              <w:rPr>
                <w:rtl/>
              </w:rPr>
            </w:pPr>
            <w:r>
              <w:rPr>
                <w:rtl/>
              </w:rPr>
              <w:t>(3).</w:t>
            </w:r>
            <w:r w:rsidRPr="00C9040A">
              <w:rPr>
                <w:rtl/>
              </w:rPr>
              <w:t xml:space="preserve"> في الأمالي : + « قطّ »</w:t>
            </w:r>
            <w:r>
              <w:rPr>
                <w:rtl/>
              </w:rPr>
              <w:t>.</w:t>
            </w:r>
          </w:p>
        </w:tc>
      </w:tr>
      <w:tr w:rsidR="003D33CD" w:rsidTr="003D33CD">
        <w:tc>
          <w:tcPr>
            <w:tcW w:w="4006" w:type="dxa"/>
          </w:tcPr>
          <w:p w:rsidR="003D33CD" w:rsidRDefault="003D33CD" w:rsidP="004A4E41">
            <w:pPr>
              <w:pStyle w:val="libFootnote0"/>
              <w:rPr>
                <w:rtl/>
              </w:rPr>
            </w:pPr>
            <w:r>
              <w:rPr>
                <w:rtl/>
              </w:rPr>
              <w:t>(4).</w:t>
            </w:r>
            <w:r w:rsidRPr="00C9040A">
              <w:rPr>
                <w:rtl/>
              </w:rPr>
              <w:t xml:space="preserve"> في التوحيد والأمالي : « خاف »</w:t>
            </w:r>
            <w:r>
              <w:rPr>
                <w:rtl/>
              </w:rPr>
              <w:t>.</w:t>
            </w:r>
          </w:p>
        </w:tc>
        <w:tc>
          <w:tcPr>
            <w:tcW w:w="4006" w:type="dxa"/>
          </w:tcPr>
          <w:p w:rsidR="003D33CD" w:rsidRDefault="003D33CD" w:rsidP="004A4E41">
            <w:pPr>
              <w:pStyle w:val="libFootnote0"/>
              <w:rPr>
                <w:rtl/>
              </w:rPr>
            </w:pPr>
            <w:r>
              <w:rPr>
                <w:rtl/>
              </w:rPr>
              <w:t>(5).</w:t>
            </w:r>
            <w:r w:rsidRPr="00C9040A">
              <w:rPr>
                <w:rtl/>
              </w:rPr>
              <w:t xml:space="preserve"> في « ف » </w:t>
            </w:r>
            <w:r>
              <w:rPr>
                <w:rtl/>
              </w:rPr>
              <w:t>: -</w:t>
            </w:r>
            <w:r w:rsidRPr="00C9040A">
              <w:rPr>
                <w:rtl/>
              </w:rPr>
              <w:t xml:space="preserve"> « الله »</w:t>
            </w:r>
            <w:r>
              <w:rPr>
                <w:rtl/>
              </w:rPr>
              <w:t>.</w:t>
            </w:r>
          </w:p>
        </w:tc>
      </w:tr>
      <w:tr w:rsidR="003D33CD" w:rsidTr="003D33CD">
        <w:tc>
          <w:tcPr>
            <w:tcW w:w="4006" w:type="dxa"/>
          </w:tcPr>
          <w:p w:rsidR="003D33CD" w:rsidRDefault="001A3547" w:rsidP="004A4E41">
            <w:pPr>
              <w:pStyle w:val="libFootnote0"/>
              <w:rPr>
                <w:rtl/>
              </w:rPr>
            </w:pPr>
            <w:r>
              <w:rPr>
                <w:rtl/>
              </w:rPr>
              <w:t xml:space="preserve">(6). </w:t>
            </w:r>
            <w:r w:rsidRPr="00C9040A">
              <w:rPr>
                <w:rtl/>
              </w:rPr>
              <w:t>في التوحيد : « فلم ينجه »</w:t>
            </w:r>
            <w:r>
              <w:rPr>
                <w:rtl/>
              </w:rPr>
              <w:t>.</w:t>
            </w:r>
          </w:p>
        </w:tc>
        <w:tc>
          <w:tcPr>
            <w:tcW w:w="4006" w:type="dxa"/>
          </w:tcPr>
          <w:p w:rsidR="003D33CD" w:rsidRDefault="001A3547" w:rsidP="004A4E41">
            <w:pPr>
              <w:pStyle w:val="libFootnote0"/>
              <w:rPr>
                <w:rtl/>
              </w:rPr>
            </w:pPr>
            <w:r>
              <w:rPr>
                <w:rtl/>
              </w:rPr>
              <w:t>(7).</w:t>
            </w:r>
            <w:r w:rsidRPr="00C9040A">
              <w:rPr>
                <w:rtl/>
              </w:rPr>
              <w:t xml:space="preserve"> في « ب</w:t>
            </w:r>
            <w:r>
              <w:rPr>
                <w:rtl/>
              </w:rPr>
              <w:t xml:space="preserve"> »: -</w:t>
            </w:r>
            <w:r w:rsidRPr="00C9040A">
              <w:rPr>
                <w:rtl/>
              </w:rPr>
              <w:t xml:space="preserve"> « قال »</w:t>
            </w:r>
            <w:r>
              <w:rPr>
                <w:rtl/>
              </w:rPr>
              <w:t>. وفي «ص</w:t>
            </w:r>
            <w:r w:rsidRPr="00C9040A">
              <w:rPr>
                <w:rtl/>
              </w:rPr>
              <w:t>» : « فقال »</w:t>
            </w:r>
            <w:r>
              <w:rPr>
                <w:rtl/>
              </w:rPr>
              <w:t>.</w:t>
            </w:r>
          </w:p>
        </w:tc>
      </w:tr>
    </w:tbl>
    <w:p w:rsidR="008A74EB" w:rsidRPr="00C9040A" w:rsidRDefault="006C577F" w:rsidP="004A4E41">
      <w:pPr>
        <w:pStyle w:val="libFootnote0"/>
        <w:rPr>
          <w:rtl/>
          <w:lang w:bidi="fa-IR"/>
        </w:rPr>
      </w:pPr>
      <w:r>
        <w:rPr>
          <w:rtl/>
        </w:rPr>
        <w:t>(8).</w:t>
      </w:r>
      <w:r w:rsidR="008A74EB" w:rsidRPr="00C9040A">
        <w:rPr>
          <w:rtl/>
        </w:rPr>
        <w:t xml:space="preserve"> في التوحيد والإرشاد والأمالي : « ثمّ نظرت فإذا ليس قدّامي أحد » بدل « ثمّ غاب عنّي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w:t>
      </w:r>
      <w:r w:rsidR="008A74EB" w:rsidRPr="00993B55">
        <w:rPr>
          <w:rStyle w:val="libFootnoteBoldChar"/>
          <w:rtl/>
        </w:rPr>
        <w:t>التوحيد</w:t>
      </w:r>
      <w:r w:rsidR="008A74EB" w:rsidRPr="00C9040A">
        <w:rPr>
          <w:rtl/>
        </w:rPr>
        <w:t xml:space="preserve"> ، ص 373 ، ح 17 ؛ و</w:t>
      </w:r>
      <w:r w:rsidR="008A74EB" w:rsidRPr="00993B55">
        <w:rPr>
          <w:rStyle w:val="libFootnoteBoldChar"/>
          <w:rtl/>
        </w:rPr>
        <w:t>الإرشاد</w:t>
      </w:r>
      <w:r w:rsidR="008A74EB" w:rsidRPr="00C9040A">
        <w:rPr>
          <w:rtl/>
        </w:rPr>
        <w:t xml:space="preserve"> ، ج 2 ، ص 148 ، بسندهما عن أبي حفص الأعشى ، عن أبي حمزة الثمالي ، مع اختلاف يسير ؛ </w:t>
      </w:r>
      <w:r w:rsidR="008A74EB" w:rsidRPr="0034021D">
        <w:rPr>
          <w:rStyle w:val="libFootnoteBoldChar"/>
          <w:rtl/>
        </w:rPr>
        <w:t>الأمالي للمفيد</w:t>
      </w:r>
      <w:r w:rsidR="008A74EB" w:rsidRPr="00C9040A">
        <w:rPr>
          <w:rtl/>
        </w:rPr>
        <w:t xml:space="preserve"> ، ص 204 ، المجلس 23 ، ح 34 ، بسنده عن أبي حفص الأعشى ومحمّد بن سنان ، عن رجل من بني أسد ، جميعاً عن أبي حمزة الثمالي ، مع اختلاف يسير. </w:t>
      </w:r>
      <w:r w:rsidR="008A74EB" w:rsidRPr="00993B55">
        <w:rPr>
          <w:rStyle w:val="libFootnoteBoldChar"/>
          <w:rtl/>
        </w:rPr>
        <w:t>كمال الدين</w:t>
      </w:r>
      <w:r w:rsidR="008A74EB" w:rsidRPr="00C9040A">
        <w:rPr>
          <w:rtl/>
        </w:rPr>
        <w:t xml:space="preserve"> ، ص 386 ، ح 2 ، بسند آخر عن الصادق </w:t>
      </w:r>
      <w:r w:rsidR="00117575" w:rsidRPr="00117575">
        <w:rPr>
          <w:rStyle w:val="libFootnoteAlaemChar"/>
          <w:rtl/>
        </w:rPr>
        <w:t>عليه‌السلام</w:t>
      </w:r>
      <w:r w:rsidR="008A74EB" w:rsidRPr="00C9040A">
        <w:rPr>
          <w:rtl/>
        </w:rPr>
        <w:t xml:space="preserve"> ، وفيه : « خرج أبو جعفر محمّد بن عليّ الباقر </w:t>
      </w:r>
      <w:r w:rsidR="00117575" w:rsidRPr="00117575">
        <w:rPr>
          <w:rStyle w:val="libFootnoteAlaemChar"/>
          <w:rtl/>
        </w:rPr>
        <w:t>عليهما‌السلام</w:t>
      </w:r>
      <w:r w:rsidR="008A74EB" w:rsidRPr="00C9040A">
        <w:rPr>
          <w:rtl/>
        </w:rPr>
        <w:t xml:space="preserve"> بالمدينة فتضجّر واتّكأ على جدار</w:t>
      </w:r>
      <w:r w:rsidR="008A74EB">
        <w:rPr>
          <w:rtl/>
        </w:rPr>
        <w:t xml:space="preserve"> ..</w:t>
      </w:r>
      <w:r w:rsidR="008A74EB" w:rsidRPr="00C9040A">
        <w:rPr>
          <w:rtl/>
        </w:rPr>
        <w:t>. » مع اختلاف وزيادة في آخره</w:t>
      </w:r>
      <w:r w:rsidR="000D1D13">
        <w:rPr>
          <w:rFonts w:hint="cs"/>
          <w:rtl/>
        </w:rPr>
        <w:t>.</w:t>
      </w:r>
      <w:r w:rsidR="008A74EB" w:rsidRPr="00993B55">
        <w:rPr>
          <w:rStyle w:val="libFootnoteBoldChar"/>
          <w:rtl/>
        </w:rPr>
        <w:t>الوافي</w:t>
      </w:r>
      <w:r w:rsidR="008A74EB" w:rsidRPr="00C9040A">
        <w:rPr>
          <w:rtl/>
        </w:rPr>
        <w:t xml:space="preserve"> ، ج 4 ، ص 281 ، ح 1947 ؛ </w:t>
      </w:r>
      <w:r w:rsidR="008A74EB" w:rsidRPr="00993B55">
        <w:rPr>
          <w:rStyle w:val="libFootnoteBoldChar"/>
          <w:rtl/>
        </w:rPr>
        <w:t>الوسائل</w:t>
      </w:r>
      <w:r w:rsidR="008A74EB" w:rsidRPr="00C9040A">
        <w:rPr>
          <w:rtl/>
        </w:rPr>
        <w:t xml:space="preserve"> ، ج 15 ، ص 212 ، ح 20305 ؛ </w:t>
      </w:r>
      <w:r w:rsidR="008A74EB" w:rsidRPr="00993B55">
        <w:rPr>
          <w:rStyle w:val="libFootnoteBoldChar"/>
          <w:rtl/>
        </w:rPr>
        <w:t>البحار</w:t>
      </w:r>
      <w:r w:rsidR="008A74EB" w:rsidRPr="00C9040A">
        <w:rPr>
          <w:rtl/>
        </w:rPr>
        <w:t xml:space="preserve"> ، ج 71 ، ص 122 ، ح 1.</w:t>
      </w:r>
    </w:p>
    <w:p w:rsidR="008A74EB" w:rsidRPr="00C9040A" w:rsidRDefault="006C577F" w:rsidP="004A4E41">
      <w:pPr>
        <w:pStyle w:val="libFootnote0"/>
        <w:rPr>
          <w:rtl/>
          <w:lang w:bidi="fa-IR"/>
        </w:rPr>
      </w:pPr>
      <w:r>
        <w:rPr>
          <w:rtl/>
        </w:rPr>
        <w:t>(10).</w:t>
      </w:r>
      <w:r w:rsidR="008A74EB" w:rsidRPr="00C9040A">
        <w:rPr>
          <w:rtl/>
        </w:rPr>
        <w:t xml:space="preserve"> في « ص » وتحف العقول : « أوطناه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w:t>
      </w:r>
      <w:r w:rsidR="008A74EB" w:rsidRPr="00993B55">
        <w:rPr>
          <w:rStyle w:val="libFootnoteBoldChar"/>
          <w:rtl/>
        </w:rPr>
        <w:t>فقه الرضا</w:t>
      </w:r>
      <w:r w:rsidR="008A74EB" w:rsidRPr="00C9040A">
        <w:rPr>
          <w:rtl/>
        </w:rPr>
        <w:t xml:space="preserve"> </w:t>
      </w:r>
      <w:r w:rsidR="00117575" w:rsidRPr="00117575">
        <w:rPr>
          <w:rStyle w:val="libFootnoteAlaemChar"/>
          <w:rtl/>
        </w:rPr>
        <w:t>عليه‌السلام</w:t>
      </w:r>
      <w:r w:rsidR="008A74EB" w:rsidRPr="00C9040A">
        <w:rPr>
          <w:rtl/>
        </w:rPr>
        <w:t xml:space="preserve"> ، ص 358 ؛ </w:t>
      </w:r>
      <w:r w:rsidR="008A74EB" w:rsidRPr="00993B55">
        <w:rPr>
          <w:rStyle w:val="libFootnoteBoldChar"/>
          <w:rtl/>
        </w:rPr>
        <w:t>تحف العقول</w:t>
      </w:r>
      <w:r w:rsidR="008A74EB" w:rsidRPr="00C9040A">
        <w:rPr>
          <w:rtl/>
        </w:rPr>
        <w:t xml:space="preserve"> ، ص 373</w:t>
      </w:r>
      <w:r w:rsidR="000D1D13">
        <w:rPr>
          <w:rFonts w:hint="cs"/>
          <w:rtl/>
        </w:rPr>
        <w:t>.</w:t>
      </w:r>
      <w:r w:rsidR="008A74EB" w:rsidRPr="00993B55">
        <w:rPr>
          <w:rStyle w:val="libFootnoteBoldChar"/>
          <w:rtl/>
        </w:rPr>
        <w:t>الوافي</w:t>
      </w:r>
      <w:r w:rsidR="008A74EB" w:rsidRPr="00C9040A">
        <w:rPr>
          <w:rtl/>
        </w:rPr>
        <w:t xml:space="preserve"> ، ج 4 ، ص 282 ، ح 1948 ؛ </w:t>
      </w:r>
      <w:r w:rsidR="008A74EB" w:rsidRPr="00993B55">
        <w:rPr>
          <w:rStyle w:val="libFootnoteBoldChar"/>
          <w:rtl/>
        </w:rPr>
        <w:t>الوسائل</w:t>
      </w:r>
      <w:r w:rsidR="008A74EB" w:rsidRPr="00C9040A">
        <w:rPr>
          <w:rtl/>
        </w:rPr>
        <w:t xml:space="preserve"> ، ج 15 ، ص 212 ، ح 20306 ؛ </w:t>
      </w:r>
      <w:r w:rsidR="008A74EB" w:rsidRPr="00993B55">
        <w:rPr>
          <w:rStyle w:val="libFootnoteBoldChar"/>
          <w:rtl/>
        </w:rPr>
        <w:t>البحار</w:t>
      </w:r>
      <w:r w:rsidR="008A74EB" w:rsidRPr="00C9040A">
        <w:rPr>
          <w:rtl/>
        </w:rPr>
        <w:t xml:space="preserve"> ، ج 71 ، ص 126 ، ح 3.</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حَسَّانَ ، مِثْلَهُ.</w:t>
      </w:r>
    </w:p>
    <w:p w:rsidR="008A74EB" w:rsidRPr="00C9040A" w:rsidRDefault="008A74EB" w:rsidP="008A74EB">
      <w:pPr>
        <w:pStyle w:val="libNormal"/>
        <w:rPr>
          <w:rtl/>
          <w:lang w:bidi="fa-IR"/>
        </w:rPr>
      </w:pPr>
      <w:r w:rsidRPr="000D102C">
        <w:rPr>
          <w:rtl/>
        </w:rPr>
        <w:t>1594</w:t>
      </w:r>
      <w:r w:rsidRPr="00261CB0">
        <w:rPr>
          <w:rStyle w:val="libBold2Char"/>
          <w:rtl/>
        </w:rPr>
        <w:t xml:space="preserve"> / 4.</w:t>
      </w:r>
      <w:r w:rsidRPr="00C9040A">
        <w:rPr>
          <w:rtl/>
          <w:lang w:bidi="fa-IR"/>
        </w:rPr>
        <w:t xml:space="preserve"> مُحَمَّدُ بْنُ يَحْيى ، عَنْ أَحْمَدَ بْنِ مُحَمَّدِ بْنِ عِيسى ، عَنِ ابْنِ مَحْبُوبٍ ، عَنْ عَبْدِ اللهِ بْنِ سِنَانٍ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أَيُّمَا عَبْدٍ أَقْبَلَ قِبَلَ </w:t>
      </w:r>
      <w:r w:rsidR="006C577F" w:rsidRPr="006C577F">
        <w:rPr>
          <w:rStyle w:val="libFootnotenumChar"/>
          <w:rtl/>
        </w:rPr>
        <w:t>(1)</w:t>
      </w:r>
      <w:r w:rsidRPr="002712F0">
        <w:rPr>
          <w:rFonts w:hint="cs"/>
          <w:rtl/>
        </w:rPr>
        <w:t xml:space="preserve"> </w:t>
      </w:r>
      <w:r w:rsidRPr="00C9040A">
        <w:rPr>
          <w:rtl/>
          <w:lang w:bidi="fa-IR"/>
        </w:rPr>
        <w:t>مَا يُحِبُّ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أَقْبَلَ اللهُ قِبَلَ مَا يُحِبُّ ؛ وَمَنِ اعْتَصَمَ بِاللهِ عَصَمَهُ اللهُ </w:t>
      </w:r>
      <w:r w:rsidR="006C577F" w:rsidRPr="006C577F">
        <w:rPr>
          <w:rStyle w:val="libFootnotenumChar"/>
          <w:rtl/>
        </w:rPr>
        <w:t>(2)</w:t>
      </w:r>
      <w:r w:rsidRPr="00C9040A">
        <w:rPr>
          <w:rtl/>
          <w:lang w:bidi="fa-IR"/>
        </w:rPr>
        <w:t xml:space="preserve"> ؛ وَمَنْ أَقْبَلَ اللهُ قِبَلَهُ وَ</w:t>
      </w:r>
      <w:r>
        <w:rPr>
          <w:rFonts w:hint="cs"/>
          <w:rtl/>
          <w:lang w:bidi="fa-IR"/>
        </w:rPr>
        <w:t xml:space="preserve"> </w:t>
      </w:r>
      <w:r w:rsidR="006C577F" w:rsidRPr="006C577F">
        <w:rPr>
          <w:rStyle w:val="libFootnotenumChar"/>
          <w:rtl/>
        </w:rPr>
        <w:t>(3)</w:t>
      </w:r>
      <w:r w:rsidRPr="00C9040A">
        <w:rPr>
          <w:rtl/>
          <w:lang w:bidi="fa-IR"/>
        </w:rPr>
        <w:t xml:space="preserve"> عَصَمَهُ لَمْ يُبَالِ لَوْ سَقَطَتِ السَّمَاءُ عَلَى الْأَرْضِ ، أَوْ كَانَتْ </w:t>
      </w:r>
      <w:r w:rsidR="006C577F" w:rsidRPr="006C577F">
        <w:rPr>
          <w:rStyle w:val="libFootnotenumChar"/>
          <w:rtl/>
        </w:rPr>
        <w:t>(4)</w:t>
      </w:r>
      <w:r w:rsidRPr="00C9040A">
        <w:rPr>
          <w:rtl/>
          <w:lang w:bidi="fa-IR"/>
        </w:rPr>
        <w:t xml:space="preserve"> نَازِلَةٌ نَزَلَتْ عَلى أَهْلِ الْأَرْضِ ، فَشَمِلَتْهُمْ بَلِيَّةٌ </w:t>
      </w:r>
      <w:r w:rsidR="006C577F" w:rsidRPr="006C577F">
        <w:rPr>
          <w:rStyle w:val="libFootnotenumChar"/>
          <w:rtl/>
        </w:rPr>
        <w:t>(5)</w:t>
      </w:r>
      <w:r w:rsidRPr="00C9040A">
        <w:rPr>
          <w:rtl/>
          <w:lang w:bidi="fa-IR"/>
        </w:rPr>
        <w:t xml:space="preserve"> ، كَانَ فِي حِزْبِ اللهِ بِالتّ</w:t>
      </w:r>
      <w:r>
        <w:rPr>
          <w:rtl/>
          <w:lang w:bidi="fa-IR"/>
        </w:rPr>
        <w:t>َقْوى مِنْ كُلِّ بَلِيَّةٍ ، أَ</w:t>
      </w:r>
      <w:r w:rsidRPr="00C9040A">
        <w:rPr>
          <w:rtl/>
          <w:lang w:bidi="fa-IR"/>
        </w:rPr>
        <w:t>لَيْسَ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يَقُولُ : </w:t>
      </w:r>
      <w:r w:rsidRPr="0003660B">
        <w:rPr>
          <w:rStyle w:val="libAlaemChar"/>
          <w:rtl/>
        </w:rPr>
        <w:t>(</w:t>
      </w:r>
      <w:r w:rsidRPr="006A2246">
        <w:rPr>
          <w:rStyle w:val="libAieChar"/>
          <w:rtl/>
        </w:rPr>
        <w:t xml:space="preserve"> إِنَّ الْمُتَّقِينَ فِي مَقامٍ أَمِينٍ </w:t>
      </w:r>
      <w:r w:rsidRPr="0003660B">
        <w:rPr>
          <w:rStyle w:val="libAlaemChar"/>
          <w:rtl/>
        </w:rPr>
        <w:t>)</w:t>
      </w:r>
      <w:r w:rsidRPr="00C9040A">
        <w:rPr>
          <w:rtl/>
          <w:lang w:bidi="fa-IR"/>
        </w:rPr>
        <w:t xml:space="preserve"> </w:t>
      </w:r>
      <w:r w:rsidR="006C577F" w:rsidRPr="006C577F">
        <w:rPr>
          <w:rStyle w:val="libFootnotenumChar"/>
          <w:rtl/>
        </w:rPr>
        <w:t>(6)</w:t>
      </w:r>
      <w:r w:rsidRPr="00F90AFE">
        <w:rPr>
          <w:rtl/>
        </w:rPr>
        <w:t>؟</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0D102C">
        <w:rPr>
          <w:rtl/>
        </w:rPr>
        <w:t>1595</w:t>
      </w:r>
      <w:r w:rsidRPr="00261CB0">
        <w:rPr>
          <w:rStyle w:val="libBold2Char"/>
          <w:rtl/>
        </w:rPr>
        <w:t xml:space="preserve"> / 5.</w:t>
      </w:r>
      <w:r w:rsidRPr="00C9040A">
        <w:rPr>
          <w:rtl/>
          <w:lang w:bidi="fa-IR"/>
        </w:rPr>
        <w:t xml:space="preserve"> عِدَّةٌ مِنْ أَصْحَابِنَا ، عَنْ أَحْمَدَ بْنِ مُحَمَّدِ بْنِ خَالِدٍ ، عَنْ غَيْرِ وَاحِدٍ ، عَنْ عَلِيِّ بْنِ أَسْبَاطٍ ، عَن</w:t>
      </w:r>
      <w:r w:rsidR="00D11C7F">
        <w:rPr>
          <w:rtl/>
          <w:lang w:bidi="fa-IR"/>
        </w:rPr>
        <w:t>ْ أَحْمَدَ بْنِ عُمَرَ الْحَل</w:t>
      </w:r>
      <w:r w:rsidR="00D11C7F">
        <w:rPr>
          <w:rFonts w:hint="cs"/>
          <w:rtl/>
          <w:lang w:bidi="fa-IR"/>
        </w:rPr>
        <w:t>َّ</w:t>
      </w:r>
      <w:r w:rsidR="00D11C7F">
        <w:rPr>
          <w:rtl/>
          <w:lang w:bidi="fa-IR"/>
        </w:rPr>
        <w:t>ا</w:t>
      </w:r>
      <w:r w:rsidRPr="00C9040A">
        <w:rPr>
          <w:rtl/>
          <w:lang w:bidi="fa-IR"/>
        </w:rPr>
        <w:t>لِ ، عَنْ عَلِيِّ بْنِ سُوَيْدٍ :</w:t>
      </w:r>
    </w:p>
    <w:p w:rsidR="008A74EB" w:rsidRPr="00C9040A" w:rsidRDefault="008A74EB" w:rsidP="00E312FC">
      <w:pPr>
        <w:pStyle w:val="libNormal"/>
        <w:rPr>
          <w:rtl/>
        </w:rPr>
      </w:pPr>
      <w:r w:rsidRPr="00C9040A">
        <w:rPr>
          <w:rtl/>
          <w:lang w:bidi="fa-IR"/>
        </w:rPr>
        <w:t xml:space="preserve">عَنْ أَبِي الْحَسَنِ الْأَوَّلِ </w:t>
      </w:r>
      <w:r w:rsidRPr="0003660B">
        <w:rPr>
          <w:rStyle w:val="libAlaemChar"/>
          <w:rtl/>
        </w:rPr>
        <w:t>عليه‌السلام</w:t>
      </w:r>
      <w:r w:rsidRPr="00C9040A">
        <w:rPr>
          <w:rtl/>
          <w:lang w:bidi="fa-IR"/>
        </w:rPr>
        <w:t xml:space="preserve"> ، قَالَ : سَأَلْتُهُ عَنْ قَوْلِ اللهِ عَزَّ وَجَلَّ : </w:t>
      </w:r>
      <w:r w:rsidRPr="0003660B">
        <w:rPr>
          <w:rStyle w:val="libAlaemChar"/>
          <w:rtl/>
        </w:rPr>
        <w:t>(</w:t>
      </w:r>
      <w:r w:rsidRPr="006A2246">
        <w:rPr>
          <w:rStyle w:val="libAieChar"/>
          <w:rtl/>
        </w:rPr>
        <w:t xml:space="preserve"> وَمَنْ يَتَوَكَّلْ عَلَى اللهِ فَهُوَ حَسْبُهُ </w:t>
      </w:r>
      <w:r w:rsidRPr="0003660B">
        <w:rPr>
          <w:rStyle w:val="libAlaemChar"/>
          <w:rtl/>
        </w:rPr>
        <w:t>)</w:t>
      </w:r>
      <w:r w:rsidRPr="00C9040A">
        <w:rPr>
          <w:rtl/>
          <w:lang w:bidi="fa-IR"/>
        </w:rPr>
        <w:t xml:space="preserve"> </w:t>
      </w:r>
      <w:r w:rsidR="006C577F" w:rsidRPr="006C577F">
        <w:rPr>
          <w:rStyle w:val="libFootnotenumChar"/>
          <w:rtl/>
        </w:rPr>
        <w:t>(8)</w:t>
      </w:r>
      <w:r w:rsidRPr="00C9040A">
        <w:rPr>
          <w:rtl/>
          <w:lang w:bidi="fa-IR"/>
        </w:rPr>
        <w:t xml:space="preserve"> فَقَالَ : « التَّوَكُّلُ عَلَى اللهِ دَرَجَاتٌ : مِنْهَا أَنْ تَتَوَكَّلَ </w:t>
      </w:r>
      <w:r w:rsidR="006C577F" w:rsidRPr="006C577F">
        <w:rPr>
          <w:rStyle w:val="libFootnotenumChar"/>
          <w:rtl/>
        </w:rPr>
        <w:t>(9)</w:t>
      </w:r>
      <w:r w:rsidRPr="00C9040A">
        <w:rPr>
          <w:rtl/>
          <w:lang w:bidi="fa-IR"/>
        </w:rPr>
        <w:t xml:space="preserve"> عَلَى اللهِ فِي أُمُورِكَ كُلِّهَا ، فَمَا فَعَلَ بِكَ كُنْتَ عَنْهُ رَاضِياً ، تَعْلَمُ أَنَّهُ لَايَأْلُوكَ خَيْراً وَفَضْلاً ، وَتَعْلَمُ أَنَّ الْحُكْمَ فِي ذلِكَ لَهُ ؛ فَتَوَكَّلْ عَلَى اللهِ بِتَفْوِيضِ ذلِكَ إِلَيْهِ ، وَثِقْ </w:t>
      </w:r>
      <w:r w:rsidR="006C577F" w:rsidRPr="006C577F">
        <w:rPr>
          <w:rStyle w:val="libFootnotenumChar"/>
          <w:rtl/>
        </w:rPr>
        <w:t>(10)</w:t>
      </w:r>
      <w:r>
        <w:rPr>
          <w:rFonts w:hint="cs"/>
          <w:rtl/>
          <w:lang w:bidi="fa-IR"/>
        </w:rPr>
        <w:t xml:space="preserve"> به ف</w:t>
      </w:r>
      <w:r>
        <w:rPr>
          <w:rFonts w:hint="cs"/>
          <w:rtl/>
        </w:rPr>
        <w:t xml:space="preserve">يها وفي غَيرِها ». </w:t>
      </w:r>
      <w:r w:rsidR="006C577F" w:rsidRPr="006C577F">
        <w:rPr>
          <w:rStyle w:val="libFootnotenumChar"/>
          <w:rFonts w:hint="cs"/>
          <w:rtl/>
        </w:rPr>
        <w:t>(11)</w:t>
      </w:r>
    </w:p>
    <w:p w:rsidR="008A74EB" w:rsidRPr="00C9040A" w:rsidRDefault="008A74EB" w:rsidP="008A74EB">
      <w:pPr>
        <w:pStyle w:val="libLine"/>
        <w:rPr>
          <w:rtl/>
          <w:lang w:bidi="fa-IR"/>
        </w:rPr>
      </w:pPr>
      <w:r w:rsidRPr="00C9040A">
        <w:rPr>
          <w:rtl/>
          <w:lang w:bidi="fa-IR"/>
        </w:rPr>
        <w:t>__________________</w:t>
      </w:r>
    </w:p>
    <w:p w:rsidR="008A74EB" w:rsidRPr="004A4E41" w:rsidRDefault="006C577F" w:rsidP="004A4E41">
      <w:pPr>
        <w:pStyle w:val="libFootnote0"/>
        <w:rPr>
          <w:rStyle w:val="libFootnote0Char"/>
          <w:rtl/>
        </w:rPr>
      </w:pPr>
      <w:r>
        <w:rPr>
          <w:rtl/>
        </w:rPr>
        <w:t>(1).</w:t>
      </w:r>
      <w:r w:rsidR="008A74EB" w:rsidRPr="00C9040A">
        <w:rPr>
          <w:rtl/>
        </w:rPr>
        <w:t xml:space="preserve"> « قبل » إمّا بكسر القاف وفتح الباء ، وإمّا بضمّ الكاف وسكون الباء. والنسخ مختلفة.</w:t>
      </w:r>
    </w:p>
    <w:tbl>
      <w:tblPr>
        <w:tblStyle w:val="TableGrid"/>
        <w:bidiVisual/>
        <w:tblW w:w="0" w:type="auto"/>
        <w:tblLook w:val="04A0" w:firstRow="1" w:lastRow="0" w:firstColumn="1" w:lastColumn="0" w:noHBand="0" w:noVBand="1"/>
      </w:tblPr>
      <w:tblGrid>
        <w:gridCol w:w="4006"/>
        <w:gridCol w:w="4006"/>
      </w:tblGrid>
      <w:tr w:rsidR="00403FE9" w:rsidTr="00403FE9">
        <w:tc>
          <w:tcPr>
            <w:tcW w:w="4006" w:type="dxa"/>
          </w:tcPr>
          <w:p w:rsidR="00403FE9" w:rsidRDefault="00403FE9" w:rsidP="004A4E41">
            <w:pPr>
              <w:pStyle w:val="libFootnote0"/>
              <w:rPr>
                <w:rtl/>
              </w:rPr>
            </w:pPr>
            <w:r>
              <w:rPr>
                <w:rtl/>
              </w:rPr>
              <w:t xml:space="preserve">(2). </w:t>
            </w:r>
            <w:r w:rsidRPr="00C9040A">
              <w:rPr>
                <w:rtl/>
              </w:rPr>
              <w:t xml:space="preserve">في « بس » </w:t>
            </w:r>
            <w:r>
              <w:rPr>
                <w:rtl/>
              </w:rPr>
              <w:t>: -</w:t>
            </w:r>
            <w:r w:rsidRPr="00C9040A">
              <w:rPr>
                <w:rtl/>
              </w:rPr>
              <w:t xml:space="preserve"> « الله »</w:t>
            </w:r>
            <w:r>
              <w:rPr>
                <w:rtl/>
              </w:rPr>
              <w:t>.</w:t>
            </w:r>
          </w:p>
        </w:tc>
        <w:tc>
          <w:tcPr>
            <w:tcW w:w="4006" w:type="dxa"/>
          </w:tcPr>
          <w:p w:rsidR="00403FE9" w:rsidRDefault="00403FE9" w:rsidP="004A4E41">
            <w:pPr>
              <w:pStyle w:val="libFootnote0"/>
              <w:rPr>
                <w:rtl/>
              </w:rPr>
            </w:pPr>
            <w:r>
              <w:rPr>
                <w:rtl/>
              </w:rPr>
              <w:t>(3).</w:t>
            </w:r>
            <w:r w:rsidRPr="00C9040A">
              <w:rPr>
                <w:rtl/>
              </w:rPr>
              <w:t xml:space="preserve"> في « بر ، بف » : + « من »</w:t>
            </w:r>
            <w:r>
              <w:rPr>
                <w:rtl/>
              </w:rPr>
              <w:t>.</w:t>
            </w:r>
          </w:p>
        </w:tc>
      </w:tr>
    </w:tbl>
    <w:p w:rsidR="008A74EB" w:rsidRPr="00C9040A" w:rsidRDefault="006C577F" w:rsidP="004A4E41">
      <w:pPr>
        <w:pStyle w:val="libFootnote0"/>
        <w:rPr>
          <w:rtl/>
          <w:lang w:bidi="fa-IR"/>
        </w:rPr>
      </w:pPr>
      <w:r>
        <w:rPr>
          <w:rtl/>
        </w:rPr>
        <w:t>(4).</w:t>
      </w:r>
      <w:r w:rsidR="008A74EB" w:rsidRPr="00C9040A">
        <w:rPr>
          <w:rtl/>
        </w:rPr>
        <w:t xml:space="preserve"> في « ب » : « وكانت »</w:t>
      </w:r>
      <w:r w:rsidR="008A74EB">
        <w:rPr>
          <w:rtl/>
        </w:rPr>
        <w:t>.</w:t>
      </w:r>
      <w:r w:rsidR="008A74EB" w:rsidRPr="00C9040A">
        <w:rPr>
          <w:rtl/>
        </w:rPr>
        <w:t xml:space="preserve"> وفي حاشية « ض » : « ولو كان » كلاهما بدل « أو كانت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w:t>
      </w:r>
      <w:r w:rsidR="008A74EB" w:rsidRPr="00993B55">
        <w:rPr>
          <w:rStyle w:val="libFootnoteBoldChar"/>
          <w:rtl/>
        </w:rPr>
        <w:t>مرآة العقول</w:t>
      </w:r>
      <w:r w:rsidR="008A74EB" w:rsidRPr="00C9040A">
        <w:rPr>
          <w:rtl/>
        </w:rPr>
        <w:t xml:space="preserve"> : « فشملتهم بليّة ، بالنصب على التميز. أو بالرفع ، أي شملتهم بليّة بسبب النازلة. أو يكون من قبيل وضع الظاهر موضع المضمر »</w:t>
      </w:r>
      <w:r w:rsidR="008A74EB">
        <w:rPr>
          <w:rtl/>
        </w:rPr>
        <w:t>.</w:t>
      </w:r>
      <w:r w:rsidR="00BF2B13">
        <w:rPr>
          <w:rFonts w:hint="cs"/>
          <w:rtl/>
        </w:rPr>
        <w:t xml:space="preserve">                     </w:t>
      </w:r>
      <w:r>
        <w:rPr>
          <w:rtl/>
        </w:rPr>
        <w:t>(6).</w:t>
      </w:r>
      <w:r w:rsidR="008A74EB">
        <w:rPr>
          <w:rtl/>
        </w:rPr>
        <w:t xml:space="preserve"> </w:t>
      </w:r>
      <w:r w:rsidR="008A74EB" w:rsidRPr="00C9040A">
        <w:rPr>
          <w:rtl/>
        </w:rPr>
        <w:t>الدخان (44) : 51.</w:t>
      </w:r>
    </w:p>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الوافي</w:t>
      </w:r>
      <w:r w:rsidR="008A74EB" w:rsidRPr="00C9040A">
        <w:rPr>
          <w:rtl/>
        </w:rPr>
        <w:t xml:space="preserve"> ، ج 4 ، ص 282 ، ح 1949 ؛ </w:t>
      </w:r>
      <w:r w:rsidR="008A74EB" w:rsidRPr="00993B55">
        <w:rPr>
          <w:rStyle w:val="libFootnoteBoldChar"/>
          <w:rtl/>
        </w:rPr>
        <w:t>الوسائل</w:t>
      </w:r>
      <w:r w:rsidR="008A74EB" w:rsidRPr="00C9040A">
        <w:rPr>
          <w:rtl/>
        </w:rPr>
        <w:t xml:space="preserve"> ، ج 15 ، ص 211 ، ح 20303 ؛ </w:t>
      </w:r>
      <w:r w:rsidR="008A74EB" w:rsidRPr="00993B55">
        <w:rPr>
          <w:rStyle w:val="libFootnoteBoldChar"/>
          <w:rtl/>
        </w:rPr>
        <w:t>البحار</w:t>
      </w:r>
      <w:r w:rsidR="008A74EB" w:rsidRPr="00C9040A">
        <w:rPr>
          <w:rtl/>
        </w:rPr>
        <w:t xml:space="preserve"> ، ج 71 ، ص 127 ، ح 4.</w:t>
      </w:r>
    </w:p>
    <w:p w:rsidR="008A74EB" w:rsidRPr="00C9040A" w:rsidRDefault="006C577F" w:rsidP="004A4E41">
      <w:pPr>
        <w:pStyle w:val="libFootnote0"/>
        <w:rPr>
          <w:rtl/>
          <w:lang w:bidi="fa-IR"/>
        </w:rPr>
      </w:pPr>
      <w:r>
        <w:rPr>
          <w:rtl/>
        </w:rPr>
        <w:t>(8).</w:t>
      </w:r>
      <w:r w:rsidR="008A74EB" w:rsidRPr="00C9040A">
        <w:rPr>
          <w:rtl/>
        </w:rPr>
        <w:t xml:space="preserve"> الطلاق (65) : 3. وفي « ص ، ف ، بس » : + </w:t>
      </w:r>
      <w:r w:rsidR="00A877AD" w:rsidRPr="00B866D3">
        <w:rPr>
          <w:rStyle w:val="libFootnoteAlaemChar"/>
          <w:rFonts w:hint="cs"/>
          <w:rtl/>
        </w:rPr>
        <w:t>(</w:t>
      </w:r>
      <w:r w:rsidR="008A74EB" w:rsidRPr="00A877AD">
        <w:rPr>
          <w:rStyle w:val="libFootnoteAieChar"/>
          <w:rtl/>
        </w:rPr>
        <w:t xml:space="preserve"> إِنَّ اللهَ بلِغُ أَمْرِهِ </w:t>
      </w:r>
      <w:r w:rsidR="00A877AD" w:rsidRPr="00B866D3">
        <w:rPr>
          <w:rStyle w:val="libFootnoteAlaemChar"/>
          <w:rFonts w:hint="cs"/>
          <w:rtl/>
        </w:rPr>
        <w:t>)</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ب ، د » : « أن يتوكّل »</w:t>
      </w:r>
      <w:r w:rsidR="008A74EB">
        <w:rPr>
          <w:rtl/>
        </w:rPr>
        <w:t>.</w:t>
      </w:r>
      <w:r w:rsidR="00D45034">
        <w:rPr>
          <w:rFonts w:hint="cs"/>
          <w:rtl/>
        </w:rPr>
        <w:t xml:space="preserve">                   </w:t>
      </w:r>
      <w:r>
        <w:rPr>
          <w:rtl/>
        </w:rPr>
        <w:t>(10).</w:t>
      </w:r>
      <w:r w:rsidR="008A74EB" w:rsidRPr="00C9040A">
        <w:rPr>
          <w:rtl/>
        </w:rPr>
        <w:t xml:space="preserve"> في « ب » : « ووثق »</w:t>
      </w:r>
      <w:r w:rsidR="008A74EB">
        <w:rPr>
          <w:rtl/>
        </w:rPr>
        <w:t>.</w:t>
      </w:r>
      <w:r w:rsidR="008A74EB" w:rsidRPr="00C9040A">
        <w:rPr>
          <w:rtl/>
        </w:rPr>
        <w:t xml:space="preserve"> وفي « د ، ص ، ض ، بر ، بف » وحاشية « ج ، ز » : « ووثقت »</w:t>
      </w:r>
      <w:r w:rsidR="008A74EB">
        <w:rPr>
          <w:rtl/>
        </w:rPr>
        <w:t>.</w:t>
      </w:r>
    </w:p>
    <w:p w:rsidR="008A74EB" w:rsidRDefault="006C577F" w:rsidP="004A4E41">
      <w:pPr>
        <w:pStyle w:val="libFootnote0"/>
        <w:rPr>
          <w:rtl/>
        </w:rPr>
      </w:pPr>
      <w:r>
        <w:rPr>
          <w:rFonts w:hint="cs"/>
          <w:rtl/>
          <w:lang w:bidi="fa-IR"/>
        </w:rPr>
        <w:t>(11).</w:t>
      </w:r>
      <w:r w:rsidR="008A74EB">
        <w:rPr>
          <w:rFonts w:hint="cs"/>
          <w:rtl/>
          <w:lang w:bidi="fa-IR"/>
        </w:rPr>
        <w:t xml:space="preserve"> تحف العقول </w:t>
      </w:r>
      <w:r w:rsidR="008A74EB">
        <w:rPr>
          <w:rFonts w:hint="cs"/>
          <w:rtl/>
        </w:rPr>
        <w:t xml:space="preserve">، ص 443 ، عن الرضا </w:t>
      </w:r>
      <w:r w:rsidR="00117575" w:rsidRPr="00117575">
        <w:rPr>
          <w:rStyle w:val="libFootnoteAlaemChar"/>
          <w:rtl/>
        </w:rPr>
        <w:t>عليه‌السلام</w:t>
      </w:r>
      <w:r w:rsidR="00A67A8E" w:rsidRPr="00C9040A">
        <w:rPr>
          <w:rtl/>
          <w:lang w:bidi="fa-IR"/>
        </w:rPr>
        <w:t xml:space="preserve"> </w:t>
      </w:r>
      <w:r w:rsidR="008A74EB">
        <w:rPr>
          <w:rFonts w:hint="cs"/>
          <w:rtl/>
        </w:rPr>
        <w:t xml:space="preserve">، مع اختلاف يسير وزيادة في آخره ؛ فقه الرضا </w:t>
      </w:r>
      <w:r w:rsidR="00117575" w:rsidRPr="00117575">
        <w:rPr>
          <w:rStyle w:val="libFootnoteAlaemChar"/>
          <w:rtl/>
        </w:rPr>
        <w:t>عليه‌السلام</w:t>
      </w:r>
      <w:r w:rsidR="002037CD" w:rsidRPr="00C9040A">
        <w:rPr>
          <w:rtl/>
          <w:lang w:bidi="fa-IR"/>
        </w:rPr>
        <w:t xml:space="preserve"> </w:t>
      </w:r>
      <w:r w:rsidR="008A74EB">
        <w:rPr>
          <w:rFonts w:hint="cs"/>
          <w:rtl/>
        </w:rPr>
        <w:t>، ص 358 ، وفيه</w:t>
      </w:r>
      <w:r w:rsidR="00635263">
        <w:rPr>
          <w:rFonts w:hint="cs"/>
          <w:rtl/>
        </w:rPr>
        <w:t xml:space="preserve"> =</w:t>
      </w:r>
    </w:p>
    <w:p w:rsidR="004B7F34" w:rsidRDefault="004B7F34" w:rsidP="004B7F34">
      <w:pPr>
        <w:pStyle w:val="libNormal"/>
        <w:rPr>
          <w:rtl/>
          <w:lang w:bidi="fa-IR"/>
        </w:rPr>
      </w:pPr>
      <w:r>
        <w:rPr>
          <w:rtl/>
          <w:lang w:bidi="fa-IR"/>
        </w:rPr>
        <w:br w:type="page"/>
      </w:r>
    </w:p>
    <w:p w:rsidR="006E6369" w:rsidRDefault="008A74EB" w:rsidP="006E6369">
      <w:pPr>
        <w:pStyle w:val="libNormal"/>
        <w:rPr>
          <w:rtl/>
          <w:lang w:bidi="fa-IR"/>
        </w:rPr>
      </w:pPr>
      <w:r w:rsidRPr="000D102C">
        <w:rPr>
          <w:rtl/>
        </w:rPr>
        <w:lastRenderedPageBreak/>
        <w:t>1596</w:t>
      </w:r>
      <w:r w:rsidRPr="00261CB0">
        <w:rPr>
          <w:rStyle w:val="libBold2Char"/>
          <w:rtl/>
        </w:rPr>
        <w:t xml:space="preserve"> / 6.</w:t>
      </w:r>
      <w:r w:rsidRPr="00C9040A">
        <w:rPr>
          <w:rtl/>
          <w:lang w:bidi="fa-IR"/>
        </w:rPr>
        <w:t xml:space="preserve"> عِدَّةٌ مِنْ أَصْحَابِنَا ، عَنْ سَهْلِ بْنِ زِيَادٍ ؛</w:t>
      </w:r>
    </w:p>
    <w:p w:rsidR="008A74EB" w:rsidRPr="00C9040A" w:rsidRDefault="008A74EB" w:rsidP="006E6369">
      <w:pPr>
        <w:pStyle w:val="libNormal"/>
        <w:rPr>
          <w:rtl/>
          <w:lang w:bidi="fa-IR"/>
        </w:rPr>
      </w:pPr>
      <w:r w:rsidRPr="00C9040A">
        <w:rPr>
          <w:rtl/>
          <w:lang w:bidi="fa-IR"/>
        </w:rPr>
        <w:t>وَعَلِيُّ بْنُ إِبْرَاهِيمَ ، عَنْ أَبِيهِ جَمِيعاً ، عَنْ يَحْيَى بْنِ الْمُبَارَكِ ، عَنْ عَبْدِ اللهِ بْنِ جَبَلَةَ ، عَنْ مُعَاوِيَةَ بْنِ وَهْبٍ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w:t>
      </w:r>
      <w:r w:rsidR="006C577F" w:rsidRPr="006C577F">
        <w:rPr>
          <w:rStyle w:val="libFootnotenumChar"/>
          <w:rtl/>
        </w:rPr>
        <w:t>(1)</w:t>
      </w:r>
      <w:r w:rsidRPr="001E6F92">
        <w:rPr>
          <w:rFonts w:hint="cs"/>
          <w:rtl/>
        </w:rPr>
        <w:t xml:space="preserve"> </w:t>
      </w:r>
      <w:r w:rsidRPr="00C9040A">
        <w:rPr>
          <w:rtl/>
          <w:lang w:bidi="fa-IR"/>
        </w:rPr>
        <w:t xml:space="preserve">: « مَنْ أُعْطِيَ ثَلَاثاً لَمْ يُمْنَعْ </w:t>
      </w:r>
      <w:r w:rsidR="006C577F" w:rsidRPr="006C577F">
        <w:rPr>
          <w:rStyle w:val="libFootnotenumChar"/>
          <w:rtl/>
        </w:rPr>
        <w:t>(2)</w:t>
      </w:r>
      <w:r w:rsidRPr="00C9040A">
        <w:rPr>
          <w:rtl/>
          <w:lang w:bidi="fa-IR"/>
        </w:rPr>
        <w:t xml:space="preserve"> ثَلَاثاً : مَنْ أُعْطِيَ الدُّعَاءَ أُعْطِيَ </w:t>
      </w:r>
      <w:r w:rsidR="006C577F" w:rsidRPr="006C577F">
        <w:rPr>
          <w:rStyle w:val="libFootnotenumChar"/>
          <w:rtl/>
        </w:rPr>
        <w:t>(3)</w:t>
      </w:r>
      <w:r w:rsidRPr="00C9040A">
        <w:rPr>
          <w:rtl/>
          <w:lang w:bidi="fa-IR"/>
        </w:rPr>
        <w:t xml:space="preserve"> الْإِجَابَةَ ، وَمَنْ أُعْطِيَ الشُّكْرَ أُعْطِيَ الزِّيَادَةَ ، وَمَنْ أُعْطِيَ التَّوَكُّلَ أُعْطِيَ الْكِفَايَةَ »</w:t>
      </w:r>
      <w:r>
        <w:rPr>
          <w:rtl/>
          <w:lang w:bidi="fa-IR"/>
        </w:rPr>
        <w:t>.</w:t>
      </w:r>
    </w:p>
    <w:p w:rsidR="008A74EB" w:rsidRPr="00C9040A" w:rsidRDefault="008A74EB" w:rsidP="008A74EB">
      <w:pPr>
        <w:pStyle w:val="libNormal"/>
        <w:rPr>
          <w:rtl/>
          <w:lang w:bidi="fa-IR"/>
        </w:rPr>
      </w:pPr>
      <w:r>
        <w:rPr>
          <w:rtl/>
          <w:lang w:bidi="fa-IR"/>
        </w:rPr>
        <w:t>ثُمَّ قَالَ : « أَ</w:t>
      </w:r>
      <w:r w:rsidRPr="00C9040A">
        <w:rPr>
          <w:rtl/>
          <w:lang w:bidi="fa-IR"/>
        </w:rPr>
        <w:t xml:space="preserve">تَلَوْتَ كِتَابَ اللهِ عَزَّ وَجَلَّ : </w:t>
      </w:r>
      <w:r w:rsidRPr="0003660B">
        <w:rPr>
          <w:rStyle w:val="libAlaemChar"/>
          <w:rtl/>
        </w:rPr>
        <w:t>(</w:t>
      </w:r>
      <w:r w:rsidRPr="006A2246">
        <w:rPr>
          <w:rStyle w:val="libAieChar"/>
          <w:rtl/>
        </w:rPr>
        <w:t xml:space="preserve"> وَمَنْ يَتَوَكَّلْ عَلَى اللهِ فَهُوَ حَسْبُهُ </w:t>
      </w:r>
      <w:r w:rsidRPr="0003660B">
        <w:rPr>
          <w:rStyle w:val="libAlaemChar"/>
          <w:rtl/>
        </w:rPr>
        <w:t>)</w:t>
      </w:r>
      <w:r w:rsidRPr="00C9040A">
        <w:rPr>
          <w:rtl/>
          <w:lang w:bidi="fa-IR"/>
        </w:rPr>
        <w:t xml:space="preserve"> وَقَالَ : </w:t>
      </w:r>
      <w:r w:rsidRPr="0003660B">
        <w:rPr>
          <w:rStyle w:val="libAlaemChar"/>
          <w:rtl/>
        </w:rPr>
        <w:t>(</w:t>
      </w:r>
      <w:r w:rsidRPr="006A2246">
        <w:rPr>
          <w:rStyle w:val="libAieChar"/>
          <w:rtl/>
        </w:rPr>
        <w:t xml:space="preserve"> لَئِنْ شَكَرْتُمْ لَأَزِيدَنَّكُمْ </w:t>
      </w:r>
      <w:r w:rsidRPr="0003660B">
        <w:rPr>
          <w:rStyle w:val="libAlaemChar"/>
          <w:rtl/>
        </w:rPr>
        <w:t>)</w:t>
      </w:r>
      <w:r w:rsidRPr="00C9040A">
        <w:rPr>
          <w:rtl/>
          <w:lang w:bidi="fa-IR"/>
        </w:rPr>
        <w:t xml:space="preserve"> </w:t>
      </w:r>
      <w:r w:rsidR="006C577F" w:rsidRPr="006C577F">
        <w:rPr>
          <w:rStyle w:val="libFootnotenumChar"/>
          <w:rtl/>
        </w:rPr>
        <w:t>(4)</w:t>
      </w:r>
      <w:r w:rsidRPr="00C9040A">
        <w:rPr>
          <w:rtl/>
          <w:lang w:bidi="fa-IR"/>
        </w:rPr>
        <w:t xml:space="preserve"> وَقَالَ : </w:t>
      </w:r>
      <w:r w:rsidRPr="0003660B">
        <w:rPr>
          <w:rStyle w:val="libAlaemChar"/>
          <w:rtl/>
        </w:rPr>
        <w:t>(</w:t>
      </w:r>
      <w:r w:rsidRPr="006A2246">
        <w:rPr>
          <w:rStyle w:val="libAieChar"/>
          <w:rtl/>
        </w:rPr>
        <w:t xml:space="preserve"> ادْعُونِي أَسْتَجِبْ لَكُمْ </w:t>
      </w:r>
      <w:r w:rsidRPr="0003660B">
        <w:rPr>
          <w:rStyle w:val="libAlaemChar"/>
          <w:rtl/>
        </w:rPr>
        <w:t>)</w:t>
      </w:r>
      <w:r w:rsidRPr="00C9040A">
        <w:rPr>
          <w:rtl/>
          <w:lang w:bidi="fa-IR"/>
        </w:rPr>
        <w:t xml:space="preserve"> </w:t>
      </w:r>
      <w:r w:rsidR="006C577F" w:rsidRPr="006C577F">
        <w:rPr>
          <w:rStyle w:val="libFootnotenumChar"/>
          <w:rtl/>
        </w:rPr>
        <w:t>(5)</w:t>
      </w:r>
      <w:r>
        <w:rPr>
          <w:rtl/>
          <w:lang w:bidi="fa-IR"/>
        </w:rPr>
        <w:t>؟</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Normal"/>
        <w:rPr>
          <w:rtl/>
          <w:lang w:bidi="fa-IR"/>
        </w:rPr>
      </w:pPr>
      <w:r w:rsidRPr="000D102C">
        <w:rPr>
          <w:rtl/>
        </w:rPr>
        <w:t>1597</w:t>
      </w:r>
      <w:r w:rsidRPr="00261CB0">
        <w:rPr>
          <w:rStyle w:val="libBold2Char"/>
          <w:rtl/>
        </w:rPr>
        <w:t xml:space="preserve"> / 7.</w:t>
      </w:r>
      <w:r w:rsidRPr="00C9040A">
        <w:rPr>
          <w:rtl/>
          <w:lang w:bidi="fa-IR"/>
        </w:rPr>
        <w:t xml:space="preserve"> الْحُسَيْنُ بْنُ مُحَمَّدٍ ، عَنْ مُعَلَّى بْنِ مُحَمَّدٍ ، عَنْ أَبِي عَلِيٍّ ، عَنْ مُحَمَّدِ بْنِ الْحَسَنِ </w:t>
      </w:r>
      <w:r w:rsidR="006C577F" w:rsidRPr="006C577F">
        <w:rPr>
          <w:rStyle w:val="libFootnotenumChar"/>
          <w:rtl/>
        </w:rPr>
        <w:t>(7)</w:t>
      </w:r>
      <w:r w:rsidRPr="00C9040A">
        <w:rPr>
          <w:rtl/>
          <w:lang w:bidi="fa-IR"/>
        </w:rPr>
        <w:t xml:space="preserve"> ، عَنِ الْحُسَيْنِ </w:t>
      </w:r>
      <w:r w:rsidR="006C577F" w:rsidRPr="006C577F">
        <w:rPr>
          <w:rStyle w:val="libFootnotenumChar"/>
          <w:rtl/>
        </w:rPr>
        <w:t>(8)</w:t>
      </w:r>
      <w:r w:rsidRPr="00C9040A">
        <w:rPr>
          <w:rtl/>
          <w:lang w:bidi="fa-IR"/>
        </w:rPr>
        <w:t xml:space="preserve"> بْنِ‌</w:t>
      </w:r>
      <w:r w:rsidR="006E6369">
        <w:rPr>
          <w:rFonts w:hint="cs"/>
          <w:rtl/>
          <w:lang w:bidi="fa-IR"/>
        </w:rPr>
        <w:t>............................................................</w:t>
      </w:r>
      <w:r w:rsidR="006E6369">
        <w:rPr>
          <w:rFonts w:hint="cs"/>
          <w:rtl/>
          <w:lang w:bidi="fa-IR"/>
        </w:rPr>
        <w:tab/>
      </w:r>
    </w:p>
    <w:p w:rsidR="008A74EB" w:rsidRPr="00C9040A" w:rsidRDefault="008A74EB" w:rsidP="008A74EB">
      <w:pPr>
        <w:pStyle w:val="libLine"/>
        <w:rPr>
          <w:rtl/>
          <w:lang w:bidi="fa-IR"/>
        </w:rPr>
      </w:pPr>
      <w:r w:rsidRPr="00C9040A">
        <w:rPr>
          <w:rtl/>
          <w:lang w:bidi="fa-IR"/>
        </w:rPr>
        <w:t>__________________</w:t>
      </w:r>
    </w:p>
    <w:p w:rsidR="005F62CC" w:rsidRDefault="005F62CC" w:rsidP="004A4E41">
      <w:pPr>
        <w:pStyle w:val="libFootnote0"/>
        <w:rPr>
          <w:rtl/>
        </w:rPr>
      </w:pPr>
      <w:r>
        <w:rPr>
          <w:rFonts w:hint="cs"/>
          <w:rtl/>
        </w:rPr>
        <w:t xml:space="preserve">= </w:t>
      </w:r>
      <w:r w:rsidRPr="00C73D3E">
        <w:rPr>
          <w:rFonts w:hint="cs"/>
          <w:rtl/>
        </w:rPr>
        <w:t xml:space="preserve">هكذا : </w:t>
      </w:r>
      <w:r w:rsidRPr="00C73D3E">
        <w:rPr>
          <w:rtl/>
        </w:rPr>
        <w:t>«</w:t>
      </w:r>
      <w:r w:rsidRPr="00C73D3E">
        <w:rPr>
          <w:rFonts w:hint="cs"/>
          <w:rtl/>
        </w:rPr>
        <w:t xml:space="preserve"> التوكّل على الله عزّ و جلّ درجات : منها أن تثق في اُمورك كلّها فما فعله بك كنت عليه راضياً</w:t>
      </w:r>
      <w:r w:rsidR="00C13562" w:rsidRPr="00C73D3E">
        <w:rPr>
          <w:rtl/>
        </w:rPr>
        <w:t>»</w:t>
      </w:r>
      <w:r w:rsidR="00C13562" w:rsidRPr="00C73D3E">
        <w:rPr>
          <w:rFonts w:hint="cs"/>
          <w:rtl/>
        </w:rPr>
        <w:t>.</w:t>
      </w:r>
      <w:r w:rsidR="00F94877" w:rsidRPr="00C73D3E">
        <w:rPr>
          <w:rFonts w:hint="cs"/>
          <w:rtl/>
        </w:rPr>
        <w:t xml:space="preserve"> الوافي ، ج3 ، ص 283، ح 1950؛ الوسائل، </w:t>
      </w:r>
      <w:r w:rsidR="00E028AE" w:rsidRPr="00C73D3E">
        <w:rPr>
          <w:rFonts w:hint="cs"/>
          <w:rtl/>
        </w:rPr>
        <w:t>ج 15، ص 213، ح 20307؛ البحار ج 71، ص 129، ح 5.</w:t>
      </w:r>
    </w:p>
    <w:p w:rsidR="008A74EB" w:rsidRPr="00C9040A" w:rsidRDefault="006C577F" w:rsidP="004A4E41">
      <w:pPr>
        <w:pStyle w:val="libFootnote0"/>
        <w:rPr>
          <w:rtl/>
          <w:lang w:bidi="fa-IR"/>
        </w:rPr>
      </w:pPr>
      <w:r>
        <w:rPr>
          <w:rtl/>
        </w:rPr>
        <w:t>(1).</w:t>
      </w:r>
      <w:r w:rsidR="008A74EB" w:rsidRPr="00C9040A">
        <w:rPr>
          <w:rtl/>
        </w:rPr>
        <w:t xml:space="preserve"> في المحاسن والخصال ، ص 101 : + « يا معاوية »</w:t>
      </w:r>
      <w:r w:rsidR="008A74EB">
        <w:rPr>
          <w:rtl/>
        </w:rPr>
        <w:t>.</w:t>
      </w:r>
    </w:p>
    <w:p w:rsidR="008A74EB" w:rsidRPr="004A4E41" w:rsidRDefault="006C577F" w:rsidP="004A4E41">
      <w:pPr>
        <w:pStyle w:val="libFootnote0"/>
        <w:rPr>
          <w:rStyle w:val="libFootnote0Char"/>
          <w:rtl/>
        </w:rPr>
      </w:pPr>
      <w:r>
        <w:rPr>
          <w:rtl/>
        </w:rPr>
        <w:t>(2).</w:t>
      </w:r>
      <w:r w:rsidR="008A74EB">
        <w:rPr>
          <w:rtl/>
        </w:rPr>
        <w:t xml:space="preserve"> </w:t>
      </w:r>
      <w:r w:rsidR="008A74EB" w:rsidRPr="00C9040A">
        <w:rPr>
          <w:rtl/>
        </w:rPr>
        <w:t>في المحاسن والخصال ، ص 101 : « لم يحرم »</w:t>
      </w:r>
      <w:r w:rsidR="008A74EB">
        <w:rPr>
          <w:rtl/>
        </w:rPr>
        <w:t>.</w:t>
      </w:r>
    </w:p>
    <w:tbl>
      <w:tblPr>
        <w:tblStyle w:val="TableGrid"/>
        <w:bidiVisual/>
        <w:tblW w:w="0" w:type="auto"/>
        <w:tblLook w:val="04A0" w:firstRow="1" w:lastRow="0" w:firstColumn="1" w:lastColumn="0" w:noHBand="0" w:noVBand="1"/>
      </w:tblPr>
      <w:tblGrid>
        <w:gridCol w:w="4006"/>
        <w:gridCol w:w="4006"/>
      </w:tblGrid>
      <w:tr w:rsidR="00C73D3E" w:rsidTr="00C73D3E">
        <w:tc>
          <w:tcPr>
            <w:tcW w:w="4006" w:type="dxa"/>
          </w:tcPr>
          <w:p w:rsidR="00C73D3E" w:rsidRDefault="00C73D3E" w:rsidP="004A4E41">
            <w:pPr>
              <w:pStyle w:val="libFootnote0"/>
              <w:rPr>
                <w:rtl/>
              </w:rPr>
            </w:pPr>
            <w:r>
              <w:rPr>
                <w:rtl/>
              </w:rPr>
              <w:t>(3).</w:t>
            </w:r>
            <w:r w:rsidRPr="00C9040A">
              <w:rPr>
                <w:rtl/>
              </w:rPr>
              <w:t xml:space="preserve"> في « ب » وحاشية « د » : « لم يمنع »</w:t>
            </w:r>
            <w:r>
              <w:rPr>
                <w:rtl/>
              </w:rPr>
              <w:t>.</w:t>
            </w:r>
          </w:p>
        </w:tc>
        <w:tc>
          <w:tcPr>
            <w:tcW w:w="4006" w:type="dxa"/>
          </w:tcPr>
          <w:p w:rsidR="00C73D3E" w:rsidRDefault="00C73D3E" w:rsidP="004A4E41">
            <w:pPr>
              <w:pStyle w:val="libFootnote0"/>
              <w:rPr>
                <w:rtl/>
              </w:rPr>
            </w:pPr>
            <w:r>
              <w:rPr>
                <w:rtl/>
              </w:rPr>
              <w:t>(4).</w:t>
            </w:r>
            <w:r w:rsidRPr="00C9040A">
              <w:rPr>
                <w:rtl/>
              </w:rPr>
              <w:t xml:space="preserve"> إبراهيم (14) : 7.</w:t>
            </w:r>
          </w:p>
        </w:tc>
      </w:tr>
    </w:tbl>
    <w:p w:rsidR="008A74EB" w:rsidRPr="00C9040A" w:rsidRDefault="006C577F" w:rsidP="004A4E41">
      <w:pPr>
        <w:pStyle w:val="libFootnote0"/>
        <w:rPr>
          <w:rtl/>
          <w:lang w:bidi="fa-IR"/>
        </w:rPr>
      </w:pPr>
      <w:r>
        <w:rPr>
          <w:rtl/>
        </w:rPr>
        <w:t>(5).</w:t>
      </w:r>
      <w:r w:rsidR="008A74EB" w:rsidRPr="00C9040A">
        <w:rPr>
          <w:rtl/>
        </w:rPr>
        <w:t xml:space="preserve"> غافر (40) : 60.</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الكافي</w:t>
      </w:r>
      <w:r w:rsidR="008A74EB" w:rsidRPr="00C9040A">
        <w:rPr>
          <w:rtl/>
        </w:rPr>
        <w:t xml:space="preserve"> ، كتاب الإيمان والكفر ، باب الشكر ، ح 1722 ، عن عدّة من أصحابنا ، عن سهل بن زياد ، عن يحيى بن مبارك ، وتمامه فيه هكذا : « من ا</w:t>
      </w:r>
      <w:r w:rsidR="00145D89">
        <w:rPr>
          <w:rFonts w:hint="cs"/>
          <w:rtl/>
        </w:rPr>
        <w:t>ُ</w:t>
      </w:r>
      <w:r w:rsidR="008A74EB" w:rsidRPr="00C9040A">
        <w:rPr>
          <w:rtl/>
        </w:rPr>
        <w:t>عطي الشكر أعطي الزيادة ، يقول الله عزّ وجلّ</w:t>
      </w:r>
      <w:r w:rsidR="008A74EB">
        <w:rPr>
          <w:rFonts w:hint="cs"/>
          <w:rtl/>
        </w:rPr>
        <w:t xml:space="preserve"> </w:t>
      </w:r>
      <w:r w:rsidR="008A74EB" w:rsidRPr="00AC2E2F">
        <w:rPr>
          <w:rStyle w:val="libFootnoteAlaemChar"/>
          <w:rtl/>
        </w:rPr>
        <w:t>(</w:t>
      </w:r>
      <w:r w:rsidR="008A74EB" w:rsidRPr="00883DD5">
        <w:rPr>
          <w:rStyle w:val="libFootnoteAieChar"/>
          <w:rFonts w:hint="cs"/>
          <w:rtl/>
        </w:rPr>
        <w:t xml:space="preserve"> </w:t>
      </w:r>
      <w:r w:rsidR="008A74EB" w:rsidRPr="00883DD5">
        <w:rPr>
          <w:rStyle w:val="libFootnoteAieChar"/>
          <w:rtl/>
        </w:rPr>
        <w:t>لَئِنْ شَكَرْتُمْ لَأَزِيدَنَّكُمْ</w:t>
      </w:r>
      <w:r w:rsidR="008A74EB" w:rsidRPr="00883DD5">
        <w:rPr>
          <w:rStyle w:val="libFootnoteAieChar"/>
          <w:rFonts w:hint="cs"/>
          <w:rtl/>
        </w:rPr>
        <w:t xml:space="preserve"> </w:t>
      </w:r>
      <w:r w:rsidR="008A74EB" w:rsidRPr="00AC2E2F">
        <w:rPr>
          <w:rStyle w:val="libFootnoteAlaemChar"/>
          <w:rtl/>
        </w:rPr>
        <w:t>)</w:t>
      </w:r>
      <w:r w:rsidR="008A74EB" w:rsidRPr="00C9040A">
        <w:rPr>
          <w:rtl/>
        </w:rPr>
        <w:t xml:space="preserve"> »</w:t>
      </w:r>
      <w:r w:rsidR="008A74EB">
        <w:rPr>
          <w:rtl/>
        </w:rPr>
        <w:t>.</w:t>
      </w:r>
      <w:r w:rsidR="008A74EB" w:rsidRPr="00C9040A">
        <w:rPr>
          <w:rtl/>
        </w:rPr>
        <w:t xml:space="preserve"> وفي </w:t>
      </w:r>
      <w:r w:rsidR="008A74EB" w:rsidRPr="00993B55">
        <w:rPr>
          <w:rStyle w:val="libFootnoteBoldChar"/>
          <w:rtl/>
        </w:rPr>
        <w:t>المحاسن</w:t>
      </w:r>
      <w:r w:rsidR="008A74EB" w:rsidRPr="00C9040A">
        <w:rPr>
          <w:rtl/>
        </w:rPr>
        <w:t xml:space="preserve"> ، ص 3 ، كتاب القرائن ، ح 1 ؛ و</w:t>
      </w:r>
      <w:r w:rsidR="008A74EB" w:rsidRPr="00993B55">
        <w:rPr>
          <w:rStyle w:val="libFootnoteBoldChar"/>
          <w:rtl/>
        </w:rPr>
        <w:t>الخصال</w:t>
      </w:r>
      <w:r w:rsidR="008A74EB" w:rsidRPr="00C9040A">
        <w:rPr>
          <w:rtl/>
        </w:rPr>
        <w:t xml:space="preserve"> ، ص 101 ، باب الثلاثة ، ح 56 ، بسندهما عن معاوية بن وهب. راجع : </w:t>
      </w:r>
      <w:r w:rsidR="008A74EB" w:rsidRPr="00993B55">
        <w:rPr>
          <w:rStyle w:val="libFootnoteBoldChar"/>
          <w:rtl/>
        </w:rPr>
        <w:t>معاني الأخبار</w:t>
      </w:r>
      <w:r w:rsidR="008A74EB" w:rsidRPr="00C9040A">
        <w:rPr>
          <w:rtl/>
        </w:rPr>
        <w:t xml:space="preserve"> ، ص 323 ، ح 1 ؛ </w:t>
      </w:r>
      <w:r w:rsidR="008A74EB" w:rsidRPr="00AC2E2F">
        <w:rPr>
          <w:rStyle w:val="libFootnoteBoldChar"/>
          <w:rtl/>
        </w:rPr>
        <w:t>والأمالي للطوسي</w:t>
      </w:r>
      <w:r w:rsidR="008A74EB" w:rsidRPr="00C9040A">
        <w:rPr>
          <w:rtl/>
        </w:rPr>
        <w:t xml:space="preserve"> ، ص 452 ، المجلس 16 ، ح 14 ؛ وص 693 ، المجلس 39 ، ح 16 ؛ و</w:t>
      </w:r>
      <w:r w:rsidR="008A74EB" w:rsidRPr="00993B55">
        <w:rPr>
          <w:rStyle w:val="libFootnoteBoldChar"/>
          <w:rtl/>
        </w:rPr>
        <w:t xml:space="preserve">خصائص الأئمّة </w:t>
      </w:r>
      <w:r w:rsidR="00117575" w:rsidRPr="00117575">
        <w:rPr>
          <w:rStyle w:val="libFootnoteAlaemChar"/>
          <w:rtl/>
        </w:rPr>
        <w:t>عليهم‌السلام</w:t>
      </w:r>
      <w:r w:rsidR="008A74EB" w:rsidRPr="00C9040A">
        <w:rPr>
          <w:rtl/>
        </w:rPr>
        <w:t xml:space="preserve"> ، ص 103 ؛ و</w:t>
      </w:r>
      <w:r w:rsidR="008A74EB" w:rsidRPr="00993B55">
        <w:rPr>
          <w:rStyle w:val="libFootnoteBoldChar"/>
          <w:rtl/>
        </w:rPr>
        <w:t xml:space="preserve">نهج البلاغة </w:t>
      </w:r>
      <w:r w:rsidR="008A74EB" w:rsidRPr="00C9040A">
        <w:rPr>
          <w:rtl/>
        </w:rPr>
        <w:t xml:space="preserve">، ص 494 ، الحكمة 135 ؛ </w:t>
      </w:r>
      <w:r w:rsidR="008A74EB" w:rsidRPr="000D102C">
        <w:rPr>
          <w:rtl/>
        </w:rPr>
        <w:t>و</w:t>
      </w:r>
      <w:r w:rsidR="008A74EB" w:rsidRPr="00993B55">
        <w:rPr>
          <w:rStyle w:val="libFootnoteBoldChar"/>
          <w:rtl/>
        </w:rPr>
        <w:t>تحف العقول</w:t>
      </w:r>
      <w:r w:rsidR="008A74EB" w:rsidRPr="00C9040A">
        <w:rPr>
          <w:rtl/>
        </w:rPr>
        <w:t xml:space="preserve"> ، ص 41</w:t>
      </w:r>
      <w:r w:rsidR="00145D89">
        <w:rPr>
          <w:rFonts w:hint="cs"/>
          <w:rtl/>
        </w:rPr>
        <w:t>.</w:t>
      </w:r>
      <w:r w:rsidR="008A74EB" w:rsidRPr="00993B55">
        <w:rPr>
          <w:rStyle w:val="libFootnoteBoldChar"/>
          <w:rtl/>
        </w:rPr>
        <w:t>الوافي</w:t>
      </w:r>
      <w:r w:rsidR="008A74EB" w:rsidRPr="00C9040A">
        <w:rPr>
          <w:rtl/>
        </w:rPr>
        <w:t xml:space="preserve"> ، ج 4 ، ص 283 ، ح 1951 ؛ </w:t>
      </w:r>
      <w:r w:rsidR="008A74EB" w:rsidRPr="00993B55">
        <w:rPr>
          <w:rStyle w:val="libFootnoteBoldChar"/>
          <w:rtl/>
        </w:rPr>
        <w:t>الوسائل</w:t>
      </w:r>
      <w:r w:rsidR="008A74EB" w:rsidRPr="00C9040A">
        <w:rPr>
          <w:rtl/>
        </w:rPr>
        <w:t xml:space="preserve"> ، ج 15 ، ص 213 ، ح 20308 ؛ </w:t>
      </w:r>
      <w:r w:rsidR="008A74EB" w:rsidRPr="00993B55">
        <w:rPr>
          <w:rStyle w:val="libFootnoteBoldChar"/>
          <w:rtl/>
        </w:rPr>
        <w:t>البحار</w:t>
      </w:r>
      <w:r w:rsidR="008A74EB" w:rsidRPr="00C9040A">
        <w:rPr>
          <w:rtl/>
        </w:rPr>
        <w:t xml:space="preserve"> ، ج 71 ، ص 129 ح 6.</w:t>
      </w:r>
    </w:p>
    <w:p w:rsidR="008A74EB" w:rsidRPr="00C9040A" w:rsidRDefault="006C577F" w:rsidP="004A4E41">
      <w:pPr>
        <w:pStyle w:val="libFootnote0"/>
        <w:rPr>
          <w:rtl/>
          <w:lang w:bidi="fa-IR"/>
        </w:rPr>
      </w:pPr>
      <w:r>
        <w:rPr>
          <w:rtl/>
        </w:rPr>
        <w:t>(7).</w:t>
      </w:r>
      <w:r w:rsidR="008A74EB" w:rsidRPr="00C9040A">
        <w:rPr>
          <w:rtl/>
        </w:rPr>
        <w:t xml:space="preserve"> في « ب » : « عن أبي الحسن »</w:t>
      </w:r>
      <w:r w:rsidR="008A74EB">
        <w:rPr>
          <w:rtl/>
        </w:rPr>
        <w:t>.</w:t>
      </w:r>
      <w:r w:rsidR="008A74EB" w:rsidRPr="00C9040A">
        <w:rPr>
          <w:rtl/>
        </w:rPr>
        <w:t xml:space="preserve"> وفي « بر ، بف » : « عن محمّد بن الحسين »</w:t>
      </w:r>
      <w:r w:rsidR="008A74EB">
        <w:rPr>
          <w:rtl/>
        </w:rPr>
        <w:t>.</w:t>
      </w:r>
      <w:r w:rsidR="008A74EB" w:rsidRPr="00C9040A">
        <w:rPr>
          <w:rtl/>
        </w:rPr>
        <w:t xml:space="preserve"> والرجل مجهول لم نعرفه.</w:t>
      </w:r>
    </w:p>
    <w:p w:rsidR="008A74EB" w:rsidRPr="00C9040A" w:rsidRDefault="006C577F" w:rsidP="004A4E41">
      <w:pPr>
        <w:pStyle w:val="libFootnote0"/>
        <w:rPr>
          <w:rtl/>
          <w:lang w:bidi="fa-IR"/>
        </w:rPr>
      </w:pPr>
      <w:r>
        <w:rPr>
          <w:rtl/>
        </w:rPr>
        <w:t>(8).</w:t>
      </w:r>
      <w:r w:rsidR="008A74EB" w:rsidRPr="00C9040A">
        <w:rPr>
          <w:rtl/>
        </w:rPr>
        <w:t xml:space="preserve"> الظاهر وقوع التحريف في العنوان ، وأنّ الصواب هو « الحسن »</w:t>
      </w:r>
      <w:r w:rsidR="008A74EB">
        <w:rPr>
          <w:rtl/>
        </w:rPr>
        <w:t>.</w:t>
      </w:r>
      <w:r w:rsidR="008A74EB" w:rsidRPr="00C9040A">
        <w:rPr>
          <w:rtl/>
        </w:rPr>
        <w:t xml:space="preserve"> فقد وردت في </w:t>
      </w:r>
      <w:r w:rsidR="008A74EB" w:rsidRPr="00993B55">
        <w:rPr>
          <w:rStyle w:val="libFootnoteBoldChar"/>
          <w:rtl/>
        </w:rPr>
        <w:t>المحاسن</w:t>
      </w:r>
      <w:r w:rsidR="008A74EB" w:rsidRPr="00C9040A">
        <w:rPr>
          <w:rtl/>
        </w:rPr>
        <w:t xml:space="preserve"> ، ص 141 ، ح 34 ، رواية القاسم بن يحيى ، عن الحسن بن راشد ، عن الحسين بن علوان.</w:t>
      </w:r>
    </w:p>
    <w:p w:rsidR="008A74EB" w:rsidRPr="00C9040A" w:rsidRDefault="008A74EB" w:rsidP="004A4E41">
      <w:pPr>
        <w:pStyle w:val="libFootnote0"/>
        <w:rPr>
          <w:rtl/>
          <w:lang w:bidi="fa-IR"/>
        </w:rPr>
      </w:pPr>
      <w:r w:rsidRPr="000D102C">
        <w:rPr>
          <w:rtl/>
        </w:rPr>
        <w:t>والقاسم</w:t>
      </w:r>
      <w:r w:rsidRPr="00323A39">
        <w:rPr>
          <w:rtl/>
        </w:rPr>
        <w:t xml:space="preserve"> بن يحيى ، هو القاسم بن يحيى بن الحسن بن راشد ، روى كتاب جدّه الحسن. وتكرّرت روايته عنه </w:t>
      </w:r>
      <w:r w:rsidR="00145D89">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رَاشِدٍ </w:t>
      </w:r>
      <w:r w:rsidR="006C577F" w:rsidRPr="006C577F">
        <w:rPr>
          <w:rStyle w:val="libFootnotenumChar"/>
          <w:rtl/>
        </w:rPr>
        <w:t>(1)</w:t>
      </w:r>
      <w:r w:rsidRPr="00C9040A">
        <w:rPr>
          <w:rtl/>
          <w:lang w:bidi="fa-IR"/>
        </w:rPr>
        <w:t>، عَنِ الْحُسَيْنِ بْنِ عُلْوَانَ ، قَالَ :</w:t>
      </w:r>
    </w:p>
    <w:p w:rsidR="008A74EB" w:rsidRPr="00C9040A" w:rsidRDefault="008A74EB" w:rsidP="00145D89">
      <w:pPr>
        <w:pStyle w:val="libNormal"/>
        <w:rPr>
          <w:rtl/>
          <w:lang w:bidi="fa-IR"/>
        </w:rPr>
      </w:pPr>
      <w:r w:rsidRPr="00C9040A">
        <w:rPr>
          <w:rtl/>
          <w:lang w:bidi="fa-IR"/>
        </w:rPr>
        <w:t xml:space="preserve">كُنَّا فِي مَجْلِسٍ نَطْلُبُ </w:t>
      </w:r>
      <w:r w:rsidR="006C577F" w:rsidRPr="006C577F">
        <w:rPr>
          <w:rStyle w:val="libFootnotenumChar"/>
          <w:rtl/>
        </w:rPr>
        <w:t>(2)</w:t>
      </w:r>
      <w:r w:rsidRPr="00C9040A">
        <w:rPr>
          <w:rtl/>
          <w:lang w:bidi="fa-IR"/>
        </w:rPr>
        <w:t xml:space="preserve"> فِيهِ الْعِلْمَ ، وَقَدْ نَفِدَتْ </w:t>
      </w:r>
      <w:r w:rsidR="006C577F" w:rsidRPr="006C577F">
        <w:rPr>
          <w:rStyle w:val="libFootnotenumChar"/>
          <w:rtl/>
        </w:rPr>
        <w:t>(3)</w:t>
      </w:r>
      <w:r w:rsidRPr="00C9040A">
        <w:rPr>
          <w:rtl/>
          <w:lang w:bidi="fa-IR"/>
        </w:rPr>
        <w:t xml:space="preserve"> نَفَقَتِي فِي بَعْضِ الْأَسْفَارِ </w:t>
      </w:r>
      <w:r w:rsidR="006C577F" w:rsidRPr="006C577F">
        <w:rPr>
          <w:rStyle w:val="libFootnotenumChar"/>
          <w:rtl/>
        </w:rPr>
        <w:t>(4)</w:t>
      </w:r>
      <w:r w:rsidRPr="00C9040A">
        <w:rPr>
          <w:rtl/>
          <w:lang w:bidi="fa-IR"/>
        </w:rPr>
        <w:t xml:space="preserve"> ، فَقَالَ لِي بَعْضُ أَصْحَابِنَا : مَنْ </w:t>
      </w:r>
      <w:r w:rsidR="006C577F" w:rsidRPr="006C577F">
        <w:rPr>
          <w:rStyle w:val="libFootnotenumChar"/>
          <w:rtl/>
        </w:rPr>
        <w:t>(5)</w:t>
      </w:r>
      <w:r w:rsidRPr="00C9040A">
        <w:rPr>
          <w:rtl/>
          <w:lang w:bidi="fa-IR"/>
        </w:rPr>
        <w:t xml:space="preserve"> تُؤَمِّلُ لِمَا قَدْ نَزَلَ بِكَ</w:t>
      </w:r>
      <w:r>
        <w:rPr>
          <w:rtl/>
          <w:lang w:bidi="fa-IR"/>
        </w:rPr>
        <w:t>؟</w:t>
      </w:r>
      <w:r w:rsidRPr="00C9040A">
        <w:rPr>
          <w:rtl/>
          <w:lang w:bidi="fa-IR"/>
        </w:rPr>
        <w:t xml:space="preserve"> فَقُلْتُ : فُلَاناً ، فَقَالَ : إِذاً وَاللهِ لَاتُسْعَفُ </w:t>
      </w:r>
      <w:r w:rsidR="006C577F" w:rsidRPr="006C577F">
        <w:rPr>
          <w:rStyle w:val="libFootnotenumChar"/>
          <w:rtl/>
        </w:rPr>
        <w:t>(6)</w:t>
      </w:r>
      <w:r w:rsidR="00145D89" w:rsidRPr="00C9040A">
        <w:rPr>
          <w:rtl/>
          <w:lang w:bidi="fa-IR"/>
        </w:rPr>
        <w:t xml:space="preserve"> </w:t>
      </w:r>
      <w:r w:rsidRPr="00C9040A">
        <w:rPr>
          <w:rtl/>
          <w:lang w:bidi="fa-IR"/>
        </w:rPr>
        <w:t xml:space="preserve">حَاجَتُكَ ، وَلَا يَبْلُغُكَ </w:t>
      </w:r>
      <w:r w:rsidR="006C577F" w:rsidRPr="006C577F">
        <w:rPr>
          <w:rStyle w:val="libFootnotenumChar"/>
          <w:rtl/>
        </w:rPr>
        <w:t>(7)</w:t>
      </w:r>
      <w:r w:rsidRPr="00C9040A">
        <w:rPr>
          <w:rtl/>
          <w:lang w:bidi="fa-IR"/>
        </w:rPr>
        <w:t xml:space="preserve"> أَمَلُكَ ، وَلَا تُنْجَحُ </w:t>
      </w:r>
      <w:r w:rsidR="006C577F" w:rsidRPr="006C577F">
        <w:rPr>
          <w:rStyle w:val="libFootnotenumChar"/>
          <w:rtl/>
        </w:rPr>
        <w:t>(8)</w:t>
      </w:r>
      <w:r w:rsidRPr="00C9040A">
        <w:rPr>
          <w:rtl/>
          <w:lang w:bidi="fa-IR"/>
        </w:rPr>
        <w:t xml:space="preserve"> طَلِبَتُكَ ، قُلْتُ : وَمَا عَلَّمَكَ </w:t>
      </w:r>
      <w:r w:rsidR="006C577F" w:rsidRPr="006C577F">
        <w:rPr>
          <w:rStyle w:val="libFootnotenumChar"/>
          <w:rtl/>
        </w:rPr>
        <w:t>(9)</w:t>
      </w:r>
      <w:r w:rsidRPr="00C9040A">
        <w:rPr>
          <w:rtl/>
          <w:lang w:bidi="fa-IR"/>
        </w:rPr>
        <w:t xml:space="preserve"> رَحِمَكَ اللهُ</w:t>
      </w:r>
      <w:r>
        <w:rPr>
          <w:rtl/>
          <w:lang w:bidi="fa-IR"/>
        </w:rPr>
        <w:t>؟</w:t>
      </w:r>
    </w:p>
    <w:p w:rsidR="008A74EB" w:rsidRPr="00C9040A" w:rsidRDefault="008A74EB" w:rsidP="008A74EB">
      <w:pPr>
        <w:pStyle w:val="libNormal"/>
        <w:rPr>
          <w:rtl/>
          <w:lang w:bidi="fa-IR"/>
        </w:rPr>
      </w:pPr>
      <w:r w:rsidRPr="00C9040A">
        <w:rPr>
          <w:rtl/>
          <w:lang w:bidi="fa-IR"/>
        </w:rPr>
        <w:t xml:space="preserve">قَالَ : إِنَّ أَبَا عَبْدِ اللهِ </w:t>
      </w:r>
      <w:r w:rsidRPr="0003660B">
        <w:rPr>
          <w:rStyle w:val="libAlaemChar"/>
          <w:rtl/>
        </w:rPr>
        <w:t>عليه‌السلام</w:t>
      </w:r>
      <w:r w:rsidRPr="00C9040A">
        <w:rPr>
          <w:rtl/>
          <w:lang w:bidi="fa-IR"/>
        </w:rPr>
        <w:t xml:space="preserve"> حَدَّثَنِي أَنَّهُ قَرَأَ </w:t>
      </w:r>
      <w:r w:rsidR="006C577F" w:rsidRPr="006C577F">
        <w:rPr>
          <w:rStyle w:val="libFootnotenumChar"/>
          <w:rtl/>
        </w:rPr>
        <w:t>(10)</w:t>
      </w:r>
      <w:r w:rsidRPr="00C9040A">
        <w:rPr>
          <w:rtl/>
          <w:lang w:bidi="fa-IR"/>
        </w:rPr>
        <w:t xml:space="preserve"> فِي بَعْضِ الْكُتُبِ أَنَّ اللهَ</w:t>
      </w:r>
      <w:r>
        <w:rPr>
          <w:rtl/>
          <w:lang w:bidi="fa-IR"/>
        </w:rPr>
        <w:t xml:space="preserve"> </w:t>
      </w:r>
      <w:r w:rsidR="0084262C">
        <w:rPr>
          <w:rtl/>
          <w:lang w:bidi="fa-IR"/>
        </w:rPr>
        <w:t>-</w:t>
      </w:r>
      <w:r>
        <w:rPr>
          <w:rtl/>
          <w:lang w:bidi="fa-IR"/>
        </w:rPr>
        <w:t xml:space="preserve"> </w:t>
      </w:r>
      <w:r w:rsidRPr="00C9040A">
        <w:rPr>
          <w:rtl/>
          <w:lang w:bidi="fa-IR"/>
        </w:rPr>
        <w:t>تَبَارَكَ وَتَعَالى</w:t>
      </w:r>
      <w:r>
        <w:rPr>
          <w:rtl/>
          <w:lang w:bidi="fa-IR"/>
        </w:rPr>
        <w:t xml:space="preserve"> </w:t>
      </w:r>
      <w:r w:rsidR="0084262C">
        <w:rPr>
          <w:rtl/>
          <w:lang w:bidi="fa-IR"/>
        </w:rPr>
        <w:t>-</w:t>
      </w:r>
      <w:r>
        <w:rPr>
          <w:rtl/>
          <w:lang w:bidi="fa-IR"/>
        </w:rPr>
        <w:t xml:space="preserve"> </w:t>
      </w:r>
      <w:r w:rsidRPr="00C9040A">
        <w:rPr>
          <w:rtl/>
          <w:lang w:bidi="fa-IR"/>
        </w:rPr>
        <w:t xml:space="preserve">يَقُولُ : « وَعِزَّتِي وَجَلَالِي وَمَجْدِي وَارْتِفَاعِي عَلى عَرْشِي ، لَأَقْطَعَنَّ أَمَلَ </w:t>
      </w:r>
      <w:r w:rsidR="006C577F" w:rsidRPr="006C577F">
        <w:rPr>
          <w:rStyle w:val="libFootnotenumChar"/>
          <w:rtl/>
        </w:rPr>
        <w:t>(11)</w:t>
      </w:r>
      <w:r w:rsidRPr="00C9040A">
        <w:rPr>
          <w:rtl/>
          <w:lang w:bidi="fa-IR"/>
        </w:rPr>
        <w:t xml:space="preserve"> كُلِّ مُؤَمِّلٍ </w:t>
      </w:r>
      <w:r w:rsidR="006C577F" w:rsidRPr="006C577F">
        <w:rPr>
          <w:rStyle w:val="libFootnotenumChar"/>
          <w:rtl/>
        </w:rPr>
        <w:t>(12)</w:t>
      </w:r>
      <w:r w:rsidRPr="00C9040A">
        <w:rPr>
          <w:rtl/>
          <w:lang w:bidi="fa-IR"/>
        </w:rPr>
        <w:t xml:space="preserve"> مِنَ النَّاسِ </w:t>
      </w:r>
      <w:r w:rsidRPr="005B567D">
        <w:rPr>
          <w:rStyle w:val="libFootnotenumChar"/>
          <w:rtl/>
        </w:rPr>
        <w:t>(13)</w:t>
      </w:r>
      <w:r w:rsidRPr="00C9040A">
        <w:rPr>
          <w:rtl/>
          <w:lang w:bidi="fa-IR"/>
        </w:rPr>
        <w:t xml:space="preserve"> غَيْرِي بِالْيَأْسِ </w:t>
      </w:r>
      <w:r w:rsidRPr="005B567D">
        <w:rPr>
          <w:rStyle w:val="libFootnotenumChar"/>
          <w:rtl/>
        </w:rPr>
        <w:t>(14)</w:t>
      </w:r>
      <w:r w:rsidRPr="00C9040A">
        <w:rPr>
          <w:rtl/>
          <w:lang w:bidi="fa-IR"/>
        </w:rPr>
        <w:t xml:space="preserve"> ، وَلَأَكْسُوَنَّهُ ثَوْبَ الْمَذَلَّةِ </w:t>
      </w:r>
      <w:r w:rsidRPr="005B567D">
        <w:rPr>
          <w:rStyle w:val="libFootnotenumChar"/>
          <w:rtl/>
        </w:rPr>
        <w:t>(15)</w:t>
      </w:r>
      <w:r w:rsidRPr="00C9040A">
        <w:rPr>
          <w:rtl/>
          <w:lang w:bidi="fa-IR"/>
        </w:rPr>
        <w:t xml:space="preserve"> عِنْدَ </w:t>
      </w:r>
      <w:r w:rsidRPr="005B567D">
        <w:rPr>
          <w:rStyle w:val="libFootnotenumChar"/>
          <w:rtl/>
        </w:rPr>
        <w:t>(16)</w:t>
      </w:r>
      <w:r w:rsidRPr="00C9040A">
        <w:rPr>
          <w:rtl/>
          <w:lang w:bidi="fa-IR"/>
        </w:rPr>
        <w:t xml:space="preserve"> النَّاسِ ، وَلَأُنَحِّيَنَّهُ مِنْ‌</w:t>
      </w:r>
    </w:p>
    <w:p w:rsidR="008A74EB" w:rsidRPr="00C9040A" w:rsidRDefault="008A74EB" w:rsidP="008A74EB">
      <w:pPr>
        <w:pStyle w:val="libLine"/>
        <w:rPr>
          <w:rtl/>
          <w:lang w:bidi="fa-IR"/>
        </w:rPr>
      </w:pPr>
      <w:r w:rsidRPr="00C9040A">
        <w:rPr>
          <w:rtl/>
          <w:lang w:bidi="fa-IR"/>
        </w:rPr>
        <w:t>__________________</w:t>
      </w:r>
    </w:p>
    <w:p w:rsidR="008A74EB" w:rsidRPr="00C9040A" w:rsidRDefault="00435D55" w:rsidP="004A4E41">
      <w:pPr>
        <w:pStyle w:val="libFootnote0"/>
        <w:rPr>
          <w:rtl/>
          <w:lang w:bidi="fa-IR"/>
        </w:rPr>
      </w:pPr>
      <w:r>
        <w:rPr>
          <w:rFonts w:hint="cs"/>
          <w:rtl/>
        </w:rPr>
        <w:t xml:space="preserve">= </w:t>
      </w:r>
      <w:r w:rsidR="008A74EB" w:rsidRPr="00323A39">
        <w:rPr>
          <w:rtl/>
        </w:rPr>
        <w:t xml:space="preserve">في الأسناد. راجع : </w:t>
      </w:r>
      <w:r w:rsidR="008A74EB" w:rsidRPr="00993B55">
        <w:rPr>
          <w:rStyle w:val="libFootnoteBoldChar"/>
          <w:rtl/>
        </w:rPr>
        <w:t>رجال النجاشي</w:t>
      </w:r>
      <w:r w:rsidR="008A74EB" w:rsidRPr="00323A39">
        <w:rPr>
          <w:rtl/>
        </w:rPr>
        <w:t xml:space="preserve"> ، ص 316 ، الرقم 866 ؛ </w:t>
      </w:r>
      <w:r w:rsidR="008A74EB" w:rsidRPr="0034021D">
        <w:rPr>
          <w:rStyle w:val="libFootnoteBoldChar"/>
          <w:rtl/>
        </w:rPr>
        <w:t>الفهرست للطوسي</w:t>
      </w:r>
      <w:r w:rsidR="008A74EB" w:rsidRPr="00323A39">
        <w:rPr>
          <w:rtl/>
        </w:rPr>
        <w:t xml:space="preserve"> ، ص 137 ، الرقم 200 ؛ </w:t>
      </w:r>
      <w:r w:rsidR="008A74EB" w:rsidRPr="00993B55">
        <w:rPr>
          <w:rStyle w:val="libFootnoteBoldChar"/>
          <w:rtl/>
        </w:rPr>
        <w:t>معجم رجال الحديث</w:t>
      </w:r>
      <w:r w:rsidR="008A74EB" w:rsidRPr="00323A39">
        <w:rPr>
          <w:rtl/>
        </w:rPr>
        <w:t xml:space="preserve"> ، ج 14 ، ص 66.</w:t>
      </w:r>
    </w:p>
    <w:p w:rsidR="008A74EB" w:rsidRPr="00C9040A" w:rsidRDefault="006C577F" w:rsidP="004A4E41">
      <w:pPr>
        <w:pStyle w:val="libFootnote0"/>
        <w:rPr>
          <w:rtl/>
          <w:lang w:bidi="fa-IR"/>
        </w:rPr>
      </w:pPr>
      <w:r>
        <w:rPr>
          <w:rtl/>
        </w:rPr>
        <w:t>(1).</w:t>
      </w:r>
      <w:r w:rsidR="008A74EB" w:rsidRPr="00C9040A">
        <w:rPr>
          <w:rtl/>
        </w:rPr>
        <w:t xml:space="preserve"> في « ج » وحاشية « د ، ز ، ف » والوسائل : « أسد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الوسائل : « يطلب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بس » وحاشية « ض ، ف » : « نفقت »</w:t>
      </w:r>
      <w:r w:rsidR="008A74EB">
        <w:rPr>
          <w:rtl/>
        </w:rPr>
        <w:t>.</w:t>
      </w:r>
      <w:r w:rsidR="008A74EB" w:rsidRPr="00C9040A">
        <w:rPr>
          <w:rtl/>
        </w:rPr>
        <w:t xml:space="preserve"> وفي حاشية « ز » : « تفقّدت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د » : « أسفاري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ض » : « ومن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ص ، ف » : « لا يقضى »</w:t>
      </w:r>
      <w:r w:rsidR="008A74EB">
        <w:rPr>
          <w:rtl/>
        </w:rPr>
        <w:t>.</w:t>
      </w:r>
      <w:r w:rsidR="008A74EB" w:rsidRPr="00C9040A">
        <w:rPr>
          <w:rtl/>
        </w:rPr>
        <w:t xml:space="preserve"> وفي حاشية « ف » : « لا تسبغ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 في أكثر النسخ : لا تعسف ، ولا تنجح ، بالتاء ، فهما على بناء المفعول. وفي بعضها بالياء ، فهما على بناء الفاعل. وحينئذٍ « لا يبلغك » على التفعيل أو الإفعال ، والضمائر المستترة لفلان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ب ، ص ، ف » : « ولا تبلغ »</w:t>
      </w:r>
      <w:r w:rsidR="008A74EB">
        <w:rPr>
          <w:rtl/>
        </w:rPr>
        <w:t>.</w:t>
      </w:r>
      <w:r w:rsidR="008A74EB" w:rsidRPr="00C9040A">
        <w:rPr>
          <w:rtl/>
        </w:rPr>
        <w:t xml:space="preserve"> وفي « ج » : « ولا يبلّغك »</w:t>
      </w:r>
      <w:r w:rsidR="008A74EB">
        <w:rPr>
          <w:rtl/>
        </w:rPr>
        <w:t>.</w:t>
      </w:r>
      <w:r w:rsidR="008A74EB" w:rsidRPr="00C9040A">
        <w:rPr>
          <w:rtl/>
        </w:rPr>
        <w:t xml:space="preserve"> وفي « ض » : « ولا تبلغك »</w:t>
      </w:r>
      <w:r w:rsidR="008A74EB">
        <w:rPr>
          <w:rtl/>
        </w:rPr>
        <w:t>.</w:t>
      </w:r>
      <w:r w:rsidR="008A74EB" w:rsidRPr="00C9040A">
        <w:rPr>
          <w:rtl/>
        </w:rPr>
        <w:t xml:space="preserve"> وفي حاشية « ز » : « ولا يبلغ »</w:t>
      </w:r>
      <w:r w:rsidR="008A74EB">
        <w:rPr>
          <w:rtl/>
        </w:rPr>
        <w:t>.</w:t>
      </w:r>
      <w:r w:rsidR="008A74EB" w:rsidRPr="00C9040A">
        <w:rPr>
          <w:rtl/>
        </w:rPr>
        <w:t xml:space="preserve"> وفي حاشية « ف » : « ولا يبالغ »</w:t>
      </w:r>
      <w:r w:rsidR="008A74EB">
        <w:rPr>
          <w:rtl/>
        </w:rPr>
        <w:t>.</w:t>
      </w:r>
    </w:p>
    <w:p w:rsidR="008A74EB" w:rsidRPr="004A4E41" w:rsidRDefault="006C577F" w:rsidP="004A4E41">
      <w:pPr>
        <w:pStyle w:val="libFootnote0"/>
        <w:rPr>
          <w:rStyle w:val="libFootnote0Char"/>
          <w:rtl/>
        </w:rPr>
      </w:pPr>
      <w:r>
        <w:rPr>
          <w:rtl/>
        </w:rPr>
        <w:t>(8).</w:t>
      </w:r>
      <w:r w:rsidR="008A74EB" w:rsidRPr="00C9040A">
        <w:rPr>
          <w:rtl/>
        </w:rPr>
        <w:t xml:space="preserve"> في « ب ، بر » : « ولاينجح »</w:t>
      </w:r>
      <w:r w:rsidR="008A74EB">
        <w:rPr>
          <w:rtl/>
        </w:rPr>
        <w:t>.</w:t>
      </w:r>
    </w:p>
    <w:tbl>
      <w:tblPr>
        <w:tblStyle w:val="TableGrid"/>
        <w:bidiVisual/>
        <w:tblW w:w="0" w:type="auto"/>
        <w:tblLook w:val="04A0" w:firstRow="1" w:lastRow="0" w:firstColumn="1" w:lastColumn="0" w:noHBand="0" w:noVBand="1"/>
      </w:tblPr>
      <w:tblGrid>
        <w:gridCol w:w="4006"/>
        <w:gridCol w:w="4006"/>
      </w:tblGrid>
      <w:tr w:rsidR="0031509B" w:rsidTr="0031509B">
        <w:tc>
          <w:tcPr>
            <w:tcW w:w="4006" w:type="dxa"/>
          </w:tcPr>
          <w:p w:rsidR="0031509B" w:rsidRDefault="0031509B" w:rsidP="004A4E41">
            <w:pPr>
              <w:pStyle w:val="libFootnote0"/>
              <w:rPr>
                <w:rtl/>
              </w:rPr>
            </w:pPr>
            <w:r>
              <w:rPr>
                <w:rtl/>
              </w:rPr>
              <w:t>(9).</w:t>
            </w:r>
            <w:r w:rsidRPr="00C9040A">
              <w:rPr>
                <w:rtl/>
              </w:rPr>
              <w:t xml:space="preserve"> في « ف » : « عِلمك »</w:t>
            </w:r>
            <w:r>
              <w:rPr>
                <w:rtl/>
              </w:rPr>
              <w:t>.</w:t>
            </w:r>
          </w:p>
        </w:tc>
        <w:tc>
          <w:tcPr>
            <w:tcW w:w="4006" w:type="dxa"/>
          </w:tcPr>
          <w:p w:rsidR="0031509B" w:rsidRDefault="0031509B" w:rsidP="004A4E41">
            <w:pPr>
              <w:pStyle w:val="libFootnote0"/>
              <w:rPr>
                <w:rtl/>
              </w:rPr>
            </w:pPr>
            <w:r>
              <w:rPr>
                <w:rtl/>
              </w:rPr>
              <w:t>(10).</w:t>
            </w:r>
            <w:r w:rsidRPr="00C9040A">
              <w:rPr>
                <w:rtl/>
              </w:rPr>
              <w:t xml:space="preserve"> في « بر » </w:t>
            </w:r>
            <w:r>
              <w:rPr>
                <w:rtl/>
              </w:rPr>
              <w:t>: -</w:t>
            </w:r>
            <w:r w:rsidRPr="00C9040A">
              <w:rPr>
                <w:rtl/>
              </w:rPr>
              <w:t xml:space="preserve"> « أنّه قرأ »</w:t>
            </w:r>
            <w:r>
              <w:rPr>
                <w:rtl/>
              </w:rPr>
              <w:t>.</w:t>
            </w:r>
          </w:p>
        </w:tc>
      </w:tr>
      <w:tr w:rsidR="0031509B" w:rsidTr="0031509B">
        <w:tc>
          <w:tcPr>
            <w:tcW w:w="4006" w:type="dxa"/>
          </w:tcPr>
          <w:p w:rsidR="0031509B" w:rsidRDefault="0031509B" w:rsidP="004A4E41">
            <w:pPr>
              <w:pStyle w:val="libFootnote0"/>
              <w:rPr>
                <w:rtl/>
              </w:rPr>
            </w:pPr>
            <w:r>
              <w:rPr>
                <w:rtl/>
              </w:rPr>
              <w:t>(11).</w:t>
            </w:r>
            <w:r w:rsidRPr="00C9040A">
              <w:rPr>
                <w:rtl/>
              </w:rPr>
              <w:t xml:space="preserve"> في الوسائل </w:t>
            </w:r>
            <w:r>
              <w:rPr>
                <w:rtl/>
              </w:rPr>
              <w:t>: -</w:t>
            </w:r>
            <w:r w:rsidRPr="00C9040A">
              <w:rPr>
                <w:rtl/>
              </w:rPr>
              <w:t xml:space="preserve"> « أمل »</w:t>
            </w:r>
            <w:r>
              <w:rPr>
                <w:rtl/>
              </w:rPr>
              <w:t>.</w:t>
            </w:r>
          </w:p>
        </w:tc>
        <w:tc>
          <w:tcPr>
            <w:tcW w:w="4006" w:type="dxa"/>
          </w:tcPr>
          <w:p w:rsidR="0031509B" w:rsidRDefault="0031509B" w:rsidP="004A4E41">
            <w:pPr>
              <w:pStyle w:val="libFootnote0"/>
              <w:rPr>
                <w:rtl/>
              </w:rPr>
            </w:pPr>
            <w:r>
              <w:rPr>
                <w:rtl/>
              </w:rPr>
              <w:t>(12).</w:t>
            </w:r>
            <w:r w:rsidRPr="00C9040A">
              <w:rPr>
                <w:rtl/>
              </w:rPr>
              <w:t xml:space="preserve"> في « بر » </w:t>
            </w:r>
            <w:r>
              <w:rPr>
                <w:rtl/>
              </w:rPr>
              <w:t>: -</w:t>
            </w:r>
            <w:r w:rsidRPr="00C9040A">
              <w:rPr>
                <w:rtl/>
              </w:rPr>
              <w:t xml:space="preserve"> « مؤمّل »</w:t>
            </w:r>
            <w:r>
              <w:rPr>
                <w:rtl/>
              </w:rPr>
              <w:t>.</w:t>
            </w:r>
          </w:p>
        </w:tc>
      </w:tr>
    </w:tbl>
    <w:p w:rsidR="008A74EB" w:rsidRPr="00C9040A" w:rsidRDefault="008A74EB" w:rsidP="004A4E41">
      <w:pPr>
        <w:pStyle w:val="libFootnote0"/>
        <w:rPr>
          <w:rtl/>
          <w:lang w:bidi="fa-IR"/>
        </w:rPr>
      </w:pPr>
      <w:r>
        <w:rPr>
          <w:rtl/>
        </w:rPr>
        <w:t>(13)</w:t>
      </w:r>
      <w:r w:rsidRPr="00C9040A">
        <w:rPr>
          <w:rtl/>
        </w:rPr>
        <w:t xml:space="preserve"> في « ب » : « عند الناس أمّل » بدل « من الناس »</w:t>
      </w:r>
      <w:r>
        <w:rPr>
          <w:rtl/>
        </w:rPr>
        <w:t>.</w:t>
      </w:r>
      <w:r w:rsidRPr="00C9040A">
        <w:rPr>
          <w:rtl/>
        </w:rPr>
        <w:t xml:space="preserve"> وفي « ض » </w:t>
      </w:r>
      <w:r>
        <w:rPr>
          <w:rtl/>
        </w:rPr>
        <w:t xml:space="preserve">: </w:t>
      </w:r>
      <w:r w:rsidR="0084262C">
        <w:rPr>
          <w:rtl/>
        </w:rPr>
        <w:t>-</w:t>
      </w:r>
      <w:r w:rsidRPr="00C9040A">
        <w:rPr>
          <w:rtl/>
        </w:rPr>
        <w:t xml:space="preserve"> « من الناس »</w:t>
      </w:r>
      <w:r>
        <w:rPr>
          <w:rtl/>
        </w:rPr>
        <w:t>.</w:t>
      </w:r>
      <w:r w:rsidRPr="00C9040A">
        <w:rPr>
          <w:rtl/>
        </w:rPr>
        <w:t xml:space="preserve"> وفي « ف » : + « يؤمّل » بالتشديد. وفي « بس » : والبحار : + « أمّل »</w:t>
      </w:r>
      <w:r>
        <w:rPr>
          <w:rtl/>
        </w:rPr>
        <w:t>.</w:t>
      </w:r>
    </w:p>
    <w:p w:rsidR="008A74EB" w:rsidRPr="004A4E41" w:rsidRDefault="008A74EB" w:rsidP="004A4E41">
      <w:pPr>
        <w:pStyle w:val="libFootnote0"/>
        <w:rPr>
          <w:rStyle w:val="libFootnote0Char"/>
          <w:rtl/>
        </w:rPr>
      </w:pPr>
      <w:r>
        <w:rPr>
          <w:rtl/>
        </w:rPr>
        <w:t>(14)</w:t>
      </w:r>
      <w:r w:rsidRPr="00C9040A">
        <w:rPr>
          <w:rtl/>
        </w:rPr>
        <w:t xml:space="preserve"> في « ض » : + « من الناس »</w:t>
      </w:r>
      <w:r>
        <w:rPr>
          <w:rtl/>
        </w:rPr>
        <w:t>.</w:t>
      </w:r>
    </w:p>
    <w:tbl>
      <w:tblPr>
        <w:tblStyle w:val="TableGrid"/>
        <w:bidiVisual/>
        <w:tblW w:w="0" w:type="auto"/>
        <w:tblLook w:val="04A0" w:firstRow="1" w:lastRow="0" w:firstColumn="1" w:lastColumn="0" w:noHBand="0" w:noVBand="1"/>
      </w:tblPr>
      <w:tblGrid>
        <w:gridCol w:w="4006"/>
        <w:gridCol w:w="4006"/>
      </w:tblGrid>
      <w:tr w:rsidR="00F13E3D" w:rsidTr="00F13E3D">
        <w:tc>
          <w:tcPr>
            <w:tcW w:w="4006" w:type="dxa"/>
          </w:tcPr>
          <w:p w:rsidR="00F13E3D" w:rsidRDefault="00F13E3D" w:rsidP="004A4E41">
            <w:pPr>
              <w:pStyle w:val="libFootnote0"/>
              <w:rPr>
                <w:rtl/>
              </w:rPr>
            </w:pPr>
            <w:r>
              <w:rPr>
                <w:rtl/>
              </w:rPr>
              <w:t>(15)</w:t>
            </w:r>
            <w:r w:rsidRPr="00C9040A">
              <w:rPr>
                <w:rtl/>
              </w:rPr>
              <w:t xml:space="preserve"> في « ض » : « الذلّة »</w:t>
            </w:r>
            <w:r>
              <w:rPr>
                <w:rtl/>
              </w:rPr>
              <w:t>.</w:t>
            </w:r>
          </w:p>
        </w:tc>
        <w:tc>
          <w:tcPr>
            <w:tcW w:w="4006" w:type="dxa"/>
          </w:tcPr>
          <w:p w:rsidR="00F13E3D" w:rsidRDefault="00F13E3D" w:rsidP="004A4E41">
            <w:pPr>
              <w:pStyle w:val="libFootnote0"/>
              <w:rPr>
                <w:rtl/>
              </w:rPr>
            </w:pPr>
            <w:r>
              <w:rPr>
                <w:rtl/>
              </w:rPr>
              <w:t>(16)</w:t>
            </w:r>
            <w:r w:rsidRPr="00C9040A">
              <w:rPr>
                <w:rtl/>
              </w:rPr>
              <w:t xml:space="preserve"> في « ج » : « عن »</w:t>
            </w:r>
            <w:r>
              <w:rPr>
                <w:rtl/>
              </w:rPr>
              <w:t>.</w:t>
            </w:r>
          </w:p>
        </w:tc>
      </w:tr>
    </w:tbl>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قُرْبِي </w:t>
      </w:r>
      <w:r w:rsidR="006C577F" w:rsidRPr="006C577F">
        <w:rPr>
          <w:rStyle w:val="libFootnotenumChar"/>
          <w:rtl/>
        </w:rPr>
        <w:t>(1)</w:t>
      </w:r>
      <w:r w:rsidRPr="00C9040A">
        <w:rPr>
          <w:rtl/>
          <w:lang w:bidi="fa-IR"/>
        </w:rPr>
        <w:t xml:space="preserve">، وَلَأُبَعِّدَنَّهُ مِنْ فَضْلِي </w:t>
      </w:r>
      <w:r w:rsidR="006C577F" w:rsidRPr="006C577F">
        <w:rPr>
          <w:rStyle w:val="libFootnotenumChar"/>
          <w:rtl/>
        </w:rPr>
        <w:t>(2)</w:t>
      </w:r>
      <w:r>
        <w:rPr>
          <w:rtl/>
          <w:lang w:bidi="fa-IR"/>
        </w:rPr>
        <w:t xml:space="preserve"> ، أَ</w:t>
      </w:r>
      <w:r w:rsidRPr="00C9040A">
        <w:rPr>
          <w:rtl/>
          <w:lang w:bidi="fa-IR"/>
        </w:rPr>
        <w:t xml:space="preserve">يُؤَمِّلُ </w:t>
      </w:r>
      <w:r w:rsidR="006C577F" w:rsidRPr="006C577F">
        <w:rPr>
          <w:rStyle w:val="libFootnotenumChar"/>
          <w:rtl/>
        </w:rPr>
        <w:t>(3)</w:t>
      </w:r>
      <w:r w:rsidRPr="00C9040A">
        <w:rPr>
          <w:rtl/>
          <w:lang w:bidi="fa-IR"/>
        </w:rPr>
        <w:t xml:space="preserve"> غَيْرِي فِي الشَّدَائِدِ وَالشَّدَائِدُ بِيَدِي ، وَيَرْجُو غَيْرِي ، وَيَقْرَعُ بِالْفِكْرِ بَابَ غَيْرِي </w:t>
      </w:r>
      <w:r w:rsidR="006C577F" w:rsidRPr="006C577F">
        <w:rPr>
          <w:rStyle w:val="libFootnotenumChar"/>
          <w:rtl/>
        </w:rPr>
        <w:t>(4)</w:t>
      </w:r>
      <w:r w:rsidRPr="00C9040A">
        <w:rPr>
          <w:rtl/>
          <w:lang w:bidi="fa-IR"/>
        </w:rPr>
        <w:t xml:space="preserve"> وَبِيَدِي مَفَاتِيحُ الْأَبْوَابِ ، وَهِيَ مُغْلَقَةٌ </w:t>
      </w:r>
      <w:r w:rsidR="006C577F" w:rsidRPr="006C577F">
        <w:rPr>
          <w:rStyle w:val="libFootnotenumChar"/>
          <w:rtl/>
        </w:rPr>
        <w:t>(5)</w:t>
      </w:r>
      <w:r w:rsidRPr="00C9040A">
        <w:rPr>
          <w:rtl/>
          <w:lang w:bidi="fa-IR"/>
        </w:rPr>
        <w:t xml:space="preserve"> ، وَبَابِي مَفْتُوحٌ لِمَنْ دَعَانِي</w:t>
      </w:r>
      <w:r>
        <w:rPr>
          <w:rtl/>
          <w:lang w:bidi="fa-IR"/>
        </w:rPr>
        <w:t>؟!</w:t>
      </w:r>
    </w:p>
    <w:p w:rsidR="008A74EB" w:rsidRPr="00C9040A" w:rsidRDefault="008A74EB" w:rsidP="008A74EB">
      <w:pPr>
        <w:pStyle w:val="libNormal"/>
        <w:rPr>
          <w:rtl/>
          <w:lang w:bidi="fa-IR"/>
        </w:rPr>
      </w:pPr>
      <w:r w:rsidRPr="00C9040A">
        <w:rPr>
          <w:rtl/>
          <w:lang w:bidi="fa-IR"/>
        </w:rPr>
        <w:t xml:space="preserve">فَمَنْ ذَا الَّذِي أَمَّلَنِي لِنَوَائِبِهِ </w:t>
      </w:r>
      <w:r w:rsidR="006C577F" w:rsidRPr="006C577F">
        <w:rPr>
          <w:rStyle w:val="libFootnotenumChar"/>
          <w:rtl/>
        </w:rPr>
        <w:t>(6)</w:t>
      </w:r>
      <w:r w:rsidRPr="005B567D">
        <w:rPr>
          <w:rStyle w:val="libFootnotenumChar"/>
          <w:rtl/>
        </w:rPr>
        <w:t xml:space="preserve"> </w:t>
      </w:r>
      <w:r w:rsidRPr="00C9040A">
        <w:rPr>
          <w:rtl/>
          <w:lang w:bidi="fa-IR"/>
        </w:rPr>
        <w:t>، فَقَطَعْتُهُ دُونَهَا</w:t>
      </w:r>
      <w:r>
        <w:rPr>
          <w:rtl/>
          <w:lang w:bidi="fa-IR"/>
        </w:rPr>
        <w:t>؟</w:t>
      </w:r>
      <w:r w:rsidRPr="00C9040A">
        <w:rPr>
          <w:rtl/>
          <w:lang w:bidi="fa-IR"/>
        </w:rPr>
        <w:t xml:space="preserve"> وَمَنْ ذَا </w:t>
      </w:r>
      <w:r w:rsidR="006C577F" w:rsidRPr="006C577F">
        <w:rPr>
          <w:rStyle w:val="libFootnotenumChar"/>
          <w:rtl/>
        </w:rPr>
        <w:t>(7)</w:t>
      </w:r>
      <w:r w:rsidRPr="00C9040A">
        <w:rPr>
          <w:rtl/>
          <w:lang w:bidi="fa-IR"/>
        </w:rPr>
        <w:t xml:space="preserve"> الَّذِي رَجَانِي لِعَظِيمَةٍ ، فَقَطَعْتُ رَجَاءَهُ مِنِّي</w:t>
      </w:r>
      <w:r>
        <w:rPr>
          <w:rtl/>
          <w:lang w:bidi="fa-IR"/>
        </w:rPr>
        <w:t>؟</w:t>
      </w:r>
      <w:r w:rsidRPr="00C9040A">
        <w:rPr>
          <w:rtl/>
          <w:lang w:bidi="fa-IR"/>
        </w:rPr>
        <w:t xml:space="preserve"> جَعَلْتُ آمَالَ عِبَادِي عِنْدِي مَحْفُوظَةً ، فَلَمْ يَرْضَوْا بِحِفْظِي ، وَمَلَأْتُ سَمَاوَاتِي مِمَّنْ لَايَمَلُّ مِنْ تَسْبِيحِي </w:t>
      </w:r>
      <w:r w:rsidR="006C577F" w:rsidRPr="006C577F">
        <w:rPr>
          <w:rStyle w:val="libFootnotenumChar"/>
          <w:rtl/>
        </w:rPr>
        <w:t>(8)</w:t>
      </w:r>
      <w:r w:rsidRPr="00C9040A">
        <w:rPr>
          <w:rtl/>
          <w:lang w:bidi="fa-IR"/>
        </w:rPr>
        <w:t xml:space="preserve"> ، وَأَمَرْتُهُمْ أَنْ لَايُغْلِقُوا الْأَبْوَابَ </w:t>
      </w:r>
      <w:r w:rsidR="006C577F" w:rsidRPr="006C577F">
        <w:rPr>
          <w:rStyle w:val="libFootnotenumChar"/>
          <w:rtl/>
        </w:rPr>
        <w:t>(9)</w:t>
      </w:r>
      <w:r w:rsidRPr="00C9040A">
        <w:rPr>
          <w:rtl/>
          <w:lang w:bidi="fa-IR"/>
        </w:rPr>
        <w:t xml:space="preserve"> بَيْنِي وَبَيْنَ عِبَادِي ،</w:t>
      </w:r>
      <w:r>
        <w:rPr>
          <w:rtl/>
          <w:lang w:bidi="fa-IR"/>
        </w:rPr>
        <w:t xml:space="preserve"> فَلَمْ يَثِقُوا بِقَوْلِي ، أَ</w:t>
      </w:r>
      <w:r w:rsidRPr="00C9040A">
        <w:rPr>
          <w:rtl/>
          <w:lang w:bidi="fa-IR"/>
        </w:rPr>
        <w:t xml:space="preserve">لَمْ يَعْلَمْ </w:t>
      </w:r>
      <w:r w:rsidR="006C577F" w:rsidRPr="006C577F">
        <w:rPr>
          <w:rStyle w:val="libFootnotenumChar"/>
          <w:rtl/>
        </w:rPr>
        <w:t>(10)</w:t>
      </w:r>
      <w:r w:rsidRPr="00C9040A">
        <w:rPr>
          <w:rtl/>
          <w:lang w:bidi="fa-IR"/>
        </w:rPr>
        <w:t xml:space="preserve"> مَنْ </w:t>
      </w:r>
      <w:r w:rsidR="006C577F" w:rsidRPr="006C577F">
        <w:rPr>
          <w:rStyle w:val="libFootnotenumChar"/>
          <w:rtl/>
        </w:rPr>
        <w:t>(11)</w:t>
      </w:r>
      <w:r w:rsidRPr="00C9040A">
        <w:rPr>
          <w:rtl/>
          <w:lang w:bidi="fa-IR"/>
        </w:rPr>
        <w:t xml:space="preserve"> طَرَقَتْهُ نَائِبَةٌ مِنْ نَوَائِبِي أَنَّهُ </w:t>
      </w:r>
      <w:r w:rsidR="006C577F" w:rsidRPr="006C577F">
        <w:rPr>
          <w:rStyle w:val="libFootnotenumChar"/>
          <w:rtl/>
        </w:rPr>
        <w:t>(12)</w:t>
      </w:r>
      <w:r w:rsidRPr="00C9040A">
        <w:rPr>
          <w:rtl/>
          <w:lang w:bidi="fa-IR"/>
        </w:rPr>
        <w:t xml:space="preserve"> لَايَمْلِكُ</w:t>
      </w:r>
      <w:r w:rsidR="00BE5EBB">
        <w:rPr>
          <w:rtl/>
          <w:lang w:bidi="fa-IR"/>
        </w:rPr>
        <w:t xml:space="preserve"> كَشْفَهَا أَحَدٌ غَيْرِي إِل</w:t>
      </w:r>
      <w:r w:rsidR="00BE5EBB">
        <w:rPr>
          <w:rFonts w:hint="cs"/>
          <w:rtl/>
          <w:lang w:bidi="fa-IR"/>
        </w:rPr>
        <w:t>َّ</w:t>
      </w:r>
      <w:r w:rsidR="00BE5EBB">
        <w:rPr>
          <w:rtl/>
          <w:lang w:bidi="fa-IR"/>
        </w:rPr>
        <w:t>ا</w:t>
      </w:r>
      <w:r w:rsidRPr="00C9040A">
        <w:rPr>
          <w:rtl/>
          <w:lang w:bidi="fa-IR"/>
        </w:rPr>
        <w:t xml:space="preserve"> مِنْ </w:t>
      </w:r>
      <w:r w:rsidRPr="005B567D">
        <w:rPr>
          <w:rStyle w:val="libFootnotenumChar"/>
          <w:rtl/>
        </w:rPr>
        <w:t>(13)</w:t>
      </w:r>
      <w:r w:rsidRPr="00C9040A">
        <w:rPr>
          <w:rtl/>
          <w:lang w:bidi="fa-IR"/>
        </w:rPr>
        <w:t xml:space="preserve"> بَعْدِ إِذْنِي</w:t>
      </w:r>
      <w:r>
        <w:rPr>
          <w:rtl/>
          <w:lang w:bidi="fa-IR"/>
        </w:rPr>
        <w:t>؟</w:t>
      </w:r>
      <w:r w:rsidRPr="00C9040A">
        <w:rPr>
          <w:rtl/>
          <w:lang w:bidi="fa-IR"/>
        </w:rPr>
        <w:t xml:space="preserve"> فَمَا لِي أَرَاهُ لَاهِياً عَنِّي</w:t>
      </w:r>
      <w:r>
        <w:rPr>
          <w:rtl/>
          <w:lang w:bidi="fa-IR"/>
        </w:rPr>
        <w:t>؟</w:t>
      </w:r>
    </w:p>
    <w:p w:rsidR="008A74EB" w:rsidRPr="00C9040A" w:rsidRDefault="008A74EB" w:rsidP="008A74EB">
      <w:pPr>
        <w:pStyle w:val="libNormal"/>
        <w:rPr>
          <w:rtl/>
        </w:rPr>
      </w:pPr>
      <w:r w:rsidRPr="00C9040A">
        <w:rPr>
          <w:rtl/>
          <w:lang w:bidi="fa-IR"/>
        </w:rPr>
        <w:t xml:space="preserve">أَعْطَيْتُهُ بِجُودِي مَا لَمْ يَسْأَلْنِي ، ثُمَّ انْتَزَعْتُهُ عَنْهُ </w:t>
      </w:r>
      <w:r w:rsidRPr="005B567D">
        <w:rPr>
          <w:rStyle w:val="libFootnotenumChar"/>
          <w:rtl/>
        </w:rPr>
        <w:t>(14)</w:t>
      </w:r>
      <w:r w:rsidRPr="00C9040A">
        <w:rPr>
          <w:rtl/>
          <w:lang w:bidi="fa-IR"/>
        </w:rPr>
        <w:t xml:space="preserve"> ، فَلَمْ يَسْأَلْنِي رَدَّهُ وَسَأَلَ </w:t>
      </w:r>
      <w:r w:rsidRPr="005B567D">
        <w:rPr>
          <w:rStyle w:val="libFootnotenumChar"/>
          <w:rtl/>
        </w:rPr>
        <w:t>(15)</w:t>
      </w:r>
      <w:r>
        <w:rPr>
          <w:rtl/>
          <w:lang w:bidi="fa-IR"/>
        </w:rPr>
        <w:t xml:space="preserve"> غَيْرِي ، أَ</w:t>
      </w:r>
      <w:r w:rsidRPr="00C9040A">
        <w:rPr>
          <w:rtl/>
          <w:lang w:bidi="fa-IR"/>
        </w:rPr>
        <w:t xml:space="preserve">فَيَرَانِي </w:t>
      </w:r>
      <w:r w:rsidRPr="005B567D">
        <w:rPr>
          <w:rStyle w:val="libFootnotenumChar"/>
          <w:rtl/>
        </w:rPr>
        <w:t>(16)</w:t>
      </w:r>
      <w:r w:rsidRPr="00C9040A">
        <w:rPr>
          <w:rtl/>
          <w:lang w:bidi="fa-IR"/>
        </w:rPr>
        <w:t xml:space="preserve"> أَبْدَأُ </w:t>
      </w:r>
      <w:r w:rsidRPr="005B567D">
        <w:rPr>
          <w:rStyle w:val="libFootnotenumChar"/>
          <w:rtl/>
        </w:rPr>
        <w:t>(17)</w:t>
      </w:r>
      <w:r w:rsidRPr="00C9040A">
        <w:rPr>
          <w:rtl/>
          <w:lang w:bidi="fa-IR"/>
        </w:rPr>
        <w:t xml:space="preserve"> ‌</w:t>
      </w:r>
      <w:r>
        <w:rPr>
          <w:rFonts w:hint="cs"/>
          <w:rtl/>
          <w:lang w:bidi="fa-IR"/>
        </w:rPr>
        <w:t>بَالع</w:t>
      </w:r>
      <w:r>
        <w:rPr>
          <w:rFonts w:hint="cs"/>
          <w:rtl/>
        </w:rPr>
        <w:t xml:space="preserve">َطَاءِ </w:t>
      </w:r>
      <w:r w:rsidRPr="005B567D">
        <w:rPr>
          <w:rStyle w:val="libFootnotenumChar"/>
          <w:rFonts w:hint="cs"/>
          <w:rtl/>
        </w:rPr>
        <w:t>(18)</w:t>
      </w:r>
      <w:r>
        <w:rPr>
          <w:rFonts w:hint="cs"/>
          <w:rtl/>
        </w:rPr>
        <w:t xml:space="preserve"> قَبلَ المسألةِ ، ثُمَّ أُسأَلُ فَلَا .....</w:t>
      </w:r>
      <w:r w:rsidR="00BE5EBB">
        <w:rPr>
          <w:rFonts w:hint="cs"/>
          <w:rtl/>
        </w:rPr>
        <w:t>............................</w:t>
      </w:r>
      <w:r w:rsidR="00BE5EBB">
        <w:rPr>
          <w:rFonts w:hint="cs"/>
          <w:rtl/>
        </w:rPr>
        <w:tab/>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 ز » : « عن قربي »</w:t>
      </w:r>
      <w:r w:rsidR="008A74EB">
        <w:rPr>
          <w:rtl/>
        </w:rPr>
        <w:t>.</w:t>
      </w:r>
      <w:r w:rsidR="008A74EB" w:rsidRPr="00C9040A">
        <w:rPr>
          <w:rtl/>
        </w:rPr>
        <w:t xml:space="preserve"> وفي حاشية « ف » : « عن بعدي »</w:t>
      </w:r>
      <w:r w:rsidR="008A74EB">
        <w:rPr>
          <w:rtl/>
        </w:rPr>
        <w:t>.</w:t>
      </w:r>
      <w:r w:rsidR="008A74EB" w:rsidRPr="00C9040A">
        <w:rPr>
          <w:rtl/>
        </w:rPr>
        <w:t xml:space="preserve"> </w:t>
      </w:r>
      <w:r w:rsidR="008A74EB">
        <w:rPr>
          <w:rtl/>
        </w:rPr>
        <w:t>و «</w:t>
      </w:r>
      <w:r w:rsidR="00C22C9D">
        <w:rPr>
          <w:rtl/>
        </w:rPr>
        <w:t xml:space="preserve"> ل</w:t>
      </w:r>
      <w:r w:rsidR="008A74EB" w:rsidRPr="00C9040A">
        <w:rPr>
          <w:rtl/>
        </w:rPr>
        <w:t>ا</w:t>
      </w:r>
      <w:r w:rsidR="00C22C9D">
        <w:rPr>
          <w:rFonts w:hint="cs"/>
          <w:rtl/>
        </w:rPr>
        <w:t>ُ</w:t>
      </w:r>
      <w:r w:rsidR="00C22C9D">
        <w:rPr>
          <w:rtl/>
        </w:rPr>
        <w:t>نحّينّه » أي ل</w:t>
      </w:r>
      <w:r w:rsidR="008A74EB" w:rsidRPr="00C9040A">
        <w:rPr>
          <w:rtl/>
        </w:rPr>
        <w:t>ا</w:t>
      </w:r>
      <w:r w:rsidR="00C22C9D">
        <w:rPr>
          <w:rFonts w:hint="cs"/>
          <w:rtl/>
        </w:rPr>
        <w:t>ُ</w:t>
      </w:r>
      <w:r w:rsidR="008A74EB" w:rsidRPr="00C9040A">
        <w:rPr>
          <w:rtl/>
        </w:rPr>
        <w:t>بعدنّه وا</w:t>
      </w:r>
      <w:r w:rsidR="00C22C9D">
        <w:rPr>
          <w:rFonts w:hint="cs"/>
          <w:rtl/>
        </w:rPr>
        <w:t>ُ</w:t>
      </w:r>
      <w:r w:rsidR="008A74EB" w:rsidRPr="00C9040A">
        <w:rPr>
          <w:rtl/>
        </w:rPr>
        <w:t xml:space="preserve">زيلنّه. راجع : </w:t>
      </w:r>
      <w:r w:rsidR="008A74EB" w:rsidRPr="00993B55">
        <w:rPr>
          <w:rStyle w:val="libFootnoteBoldChar"/>
          <w:rtl/>
        </w:rPr>
        <w:t>لسان العرب</w:t>
      </w:r>
      <w:r w:rsidR="008A74EB" w:rsidRPr="00C9040A">
        <w:rPr>
          <w:rtl/>
        </w:rPr>
        <w:t xml:space="preserve"> ، ج 15 ، ص 310 ( نحا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ب ، ز ، ض ، ف ، بر ، بف » وحاشية « بس » والبحار : « من وصلي »</w:t>
      </w:r>
      <w:r w:rsidR="008A74EB">
        <w:rPr>
          <w:rtl/>
        </w:rPr>
        <w:t>.</w:t>
      </w:r>
      <w:r w:rsidR="00AC2E2F">
        <w:rPr>
          <w:rtl/>
        </w:rPr>
        <w:t xml:space="preserve"> وفي « ز » : « عن فضلي</w:t>
      </w:r>
      <w:r w:rsidR="008A74EB" w:rsidRPr="00C9040A">
        <w:rPr>
          <w:rtl/>
        </w:rPr>
        <w:t>»</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ف » : « يؤمّل » بدون همزة الاستفهام.</w:t>
      </w:r>
    </w:p>
    <w:p w:rsidR="008A74EB" w:rsidRPr="00C9040A" w:rsidRDefault="006C577F" w:rsidP="004A4E41">
      <w:pPr>
        <w:pStyle w:val="libFootnote0"/>
        <w:rPr>
          <w:rtl/>
          <w:lang w:bidi="fa-IR"/>
        </w:rPr>
      </w:pPr>
      <w:r>
        <w:rPr>
          <w:rtl/>
        </w:rPr>
        <w:t>(4).</w:t>
      </w:r>
      <w:r w:rsidR="008A74EB" w:rsidRPr="00C9040A">
        <w:rPr>
          <w:rtl/>
        </w:rPr>
        <w:t xml:space="preserve"> في </w:t>
      </w:r>
      <w:r w:rsidR="008A74EB" w:rsidRPr="00993B55">
        <w:rPr>
          <w:rStyle w:val="libFootnoteBoldChar"/>
          <w:rtl/>
        </w:rPr>
        <w:t>شرح المازندراني</w:t>
      </w:r>
      <w:r w:rsidR="008A74EB" w:rsidRPr="00C9040A">
        <w:rPr>
          <w:rtl/>
        </w:rPr>
        <w:t xml:space="preserve"> ، ج 8 ، ص 202 : « تشبيه الفكر باليد مكنيّة ، وإثبات القرع لها تخييليّة ، وذكر الباب‌ترشيح. والمقصود ذمّه بصرف قلبه وفكره عند الحاجة إلى غيره تعالى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ز ، بر » : « مغلّقة » بالتشديد.</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الوسائل : « لنائبة »</w:t>
      </w:r>
      <w:r w:rsidR="008A74EB">
        <w:rPr>
          <w:rtl/>
        </w:rPr>
        <w:t>.</w:t>
      </w:r>
      <w:r w:rsidR="008A74EB" w:rsidRPr="00C9040A">
        <w:rPr>
          <w:rtl/>
        </w:rPr>
        <w:t xml:space="preserve"> </w:t>
      </w:r>
      <w:r w:rsidR="008A74EB">
        <w:rPr>
          <w:rtl/>
        </w:rPr>
        <w:t>و «</w:t>
      </w:r>
      <w:r w:rsidR="008A74EB" w:rsidRPr="00C9040A">
        <w:rPr>
          <w:rtl/>
        </w:rPr>
        <w:t xml:space="preserve"> النوائب » : جمع نائبة ، وهي ما ينوب الإنسان ، أي ينزل به من المهمّات والحوادث. </w:t>
      </w:r>
      <w:r w:rsidR="008A74EB" w:rsidRPr="00993B55">
        <w:rPr>
          <w:rStyle w:val="libFootnoteBoldChar"/>
          <w:rtl/>
        </w:rPr>
        <w:t>النهاية</w:t>
      </w:r>
      <w:r w:rsidR="008A74EB" w:rsidRPr="00C9040A">
        <w:rPr>
          <w:rtl/>
        </w:rPr>
        <w:t xml:space="preserve"> ، ج 5 ، ص 123 ( نوب )</w:t>
      </w:r>
      <w:r w:rsidR="008A74EB">
        <w:rPr>
          <w:rtl/>
        </w:rPr>
        <w:t>.</w:t>
      </w:r>
      <w:r w:rsidR="00C22C9D">
        <w:rPr>
          <w:rFonts w:hint="cs"/>
          <w:rtl/>
        </w:rPr>
        <w:t xml:space="preserve">            </w:t>
      </w:r>
      <w:r>
        <w:rPr>
          <w:rtl/>
        </w:rPr>
        <w:t>(7).</w:t>
      </w:r>
      <w:r w:rsidR="008A74EB" w:rsidRPr="00C9040A">
        <w:rPr>
          <w:rtl/>
        </w:rPr>
        <w:t xml:space="preserve"> في الوسائل </w:t>
      </w:r>
      <w:r w:rsidR="008A74EB">
        <w:rPr>
          <w:rtl/>
        </w:rPr>
        <w:t xml:space="preserve">: </w:t>
      </w:r>
      <w:r w:rsidR="0084262C">
        <w:rPr>
          <w:rtl/>
        </w:rPr>
        <w:t>-</w:t>
      </w:r>
      <w:r w:rsidR="008A74EB" w:rsidRPr="00C9040A">
        <w:rPr>
          <w:rtl/>
        </w:rPr>
        <w:t xml:space="preserve"> « ذا »</w:t>
      </w:r>
      <w:r w:rsidR="008A74EB">
        <w:rPr>
          <w:rtl/>
        </w:rPr>
        <w:t>.</w:t>
      </w:r>
    </w:p>
    <w:p w:rsidR="008A74EB" w:rsidRPr="004A4E41" w:rsidRDefault="006C577F" w:rsidP="004A4E41">
      <w:pPr>
        <w:pStyle w:val="libFootnote0"/>
        <w:rPr>
          <w:rStyle w:val="libFootnote0Char"/>
          <w:rtl/>
        </w:rPr>
      </w:pPr>
      <w:r>
        <w:rPr>
          <w:rtl/>
        </w:rPr>
        <w:t>(8).</w:t>
      </w:r>
      <w:r w:rsidR="008A74EB" w:rsidRPr="00C9040A">
        <w:rPr>
          <w:rtl/>
        </w:rPr>
        <w:t xml:space="preserve"> في « بس » </w:t>
      </w:r>
      <w:r w:rsidR="008A74EB">
        <w:rPr>
          <w:rtl/>
        </w:rPr>
        <w:t xml:space="preserve">: </w:t>
      </w:r>
      <w:r w:rsidR="0084262C">
        <w:rPr>
          <w:rtl/>
        </w:rPr>
        <w:t>-</w:t>
      </w:r>
      <w:r w:rsidR="008A74EB" w:rsidRPr="00C9040A">
        <w:rPr>
          <w:rtl/>
        </w:rPr>
        <w:t xml:space="preserve"> « من »</w:t>
      </w:r>
      <w:r w:rsidR="008A74EB">
        <w:rPr>
          <w:rtl/>
        </w:rPr>
        <w:t>.</w:t>
      </w:r>
      <w:r w:rsidR="008A74EB" w:rsidRPr="00C9040A">
        <w:rPr>
          <w:rtl/>
        </w:rPr>
        <w:t xml:space="preserve"> وفي شرح المازندراني : « بتسبيحي »</w:t>
      </w:r>
      <w:r w:rsidR="008A74EB">
        <w:rPr>
          <w:rtl/>
        </w:rPr>
        <w:t>.</w:t>
      </w:r>
    </w:p>
    <w:tbl>
      <w:tblPr>
        <w:tblStyle w:val="TableGrid"/>
        <w:bidiVisual/>
        <w:tblW w:w="0" w:type="auto"/>
        <w:tblLook w:val="04A0" w:firstRow="1" w:lastRow="0" w:firstColumn="1" w:lastColumn="0" w:noHBand="0" w:noVBand="1"/>
      </w:tblPr>
      <w:tblGrid>
        <w:gridCol w:w="4006"/>
        <w:gridCol w:w="4006"/>
      </w:tblGrid>
      <w:tr w:rsidR="00C22C9D" w:rsidTr="00C22C9D">
        <w:tc>
          <w:tcPr>
            <w:tcW w:w="4006" w:type="dxa"/>
          </w:tcPr>
          <w:p w:rsidR="00C22C9D" w:rsidRDefault="00C22C9D" w:rsidP="004A4E41">
            <w:pPr>
              <w:pStyle w:val="libFootnote0"/>
              <w:rPr>
                <w:rtl/>
              </w:rPr>
            </w:pPr>
            <w:r>
              <w:rPr>
                <w:rtl/>
              </w:rPr>
              <w:t>(9).</w:t>
            </w:r>
            <w:r w:rsidRPr="00C9040A">
              <w:rPr>
                <w:rtl/>
              </w:rPr>
              <w:t xml:space="preserve"> في « ب » : + « التي »</w:t>
            </w:r>
            <w:r>
              <w:rPr>
                <w:rtl/>
              </w:rPr>
              <w:t>.</w:t>
            </w:r>
          </w:p>
        </w:tc>
        <w:tc>
          <w:tcPr>
            <w:tcW w:w="4006" w:type="dxa"/>
          </w:tcPr>
          <w:p w:rsidR="00C22C9D" w:rsidRDefault="00C22C9D" w:rsidP="004A4E41">
            <w:pPr>
              <w:pStyle w:val="libFootnote0"/>
              <w:rPr>
                <w:rtl/>
              </w:rPr>
            </w:pPr>
            <w:r>
              <w:rPr>
                <w:rtl/>
              </w:rPr>
              <w:t>(10).</w:t>
            </w:r>
            <w:r w:rsidRPr="00C9040A">
              <w:rPr>
                <w:rtl/>
              </w:rPr>
              <w:t xml:space="preserve"> في « ج » : « لم يعلم » بدون الهمزة.</w:t>
            </w:r>
          </w:p>
        </w:tc>
      </w:tr>
    </w:tbl>
    <w:p w:rsidR="008A74EB" w:rsidRPr="004A4E41" w:rsidRDefault="006C577F" w:rsidP="004A4E41">
      <w:pPr>
        <w:pStyle w:val="libFootnote0"/>
        <w:rPr>
          <w:rStyle w:val="libFootnote0Char"/>
          <w:rtl/>
        </w:rPr>
      </w:pPr>
      <w:r>
        <w:rPr>
          <w:rtl/>
        </w:rPr>
        <w:t>(11).</w:t>
      </w:r>
      <w:r w:rsidR="008A74EB" w:rsidRPr="00C9040A">
        <w:rPr>
          <w:rtl/>
        </w:rPr>
        <w:t xml:space="preserve"> هكذا في النسخ التي قوبلت وشرح المازندراني والوافي والوسائل والبحار. وفي المطبوع : « [ أنّ ] من »</w:t>
      </w:r>
      <w:r w:rsidR="008A74EB">
        <w:rPr>
          <w:rtl/>
        </w:rPr>
        <w:t>.</w:t>
      </w:r>
    </w:p>
    <w:tbl>
      <w:tblPr>
        <w:tblStyle w:val="TableGrid"/>
        <w:bidiVisual/>
        <w:tblW w:w="0" w:type="auto"/>
        <w:tblLook w:val="04A0" w:firstRow="1" w:lastRow="0" w:firstColumn="1" w:lastColumn="0" w:noHBand="0" w:noVBand="1"/>
      </w:tblPr>
      <w:tblGrid>
        <w:gridCol w:w="4006"/>
        <w:gridCol w:w="4006"/>
      </w:tblGrid>
      <w:tr w:rsidR="001A4C66" w:rsidTr="001A4C66">
        <w:tc>
          <w:tcPr>
            <w:tcW w:w="4006" w:type="dxa"/>
          </w:tcPr>
          <w:p w:rsidR="001A4C66" w:rsidRDefault="001A4C66" w:rsidP="004A4E41">
            <w:pPr>
              <w:pStyle w:val="libFootnote0"/>
              <w:rPr>
                <w:rtl/>
                <w:lang w:bidi="fa-IR"/>
              </w:rPr>
            </w:pPr>
            <w:r>
              <w:rPr>
                <w:rtl/>
              </w:rPr>
              <w:t>(12).</w:t>
            </w:r>
            <w:r w:rsidRPr="00C9040A">
              <w:rPr>
                <w:rtl/>
              </w:rPr>
              <w:t xml:space="preserve"> في « ز » : « أن »</w:t>
            </w:r>
            <w:r>
              <w:rPr>
                <w:rtl/>
              </w:rPr>
              <w:t>.</w:t>
            </w:r>
          </w:p>
        </w:tc>
        <w:tc>
          <w:tcPr>
            <w:tcW w:w="4006" w:type="dxa"/>
          </w:tcPr>
          <w:p w:rsidR="001A4C66" w:rsidRDefault="001A4C66" w:rsidP="004A4E41">
            <w:pPr>
              <w:pStyle w:val="libFootnote0"/>
              <w:rPr>
                <w:rtl/>
                <w:lang w:bidi="fa-IR"/>
              </w:rPr>
            </w:pPr>
            <w:r>
              <w:rPr>
                <w:rtl/>
              </w:rPr>
              <w:t>(13)</w:t>
            </w:r>
            <w:r w:rsidRPr="00C9040A">
              <w:rPr>
                <w:rtl/>
              </w:rPr>
              <w:t xml:space="preserve"> في شرح المازندراني </w:t>
            </w:r>
            <w:r>
              <w:rPr>
                <w:rtl/>
              </w:rPr>
              <w:t>: -</w:t>
            </w:r>
            <w:r w:rsidRPr="00C9040A">
              <w:rPr>
                <w:rtl/>
              </w:rPr>
              <w:t xml:space="preserve"> « من »</w:t>
            </w:r>
            <w:r>
              <w:rPr>
                <w:rtl/>
              </w:rPr>
              <w:t>.</w:t>
            </w:r>
          </w:p>
        </w:tc>
      </w:tr>
      <w:tr w:rsidR="001A4C66" w:rsidTr="001A4C66">
        <w:tc>
          <w:tcPr>
            <w:tcW w:w="4006" w:type="dxa"/>
          </w:tcPr>
          <w:p w:rsidR="001A4C66" w:rsidRDefault="001A4C66" w:rsidP="004A4E41">
            <w:pPr>
              <w:pStyle w:val="libFootnote0"/>
              <w:rPr>
                <w:rtl/>
                <w:lang w:bidi="fa-IR"/>
              </w:rPr>
            </w:pPr>
            <w:r>
              <w:rPr>
                <w:rtl/>
              </w:rPr>
              <w:t>(14)</w:t>
            </w:r>
            <w:r w:rsidR="007F1913">
              <w:rPr>
                <w:rFonts w:hint="cs"/>
                <w:rtl/>
              </w:rPr>
              <w:t>.</w:t>
            </w:r>
            <w:r w:rsidRPr="00C9040A">
              <w:rPr>
                <w:rtl/>
              </w:rPr>
              <w:t xml:space="preserve"> ف</w:t>
            </w:r>
            <w:r>
              <w:rPr>
                <w:rtl/>
              </w:rPr>
              <w:t>ي «ج</w:t>
            </w:r>
            <w:r w:rsidRPr="00C9040A">
              <w:rPr>
                <w:rtl/>
              </w:rPr>
              <w:t>»</w:t>
            </w:r>
            <w:r>
              <w:rPr>
                <w:rtl/>
              </w:rPr>
              <w:t>:-</w:t>
            </w:r>
            <w:r w:rsidRPr="00C9040A">
              <w:rPr>
                <w:rtl/>
              </w:rPr>
              <w:t xml:space="preserve"> « عنه »</w:t>
            </w:r>
            <w:r>
              <w:rPr>
                <w:rtl/>
              </w:rPr>
              <w:t>.</w:t>
            </w:r>
            <w:r w:rsidRPr="00C9040A">
              <w:rPr>
                <w:rtl/>
              </w:rPr>
              <w:t xml:space="preserve"> وفي « ض » : « منه »</w:t>
            </w:r>
            <w:r>
              <w:rPr>
                <w:rtl/>
              </w:rPr>
              <w:t>.</w:t>
            </w:r>
          </w:p>
        </w:tc>
        <w:tc>
          <w:tcPr>
            <w:tcW w:w="4006" w:type="dxa"/>
          </w:tcPr>
          <w:p w:rsidR="001A4C66" w:rsidRDefault="001A4C66" w:rsidP="004A4E41">
            <w:pPr>
              <w:pStyle w:val="libFootnote0"/>
              <w:rPr>
                <w:rtl/>
                <w:lang w:bidi="fa-IR"/>
              </w:rPr>
            </w:pPr>
            <w:r>
              <w:rPr>
                <w:rtl/>
              </w:rPr>
              <w:t>(15)</w:t>
            </w:r>
            <w:r w:rsidRPr="00C9040A">
              <w:rPr>
                <w:rtl/>
              </w:rPr>
              <w:t xml:space="preserve"> في « ص ، ف » : « ويسأل »</w:t>
            </w:r>
            <w:r>
              <w:rPr>
                <w:rtl/>
              </w:rPr>
              <w:t>.</w:t>
            </w:r>
          </w:p>
        </w:tc>
      </w:tr>
      <w:tr w:rsidR="007F1913" w:rsidTr="007F1913">
        <w:tc>
          <w:tcPr>
            <w:tcW w:w="4006" w:type="dxa"/>
          </w:tcPr>
          <w:p w:rsidR="007F1913" w:rsidRDefault="007F1913" w:rsidP="004A4E41">
            <w:pPr>
              <w:pStyle w:val="libFootnote0"/>
              <w:rPr>
                <w:rtl/>
              </w:rPr>
            </w:pPr>
            <w:r>
              <w:rPr>
                <w:rtl/>
              </w:rPr>
              <w:t>(16)</w:t>
            </w:r>
            <w:r>
              <w:rPr>
                <w:rFonts w:hint="cs"/>
                <w:rtl/>
              </w:rPr>
              <w:t>.</w:t>
            </w:r>
            <w:r w:rsidRPr="00C9040A">
              <w:rPr>
                <w:rtl/>
              </w:rPr>
              <w:t xml:space="preserve"> في«ج،ز،ص،ض،ف،بر،بس،بف»:«أفتراني»</w:t>
            </w:r>
            <w:r>
              <w:rPr>
                <w:rtl/>
              </w:rPr>
              <w:t>.</w:t>
            </w:r>
          </w:p>
        </w:tc>
        <w:tc>
          <w:tcPr>
            <w:tcW w:w="4006" w:type="dxa"/>
          </w:tcPr>
          <w:p w:rsidR="007F1913" w:rsidRDefault="007F1913" w:rsidP="004A4E41">
            <w:pPr>
              <w:pStyle w:val="libFootnote0"/>
              <w:rPr>
                <w:rtl/>
              </w:rPr>
            </w:pPr>
            <w:r>
              <w:rPr>
                <w:rtl/>
              </w:rPr>
              <w:t>(17)</w:t>
            </w:r>
            <w:r>
              <w:rPr>
                <w:rFonts w:hint="cs"/>
                <w:rtl/>
              </w:rPr>
              <w:t>.</w:t>
            </w:r>
            <w:r w:rsidRPr="00C9040A">
              <w:rPr>
                <w:rtl/>
              </w:rPr>
              <w:t xml:space="preserve"> في«ب»:«أبدؤه»</w:t>
            </w:r>
            <w:r>
              <w:rPr>
                <w:rtl/>
              </w:rPr>
              <w:t>.</w:t>
            </w:r>
          </w:p>
        </w:tc>
      </w:tr>
    </w:tbl>
    <w:p w:rsidR="008A74EB" w:rsidRDefault="008A74EB" w:rsidP="004A4E41">
      <w:pPr>
        <w:pStyle w:val="libFootnote0"/>
        <w:rPr>
          <w:rtl/>
        </w:rPr>
      </w:pPr>
      <w:r>
        <w:rPr>
          <w:rFonts w:hint="cs"/>
          <w:rtl/>
          <w:lang w:bidi="fa-IR"/>
        </w:rPr>
        <w:t>(18)</w:t>
      </w:r>
      <w:r w:rsidR="007F1913">
        <w:rPr>
          <w:rFonts w:hint="cs"/>
          <w:rtl/>
          <w:lang w:bidi="fa-IR"/>
        </w:rPr>
        <w:t>.</w:t>
      </w:r>
      <w:r>
        <w:rPr>
          <w:rFonts w:hint="cs"/>
          <w:rtl/>
          <w:lang w:bidi="fa-IR"/>
        </w:rPr>
        <w:t xml:space="preserve"> في حاشية « ز » : « بالعطايا </w:t>
      </w:r>
      <w:r w:rsidR="0084262C">
        <w:rPr>
          <w:rFonts w:hint="cs"/>
          <w:rtl/>
          <w:lang w:bidi="fa-IR"/>
        </w:rPr>
        <w:t>-</w:t>
      </w:r>
      <w:r>
        <w:rPr>
          <w:rFonts w:hint="cs"/>
          <w:rtl/>
          <w:lang w:bidi="fa-IR"/>
        </w:rPr>
        <w:t xml:space="preserve"> بالعطي</w:t>
      </w:r>
      <w:r>
        <w:rPr>
          <w:rFonts w:hint="cs"/>
          <w:rtl/>
        </w:rPr>
        <w:t>ّ</w:t>
      </w:r>
      <w:r>
        <w:rPr>
          <w:rFonts w:hint="cs"/>
          <w:rtl/>
          <w:lang w:bidi="fa-IR"/>
        </w:rPr>
        <w:t>ة ». وفی البحار : « بالع</w:t>
      </w:r>
      <w:r>
        <w:rPr>
          <w:rFonts w:hint="cs"/>
          <w:rtl/>
        </w:rPr>
        <w:t>طايا ».</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أُجِيبُ </w:t>
      </w:r>
      <w:r w:rsidR="006C577F" w:rsidRPr="006C577F">
        <w:rPr>
          <w:rStyle w:val="libFootnotenumChar"/>
          <w:rtl/>
        </w:rPr>
        <w:t>(1)</w:t>
      </w:r>
      <w:r w:rsidRPr="002712F0">
        <w:rPr>
          <w:rFonts w:hint="cs"/>
          <w:rtl/>
        </w:rPr>
        <w:t xml:space="preserve"> </w:t>
      </w:r>
      <w:r w:rsidRPr="00C9040A">
        <w:rPr>
          <w:rtl/>
          <w:lang w:bidi="fa-IR"/>
        </w:rPr>
        <w:t>سَائِلِي</w:t>
      </w:r>
      <w:r>
        <w:rPr>
          <w:rtl/>
          <w:lang w:bidi="fa-IR"/>
        </w:rPr>
        <w:t>؟ أَ</w:t>
      </w:r>
      <w:r w:rsidRPr="00C9040A">
        <w:rPr>
          <w:rtl/>
          <w:lang w:bidi="fa-IR"/>
        </w:rPr>
        <w:t>بَخِيلٌ أَنَا ؛ فَيُبَخِّلَنِي عَبْدِي</w:t>
      </w:r>
      <w:r>
        <w:rPr>
          <w:rtl/>
          <w:lang w:bidi="fa-IR"/>
        </w:rPr>
        <w:t>؟ أَ</w:t>
      </w:r>
      <w:r w:rsidRPr="00C9040A">
        <w:rPr>
          <w:rtl/>
          <w:lang w:bidi="fa-IR"/>
        </w:rPr>
        <w:t xml:space="preserve">وَلَيْسَ الْجُودُ وَالْكَرَمُ </w:t>
      </w:r>
      <w:r w:rsidR="006C577F" w:rsidRPr="006C577F">
        <w:rPr>
          <w:rStyle w:val="libFootnotenumChar"/>
          <w:rtl/>
        </w:rPr>
        <w:t>(2)</w:t>
      </w:r>
      <w:r w:rsidRPr="00C9040A">
        <w:rPr>
          <w:rtl/>
          <w:lang w:bidi="fa-IR"/>
        </w:rPr>
        <w:t xml:space="preserve"> لِي</w:t>
      </w:r>
      <w:r>
        <w:rPr>
          <w:rtl/>
          <w:lang w:bidi="fa-IR"/>
        </w:rPr>
        <w:t>؟ أَ</w:t>
      </w:r>
      <w:r w:rsidRPr="00C9040A">
        <w:rPr>
          <w:rtl/>
          <w:lang w:bidi="fa-IR"/>
        </w:rPr>
        <w:t>وَلَيْسَ الْعَفْوُ وَالرَّحْمَةُ بِيَدِي</w:t>
      </w:r>
      <w:r>
        <w:rPr>
          <w:rtl/>
          <w:lang w:bidi="fa-IR"/>
        </w:rPr>
        <w:t>؟ أَ</w:t>
      </w:r>
      <w:r w:rsidRPr="00C9040A">
        <w:rPr>
          <w:rtl/>
          <w:lang w:bidi="fa-IR"/>
        </w:rPr>
        <w:t>وَلَيْسَ أَنَا مَحَلَّ الْآمَالِ</w:t>
      </w:r>
      <w:r>
        <w:rPr>
          <w:rtl/>
          <w:lang w:bidi="fa-IR"/>
        </w:rPr>
        <w:t>؟</w:t>
      </w:r>
      <w:r w:rsidRPr="00C9040A">
        <w:rPr>
          <w:rtl/>
          <w:lang w:bidi="fa-IR"/>
        </w:rPr>
        <w:t xml:space="preserve"> فَمَنْ يَقْطَعُهَا دُونِي</w:t>
      </w:r>
      <w:r>
        <w:rPr>
          <w:rtl/>
          <w:lang w:bidi="fa-IR"/>
        </w:rPr>
        <w:t>؟ أَ</w:t>
      </w:r>
      <w:r w:rsidRPr="00C9040A">
        <w:rPr>
          <w:rtl/>
          <w:lang w:bidi="fa-IR"/>
        </w:rPr>
        <w:t xml:space="preserve">فَلَا </w:t>
      </w:r>
      <w:r w:rsidR="006C577F" w:rsidRPr="006C577F">
        <w:rPr>
          <w:rStyle w:val="libFootnotenumChar"/>
          <w:rtl/>
        </w:rPr>
        <w:t>(3)</w:t>
      </w:r>
      <w:r w:rsidRPr="00C9040A">
        <w:rPr>
          <w:rtl/>
          <w:lang w:bidi="fa-IR"/>
        </w:rPr>
        <w:t xml:space="preserve"> يَخْشَى الْمُؤَمِّلُونَ أَنْ يُؤَمِّلُوا غَيْرِي</w:t>
      </w:r>
      <w:r>
        <w:rPr>
          <w:rtl/>
          <w:lang w:bidi="fa-IR"/>
        </w:rPr>
        <w:t>؟</w:t>
      </w:r>
      <w:r w:rsidRPr="00C9040A">
        <w:rPr>
          <w:rtl/>
          <w:lang w:bidi="fa-IR"/>
        </w:rPr>
        <w:t xml:space="preserve"> فَلَوْ أَنَّ أَهْلَ سَمَاوَاتِي وَأَهْلَ أَرْضِي أَمَّلُوا جَمِيعاً ، ثُمَّ أَعْطَيْتُ كُلَّ وَاحِدٍ مِنْهُمْ مِثْلَ مَا أَمَّلَ الْجَمِيعُ ، مَا انْتَقَصَ </w:t>
      </w:r>
      <w:r w:rsidR="006C577F" w:rsidRPr="006C577F">
        <w:rPr>
          <w:rStyle w:val="libFootnotenumChar"/>
          <w:rtl/>
        </w:rPr>
        <w:t>(4)</w:t>
      </w:r>
      <w:r w:rsidRPr="00C9040A">
        <w:rPr>
          <w:rtl/>
          <w:lang w:bidi="fa-IR"/>
        </w:rPr>
        <w:t xml:space="preserve"> مِنْ مُلْكِي مِثْلَ عُضْوِ ذَرَّةٍ </w:t>
      </w:r>
      <w:r w:rsidR="006C577F" w:rsidRPr="006C577F">
        <w:rPr>
          <w:rStyle w:val="libFootnotenumChar"/>
          <w:rtl/>
        </w:rPr>
        <w:t>(5)</w:t>
      </w:r>
      <w:r w:rsidRPr="00C9040A">
        <w:rPr>
          <w:rtl/>
          <w:lang w:bidi="fa-IR"/>
        </w:rPr>
        <w:t xml:space="preserve"> ، وَكَيْفَ يَنْقُصُ مُلْكٌ أَنَا قَيِّمُهُ</w:t>
      </w:r>
      <w:r>
        <w:rPr>
          <w:rtl/>
          <w:lang w:bidi="fa-IR"/>
        </w:rPr>
        <w:t>؟!</w:t>
      </w:r>
    </w:p>
    <w:p w:rsidR="008A74EB" w:rsidRPr="00C9040A" w:rsidRDefault="008A74EB" w:rsidP="008A74EB">
      <w:pPr>
        <w:pStyle w:val="libNormal"/>
        <w:rPr>
          <w:rtl/>
          <w:lang w:bidi="fa-IR"/>
        </w:rPr>
      </w:pPr>
      <w:r w:rsidRPr="00C9040A">
        <w:rPr>
          <w:rtl/>
          <w:lang w:bidi="fa-IR"/>
        </w:rPr>
        <w:t xml:space="preserve">فَيَا بُؤْساً </w:t>
      </w:r>
      <w:r w:rsidR="006C577F" w:rsidRPr="006C577F">
        <w:rPr>
          <w:rStyle w:val="libFootnotenumChar"/>
          <w:rtl/>
        </w:rPr>
        <w:t>(6)</w:t>
      </w:r>
      <w:r w:rsidRPr="005B567D">
        <w:rPr>
          <w:rStyle w:val="libFootnotenumChar"/>
          <w:rtl/>
        </w:rPr>
        <w:t xml:space="preserve"> </w:t>
      </w:r>
      <w:r w:rsidRPr="00C9040A">
        <w:rPr>
          <w:rtl/>
          <w:lang w:bidi="fa-IR"/>
        </w:rPr>
        <w:t>لِلْقَانِطِينَ مِنْ رَحْمَتِي</w:t>
      </w:r>
      <w:r>
        <w:rPr>
          <w:rtl/>
          <w:lang w:bidi="fa-IR"/>
        </w:rPr>
        <w:t>!</w:t>
      </w:r>
      <w:r w:rsidRPr="00C9040A">
        <w:rPr>
          <w:rtl/>
          <w:lang w:bidi="fa-IR"/>
        </w:rPr>
        <w:t xml:space="preserve"> وَيَا بُؤْساً لِمَنْ عَصَانِي وَلَمْ يُرَاقِبْنِي</w:t>
      </w:r>
      <w:r>
        <w:rPr>
          <w:rtl/>
          <w:lang w:bidi="fa-IR"/>
        </w:rPr>
        <w:t>!</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0D102C">
        <w:rPr>
          <w:rtl/>
        </w:rPr>
        <w:t>1598</w:t>
      </w:r>
      <w:r w:rsidRPr="00261CB0">
        <w:rPr>
          <w:rStyle w:val="libBold2Char"/>
          <w:rtl/>
        </w:rPr>
        <w:t xml:space="preserve"> / 8.</w:t>
      </w:r>
      <w:r w:rsidRPr="00C9040A">
        <w:rPr>
          <w:rtl/>
          <w:lang w:bidi="fa-IR"/>
        </w:rPr>
        <w:t xml:space="preserve"> مُحَمَّدُ بْنُ يَحْيى ، عَنْ مُحَمَّدِ بْنِ الْحَسَنِ </w:t>
      </w:r>
      <w:r w:rsidR="006C577F" w:rsidRPr="006C577F">
        <w:rPr>
          <w:rStyle w:val="libFootnotenumChar"/>
          <w:rtl/>
        </w:rPr>
        <w:t>(8)</w:t>
      </w:r>
      <w:r w:rsidRPr="00C9040A">
        <w:rPr>
          <w:rtl/>
          <w:lang w:bidi="fa-IR"/>
        </w:rPr>
        <w:t xml:space="preserve"> ، عَنْ بَعْضِ أَصْحَابِنَا ، عَنْ عَبَّادِ بْنِ يَعْقُوبَ الرَّوَاجِنِيِّ ، عَنْ سَعِيدِ بْنِ عَبْدِ الرَّحْمنِ ، قَالَ :</w:t>
      </w:r>
    </w:p>
    <w:p w:rsidR="008A74EB" w:rsidRPr="00C9040A" w:rsidRDefault="008A74EB" w:rsidP="008A74EB">
      <w:pPr>
        <w:pStyle w:val="libNormal"/>
        <w:rPr>
          <w:rtl/>
          <w:lang w:bidi="fa-IR"/>
        </w:rPr>
      </w:pPr>
      <w:r w:rsidRPr="00C9040A">
        <w:rPr>
          <w:rtl/>
          <w:lang w:bidi="fa-IR"/>
        </w:rPr>
        <w:t xml:space="preserve">كُنْتُ مَعَ مُوسَى بْنِ عَبْدِ اللهِ بِيَنْبُعَ </w:t>
      </w:r>
      <w:r w:rsidR="006C577F" w:rsidRPr="006C577F">
        <w:rPr>
          <w:rStyle w:val="libFootnotenumChar"/>
          <w:rtl/>
        </w:rPr>
        <w:t>(9)</w:t>
      </w:r>
      <w:r w:rsidRPr="00C9040A">
        <w:rPr>
          <w:rtl/>
          <w:lang w:bidi="fa-IR"/>
        </w:rPr>
        <w:t xml:space="preserve"> ، وَقَدْ نَفِدَتْ </w:t>
      </w:r>
      <w:r w:rsidR="006C577F" w:rsidRPr="006C577F">
        <w:rPr>
          <w:rStyle w:val="libFootnotenumChar"/>
          <w:rtl/>
        </w:rPr>
        <w:t>(10)</w:t>
      </w:r>
      <w:r w:rsidRPr="00C9040A">
        <w:rPr>
          <w:rtl/>
          <w:lang w:bidi="fa-IR"/>
        </w:rPr>
        <w:t xml:space="preserve"> نَفَقَتِي فِي بَعْضِ الْأَسْفَارِ ، فَقَالَ لِي بَعْضُ وُلْدِ الْحُسَيْنِ </w:t>
      </w:r>
      <w:r w:rsidRPr="0003660B">
        <w:rPr>
          <w:rStyle w:val="libAlaemChar"/>
          <w:rtl/>
        </w:rPr>
        <w:t>عليه‌السلام</w:t>
      </w:r>
      <w:r w:rsidRPr="00C9040A">
        <w:rPr>
          <w:rtl/>
          <w:lang w:bidi="fa-IR"/>
        </w:rPr>
        <w:t xml:space="preserve"> : مَنْ تُؤَمِّلُ </w:t>
      </w:r>
      <w:r w:rsidR="006C577F" w:rsidRPr="006C577F">
        <w:rPr>
          <w:rStyle w:val="libFootnotenumChar"/>
          <w:rtl/>
        </w:rPr>
        <w:t>(11)</w:t>
      </w:r>
      <w:r w:rsidRPr="00C9040A">
        <w:rPr>
          <w:rtl/>
          <w:lang w:bidi="fa-IR"/>
        </w:rPr>
        <w:t xml:space="preserve"> لِمَا قَدْ نَزَلَ بِكَ</w:t>
      </w:r>
      <w:r>
        <w:rPr>
          <w:rtl/>
          <w:lang w:bidi="fa-IR"/>
        </w:rPr>
        <w:t>؟</w:t>
      </w:r>
      <w:r w:rsidRPr="00C9040A">
        <w:rPr>
          <w:rtl/>
          <w:lang w:bidi="fa-IR"/>
        </w:rPr>
        <w:t xml:space="preserve"> فَقُلْتُ : مُوسَى بْنَ عَبْدِ اللهِ ، فَقَالَ : إِذاً لَا</w:t>
      </w:r>
      <w:r w:rsidR="007F1913">
        <w:rPr>
          <w:rFonts w:hint="cs"/>
          <w:rtl/>
          <w:lang w:bidi="fa-IR"/>
        </w:rPr>
        <w:t xml:space="preserve"> </w:t>
      </w:r>
      <w:r w:rsidRPr="00C9040A">
        <w:rPr>
          <w:rtl/>
          <w:lang w:bidi="fa-IR"/>
        </w:rPr>
        <w:t xml:space="preserve">تُقْضى </w:t>
      </w:r>
      <w:r w:rsidR="006C577F" w:rsidRPr="006C577F">
        <w:rPr>
          <w:rStyle w:val="libFootnotenumChar"/>
          <w:rtl/>
        </w:rPr>
        <w:t>(12)</w:t>
      </w:r>
      <w:r w:rsidRPr="00C9040A">
        <w:rPr>
          <w:rtl/>
          <w:lang w:bidi="fa-IR"/>
        </w:rPr>
        <w:t xml:space="preserve"> حَاجَتُكَ ، ثُمَّ لَاتُنْجَحُ طَلِبَتُكَ ، قُلْتُ : وَلِمَ ذَاكَ </w:t>
      </w:r>
      <w:r w:rsidRPr="005B567D">
        <w:rPr>
          <w:rStyle w:val="libFootnotenumChar"/>
          <w:rtl/>
        </w:rPr>
        <w:t>(13)</w:t>
      </w:r>
      <w:r>
        <w:rPr>
          <w:rtl/>
          <w:lang w:bidi="fa-IR"/>
        </w:rPr>
        <w:t>؟</w:t>
      </w:r>
      <w:r w:rsidRPr="00C9040A">
        <w:rPr>
          <w:rtl/>
          <w:lang w:bidi="fa-IR"/>
        </w:rPr>
        <w:t xml:space="preserve"> قَالَ : لِأَنِّي‌</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6F7467" w:rsidTr="006F7467">
        <w:tc>
          <w:tcPr>
            <w:tcW w:w="4006" w:type="dxa"/>
          </w:tcPr>
          <w:p w:rsidR="006F7467" w:rsidRDefault="006F7467" w:rsidP="004A4E41">
            <w:pPr>
              <w:pStyle w:val="libFootnote0"/>
              <w:rPr>
                <w:rtl/>
              </w:rPr>
            </w:pPr>
            <w:r>
              <w:rPr>
                <w:rtl/>
              </w:rPr>
              <w:t>(1).</w:t>
            </w:r>
            <w:r w:rsidRPr="00C9040A">
              <w:rPr>
                <w:rtl/>
              </w:rPr>
              <w:t xml:space="preserve"> في « ز » : « فلم اجب »</w:t>
            </w:r>
            <w:r>
              <w:rPr>
                <w:rtl/>
              </w:rPr>
              <w:t>.</w:t>
            </w:r>
          </w:p>
        </w:tc>
        <w:tc>
          <w:tcPr>
            <w:tcW w:w="4006" w:type="dxa"/>
          </w:tcPr>
          <w:p w:rsidR="006F7467" w:rsidRDefault="006F7467" w:rsidP="004A4E41">
            <w:pPr>
              <w:pStyle w:val="libFootnote0"/>
              <w:rPr>
                <w:rtl/>
              </w:rPr>
            </w:pPr>
            <w:r>
              <w:rPr>
                <w:rtl/>
              </w:rPr>
              <w:t xml:space="preserve">(2). </w:t>
            </w:r>
            <w:r w:rsidRPr="00C9040A">
              <w:rPr>
                <w:rtl/>
              </w:rPr>
              <w:t>في « ف » : « الكرم والجود »</w:t>
            </w:r>
            <w:r>
              <w:rPr>
                <w:rtl/>
              </w:rPr>
              <w:t>.</w:t>
            </w:r>
          </w:p>
        </w:tc>
      </w:tr>
      <w:tr w:rsidR="006F7467" w:rsidTr="006F7467">
        <w:tc>
          <w:tcPr>
            <w:tcW w:w="4006" w:type="dxa"/>
          </w:tcPr>
          <w:p w:rsidR="006F7467" w:rsidRDefault="006F7467" w:rsidP="004A4E41">
            <w:pPr>
              <w:pStyle w:val="libFootnote0"/>
              <w:rPr>
                <w:rtl/>
              </w:rPr>
            </w:pPr>
            <w:r>
              <w:rPr>
                <w:rtl/>
              </w:rPr>
              <w:t>(3).</w:t>
            </w:r>
            <w:r w:rsidRPr="00C9040A">
              <w:rPr>
                <w:rtl/>
              </w:rPr>
              <w:t xml:space="preserve"> في«ص،بف»:«فلا»بدون الهمزة.</w:t>
            </w:r>
          </w:p>
        </w:tc>
        <w:tc>
          <w:tcPr>
            <w:tcW w:w="4006" w:type="dxa"/>
          </w:tcPr>
          <w:p w:rsidR="006F7467" w:rsidRDefault="006F7467" w:rsidP="004A4E41">
            <w:pPr>
              <w:pStyle w:val="libFootnote0"/>
              <w:rPr>
                <w:rtl/>
              </w:rPr>
            </w:pPr>
            <w:r>
              <w:rPr>
                <w:rtl/>
              </w:rPr>
              <w:t>(4).</w:t>
            </w:r>
            <w:r w:rsidRPr="00C9040A">
              <w:rPr>
                <w:rtl/>
              </w:rPr>
              <w:t xml:space="preserve"> في « ض » : « ما ينتقض »</w:t>
            </w:r>
            <w:r>
              <w:rPr>
                <w:rtl/>
              </w:rPr>
              <w:t>.</w:t>
            </w:r>
          </w:p>
        </w:tc>
      </w:tr>
    </w:tbl>
    <w:p w:rsidR="008A74EB" w:rsidRPr="00C9040A" w:rsidRDefault="006C577F" w:rsidP="004A4E41">
      <w:pPr>
        <w:pStyle w:val="libFootnote0"/>
        <w:rPr>
          <w:rtl/>
          <w:lang w:bidi="fa-IR"/>
        </w:rPr>
      </w:pPr>
      <w:r>
        <w:rPr>
          <w:rtl/>
        </w:rPr>
        <w:t>(5).</w:t>
      </w:r>
      <w:r w:rsidR="008A74EB" w:rsidRPr="00C9040A">
        <w:rPr>
          <w:rtl/>
        </w:rPr>
        <w:t xml:space="preserve"> « الذرّ » : صغار النمل. الواحدة : ذَرَّة. </w:t>
      </w:r>
      <w:r w:rsidR="008A74EB" w:rsidRPr="00993B55">
        <w:rPr>
          <w:rStyle w:val="libFootnoteBoldChar"/>
          <w:rtl/>
        </w:rPr>
        <w:t>المصباح المنير</w:t>
      </w:r>
      <w:r w:rsidR="008A74EB" w:rsidRPr="00C9040A">
        <w:rPr>
          <w:rtl/>
        </w:rPr>
        <w:t xml:space="preserve"> ، ص 207 ( ذرّ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ف » : « ويا بؤساً »</w:t>
      </w:r>
      <w:r w:rsidR="008A74EB">
        <w:rPr>
          <w:rtl/>
        </w:rPr>
        <w:t>.</w:t>
      </w:r>
      <w:r w:rsidR="008A74EB" w:rsidRPr="00C9040A">
        <w:rPr>
          <w:rtl/>
        </w:rPr>
        <w:t xml:space="preserve"> والبؤس والبأس والبأساء : الشدّة والفقر والحزن. وكأنّه كان غير متعيّن وقت ندائه لعظمته. راجع : </w:t>
      </w:r>
      <w:r w:rsidR="008A74EB" w:rsidRPr="00993B55">
        <w:rPr>
          <w:rStyle w:val="libFootnoteBoldChar"/>
          <w:rtl/>
        </w:rPr>
        <w:t>لسان العرب</w:t>
      </w:r>
      <w:r w:rsidR="008A74EB" w:rsidRPr="00C9040A">
        <w:rPr>
          <w:rtl/>
        </w:rPr>
        <w:t xml:space="preserve"> ، ج 6 ، ص 20 ( بأس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الأمالي</w:t>
      </w:r>
      <w:r w:rsidR="008A74EB" w:rsidRPr="00C9040A">
        <w:rPr>
          <w:rtl/>
        </w:rPr>
        <w:t xml:space="preserve"> للطوسي ، ص 584 ، المجلس 24 ، ح 13 ، بسند آخر عن جعفر بن محمّد ، عن آبائه </w:t>
      </w:r>
      <w:r w:rsidR="00117575" w:rsidRPr="00117575">
        <w:rPr>
          <w:rStyle w:val="libFootnoteAlaemChar"/>
          <w:rtl/>
        </w:rPr>
        <w:t>عليهم‌السلام</w:t>
      </w:r>
      <w:r w:rsidR="008A74EB" w:rsidRPr="00C9040A">
        <w:rPr>
          <w:rtl/>
        </w:rPr>
        <w:t xml:space="preserve"> عن رسول الله </w:t>
      </w:r>
      <w:r w:rsidR="004A4E41" w:rsidRPr="00AC2E2F">
        <w:rPr>
          <w:rStyle w:val="libFootnoteAlaemChar"/>
          <w:rtl/>
        </w:rPr>
        <w:t>صلى‌الله‌عليه‌وآله</w:t>
      </w:r>
      <w:r w:rsidR="008A74EB" w:rsidRPr="00C9040A">
        <w:rPr>
          <w:rtl/>
        </w:rPr>
        <w:t xml:space="preserve"> ، مع اختلاف. وراجع : </w:t>
      </w:r>
      <w:r w:rsidR="008A74EB" w:rsidRPr="00993B55">
        <w:rPr>
          <w:rStyle w:val="libFootnoteBoldChar"/>
          <w:rtl/>
        </w:rPr>
        <w:t>صحيفة الرضا</w:t>
      </w:r>
      <w:r w:rsidR="008A74EB" w:rsidRPr="00C9040A">
        <w:rPr>
          <w:rtl/>
        </w:rPr>
        <w:t xml:space="preserve"> </w:t>
      </w:r>
      <w:r w:rsidR="00117575" w:rsidRPr="00117575">
        <w:rPr>
          <w:rStyle w:val="libFootnoteAlaemChar"/>
          <w:rtl/>
        </w:rPr>
        <w:t>عليه‌السلام</w:t>
      </w:r>
      <w:r w:rsidR="008A74EB" w:rsidRPr="00C9040A">
        <w:rPr>
          <w:rtl/>
        </w:rPr>
        <w:t xml:space="preserve"> ، ص 93 ، ح 28 </w:t>
      </w:r>
      <w:r w:rsidR="003B72F0">
        <w:rPr>
          <w:rFonts w:hint="cs"/>
          <w:rtl/>
        </w:rPr>
        <w:t>.</w:t>
      </w:r>
      <w:r w:rsidR="008A74EB" w:rsidRPr="00993B55">
        <w:rPr>
          <w:rStyle w:val="libFootnoteBoldChar"/>
          <w:rtl/>
        </w:rPr>
        <w:t>الوافي</w:t>
      </w:r>
      <w:r w:rsidR="008A74EB" w:rsidRPr="00C9040A">
        <w:rPr>
          <w:rtl/>
        </w:rPr>
        <w:t xml:space="preserve"> ، ج 4 ، ص 283 ، ح 1952 ؛ </w:t>
      </w:r>
      <w:r w:rsidR="008A74EB" w:rsidRPr="00993B55">
        <w:rPr>
          <w:rStyle w:val="libFootnoteBoldChar"/>
          <w:rtl/>
        </w:rPr>
        <w:t>الوسائل</w:t>
      </w:r>
      <w:r w:rsidR="008A74EB" w:rsidRPr="00C9040A">
        <w:rPr>
          <w:rtl/>
        </w:rPr>
        <w:t xml:space="preserve"> ، ج 15 ، ص 214 ، ح 20309 ، من قوله : « أنّه قرأ في بعض الكتب أنّ الله تبارك وتعالى » ؛ </w:t>
      </w:r>
      <w:r w:rsidR="008A74EB" w:rsidRPr="00993B55">
        <w:rPr>
          <w:rStyle w:val="libFootnoteBoldChar"/>
          <w:rtl/>
        </w:rPr>
        <w:t>البحار</w:t>
      </w:r>
      <w:r w:rsidR="008A74EB" w:rsidRPr="00C9040A">
        <w:rPr>
          <w:rtl/>
        </w:rPr>
        <w:t xml:space="preserve"> ، ج 71 ، ص 130 ، ح 7.</w:t>
      </w:r>
      <w:r w:rsidR="003B72F0">
        <w:rPr>
          <w:rFonts w:hint="cs"/>
          <w:rtl/>
        </w:rPr>
        <w:t xml:space="preserve">                </w:t>
      </w:r>
      <w:r>
        <w:rPr>
          <w:rtl/>
        </w:rPr>
        <w:t>(8).</w:t>
      </w:r>
      <w:r w:rsidR="008A74EB" w:rsidRPr="00C9040A">
        <w:rPr>
          <w:rtl/>
        </w:rPr>
        <w:t xml:space="preserve"> في«ض»والوسائل والبحار:«محمّد بن الحسين»</w:t>
      </w:r>
      <w:r w:rsidR="008A74EB">
        <w:rPr>
          <w:rtl/>
        </w:rPr>
        <w:t>.</w:t>
      </w:r>
    </w:p>
    <w:p w:rsidR="008A74EB" w:rsidRPr="004A4E41" w:rsidRDefault="006C577F" w:rsidP="004A4E41">
      <w:pPr>
        <w:pStyle w:val="libFootnote0"/>
        <w:rPr>
          <w:rStyle w:val="libFootnote0Char"/>
          <w:rtl/>
        </w:rPr>
      </w:pPr>
      <w:r>
        <w:rPr>
          <w:rtl/>
        </w:rPr>
        <w:t>(9).</w:t>
      </w:r>
      <w:r w:rsidR="008A74EB" w:rsidRPr="00C9040A">
        <w:rPr>
          <w:rtl/>
        </w:rPr>
        <w:t xml:space="preserve"> « ينبع » على ما قال عرّام بن الأصبغ السلمي : قرية غنّاء عن يمين رضوى لمن كان منحدراً من المدينة إلى‌البحر ، على ليلة من رضوى من المدينة على سبع مراحل. وقال غيره : ينبع : حِصن به نخيل وماء وزرع ، وبها وقوف لعليّ بن أبي طالب </w:t>
      </w:r>
      <w:r w:rsidR="00117575" w:rsidRPr="00117575">
        <w:rPr>
          <w:rStyle w:val="libFootnoteAlaemChar"/>
          <w:rtl/>
        </w:rPr>
        <w:t xml:space="preserve">عليه‌السلام </w:t>
      </w:r>
      <w:r w:rsidR="008A74EB" w:rsidRPr="00C9040A">
        <w:rPr>
          <w:rtl/>
        </w:rPr>
        <w:t xml:space="preserve">. راجع : </w:t>
      </w:r>
      <w:r w:rsidR="008A74EB" w:rsidRPr="00993B55">
        <w:rPr>
          <w:rStyle w:val="libFootnoteBoldChar"/>
          <w:rtl/>
        </w:rPr>
        <w:t>معجم البلدان</w:t>
      </w:r>
      <w:r w:rsidR="008A74EB" w:rsidRPr="00C9040A">
        <w:rPr>
          <w:rtl/>
        </w:rPr>
        <w:t xml:space="preserve"> ، ج 5 ، ص 450 ( ينبع )</w:t>
      </w:r>
      <w:r w:rsidR="008A74EB">
        <w:rPr>
          <w:rtl/>
        </w:rPr>
        <w:t>.</w:t>
      </w:r>
    </w:p>
    <w:tbl>
      <w:tblPr>
        <w:tblStyle w:val="TableGrid"/>
        <w:bidiVisual/>
        <w:tblW w:w="0" w:type="auto"/>
        <w:tblLook w:val="04A0" w:firstRow="1" w:lastRow="0" w:firstColumn="1" w:lastColumn="0" w:noHBand="0" w:noVBand="1"/>
      </w:tblPr>
      <w:tblGrid>
        <w:gridCol w:w="4006"/>
        <w:gridCol w:w="4006"/>
      </w:tblGrid>
      <w:tr w:rsidR="00531199" w:rsidTr="00531199">
        <w:tc>
          <w:tcPr>
            <w:tcW w:w="4006" w:type="dxa"/>
          </w:tcPr>
          <w:p w:rsidR="00531199" w:rsidRDefault="00531199" w:rsidP="004A4E41">
            <w:pPr>
              <w:pStyle w:val="libFootnote0"/>
              <w:rPr>
                <w:rtl/>
              </w:rPr>
            </w:pPr>
            <w:r>
              <w:rPr>
                <w:rtl/>
              </w:rPr>
              <w:t>(10).</w:t>
            </w:r>
            <w:r w:rsidRPr="00C9040A">
              <w:rPr>
                <w:rtl/>
              </w:rPr>
              <w:t xml:space="preserve"> في « ف » : « نفقت »</w:t>
            </w:r>
            <w:r>
              <w:rPr>
                <w:rtl/>
              </w:rPr>
              <w:t>.</w:t>
            </w:r>
          </w:p>
        </w:tc>
        <w:tc>
          <w:tcPr>
            <w:tcW w:w="4006" w:type="dxa"/>
          </w:tcPr>
          <w:p w:rsidR="00531199" w:rsidRDefault="00531199" w:rsidP="004A4E41">
            <w:pPr>
              <w:pStyle w:val="libFootnote0"/>
              <w:rPr>
                <w:rtl/>
              </w:rPr>
            </w:pPr>
            <w:r>
              <w:rPr>
                <w:rtl/>
              </w:rPr>
              <w:t>(11).</w:t>
            </w:r>
            <w:r w:rsidRPr="00C9040A">
              <w:rPr>
                <w:rtl/>
              </w:rPr>
              <w:t xml:space="preserve"> في « ز » : « لمن تأمل »</w:t>
            </w:r>
            <w:r>
              <w:rPr>
                <w:rtl/>
              </w:rPr>
              <w:t>.</w:t>
            </w:r>
          </w:p>
        </w:tc>
      </w:tr>
      <w:tr w:rsidR="00531199" w:rsidTr="00531199">
        <w:tc>
          <w:tcPr>
            <w:tcW w:w="4006" w:type="dxa"/>
          </w:tcPr>
          <w:p w:rsidR="00531199" w:rsidRDefault="00531199" w:rsidP="004A4E41">
            <w:pPr>
              <w:pStyle w:val="libFootnote0"/>
              <w:rPr>
                <w:rtl/>
              </w:rPr>
            </w:pPr>
            <w:r>
              <w:rPr>
                <w:rtl/>
              </w:rPr>
              <w:t>(12).</w:t>
            </w:r>
            <w:r w:rsidRPr="00C9040A">
              <w:rPr>
                <w:rtl/>
              </w:rPr>
              <w:t xml:space="preserve"> في « ف » : « لا يقضى »</w:t>
            </w:r>
            <w:r>
              <w:rPr>
                <w:rtl/>
              </w:rPr>
              <w:t>.</w:t>
            </w:r>
          </w:p>
        </w:tc>
        <w:tc>
          <w:tcPr>
            <w:tcW w:w="4006" w:type="dxa"/>
          </w:tcPr>
          <w:p w:rsidR="00531199" w:rsidRDefault="00531199" w:rsidP="004A4E41">
            <w:pPr>
              <w:pStyle w:val="libFootnote0"/>
              <w:rPr>
                <w:rtl/>
              </w:rPr>
            </w:pPr>
            <w:r>
              <w:rPr>
                <w:rtl/>
              </w:rPr>
              <w:t>(13)</w:t>
            </w:r>
            <w:r w:rsidRPr="00C9040A">
              <w:rPr>
                <w:rtl/>
              </w:rPr>
              <w:t xml:space="preserve"> في « ز ، ص » : « ذلك »</w:t>
            </w:r>
            <w:r>
              <w:rPr>
                <w:rtl/>
              </w:rPr>
              <w:t>.</w:t>
            </w:r>
          </w:p>
        </w:tc>
      </w:tr>
    </w:tbl>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وَجَدْتُ </w:t>
      </w:r>
      <w:r w:rsidR="006C577F" w:rsidRPr="006C577F">
        <w:rPr>
          <w:rStyle w:val="libFootnotenumChar"/>
          <w:rtl/>
        </w:rPr>
        <w:t>(1)</w:t>
      </w:r>
      <w:r w:rsidRPr="002712F0">
        <w:rPr>
          <w:rFonts w:hint="cs"/>
          <w:rtl/>
        </w:rPr>
        <w:t xml:space="preserve"> </w:t>
      </w:r>
      <w:r w:rsidRPr="00C9040A">
        <w:rPr>
          <w:rtl/>
          <w:lang w:bidi="fa-IR"/>
        </w:rPr>
        <w:t>فِي بَعْضِ كُتُبِ آبَائِي : أَنَّ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يَقُولُ ؛ ثُمَّ ذَكَرَ مِثْلَهُ.</w:t>
      </w:r>
    </w:p>
    <w:p w:rsidR="008A74EB" w:rsidRPr="00C9040A" w:rsidRDefault="008A74EB" w:rsidP="00A336FA">
      <w:pPr>
        <w:pStyle w:val="libNormal"/>
        <w:rPr>
          <w:rtl/>
          <w:lang w:bidi="fa-IR"/>
        </w:rPr>
      </w:pPr>
      <w:r w:rsidRPr="00C9040A">
        <w:rPr>
          <w:rtl/>
          <w:lang w:bidi="fa-IR"/>
        </w:rPr>
        <w:t xml:space="preserve">فَقُلْتُ : يَا ابْنَ رَسُولِ اللهِ ، أَمْلِ </w:t>
      </w:r>
      <w:r w:rsidR="006C577F" w:rsidRPr="006C577F">
        <w:rPr>
          <w:rStyle w:val="libFootnotenumChar"/>
          <w:rtl/>
        </w:rPr>
        <w:t>(2)</w:t>
      </w:r>
      <w:r w:rsidRPr="00C9040A">
        <w:rPr>
          <w:rtl/>
          <w:lang w:bidi="fa-IR"/>
        </w:rPr>
        <w:t xml:space="preserve"> عَلَيَّ ، فَأَمْلَاهُ </w:t>
      </w:r>
      <w:r w:rsidR="006C577F" w:rsidRPr="006C577F">
        <w:rPr>
          <w:rStyle w:val="libFootnotenumChar"/>
          <w:rtl/>
        </w:rPr>
        <w:t>(3)</w:t>
      </w:r>
      <w:r w:rsidRPr="00C9040A">
        <w:rPr>
          <w:rtl/>
          <w:lang w:bidi="fa-IR"/>
        </w:rPr>
        <w:t xml:space="preserve"> عَلَيَّ ، فَقُلْتُ : لَاوَاللهِ ، مَا أَسْأَلُهُ حَاجَةً </w:t>
      </w:r>
      <w:r w:rsidR="006C577F" w:rsidRPr="006C577F">
        <w:rPr>
          <w:rStyle w:val="libFootnotenumChar"/>
          <w:rtl/>
        </w:rPr>
        <w:t>(4)</w:t>
      </w:r>
      <w:r w:rsidRPr="00C9040A">
        <w:rPr>
          <w:rtl/>
          <w:lang w:bidi="fa-IR"/>
        </w:rPr>
        <w:t xml:space="preserve"> بَعْدَهَا. </w:t>
      </w:r>
      <w:r w:rsidR="006C577F" w:rsidRPr="006C577F">
        <w:rPr>
          <w:rStyle w:val="libFootnotenumChar"/>
          <w:rtl/>
        </w:rPr>
        <w:t>(5)</w:t>
      </w:r>
      <w:r w:rsidRPr="00C9040A">
        <w:rPr>
          <w:rtl/>
          <w:lang w:bidi="fa-IR"/>
        </w:rPr>
        <w:t xml:space="preserve"> </w:t>
      </w:r>
    </w:p>
    <w:p w:rsidR="008A74EB" w:rsidRPr="00C9040A" w:rsidRDefault="008A74EB" w:rsidP="008A74EB">
      <w:pPr>
        <w:pStyle w:val="Heading2Center"/>
        <w:rPr>
          <w:rtl/>
          <w:lang w:bidi="fa-IR"/>
        </w:rPr>
      </w:pPr>
      <w:bookmarkStart w:id="109" w:name="_Toc343795624"/>
      <w:bookmarkStart w:id="110" w:name="_Toc459810748"/>
      <w:bookmarkStart w:id="111" w:name="_Toc35348654"/>
      <w:r w:rsidRPr="00C9040A">
        <w:rPr>
          <w:rtl/>
          <w:lang w:bidi="fa-IR"/>
        </w:rPr>
        <w:t>33</w:t>
      </w:r>
      <w:r>
        <w:rPr>
          <w:rtl/>
          <w:lang w:bidi="fa-IR"/>
        </w:rPr>
        <w:t xml:space="preserve"> </w:t>
      </w:r>
      <w:r w:rsidR="0084262C">
        <w:rPr>
          <w:rtl/>
          <w:lang w:bidi="fa-IR"/>
        </w:rPr>
        <w:t>-</w:t>
      </w:r>
      <w:r>
        <w:rPr>
          <w:rtl/>
          <w:lang w:bidi="fa-IR"/>
        </w:rPr>
        <w:t xml:space="preserve"> </w:t>
      </w:r>
      <w:r w:rsidRPr="00C9040A">
        <w:rPr>
          <w:rtl/>
          <w:lang w:bidi="fa-IR"/>
        </w:rPr>
        <w:t>بَابُ الْخَوْفِ وَالرَّجَاءِ‌</w:t>
      </w:r>
      <w:bookmarkEnd w:id="109"/>
      <w:bookmarkEnd w:id="110"/>
      <w:bookmarkEnd w:id="111"/>
    </w:p>
    <w:p w:rsidR="008A74EB" w:rsidRPr="00C9040A" w:rsidRDefault="008A74EB" w:rsidP="008A74EB">
      <w:pPr>
        <w:pStyle w:val="libNormal"/>
        <w:rPr>
          <w:rtl/>
          <w:lang w:bidi="fa-IR"/>
        </w:rPr>
      </w:pPr>
      <w:r w:rsidRPr="000D102C">
        <w:rPr>
          <w:rtl/>
        </w:rPr>
        <w:t>1599</w:t>
      </w:r>
      <w:r w:rsidRPr="00261CB0">
        <w:rPr>
          <w:rStyle w:val="libBold2Char"/>
          <w:rtl/>
        </w:rPr>
        <w:t xml:space="preserve"> / 1.</w:t>
      </w:r>
      <w:r w:rsidRPr="00C9040A">
        <w:rPr>
          <w:rtl/>
          <w:lang w:bidi="fa-IR"/>
        </w:rPr>
        <w:t xml:space="preserve"> عِدَّةٌ مِنْ أَصْحَابِنَا ، عَنْ أَحْمَدَ بْنِ مُحَمَّدٍ ، عَنْ عَلِيِّ بْنِ حَدِيدٍ ، عَنْ مَنْصُورِ بْنِ يُونُسَ ، عَنِ الْحَارِثِ بْنِ الْمُغِيرَةِ أَوْ أَبِيهِ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قُلْتُ لَهُ : مَا كَانَ فِي وَصِيَّةِ لُقْمَانَ</w:t>
      </w:r>
      <w:r>
        <w:rPr>
          <w:rtl/>
          <w:lang w:bidi="fa-IR"/>
        </w:rPr>
        <w:t>؟</w:t>
      </w:r>
    </w:p>
    <w:p w:rsidR="008A74EB" w:rsidRPr="00C9040A" w:rsidRDefault="008A74EB" w:rsidP="008A74EB">
      <w:pPr>
        <w:pStyle w:val="libNormal"/>
        <w:rPr>
          <w:rtl/>
          <w:lang w:bidi="fa-IR"/>
        </w:rPr>
      </w:pPr>
      <w:r w:rsidRPr="00C9040A">
        <w:rPr>
          <w:rtl/>
          <w:lang w:bidi="fa-IR"/>
        </w:rPr>
        <w:t xml:space="preserve">قَالَ : « كَانَ فِيهَا الْأَعَاجِيبُ ، وَكَانَ </w:t>
      </w:r>
      <w:r w:rsidR="006C577F" w:rsidRPr="006C577F">
        <w:rPr>
          <w:rStyle w:val="libFootnotenumChar"/>
          <w:rtl/>
        </w:rPr>
        <w:t>(6)</w:t>
      </w:r>
      <w:r w:rsidRPr="005B567D">
        <w:rPr>
          <w:rStyle w:val="libFootnotenumChar"/>
          <w:rtl/>
        </w:rPr>
        <w:t xml:space="preserve"> </w:t>
      </w:r>
      <w:r w:rsidRPr="00C9040A">
        <w:rPr>
          <w:rtl/>
          <w:lang w:bidi="fa-IR"/>
        </w:rPr>
        <w:t xml:space="preserve">أَعْجَبَ مَا كَانَ </w:t>
      </w:r>
      <w:r w:rsidR="006C577F" w:rsidRPr="006C577F">
        <w:rPr>
          <w:rStyle w:val="libFootnotenumChar"/>
          <w:rtl/>
        </w:rPr>
        <w:t>(7)</w:t>
      </w:r>
      <w:r w:rsidRPr="00C9040A">
        <w:rPr>
          <w:rtl/>
          <w:lang w:bidi="fa-IR"/>
        </w:rPr>
        <w:t xml:space="preserve"> فِيهَا أَنْ قَالَ لِابْنِهِ : خَفِ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خِيفَةً لَوْ جِئْتَهُ بِبِرِّ الثَّقَلَيْنِ لَعَذَّبَكَ ، وَارْجُ اللهَ رَجَاءً لَوْ جِئْتَهُ بِذُنُوبِ الثَّقَلَيْنِ لَرَحِمَكَ </w:t>
      </w:r>
      <w:r w:rsidR="006C577F" w:rsidRPr="006C577F">
        <w:rPr>
          <w:rStyle w:val="libFootnotenumChar"/>
          <w:rtl/>
        </w:rPr>
        <w:t>(8)</w:t>
      </w:r>
      <w:r w:rsidRPr="00C9040A">
        <w:rPr>
          <w:rtl/>
          <w:lang w:bidi="fa-IR"/>
        </w:rPr>
        <w:t>»</w:t>
      </w:r>
      <w:r>
        <w:rPr>
          <w:rtl/>
          <w:lang w:bidi="fa-IR"/>
        </w:rPr>
        <w:t>.</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هكذا في « ج ، د ، ز ، ص ، ض ، ف ، بر ، بس ، بف » والوافي والبحار. وفي « ب » والمطبوع والوسائل : « قد وجدت »</w:t>
      </w:r>
      <w:r w:rsidR="008A74EB">
        <w:rPr>
          <w:rtl/>
        </w:rPr>
        <w:t>.</w:t>
      </w:r>
    </w:p>
    <w:p w:rsidR="008A74EB" w:rsidRPr="004A4E41" w:rsidRDefault="006C577F" w:rsidP="004A4E41">
      <w:pPr>
        <w:pStyle w:val="libFootnote0"/>
        <w:rPr>
          <w:rStyle w:val="libFootnote0Char"/>
          <w:rtl/>
        </w:rPr>
      </w:pPr>
      <w:r>
        <w:rPr>
          <w:rtl/>
        </w:rPr>
        <w:t>(2).</w:t>
      </w:r>
      <w:r w:rsidR="008A74EB">
        <w:rPr>
          <w:rtl/>
        </w:rPr>
        <w:t xml:space="preserve"> </w:t>
      </w:r>
      <w:r w:rsidR="008A74EB" w:rsidRPr="00C9040A">
        <w:rPr>
          <w:rtl/>
        </w:rPr>
        <w:t>في « ز ، ض ، ف ، بر » : « أمْلي » على لغة من لا يحذف الياء في حالة الجزم ، أو بقلب اللام الثانية من « أمّل » ياءً. ويمكن قراءته بتشديد اللام بصيغة الأمر من أملّ.</w:t>
      </w:r>
    </w:p>
    <w:tbl>
      <w:tblPr>
        <w:tblStyle w:val="TableGrid"/>
        <w:bidiVisual/>
        <w:tblW w:w="0" w:type="auto"/>
        <w:tblLook w:val="04A0" w:firstRow="1" w:lastRow="0" w:firstColumn="1" w:lastColumn="0" w:noHBand="0" w:noVBand="1"/>
      </w:tblPr>
      <w:tblGrid>
        <w:gridCol w:w="4006"/>
        <w:gridCol w:w="4006"/>
      </w:tblGrid>
      <w:tr w:rsidR="0043318F" w:rsidTr="0043318F">
        <w:tc>
          <w:tcPr>
            <w:tcW w:w="4006" w:type="dxa"/>
          </w:tcPr>
          <w:p w:rsidR="0043318F" w:rsidRDefault="0043318F" w:rsidP="004A4E41">
            <w:pPr>
              <w:pStyle w:val="libFootnote0"/>
              <w:rPr>
                <w:rtl/>
              </w:rPr>
            </w:pPr>
            <w:r>
              <w:rPr>
                <w:rtl/>
              </w:rPr>
              <w:t>(3).</w:t>
            </w:r>
            <w:r w:rsidRPr="00C9040A">
              <w:rPr>
                <w:rtl/>
              </w:rPr>
              <w:t xml:space="preserve"> في « ز » : « فأملى »</w:t>
            </w:r>
            <w:r>
              <w:rPr>
                <w:rtl/>
              </w:rPr>
              <w:t>.</w:t>
            </w:r>
          </w:p>
        </w:tc>
        <w:tc>
          <w:tcPr>
            <w:tcW w:w="4006" w:type="dxa"/>
          </w:tcPr>
          <w:p w:rsidR="0043318F" w:rsidRDefault="0043318F" w:rsidP="004A4E41">
            <w:pPr>
              <w:pStyle w:val="libFootnote0"/>
              <w:rPr>
                <w:rtl/>
              </w:rPr>
            </w:pPr>
            <w:r>
              <w:rPr>
                <w:rtl/>
              </w:rPr>
              <w:t>(4).</w:t>
            </w:r>
            <w:r w:rsidRPr="00C9040A">
              <w:rPr>
                <w:rtl/>
              </w:rPr>
              <w:t xml:space="preserve"> في « ب ، ض » : + « أبداً »</w:t>
            </w:r>
            <w:r>
              <w:rPr>
                <w:rtl/>
              </w:rPr>
              <w:t>.</w:t>
            </w:r>
          </w:p>
        </w:tc>
      </w:tr>
    </w:tbl>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الوافي</w:t>
      </w:r>
      <w:r w:rsidR="008A74EB" w:rsidRPr="00C9040A">
        <w:rPr>
          <w:rtl/>
        </w:rPr>
        <w:t xml:space="preserve"> ، ج 4 ، ص 285 ، ح 1953 ؛ </w:t>
      </w:r>
      <w:r w:rsidR="008A74EB" w:rsidRPr="00993B55">
        <w:rPr>
          <w:rStyle w:val="libFootnoteBoldChar"/>
          <w:rtl/>
        </w:rPr>
        <w:t>الوسائل</w:t>
      </w:r>
      <w:r w:rsidR="008A74EB" w:rsidRPr="00C9040A">
        <w:rPr>
          <w:rtl/>
        </w:rPr>
        <w:t xml:space="preserve"> ، ج 15 ، ص 214 ، ذيل ح 20309 ؛ </w:t>
      </w:r>
      <w:r w:rsidR="008A74EB" w:rsidRPr="00993B55">
        <w:rPr>
          <w:rStyle w:val="libFootnoteBoldChar"/>
          <w:rtl/>
        </w:rPr>
        <w:t>البحار</w:t>
      </w:r>
      <w:r w:rsidR="008A74EB" w:rsidRPr="00C9040A">
        <w:rPr>
          <w:rtl/>
        </w:rPr>
        <w:t xml:space="preserve"> ، ج 71 ، ص 133 ، ح 8.</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ص » : « وقال »</w:t>
      </w:r>
      <w:r w:rsidR="008A74EB">
        <w:rPr>
          <w:rtl/>
        </w:rPr>
        <w:t>.</w:t>
      </w:r>
      <w:r w:rsidR="008A74EB" w:rsidRPr="00C9040A">
        <w:rPr>
          <w:rtl/>
        </w:rPr>
        <w:t xml:space="preserve"> وفي تحف العقول : + « من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ف » </w:t>
      </w:r>
      <w:r w:rsidR="008A74EB">
        <w:rPr>
          <w:rtl/>
        </w:rPr>
        <w:t xml:space="preserve">: </w:t>
      </w:r>
      <w:r w:rsidR="0084262C">
        <w:rPr>
          <w:rtl/>
        </w:rPr>
        <w:t>-</w:t>
      </w:r>
      <w:r w:rsidR="008A74EB" w:rsidRPr="00C9040A">
        <w:rPr>
          <w:rtl/>
        </w:rPr>
        <w:t xml:space="preserve"> « كان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w:t>
      </w:r>
      <w:r w:rsidR="008A74EB" w:rsidRPr="00993B55">
        <w:rPr>
          <w:rStyle w:val="libFootnoteBoldChar"/>
          <w:rtl/>
        </w:rPr>
        <w:t>مرآة العقول</w:t>
      </w:r>
      <w:r w:rsidR="008A74EB" w:rsidRPr="00C9040A">
        <w:rPr>
          <w:rtl/>
        </w:rPr>
        <w:t xml:space="preserve"> ، ج 8 ، ص 29 : « يدلّ على أنّه ينبغي أن يكون الخوف والرجاء كلاهما كاملين في النفس ، ولاتنافي بينهما ، فإنّ ملاحظة سعة رحمة الله وغنائه وجوده ولطفه على عباده سبب للرجاء ، والنظر إلى شدّة بأس الله وبطشه وما أوعد العاصين من عباده موجب للخوف ، مع أنّ أسباب الخوف ترجع إلى نقص العبد وتقصيره وسوء أعماله وقصوره عن الوصول إلى مراتب القرب والوصال وانهماكه فيما يوجب الخسران والوبال ، وأسباب الرجاء تؤول إلى لطف الله ورحمته وعفوه وغفرانه ووفور إحسانه ، وكلّ منهما في أعلى مدارج الكمال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lastRenderedPageBreak/>
        <w:t xml:space="preserve">ثُمَّ قَالَ أَبُو عَبْدِ اللهِ </w:t>
      </w:r>
      <w:r w:rsidRPr="0003660B">
        <w:rPr>
          <w:rStyle w:val="libAlaemChar"/>
          <w:rtl/>
        </w:rPr>
        <w:t>عليه‌السلام</w:t>
      </w:r>
      <w:r w:rsidRPr="00C9040A">
        <w:rPr>
          <w:rtl/>
          <w:lang w:bidi="fa-IR"/>
        </w:rPr>
        <w:t xml:space="preserve"> : « كَانَ أَبِي يَقُولُ : إِنَّهُ </w:t>
      </w:r>
      <w:r w:rsidR="006C577F" w:rsidRPr="006C577F">
        <w:rPr>
          <w:rStyle w:val="libFootnotenumChar"/>
          <w:rtl/>
        </w:rPr>
        <w:t>(1)</w:t>
      </w:r>
      <w:r w:rsidRPr="00FD7BB6">
        <w:rPr>
          <w:rFonts w:hint="cs"/>
          <w:rtl/>
        </w:rPr>
        <w:t xml:space="preserve"> </w:t>
      </w:r>
      <w:r w:rsidRPr="00C9040A">
        <w:rPr>
          <w:rtl/>
          <w:lang w:bidi="fa-IR"/>
        </w:rPr>
        <w:t>لَ</w:t>
      </w:r>
      <w:r w:rsidR="007A71D5">
        <w:rPr>
          <w:rtl/>
          <w:lang w:bidi="fa-IR"/>
        </w:rPr>
        <w:t>يْسَ مِنْ عَبْدٍ مُؤْمِنٍ إِل</w:t>
      </w:r>
      <w:r w:rsidR="007A71D5">
        <w:rPr>
          <w:rFonts w:hint="cs"/>
          <w:rtl/>
          <w:lang w:bidi="fa-IR"/>
        </w:rPr>
        <w:t>َّ</w:t>
      </w:r>
      <w:r w:rsidR="007A71D5">
        <w:rPr>
          <w:rtl/>
          <w:lang w:bidi="fa-IR"/>
        </w:rPr>
        <w:t>ا</w:t>
      </w:r>
      <w:r w:rsidRPr="00C9040A">
        <w:rPr>
          <w:rtl/>
          <w:lang w:bidi="fa-IR"/>
        </w:rPr>
        <w:t xml:space="preserve"> وَ</w:t>
      </w:r>
      <w:r>
        <w:rPr>
          <w:rFonts w:hint="cs"/>
          <w:rtl/>
          <w:lang w:bidi="fa-IR"/>
        </w:rPr>
        <w:t xml:space="preserve"> </w:t>
      </w:r>
      <w:r w:rsidR="006C577F" w:rsidRPr="006C577F">
        <w:rPr>
          <w:rStyle w:val="libFootnotenumChar"/>
          <w:rtl/>
        </w:rPr>
        <w:t>(2)</w:t>
      </w:r>
      <w:r w:rsidRPr="00C9040A">
        <w:rPr>
          <w:rtl/>
          <w:lang w:bidi="fa-IR"/>
        </w:rPr>
        <w:t xml:space="preserve"> فِي قَلْبِهِ نُورَانِ : نُورُ خِيفَةٍ ، وَنُورُ رَجَاءٍ ، لَوْ وُزِنَ </w:t>
      </w:r>
      <w:r w:rsidR="006C577F" w:rsidRPr="006C577F">
        <w:rPr>
          <w:rStyle w:val="libFootnotenumChar"/>
          <w:rtl/>
        </w:rPr>
        <w:t>(3)</w:t>
      </w:r>
      <w:r w:rsidRPr="00C9040A">
        <w:rPr>
          <w:rtl/>
          <w:lang w:bidi="fa-IR"/>
        </w:rPr>
        <w:t xml:space="preserve"> هذَا لَمْ يَزِدْ عَلى هذَا ، وَلَوْ وُزِنَ </w:t>
      </w:r>
      <w:r w:rsidR="006C577F" w:rsidRPr="006C577F">
        <w:rPr>
          <w:rStyle w:val="libFootnotenumChar"/>
          <w:rtl/>
        </w:rPr>
        <w:t>(4)</w:t>
      </w:r>
      <w:r w:rsidRPr="00C9040A">
        <w:rPr>
          <w:rtl/>
          <w:lang w:bidi="fa-IR"/>
        </w:rPr>
        <w:t xml:space="preserve"> هذَا لَمْ يَزِدْ عَلى هذَا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0D102C">
        <w:rPr>
          <w:rtl/>
        </w:rPr>
        <w:t>1600</w:t>
      </w:r>
      <w:r w:rsidRPr="00261CB0">
        <w:rPr>
          <w:rStyle w:val="libBold2Char"/>
          <w:rtl/>
        </w:rPr>
        <w:t xml:space="preserve"> / 2.</w:t>
      </w:r>
      <w:r w:rsidRPr="00C9040A">
        <w:rPr>
          <w:rtl/>
          <w:lang w:bidi="fa-IR"/>
        </w:rPr>
        <w:t xml:space="preserve"> مُحَمَّدُ بْنُ الْحَسَنِ ، عَنْ سَهْلِ بْنِ زِيَادٍ ، عَنْ يَحْيَى بْنِ الْمُبَارَكِ ، عَنْ عَبْدِ اللهِ بْنِ جَبَلَةَ ، عَنْ إِسْحَاقَ بْنِ عَمَّارٍ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يَا إِسْحَاقُ ، خَفِ اللهَ كَأَنَّكَ تَرَاهُ ؛ وَإِنْ كُنْتَ لَاتَرَاهُ </w:t>
      </w:r>
      <w:r w:rsidR="006C577F" w:rsidRPr="006C577F">
        <w:rPr>
          <w:rStyle w:val="libFootnotenumChar"/>
          <w:rtl/>
        </w:rPr>
        <w:t>(6)</w:t>
      </w:r>
      <w:r w:rsidRPr="005B567D">
        <w:rPr>
          <w:rStyle w:val="libFootnotenumChar"/>
          <w:rtl/>
        </w:rPr>
        <w:t xml:space="preserve"> </w:t>
      </w:r>
      <w:r w:rsidRPr="00C9040A">
        <w:rPr>
          <w:rtl/>
          <w:lang w:bidi="fa-IR"/>
        </w:rPr>
        <w:t xml:space="preserve">فَإِنَّهُ يَرَاكَ </w:t>
      </w:r>
      <w:r w:rsidR="006C577F" w:rsidRPr="006C577F">
        <w:rPr>
          <w:rStyle w:val="libFootnotenumChar"/>
          <w:rtl/>
        </w:rPr>
        <w:t>(7)</w:t>
      </w:r>
      <w:r w:rsidRPr="00C9040A">
        <w:rPr>
          <w:rtl/>
          <w:lang w:bidi="fa-IR"/>
        </w:rPr>
        <w:t xml:space="preserve"> ،</w:t>
      </w:r>
      <w:r w:rsidR="00133AA6">
        <w:rPr>
          <w:rFonts w:hint="cs"/>
          <w:rtl/>
          <w:lang w:bidi="fa-IR"/>
        </w:rPr>
        <w:t>........................................................................</w:t>
      </w:r>
      <w:r w:rsidR="00133AA6">
        <w:rPr>
          <w:rFonts w:hint="cs"/>
          <w:rtl/>
          <w:lang w:bidi="fa-IR"/>
        </w:rPr>
        <w:tab/>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0651BB" w:rsidTr="000651BB">
        <w:tc>
          <w:tcPr>
            <w:tcW w:w="4006" w:type="dxa"/>
          </w:tcPr>
          <w:p w:rsidR="000651BB" w:rsidRDefault="000651BB" w:rsidP="004A4E41">
            <w:pPr>
              <w:pStyle w:val="libFootnote0"/>
              <w:rPr>
                <w:rtl/>
              </w:rPr>
            </w:pPr>
            <w:r>
              <w:rPr>
                <w:rtl/>
              </w:rPr>
              <w:t>(1).</w:t>
            </w:r>
            <w:r w:rsidRPr="00C9040A">
              <w:rPr>
                <w:rtl/>
              </w:rPr>
              <w:t xml:space="preserve"> في الوسائل </w:t>
            </w:r>
            <w:r>
              <w:rPr>
                <w:rtl/>
              </w:rPr>
              <w:t>: -</w:t>
            </w:r>
            <w:r w:rsidRPr="00C9040A">
              <w:rPr>
                <w:rtl/>
              </w:rPr>
              <w:t xml:space="preserve"> « إنّه »</w:t>
            </w:r>
            <w:r>
              <w:rPr>
                <w:rtl/>
              </w:rPr>
              <w:t>.</w:t>
            </w:r>
          </w:p>
        </w:tc>
        <w:tc>
          <w:tcPr>
            <w:tcW w:w="4006" w:type="dxa"/>
          </w:tcPr>
          <w:p w:rsidR="000651BB" w:rsidRDefault="000651BB" w:rsidP="004A4E41">
            <w:pPr>
              <w:pStyle w:val="libFootnote0"/>
              <w:rPr>
                <w:rtl/>
              </w:rPr>
            </w:pPr>
            <w:r>
              <w:rPr>
                <w:rtl/>
              </w:rPr>
              <w:t xml:space="preserve">(2). </w:t>
            </w:r>
            <w:r w:rsidRPr="00C9040A">
              <w:rPr>
                <w:rtl/>
              </w:rPr>
              <w:t xml:space="preserve">في « ب ، د ، بس » </w:t>
            </w:r>
            <w:r>
              <w:rPr>
                <w:rtl/>
              </w:rPr>
              <w:t>: -</w:t>
            </w:r>
            <w:r w:rsidRPr="00C9040A">
              <w:rPr>
                <w:rtl/>
              </w:rPr>
              <w:t xml:space="preserve"> « </w:t>
            </w:r>
            <w:r>
              <w:rPr>
                <w:rtl/>
              </w:rPr>
              <w:t>و ».</w:t>
            </w:r>
          </w:p>
        </w:tc>
      </w:tr>
      <w:tr w:rsidR="000651BB" w:rsidTr="000651BB">
        <w:tc>
          <w:tcPr>
            <w:tcW w:w="4006" w:type="dxa"/>
          </w:tcPr>
          <w:p w:rsidR="000651BB" w:rsidRDefault="000651BB" w:rsidP="004A4E41">
            <w:pPr>
              <w:pStyle w:val="libFootnote0"/>
              <w:rPr>
                <w:rtl/>
              </w:rPr>
            </w:pPr>
            <w:r>
              <w:rPr>
                <w:rtl/>
              </w:rPr>
              <w:t>(3).</w:t>
            </w:r>
            <w:r>
              <w:rPr>
                <w:rFonts w:hint="cs"/>
                <w:rtl/>
              </w:rPr>
              <w:t xml:space="preserve"> </w:t>
            </w:r>
            <w:r w:rsidRPr="00C9040A">
              <w:rPr>
                <w:rtl/>
              </w:rPr>
              <w:t>في«بر»:</w:t>
            </w:r>
            <w:r>
              <w:rPr>
                <w:rtl/>
              </w:rPr>
              <w:t>«</w:t>
            </w:r>
            <w:r w:rsidRPr="00C9040A">
              <w:rPr>
                <w:rtl/>
              </w:rPr>
              <w:t>ولو وزن»</w:t>
            </w:r>
            <w:r>
              <w:rPr>
                <w:rtl/>
              </w:rPr>
              <w:t>.</w:t>
            </w:r>
            <w:r w:rsidRPr="00C9040A">
              <w:rPr>
                <w:rtl/>
              </w:rPr>
              <w:t>وفي«ز»:«وزنت»</w:t>
            </w:r>
            <w:r>
              <w:rPr>
                <w:rtl/>
              </w:rPr>
              <w:t>.</w:t>
            </w:r>
          </w:p>
        </w:tc>
        <w:tc>
          <w:tcPr>
            <w:tcW w:w="4006" w:type="dxa"/>
          </w:tcPr>
          <w:p w:rsidR="000651BB" w:rsidRDefault="000651BB" w:rsidP="004A4E41">
            <w:pPr>
              <w:pStyle w:val="libFootnote0"/>
              <w:rPr>
                <w:rtl/>
              </w:rPr>
            </w:pPr>
            <w:r>
              <w:rPr>
                <w:rtl/>
              </w:rPr>
              <w:t>(4).</w:t>
            </w:r>
            <w:r w:rsidRPr="00C9040A">
              <w:rPr>
                <w:rtl/>
              </w:rPr>
              <w:t xml:space="preserve"> في « ز » : « وزنت »</w:t>
            </w:r>
            <w:r>
              <w:rPr>
                <w:rtl/>
              </w:rPr>
              <w:t>.</w:t>
            </w:r>
          </w:p>
        </w:tc>
      </w:tr>
    </w:tbl>
    <w:p w:rsidR="008A74EB" w:rsidRPr="00C9040A" w:rsidRDefault="006C577F" w:rsidP="004A4E41">
      <w:pPr>
        <w:pStyle w:val="libFootnote0"/>
        <w:rPr>
          <w:rtl/>
          <w:lang w:bidi="fa-IR"/>
        </w:rPr>
      </w:pPr>
      <w:r>
        <w:rPr>
          <w:rtl/>
        </w:rPr>
        <w:t>(5).</w:t>
      </w:r>
      <w:r w:rsidR="008A74EB" w:rsidRPr="00C9040A">
        <w:rPr>
          <w:rtl/>
        </w:rPr>
        <w:t xml:space="preserve"> </w:t>
      </w:r>
      <w:r w:rsidR="008A74EB" w:rsidRPr="0034021D">
        <w:rPr>
          <w:rStyle w:val="libFootnoteBoldChar"/>
          <w:rtl/>
        </w:rPr>
        <w:t>الأمالي للصدوق</w:t>
      </w:r>
      <w:r w:rsidR="008A74EB" w:rsidRPr="00C9040A">
        <w:rPr>
          <w:rtl/>
        </w:rPr>
        <w:t xml:space="preserve"> ، ص 668 ، المجلس 95 ، ح 5 ، بسند آخر ، وفيه : « يا بنيّ خف الله خوفاً لو وافيته ببرّ الثقلين خفت أن يعذّبك الله ، وا</w:t>
      </w:r>
      <w:r w:rsidR="00D259EA">
        <w:rPr>
          <w:rFonts w:hint="cs"/>
          <w:rtl/>
        </w:rPr>
        <w:t>ُ</w:t>
      </w:r>
      <w:r w:rsidR="008A74EB" w:rsidRPr="00C9040A">
        <w:rPr>
          <w:rtl/>
        </w:rPr>
        <w:t xml:space="preserve">رج الله رجاءاً لو وافيته بذنوب الثقلين رجوت أن يغفر الله لك » مع زيادة في أوّله وآخره. </w:t>
      </w:r>
      <w:r w:rsidR="008A74EB" w:rsidRPr="00993B55">
        <w:rPr>
          <w:rStyle w:val="libFootnoteBoldChar"/>
          <w:rtl/>
        </w:rPr>
        <w:t>تحف العقول</w:t>
      </w:r>
      <w:r w:rsidR="008A74EB" w:rsidRPr="00C9040A">
        <w:rPr>
          <w:rtl/>
        </w:rPr>
        <w:t xml:space="preserve"> ، ص 375 </w:t>
      </w:r>
      <w:r w:rsidR="00A0608C">
        <w:rPr>
          <w:rFonts w:hint="cs"/>
          <w:rtl/>
        </w:rPr>
        <w:t>.</w:t>
      </w:r>
      <w:r w:rsidR="008A74EB" w:rsidRPr="00993B55">
        <w:rPr>
          <w:rStyle w:val="libFootnoteBoldChar"/>
          <w:rtl/>
        </w:rPr>
        <w:t>الوافي</w:t>
      </w:r>
      <w:r w:rsidR="008A74EB" w:rsidRPr="00C9040A">
        <w:rPr>
          <w:rtl/>
        </w:rPr>
        <w:t xml:space="preserve"> ، ج 4 ، ص 287 ، ح 1954 ؛ </w:t>
      </w:r>
      <w:r w:rsidR="008A74EB" w:rsidRPr="00993B55">
        <w:rPr>
          <w:rStyle w:val="libFootnoteBoldChar"/>
          <w:rtl/>
        </w:rPr>
        <w:t>الوسائل</w:t>
      </w:r>
      <w:r w:rsidR="008A74EB" w:rsidRPr="00C9040A">
        <w:rPr>
          <w:rtl/>
        </w:rPr>
        <w:t xml:space="preserve"> ، ج 15 ، ص 216 ، ح 20311 ؛ </w:t>
      </w:r>
      <w:r w:rsidR="008A74EB" w:rsidRPr="00993B55">
        <w:rPr>
          <w:rStyle w:val="libFootnoteBoldChar"/>
          <w:rtl/>
        </w:rPr>
        <w:t>البحار</w:t>
      </w:r>
      <w:r w:rsidR="008A74EB" w:rsidRPr="00C9040A">
        <w:rPr>
          <w:rtl/>
        </w:rPr>
        <w:t xml:space="preserve"> ، ج 70 ، ص 352 ، ح 1.</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مرآة العقول : « فإن لم تكن تراه » بدل « وإن كنت لا تراه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ب » </w:t>
      </w:r>
      <w:r w:rsidR="008A74EB">
        <w:rPr>
          <w:rtl/>
        </w:rPr>
        <w:t xml:space="preserve">: </w:t>
      </w:r>
      <w:r w:rsidR="0084262C">
        <w:rPr>
          <w:rtl/>
        </w:rPr>
        <w:t>-</w:t>
      </w:r>
      <w:r w:rsidR="008A74EB" w:rsidRPr="00C9040A">
        <w:rPr>
          <w:rtl/>
        </w:rPr>
        <w:t xml:space="preserve"> « وإن كنت لا تراه فإنّه يراك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ج 8 ، ص 32</w:t>
      </w:r>
      <w:r w:rsidR="008A74EB">
        <w:rPr>
          <w:rtl/>
        </w:rPr>
        <w:t xml:space="preserve"> </w:t>
      </w:r>
      <w:r w:rsidR="0084262C">
        <w:rPr>
          <w:rtl/>
        </w:rPr>
        <w:t>-</w:t>
      </w:r>
      <w:r w:rsidR="008A74EB">
        <w:rPr>
          <w:rtl/>
        </w:rPr>
        <w:t xml:space="preserve"> </w:t>
      </w:r>
      <w:r w:rsidR="008A74EB" w:rsidRPr="00C9040A">
        <w:rPr>
          <w:rtl/>
        </w:rPr>
        <w:t>33 : « واعلم أنّ الرؤية تطلق على‌الرؤية بالبصر وعلى الرؤية القلبيّة ، وهي كناية عن غاية الانكشاف والظهور ، والمعنى الأوّل هنا أنسب ، أي خف الله خوف من يشاهده بعينه وإن كان محالاً. ويحتمل</w:t>
      </w:r>
      <w:r w:rsidR="000D0651">
        <w:rPr>
          <w:rtl/>
        </w:rPr>
        <w:t xml:space="preserve"> الثاني أيضاً ؛ فإنّ المخاطب لم</w:t>
      </w:r>
      <w:r w:rsidR="00E86A64">
        <w:rPr>
          <w:rFonts w:hint="cs"/>
          <w:rtl/>
        </w:rPr>
        <w:t>ـّ</w:t>
      </w:r>
      <w:r w:rsidR="008A74EB" w:rsidRPr="00C9040A">
        <w:rPr>
          <w:rtl/>
        </w:rPr>
        <w:t>ا لم يكن من أهل الرؤية القلبيّة ولم يرتق إلى تلك الدرجة العليّة</w:t>
      </w:r>
      <w:r w:rsidR="008A74EB">
        <w:rPr>
          <w:rtl/>
        </w:rPr>
        <w:t xml:space="preserve"> </w:t>
      </w:r>
      <w:r w:rsidR="0084262C">
        <w:rPr>
          <w:rtl/>
        </w:rPr>
        <w:t>-</w:t>
      </w:r>
      <w:r w:rsidR="008A74EB">
        <w:rPr>
          <w:rtl/>
        </w:rPr>
        <w:t xml:space="preserve"> </w:t>
      </w:r>
      <w:r w:rsidR="008A74EB" w:rsidRPr="00C9040A">
        <w:rPr>
          <w:rtl/>
        </w:rPr>
        <w:t xml:space="preserve">فإنّها مخصوصة بالأنبياء والأوصياء </w:t>
      </w:r>
      <w:r w:rsidR="00117575" w:rsidRPr="00117575">
        <w:rPr>
          <w:rStyle w:val="libFootnoteAlaemChar"/>
          <w:rtl/>
        </w:rPr>
        <w:t>عليهم‌السلام</w:t>
      </w:r>
      <w:r w:rsidR="008A74EB">
        <w:rPr>
          <w:rtl/>
        </w:rPr>
        <w:t xml:space="preserve"> </w:t>
      </w:r>
      <w:r w:rsidR="0084262C">
        <w:rPr>
          <w:rtl/>
        </w:rPr>
        <w:t>-</w:t>
      </w:r>
      <w:r w:rsidR="008A74EB">
        <w:rPr>
          <w:rtl/>
        </w:rPr>
        <w:t xml:space="preserve"> </w:t>
      </w:r>
      <w:r w:rsidR="008A74EB" w:rsidRPr="00C9040A">
        <w:rPr>
          <w:rtl/>
        </w:rPr>
        <w:t>قال : « كأنّك تراه » ، وهذه مرتبة عين اليقين وأعلى مراتب السالكين.</w:t>
      </w:r>
    </w:p>
    <w:p w:rsidR="008A74EB" w:rsidRPr="00C9040A" w:rsidRDefault="008A74EB" w:rsidP="004A4E41">
      <w:pPr>
        <w:pStyle w:val="libFootnote0"/>
        <w:rPr>
          <w:rtl/>
          <w:lang w:bidi="fa-IR"/>
        </w:rPr>
      </w:pPr>
      <w:r w:rsidRPr="00323A39">
        <w:rPr>
          <w:rtl/>
        </w:rPr>
        <w:t xml:space="preserve">وقوله : « فإن لم تكن تراه » ، أي إن لم تحصل لك هذه المرتبة من الانكشاف والعيان ، فكن بحيث تتذكّر دائماً أنّه يراك ، وهذه مقام المراقبة ، كما قال تعالى : </w:t>
      </w:r>
      <w:r w:rsidRPr="00AC2E2F">
        <w:rPr>
          <w:rStyle w:val="libFootnoteAlaemChar"/>
          <w:rtl/>
        </w:rPr>
        <w:t>(</w:t>
      </w:r>
      <w:r w:rsidRPr="00883DD5">
        <w:rPr>
          <w:rStyle w:val="libFootnoteAieChar"/>
          <w:rFonts w:hint="cs"/>
          <w:rtl/>
        </w:rPr>
        <w:t xml:space="preserve"> </w:t>
      </w:r>
      <w:r w:rsidRPr="00883DD5">
        <w:rPr>
          <w:rStyle w:val="libFootnoteAieChar"/>
          <w:rtl/>
        </w:rPr>
        <w:t>أَفَمَنْ هُوَ ق</w:t>
      </w:r>
      <w:r w:rsidR="0039539B">
        <w:rPr>
          <w:rStyle w:val="libFootnoteAieChar"/>
          <w:rFonts w:hint="cs"/>
          <w:rtl/>
        </w:rPr>
        <w:t>َ</w:t>
      </w:r>
      <w:r w:rsidRPr="00883DD5">
        <w:rPr>
          <w:rStyle w:val="libFootnoteAieChar"/>
          <w:rtl/>
        </w:rPr>
        <w:t>ائِمٌ عَل</w:t>
      </w:r>
      <w:r w:rsidR="0039539B">
        <w:rPr>
          <w:rStyle w:val="libFootnoteAieChar"/>
          <w:rFonts w:hint="cs"/>
          <w:rtl/>
        </w:rPr>
        <w:t>َ</w:t>
      </w:r>
      <w:r w:rsidRPr="00883DD5">
        <w:rPr>
          <w:rStyle w:val="libFootnoteAieChar"/>
          <w:rtl/>
        </w:rPr>
        <w:t>ى كُلِّ نَفْسٍ بِم</w:t>
      </w:r>
      <w:r w:rsidR="0039539B">
        <w:rPr>
          <w:rStyle w:val="libFootnoteAieChar"/>
          <w:rFonts w:hint="cs"/>
          <w:rtl/>
        </w:rPr>
        <w:t>َ</w:t>
      </w:r>
      <w:r w:rsidRPr="00883DD5">
        <w:rPr>
          <w:rStyle w:val="libFootnoteAieChar"/>
          <w:rtl/>
        </w:rPr>
        <w:t>ا كَسَبَتْ</w:t>
      </w:r>
      <w:r w:rsidRPr="00883DD5">
        <w:rPr>
          <w:rStyle w:val="libFootnoteAieChar"/>
          <w:rFonts w:hint="cs"/>
          <w:rtl/>
        </w:rPr>
        <w:t xml:space="preserve"> </w:t>
      </w:r>
      <w:r w:rsidRPr="00AC2E2F">
        <w:rPr>
          <w:rStyle w:val="libFootnoteAlaemChar"/>
          <w:rtl/>
        </w:rPr>
        <w:t>)</w:t>
      </w:r>
      <w:r w:rsidRPr="00323A39">
        <w:rPr>
          <w:rtl/>
        </w:rPr>
        <w:t xml:space="preserve"> [ الرعد (13) : 33 ] ؛ </w:t>
      </w:r>
      <w:r w:rsidRPr="00AC2E2F">
        <w:rPr>
          <w:rStyle w:val="libFootnoteAlaemChar"/>
          <w:rtl/>
        </w:rPr>
        <w:t>(</w:t>
      </w:r>
      <w:r w:rsidRPr="00883DD5">
        <w:rPr>
          <w:rStyle w:val="libFootnoteAieChar"/>
          <w:rFonts w:hint="cs"/>
          <w:rtl/>
        </w:rPr>
        <w:t xml:space="preserve"> </w:t>
      </w:r>
      <w:r w:rsidRPr="00883DD5">
        <w:rPr>
          <w:rStyle w:val="libFootnoteAieChar"/>
          <w:rtl/>
        </w:rPr>
        <w:t>إِنَّ اللهَ ك</w:t>
      </w:r>
      <w:r w:rsidR="0039539B">
        <w:rPr>
          <w:rStyle w:val="libFootnoteAieChar"/>
          <w:rFonts w:hint="cs"/>
          <w:rtl/>
        </w:rPr>
        <w:t>َ</w:t>
      </w:r>
      <w:r w:rsidRPr="00883DD5">
        <w:rPr>
          <w:rStyle w:val="libFootnoteAieChar"/>
          <w:rtl/>
        </w:rPr>
        <w:t>انَ عَلَيْكُمْ رَقِيباً</w:t>
      </w:r>
      <w:r w:rsidRPr="00883DD5">
        <w:rPr>
          <w:rStyle w:val="libFootnoteAieChar"/>
          <w:rFonts w:hint="cs"/>
          <w:rtl/>
        </w:rPr>
        <w:t xml:space="preserve"> </w:t>
      </w:r>
      <w:r w:rsidRPr="00AC2E2F">
        <w:rPr>
          <w:rStyle w:val="libFootnoteAlaemChar"/>
          <w:rtl/>
        </w:rPr>
        <w:t>)</w:t>
      </w:r>
      <w:r w:rsidRPr="00323A39">
        <w:rPr>
          <w:rtl/>
        </w:rPr>
        <w:t xml:space="preserve"> [ النساء </w:t>
      </w:r>
      <w:r w:rsidR="006C577F" w:rsidRPr="00323A39">
        <w:rPr>
          <w:rtl/>
        </w:rPr>
        <w:t>(4).</w:t>
      </w:r>
      <w:r w:rsidRPr="00323A39">
        <w:rPr>
          <w:rtl/>
        </w:rPr>
        <w:t xml:space="preserve"> : 1 ] ، والمراقبة : مراعاة القلب للرقيب واشتغاله به ، والمثمر لها هو تذكّر أنّ الله تعالى مطّلع على كلّ نفس بما كسبت ، وأنّه سبحانه عالم بسرائر القلوب وخطراتها ، فإذا استقرّ هذا العلم في القلب جذَبه إلى مراقبة الله سبحانه دائماً وترك معاصيه خوفاً وحياءً ، والمواظبة على طاعته وخدمته دائماً.</w:t>
      </w:r>
    </w:p>
    <w:p w:rsidR="008A74EB" w:rsidRPr="00C9040A" w:rsidRDefault="008A74EB" w:rsidP="004A4E41">
      <w:pPr>
        <w:pStyle w:val="libFootnote0"/>
        <w:rPr>
          <w:rtl/>
          <w:lang w:bidi="fa-IR"/>
        </w:rPr>
      </w:pPr>
      <w:r w:rsidRPr="0082575F">
        <w:rPr>
          <w:rtl/>
        </w:rPr>
        <w:t>وقوله : « وإن كنت ترى » تعليم لطريق جعل المراقبة ملكة للنفس ، فتصير سبباً لترك المعاصي. والحقّ أنّ هذه شبهة عظيمة للحكم بكفر أرباب الم</w:t>
      </w:r>
      <w:r w:rsidR="00FB4974">
        <w:rPr>
          <w:rtl/>
        </w:rPr>
        <w:t>عاصي ، ولايمكن التفصّي عنها إل</w:t>
      </w:r>
      <w:r w:rsidR="00FB4974">
        <w:rPr>
          <w:rFonts w:hint="cs"/>
          <w:rtl/>
        </w:rPr>
        <w:t>ّ</w:t>
      </w:r>
      <w:r w:rsidR="00FB4974">
        <w:rPr>
          <w:rtl/>
        </w:rPr>
        <w:t>ا</w:t>
      </w:r>
      <w:r w:rsidR="00FB4974">
        <w:rPr>
          <w:rFonts w:hint="cs"/>
          <w:rtl/>
        </w:rPr>
        <w:t xml:space="preserve"> </w:t>
      </w:r>
      <w:r w:rsidRPr="0082575F">
        <w:rPr>
          <w:rtl/>
        </w:rPr>
        <w:t>بالاتّكال على عفوه وكرمه سبحانه ، ومن هنا يظهر أنّه لايجتمع الإيمان الحقيقي مع الإصرار على المعاصي ، كما مرّت الإشارة إليه.</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فَإِنْ </w:t>
      </w:r>
      <w:r w:rsidR="006C577F" w:rsidRPr="006C577F">
        <w:rPr>
          <w:rStyle w:val="libFootnotenumChar"/>
          <w:rtl/>
        </w:rPr>
        <w:t>(1)</w:t>
      </w:r>
      <w:r w:rsidRPr="002712F0">
        <w:rPr>
          <w:rFonts w:hint="cs"/>
          <w:rtl/>
        </w:rPr>
        <w:t xml:space="preserve"> </w:t>
      </w:r>
      <w:r w:rsidRPr="00C9040A">
        <w:rPr>
          <w:rtl/>
          <w:lang w:bidi="fa-IR"/>
        </w:rPr>
        <w:t xml:space="preserve">كُنْتَ تَرى أَنَّهُ لَايَرَاكَ فَقَدْ كَفَرْتَ ، وَإِنْ كُنْتَ تَعْلَمُ أَنَّهُ يَرَاكَ ثُمَّ بَرَزْتَ </w:t>
      </w:r>
      <w:r w:rsidR="006C577F" w:rsidRPr="006C577F">
        <w:rPr>
          <w:rStyle w:val="libFootnotenumChar"/>
          <w:rtl/>
        </w:rPr>
        <w:t>(2)</w:t>
      </w:r>
      <w:r w:rsidRPr="00C9040A">
        <w:rPr>
          <w:rtl/>
          <w:lang w:bidi="fa-IR"/>
        </w:rPr>
        <w:t xml:space="preserve"> لَهُ بِالْمَعْصِيَةِ </w:t>
      </w:r>
      <w:r w:rsidR="006C577F" w:rsidRPr="006C577F">
        <w:rPr>
          <w:rStyle w:val="libFootnotenumChar"/>
          <w:rtl/>
        </w:rPr>
        <w:t>(3)</w:t>
      </w:r>
      <w:r w:rsidRPr="00C9040A">
        <w:rPr>
          <w:rtl/>
          <w:lang w:bidi="fa-IR"/>
        </w:rPr>
        <w:t xml:space="preserve"> ، فَقَدْ جَعَلْتَهُ مِنْ </w:t>
      </w:r>
      <w:r w:rsidR="006C577F" w:rsidRPr="006C577F">
        <w:rPr>
          <w:rStyle w:val="libFootnotenumChar"/>
          <w:rtl/>
        </w:rPr>
        <w:t>(4)</w:t>
      </w:r>
      <w:r w:rsidRPr="00C9040A">
        <w:rPr>
          <w:rtl/>
          <w:lang w:bidi="fa-IR"/>
        </w:rPr>
        <w:t xml:space="preserve"> أَهْوَنِ النَّاظِرِينَ عَلَيْكَ </w:t>
      </w:r>
      <w:r w:rsidR="006C577F" w:rsidRPr="006C577F">
        <w:rPr>
          <w:rStyle w:val="libFootnotenumChar"/>
          <w:rtl/>
        </w:rPr>
        <w:t>(5)</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(6)</w:t>
      </w:r>
    </w:p>
    <w:p w:rsidR="008A74EB" w:rsidRPr="00C9040A" w:rsidRDefault="008A74EB" w:rsidP="008A74EB">
      <w:pPr>
        <w:pStyle w:val="libNormal"/>
        <w:rPr>
          <w:rtl/>
          <w:lang w:bidi="fa-IR"/>
        </w:rPr>
      </w:pPr>
      <w:r w:rsidRPr="000D102C">
        <w:rPr>
          <w:rtl/>
        </w:rPr>
        <w:t>1601</w:t>
      </w:r>
      <w:r w:rsidRPr="00261CB0">
        <w:rPr>
          <w:rStyle w:val="libBold2Char"/>
          <w:rtl/>
        </w:rPr>
        <w:t xml:space="preserve"> / 3.</w:t>
      </w:r>
      <w:r w:rsidRPr="00C9040A">
        <w:rPr>
          <w:rtl/>
          <w:lang w:bidi="fa-IR"/>
        </w:rPr>
        <w:t xml:space="preserve"> مُحَمَّدُ بْنُ يَحْيى ، عَنْ أَحْمَدَ بْنِ مُحَمَّدِ بْنِ عِيسى ، عَنِ الْحَسَنِ بْنِ مَحْبُوبٍ ، عَنِ الْهَيْثَمِ </w:t>
      </w:r>
      <w:r w:rsidR="006C577F" w:rsidRPr="006C577F">
        <w:rPr>
          <w:rStyle w:val="libFootnotenumChar"/>
          <w:rtl/>
        </w:rPr>
        <w:t>(7)</w:t>
      </w:r>
      <w:r w:rsidRPr="00C9040A">
        <w:rPr>
          <w:rtl/>
          <w:lang w:bidi="fa-IR"/>
        </w:rPr>
        <w:t xml:space="preserve"> بْنِ وَاقِدٍ ، قَالَ :</w:t>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 « مَنْ خَافَ اللهَ ، أَخَافَ اللهُ مِنْهُ كُلَّ شَيْ‌ءٍ ؛ وَمَنْ لَمْ يَخَفِ اللهَ ، أَخَافَهُ اللهُ مِنْ كُلِّ شَيْ‌ءٍ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Normal"/>
        <w:rPr>
          <w:rtl/>
          <w:lang w:bidi="fa-IR"/>
        </w:rPr>
      </w:pPr>
      <w:r w:rsidRPr="000D102C">
        <w:rPr>
          <w:rtl/>
        </w:rPr>
        <w:t>1602</w:t>
      </w:r>
      <w:r w:rsidRPr="00261CB0">
        <w:rPr>
          <w:rStyle w:val="libBold2Char"/>
          <w:rtl/>
        </w:rPr>
        <w:t xml:space="preserve"> / 4.</w:t>
      </w:r>
      <w:r w:rsidRPr="00C9040A">
        <w:rPr>
          <w:rtl/>
          <w:lang w:bidi="fa-IR"/>
        </w:rPr>
        <w:t xml:space="preserve"> عِدَّةٌ مِنْ أَصْحَابِنَا ، عَنْ أَحْمَدَ بْنِ أَبِي عَبْدِ اللهِ ، عَنْ أَبِيهِ ، عَنْ حَمْزَةَ بْنِ عَبْدِ اللهِ الْجَعْفَرِيِّ ، عَنْ جَمِيلِ بْنِ دَرَّاجٍ ، عَنْ أَبِي حَمْزَةَ </w:t>
      </w:r>
      <w:r w:rsidR="006C577F" w:rsidRPr="006C577F">
        <w:rPr>
          <w:rStyle w:val="libFootnotenumChar"/>
          <w:rtl/>
        </w:rPr>
        <w:t>(9)</w:t>
      </w:r>
      <w:r w:rsidRPr="00C9040A">
        <w:rPr>
          <w:rtl/>
          <w:lang w:bidi="fa-IR"/>
        </w:rPr>
        <w:t xml:space="preserve"> ، قَالَ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 ب ، ف ، بر ، بس ، بف » ومرآة العقول والوسائل والبحار وفقه الرضا : « وإن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ض » : « برّزت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فقه الرضا وثواب الأعمال : « ثمّ استترت عن المخلوقين بالمعاصي وبرزت له ب</w:t>
      </w:r>
      <w:r w:rsidR="00AC2E2F">
        <w:rPr>
          <w:rtl/>
        </w:rPr>
        <w:t>ها » بدل « ثمّ برزت له بالمعصية</w:t>
      </w:r>
      <w:r w:rsidR="008A74EB" w:rsidRPr="00C9040A">
        <w:rPr>
          <w:rtl/>
        </w:rPr>
        <w:t>»</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فقه الرضا » </w:t>
      </w:r>
      <w:r w:rsidR="008A74EB">
        <w:rPr>
          <w:rtl/>
        </w:rPr>
        <w:t xml:space="preserve">: </w:t>
      </w:r>
      <w:r w:rsidR="0084262C">
        <w:rPr>
          <w:rtl/>
        </w:rPr>
        <w:t>-</w:t>
      </w:r>
      <w:r w:rsidR="008A74EB" w:rsidRPr="00C9040A">
        <w:rPr>
          <w:rtl/>
        </w:rPr>
        <w:t xml:space="preserve"> « من »</w:t>
      </w:r>
      <w:r w:rsidR="008A74EB">
        <w:rPr>
          <w:rtl/>
        </w:rPr>
        <w:t>.</w:t>
      </w:r>
      <w:r w:rsidR="008A74EB" w:rsidRPr="00C9040A">
        <w:rPr>
          <w:rtl/>
        </w:rPr>
        <w:t xml:space="preserve"> وفي ثواب الأعمال : « في حدّ » بدل « من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بر » وحاشية « ج ، د ، بف » وفقه الرضا وثواب الأعمال : « إليك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ثواب الأعمال</w:t>
      </w:r>
      <w:r w:rsidR="008A74EB" w:rsidRPr="00C9040A">
        <w:rPr>
          <w:rtl/>
        </w:rPr>
        <w:t xml:space="preserve"> ، ص 176 ، ذيل الحديث الطويل 1 ، بسنده عن إسحاق بن عمّار. </w:t>
      </w:r>
      <w:r w:rsidR="008A74EB" w:rsidRPr="00993B55">
        <w:rPr>
          <w:rStyle w:val="libFootnoteBoldChar"/>
          <w:rtl/>
        </w:rPr>
        <w:t>فقه الرضا</w:t>
      </w:r>
      <w:r w:rsidR="008A74EB" w:rsidRPr="00C9040A">
        <w:rPr>
          <w:rtl/>
        </w:rPr>
        <w:t xml:space="preserve"> </w:t>
      </w:r>
      <w:r w:rsidR="00117575" w:rsidRPr="00117575">
        <w:rPr>
          <w:rStyle w:val="libFootnoteAlaemChar"/>
          <w:rtl/>
        </w:rPr>
        <w:t xml:space="preserve">عليه‌السلام </w:t>
      </w:r>
      <w:r w:rsidR="008A74EB" w:rsidRPr="00C9040A">
        <w:rPr>
          <w:rtl/>
        </w:rPr>
        <w:t xml:space="preserve"> ، ص 382 ، وفيهما مع اختلاف يسير </w:t>
      </w:r>
      <w:r w:rsidR="00C96B20">
        <w:rPr>
          <w:rFonts w:hint="cs"/>
          <w:rtl/>
        </w:rPr>
        <w:t>.</w:t>
      </w:r>
      <w:r w:rsidR="008A74EB" w:rsidRPr="00993B55">
        <w:rPr>
          <w:rStyle w:val="libFootnoteBoldChar"/>
          <w:rtl/>
        </w:rPr>
        <w:t>الوافي</w:t>
      </w:r>
      <w:r w:rsidR="008A74EB" w:rsidRPr="00C9040A">
        <w:rPr>
          <w:rtl/>
        </w:rPr>
        <w:t xml:space="preserve"> ، ج 3 ، ص 288 ، ح 1957 ؛ </w:t>
      </w:r>
      <w:r w:rsidR="008A74EB" w:rsidRPr="00993B55">
        <w:rPr>
          <w:rStyle w:val="libFootnoteBoldChar"/>
          <w:rtl/>
        </w:rPr>
        <w:t>الوسائل</w:t>
      </w:r>
      <w:r w:rsidR="008A74EB" w:rsidRPr="00C9040A">
        <w:rPr>
          <w:rtl/>
        </w:rPr>
        <w:t xml:space="preserve"> ، ج 15 ، ص 220 ، ح 20324 ؛ </w:t>
      </w:r>
      <w:r w:rsidR="008A74EB" w:rsidRPr="00993B55">
        <w:rPr>
          <w:rStyle w:val="libFootnoteBoldChar"/>
          <w:rtl/>
        </w:rPr>
        <w:t>البحار</w:t>
      </w:r>
      <w:r w:rsidR="008A74EB" w:rsidRPr="00C9040A">
        <w:rPr>
          <w:rtl/>
        </w:rPr>
        <w:t xml:space="preserve"> ، ج 70 ، ص 355 ، ح 2.</w:t>
      </w:r>
    </w:p>
    <w:p w:rsidR="008A74EB" w:rsidRPr="00C9040A" w:rsidRDefault="006C577F" w:rsidP="004A4E41">
      <w:pPr>
        <w:pStyle w:val="libFootnote0"/>
        <w:rPr>
          <w:rtl/>
          <w:lang w:bidi="fa-IR"/>
        </w:rPr>
      </w:pPr>
      <w:r>
        <w:rPr>
          <w:rtl/>
        </w:rPr>
        <w:t>(7).</w:t>
      </w:r>
      <w:r w:rsidR="008A74EB" w:rsidRPr="00C9040A">
        <w:rPr>
          <w:rtl/>
        </w:rPr>
        <w:t xml:space="preserve"> في « بر » : « الهثيم »</w:t>
      </w:r>
      <w:r w:rsidR="008A74EB">
        <w:rPr>
          <w:rtl/>
        </w:rPr>
        <w:t>.</w:t>
      </w:r>
      <w:r w:rsidR="008A74EB" w:rsidRPr="00C9040A">
        <w:rPr>
          <w:rtl/>
        </w:rPr>
        <w:t xml:space="preserve"> وهو سهو. والهيثم هذا ، هو الهيثم بن واقد الجزري. راجع : </w:t>
      </w:r>
      <w:r w:rsidR="008A74EB" w:rsidRPr="00993B55">
        <w:rPr>
          <w:rStyle w:val="libFootnoteBoldChar"/>
          <w:rtl/>
        </w:rPr>
        <w:t xml:space="preserve">رجال النجاشي </w:t>
      </w:r>
      <w:r w:rsidR="008A74EB" w:rsidRPr="00C9040A">
        <w:rPr>
          <w:rtl/>
        </w:rPr>
        <w:t xml:space="preserve">، ص 436 ، الرقم 1171 ؛ </w:t>
      </w:r>
      <w:r w:rsidR="008A74EB" w:rsidRPr="00993B55">
        <w:rPr>
          <w:rStyle w:val="libFootnoteBoldChar"/>
          <w:rtl/>
        </w:rPr>
        <w:t>رجال البرقي</w:t>
      </w:r>
      <w:r w:rsidR="008A74EB" w:rsidRPr="00C9040A">
        <w:rPr>
          <w:rtl/>
        </w:rPr>
        <w:t xml:space="preserve"> ، ص 40.</w:t>
      </w:r>
    </w:p>
    <w:p w:rsidR="008A74EB" w:rsidRPr="00C9040A" w:rsidRDefault="006C577F" w:rsidP="004A4E41">
      <w:pPr>
        <w:pStyle w:val="libFootnote0"/>
        <w:rPr>
          <w:rtl/>
          <w:lang w:bidi="fa-IR"/>
        </w:rPr>
      </w:pPr>
      <w:r>
        <w:rPr>
          <w:rtl/>
        </w:rPr>
        <w:t>(8).</w:t>
      </w:r>
      <w:r w:rsidR="008A74EB" w:rsidRPr="00C9040A">
        <w:rPr>
          <w:rtl/>
        </w:rPr>
        <w:t xml:space="preserve"> </w:t>
      </w:r>
      <w:r w:rsidR="008A74EB" w:rsidRPr="00993B55">
        <w:rPr>
          <w:rStyle w:val="libFootnoteBoldChar"/>
          <w:rtl/>
        </w:rPr>
        <w:t>الفقيه</w:t>
      </w:r>
      <w:r w:rsidR="008A74EB" w:rsidRPr="00C9040A">
        <w:rPr>
          <w:rtl/>
        </w:rPr>
        <w:t xml:space="preserve"> ، ج 4 ، ص 410 ، ح 5890 ، معلقاً عن الحسن بن محبوب ، مع زيادة في أوّله وآخره. </w:t>
      </w:r>
      <w:r w:rsidR="008A74EB" w:rsidRPr="00993B55">
        <w:rPr>
          <w:rStyle w:val="libFootnoteBoldChar"/>
          <w:rtl/>
        </w:rPr>
        <w:t>وفيه</w:t>
      </w:r>
      <w:r w:rsidR="008A74EB" w:rsidRPr="00C9040A">
        <w:rPr>
          <w:rtl/>
        </w:rPr>
        <w:t xml:space="preserve"> ، ص 357 ، ضمن الحديث الطويل 5762 ، بسند آخر عن أبي عبد الله ، عن آبائه </w:t>
      </w:r>
      <w:r w:rsidR="00117575" w:rsidRPr="00117575">
        <w:rPr>
          <w:rStyle w:val="libFootnoteAlaemChar"/>
          <w:rtl/>
        </w:rPr>
        <w:t>عليهم‌السلام</w:t>
      </w:r>
      <w:r w:rsidR="008A74EB" w:rsidRPr="00C9040A">
        <w:rPr>
          <w:rtl/>
        </w:rPr>
        <w:t xml:space="preserve"> عن رسول الله </w:t>
      </w:r>
      <w:r w:rsidR="004A4E41" w:rsidRPr="00AC2E2F">
        <w:rPr>
          <w:rStyle w:val="libFootnoteAlaemChar"/>
          <w:rtl/>
        </w:rPr>
        <w:t>صلى‌الله‌عليه‌وآله</w:t>
      </w:r>
      <w:r w:rsidR="008A74EB" w:rsidRPr="00C9040A">
        <w:rPr>
          <w:rtl/>
        </w:rPr>
        <w:t xml:space="preserve"> ، مع اختلاف يسير ؛ </w:t>
      </w:r>
      <w:r w:rsidR="008A74EB" w:rsidRPr="00993B55">
        <w:rPr>
          <w:rStyle w:val="libFootnoteBoldChar"/>
          <w:rtl/>
        </w:rPr>
        <w:t>الأم</w:t>
      </w:r>
      <w:r w:rsidR="008A74EB" w:rsidRPr="00AC2E2F">
        <w:rPr>
          <w:rStyle w:val="libFootnoteBoldChar"/>
          <w:rtl/>
        </w:rPr>
        <w:t>الي للطوسي</w:t>
      </w:r>
      <w:r w:rsidR="008A74EB" w:rsidRPr="00C9040A">
        <w:rPr>
          <w:rtl/>
        </w:rPr>
        <w:t xml:space="preserve"> ، ص 140 ، المجلس 5 ، ح 41 ؛ وص 201 ، المجلس 7 ، ح 46 ، بسند آخر ، مع زيادة في أوّله ؛ </w:t>
      </w:r>
      <w:r w:rsidR="008A74EB" w:rsidRPr="00993B55">
        <w:rPr>
          <w:rStyle w:val="libFootnoteBoldChar"/>
          <w:rtl/>
        </w:rPr>
        <w:t>وفيه</w:t>
      </w:r>
      <w:r w:rsidR="008A74EB" w:rsidRPr="00C9040A">
        <w:rPr>
          <w:rtl/>
        </w:rPr>
        <w:t xml:space="preserve"> ، ص 721 ، المجلس 43 ، ح 5 ، بسند آخر. </w:t>
      </w:r>
      <w:r w:rsidR="008A74EB" w:rsidRPr="00993B55">
        <w:rPr>
          <w:rStyle w:val="libFootnoteBoldChar"/>
          <w:rtl/>
        </w:rPr>
        <w:t>تحف العقول</w:t>
      </w:r>
      <w:r w:rsidR="008A74EB" w:rsidRPr="00C9040A">
        <w:rPr>
          <w:rtl/>
        </w:rPr>
        <w:t xml:space="preserve"> ، ص 57 ، عن النبيّ </w:t>
      </w:r>
      <w:r w:rsidR="004A4E41" w:rsidRPr="00AC2E2F">
        <w:rPr>
          <w:rStyle w:val="libFootnoteAlaemChar"/>
          <w:rtl/>
        </w:rPr>
        <w:t>صلى‌الله‌عليه‌وآله</w:t>
      </w:r>
      <w:r w:rsidR="008A74EB" w:rsidRPr="00C9040A">
        <w:rPr>
          <w:rtl/>
        </w:rPr>
        <w:t xml:space="preserve"> ، وفيهما مع اختلاف يسير وزيادة في أوّله وآخره </w:t>
      </w:r>
      <w:r w:rsidR="00D44DA8">
        <w:rPr>
          <w:rFonts w:hint="cs"/>
          <w:rtl/>
        </w:rPr>
        <w:t>.</w:t>
      </w:r>
      <w:r w:rsidR="008A74EB" w:rsidRPr="00993B55">
        <w:rPr>
          <w:rStyle w:val="libFootnoteBoldChar"/>
          <w:rtl/>
        </w:rPr>
        <w:t>الوافي</w:t>
      </w:r>
      <w:r w:rsidR="008A74EB" w:rsidRPr="00C9040A">
        <w:rPr>
          <w:rtl/>
        </w:rPr>
        <w:t xml:space="preserve"> ، ج 4 ، ص 288 ، ح 1958 ؛ </w:t>
      </w:r>
      <w:r w:rsidR="008A74EB" w:rsidRPr="00993B55">
        <w:rPr>
          <w:rStyle w:val="libFootnoteBoldChar"/>
          <w:rtl/>
        </w:rPr>
        <w:t>الوسائل</w:t>
      </w:r>
      <w:r w:rsidR="008A74EB" w:rsidRPr="00C9040A">
        <w:rPr>
          <w:rtl/>
        </w:rPr>
        <w:t xml:space="preserve"> ، ج 15 ، ص 219 ، ح 20322.</w:t>
      </w:r>
    </w:p>
    <w:p w:rsidR="008A74EB" w:rsidRPr="00C9040A" w:rsidRDefault="006C577F" w:rsidP="004A4E41">
      <w:pPr>
        <w:pStyle w:val="libFootnote0"/>
        <w:rPr>
          <w:rtl/>
          <w:lang w:bidi="fa-IR"/>
        </w:rPr>
      </w:pPr>
      <w:r>
        <w:rPr>
          <w:rtl/>
        </w:rPr>
        <w:t>(9).</w:t>
      </w:r>
      <w:r w:rsidR="008A74EB" w:rsidRPr="00C9040A">
        <w:rPr>
          <w:rtl/>
        </w:rPr>
        <w:t xml:space="preserve"> في « ف » : + « الثمالي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lastRenderedPageBreak/>
        <w:t xml:space="preserve">قَالَ أَبُو عَبْدِ اللهِ </w:t>
      </w:r>
      <w:r w:rsidRPr="0003660B">
        <w:rPr>
          <w:rStyle w:val="libAlaemChar"/>
          <w:rtl/>
        </w:rPr>
        <w:t>عليه‌السلام</w:t>
      </w:r>
      <w:r w:rsidRPr="00C9040A">
        <w:rPr>
          <w:rtl/>
          <w:lang w:bidi="fa-IR"/>
        </w:rPr>
        <w:t xml:space="preserve"> : « مَنْ عَرَفَ اللهَ خَافَ اللهَ ، وَمَنْ خَافَ اللهَ سَخَتْ </w:t>
      </w:r>
      <w:r w:rsidR="006C577F" w:rsidRPr="006C577F">
        <w:rPr>
          <w:rStyle w:val="libFootnotenumChar"/>
          <w:rtl/>
        </w:rPr>
        <w:t>(1)</w:t>
      </w:r>
      <w:r w:rsidRPr="002712F0">
        <w:rPr>
          <w:rFonts w:hint="cs"/>
          <w:rtl/>
        </w:rPr>
        <w:t xml:space="preserve"> </w:t>
      </w:r>
      <w:r w:rsidRPr="00C9040A">
        <w:rPr>
          <w:rtl/>
          <w:lang w:bidi="fa-IR"/>
        </w:rPr>
        <w:t>نَفْسُهُ عَنِ الدُّنْيَا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755654">
        <w:rPr>
          <w:rtl/>
        </w:rPr>
        <w:t>1603</w:t>
      </w:r>
      <w:r w:rsidRPr="00261CB0">
        <w:rPr>
          <w:rStyle w:val="libBold2Char"/>
          <w:rtl/>
        </w:rPr>
        <w:t xml:space="preserve"> / 5.</w:t>
      </w:r>
      <w:r w:rsidRPr="00C9040A">
        <w:rPr>
          <w:rtl/>
          <w:lang w:bidi="fa-IR"/>
        </w:rPr>
        <w:t xml:space="preserve"> عَنْهُ </w:t>
      </w:r>
      <w:r w:rsidR="006C577F" w:rsidRPr="006C577F">
        <w:rPr>
          <w:rStyle w:val="libFootnotenumChar"/>
          <w:rtl/>
        </w:rPr>
        <w:t>(3)</w:t>
      </w:r>
      <w:r w:rsidRPr="00C9040A">
        <w:rPr>
          <w:rtl/>
          <w:lang w:bidi="fa-IR"/>
        </w:rPr>
        <w:t xml:space="preserve"> ، عَنِ ابْنِ أَبِي نَجْرَانَ ، عَمَّنْ ذَكَرَهُ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قُلْتُ لَهُ : قَوْمٌ يَعْمَلُونَ بِالْمَعَاصِي </w:t>
      </w:r>
      <w:r w:rsidR="006C577F" w:rsidRPr="006C577F">
        <w:rPr>
          <w:rStyle w:val="libFootnotenumChar"/>
          <w:rtl/>
        </w:rPr>
        <w:t>(4)</w:t>
      </w:r>
      <w:r w:rsidRPr="00C9040A">
        <w:rPr>
          <w:rtl/>
          <w:lang w:bidi="fa-IR"/>
        </w:rPr>
        <w:t xml:space="preserve"> ، وَيَقُولُونَ : نَرْجُو ، فَلَا يَزَالُونَ كَذلِكَ حَتّى يَأْتِيَهُمُ الْمَوْتُ </w:t>
      </w:r>
      <w:r w:rsidR="006C577F" w:rsidRPr="006C577F">
        <w:rPr>
          <w:rStyle w:val="libFootnotenumChar"/>
          <w:rtl/>
        </w:rPr>
        <w:t>(5)</w:t>
      </w:r>
      <w:r>
        <w:rPr>
          <w:rtl/>
          <w:lang w:bidi="fa-IR"/>
        </w:rPr>
        <w:t>؟</w:t>
      </w:r>
    </w:p>
    <w:p w:rsidR="008A74EB" w:rsidRPr="00C9040A" w:rsidRDefault="008A74EB" w:rsidP="008A74EB">
      <w:pPr>
        <w:pStyle w:val="libNormal"/>
        <w:rPr>
          <w:rtl/>
          <w:lang w:bidi="fa-IR"/>
        </w:rPr>
      </w:pPr>
      <w:r w:rsidRPr="00C9040A">
        <w:rPr>
          <w:rtl/>
          <w:lang w:bidi="fa-IR"/>
        </w:rPr>
        <w:t xml:space="preserve">فَقَالَ : « هؤُلَاءِ قَوْمٌ يَتَرَجَّحُونَ </w:t>
      </w:r>
      <w:r w:rsidR="006C577F" w:rsidRPr="006C577F">
        <w:rPr>
          <w:rStyle w:val="libFootnotenumChar"/>
          <w:rtl/>
        </w:rPr>
        <w:t>(6)</w:t>
      </w:r>
      <w:r w:rsidRPr="005B567D">
        <w:rPr>
          <w:rStyle w:val="libFootnotenumChar"/>
          <w:rtl/>
        </w:rPr>
        <w:t xml:space="preserve"> </w:t>
      </w:r>
      <w:r w:rsidRPr="00C9040A">
        <w:rPr>
          <w:rtl/>
          <w:lang w:bidi="fa-IR"/>
        </w:rPr>
        <w:t>فِي الْأَمَانِيِّ ، كَذَبُوا ، لَيْسُوا بِرَاجِينَ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 سَخَتْ » ، أي تركت ، يقال : سَخَتْ نفسي عن الشي‌ء وسَخِيَتْ ، إذا تركته. راجع : </w:t>
      </w:r>
      <w:r w:rsidR="008A74EB" w:rsidRPr="00993B55">
        <w:rPr>
          <w:rStyle w:val="libFootnoteBoldChar"/>
          <w:rtl/>
        </w:rPr>
        <w:t>الصحاح</w:t>
      </w:r>
      <w:r w:rsidR="008A74EB" w:rsidRPr="00C9040A">
        <w:rPr>
          <w:rtl/>
        </w:rPr>
        <w:t xml:space="preserve"> ، ج 6 ، ص 2373 ؛ </w:t>
      </w:r>
      <w:r w:rsidR="008A74EB" w:rsidRPr="00993B55">
        <w:rPr>
          <w:rStyle w:val="libFootnoteBoldChar"/>
          <w:rtl/>
        </w:rPr>
        <w:t>المصباح المنير</w:t>
      </w:r>
      <w:r w:rsidR="008A74EB" w:rsidRPr="00C9040A">
        <w:rPr>
          <w:rtl/>
        </w:rPr>
        <w:t xml:space="preserve"> ، ص 270 ( سخا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تحف العقول</w:t>
      </w:r>
      <w:r w:rsidR="008A74EB" w:rsidRPr="00C9040A">
        <w:rPr>
          <w:rtl/>
        </w:rPr>
        <w:t xml:space="preserve"> ، ص 362 ؛ </w:t>
      </w:r>
      <w:r w:rsidR="008A74EB" w:rsidRPr="00993B55">
        <w:rPr>
          <w:rStyle w:val="libFootnoteBoldChar"/>
          <w:rtl/>
        </w:rPr>
        <w:t>فقه الرضا</w:t>
      </w:r>
      <w:r w:rsidR="008A74EB" w:rsidRPr="00C9040A">
        <w:rPr>
          <w:rtl/>
        </w:rPr>
        <w:t xml:space="preserve"> </w:t>
      </w:r>
      <w:r w:rsidR="00117575" w:rsidRPr="00117575">
        <w:rPr>
          <w:rStyle w:val="libFootnoteAlaemChar"/>
          <w:rtl/>
        </w:rPr>
        <w:t xml:space="preserve">عليه‌السلام </w:t>
      </w:r>
      <w:r w:rsidR="008A74EB" w:rsidRPr="00C9040A">
        <w:rPr>
          <w:rtl/>
        </w:rPr>
        <w:t xml:space="preserve"> ، ص 381 ، وفيه هكذا : « من خاف الله سخت نفسه عن الدنيا » </w:t>
      </w:r>
      <w:r w:rsidR="00362BF7">
        <w:rPr>
          <w:rFonts w:hint="cs"/>
          <w:rtl/>
        </w:rPr>
        <w:t>.</w:t>
      </w:r>
      <w:r w:rsidR="008A74EB" w:rsidRPr="00993B55">
        <w:rPr>
          <w:rStyle w:val="libFootnoteBoldChar"/>
          <w:rtl/>
        </w:rPr>
        <w:t>الوافي</w:t>
      </w:r>
      <w:r w:rsidR="008A74EB" w:rsidRPr="00C9040A">
        <w:rPr>
          <w:rtl/>
        </w:rPr>
        <w:t xml:space="preserve"> ، ج 4 ، ص 288 ، ح 1959 ؛ </w:t>
      </w:r>
      <w:r w:rsidR="008A74EB" w:rsidRPr="00993B55">
        <w:rPr>
          <w:rStyle w:val="libFootnoteBoldChar"/>
          <w:rtl/>
        </w:rPr>
        <w:t>الوسائل</w:t>
      </w:r>
      <w:r w:rsidR="008A74EB" w:rsidRPr="00C9040A">
        <w:rPr>
          <w:rtl/>
        </w:rPr>
        <w:t xml:space="preserve"> ، ج 15 ، ص 220 ، ح 20325 ؛ </w:t>
      </w:r>
      <w:r w:rsidR="008A74EB" w:rsidRPr="00993B55">
        <w:rPr>
          <w:rStyle w:val="libFootnoteBoldChar"/>
          <w:rtl/>
        </w:rPr>
        <w:t>البحار</w:t>
      </w:r>
      <w:r w:rsidR="008A74EB" w:rsidRPr="00C9040A">
        <w:rPr>
          <w:rtl/>
        </w:rPr>
        <w:t xml:space="preserve"> ، ج 70 ، ص 356 ، ح 3.</w:t>
      </w:r>
    </w:p>
    <w:p w:rsidR="008A74EB" w:rsidRPr="00C9040A" w:rsidRDefault="006C577F" w:rsidP="004A4E41">
      <w:pPr>
        <w:pStyle w:val="libFootnote0"/>
        <w:rPr>
          <w:rtl/>
          <w:lang w:bidi="fa-IR"/>
        </w:rPr>
      </w:pPr>
      <w:r>
        <w:rPr>
          <w:rtl/>
        </w:rPr>
        <w:t>(3).</w:t>
      </w:r>
      <w:r w:rsidR="008A74EB" w:rsidRPr="00C9040A">
        <w:rPr>
          <w:rtl/>
        </w:rPr>
        <w:t xml:space="preserve"> الضمير راجع إلى أحمد بن أبي عبد الله المذكور في السند السابق ؛ فقد روى أحمد</w:t>
      </w:r>
      <w:r w:rsidR="008A74EB">
        <w:rPr>
          <w:rtl/>
        </w:rPr>
        <w:t xml:space="preserve"> </w:t>
      </w:r>
      <w:r w:rsidR="0084262C">
        <w:rPr>
          <w:rtl/>
        </w:rPr>
        <w:t>-</w:t>
      </w:r>
      <w:r w:rsidR="008A74EB">
        <w:rPr>
          <w:rtl/>
        </w:rPr>
        <w:t xml:space="preserve"> </w:t>
      </w:r>
      <w:r w:rsidR="008A74EB" w:rsidRPr="00C9040A">
        <w:rPr>
          <w:rtl/>
        </w:rPr>
        <w:t>بعناوينه المختلفة</w:t>
      </w:r>
      <w:r w:rsidR="008A74EB">
        <w:rPr>
          <w:rtl/>
        </w:rPr>
        <w:t xml:space="preserve"> </w:t>
      </w:r>
      <w:r w:rsidR="0084262C">
        <w:rPr>
          <w:rtl/>
        </w:rPr>
        <w:t>-</w:t>
      </w:r>
      <w:r w:rsidR="008A74EB">
        <w:rPr>
          <w:rtl/>
        </w:rPr>
        <w:t xml:space="preserve"> </w:t>
      </w:r>
      <w:r w:rsidR="008A74EB" w:rsidRPr="00C9040A">
        <w:rPr>
          <w:rtl/>
        </w:rPr>
        <w:t xml:space="preserve">عن [ عبد الرحمن ] بن أبي‌نجران. راجع : </w:t>
      </w:r>
      <w:r w:rsidR="008A74EB" w:rsidRPr="00993B55">
        <w:rPr>
          <w:rStyle w:val="libFootnoteBoldChar"/>
          <w:rtl/>
        </w:rPr>
        <w:t>معجم رجال الحديث</w:t>
      </w:r>
      <w:r w:rsidR="008A74EB" w:rsidRPr="00C9040A">
        <w:rPr>
          <w:rtl/>
        </w:rPr>
        <w:t xml:space="preserve"> ، ج 9 ، ص 301</w:t>
      </w:r>
      <w:r w:rsidR="008A74EB">
        <w:rPr>
          <w:rtl/>
        </w:rPr>
        <w:t xml:space="preserve"> </w:t>
      </w:r>
      <w:r w:rsidR="0084262C">
        <w:rPr>
          <w:rtl/>
        </w:rPr>
        <w:t>-</w:t>
      </w:r>
      <w:r w:rsidR="008A74EB">
        <w:rPr>
          <w:rtl/>
        </w:rPr>
        <w:t xml:space="preserve"> </w:t>
      </w:r>
      <w:r w:rsidR="008A74EB" w:rsidRPr="00C9040A">
        <w:rPr>
          <w:rtl/>
        </w:rPr>
        <w:t>302 ؛ وج 22 ، ص 141</w:t>
      </w:r>
      <w:r w:rsidR="008A74EB">
        <w:rPr>
          <w:rtl/>
        </w:rPr>
        <w:t xml:space="preserve"> </w:t>
      </w:r>
      <w:r w:rsidR="0084262C">
        <w:rPr>
          <w:rtl/>
        </w:rPr>
        <w:t>-</w:t>
      </w:r>
      <w:r w:rsidR="008A74EB">
        <w:rPr>
          <w:rtl/>
        </w:rPr>
        <w:t xml:space="preserve"> </w:t>
      </w:r>
      <w:r w:rsidR="008A74EB" w:rsidRPr="00C9040A">
        <w:rPr>
          <w:rtl/>
        </w:rPr>
        <w:t>142.</w:t>
      </w:r>
    </w:p>
    <w:p w:rsidR="008A74EB" w:rsidRPr="00C9040A" w:rsidRDefault="008A74EB" w:rsidP="004A4E41">
      <w:pPr>
        <w:pStyle w:val="libFootnote0"/>
        <w:rPr>
          <w:rtl/>
          <w:lang w:bidi="fa-IR"/>
        </w:rPr>
      </w:pPr>
      <w:r w:rsidRPr="00323A39">
        <w:rPr>
          <w:rtl/>
        </w:rPr>
        <w:t xml:space="preserve">وأمّا ما ورد في </w:t>
      </w:r>
      <w:r w:rsidRPr="00993B55">
        <w:rPr>
          <w:rStyle w:val="libFootnoteBoldChar"/>
          <w:rtl/>
        </w:rPr>
        <w:t>المحاسن</w:t>
      </w:r>
      <w:r w:rsidRPr="00323A39">
        <w:rPr>
          <w:rtl/>
        </w:rPr>
        <w:t xml:space="preserve"> ، ص 31 ، ح 19 ، من رواية البرقي عن أبيه ، عن ابن أبي نجران ، عن عبد العزيز العبدي ، فالظاهر وقوع التحريف فيه. والصواب « وابن أبي نجران » ؛ فقد وردت في </w:t>
      </w:r>
      <w:r w:rsidRPr="00993B55">
        <w:rPr>
          <w:rStyle w:val="libFootnoteBoldChar"/>
          <w:rtl/>
        </w:rPr>
        <w:t>المحاسن</w:t>
      </w:r>
      <w:r w:rsidRPr="00323A39">
        <w:rPr>
          <w:rtl/>
        </w:rPr>
        <w:t xml:space="preserve"> ، ص 133 ، ح 9 ، وص 147 ، ح 55 ، رواية البرقي ، عن أبيه وابن أبي نجران ، متعاطفين.</w:t>
      </w:r>
    </w:p>
    <w:p w:rsidR="008A74EB" w:rsidRPr="004A4E41" w:rsidRDefault="008A74EB" w:rsidP="004A4E41">
      <w:pPr>
        <w:pStyle w:val="libFootnote0"/>
        <w:rPr>
          <w:rStyle w:val="libFootnote0Char"/>
          <w:rtl/>
        </w:rPr>
      </w:pPr>
      <w:r w:rsidRPr="00323A39">
        <w:rPr>
          <w:rtl/>
        </w:rPr>
        <w:t xml:space="preserve">ويؤيّد ما استظهرناه من وقوع التحريف ما وردت في </w:t>
      </w:r>
      <w:r w:rsidRPr="00993B55">
        <w:rPr>
          <w:rStyle w:val="libFootnoteBoldChar"/>
          <w:rtl/>
        </w:rPr>
        <w:t>المحاسن</w:t>
      </w:r>
      <w:r w:rsidRPr="00323A39">
        <w:rPr>
          <w:rtl/>
        </w:rPr>
        <w:t xml:space="preserve"> ، ص 495 ، ح 595 ؛ وص 497 ، ح 604 ؛ وص 500 ، ح 622 ؛ وص 540 ، ح 824 ، من رواية البرقي عن عبد العزيز العبدي بواسطة واحدة.</w:t>
      </w:r>
    </w:p>
    <w:tbl>
      <w:tblPr>
        <w:tblStyle w:val="TableGrid"/>
        <w:bidiVisual/>
        <w:tblW w:w="0" w:type="auto"/>
        <w:tblLook w:val="04A0" w:firstRow="1" w:lastRow="0" w:firstColumn="1" w:lastColumn="0" w:noHBand="0" w:noVBand="1"/>
      </w:tblPr>
      <w:tblGrid>
        <w:gridCol w:w="4006"/>
        <w:gridCol w:w="4006"/>
      </w:tblGrid>
      <w:tr w:rsidR="00AF345E" w:rsidTr="00AF345E">
        <w:tc>
          <w:tcPr>
            <w:tcW w:w="4006" w:type="dxa"/>
          </w:tcPr>
          <w:p w:rsidR="00AF345E" w:rsidRDefault="00AF345E" w:rsidP="004A4E41">
            <w:pPr>
              <w:pStyle w:val="libFootnote0"/>
              <w:rPr>
                <w:rtl/>
              </w:rPr>
            </w:pPr>
            <w:r>
              <w:rPr>
                <w:rtl/>
              </w:rPr>
              <w:t>(4).</w:t>
            </w:r>
            <w:r w:rsidRPr="00C9040A">
              <w:rPr>
                <w:rtl/>
              </w:rPr>
              <w:t xml:space="preserve"> في « ب » : « المعاصي »</w:t>
            </w:r>
            <w:r>
              <w:rPr>
                <w:rtl/>
              </w:rPr>
              <w:t>.</w:t>
            </w:r>
          </w:p>
        </w:tc>
        <w:tc>
          <w:tcPr>
            <w:tcW w:w="4006" w:type="dxa"/>
          </w:tcPr>
          <w:p w:rsidR="00AF345E" w:rsidRDefault="00AF345E" w:rsidP="004A4E41">
            <w:pPr>
              <w:pStyle w:val="libFootnote0"/>
              <w:rPr>
                <w:rtl/>
              </w:rPr>
            </w:pPr>
            <w:r>
              <w:rPr>
                <w:rtl/>
              </w:rPr>
              <w:t>(5).</w:t>
            </w:r>
            <w:r w:rsidRPr="00C9040A">
              <w:rPr>
                <w:rtl/>
              </w:rPr>
              <w:t xml:space="preserve"> في « ز » : « أجلهم »</w:t>
            </w:r>
            <w:r>
              <w:rPr>
                <w:rtl/>
              </w:rPr>
              <w:t>.</w:t>
            </w:r>
          </w:p>
        </w:tc>
      </w:tr>
    </w:tbl>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ب » : « يترجّجون » بالجيمين. والترجّح : الميل ، وتذبذب الشي‌ء المعلّق في الهواء والتميّل من جانب إلى‌جانب. ومنه الا</w:t>
      </w:r>
      <w:r w:rsidR="006F7769">
        <w:rPr>
          <w:rFonts w:hint="cs"/>
          <w:rtl/>
        </w:rPr>
        <w:t>ُ</w:t>
      </w:r>
      <w:r w:rsidR="008A74EB" w:rsidRPr="00C9040A">
        <w:rPr>
          <w:rtl/>
        </w:rPr>
        <w:t xml:space="preserve">رجوحة ، وهو حبل يشدّ طرفاه في موضع عال ، ثمّ يركبه الإنسان ويُحرَّك ، وهو فيه ؛ سمّي به لتحرّكه ومجيئه وذهابه. أو هي التي يلعب بها ، وهي خشبة تؤخذ فيوضع وسطها على تلّ ، ثمّ يجلس غلام على أحد طرفيها وغلام آخر على الطرف الآخر فترجّحُ الخشبة بهما ويتحرّكان فيميل أحدهما بصاحبه الآخر. </w:t>
      </w:r>
      <w:r w:rsidR="008A74EB">
        <w:rPr>
          <w:rtl/>
        </w:rPr>
        <w:t>و «</w:t>
      </w:r>
      <w:r w:rsidR="008A74EB" w:rsidRPr="00C9040A">
        <w:rPr>
          <w:rtl/>
        </w:rPr>
        <w:t xml:space="preserve"> في » للسببيّة ، أو للظرفيّة ، أو بمعنى على ؛ يعني مالت بهم عن الاستقامة أمانيّهم الكاذبة ، وبعبارة ا</w:t>
      </w:r>
      <w:r w:rsidR="006F7769">
        <w:rPr>
          <w:rFonts w:hint="cs"/>
          <w:rtl/>
        </w:rPr>
        <w:t>ُ</w:t>
      </w:r>
      <w:r w:rsidR="008A74EB" w:rsidRPr="00C9040A">
        <w:rPr>
          <w:rtl/>
        </w:rPr>
        <w:t>خرى : يميلون عن الحقّ بسبب الأمانيّ ، أو فيها ، أو عليها باعتبار أنّها تميل بهم ، كما تميل الا</w:t>
      </w:r>
      <w:r w:rsidR="006F7769">
        <w:rPr>
          <w:rFonts w:hint="cs"/>
          <w:rtl/>
        </w:rPr>
        <w:t>ُ</w:t>
      </w:r>
      <w:r w:rsidR="008A74EB" w:rsidRPr="00C9040A">
        <w:rPr>
          <w:rtl/>
        </w:rPr>
        <w:t xml:space="preserve">رجوحة بمن فيها ، أو عليها. فكأنّه </w:t>
      </w:r>
      <w:r w:rsidR="00117575" w:rsidRPr="00117575">
        <w:rPr>
          <w:rStyle w:val="libFootnoteAlaemChar"/>
          <w:rtl/>
        </w:rPr>
        <w:t xml:space="preserve">عليه‌السلام </w:t>
      </w:r>
      <w:r w:rsidR="008A74EB" w:rsidRPr="00C9040A">
        <w:rPr>
          <w:rtl/>
        </w:rPr>
        <w:t xml:space="preserve"> شبّه أمانيّهم با</w:t>
      </w:r>
      <w:r w:rsidR="000F718E">
        <w:rPr>
          <w:rFonts w:hint="cs"/>
          <w:rtl/>
        </w:rPr>
        <w:t>ُ</w:t>
      </w:r>
      <w:r w:rsidR="008A74EB" w:rsidRPr="00C9040A">
        <w:rPr>
          <w:rtl/>
        </w:rPr>
        <w:t xml:space="preserve">رجوحة يركبه الصبيان ، يتحرّك بأدنى نسيم وحركة ، فكذا هؤلاء يميلون بسبب الأمانيّ من الخوف إلى الرجاء بأدنى وهم. راجع : </w:t>
      </w:r>
      <w:r w:rsidR="008A74EB" w:rsidRPr="00993B55">
        <w:rPr>
          <w:rStyle w:val="libFootnoteBoldChar"/>
          <w:rtl/>
        </w:rPr>
        <w:t>النهاية</w:t>
      </w:r>
      <w:r w:rsidR="008A74EB" w:rsidRPr="00C9040A">
        <w:rPr>
          <w:rtl/>
        </w:rPr>
        <w:t xml:space="preserve"> ، ج 2 ، ص 198 ؛ </w:t>
      </w:r>
      <w:r w:rsidR="008A74EB" w:rsidRPr="00993B55">
        <w:rPr>
          <w:rStyle w:val="libFootnoteBoldChar"/>
          <w:rtl/>
        </w:rPr>
        <w:t>لسان العرب</w:t>
      </w:r>
      <w:r w:rsidR="008A74EB" w:rsidRPr="00C9040A">
        <w:rPr>
          <w:rtl/>
        </w:rPr>
        <w:t xml:space="preserve"> ، ج 2 ، ص 446 ( رجح ) ؛ </w:t>
      </w:r>
      <w:r w:rsidR="008A74EB" w:rsidRPr="00993B55">
        <w:rPr>
          <w:rStyle w:val="libFootnoteBoldChar"/>
          <w:rtl/>
        </w:rPr>
        <w:t>شرح المازندراني</w:t>
      </w:r>
      <w:r w:rsidR="008A74EB" w:rsidRPr="00C9040A">
        <w:rPr>
          <w:rtl/>
        </w:rPr>
        <w:t xml:space="preserve"> ، ج 8 ، ص 209 ؛ </w:t>
      </w:r>
      <w:r w:rsidR="008A74EB" w:rsidRPr="00993B55">
        <w:rPr>
          <w:rStyle w:val="libFootnoteBoldChar"/>
          <w:rtl/>
        </w:rPr>
        <w:t>الوافي</w:t>
      </w:r>
      <w:r w:rsidR="008A74EB" w:rsidRPr="00C9040A">
        <w:rPr>
          <w:rtl/>
        </w:rPr>
        <w:t xml:space="preserve"> ، ج 4 ، ص 289.</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إِنَّ </w:t>
      </w:r>
      <w:r w:rsidR="006C577F" w:rsidRPr="006C577F">
        <w:rPr>
          <w:rStyle w:val="libFootnotenumChar"/>
          <w:rtl/>
        </w:rPr>
        <w:t>(1)</w:t>
      </w:r>
      <w:r w:rsidRPr="002712F0">
        <w:rPr>
          <w:rFonts w:hint="cs"/>
          <w:rtl/>
        </w:rPr>
        <w:t xml:space="preserve"> </w:t>
      </w:r>
      <w:r w:rsidRPr="00C9040A">
        <w:rPr>
          <w:rtl/>
          <w:lang w:bidi="fa-IR"/>
        </w:rPr>
        <w:t xml:space="preserve">مَنْ رَجَا شَيْئاً طَلَبَهُ ، وَمَنْ خَافَ مِنْ شَيْ‌ءٍ </w:t>
      </w:r>
      <w:r w:rsidR="006C577F" w:rsidRPr="006C577F">
        <w:rPr>
          <w:rStyle w:val="libFootnotenumChar"/>
          <w:rtl/>
        </w:rPr>
        <w:t>(2)</w:t>
      </w:r>
      <w:r w:rsidRPr="00C9040A">
        <w:rPr>
          <w:rtl/>
          <w:lang w:bidi="fa-IR"/>
        </w:rPr>
        <w:t xml:space="preserve"> هَرَبَ مِنْهُ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755654">
        <w:rPr>
          <w:rtl/>
        </w:rPr>
        <w:t>1604</w:t>
      </w:r>
      <w:r w:rsidRPr="00261CB0">
        <w:rPr>
          <w:rStyle w:val="libBold2Char"/>
          <w:rtl/>
        </w:rPr>
        <w:t xml:space="preserve"> / 6.</w:t>
      </w:r>
      <w:r w:rsidRPr="00C9040A">
        <w:rPr>
          <w:rtl/>
          <w:lang w:bidi="fa-IR"/>
        </w:rPr>
        <w:t xml:space="preserve"> وَرَوَاهُ عَلِيُّ بْنُ مُحَمَّدٍ رَفَعَهُ ، قَالَ :</w:t>
      </w:r>
    </w:p>
    <w:p w:rsidR="008A74EB" w:rsidRPr="00C9040A" w:rsidRDefault="008A74EB" w:rsidP="008A74EB">
      <w:pPr>
        <w:pStyle w:val="libNormal"/>
        <w:rPr>
          <w:rtl/>
          <w:lang w:bidi="fa-IR"/>
        </w:rPr>
      </w:pPr>
      <w:r w:rsidRPr="00C9040A">
        <w:rPr>
          <w:rtl/>
          <w:lang w:bidi="fa-IR"/>
        </w:rPr>
        <w:t xml:space="preserve">قُلْتُ </w:t>
      </w:r>
      <w:r w:rsidR="006C577F" w:rsidRPr="006C577F">
        <w:rPr>
          <w:rStyle w:val="libFootnotenumChar"/>
          <w:rtl/>
        </w:rPr>
        <w:t>(4)</w:t>
      </w:r>
      <w:r w:rsidRPr="00C9040A">
        <w:rPr>
          <w:rtl/>
          <w:lang w:bidi="fa-IR"/>
        </w:rPr>
        <w:t xml:space="preserve"> لِأَبِي عَبْدِ اللهِ </w:t>
      </w:r>
      <w:r w:rsidRPr="0003660B">
        <w:rPr>
          <w:rStyle w:val="libAlaemChar"/>
          <w:rtl/>
        </w:rPr>
        <w:t>عليه‌السلام</w:t>
      </w:r>
      <w:r w:rsidRPr="00C9040A">
        <w:rPr>
          <w:rtl/>
          <w:lang w:bidi="fa-IR"/>
        </w:rPr>
        <w:t xml:space="preserve"> : إِنَّ قَوْماً مِنْ مَوَالِيكَ يُلِمُّونَ بِالْمَعَاصِي ، وَيَقُولُونَ : نَرْجُو</w:t>
      </w:r>
      <w:r>
        <w:rPr>
          <w:rtl/>
          <w:lang w:bidi="fa-IR"/>
        </w:rPr>
        <w:t>؟</w:t>
      </w:r>
    </w:p>
    <w:p w:rsidR="008A74EB" w:rsidRPr="00C9040A" w:rsidRDefault="008A74EB" w:rsidP="008A74EB">
      <w:pPr>
        <w:pStyle w:val="libNormal"/>
        <w:rPr>
          <w:rtl/>
          <w:lang w:bidi="fa-IR"/>
        </w:rPr>
      </w:pPr>
      <w:r w:rsidRPr="00C9040A">
        <w:rPr>
          <w:rtl/>
          <w:lang w:bidi="fa-IR"/>
        </w:rPr>
        <w:t xml:space="preserve">فَقَالَ : « كَذَبُوا لَيْسُوا لَنَا بِمَوَالٍ ، أُولئِكَ قَوْمٌ </w:t>
      </w:r>
      <w:r w:rsidR="006C577F" w:rsidRPr="006C577F">
        <w:rPr>
          <w:rStyle w:val="libFootnotenumChar"/>
          <w:rtl/>
        </w:rPr>
        <w:t>(5)</w:t>
      </w:r>
      <w:r w:rsidRPr="00C9040A">
        <w:rPr>
          <w:rtl/>
          <w:lang w:bidi="fa-IR"/>
        </w:rPr>
        <w:t xml:space="preserve"> تَرَجَّحَتْ بِهِمُ </w:t>
      </w:r>
      <w:r w:rsidR="006C577F" w:rsidRPr="006C577F">
        <w:rPr>
          <w:rStyle w:val="libFootnotenumChar"/>
          <w:rtl/>
        </w:rPr>
        <w:t>(6)</w:t>
      </w:r>
      <w:r w:rsidRPr="005B567D">
        <w:rPr>
          <w:rStyle w:val="libFootnotenumChar"/>
          <w:rtl/>
        </w:rPr>
        <w:t xml:space="preserve"> </w:t>
      </w:r>
      <w:r w:rsidRPr="00C9040A">
        <w:rPr>
          <w:rtl/>
          <w:lang w:bidi="fa-IR"/>
        </w:rPr>
        <w:t xml:space="preserve">الْأَمَانِيُّ ؛ مَنْ رَجَا شَيْئاً عَمِلَ لَهُ ، وَمَنْ خَافَ مِنْ شَيْ‌ءٍ </w:t>
      </w:r>
      <w:r w:rsidR="006C577F" w:rsidRPr="006C577F">
        <w:rPr>
          <w:rStyle w:val="libFootnotenumChar"/>
          <w:rtl/>
        </w:rPr>
        <w:t>(7)</w:t>
      </w:r>
      <w:r w:rsidRPr="00C9040A">
        <w:rPr>
          <w:rtl/>
          <w:lang w:bidi="fa-IR"/>
        </w:rPr>
        <w:t xml:space="preserve"> هَرَبَ مِنْهُ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Normal"/>
        <w:rPr>
          <w:rtl/>
          <w:lang w:bidi="fa-IR"/>
        </w:rPr>
      </w:pPr>
      <w:r w:rsidRPr="00755654">
        <w:rPr>
          <w:rtl/>
        </w:rPr>
        <w:t>1605</w:t>
      </w:r>
      <w:r w:rsidRPr="00261CB0">
        <w:rPr>
          <w:rStyle w:val="libBold2Char"/>
          <w:rtl/>
        </w:rPr>
        <w:t xml:space="preserve"> / 7.</w:t>
      </w:r>
      <w:r w:rsidRPr="00C9040A">
        <w:rPr>
          <w:rtl/>
          <w:lang w:bidi="fa-IR"/>
        </w:rPr>
        <w:t xml:space="preserve"> عِدَّةٌ مِنْ أَصْحَابِنَا ، عَنْ أَحْمَدَ بْنِ مُحَمَّدِ بْنِ خَالِدٍ ، عَنْ بَعْضِ أَصْحَابِهِ ، عَنْ صَالِحِ بْنِ حَمْزَةَ رَفَعَهُ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إِنَّ مِنَ الْعِبَادَةِ شِدَّةَ الْخَوْفِ مِنَ اللهِ عَزَّ وَجَلَّ ، يَقُولُ اللهُ عَزَّ وَجَلَّ : </w:t>
      </w:r>
      <w:r w:rsidRPr="0003660B">
        <w:rPr>
          <w:rStyle w:val="libAlaemChar"/>
          <w:rtl/>
        </w:rPr>
        <w:t>(</w:t>
      </w:r>
      <w:r w:rsidRPr="006A2246">
        <w:rPr>
          <w:rStyle w:val="libAieChar"/>
          <w:rtl/>
        </w:rPr>
        <w:t xml:space="preserve"> إِنَّما يَخْشَى اللهَ مِنْ عِبادِهِ الْعُلَماءُ </w:t>
      </w:r>
      <w:r w:rsidRPr="0003660B">
        <w:rPr>
          <w:rStyle w:val="libAlaemChar"/>
          <w:rtl/>
        </w:rPr>
        <w:t>)</w:t>
      </w:r>
      <w:r w:rsidRPr="00C9040A">
        <w:rPr>
          <w:rtl/>
          <w:lang w:bidi="fa-IR"/>
        </w:rPr>
        <w:t xml:space="preserve"> </w:t>
      </w:r>
      <w:r w:rsidR="006C577F" w:rsidRPr="006C577F">
        <w:rPr>
          <w:rStyle w:val="libFootnotenumChar"/>
          <w:rtl/>
        </w:rPr>
        <w:t>(9)</w:t>
      </w:r>
      <w:r w:rsidRPr="00C9040A">
        <w:rPr>
          <w:rtl/>
          <w:lang w:bidi="fa-IR"/>
        </w:rPr>
        <w:t xml:space="preserve"> وَقَالَ جَلَّ ثَنَاؤُهُ : </w:t>
      </w:r>
      <w:r w:rsidRPr="0003660B">
        <w:rPr>
          <w:rStyle w:val="libAlaemChar"/>
          <w:rtl/>
        </w:rPr>
        <w:t>(</w:t>
      </w:r>
      <w:r w:rsidRPr="006A2246">
        <w:rPr>
          <w:rStyle w:val="libAieChar"/>
          <w:rtl/>
        </w:rPr>
        <w:t xml:space="preserve"> فَلا تَخْشَوُا النّاسَ وَاخْشَوْنِ </w:t>
      </w:r>
      <w:r w:rsidRPr="0003660B">
        <w:rPr>
          <w:rStyle w:val="libAlaemChar"/>
          <w:rtl/>
        </w:rPr>
        <w:t>)</w:t>
      </w:r>
      <w:r w:rsidRPr="00C9040A">
        <w:rPr>
          <w:rtl/>
          <w:lang w:bidi="fa-IR"/>
        </w:rPr>
        <w:t xml:space="preserve"> </w:t>
      </w:r>
      <w:r w:rsidR="006C577F" w:rsidRPr="006C577F">
        <w:rPr>
          <w:rStyle w:val="libFootnotenumChar"/>
          <w:rtl/>
        </w:rPr>
        <w:t>(10)</w:t>
      </w:r>
      <w:r w:rsidRPr="00C9040A">
        <w:rPr>
          <w:rtl/>
          <w:lang w:bidi="fa-IR"/>
        </w:rPr>
        <w:t xml:space="preserve"> وَقَالَ تَبَارَكَ وَتَعَالى : </w:t>
      </w:r>
      <w:r w:rsidRPr="0003660B">
        <w:rPr>
          <w:rStyle w:val="libAlaemChar"/>
          <w:rtl/>
        </w:rPr>
        <w:t>(</w:t>
      </w:r>
      <w:r w:rsidRPr="006A2246">
        <w:rPr>
          <w:rStyle w:val="libAieChar"/>
          <w:rtl/>
        </w:rPr>
        <w:t xml:space="preserve"> وَمَنْ يَتَّقِ اللهَ يَجْعَلْ لَهُ مَخْرَجاً </w:t>
      </w:r>
      <w:r w:rsidRPr="0003660B">
        <w:rPr>
          <w:rStyle w:val="libAlaemChar"/>
          <w:rtl/>
        </w:rPr>
        <w:t>)</w:t>
      </w:r>
      <w:r w:rsidRPr="00C9040A">
        <w:rPr>
          <w:rtl/>
          <w:lang w:bidi="fa-IR"/>
        </w:rPr>
        <w:t xml:space="preserve"> </w:t>
      </w:r>
      <w:r w:rsidR="006C577F" w:rsidRPr="006C577F">
        <w:rPr>
          <w:rStyle w:val="libFootnotenumChar"/>
          <w:rtl/>
        </w:rPr>
        <w:t>(11)</w:t>
      </w:r>
      <w:r w:rsidRPr="00C9040A">
        <w:rPr>
          <w:rtl/>
          <w:lang w:bidi="fa-IR"/>
        </w:rPr>
        <w:t xml:space="preserve"> قَالَ : وَقَالَ أَبُو عَبْدِ اللهِ </w:t>
      </w:r>
      <w:r w:rsidRPr="0003660B">
        <w:rPr>
          <w:rStyle w:val="libAlaemChar"/>
          <w:rtl/>
        </w:rPr>
        <w:t>عليه‌السلام</w:t>
      </w:r>
      <w:r w:rsidRPr="00C9040A">
        <w:rPr>
          <w:rtl/>
          <w:lang w:bidi="fa-IR"/>
        </w:rPr>
        <w:t xml:space="preserve"> : « إِنَّ‌</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 د ، ز ، ص ، ف » والوسائل </w:t>
      </w:r>
      <w:r w:rsidR="008A74EB">
        <w:rPr>
          <w:rtl/>
        </w:rPr>
        <w:t xml:space="preserve">: </w:t>
      </w:r>
      <w:r w:rsidR="0084262C">
        <w:rPr>
          <w:rtl/>
        </w:rPr>
        <w:t>-</w:t>
      </w:r>
      <w:r w:rsidR="008A74EB" w:rsidRPr="00C9040A">
        <w:rPr>
          <w:rtl/>
        </w:rPr>
        <w:t xml:space="preserve"> « إنّ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بر » : « شيئاً » بدل « من شي‌ء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w:t>
      </w:r>
      <w:r w:rsidR="008A74EB" w:rsidRPr="00993B55">
        <w:rPr>
          <w:rStyle w:val="libFootnoteBoldChar"/>
          <w:rtl/>
        </w:rPr>
        <w:t>تحف العقول</w:t>
      </w:r>
      <w:r w:rsidR="008A74EB" w:rsidRPr="00C9040A">
        <w:rPr>
          <w:rtl/>
        </w:rPr>
        <w:t xml:space="preserve"> ، ص 362 </w:t>
      </w:r>
      <w:r w:rsidR="000F718E">
        <w:rPr>
          <w:rFonts w:hint="cs"/>
          <w:rtl/>
        </w:rPr>
        <w:t>.</w:t>
      </w:r>
      <w:r w:rsidR="008A74EB" w:rsidRPr="00993B55">
        <w:rPr>
          <w:rStyle w:val="libFootnoteBoldChar"/>
          <w:rtl/>
        </w:rPr>
        <w:t>الوافي</w:t>
      </w:r>
      <w:r w:rsidR="008A74EB" w:rsidRPr="00C9040A">
        <w:rPr>
          <w:rtl/>
        </w:rPr>
        <w:t xml:space="preserve"> ، ج 4 ، ص 288 ، ح 1960 ؛ </w:t>
      </w:r>
      <w:r w:rsidR="008A74EB" w:rsidRPr="00993B55">
        <w:rPr>
          <w:rStyle w:val="libFootnoteBoldChar"/>
          <w:rtl/>
        </w:rPr>
        <w:t>الوسائل</w:t>
      </w:r>
      <w:r w:rsidR="008A74EB" w:rsidRPr="00C9040A">
        <w:rPr>
          <w:rtl/>
        </w:rPr>
        <w:t xml:space="preserve"> ، ج 15 ، ص 216 ، ح 20312 ؛ </w:t>
      </w:r>
      <w:r w:rsidR="008A74EB" w:rsidRPr="00993B55">
        <w:rPr>
          <w:rStyle w:val="libFootnoteBoldChar"/>
          <w:rtl/>
        </w:rPr>
        <w:t>البحار</w:t>
      </w:r>
      <w:r w:rsidR="008A74EB" w:rsidRPr="00C9040A">
        <w:rPr>
          <w:rtl/>
        </w:rPr>
        <w:t xml:space="preserve"> ، ج 70 ، ص 357 ، ح 4.</w:t>
      </w:r>
    </w:p>
    <w:p w:rsidR="008A74EB" w:rsidRPr="004A4E41" w:rsidRDefault="006C577F" w:rsidP="004A4E41">
      <w:pPr>
        <w:pStyle w:val="libFootnote0"/>
        <w:rPr>
          <w:rStyle w:val="libFootnote0Char"/>
          <w:rtl/>
        </w:rPr>
      </w:pPr>
      <w:r>
        <w:rPr>
          <w:rtl/>
        </w:rPr>
        <w:t>(4).</w:t>
      </w:r>
      <w:r w:rsidR="008A74EB" w:rsidRPr="00C9040A">
        <w:rPr>
          <w:rtl/>
        </w:rPr>
        <w:t xml:space="preserve"> في « ص » : « قال »</w:t>
      </w:r>
      <w:r w:rsidR="008A74EB">
        <w:rPr>
          <w:rtl/>
        </w:rPr>
        <w:t>.</w:t>
      </w:r>
    </w:p>
    <w:tbl>
      <w:tblPr>
        <w:tblStyle w:val="TableGrid"/>
        <w:bidiVisual/>
        <w:tblW w:w="0" w:type="auto"/>
        <w:tblLook w:val="04A0" w:firstRow="1" w:lastRow="0" w:firstColumn="1" w:lastColumn="0" w:noHBand="0" w:noVBand="1"/>
      </w:tblPr>
      <w:tblGrid>
        <w:gridCol w:w="4006"/>
        <w:gridCol w:w="4006"/>
      </w:tblGrid>
      <w:tr w:rsidR="000F718E" w:rsidTr="000F718E">
        <w:tc>
          <w:tcPr>
            <w:tcW w:w="4006" w:type="dxa"/>
          </w:tcPr>
          <w:p w:rsidR="000F718E" w:rsidRDefault="000F718E" w:rsidP="004A4E41">
            <w:pPr>
              <w:pStyle w:val="libFootnote0"/>
              <w:rPr>
                <w:rtl/>
              </w:rPr>
            </w:pPr>
            <w:r>
              <w:rPr>
                <w:rtl/>
              </w:rPr>
              <w:t>(5).</w:t>
            </w:r>
            <w:r w:rsidRPr="00C9040A">
              <w:rPr>
                <w:rtl/>
              </w:rPr>
              <w:t xml:space="preserve"> في « ب » : « أقوام »</w:t>
            </w:r>
            <w:r>
              <w:rPr>
                <w:rtl/>
              </w:rPr>
              <w:t>.</w:t>
            </w:r>
          </w:p>
        </w:tc>
        <w:tc>
          <w:tcPr>
            <w:tcW w:w="4006" w:type="dxa"/>
          </w:tcPr>
          <w:p w:rsidR="000F718E" w:rsidRDefault="000F718E" w:rsidP="004A4E41">
            <w:pPr>
              <w:pStyle w:val="libFootnote0"/>
              <w:rPr>
                <w:rtl/>
              </w:rPr>
            </w:pPr>
            <w:r>
              <w:rPr>
                <w:rtl/>
              </w:rPr>
              <w:t xml:space="preserve">(6). </w:t>
            </w:r>
            <w:r w:rsidRPr="00C9040A">
              <w:rPr>
                <w:rtl/>
              </w:rPr>
              <w:t>في « ز » : « لهم »</w:t>
            </w:r>
            <w:r>
              <w:rPr>
                <w:rtl/>
              </w:rPr>
              <w:t>.</w:t>
            </w:r>
          </w:p>
        </w:tc>
      </w:tr>
    </w:tbl>
    <w:p w:rsidR="008A74EB" w:rsidRPr="00C9040A" w:rsidRDefault="006C577F" w:rsidP="004A4E41">
      <w:pPr>
        <w:pStyle w:val="libFootnote0"/>
        <w:rPr>
          <w:rtl/>
          <w:lang w:bidi="fa-IR"/>
        </w:rPr>
      </w:pPr>
      <w:r>
        <w:rPr>
          <w:rtl/>
        </w:rPr>
        <w:t>(7).</w:t>
      </w:r>
      <w:r w:rsidR="008A74EB" w:rsidRPr="00C9040A">
        <w:rPr>
          <w:rtl/>
        </w:rPr>
        <w:t xml:space="preserve"> في « د ، ز ، ص ، بس ، بف » وحاشية « ض » : « شيئاً » بدل « من شي‌ء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ج 8 ، ص 36 : « الأحاديث الواردة في سعة عفو الله سبحانه وجزيل رحمته ووفور مغفرته كثيرة جدّاً ، ولكن لابدّ لمن يرجوها ويتوقّعها من العمل الخالص المعدّ لحصولها ، وترك الانهماك في المعاصي المفوّت لهذا الاستعداد ، فاحذر أن يغرّك الشيطان ويثبّطك عن العمل ويقنعك بمحض الرجاء والأمل ، وانظر إلى حال الأنبياء والأولياء واجتهادهم في الطاعات وصرفهم العمر في العبادات ليلاً ونهاراً ، أما كانوا يرجون عفو الله ورحمته</w:t>
      </w:r>
      <w:r w:rsidR="008A74EB">
        <w:rPr>
          <w:rtl/>
        </w:rPr>
        <w:t>؟</w:t>
      </w:r>
      <w:r w:rsidR="008A74EB" w:rsidRPr="00C9040A">
        <w:rPr>
          <w:rtl/>
        </w:rPr>
        <w:t xml:space="preserve"> بلى والله ، إنّهم كانوا أعلم بسعة رحمته ، وأرجى لها منك ومن كلّ أحد ، ولكن علموا أنّ رجاء الرحمة من دون العمل غرورٌ محض وسفهٌ بحت ؛ فصرفوا في العبادات أعمارهم ، وقصروا على الطاعات ليلهم ونهارهم »</w:t>
      </w:r>
      <w:r w:rsidR="008A74EB">
        <w:rPr>
          <w:rtl/>
        </w:rPr>
        <w:t>.</w:t>
      </w:r>
    </w:p>
    <w:p w:rsidR="008A74EB" w:rsidRPr="004A4E41" w:rsidRDefault="006C577F" w:rsidP="004A4E41">
      <w:pPr>
        <w:pStyle w:val="libFootnote0"/>
        <w:rPr>
          <w:rStyle w:val="libFootnote0Char"/>
          <w:rtl/>
        </w:rPr>
      </w:pPr>
      <w:r>
        <w:rPr>
          <w:rtl/>
        </w:rPr>
        <w:t>(8).</w:t>
      </w:r>
      <w:r w:rsidR="008A74EB" w:rsidRPr="00C9040A">
        <w:rPr>
          <w:rtl/>
        </w:rPr>
        <w:t xml:space="preserve"> </w:t>
      </w:r>
      <w:r w:rsidR="008A74EB" w:rsidRPr="00993B55">
        <w:rPr>
          <w:rStyle w:val="libFootnoteBoldChar"/>
          <w:rtl/>
        </w:rPr>
        <w:t>الوافي</w:t>
      </w:r>
      <w:r w:rsidR="008A74EB" w:rsidRPr="00C9040A">
        <w:rPr>
          <w:rtl/>
        </w:rPr>
        <w:t xml:space="preserve"> ، ج 4 ، ص 289 ، ح 1961 ؛ </w:t>
      </w:r>
      <w:r w:rsidR="008A74EB" w:rsidRPr="00993B55">
        <w:rPr>
          <w:rStyle w:val="libFootnoteBoldChar"/>
          <w:rtl/>
        </w:rPr>
        <w:t>الوسائل</w:t>
      </w:r>
      <w:r w:rsidR="008A74EB" w:rsidRPr="00C9040A">
        <w:rPr>
          <w:rtl/>
        </w:rPr>
        <w:t xml:space="preserve"> ، ج 15 ، ص 216 ، ح 20313 ؛ </w:t>
      </w:r>
      <w:r w:rsidR="008A74EB" w:rsidRPr="00993B55">
        <w:rPr>
          <w:rStyle w:val="libFootnoteBoldChar"/>
          <w:rtl/>
        </w:rPr>
        <w:t>البحار</w:t>
      </w:r>
      <w:r w:rsidR="008A74EB" w:rsidRPr="00C9040A">
        <w:rPr>
          <w:rtl/>
        </w:rPr>
        <w:t xml:space="preserve"> ، ج 70 ، ص 357 ، ذيل ح 4.</w:t>
      </w:r>
    </w:p>
    <w:tbl>
      <w:tblPr>
        <w:tblStyle w:val="TableGrid"/>
        <w:bidiVisual/>
        <w:tblW w:w="0" w:type="auto"/>
        <w:tblLook w:val="04A0" w:firstRow="1" w:lastRow="0" w:firstColumn="1" w:lastColumn="0" w:noHBand="0" w:noVBand="1"/>
      </w:tblPr>
      <w:tblGrid>
        <w:gridCol w:w="4006"/>
        <w:gridCol w:w="4006"/>
      </w:tblGrid>
      <w:tr w:rsidR="002440BE" w:rsidTr="002440BE">
        <w:tc>
          <w:tcPr>
            <w:tcW w:w="4006" w:type="dxa"/>
          </w:tcPr>
          <w:p w:rsidR="002440BE" w:rsidRDefault="002440BE" w:rsidP="004A4E41">
            <w:pPr>
              <w:pStyle w:val="libFootnote0"/>
              <w:rPr>
                <w:rtl/>
              </w:rPr>
            </w:pPr>
            <w:r>
              <w:rPr>
                <w:rtl/>
              </w:rPr>
              <w:t>(9).</w:t>
            </w:r>
            <w:r w:rsidRPr="00C9040A">
              <w:rPr>
                <w:rtl/>
              </w:rPr>
              <w:t xml:space="preserve"> فاطر (35) : 28.</w:t>
            </w:r>
          </w:p>
        </w:tc>
        <w:tc>
          <w:tcPr>
            <w:tcW w:w="4006" w:type="dxa"/>
          </w:tcPr>
          <w:p w:rsidR="002440BE" w:rsidRDefault="002440BE" w:rsidP="004A4E41">
            <w:pPr>
              <w:pStyle w:val="libFootnote0"/>
              <w:rPr>
                <w:rtl/>
              </w:rPr>
            </w:pPr>
            <w:r>
              <w:rPr>
                <w:rtl/>
              </w:rPr>
              <w:t>(10).</w:t>
            </w:r>
            <w:r w:rsidRPr="00C9040A">
              <w:rPr>
                <w:rtl/>
              </w:rPr>
              <w:t xml:space="preserve"> المائدة </w:t>
            </w:r>
            <w:r>
              <w:rPr>
                <w:rtl/>
              </w:rPr>
              <w:t>(5).</w:t>
            </w:r>
            <w:r w:rsidRPr="00C9040A">
              <w:rPr>
                <w:rtl/>
              </w:rPr>
              <w:t xml:space="preserve"> : 44.</w:t>
            </w:r>
          </w:p>
        </w:tc>
      </w:tr>
    </w:tbl>
    <w:p w:rsidR="008A74EB" w:rsidRPr="00C9040A" w:rsidRDefault="006C577F" w:rsidP="004A4E41">
      <w:pPr>
        <w:pStyle w:val="libFootnote0"/>
        <w:rPr>
          <w:rtl/>
          <w:lang w:bidi="fa-IR"/>
        </w:rPr>
      </w:pPr>
      <w:r>
        <w:rPr>
          <w:rtl/>
        </w:rPr>
        <w:t>(11).</w:t>
      </w:r>
      <w:r w:rsidR="008A74EB" w:rsidRPr="00C9040A">
        <w:rPr>
          <w:rtl/>
        </w:rPr>
        <w:t xml:space="preserve"> الطلاق (65) : 2. وفي « ج » : + </w:t>
      </w:r>
      <w:r w:rsidR="00214C09" w:rsidRPr="00AC2E2F">
        <w:rPr>
          <w:rStyle w:val="libFootnoteAlaemChar"/>
          <w:rFonts w:hint="cs"/>
          <w:rtl/>
        </w:rPr>
        <w:t>(</w:t>
      </w:r>
      <w:r w:rsidR="008A74EB" w:rsidRPr="00C9040A">
        <w:rPr>
          <w:rtl/>
        </w:rPr>
        <w:t xml:space="preserve"> </w:t>
      </w:r>
      <w:r w:rsidR="008A74EB" w:rsidRPr="00214C09">
        <w:rPr>
          <w:rStyle w:val="libFootnoteAieChar"/>
          <w:rtl/>
        </w:rPr>
        <w:t>وَيَرْزُقْهُ مِنْ حَيْثُ لَايَحْتَسِبُ</w:t>
      </w:r>
      <w:r w:rsidR="008A74EB" w:rsidRPr="00C9040A">
        <w:rPr>
          <w:rtl/>
        </w:rPr>
        <w:t xml:space="preserve"> </w:t>
      </w:r>
      <w:r w:rsidR="00214C09" w:rsidRPr="00AC2E2F">
        <w:rPr>
          <w:rStyle w:val="libFootnoteAlaemChar"/>
          <w:rFonts w:hint="cs"/>
          <w:rtl/>
        </w:rPr>
        <w:t>)</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حُبَّ الشَّرَفِ وَالذِّكْرِ لَايَكُونَانِ فِي قَلْبِ الْخَائِفِ الرَّاهِبِ »</w:t>
      </w:r>
      <w:r>
        <w:rPr>
          <w:rtl/>
          <w:lang w:bidi="fa-IR"/>
        </w:rPr>
        <w:t>.</w:t>
      </w:r>
      <w:r w:rsidRPr="00C9040A">
        <w:rPr>
          <w:rtl/>
          <w:lang w:bidi="fa-IR"/>
        </w:rPr>
        <w:t xml:space="preserve"> </w:t>
      </w:r>
      <w:r w:rsidR="006C577F" w:rsidRPr="006C577F">
        <w:rPr>
          <w:rStyle w:val="libFootnotenumChar"/>
          <w:rtl/>
        </w:rPr>
        <w:t>(1)</w:t>
      </w:r>
      <w:r w:rsidRPr="00C9040A">
        <w:rPr>
          <w:rtl/>
          <w:lang w:bidi="fa-IR"/>
        </w:rPr>
        <w:t>‌</w:t>
      </w:r>
    </w:p>
    <w:p w:rsidR="008A74EB" w:rsidRPr="00C9040A" w:rsidRDefault="008A74EB" w:rsidP="008A74EB">
      <w:pPr>
        <w:pStyle w:val="libNormal"/>
        <w:rPr>
          <w:rtl/>
          <w:lang w:bidi="fa-IR"/>
        </w:rPr>
      </w:pPr>
      <w:r w:rsidRPr="00755654">
        <w:rPr>
          <w:rtl/>
        </w:rPr>
        <w:t>1606</w:t>
      </w:r>
      <w:r w:rsidRPr="00261CB0">
        <w:rPr>
          <w:rStyle w:val="libBold2Char"/>
          <w:rtl/>
        </w:rPr>
        <w:t xml:space="preserve"> / 8.</w:t>
      </w:r>
      <w:r w:rsidRPr="00C9040A">
        <w:rPr>
          <w:rtl/>
          <w:lang w:bidi="fa-IR"/>
        </w:rPr>
        <w:t xml:space="preserve"> عَلِيُّ بْنُ إِبْرَاهِيمَ ، عَنْ أَحْمَدَ بْنِ مُحَمَّدِ بْنِ خَالِدٍ ، عَنِ الْحَسَنِ بْنِ الْحُسَيْنِ ، عَنْ مُحَمَّدِ بْنِ سِنَانٍ ، عَنْ أَبِي سَعِيدٍ الْمُكَارِي ، عَنْ أَبِي حَمْزَةَ الثُّمَالِيِّ :</w:t>
      </w:r>
    </w:p>
    <w:p w:rsidR="008A74EB" w:rsidRPr="00C9040A" w:rsidRDefault="008A74EB" w:rsidP="008A74EB">
      <w:pPr>
        <w:pStyle w:val="libNormal"/>
        <w:rPr>
          <w:rtl/>
          <w:lang w:bidi="fa-IR"/>
        </w:rPr>
      </w:pPr>
      <w:r w:rsidRPr="00C9040A">
        <w:rPr>
          <w:rtl/>
          <w:lang w:bidi="fa-IR"/>
        </w:rPr>
        <w:t xml:space="preserve">عَنْ عَلِيِّ بْنِ الْحُسَيْنِ صَلَوَاتُ اللهِ عَلَيْهِمَا ، قَالَ </w:t>
      </w:r>
      <w:r w:rsidR="006C577F" w:rsidRPr="006C577F">
        <w:rPr>
          <w:rStyle w:val="libFootnotenumChar"/>
          <w:rtl/>
        </w:rPr>
        <w:t>(2)</w:t>
      </w:r>
      <w:r w:rsidRPr="00C9040A">
        <w:rPr>
          <w:rtl/>
          <w:lang w:bidi="fa-IR"/>
        </w:rPr>
        <w:t xml:space="preserve"> : « إِنَّ رَجُلاً رَكِبَ الْبَحْرَ بِأَهْلِهِ ، فَكُسِرَ بِهِمْ ، فَلَمْ يَنْجُ مِمَّ</w:t>
      </w:r>
      <w:r w:rsidR="001133F5">
        <w:rPr>
          <w:rtl/>
          <w:lang w:bidi="fa-IR"/>
        </w:rPr>
        <w:t>نْ كَانَ فِي السَّفِينَةِ إِل</w:t>
      </w:r>
      <w:r w:rsidR="001133F5">
        <w:rPr>
          <w:rFonts w:hint="cs"/>
          <w:rtl/>
          <w:lang w:bidi="fa-IR"/>
        </w:rPr>
        <w:t>َّ</w:t>
      </w:r>
      <w:r w:rsidR="001133F5">
        <w:rPr>
          <w:rtl/>
          <w:lang w:bidi="fa-IR"/>
        </w:rPr>
        <w:t>ا</w:t>
      </w:r>
      <w:r w:rsidRPr="00C9040A">
        <w:rPr>
          <w:rtl/>
          <w:lang w:bidi="fa-IR"/>
        </w:rPr>
        <w:t xml:space="preserve"> امْرَأَةُ الرَّجُلِ ؛ فَإِنَّهَا نَجَتْ عَلى لَوْحٍ مِنْ أَلْوَاحِ السَّفِينَةِ حَتّى أَلْجَأَتْ </w:t>
      </w:r>
      <w:r w:rsidR="006C577F" w:rsidRPr="006C577F">
        <w:rPr>
          <w:rStyle w:val="libFootnotenumChar"/>
          <w:rtl/>
        </w:rPr>
        <w:t>(3)</w:t>
      </w:r>
      <w:r w:rsidRPr="00C9040A">
        <w:rPr>
          <w:rtl/>
          <w:lang w:bidi="fa-IR"/>
        </w:rPr>
        <w:t xml:space="preserve"> عَلى </w:t>
      </w:r>
      <w:r w:rsidR="006C577F" w:rsidRPr="006C577F">
        <w:rPr>
          <w:rStyle w:val="libFootnotenumChar"/>
          <w:rtl/>
        </w:rPr>
        <w:t>(4)</w:t>
      </w:r>
      <w:r w:rsidRPr="00C9040A">
        <w:rPr>
          <w:rtl/>
          <w:lang w:bidi="fa-IR"/>
        </w:rPr>
        <w:t xml:space="preserve"> جَزِيرَةٍ مِنْ جَزَائِرِ الْبَحْرِ ، وَكَانَ فِي تِلْكَ الْجَزِيرَةِ رَجُلٌ يَقْطَعُ الطَّرِيقَ ، وَلَمْ يَدَعْ لِلّهِ </w:t>
      </w:r>
      <w:r w:rsidR="006C577F" w:rsidRPr="006C577F">
        <w:rPr>
          <w:rStyle w:val="libFootnotenumChar"/>
          <w:rtl/>
        </w:rPr>
        <w:t>(5)</w:t>
      </w:r>
      <w:r w:rsidR="001133F5">
        <w:rPr>
          <w:rtl/>
          <w:lang w:bidi="fa-IR"/>
        </w:rPr>
        <w:t xml:space="preserve"> حُرْمَةً إِل</w:t>
      </w:r>
      <w:r w:rsidR="001133F5">
        <w:rPr>
          <w:rFonts w:hint="cs"/>
          <w:rtl/>
          <w:lang w:bidi="fa-IR"/>
        </w:rPr>
        <w:t>َّ</w:t>
      </w:r>
      <w:r w:rsidR="001133F5">
        <w:rPr>
          <w:rtl/>
          <w:lang w:bidi="fa-IR"/>
        </w:rPr>
        <w:t>ا</w:t>
      </w:r>
      <w:r w:rsidRPr="00C9040A">
        <w:rPr>
          <w:rtl/>
          <w:lang w:bidi="fa-IR"/>
        </w:rPr>
        <w:t xml:space="preserve"> انْتَ</w:t>
      </w:r>
      <w:r w:rsidR="001133F5">
        <w:rPr>
          <w:rtl/>
          <w:lang w:bidi="fa-IR"/>
        </w:rPr>
        <w:t>هَكَهَا ، فَلَمْ يَعْلَمْ إِل</w:t>
      </w:r>
      <w:r w:rsidR="001133F5">
        <w:rPr>
          <w:rFonts w:hint="cs"/>
          <w:rtl/>
          <w:lang w:bidi="fa-IR"/>
        </w:rPr>
        <w:t>َّ</w:t>
      </w:r>
      <w:r w:rsidR="001133F5">
        <w:rPr>
          <w:rtl/>
          <w:lang w:bidi="fa-IR"/>
        </w:rPr>
        <w:t>ا</w:t>
      </w:r>
      <w:r w:rsidRPr="00C9040A">
        <w:rPr>
          <w:rtl/>
          <w:lang w:bidi="fa-IR"/>
        </w:rPr>
        <w:t xml:space="preserve"> وَالْمَرْأَةُ قَائِمَةٌ عَلى رَأْسِهِ ، فَرَفَعَ رَأْسَهُ إِلَيْهَا ، فَقَالَ </w:t>
      </w:r>
      <w:r w:rsidR="006C577F" w:rsidRPr="006C577F">
        <w:rPr>
          <w:rStyle w:val="libFootnotenumChar"/>
          <w:rtl/>
        </w:rPr>
        <w:t>(6)</w:t>
      </w:r>
      <w:r w:rsidRPr="005B567D">
        <w:rPr>
          <w:rStyle w:val="libFootnotenumChar"/>
          <w:rtl/>
        </w:rPr>
        <w:t xml:space="preserve"> </w:t>
      </w:r>
      <w:r w:rsidRPr="00C9040A">
        <w:rPr>
          <w:rtl/>
          <w:lang w:bidi="fa-IR"/>
        </w:rPr>
        <w:t>: إِنْسِيَّةٌ أَمْ جِنِّيَّةٌ</w:t>
      </w:r>
      <w:r>
        <w:rPr>
          <w:rtl/>
          <w:lang w:bidi="fa-IR"/>
        </w:rPr>
        <w:t>؟</w:t>
      </w:r>
      <w:r w:rsidRPr="00C9040A">
        <w:rPr>
          <w:rtl/>
          <w:lang w:bidi="fa-IR"/>
        </w:rPr>
        <w:t xml:space="preserve"> فَقَالَتْ : إِنْسِيَّةٌ ، فَلَمْ يُكَلِّمْهَا كَلِمَةً </w:t>
      </w:r>
      <w:r w:rsidR="006C577F" w:rsidRPr="006C577F">
        <w:rPr>
          <w:rStyle w:val="libFootnotenumChar"/>
          <w:rtl/>
        </w:rPr>
        <w:t>(7)</w:t>
      </w:r>
      <w:r w:rsidRPr="00C9040A">
        <w:rPr>
          <w:rtl/>
          <w:lang w:bidi="fa-IR"/>
        </w:rPr>
        <w:t xml:space="preserve"> حَتّى جَلَسَ مِنْهَا مَجْلِسَ الرَّجُلِ مِنْ أَهْلِهِ ، فَلَمَّا أَنْ هَمَّ بِهَا اضْطَرَبَتْ ، فَقَالَ لَهَا : مَا لَكِ تَضْطَرِبِينَ</w:t>
      </w:r>
      <w:r>
        <w:rPr>
          <w:rtl/>
          <w:lang w:bidi="fa-IR"/>
        </w:rPr>
        <w:t>؟</w:t>
      </w:r>
      <w:r w:rsidRPr="00C9040A">
        <w:rPr>
          <w:rtl/>
          <w:lang w:bidi="fa-IR"/>
        </w:rPr>
        <w:t xml:space="preserve"> فَقَالَتْ : أَفْرَقُ </w:t>
      </w:r>
      <w:r w:rsidR="006C577F" w:rsidRPr="006C577F">
        <w:rPr>
          <w:rStyle w:val="libFootnotenumChar"/>
          <w:rtl/>
        </w:rPr>
        <w:t>(8)</w:t>
      </w:r>
      <w:r w:rsidRPr="00C9040A">
        <w:rPr>
          <w:rtl/>
          <w:lang w:bidi="fa-IR"/>
        </w:rPr>
        <w:t xml:space="preserve"> مِنْ هذَا ، وَأَوْمَأَتْ بِيَدِهَا إِلَى السَّمَاءِ.</w:t>
      </w:r>
    </w:p>
    <w:p w:rsidR="008A74EB" w:rsidRPr="00C9040A" w:rsidRDefault="008A74EB" w:rsidP="008A74EB">
      <w:pPr>
        <w:pStyle w:val="libNormal"/>
        <w:rPr>
          <w:rtl/>
          <w:lang w:bidi="fa-IR"/>
        </w:rPr>
      </w:pPr>
      <w:r w:rsidRPr="00C9040A">
        <w:rPr>
          <w:rtl/>
          <w:lang w:bidi="fa-IR"/>
        </w:rPr>
        <w:t xml:space="preserve">قَالَ </w:t>
      </w:r>
      <w:r w:rsidR="006C577F" w:rsidRPr="006C577F">
        <w:rPr>
          <w:rStyle w:val="libFootnotenumChar"/>
          <w:rtl/>
        </w:rPr>
        <w:t>(9)</w:t>
      </w:r>
      <w:r w:rsidRPr="00C9040A">
        <w:rPr>
          <w:rtl/>
          <w:lang w:bidi="fa-IR"/>
        </w:rPr>
        <w:t xml:space="preserve"> : فَصَنَعْتِ مِنْ هذَا شَيْئاً</w:t>
      </w:r>
      <w:r>
        <w:rPr>
          <w:rtl/>
          <w:lang w:bidi="fa-IR"/>
        </w:rPr>
        <w:t>؟</w:t>
      </w:r>
      <w:r w:rsidRPr="00C9040A">
        <w:rPr>
          <w:rtl/>
          <w:lang w:bidi="fa-IR"/>
        </w:rPr>
        <w:t xml:space="preserve"> قَالَتْ </w:t>
      </w:r>
      <w:r w:rsidR="006C577F" w:rsidRPr="006C577F">
        <w:rPr>
          <w:rStyle w:val="libFootnotenumChar"/>
          <w:rtl/>
        </w:rPr>
        <w:t>(10)</w:t>
      </w:r>
      <w:r w:rsidRPr="00C9040A">
        <w:rPr>
          <w:rtl/>
          <w:lang w:bidi="fa-IR"/>
        </w:rPr>
        <w:t xml:space="preserve"> : لَاوَعِزَّتِهِ ، قَالَ : فَأَنْتِ تَفْرَقِينَ مِنْهُ </w:t>
      </w:r>
      <w:r w:rsidR="006C577F" w:rsidRPr="006C577F">
        <w:rPr>
          <w:rStyle w:val="libFootnotenumChar"/>
          <w:rtl/>
        </w:rPr>
        <w:t>(11)</w:t>
      </w:r>
      <w:r w:rsidRPr="00C9040A">
        <w:rPr>
          <w:rtl/>
          <w:lang w:bidi="fa-IR"/>
        </w:rPr>
        <w:t xml:space="preserve"> هذَا الْفَرَقَ وَلَمْ تَصْنَعِي مِنْ هذَا شَيْئاً وَإِنَّمَا اسْتَكْرَهْتُكِ </w:t>
      </w:r>
      <w:r w:rsidR="006C577F" w:rsidRPr="006C577F">
        <w:rPr>
          <w:rStyle w:val="libFootnotenumChar"/>
          <w:rtl/>
        </w:rPr>
        <w:t>(12)</w:t>
      </w:r>
      <w:r w:rsidRPr="00C9040A">
        <w:rPr>
          <w:rtl/>
          <w:lang w:bidi="fa-IR"/>
        </w:rPr>
        <w:t xml:space="preserve"> اسْتِكْرَاهاً ، فَأَنَا وَ</w:t>
      </w:r>
      <w:r w:rsidR="001133F5">
        <w:rPr>
          <w:rFonts w:hint="cs"/>
          <w:rtl/>
          <w:lang w:bidi="fa-IR"/>
        </w:rPr>
        <w:t xml:space="preserve"> </w:t>
      </w:r>
      <w:r w:rsidRPr="00C9040A">
        <w:rPr>
          <w:rtl/>
          <w:lang w:bidi="fa-IR"/>
        </w:rPr>
        <w:t>اللهِ أَوْلى بِهذَا الْفَرَقِ وَالْخَوْفِ وَأَحَقُّ مِنْكِ.</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w:t>
      </w:r>
      <w:r w:rsidR="008A74EB" w:rsidRPr="00993B55">
        <w:rPr>
          <w:rStyle w:val="libFootnoteBoldChar"/>
          <w:rtl/>
        </w:rPr>
        <w:t>الوافي</w:t>
      </w:r>
      <w:r w:rsidR="008A74EB" w:rsidRPr="00C9040A">
        <w:rPr>
          <w:rtl/>
        </w:rPr>
        <w:t xml:space="preserve"> ، ج 4 ، ص 292 ، ح 1965 ؛ </w:t>
      </w:r>
      <w:r w:rsidR="008A74EB" w:rsidRPr="00993B55">
        <w:rPr>
          <w:rStyle w:val="libFootnoteBoldChar"/>
          <w:rtl/>
        </w:rPr>
        <w:t>الوسائل</w:t>
      </w:r>
      <w:r w:rsidR="008A74EB" w:rsidRPr="00C9040A">
        <w:rPr>
          <w:rtl/>
        </w:rPr>
        <w:t xml:space="preserve"> ، ج 15 ، ص 220 ، ح 20326 ؛ </w:t>
      </w:r>
      <w:r w:rsidR="008A74EB" w:rsidRPr="00993B55">
        <w:rPr>
          <w:rStyle w:val="libFootnoteBoldChar"/>
          <w:rtl/>
        </w:rPr>
        <w:t>البحار</w:t>
      </w:r>
      <w:r w:rsidR="008A74EB" w:rsidRPr="00C9040A">
        <w:rPr>
          <w:rtl/>
        </w:rPr>
        <w:t xml:space="preserve"> ، ج 70 ، ص 359 ، ح 5.</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هكذا في النسخ التي قوبلت والوافي والبحار. وفي المطبوع : + « [ قال ]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ص ، بر » : « ا</w:t>
      </w:r>
      <w:r w:rsidR="001133F5">
        <w:rPr>
          <w:rFonts w:hint="cs"/>
          <w:rtl/>
        </w:rPr>
        <w:t>ُ</w:t>
      </w:r>
      <w:r w:rsidR="008A74EB" w:rsidRPr="00C9040A">
        <w:rPr>
          <w:rtl/>
        </w:rPr>
        <w:t>لجئت » مبنيّاً للمفعول.</w:t>
      </w:r>
    </w:p>
    <w:p w:rsidR="008A74EB" w:rsidRPr="004A4E41" w:rsidRDefault="006C577F" w:rsidP="004A4E41">
      <w:pPr>
        <w:pStyle w:val="libFootnote0"/>
        <w:rPr>
          <w:rStyle w:val="libFootnote0Char"/>
          <w:rtl/>
        </w:rPr>
      </w:pPr>
      <w:r>
        <w:rPr>
          <w:rtl/>
        </w:rPr>
        <w:t>(4).</w:t>
      </w:r>
      <w:r w:rsidR="008A74EB" w:rsidRPr="00C9040A">
        <w:rPr>
          <w:rtl/>
        </w:rPr>
        <w:t xml:space="preserve"> في « ب ، ج ، د ، ز ، ف ، بر » والبحار : « إلى »</w:t>
      </w:r>
      <w:r w:rsidR="008A74EB">
        <w:rPr>
          <w:rtl/>
        </w:rPr>
        <w:t>.</w:t>
      </w:r>
    </w:p>
    <w:tbl>
      <w:tblPr>
        <w:tblStyle w:val="TableGrid"/>
        <w:bidiVisual/>
        <w:tblW w:w="0" w:type="auto"/>
        <w:tblLook w:val="04A0" w:firstRow="1" w:lastRow="0" w:firstColumn="1" w:lastColumn="0" w:noHBand="0" w:noVBand="1"/>
      </w:tblPr>
      <w:tblGrid>
        <w:gridCol w:w="4006"/>
        <w:gridCol w:w="4006"/>
      </w:tblGrid>
      <w:tr w:rsidR="0021736B" w:rsidTr="0021736B">
        <w:tc>
          <w:tcPr>
            <w:tcW w:w="4006" w:type="dxa"/>
          </w:tcPr>
          <w:p w:rsidR="0021736B" w:rsidRDefault="0021736B" w:rsidP="004A4E41">
            <w:pPr>
              <w:pStyle w:val="libFootnote0"/>
              <w:rPr>
                <w:rtl/>
              </w:rPr>
            </w:pPr>
            <w:r>
              <w:rPr>
                <w:rtl/>
              </w:rPr>
              <w:t>(5).</w:t>
            </w:r>
            <w:r w:rsidRPr="00C9040A">
              <w:rPr>
                <w:rtl/>
              </w:rPr>
              <w:t xml:space="preserve"> في « بس » </w:t>
            </w:r>
            <w:r>
              <w:rPr>
                <w:rtl/>
              </w:rPr>
              <w:t>: -</w:t>
            </w:r>
            <w:r w:rsidRPr="00C9040A">
              <w:rPr>
                <w:rtl/>
              </w:rPr>
              <w:t xml:space="preserve"> « لله »</w:t>
            </w:r>
            <w:r>
              <w:rPr>
                <w:rtl/>
              </w:rPr>
              <w:t>.</w:t>
            </w:r>
          </w:p>
        </w:tc>
        <w:tc>
          <w:tcPr>
            <w:tcW w:w="4006" w:type="dxa"/>
          </w:tcPr>
          <w:p w:rsidR="0021736B" w:rsidRDefault="0021736B" w:rsidP="004A4E41">
            <w:pPr>
              <w:pStyle w:val="libFootnote0"/>
              <w:rPr>
                <w:rtl/>
              </w:rPr>
            </w:pPr>
            <w:r>
              <w:rPr>
                <w:rtl/>
              </w:rPr>
              <w:t xml:space="preserve">(6). </w:t>
            </w:r>
            <w:r w:rsidRPr="00C9040A">
              <w:rPr>
                <w:rtl/>
              </w:rPr>
              <w:t>في « ض » : « وقال »</w:t>
            </w:r>
            <w:r>
              <w:rPr>
                <w:rtl/>
              </w:rPr>
              <w:t>.</w:t>
            </w:r>
          </w:p>
        </w:tc>
      </w:tr>
    </w:tbl>
    <w:p w:rsidR="008A74EB" w:rsidRPr="00C9040A" w:rsidRDefault="006C577F" w:rsidP="004A4E41">
      <w:pPr>
        <w:pStyle w:val="libFootnote0"/>
        <w:rPr>
          <w:rtl/>
          <w:lang w:bidi="fa-IR"/>
        </w:rPr>
      </w:pPr>
      <w:r>
        <w:rPr>
          <w:rtl/>
        </w:rPr>
        <w:t>(7).</w:t>
      </w:r>
      <w:r w:rsidR="008A74EB" w:rsidRPr="00C9040A">
        <w:rPr>
          <w:rtl/>
        </w:rPr>
        <w:t xml:space="preserve"> في حاشية « ز » : « بكلمة »</w:t>
      </w:r>
      <w:r w:rsidR="008A74EB">
        <w:rPr>
          <w:rtl/>
        </w:rPr>
        <w:t>.</w:t>
      </w:r>
    </w:p>
    <w:p w:rsidR="008A74EB" w:rsidRPr="004A4E41" w:rsidRDefault="006C577F" w:rsidP="004A4E41">
      <w:pPr>
        <w:pStyle w:val="libFootnote0"/>
        <w:rPr>
          <w:rStyle w:val="libFootnote0Char"/>
          <w:rtl/>
        </w:rPr>
      </w:pPr>
      <w:r>
        <w:rPr>
          <w:rtl/>
        </w:rPr>
        <w:t>(8).</w:t>
      </w:r>
      <w:r w:rsidR="008A74EB" w:rsidRPr="00C9040A">
        <w:rPr>
          <w:rtl/>
        </w:rPr>
        <w:t xml:space="preserve"> « الفَرَق » : الخَوف والفزع. يقال : فَرِق يَفْرَق فَرَقاً. </w:t>
      </w:r>
      <w:r w:rsidR="008A74EB" w:rsidRPr="00993B55">
        <w:rPr>
          <w:rStyle w:val="libFootnoteBoldChar"/>
          <w:rtl/>
        </w:rPr>
        <w:t>النهاية</w:t>
      </w:r>
      <w:r w:rsidR="008A74EB" w:rsidRPr="00C9040A">
        <w:rPr>
          <w:rtl/>
        </w:rPr>
        <w:t xml:space="preserve"> ، ج 3 ، ص 438 ( فرق )</w:t>
      </w:r>
      <w:r w:rsidR="008A74EB">
        <w:rPr>
          <w:rtl/>
        </w:rPr>
        <w:t>.</w:t>
      </w:r>
    </w:p>
    <w:tbl>
      <w:tblPr>
        <w:tblStyle w:val="TableGrid"/>
        <w:bidiVisual/>
        <w:tblW w:w="0" w:type="auto"/>
        <w:tblLook w:val="04A0" w:firstRow="1" w:lastRow="0" w:firstColumn="1" w:lastColumn="0" w:noHBand="0" w:noVBand="1"/>
      </w:tblPr>
      <w:tblGrid>
        <w:gridCol w:w="4006"/>
        <w:gridCol w:w="4006"/>
      </w:tblGrid>
      <w:tr w:rsidR="0021736B" w:rsidTr="0021736B">
        <w:tc>
          <w:tcPr>
            <w:tcW w:w="4006" w:type="dxa"/>
          </w:tcPr>
          <w:p w:rsidR="0021736B" w:rsidRDefault="0021736B" w:rsidP="004A4E41">
            <w:pPr>
              <w:pStyle w:val="libFootnote0"/>
              <w:rPr>
                <w:rtl/>
              </w:rPr>
            </w:pPr>
            <w:r>
              <w:rPr>
                <w:rtl/>
              </w:rPr>
              <w:t>(9).</w:t>
            </w:r>
            <w:r w:rsidRPr="00C9040A">
              <w:rPr>
                <w:rtl/>
              </w:rPr>
              <w:t xml:space="preserve"> في « ب » : « فقال »</w:t>
            </w:r>
            <w:r>
              <w:rPr>
                <w:rtl/>
              </w:rPr>
              <w:t>.</w:t>
            </w:r>
          </w:p>
        </w:tc>
        <w:tc>
          <w:tcPr>
            <w:tcW w:w="4006" w:type="dxa"/>
          </w:tcPr>
          <w:p w:rsidR="0021736B" w:rsidRDefault="0021736B" w:rsidP="004A4E41">
            <w:pPr>
              <w:pStyle w:val="libFootnote0"/>
              <w:rPr>
                <w:rtl/>
              </w:rPr>
            </w:pPr>
            <w:r>
              <w:rPr>
                <w:rtl/>
              </w:rPr>
              <w:t>(10).</w:t>
            </w:r>
            <w:r w:rsidRPr="00C9040A">
              <w:rPr>
                <w:rtl/>
              </w:rPr>
              <w:t xml:space="preserve"> في « ض » : « فقالت »</w:t>
            </w:r>
            <w:r>
              <w:rPr>
                <w:rtl/>
              </w:rPr>
              <w:t>.</w:t>
            </w:r>
          </w:p>
        </w:tc>
      </w:tr>
    </w:tbl>
    <w:p w:rsidR="008A74EB" w:rsidRPr="00C9040A" w:rsidRDefault="006C577F" w:rsidP="004A4E41">
      <w:pPr>
        <w:pStyle w:val="libFootnote0"/>
        <w:rPr>
          <w:rtl/>
          <w:lang w:bidi="fa-IR"/>
        </w:rPr>
      </w:pPr>
      <w:r>
        <w:rPr>
          <w:rtl/>
        </w:rPr>
        <w:t>(11).</w:t>
      </w:r>
      <w:r w:rsidR="008A74EB" w:rsidRPr="00C9040A">
        <w:rPr>
          <w:rtl/>
        </w:rPr>
        <w:t xml:space="preserve"> في « ب ، ج ، د ، ز ، ض ، بس » </w:t>
      </w:r>
      <w:r w:rsidR="008A74EB">
        <w:rPr>
          <w:rtl/>
        </w:rPr>
        <w:t xml:space="preserve">: </w:t>
      </w:r>
      <w:r w:rsidR="0084262C">
        <w:rPr>
          <w:rtl/>
        </w:rPr>
        <w:t>-</w:t>
      </w:r>
      <w:r w:rsidR="008A74EB" w:rsidRPr="00C9040A">
        <w:rPr>
          <w:rtl/>
        </w:rPr>
        <w:t xml:space="preserve"> « منه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هكذا في النسخ التي قوبلت والوافي والبحار. وفي المطبوع : « أستكرهك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lastRenderedPageBreak/>
        <w:t xml:space="preserve">قَالَ : فَقَامَ وَلَمْ يُحْدِثْ شَيْئاً ، وَرَجَعَ إِلى أَهْلِهِ ، وَلَيْسَتْ </w:t>
      </w:r>
      <w:r w:rsidR="006C577F" w:rsidRPr="006C577F">
        <w:rPr>
          <w:rStyle w:val="libFootnotenumChar"/>
          <w:rtl/>
        </w:rPr>
        <w:t>(1)</w:t>
      </w:r>
      <w:r w:rsidRPr="002712F0">
        <w:rPr>
          <w:rFonts w:hint="cs"/>
          <w:rtl/>
        </w:rPr>
        <w:t xml:space="preserve"> </w:t>
      </w:r>
      <w:r w:rsidR="00F11F50">
        <w:rPr>
          <w:rtl/>
          <w:lang w:bidi="fa-IR"/>
        </w:rPr>
        <w:t>لَهُ هِمَّةٌ إِل</w:t>
      </w:r>
      <w:r w:rsidR="00F11F50">
        <w:rPr>
          <w:rFonts w:hint="cs"/>
          <w:rtl/>
          <w:lang w:bidi="fa-IR"/>
        </w:rPr>
        <w:t>َّ</w:t>
      </w:r>
      <w:r w:rsidR="00F11F50">
        <w:rPr>
          <w:rtl/>
          <w:lang w:bidi="fa-IR"/>
        </w:rPr>
        <w:t>ا</w:t>
      </w:r>
      <w:r w:rsidRPr="00C9040A">
        <w:rPr>
          <w:rtl/>
          <w:lang w:bidi="fa-IR"/>
        </w:rPr>
        <w:t xml:space="preserve"> التَّوْبَةُ وَالْمُرَاجَعَةُ ، فَبَيْنَا </w:t>
      </w:r>
      <w:r w:rsidR="006C577F" w:rsidRPr="006C577F">
        <w:rPr>
          <w:rStyle w:val="libFootnotenumChar"/>
          <w:rtl/>
        </w:rPr>
        <w:t>(2)</w:t>
      </w:r>
      <w:r w:rsidRPr="00C9040A">
        <w:rPr>
          <w:rtl/>
          <w:lang w:bidi="fa-IR"/>
        </w:rPr>
        <w:t xml:space="preserve"> هُوَ يَمْشِي إِذْ صَادَفَهُ </w:t>
      </w:r>
      <w:r w:rsidR="006C577F" w:rsidRPr="006C577F">
        <w:rPr>
          <w:rStyle w:val="libFootnotenumChar"/>
          <w:rtl/>
        </w:rPr>
        <w:t>(3)</w:t>
      </w:r>
      <w:r w:rsidRPr="00C9040A">
        <w:rPr>
          <w:rtl/>
          <w:lang w:bidi="fa-IR"/>
        </w:rPr>
        <w:t xml:space="preserve"> رَاهِبٌ يَمْشِي فِي الطَّرِيقِ ، فَحَمِيَتْ عَلَيْهِمَا الشَّمْسُ ، فَقَالَ الرَّاهِبُ لِلشَّابِّ : ادْعُ اللهَ يُظِلَّنَا </w:t>
      </w:r>
      <w:r w:rsidR="006C577F" w:rsidRPr="006C577F">
        <w:rPr>
          <w:rStyle w:val="libFootnotenumChar"/>
          <w:rtl/>
        </w:rPr>
        <w:t>(4)</w:t>
      </w:r>
      <w:r w:rsidRPr="00C9040A">
        <w:rPr>
          <w:rtl/>
          <w:lang w:bidi="fa-IR"/>
        </w:rPr>
        <w:t xml:space="preserve"> بِغَمَامَةٍ ، فَقَدْ حَمِيَتْ </w:t>
      </w:r>
      <w:r w:rsidR="006C577F" w:rsidRPr="006C577F">
        <w:rPr>
          <w:rStyle w:val="libFootnotenumChar"/>
          <w:rtl/>
        </w:rPr>
        <w:t>(5)</w:t>
      </w:r>
      <w:r w:rsidRPr="00C9040A">
        <w:rPr>
          <w:rtl/>
          <w:lang w:bidi="fa-IR"/>
        </w:rPr>
        <w:t xml:space="preserve"> عَلَيْنَا الشَّمْسُ ، فَقَالَ الشَّابُّ : مَا أَعْلَمُ أَنَّ </w:t>
      </w:r>
      <w:r w:rsidR="006C577F" w:rsidRPr="006C577F">
        <w:rPr>
          <w:rStyle w:val="libFootnotenumChar"/>
          <w:rtl/>
        </w:rPr>
        <w:t>(6)</w:t>
      </w:r>
      <w:r w:rsidRPr="005B567D">
        <w:rPr>
          <w:rStyle w:val="libFootnotenumChar"/>
          <w:rtl/>
        </w:rPr>
        <w:t xml:space="preserve"> </w:t>
      </w:r>
      <w:r w:rsidRPr="00C9040A">
        <w:rPr>
          <w:rtl/>
          <w:lang w:bidi="fa-IR"/>
        </w:rPr>
        <w:t>لِي عِنْدَ رَبِّي حَسَنَةً فَأَتَجَاسَرَ عَلى أَنْ أَسْأَلَهُ شَيْئاً ، قَالَ :</w:t>
      </w:r>
      <w:r>
        <w:rPr>
          <w:rFonts w:hint="cs"/>
          <w:rtl/>
          <w:lang w:bidi="fa-IR"/>
        </w:rPr>
        <w:t xml:space="preserve"> </w:t>
      </w:r>
      <w:r w:rsidRPr="00C9040A">
        <w:rPr>
          <w:rtl/>
          <w:lang w:bidi="fa-IR"/>
        </w:rPr>
        <w:t xml:space="preserve">فَأَدْعُو أَنَا وَتُؤَمِّنُ أَنْتَ ، قَالَ : نَعَمْ </w:t>
      </w:r>
      <w:r w:rsidR="006C577F" w:rsidRPr="006C577F">
        <w:rPr>
          <w:rStyle w:val="libFootnotenumChar"/>
          <w:rtl/>
        </w:rPr>
        <w:t>(7)</w:t>
      </w:r>
      <w:r w:rsidRPr="00C9040A">
        <w:rPr>
          <w:rtl/>
          <w:lang w:bidi="fa-IR"/>
        </w:rPr>
        <w:t xml:space="preserve"> ، فَأَقْبَلَ الرَّاهِبُ يَدْعُو </w:t>
      </w:r>
      <w:r w:rsidR="006C577F" w:rsidRPr="006C577F">
        <w:rPr>
          <w:rStyle w:val="libFootnotenumChar"/>
          <w:rtl/>
        </w:rPr>
        <w:t>(8)</w:t>
      </w:r>
      <w:r w:rsidRPr="00C9040A">
        <w:rPr>
          <w:rtl/>
          <w:lang w:bidi="fa-IR"/>
        </w:rPr>
        <w:t xml:space="preserve"> وَالشَّابُّ يُؤَمِّنُ ، فَمَا كَانَ بِأَسْرَعَ مِنْ أَنْ </w:t>
      </w:r>
      <w:r w:rsidR="006C577F" w:rsidRPr="006C577F">
        <w:rPr>
          <w:rStyle w:val="libFootnotenumChar"/>
          <w:rtl/>
        </w:rPr>
        <w:t>(9)</w:t>
      </w:r>
      <w:r w:rsidRPr="00C9040A">
        <w:rPr>
          <w:rtl/>
          <w:lang w:bidi="fa-IR"/>
        </w:rPr>
        <w:t xml:space="preserve"> أَظَلَّتْهُمَا غَمَامَةٌ ، فَمَشَيَا تَحْتَهَا مَلِيّاً </w:t>
      </w:r>
      <w:r w:rsidR="006C577F" w:rsidRPr="006C577F">
        <w:rPr>
          <w:rStyle w:val="libFootnotenumChar"/>
          <w:rtl/>
        </w:rPr>
        <w:t>(10)</w:t>
      </w:r>
      <w:r w:rsidRPr="00C9040A">
        <w:rPr>
          <w:rtl/>
          <w:lang w:bidi="fa-IR"/>
        </w:rPr>
        <w:t xml:space="preserve"> مِنَ النَّهَارِ ، ثُمَّ تَفَرَّقَتِ </w:t>
      </w:r>
      <w:r w:rsidR="006C577F" w:rsidRPr="006C577F">
        <w:rPr>
          <w:rStyle w:val="libFootnotenumChar"/>
          <w:rtl/>
        </w:rPr>
        <w:t>(11)</w:t>
      </w:r>
      <w:r w:rsidRPr="00C9040A">
        <w:rPr>
          <w:rtl/>
          <w:lang w:bidi="fa-IR"/>
        </w:rPr>
        <w:t xml:space="preserve"> الْجَادَّةُ جَادَّتَيْنِ ، فَأَخَذَ الشَّابُّ فِي وَاحِدَةٍ ، وَأَخَذَ </w:t>
      </w:r>
      <w:r w:rsidR="006C577F" w:rsidRPr="006C577F">
        <w:rPr>
          <w:rStyle w:val="libFootnotenumChar"/>
          <w:rtl/>
        </w:rPr>
        <w:t>(12)</w:t>
      </w:r>
      <w:r w:rsidRPr="00C9040A">
        <w:rPr>
          <w:rtl/>
          <w:lang w:bidi="fa-IR"/>
        </w:rPr>
        <w:t xml:space="preserve"> الرَّاهِبُ فِي وَاحِدَةٍ ، فَإِذَا السَّحَابَةُ </w:t>
      </w:r>
      <w:r w:rsidRPr="005B567D">
        <w:rPr>
          <w:rStyle w:val="libFootnotenumChar"/>
          <w:rtl/>
        </w:rPr>
        <w:t>(13)</w:t>
      </w:r>
      <w:r w:rsidRPr="00C9040A">
        <w:rPr>
          <w:rtl/>
          <w:lang w:bidi="fa-IR"/>
        </w:rPr>
        <w:t xml:space="preserve"> مَعَ الشَّابِّ.</w:t>
      </w:r>
    </w:p>
    <w:p w:rsidR="008A74EB" w:rsidRPr="00C9040A" w:rsidRDefault="008A74EB" w:rsidP="008A74EB">
      <w:pPr>
        <w:pStyle w:val="libNormal"/>
        <w:rPr>
          <w:rtl/>
          <w:lang w:bidi="fa-IR"/>
        </w:rPr>
      </w:pPr>
      <w:r w:rsidRPr="00C9040A">
        <w:rPr>
          <w:rtl/>
          <w:lang w:bidi="fa-IR"/>
        </w:rPr>
        <w:t xml:space="preserve">فَقَالَ الرَّاهِبُ : أَنْتَ خَيْرٌ مِنِّي ، لَكَ اسْتُجِيبَ </w:t>
      </w:r>
      <w:r w:rsidRPr="005B567D">
        <w:rPr>
          <w:rStyle w:val="libFootnotenumChar"/>
          <w:rtl/>
        </w:rPr>
        <w:t>(14)</w:t>
      </w:r>
      <w:r w:rsidRPr="00C9040A">
        <w:rPr>
          <w:rtl/>
          <w:lang w:bidi="fa-IR"/>
        </w:rPr>
        <w:t xml:space="preserve"> وَلَمْ يُسْتَجَبْ لِي ، فَخَبِّرْنِي </w:t>
      </w:r>
      <w:r w:rsidRPr="005B567D">
        <w:rPr>
          <w:rStyle w:val="libFootnotenumChar"/>
          <w:rtl/>
        </w:rPr>
        <w:t>(15)</w:t>
      </w:r>
      <w:r w:rsidRPr="00C9040A">
        <w:rPr>
          <w:rtl/>
          <w:lang w:bidi="fa-IR"/>
        </w:rPr>
        <w:t xml:space="preserve"> مَا قِصَّتُكَ </w:t>
      </w:r>
      <w:r w:rsidRPr="005B567D">
        <w:rPr>
          <w:rStyle w:val="libFootnotenumChar"/>
          <w:rtl/>
        </w:rPr>
        <w:t>(16)</w:t>
      </w:r>
      <w:r>
        <w:rPr>
          <w:rtl/>
          <w:lang w:bidi="fa-IR"/>
        </w:rPr>
        <w:t>؟</w:t>
      </w:r>
      <w:r w:rsidRPr="00C9040A">
        <w:rPr>
          <w:rtl/>
          <w:lang w:bidi="fa-IR"/>
        </w:rPr>
        <w:t xml:space="preserve"> فَأَخْبَرَهُ بِخَبَرِ الْمَرْأَةِ ، فَقَالَ : غُفِرَ </w:t>
      </w:r>
      <w:r w:rsidRPr="005B567D">
        <w:rPr>
          <w:rStyle w:val="libFootnotenumChar"/>
          <w:rtl/>
        </w:rPr>
        <w:t>(17)</w:t>
      </w:r>
      <w:r w:rsidRPr="00C9040A">
        <w:rPr>
          <w:rtl/>
          <w:lang w:bidi="fa-IR"/>
        </w:rPr>
        <w:t xml:space="preserve"> لَكَ مَا مَضى حَيْثُ دَخَلَكَ الْخَوْفُ ، فَانْظُرْ كَيْفَ تَكُونُ فِيمَا تَسْتَقْبِلُ </w:t>
      </w:r>
      <w:r w:rsidRPr="005B567D">
        <w:rPr>
          <w:rStyle w:val="libFootnotenumChar"/>
          <w:rtl/>
        </w:rPr>
        <w:t>(18)</w:t>
      </w:r>
      <w:r w:rsidRPr="00C9040A">
        <w:rPr>
          <w:rtl/>
          <w:lang w:bidi="fa-IR"/>
        </w:rPr>
        <w:t xml:space="preserve"> »</w:t>
      </w:r>
      <w:r>
        <w:rPr>
          <w:rtl/>
          <w:lang w:bidi="fa-IR"/>
        </w:rPr>
        <w:t>.</w:t>
      </w:r>
      <w:r w:rsidRPr="00C9040A">
        <w:rPr>
          <w:rtl/>
          <w:lang w:bidi="fa-IR"/>
        </w:rPr>
        <w:t xml:space="preserve"> </w:t>
      </w:r>
      <w:r w:rsidRPr="005B567D">
        <w:rPr>
          <w:rStyle w:val="libFootnotenumChar"/>
          <w:rtl/>
        </w:rPr>
        <w:t>(19)</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054632" w:rsidTr="00054632">
        <w:tc>
          <w:tcPr>
            <w:tcW w:w="4006" w:type="dxa"/>
          </w:tcPr>
          <w:p w:rsidR="00054632" w:rsidRDefault="00054632" w:rsidP="004A4E41">
            <w:pPr>
              <w:pStyle w:val="libFootnote0"/>
              <w:rPr>
                <w:rtl/>
              </w:rPr>
            </w:pPr>
            <w:r>
              <w:rPr>
                <w:rtl/>
              </w:rPr>
              <w:t>(1).</w:t>
            </w:r>
            <w:r w:rsidRPr="00C9040A">
              <w:rPr>
                <w:rtl/>
              </w:rPr>
              <w:t xml:space="preserve"> في البحار : « وليس »</w:t>
            </w:r>
            <w:r>
              <w:rPr>
                <w:rtl/>
              </w:rPr>
              <w:t>.</w:t>
            </w:r>
          </w:p>
        </w:tc>
        <w:tc>
          <w:tcPr>
            <w:tcW w:w="4006" w:type="dxa"/>
          </w:tcPr>
          <w:p w:rsidR="00054632" w:rsidRDefault="00054632" w:rsidP="004A4E41">
            <w:pPr>
              <w:pStyle w:val="libFootnote0"/>
              <w:rPr>
                <w:rtl/>
              </w:rPr>
            </w:pPr>
            <w:r>
              <w:rPr>
                <w:rtl/>
              </w:rPr>
              <w:t xml:space="preserve">(2). </w:t>
            </w:r>
            <w:r w:rsidRPr="00C9040A">
              <w:rPr>
                <w:rtl/>
              </w:rPr>
              <w:t>في « ب » والبحار : « فبينما »</w:t>
            </w:r>
            <w:r>
              <w:rPr>
                <w:rtl/>
              </w:rPr>
              <w:t>.</w:t>
            </w:r>
          </w:p>
        </w:tc>
      </w:tr>
    </w:tbl>
    <w:p w:rsidR="008A74EB" w:rsidRPr="004A4E41" w:rsidRDefault="006C577F" w:rsidP="004A4E41">
      <w:pPr>
        <w:pStyle w:val="libFootnote0"/>
        <w:rPr>
          <w:rStyle w:val="libFootnote0Char"/>
          <w:rtl/>
        </w:rPr>
      </w:pPr>
      <w:r>
        <w:rPr>
          <w:rtl/>
        </w:rPr>
        <w:t>(3).</w:t>
      </w:r>
      <w:r w:rsidR="008A74EB" w:rsidRPr="00C9040A">
        <w:rPr>
          <w:rtl/>
        </w:rPr>
        <w:t xml:space="preserve"> في « ج ، بس » وحاشية « ز ، ض » : « إذ جاءه »</w:t>
      </w:r>
      <w:r w:rsidR="008A74EB">
        <w:rPr>
          <w:rtl/>
        </w:rPr>
        <w:t>.</w:t>
      </w:r>
      <w:r w:rsidR="008A74EB" w:rsidRPr="00C9040A">
        <w:rPr>
          <w:rtl/>
        </w:rPr>
        <w:t xml:space="preserve"> وفي « د » وحاشية « ز » : « إذ ضامّه »</w:t>
      </w:r>
      <w:r w:rsidR="008A74EB">
        <w:rPr>
          <w:rtl/>
        </w:rPr>
        <w:t>.</w:t>
      </w:r>
    </w:p>
    <w:tbl>
      <w:tblPr>
        <w:tblStyle w:val="TableGrid"/>
        <w:bidiVisual/>
        <w:tblW w:w="0" w:type="auto"/>
        <w:tblLook w:val="04A0" w:firstRow="1" w:lastRow="0" w:firstColumn="1" w:lastColumn="0" w:noHBand="0" w:noVBand="1"/>
      </w:tblPr>
      <w:tblGrid>
        <w:gridCol w:w="4006"/>
        <w:gridCol w:w="4006"/>
      </w:tblGrid>
      <w:tr w:rsidR="00F0177E" w:rsidTr="00F0177E">
        <w:tc>
          <w:tcPr>
            <w:tcW w:w="4006" w:type="dxa"/>
          </w:tcPr>
          <w:p w:rsidR="00F0177E" w:rsidRDefault="00F0177E" w:rsidP="004A4E41">
            <w:pPr>
              <w:pStyle w:val="libFootnote0"/>
              <w:rPr>
                <w:rtl/>
                <w:lang w:bidi="fa-IR"/>
              </w:rPr>
            </w:pPr>
            <w:r>
              <w:rPr>
                <w:rtl/>
              </w:rPr>
              <w:t>(4).</w:t>
            </w:r>
            <w:r w:rsidRPr="00C9040A">
              <w:rPr>
                <w:rtl/>
              </w:rPr>
              <w:t xml:space="preserve"> في « ص » : « يظللنا »</w:t>
            </w:r>
            <w:r>
              <w:rPr>
                <w:rtl/>
              </w:rPr>
              <w:t>.</w:t>
            </w:r>
          </w:p>
        </w:tc>
        <w:tc>
          <w:tcPr>
            <w:tcW w:w="4006" w:type="dxa"/>
          </w:tcPr>
          <w:p w:rsidR="00F0177E" w:rsidRDefault="00F0177E" w:rsidP="004A4E41">
            <w:pPr>
              <w:pStyle w:val="libFootnote0"/>
              <w:rPr>
                <w:rtl/>
                <w:lang w:bidi="fa-IR"/>
              </w:rPr>
            </w:pPr>
            <w:r>
              <w:rPr>
                <w:rtl/>
              </w:rPr>
              <w:t>(5).</w:t>
            </w:r>
            <w:r w:rsidRPr="00C9040A">
              <w:rPr>
                <w:rtl/>
              </w:rPr>
              <w:t xml:space="preserve"> في « بر » : « حَمَت »</w:t>
            </w:r>
            <w:r>
              <w:rPr>
                <w:rtl/>
              </w:rPr>
              <w:t>.</w:t>
            </w:r>
          </w:p>
        </w:tc>
      </w:tr>
      <w:tr w:rsidR="00F0177E" w:rsidTr="00F0177E">
        <w:tc>
          <w:tcPr>
            <w:tcW w:w="4006" w:type="dxa"/>
          </w:tcPr>
          <w:p w:rsidR="00F0177E" w:rsidRDefault="00F0177E" w:rsidP="004A4E41">
            <w:pPr>
              <w:pStyle w:val="libFootnote0"/>
              <w:rPr>
                <w:rtl/>
                <w:lang w:bidi="fa-IR"/>
              </w:rPr>
            </w:pPr>
            <w:r>
              <w:rPr>
                <w:rtl/>
              </w:rPr>
              <w:t xml:space="preserve">(6). </w:t>
            </w:r>
            <w:r w:rsidRPr="00C9040A">
              <w:rPr>
                <w:rtl/>
              </w:rPr>
              <w:t>في«ب،ج،د،ز،بس»</w:t>
            </w:r>
            <w:r>
              <w:rPr>
                <w:rtl/>
              </w:rPr>
              <w:t>:-</w:t>
            </w:r>
            <w:r w:rsidRPr="00C9040A">
              <w:rPr>
                <w:rtl/>
              </w:rPr>
              <w:t>«أنّ»</w:t>
            </w:r>
            <w:r>
              <w:rPr>
                <w:rtl/>
              </w:rPr>
              <w:t>.</w:t>
            </w:r>
          </w:p>
        </w:tc>
        <w:tc>
          <w:tcPr>
            <w:tcW w:w="4006" w:type="dxa"/>
          </w:tcPr>
          <w:p w:rsidR="00F0177E" w:rsidRDefault="00F0177E" w:rsidP="004A4E41">
            <w:pPr>
              <w:pStyle w:val="libFootnote0"/>
              <w:rPr>
                <w:rtl/>
                <w:lang w:bidi="fa-IR"/>
              </w:rPr>
            </w:pPr>
            <w:r>
              <w:rPr>
                <w:rtl/>
              </w:rPr>
              <w:t>(7).</w:t>
            </w:r>
            <w:r w:rsidRPr="00C9040A">
              <w:rPr>
                <w:rtl/>
              </w:rPr>
              <w:t xml:space="preserve"> في « ص ، بر » : + « قال »</w:t>
            </w:r>
            <w:r>
              <w:rPr>
                <w:rtl/>
              </w:rPr>
              <w:t>.</w:t>
            </w:r>
          </w:p>
        </w:tc>
      </w:tr>
      <w:tr w:rsidR="00F0177E" w:rsidTr="00F0177E">
        <w:tc>
          <w:tcPr>
            <w:tcW w:w="4006" w:type="dxa"/>
          </w:tcPr>
          <w:p w:rsidR="00F0177E" w:rsidRDefault="00F0177E" w:rsidP="004A4E41">
            <w:pPr>
              <w:pStyle w:val="libFootnote0"/>
              <w:rPr>
                <w:rtl/>
                <w:lang w:bidi="fa-IR"/>
              </w:rPr>
            </w:pPr>
            <w:r>
              <w:rPr>
                <w:rtl/>
              </w:rPr>
              <w:t>(8).</w:t>
            </w:r>
            <w:r w:rsidRPr="00C9040A">
              <w:rPr>
                <w:rtl/>
              </w:rPr>
              <w:t xml:space="preserve"> في « ب » : « ويدعو »</w:t>
            </w:r>
            <w:r>
              <w:rPr>
                <w:rtl/>
              </w:rPr>
              <w:t>.</w:t>
            </w:r>
          </w:p>
        </w:tc>
        <w:tc>
          <w:tcPr>
            <w:tcW w:w="4006" w:type="dxa"/>
          </w:tcPr>
          <w:p w:rsidR="00F0177E" w:rsidRDefault="00F0177E" w:rsidP="004A4E41">
            <w:pPr>
              <w:pStyle w:val="libFootnote0"/>
              <w:rPr>
                <w:rtl/>
                <w:lang w:bidi="fa-IR"/>
              </w:rPr>
            </w:pPr>
            <w:r>
              <w:rPr>
                <w:rtl/>
              </w:rPr>
              <w:t>(9).</w:t>
            </w:r>
            <w:r w:rsidRPr="00C9040A">
              <w:rPr>
                <w:rtl/>
              </w:rPr>
              <w:t xml:space="preserve"> في « ج » </w:t>
            </w:r>
            <w:r>
              <w:rPr>
                <w:rtl/>
              </w:rPr>
              <w:t>: -</w:t>
            </w:r>
            <w:r w:rsidRPr="00C9040A">
              <w:rPr>
                <w:rtl/>
              </w:rPr>
              <w:t xml:space="preserve"> « أن »</w:t>
            </w:r>
            <w:r>
              <w:rPr>
                <w:rtl/>
              </w:rPr>
              <w:t>.</w:t>
            </w:r>
          </w:p>
        </w:tc>
      </w:tr>
    </w:tbl>
    <w:p w:rsidR="008A74EB" w:rsidRPr="00C9040A" w:rsidRDefault="006C577F" w:rsidP="004A4E41">
      <w:pPr>
        <w:pStyle w:val="libFootnote0"/>
        <w:rPr>
          <w:rtl/>
          <w:lang w:bidi="fa-IR"/>
        </w:rPr>
      </w:pPr>
      <w:r>
        <w:rPr>
          <w:rtl/>
        </w:rPr>
        <w:t>(10).</w:t>
      </w:r>
      <w:r w:rsidR="008A74EB" w:rsidRPr="00C9040A">
        <w:rPr>
          <w:rtl/>
        </w:rPr>
        <w:t xml:space="preserve"> « المَلِيّ » : الطائفة من الزمان لا حدّ لها. يقال : مضى مليّ من النهار ، ومليّ من الدهر ، أي طائفة منه. </w:t>
      </w:r>
      <w:r w:rsidR="008A74EB" w:rsidRPr="00993B55">
        <w:rPr>
          <w:rStyle w:val="libFootnoteBoldChar"/>
          <w:rtl/>
        </w:rPr>
        <w:t>النهاية</w:t>
      </w:r>
      <w:r w:rsidR="008A74EB" w:rsidRPr="00C9040A">
        <w:rPr>
          <w:rtl/>
        </w:rPr>
        <w:t xml:space="preserve"> ، ج 4 ، ص 363 ( ملا )</w:t>
      </w:r>
      <w:r w:rsidR="008A74EB">
        <w:rPr>
          <w:rtl/>
        </w:rPr>
        <w:t>.</w:t>
      </w:r>
    </w:p>
    <w:p w:rsidR="008A74EB" w:rsidRPr="004A4E41" w:rsidRDefault="006C577F" w:rsidP="004A4E41">
      <w:pPr>
        <w:pStyle w:val="libFootnote0"/>
        <w:rPr>
          <w:rStyle w:val="libFootnote0Char"/>
          <w:rtl/>
        </w:rPr>
      </w:pPr>
      <w:r>
        <w:rPr>
          <w:rtl/>
        </w:rPr>
        <w:t>(11).</w:t>
      </w:r>
      <w:r w:rsidR="008A74EB" w:rsidRPr="00C9040A">
        <w:rPr>
          <w:rtl/>
        </w:rPr>
        <w:t xml:space="preserve"> في « د ، ز ، ض ، بس ، بف » والبحار ، ج 70 : « ثمّ انفرقت »</w:t>
      </w:r>
      <w:r w:rsidR="008A74EB">
        <w:rPr>
          <w:rtl/>
        </w:rPr>
        <w:t>.</w:t>
      </w:r>
      <w:r w:rsidR="008A74EB" w:rsidRPr="00C9040A">
        <w:rPr>
          <w:rtl/>
        </w:rPr>
        <w:t xml:space="preserve"> وفي « بر » وحاشية « ز » والبحار ، ج 14 : « ثمّ انفرجت »</w:t>
      </w:r>
      <w:r w:rsidR="008A74EB">
        <w:rPr>
          <w:rtl/>
        </w:rPr>
        <w:t>.</w:t>
      </w:r>
      <w:r w:rsidR="00AC2E2F">
        <w:rPr>
          <w:rFonts w:hint="cs"/>
          <w:rtl/>
        </w:rPr>
        <w:t xml:space="preserve">                       </w:t>
      </w:r>
      <w:r w:rsidR="00F0177E">
        <w:rPr>
          <w:rFonts w:hint="cs"/>
          <w:rtl/>
        </w:rPr>
        <w:t xml:space="preserve">            </w:t>
      </w:r>
      <w:r>
        <w:rPr>
          <w:rtl/>
        </w:rPr>
        <w:t>(12).</w:t>
      </w:r>
      <w:r w:rsidR="008A74EB" w:rsidRPr="00C9040A">
        <w:rPr>
          <w:rtl/>
        </w:rPr>
        <w:t xml:space="preserve"> في « ف » </w:t>
      </w:r>
      <w:r w:rsidR="008A74EB">
        <w:rPr>
          <w:rtl/>
        </w:rPr>
        <w:t xml:space="preserve">: </w:t>
      </w:r>
      <w:r w:rsidR="0084262C">
        <w:rPr>
          <w:rtl/>
        </w:rPr>
        <w:t>-</w:t>
      </w:r>
      <w:r w:rsidR="008A74EB" w:rsidRPr="00C9040A">
        <w:rPr>
          <w:rtl/>
        </w:rPr>
        <w:t xml:space="preserve"> « أخذ »</w:t>
      </w:r>
      <w:r w:rsidR="008A74EB">
        <w:rPr>
          <w:rtl/>
        </w:rPr>
        <w:t>.</w:t>
      </w:r>
    </w:p>
    <w:tbl>
      <w:tblPr>
        <w:tblStyle w:val="TableGrid"/>
        <w:bidiVisual/>
        <w:tblW w:w="0" w:type="auto"/>
        <w:tblLook w:val="04A0" w:firstRow="1" w:lastRow="0" w:firstColumn="1" w:lastColumn="0" w:noHBand="0" w:noVBand="1"/>
      </w:tblPr>
      <w:tblGrid>
        <w:gridCol w:w="4006"/>
        <w:gridCol w:w="4006"/>
      </w:tblGrid>
      <w:tr w:rsidR="00F0177E" w:rsidTr="00F0177E">
        <w:tc>
          <w:tcPr>
            <w:tcW w:w="4006" w:type="dxa"/>
          </w:tcPr>
          <w:p w:rsidR="00F0177E" w:rsidRDefault="00F0177E" w:rsidP="004A4E41">
            <w:pPr>
              <w:pStyle w:val="libFootnote0"/>
              <w:rPr>
                <w:rtl/>
              </w:rPr>
            </w:pPr>
            <w:r>
              <w:rPr>
                <w:rtl/>
              </w:rPr>
              <w:t>(13)</w:t>
            </w:r>
            <w:r w:rsidRPr="00C9040A">
              <w:rPr>
                <w:rtl/>
              </w:rPr>
              <w:t xml:space="preserve"> في البحار : « السحاب »</w:t>
            </w:r>
            <w:r>
              <w:rPr>
                <w:rtl/>
              </w:rPr>
              <w:t>.</w:t>
            </w:r>
          </w:p>
        </w:tc>
        <w:tc>
          <w:tcPr>
            <w:tcW w:w="4006" w:type="dxa"/>
          </w:tcPr>
          <w:p w:rsidR="00F0177E" w:rsidRDefault="00F0177E" w:rsidP="004A4E41">
            <w:pPr>
              <w:pStyle w:val="libFootnote0"/>
              <w:rPr>
                <w:rtl/>
              </w:rPr>
            </w:pPr>
            <w:r>
              <w:rPr>
                <w:rtl/>
              </w:rPr>
              <w:t>(14)</w:t>
            </w:r>
            <w:r w:rsidRPr="00C9040A">
              <w:rPr>
                <w:rtl/>
              </w:rPr>
              <w:t xml:space="preserve"> في « ز » : « استجيب لك »</w:t>
            </w:r>
            <w:r>
              <w:rPr>
                <w:rtl/>
              </w:rPr>
              <w:t>.</w:t>
            </w:r>
          </w:p>
        </w:tc>
      </w:tr>
    </w:tbl>
    <w:p w:rsidR="008A74EB" w:rsidRPr="00C9040A" w:rsidRDefault="008A74EB" w:rsidP="004A4E41">
      <w:pPr>
        <w:pStyle w:val="libFootnote0"/>
        <w:rPr>
          <w:rtl/>
          <w:lang w:bidi="fa-IR"/>
        </w:rPr>
      </w:pPr>
      <w:r>
        <w:rPr>
          <w:rtl/>
        </w:rPr>
        <w:t>(15)</w:t>
      </w:r>
      <w:r w:rsidRPr="00C9040A">
        <w:rPr>
          <w:rtl/>
        </w:rPr>
        <w:t xml:space="preserve"> هكذا في النسخ التي قوبلت والوافي والبحار. وفي المطبوع : « فأخبرني »</w:t>
      </w:r>
      <w:r>
        <w:rPr>
          <w:rtl/>
        </w:rPr>
        <w:t>.</w:t>
      </w:r>
    </w:p>
    <w:p w:rsidR="008A74EB" w:rsidRPr="00C9040A" w:rsidRDefault="008A74EB" w:rsidP="004A4E41">
      <w:pPr>
        <w:pStyle w:val="libFootnote0"/>
        <w:rPr>
          <w:rtl/>
          <w:lang w:bidi="fa-IR"/>
        </w:rPr>
      </w:pPr>
      <w:r>
        <w:rPr>
          <w:rtl/>
        </w:rPr>
        <w:t>(16)</w:t>
      </w:r>
      <w:r w:rsidRPr="00C9040A">
        <w:rPr>
          <w:rtl/>
        </w:rPr>
        <w:t xml:space="preserve"> في « بس » وحاشية « د ، ض ، بر » : « قضيّتك »</w:t>
      </w:r>
      <w:r>
        <w:rPr>
          <w:rtl/>
        </w:rPr>
        <w:t>.</w:t>
      </w:r>
    </w:p>
    <w:p w:rsidR="008A74EB" w:rsidRPr="00C9040A" w:rsidRDefault="008A74EB" w:rsidP="004A4E41">
      <w:pPr>
        <w:pStyle w:val="libFootnote0"/>
        <w:rPr>
          <w:rtl/>
          <w:lang w:bidi="fa-IR"/>
        </w:rPr>
      </w:pPr>
      <w:r>
        <w:rPr>
          <w:rtl/>
        </w:rPr>
        <w:t>(17)</w:t>
      </w:r>
      <w:r w:rsidRPr="00C9040A">
        <w:rPr>
          <w:rtl/>
        </w:rPr>
        <w:t xml:space="preserve"> في « ب ، ص ، ض ، ف » وحاشية « ج » : + « الله »</w:t>
      </w:r>
      <w:r>
        <w:rPr>
          <w:rtl/>
        </w:rPr>
        <w:t>.</w:t>
      </w:r>
    </w:p>
    <w:p w:rsidR="008A74EB" w:rsidRPr="00C9040A" w:rsidRDefault="008A74EB" w:rsidP="004A4E41">
      <w:pPr>
        <w:pStyle w:val="libFootnote0"/>
        <w:rPr>
          <w:rtl/>
          <w:lang w:bidi="fa-IR"/>
        </w:rPr>
      </w:pPr>
      <w:r>
        <w:rPr>
          <w:rtl/>
        </w:rPr>
        <w:t>(18)</w:t>
      </w:r>
      <w:r w:rsidRPr="00C9040A">
        <w:rPr>
          <w:rtl/>
        </w:rPr>
        <w:t xml:space="preserve"> في « بس » : « يستقبل »</w:t>
      </w:r>
      <w:r>
        <w:rPr>
          <w:rtl/>
        </w:rPr>
        <w:t>.</w:t>
      </w:r>
    </w:p>
    <w:p w:rsidR="008A74EB" w:rsidRPr="00C9040A" w:rsidRDefault="008A74EB" w:rsidP="004A4E41">
      <w:pPr>
        <w:pStyle w:val="libFootnote0"/>
        <w:rPr>
          <w:rtl/>
          <w:lang w:bidi="fa-IR"/>
        </w:rPr>
      </w:pPr>
      <w:r>
        <w:rPr>
          <w:rtl/>
        </w:rPr>
        <w:t>(19)</w:t>
      </w:r>
      <w:r w:rsidRPr="00C9040A">
        <w:rPr>
          <w:rtl/>
        </w:rPr>
        <w:t xml:space="preserve"> </w:t>
      </w:r>
      <w:r w:rsidRPr="00993B55">
        <w:rPr>
          <w:rStyle w:val="libFootnoteBoldChar"/>
          <w:rtl/>
        </w:rPr>
        <w:t>الوافي</w:t>
      </w:r>
      <w:r w:rsidRPr="00C9040A">
        <w:rPr>
          <w:rtl/>
        </w:rPr>
        <w:t xml:space="preserve"> ، ج4،ص291 ، ح 1964 ؛ </w:t>
      </w:r>
      <w:r w:rsidRPr="00993B55">
        <w:rPr>
          <w:rStyle w:val="libFootnoteBoldChar"/>
          <w:rtl/>
        </w:rPr>
        <w:t>البحار</w:t>
      </w:r>
      <w:r w:rsidRPr="00C9040A">
        <w:rPr>
          <w:rtl/>
        </w:rPr>
        <w:t xml:space="preserve"> ، ج 14 ، ص 507 ، ح 32 ؛ وج 70 ، ص 361 ، ح 6.</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755654">
        <w:rPr>
          <w:rtl/>
        </w:rPr>
        <w:lastRenderedPageBreak/>
        <w:t>1607</w:t>
      </w:r>
      <w:r w:rsidRPr="00261CB0">
        <w:rPr>
          <w:rStyle w:val="libBold2Char"/>
          <w:rtl/>
        </w:rPr>
        <w:t xml:space="preserve"> / 9.</w:t>
      </w:r>
      <w:r w:rsidRPr="00C9040A">
        <w:rPr>
          <w:rtl/>
          <w:lang w:bidi="fa-IR"/>
        </w:rPr>
        <w:t xml:space="preserve"> مُحَمَّدُ بْنُ يَحْيى ، عَنْ أَحْمَدَ بْنِ مُحَمَّدٍ ، عَنْ عَلِيِّ بْنِ النُّعْمَانِ ، عَنْ حَمْزَةَ بْنِ حُمْرَانَ ، قَالَ :</w:t>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 « إِنَّ مِمَّا حُفِظَ مِنْ خُطَبِ النَّبِيِّ </w:t>
      </w:r>
      <w:r w:rsidR="006C577F" w:rsidRPr="006C577F">
        <w:rPr>
          <w:rStyle w:val="libFootnotenumChar"/>
          <w:rtl/>
        </w:rPr>
        <w:t>(1)</w:t>
      </w:r>
      <w:r w:rsidR="004A4E41" w:rsidRPr="004A4E41">
        <w:rPr>
          <w:rStyle w:val="libAlaemChar"/>
          <w:rtl/>
        </w:rPr>
        <w:t>صلى‌الله‌عليه‌وآله</w:t>
      </w:r>
      <w:r w:rsidRPr="00C9040A">
        <w:rPr>
          <w:rtl/>
          <w:lang w:bidi="fa-IR"/>
        </w:rPr>
        <w:t xml:space="preserve"> أَنَّهُ قَالَ : أَيُّهَا </w:t>
      </w:r>
      <w:r w:rsidR="006C577F" w:rsidRPr="006C577F">
        <w:rPr>
          <w:rStyle w:val="libFootnotenumChar"/>
          <w:rtl/>
        </w:rPr>
        <w:t>(2)</w:t>
      </w:r>
      <w:r w:rsidRPr="00C9040A">
        <w:rPr>
          <w:rtl/>
          <w:lang w:bidi="fa-IR"/>
        </w:rPr>
        <w:t xml:space="preserve"> النَّاسُ ، إِنَّ لَكُمْ مَعَالِمَ ، فَانْتَهُوا إِلى مَعَالِمِكُمْ ، وَإِنَّ لَكُمْ نِهَايَةً ، فَانْتَهُوا إِلى نِهَايَتِكُمْ </w:t>
      </w:r>
      <w:r w:rsidR="006C577F" w:rsidRPr="006C577F">
        <w:rPr>
          <w:rStyle w:val="libFootnotenumChar"/>
          <w:rtl/>
        </w:rPr>
        <w:t>(3)</w:t>
      </w:r>
      <w:r w:rsidRPr="00C9040A">
        <w:rPr>
          <w:rtl/>
          <w:lang w:bidi="fa-IR"/>
        </w:rPr>
        <w:t xml:space="preserve"> ، أَلَا إِنَّ الْمُؤْمِنَ يَعْمَلُ </w:t>
      </w:r>
      <w:r w:rsidR="006C577F" w:rsidRPr="006C577F">
        <w:rPr>
          <w:rStyle w:val="libFootnotenumChar"/>
          <w:rtl/>
        </w:rPr>
        <w:t>(4)</w:t>
      </w:r>
      <w:r w:rsidRPr="00C9040A">
        <w:rPr>
          <w:rtl/>
          <w:lang w:bidi="fa-IR"/>
        </w:rPr>
        <w:t xml:space="preserve"> بَيْنَ مَخَافَتَيْنِ : بَيْنَ أَجَلٍ </w:t>
      </w:r>
      <w:r w:rsidR="006C577F" w:rsidRPr="006C577F">
        <w:rPr>
          <w:rStyle w:val="libFootnotenumChar"/>
          <w:rtl/>
        </w:rPr>
        <w:t>(5)</w:t>
      </w:r>
      <w:r w:rsidRPr="00C9040A">
        <w:rPr>
          <w:rtl/>
          <w:lang w:bidi="fa-IR"/>
        </w:rPr>
        <w:t xml:space="preserve"> قَدْ مَضى لَايَدْرِي مَا اللهُ صَانِعٌ فِيهِ ، وَبَيْنَ أَجَلٍ قَدْ بَقِيَ </w:t>
      </w:r>
      <w:r w:rsidR="006C577F" w:rsidRPr="006C577F">
        <w:rPr>
          <w:rStyle w:val="libFootnotenumChar"/>
          <w:rtl/>
        </w:rPr>
        <w:t>(6)</w:t>
      </w:r>
      <w:r w:rsidRPr="005B567D">
        <w:rPr>
          <w:rStyle w:val="libFootnotenumChar"/>
          <w:rtl/>
        </w:rPr>
        <w:t xml:space="preserve"> </w:t>
      </w:r>
      <w:r w:rsidRPr="00C9040A">
        <w:rPr>
          <w:rtl/>
          <w:lang w:bidi="fa-IR"/>
        </w:rPr>
        <w:t xml:space="preserve">لَايَدْرِي </w:t>
      </w:r>
      <w:r w:rsidR="006C577F" w:rsidRPr="006C577F">
        <w:rPr>
          <w:rStyle w:val="libFootnotenumChar"/>
          <w:rtl/>
        </w:rPr>
        <w:t>(7)</w:t>
      </w:r>
      <w:r w:rsidRPr="00C9040A">
        <w:rPr>
          <w:rtl/>
          <w:lang w:bidi="fa-IR"/>
        </w:rPr>
        <w:t xml:space="preserve"> مَا اللهُ قَاضٍ فِيهِ </w:t>
      </w:r>
      <w:r w:rsidR="006C577F" w:rsidRPr="006C577F">
        <w:rPr>
          <w:rStyle w:val="libFootnotenumChar"/>
          <w:rtl/>
        </w:rPr>
        <w:t>(8)</w:t>
      </w:r>
      <w:r w:rsidRPr="00C9040A">
        <w:rPr>
          <w:rtl/>
          <w:lang w:bidi="fa-IR"/>
        </w:rPr>
        <w:t xml:space="preserve"> ، فَلْيَأْخُذِ الْعَبْدُ الْمُؤْمِنُ </w:t>
      </w:r>
      <w:r w:rsidR="006C577F" w:rsidRPr="006C577F">
        <w:rPr>
          <w:rStyle w:val="libFootnotenumChar"/>
          <w:rtl/>
        </w:rPr>
        <w:t>(9)</w:t>
      </w:r>
      <w:r w:rsidRPr="00C9040A">
        <w:rPr>
          <w:rtl/>
          <w:lang w:bidi="fa-IR"/>
        </w:rPr>
        <w:t xml:space="preserve"> مِنْ نَفْسِهِ لِنَفْسِهِ ، وَمِنْ دُنْيَاهُ لآِخِرَتِهِ ، وَفِي </w:t>
      </w:r>
      <w:r w:rsidR="006C577F" w:rsidRPr="006C577F">
        <w:rPr>
          <w:rStyle w:val="libFootnotenumChar"/>
          <w:rtl/>
        </w:rPr>
        <w:t>(10)</w:t>
      </w:r>
      <w:r w:rsidRPr="00C9040A">
        <w:rPr>
          <w:rtl/>
          <w:lang w:bidi="fa-IR"/>
        </w:rPr>
        <w:t xml:space="preserve"> الشَّبِيبَةِ </w:t>
      </w:r>
      <w:r w:rsidR="006C577F" w:rsidRPr="006C577F">
        <w:rPr>
          <w:rStyle w:val="libFootnotenumChar"/>
          <w:rtl/>
        </w:rPr>
        <w:t>(11)</w:t>
      </w:r>
      <w:r w:rsidRPr="00C9040A">
        <w:rPr>
          <w:rtl/>
          <w:lang w:bidi="fa-IR"/>
        </w:rPr>
        <w:t xml:space="preserve"> قَبْلَ الْكِبَرِ ، وَفِي </w:t>
      </w:r>
      <w:r w:rsidR="006C577F" w:rsidRPr="006C577F">
        <w:rPr>
          <w:rStyle w:val="libFootnotenumChar"/>
          <w:rtl/>
        </w:rPr>
        <w:t>(12)</w:t>
      </w:r>
      <w:r w:rsidRPr="00C9040A">
        <w:rPr>
          <w:rtl/>
          <w:lang w:bidi="fa-IR"/>
        </w:rPr>
        <w:t xml:space="preserve"> الْحَيَاةِ قَبْلَ الْمَمَاتِ </w:t>
      </w:r>
      <w:r w:rsidRPr="005B567D">
        <w:rPr>
          <w:rStyle w:val="libFootnotenumChar"/>
          <w:rtl/>
        </w:rPr>
        <w:t>(13)</w:t>
      </w:r>
      <w:r w:rsidRPr="00C9040A">
        <w:rPr>
          <w:rtl/>
          <w:lang w:bidi="fa-IR"/>
        </w:rPr>
        <w:t xml:space="preserve"> ، فَوَ الَّذِي </w:t>
      </w:r>
      <w:r w:rsidRPr="005B567D">
        <w:rPr>
          <w:rStyle w:val="libFootnotenumChar"/>
          <w:rtl/>
        </w:rPr>
        <w:t>(14)</w:t>
      </w:r>
      <w:r w:rsidRPr="00C9040A">
        <w:rPr>
          <w:rtl/>
          <w:lang w:bidi="fa-IR"/>
        </w:rPr>
        <w:t xml:space="preserve"> نَفْسُ مُحَمَّدٍ </w:t>
      </w:r>
      <w:r w:rsidRPr="005B567D">
        <w:rPr>
          <w:rStyle w:val="libFootnotenumChar"/>
          <w:rtl/>
        </w:rPr>
        <w:t>(15)</w:t>
      </w:r>
      <w:r w:rsidRPr="00C9040A">
        <w:rPr>
          <w:rtl/>
          <w:lang w:bidi="fa-IR"/>
        </w:rPr>
        <w:t xml:space="preserve"> بِيَدِهِ ، مَا بَعْدَ الدُّنْيَا مِنْ مُسْتَعْتَبٍ </w:t>
      </w:r>
      <w:r w:rsidRPr="005B567D">
        <w:rPr>
          <w:rStyle w:val="libFootnotenumChar"/>
          <w:rtl/>
        </w:rPr>
        <w:t>(16)</w:t>
      </w:r>
      <w:r w:rsidRPr="00C9040A">
        <w:rPr>
          <w:rtl/>
          <w:lang w:bidi="fa-IR"/>
        </w:rPr>
        <w:t xml:space="preserve"> ، وَمَا بَعْدَهَا مِنْ </w:t>
      </w:r>
      <w:r w:rsidRPr="005B567D">
        <w:rPr>
          <w:rStyle w:val="libFootnotenumChar"/>
          <w:rtl/>
        </w:rPr>
        <w:t>(17)</w:t>
      </w:r>
      <w:r w:rsidR="003A4EAE">
        <w:rPr>
          <w:rtl/>
          <w:lang w:bidi="fa-IR"/>
        </w:rPr>
        <w:t xml:space="preserve"> دَارٍ إِل</w:t>
      </w:r>
      <w:r w:rsidR="003A4EAE">
        <w:rPr>
          <w:rFonts w:hint="cs"/>
          <w:rtl/>
          <w:lang w:bidi="fa-IR"/>
        </w:rPr>
        <w:t>َّ</w:t>
      </w:r>
      <w:r w:rsidR="003A4EAE">
        <w:rPr>
          <w:rtl/>
          <w:lang w:bidi="fa-IR"/>
        </w:rPr>
        <w:t>ا</w:t>
      </w:r>
      <w:r w:rsidRPr="00C9040A">
        <w:rPr>
          <w:rtl/>
          <w:lang w:bidi="fa-IR"/>
        </w:rPr>
        <w:t xml:space="preserve"> الْجَنَّةُ أَوِ النَّارُ </w:t>
      </w:r>
      <w:r w:rsidRPr="005B567D">
        <w:rPr>
          <w:rStyle w:val="libFootnotenumChar"/>
          <w:rtl/>
        </w:rPr>
        <w:t>(18)</w:t>
      </w:r>
      <w:r w:rsidRPr="00C9040A">
        <w:rPr>
          <w:rtl/>
          <w:lang w:bidi="fa-IR"/>
        </w:rPr>
        <w:t>»</w:t>
      </w:r>
      <w:r>
        <w:rPr>
          <w:rtl/>
          <w:lang w:bidi="fa-IR"/>
        </w:rPr>
        <w:t>.</w:t>
      </w:r>
      <w:r w:rsidRPr="005B567D">
        <w:rPr>
          <w:rStyle w:val="libFootnotenumChar"/>
          <w:rtl/>
        </w:rPr>
        <w:t>(19)</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الوسائل : « رسول الله »</w:t>
      </w:r>
      <w:r w:rsidR="008A74EB">
        <w:rPr>
          <w:rtl/>
        </w:rPr>
        <w:t>.</w:t>
      </w:r>
    </w:p>
    <w:p w:rsidR="008A74EB" w:rsidRPr="004A4E41" w:rsidRDefault="006C577F" w:rsidP="004A4E41">
      <w:pPr>
        <w:pStyle w:val="libFootnote0"/>
        <w:rPr>
          <w:rStyle w:val="libFootnote0Char"/>
          <w:rtl/>
        </w:rPr>
      </w:pPr>
      <w:r>
        <w:rPr>
          <w:rtl/>
        </w:rPr>
        <w:t>(2).</w:t>
      </w:r>
      <w:r w:rsidR="008A74EB">
        <w:rPr>
          <w:rtl/>
        </w:rPr>
        <w:t xml:space="preserve"> </w:t>
      </w:r>
      <w:r w:rsidR="008A74EB" w:rsidRPr="00C9040A">
        <w:rPr>
          <w:rtl/>
        </w:rPr>
        <w:t>هكذا في النسخ التي قوبلت وشرح المازندراني والوسائل والبحار. وفي المطبوع : « يا أيّها »</w:t>
      </w:r>
      <w:r w:rsidR="008A74EB">
        <w:rPr>
          <w:rtl/>
        </w:rPr>
        <w:t>.</w:t>
      </w:r>
    </w:p>
    <w:tbl>
      <w:tblPr>
        <w:tblStyle w:val="TableGrid"/>
        <w:bidiVisual/>
        <w:tblW w:w="0" w:type="auto"/>
        <w:tblLook w:val="04A0" w:firstRow="1" w:lastRow="0" w:firstColumn="1" w:lastColumn="0" w:noHBand="0" w:noVBand="1"/>
      </w:tblPr>
      <w:tblGrid>
        <w:gridCol w:w="4006"/>
        <w:gridCol w:w="4006"/>
      </w:tblGrid>
      <w:tr w:rsidR="003A4EAE" w:rsidTr="003A4EAE">
        <w:tc>
          <w:tcPr>
            <w:tcW w:w="4006" w:type="dxa"/>
          </w:tcPr>
          <w:p w:rsidR="003A4EAE" w:rsidRDefault="003A4EAE" w:rsidP="004A4E41">
            <w:pPr>
              <w:pStyle w:val="libFootnote0"/>
              <w:rPr>
                <w:rtl/>
              </w:rPr>
            </w:pPr>
            <w:r>
              <w:rPr>
                <w:rtl/>
              </w:rPr>
              <w:t>(3).</w:t>
            </w:r>
            <w:r w:rsidRPr="00C9040A">
              <w:rPr>
                <w:rtl/>
              </w:rPr>
              <w:t xml:space="preserve"> في حاشية « بر » : « نهاياتكم »</w:t>
            </w:r>
            <w:r>
              <w:rPr>
                <w:rtl/>
              </w:rPr>
              <w:t>.</w:t>
            </w:r>
          </w:p>
        </w:tc>
        <w:tc>
          <w:tcPr>
            <w:tcW w:w="4006" w:type="dxa"/>
          </w:tcPr>
          <w:p w:rsidR="003A4EAE" w:rsidRDefault="003A4EAE" w:rsidP="004A4E41">
            <w:pPr>
              <w:pStyle w:val="libFootnote0"/>
              <w:rPr>
                <w:rtl/>
              </w:rPr>
            </w:pPr>
            <w:r>
              <w:rPr>
                <w:rtl/>
              </w:rPr>
              <w:t>(4).</w:t>
            </w:r>
            <w:r w:rsidRPr="00C9040A">
              <w:rPr>
                <w:rtl/>
              </w:rPr>
              <w:t xml:space="preserve"> في تحف العقول </w:t>
            </w:r>
            <w:r>
              <w:rPr>
                <w:rtl/>
              </w:rPr>
              <w:t>: -</w:t>
            </w:r>
            <w:r w:rsidRPr="00C9040A">
              <w:rPr>
                <w:rtl/>
              </w:rPr>
              <w:t xml:space="preserve"> « يعمل »</w:t>
            </w:r>
            <w:r>
              <w:rPr>
                <w:rtl/>
              </w:rPr>
              <w:t>.</w:t>
            </w:r>
          </w:p>
        </w:tc>
      </w:tr>
      <w:tr w:rsidR="003A4EAE" w:rsidTr="003A4EAE">
        <w:tc>
          <w:tcPr>
            <w:tcW w:w="4006" w:type="dxa"/>
          </w:tcPr>
          <w:p w:rsidR="003A4EAE" w:rsidRDefault="003A4EAE" w:rsidP="004A4E41">
            <w:pPr>
              <w:pStyle w:val="libFootnote0"/>
              <w:rPr>
                <w:rtl/>
              </w:rPr>
            </w:pPr>
            <w:r>
              <w:rPr>
                <w:rtl/>
              </w:rPr>
              <w:t>(5).</w:t>
            </w:r>
            <w:r w:rsidRPr="00C9040A">
              <w:rPr>
                <w:rtl/>
              </w:rPr>
              <w:t xml:space="preserve"> في « ص » : « أجله »</w:t>
            </w:r>
            <w:r>
              <w:rPr>
                <w:rtl/>
              </w:rPr>
              <w:t>.</w:t>
            </w:r>
          </w:p>
        </w:tc>
        <w:tc>
          <w:tcPr>
            <w:tcW w:w="4006" w:type="dxa"/>
          </w:tcPr>
          <w:p w:rsidR="003A4EAE" w:rsidRDefault="003A4EAE" w:rsidP="004A4E41">
            <w:pPr>
              <w:pStyle w:val="libFootnote0"/>
              <w:rPr>
                <w:rtl/>
              </w:rPr>
            </w:pPr>
            <w:r>
              <w:rPr>
                <w:rtl/>
              </w:rPr>
              <w:t xml:space="preserve">(6). </w:t>
            </w:r>
            <w:r w:rsidRPr="00C9040A">
              <w:rPr>
                <w:rtl/>
              </w:rPr>
              <w:t>في«ز»:«آت»</w:t>
            </w:r>
            <w:r>
              <w:rPr>
                <w:rtl/>
              </w:rPr>
              <w:t>.</w:t>
            </w:r>
            <w:r w:rsidRPr="00C9040A">
              <w:rPr>
                <w:rtl/>
              </w:rPr>
              <w:t>وفي«بف»</w:t>
            </w:r>
            <w:r>
              <w:rPr>
                <w:rtl/>
              </w:rPr>
              <w:t>:-</w:t>
            </w:r>
            <w:r w:rsidRPr="00C9040A">
              <w:rPr>
                <w:rtl/>
              </w:rPr>
              <w:t>«قد بقي»</w:t>
            </w:r>
            <w:r>
              <w:rPr>
                <w:rtl/>
              </w:rPr>
              <w:t>.</w:t>
            </w:r>
          </w:p>
        </w:tc>
      </w:tr>
      <w:tr w:rsidR="003A4EAE" w:rsidTr="003A4EAE">
        <w:tc>
          <w:tcPr>
            <w:tcW w:w="4006" w:type="dxa"/>
          </w:tcPr>
          <w:p w:rsidR="003A4EAE" w:rsidRDefault="003A4EAE" w:rsidP="004A4E41">
            <w:pPr>
              <w:pStyle w:val="libFootnote0"/>
              <w:rPr>
                <w:rtl/>
              </w:rPr>
            </w:pPr>
            <w:r>
              <w:rPr>
                <w:rtl/>
              </w:rPr>
              <w:t>(7).</w:t>
            </w:r>
            <w:r w:rsidRPr="00C9040A">
              <w:rPr>
                <w:rtl/>
              </w:rPr>
              <w:t xml:space="preserve"> في « ب ، ز » : « ما يدري »</w:t>
            </w:r>
            <w:r>
              <w:rPr>
                <w:rtl/>
              </w:rPr>
              <w:t>.</w:t>
            </w:r>
          </w:p>
        </w:tc>
        <w:tc>
          <w:tcPr>
            <w:tcW w:w="4006" w:type="dxa"/>
          </w:tcPr>
          <w:p w:rsidR="003A4EAE" w:rsidRDefault="003A4EAE" w:rsidP="004A4E41">
            <w:pPr>
              <w:pStyle w:val="libFootnote0"/>
              <w:rPr>
                <w:rtl/>
              </w:rPr>
            </w:pPr>
            <w:r>
              <w:rPr>
                <w:rtl/>
              </w:rPr>
              <w:t>(8).</w:t>
            </w:r>
            <w:r w:rsidRPr="00C9040A">
              <w:rPr>
                <w:rtl/>
              </w:rPr>
              <w:t xml:space="preserve"> في « ض » : « به »</w:t>
            </w:r>
            <w:r>
              <w:rPr>
                <w:rtl/>
              </w:rPr>
              <w:t>.</w:t>
            </w:r>
          </w:p>
        </w:tc>
      </w:tr>
      <w:tr w:rsidR="003A4EAE" w:rsidTr="003A4EAE">
        <w:tc>
          <w:tcPr>
            <w:tcW w:w="4006" w:type="dxa"/>
          </w:tcPr>
          <w:p w:rsidR="003A4EAE" w:rsidRDefault="003A4EAE" w:rsidP="004A4E41">
            <w:pPr>
              <w:pStyle w:val="libFootnote0"/>
              <w:rPr>
                <w:rtl/>
              </w:rPr>
            </w:pPr>
            <w:r>
              <w:rPr>
                <w:rtl/>
              </w:rPr>
              <w:t>(9).</w:t>
            </w:r>
            <w:r w:rsidRPr="00C9040A">
              <w:rPr>
                <w:rtl/>
              </w:rPr>
              <w:t xml:space="preserve"> في مرآة العقول </w:t>
            </w:r>
            <w:r>
              <w:rPr>
                <w:rtl/>
              </w:rPr>
              <w:t>: -</w:t>
            </w:r>
            <w:r w:rsidRPr="00C9040A">
              <w:rPr>
                <w:rtl/>
              </w:rPr>
              <w:t xml:space="preserve"> « المؤمن »</w:t>
            </w:r>
            <w:r>
              <w:rPr>
                <w:rtl/>
              </w:rPr>
              <w:t>.</w:t>
            </w:r>
          </w:p>
        </w:tc>
        <w:tc>
          <w:tcPr>
            <w:tcW w:w="4006" w:type="dxa"/>
          </w:tcPr>
          <w:p w:rsidR="003A4EAE" w:rsidRDefault="003A4EAE" w:rsidP="004A4E41">
            <w:pPr>
              <w:pStyle w:val="libFootnote0"/>
              <w:rPr>
                <w:rtl/>
              </w:rPr>
            </w:pPr>
            <w:r>
              <w:rPr>
                <w:rtl/>
              </w:rPr>
              <w:t>(10).</w:t>
            </w:r>
            <w:r w:rsidRPr="00C9040A">
              <w:rPr>
                <w:rtl/>
              </w:rPr>
              <w:t xml:space="preserve"> في « بر » وتحف العقول : « ومن »</w:t>
            </w:r>
            <w:r>
              <w:rPr>
                <w:rtl/>
              </w:rPr>
              <w:t>.</w:t>
            </w:r>
          </w:p>
        </w:tc>
      </w:tr>
    </w:tbl>
    <w:p w:rsidR="008A74EB" w:rsidRPr="004A4E41" w:rsidRDefault="006C577F" w:rsidP="004A4E41">
      <w:pPr>
        <w:pStyle w:val="libFootnote0"/>
        <w:rPr>
          <w:rStyle w:val="libFootnote0Char"/>
          <w:rtl/>
        </w:rPr>
      </w:pPr>
      <w:r>
        <w:rPr>
          <w:rtl/>
        </w:rPr>
        <w:t>(11).</w:t>
      </w:r>
      <w:r w:rsidR="008A74EB" w:rsidRPr="00C9040A">
        <w:rPr>
          <w:rtl/>
        </w:rPr>
        <w:t xml:space="preserve"> هكذا في « د ، ض ، بس » وشرح المازندراني والوسائل والبحار والمحاسن ، وجعله في </w:t>
      </w:r>
      <w:r w:rsidR="008A74EB" w:rsidRPr="00993B55">
        <w:rPr>
          <w:rStyle w:val="libFootnoteBoldChar"/>
          <w:rtl/>
        </w:rPr>
        <w:t>مرآة العقول</w:t>
      </w:r>
      <w:r w:rsidR="008A74EB" w:rsidRPr="00C9040A">
        <w:rPr>
          <w:rtl/>
        </w:rPr>
        <w:t xml:space="preserve"> أظهر. وفي سائر النسخ والمطبوع وتحف العقول : « الشيبة »</w:t>
      </w:r>
      <w:r w:rsidR="008A74EB">
        <w:rPr>
          <w:rtl/>
        </w:rPr>
        <w:t>.</w:t>
      </w:r>
    </w:p>
    <w:tbl>
      <w:tblPr>
        <w:tblStyle w:val="TableGrid"/>
        <w:bidiVisual/>
        <w:tblW w:w="0" w:type="auto"/>
        <w:tblLook w:val="04A0" w:firstRow="1" w:lastRow="0" w:firstColumn="1" w:lastColumn="0" w:noHBand="0" w:noVBand="1"/>
      </w:tblPr>
      <w:tblGrid>
        <w:gridCol w:w="4006"/>
        <w:gridCol w:w="4006"/>
      </w:tblGrid>
      <w:tr w:rsidR="001F0412" w:rsidTr="001F0412">
        <w:tc>
          <w:tcPr>
            <w:tcW w:w="4006" w:type="dxa"/>
          </w:tcPr>
          <w:p w:rsidR="001F0412" w:rsidRDefault="001F0412" w:rsidP="004A4E41">
            <w:pPr>
              <w:pStyle w:val="libFootnote0"/>
              <w:rPr>
                <w:rtl/>
              </w:rPr>
            </w:pPr>
            <w:r>
              <w:rPr>
                <w:rtl/>
              </w:rPr>
              <w:t>(12).</w:t>
            </w:r>
            <w:r w:rsidRPr="00C9040A">
              <w:rPr>
                <w:rtl/>
              </w:rPr>
              <w:t xml:space="preserve"> في«بر»وتحف العقول:«ومن»</w:t>
            </w:r>
            <w:r>
              <w:rPr>
                <w:rtl/>
              </w:rPr>
              <w:t>.</w:t>
            </w:r>
          </w:p>
        </w:tc>
        <w:tc>
          <w:tcPr>
            <w:tcW w:w="4006" w:type="dxa"/>
          </w:tcPr>
          <w:p w:rsidR="001F0412" w:rsidRDefault="001F0412" w:rsidP="004A4E41">
            <w:pPr>
              <w:pStyle w:val="libFootnote0"/>
              <w:rPr>
                <w:rtl/>
              </w:rPr>
            </w:pPr>
            <w:r>
              <w:rPr>
                <w:rtl/>
              </w:rPr>
              <w:t>(13)</w:t>
            </w:r>
            <w:r w:rsidRPr="00C9040A">
              <w:rPr>
                <w:rtl/>
              </w:rPr>
              <w:t xml:space="preserve"> في«ز،ص»:«الموت»</w:t>
            </w:r>
            <w:r>
              <w:rPr>
                <w:rtl/>
              </w:rPr>
              <w:t>.</w:t>
            </w:r>
          </w:p>
        </w:tc>
      </w:tr>
    </w:tbl>
    <w:p w:rsidR="008A74EB" w:rsidRPr="00C9040A" w:rsidRDefault="008A74EB" w:rsidP="004A4E41">
      <w:pPr>
        <w:pStyle w:val="libFootnote0"/>
        <w:rPr>
          <w:rtl/>
          <w:lang w:bidi="fa-IR"/>
        </w:rPr>
      </w:pPr>
      <w:r>
        <w:rPr>
          <w:rtl/>
        </w:rPr>
        <w:t>(14)</w:t>
      </w:r>
      <w:r w:rsidRPr="00C9040A">
        <w:rPr>
          <w:rtl/>
        </w:rPr>
        <w:t xml:space="preserve"> في « بر » : « والذي »</w:t>
      </w:r>
      <w:r>
        <w:rPr>
          <w:rtl/>
        </w:rPr>
        <w:t>.</w:t>
      </w:r>
      <w:r w:rsidRPr="00C9040A">
        <w:rPr>
          <w:rtl/>
        </w:rPr>
        <w:t xml:space="preserve"> وفي البحار : « فوالله الذي »</w:t>
      </w:r>
      <w:r>
        <w:rPr>
          <w:rtl/>
        </w:rPr>
        <w:t>.</w:t>
      </w:r>
    </w:p>
    <w:p w:rsidR="008A74EB" w:rsidRPr="00C9040A" w:rsidRDefault="008A74EB" w:rsidP="004A4E41">
      <w:pPr>
        <w:pStyle w:val="libFootnote0"/>
        <w:rPr>
          <w:rtl/>
          <w:lang w:bidi="fa-IR"/>
        </w:rPr>
      </w:pPr>
      <w:r>
        <w:rPr>
          <w:rtl/>
        </w:rPr>
        <w:t>(15)</w:t>
      </w:r>
      <w:r w:rsidRPr="00C9040A">
        <w:rPr>
          <w:rtl/>
        </w:rPr>
        <w:t xml:space="preserve"> في « ص ، ف » : « نفسي »</w:t>
      </w:r>
      <w:r>
        <w:rPr>
          <w:rtl/>
        </w:rPr>
        <w:t>.</w:t>
      </w:r>
    </w:p>
    <w:p w:rsidR="008A74EB" w:rsidRPr="00C9040A" w:rsidRDefault="008A74EB" w:rsidP="004A4E41">
      <w:pPr>
        <w:pStyle w:val="libFootnote0"/>
        <w:rPr>
          <w:rtl/>
          <w:lang w:bidi="fa-IR"/>
        </w:rPr>
      </w:pPr>
      <w:r>
        <w:rPr>
          <w:rtl/>
        </w:rPr>
        <w:t>(16)</w:t>
      </w:r>
      <w:r w:rsidRPr="00C9040A">
        <w:rPr>
          <w:rtl/>
        </w:rPr>
        <w:t xml:space="preserve"> « المستعتب » إمّا مصدر على زنة المفعول ، بمعنى طلب الرضا ، أو اسم مكان ، أو اسم فاعل على احتمال ، بمعنى طالبة.</w:t>
      </w:r>
      <w:r w:rsidR="001F0412">
        <w:rPr>
          <w:rFonts w:hint="cs"/>
          <w:rtl/>
        </w:rPr>
        <w:t xml:space="preserve">                                                      </w:t>
      </w:r>
      <w:r>
        <w:rPr>
          <w:rtl/>
        </w:rPr>
        <w:t>(17)</w:t>
      </w:r>
      <w:r w:rsidRPr="00C9040A">
        <w:rPr>
          <w:rtl/>
        </w:rPr>
        <w:t xml:space="preserve"> في « ص » </w:t>
      </w:r>
      <w:r>
        <w:rPr>
          <w:rtl/>
        </w:rPr>
        <w:t xml:space="preserve">: </w:t>
      </w:r>
      <w:r w:rsidR="0084262C">
        <w:rPr>
          <w:rtl/>
        </w:rPr>
        <w:t>-</w:t>
      </w:r>
      <w:r w:rsidRPr="00C9040A">
        <w:rPr>
          <w:rtl/>
        </w:rPr>
        <w:t xml:space="preserve"> « من »</w:t>
      </w:r>
      <w:r>
        <w:rPr>
          <w:rtl/>
        </w:rPr>
        <w:t>.</w:t>
      </w:r>
    </w:p>
    <w:p w:rsidR="008A74EB" w:rsidRPr="00C9040A" w:rsidRDefault="008A74EB" w:rsidP="004A4E41">
      <w:pPr>
        <w:pStyle w:val="libFootnote0"/>
        <w:rPr>
          <w:rtl/>
          <w:lang w:bidi="fa-IR"/>
        </w:rPr>
      </w:pPr>
      <w:r>
        <w:rPr>
          <w:rtl/>
        </w:rPr>
        <w:t>(18)</w:t>
      </w:r>
      <w:r w:rsidRPr="00C9040A">
        <w:rPr>
          <w:rtl/>
        </w:rPr>
        <w:t xml:space="preserve"> في « بر » والبحار وتحف العقول : « والنار »</w:t>
      </w:r>
      <w:r>
        <w:rPr>
          <w:rtl/>
        </w:rPr>
        <w:t>.</w:t>
      </w:r>
    </w:p>
    <w:p w:rsidR="008A74EB" w:rsidRPr="00C9040A" w:rsidRDefault="008A74EB" w:rsidP="004A4E41">
      <w:pPr>
        <w:pStyle w:val="libFootnote0"/>
        <w:rPr>
          <w:rtl/>
          <w:lang w:bidi="fa-IR"/>
        </w:rPr>
      </w:pPr>
      <w:r>
        <w:rPr>
          <w:rtl/>
        </w:rPr>
        <w:t>(19)</w:t>
      </w:r>
      <w:r w:rsidRPr="00C9040A">
        <w:rPr>
          <w:rtl/>
        </w:rPr>
        <w:t xml:space="preserve"> </w:t>
      </w:r>
      <w:r w:rsidRPr="00993B55">
        <w:rPr>
          <w:rStyle w:val="libFootnoteBoldChar"/>
          <w:rtl/>
        </w:rPr>
        <w:t>المحاسن</w:t>
      </w:r>
      <w:r w:rsidRPr="00C9040A">
        <w:rPr>
          <w:rtl/>
        </w:rPr>
        <w:t xml:space="preserve"> ، ص 272 ، كتاب مصابيح الظلم ، ح 376 ، بسند آخر ، وتمامه فيه هكذا : « إنّ لكم معالم فاتّبعوها ونهاية فانتهوا إليها »</w:t>
      </w:r>
      <w:r>
        <w:rPr>
          <w:rtl/>
        </w:rPr>
        <w:t>.</w:t>
      </w:r>
      <w:r w:rsidRPr="00C9040A">
        <w:rPr>
          <w:rtl/>
        </w:rPr>
        <w:t xml:space="preserve"> </w:t>
      </w:r>
      <w:r w:rsidRPr="00993B55">
        <w:rPr>
          <w:rStyle w:val="libFootnoteBoldChar"/>
          <w:rtl/>
        </w:rPr>
        <w:t>تحف العقول</w:t>
      </w:r>
      <w:r w:rsidRPr="00C9040A">
        <w:rPr>
          <w:rtl/>
        </w:rPr>
        <w:t xml:space="preserve"> ، ص 27 ، ذيل الحديث الطويل ، عن النبيّ </w:t>
      </w:r>
      <w:r w:rsidR="004A4E41" w:rsidRPr="00AC2E2F">
        <w:rPr>
          <w:rStyle w:val="libFootnoteAlaemChar"/>
          <w:rtl/>
        </w:rPr>
        <w:t>صلى‌الله‌عليه‌وآله</w:t>
      </w:r>
      <w:r w:rsidRPr="00C9040A">
        <w:rPr>
          <w:rtl/>
        </w:rPr>
        <w:t xml:space="preserve"> ، مع اختلاف يسير </w:t>
      </w:r>
      <w:r w:rsidR="001F0412">
        <w:rPr>
          <w:rFonts w:hint="cs"/>
          <w:rtl/>
        </w:rPr>
        <w:t>.</w:t>
      </w:r>
      <w:r w:rsidRPr="00993B55">
        <w:rPr>
          <w:rStyle w:val="libFootnoteBoldChar"/>
          <w:rtl/>
        </w:rPr>
        <w:t>الوافي</w:t>
      </w:r>
      <w:r w:rsidRPr="00C9040A">
        <w:rPr>
          <w:rtl/>
        </w:rPr>
        <w:t xml:space="preserve"> ، ج 4 ، ص 294 ، ح 1967 ؛ </w:t>
      </w:r>
      <w:r w:rsidRPr="00993B55">
        <w:rPr>
          <w:rStyle w:val="libFootnoteBoldChar"/>
          <w:rtl/>
        </w:rPr>
        <w:t>الوسائل</w:t>
      </w:r>
      <w:r w:rsidRPr="00C9040A">
        <w:rPr>
          <w:rtl/>
        </w:rPr>
        <w:t xml:space="preserve"> ، ج 15 ، ص 218 ، ح 20319 ؛ </w:t>
      </w:r>
      <w:r w:rsidRPr="00993B55">
        <w:rPr>
          <w:rStyle w:val="libFootnoteBoldChar"/>
          <w:rtl/>
        </w:rPr>
        <w:t>البحار</w:t>
      </w:r>
      <w:r w:rsidRPr="00C9040A">
        <w:rPr>
          <w:rtl/>
        </w:rPr>
        <w:t xml:space="preserve"> ، ج 70 ، ص 362 ، ح 7.</w:t>
      </w:r>
    </w:p>
    <w:p w:rsidR="004B7F34" w:rsidRDefault="004B7F34" w:rsidP="004B7F34">
      <w:pPr>
        <w:pStyle w:val="libNormal"/>
        <w:rPr>
          <w:rtl/>
          <w:lang w:bidi="fa-IR"/>
        </w:rPr>
      </w:pPr>
      <w:r>
        <w:rPr>
          <w:rtl/>
          <w:lang w:bidi="fa-IR"/>
        </w:rPr>
        <w:br w:type="page"/>
      </w:r>
    </w:p>
    <w:p w:rsidR="008A74EB" w:rsidRDefault="008A74EB" w:rsidP="008A74EB">
      <w:pPr>
        <w:pStyle w:val="libNormal"/>
        <w:rPr>
          <w:rtl/>
          <w:lang w:bidi="fa-IR"/>
        </w:rPr>
      </w:pPr>
      <w:r w:rsidRPr="00755654">
        <w:rPr>
          <w:rtl/>
        </w:rPr>
        <w:lastRenderedPageBreak/>
        <w:t>1608</w:t>
      </w:r>
      <w:r w:rsidRPr="00261CB0">
        <w:rPr>
          <w:rStyle w:val="libBold2Char"/>
          <w:rtl/>
        </w:rPr>
        <w:t xml:space="preserve"> / 10.</w:t>
      </w:r>
      <w:r w:rsidRPr="00C9040A">
        <w:rPr>
          <w:rtl/>
          <w:lang w:bidi="fa-IR"/>
        </w:rPr>
        <w:t xml:space="preserve"> عَنْهُ ، عَنْ أَحْمَدَ ، عَنِ ابْنِ مَحْبُوبٍ ، عَنْ دَاوُدَ الرَّقِّيِّ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فِي قَوْلِ اللهِ عَزَّ وَجَلَّ : </w:t>
      </w:r>
      <w:r w:rsidRPr="0003660B">
        <w:rPr>
          <w:rStyle w:val="libAlaemChar"/>
          <w:rtl/>
        </w:rPr>
        <w:t>(</w:t>
      </w:r>
      <w:r w:rsidRPr="006A2246">
        <w:rPr>
          <w:rStyle w:val="libAieChar"/>
          <w:rtl/>
        </w:rPr>
        <w:t xml:space="preserve"> وَلِمَنْ خافَ مَقامَ رَبِّهِ جَنَّتانِ </w:t>
      </w:r>
      <w:r w:rsidRPr="0003660B">
        <w:rPr>
          <w:rStyle w:val="libAlaemChar"/>
          <w:rtl/>
        </w:rPr>
        <w:t>)</w:t>
      </w:r>
      <w:r w:rsidRPr="00C9040A">
        <w:rPr>
          <w:rtl/>
          <w:lang w:bidi="fa-IR"/>
        </w:rPr>
        <w:t xml:space="preserve"> </w:t>
      </w:r>
      <w:r w:rsidR="006C577F" w:rsidRPr="006C577F">
        <w:rPr>
          <w:rStyle w:val="libFootnotenumChar"/>
          <w:rtl/>
        </w:rPr>
        <w:t>(1)</w:t>
      </w:r>
      <w:r w:rsidRPr="002712F0">
        <w:rPr>
          <w:rFonts w:hint="cs"/>
          <w:rtl/>
        </w:rPr>
        <w:t xml:space="preserve"> </w:t>
      </w:r>
      <w:r w:rsidRPr="00C9040A">
        <w:rPr>
          <w:rtl/>
          <w:lang w:bidi="fa-IR"/>
        </w:rPr>
        <w:t xml:space="preserve">قَالَ : « مَنْ عَلِمَ أَنَّ اللهَ يَرَاهُ وَيَسْمَعُ مَا يَقُولُ </w:t>
      </w:r>
      <w:r w:rsidR="006C577F" w:rsidRPr="006C577F">
        <w:rPr>
          <w:rStyle w:val="libFootnotenumChar"/>
          <w:rtl/>
        </w:rPr>
        <w:t>(2)</w:t>
      </w:r>
      <w:r w:rsidRPr="00C9040A">
        <w:rPr>
          <w:rtl/>
          <w:lang w:bidi="fa-IR"/>
        </w:rPr>
        <w:t xml:space="preserve"> وَيَعْلَمُ مَا يَعْمَلُهُ </w:t>
      </w:r>
      <w:r w:rsidR="006C577F" w:rsidRPr="006C577F">
        <w:rPr>
          <w:rStyle w:val="libFootnotenumChar"/>
          <w:rtl/>
        </w:rPr>
        <w:t>(3)</w:t>
      </w:r>
      <w:r w:rsidRPr="00C9040A">
        <w:rPr>
          <w:rtl/>
          <w:lang w:bidi="fa-IR"/>
        </w:rPr>
        <w:t xml:space="preserve"> مِنْ خَيْرٍ أَوْ شَرٍّ ، فَيَحْجُزُهُ ذلِكَ عَنِ الْقَبِيحِ مِنَ الْأَعْمَالِ ، فَذلِكَ الَّذِي ، خَافَ مَقَامَ رَبِّهِ وَنَهَى النَّفْسَ عَنِ الْهَوى </w:t>
      </w:r>
      <w:r w:rsidR="006C577F" w:rsidRPr="006C577F">
        <w:rPr>
          <w:rStyle w:val="libFootnotenumChar"/>
          <w:rtl/>
        </w:rPr>
        <w:t>(4)</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755654">
        <w:rPr>
          <w:rtl/>
        </w:rPr>
        <w:t>1609</w:t>
      </w:r>
      <w:r w:rsidRPr="00261CB0">
        <w:rPr>
          <w:rStyle w:val="libBold2Char"/>
          <w:rtl/>
        </w:rPr>
        <w:t xml:space="preserve"> / 11.</w:t>
      </w:r>
      <w:r w:rsidRPr="00C9040A">
        <w:rPr>
          <w:rtl/>
          <w:lang w:bidi="fa-IR"/>
        </w:rPr>
        <w:t xml:space="preserve"> عَنْهُ ، عَنْ أَحْمَدَ بْنِ مُحَمَّدٍ ، عَنِ ابْنِ سِنَانٍ ، عَنِ ابْنِ مُسْكَانَ ، عَنِ الْحَسَنِ </w:t>
      </w:r>
      <w:r w:rsidR="006C577F" w:rsidRPr="006C577F">
        <w:rPr>
          <w:rStyle w:val="libFootnotenumChar"/>
          <w:rtl/>
        </w:rPr>
        <w:t>(6)</w:t>
      </w:r>
      <w:r w:rsidRPr="005B567D">
        <w:rPr>
          <w:rStyle w:val="libFootnotenumChar"/>
          <w:rtl/>
        </w:rPr>
        <w:t xml:space="preserve"> </w:t>
      </w:r>
      <w:r w:rsidRPr="00C9040A">
        <w:rPr>
          <w:rtl/>
          <w:lang w:bidi="fa-IR"/>
        </w:rPr>
        <w:t>بْنِ أَبِي سَارَةَ ، قَالَ :</w:t>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 « لَا يَكُونُ الْمُؤْمِنُ مُؤْمِناً حَتّى يَكُونَ خَائِفاً رَاجِياً ، وَلَا يَكُونُ خَائِفاً رَاجِياً حَتّى يَكُونَ عَامِلاً </w:t>
      </w:r>
      <w:r w:rsidR="006C577F" w:rsidRPr="006C577F">
        <w:rPr>
          <w:rStyle w:val="libFootnotenumChar"/>
          <w:rtl/>
        </w:rPr>
        <w:t>(7)</w:t>
      </w:r>
      <w:r w:rsidRPr="00C9040A">
        <w:rPr>
          <w:rtl/>
          <w:lang w:bidi="fa-IR"/>
        </w:rPr>
        <w:t xml:space="preserve"> لِمَا </w:t>
      </w:r>
      <w:r w:rsidR="006C577F" w:rsidRPr="006C577F">
        <w:rPr>
          <w:rStyle w:val="libFootnotenumChar"/>
          <w:rtl/>
        </w:rPr>
        <w:t>(8)</w:t>
      </w:r>
      <w:r w:rsidRPr="00C9040A">
        <w:rPr>
          <w:rtl/>
          <w:lang w:bidi="fa-IR"/>
        </w:rPr>
        <w:t xml:space="preserve"> يَخَافُ وَيَرْجُو »</w:t>
      </w:r>
      <w:r>
        <w:rPr>
          <w:rtl/>
          <w:lang w:bidi="fa-IR"/>
        </w:rPr>
        <w:t>.</w:t>
      </w:r>
      <w:r w:rsidRPr="00C9040A">
        <w:rPr>
          <w:rtl/>
          <w:lang w:bidi="fa-IR"/>
        </w:rPr>
        <w:t xml:space="preserve"> </w:t>
      </w:r>
      <w:r w:rsidR="006C577F" w:rsidRPr="006C577F">
        <w:rPr>
          <w:rStyle w:val="libFootnotenumChar"/>
          <w:rtl/>
        </w:rPr>
        <w:t>(9)</w:t>
      </w:r>
      <w:r w:rsidRPr="00C9040A">
        <w:rPr>
          <w:rtl/>
          <w:lang w:bidi="fa-IR"/>
        </w:rPr>
        <w:t xml:space="preserve"> ‌</w:t>
      </w:r>
    </w:p>
    <w:p w:rsidR="008A74EB" w:rsidRPr="00C9040A" w:rsidRDefault="008A74EB" w:rsidP="008A74EB">
      <w:pPr>
        <w:pStyle w:val="libNormal"/>
        <w:rPr>
          <w:rtl/>
          <w:lang w:bidi="fa-IR"/>
        </w:rPr>
      </w:pPr>
      <w:r w:rsidRPr="00755654">
        <w:rPr>
          <w:rtl/>
        </w:rPr>
        <w:t>1610</w:t>
      </w:r>
      <w:r w:rsidRPr="00261CB0">
        <w:rPr>
          <w:rStyle w:val="libBold2Char"/>
          <w:rtl/>
        </w:rPr>
        <w:t xml:space="preserve"> / 12.</w:t>
      </w:r>
      <w:r w:rsidRPr="00C9040A">
        <w:rPr>
          <w:rtl/>
          <w:lang w:bidi="fa-IR"/>
        </w:rPr>
        <w:t xml:space="preserve"> عَلِيُّ بْنُ إِبْرَاهِيمَ ، عَنْ مُحَمَّدِ بْنِ عِيسى ، عَنْ يُونُسَ ، عَنْ فُضَيْلِ بْنِ عُثْمَانَ ، عَنْ أَبِي عُبَيْدَةَ الْحَذَّاءِ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الْمُؤْمِنُ بَيْنَ مَخَافَتَيْنِ : ذَنْبٍ قَدْ مَضى لَايَدْرِي‌</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9C645E" w:rsidTr="009C645E">
        <w:tc>
          <w:tcPr>
            <w:tcW w:w="4006" w:type="dxa"/>
          </w:tcPr>
          <w:p w:rsidR="009C645E" w:rsidRDefault="009C645E" w:rsidP="004A4E41">
            <w:pPr>
              <w:pStyle w:val="libFootnote0"/>
              <w:rPr>
                <w:rtl/>
              </w:rPr>
            </w:pPr>
            <w:r>
              <w:rPr>
                <w:rtl/>
              </w:rPr>
              <w:t>(1).</w:t>
            </w:r>
            <w:r w:rsidRPr="00C9040A">
              <w:rPr>
                <w:rtl/>
              </w:rPr>
              <w:t xml:space="preserve"> الرحمن (55) : 46.</w:t>
            </w:r>
          </w:p>
        </w:tc>
        <w:tc>
          <w:tcPr>
            <w:tcW w:w="4006" w:type="dxa"/>
          </w:tcPr>
          <w:p w:rsidR="009C645E" w:rsidRDefault="009C645E" w:rsidP="004A4E41">
            <w:pPr>
              <w:pStyle w:val="libFootnote0"/>
              <w:rPr>
                <w:rtl/>
              </w:rPr>
            </w:pPr>
            <w:r>
              <w:rPr>
                <w:rtl/>
              </w:rPr>
              <w:t xml:space="preserve">(2). </w:t>
            </w:r>
            <w:r w:rsidRPr="00C9040A">
              <w:rPr>
                <w:rtl/>
              </w:rPr>
              <w:t>في « بف » والبحار : + « ويفعله »</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في الكافي ، ح 1651 : « ويسمع ما يقوله ويفعله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إشارة إلى الآية 40 من سورة النازعات (79)</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الكافي</w:t>
      </w:r>
      <w:r w:rsidR="008A74EB" w:rsidRPr="00C9040A">
        <w:rPr>
          <w:rtl/>
        </w:rPr>
        <w:t xml:space="preserve"> ، كتاب الإيمان والكفر ، باب اجتناب المحارم ، ح 1651 </w:t>
      </w:r>
      <w:r w:rsidR="009C645E">
        <w:rPr>
          <w:rFonts w:hint="cs"/>
          <w:rtl/>
        </w:rPr>
        <w:t>.</w:t>
      </w:r>
      <w:r w:rsidR="008A74EB" w:rsidRPr="00993B55">
        <w:rPr>
          <w:rStyle w:val="libFootnoteBoldChar"/>
          <w:rtl/>
        </w:rPr>
        <w:t>الوافي</w:t>
      </w:r>
      <w:r w:rsidR="008A74EB" w:rsidRPr="00C9040A">
        <w:rPr>
          <w:rtl/>
        </w:rPr>
        <w:t xml:space="preserve"> ، ج 4 ، ص 291 ، ح 1963 ؛ </w:t>
      </w:r>
      <w:r w:rsidR="008A74EB" w:rsidRPr="00993B55">
        <w:rPr>
          <w:rStyle w:val="libFootnoteBoldChar"/>
          <w:rtl/>
        </w:rPr>
        <w:t>الوسائل</w:t>
      </w:r>
      <w:r w:rsidR="008A74EB" w:rsidRPr="00C9040A">
        <w:rPr>
          <w:rtl/>
        </w:rPr>
        <w:t xml:space="preserve"> ، ج 15 ، ص 219 ، ح 20321 ؛ </w:t>
      </w:r>
      <w:r w:rsidR="008A74EB" w:rsidRPr="00993B55">
        <w:rPr>
          <w:rStyle w:val="libFootnoteBoldChar"/>
          <w:rtl/>
        </w:rPr>
        <w:t>البحار</w:t>
      </w:r>
      <w:r w:rsidR="008A74EB" w:rsidRPr="00C9040A">
        <w:rPr>
          <w:rtl/>
        </w:rPr>
        <w:t xml:space="preserve"> ، ج 70 ، ص 364 ، ح 8.</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ب » : « الحنين »</w:t>
      </w:r>
      <w:r w:rsidR="008A74EB">
        <w:rPr>
          <w:rtl/>
        </w:rPr>
        <w:t>.</w:t>
      </w:r>
      <w:r w:rsidR="008A74EB" w:rsidRPr="00C9040A">
        <w:rPr>
          <w:rtl/>
        </w:rPr>
        <w:t xml:space="preserve"> وفي « د ، ص ، ض ، ف ، بس ، بف » والوسائل : « الحسين » ، وكلاهما سهو. والحسن هذا ، هو الحسن بن أبي سارة النيلي. راجع : </w:t>
      </w:r>
      <w:r w:rsidR="008A74EB" w:rsidRPr="00993B55">
        <w:rPr>
          <w:rStyle w:val="libFootnoteBoldChar"/>
          <w:rtl/>
        </w:rPr>
        <w:t>رجال النجاشي</w:t>
      </w:r>
      <w:r w:rsidR="008A74EB" w:rsidRPr="00C9040A">
        <w:rPr>
          <w:rtl/>
        </w:rPr>
        <w:t xml:space="preserve"> ، ص 324 ، الرقم 883 ؛ </w:t>
      </w:r>
      <w:r w:rsidR="008A74EB" w:rsidRPr="00993B55">
        <w:rPr>
          <w:rStyle w:val="libFootnoteBoldChar"/>
          <w:rtl/>
        </w:rPr>
        <w:t>رجال الطوسي</w:t>
      </w:r>
      <w:r w:rsidR="008A74EB" w:rsidRPr="00C9040A">
        <w:rPr>
          <w:rtl/>
        </w:rPr>
        <w:t xml:space="preserve"> ، ص 130 ، الرقم 1323 ؛ وص 181 ، الرقم 2179.</w:t>
      </w:r>
    </w:p>
    <w:p w:rsidR="008A74EB" w:rsidRPr="00C9040A" w:rsidRDefault="006C577F" w:rsidP="004A4E41">
      <w:pPr>
        <w:pStyle w:val="libFootnote0"/>
        <w:rPr>
          <w:rtl/>
          <w:lang w:bidi="fa-IR"/>
        </w:rPr>
      </w:pPr>
      <w:r>
        <w:rPr>
          <w:rtl/>
        </w:rPr>
        <w:t>(7).</w:t>
      </w:r>
      <w:r w:rsidR="008A74EB" w:rsidRPr="00C9040A">
        <w:rPr>
          <w:rtl/>
        </w:rPr>
        <w:t xml:space="preserve"> في « ب » وحاشية « ف » : « عالماً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 بر » : « بما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w:t>
      </w:r>
      <w:r w:rsidR="008A74EB" w:rsidRPr="0034021D">
        <w:rPr>
          <w:rStyle w:val="libFootnoteBoldChar"/>
          <w:rtl/>
        </w:rPr>
        <w:t>الأمالي للمفيد</w:t>
      </w:r>
      <w:r w:rsidR="008A74EB" w:rsidRPr="00C9040A">
        <w:rPr>
          <w:rtl/>
        </w:rPr>
        <w:t xml:space="preserve"> ، ص 195 ، المجلس 23 ، ح 27 ، بسنده عن محمّد بن سنان ، عن الحسن بن أبي سارة. </w:t>
      </w:r>
      <w:r w:rsidR="008A74EB" w:rsidRPr="00993B55">
        <w:rPr>
          <w:rStyle w:val="libFootnoteBoldChar"/>
          <w:rtl/>
        </w:rPr>
        <w:t>تحف العقول</w:t>
      </w:r>
      <w:r w:rsidR="008A74EB" w:rsidRPr="00C9040A">
        <w:rPr>
          <w:rtl/>
        </w:rPr>
        <w:t xml:space="preserve"> ، ص 369 ؛ </w:t>
      </w:r>
      <w:r w:rsidR="008A74EB" w:rsidRPr="00993B55">
        <w:rPr>
          <w:rStyle w:val="libFootnoteBoldChar"/>
          <w:rtl/>
        </w:rPr>
        <w:t>وفيه</w:t>
      </w:r>
      <w:r w:rsidR="008A74EB" w:rsidRPr="00C9040A">
        <w:rPr>
          <w:rtl/>
        </w:rPr>
        <w:t xml:space="preserve"> ، ص 395 ، ضمن الحديث الطويل ، عن الكاظم </w:t>
      </w:r>
      <w:r w:rsidR="00117575" w:rsidRPr="00117575">
        <w:rPr>
          <w:rStyle w:val="libFootnoteAlaemChar"/>
          <w:rtl/>
        </w:rPr>
        <w:t>عليه‌السلام</w:t>
      </w:r>
      <w:r w:rsidR="008A74EB" w:rsidRPr="00C9040A">
        <w:rPr>
          <w:rtl/>
        </w:rPr>
        <w:t xml:space="preserve"> ، مع اختلاف يسير </w:t>
      </w:r>
      <w:r w:rsidR="009C645E">
        <w:rPr>
          <w:rFonts w:hint="cs"/>
          <w:rtl/>
        </w:rPr>
        <w:t>.</w:t>
      </w:r>
      <w:r w:rsidR="008A74EB" w:rsidRPr="00993B55">
        <w:rPr>
          <w:rStyle w:val="libFootnoteBoldChar"/>
          <w:rtl/>
        </w:rPr>
        <w:t>الوافي</w:t>
      </w:r>
      <w:r w:rsidR="008A74EB" w:rsidRPr="00C9040A">
        <w:rPr>
          <w:rtl/>
        </w:rPr>
        <w:t xml:space="preserve"> ، ج 4 ، ص 291 ، ح 1962 ؛ </w:t>
      </w:r>
      <w:r w:rsidR="008A74EB" w:rsidRPr="00993B55">
        <w:rPr>
          <w:rStyle w:val="libFootnoteBoldChar"/>
          <w:rtl/>
        </w:rPr>
        <w:t>الوسائل</w:t>
      </w:r>
      <w:r w:rsidR="008A74EB" w:rsidRPr="00C9040A">
        <w:rPr>
          <w:rtl/>
        </w:rPr>
        <w:t xml:space="preserve"> ، ج 15 ، ص 217 ، ح 20315 ؛ </w:t>
      </w:r>
      <w:r w:rsidR="008A74EB" w:rsidRPr="00993B55">
        <w:rPr>
          <w:rStyle w:val="libFootnoteBoldChar"/>
          <w:rtl/>
        </w:rPr>
        <w:t>البحار</w:t>
      </w:r>
      <w:r w:rsidR="008A74EB" w:rsidRPr="00C9040A">
        <w:rPr>
          <w:rtl/>
        </w:rPr>
        <w:t xml:space="preserve"> ، ج 70 ، ص 365 ، ح 9.</w:t>
      </w:r>
    </w:p>
    <w:p w:rsidR="004B7F34" w:rsidRDefault="004B7F34" w:rsidP="004B7F34">
      <w:pPr>
        <w:pStyle w:val="libNormal"/>
        <w:rPr>
          <w:rtl/>
          <w:lang w:bidi="fa-IR"/>
        </w:rPr>
      </w:pPr>
      <w:r>
        <w:rPr>
          <w:rtl/>
          <w:lang w:bidi="fa-IR"/>
        </w:rPr>
        <w:br w:type="page"/>
      </w:r>
    </w:p>
    <w:p w:rsidR="008A74EB" w:rsidRPr="00C9040A" w:rsidRDefault="008A74EB" w:rsidP="00BE1BEF">
      <w:pPr>
        <w:pStyle w:val="libNormal0"/>
        <w:rPr>
          <w:rtl/>
          <w:lang w:bidi="fa-IR"/>
        </w:rPr>
      </w:pPr>
      <w:r w:rsidRPr="00C9040A">
        <w:rPr>
          <w:rtl/>
          <w:lang w:bidi="fa-IR"/>
        </w:rPr>
        <w:lastRenderedPageBreak/>
        <w:t xml:space="preserve">مَا صَنَعَ اللهُ فِيهِ ، وَعُمُرٍ قَدْ بَقِيَ لَايَدْرِي مَا يَكْتَسِبُ فِيهِ مِنَ الْمَهَالِكِ ، فَهُوَ لَايُصْبِحُ </w:t>
      </w:r>
      <w:r w:rsidR="006C577F" w:rsidRPr="006C577F">
        <w:rPr>
          <w:rStyle w:val="libFootnotenumChar"/>
          <w:rtl/>
        </w:rPr>
        <w:t>(1)</w:t>
      </w:r>
      <w:r w:rsidRPr="00853746">
        <w:rPr>
          <w:rFonts w:hint="cs"/>
          <w:rtl/>
        </w:rPr>
        <w:t xml:space="preserve"> </w:t>
      </w:r>
      <w:r w:rsidR="00765430">
        <w:rPr>
          <w:rtl/>
          <w:lang w:bidi="fa-IR"/>
        </w:rPr>
        <w:t>إِل</w:t>
      </w:r>
      <w:r w:rsidR="00765430">
        <w:rPr>
          <w:rFonts w:hint="cs"/>
          <w:rtl/>
          <w:lang w:bidi="fa-IR"/>
        </w:rPr>
        <w:t>َّ</w:t>
      </w:r>
      <w:r w:rsidR="00765430">
        <w:rPr>
          <w:rtl/>
          <w:lang w:bidi="fa-IR"/>
        </w:rPr>
        <w:t>ا</w:t>
      </w:r>
      <w:r w:rsidRPr="00C9040A">
        <w:rPr>
          <w:rtl/>
          <w:lang w:bidi="fa-IR"/>
        </w:rPr>
        <w:t xml:space="preserve"> خَائِفاً </w:t>
      </w:r>
      <w:r w:rsidR="006C577F" w:rsidRPr="006C577F">
        <w:rPr>
          <w:rStyle w:val="libFootnotenumChar"/>
          <w:rtl/>
        </w:rPr>
        <w:t>(2)</w:t>
      </w:r>
      <w:r w:rsidR="00BE1BEF">
        <w:rPr>
          <w:rtl/>
          <w:lang w:bidi="fa-IR"/>
        </w:rPr>
        <w:t xml:space="preserve"> ، وَلَا يُصْلِحُهُ إِل</w:t>
      </w:r>
      <w:r w:rsidR="00BE1BEF">
        <w:rPr>
          <w:rFonts w:hint="cs"/>
          <w:rtl/>
          <w:lang w:bidi="fa-IR"/>
        </w:rPr>
        <w:t>َّ</w:t>
      </w:r>
      <w:r w:rsidR="00BE1BEF">
        <w:rPr>
          <w:rtl/>
          <w:lang w:bidi="fa-IR"/>
        </w:rPr>
        <w:t>ا</w:t>
      </w:r>
      <w:r w:rsidRPr="00C9040A">
        <w:rPr>
          <w:rtl/>
          <w:lang w:bidi="fa-IR"/>
        </w:rPr>
        <w:t xml:space="preserve"> الْخَوْفُ </w:t>
      </w:r>
      <w:r w:rsidR="006C577F" w:rsidRPr="006C577F">
        <w:rPr>
          <w:rStyle w:val="libFootnotenumChar"/>
          <w:rtl/>
        </w:rPr>
        <w:t>(3)</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755654">
        <w:rPr>
          <w:rtl/>
        </w:rPr>
        <w:t>1611</w:t>
      </w:r>
      <w:r w:rsidRPr="00261CB0">
        <w:rPr>
          <w:rStyle w:val="libBold2Char"/>
          <w:rtl/>
        </w:rPr>
        <w:t xml:space="preserve"> / 13.</w:t>
      </w:r>
      <w:r w:rsidRPr="00C9040A">
        <w:rPr>
          <w:rtl/>
          <w:lang w:bidi="fa-IR"/>
        </w:rPr>
        <w:t xml:space="preserve"> عَلِيُّ بْنُ إِبْرَاهِيمَ ، عَنْ أَبِيهِ ، عَنِ ابْنِ أَبِي عُمَيْرٍ ، عَنْ بَعْضِ أَصْحَابِهِ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كَانَ أَبِي </w:t>
      </w:r>
      <w:r w:rsidRPr="0003660B">
        <w:rPr>
          <w:rStyle w:val="libAlaemChar"/>
          <w:rtl/>
        </w:rPr>
        <w:t>عليه‌السلام</w:t>
      </w:r>
      <w:r w:rsidRPr="00C9040A">
        <w:rPr>
          <w:rtl/>
          <w:lang w:bidi="fa-IR"/>
        </w:rPr>
        <w:t xml:space="preserve"> يَقُولُ : إِنَّهُ لَ</w:t>
      </w:r>
      <w:r w:rsidR="00A12548">
        <w:rPr>
          <w:rtl/>
          <w:lang w:bidi="fa-IR"/>
        </w:rPr>
        <w:t>يْسَ مِنْ عَبْدٍ مُؤْمِنٍ إِل</w:t>
      </w:r>
      <w:r w:rsidR="00A12548">
        <w:rPr>
          <w:rFonts w:hint="cs"/>
          <w:rtl/>
          <w:lang w:bidi="fa-IR"/>
        </w:rPr>
        <w:t>َّ</w:t>
      </w:r>
      <w:r w:rsidR="00A12548">
        <w:rPr>
          <w:rtl/>
          <w:lang w:bidi="fa-IR"/>
        </w:rPr>
        <w:t>ا</w:t>
      </w:r>
      <w:r w:rsidRPr="00C9040A">
        <w:rPr>
          <w:rtl/>
          <w:lang w:bidi="fa-IR"/>
        </w:rPr>
        <w:t xml:space="preserve"> وَ</w:t>
      </w:r>
      <w:r>
        <w:rPr>
          <w:rFonts w:hint="cs"/>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فِي قَلْبِهِ نُورَانِ : نُورُ خِيفَةٍ ، وَنُورُ رَجَاءٍ ، لَوْ وُزِنَ هذَا لَمْ يَزِدْ عَلى هذَا ، وَلَوْ وُ</w:t>
      </w:r>
      <w:r w:rsidR="00AC2E2F">
        <w:rPr>
          <w:rtl/>
          <w:lang w:bidi="fa-IR"/>
        </w:rPr>
        <w:t>زِنَ هذَا لَمْ يَزِدْ عَلى هذَا</w:t>
      </w:r>
      <w:r w:rsidRPr="00C9040A">
        <w:rPr>
          <w:rtl/>
          <w:lang w:bidi="fa-IR"/>
        </w:rPr>
        <w:t>»</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Heading2Center"/>
        <w:rPr>
          <w:rtl/>
          <w:lang w:bidi="fa-IR"/>
        </w:rPr>
      </w:pPr>
      <w:bookmarkStart w:id="112" w:name="_Toc343795625"/>
      <w:bookmarkStart w:id="113" w:name="_Toc459810749"/>
      <w:bookmarkStart w:id="114" w:name="_Toc35348655"/>
      <w:r w:rsidRPr="00C9040A">
        <w:rPr>
          <w:rtl/>
          <w:lang w:bidi="fa-IR"/>
        </w:rPr>
        <w:t>34</w:t>
      </w:r>
      <w:r>
        <w:rPr>
          <w:rtl/>
          <w:lang w:bidi="fa-IR"/>
        </w:rPr>
        <w:t xml:space="preserve"> </w:t>
      </w:r>
      <w:r w:rsidR="0084262C">
        <w:rPr>
          <w:rtl/>
          <w:lang w:bidi="fa-IR"/>
        </w:rPr>
        <w:t>-</w:t>
      </w:r>
      <w:r>
        <w:rPr>
          <w:rtl/>
          <w:lang w:bidi="fa-IR"/>
        </w:rPr>
        <w:t xml:space="preserve"> </w:t>
      </w:r>
      <w:r w:rsidRPr="00C9040A">
        <w:rPr>
          <w:rtl/>
          <w:lang w:bidi="fa-IR"/>
        </w:rPr>
        <w:t>بَابُ حُسْنِ الظَّنِّ بِاللهِ عَزَّ وَجَلَّ‌</w:t>
      </w:r>
      <w:bookmarkEnd w:id="112"/>
      <w:bookmarkEnd w:id="113"/>
      <w:bookmarkEnd w:id="114"/>
    </w:p>
    <w:p w:rsidR="008A74EB" w:rsidRPr="00C9040A" w:rsidRDefault="008A74EB" w:rsidP="008A74EB">
      <w:pPr>
        <w:pStyle w:val="libNormal"/>
        <w:rPr>
          <w:rtl/>
          <w:lang w:bidi="fa-IR"/>
        </w:rPr>
      </w:pPr>
      <w:r w:rsidRPr="00755654">
        <w:rPr>
          <w:rtl/>
        </w:rPr>
        <w:t>1612</w:t>
      </w:r>
      <w:r w:rsidRPr="00261CB0">
        <w:rPr>
          <w:rStyle w:val="libBold2Char"/>
          <w:rtl/>
        </w:rPr>
        <w:t xml:space="preserve"> / 1.</w:t>
      </w:r>
      <w:r w:rsidRPr="00C9040A">
        <w:rPr>
          <w:rtl/>
          <w:lang w:bidi="fa-IR"/>
        </w:rPr>
        <w:t xml:space="preserve"> عِدَّةٌ مِنْ أَصْحَابِنَا ، عَنْ أَحْمَدَ بْنِ مُحَمَّدٍ ، عَنِ ابْنِ مَحْبُوبٍ ، عَنْ دَاوُدَ بْنِ كَثِيرٍ ، عَنْ أَبِي عُبَيْدَةَ الْحَذَّاءِ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قَالَ اللهُ تَبَارَكَ وَتَعَالى : لَايَتَّكِلِ الْعَامِلُونَ </w:t>
      </w:r>
      <w:r w:rsidR="006C577F" w:rsidRPr="006C577F">
        <w:rPr>
          <w:rStyle w:val="libFootnotenumChar"/>
          <w:rtl/>
        </w:rPr>
        <w:t>(8)</w:t>
      </w:r>
      <w:r w:rsidRPr="00C9040A">
        <w:rPr>
          <w:rtl/>
          <w:lang w:bidi="fa-IR"/>
        </w:rPr>
        <w:t xml:space="preserve"> عَلى أَعْمَالِهِمُ الَّتِي يَعْمَلُونَهَا لِثَوَابِي ؛ فَإِنَّهُمْ لَوِ اجْتَهَدُوا </w:t>
      </w:r>
      <w:r w:rsidR="006C577F" w:rsidRPr="006C577F">
        <w:rPr>
          <w:rStyle w:val="libFootnotenumChar"/>
          <w:rtl/>
        </w:rPr>
        <w:t>(9)</w:t>
      </w:r>
      <w:r w:rsidRPr="00C9040A">
        <w:rPr>
          <w:rtl/>
          <w:lang w:bidi="fa-IR"/>
        </w:rPr>
        <w:t xml:space="preserve"> وَأَتْعَبُوا أَنْفُسَهُمْ </w:t>
      </w:r>
      <w:r w:rsidR="006C577F" w:rsidRPr="006C577F">
        <w:rPr>
          <w:rStyle w:val="libFootnotenumChar"/>
          <w:rtl/>
        </w:rPr>
        <w:t>(10)</w:t>
      </w:r>
      <w:r w:rsidRPr="00C9040A">
        <w:rPr>
          <w:rtl/>
          <w:lang w:bidi="fa-IR"/>
        </w:rPr>
        <w:t xml:space="preserve"> أَعْمَارَهُمْ فِي عِبَادَتِي كَانُوا مُقَصِّرِينَ ، غَيْرَ بَالِغِينَ فِي عِبَادَتِهِمْ كُنْهَ عِبَادَتِي فِيمَا‌</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 ج ، بر » : « لا يصلح »</w:t>
      </w:r>
      <w:r w:rsidR="008A74EB">
        <w:rPr>
          <w:rtl/>
        </w:rPr>
        <w:t>.</w:t>
      </w:r>
      <w:r w:rsidR="008A74EB" w:rsidRPr="00C9040A">
        <w:rPr>
          <w:rtl/>
        </w:rPr>
        <w:t xml:space="preserve"> وفي الوسائل : « فلا يصبح » بدل « فهو لا يصبح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w:t>
      </w:r>
      <w:r w:rsidR="00A12548">
        <w:rPr>
          <w:rtl/>
        </w:rPr>
        <w:t>ي تحف العقول : + « ولا يمسي إل</w:t>
      </w:r>
      <w:r w:rsidR="00A12548">
        <w:rPr>
          <w:rFonts w:hint="cs"/>
          <w:rtl/>
        </w:rPr>
        <w:t>ّ</w:t>
      </w:r>
      <w:r w:rsidR="00A12548">
        <w:rPr>
          <w:rtl/>
        </w:rPr>
        <w:t>ا</w:t>
      </w:r>
      <w:r w:rsidR="008A74EB" w:rsidRPr="00C9040A">
        <w:rPr>
          <w:rtl/>
        </w:rPr>
        <w:t>خائفاً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ف » : « الحزن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تحف العقول</w:t>
      </w:r>
      <w:r w:rsidR="008A74EB" w:rsidRPr="00C9040A">
        <w:rPr>
          <w:rtl/>
        </w:rPr>
        <w:t xml:space="preserve"> ، ص 377 ، مع اختلاف يسير </w:t>
      </w:r>
      <w:r w:rsidR="00A12548">
        <w:rPr>
          <w:rFonts w:hint="cs"/>
          <w:rtl/>
        </w:rPr>
        <w:t>.</w:t>
      </w:r>
      <w:r w:rsidR="008A74EB" w:rsidRPr="00993B55">
        <w:rPr>
          <w:rStyle w:val="libFootnoteBoldChar"/>
          <w:rtl/>
        </w:rPr>
        <w:t>الوافي</w:t>
      </w:r>
      <w:r w:rsidR="008A74EB" w:rsidRPr="00C9040A">
        <w:rPr>
          <w:rtl/>
        </w:rPr>
        <w:t xml:space="preserve"> ، ج 4 ، ص 293 ، ح 1966 ؛ </w:t>
      </w:r>
      <w:r w:rsidR="008A74EB" w:rsidRPr="00993B55">
        <w:rPr>
          <w:rStyle w:val="libFootnoteBoldChar"/>
          <w:rtl/>
        </w:rPr>
        <w:t>الوسائل</w:t>
      </w:r>
      <w:r w:rsidR="008A74EB" w:rsidRPr="00C9040A">
        <w:rPr>
          <w:rtl/>
        </w:rPr>
        <w:t xml:space="preserve"> ، ج 15 ، ص 219 ، ح 20320 ؛ </w:t>
      </w:r>
      <w:r w:rsidR="008A74EB" w:rsidRPr="00993B55">
        <w:rPr>
          <w:rStyle w:val="libFootnoteBoldChar"/>
          <w:rtl/>
        </w:rPr>
        <w:t>البحار</w:t>
      </w:r>
      <w:r w:rsidR="008A74EB" w:rsidRPr="00C9040A">
        <w:rPr>
          <w:rtl/>
        </w:rPr>
        <w:t xml:space="preserve"> ، ج 70 ، ص 365 ، ح 10.</w:t>
      </w:r>
    </w:p>
    <w:p w:rsidR="008A74EB" w:rsidRPr="00C9040A" w:rsidRDefault="006C577F" w:rsidP="004A4E41">
      <w:pPr>
        <w:pStyle w:val="libFootnote0"/>
        <w:rPr>
          <w:rtl/>
          <w:lang w:bidi="fa-IR"/>
        </w:rPr>
      </w:pPr>
      <w:r>
        <w:rPr>
          <w:rtl/>
        </w:rPr>
        <w:t>(5).</w:t>
      </w:r>
      <w:r w:rsidR="008A74EB" w:rsidRPr="00C9040A">
        <w:rPr>
          <w:rtl/>
        </w:rPr>
        <w:t xml:space="preserve"> في « ز » : « أصحابنا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 ب ، ج ، د ، ص ، ف ، بس ، بف » </w:t>
      </w:r>
      <w:r w:rsidR="008A74EB">
        <w:rPr>
          <w:rtl/>
        </w:rPr>
        <w:t xml:space="preserve">: </w:t>
      </w:r>
      <w:r w:rsidR="0084262C">
        <w:rPr>
          <w:rtl/>
        </w:rPr>
        <w:t>-</w:t>
      </w:r>
      <w:r w:rsidR="008A74EB" w:rsidRPr="00C9040A">
        <w:rPr>
          <w:rtl/>
        </w:rPr>
        <w:t xml:space="preserve"> « </w:t>
      </w:r>
      <w:r w:rsidR="008A74EB">
        <w:rPr>
          <w:rtl/>
        </w:rPr>
        <w:t>و ».</w:t>
      </w:r>
    </w:p>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الوافي</w:t>
      </w:r>
      <w:r w:rsidR="008A74EB" w:rsidRPr="00C9040A">
        <w:rPr>
          <w:rtl/>
        </w:rPr>
        <w:t xml:space="preserve"> ، ج 4 ، ص 287 ، ح 1955 ؛ </w:t>
      </w:r>
      <w:r w:rsidR="008A74EB" w:rsidRPr="00993B55">
        <w:rPr>
          <w:rStyle w:val="libFootnoteBoldChar"/>
          <w:rtl/>
        </w:rPr>
        <w:t>الوسائل</w:t>
      </w:r>
      <w:r w:rsidR="008A74EB" w:rsidRPr="00C9040A">
        <w:rPr>
          <w:rtl/>
        </w:rPr>
        <w:t xml:space="preserve"> ، ج 15 ، ص 217 ، ح 20314.</w:t>
      </w:r>
    </w:p>
    <w:p w:rsidR="008A74EB" w:rsidRPr="00C9040A" w:rsidRDefault="006C577F" w:rsidP="004A4E41">
      <w:pPr>
        <w:pStyle w:val="libFootnote0"/>
        <w:rPr>
          <w:rtl/>
          <w:lang w:bidi="fa-IR"/>
        </w:rPr>
      </w:pPr>
      <w:r>
        <w:rPr>
          <w:rtl/>
        </w:rPr>
        <w:t>(8).</w:t>
      </w:r>
      <w:r w:rsidR="008A74EB" w:rsidRPr="00C9040A">
        <w:rPr>
          <w:rtl/>
        </w:rPr>
        <w:t xml:space="preserve"> في « ب ، ج ، د ، ض ، ف ، بس » وشرح المازندراني والوسائل : + « لي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حاشية « ض » : « أجهدوا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 ص » : + « في »</w:t>
      </w:r>
      <w:r w:rsidR="008A74EB">
        <w:rPr>
          <w:rtl/>
        </w:rPr>
        <w:t>.</w:t>
      </w:r>
      <w:r w:rsidR="008A74EB" w:rsidRPr="00C9040A">
        <w:rPr>
          <w:rtl/>
        </w:rPr>
        <w:t xml:space="preserve"> وفي « ف » والكافي ، ح 1581 : + « وأفنوا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يَطْلُبُونَ </w:t>
      </w:r>
      <w:r w:rsidR="006C577F" w:rsidRPr="006C577F">
        <w:rPr>
          <w:rStyle w:val="libFootnotenumChar"/>
          <w:rtl/>
        </w:rPr>
        <w:t>(1)</w:t>
      </w:r>
      <w:r w:rsidRPr="002712F0">
        <w:rPr>
          <w:rFonts w:hint="cs"/>
          <w:rtl/>
        </w:rPr>
        <w:t xml:space="preserve"> </w:t>
      </w:r>
      <w:r w:rsidRPr="00C9040A">
        <w:rPr>
          <w:rtl/>
          <w:lang w:bidi="fa-IR"/>
        </w:rPr>
        <w:t xml:space="preserve">عِنْدِي مِنْ كَرَامَتِي وَالنَّعِيمِ فِي جَنَّاتِي </w:t>
      </w:r>
      <w:r w:rsidR="006C577F" w:rsidRPr="006C577F">
        <w:rPr>
          <w:rStyle w:val="libFootnotenumChar"/>
          <w:rtl/>
        </w:rPr>
        <w:t>(2)</w:t>
      </w:r>
      <w:r w:rsidRPr="00C9040A">
        <w:rPr>
          <w:rtl/>
          <w:lang w:bidi="fa-IR"/>
        </w:rPr>
        <w:t xml:space="preserve"> وَرَفِيعِ الدَّرَجَاتِ الْعُلى فِي جِوَارِي ، وَلكِنْ بِرَحْمَتِي </w:t>
      </w:r>
      <w:r w:rsidR="006C577F" w:rsidRPr="006C577F">
        <w:rPr>
          <w:rStyle w:val="libFootnotenumChar"/>
          <w:rtl/>
        </w:rPr>
        <w:t>(3)</w:t>
      </w:r>
      <w:r w:rsidRPr="00C9040A">
        <w:rPr>
          <w:rtl/>
          <w:lang w:bidi="fa-IR"/>
        </w:rPr>
        <w:t xml:space="preserve"> فَلْيَثِقُوا ، وَفَضْلِي </w:t>
      </w:r>
      <w:r w:rsidR="006C577F" w:rsidRPr="006C577F">
        <w:rPr>
          <w:rStyle w:val="libFootnotenumChar"/>
          <w:rtl/>
        </w:rPr>
        <w:t>(4)</w:t>
      </w:r>
      <w:r w:rsidRPr="00C9040A">
        <w:rPr>
          <w:rtl/>
          <w:lang w:bidi="fa-IR"/>
        </w:rPr>
        <w:t xml:space="preserve"> فَلْيَرْجُوا </w:t>
      </w:r>
      <w:r w:rsidR="006C577F" w:rsidRPr="006C577F">
        <w:rPr>
          <w:rStyle w:val="libFootnotenumChar"/>
          <w:rtl/>
        </w:rPr>
        <w:t>(5)</w:t>
      </w:r>
      <w:r w:rsidRPr="00C9040A">
        <w:rPr>
          <w:rtl/>
          <w:lang w:bidi="fa-IR"/>
        </w:rPr>
        <w:t xml:space="preserve"> ، وَإِلى حُسْنِ الظَّنِّ بِي فَلْيَطْمَئِنُّوا ؛ فَإِنَّ رَحْمَتِي عِنْدَ ذلِكَ تُدْرِكُهُمْ </w:t>
      </w:r>
      <w:r w:rsidR="006C577F" w:rsidRPr="006C577F">
        <w:rPr>
          <w:rStyle w:val="libFootnotenumChar"/>
          <w:rtl/>
        </w:rPr>
        <w:t>(6)</w:t>
      </w:r>
      <w:r w:rsidRPr="005B567D">
        <w:rPr>
          <w:rStyle w:val="libFootnotenumChar"/>
          <w:rtl/>
        </w:rPr>
        <w:t xml:space="preserve"> </w:t>
      </w:r>
      <w:r w:rsidRPr="00C9040A">
        <w:rPr>
          <w:rtl/>
          <w:lang w:bidi="fa-IR"/>
        </w:rPr>
        <w:t xml:space="preserve">، وَمَنِّي </w:t>
      </w:r>
      <w:r w:rsidR="006C577F" w:rsidRPr="006C577F">
        <w:rPr>
          <w:rStyle w:val="libFootnotenumChar"/>
          <w:rtl/>
        </w:rPr>
        <w:t>(7)</w:t>
      </w:r>
      <w:r w:rsidRPr="00C9040A">
        <w:rPr>
          <w:rtl/>
          <w:lang w:bidi="fa-IR"/>
        </w:rPr>
        <w:t xml:space="preserve"> يُبَلِّغُهُمْ رِضْوَانِي ، وَمَغْفِرَتِي تُلْبِسُهُمْ </w:t>
      </w:r>
      <w:r w:rsidR="006C577F" w:rsidRPr="006C577F">
        <w:rPr>
          <w:rStyle w:val="libFootnotenumChar"/>
          <w:rtl/>
        </w:rPr>
        <w:t>(8)</w:t>
      </w:r>
      <w:r w:rsidRPr="00C9040A">
        <w:rPr>
          <w:rtl/>
          <w:lang w:bidi="fa-IR"/>
        </w:rPr>
        <w:t xml:space="preserve"> عَفْوِي ؛ فَإِنِّي أَنَا اللهُ الرَّحْمنُ الرَّحِيمُ ، وَبِذلِكَ تَسَمَّيْتُ </w:t>
      </w:r>
      <w:r w:rsidR="006C577F" w:rsidRPr="006C577F">
        <w:rPr>
          <w:rStyle w:val="libFootnotenumChar"/>
          <w:rtl/>
        </w:rPr>
        <w:t>(9)</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Normal"/>
        <w:rPr>
          <w:rtl/>
          <w:lang w:bidi="fa-IR"/>
        </w:rPr>
      </w:pPr>
      <w:r w:rsidRPr="00755654">
        <w:rPr>
          <w:rtl/>
        </w:rPr>
        <w:t>1613</w:t>
      </w:r>
      <w:r w:rsidRPr="00261CB0">
        <w:rPr>
          <w:rStyle w:val="libBold2Char"/>
          <w:rtl/>
        </w:rPr>
        <w:t xml:space="preserve"> / 2.</w:t>
      </w:r>
      <w:r w:rsidRPr="00C9040A">
        <w:rPr>
          <w:rtl/>
          <w:lang w:bidi="fa-IR"/>
        </w:rPr>
        <w:t xml:space="preserve"> ابْنُ مَحْبُوبٍ </w:t>
      </w:r>
      <w:r w:rsidR="006C577F" w:rsidRPr="006C577F">
        <w:rPr>
          <w:rStyle w:val="libFootnotenumChar"/>
          <w:rtl/>
        </w:rPr>
        <w:t>(11)</w:t>
      </w:r>
      <w:r w:rsidRPr="00C9040A">
        <w:rPr>
          <w:rtl/>
          <w:lang w:bidi="fa-IR"/>
        </w:rPr>
        <w:t xml:space="preserve"> ، عَنْ جَمِيلِ بْنِ صَالِحٍ ، عَنْ بُرَيْدِ بْنِ مُعَاوِيَةَ :</w:t>
      </w:r>
    </w:p>
    <w:p w:rsidR="008A74EB" w:rsidRPr="00C9040A" w:rsidRDefault="008A74EB" w:rsidP="003A2EF1">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وَجَدْنَا فِي كِتَابِ عَلِيٍّ </w:t>
      </w:r>
      <w:r w:rsidRPr="0003660B">
        <w:rPr>
          <w:rStyle w:val="libAlaemChar"/>
          <w:rtl/>
        </w:rPr>
        <w:t>عليه‌السلام</w:t>
      </w:r>
      <w:r w:rsidRPr="00C9040A">
        <w:rPr>
          <w:rtl/>
          <w:lang w:bidi="fa-IR"/>
        </w:rPr>
        <w:t xml:space="preserve"> أَنَّ رَسُولَ اللهِ </w:t>
      </w:r>
      <w:r w:rsidR="004A4E41" w:rsidRPr="004A4E41">
        <w:rPr>
          <w:rStyle w:val="libAlaemChar"/>
          <w:rtl/>
        </w:rPr>
        <w:t>صلى‌الله‌عليه‌وآله</w:t>
      </w:r>
      <w:r w:rsidRPr="00C9040A">
        <w:rPr>
          <w:rtl/>
          <w:lang w:bidi="fa-IR"/>
        </w:rPr>
        <w:t xml:space="preserve"> قَالَ وَهُوَ </w:t>
      </w:r>
      <w:r w:rsidR="006C577F" w:rsidRPr="006C577F">
        <w:rPr>
          <w:rStyle w:val="libFootnotenumChar"/>
          <w:rtl/>
        </w:rPr>
        <w:t>(12)</w:t>
      </w:r>
      <w:r w:rsidRPr="00C9040A">
        <w:rPr>
          <w:rtl/>
          <w:lang w:bidi="fa-IR"/>
        </w:rPr>
        <w:t xml:space="preserve"> عَلى مِنْبَرِهِ : وَ</w:t>
      </w:r>
      <w:r>
        <w:rPr>
          <w:rFonts w:hint="cs"/>
          <w:rtl/>
          <w:lang w:bidi="fa-IR"/>
        </w:rPr>
        <w:t xml:space="preserve"> </w:t>
      </w:r>
      <w:r w:rsidRPr="005B567D">
        <w:rPr>
          <w:rStyle w:val="libFootnotenumChar"/>
          <w:rtl/>
        </w:rPr>
        <w:t>(13)</w:t>
      </w:r>
      <w:r w:rsidRPr="00C9040A">
        <w:rPr>
          <w:rtl/>
          <w:lang w:bidi="fa-IR"/>
        </w:rPr>
        <w:t xml:space="preserve"> الَّذِي </w:t>
      </w:r>
      <w:r>
        <w:rPr>
          <w:rtl/>
          <w:lang w:bidi="fa-IR"/>
        </w:rPr>
        <w:t>لَا إِلهَ</w:t>
      </w:r>
      <w:r w:rsidR="00272F51">
        <w:rPr>
          <w:rtl/>
          <w:lang w:bidi="fa-IR"/>
        </w:rPr>
        <w:t xml:space="preserve"> إِل</w:t>
      </w:r>
      <w:r w:rsidR="00272F51">
        <w:rPr>
          <w:rFonts w:hint="cs"/>
          <w:rtl/>
          <w:lang w:bidi="fa-IR"/>
        </w:rPr>
        <w:t>َّ</w:t>
      </w:r>
      <w:r w:rsidR="00272F51">
        <w:rPr>
          <w:rtl/>
          <w:lang w:bidi="fa-IR"/>
        </w:rPr>
        <w:t>ا</w:t>
      </w:r>
      <w:r w:rsidRPr="00C9040A">
        <w:rPr>
          <w:rtl/>
          <w:lang w:bidi="fa-IR"/>
        </w:rPr>
        <w:t xml:space="preserve"> هُوَ ، مَا أُعْطِيَ مُؤْمِنٌ قَطُّ خَيْرَ الدُّنْيَا وَالْآخِرَةِ إِ</w:t>
      </w:r>
      <w:r w:rsidR="003A2EF1">
        <w:rPr>
          <w:rtl/>
          <w:lang w:bidi="fa-IR"/>
        </w:rPr>
        <w:t>ل</w:t>
      </w:r>
      <w:r w:rsidR="003A2EF1">
        <w:rPr>
          <w:rFonts w:hint="cs"/>
          <w:rtl/>
          <w:lang w:bidi="fa-IR"/>
        </w:rPr>
        <w:t>َّ</w:t>
      </w:r>
      <w:r w:rsidR="003A2EF1">
        <w:rPr>
          <w:rtl/>
          <w:lang w:bidi="fa-IR"/>
        </w:rPr>
        <w:t>ا</w:t>
      </w:r>
      <w:r w:rsidRPr="00C9040A">
        <w:rPr>
          <w:rtl/>
          <w:lang w:bidi="fa-IR"/>
        </w:rPr>
        <w:t xml:space="preserve"> بِحُسْنِ ظَنِّهِ </w:t>
      </w:r>
      <w:r w:rsidRPr="005B567D">
        <w:rPr>
          <w:rStyle w:val="libFootnotenumChar"/>
          <w:rtl/>
        </w:rPr>
        <w:t>(14)</w:t>
      </w:r>
      <w:r w:rsidRPr="00C9040A">
        <w:rPr>
          <w:rtl/>
          <w:lang w:bidi="fa-IR"/>
        </w:rPr>
        <w:t xml:space="preserve"> بِاللهِ ، وَرَجَائِهِ لَهُ ، وَحُسْنِ خُلُقِهِ ، وَالْكَفِّ عَنِ اغْتِيَابِ الْمُؤْمِنِينَ ؛ وَالَّذِي </w:t>
      </w:r>
      <w:r>
        <w:rPr>
          <w:rtl/>
          <w:lang w:bidi="fa-IR"/>
        </w:rPr>
        <w:t>لَا إِلهَ</w:t>
      </w:r>
      <w:r w:rsidRPr="00C9040A">
        <w:rPr>
          <w:rtl/>
          <w:lang w:bidi="fa-IR"/>
        </w:rPr>
        <w:t xml:space="preserve"> إِ</w:t>
      </w:r>
      <w:r w:rsidR="003A2EF1">
        <w:rPr>
          <w:rtl/>
          <w:lang w:bidi="fa-IR"/>
        </w:rPr>
        <w:t>ل</w:t>
      </w:r>
      <w:r w:rsidR="003A2EF1">
        <w:rPr>
          <w:rFonts w:hint="cs"/>
          <w:rtl/>
          <w:lang w:bidi="fa-IR"/>
        </w:rPr>
        <w:t>َّ</w:t>
      </w:r>
      <w:r w:rsidR="003A2EF1">
        <w:rPr>
          <w:rtl/>
          <w:lang w:bidi="fa-IR"/>
        </w:rPr>
        <w:t>ا</w:t>
      </w:r>
      <w:r w:rsidRPr="00C9040A">
        <w:rPr>
          <w:rtl/>
          <w:lang w:bidi="fa-IR"/>
        </w:rPr>
        <w:t xml:space="preserve"> هُوَ ، لَايُعَذِّبُ اللهُ مُؤْمِناً بَعْدَ التَّوْبَةِ وَالِاسْتِغْفَارِ إِ</w:t>
      </w:r>
      <w:r w:rsidR="003A2EF1">
        <w:rPr>
          <w:rtl/>
          <w:lang w:bidi="fa-IR"/>
        </w:rPr>
        <w:t>ل</w:t>
      </w:r>
      <w:r w:rsidR="003A2EF1">
        <w:rPr>
          <w:rFonts w:hint="cs"/>
          <w:rtl/>
          <w:lang w:bidi="fa-IR"/>
        </w:rPr>
        <w:t>َّ</w:t>
      </w:r>
      <w:r w:rsidR="003A2EF1">
        <w:rPr>
          <w:rtl/>
          <w:lang w:bidi="fa-IR"/>
        </w:rPr>
        <w:t>ا</w:t>
      </w:r>
      <w:r w:rsidRPr="00C9040A">
        <w:rPr>
          <w:rtl/>
          <w:lang w:bidi="fa-IR"/>
        </w:rPr>
        <w:t xml:space="preserve"> بِسُوءِ ظَنِّهِ بِاللهِ ، وَتَقْصِيرِهِ </w:t>
      </w:r>
      <w:r w:rsidRPr="005B567D">
        <w:rPr>
          <w:rStyle w:val="libFootnotenumChar"/>
          <w:rtl/>
        </w:rPr>
        <w:t>(15)</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3A2EF1" w:rsidTr="003A2EF1">
        <w:tc>
          <w:tcPr>
            <w:tcW w:w="4006" w:type="dxa"/>
          </w:tcPr>
          <w:p w:rsidR="003A2EF1" w:rsidRDefault="003A2EF1" w:rsidP="004A4E41">
            <w:pPr>
              <w:pStyle w:val="libFootnote0"/>
              <w:rPr>
                <w:rtl/>
              </w:rPr>
            </w:pPr>
            <w:r>
              <w:rPr>
                <w:rtl/>
              </w:rPr>
              <w:t>(1).</w:t>
            </w:r>
            <w:r w:rsidRPr="00C9040A">
              <w:rPr>
                <w:rtl/>
              </w:rPr>
              <w:t xml:space="preserve"> في فقه الرضا ، ص 361 : « فيما يظنّونه »</w:t>
            </w:r>
            <w:r>
              <w:rPr>
                <w:rtl/>
              </w:rPr>
              <w:t>.</w:t>
            </w:r>
          </w:p>
        </w:tc>
        <w:tc>
          <w:tcPr>
            <w:tcW w:w="4006" w:type="dxa"/>
          </w:tcPr>
          <w:p w:rsidR="003A2EF1" w:rsidRDefault="003A2EF1" w:rsidP="004A4E41">
            <w:pPr>
              <w:pStyle w:val="libFootnote0"/>
              <w:rPr>
                <w:rtl/>
              </w:rPr>
            </w:pPr>
            <w:r>
              <w:rPr>
                <w:rtl/>
              </w:rPr>
              <w:t xml:space="preserve">(2). </w:t>
            </w:r>
            <w:r w:rsidRPr="00C9040A">
              <w:rPr>
                <w:rtl/>
              </w:rPr>
              <w:t>في « د » : « جناني »</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في الكافي ، ح 1581 : « فبرحمتي »</w:t>
      </w:r>
      <w:r w:rsidR="008A74EB">
        <w:rPr>
          <w:rtl/>
        </w:rPr>
        <w:t>.</w:t>
      </w:r>
    </w:p>
    <w:p w:rsidR="008A74EB" w:rsidRPr="004A4E41" w:rsidRDefault="006C577F" w:rsidP="004A4E41">
      <w:pPr>
        <w:pStyle w:val="libFootnote0"/>
        <w:rPr>
          <w:rStyle w:val="libFootnote0Char"/>
          <w:rtl/>
        </w:rPr>
      </w:pPr>
      <w:r>
        <w:rPr>
          <w:rtl/>
        </w:rPr>
        <w:t>(4).</w:t>
      </w:r>
      <w:r w:rsidR="008A74EB" w:rsidRPr="00C9040A">
        <w:rPr>
          <w:rtl/>
        </w:rPr>
        <w:t xml:space="preserve"> في « ج ، ز ، ض » والكافي ، ح 1581 : « وبفضلي »</w:t>
      </w:r>
      <w:r w:rsidR="008A74EB">
        <w:rPr>
          <w:rtl/>
        </w:rPr>
        <w:t>.</w:t>
      </w:r>
      <w:r w:rsidR="008A74EB" w:rsidRPr="00C9040A">
        <w:rPr>
          <w:rtl/>
        </w:rPr>
        <w:t xml:space="preserve"> وفي فقه الرضا ، ص 361 : « ومن فضلي »</w:t>
      </w:r>
      <w:r w:rsidR="008A74EB">
        <w:rPr>
          <w:rtl/>
        </w:rPr>
        <w:t>.</w:t>
      </w:r>
    </w:p>
    <w:tbl>
      <w:tblPr>
        <w:tblStyle w:val="TableGrid"/>
        <w:bidiVisual/>
        <w:tblW w:w="0" w:type="auto"/>
        <w:tblLook w:val="04A0" w:firstRow="1" w:lastRow="0" w:firstColumn="1" w:lastColumn="0" w:noHBand="0" w:noVBand="1"/>
      </w:tblPr>
      <w:tblGrid>
        <w:gridCol w:w="4006"/>
        <w:gridCol w:w="4006"/>
      </w:tblGrid>
      <w:tr w:rsidR="007A0A2E" w:rsidTr="007A0A2E">
        <w:tc>
          <w:tcPr>
            <w:tcW w:w="4006" w:type="dxa"/>
          </w:tcPr>
          <w:p w:rsidR="007A0A2E" w:rsidRDefault="007A0A2E" w:rsidP="004A4E41">
            <w:pPr>
              <w:pStyle w:val="libFootnote0"/>
              <w:rPr>
                <w:rtl/>
              </w:rPr>
            </w:pPr>
            <w:r>
              <w:rPr>
                <w:rtl/>
              </w:rPr>
              <w:t>(5).</w:t>
            </w:r>
            <w:r w:rsidRPr="00C9040A">
              <w:rPr>
                <w:rtl/>
              </w:rPr>
              <w:t xml:space="preserve"> في الكافي ، ح 1581 : « فليفرحوا »</w:t>
            </w:r>
            <w:r>
              <w:rPr>
                <w:rtl/>
              </w:rPr>
              <w:t>.</w:t>
            </w:r>
          </w:p>
        </w:tc>
        <w:tc>
          <w:tcPr>
            <w:tcW w:w="4006" w:type="dxa"/>
          </w:tcPr>
          <w:p w:rsidR="007A0A2E" w:rsidRDefault="007A0A2E" w:rsidP="004A4E41">
            <w:pPr>
              <w:pStyle w:val="libFootnote0"/>
              <w:rPr>
                <w:rtl/>
              </w:rPr>
            </w:pPr>
            <w:r>
              <w:rPr>
                <w:rtl/>
              </w:rPr>
              <w:t xml:space="preserve">(6). </w:t>
            </w:r>
            <w:r w:rsidRPr="00C9040A">
              <w:rPr>
                <w:rtl/>
              </w:rPr>
              <w:t>في الكافي ، ح 1581 : « تداركهم »</w:t>
            </w:r>
            <w:r>
              <w:rPr>
                <w:rtl/>
              </w:rPr>
              <w:t>.</w:t>
            </w:r>
          </w:p>
        </w:tc>
      </w:tr>
    </w:tbl>
    <w:p w:rsidR="008A74EB" w:rsidRPr="00C9040A" w:rsidRDefault="006C577F" w:rsidP="004A4E41">
      <w:pPr>
        <w:pStyle w:val="libFootnote0"/>
        <w:rPr>
          <w:rtl/>
          <w:lang w:bidi="fa-IR"/>
        </w:rPr>
      </w:pPr>
      <w:r>
        <w:rPr>
          <w:rtl/>
        </w:rPr>
        <w:t>(7).</w:t>
      </w:r>
      <w:r w:rsidR="008A74EB" w:rsidRPr="00C9040A">
        <w:rPr>
          <w:rtl/>
        </w:rPr>
        <w:t xml:space="preserve"> في « ص » : « وهي مني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الأمالي : « وبمنّي ا</w:t>
      </w:r>
      <w:r w:rsidR="00DE4300">
        <w:rPr>
          <w:rFonts w:hint="cs"/>
          <w:rtl/>
        </w:rPr>
        <w:t>ُ</w:t>
      </w:r>
      <w:r w:rsidR="008A74EB" w:rsidRPr="00C9040A">
        <w:rPr>
          <w:rtl/>
        </w:rPr>
        <w:t>بلغهم رضواني وا</w:t>
      </w:r>
      <w:r w:rsidR="00DE4300">
        <w:rPr>
          <w:rFonts w:hint="cs"/>
          <w:rtl/>
        </w:rPr>
        <w:t>ُ</w:t>
      </w:r>
      <w:r w:rsidR="008A74EB" w:rsidRPr="00C9040A">
        <w:rPr>
          <w:rtl/>
        </w:rPr>
        <w:t>لبسهم » بدل « ومنّي يبلغهم رضواني ومغفرتي تبلسهم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حاشية « ز » : « سمّيت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w:t>
      </w:r>
      <w:r w:rsidR="008A74EB" w:rsidRPr="00993B55">
        <w:rPr>
          <w:rStyle w:val="libFootnoteBoldChar"/>
          <w:rtl/>
        </w:rPr>
        <w:t>الكافي</w:t>
      </w:r>
      <w:r w:rsidR="008A74EB" w:rsidRPr="00C9040A">
        <w:rPr>
          <w:rtl/>
        </w:rPr>
        <w:t xml:space="preserve"> ، كتاب الإيمان والكفر ، باب الرضا بالقضاء ، ح 1581 ، عن محمّد بن يحيى ، عن أحمد بن محمّد بن عيسى ، عن ابن محبوب ، مع زيادة في أوّله. وفي </w:t>
      </w:r>
      <w:r w:rsidR="008A74EB" w:rsidRPr="00993B55">
        <w:rPr>
          <w:rStyle w:val="libFootnoteBoldChar"/>
          <w:rtl/>
        </w:rPr>
        <w:t>الأمالي</w:t>
      </w:r>
      <w:r w:rsidR="008A74EB" w:rsidRPr="00C9040A">
        <w:rPr>
          <w:rtl/>
        </w:rPr>
        <w:t xml:space="preserve"> للطوسي ، ص 211 ، المجلس 8 ، ح 18 ، بسنده عن الكليني ، عن عدّة من أصحابنا ، عن أحمد بن محمد بن عيسى ، عن الحسن بن محبوب. </w:t>
      </w:r>
      <w:r w:rsidR="008A74EB" w:rsidRPr="00993B55">
        <w:rPr>
          <w:rStyle w:val="libFootnoteBoldChar"/>
          <w:rtl/>
        </w:rPr>
        <w:t>التمحيص</w:t>
      </w:r>
      <w:r w:rsidR="008A74EB" w:rsidRPr="00C9040A">
        <w:rPr>
          <w:rtl/>
        </w:rPr>
        <w:t xml:space="preserve"> ، ص 57 ، ح 115 ، عن أبي عبيدة الحذّاء. وفي </w:t>
      </w:r>
      <w:r w:rsidR="008A74EB" w:rsidRPr="00993B55">
        <w:rPr>
          <w:rStyle w:val="libFootnoteBoldChar"/>
          <w:rtl/>
        </w:rPr>
        <w:t>الأمالي</w:t>
      </w:r>
      <w:r w:rsidR="008A74EB" w:rsidRPr="00C9040A">
        <w:rPr>
          <w:rtl/>
        </w:rPr>
        <w:t xml:space="preserve"> للطوسي ، ص 167 ، المجلس 6 ، ح 30 ، بسند آخر عن الرضا ، عن آبائه </w:t>
      </w:r>
      <w:r w:rsidR="00117575" w:rsidRPr="00117575">
        <w:rPr>
          <w:rStyle w:val="libFootnoteAlaemChar"/>
          <w:rtl/>
        </w:rPr>
        <w:t>عليهم‌السلام</w:t>
      </w:r>
      <w:r w:rsidR="008A74EB" w:rsidRPr="00C9040A">
        <w:rPr>
          <w:rtl/>
        </w:rPr>
        <w:t xml:space="preserve"> عن النبيّ </w:t>
      </w:r>
      <w:r w:rsidR="004A4E41" w:rsidRPr="00AC2E2F">
        <w:rPr>
          <w:rStyle w:val="libFootnoteAlaemChar"/>
          <w:rtl/>
        </w:rPr>
        <w:t>صلى‌الله‌عليه‌وآله</w:t>
      </w:r>
      <w:r w:rsidR="008A74EB" w:rsidRPr="00C9040A">
        <w:rPr>
          <w:rtl/>
        </w:rPr>
        <w:t xml:space="preserve"> ، مع اختلاف وزيادة في أوّله. </w:t>
      </w:r>
      <w:r w:rsidR="008A74EB" w:rsidRPr="00993B55">
        <w:rPr>
          <w:rStyle w:val="libFootnoteBoldChar"/>
          <w:rtl/>
        </w:rPr>
        <w:t>فقه الرضا</w:t>
      </w:r>
      <w:r w:rsidR="008A74EB" w:rsidRPr="00C9040A">
        <w:rPr>
          <w:rtl/>
        </w:rPr>
        <w:t xml:space="preserve"> </w:t>
      </w:r>
      <w:r w:rsidR="00117575" w:rsidRPr="00117575">
        <w:rPr>
          <w:rStyle w:val="libFootnoteAlaemChar"/>
          <w:rtl/>
        </w:rPr>
        <w:t>عليه‌السلام</w:t>
      </w:r>
      <w:r w:rsidR="008A74EB" w:rsidRPr="00C9040A">
        <w:rPr>
          <w:rtl/>
        </w:rPr>
        <w:t xml:space="preserve"> ، ص 361 ، ذيل الحديث الطويل ، مع اختلاف يسير ؛ </w:t>
      </w:r>
      <w:r w:rsidR="008A74EB" w:rsidRPr="00993B55">
        <w:rPr>
          <w:rStyle w:val="libFootnoteBoldChar"/>
          <w:rtl/>
        </w:rPr>
        <w:t>وفيه</w:t>
      </w:r>
      <w:r w:rsidR="008A74EB" w:rsidRPr="00C9040A">
        <w:rPr>
          <w:rtl/>
        </w:rPr>
        <w:t xml:space="preserve"> ، ص 387 ، مع اختلاف يسير وزيادة في أوّله </w:t>
      </w:r>
      <w:r w:rsidR="00DE4300">
        <w:rPr>
          <w:rFonts w:hint="cs"/>
          <w:rtl/>
        </w:rPr>
        <w:t>.</w:t>
      </w:r>
      <w:r w:rsidR="008A74EB" w:rsidRPr="00993B55">
        <w:rPr>
          <w:rStyle w:val="libFootnoteBoldChar"/>
          <w:rtl/>
        </w:rPr>
        <w:t>الوافي</w:t>
      </w:r>
      <w:r w:rsidR="008A74EB" w:rsidRPr="00C9040A">
        <w:rPr>
          <w:rtl/>
        </w:rPr>
        <w:t xml:space="preserve"> ، ج 4 ، ص 295 ، ح 1968 ؛ </w:t>
      </w:r>
      <w:r w:rsidR="008A74EB" w:rsidRPr="00993B55">
        <w:rPr>
          <w:rStyle w:val="libFootnoteBoldChar"/>
          <w:rtl/>
        </w:rPr>
        <w:t>الوسائل</w:t>
      </w:r>
      <w:r w:rsidR="008A74EB" w:rsidRPr="00C9040A">
        <w:rPr>
          <w:rtl/>
        </w:rPr>
        <w:t xml:space="preserve"> ، ج 1 ، ص 96 ، ح 231 ، إلى قوله : « وإلى حسن الظنّ بي فليطمئنّوا »</w:t>
      </w:r>
      <w:r w:rsidR="008A74EB">
        <w:rPr>
          <w:rtl/>
        </w:rPr>
        <w:t>.</w:t>
      </w:r>
    </w:p>
    <w:p w:rsidR="008A74EB" w:rsidRPr="004A4E41" w:rsidRDefault="006C577F" w:rsidP="004A4E41">
      <w:pPr>
        <w:pStyle w:val="libFootnote0"/>
        <w:rPr>
          <w:rStyle w:val="libFootnote0Char"/>
          <w:rtl/>
        </w:rPr>
      </w:pPr>
      <w:r>
        <w:rPr>
          <w:rtl/>
        </w:rPr>
        <w:t>(11).</w:t>
      </w:r>
      <w:r w:rsidR="008A74EB" w:rsidRPr="00C9040A">
        <w:rPr>
          <w:rtl/>
        </w:rPr>
        <w:t xml:space="preserve"> السند معلّق على سابقه. ويروي عن ابن محبوب ، عدّة من أصحابنا ، عن أحمد بن محمّد.</w:t>
      </w:r>
    </w:p>
    <w:tbl>
      <w:tblPr>
        <w:tblStyle w:val="TableGrid"/>
        <w:bidiVisual/>
        <w:tblW w:w="0" w:type="auto"/>
        <w:tblLook w:val="04A0" w:firstRow="1" w:lastRow="0" w:firstColumn="1" w:lastColumn="0" w:noHBand="0" w:noVBand="1"/>
      </w:tblPr>
      <w:tblGrid>
        <w:gridCol w:w="4006"/>
        <w:gridCol w:w="4006"/>
      </w:tblGrid>
      <w:tr w:rsidR="00D76BB0" w:rsidTr="00D76BB0">
        <w:tc>
          <w:tcPr>
            <w:tcW w:w="4006" w:type="dxa"/>
          </w:tcPr>
          <w:p w:rsidR="00D76BB0" w:rsidRDefault="00D76BB0" w:rsidP="004A4E41">
            <w:pPr>
              <w:pStyle w:val="libFootnote0"/>
              <w:rPr>
                <w:rtl/>
              </w:rPr>
            </w:pPr>
            <w:r>
              <w:rPr>
                <w:rtl/>
              </w:rPr>
              <w:t>(12).</w:t>
            </w:r>
            <w:r w:rsidRPr="00C9040A">
              <w:rPr>
                <w:rtl/>
              </w:rPr>
              <w:t xml:space="preserve"> في الوسائل </w:t>
            </w:r>
            <w:r>
              <w:rPr>
                <w:rtl/>
              </w:rPr>
              <w:t>: -</w:t>
            </w:r>
            <w:r w:rsidRPr="00C9040A">
              <w:rPr>
                <w:rtl/>
              </w:rPr>
              <w:t xml:space="preserve"> « وهو »</w:t>
            </w:r>
            <w:r>
              <w:rPr>
                <w:rtl/>
              </w:rPr>
              <w:t>.</w:t>
            </w:r>
          </w:p>
        </w:tc>
        <w:tc>
          <w:tcPr>
            <w:tcW w:w="4006" w:type="dxa"/>
          </w:tcPr>
          <w:p w:rsidR="00D76BB0" w:rsidRDefault="00F23A25" w:rsidP="004A4E41">
            <w:pPr>
              <w:pStyle w:val="libFootnote0"/>
              <w:rPr>
                <w:rtl/>
              </w:rPr>
            </w:pPr>
            <w:r>
              <w:rPr>
                <w:rtl/>
              </w:rPr>
              <w:t>(13)</w:t>
            </w:r>
            <w:r w:rsidR="00744215">
              <w:rPr>
                <w:rFonts w:hint="cs"/>
                <w:rtl/>
              </w:rPr>
              <w:t>.</w:t>
            </w:r>
            <w:r w:rsidRPr="00C9040A">
              <w:rPr>
                <w:rtl/>
              </w:rPr>
              <w:t xml:space="preserve"> في « ز » : « والله »</w:t>
            </w:r>
            <w:r>
              <w:rPr>
                <w:rtl/>
              </w:rPr>
              <w:t>.</w:t>
            </w:r>
          </w:p>
        </w:tc>
      </w:tr>
      <w:tr w:rsidR="00D76BB0" w:rsidTr="00D76BB0">
        <w:tc>
          <w:tcPr>
            <w:tcW w:w="4006" w:type="dxa"/>
          </w:tcPr>
          <w:p w:rsidR="00D76BB0" w:rsidRDefault="00D76BB0" w:rsidP="004A4E41">
            <w:pPr>
              <w:pStyle w:val="libFootnote0"/>
              <w:rPr>
                <w:rtl/>
              </w:rPr>
            </w:pPr>
            <w:r>
              <w:rPr>
                <w:rtl/>
              </w:rPr>
              <w:t>(14)</w:t>
            </w:r>
            <w:r w:rsidR="00744215">
              <w:rPr>
                <w:rFonts w:hint="cs"/>
                <w:rtl/>
              </w:rPr>
              <w:t>.</w:t>
            </w:r>
            <w:r w:rsidRPr="00C9040A">
              <w:rPr>
                <w:rtl/>
              </w:rPr>
              <w:t xml:space="preserve"> في«ز،ص،ف»:«الظنّ»</w:t>
            </w:r>
            <w:r>
              <w:rPr>
                <w:rtl/>
              </w:rPr>
              <w:t>.</w:t>
            </w:r>
          </w:p>
        </w:tc>
        <w:tc>
          <w:tcPr>
            <w:tcW w:w="4006" w:type="dxa"/>
          </w:tcPr>
          <w:p w:rsidR="00D76BB0" w:rsidRDefault="00F23A25" w:rsidP="004A4E41">
            <w:pPr>
              <w:pStyle w:val="libFootnote0"/>
              <w:rPr>
                <w:rtl/>
              </w:rPr>
            </w:pPr>
            <w:r>
              <w:rPr>
                <w:rtl/>
              </w:rPr>
              <w:t>(15)</w:t>
            </w:r>
            <w:r w:rsidR="00744215">
              <w:rPr>
                <w:rFonts w:hint="cs"/>
                <w:rtl/>
              </w:rPr>
              <w:t>.</w:t>
            </w:r>
            <w:r w:rsidRPr="00C9040A">
              <w:rPr>
                <w:rtl/>
              </w:rPr>
              <w:t xml:space="preserve"> في«ب،ج،ز،ض»والوسائل والبحار:«تقصير»</w:t>
            </w:r>
            <w:r>
              <w:rPr>
                <w:rtl/>
              </w:rPr>
              <w:t>.</w:t>
            </w:r>
          </w:p>
        </w:tc>
      </w:tr>
    </w:tbl>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مِنْ رَجَائِهِ </w:t>
      </w:r>
      <w:r w:rsidR="006C577F" w:rsidRPr="006C577F">
        <w:rPr>
          <w:rStyle w:val="libFootnotenumChar"/>
          <w:rtl/>
        </w:rPr>
        <w:t>(1)</w:t>
      </w:r>
      <w:r w:rsidRPr="00C9040A">
        <w:rPr>
          <w:rtl/>
          <w:lang w:bidi="fa-IR"/>
        </w:rPr>
        <w:t xml:space="preserve">، وَسُوءِ خُلُقِهِ ، وَاغْتِيَابِهِ </w:t>
      </w:r>
      <w:r w:rsidR="006C577F" w:rsidRPr="006C577F">
        <w:rPr>
          <w:rStyle w:val="libFootnotenumChar"/>
          <w:rtl/>
        </w:rPr>
        <w:t>(2)</w:t>
      </w:r>
      <w:r w:rsidRPr="00C9040A">
        <w:rPr>
          <w:rtl/>
          <w:lang w:bidi="fa-IR"/>
        </w:rPr>
        <w:t xml:space="preserve"> لِلْمُؤْمِنِينَ ؛ وَ</w:t>
      </w:r>
      <w:r>
        <w:rPr>
          <w:rFonts w:hint="cs"/>
          <w:rtl/>
          <w:lang w:bidi="fa-IR"/>
        </w:rPr>
        <w:t xml:space="preserve"> </w:t>
      </w:r>
      <w:r w:rsidR="006C577F" w:rsidRPr="006C577F">
        <w:rPr>
          <w:rStyle w:val="libFootnotenumChar"/>
          <w:rtl/>
        </w:rPr>
        <w:t>(3)</w:t>
      </w:r>
      <w:r w:rsidRPr="00C9040A">
        <w:rPr>
          <w:rtl/>
          <w:lang w:bidi="fa-IR"/>
        </w:rPr>
        <w:t xml:space="preserve"> الَّذِي </w:t>
      </w:r>
      <w:r>
        <w:rPr>
          <w:rtl/>
          <w:lang w:bidi="fa-IR"/>
        </w:rPr>
        <w:t>لَا إِلهَ</w:t>
      </w:r>
      <w:r w:rsidR="00A23A1B">
        <w:rPr>
          <w:rtl/>
          <w:lang w:bidi="fa-IR"/>
        </w:rPr>
        <w:t xml:space="preserve"> إِل</w:t>
      </w:r>
      <w:r w:rsidR="00A23A1B">
        <w:rPr>
          <w:rFonts w:hint="cs"/>
          <w:rtl/>
          <w:lang w:bidi="fa-IR"/>
        </w:rPr>
        <w:t>َّ</w:t>
      </w:r>
      <w:r w:rsidR="00A23A1B">
        <w:rPr>
          <w:rtl/>
          <w:lang w:bidi="fa-IR"/>
        </w:rPr>
        <w:t>ا</w:t>
      </w:r>
      <w:r w:rsidRPr="00C9040A">
        <w:rPr>
          <w:rtl/>
          <w:lang w:bidi="fa-IR"/>
        </w:rPr>
        <w:t xml:space="preserve"> هُوَ ، لَايَحْسُنُ ظَنّ</w:t>
      </w:r>
      <w:r w:rsidR="00455345">
        <w:rPr>
          <w:rtl/>
          <w:lang w:bidi="fa-IR"/>
        </w:rPr>
        <w:t>ُ عَبْدٍ مُؤْمِنٍ بِاللهِ إِل</w:t>
      </w:r>
      <w:r w:rsidR="00455345">
        <w:rPr>
          <w:rFonts w:hint="cs"/>
          <w:rtl/>
          <w:lang w:bidi="fa-IR"/>
        </w:rPr>
        <w:t>َّ</w:t>
      </w:r>
      <w:r w:rsidR="00455345">
        <w:rPr>
          <w:rtl/>
          <w:lang w:bidi="fa-IR"/>
        </w:rPr>
        <w:t>ا</w:t>
      </w:r>
      <w:r w:rsidRPr="00C9040A">
        <w:rPr>
          <w:rtl/>
          <w:lang w:bidi="fa-IR"/>
        </w:rPr>
        <w:t xml:space="preserve"> كَانَ اللهُ عِنْدَ ظَنِّ عَبْدِهِ الْمُؤْمِنِ ؛ لِأَنَّ اللهَ كَرِيمٌ ، بِيَدِهِ الْخَيْرَاتُ </w:t>
      </w:r>
      <w:r w:rsidR="006C577F" w:rsidRPr="006C577F">
        <w:rPr>
          <w:rStyle w:val="libFootnotenumChar"/>
          <w:rtl/>
        </w:rPr>
        <w:t>(4)</w:t>
      </w:r>
      <w:r w:rsidRPr="00C9040A">
        <w:rPr>
          <w:rtl/>
          <w:lang w:bidi="fa-IR"/>
        </w:rPr>
        <w:t xml:space="preserve"> ، يَسْتَحْيِي أَنْ يَكُونَ عَبْدُهُ الْمُؤْمِنُ قَدْ أَحْسَنَ بِهِ الظَّنَّ ، ثُمَّ يُخْلِفَ ظَنَّهُ وَرَجَاءَهُ ؛ فَأَحْسِنُوا بِاللهِ الظَّنَّ ، وَارْغَبُوا إِلَيْهِ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755654">
        <w:rPr>
          <w:rtl/>
        </w:rPr>
        <w:t>1614</w:t>
      </w:r>
      <w:r w:rsidRPr="00261CB0">
        <w:rPr>
          <w:rStyle w:val="libBold2Char"/>
          <w:rtl/>
        </w:rPr>
        <w:t xml:space="preserve"> / 3.</w:t>
      </w:r>
      <w:r w:rsidRPr="00C9040A">
        <w:rPr>
          <w:rtl/>
          <w:lang w:bidi="fa-IR"/>
        </w:rPr>
        <w:t xml:space="preserve"> مُحَمَّدُ بْنُ يَحْيى ، عَنْ أَحْمَدَ بْنِ مُحَمَّدِ بْنِ عِيسى ، عَنْ مُحَمَّدِ بْنِ إِسْمَاعِيلَ بْنِ بَزِيعٍ :</w:t>
      </w:r>
    </w:p>
    <w:p w:rsidR="008A74EB" w:rsidRPr="00C9040A" w:rsidRDefault="008A74EB" w:rsidP="008A74EB">
      <w:pPr>
        <w:pStyle w:val="libNormal"/>
        <w:rPr>
          <w:rtl/>
          <w:lang w:bidi="fa-IR"/>
        </w:rPr>
      </w:pPr>
      <w:r w:rsidRPr="00C9040A">
        <w:rPr>
          <w:rtl/>
          <w:lang w:bidi="fa-IR"/>
        </w:rPr>
        <w:t xml:space="preserve">عَنْ أَبِي الْحَسَنِ الرِّضَا </w:t>
      </w:r>
      <w:r w:rsidRPr="0003660B">
        <w:rPr>
          <w:rStyle w:val="libAlaemChar"/>
          <w:rtl/>
        </w:rPr>
        <w:t>عليه‌السلام</w:t>
      </w:r>
      <w:r w:rsidRPr="00C9040A">
        <w:rPr>
          <w:rtl/>
          <w:lang w:bidi="fa-IR"/>
        </w:rPr>
        <w:t xml:space="preserve"> ، قَالَ : « أَحْسِنِ </w:t>
      </w:r>
      <w:r w:rsidR="006C577F" w:rsidRPr="006C577F">
        <w:rPr>
          <w:rStyle w:val="libFootnotenumChar"/>
          <w:rtl/>
        </w:rPr>
        <w:t>(6)</w:t>
      </w:r>
      <w:r w:rsidRPr="005B567D">
        <w:rPr>
          <w:rStyle w:val="libFootnotenumChar"/>
          <w:rtl/>
        </w:rPr>
        <w:t xml:space="preserve"> </w:t>
      </w:r>
      <w:r w:rsidRPr="00C9040A">
        <w:rPr>
          <w:rtl/>
          <w:lang w:bidi="fa-IR"/>
        </w:rPr>
        <w:t>الظَّنَّ بِاللهِ ؛ فَإِنَّ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يَقُولُ :</w:t>
      </w:r>
      <w:r>
        <w:rPr>
          <w:rFonts w:hint="cs"/>
          <w:rtl/>
          <w:lang w:bidi="fa-IR"/>
        </w:rPr>
        <w:t xml:space="preserve"> </w:t>
      </w:r>
      <w:r w:rsidRPr="00C9040A">
        <w:rPr>
          <w:rtl/>
          <w:lang w:bidi="fa-IR"/>
        </w:rPr>
        <w:t xml:space="preserve">أَنَا عِنْدَ </w:t>
      </w:r>
      <w:r w:rsidR="006C577F" w:rsidRPr="006C577F">
        <w:rPr>
          <w:rStyle w:val="libFootnotenumChar"/>
          <w:rtl/>
        </w:rPr>
        <w:t>(7)</w:t>
      </w:r>
      <w:r w:rsidRPr="00C9040A">
        <w:rPr>
          <w:rtl/>
          <w:lang w:bidi="fa-IR"/>
        </w:rPr>
        <w:t xml:space="preserve"> ظَنِّ عَبْدِيَ الْمُؤْمِنِ </w:t>
      </w:r>
      <w:r w:rsidR="006C577F" w:rsidRPr="006C577F">
        <w:rPr>
          <w:rStyle w:val="libFootnotenumChar"/>
          <w:rtl/>
        </w:rPr>
        <w:t>(8)</w:t>
      </w:r>
      <w:r w:rsidRPr="00C9040A">
        <w:rPr>
          <w:rtl/>
          <w:lang w:bidi="fa-IR"/>
        </w:rPr>
        <w:t xml:space="preserve"> بِي </w:t>
      </w:r>
      <w:r w:rsidR="006C577F" w:rsidRPr="006C577F">
        <w:rPr>
          <w:rStyle w:val="libFootnotenumChar"/>
          <w:rtl/>
        </w:rPr>
        <w:t>(9)</w:t>
      </w:r>
      <w:r w:rsidRPr="00C9040A">
        <w:rPr>
          <w:rtl/>
          <w:lang w:bidi="fa-IR"/>
        </w:rPr>
        <w:t xml:space="preserve"> ، إِنْ خَيْراً فَخَيْراً </w:t>
      </w:r>
      <w:r w:rsidR="006C577F" w:rsidRPr="006C577F">
        <w:rPr>
          <w:rStyle w:val="libFootnotenumChar"/>
          <w:rtl/>
        </w:rPr>
        <w:t>(10)</w:t>
      </w:r>
      <w:r w:rsidRPr="00C9040A">
        <w:rPr>
          <w:rtl/>
          <w:lang w:bidi="fa-IR"/>
        </w:rPr>
        <w:t xml:space="preserve"> ، وَإِنْ شَرّاً فَشَرّاً </w:t>
      </w:r>
      <w:r w:rsidR="006C577F" w:rsidRPr="006C577F">
        <w:rPr>
          <w:rStyle w:val="libFootnotenumChar"/>
          <w:rtl/>
        </w:rPr>
        <w:t>(11)</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(12)</w:t>
      </w:r>
      <w:r w:rsidRPr="00C9040A">
        <w:rPr>
          <w:rtl/>
          <w:lang w:bidi="fa-IR"/>
        </w:rPr>
        <w:t xml:space="preserve"> ‌</w:t>
      </w:r>
    </w:p>
    <w:p w:rsidR="008A74EB" w:rsidRPr="00C9040A" w:rsidRDefault="008A74EB" w:rsidP="008A74EB">
      <w:pPr>
        <w:pStyle w:val="libNormal"/>
        <w:rPr>
          <w:rtl/>
          <w:lang w:bidi="fa-IR"/>
        </w:rPr>
      </w:pPr>
      <w:r w:rsidRPr="00755654">
        <w:rPr>
          <w:rtl/>
        </w:rPr>
        <w:t>1615</w:t>
      </w:r>
      <w:r w:rsidRPr="00261CB0">
        <w:rPr>
          <w:rStyle w:val="libBold2Char"/>
          <w:rtl/>
        </w:rPr>
        <w:t xml:space="preserve"> / 4.</w:t>
      </w:r>
      <w:r w:rsidRPr="00C9040A">
        <w:rPr>
          <w:rtl/>
          <w:lang w:bidi="fa-IR"/>
        </w:rPr>
        <w:t xml:space="preserve"> عَلِيُّ بْنُ إِبْرَاهِيمَ ، عَنْ أَبِيهِ ، عَنِ الْقَاسِمِ بْنِ مُحَمَّدٍ ، عَنِ الْمِنْقَرِيِّ ، عَنْ سُفْيَانَ بْنِ عُيَيْنَةَ ، قَالَ :</w:t>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 « حُسْنُ الظَّنِّ</w:t>
      </w:r>
      <w:r w:rsidR="00A072CA">
        <w:rPr>
          <w:rtl/>
          <w:lang w:bidi="fa-IR"/>
        </w:rPr>
        <w:t xml:space="preserve"> بِاللهِ أَنْ لَاتَرْجُوَ إِل</w:t>
      </w:r>
      <w:r w:rsidR="00A072CA">
        <w:rPr>
          <w:rFonts w:hint="cs"/>
          <w:rtl/>
          <w:lang w:bidi="fa-IR"/>
        </w:rPr>
        <w:t>َّ</w:t>
      </w:r>
      <w:r w:rsidR="00A072CA">
        <w:rPr>
          <w:rtl/>
          <w:lang w:bidi="fa-IR"/>
        </w:rPr>
        <w:t>ا اللهَ ، وَلَا تَخَافَ إِل</w:t>
      </w:r>
      <w:r w:rsidR="00A072CA">
        <w:rPr>
          <w:rFonts w:hint="cs"/>
          <w:rtl/>
          <w:lang w:bidi="fa-IR"/>
        </w:rPr>
        <w:t>َّ</w:t>
      </w:r>
      <w:r w:rsidR="00A072CA">
        <w:rPr>
          <w:rtl/>
          <w:lang w:bidi="fa-IR"/>
        </w:rPr>
        <w:t>ا</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A072CA" w:rsidTr="00A072CA">
        <w:tc>
          <w:tcPr>
            <w:tcW w:w="4006" w:type="dxa"/>
          </w:tcPr>
          <w:p w:rsidR="00A072CA" w:rsidRDefault="00A072CA" w:rsidP="004A4E41">
            <w:pPr>
              <w:pStyle w:val="libFootnote0"/>
              <w:rPr>
                <w:rtl/>
              </w:rPr>
            </w:pPr>
            <w:r>
              <w:rPr>
                <w:rtl/>
              </w:rPr>
              <w:t>(1).</w:t>
            </w:r>
            <w:r w:rsidRPr="00C9040A">
              <w:rPr>
                <w:rtl/>
              </w:rPr>
              <w:t xml:space="preserve"> في الوسائل : + « له »</w:t>
            </w:r>
            <w:r>
              <w:rPr>
                <w:rtl/>
              </w:rPr>
              <w:t>.</w:t>
            </w:r>
          </w:p>
        </w:tc>
        <w:tc>
          <w:tcPr>
            <w:tcW w:w="4006" w:type="dxa"/>
          </w:tcPr>
          <w:p w:rsidR="00A072CA" w:rsidRDefault="00A072CA" w:rsidP="004A4E41">
            <w:pPr>
              <w:pStyle w:val="libFootnote0"/>
              <w:rPr>
                <w:rtl/>
              </w:rPr>
            </w:pPr>
            <w:r>
              <w:rPr>
                <w:rtl/>
              </w:rPr>
              <w:t xml:space="preserve">(2). </w:t>
            </w:r>
            <w:r w:rsidRPr="00C9040A">
              <w:rPr>
                <w:rtl/>
              </w:rPr>
              <w:t>في الوسائل : « واغتياب »</w:t>
            </w:r>
            <w:r>
              <w:rPr>
                <w:rtl/>
              </w:rPr>
              <w:t>.</w:t>
            </w:r>
          </w:p>
        </w:tc>
      </w:tr>
      <w:tr w:rsidR="00A072CA" w:rsidTr="00A072CA">
        <w:tc>
          <w:tcPr>
            <w:tcW w:w="4006" w:type="dxa"/>
          </w:tcPr>
          <w:p w:rsidR="00A072CA" w:rsidRDefault="00A072CA" w:rsidP="004A4E41">
            <w:pPr>
              <w:pStyle w:val="libFootnote0"/>
              <w:rPr>
                <w:rtl/>
              </w:rPr>
            </w:pPr>
            <w:r>
              <w:rPr>
                <w:rtl/>
              </w:rPr>
              <w:t>(3).</w:t>
            </w:r>
            <w:r w:rsidRPr="00C9040A">
              <w:rPr>
                <w:rtl/>
              </w:rPr>
              <w:t xml:space="preserve"> في « ز » : « والله »</w:t>
            </w:r>
            <w:r>
              <w:rPr>
                <w:rtl/>
              </w:rPr>
              <w:t>.</w:t>
            </w:r>
          </w:p>
        </w:tc>
        <w:tc>
          <w:tcPr>
            <w:tcW w:w="4006" w:type="dxa"/>
          </w:tcPr>
          <w:p w:rsidR="00A072CA" w:rsidRDefault="00A072CA" w:rsidP="004A4E41">
            <w:pPr>
              <w:pStyle w:val="libFootnote0"/>
              <w:rPr>
                <w:rtl/>
              </w:rPr>
            </w:pPr>
            <w:r>
              <w:rPr>
                <w:rtl/>
              </w:rPr>
              <w:t>(4).</w:t>
            </w:r>
            <w:r w:rsidRPr="00C9040A">
              <w:rPr>
                <w:rtl/>
              </w:rPr>
              <w:t xml:space="preserve"> في الوسائل : « الخير »</w:t>
            </w:r>
            <w:r>
              <w:rPr>
                <w:rtl/>
              </w:rPr>
              <w:t>.</w:t>
            </w:r>
          </w:p>
        </w:tc>
      </w:tr>
    </w:tbl>
    <w:p w:rsidR="008A74EB" w:rsidRPr="004A4E41" w:rsidRDefault="006C577F" w:rsidP="004A4E41">
      <w:pPr>
        <w:pStyle w:val="libFootnote0"/>
        <w:rPr>
          <w:rStyle w:val="libFootnote0Char"/>
          <w:rtl/>
        </w:rPr>
      </w:pPr>
      <w:r>
        <w:rPr>
          <w:rtl/>
        </w:rPr>
        <w:t>(5).</w:t>
      </w:r>
      <w:r w:rsidR="008A74EB" w:rsidRPr="00C9040A">
        <w:rPr>
          <w:rtl/>
        </w:rPr>
        <w:t xml:space="preserve"> </w:t>
      </w:r>
      <w:r w:rsidR="008A74EB" w:rsidRPr="00993B55">
        <w:rPr>
          <w:rStyle w:val="libFootnoteBoldChar"/>
          <w:rtl/>
        </w:rPr>
        <w:t>الاختصاص</w:t>
      </w:r>
      <w:r w:rsidR="008A74EB" w:rsidRPr="00C9040A">
        <w:rPr>
          <w:rtl/>
        </w:rPr>
        <w:t xml:space="preserve"> ، ص 227 ، مرسلاً عن الباقر </w:t>
      </w:r>
      <w:r w:rsidR="00117575" w:rsidRPr="00117575">
        <w:rPr>
          <w:rStyle w:val="libFootnoteAlaemChar"/>
          <w:rtl/>
        </w:rPr>
        <w:t>عليه‌السلام</w:t>
      </w:r>
      <w:r w:rsidR="008A74EB" w:rsidRPr="00C9040A">
        <w:rPr>
          <w:rtl/>
        </w:rPr>
        <w:t xml:space="preserve"> ، إلى قوله : « وسوء خلقه واغتيابه للمؤمنين » ؛ </w:t>
      </w:r>
      <w:r w:rsidR="008A74EB" w:rsidRPr="00993B55">
        <w:rPr>
          <w:rStyle w:val="libFootnoteBoldChar"/>
          <w:rtl/>
        </w:rPr>
        <w:t>فقه الرضا</w:t>
      </w:r>
      <w:r w:rsidR="008A74EB" w:rsidRPr="00C9040A">
        <w:rPr>
          <w:rtl/>
        </w:rPr>
        <w:t xml:space="preserve"> </w:t>
      </w:r>
      <w:r w:rsidR="00117575" w:rsidRPr="00117575">
        <w:rPr>
          <w:rStyle w:val="libFootnoteAlaemChar"/>
          <w:rtl/>
        </w:rPr>
        <w:t>عليه‌السلام</w:t>
      </w:r>
      <w:r w:rsidR="008A74EB" w:rsidRPr="00C9040A">
        <w:rPr>
          <w:rtl/>
        </w:rPr>
        <w:t xml:space="preserve"> ، ص 360 ، وفيهما مع اختلاف يسير </w:t>
      </w:r>
      <w:r w:rsidR="009E7F9B">
        <w:rPr>
          <w:rFonts w:hint="cs"/>
          <w:rtl/>
        </w:rPr>
        <w:t>.</w:t>
      </w:r>
      <w:r w:rsidR="008A74EB" w:rsidRPr="00993B55">
        <w:rPr>
          <w:rStyle w:val="libFootnoteBoldChar"/>
          <w:rtl/>
        </w:rPr>
        <w:t>الوافي</w:t>
      </w:r>
      <w:r w:rsidR="008A74EB" w:rsidRPr="00C9040A">
        <w:rPr>
          <w:rtl/>
        </w:rPr>
        <w:t xml:space="preserve"> ، ج 4 ، ص 297 ، ح 1969 ؛ </w:t>
      </w:r>
      <w:r w:rsidR="008A74EB" w:rsidRPr="00993B55">
        <w:rPr>
          <w:rStyle w:val="libFootnoteBoldChar"/>
          <w:rtl/>
        </w:rPr>
        <w:t>الوسائل</w:t>
      </w:r>
      <w:r w:rsidR="008A74EB" w:rsidRPr="00C9040A">
        <w:rPr>
          <w:rtl/>
        </w:rPr>
        <w:t xml:space="preserve"> ، ج 15 ، ص 230 ، ح 20350 ؛ </w:t>
      </w:r>
      <w:r w:rsidR="008A74EB" w:rsidRPr="00993B55">
        <w:rPr>
          <w:rStyle w:val="libFootnoteBoldChar"/>
          <w:rtl/>
        </w:rPr>
        <w:t>البحار</w:t>
      </w:r>
      <w:r w:rsidR="008A74EB" w:rsidRPr="00C9040A">
        <w:rPr>
          <w:rtl/>
        </w:rPr>
        <w:t xml:space="preserve"> ، ج 70 ، ص 365 ، ح 14.</w:t>
      </w:r>
    </w:p>
    <w:tbl>
      <w:tblPr>
        <w:tblStyle w:val="TableGrid"/>
        <w:bidiVisual/>
        <w:tblW w:w="0" w:type="auto"/>
        <w:tblLook w:val="04A0" w:firstRow="1" w:lastRow="0" w:firstColumn="1" w:lastColumn="0" w:noHBand="0" w:noVBand="1"/>
      </w:tblPr>
      <w:tblGrid>
        <w:gridCol w:w="4006"/>
        <w:gridCol w:w="4006"/>
      </w:tblGrid>
      <w:tr w:rsidR="00744215" w:rsidTr="00744215">
        <w:tc>
          <w:tcPr>
            <w:tcW w:w="4006" w:type="dxa"/>
          </w:tcPr>
          <w:p w:rsidR="00744215" w:rsidRDefault="00744215" w:rsidP="004A4E41">
            <w:pPr>
              <w:pStyle w:val="libFootnote0"/>
              <w:rPr>
                <w:rtl/>
              </w:rPr>
            </w:pPr>
            <w:r>
              <w:rPr>
                <w:rtl/>
              </w:rPr>
              <w:t xml:space="preserve">(6). </w:t>
            </w:r>
            <w:r w:rsidRPr="00C9040A">
              <w:rPr>
                <w:rtl/>
              </w:rPr>
              <w:t>في شرح المازندراني : « أحسنوا »</w:t>
            </w:r>
            <w:r>
              <w:rPr>
                <w:rtl/>
              </w:rPr>
              <w:t>.</w:t>
            </w:r>
          </w:p>
        </w:tc>
        <w:tc>
          <w:tcPr>
            <w:tcW w:w="4006" w:type="dxa"/>
          </w:tcPr>
          <w:p w:rsidR="00744215" w:rsidRDefault="00744215" w:rsidP="004A4E41">
            <w:pPr>
              <w:pStyle w:val="libFootnote0"/>
              <w:rPr>
                <w:rtl/>
              </w:rPr>
            </w:pPr>
            <w:r>
              <w:rPr>
                <w:rtl/>
              </w:rPr>
              <w:t>(7).</w:t>
            </w:r>
            <w:r w:rsidRPr="00C9040A">
              <w:rPr>
                <w:rtl/>
              </w:rPr>
              <w:t xml:space="preserve"> في البحار : + « حسن »</w:t>
            </w:r>
            <w:r>
              <w:rPr>
                <w:rtl/>
              </w:rPr>
              <w:t>.</w:t>
            </w:r>
          </w:p>
        </w:tc>
      </w:tr>
    </w:tbl>
    <w:p w:rsidR="008A74EB" w:rsidRPr="00C9040A" w:rsidRDefault="006C577F" w:rsidP="004A4E41">
      <w:pPr>
        <w:pStyle w:val="libFootnote0"/>
        <w:rPr>
          <w:rtl/>
          <w:lang w:bidi="fa-IR"/>
        </w:rPr>
      </w:pPr>
      <w:r>
        <w:rPr>
          <w:rtl/>
        </w:rPr>
        <w:t>(8).</w:t>
      </w:r>
      <w:r w:rsidR="008A74EB" w:rsidRPr="00C9040A">
        <w:rPr>
          <w:rtl/>
        </w:rPr>
        <w:t xml:space="preserve"> في « ص ، ض ، </w:t>
      </w:r>
      <w:r w:rsidR="006D3162">
        <w:rPr>
          <w:rtl/>
        </w:rPr>
        <w:t xml:space="preserve">ه </w:t>
      </w:r>
      <w:r w:rsidR="008A74EB" w:rsidRPr="00C9040A">
        <w:rPr>
          <w:rtl/>
        </w:rPr>
        <w:t xml:space="preserve">» والوسائل والعيون </w:t>
      </w:r>
      <w:r w:rsidR="008A74EB">
        <w:rPr>
          <w:rtl/>
        </w:rPr>
        <w:t xml:space="preserve">: </w:t>
      </w:r>
      <w:r w:rsidR="0084262C">
        <w:rPr>
          <w:rtl/>
        </w:rPr>
        <w:t>-</w:t>
      </w:r>
      <w:r w:rsidR="008A74EB" w:rsidRPr="00C9040A">
        <w:rPr>
          <w:rtl/>
        </w:rPr>
        <w:t xml:space="preserve"> « المؤمن »</w:t>
      </w:r>
      <w:r w:rsidR="008A74EB">
        <w:rPr>
          <w:rtl/>
        </w:rPr>
        <w:t>.</w:t>
      </w:r>
    </w:p>
    <w:p w:rsidR="008A74EB" w:rsidRPr="004A4E41" w:rsidRDefault="006C577F" w:rsidP="004A4E41">
      <w:pPr>
        <w:pStyle w:val="libFootnote0"/>
        <w:rPr>
          <w:rStyle w:val="libFootnote0Char"/>
          <w:rtl/>
        </w:rPr>
      </w:pPr>
      <w:r>
        <w:rPr>
          <w:rtl/>
        </w:rPr>
        <w:t>(9).</w:t>
      </w:r>
      <w:r w:rsidR="008A74EB" w:rsidRPr="00C9040A">
        <w:rPr>
          <w:rtl/>
        </w:rPr>
        <w:t xml:space="preserve"> في « ص ، ض ، </w:t>
      </w:r>
      <w:r w:rsidR="006D3162">
        <w:rPr>
          <w:rtl/>
        </w:rPr>
        <w:t xml:space="preserve">ه </w:t>
      </w:r>
      <w:r w:rsidR="008A74EB" w:rsidRPr="00C9040A">
        <w:rPr>
          <w:rtl/>
        </w:rPr>
        <w:t xml:space="preserve">» وحاشية « ض » والعيون </w:t>
      </w:r>
      <w:r w:rsidR="008A74EB">
        <w:rPr>
          <w:rtl/>
        </w:rPr>
        <w:t xml:space="preserve">: </w:t>
      </w:r>
      <w:r w:rsidR="0084262C">
        <w:rPr>
          <w:rtl/>
        </w:rPr>
        <w:t>-</w:t>
      </w:r>
      <w:r w:rsidR="008A74EB" w:rsidRPr="00C9040A">
        <w:rPr>
          <w:rtl/>
        </w:rPr>
        <w:t xml:space="preserve"> « بي »</w:t>
      </w:r>
      <w:r w:rsidR="008A74EB">
        <w:rPr>
          <w:rtl/>
        </w:rPr>
        <w:t>.</w:t>
      </w:r>
    </w:p>
    <w:tbl>
      <w:tblPr>
        <w:tblStyle w:val="TableGrid"/>
        <w:bidiVisual/>
        <w:tblW w:w="0" w:type="auto"/>
        <w:tblLook w:val="04A0" w:firstRow="1" w:lastRow="0" w:firstColumn="1" w:lastColumn="0" w:noHBand="0" w:noVBand="1"/>
      </w:tblPr>
      <w:tblGrid>
        <w:gridCol w:w="4006"/>
        <w:gridCol w:w="4006"/>
      </w:tblGrid>
      <w:tr w:rsidR="00744215" w:rsidTr="00744215">
        <w:tc>
          <w:tcPr>
            <w:tcW w:w="4006" w:type="dxa"/>
          </w:tcPr>
          <w:p w:rsidR="00744215" w:rsidRDefault="00744215" w:rsidP="004A4E41">
            <w:pPr>
              <w:pStyle w:val="libFootnote0"/>
              <w:rPr>
                <w:rtl/>
              </w:rPr>
            </w:pPr>
            <w:r>
              <w:rPr>
                <w:rtl/>
              </w:rPr>
              <w:t>(10).</w:t>
            </w:r>
            <w:r w:rsidRPr="00C9040A">
              <w:rPr>
                <w:rtl/>
              </w:rPr>
              <w:t xml:space="preserve"> في « ز » : « فخير »</w:t>
            </w:r>
            <w:r>
              <w:rPr>
                <w:rtl/>
              </w:rPr>
              <w:t>.</w:t>
            </w:r>
          </w:p>
        </w:tc>
        <w:tc>
          <w:tcPr>
            <w:tcW w:w="4006" w:type="dxa"/>
          </w:tcPr>
          <w:p w:rsidR="00744215" w:rsidRDefault="00744215" w:rsidP="004A4E41">
            <w:pPr>
              <w:pStyle w:val="libFootnote0"/>
              <w:rPr>
                <w:rtl/>
              </w:rPr>
            </w:pPr>
            <w:r>
              <w:rPr>
                <w:rtl/>
              </w:rPr>
              <w:t>(11).</w:t>
            </w:r>
            <w:r w:rsidRPr="00C9040A">
              <w:rPr>
                <w:rtl/>
              </w:rPr>
              <w:t xml:space="preserve"> في « ز » : « فشرّ »</w:t>
            </w:r>
            <w:r>
              <w:rPr>
                <w:rtl/>
              </w:rPr>
              <w:t>.</w:t>
            </w:r>
          </w:p>
        </w:tc>
      </w:tr>
    </w:tbl>
    <w:p w:rsidR="008A74EB" w:rsidRPr="00C9040A" w:rsidRDefault="006C577F" w:rsidP="004A4E41">
      <w:pPr>
        <w:pStyle w:val="libFootnote0"/>
        <w:rPr>
          <w:rtl/>
          <w:lang w:bidi="fa-IR"/>
        </w:rPr>
      </w:pPr>
      <w:r>
        <w:rPr>
          <w:rtl/>
        </w:rPr>
        <w:t>(12).</w:t>
      </w:r>
      <w:r w:rsidR="008A74EB" w:rsidRPr="00C9040A">
        <w:rPr>
          <w:rtl/>
        </w:rPr>
        <w:t xml:space="preserve"> </w:t>
      </w:r>
      <w:r w:rsidR="008A74EB" w:rsidRPr="00993B55">
        <w:rPr>
          <w:rStyle w:val="libFootnoteBoldChar"/>
          <w:rtl/>
        </w:rPr>
        <w:t>عيون الأخبار</w:t>
      </w:r>
      <w:r w:rsidR="008A74EB" w:rsidRPr="00C9040A">
        <w:rPr>
          <w:rtl/>
        </w:rPr>
        <w:t xml:space="preserve"> ، ج 2 ، ص 20 ، ضمن الحديث الطويل 44 ، بسنده عن محمّد بن إسماعيل بن بزيع ، مع اختلاف يسير. </w:t>
      </w:r>
      <w:r w:rsidR="008A74EB" w:rsidRPr="00993B55">
        <w:rPr>
          <w:rStyle w:val="libFootnoteBoldChar"/>
          <w:rtl/>
        </w:rPr>
        <w:t>الكافي</w:t>
      </w:r>
      <w:r w:rsidR="008A74EB" w:rsidRPr="00C9040A">
        <w:rPr>
          <w:rtl/>
        </w:rPr>
        <w:t xml:space="preserve"> ، كتاب الروضة ، ح 15277 ، بسند آخر عن أبي عبد الله </w:t>
      </w:r>
      <w:r w:rsidR="00117575" w:rsidRPr="00117575">
        <w:rPr>
          <w:rStyle w:val="libFootnoteAlaemChar"/>
          <w:rtl/>
        </w:rPr>
        <w:t>عليه‌السلام</w:t>
      </w:r>
      <w:r w:rsidR="008A74EB" w:rsidRPr="00C9040A">
        <w:rPr>
          <w:rtl/>
        </w:rPr>
        <w:t xml:space="preserve"> ، وفيه : « إنّ الله عزّ وجلّ عند ظنّ عبده ، إن خيراً فخيراً ، وإن شرّاً فشرّاً » مع زيادة في أوّله </w:t>
      </w:r>
      <w:r w:rsidR="00CA2782">
        <w:rPr>
          <w:rFonts w:hint="cs"/>
          <w:rtl/>
        </w:rPr>
        <w:t>.</w:t>
      </w:r>
      <w:r w:rsidR="008A74EB" w:rsidRPr="00993B55">
        <w:rPr>
          <w:rStyle w:val="libFootnoteBoldChar"/>
          <w:rtl/>
        </w:rPr>
        <w:t>الوافي</w:t>
      </w:r>
      <w:r w:rsidR="008A74EB" w:rsidRPr="00C9040A">
        <w:rPr>
          <w:rtl/>
        </w:rPr>
        <w:t xml:space="preserve"> ، ج 4 ، ص 298 ، ح 1970 ؛ </w:t>
      </w:r>
      <w:r w:rsidR="008A74EB" w:rsidRPr="00993B55">
        <w:rPr>
          <w:rStyle w:val="libFootnoteBoldChar"/>
          <w:rtl/>
        </w:rPr>
        <w:t>الوسائل</w:t>
      </w:r>
      <w:r w:rsidR="008A74EB" w:rsidRPr="00C9040A">
        <w:rPr>
          <w:rtl/>
        </w:rPr>
        <w:t xml:space="preserve"> ، ج 15 ، ص 229 ، ح 20348 ؛ </w:t>
      </w:r>
      <w:r w:rsidR="008A74EB" w:rsidRPr="00993B55">
        <w:rPr>
          <w:rStyle w:val="libFootnoteBoldChar"/>
          <w:rtl/>
        </w:rPr>
        <w:t>البحار</w:t>
      </w:r>
      <w:r w:rsidR="008A74EB" w:rsidRPr="00C9040A">
        <w:rPr>
          <w:rtl/>
        </w:rPr>
        <w:t xml:space="preserve"> ، ج 70 ، ص 366 ، ح 15.</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lastRenderedPageBreak/>
        <w:t xml:space="preserve">ذَنْبَكَ </w:t>
      </w:r>
      <w:r w:rsidR="006C577F" w:rsidRPr="006C577F">
        <w:rPr>
          <w:rStyle w:val="libFootnotenumChar"/>
          <w:rtl/>
        </w:rPr>
        <w:t>(1)</w:t>
      </w:r>
      <w:r w:rsidRPr="00C9040A">
        <w:rPr>
          <w:rtl/>
          <w:lang w:bidi="fa-IR"/>
        </w:rPr>
        <w:t>»</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Heading2Center"/>
        <w:rPr>
          <w:rtl/>
          <w:lang w:bidi="fa-IR"/>
        </w:rPr>
      </w:pPr>
      <w:bookmarkStart w:id="115" w:name="_Toc343795626"/>
      <w:bookmarkStart w:id="116" w:name="_Toc459810750"/>
      <w:bookmarkStart w:id="117" w:name="_Toc35348656"/>
      <w:r w:rsidRPr="00C9040A">
        <w:rPr>
          <w:rtl/>
          <w:lang w:bidi="fa-IR"/>
        </w:rPr>
        <w:t>35</w:t>
      </w:r>
      <w:r>
        <w:rPr>
          <w:rtl/>
          <w:lang w:bidi="fa-IR"/>
        </w:rPr>
        <w:t xml:space="preserve"> </w:t>
      </w:r>
      <w:r w:rsidR="0084262C">
        <w:rPr>
          <w:rtl/>
          <w:lang w:bidi="fa-IR"/>
        </w:rPr>
        <w:t>-</w:t>
      </w:r>
      <w:r>
        <w:rPr>
          <w:rtl/>
          <w:lang w:bidi="fa-IR"/>
        </w:rPr>
        <w:t xml:space="preserve"> </w:t>
      </w:r>
      <w:r w:rsidRPr="00C9040A">
        <w:rPr>
          <w:rtl/>
          <w:lang w:bidi="fa-IR"/>
        </w:rPr>
        <w:t>بَابُ الِاعْتِرَافِ بِالتَّقْصِيرِ‌</w:t>
      </w:r>
      <w:bookmarkEnd w:id="115"/>
      <w:bookmarkEnd w:id="116"/>
      <w:bookmarkEnd w:id="117"/>
    </w:p>
    <w:p w:rsidR="008A74EB" w:rsidRPr="00C9040A" w:rsidRDefault="008A74EB" w:rsidP="008A74EB">
      <w:pPr>
        <w:pStyle w:val="libNormal"/>
        <w:rPr>
          <w:rtl/>
          <w:lang w:bidi="fa-IR"/>
        </w:rPr>
      </w:pPr>
      <w:r w:rsidRPr="00755654">
        <w:rPr>
          <w:rtl/>
        </w:rPr>
        <w:t>1616</w:t>
      </w:r>
      <w:r w:rsidRPr="00261CB0">
        <w:rPr>
          <w:rStyle w:val="libBold2Char"/>
          <w:rtl/>
        </w:rPr>
        <w:t xml:space="preserve"> / 1.</w:t>
      </w:r>
      <w:r w:rsidRPr="00C9040A">
        <w:rPr>
          <w:rtl/>
          <w:lang w:bidi="fa-IR"/>
        </w:rPr>
        <w:t xml:space="preserve"> مُحَمَّدُ بْنُ يَحْيى ، عَنْ أَحْمَدَ بْنِ مُحَمَّدِ بْنِ عِيسى ، عَنِ الْحَسَنِ بْنِ مَحْبُوبٍ ، عَنْ سَعْدِ بْنِ أَبِي خَلَفٍ :</w:t>
      </w:r>
    </w:p>
    <w:p w:rsidR="008A74EB" w:rsidRPr="00C9040A" w:rsidRDefault="008A74EB" w:rsidP="008A74EB">
      <w:pPr>
        <w:pStyle w:val="libNormal"/>
        <w:rPr>
          <w:rtl/>
          <w:lang w:bidi="fa-IR"/>
        </w:rPr>
      </w:pPr>
      <w:r w:rsidRPr="00C9040A">
        <w:rPr>
          <w:rtl/>
          <w:lang w:bidi="fa-IR"/>
        </w:rPr>
        <w:t xml:space="preserve">عَنْ أَبِي الْحَسَنِ مُوسى </w:t>
      </w:r>
      <w:r w:rsidRPr="0003660B">
        <w:rPr>
          <w:rStyle w:val="libAlaemChar"/>
          <w:rtl/>
        </w:rPr>
        <w:t>عليه‌السلام</w:t>
      </w:r>
      <w:r w:rsidRPr="00C9040A">
        <w:rPr>
          <w:rtl/>
          <w:lang w:bidi="fa-IR"/>
        </w:rPr>
        <w:t xml:space="preserve"> ، قَالَ : قَالَ لِبَعْضِ وُلْدِهِ : « يَا بُنَيَّ </w:t>
      </w:r>
      <w:r w:rsidR="006C577F" w:rsidRPr="006C577F">
        <w:rPr>
          <w:rStyle w:val="libFootnotenumChar"/>
          <w:rtl/>
        </w:rPr>
        <w:t>(3)</w:t>
      </w:r>
      <w:r w:rsidRPr="00C9040A">
        <w:rPr>
          <w:rtl/>
          <w:lang w:bidi="fa-IR"/>
        </w:rPr>
        <w:t xml:space="preserve"> ، عَلَيْكَ بِالْجِدِّ ، لَا تُخْرِجَنَّ </w:t>
      </w:r>
      <w:r w:rsidR="006C577F" w:rsidRPr="006C577F">
        <w:rPr>
          <w:rStyle w:val="libFootnotenumChar"/>
          <w:rtl/>
        </w:rPr>
        <w:t>(4)</w:t>
      </w:r>
      <w:r w:rsidRPr="00C9040A">
        <w:rPr>
          <w:rtl/>
          <w:lang w:bidi="fa-IR"/>
        </w:rPr>
        <w:t xml:space="preserve"> نَفْسَكَ مِنْ </w:t>
      </w:r>
      <w:r w:rsidR="006C577F" w:rsidRPr="006C577F">
        <w:rPr>
          <w:rStyle w:val="libFootnotenumChar"/>
          <w:rtl/>
        </w:rPr>
        <w:t>(5)</w:t>
      </w:r>
      <w:r w:rsidRPr="00C9040A">
        <w:rPr>
          <w:rtl/>
          <w:lang w:bidi="fa-IR"/>
        </w:rPr>
        <w:t xml:space="preserve"> حَدِّ التَّقْصِيرِ فِي عِبَادَةِ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وَطَاعَتِهِ ؛ فَإِنَّ اللهَ لَايُعْبَدُ حَقَّ عِبَادَتِهِ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Normal"/>
        <w:rPr>
          <w:rtl/>
          <w:lang w:bidi="fa-IR"/>
        </w:rPr>
      </w:pPr>
      <w:r w:rsidRPr="00755654">
        <w:rPr>
          <w:rtl/>
        </w:rPr>
        <w:t>1617</w:t>
      </w:r>
      <w:r w:rsidRPr="00261CB0">
        <w:rPr>
          <w:rStyle w:val="libBold2Char"/>
          <w:rtl/>
        </w:rPr>
        <w:t xml:space="preserve"> / 2.</w:t>
      </w:r>
      <w:r w:rsidRPr="00C9040A">
        <w:rPr>
          <w:rtl/>
          <w:lang w:bidi="fa-IR"/>
        </w:rPr>
        <w:t xml:space="preserve"> عِدَّةٌ مِنْ أَصْحَابِنَا ، عَنْ أَحْمَدَ بْنِ </w:t>
      </w:r>
      <w:r w:rsidR="006C577F" w:rsidRPr="006C577F">
        <w:rPr>
          <w:rStyle w:val="libFootnotenumChar"/>
          <w:rtl/>
        </w:rPr>
        <w:t>(7)</w:t>
      </w:r>
      <w:r w:rsidRPr="00C9040A">
        <w:rPr>
          <w:rtl/>
          <w:lang w:bidi="fa-IR"/>
        </w:rPr>
        <w:t xml:space="preserve"> أَبِي عَبْدِ اللهِ ، عَنْ بَعْضِ الْعِرَاقِيِّينَ ، عَنْ مُحَمَّدِ بْنِ الْمُثَنَّى الْحَضْرَمِيِّ ، عَنْ أَبِيهِ ، عَنْ عُثْمَانَ بْنِ زَيْدٍ ، عَنْ جَابِرٍ ، قَالَ :</w:t>
      </w:r>
    </w:p>
    <w:p w:rsidR="008A74EB" w:rsidRPr="00C9040A" w:rsidRDefault="008A74EB" w:rsidP="008A74EB">
      <w:pPr>
        <w:pStyle w:val="libNormal"/>
        <w:rPr>
          <w:rtl/>
          <w:lang w:bidi="fa-IR"/>
        </w:rPr>
      </w:pPr>
      <w:r w:rsidRPr="00C9040A">
        <w:rPr>
          <w:rtl/>
          <w:lang w:bidi="fa-IR"/>
        </w:rPr>
        <w:t xml:space="preserve">قَالَ لِي </w:t>
      </w:r>
      <w:r w:rsidR="006C577F" w:rsidRPr="006C577F">
        <w:rPr>
          <w:rStyle w:val="libFootnotenumChar"/>
          <w:rtl/>
        </w:rPr>
        <w:t>(8)</w:t>
      </w:r>
      <w:r w:rsidRPr="00C9040A">
        <w:rPr>
          <w:rtl/>
          <w:lang w:bidi="fa-IR"/>
        </w:rPr>
        <w:t xml:space="preserve"> أَبُو جَعْفَرٍ </w:t>
      </w:r>
      <w:r w:rsidRPr="0003660B">
        <w:rPr>
          <w:rStyle w:val="libAlaemChar"/>
          <w:rtl/>
        </w:rPr>
        <w:t>عليه‌السلام</w:t>
      </w:r>
      <w:r w:rsidRPr="00C9040A">
        <w:rPr>
          <w:rtl/>
          <w:lang w:bidi="fa-IR"/>
        </w:rPr>
        <w:t xml:space="preserve"> : « يَا جَابِرُ ، لَا</w:t>
      </w:r>
      <w:r>
        <w:rPr>
          <w:rFonts w:hint="cs"/>
          <w:rtl/>
          <w:lang w:bidi="fa-IR"/>
        </w:rPr>
        <w:t xml:space="preserve"> </w:t>
      </w:r>
      <w:r w:rsidRPr="00C9040A">
        <w:rPr>
          <w:rtl/>
          <w:lang w:bidi="fa-IR"/>
        </w:rPr>
        <w:t xml:space="preserve">أَخْرَجَكَ اللهُ مِنَ النَّقْصِ وَلَا </w:t>
      </w:r>
      <w:r w:rsidR="006C577F" w:rsidRPr="006C577F">
        <w:rPr>
          <w:rStyle w:val="libFootnotenumChar"/>
          <w:rtl/>
        </w:rPr>
        <w:t>(9)</w:t>
      </w:r>
      <w:r w:rsidRPr="00C9040A">
        <w:rPr>
          <w:rtl/>
          <w:lang w:bidi="fa-IR"/>
        </w:rPr>
        <w:t xml:space="preserve"> التَّقْصِيرِ »</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w:t>
      </w:r>
      <w:r w:rsidR="008A74EB" w:rsidRPr="00993B55">
        <w:rPr>
          <w:rStyle w:val="libFootnoteBoldChar"/>
          <w:rtl/>
        </w:rPr>
        <w:t>مرآة العقول</w:t>
      </w:r>
      <w:r w:rsidR="008A74EB" w:rsidRPr="00C9040A">
        <w:rPr>
          <w:rtl/>
        </w:rPr>
        <w:t xml:space="preserve"> ، ج 8 ، ص 45 : « فيه إشارة إلى أنّ حسن الظنّ بالله ليس معناه ومقتضاه ترك العمل والاجتراء على المعاصي اتّكالاً على رحمة الله ، بل معناه أنّه مع العمل لايتّكل على عمله ، وإنّما يرجو قبوله من فضله وكرمه ، ويكون خوفه من ذنبه وقصور عمله ، لا من ربّه ؛ فحسن الظنّ لا ينافي الخوف ، بل لابدّ من الخوف وضمّه مع الرجاء وحسن الظنّ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الوافي</w:t>
      </w:r>
      <w:r w:rsidR="008A74EB" w:rsidRPr="00C9040A">
        <w:rPr>
          <w:rtl/>
        </w:rPr>
        <w:t xml:space="preserve"> ، ج 4 ، ص 298 ، ح 1971 ؛ </w:t>
      </w:r>
      <w:r w:rsidR="008A74EB" w:rsidRPr="00993B55">
        <w:rPr>
          <w:rStyle w:val="libFootnoteBoldChar"/>
          <w:rtl/>
        </w:rPr>
        <w:t>الوسائل</w:t>
      </w:r>
      <w:r w:rsidR="008A74EB" w:rsidRPr="00C9040A">
        <w:rPr>
          <w:rtl/>
        </w:rPr>
        <w:t xml:space="preserve"> ، ج 15 ، ص 230 ، ح 20351 ؛ </w:t>
      </w:r>
      <w:r w:rsidR="008A74EB" w:rsidRPr="00993B55">
        <w:rPr>
          <w:rStyle w:val="libFootnoteBoldChar"/>
          <w:rtl/>
        </w:rPr>
        <w:t>البحار</w:t>
      </w:r>
      <w:r w:rsidR="008A74EB" w:rsidRPr="00C9040A">
        <w:rPr>
          <w:rtl/>
        </w:rPr>
        <w:t xml:space="preserve"> ، ج 70 ، ص 367 ، ح 16.</w:t>
      </w:r>
    </w:p>
    <w:p w:rsidR="008A74EB" w:rsidRPr="004A4E41" w:rsidRDefault="006C577F" w:rsidP="004A4E41">
      <w:pPr>
        <w:pStyle w:val="libFootnote0"/>
        <w:rPr>
          <w:rStyle w:val="libFootnote0Char"/>
          <w:rtl/>
        </w:rPr>
      </w:pPr>
      <w:r>
        <w:rPr>
          <w:rtl/>
        </w:rPr>
        <w:t>(3).</w:t>
      </w:r>
      <w:r w:rsidR="008A74EB" w:rsidRPr="00C9040A">
        <w:rPr>
          <w:rtl/>
        </w:rPr>
        <w:t xml:space="preserve"> في الأمالي : « أنّه قال : بدل « قال : قال لبعض ولده : يا بنيّ »</w:t>
      </w:r>
      <w:r w:rsidR="008A74EB">
        <w:rPr>
          <w:rtl/>
        </w:rPr>
        <w:t>.</w:t>
      </w:r>
    </w:p>
    <w:tbl>
      <w:tblPr>
        <w:tblStyle w:val="TableGrid"/>
        <w:bidiVisual/>
        <w:tblW w:w="0" w:type="auto"/>
        <w:tblLook w:val="04A0" w:firstRow="1" w:lastRow="0" w:firstColumn="1" w:lastColumn="0" w:noHBand="0" w:noVBand="1"/>
      </w:tblPr>
      <w:tblGrid>
        <w:gridCol w:w="4006"/>
        <w:gridCol w:w="4006"/>
      </w:tblGrid>
      <w:tr w:rsidR="004877C0" w:rsidTr="004877C0">
        <w:tc>
          <w:tcPr>
            <w:tcW w:w="4006" w:type="dxa"/>
          </w:tcPr>
          <w:p w:rsidR="004877C0" w:rsidRDefault="004877C0" w:rsidP="004A4E41">
            <w:pPr>
              <w:pStyle w:val="libFootnote0"/>
              <w:rPr>
                <w:rtl/>
              </w:rPr>
            </w:pPr>
            <w:r>
              <w:rPr>
                <w:rtl/>
              </w:rPr>
              <w:t>(4).</w:t>
            </w:r>
            <w:r w:rsidRPr="00C9040A">
              <w:rPr>
                <w:rtl/>
              </w:rPr>
              <w:t xml:space="preserve"> في الأمالي : « ولاتخرجنّ »</w:t>
            </w:r>
            <w:r>
              <w:rPr>
                <w:rtl/>
              </w:rPr>
              <w:t>.</w:t>
            </w:r>
          </w:p>
        </w:tc>
        <w:tc>
          <w:tcPr>
            <w:tcW w:w="4006" w:type="dxa"/>
          </w:tcPr>
          <w:p w:rsidR="004877C0" w:rsidRDefault="004877C0" w:rsidP="004A4E41">
            <w:pPr>
              <w:pStyle w:val="libFootnote0"/>
              <w:rPr>
                <w:rtl/>
              </w:rPr>
            </w:pPr>
            <w:r>
              <w:rPr>
                <w:rtl/>
              </w:rPr>
              <w:t>(5).</w:t>
            </w:r>
            <w:r w:rsidRPr="00C9040A">
              <w:rPr>
                <w:rtl/>
              </w:rPr>
              <w:t xml:space="preserve"> في « ف » والبحار : « عن »</w:t>
            </w:r>
            <w:r>
              <w:rPr>
                <w:rtl/>
              </w:rPr>
              <w:t>.</w:t>
            </w:r>
          </w:p>
        </w:tc>
      </w:tr>
    </w:tbl>
    <w:p w:rsidR="008A74EB" w:rsidRPr="004A4E41" w:rsidRDefault="006C577F" w:rsidP="004A4E41">
      <w:pPr>
        <w:pStyle w:val="libFootnote0"/>
        <w:rPr>
          <w:rStyle w:val="libFootnote0Char"/>
          <w:rtl/>
        </w:rPr>
      </w:pPr>
      <w:r>
        <w:rPr>
          <w:rtl/>
        </w:rPr>
        <w:t>(6).</w:t>
      </w:r>
      <w:r w:rsidR="008A74EB">
        <w:rPr>
          <w:rtl/>
        </w:rPr>
        <w:t xml:space="preserve"> </w:t>
      </w:r>
      <w:r w:rsidR="008A74EB" w:rsidRPr="00993B55">
        <w:rPr>
          <w:rStyle w:val="libFootnoteBoldChar"/>
          <w:rtl/>
        </w:rPr>
        <w:t>الأمالي</w:t>
      </w:r>
      <w:r w:rsidR="008A74EB" w:rsidRPr="00C9040A">
        <w:rPr>
          <w:rtl/>
        </w:rPr>
        <w:t xml:space="preserve"> للطوسي ، ص 211 ، المجلس 8 ، ح 17 ، بسنده عن الكليني. </w:t>
      </w:r>
      <w:r w:rsidR="008A74EB" w:rsidRPr="00993B55">
        <w:rPr>
          <w:rStyle w:val="libFootnoteBoldChar"/>
          <w:rtl/>
        </w:rPr>
        <w:t>الفقيه</w:t>
      </w:r>
      <w:r w:rsidR="008A74EB" w:rsidRPr="00C9040A">
        <w:rPr>
          <w:rtl/>
        </w:rPr>
        <w:t xml:space="preserve"> ، ج 4 ، ص 408 ، ح 5885 ، معلّقاً عن الحسن بن محبوب. </w:t>
      </w:r>
      <w:r w:rsidR="008A74EB" w:rsidRPr="00993B55">
        <w:rPr>
          <w:rStyle w:val="libFootnoteBoldChar"/>
          <w:rtl/>
        </w:rPr>
        <w:t>تحف العقول</w:t>
      </w:r>
      <w:r w:rsidR="008A74EB" w:rsidRPr="00C9040A">
        <w:rPr>
          <w:rtl/>
        </w:rPr>
        <w:t xml:space="preserve"> ، ص 409 ، وفيهما مع اختلاف يسير وزيادة في أوّله وآخره </w:t>
      </w:r>
      <w:r w:rsidR="004877C0">
        <w:rPr>
          <w:rFonts w:hint="cs"/>
          <w:rtl/>
        </w:rPr>
        <w:t>.</w:t>
      </w:r>
      <w:r w:rsidR="008A74EB" w:rsidRPr="00993B55">
        <w:rPr>
          <w:rStyle w:val="libFootnoteBoldChar"/>
          <w:rtl/>
        </w:rPr>
        <w:t>الوافي</w:t>
      </w:r>
      <w:r w:rsidR="008A74EB" w:rsidRPr="00C9040A">
        <w:rPr>
          <w:rtl/>
        </w:rPr>
        <w:t xml:space="preserve"> ، ج 4 ، ص 299 ، ح 1972 ؛ </w:t>
      </w:r>
      <w:r w:rsidR="008A74EB" w:rsidRPr="00993B55">
        <w:rPr>
          <w:rStyle w:val="libFootnoteBoldChar"/>
          <w:rtl/>
        </w:rPr>
        <w:t>الوسائل</w:t>
      </w:r>
      <w:r w:rsidR="008A74EB" w:rsidRPr="00C9040A">
        <w:rPr>
          <w:rtl/>
        </w:rPr>
        <w:t xml:space="preserve"> ، ج 1 ، ص 95 ، ح 227 ؛ </w:t>
      </w:r>
      <w:r w:rsidR="008A74EB" w:rsidRPr="00993B55">
        <w:rPr>
          <w:rStyle w:val="libFootnoteBoldChar"/>
          <w:rtl/>
        </w:rPr>
        <w:t>البحار</w:t>
      </w:r>
      <w:r w:rsidR="008A74EB" w:rsidRPr="00C9040A">
        <w:rPr>
          <w:rtl/>
        </w:rPr>
        <w:t xml:space="preserve"> ، ج 71 ، ص 235 ، ح 16.</w:t>
      </w:r>
    </w:p>
    <w:tbl>
      <w:tblPr>
        <w:tblStyle w:val="TableGrid"/>
        <w:bidiVisual/>
        <w:tblW w:w="0" w:type="auto"/>
        <w:tblLook w:val="04A0" w:firstRow="1" w:lastRow="0" w:firstColumn="1" w:lastColumn="0" w:noHBand="0" w:noVBand="1"/>
      </w:tblPr>
      <w:tblGrid>
        <w:gridCol w:w="4006"/>
        <w:gridCol w:w="4006"/>
      </w:tblGrid>
      <w:tr w:rsidR="002611E6" w:rsidTr="002611E6">
        <w:tc>
          <w:tcPr>
            <w:tcW w:w="4006" w:type="dxa"/>
          </w:tcPr>
          <w:p w:rsidR="002611E6" w:rsidRDefault="002611E6" w:rsidP="004A4E41">
            <w:pPr>
              <w:pStyle w:val="libFootnote0"/>
              <w:rPr>
                <w:rtl/>
              </w:rPr>
            </w:pPr>
            <w:r>
              <w:rPr>
                <w:rtl/>
              </w:rPr>
              <w:t>(7).</w:t>
            </w:r>
            <w:r w:rsidRPr="00C9040A">
              <w:rPr>
                <w:rtl/>
              </w:rPr>
              <w:t xml:space="preserve"> في « ف » : + « محمّد »</w:t>
            </w:r>
            <w:r>
              <w:rPr>
                <w:rtl/>
              </w:rPr>
              <w:t>.</w:t>
            </w:r>
          </w:p>
        </w:tc>
        <w:tc>
          <w:tcPr>
            <w:tcW w:w="4006" w:type="dxa"/>
          </w:tcPr>
          <w:p w:rsidR="002611E6" w:rsidRDefault="002611E6" w:rsidP="004A4E41">
            <w:pPr>
              <w:pStyle w:val="libFootnote0"/>
              <w:rPr>
                <w:rtl/>
              </w:rPr>
            </w:pPr>
            <w:r>
              <w:rPr>
                <w:rtl/>
              </w:rPr>
              <w:t>(8).</w:t>
            </w:r>
            <w:r w:rsidRPr="00C9040A">
              <w:rPr>
                <w:rtl/>
              </w:rPr>
              <w:t xml:space="preserve"> في « بس » والوسائل </w:t>
            </w:r>
            <w:r>
              <w:rPr>
                <w:rtl/>
              </w:rPr>
              <w:t>: -</w:t>
            </w:r>
            <w:r w:rsidRPr="00C9040A">
              <w:rPr>
                <w:rtl/>
              </w:rPr>
              <w:t xml:space="preserve"> « لي »</w:t>
            </w:r>
            <w:r>
              <w:rPr>
                <w:rtl/>
              </w:rPr>
              <w:t>.</w:t>
            </w:r>
          </w:p>
        </w:tc>
      </w:tr>
    </w:tbl>
    <w:p w:rsidR="008A74EB" w:rsidRPr="00C9040A" w:rsidRDefault="006C577F" w:rsidP="004A4E41">
      <w:pPr>
        <w:pStyle w:val="libFootnote0"/>
        <w:rPr>
          <w:rtl/>
          <w:lang w:bidi="fa-IR"/>
        </w:rPr>
      </w:pPr>
      <w:r>
        <w:rPr>
          <w:rtl/>
        </w:rPr>
        <w:t>(9).</w:t>
      </w:r>
      <w:r w:rsidR="008A74EB" w:rsidRPr="00C9040A">
        <w:rPr>
          <w:rtl/>
        </w:rPr>
        <w:t xml:space="preserve"> في « ج ، ز ، ص ، ض ، ف ، بس » والوسائل </w:t>
      </w:r>
      <w:r w:rsidR="008A74EB">
        <w:rPr>
          <w:rtl/>
        </w:rPr>
        <w:t xml:space="preserve">: </w:t>
      </w:r>
      <w:r w:rsidR="0084262C">
        <w:rPr>
          <w:rtl/>
        </w:rPr>
        <w:t>-</w:t>
      </w:r>
      <w:r w:rsidR="008A74EB" w:rsidRPr="00C9040A">
        <w:rPr>
          <w:rtl/>
        </w:rPr>
        <w:t xml:space="preserve"> « لا »</w:t>
      </w:r>
      <w:r w:rsidR="008A74EB">
        <w:rPr>
          <w:rtl/>
        </w:rPr>
        <w:t>.</w:t>
      </w:r>
      <w:r w:rsidR="008A74EB" w:rsidRPr="00C9040A">
        <w:rPr>
          <w:rtl/>
        </w:rPr>
        <w:t xml:space="preserve"> وفي </w:t>
      </w:r>
      <w:r w:rsidR="008A74EB" w:rsidRPr="00993B55">
        <w:rPr>
          <w:rStyle w:val="libFootnoteBoldChar"/>
          <w:rtl/>
        </w:rPr>
        <w:t>المرآة</w:t>
      </w:r>
      <w:r w:rsidR="008A74EB" w:rsidRPr="00C9040A">
        <w:rPr>
          <w:rtl/>
        </w:rPr>
        <w:t xml:space="preserve"> : « أي وفّقك الله لأن تعدّ عبادتك ناقصة ونفسك مقصّرة أبداً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w:t>
      </w:r>
      <w:r w:rsidR="008A74EB" w:rsidRPr="00993B55">
        <w:rPr>
          <w:rStyle w:val="libFootnoteBoldChar"/>
          <w:rtl/>
        </w:rPr>
        <w:t>الوافي</w:t>
      </w:r>
      <w:r w:rsidR="008A74EB" w:rsidRPr="00C9040A">
        <w:rPr>
          <w:rtl/>
        </w:rPr>
        <w:t xml:space="preserve"> ، ج 4 ، ص 300 ، ح 1974 ؛ </w:t>
      </w:r>
      <w:r w:rsidR="008A74EB" w:rsidRPr="00993B55">
        <w:rPr>
          <w:rStyle w:val="libFootnoteBoldChar"/>
          <w:rtl/>
        </w:rPr>
        <w:t>الوسائل</w:t>
      </w:r>
      <w:r w:rsidR="008A74EB" w:rsidRPr="00C9040A">
        <w:rPr>
          <w:rtl/>
        </w:rPr>
        <w:t xml:space="preserve"> ، ج 1 ، ص 96 ، ح 230 ؛ </w:t>
      </w:r>
      <w:r w:rsidR="008A74EB" w:rsidRPr="00993B55">
        <w:rPr>
          <w:rStyle w:val="libFootnoteBoldChar"/>
          <w:rtl/>
        </w:rPr>
        <w:t>البحار</w:t>
      </w:r>
      <w:r w:rsidR="008A74EB" w:rsidRPr="00C9040A">
        <w:rPr>
          <w:rtl/>
        </w:rPr>
        <w:t xml:space="preserve"> ، ج 71 ، ص 235 ، ح 17.</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755654">
        <w:rPr>
          <w:rtl/>
        </w:rPr>
        <w:lastRenderedPageBreak/>
        <w:t>1618</w:t>
      </w:r>
      <w:r w:rsidRPr="00261CB0">
        <w:rPr>
          <w:rStyle w:val="libBold2Char"/>
          <w:rtl/>
        </w:rPr>
        <w:t xml:space="preserve"> / 3.</w:t>
      </w:r>
      <w:r w:rsidRPr="00C9040A">
        <w:rPr>
          <w:rtl/>
          <w:lang w:bidi="fa-IR"/>
        </w:rPr>
        <w:t xml:space="preserve"> عَنْهُ </w:t>
      </w:r>
      <w:r w:rsidR="006C577F" w:rsidRPr="006C577F">
        <w:rPr>
          <w:rStyle w:val="libFootnotenumChar"/>
          <w:rtl/>
        </w:rPr>
        <w:t>(1)</w:t>
      </w:r>
      <w:r w:rsidRPr="00C9040A">
        <w:rPr>
          <w:rtl/>
          <w:lang w:bidi="fa-IR"/>
        </w:rPr>
        <w:t xml:space="preserve">، عَنِ ابْنِ فَضَّالٍ ، عَنِ الْحَسَنِ بْنِ الْجَهْمِ </w:t>
      </w:r>
      <w:r w:rsidR="006C577F" w:rsidRPr="006C577F">
        <w:rPr>
          <w:rStyle w:val="libFootnotenumChar"/>
          <w:rtl/>
        </w:rPr>
        <w:t>(2)</w:t>
      </w:r>
      <w:r w:rsidRPr="00C9040A">
        <w:rPr>
          <w:rtl/>
          <w:lang w:bidi="fa-IR"/>
        </w:rPr>
        <w:t xml:space="preserve"> ، قَالَ :</w:t>
      </w:r>
    </w:p>
    <w:p w:rsidR="008A74EB" w:rsidRPr="00C9040A" w:rsidRDefault="008A74EB" w:rsidP="000F274B">
      <w:pPr>
        <w:pStyle w:val="libNormal"/>
        <w:rPr>
          <w:rtl/>
          <w:lang w:bidi="fa-IR"/>
        </w:rPr>
      </w:pPr>
      <w:r w:rsidRPr="00C9040A">
        <w:rPr>
          <w:rtl/>
          <w:lang w:bidi="fa-IR"/>
        </w:rPr>
        <w:t xml:space="preserve">سَمِعْتُ أَبَا الْحَسَنِ </w:t>
      </w:r>
      <w:r w:rsidRPr="0003660B">
        <w:rPr>
          <w:rStyle w:val="libAlaemChar"/>
          <w:rtl/>
        </w:rPr>
        <w:t>عليه‌السلام</w:t>
      </w:r>
      <w:r w:rsidRPr="00C9040A">
        <w:rPr>
          <w:rtl/>
          <w:lang w:bidi="fa-IR"/>
        </w:rPr>
        <w:t xml:space="preserve"> يَقُولُ : « إِنَّ رَجُلاً فِي </w:t>
      </w:r>
      <w:r w:rsidR="006C577F" w:rsidRPr="006C577F">
        <w:rPr>
          <w:rStyle w:val="libFootnotenumChar"/>
          <w:rtl/>
        </w:rPr>
        <w:t>(3)</w:t>
      </w:r>
      <w:r w:rsidRPr="00C9040A">
        <w:rPr>
          <w:rtl/>
          <w:lang w:bidi="fa-IR"/>
        </w:rPr>
        <w:t xml:space="preserve"> بَنِي إِسْرَائِيلَ عَبَدَ اللهَ أَرْبَعِينَ سَنَةً ، ثُمَّ قَرَّبَ قُرْبَاناً ، فَلَمْ يُقْبَلْ </w:t>
      </w:r>
      <w:r w:rsidR="006C577F" w:rsidRPr="006C577F">
        <w:rPr>
          <w:rStyle w:val="libFootnotenumChar"/>
          <w:rtl/>
        </w:rPr>
        <w:t>(4)</w:t>
      </w:r>
      <w:r w:rsidRPr="00C9040A">
        <w:rPr>
          <w:rtl/>
          <w:lang w:bidi="fa-IR"/>
        </w:rPr>
        <w:t xml:space="preserve"> مِنْهُ ، فَقَالَ لِنَفْسِهِ : مَا أُتِيتُ </w:t>
      </w:r>
      <w:r w:rsidR="006C577F" w:rsidRPr="006C577F">
        <w:rPr>
          <w:rStyle w:val="libFootnotenumChar"/>
          <w:rtl/>
        </w:rPr>
        <w:t>(5)</w:t>
      </w:r>
      <w:r w:rsidR="000F274B">
        <w:rPr>
          <w:rtl/>
          <w:lang w:bidi="fa-IR"/>
        </w:rPr>
        <w:t xml:space="preserve"> إِل</w:t>
      </w:r>
      <w:r w:rsidR="000F274B">
        <w:rPr>
          <w:rFonts w:hint="cs"/>
          <w:rtl/>
          <w:lang w:bidi="fa-IR"/>
        </w:rPr>
        <w:t>َّ</w:t>
      </w:r>
      <w:r w:rsidR="000F274B">
        <w:rPr>
          <w:rtl/>
          <w:lang w:bidi="fa-IR"/>
        </w:rPr>
        <w:t>ا</w:t>
      </w:r>
      <w:r w:rsidRPr="00C9040A">
        <w:rPr>
          <w:rtl/>
          <w:lang w:bidi="fa-IR"/>
        </w:rPr>
        <w:t xml:space="preserve"> مِنْكِ ، وَمَا الذَّنْبُ </w:t>
      </w:r>
      <w:r w:rsidR="000F274B">
        <w:rPr>
          <w:rtl/>
          <w:lang w:bidi="fa-IR"/>
        </w:rPr>
        <w:t>إِل</w:t>
      </w:r>
      <w:r w:rsidR="000F274B">
        <w:rPr>
          <w:rFonts w:hint="cs"/>
          <w:rtl/>
          <w:lang w:bidi="fa-IR"/>
        </w:rPr>
        <w:t>َّ</w:t>
      </w:r>
      <w:r w:rsidR="000F274B">
        <w:rPr>
          <w:rtl/>
          <w:lang w:bidi="fa-IR"/>
        </w:rPr>
        <w:t>ا</w:t>
      </w:r>
      <w:r w:rsidR="000F274B" w:rsidRPr="00C9040A">
        <w:rPr>
          <w:rtl/>
          <w:lang w:bidi="fa-IR"/>
        </w:rPr>
        <w:t xml:space="preserve"> </w:t>
      </w:r>
      <w:r w:rsidRPr="00C9040A">
        <w:rPr>
          <w:rtl/>
          <w:lang w:bidi="fa-IR"/>
        </w:rPr>
        <w:t>لَكِ »</w:t>
      </w:r>
      <w:r>
        <w:rPr>
          <w:rtl/>
          <w:lang w:bidi="fa-IR"/>
        </w:rPr>
        <w:t>.</w:t>
      </w:r>
      <w:r w:rsidRPr="00C9040A">
        <w:rPr>
          <w:rtl/>
          <w:lang w:bidi="fa-IR"/>
        </w:rPr>
        <w:t xml:space="preserve"> قَالَ :</w:t>
      </w:r>
      <w:r>
        <w:rPr>
          <w:rFonts w:hint="cs"/>
          <w:rtl/>
          <w:lang w:bidi="fa-IR"/>
        </w:rPr>
        <w:t xml:space="preserve"> </w:t>
      </w:r>
      <w:r w:rsidRPr="00C9040A">
        <w:rPr>
          <w:rtl/>
          <w:lang w:bidi="fa-IR"/>
        </w:rPr>
        <w:t>« فَأَوْحَى اللهُ</w:t>
      </w:r>
      <w:r>
        <w:rPr>
          <w:rtl/>
          <w:lang w:bidi="fa-IR"/>
        </w:rPr>
        <w:t xml:space="preserve"> </w:t>
      </w:r>
      <w:r w:rsidR="0084262C">
        <w:rPr>
          <w:rtl/>
          <w:lang w:bidi="fa-IR"/>
        </w:rPr>
        <w:t>-</w:t>
      </w:r>
      <w:r>
        <w:rPr>
          <w:rtl/>
          <w:lang w:bidi="fa-IR"/>
        </w:rPr>
        <w:t xml:space="preserve"> </w:t>
      </w:r>
      <w:r w:rsidRPr="00C9040A">
        <w:rPr>
          <w:rtl/>
          <w:lang w:bidi="fa-IR"/>
        </w:rPr>
        <w:t>تَبَارَكَ وَتَعَالى</w:t>
      </w:r>
      <w:r>
        <w:rPr>
          <w:rtl/>
          <w:lang w:bidi="fa-IR"/>
        </w:rPr>
        <w:t xml:space="preserve"> </w:t>
      </w:r>
      <w:r w:rsidR="0084262C">
        <w:rPr>
          <w:rtl/>
          <w:lang w:bidi="fa-IR"/>
        </w:rPr>
        <w:t>-</w:t>
      </w:r>
      <w:r>
        <w:rPr>
          <w:rtl/>
          <w:lang w:bidi="fa-IR"/>
        </w:rPr>
        <w:t xml:space="preserve"> </w:t>
      </w:r>
      <w:r w:rsidRPr="00C9040A">
        <w:rPr>
          <w:rtl/>
          <w:lang w:bidi="fa-IR"/>
        </w:rPr>
        <w:t xml:space="preserve">إِلَيْهِ : ذَمُّكَ لِنَفْسِكَ </w:t>
      </w:r>
      <w:r w:rsidR="006C577F" w:rsidRPr="006C577F">
        <w:rPr>
          <w:rStyle w:val="libFootnotenumChar"/>
          <w:rtl/>
        </w:rPr>
        <w:t>(6)</w:t>
      </w:r>
      <w:r w:rsidRPr="005B567D">
        <w:rPr>
          <w:rStyle w:val="libFootnotenumChar"/>
          <w:rtl/>
        </w:rPr>
        <w:t xml:space="preserve"> </w:t>
      </w:r>
      <w:r w:rsidRPr="00C9040A">
        <w:rPr>
          <w:rtl/>
          <w:lang w:bidi="fa-IR"/>
        </w:rPr>
        <w:t xml:space="preserve">أَفْضَلُ مِنْ عِبَادَتِكَ </w:t>
      </w:r>
      <w:r w:rsidR="006C577F" w:rsidRPr="006C577F">
        <w:rPr>
          <w:rStyle w:val="libFootnotenumChar"/>
          <w:rtl/>
        </w:rPr>
        <w:t>(7)</w:t>
      </w:r>
      <w:r w:rsidRPr="00C9040A">
        <w:rPr>
          <w:rtl/>
          <w:lang w:bidi="fa-IR"/>
        </w:rPr>
        <w:t xml:space="preserve"> أَرْبَعِينَ سَنَةً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Normal"/>
        <w:rPr>
          <w:rtl/>
          <w:lang w:bidi="fa-IR"/>
        </w:rPr>
      </w:pPr>
      <w:r w:rsidRPr="00755654">
        <w:rPr>
          <w:rtl/>
        </w:rPr>
        <w:t>1619</w:t>
      </w:r>
      <w:r w:rsidRPr="00261CB0">
        <w:rPr>
          <w:rStyle w:val="libBold2Char"/>
          <w:rtl/>
        </w:rPr>
        <w:t xml:space="preserve"> / 4.</w:t>
      </w:r>
      <w:r w:rsidRPr="00C9040A">
        <w:rPr>
          <w:rtl/>
          <w:lang w:bidi="fa-IR"/>
        </w:rPr>
        <w:t xml:space="preserve"> أَبُو عَلِيٍّ الْأَشْعَرِيُّ ، عَنْ عِيسَى بْنِ أَيُّوبَ ، عَنْ عَلِيِّ بْنِ مَهْزِيَارَ ، عَنِ الْفَضْلِ بْنِ يُونُسَ :</w:t>
      </w:r>
    </w:p>
    <w:p w:rsidR="008A74EB" w:rsidRPr="00C9040A" w:rsidRDefault="008A74EB" w:rsidP="008A74EB">
      <w:pPr>
        <w:pStyle w:val="libNormal"/>
        <w:rPr>
          <w:rtl/>
          <w:lang w:bidi="fa-IR"/>
        </w:rPr>
      </w:pPr>
      <w:r w:rsidRPr="00C9040A">
        <w:rPr>
          <w:rtl/>
          <w:lang w:bidi="fa-IR"/>
        </w:rPr>
        <w:t xml:space="preserve">عَنْ أَبِي الْحَسَنِ </w:t>
      </w:r>
      <w:r w:rsidRPr="0003660B">
        <w:rPr>
          <w:rStyle w:val="libAlaemChar"/>
          <w:rtl/>
        </w:rPr>
        <w:t>عليه‌السلام</w:t>
      </w:r>
      <w:r w:rsidRPr="00C9040A">
        <w:rPr>
          <w:rtl/>
          <w:lang w:bidi="fa-IR"/>
        </w:rPr>
        <w:t xml:space="preserve"> ، قَالَ : قَالَ </w:t>
      </w:r>
      <w:r w:rsidR="006C577F" w:rsidRPr="006C577F">
        <w:rPr>
          <w:rStyle w:val="libFootnotenumChar"/>
          <w:rtl/>
        </w:rPr>
        <w:t>(9)</w:t>
      </w:r>
      <w:r w:rsidRPr="00C9040A">
        <w:rPr>
          <w:rtl/>
          <w:lang w:bidi="fa-IR"/>
        </w:rPr>
        <w:t xml:space="preserve"> : « أَكْثِرْ مِنْ </w:t>
      </w:r>
      <w:r w:rsidR="006C577F" w:rsidRPr="006C577F">
        <w:rPr>
          <w:rStyle w:val="libFootnotenumChar"/>
          <w:rtl/>
        </w:rPr>
        <w:t>(10)</w:t>
      </w:r>
      <w:r w:rsidRPr="00C9040A">
        <w:rPr>
          <w:rtl/>
          <w:lang w:bidi="fa-IR"/>
        </w:rPr>
        <w:t xml:space="preserve"> أَنْ تَقُولَ : الل</w:t>
      </w:r>
      <w:r w:rsidR="000F274B">
        <w:rPr>
          <w:rFonts w:hint="cs"/>
          <w:rtl/>
          <w:lang w:bidi="fa-IR"/>
        </w:rPr>
        <w:t>ّ</w:t>
      </w:r>
      <w:r w:rsidRPr="00C9040A">
        <w:rPr>
          <w:rtl/>
          <w:lang w:bidi="fa-IR"/>
        </w:rPr>
        <w:t xml:space="preserve">هُمَّ لَاتَجْعَلْنِي مِنَ الْمُعَارِينَ </w:t>
      </w:r>
      <w:r w:rsidR="006C577F" w:rsidRPr="006C577F">
        <w:rPr>
          <w:rStyle w:val="libFootnotenumChar"/>
          <w:rtl/>
        </w:rPr>
        <w:t>(11)</w:t>
      </w:r>
      <w:r w:rsidRPr="00C9040A">
        <w:rPr>
          <w:rtl/>
          <w:lang w:bidi="fa-IR"/>
        </w:rPr>
        <w:t xml:space="preserve"> ، وَلَا تُخْرِجْنِي مِنَ </w:t>
      </w:r>
      <w:r w:rsidR="006C577F" w:rsidRPr="006C577F">
        <w:rPr>
          <w:rStyle w:val="libFootnotenumChar"/>
          <w:rtl/>
        </w:rPr>
        <w:t>(12)</w:t>
      </w:r>
      <w:r w:rsidRPr="00C9040A">
        <w:rPr>
          <w:rtl/>
          <w:lang w:bidi="fa-IR"/>
        </w:rPr>
        <w:t xml:space="preserve"> التَّقْصِيرِ »</w:t>
      </w:r>
      <w:r>
        <w:rPr>
          <w:rtl/>
          <w:lang w:bidi="fa-IR"/>
        </w:rPr>
        <w:t>.</w:t>
      </w:r>
    </w:p>
    <w:p w:rsidR="008A74EB" w:rsidRPr="00C9040A" w:rsidRDefault="008A74EB" w:rsidP="008A74EB">
      <w:pPr>
        <w:pStyle w:val="libNormal"/>
        <w:rPr>
          <w:rtl/>
          <w:lang w:bidi="fa-IR"/>
        </w:rPr>
      </w:pPr>
      <w:r w:rsidRPr="00C9040A">
        <w:rPr>
          <w:rtl/>
          <w:lang w:bidi="fa-IR"/>
        </w:rPr>
        <w:t xml:space="preserve">قَالَ </w:t>
      </w:r>
      <w:r w:rsidRPr="005B567D">
        <w:rPr>
          <w:rStyle w:val="libFootnotenumChar"/>
          <w:rtl/>
        </w:rPr>
        <w:t>(13)</w:t>
      </w:r>
      <w:r w:rsidRPr="00C9040A">
        <w:rPr>
          <w:rtl/>
          <w:lang w:bidi="fa-IR"/>
        </w:rPr>
        <w:t xml:space="preserve"> : قُلْتُ : أَمَّا الْمُعَارُونَ ، فَقَدْ عَرَفْتُ أَنَّ الرَّجُلَ يُعَارُ الدِّينَ ، ثُمَّ يَخْرُجُ مِنْهُ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الضمير راجع إلى أحمد بن أبي عبد الله المذكور في السند السابق ؛ فإنّ ابن فضّال الراوي عن الحسن بن الجهم ، هو الحسن بن عليّ بن فضّال ، روى عنه أحمد بن أبي عبد الله ، بعنوان أحمد بن محمّد بن خالد ، وأحمد بن أبي عبد الله البرقي. راجع : </w:t>
      </w:r>
      <w:r w:rsidR="008A74EB" w:rsidRPr="00993B55">
        <w:rPr>
          <w:rStyle w:val="libFootnoteBoldChar"/>
          <w:rtl/>
        </w:rPr>
        <w:t>رجال النجاشي</w:t>
      </w:r>
      <w:r w:rsidR="008A74EB" w:rsidRPr="00C9040A">
        <w:rPr>
          <w:rtl/>
        </w:rPr>
        <w:t xml:space="preserve"> ، ص 50 ، الرقم 109 ؛ </w:t>
      </w:r>
      <w:r w:rsidR="008A74EB" w:rsidRPr="0034021D">
        <w:rPr>
          <w:rStyle w:val="libFootnoteBoldChar"/>
          <w:rtl/>
        </w:rPr>
        <w:t>الفهرست للطوسي</w:t>
      </w:r>
      <w:r w:rsidR="008A74EB" w:rsidRPr="00C9040A">
        <w:rPr>
          <w:rtl/>
        </w:rPr>
        <w:t xml:space="preserve"> ، ص 123 ، الرقم 163 ؛ </w:t>
      </w:r>
      <w:r w:rsidR="008A74EB" w:rsidRPr="00993B55">
        <w:rPr>
          <w:rStyle w:val="libFootnoteBoldChar"/>
          <w:rtl/>
        </w:rPr>
        <w:t>معجم رجال الحديث</w:t>
      </w:r>
      <w:r w:rsidR="008A74EB" w:rsidRPr="00C9040A">
        <w:rPr>
          <w:rtl/>
        </w:rPr>
        <w:t xml:space="preserve"> ، ج 5 ، ص 50</w:t>
      </w:r>
      <w:r w:rsidR="008A74EB">
        <w:rPr>
          <w:rtl/>
        </w:rPr>
        <w:t xml:space="preserve"> </w:t>
      </w:r>
      <w:r w:rsidR="0084262C">
        <w:rPr>
          <w:rtl/>
        </w:rPr>
        <w:t>-</w:t>
      </w:r>
      <w:r w:rsidR="008A74EB">
        <w:rPr>
          <w:rtl/>
        </w:rPr>
        <w:t xml:space="preserve"> </w:t>
      </w:r>
      <w:r w:rsidR="008A74EB" w:rsidRPr="00C9040A">
        <w:rPr>
          <w:rtl/>
        </w:rPr>
        <w:t>51.</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ب ، ج ، ص ، بف » : « جهم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ب » : « من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w:t>
      </w:r>
      <w:r w:rsidR="006D3162">
        <w:rPr>
          <w:rtl/>
        </w:rPr>
        <w:t xml:space="preserve">ه </w:t>
      </w:r>
      <w:r w:rsidR="008A74EB" w:rsidRPr="00C9040A">
        <w:rPr>
          <w:rtl/>
        </w:rPr>
        <w:t>» : « فلم يتقبّل »</w:t>
      </w:r>
      <w:r w:rsidR="008A74EB">
        <w:rPr>
          <w:rtl/>
        </w:rPr>
        <w:t>.</w:t>
      </w:r>
    </w:p>
    <w:p w:rsidR="008A74EB" w:rsidRPr="004A4E41" w:rsidRDefault="006C577F" w:rsidP="004A4E41">
      <w:pPr>
        <w:pStyle w:val="libFootnote0"/>
        <w:rPr>
          <w:rStyle w:val="libFootnote0Char"/>
          <w:rtl/>
        </w:rPr>
      </w:pPr>
      <w:r>
        <w:rPr>
          <w:rtl/>
        </w:rPr>
        <w:t>(5).</w:t>
      </w:r>
      <w:r w:rsidR="008A74EB" w:rsidRPr="00C9040A">
        <w:rPr>
          <w:rtl/>
        </w:rPr>
        <w:t xml:space="preserve"> في « ز ، ف » والوافي والبحار ، ج 14 : « ا</w:t>
      </w:r>
      <w:r w:rsidR="001E63FB">
        <w:rPr>
          <w:rFonts w:hint="cs"/>
          <w:rtl/>
        </w:rPr>
        <w:t>ُ</w:t>
      </w:r>
      <w:r w:rsidR="008A74EB" w:rsidRPr="00C9040A">
        <w:rPr>
          <w:rtl/>
        </w:rPr>
        <w:t>وتيت »</w:t>
      </w:r>
      <w:r w:rsidR="008A74EB">
        <w:rPr>
          <w:rtl/>
        </w:rPr>
        <w:t>.</w:t>
      </w:r>
      <w:r w:rsidR="008A74EB" w:rsidRPr="00C9040A">
        <w:rPr>
          <w:rtl/>
        </w:rPr>
        <w:t xml:space="preserve"> وفي </w:t>
      </w:r>
      <w:r w:rsidR="008A74EB" w:rsidRPr="00993B55">
        <w:rPr>
          <w:rStyle w:val="libFootnoteBoldChar"/>
          <w:rtl/>
        </w:rPr>
        <w:t>الوافي</w:t>
      </w:r>
      <w:r w:rsidR="008A74EB" w:rsidRPr="00C9040A">
        <w:rPr>
          <w:rtl/>
        </w:rPr>
        <w:t xml:space="preserve"> : « ما ا</w:t>
      </w:r>
      <w:r w:rsidR="001E63FB">
        <w:rPr>
          <w:rFonts w:hint="cs"/>
          <w:rtl/>
        </w:rPr>
        <w:t>ُ</w:t>
      </w:r>
      <w:r w:rsidR="008A74EB" w:rsidRPr="00C9040A">
        <w:rPr>
          <w:rtl/>
        </w:rPr>
        <w:t>تيت إل</w:t>
      </w:r>
      <w:r w:rsidR="001E63FB">
        <w:rPr>
          <w:rFonts w:hint="cs"/>
          <w:rtl/>
        </w:rPr>
        <w:t>ّ</w:t>
      </w:r>
      <w:r w:rsidR="008A74EB" w:rsidRPr="00C9040A">
        <w:rPr>
          <w:rtl/>
        </w:rPr>
        <w:t>امنك ، على البناء للمف</w:t>
      </w:r>
      <w:r w:rsidR="001E63FB">
        <w:rPr>
          <w:rtl/>
        </w:rPr>
        <w:t>عول ، أي ما دخل عليّ البلاء إل</w:t>
      </w:r>
      <w:r w:rsidR="001E63FB">
        <w:rPr>
          <w:rFonts w:hint="cs"/>
          <w:rtl/>
        </w:rPr>
        <w:t>ّ</w:t>
      </w:r>
      <w:r w:rsidR="001E63FB">
        <w:rPr>
          <w:rtl/>
        </w:rPr>
        <w:t>ا</w:t>
      </w:r>
      <w:r w:rsidR="008A74EB" w:rsidRPr="00C9040A">
        <w:rPr>
          <w:rtl/>
        </w:rPr>
        <w:t>من جهتك »</w:t>
      </w:r>
      <w:r w:rsidR="008A74EB">
        <w:rPr>
          <w:rtl/>
        </w:rPr>
        <w:t>.</w:t>
      </w:r>
      <w:r w:rsidR="008A74EB" w:rsidRPr="00C9040A">
        <w:rPr>
          <w:rtl/>
        </w:rPr>
        <w:t xml:space="preserve"> وفي حاشية « بر » : « ا</w:t>
      </w:r>
      <w:r w:rsidR="001E63FB">
        <w:rPr>
          <w:rFonts w:hint="cs"/>
          <w:rtl/>
        </w:rPr>
        <w:t>ُ</w:t>
      </w:r>
      <w:r w:rsidR="008A74EB" w:rsidRPr="00C9040A">
        <w:rPr>
          <w:rtl/>
        </w:rPr>
        <w:t>ثيب »</w:t>
      </w:r>
      <w:r w:rsidR="008A74EB">
        <w:rPr>
          <w:rtl/>
        </w:rPr>
        <w:t>.</w:t>
      </w:r>
    </w:p>
    <w:tbl>
      <w:tblPr>
        <w:tblStyle w:val="TableGrid"/>
        <w:bidiVisual/>
        <w:tblW w:w="0" w:type="auto"/>
        <w:tblLook w:val="04A0" w:firstRow="1" w:lastRow="0" w:firstColumn="1" w:lastColumn="0" w:noHBand="0" w:noVBand="1"/>
      </w:tblPr>
      <w:tblGrid>
        <w:gridCol w:w="4006"/>
        <w:gridCol w:w="4006"/>
      </w:tblGrid>
      <w:tr w:rsidR="008952D3" w:rsidTr="008952D3">
        <w:tc>
          <w:tcPr>
            <w:tcW w:w="4006" w:type="dxa"/>
          </w:tcPr>
          <w:p w:rsidR="008952D3" w:rsidRDefault="008952D3" w:rsidP="004A4E41">
            <w:pPr>
              <w:pStyle w:val="libFootnote0"/>
              <w:rPr>
                <w:rtl/>
                <w:lang w:bidi="fa-IR"/>
              </w:rPr>
            </w:pPr>
            <w:r>
              <w:rPr>
                <w:rtl/>
              </w:rPr>
              <w:t xml:space="preserve">(6). </w:t>
            </w:r>
            <w:r w:rsidRPr="00C9040A">
              <w:rPr>
                <w:rtl/>
              </w:rPr>
              <w:t>في البحار : « نفسك »</w:t>
            </w:r>
            <w:r>
              <w:rPr>
                <w:rtl/>
              </w:rPr>
              <w:t>.</w:t>
            </w:r>
          </w:p>
        </w:tc>
        <w:tc>
          <w:tcPr>
            <w:tcW w:w="4006" w:type="dxa"/>
          </w:tcPr>
          <w:p w:rsidR="008952D3" w:rsidRDefault="008952D3" w:rsidP="004A4E41">
            <w:pPr>
              <w:pStyle w:val="libFootnote0"/>
              <w:rPr>
                <w:rtl/>
                <w:lang w:bidi="fa-IR"/>
              </w:rPr>
            </w:pPr>
            <w:r>
              <w:rPr>
                <w:rtl/>
              </w:rPr>
              <w:t>(7).</w:t>
            </w:r>
            <w:r w:rsidRPr="00C9040A">
              <w:rPr>
                <w:rtl/>
              </w:rPr>
              <w:t xml:space="preserve"> في « ص ، ف ، </w:t>
            </w:r>
            <w:r>
              <w:rPr>
                <w:rtl/>
              </w:rPr>
              <w:t xml:space="preserve">ه </w:t>
            </w:r>
            <w:r w:rsidRPr="00C9040A">
              <w:rPr>
                <w:rtl/>
              </w:rPr>
              <w:t>، بر ، بف » : « عبادة »</w:t>
            </w:r>
            <w:r>
              <w:rPr>
                <w:rtl/>
              </w:rPr>
              <w:t>.</w:t>
            </w:r>
          </w:p>
        </w:tc>
      </w:tr>
    </w:tbl>
    <w:p w:rsidR="008A74EB" w:rsidRPr="00C9040A" w:rsidRDefault="006C577F" w:rsidP="004A4E41">
      <w:pPr>
        <w:pStyle w:val="libFootnote0"/>
        <w:rPr>
          <w:rtl/>
          <w:lang w:bidi="fa-IR"/>
        </w:rPr>
      </w:pPr>
      <w:r>
        <w:rPr>
          <w:rtl/>
        </w:rPr>
        <w:t>(8).</w:t>
      </w:r>
      <w:r w:rsidR="008A74EB" w:rsidRPr="00C9040A">
        <w:rPr>
          <w:rtl/>
        </w:rPr>
        <w:t xml:space="preserve"> </w:t>
      </w:r>
      <w:r w:rsidR="008A74EB" w:rsidRPr="00993B55">
        <w:rPr>
          <w:rStyle w:val="libFootnoteBoldChar"/>
          <w:rtl/>
        </w:rPr>
        <w:t>الوافي</w:t>
      </w:r>
      <w:r w:rsidR="008A74EB" w:rsidRPr="00C9040A">
        <w:rPr>
          <w:rtl/>
        </w:rPr>
        <w:t xml:space="preserve"> ، ج 4 ، ص 300 ، ح 1975 ؛ </w:t>
      </w:r>
      <w:r w:rsidR="008A74EB" w:rsidRPr="00993B55">
        <w:rPr>
          <w:rStyle w:val="libFootnoteBoldChar"/>
          <w:rtl/>
        </w:rPr>
        <w:t>الوسائل</w:t>
      </w:r>
      <w:r w:rsidR="008A74EB" w:rsidRPr="00C9040A">
        <w:rPr>
          <w:rtl/>
        </w:rPr>
        <w:t xml:space="preserve"> ، ج 15 ، ص 232 ، ح 20357 ؛ </w:t>
      </w:r>
      <w:r w:rsidR="008A74EB" w:rsidRPr="00993B55">
        <w:rPr>
          <w:rStyle w:val="libFootnoteBoldChar"/>
          <w:rtl/>
        </w:rPr>
        <w:t>البحار</w:t>
      </w:r>
      <w:r w:rsidR="008A74EB" w:rsidRPr="00C9040A">
        <w:rPr>
          <w:rtl/>
        </w:rPr>
        <w:t xml:space="preserve"> ، ج 14 ،</w:t>
      </w:r>
      <w:r w:rsidR="008952D3">
        <w:rPr>
          <w:rtl/>
        </w:rPr>
        <w:t xml:space="preserve"> ص 500 ، ح 23 ؛ وج 71 ، ص234،</w:t>
      </w:r>
      <w:r w:rsidR="008A74EB" w:rsidRPr="00C9040A">
        <w:rPr>
          <w:rtl/>
        </w:rPr>
        <w:t>ح 15.</w:t>
      </w:r>
      <w:r w:rsidR="008952D3">
        <w:rPr>
          <w:rFonts w:hint="cs"/>
          <w:rtl/>
        </w:rPr>
        <w:t xml:space="preserve">            </w:t>
      </w:r>
      <w:r>
        <w:rPr>
          <w:rtl/>
        </w:rPr>
        <w:t>(9).</w:t>
      </w:r>
      <w:r w:rsidR="008A74EB" w:rsidRPr="00C9040A">
        <w:rPr>
          <w:rtl/>
        </w:rPr>
        <w:t xml:space="preserve"> في الوسائل </w:t>
      </w:r>
      <w:r w:rsidR="008A74EB">
        <w:rPr>
          <w:rtl/>
        </w:rPr>
        <w:t xml:space="preserve">: </w:t>
      </w:r>
      <w:r w:rsidR="0084262C">
        <w:rPr>
          <w:rtl/>
        </w:rPr>
        <w:t>-</w:t>
      </w:r>
      <w:r w:rsidR="008A74EB" w:rsidRPr="00C9040A">
        <w:rPr>
          <w:rtl/>
        </w:rPr>
        <w:t xml:space="preserve"> « قال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 ز ، ص ، ف » </w:t>
      </w:r>
      <w:r w:rsidR="008A74EB">
        <w:rPr>
          <w:rtl/>
        </w:rPr>
        <w:t xml:space="preserve">: </w:t>
      </w:r>
      <w:r w:rsidR="0084262C">
        <w:rPr>
          <w:rtl/>
        </w:rPr>
        <w:t>-</w:t>
      </w:r>
      <w:r w:rsidR="008A74EB" w:rsidRPr="00C9040A">
        <w:rPr>
          <w:rtl/>
        </w:rPr>
        <w:t xml:space="preserve"> « من »</w:t>
      </w:r>
      <w:r w:rsidR="008A74EB">
        <w:rPr>
          <w:rtl/>
        </w:rPr>
        <w:t>.</w:t>
      </w:r>
    </w:p>
    <w:p w:rsidR="008A74EB" w:rsidRPr="004A4E41" w:rsidRDefault="006C577F" w:rsidP="004A4E41">
      <w:pPr>
        <w:pStyle w:val="libFootnote0"/>
        <w:rPr>
          <w:rStyle w:val="libFootnote0Char"/>
          <w:rtl/>
        </w:rPr>
      </w:pPr>
      <w:r>
        <w:rPr>
          <w:rtl/>
        </w:rPr>
        <w:t>(11).</w:t>
      </w:r>
      <w:r w:rsidR="008A74EB" w:rsidRPr="00C9040A">
        <w:rPr>
          <w:rtl/>
        </w:rPr>
        <w:t xml:space="preserve"> في </w:t>
      </w:r>
      <w:r w:rsidR="008A74EB" w:rsidRPr="00993B55">
        <w:rPr>
          <w:rStyle w:val="libFootnoteBoldChar"/>
          <w:rtl/>
        </w:rPr>
        <w:t>الوافي</w:t>
      </w:r>
      <w:r w:rsidR="008A74EB" w:rsidRPr="00C9040A">
        <w:rPr>
          <w:rtl/>
        </w:rPr>
        <w:t xml:space="preserve"> : « المعارة على البناء للمفعول</w:t>
      </w:r>
      <w:r w:rsidR="008A74EB">
        <w:rPr>
          <w:rtl/>
        </w:rPr>
        <w:t xml:space="preserve"> </w:t>
      </w:r>
      <w:r w:rsidR="0084262C">
        <w:rPr>
          <w:rtl/>
        </w:rPr>
        <w:t>-</w:t>
      </w:r>
      <w:r w:rsidR="008A74EB">
        <w:rPr>
          <w:rtl/>
        </w:rPr>
        <w:t xml:space="preserve"> </w:t>
      </w:r>
      <w:r w:rsidR="008A74EB" w:rsidRPr="00C9040A">
        <w:rPr>
          <w:rtl/>
        </w:rPr>
        <w:t>من الإعارة ، يعني بهم الذين يكون الإيمان عارية عندهم غير مستقرّ في قلوبهم ولا ثابت في صدورهم ، كما فسّره الراوي »</w:t>
      </w:r>
      <w:r w:rsidR="008A74EB">
        <w:rPr>
          <w:rtl/>
        </w:rPr>
        <w:t>.</w:t>
      </w:r>
    </w:p>
    <w:tbl>
      <w:tblPr>
        <w:tblStyle w:val="TableGrid"/>
        <w:bidiVisual/>
        <w:tblW w:w="0" w:type="auto"/>
        <w:tblLook w:val="04A0" w:firstRow="1" w:lastRow="0" w:firstColumn="1" w:lastColumn="0" w:noHBand="0" w:noVBand="1"/>
      </w:tblPr>
      <w:tblGrid>
        <w:gridCol w:w="4006"/>
        <w:gridCol w:w="4006"/>
      </w:tblGrid>
      <w:tr w:rsidR="002C5F85" w:rsidTr="002C5F85">
        <w:tc>
          <w:tcPr>
            <w:tcW w:w="4006" w:type="dxa"/>
          </w:tcPr>
          <w:p w:rsidR="002C5F85" w:rsidRDefault="002C5F85" w:rsidP="004A4E41">
            <w:pPr>
              <w:pStyle w:val="libFootnote0"/>
              <w:rPr>
                <w:rtl/>
              </w:rPr>
            </w:pPr>
            <w:r>
              <w:rPr>
                <w:rtl/>
              </w:rPr>
              <w:t>(12).</w:t>
            </w:r>
            <w:r w:rsidRPr="00C9040A">
              <w:rPr>
                <w:rtl/>
              </w:rPr>
              <w:t xml:space="preserve"> في«بر»وحاشية«بس»:+«حدّ»</w:t>
            </w:r>
            <w:r>
              <w:rPr>
                <w:rtl/>
              </w:rPr>
              <w:t>.</w:t>
            </w:r>
          </w:p>
        </w:tc>
        <w:tc>
          <w:tcPr>
            <w:tcW w:w="4006" w:type="dxa"/>
          </w:tcPr>
          <w:p w:rsidR="002C5F85" w:rsidRDefault="002C5F85" w:rsidP="004A4E41">
            <w:pPr>
              <w:pStyle w:val="libFootnote0"/>
              <w:rPr>
                <w:rtl/>
              </w:rPr>
            </w:pPr>
            <w:r>
              <w:rPr>
                <w:rtl/>
              </w:rPr>
              <w:t>(13)</w:t>
            </w:r>
            <w:r w:rsidRPr="00C9040A">
              <w:rPr>
                <w:rtl/>
              </w:rPr>
              <w:t xml:space="preserve"> في«ج،ف»والبحار</w:t>
            </w:r>
            <w:r>
              <w:rPr>
                <w:rtl/>
              </w:rPr>
              <w:t>:-</w:t>
            </w:r>
            <w:r w:rsidRPr="00C9040A">
              <w:rPr>
                <w:rtl/>
              </w:rPr>
              <w:t>«قال»</w:t>
            </w:r>
            <w:r>
              <w:rPr>
                <w:rtl/>
              </w:rPr>
              <w:t>.</w:t>
            </w:r>
          </w:p>
        </w:tc>
      </w:tr>
    </w:tbl>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فَمَا مَعْنى « لَا تُخْرِجْنِي مِنَ </w:t>
      </w:r>
      <w:r w:rsidR="006C577F" w:rsidRPr="006C577F">
        <w:rPr>
          <w:rStyle w:val="libFootnotenumChar"/>
          <w:rtl/>
        </w:rPr>
        <w:t>(1)</w:t>
      </w:r>
      <w:r w:rsidRPr="00853746">
        <w:rPr>
          <w:rFonts w:hint="cs"/>
          <w:rtl/>
        </w:rPr>
        <w:t xml:space="preserve"> </w:t>
      </w:r>
      <w:r w:rsidRPr="00C9040A">
        <w:rPr>
          <w:rtl/>
          <w:lang w:bidi="fa-IR"/>
        </w:rPr>
        <w:t>التَّقْصِيرِ »</w:t>
      </w:r>
      <w:r>
        <w:rPr>
          <w:rtl/>
          <w:lang w:bidi="fa-IR"/>
        </w:rPr>
        <w:t>؟</w:t>
      </w:r>
    </w:p>
    <w:p w:rsidR="008A74EB" w:rsidRPr="00C9040A" w:rsidRDefault="008A74EB" w:rsidP="008A74EB">
      <w:pPr>
        <w:pStyle w:val="libNormal"/>
        <w:rPr>
          <w:rtl/>
          <w:lang w:bidi="fa-IR"/>
        </w:rPr>
      </w:pPr>
      <w:r w:rsidRPr="00C9040A">
        <w:rPr>
          <w:rtl/>
          <w:lang w:bidi="fa-IR"/>
        </w:rPr>
        <w:t xml:space="preserve">فَقَالَ : « كُلُّ عَمَلٍ </w:t>
      </w:r>
      <w:r w:rsidR="006C577F" w:rsidRPr="006C577F">
        <w:rPr>
          <w:rStyle w:val="libFootnotenumChar"/>
          <w:rtl/>
        </w:rPr>
        <w:t>(2)</w:t>
      </w:r>
      <w:r w:rsidRPr="00C9040A">
        <w:rPr>
          <w:rtl/>
          <w:lang w:bidi="fa-IR"/>
        </w:rPr>
        <w:t xml:space="preserve"> تُرِيدُ بِهِ </w:t>
      </w:r>
      <w:r w:rsidR="006C577F" w:rsidRPr="006C577F">
        <w:rPr>
          <w:rStyle w:val="libFootnotenumChar"/>
          <w:rtl/>
        </w:rPr>
        <w:t>(3)</w:t>
      </w:r>
      <w:r w:rsidRPr="00C9040A">
        <w:rPr>
          <w:rtl/>
          <w:lang w:bidi="fa-IR"/>
        </w:rPr>
        <w:t xml:space="preserve">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فَكُنْ فِيهِ مُقَصِّراً عِنْدَ نَفْسِكَ ؛ فَإِنَّ النَّاسَ كُلَّهُمْ فِي أَعْمَالِهِمْ فِيمَا بَيْنَهُمْ وَ</w:t>
      </w:r>
      <w:r w:rsidR="002A22A5">
        <w:rPr>
          <w:rtl/>
          <w:lang w:bidi="fa-IR"/>
        </w:rPr>
        <w:t>بَيْنَ اللهِ مُقَصِّرُونَ إِل</w:t>
      </w:r>
      <w:r w:rsidR="002A22A5">
        <w:rPr>
          <w:rFonts w:hint="cs"/>
          <w:rtl/>
          <w:lang w:bidi="fa-IR"/>
        </w:rPr>
        <w:t>َّ</w:t>
      </w:r>
      <w:r w:rsidR="002A22A5">
        <w:rPr>
          <w:rtl/>
          <w:lang w:bidi="fa-IR"/>
        </w:rPr>
        <w:t>ا</w:t>
      </w:r>
      <w:r w:rsidRPr="00C9040A">
        <w:rPr>
          <w:rtl/>
          <w:lang w:bidi="fa-IR"/>
        </w:rPr>
        <w:t xml:space="preserve"> مَنْ عَصَمَهُ اللهُ عَزَّ وَجَلَّ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Heading2Center"/>
        <w:rPr>
          <w:rtl/>
          <w:lang w:bidi="fa-IR"/>
        </w:rPr>
      </w:pPr>
      <w:bookmarkStart w:id="118" w:name="_Toc343795627"/>
      <w:bookmarkStart w:id="119" w:name="_Toc459810751"/>
      <w:bookmarkStart w:id="120" w:name="_Toc35348657"/>
      <w:r w:rsidRPr="00C9040A">
        <w:rPr>
          <w:rtl/>
          <w:lang w:bidi="fa-IR"/>
        </w:rPr>
        <w:t>36</w:t>
      </w:r>
      <w:r>
        <w:rPr>
          <w:rtl/>
          <w:lang w:bidi="fa-IR"/>
        </w:rPr>
        <w:t xml:space="preserve"> </w:t>
      </w:r>
      <w:r w:rsidR="0084262C">
        <w:rPr>
          <w:rtl/>
          <w:lang w:bidi="fa-IR"/>
        </w:rPr>
        <w:t>-</w:t>
      </w:r>
      <w:r>
        <w:rPr>
          <w:rtl/>
          <w:lang w:bidi="fa-IR"/>
        </w:rPr>
        <w:t xml:space="preserve"> </w:t>
      </w:r>
      <w:r w:rsidRPr="00C9040A">
        <w:rPr>
          <w:rtl/>
          <w:lang w:bidi="fa-IR"/>
        </w:rPr>
        <w:t>بَابُ الطَّاعَةِ وَالتَّقْوى‌</w:t>
      </w:r>
      <w:bookmarkEnd w:id="118"/>
      <w:bookmarkEnd w:id="119"/>
      <w:bookmarkEnd w:id="120"/>
    </w:p>
    <w:p w:rsidR="008A74EB" w:rsidRPr="00C9040A" w:rsidRDefault="008A74EB" w:rsidP="008A74EB">
      <w:pPr>
        <w:pStyle w:val="libNormal"/>
        <w:rPr>
          <w:rtl/>
          <w:lang w:bidi="fa-IR"/>
        </w:rPr>
      </w:pPr>
      <w:r w:rsidRPr="00755654">
        <w:rPr>
          <w:rtl/>
        </w:rPr>
        <w:t>1620</w:t>
      </w:r>
      <w:r w:rsidRPr="00261CB0">
        <w:rPr>
          <w:rStyle w:val="libBold2Char"/>
          <w:rtl/>
        </w:rPr>
        <w:t xml:space="preserve"> / 1.</w:t>
      </w:r>
      <w:r w:rsidRPr="00C9040A">
        <w:rPr>
          <w:rtl/>
          <w:lang w:bidi="fa-IR"/>
        </w:rPr>
        <w:t xml:space="preserve"> عَلِيُّ بْنُ إِبْرَاهِيمَ ، عَنْ أَبِيهِ ، عَنْ أَحْمَدَ بْنِ مُحَمَّدِ بْنِ أَبِي نَصْرٍ ، عَنْ مُحَمَّدٍ </w:t>
      </w:r>
      <w:r w:rsidR="006C577F" w:rsidRPr="006C577F">
        <w:rPr>
          <w:rStyle w:val="libFootnotenumChar"/>
          <w:rtl/>
        </w:rPr>
        <w:t>(5)</w:t>
      </w:r>
      <w:r w:rsidRPr="00C9040A">
        <w:rPr>
          <w:rtl/>
          <w:lang w:bidi="fa-IR"/>
        </w:rPr>
        <w:t xml:space="preserve"> أَخِي عُرَامٍ </w:t>
      </w:r>
      <w:r w:rsidR="006C577F" w:rsidRPr="006C577F">
        <w:rPr>
          <w:rStyle w:val="libFootnotenumChar"/>
          <w:rtl/>
        </w:rPr>
        <w:t>(6)</w:t>
      </w:r>
      <w:r w:rsidRPr="005B567D">
        <w:rPr>
          <w:rStyle w:val="libFootnotenumChar"/>
          <w:rtl/>
        </w:rPr>
        <w:t xml:space="preserve"> </w:t>
      </w:r>
      <w:r w:rsidRPr="00C9040A">
        <w:rPr>
          <w:rtl/>
          <w:lang w:bidi="fa-IR"/>
        </w:rPr>
        <w:t>، عَنْ مُحَمَّدِ بْنِ مُسْلِمٍ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لَا تَذْهَبْ </w:t>
      </w:r>
      <w:r w:rsidR="006C577F" w:rsidRPr="006C577F">
        <w:rPr>
          <w:rStyle w:val="libFootnotenumChar"/>
          <w:rtl/>
        </w:rPr>
        <w:t>(7)</w:t>
      </w:r>
      <w:r w:rsidRPr="00C9040A">
        <w:rPr>
          <w:rtl/>
          <w:lang w:bidi="fa-IR"/>
        </w:rPr>
        <w:t xml:space="preserve"> بِكُمُ الْمَذَاهِبُ ، فَوَ اللهِ م</w:t>
      </w:r>
      <w:r w:rsidR="002A22A5">
        <w:rPr>
          <w:rtl/>
          <w:lang w:bidi="fa-IR"/>
        </w:rPr>
        <w:t>َا شِيعَتُنَا إِل</w:t>
      </w:r>
      <w:r w:rsidR="002A22A5">
        <w:rPr>
          <w:rFonts w:hint="cs"/>
          <w:rtl/>
          <w:lang w:bidi="fa-IR"/>
        </w:rPr>
        <w:t>َّ</w:t>
      </w:r>
      <w:r w:rsidR="002A22A5">
        <w:rPr>
          <w:rtl/>
          <w:lang w:bidi="fa-IR"/>
        </w:rPr>
        <w:t>ا</w:t>
      </w:r>
      <w:r w:rsidRPr="00C9040A">
        <w:rPr>
          <w:rtl/>
          <w:lang w:bidi="fa-IR"/>
        </w:rPr>
        <w:t xml:space="preserve"> مَنْ أَطَاعَ اللهَ عَزَّ وَجَلَّ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Normal"/>
        <w:rPr>
          <w:rtl/>
          <w:lang w:bidi="fa-IR"/>
        </w:rPr>
      </w:pPr>
      <w:r w:rsidRPr="00755654">
        <w:rPr>
          <w:rtl/>
        </w:rPr>
        <w:t>1621</w:t>
      </w:r>
      <w:r w:rsidRPr="00261CB0">
        <w:rPr>
          <w:rStyle w:val="libBold2Char"/>
          <w:rtl/>
        </w:rPr>
        <w:t xml:space="preserve"> / 2.</w:t>
      </w:r>
      <w:r w:rsidRPr="00C9040A">
        <w:rPr>
          <w:rtl/>
          <w:lang w:bidi="fa-IR"/>
        </w:rPr>
        <w:t xml:space="preserve"> عِدَّةٌ مِنْ أَصْحَابِنَا ، عَنْ أَحْمَدَ بْنِ مُحَمَّدٍ ، عَنِ ابْنِ فَضَّالٍ ، عَنْ عَاصِمِ بْنِ‌</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977E3C" w:rsidTr="00977E3C">
        <w:tc>
          <w:tcPr>
            <w:tcW w:w="4006" w:type="dxa"/>
          </w:tcPr>
          <w:p w:rsidR="00977E3C" w:rsidRDefault="00977E3C" w:rsidP="004A4E41">
            <w:pPr>
              <w:pStyle w:val="libFootnote0"/>
              <w:rPr>
                <w:rtl/>
              </w:rPr>
            </w:pPr>
            <w:r>
              <w:rPr>
                <w:rtl/>
              </w:rPr>
              <w:t>(1).</w:t>
            </w:r>
            <w:r w:rsidRPr="00C9040A">
              <w:rPr>
                <w:rtl/>
              </w:rPr>
              <w:t xml:space="preserve"> في حاشية « بر » : + « حدّ »</w:t>
            </w:r>
            <w:r>
              <w:rPr>
                <w:rtl/>
              </w:rPr>
              <w:t>.</w:t>
            </w:r>
          </w:p>
        </w:tc>
        <w:tc>
          <w:tcPr>
            <w:tcW w:w="4006" w:type="dxa"/>
          </w:tcPr>
          <w:p w:rsidR="00977E3C" w:rsidRDefault="00977E3C" w:rsidP="004A4E41">
            <w:pPr>
              <w:pStyle w:val="libFootnote0"/>
              <w:rPr>
                <w:rtl/>
              </w:rPr>
            </w:pPr>
            <w:r>
              <w:rPr>
                <w:rtl/>
              </w:rPr>
              <w:t xml:space="preserve">(2). </w:t>
            </w:r>
            <w:r w:rsidRPr="00C9040A">
              <w:rPr>
                <w:rtl/>
              </w:rPr>
              <w:t>في الكافي ، ح 3444 : + « تعمله »</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في الكافي ، ح 3444 : + « وجه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الكافي</w:t>
      </w:r>
      <w:r w:rsidR="008A74EB" w:rsidRPr="00C9040A">
        <w:rPr>
          <w:rtl/>
        </w:rPr>
        <w:t xml:space="preserve"> ، كتاب الدّعاء ، باب دعوات موجزات</w:t>
      </w:r>
      <w:r w:rsidR="008A74EB">
        <w:rPr>
          <w:rtl/>
        </w:rPr>
        <w:t xml:space="preserve"> ..</w:t>
      </w:r>
      <w:r w:rsidR="008A74EB" w:rsidRPr="00C9040A">
        <w:rPr>
          <w:rtl/>
        </w:rPr>
        <w:t xml:space="preserve">. ، ح 3444 ، بسنده عن الفضل بن يونس ، إلى قوله : « مقصّرون » </w:t>
      </w:r>
      <w:r w:rsidR="006817A0">
        <w:rPr>
          <w:rFonts w:hint="cs"/>
          <w:rtl/>
        </w:rPr>
        <w:t>.</w:t>
      </w:r>
      <w:r w:rsidR="008A74EB" w:rsidRPr="00993B55">
        <w:rPr>
          <w:rStyle w:val="libFootnoteBoldChar"/>
          <w:rtl/>
        </w:rPr>
        <w:t>الوافي</w:t>
      </w:r>
      <w:r w:rsidR="008A74EB" w:rsidRPr="00C9040A">
        <w:rPr>
          <w:rtl/>
        </w:rPr>
        <w:t xml:space="preserve"> ، ج 4 ، ص 299 ، ح 1973 ؛ </w:t>
      </w:r>
      <w:r w:rsidR="008A74EB" w:rsidRPr="00993B55">
        <w:rPr>
          <w:rStyle w:val="libFootnoteBoldChar"/>
          <w:rtl/>
        </w:rPr>
        <w:t>الوسائل</w:t>
      </w:r>
      <w:r w:rsidR="008A74EB" w:rsidRPr="00C9040A">
        <w:rPr>
          <w:rtl/>
        </w:rPr>
        <w:t xml:space="preserve"> ، ج 1 ، ص 96 ، ح</w:t>
      </w:r>
      <w:r w:rsidR="00CE5251">
        <w:rPr>
          <w:rFonts w:hint="cs"/>
          <w:rtl/>
        </w:rPr>
        <w:t xml:space="preserve"> </w:t>
      </w:r>
      <w:r w:rsidR="008A74EB" w:rsidRPr="0082575F">
        <w:rPr>
          <w:rtl/>
        </w:rPr>
        <w:t>228 ؛ البحار ، ج 71 ، ص 233 ، ح 14.</w:t>
      </w:r>
      <w:r w:rsidR="00AC2E2F">
        <w:rPr>
          <w:rFonts w:hint="cs"/>
          <w:rtl/>
        </w:rPr>
        <w:t xml:space="preserve">                           </w:t>
      </w:r>
      <w:r w:rsidR="00CE5251">
        <w:rPr>
          <w:rFonts w:hint="cs"/>
          <w:rtl/>
        </w:rPr>
        <w:t xml:space="preserve">              </w:t>
      </w:r>
      <w:r>
        <w:rPr>
          <w:rtl/>
        </w:rPr>
        <w:t>(5).</w:t>
      </w:r>
      <w:r w:rsidR="008A74EB" w:rsidRPr="00C9040A">
        <w:rPr>
          <w:rtl/>
        </w:rPr>
        <w:t xml:space="preserve"> في « ف » : + « بن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 ب ، ج ، ص ، ف ، </w:t>
      </w:r>
      <w:r w:rsidR="006D3162">
        <w:rPr>
          <w:rtl/>
        </w:rPr>
        <w:t xml:space="preserve">ه </w:t>
      </w:r>
      <w:r w:rsidR="008A74EB" w:rsidRPr="00C9040A">
        <w:rPr>
          <w:rtl/>
        </w:rPr>
        <w:t>، بر ، بس » والبحار : « غرام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w:t>
      </w:r>
      <w:r w:rsidR="006D3162">
        <w:rPr>
          <w:rtl/>
        </w:rPr>
        <w:t xml:space="preserve">ه </w:t>
      </w:r>
      <w:r w:rsidR="008A74EB" w:rsidRPr="00C9040A">
        <w:rPr>
          <w:rtl/>
        </w:rPr>
        <w:t>» ومرآة العقول والبحار : « لا يذهب »</w:t>
      </w:r>
      <w:r w:rsidR="008A74EB">
        <w:rPr>
          <w:rtl/>
        </w:rPr>
        <w:t>.</w:t>
      </w:r>
      <w:r w:rsidR="008A74EB" w:rsidRPr="00C9040A">
        <w:rPr>
          <w:rtl/>
        </w:rPr>
        <w:t xml:space="preserve"> وقال في المرآة : « لا يذهب بكم المذاهب ، على بناء المعلوم ، والباء للتعدية</w:t>
      </w:r>
      <w:r w:rsidR="008A74EB">
        <w:rPr>
          <w:rtl/>
        </w:rPr>
        <w:t xml:space="preserve"> </w:t>
      </w:r>
      <w:r w:rsidR="0084262C">
        <w:rPr>
          <w:rtl/>
        </w:rPr>
        <w:t>-</w:t>
      </w:r>
      <w:r w:rsidR="008A74EB">
        <w:rPr>
          <w:rtl/>
        </w:rPr>
        <w:t xml:space="preserve"> </w:t>
      </w:r>
      <w:r w:rsidR="008A74EB" w:rsidRPr="00C9040A">
        <w:rPr>
          <w:rtl/>
        </w:rPr>
        <w:t>وإسناد الإذهاب إلى المذاهب على المجاز ، فإنّ فاعله النفس أو الشيطان</w:t>
      </w:r>
      <w:r w:rsidR="008A74EB">
        <w:rPr>
          <w:rtl/>
        </w:rPr>
        <w:t xml:space="preserve"> </w:t>
      </w:r>
      <w:r w:rsidR="0084262C">
        <w:rPr>
          <w:rtl/>
        </w:rPr>
        <w:t>-</w:t>
      </w:r>
      <w:r w:rsidR="008A74EB">
        <w:rPr>
          <w:rtl/>
        </w:rPr>
        <w:t xml:space="preserve"> </w:t>
      </w:r>
      <w:r w:rsidR="008A74EB" w:rsidRPr="00C9040A">
        <w:rPr>
          <w:rtl/>
        </w:rPr>
        <w:t>أي لايذهبكم المذاهب الباطلة إلى الضلال والوبال. أو على بناء المجهول ، أي لا يذهب بكم الشيطان في المذاهب الباطلة من الأمانيّ الكاذبة والعقائد الفاسدة بأن تجترّوا على المعاصي اتّكالاً على دعوى التشيّع والمحبّة والولاية من غير حقيقة ، فإنّه</w:t>
      </w:r>
      <w:r w:rsidR="00CE5251">
        <w:rPr>
          <w:rtl/>
        </w:rPr>
        <w:t xml:space="preserve"> ليس شيعتهم إل</w:t>
      </w:r>
      <w:r w:rsidR="00CE5251">
        <w:rPr>
          <w:rFonts w:hint="cs"/>
          <w:rtl/>
        </w:rPr>
        <w:t>ّ</w:t>
      </w:r>
      <w:r w:rsidR="00CE5251">
        <w:rPr>
          <w:rtl/>
        </w:rPr>
        <w:t>ا</w:t>
      </w:r>
      <w:r w:rsidR="008A74EB" w:rsidRPr="00C9040A">
        <w:rPr>
          <w:rtl/>
        </w:rPr>
        <w:t>من شايعهم في الأقوال والأفعال ، لا من ادّعى التشيّع بمحض المقال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w:t>
      </w:r>
      <w:r w:rsidR="008A74EB" w:rsidRPr="00993B55">
        <w:rPr>
          <w:rStyle w:val="libFootnoteBoldChar"/>
          <w:rtl/>
        </w:rPr>
        <w:t>الأمالي</w:t>
      </w:r>
      <w:r w:rsidR="008A74EB" w:rsidRPr="00AC2E2F">
        <w:rPr>
          <w:rStyle w:val="libFootnoteBoldChar"/>
          <w:rtl/>
        </w:rPr>
        <w:t xml:space="preserve"> للطوسي</w:t>
      </w:r>
      <w:r w:rsidR="008A74EB" w:rsidRPr="00C9040A">
        <w:rPr>
          <w:rtl/>
        </w:rPr>
        <w:t xml:space="preserve"> ، ص 273 ، المجلس 10 ، ح 54 ، بسند آخر عن أبي جعفر </w:t>
      </w:r>
      <w:r w:rsidR="00117575" w:rsidRPr="00117575">
        <w:rPr>
          <w:rStyle w:val="libFootnoteAlaemChar"/>
          <w:rtl/>
        </w:rPr>
        <w:t>عليه‌السلام</w:t>
      </w:r>
      <w:r w:rsidR="008A74EB" w:rsidRPr="00C9040A">
        <w:rPr>
          <w:rtl/>
        </w:rPr>
        <w:t xml:space="preserve"> ، وتمام الرواية فيه : « إنّما شيعتنا من أطاع الله عزّ وجلّ » </w:t>
      </w:r>
      <w:r w:rsidR="00C20924">
        <w:rPr>
          <w:rFonts w:hint="cs"/>
          <w:rtl/>
        </w:rPr>
        <w:t>.</w:t>
      </w:r>
      <w:r w:rsidR="008A74EB" w:rsidRPr="00993B55">
        <w:rPr>
          <w:rStyle w:val="libFootnoteBoldChar"/>
          <w:rtl/>
        </w:rPr>
        <w:t>الوافي</w:t>
      </w:r>
      <w:r w:rsidR="008A74EB" w:rsidRPr="00C9040A">
        <w:rPr>
          <w:rtl/>
        </w:rPr>
        <w:t xml:space="preserve"> ، ج 4 ، ص 301 ، ح 1976 ؛ </w:t>
      </w:r>
      <w:r w:rsidR="008A74EB" w:rsidRPr="00993B55">
        <w:rPr>
          <w:rStyle w:val="libFootnoteBoldChar"/>
          <w:rtl/>
        </w:rPr>
        <w:t>الوسائل</w:t>
      </w:r>
      <w:r w:rsidR="008A74EB" w:rsidRPr="00C9040A">
        <w:rPr>
          <w:rtl/>
        </w:rPr>
        <w:t xml:space="preserve"> ، ج 15 ، ص 233 ، ح 20360 ؛ </w:t>
      </w:r>
      <w:r w:rsidR="008A74EB" w:rsidRPr="00993B55">
        <w:rPr>
          <w:rStyle w:val="libFootnoteBoldChar"/>
          <w:rtl/>
        </w:rPr>
        <w:t>البحار</w:t>
      </w:r>
      <w:r w:rsidR="008A74EB" w:rsidRPr="00C9040A">
        <w:rPr>
          <w:rtl/>
        </w:rPr>
        <w:t xml:space="preserve"> ، ج 70 ، ص 95 ، ح 2.</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حُمَيْدٍ ، عَنْ أَبِي حَمْزَةَ الثُّمَالِيِّ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خَطَبَ رَسُولُ اللهِ </w:t>
      </w:r>
      <w:r w:rsidR="004A4E41" w:rsidRPr="004A4E41">
        <w:rPr>
          <w:rStyle w:val="libAlaemChar"/>
          <w:rtl/>
        </w:rPr>
        <w:t>صلى‌الله‌عليه‌وآله</w:t>
      </w:r>
      <w:r w:rsidRPr="00C9040A">
        <w:rPr>
          <w:rtl/>
          <w:lang w:bidi="fa-IR"/>
        </w:rPr>
        <w:t xml:space="preserve"> فِي حَجَّةِ الْوَدَاعِ ، فَقَالَ : يَا أَيُّهَا النَّاسُ ، وَاللهِ </w:t>
      </w:r>
      <w:r w:rsidR="006C577F" w:rsidRPr="006C577F">
        <w:rPr>
          <w:rStyle w:val="libFootnotenumChar"/>
          <w:rtl/>
        </w:rPr>
        <w:t>(1)</w:t>
      </w:r>
      <w:r w:rsidRPr="002712F0">
        <w:rPr>
          <w:rFonts w:hint="cs"/>
          <w:rtl/>
        </w:rPr>
        <w:t xml:space="preserve"> </w:t>
      </w:r>
      <w:r w:rsidRPr="00C9040A">
        <w:rPr>
          <w:rtl/>
          <w:lang w:bidi="fa-IR"/>
        </w:rPr>
        <w:t xml:space="preserve">مَا مِنْ شَيْ‌ءٍ يُقَرِّبُكُمْ مِنَ الْجَنَّةِ وَيُبَاعِدُكُمْ مِنَ </w:t>
      </w:r>
      <w:r w:rsidR="006C577F" w:rsidRPr="006C577F">
        <w:rPr>
          <w:rStyle w:val="libFootnotenumChar"/>
          <w:rtl/>
        </w:rPr>
        <w:t>(2)</w:t>
      </w:r>
      <w:r w:rsidR="00C20924">
        <w:rPr>
          <w:rtl/>
          <w:lang w:bidi="fa-IR"/>
        </w:rPr>
        <w:t xml:space="preserve"> النَّارِ إِل</w:t>
      </w:r>
      <w:r w:rsidR="00C20924">
        <w:rPr>
          <w:rFonts w:hint="cs"/>
          <w:rtl/>
          <w:lang w:bidi="fa-IR"/>
        </w:rPr>
        <w:t>َّ</w:t>
      </w:r>
      <w:r w:rsidR="00C20924">
        <w:rPr>
          <w:rtl/>
          <w:lang w:bidi="fa-IR"/>
        </w:rPr>
        <w:t>ا</w:t>
      </w:r>
      <w:r w:rsidRPr="00C9040A">
        <w:rPr>
          <w:rtl/>
          <w:lang w:bidi="fa-IR"/>
        </w:rPr>
        <w:t xml:space="preserve"> وَقَدْ أَمَرْتُكُمْ بِهِ ، وَمَا مِنْ شَيْ‌ءٍ يُقَرِّبُكُمْ مِنَ النَّارِ وَيُبَ</w:t>
      </w:r>
      <w:r w:rsidR="00C20924">
        <w:rPr>
          <w:rtl/>
          <w:lang w:bidi="fa-IR"/>
        </w:rPr>
        <w:t>اعِدُكُمْ مِنَ الْجَنَّةِ إِل</w:t>
      </w:r>
      <w:r w:rsidR="00C20924">
        <w:rPr>
          <w:rFonts w:hint="cs"/>
          <w:rtl/>
          <w:lang w:bidi="fa-IR"/>
        </w:rPr>
        <w:t>َّ</w:t>
      </w:r>
      <w:r w:rsidR="00C20924">
        <w:rPr>
          <w:rtl/>
          <w:lang w:bidi="fa-IR"/>
        </w:rPr>
        <w:t>ا</w:t>
      </w:r>
      <w:r w:rsidRPr="00C9040A">
        <w:rPr>
          <w:rtl/>
          <w:lang w:bidi="fa-IR"/>
        </w:rPr>
        <w:t xml:space="preserve"> وَقَدْ نَهَيْتُكُمْ عَنْهُ ، أَلَا وَإِنَّ الرُّوحَ الْأَمِينَ نَفَثَ </w:t>
      </w:r>
      <w:r w:rsidR="006C577F" w:rsidRPr="006C577F">
        <w:rPr>
          <w:rStyle w:val="libFootnotenumChar"/>
          <w:rtl/>
        </w:rPr>
        <w:t>(3)</w:t>
      </w:r>
      <w:r w:rsidRPr="00C9040A">
        <w:rPr>
          <w:rtl/>
          <w:lang w:bidi="fa-IR"/>
        </w:rPr>
        <w:t xml:space="preserve"> فِي رُوعِي </w:t>
      </w:r>
      <w:r w:rsidR="006C577F" w:rsidRPr="006C577F">
        <w:rPr>
          <w:rStyle w:val="libFootnotenumChar"/>
          <w:rtl/>
        </w:rPr>
        <w:t>(4)</w:t>
      </w:r>
      <w:r w:rsidRPr="00C9040A">
        <w:rPr>
          <w:rtl/>
          <w:lang w:bidi="fa-IR"/>
        </w:rPr>
        <w:t xml:space="preserve"> أَنَّهُ لَنْ تَمُوتَ </w:t>
      </w:r>
      <w:r w:rsidR="006C577F" w:rsidRPr="006C577F">
        <w:rPr>
          <w:rStyle w:val="libFootnotenumChar"/>
          <w:rtl/>
        </w:rPr>
        <w:t>(5)</w:t>
      </w:r>
      <w:r w:rsidRPr="00C9040A">
        <w:rPr>
          <w:rtl/>
          <w:lang w:bidi="fa-IR"/>
        </w:rPr>
        <w:t xml:space="preserve"> نَفْسٌ حَتّى تَسْتَكْمِلَ </w:t>
      </w:r>
      <w:r w:rsidR="006C577F" w:rsidRPr="006C577F">
        <w:rPr>
          <w:rStyle w:val="libFootnotenumChar"/>
          <w:rtl/>
        </w:rPr>
        <w:t>(6)</w:t>
      </w:r>
      <w:r w:rsidRPr="005B567D">
        <w:rPr>
          <w:rStyle w:val="libFootnotenumChar"/>
          <w:rtl/>
        </w:rPr>
        <w:t xml:space="preserve"> </w:t>
      </w:r>
      <w:r w:rsidRPr="00C9040A">
        <w:rPr>
          <w:rtl/>
          <w:lang w:bidi="fa-IR"/>
        </w:rPr>
        <w:t xml:space="preserve">رِزْقَهَا ، فَاتَّقُوا اللهَ ، وَأَجْمِلُوا </w:t>
      </w:r>
      <w:r w:rsidR="006C577F" w:rsidRPr="006C577F">
        <w:rPr>
          <w:rStyle w:val="libFootnotenumChar"/>
          <w:rtl/>
        </w:rPr>
        <w:t>(7)</w:t>
      </w:r>
      <w:r w:rsidRPr="00C9040A">
        <w:rPr>
          <w:rtl/>
          <w:lang w:bidi="fa-IR"/>
        </w:rPr>
        <w:t xml:space="preserve"> فِي الطَّلَبِ ، وَلَا يَحْمِلْ أَحَدَكُمْ اسْتِبْطَاءُ شَيْ‌ءٍ مِنَ الرِّزْقِ أَنْ يَطْلُبَهُ </w:t>
      </w:r>
      <w:r w:rsidR="006C577F" w:rsidRPr="006C577F">
        <w:rPr>
          <w:rStyle w:val="libFootnotenumChar"/>
          <w:rtl/>
        </w:rPr>
        <w:t>(8)</w:t>
      </w:r>
      <w:r w:rsidRPr="00C9040A">
        <w:rPr>
          <w:rtl/>
          <w:lang w:bidi="fa-IR"/>
        </w:rPr>
        <w:t xml:space="preserve"> بِغَيْرِ </w:t>
      </w:r>
      <w:r w:rsidR="006C577F" w:rsidRPr="006C577F">
        <w:rPr>
          <w:rStyle w:val="libFootnotenumChar"/>
          <w:rtl/>
        </w:rPr>
        <w:t>(9)</w:t>
      </w:r>
      <w:r w:rsidRPr="00C9040A">
        <w:rPr>
          <w:rtl/>
          <w:lang w:bidi="fa-IR"/>
        </w:rPr>
        <w:t xml:space="preserve"> حِلِّهِ </w:t>
      </w:r>
      <w:r w:rsidR="006C577F" w:rsidRPr="006C577F">
        <w:rPr>
          <w:rStyle w:val="libFootnotenumChar"/>
          <w:rtl/>
        </w:rPr>
        <w:t>(10)</w:t>
      </w:r>
      <w:r w:rsidRPr="00C9040A">
        <w:rPr>
          <w:rtl/>
          <w:lang w:bidi="fa-IR"/>
        </w:rPr>
        <w:t xml:space="preserve"> ؛ فَإِنَّهُ لَا</w:t>
      </w:r>
      <w:r w:rsidR="00C20924">
        <w:rPr>
          <w:rtl/>
          <w:lang w:bidi="fa-IR"/>
        </w:rPr>
        <w:t>يُدْرَكُ مَا عِنْدَ اللهِ إِل</w:t>
      </w:r>
      <w:r w:rsidR="00C20924">
        <w:rPr>
          <w:rFonts w:hint="cs"/>
          <w:rtl/>
          <w:lang w:bidi="fa-IR"/>
        </w:rPr>
        <w:t>َّ</w:t>
      </w:r>
      <w:r w:rsidR="00C20924">
        <w:rPr>
          <w:rtl/>
          <w:lang w:bidi="fa-IR"/>
        </w:rPr>
        <w:t>ا</w:t>
      </w:r>
      <w:r w:rsidRPr="00C9040A">
        <w:rPr>
          <w:rtl/>
          <w:lang w:bidi="fa-IR"/>
        </w:rPr>
        <w:t xml:space="preserve"> بِطَاعَتِهِ »</w:t>
      </w:r>
      <w:r>
        <w:rPr>
          <w:rtl/>
          <w:lang w:bidi="fa-IR"/>
        </w:rPr>
        <w:t>.</w:t>
      </w:r>
      <w:r w:rsidRPr="00C9040A">
        <w:rPr>
          <w:rtl/>
          <w:lang w:bidi="fa-IR"/>
        </w:rPr>
        <w:t xml:space="preserve"> </w:t>
      </w:r>
      <w:r w:rsidR="006C577F" w:rsidRPr="006C577F">
        <w:rPr>
          <w:rStyle w:val="libFootnotenumChar"/>
          <w:rtl/>
        </w:rPr>
        <w:t>(11)</w:t>
      </w:r>
      <w:r w:rsidRPr="00C9040A">
        <w:rPr>
          <w:rtl/>
          <w:lang w:bidi="fa-IR"/>
        </w:rPr>
        <w:t xml:space="preserve"> ‌</w:t>
      </w:r>
    </w:p>
    <w:p w:rsidR="008A74EB" w:rsidRPr="00C9040A" w:rsidRDefault="008A74EB" w:rsidP="008A74EB">
      <w:pPr>
        <w:pStyle w:val="libNormal"/>
        <w:rPr>
          <w:rtl/>
          <w:lang w:bidi="fa-IR"/>
        </w:rPr>
      </w:pPr>
      <w:r w:rsidRPr="00755654">
        <w:rPr>
          <w:rtl/>
        </w:rPr>
        <w:t>1622</w:t>
      </w:r>
      <w:r w:rsidRPr="00261CB0">
        <w:rPr>
          <w:rStyle w:val="libBold2Char"/>
          <w:rtl/>
        </w:rPr>
        <w:t xml:space="preserve"> / 3.</w:t>
      </w:r>
      <w:r w:rsidRPr="00C9040A">
        <w:rPr>
          <w:rtl/>
          <w:lang w:bidi="fa-IR"/>
        </w:rPr>
        <w:t xml:space="preserve"> أَبُو عَلِيٍّ الْأَشْعَرِيُّ ، عَنْ مُحَمَّدِ بْنِ سَالِمٍ ؛</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C20924" w:rsidTr="00C20924">
        <w:tc>
          <w:tcPr>
            <w:tcW w:w="4006" w:type="dxa"/>
          </w:tcPr>
          <w:p w:rsidR="00C20924" w:rsidRDefault="00C20924" w:rsidP="004A4E41">
            <w:pPr>
              <w:pStyle w:val="libFootnote0"/>
              <w:rPr>
                <w:rtl/>
              </w:rPr>
            </w:pPr>
            <w:r>
              <w:rPr>
                <w:rtl/>
              </w:rPr>
              <w:t>(1).</w:t>
            </w:r>
            <w:r w:rsidRPr="00C9040A">
              <w:rPr>
                <w:rtl/>
              </w:rPr>
              <w:t xml:space="preserve"> في الوسائل </w:t>
            </w:r>
            <w:r>
              <w:rPr>
                <w:rtl/>
              </w:rPr>
              <w:t>: -</w:t>
            </w:r>
            <w:r w:rsidRPr="00C9040A">
              <w:rPr>
                <w:rtl/>
              </w:rPr>
              <w:t xml:space="preserve"> « والله »</w:t>
            </w:r>
            <w:r>
              <w:rPr>
                <w:rtl/>
              </w:rPr>
              <w:t>.</w:t>
            </w:r>
          </w:p>
        </w:tc>
        <w:tc>
          <w:tcPr>
            <w:tcW w:w="4006" w:type="dxa"/>
          </w:tcPr>
          <w:p w:rsidR="00C20924" w:rsidRDefault="00C20924" w:rsidP="004A4E41">
            <w:pPr>
              <w:pStyle w:val="libFootnote0"/>
              <w:rPr>
                <w:rtl/>
              </w:rPr>
            </w:pPr>
            <w:r>
              <w:rPr>
                <w:rtl/>
              </w:rPr>
              <w:t xml:space="preserve">(2). </w:t>
            </w:r>
            <w:r w:rsidRPr="00C9040A">
              <w:rPr>
                <w:rtl/>
              </w:rPr>
              <w:t>في البحار : « عن »</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أي أوحى وألقى ؛ من النَفث بالفم ، وهو شبيه بالنفخ ، وهو أقلّ من الت</w:t>
      </w:r>
      <w:r w:rsidR="00C20924">
        <w:rPr>
          <w:rtl/>
        </w:rPr>
        <w:t>َفْل ؛ لأنّ التَفْل لا يكون إل</w:t>
      </w:r>
      <w:r w:rsidR="00C20924">
        <w:rPr>
          <w:rFonts w:hint="cs"/>
          <w:rtl/>
        </w:rPr>
        <w:t>ّ</w:t>
      </w:r>
      <w:r w:rsidR="00C20924">
        <w:rPr>
          <w:rtl/>
        </w:rPr>
        <w:t>ا</w:t>
      </w:r>
      <w:r w:rsidR="00C20924">
        <w:rPr>
          <w:rFonts w:hint="cs"/>
          <w:rtl/>
        </w:rPr>
        <w:t xml:space="preserve"> </w:t>
      </w:r>
      <w:r w:rsidR="008A74EB" w:rsidRPr="00C9040A">
        <w:rPr>
          <w:rtl/>
        </w:rPr>
        <w:t xml:space="preserve">ومعه شي‌ء من‌الريق. </w:t>
      </w:r>
      <w:r w:rsidR="008A74EB" w:rsidRPr="00993B55">
        <w:rPr>
          <w:rStyle w:val="libFootnoteBoldChar"/>
          <w:rtl/>
        </w:rPr>
        <w:t>النهاية</w:t>
      </w:r>
      <w:r w:rsidR="008A74EB" w:rsidRPr="00C9040A">
        <w:rPr>
          <w:rtl/>
        </w:rPr>
        <w:t xml:space="preserve"> ، ج 5 ، ص 88 ( نفث )</w:t>
      </w:r>
      <w:r w:rsidR="008A74EB">
        <w:rPr>
          <w:rtl/>
        </w:rPr>
        <w:t>.</w:t>
      </w:r>
    </w:p>
    <w:p w:rsidR="008A74EB" w:rsidRPr="004A4E41" w:rsidRDefault="006C577F" w:rsidP="004A4E41">
      <w:pPr>
        <w:pStyle w:val="libFootnote0"/>
        <w:rPr>
          <w:rStyle w:val="libFootnote0Char"/>
          <w:rtl/>
        </w:rPr>
      </w:pPr>
      <w:r>
        <w:rPr>
          <w:rtl/>
        </w:rPr>
        <w:t>(4).</w:t>
      </w:r>
      <w:r w:rsidR="008A74EB" w:rsidRPr="00C9040A">
        <w:rPr>
          <w:rtl/>
        </w:rPr>
        <w:t xml:space="preserve"> « في روعي » ، أي في نفسي وخَلَدي. راجع : </w:t>
      </w:r>
      <w:r w:rsidR="008A74EB" w:rsidRPr="00993B55">
        <w:rPr>
          <w:rStyle w:val="libFootnoteBoldChar"/>
          <w:rtl/>
        </w:rPr>
        <w:t>النهاية</w:t>
      </w:r>
      <w:r w:rsidR="008A74EB" w:rsidRPr="00C9040A">
        <w:rPr>
          <w:rtl/>
        </w:rPr>
        <w:t xml:space="preserve"> ، ج 2 ، ص 277 ( روع )</w:t>
      </w:r>
      <w:r w:rsidR="008A74EB">
        <w:rPr>
          <w:rtl/>
        </w:rPr>
        <w:t>.</w:t>
      </w:r>
    </w:p>
    <w:tbl>
      <w:tblPr>
        <w:tblStyle w:val="TableGrid"/>
        <w:bidiVisual/>
        <w:tblW w:w="0" w:type="auto"/>
        <w:tblLook w:val="04A0" w:firstRow="1" w:lastRow="0" w:firstColumn="1" w:lastColumn="0" w:noHBand="0" w:noVBand="1"/>
      </w:tblPr>
      <w:tblGrid>
        <w:gridCol w:w="4006"/>
        <w:gridCol w:w="4006"/>
      </w:tblGrid>
      <w:tr w:rsidR="00C20924" w:rsidTr="00C20924">
        <w:tc>
          <w:tcPr>
            <w:tcW w:w="4006" w:type="dxa"/>
          </w:tcPr>
          <w:p w:rsidR="00C20924" w:rsidRDefault="00C20924" w:rsidP="004A4E41">
            <w:pPr>
              <w:pStyle w:val="libFootnote0"/>
              <w:rPr>
                <w:rtl/>
              </w:rPr>
            </w:pPr>
            <w:r>
              <w:rPr>
                <w:rtl/>
              </w:rPr>
              <w:t>(5).</w:t>
            </w:r>
            <w:r w:rsidRPr="00C9040A">
              <w:rPr>
                <w:rtl/>
              </w:rPr>
              <w:t xml:space="preserve"> في « ص » : « لن يموت »</w:t>
            </w:r>
            <w:r>
              <w:rPr>
                <w:rtl/>
              </w:rPr>
              <w:t>.</w:t>
            </w:r>
          </w:p>
        </w:tc>
        <w:tc>
          <w:tcPr>
            <w:tcW w:w="4006" w:type="dxa"/>
          </w:tcPr>
          <w:p w:rsidR="00C20924" w:rsidRDefault="00C20924" w:rsidP="004A4E41">
            <w:pPr>
              <w:pStyle w:val="libFootnote0"/>
              <w:rPr>
                <w:rtl/>
              </w:rPr>
            </w:pPr>
            <w:r>
              <w:rPr>
                <w:rtl/>
              </w:rPr>
              <w:t xml:space="preserve">(6). </w:t>
            </w:r>
            <w:r w:rsidRPr="00C9040A">
              <w:rPr>
                <w:rtl/>
              </w:rPr>
              <w:t>في « ض » : « يستكمل »</w:t>
            </w:r>
            <w:r>
              <w:rPr>
                <w:rtl/>
              </w:rPr>
              <w:t>.</w:t>
            </w:r>
          </w:p>
        </w:tc>
      </w:tr>
    </w:tbl>
    <w:p w:rsidR="008A74EB" w:rsidRPr="00C9040A" w:rsidRDefault="006C577F" w:rsidP="004A4E41">
      <w:pPr>
        <w:pStyle w:val="libFootnote0"/>
        <w:rPr>
          <w:rtl/>
          <w:lang w:bidi="fa-IR"/>
        </w:rPr>
      </w:pPr>
      <w:r>
        <w:rPr>
          <w:rtl/>
        </w:rPr>
        <w:t>(7).</w:t>
      </w:r>
      <w:r w:rsidR="008A74EB" w:rsidRPr="00C9040A">
        <w:rPr>
          <w:rtl/>
        </w:rPr>
        <w:t xml:space="preserve"> أجمل في الطلب : إذا لم يحرص. </w:t>
      </w:r>
      <w:r w:rsidR="008A74EB" w:rsidRPr="00993B55">
        <w:rPr>
          <w:rStyle w:val="libFootnoteBoldChar"/>
          <w:rtl/>
        </w:rPr>
        <w:t>أساس البلاغة</w:t>
      </w:r>
      <w:r w:rsidR="008A74EB" w:rsidRPr="00C9040A">
        <w:rPr>
          <w:rtl/>
        </w:rPr>
        <w:t xml:space="preserve"> ، ص 64 ( جمل )</w:t>
      </w:r>
      <w:r w:rsidR="008A74EB">
        <w:rPr>
          <w:rtl/>
        </w:rPr>
        <w:t>.</w:t>
      </w:r>
    </w:p>
    <w:p w:rsidR="008A74EB" w:rsidRPr="004A4E41" w:rsidRDefault="006C577F" w:rsidP="004A4E41">
      <w:pPr>
        <w:pStyle w:val="libFootnote0"/>
        <w:rPr>
          <w:rStyle w:val="libFootnote0Char"/>
          <w:rtl/>
        </w:rPr>
      </w:pPr>
      <w:r>
        <w:rPr>
          <w:rtl/>
        </w:rPr>
        <w:t>(8).</w:t>
      </w:r>
      <w:r w:rsidR="008A74EB" w:rsidRPr="00C9040A">
        <w:rPr>
          <w:rtl/>
        </w:rPr>
        <w:t xml:space="preserve"> في « ف » : « أن يطلب »</w:t>
      </w:r>
      <w:r w:rsidR="008A74EB">
        <w:rPr>
          <w:rtl/>
        </w:rPr>
        <w:t>.</w:t>
      </w:r>
      <w:r w:rsidR="008A74EB" w:rsidRPr="00C9040A">
        <w:rPr>
          <w:rtl/>
        </w:rPr>
        <w:t xml:space="preserve"> وفي الوسائل : « أن تطلبوه »</w:t>
      </w:r>
      <w:r w:rsidR="008A74EB">
        <w:rPr>
          <w:rtl/>
        </w:rPr>
        <w:t>.</w:t>
      </w:r>
    </w:p>
    <w:tbl>
      <w:tblPr>
        <w:tblStyle w:val="TableGrid"/>
        <w:bidiVisual/>
        <w:tblW w:w="0" w:type="auto"/>
        <w:tblLook w:val="04A0" w:firstRow="1" w:lastRow="0" w:firstColumn="1" w:lastColumn="0" w:noHBand="0" w:noVBand="1"/>
      </w:tblPr>
      <w:tblGrid>
        <w:gridCol w:w="4006"/>
        <w:gridCol w:w="4006"/>
      </w:tblGrid>
      <w:tr w:rsidR="00630F60" w:rsidTr="00630F60">
        <w:tc>
          <w:tcPr>
            <w:tcW w:w="4006" w:type="dxa"/>
          </w:tcPr>
          <w:p w:rsidR="00630F60" w:rsidRDefault="00630F60" w:rsidP="004A4E41">
            <w:pPr>
              <w:pStyle w:val="libFootnote0"/>
              <w:rPr>
                <w:rtl/>
              </w:rPr>
            </w:pPr>
            <w:r>
              <w:rPr>
                <w:rtl/>
              </w:rPr>
              <w:t>(9).</w:t>
            </w:r>
            <w:r w:rsidRPr="00C9040A">
              <w:rPr>
                <w:rtl/>
              </w:rPr>
              <w:t xml:space="preserve"> في الوسائل : « من غير »</w:t>
            </w:r>
            <w:r>
              <w:rPr>
                <w:rtl/>
              </w:rPr>
              <w:t>.</w:t>
            </w:r>
          </w:p>
        </w:tc>
        <w:tc>
          <w:tcPr>
            <w:tcW w:w="4006" w:type="dxa"/>
          </w:tcPr>
          <w:p w:rsidR="00630F60" w:rsidRDefault="00630F60" w:rsidP="004A4E41">
            <w:pPr>
              <w:pStyle w:val="libFootnote0"/>
              <w:rPr>
                <w:rtl/>
              </w:rPr>
            </w:pPr>
            <w:r>
              <w:rPr>
                <w:rtl/>
              </w:rPr>
              <w:t>(10).</w:t>
            </w:r>
            <w:r w:rsidRPr="00C9040A">
              <w:rPr>
                <w:rtl/>
              </w:rPr>
              <w:t xml:space="preserve"> في « ف » : « جدّه »</w:t>
            </w:r>
            <w:r>
              <w:rPr>
                <w:rtl/>
              </w:rPr>
              <w:t>.</w:t>
            </w:r>
          </w:p>
        </w:tc>
      </w:tr>
    </w:tbl>
    <w:p w:rsidR="008A74EB" w:rsidRPr="00C9040A" w:rsidRDefault="006C577F" w:rsidP="004A4E41">
      <w:pPr>
        <w:pStyle w:val="libFootnote0"/>
        <w:rPr>
          <w:rtl/>
          <w:lang w:bidi="fa-IR"/>
        </w:rPr>
      </w:pPr>
      <w:r>
        <w:rPr>
          <w:rtl/>
        </w:rPr>
        <w:t>(11).</w:t>
      </w:r>
      <w:r w:rsidR="008A74EB" w:rsidRPr="00C9040A">
        <w:rPr>
          <w:rtl/>
        </w:rPr>
        <w:t xml:space="preserve"> </w:t>
      </w:r>
      <w:r w:rsidR="008A74EB" w:rsidRPr="00993B55">
        <w:rPr>
          <w:rStyle w:val="libFootnoteBoldChar"/>
          <w:rtl/>
        </w:rPr>
        <w:t>المحاسن</w:t>
      </w:r>
      <w:r w:rsidR="008A74EB" w:rsidRPr="00C9040A">
        <w:rPr>
          <w:rtl/>
        </w:rPr>
        <w:t xml:space="preserve"> ، ص 278 ، كتاب مصابيح الظلم ، ح 399 ، بسنده عن عاصم بن</w:t>
      </w:r>
      <w:r w:rsidR="00630F60">
        <w:rPr>
          <w:rtl/>
        </w:rPr>
        <w:t xml:space="preserve"> حميد ، إلى قوله : « إل</w:t>
      </w:r>
      <w:r w:rsidR="00630F60">
        <w:rPr>
          <w:rFonts w:hint="cs"/>
          <w:rtl/>
        </w:rPr>
        <w:t>ّ</w:t>
      </w:r>
      <w:r w:rsidR="00630F60">
        <w:rPr>
          <w:rtl/>
        </w:rPr>
        <w:t>ا</w:t>
      </w:r>
      <w:r w:rsidR="008A74EB" w:rsidRPr="00C9040A">
        <w:rPr>
          <w:rtl/>
        </w:rPr>
        <w:t xml:space="preserve"> وقد نهيتكم عنه » مع اختلاف يسير. وفي </w:t>
      </w:r>
      <w:r w:rsidR="008A74EB" w:rsidRPr="00993B55">
        <w:rPr>
          <w:rStyle w:val="libFootnoteBoldChar"/>
          <w:rtl/>
        </w:rPr>
        <w:t>الكافي</w:t>
      </w:r>
      <w:r w:rsidR="008A74EB" w:rsidRPr="00C9040A">
        <w:rPr>
          <w:rtl/>
        </w:rPr>
        <w:t xml:space="preserve"> ، كتاب المعيشة ، باب الإجمال في الطلب ، ح 8400 ؛ و</w:t>
      </w:r>
      <w:r w:rsidR="008A74EB" w:rsidRPr="00993B55">
        <w:rPr>
          <w:rStyle w:val="libFootnoteBoldChar"/>
          <w:rtl/>
        </w:rPr>
        <w:t>التهذيب</w:t>
      </w:r>
      <w:r w:rsidR="008A74EB" w:rsidRPr="00C9040A">
        <w:rPr>
          <w:rtl/>
        </w:rPr>
        <w:t xml:space="preserve"> ، ج 6 ، ص 321 ، ح 880 ، بسندهما عن أبي حمزة الثمالي ، من قوله : « ألا وإنّ الروح القدس نفث » إلى قوله : « أن يطلبه بغير حلّه » مع اختلاف يسير وزيادة في آخره ؛ </w:t>
      </w:r>
      <w:r w:rsidR="008A74EB" w:rsidRPr="00993B55">
        <w:rPr>
          <w:rStyle w:val="libFootnoteBoldChar"/>
          <w:rtl/>
        </w:rPr>
        <w:t>التمحيص</w:t>
      </w:r>
      <w:r w:rsidR="008A74EB" w:rsidRPr="00C9040A">
        <w:rPr>
          <w:rtl/>
        </w:rPr>
        <w:t xml:space="preserve"> ، ص 52 ، ح 100 ، عن أبي حمزة الثمالي ، مع اختلاف يسير وزيادة. وفي </w:t>
      </w:r>
      <w:r w:rsidR="008A74EB" w:rsidRPr="00993B55">
        <w:rPr>
          <w:rStyle w:val="libFootnoteBoldChar"/>
          <w:rtl/>
        </w:rPr>
        <w:t>الكافي</w:t>
      </w:r>
      <w:r w:rsidR="008A74EB" w:rsidRPr="00C9040A">
        <w:rPr>
          <w:rtl/>
        </w:rPr>
        <w:t xml:space="preserve"> ، كتاب المعيشة ، باب الإجمال في الطلب ، ح 8410 ، بسند آخر ، مع اختلاف يسير ؛ وفيه ، نفس الباب ، ح 8402 ، بسند آخر عن أحدهما </w:t>
      </w:r>
      <w:r w:rsidR="00117575" w:rsidRPr="00117575">
        <w:rPr>
          <w:rStyle w:val="libFootnoteAlaemChar"/>
          <w:rtl/>
        </w:rPr>
        <w:t>عليهما‌السلام</w:t>
      </w:r>
      <w:r w:rsidR="008A74EB" w:rsidRPr="00C9040A">
        <w:rPr>
          <w:rtl/>
        </w:rPr>
        <w:t xml:space="preserve"> ؛ </w:t>
      </w:r>
      <w:r w:rsidR="008A74EB" w:rsidRPr="00993B55">
        <w:rPr>
          <w:rStyle w:val="libFootnoteBoldChar"/>
          <w:rtl/>
        </w:rPr>
        <w:t>بصائر الدرجات</w:t>
      </w:r>
      <w:r w:rsidR="008A74EB" w:rsidRPr="00C9040A">
        <w:rPr>
          <w:rtl/>
        </w:rPr>
        <w:t xml:space="preserve"> ، ص 453 ، ح 11 ، بسند آخر عن أبي عبد الله </w:t>
      </w:r>
      <w:r w:rsidR="00117575" w:rsidRPr="00117575">
        <w:rPr>
          <w:rStyle w:val="libFootnoteAlaemChar"/>
          <w:rtl/>
        </w:rPr>
        <w:t>عليه‌السلام</w:t>
      </w:r>
      <w:r w:rsidR="008A74EB" w:rsidRPr="00C9040A">
        <w:rPr>
          <w:rtl/>
        </w:rPr>
        <w:t xml:space="preserve"> ، وفيهما من قوله : « ألا وإنّ الروح القدس نفث »</w:t>
      </w:r>
      <w:r w:rsidR="008A74EB">
        <w:rPr>
          <w:rtl/>
        </w:rPr>
        <w:t>.</w:t>
      </w:r>
      <w:r w:rsidR="008A74EB" w:rsidRPr="00C9040A">
        <w:rPr>
          <w:rtl/>
        </w:rPr>
        <w:t xml:space="preserve"> وفي </w:t>
      </w:r>
      <w:r w:rsidR="008A74EB" w:rsidRPr="0034021D">
        <w:rPr>
          <w:rStyle w:val="libFootnoteBoldChar"/>
          <w:rtl/>
        </w:rPr>
        <w:t>الأمالي للصدوق</w:t>
      </w:r>
      <w:r w:rsidR="008A74EB" w:rsidRPr="00C9040A">
        <w:rPr>
          <w:rtl/>
        </w:rPr>
        <w:t xml:space="preserve"> ، ص 293 ، المجلس 49 ، ح 1 ، بسند آخر عن أبي عبد الله </w:t>
      </w:r>
      <w:r w:rsidR="00117575" w:rsidRPr="00117575">
        <w:rPr>
          <w:rStyle w:val="libFootnoteAlaemChar"/>
          <w:rtl/>
        </w:rPr>
        <w:t>عليه‌السلام</w:t>
      </w:r>
      <w:r w:rsidR="008A74EB" w:rsidRPr="00C9040A">
        <w:rPr>
          <w:rtl/>
        </w:rPr>
        <w:t xml:space="preserve"> ، مع زيادة في آخره. </w:t>
      </w:r>
      <w:r w:rsidR="008A74EB" w:rsidRPr="00993B55">
        <w:rPr>
          <w:rStyle w:val="libFootnoteBoldChar"/>
          <w:rtl/>
        </w:rPr>
        <w:t>المقنعة</w:t>
      </w:r>
      <w:r w:rsidR="008A74EB" w:rsidRPr="00C9040A">
        <w:rPr>
          <w:rtl/>
        </w:rPr>
        <w:t xml:space="preserve"> ، ص 586 ، مرسلاً عن رسول الله </w:t>
      </w:r>
      <w:r w:rsidR="004A4E41" w:rsidRPr="00AC2E2F">
        <w:rPr>
          <w:rStyle w:val="libFootnoteAlaemChar"/>
          <w:rtl/>
        </w:rPr>
        <w:t>صلى‌الله‌عليه‌وآله</w:t>
      </w:r>
      <w:r w:rsidR="008A74EB" w:rsidRPr="00C9040A">
        <w:rPr>
          <w:rtl/>
        </w:rPr>
        <w:t xml:space="preserve"> ، وفيهما من قوله : « ألا وإنّ الروح القدس نفث » إلى قوله : « وأجملوا في الطلب » مع اختلاف يسير </w:t>
      </w:r>
      <w:r w:rsidR="008064D0">
        <w:rPr>
          <w:rFonts w:hint="cs"/>
          <w:rtl/>
        </w:rPr>
        <w:t>.</w:t>
      </w:r>
      <w:r w:rsidR="008A74EB" w:rsidRPr="00993B55">
        <w:rPr>
          <w:rStyle w:val="libFootnoteBoldChar"/>
          <w:rtl/>
        </w:rPr>
        <w:t>الوافي</w:t>
      </w:r>
      <w:r w:rsidR="008A74EB" w:rsidRPr="00C9040A">
        <w:rPr>
          <w:rtl/>
        </w:rPr>
        <w:t xml:space="preserve"> ، ج 17 ، ص 52 ، ح 16842 ؛ </w:t>
      </w:r>
      <w:r w:rsidR="008A74EB" w:rsidRPr="00993B55">
        <w:rPr>
          <w:rStyle w:val="libFootnoteBoldChar"/>
          <w:rtl/>
        </w:rPr>
        <w:t>الوسائل</w:t>
      </w:r>
      <w:r w:rsidR="008A74EB" w:rsidRPr="00C9040A">
        <w:rPr>
          <w:rtl/>
        </w:rPr>
        <w:t xml:space="preserve"> ، ج 17 ، ص 45 ، ح 21939 ؛ </w:t>
      </w:r>
      <w:r w:rsidR="008A74EB" w:rsidRPr="00993B55">
        <w:rPr>
          <w:rStyle w:val="libFootnoteBoldChar"/>
          <w:rtl/>
        </w:rPr>
        <w:t>البحار</w:t>
      </w:r>
      <w:r w:rsidR="008A74EB" w:rsidRPr="00C9040A">
        <w:rPr>
          <w:rtl/>
        </w:rPr>
        <w:t xml:space="preserve"> ، ج 70 ، ص 96 ، ح 3.</w:t>
      </w:r>
    </w:p>
    <w:p w:rsidR="004B7F34" w:rsidRDefault="004B7F34" w:rsidP="004B7F34">
      <w:pPr>
        <w:pStyle w:val="libNormal"/>
        <w:rPr>
          <w:rtl/>
          <w:lang w:bidi="fa-IR"/>
        </w:rPr>
      </w:pPr>
      <w:r>
        <w:rPr>
          <w:rtl/>
          <w:lang w:bidi="fa-IR"/>
        </w:rPr>
        <w:br w:type="page"/>
      </w:r>
    </w:p>
    <w:p w:rsidR="008A74EB" w:rsidRPr="00C9040A" w:rsidRDefault="008A74EB" w:rsidP="008064D0">
      <w:pPr>
        <w:pStyle w:val="libNormal0"/>
        <w:rPr>
          <w:rtl/>
          <w:lang w:bidi="fa-IR"/>
        </w:rPr>
      </w:pPr>
      <w:r w:rsidRPr="00C9040A">
        <w:rPr>
          <w:rtl/>
          <w:lang w:bidi="fa-IR"/>
        </w:rPr>
        <w:t>وَ</w:t>
      </w:r>
      <w:r>
        <w:rPr>
          <w:rFonts w:hint="cs"/>
          <w:rtl/>
          <w:lang w:bidi="fa-IR"/>
        </w:rPr>
        <w:t xml:space="preserve"> </w:t>
      </w:r>
      <w:r w:rsidR="006C577F" w:rsidRPr="006C577F">
        <w:rPr>
          <w:rStyle w:val="libFootnotenumChar"/>
          <w:rtl/>
        </w:rPr>
        <w:t>(1)</w:t>
      </w:r>
      <w:r w:rsidRPr="00D36214">
        <w:rPr>
          <w:rFonts w:hint="cs"/>
          <w:rtl/>
        </w:rPr>
        <w:t xml:space="preserve"> </w:t>
      </w:r>
      <w:r w:rsidRPr="00C9040A">
        <w:rPr>
          <w:rtl/>
          <w:lang w:bidi="fa-IR"/>
        </w:rPr>
        <w:t>أَحْمَدَ بْنِ أَبِي عَبْدِ اللهِ ، عَنْ أَبِيهِ جَمِيعاً ، عَنْ أَحْمَدَ بْنِ النَّ</w:t>
      </w:r>
      <w:r w:rsidR="008064D0">
        <w:rPr>
          <w:rtl/>
          <w:lang w:bidi="fa-IR"/>
        </w:rPr>
        <w:t>ضْرِ ، عَنْ عَمْرِو بْنِ شِمْرٍ</w:t>
      </w:r>
      <w:r w:rsidRPr="00C9040A">
        <w:rPr>
          <w:rtl/>
          <w:lang w:bidi="fa-IR"/>
        </w:rPr>
        <w:t>،عَنْ جَابِرٍ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قَالَ لِي </w:t>
      </w:r>
      <w:r w:rsidR="006C577F" w:rsidRPr="006C577F">
        <w:rPr>
          <w:rStyle w:val="libFootnotenumChar"/>
          <w:rtl/>
        </w:rPr>
        <w:t>(2)</w:t>
      </w:r>
      <w:r>
        <w:rPr>
          <w:rtl/>
          <w:lang w:bidi="fa-IR"/>
        </w:rPr>
        <w:t xml:space="preserve"> : « يَا جَابِرُ ، أَ</w:t>
      </w:r>
      <w:r w:rsidRPr="00C9040A">
        <w:rPr>
          <w:rtl/>
          <w:lang w:bidi="fa-IR"/>
        </w:rPr>
        <w:t xml:space="preserve">يَكْتَفِي </w:t>
      </w:r>
      <w:r w:rsidR="006C577F" w:rsidRPr="006C577F">
        <w:rPr>
          <w:rStyle w:val="libFootnotenumChar"/>
          <w:rtl/>
        </w:rPr>
        <w:t>(3)</w:t>
      </w:r>
      <w:r w:rsidRPr="00C9040A">
        <w:rPr>
          <w:rtl/>
          <w:lang w:bidi="fa-IR"/>
        </w:rPr>
        <w:t xml:space="preserve"> مَنْ يَنْتَحِلُ </w:t>
      </w:r>
      <w:r w:rsidR="006C577F" w:rsidRPr="006C577F">
        <w:rPr>
          <w:rStyle w:val="libFootnotenumChar"/>
          <w:rtl/>
        </w:rPr>
        <w:t>(4)</w:t>
      </w:r>
      <w:r w:rsidRPr="00C9040A">
        <w:rPr>
          <w:rtl/>
          <w:lang w:bidi="fa-IR"/>
        </w:rPr>
        <w:t xml:space="preserve"> التَّشَيُّعَ أَنْ يَقُولَ بِحُبِّنَا أَهْلَ الْبَيْتِ</w:t>
      </w:r>
      <w:r>
        <w:rPr>
          <w:rtl/>
          <w:lang w:bidi="fa-IR"/>
        </w:rPr>
        <w:t>؟</w:t>
      </w:r>
      <w:r w:rsidRPr="00C9040A">
        <w:rPr>
          <w:rtl/>
          <w:lang w:bidi="fa-IR"/>
        </w:rPr>
        <w:t xml:space="preserve"> </w:t>
      </w:r>
      <w:r w:rsidR="00F6624C">
        <w:rPr>
          <w:rtl/>
          <w:lang w:bidi="fa-IR"/>
        </w:rPr>
        <w:t>فَوَ اللهِ مَا شِيعَتُنَا إِل</w:t>
      </w:r>
      <w:r w:rsidR="00F6624C">
        <w:rPr>
          <w:rFonts w:hint="cs"/>
          <w:rtl/>
          <w:lang w:bidi="fa-IR"/>
        </w:rPr>
        <w:t>َّ</w:t>
      </w:r>
      <w:r w:rsidR="00F6624C">
        <w:rPr>
          <w:rtl/>
          <w:lang w:bidi="fa-IR"/>
        </w:rPr>
        <w:t>ا</w:t>
      </w:r>
      <w:r w:rsidRPr="00C9040A">
        <w:rPr>
          <w:rtl/>
          <w:lang w:bidi="fa-IR"/>
        </w:rPr>
        <w:t xml:space="preserve"> مَنِ اتَّقَى اللهَ وَأَطَاعَهُ ، وَمَا كَانُو</w:t>
      </w:r>
      <w:r w:rsidR="00F6624C">
        <w:rPr>
          <w:rtl/>
          <w:lang w:bidi="fa-IR"/>
        </w:rPr>
        <w:t>ا يُعْرَفُونَ يَا جَابِرُ إِل</w:t>
      </w:r>
      <w:r w:rsidR="00F6624C">
        <w:rPr>
          <w:rFonts w:hint="cs"/>
          <w:rtl/>
          <w:lang w:bidi="fa-IR"/>
        </w:rPr>
        <w:t>َّ</w:t>
      </w:r>
      <w:r w:rsidR="00F6624C">
        <w:rPr>
          <w:rtl/>
          <w:lang w:bidi="fa-IR"/>
        </w:rPr>
        <w:t>ا</w:t>
      </w:r>
      <w:r w:rsidRPr="00C9040A">
        <w:rPr>
          <w:rtl/>
          <w:lang w:bidi="fa-IR"/>
        </w:rPr>
        <w:t xml:space="preserve"> بِالتَّوَاضُعِ ، وَالتَّخَشُّعِ ، وَالْأَمَانَةِ </w:t>
      </w:r>
      <w:r w:rsidR="006C577F" w:rsidRPr="006C577F">
        <w:rPr>
          <w:rStyle w:val="libFootnotenumChar"/>
          <w:rtl/>
        </w:rPr>
        <w:t>(5)</w:t>
      </w:r>
      <w:r w:rsidRPr="00C9040A">
        <w:rPr>
          <w:rtl/>
          <w:lang w:bidi="fa-IR"/>
        </w:rPr>
        <w:t xml:space="preserve"> ، وَكَثْرَةِ ذِكْرِ اللهِ ، وَالصَّوْمِ </w:t>
      </w:r>
      <w:r w:rsidR="006C577F" w:rsidRPr="006C577F">
        <w:rPr>
          <w:rStyle w:val="libFootnotenumChar"/>
          <w:rtl/>
        </w:rPr>
        <w:t>(6)</w:t>
      </w:r>
      <w:r w:rsidRPr="005B567D">
        <w:rPr>
          <w:rStyle w:val="libFootnotenumChar"/>
          <w:rtl/>
        </w:rPr>
        <w:t xml:space="preserve"> </w:t>
      </w:r>
      <w:r w:rsidRPr="00C9040A">
        <w:rPr>
          <w:rtl/>
          <w:lang w:bidi="fa-IR"/>
        </w:rPr>
        <w:t xml:space="preserve">، وَالصَّلَاةِ ، وَالْبِرِّ بِالْوَالِدَيْنِ </w:t>
      </w:r>
      <w:r w:rsidR="006C577F" w:rsidRPr="006C577F">
        <w:rPr>
          <w:rStyle w:val="libFootnotenumChar"/>
          <w:rtl/>
        </w:rPr>
        <w:t>(7)</w:t>
      </w:r>
      <w:r w:rsidRPr="00C9040A">
        <w:rPr>
          <w:rtl/>
          <w:lang w:bidi="fa-IR"/>
        </w:rPr>
        <w:t xml:space="preserve"> ، وَالتَّعَاهُدِ </w:t>
      </w:r>
      <w:r w:rsidR="006C577F" w:rsidRPr="006C577F">
        <w:rPr>
          <w:rStyle w:val="libFootnotenumChar"/>
          <w:rtl/>
        </w:rPr>
        <w:t>(8)</w:t>
      </w:r>
      <w:r w:rsidRPr="00C9040A">
        <w:rPr>
          <w:rtl/>
          <w:lang w:bidi="fa-IR"/>
        </w:rPr>
        <w:t xml:space="preserve"> لِلْجِيرَانِ </w:t>
      </w:r>
      <w:r w:rsidR="006C577F" w:rsidRPr="006C577F">
        <w:rPr>
          <w:rStyle w:val="libFootnotenumChar"/>
          <w:rtl/>
        </w:rPr>
        <w:t>(9)</w:t>
      </w:r>
      <w:r w:rsidRPr="00C9040A">
        <w:rPr>
          <w:rtl/>
          <w:lang w:bidi="fa-IR"/>
        </w:rPr>
        <w:t xml:space="preserve"> مِنَ الْفُقَرَاءِ وَأَهْلِ الْمَسْكَنَةِ وَالْغَارِمِينَ وَالْأَيْتَامِ ، وَصِدْقِ الْحَدِيثِ ، وَتِلَاوَةِ الْقُرْآنِ ، وَكَفِّ الْأَلْسُنِ عَنِ </w:t>
      </w:r>
      <w:r w:rsidR="006C577F" w:rsidRPr="006C577F">
        <w:rPr>
          <w:rStyle w:val="libFootnotenumChar"/>
          <w:rtl/>
        </w:rPr>
        <w:t>(10)</w:t>
      </w:r>
      <w:r w:rsidR="008452ED">
        <w:rPr>
          <w:rtl/>
          <w:lang w:bidi="fa-IR"/>
        </w:rPr>
        <w:t xml:space="preserve"> النَّاسِ إِل</w:t>
      </w:r>
      <w:r w:rsidR="008452ED">
        <w:rPr>
          <w:rFonts w:hint="cs"/>
          <w:rtl/>
          <w:lang w:bidi="fa-IR"/>
        </w:rPr>
        <w:t>َّ</w:t>
      </w:r>
      <w:r w:rsidR="008452ED">
        <w:rPr>
          <w:rtl/>
          <w:lang w:bidi="fa-IR"/>
        </w:rPr>
        <w:t>ا</w:t>
      </w:r>
      <w:r w:rsidRPr="00C9040A">
        <w:rPr>
          <w:rtl/>
          <w:lang w:bidi="fa-IR"/>
        </w:rPr>
        <w:t xml:space="preserve"> مِنْ خَيْرٍ ، وَكَانُوا أُمَنَاءَ عَشَائِرِهِمْ فِي الْأَشْيَاءِ »</w:t>
      </w:r>
      <w:r>
        <w:rPr>
          <w:rtl/>
          <w:lang w:bidi="fa-IR"/>
        </w:rPr>
        <w:t>.</w:t>
      </w:r>
    </w:p>
    <w:p w:rsidR="008A74EB" w:rsidRPr="00C9040A" w:rsidRDefault="008A74EB" w:rsidP="008A74EB">
      <w:pPr>
        <w:pStyle w:val="libNormal"/>
        <w:rPr>
          <w:rtl/>
          <w:lang w:bidi="fa-IR"/>
        </w:rPr>
      </w:pPr>
      <w:r w:rsidRPr="00C9040A">
        <w:rPr>
          <w:rtl/>
          <w:lang w:bidi="fa-IR"/>
        </w:rPr>
        <w:t>قَالَ جَابِرٌ : فَقُلْتُ : يَا ابْنَ رَسُولِ اللهِ ، مَا نَعْرِفُ الْيَوْمَ أَحَداً بِهذِهِ الصِّفَةِ.</w:t>
      </w:r>
    </w:p>
    <w:p w:rsidR="008A74EB" w:rsidRPr="00C9040A" w:rsidRDefault="008A74EB" w:rsidP="008A74EB">
      <w:pPr>
        <w:pStyle w:val="libNormal"/>
        <w:rPr>
          <w:rtl/>
          <w:lang w:bidi="fa-IR"/>
        </w:rPr>
      </w:pPr>
      <w:r w:rsidRPr="00C9040A">
        <w:rPr>
          <w:rtl/>
          <w:lang w:bidi="fa-IR"/>
        </w:rPr>
        <w:t xml:space="preserve">فَقَالَ : « يَا جَابِرُ ، لَاتَذْهَبَنَّ </w:t>
      </w:r>
      <w:r w:rsidR="006C577F" w:rsidRPr="006C577F">
        <w:rPr>
          <w:rStyle w:val="libFootnotenumChar"/>
          <w:rtl/>
        </w:rPr>
        <w:t>(11)</w:t>
      </w:r>
      <w:r w:rsidRPr="00C9040A">
        <w:rPr>
          <w:rtl/>
          <w:lang w:bidi="fa-IR"/>
        </w:rPr>
        <w:t xml:space="preserve"> بِكَ </w:t>
      </w:r>
      <w:r w:rsidR="006C577F" w:rsidRPr="006C577F">
        <w:rPr>
          <w:rStyle w:val="libFootnotenumChar"/>
          <w:rtl/>
        </w:rPr>
        <w:t>(12)</w:t>
      </w:r>
      <w:r w:rsidRPr="00C9040A">
        <w:rPr>
          <w:rtl/>
          <w:lang w:bidi="fa-IR"/>
        </w:rPr>
        <w:t xml:space="preserve"> الْمَذَاهِبُ ، حَسْبُ </w:t>
      </w:r>
      <w:r w:rsidRPr="005B567D">
        <w:rPr>
          <w:rStyle w:val="libFootnotenumChar"/>
          <w:rtl/>
        </w:rPr>
        <w:t>(13)</w:t>
      </w:r>
      <w:r w:rsidRPr="00C9040A">
        <w:rPr>
          <w:rtl/>
          <w:lang w:bidi="fa-IR"/>
        </w:rPr>
        <w:t xml:space="preserve"> الرَّجُلِ أَنْ يَقُولَ </w:t>
      </w:r>
      <w:r w:rsidRPr="005B567D">
        <w:rPr>
          <w:rStyle w:val="libFootnotenumChar"/>
          <w:rtl/>
        </w:rPr>
        <w:t>(14)</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AC2E2F">
      <w:pPr>
        <w:pStyle w:val="libFootnote0"/>
        <w:rPr>
          <w:rtl/>
          <w:lang w:bidi="fa-IR"/>
        </w:rPr>
      </w:pPr>
      <w:r>
        <w:rPr>
          <w:rtl/>
        </w:rPr>
        <w:t>(1).</w:t>
      </w:r>
      <w:r w:rsidR="008A74EB" w:rsidRPr="00C9040A">
        <w:rPr>
          <w:rtl/>
        </w:rPr>
        <w:t xml:space="preserve"> في السند تحويل بعطف « أحمد بن أبي عبد الله ، عن أبيه » على « محمّد بن سالم »</w:t>
      </w:r>
      <w:r w:rsidR="008A74EB">
        <w:rPr>
          <w:rtl/>
        </w:rPr>
        <w:t xml:space="preserve"> </w:t>
      </w:r>
      <w:r w:rsidR="0084262C">
        <w:rPr>
          <w:rtl/>
        </w:rPr>
        <w:t>-</w:t>
      </w:r>
      <w:r w:rsidR="008A74EB">
        <w:rPr>
          <w:rtl/>
        </w:rPr>
        <w:t xml:space="preserve"> </w:t>
      </w:r>
      <w:r w:rsidR="008A74EB" w:rsidRPr="00C9040A">
        <w:rPr>
          <w:rtl/>
        </w:rPr>
        <w:t>عطف طبقتين على طبقةواحدة</w:t>
      </w:r>
      <w:r w:rsidR="008A74EB">
        <w:rPr>
          <w:rtl/>
        </w:rPr>
        <w:t xml:space="preserve"> </w:t>
      </w:r>
      <w:r w:rsidR="0084262C">
        <w:rPr>
          <w:rtl/>
        </w:rPr>
        <w:t>-</w:t>
      </w:r>
      <w:r w:rsidR="008A74EB">
        <w:rPr>
          <w:rtl/>
        </w:rPr>
        <w:t xml:space="preserve"> </w:t>
      </w:r>
      <w:r w:rsidR="008A74EB" w:rsidRPr="00C9040A">
        <w:rPr>
          <w:rtl/>
        </w:rPr>
        <w:t xml:space="preserve">فإنّ أحمد بن النضر ، هو الخزّاز ، له كتاب رواه عنه محمّد بن خالد البرقي ومحمّد بن سالم ، كما وردت روايتهما عنه في عددٍ من الأسناد. راجع : </w:t>
      </w:r>
      <w:r w:rsidR="008A74EB" w:rsidRPr="0034021D">
        <w:rPr>
          <w:rStyle w:val="libFootnoteBoldChar"/>
          <w:rtl/>
        </w:rPr>
        <w:t>الفهرست للطوسي</w:t>
      </w:r>
      <w:r w:rsidR="008A74EB" w:rsidRPr="00C9040A">
        <w:rPr>
          <w:rtl/>
        </w:rPr>
        <w:t xml:space="preserve"> ، ص 80 ، الرقم 101 ؛ </w:t>
      </w:r>
      <w:r w:rsidR="008A74EB" w:rsidRPr="00993B55">
        <w:rPr>
          <w:rStyle w:val="libFootnoteBoldChar"/>
          <w:rtl/>
        </w:rPr>
        <w:t>معجم رجال الحديث</w:t>
      </w:r>
      <w:r w:rsidR="008A74EB" w:rsidRPr="00C9040A">
        <w:rPr>
          <w:rtl/>
        </w:rPr>
        <w:t xml:space="preserve"> ، ج 2 ، ص 710</w:t>
      </w:r>
      <w:r w:rsidR="008A74EB">
        <w:rPr>
          <w:rtl/>
        </w:rPr>
        <w:t xml:space="preserve"> </w:t>
      </w:r>
      <w:r w:rsidR="0084262C">
        <w:rPr>
          <w:rtl/>
        </w:rPr>
        <w:t>-</w:t>
      </w:r>
      <w:r w:rsidR="008A74EB">
        <w:rPr>
          <w:rtl/>
        </w:rPr>
        <w:t xml:space="preserve"> </w:t>
      </w:r>
      <w:r w:rsidR="008A74EB" w:rsidRPr="00C9040A">
        <w:rPr>
          <w:rtl/>
        </w:rPr>
        <w:t>712.</w:t>
      </w:r>
      <w:r w:rsidR="008452ED">
        <w:rPr>
          <w:rFonts w:hint="cs"/>
          <w:rtl/>
        </w:rPr>
        <w:t xml:space="preserve">                      </w:t>
      </w:r>
      <w:r w:rsidR="00AC2E2F">
        <w:rPr>
          <w:rFonts w:hint="cs"/>
          <w:rtl/>
        </w:rPr>
        <w:t xml:space="preserve">    </w:t>
      </w:r>
      <w:r w:rsidR="008452ED">
        <w:rPr>
          <w:rFonts w:hint="cs"/>
          <w:rtl/>
        </w:rPr>
        <w:t xml:space="preserve">          </w:t>
      </w:r>
      <w:r>
        <w:rPr>
          <w:rtl/>
        </w:rPr>
        <w:t>(2).</w:t>
      </w:r>
      <w:r w:rsidR="008A74EB">
        <w:rPr>
          <w:rtl/>
        </w:rPr>
        <w:t xml:space="preserve"> </w:t>
      </w:r>
      <w:r w:rsidR="008A74EB" w:rsidRPr="00C9040A">
        <w:rPr>
          <w:rtl/>
        </w:rPr>
        <w:t xml:space="preserve">في « </w:t>
      </w:r>
      <w:r w:rsidR="006D3162">
        <w:rPr>
          <w:rtl/>
        </w:rPr>
        <w:t xml:space="preserve">ه </w:t>
      </w:r>
      <w:r w:rsidR="008A74EB" w:rsidRPr="00C9040A">
        <w:rPr>
          <w:rtl/>
        </w:rPr>
        <w:t xml:space="preserve">» : + « أبو جعفر </w:t>
      </w:r>
      <w:r w:rsidR="00117575" w:rsidRPr="00117575">
        <w:rPr>
          <w:rStyle w:val="libFootnoteAlaemChar"/>
          <w:rtl/>
        </w:rPr>
        <w:t xml:space="preserve">عليه‌السلام </w:t>
      </w:r>
      <w:r w:rsidR="008A74EB" w:rsidRPr="00C9040A">
        <w:rPr>
          <w:rtl/>
        </w:rPr>
        <w:t xml:space="preserve">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ف » والوافي : « أيكفي »</w:t>
      </w:r>
      <w:r w:rsidR="008A74EB">
        <w:rPr>
          <w:rtl/>
        </w:rPr>
        <w:t>.</w:t>
      </w:r>
    </w:p>
    <w:p w:rsidR="008A74EB" w:rsidRPr="004A4E41" w:rsidRDefault="006C577F" w:rsidP="004A4E41">
      <w:pPr>
        <w:pStyle w:val="libFootnote0"/>
        <w:rPr>
          <w:rStyle w:val="libFootnote0Char"/>
          <w:rtl/>
        </w:rPr>
      </w:pPr>
      <w:r>
        <w:rPr>
          <w:rtl/>
        </w:rPr>
        <w:t>(4).</w:t>
      </w:r>
      <w:r w:rsidR="008A74EB" w:rsidRPr="00C9040A">
        <w:rPr>
          <w:rtl/>
        </w:rPr>
        <w:t xml:space="preserve"> في « بر ، بف » والوافي : « انتحل »</w:t>
      </w:r>
      <w:r w:rsidR="008A74EB">
        <w:rPr>
          <w:rtl/>
        </w:rPr>
        <w:t>.</w:t>
      </w:r>
      <w:r w:rsidR="008A74EB" w:rsidRPr="00C9040A">
        <w:rPr>
          <w:rtl/>
        </w:rPr>
        <w:t xml:space="preserve"> وفي صفات الشيعة : « اتّخذ »</w:t>
      </w:r>
      <w:r w:rsidR="008A74EB">
        <w:rPr>
          <w:rtl/>
        </w:rPr>
        <w:t>.</w:t>
      </w:r>
      <w:r w:rsidR="008A74EB" w:rsidRPr="00C9040A">
        <w:rPr>
          <w:rtl/>
        </w:rPr>
        <w:t xml:space="preserve"> وانتحال الشي‌ء : ادّعاؤه. </w:t>
      </w:r>
      <w:r w:rsidR="008A74EB" w:rsidRPr="00993B55">
        <w:rPr>
          <w:rStyle w:val="libFootnoteBoldChar"/>
          <w:rtl/>
        </w:rPr>
        <w:t>لسان العرب</w:t>
      </w:r>
      <w:r w:rsidR="008A74EB" w:rsidRPr="00C9040A">
        <w:rPr>
          <w:rtl/>
        </w:rPr>
        <w:t xml:space="preserve"> ، ج 11 ، ص 650 ( نحل )</w:t>
      </w:r>
      <w:r w:rsidR="008A74EB">
        <w:rPr>
          <w:rtl/>
        </w:rPr>
        <w:t>.</w:t>
      </w:r>
      <w:r w:rsidR="008452ED">
        <w:rPr>
          <w:rFonts w:hint="cs"/>
          <w:rtl/>
        </w:rPr>
        <w:t xml:space="preserve">                         </w:t>
      </w:r>
      <w:r w:rsidR="00AC2E2F">
        <w:rPr>
          <w:rFonts w:hint="cs"/>
          <w:rtl/>
        </w:rPr>
        <w:t xml:space="preserve">   </w:t>
      </w:r>
      <w:r w:rsidR="008452ED">
        <w:rPr>
          <w:rFonts w:hint="cs"/>
          <w:rtl/>
        </w:rPr>
        <w:t xml:space="preserve">  </w:t>
      </w:r>
      <w:r>
        <w:rPr>
          <w:rtl/>
        </w:rPr>
        <w:t>(5).</w:t>
      </w:r>
      <w:r w:rsidR="008A74EB" w:rsidRPr="00C9040A">
        <w:rPr>
          <w:rtl/>
        </w:rPr>
        <w:t xml:space="preserve"> في </w:t>
      </w:r>
      <w:r w:rsidR="008A74EB" w:rsidRPr="0034021D">
        <w:rPr>
          <w:rStyle w:val="libFootnoteBoldChar"/>
          <w:rtl/>
        </w:rPr>
        <w:t>الأمالي للصدوق</w:t>
      </w:r>
      <w:r w:rsidR="008A74EB" w:rsidRPr="00C9040A">
        <w:rPr>
          <w:rtl/>
        </w:rPr>
        <w:t xml:space="preserve"> </w:t>
      </w:r>
      <w:r w:rsidR="008A74EB">
        <w:rPr>
          <w:rtl/>
        </w:rPr>
        <w:t xml:space="preserve">: </w:t>
      </w:r>
      <w:r w:rsidR="0084262C">
        <w:rPr>
          <w:rtl/>
        </w:rPr>
        <w:t>-</w:t>
      </w:r>
      <w:r w:rsidR="008A74EB" w:rsidRPr="00C9040A">
        <w:rPr>
          <w:rtl/>
        </w:rPr>
        <w:t xml:space="preserve"> « والأمانة »</w:t>
      </w:r>
      <w:r w:rsidR="008A74EB">
        <w:rPr>
          <w:rtl/>
        </w:rPr>
        <w:t>.</w:t>
      </w:r>
    </w:p>
    <w:tbl>
      <w:tblPr>
        <w:tblStyle w:val="TableGrid"/>
        <w:bidiVisual/>
        <w:tblW w:w="0" w:type="auto"/>
        <w:tblLook w:val="04A0" w:firstRow="1" w:lastRow="0" w:firstColumn="1" w:lastColumn="0" w:noHBand="0" w:noVBand="1"/>
      </w:tblPr>
      <w:tblGrid>
        <w:gridCol w:w="4006"/>
        <w:gridCol w:w="4006"/>
      </w:tblGrid>
      <w:tr w:rsidR="008452ED" w:rsidTr="008452ED">
        <w:tc>
          <w:tcPr>
            <w:tcW w:w="4006" w:type="dxa"/>
          </w:tcPr>
          <w:p w:rsidR="008452ED" w:rsidRDefault="008452ED" w:rsidP="004A4E41">
            <w:pPr>
              <w:pStyle w:val="libFootnote0"/>
              <w:rPr>
                <w:rtl/>
              </w:rPr>
            </w:pPr>
            <w:r>
              <w:rPr>
                <w:rtl/>
              </w:rPr>
              <w:t xml:space="preserve">(6). </w:t>
            </w:r>
            <w:r w:rsidRPr="00C9040A">
              <w:rPr>
                <w:rtl/>
              </w:rPr>
              <w:t xml:space="preserve">في « ف » </w:t>
            </w:r>
            <w:r>
              <w:rPr>
                <w:rtl/>
              </w:rPr>
              <w:t>: -</w:t>
            </w:r>
            <w:r w:rsidRPr="00C9040A">
              <w:rPr>
                <w:rtl/>
              </w:rPr>
              <w:t xml:space="preserve"> « والصوم »</w:t>
            </w:r>
            <w:r>
              <w:rPr>
                <w:rtl/>
              </w:rPr>
              <w:t>.</w:t>
            </w:r>
          </w:p>
        </w:tc>
        <w:tc>
          <w:tcPr>
            <w:tcW w:w="4006" w:type="dxa"/>
          </w:tcPr>
          <w:p w:rsidR="008452ED" w:rsidRDefault="008452ED" w:rsidP="004A4E41">
            <w:pPr>
              <w:pStyle w:val="libFootnote0"/>
              <w:rPr>
                <w:rtl/>
              </w:rPr>
            </w:pPr>
            <w:r>
              <w:rPr>
                <w:rtl/>
              </w:rPr>
              <w:t>(7).</w:t>
            </w:r>
            <w:r w:rsidRPr="00C9040A">
              <w:rPr>
                <w:rtl/>
              </w:rPr>
              <w:t xml:space="preserve"> في </w:t>
            </w:r>
            <w:r w:rsidRPr="0034021D">
              <w:rPr>
                <w:rStyle w:val="libFootnoteBoldChar"/>
                <w:rtl/>
              </w:rPr>
              <w:t>الأمالي للصدوق</w:t>
            </w:r>
            <w:r w:rsidRPr="00C9040A">
              <w:rPr>
                <w:rtl/>
              </w:rPr>
              <w:t xml:space="preserve"> </w:t>
            </w:r>
            <w:r>
              <w:rPr>
                <w:rtl/>
              </w:rPr>
              <w:t>: -</w:t>
            </w:r>
            <w:r w:rsidRPr="00C9040A">
              <w:rPr>
                <w:rtl/>
              </w:rPr>
              <w:t xml:space="preserve"> « والبرّ بالوالدين »</w:t>
            </w:r>
            <w:r>
              <w:rPr>
                <w:rtl/>
              </w:rPr>
              <w:t>.</w:t>
            </w:r>
          </w:p>
        </w:tc>
      </w:tr>
    </w:tbl>
    <w:p w:rsidR="008A74EB" w:rsidRPr="004A4E41" w:rsidRDefault="006C577F" w:rsidP="004A4E41">
      <w:pPr>
        <w:pStyle w:val="libFootnote0"/>
        <w:rPr>
          <w:rStyle w:val="libFootnote0Char"/>
          <w:rtl/>
        </w:rPr>
      </w:pPr>
      <w:r>
        <w:rPr>
          <w:rtl/>
        </w:rPr>
        <w:t>(8).</w:t>
      </w:r>
      <w:r w:rsidR="008A74EB" w:rsidRPr="00C9040A">
        <w:rPr>
          <w:rtl/>
        </w:rPr>
        <w:t xml:space="preserve"> في « ج ، د ، ز ، ف ، بر » ومرآة العقول والبحار و</w:t>
      </w:r>
      <w:r w:rsidR="008A74EB" w:rsidRPr="0034021D">
        <w:rPr>
          <w:rStyle w:val="libFootnoteBoldChar"/>
          <w:rtl/>
        </w:rPr>
        <w:t>الأمالي للصدوق</w:t>
      </w:r>
      <w:r w:rsidR="008A74EB" w:rsidRPr="00C9040A">
        <w:rPr>
          <w:rtl/>
        </w:rPr>
        <w:t xml:space="preserve"> وصفات الشيعة : « والتعهّد »</w:t>
      </w:r>
      <w:r w:rsidR="008A74EB">
        <w:rPr>
          <w:rtl/>
        </w:rPr>
        <w:t>.</w:t>
      </w:r>
    </w:p>
    <w:tbl>
      <w:tblPr>
        <w:tblStyle w:val="TableGrid"/>
        <w:bidiVisual/>
        <w:tblW w:w="0" w:type="auto"/>
        <w:tblLook w:val="04A0" w:firstRow="1" w:lastRow="0" w:firstColumn="1" w:lastColumn="0" w:noHBand="0" w:noVBand="1"/>
      </w:tblPr>
      <w:tblGrid>
        <w:gridCol w:w="4006"/>
        <w:gridCol w:w="4006"/>
      </w:tblGrid>
      <w:tr w:rsidR="00DF720D" w:rsidTr="00DF720D">
        <w:tc>
          <w:tcPr>
            <w:tcW w:w="4006" w:type="dxa"/>
          </w:tcPr>
          <w:p w:rsidR="00DF720D" w:rsidRDefault="00DF720D" w:rsidP="004A4E41">
            <w:pPr>
              <w:pStyle w:val="libFootnote0"/>
              <w:rPr>
                <w:rtl/>
                <w:lang w:bidi="fa-IR"/>
              </w:rPr>
            </w:pPr>
            <w:r>
              <w:rPr>
                <w:rtl/>
              </w:rPr>
              <w:t>(9).</w:t>
            </w:r>
            <w:r w:rsidRPr="00C9040A">
              <w:rPr>
                <w:rtl/>
              </w:rPr>
              <w:t xml:space="preserve"> في حاشية«ج،ض»:«بالجيران»</w:t>
            </w:r>
            <w:r>
              <w:rPr>
                <w:rtl/>
              </w:rPr>
              <w:t>.</w:t>
            </w:r>
          </w:p>
        </w:tc>
        <w:tc>
          <w:tcPr>
            <w:tcW w:w="4006" w:type="dxa"/>
          </w:tcPr>
          <w:p w:rsidR="00DF720D" w:rsidRDefault="00DF720D" w:rsidP="004A4E41">
            <w:pPr>
              <w:pStyle w:val="libFootnote0"/>
              <w:rPr>
                <w:rtl/>
                <w:lang w:bidi="fa-IR"/>
              </w:rPr>
            </w:pPr>
            <w:r>
              <w:rPr>
                <w:rtl/>
              </w:rPr>
              <w:t>(10).</w:t>
            </w:r>
            <w:r w:rsidRPr="00C9040A">
              <w:rPr>
                <w:rtl/>
              </w:rPr>
              <w:t xml:space="preserve"> في « ص » : « من »</w:t>
            </w:r>
            <w:r>
              <w:rPr>
                <w:rtl/>
              </w:rPr>
              <w:t>.</w:t>
            </w:r>
          </w:p>
        </w:tc>
      </w:tr>
      <w:tr w:rsidR="00DF720D" w:rsidTr="00DF720D">
        <w:tc>
          <w:tcPr>
            <w:tcW w:w="4006" w:type="dxa"/>
          </w:tcPr>
          <w:p w:rsidR="00DF720D" w:rsidRDefault="00DF720D" w:rsidP="004A4E41">
            <w:pPr>
              <w:pStyle w:val="libFootnote0"/>
              <w:rPr>
                <w:rtl/>
                <w:lang w:bidi="fa-IR"/>
              </w:rPr>
            </w:pPr>
            <w:r>
              <w:rPr>
                <w:rtl/>
              </w:rPr>
              <w:t>(11).</w:t>
            </w:r>
            <w:r w:rsidRPr="00C9040A">
              <w:rPr>
                <w:rtl/>
              </w:rPr>
              <w:t xml:space="preserve"> في«</w:t>
            </w:r>
            <w:r>
              <w:rPr>
                <w:rtl/>
              </w:rPr>
              <w:t>ه</w:t>
            </w:r>
            <w:r w:rsidRPr="00C9040A">
              <w:rPr>
                <w:rtl/>
              </w:rPr>
              <w:t>»و</w:t>
            </w:r>
            <w:r w:rsidRPr="0034021D">
              <w:rPr>
                <w:rStyle w:val="libFootnoteBoldChar"/>
                <w:rtl/>
              </w:rPr>
              <w:t>الأمالي للصدوق</w:t>
            </w:r>
            <w:r w:rsidRPr="00C9040A">
              <w:rPr>
                <w:rtl/>
              </w:rPr>
              <w:t>:«لا يذهبنّ»</w:t>
            </w:r>
            <w:r>
              <w:rPr>
                <w:rtl/>
              </w:rPr>
              <w:t>.</w:t>
            </w:r>
          </w:p>
        </w:tc>
        <w:tc>
          <w:tcPr>
            <w:tcW w:w="4006" w:type="dxa"/>
          </w:tcPr>
          <w:p w:rsidR="00DF720D" w:rsidRDefault="00DF720D" w:rsidP="004A4E41">
            <w:pPr>
              <w:pStyle w:val="libFootnote0"/>
              <w:rPr>
                <w:rtl/>
                <w:lang w:bidi="fa-IR"/>
              </w:rPr>
            </w:pPr>
            <w:r>
              <w:rPr>
                <w:rtl/>
              </w:rPr>
              <w:t>(12).</w:t>
            </w:r>
            <w:r w:rsidRPr="00C9040A">
              <w:rPr>
                <w:rtl/>
              </w:rPr>
              <w:t xml:space="preserve"> في « </w:t>
            </w:r>
            <w:r>
              <w:rPr>
                <w:rtl/>
              </w:rPr>
              <w:t xml:space="preserve">ه </w:t>
            </w:r>
            <w:r w:rsidRPr="00C9040A">
              <w:rPr>
                <w:rtl/>
              </w:rPr>
              <w:t>» : « بكم »</w:t>
            </w:r>
            <w:r>
              <w:rPr>
                <w:rtl/>
              </w:rPr>
              <w:t>.</w:t>
            </w:r>
          </w:p>
        </w:tc>
      </w:tr>
    </w:tbl>
    <w:p w:rsidR="008A74EB" w:rsidRPr="00C9040A" w:rsidRDefault="008A74EB" w:rsidP="004A4E41">
      <w:pPr>
        <w:pStyle w:val="libFootnote0"/>
        <w:rPr>
          <w:rtl/>
          <w:lang w:bidi="fa-IR"/>
        </w:rPr>
      </w:pPr>
      <w:r>
        <w:rPr>
          <w:rtl/>
        </w:rPr>
        <w:t>(13)</w:t>
      </w:r>
      <w:r w:rsidRPr="00C9040A">
        <w:rPr>
          <w:rtl/>
        </w:rPr>
        <w:t xml:space="preserve"> في </w:t>
      </w:r>
      <w:r w:rsidRPr="0034021D">
        <w:rPr>
          <w:rStyle w:val="libFootnoteBoldChar"/>
          <w:rtl/>
        </w:rPr>
        <w:t>الأمالي للصدوق</w:t>
      </w:r>
      <w:r w:rsidRPr="00C9040A">
        <w:rPr>
          <w:rtl/>
        </w:rPr>
        <w:t xml:space="preserve"> : « أحسب »</w:t>
      </w:r>
      <w:r>
        <w:rPr>
          <w:rtl/>
        </w:rPr>
        <w:t>.</w:t>
      </w:r>
    </w:p>
    <w:p w:rsidR="008A74EB" w:rsidRPr="00C9040A" w:rsidRDefault="008A74EB" w:rsidP="004A4E41">
      <w:pPr>
        <w:pStyle w:val="libFootnote0"/>
        <w:rPr>
          <w:rtl/>
          <w:lang w:bidi="fa-IR"/>
        </w:rPr>
      </w:pPr>
      <w:r>
        <w:rPr>
          <w:rtl/>
        </w:rPr>
        <w:t>(14)</w:t>
      </w:r>
      <w:r w:rsidRPr="00C9040A">
        <w:rPr>
          <w:rtl/>
        </w:rPr>
        <w:t xml:space="preserve"> « حسب الرجل أن يقول » : التركيب مثل : حسبك درهم ، أي كافيك. وهو خبر لفظاً واستفهام معنى ، أو حرف الاستفهام مقدّر ، أي لا يكفيه ذلك ولا ينجيه من العقوبة بدون أن يكون فعّالاً. راجع : </w:t>
      </w:r>
      <w:r w:rsidRPr="00993B55">
        <w:rPr>
          <w:rStyle w:val="libFootnoteBoldChar"/>
          <w:rtl/>
        </w:rPr>
        <w:t>شرح المازندراني</w:t>
      </w:r>
      <w:r w:rsidRPr="00C9040A">
        <w:rPr>
          <w:rtl/>
        </w:rPr>
        <w:t xml:space="preserve"> ، ج 8 ، ص 228 ؛ </w:t>
      </w:r>
      <w:r w:rsidRPr="00993B55">
        <w:rPr>
          <w:rStyle w:val="libFootnoteBoldChar"/>
          <w:rtl/>
        </w:rPr>
        <w:t>مرآة العقول</w:t>
      </w:r>
      <w:r w:rsidRPr="00C9040A">
        <w:rPr>
          <w:rtl/>
        </w:rPr>
        <w:t xml:space="preserve"> ، ج 8 ، ص 51.</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أُحِبُّ عَلِيّاً وَأَتَوَلاَّهُ ، ثُمَّ لَايَكُونَ مَعَ ذلِكَ فَعَّالاً </w:t>
      </w:r>
      <w:r w:rsidR="006C577F" w:rsidRPr="006C577F">
        <w:rPr>
          <w:rStyle w:val="libFootnotenumChar"/>
          <w:rtl/>
        </w:rPr>
        <w:t>(1)</w:t>
      </w:r>
      <w:r w:rsidRPr="00C9040A">
        <w:rPr>
          <w:rtl/>
          <w:lang w:bidi="fa-IR"/>
        </w:rPr>
        <w:t>؟</w:t>
      </w:r>
      <w:r>
        <w:rPr>
          <w:rtl/>
          <w:lang w:bidi="fa-IR"/>
        </w:rPr>
        <w:t>!</w:t>
      </w:r>
      <w:r w:rsidRPr="00C9040A">
        <w:rPr>
          <w:rtl/>
          <w:lang w:bidi="fa-IR"/>
        </w:rPr>
        <w:t xml:space="preserve"> فَلَوْ قَالَ : إِنِّي أُحِبُّ رَسُولَ اللهِ ، فَرَسُولُ </w:t>
      </w:r>
      <w:r w:rsidR="006C577F" w:rsidRPr="006C577F">
        <w:rPr>
          <w:rStyle w:val="libFootnotenumChar"/>
          <w:rtl/>
        </w:rPr>
        <w:t>(2)</w:t>
      </w:r>
      <w:r w:rsidRPr="00C9040A">
        <w:rPr>
          <w:rtl/>
          <w:lang w:bidi="fa-IR"/>
        </w:rPr>
        <w:t xml:space="preserve"> اللهِ </w:t>
      </w:r>
      <w:r w:rsidR="004A4E41" w:rsidRPr="004A4E41">
        <w:rPr>
          <w:rStyle w:val="libAlaemChar"/>
          <w:rtl/>
        </w:rPr>
        <w:t>صلى‌الله‌عليه‌وآله</w:t>
      </w:r>
      <w:r w:rsidRPr="00C9040A">
        <w:rPr>
          <w:rtl/>
          <w:lang w:bidi="fa-IR"/>
        </w:rPr>
        <w:t xml:space="preserve"> خَيْرٌ مِنْ عَلِيٍّ </w:t>
      </w:r>
      <w:r w:rsidRPr="0003660B">
        <w:rPr>
          <w:rStyle w:val="libAlaemChar"/>
          <w:rtl/>
        </w:rPr>
        <w:t>عليه‌السلام</w:t>
      </w:r>
      <w:r w:rsidRPr="00C9040A">
        <w:rPr>
          <w:rtl/>
          <w:lang w:bidi="fa-IR"/>
        </w:rPr>
        <w:t xml:space="preserve"> ، ثُمَّ لَايَتَّبِعُ سِيرَتَهُ ، وَلَا يَعْمَلُ بِسُنَّتِهِ ، مَا نَفَعَهُ حُبُّهُ إِيَّاهُ شَيْئاً ؛ فَاتَّقُوا اللهَ </w:t>
      </w:r>
      <w:r w:rsidR="006C577F" w:rsidRPr="006C577F">
        <w:rPr>
          <w:rStyle w:val="libFootnotenumChar"/>
          <w:rtl/>
        </w:rPr>
        <w:t>(3)</w:t>
      </w:r>
      <w:r w:rsidRPr="00C9040A">
        <w:rPr>
          <w:rtl/>
          <w:lang w:bidi="fa-IR"/>
        </w:rPr>
        <w:t xml:space="preserve"> ، وَاعْمَلُوا لِمَا عِنْدَ اللهِ ، لَيْسَ بَيْنَ اللهِ وَبَيْنَ أَحَدٍ قَرَابَةٌ </w:t>
      </w:r>
      <w:r w:rsidR="006C577F" w:rsidRPr="006C577F">
        <w:rPr>
          <w:rStyle w:val="libFootnotenumChar"/>
          <w:rtl/>
        </w:rPr>
        <w:t>(4)</w:t>
      </w:r>
      <w:r w:rsidRPr="00C9040A">
        <w:rPr>
          <w:rtl/>
          <w:lang w:bidi="fa-IR"/>
        </w:rPr>
        <w:t xml:space="preserve"> ، أَحَبُّ الْعِبَادِ إِلَى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وَأَكْرَمُهُمْ عَلَيْهِ </w:t>
      </w:r>
      <w:r w:rsidR="006C577F" w:rsidRPr="006C577F">
        <w:rPr>
          <w:rStyle w:val="libFootnotenumChar"/>
          <w:rtl/>
        </w:rPr>
        <w:t>(5)</w:t>
      </w:r>
      <w:r w:rsidRPr="00C9040A">
        <w:rPr>
          <w:rtl/>
          <w:lang w:bidi="fa-IR"/>
        </w:rPr>
        <w:t xml:space="preserve"> أَتْقَاهُمْ </w:t>
      </w:r>
      <w:r w:rsidR="006C577F" w:rsidRPr="006C577F">
        <w:rPr>
          <w:rStyle w:val="libFootnotenumChar"/>
          <w:rtl/>
        </w:rPr>
        <w:t>(6)</w:t>
      </w:r>
      <w:r w:rsidRPr="005B567D">
        <w:rPr>
          <w:rStyle w:val="libFootnotenumChar"/>
          <w:rtl/>
        </w:rPr>
        <w:t xml:space="preserve"> </w:t>
      </w:r>
      <w:r w:rsidRPr="00C9040A">
        <w:rPr>
          <w:rtl/>
          <w:lang w:bidi="fa-IR"/>
        </w:rPr>
        <w:t>، وَأَعْمَلُهُمْ بِطَاعَتِهِ.</w:t>
      </w:r>
    </w:p>
    <w:p w:rsidR="008A74EB" w:rsidRPr="00C9040A" w:rsidRDefault="008A74EB" w:rsidP="008A74EB">
      <w:pPr>
        <w:pStyle w:val="libNormal"/>
        <w:rPr>
          <w:rtl/>
          <w:lang w:bidi="fa-IR"/>
        </w:rPr>
      </w:pPr>
      <w:r w:rsidRPr="00C9040A">
        <w:rPr>
          <w:rtl/>
          <w:lang w:bidi="fa-IR"/>
        </w:rPr>
        <w:t xml:space="preserve">يَا جَابِرُ ، وَاللهِ </w:t>
      </w:r>
      <w:r w:rsidR="006C577F" w:rsidRPr="006C577F">
        <w:rPr>
          <w:rStyle w:val="libFootnotenumChar"/>
          <w:rtl/>
        </w:rPr>
        <w:t>(7)</w:t>
      </w:r>
      <w:r w:rsidRPr="00C9040A">
        <w:rPr>
          <w:rtl/>
          <w:lang w:bidi="fa-IR"/>
        </w:rPr>
        <w:t xml:space="preserve"> مَا يُتَقَرَّبُ إِلَى اللهِ</w:t>
      </w:r>
      <w:r>
        <w:rPr>
          <w:rtl/>
          <w:lang w:bidi="fa-IR"/>
        </w:rPr>
        <w:t xml:space="preserve"> </w:t>
      </w:r>
      <w:r w:rsidR="0084262C">
        <w:rPr>
          <w:rtl/>
          <w:lang w:bidi="fa-IR"/>
        </w:rPr>
        <w:t>-</w:t>
      </w:r>
      <w:r>
        <w:rPr>
          <w:rtl/>
          <w:lang w:bidi="fa-IR"/>
        </w:rPr>
        <w:t xml:space="preserve"> </w:t>
      </w:r>
      <w:r w:rsidRPr="00C9040A">
        <w:rPr>
          <w:rtl/>
          <w:lang w:bidi="fa-IR"/>
        </w:rPr>
        <w:t>تَبَارَكَ وَتَعَالى</w:t>
      </w:r>
      <w:r>
        <w:rPr>
          <w:rtl/>
          <w:lang w:bidi="fa-IR"/>
        </w:rPr>
        <w:t xml:space="preserve"> </w:t>
      </w:r>
      <w:r w:rsidR="0084262C">
        <w:rPr>
          <w:rtl/>
          <w:lang w:bidi="fa-IR"/>
        </w:rPr>
        <w:t>-</w:t>
      </w:r>
      <w:r>
        <w:rPr>
          <w:rtl/>
          <w:lang w:bidi="fa-IR"/>
        </w:rPr>
        <w:t xml:space="preserve"> </w:t>
      </w:r>
      <w:r w:rsidR="005F0428">
        <w:rPr>
          <w:rtl/>
          <w:lang w:bidi="fa-IR"/>
        </w:rPr>
        <w:t>إِل</w:t>
      </w:r>
      <w:r w:rsidR="005F0428">
        <w:rPr>
          <w:rFonts w:hint="cs"/>
          <w:rtl/>
          <w:lang w:bidi="fa-IR"/>
        </w:rPr>
        <w:t>َّ</w:t>
      </w:r>
      <w:r w:rsidR="005F0428">
        <w:rPr>
          <w:rtl/>
          <w:lang w:bidi="fa-IR"/>
        </w:rPr>
        <w:t>ا</w:t>
      </w:r>
      <w:r w:rsidRPr="00C9040A">
        <w:rPr>
          <w:rtl/>
          <w:lang w:bidi="fa-IR"/>
        </w:rPr>
        <w:t xml:space="preserve"> بِالطَّاعَةِ </w:t>
      </w:r>
      <w:r w:rsidR="006C577F" w:rsidRPr="006C577F">
        <w:rPr>
          <w:rStyle w:val="libFootnotenumChar"/>
          <w:rtl/>
        </w:rPr>
        <w:t>(8)</w:t>
      </w:r>
      <w:r w:rsidRPr="00C9040A">
        <w:rPr>
          <w:rtl/>
          <w:lang w:bidi="fa-IR"/>
        </w:rPr>
        <w:t xml:space="preserve"> ، وَ</w:t>
      </w:r>
      <w:r>
        <w:rPr>
          <w:rFonts w:hint="cs"/>
          <w:rtl/>
          <w:lang w:bidi="fa-IR"/>
        </w:rPr>
        <w:t xml:space="preserve"> </w:t>
      </w:r>
      <w:r w:rsidR="006C577F" w:rsidRPr="006C577F">
        <w:rPr>
          <w:rStyle w:val="libFootnotenumChar"/>
          <w:rtl/>
        </w:rPr>
        <w:t>(9)</w:t>
      </w:r>
      <w:r w:rsidRPr="00C9040A">
        <w:rPr>
          <w:rtl/>
          <w:lang w:bidi="fa-IR"/>
        </w:rPr>
        <w:t xml:space="preserve"> مَا مَعَنَا بَرَاءَةٌ مِنَ النَّارِ ، وَلَا </w:t>
      </w:r>
      <w:r w:rsidR="006C577F" w:rsidRPr="006C577F">
        <w:rPr>
          <w:rStyle w:val="libFootnotenumChar"/>
          <w:rtl/>
        </w:rPr>
        <w:t>(10)</w:t>
      </w:r>
      <w:r w:rsidRPr="00C9040A">
        <w:rPr>
          <w:rtl/>
          <w:lang w:bidi="fa-IR"/>
        </w:rPr>
        <w:t xml:space="preserve"> عَلَى اللهِ لِأَحَدٍ مِنْ </w:t>
      </w:r>
      <w:r w:rsidR="006C577F" w:rsidRPr="006C577F">
        <w:rPr>
          <w:rStyle w:val="libFootnotenumChar"/>
          <w:rtl/>
        </w:rPr>
        <w:t>(11)</w:t>
      </w:r>
      <w:r w:rsidRPr="00C9040A">
        <w:rPr>
          <w:rtl/>
          <w:lang w:bidi="fa-IR"/>
        </w:rPr>
        <w:t xml:space="preserve"> حُجَّةٍ </w:t>
      </w:r>
      <w:r w:rsidR="006C577F" w:rsidRPr="006C577F">
        <w:rPr>
          <w:rStyle w:val="libFootnotenumChar"/>
          <w:rtl/>
        </w:rPr>
        <w:t>(12)</w:t>
      </w:r>
      <w:r w:rsidRPr="00C9040A">
        <w:rPr>
          <w:rtl/>
          <w:lang w:bidi="fa-IR"/>
        </w:rPr>
        <w:t xml:space="preserve"> ؛ مَنْ كَانَ لِلّهِ مُطِيعاً ، فَهُوَ لَنَا وَلِيٌّ ؛ وَمَنْ كَانَ لِلّهِ عَاصِياً ، فَهُوَ لَنَا عَدُوٌّ ؛ وَ</w:t>
      </w:r>
      <w:r>
        <w:rPr>
          <w:rFonts w:hint="cs"/>
          <w:rtl/>
          <w:lang w:bidi="fa-IR"/>
        </w:rPr>
        <w:t xml:space="preserve"> </w:t>
      </w:r>
      <w:r w:rsidRPr="005B567D">
        <w:rPr>
          <w:rStyle w:val="libFootnotenumChar"/>
          <w:rtl/>
        </w:rPr>
        <w:t>(13)</w:t>
      </w:r>
      <w:r w:rsidRPr="00C9040A">
        <w:rPr>
          <w:rtl/>
          <w:lang w:bidi="fa-IR"/>
        </w:rPr>
        <w:t xml:space="preserve"> مَا تُنَالُ </w:t>
      </w:r>
      <w:r w:rsidRPr="005B567D">
        <w:rPr>
          <w:rStyle w:val="libFootnotenumChar"/>
          <w:rtl/>
        </w:rPr>
        <w:t>(14)</w:t>
      </w:r>
      <w:r w:rsidRPr="00C9040A">
        <w:rPr>
          <w:rtl/>
          <w:lang w:bidi="fa-IR"/>
        </w:rPr>
        <w:t xml:space="preserve"> وَلَايَتُنَا إ</w:t>
      </w:r>
      <w:r w:rsidR="005F0428">
        <w:rPr>
          <w:rtl/>
          <w:lang w:bidi="fa-IR"/>
        </w:rPr>
        <w:t>ِل</w:t>
      </w:r>
      <w:r w:rsidR="005F0428">
        <w:rPr>
          <w:rFonts w:hint="cs"/>
          <w:rtl/>
          <w:lang w:bidi="fa-IR"/>
        </w:rPr>
        <w:t>َّ</w:t>
      </w:r>
      <w:r w:rsidR="005F0428">
        <w:rPr>
          <w:rtl/>
          <w:lang w:bidi="fa-IR"/>
        </w:rPr>
        <w:t>ا</w:t>
      </w:r>
      <w:r w:rsidRPr="00C9040A">
        <w:rPr>
          <w:rtl/>
          <w:lang w:bidi="fa-IR"/>
        </w:rPr>
        <w:t xml:space="preserve"> بِالْعَمَلِ‌</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w:t>
      </w:r>
      <w:r w:rsidR="008A74EB" w:rsidRPr="0034021D">
        <w:rPr>
          <w:rStyle w:val="libFootnoteBoldChar"/>
          <w:rtl/>
        </w:rPr>
        <w:t>الأمالي للصدوق</w:t>
      </w:r>
      <w:r w:rsidR="008A74EB" w:rsidRPr="00C9040A">
        <w:rPr>
          <w:rtl/>
        </w:rPr>
        <w:t xml:space="preserve"> وصفات الشيعة </w:t>
      </w:r>
      <w:r w:rsidR="008A74EB">
        <w:rPr>
          <w:rtl/>
        </w:rPr>
        <w:t xml:space="preserve">: </w:t>
      </w:r>
      <w:r w:rsidR="0084262C">
        <w:rPr>
          <w:rtl/>
        </w:rPr>
        <w:t>-</w:t>
      </w:r>
      <w:r w:rsidR="008A74EB" w:rsidRPr="00C9040A">
        <w:rPr>
          <w:rtl/>
        </w:rPr>
        <w:t xml:space="preserve"> « ثمّ لا يكون مع ذلك فعّالاً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w:t>
      </w:r>
      <w:r w:rsidR="008A74EB" w:rsidRPr="0034021D">
        <w:rPr>
          <w:rStyle w:val="libFootnoteBoldChar"/>
          <w:rtl/>
        </w:rPr>
        <w:t>الأمالي للصدوق</w:t>
      </w:r>
      <w:r w:rsidR="008A74EB" w:rsidRPr="00C9040A">
        <w:rPr>
          <w:rtl/>
        </w:rPr>
        <w:t xml:space="preserve"> وصفات الشيعة </w:t>
      </w:r>
      <w:r w:rsidR="008A74EB" w:rsidRPr="00AC2E2F">
        <w:rPr>
          <w:rStyle w:val="libFootnoteBoldChar"/>
          <w:rtl/>
        </w:rPr>
        <w:t>والأمالي للطوسي</w:t>
      </w:r>
      <w:r w:rsidR="008A74EB" w:rsidRPr="00C9040A">
        <w:rPr>
          <w:rtl/>
        </w:rPr>
        <w:t xml:space="preserve"> : « ورسول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البحار </w:t>
      </w:r>
      <w:r w:rsidR="008A74EB">
        <w:rPr>
          <w:rtl/>
        </w:rPr>
        <w:t xml:space="preserve">: </w:t>
      </w:r>
      <w:r w:rsidR="0084262C">
        <w:rPr>
          <w:rtl/>
        </w:rPr>
        <w:t>-</w:t>
      </w:r>
      <w:r w:rsidR="008A74EB" w:rsidRPr="00C9040A">
        <w:rPr>
          <w:rtl/>
        </w:rPr>
        <w:t xml:space="preserve"> « الله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ف » : « من قرابة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 أي ليس بين الله وبين الشيعة قرابة حتّى يسامحكم ولا يسامح مخالفيكم مع كونكم مشتركين معهم في مخالفته تعالى ، أو ليس بينه وبين عليّ </w:t>
      </w:r>
      <w:r w:rsidR="00117575" w:rsidRPr="00117575">
        <w:rPr>
          <w:rStyle w:val="libFootnoteAlaemChar"/>
          <w:rtl/>
        </w:rPr>
        <w:t xml:space="preserve">عليه‌السلام </w:t>
      </w:r>
      <w:r w:rsidR="008A74EB" w:rsidRPr="00C9040A">
        <w:rPr>
          <w:rtl/>
        </w:rPr>
        <w:t xml:space="preserve">قرابة ، حتّى يسامح شيعة عليّ </w:t>
      </w:r>
      <w:r w:rsidR="00117575" w:rsidRPr="00117575">
        <w:rPr>
          <w:rStyle w:val="libFootnoteAlaemChar"/>
          <w:rtl/>
        </w:rPr>
        <w:t xml:space="preserve">عليه‌السلام </w:t>
      </w:r>
      <w:r w:rsidR="008A74EB" w:rsidRPr="00C9040A">
        <w:rPr>
          <w:rtl/>
        </w:rPr>
        <w:t>ولا يسامح شيعة الرسول. والحاصل أنّ جهة القرب بين العبد وبين الله إنّما هي بالطاعة والتقوى ، ولذا صار أئمّتكم أحبّ الخلق إلى الله ؛ فلو لم تكن هذه الجهة فيكم لم ينفعكم شي‌ء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ب ، ج ، د ، ز ، ض » والوسائل </w:t>
      </w:r>
      <w:r w:rsidR="008A74EB">
        <w:rPr>
          <w:rtl/>
        </w:rPr>
        <w:t xml:space="preserve">: </w:t>
      </w:r>
      <w:r w:rsidR="0084262C">
        <w:rPr>
          <w:rtl/>
        </w:rPr>
        <w:t>-</w:t>
      </w:r>
      <w:r w:rsidR="008A74EB" w:rsidRPr="00C9040A">
        <w:rPr>
          <w:rtl/>
        </w:rPr>
        <w:t xml:space="preserve"> « وأكرمهم عليه »</w:t>
      </w:r>
      <w:r w:rsidR="008A74EB">
        <w:rPr>
          <w:rtl/>
        </w:rPr>
        <w:t>.</w:t>
      </w:r>
      <w:r w:rsidR="008A74EB" w:rsidRPr="00C9040A">
        <w:rPr>
          <w:rtl/>
        </w:rPr>
        <w:t xml:space="preserve"> وفي حاشية « ف » : « أكرمهم عنده »</w:t>
      </w:r>
      <w:r w:rsidR="008A74EB">
        <w:rPr>
          <w:rtl/>
        </w:rPr>
        <w:t>.</w:t>
      </w:r>
    </w:p>
    <w:p w:rsidR="008A74EB" w:rsidRPr="004A4E41" w:rsidRDefault="006C577F" w:rsidP="004A4E41">
      <w:pPr>
        <w:pStyle w:val="libFootnote0"/>
        <w:rPr>
          <w:rStyle w:val="libFootnote0Char"/>
          <w:rtl/>
        </w:rPr>
      </w:pPr>
      <w:r>
        <w:rPr>
          <w:rtl/>
        </w:rPr>
        <w:t>(6).</w:t>
      </w:r>
      <w:r w:rsidR="008A74EB">
        <w:rPr>
          <w:rtl/>
        </w:rPr>
        <w:t xml:space="preserve"> </w:t>
      </w:r>
      <w:r w:rsidR="008A74EB" w:rsidRPr="00C9040A">
        <w:rPr>
          <w:rtl/>
        </w:rPr>
        <w:t xml:space="preserve">في </w:t>
      </w:r>
      <w:r w:rsidR="008A74EB" w:rsidRPr="0034021D">
        <w:rPr>
          <w:rStyle w:val="libFootnoteBoldChar"/>
          <w:rtl/>
        </w:rPr>
        <w:t>الأمالي للصدوق</w:t>
      </w:r>
      <w:r w:rsidR="008A74EB" w:rsidRPr="00C9040A">
        <w:rPr>
          <w:rtl/>
        </w:rPr>
        <w:t xml:space="preserve"> وصفات الشيعة </w:t>
      </w:r>
      <w:r w:rsidR="008A74EB" w:rsidRPr="00AC2E2F">
        <w:rPr>
          <w:rStyle w:val="libFootnoteBoldChar"/>
          <w:rtl/>
        </w:rPr>
        <w:t>والأمالي للطوسي</w:t>
      </w:r>
      <w:r w:rsidR="008A74EB" w:rsidRPr="00C9040A">
        <w:rPr>
          <w:rtl/>
        </w:rPr>
        <w:t xml:space="preserve"> : + « له »</w:t>
      </w:r>
      <w:r w:rsidR="008A74EB">
        <w:rPr>
          <w:rtl/>
        </w:rPr>
        <w:t>.</w:t>
      </w:r>
    </w:p>
    <w:tbl>
      <w:tblPr>
        <w:tblStyle w:val="TableGrid"/>
        <w:bidiVisual/>
        <w:tblW w:w="0" w:type="auto"/>
        <w:tblLook w:val="04A0" w:firstRow="1" w:lastRow="0" w:firstColumn="1" w:lastColumn="0" w:noHBand="0" w:noVBand="1"/>
      </w:tblPr>
      <w:tblGrid>
        <w:gridCol w:w="4006"/>
        <w:gridCol w:w="4006"/>
      </w:tblGrid>
      <w:tr w:rsidR="00A2695F" w:rsidTr="00A2695F">
        <w:tc>
          <w:tcPr>
            <w:tcW w:w="4006" w:type="dxa"/>
          </w:tcPr>
          <w:p w:rsidR="00A2695F" w:rsidRDefault="00A2695F" w:rsidP="004A4E41">
            <w:pPr>
              <w:pStyle w:val="libFootnote0"/>
              <w:rPr>
                <w:rtl/>
              </w:rPr>
            </w:pPr>
            <w:r>
              <w:rPr>
                <w:rtl/>
              </w:rPr>
              <w:t>(7).</w:t>
            </w:r>
            <w:r w:rsidRPr="00C9040A">
              <w:rPr>
                <w:rtl/>
              </w:rPr>
              <w:t xml:space="preserve"> وفي البحار : « فوالله »</w:t>
            </w:r>
            <w:r>
              <w:rPr>
                <w:rtl/>
              </w:rPr>
              <w:t>.</w:t>
            </w:r>
          </w:p>
        </w:tc>
        <w:tc>
          <w:tcPr>
            <w:tcW w:w="4006" w:type="dxa"/>
          </w:tcPr>
          <w:p w:rsidR="00A2695F" w:rsidRDefault="00A2695F" w:rsidP="004A4E41">
            <w:pPr>
              <w:pStyle w:val="libFootnote0"/>
              <w:rPr>
                <w:rtl/>
              </w:rPr>
            </w:pPr>
            <w:r>
              <w:rPr>
                <w:rtl/>
              </w:rPr>
              <w:t>(8).</w:t>
            </w:r>
            <w:r w:rsidRPr="00C9040A">
              <w:rPr>
                <w:rtl/>
              </w:rPr>
              <w:t xml:space="preserve"> في الأمالي للطوسي : « بالعمل »</w:t>
            </w:r>
            <w:r>
              <w:rPr>
                <w:rtl/>
              </w:rPr>
              <w:t>.</w:t>
            </w:r>
          </w:p>
        </w:tc>
      </w:tr>
      <w:tr w:rsidR="00A2695F" w:rsidTr="00A2695F">
        <w:tc>
          <w:tcPr>
            <w:tcW w:w="4006" w:type="dxa"/>
          </w:tcPr>
          <w:p w:rsidR="00A2695F" w:rsidRDefault="00A2695F" w:rsidP="004A4E41">
            <w:pPr>
              <w:pStyle w:val="libFootnote0"/>
              <w:rPr>
                <w:rtl/>
              </w:rPr>
            </w:pPr>
            <w:r>
              <w:rPr>
                <w:rtl/>
              </w:rPr>
              <w:t>(9).</w:t>
            </w:r>
            <w:r w:rsidRPr="00C9040A">
              <w:rPr>
                <w:rtl/>
              </w:rPr>
              <w:t xml:space="preserve"> في « ص ، </w:t>
            </w:r>
            <w:r>
              <w:rPr>
                <w:rtl/>
              </w:rPr>
              <w:t xml:space="preserve">ه </w:t>
            </w:r>
            <w:r w:rsidRPr="00C9040A">
              <w:rPr>
                <w:rtl/>
              </w:rPr>
              <w:t xml:space="preserve">» والوافي </w:t>
            </w:r>
            <w:r>
              <w:rPr>
                <w:rtl/>
              </w:rPr>
              <w:t>: -</w:t>
            </w:r>
            <w:r w:rsidRPr="00C9040A">
              <w:rPr>
                <w:rtl/>
              </w:rPr>
              <w:t xml:space="preserve"> « </w:t>
            </w:r>
            <w:r>
              <w:rPr>
                <w:rtl/>
              </w:rPr>
              <w:t>و ».</w:t>
            </w:r>
          </w:p>
        </w:tc>
        <w:tc>
          <w:tcPr>
            <w:tcW w:w="4006" w:type="dxa"/>
          </w:tcPr>
          <w:p w:rsidR="00A2695F" w:rsidRDefault="00A2695F" w:rsidP="004A4E41">
            <w:pPr>
              <w:pStyle w:val="libFootnote0"/>
              <w:rPr>
                <w:rtl/>
              </w:rPr>
            </w:pPr>
            <w:r>
              <w:rPr>
                <w:rtl/>
              </w:rPr>
              <w:t>(10).</w:t>
            </w:r>
            <w:r w:rsidRPr="00C9040A">
              <w:rPr>
                <w:rtl/>
              </w:rPr>
              <w:t xml:space="preserve"> في الأمالي للطوسي:«وما لنا»بدل«ولا»</w:t>
            </w:r>
            <w:r>
              <w:rPr>
                <w:rtl/>
              </w:rPr>
              <w:t>.</w:t>
            </w:r>
          </w:p>
        </w:tc>
      </w:tr>
    </w:tbl>
    <w:p w:rsidR="008A74EB" w:rsidRPr="00C9040A" w:rsidRDefault="006C577F" w:rsidP="004A4E41">
      <w:pPr>
        <w:pStyle w:val="libFootnote0"/>
        <w:rPr>
          <w:rtl/>
          <w:lang w:bidi="fa-IR"/>
        </w:rPr>
      </w:pPr>
      <w:r>
        <w:rPr>
          <w:rtl/>
        </w:rPr>
        <w:t>(11).</w:t>
      </w:r>
      <w:r w:rsidR="008A74EB" w:rsidRPr="00C9040A">
        <w:rPr>
          <w:rtl/>
        </w:rPr>
        <w:t xml:space="preserve"> في صفات الشيعة : « منكم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في </w:t>
      </w:r>
      <w:r w:rsidR="008A74EB" w:rsidRPr="00993B55">
        <w:rPr>
          <w:rStyle w:val="libFootnoteBoldChar"/>
          <w:rtl/>
        </w:rPr>
        <w:t>المرآة</w:t>
      </w:r>
      <w:r w:rsidR="008A74EB" w:rsidRPr="00C9040A">
        <w:rPr>
          <w:rtl/>
        </w:rPr>
        <w:t xml:space="preserve"> : « وما معناه براءة من النار ، أي ليس معنا صكّ وحكم ببراءتنا وبراءة شيعتنا من النار وإن عملوا بعمل الفجّار. « ولا على الله لأحد من حجّة » أي ليس لأحد على الله حجّة إذا لم يغفر له بأن يقول : كنت من شيعة عليّ ، فلم لم تغفر لي ؛ لأنّ الله لم يحتم بغفران من ادّعى التشيّع بلا عمل. أو المعنى : ليس لنا على الله حجّة في إنقاذ من ادّعى التشيّع من العذاب. ويؤيّده أنّ في </w:t>
      </w:r>
      <w:r w:rsidR="008A74EB" w:rsidRPr="00993B55">
        <w:rPr>
          <w:rStyle w:val="libFootnoteBoldChar"/>
          <w:rtl/>
        </w:rPr>
        <w:t>المجالس</w:t>
      </w:r>
      <w:r w:rsidR="008A74EB" w:rsidRPr="00C9040A">
        <w:rPr>
          <w:rtl/>
        </w:rPr>
        <w:t xml:space="preserve"> : وما لنا على الله حجّة. </w:t>
      </w:r>
      <w:r w:rsidR="008A74EB">
        <w:rPr>
          <w:rtl/>
        </w:rPr>
        <w:t>و «</w:t>
      </w:r>
      <w:r w:rsidR="008A74EB" w:rsidRPr="00C9040A">
        <w:rPr>
          <w:rtl/>
        </w:rPr>
        <w:t xml:space="preserve"> من كان لله‌مطيعاً » كأنّه جواب عمّا يتوهّم في هذا المقام أنّهم </w:t>
      </w:r>
      <w:r w:rsidR="00117575" w:rsidRPr="00117575">
        <w:rPr>
          <w:rStyle w:val="libFootnoteAlaemChar"/>
          <w:rtl/>
        </w:rPr>
        <w:t>عليهم‌السلام</w:t>
      </w:r>
      <w:r w:rsidR="008A74EB" w:rsidRPr="00C9040A">
        <w:rPr>
          <w:rtl/>
        </w:rPr>
        <w:t xml:space="preserve"> حكموا بأنّ شيعتهم وأولياءهم لايدخلون النار ، فأجاب </w:t>
      </w:r>
      <w:r w:rsidR="00117575" w:rsidRPr="00117575">
        <w:rPr>
          <w:rStyle w:val="libFootnoteAlaemChar"/>
          <w:rtl/>
        </w:rPr>
        <w:t>عليه‌السلام</w:t>
      </w:r>
      <w:r w:rsidR="008A74EB" w:rsidRPr="00C9040A">
        <w:rPr>
          <w:rtl/>
        </w:rPr>
        <w:t xml:space="preserve"> بأنّ العاصي لله‌ليس بو</w:t>
      </w:r>
      <w:r w:rsidR="00A2695F">
        <w:rPr>
          <w:rtl/>
        </w:rPr>
        <w:t>ليّ لنا ، ولا تدرك ولايتنا إل</w:t>
      </w:r>
      <w:r w:rsidR="00A2695F">
        <w:rPr>
          <w:rFonts w:hint="cs"/>
          <w:rtl/>
        </w:rPr>
        <w:t>ّ</w:t>
      </w:r>
      <w:r w:rsidR="00A2695F">
        <w:rPr>
          <w:rtl/>
        </w:rPr>
        <w:t>ا</w:t>
      </w:r>
      <w:r w:rsidR="008A74EB" w:rsidRPr="00C9040A">
        <w:rPr>
          <w:rtl/>
        </w:rPr>
        <w:t>بالعمل بالطاعات والورع عن المعاصي »</w:t>
      </w:r>
      <w:r w:rsidR="008A74EB">
        <w:rPr>
          <w:rtl/>
        </w:rPr>
        <w:t>.</w:t>
      </w:r>
    </w:p>
    <w:p w:rsidR="008A74EB" w:rsidRPr="00C9040A" w:rsidRDefault="008A74EB" w:rsidP="004A4E41">
      <w:pPr>
        <w:pStyle w:val="libFootnote0"/>
        <w:rPr>
          <w:rtl/>
          <w:lang w:bidi="fa-IR"/>
        </w:rPr>
      </w:pPr>
      <w:r>
        <w:rPr>
          <w:rtl/>
        </w:rPr>
        <w:t>(13)</w:t>
      </w:r>
      <w:r w:rsidRPr="00C9040A">
        <w:rPr>
          <w:rtl/>
        </w:rPr>
        <w:t xml:space="preserve"> في « بف » </w:t>
      </w:r>
      <w:r>
        <w:rPr>
          <w:rtl/>
        </w:rPr>
        <w:t xml:space="preserve">: </w:t>
      </w:r>
      <w:r w:rsidR="0084262C">
        <w:rPr>
          <w:rtl/>
        </w:rPr>
        <w:t>-</w:t>
      </w:r>
      <w:r w:rsidRPr="00C9040A">
        <w:rPr>
          <w:rtl/>
        </w:rPr>
        <w:t xml:space="preserve"> « </w:t>
      </w:r>
      <w:r>
        <w:rPr>
          <w:rtl/>
        </w:rPr>
        <w:t>و ».</w:t>
      </w:r>
    </w:p>
    <w:p w:rsidR="008A74EB" w:rsidRPr="00C9040A" w:rsidRDefault="008A74EB" w:rsidP="004A4E41">
      <w:pPr>
        <w:pStyle w:val="libFootnote0"/>
        <w:rPr>
          <w:rtl/>
          <w:lang w:bidi="fa-IR"/>
        </w:rPr>
      </w:pPr>
      <w:r>
        <w:rPr>
          <w:rtl/>
        </w:rPr>
        <w:t>(14)</w:t>
      </w:r>
      <w:r w:rsidRPr="00C9040A">
        <w:rPr>
          <w:rtl/>
        </w:rPr>
        <w:t xml:space="preserve"> في البحار و</w:t>
      </w:r>
      <w:r w:rsidRPr="0034021D">
        <w:rPr>
          <w:rStyle w:val="libFootnoteBoldChar"/>
          <w:rtl/>
        </w:rPr>
        <w:t>الأمالي للصدوق</w:t>
      </w:r>
      <w:r w:rsidRPr="00C9040A">
        <w:rPr>
          <w:rtl/>
        </w:rPr>
        <w:t xml:space="preserve"> وصفات الشيعة : « ولا تنال »</w:t>
      </w:r>
      <w:r>
        <w:rPr>
          <w:rtl/>
        </w:rPr>
        <w:t>.</w:t>
      </w:r>
      <w:r w:rsidRPr="00C9040A">
        <w:rPr>
          <w:rtl/>
        </w:rPr>
        <w:t xml:space="preserve"> وفي الأمالي للطوسي : « والله لا تنال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وَالْوَرَعِ </w:t>
      </w:r>
      <w:r w:rsidR="006C577F" w:rsidRPr="006C577F">
        <w:rPr>
          <w:rStyle w:val="libFootnotenumChar"/>
          <w:rtl/>
        </w:rPr>
        <w:t>(1)</w:t>
      </w:r>
      <w:r w:rsidRPr="00C9040A">
        <w:rPr>
          <w:rtl/>
          <w:lang w:bidi="fa-IR"/>
        </w:rPr>
        <w:t>»</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21182F" w:rsidRDefault="008A74EB" w:rsidP="0021182F">
      <w:pPr>
        <w:pStyle w:val="libNormal"/>
        <w:rPr>
          <w:rtl/>
          <w:lang w:bidi="fa-IR"/>
        </w:rPr>
      </w:pPr>
      <w:r w:rsidRPr="00033260">
        <w:rPr>
          <w:rtl/>
        </w:rPr>
        <w:t>1623</w:t>
      </w:r>
      <w:r w:rsidRPr="00261CB0">
        <w:rPr>
          <w:rStyle w:val="libBold2Char"/>
          <w:rtl/>
        </w:rPr>
        <w:t xml:space="preserve"> / 4.</w:t>
      </w:r>
      <w:r w:rsidRPr="00C9040A">
        <w:rPr>
          <w:rtl/>
          <w:lang w:bidi="fa-IR"/>
        </w:rPr>
        <w:t xml:space="preserve"> عَلِيُّ بْنُ إِبْرَاهِيمَ ، عَنْ أَبِيهِ ؛</w:t>
      </w:r>
    </w:p>
    <w:p w:rsidR="008A74EB" w:rsidRPr="00C9040A" w:rsidRDefault="0021182F" w:rsidP="0021182F">
      <w:pPr>
        <w:pStyle w:val="libNormal"/>
        <w:rPr>
          <w:rtl/>
          <w:lang w:bidi="fa-IR"/>
        </w:rPr>
      </w:pPr>
      <w:r>
        <w:rPr>
          <w:rtl/>
          <w:lang w:bidi="fa-IR"/>
        </w:rPr>
        <w:t>وَمُحَمَّدُ بْنُ إِسْمَاعِيلَ</w:t>
      </w:r>
      <w:r w:rsidR="008A74EB" w:rsidRPr="00C9040A">
        <w:rPr>
          <w:rtl/>
          <w:lang w:bidi="fa-IR"/>
        </w:rPr>
        <w:t>،</w:t>
      </w:r>
      <w:r>
        <w:rPr>
          <w:rFonts w:hint="cs"/>
          <w:rtl/>
          <w:lang w:bidi="fa-IR"/>
        </w:rPr>
        <w:t xml:space="preserve"> </w:t>
      </w:r>
      <w:r w:rsidR="008A74EB" w:rsidRPr="00C9040A">
        <w:rPr>
          <w:rtl/>
          <w:lang w:bidi="fa-IR"/>
        </w:rPr>
        <w:t>عَنِ الْفَضْلِ بْنِ شَاذَانَ جَمِيعاً ، عَنِ ابْنِ أَبِي عُمَيْرٍ ، عَنْ هِشَامِ بْنِ الْحَكَمِ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إِذَا كَانَ يَوْمُ الْقِيَامَةِ ، يَقُومُ </w:t>
      </w:r>
      <w:r w:rsidR="006C577F" w:rsidRPr="006C577F">
        <w:rPr>
          <w:rStyle w:val="libFootnotenumChar"/>
          <w:rtl/>
        </w:rPr>
        <w:t>(3)</w:t>
      </w:r>
      <w:r w:rsidRPr="00C9040A">
        <w:rPr>
          <w:rtl/>
          <w:lang w:bidi="fa-IR"/>
        </w:rPr>
        <w:t xml:space="preserve"> عُنُقٌ </w:t>
      </w:r>
      <w:r w:rsidR="006C577F" w:rsidRPr="006C577F">
        <w:rPr>
          <w:rStyle w:val="libFootnotenumChar"/>
          <w:rtl/>
        </w:rPr>
        <w:t>(4)</w:t>
      </w:r>
      <w:r w:rsidRPr="00C9040A">
        <w:rPr>
          <w:rtl/>
          <w:lang w:bidi="fa-IR"/>
        </w:rPr>
        <w:t xml:space="preserve"> مِنَ النَّاسِ ، فَيَأْتُونَ بَابَ الْجَنَّةِ ، فَيَضْرِبُونَهُ </w:t>
      </w:r>
      <w:r w:rsidR="006C577F" w:rsidRPr="006C577F">
        <w:rPr>
          <w:rStyle w:val="libFootnotenumChar"/>
          <w:rtl/>
        </w:rPr>
        <w:t>(5)</w:t>
      </w:r>
      <w:r w:rsidRPr="00C9040A">
        <w:rPr>
          <w:rtl/>
          <w:lang w:bidi="fa-IR"/>
        </w:rPr>
        <w:t xml:space="preserve"> ، فَيُقَالُ لَهُمْ </w:t>
      </w:r>
      <w:r w:rsidR="006C577F" w:rsidRPr="006C577F">
        <w:rPr>
          <w:rStyle w:val="libFootnotenumChar"/>
          <w:rtl/>
        </w:rPr>
        <w:t>(6)</w:t>
      </w:r>
      <w:r w:rsidRPr="005B567D">
        <w:rPr>
          <w:rStyle w:val="libFootnotenumChar"/>
          <w:rtl/>
        </w:rPr>
        <w:t xml:space="preserve"> </w:t>
      </w:r>
      <w:r w:rsidRPr="00C9040A">
        <w:rPr>
          <w:rtl/>
          <w:lang w:bidi="fa-IR"/>
        </w:rPr>
        <w:t>: مَنْ أَنْتُمْ</w:t>
      </w:r>
      <w:r>
        <w:rPr>
          <w:rtl/>
          <w:lang w:bidi="fa-IR"/>
        </w:rPr>
        <w:t>؟</w:t>
      </w:r>
      <w:r w:rsidRPr="00C9040A">
        <w:rPr>
          <w:rtl/>
          <w:lang w:bidi="fa-IR"/>
        </w:rPr>
        <w:t xml:space="preserve"> فَيَقُولُونَ : نَحْنُ أَهْلُ الصَّبْرِ ، فَيُقَالُ لَهُمْ </w:t>
      </w:r>
      <w:r w:rsidR="006C577F" w:rsidRPr="006C577F">
        <w:rPr>
          <w:rStyle w:val="libFootnotenumChar"/>
          <w:rtl/>
        </w:rPr>
        <w:t>(7)</w:t>
      </w:r>
      <w:r w:rsidRPr="00C9040A">
        <w:rPr>
          <w:rtl/>
          <w:lang w:bidi="fa-IR"/>
        </w:rPr>
        <w:t xml:space="preserve"> : عَلى مَا صَبَرْتُمْ</w:t>
      </w:r>
      <w:r>
        <w:rPr>
          <w:rtl/>
          <w:lang w:bidi="fa-IR"/>
        </w:rPr>
        <w:t>؟</w:t>
      </w:r>
      <w:r w:rsidRPr="00C9040A">
        <w:rPr>
          <w:rtl/>
          <w:lang w:bidi="fa-IR"/>
        </w:rPr>
        <w:t xml:space="preserve"> فَيَقُولُونَ : كُنَّا نَصْبِرُ عَلى طَاعَةِ اللهِ ، وَنَصْبِرُ عَنْ </w:t>
      </w:r>
      <w:r w:rsidR="006C577F" w:rsidRPr="006C577F">
        <w:rPr>
          <w:rStyle w:val="libFootnotenumChar"/>
          <w:rtl/>
        </w:rPr>
        <w:t>(8)</w:t>
      </w:r>
      <w:r w:rsidRPr="00C9040A">
        <w:rPr>
          <w:rtl/>
          <w:lang w:bidi="fa-IR"/>
        </w:rPr>
        <w:t xml:space="preserve"> مَعَاصِي اللهِ ، فَيَقُولُ اللهُ عَزَّ وَجَلَّ : صَدَقُوا ، أَدْخِلُوهُمُ الْجَنَّةَ ، وَهُوَ قَوْلُ اللهِ عَزَّ وَجَلَّ : </w:t>
      </w:r>
      <w:r w:rsidRPr="0003660B">
        <w:rPr>
          <w:rStyle w:val="libAlaemChar"/>
          <w:rtl/>
        </w:rPr>
        <w:t>(</w:t>
      </w:r>
      <w:r w:rsidRPr="006A2246">
        <w:rPr>
          <w:rStyle w:val="libAieChar"/>
          <w:rtl/>
        </w:rPr>
        <w:t xml:space="preserve"> إِنَّما يُوَفَّى الصّابِرُونَ أَجْرَهُمْ بِغَيْرِ حِسابٍ </w:t>
      </w:r>
      <w:r w:rsidRPr="0003660B">
        <w:rPr>
          <w:rStyle w:val="libAlaemChar"/>
          <w:rtl/>
        </w:rPr>
        <w:t>)</w:t>
      </w:r>
      <w:r w:rsidRPr="00C9040A">
        <w:rPr>
          <w:rtl/>
          <w:lang w:bidi="fa-IR"/>
        </w:rPr>
        <w:t xml:space="preserve"> </w:t>
      </w:r>
      <w:r w:rsidR="006C577F" w:rsidRPr="006C577F">
        <w:rPr>
          <w:rStyle w:val="libFootnotenumChar"/>
          <w:rtl/>
        </w:rPr>
        <w:t>(9)</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Normal"/>
        <w:rPr>
          <w:rtl/>
          <w:lang w:bidi="fa-IR"/>
        </w:rPr>
      </w:pPr>
      <w:r w:rsidRPr="00033260">
        <w:rPr>
          <w:rtl/>
        </w:rPr>
        <w:t>1624</w:t>
      </w:r>
      <w:r w:rsidRPr="00261CB0">
        <w:rPr>
          <w:rStyle w:val="libBold2Char"/>
          <w:rtl/>
        </w:rPr>
        <w:t xml:space="preserve"> / 5.</w:t>
      </w:r>
      <w:r w:rsidRPr="00C9040A">
        <w:rPr>
          <w:rtl/>
          <w:lang w:bidi="fa-IR"/>
        </w:rPr>
        <w:t xml:space="preserve"> مُحَمَّدُ بْنُ يَحْيى ، عَنْ أَحْمَدَ بْنِ مُحَمَّدٍ ، عَنْ مُحَمَّدِ بْنِ سِنَانٍ ، عَنْ فُضَيْلِ </w:t>
      </w:r>
      <w:r w:rsidR="006C577F" w:rsidRPr="006C577F">
        <w:rPr>
          <w:rStyle w:val="libFootnotenumChar"/>
          <w:rtl/>
        </w:rPr>
        <w:t>(11)</w:t>
      </w:r>
      <w:r w:rsidRPr="00C9040A">
        <w:rPr>
          <w:rtl/>
          <w:lang w:bidi="fa-IR"/>
        </w:rPr>
        <w:t xml:space="preserve"> بْنِ عُثْمَانَ ، عَنْ أَبِي عُبَيْدَةَ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الأمالي للطوسي </w:t>
      </w:r>
      <w:r w:rsidR="008A74EB">
        <w:rPr>
          <w:rtl/>
        </w:rPr>
        <w:t xml:space="preserve">: </w:t>
      </w:r>
      <w:r w:rsidR="0084262C">
        <w:rPr>
          <w:rtl/>
        </w:rPr>
        <w:t>-</w:t>
      </w:r>
      <w:r w:rsidR="008A74EB" w:rsidRPr="00C9040A">
        <w:rPr>
          <w:rtl/>
        </w:rPr>
        <w:t xml:space="preserve"> « والورع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34021D">
        <w:rPr>
          <w:rStyle w:val="libFootnoteBoldChar"/>
          <w:rtl/>
        </w:rPr>
        <w:t>الأمالي للصدوق</w:t>
      </w:r>
      <w:r w:rsidR="008A74EB" w:rsidRPr="00C9040A">
        <w:rPr>
          <w:rtl/>
        </w:rPr>
        <w:t xml:space="preserve"> ، ح 724 ، المجلس 91 ، ح 3 ، بسنده عن أحمد بن أبي عبد الله البرقي ؛ </w:t>
      </w:r>
      <w:r w:rsidR="008A74EB" w:rsidRPr="00993B55">
        <w:rPr>
          <w:rStyle w:val="libFootnoteBoldChar"/>
          <w:rtl/>
        </w:rPr>
        <w:t>الأمال</w:t>
      </w:r>
      <w:r w:rsidR="008A74EB" w:rsidRPr="00AC2E2F">
        <w:rPr>
          <w:rStyle w:val="libFootnoteBoldChar"/>
          <w:rtl/>
        </w:rPr>
        <w:t>ي للطوسي</w:t>
      </w:r>
      <w:r w:rsidR="008A74EB" w:rsidRPr="00C9040A">
        <w:rPr>
          <w:rtl/>
        </w:rPr>
        <w:t xml:space="preserve"> ، ص 735 ، المجلس 46 ، ح 1 ، بسنده عن عمرو بن شمر ؛ </w:t>
      </w:r>
      <w:r w:rsidR="008A74EB" w:rsidRPr="00993B55">
        <w:rPr>
          <w:rStyle w:val="libFootnoteBoldChar"/>
          <w:rtl/>
        </w:rPr>
        <w:t>صفات الشيعة</w:t>
      </w:r>
      <w:r w:rsidR="008A74EB" w:rsidRPr="00C9040A">
        <w:rPr>
          <w:rtl/>
        </w:rPr>
        <w:t xml:space="preserve"> ، ص 11 ، ح 22 ، بسنده عن جابر ، وفي كلّها مع اختلاف يسير </w:t>
      </w:r>
      <w:r w:rsidR="00067DA5">
        <w:rPr>
          <w:rFonts w:hint="cs"/>
          <w:rtl/>
        </w:rPr>
        <w:t>.</w:t>
      </w:r>
      <w:r w:rsidR="008A74EB" w:rsidRPr="00993B55">
        <w:rPr>
          <w:rStyle w:val="libFootnoteBoldChar"/>
          <w:rtl/>
        </w:rPr>
        <w:t>الوافي</w:t>
      </w:r>
      <w:r w:rsidR="008A74EB" w:rsidRPr="00C9040A">
        <w:rPr>
          <w:rtl/>
        </w:rPr>
        <w:t xml:space="preserve"> ، ج 4 ، ص 1783 ، ح 1783 ؛ وص 301 ، ح 1977 ؛ </w:t>
      </w:r>
      <w:r w:rsidR="008A74EB" w:rsidRPr="00993B55">
        <w:rPr>
          <w:rStyle w:val="libFootnoteBoldChar"/>
          <w:rtl/>
        </w:rPr>
        <w:t>الوسائل</w:t>
      </w:r>
      <w:r w:rsidR="008A74EB" w:rsidRPr="00C9040A">
        <w:rPr>
          <w:rtl/>
        </w:rPr>
        <w:t xml:space="preserve"> ، ج 15 ، ص 234 ، ح 20362 ؛ </w:t>
      </w:r>
      <w:r w:rsidR="008A74EB" w:rsidRPr="00993B55">
        <w:rPr>
          <w:rStyle w:val="libFootnoteBoldChar"/>
          <w:rtl/>
        </w:rPr>
        <w:t>البحار</w:t>
      </w:r>
      <w:r w:rsidR="008A74EB" w:rsidRPr="00C9040A">
        <w:rPr>
          <w:rtl/>
        </w:rPr>
        <w:t xml:space="preserve"> ، ج 70 ، ص 97 ، ح 4.</w:t>
      </w:r>
      <w:r w:rsidR="00562ADB">
        <w:rPr>
          <w:rFonts w:hint="cs"/>
          <w:rtl/>
        </w:rPr>
        <w:t xml:space="preserve">     </w:t>
      </w:r>
      <w:r>
        <w:rPr>
          <w:rtl/>
        </w:rPr>
        <w:t>(3).</w:t>
      </w:r>
      <w:r w:rsidR="008A74EB" w:rsidRPr="00C9040A">
        <w:rPr>
          <w:rtl/>
        </w:rPr>
        <w:t xml:space="preserve"> في«ف»والبحار،ج70:«تقوم»</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 العنق » : الجماعة الكثيرة من الناس ، والرؤساء والكبراء. راجع : </w:t>
      </w:r>
      <w:r w:rsidR="008A74EB" w:rsidRPr="00993B55">
        <w:rPr>
          <w:rStyle w:val="libFootnoteBoldChar"/>
          <w:rtl/>
        </w:rPr>
        <w:t>لسان العرب</w:t>
      </w:r>
      <w:r w:rsidR="008A74EB" w:rsidRPr="00C9040A">
        <w:rPr>
          <w:rtl/>
        </w:rPr>
        <w:t xml:space="preserve"> ، ج 10 ، ص 273 ؛ </w:t>
      </w:r>
      <w:r w:rsidR="008A74EB" w:rsidRPr="00993B55">
        <w:rPr>
          <w:rStyle w:val="libFootnoteBoldChar"/>
          <w:rtl/>
        </w:rPr>
        <w:t>القاموس المحيط</w:t>
      </w:r>
      <w:r w:rsidR="008A74EB" w:rsidRPr="00C9040A">
        <w:rPr>
          <w:rtl/>
        </w:rPr>
        <w:t xml:space="preserve"> ، ج 2 ، ص 1210 ( عنق )</w:t>
      </w:r>
      <w:r w:rsidR="008A74EB">
        <w:rPr>
          <w:rtl/>
        </w:rPr>
        <w:t>.</w:t>
      </w:r>
    </w:p>
    <w:p w:rsidR="008A74EB" w:rsidRPr="004A4E41" w:rsidRDefault="006C577F" w:rsidP="004A4E41">
      <w:pPr>
        <w:pStyle w:val="libFootnote0"/>
        <w:rPr>
          <w:rStyle w:val="libFootnote0Char"/>
          <w:rtl/>
        </w:rPr>
      </w:pPr>
      <w:r>
        <w:rPr>
          <w:rtl/>
        </w:rPr>
        <w:t>(5).</w:t>
      </w:r>
      <w:r w:rsidR="008A74EB" w:rsidRPr="00C9040A">
        <w:rPr>
          <w:rtl/>
        </w:rPr>
        <w:t xml:space="preserve"> في « </w:t>
      </w:r>
      <w:r w:rsidR="006D3162">
        <w:rPr>
          <w:rtl/>
        </w:rPr>
        <w:t xml:space="preserve">ه </w:t>
      </w:r>
      <w:r w:rsidR="008A74EB" w:rsidRPr="00C9040A">
        <w:rPr>
          <w:rtl/>
        </w:rPr>
        <w:t>» : « فيدقّونه »</w:t>
      </w:r>
      <w:r w:rsidR="008A74EB">
        <w:rPr>
          <w:rtl/>
        </w:rPr>
        <w:t>.</w:t>
      </w:r>
      <w:r w:rsidR="008A74EB" w:rsidRPr="00C9040A">
        <w:rPr>
          <w:rtl/>
        </w:rPr>
        <w:t xml:space="preserve"> وفي الوسائل </w:t>
      </w:r>
      <w:r w:rsidR="008A74EB">
        <w:rPr>
          <w:rtl/>
        </w:rPr>
        <w:t xml:space="preserve">: </w:t>
      </w:r>
      <w:r w:rsidR="0084262C">
        <w:rPr>
          <w:rtl/>
        </w:rPr>
        <w:t>-</w:t>
      </w:r>
      <w:r w:rsidR="008A74EB" w:rsidRPr="00C9040A">
        <w:rPr>
          <w:rtl/>
        </w:rPr>
        <w:t xml:space="preserve"> « فيضربونه »</w:t>
      </w:r>
      <w:r w:rsidR="008A74EB">
        <w:rPr>
          <w:rtl/>
        </w:rPr>
        <w:t>.</w:t>
      </w:r>
    </w:p>
    <w:tbl>
      <w:tblPr>
        <w:tblStyle w:val="TableGrid"/>
        <w:bidiVisual/>
        <w:tblW w:w="0" w:type="auto"/>
        <w:tblLook w:val="04A0" w:firstRow="1" w:lastRow="0" w:firstColumn="1" w:lastColumn="0" w:noHBand="0" w:noVBand="1"/>
      </w:tblPr>
      <w:tblGrid>
        <w:gridCol w:w="4006"/>
        <w:gridCol w:w="4006"/>
      </w:tblGrid>
      <w:tr w:rsidR="00501F41" w:rsidTr="00501F41">
        <w:tc>
          <w:tcPr>
            <w:tcW w:w="4006" w:type="dxa"/>
          </w:tcPr>
          <w:p w:rsidR="00501F41" w:rsidRDefault="00501F41" w:rsidP="004A4E41">
            <w:pPr>
              <w:pStyle w:val="libFootnote0"/>
              <w:rPr>
                <w:rtl/>
              </w:rPr>
            </w:pPr>
            <w:r>
              <w:rPr>
                <w:rtl/>
              </w:rPr>
              <w:t xml:space="preserve">(6). </w:t>
            </w:r>
            <w:r w:rsidRPr="00C9040A">
              <w:rPr>
                <w:rtl/>
              </w:rPr>
              <w:t xml:space="preserve">في الوسائل </w:t>
            </w:r>
            <w:r>
              <w:rPr>
                <w:rtl/>
              </w:rPr>
              <w:t>: -</w:t>
            </w:r>
            <w:r w:rsidRPr="00C9040A">
              <w:rPr>
                <w:rtl/>
              </w:rPr>
              <w:t xml:space="preserve"> « لهم »</w:t>
            </w:r>
            <w:r>
              <w:rPr>
                <w:rtl/>
              </w:rPr>
              <w:t>.</w:t>
            </w:r>
          </w:p>
        </w:tc>
        <w:tc>
          <w:tcPr>
            <w:tcW w:w="4006" w:type="dxa"/>
          </w:tcPr>
          <w:p w:rsidR="00501F41" w:rsidRDefault="00501F41" w:rsidP="004A4E41">
            <w:pPr>
              <w:pStyle w:val="libFootnote0"/>
              <w:rPr>
                <w:rtl/>
              </w:rPr>
            </w:pPr>
            <w:r>
              <w:rPr>
                <w:rtl/>
              </w:rPr>
              <w:t>(7).</w:t>
            </w:r>
            <w:r w:rsidRPr="00C9040A">
              <w:rPr>
                <w:rtl/>
              </w:rPr>
              <w:t xml:space="preserve"> في « ف » </w:t>
            </w:r>
            <w:r>
              <w:rPr>
                <w:rtl/>
              </w:rPr>
              <w:t>: -</w:t>
            </w:r>
            <w:r w:rsidRPr="00C9040A">
              <w:rPr>
                <w:rtl/>
              </w:rPr>
              <w:t xml:space="preserve"> « لهم »</w:t>
            </w:r>
            <w:r>
              <w:rPr>
                <w:rtl/>
              </w:rPr>
              <w:t>.</w:t>
            </w:r>
          </w:p>
        </w:tc>
      </w:tr>
      <w:tr w:rsidR="00501F41" w:rsidTr="00501F41">
        <w:tc>
          <w:tcPr>
            <w:tcW w:w="4006" w:type="dxa"/>
          </w:tcPr>
          <w:p w:rsidR="00501F41" w:rsidRDefault="00501F41" w:rsidP="004A4E41">
            <w:pPr>
              <w:pStyle w:val="libFootnote0"/>
              <w:rPr>
                <w:rtl/>
              </w:rPr>
            </w:pPr>
            <w:r>
              <w:rPr>
                <w:rtl/>
              </w:rPr>
              <w:t>(8).</w:t>
            </w:r>
            <w:r w:rsidRPr="00C9040A">
              <w:rPr>
                <w:rtl/>
              </w:rPr>
              <w:t xml:space="preserve"> في«ز،ض»وشرح المازندراني:«على»</w:t>
            </w:r>
            <w:r>
              <w:rPr>
                <w:rtl/>
              </w:rPr>
              <w:t>.</w:t>
            </w:r>
          </w:p>
        </w:tc>
        <w:tc>
          <w:tcPr>
            <w:tcW w:w="4006" w:type="dxa"/>
          </w:tcPr>
          <w:p w:rsidR="00501F41" w:rsidRDefault="00501F41" w:rsidP="004A4E41">
            <w:pPr>
              <w:pStyle w:val="libFootnote0"/>
              <w:rPr>
                <w:rtl/>
              </w:rPr>
            </w:pPr>
            <w:r>
              <w:rPr>
                <w:rtl/>
              </w:rPr>
              <w:t>(9).</w:t>
            </w:r>
            <w:r w:rsidRPr="00C9040A">
              <w:rPr>
                <w:rtl/>
              </w:rPr>
              <w:t xml:space="preserve"> الزمر (39) : 10.</w:t>
            </w:r>
          </w:p>
        </w:tc>
      </w:tr>
    </w:tbl>
    <w:p w:rsidR="008A74EB" w:rsidRPr="00C9040A" w:rsidRDefault="006C577F" w:rsidP="004A4E41">
      <w:pPr>
        <w:pStyle w:val="libFootnote0"/>
        <w:rPr>
          <w:rtl/>
          <w:lang w:bidi="fa-IR"/>
        </w:rPr>
      </w:pPr>
      <w:r>
        <w:rPr>
          <w:rtl/>
        </w:rPr>
        <w:t>(10).</w:t>
      </w:r>
      <w:r w:rsidR="008A74EB" w:rsidRPr="00C9040A">
        <w:rPr>
          <w:rtl/>
        </w:rPr>
        <w:t xml:space="preserve"> </w:t>
      </w:r>
      <w:r w:rsidR="008A74EB" w:rsidRPr="00993B55">
        <w:rPr>
          <w:rStyle w:val="libFootnoteBoldChar"/>
          <w:rtl/>
        </w:rPr>
        <w:t>الزهد</w:t>
      </w:r>
      <w:r w:rsidR="008A74EB" w:rsidRPr="00C9040A">
        <w:rPr>
          <w:rtl/>
        </w:rPr>
        <w:t xml:space="preserve"> ، ص 170 ، ح 253 ، بسند آخر عن عليّ بن الحسين </w:t>
      </w:r>
      <w:r w:rsidR="00117575" w:rsidRPr="00117575">
        <w:rPr>
          <w:rStyle w:val="libFootnoteAlaemChar"/>
          <w:rtl/>
        </w:rPr>
        <w:t>عليه‌السلام</w:t>
      </w:r>
      <w:r w:rsidR="008A74EB" w:rsidRPr="00C9040A">
        <w:rPr>
          <w:rtl/>
        </w:rPr>
        <w:t xml:space="preserve"> ، مع اختلاف وزيادة في أوّله. </w:t>
      </w:r>
      <w:r w:rsidR="008A74EB" w:rsidRPr="00993B55">
        <w:rPr>
          <w:rStyle w:val="libFootnoteBoldChar"/>
          <w:rtl/>
        </w:rPr>
        <w:t>فقه الرضا</w:t>
      </w:r>
      <w:r w:rsidR="008A74EB" w:rsidRPr="00C9040A">
        <w:rPr>
          <w:rtl/>
        </w:rPr>
        <w:t xml:space="preserve"> </w:t>
      </w:r>
      <w:r w:rsidR="00117575" w:rsidRPr="00117575">
        <w:rPr>
          <w:rStyle w:val="libFootnoteAlaemChar"/>
          <w:rtl/>
        </w:rPr>
        <w:t>عليه‌السلام</w:t>
      </w:r>
      <w:r w:rsidR="008A74EB" w:rsidRPr="00C9040A">
        <w:rPr>
          <w:rtl/>
        </w:rPr>
        <w:t xml:space="preserve"> ، ص 368 ، مع اختلاف </w:t>
      </w:r>
      <w:r w:rsidR="00B21A4A">
        <w:rPr>
          <w:rFonts w:hint="cs"/>
          <w:rtl/>
        </w:rPr>
        <w:t>.</w:t>
      </w:r>
      <w:r w:rsidR="008A74EB" w:rsidRPr="00993B55">
        <w:rPr>
          <w:rStyle w:val="libFootnoteBoldChar"/>
          <w:rtl/>
        </w:rPr>
        <w:t>الوافي</w:t>
      </w:r>
      <w:r w:rsidR="008A74EB" w:rsidRPr="00C9040A">
        <w:rPr>
          <w:rtl/>
        </w:rPr>
        <w:t xml:space="preserve"> ، ج 4 ، ص 334 ، ح 2056 ؛ </w:t>
      </w:r>
      <w:r w:rsidR="008A74EB" w:rsidRPr="00993B55">
        <w:rPr>
          <w:rStyle w:val="libFootnoteBoldChar"/>
          <w:rtl/>
        </w:rPr>
        <w:t>الوسائل</w:t>
      </w:r>
      <w:r w:rsidR="008A74EB" w:rsidRPr="00C9040A">
        <w:rPr>
          <w:rtl/>
        </w:rPr>
        <w:t xml:space="preserve"> ، ج 15 ، ص 236 ، ح 20368 ؛ </w:t>
      </w:r>
      <w:r w:rsidR="008A74EB" w:rsidRPr="00993B55">
        <w:rPr>
          <w:rStyle w:val="libFootnoteBoldChar"/>
          <w:rtl/>
        </w:rPr>
        <w:t>البحار</w:t>
      </w:r>
      <w:r w:rsidR="008A74EB" w:rsidRPr="00C9040A">
        <w:rPr>
          <w:rtl/>
        </w:rPr>
        <w:t xml:space="preserve"> ، ج 70 ، ص 101 ، ح 5 ؛ وج 69 ، ص 362.</w:t>
      </w:r>
    </w:p>
    <w:p w:rsidR="008A74EB" w:rsidRPr="00C9040A" w:rsidRDefault="006C577F" w:rsidP="004A4E41">
      <w:pPr>
        <w:pStyle w:val="libFootnote0"/>
        <w:rPr>
          <w:rtl/>
          <w:lang w:bidi="fa-IR"/>
        </w:rPr>
      </w:pPr>
      <w:r>
        <w:rPr>
          <w:rtl/>
        </w:rPr>
        <w:t>(11).</w:t>
      </w:r>
      <w:r w:rsidR="008A74EB" w:rsidRPr="00C9040A">
        <w:rPr>
          <w:rtl/>
        </w:rPr>
        <w:t xml:space="preserve"> في « ص ، ف » وحاشية « بر ، بس » : « فضل »</w:t>
      </w:r>
      <w:r w:rsidR="008A74EB">
        <w:rPr>
          <w:rtl/>
        </w:rPr>
        <w:t>.</w:t>
      </w:r>
      <w:r w:rsidR="008A74EB" w:rsidRPr="00C9040A">
        <w:rPr>
          <w:rtl/>
        </w:rPr>
        <w:t xml:space="preserve"> وهذا أيضاً صحيح ، كما تقدّم في </w:t>
      </w:r>
      <w:r w:rsidR="008A74EB" w:rsidRPr="00993B55">
        <w:rPr>
          <w:rStyle w:val="libFootnoteBoldChar"/>
          <w:rtl/>
        </w:rPr>
        <w:t>الكافي</w:t>
      </w:r>
      <w:r w:rsidR="008A74EB" w:rsidRPr="00C9040A">
        <w:rPr>
          <w:rtl/>
        </w:rPr>
        <w:t xml:space="preserve"> ، ذيل ح 1585.</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كَانَ أَمِيرُ الْمُؤْمِنِينَ </w:t>
      </w:r>
      <w:r w:rsidRPr="0003660B">
        <w:rPr>
          <w:rStyle w:val="libAlaemChar"/>
          <w:rtl/>
        </w:rPr>
        <w:t>عليه‌السلام</w:t>
      </w:r>
      <w:r w:rsidRPr="00C9040A">
        <w:rPr>
          <w:rtl/>
          <w:lang w:bidi="fa-IR"/>
        </w:rPr>
        <w:t xml:space="preserve"> يَقُولُ : لَايَقِلُّ عَمَلٌ مَعَ تَقْوى </w:t>
      </w:r>
      <w:r w:rsidR="006C577F" w:rsidRPr="006C577F">
        <w:rPr>
          <w:rStyle w:val="libFootnotenumChar"/>
          <w:rtl/>
        </w:rPr>
        <w:t>(1)</w:t>
      </w:r>
      <w:r w:rsidRPr="00C9040A">
        <w:rPr>
          <w:rtl/>
          <w:lang w:bidi="fa-IR"/>
        </w:rPr>
        <w:t xml:space="preserve">، وَكَيْفَ يَقِلُّ مَا يُتَقَبَّلُ </w:t>
      </w:r>
      <w:r w:rsidR="006C577F" w:rsidRPr="006C577F">
        <w:rPr>
          <w:rStyle w:val="libFootnotenumChar"/>
          <w:rtl/>
        </w:rPr>
        <w:t>(2)</w:t>
      </w:r>
      <w:r>
        <w:rPr>
          <w:rtl/>
          <w:lang w:bidi="fa-IR"/>
        </w:rPr>
        <w:t>؟!</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033260">
        <w:rPr>
          <w:rtl/>
        </w:rPr>
        <w:t>1625</w:t>
      </w:r>
      <w:r w:rsidRPr="00261CB0">
        <w:rPr>
          <w:rStyle w:val="libBold2Char"/>
          <w:rtl/>
        </w:rPr>
        <w:t xml:space="preserve"> / 6.</w:t>
      </w:r>
      <w:r w:rsidRPr="00C9040A">
        <w:rPr>
          <w:rtl/>
          <w:lang w:bidi="fa-IR"/>
        </w:rPr>
        <w:t xml:space="preserve"> حُمَيْدُ بْنُ زِيَادٍ ، عَنِ الْحَسَنِ بْنِ مُحَمَّدِ بْنِ سَمَاعَةَ ، عَنْ بَعْضِ أَصْحَابِهِ ، عَنْ أَبَانٍ ، عَنْ عَمْرِو </w:t>
      </w:r>
      <w:r w:rsidR="006C577F" w:rsidRPr="006C577F">
        <w:rPr>
          <w:rStyle w:val="libFootnotenumChar"/>
          <w:rtl/>
        </w:rPr>
        <w:t>(4)</w:t>
      </w:r>
      <w:r w:rsidRPr="00C9040A">
        <w:rPr>
          <w:rtl/>
          <w:lang w:bidi="fa-IR"/>
        </w:rPr>
        <w:t xml:space="preserve"> بْنِ خَالِدٍ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يَا مَعْشَرَ </w:t>
      </w:r>
      <w:r w:rsidR="006C577F" w:rsidRPr="006C577F">
        <w:rPr>
          <w:rStyle w:val="libFootnotenumChar"/>
          <w:rtl/>
        </w:rPr>
        <w:t>(5)</w:t>
      </w:r>
      <w:r w:rsidRPr="00C9040A">
        <w:rPr>
          <w:rtl/>
          <w:lang w:bidi="fa-IR"/>
        </w:rPr>
        <w:t xml:space="preserve"> الشِّيعَةِ</w:t>
      </w:r>
      <w:r>
        <w:rPr>
          <w:rtl/>
          <w:lang w:bidi="fa-IR"/>
        </w:rPr>
        <w:t xml:space="preserve"> </w:t>
      </w:r>
      <w:r w:rsidR="0084262C">
        <w:rPr>
          <w:rtl/>
          <w:lang w:bidi="fa-IR"/>
        </w:rPr>
        <w:t>-</w:t>
      </w:r>
      <w:r>
        <w:rPr>
          <w:rtl/>
          <w:lang w:bidi="fa-IR"/>
        </w:rPr>
        <w:t xml:space="preserve"> </w:t>
      </w:r>
      <w:r w:rsidRPr="00C9040A">
        <w:rPr>
          <w:rtl/>
          <w:lang w:bidi="fa-IR"/>
        </w:rPr>
        <w:t>شِيعَةِ آلِ مُحَمَّدٍ</w:t>
      </w:r>
      <w:r>
        <w:rPr>
          <w:rtl/>
          <w:lang w:bidi="fa-IR"/>
        </w:rPr>
        <w:t xml:space="preserve"> </w:t>
      </w:r>
      <w:r w:rsidR="0084262C">
        <w:rPr>
          <w:rtl/>
          <w:lang w:bidi="fa-IR"/>
        </w:rPr>
        <w:t>-</w:t>
      </w:r>
      <w:r>
        <w:rPr>
          <w:rtl/>
          <w:lang w:bidi="fa-IR"/>
        </w:rPr>
        <w:t xml:space="preserve"> </w:t>
      </w:r>
      <w:r w:rsidRPr="00C9040A">
        <w:rPr>
          <w:rtl/>
          <w:lang w:bidi="fa-IR"/>
        </w:rPr>
        <w:t xml:space="preserve">كُونُوا النُّمْرُقَةَ </w:t>
      </w:r>
      <w:r w:rsidR="006C577F" w:rsidRPr="006C577F">
        <w:rPr>
          <w:rStyle w:val="libFootnotenumChar"/>
          <w:rtl/>
        </w:rPr>
        <w:t>(6)</w:t>
      </w:r>
      <w:r w:rsidRPr="005B567D">
        <w:rPr>
          <w:rStyle w:val="libFootnotenumChar"/>
          <w:rtl/>
        </w:rPr>
        <w:t xml:space="preserve"> </w:t>
      </w:r>
      <w:r w:rsidRPr="00C9040A">
        <w:rPr>
          <w:rtl/>
          <w:lang w:bidi="fa-IR"/>
        </w:rPr>
        <w:t>الْوُسْطى ، يَرْجِعُ إِلَيْكُمُ الْغَالِي ، وَيَلْحَقُ بِكُمُ التَّالِي »</w:t>
      </w:r>
      <w:r>
        <w:rPr>
          <w:rtl/>
          <w:lang w:bidi="fa-IR"/>
        </w:rPr>
        <w:t>.</w:t>
      </w:r>
    </w:p>
    <w:p w:rsidR="008A74EB" w:rsidRPr="00C9040A" w:rsidRDefault="008A74EB" w:rsidP="008A74EB">
      <w:pPr>
        <w:pStyle w:val="libNormal"/>
        <w:rPr>
          <w:rtl/>
          <w:lang w:bidi="fa-IR"/>
        </w:rPr>
      </w:pPr>
      <w:r w:rsidRPr="00C9040A">
        <w:rPr>
          <w:rtl/>
          <w:lang w:bidi="fa-IR"/>
        </w:rPr>
        <w:t>فَقَالَ لَهُ رَجُلٌ مِنَ الْأَنْصَارِ</w:t>
      </w:r>
      <w:r>
        <w:rPr>
          <w:rtl/>
          <w:lang w:bidi="fa-IR"/>
        </w:rPr>
        <w:t xml:space="preserve"> </w:t>
      </w:r>
      <w:r w:rsidR="0084262C">
        <w:rPr>
          <w:rtl/>
          <w:lang w:bidi="fa-IR"/>
        </w:rPr>
        <w:t>-</w:t>
      </w:r>
      <w:r>
        <w:rPr>
          <w:rtl/>
          <w:lang w:bidi="fa-IR"/>
        </w:rPr>
        <w:t xml:space="preserve"> </w:t>
      </w:r>
      <w:r w:rsidRPr="00C9040A">
        <w:rPr>
          <w:rtl/>
          <w:lang w:bidi="fa-IR"/>
        </w:rPr>
        <w:t>يُقَالُ لَهُ : سَعْدٌ</w:t>
      </w:r>
      <w:r>
        <w:rPr>
          <w:rtl/>
          <w:lang w:bidi="fa-IR"/>
        </w:rPr>
        <w:t xml:space="preserve"> </w:t>
      </w:r>
      <w:r w:rsidR="0084262C">
        <w:rPr>
          <w:rtl/>
          <w:lang w:bidi="fa-IR"/>
        </w:rPr>
        <w:t>-</w:t>
      </w:r>
      <w:r>
        <w:rPr>
          <w:rtl/>
          <w:lang w:bidi="fa-IR"/>
        </w:rPr>
        <w:t xml:space="preserve"> </w:t>
      </w:r>
      <w:r w:rsidRPr="00C9040A">
        <w:rPr>
          <w:rtl/>
          <w:lang w:bidi="fa-IR"/>
        </w:rPr>
        <w:t>: جُعِلْتُ فِدَاكَ ، مَا الْغَالِي</w:t>
      </w:r>
      <w:r>
        <w:rPr>
          <w:rtl/>
          <w:lang w:bidi="fa-IR"/>
        </w:rPr>
        <w:t>؟</w:t>
      </w:r>
      <w:r w:rsidRPr="00C9040A">
        <w:rPr>
          <w:rtl/>
          <w:lang w:bidi="fa-IR"/>
        </w:rPr>
        <w:t xml:space="preserve"> قَالَ : « قَوْمٌ يَقُولُونَ فِينَا مَا لَانَقُولُهُ فِي أَنْفُسِنَا ، فَلَيْسَ أُولئِكَ مِنَّا ، وَلَسْنَا مِنْهُمْ »</w:t>
      </w:r>
      <w:r>
        <w:rPr>
          <w:rtl/>
          <w:lang w:bidi="fa-IR"/>
        </w:rPr>
        <w:t>.</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نهج البلاغة و</w:t>
      </w:r>
      <w:r w:rsidR="008A74EB" w:rsidRPr="0034021D">
        <w:rPr>
          <w:rStyle w:val="libFootnoteBoldChar"/>
          <w:rtl/>
        </w:rPr>
        <w:t>الأمالي للمفيد</w:t>
      </w:r>
      <w:r w:rsidR="008A74EB" w:rsidRPr="00C9040A">
        <w:rPr>
          <w:rtl/>
        </w:rPr>
        <w:t xml:space="preserve"> ، ص 194 : « التقوى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إشارة إلى الآية 27 من سورة المائدة </w:t>
      </w:r>
      <w:r>
        <w:rPr>
          <w:rtl/>
        </w:rPr>
        <w:t>(5).</w:t>
      </w:r>
      <w:r w:rsidR="008A74EB" w:rsidRPr="00C9040A">
        <w:rPr>
          <w:rtl/>
        </w:rPr>
        <w:t xml:space="preserve"> : </w:t>
      </w:r>
      <w:r w:rsidR="00940AA8" w:rsidRPr="00AC2E2F">
        <w:rPr>
          <w:rStyle w:val="libFootnoteAlaemChar"/>
          <w:rFonts w:hint="cs"/>
          <w:rtl/>
        </w:rPr>
        <w:t>(</w:t>
      </w:r>
      <w:r w:rsidR="008A74EB" w:rsidRPr="00C9040A">
        <w:rPr>
          <w:rtl/>
        </w:rPr>
        <w:t xml:space="preserve"> </w:t>
      </w:r>
      <w:r w:rsidR="008A74EB" w:rsidRPr="00940AA8">
        <w:rPr>
          <w:rStyle w:val="libFootnoteAieChar"/>
          <w:rtl/>
        </w:rPr>
        <w:t>إِنَّمَا يَتَقَبَّلُ اللهُ مِنَ الْمُتَّقِينَ</w:t>
      </w:r>
      <w:r w:rsidR="008A74EB" w:rsidRPr="00C9040A">
        <w:rPr>
          <w:rtl/>
        </w:rPr>
        <w:t xml:space="preserve"> </w:t>
      </w:r>
      <w:r w:rsidR="00940AA8" w:rsidRPr="00AC2E2F">
        <w:rPr>
          <w:rStyle w:val="libFootnoteAlaemChar"/>
          <w:rFonts w:hint="cs"/>
          <w:rtl/>
        </w:rPr>
        <w:t>)</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w:t>
      </w:r>
      <w:r w:rsidR="008A74EB" w:rsidRPr="0034021D">
        <w:rPr>
          <w:rStyle w:val="libFootnoteBoldChar"/>
          <w:rtl/>
        </w:rPr>
        <w:t>الأمالي للمفيد</w:t>
      </w:r>
      <w:r w:rsidR="008A74EB" w:rsidRPr="00C9040A">
        <w:rPr>
          <w:rtl/>
        </w:rPr>
        <w:t xml:space="preserve"> ، ص 194 ، المجلس 23 ، ح 24 ، بسنده عن محمّد بن سنان. </w:t>
      </w:r>
      <w:r w:rsidR="008A74EB" w:rsidRPr="00993B55">
        <w:rPr>
          <w:rStyle w:val="libFootnoteBoldChar"/>
          <w:rtl/>
        </w:rPr>
        <w:t>وفيه</w:t>
      </w:r>
      <w:r w:rsidR="008A74EB" w:rsidRPr="00C9040A">
        <w:rPr>
          <w:rtl/>
        </w:rPr>
        <w:t xml:space="preserve"> ، ص 29 ، المجلس 4 ، ح 2 ؛ وص 284 ، المجلس 34 ، ح 1 ؛ </w:t>
      </w:r>
      <w:r w:rsidR="008A74EB" w:rsidRPr="00AC2E2F">
        <w:rPr>
          <w:rStyle w:val="libFootnoteBoldChar"/>
          <w:rtl/>
        </w:rPr>
        <w:t>والأمالي للطوسي</w:t>
      </w:r>
      <w:r w:rsidR="008A74EB" w:rsidRPr="00C9040A">
        <w:rPr>
          <w:rtl/>
        </w:rPr>
        <w:t xml:space="preserve"> ، ص 60 ، المجلس 2 ، ح 59 ، بسند آخر عن أبي عبد الله </w:t>
      </w:r>
      <w:r w:rsidR="00117575" w:rsidRPr="00117575">
        <w:rPr>
          <w:rStyle w:val="libFootnoteAlaemChar"/>
          <w:rtl/>
        </w:rPr>
        <w:t>عليه‌السلام</w:t>
      </w:r>
      <w:r w:rsidR="008A74EB" w:rsidRPr="00C9040A">
        <w:rPr>
          <w:rtl/>
        </w:rPr>
        <w:t xml:space="preserve"> ، مع اختلاف يسير. </w:t>
      </w:r>
      <w:r w:rsidR="008A74EB" w:rsidRPr="00993B55">
        <w:rPr>
          <w:rStyle w:val="libFootnoteBoldChar"/>
          <w:rtl/>
        </w:rPr>
        <w:t>نهج البلاغة</w:t>
      </w:r>
      <w:r w:rsidR="008A74EB" w:rsidRPr="00C9040A">
        <w:rPr>
          <w:rtl/>
        </w:rPr>
        <w:t xml:space="preserve"> ، ص 484 ، الحكمة 95 </w:t>
      </w:r>
      <w:r w:rsidR="001F6AB4">
        <w:rPr>
          <w:rFonts w:hint="cs"/>
          <w:rtl/>
        </w:rPr>
        <w:t>.</w:t>
      </w:r>
      <w:r w:rsidR="008A74EB" w:rsidRPr="00993B55">
        <w:rPr>
          <w:rStyle w:val="libFootnoteBoldChar"/>
          <w:rtl/>
        </w:rPr>
        <w:t>الوافي</w:t>
      </w:r>
      <w:r w:rsidR="008A74EB" w:rsidRPr="00C9040A">
        <w:rPr>
          <w:rtl/>
        </w:rPr>
        <w:t xml:space="preserve"> ، ج 4 ، ص 306 ، ح 1987 ؛ </w:t>
      </w:r>
      <w:r w:rsidR="008A74EB" w:rsidRPr="00993B55">
        <w:rPr>
          <w:rStyle w:val="libFootnoteBoldChar"/>
          <w:rtl/>
        </w:rPr>
        <w:t>الوسائل</w:t>
      </w:r>
      <w:r w:rsidR="008A74EB" w:rsidRPr="00C9040A">
        <w:rPr>
          <w:rtl/>
        </w:rPr>
        <w:t xml:space="preserve"> ، ج 15 ، ص 240 ، ح 20383 ؛ </w:t>
      </w:r>
      <w:r w:rsidR="008A74EB" w:rsidRPr="00993B55">
        <w:rPr>
          <w:rStyle w:val="libFootnoteBoldChar"/>
          <w:rtl/>
        </w:rPr>
        <w:t>البحار</w:t>
      </w:r>
      <w:r w:rsidR="008A74EB" w:rsidRPr="00C9040A">
        <w:rPr>
          <w:rtl/>
        </w:rPr>
        <w:t xml:space="preserve"> ، ج 70 ، ص 293 ، ذيل ح 33.</w:t>
      </w:r>
    </w:p>
    <w:p w:rsidR="008A74EB" w:rsidRPr="00C9040A" w:rsidRDefault="006C577F" w:rsidP="004A4E41">
      <w:pPr>
        <w:pStyle w:val="libFootnote0"/>
        <w:rPr>
          <w:rtl/>
          <w:lang w:bidi="fa-IR"/>
        </w:rPr>
      </w:pPr>
      <w:r>
        <w:rPr>
          <w:rtl/>
        </w:rPr>
        <w:t>(4).</w:t>
      </w:r>
      <w:r w:rsidR="008A74EB" w:rsidRPr="00C9040A">
        <w:rPr>
          <w:rtl/>
        </w:rPr>
        <w:t xml:space="preserve"> في « ج ، د ، ز ، ص ، ف ، بر ، بف ، جر » : « عمر »</w:t>
      </w:r>
      <w:r w:rsidR="008A74EB">
        <w:rPr>
          <w:rtl/>
        </w:rPr>
        <w:t>.</w:t>
      </w:r>
      <w:r w:rsidR="008A74EB" w:rsidRPr="00C9040A">
        <w:rPr>
          <w:rtl/>
        </w:rPr>
        <w:t xml:space="preserve"> لكنّ الظاهر صحّة « عمرو » ؛ فقد روى الكليني </w:t>
      </w:r>
      <w:r w:rsidR="00117575" w:rsidRPr="00117575">
        <w:rPr>
          <w:rStyle w:val="libFootnoteAlaemChar"/>
          <w:rtl/>
        </w:rPr>
        <w:t>قدس‌سره</w:t>
      </w:r>
      <w:r w:rsidR="008A74EB" w:rsidRPr="00C9040A">
        <w:rPr>
          <w:rtl/>
        </w:rPr>
        <w:t xml:space="preserve"> في </w:t>
      </w:r>
      <w:r w:rsidR="008A74EB" w:rsidRPr="00993B55">
        <w:rPr>
          <w:rStyle w:val="libFootnoteBoldChar"/>
          <w:rtl/>
        </w:rPr>
        <w:t>الكافي</w:t>
      </w:r>
      <w:r w:rsidR="008A74EB" w:rsidRPr="00C9040A">
        <w:rPr>
          <w:rtl/>
        </w:rPr>
        <w:t xml:space="preserve"> ، ح 12941 ، عن حميد بن زياد ، عن الحسن بن محمّد بن سماعة ، عن غير واحد ، عن أبان بن عثمان ، عن عمرو بن خالد ، عن أبي جعفر </w:t>
      </w:r>
      <w:r w:rsidR="00117575" w:rsidRPr="00117575">
        <w:rPr>
          <w:rStyle w:val="libFootnoteAlaemChar"/>
          <w:rtl/>
        </w:rPr>
        <w:t xml:space="preserve">عليه‌السلام </w:t>
      </w:r>
      <w:r w:rsidR="008A74EB" w:rsidRPr="00C9040A">
        <w:rPr>
          <w:rtl/>
        </w:rPr>
        <w:t xml:space="preserve">. وروى أيضاً في </w:t>
      </w:r>
      <w:r w:rsidR="008A74EB" w:rsidRPr="00993B55">
        <w:rPr>
          <w:rStyle w:val="libFootnoteBoldChar"/>
          <w:rtl/>
        </w:rPr>
        <w:t>الكافي</w:t>
      </w:r>
      <w:r w:rsidR="008A74EB" w:rsidRPr="00C9040A">
        <w:rPr>
          <w:rtl/>
        </w:rPr>
        <w:t xml:space="preserve"> ، ح 5332 ، بسنده عن الحسن بن عليّ الوشّاء ، عن أبان ، عن عمرو بن خالد ، عن أبي جعفر </w:t>
      </w:r>
      <w:r w:rsidR="00117575" w:rsidRPr="00117575">
        <w:rPr>
          <w:rStyle w:val="libFootnoteAlaemChar"/>
          <w:rtl/>
        </w:rPr>
        <w:t xml:space="preserve">عليه‌السلام </w:t>
      </w:r>
      <w:r w:rsidR="008A74EB" w:rsidRPr="00C9040A">
        <w:rPr>
          <w:rtl/>
        </w:rPr>
        <w:t>.</w:t>
      </w:r>
    </w:p>
    <w:p w:rsidR="008A74EB" w:rsidRPr="00C9040A" w:rsidRDefault="008A74EB" w:rsidP="004A4E41">
      <w:pPr>
        <w:pStyle w:val="libFootnote0"/>
        <w:rPr>
          <w:rtl/>
          <w:lang w:bidi="fa-IR"/>
        </w:rPr>
      </w:pPr>
      <w:r w:rsidRPr="00323A39">
        <w:rPr>
          <w:rtl/>
        </w:rPr>
        <w:t xml:space="preserve">ثمّ إنّ عمرو بن خالد هذا ، هو عمرو بن خالد الواسطي الذي عُدَّ من رواة أبي جعفر </w:t>
      </w:r>
      <w:r w:rsidR="00117575" w:rsidRPr="00117575">
        <w:rPr>
          <w:rStyle w:val="libFootnoteAlaemChar"/>
          <w:rtl/>
        </w:rPr>
        <w:t xml:space="preserve">عليه‌السلام </w:t>
      </w:r>
      <w:r w:rsidRPr="00323A39">
        <w:rPr>
          <w:rtl/>
        </w:rPr>
        <w:t xml:space="preserve">. راجع : </w:t>
      </w:r>
      <w:r w:rsidRPr="00993B55">
        <w:rPr>
          <w:rStyle w:val="libFootnoteBoldChar"/>
          <w:rtl/>
        </w:rPr>
        <w:t>رجال الطوسي</w:t>
      </w:r>
      <w:r w:rsidRPr="00323A39">
        <w:rPr>
          <w:rtl/>
        </w:rPr>
        <w:t xml:space="preserve"> ، ص 142 ، الرقم 1534 ؛ </w:t>
      </w:r>
      <w:r w:rsidRPr="00993B55">
        <w:rPr>
          <w:rStyle w:val="libFootnoteBoldChar"/>
          <w:rtl/>
        </w:rPr>
        <w:t>تهذيب الكمال</w:t>
      </w:r>
      <w:r w:rsidRPr="00323A39">
        <w:rPr>
          <w:rtl/>
        </w:rPr>
        <w:t xml:space="preserve"> ، ج 21 ، ص 603 ، الرقم 4357.</w:t>
      </w:r>
    </w:p>
    <w:p w:rsidR="008A74EB" w:rsidRPr="00C9040A" w:rsidRDefault="006C577F" w:rsidP="004A4E41">
      <w:pPr>
        <w:pStyle w:val="libFootnote0"/>
        <w:rPr>
          <w:rtl/>
          <w:lang w:bidi="fa-IR"/>
        </w:rPr>
      </w:pPr>
      <w:r>
        <w:rPr>
          <w:rtl/>
        </w:rPr>
        <w:t>(5).</w:t>
      </w:r>
      <w:r w:rsidR="008A74EB" w:rsidRPr="00C9040A">
        <w:rPr>
          <w:rtl/>
        </w:rPr>
        <w:t xml:space="preserve"> في حاشية « ج ، د ، بر » : « معاشر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 النمرقة » بضمّ النون والراء وبكسرهما وبفتح النون وبغير هاء : الوسادة الصغيرة ، فاستعار </w:t>
      </w:r>
      <w:r w:rsidR="00117575" w:rsidRPr="00117575">
        <w:rPr>
          <w:rStyle w:val="libFootnoteAlaemChar"/>
          <w:rtl/>
        </w:rPr>
        <w:t>عليه‌السلام</w:t>
      </w:r>
      <w:r w:rsidR="008A74EB" w:rsidRPr="00C9040A">
        <w:rPr>
          <w:rtl/>
        </w:rPr>
        <w:t xml:space="preserve"> لفظ النمرقة بصفة الوسطى باعتبار أنّ التالي ، أي المفرّط المقصّر في الدين يلحق بهم ، والغالي ، أي المفرّط المتجاوز يرجع إليهم ، كما يستند إلى النمرقَة المتوسّطة من على جانبيها. راجع : </w:t>
      </w:r>
      <w:r w:rsidR="008A74EB" w:rsidRPr="00993B55">
        <w:rPr>
          <w:rStyle w:val="libFootnoteBoldChar"/>
          <w:rtl/>
        </w:rPr>
        <w:t>الصحاح</w:t>
      </w:r>
      <w:r w:rsidR="008A74EB" w:rsidRPr="00C9040A">
        <w:rPr>
          <w:rtl/>
        </w:rPr>
        <w:t xml:space="preserve"> ، ج 4 ، ص 1561 ؛ </w:t>
      </w:r>
      <w:r w:rsidR="008A74EB" w:rsidRPr="00993B55">
        <w:rPr>
          <w:rStyle w:val="libFootnoteBoldChar"/>
          <w:rtl/>
        </w:rPr>
        <w:t>النهاية</w:t>
      </w:r>
      <w:r w:rsidR="008A74EB" w:rsidRPr="00C9040A">
        <w:rPr>
          <w:rtl/>
        </w:rPr>
        <w:t xml:space="preserve"> ، ج 5 ، ص 118 ؛ </w:t>
      </w:r>
      <w:r w:rsidR="008A74EB" w:rsidRPr="00993B55">
        <w:rPr>
          <w:rStyle w:val="libFootnoteBoldChar"/>
          <w:rtl/>
        </w:rPr>
        <w:t>مجمع البحرين</w:t>
      </w:r>
      <w:r w:rsidR="008A74EB" w:rsidRPr="00C9040A">
        <w:rPr>
          <w:rtl/>
        </w:rPr>
        <w:t xml:space="preserve"> ، ج 5 ، ص 242 ( نمرق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قَالَ : فَمَا التَّالِي</w:t>
      </w:r>
      <w:r>
        <w:rPr>
          <w:rtl/>
          <w:lang w:bidi="fa-IR"/>
        </w:rPr>
        <w:t>؟</w:t>
      </w:r>
      <w:r w:rsidRPr="00C9040A">
        <w:rPr>
          <w:rtl/>
          <w:lang w:bidi="fa-IR"/>
        </w:rPr>
        <w:t xml:space="preserve"> قَالَ : « الْمُرْتَادُ ، يُرِيدُ الْخَيْرَ يُبَلِّغُهُ الْخَيْرَ يُؤْجَرُ عَلَيْهِ </w:t>
      </w:r>
      <w:r w:rsidR="006C577F" w:rsidRPr="006C577F">
        <w:rPr>
          <w:rStyle w:val="libFootnotenumChar"/>
          <w:rtl/>
        </w:rPr>
        <w:t>(1)</w:t>
      </w:r>
      <w:r w:rsidRPr="00C9040A">
        <w:rPr>
          <w:rtl/>
          <w:lang w:bidi="fa-IR"/>
        </w:rPr>
        <w:t>»</w:t>
      </w:r>
      <w:r>
        <w:rPr>
          <w:rtl/>
          <w:lang w:bidi="fa-IR"/>
        </w:rPr>
        <w:t>.</w:t>
      </w:r>
    </w:p>
    <w:p w:rsidR="008A74EB" w:rsidRPr="00C9040A" w:rsidRDefault="008A74EB" w:rsidP="008A74EB">
      <w:pPr>
        <w:pStyle w:val="libNormal"/>
        <w:rPr>
          <w:rtl/>
          <w:lang w:bidi="fa-IR"/>
        </w:rPr>
      </w:pPr>
      <w:r w:rsidRPr="00C9040A">
        <w:rPr>
          <w:rtl/>
          <w:lang w:bidi="fa-IR"/>
        </w:rPr>
        <w:t xml:space="preserve">ثُمَّ أَقْبَلَ عَلَيْنَا ، فَقَالَ : « وَاللهِ ، مَا مَعَنَا مِنَ اللهِ بَرَاءَةٌ </w:t>
      </w:r>
      <w:r w:rsidR="006C577F" w:rsidRPr="006C577F">
        <w:rPr>
          <w:rStyle w:val="libFootnotenumChar"/>
          <w:rtl/>
        </w:rPr>
        <w:t>(2)</w:t>
      </w:r>
      <w:r w:rsidRPr="00C9040A">
        <w:rPr>
          <w:rtl/>
          <w:lang w:bidi="fa-IR"/>
        </w:rPr>
        <w:t xml:space="preserve"> ، وَلَا بَيْنَنَا وَبَيْنَ اللهِ قَرَابَةٌ ، وَلَا لَنَا عَلَى اللهِ حُجَّةٌ ، وَلَا نَتَقَرَّبُ </w:t>
      </w:r>
      <w:r w:rsidR="006C577F" w:rsidRPr="006C577F">
        <w:rPr>
          <w:rStyle w:val="libFootnotenumChar"/>
          <w:rtl/>
        </w:rPr>
        <w:t>(3)</w:t>
      </w:r>
      <w:r w:rsidR="00E057DB">
        <w:rPr>
          <w:rtl/>
          <w:lang w:bidi="fa-IR"/>
        </w:rPr>
        <w:t xml:space="preserve"> إِلَى اللهِ إِل</w:t>
      </w:r>
      <w:r w:rsidR="00E057DB">
        <w:rPr>
          <w:rFonts w:hint="cs"/>
          <w:rtl/>
          <w:lang w:bidi="fa-IR"/>
        </w:rPr>
        <w:t>َّ</w:t>
      </w:r>
      <w:r w:rsidR="00E057DB">
        <w:rPr>
          <w:rtl/>
          <w:lang w:bidi="fa-IR"/>
        </w:rPr>
        <w:t>ا</w:t>
      </w:r>
      <w:r w:rsidRPr="00C9040A">
        <w:rPr>
          <w:rtl/>
          <w:lang w:bidi="fa-IR"/>
        </w:rPr>
        <w:t xml:space="preserve"> بِالطَّاعَةِ ، فَمَنْ كَانَ مِنْكُمْ مُطِيعاً لِلّهِ ، تَنْفَعُهُ </w:t>
      </w:r>
      <w:r w:rsidR="006C577F" w:rsidRPr="006C577F">
        <w:rPr>
          <w:rStyle w:val="libFootnotenumChar"/>
          <w:rtl/>
        </w:rPr>
        <w:t>(4)</w:t>
      </w:r>
      <w:r w:rsidRPr="00C9040A">
        <w:rPr>
          <w:rtl/>
          <w:lang w:bidi="fa-IR"/>
        </w:rPr>
        <w:t xml:space="preserve"> وَلَايَتُنَا ؛ وَمَنْ كَانَ مِنْكُمْ عَاصِياً لِلّهِ ، لَمْ تَنْفَعْهُ </w:t>
      </w:r>
      <w:r w:rsidR="006C577F" w:rsidRPr="006C577F">
        <w:rPr>
          <w:rStyle w:val="libFootnotenumChar"/>
          <w:rtl/>
        </w:rPr>
        <w:t>(5)</w:t>
      </w:r>
      <w:r w:rsidRPr="00C9040A">
        <w:rPr>
          <w:rtl/>
          <w:lang w:bidi="fa-IR"/>
        </w:rPr>
        <w:t xml:space="preserve"> وَلَايَتُنَا ، وَيْحَكُمْ لَاتَغْتَرُّوا ، وَيْحَكُمْ لَاتَغْتَرُّوا </w:t>
      </w:r>
      <w:r w:rsidR="006C577F" w:rsidRPr="006C577F">
        <w:rPr>
          <w:rStyle w:val="libFootnotenumChar"/>
          <w:rtl/>
        </w:rPr>
        <w:t>(6)</w:t>
      </w:r>
      <w:r w:rsidRPr="005B567D">
        <w:rPr>
          <w:rStyle w:val="libFootnotenumChar"/>
          <w:rtl/>
        </w:rPr>
        <w:t xml:space="preserve"> </w:t>
      </w:r>
      <w:r w:rsidRPr="00C9040A">
        <w:rPr>
          <w:rtl/>
          <w:lang w:bidi="fa-IR"/>
        </w:rPr>
        <w:t>»</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w:t>
      </w:r>
      <w:r w:rsidR="008A74EB" w:rsidRPr="00993B55">
        <w:rPr>
          <w:rStyle w:val="libFootnoteBoldChar"/>
          <w:rtl/>
        </w:rPr>
        <w:t>شرح المازندراني</w:t>
      </w:r>
      <w:r w:rsidR="008A74EB" w:rsidRPr="00C9040A">
        <w:rPr>
          <w:rtl/>
        </w:rPr>
        <w:t xml:space="preserve"> ، ج 8 ، ص 231 : « قال : المرتاد يريد الخير ، فسّر التالي بأنّه المرتاد ، أي الطالب ؛ من ارتاد الرجل الشي‌ء : إذا طلبه ، والمطلوب أعمّ من الخير والشرّ ، فقوله : يريد الخير تخصيصٌ ، وبيانٌ للمعنى المراد هنا. يبلغه الخير يؤجر عليه ، من الإبلاغ والتبليغ ، وهو الإيصال ، وفاعله معلوم بقرينة المقام ، أي من يوصله إلى الخير المطلوب له يوجر عليه ؛ لهدايته وإرشاده »</w:t>
      </w:r>
      <w:r w:rsidR="008A74EB">
        <w:rPr>
          <w:rtl/>
        </w:rPr>
        <w:t>.</w:t>
      </w:r>
    </w:p>
    <w:p w:rsidR="008A74EB" w:rsidRPr="00C9040A" w:rsidRDefault="008A74EB" w:rsidP="004A4E41">
      <w:pPr>
        <w:pStyle w:val="libFootnote0"/>
        <w:rPr>
          <w:rtl/>
          <w:lang w:bidi="fa-IR"/>
        </w:rPr>
      </w:pPr>
      <w:r w:rsidRPr="00323A39">
        <w:rPr>
          <w:rtl/>
        </w:rPr>
        <w:t xml:space="preserve">وقال في </w:t>
      </w:r>
      <w:r w:rsidRPr="00993B55">
        <w:rPr>
          <w:rStyle w:val="libFootnoteBoldChar"/>
          <w:rtl/>
        </w:rPr>
        <w:t>مرآة العقول</w:t>
      </w:r>
      <w:r w:rsidRPr="00323A39">
        <w:rPr>
          <w:rtl/>
        </w:rPr>
        <w:t xml:space="preserve"> ، ج 8 ، ص 55 : « المرتاد يريد الخير يبلّغه الخير ، كأنّه من قبيل وضع الظاهر موضع المضمر ، أي يريد الأعمال الصالحة التي تبلغه أن يعملها ، ولكن لايعمل بها ، ويؤجر عليه بمحض هذه النيّة ؛ أو المعنى أنّه المرتاد الطالب لدين الحقّ وكماله. وقوله : يبلغه الخير ، جملة ا</w:t>
      </w:r>
      <w:r w:rsidR="00FB0912">
        <w:rPr>
          <w:rFonts w:hint="cs"/>
          <w:rtl/>
        </w:rPr>
        <w:t>ُ</w:t>
      </w:r>
      <w:r w:rsidRPr="00323A39">
        <w:rPr>
          <w:rtl/>
        </w:rPr>
        <w:t xml:space="preserve">خرى لبيان أنّ طالب الخير سيجده ويوفّقه الله لذلك ، كما قال تعالى : </w:t>
      </w:r>
      <w:r w:rsidRPr="00AC2E2F">
        <w:rPr>
          <w:rStyle w:val="libFootnoteAlaemChar"/>
          <w:rtl/>
        </w:rPr>
        <w:t>(</w:t>
      </w:r>
      <w:r w:rsidRPr="00883DD5">
        <w:rPr>
          <w:rStyle w:val="libFootnoteAieChar"/>
          <w:rFonts w:hint="cs"/>
          <w:rtl/>
        </w:rPr>
        <w:t xml:space="preserve"> </w:t>
      </w:r>
      <w:r w:rsidRPr="00883DD5">
        <w:rPr>
          <w:rStyle w:val="libFootnoteAieChar"/>
          <w:rtl/>
        </w:rPr>
        <w:t>وَالَّذِينَ ج</w:t>
      </w:r>
      <w:r w:rsidR="00FB0912">
        <w:rPr>
          <w:rStyle w:val="libFootnoteAieChar"/>
          <w:rFonts w:hint="cs"/>
          <w:rtl/>
        </w:rPr>
        <w:t>َ</w:t>
      </w:r>
      <w:r w:rsidRPr="00883DD5">
        <w:rPr>
          <w:rStyle w:val="libFootnoteAieChar"/>
          <w:rtl/>
        </w:rPr>
        <w:t>اهَدُوا فِين</w:t>
      </w:r>
      <w:r w:rsidR="00FB0912">
        <w:rPr>
          <w:rStyle w:val="libFootnoteAieChar"/>
          <w:rFonts w:hint="cs"/>
          <w:rtl/>
        </w:rPr>
        <w:t>َ</w:t>
      </w:r>
      <w:r w:rsidRPr="00883DD5">
        <w:rPr>
          <w:rStyle w:val="libFootnoteAieChar"/>
          <w:rtl/>
        </w:rPr>
        <w:t>ا لَنَهْدِيَنَّهُمْ سُبُلَن</w:t>
      </w:r>
      <w:r w:rsidR="00804F51">
        <w:rPr>
          <w:rStyle w:val="libFootnoteAieChar"/>
          <w:rFonts w:hint="cs"/>
          <w:rtl/>
        </w:rPr>
        <w:t>َ</w:t>
      </w:r>
      <w:r w:rsidRPr="00883DD5">
        <w:rPr>
          <w:rStyle w:val="libFootnoteAieChar"/>
          <w:rtl/>
        </w:rPr>
        <w:t>ا</w:t>
      </w:r>
      <w:r w:rsidRPr="00883DD5">
        <w:rPr>
          <w:rStyle w:val="libFootnoteAieChar"/>
          <w:rFonts w:hint="cs"/>
          <w:rtl/>
        </w:rPr>
        <w:t xml:space="preserve"> </w:t>
      </w:r>
      <w:r w:rsidRPr="00AC2E2F">
        <w:rPr>
          <w:rStyle w:val="libFootnoteAlaemChar"/>
          <w:rtl/>
        </w:rPr>
        <w:t>)</w:t>
      </w:r>
      <w:r w:rsidRPr="00323A39">
        <w:rPr>
          <w:rtl/>
        </w:rPr>
        <w:t xml:space="preserve"> [ العنكبوت (29) : 69 ] ، وقوله : يؤجر عليه : لبيان أنّه بمحض الطلب مأجور. وقيل : المرتاد : الطالب للاهتداء الذي لايعرف الإمام ومراسم الدين ، بعد يريد التعلّم ونيل الحقّ ، يبلغه الخير ، بدل من الخير ؛ يعني يريد أن يبلّغه الخير ليوجر عليه</w:t>
      </w:r>
      <w:r w:rsidR="00804F51">
        <w:rPr>
          <w:rtl/>
        </w:rPr>
        <w:t xml:space="preserve"> » ، ثمّ نقل ما نقلناه عن العل</w:t>
      </w:r>
      <w:r w:rsidR="00804F51">
        <w:rPr>
          <w:rFonts w:hint="cs"/>
          <w:rtl/>
        </w:rPr>
        <w:t>ّ</w:t>
      </w:r>
      <w:r w:rsidR="00804F51">
        <w:rPr>
          <w:rtl/>
        </w:rPr>
        <w:t>ا</w:t>
      </w:r>
      <w:r w:rsidRPr="00323A39">
        <w:rPr>
          <w:rtl/>
        </w:rPr>
        <w:t xml:space="preserve">مة المازندراني وقال : « وأقول : على هذا يمكن أن يكون فاعله </w:t>
      </w:r>
      <w:r w:rsidR="0084262C" w:rsidRPr="00323A39">
        <w:rPr>
          <w:rtl/>
        </w:rPr>
        <w:t>-</w:t>
      </w:r>
      <w:r w:rsidRPr="00323A39">
        <w:rPr>
          <w:rtl/>
        </w:rPr>
        <w:t xml:space="preserve"> أي فاعل يبلغه </w:t>
      </w:r>
      <w:r w:rsidR="0084262C" w:rsidRPr="00323A39">
        <w:rPr>
          <w:rtl/>
        </w:rPr>
        <w:t>-</w:t>
      </w:r>
      <w:r w:rsidRPr="00323A39">
        <w:rPr>
          <w:rtl/>
        </w:rPr>
        <w:t xml:space="preserve"> الضمير الراجع إلى النمرقة ؛ لما فهم سابقاً أنّه يلحق التالي بنفسه. وقيل : جملة « يريد الخير » صفة المرتاد ؛ إذ اللام للعهد الذهني ، وهوفي حكم النكرة ، وجملة « يبلغه » إمّا على المجرّد من باب نصر ، أو على بناء الإفعال أو التفعيل استيناف بيانيّ ، وعلى الأوّل الخير مرفوع بالفاعليّة إشارة إلى أنّ الدين الحقّ لوضوح براهينه كأنّه يطلبه ويصل إليه ، وعلى الثاني والثالث الضمير راجع إلى مصدر يريد ، والخير منصوب ، ويؤجر عليه ، استيناف للاستيناف الأوّل ؛ لدفع توهّم أن لايؤجر ؛ لشدّة وضوح الأمر ، فكأنّه اضطرّ إليه. وأكثر الوجوه لاتخلو من تكلّف ، وكأنّ فيه تصحيفاً وتحريفاً ».</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ص ، ض ، ف » : + « من النار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ب ، ج ، ز ، ص ، ض ، </w:t>
      </w:r>
      <w:r w:rsidR="006D3162">
        <w:rPr>
          <w:rtl/>
        </w:rPr>
        <w:t xml:space="preserve">ه </w:t>
      </w:r>
      <w:r w:rsidR="008A74EB" w:rsidRPr="00C9040A">
        <w:rPr>
          <w:rtl/>
        </w:rPr>
        <w:t>، ف ، بر » والبحار : « ولايتقرّب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 ولا نتقرّب ، بصيغة المتكلّم‌</w:t>
      </w:r>
      <w:r w:rsidR="00F8708E">
        <w:rPr>
          <w:rFonts w:hint="cs"/>
          <w:rtl/>
        </w:rPr>
        <w:t xml:space="preserve"> </w:t>
      </w:r>
      <w:r w:rsidR="008A74EB" w:rsidRPr="00C9040A">
        <w:rPr>
          <w:rtl/>
        </w:rPr>
        <w:t>أو الغائب المجهول »</w:t>
      </w:r>
      <w:r w:rsidR="008A74EB">
        <w:rPr>
          <w:rtl/>
        </w:rPr>
        <w:t>.</w:t>
      </w:r>
      <w:r w:rsidR="00F8708E">
        <w:rPr>
          <w:rFonts w:hint="cs"/>
          <w:rtl/>
        </w:rPr>
        <w:t xml:space="preserve">     </w:t>
      </w:r>
      <w:r w:rsidR="00BA2AB1">
        <w:rPr>
          <w:rFonts w:hint="cs"/>
          <w:rtl/>
        </w:rPr>
        <w:t xml:space="preserve">            </w:t>
      </w:r>
      <w:r w:rsidR="00F8708E">
        <w:rPr>
          <w:rFonts w:hint="cs"/>
          <w:rtl/>
        </w:rPr>
        <w:t xml:space="preserve">           </w:t>
      </w:r>
      <w:r>
        <w:rPr>
          <w:rtl/>
        </w:rPr>
        <w:t>(4).</w:t>
      </w:r>
      <w:r w:rsidR="008A74EB" w:rsidRPr="00C9040A">
        <w:rPr>
          <w:rtl/>
        </w:rPr>
        <w:t xml:space="preserve"> في«ج،</w:t>
      </w:r>
      <w:r w:rsidR="006D3162">
        <w:rPr>
          <w:rtl/>
        </w:rPr>
        <w:t>ه</w:t>
      </w:r>
      <w:r w:rsidR="008A74EB" w:rsidRPr="00C9040A">
        <w:rPr>
          <w:rtl/>
        </w:rPr>
        <w:t>»:«ينفعه»</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w:t>
      </w:r>
      <w:r w:rsidR="006D3162">
        <w:rPr>
          <w:rtl/>
        </w:rPr>
        <w:t xml:space="preserve">ه </w:t>
      </w:r>
      <w:r w:rsidR="008A74EB" w:rsidRPr="00C9040A">
        <w:rPr>
          <w:rtl/>
        </w:rPr>
        <w:t>» : « لم ينفعه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ف » : « لا تفتروا »</w:t>
      </w:r>
      <w:r w:rsidR="008A74EB">
        <w:rPr>
          <w:rtl/>
        </w:rPr>
        <w:t>.</w:t>
      </w:r>
      <w:r w:rsidR="008A74EB" w:rsidRPr="00C9040A">
        <w:rPr>
          <w:rtl/>
        </w:rPr>
        <w:t xml:space="preserve"> واحتمل المازندراني في شرحه كون الفعلين بالفاء ، من الفتور في العمل.</w:t>
      </w:r>
    </w:p>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الوافي</w:t>
      </w:r>
      <w:r w:rsidR="008A74EB" w:rsidRPr="00C9040A">
        <w:rPr>
          <w:rtl/>
        </w:rPr>
        <w:t xml:space="preserve"> ، ج 4 ، ص 302 ، ح 1978 ؛ </w:t>
      </w:r>
      <w:r w:rsidR="008A74EB" w:rsidRPr="00993B55">
        <w:rPr>
          <w:rStyle w:val="libFootnoteBoldChar"/>
          <w:rtl/>
        </w:rPr>
        <w:t>البحار</w:t>
      </w:r>
      <w:r w:rsidR="008A74EB" w:rsidRPr="00C9040A">
        <w:rPr>
          <w:rtl/>
        </w:rPr>
        <w:t xml:space="preserve"> ، ج 70 ، ص 101 ، ح 6.</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033260">
        <w:rPr>
          <w:rtl/>
        </w:rPr>
        <w:t>1626</w:t>
      </w:r>
      <w:r w:rsidRPr="00261CB0">
        <w:rPr>
          <w:rStyle w:val="libBold2Char"/>
          <w:rtl/>
        </w:rPr>
        <w:t xml:space="preserve"> / 7.</w:t>
      </w:r>
      <w:r w:rsidRPr="00C9040A">
        <w:rPr>
          <w:rtl/>
          <w:lang w:bidi="fa-IR"/>
        </w:rPr>
        <w:t xml:space="preserve"> عِدَّةٌ مِنْ أَصْحَابِنَا ، عَنْ أَحْمَدَ بْنِ مُحَمَّدِ بْنِ خَالِدٍ ، عَنْ عُثْمَانَ بْنِ عِيسى ، عَنْ مُفَضَّلِ بْنِ عُمَرَ ، قَالَ :</w:t>
      </w:r>
    </w:p>
    <w:p w:rsidR="008A74EB" w:rsidRPr="00C9040A" w:rsidRDefault="008A74EB" w:rsidP="008A74EB">
      <w:pPr>
        <w:pStyle w:val="libNormal"/>
        <w:rPr>
          <w:rtl/>
          <w:lang w:bidi="fa-IR"/>
        </w:rPr>
      </w:pPr>
      <w:r w:rsidRPr="00C9040A">
        <w:rPr>
          <w:rtl/>
          <w:lang w:bidi="fa-IR"/>
        </w:rPr>
        <w:t xml:space="preserve">كُنْتُ عِنْدَ أَبِي عَبْدِ اللهِ </w:t>
      </w:r>
      <w:r w:rsidRPr="0003660B">
        <w:rPr>
          <w:rStyle w:val="libAlaemChar"/>
          <w:rtl/>
        </w:rPr>
        <w:t>عليه‌السلام</w:t>
      </w:r>
      <w:r w:rsidRPr="00C9040A">
        <w:rPr>
          <w:rtl/>
          <w:lang w:bidi="fa-IR"/>
        </w:rPr>
        <w:t xml:space="preserve"> ، فَذَكَرْنَا الْأَعْمَالَ ، فَقُلْتُ أَنَا : مَا أَضْعَفَ </w:t>
      </w:r>
      <w:r w:rsidR="006C577F" w:rsidRPr="006C577F">
        <w:rPr>
          <w:rStyle w:val="libFootnotenumChar"/>
          <w:rtl/>
        </w:rPr>
        <w:t>(1)</w:t>
      </w:r>
      <w:r w:rsidRPr="002712F0">
        <w:rPr>
          <w:rFonts w:hint="cs"/>
          <w:rtl/>
        </w:rPr>
        <w:t xml:space="preserve"> </w:t>
      </w:r>
      <w:r w:rsidRPr="00C9040A">
        <w:rPr>
          <w:rtl/>
          <w:lang w:bidi="fa-IR"/>
        </w:rPr>
        <w:t>عَمَلِي</w:t>
      </w:r>
      <w:r>
        <w:rPr>
          <w:rtl/>
          <w:lang w:bidi="fa-IR"/>
        </w:rPr>
        <w:t>!</w:t>
      </w:r>
    </w:p>
    <w:p w:rsidR="008A74EB" w:rsidRPr="00C9040A" w:rsidRDefault="008A74EB" w:rsidP="008A74EB">
      <w:pPr>
        <w:pStyle w:val="libNormal"/>
        <w:rPr>
          <w:rtl/>
          <w:lang w:bidi="fa-IR"/>
        </w:rPr>
      </w:pPr>
      <w:r w:rsidRPr="00C9040A">
        <w:rPr>
          <w:rtl/>
          <w:lang w:bidi="fa-IR"/>
        </w:rPr>
        <w:t xml:space="preserve">فَقَالَ : « مَهْ ، اسْتَغْفِرِ اللهَ » ثُمَّ قَالَ لِي : « إِنَّ قَلِيلَ الْعَمَلِ مَعَ التَّقْوى خَيْرٌ مِنْ كَثِيرِ الْعَمَلِ </w:t>
      </w:r>
      <w:r w:rsidR="006C577F" w:rsidRPr="006C577F">
        <w:rPr>
          <w:rStyle w:val="libFootnotenumChar"/>
          <w:rtl/>
        </w:rPr>
        <w:t>(2)</w:t>
      </w:r>
      <w:r w:rsidRPr="00C9040A">
        <w:rPr>
          <w:rtl/>
          <w:lang w:bidi="fa-IR"/>
        </w:rPr>
        <w:t xml:space="preserve"> بِلَا تَقْوى »</w:t>
      </w:r>
      <w:r>
        <w:rPr>
          <w:rtl/>
          <w:lang w:bidi="fa-IR"/>
        </w:rPr>
        <w:t>.</w:t>
      </w:r>
    </w:p>
    <w:p w:rsidR="008A74EB" w:rsidRPr="00C9040A" w:rsidRDefault="008A74EB" w:rsidP="008A74EB">
      <w:pPr>
        <w:pStyle w:val="libNormal"/>
        <w:rPr>
          <w:rtl/>
          <w:lang w:bidi="fa-IR"/>
        </w:rPr>
      </w:pPr>
      <w:r w:rsidRPr="00C9040A">
        <w:rPr>
          <w:rtl/>
          <w:lang w:bidi="fa-IR"/>
        </w:rPr>
        <w:t xml:space="preserve">قُلْتُ </w:t>
      </w:r>
      <w:r w:rsidR="006C577F" w:rsidRPr="006C577F">
        <w:rPr>
          <w:rStyle w:val="libFootnotenumChar"/>
          <w:rtl/>
        </w:rPr>
        <w:t>(3)</w:t>
      </w:r>
      <w:r w:rsidRPr="00C9040A">
        <w:rPr>
          <w:rtl/>
          <w:lang w:bidi="fa-IR"/>
        </w:rPr>
        <w:t xml:space="preserve"> : كَيْفَ يَكُونُ كَثِيرٌ </w:t>
      </w:r>
      <w:r w:rsidR="006C577F" w:rsidRPr="006C577F">
        <w:rPr>
          <w:rStyle w:val="libFootnotenumChar"/>
          <w:rtl/>
        </w:rPr>
        <w:t>(4)</w:t>
      </w:r>
      <w:r w:rsidRPr="00C9040A">
        <w:rPr>
          <w:rtl/>
          <w:lang w:bidi="fa-IR"/>
        </w:rPr>
        <w:t xml:space="preserve"> بِلَا تَقْوى</w:t>
      </w:r>
      <w:r>
        <w:rPr>
          <w:rtl/>
          <w:lang w:bidi="fa-IR"/>
        </w:rPr>
        <w:t>؟!</w:t>
      </w:r>
    </w:p>
    <w:p w:rsidR="008A74EB" w:rsidRPr="00C9040A" w:rsidRDefault="008A74EB" w:rsidP="008A74EB">
      <w:pPr>
        <w:pStyle w:val="libNormal"/>
        <w:rPr>
          <w:rtl/>
          <w:lang w:bidi="fa-IR"/>
        </w:rPr>
      </w:pPr>
      <w:r w:rsidRPr="00C9040A">
        <w:rPr>
          <w:rtl/>
          <w:lang w:bidi="fa-IR"/>
        </w:rPr>
        <w:t xml:space="preserve">قَالَ : « نَعَمْ ، مِثْلُ الرَّجُلِ يُطْعِمُ طَعَامَهُ ، وَيَرْفُقُ جِيرَانَهُ ، وَيُوَطِّئُ </w:t>
      </w:r>
      <w:r w:rsidR="006C577F" w:rsidRPr="006C577F">
        <w:rPr>
          <w:rStyle w:val="libFootnotenumChar"/>
          <w:rtl/>
        </w:rPr>
        <w:t>(5)</w:t>
      </w:r>
      <w:r w:rsidRPr="00C9040A">
        <w:rPr>
          <w:rtl/>
          <w:lang w:bidi="fa-IR"/>
        </w:rPr>
        <w:t xml:space="preserve"> رَحْلَهُ ، فَإِذَا ارْتَفَعَ لَهُ الْبَابُ مِنَ الْحَرَامِ دَخَلَ فِيهِ ، فَهذَا الْعَمَلُ بِلَا تَقْوى ، وَيَكُونُ الْآخَرُ لَيْسَ عِنْدَهُ ، فَإِذَا ارْتَفَعَ لَهُ الْبَابُ مِنَ الْحَرَامِ لَمْ يَدْخُلْ فِيهِ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Normal"/>
        <w:rPr>
          <w:rtl/>
          <w:lang w:bidi="fa-IR"/>
        </w:rPr>
      </w:pPr>
      <w:r w:rsidRPr="00033260">
        <w:rPr>
          <w:rtl/>
        </w:rPr>
        <w:t>1627</w:t>
      </w:r>
      <w:r w:rsidRPr="00261CB0">
        <w:rPr>
          <w:rStyle w:val="libBold2Char"/>
          <w:rtl/>
        </w:rPr>
        <w:t xml:space="preserve"> / 8.</w:t>
      </w:r>
      <w:r w:rsidRPr="00C9040A">
        <w:rPr>
          <w:rtl/>
          <w:lang w:bidi="fa-IR"/>
        </w:rPr>
        <w:t xml:space="preserve"> الْحُسَيْنُ بْنُ مُحَمَّدٍ ، عَنْ مُعَلَّى بْنِ مُحَمَّدٍ ، عَنْ أَبِي دَاوُدَ الْمُسْتَرِقِّ ، عَنْ مُحَسِّنٍ الْمِيثَمِيِّ ، عَنْ يَعْقُوبَ بْنِ شُعَيْبٍ ، قَالَ :</w:t>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 « مَا نَقَلَ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عَبْداً مِنْ ذُلِّ الْمَعَ</w:t>
      </w:r>
      <w:r w:rsidR="004E759F">
        <w:rPr>
          <w:rtl/>
          <w:lang w:bidi="fa-IR"/>
        </w:rPr>
        <w:t>اصِي إِلى عِزِّ التَّقْوى إِل</w:t>
      </w:r>
      <w:r w:rsidR="004E759F">
        <w:rPr>
          <w:rFonts w:hint="cs"/>
          <w:rtl/>
          <w:lang w:bidi="fa-IR"/>
        </w:rPr>
        <w:t>َّ</w:t>
      </w:r>
      <w:r w:rsidR="004E759F">
        <w:rPr>
          <w:rtl/>
          <w:lang w:bidi="fa-IR"/>
        </w:rPr>
        <w:t>ا</w:t>
      </w:r>
      <w:r w:rsidRPr="00C9040A">
        <w:rPr>
          <w:rtl/>
          <w:lang w:bidi="fa-IR"/>
        </w:rPr>
        <w:t xml:space="preserve"> أَغْنَاهُ </w:t>
      </w:r>
      <w:r w:rsidR="006C577F" w:rsidRPr="006C577F">
        <w:rPr>
          <w:rStyle w:val="libFootnotenumChar"/>
          <w:rtl/>
        </w:rPr>
        <w:t>(7)</w:t>
      </w:r>
      <w:r w:rsidRPr="00C9040A">
        <w:rPr>
          <w:rtl/>
          <w:lang w:bidi="fa-IR"/>
        </w:rPr>
        <w:t xml:space="preserve"> مِنْ غَيْرِ مَالٍ ، وَأَعَزَّهُ مِنْ غَيْرِ عَشِيرَةٍ ، وَآنَسَهُ مِنْ غَيْرِ بَشَرٍ </w:t>
      </w:r>
      <w:r w:rsidR="006C577F" w:rsidRPr="006C577F">
        <w:rPr>
          <w:rStyle w:val="libFootnotenumChar"/>
          <w:rtl/>
        </w:rPr>
        <w:t>(8)</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(9)</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4A4E41" w:rsidRDefault="006C577F" w:rsidP="004A4E41">
      <w:pPr>
        <w:pStyle w:val="libFootnote0"/>
        <w:rPr>
          <w:rStyle w:val="libFootnote0Char"/>
          <w:rtl/>
        </w:rPr>
      </w:pPr>
      <w:r>
        <w:rPr>
          <w:rtl/>
        </w:rPr>
        <w:t>(1).</w:t>
      </w:r>
      <w:r w:rsidR="008A74EB" w:rsidRPr="00C9040A">
        <w:rPr>
          <w:rtl/>
        </w:rPr>
        <w:t xml:space="preserve"> في </w:t>
      </w:r>
      <w:r w:rsidR="008A74EB" w:rsidRPr="00993B55">
        <w:rPr>
          <w:rStyle w:val="libFootnoteBoldChar"/>
          <w:rtl/>
        </w:rPr>
        <w:t>مرآة العقول</w:t>
      </w:r>
      <w:r w:rsidR="008A74EB" w:rsidRPr="00C9040A">
        <w:rPr>
          <w:rtl/>
        </w:rPr>
        <w:t xml:space="preserve"> : « ما أضعف ، على صيغة تعجّب كما هو الظاهر. أو « ما » نافية ، </w:t>
      </w:r>
      <w:r w:rsidR="008A74EB">
        <w:rPr>
          <w:rtl/>
        </w:rPr>
        <w:t>و «</w:t>
      </w:r>
      <w:r w:rsidR="008A74EB" w:rsidRPr="00C9040A">
        <w:rPr>
          <w:rtl/>
        </w:rPr>
        <w:t xml:space="preserve"> أضعف » بصيغة المتكلّم ، أي ما أعدّ عملي ضعيفاً »</w:t>
      </w:r>
      <w:r w:rsidR="008A74EB">
        <w:rPr>
          <w:rtl/>
        </w:rPr>
        <w:t>.</w:t>
      </w:r>
      <w:r w:rsidR="004E759F">
        <w:rPr>
          <w:rFonts w:hint="cs"/>
          <w:rtl/>
        </w:rPr>
        <w:t xml:space="preserve">     </w:t>
      </w:r>
      <w:r w:rsidR="00AC2E2F">
        <w:rPr>
          <w:rFonts w:hint="cs"/>
          <w:rtl/>
        </w:rPr>
        <w:t xml:space="preserve">              </w:t>
      </w:r>
      <w:r w:rsidR="004E759F">
        <w:rPr>
          <w:rFonts w:hint="cs"/>
          <w:rtl/>
        </w:rPr>
        <w:t xml:space="preserve">     </w:t>
      </w:r>
      <w:r>
        <w:rPr>
          <w:rtl/>
        </w:rPr>
        <w:t>(2).</w:t>
      </w:r>
      <w:r w:rsidR="008A74EB">
        <w:rPr>
          <w:rtl/>
        </w:rPr>
        <w:t xml:space="preserve"> </w:t>
      </w:r>
      <w:r w:rsidR="008A74EB" w:rsidRPr="00C9040A">
        <w:rPr>
          <w:rtl/>
        </w:rPr>
        <w:t>في«ج،ض،</w:t>
      </w:r>
      <w:r w:rsidR="006D3162">
        <w:rPr>
          <w:rtl/>
        </w:rPr>
        <w:t>ه</w:t>
      </w:r>
      <w:r w:rsidR="008A74EB" w:rsidRPr="00C9040A">
        <w:rPr>
          <w:rtl/>
        </w:rPr>
        <w:t>،بر»والوسائل والبحار</w:t>
      </w:r>
      <w:r w:rsidR="008A74EB">
        <w:rPr>
          <w:rtl/>
        </w:rPr>
        <w:t>:</w:t>
      </w:r>
      <w:r w:rsidR="0084262C">
        <w:rPr>
          <w:rtl/>
        </w:rPr>
        <w:t>-</w:t>
      </w:r>
      <w:r w:rsidR="008A74EB" w:rsidRPr="00C9040A">
        <w:rPr>
          <w:rtl/>
        </w:rPr>
        <w:t>«العمل»</w:t>
      </w:r>
      <w:r w:rsidR="008A74EB">
        <w:rPr>
          <w:rtl/>
        </w:rPr>
        <w:t>.</w:t>
      </w:r>
    </w:p>
    <w:tbl>
      <w:tblPr>
        <w:tblStyle w:val="TableGrid"/>
        <w:bidiVisual/>
        <w:tblW w:w="0" w:type="auto"/>
        <w:tblLook w:val="04A0" w:firstRow="1" w:lastRow="0" w:firstColumn="1" w:lastColumn="0" w:noHBand="0" w:noVBand="1"/>
      </w:tblPr>
      <w:tblGrid>
        <w:gridCol w:w="4006"/>
        <w:gridCol w:w="4006"/>
      </w:tblGrid>
      <w:tr w:rsidR="0059466C" w:rsidTr="0059466C">
        <w:tc>
          <w:tcPr>
            <w:tcW w:w="4006" w:type="dxa"/>
          </w:tcPr>
          <w:p w:rsidR="0059466C" w:rsidRDefault="0059466C" w:rsidP="004A4E41">
            <w:pPr>
              <w:pStyle w:val="libFootnote0"/>
              <w:rPr>
                <w:rtl/>
              </w:rPr>
            </w:pPr>
            <w:r>
              <w:rPr>
                <w:rtl/>
              </w:rPr>
              <w:t>(3).</w:t>
            </w:r>
            <w:r w:rsidRPr="00C9040A">
              <w:rPr>
                <w:rtl/>
              </w:rPr>
              <w:t xml:space="preserve"> في « </w:t>
            </w:r>
            <w:r>
              <w:rPr>
                <w:rtl/>
              </w:rPr>
              <w:t xml:space="preserve">ه </w:t>
            </w:r>
            <w:r w:rsidRPr="00C9040A">
              <w:rPr>
                <w:rtl/>
              </w:rPr>
              <w:t>» : « وقلت »</w:t>
            </w:r>
            <w:r>
              <w:rPr>
                <w:rtl/>
              </w:rPr>
              <w:t>.</w:t>
            </w:r>
          </w:p>
        </w:tc>
        <w:tc>
          <w:tcPr>
            <w:tcW w:w="4006" w:type="dxa"/>
          </w:tcPr>
          <w:p w:rsidR="0059466C" w:rsidRDefault="0059466C" w:rsidP="004A4E41">
            <w:pPr>
              <w:pStyle w:val="libFootnote0"/>
              <w:rPr>
                <w:rtl/>
              </w:rPr>
            </w:pPr>
            <w:r>
              <w:rPr>
                <w:rtl/>
              </w:rPr>
              <w:t>(4).</w:t>
            </w:r>
            <w:r w:rsidRPr="00C9040A">
              <w:rPr>
                <w:rtl/>
              </w:rPr>
              <w:t xml:space="preserve"> في«بر»:«كثيراً»، أي كيف يكون العمل كثيراً.</w:t>
            </w:r>
          </w:p>
        </w:tc>
      </w:tr>
    </w:tbl>
    <w:p w:rsidR="008A74EB" w:rsidRPr="00C9040A" w:rsidRDefault="006C577F" w:rsidP="004A4E41">
      <w:pPr>
        <w:pStyle w:val="libFootnote0"/>
        <w:rPr>
          <w:rtl/>
          <w:lang w:bidi="fa-IR"/>
        </w:rPr>
      </w:pPr>
      <w:r>
        <w:rPr>
          <w:rtl/>
        </w:rPr>
        <w:t>(5).</w:t>
      </w:r>
      <w:r w:rsidR="008A74EB" w:rsidRPr="00C9040A">
        <w:rPr>
          <w:rtl/>
        </w:rPr>
        <w:t xml:space="preserve"> يجوز فيه الإفعال والتفعيل ، والنسخ أيضاً مختلفة. </w:t>
      </w:r>
      <w:r w:rsidR="008A74EB">
        <w:rPr>
          <w:rtl/>
        </w:rPr>
        <w:t>و «</w:t>
      </w:r>
      <w:r w:rsidR="008A74EB" w:rsidRPr="00C9040A">
        <w:rPr>
          <w:rtl/>
        </w:rPr>
        <w:t xml:space="preserve"> التوطئة » : التمهيد والتذليل. ورجل مُوطّأ الأكناف : سهل دَمِث كريم مضياف ، أو يتمكّن في ناحيته صاحبُه. </w:t>
      </w:r>
      <w:r w:rsidR="008A74EB">
        <w:rPr>
          <w:rtl/>
        </w:rPr>
        <w:t>و «</w:t>
      </w:r>
      <w:r w:rsidR="008A74EB" w:rsidRPr="00C9040A">
        <w:rPr>
          <w:rtl/>
        </w:rPr>
        <w:t xml:space="preserve"> الرحل » : مسكنك وما تستصحبه من الأساس. وهو هنا كناية عن كثرة الضيافة وقضاء حوائج المؤمنين بكثرة الواردين على منزله ، أو كناية عن التواضع والتذلّل ، يقال : فرش وطئ لا يؤذي جنب النائم ؛ يعني رحله ممهّد يتمكّن منه من يصاحبه ولا يتأذّى. راجع : </w:t>
      </w:r>
      <w:r w:rsidR="008A74EB" w:rsidRPr="00993B55">
        <w:rPr>
          <w:rStyle w:val="libFootnoteBoldChar"/>
          <w:rtl/>
        </w:rPr>
        <w:t>النهاية</w:t>
      </w:r>
      <w:r w:rsidR="008A74EB" w:rsidRPr="00C9040A">
        <w:rPr>
          <w:rtl/>
        </w:rPr>
        <w:t xml:space="preserve"> ، ج 5 ، ص 201 ؛ </w:t>
      </w:r>
      <w:r w:rsidR="008A74EB" w:rsidRPr="00993B55">
        <w:rPr>
          <w:rStyle w:val="libFootnoteBoldChar"/>
          <w:rtl/>
        </w:rPr>
        <w:t>القاموس المحيط</w:t>
      </w:r>
      <w:r w:rsidR="008A74EB" w:rsidRPr="00C9040A">
        <w:rPr>
          <w:rtl/>
        </w:rPr>
        <w:t xml:space="preserve"> ، ج 1 ، ص 124 ( وطأ ) ؛ وج 3 ، ص 383 ( رحل )</w:t>
      </w:r>
      <w:r w:rsidR="008A74EB">
        <w:rPr>
          <w:rtl/>
        </w:rPr>
        <w:t>.</w:t>
      </w:r>
    </w:p>
    <w:p w:rsidR="008A74EB" w:rsidRPr="004A4E41" w:rsidRDefault="006C577F" w:rsidP="004A4E41">
      <w:pPr>
        <w:pStyle w:val="libFootnote0"/>
        <w:rPr>
          <w:rStyle w:val="libFootnote0Char"/>
          <w:rtl/>
        </w:rPr>
      </w:pPr>
      <w:r>
        <w:rPr>
          <w:rtl/>
        </w:rPr>
        <w:t>(6).</w:t>
      </w:r>
      <w:r w:rsidR="008A74EB">
        <w:rPr>
          <w:rtl/>
        </w:rPr>
        <w:t xml:space="preserve"> </w:t>
      </w:r>
      <w:r w:rsidR="008A74EB" w:rsidRPr="00993B55">
        <w:rPr>
          <w:rStyle w:val="libFootnoteBoldChar"/>
          <w:rtl/>
        </w:rPr>
        <w:t>الوافي</w:t>
      </w:r>
      <w:r w:rsidR="008A74EB" w:rsidRPr="00C9040A">
        <w:rPr>
          <w:rtl/>
        </w:rPr>
        <w:t xml:space="preserve"> ، ج 4 ، ص 307 ، ح 1988 ؛ </w:t>
      </w:r>
      <w:r w:rsidR="008A74EB" w:rsidRPr="00993B55">
        <w:rPr>
          <w:rStyle w:val="libFootnoteBoldChar"/>
          <w:rtl/>
        </w:rPr>
        <w:t>الوسائل</w:t>
      </w:r>
      <w:r w:rsidR="008A74EB" w:rsidRPr="00C9040A">
        <w:rPr>
          <w:rtl/>
        </w:rPr>
        <w:t xml:space="preserve"> ، ج 15 ، ص 241 ، ح 20384 ؛ </w:t>
      </w:r>
      <w:r w:rsidR="008A74EB" w:rsidRPr="00993B55">
        <w:rPr>
          <w:rStyle w:val="libFootnoteBoldChar"/>
          <w:rtl/>
        </w:rPr>
        <w:t>البحار</w:t>
      </w:r>
      <w:r w:rsidR="008A74EB" w:rsidRPr="00C9040A">
        <w:rPr>
          <w:rtl/>
        </w:rPr>
        <w:t xml:space="preserve"> ، ج 70 ، ص 104 ، ح 7.</w:t>
      </w:r>
    </w:p>
    <w:tbl>
      <w:tblPr>
        <w:tblStyle w:val="TableGrid"/>
        <w:bidiVisual/>
        <w:tblW w:w="0" w:type="auto"/>
        <w:tblLook w:val="04A0" w:firstRow="1" w:lastRow="0" w:firstColumn="1" w:lastColumn="0" w:noHBand="0" w:noVBand="1"/>
      </w:tblPr>
      <w:tblGrid>
        <w:gridCol w:w="4006"/>
        <w:gridCol w:w="4006"/>
      </w:tblGrid>
      <w:tr w:rsidR="00830C6F" w:rsidTr="00830C6F">
        <w:tc>
          <w:tcPr>
            <w:tcW w:w="4006" w:type="dxa"/>
          </w:tcPr>
          <w:p w:rsidR="00830C6F" w:rsidRDefault="00830C6F" w:rsidP="004A4E41">
            <w:pPr>
              <w:pStyle w:val="libFootnote0"/>
              <w:rPr>
                <w:rtl/>
              </w:rPr>
            </w:pPr>
            <w:r>
              <w:rPr>
                <w:rtl/>
              </w:rPr>
              <w:t>(7).</w:t>
            </w:r>
            <w:r w:rsidRPr="00C9040A">
              <w:rPr>
                <w:rtl/>
              </w:rPr>
              <w:t xml:space="preserve"> في « ص ، ف ، </w:t>
            </w:r>
            <w:r>
              <w:rPr>
                <w:rtl/>
              </w:rPr>
              <w:t xml:space="preserve">ه </w:t>
            </w:r>
            <w:r w:rsidRPr="00C9040A">
              <w:rPr>
                <w:rtl/>
              </w:rPr>
              <w:t>» : + « الله »</w:t>
            </w:r>
            <w:r>
              <w:rPr>
                <w:rtl/>
              </w:rPr>
              <w:t>.</w:t>
            </w:r>
          </w:p>
        </w:tc>
        <w:tc>
          <w:tcPr>
            <w:tcW w:w="4006" w:type="dxa"/>
          </w:tcPr>
          <w:p w:rsidR="00830C6F" w:rsidRDefault="00830C6F" w:rsidP="004A4E41">
            <w:pPr>
              <w:pStyle w:val="libFootnote0"/>
              <w:rPr>
                <w:rtl/>
              </w:rPr>
            </w:pPr>
            <w:r>
              <w:rPr>
                <w:rtl/>
              </w:rPr>
              <w:t>(8).</w:t>
            </w:r>
            <w:r w:rsidRPr="00C9040A">
              <w:rPr>
                <w:rtl/>
              </w:rPr>
              <w:t xml:space="preserve"> في حاشية « ف » : « إنسان »</w:t>
            </w:r>
            <w:r>
              <w:rPr>
                <w:rtl/>
              </w:rPr>
              <w:t>.</w:t>
            </w:r>
          </w:p>
        </w:tc>
      </w:tr>
    </w:tbl>
    <w:p w:rsidR="008A74EB" w:rsidRPr="00C9040A" w:rsidRDefault="006C577F" w:rsidP="004A4E41">
      <w:pPr>
        <w:pStyle w:val="libFootnote0"/>
        <w:rPr>
          <w:rtl/>
          <w:lang w:bidi="fa-IR"/>
        </w:rPr>
      </w:pPr>
      <w:r>
        <w:rPr>
          <w:rtl/>
        </w:rPr>
        <w:t>(9).</w:t>
      </w:r>
      <w:r w:rsidR="008A74EB" w:rsidRPr="00C9040A">
        <w:rPr>
          <w:rtl/>
        </w:rPr>
        <w:t xml:space="preserve"> </w:t>
      </w:r>
      <w:r w:rsidR="008A74EB" w:rsidRPr="00993B55">
        <w:rPr>
          <w:rStyle w:val="libFootnoteBoldChar"/>
          <w:rtl/>
        </w:rPr>
        <w:t>الفقيه</w:t>
      </w:r>
      <w:r w:rsidR="008A74EB" w:rsidRPr="00C9040A">
        <w:rPr>
          <w:rtl/>
        </w:rPr>
        <w:t xml:space="preserve"> ، ج 4 ، ص 410 ، ح 5890 ؛ </w:t>
      </w:r>
      <w:r w:rsidR="008A74EB" w:rsidRPr="00AC2E2F">
        <w:rPr>
          <w:rStyle w:val="libFootnoteBoldChar"/>
          <w:rtl/>
        </w:rPr>
        <w:t>والأمالي للطوسي</w:t>
      </w:r>
      <w:r w:rsidR="008A74EB" w:rsidRPr="00C9040A">
        <w:rPr>
          <w:rtl/>
        </w:rPr>
        <w:t xml:space="preserve"> ، ص 721 ، </w:t>
      </w:r>
      <w:r w:rsidR="00653720">
        <w:rPr>
          <w:rtl/>
        </w:rPr>
        <w:t>المجلس 43 ، ح 5 ، بسند آخر ، مع</w:t>
      </w:r>
      <w:r w:rsidR="00653720">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Heading2Center"/>
        <w:rPr>
          <w:rtl/>
          <w:lang w:bidi="fa-IR"/>
        </w:rPr>
      </w:pPr>
      <w:bookmarkStart w:id="121" w:name="_Toc343795628"/>
      <w:bookmarkStart w:id="122" w:name="_Toc459810752"/>
      <w:bookmarkStart w:id="123" w:name="_Toc35348658"/>
      <w:r w:rsidRPr="00C9040A">
        <w:rPr>
          <w:rtl/>
          <w:lang w:bidi="fa-IR"/>
        </w:rPr>
        <w:t>37</w:t>
      </w:r>
      <w:r>
        <w:rPr>
          <w:rtl/>
          <w:lang w:bidi="fa-IR"/>
        </w:rPr>
        <w:t xml:space="preserve"> </w:t>
      </w:r>
      <w:r w:rsidR="0084262C">
        <w:rPr>
          <w:rtl/>
          <w:lang w:bidi="fa-IR"/>
        </w:rPr>
        <w:t>-</w:t>
      </w:r>
      <w:r>
        <w:rPr>
          <w:rtl/>
          <w:lang w:bidi="fa-IR"/>
        </w:rPr>
        <w:t xml:space="preserve"> </w:t>
      </w:r>
      <w:r w:rsidRPr="00C9040A">
        <w:rPr>
          <w:rtl/>
          <w:lang w:bidi="fa-IR"/>
        </w:rPr>
        <w:t>بَابُ الْوَرَعِ‌</w:t>
      </w:r>
      <w:bookmarkEnd w:id="121"/>
      <w:bookmarkEnd w:id="122"/>
      <w:bookmarkEnd w:id="123"/>
    </w:p>
    <w:p w:rsidR="008A74EB" w:rsidRPr="00C9040A" w:rsidRDefault="008A74EB" w:rsidP="008A74EB">
      <w:pPr>
        <w:pStyle w:val="libNormal"/>
        <w:rPr>
          <w:rtl/>
          <w:lang w:bidi="fa-IR"/>
        </w:rPr>
      </w:pPr>
      <w:r w:rsidRPr="00885664">
        <w:rPr>
          <w:rtl/>
        </w:rPr>
        <w:t>1628</w:t>
      </w:r>
      <w:r w:rsidRPr="00261CB0">
        <w:rPr>
          <w:rStyle w:val="libBold2Char"/>
          <w:rtl/>
        </w:rPr>
        <w:t xml:space="preserve"> / 1.</w:t>
      </w:r>
      <w:r w:rsidRPr="00C9040A">
        <w:rPr>
          <w:rtl/>
          <w:lang w:bidi="fa-IR"/>
        </w:rPr>
        <w:t xml:space="preserve"> عَلِيُّ بْنُ إِبْرَاهِيمَ ، عَنْ أَبِيهِ ، عَنِ ابْنِ أَبِي عُمَيْرٍ ، عَنْ أَبِي الْمَغْرَاءِ </w:t>
      </w:r>
      <w:r w:rsidR="006C577F" w:rsidRPr="006C577F">
        <w:rPr>
          <w:rStyle w:val="libFootnotenumChar"/>
          <w:rtl/>
        </w:rPr>
        <w:t>(1)</w:t>
      </w:r>
      <w:r w:rsidRPr="00C9040A">
        <w:rPr>
          <w:rtl/>
          <w:lang w:bidi="fa-IR"/>
        </w:rPr>
        <w:t xml:space="preserve">، عَنْ زَيْدٍ الشَّحَّامِ ، عَنْ عَمْرِو </w:t>
      </w:r>
      <w:r w:rsidR="006C577F" w:rsidRPr="006C577F">
        <w:rPr>
          <w:rStyle w:val="libFootnotenumChar"/>
          <w:rtl/>
        </w:rPr>
        <w:t>(2)</w:t>
      </w:r>
      <w:r w:rsidRPr="00C9040A">
        <w:rPr>
          <w:rtl/>
          <w:lang w:bidi="fa-IR"/>
        </w:rPr>
        <w:t xml:space="preserve"> بْنِ سَعِيدِ بْنِ هِلَالٍ الثَّقَفِيِّ :</w:t>
      </w:r>
    </w:p>
    <w:p w:rsidR="008A74EB" w:rsidRPr="00C9040A" w:rsidRDefault="008A74EB" w:rsidP="003A0AF2">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قُلْتُ لَهُ : إِنِّي لَا</w:t>
      </w:r>
      <w:r>
        <w:rPr>
          <w:rFonts w:hint="cs"/>
          <w:rtl/>
          <w:lang w:bidi="fa-IR"/>
        </w:rPr>
        <w:t xml:space="preserve"> </w:t>
      </w:r>
      <w:r w:rsidRPr="00C9040A">
        <w:rPr>
          <w:rtl/>
          <w:lang w:bidi="fa-IR"/>
        </w:rPr>
        <w:t>أَلْقَا</w:t>
      </w:r>
      <w:r w:rsidR="003A0AF2">
        <w:rPr>
          <w:rtl/>
          <w:lang w:bidi="fa-IR"/>
        </w:rPr>
        <w:t>كَ إِل</w:t>
      </w:r>
      <w:r w:rsidR="003A0AF2">
        <w:rPr>
          <w:rFonts w:hint="cs"/>
          <w:rtl/>
          <w:lang w:bidi="fa-IR"/>
        </w:rPr>
        <w:t>َّ</w:t>
      </w:r>
      <w:r w:rsidR="003A0AF2">
        <w:rPr>
          <w:rtl/>
          <w:lang w:bidi="fa-IR"/>
        </w:rPr>
        <w:t>ا</w:t>
      </w:r>
      <w:r w:rsidRPr="00C9040A">
        <w:rPr>
          <w:rtl/>
          <w:lang w:bidi="fa-IR"/>
        </w:rPr>
        <w:t xml:space="preserve"> فِي السِّنِينَ ، فَأَخْبِرْنِي بِشَيْ‌ءٍ آخُذُ بِهِ </w:t>
      </w:r>
      <w:r w:rsidR="006C577F" w:rsidRPr="006C577F">
        <w:rPr>
          <w:rStyle w:val="libFootnotenumChar"/>
          <w:rtl/>
        </w:rPr>
        <w:t>(3)</w:t>
      </w:r>
      <w:r w:rsidR="003A0AF2">
        <w:rPr>
          <w:rFonts w:hint="cs"/>
          <w:rtl/>
        </w:rPr>
        <w:t>.</w:t>
      </w:r>
    </w:p>
    <w:p w:rsidR="008A74EB" w:rsidRPr="00C9040A" w:rsidRDefault="008A74EB" w:rsidP="008A74EB">
      <w:pPr>
        <w:pStyle w:val="libNormal"/>
        <w:rPr>
          <w:rtl/>
          <w:lang w:bidi="fa-IR"/>
        </w:rPr>
      </w:pPr>
      <w:r w:rsidRPr="00C9040A">
        <w:rPr>
          <w:rtl/>
          <w:lang w:bidi="fa-IR"/>
        </w:rPr>
        <w:t xml:space="preserve">فَقَالَ : « أُوصِيكَ بِتَقْوَى اللهِ </w:t>
      </w:r>
      <w:r w:rsidR="006C577F" w:rsidRPr="006C577F">
        <w:rPr>
          <w:rStyle w:val="libFootnotenumChar"/>
          <w:rtl/>
        </w:rPr>
        <w:t>(4)</w:t>
      </w:r>
      <w:r w:rsidRPr="00C9040A">
        <w:rPr>
          <w:rtl/>
          <w:lang w:bidi="fa-IR"/>
        </w:rPr>
        <w:t xml:space="preserve"> وَالْوَرَعِ وَالِاجْتِهَادِ </w:t>
      </w:r>
      <w:r w:rsidR="006C577F" w:rsidRPr="006C577F">
        <w:rPr>
          <w:rStyle w:val="libFootnotenumChar"/>
          <w:rtl/>
        </w:rPr>
        <w:t>(5)</w:t>
      </w:r>
      <w:r w:rsidRPr="00C9040A">
        <w:rPr>
          <w:rtl/>
          <w:lang w:bidi="fa-IR"/>
        </w:rPr>
        <w:t xml:space="preserve"> ، وَاعْلَمْ </w:t>
      </w:r>
      <w:r w:rsidR="006C577F" w:rsidRPr="006C577F">
        <w:rPr>
          <w:rStyle w:val="libFootnotenumChar"/>
          <w:rtl/>
        </w:rPr>
        <w:t>(6)</w:t>
      </w:r>
      <w:r w:rsidRPr="005B567D">
        <w:rPr>
          <w:rStyle w:val="libFootnotenumChar"/>
          <w:rtl/>
        </w:rPr>
        <w:t xml:space="preserve"> </w:t>
      </w:r>
      <w:r w:rsidRPr="00C9040A">
        <w:rPr>
          <w:rtl/>
          <w:lang w:bidi="fa-IR"/>
        </w:rPr>
        <w:t xml:space="preserve">أَنَّهُ لَايَنْفَعُ اجْتِهَادٌ لَاوَرَعَ فِيهِ </w:t>
      </w:r>
      <w:r w:rsidR="006C577F" w:rsidRPr="006C577F">
        <w:rPr>
          <w:rStyle w:val="libFootnotenumChar"/>
          <w:rtl/>
        </w:rPr>
        <w:t>(7)</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(8)</w:t>
      </w:r>
    </w:p>
    <w:p w:rsidR="008A74EB" w:rsidRPr="00C9040A" w:rsidRDefault="008A74EB" w:rsidP="008A74EB">
      <w:pPr>
        <w:pStyle w:val="libNormal"/>
        <w:rPr>
          <w:rtl/>
          <w:lang w:bidi="fa-IR"/>
        </w:rPr>
      </w:pPr>
      <w:r w:rsidRPr="00885664">
        <w:rPr>
          <w:rtl/>
        </w:rPr>
        <w:t>1629</w:t>
      </w:r>
      <w:r w:rsidRPr="00261CB0">
        <w:rPr>
          <w:rStyle w:val="libBold2Char"/>
          <w:rtl/>
        </w:rPr>
        <w:t xml:space="preserve"> / 2.</w:t>
      </w:r>
      <w:r w:rsidRPr="00C9040A">
        <w:rPr>
          <w:rtl/>
          <w:lang w:bidi="fa-IR"/>
        </w:rPr>
        <w:t xml:space="preserve"> مُحَمَّدُ بْنُ يَحْيى ، عَنْ أَحْمَدَ بْنِ مُحَمَّدٍ ، عَنِ الْحَسَنِ بْنِ مَحْبُوبٍ ، عَنْ حَدِيدِ بْنِ حَكِيمٍ ، قَالَ :</w:t>
      </w:r>
    </w:p>
    <w:p w:rsidR="008A74EB" w:rsidRPr="00C9040A" w:rsidRDefault="008A74EB" w:rsidP="008A74EB">
      <w:pPr>
        <w:pStyle w:val="libLine"/>
        <w:rPr>
          <w:rtl/>
          <w:lang w:bidi="fa-IR"/>
        </w:rPr>
      </w:pPr>
      <w:r w:rsidRPr="00C9040A">
        <w:rPr>
          <w:rtl/>
          <w:lang w:bidi="fa-IR"/>
        </w:rPr>
        <w:t>__________________</w:t>
      </w:r>
    </w:p>
    <w:p w:rsidR="008A74EB" w:rsidRPr="00C9040A" w:rsidRDefault="009B064E" w:rsidP="004A4E41">
      <w:pPr>
        <w:pStyle w:val="libFootnote0"/>
        <w:rPr>
          <w:rtl/>
          <w:lang w:bidi="fa-IR"/>
        </w:rPr>
      </w:pPr>
      <w:r>
        <w:rPr>
          <w:rFonts w:hint="cs"/>
          <w:rtl/>
        </w:rPr>
        <w:t xml:space="preserve">= </w:t>
      </w:r>
      <w:r w:rsidR="008A74EB" w:rsidRPr="00C9040A">
        <w:rPr>
          <w:rtl/>
        </w:rPr>
        <w:t xml:space="preserve">اختلاف يسير وزيادة في آخره. </w:t>
      </w:r>
      <w:r w:rsidR="008A74EB" w:rsidRPr="00993B55">
        <w:rPr>
          <w:rStyle w:val="libFootnoteBoldChar"/>
          <w:rtl/>
        </w:rPr>
        <w:t>وفيه</w:t>
      </w:r>
      <w:r w:rsidR="008A74EB" w:rsidRPr="00C9040A">
        <w:rPr>
          <w:rtl/>
        </w:rPr>
        <w:t xml:space="preserve"> ، ص 140 ، المجلس 5 ، ح 41 ؛ وص 201 ، المجلس 7 ، ح 46 ، بسند آخر ، مع زيادة في أوّله وآخره. </w:t>
      </w:r>
      <w:r w:rsidR="008A74EB" w:rsidRPr="00993B55">
        <w:rPr>
          <w:rStyle w:val="libFootnoteBoldChar"/>
          <w:rtl/>
        </w:rPr>
        <w:t>تحف العقول</w:t>
      </w:r>
      <w:r w:rsidR="008A74EB" w:rsidRPr="00C9040A">
        <w:rPr>
          <w:rtl/>
        </w:rPr>
        <w:t xml:space="preserve"> ، ص 57 ، عن النبيّ </w:t>
      </w:r>
      <w:r w:rsidR="004A4E41" w:rsidRPr="00AC2E2F">
        <w:rPr>
          <w:rStyle w:val="libFootnoteAlaemChar"/>
          <w:rtl/>
        </w:rPr>
        <w:t>صلى‌الله‌عليه‌وآله</w:t>
      </w:r>
      <w:r w:rsidR="008A74EB" w:rsidRPr="00C9040A">
        <w:rPr>
          <w:rtl/>
        </w:rPr>
        <w:t xml:space="preserve"> ، مع زيادة في آخره ، وفي كلّها مع اختلاف يسير </w:t>
      </w:r>
      <w:r>
        <w:rPr>
          <w:rFonts w:hint="cs"/>
          <w:rtl/>
        </w:rPr>
        <w:t>.</w:t>
      </w:r>
      <w:r w:rsidR="008A74EB" w:rsidRPr="00993B55">
        <w:rPr>
          <w:rStyle w:val="libFootnoteBoldChar"/>
          <w:rtl/>
        </w:rPr>
        <w:t>الوافي</w:t>
      </w:r>
      <w:r w:rsidR="008A74EB" w:rsidRPr="00C9040A">
        <w:rPr>
          <w:rtl/>
        </w:rPr>
        <w:t xml:space="preserve"> ، ج 4 ، ص 308 ، ح 1989 ؛ </w:t>
      </w:r>
      <w:r w:rsidR="008A74EB" w:rsidRPr="00993B55">
        <w:rPr>
          <w:rStyle w:val="libFootnoteBoldChar"/>
          <w:rtl/>
        </w:rPr>
        <w:t>الوسائل</w:t>
      </w:r>
      <w:r w:rsidR="008A74EB" w:rsidRPr="00C9040A">
        <w:rPr>
          <w:rtl/>
        </w:rPr>
        <w:t xml:space="preserve"> ، ج 15 ، ص 241 ، ح 20385 ؛ </w:t>
      </w:r>
      <w:r w:rsidR="008A74EB" w:rsidRPr="00993B55">
        <w:rPr>
          <w:rStyle w:val="libFootnoteBoldChar"/>
          <w:rtl/>
        </w:rPr>
        <w:t>البحار</w:t>
      </w:r>
      <w:r w:rsidR="008A74EB" w:rsidRPr="00C9040A">
        <w:rPr>
          <w:rtl/>
        </w:rPr>
        <w:t xml:space="preserve"> ، ج 70 ، ص 282 ، ح 1.</w:t>
      </w:r>
    </w:p>
    <w:p w:rsidR="008A74EB" w:rsidRPr="00C9040A" w:rsidRDefault="006C577F" w:rsidP="004A4E41">
      <w:pPr>
        <w:pStyle w:val="libFootnote0"/>
        <w:rPr>
          <w:rtl/>
          <w:lang w:bidi="fa-IR"/>
        </w:rPr>
      </w:pPr>
      <w:r>
        <w:rPr>
          <w:rtl/>
        </w:rPr>
        <w:t>(1).</w:t>
      </w:r>
      <w:r w:rsidR="00A5682E">
        <w:rPr>
          <w:rtl/>
        </w:rPr>
        <w:t xml:space="preserve"> في « ز » : « أبي الم</w:t>
      </w:r>
      <w:r w:rsidR="00A5682E">
        <w:rPr>
          <w:rFonts w:hint="cs"/>
          <w:rtl/>
        </w:rPr>
        <w:t>ـُ</w:t>
      </w:r>
      <w:r w:rsidR="008A74EB" w:rsidRPr="00C9040A">
        <w:rPr>
          <w:rtl/>
        </w:rPr>
        <w:t>عرَّا »</w:t>
      </w:r>
      <w:r w:rsidR="008A74EB">
        <w:rPr>
          <w:rtl/>
        </w:rPr>
        <w:t>.</w:t>
      </w:r>
      <w:r w:rsidR="008A74EB" w:rsidRPr="00C9040A">
        <w:rPr>
          <w:rtl/>
        </w:rPr>
        <w:t xml:space="preserve"> وفي « </w:t>
      </w:r>
      <w:r w:rsidR="006D3162">
        <w:rPr>
          <w:rtl/>
        </w:rPr>
        <w:t xml:space="preserve">ه </w:t>
      </w:r>
      <w:r w:rsidR="008A74EB" w:rsidRPr="00C9040A">
        <w:rPr>
          <w:rtl/>
        </w:rPr>
        <w:t>» : « أبي المعرا »</w:t>
      </w:r>
      <w:r w:rsidR="008A74EB">
        <w:rPr>
          <w:rtl/>
        </w:rPr>
        <w:t>.</w:t>
      </w:r>
      <w:r w:rsidR="008A74EB" w:rsidRPr="00C9040A">
        <w:rPr>
          <w:rtl/>
        </w:rPr>
        <w:t xml:space="preserve"> وكلاهما سهو. وأبو المغر</w:t>
      </w:r>
      <w:r w:rsidR="00A5682E">
        <w:rPr>
          <w:rtl/>
        </w:rPr>
        <w:t>اء هو حميد بن الم</w:t>
      </w:r>
      <w:r w:rsidR="00A5682E">
        <w:rPr>
          <w:rFonts w:hint="cs"/>
          <w:rtl/>
        </w:rPr>
        <w:t>ـُ</w:t>
      </w:r>
      <w:r w:rsidR="008A74EB" w:rsidRPr="00C9040A">
        <w:rPr>
          <w:rtl/>
        </w:rPr>
        <w:t xml:space="preserve">ثَنّى ، روى ابن‌أبي عمير عنه كتابه. راجع : </w:t>
      </w:r>
      <w:r w:rsidR="008A74EB" w:rsidRPr="0034021D">
        <w:rPr>
          <w:rStyle w:val="libFootnoteBoldChar"/>
          <w:rtl/>
        </w:rPr>
        <w:t>الفهرست للطوسي</w:t>
      </w:r>
      <w:r w:rsidR="008A74EB" w:rsidRPr="00C9040A">
        <w:rPr>
          <w:rtl/>
        </w:rPr>
        <w:t xml:space="preserve"> ، ص 154 ، الرقم 236.</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ص ، بس » : « عمر »</w:t>
      </w:r>
      <w:r w:rsidR="008A74EB">
        <w:rPr>
          <w:rtl/>
        </w:rPr>
        <w:t>.</w:t>
      </w:r>
      <w:r w:rsidR="008A74EB" w:rsidRPr="00C9040A">
        <w:rPr>
          <w:rtl/>
        </w:rPr>
        <w:t xml:space="preserve"> وهو سهو. راجع : </w:t>
      </w:r>
      <w:r w:rsidR="008A74EB" w:rsidRPr="00993B55">
        <w:rPr>
          <w:rStyle w:val="libFootnoteBoldChar"/>
          <w:rtl/>
        </w:rPr>
        <w:t>رجال البرقي</w:t>
      </w:r>
      <w:r w:rsidR="008A74EB" w:rsidRPr="00C9040A">
        <w:rPr>
          <w:rtl/>
        </w:rPr>
        <w:t xml:space="preserve"> ، ص 35 ؛ </w:t>
      </w:r>
      <w:r w:rsidR="008A74EB" w:rsidRPr="00993B55">
        <w:rPr>
          <w:rStyle w:val="libFootnoteBoldChar"/>
          <w:rtl/>
        </w:rPr>
        <w:t>رجال الطوسي</w:t>
      </w:r>
      <w:r w:rsidR="008A74EB" w:rsidRPr="00C9040A">
        <w:rPr>
          <w:rtl/>
        </w:rPr>
        <w:t xml:space="preserve"> ، ص 140 ، الرقم 1488 ؛ وص 249 ، الرقم 3478.</w:t>
      </w:r>
    </w:p>
    <w:p w:rsidR="008A74EB" w:rsidRPr="00C9040A" w:rsidRDefault="006C577F" w:rsidP="004A4E41">
      <w:pPr>
        <w:pStyle w:val="libFootnote0"/>
        <w:rPr>
          <w:rtl/>
          <w:lang w:bidi="fa-IR"/>
        </w:rPr>
      </w:pPr>
      <w:r>
        <w:rPr>
          <w:rtl/>
        </w:rPr>
        <w:t>(3).</w:t>
      </w:r>
      <w:r w:rsidR="008A74EB" w:rsidRPr="00C9040A">
        <w:rPr>
          <w:rtl/>
        </w:rPr>
        <w:t xml:space="preserve"> في « ج » </w:t>
      </w:r>
      <w:r w:rsidR="008A74EB">
        <w:rPr>
          <w:rtl/>
        </w:rPr>
        <w:t xml:space="preserve">: </w:t>
      </w:r>
      <w:r w:rsidR="0084262C">
        <w:rPr>
          <w:rtl/>
        </w:rPr>
        <w:t>-</w:t>
      </w:r>
      <w:r w:rsidR="008A74EB" w:rsidRPr="00C9040A">
        <w:rPr>
          <w:rtl/>
        </w:rPr>
        <w:t xml:space="preserve"> « به »</w:t>
      </w:r>
      <w:r w:rsidR="008A74EB">
        <w:rPr>
          <w:rtl/>
        </w:rPr>
        <w:t>.</w:t>
      </w:r>
      <w:r w:rsidR="008A74EB" w:rsidRPr="00C9040A">
        <w:rPr>
          <w:rtl/>
        </w:rPr>
        <w:t xml:space="preserve"> وفي « بس » : « ا</w:t>
      </w:r>
      <w:r w:rsidR="00E0236D">
        <w:rPr>
          <w:rFonts w:hint="cs"/>
          <w:rtl/>
        </w:rPr>
        <w:t>ُ</w:t>
      </w:r>
      <w:r w:rsidR="008A74EB" w:rsidRPr="00C9040A">
        <w:rPr>
          <w:rtl/>
        </w:rPr>
        <w:t>حدّثه » بدل « آخذ به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الكافي ، ج 15004 : + « وصدق الحديث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w:t>
      </w:r>
      <w:r w:rsidR="008A74EB" w:rsidRPr="00993B55">
        <w:rPr>
          <w:rStyle w:val="libFootnoteBoldChar"/>
          <w:rtl/>
        </w:rPr>
        <w:t>الوافي</w:t>
      </w:r>
      <w:r w:rsidR="008A74EB" w:rsidRPr="00C9040A">
        <w:rPr>
          <w:rtl/>
        </w:rPr>
        <w:t xml:space="preserve"> : « الورع : كفّ النفس عن المعاصي ومنعها عمّا لاينبغي ، والاجتهاد : تحمّل المشقّة في العبادة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 ب » </w:t>
      </w:r>
      <w:r w:rsidR="008A74EB">
        <w:rPr>
          <w:rtl/>
        </w:rPr>
        <w:t xml:space="preserve">: </w:t>
      </w:r>
      <w:r w:rsidR="0084262C">
        <w:rPr>
          <w:rtl/>
        </w:rPr>
        <w:t>-</w:t>
      </w:r>
      <w:r w:rsidR="008A74EB" w:rsidRPr="00C9040A">
        <w:rPr>
          <w:rtl/>
        </w:rPr>
        <w:t xml:space="preserve"> « اعلم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ب » : « لا ينفع ورع لا اجتهاد فيه »</w:t>
      </w:r>
      <w:r w:rsidR="008A74EB">
        <w:rPr>
          <w:rtl/>
        </w:rPr>
        <w:t>.</w:t>
      </w:r>
      <w:r w:rsidR="008A74EB" w:rsidRPr="00C9040A">
        <w:rPr>
          <w:rtl/>
        </w:rPr>
        <w:t xml:space="preserve"> وفي الكافي ، ح 15004 : « معه » بدل « فيه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w:t>
      </w:r>
      <w:r w:rsidR="008A74EB" w:rsidRPr="00993B55">
        <w:rPr>
          <w:rStyle w:val="libFootnoteBoldChar"/>
          <w:rtl/>
        </w:rPr>
        <w:t>الكافي</w:t>
      </w:r>
      <w:r w:rsidR="008A74EB" w:rsidRPr="00C9040A">
        <w:rPr>
          <w:rtl/>
        </w:rPr>
        <w:t xml:space="preserve"> ، كتاب الروضة ، ح 15004 ؛ و</w:t>
      </w:r>
      <w:r w:rsidR="008A74EB" w:rsidRPr="00993B55">
        <w:rPr>
          <w:rStyle w:val="libFootnoteBoldChar"/>
          <w:rtl/>
        </w:rPr>
        <w:t xml:space="preserve">الزهد </w:t>
      </w:r>
      <w:r w:rsidR="008A74EB" w:rsidRPr="00C9040A">
        <w:rPr>
          <w:rtl/>
        </w:rPr>
        <w:t xml:space="preserve">، ص 72 ، ح 24 ، [ فيه إلى قوله : « الورع والإجتهاد » ] بسندهما عن أبي المغراء ، مع اختلاف يسير وزيادة في آخره </w:t>
      </w:r>
      <w:r w:rsidR="00E61AD1">
        <w:rPr>
          <w:rFonts w:hint="cs"/>
          <w:rtl/>
        </w:rPr>
        <w:t>.</w:t>
      </w:r>
      <w:r w:rsidR="008A74EB" w:rsidRPr="00993B55">
        <w:rPr>
          <w:rStyle w:val="libFootnoteBoldChar"/>
          <w:rtl/>
        </w:rPr>
        <w:t>الوافي</w:t>
      </w:r>
      <w:r w:rsidR="008A74EB" w:rsidRPr="00C9040A">
        <w:rPr>
          <w:rtl/>
        </w:rPr>
        <w:t xml:space="preserve"> ، ج 4 ، ص 325 ، ح 2026 ؛ </w:t>
      </w:r>
      <w:r w:rsidR="008A74EB" w:rsidRPr="00993B55">
        <w:rPr>
          <w:rStyle w:val="libFootnoteBoldChar"/>
          <w:rtl/>
        </w:rPr>
        <w:t>الوسائل</w:t>
      </w:r>
      <w:r w:rsidR="008A74EB" w:rsidRPr="00C9040A">
        <w:rPr>
          <w:rtl/>
        </w:rPr>
        <w:t xml:space="preserve"> ، ج 15 ، ص 243 ، ح 20392 ، من قوله : « ا</w:t>
      </w:r>
      <w:r w:rsidR="00CB34B8">
        <w:rPr>
          <w:rFonts w:hint="cs"/>
          <w:rtl/>
        </w:rPr>
        <w:t>ُ</w:t>
      </w:r>
      <w:r w:rsidR="008A74EB" w:rsidRPr="00C9040A">
        <w:rPr>
          <w:rtl/>
        </w:rPr>
        <w:t xml:space="preserve">وصيك بتقوى الله والورع والاجتهاد » ؛ </w:t>
      </w:r>
      <w:r w:rsidR="008A74EB" w:rsidRPr="00993B55">
        <w:rPr>
          <w:rStyle w:val="libFootnoteBoldChar"/>
          <w:rtl/>
        </w:rPr>
        <w:t>البحار</w:t>
      </w:r>
      <w:r w:rsidR="008A74EB" w:rsidRPr="00C9040A">
        <w:rPr>
          <w:rtl/>
        </w:rPr>
        <w:t xml:space="preserve"> ، ج 70 ، ص 296 ، ح 1.</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 « اتَّقُوا اللهَ ، وَصُونُوا دِينَكُمْ بِالْوَرَعِ »</w:t>
      </w:r>
      <w:r>
        <w:rPr>
          <w:rtl/>
          <w:lang w:bidi="fa-IR"/>
        </w:rPr>
        <w:t>.</w:t>
      </w:r>
      <w:r w:rsidRPr="00C9040A">
        <w:rPr>
          <w:rtl/>
          <w:lang w:bidi="fa-IR"/>
        </w:rPr>
        <w:t xml:space="preserve"> </w:t>
      </w:r>
      <w:r w:rsidR="006C577F" w:rsidRPr="006C577F">
        <w:rPr>
          <w:rStyle w:val="libFootnotenumChar"/>
          <w:rtl/>
        </w:rPr>
        <w:t>(1)</w:t>
      </w:r>
      <w:r w:rsidRPr="00C9040A">
        <w:rPr>
          <w:rtl/>
          <w:lang w:bidi="fa-IR"/>
        </w:rPr>
        <w:t>‌</w:t>
      </w:r>
    </w:p>
    <w:p w:rsidR="008A74EB" w:rsidRPr="00C9040A" w:rsidRDefault="008A74EB" w:rsidP="008A74EB">
      <w:pPr>
        <w:pStyle w:val="libNormal"/>
        <w:rPr>
          <w:rtl/>
          <w:lang w:bidi="fa-IR"/>
        </w:rPr>
      </w:pPr>
      <w:r w:rsidRPr="00885664">
        <w:rPr>
          <w:rtl/>
        </w:rPr>
        <w:t>1630</w:t>
      </w:r>
      <w:r w:rsidRPr="00261CB0">
        <w:rPr>
          <w:rStyle w:val="libBold2Char"/>
          <w:rtl/>
        </w:rPr>
        <w:t xml:space="preserve"> / 3.</w:t>
      </w:r>
      <w:r w:rsidRPr="00C9040A">
        <w:rPr>
          <w:rtl/>
          <w:lang w:bidi="fa-IR"/>
        </w:rPr>
        <w:t xml:space="preserve"> أَبُو عَلِيٍّ الْأَشْعَرِيُّ ، عَنْ مُحَمَّدِ بْنِ عَبْدِ الْجَبَّارِ ، عَنْ صَفْوَانَ بْنِ يَحْيى ، عَنْ يَزِيدَ بْنِ خَلِيفَةَ ، قَالَ :</w:t>
      </w:r>
    </w:p>
    <w:p w:rsidR="008A74EB" w:rsidRPr="00C9040A" w:rsidRDefault="008A74EB" w:rsidP="008A74EB">
      <w:pPr>
        <w:pStyle w:val="libNormal"/>
        <w:rPr>
          <w:rtl/>
          <w:lang w:bidi="fa-IR"/>
        </w:rPr>
      </w:pPr>
      <w:r w:rsidRPr="00C9040A">
        <w:rPr>
          <w:rtl/>
          <w:lang w:bidi="fa-IR"/>
        </w:rPr>
        <w:t xml:space="preserve">وَعَظَنَا أَبُو عَبْدِ اللهِ </w:t>
      </w:r>
      <w:r w:rsidRPr="0003660B">
        <w:rPr>
          <w:rStyle w:val="libAlaemChar"/>
          <w:rtl/>
        </w:rPr>
        <w:t>عليه‌السلام</w:t>
      </w:r>
      <w:r w:rsidRPr="00C9040A">
        <w:rPr>
          <w:rtl/>
          <w:lang w:bidi="fa-IR"/>
        </w:rPr>
        <w:t xml:space="preserve"> ، فَأَمَرَ وَزَهَّدَ ، ثُمَّ قَالَ : « عَلَيْكُمْ بِالْوَرَعِ ؛ فَإِنَّهُ لَ</w:t>
      </w:r>
      <w:r w:rsidR="00771A54">
        <w:rPr>
          <w:rtl/>
          <w:lang w:bidi="fa-IR"/>
        </w:rPr>
        <w:t>ايُنَالُ مَا عِنْدَ اللهِ إِل</w:t>
      </w:r>
      <w:r w:rsidR="00771A54">
        <w:rPr>
          <w:rFonts w:hint="cs"/>
          <w:rtl/>
          <w:lang w:bidi="fa-IR"/>
        </w:rPr>
        <w:t>َّ</w:t>
      </w:r>
      <w:r w:rsidR="00771A54">
        <w:rPr>
          <w:rtl/>
          <w:lang w:bidi="fa-IR"/>
        </w:rPr>
        <w:t>ا</w:t>
      </w:r>
      <w:r w:rsidRPr="00C9040A">
        <w:rPr>
          <w:rtl/>
          <w:lang w:bidi="fa-IR"/>
        </w:rPr>
        <w:t xml:space="preserve"> بِالْوَرَعِ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885664">
        <w:rPr>
          <w:rtl/>
        </w:rPr>
        <w:t>1631</w:t>
      </w:r>
      <w:r w:rsidRPr="00261CB0">
        <w:rPr>
          <w:rStyle w:val="libBold2Char"/>
          <w:rtl/>
        </w:rPr>
        <w:t xml:space="preserve"> / 4.</w:t>
      </w:r>
      <w:r w:rsidRPr="00C9040A">
        <w:rPr>
          <w:rtl/>
          <w:lang w:bidi="fa-IR"/>
        </w:rPr>
        <w:t xml:space="preserve"> عِدَّةٌ مِنْ أَصْحَابِنَا ، عَنْ أَحْمَدَ بْنِ مُحَمَّدِ بْنِ خَالِدٍ ، عَنِ ابْنِ فَضَّالٍ ، عَنْ أَبِي جَمِيلَةَ ، عَنِ ابْنِ أَبِي يَعْفُورٍ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لَا يَنْفَعُ اجْتِهَادٌ لَاوَرَعَ فِيهِ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885664">
        <w:rPr>
          <w:rtl/>
        </w:rPr>
        <w:t>1632</w:t>
      </w:r>
      <w:r w:rsidRPr="00261CB0">
        <w:rPr>
          <w:rStyle w:val="libBold2Char"/>
          <w:rtl/>
        </w:rPr>
        <w:t xml:space="preserve"> / 5.</w:t>
      </w:r>
      <w:r w:rsidRPr="00C9040A">
        <w:rPr>
          <w:rtl/>
          <w:lang w:bidi="fa-IR"/>
        </w:rPr>
        <w:t xml:space="preserve"> عَنْهُ </w:t>
      </w:r>
      <w:r w:rsidR="006C577F" w:rsidRPr="006C577F">
        <w:rPr>
          <w:rStyle w:val="libFootnotenumChar"/>
          <w:rtl/>
        </w:rPr>
        <w:t>(4)</w:t>
      </w:r>
      <w:r w:rsidRPr="00C9040A">
        <w:rPr>
          <w:rtl/>
          <w:lang w:bidi="fa-IR"/>
        </w:rPr>
        <w:t xml:space="preserve"> ، عَنْ أَبِيهِ ، عَنْ فَضَالَةَ بْنِ أَيُّوبَ ، عَنِ الْحَسَنِ بْنِ زِيَادٍ الصَّيْقَلِ ، عَنْ فُضَيْلِ بْنِ يَسَارٍ ، قَالَ :</w:t>
      </w:r>
    </w:p>
    <w:p w:rsidR="008A74EB" w:rsidRPr="00C9040A" w:rsidRDefault="008A74EB" w:rsidP="008A74EB">
      <w:pPr>
        <w:pStyle w:val="libNormal"/>
        <w:rPr>
          <w:rtl/>
          <w:lang w:bidi="fa-IR"/>
        </w:rPr>
      </w:pPr>
      <w:r w:rsidRPr="00C9040A">
        <w:rPr>
          <w:rtl/>
          <w:lang w:bidi="fa-IR"/>
        </w:rPr>
        <w:t xml:space="preserve">قَالَ أَبُو جَعْفَرٍ </w:t>
      </w:r>
      <w:r w:rsidR="006C577F" w:rsidRPr="006C577F">
        <w:rPr>
          <w:rStyle w:val="libFootnotenumChar"/>
          <w:rtl/>
        </w:rPr>
        <w:t>(5)</w:t>
      </w:r>
      <w:r w:rsidRPr="00C9040A">
        <w:rPr>
          <w:rtl/>
          <w:lang w:bidi="fa-IR"/>
        </w:rPr>
        <w:t xml:space="preserve"> </w:t>
      </w:r>
      <w:r w:rsidRPr="0003660B">
        <w:rPr>
          <w:rStyle w:val="libAlaemChar"/>
          <w:rtl/>
        </w:rPr>
        <w:t>عليه‌السلام</w:t>
      </w:r>
      <w:r w:rsidRPr="00C9040A">
        <w:rPr>
          <w:rtl/>
          <w:lang w:bidi="fa-IR"/>
        </w:rPr>
        <w:t xml:space="preserve"> : « إِنَّ أَشَدَّ </w:t>
      </w:r>
      <w:r w:rsidR="006C577F" w:rsidRPr="006C577F">
        <w:rPr>
          <w:rStyle w:val="libFootnotenumChar"/>
          <w:rtl/>
        </w:rPr>
        <w:t>(6)</w:t>
      </w:r>
      <w:r w:rsidRPr="005B567D">
        <w:rPr>
          <w:rStyle w:val="libFootnotenumChar"/>
          <w:rtl/>
        </w:rPr>
        <w:t xml:space="preserve"> </w:t>
      </w:r>
      <w:r w:rsidRPr="00C9040A">
        <w:rPr>
          <w:rtl/>
          <w:lang w:bidi="fa-IR"/>
        </w:rPr>
        <w:t>الْعِبَادَةِ الْوَرَعُ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885664">
        <w:rPr>
          <w:rtl/>
        </w:rPr>
        <w:t>1633</w:t>
      </w:r>
      <w:r w:rsidRPr="00261CB0">
        <w:rPr>
          <w:rStyle w:val="libBold2Char"/>
          <w:rtl/>
        </w:rPr>
        <w:t xml:space="preserve"> / 6.</w:t>
      </w:r>
      <w:r w:rsidRPr="00C9040A">
        <w:rPr>
          <w:rtl/>
          <w:lang w:bidi="fa-IR"/>
        </w:rPr>
        <w:t xml:space="preserve"> مُحَمَّدُ بْنُ يَحْيى ، عَنْ أَحْمَدَ بْنِ مُحَمَّدِ بْنِ عِيسى ، عَنْ مُحَمَّدِ بْنِ‌</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w:t>
      </w:r>
      <w:r w:rsidR="008A74EB" w:rsidRPr="00993B55">
        <w:rPr>
          <w:rStyle w:val="libFootnoteBoldChar"/>
          <w:rtl/>
        </w:rPr>
        <w:t>ثواب الأعمال</w:t>
      </w:r>
      <w:r w:rsidR="008A74EB" w:rsidRPr="00C9040A">
        <w:rPr>
          <w:rtl/>
        </w:rPr>
        <w:t xml:space="preserve"> ، ص 294 ، ح 1 ، بسنده عن أحمد بن محمّد ، من قوله : « صونوا » ؛ </w:t>
      </w:r>
      <w:r w:rsidR="008A74EB" w:rsidRPr="0034021D">
        <w:rPr>
          <w:rStyle w:val="libFootnoteBoldChar"/>
          <w:rtl/>
        </w:rPr>
        <w:t>الأمالي للمفيد</w:t>
      </w:r>
      <w:r w:rsidR="008A74EB" w:rsidRPr="00C9040A">
        <w:rPr>
          <w:rtl/>
        </w:rPr>
        <w:t xml:space="preserve"> ، ص 99 ، المجلس 12 ، ح 2 ، بسنده عن أحمد بن محمّد بن عيسى ، عن الحسن بن محبوب ؛ </w:t>
      </w:r>
      <w:r w:rsidR="008A74EB" w:rsidRPr="00993B55">
        <w:rPr>
          <w:rStyle w:val="libFootnoteBoldChar"/>
          <w:rtl/>
        </w:rPr>
        <w:t>الكافي</w:t>
      </w:r>
      <w:r w:rsidR="008A74EB" w:rsidRPr="00C9040A">
        <w:rPr>
          <w:rtl/>
        </w:rPr>
        <w:t xml:space="preserve"> ، كتاب المعيشة ، باب عمل السلطان وجوائزهم ، ح 8508 ، بسنده عن الحسن بن محبوب ؛ </w:t>
      </w:r>
      <w:r w:rsidR="008A74EB" w:rsidRPr="00993B55">
        <w:rPr>
          <w:rStyle w:val="libFootnoteBoldChar"/>
          <w:rtl/>
        </w:rPr>
        <w:t>التهذيب</w:t>
      </w:r>
      <w:r w:rsidR="008A74EB" w:rsidRPr="00C9040A">
        <w:rPr>
          <w:rtl/>
        </w:rPr>
        <w:t xml:space="preserve"> ، ج 6 ، ص 330 ، ح 914 ، معلّقاً عن الحسن بن محبوب ، عن حريز ، عن أبي عبدالله </w:t>
      </w:r>
      <w:r w:rsidR="00117575" w:rsidRPr="00117575">
        <w:rPr>
          <w:rStyle w:val="libFootnoteAlaemChar"/>
          <w:rtl/>
        </w:rPr>
        <w:t>عليه‌السلام</w:t>
      </w:r>
      <w:r w:rsidR="008A74EB" w:rsidRPr="00C9040A">
        <w:rPr>
          <w:rtl/>
        </w:rPr>
        <w:t xml:space="preserve"> ، وفي كلّها مع زيادة في آخره </w:t>
      </w:r>
      <w:r w:rsidR="00771A54">
        <w:rPr>
          <w:rFonts w:hint="cs"/>
          <w:rtl/>
        </w:rPr>
        <w:t>.</w:t>
      </w:r>
      <w:r w:rsidR="008A74EB" w:rsidRPr="00993B55">
        <w:rPr>
          <w:rStyle w:val="libFootnoteBoldChar"/>
          <w:rtl/>
        </w:rPr>
        <w:t>الوافي</w:t>
      </w:r>
      <w:r w:rsidR="008A74EB" w:rsidRPr="00C9040A">
        <w:rPr>
          <w:rtl/>
        </w:rPr>
        <w:t xml:space="preserve"> ، ج 4 ، ص 326 ، ح 2029 ؛ </w:t>
      </w:r>
      <w:r w:rsidR="008A74EB" w:rsidRPr="00993B55">
        <w:rPr>
          <w:rStyle w:val="libFootnoteBoldChar"/>
          <w:rtl/>
        </w:rPr>
        <w:t>الوسائل</w:t>
      </w:r>
      <w:r w:rsidR="008A74EB" w:rsidRPr="00C9040A">
        <w:rPr>
          <w:rtl/>
        </w:rPr>
        <w:t xml:space="preserve"> ، ج 15 ، ص 244 ، ح 20397 ؛ </w:t>
      </w:r>
      <w:r w:rsidR="008A74EB" w:rsidRPr="00993B55">
        <w:rPr>
          <w:rStyle w:val="libFootnoteBoldChar"/>
          <w:rtl/>
        </w:rPr>
        <w:t>البحار</w:t>
      </w:r>
      <w:r w:rsidR="008A74EB" w:rsidRPr="00C9040A">
        <w:rPr>
          <w:rtl/>
        </w:rPr>
        <w:t xml:space="preserve"> ، ج 70 ، ص 297 ، ح 2.</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الوافي</w:t>
      </w:r>
      <w:r w:rsidR="008A74EB" w:rsidRPr="00C9040A">
        <w:rPr>
          <w:rtl/>
        </w:rPr>
        <w:t xml:space="preserve"> ، ج 4 ، ص 326 ، ح 2030 ؛ </w:t>
      </w:r>
      <w:r w:rsidR="008A74EB" w:rsidRPr="00993B55">
        <w:rPr>
          <w:rStyle w:val="libFootnoteBoldChar"/>
          <w:rtl/>
        </w:rPr>
        <w:t>الوسائل</w:t>
      </w:r>
      <w:r w:rsidR="008A74EB" w:rsidRPr="00C9040A">
        <w:rPr>
          <w:rtl/>
        </w:rPr>
        <w:t xml:space="preserve"> ، ج 15 ، ص 244 ، ح 20394 ؛ </w:t>
      </w:r>
      <w:r w:rsidR="008A74EB" w:rsidRPr="00993B55">
        <w:rPr>
          <w:rStyle w:val="libFootnoteBoldChar"/>
          <w:rtl/>
        </w:rPr>
        <w:t>البحار</w:t>
      </w:r>
      <w:r w:rsidR="008A74EB" w:rsidRPr="00C9040A">
        <w:rPr>
          <w:rtl/>
        </w:rPr>
        <w:t xml:space="preserve"> ، ج 70 ، ص 297 ، ح 3.</w:t>
      </w:r>
    </w:p>
    <w:p w:rsidR="008A74EB" w:rsidRPr="00C9040A" w:rsidRDefault="006C577F" w:rsidP="004A4E41">
      <w:pPr>
        <w:pStyle w:val="libFootnote0"/>
        <w:rPr>
          <w:rtl/>
          <w:lang w:bidi="fa-IR"/>
        </w:rPr>
      </w:pPr>
      <w:r>
        <w:rPr>
          <w:rtl/>
        </w:rPr>
        <w:t>(3).</w:t>
      </w:r>
      <w:r w:rsidR="008A74EB" w:rsidRPr="00C9040A">
        <w:rPr>
          <w:rtl/>
        </w:rPr>
        <w:t xml:space="preserve"> </w:t>
      </w:r>
      <w:r w:rsidR="008A74EB" w:rsidRPr="00993B55">
        <w:rPr>
          <w:rStyle w:val="libFootnoteBoldChar"/>
          <w:rtl/>
        </w:rPr>
        <w:t>الوافي</w:t>
      </w:r>
      <w:r w:rsidR="008A74EB" w:rsidRPr="00C9040A">
        <w:rPr>
          <w:rtl/>
        </w:rPr>
        <w:t xml:space="preserve"> ، ج 4 ، ص 325 ، ح 2028 ؛ </w:t>
      </w:r>
      <w:r w:rsidR="008A74EB" w:rsidRPr="00993B55">
        <w:rPr>
          <w:rStyle w:val="libFootnoteBoldChar"/>
          <w:rtl/>
        </w:rPr>
        <w:t>الوسائل</w:t>
      </w:r>
      <w:r w:rsidR="008A74EB" w:rsidRPr="00C9040A">
        <w:rPr>
          <w:rtl/>
        </w:rPr>
        <w:t xml:space="preserve"> ، ج 15 ، ص 244 ، ح 20395.</w:t>
      </w:r>
    </w:p>
    <w:p w:rsidR="008A74EB" w:rsidRPr="004A4E41" w:rsidRDefault="006C577F" w:rsidP="004A4E41">
      <w:pPr>
        <w:pStyle w:val="libFootnote0"/>
        <w:rPr>
          <w:rStyle w:val="libFootnote0Char"/>
          <w:rtl/>
        </w:rPr>
      </w:pPr>
      <w:r>
        <w:rPr>
          <w:rtl/>
        </w:rPr>
        <w:t>(4).</w:t>
      </w:r>
      <w:r w:rsidR="008A74EB" w:rsidRPr="00C9040A">
        <w:rPr>
          <w:rtl/>
        </w:rPr>
        <w:t xml:space="preserve"> الضمير راجع إلى أحمد بن محمّد بن خالد المذكور في السند السابق ؛ فقد روى أحمد عن أبيه عن فضالة بن‌أيّوب في كثيرٍ من الأسناد. ا</w:t>
      </w:r>
      <w:r w:rsidR="00D65C21">
        <w:rPr>
          <w:rFonts w:hint="cs"/>
          <w:rtl/>
        </w:rPr>
        <w:t>ُ</w:t>
      </w:r>
      <w:r w:rsidR="008A74EB" w:rsidRPr="00C9040A">
        <w:rPr>
          <w:rtl/>
        </w:rPr>
        <w:t xml:space="preserve">نظر على سبيل المثال : </w:t>
      </w:r>
      <w:r w:rsidR="008A74EB" w:rsidRPr="00993B55">
        <w:rPr>
          <w:rStyle w:val="libFootnoteBoldChar"/>
          <w:rtl/>
        </w:rPr>
        <w:t>المحاسن</w:t>
      </w:r>
      <w:r w:rsidR="008A74EB" w:rsidRPr="00C9040A">
        <w:rPr>
          <w:rtl/>
        </w:rPr>
        <w:t xml:space="preserve"> ، ص 133 ، ح 10 ؛ وص 135 ، ح 14 ؛ وص 184 ، ح 189 ؛ وص 202 ، ح 41 ؛ وص 321 ، ح 62 ؛ وص 336 ، ح 111 ؛ </w:t>
      </w:r>
      <w:r w:rsidR="008A74EB" w:rsidRPr="00993B55">
        <w:rPr>
          <w:rStyle w:val="libFootnoteBoldChar"/>
          <w:rtl/>
        </w:rPr>
        <w:t>الكافي</w:t>
      </w:r>
      <w:r w:rsidR="008A74EB" w:rsidRPr="00C9040A">
        <w:rPr>
          <w:rtl/>
        </w:rPr>
        <w:t xml:space="preserve"> ، ح 94 </w:t>
      </w:r>
      <w:r w:rsidR="008A74EB">
        <w:rPr>
          <w:rtl/>
        </w:rPr>
        <w:t>و 3</w:t>
      </w:r>
      <w:r w:rsidR="008A74EB" w:rsidRPr="00C9040A">
        <w:rPr>
          <w:rtl/>
        </w:rPr>
        <w:t xml:space="preserve">85 </w:t>
      </w:r>
      <w:r w:rsidR="008A74EB">
        <w:rPr>
          <w:rtl/>
        </w:rPr>
        <w:t>و 3</w:t>
      </w:r>
      <w:r w:rsidR="008A74EB" w:rsidRPr="00C9040A">
        <w:rPr>
          <w:rtl/>
        </w:rPr>
        <w:t>94.</w:t>
      </w:r>
    </w:p>
    <w:tbl>
      <w:tblPr>
        <w:tblStyle w:val="TableGrid"/>
        <w:bidiVisual/>
        <w:tblW w:w="0" w:type="auto"/>
        <w:tblLook w:val="04A0" w:firstRow="1" w:lastRow="0" w:firstColumn="1" w:lastColumn="0" w:noHBand="0" w:noVBand="1"/>
      </w:tblPr>
      <w:tblGrid>
        <w:gridCol w:w="4006"/>
        <w:gridCol w:w="4006"/>
      </w:tblGrid>
      <w:tr w:rsidR="002F6A1C" w:rsidTr="002F6A1C">
        <w:tc>
          <w:tcPr>
            <w:tcW w:w="4006" w:type="dxa"/>
          </w:tcPr>
          <w:p w:rsidR="002F6A1C" w:rsidRDefault="002F6A1C" w:rsidP="004A4E41">
            <w:pPr>
              <w:pStyle w:val="libFootnote0"/>
              <w:rPr>
                <w:rtl/>
              </w:rPr>
            </w:pPr>
            <w:r>
              <w:rPr>
                <w:rtl/>
              </w:rPr>
              <w:t>(5).</w:t>
            </w:r>
            <w:r w:rsidRPr="00C9040A">
              <w:rPr>
                <w:rtl/>
              </w:rPr>
              <w:t xml:space="preserve"> في « ف » : « أبو عبد الله »</w:t>
            </w:r>
            <w:r>
              <w:rPr>
                <w:rtl/>
              </w:rPr>
              <w:t>.</w:t>
            </w:r>
          </w:p>
        </w:tc>
        <w:tc>
          <w:tcPr>
            <w:tcW w:w="4006" w:type="dxa"/>
          </w:tcPr>
          <w:p w:rsidR="002F6A1C" w:rsidRDefault="002F6A1C" w:rsidP="004A4E41">
            <w:pPr>
              <w:pStyle w:val="libFootnote0"/>
              <w:rPr>
                <w:rtl/>
              </w:rPr>
            </w:pPr>
            <w:r>
              <w:rPr>
                <w:rtl/>
              </w:rPr>
              <w:t xml:space="preserve">(6). </w:t>
            </w:r>
            <w:r w:rsidRPr="00C9040A">
              <w:rPr>
                <w:rtl/>
              </w:rPr>
              <w:t>في حاشية « بس » : « أسدّ »</w:t>
            </w:r>
            <w:r>
              <w:rPr>
                <w:rtl/>
              </w:rPr>
              <w:t>.</w:t>
            </w:r>
          </w:p>
        </w:tc>
      </w:tr>
    </w:tbl>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الوافي</w:t>
      </w:r>
      <w:r w:rsidR="008A74EB" w:rsidRPr="00C9040A">
        <w:rPr>
          <w:rtl/>
        </w:rPr>
        <w:t xml:space="preserve"> ، ج 4 ، ص 326 ، ح 2031 ؛ </w:t>
      </w:r>
      <w:r w:rsidR="008A74EB" w:rsidRPr="00993B55">
        <w:rPr>
          <w:rStyle w:val="libFootnoteBoldChar"/>
          <w:rtl/>
        </w:rPr>
        <w:t>الوسائل</w:t>
      </w:r>
      <w:r w:rsidR="008A74EB" w:rsidRPr="00C9040A">
        <w:rPr>
          <w:rtl/>
        </w:rPr>
        <w:t xml:space="preserve"> ، ج 15 ، ص 244 ، ح 20396 ؛ </w:t>
      </w:r>
      <w:r w:rsidR="008A74EB" w:rsidRPr="00993B55">
        <w:rPr>
          <w:rStyle w:val="libFootnoteBoldChar"/>
          <w:rtl/>
        </w:rPr>
        <w:t>البحار</w:t>
      </w:r>
      <w:r w:rsidR="008A74EB" w:rsidRPr="00C9040A">
        <w:rPr>
          <w:rtl/>
        </w:rPr>
        <w:t xml:space="preserve"> ، ج 70 ، ص 297 ، ح 5.</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إِسْمَاعِيلَ بْنِ بَزِيعٍ ، عَنْ حَنَانِ بْنِ سَدِيرٍ ، قَالَ :</w:t>
      </w:r>
    </w:p>
    <w:p w:rsidR="008A74EB" w:rsidRPr="00C9040A" w:rsidRDefault="008A74EB" w:rsidP="008A74EB">
      <w:pPr>
        <w:pStyle w:val="libNormal"/>
        <w:rPr>
          <w:rtl/>
          <w:lang w:bidi="fa-IR"/>
        </w:rPr>
      </w:pPr>
      <w:r w:rsidRPr="00C9040A">
        <w:rPr>
          <w:rtl/>
          <w:lang w:bidi="fa-IR"/>
        </w:rPr>
        <w:t xml:space="preserve">قَالَ أَبُو الصَّبَّاحِ الْكِنَانِيُّ لِأَبِي عَبْدِ اللهِ </w:t>
      </w:r>
      <w:r w:rsidRPr="0003660B">
        <w:rPr>
          <w:rStyle w:val="libAlaemChar"/>
          <w:rtl/>
        </w:rPr>
        <w:t>عليه‌السلام</w:t>
      </w:r>
      <w:r w:rsidRPr="00C9040A">
        <w:rPr>
          <w:rtl/>
          <w:lang w:bidi="fa-IR"/>
        </w:rPr>
        <w:t xml:space="preserve"> : مَا نَلْقى مِنَ النَّاسِ فِيكَ</w:t>
      </w:r>
      <w:r>
        <w:rPr>
          <w:rtl/>
          <w:lang w:bidi="fa-IR"/>
        </w:rPr>
        <w:t>!</w:t>
      </w:r>
      <w:r w:rsidRPr="00C9040A">
        <w:rPr>
          <w:rtl/>
          <w:lang w:bidi="fa-IR"/>
        </w:rPr>
        <w:t xml:space="preserve"> فَقَالَ أَبُو عَبْدِ اللهِ </w:t>
      </w:r>
      <w:r w:rsidRPr="0003660B">
        <w:rPr>
          <w:rStyle w:val="libAlaemChar"/>
          <w:rtl/>
        </w:rPr>
        <w:t>عليه‌السلام</w:t>
      </w:r>
      <w:r w:rsidRPr="00C9040A">
        <w:rPr>
          <w:rtl/>
          <w:lang w:bidi="fa-IR"/>
        </w:rPr>
        <w:t xml:space="preserve"> : « وَمَا الَّذِي تَلْقى مِنَ النَّاسِ فِيَّ</w:t>
      </w:r>
      <w:r>
        <w:rPr>
          <w:rtl/>
          <w:lang w:bidi="fa-IR"/>
        </w:rPr>
        <w:t>؟</w:t>
      </w:r>
      <w:r w:rsidRPr="00C9040A">
        <w:rPr>
          <w:rtl/>
          <w:lang w:bidi="fa-IR"/>
        </w:rPr>
        <w:t xml:space="preserve"> » فَقَالَ : لَايَزَالُ يَكُونُ بَيْنَنَا وَبَيْنَ الرَّجُلِ الْكَلَامُ ، فَيَقُولُ : جَعْفَرِيٌّ خَبِيثٌ ، فَقَالَ : « يُعَيِّرُكُمُ النَّاسُ بِي</w:t>
      </w:r>
      <w:r>
        <w:rPr>
          <w:rtl/>
          <w:lang w:bidi="fa-IR"/>
        </w:rPr>
        <w:t>؟</w:t>
      </w:r>
      <w:r w:rsidRPr="00C9040A">
        <w:rPr>
          <w:rtl/>
          <w:lang w:bidi="fa-IR"/>
        </w:rPr>
        <w:t xml:space="preserve"> » فَقَالَ لَهُ أَبُو الصَّبَّاحِ : نَعَمْ ، قَالَ : فَقَالَ </w:t>
      </w:r>
      <w:r w:rsidR="006C577F" w:rsidRPr="006C577F">
        <w:rPr>
          <w:rStyle w:val="libFootnotenumChar"/>
          <w:rtl/>
        </w:rPr>
        <w:t>(1)</w:t>
      </w:r>
      <w:r w:rsidRPr="001E6F92">
        <w:rPr>
          <w:rFonts w:hint="cs"/>
          <w:rtl/>
        </w:rPr>
        <w:t xml:space="preserve"> </w:t>
      </w:r>
      <w:r w:rsidRPr="00C9040A">
        <w:rPr>
          <w:rtl/>
          <w:lang w:bidi="fa-IR"/>
        </w:rPr>
        <w:t xml:space="preserve">: « فَمَا </w:t>
      </w:r>
      <w:r w:rsidR="006C577F" w:rsidRPr="006C577F">
        <w:rPr>
          <w:rStyle w:val="libFootnotenumChar"/>
          <w:rtl/>
        </w:rPr>
        <w:t>(2)</w:t>
      </w:r>
      <w:r w:rsidRPr="00C9040A">
        <w:rPr>
          <w:rtl/>
          <w:lang w:bidi="fa-IR"/>
        </w:rPr>
        <w:t xml:space="preserve"> أَقَلَّ وَاللهِ مَنْ يَتَّبِعُ جَعْفَراً مِنْكُمْ</w:t>
      </w:r>
      <w:r>
        <w:rPr>
          <w:rtl/>
          <w:lang w:bidi="fa-IR"/>
        </w:rPr>
        <w:t>!</w:t>
      </w:r>
      <w:r w:rsidRPr="00C9040A">
        <w:rPr>
          <w:rtl/>
          <w:lang w:bidi="fa-IR"/>
        </w:rPr>
        <w:t xml:space="preserve"> إِنَّمَا أَصْحَابِي مَنِ اشْتَدَّ وَرَعُهُ ، وَعَمِلَ لِخَالِقِهِ ، وَرَجَا ثَوَابَهُ </w:t>
      </w:r>
      <w:r w:rsidR="006C577F" w:rsidRPr="006C577F">
        <w:rPr>
          <w:rStyle w:val="libFootnotenumChar"/>
          <w:rtl/>
        </w:rPr>
        <w:t>(3)</w:t>
      </w:r>
      <w:r w:rsidRPr="00C9040A">
        <w:rPr>
          <w:rtl/>
          <w:lang w:bidi="fa-IR"/>
        </w:rPr>
        <w:t xml:space="preserve"> ؛ هؤُلَاءِ </w:t>
      </w:r>
      <w:r w:rsidR="006C577F" w:rsidRPr="006C577F">
        <w:rPr>
          <w:rStyle w:val="libFootnotenumChar"/>
          <w:rtl/>
        </w:rPr>
        <w:t>(4)</w:t>
      </w:r>
      <w:r w:rsidRPr="00C9040A">
        <w:rPr>
          <w:rtl/>
          <w:lang w:bidi="fa-IR"/>
        </w:rPr>
        <w:t xml:space="preserve"> أَصْحَابِي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885664">
        <w:rPr>
          <w:rtl/>
        </w:rPr>
        <w:t>1634</w:t>
      </w:r>
      <w:r w:rsidRPr="00261CB0">
        <w:rPr>
          <w:rStyle w:val="libBold2Char"/>
          <w:rtl/>
        </w:rPr>
        <w:t xml:space="preserve"> / 7.</w:t>
      </w:r>
      <w:r w:rsidRPr="00C9040A">
        <w:rPr>
          <w:rtl/>
          <w:lang w:bidi="fa-IR"/>
        </w:rPr>
        <w:t xml:space="preserve"> حَنَانُ بْنُ سَدِيرٍ </w:t>
      </w:r>
      <w:r w:rsidR="006C577F" w:rsidRPr="006C577F">
        <w:rPr>
          <w:rStyle w:val="libFootnotenumChar"/>
          <w:rtl/>
        </w:rPr>
        <w:t>(6)</w:t>
      </w:r>
      <w:r w:rsidRPr="005B567D">
        <w:rPr>
          <w:rStyle w:val="libFootnotenumChar"/>
          <w:rtl/>
        </w:rPr>
        <w:t xml:space="preserve"> </w:t>
      </w:r>
      <w:r w:rsidRPr="00C9040A">
        <w:rPr>
          <w:rtl/>
          <w:lang w:bidi="fa-IR"/>
        </w:rPr>
        <w:t xml:space="preserve">، عَنْ أَبِي سَارَةَ </w:t>
      </w:r>
      <w:r w:rsidR="006C577F" w:rsidRPr="006C577F">
        <w:rPr>
          <w:rStyle w:val="libFootnotenumChar"/>
          <w:rtl/>
        </w:rPr>
        <w:t>(7)</w:t>
      </w:r>
      <w:r w:rsidRPr="00C9040A">
        <w:rPr>
          <w:rtl/>
          <w:lang w:bidi="fa-IR"/>
        </w:rPr>
        <w:t xml:space="preserve"> الْغَزَّالِ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قَالَ اللهُ عَزَّ وَجَلَّ : ابْنَ آدَمَ </w:t>
      </w:r>
      <w:r w:rsidR="006C577F" w:rsidRPr="006C577F">
        <w:rPr>
          <w:rStyle w:val="libFootnotenumChar"/>
          <w:rtl/>
        </w:rPr>
        <w:t>(8)</w:t>
      </w:r>
      <w:r w:rsidRPr="00C9040A">
        <w:rPr>
          <w:rtl/>
          <w:lang w:bidi="fa-IR"/>
        </w:rPr>
        <w:t xml:space="preserve"> ، اجْتَنِبْ مَا حَرَّمْتُ عَلَيْكَ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 ج ، ص ، ض ، ف ، </w:t>
      </w:r>
      <w:r w:rsidR="006D3162">
        <w:rPr>
          <w:rtl/>
        </w:rPr>
        <w:t xml:space="preserve">ه </w:t>
      </w:r>
      <w:r w:rsidR="008A74EB" w:rsidRPr="00C9040A">
        <w:rPr>
          <w:rtl/>
        </w:rPr>
        <w:t xml:space="preserve">، بر » والوافي والبحار </w:t>
      </w:r>
      <w:r w:rsidR="008A74EB">
        <w:rPr>
          <w:rtl/>
        </w:rPr>
        <w:t xml:space="preserve">: </w:t>
      </w:r>
      <w:r w:rsidR="0084262C">
        <w:rPr>
          <w:rtl/>
        </w:rPr>
        <w:t>-</w:t>
      </w:r>
      <w:r w:rsidR="008A74EB" w:rsidRPr="00C9040A">
        <w:rPr>
          <w:rtl/>
        </w:rPr>
        <w:t xml:space="preserve"> « فقال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هكذا في « ج ، ز ، ص ، ض ، ف ، </w:t>
      </w:r>
      <w:r w:rsidR="006D3162">
        <w:rPr>
          <w:rtl/>
        </w:rPr>
        <w:t xml:space="preserve">ه </w:t>
      </w:r>
      <w:r w:rsidR="008A74EB" w:rsidRPr="00C9040A">
        <w:rPr>
          <w:rtl/>
        </w:rPr>
        <w:t>، بر ، بف » والوافي والبحار. وفي سائر النسخ والمطبوع : « ما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w:t>
      </w:r>
      <w:r w:rsidR="008A74EB" w:rsidRPr="00993B55">
        <w:rPr>
          <w:rStyle w:val="libFootnoteBoldChar"/>
          <w:rtl/>
        </w:rPr>
        <w:t>شرح المازندراني</w:t>
      </w:r>
      <w:r w:rsidR="008A74EB" w:rsidRPr="00C9040A">
        <w:rPr>
          <w:rtl/>
        </w:rPr>
        <w:t xml:space="preserve"> ، ج 8 ، ص 239 : « في ذكر الرجاء بعد العمل والورع تنبيهٌ على أنّهما سبب لرجاء الثواب ، لا الثواب ؛ وعلى أنّه لاينبغي لأحد أن يتّكل على عمله ، غاية ما في الباب له أن يجعله وسيلة للرجاء. وقد مرّ أنّ الرجاء بدونها غرور وحمق. وفيه دلالة على أنّه </w:t>
      </w:r>
      <w:r w:rsidR="00117575" w:rsidRPr="00117575">
        <w:rPr>
          <w:rStyle w:val="libFootnoteAlaemChar"/>
          <w:rtl/>
        </w:rPr>
        <w:t>عليه‌السلام</w:t>
      </w:r>
      <w:r w:rsidR="008A74EB" w:rsidRPr="00C9040A">
        <w:rPr>
          <w:rtl/>
        </w:rPr>
        <w:t xml:space="preserve"> كره ما قاله أبوالصبّاح ؛ لما فيه من الخشونة وسوء الأدب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هكذا في « ج ، د ، ز ، ص ، ض ، ف ، </w:t>
      </w:r>
      <w:r w:rsidR="006D3162">
        <w:rPr>
          <w:rtl/>
        </w:rPr>
        <w:t xml:space="preserve">ه </w:t>
      </w:r>
      <w:r w:rsidR="008A74EB" w:rsidRPr="00C9040A">
        <w:rPr>
          <w:rtl/>
        </w:rPr>
        <w:t>، بر ، بس ، بف » والوافي والوسائل والبحار. وفي « ب » والمطبوع : « فهؤلاء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الكافي</w:t>
      </w:r>
      <w:r w:rsidR="008A74EB" w:rsidRPr="00C9040A">
        <w:rPr>
          <w:rtl/>
        </w:rPr>
        <w:t xml:space="preserve"> ، كتاب الإيمان والكفر ، باب المؤمن وعلاماته وصفاته ، ح 2288 ، عن محمّد بن يحيى ، عن أحمد بن محمّد بن عيسى ، عن محمّد بن إسماعيل ، عن منصور بزرج ، عن مفضّل ، عن أبي عبدالله </w:t>
      </w:r>
      <w:r w:rsidR="00117575" w:rsidRPr="00117575">
        <w:rPr>
          <w:rStyle w:val="libFootnoteAlaemChar"/>
          <w:rtl/>
        </w:rPr>
        <w:t>عليه‌السلام</w:t>
      </w:r>
      <w:r w:rsidR="008A74EB" w:rsidRPr="00C9040A">
        <w:rPr>
          <w:rtl/>
        </w:rPr>
        <w:t xml:space="preserve"> ، مع زيادة في أوّله. </w:t>
      </w:r>
      <w:r w:rsidR="008A74EB" w:rsidRPr="00993B55">
        <w:rPr>
          <w:rStyle w:val="libFootnoteBoldChar"/>
          <w:rtl/>
        </w:rPr>
        <w:t>وفيه</w:t>
      </w:r>
      <w:r w:rsidR="008A74EB" w:rsidRPr="00C9040A">
        <w:rPr>
          <w:rtl/>
        </w:rPr>
        <w:t xml:space="preserve"> ، نفس الباب ، ح 2302 ؛ و</w:t>
      </w:r>
      <w:r w:rsidR="008A74EB" w:rsidRPr="00993B55">
        <w:rPr>
          <w:rStyle w:val="libFootnoteBoldChar"/>
          <w:rtl/>
        </w:rPr>
        <w:t xml:space="preserve">الخصال </w:t>
      </w:r>
      <w:r w:rsidR="008A74EB" w:rsidRPr="00C9040A">
        <w:rPr>
          <w:rtl/>
        </w:rPr>
        <w:t>، ص 295 ، باب الخمسة ، ح 63 ؛ و</w:t>
      </w:r>
      <w:r w:rsidR="008A74EB" w:rsidRPr="00993B55">
        <w:rPr>
          <w:rStyle w:val="libFootnoteBoldChar"/>
          <w:rtl/>
        </w:rPr>
        <w:t xml:space="preserve">صفات الشيعة </w:t>
      </w:r>
      <w:r w:rsidR="008A74EB" w:rsidRPr="00C9040A">
        <w:rPr>
          <w:rtl/>
        </w:rPr>
        <w:t xml:space="preserve">، ص 7 ، ح 12 ؛ وص 11 ، ح 21 ، بسند آخر ، وفي كلّ المصادر من قوله : « إنّما أصحابي من اشتدّ » مع اختلاف </w:t>
      </w:r>
      <w:r w:rsidR="00D62B15">
        <w:rPr>
          <w:rFonts w:hint="cs"/>
          <w:rtl/>
        </w:rPr>
        <w:t>.</w:t>
      </w:r>
      <w:r w:rsidR="008A74EB" w:rsidRPr="00993B55">
        <w:rPr>
          <w:rStyle w:val="libFootnoteBoldChar"/>
          <w:rtl/>
        </w:rPr>
        <w:t>الوافي</w:t>
      </w:r>
      <w:r w:rsidR="008A74EB" w:rsidRPr="00C9040A">
        <w:rPr>
          <w:rtl/>
        </w:rPr>
        <w:t xml:space="preserve"> ، ج 4 ، ص 326 ، ح 2032 ؛ </w:t>
      </w:r>
      <w:r w:rsidR="008A74EB" w:rsidRPr="00993B55">
        <w:rPr>
          <w:rStyle w:val="libFootnoteBoldChar"/>
          <w:rtl/>
        </w:rPr>
        <w:t>الوسائل</w:t>
      </w:r>
      <w:r w:rsidR="008A74EB" w:rsidRPr="00C9040A">
        <w:rPr>
          <w:rtl/>
        </w:rPr>
        <w:t xml:space="preserve"> ، ج 15 ، ص 244 ، ح 20398 ، من قوله : « إنّما أصحابي من اشتدّ » ؛ </w:t>
      </w:r>
      <w:r w:rsidR="008A74EB" w:rsidRPr="00993B55">
        <w:rPr>
          <w:rStyle w:val="libFootnoteBoldChar"/>
          <w:rtl/>
        </w:rPr>
        <w:t>البحار</w:t>
      </w:r>
      <w:r w:rsidR="008A74EB" w:rsidRPr="00C9040A">
        <w:rPr>
          <w:rtl/>
        </w:rPr>
        <w:t xml:space="preserve"> ، ج 70 ، ص 298 ، ح 6.</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السند معلّق على سابقه. ويروي عن حنان ، محمّد بن يحيى ، عن أحمد بن محمّد بن عيسى ، عن محمّد بن إسماعيل بن بزيع.</w:t>
      </w:r>
    </w:p>
    <w:p w:rsidR="008A74EB" w:rsidRPr="00C9040A" w:rsidRDefault="006C577F" w:rsidP="004A4E41">
      <w:pPr>
        <w:pStyle w:val="libFootnote0"/>
        <w:rPr>
          <w:rtl/>
          <w:lang w:bidi="fa-IR"/>
        </w:rPr>
      </w:pPr>
      <w:r>
        <w:rPr>
          <w:rtl/>
        </w:rPr>
        <w:t>(7).</w:t>
      </w:r>
      <w:r w:rsidR="008A74EB" w:rsidRPr="00C9040A">
        <w:rPr>
          <w:rtl/>
        </w:rPr>
        <w:t xml:space="preserve"> في « ز » : « انى يشارة »</w:t>
      </w:r>
      <w:r w:rsidR="008A74EB">
        <w:rPr>
          <w:rtl/>
        </w:rPr>
        <w:t>.</w:t>
      </w:r>
      <w:r w:rsidR="008A74EB" w:rsidRPr="00C9040A">
        <w:rPr>
          <w:rtl/>
        </w:rPr>
        <w:t xml:space="preserve"> وفي « ص » وفي حاشية « بف » : « أبي سامرة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 ف » : « يا ابن آدم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تَكُنْ مِنْ أَوْرَعِ النَّاسِ »</w:t>
      </w:r>
      <w:r>
        <w:rPr>
          <w:rtl/>
          <w:lang w:bidi="fa-IR"/>
        </w:rPr>
        <w:t>.</w:t>
      </w:r>
      <w:r w:rsidRPr="00C9040A">
        <w:rPr>
          <w:rtl/>
          <w:lang w:bidi="fa-IR"/>
        </w:rPr>
        <w:t xml:space="preserve"> </w:t>
      </w:r>
      <w:r w:rsidR="006C577F" w:rsidRPr="006C577F">
        <w:rPr>
          <w:rStyle w:val="libFootnotenumChar"/>
          <w:rtl/>
        </w:rPr>
        <w:t>(1)</w:t>
      </w:r>
      <w:r w:rsidRPr="00C9040A">
        <w:rPr>
          <w:rtl/>
          <w:lang w:bidi="fa-IR"/>
        </w:rPr>
        <w:t>‌</w:t>
      </w:r>
    </w:p>
    <w:p w:rsidR="008A74EB" w:rsidRPr="00C9040A" w:rsidRDefault="008A74EB" w:rsidP="008A74EB">
      <w:pPr>
        <w:pStyle w:val="libNormal"/>
        <w:rPr>
          <w:rtl/>
          <w:lang w:bidi="fa-IR"/>
        </w:rPr>
      </w:pPr>
      <w:r w:rsidRPr="00885664">
        <w:rPr>
          <w:rtl/>
        </w:rPr>
        <w:t>1635</w:t>
      </w:r>
      <w:r w:rsidRPr="00261CB0">
        <w:rPr>
          <w:rStyle w:val="libBold2Char"/>
          <w:rtl/>
        </w:rPr>
        <w:t xml:space="preserve"> / 8.</w:t>
      </w:r>
      <w:r w:rsidRPr="00C9040A">
        <w:rPr>
          <w:rtl/>
          <w:lang w:bidi="fa-IR"/>
        </w:rPr>
        <w:t xml:space="preserve"> عَلِيُّ بْنُ إِبْرَاهِيمَ ، عَنْ أَبِيهِ وَعَلِيِّ بْنِ مُحَمَّدٍ </w:t>
      </w:r>
      <w:r w:rsidR="006C577F" w:rsidRPr="006C577F">
        <w:rPr>
          <w:rStyle w:val="libFootnotenumChar"/>
          <w:rtl/>
        </w:rPr>
        <w:t>(2)</w:t>
      </w:r>
      <w:r w:rsidRPr="00C9040A">
        <w:rPr>
          <w:rtl/>
          <w:lang w:bidi="fa-IR"/>
        </w:rPr>
        <w:t xml:space="preserve"> ، عَنِ الْقَاسِمِ بْنِ مُحَمَّدٍ ، عَنْ سُلَيْمَانَ الْمِنْقَرِيِّ ، عَنْ حَفْصِ بْنِ غِيَاثٍ ، قَالَ :</w:t>
      </w:r>
    </w:p>
    <w:p w:rsidR="008A74EB" w:rsidRPr="00C9040A" w:rsidRDefault="008A74EB" w:rsidP="008A74EB">
      <w:pPr>
        <w:pStyle w:val="libNormal"/>
        <w:rPr>
          <w:rtl/>
          <w:lang w:bidi="fa-IR"/>
        </w:rPr>
      </w:pPr>
      <w:r w:rsidRPr="00C9040A">
        <w:rPr>
          <w:rtl/>
          <w:lang w:bidi="fa-IR"/>
        </w:rPr>
        <w:t xml:space="preserve">سَأَلْتُ أَبَا عَبْدِ اللهِ </w:t>
      </w:r>
      <w:r w:rsidRPr="0003660B">
        <w:rPr>
          <w:rStyle w:val="libAlaemChar"/>
          <w:rtl/>
        </w:rPr>
        <w:t>عليه‌السلام</w:t>
      </w:r>
      <w:r w:rsidRPr="00C9040A">
        <w:rPr>
          <w:rtl/>
          <w:lang w:bidi="fa-IR"/>
        </w:rPr>
        <w:t xml:space="preserve"> عَنِ الْوَرِعِ مِنَ النَّاسِ </w:t>
      </w:r>
      <w:r w:rsidR="006C577F" w:rsidRPr="006C577F">
        <w:rPr>
          <w:rStyle w:val="libFootnotenumChar"/>
          <w:rtl/>
        </w:rPr>
        <w:t>(3)</w:t>
      </w:r>
      <w:r w:rsidRPr="00C9040A">
        <w:rPr>
          <w:rtl/>
          <w:lang w:bidi="fa-IR"/>
        </w:rPr>
        <w:t xml:space="preserve"> ، فَقَالَ : « الَّذِي يَتَوَرَّعُ عَنْ </w:t>
      </w:r>
      <w:r w:rsidR="006C577F" w:rsidRPr="006C577F">
        <w:rPr>
          <w:rStyle w:val="libFootnotenumChar"/>
          <w:rtl/>
        </w:rPr>
        <w:t>(4)</w:t>
      </w:r>
      <w:r w:rsidRPr="00C9040A">
        <w:rPr>
          <w:rtl/>
          <w:lang w:bidi="fa-IR"/>
        </w:rPr>
        <w:t xml:space="preserve"> مَحَارِمِ اللهِ عَزَّ وَجَلَّ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885664">
        <w:rPr>
          <w:rtl/>
        </w:rPr>
        <w:t>1636</w:t>
      </w:r>
      <w:r w:rsidRPr="00261CB0">
        <w:rPr>
          <w:rStyle w:val="libBold2Char"/>
          <w:rtl/>
        </w:rPr>
        <w:t xml:space="preserve"> / 9.</w:t>
      </w:r>
      <w:r w:rsidRPr="00C9040A">
        <w:rPr>
          <w:rtl/>
          <w:lang w:bidi="fa-IR"/>
        </w:rPr>
        <w:t xml:space="preserve"> مُحَمَّدُ بْنُ يَحْيى ، عَنْ أَحْمَدَ بْنِ مُحَمَّدِ بْنِ عِيسى ، عَنْ عَلِيِّ بْنِ النُّعْمَانِ ، عَنْ أَبِي أُسَامَةَ ، قَالَ :</w:t>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 « عَلَيْكُمْ </w:t>
      </w:r>
      <w:r w:rsidR="006C577F" w:rsidRPr="006C577F">
        <w:rPr>
          <w:rStyle w:val="libFootnotenumChar"/>
          <w:rtl/>
        </w:rPr>
        <w:t>(6)</w:t>
      </w:r>
      <w:r w:rsidRPr="005B567D">
        <w:rPr>
          <w:rStyle w:val="libFootnotenumChar"/>
          <w:rtl/>
        </w:rPr>
        <w:t xml:space="preserve"> </w:t>
      </w:r>
      <w:r w:rsidRPr="00C9040A">
        <w:rPr>
          <w:rtl/>
          <w:lang w:bidi="fa-IR"/>
        </w:rPr>
        <w:t>بِتَقْوَى اللهِ ، وَالْوَرَعِ ، وَالِاجْتِهَادِ ، وَصِدْقِ الْحَدِيثِ ، وَأَدَاءِ الْأَمَانَةِ ، وَحُسْنِ الْخُلُقِ ، وَحُسْنِ الْجِوَارِ ؛ وَكُونُوا دُعَاةً إِلى أَنْفُسِكُمْ‌</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w:t>
      </w:r>
      <w:r w:rsidR="008A74EB" w:rsidRPr="0034021D">
        <w:rPr>
          <w:rStyle w:val="libFootnoteBoldChar"/>
          <w:rtl/>
        </w:rPr>
        <w:t>الأمالي للصدوق</w:t>
      </w:r>
      <w:r w:rsidR="008A74EB" w:rsidRPr="00C9040A">
        <w:rPr>
          <w:rtl/>
        </w:rPr>
        <w:t xml:space="preserve"> ، ص 201 ، المجلس 36 ، ح 13 ؛ و</w:t>
      </w:r>
      <w:r w:rsidR="008A74EB" w:rsidRPr="0034021D">
        <w:rPr>
          <w:rStyle w:val="libFootnoteBoldChar"/>
          <w:rtl/>
        </w:rPr>
        <w:t>الأمالي للمفيد</w:t>
      </w:r>
      <w:r w:rsidR="008A74EB" w:rsidRPr="00C9040A">
        <w:rPr>
          <w:rtl/>
        </w:rPr>
        <w:t xml:space="preserve"> ، ص 350 ، المجلس 42 ، ح 1 ؛ </w:t>
      </w:r>
      <w:r w:rsidR="008A74EB" w:rsidRPr="00AC2E2F">
        <w:rPr>
          <w:rStyle w:val="libFootnoteBoldChar"/>
          <w:rtl/>
        </w:rPr>
        <w:t>والأمالي للطوسي</w:t>
      </w:r>
      <w:r w:rsidR="008A74EB" w:rsidRPr="00C9040A">
        <w:rPr>
          <w:rtl/>
        </w:rPr>
        <w:t xml:space="preserve"> ، ص 120 ، المجلس 4 ، ح 41 ، بسند آخر عن جعفر بن محمّد ، عن آبائه </w:t>
      </w:r>
      <w:r w:rsidR="00117575" w:rsidRPr="00117575">
        <w:rPr>
          <w:rStyle w:val="libFootnoteAlaemChar"/>
          <w:rtl/>
        </w:rPr>
        <w:t>عليهم‌السلام</w:t>
      </w:r>
      <w:r w:rsidR="008A74EB" w:rsidRPr="00C9040A">
        <w:rPr>
          <w:rtl/>
        </w:rPr>
        <w:t xml:space="preserve"> عن رسول الله </w:t>
      </w:r>
      <w:r w:rsidR="004A4E41" w:rsidRPr="00AC2E2F">
        <w:rPr>
          <w:rStyle w:val="libFootnoteAlaemChar"/>
          <w:rtl/>
        </w:rPr>
        <w:t>صلى‌الله‌عليه‌وآله</w:t>
      </w:r>
      <w:r w:rsidR="008A74EB" w:rsidRPr="00C9040A">
        <w:rPr>
          <w:rtl/>
        </w:rPr>
        <w:t xml:space="preserve"> ، وفي كلّها : « كفّ عن محارم الله تكن أورع الناس » مع زيادة في أوّله وآخره. </w:t>
      </w:r>
      <w:r w:rsidR="008A74EB" w:rsidRPr="00993B55">
        <w:rPr>
          <w:rStyle w:val="libFootnoteBoldChar"/>
          <w:rtl/>
        </w:rPr>
        <w:t>تحف العقول</w:t>
      </w:r>
      <w:r w:rsidR="008A74EB" w:rsidRPr="00C9040A">
        <w:rPr>
          <w:rtl/>
        </w:rPr>
        <w:t xml:space="preserve"> ، ص 296 ؛ </w:t>
      </w:r>
      <w:r w:rsidR="008A74EB" w:rsidRPr="00993B55">
        <w:rPr>
          <w:rStyle w:val="libFootnoteBoldChar"/>
          <w:rtl/>
        </w:rPr>
        <w:t>وفيه</w:t>
      </w:r>
      <w:r w:rsidR="008A74EB" w:rsidRPr="00C9040A">
        <w:rPr>
          <w:rtl/>
        </w:rPr>
        <w:t xml:space="preserve"> ، ص 281 ، عن عليّ بن الحسين </w:t>
      </w:r>
      <w:r w:rsidR="00117575" w:rsidRPr="00117575">
        <w:rPr>
          <w:rStyle w:val="libFootnoteAlaemChar"/>
          <w:rtl/>
        </w:rPr>
        <w:t xml:space="preserve">عليه‌السلام </w:t>
      </w:r>
      <w:r w:rsidR="008A74EB" w:rsidRPr="00C9040A">
        <w:rPr>
          <w:rtl/>
        </w:rPr>
        <w:t xml:space="preserve"> ، مع زيادة في أوّله </w:t>
      </w:r>
      <w:r w:rsidR="00F7279B">
        <w:rPr>
          <w:rFonts w:hint="cs"/>
          <w:rtl/>
        </w:rPr>
        <w:t>.</w:t>
      </w:r>
      <w:r w:rsidR="008A74EB" w:rsidRPr="00993B55">
        <w:rPr>
          <w:rStyle w:val="libFootnoteBoldChar"/>
          <w:rtl/>
        </w:rPr>
        <w:t>الوافي</w:t>
      </w:r>
      <w:r w:rsidR="008A74EB" w:rsidRPr="00C9040A">
        <w:rPr>
          <w:rtl/>
        </w:rPr>
        <w:t xml:space="preserve"> ، ج 4 ، ص 326 ، ح 2033 ؛ </w:t>
      </w:r>
      <w:r w:rsidR="008A74EB" w:rsidRPr="00993B55">
        <w:rPr>
          <w:rStyle w:val="libFootnoteBoldChar"/>
          <w:rtl/>
        </w:rPr>
        <w:t>الوسائل</w:t>
      </w:r>
      <w:r w:rsidR="008A74EB" w:rsidRPr="00C9040A">
        <w:rPr>
          <w:rtl/>
        </w:rPr>
        <w:t xml:space="preserve"> ، ج 15 ، ص 245 ، ح 20399 ؛ </w:t>
      </w:r>
      <w:r w:rsidR="008A74EB" w:rsidRPr="00993B55">
        <w:rPr>
          <w:rStyle w:val="libFootnoteBoldChar"/>
          <w:rtl/>
        </w:rPr>
        <w:t>البحار</w:t>
      </w:r>
      <w:r w:rsidR="008A74EB" w:rsidRPr="00C9040A">
        <w:rPr>
          <w:rtl/>
        </w:rPr>
        <w:t xml:space="preserve"> ، ج 70 ، ص 298 ، ح 7.</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الكافي ، ح 8516 : + « القاساني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تفسير القمّي </w:t>
      </w:r>
      <w:r w:rsidR="008A74EB">
        <w:rPr>
          <w:rtl/>
        </w:rPr>
        <w:t xml:space="preserve">: </w:t>
      </w:r>
      <w:r w:rsidR="0084262C">
        <w:rPr>
          <w:rtl/>
        </w:rPr>
        <w:t>-</w:t>
      </w:r>
      <w:r w:rsidR="008A74EB" w:rsidRPr="00C9040A">
        <w:rPr>
          <w:rtl/>
        </w:rPr>
        <w:t xml:space="preserve"> « من الناس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ب » وتفسير العيّاشي والمعاني : « من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الكافي</w:t>
      </w:r>
      <w:r w:rsidR="008A74EB" w:rsidRPr="00C9040A">
        <w:rPr>
          <w:rtl/>
        </w:rPr>
        <w:t xml:space="preserve"> ، كتاب المعيشة ، باب عمل السلطان وجوائزهم ، ح 8516 ، عن عليّ بن إبراهيم</w:t>
      </w:r>
      <w:r w:rsidR="008A74EB">
        <w:rPr>
          <w:rtl/>
        </w:rPr>
        <w:t xml:space="preserve"> ..</w:t>
      </w:r>
      <w:r w:rsidR="008A74EB" w:rsidRPr="00C9040A">
        <w:rPr>
          <w:rtl/>
        </w:rPr>
        <w:t xml:space="preserve">. ، عن سليمان المنقري ، عن فضيل بن عياض ، عن أبي عبدالله </w:t>
      </w:r>
      <w:r w:rsidR="00117575" w:rsidRPr="00117575">
        <w:rPr>
          <w:rStyle w:val="libFootnoteAlaemChar"/>
          <w:rtl/>
        </w:rPr>
        <w:t>عليه‌السلام</w:t>
      </w:r>
      <w:r w:rsidR="008A74EB" w:rsidRPr="00C9040A">
        <w:rPr>
          <w:rtl/>
        </w:rPr>
        <w:t xml:space="preserve"> ، مع زيادة في أوّله وآخره. </w:t>
      </w:r>
      <w:r w:rsidR="008A74EB" w:rsidRPr="00993B55">
        <w:rPr>
          <w:rStyle w:val="libFootnoteBoldChar"/>
          <w:rtl/>
        </w:rPr>
        <w:t>تفسير القمّي</w:t>
      </w:r>
      <w:r w:rsidR="008A74EB" w:rsidRPr="00C9040A">
        <w:rPr>
          <w:rtl/>
        </w:rPr>
        <w:t xml:space="preserve"> ، ج 1 ، ص 200 ، عن أبيه ، عن القاسم بن محمّد ، عن سليمان بن داود المنقري ، عن فضيل بن عياض ، عن أبي عبدالله </w:t>
      </w:r>
      <w:r w:rsidR="00117575" w:rsidRPr="00117575">
        <w:rPr>
          <w:rStyle w:val="libFootnoteAlaemChar"/>
          <w:rtl/>
        </w:rPr>
        <w:t>عليه‌السلام</w:t>
      </w:r>
      <w:r w:rsidR="008A74EB" w:rsidRPr="00C9040A">
        <w:rPr>
          <w:rtl/>
        </w:rPr>
        <w:t xml:space="preserve"> ؛ </w:t>
      </w:r>
      <w:r w:rsidR="008A74EB" w:rsidRPr="00993B55">
        <w:rPr>
          <w:rStyle w:val="libFootnoteBoldChar"/>
          <w:rtl/>
        </w:rPr>
        <w:t>معاني الأخبار</w:t>
      </w:r>
      <w:r w:rsidR="008A74EB" w:rsidRPr="00C9040A">
        <w:rPr>
          <w:rtl/>
        </w:rPr>
        <w:t xml:space="preserve"> ، ص 252 ، ح 1 ، بسنده عن القاسم بن محمّد الإصبهانيّ ، عن سليمان بن داود المنقريّ ، عن فضيل بن عياض ، عن أبي عبدالله </w:t>
      </w:r>
      <w:r w:rsidR="00117575" w:rsidRPr="00117575">
        <w:rPr>
          <w:rStyle w:val="libFootnoteAlaemChar"/>
          <w:rtl/>
        </w:rPr>
        <w:t>عليه‌السلام</w:t>
      </w:r>
      <w:r w:rsidR="008A74EB" w:rsidRPr="00C9040A">
        <w:rPr>
          <w:rtl/>
        </w:rPr>
        <w:t xml:space="preserve"> ، مع زيادة في آخره. </w:t>
      </w:r>
      <w:r w:rsidR="008A74EB" w:rsidRPr="00993B55">
        <w:rPr>
          <w:rStyle w:val="libFootnoteBoldChar"/>
          <w:rtl/>
        </w:rPr>
        <w:t>تفسير العيّاشي</w:t>
      </w:r>
      <w:r w:rsidR="008A74EB" w:rsidRPr="00C9040A">
        <w:rPr>
          <w:rtl/>
        </w:rPr>
        <w:t xml:space="preserve"> ، ج 1 ، ص 360 ، ح 25 ، عن فضيل بن عياض ، عن أبي عبدالله </w:t>
      </w:r>
      <w:r w:rsidR="00117575" w:rsidRPr="00117575">
        <w:rPr>
          <w:rStyle w:val="libFootnoteAlaemChar"/>
          <w:rtl/>
        </w:rPr>
        <w:t>عليه‌السلام</w:t>
      </w:r>
      <w:r w:rsidR="008A74EB" w:rsidRPr="00C9040A">
        <w:rPr>
          <w:rtl/>
        </w:rPr>
        <w:t xml:space="preserve"> ، مع زيادة في آخره </w:t>
      </w:r>
      <w:r w:rsidR="004C262E">
        <w:rPr>
          <w:rFonts w:hint="cs"/>
          <w:rtl/>
        </w:rPr>
        <w:t>.</w:t>
      </w:r>
      <w:r w:rsidR="008A74EB" w:rsidRPr="00993B55">
        <w:rPr>
          <w:rStyle w:val="libFootnoteBoldChar"/>
          <w:rtl/>
        </w:rPr>
        <w:t>الوافي</w:t>
      </w:r>
      <w:r w:rsidR="008A74EB" w:rsidRPr="00C9040A">
        <w:rPr>
          <w:rtl/>
        </w:rPr>
        <w:t xml:space="preserve"> ، ج 4 ، ص 329 ، ح 2040 ؛ </w:t>
      </w:r>
      <w:r w:rsidR="008A74EB" w:rsidRPr="00993B55">
        <w:rPr>
          <w:rStyle w:val="libFootnoteBoldChar"/>
          <w:rtl/>
        </w:rPr>
        <w:t>البحار</w:t>
      </w:r>
      <w:r w:rsidR="008A74EB" w:rsidRPr="00C9040A">
        <w:rPr>
          <w:rtl/>
        </w:rPr>
        <w:t xml:space="preserve"> ، ج 70 ، ص 299 ، ح 8.</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هكذا في « ب ، د ، ض ، </w:t>
      </w:r>
      <w:r w:rsidR="006D3162">
        <w:rPr>
          <w:rtl/>
        </w:rPr>
        <w:t xml:space="preserve">ه </w:t>
      </w:r>
      <w:r w:rsidR="008A74EB" w:rsidRPr="00C9040A">
        <w:rPr>
          <w:rtl/>
        </w:rPr>
        <w:t xml:space="preserve">، بر ، ف » وحاشية « ج » والمحاسن ، ويقتضيه السياق. وفي « ج ، ز ، ص ، ف ، بس » والمطبوع والوسائل ، ح 201 </w:t>
      </w:r>
      <w:r w:rsidR="008A74EB">
        <w:rPr>
          <w:rtl/>
        </w:rPr>
        <w:t>و 2</w:t>
      </w:r>
      <w:r w:rsidR="008A74EB" w:rsidRPr="00C9040A">
        <w:rPr>
          <w:rtl/>
        </w:rPr>
        <w:t>0400 والبحار : « عليك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بِغَيْرِ أَلْسِنَتِكُمْ ، وَكُونُوا زَيْناً ، وَلَا تَكُونُوا شَيْناً </w:t>
      </w:r>
      <w:r w:rsidR="006C577F" w:rsidRPr="006C577F">
        <w:rPr>
          <w:rStyle w:val="libFootnotenumChar"/>
          <w:rtl/>
        </w:rPr>
        <w:t>(1)</w:t>
      </w:r>
      <w:r w:rsidRPr="00C9040A">
        <w:rPr>
          <w:rtl/>
          <w:lang w:bidi="fa-IR"/>
        </w:rPr>
        <w:t xml:space="preserve">؛ وَعَلَيْكُمْ </w:t>
      </w:r>
      <w:r w:rsidR="006C577F" w:rsidRPr="006C577F">
        <w:rPr>
          <w:rStyle w:val="libFootnotenumChar"/>
          <w:rtl/>
        </w:rPr>
        <w:t>(2)</w:t>
      </w:r>
      <w:r w:rsidRPr="00C9040A">
        <w:rPr>
          <w:rtl/>
          <w:lang w:bidi="fa-IR"/>
        </w:rPr>
        <w:t xml:space="preserve"> بِطُولِ الرُّكُوعِ وَالسُّجُودِ ؛ فَإِنَّ أَحَدَكُمْ إِذَا أَطَالَ </w:t>
      </w:r>
      <w:r w:rsidR="006C577F" w:rsidRPr="006C577F">
        <w:rPr>
          <w:rStyle w:val="libFootnotenumChar"/>
          <w:rtl/>
        </w:rPr>
        <w:t>(3)</w:t>
      </w:r>
      <w:r w:rsidRPr="00C9040A">
        <w:rPr>
          <w:rtl/>
          <w:lang w:bidi="fa-IR"/>
        </w:rPr>
        <w:t xml:space="preserve"> الرُّكُوعَ وَالسُّجُودَ ، هَتَفَ إِبْلِيسُ مِنْ خَلْفِهِ ، وَقَالَ : يَا وَيْلَهُ </w:t>
      </w:r>
      <w:r w:rsidR="006C577F" w:rsidRPr="006C577F">
        <w:rPr>
          <w:rStyle w:val="libFootnotenumChar"/>
          <w:rtl/>
        </w:rPr>
        <w:t>(4)</w:t>
      </w:r>
      <w:r w:rsidRPr="00C9040A">
        <w:rPr>
          <w:rtl/>
          <w:lang w:bidi="fa-IR"/>
        </w:rPr>
        <w:t xml:space="preserve"> ، أَطَاعَ </w:t>
      </w:r>
      <w:r w:rsidR="006C577F" w:rsidRPr="006C577F">
        <w:rPr>
          <w:rStyle w:val="libFootnotenumChar"/>
          <w:rtl/>
        </w:rPr>
        <w:t>(5)</w:t>
      </w:r>
      <w:r w:rsidRPr="00C9040A">
        <w:rPr>
          <w:rtl/>
          <w:lang w:bidi="fa-IR"/>
        </w:rPr>
        <w:t xml:space="preserve"> وَعَصَيْتُ ، وَسَجَدَ </w:t>
      </w:r>
      <w:r w:rsidR="006C577F" w:rsidRPr="006C577F">
        <w:rPr>
          <w:rStyle w:val="libFootnotenumChar"/>
          <w:rtl/>
        </w:rPr>
        <w:t>(6)</w:t>
      </w:r>
      <w:r w:rsidRPr="005B567D">
        <w:rPr>
          <w:rStyle w:val="libFootnotenumChar"/>
          <w:rtl/>
        </w:rPr>
        <w:t xml:space="preserve"> </w:t>
      </w:r>
      <w:r w:rsidRPr="00C9040A">
        <w:rPr>
          <w:rtl/>
          <w:lang w:bidi="fa-IR"/>
        </w:rPr>
        <w:t>وَأَبَيْتُ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721E30">
        <w:rPr>
          <w:rtl/>
        </w:rPr>
        <w:t>1637</w:t>
      </w:r>
      <w:r w:rsidRPr="00261CB0">
        <w:rPr>
          <w:rStyle w:val="libBold2Char"/>
          <w:rtl/>
        </w:rPr>
        <w:t xml:space="preserve"> / 10.</w:t>
      </w:r>
      <w:r w:rsidRPr="00C9040A">
        <w:rPr>
          <w:rtl/>
          <w:lang w:bidi="fa-IR"/>
        </w:rPr>
        <w:t xml:space="preserve"> مُحَمَّدُ بْنُ يَحْيى ، عَنْ أَحْمَدَ بْنِ مُحَمَّدِ بْنِ عِيسى ، عَنْ عَلِيِّ بْنِ أَبِي زَيْدٍ </w:t>
      </w:r>
      <w:r w:rsidR="006C577F" w:rsidRPr="006C577F">
        <w:rPr>
          <w:rStyle w:val="libFootnotenumChar"/>
          <w:rtl/>
        </w:rPr>
        <w:t>(8)</w:t>
      </w:r>
      <w:r w:rsidRPr="00C9040A">
        <w:rPr>
          <w:rtl/>
          <w:lang w:bidi="fa-IR"/>
        </w:rPr>
        <w:t xml:space="preserve"> ، عَنْ أَبِيهِ ، قَالَ :</w:t>
      </w:r>
    </w:p>
    <w:p w:rsidR="008A74EB" w:rsidRPr="00C9040A" w:rsidRDefault="008A74EB" w:rsidP="008A74EB">
      <w:pPr>
        <w:pStyle w:val="libNormal"/>
        <w:rPr>
          <w:rtl/>
          <w:lang w:bidi="fa-IR"/>
        </w:rPr>
      </w:pPr>
      <w:r w:rsidRPr="00C9040A">
        <w:rPr>
          <w:rtl/>
          <w:lang w:bidi="fa-IR"/>
        </w:rPr>
        <w:t xml:space="preserve">كُنْتُ عِنْدَ أَبِي عَبْدِ اللهِ </w:t>
      </w:r>
      <w:r w:rsidRPr="0003660B">
        <w:rPr>
          <w:rStyle w:val="libAlaemChar"/>
          <w:rtl/>
        </w:rPr>
        <w:t>عليه‌السلام</w:t>
      </w:r>
      <w:r w:rsidRPr="00C9040A">
        <w:rPr>
          <w:rtl/>
          <w:lang w:bidi="fa-IR"/>
        </w:rPr>
        <w:t xml:space="preserve"> ، فَدَخَلَ </w:t>
      </w:r>
      <w:r w:rsidR="006C577F" w:rsidRPr="006C577F">
        <w:rPr>
          <w:rStyle w:val="libFootnotenumChar"/>
          <w:rtl/>
        </w:rPr>
        <w:t>(9)</w:t>
      </w:r>
      <w:r w:rsidRPr="00C9040A">
        <w:rPr>
          <w:rtl/>
          <w:lang w:bidi="fa-IR"/>
        </w:rPr>
        <w:t xml:space="preserve"> عِيسَى بْنُ عَبْدِ اللهِ الْقُمِّيُّ ، فَرَحَّبَ بِهِ ، وَقَرَّبَ مِنْ </w:t>
      </w:r>
      <w:r w:rsidR="006C577F" w:rsidRPr="006C577F">
        <w:rPr>
          <w:rStyle w:val="libFootnotenumChar"/>
          <w:rtl/>
        </w:rPr>
        <w:t>(10)</w:t>
      </w:r>
      <w:r w:rsidRPr="00C9040A">
        <w:rPr>
          <w:rtl/>
          <w:lang w:bidi="fa-IR"/>
        </w:rPr>
        <w:t xml:space="preserve"> مَجْلِسِهِ ، ثُمَّ قَالَ : « يَا عِيسَى بْنَ عَبْدِ اللهِ ، لَيْسَ مِنَّا وَلَا كَرَامَةَ مَنْ كَانَ فِي مِصْرٍ</w:t>
      </w:r>
      <w:r>
        <w:rPr>
          <w:rtl/>
          <w:lang w:bidi="fa-IR"/>
        </w:rPr>
        <w:t xml:space="preserve"> </w:t>
      </w:r>
      <w:r w:rsidR="0084262C">
        <w:rPr>
          <w:rtl/>
          <w:lang w:bidi="fa-IR"/>
        </w:rPr>
        <w:t>-</w:t>
      </w:r>
      <w:r>
        <w:rPr>
          <w:rtl/>
          <w:lang w:bidi="fa-IR"/>
        </w:rPr>
        <w:t xml:space="preserve"> </w:t>
      </w:r>
      <w:r w:rsidRPr="00C9040A">
        <w:rPr>
          <w:rtl/>
          <w:lang w:bidi="fa-IR"/>
        </w:rPr>
        <w:t xml:space="preserve">فِيهِ مِائَةُ أَلْفٍ </w:t>
      </w:r>
      <w:r w:rsidR="006C577F" w:rsidRPr="006C577F">
        <w:rPr>
          <w:rStyle w:val="libFootnotenumChar"/>
          <w:rtl/>
        </w:rPr>
        <w:t>(11)</w:t>
      </w:r>
      <w:r w:rsidRPr="00C9040A">
        <w:rPr>
          <w:rtl/>
          <w:lang w:bidi="fa-IR"/>
        </w:rPr>
        <w:t xml:space="preserve"> أَوْ يَزِيدُونَ</w:t>
      </w:r>
      <w:r>
        <w:rPr>
          <w:rtl/>
          <w:lang w:bidi="fa-IR"/>
        </w:rPr>
        <w:t xml:space="preserve"> </w:t>
      </w:r>
      <w:r w:rsidR="0084262C">
        <w:rPr>
          <w:rtl/>
          <w:lang w:bidi="fa-IR"/>
        </w:rPr>
        <w:t>-</w:t>
      </w:r>
      <w:r>
        <w:rPr>
          <w:rtl/>
          <w:lang w:bidi="fa-IR"/>
        </w:rPr>
        <w:t xml:space="preserve"> </w:t>
      </w:r>
      <w:r w:rsidRPr="00C9040A">
        <w:rPr>
          <w:rtl/>
          <w:lang w:bidi="fa-IR"/>
        </w:rPr>
        <w:t>وَكَانَ فِي ذلِكَ الْمِصْرِ أَحَدٌ أَوْرَعَ‌</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 الشَّين » : خلاف الزين. والشَّين : العيب. </w:t>
      </w:r>
      <w:r w:rsidR="008A74EB" w:rsidRPr="00993B55">
        <w:rPr>
          <w:rStyle w:val="libFootnoteBoldChar"/>
          <w:rtl/>
        </w:rPr>
        <w:t>الصحاح</w:t>
      </w:r>
      <w:r w:rsidR="008A74EB" w:rsidRPr="00C9040A">
        <w:rPr>
          <w:rtl/>
        </w:rPr>
        <w:t xml:space="preserve"> ، ج 5 ، ص 2147 ؛ </w:t>
      </w:r>
      <w:r w:rsidR="008A74EB" w:rsidRPr="00993B55">
        <w:rPr>
          <w:rStyle w:val="libFootnoteBoldChar"/>
          <w:rtl/>
        </w:rPr>
        <w:t>النهاية</w:t>
      </w:r>
      <w:r w:rsidR="008A74EB" w:rsidRPr="00C9040A">
        <w:rPr>
          <w:rtl/>
        </w:rPr>
        <w:t xml:space="preserve"> ، ج 2 ، ص 521 ( شين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المحاسن </w:t>
      </w:r>
      <w:r w:rsidR="008A74EB">
        <w:rPr>
          <w:rtl/>
        </w:rPr>
        <w:t xml:space="preserve">: </w:t>
      </w:r>
      <w:r w:rsidR="0084262C">
        <w:rPr>
          <w:rtl/>
        </w:rPr>
        <w:t>-</w:t>
      </w:r>
      <w:r w:rsidR="008A74EB" w:rsidRPr="00C9040A">
        <w:rPr>
          <w:rtl/>
        </w:rPr>
        <w:t xml:space="preserve"> « وكونوا زيناً</w:t>
      </w:r>
      <w:r w:rsidR="008A74EB">
        <w:rPr>
          <w:rtl/>
        </w:rPr>
        <w:t xml:space="preserve"> </w:t>
      </w:r>
      <w:r w:rsidR="0084262C">
        <w:rPr>
          <w:rtl/>
        </w:rPr>
        <w:t>-</w:t>
      </w:r>
      <w:r w:rsidR="008A74EB">
        <w:rPr>
          <w:rtl/>
        </w:rPr>
        <w:t xml:space="preserve"> </w:t>
      </w:r>
      <w:r w:rsidR="008A74EB" w:rsidRPr="00C9040A">
        <w:rPr>
          <w:rtl/>
        </w:rPr>
        <w:t>إلى</w:t>
      </w:r>
      <w:r w:rsidR="008A74EB">
        <w:rPr>
          <w:rtl/>
        </w:rPr>
        <w:t xml:space="preserve"> </w:t>
      </w:r>
      <w:r w:rsidR="0084262C">
        <w:rPr>
          <w:rtl/>
        </w:rPr>
        <w:t>-</w:t>
      </w:r>
      <w:r w:rsidR="008A74EB">
        <w:rPr>
          <w:rtl/>
        </w:rPr>
        <w:t xml:space="preserve"> </w:t>
      </w:r>
      <w:r w:rsidR="008A74EB" w:rsidRPr="00C9040A">
        <w:rPr>
          <w:rtl/>
        </w:rPr>
        <w:t>عليكم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هكذا في « ب ، د ، ز ، ض ، </w:t>
      </w:r>
      <w:r w:rsidR="006D3162">
        <w:rPr>
          <w:rtl/>
        </w:rPr>
        <w:t xml:space="preserve">ه </w:t>
      </w:r>
      <w:r w:rsidR="008A74EB" w:rsidRPr="00C9040A">
        <w:rPr>
          <w:rtl/>
        </w:rPr>
        <w:t>، بف » والوسائل ، ح 20400 والبحار والمحاسن. وفي « ج ، ص ، ف ، بس » والمطبوع : « طال »</w:t>
      </w:r>
      <w:r w:rsidR="008A74EB">
        <w:rPr>
          <w:rtl/>
        </w:rPr>
        <w:t>.</w:t>
      </w:r>
      <w:r w:rsidR="00F96897">
        <w:rPr>
          <w:rFonts w:hint="cs"/>
          <w:rtl/>
        </w:rPr>
        <w:t xml:space="preserve">                      </w:t>
      </w:r>
      <w:r>
        <w:rPr>
          <w:rtl/>
        </w:rPr>
        <w:t>(4).</w:t>
      </w:r>
      <w:r w:rsidR="008A74EB" w:rsidRPr="00C9040A">
        <w:rPr>
          <w:rtl/>
        </w:rPr>
        <w:t xml:space="preserve"> في المحاسن : « يا ويلتاه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حاشية « ج ، </w:t>
      </w:r>
      <w:r w:rsidR="006D3162">
        <w:rPr>
          <w:rtl/>
        </w:rPr>
        <w:t xml:space="preserve">ه </w:t>
      </w:r>
      <w:r w:rsidR="008A74EB" w:rsidRPr="00C9040A">
        <w:rPr>
          <w:rtl/>
        </w:rPr>
        <w:t>، بر ، بف » والمحاسن : « أطاعوا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حاشية « ج ، </w:t>
      </w:r>
      <w:r w:rsidR="006D3162">
        <w:rPr>
          <w:rtl/>
        </w:rPr>
        <w:t xml:space="preserve">ه </w:t>
      </w:r>
      <w:r w:rsidR="008A74EB" w:rsidRPr="00C9040A">
        <w:rPr>
          <w:rtl/>
        </w:rPr>
        <w:t>، بر ، بف » والمحاسن : « وسجدوا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المحاسن</w:t>
      </w:r>
      <w:r w:rsidR="008A74EB" w:rsidRPr="00C9040A">
        <w:rPr>
          <w:rtl/>
        </w:rPr>
        <w:t xml:space="preserve"> ، ص 18 ، كتاب القرائن ، ح 50 ، عن أحمد بن محمّد ، عن عليّ بن حديد ، عن أبي أسامة ، مع اختلاف يسير. </w:t>
      </w:r>
      <w:r w:rsidR="008A74EB" w:rsidRPr="00993B55">
        <w:rPr>
          <w:rStyle w:val="libFootnoteBoldChar"/>
          <w:rtl/>
        </w:rPr>
        <w:t>الكافي</w:t>
      </w:r>
      <w:r w:rsidR="008A74EB" w:rsidRPr="00C9040A">
        <w:rPr>
          <w:rtl/>
        </w:rPr>
        <w:t xml:space="preserve"> ، كتاب الصلاة ، باب فضل الصلاة ، ح 4787 ، مع زيادة في أوّله ؛ </w:t>
      </w:r>
      <w:r w:rsidR="008A74EB" w:rsidRPr="00993B55">
        <w:rPr>
          <w:rStyle w:val="libFootnoteBoldChar"/>
          <w:rtl/>
        </w:rPr>
        <w:t>ثواب الأعمال</w:t>
      </w:r>
      <w:r w:rsidR="008A74EB" w:rsidRPr="00C9040A">
        <w:rPr>
          <w:rtl/>
        </w:rPr>
        <w:t xml:space="preserve"> ، ص 56 ، ح 1 ، وفيهما بسند آخر ، من قوله : « فإنّ أحدكم إذا أطال الركوع » مع اختلاف يسير. </w:t>
      </w:r>
      <w:r w:rsidR="008A74EB" w:rsidRPr="00993B55">
        <w:rPr>
          <w:rStyle w:val="libFootnoteBoldChar"/>
          <w:rtl/>
        </w:rPr>
        <w:t>الفقيه</w:t>
      </w:r>
      <w:r w:rsidR="008A74EB" w:rsidRPr="00C9040A">
        <w:rPr>
          <w:rtl/>
        </w:rPr>
        <w:t xml:space="preserve"> ، ج 1 ، ص 210 ، ح 638 ، مرسلاً ، من قوله : « فإنّ أحدكم إذا أطاع الركوع » مع اختلاف يسير وزيادة في أوّله ؛ </w:t>
      </w:r>
      <w:r w:rsidR="008A74EB" w:rsidRPr="00993B55">
        <w:rPr>
          <w:rStyle w:val="libFootnoteBoldChar"/>
          <w:rtl/>
        </w:rPr>
        <w:t>فقه الرضا</w:t>
      </w:r>
      <w:r w:rsidR="008A74EB" w:rsidRPr="00C9040A">
        <w:rPr>
          <w:rtl/>
        </w:rPr>
        <w:t xml:space="preserve"> </w:t>
      </w:r>
      <w:r w:rsidR="00117575" w:rsidRPr="00117575">
        <w:rPr>
          <w:rStyle w:val="libFootnoteAlaemChar"/>
          <w:rtl/>
        </w:rPr>
        <w:t>عليه‌السلام</w:t>
      </w:r>
      <w:r w:rsidR="008A74EB" w:rsidRPr="00C9040A">
        <w:rPr>
          <w:rtl/>
        </w:rPr>
        <w:t xml:space="preserve"> ، ص 356 ؛ </w:t>
      </w:r>
      <w:r w:rsidR="008A74EB" w:rsidRPr="00993B55">
        <w:rPr>
          <w:rStyle w:val="libFootnoteBoldChar"/>
          <w:rtl/>
        </w:rPr>
        <w:t>تحف العقول</w:t>
      </w:r>
      <w:r w:rsidR="008A74EB" w:rsidRPr="00C9040A">
        <w:rPr>
          <w:rtl/>
        </w:rPr>
        <w:t xml:space="preserve"> ، ص 487 ، عن العسكري </w:t>
      </w:r>
      <w:r w:rsidR="00117575" w:rsidRPr="00117575">
        <w:rPr>
          <w:rStyle w:val="libFootnoteAlaemChar"/>
          <w:rtl/>
        </w:rPr>
        <w:t xml:space="preserve">عليه‌السلام </w:t>
      </w:r>
      <w:r w:rsidR="008A74EB" w:rsidRPr="00C9040A">
        <w:rPr>
          <w:rtl/>
        </w:rPr>
        <w:t xml:space="preserve">، وفيهما إلى قوله : « وحسن الجوار » مع اختلاف </w:t>
      </w:r>
      <w:r w:rsidR="00F96897">
        <w:rPr>
          <w:rFonts w:hint="cs"/>
          <w:rtl/>
        </w:rPr>
        <w:t>.</w:t>
      </w:r>
      <w:r w:rsidR="008A74EB" w:rsidRPr="00993B55">
        <w:rPr>
          <w:rStyle w:val="libFootnoteBoldChar"/>
          <w:rtl/>
        </w:rPr>
        <w:t>الوافي</w:t>
      </w:r>
      <w:r w:rsidR="008A74EB" w:rsidRPr="00C9040A">
        <w:rPr>
          <w:rtl/>
        </w:rPr>
        <w:t xml:space="preserve"> ، ج 4 ، ص 308 ، ح 1990 ؛ </w:t>
      </w:r>
      <w:r w:rsidR="008A74EB" w:rsidRPr="00993B55">
        <w:rPr>
          <w:rStyle w:val="libFootnoteBoldChar"/>
          <w:rtl/>
        </w:rPr>
        <w:t>الوسائل</w:t>
      </w:r>
      <w:r w:rsidR="008A74EB" w:rsidRPr="00C9040A">
        <w:rPr>
          <w:rtl/>
        </w:rPr>
        <w:t xml:space="preserve"> ، ج 15 ، ص 245 ، ح 20400 ؛ </w:t>
      </w:r>
      <w:r w:rsidR="008A74EB" w:rsidRPr="00993B55">
        <w:rPr>
          <w:rStyle w:val="libFootnoteBoldChar"/>
          <w:rtl/>
        </w:rPr>
        <w:t>وفيه</w:t>
      </w:r>
      <w:r w:rsidR="008A74EB" w:rsidRPr="00C9040A">
        <w:rPr>
          <w:rtl/>
        </w:rPr>
        <w:t xml:space="preserve"> ، ج 1 ، ص 76 ، ح 170 ، من قوله : « كونوا دعاةً » إلى قوله : « ولا تكونوا شيناً » ؛ </w:t>
      </w:r>
      <w:r w:rsidR="008A74EB" w:rsidRPr="00993B55">
        <w:rPr>
          <w:rStyle w:val="libFootnoteBoldChar"/>
          <w:rtl/>
        </w:rPr>
        <w:t>وفيه</w:t>
      </w:r>
      <w:r w:rsidR="008A74EB" w:rsidRPr="00C9040A">
        <w:rPr>
          <w:rtl/>
        </w:rPr>
        <w:t xml:space="preserve"> ، ص 86 ، ح 201 ، وتمام الرواية : « عليك بتقوى الله والورع والاجتهاد » ؛ </w:t>
      </w:r>
      <w:r w:rsidR="008A74EB" w:rsidRPr="00993B55">
        <w:rPr>
          <w:rStyle w:val="libFootnoteBoldChar"/>
          <w:rtl/>
        </w:rPr>
        <w:t>البحار</w:t>
      </w:r>
      <w:r w:rsidR="008A74EB" w:rsidRPr="00C9040A">
        <w:rPr>
          <w:rtl/>
        </w:rPr>
        <w:t xml:space="preserve"> ، ج 70 ، ص 299 ، ح 9.</w:t>
      </w:r>
    </w:p>
    <w:p w:rsidR="008A74EB" w:rsidRPr="00C9040A" w:rsidRDefault="006C577F" w:rsidP="004A4E41">
      <w:pPr>
        <w:pStyle w:val="libFootnote0"/>
        <w:rPr>
          <w:rtl/>
          <w:lang w:bidi="fa-IR"/>
        </w:rPr>
      </w:pPr>
      <w:r>
        <w:rPr>
          <w:rtl/>
        </w:rPr>
        <w:t>(8).</w:t>
      </w:r>
      <w:r w:rsidR="008A74EB" w:rsidRPr="00C9040A">
        <w:rPr>
          <w:rtl/>
        </w:rPr>
        <w:t xml:space="preserve"> في « ز ، ص ، ف » : « عليّ بن أبي يزيد » ، لكن استظهر في حاشية « ف » صحّة « عليّ بن أبي زيد »</w:t>
      </w:r>
      <w:r w:rsidR="008A74EB">
        <w:rPr>
          <w:rtl/>
        </w:rPr>
        <w:t>.</w:t>
      </w:r>
      <w:r w:rsidR="008A74EB" w:rsidRPr="00C9040A">
        <w:rPr>
          <w:rtl/>
        </w:rPr>
        <w:t xml:space="preserve"> وفي « </w:t>
      </w:r>
      <w:r w:rsidR="006D3162">
        <w:rPr>
          <w:rtl/>
        </w:rPr>
        <w:t xml:space="preserve">ه </w:t>
      </w:r>
      <w:r w:rsidR="008A74EB" w:rsidRPr="00C9040A">
        <w:rPr>
          <w:rtl/>
        </w:rPr>
        <w:t>» : « عليّ بن الوليد »</w:t>
      </w:r>
      <w:r w:rsidR="008A74EB">
        <w:rPr>
          <w:rtl/>
        </w:rPr>
        <w:t>.</w:t>
      </w:r>
      <w:r w:rsidR="00850D75">
        <w:rPr>
          <w:rFonts w:hint="cs"/>
          <w:rtl/>
        </w:rPr>
        <w:t xml:space="preserve">                               </w:t>
      </w:r>
      <w:r>
        <w:rPr>
          <w:rtl/>
        </w:rPr>
        <w:t>(9).</w:t>
      </w:r>
      <w:r w:rsidR="008A74EB" w:rsidRPr="00C9040A">
        <w:rPr>
          <w:rtl/>
        </w:rPr>
        <w:t xml:space="preserve"> في الوسائل : + « عليه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 ب ، ج ، ز ، ص ، ض ، ف ، بس » </w:t>
      </w:r>
      <w:r w:rsidR="008A74EB">
        <w:rPr>
          <w:rtl/>
        </w:rPr>
        <w:t xml:space="preserve">: </w:t>
      </w:r>
      <w:r w:rsidR="0084262C">
        <w:rPr>
          <w:rtl/>
        </w:rPr>
        <w:t>-</w:t>
      </w:r>
      <w:r w:rsidR="008A74EB" w:rsidRPr="00C9040A">
        <w:rPr>
          <w:rtl/>
        </w:rPr>
        <w:t xml:space="preserve"> « من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في الوسائل </w:t>
      </w:r>
      <w:r w:rsidR="008A74EB">
        <w:rPr>
          <w:rtl/>
        </w:rPr>
        <w:t xml:space="preserve">: </w:t>
      </w:r>
      <w:r w:rsidR="0084262C">
        <w:rPr>
          <w:rtl/>
        </w:rPr>
        <w:t>-</w:t>
      </w:r>
      <w:r w:rsidR="008A74EB" w:rsidRPr="00C9040A">
        <w:rPr>
          <w:rtl/>
        </w:rPr>
        <w:t xml:space="preserve"> « ألف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مِنْهُ </w:t>
      </w:r>
      <w:r w:rsidR="006C577F" w:rsidRPr="006C577F">
        <w:rPr>
          <w:rStyle w:val="libFootnotenumChar"/>
          <w:rtl/>
        </w:rPr>
        <w:t>(1)</w:t>
      </w:r>
      <w:r w:rsidRPr="00C9040A">
        <w:rPr>
          <w:rtl/>
          <w:lang w:bidi="fa-IR"/>
        </w:rPr>
        <w:t>»</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721E30">
        <w:rPr>
          <w:rtl/>
        </w:rPr>
        <w:t>1638</w:t>
      </w:r>
      <w:r w:rsidRPr="00261CB0">
        <w:rPr>
          <w:rStyle w:val="libBold2Char"/>
          <w:rtl/>
        </w:rPr>
        <w:t xml:space="preserve"> / 11.</w:t>
      </w:r>
      <w:r w:rsidRPr="00C9040A">
        <w:rPr>
          <w:rtl/>
          <w:lang w:bidi="fa-IR"/>
        </w:rPr>
        <w:t xml:space="preserve"> عَنْهُ ، عَنْ أَحْمَدَ بْنِ مُحَمَّدِ بْنِ عِيسى ، عَنِ ابْنِ فَضَّالٍ ، عَنْ عَلِيِّ بْنِ عُقْبَةَ ، عَنْ أَبِي كَهْمَسٍ </w:t>
      </w:r>
      <w:r w:rsidR="006C577F" w:rsidRPr="006C577F">
        <w:rPr>
          <w:rStyle w:val="libFootnotenumChar"/>
          <w:rtl/>
        </w:rPr>
        <w:t>(3)</w:t>
      </w:r>
      <w:r w:rsidRPr="00C9040A">
        <w:rPr>
          <w:rtl/>
          <w:lang w:bidi="fa-IR"/>
        </w:rPr>
        <w:t xml:space="preserve"> ، عَنْ عَمْرِو بْنِ سَعِيدِ بْنِ هِلَالٍ </w:t>
      </w:r>
      <w:r w:rsidR="006C577F" w:rsidRPr="006C577F">
        <w:rPr>
          <w:rStyle w:val="libFootnotenumChar"/>
          <w:rtl/>
        </w:rPr>
        <w:t>(4)</w:t>
      </w:r>
      <w:r w:rsidRPr="00C9040A">
        <w:rPr>
          <w:rtl/>
          <w:lang w:bidi="fa-IR"/>
        </w:rPr>
        <w:t xml:space="preserve"> ، قَالَ :</w:t>
      </w:r>
    </w:p>
    <w:p w:rsidR="008A74EB" w:rsidRPr="00C9040A" w:rsidRDefault="008A74EB" w:rsidP="008A74EB">
      <w:pPr>
        <w:pStyle w:val="libNormal"/>
        <w:rPr>
          <w:rtl/>
          <w:lang w:bidi="fa-IR"/>
        </w:rPr>
      </w:pPr>
      <w:r w:rsidRPr="00C9040A">
        <w:rPr>
          <w:rtl/>
          <w:lang w:bidi="fa-IR"/>
        </w:rPr>
        <w:t xml:space="preserve">قُلْتُ لِأَبِي عَبْدِ اللهِ </w:t>
      </w:r>
      <w:r w:rsidRPr="0003660B">
        <w:rPr>
          <w:rStyle w:val="libAlaemChar"/>
          <w:rtl/>
        </w:rPr>
        <w:t>عليه‌السلام</w:t>
      </w:r>
      <w:r w:rsidRPr="00C9040A">
        <w:rPr>
          <w:rtl/>
          <w:lang w:bidi="fa-IR"/>
        </w:rPr>
        <w:t xml:space="preserve"> : أَوْصِنِي ، قَالَ </w:t>
      </w:r>
      <w:r w:rsidR="006C577F" w:rsidRPr="006C577F">
        <w:rPr>
          <w:rStyle w:val="libFootnotenumChar"/>
          <w:rtl/>
        </w:rPr>
        <w:t>(5)</w:t>
      </w:r>
      <w:r w:rsidRPr="00C9040A">
        <w:rPr>
          <w:rtl/>
          <w:lang w:bidi="fa-IR"/>
        </w:rPr>
        <w:t xml:space="preserve"> : « أُوصِيكَ بِتَقْوَى اللهِ وَالْوَرَعِ وَالِاجْتِهَادِ ، وَاعْلَمْ أَنَّهُ لَايَنْفَعُ اجْتِهَادٌ لَاوَرَعَ فِيهِ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Normal"/>
        <w:rPr>
          <w:rtl/>
          <w:lang w:bidi="fa-IR"/>
        </w:rPr>
      </w:pPr>
      <w:r w:rsidRPr="00721E30">
        <w:rPr>
          <w:rtl/>
        </w:rPr>
        <w:t>1639</w:t>
      </w:r>
      <w:r w:rsidRPr="00261CB0">
        <w:rPr>
          <w:rStyle w:val="libBold2Char"/>
          <w:rtl/>
        </w:rPr>
        <w:t xml:space="preserve"> / 12.</w:t>
      </w:r>
      <w:r w:rsidRPr="00C9040A">
        <w:rPr>
          <w:rtl/>
          <w:lang w:bidi="fa-IR"/>
        </w:rPr>
        <w:t xml:space="preserve"> عَنْهُ ، عَنْ أَحْمَدَ بْنِ مُحَمَّدٍ ، عَنْ عَلِيِّ بْنِ الْحَكَمِ ، عَنْ سَيْفِ بْنِ عَمِيرَةَ ، عَنْ أَبِي الصَّبَّاحِ الْكِنَانِيِّ :</w:t>
      </w:r>
    </w:p>
    <w:p w:rsidR="008A74EB" w:rsidRPr="00C9040A" w:rsidRDefault="008A74EB" w:rsidP="00850D75">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أَعِينُونَا بِالْوَرَعِ ؛ فَإِنَّهُ </w:t>
      </w:r>
      <w:r w:rsidR="006C577F" w:rsidRPr="006C577F">
        <w:rPr>
          <w:rStyle w:val="libFootnotenumChar"/>
          <w:rtl/>
        </w:rPr>
        <w:t>(7)</w:t>
      </w:r>
      <w:r w:rsidRPr="00C9040A">
        <w:rPr>
          <w:rtl/>
          <w:lang w:bidi="fa-IR"/>
        </w:rPr>
        <w:t xml:space="preserve"> مَنْ لَقِيَ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مِنْكُمْ بِالْوَرَعِ ، كَانَ لَهُ عِنْدَ اللهِ فَرَجاً </w:t>
      </w:r>
      <w:r w:rsidR="006C577F" w:rsidRPr="006C577F">
        <w:rPr>
          <w:rStyle w:val="libFootnotenumChar"/>
          <w:rtl/>
        </w:rPr>
        <w:t>(8)</w:t>
      </w:r>
      <w:r w:rsidRPr="00C9040A">
        <w:rPr>
          <w:rtl/>
          <w:lang w:bidi="fa-IR"/>
        </w:rPr>
        <w:t xml:space="preserve"> ؛ إِنَّ </w:t>
      </w:r>
      <w:r w:rsidR="006C577F" w:rsidRPr="006C577F">
        <w:rPr>
          <w:rStyle w:val="libFootnotenumChar"/>
          <w:rtl/>
        </w:rPr>
        <w:t>(9)</w:t>
      </w:r>
      <w:r w:rsidRPr="00C9040A">
        <w:rPr>
          <w:rtl/>
          <w:lang w:bidi="fa-IR"/>
        </w:rPr>
        <w:t xml:space="preserve">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يَقُولُ : </w:t>
      </w:r>
      <w:r w:rsidRPr="0003660B">
        <w:rPr>
          <w:rStyle w:val="libAlaemChar"/>
          <w:rtl/>
        </w:rPr>
        <w:t>(</w:t>
      </w:r>
      <w:r w:rsidRPr="00253CC0">
        <w:rPr>
          <w:rtl/>
        </w:rPr>
        <w:t xml:space="preserve"> </w:t>
      </w:r>
      <w:r w:rsidRPr="006A2246">
        <w:rPr>
          <w:rStyle w:val="libAieChar"/>
          <w:rtl/>
        </w:rPr>
        <w:t>مَنْ</w:t>
      </w:r>
      <w:r w:rsidRPr="00253CC0">
        <w:rPr>
          <w:rFonts w:hint="cs"/>
          <w:rtl/>
        </w:rPr>
        <w:t xml:space="preserve"> </w:t>
      </w:r>
      <w:r w:rsidR="006C577F" w:rsidRPr="006C577F">
        <w:rPr>
          <w:rStyle w:val="libFootnotenumChar"/>
          <w:rtl/>
        </w:rPr>
        <w:t>(10)</w:t>
      </w:r>
      <w:r w:rsidRPr="00253CC0">
        <w:rPr>
          <w:rFonts w:hint="cs"/>
          <w:rtl/>
        </w:rPr>
        <w:t xml:space="preserve"> </w:t>
      </w:r>
      <w:r w:rsidRPr="006A2246">
        <w:rPr>
          <w:rStyle w:val="libAieChar"/>
          <w:rtl/>
        </w:rPr>
        <w:t>يُطِعِ اللهَ وَ</w:t>
      </w:r>
      <w:r w:rsidRPr="00253CC0">
        <w:rPr>
          <w:rFonts w:hint="cs"/>
          <w:rtl/>
        </w:rPr>
        <w:t xml:space="preserve"> </w:t>
      </w:r>
      <w:r w:rsidRPr="00C9040A">
        <w:rPr>
          <w:rtl/>
          <w:lang w:bidi="fa-IR"/>
        </w:rPr>
        <w:t xml:space="preserve">( رسوله ) </w:t>
      </w:r>
      <w:r w:rsidR="006C577F" w:rsidRPr="006C577F">
        <w:rPr>
          <w:rStyle w:val="libFootnotenumChar"/>
          <w:rtl/>
        </w:rPr>
        <w:t>(11)</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w:t>
      </w:r>
      <w:r w:rsidR="008A74EB" w:rsidRPr="00993B55">
        <w:rPr>
          <w:rStyle w:val="libFootnoteBoldChar"/>
          <w:rtl/>
        </w:rPr>
        <w:t>الوافي</w:t>
      </w:r>
      <w:r w:rsidR="008A74EB" w:rsidRPr="00C9040A">
        <w:rPr>
          <w:rtl/>
        </w:rPr>
        <w:t xml:space="preserve"> : « لعلّ المراد أن يكون في المخالفين أورع منه ، وذلك لأنّ أصحابنا بعضهم أورع من </w:t>
      </w:r>
      <w:r w:rsidR="00850D75">
        <w:rPr>
          <w:rtl/>
        </w:rPr>
        <w:t>بعض ، فيلزم أن لا يكون منهم إل</w:t>
      </w:r>
      <w:r w:rsidR="00850D75">
        <w:rPr>
          <w:rFonts w:hint="cs"/>
          <w:rtl/>
        </w:rPr>
        <w:t>ّ</w:t>
      </w:r>
      <w:r w:rsidR="00850D75">
        <w:rPr>
          <w:rtl/>
        </w:rPr>
        <w:t>ا</w:t>
      </w:r>
      <w:r w:rsidR="008A74EB">
        <w:rPr>
          <w:rFonts w:hint="cs"/>
          <w:rtl/>
        </w:rPr>
        <w:t xml:space="preserve"> </w:t>
      </w:r>
      <w:r w:rsidR="008A74EB" w:rsidRPr="00C9040A">
        <w:rPr>
          <w:rtl/>
        </w:rPr>
        <w:t>الفرد الأعلى خاصّة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الوافي</w:t>
      </w:r>
      <w:r w:rsidR="008A74EB" w:rsidRPr="00C9040A">
        <w:rPr>
          <w:rtl/>
        </w:rPr>
        <w:t xml:space="preserve"> ، ج 3 ، ص 327 ، ح 2037 ؛ </w:t>
      </w:r>
      <w:r w:rsidR="008A74EB" w:rsidRPr="00993B55">
        <w:rPr>
          <w:rStyle w:val="libFootnoteBoldChar"/>
          <w:rtl/>
        </w:rPr>
        <w:t>الوسائل</w:t>
      </w:r>
      <w:r w:rsidR="008A74EB" w:rsidRPr="00C9040A">
        <w:rPr>
          <w:rtl/>
        </w:rPr>
        <w:t xml:space="preserve"> ، ج 15 ، ص 245 ، ح 20401 ؛ </w:t>
      </w:r>
      <w:r w:rsidR="008A74EB" w:rsidRPr="00993B55">
        <w:rPr>
          <w:rStyle w:val="libFootnoteBoldChar"/>
          <w:rtl/>
        </w:rPr>
        <w:t>البحار</w:t>
      </w:r>
      <w:r w:rsidR="008A74EB" w:rsidRPr="00C9040A">
        <w:rPr>
          <w:rtl/>
        </w:rPr>
        <w:t xml:space="preserve"> ، ج 70 ، ص 300 ، ح 9.</w:t>
      </w:r>
    </w:p>
    <w:p w:rsidR="008A74EB" w:rsidRPr="00C9040A" w:rsidRDefault="006C577F" w:rsidP="004A4E41">
      <w:pPr>
        <w:pStyle w:val="libFootnote0"/>
        <w:rPr>
          <w:rtl/>
          <w:lang w:bidi="fa-IR"/>
        </w:rPr>
      </w:pPr>
      <w:r>
        <w:rPr>
          <w:rtl/>
        </w:rPr>
        <w:t>(3).</w:t>
      </w:r>
      <w:r w:rsidR="008A74EB" w:rsidRPr="00C9040A">
        <w:rPr>
          <w:rtl/>
        </w:rPr>
        <w:t xml:space="preserve"> في « ز » : « كهمش ، كهميس »</w:t>
      </w:r>
      <w:r w:rsidR="008A74EB">
        <w:rPr>
          <w:rtl/>
        </w:rPr>
        <w:t>.</w:t>
      </w:r>
      <w:r w:rsidR="008A74EB" w:rsidRPr="00C9040A">
        <w:rPr>
          <w:rtl/>
        </w:rPr>
        <w:t xml:space="preserve"> وفي « بر ، بس ، بف » والبحار : « كهمش »</w:t>
      </w:r>
      <w:r w:rsidR="008A74EB">
        <w:rPr>
          <w:rtl/>
        </w:rPr>
        <w:t>.</w:t>
      </w:r>
      <w:r w:rsidR="008A74EB" w:rsidRPr="00C9040A">
        <w:rPr>
          <w:rtl/>
        </w:rPr>
        <w:t xml:space="preserve"> هذا ، والظاهر من التتبّع في الأسناد والكتب صحّة « كهمس » ، وأبو كهمس هو الهيثم. راجع : </w:t>
      </w:r>
      <w:r w:rsidR="008A74EB" w:rsidRPr="00993B55">
        <w:rPr>
          <w:rStyle w:val="libFootnoteBoldChar"/>
          <w:rtl/>
        </w:rPr>
        <w:t>رجال النجاشي</w:t>
      </w:r>
      <w:r w:rsidR="008A74EB" w:rsidRPr="00C9040A">
        <w:rPr>
          <w:rtl/>
        </w:rPr>
        <w:t xml:space="preserve"> ، ص 436 ، الرقم 1170 ؛ </w:t>
      </w:r>
      <w:r w:rsidR="008A74EB" w:rsidRPr="00993B55">
        <w:rPr>
          <w:rStyle w:val="libFootnoteBoldChar"/>
          <w:rtl/>
        </w:rPr>
        <w:t>رجال البرقي</w:t>
      </w:r>
      <w:r w:rsidR="008A74EB" w:rsidRPr="00C9040A">
        <w:rPr>
          <w:rtl/>
        </w:rPr>
        <w:t xml:space="preserve"> ، ص 43 ؛ </w:t>
      </w:r>
      <w:r w:rsidR="008A74EB" w:rsidRPr="0034021D">
        <w:rPr>
          <w:rStyle w:val="libFootnoteBoldChar"/>
          <w:rtl/>
        </w:rPr>
        <w:t>الفهرست للطوسي</w:t>
      </w:r>
      <w:r w:rsidR="008A74EB" w:rsidRPr="00C9040A">
        <w:rPr>
          <w:rtl/>
        </w:rPr>
        <w:t xml:space="preserve"> ، ص 541 ، الرقم 888.</w:t>
      </w:r>
    </w:p>
    <w:p w:rsidR="008A74EB" w:rsidRPr="00C9040A" w:rsidRDefault="006C577F" w:rsidP="004A4E41">
      <w:pPr>
        <w:pStyle w:val="libFootnote0"/>
        <w:rPr>
          <w:rtl/>
          <w:lang w:bidi="fa-IR"/>
        </w:rPr>
      </w:pPr>
      <w:r>
        <w:rPr>
          <w:rtl/>
        </w:rPr>
        <w:t>(4).</w:t>
      </w:r>
      <w:r w:rsidR="008A74EB" w:rsidRPr="00C9040A">
        <w:rPr>
          <w:rtl/>
        </w:rPr>
        <w:t xml:space="preserve"> في « ز » : « عمر بن سعيد الهلالي »</w:t>
      </w:r>
      <w:r w:rsidR="008A74EB">
        <w:rPr>
          <w:rtl/>
        </w:rPr>
        <w:t>.</w:t>
      </w:r>
      <w:r w:rsidR="008A74EB" w:rsidRPr="00C9040A">
        <w:rPr>
          <w:rtl/>
        </w:rPr>
        <w:t xml:space="preserve"> وابن سعيد هذا ، هو عمرو بن سعيد بن هلال الثقفي. راجع : </w:t>
      </w:r>
      <w:r w:rsidR="008A74EB" w:rsidRPr="00993B55">
        <w:rPr>
          <w:rStyle w:val="libFootnoteBoldChar"/>
          <w:rtl/>
        </w:rPr>
        <w:t xml:space="preserve">رجال البرقي </w:t>
      </w:r>
      <w:r w:rsidR="008A74EB" w:rsidRPr="00C9040A">
        <w:rPr>
          <w:rtl/>
        </w:rPr>
        <w:t xml:space="preserve">، ص 35 ؛ </w:t>
      </w:r>
      <w:r w:rsidR="008A74EB" w:rsidRPr="00993B55">
        <w:rPr>
          <w:rStyle w:val="libFootnoteBoldChar"/>
          <w:rtl/>
        </w:rPr>
        <w:t>رجال الطوسي</w:t>
      </w:r>
      <w:r w:rsidR="008A74EB" w:rsidRPr="00C9040A">
        <w:rPr>
          <w:rtl/>
        </w:rPr>
        <w:t xml:space="preserve"> ، ص 140 ، الرقم 1488 ؛ وص 249 ، الرقم 3478.</w:t>
      </w:r>
    </w:p>
    <w:p w:rsidR="008A74EB" w:rsidRPr="00C9040A" w:rsidRDefault="006C577F" w:rsidP="004A4E41">
      <w:pPr>
        <w:pStyle w:val="libFootnote0"/>
        <w:rPr>
          <w:rtl/>
          <w:lang w:bidi="fa-IR"/>
        </w:rPr>
      </w:pPr>
      <w:r>
        <w:rPr>
          <w:rtl/>
        </w:rPr>
        <w:t>(5).</w:t>
      </w:r>
      <w:r w:rsidR="008A74EB" w:rsidRPr="00C9040A">
        <w:rPr>
          <w:rtl/>
        </w:rPr>
        <w:t xml:space="preserve"> في « </w:t>
      </w:r>
      <w:r w:rsidR="006D3162">
        <w:rPr>
          <w:rtl/>
        </w:rPr>
        <w:t xml:space="preserve">ه </w:t>
      </w:r>
      <w:r w:rsidR="008A74EB" w:rsidRPr="00C9040A">
        <w:rPr>
          <w:rtl/>
        </w:rPr>
        <w:t>» : « فقال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34021D">
        <w:rPr>
          <w:rStyle w:val="libFootnoteBoldChar"/>
          <w:rtl/>
        </w:rPr>
        <w:t>الأمالي للمفيد</w:t>
      </w:r>
      <w:r w:rsidR="008A74EB" w:rsidRPr="00C9040A">
        <w:rPr>
          <w:rtl/>
        </w:rPr>
        <w:t xml:space="preserve"> ، ص 194 ، المجلس 23 ، ح 25 ، بسنده عن الحسن ، عن عليّ بن عقبة ؛ </w:t>
      </w:r>
      <w:r w:rsidR="008A74EB" w:rsidRPr="00993B55">
        <w:rPr>
          <w:rStyle w:val="libFootnoteBoldChar"/>
          <w:rtl/>
        </w:rPr>
        <w:t>الأمالي</w:t>
      </w:r>
      <w:r w:rsidR="008A74EB" w:rsidRPr="00C9040A">
        <w:rPr>
          <w:rtl/>
        </w:rPr>
        <w:t xml:space="preserve"> للطوسي ، ص 681 ، المجلس 38 ، ح 1 ، بسنده عن حسن بن عليّ بن فضّال ، عن عليّ بن عقبة ، وفيهما مع زيادة في آخره </w:t>
      </w:r>
      <w:r w:rsidR="00FB1103">
        <w:rPr>
          <w:rFonts w:hint="cs"/>
          <w:rtl/>
        </w:rPr>
        <w:t>.</w:t>
      </w:r>
      <w:r w:rsidR="008A74EB" w:rsidRPr="00993B55">
        <w:rPr>
          <w:rStyle w:val="libFootnoteBoldChar"/>
          <w:rtl/>
        </w:rPr>
        <w:t>الوافي</w:t>
      </w:r>
      <w:r w:rsidR="008A74EB" w:rsidRPr="00C9040A">
        <w:rPr>
          <w:rtl/>
        </w:rPr>
        <w:t xml:space="preserve"> ، ج 4 ، ص 325 ، ح 2027 ؛ </w:t>
      </w:r>
      <w:r w:rsidR="008A74EB" w:rsidRPr="00993B55">
        <w:rPr>
          <w:rStyle w:val="libFootnoteBoldChar"/>
          <w:rtl/>
        </w:rPr>
        <w:t>الوسائل</w:t>
      </w:r>
      <w:r w:rsidR="008A74EB" w:rsidRPr="00C9040A">
        <w:rPr>
          <w:rtl/>
        </w:rPr>
        <w:t xml:space="preserve"> ، ج 15 ، ص 243 ، ذيل ح 20392 ؛ </w:t>
      </w:r>
      <w:r w:rsidR="008A74EB" w:rsidRPr="00993B55">
        <w:rPr>
          <w:rStyle w:val="libFootnoteBoldChar"/>
          <w:rtl/>
        </w:rPr>
        <w:t>البحار</w:t>
      </w:r>
      <w:r w:rsidR="008A74EB" w:rsidRPr="00C9040A">
        <w:rPr>
          <w:rtl/>
        </w:rPr>
        <w:t xml:space="preserve"> ، ج 70 ، ص 300 ، ح 10.</w:t>
      </w:r>
      <w:r w:rsidR="00CB1E2A">
        <w:rPr>
          <w:rFonts w:hint="cs"/>
          <w:rtl/>
        </w:rPr>
        <w:t xml:space="preserve">                           </w:t>
      </w:r>
      <w:r>
        <w:rPr>
          <w:rtl/>
        </w:rPr>
        <w:t>(7).</w:t>
      </w:r>
      <w:r w:rsidR="008A74EB" w:rsidRPr="00C9040A">
        <w:rPr>
          <w:rtl/>
        </w:rPr>
        <w:t xml:space="preserve"> في « ف » : « فإنّ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كون الكلمة بالحاء محتمل ، وهو خبر كان ، واسمه ضمير يعود إلى اللقاء أو الورع. راجع : </w:t>
      </w:r>
      <w:r w:rsidR="008A74EB" w:rsidRPr="00993B55">
        <w:rPr>
          <w:rStyle w:val="libFootnoteBoldChar"/>
          <w:rtl/>
        </w:rPr>
        <w:t>شرح المازندراني</w:t>
      </w:r>
      <w:r w:rsidR="008A74EB" w:rsidRPr="00C9040A">
        <w:rPr>
          <w:rtl/>
        </w:rPr>
        <w:t xml:space="preserve"> ، ج 8 ، ص 238 ؛ </w:t>
      </w:r>
      <w:r w:rsidR="008A74EB" w:rsidRPr="00993B55">
        <w:rPr>
          <w:rStyle w:val="libFootnoteBoldChar"/>
          <w:rtl/>
        </w:rPr>
        <w:t>مرآة العقول</w:t>
      </w:r>
      <w:r w:rsidR="008A74EB" w:rsidRPr="00C9040A">
        <w:rPr>
          <w:rtl/>
        </w:rPr>
        <w:t xml:space="preserve"> ، ج 8 ، ص 63.</w:t>
      </w:r>
      <w:r w:rsidR="0086116B">
        <w:rPr>
          <w:rFonts w:hint="cs"/>
          <w:rtl/>
        </w:rPr>
        <w:t xml:space="preserve">   </w:t>
      </w:r>
      <w:r>
        <w:rPr>
          <w:rtl/>
        </w:rPr>
        <w:t>(9).</w:t>
      </w:r>
      <w:r w:rsidR="008A74EB" w:rsidRPr="00C9040A">
        <w:rPr>
          <w:rtl/>
        </w:rPr>
        <w:t xml:space="preserve"> هكذا في النسخ التي قوبلت. وفي المطبوع : « وإنّ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 ص ، بر » : « ومن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كذا. وفي القرآن : </w:t>
      </w:r>
      <w:r w:rsidR="008A74EB" w:rsidRPr="00AC2E2F">
        <w:rPr>
          <w:rStyle w:val="libFootnoteAlaemChar"/>
          <w:rtl/>
        </w:rPr>
        <w:t>(</w:t>
      </w:r>
      <w:r w:rsidR="008A74EB" w:rsidRPr="00883DD5">
        <w:rPr>
          <w:rStyle w:val="libFootnoteAieChar"/>
          <w:rFonts w:hint="cs"/>
          <w:rtl/>
        </w:rPr>
        <w:t xml:space="preserve"> </w:t>
      </w:r>
      <w:r w:rsidR="0086116B">
        <w:rPr>
          <w:rStyle w:val="libFootnoteAieChar"/>
          <w:rtl/>
        </w:rPr>
        <w:t>وَالرَّسُول</w:t>
      </w:r>
      <w:r w:rsidR="0086116B">
        <w:rPr>
          <w:rStyle w:val="libFootnoteAieChar"/>
          <w:rFonts w:hint="cs"/>
          <w:rtl/>
        </w:rPr>
        <w:t>ُ</w:t>
      </w:r>
      <w:r w:rsidR="008A74EB" w:rsidRPr="00883DD5">
        <w:rPr>
          <w:rStyle w:val="libFootnoteAieChar"/>
          <w:rFonts w:hint="cs"/>
          <w:rtl/>
        </w:rPr>
        <w:t xml:space="preserve"> </w:t>
      </w:r>
      <w:r w:rsidR="008A74EB" w:rsidRPr="00AC2E2F">
        <w:rPr>
          <w:rStyle w:val="libFootnoteAlaemChar"/>
          <w:rtl/>
        </w:rPr>
        <w:t>)</w:t>
      </w:r>
      <w:r w:rsidR="008A74EB" w:rsidRPr="00C9040A">
        <w:rPr>
          <w:rtl/>
        </w:rPr>
        <w:t xml:space="preserve">. قال في </w:t>
      </w:r>
      <w:r w:rsidR="008A74EB" w:rsidRPr="00993B55">
        <w:rPr>
          <w:rStyle w:val="libFootnoteBoldChar"/>
          <w:rtl/>
        </w:rPr>
        <w:t>مرآة العقول</w:t>
      </w:r>
      <w:r w:rsidR="008A74EB" w:rsidRPr="00C9040A">
        <w:rPr>
          <w:rtl/>
        </w:rPr>
        <w:t xml:space="preserve"> : « كأنّه نقل با</w:t>
      </w:r>
      <w:r w:rsidR="0086116B">
        <w:rPr>
          <w:rtl/>
        </w:rPr>
        <w:t>لمعنى مع الإشارة إلى ما في سورة</w:t>
      </w:r>
      <w:r w:rsidR="0086116B">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6A2246">
        <w:rPr>
          <w:rStyle w:val="libAieChar"/>
          <w:rtl/>
        </w:rPr>
        <w:t xml:space="preserve">فَأُولئِكَ مَعَ الَّذِينَ أَنْعَمَ اللهُ عَلَيْهِمْ مِنَ النَّبِيِّينَ وَالصِّدِّيقِينَ وَالشُّهَداءِ وَالصّالِحِينَ وَحَسُنَ أُولئِكَ رَفِيقاً </w:t>
      </w:r>
      <w:r w:rsidRPr="0003660B">
        <w:rPr>
          <w:rStyle w:val="libAlaemChar"/>
          <w:rtl/>
        </w:rPr>
        <w:t>)</w:t>
      </w:r>
      <w:r w:rsidRPr="00C9040A">
        <w:rPr>
          <w:rtl/>
          <w:lang w:bidi="fa-IR"/>
        </w:rPr>
        <w:t xml:space="preserve"> </w:t>
      </w:r>
      <w:r w:rsidR="006C577F" w:rsidRPr="006C577F">
        <w:rPr>
          <w:rStyle w:val="libFootnotenumChar"/>
          <w:rtl/>
        </w:rPr>
        <w:t>(1)</w:t>
      </w:r>
      <w:r w:rsidRPr="002712F0">
        <w:rPr>
          <w:rFonts w:hint="cs"/>
          <w:rtl/>
        </w:rPr>
        <w:t xml:space="preserve"> </w:t>
      </w:r>
      <w:r w:rsidRPr="00C9040A">
        <w:rPr>
          <w:rtl/>
          <w:lang w:bidi="fa-IR"/>
        </w:rPr>
        <w:t xml:space="preserve">فَمِنَّا النَّبِيُّ ، وَمِنَّا الصِّدِّيقُ </w:t>
      </w:r>
      <w:r w:rsidR="006C577F" w:rsidRPr="006C577F">
        <w:rPr>
          <w:rStyle w:val="libFootnotenumChar"/>
          <w:rtl/>
        </w:rPr>
        <w:t>(2)</w:t>
      </w:r>
      <w:r w:rsidRPr="00C9040A">
        <w:rPr>
          <w:rtl/>
          <w:lang w:bidi="fa-IR"/>
        </w:rPr>
        <w:t xml:space="preserve"> وَالشُّهَدَاءُ وَالصَّالِحُونَ </w:t>
      </w:r>
      <w:r w:rsidR="006C577F" w:rsidRPr="006C577F">
        <w:rPr>
          <w:rStyle w:val="libFootnotenumChar"/>
          <w:rtl/>
        </w:rPr>
        <w:t>(3)</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F53A37">
        <w:rPr>
          <w:rtl/>
        </w:rPr>
        <w:t>1640</w:t>
      </w:r>
      <w:r w:rsidRPr="00261CB0">
        <w:rPr>
          <w:rStyle w:val="libBold2Char"/>
          <w:rtl/>
        </w:rPr>
        <w:t xml:space="preserve"> / 13.</w:t>
      </w:r>
      <w:r w:rsidRPr="00C9040A">
        <w:rPr>
          <w:rtl/>
          <w:lang w:bidi="fa-IR"/>
        </w:rPr>
        <w:t xml:space="preserve"> عَلِيُّ بْنُ إِبْرَاهِيمَ ، عَنْ أَبِيهِ ، عَنِ ابْنِ مَحْبُوبٍ ، عَنِ ابْنِ رِئَابٍ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إِنَّا لَانَعُدُّ الرَّجُلَ مُؤْمِناً حَتّى يَكُونَ لِجَمِيعِ أَمْرِنَا مُتَّبِعاً </w:t>
      </w:r>
      <w:r w:rsidR="006C577F" w:rsidRPr="006C577F">
        <w:rPr>
          <w:rStyle w:val="libFootnotenumChar"/>
          <w:rtl/>
        </w:rPr>
        <w:t>(5)</w:t>
      </w:r>
      <w:r w:rsidRPr="00C9040A">
        <w:rPr>
          <w:rtl/>
          <w:lang w:bidi="fa-IR"/>
        </w:rPr>
        <w:t xml:space="preserve"> مُرِيداً ، أَلَا وَ</w:t>
      </w:r>
      <w:r>
        <w:rPr>
          <w:rFonts w:hint="cs"/>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 xml:space="preserve">إِنَّ مِنِ اتِّبَاعِ أَمْرِنَا وَإِرَادَتِهِ </w:t>
      </w:r>
      <w:r w:rsidR="006C577F" w:rsidRPr="006C577F">
        <w:rPr>
          <w:rStyle w:val="libFootnotenumChar"/>
          <w:rtl/>
        </w:rPr>
        <w:t>(7)</w:t>
      </w:r>
      <w:r w:rsidRPr="00C9040A">
        <w:rPr>
          <w:rtl/>
          <w:lang w:bidi="fa-IR"/>
        </w:rPr>
        <w:t xml:space="preserve"> الْوَرَعَ ، فَتَزَيَّنُوا بِهِ يَرْحَمْكُمُ </w:t>
      </w:r>
      <w:r w:rsidR="006C577F" w:rsidRPr="006C577F">
        <w:rPr>
          <w:rStyle w:val="libFootnotenumChar"/>
          <w:rtl/>
        </w:rPr>
        <w:t>(8)</w:t>
      </w:r>
      <w:r w:rsidRPr="00C9040A">
        <w:rPr>
          <w:rtl/>
          <w:lang w:bidi="fa-IR"/>
        </w:rPr>
        <w:t xml:space="preserve"> اللهُ ، وَكَبِّدُوا </w:t>
      </w:r>
      <w:r w:rsidR="006C577F" w:rsidRPr="006C577F">
        <w:rPr>
          <w:rStyle w:val="libFootnotenumChar"/>
          <w:rtl/>
        </w:rPr>
        <w:t>(9)</w:t>
      </w:r>
      <w:r w:rsidRPr="00C9040A">
        <w:rPr>
          <w:rtl/>
          <w:lang w:bidi="fa-IR"/>
        </w:rPr>
        <w:t xml:space="preserve"> أَعْدَاءَنَا </w:t>
      </w:r>
      <w:r w:rsidR="006C577F" w:rsidRPr="006C577F">
        <w:rPr>
          <w:rStyle w:val="libFootnotenumChar"/>
          <w:rtl/>
        </w:rPr>
        <w:t>(10)</w:t>
      </w:r>
      <w:r w:rsidRPr="00C9040A">
        <w:rPr>
          <w:rtl/>
          <w:lang w:bidi="fa-IR"/>
        </w:rPr>
        <w:t xml:space="preserve"> بِهِ </w:t>
      </w:r>
      <w:r w:rsidR="006C577F" w:rsidRPr="006C577F">
        <w:rPr>
          <w:rStyle w:val="libFootnotenumChar"/>
          <w:rtl/>
        </w:rPr>
        <w:t>(11)</w:t>
      </w:r>
      <w:r w:rsidRPr="00C9040A">
        <w:rPr>
          <w:rtl/>
          <w:lang w:bidi="fa-IR"/>
        </w:rPr>
        <w:t xml:space="preserve"> يَنْعَشْكُمُ </w:t>
      </w:r>
      <w:r w:rsidR="006C577F" w:rsidRPr="006C577F">
        <w:rPr>
          <w:rStyle w:val="libFootnotenumChar"/>
          <w:rtl/>
        </w:rPr>
        <w:t>(12)</w:t>
      </w:r>
      <w:r w:rsidRPr="00C9040A">
        <w:rPr>
          <w:rtl/>
          <w:lang w:bidi="fa-IR"/>
        </w:rPr>
        <w:t xml:space="preserve"> اللهُ »</w:t>
      </w:r>
      <w:r>
        <w:rPr>
          <w:rtl/>
          <w:lang w:bidi="fa-IR"/>
        </w:rPr>
        <w:t>.</w:t>
      </w:r>
      <w:r w:rsidRPr="00C9040A">
        <w:rPr>
          <w:rtl/>
          <w:lang w:bidi="fa-IR"/>
        </w:rPr>
        <w:t xml:space="preserve"> </w:t>
      </w:r>
      <w:r w:rsidRPr="005B567D">
        <w:rPr>
          <w:rStyle w:val="libFootnotenumChar"/>
          <w:rtl/>
        </w:rPr>
        <w:t>(13)</w:t>
      </w:r>
      <w:r w:rsidRPr="00C9040A">
        <w:rPr>
          <w:rtl/>
          <w:lang w:bidi="fa-IR"/>
        </w:rPr>
        <w:t xml:space="preserve"> ‌</w:t>
      </w:r>
    </w:p>
    <w:p w:rsidR="008A74EB" w:rsidRPr="00C9040A" w:rsidRDefault="008A74EB" w:rsidP="008A74EB">
      <w:pPr>
        <w:pStyle w:val="libNormal"/>
        <w:rPr>
          <w:rtl/>
          <w:lang w:bidi="fa-IR"/>
        </w:rPr>
      </w:pPr>
      <w:r w:rsidRPr="00F53A37">
        <w:rPr>
          <w:rtl/>
        </w:rPr>
        <w:t>1641</w:t>
      </w:r>
      <w:r w:rsidRPr="00261CB0">
        <w:rPr>
          <w:rStyle w:val="libBold2Char"/>
          <w:rtl/>
        </w:rPr>
        <w:t xml:space="preserve"> / 14.</w:t>
      </w:r>
      <w:r w:rsidRPr="00C9040A">
        <w:rPr>
          <w:rtl/>
          <w:lang w:bidi="fa-IR"/>
        </w:rPr>
        <w:t xml:space="preserve"> مُحَمَّدُ بْنُ يَحْيى ، عَنْ أَحْمَدَ بْنِ مُحَمَّدٍ ، عَنِ الْحَجَّالِ ، عَنِ الْعَلَاءِ ، عَنِ ابْنِ‌</w:t>
      </w:r>
    </w:p>
    <w:p w:rsidR="008A74EB" w:rsidRPr="00C9040A" w:rsidRDefault="008A74EB" w:rsidP="008A74EB">
      <w:pPr>
        <w:pStyle w:val="libLine"/>
        <w:rPr>
          <w:rtl/>
          <w:lang w:bidi="fa-IR"/>
        </w:rPr>
      </w:pPr>
      <w:r w:rsidRPr="00C9040A">
        <w:rPr>
          <w:rtl/>
          <w:lang w:bidi="fa-IR"/>
        </w:rPr>
        <w:t>__________________</w:t>
      </w:r>
    </w:p>
    <w:p w:rsidR="003F4F5F" w:rsidRPr="004A4E41" w:rsidRDefault="003F4F5F" w:rsidP="004A4E41">
      <w:pPr>
        <w:pStyle w:val="libFootnote0"/>
        <w:rPr>
          <w:rStyle w:val="libFootnote0Char"/>
          <w:rtl/>
        </w:rPr>
      </w:pPr>
      <w:r>
        <w:rPr>
          <w:rFonts w:hint="cs"/>
          <w:rtl/>
        </w:rPr>
        <w:t xml:space="preserve">= </w:t>
      </w:r>
      <w:r w:rsidRPr="00C9040A">
        <w:rPr>
          <w:rtl/>
        </w:rPr>
        <w:t xml:space="preserve">النور [ (24) الآية 54 </w:t>
      </w:r>
      <w:r>
        <w:rPr>
          <w:rtl/>
        </w:rPr>
        <w:t>و 5</w:t>
      </w:r>
      <w:r w:rsidRPr="00C9040A">
        <w:rPr>
          <w:rtl/>
        </w:rPr>
        <w:t>6 ] »</w:t>
      </w:r>
      <w:r>
        <w:rPr>
          <w:rtl/>
        </w:rPr>
        <w:t>.</w:t>
      </w:r>
    </w:p>
    <w:tbl>
      <w:tblPr>
        <w:tblStyle w:val="TableGrid"/>
        <w:bidiVisual/>
        <w:tblW w:w="0" w:type="auto"/>
        <w:tblLook w:val="04A0" w:firstRow="1" w:lastRow="0" w:firstColumn="1" w:lastColumn="0" w:noHBand="0" w:noVBand="1"/>
      </w:tblPr>
      <w:tblGrid>
        <w:gridCol w:w="4006"/>
        <w:gridCol w:w="4006"/>
      </w:tblGrid>
      <w:tr w:rsidR="00CC5E61" w:rsidTr="00CC5E61">
        <w:tc>
          <w:tcPr>
            <w:tcW w:w="4006" w:type="dxa"/>
          </w:tcPr>
          <w:p w:rsidR="00CC5E61" w:rsidRDefault="00CC5E61" w:rsidP="004A4E41">
            <w:pPr>
              <w:pStyle w:val="libFootnote0"/>
              <w:rPr>
                <w:rtl/>
              </w:rPr>
            </w:pPr>
            <w:r>
              <w:rPr>
                <w:rtl/>
              </w:rPr>
              <w:t>(1).</w:t>
            </w:r>
            <w:r w:rsidRPr="00C9040A">
              <w:rPr>
                <w:rtl/>
              </w:rPr>
              <w:t xml:space="preserve"> النساء </w:t>
            </w:r>
            <w:r>
              <w:rPr>
                <w:rtl/>
              </w:rPr>
              <w:t>(4).</w:t>
            </w:r>
            <w:r w:rsidRPr="00C9040A">
              <w:rPr>
                <w:rtl/>
              </w:rPr>
              <w:t xml:space="preserve"> : 69.</w:t>
            </w:r>
          </w:p>
        </w:tc>
        <w:tc>
          <w:tcPr>
            <w:tcW w:w="4006" w:type="dxa"/>
          </w:tcPr>
          <w:p w:rsidR="00CC5E61" w:rsidRDefault="00CC5E61" w:rsidP="004A4E41">
            <w:pPr>
              <w:pStyle w:val="libFootnote0"/>
              <w:rPr>
                <w:rtl/>
              </w:rPr>
            </w:pPr>
            <w:r>
              <w:rPr>
                <w:rtl/>
              </w:rPr>
              <w:t xml:space="preserve">(2). </w:t>
            </w:r>
            <w:r w:rsidRPr="00C9040A">
              <w:rPr>
                <w:rtl/>
              </w:rPr>
              <w:t>في«ز،ص»:«الصدّيقين»</w:t>
            </w:r>
            <w:r>
              <w:rPr>
                <w:rtl/>
              </w:rPr>
              <w:t>.</w:t>
            </w:r>
            <w:r w:rsidRPr="00C9040A">
              <w:rPr>
                <w:rtl/>
              </w:rPr>
              <w:t>وفي«ف»:«الصدّيقون»</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في « ز » : « والصالحين »</w:t>
      </w:r>
      <w:r w:rsidR="008A74EB">
        <w:rPr>
          <w:rtl/>
        </w:rPr>
        <w:t>.</w:t>
      </w:r>
    </w:p>
    <w:p w:rsidR="008A74EB" w:rsidRPr="004A4E41" w:rsidRDefault="006C577F" w:rsidP="004A4E41">
      <w:pPr>
        <w:pStyle w:val="libFootnote0"/>
        <w:rPr>
          <w:rStyle w:val="libFootnote0Char"/>
          <w:rtl/>
        </w:rPr>
      </w:pPr>
      <w:r>
        <w:rPr>
          <w:rtl/>
        </w:rPr>
        <w:t>(4).</w:t>
      </w:r>
      <w:r w:rsidR="008A74EB" w:rsidRPr="00C9040A">
        <w:rPr>
          <w:rtl/>
        </w:rPr>
        <w:t xml:space="preserve"> </w:t>
      </w:r>
      <w:r w:rsidR="008A74EB" w:rsidRPr="00993B55">
        <w:rPr>
          <w:rStyle w:val="libFootnoteBoldChar"/>
          <w:rtl/>
        </w:rPr>
        <w:t>الوافي</w:t>
      </w:r>
      <w:r w:rsidR="008A74EB" w:rsidRPr="00C9040A">
        <w:rPr>
          <w:rtl/>
        </w:rPr>
        <w:t xml:space="preserve"> ، ج 4 ، ص 328 ، ح 2038 ؛ </w:t>
      </w:r>
      <w:r w:rsidR="008A74EB" w:rsidRPr="00993B55">
        <w:rPr>
          <w:rStyle w:val="libFootnoteBoldChar"/>
          <w:rtl/>
        </w:rPr>
        <w:t>الوسائل</w:t>
      </w:r>
      <w:r w:rsidR="008A74EB" w:rsidRPr="00C9040A">
        <w:rPr>
          <w:rtl/>
        </w:rPr>
        <w:t xml:space="preserve"> ، ج 15 ، ص 245 ، ح 20402 ، إلى قوله : « كان له عند الله فرجاً » ؛ </w:t>
      </w:r>
      <w:r w:rsidR="008A74EB" w:rsidRPr="00993B55">
        <w:rPr>
          <w:rStyle w:val="libFootnoteBoldChar"/>
          <w:rtl/>
        </w:rPr>
        <w:t>البحار</w:t>
      </w:r>
      <w:r w:rsidR="008A74EB" w:rsidRPr="00C9040A">
        <w:rPr>
          <w:rtl/>
        </w:rPr>
        <w:t xml:space="preserve"> ، ج 70 ، ص 301 ، ح 11.</w:t>
      </w:r>
      <w:r w:rsidR="00AE1F91">
        <w:rPr>
          <w:rFonts w:hint="cs"/>
          <w:rtl/>
        </w:rPr>
        <w:t xml:space="preserve">     </w:t>
      </w:r>
      <w:r>
        <w:rPr>
          <w:rtl/>
        </w:rPr>
        <w:t>(5).</w:t>
      </w:r>
      <w:r w:rsidR="008A74EB" w:rsidRPr="00C9040A">
        <w:rPr>
          <w:rtl/>
        </w:rPr>
        <w:t xml:space="preserve"> في « ف » : « مطيعاً »</w:t>
      </w:r>
      <w:r w:rsidR="008A74EB">
        <w:rPr>
          <w:rtl/>
        </w:rPr>
        <w:t>.</w:t>
      </w:r>
    </w:p>
    <w:tbl>
      <w:tblPr>
        <w:tblStyle w:val="TableGrid"/>
        <w:bidiVisual/>
        <w:tblW w:w="0" w:type="auto"/>
        <w:tblLook w:val="04A0" w:firstRow="1" w:lastRow="0" w:firstColumn="1" w:lastColumn="0" w:noHBand="0" w:noVBand="1"/>
      </w:tblPr>
      <w:tblGrid>
        <w:gridCol w:w="4006"/>
        <w:gridCol w:w="4006"/>
      </w:tblGrid>
      <w:tr w:rsidR="00023796" w:rsidTr="00023796">
        <w:tc>
          <w:tcPr>
            <w:tcW w:w="4006" w:type="dxa"/>
          </w:tcPr>
          <w:p w:rsidR="00023796" w:rsidRDefault="00023796" w:rsidP="004A4E41">
            <w:pPr>
              <w:pStyle w:val="libFootnote0"/>
              <w:rPr>
                <w:rtl/>
              </w:rPr>
            </w:pPr>
            <w:r>
              <w:rPr>
                <w:rtl/>
              </w:rPr>
              <w:t xml:space="preserve">(6). </w:t>
            </w:r>
            <w:r w:rsidRPr="00C9040A">
              <w:rPr>
                <w:rtl/>
              </w:rPr>
              <w:t xml:space="preserve">في « ب » </w:t>
            </w:r>
            <w:r>
              <w:rPr>
                <w:rtl/>
              </w:rPr>
              <w:t>: -</w:t>
            </w:r>
            <w:r w:rsidRPr="00C9040A">
              <w:rPr>
                <w:rtl/>
              </w:rPr>
              <w:t xml:space="preserve"> « </w:t>
            </w:r>
            <w:r>
              <w:rPr>
                <w:rtl/>
              </w:rPr>
              <w:t>و ».</w:t>
            </w:r>
          </w:p>
        </w:tc>
        <w:tc>
          <w:tcPr>
            <w:tcW w:w="4006" w:type="dxa"/>
          </w:tcPr>
          <w:p w:rsidR="00023796" w:rsidRDefault="00023796" w:rsidP="004A4E41">
            <w:pPr>
              <w:pStyle w:val="libFootnote0"/>
              <w:rPr>
                <w:rtl/>
              </w:rPr>
            </w:pPr>
            <w:r>
              <w:rPr>
                <w:rtl/>
              </w:rPr>
              <w:t>(7).</w:t>
            </w:r>
            <w:r w:rsidRPr="00C9040A">
              <w:rPr>
                <w:rtl/>
              </w:rPr>
              <w:t xml:space="preserve"> في البحار </w:t>
            </w:r>
            <w:r>
              <w:rPr>
                <w:rtl/>
              </w:rPr>
              <w:t>: -</w:t>
            </w:r>
            <w:r w:rsidRPr="00C9040A">
              <w:rPr>
                <w:rtl/>
              </w:rPr>
              <w:t xml:space="preserve"> « وإرادته »</w:t>
            </w:r>
            <w:r>
              <w:rPr>
                <w:rtl/>
              </w:rPr>
              <w:t>.</w:t>
            </w:r>
          </w:p>
        </w:tc>
      </w:tr>
    </w:tbl>
    <w:p w:rsidR="008A74EB" w:rsidRPr="00C9040A" w:rsidRDefault="006C577F" w:rsidP="004A4E41">
      <w:pPr>
        <w:pStyle w:val="libFootnote0"/>
        <w:rPr>
          <w:rtl/>
          <w:lang w:bidi="fa-IR"/>
        </w:rPr>
      </w:pPr>
      <w:r>
        <w:rPr>
          <w:rtl/>
        </w:rPr>
        <w:t>(8).</w:t>
      </w:r>
      <w:r w:rsidR="008A74EB" w:rsidRPr="00C9040A">
        <w:rPr>
          <w:rtl/>
        </w:rPr>
        <w:t xml:space="preserve"> في « ف » : « رحمك »</w:t>
      </w:r>
      <w:r w:rsidR="008A74EB">
        <w:rPr>
          <w:rtl/>
        </w:rPr>
        <w:t>.</w:t>
      </w:r>
      <w:r w:rsidR="008A74EB" w:rsidRPr="00C9040A">
        <w:rPr>
          <w:rtl/>
        </w:rPr>
        <w:t xml:space="preserve"> وفي « بر ، بف » وحاشية « ف » : « رحمكم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ب ، د ، ف ، </w:t>
      </w:r>
      <w:r w:rsidR="006D3162">
        <w:rPr>
          <w:rtl/>
        </w:rPr>
        <w:t xml:space="preserve">ه </w:t>
      </w:r>
      <w:r w:rsidR="008A74EB" w:rsidRPr="00C9040A">
        <w:rPr>
          <w:rtl/>
        </w:rPr>
        <w:t>، بر » وشرح المازندراني والوسائل والبحار ، ج 70 : « وكيدوا »</w:t>
      </w:r>
      <w:r w:rsidR="008A74EB">
        <w:rPr>
          <w:rtl/>
        </w:rPr>
        <w:t>.</w:t>
      </w:r>
      <w:r w:rsidR="008A74EB" w:rsidRPr="00C9040A">
        <w:rPr>
          <w:rtl/>
        </w:rPr>
        <w:t xml:space="preserve"> وقوله : « كبّدوا » من كبدتُ الرجلَ : أصبت كَبِدَه. والكَبَد : الشدّة. </w:t>
      </w:r>
      <w:r w:rsidR="008A74EB" w:rsidRPr="00993B55">
        <w:rPr>
          <w:rStyle w:val="libFootnoteBoldChar"/>
          <w:rtl/>
        </w:rPr>
        <w:t>الصحاح</w:t>
      </w:r>
      <w:r w:rsidR="008A74EB" w:rsidRPr="00C9040A">
        <w:rPr>
          <w:rtl/>
        </w:rPr>
        <w:t xml:space="preserve"> ، ج 2 ، ص 530 ( كبد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 وكيدوا به ، في أكثر النسخ بالياء المثنّاة ، أي حاربوهم بالورع لتغلبوا ، أو ادفعوا به كيدهم</w:t>
      </w:r>
      <w:r w:rsidR="008A74EB">
        <w:rPr>
          <w:rtl/>
        </w:rPr>
        <w:t xml:space="preserve"> ..</w:t>
      </w:r>
      <w:r w:rsidR="008A74EB" w:rsidRPr="00C9040A">
        <w:rPr>
          <w:rtl/>
        </w:rPr>
        <w:t xml:space="preserve">. أو احتالوا بالورع ليرغبوا في دينكم ، كما مرّ في قوله </w:t>
      </w:r>
      <w:r w:rsidR="00117575" w:rsidRPr="00117575">
        <w:rPr>
          <w:rStyle w:val="libFootnoteAlaemChar"/>
          <w:rtl/>
        </w:rPr>
        <w:t>عليه‌السلام</w:t>
      </w:r>
      <w:r w:rsidR="008A74EB" w:rsidRPr="00C9040A">
        <w:rPr>
          <w:rtl/>
        </w:rPr>
        <w:t xml:space="preserve"> : « كونوا دعاة الناس » وكأنّه أظهر ؛ وفي بعض النسخ بالباء الموحّدة المشدّدة من الكبد بمعنى الشدّة والمشقّة ، أي أوقعوهم في الألم والمشقّة ؛ لأنّه يصعب عليهم ورعكم ، والأوّل أكثر وأظهر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 ض » : « أعدانا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في « ص » </w:t>
      </w:r>
      <w:r w:rsidR="008A74EB">
        <w:rPr>
          <w:rtl/>
        </w:rPr>
        <w:t xml:space="preserve">: </w:t>
      </w:r>
      <w:r w:rsidR="0084262C">
        <w:rPr>
          <w:rtl/>
        </w:rPr>
        <w:t>-</w:t>
      </w:r>
      <w:r w:rsidR="008A74EB" w:rsidRPr="00C9040A">
        <w:rPr>
          <w:rtl/>
        </w:rPr>
        <w:t xml:space="preserve"> « كبّدوا أعداءنا به »</w:t>
      </w:r>
      <w:r w:rsidR="008A74EB">
        <w:rPr>
          <w:rtl/>
        </w:rPr>
        <w:t>.</w:t>
      </w:r>
      <w:r w:rsidR="008A74EB" w:rsidRPr="00C9040A">
        <w:rPr>
          <w:rtl/>
        </w:rPr>
        <w:t xml:space="preserve"> وفي البحار ، ج 75 </w:t>
      </w:r>
      <w:r w:rsidR="008A74EB">
        <w:rPr>
          <w:rtl/>
        </w:rPr>
        <w:t xml:space="preserve">: </w:t>
      </w:r>
      <w:r w:rsidR="0084262C">
        <w:rPr>
          <w:rtl/>
        </w:rPr>
        <w:t>-</w:t>
      </w:r>
      <w:r w:rsidR="008A74EB" w:rsidRPr="00C9040A">
        <w:rPr>
          <w:rtl/>
        </w:rPr>
        <w:t xml:space="preserve"> « به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يقال : نعشه الله ينعشه نعشاً ، إذا رَفَعه. وانتعش العاثر ، إذا نهض من عثرته. والمعنى : حاربوا أعداءنا بالورع لتغلبوا عليهم يرفعكم الله. وجوّزوا في « ينعشكم » كون الفعل من باب الإفعال والتفعيل أيضاً ؛ استناداً إلى ما في المصباح والقاموس. راجع : </w:t>
      </w:r>
      <w:r w:rsidR="008A74EB" w:rsidRPr="00993B55">
        <w:rPr>
          <w:rStyle w:val="libFootnoteBoldChar"/>
          <w:rtl/>
        </w:rPr>
        <w:t>شرح المازندراني</w:t>
      </w:r>
      <w:r w:rsidR="008A74EB" w:rsidRPr="00C9040A">
        <w:rPr>
          <w:rtl/>
        </w:rPr>
        <w:t xml:space="preserve"> ، ج 8 ، ص 239 ؛ </w:t>
      </w:r>
      <w:r w:rsidR="008A74EB" w:rsidRPr="00993B55">
        <w:rPr>
          <w:rStyle w:val="libFootnoteBoldChar"/>
          <w:rtl/>
        </w:rPr>
        <w:t>مرآة العقول</w:t>
      </w:r>
      <w:r w:rsidR="008A74EB" w:rsidRPr="00C9040A">
        <w:rPr>
          <w:rtl/>
        </w:rPr>
        <w:t xml:space="preserve"> ، ج 8 ، ص 64 ؛ </w:t>
      </w:r>
      <w:r w:rsidR="008A74EB" w:rsidRPr="00993B55">
        <w:rPr>
          <w:rStyle w:val="libFootnoteBoldChar"/>
          <w:rtl/>
        </w:rPr>
        <w:t>النهاية</w:t>
      </w:r>
      <w:r w:rsidR="008A74EB" w:rsidRPr="00C9040A">
        <w:rPr>
          <w:rtl/>
        </w:rPr>
        <w:t xml:space="preserve"> ، ج 5 ، ص 81 ( نعش )</w:t>
      </w:r>
      <w:r w:rsidR="008A74EB">
        <w:rPr>
          <w:rtl/>
        </w:rPr>
        <w:t>.</w:t>
      </w:r>
    </w:p>
    <w:p w:rsidR="008A74EB" w:rsidRPr="00993B55" w:rsidRDefault="008A74EB" w:rsidP="004A4E41">
      <w:pPr>
        <w:pStyle w:val="libFootnote0"/>
        <w:rPr>
          <w:rStyle w:val="libFootnoteBoldChar"/>
          <w:rtl/>
        </w:rPr>
      </w:pPr>
      <w:r>
        <w:rPr>
          <w:rtl/>
        </w:rPr>
        <w:t>(13)</w:t>
      </w:r>
      <w:r w:rsidR="00430710">
        <w:rPr>
          <w:rFonts w:hint="cs"/>
          <w:rtl/>
        </w:rPr>
        <w:t>.</w:t>
      </w:r>
      <w:r w:rsidRPr="00C9040A">
        <w:rPr>
          <w:rtl/>
        </w:rPr>
        <w:t xml:space="preserve"> </w:t>
      </w:r>
      <w:r w:rsidRPr="00993B55">
        <w:rPr>
          <w:rStyle w:val="libFootnoteBoldChar"/>
          <w:rtl/>
        </w:rPr>
        <w:t>الوافي</w:t>
      </w:r>
      <w:r w:rsidRPr="00C9040A">
        <w:rPr>
          <w:rtl/>
        </w:rPr>
        <w:t xml:space="preserve"> ، ج 4 ، ص 327 ، ح 2034 ؛ </w:t>
      </w:r>
      <w:r w:rsidRPr="00993B55">
        <w:rPr>
          <w:rStyle w:val="libFootnoteBoldChar"/>
          <w:rtl/>
        </w:rPr>
        <w:t>الوسائل</w:t>
      </w:r>
      <w:r w:rsidRPr="00C9040A">
        <w:rPr>
          <w:rtl/>
        </w:rPr>
        <w:t xml:space="preserve"> ، ج 15 ، ص 243 ، ح 20391 ؛ </w:t>
      </w:r>
      <w:r w:rsidRPr="00993B55">
        <w:rPr>
          <w:rStyle w:val="libFootnoteBoldChar"/>
          <w:rtl/>
        </w:rPr>
        <w:t>البحار</w:t>
      </w:r>
      <w:r w:rsidRPr="00C9040A">
        <w:rPr>
          <w:rtl/>
        </w:rPr>
        <w:t xml:space="preserve"> ، ج 70 ، ص 302 ، ح 12 ؛ وج 75 ، ص 235 ، ذيل ح 1.</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أَبِي يَعْفُورٍ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كُونُوا دُعَاةً لِلنَّاسِ </w:t>
      </w:r>
      <w:r w:rsidR="006C577F" w:rsidRPr="006C577F">
        <w:rPr>
          <w:rStyle w:val="libFootnotenumChar"/>
          <w:rtl/>
        </w:rPr>
        <w:t>(1)</w:t>
      </w:r>
      <w:r w:rsidRPr="002712F0">
        <w:rPr>
          <w:rFonts w:hint="cs"/>
          <w:rtl/>
        </w:rPr>
        <w:t xml:space="preserve"> </w:t>
      </w:r>
      <w:r w:rsidRPr="00C9040A">
        <w:rPr>
          <w:rtl/>
          <w:lang w:bidi="fa-IR"/>
        </w:rPr>
        <w:t xml:space="preserve">بِغَيْرِ أَلْسِنَتِكُمْ ؛ لِيَرَوْا مِنْكُمُ الْوَرَعَ وَالِاجْتِهَادَ وَالصَّلَاةَ وَالْخَيْرَ ؛ فَإِنَّ ذلِكَ دَاعِيَةٌ </w:t>
      </w:r>
      <w:r w:rsidR="006C577F" w:rsidRPr="006C577F">
        <w:rPr>
          <w:rStyle w:val="libFootnotenumChar"/>
          <w:rtl/>
        </w:rPr>
        <w:t>(2)</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9259F5">
        <w:rPr>
          <w:rtl/>
        </w:rPr>
        <w:t>1642</w:t>
      </w:r>
      <w:r w:rsidRPr="00261CB0">
        <w:rPr>
          <w:rStyle w:val="libBold2Char"/>
          <w:rtl/>
        </w:rPr>
        <w:t xml:space="preserve"> / 15.</w:t>
      </w:r>
      <w:r w:rsidRPr="00C9040A">
        <w:rPr>
          <w:rtl/>
          <w:lang w:bidi="fa-IR"/>
        </w:rPr>
        <w:t xml:space="preserve"> الْحُسَيْنُ بْنُ مُحَمَّدٍ ، عَنْ عَلِيِّ بْنِ مُحَمَّدِ بْنِ سَعْدٍ </w:t>
      </w:r>
      <w:r w:rsidR="006C577F" w:rsidRPr="006C577F">
        <w:rPr>
          <w:rStyle w:val="libFootnotenumChar"/>
          <w:rtl/>
        </w:rPr>
        <w:t>(4)</w:t>
      </w:r>
      <w:r w:rsidRPr="00C9040A">
        <w:rPr>
          <w:rtl/>
          <w:lang w:bidi="fa-IR"/>
        </w:rPr>
        <w:t xml:space="preserve"> ، عَنْ مُحَمَّدِ بْنِ سَالِمٍ </w:t>
      </w:r>
      <w:r w:rsidR="006C577F" w:rsidRPr="006C577F">
        <w:rPr>
          <w:rStyle w:val="libFootnotenumChar"/>
          <w:rtl/>
        </w:rPr>
        <w:t>(5)</w:t>
      </w:r>
      <w:r w:rsidRPr="00C9040A">
        <w:rPr>
          <w:rtl/>
          <w:lang w:bidi="fa-IR"/>
        </w:rPr>
        <w:t xml:space="preserve"> ، عَنْ مُحَمَّدِ بْنِ حَمْزَةَ الْعَلَوِيِّ ، قَالَ : أَخْبَرَنِي عُبَيْدُ اللهِ </w:t>
      </w:r>
      <w:r w:rsidR="006C577F" w:rsidRPr="006C577F">
        <w:rPr>
          <w:rStyle w:val="libFootnotenumChar"/>
          <w:rtl/>
        </w:rPr>
        <w:t>(6)</w:t>
      </w:r>
      <w:r w:rsidRPr="005B567D">
        <w:rPr>
          <w:rStyle w:val="libFootnotenumChar"/>
          <w:rtl/>
        </w:rPr>
        <w:t xml:space="preserve"> </w:t>
      </w:r>
      <w:r w:rsidRPr="00C9040A">
        <w:rPr>
          <w:rtl/>
          <w:lang w:bidi="fa-IR"/>
        </w:rPr>
        <w:t>بْنُ عَلِيٍّ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الكافي ، ح 1778 : + « بالخير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الكافي ، ح 1778 : « الاجتهاد والصدق والورع » بدل « الورع</w:t>
      </w:r>
      <w:r w:rsidR="008A74EB">
        <w:rPr>
          <w:rtl/>
        </w:rPr>
        <w:t xml:space="preserve"> </w:t>
      </w:r>
      <w:r w:rsidR="0084262C">
        <w:rPr>
          <w:rtl/>
        </w:rPr>
        <w:t>-</w:t>
      </w:r>
      <w:r w:rsidR="008A74EB">
        <w:rPr>
          <w:rtl/>
        </w:rPr>
        <w:t xml:space="preserve"> </w:t>
      </w:r>
      <w:r w:rsidR="008A74EB" w:rsidRPr="00C9040A">
        <w:rPr>
          <w:rtl/>
        </w:rPr>
        <w:t>إلى</w:t>
      </w:r>
      <w:r w:rsidR="008A74EB">
        <w:rPr>
          <w:rtl/>
        </w:rPr>
        <w:t xml:space="preserve"> </w:t>
      </w:r>
      <w:r w:rsidR="0084262C">
        <w:rPr>
          <w:rtl/>
        </w:rPr>
        <w:t>-</w:t>
      </w:r>
      <w:r w:rsidR="008A74EB">
        <w:rPr>
          <w:rtl/>
        </w:rPr>
        <w:t xml:space="preserve"> </w:t>
      </w:r>
      <w:r w:rsidR="008A74EB" w:rsidRPr="00C9040A">
        <w:rPr>
          <w:rtl/>
        </w:rPr>
        <w:t>داعية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w:t>
      </w:r>
      <w:r w:rsidR="009E593B">
        <w:rPr>
          <w:rFonts w:hint="cs"/>
          <w:rtl/>
        </w:rPr>
        <w:t>الكا</w:t>
      </w:r>
      <w:r w:rsidR="008A74EB" w:rsidRPr="00C9040A">
        <w:rPr>
          <w:rtl/>
        </w:rPr>
        <w:t xml:space="preserve">في ، كتاب الإيمان والكفر ، باب الصدق وأداء الأمانة ، ح 1778 ، بسنده عن العلاء </w:t>
      </w:r>
      <w:r w:rsidR="00E003C5">
        <w:rPr>
          <w:rFonts w:hint="cs"/>
          <w:rtl/>
        </w:rPr>
        <w:t>.</w:t>
      </w:r>
      <w:r w:rsidR="008A74EB" w:rsidRPr="00993B55">
        <w:rPr>
          <w:rStyle w:val="libFootnoteBoldChar"/>
          <w:rtl/>
        </w:rPr>
        <w:t>الوافي</w:t>
      </w:r>
      <w:r w:rsidR="008A74EB" w:rsidRPr="00C9040A">
        <w:rPr>
          <w:rtl/>
        </w:rPr>
        <w:t xml:space="preserve"> ، ج 4 ، ص 327 ، ح 2035 ؛ </w:t>
      </w:r>
      <w:r w:rsidR="008A74EB" w:rsidRPr="00993B55">
        <w:rPr>
          <w:rStyle w:val="libFootnoteBoldChar"/>
          <w:rtl/>
        </w:rPr>
        <w:t>الوسائل</w:t>
      </w:r>
      <w:r w:rsidR="008A74EB" w:rsidRPr="00C9040A">
        <w:rPr>
          <w:rtl/>
        </w:rPr>
        <w:t xml:space="preserve"> ، ج 1 ، ص 76 ، ح 171 ؛ وج 15 ، ص 246 ، ح 20403 ؛ </w:t>
      </w:r>
      <w:r w:rsidR="008A74EB" w:rsidRPr="00993B55">
        <w:rPr>
          <w:rStyle w:val="libFootnoteBoldChar"/>
          <w:rtl/>
        </w:rPr>
        <w:t>البحار</w:t>
      </w:r>
      <w:r w:rsidR="008A74EB" w:rsidRPr="00C9040A">
        <w:rPr>
          <w:rtl/>
        </w:rPr>
        <w:t xml:space="preserve"> ، ج 70 ، ص 303 ، ح 13.</w:t>
      </w:r>
    </w:p>
    <w:p w:rsidR="008A74EB" w:rsidRPr="00C9040A" w:rsidRDefault="006C577F" w:rsidP="004A4E41">
      <w:pPr>
        <w:pStyle w:val="libFootnote0"/>
        <w:rPr>
          <w:rtl/>
          <w:lang w:bidi="fa-IR"/>
        </w:rPr>
      </w:pPr>
      <w:r>
        <w:rPr>
          <w:rtl/>
        </w:rPr>
        <w:t>(4).</w:t>
      </w:r>
      <w:r w:rsidR="008A74EB" w:rsidRPr="00C9040A">
        <w:rPr>
          <w:rtl/>
        </w:rPr>
        <w:t xml:space="preserve"> هكذا في « ج ، ز ، ص ، ض ، ف ، بس ، بف » والوسائل والبحار. وفي « ب ، د ، </w:t>
      </w:r>
      <w:r w:rsidR="006D3162">
        <w:rPr>
          <w:rtl/>
        </w:rPr>
        <w:t xml:space="preserve">ه </w:t>
      </w:r>
      <w:r w:rsidR="008A74EB" w:rsidRPr="00C9040A">
        <w:rPr>
          <w:rtl/>
        </w:rPr>
        <w:t>، بر ، جر » والمطبوع : « سعيد »</w:t>
      </w:r>
      <w:r w:rsidR="008A74EB">
        <w:rPr>
          <w:rtl/>
        </w:rPr>
        <w:t>.</w:t>
      </w:r>
      <w:r w:rsidR="008A74EB" w:rsidRPr="00C9040A">
        <w:rPr>
          <w:rtl/>
        </w:rPr>
        <w:t xml:space="preserve"> والصواب ما أثبتناه ؛ فقد وردت رواية الحسين بن محمّد ومحمّد بن يحيى عن عليّ بن محمّد بن سعد في </w:t>
      </w:r>
      <w:r w:rsidR="008A74EB" w:rsidRPr="00993B55">
        <w:rPr>
          <w:rStyle w:val="libFootnoteBoldChar"/>
          <w:rtl/>
        </w:rPr>
        <w:t>الكافي</w:t>
      </w:r>
      <w:r w:rsidR="008A74EB" w:rsidRPr="00C9040A">
        <w:rPr>
          <w:rtl/>
        </w:rPr>
        <w:t xml:space="preserve"> ، ح 2279 </w:t>
      </w:r>
      <w:r w:rsidR="008A74EB">
        <w:rPr>
          <w:rtl/>
        </w:rPr>
        <w:t>و 2</w:t>
      </w:r>
      <w:r w:rsidR="008A74EB" w:rsidRPr="00C9040A">
        <w:rPr>
          <w:rtl/>
        </w:rPr>
        <w:t xml:space="preserve">410 </w:t>
      </w:r>
      <w:r w:rsidR="008A74EB">
        <w:rPr>
          <w:rtl/>
        </w:rPr>
        <w:t>و 2</w:t>
      </w:r>
      <w:r w:rsidR="008A74EB" w:rsidRPr="00C9040A">
        <w:rPr>
          <w:rtl/>
        </w:rPr>
        <w:t xml:space="preserve">840 </w:t>
      </w:r>
      <w:r w:rsidR="008A74EB">
        <w:rPr>
          <w:rtl/>
        </w:rPr>
        <w:t>و 1</w:t>
      </w:r>
      <w:r w:rsidR="008A74EB" w:rsidRPr="00C9040A">
        <w:rPr>
          <w:rtl/>
        </w:rPr>
        <w:t>2801. وعليّ بن محمّد في مشايخ محمّد بن يحيى ، ترجم له النجاشي بعنوان عليّ بن محمّد بن عليّ بن سعد الأشعري القمّي القزداني ، وقال : « يعرف بابن متويه ، له كتاب نوادر كبير</w:t>
      </w:r>
      <w:r w:rsidR="008A74EB">
        <w:rPr>
          <w:rtl/>
        </w:rPr>
        <w:t xml:space="preserve"> ..</w:t>
      </w:r>
      <w:r w:rsidR="008A74EB" w:rsidRPr="00C9040A">
        <w:rPr>
          <w:rtl/>
        </w:rPr>
        <w:t>. حدّثنا أحمد بن محمّد بن يحيى ، عن أبيه »</w:t>
      </w:r>
      <w:r w:rsidR="008A74EB">
        <w:rPr>
          <w:rtl/>
        </w:rPr>
        <w:t>.</w:t>
      </w:r>
      <w:r w:rsidR="008A74EB" w:rsidRPr="00C9040A">
        <w:rPr>
          <w:rtl/>
        </w:rPr>
        <w:t xml:space="preserve"> راجع : </w:t>
      </w:r>
      <w:r w:rsidR="008A74EB" w:rsidRPr="00993B55">
        <w:rPr>
          <w:rStyle w:val="libFootnoteBoldChar"/>
          <w:rtl/>
        </w:rPr>
        <w:t>رجال النجاشي</w:t>
      </w:r>
      <w:r w:rsidR="008A74EB" w:rsidRPr="00C9040A">
        <w:rPr>
          <w:rtl/>
        </w:rPr>
        <w:t xml:space="preserve"> ، ص 257 ، الرقم 673. وانظر أيضاً : </w:t>
      </w:r>
      <w:r w:rsidR="008A74EB" w:rsidRPr="0034021D">
        <w:rPr>
          <w:rStyle w:val="libFootnoteBoldChar"/>
          <w:rtl/>
        </w:rPr>
        <w:t>الفهرست للطوسي</w:t>
      </w:r>
      <w:r w:rsidR="008A74EB" w:rsidRPr="00C9040A">
        <w:rPr>
          <w:rtl/>
        </w:rPr>
        <w:t xml:space="preserve"> ، ص 267 ، الرقم 381.</w:t>
      </w:r>
    </w:p>
    <w:p w:rsidR="008A74EB" w:rsidRPr="00C9040A" w:rsidRDefault="008A74EB" w:rsidP="004A4E41">
      <w:pPr>
        <w:pStyle w:val="libFootnote0"/>
        <w:rPr>
          <w:rtl/>
          <w:lang w:bidi="fa-IR"/>
        </w:rPr>
      </w:pPr>
      <w:r w:rsidRPr="0082575F">
        <w:rPr>
          <w:rtl/>
        </w:rPr>
        <w:t>هذا ، والظاهر أنّ عليّ بن محمّد بن سعد المذكور قد اختُصِر في نسبه كما هو المعهود في كثيرٍ من العناوين.</w:t>
      </w:r>
    </w:p>
    <w:p w:rsidR="008A74EB" w:rsidRPr="00C9040A" w:rsidRDefault="008A74EB" w:rsidP="004A4E41">
      <w:pPr>
        <w:pStyle w:val="libFootnote0"/>
        <w:rPr>
          <w:rtl/>
          <w:lang w:bidi="fa-IR"/>
        </w:rPr>
      </w:pPr>
      <w:r w:rsidRPr="00323A39">
        <w:rPr>
          <w:rtl/>
        </w:rPr>
        <w:t xml:space="preserve">ثمّ إنّ النجاشي ترجم في كتابه ، ص 322 ، الرقم 877 لمحمّد بن سالم بن أبي سلمة الكندي السجستاني ، وجعل راويه علويه بن متويه بن عليّ بن سعد ، أخي أبي الآثار القزداني. وعلويه بن متويه ، هو نفس عليّ بن محمّد الأشعري المذكور الذي قال النجاشي : إنّه يعرف بابن متويه ، يعلم ذلك بمقايسة هذه الترجمة مع ما ورد في ترجمة محمّد بن سالم بن أبي سلمة في </w:t>
      </w:r>
      <w:r w:rsidRPr="0034021D">
        <w:rPr>
          <w:rStyle w:val="libFootnoteBoldChar"/>
          <w:rtl/>
        </w:rPr>
        <w:t>الفهرست للطوسي</w:t>
      </w:r>
      <w:r w:rsidRPr="00323A39">
        <w:rPr>
          <w:rtl/>
        </w:rPr>
        <w:t xml:space="preserve"> ، ص 401 ، الرقم 609 ؛ فقد ذكر الشيخ </w:t>
      </w:r>
      <w:r w:rsidR="00117575" w:rsidRPr="00117575">
        <w:rPr>
          <w:rStyle w:val="libFootnoteAlaemChar"/>
          <w:rtl/>
        </w:rPr>
        <w:t>قدس‌سره</w:t>
      </w:r>
      <w:r w:rsidRPr="00323A39">
        <w:rPr>
          <w:rtl/>
        </w:rPr>
        <w:t xml:space="preserve"> عليّ بن محمّد بن سعيد القيرواني ( القزداني </w:t>
      </w:r>
      <w:r w:rsidR="0084262C" w:rsidRPr="00323A39">
        <w:rPr>
          <w:rtl/>
        </w:rPr>
        <w:t>-</w:t>
      </w:r>
      <w:r w:rsidRPr="00323A39">
        <w:rPr>
          <w:rtl/>
        </w:rPr>
        <w:t xml:space="preserve"> خ ل ) راوياً لكتابه. وبذلك كلّه يعلم أنّ الصواب في العنوان الآتي بعد هذا العنوان هو « محمّد بن سالم » كما أثبتناه ، لا « محمّد بن مسلم » كما في أكثر النسخ والمطبوع.</w:t>
      </w:r>
    </w:p>
    <w:p w:rsidR="008A74EB" w:rsidRPr="00C9040A" w:rsidRDefault="008A74EB" w:rsidP="004A4E41">
      <w:pPr>
        <w:pStyle w:val="libFootnote0"/>
        <w:rPr>
          <w:rtl/>
          <w:lang w:bidi="fa-IR"/>
        </w:rPr>
      </w:pPr>
      <w:r w:rsidRPr="00323A39">
        <w:rPr>
          <w:rtl/>
        </w:rPr>
        <w:t xml:space="preserve">ويؤيّد ذلك ما ورد في </w:t>
      </w:r>
      <w:r w:rsidRPr="00993B55">
        <w:rPr>
          <w:rStyle w:val="libFootnoteBoldChar"/>
          <w:rtl/>
        </w:rPr>
        <w:t>الكافي</w:t>
      </w:r>
      <w:r w:rsidRPr="00323A39">
        <w:rPr>
          <w:rtl/>
        </w:rPr>
        <w:t xml:space="preserve"> ، ح 15130 من رواية الحسين بن محمّد الأشعري عن عليّ بن محمّد بن سعيد ، عن محمّد بن سالم بن أبي سلمة ، وفي </w:t>
      </w:r>
      <w:r w:rsidRPr="00993B55">
        <w:rPr>
          <w:rStyle w:val="libFootnoteBoldChar"/>
          <w:rtl/>
        </w:rPr>
        <w:t>الكافي</w:t>
      </w:r>
      <w:r w:rsidRPr="00323A39">
        <w:rPr>
          <w:rtl/>
        </w:rPr>
        <w:t xml:space="preserve"> ، ح 15105 من رواية الحسين بن محمّد الأشعري ، عن عليّ بن محمّد بن سعد ، عن محمّد بن سالم بن أبي سلمة.</w:t>
      </w:r>
    </w:p>
    <w:p w:rsidR="008A74EB" w:rsidRPr="00C9040A" w:rsidRDefault="008A74EB" w:rsidP="004A4E41">
      <w:pPr>
        <w:pStyle w:val="libFootnote0"/>
        <w:rPr>
          <w:rtl/>
          <w:lang w:bidi="fa-IR"/>
        </w:rPr>
      </w:pPr>
      <w:r w:rsidRPr="0082575F">
        <w:rPr>
          <w:rtl/>
        </w:rPr>
        <w:t>هذا ، ولم نجد في هذه الطبقة من يسمّى بمحمّد بن مسلم.</w:t>
      </w:r>
    </w:p>
    <w:p w:rsidR="008A74EB" w:rsidRPr="00C9040A" w:rsidRDefault="006C577F" w:rsidP="004A4E41">
      <w:pPr>
        <w:pStyle w:val="libFootnote0"/>
        <w:rPr>
          <w:rtl/>
          <w:lang w:bidi="fa-IR"/>
        </w:rPr>
      </w:pPr>
      <w:r>
        <w:rPr>
          <w:rtl/>
        </w:rPr>
        <w:t>(5).</w:t>
      </w:r>
      <w:r w:rsidR="008A74EB" w:rsidRPr="00C9040A">
        <w:rPr>
          <w:rtl/>
        </w:rPr>
        <w:t xml:space="preserve"> هكذا في « </w:t>
      </w:r>
      <w:r w:rsidR="006D3162">
        <w:rPr>
          <w:rtl/>
        </w:rPr>
        <w:t xml:space="preserve">ه </w:t>
      </w:r>
      <w:r w:rsidR="008A74EB" w:rsidRPr="00C9040A">
        <w:rPr>
          <w:rtl/>
        </w:rPr>
        <w:t>»</w:t>
      </w:r>
      <w:r w:rsidR="008A74EB">
        <w:rPr>
          <w:rtl/>
        </w:rPr>
        <w:t>.</w:t>
      </w:r>
      <w:r w:rsidR="008A74EB" w:rsidRPr="00C9040A">
        <w:rPr>
          <w:rtl/>
        </w:rPr>
        <w:t xml:space="preserve"> وفي « ج ، د ، ز ، ص ، ض ، ف ، بر ، بس ، بف » والمطبوع والوسائل والبحار : « مسلم »</w:t>
      </w:r>
      <w:r w:rsidR="008A74EB">
        <w:rPr>
          <w:rtl/>
        </w:rPr>
        <w:t>.</w:t>
      </w:r>
      <w:r w:rsidR="008A74EB" w:rsidRPr="00C9040A">
        <w:rPr>
          <w:rtl/>
        </w:rPr>
        <w:t xml:space="preserve"> وفي « ب » </w:t>
      </w:r>
      <w:r w:rsidR="008A74EB">
        <w:rPr>
          <w:rtl/>
        </w:rPr>
        <w:t xml:space="preserve">: </w:t>
      </w:r>
      <w:r w:rsidR="0084262C">
        <w:rPr>
          <w:rtl/>
        </w:rPr>
        <w:t>-</w:t>
      </w:r>
      <w:r w:rsidR="008A74EB" w:rsidRPr="00C9040A">
        <w:rPr>
          <w:rtl/>
        </w:rPr>
        <w:t xml:space="preserve"> « عن محمّد بن مسلم ( سالم ) »</w:t>
      </w:r>
      <w:r w:rsidR="008A74EB">
        <w:rPr>
          <w:rtl/>
        </w:rPr>
        <w:t>.</w:t>
      </w:r>
      <w:r w:rsidR="0023118A">
        <w:rPr>
          <w:rFonts w:hint="cs"/>
          <w:rtl/>
        </w:rPr>
        <w:t xml:space="preserve">     </w:t>
      </w:r>
      <w:r>
        <w:rPr>
          <w:rtl/>
        </w:rPr>
        <w:t>(6).</w:t>
      </w:r>
      <w:r w:rsidR="008A74EB">
        <w:rPr>
          <w:rtl/>
        </w:rPr>
        <w:t xml:space="preserve"> </w:t>
      </w:r>
      <w:r w:rsidR="008A74EB" w:rsidRPr="00C9040A">
        <w:rPr>
          <w:rtl/>
        </w:rPr>
        <w:t>في«ض»وحاشية«ف،بر»:«عبد الله»</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عَنْ أَبِي الْحَسَنِ الْأَوَّلِ </w:t>
      </w:r>
      <w:r w:rsidRPr="0003660B">
        <w:rPr>
          <w:rStyle w:val="libAlaemChar"/>
          <w:rtl/>
        </w:rPr>
        <w:t>عليه‌السلام</w:t>
      </w:r>
      <w:r w:rsidRPr="00C9040A">
        <w:rPr>
          <w:rtl/>
          <w:lang w:bidi="fa-IR"/>
        </w:rPr>
        <w:t xml:space="preserve"> ، قَالَ : « كَثِيراً مَا كُنْتُ أَسْمَعُ أَبِي يَقُولُ : لَيْسَ مِنْ شِيعَتِنَا مَنْ لَاتَتَحَدَّثُ </w:t>
      </w:r>
      <w:r w:rsidR="006C577F" w:rsidRPr="006C577F">
        <w:rPr>
          <w:rStyle w:val="libFootnotenumChar"/>
          <w:rtl/>
        </w:rPr>
        <w:t>(1)</w:t>
      </w:r>
      <w:r w:rsidRPr="00853746">
        <w:rPr>
          <w:rFonts w:hint="cs"/>
          <w:rtl/>
        </w:rPr>
        <w:t xml:space="preserve"> </w:t>
      </w:r>
      <w:r w:rsidRPr="00C9040A">
        <w:rPr>
          <w:rtl/>
          <w:lang w:bidi="fa-IR"/>
        </w:rPr>
        <w:t xml:space="preserve">الْمُخَدَّرَاتُ بِوَرَعِهِ فِي خُدُورِهِنَّ </w:t>
      </w:r>
      <w:r w:rsidR="006C577F" w:rsidRPr="006C577F">
        <w:rPr>
          <w:rStyle w:val="libFootnotenumChar"/>
          <w:rtl/>
        </w:rPr>
        <w:t>(2)</w:t>
      </w:r>
      <w:r w:rsidRPr="00C9040A">
        <w:rPr>
          <w:rtl/>
          <w:lang w:bidi="fa-IR"/>
        </w:rPr>
        <w:t xml:space="preserve"> ، وَلَيْسَ مِنْ أَوْلِيَائِنَا مَنْ هُوَ فِي قَرْيَةٍ</w:t>
      </w:r>
      <w:r>
        <w:rPr>
          <w:rtl/>
          <w:lang w:bidi="fa-IR"/>
        </w:rPr>
        <w:t xml:space="preserve"> </w:t>
      </w:r>
      <w:r w:rsidR="0084262C">
        <w:rPr>
          <w:rtl/>
          <w:lang w:bidi="fa-IR"/>
        </w:rPr>
        <w:t>-</w:t>
      </w:r>
      <w:r>
        <w:rPr>
          <w:rtl/>
          <w:lang w:bidi="fa-IR"/>
        </w:rPr>
        <w:t xml:space="preserve"> </w:t>
      </w:r>
      <w:r w:rsidRPr="00C9040A">
        <w:rPr>
          <w:rtl/>
          <w:lang w:bidi="fa-IR"/>
        </w:rPr>
        <w:t>فِيهَا عَشَرَةُ آلَافِ رَجُلٍ</w:t>
      </w:r>
      <w:r>
        <w:rPr>
          <w:rtl/>
          <w:lang w:bidi="fa-IR"/>
        </w:rPr>
        <w:t xml:space="preserve"> </w:t>
      </w:r>
      <w:r w:rsidR="0084262C">
        <w:rPr>
          <w:rtl/>
          <w:lang w:bidi="fa-IR"/>
        </w:rPr>
        <w:t>-</w:t>
      </w:r>
      <w:r>
        <w:rPr>
          <w:rtl/>
          <w:lang w:bidi="fa-IR"/>
        </w:rPr>
        <w:t xml:space="preserve"> </w:t>
      </w:r>
      <w:r w:rsidRPr="00C9040A">
        <w:rPr>
          <w:rtl/>
          <w:lang w:bidi="fa-IR"/>
        </w:rPr>
        <w:t xml:space="preserve">فِيهِمْ مِنْ </w:t>
      </w:r>
      <w:r w:rsidR="006C577F" w:rsidRPr="006C577F">
        <w:rPr>
          <w:rStyle w:val="libFootnotenumChar"/>
          <w:rtl/>
        </w:rPr>
        <w:t>(3)</w:t>
      </w:r>
      <w:r w:rsidRPr="00C9040A">
        <w:rPr>
          <w:rtl/>
          <w:lang w:bidi="fa-IR"/>
        </w:rPr>
        <w:t xml:space="preserve"> خَلْقِ اللهِ أَوْرَعُ مِنْهُ </w:t>
      </w:r>
      <w:r w:rsidR="006C577F" w:rsidRPr="006C577F">
        <w:rPr>
          <w:rStyle w:val="libFootnotenumChar"/>
          <w:rtl/>
        </w:rPr>
        <w:t>(4)</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Heading2Center"/>
        <w:rPr>
          <w:rtl/>
          <w:lang w:bidi="fa-IR"/>
        </w:rPr>
      </w:pPr>
      <w:bookmarkStart w:id="124" w:name="_Toc343795629"/>
      <w:bookmarkStart w:id="125" w:name="_Toc459810753"/>
      <w:bookmarkStart w:id="126" w:name="_Toc35348659"/>
      <w:r w:rsidRPr="00C9040A">
        <w:rPr>
          <w:rtl/>
          <w:lang w:bidi="fa-IR"/>
        </w:rPr>
        <w:t>38</w:t>
      </w:r>
      <w:r>
        <w:rPr>
          <w:rtl/>
          <w:lang w:bidi="fa-IR"/>
        </w:rPr>
        <w:t xml:space="preserve"> </w:t>
      </w:r>
      <w:r w:rsidR="0084262C">
        <w:rPr>
          <w:rtl/>
          <w:lang w:bidi="fa-IR"/>
        </w:rPr>
        <w:t>-</w:t>
      </w:r>
      <w:r>
        <w:rPr>
          <w:rtl/>
          <w:lang w:bidi="fa-IR"/>
        </w:rPr>
        <w:t xml:space="preserve"> </w:t>
      </w:r>
      <w:r w:rsidRPr="00C9040A">
        <w:rPr>
          <w:rtl/>
          <w:lang w:bidi="fa-IR"/>
        </w:rPr>
        <w:t>بَابُ الْعِفَّةِ‌</w:t>
      </w:r>
      <w:bookmarkEnd w:id="124"/>
      <w:bookmarkEnd w:id="125"/>
      <w:bookmarkEnd w:id="126"/>
    </w:p>
    <w:p w:rsidR="008A74EB" w:rsidRPr="00C9040A" w:rsidRDefault="008A74EB" w:rsidP="008A74EB">
      <w:pPr>
        <w:pStyle w:val="libNormal"/>
        <w:rPr>
          <w:rtl/>
          <w:lang w:bidi="fa-IR"/>
        </w:rPr>
      </w:pPr>
      <w:r w:rsidRPr="009259F5">
        <w:rPr>
          <w:rtl/>
        </w:rPr>
        <w:t>1643</w:t>
      </w:r>
      <w:r w:rsidRPr="00261CB0">
        <w:rPr>
          <w:rStyle w:val="libBold2Char"/>
          <w:rtl/>
        </w:rPr>
        <w:t xml:space="preserve"> / 1.</w:t>
      </w:r>
      <w:r w:rsidRPr="00C9040A">
        <w:rPr>
          <w:rtl/>
          <w:lang w:bidi="fa-IR"/>
        </w:rPr>
        <w:t xml:space="preserve"> عَلِيُّ بْنُ إِبْرَاهِيمَ ، عَنْ أَبِيهِ ، عَنْ حَمَّادِ بْنِ عِيسى ، عَنْ حَرِيزٍ ، عَنْ زُرَارَةَ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مَا عُبِدَ اللهُ بِشَيْ‌ءٍ أَفْضَلَ مِنْ عِفَّةِ </w:t>
      </w:r>
      <w:r w:rsidR="006C577F" w:rsidRPr="006C577F">
        <w:rPr>
          <w:rStyle w:val="libFootnotenumChar"/>
          <w:rtl/>
        </w:rPr>
        <w:t>(6)</w:t>
      </w:r>
      <w:r w:rsidRPr="005B567D">
        <w:rPr>
          <w:rStyle w:val="libFootnotenumChar"/>
          <w:rtl/>
        </w:rPr>
        <w:t xml:space="preserve"> </w:t>
      </w:r>
      <w:r w:rsidRPr="00C9040A">
        <w:rPr>
          <w:rtl/>
          <w:lang w:bidi="fa-IR"/>
        </w:rPr>
        <w:t>بَطْنٍ وَفَرْجٍ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9259F5">
        <w:rPr>
          <w:rtl/>
        </w:rPr>
        <w:t>1644</w:t>
      </w:r>
      <w:r w:rsidRPr="00261CB0">
        <w:rPr>
          <w:rStyle w:val="libBold2Char"/>
          <w:rtl/>
        </w:rPr>
        <w:t xml:space="preserve"> / 2.</w:t>
      </w:r>
      <w:r w:rsidRPr="00C9040A">
        <w:rPr>
          <w:rtl/>
          <w:lang w:bidi="fa-IR"/>
        </w:rPr>
        <w:t xml:space="preserve"> مُحَمَّدُ بْنُ يَحْيى ، عَنْ أَحْمَدَ بْنِ مُحَمَّدٍ ، عَنْ مُحَمَّدِ بْنِ إِسْمَاعِيلَ ، عَنْ حَنَانِ بْنِ سَدِيرٍ ، عَنْ أَبِيهِ ، قَالَ :</w:t>
      </w:r>
    </w:p>
    <w:p w:rsidR="008A74EB" w:rsidRPr="00C9040A" w:rsidRDefault="008A74EB" w:rsidP="008A74EB">
      <w:pPr>
        <w:pStyle w:val="libNormal"/>
        <w:rPr>
          <w:rtl/>
          <w:lang w:bidi="fa-IR"/>
        </w:rPr>
      </w:pPr>
      <w:r w:rsidRPr="00C9040A">
        <w:rPr>
          <w:rtl/>
          <w:lang w:bidi="fa-IR"/>
        </w:rPr>
        <w:t xml:space="preserve">قَالَ أَبُو جَعْفَرٍ </w:t>
      </w:r>
      <w:r w:rsidRPr="0003660B">
        <w:rPr>
          <w:rStyle w:val="libAlaemChar"/>
          <w:rtl/>
        </w:rPr>
        <w:t>عليه‌السلام</w:t>
      </w:r>
      <w:r w:rsidRPr="00C9040A">
        <w:rPr>
          <w:rtl/>
          <w:lang w:bidi="fa-IR"/>
        </w:rPr>
        <w:t xml:space="preserve"> : « إِنَّ أَفْضَلَ الْعِبَادَةِ عِفَّةُ الْبَطْنِ وَالْفَرْجِ </w:t>
      </w:r>
      <w:r w:rsidR="006C577F" w:rsidRPr="006C577F">
        <w:rPr>
          <w:rStyle w:val="libFootnotenumChar"/>
          <w:rtl/>
        </w:rPr>
        <w:t>(8)</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(9)</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 بس » والبحار : « لا يتحدّث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w:t>
      </w:r>
      <w:r w:rsidR="008A74EB" w:rsidRPr="00993B55">
        <w:rPr>
          <w:rStyle w:val="libFootnoteBoldChar"/>
          <w:rtl/>
        </w:rPr>
        <w:t>مرآة العقول</w:t>
      </w:r>
      <w:r w:rsidR="008A74EB" w:rsidRPr="00C9040A">
        <w:rPr>
          <w:rtl/>
        </w:rPr>
        <w:t xml:space="preserve"> : « المعنى : اشتهر ورعه بحيث تتحدّث النساء المستورات غير البارزات بورعه في بيوتهنّ. وقيل : إنّه يدلّ على أنّ إظهار الصلاح ليشتهر أمر مطلوب ، ولكن بشرط أن لايكون لقصد الرياء والسمعة ، بل لغرض صحيح مثل الاقتداء به والتحفّظ من نسبة الفسق إليه ونحوهما. وفيه نظر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الوسائل </w:t>
      </w:r>
      <w:r w:rsidR="008A74EB">
        <w:rPr>
          <w:rtl/>
        </w:rPr>
        <w:t xml:space="preserve">: </w:t>
      </w:r>
      <w:r w:rsidR="0084262C">
        <w:rPr>
          <w:rtl/>
        </w:rPr>
        <w:t>-</w:t>
      </w:r>
      <w:r w:rsidR="008A74EB" w:rsidRPr="00C9040A">
        <w:rPr>
          <w:rtl/>
        </w:rPr>
        <w:t xml:space="preserve"> « من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ج » : « فيهم مَنْ خَلَق الله أورع منه »</w:t>
      </w:r>
      <w:r w:rsidR="008A74EB">
        <w:rPr>
          <w:rtl/>
        </w:rPr>
        <w:t>.</w:t>
      </w:r>
      <w:r w:rsidR="008A74EB" w:rsidRPr="00C9040A">
        <w:rPr>
          <w:rtl/>
        </w:rPr>
        <w:t xml:space="preserve"> وفي « ص ، بر » : « فيهم خلق الله أورع منه »</w:t>
      </w:r>
      <w:r w:rsidR="008A74EB">
        <w:rPr>
          <w:rtl/>
        </w:rPr>
        <w:t>.</w:t>
      </w:r>
      <w:r w:rsidR="008A74EB" w:rsidRPr="00C9040A">
        <w:rPr>
          <w:rtl/>
        </w:rPr>
        <w:t xml:space="preserve"> وفي « ض » : « فيهم لله‌جلّ وعزّ خلق أورع منه »</w:t>
      </w:r>
      <w:r w:rsidR="008A74EB">
        <w:rPr>
          <w:rtl/>
        </w:rPr>
        <w:t>.</w:t>
      </w:r>
      <w:r w:rsidR="008A74EB" w:rsidRPr="00C9040A">
        <w:rPr>
          <w:rtl/>
        </w:rPr>
        <w:t xml:space="preserve"> وفي « ف » : « فيهم لله‌جلّ وعزّ خلق أورع منه »</w:t>
      </w:r>
      <w:r w:rsidR="008A74EB">
        <w:rPr>
          <w:rtl/>
        </w:rPr>
        <w:t>.</w:t>
      </w:r>
      <w:r w:rsidR="008A74EB" w:rsidRPr="00C9040A">
        <w:rPr>
          <w:rtl/>
        </w:rPr>
        <w:t xml:space="preserve"> وفي « </w:t>
      </w:r>
      <w:r w:rsidR="006D3162">
        <w:rPr>
          <w:rtl/>
        </w:rPr>
        <w:t xml:space="preserve">ه </w:t>
      </w:r>
      <w:r w:rsidR="008A74EB" w:rsidRPr="00C9040A">
        <w:rPr>
          <w:rtl/>
        </w:rPr>
        <w:t>» : « فيهم من خلق الله جلّ وعزّ خلق أورع منه »</w:t>
      </w:r>
      <w:r w:rsidR="008A74EB">
        <w:rPr>
          <w:rtl/>
        </w:rPr>
        <w:t>.</w:t>
      </w:r>
      <w:r w:rsidR="008A74EB" w:rsidRPr="00C9040A">
        <w:rPr>
          <w:rtl/>
        </w:rPr>
        <w:t xml:space="preserve"> وفي حاشية « ف » : « فيهم خلق الله جلّ وعزّ أورع منه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الوافي</w:t>
      </w:r>
      <w:r w:rsidR="008A74EB" w:rsidRPr="00C9040A">
        <w:rPr>
          <w:rtl/>
        </w:rPr>
        <w:t xml:space="preserve"> ، ج 4 ، ص 327 ، ح 2036 ؛ </w:t>
      </w:r>
      <w:r w:rsidR="008A74EB" w:rsidRPr="00993B55">
        <w:rPr>
          <w:rStyle w:val="libFootnoteBoldChar"/>
          <w:rtl/>
        </w:rPr>
        <w:t>الوسائل</w:t>
      </w:r>
      <w:r w:rsidR="008A74EB" w:rsidRPr="00C9040A">
        <w:rPr>
          <w:rtl/>
        </w:rPr>
        <w:t xml:space="preserve"> ، ج 15 ، ص 246 ، ح 20404 ؛ </w:t>
      </w:r>
      <w:r w:rsidR="008A74EB" w:rsidRPr="00993B55">
        <w:rPr>
          <w:rStyle w:val="libFootnoteBoldChar"/>
          <w:rtl/>
        </w:rPr>
        <w:t>البحار</w:t>
      </w:r>
      <w:r w:rsidR="008A74EB" w:rsidRPr="00C9040A">
        <w:rPr>
          <w:rtl/>
        </w:rPr>
        <w:t xml:space="preserve"> ، ج 70 ، ص 303 ، ح 14.</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عفّ عن الحرام يَعِفّ عَفّاً وعِفّةً وعَفافاً وعفافة ، أي كفّ. </w:t>
      </w:r>
      <w:r w:rsidR="008A74EB" w:rsidRPr="00993B55">
        <w:rPr>
          <w:rStyle w:val="libFootnoteBoldChar"/>
          <w:rtl/>
        </w:rPr>
        <w:t>الصحاح</w:t>
      </w:r>
      <w:r w:rsidR="008A74EB" w:rsidRPr="00C9040A">
        <w:rPr>
          <w:rtl/>
        </w:rPr>
        <w:t xml:space="preserve"> ، ج 4 ، ص 1405 ( عفف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الوافي</w:t>
      </w:r>
      <w:r w:rsidR="008A74EB" w:rsidRPr="00C9040A">
        <w:rPr>
          <w:rtl/>
        </w:rPr>
        <w:t xml:space="preserve"> ، ج 4 ، ص 331 ، ح 2041 ؛ </w:t>
      </w:r>
      <w:r w:rsidR="008A74EB" w:rsidRPr="00993B55">
        <w:rPr>
          <w:rStyle w:val="libFootnoteBoldChar"/>
          <w:rtl/>
        </w:rPr>
        <w:t>الوسائل</w:t>
      </w:r>
      <w:r w:rsidR="008A74EB" w:rsidRPr="00C9040A">
        <w:rPr>
          <w:rtl/>
        </w:rPr>
        <w:t xml:space="preserve"> ، ج 15 ، ص 249 ، ح 20415 ؛ </w:t>
      </w:r>
      <w:r w:rsidR="008A74EB" w:rsidRPr="00993B55">
        <w:rPr>
          <w:rStyle w:val="libFootnoteBoldChar"/>
          <w:rtl/>
        </w:rPr>
        <w:t>البحار</w:t>
      </w:r>
      <w:r w:rsidR="008A74EB" w:rsidRPr="00C9040A">
        <w:rPr>
          <w:rtl/>
        </w:rPr>
        <w:t xml:space="preserve"> ، ج 71 ، ص 268 ، ح 1.</w:t>
      </w:r>
    </w:p>
    <w:p w:rsidR="008A74EB" w:rsidRPr="00C9040A" w:rsidRDefault="006C577F" w:rsidP="004A4E41">
      <w:pPr>
        <w:pStyle w:val="libFootnote0"/>
        <w:rPr>
          <w:rtl/>
          <w:lang w:bidi="fa-IR"/>
        </w:rPr>
      </w:pPr>
      <w:r>
        <w:rPr>
          <w:rtl/>
        </w:rPr>
        <w:t>(8).</w:t>
      </w:r>
      <w:r w:rsidR="008A74EB" w:rsidRPr="00C9040A">
        <w:rPr>
          <w:rtl/>
        </w:rPr>
        <w:t xml:space="preserve"> في المحاسن : « بطن وفرج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w:t>
      </w:r>
      <w:r w:rsidR="008A74EB" w:rsidRPr="00993B55">
        <w:rPr>
          <w:rStyle w:val="libFootnoteBoldChar"/>
          <w:rtl/>
        </w:rPr>
        <w:t>المحاسن</w:t>
      </w:r>
      <w:r w:rsidR="008A74EB" w:rsidRPr="00C9040A">
        <w:rPr>
          <w:rtl/>
        </w:rPr>
        <w:t xml:space="preserve"> ، ص 292 ، كتاب مصابيح الظلم ، ح 447 ، بسند آخر ، مع زيادة في آخره. </w:t>
      </w:r>
      <w:r w:rsidR="008A74EB" w:rsidRPr="00993B55">
        <w:rPr>
          <w:rStyle w:val="libFootnoteBoldChar"/>
          <w:rtl/>
        </w:rPr>
        <w:t>تحف العقول</w:t>
      </w:r>
      <w:r w:rsidR="008A74EB" w:rsidRPr="00C9040A">
        <w:rPr>
          <w:rtl/>
        </w:rPr>
        <w:t xml:space="preserve"> ، ص 296 ؛ </w:t>
      </w:r>
      <w:r w:rsidR="008A74EB" w:rsidRPr="00993B55">
        <w:rPr>
          <w:rStyle w:val="libFootnoteBoldChar"/>
          <w:rtl/>
        </w:rPr>
        <w:t>الاختصاص</w:t>
      </w:r>
      <w:r w:rsidR="008A74EB" w:rsidRPr="00C9040A">
        <w:rPr>
          <w:rtl/>
        </w:rPr>
        <w:t xml:space="preserve"> ، ص 228 ، مرسلاً عن أبي جعفر وعليّ بن الحسين </w:t>
      </w:r>
      <w:r w:rsidR="00117575" w:rsidRPr="00117575">
        <w:rPr>
          <w:rStyle w:val="libFootnoteAlaemChar"/>
          <w:rtl/>
        </w:rPr>
        <w:t>عليهما‌السلام</w:t>
      </w:r>
      <w:r w:rsidR="008A74EB" w:rsidRPr="00C9040A">
        <w:rPr>
          <w:rtl/>
        </w:rPr>
        <w:t xml:space="preserve"> ، مع زيادة في آخره </w:t>
      </w:r>
      <w:r w:rsidR="009F3BF9">
        <w:rPr>
          <w:rFonts w:hint="cs"/>
          <w:rtl/>
        </w:rPr>
        <w:t>.</w:t>
      </w:r>
      <w:r w:rsidR="008A74EB" w:rsidRPr="00993B55">
        <w:rPr>
          <w:rStyle w:val="libFootnoteBoldChar"/>
          <w:rtl/>
        </w:rPr>
        <w:t>الوافي</w:t>
      </w:r>
      <w:r w:rsidR="008A74EB" w:rsidRPr="00C9040A">
        <w:rPr>
          <w:rtl/>
        </w:rPr>
        <w:t xml:space="preserve"> ، ج 4 ، ص 331 ، ح 2042 ؛ </w:t>
      </w:r>
      <w:r w:rsidR="008A74EB" w:rsidRPr="00993B55">
        <w:rPr>
          <w:rStyle w:val="libFootnoteBoldChar"/>
          <w:rtl/>
        </w:rPr>
        <w:t>الوسائل</w:t>
      </w:r>
      <w:r w:rsidR="008A74EB" w:rsidRPr="00C9040A">
        <w:rPr>
          <w:rtl/>
        </w:rPr>
        <w:t xml:space="preserve"> ، ج 15 ، ص 249 ، ح 20414 ؛ </w:t>
      </w:r>
      <w:r w:rsidR="008A74EB" w:rsidRPr="00993B55">
        <w:rPr>
          <w:rStyle w:val="libFootnoteBoldChar"/>
          <w:rtl/>
        </w:rPr>
        <w:t>البحار</w:t>
      </w:r>
      <w:r w:rsidR="008A74EB" w:rsidRPr="00C9040A">
        <w:rPr>
          <w:rtl/>
        </w:rPr>
        <w:t xml:space="preserve"> ، ج 71 ، ص 269 ، ح 2.</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9259F5">
        <w:rPr>
          <w:rtl/>
        </w:rPr>
        <w:t>1645</w:t>
      </w:r>
      <w:r w:rsidRPr="00261CB0">
        <w:rPr>
          <w:rStyle w:val="libBold2Char"/>
          <w:rtl/>
        </w:rPr>
        <w:t xml:space="preserve"> / 3.</w:t>
      </w:r>
      <w:r w:rsidRPr="00C9040A">
        <w:rPr>
          <w:rtl/>
          <w:lang w:bidi="fa-IR"/>
        </w:rPr>
        <w:t xml:space="preserve"> عِدَّةٌ مِنْ أَصْحَابِنَا ، عَنْ سَهْلِ بْنِ زِيَادٍ ، عَنْ جَعْفَرِ بْنِ مُحَمَّدٍ الْأَشْعَرِيِّ ، عَنْ عَبْدِ اللهِ بْنِ مَيْمُونٍ الْقَدَّاحِ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كَانَ أَمِيرُ الْمُؤْمِنِينَ</w:t>
      </w:r>
      <w:r>
        <w:rPr>
          <w:rtl/>
          <w:lang w:bidi="fa-IR"/>
        </w:rPr>
        <w:t xml:space="preserve"> </w:t>
      </w:r>
      <w:r w:rsidR="0084262C">
        <w:rPr>
          <w:rtl/>
          <w:lang w:bidi="fa-IR"/>
        </w:rPr>
        <w:t>-</w:t>
      </w:r>
      <w:r>
        <w:rPr>
          <w:rtl/>
          <w:lang w:bidi="fa-IR"/>
        </w:rPr>
        <w:t xml:space="preserve"> </w:t>
      </w:r>
      <w:r w:rsidRPr="00C9040A">
        <w:rPr>
          <w:rtl/>
          <w:lang w:bidi="fa-IR"/>
        </w:rPr>
        <w:t>صَلَوَاتُ اللهِ عَلَيْهِ</w:t>
      </w:r>
      <w:r>
        <w:rPr>
          <w:rtl/>
          <w:lang w:bidi="fa-IR"/>
        </w:rPr>
        <w:t xml:space="preserve"> </w:t>
      </w:r>
      <w:r w:rsidR="0084262C">
        <w:rPr>
          <w:rtl/>
          <w:lang w:bidi="fa-IR"/>
        </w:rPr>
        <w:t>-</w:t>
      </w:r>
      <w:r>
        <w:rPr>
          <w:rtl/>
          <w:lang w:bidi="fa-IR"/>
        </w:rPr>
        <w:t xml:space="preserve"> </w:t>
      </w:r>
      <w:r w:rsidRPr="00C9040A">
        <w:rPr>
          <w:rtl/>
          <w:lang w:bidi="fa-IR"/>
        </w:rPr>
        <w:t xml:space="preserve">يَقُولُ </w:t>
      </w:r>
      <w:r w:rsidR="006C577F" w:rsidRPr="006C577F">
        <w:rPr>
          <w:rStyle w:val="libFootnotenumChar"/>
          <w:rtl/>
        </w:rPr>
        <w:t>(1)</w:t>
      </w:r>
      <w:r w:rsidRPr="001E6F92">
        <w:rPr>
          <w:rFonts w:hint="cs"/>
          <w:rtl/>
        </w:rPr>
        <w:t xml:space="preserve"> </w:t>
      </w:r>
      <w:r w:rsidRPr="00C9040A">
        <w:rPr>
          <w:rtl/>
          <w:lang w:bidi="fa-IR"/>
        </w:rPr>
        <w:t>: أَفْضَلُ الْعِبَادَةِ الْعَفَافُ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9259F5">
        <w:rPr>
          <w:rtl/>
        </w:rPr>
        <w:t>1646</w:t>
      </w:r>
      <w:r w:rsidRPr="00261CB0">
        <w:rPr>
          <w:rStyle w:val="libBold2Char"/>
          <w:rtl/>
        </w:rPr>
        <w:t xml:space="preserve"> / 4.</w:t>
      </w:r>
      <w:r w:rsidRPr="00C9040A">
        <w:rPr>
          <w:rtl/>
          <w:lang w:bidi="fa-IR"/>
        </w:rPr>
        <w:t xml:space="preserve"> عِدَّةٌ مِنْ أَصْحَابِنَا ، عَنْ أَحْمَدَ بْنِ أَبِي عَبْدِ اللهِ </w:t>
      </w:r>
      <w:r w:rsidR="006C577F" w:rsidRPr="006C577F">
        <w:rPr>
          <w:rStyle w:val="libFootnotenumChar"/>
          <w:rtl/>
        </w:rPr>
        <w:t>(3)</w:t>
      </w:r>
      <w:r w:rsidRPr="00C9040A">
        <w:rPr>
          <w:rtl/>
          <w:lang w:bidi="fa-IR"/>
        </w:rPr>
        <w:t xml:space="preserve"> ، عَنْ أَبِيهِ ، عَنِ النَّضْرِ بْنِ سُوَيْدٍ ، عَنْ يَحْيَى بْنِ عِمْرَانَ الْحَلَبِيِّ ، عَنْ مُعَلًّى أَبِي عُثْمَانَ </w:t>
      </w:r>
      <w:r w:rsidR="006C577F" w:rsidRPr="006C577F">
        <w:rPr>
          <w:rStyle w:val="libFootnotenumChar"/>
          <w:rtl/>
        </w:rPr>
        <w:t>(4)</w:t>
      </w:r>
      <w:r w:rsidRPr="00C9040A">
        <w:rPr>
          <w:rtl/>
          <w:lang w:bidi="fa-IR"/>
        </w:rPr>
        <w:t xml:space="preserve"> ، عَنْ أَبِي بَصِيرٍ ، قَالَ :</w:t>
      </w:r>
    </w:p>
    <w:p w:rsidR="008A74EB" w:rsidRPr="00C9040A" w:rsidRDefault="008A74EB" w:rsidP="008A74EB">
      <w:pPr>
        <w:pStyle w:val="libNormal"/>
        <w:rPr>
          <w:rtl/>
          <w:lang w:bidi="fa-IR"/>
        </w:rPr>
      </w:pPr>
      <w:r w:rsidRPr="00C9040A">
        <w:rPr>
          <w:rtl/>
          <w:lang w:bidi="fa-IR"/>
        </w:rPr>
        <w:t xml:space="preserve">قَالَ رَجُلٌ لِأَبِي جَعْفَرٍ </w:t>
      </w:r>
      <w:r w:rsidRPr="0003660B">
        <w:rPr>
          <w:rStyle w:val="libAlaemChar"/>
          <w:rtl/>
        </w:rPr>
        <w:t>عليه‌السلام</w:t>
      </w:r>
      <w:r w:rsidRPr="00C9040A">
        <w:rPr>
          <w:rtl/>
          <w:lang w:bidi="fa-IR"/>
        </w:rPr>
        <w:t xml:space="preserve"> : إِنِّي </w:t>
      </w:r>
      <w:r w:rsidR="006C577F" w:rsidRPr="006C577F">
        <w:rPr>
          <w:rStyle w:val="libFootnotenumChar"/>
          <w:rtl/>
        </w:rPr>
        <w:t>(5)</w:t>
      </w:r>
      <w:r w:rsidRPr="00C9040A">
        <w:rPr>
          <w:rtl/>
          <w:lang w:bidi="fa-IR"/>
        </w:rPr>
        <w:t xml:space="preserve"> ضَعِيفُ الْعَمَلِ ، قَلِيلُ الصِّيَامِ ، وَلكِنِّي </w:t>
      </w:r>
      <w:r w:rsidR="006C577F" w:rsidRPr="006C577F">
        <w:rPr>
          <w:rStyle w:val="libFootnotenumChar"/>
          <w:rtl/>
        </w:rPr>
        <w:t>(6)</w:t>
      </w:r>
      <w:r w:rsidRPr="005B567D">
        <w:rPr>
          <w:rStyle w:val="libFootnotenumChar"/>
          <w:rtl/>
        </w:rPr>
        <w:t xml:space="preserve"> </w:t>
      </w:r>
      <w:r w:rsidR="007A5133">
        <w:rPr>
          <w:rtl/>
          <w:lang w:bidi="fa-IR"/>
        </w:rPr>
        <w:t>أَرْجُو أَنْ لَا آكُلَ إِل</w:t>
      </w:r>
      <w:r w:rsidR="007A5133">
        <w:rPr>
          <w:rFonts w:hint="cs"/>
          <w:rtl/>
          <w:lang w:bidi="fa-IR"/>
        </w:rPr>
        <w:t>َّ</w:t>
      </w:r>
      <w:r w:rsidR="007A5133">
        <w:rPr>
          <w:rtl/>
          <w:lang w:bidi="fa-IR"/>
        </w:rPr>
        <w:t>ا</w:t>
      </w:r>
      <w:r w:rsidRPr="00C9040A">
        <w:rPr>
          <w:rtl/>
          <w:lang w:bidi="fa-IR"/>
        </w:rPr>
        <w:t xml:space="preserve"> حَلَالاً </w:t>
      </w:r>
      <w:r w:rsidR="006C577F" w:rsidRPr="006C577F">
        <w:rPr>
          <w:rStyle w:val="libFootnotenumChar"/>
          <w:rtl/>
        </w:rPr>
        <w:t>(7)</w:t>
      </w:r>
    </w:p>
    <w:p w:rsidR="008A74EB" w:rsidRPr="00C9040A" w:rsidRDefault="008A74EB" w:rsidP="008A74EB">
      <w:pPr>
        <w:pStyle w:val="libNormal"/>
        <w:rPr>
          <w:rtl/>
          <w:lang w:bidi="fa-IR"/>
        </w:rPr>
      </w:pPr>
      <w:r w:rsidRPr="00C9040A">
        <w:rPr>
          <w:rtl/>
          <w:lang w:bidi="fa-IR"/>
        </w:rPr>
        <w:t xml:space="preserve">قَالَ : فَقَالَ لَهُ : « أَيُّ </w:t>
      </w:r>
      <w:r w:rsidR="006C577F" w:rsidRPr="006C577F">
        <w:rPr>
          <w:rStyle w:val="libFootnotenumChar"/>
          <w:rtl/>
        </w:rPr>
        <w:t>(8)</w:t>
      </w:r>
      <w:r w:rsidRPr="00C9040A">
        <w:rPr>
          <w:rtl/>
          <w:lang w:bidi="fa-IR"/>
        </w:rPr>
        <w:t xml:space="preserve"> الِاجْتِهَادِ </w:t>
      </w:r>
      <w:r w:rsidR="006C577F" w:rsidRPr="006C577F">
        <w:rPr>
          <w:rStyle w:val="libFootnotenumChar"/>
          <w:rtl/>
        </w:rPr>
        <w:t>(9)</w:t>
      </w:r>
      <w:r w:rsidRPr="00C9040A">
        <w:rPr>
          <w:rtl/>
          <w:lang w:bidi="fa-IR"/>
        </w:rPr>
        <w:t xml:space="preserve"> أَفْضَلُ مِنْ عِفَّةِ بَطْنٍ وَفَرْجٍ</w:t>
      </w:r>
      <w:r>
        <w:rPr>
          <w:rtl/>
          <w:lang w:bidi="fa-IR"/>
        </w:rPr>
        <w:t>؟</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 بف » : + « إنّ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الكافي</w:t>
      </w:r>
      <w:r w:rsidR="008A74EB" w:rsidRPr="00C9040A">
        <w:rPr>
          <w:rtl/>
        </w:rPr>
        <w:t xml:space="preserve"> ، كتاب الدعاء ، باب فضل الدعاء والحثّ عليه ، ح 3069 ، مع زيادة في أوّله وآخره </w:t>
      </w:r>
      <w:r w:rsidR="004D0D07">
        <w:rPr>
          <w:rFonts w:hint="cs"/>
          <w:rtl/>
        </w:rPr>
        <w:t>.</w:t>
      </w:r>
      <w:r w:rsidR="008A74EB" w:rsidRPr="00993B55">
        <w:rPr>
          <w:rStyle w:val="libFootnoteBoldChar"/>
          <w:rtl/>
        </w:rPr>
        <w:t>الوافي</w:t>
      </w:r>
      <w:r w:rsidR="008A74EB" w:rsidRPr="00C9040A">
        <w:rPr>
          <w:rtl/>
        </w:rPr>
        <w:t xml:space="preserve"> ، ج 4 ، ص 331 ، ح 2043 ؛ </w:t>
      </w:r>
      <w:r w:rsidR="008A74EB" w:rsidRPr="00993B55">
        <w:rPr>
          <w:rStyle w:val="libFootnoteBoldChar"/>
          <w:rtl/>
        </w:rPr>
        <w:t>البحار</w:t>
      </w:r>
      <w:r w:rsidR="008A74EB" w:rsidRPr="00C9040A">
        <w:rPr>
          <w:rtl/>
        </w:rPr>
        <w:t xml:space="preserve"> ، ج 71 ، ص 269 ، ح 3.</w:t>
      </w:r>
    </w:p>
    <w:p w:rsidR="008A74EB" w:rsidRPr="00C9040A" w:rsidRDefault="006C577F" w:rsidP="004A4E41">
      <w:pPr>
        <w:pStyle w:val="libFootnote0"/>
        <w:rPr>
          <w:rtl/>
          <w:lang w:bidi="fa-IR"/>
        </w:rPr>
      </w:pPr>
      <w:r>
        <w:rPr>
          <w:rtl/>
        </w:rPr>
        <w:t>(3).</w:t>
      </w:r>
      <w:r w:rsidR="008A74EB" w:rsidRPr="00C9040A">
        <w:rPr>
          <w:rtl/>
        </w:rPr>
        <w:t xml:space="preserve"> في « ب ، ف ، </w:t>
      </w:r>
      <w:r w:rsidR="006D3162">
        <w:rPr>
          <w:rtl/>
        </w:rPr>
        <w:t xml:space="preserve">ه </w:t>
      </w:r>
      <w:r w:rsidR="008A74EB" w:rsidRPr="00C9040A">
        <w:rPr>
          <w:rtl/>
        </w:rPr>
        <w:t>، بر ، بف ، جر » : « أحمد بن محمّد بن أبي عبد الله »</w:t>
      </w:r>
      <w:r w:rsidR="008A74EB">
        <w:rPr>
          <w:rtl/>
        </w:rPr>
        <w:t>.</w:t>
      </w:r>
      <w:r w:rsidR="008A74EB" w:rsidRPr="00C9040A">
        <w:rPr>
          <w:rtl/>
        </w:rPr>
        <w:t xml:space="preserve"> وفي « ض » : « أحمد بن محمّد ، عن‌أبي عبد الله »</w:t>
      </w:r>
      <w:r w:rsidR="008A74EB">
        <w:rPr>
          <w:rtl/>
        </w:rPr>
        <w:t>.</w:t>
      </w:r>
      <w:r w:rsidR="008A74EB" w:rsidRPr="00C9040A">
        <w:rPr>
          <w:rtl/>
        </w:rPr>
        <w:t xml:space="preserve"> وفي حاشية المطبوع عن بعض النسخ : « أحمد بن محمّد » </w:t>
      </w:r>
      <w:r w:rsidR="008A74EB">
        <w:rPr>
          <w:rtl/>
        </w:rPr>
        <w:t>و «</w:t>
      </w:r>
      <w:r w:rsidR="008A74EB" w:rsidRPr="00C9040A">
        <w:rPr>
          <w:rtl/>
        </w:rPr>
        <w:t xml:space="preserve"> أحمد بن محمّد أبي عبد الله »</w:t>
      </w:r>
      <w:r w:rsidR="008A74EB">
        <w:rPr>
          <w:rtl/>
        </w:rPr>
        <w:t>.</w:t>
      </w:r>
      <w:r w:rsidR="008A74EB" w:rsidRPr="00C9040A">
        <w:rPr>
          <w:rtl/>
        </w:rPr>
        <w:t xml:space="preserve"> هذا ، وأحمد بن أبي عبدالله هو أحمد بن محمّد بن خالد ، روى عن أبيه عن النضر بن سويد في أسنادٍ عديدة. راجع : </w:t>
      </w:r>
      <w:r w:rsidR="008A74EB" w:rsidRPr="00993B55">
        <w:rPr>
          <w:rStyle w:val="libFootnoteBoldChar"/>
          <w:rtl/>
        </w:rPr>
        <w:t>معجم رجال الحديث</w:t>
      </w:r>
      <w:r w:rsidR="008A74EB" w:rsidRPr="00C9040A">
        <w:rPr>
          <w:rtl/>
        </w:rPr>
        <w:t xml:space="preserve"> ، ج 16 ، ص 363 ؛ وج 21 ، ص 410.</w:t>
      </w:r>
    </w:p>
    <w:p w:rsidR="008A74EB" w:rsidRPr="004A4E41" w:rsidRDefault="006C577F" w:rsidP="004A4E41">
      <w:pPr>
        <w:pStyle w:val="libFootnote0"/>
        <w:rPr>
          <w:rStyle w:val="libFootnote0Char"/>
          <w:rtl/>
        </w:rPr>
      </w:pPr>
      <w:r>
        <w:rPr>
          <w:rtl/>
        </w:rPr>
        <w:t>(4).</w:t>
      </w:r>
      <w:r w:rsidR="008A74EB" w:rsidRPr="00C9040A">
        <w:rPr>
          <w:rtl/>
        </w:rPr>
        <w:t xml:space="preserve"> في « ز ، ص ، ض ، </w:t>
      </w:r>
      <w:r w:rsidR="006D3162">
        <w:rPr>
          <w:rtl/>
        </w:rPr>
        <w:t xml:space="preserve">ه </w:t>
      </w:r>
      <w:r w:rsidR="008A74EB" w:rsidRPr="00C9040A">
        <w:rPr>
          <w:rtl/>
        </w:rPr>
        <w:t>، بف » وحاشية المطبوع : « معلّى بن عثمان »</w:t>
      </w:r>
      <w:r w:rsidR="008A74EB">
        <w:rPr>
          <w:rtl/>
        </w:rPr>
        <w:t>.</w:t>
      </w:r>
      <w:r w:rsidR="008A74EB" w:rsidRPr="00C9040A">
        <w:rPr>
          <w:rtl/>
        </w:rPr>
        <w:t xml:space="preserve"> وفي « بر » : « معلّى بن أبي عثمان »</w:t>
      </w:r>
      <w:r w:rsidR="008A74EB">
        <w:rPr>
          <w:rtl/>
        </w:rPr>
        <w:t>.</w:t>
      </w:r>
      <w:r w:rsidR="008A74EB" w:rsidRPr="00C9040A">
        <w:rPr>
          <w:rtl/>
        </w:rPr>
        <w:t xml:space="preserve"> وهو سهو. ومعلّى هذا ، هو معلّى بن عثمان</w:t>
      </w:r>
      <w:r w:rsidR="008A74EB">
        <w:rPr>
          <w:rtl/>
        </w:rPr>
        <w:t xml:space="preserve"> </w:t>
      </w:r>
      <w:r w:rsidR="0084262C">
        <w:rPr>
          <w:rtl/>
        </w:rPr>
        <w:t>-</w:t>
      </w:r>
      <w:r w:rsidR="008A74EB">
        <w:rPr>
          <w:rtl/>
        </w:rPr>
        <w:t xml:space="preserve"> </w:t>
      </w:r>
      <w:r w:rsidR="008A74EB" w:rsidRPr="00C9040A">
        <w:rPr>
          <w:rtl/>
        </w:rPr>
        <w:t>أو معلّى بن زيد</w:t>
      </w:r>
      <w:r w:rsidR="008A74EB">
        <w:rPr>
          <w:rtl/>
        </w:rPr>
        <w:t xml:space="preserve"> </w:t>
      </w:r>
      <w:r w:rsidR="0084262C">
        <w:rPr>
          <w:rtl/>
        </w:rPr>
        <w:t>-</w:t>
      </w:r>
      <w:r w:rsidR="008A74EB">
        <w:rPr>
          <w:rtl/>
        </w:rPr>
        <w:t xml:space="preserve"> </w:t>
      </w:r>
      <w:r w:rsidR="008A74EB" w:rsidRPr="00C9040A">
        <w:rPr>
          <w:rtl/>
        </w:rPr>
        <w:t xml:space="preserve">أبو عثمان الأحول. راجع : </w:t>
      </w:r>
      <w:r w:rsidR="008A74EB" w:rsidRPr="00993B55">
        <w:rPr>
          <w:rStyle w:val="libFootnoteBoldChar"/>
          <w:rtl/>
        </w:rPr>
        <w:t>رجال النجاشي</w:t>
      </w:r>
      <w:r w:rsidR="008A74EB" w:rsidRPr="00C9040A">
        <w:rPr>
          <w:rtl/>
        </w:rPr>
        <w:t xml:space="preserve"> ، ص 417 ، الرقم 1115 ؛ </w:t>
      </w:r>
      <w:r w:rsidR="008A74EB" w:rsidRPr="00993B55">
        <w:rPr>
          <w:rStyle w:val="libFootnoteBoldChar"/>
          <w:rtl/>
        </w:rPr>
        <w:t>رجال الطوسي</w:t>
      </w:r>
      <w:r w:rsidR="008A74EB" w:rsidRPr="00C9040A">
        <w:rPr>
          <w:rtl/>
        </w:rPr>
        <w:t xml:space="preserve"> ، ص 304 ، الرقم 4476.</w:t>
      </w:r>
    </w:p>
    <w:tbl>
      <w:tblPr>
        <w:tblStyle w:val="TableGrid"/>
        <w:bidiVisual/>
        <w:tblW w:w="0" w:type="auto"/>
        <w:tblLook w:val="04A0" w:firstRow="1" w:lastRow="0" w:firstColumn="1" w:lastColumn="0" w:noHBand="0" w:noVBand="1"/>
      </w:tblPr>
      <w:tblGrid>
        <w:gridCol w:w="4006"/>
        <w:gridCol w:w="4006"/>
      </w:tblGrid>
      <w:tr w:rsidR="00841F42" w:rsidTr="00841F42">
        <w:tc>
          <w:tcPr>
            <w:tcW w:w="4006" w:type="dxa"/>
          </w:tcPr>
          <w:p w:rsidR="00841F42" w:rsidRDefault="00841F42" w:rsidP="004A4E41">
            <w:pPr>
              <w:pStyle w:val="libFootnote0"/>
              <w:rPr>
                <w:rtl/>
              </w:rPr>
            </w:pPr>
            <w:r>
              <w:rPr>
                <w:rtl/>
              </w:rPr>
              <w:t>(5).</w:t>
            </w:r>
            <w:r w:rsidRPr="00C9040A">
              <w:rPr>
                <w:rtl/>
              </w:rPr>
              <w:t xml:space="preserve"> في « ب » : + « رجل »</w:t>
            </w:r>
            <w:r>
              <w:rPr>
                <w:rtl/>
              </w:rPr>
              <w:t>.</w:t>
            </w:r>
          </w:p>
        </w:tc>
        <w:tc>
          <w:tcPr>
            <w:tcW w:w="4006" w:type="dxa"/>
          </w:tcPr>
          <w:p w:rsidR="00841F42" w:rsidRDefault="00841F42" w:rsidP="004A4E41">
            <w:pPr>
              <w:pStyle w:val="libFootnote0"/>
              <w:rPr>
                <w:rtl/>
              </w:rPr>
            </w:pPr>
            <w:r>
              <w:rPr>
                <w:rtl/>
              </w:rPr>
              <w:t xml:space="preserve">(6). </w:t>
            </w:r>
            <w:r w:rsidRPr="00C9040A">
              <w:rPr>
                <w:rtl/>
              </w:rPr>
              <w:t>في « ف » : « ولكن »</w:t>
            </w:r>
            <w:r>
              <w:rPr>
                <w:rtl/>
              </w:rPr>
              <w:t>.</w:t>
            </w:r>
          </w:p>
        </w:tc>
      </w:tr>
    </w:tbl>
    <w:p w:rsidR="008A74EB" w:rsidRPr="00C9040A" w:rsidRDefault="006C577F" w:rsidP="004A4E41">
      <w:pPr>
        <w:pStyle w:val="libFootnote0"/>
        <w:rPr>
          <w:rtl/>
          <w:lang w:bidi="fa-IR"/>
        </w:rPr>
      </w:pPr>
      <w:r>
        <w:rPr>
          <w:rtl/>
        </w:rPr>
        <w:t>(7).</w:t>
      </w:r>
      <w:r w:rsidR="007911EE">
        <w:rPr>
          <w:rtl/>
        </w:rPr>
        <w:t xml:space="preserve"> في « ص » : « إل</w:t>
      </w:r>
      <w:r w:rsidR="007911EE">
        <w:rPr>
          <w:rFonts w:hint="cs"/>
          <w:rtl/>
        </w:rPr>
        <w:t>ّ</w:t>
      </w:r>
      <w:r w:rsidR="007911EE">
        <w:rPr>
          <w:rtl/>
        </w:rPr>
        <w:t>ا</w:t>
      </w:r>
      <w:r w:rsidR="008A74EB" w:rsidRPr="00C9040A">
        <w:rPr>
          <w:rtl/>
        </w:rPr>
        <w:t xml:space="preserve"> الحلال »</w:t>
      </w:r>
      <w:r w:rsidR="008A74EB">
        <w:rPr>
          <w:rtl/>
        </w:rPr>
        <w:t>.</w:t>
      </w:r>
      <w:r w:rsidR="008A74EB" w:rsidRPr="00C9040A">
        <w:rPr>
          <w:rtl/>
        </w:rPr>
        <w:t xml:space="preserve"> وفي « ف » : « لا آكل الحرام »</w:t>
      </w:r>
      <w:r w:rsidR="008A74EB">
        <w:rPr>
          <w:rtl/>
        </w:rPr>
        <w:t>.</w:t>
      </w:r>
      <w:r w:rsidR="008A74EB" w:rsidRPr="00C9040A">
        <w:rPr>
          <w:rtl/>
        </w:rPr>
        <w:t xml:space="preserve"> وفي المحاسن : + « ولا أنكح إل</w:t>
      </w:r>
      <w:r w:rsidR="007911EE">
        <w:rPr>
          <w:rFonts w:hint="cs"/>
          <w:rtl/>
        </w:rPr>
        <w:t>ّ</w:t>
      </w:r>
      <w:r w:rsidR="007911EE">
        <w:rPr>
          <w:rtl/>
        </w:rPr>
        <w:t>ا</w:t>
      </w:r>
      <w:r w:rsidR="008A74EB" w:rsidRPr="00C9040A">
        <w:rPr>
          <w:rtl/>
        </w:rPr>
        <w:t>حلالاً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 ف » : « فأيّ »</w:t>
      </w:r>
      <w:r w:rsidR="008A74EB">
        <w:rPr>
          <w:rtl/>
        </w:rPr>
        <w:t>.</w:t>
      </w:r>
      <w:r w:rsidR="008A74EB" w:rsidRPr="00C9040A">
        <w:rPr>
          <w:rtl/>
        </w:rPr>
        <w:t xml:space="preserve"> وفي البحار : « وأيّ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المحاسن : « فقال : وأيّ جهاد » بدل « قال ، فقال له : أي الاجتهاد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w:t>
      </w:r>
      <w:r w:rsidR="008A74EB" w:rsidRPr="00993B55">
        <w:rPr>
          <w:rStyle w:val="libFootnoteBoldChar"/>
          <w:rtl/>
        </w:rPr>
        <w:t>المحاسن</w:t>
      </w:r>
      <w:r w:rsidR="008A74EB" w:rsidRPr="00C9040A">
        <w:rPr>
          <w:rtl/>
        </w:rPr>
        <w:t xml:space="preserve"> ، ص 292 ، كتاب مصابيح الظلم ، ح 448 </w:t>
      </w:r>
      <w:r w:rsidR="00E27BB6">
        <w:rPr>
          <w:rFonts w:hint="cs"/>
          <w:rtl/>
        </w:rPr>
        <w:t>.</w:t>
      </w:r>
      <w:r w:rsidR="008A74EB" w:rsidRPr="00993B55">
        <w:rPr>
          <w:rStyle w:val="libFootnoteBoldChar"/>
          <w:rtl/>
        </w:rPr>
        <w:t>الوافي</w:t>
      </w:r>
      <w:r w:rsidR="008A74EB" w:rsidRPr="00C9040A">
        <w:rPr>
          <w:rtl/>
        </w:rPr>
        <w:t xml:space="preserve"> ، ج 4 ، ص 331 ، ح 2044 ؛ </w:t>
      </w:r>
      <w:r w:rsidR="008A74EB" w:rsidRPr="00993B55">
        <w:rPr>
          <w:rStyle w:val="libFootnoteBoldChar"/>
          <w:rtl/>
        </w:rPr>
        <w:t>الوسائل</w:t>
      </w:r>
      <w:r w:rsidR="008A74EB" w:rsidRPr="00C9040A">
        <w:rPr>
          <w:rtl/>
        </w:rPr>
        <w:t xml:space="preserve"> ، ج 15 ، ص 250 ، ح 20418 ؛ </w:t>
      </w:r>
      <w:r w:rsidR="008A74EB" w:rsidRPr="00993B55">
        <w:rPr>
          <w:rStyle w:val="libFootnoteBoldChar"/>
          <w:rtl/>
        </w:rPr>
        <w:t>البحار</w:t>
      </w:r>
      <w:r w:rsidR="008A74EB" w:rsidRPr="00C9040A">
        <w:rPr>
          <w:rtl/>
        </w:rPr>
        <w:t xml:space="preserve"> ، ج 71 ، ص 269 ، ح 4.</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9259F5">
        <w:rPr>
          <w:rtl/>
        </w:rPr>
        <w:t>1647</w:t>
      </w:r>
      <w:r w:rsidRPr="00261CB0">
        <w:rPr>
          <w:rStyle w:val="libBold2Char"/>
          <w:rtl/>
        </w:rPr>
        <w:t xml:space="preserve"> / 5.</w:t>
      </w:r>
      <w:r w:rsidRPr="00C9040A">
        <w:rPr>
          <w:rtl/>
          <w:lang w:bidi="fa-IR"/>
        </w:rPr>
        <w:t xml:space="preserve"> عَلِيُّ بْنُ إِبْرَاهِيمَ ، عَنْ أَبِيهِ ، عَنِ النَّوْفَلِيِّ ، عَنِ السَّكُونِيِّ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أَكْثَرُ مَا تَلِجُ </w:t>
      </w:r>
      <w:r w:rsidR="006C577F" w:rsidRPr="006C577F">
        <w:rPr>
          <w:rStyle w:val="libFootnotenumChar"/>
          <w:rtl/>
        </w:rPr>
        <w:t>(1)</w:t>
      </w:r>
      <w:r w:rsidRPr="002712F0">
        <w:rPr>
          <w:rFonts w:hint="cs"/>
          <w:rtl/>
        </w:rPr>
        <w:t xml:space="preserve"> </w:t>
      </w:r>
      <w:r w:rsidRPr="00C9040A">
        <w:rPr>
          <w:rtl/>
          <w:lang w:bidi="fa-IR"/>
        </w:rPr>
        <w:t xml:space="preserve">بِهِ أُمَّتِي </w:t>
      </w:r>
      <w:r w:rsidR="006C577F" w:rsidRPr="006C577F">
        <w:rPr>
          <w:rStyle w:val="libFootnotenumChar"/>
          <w:rtl/>
        </w:rPr>
        <w:t>(2)</w:t>
      </w:r>
      <w:r w:rsidRPr="00C9040A">
        <w:rPr>
          <w:rtl/>
          <w:lang w:bidi="fa-IR"/>
        </w:rPr>
        <w:t xml:space="preserve"> النَّارَ الْأَجْوَفَانِ : الْبَطْنُ ، وَالْفَرْجُ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9259F5">
        <w:rPr>
          <w:rtl/>
        </w:rPr>
        <w:t>1648</w:t>
      </w:r>
      <w:r w:rsidRPr="00261CB0">
        <w:rPr>
          <w:rStyle w:val="libBold2Char"/>
          <w:rtl/>
        </w:rPr>
        <w:t xml:space="preserve"> / 6.</w:t>
      </w:r>
      <w:r w:rsidRPr="00C9040A">
        <w:rPr>
          <w:rtl/>
          <w:lang w:bidi="fa-IR"/>
        </w:rPr>
        <w:t xml:space="preserve"> وَبِإِسْنَادِهِ ، قَالَ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C9040A">
        <w:rPr>
          <w:rtl/>
          <w:lang w:bidi="fa-IR"/>
        </w:rPr>
        <w:t xml:space="preserve">« قَالَ رَسُولُ اللهِ </w:t>
      </w:r>
      <w:r w:rsidR="004A4E41" w:rsidRPr="004A4E41">
        <w:rPr>
          <w:rStyle w:val="libAlaemChar"/>
          <w:rtl/>
        </w:rPr>
        <w:t>صلى‌الله‌عليه‌وآله</w:t>
      </w:r>
      <w:r w:rsidRPr="00C9040A">
        <w:rPr>
          <w:rtl/>
          <w:lang w:bidi="fa-IR"/>
        </w:rPr>
        <w:t xml:space="preserve"> : ثَلَاثٌ </w:t>
      </w:r>
      <w:r w:rsidR="006C577F" w:rsidRPr="006C577F">
        <w:rPr>
          <w:rStyle w:val="libFootnotenumChar"/>
          <w:rtl/>
        </w:rPr>
        <w:t>(5)</w:t>
      </w:r>
      <w:r w:rsidRPr="00C9040A">
        <w:rPr>
          <w:rtl/>
          <w:lang w:bidi="fa-IR"/>
        </w:rPr>
        <w:t xml:space="preserve"> أَخَافُهُنَّ عَلى أُمَّتِي مِنْ بَعْدِي </w:t>
      </w:r>
      <w:r w:rsidR="006C577F" w:rsidRPr="006C577F">
        <w:rPr>
          <w:rStyle w:val="libFootnotenumChar"/>
          <w:rtl/>
        </w:rPr>
        <w:t>(6)</w:t>
      </w:r>
      <w:r w:rsidRPr="005B567D">
        <w:rPr>
          <w:rStyle w:val="libFootnotenumChar"/>
          <w:rtl/>
        </w:rPr>
        <w:t xml:space="preserve"> </w:t>
      </w:r>
      <w:r w:rsidRPr="00C9040A">
        <w:rPr>
          <w:rtl/>
          <w:lang w:bidi="fa-IR"/>
        </w:rPr>
        <w:t xml:space="preserve">: الضَّلَالَةُ بَعْدَ الْمَعْرِفَةِ </w:t>
      </w:r>
      <w:r w:rsidR="006C577F" w:rsidRPr="006C577F">
        <w:rPr>
          <w:rStyle w:val="libFootnotenumChar"/>
          <w:rtl/>
        </w:rPr>
        <w:t>(7)</w:t>
      </w:r>
      <w:r w:rsidRPr="00C9040A">
        <w:rPr>
          <w:rtl/>
          <w:lang w:bidi="fa-IR"/>
        </w:rPr>
        <w:t xml:space="preserve"> ، وَمَضَلاَّتُ الْفِتَنِ </w:t>
      </w:r>
      <w:r w:rsidR="006C577F" w:rsidRPr="006C577F">
        <w:rPr>
          <w:rStyle w:val="libFootnotenumChar"/>
          <w:rtl/>
        </w:rPr>
        <w:t>(8)</w:t>
      </w:r>
      <w:r w:rsidRPr="00C9040A">
        <w:rPr>
          <w:rtl/>
          <w:lang w:bidi="fa-IR"/>
        </w:rPr>
        <w:t xml:space="preserve"> ، وَشَهْوَةُ الْبَطْنِ وَالْفَرْجِ »</w:t>
      </w:r>
      <w:r>
        <w:rPr>
          <w:rtl/>
          <w:lang w:bidi="fa-IR"/>
        </w:rPr>
        <w:t>.</w:t>
      </w:r>
      <w:r w:rsidRPr="00C9040A">
        <w:rPr>
          <w:rtl/>
          <w:lang w:bidi="fa-IR"/>
        </w:rPr>
        <w:t xml:space="preserve"> </w:t>
      </w:r>
      <w:r w:rsidR="006C577F" w:rsidRPr="006C577F">
        <w:rPr>
          <w:rStyle w:val="libFootnotenumChar"/>
          <w:rtl/>
        </w:rPr>
        <w:t>(9)</w:t>
      </w:r>
      <w:r w:rsidRPr="00C9040A">
        <w:rPr>
          <w:rtl/>
          <w:lang w:bidi="fa-IR"/>
        </w:rPr>
        <w:t xml:space="preserve"> ‌</w:t>
      </w:r>
    </w:p>
    <w:p w:rsidR="008A74EB" w:rsidRPr="00C9040A" w:rsidRDefault="008A74EB" w:rsidP="008A74EB">
      <w:pPr>
        <w:pStyle w:val="libNormal"/>
        <w:rPr>
          <w:rtl/>
          <w:lang w:bidi="fa-IR"/>
        </w:rPr>
      </w:pPr>
      <w:r w:rsidRPr="009259F5">
        <w:rPr>
          <w:rtl/>
        </w:rPr>
        <w:t>1649</w:t>
      </w:r>
      <w:r w:rsidRPr="00261CB0">
        <w:rPr>
          <w:rStyle w:val="libBold2Char"/>
          <w:rtl/>
        </w:rPr>
        <w:t xml:space="preserve"> / 7.</w:t>
      </w:r>
      <w:r w:rsidRPr="00C9040A">
        <w:rPr>
          <w:rtl/>
          <w:lang w:bidi="fa-IR"/>
        </w:rPr>
        <w:t xml:space="preserve"> أَبُو عَلِيٍّ الْأَشْعَرِيُّ ، عَنْ مُحَمَّدِ بْنِ عَبْدِ الْجَبَّارِ ، عَنْ بَعْضِ أَصْحَابِهِ </w:t>
      </w:r>
      <w:r w:rsidR="006C577F" w:rsidRPr="006C577F">
        <w:rPr>
          <w:rStyle w:val="libFootnotenumChar"/>
          <w:rtl/>
        </w:rPr>
        <w:t>(10)</w:t>
      </w:r>
      <w:r w:rsidRPr="00C9040A">
        <w:rPr>
          <w:rtl/>
          <w:lang w:bidi="fa-IR"/>
        </w:rPr>
        <w:t xml:space="preserve"> ، عَنْ مَيْمُونٍ الْقَدَّاحِ ، قَالَ :</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143714" w:rsidTr="00143714">
        <w:tc>
          <w:tcPr>
            <w:tcW w:w="4006" w:type="dxa"/>
          </w:tcPr>
          <w:p w:rsidR="00143714" w:rsidRDefault="00143714" w:rsidP="004A4E41">
            <w:pPr>
              <w:pStyle w:val="libFootnote0"/>
              <w:rPr>
                <w:rtl/>
              </w:rPr>
            </w:pPr>
            <w:r>
              <w:rPr>
                <w:rtl/>
              </w:rPr>
              <w:t>(1).</w:t>
            </w:r>
            <w:r w:rsidRPr="00C9040A">
              <w:rPr>
                <w:rtl/>
              </w:rPr>
              <w:t xml:space="preserve"> في « ز ، ف » : « يلج »</w:t>
            </w:r>
            <w:r>
              <w:rPr>
                <w:rtl/>
              </w:rPr>
              <w:t>.</w:t>
            </w:r>
          </w:p>
        </w:tc>
        <w:tc>
          <w:tcPr>
            <w:tcW w:w="4006" w:type="dxa"/>
          </w:tcPr>
          <w:p w:rsidR="00143714" w:rsidRDefault="00143714" w:rsidP="004A4E41">
            <w:pPr>
              <w:pStyle w:val="libFootnote0"/>
              <w:rPr>
                <w:rtl/>
              </w:rPr>
            </w:pPr>
            <w:r>
              <w:rPr>
                <w:rtl/>
              </w:rPr>
              <w:t xml:space="preserve">(2). </w:t>
            </w:r>
            <w:r w:rsidRPr="00C9040A">
              <w:rPr>
                <w:rtl/>
              </w:rPr>
              <w:t>في الجعفريّات : + « في »</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w:t>
      </w:r>
      <w:r w:rsidR="008A74EB" w:rsidRPr="00993B55">
        <w:rPr>
          <w:rStyle w:val="libFootnoteBoldChar"/>
          <w:rtl/>
        </w:rPr>
        <w:t>الجعفريّات</w:t>
      </w:r>
      <w:r w:rsidR="008A74EB" w:rsidRPr="00C9040A">
        <w:rPr>
          <w:rtl/>
        </w:rPr>
        <w:t xml:space="preserve"> ، ص 150 ، بسند آخر. وفي </w:t>
      </w:r>
      <w:r w:rsidR="008A74EB" w:rsidRPr="00993B55">
        <w:rPr>
          <w:rStyle w:val="libFootnoteBoldChar"/>
          <w:rtl/>
        </w:rPr>
        <w:t>عيون الأخبار</w:t>
      </w:r>
      <w:r w:rsidR="008A74EB" w:rsidRPr="00C9040A">
        <w:rPr>
          <w:rtl/>
        </w:rPr>
        <w:t xml:space="preserve"> ، ج 2 ، ص 38 ، ح 107 ؛ و</w:t>
      </w:r>
      <w:r w:rsidR="008A74EB" w:rsidRPr="00993B55">
        <w:rPr>
          <w:rStyle w:val="libFootnoteBoldChar"/>
          <w:rtl/>
        </w:rPr>
        <w:t xml:space="preserve">صحيفة الرضا </w:t>
      </w:r>
      <w:r w:rsidR="00117575" w:rsidRPr="00117575">
        <w:rPr>
          <w:rStyle w:val="libFootnoteAlaemChar"/>
          <w:rtl/>
        </w:rPr>
        <w:t>عليه‌السلام</w:t>
      </w:r>
      <w:r w:rsidR="008A74EB" w:rsidRPr="00C9040A">
        <w:rPr>
          <w:rtl/>
        </w:rPr>
        <w:t xml:space="preserve"> ، ص 67 ، ح 123 ، بسند آخر عن الرضا ، عن آبائه </w:t>
      </w:r>
      <w:r w:rsidR="00117575" w:rsidRPr="00117575">
        <w:rPr>
          <w:rStyle w:val="libFootnoteAlaemChar"/>
          <w:rtl/>
        </w:rPr>
        <w:t>عليهم‌السلام</w:t>
      </w:r>
      <w:r w:rsidR="008A74EB" w:rsidRPr="00C9040A">
        <w:rPr>
          <w:rtl/>
        </w:rPr>
        <w:t xml:space="preserve"> عن رسول الله </w:t>
      </w:r>
      <w:r w:rsidR="004A4E41" w:rsidRPr="00AC2E2F">
        <w:rPr>
          <w:rStyle w:val="libFootnoteAlaemChar"/>
          <w:rtl/>
        </w:rPr>
        <w:t>صلى‌الله‌عليه‌وآله</w:t>
      </w:r>
      <w:r w:rsidR="008A74EB" w:rsidRPr="00C9040A">
        <w:rPr>
          <w:rtl/>
        </w:rPr>
        <w:t xml:space="preserve"> ، وفي كلّها مع اختلاف يسير وزيادة ؛ الخصال ، ص 78 ، باب الاثنين ، ح 126 ، بسند آخر عن رسول الله </w:t>
      </w:r>
      <w:r w:rsidR="004A4E41" w:rsidRPr="00AC2E2F">
        <w:rPr>
          <w:rStyle w:val="libFootnoteAlaemChar"/>
          <w:rtl/>
        </w:rPr>
        <w:t>صلى‌الله‌عليه‌وآله</w:t>
      </w:r>
      <w:r w:rsidR="008A74EB" w:rsidRPr="00C9040A">
        <w:rPr>
          <w:rtl/>
        </w:rPr>
        <w:t xml:space="preserve"> ، مع اختلاف وزيادة. </w:t>
      </w:r>
      <w:r w:rsidR="008A74EB" w:rsidRPr="00993B55">
        <w:rPr>
          <w:rStyle w:val="libFootnoteBoldChar"/>
          <w:rtl/>
        </w:rPr>
        <w:t>الاختصاص</w:t>
      </w:r>
      <w:r w:rsidR="008A74EB" w:rsidRPr="00C9040A">
        <w:rPr>
          <w:rtl/>
        </w:rPr>
        <w:t xml:space="preserve"> ، ص 228 ، مرسلاً عن رسول الله </w:t>
      </w:r>
      <w:r w:rsidR="004A4E41" w:rsidRPr="00AC2E2F">
        <w:rPr>
          <w:rStyle w:val="libFootnoteAlaemChar"/>
          <w:rtl/>
        </w:rPr>
        <w:t>صلى‌الله‌عليه‌وآله</w:t>
      </w:r>
      <w:r w:rsidR="008A74EB" w:rsidRPr="00C9040A">
        <w:rPr>
          <w:rtl/>
        </w:rPr>
        <w:t xml:space="preserve"> ، مع اختلاف يسير وزيادة </w:t>
      </w:r>
      <w:r w:rsidR="00A12216">
        <w:rPr>
          <w:rFonts w:hint="cs"/>
          <w:rtl/>
        </w:rPr>
        <w:t>.</w:t>
      </w:r>
      <w:r w:rsidR="008A74EB" w:rsidRPr="00993B55">
        <w:rPr>
          <w:rStyle w:val="libFootnoteBoldChar"/>
          <w:rtl/>
        </w:rPr>
        <w:t>الوافي</w:t>
      </w:r>
      <w:r w:rsidR="008A74EB" w:rsidRPr="00C9040A">
        <w:rPr>
          <w:rtl/>
        </w:rPr>
        <w:t xml:space="preserve"> ، ج 4 ، ص 331 ، ح 2045 ؛ </w:t>
      </w:r>
      <w:r w:rsidR="008A74EB" w:rsidRPr="00993B55">
        <w:rPr>
          <w:rStyle w:val="libFootnoteBoldChar"/>
          <w:rtl/>
        </w:rPr>
        <w:t>الوسائل</w:t>
      </w:r>
      <w:r w:rsidR="008A74EB" w:rsidRPr="00C9040A">
        <w:rPr>
          <w:rtl/>
        </w:rPr>
        <w:t xml:space="preserve"> ، ج 15 ، ص 249 ، ح 20416 ؛ </w:t>
      </w:r>
      <w:r w:rsidR="008A74EB" w:rsidRPr="00993B55">
        <w:rPr>
          <w:rStyle w:val="libFootnoteBoldChar"/>
          <w:rtl/>
        </w:rPr>
        <w:t>البحار</w:t>
      </w:r>
      <w:r w:rsidR="008A74EB" w:rsidRPr="00C9040A">
        <w:rPr>
          <w:rtl/>
        </w:rPr>
        <w:t xml:space="preserve"> ، ج 71 ، ص 269 ، ح 5.</w:t>
      </w:r>
    </w:p>
    <w:p w:rsidR="008A74EB" w:rsidRPr="00C9040A" w:rsidRDefault="006C577F" w:rsidP="004A4E41">
      <w:pPr>
        <w:pStyle w:val="libFootnote0"/>
        <w:rPr>
          <w:rtl/>
          <w:lang w:bidi="fa-IR"/>
        </w:rPr>
      </w:pPr>
      <w:r>
        <w:rPr>
          <w:rtl/>
        </w:rPr>
        <w:t>(4).</w:t>
      </w:r>
      <w:r w:rsidR="008A74EB" w:rsidRPr="00C9040A">
        <w:rPr>
          <w:rtl/>
        </w:rPr>
        <w:t xml:space="preserve"> الضمير المستتر في « قال » راجع إلى أبي عبدالله </w:t>
      </w:r>
      <w:r w:rsidR="00117575" w:rsidRPr="00117575">
        <w:rPr>
          <w:rStyle w:val="libFootnoteAlaemChar"/>
          <w:rtl/>
        </w:rPr>
        <w:t xml:space="preserve">عليه‌السلام </w:t>
      </w:r>
      <w:r w:rsidR="008A74EB" w:rsidRPr="00C9040A">
        <w:rPr>
          <w:rtl/>
        </w:rPr>
        <w:t xml:space="preserve">. والمراد من « بإسناده » هو الطريق المتقدّم إليه </w:t>
      </w:r>
      <w:r w:rsidR="00117575" w:rsidRPr="00117575">
        <w:rPr>
          <w:rStyle w:val="libFootnoteAlaemChar"/>
          <w:rtl/>
        </w:rPr>
        <w:t>عليه‌السلام</w:t>
      </w:r>
      <w:r w:rsidR="008A74EB" w:rsidRPr="00C9040A">
        <w:rPr>
          <w:rtl/>
        </w:rPr>
        <w:t xml:space="preserve"> في السند السابق.</w:t>
      </w:r>
    </w:p>
    <w:p w:rsidR="008A74EB" w:rsidRPr="00C9040A" w:rsidRDefault="006C577F" w:rsidP="004A4E41">
      <w:pPr>
        <w:pStyle w:val="libFootnote0"/>
        <w:rPr>
          <w:rtl/>
          <w:lang w:bidi="fa-IR"/>
        </w:rPr>
      </w:pPr>
      <w:r>
        <w:rPr>
          <w:rtl/>
        </w:rPr>
        <w:t>(5).</w:t>
      </w:r>
      <w:r w:rsidR="008A74EB" w:rsidRPr="00C9040A">
        <w:rPr>
          <w:rtl/>
        </w:rPr>
        <w:t xml:space="preserve"> في صحيفة الرضا والعيون و</w:t>
      </w:r>
      <w:r w:rsidR="008A74EB" w:rsidRPr="0034021D">
        <w:rPr>
          <w:rStyle w:val="libFootnoteBoldChar"/>
          <w:rtl/>
        </w:rPr>
        <w:t>الأمالي للمفيد</w:t>
      </w:r>
      <w:r w:rsidR="008A74EB" w:rsidRPr="00C9040A">
        <w:rPr>
          <w:rtl/>
        </w:rPr>
        <w:t xml:space="preserve"> والطوسي : « ثلاثة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ف » والوسائل والبحار : « بعدي على ا</w:t>
      </w:r>
      <w:r w:rsidR="00A12216">
        <w:rPr>
          <w:rFonts w:hint="cs"/>
          <w:rtl/>
        </w:rPr>
        <w:t>ُ</w:t>
      </w:r>
      <w:r w:rsidR="008A74EB" w:rsidRPr="00C9040A">
        <w:rPr>
          <w:rtl/>
        </w:rPr>
        <w:t>مّتي » بدل « على ا</w:t>
      </w:r>
      <w:r w:rsidR="005918CA">
        <w:rPr>
          <w:rFonts w:hint="cs"/>
          <w:rtl/>
        </w:rPr>
        <w:t>ُ</w:t>
      </w:r>
      <w:r w:rsidR="008A74EB" w:rsidRPr="00C9040A">
        <w:rPr>
          <w:rtl/>
        </w:rPr>
        <w:t>مّتي من بعدي »</w:t>
      </w:r>
      <w:r w:rsidR="008A74EB">
        <w:rPr>
          <w:rtl/>
        </w:rPr>
        <w:t>.</w:t>
      </w:r>
      <w:r w:rsidR="008A74EB" w:rsidRPr="00C9040A">
        <w:rPr>
          <w:rtl/>
        </w:rPr>
        <w:t xml:space="preserve"> وفي </w:t>
      </w:r>
      <w:r w:rsidR="008A74EB" w:rsidRPr="0034021D">
        <w:rPr>
          <w:rStyle w:val="libFootnoteBoldChar"/>
          <w:rtl/>
        </w:rPr>
        <w:t>الأمالي للمفيد</w:t>
      </w:r>
      <w:r w:rsidR="008A74EB" w:rsidRPr="00C9040A">
        <w:rPr>
          <w:rtl/>
        </w:rPr>
        <w:t xml:space="preserve"> والطوسي </w:t>
      </w:r>
      <w:r w:rsidR="008A74EB">
        <w:rPr>
          <w:rtl/>
        </w:rPr>
        <w:t xml:space="preserve">: </w:t>
      </w:r>
      <w:r w:rsidR="0084262C">
        <w:rPr>
          <w:rtl/>
        </w:rPr>
        <w:t>-</w:t>
      </w:r>
      <w:r w:rsidR="008A74EB" w:rsidRPr="00C9040A">
        <w:rPr>
          <w:rtl/>
        </w:rPr>
        <w:t xml:space="preserve"> « من بعدي »</w:t>
      </w:r>
      <w:r w:rsidR="008A74EB">
        <w:rPr>
          <w:rtl/>
        </w:rPr>
        <w:t>.</w:t>
      </w:r>
      <w:r w:rsidR="005918CA">
        <w:rPr>
          <w:rFonts w:hint="cs"/>
          <w:rtl/>
        </w:rPr>
        <w:t xml:space="preserve">                                </w:t>
      </w:r>
      <w:r>
        <w:rPr>
          <w:rtl/>
        </w:rPr>
        <w:t>(7).</w:t>
      </w:r>
      <w:r w:rsidR="008A74EB" w:rsidRPr="00C9040A">
        <w:rPr>
          <w:rtl/>
        </w:rPr>
        <w:t xml:space="preserve"> في الفقيه : « الهدى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w:t>
      </w:r>
      <w:r w:rsidR="008A74EB" w:rsidRPr="00993B55">
        <w:rPr>
          <w:rStyle w:val="libFootnoteBoldChar"/>
          <w:rtl/>
        </w:rPr>
        <w:t>الوافي</w:t>
      </w:r>
      <w:r w:rsidR="008A74EB" w:rsidRPr="00C9040A">
        <w:rPr>
          <w:rtl/>
        </w:rPr>
        <w:t xml:space="preserve"> : « ا</w:t>
      </w:r>
      <w:r w:rsidR="005918CA">
        <w:rPr>
          <w:rFonts w:hint="cs"/>
          <w:rtl/>
        </w:rPr>
        <w:t>ُ</w:t>
      </w:r>
      <w:r w:rsidR="005918CA">
        <w:rPr>
          <w:rtl/>
        </w:rPr>
        <w:t>ريد بمضل</w:t>
      </w:r>
      <w:r w:rsidR="005918CA">
        <w:rPr>
          <w:rFonts w:hint="cs"/>
          <w:rtl/>
        </w:rPr>
        <w:t>ّ</w:t>
      </w:r>
      <w:r w:rsidR="005918CA">
        <w:rPr>
          <w:rtl/>
        </w:rPr>
        <w:t>ا</w:t>
      </w:r>
      <w:r w:rsidR="008A74EB" w:rsidRPr="00C9040A">
        <w:rPr>
          <w:rtl/>
        </w:rPr>
        <w:t>ت الفتن الامتحانات التي تصير سبباً للضلالة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w:t>
      </w:r>
      <w:r w:rsidR="008A74EB" w:rsidRPr="00993B55">
        <w:rPr>
          <w:rStyle w:val="libFootnoteBoldChar"/>
          <w:rtl/>
        </w:rPr>
        <w:t>المحاسن</w:t>
      </w:r>
      <w:r w:rsidR="008A74EB" w:rsidRPr="00C9040A">
        <w:rPr>
          <w:rtl/>
        </w:rPr>
        <w:t xml:space="preserve"> ، ص 295 ، كتاب مصابيح الظلم ، ح 462 ، بسند آخر عن رسول الله </w:t>
      </w:r>
      <w:r w:rsidR="004A4E41" w:rsidRPr="00AC2E2F">
        <w:rPr>
          <w:rStyle w:val="libFootnoteAlaemChar"/>
          <w:rtl/>
        </w:rPr>
        <w:t>صلى‌الله‌عليه‌وآله</w:t>
      </w:r>
      <w:r w:rsidR="008A74EB" w:rsidRPr="00C9040A">
        <w:rPr>
          <w:rtl/>
        </w:rPr>
        <w:t xml:space="preserve"> ، مع اختلاف يسير ؛ </w:t>
      </w:r>
      <w:r w:rsidR="008A74EB" w:rsidRPr="00993B55">
        <w:rPr>
          <w:rStyle w:val="libFootnoteBoldChar"/>
          <w:rtl/>
        </w:rPr>
        <w:t>الفقيه</w:t>
      </w:r>
      <w:r w:rsidR="008A74EB" w:rsidRPr="00C9040A">
        <w:rPr>
          <w:rtl/>
        </w:rPr>
        <w:t xml:space="preserve"> ، ج 4 ، ص 407 ، ح 5881 ، بسند آخر. وفي </w:t>
      </w:r>
      <w:r w:rsidR="008A74EB" w:rsidRPr="00993B55">
        <w:rPr>
          <w:rStyle w:val="libFootnoteBoldChar"/>
          <w:rtl/>
        </w:rPr>
        <w:t>عيون الأخبار</w:t>
      </w:r>
      <w:r w:rsidR="008A74EB" w:rsidRPr="00C9040A">
        <w:rPr>
          <w:rtl/>
        </w:rPr>
        <w:t xml:space="preserve"> ، ج 2 ، ص 29 ، ح 28 ؛ و</w:t>
      </w:r>
      <w:r w:rsidR="008A74EB" w:rsidRPr="00993B55">
        <w:rPr>
          <w:rStyle w:val="libFootnoteBoldChar"/>
          <w:rtl/>
        </w:rPr>
        <w:t>صحيفة الرضا</w:t>
      </w:r>
      <w:r w:rsidR="008A74EB" w:rsidRPr="00C9040A">
        <w:rPr>
          <w:rtl/>
        </w:rPr>
        <w:t xml:space="preserve"> </w:t>
      </w:r>
      <w:r w:rsidR="00117575" w:rsidRPr="00117575">
        <w:rPr>
          <w:rStyle w:val="libFootnoteAlaemChar"/>
          <w:rtl/>
        </w:rPr>
        <w:t>عليه‌السلام</w:t>
      </w:r>
      <w:r w:rsidR="008A74EB" w:rsidRPr="00C9040A">
        <w:rPr>
          <w:rtl/>
        </w:rPr>
        <w:t xml:space="preserve"> ، ص 44 ، ح 16 ؛ و</w:t>
      </w:r>
      <w:r w:rsidR="008A74EB" w:rsidRPr="0034021D">
        <w:rPr>
          <w:rStyle w:val="libFootnoteBoldChar"/>
          <w:rtl/>
        </w:rPr>
        <w:t>الأمالي للمفيد</w:t>
      </w:r>
      <w:r w:rsidR="008A74EB" w:rsidRPr="00C9040A">
        <w:rPr>
          <w:rtl/>
        </w:rPr>
        <w:t xml:space="preserve"> ، ص 111 ، المجلس 13 ، ح 1 ؛ </w:t>
      </w:r>
      <w:r w:rsidR="008A74EB" w:rsidRPr="00AC2E2F">
        <w:rPr>
          <w:rStyle w:val="libFootnoteBoldChar"/>
          <w:rtl/>
        </w:rPr>
        <w:t>والأمالي للطوسي</w:t>
      </w:r>
      <w:r w:rsidR="008A74EB" w:rsidRPr="00C9040A">
        <w:rPr>
          <w:rtl/>
        </w:rPr>
        <w:t xml:space="preserve"> ، ص 157 ، المجلس 6 ، ح 263 ، بسند آخر عن الرضا ، عن آبائه </w:t>
      </w:r>
      <w:r w:rsidR="00117575" w:rsidRPr="00117575">
        <w:rPr>
          <w:rStyle w:val="libFootnoteAlaemChar"/>
          <w:rtl/>
        </w:rPr>
        <w:t>عليهم‌السلام</w:t>
      </w:r>
      <w:r w:rsidR="008A74EB" w:rsidRPr="00C9040A">
        <w:rPr>
          <w:rtl/>
        </w:rPr>
        <w:t xml:space="preserve"> عن رسول الله </w:t>
      </w:r>
      <w:r w:rsidR="004A4E41" w:rsidRPr="00AC2E2F">
        <w:rPr>
          <w:rStyle w:val="libFootnoteAlaemChar"/>
          <w:rtl/>
        </w:rPr>
        <w:t>صلى‌الله‌عليه‌وآله</w:t>
      </w:r>
      <w:r w:rsidR="008A74EB" w:rsidRPr="00C9040A">
        <w:rPr>
          <w:rtl/>
        </w:rPr>
        <w:t xml:space="preserve"> </w:t>
      </w:r>
      <w:r w:rsidR="005918CA">
        <w:rPr>
          <w:rFonts w:hint="cs"/>
          <w:rtl/>
        </w:rPr>
        <w:t>.</w:t>
      </w:r>
      <w:r w:rsidR="008A74EB" w:rsidRPr="00993B55">
        <w:rPr>
          <w:rStyle w:val="libFootnoteBoldChar"/>
          <w:rtl/>
        </w:rPr>
        <w:t>الوافي</w:t>
      </w:r>
      <w:r w:rsidR="008A74EB" w:rsidRPr="00C9040A">
        <w:rPr>
          <w:rtl/>
        </w:rPr>
        <w:t xml:space="preserve"> ، ج 4 ، ص 332 ، ح 2046 ؛ </w:t>
      </w:r>
      <w:r w:rsidR="008A74EB" w:rsidRPr="00993B55">
        <w:rPr>
          <w:rStyle w:val="libFootnoteBoldChar"/>
          <w:rtl/>
        </w:rPr>
        <w:t>الوسائل</w:t>
      </w:r>
      <w:r w:rsidR="008A74EB" w:rsidRPr="00C9040A">
        <w:rPr>
          <w:rtl/>
        </w:rPr>
        <w:t xml:space="preserve"> ، ج 15 ، ص 249 ، ح 20417 ؛ </w:t>
      </w:r>
      <w:r w:rsidR="008A74EB" w:rsidRPr="00993B55">
        <w:rPr>
          <w:rStyle w:val="libFootnoteBoldChar"/>
          <w:rtl/>
        </w:rPr>
        <w:t>البحار</w:t>
      </w:r>
      <w:r w:rsidR="008A74EB" w:rsidRPr="00C9040A">
        <w:rPr>
          <w:rtl/>
        </w:rPr>
        <w:t xml:space="preserve"> ، ج 71 ، ص 269 ، ذيل ح 5.</w:t>
      </w:r>
    </w:p>
    <w:p w:rsidR="008A74EB" w:rsidRPr="00C9040A" w:rsidRDefault="006C577F" w:rsidP="004A4E41">
      <w:pPr>
        <w:pStyle w:val="libFootnote0"/>
        <w:rPr>
          <w:rtl/>
          <w:lang w:bidi="fa-IR"/>
        </w:rPr>
      </w:pPr>
      <w:r>
        <w:rPr>
          <w:rtl/>
        </w:rPr>
        <w:t>(10).</w:t>
      </w:r>
      <w:r w:rsidR="008A74EB" w:rsidRPr="00C9040A">
        <w:rPr>
          <w:rtl/>
        </w:rPr>
        <w:t xml:space="preserve"> في « </w:t>
      </w:r>
      <w:r w:rsidR="006D3162">
        <w:rPr>
          <w:rtl/>
        </w:rPr>
        <w:t xml:space="preserve">ه </w:t>
      </w:r>
      <w:r w:rsidR="008A74EB" w:rsidRPr="00C9040A">
        <w:rPr>
          <w:rtl/>
        </w:rPr>
        <w:t>» : « أصحابنا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سَمِعْتُ أَبَا جَعْفَرٍ </w:t>
      </w:r>
      <w:r w:rsidRPr="0003660B">
        <w:rPr>
          <w:rStyle w:val="libAlaemChar"/>
          <w:rtl/>
        </w:rPr>
        <w:t>عليه‌السلام</w:t>
      </w:r>
      <w:r w:rsidRPr="00C9040A">
        <w:rPr>
          <w:rtl/>
          <w:lang w:bidi="fa-IR"/>
        </w:rPr>
        <w:t xml:space="preserve"> : « يَقُولُ مَا مِنْ عِبَادَةٍ أَفْضَلَ مِنْ عِفَّةِ بَطْنٍ وَفَرْجٍ »</w:t>
      </w:r>
      <w:r>
        <w:rPr>
          <w:rtl/>
          <w:lang w:bidi="fa-IR"/>
        </w:rPr>
        <w:t>.</w:t>
      </w:r>
      <w:r w:rsidRPr="00C9040A">
        <w:rPr>
          <w:rtl/>
          <w:lang w:bidi="fa-IR"/>
        </w:rPr>
        <w:t xml:space="preserve"> </w:t>
      </w:r>
      <w:r w:rsidR="006C577F" w:rsidRPr="006C577F">
        <w:rPr>
          <w:rStyle w:val="libFootnotenumChar"/>
          <w:rtl/>
        </w:rPr>
        <w:t>(1)</w:t>
      </w:r>
      <w:r w:rsidRPr="00C9040A">
        <w:rPr>
          <w:rtl/>
          <w:lang w:bidi="fa-IR"/>
        </w:rPr>
        <w:t>‌</w:t>
      </w:r>
    </w:p>
    <w:p w:rsidR="008A74EB" w:rsidRPr="00C9040A" w:rsidRDefault="008A74EB" w:rsidP="008A74EB">
      <w:pPr>
        <w:pStyle w:val="libNormal"/>
        <w:rPr>
          <w:rtl/>
          <w:lang w:bidi="fa-IR"/>
        </w:rPr>
      </w:pPr>
      <w:r w:rsidRPr="00A14A0A">
        <w:rPr>
          <w:rtl/>
        </w:rPr>
        <w:t>1650</w:t>
      </w:r>
      <w:r w:rsidRPr="00261CB0">
        <w:rPr>
          <w:rStyle w:val="libBold2Char"/>
          <w:rtl/>
        </w:rPr>
        <w:t xml:space="preserve"> / 8.</w:t>
      </w:r>
      <w:r w:rsidRPr="00C9040A">
        <w:rPr>
          <w:rtl/>
          <w:lang w:bidi="fa-IR"/>
        </w:rPr>
        <w:t xml:space="preserve"> مُحَمَّدُ بْنُ يَحْيى ، عَنْ أَحْمَدَ بْنِ مُحَمَّدٍ ، عَنْ عَلِيِّ بْنِ الْحَكَمِ ، عَنْ سَيْفِ بْنِ عَمِيرَةَ ، عَنْ مَنْصُورِ بْنِ حَازِمٍ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مَا مِنْ عِبَادَةٍ أَفْضَلَ عِنْدَ اللهِ مِنْ عِفَّةِ بَطْنٍ وَفَرْجٍ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Heading2Center"/>
        <w:rPr>
          <w:rtl/>
          <w:lang w:bidi="fa-IR"/>
        </w:rPr>
      </w:pPr>
      <w:bookmarkStart w:id="127" w:name="_Toc343795630"/>
      <w:bookmarkStart w:id="128" w:name="_Toc459810754"/>
      <w:bookmarkStart w:id="129" w:name="_Toc35348660"/>
      <w:r w:rsidRPr="00C9040A">
        <w:rPr>
          <w:rtl/>
          <w:lang w:bidi="fa-IR"/>
        </w:rPr>
        <w:t>39</w:t>
      </w:r>
      <w:r>
        <w:rPr>
          <w:rtl/>
          <w:lang w:bidi="fa-IR"/>
        </w:rPr>
        <w:t xml:space="preserve"> </w:t>
      </w:r>
      <w:r w:rsidR="0084262C">
        <w:rPr>
          <w:rtl/>
          <w:lang w:bidi="fa-IR"/>
        </w:rPr>
        <w:t>-</w:t>
      </w:r>
      <w:r>
        <w:rPr>
          <w:rtl/>
          <w:lang w:bidi="fa-IR"/>
        </w:rPr>
        <w:t xml:space="preserve"> </w:t>
      </w:r>
      <w:r w:rsidRPr="00C9040A">
        <w:rPr>
          <w:rtl/>
          <w:lang w:bidi="fa-IR"/>
        </w:rPr>
        <w:t>بَابُ اجْتِنَابِ الْمَحَارِمِ‌</w:t>
      </w:r>
      <w:bookmarkEnd w:id="127"/>
      <w:bookmarkEnd w:id="128"/>
      <w:bookmarkEnd w:id="129"/>
    </w:p>
    <w:p w:rsidR="008A74EB" w:rsidRPr="00C9040A" w:rsidRDefault="008A74EB" w:rsidP="008A74EB">
      <w:pPr>
        <w:pStyle w:val="libNormal"/>
        <w:rPr>
          <w:rtl/>
          <w:lang w:bidi="fa-IR"/>
        </w:rPr>
      </w:pPr>
      <w:r w:rsidRPr="00A14A0A">
        <w:rPr>
          <w:rtl/>
        </w:rPr>
        <w:t>1651</w:t>
      </w:r>
      <w:r w:rsidRPr="00261CB0">
        <w:rPr>
          <w:rStyle w:val="libBold2Char"/>
          <w:rtl/>
        </w:rPr>
        <w:t xml:space="preserve"> / 1.</w:t>
      </w:r>
      <w:r w:rsidRPr="00C9040A">
        <w:rPr>
          <w:rtl/>
          <w:lang w:bidi="fa-IR"/>
        </w:rPr>
        <w:t xml:space="preserve"> مُحَمَّدُ بْنُ يَحْيى ، عَنْ أَحْمَدَ بْنِ مُحَمَّدِ بْنِ عِيسى ، عَنِ الْحَسَنِ بْنِ مَحْبُوبٍ ، عَنْ دَاوُدَ بْنِ كَثِيرٍ الرَّقِّيِّ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فِي قَوْلِ اللهِ عَزَّ وَجَلَّ : </w:t>
      </w:r>
      <w:r w:rsidRPr="0003660B">
        <w:rPr>
          <w:rStyle w:val="libAlaemChar"/>
          <w:rtl/>
        </w:rPr>
        <w:t>(</w:t>
      </w:r>
      <w:r w:rsidRPr="006A2246">
        <w:rPr>
          <w:rStyle w:val="libAieChar"/>
          <w:rtl/>
        </w:rPr>
        <w:t xml:space="preserve"> وَلِمَنْ خافَ مَقامَ رَبِّهِ جَنَّتانِ </w:t>
      </w:r>
      <w:r w:rsidRPr="0003660B">
        <w:rPr>
          <w:rStyle w:val="libAlaemChar"/>
          <w:rtl/>
        </w:rPr>
        <w:t>)</w:t>
      </w:r>
      <w:r w:rsidRPr="00C9040A">
        <w:rPr>
          <w:rtl/>
          <w:lang w:bidi="fa-IR"/>
        </w:rPr>
        <w:t xml:space="preserve"> </w:t>
      </w:r>
      <w:r w:rsidR="006C577F" w:rsidRPr="006C577F">
        <w:rPr>
          <w:rStyle w:val="libFootnotenumChar"/>
          <w:rtl/>
        </w:rPr>
        <w:t>(3)</w:t>
      </w:r>
      <w:r w:rsidRPr="00C9040A">
        <w:rPr>
          <w:rtl/>
          <w:lang w:bidi="fa-IR"/>
        </w:rPr>
        <w:t xml:space="preserve"> قَالَ :</w:t>
      </w:r>
      <w:r>
        <w:rPr>
          <w:rFonts w:hint="cs"/>
          <w:rtl/>
          <w:lang w:bidi="fa-IR"/>
        </w:rPr>
        <w:t xml:space="preserve"> </w:t>
      </w:r>
      <w:r w:rsidRPr="00C9040A">
        <w:rPr>
          <w:rtl/>
          <w:lang w:bidi="fa-IR"/>
        </w:rPr>
        <w:t>« مَنْ عَلِمَ أَنَّ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يَرَاهُ ، وَيَسْمَعُ مَا يَقُولُهُ </w:t>
      </w:r>
      <w:r w:rsidR="006C577F" w:rsidRPr="006C577F">
        <w:rPr>
          <w:rStyle w:val="libFootnotenumChar"/>
          <w:rtl/>
        </w:rPr>
        <w:t>(4)</w:t>
      </w:r>
      <w:r w:rsidRPr="00C9040A">
        <w:rPr>
          <w:rtl/>
          <w:lang w:bidi="fa-IR"/>
        </w:rPr>
        <w:t xml:space="preserve"> وَيَفْعَلُهُ </w:t>
      </w:r>
      <w:r w:rsidR="006C577F" w:rsidRPr="006C577F">
        <w:rPr>
          <w:rStyle w:val="libFootnotenumChar"/>
          <w:rtl/>
        </w:rPr>
        <w:t>(5)</w:t>
      </w:r>
      <w:r w:rsidRPr="00C9040A">
        <w:rPr>
          <w:rtl/>
          <w:lang w:bidi="fa-IR"/>
        </w:rPr>
        <w:t xml:space="preserve"> مِنْ خَيْرٍ أَوْ </w:t>
      </w:r>
      <w:r w:rsidR="006C577F" w:rsidRPr="006C577F">
        <w:rPr>
          <w:rStyle w:val="libFootnotenumChar"/>
          <w:rtl/>
        </w:rPr>
        <w:t>(6)</w:t>
      </w:r>
      <w:r w:rsidRPr="005B567D">
        <w:rPr>
          <w:rStyle w:val="libFootnotenumChar"/>
          <w:rtl/>
        </w:rPr>
        <w:t xml:space="preserve"> </w:t>
      </w:r>
      <w:r w:rsidRPr="00C9040A">
        <w:rPr>
          <w:rtl/>
          <w:lang w:bidi="fa-IR"/>
        </w:rPr>
        <w:t xml:space="preserve">شَرٍّ ، فَيَحْجُزُهُ ذلِكَ عَنِ الْقَبِيحِ مِنَ الْأَعْمَالِ </w:t>
      </w:r>
      <w:r w:rsidR="006C577F" w:rsidRPr="006C577F">
        <w:rPr>
          <w:rStyle w:val="libFootnotenumChar"/>
          <w:rtl/>
        </w:rPr>
        <w:t>(7)</w:t>
      </w:r>
      <w:r w:rsidRPr="00C9040A">
        <w:rPr>
          <w:rtl/>
          <w:lang w:bidi="fa-IR"/>
        </w:rPr>
        <w:t xml:space="preserve"> ، فَذلِكَ الَّذِي خافَ مَقامَ رَبِّهِ وَنَهَى النَّفْسَ عَنِ الْهَوى </w:t>
      </w:r>
      <w:r w:rsidR="006C577F" w:rsidRPr="006C577F">
        <w:rPr>
          <w:rStyle w:val="libFootnotenumChar"/>
          <w:rtl/>
        </w:rPr>
        <w:t>(8)</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(9)</w:t>
      </w:r>
      <w:r w:rsidRPr="00C9040A">
        <w:rPr>
          <w:rtl/>
          <w:lang w:bidi="fa-IR"/>
        </w:rPr>
        <w:t xml:space="preserve"> ‌</w:t>
      </w:r>
    </w:p>
    <w:p w:rsidR="008A74EB" w:rsidRPr="00C9040A" w:rsidRDefault="008A74EB" w:rsidP="008A74EB">
      <w:pPr>
        <w:pStyle w:val="libNormal"/>
        <w:rPr>
          <w:rtl/>
          <w:lang w:bidi="fa-IR"/>
        </w:rPr>
      </w:pPr>
      <w:r w:rsidRPr="00A14A0A">
        <w:rPr>
          <w:rtl/>
        </w:rPr>
        <w:t>1652</w:t>
      </w:r>
      <w:r w:rsidRPr="00261CB0">
        <w:rPr>
          <w:rStyle w:val="libBold2Char"/>
          <w:rtl/>
        </w:rPr>
        <w:t xml:space="preserve"> / 2.</w:t>
      </w:r>
      <w:r w:rsidRPr="00C9040A">
        <w:rPr>
          <w:rtl/>
          <w:lang w:bidi="fa-IR"/>
        </w:rPr>
        <w:t xml:space="preserve"> عَلِيُّ بْنُ إِبْرَاهِيمَ ، عَنْ أَبِيهِ ، عَنْ حَمَّادِ بْنِ عِيسى ، عَنْ إِبْرَا</w:t>
      </w:r>
      <w:r w:rsidR="00AC2E2F">
        <w:rPr>
          <w:rtl/>
          <w:lang w:bidi="fa-IR"/>
        </w:rPr>
        <w:t>هِيمَ بْنِ عُمَرَ الْيَمَانِيِّ</w:t>
      </w:r>
      <w:r w:rsidRPr="00C9040A">
        <w:rPr>
          <w:rtl/>
          <w:lang w:bidi="fa-IR"/>
        </w:rPr>
        <w:t>:</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w:t>
      </w:r>
      <w:r w:rsidR="008A74EB" w:rsidRPr="00993B55">
        <w:rPr>
          <w:rStyle w:val="libFootnoteBoldChar"/>
          <w:rtl/>
        </w:rPr>
        <w:t>الكافي</w:t>
      </w:r>
      <w:r w:rsidR="008A74EB" w:rsidRPr="00C9040A">
        <w:rPr>
          <w:rtl/>
        </w:rPr>
        <w:t xml:space="preserve"> ، كتاب النكاح ، باب أنّ من عفّ عن حرم الناس عفّ عن حرمه ، ح 10349 ، بسنده عن معاوية بن وهب ، عن ميمون القدّاح </w:t>
      </w:r>
      <w:r w:rsidR="008A74EB" w:rsidRPr="00993B55">
        <w:rPr>
          <w:rStyle w:val="libFootnoteBoldChar"/>
          <w:rtl/>
        </w:rPr>
        <w:t>الوافي</w:t>
      </w:r>
      <w:r w:rsidR="008A74EB" w:rsidRPr="00C9040A">
        <w:rPr>
          <w:rtl/>
        </w:rPr>
        <w:t xml:space="preserve"> ، ج 4 ، ص 332 ، ح 2047 ؛ </w:t>
      </w:r>
      <w:r w:rsidR="008A74EB" w:rsidRPr="00993B55">
        <w:rPr>
          <w:rStyle w:val="libFootnoteBoldChar"/>
          <w:rtl/>
        </w:rPr>
        <w:t>الوسائل</w:t>
      </w:r>
      <w:r w:rsidR="008A74EB" w:rsidRPr="00C9040A">
        <w:rPr>
          <w:rtl/>
        </w:rPr>
        <w:t xml:space="preserve"> ، ج 15 ، ص 250 ، ح 20420 ؛ </w:t>
      </w:r>
      <w:r w:rsidR="008A74EB" w:rsidRPr="00993B55">
        <w:rPr>
          <w:rStyle w:val="libFootnoteBoldChar"/>
          <w:rtl/>
        </w:rPr>
        <w:t>البحار</w:t>
      </w:r>
      <w:r w:rsidR="008A74EB" w:rsidRPr="00C9040A">
        <w:rPr>
          <w:rtl/>
        </w:rPr>
        <w:t xml:space="preserve"> ، ج 71 ، ص 270 ، ح 6.</w:t>
      </w:r>
    </w:p>
    <w:p w:rsidR="008A74EB" w:rsidRPr="004A4E41" w:rsidRDefault="006C577F" w:rsidP="004A4E41">
      <w:pPr>
        <w:pStyle w:val="libFootnote0"/>
        <w:rPr>
          <w:rStyle w:val="libFootnote0Char"/>
          <w:rtl/>
        </w:rPr>
      </w:pPr>
      <w:r>
        <w:rPr>
          <w:rtl/>
        </w:rPr>
        <w:t>(2).</w:t>
      </w:r>
      <w:r w:rsidR="008A74EB">
        <w:rPr>
          <w:rtl/>
        </w:rPr>
        <w:t xml:space="preserve"> </w:t>
      </w:r>
      <w:r w:rsidR="008A74EB" w:rsidRPr="00993B55">
        <w:rPr>
          <w:rStyle w:val="libFootnoteBoldChar"/>
          <w:rtl/>
        </w:rPr>
        <w:t>الوافي</w:t>
      </w:r>
      <w:r w:rsidR="008A74EB" w:rsidRPr="00C9040A">
        <w:rPr>
          <w:rtl/>
        </w:rPr>
        <w:t xml:space="preserve"> ، ج 4 ، ص 332 ، ح 2048 ؛ </w:t>
      </w:r>
      <w:r w:rsidR="008A74EB" w:rsidRPr="00993B55">
        <w:rPr>
          <w:rStyle w:val="libFootnoteBoldChar"/>
          <w:rtl/>
        </w:rPr>
        <w:t>الوسائل</w:t>
      </w:r>
      <w:r w:rsidR="008A74EB" w:rsidRPr="00C9040A">
        <w:rPr>
          <w:rtl/>
        </w:rPr>
        <w:t xml:space="preserve"> ، ج 15 ، ص 249 ، ح 20413 ؛ </w:t>
      </w:r>
      <w:r w:rsidR="008A74EB" w:rsidRPr="00993B55">
        <w:rPr>
          <w:rStyle w:val="libFootnoteBoldChar"/>
          <w:rtl/>
        </w:rPr>
        <w:t>البحار</w:t>
      </w:r>
      <w:r w:rsidR="008A74EB" w:rsidRPr="00C9040A">
        <w:rPr>
          <w:rtl/>
        </w:rPr>
        <w:t xml:space="preserve"> ، ج 71 ، ص 270 ، ح 7.</w:t>
      </w:r>
    </w:p>
    <w:tbl>
      <w:tblPr>
        <w:tblStyle w:val="TableGrid"/>
        <w:bidiVisual/>
        <w:tblW w:w="0" w:type="auto"/>
        <w:tblLook w:val="04A0" w:firstRow="1" w:lastRow="0" w:firstColumn="1" w:lastColumn="0" w:noHBand="0" w:noVBand="1"/>
      </w:tblPr>
      <w:tblGrid>
        <w:gridCol w:w="4006"/>
        <w:gridCol w:w="4006"/>
      </w:tblGrid>
      <w:tr w:rsidR="00872138" w:rsidTr="00872138">
        <w:tc>
          <w:tcPr>
            <w:tcW w:w="4006" w:type="dxa"/>
          </w:tcPr>
          <w:p w:rsidR="00872138" w:rsidRDefault="00872138" w:rsidP="004A4E41">
            <w:pPr>
              <w:pStyle w:val="libFootnote0"/>
              <w:rPr>
                <w:rtl/>
              </w:rPr>
            </w:pPr>
            <w:r>
              <w:rPr>
                <w:rtl/>
              </w:rPr>
              <w:t>(3).</w:t>
            </w:r>
            <w:r w:rsidRPr="00C9040A">
              <w:rPr>
                <w:rtl/>
              </w:rPr>
              <w:t xml:space="preserve"> الرحمن (55) : 46.</w:t>
            </w:r>
          </w:p>
        </w:tc>
        <w:tc>
          <w:tcPr>
            <w:tcW w:w="4006" w:type="dxa"/>
          </w:tcPr>
          <w:p w:rsidR="00872138" w:rsidRDefault="00872138" w:rsidP="004A4E41">
            <w:pPr>
              <w:pStyle w:val="libFootnote0"/>
              <w:rPr>
                <w:rtl/>
              </w:rPr>
            </w:pPr>
            <w:r>
              <w:rPr>
                <w:rtl/>
              </w:rPr>
              <w:t>(4).</w:t>
            </w:r>
            <w:r w:rsidRPr="00C9040A">
              <w:rPr>
                <w:rtl/>
              </w:rPr>
              <w:t xml:space="preserve"> في « ب ، بس » : « يقول »</w:t>
            </w:r>
            <w:r>
              <w:rPr>
                <w:rtl/>
              </w:rPr>
              <w:t>.</w:t>
            </w:r>
          </w:p>
        </w:tc>
      </w:tr>
    </w:tbl>
    <w:p w:rsidR="008A74EB" w:rsidRPr="004A4E41" w:rsidRDefault="006C577F" w:rsidP="004A4E41">
      <w:pPr>
        <w:pStyle w:val="libFootnote0"/>
        <w:rPr>
          <w:rStyle w:val="libFootnote0Char"/>
          <w:rtl/>
        </w:rPr>
      </w:pPr>
      <w:r>
        <w:rPr>
          <w:rtl/>
        </w:rPr>
        <w:t>(5).</w:t>
      </w:r>
      <w:r w:rsidR="008A74EB" w:rsidRPr="00C9040A">
        <w:rPr>
          <w:rtl/>
        </w:rPr>
        <w:t xml:space="preserve"> في « ف » : « يعقله »</w:t>
      </w:r>
      <w:r w:rsidR="008A74EB">
        <w:rPr>
          <w:rtl/>
        </w:rPr>
        <w:t>.</w:t>
      </w:r>
      <w:r w:rsidR="008A74EB" w:rsidRPr="00C9040A">
        <w:rPr>
          <w:rtl/>
        </w:rPr>
        <w:t xml:space="preserve"> وفي الوسائل والكافي ، ح 1608 : « يقول ويعلم ما يعمله »</w:t>
      </w:r>
      <w:r w:rsidR="008A74EB">
        <w:rPr>
          <w:rtl/>
        </w:rPr>
        <w:t>.</w:t>
      </w:r>
      <w:r w:rsidR="008A74EB" w:rsidRPr="00C9040A">
        <w:rPr>
          <w:rtl/>
        </w:rPr>
        <w:t xml:space="preserve"> وفي البحار : « يقول ويفعله ويعلم ما يعمله » كلاهما بدل « يقوله ويفعله »</w:t>
      </w:r>
      <w:r w:rsidR="008A74EB">
        <w:rPr>
          <w:rtl/>
        </w:rPr>
        <w:t>.</w:t>
      </w:r>
      <w:r w:rsidR="00872138">
        <w:rPr>
          <w:rFonts w:hint="cs"/>
          <w:rtl/>
        </w:rPr>
        <w:t xml:space="preserve">      </w:t>
      </w:r>
      <w:r>
        <w:rPr>
          <w:rtl/>
        </w:rPr>
        <w:t>(6).</w:t>
      </w:r>
      <w:r w:rsidR="008A74EB">
        <w:rPr>
          <w:rtl/>
        </w:rPr>
        <w:t xml:space="preserve"> </w:t>
      </w:r>
      <w:r w:rsidR="008A74EB" w:rsidRPr="00C9040A">
        <w:rPr>
          <w:rtl/>
        </w:rPr>
        <w:t>في«ز،ص»:«</w:t>
      </w:r>
      <w:r w:rsidR="008A74EB">
        <w:rPr>
          <w:rtl/>
        </w:rPr>
        <w:t>و».</w:t>
      </w:r>
    </w:p>
    <w:tbl>
      <w:tblPr>
        <w:tblStyle w:val="TableGrid"/>
        <w:bidiVisual/>
        <w:tblW w:w="0" w:type="auto"/>
        <w:tblLook w:val="04A0" w:firstRow="1" w:lastRow="0" w:firstColumn="1" w:lastColumn="0" w:noHBand="0" w:noVBand="1"/>
      </w:tblPr>
      <w:tblGrid>
        <w:gridCol w:w="4006"/>
        <w:gridCol w:w="4006"/>
      </w:tblGrid>
      <w:tr w:rsidR="00872138" w:rsidTr="00872138">
        <w:tc>
          <w:tcPr>
            <w:tcW w:w="4006" w:type="dxa"/>
          </w:tcPr>
          <w:p w:rsidR="00872138" w:rsidRDefault="00872138" w:rsidP="004A4E41">
            <w:pPr>
              <w:pStyle w:val="libFootnote0"/>
              <w:rPr>
                <w:rtl/>
              </w:rPr>
            </w:pPr>
            <w:r>
              <w:rPr>
                <w:rtl/>
              </w:rPr>
              <w:t>(7).</w:t>
            </w:r>
            <w:r w:rsidRPr="00C9040A">
              <w:rPr>
                <w:rtl/>
              </w:rPr>
              <w:t xml:space="preserve"> في«</w:t>
            </w:r>
            <w:r>
              <w:rPr>
                <w:rtl/>
              </w:rPr>
              <w:t>ه</w:t>
            </w:r>
            <w:r w:rsidRPr="00C9040A">
              <w:rPr>
                <w:rtl/>
              </w:rPr>
              <w:t>»</w:t>
            </w:r>
            <w:r>
              <w:rPr>
                <w:rtl/>
              </w:rPr>
              <w:t>:-</w:t>
            </w:r>
            <w:r w:rsidRPr="00C9040A">
              <w:rPr>
                <w:rtl/>
              </w:rPr>
              <w:t>«من الأعمال»</w:t>
            </w:r>
            <w:r>
              <w:rPr>
                <w:rtl/>
              </w:rPr>
              <w:t>.</w:t>
            </w:r>
          </w:p>
        </w:tc>
        <w:tc>
          <w:tcPr>
            <w:tcW w:w="4006" w:type="dxa"/>
          </w:tcPr>
          <w:p w:rsidR="00872138" w:rsidRDefault="00872138" w:rsidP="004A4E41">
            <w:pPr>
              <w:pStyle w:val="libFootnote0"/>
              <w:rPr>
                <w:rtl/>
              </w:rPr>
            </w:pPr>
            <w:r>
              <w:rPr>
                <w:rtl/>
              </w:rPr>
              <w:t>(8). إشارة إلى الآية</w:t>
            </w:r>
            <w:r w:rsidRPr="00C9040A">
              <w:rPr>
                <w:rtl/>
              </w:rPr>
              <w:t>40من سورة النازعات(79)</w:t>
            </w:r>
            <w:r>
              <w:rPr>
                <w:rtl/>
              </w:rPr>
              <w:t>.</w:t>
            </w:r>
          </w:p>
        </w:tc>
      </w:tr>
    </w:tbl>
    <w:p w:rsidR="008A74EB" w:rsidRPr="00C9040A" w:rsidRDefault="006C577F" w:rsidP="004A4E41">
      <w:pPr>
        <w:pStyle w:val="libFootnote0"/>
        <w:rPr>
          <w:rtl/>
          <w:lang w:bidi="fa-IR"/>
        </w:rPr>
      </w:pPr>
      <w:r>
        <w:rPr>
          <w:rtl/>
        </w:rPr>
        <w:t>(9).</w:t>
      </w:r>
      <w:r w:rsidR="008A74EB" w:rsidRPr="00C9040A">
        <w:rPr>
          <w:rtl/>
        </w:rPr>
        <w:t xml:space="preserve"> </w:t>
      </w:r>
      <w:r w:rsidR="008A74EB" w:rsidRPr="00993B55">
        <w:rPr>
          <w:rStyle w:val="libFootnoteBoldChar"/>
          <w:rtl/>
        </w:rPr>
        <w:t>الكافي</w:t>
      </w:r>
      <w:r w:rsidR="008A74EB" w:rsidRPr="00C9040A">
        <w:rPr>
          <w:rtl/>
        </w:rPr>
        <w:t xml:space="preserve"> ، كتاب الإيمان والكفر ، باب الخوف والرجاء ، ح 1608 </w:t>
      </w:r>
      <w:r w:rsidR="00872138">
        <w:rPr>
          <w:rFonts w:hint="cs"/>
          <w:rtl/>
        </w:rPr>
        <w:t>.</w:t>
      </w:r>
      <w:r w:rsidR="008A74EB" w:rsidRPr="00993B55">
        <w:rPr>
          <w:rStyle w:val="libFootnoteBoldChar"/>
          <w:rtl/>
        </w:rPr>
        <w:t>الوافي</w:t>
      </w:r>
      <w:r w:rsidR="008A74EB" w:rsidRPr="00C9040A">
        <w:rPr>
          <w:rtl/>
        </w:rPr>
        <w:t xml:space="preserve"> ، ج 4 ، ص 291 ، ح 1963 ؛ </w:t>
      </w:r>
      <w:r w:rsidR="008A74EB" w:rsidRPr="00993B55">
        <w:rPr>
          <w:rStyle w:val="libFootnoteBoldChar"/>
          <w:rtl/>
        </w:rPr>
        <w:t>الوسائل</w:t>
      </w:r>
      <w:r w:rsidR="008A74EB" w:rsidRPr="00C9040A">
        <w:rPr>
          <w:rtl/>
        </w:rPr>
        <w:t xml:space="preserve"> ، ج 15 ، ص 219 ، ح 20321 ؛ </w:t>
      </w:r>
      <w:r w:rsidR="008A74EB" w:rsidRPr="00993B55">
        <w:rPr>
          <w:rStyle w:val="libFootnoteBoldChar"/>
          <w:rtl/>
        </w:rPr>
        <w:t>البحار</w:t>
      </w:r>
      <w:r w:rsidR="008A74EB" w:rsidRPr="00C9040A">
        <w:rPr>
          <w:rtl/>
        </w:rPr>
        <w:t xml:space="preserve"> ، ج 70 ، ص 364 ، ح 8.</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كُلُّ عَيْنٍ بَاكِيَةٌ يَوْمَ الْقِيَامَةِ غَيْرَ ثَلَاثٍ : عَيْنٍ سَهِرَتْ فِي سَبِيلِ اللهِ ، وَعَيْنٍ فَاضَتْ </w:t>
      </w:r>
      <w:r w:rsidR="006C577F" w:rsidRPr="006C577F">
        <w:rPr>
          <w:rStyle w:val="libFootnotenumChar"/>
          <w:rtl/>
        </w:rPr>
        <w:t>(1)</w:t>
      </w:r>
      <w:r w:rsidRPr="002712F0">
        <w:rPr>
          <w:rFonts w:hint="cs"/>
          <w:rtl/>
        </w:rPr>
        <w:t xml:space="preserve"> </w:t>
      </w:r>
      <w:r w:rsidRPr="00C9040A">
        <w:rPr>
          <w:rtl/>
          <w:lang w:bidi="fa-IR"/>
        </w:rPr>
        <w:t xml:space="preserve">مِنْ خَشْيَةِ اللهِ ، وَعَيْنٍ غُضَّتْ </w:t>
      </w:r>
      <w:r w:rsidR="006C577F" w:rsidRPr="006C577F">
        <w:rPr>
          <w:rStyle w:val="libFootnotenumChar"/>
          <w:rtl/>
        </w:rPr>
        <w:t>(2)</w:t>
      </w:r>
      <w:r w:rsidRPr="00C9040A">
        <w:rPr>
          <w:rtl/>
          <w:lang w:bidi="fa-IR"/>
        </w:rPr>
        <w:t xml:space="preserve"> عَنْ </w:t>
      </w:r>
      <w:r w:rsidR="006C577F" w:rsidRPr="006C577F">
        <w:rPr>
          <w:rStyle w:val="libFootnotenumChar"/>
          <w:rtl/>
        </w:rPr>
        <w:t>(3)</w:t>
      </w:r>
      <w:r w:rsidRPr="00C9040A">
        <w:rPr>
          <w:rtl/>
          <w:lang w:bidi="fa-IR"/>
        </w:rPr>
        <w:t xml:space="preserve"> مَحَارِمِ اللهِ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A14A0A">
        <w:rPr>
          <w:rtl/>
        </w:rPr>
        <w:t>1653</w:t>
      </w:r>
      <w:r w:rsidRPr="00261CB0">
        <w:rPr>
          <w:rStyle w:val="libBold2Char"/>
          <w:rtl/>
        </w:rPr>
        <w:t xml:space="preserve"> / 3.</w:t>
      </w:r>
      <w:r w:rsidRPr="00C9040A">
        <w:rPr>
          <w:rtl/>
          <w:lang w:bidi="fa-IR"/>
        </w:rPr>
        <w:t xml:space="preserve"> عَلِيٌّ ، عَنْ مُحَمَّدِ بْنِ عِيسى ، عَنْ يُونُسَ ، عَمَّنْ ذَكَرَهُ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فِيمَا نَاجَى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بِهِ </w:t>
      </w:r>
      <w:r w:rsidR="006C577F" w:rsidRPr="006C577F">
        <w:rPr>
          <w:rStyle w:val="libFootnotenumChar"/>
          <w:rtl/>
        </w:rPr>
        <w:t>(5)</w:t>
      </w:r>
      <w:r w:rsidRPr="00C9040A">
        <w:rPr>
          <w:rtl/>
          <w:lang w:bidi="fa-IR"/>
        </w:rPr>
        <w:t xml:space="preserve"> مُوسى </w:t>
      </w:r>
      <w:r w:rsidRPr="0003660B">
        <w:rPr>
          <w:rStyle w:val="libAlaemChar"/>
          <w:rtl/>
        </w:rPr>
        <w:t>عليه‌السلام</w:t>
      </w:r>
      <w:r w:rsidRPr="00C9040A">
        <w:rPr>
          <w:rtl/>
          <w:lang w:bidi="fa-IR"/>
        </w:rPr>
        <w:t xml:space="preserve"> : يَا مُوسى ، مَا تَقَرَّبَ إِلَيَّ الْمُتَقَرِّبُونَ بِمِثْلِ الْوَرَعِ عَنْ مَحَارِمِي ؛ فَإِنِّي أُبِيحُهُمْ جَنَّاتِ </w:t>
      </w:r>
      <w:r w:rsidR="006C577F" w:rsidRPr="006C577F">
        <w:rPr>
          <w:rStyle w:val="libFootnotenumChar"/>
          <w:rtl/>
        </w:rPr>
        <w:t>(6)</w:t>
      </w:r>
      <w:r w:rsidRPr="005B567D">
        <w:rPr>
          <w:rStyle w:val="libFootnotenumChar"/>
          <w:rtl/>
        </w:rPr>
        <w:t xml:space="preserve"> </w:t>
      </w:r>
      <w:r w:rsidRPr="00C9040A">
        <w:rPr>
          <w:rtl/>
          <w:lang w:bidi="fa-IR"/>
        </w:rPr>
        <w:t>عَدْنٍ لَا</w:t>
      </w:r>
      <w:r>
        <w:rPr>
          <w:rFonts w:hint="cs"/>
          <w:rtl/>
          <w:lang w:bidi="fa-IR"/>
        </w:rPr>
        <w:t xml:space="preserve"> </w:t>
      </w:r>
      <w:r w:rsidRPr="00C9040A">
        <w:rPr>
          <w:rtl/>
          <w:lang w:bidi="fa-IR"/>
        </w:rPr>
        <w:t>أُشْرِكُ مَعَهُمْ أَحَداً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A14A0A">
        <w:rPr>
          <w:rtl/>
        </w:rPr>
        <w:t>1654</w:t>
      </w:r>
      <w:r w:rsidRPr="00261CB0">
        <w:rPr>
          <w:rStyle w:val="libBold2Char"/>
          <w:rtl/>
        </w:rPr>
        <w:t xml:space="preserve"> / 4.</w:t>
      </w:r>
      <w:r w:rsidRPr="00C9040A">
        <w:rPr>
          <w:rtl/>
          <w:lang w:bidi="fa-IR"/>
        </w:rPr>
        <w:t xml:space="preserve"> عَلِيٌّ </w:t>
      </w:r>
      <w:r w:rsidR="006C577F" w:rsidRPr="006C577F">
        <w:rPr>
          <w:rStyle w:val="libFootnotenumChar"/>
          <w:rtl/>
        </w:rPr>
        <w:t>(8)</w:t>
      </w:r>
      <w:r w:rsidRPr="00C9040A">
        <w:rPr>
          <w:rtl/>
          <w:lang w:bidi="fa-IR"/>
        </w:rPr>
        <w:t xml:space="preserve"> ، عَنْ أَبِيهِ ، عَنِ ابْنِ أَبِي عُمَيْرٍ ، عَنْ هِشَامِ بْنِ سَالِمٍ ، عَنْ أَبِي عُبَيْدَةَ</w:t>
      </w:r>
      <w:r w:rsidR="006C577F" w:rsidRPr="006C577F">
        <w:rPr>
          <w:rStyle w:val="libFootnotenumChar"/>
          <w:rtl/>
        </w:rPr>
        <w:t>(9)</w:t>
      </w:r>
      <w:r w:rsidRPr="00C9040A">
        <w:rPr>
          <w:rtl/>
          <w:lang w:bidi="fa-IR"/>
        </w:rPr>
        <w:t>:</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مِنْ أَشَدِّ مَا فَرَضَ اللهُ عَلى خَلْقِهِ ذِكْرُ اللهِ كَثِيراً » ثُمَّ قَالَ : « لَا أَعْنِي سُبْحَانَ اللهِ ، وَالْحَ</w:t>
      </w:r>
      <w:r w:rsidR="001350DB">
        <w:rPr>
          <w:rtl/>
          <w:lang w:bidi="fa-IR"/>
        </w:rPr>
        <w:t>مْدُ لِلّهِ ، وَلَا إِلهَ إِل</w:t>
      </w:r>
      <w:r w:rsidR="001350DB">
        <w:rPr>
          <w:rFonts w:hint="cs"/>
          <w:rtl/>
          <w:lang w:bidi="fa-IR"/>
        </w:rPr>
        <w:t>َّ</w:t>
      </w:r>
      <w:r w:rsidR="001350DB">
        <w:rPr>
          <w:rtl/>
          <w:lang w:bidi="fa-IR"/>
        </w:rPr>
        <w:t>ا</w:t>
      </w:r>
      <w:r w:rsidRPr="00C9040A">
        <w:rPr>
          <w:rtl/>
          <w:lang w:bidi="fa-IR"/>
        </w:rPr>
        <w:t xml:space="preserve"> اللهُ ، وَاللهُ أَكْبَرُ ، وَإِنْ كَانَ مِنْهُ ؛ وَلكِنْ </w:t>
      </w:r>
      <w:r w:rsidR="006C577F" w:rsidRPr="006C577F">
        <w:rPr>
          <w:rStyle w:val="libFootnotenumChar"/>
          <w:rtl/>
        </w:rPr>
        <w:t>(10)</w:t>
      </w:r>
      <w:r w:rsidRPr="00C9040A">
        <w:rPr>
          <w:rtl/>
          <w:lang w:bidi="fa-IR"/>
        </w:rPr>
        <w:t xml:space="preserve"> ذِكْرَ اللهِ </w:t>
      </w:r>
      <w:r w:rsidR="006C577F" w:rsidRPr="006C577F">
        <w:rPr>
          <w:rStyle w:val="libFootnotenumChar"/>
          <w:rtl/>
        </w:rPr>
        <w:t>(11)</w:t>
      </w:r>
      <w:r w:rsidRPr="00C9040A">
        <w:rPr>
          <w:rtl/>
          <w:lang w:bidi="fa-IR"/>
        </w:rPr>
        <w:t xml:space="preserve"> عِنْدَ مَا أَحَلَّ </w:t>
      </w:r>
      <w:r w:rsidR="006C577F" w:rsidRPr="006C577F">
        <w:rPr>
          <w:rStyle w:val="libFootnotenumChar"/>
          <w:rtl/>
        </w:rPr>
        <w:t>(12)</w:t>
      </w:r>
      <w:r w:rsidRPr="00C9040A">
        <w:rPr>
          <w:rtl/>
          <w:lang w:bidi="fa-IR"/>
        </w:rPr>
        <w:t xml:space="preserve"> وَحَرَّمَ ، فَإِنْ كَانَ طَاعَةً عَمِلَ بِهَا ، وَإِنْ كَانَ مَعْصِيَةً‌</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w:t>
      </w:r>
      <w:r w:rsidR="008A74EB" w:rsidRPr="00993B55">
        <w:rPr>
          <w:rStyle w:val="libFootnoteBoldChar"/>
          <w:rtl/>
        </w:rPr>
        <w:t>المرآة</w:t>
      </w:r>
      <w:r w:rsidR="008A74EB" w:rsidRPr="00C9040A">
        <w:rPr>
          <w:rtl/>
        </w:rPr>
        <w:t xml:space="preserve"> : « إسناد الفيض إلى العين مجاز ، وفاض الماء والدمع فيضاً : كثر حتّى سال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w:t>
      </w:r>
      <w:r w:rsidR="008A74EB" w:rsidRPr="00993B55">
        <w:rPr>
          <w:rStyle w:val="libFootnoteBoldChar"/>
          <w:rtl/>
        </w:rPr>
        <w:t>المرآة</w:t>
      </w:r>
      <w:r w:rsidR="008A74EB" w:rsidRPr="00C9040A">
        <w:rPr>
          <w:rtl/>
        </w:rPr>
        <w:t xml:space="preserve"> : « غُضّت ، على بناء المفعول ، يقال : غضّ طرفه ، أي كسره وأطرق ولم يفتح عينه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ف » : « من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الكافي</w:t>
      </w:r>
      <w:r w:rsidR="008A74EB" w:rsidRPr="00C9040A">
        <w:rPr>
          <w:rtl/>
        </w:rPr>
        <w:t xml:space="preserve"> ، كتاب الدعاء ، باب البكاء ، ح 3133 ؛ و</w:t>
      </w:r>
      <w:r w:rsidR="008A74EB" w:rsidRPr="00993B55">
        <w:rPr>
          <w:rStyle w:val="libFootnoteBoldChar"/>
          <w:rtl/>
        </w:rPr>
        <w:t>الزهد</w:t>
      </w:r>
      <w:r w:rsidR="008A74EB" w:rsidRPr="00C9040A">
        <w:rPr>
          <w:rtl/>
        </w:rPr>
        <w:t xml:space="preserve"> ، ص 147 ، ح 210 ، بسند آخر عن أبي عبد الله </w:t>
      </w:r>
      <w:r w:rsidR="00117575" w:rsidRPr="00117575">
        <w:rPr>
          <w:rStyle w:val="libFootnoteAlaemChar"/>
          <w:rtl/>
        </w:rPr>
        <w:t xml:space="preserve">عليه‌السلام </w:t>
      </w:r>
      <w:r w:rsidR="008A74EB" w:rsidRPr="00C9040A">
        <w:rPr>
          <w:rtl/>
        </w:rPr>
        <w:t xml:space="preserve">. وفي </w:t>
      </w:r>
      <w:r w:rsidR="008A74EB" w:rsidRPr="00993B55">
        <w:rPr>
          <w:rStyle w:val="libFootnoteBoldChar"/>
          <w:rtl/>
        </w:rPr>
        <w:t>ثواب الأعمال</w:t>
      </w:r>
      <w:r w:rsidR="008A74EB" w:rsidRPr="00C9040A">
        <w:rPr>
          <w:rtl/>
        </w:rPr>
        <w:t xml:space="preserve"> ، ص 211 ، ح 1 ، و</w:t>
      </w:r>
      <w:r w:rsidR="008A74EB" w:rsidRPr="00993B55">
        <w:rPr>
          <w:rStyle w:val="libFootnoteBoldChar"/>
          <w:rtl/>
        </w:rPr>
        <w:t>الخصال</w:t>
      </w:r>
      <w:r w:rsidR="008A74EB" w:rsidRPr="00C9040A">
        <w:rPr>
          <w:rtl/>
        </w:rPr>
        <w:t xml:space="preserve"> ، ص 98 ، باب الثلاثة ، ح 46 ، بسند آخر عن جعفر بن محمّد ، عن أبيه </w:t>
      </w:r>
      <w:r w:rsidR="00117575" w:rsidRPr="00117575">
        <w:rPr>
          <w:rStyle w:val="libFootnoteAlaemChar"/>
          <w:rtl/>
        </w:rPr>
        <w:t>عليهما‌السلام</w:t>
      </w:r>
      <w:r w:rsidR="008A74EB" w:rsidRPr="00C9040A">
        <w:rPr>
          <w:rtl/>
        </w:rPr>
        <w:t xml:space="preserve"> عن رسول الله </w:t>
      </w:r>
      <w:r w:rsidR="004A4E41" w:rsidRPr="00AC2E2F">
        <w:rPr>
          <w:rStyle w:val="libFootnoteAlaemChar"/>
          <w:rtl/>
        </w:rPr>
        <w:t>صلى‌الله‌عليه‌وآله</w:t>
      </w:r>
      <w:r w:rsidR="008A74EB" w:rsidRPr="00C9040A">
        <w:rPr>
          <w:rtl/>
        </w:rPr>
        <w:t xml:space="preserve">. </w:t>
      </w:r>
      <w:r w:rsidR="008A74EB" w:rsidRPr="00993B55">
        <w:rPr>
          <w:rStyle w:val="libFootnoteBoldChar"/>
          <w:rtl/>
        </w:rPr>
        <w:t>الفقيه</w:t>
      </w:r>
      <w:r w:rsidR="008A74EB" w:rsidRPr="00C9040A">
        <w:rPr>
          <w:rtl/>
        </w:rPr>
        <w:t xml:space="preserve"> ، ج 1 ، ص 318 ، ح 942 ، مرسلاً ؛ </w:t>
      </w:r>
      <w:r w:rsidR="008A74EB" w:rsidRPr="00993B55">
        <w:rPr>
          <w:rStyle w:val="libFootnoteBoldChar"/>
          <w:rtl/>
        </w:rPr>
        <w:t>تحف العقول</w:t>
      </w:r>
      <w:r w:rsidR="008A74EB" w:rsidRPr="00C9040A">
        <w:rPr>
          <w:rtl/>
        </w:rPr>
        <w:t xml:space="preserve"> ، ص 8 ، عن رسول الله </w:t>
      </w:r>
      <w:r w:rsidR="004A4E41" w:rsidRPr="00AC2E2F">
        <w:rPr>
          <w:rStyle w:val="libFootnoteAlaemChar"/>
          <w:rtl/>
        </w:rPr>
        <w:t>صلى‌الله‌عليه‌وآله</w:t>
      </w:r>
      <w:r w:rsidR="008A74EB" w:rsidRPr="00C9040A">
        <w:rPr>
          <w:rtl/>
        </w:rPr>
        <w:t xml:space="preserve"> ، وفي كلّها مع اختلاف يسير </w:t>
      </w:r>
      <w:r w:rsidR="001350DB">
        <w:rPr>
          <w:rFonts w:hint="cs"/>
          <w:rtl/>
        </w:rPr>
        <w:t>.</w:t>
      </w:r>
      <w:r w:rsidR="008A74EB" w:rsidRPr="00993B55">
        <w:rPr>
          <w:rStyle w:val="libFootnoteBoldChar"/>
          <w:rtl/>
        </w:rPr>
        <w:t>الوافي</w:t>
      </w:r>
      <w:r w:rsidR="008A74EB" w:rsidRPr="00C9040A">
        <w:rPr>
          <w:rtl/>
        </w:rPr>
        <w:t xml:space="preserve"> ، ج 4 ، ص 323 ، ح 2024 ؛ </w:t>
      </w:r>
      <w:r w:rsidR="008A74EB" w:rsidRPr="00993B55">
        <w:rPr>
          <w:rStyle w:val="libFootnoteBoldChar"/>
          <w:rtl/>
        </w:rPr>
        <w:t>الوسائل</w:t>
      </w:r>
      <w:r w:rsidR="008A74EB" w:rsidRPr="00C9040A">
        <w:rPr>
          <w:rtl/>
        </w:rPr>
        <w:t xml:space="preserve"> ، ج 15 ، ص 252 ، ح 20427 ؛ </w:t>
      </w:r>
      <w:r w:rsidR="008A74EB" w:rsidRPr="00993B55">
        <w:rPr>
          <w:rStyle w:val="libFootnoteBoldChar"/>
          <w:rtl/>
        </w:rPr>
        <w:t>البحار</w:t>
      </w:r>
      <w:r w:rsidR="008A74EB" w:rsidRPr="00C9040A">
        <w:rPr>
          <w:rtl/>
        </w:rPr>
        <w:t xml:space="preserve"> ، ج 7 ، ص 195 ، ح 62 ؛ وج 71 ، ص 204 ، ح 7.</w:t>
      </w:r>
    </w:p>
    <w:p w:rsidR="008A74EB" w:rsidRPr="00C9040A" w:rsidRDefault="006C577F" w:rsidP="004A4E41">
      <w:pPr>
        <w:pStyle w:val="libFootnote0"/>
        <w:rPr>
          <w:rtl/>
          <w:lang w:bidi="fa-IR"/>
        </w:rPr>
      </w:pPr>
      <w:r>
        <w:rPr>
          <w:rtl/>
        </w:rPr>
        <w:t>(5).</w:t>
      </w:r>
      <w:r w:rsidR="008A74EB" w:rsidRPr="00C9040A">
        <w:rPr>
          <w:rtl/>
        </w:rPr>
        <w:t xml:space="preserve"> في « </w:t>
      </w:r>
      <w:r w:rsidR="006D3162">
        <w:rPr>
          <w:rtl/>
        </w:rPr>
        <w:t xml:space="preserve">ه </w:t>
      </w:r>
      <w:r w:rsidR="008A74EB" w:rsidRPr="00C9040A">
        <w:rPr>
          <w:rtl/>
        </w:rPr>
        <w:t xml:space="preserve">» </w:t>
      </w:r>
      <w:r w:rsidR="008A74EB">
        <w:rPr>
          <w:rtl/>
        </w:rPr>
        <w:t xml:space="preserve">: </w:t>
      </w:r>
      <w:r w:rsidR="0084262C">
        <w:rPr>
          <w:rtl/>
        </w:rPr>
        <w:t>-</w:t>
      </w:r>
      <w:r w:rsidR="008A74EB" w:rsidRPr="00C9040A">
        <w:rPr>
          <w:rtl/>
        </w:rPr>
        <w:t xml:space="preserve"> « به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بس » : « جنان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راجع : </w:t>
      </w:r>
      <w:r w:rsidR="008A74EB" w:rsidRPr="00993B55">
        <w:rPr>
          <w:rStyle w:val="libFootnoteBoldChar"/>
          <w:rtl/>
        </w:rPr>
        <w:t>ثواب الأعمال</w:t>
      </w:r>
      <w:r w:rsidR="008A74EB" w:rsidRPr="00C9040A">
        <w:rPr>
          <w:rtl/>
        </w:rPr>
        <w:t xml:space="preserve"> ، ص 205 ، ح 1 </w:t>
      </w:r>
      <w:r w:rsidR="00B36C5D">
        <w:rPr>
          <w:rFonts w:hint="cs"/>
          <w:rtl/>
        </w:rPr>
        <w:t>.</w:t>
      </w:r>
      <w:r w:rsidR="008A74EB" w:rsidRPr="00993B55">
        <w:rPr>
          <w:rStyle w:val="libFootnoteBoldChar"/>
          <w:rtl/>
        </w:rPr>
        <w:t>الوافي</w:t>
      </w:r>
      <w:r w:rsidR="008A74EB" w:rsidRPr="00C9040A">
        <w:rPr>
          <w:rtl/>
        </w:rPr>
        <w:t xml:space="preserve"> ، ج 4 ، ص 323 ، ح 2025 ؛ </w:t>
      </w:r>
      <w:r w:rsidR="008A74EB" w:rsidRPr="00993B55">
        <w:rPr>
          <w:rStyle w:val="libFootnoteBoldChar"/>
          <w:rtl/>
        </w:rPr>
        <w:t>البحار</w:t>
      </w:r>
      <w:r w:rsidR="008A74EB" w:rsidRPr="00C9040A">
        <w:rPr>
          <w:rtl/>
        </w:rPr>
        <w:t xml:space="preserve"> ، ج 71 ، ص 204 ، ح 8.</w:t>
      </w:r>
    </w:p>
    <w:p w:rsidR="008A74EB" w:rsidRPr="004A4E41" w:rsidRDefault="006C577F" w:rsidP="004A4E41">
      <w:pPr>
        <w:pStyle w:val="libFootnote0"/>
        <w:rPr>
          <w:rStyle w:val="libFootnote0Char"/>
          <w:rtl/>
        </w:rPr>
      </w:pPr>
      <w:r>
        <w:rPr>
          <w:rtl/>
        </w:rPr>
        <w:t>(8).</w:t>
      </w:r>
      <w:r w:rsidR="008A74EB" w:rsidRPr="00C9040A">
        <w:rPr>
          <w:rtl/>
        </w:rPr>
        <w:t xml:space="preserve"> هكذا في « ب ، ج ، د ، ض ، </w:t>
      </w:r>
      <w:r w:rsidR="006D3162">
        <w:rPr>
          <w:rtl/>
        </w:rPr>
        <w:t xml:space="preserve">ه </w:t>
      </w:r>
      <w:r w:rsidR="008A74EB" w:rsidRPr="00C9040A">
        <w:rPr>
          <w:rtl/>
        </w:rPr>
        <w:t>، بر ، بس ، بف »</w:t>
      </w:r>
      <w:r w:rsidR="008A74EB">
        <w:rPr>
          <w:rtl/>
        </w:rPr>
        <w:t>.</w:t>
      </w:r>
      <w:r w:rsidR="008A74EB" w:rsidRPr="00C9040A">
        <w:rPr>
          <w:rtl/>
        </w:rPr>
        <w:t xml:space="preserve"> وفي « ز ، ص ، ف » والمطبوع : + « بن إبراهيم »</w:t>
      </w:r>
      <w:r w:rsidR="008A74EB">
        <w:rPr>
          <w:rtl/>
        </w:rPr>
        <w:t>.</w:t>
      </w:r>
      <w:r w:rsidR="008A74EB" w:rsidRPr="00C9040A">
        <w:rPr>
          <w:rtl/>
        </w:rPr>
        <w:t xml:space="preserve"> وفي « جر » : « عنه »</w:t>
      </w:r>
      <w:r w:rsidR="008A74EB">
        <w:rPr>
          <w:rtl/>
        </w:rPr>
        <w:t>.</w:t>
      </w:r>
      <w:r w:rsidR="00162C56">
        <w:rPr>
          <w:rFonts w:hint="cs"/>
          <w:rtl/>
        </w:rPr>
        <w:t xml:space="preserve"> </w:t>
      </w:r>
      <w:r w:rsidR="00AC2E2F">
        <w:rPr>
          <w:rFonts w:hint="cs"/>
          <w:rtl/>
        </w:rPr>
        <w:t xml:space="preserve">                    </w:t>
      </w:r>
      <w:r w:rsidR="00162C56">
        <w:rPr>
          <w:rFonts w:hint="cs"/>
          <w:rtl/>
        </w:rPr>
        <w:t xml:space="preserve">                </w:t>
      </w:r>
      <w:r>
        <w:rPr>
          <w:rtl/>
        </w:rPr>
        <w:t>(9).</w:t>
      </w:r>
      <w:r w:rsidR="008A74EB" w:rsidRPr="00C9040A">
        <w:rPr>
          <w:rtl/>
        </w:rPr>
        <w:t xml:space="preserve"> في « </w:t>
      </w:r>
      <w:r w:rsidR="006D3162">
        <w:rPr>
          <w:rtl/>
        </w:rPr>
        <w:t xml:space="preserve">ه </w:t>
      </w:r>
      <w:r w:rsidR="008A74EB" w:rsidRPr="00C9040A">
        <w:rPr>
          <w:rtl/>
        </w:rPr>
        <w:t>» : + « الحذّاء »</w:t>
      </w:r>
      <w:r w:rsidR="008A74EB">
        <w:rPr>
          <w:rtl/>
        </w:rPr>
        <w:t>.</w:t>
      </w:r>
    </w:p>
    <w:tbl>
      <w:tblPr>
        <w:tblStyle w:val="TableGrid"/>
        <w:bidiVisual/>
        <w:tblW w:w="0" w:type="auto"/>
        <w:tblLook w:val="04A0" w:firstRow="1" w:lastRow="0" w:firstColumn="1" w:lastColumn="0" w:noHBand="0" w:noVBand="1"/>
      </w:tblPr>
      <w:tblGrid>
        <w:gridCol w:w="4006"/>
        <w:gridCol w:w="4006"/>
      </w:tblGrid>
      <w:tr w:rsidR="00162C56" w:rsidTr="00162C56">
        <w:tc>
          <w:tcPr>
            <w:tcW w:w="4006" w:type="dxa"/>
          </w:tcPr>
          <w:p w:rsidR="00162C56" w:rsidRDefault="00162C56" w:rsidP="004A4E41">
            <w:pPr>
              <w:pStyle w:val="libFootnote0"/>
              <w:rPr>
                <w:rtl/>
              </w:rPr>
            </w:pPr>
            <w:r>
              <w:rPr>
                <w:rtl/>
              </w:rPr>
              <w:t>(10).</w:t>
            </w:r>
            <w:r w:rsidRPr="00C9040A">
              <w:rPr>
                <w:rtl/>
              </w:rPr>
              <w:t xml:space="preserve"> في « ص » : « ولكنّ »</w:t>
            </w:r>
            <w:r>
              <w:rPr>
                <w:rtl/>
              </w:rPr>
              <w:t>.</w:t>
            </w:r>
          </w:p>
        </w:tc>
        <w:tc>
          <w:tcPr>
            <w:tcW w:w="4006" w:type="dxa"/>
          </w:tcPr>
          <w:p w:rsidR="00162C56" w:rsidRDefault="00162C56" w:rsidP="004A4E41">
            <w:pPr>
              <w:pStyle w:val="libFootnote0"/>
              <w:rPr>
                <w:rtl/>
              </w:rPr>
            </w:pPr>
            <w:r>
              <w:rPr>
                <w:rtl/>
              </w:rPr>
              <w:t>(11).</w:t>
            </w:r>
            <w:r w:rsidRPr="00C9040A">
              <w:rPr>
                <w:rtl/>
              </w:rPr>
              <w:t xml:space="preserve"> في « ج » : « ذكره »</w:t>
            </w:r>
            <w:r>
              <w:rPr>
                <w:rtl/>
              </w:rPr>
              <w:t>.</w:t>
            </w:r>
          </w:p>
        </w:tc>
      </w:tr>
    </w:tbl>
    <w:p w:rsidR="008A74EB" w:rsidRPr="00C9040A" w:rsidRDefault="006C577F" w:rsidP="004A4E41">
      <w:pPr>
        <w:pStyle w:val="libFootnote0"/>
        <w:rPr>
          <w:rtl/>
          <w:lang w:bidi="fa-IR"/>
        </w:rPr>
      </w:pPr>
      <w:r>
        <w:rPr>
          <w:rtl/>
        </w:rPr>
        <w:t>(12).</w:t>
      </w:r>
      <w:r w:rsidR="008A74EB" w:rsidRPr="00C9040A">
        <w:rPr>
          <w:rtl/>
        </w:rPr>
        <w:t xml:space="preserve"> في « ف » : + « الله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تَرَكَهَا »</w:t>
      </w:r>
      <w:r>
        <w:rPr>
          <w:rtl/>
          <w:lang w:bidi="fa-IR"/>
        </w:rPr>
        <w:t>.</w:t>
      </w:r>
      <w:r w:rsidRPr="00C9040A">
        <w:rPr>
          <w:rtl/>
          <w:lang w:bidi="fa-IR"/>
        </w:rPr>
        <w:t xml:space="preserve"> </w:t>
      </w:r>
      <w:r w:rsidR="006C577F" w:rsidRPr="006C577F">
        <w:rPr>
          <w:rStyle w:val="libFootnotenumChar"/>
          <w:rtl/>
        </w:rPr>
        <w:t>(1)</w:t>
      </w:r>
      <w:r w:rsidRPr="00C9040A">
        <w:rPr>
          <w:rtl/>
          <w:lang w:bidi="fa-IR"/>
        </w:rPr>
        <w:t>‌</w:t>
      </w:r>
    </w:p>
    <w:p w:rsidR="008A74EB" w:rsidRPr="00C9040A" w:rsidRDefault="008A74EB" w:rsidP="008A74EB">
      <w:pPr>
        <w:pStyle w:val="libNormal"/>
        <w:rPr>
          <w:rtl/>
          <w:lang w:bidi="fa-IR"/>
        </w:rPr>
      </w:pPr>
      <w:r w:rsidRPr="00A14A0A">
        <w:rPr>
          <w:rtl/>
        </w:rPr>
        <w:t>1655</w:t>
      </w:r>
      <w:r w:rsidRPr="00261CB0">
        <w:rPr>
          <w:rStyle w:val="libBold2Char"/>
          <w:rtl/>
        </w:rPr>
        <w:t xml:space="preserve"> / 5.</w:t>
      </w:r>
      <w:r w:rsidRPr="00C9040A">
        <w:rPr>
          <w:rtl/>
          <w:lang w:bidi="fa-IR"/>
        </w:rPr>
        <w:t xml:space="preserve"> ابْنُ أَبِي عُمَيْرٍ </w:t>
      </w:r>
      <w:r w:rsidR="006C577F" w:rsidRPr="006C577F">
        <w:rPr>
          <w:rStyle w:val="libFootnotenumChar"/>
          <w:rtl/>
        </w:rPr>
        <w:t>(2)</w:t>
      </w:r>
      <w:r w:rsidRPr="00C9040A">
        <w:rPr>
          <w:rtl/>
          <w:lang w:bidi="fa-IR"/>
        </w:rPr>
        <w:t xml:space="preserve"> ، عَنْ هِشَامِ بْنِ سَالِمٍ ، عَنْ سُلَيْمَانَ بْنِ خَالِدٍ ، قَالَ :</w:t>
      </w:r>
    </w:p>
    <w:p w:rsidR="008A74EB" w:rsidRPr="00C9040A" w:rsidRDefault="008A74EB" w:rsidP="008A74EB">
      <w:pPr>
        <w:pStyle w:val="libNormal"/>
        <w:rPr>
          <w:rtl/>
          <w:lang w:bidi="fa-IR"/>
        </w:rPr>
      </w:pPr>
      <w:r w:rsidRPr="00C9040A">
        <w:rPr>
          <w:rtl/>
          <w:lang w:bidi="fa-IR"/>
        </w:rPr>
        <w:t xml:space="preserve">سَأَلْتُ أَبَا عَبْدِ اللهِ </w:t>
      </w:r>
      <w:r w:rsidRPr="0003660B">
        <w:rPr>
          <w:rStyle w:val="libAlaemChar"/>
          <w:rtl/>
        </w:rPr>
        <w:t>عليه‌السلام</w:t>
      </w:r>
      <w:r w:rsidRPr="00C9040A">
        <w:rPr>
          <w:rtl/>
          <w:lang w:bidi="fa-IR"/>
        </w:rPr>
        <w:t xml:space="preserve"> عَنْ قَوْلِ اللهِ عَزَّ وَجَلَّ : </w:t>
      </w:r>
      <w:r w:rsidRPr="0003660B">
        <w:rPr>
          <w:rStyle w:val="libAlaemChar"/>
          <w:rtl/>
        </w:rPr>
        <w:t>(</w:t>
      </w:r>
      <w:r w:rsidRPr="006A2246">
        <w:rPr>
          <w:rStyle w:val="libAieChar"/>
          <w:rtl/>
        </w:rPr>
        <w:t xml:space="preserve"> وَقَدِمْنا إِلى ما عَمِلُوا مِنْ عَمَلٍ فَجَعَلْناهُ هَباءً مَنْثُوراً </w:t>
      </w:r>
      <w:r w:rsidRPr="0003660B">
        <w:rPr>
          <w:rStyle w:val="libAlaemChar"/>
          <w:rtl/>
        </w:rPr>
        <w:t>)</w:t>
      </w:r>
      <w:r w:rsidRPr="00C9040A">
        <w:rPr>
          <w:rtl/>
          <w:lang w:bidi="fa-IR"/>
        </w:rPr>
        <w:t xml:space="preserve"> </w:t>
      </w:r>
      <w:r w:rsidR="006C577F" w:rsidRPr="006C577F">
        <w:rPr>
          <w:rStyle w:val="libFootnotenumChar"/>
          <w:rtl/>
        </w:rPr>
        <w:t>(3)</w:t>
      </w:r>
      <w:r w:rsidRPr="00C9040A">
        <w:rPr>
          <w:rtl/>
          <w:lang w:bidi="fa-IR"/>
        </w:rPr>
        <w:t xml:space="preserve"> قَالَ </w:t>
      </w:r>
      <w:r w:rsidR="006C577F" w:rsidRPr="006C577F">
        <w:rPr>
          <w:rStyle w:val="libFootnotenumChar"/>
          <w:rtl/>
        </w:rPr>
        <w:t>(4)</w:t>
      </w:r>
      <w:r w:rsidRPr="00C9040A">
        <w:rPr>
          <w:rtl/>
          <w:lang w:bidi="fa-IR"/>
        </w:rPr>
        <w:t xml:space="preserve"> : « أَمَا وَاللهِ ، إِنْ كَانَتْ أَعْمَالُهُمْ أَشَدَّ بَيَاضاً مِنَ الْقَبَاطِيِّ </w:t>
      </w:r>
      <w:r w:rsidR="006C577F" w:rsidRPr="006C577F">
        <w:rPr>
          <w:rStyle w:val="libFootnotenumChar"/>
          <w:rtl/>
        </w:rPr>
        <w:t>(5)</w:t>
      </w:r>
      <w:r w:rsidRPr="00C9040A">
        <w:rPr>
          <w:rtl/>
          <w:lang w:bidi="fa-IR"/>
        </w:rPr>
        <w:t xml:space="preserve"> ، وَلكِنْ كَانُوا إِذَا عَرَضَ لَهُمُ الْحَرَامُ </w:t>
      </w:r>
      <w:r w:rsidR="006C577F" w:rsidRPr="006C577F">
        <w:rPr>
          <w:rStyle w:val="libFootnotenumChar"/>
          <w:rtl/>
        </w:rPr>
        <w:t>(6)</w:t>
      </w:r>
      <w:r w:rsidRPr="005B567D">
        <w:rPr>
          <w:rStyle w:val="libFootnotenumChar"/>
          <w:rtl/>
        </w:rPr>
        <w:t xml:space="preserve"> </w:t>
      </w:r>
      <w:r w:rsidRPr="00C9040A">
        <w:rPr>
          <w:rtl/>
          <w:lang w:bidi="fa-IR"/>
        </w:rPr>
        <w:t>لَمْ يَدَعُوهُ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A14A0A">
        <w:rPr>
          <w:rtl/>
        </w:rPr>
        <w:t>1656</w:t>
      </w:r>
      <w:r w:rsidRPr="00261CB0">
        <w:rPr>
          <w:rStyle w:val="libBold2Char"/>
          <w:rtl/>
        </w:rPr>
        <w:t xml:space="preserve"> / 6.</w:t>
      </w:r>
      <w:r w:rsidRPr="00C9040A">
        <w:rPr>
          <w:rtl/>
          <w:lang w:bidi="fa-IR"/>
        </w:rPr>
        <w:t xml:space="preserve"> عَلِيٌّ ، عَنْ أَبِيهِ ، عَنِ النَّوْفَلِيِّ ، عَنِ السَّكُونِيِّ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مَنْ تَرَكَ مَعْصِيَةً لِلّهِ </w:t>
      </w:r>
      <w:r w:rsidR="006C577F" w:rsidRPr="006C577F">
        <w:rPr>
          <w:rStyle w:val="libFootnotenumChar"/>
          <w:rtl/>
        </w:rPr>
        <w:t>(8)</w:t>
      </w:r>
      <w:r w:rsidRPr="00C9040A">
        <w:rPr>
          <w:rtl/>
          <w:lang w:bidi="fa-IR"/>
        </w:rPr>
        <w:t xml:space="preserve"> مَخَافَةَ اللهِ </w:t>
      </w:r>
      <w:r w:rsidR="006C577F" w:rsidRPr="006C577F">
        <w:rPr>
          <w:rStyle w:val="libFootnotenumChar"/>
          <w:rtl/>
        </w:rPr>
        <w:t>(9)</w:t>
      </w:r>
      <w:r>
        <w:rPr>
          <w:rtl/>
          <w:lang w:bidi="fa-IR"/>
        </w:rPr>
        <w:t xml:space="preserve"> </w:t>
      </w:r>
      <w:r w:rsidR="0084262C">
        <w:rPr>
          <w:rtl/>
          <w:lang w:bidi="fa-IR"/>
        </w:rPr>
        <w:t>-</w:t>
      </w:r>
      <w:r>
        <w:rPr>
          <w:rtl/>
          <w:lang w:bidi="fa-IR"/>
        </w:rPr>
        <w:t xml:space="preserve"> </w:t>
      </w:r>
      <w:r w:rsidRPr="00C9040A">
        <w:rPr>
          <w:rtl/>
          <w:lang w:bidi="fa-IR"/>
        </w:rPr>
        <w:t>تَبَارَكَ وَتَعَالى</w:t>
      </w:r>
      <w:r>
        <w:rPr>
          <w:rtl/>
          <w:lang w:bidi="fa-IR"/>
        </w:rPr>
        <w:t xml:space="preserve"> </w:t>
      </w:r>
      <w:r w:rsidR="0084262C">
        <w:rPr>
          <w:rtl/>
          <w:lang w:bidi="fa-IR"/>
        </w:rPr>
        <w:t>-</w:t>
      </w:r>
      <w:r>
        <w:rPr>
          <w:rtl/>
          <w:lang w:bidi="fa-IR"/>
        </w:rPr>
        <w:t xml:space="preserve"> </w:t>
      </w:r>
      <w:r w:rsidRPr="00C9040A">
        <w:rPr>
          <w:rtl/>
          <w:lang w:bidi="fa-IR"/>
        </w:rPr>
        <w:t xml:space="preserve">أَرْضَاهُ اللهُ </w:t>
      </w:r>
      <w:r w:rsidR="006C577F" w:rsidRPr="006C577F">
        <w:rPr>
          <w:rStyle w:val="libFootnotenumChar"/>
          <w:rtl/>
        </w:rPr>
        <w:t>(10)</w:t>
      </w:r>
      <w:r w:rsidRPr="00C9040A">
        <w:rPr>
          <w:rtl/>
          <w:lang w:bidi="fa-IR"/>
        </w:rPr>
        <w:t xml:space="preserve"> يَوْمَ الْقِيَامَةِ »</w:t>
      </w:r>
      <w:r>
        <w:rPr>
          <w:rtl/>
          <w:lang w:bidi="fa-IR"/>
        </w:rPr>
        <w:t>.</w:t>
      </w:r>
      <w:r w:rsidRPr="00C9040A">
        <w:rPr>
          <w:rtl/>
          <w:lang w:bidi="fa-IR"/>
        </w:rPr>
        <w:t xml:space="preserve"> </w:t>
      </w:r>
      <w:r w:rsidR="006C577F" w:rsidRPr="006C577F">
        <w:rPr>
          <w:rStyle w:val="libFootnotenumChar"/>
          <w:rtl/>
        </w:rPr>
        <w:t>(11)</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w:t>
      </w:r>
      <w:r w:rsidR="008A74EB" w:rsidRPr="00993B55">
        <w:rPr>
          <w:rStyle w:val="libFootnoteBoldChar"/>
          <w:rtl/>
        </w:rPr>
        <w:t>الكافي</w:t>
      </w:r>
      <w:r w:rsidR="008A74EB" w:rsidRPr="00C9040A">
        <w:rPr>
          <w:rtl/>
        </w:rPr>
        <w:t xml:space="preserve"> ، كتاب الإيمان والكفر ، باب الإنصاف والعدل ، ح 1954 </w:t>
      </w:r>
      <w:r w:rsidR="008A74EB">
        <w:rPr>
          <w:rtl/>
        </w:rPr>
        <w:t>و 1</w:t>
      </w:r>
      <w:r w:rsidR="008A74EB" w:rsidRPr="00C9040A">
        <w:rPr>
          <w:rtl/>
        </w:rPr>
        <w:t xml:space="preserve">955 ؛ </w:t>
      </w:r>
      <w:r w:rsidR="008A74EB" w:rsidRPr="00993B55">
        <w:rPr>
          <w:rStyle w:val="libFootnoteBoldChar"/>
          <w:rtl/>
        </w:rPr>
        <w:t>الخصال</w:t>
      </w:r>
      <w:r w:rsidR="008A74EB" w:rsidRPr="00C9040A">
        <w:rPr>
          <w:rtl/>
        </w:rPr>
        <w:t xml:space="preserve"> ، ص 128 ، باب الثلاثة ، ح 130 ؛ </w:t>
      </w:r>
      <w:r w:rsidR="008A74EB" w:rsidRPr="00993B55">
        <w:rPr>
          <w:rStyle w:val="libFootnoteBoldChar"/>
          <w:rtl/>
        </w:rPr>
        <w:t>معاني الأخبار</w:t>
      </w:r>
      <w:r w:rsidR="008A74EB" w:rsidRPr="00C9040A">
        <w:rPr>
          <w:rtl/>
        </w:rPr>
        <w:t xml:space="preserve"> ، ص 192 ، ح 1 ؛ </w:t>
      </w:r>
      <w:r w:rsidR="008A74EB" w:rsidRPr="0034021D">
        <w:rPr>
          <w:rStyle w:val="libFootnoteBoldChar"/>
          <w:rtl/>
        </w:rPr>
        <w:t>الأمالي للمفيد</w:t>
      </w:r>
      <w:r w:rsidR="008A74EB" w:rsidRPr="00C9040A">
        <w:rPr>
          <w:rtl/>
        </w:rPr>
        <w:t xml:space="preserve"> ، ص 88 ، المجلس 10 ، ح 4 ؛ </w:t>
      </w:r>
      <w:r w:rsidR="008A74EB" w:rsidRPr="00993B55">
        <w:rPr>
          <w:rStyle w:val="libFootnoteBoldChar"/>
          <w:rtl/>
        </w:rPr>
        <w:t>الأمالي</w:t>
      </w:r>
      <w:r w:rsidR="008A74EB" w:rsidRPr="00C9040A">
        <w:rPr>
          <w:rtl/>
        </w:rPr>
        <w:t xml:space="preserve"> للطوسي ، ص 665 ، المجلس 35 ، ح 37 ، وفي كلّها بسند آخر ، مع اختلاف وزيادة </w:t>
      </w:r>
      <w:r w:rsidR="00924C9F">
        <w:rPr>
          <w:rFonts w:hint="cs"/>
          <w:rtl/>
        </w:rPr>
        <w:t>.</w:t>
      </w:r>
      <w:r w:rsidR="008A74EB" w:rsidRPr="00993B55">
        <w:rPr>
          <w:rStyle w:val="libFootnoteBoldChar"/>
          <w:rtl/>
        </w:rPr>
        <w:t>الوافي</w:t>
      </w:r>
      <w:r w:rsidR="008A74EB" w:rsidRPr="00C9040A">
        <w:rPr>
          <w:rtl/>
        </w:rPr>
        <w:t xml:space="preserve"> ، ج 4 ، ص 322 ، ح 2021 ؛ </w:t>
      </w:r>
      <w:r w:rsidR="008A74EB" w:rsidRPr="00993B55">
        <w:rPr>
          <w:rStyle w:val="libFootnoteBoldChar"/>
          <w:rtl/>
        </w:rPr>
        <w:t>الوسائل</w:t>
      </w:r>
      <w:r w:rsidR="008A74EB" w:rsidRPr="00C9040A">
        <w:rPr>
          <w:rtl/>
        </w:rPr>
        <w:t xml:space="preserve"> ، ج 15 ، ص 252 ، ح 20428 ؛ </w:t>
      </w:r>
      <w:r w:rsidR="008A74EB" w:rsidRPr="00993B55">
        <w:rPr>
          <w:rStyle w:val="libFootnoteBoldChar"/>
          <w:rtl/>
        </w:rPr>
        <w:t>البحار</w:t>
      </w:r>
      <w:r w:rsidR="008A74EB" w:rsidRPr="00C9040A">
        <w:rPr>
          <w:rtl/>
        </w:rPr>
        <w:t xml:space="preserve"> ، ج 71 ، ص 204 ، ح 9.</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السند معلّق على سابقه. ويروى عن ابن أبي عمير ، عليّ [ بن إبراهيم ] عن أبيه.</w:t>
      </w:r>
    </w:p>
    <w:p w:rsidR="008A74EB" w:rsidRPr="00C9040A" w:rsidRDefault="006C577F" w:rsidP="004A4E41">
      <w:pPr>
        <w:pStyle w:val="libFootnote0"/>
        <w:rPr>
          <w:rtl/>
          <w:lang w:bidi="fa-IR"/>
        </w:rPr>
      </w:pPr>
      <w:r>
        <w:rPr>
          <w:rtl/>
        </w:rPr>
        <w:t>(3).</w:t>
      </w:r>
      <w:r w:rsidR="008A74EB" w:rsidRPr="00C9040A">
        <w:rPr>
          <w:rtl/>
        </w:rPr>
        <w:t xml:space="preserve"> الفرقان (25) : 23. وفي </w:t>
      </w:r>
      <w:r w:rsidR="008A74EB" w:rsidRPr="00993B55">
        <w:rPr>
          <w:rStyle w:val="libFootnoteBoldChar"/>
          <w:rtl/>
        </w:rPr>
        <w:t>مرآة العقول</w:t>
      </w:r>
      <w:r w:rsidR="008A74EB" w:rsidRPr="00C9040A">
        <w:rPr>
          <w:rtl/>
        </w:rPr>
        <w:t xml:space="preserve"> ، ج 8 ، ص 70 : « </w:t>
      </w:r>
      <w:r w:rsidR="008C7406" w:rsidRPr="004A4E41">
        <w:rPr>
          <w:rFonts w:hint="cs"/>
          <w:rtl/>
        </w:rPr>
        <w:t>(</w:t>
      </w:r>
      <w:r w:rsidR="008A74EB" w:rsidRPr="00C9040A">
        <w:rPr>
          <w:rtl/>
        </w:rPr>
        <w:t xml:space="preserve"> </w:t>
      </w:r>
      <w:r w:rsidR="008A74EB" w:rsidRPr="008C7406">
        <w:rPr>
          <w:rStyle w:val="libFootnoteAieChar"/>
          <w:rtl/>
        </w:rPr>
        <w:t xml:space="preserve">وَقَدِمْنَآ </w:t>
      </w:r>
      <w:r w:rsidR="008C7406" w:rsidRPr="004A4E41">
        <w:rPr>
          <w:rFonts w:hint="cs"/>
          <w:rtl/>
        </w:rPr>
        <w:t>)</w:t>
      </w:r>
      <w:r w:rsidR="008A74EB" w:rsidRPr="00C9040A">
        <w:rPr>
          <w:rtl/>
        </w:rPr>
        <w:t xml:space="preserve"> أي عمدنا وقصدنا </w:t>
      </w:r>
      <w:r w:rsidR="00B93D29" w:rsidRPr="004A4E41">
        <w:rPr>
          <w:rFonts w:hint="cs"/>
          <w:rtl/>
        </w:rPr>
        <w:t>(</w:t>
      </w:r>
      <w:r w:rsidR="008A74EB" w:rsidRPr="00C9040A">
        <w:rPr>
          <w:rtl/>
        </w:rPr>
        <w:t xml:space="preserve"> </w:t>
      </w:r>
      <w:r w:rsidR="008A74EB" w:rsidRPr="00B93D29">
        <w:rPr>
          <w:rStyle w:val="libFootnoteAieChar"/>
          <w:rtl/>
        </w:rPr>
        <w:t>إِلَى مَا عَمِلُوا مِنْ عَمَلٍ</w:t>
      </w:r>
      <w:r w:rsidR="008A74EB" w:rsidRPr="00C9040A">
        <w:rPr>
          <w:rtl/>
        </w:rPr>
        <w:t xml:space="preserve"> </w:t>
      </w:r>
      <w:r w:rsidR="00B93D29" w:rsidRPr="004A4E41">
        <w:rPr>
          <w:rFonts w:hint="cs"/>
          <w:rtl/>
        </w:rPr>
        <w:t>)</w:t>
      </w:r>
      <w:r w:rsidR="008A74EB" w:rsidRPr="00C9040A">
        <w:rPr>
          <w:rtl/>
        </w:rPr>
        <w:t xml:space="preserve"> كقرى الضيف وصلة الرحم وإغاثة الملهوف وغيرها. </w:t>
      </w:r>
      <w:r w:rsidR="008C7406" w:rsidRPr="004A4E41">
        <w:rPr>
          <w:rFonts w:hint="cs"/>
          <w:rtl/>
        </w:rPr>
        <w:t>(</w:t>
      </w:r>
      <w:r w:rsidR="008A74EB" w:rsidRPr="00C9040A">
        <w:rPr>
          <w:rtl/>
        </w:rPr>
        <w:t xml:space="preserve"> </w:t>
      </w:r>
      <w:r w:rsidR="008A74EB" w:rsidRPr="00B93D29">
        <w:rPr>
          <w:rStyle w:val="libFootnoteAieChar"/>
          <w:rtl/>
        </w:rPr>
        <w:t>فَجَعَلْن</w:t>
      </w:r>
      <w:r w:rsidR="00970E5B">
        <w:rPr>
          <w:rStyle w:val="libFootnoteAieChar"/>
          <w:rFonts w:hint="cs"/>
          <w:rtl/>
        </w:rPr>
        <w:t>َا</w:t>
      </w:r>
      <w:r w:rsidR="008A74EB" w:rsidRPr="00B93D29">
        <w:rPr>
          <w:rStyle w:val="libFootnoteAieChar"/>
          <w:rtl/>
        </w:rPr>
        <w:t>هُ هَبَآءً مَّنثُورًا</w:t>
      </w:r>
      <w:r w:rsidR="008A74EB" w:rsidRPr="00C9040A">
        <w:rPr>
          <w:rtl/>
        </w:rPr>
        <w:t xml:space="preserve"> </w:t>
      </w:r>
      <w:r w:rsidR="008C7406" w:rsidRPr="004A4E41">
        <w:rPr>
          <w:rFonts w:hint="cs"/>
          <w:rtl/>
        </w:rPr>
        <w:t>)</w:t>
      </w:r>
      <w:r w:rsidR="008A74EB" w:rsidRPr="00C9040A">
        <w:rPr>
          <w:rtl/>
        </w:rPr>
        <w:t xml:space="preserve"> فلم يبق له أثر. والهباء غبار في شعاع الشمس الطالع من الكوّة من الهبوة ، وهو الغبار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ض ، </w:t>
      </w:r>
      <w:r w:rsidR="006D3162">
        <w:rPr>
          <w:rtl/>
        </w:rPr>
        <w:t xml:space="preserve">ه </w:t>
      </w:r>
      <w:r w:rsidR="008A74EB" w:rsidRPr="00C9040A">
        <w:rPr>
          <w:rtl/>
        </w:rPr>
        <w:t>» : « فقال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 القباطي » : ثياب بيض من كِتّان يتّخذ بمصر. </w:t>
      </w:r>
      <w:r w:rsidR="008A74EB" w:rsidRPr="00993B55">
        <w:rPr>
          <w:rStyle w:val="libFootnoteBoldChar"/>
          <w:rtl/>
        </w:rPr>
        <w:t>ترتيب كتاب العين</w:t>
      </w:r>
      <w:r w:rsidR="008A74EB" w:rsidRPr="00C9040A">
        <w:rPr>
          <w:rtl/>
        </w:rPr>
        <w:t xml:space="preserve"> ، ج 3 ، ص 1434 ( قبط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ج ، ص ، ف » : « حرام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الكافي</w:t>
      </w:r>
      <w:r w:rsidR="008A74EB" w:rsidRPr="00C9040A">
        <w:rPr>
          <w:rtl/>
        </w:rPr>
        <w:t xml:space="preserve"> ، كتاب المعيشة ، باب المكاسب الحرام ، ح 8586 ، بسند آخر ، مع اختلاف يسير. </w:t>
      </w:r>
      <w:r w:rsidR="008A74EB" w:rsidRPr="00993B55">
        <w:rPr>
          <w:rStyle w:val="libFootnoteBoldChar"/>
          <w:rtl/>
        </w:rPr>
        <w:t>تفسير القمّي</w:t>
      </w:r>
      <w:r w:rsidR="008A74EB" w:rsidRPr="00C9040A">
        <w:rPr>
          <w:rtl/>
        </w:rPr>
        <w:t xml:space="preserve"> ، ج 2 ، ص 112 ، بسند آخر عن أبي جعفر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فقه الرضا</w:t>
      </w:r>
      <w:r w:rsidR="008A74EB" w:rsidRPr="00C9040A">
        <w:rPr>
          <w:rtl/>
        </w:rPr>
        <w:t xml:space="preserve"> </w:t>
      </w:r>
      <w:r w:rsidR="00117575" w:rsidRPr="00117575">
        <w:rPr>
          <w:rStyle w:val="libFootnoteAlaemChar"/>
          <w:rtl/>
        </w:rPr>
        <w:t>عليه‌السلام</w:t>
      </w:r>
      <w:r w:rsidR="008A74EB" w:rsidRPr="00C9040A">
        <w:rPr>
          <w:rtl/>
        </w:rPr>
        <w:t xml:space="preserve"> ، ص 256 ، وفيهما مع اختلاف وزيادة </w:t>
      </w:r>
      <w:r w:rsidR="00970E5B">
        <w:rPr>
          <w:rFonts w:hint="cs"/>
          <w:rtl/>
        </w:rPr>
        <w:t>.</w:t>
      </w:r>
      <w:r w:rsidR="008A74EB" w:rsidRPr="00993B55">
        <w:rPr>
          <w:rStyle w:val="libFootnoteBoldChar"/>
          <w:rtl/>
        </w:rPr>
        <w:t>الوافي</w:t>
      </w:r>
      <w:r w:rsidR="008A74EB" w:rsidRPr="00C9040A">
        <w:rPr>
          <w:rtl/>
        </w:rPr>
        <w:t xml:space="preserve"> ، ج 4 ، ص 322 ، ح 2022 ؛ </w:t>
      </w:r>
      <w:r w:rsidR="008A74EB" w:rsidRPr="00993B55">
        <w:rPr>
          <w:rStyle w:val="libFootnoteBoldChar"/>
          <w:rtl/>
        </w:rPr>
        <w:t>الوسائل</w:t>
      </w:r>
      <w:r w:rsidR="008A74EB" w:rsidRPr="00C9040A">
        <w:rPr>
          <w:rtl/>
        </w:rPr>
        <w:t xml:space="preserve"> ، ج 15 ، ص 252 ، ح 20429 ؛ </w:t>
      </w:r>
      <w:r w:rsidR="008A74EB" w:rsidRPr="00993B55">
        <w:rPr>
          <w:rStyle w:val="libFootnoteBoldChar"/>
          <w:rtl/>
        </w:rPr>
        <w:t>البحار</w:t>
      </w:r>
      <w:r w:rsidR="008A74EB" w:rsidRPr="00C9040A">
        <w:rPr>
          <w:rtl/>
        </w:rPr>
        <w:t xml:space="preserve"> ، ج 71 ، ص 196 ، ح 6.</w:t>
      </w:r>
    </w:p>
    <w:p w:rsidR="008A74EB" w:rsidRPr="004A4E41" w:rsidRDefault="006C577F" w:rsidP="004A4E41">
      <w:pPr>
        <w:pStyle w:val="libFootnote0"/>
        <w:rPr>
          <w:rStyle w:val="libFootnote0Char"/>
          <w:rtl/>
        </w:rPr>
      </w:pPr>
      <w:r>
        <w:rPr>
          <w:rtl/>
        </w:rPr>
        <w:t>(8).</w:t>
      </w:r>
      <w:r w:rsidR="008A74EB" w:rsidRPr="00C9040A">
        <w:rPr>
          <w:rtl/>
        </w:rPr>
        <w:t xml:space="preserve"> في « ز » والبحار : « الله »</w:t>
      </w:r>
      <w:r w:rsidR="008A74EB">
        <w:rPr>
          <w:rtl/>
        </w:rPr>
        <w:t>.</w:t>
      </w:r>
      <w:r w:rsidR="008A74EB" w:rsidRPr="00C9040A">
        <w:rPr>
          <w:rtl/>
        </w:rPr>
        <w:t xml:space="preserve"> وفي الاختصاص </w:t>
      </w:r>
      <w:r w:rsidR="008A74EB">
        <w:rPr>
          <w:rtl/>
        </w:rPr>
        <w:t xml:space="preserve">: </w:t>
      </w:r>
      <w:r w:rsidR="0084262C">
        <w:rPr>
          <w:rtl/>
        </w:rPr>
        <w:t>-</w:t>
      </w:r>
      <w:r w:rsidR="008A74EB" w:rsidRPr="00C9040A">
        <w:rPr>
          <w:rtl/>
        </w:rPr>
        <w:t xml:space="preserve"> « لله »</w:t>
      </w:r>
      <w:r w:rsidR="008A74EB">
        <w:rPr>
          <w:rtl/>
        </w:rPr>
        <w:t>.</w:t>
      </w:r>
    </w:p>
    <w:tbl>
      <w:tblPr>
        <w:tblStyle w:val="TableGrid"/>
        <w:bidiVisual/>
        <w:tblW w:w="0" w:type="auto"/>
        <w:tblLook w:val="04A0" w:firstRow="1" w:lastRow="0" w:firstColumn="1" w:lastColumn="0" w:noHBand="0" w:noVBand="1"/>
      </w:tblPr>
      <w:tblGrid>
        <w:gridCol w:w="4006"/>
        <w:gridCol w:w="4006"/>
      </w:tblGrid>
      <w:tr w:rsidR="00970E5B" w:rsidTr="00970E5B">
        <w:tc>
          <w:tcPr>
            <w:tcW w:w="4006" w:type="dxa"/>
          </w:tcPr>
          <w:p w:rsidR="00970E5B" w:rsidRDefault="00970E5B" w:rsidP="004A4E41">
            <w:pPr>
              <w:pStyle w:val="libFootnote0"/>
              <w:rPr>
                <w:rtl/>
              </w:rPr>
            </w:pPr>
            <w:r>
              <w:rPr>
                <w:rtl/>
              </w:rPr>
              <w:t>(9).</w:t>
            </w:r>
            <w:r w:rsidRPr="00C9040A">
              <w:rPr>
                <w:rtl/>
              </w:rPr>
              <w:t xml:space="preserve"> في « ف » : « لله »</w:t>
            </w:r>
            <w:r>
              <w:rPr>
                <w:rtl/>
              </w:rPr>
              <w:t>.</w:t>
            </w:r>
          </w:p>
        </w:tc>
        <w:tc>
          <w:tcPr>
            <w:tcW w:w="4006" w:type="dxa"/>
          </w:tcPr>
          <w:p w:rsidR="00970E5B" w:rsidRDefault="00970E5B" w:rsidP="004A4E41">
            <w:pPr>
              <w:pStyle w:val="libFootnote0"/>
              <w:rPr>
                <w:rtl/>
              </w:rPr>
            </w:pPr>
            <w:r>
              <w:rPr>
                <w:rtl/>
              </w:rPr>
              <w:t>(10).</w:t>
            </w:r>
            <w:r w:rsidRPr="00C9040A">
              <w:rPr>
                <w:rtl/>
              </w:rPr>
              <w:t xml:space="preserve"> وفي الوسائل </w:t>
            </w:r>
            <w:r>
              <w:rPr>
                <w:rtl/>
              </w:rPr>
              <w:t>: -</w:t>
            </w:r>
            <w:r w:rsidRPr="00C9040A">
              <w:rPr>
                <w:rtl/>
              </w:rPr>
              <w:t xml:space="preserve"> « الله »</w:t>
            </w:r>
            <w:r>
              <w:rPr>
                <w:rtl/>
              </w:rPr>
              <w:t>.</w:t>
            </w:r>
          </w:p>
        </w:tc>
      </w:tr>
    </w:tbl>
    <w:p w:rsidR="008A74EB" w:rsidRPr="00C9040A" w:rsidRDefault="006C577F" w:rsidP="004A4E41">
      <w:pPr>
        <w:pStyle w:val="libFootnote0"/>
        <w:rPr>
          <w:rtl/>
          <w:lang w:bidi="fa-IR"/>
        </w:rPr>
      </w:pPr>
      <w:r>
        <w:rPr>
          <w:rtl/>
        </w:rPr>
        <w:t>(11).</w:t>
      </w:r>
      <w:r w:rsidR="008A74EB" w:rsidRPr="00C9040A">
        <w:rPr>
          <w:rtl/>
        </w:rPr>
        <w:t xml:space="preserve"> </w:t>
      </w:r>
      <w:r w:rsidR="008A74EB" w:rsidRPr="00993B55">
        <w:rPr>
          <w:rStyle w:val="libFootnoteBoldChar"/>
          <w:rtl/>
        </w:rPr>
        <w:t>صحيفة الرضا</w:t>
      </w:r>
      <w:r w:rsidR="008A74EB" w:rsidRPr="00C9040A">
        <w:rPr>
          <w:rtl/>
        </w:rPr>
        <w:t xml:space="preserve"> </w:t>
      </w:r>
      <w:r w:rsidR="00117575" w:rsidRPr="00117575">
        <w:rPr>
          <w:rStyle w:val="libFootnoteAlaemChar"/>
          <w:rtl/>
        </w:rPr>
        <w:t>عليه‌السلام</w:t>
      </w:r>
      <w:r w:rsidR="008A74EB" w:rsidRPr="00C9040A">
        <w:rPr>
          <w:rtl/>
        </w:rPr>
        <w:t xml:space="preserve"> ، ص 90 ، ح 18 ، بسند آخر عن الرضا ، عن آبائه </w:t>
      </w:r>
      <w:r w:rsidR="00117575" w:rsidRPr="00117575">
        <w:rPr>
          <w:rStyle w:val="libFootnoteAlaemChar"/>
          <w:rtl/>
        </w:rPr>
        <w:t>عليهم‌السلام</w:t>
      </w:r>
      <w:r w:rsidR="008A74EB" w:rsidRPr="00C9040A">
        <w:rPr>
          <w:rtl/>
        </w:rPr>
        <w:t xml:space="preserve"> عن رسول الله </w:t>
      </w:r>
      <w:r w:rsidR="004A4E41" w:rsidRPr="00AC2E2F">
        <w:rPr>
          <w:rStyle w:val="libFootnoteAlaemChar"/>
          <w:rtl/>
        </w:rPr>
        <w:t>صلى‌الله‌عليه‌وآله</w:t>
      </w:r>
      <w:r w:rsidR="008A74EB" w:rsidRPr="00C9040A">
        <w:rPr>
          <w:rtl/>
        </w:rPr>
        <w:t xml:space="preserve">. </w:t>
      </w:r>
      <w:r w:rsidR="008A74EB" w:rsidRPr="00993B55">
        <w:rPr>
          <w:rStyle w:val="libFootnoteBoldChar"/>
          <w:rtl/>
        </w:rPr>
        <w:t>الاختصاص</w:t>
      </w:r>
      <w:r w:rsidR="008A74EB" w:rsidRPr="00C9040A">
        <w:rPr>
          <w:rtl/>
        </w:rPr>
        <w:t xml:space="preserve"> ، </w:t>
      </w:r>
      <w:r w:rsidR="00970E5B">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Heading2Center"/>
        <w:rPr>
          <w:rtl/>
          <w:lang w:bidi="fa-IR"/>
        </w:rPr>
      </w:pPr>
      <w:bookmarkStart w:id="130" w:name="_Toc343795631"/>
      <w:bookmarkStart w:id="131" w:name="_Toc459810755"/>
      <w:bookmarkStart w:id="132" w:name="_Toc35348661"/>
      <w:r w:rsidRPr="00C9040A">
        <w:rPr>
          <w:rtl/>
          <w:lang w:bidi="fa-IR"/>
        </w:rPr>
        <w:t>40</w:t>
      </w:r>
      <w:r>
        <w:rPr>
          <w:rtl/>
          <w:lang w:bidi="fa-IR"/>
        </w:rPr>
        <w:t xml:space="preserve"> </w:t>
      </w:r>
      <w:r w:rsidR="0084262C">
        <w:rPr>
          <w:rtl/>
          <w:lang w:bidi="fa-IR"/>
        </w:rPr>
        <w:t>-</w:t>
      </w:r>
      <w:r>
        <w:rPr>
          <w:rtl/>
          <w:lang w:bidi="fa-IR"/>
        </w:rPr>
        <w:t xml:space="preserve"> </w:t>
      </w:r>
      <w:r w:rsidRPr="00C9040A">
        <w:rPr>
          <w:rtl/>
          <w:lang w:bidi="fa-IR"/>
        </w:rPr>
        <w:t>بَابُ أَدَاءِ الْفَرَائِضِ‌</w:t>
      </w:r>
      <w:bookmarkEnd w:id="130"/>
      <w:bookmarkEnd w:id="131"/>
      <w:bookmarkEnd w:id="132"/>
    </w:p>
    <w:p w:rsidR="00970E5B" w:rsidRDefault="008A74EB" w:rsidP="00970E5B">
      <w:pPr>
        <w:pStyle w:val="libNormal"/>
        <w:rPr>
          <w:rtl/>
          <w:lang w:bidi="fa-IR"/>
        </w:rPr>
      </w:pPr>
      <w:r w:rsidRPr="00A14A0A">
        <w:rPr>
          <w:rtl/>
        </w:rPr>
        <w:t>1657</w:t>
      </w:r>
      <w:r w:rsidRPr="00261CB0">
        <w:rPr>
          <w:rStyle w:val="libBold2Char"/>
          <w:rtl/>
        </w:rPr>
        <w:t xml:space="preserve"> / 1.</w:t>
      </w:r>
      <w:r w:rsidRPr="00C9040A">
        <w:rPr>
          <w:rtl/>
          <w:lang w:bidi="fa-IR"/>
        </w:rPr>
        <w:t xml:space="preserve"> عِدَّةٌ مِنْ أَصْحَابِنَا ، عَنْ سَهْلِ بْنِ زِيَادٍ ؛</w:t>
      </w:r>
    </w:p>
    <w:p w:rsidR="008A74EB" w:rsidRPr="00C9040A" w:rsidRDefault="00970E5B" w:rsidP="00970E5B">
      <w:pPr>
        <w:pStyle w:val="libNormal"/>
        <w:rPr>
          <w:rtl/>
          <w:lang w:bidi="fa-IR"/>
        </w:rPr>
      </w:pPr>
      <w:r>
        <w:rPr>
          <w:rFonts w:hint="cs"/>
          <w:rtl/>
          <w:lang w:bidi="fa-IR"/>
        </w:rPr>
        <w:t xml:space="preserve">             </w:t>
      </w:r>
      <w:r w:rsidR="008A74EB" w:rsidRPr="00C9040A">
        <w:rPr>
          <w:rtl/>
          <w:lang w:bidi="fa-IR"/>
        </w:rPr>
        <w:t>وَعَلِيُّ بْنُ إِبْرَاهِيمَ ، عَنْ أَبِيهِ جَمِيعاً ، عَنِ ابْنِ مَحْبُوبٍ ، عَنْ أَبِي</w:t>
      </w:r>
      <w:r>
        <w:rPr>
          <w:rtl/>
          <w:lang w:bidi="fa-IR"/>
        </w:rPr>
        <w:t xml:space="preserve"> حَمْزَةَ الثُّمَالِيِّ ، قَالَ</w:t>
      </w:r>
      <w:r w:rsidR="008A74EB" w:rsidRPr="00C9040A">
        <w:rPr>
          <w:rtl/>
          <w:lang w:bidi="fa-IR"/>
        </w:rPr>
        <w:t>:</w:t>
      </w:r>
    </w:p>
    <w:p w:rsidR="008A74EB" w:rsidRPr="00C9040A" w:rsidRDefault="008A74EB" w:rsidP="008A74EB">
      <w:pPr>
        <w:pStyle w:val="libNormal"/>
        <w:rPr>
          <w:rtl/>
          <w:lang w:bidi="fa-IR"/>
        </w:rPr>
      </w:pPr>
      <w:r w:rsidRPr="00C9040A">
        <w:rPr>
          <w:rtl/>
          <w:lang w:bidi="fa-IR"/>
        </w:rPr>
        <w:t xml:space="preserve">قَالَ عَلِيُّ بْنُ الْحُسَيْنِ صَلَوَاتُ اللهِ عَلَيْهِمَا : « مَنْ عَمِلَ بِمَا افْتَرَضَ اللهُ </w:t>
      </w:r>
      <w:r w:rsidR="006C577F" w:rsidRPr="006C577F">
        <w:rPr>
          <w:rStyle w:val="libFootnotenumChar"/>
          <w:rtl/>
        </w:rPr>
        <w:t>(1)</w:t>
      </w:r>
      <w:r w:rsidRPr="002712F0">
        <w:rPr>
          <w:rFonts w:hint="cs"/>
          <w:rtl/>
        </w:rPr>
        <w:t xml:space="preserve"> </w:t>
      </w:r>
      <w:r w:rsidRPr="00C9040A">
        <w:rPr>
          <w:rtl/>
          <w:lang w:bidi="fa-IR"/>
        </w:rPr>
        <w:t xml:space="preserve">عَلَيْهِ ، فَهُوَ مِنْ خَيْرِ </w:t>
      </w:r>
      <w:r w:rsidR="006C577F" w:rsidRPr="006C577F">
        <w:rPr>
          <w:rStyle w:val="libFootnotenumChar"/>
          <w:rtl/>
        </w:rPr>
        <w:t>(2)</w:t>
      </w:r>
      <w:r w:rsidRPr="00C9040A">
        <w:rPr>
          <w:rtl/>
          <w:lang w:bidi="fa-IR"/>
        </w:rPr>
        <w:t xml:space="preserve"> النَّاسِ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A14A0A">
        <w:rPr>
          <w:rtl/>
        </w:rPr>
        <w:t>1658</w:t>
      </w:r>
      <w:r w:rsidRPr="00261CB0">
        <w:rPr>
          <w:rStyle w:val="libBold2Char"/>
          <w:rtl/>
        </w:rPr>
        <w:t xml:space="preserve"> / 2.</w:t>
      </w:r>
      <w:r w:rsidRPr="00C9040A">
        <w:rPr>
          <w:rtl/>
          <w:lang w:bidi="fa-IR"/>
        </w:rPr>
        <w:t xml:space="preserve"> عَلِيُّ بْنُ إِبْرَاهِيمَ </w:t>
      </w:r>
      <w:r w:rsidR="006C577F" w:rsidRPr="006C577F">
        <w:rPr>
          <w:rStyle w:val="libFootnotenumChar"/>
          <w:rtl/>
        </w:rPr>
        <w:t>(4)</w:t>
      </w:r>
      <w:r w:rsidRPr="00C9040A">
        <w:rPr>
          <w:rtl/>
          <w:lang w:bidi="fa-IR"/>
        </w:rPr>
        <w:t xml:space="preserve"> ، عَنْ أَبِيهِ ، عَنْ حَمَّادِ بْنِ عِيسى ، عَنِ الْحُسَيْنِ بْنِ الْمُخْتَارِ ، عَنْ عَبْدِ اللهِ بْنِ أَبِي يَعْفُورٍ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فِي قَوْلِ اللهِ عَزَّ وَجَلَّ : </w:t>
      </w:r>
      <w:r w:rsidRPr="0003660B">
        <w:rPr>
          <w:rStyle w:val="libAlaemChar"/>
          <w:rtl/>
        </w:rPr>
        <w:t>(</w:t>
      </w:r>
      <w:r w:rsidRPr="006A2246">
        <w:rPr>
          <w:rStyle w:val="libAieChar"/>
          <w:rtl/>
        </w:rPr>
        <w:t xml:space="preserve"> اصْبِرُوا وَصابِرُوا وَرابِطُوا </w:t>
      </w:r>
      <w:r w:rsidRPr="0003660B">
        <w:rPr>
          <w:rStyle w:val="libAlaemChar"/>
          <w:rtl/>
        </w:rPr>
        <w:t>)</w:t>
      </w:r>
      <w:r w:rsidRPr="00C9040A">
        <w:rPr>
          <w:rtl/>
          <w:lang w:bidi="fa-IR"/>
        </w:rPr>
        <w:t xml:space="preserve"> </w:t>
      </w:r>
      <w:r w:rsidR="006C577F" w:rsidRPr="006C577F">
        <w:rPr>
          <w:rStyle w:val="libFootnotenumChar"/>
          <w:rtl/>
        </w:rPr>
        <w:t>(5)</w:t>
      </w:r>
      <w:r w:rsidRPr="00C9040A">
        <w:rPr>
          <w:rtl/>
          <w:lang w:bidi="fa-IR"/>
        </w:rPr>
        <w:t xml:space="preserve"> قَالَ :</w:t>
      </w:r>
      <w:r>
        <w:rPr>
          <w:rFonts w:hint="cs"/>
          <w:rtl/>
          <w:lang w:bidi="fa-IR"/>
        </w:rPr>
        <w:t xml:space="preserve"> </w:t>
      </w:r>
      <w:r w:rsidRPr="00C9040A">
        <w:rPr>
          <w:rtl/>
          <w:lang w:bidi="fa-IR"/>
        </w:rPr>
        <w:t>« اصْبِرُوا عَلَى الْفَرَائِضِ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Normal"/>
        <w:rPr>
          <w:rtl/>
          <w:lang w:bidi="fa-IR"/>
        </w:rPr>
      </w:pPr>
      <w:r w:rsidRPr="00A14A0A">
        <w:rPr>
          <w:rtl/>
        </w:rPr>
        <w:t>1659</w:t>
      </w:r>
      <w:r w:rsidRPr="00261CB0">
        <w:rPr>
          <w:rStyle w:val="libBold2Char"/>
          <w:rtl/>
        </w:rPr>
        <w:t xml:space="preserve"> / 3.</w:t>
      </w:r>
      <w:r w:rsidRPr="00C9040A">
        <w:rPr>
          <w:rtl/>
          <w:lang w:bidi="fa-IR"/>
        </w:rPr>
        <w:t xml:space="preserve"> عِدَّةٌ مِنْ أَصْحَابِنَا ، عَنْ سَهْلِ بْنِ زِيَادٍ ، عَنْ عَبْدِ الرَّحْمنِ بْنِ أَبِي نَجْرَانَ ، عَنْ حَمَّادِ بْنِ عِيسى ، عَنْ أَبِي السَّفَاتِجِ :</w:t>
      </w:r>
    </w:p>
    <w:p w:rsidR="008A74EB" w:rsidRPr="00C9040A" w:rsidRDefault="008A74EB" w:rsidP="008A74EB">
      <w:pPr>
        <w:pStyle w:val="libLine"/>
        <w:rPr>
          <w:rtl/>
          <w:lang w:bidi="fa-IR"/>
        </w:rPr>
      </w:pPr>
      <w:r w:rsidRPr="00C9040A">
        <w:rPr>
          <w:rtl/>
          <w:lang w:bidi="fa-IR"/>
        </w:rPr>
        <w:t>__________________</w:t>
      </w:r>
    </w:p>
    <w:p w:rsidR="008A74EB" w:rsidRPr="00C9040A" w:rsidRDefault="00970E5B" w:rsidP="004A4E41">
      <w:pPr>
        <w:pStyle w:val="libFootnote0"/>
        <w:rPr>
          <w:rtl/>
          <w:lang w:bidi="fa-IR"/>
        </w:rPr>
      </w:pPr>
      <w:r>
        <w:rPr>
          <w:rFonts w:hint="cs"/>
          <w:rtl/>
        </w:rPr>
        <w:t xml:space="preserve">= </w:t>
      </w:r>
      <w:r w:rsidR="008A74EB" w:rsidRPr="00C9040A">
        <w:rPr>
          <w:rtl/>
        </w:rPr>
        <w:t xml:space="preserve">ص 249 ، مرسلاً عن رسول الله </w:t>
      </w:r>
      <w:r w:rsidR="004A4E41" w:rsidRPr="00AC2E2F">
        <w:rPr>
          <w:rStyle w:val="libFootnoteAlaemChar"/>
          <w:rtl/>
        </w:rPr>
        <w:t>صلى‌الله‌عليه‌وآله</w:t>
      </w:r>
      <w:r w:rsidR="008A74EB" w:rsidRPr="00C9040A">
        <w:rPr>
          <w:rtl/>
        </w:rPr>
        <w:t xml:space="preserve"> ، وفيهما مع اختلاف يسير </w:t>
      </w:r>
      <w:r>
        <w:rPr>
          <w:rFonts w:hint="cs"/>
          <w:rtl/>
        </w:rPr>
        <w:t>.</w:t>
      </w:r>
      <w:r w:rsidR="008A74EB" w:rsidRPr="00993B55">
        <w:rPr>
          <w:rStyle w:val="libFootnoteBoldChar"/>
          <w:rtl/>
        </w:rPr>
        <w:t>الوافي</w:t>
      </w:r>
      <w:r w:rsidR="008A74EB" w:rsidRPr="00C9040A">
        <w:rPr>
          <w:rtl/>
        </w:rPr>
        <w:t xml:space="preserve"> ، ج 4 ، ص 323 ، ح 2023 ؛ </w:t>
      </w:r>
      <w:r w:rsidR="008A74EB" w:rsidRPr="00993B55">
        <w:rPr>
          <w:rStyle w:val="libFootnoteBoldChar"/>
          <w:rtl/>
        </w:rPr>
        <w:t>الوسائل</w:t>
      </w:r>
      <w:r w:rsidR="008A74EB" w:rsidRPr="00C9040A">
        <w:rPr>
          <w:rtl/>
        </w:rPr>
        <w:t xml:space="preserve"> ، ج 15 ، ص 253 ، ح 20430 ؛ </w:t>
      </w:r>
      <w:r w:rsidR="008A74EB" w:rsidRPr="00993B55">
        <w:rPr>
          <w:rStyle w:val="libFootnoteBoldChar"/>
          <w:rtl/>
        </w:rPr>
        <w:t>البحار</w:t>
      </w:r>
      <w:r w:rsidR="008A74EB" w:rsidRPr="00C9040A">
        <w:rPr>
          <w:rtl/>
        </w:rPr>
        <w:t xml:space="preserve"> ، ج 71 ، ص 205 ، ح 10.</w:t>
      </w:r>
    </w:p>
    <w:p w:rsidR="008A74EB" w:rsidRPr="00C9040A" w:rsidRDefault="006C577F" w:rsidP="004A4E41">
      <w:pPr>
        <w:pStyle w:val="libFootnote0"/>
        <w:rPr>
          <w:rtl/>
          <w:lang w:bidi="fa-IR"/>
        </w:rPr>
      </w:pPr>
      <w:r>
        <w:rPr>
          <w:rtl/>
        </w:rPr>
        <w:t>(1).</w:t>
      </w:r>
      <w:r w:rsidR="008A74EB" w:rsidRPr="00C9040A">
        <w:rPr>
          <w:rtl/>
        </w:rPr>
        <w:t xml:space="preserve"> في « ز » </w:t>
      </w:r>
      <w:r w:rsidR="008A74EB">
        <w:rPr>
          <w:rtl/>
        </w:rPr>
        <w:t xml:space="preserve">: </w:t>
      </w:r>
      <w:r w:rsidR="0084262C">
        <w:rPr>
          <w:rtl/>
        </w:rPr>
        <w:t>-</w:t>
      </w:r>
      <w:r w:rsidR="008A74EB" w:rsidRPr="00C9040A">
        <w:rPr>
          <w:rtl/>
        </w:rPr>
        <w:t xml:space="preserve"> « الله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w:t>
      </w:r>
      <w:r w:rsidR="008A74EB" w:rsidRPr="00993B55">
        <w:rPr>
          <w:rStyle w:val="libFootnoteBoldChar"/>
          <w:rtl/>
        </w:rPr>
        <w:t>الكافي</w:t>
      </w:r>
      <w:r w:rsidR="008A74EB" w:rsidRPr="00C9040A">
        <w:rPr>
          <w:rtl/>
        </w:rPr>
        <w:t xml:space="preserve"> ، ح 1674 : « أعبد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w:t>
      </w:r>
      <w:r w:rsidR="008A74EB" w:rsidRPr="00993B55">
        <w:rPr>
          <w:rStyle w:val="libFootnoteBoldChar"/>
          <w:rtl/>
        </w:rPr>
        <w:t>الزهد</w:t>
      </w:r>
      <w:r w:rsidR="008A74EB" w:rsidRPr="00C9040A">
        <w:rPr>
          <w:rtl/>
        </w:rPr>
        <w:t xml:space="preserve"> ، ص 79 ، ح 41 ، عن الحسن بن محبوب ؛ </w:t>
      </w:r>
      <w:r w:rsidR="008A74EB" w:rsidRPr="0034021D">
        <w:rPr>
          <w:rStyle w:val="libFootnoteBoldChar"/>
          <w:rtl/>
        </w:rPr>
        <w:t>الأمالي للمفيد</w:t>
      </w:r>
      <w:r w:rsidR="008A74EB" w:rsidRPr="00C9040A">
        <w:rPr>
          <w:rtl/>
        </w:rPr>
        <w:t xml:space="preserve"> ، ص 184 ، المجلس 23 ، ح 9 ، بسنده عن الحسن بن محبوب ، وفيهما مع زيادة في آخره. وفي </w:t>
      </w:r>
      <w:r w:rsidR="008A74EB" w:rsidRPr="00993B55">
        <w:rPr>
          <w:rStyle w:val="libFootnoteBoldChar"/>
          <w:rtl/>
        </w:rPr>
        <w:t>الكافي</w:t>
      </w:r>
      <w:r w:rsidR="008A74EB" w:rsidRPr="00C9040A">
        <w:rPr>
          <w:rtl/>
        </w:rPr>
        <w:t xml:space="preserve"> ، كتاب الإيمان والكفر ، باب العبادة ، ح 1674 ، بسنده عن أبي حمزة. وراجع : المصادر التي ذكرناها ذيله </w:t>
      </w:r>
      <w:r w:rsidR="00970E5B">
        <w:rPr>
          <w:rFonts w:hint="cs"/>
          <w:rtl/>
        </w:rPr>
        <w:t>.</w:t>
      </w:r>
      <w:r w:rsidR="008A74EB" w:rsidRPr="00993B55">
        <w:rPr>
          <w:rStyle w:val="libFootnoteBoldChar"/>
          <w:rtl/>
        </w:rPr>
        <w:t>الوافي</w:t>
      </w:r>
      <w:r w:rsidR="008A74EB" w:rsidRPr="00C9040A">
        <w:rPr>
          <w:rtl/>
        </w:rPr>
        <w:t xml:space="preserve"> ، ج 4 ، ص 321 ، ح 2014 ؛ </w:t>
      </w:r>
      <w:r w:rsidR="008A74EB" w:rsidRPr="00993B55">
        <w:rPr>
          <w:rStyle w:val="libFootnoteBoldChar"/>
          <w:rtl/>
        </w:rPr>
        <w:t>الوسائل</w:t>
      </w:r>
      <w:r w:rsidR="008A74EB" w:rsidRPr="00C9040A">
        <w:rPr>
          <w:rtl/>
        </w:rPr>
        <w:t xml:space="preserve"> ، ج 15 ، ص 259 ، ح 20445 ؛ </w:t>
      </w:r>
      <w:r w:rsidR="008A74EB" w:rsidRPr="00993B55">
        <w:rPr>
          <w:rStyle w:val="libFootnoteBoldChar"/>
          <w:rtl/>
        </w:rPr>
        <w:t>البحار</w:t>
      </w:r>
      <w:r w:rsidR="008A74EB" w:rsidRPr="00C9040A">
        <w:rPr>
          <w:rtl/>
        </w:rPr>
        <w:t xml:space="preserve"> ، ج 71 ، ص 195 ، ح 1.</w:t>
      </w:r>
    </w:p>
    <w:p w:rsidR="008A74EB" w:rsidRPr="00C9040A" w:rsidRDefault="006C577F" w:rsidP="004A4E41">
      <w:pPr>
        <w:pStyle w:val="libFootnote0"/>
        <w:rPr>
          <w:rtl/>
          <w:lang w:bidi="fa-IR"/>
        </w:rPr>
      </w:pPr>
      <w:r>
        <w:rPr>
          <w:rtl/>
        </w:rPr>
        <w:t>(4).</w:t>
      </w:r>
      <w:r w:rsidR="008A74EB" w:rsidRPr="00C9040A">
        <w:rPr>
          <w:rtl/>
        </w:rPr>
        <w:t xml:space="preserve"> في « بس » : « عنه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آل عمران </w:t>
      </w:r>
      <w:r w:rsidR="00970E5B">
        <w:rPr>
          <w:rtl/>
        </w:rPr>
        <w:t>(3)</w:t>
      </w:r>
      <w:r w:rsidR="008A74EB" w:rsidRPr="00C9040A">
        <w:rPr>
          <w:rtl/>
        </w:rPr>
        <w:t xml:space="preserve"> : 200. وفي « ج ، ز ، </w:t>
      </w:r>
      <w:r w:rsidR="006D3162">
        <w:rPr>
          <w:rtl/>
        </w:rPr>
        <w:t xml:space="preserve">ه </w:t>
      </w:r>
      <w:r w:rsidR="008A74EB" w:rsidRPr="00C9040A">
        <w:rPr>
          <w:rtl/>
        </w:rPr>
        <w:t xml:space="preserve">، بس ، بف » </w:t>
      </w:r>
      <w:r w:rsidR="008A74EB">
        <w:rPr>
          <w:rtl/>
        </w:rPr>
        <w:t xml:space="preserve">: </w:t>
      </w:r>
      <w:r w:rsidR="0084262C">
        <w:rPr>
          <w:rtl/>
        </w:rPr>
        <w:t>-</w:t>
      </w:r>
      <w:r w:rsidR="008A74EB" w:rsidRPr="00C9040A">
        <w:rPr>
          <w:rtl/>
        </w:rPr>
        <w:t xml:space="preserve"> </w:t>
      </w:r>
      <w:r w:rsidR="00970E5B" w:rsidRPr="00AC2E2F">
        <w:rPr>
          <w:rStyle w:val="libFootnoteAlaemChar"/>
          <w:rFonts w:hint="cs"/>
          <w:rtl/>
        </w:rPr>
        <w:t>(</w:t>
      </w:r>
      <w:r w:rsidR="008A74EB" w:rsidRPr="00970E5B">
        <w:rPr>
          <w:rStyle w:val="libFootnoteAieChar"/>
          <w:rtl/>
        </w:rPr>
        <w:t xml:space="preserve"> وَرَابِطُوا </w:t>
      </w:r>
      <w:r w:rsidR="00970E5B" w:rsidRPr="00AC2E2F">
        <w:rPr>
          <w:rStyle w:val="libFootnoteAlaemChar"/>
          <w:rFonts w:hint="cs"/>
          <w:rtl/>
        </w:rPr>
        <w:t>)</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الوافي</w:t>
      </w:r>
      <w:r w:rsidR="008A74EB" w:rsidRPr="00C9040A">
        <w:rPr>
          <w:rtl/>
        </w:rPr>
        <w:t xml:space="preserve"> ، ج 4 ، ص 321 ، ح 2015 ؛ </w:t>
      </w:r>
      <w:r w:rsidR="008A74EB" w:rsidRPr="00993B55">
        <w:rPr>
          <w:rStyle w:val="libFootnoteBoldChar"/>
          <w:rtl/>
        </w:rPr>
        <w:t>الوسائل</w:t>
      </w:r>
      <w:r w:rsidR="008A74EB" w:rsidRPr="00C9040A">
        <w:rPr>
          <w:rtl/>
        </w:rPr>
        <w:t xml:space="preserve"> ، ج 15 ، ص 259 ، ح 20449 ؛ </w:t>
      </w:r>
      <w:r w:rsidR="008A74EB" w:rsidRPr="00993B55">
        <w:rPr>
          <w:rStyle w:val="libFootnoteBoldChar"/>
          <w:rtl/>
        </w:rPr>
        <w:t>البحار</w:t>
      </w:r>
      <w:r w:rsidR="008A74EB" w:rsidRPr="00C9040A">
        <w:rPr>
          <w:rtl/>
        </w:rPr>
        <w:t xml:space="preserve"> ، ج 71 ، ص 195 ، ح 2.</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فِي قَوْلِ اللهِ عَزَّ وَجَلَّ : </w:t>
      </w:r>
      <w:r w:rsidRPr="0003660B">
        <w:rPr>
          <w:rStyle w:val="libAlaemChar"/>
          <w:rtl/>
        </w:rPr>
        <w:t>(</w:t>
      </w:r>
      <w:r w:rsidRPr="006A2246">
        <w:rPr>
          <w:rStyle w:val="libAieChar"/>
          <w:rtl/>
        </w:rPr>
        <w:t xml:space="preserve"> اصْبِرُوا وَصابِرُوا وَرابِطُوا </w:t>
      </w:r>
      <w:r w:rsidRPr="0003660B">
        <w:rPr>
          <w:rStyle w:val="libAlaemChar"/>
          <w:rtl/>
        </w:rPr>
        <w:t>)</w:t>
      </w:r>
      <w:r w:rsidRPr="00C9040A">
        <w:rPr>
          <w:rtl/>
          <w:lang w:bidi="fa-IR"/>
        </w:rPr>
        <w:t xml:space="preserve"> قَالَ :</w:t>
      </w:r>
      <w:r>
        <w:rPr>
          <w:rFonts w:hint="cs"/>
          <w:rtl/>
          <w:lang w:bidi="fa-IR"/>
        </w:rPr>
        <w:t xml:space="preserve"> </w:t>
      </w:r>
      <w:r w:rsidRPr="00C9040A">
        <w:rPr>
          <w:rtl/>
          <w:lang w:bidi="fa-IR"/>
        </w:rPr>
        <w:t xml:space="preserve">« اصْبِرُوا عَلَى الْفَرَائِضِ ، وَصَابِرُوا عَلَى الْمَصَائِبِ ، وَرَابِطُوا عَلَى الْأَئِمَّةِ </w:t>
      </w:r>
      <w:r w:rsidRPr="0003660B">
        <w:rPr>
          <w:rStyle w:val="libAlaemChar"/>
          <w:rtl/>
        </w:rPr>
        <w:t>عليهم‌السلام</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(1)</w:t>
      </w:r>
      <w:r w:rsidRPr="00C9040A">
        <w:rPr>
          <w:rtl/>
          <w:lang w:bidi="fa-IR"/>
        </w:rPr>
        <w:t>‌</w:t>
      </w:r>
    </w:p>
    <w:p w:rsidR="008A74EB" w:rsidRPr="00C9040A" w:rsidRDefault="00970E5B" w:rsidP="008A74EB">
      <w:pPr>
        <w:pStyle w:val="libNormal"/>
        <w:rPr>
          <w:rtl/>
          <w:lang w:bidi="fa-IR"/>
        </w:rPr>
      </w:pPr>
      <w:r>
        <w:rPr>
          <w:rFonts w:hint="cs"/>
          <w:rtl/>
          <w:lang w:bidi="fa-IR"/>
        </w:rPr>
        <w:t xml:space="preserve">* </w:t>
      </w:r>
      <w:r w:rsidR="008A74EB" w:rsidRPr="00C9040A">
        <w:rPr>
          <w:rtl/>
          <w:lang w:bidi="fa-IR"/>
        </w:rPr>
        <w:t xml:space="preserve">وَفِي رِوَايَةِ ابْنِ مَحْبُوبٍ ، عَنْ أَبِي السَّفَاتِجِ ، وَزَادَ فِيهِ </w:t>
      </w:r>
      <w:r w:rsidR="006C577F" w:rsidRPr="006C577F">
        <w:rPr>
          <w:rStyle w:val="libFootnotenumChar"/>
          <w:rtl/>
        </w:rPr>
        <w:t>(2)</w:t>
      </w:r>
      <w:r w:rsidR="008A74EB" w:rsidRPr="00C9040A">
        <w:rPr>
          <w:rtl/>
          <w:lang w:bidi="fa-IR"/>
        </w:rPr>
        <w:t xml:space="preserve"> :</w:t>
      </w:r>
    </w:p>
    <w:p w:rsidR="008A74EB" w:rsidRPr="00C9040A" w:rsidRDefault="008A74EB" w:rsidP="00970E5B">
      <w:pPr>
        <w:pStyle w:val="libNormal"/>
        <w:rPr>
          <w:rtl/>
          <w:lang w:bidi="fa-IR"/>
        </w:rPr>
      </w:pPr>
      <w:r w:rsidRPr="00C9040A">
        <w:rPr>
          <w:rtl/>
          <w:lang w:bidi="fa-IR"/>
        </w:rPr>
        <w:t xml:space="preserve">« وَاتَّقُوا </w:t>
      </w:r>
      <w:r w:rsidR="006C577F" w:rsidRPr="006C577F">
        <w:rPr>
          <w:rStyle w:val="libFootnotenumChar"/>
          <w:rtl/>
        </w:rPr>
        <w:t>(3)</w:t>
      </w:r>
      <w:r w:rsidRPr="00C9040A">
        <w:rPr>
          <w:rtl/>
          <w:lang w:bidi="fa-IR"/>
        </w:rPr>
        <w:t xml:space="preserve"> اللهَ رَبَّكُمْ فِيمَا افْتَرَضَ عَلَيْكُمْ »</w:t>
      </w:r>
      <w:r>
        <w:rPr>
          <w:rtl/>
          <w:lang w:bidi="fa-IR"/>
        </w:rPr>
        <w:t>.</w:t>
      </w:r>
      <w:r w:rsidRPr="00C9040A">
        <w:rPr>
          <w:rtl/>
          <w:lang w:bidi="fa-IR"/>
        </w:rPr>
        <w:t xml:space="preserve"> </w:t>
      </w:r>
      <w:r w:rsidR="006C577F" w:rsidRPr="006C577F">
        <w:rPr>
          <w:rStyle w:val="libFootnotenumChar"/>
          <w:rtl/>
        </w:rPr>
        <w:t>(4)</w:t>
      </w:r>
    </w:p>
    <w:p w:rsidR="008A74EB" w:rsidRPr="00C9040A" w:rsidRDefault="008A74EB" w:rsidP="008A74EB">
      <w:pPr>
        <w:pStyle w:val="libNormal"/>
        <w:rPr>
          <w:rtl/>
          <w:lang w:bidi="fa-IR"/>
        </w:rPr>
      </w:pPr>
      <w:r w:rsidRPr="006B2064">
        <w:rPr>
          <w:rtl/>
        </w:rPr>
        <w:t>1660</w:t>
      </w:r>
      <w:r w:rsidRPr="00261CB0">
        <w:rPr>
          <w:rStyle w:val="libBold2Char"/>
          <w:rtl/>
        </w:rPr>
        <w:t xml:space="preserve"> / 4.</w:t>
      </w:r>
      <w:r w:rsidRPr="00C9040A">
        <w:rPr>
          <w:rtl/>
          <w:lang w:bidi="fa-IR"/>
        </w:rPr>
        <w:t xml:space="preserve"> عَلِيُّ بْنُ إِبْرَاهِيمَ ، عَنْ أَبِيهِ ، عَنِ النَّوْفَلِيِّ ، عَنِ السَّكُونِيِّ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اعْمَلْ بِفَرَائِضِ اللهِ ؛ تَكُنْ </w:t>
      </w:r>
      <w:r w:rsidR="006C577F" w:rsidRPr="006C577F">
        <w:rPr>
          <w:rStyle w:val="libFootnotenumChar"/>
          <w:rtl/>
        </w:rPr>
        <w:t>(5)</w:t>
      </w:r>
      <w:r w:rsidRPr="00C9040A">
        <w:rPr>
          <w:rtl/>
          <w:lang w:bidi="fa-IR"/>
        </w:rPr>
        <w:t xml:space="preserve"> أَتْقَى النَّاسِ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Normal"/>
        <w:rPr>
          <w:rtl/>
          <w:lang w:bidi="fa-IR"/>
        </w:rPr>
      </w:pPr>
      <w:r w:rsidRPr="006B2064">
        <w:rPr>
          <w:rtl/>
        </w:rPr>
        <w:t>1661</w:t>
      </w:r>
      <w:r w:rsidRPr="00261CB0">
        <w:rPr>
          <w:rStyle w:val="libBold2Char"/>
          <w:rtl/>
        </w:rPr>
        <w:t xml:space="preserve"> / 5.</w:t>
      </w:r>
      <w:r w:rsidRPr="00C9040A">
        <w:rPr>
          <w:rtl/>
          <w:lang w:bidi="fa-IR"/>
        </w:rPr>
        <w:t xml:space="preserve"> عِدَّةٌ مِنْ أَصْحَابِنَا ، عَنْ أَحْمَدَ بْنِ مُحَمَّدٍ ، عَنِ ابْنِ فَضَّالٍ ، عَنْ أَبِي جَمِيلَةَ ، عَنْ مُحَمَّدٍ الْحَلَبِيِّ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w:t>
      </w:r>
      <w:r w:rsidR="008A74EB" w:rsidRPr="00993B55">
        <w:rPr>
          <w:rStyle w:val="libFootnoteBoldChar"/>
          <w:rtl/>
        </w:rPr>
        <w:t>تفسير القمّي</w:t>
      </w:r>
      <w:r w:rsidR="008A74EB" w:rsidRPr="00C9040A">
        <w:rPr>
          <w:rtl/>
        </w:rPr>
        <w:t xml:space="preserve"> ، ج 1 ، ص 129 ، بسند آخر ، مع اختلاف يسير. وفي </w:t>
      </w:r>
      <w:r w:rsidR="008A74EB" w:rsidRPr="00993B55">
        <w:rPr>
          <w:rStyle w:val="libFootnoteBoldChar"/>
          <w:rtl/>
        </w:rPr>
        <w:t>الغيب</w:t>
      </w:r>
      <w:r w:rsidR="008A74EB" w:rsidRPr="00970E5B">
        <w:rPr>
          <w:rStyle w:val="libFootnoteBoldChar"/>
          <w:rtl/>
        </w:rPr>
        <w:t>ة للنعماني</w:t>
      </w:r>
      <w:r w:rsidR="008A74EB" w:rsidRPr="00C9040A">
        <w:rPr>
          <w:rtl/>
        </w:rPr>
        <w:t xml:space="preserve"> ، ص 26 ؛ وص 199 ، ح 13 ، بسند آخر عن أبي جعفر </w:t>
      </w:r>
      <w:r w:rsidR="00117575" w:rsidRPr="00117575">
        <w:rPr>
          <w:rStyle w:val="libFootnoteAlaemChar"/>
          <w:rtl/>
        </w:rPr>
        <w:t>عليه‌السلام</w:t>
      </w:r>
      <w:r w:rsidR="008A74EB" w:rsidRPr="00C9040A">
        <w:rPr>
          <w:rtl/>
        </w:rPr>
        <w:t xml:space="preserve"> ، مع اختلاف. وفي </w:t>
      </w:r>
      <w:r w:rsidR="008A74EB" w:rsidRPr="00993B55">
        <w:rPr>
          <w:rStyle w:val="libFootnoteBoldChar"/>
          <w:rtl/>
        </w:rPr>
        <w:t>الكافي</w:t>
      </w:r>
      <w:r w:rsidR="008A74EB" w:rsidRPr="00C9040A">
        <w:rPr>
          <w:rtl/>
        </w:rPr>
        <w:t xml:space="preserve"> ، كتاب الإيمان والكفر ، باب الصبر ، ح 1708 ؛ و</w:t>
      </w:r>
      <w:r w:rsidR="008A74EB" w:rsidRPr="00993B55">
        <w:rPr>
          <w:rStyle w:val="libFootnoteBoldChar"/>
          <w:rtl/>
        </w:rPr>
        <w:t>معاني الأخبار</w:t>
      </w:r>
      <w:r w:rsidR="008A74EB" w:rsidRPr="00C9040A">
        <w:rPr>
          <w:rtl/>
        </w:rPr>
        <w:t xml:space="preserve"> ، ص 369 ، ح 1 ؛ </w:t>
      </w:r>
      <w:r w:rsidR="008A74EB" w:rsidRPr="00970E5B">
        <w:rPr>
          <w:rStyle w:val="libFootnoteBoldChar"/>
          <w:rtl/>
        </w:rPr>
        <w:t>وب</w:t>
      </w:r>
      <w:r w:rsidR="008A74EB" w:rsidRPr="00993B55">
        <w:rPr>
          <w:rStyle w:val="libFootnoteBoldChar"/>
          <w:rtl/>
        </w:rPr>
        <w:t>صائر الدرجات</w:t>
      </w:r>
      <w:r w:rsidR="008A74EB" w:rsidRPr="00C9040A">
        <w:rPr>
          <w:rtl/>
        </w:rPr>
        <w:t xml:space="preserve"> ، ص 487 ، ح 16 ، بسند آخر ، مع اختلاف وفي الأخير مع زيادة في أوّله وآخره. </w:t>
      </w:r>
      <w:r w:rsidR="008A74EB" w:rsidRPr="00993B55">
        <w:rPr>
          <w:rStyle w:val="libFootnoteBoldChar"/>
          <w:rtl/>
        </w:rPr>
        <w:t>تفسير العيّاشي</w:t>
      </w:r>
      <w:r w:rsidR="008A74EB" w:rsidRPr="00C9040A">
        <w:rPr>
          <w:rtl/>
        </w:rPr>
        <w:t xml:space="preserve"> ، ج 1 ، ص 212 ، ح 180 ، عن ابن أبي يعفور ، عن أبي عبدالله </w:t>
      </w:r>
      <w:r w:rsidR="00117575" w:rsidRPr="00117575">
        <w:rPr>
          <w:rStyle w:val="libFootnoteAlaemChar"/>
          <w:rtl/>
        </w:rPr>
        <w:t>عليه‌السلام</w:t>
      </w:r>
      <w:r w:rsidR="008A74EB" w:rsidRPr="00C9040A">
        <w:rPr>
          <w:rtl/>
        </w:rPr>
        <w:t xml:space="preserve"> ؛ </w:t>
      </w:r>
      <w:r w:rsidR="008A74EB" w:rsidRPr="00993B55">
        <w:rPr>
          <w:rStyle w:val="libFootnoteBoldChar"/>
          <w:rtl/>
        </w:rPr>
        <w:t>وفيه</w:t>
      </w:r>
      <w:r w:rsidR="008A74EB" w:rsidRPr="00C9040A">
        <w:rPr>
          <w:rtl/>
        </w:rPr>
        <w:t xml:space="preserve"> ، ح 181 ، عن يعقوب السرّاج ، عن أبي عبدالله </w:t>
      </w:r>
      <w:r w:rsidR="00117575" w:rsidRPr="00117575">
        <w:rPr>
          <w:rStyle w:val="libFootnoteAlaemChar"/>
          <w:rtl/>
        </w:rPr>
        <w:t>عليه‌السلام</w:t>
      </w:r>
      <w:r w:rsidR="008A74EB" w:rsidRPr="00C9040A">
        <w:rPr>
          <w:rtl/>
        </w:rPr>
        <w:t xml:space="preserve"> ، مع اختلاف يسير وزيادة في أوّله وآخره ؛ </w:t>
      </w:r>
      <w:r w:rsidR="008A74EB" w:rsidRPr="00970E5B">
        <w:rPr>
          <w:rStyle w:val="libFootnoteBoldChar"/>
          <w:rtl/>
        </w:rPr>
        <w:t>الاختصاص</w:t>
      </w:r>
      <w:r w:rsidR="008A74EB" w:rsidRPr="00C9040A">
        <w:rPr>
          <w:rtl/>
        </w:rPr>
        <w:t xml:space="preserve"> ، ص 142 ، مرسلاً ، مع اختلاف يسير </w:t>
      </w:r>
      <w:r w:rsidR="00970E5B">
        <w:rPr>
          <w:rFonts w:hint="cs"/>
          <w:rtl/>
        </w:rPr>
        <w:t>.</w:t>
      </w:r>
      <w:r w:rsidR="008A74EB" w:rsidRPr="00993B55">
        <w:rPr>
          <w:rStyle w:val="libFootnoteBoldChar"/>
          <w:rtl/>
        </w:rPr>
        <w:t>الوافي</w:t>
      </w:r>
      <w:r w:rsidR="008A74EB" w:rsidRPr="00C9040A">
        <w:rPr>
          <w:rtl/>
        </w:rPr>
        <w:t xml:space="preserve"> ، ج 4 ، ص 321 ، ح 2016 ؛ </w:t>
      </w:r>
      <w:r w:rsidR="008A74EB" w:rsidRPr="00993B55">
        <w:rPr>
          <w:rStyle w:val="libFootnoteBoldChar"/>
          <w:rtl/>
        </w:rPr>
        <w:t>الوسائل</w:t>
      </w:r>
      <w:r w:rsidR="008A74EB" w:rsidRPr="00C9040A">
        <w:rPr>
          <w:rtl/>
        </w:rPr>
        <w:t xml:space="preserve"> ، ج 15 ، ص 259 ، ح 20446 ؛ </w:t>
      </w:r>
      <w:r w:rsidR="008A74EB" w:rsidRPr="00993B55">
        <w:rPr>
          <w:rStyle w:val="libFootnoteBoldChar"/>
          <w:rtl/>
        </w:rPr>
        <w:t>البحار</w:t>
      </w:r>
      <w:r w:rsidR="008A74EB" w:rsidRPr="00C9040A">
        <w:rPr>
          <w:rtl/>
        </w:rPr>
        <w:t xml:space="preserve"> ، ج 24 ، ص 221 ، ح 22 ؛ وج 71 ، ص 195 ، ح 3.</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ب ، ج ، ز ، ص ، ف ، بس » والوسائل </w:t>
      </w:r>
      <w:r w:rsidR="008A74EB">
        <w:rPr>
          <w:rtl/>
        </w:rPr>
        <w:t xml:space="preserve">: </w:t>
      </w:r>
      <w:r w:rsidR="0084262C">
        <w:rPr>
          <w:rtl/>
        </w:rPr>
        <w:t>-</w:t>
      </w:r>
      <w:r w:rsidR="008A74EB" w:rsidRPr="00C9040A">
        <w:rPr>
          <w:rtl/>
        </w:rPr>
        <w:t xml:space="preserve"> « وزاد فيه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هكذا في النسخ التي قوبلت وشرح المازندراني والوسائل والبحار. وفي المطبوع : « فاتّقوا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 xml:space="preserve">بصائرالدرجات </w:t>
      </w:r>
      <w:r w:rsidR="008A74EB" w:rsidRPr="00C9040A">
        <w:rPr>
          <w:rtl/>
        </w:rPr>
        <w:t xml:space="preserve">، ص 487 ، ح 16 ، بسند آخر. </w:t>
      </w:r>
      <w:r w:rsidR="008A74EB" w:rsidRPr="00993B55">
        <w:rPr>
          <w:rStyle w:val="libFootnoteBoldChar"/>
          <w:rtl/>
        </w:rPr>
        <w:t>تفسير العيّاشي</w:t>
      </w:r>
      <w:r w:rsidR="008A74EB" w:rsidRPr="00C9040A">
        <w:rPr>
          <w:rtl/>
        </w:rPr>
        <w:t xml:space="preserve"> ، ج 1 ، ص 212 ، ح 181 ، عن يعقوب السرّاج ، وفيهما مع اختلاف يسير </w:t>
      </w:r>
      <w:r w:rsidR="002913F0">
        <w:rPr>
          <w:rFonts w:hint="cs"/>
          <w:rtl/>
        </w:rPr>
        <w:t>.</w:t>
      </w:r>
      <w:r w:rsidR="008A74EB" w:rsidRPr="00993B55">
        <w:rPr>
          <w:rStyle w:val="libFootnoteBoldChar"/>
          <w:rtl/>
        </w:rPr>
        <w:t>الوافي</w:t>
      </w:r>
      <w:r w:rsidR="008A74EB" w:rsidRPr="00C9040A">
        <w:rPr>
          <w:rtl/>
        </w:rPr>
        <w:t xml:space="preserve"> ، ج 4 ، ص 321 ، ح 2017 ؛ </w:t>
      </w:r>
      <w:r w:rsidR="008A74EB" w:rsidRPr="00993B55">
        <w:rPr>
          <w:rStyle w:val="libFootnoteBoldChar"/>
          <w:rtl/>
        </w:rPr>
        <w:t>الوسائل</w:t>
      </w:r>
      <w:r w:rsidR="008A74EB" w:rsidRPr="00C9040A">
        <w:rPr>
          <w:rtl/>
        </w:rPr>
        <w:t xml:space="preserve"> ، ج 15 ، ص 259 ، ح 20447 ؛ </w:t>
      </w:r>
      <w:r w:rsidR="008A74EB" w:rsidRPr="00993B55">
        <w:rPr>
          <w:rStyle w:val="libFootnoteBoldChar"/>
          <w:rtl/>
        </w:rPr>
        <w:t>البحار</w:t>
      </w:r>
      <w:r w:rsidR="008A74EB" w:rsidRPr="00C9040A">
        <w:rPr>
          <w:rtl/>
        </w:rPr>
        <w:t xml:space="preserve"> ، ج 71 ، ص 195 ، ح 3.</w:t>
      </w:r>
      <w:r w:rsidR="002913F0">
        <w:rPr>
          <w:rFonts w:hint="cs"/>
          <w:rtl/>
        </w:rPr>
        <w:t xml:space="preserve">         </w:t>
      </w:r>
      <w:r>
        <w:rPr>
          <w:rtl/>
        </w:rPr>
        <w:t>(5).</w:t>
      </w:r>
      <w:r w:rsidR="008A74EB" w:rsidRPr="00C9040A">
        <w:rPr>
          <w:rtl/>
        </w:rPr>
        <w:t xml:space="preserve"> في </w:t>
      </w:r>
      <w:r w:rsidR="008A74EB" w:rsidRPr="0034021D">
        <w:rPr>
          <w:rStyle w:val="libFootnoteBoldChar"/>
          <w:rtl/>
        </w:rPr>
        <w:t>الأمالي للمفيد</w:t>
      </w:r>
      <w:r w:rsidR="008A74EB" w:rsidRPr="00C9040A">
        <w:rPr>
          <w:rtl/>
        </w:rPr>
        <w:t xml:space="preserve"> والطوسي : + « من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34021D">
        <w:rPr>
          <w:rStyle w:val="libFootnoteBoldChar"/>
          <w:rtl/>
        </w:rPr>
        <w:t>الأمالي للصدوق</w:t>
      </w:r>
      <w:r w:rsidR="008A74EB" w:rsidRPr="00C9040A">
        <w:rPr>
          <w:rtl/>
        </w:rPr>
        <w:t xml:space="preserve"> ، ص 201 ، المجلس 36 ، ح 13 ؛ و</w:t>
      </w:r>
      <w:r w:rsidR="008A74EB" w:rsidRPr="0034021D">
        <w:rPr>
          <w:rStyle w:val="libFootnoteBoldChar"/>
          <w:rtl/>
        </w:rPr>
        <w:t>الأمالي للمفيد</w:t>
      </w:r>
      <w:r w:rsidR="008A74EB" w:rsidRPr="002913F0">
        <w:rPr>
          <w:rStyle w:val="libFootnoteBoldChar"/>
          <w:rtl/>
        </w:rPr>
        <w:t xml:space="preserve"> </w:t>
      </w:r>
      <w:r w:rsidR="008A74EB" w:rsidRPr="00C9040A">
        <w:rPr>
          <w:rtl/>
        </w:rPr>
        <w:t xml:space="preserve">، ص 350 ، المجلس 42 ، ح 1 ؛ </w:t>
      </w:r>
      <w:r w:rsidR="008A74EB" w:rsidRPr="00AC2E2F">
        <w:rPr>
          <w:rStyle w:val="libFootnoteBoldChar"/>
          <w:rtl/>
        </w:rPr>
        <w:t>والأمالي للطوسي</w:t>
      </w:r>
      <w:r w:rsidR="008A74EB" w:rsidRPr="00C9040A">
        <w:rPr>
          <w:rtl/>
        </w:rPr>
        <w:t xml:space="preserve"> ، ص 120 ، المجلس 4 ، ح 187 ، بسند آخر عن أبي عبد الله ، عن آبائه </w:t>
      </w:r>
      <w:r w:rsidR="00117575" w:rsidRPr="00117575">
        <w:rPr>
          <w:rStyle w:val="libFootnoteAlaemChar"/>
          <w:rtl/>
        </w:rPr>
        <w:t>عليهم‌السلام</w:t>
      </w:r>
      <w:r w:rsidR="008A74EB" w:rsidRPr="00C9040A">
        <w:rPr>
          <w:rtl/>
        </w:rPr>
        <w:t xml:space="preserve"> عن رسول الله </w:t>
      </w:r>
      <w:r w:rsidR="004A4E41" w:rsidRPr="00AC2E2F">
        <w:rPr>
          <w:rStyle w:val="libFootnoteAlaemChar"/>
          <w:rtl/>
        </w:rPr>
        <w:t>صلى‌الله‌عليه‌وآله</w:t>
      </w:r>
      <w:r w:rsidR="008A74EB" w:rsidRPr="00C9040A">
        <w:rPr>
          <w:rtl/>
        </w:rPr>
        <w:t xml:space="preserve"> ، مع زيادة في آخره </w:t>
      </w:r>
      <w:r w:rsidR="002913F0">
        <w:rPr>
          <w:rFonts w:hint="cs"/>
          <w:rtl/>
        </w:rPr>
        <w:t>.</w:t>
      </w:r>
      <w:r w:rsidR="008A74EB" w:rsidRPr="00993B55">
        <w:rPr>
          <w:rStyle w:val="libFootnoteBoldChar"/>
          <w:rtl/>
        </w:rPr>
        <w:t>الوافي</w:t>
      </w:r>
      <w:r w:rsidR="008A74EB" w:rsidRPr="00C9040A">
        <w:rPr>
          <w:rtl/>
        </w:rPr>
        <w:t xml:space="preserve"> ، ج 4 ، ص 322 ، ح 2018 ؛ </w:t>
      </w:r>
      <w:r w:rsidR="008A74EB" w:rsidRPr="00993B55">
        <w:rPr>
          <w:rStyle w:val="libFootnoteBoldChar"/>
          <w:rtl/>
        </w:rPr>
        <w:t>الوسائل</w:t>
      </w:r>
      <w:r w:rsidR="008A74EB" w:rsidRPr="00C9040A">
        <w:rPr>
          <w:rtl/>
        </w:rPr>
        <w:t xml:space="preserve"> ، ج 15 ، ص 260 ، ح 20450 ؛ </w:t>
      </w:r>
      <w:r w:rsidR="008A74EB" w:rsidRPr="00993B55">
        <w:rPr>
          <w:rStyle w:val="libFootnoteBoldChar"/>
          <w:rtl/>
        </w:rPr>
        <w:t>البحار</w:t>
      </w:r>
      <w:r w:rsidR="008A74EB" w:rsidRPr="00C9040A">
        <w:rPr>
          <w:rtl/>
        </w:rPr>
        <w:t xml:space="preserve"> ، ج 71 ، ص 196 ، ح 4.</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w:t>
      </w:r>
      <w:r w:rsidR="006C577F" w:rsidRPr="006C577F">
        <w:rPr>
          <w:rStyle w:val="libFootnotenumChar"/>
          <w:rtl/>
        </w:rPr>
        <w:t>(1)</w:t>
      </w:r>
      <w:r w:rsidRPr="001E6F92">
        <w:rPr>
          <w:rFonts w:hint="cs"/>
          <w:rtl/>
        </w:rPr>
        <w:t xml:space="preserve"> </w:t>
      </w:r>
      <w:r w:rsidRPr="00C9040A">
        <w:rPr>
          <w:rtl/>
          <w:lang w:bidi="fa-IR"/>
        </w:rPr>
        <w:t xml:space="preserve">: « قَالَ اللهُ تَبَارَكَ وَتَعَالى : مَا تَحَبَّبَ </w:t>
      </w:r>
      <w:r w:rsidR="006C577F" w:rsidRPr="006C577F">
        <w:rPr>
          <w:rStyle w:val="libFootnotenumChar"/>
          <w:rtl/>
        </w:rPr>
        <w:t>(2)</w:t>
      </w:r>
      <w:r w:rsidRPr="00C9040A">
        <w:rPr>
          <w:rtl/>
          <w:lang w:bidi="fa-IR"/>
        </w:rPr>
        <w:t xml:space="preserve"> إِلَيَّ عَبْدِي بِأَحَبَّ </w:t>
      </w:r>
      <w:r w:rsidR="006C577F" w:rsidRPr="006C577F">
        <w:rPr>
          <w:rStyle w:val="libFootnotenumChar"/>
          <w:rtl/>
        </w:rPr>
        <w:t>(3)</w:t>
      </w:r>
      <w:r w:rsidRPr="00C9040A">
        <w:rPr>
          <w:rtl/>
          <w:lang w:bidi="fa-IR"/>
        </w:rPr>
        <w:t xml:space="preserve"> مِمَّا افْتَرَضْتُ عَلَيْهِ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Heading2Center"/>
        <w:rPr>
          <w:rtl/>
          <w:lang w:bidi="fa-IR"/>
        </w:rPr>
      </w:pPr>
      <w:bookmarkStart w:id="133" w:name="_Toc343795632"/>
      <w:bookmarkStart w:id="134" w:name="_Toc459810756"/>
      <w:bookmarkStart w:id="135" w:name="_Toc35348662"/>
      <w:r w:rsidRPr="00C9040A">
        <w:rPr>
          <w:rtl/>
          <w:lang w:bidi="fa-IR"/>
        </w:rPr>
        <w:t>41</w:t>
      </w:r>
      <w:r>
        <w:rPr>
          <w:rtl/>
          <w:lang w:bidi="fa-IR"/>
        </w:rPr>
        <w:t xml:space="preserve"> </w:t>
      </w:r>
      <w:r w:rsidR="0084262C">
        <w:rPr>
          <w:rtl/>
          <w:lang w:bidi="fa-IR"/>
        </w:rPr>
        <w:t>-</w:t>
      </w:r>
      <w:r>
        <w:rPr>
          <w:rtl/>
          <w:lang w:bidi="fa-IR"/>
        </w:rPr>
        <w:t xml:space="preserve"> </w:t>
      </w:r>
      <w:r w:rsidRPr="00C9040A">
        <w:rPr>
          <w:rtl/>
          <w:lang w:bidi="fa-IR"/>
        </w:rPr>
        <w:t>بَابُ اسْتِوَاءِ الْعَمَلِ وَالْمُدَاوَمَةِ عَلَيْهِ‌</w:t>
      </w:r>
      <w:bookmarkEnd w:id="133"/>
      <w:bookmarkEnd w:id="134"/>
      <w:bookmarkEnd w:id="135"/>
    </w:p>
    <w:p w:rsidR="008A74EB" w:rsidRPr="00C9040A" w:rsidRDefault="008A74EB" w:rsidP="008A74EB">
      <w:pPr>
        <w:pStyle w:val="libNormal"/>
        <w:rPr>
          <w:rtl/>
          <w:lang w:bidi="fa-IR"/>
        </w:rPr>
      </w:pPr>
      <w:r w:rsidRPr="006B2064">
        <w:rPr>
          <w:rtl/>
        </w:rPr>
        <w:t>1662</w:t>
      </w:r>
      <w:r w:rsidRPr="00261CB0">
        <w:rPr>
          <w:rStyle w:val="libBold2Char"/>
          <w:rtl/>
        </w:rPr>
        <w:t xml:space="preserve"> / 1.</w:t>
      </w:r>
      <w:r w:rsidRPr="00C9040A">
        <w:rPr>
          <w:rtl/>
          <w:lang w:bidi="fa-IR"/>
        </w:rPr>
        <w:t xml:space="preserve"> عَلِيُّ بْنُ إِبْرَاهِيمَ ، عَنْ أَبِيهِ ، عَنِ ابْنِ أَبِي عُمَيْرٍ ، عَنْ حَمَّادٍ ، عَنِ الْحَلَبِيِّ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إِذَا </w:t>
      </w:r>
      <w:r w:rsidR="006C577F" w:rsidRPr="006C577F">
        <w:rPr>
          <w:rStyle w:val="libFootnotenumChar"/>
          <w:rtl/>
        </w:rPr>
        <w:t>(5)</w:t>
      </w:r>
      <w:r w:rsidRPr="00C9040A">
        <w:rPr>
          <w:rtl/>
          <w:lang w:bidi="fa-IR"/>
        </w:rPr>
        <w:t xml:space="preserve"> كَانَ الرَّجُلُ عَلى عَمَلٍ ، فَلْيَدُمْ عَلَيْهِ </w:t>
      </w:r>
      <w:r w:rsidR="006C577F" w:rsidRPr="006C577F">
        <w:rPr>
          <w:rStyle w:val="libFootnotenumChar"/>
          <w:rtl/>
        </w:rPr>
        <w:t>(6)</w:t>
      </w:r>
      <w:r w:rsidRPr="005B567D">
        <w:rPr>
          <w:rStyle w:val="libFootnotenumChar"/>
          <w:rtl/>
        </w:rPr>
        <w:t xml:space="preserve"> </w:t>
      </w:r>
      <w:r w:rsidRPr="00C9040A">
        <w:rPr>
          <w:rtl/>
          <w:lang w:bidi="fa-IR"/>
        </w:rPr>
        <w:t xml:space="preserve">سَنَةً ، ثُمَّ يَتَحَوَّلُ عَنْهُ إِنْ شَاءَ إِلى غَيْرِهِ ، وَذلِكَ أَنَّ لَيْلَةَ الْقَدْرِ يَكُونُ فِيهَا فِي عَامِهِ </w:t>
      </w:r>
      <w:r w:rsidR="006C577F" w:rsidRPr="006C577F">
        <w:rPr>
          <w:rStyle w:val="libFootnotenumChar"/>
          <w:rtl/>
        </w:rPr>
        <w:t>(7)</w:t>
      </w:r>
      <w:r w:rsidRPr="00C9040A">
        <w:rPr>
          <w:rtl/>
          <w:lang w:bidi="fa-IR"/>
        </w:rPr>
        <w:t xml:space="preserve"> ذلِكَ مَا شَاءَ اللهُ أَنْ يَكُونَ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 ز ، ص ، ف » : + « قال رسول الله </w:t>
      </w:r>
      <w:r w:rsidR="004A4E41" w:rsidRPr="00AC2E2F">
        <w:rPr>
          <w:rStyle w:val="libFootnoteAlaemChar"/>
          <w:rtl/>
        </w:rPr>
        <w:t>صلى‌الله‌عليه‌وآله</w:t>
      </w:r>
      <w:r w:rsidR="008A74EB" w:rsidRPr="00C9040A">
        <w:rPr>
          <w:rtl/>
        </w:rPr>
        <w:t xml:space="preserve">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ز » : « يحبّب »</w:t>
      </w:r>
      <w:r w:rsidR="008A74EB">
        <w:rPr>
          <w:rtl/>
        </w:rPr>
        <w:t>.</w:t>
      </w:r>
      <w:r w:rsidR="008A74EB" w:rsidRPr="00C9040A">
        <w:rPr>
          <w:rtl/>
        </w:rPr>
        <w:t xml:space="preserve"> وفي « ف » : « يحبّ »</w:t>
      </w:r>
      <w:r w:rsidR="008A74EB">
        <w:rPr>
          <w:rtl/>
        </w:rPr>
        <w:t>.</w:t>
      </w:r>
      <w:r w:rsidR="008A74EB" w:rsidRPr="00C9040A">
        <w:rPr>
          <w:rtl/>
        </w:rPr>
        <w:t xml:space="preserve"> وفي « بس » : « تحبّبت »</w:t>
      </w:r>
      <w:r w:rsidR="008A74EB">
        <w:rPr>
          <w:rtl/>
        </w:rPr>
        <w:t>.</w:t>
      </w:r>
      <w:r w:rsidR="008A74EB" w:rsidRPr="00C9040A">
        <w:rPr>
          <w:rtl/>
        </w:rPr>
        <w:t xml:space="preserve"> والتحبّب : إظهار المحبّة والوداد ، والتود</w:t>
      </w:r>
      <w:r w:rsidR="002913F0">
        <w:rPr>
          <w:rtl/>
        </w:rPr>
        <w:t>ّد ، هذا في اللغة ، وأمّا العل</w:t>
      </w:r>
      <w:r w:rsidR="002913F0">
        <w:rPr>
          <w:rFonts w:hint="cs"/>
          <w:rtl/>
        </w:rPr>
        <w:t>ّ</w:t>
      </w:r>
      <w:r w:rsidR="002913F0">
        <w:rPr>
          <w:rtl/>
        </w:rPr>
        <w:t>ا</w:t>
      </w:r>
      <w:r w:rsidR="008A74EB" w:rsidRPr="00C9040A">
        <w:rPr>
          <w:rtl/>
        </w:rPr>
        <w:t>مة المجلسي فإنّه قال : « التحبّب ، جلب المحبّة وإظهارها ، والأوّل أنسب ، ولو لم تكن الفرائض أحبّ إليه تعالى لما افترضه »</w:t>
      </w:r>
      <w:r w:rsidR="008A74EB">
        <w:rPr>
          <w:rtl/>
        </w:rPr>
        <w:t>.</w:t>
      </w:r>
      <w:r w:rsidR="008A74EB" w:rsidRPr="00C9040A">
        <w:rPr>
          <w:rtl/>
        </w:rPr>
        <w:t xml:space="preserve"> راجع : </w:t>
      </w:r>
      <w:r w:rsidR="008A74EB" w:rsidRPr="00993B55">
        <w:rPr>
          <w:rStyle w:val="libFootnoteBoldChar"/>
          <w:rtl/>
        </w:rPr>
        <w:t>الصحاح</w:t>
      </w:r>
      <w:r w:rsidR="008A74EB" w:rsidRPr="00C9040A">
        <w:rPr>
          <w:rtl/>
        </w:rPr>
        <w:t xml:space="preserve"> ، ج 1 ، ص 106 ؛ </w:t>
      </w:r>
      <w:r w:rsidR="008A74EB" w:rsidRPr="00993B55">
        <w:rPr>
          <w:rStyle w:val="libFootnoteBoldChar"/>
          <w:rtl/>
        </w:rPr>
        <w:t>لسان العرب</w:t>
      </w:r>
      <w:r w:rsidR="008A74EB" w:rsidRPr="00C9040A">
        <w:rPr>
          <w:rtl/>
        </w:rPr>
        <w:t xml:space="preserve"> ، ج 1 ، ص 292 ( حبب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المحاسن : « بشي‌ء أحبّ إليّ » بدل « بأحبّ »</w:t>
      </w:r>
      <w:r w:rsidR="008A74EB">
        <w:rPr>
          <w:rtl/>
        </w:rPr>
        <w:t>.</w:t>
      </w:r>
    </w:p>
    <w:p w:rsidR="008A74EB" w:rsidRPr="004A4E41" w:rsidRDefault="006C577F" w:rsidP="004A4E41">
      <w:pPr>
        <w:pStyle w:val="libFootnote0"/>
        <w:rPr>
          <w:rStyle w:val="libFootnote0Char"/>
          <w:rtl/>
        </w:rPr>
      </w:pPr>
      <w:r>
        <w:rPr>
          <w:rtl/>
        </w:rPr>
        <w:t>(4).</w:t>
      </w:r>
      <w:r w:rsidR="008A74EB" w:rsidRPr="00C9040A">
        <w:rPr>
          <w:rtl/>
        </w:rPr>
        <w:t xml:space="preserve"> </w:t>
      </w:r>
      <w:r w:rsidR="008A74EB" w:rsidRPr="00993B55">
        <w:rPr>
          <w:rStyle w:val="libFootnoteBoldChar"/>
          <w:rtl/>
        </w:rPr>
        <w:t>المحاسن</w:t>
      </w:r>
      <w:r w:rsidR="008A74EB" w:rsidRPr="00C9040A">
        <w:rPr>
          <w:rtl/>
        </w:rPr>
        <w:t xml:space="preserve"> ، ص 291 ، </w:t>
      </w:r>
      <w:r w:rsidR="008A74EB" w:rsidRPr="002913F0">
        <w:rPr>
          <w:rStyle w:val="libFootnoteBoldChar"/>
          <w:rtl/>
        </w:rPr>
        <w:t>كتاب مصابيح الظلم</w:t>
      </w:r>
      <w:r w:rsidR="008A74EB" w:rsidRPr="00C9040A">
        <w:rPr>
          <w:rtl/>
        </w:rPr>
        <w:t xml:space="preserve"> ، ح 443 ، بسند آخر عن أبي عبد الله </w:t>
      </w:r>
      <w:r w:rsidR="00117575" w:rsidRPr="00117575">
        <w:rPr>
          <w:rStyle w:val="libFootnoteAlaemChar"/>
          <w:rtl/>
        </w:rPr>
        <w:t>عليه‌السلام</w:t>
      </w:r>
      <w:r w:rsidR="008A74EB" w:rsidRPr="00C9040A">
        <w:rPr>
          <w:rtl/>
        </w:rPr>
        <w:t xml:space="preserve"> عن النبيّ </w:t>
      </w:r>
      <w:r w:rsidR="004A4E41" w:rsidRPr="00AC2E2F">
        <w:rPr>
          <w:rStyle w:val="libFootnoteAlaemChar"/>
          <w:rtl/>
        </w:rPr>
        <w:t>صلى‌الله‌عليه‌وآله</w:t>
      </w:r>
      <w:r w:rsidR="008A74EB" w:rsidRPr="00C9040A">
        <w:rPr>
          <w:rtl/>
        </w:rPr>
        <w:t xml:space="preserve"> ، مع زيادة في آخره </w:t>
      </w:r>
      <w:r w:rsidR="002913F0">
        <w:rPr>
          <w:rFonts w:hint="cs"/>
          <w:rtl/>
        </w:rPr>
        <w:t>.</w:t>
      </w:r>
      <w:r w:rsidR="008A74EB" w:rsidRPr="00993B55">
        <w:rPr>
          <w:rStyle w:val="libFootnoteBoldChar"/>
          <w:rtl/>
        </w:rPr>
        <w:t>الوافي</w:t>
      </w:r>
      <w:r w:rsidR="008A74EB" w:rsidRPr="00C9040A">
        <w:rPr>
          <w:rtl/>
        </w:rPr>
        <w:t xml:space="preserve"> ، ج 4 ، ص 322 ، ح 2020 ؛ </w:t>
      </w:r>
      <w:r w:rsidR="008A74EB" w:rsidRPr="00993B55">
        <w:rPr>
          <w:rStyle w:val="libFootnoteBoldChar"/>
          <w:rtl/>
        </w:rPr>
        <w:t>الوسائل</w:t>
      </w:r>
      <w:r w:rsidR="008A74EB" w:rsidRPr="00C9040A">
        <w:rPr>
          <w:rtl/>
        </w:rPr>
        <w:t xml:space="preserve"> ، ج 15 ، ص 259 ، ح 20448 ؛ </w:t>
      </w:r>
      <w:r w:rsidR="008A74EB" w:rsidRPr="00993B55">
        <w:rPr>
          <w:rStyle w:val="libFootnoteBoldChar"/>
          <w:rtl/>
        </w:rPr>
        <w:t>البحار</w:t>
      </w:r>
      <w:r w:rsidR="008A74EB" w:rsidRPr="00C9040A">
        <w:rPr>
          <w:rtl/>
        </w:rPr>
        <w:t xml:space="preserve"> ، ج 71 ، ص 196 ، ح 5.</w:t>
      </w:r>
    </w:p>
    <w:tbl>
      <w:tblPr>
        <w:tblStyle w:val="TableGrid"/>
        <w:bidiVisual/>
        <w:tblW w:w="0" w:type="auto"/>
        <w:tblLook w:val="04A0" w:firstRow="1" w:lastRow="0" w:firstColumn="1" w:lastColumn="0" w:noHBand="0" w:noVBand="1"/>
      </w:tblPr>
      <w:tblGrid>
        <w:gridCol w:w="4006"/>
        <w:gridCol w:w="4006"/>
      </w:tblGrid>
      <w:tr w:rsidR="002913F0" w:rsidTr="002913F0">
        <w:tc>
          <w:tcPr>
            <w:tcW w:w="4006" w:type="dxa"/>
          </w:tcPr>
          <w:p w:rsidR="002913F0" w:rsidRDefault="002913F0" w:rsidP="004A4E41">
            <w:pPr>
              <w:pStyle w:val="libFootnote0"/>
              <w:rPr>
                <w:rtl/>
              </w:rPr>
            </w:pPr>
            <w:r>
              <w:rPr>
                <w:rtl/>
              </w:rPr>
              <w:t>(5).</w:t>
            </w:r>
            <w:r w:rsidRPr="00C9040A">
              <w:rPr>
                <w:rtl/>
              </w:rPr>
              <w:t xml:space="preserve"> في « ج » : « إذ »</w:t>
            </w:r>
            <w:r>
              <w:rPr>
                <w:rtl/>
              </w:rPr>
              <w:t>.</w:t>
            </w:r>
          </w:p>
        </w:tc>
        <w:tc>
          <w:tcPr>
            <w:tcW w:w="4006" w:type="dxa"/>
          </w:tcPr>
          <w:p w:rsidR="002913F0" w:rsidRDefault="002913F0" w:rsidP="004A4E41">
            <w:pPr>
              <w:pStyle w:val="libFootnote0"/>
              <w:rPr>
                <w:rtl/>
              </w:rPr>
            </w:pPr>
            <w:r>
              <w:rPr>
                <w:rtl/>
              </w:rPr>
              <w:t xml:space="preserve">(6). </w:t>
            </w:r>
            <w:r w:rsidRPr="00C9040A">
              <w:rPr>
                <w:rtl/>
              </w:rPr>
              <w:t xml:space="preserve">في « ف » </w:t>
            </w:r>
            <w:r>
              <w:rPr>
                <w:rtl/>
              </w:rPr>
              <w:t>: -</w:t>
            </w:r>
            <w:r w:rsidRPr="00C9040A">
              <w:rPr>
                <w:rtl/>
              </w:rPr>
              <w:t xml:space="preserve"> « عليه »</w:t>
            </w:r>
            <w:r>
              <w:rPr>
                <w:rtl/>
              </w:rPr>
              <w:t>.</w:t>
            </w:r>
          </w:p>
        </w:tc>
      </w:tr>
    </w:tbl>
    <w:p w:rsidR="008A74EB" w:rsidRPr="00C9040A" w:rsidRDefault="006C577F" w:rsidP="004A4E41">
      <w:pPr>
        <w:pStyle w:val="libFootnote0"/>
        <w:rPr>
          <w:rtl/>
          <w:lang w:bidi="fa-IR"/>
        </w:rPr>
      </w:pPr>
      <w:r>
        <w:rPr>
          <w:rtl/>
        </w:rPr>
        <w:t>(7).</w:t>
      </w:r>
      <w:r w:rsidR="008A74EB" w:rsidRPr="00C9040A">
        <w:rPr>
          <w:rtl/>
        </w:rPr>
        <w:t xml:space="preserve"> في </w:t>
      </w:r>
      <w:r w:rsidR="008A74EB" w:rsidRPr="00993B55">
        <w:rPr>
          <w:rStyle w:val="libFootnoteBoldChar"/>
          <w:rtl/>
        </w:rPr>
        <w:t>مرآة العقول</w:t>
      </w:r>
      <w:r w:rsidR="008A74EB" w:rsidRPr="00C9040A">
        <w:rPr>
          <w:rtl/>
        </w:rPr>
        <w:t xml:space="preserve"> ، ج 8 ، ص 81 : « يكون ، خبر « أنّ » </w:t>
      </w:r>
      <w:r w:rsidR="008A74EB">
        <w:rPr>
          <w:rtl/>
        </w:rPr>
        <w:t>و «</w:t>
      </w:r>
      <w:r w:rsidR="008A74EB" w:rsidRPr="00C9040A">
        <w:rPr>
          <w:rtl/>
        </w:rPr>
        <w:t xml:space="preserve"> فيها » خبر « يكون » والضمير راجع إلى الليلة ، وقوله : « ماشاء الله أن يكون » اسم « يكون » وقوله : « في عامه » متعلّق بيكون ، أو حال عن الليلة. والحاصل أنّه إذا داوم سنة يصادف ليلة القدر التي يكون فيها ما شاء الله كونه من البركات والخيرات والمضاعفات ، فيصير له هذا العمل مضاعفاً مقبولاً. ويحتمل أن يكون الكون بمعنى التقدير ، أو يقدّر مضاف </w:t>
      </w:r>
      <w:r w:rsidR="002913F0">
        <w:rPr>
          <w:rtl/>
        </w:rPr>
        <w:t>في « ما شاء الله » فالمعنى : لم</w:t>
      </w:r>
      <w:r w:rsidR="002913F0">
        <w:rPr>
          <w:rFonts w:hint="cs"/>
          <w:rtl/>
        </w:rPr>
        <w:t>ـّ</w:t>
      </w:r>
      <w:r w:rsidR="008A74EB" w:rsidRPr="00C9040A">
        <w:rPr>
          <w:rtl/>
        </w:rPr>
        <w:t>ا كان تقدير الا</w:t>
      </w:r>
      <w:r w:rsidR="002913F0">
        <w:rPr>
          <w:rFonts w:hint="cs"/>
          <w:rtl/>
        </w:rPr>
        <w:t>ُ</w:t>
      </w:r>
      <w:r w:rsidR="008A74EB" w:rsidRPr="00C9040A">
        <w:rPr>
          <w:rtl/>
        </w:rPr>
        <w:t>مور في ليلة القدر ، فإذا صادفها يصير سبباً لتقدير الا</w:t>
      </w:r>
      <w:r w:rsidR="002913F0">
        <w:rPr>
          <w:rFonts w:hint="cs"/>
          <w:rtl/>
        </w:rPr>
        <w:t>ُ</w:t>
      </w:r>
      <w:r w:rsidR="008A74EB" w:rsidRPr="00C9040A">
        <w:rPr>
          <w:rtl/>
        </w:rPr>
        <w:t>مور العظيمة له</w:t>
      </w:r>
      <w:r w:rsidR="008A74EB">
        <w:rPr>
          <w:rtl/>
        </w:rPr>
        <w:t xml:space="preserve"> ..</w:t>
      </w:r>
      <w:r w:rsidR="008A74EB" w:rsidRPr="00C9040A">
        <w:rPr>
          <w:rtl/>
        </w:rPr>
        <w:t>. وقيل :</w:t>
      </w:r>
      <w:r w:rsidR="008A74EB">
        <w:rPr>
          <w:rtl/>
        </w:rPr>
        <w:t xml:space="preserve"> ..</w:t>
      </w:r>
      <w:r w:rsidR="008A74EB" w:rsidRPr="00C9040A">
        <w:rPr>
          <w:rtl/>
        </w:rPr>
        <w:t>. « وفي عامّة » بتشديد الميم متعلّق</w:t>
      </w:r>
      <w:r w:rsidR="008A74EB">
        <w:rPr>
          <w:rtl/>
        </w:rPr>
        <w:t xml:space="preserve"> ب</w:t>
      </w:r>
      <w:r w:rsidR="002913F0">
        <w:rPr>
          <w:rFonts w:hint="cs"/>
          <w:rtl/>
        </w:rPr>
        <w:t>ـ</w:t>
      </w:r>
      <w:r w:rsidR="008A74EB">
        <w:rPr>
          <w:rtl/>
        </w:rPr>
        <w:t xml:space="preserve"> «</w:t>
      </w:r>
      <w:r w:rsidR="008A74EB" w:rsidRPr="00C9040A">
        <w:rPr>
          <w:rtl/>
        </w:rPr>
        <w:t xml:space="preserve"> تكون » ، أو بقوله : « فيها »</w:t>
      </w:r>
      <w:r w:rsidR="008A74EB">
        <w:rPr>
          <w:rtl/>
        </w:rPr>
        <w:t>.</w:t>
      </w:r>
      <w:r w:rsidR="008A74EB" w:rsidRPr="00C9040A">
        <w:rPr>
          <w:rtl/>
        </w:rPr>
        <w:t xml:space="preserve"> والمراد بالعامّة المجموع</w:t>
      </w:r>
      <w:r w:rsidR="008A74EB">
        <w:rPr>
          <w:rtl/>
        </w:rPr>
        <w:t xml:space="preserve"> ..</w:t>
      </w:r>
      <w:r w:rsidR="008A74EB" w:rsidRPr="00C9040A">
        <w:rPr>
          <w:rtl/>
        </w:rPr>
        <w:t>. والحاصل أنّه يكون فيه ليلة القدر ، سواء وقع أوّله أو وسطه أو آخره. وما ذكرنا</w:t>
      </w:r>
      <w:r w:rsidR="008A74EB">
        <w:rPr>
          <w:rtl/>
        </w:rPr>
        <w:t xml:space="preserve"> </w:t>
      </w:r>
      <w:r w:rsidR="0084262C">
        <w:rPr>
          <w:rtl/>
        </w:rPr>
        <w:t>-</w:t>
      </w:r>
      <w:r w:rsidR="008A74EB">
        <w:rPr>
          <w:rtl/>
        </w:rPr>
        <w:t xml:space="preserve"> </w:t>
      </w:r>
      <w:r w:rsidR="008A74EB" w:rsidRPr="00C9040A">
        <w:rPr>
          <w:rtl/>
        </w:rPr>
        <w:t>أي تخفيف الميم</w:t>
      </w:r>
      <w:r w:rsidR="008A74EB">
        <w:rPr>
          <w:rtl/>
        </w:rPr>
        <w:t xml:space="preserve"> </w:t>
      </w:r>
      <w:r w:rsidR="0084262C">
        <w:rPr>
          <w:rtl/>
        </w:rPr>
        <w:t>-</w:t>
      </w:r>
      <w:r w:rsidR="008A74EB">
        <w:rPr>
          <w:rtl/>
        </w:rPr>
        <w:t xml:space="preserve"> </w:t>
      </w:r>
      <w:r w:rsidR="008A74EB" w:rsidRPr="00C9040A">
        <w:rPr>
          <w:rtl/>
        </w:rPr>
        <w:t>أظهر »</w:t>
      </w:r>
      <w:r w:rsidR="008A74EB">
        <w:rPr>
          <w:rtl/>
        </w:rPr>
        <w:t>.</w:t>
      </w:r>
      <w:r w:rsidR="008A74EB" w:rsidRPr="00C9040A">
        <w:rPr>
          <w:rtl/>
        </w:rPr>
        <w:t xml:space="preserve"> وفي هامش المطبوع عن بعض النسخ : « عامة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w:t>
      </w:r>
      <w:r w:rsidR="008A74EB" w:rsidRPr="00993B55">
        <w:rPr>
          <w:rStyle w:val="libFootnoteBoldChar"/>
          <w:rtl/>
        </w:rPr>
        <w:t>دعائم الإسلام</w:t>
      </w:r>
      <w:r w:rsidR="008A74EB" w:rsidRPr="00C9040A">
        <w:rPr>
          <w:rtl/>
        </w:rPr>
        <w:t xml:space="preserve"> ، ج 1 ، ص 214 ، عن أبي عبدالله </w:t>
      </w:r>
      <w:r w:rsidR="00117575" w:rsidRPr="00117575">
        <w:rPr>
          <w:rStyle w:val="libFootnoteAlaemChar"/>
          <w:rtl/>
        </w:rPr>
        <w:t>عليه‌السلام</w:t>
      </w:r>
      <w:r w:rsidR="008A74EB" w:rsidRPr="00C9040A">
        <w:rPr>
          <w:rtl/>
        </w:rPr>
        <w:t xml:space="preserve"> ، إلى قوله : « سنة » </w:t>
      </w:r>
      <w:r w:rsidR="002913F0">
        <w:rPr>
          <w:rFonts w:hint="cs"/>
          <w:rtl/>
        </w:rPr>
        <w:t>.</w:t>
      </w:r>
      <w:r w:rsidR="008A74EB" w:rsidRPr="00993B55">
        <w:rPr>
          <w:rStyle w:val="libFootnoteBoldChar"/>
          <w:rtl/>
        </w:rPr>
        <w:t>الوافي</w:t>
      </w:r>
      <w:r w:rsidR="008A74EB" w:rsidRPr="00C9040A">
        <w:rPr>
          <w:rtl/>
        </w:rPr>
        <w:t xml:space="preserve"> ، ج 4 ، ص 358 ، ح 2123 ؛ </w:t>
      </w:r>
      <w:r w:rsidR="008A74EB" w:rsidRPr="00993B55">
        <w:rPr>
          <w:rStyle w:val="libFootnoteBoldChar"/>
          <w:rtl/>
        </w:rPr>
        <w:t>الوسائل</w:t>
      </w:r>
      <w:r w:rsidR="008A74EB" w:rsidRPr="00C9040A">
        <w:rPr>
          <w:rtl/>
        </w:rPr>
        <w:t xml:space="preserve"> ، ج 1 ، ص 94 ، ح 223 ؛ </w:t>
      </w:r>
      <w:r w:rsidR="008A74EB" w:rsidRPr="00993B55">
        <w:rPr>
          <w:rStyle w:val="libFootnoteBoldChar"/>
          <w:rtl/>
        </w:rPr>
        <w:t>البحار</w:t>
      </w:r>
      <w:r w:rsidR="008A74EB" w:rsidRPr="00C9040A">
        <w:rPr>
          <w:rtl/>
        </w:rPr>
        <w:t xml:space="preserve"> ، ج 71 ، ص 218 ، ح 24.</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694943">
        <w:rPr>
          <w:rtl/>
        </w:rPr>
        <w:t>1663</w:t>
      </w:r>
      <w:r w:rsidRPr="00261CB0">
        <w:rPr>
          <w:rStyle w:val="libBold2Char"/>
          <w:rtl/>
        </w:rPr>
        <w:t xml:space="preserve"> / 2.</w:t>
      </w:r>
      <w:r w:rsidRPr="00C9040A">
        <w:rPr>
          <w:rtl/>
          <w:lang w:bidi="fa-IR"/>
        </w:rPr>
        <w:t xml:space="preserve"> عَلِيُّ بْنُ إِبْرَاهِيمَ ، عَنْ أَبِيهِ ، عَنْ حَمَّادِ بْنِ عِيسى ، عَنْ حَرِيزٍ ، عَنْ زُرَارَةَ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w:t>
      </w:r>
      <w:r w:rsidR="006C577F" w:rsidRPr="006C577F">
        <w:rPr>
          <w:rStyle w:val="libFootnotenumChar"/>
          <w:rtl/>
        </w:rPr>
        <w:t>(1)</w:t>
      </w:r>
      <w:r w:rsidRPr="00C9040A">
        <w:rPr>
          <w:rtl/>
          <w:lang w:bidi="fa-IR"/>
        </w:rPr>
        <w:t xml:space="preserve">، قَالَ </w:t>
      </w:r>
      <w:r w:rsidR="006C577F" w:rsidRPr="006C577F">
        <w:rPr>
          <w:rStyle w:val="libFootnotenumChar"/>
          <w:rtl/>
        </w:rPr>
        <w:t>(2)</w:t>
      </w:r>
      <w:r w:rsidRPr="00C9040A">
        <w:rPr>
          <w:rtl/>
          <w:lang w:bidi="fa-IR"/>
        </w:rPr>
        <w:t xml:space="preserve"> : قَالَ </w:t>
      </w:r>
      <w:r w:rsidR="006C577F" w:rsidRPr="006C577F">
        <w:rPr>
          <w:rStyle w:val="libFootnotenumChar"/>
          <w:rtl/>
        </w:rPr>
        <w:t>(3)</w:t>
      </w:r>
      <w:r w:rsidRPr="00C9040A">
        <w:rPr>
          <w:rtl/>
          <w:lang w:bidi="fa-IR"/>
        </w:rPr>
        <w:t xml:space="preserve"> : « أَحَبُّ الْأَعْمَالِ إِلَى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مَا دَاوَمَ </w:t>
      </w:r>
      <w:r w:rsidR="006C577F" w:rsidRPr="006C577F">
        <w:rPr>
          <w:rStyle w:val="libFootnotenumChar"/>
          <w:rtl/>
        </w:rPr>
        <w:t>(4)</w:t>
      </w:r>
      <w:r w:rsidRPr="00C9040A">
        <w:rPr>
          <w:rtl/>
          <w:lang w:bidi="fa-IR"/>
        </w:rPr>
        <w:t xml:space="preserve"> عَلَيْهِ الْعَبْدُ وَإِنْ قَلَّ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694943">
        <w:rPr>
          <w:rtl/>
        </w:rPr>
        <w:t>1664</w:t>
      </w:r>
      <w:r w:rsidRPr="00261CB0">
        <w:rPr>
          <w:rStyle w:val="libBold2Char"/>
          <w:rtl/>
        </w:rPr>
        <w:t xml:space="preserve"> / 3.</w:t>
      </w:r>
      <w:r w:rsidRPr="00C9040A">
        <w:rPr>
          <w:rtl/>
          <w:lang w:bidi="fa-IR"/>
        </w:rPr>
        <w:t xml:space="preserve"> أَبُو عَلِيٍّ الْأَشْعَرِيُّ ، عَنْ عِيسَى بْنِ أَيُّوبَ ، عَنْ عَلِيِّ بْنِ مَهْزِيَارَ ، عَنْ فَضَالَةَ بْنِ أَيُّوبَ ، عَنْ مُعَاوِيَةَ بْنِ عَمَّارٍ ، عَنْ نَجِيَّةَ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2913F0" w:rsidTr="002913F0">
        <w:tc>
          <w:tcPr>
            <w:tcW w:w="4006" w:type="dxa"/>
          </w:tcPr>
          <w:p w:rsidR="002913F0" w:rsidRDefault="002913F0" w:rsidP="004A4E41">
            <w:pPr>
              <w:pStyle w:val="libFootnote0"/>
              <w:rPr>
                <w:rtl/>
              </w:rPr>
            </w:pPr>
            <w:r>
              <w:rPr>
                <w:rtl/>
              </w:rPr>
              <w:t>(1).</w:t>
            </w:r>
            <w:r w:rsidRPr="00C9040A">
              <w:rPr>
                <w:rtl/>
              </w:rPr>
              <w:t xml:space="preserve"> في « </w:t>
            </w:r>
            <w:r>
              <w:rPr>
                <w:rtl/>
              </w:rPr>
              <w:t xml:space="preserve">ه </w:t>
            </w:r>
            <w:r w:rsidRPr="00C9040A">
              <w:rPr>
                <w:rtl/>
              </w:rPr>
              <w:t xml:space="preserve">» </w:t>
            </w:r>
            <w:r>
              <w:rPr>
                <w:rtl/>
              </w:rPr>
              <w:t>: -</w:t>
            </w:r>
            <w:r w:rsidRPr="00C9040A">
              <w:rPr>
                <w:rtl/>
              </w:rPr>
              <w:t xml:space="preserve"> « عن أبي جعفر </w:t>
            </w:r>
            <w:r w:rsidR="00117575" w:rsidRPr="00117575">
              <w:rPr>
                <w:rStyle w:val="libFootnoteAlaemChar"/>
                <w:rtl/>
              </w:rPr>
              <w:t xml:space="preserve">عليه‌السلام </w:t>
            </w:r>
            <w:r w:rsidRPr="00C9040A">
              <w:rPr>
                <w:rtl/>
              </w:rPr>
              <w:t xml:space="preserve"> »</w:t>
            </w:r>
            <w:r>
              <w:rPr>
                <w:rtl/>
              </w:rPr>
              <w:t>.</w:t>
            </w:r>
          </w:p>
        </w:tc>
        <w:tc>
          <w:tcPr>
            <w:tcW w:w="4006" w:type="dxa"/>
          </w:tcPr>
          <w:p w:rsidR="002913F0" w:rsidRDefault="002913F0" w:rsidP="004A4E41">
            <w:pPr>
              <w:pStyle w:val="libFootnote0"/>
              <w:rPr>
                <w:rtl/>
              </w:rPr>
            </w:pPr>
            <w:r>
              <w:rPr>
                <w:rtl/>
              </w:rPr>
              <w:t xml:space="preserve">(2). </w:t>
            </w:r>
            <w:r w:rsidRPr="00C9040A">
              <w:rPr>
                <w:rtl/>
              </w:rPr>
              <w:t xml:space="preserve">في البحار </w:t>
            </w:r>
            <w:r>
              <w:rPr>
                <w:rtl/>
              </w:rPr>
              <w:t>: -</w:t>
            </w:r>
            <w:r w:rsidRPr="00C9040A">
              <w:rPr>
                <w:rtl/>
              </w:rPr>
              <w:t xml:space="preserve"> « قال »</w:t>
            </w:r>
            <w:r>
              <w:rPr>
                <w:rtl/>
              </w:rPr>
              <w:t>.</w:t>
            </w:r>
          </w:p>
        </w:tc>
      </w:tr>
      <w:tr w:rsidR="002913F0" w:rsidTr="002913F0">
        <w:tc>
          <w:tcPr>
            <w:tcW w:w="4006" w:type="dxa"/>
          </w:tcPr>
          <w:p w:rsidR="002913F0" w:rsidRDefault="002913F0" w:rsidP="004A4E41">
            <w:pPr>
              <w:pStyle w:val="libFootnote0"/>
              <w:rPr>
                <w:rtl/>
              </w:rPr>
            </w:pPr>
            <w:r>
              <w:rPr>
                <w:rtl/>
              </w:rPr>
              <w:t>(3). في «ه ،بر ،بف ،جر»: +</w:t>
            </w:r>
            <w:r w:rsidRPr="00C9040A">
              <w:rPr>
                <w:rtl/>
              </w:rPr>
              <w:t xml:space="preserve">« أبو جعفر </w:t>
            </w:r>
            <w:r w:rsidR="00117575" w:rsidRPr="00117575">
              <w:rPr>
                <w:rStyle w:val="libFootnoteAlaemChar"/>
                <w:rtl/>
              </w:rPr>
              <w:t xml:space="preserve">عليه‌السلام </w:t>
            </w:r>
            <w:r w:rsidRPr="00C9040A">
              <w:rPr>
                <w:rtl/>
              </w:rPr>
              <w:t>»</w:t>
            </w:r>
            <w:r>
              <w:rPr>
                <w:rtl/>
              </w:rPr>
              <w:t>.</w:t>
            </w:r>
          </w:p>
        </w:tc>
        <w:tc>
          <w:tcPr>
            <w:tcW w:w="4006" w:type="dxa"/>
          </w:tcPr>
          <w:p w:rsidR="002913F0" w:rsidRDefault="002913F0" w:rsidP="004A4E41">
            <w:pPr>
              <w:pStyle w:val="libFootnote0"/>
              <w:rPr>
                <w:rtl/>
              </w:rPr>
            </w:pPr>
            <w:r>
              <w:rPr>
                <w:rtl/>
              </w:rPr>
              <w:t>(4).</w:t>
            </w:r>
            <w:r w:rsidRPr="00C9040A">
              <w:rPr>
                <w:rtl/>
              </w:rPr>
              <w:t xml:space="preserve"> في « ف » والتهذيب : « ما دام »</w:t>
            </w:r>
            <w:r>
              <w:rPr>
                <w:rtl/>
              </w:rPr>
              <w:t>.</w:t>
            </w:r>
          </w:p>
        </w:tc>
      </w:tr>
    </w:tbl>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الكافي</w:t>
      </w:r>
      <w:r w:rsidR="008A74EB" w:rsidRPr="00C9040A">
        <w:rPr>
          <w:rtl/>
        </w:rPr>
        <w:t xml:space="preserve"> ، كتاب الصلاة ، باب المواقيت أوّلها وآخرها وأفضلها ، ح 4831 ؛ و</w:t>
      </w:r>
      <w:r w:rsidR="008A74EB" w:rsidRPr="00993B55">
        <w:rPr>
          <w:rStyle w:val="libFootnoteBoldChar"/>
          <w:rtl/>
        </w:rPr>
        <w:t>التهذيب</w:t>
      </w:r>
      <w:r w:rsidR="008A74EB" w:rsidRPr="00C9040A">
        <w:rPr>
          <w:rtl/>
        </w:rPr>
        <w:t xml:space="preserve"> ، ج 2 ، ص 41 ، ح 130 ، بسندهما عن حمّاد بن عيسى ، مع زيادة في أوّله. </w:t>
      </w:r>
      <w:r w:rsidR="008A74EB" w:rsidRPr="00993B55">
        <w:rPr>
          <w:rStyle w:val="libFootnoteBoldChar"/>
          <w:rtl/>
        </w:rPr>
        <w:t>تنزيه الأنبياء</w:t>
      </w:r>
      <w:r w:rsidR="008A74EB" w:rsidRPr="00C9040A">
        <w:rPr>
          <w:rtl/>
        </w:rPr>
        <w:t xml:space="preserve"> </w:t>
      </w:r>
      <w:r w:rsidR="00117575" w:rsidRPr="00117575">
        <w:rPr>
          <w:rStyle w:val="libFootnoteAlaemChar"/>
          <w:rtl/>
        </w:rPr>
        <w:t>عليهم‌السلام</w:t>
      </w:r>
      <w:r w:rsidR="008A74EB" w:rsidRPr="00C9040A">
        <w:rPr>
          <w:rtl/>
        </w:rPr>
        <w:t xml:space="preserve"> ، ص 130 ، مرسلاً عن أبي هريرة ، عن النبيّ </w:t>
      </w:r>
      <w:r w:rsidR="004A4E41" w:rsidRPr="00AC2E2F">
        <w:rPr>
          <w:rStyle w:val="libFootnoteAlaemChar"/>
          <w:rtl/>
        </w:rPr>
        <w:t>صلى‌الله‌عليه‌وآله</w:t>
      </w:r>
      <w:r w:rsidR="008A74EB" w:rsidRPr="00C9040A">
        <w:rPr>
          <w:rtl/>
        </w:rPr>
        <w:t xml:space="preserve"> ، مع اختلاف يسير وزيادة في آخره </w:t>
      </w:r>
      <w:r w:rsidR="002913F0">
        <w:rPr>
          <w:rFonts w:hint="cs"/>
          <w:rtl/>
        </w:rPr>
        <w:t>.</w:t>
      </w:r>
      <w:r w:rsidR="008A74EB" w:rsidRPr="00993B55">
        <w:rPr>
          <w:rStyle w:val="libFootnoteBoldChar"/>
          <w:rtl/>
        </w:rPr>
        <w:t>الوافي</w:t>
      </w:r>
      <w:r w:rsidR="008A74EB" w:rsidRPr="00C9040A">
        <w:rPr>
          <w:rtl/>
        </w:rPr>
        <w:t xml:space="preserve"> ، ج 4 ، ص 357 ، ح 2117 ؛ </w:t>
      </w:r>
      <w:r w:rsidR="008A74EB" w:rsidRPr="00993B55">
        <w:rPr>
          <w:rStyle w:val="libFootnoteBoldChar"/>
          <w:rtl/>
        </w:rPr>
        <w:t>الوسائل</w:t>
      </w:r>
      <w:r w:rsidR="008A74EB" w:rsidRPr="00C9040A">
        <w:rPr>
          <w:rtl/>
        </w:rPr>
        <w:t xml:space="preserve"> ، ج 1 ، ص 94 ، ح 224 ؛ </w:t>
      </w:r>
      <w:r w:rsidR="008A74EB" w:rsidRPr="00993B55">
        <w:rPr>
          <w:rStyle w:val="libFootnoteBoldChar"/>
          <w:rtl/>
        </w:rPr>
        <w:t>البحار</w:t>
      </w:r>
      <w:r w:rsidR="008A74EB" w:rsidRPr="00C9040A">
        <w:rPr>
          <w:rtl/>
        </w:rPr>
        <w:t xml:space="preserve"> ، ج 71 ، ص 219 ، ح 25.</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هكذا في « ب ، ج ، د ، </w:t>
      </w:r>
      <w:r w:rsidR="006D3162">
        <w:rPr>
          <w:rtl/>
        </w:rPr>
        <w:t xml:space="preserve">ه </w:t>
      </w:r>
      <w:r w:rsidR="008A74EB" w:rsidRPr="00C9040A">
        <w:rPr>
          <w:rtl/>
        </w:rPr>
        <w:t>، بر » والوسائل. وفي « ص ، ف ، بس ، بف » : « نجيه » من دون تشديد. وفي « ز » : « نجبّه »</w:t>
      </w:r>
      <w:r w:rsidR="008A74EB">
        <w:rPr>
          <w:rtl/>
        </w:rPr>
        <w:t>.</w:t>
      </w:r>
      <w:r w:rsidR="008A74EB" w:rsidRPr="00C9040A">
        <w:rPr>
          <w:rtl/>
        </w:rPr>
        <w:t xml:space="preserve"> وفي « ص » : « نحبه »</w:t>
      </w:r>
      <w:r w:rsidR="008A74EB">
        <w:rPr>
          <w:rtl/>
        </w:rPr>
        <w:t>.</w:t>
      </w:r>
      <w:r w:rsidR="008A74EB" w:rsidRPr="00C9040A">
        <w:rPr>
          <w:rtl/>
        </w:rPr>
        <w:t xml:space="preserve"> وفي المطبوع والبحار : « نجبة »</w:t>
      </w:r>
      <w:r w:rsidR="008A74EB">
        <w:rPr>
          <w:rtl/>
        </w:rPr>
        <w:t>.</w:t>
      </w:r>
    </w:p>
    <w:p w:rsidR="008A74EB" w:rsidRPr="00C9040A" w:rsidRDefault="008A74EB" w:rsidP="004A4E41">
      <w:pPr>
        <w:pStyle w:val="libFootnote0"/>
        <w:rPr>
          <w:rtl/>
          <w:lang w:bidi="fa-IR"/>
        </w:rPr>
      </w:pPr>
      <w:r w:rsidRPr="00323A39">
        <w:rPr>
          <w:rtl/>
        </w:rPr>
        <w:t xml:space="preserve">والظاهر أنّ الصواب ما أثبتناه ، وأن نجيّة هذا ، هو نجيّة العطّار المذكور في </w:t>
      </w:r>
      <w:r w:rsidRPr="00993B55">
        <w:rPr>
          <w:rStyle w:val="libFootnoteBoldChar"/>
          <w:rtl/>
        </w:rPr>
        <w:t>رجال البرقي</w:t>
      </w:r>
      <w:r w:rsidRPr="00323A39">
        <w:rPr>
          <w:rtl/>
        </w:rPr>
        <w:t xml:space="preserve"> ، ص 34 ، في أصحاب الصادق </w:t>
      </w:r>
      <w:r w:rsidR="00117575" w:rsidRPr="00117575">
        <w:rPr>
          <w:rStyle w:val="libFootnoteAlaemChar"/>
          <w:rtl/>
        </w:rPr>
        <w:t xml:space="preserve">عليه‌السلام </w:t>
      </w:r>
      <w:r w:rsidRPr="00323A39">
        <w:rPr>
          <w:rtl/>
        </w:rPr>
        <w:t xml:space="preserve">. وهو متّحد مع نجيّة بن الحارث المذكور في </w:t>
      </w:r>
      <w:r w:rsidRPr="00993B55">
        <w:rPr>
          <w:rStyle w:val="libFootnoteBoldChar"/>
          <w:rtl/>
        </w:rPr>
        <w:t>رجال الطوسي</w:t>
      </w:r>
      <w:r w:rsidRPr="00323A39">
        <w:rPr>
          <w:rtl/>
        </w:rPr>
        <w:t xml:space="preserve"> ، ص 316 ، الرقم 4705 ، وص 345 ، الرقم 5149 في أصحاب الصادق وموسى بن جعفر </w:t>
      </w:r>
      <w:r w:rsidR="00117575" w:rsidRPr="00117575">
        <w:rPr>
          <w:rStyle w:val="libFootnoteAlaemChar"/>
          <w:rtl/>
        </w:rPr>
        <w:t>عليهما‌السلام</w:t>
      </w:r>
      <w:r w:rsidRPr="00323A39">
        <w:rPr>
          <w:rtl/>
        </w:rPr>
        <w:t xml:space="preserve"> ، فقد وردت رواية نجيّة بعناوينه المختلفة </w:t>
      </w:r>
      <w:r w:rsidR="0084262C" w:rsidRPr="00323A39">
        <w:rPr>
          <w:rtl/>
        </w:rPr>
        <w:t>-</w:t>
      </w:r>
      <w:r w:rsidRPr="00323A39">
        <w:rPr>
          <w:rtl/>
        </w:rPr>
        <w:t xml:space="preserve"> نجية ، نحية العطّار ، نجيّة بن الحارث ، ونجية بن الحارث العطّار </w:t>
      </w:r>
      <w:r w:rsidR="0084262C" w:rsidRPr="00323A39">
        <w:rPr>
          <w:rtl/>
        </w:rPr>
        <w:t>-</w:t>
      </w:r>
      <w:r w:rsidRPr="00323A39">
        <w:rPr>
          <w:rtl/>
        </w:rPr>
        <w:t xml:space="preserve"> عن أبي جعفر وأبي عبد الله وأبي الحسن </w:t>
      </w:r>
      <w:r w:rsidR="00117575" w:rsidRPr="00117575">
        <w:rPr>
          <w:rStyle w:val="libFootnoteAlaemChar"/>
          <w:rtl/>
        </w:rPr>
        <w:t>عليهم‌السلام</w:t>
      </w:r>
      <w:r w:rsidRPr="00323A39">
        <w:rPr>
          <w:rtl/>
        </w:rPr>
        <w:t xml:space="preserve">. راجع : </w:t>
      </w:r>
      <w:r w:rsidRPr="00993B55">
        <w:rPr>
          <w:rStyle w:val="libFootnoteBoldChar"/>
          <w:rtl/>
        </w:rPr>
        <w:t>الكافي</w:t>
      </w:r>
      <w:r w:rsidRPr="00323A39">
        <w:rPr>
          <w:rtl/>
        </w:rPr>
        <w:t xml:space="preserve"> ، ح 14798 ؛ </w:t>
      </w:r>
      <w:r w:rsidRPr="00993B55">
        <w:rPr>
          <w:rStyle w:val="libFootnoteBoldChar"/>
          <w:rtl/>
        </w:rPr>
        <w:t>التهذيب</w:t>
      </w:r>
      <w:r w:rsidRPr="00323A39">
        <w:rPr>
          <w:rtl/>
        </w:rPr>
        <w:t xml:space="preserve"> ، ج 2 ، ص 134 ، ح 441 ؛ وج 4 ، ص 301 ، ح 910 </w:t>
      </w:r>
      <w:r w:rsidR="0084262C" w:rsidRPr="00323A39">
        <w:rPr>
          <w:rtl/>
        </w:rPr>
        <w:t>-</w:t>
      </w:r>
      <w:r w:rsidRPr="00323A39">
        <w:rPr>
          <w:rtl/>
        </w:rPr>
        <w:t xml:space="preserve"> وقد ورد هذا الخبر في </w:t>
      </w:r>
      <w:r w:rsidRPr="00993B55">
        <w:rPr>
          <w:rStyle w:val="libFootnoteBoldChar"/>
          <w:rtl/>
        </w:rPr>
        <w:t>الكافي</w:t>
      </w:r>
      <w:r w:rsidRPr="00323A39">
        <w:rPr>
          <w:rtl/>
        </w:rPr>
        <w:t xml:space="preserve"> ، ح 6581. وفيه : « نجبة ». لكن في نسختين عتيقتين منه : « نجيّة » </w:t>
      </w:r>
      <w:r w:rsidR="0084262C" w:rsidRPr="00323A39">
        <w:rPr>
          <w:rtl/>
        </w:rPr>
        <w:t>-</w:t>
      </w:r>
      <w:r w:rsidRPr="00323A39">
        <w:rPr>
          <w:rtl/>
        </w:rPr>
        <w:t xml:space="preserve"> </w:t>
      </w:r>
      <w:r w:rsidRPr="00993B55">
        <w:rPr>
          <w:rStyle w:val="libFootnoteBoldChar"/>
          <w:rtl/>
        </w:rPr>
        <w:t>الاستبصار</w:t>
      </w:r>
      <w:r w:rsidRPr="00323A39">
        <w:rPr>
          <w:rtl/>
        </w:rPr>
        <w:t xml:space="preserve"> ، ج 2 ، ص 325 ، ح 3 ؛ </w:t>
      </w:r>
      <w:r w:rsidRPr="00993B55">
        <w:rPr>
          <w:rStyle w:val="libFootnoteBoldChar"/>
          <w:rtl/>
        </w:rPr>
        <w:t>التهذيب</w:t>
      </w:r>
      <w:r w:rsidRPr="00323A39">
        <w:rPr>
          <w:rtl/>
        </w:rPr>
        <w:t xml:space="preserve"> ، ج 4 ، ص 434 ، ح 1505.</w:t>
      </w:r>
    </w:p>
    <w:p w:rsidR="008A74EB" w:rsidRPr="00C9040A" w:rsidRDefault="008A74EB" w:rsidP="004A4E41">
      <w:pPr>
        <w:pStyle w:val="libFootnote0"/>
        <w:rPr>
          <w:rtl/>
          <w:lang w:bidi="fa-IR"/>
        </w:rPr>
      </w:pPr>
      <w:r w:rsidRPr="00323A39">
        <w:rPr>
          <w:rtl/>
        </w:rPr>
        <w:t xml:space="preserve">هذا ، وقد ورد في </w:t>
      </w:r>
      <w:r w:rsidRPr="00993B55">
        <w:rPr>
          <w:rStyle w:val="libFootnoteBoldChar"/>
          <w:rtl/>
        </w:rPr>
        <w:t>رجال الكشّي</w:t>
      </w:r>
      <w:r w:rsidRPr="00323A39">
        <w:rPr>
          <w:rtl/>
        </w:rPr>
        <w:t xml:space="preserve"> ، ص 452 ، الرقم 852. عنوان « نجبة بن الحارث » ونقله ابن داود في رجاله ، ص 358 ، الرقم 1598 وقال : « نَجَبَة : بالنون والجيم المفتوحتين والباء المفردة » ، لكن لا يمكن الاعتماد على هذين الأمرين. أمّا </w:t>
      </w:r>
      <w:r w:rsidRPr="00993B55">
        <w:rPr>
          <w:rStyle w:val="libFootnoteBoldChar"/>
          <w:rtl/>
        </w:rPr>
        <w:t>رجال الكشّي</w:t>
      </w:r>
      <w:r w:rsidRPr="00323A39">
        <w:rPr>
          <w:rtl/>
        </w:rPr>
        <w:t xml:space="preserve"> ، فقد ورد في حاشيته هكذا : « في أغلب النسخ : نجية ». وأمّا </w:t>
      </w:r>
      <w:r w:rsidRPr="00993B55">
        <w:rPr>
          <w:rStyle w:val="libFootnoteBoldChar"/>
          <w:rtl/>
        </w:rPr>
        <w:t>رجال ابن داود</w:t>
      </w:r>
      <w:r w:rsidR="002913F0">
        <w:rPr>
          <w:rtl/>
        </w:rPr>
        <w:t xml:space="preserve"> فهو ليس إل</w:t>
      </w:r>
      <w:r w:rsidR="002913F0">
        <w:rPr>
          <w:rFonts w:hint="cs"/>
          <w:rtl/>
        </w:rPr>
        <w:t>ّ</w:t>
      </w:r>
      <w:r w:rsidR="002913F0">
        <w:rPr>
          <w:rtl/>
        </w:rPr>
        <w:t>ا</w:t>
      </w:r>
      <w:r w:rsidR="002913F0">
        <w:rPr>
          <w:rFonts w:hint="cs"/>
          <w:rtl/>
        </w:rPr>
        <w:t xml:space="preserve"> </w:t>
      </w:r>
      <w:r w:rsidRPr="00323A39">
        <w:rPr>
          <w:rtl/>
        </w:rPr>
        <w:t>كنسخة ولا يمكن الاعتماد على ضبطه ، سيّما إذا تفرّد هو بالضبط ، وهذا واضح لمن مارس هذا الكتاب.</w:t>
      </w:r>
    </w:p>
    <w:p w:rsidR="008A74EB" w:rsidRPr="00C9040A" w:rsidRDefault="008A74EB" w:rsidP="004A4E41">
      <w:pPr>
        <w:pStyle w:val="libFootnote0"/>
        <w:rPr>
          <w:rtl/>
          <w:lang w:bidi="fa-IR"/>
        </w:rPr>
      </w:pPr>
      <w:r w:rsidRPr="00323A39">
        <w:rPr>
          <w:rtl/>
        </w:rPr>
        <w:t xml:space="preserve">وأمّا الضبط الصحيح للكلمة فهو « نَجِيَّة » ، بالنون المفتوحة والجيم المكسورة والياء تحتها نقطتان. راجع : </w:t>
      </w:r>
      <w:r w:rsidRPr="00993B55">
        <w:rPr>
          <w:rStyle w:val="libFootnoteBoldChar"/>
          <w:rtl/>
        </w:rPr>
        <w:t>توضيح المشتبه</w:t>
      </w:r>
      <w:r w:rsidRPr="00323A39">
        <w:rPr>
          <w:rtl/>
        </w:rPr>
        <w:t xml:space="preserve"> ، ج 2 ، ص 33.</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مَا مِنْ شَيْ‌ءٍ أَحَبَّ إِلَى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مِنْ عَمَلٍ يُدَاوَمُ </w:t>
      </w:r>
      <w:r w:rsidR="006C577F" w:rsidRPr="006C577F">
        <w:rPr>
          <w:rStyle w:val="libFootnotenumChar"/>
          <w:rtl/>
        </w:rPr>
        <w:t>(1)</w:t>
      </w:r>
      <w:r w:rsidRPr="002712F0">
        <w:rPr>
          <w:rFonts w:hint="cs"/>
          <w:rtl/>
        </w:rPr>
        <w:t xml:space="preserve"> </w:t>
      </w:r>
      <w:r w:rsidRPr="00C9040A">
        <w:rPr>
          <w:rtl/>
          <w:lang w:bidi="fa-IR"/>
        </w:rPr>
        <w:t>عَلَيْهِ وَإِنْ قَلَّ »</w:t>
      </w:r>
      <w:r>
        <w:rPr>
          <w:rtl/>
          <w:lang w:bidi="fa-IR"/>
        </w:rPr>
        <w:t>.</w:t>
      </w:r>
      <w:r w:rsidRPr="00C9040A">
        <w:rPr>
          <w:rtl/>
          <w:lang w:bidi="fa-IR"/>
        </w:rPr>
        <w:t xml:space="preserve"> </w:t>
      </w:r>
      <w:r w:rsidR="006C577F" w:rsidRPr="006C577F">
        <w:rPr>
          <w:rStyle w:val="libFootnotenumChar"/>
          <w:rtl/>
        </w:rPr>
        <w:t>(2)</w:t>
      </w:r>
    </w:p>
    <w:p w:rsidR="008A74EB" w:rsidRPr="00C9040A" w:rsidRDefault="008A74EB" w:rsidP="008A74EB">
      <w:pPr>
        <w:pStyle w:val="libNormal"/>
        <w:rPr>
          <w:rtl/>
          <w:lang w:bidi="fa-IR"/>
        </w:rPr>
      </w:pPr>
      <w:r w:rsidRPr="00694943">
        <w:rPr>
          <w:rtl/>
        </w:rPr>
        <w:t>1665</w:t>
      </w:r>
      <w:r w:rsidRPr="00261CB0">
        <w:rPr>
          <w:rStyle w:val="libBold2Char"/>
          <w:rtl/>
        </w:rPr>
        <w:t xml:space="preserve"> / 4.</w:t>
      </w:r>
      <w:r w:rsidRPr="00C9040A">
        <w:rPr>
          <w:rtl/>
          <w:lang w:bidi="fa-IR"/>
        </w:rPr>
        <w:t xml:space="preserve"> عَنْهُ </w:t>
      </w:r>
      <w:r w:rsidR="006C577F" w:rsidRPr="006C577F">
        <w:rPr>
          <w:rStyle w:val="libFootnotenumChar"/>
          <w:rtl/>
        </w:rPr>
        <w:t>(3)</w:t>
      </w:r>
      <w:r w:rsidRPr="00C9040A">
        <w:rPr>
          <w:rtl/>
          <w:lang w:bidi="fa-IR"/>
        </w:rPr>
        <w:t xml:space="preserve"> ، عَنْ فَضَالَةَ بْنِ أَيُّوبَ ، عَنْ مُعَاوِيَةَ بْنِ عَمَّارٍ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كَانَ عَلِيُّ بْنُ الْحُسَيْنِ</w:t>
      </w:r>
      <w:r>
        <w:rPr>
          <w:rtl/>
          <w:lang w:bidi="fa-IR"/>
        </w:rPr>
        <w:t xml:space="preserve"> </w:t>
      </w:r>
      <w:r w:rsidR="0084262C">
        <w:rPr>
          <w:rtl/>
          <w:lang w:bidi="fa-IR"/>
        </w:rPr>
        <w:t>-</w:t>
      </w:r>
      <w:r>
        <w:rPr>
          <w:rtl/>
          <w:lang w:bidi="fa-IR"/>
        </w:rPr>
        <w:t xml:space="preserve"> </w:t>
      </w:r>
      <w:r w:rsidRPr="00C9040A">
        <w:rPr>
          <w:rtl/>
          <w:lang w:bidi="fa-IR"/>
        </w:rPr>
        <w:t>صَلَوَاتُ اللهِ عَلَيْهِمَا</w:t>
      </w:r>
      <w:r>
        <w:rPr>
          <w:rtl/>
          <w:lang w:bidi="fa-IR"/>
        </w:rPr>
        <w:t xml:space="preserve"> </w:t>
      </w:r>
      <w:r w:rsidR="0084262C">
        <w:rPr>
          <w:rtl/>
          <w:lang w:bidi="fa-IR"/>
        </w:rPr>
        <w:t>-</w:t>
      </w:r>
      <w:r>
        <w:rPr>
          <w:rtl/>
          <w:lang w:bidi="fa-IR"/>
        </w:rPr>
        <w:t xml:space="preserve"> </w:t>
      </w:r>
      <w:r w:rsidRPr="00C9040A">
        <w:rPr>
          <w:rtl/>
          <w:lang w:bidi="fa-IR"/>
        </w:rPr>
        <w:t>يَقُولُ :</w:t>
      </w:r>
    </w:p>
    <w:p w:rsidR="008A74EB" w:rsidRPr="00C9040A" w:rsidRDefault="008A74EB" w:rsidP="008A74EB">
      <w:pPr>
        <w:pStyle w:val="libNormal"/>
        <w:rPr>
          <w:rtl/>
          <w:lang w:bidi="fa-IR"/>
        </w:rPr>
      </w:pPr>
      <w:r w:rsidRPr="00C9040A">
        <w:rPr>
          <w:rtl/>
          <w:lang w:bidi="fa-IR"/>
        </w:rPr>
        <w:t xml:space="preserve">إِنِّي </w:t>
      </w:r>
      <w:r w:rsidR="006C577F" w:rsidRPr="006C577F">
        <w:rPr>
          <w:rStyle w:val="libFootnotenumChar"/>
          <w:rtl/>
        </w:rPr>
        <w:t>(4)</w:t>
      </w:r>
      <w:r w:rsidRPr="00C9040A">
        <w:rPr>
          <w:rtl/>
          <w:lang w:bidi="fa-IR"/>
        </w:rPr>
        <w:t xml:space="preserve"> لَأُحِبُّ أَنْ أُدَاوِمَ </w:t>
      </w:r>
      <w:r w:rsidR="006C577F" w:rsidRPr="006C577F">
        <w:rPr>
          <w:rStyle w:val="libFootnotenumChar"/>
          <w:rtl/>
        </w:rPr>
        <w:t>(5)</w:t>
      </w:r>
      <w:r w:rsidRPr="00C9040A">
        <w:rPr>
          <w:rtl/>
          <w:lang w:bidi="fa-IR"/>
        </w:rPr>
        <w:t xml:space="preserve"> عَلَى الْعَمَلِ وَإِنْ قَلَّ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Normal"/>
        <w:rPr>
          <w:rtl/>
          <w:lang w:bidi="fa-IR"/>
        </w:rPr>
      </w:pPr>
      <w:r w:rsidRPr="00694943">
        <w:rPr>
          <w:rtl/>
        </w:rPr>
        <w:t>1666</w:t>
      </w:r>
      <w:r w:rsidRPr="00261CB0">
        <w:rPr>
          <w:rStyle w:val="libBold2Char"/>
          <w:rtl/>
        </w:rPr>
        <w:t xml:space="preserve"> / 5.</w:t>
      </w:r>
      <w:r w:rsidRPr="00C9040A">
        <w:rPr>
          <w:rtl/>
          <w:lang w:bidi="fa-IR"/>
        </w:rPr>
        <w:t xml:space="preserve"> عَنْهُ </w:t>
      </w:r>
      <w:r w:rsidR="006C577F" w:rsidRPr="006C577F">
        <w:rPr>
          <w:rStyle w:val="libFootnotenumChar"/>
          <w:rtl/>
        </w:rPr>
        <w:t>(7)</w:t>
      </w:r>
      <w:r w:rsidRPr="00C9040A">
        <w:rPr>
          <w:rtl/>
          <w:lang w:bidi="fa-IR"/>
        </w:rPr>
        <w:t xml:space="preserve"> ، عَنْ فَضَالَةَ </w:t>
      </w:r>
      <w:r w:rsidR="006C577F" w:rsidRPr="006C577F">
        <w:rPr>
          <w:rStyle w:val="libFootnotenumChar"/>
          <w:rtl/>
        </w:rPr>
        <w:t>(8)</w:t>
      </w:r>
      <w:r w:rsidRPr="00C9040A">
        <w:rPr>
          <w:rtl/>
          <w:lang w:bidi="fa-IR"/>
        </w:rPr>
        <w:t xml:space="preserve"> ، عَنِ الْعَلَاءِ ، عَنْ مُحَمَّدِ بْنِ مُسْلِمٍ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كَانَ عَلِيُّ بْنُ الْحُسَيْنِ</w:t>
      </w:r>
      <w:r>
        <w:rPr>
          <w:rtl/>
          <w:lang w:bidi="fa-IR"/>
        </w:rPr>
        <w:t xml:space="preserve"> </w:t>
      </w:r>
      <w:r w:rsidR="0084262C">
        <w:rPr>
          <w:rtl/>
          <w:lang w:bidi="fa-IR"/>
        </w:rPr>
        <w:t>-</w:t>
      </w:r>
      <w:r>
        <w:rPr>
          <w:rtl/>
          <w:lang w:bidi="fa-IR"/>
        </w:rPr>
        <w:t xml:space="preserve"> </w:t>
      </w:r>
      <w:r w:rsidRPr="00C9040A">
        <w:rPr>
          <w:rtl/>
          <w:lang w:bidi="fa-IR"/>
        </w:rPr>
        <w:t>صَلَوَاتُ اللهِ عَلَيْهِمَا</w:t>
      </w:r>
      <w:r>
        <w:rPr>
          <w:rtl/>
          <w:lang w:bidi="fa-IR"/>
        </w:rPr>
        <w:t xml:space="preserve"> </w:t>
      </w:r>
      <w:r w:rsidR="0084262C">
        <w:rPr>
          <w:rtl/>
          <w:lang w:bidi="fa-IR"/>
        </w:rPr>
        <w:t>-</w:t>
      </w:r>
      <w:r>
        <w:rPr>
          <w:rtl/>
          <w:lang w:bidi="fa-IR"/>
        </w:rPr>
        <w:t xml:space="preserve"> </w:t>
      </w:r>
      <w:r w:rsidRPr="00C9040A">
        <w:rPr>
          <w:rtl/>
          <w:lang w:bidi="fa-IR"/>
        </w:rPr>
        <w:t xml:space="preserve">يَقُولُ : إِنِّي لَأُحِبُّ </w:t>
      </w:r>
      <w:r w:rsidR="006C577F" w:rsidRPr="006C577F">
        <w:rPr>
          <w:rStyle w:val="libFootnotenumChar"/>
          <w:rtl/>
        </w:rPr>
        <w:t>(9)</w:t>
      </w:r>
      <w:r w:rsidRPr="00C9040A">
        <w:rPr>
          <w:rtl/>
          <w:lang w:bidi="fa-IR"/>
        </w:rPr>
        <w:t xml:space="preserve"> أَنْ أَقْدِمَ عَلى رَبِّي وَعَمَلِي مُسْتَوٍ </w:t>
      </w:r>
      <w:r w:rsidR="006C577F" w:rsidRPr="006C577F">
        <w:rPr>
          <w:rStyle w:val="libFootnotenumChar"/>
          <w:rtl/>
        </w:rPr>
        <w:t>(10)</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(11)</w:t>
      </w:r>
      <w:r w:rsidRPr="00C9040A">
        <w:rPr>
          <w:rtl/>
          <w:lang w:bidi="fa-IR"/>
        </w:rPr>
        <w:t xml:space="preserve"> ‌</w:t>
      </w:r>
    </w:p>
    <w:p w:rsidR="008A74EB" w:rsidRPr="00C9040A" w:rsidRDefault="008A74EB" w:rsidP="008A74EB">
      <w:pPr>
        <w:pStyle w:val="libNormal"/>
        <w:rPr>
          <w:rtl/>
          <w:lang w:bidi="fa-IR"/>
        </w:rPr>
      </w:pPr>
      <w:r w:rsidRPr="00694943">
        <w:rPr>
          <w:rtl/>
        </w:rPr>
        <w:t>1667</w:t>
      </w:r>
      <w:r w:rsidRPr="00261CB0">
        <w:rPr>
          <w:rStyle w:val="libBold2Char"/>
          <w:rtl/>
        </w:rPr>
        <w:t xml:space="preserve"> / 6.</w:t>
      </w:r>
      <w:r w:rsidRPr="00C9040A">
        <w:rPr>
          <w:rtl/>
          <w:lang w:bidi="fa-IR"/>
        </w:rPr>
        <w:t xml:space="preserve"> عِدَّةٌ مِنْ أَصْحَابِنَا ، عَنْ أَحْمَدَ بْنِ مُحَمَّدٍ ، عَنْ مُحَمَّدِ بْنِ إِسْمَاعِيلَ ، عَنْ جَعْفَرِ بْنِ بَشِيرٍ ، عَنْ عَبْدِ الْكَرِيمِ بْنِ عَمْرٍو ، عَنْ سُلَيْمَانَ بْنِ خَالِدٍ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إِيَّاكَ أَنْ </w:t>
      </w:r>
      <w:r w:rsidR="006C577F" w:rsidRPr="006C577F">
        <w:rPr>
          <w:rStyle w:val="libFootnotenumChar"/>
          <w:rtl/>
        </w:rPr>
        <w:t>(12)</w:t>
      </w:r>
      <w:r w:rsidRPr="00C9040A">
        <w:rPr>
          <w:rtl/>
          <w:lang w:bidi="fa-IR"/>
        </w:rPr>
        <w:t xml:space="preserve"> تَفْرِضَ عَلى نَفْسِكَ فَرِيضَةً ، فَتُفَارِقَهَا اثْنَيْ عَشَرَ‌</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 ف » : « يدام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الوافي</w:t>
      </w:r>
      <w:r w:rsidR="008A74EB" w:rsidRPr="00C9040A">
        <w:rPr>
          <w:rtl/>
        </w:rPr>
        <w:t xml:space="preserve"> ، ج 4 ، ص 357 ، ح 2118 ؛ </w:t>
      </w:r>
      <w:r w:rsidR="008A74EB" w:rsidRPr="00993B55">
        <w:rPr>
          <w:rStyle w:val="libFootnoteBoldChar"/>
          <w:rtl/>
        </w:rPr>
        <w:t>الوسائل</w:t>
      </w:r>
      <w:r w:rsidR="008A74EB" w:rsidRPr="00C9040A">
        <w:rPr>
          <w:rtl/>
        </w:rPr>
        <w:t xml:space="preserve"> ، ج 1 ، ص 94 ، ح 222 ؛ </w:t>
      </w:r>
      <w:r w:rsidR="008A74EB" w:rsidRPr="00993B55">
        <w:rPr>
          <w:rStyle w:val="libFootnoteBoldChar"/>
          <w:rtl/>
        </w:rPr>
        <w:t>البحار</w:t>
      </w:r>
      <w:r w:rsidR="008A74EB" w:rsidRPr="00C9040A">
        <w:rPr>
          <w:rtl/>
        </w:rPr>
        <w:t xml:space="preserve"> ، ج 71 ، ص 219 ، ح 26.</w:t>
      </w:r>
    </w:p>
    <w:p w:rsidR="008A74EB" w:rsidRPr="00C9040A" w:rsidRDefault="006C577F" w:rsidP="004A4E41">
      <w:pPr>
        <w:pStyle w:val="libFootnote0"/>
        <w:rPr>
          <w:rtl/>
          <w:lang w:bidi="fa-IR"/>
        </w:rPr>
      </w:pPr>
      <w:r>
        <w:rPr>
          <w:rtl/>
        </w:rPr>
        <w:t>(3).</w:t>
      </w:r>
      <w:r w:rsidR="008A74EB" w:rsidRPr="00C9040A">
        <w:rPr>
          <w:rtl/>
        </w:rPr>
        <w:t xml:space="preserve"> الضمير راجع إلى عليّ بن مهزيار المذكور في السند السابق.</w:t>
      </w:r>
    </w:p>
    <w:p w:rsidR="008A74EB" w:rsidRPr="00C9040A" w:rsidRDefault="006C577F" w:rsidP="004A4E41">
      <w:pPr>
        <w:pStyle w:val="libFootnote0"/>
        <w:rPr>
          <w:rtl/>
          <w:lang w:bidi="fa-IR"/>
        </w:rPr>
      </w:pPr>
      <w:r>
        <w:rPr>
          <w:rtl/>
        </w:rPr>
        <w:t>(4).</w:t>
      </w:r>
      <w:r w:rsidR="008A74EB" w:rsidRPr="00C9040A">
        <w:rPr>
          <w:rtl/>
        </w:rPr>
        <w:t xml:space="preserve"> في « بس » : « لأنّي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بس » وحاشية « ض » والتهذيب : « أدوم »</w:t>
      </w:r>
      <w:r w:rsidR="008A74EB">
        <w:rPr>
          <w:rtl/>
        </w:rPr>
        <w:t>.</w:t>
      </w:r>
      <w:r w:rsidR="008A74EB" w:rsidRPr="00C9040A">
        <w:rPr>
          <w:rtl/>
        </w:rPr>
        <w:t xml:space="preserve"> وفي بحار الأنوار ، ج 46 : « ا</w:t>
      </w:r>
      <w:r w:rsidR="00991FBE">
        <w:rPr>
          <w:rFonts w:hint="cs"/>
          <w:rtl/>
        </w:rPr>
        <w:t>ُ</w:t>
      </w:r>
      <w:r w:rsidR="008A74EB" w:rsidRPr="00C9040A">
        <w:rPr>
          <w:rtl/>
        </w:rPr>
        <w:t>قدم »</w:t>
      </w:r>
      <w:r w:rsidR="008A74EB">
        <w:rPr>
          <w:rtl/>
        </w:rPr>
        <w:t>.</w:t>
      </w:r>
    </w:p>
    <w:p w:rsidR="008A74EB" w:rsidRPr="00993B55" w:rsidRDefault="006C577F" w:rsidP="004A4E41">
      <w:pPr>
        <w:pStyle w:val="libFootnote0"/>
        <w:rPr>
          <w:rStyle w:val="libFootnoteBoldChar"/>
          <w:rtl/>
        </w:rPr>
      </w:pPr>
      <w:r>
        <w:rPr>
          <w:rtl/>
        </w:rPr>
        <w:t>(6).</w:t>
      </w:r>
      <w:r w:rsidR="008A74EB">
        <w:rPr>
          <w:rtl/>
        </w:rPr>
        <w:t xml:space="preserve"> </w:t>
      </w:r>
      <w:r w:rsidR="008A74EB" w:rsidRPr="00993B55">
        <w:rPr>
          <w:rStyle w:val="libFootnoteBoldChar"/>
          <w:rtl/>
        </w:rPr>
        <w:t>التهذيب</w:t>
      </w:r>
      <w:r w:rsidR="008A74EB" w:rsidRPr="00C9040A">
        <w:rPr>
          <w:rtl/>
        </w:rPr>
        <w:t xml:space="preserve"> ، ج 2 ، ص 15 ، ح 40 ، بسنده عن معاوية بن عمّار ، مع زيادة في آخره </w:t>
      </w:r>
      <w:r w:rsidR="00991FBE">
        <w:rPr>
          <w:rFonts w:hint="cs"/>
          <w:rtl/>
        </w:rPr>
        <w:t>.</w:t>
      </w:r>
      <w:r w:rsidR="008A74EB" w:rsidRPr="00993B55">
        <w:rPr>
          <w:rStyle w:val="libFootnoteBoldChar"/>
          <w:rtl/>
        </w:rPr>
        <w:t>الوافي</w:t>
      </w:r>
      <w:r w:rsidR="008A74EB" w:rsidRPr="00C9040A">
        <w:rPr>
          <w:rtl/>
        </w:rPr>
        <w:t xml:space="preserve"> ، ج 4 ، ص 357 ، ح 2119 ؛ </w:t>
      </w:r>
      <w:r w:rsidR="008A74EB" w:rsidRPr="00993B55">
        <w:rPr>
          <w:rStyle w:val="libFootnoteBoldChar"/>
          <w:rtl/>
        </w:rPr>
        <w:t>الوسائل</w:t>
      </w:r>
      <w:r w:rsidR="008A74EB" w:rsidRPr="00C9040A">
        <w:rPr>
          <w:rtl/>
        </w:rPr>
        <w:t xml:space="preserve"> ، ج 1 ، ص 94 ، ح 221 ؛ </w:t>
      </w:r>
      <w:r w:rsidR="008A74EB" w:rsidRPr="00993B55">
        <w:rPr>
          <w:rStyle w:val="libFootnoteBoldChar"/>
          <w:rtl/>
        </w:rPr>
        <w:t>البحار</w:t>
      </w:r>
      <w:r w:rsidR="008A74EB" w:rsidRPr="00C9040A">
        <w:rPr>
          <w:rtl/>
        </w:rPr>
        <w:t xml:space="preserve"> ، ج 46 ، ص 102 ، ح 90 ؛ وج 71 ، ص 220 ، ح 27.</w:t>
      </w:r>
    </w:p>
    <w:p w:rsidR="008A74EB" w:rsidRPr="00C9040A" w:rsidRDefault="006C577F" w:rsidP="004A4E41">
      <w:pPr>
        <w:pStyle w:val="libFootnote0"/>
        <w:rPr>
          <w:rtl/>
          <w:lang w:bidi="fa-IR"/>
        </w:rPr>
      </w:pPr>
      <w:r>
        <w:rPr>
          <w:rtl/>
        </w:rPr>
        <w:t>(7).</w:t>
      </w:r>
      <w:r w:rsidR="008A74EB" w:rsidRPr="00C9040A">
        <w:rPr>
          <w:rtl/>
        </w:rPr>
        <w:t xml:space="preserve"> الضمير راجع إلى « عليّ بن مهزيار » ، كما هو الظاهر.</w:t>
      </w:r>
    </w:p>
    <w:p w:rsidR="008A74EB" w:rsidRPr="00C9040A" w:rsidRDefault="006C577F" w:rsidP="004A4E41">
      <w:pPr>
        <w:pStyle w:val="libFootnote0"/>
        <w:rPr>
          <w:rtl/>
          <w:lang w:bidi="fa-IR"/>
        </w:rPr>
      </w:pPr>
      <w:r>
        <w:rPr>
          <w:rtl/>
        </w:rPr>
        <w:t>(8).</w:t>
      </w:r>
      <w:r w:rsidR="008A74EB" w:rsidRPr="00C9040A">
        <w:rPr>
          <w:rtl/>
        </w:rPr>
        <w:t xml:space="preserve"> هكذا في « ج ، د ، ص ، ض ، ف ، </w:t>
      </w:r>
      <w:r w:rsidR="006D3162">
        <w:rPr>
          <w:rtl/>
        </w:rPr>
        <w:t xml:space="preserve">ه </w:t>
      </w:r>
      <w:r w:rsidR="008A74EB" w:rsidRPr="00C9040A">
        <w:rPr>
          <w:rtl/>
        </w:rPr>
        <w:t>، بر ، بس ، بف ، جر »</w:t>
      </w:r>
      <w:r w:rsidR="008A74EB">
        <w:rPr>
          <w:rtl/>
        </w:rPr>
        <w:t>.</w:t>
      </w:r>
      <w:r w:rsidR="008A74EB" w:rsidRPr="00C9040A">
        <w:rPr>
          <w:rtl/>
        </w:rPr>
        <w:t xml:space="preserve"> وفي « ب » والمطبوع : + « بن أيّوب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د » : « لا ا</w:t>
      </w:r>
      <w:r w:rsidR="00991FBE">
        <w:rPr>
          <w:rFonts w:hint="cs"/>
          <w:rtl/>
        </w:rPr>
        <w:t>ُ</w:t>
      </w:r>
      <w:r w:rsidR="008A74EB" w:rsidRPr="00C9040A">
        <w:rPr>
          <w:rtl/>
        </w:rPr>
        <w:t>حبّ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w:t>
      </w:r>
      <w:r w:rsidR="008A74EB" w:rsidRPr="00993B55">
        <w:rPr>
          <w:rStyle w:val="libFootnoteBoldChar"/>
          <w:rtl/>
        </w:rPr>
        <w:t>الوافي</w:t>
      </w:r>
      <w:r w:rsidR="008A74EB" w:rsidRPr="00C9040A">
        <w:rPr>
          <w:rtl/>
        </w:rPr>
        <w:t xml:space="preserve"> : « يعني لايزيد ولا ينقص على حسب الأزمنة بإفراط وتفريط »</w:t>
      </w:r>
      <w:r w:rsidR="008A74EB">
        <w:rPr>
          <w:rtl/>
        </w:rPr>
        <w:t>.</w:t>
      </w:r>
      <w:r w:rsidR="008A74EB" w:rsidRPr="00C9040A">
        <w:rPr>
          <w:rtl/>
        </w:rPr>
        <w:t xml:space="preserve"> في « ف » : « مستور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w:t>
      </w:r>
      <w:r w:rsidR="008A74EB" w:rsidRPr="00993B55">
        <w:rPr>
          <w:rStyle w:val="libFootnoteBoldChar"/>
          <w:rtl/>
        </w:rPr>
        <w:t>الوافي</w:t>
      </w:r>
      <w:r w:rsidR="008A74EB" w:rsidRPr="00C9040A">
        <w:rPr>
          <w:rtl/>
        </w:rPr>
        <w:t xml:space="preserve"> ، ج 4 ، ص 357 ، ح 2120 ؛ </w:t>
      </w:r>
      <w:r w:rsidR="008A74EB" w:rsidRPr="00993B55">
        <w:rPr>
          <w:rStyle w:val="libFootnoteBoldChar"/>
          <w:rtl/>
        </w:rPr>
        <w:t>الوسائل</w:t>
      </w:r>
      <w:r w:rsidR="008A74EB" w:rsidRPr="00C9040A">
        <w:rPr>
          <w:rtl/>
        </w:rPr>
        <w:t xml:space="preserve"> ، ج 1 ، ص 93 ، ح 220 ؛ </w:t>
      </w:r>
      <w:r w:rsidR="008A74EB" w:rsidRPr="00993B55">
        <w:rPr>
          <w:rStyle w:val="libFootnoteBoldChar"/>
          <w:rtl/>
        </w:rPr>
        <w:t>البحار</w:t>
      </w:r>
      <w:r w:rsidR="008A74EB" w:rsidRPr="00C9040A">
        <w:rPr>
          <w:rtl/>
        </w:rPr>
        <w:t xml:space="preserve"> ، ج 46 ، ص 102 ، ذيل ح 90 ؛ وج 71 ، ص 220 ، ح 28.</w:t>
      </w:r>
      <w:r w:rsidR="00991FBE">
        <w:rPr>
          <w:rFonts w:hint="cs"/>
          <w:rtl/>
        </w:rPr>
        <w:t xml:space="preserve">            </w:t>
      </w:r>
      <w:r>
        <w:rPr>
          <w:rtl/>
        </w:rPr>
        <w:t>(12).</w:t>
      </w:r>
      <w:r w:rsidR="008A74EB" w:rsidRPr="00C9040A">
        <w:rPr>
          <w:rtl/>
        </w:rPr>
        <w:t xml:space="preserve"> في«ج»:«بأن»</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هِلَالاً </w:t>
      </w:r>
      <w:r w:rsidR="006C577F" w:rsidRPr="006C577F">
        <w:rPr>
          <w:rStyle w:val="libFootnotenumChar"/>
          <w:rtl/>
        </w:rPr>
        <w:t>(1)</w:t>
      </w:r>
      <w:r w:rsidRPr="00C9040A">
        <w:rPr>
          <w:rtl/>
          <w:lang w:bidi="fa-IR"/>
        </w:rPr>
        <w:t>»</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Heading2Center"/>
        <w:rPr>
          <w:rtl/>
          <w:lang w:bidi="fa-IR"/>
        </w:rPr>
      </w:pPr>
      <w:bookmarkStart w:id="136" w:name="_Toc343795633"/>
      <w:bookmarkStart w:id="137" w:name="_Toc459810757"/>
      <w:bookmarkStart w:id="138" w:name="_Toc35348663"/>
      <w:r w:rsidRPr="00C9040A">
        <w:rPr>
          <w:rtl/>
          <w:lang w:bidi="fa-IR"/>
        </w:rPr>
        <w:t>42</w:t>
      </w:r>
      <w:r>
        <w:rPr>
          <w:rtl/>
          <w:lang w:bidi="fa-IR"/>
        </w:rPr>
        <w:t xml:space="preserve"> </w:t>
      </w:r>
      <w:r w:rsidR="0084262C">
        <w:rPr>
          <w:rtl/>
          <w:lang w:bidi="fa-IR"/>
        </w:rPr>
        <w:t>-</w:t>
      </w:r>
      <w:r>
        <w:rPr>
          <w:rtl/>
          <w:lang w:bidi="fa-IR"/>
        </w:rPr>
        <w:t xml:space="preserve"> </w:t>
      </w:r>
      <w:r w:rsidRPr="00C9040A">
        <w:rPr>
          <w:rtl/>
          <w:lang w:bidi="fa-IR"/>
        </w:rPr>
        <w:t>بَابُ الْعِبَادَةِ‌</w:t>
      </w:r>
      <w:bookmarkEnd w:id="136"/>
      <w:bookmarkEnd w:id="137"/>
      <w:bookmarkEnd w:id="138"/>
    </w:p>
    <w:p w:rsidR="008A74EB" w:rsidRPr="00C9040A" w:rsidRDefault="008A74EB" w:rsidP="008A74EB">
      <w:pPr>
        <w:pStyle w:val="libNormal"/>
        <w:rPr>
          <w:rtl/>
          <w:lang w:bidi="fa-IR"/>
        </w:rPr>
      </w:pPr>
      <w:r w:rsidRPr="005B6B2D">
        <w:rPr>
          <w:rtl/>
        </w:rPr>
        <w:t>1668</w:t>
      </w:r>
      <w:r w:rsidRPr="00261CB0">
        <w:rPr>
          <w:rStyle w:val="libBold2Char"/>
          <w:rtl/>
        </w:rPr>
        <w:t xml:space="preserve"> / 1.</w:t>
      </w:r>
      <w:r w:rsidRPr="00C9040A">
        <w:rPr>
          <w:rtl/>
          <w:lang w:bidi="fa-IR"/>
        </w:rPr>
        <w:t xml:space="preserve"> عِدَّةٌ مِنْ أَصْحَابِنَا ، عَنْ أَحْمَدَ بْنِ مُحَمَّدٍ ، عَنِ ابْنِ مَحْبُوبٍ ، عَنْ عُمَرَ بْنِ يَزِيدَ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فِي التَّوْرَاةِ مَكْتُوبٌ : يَا ابْنَ آدَمَ ، تَفَرَّغْ لِعِبَادَتِي ؛ أَمْلَأْ قَلْبَكَ غِنًى </w:t>
      </w:r>
      <w:r w:rsidR="006C577F" w:rsidRPr="006C577F">
        <w:rPr>
          <w:rStyle w:val="libFootnotenumChar"/>
          <w:rtl/>
        </w:rPr>
        <w:t>(3)</w:t>
      </w:r>
      <w:r w:rsidRPr="00C9040A">
        <w:rPr>
          <w:rtl/>
          <w:lang w:bidi="fa-IR"/>
        </w:rPr>
        <w:t xml:space="preserve"> ، وَلَا أَكِلْكَ إِلى طَلَبِكَ ، وَعَلَيَّ </w:t>
      </w:r>
      <w:r w:rsidR="006C577F" w:rsidRPr="006C577F">
        <w:rPr>
          <w:rStyle w:val="libFootnotenumChar"/>
          <w:rtl/>
        </w:rPr>
        <w:t>(4)</w:t>
      </w:r>
      <w:r w:rsidRPr="00C9040A">
        <w:rPr>
          <w:rtl/>
          <w:lang w:bidi="fa-IR"/>
        </w:rPr>
        <w:t xml:space="preserve"> أَنْ أَسُدَّ فَاقَتَكَ </w:t>
      </w:r>
      <w:r w:rsidR="006C577F" w:rsidRPr="006C577F">
        <w:rPr>
          <w:rStyle w:val="libFootnotenumChar"/>
          <w:rtl/>
        </w:rPr>
        <w:t>(5)</w:t>
      </w:r>
      <w:r w:rsidRPr="00C9040A">
        <w:rPr>
          <w:rtl/>
          <w:lang w:bidi="fa-IR"/>
        </w:rPr>
        <w:t xml:space="preserve"> ، وَأَمْلَأَ قَلْبَكَ خَوْفاً مِنِّي ، وَإِنْ لَاتَفَرَّغْ لِعِبَادَتِي ، أَمْلَأْ قَلْبَكَ شُغُلاً بِالدُّنْيَا ، ثُمَّ لَا</w:t>
      </w:r>
      <w:r>
        <w:rPr>
          <w:rFonts w:hint="cs"/>
          <w:rtl/>
          <w:lang w:bidi="fa-IR"/>
        </w:rPr>
        <w:t xml:space="preserve"> </w:t>
      </w:r>
      <w:r w:rsidRPr="00C9040A">
        <w:rPr>
          <w:rtl/>
          <w:lang w:bidi="fa-IR"/>
        </w:rPr>
        <w:t>أَسُدَّ فَاقَتَكَ ، وَأَكِلْكَ إِلى طَلَبِكَ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Normal"/>
        <w:rPr>
          <w:rtl/>
          <w:lang w:bidi="fa-IR"/>
        </w:rPr>
      </w:pPr>
      <w:r w:rsidRPr="005B6B2D">
        <w:rPr>
          <w:rtl/>
        </w:rPr>
        <w:t>1669</w:t>
      </w:r>
      <w:r w:rsidRPr="00261CB0">
        <w:rPr>
          <w:rStyle w:val="libBold2Char"/>
          <w:rtl/>
        </w:rPr>
        <w:t xml:space="preserve"> / 2.</w:t>
      </w:r>
      <w:r w:rsidRPr="00C9040A">
        <w:rPr>
          <w:rtl/>
          <w:lang w:bidi="fa-IR"/>
        </w:rPr>
        <w:t xml:space="preserve"> عَلِيُّ بْنُ إِبْرَاهِيمَ ، عَنْ مُحَمَّدِ بْنِ عِيسى </w:t>
      </w:r>
      <w:r w:rsidR="006C577F" w:rsidRPr="006C577F">
        <w:rPr>
          <w:rStyle w:val="libFootnotenumChar"/>
          <w:rtl/>
        </w:rPr>
        <w:t>(7)</w:t>
      </w:r>
      <w:r w:rsidRPr="00C9040A">
        <w:rPr>
          <w:rtl/>
          <w:lang w:bidi="fa-IR"/>
        </w:rPr>
        <w:t xml:space="preserve"> ، عَنْ أَبِي جَمِيلَةَ ، قَالَ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 ز ، ص ، ف » : « شهراً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الوافي</w:t>
      </w:r>
      <w:r w:rsidR="008A74EB" w:rsidRPr="00C9040A">
        <w:rPr>
          <w:rtl/>
        </w:rPr>
        <w:t xml:space="preserve"> ، ج 4 ، ص 358 ، ح 2122 ؛ </w:t>
      </w:r>
      <w:r w:rsidR="008A74EB" w:rsidRPr="00993B55">
        <w:rPr>
          <w:rStyle w:val="libFootnoteBoldChar"/>
          <w:rtl/>
        </w:rPr>
        <w:t>الوسائل</w:t>
      </w:r>
      <w:r w:rsidR="008A74EB" w:rsidRPr="00C9040A">
        <w:rPr>
          <w:rtl/>
        </w:rPr>
        <w:t xml:space="preserve"> ، ج 1 ، ص 94 ، ح 225 ؛ </w:t>
      </w:r>
      <w:r w:rsidR="008A74EB" w:rsidRPr="00993B55">
        <w:rPr>
          <w:rStyle w:val="libFootnoteBoldChar"/>
          <w:rtl/>
        </w:rPr>
        <w:t>البحار</w:t>
      </w:r>
      <w:r w:rsidR="008A74EB" w:rsidRPr="00C9040A">
        <w:rPr>
          <w:rtl/>
        </w:rPr>
        <w:t xml:space="preserve"> ، ج 71 ، ص 220 ، ح 29.</w:t>
      </w:r>
    </w:p>
    <w:p w:rsidR="008A74EB" w:rsidRPr="00C9040A" w:rsidRDefault="006C577F" w:rsidP="004A4E41">
      <w:pPr>
        <w:pStyle w:val="libFootnote0"/>
        <w:rPr>
          <w:rtl/>
          <w:lang w:bidi="fa-IR"/>
        </w:rPr>
      </w:pPr>
      <w:r>
        <w:rPr>
          <w:rtl/>
        </w:rPr>
        <w:t>(3).</w:t>
      </w:r>
      <w:r w:rsidR="008A74EB" w:rsidRPr="00C9040A">
        <w:rPr>
          <w:rtl/>
        </w:rPr>
        <w:t xml:space="preserve"> في « </w:t>
      </w:r>
      <w:r w:rsidR="006D3162">
        <w:rPr>
          <w:rtl/>
        </w:rPr>
        <w:t xml:space="preserve">ه </w:t>
      </w:r>
      <w:r w:rsidR="008A74EB" w:rsidRPr="00C9040A">
        <w:rPr>
          <w:rtl/>
        </w:rPr>
        <w:t>» : « غناءً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w:t>
      </w:r>
      <w:r w:rsidR="008A74EB" w:rsidRPr="00993B55">
        <w:rPr>
          <w:rStyle w:val="libFootnoteBoldChar"/>
          <w:rtl/>
        </w:rPr>
        <w:t>مرآة العقول</w:t>
      </w:r>
      <w:r w:rsidR="008A74EB" w:rsidRPr="00C9040A">
        <w:rPr>
          <w:rtl/>
        </w:rPr>
        <w:t xml:space="preserve"> ، ج 8 ، ص 83 : « وعليّ ، بتشديد الياء ، والجملة حاليّة. وربّما يقرأ بالتخفيف عطفاً على « أملأ » بحسب المعنى ؛ لأنّه في قوّة : عليّ أن أملأ ، والأوّل أظهر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 الفاقة » : الحاجة. ولا فعل لها. </w:t>
      </w:r>
      <w:r w:rsidR="008A74EB" w:rsidRPr="00993B55">
        <w:rPr>
          <w:rStyle w:val="libFootnoteBoldChar"/>
          <w:rtl/>
        </w:rPr>
        <w:t>ترتيب كتاب العين</w:t>
      </w:r>
      <w:r w:rsidR="008A74EB" w:rsidRPr="00C9040A">
        <w:rPr>
          <w:rtl/>
        </w:rPr>
        <w:t xml:space="preserve"> ، ج 3 ، ص 1425 ( فوق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الوافي</w:t>
      </w:r>
      <w:r w:rsidR="008A74EB" w:rsidRPr="00C9040A">
        <w:rPr>
          <w:rtl/>
        </w:rPr>
        <w:t xml:space="preserve"> ، ج 4 ، ص 355 ، ح 2113 ؛ </w:t>
      </w:r>
      <w:r w:rsidR="008A74EB" w:rsidRPr="00993B55">
        <w:rPr>
          <w:rStyle w:val="libFootnoteBoldChar"/>
          <w:rtl/>
        </w:rPr>
        <w:t>الوسائل</w:t>
      </w:r>
      <w:r w:rsidR="008A74EB" w:rsidRPr="00C9040A">
        <w:rPr>
          <w:rtl/>
        </w:rPr>
        <w:t xml:space="preserve"> ، ج 1 ، ص 82 ، ح 191 ؛ </w:t>
      </w:r>
      <w:r w:rsidR="008A74EB" w:rsidRPr="00993B55">
        <w:rPr>
          <w:rStyle w:val="libFootnoteBoldChar"/>
          <w:rtl/>
        </w:rPr>
        <w:t>البحار</w:t>
      </w:r>
      <w:r w:rsidR="008A74EB" w:rsidRPr="00C9040A">
        <w:rPr>
          <w:rtl/>
        </w:rPr>
        <w:t xml:space="preserve"> ، ج 70 ، ص 252 ، ح 8.</w:t>
      </w:r>
    </w:p>
    <w:p w:rsidR="008A74EB" w:rsidRPr="00C9040A" w:rsidRDefault="006C577F" w:rsidP="004A4E41">
      <w:pPr>
        <w:pStyle w:val="libFootnote0"/>
        <w:rPr>
          <w:rtl/>
          <w:lang w:bidi="fa-IR"/>
        </w:rPr>
      </w:pPr>
      <w:r>
        <w:rPr>
          <w:rtl/>
        </w:rPr>
        <w:t>(7).</w:t>
      </w:r>
      <w:r w:rsidR="008A74EB" w:rsidRPr="00C9040A">
        <w:rPr>
          <w:rtl/>
        </w:rPr>
        <w:t xml:space="preserve"> في « ج » : + « عن يونس ، عن عمرو بن جميع »</w:t>
      </w:r>
      <w:r w:rsidR="008A74EB">
        <w:rPr>
          <w:rtl/>
        </w:rPr>
        <w:t>.</w:t>
      </w:r>
      <w:r w:rsidR="008A74EB" w:rsidRPr="00C9040A">
        <w:rPr>
          <w:rtl/>
        </w:rPr>
        <w:t xml:space="preserve"> وهو سهو ؛ فإنّا لم نجد</w:t>
      </w:r>
      <w:r w:rsidR="008A74EB">
        <w:rPr>
          <w:rtl/>
        </w:rPr>
        <w:t xml:space="preserve"> </w:t>
      </w:r>
      <w:r w:rsidR="0084262C">
        <w:rPr>
          <w:rtl/>
        </w:rPr>
        <w:t>-</w:t>
      </w:r>
      <w:r w:rsidR="008A74EB">
        <w:rPr>
          <w:rtl/>
        </w:rPr>
        <w:t xml:space="preserve"> </w:t>
      </w:r>
      <w:r w:rsidR="008A74EB" w:rsidRPr="00C9040A">
        <w:rPr>
          <w:rtl/>
        </w:rPr>
        <w:t>مع الفحص الأكيد</w:t>
      </w:r>
      <w:r w:rsidR="008A74EB">
        <w:rPr>
          <w:rtl/>
        </w:rPr>
        <w:t xml:space="preserve"> </w:t>
      </w:r>
      <w:r w:rsidR="0084262C">
        <w:rPr>
          <w:rtl/>
        </w:rPr>
        <w:t>-</w:t>
      </w:r>
      <w:r w:rsidR="008A74EB">
        <w:rPr>
          <w:rtl/>
        </w:rPr>
        <w:t xml:space="preserve"> </w:t>
      </w:r>
      <w:r w:rsidR="008A74EB" w:rsidRPr="00C9040A">
        <w:rPr>
          <w:rtl/>
        </w:rPr>
        <w:t>رواية عمرو بن جميع عن أبي جميلة</w:t>
      </w:r>
      <w:r w:rsidR="008A74EB">
        <w:rPr>
          <w:rtl/>
        </w:rPr>
        <w:t xml:space="preserve"> </w:t>
      </w:r>
      <w:r w:rsidR="0084262C">
        <w:rPr>
          <w:rtl/>
        </w:rPr>
        <w:t>-</w:t>
      </w:r>
      <w:r w:rsidR="008A74EB">
        <w:rPr>
          <w:rtl/>
        </w:rPr>
        <w:t xml:space="preserve"> </w:t>
      </w:r>
      <w:r w:rsidR="008A74EB" w:rsidRPr="00C9040A">
        <w:rPr>
          <w:rtl/>
        </w:rPr>
        <w:t>وهو المفضّل بن صالح</w:t>
      </w:r>
      <w:r w:rsidR="008A74EB">
        <w:rPr>
          <w:rtl/>
        </w:rPr>
        <w:t xml:space="preserve"> </w:t>
      </w:r>
      <w:r w:rsidR="0084262C">
        <w:rPr>
          <w:rtl/>
        </w:rPr>
        <w:t>-</w:t>
      </w:r>
      <w:r w:rsidR="008A74EB">
        <w:rPr>
          <w:rtl/>
        </w:rPr>
        <w:t xml:space="preserve"> </w:t>
      </w:r>
      <w:r w:rsidR="008A74EB" w:rsidRPr="00C9040A">
        <w:rPr>
          <w:rtl/>
        </w:rPr>
        <w:t>في موضع. يؤكّد وقوعَ السهو وقوع هذه العبارة بعينها بعد « محمّد بن عيسى » في السند الآتي.</w:t>
      </w:r>
    </w:p>
    <w:p w:rsidR="008A74EB" w:rsidRPr="00C9040A" w:rsidRDefault="008A74EB" w:rsidP="004A4E41">
      <w:pPr>
        <w:pStyle w:val="libFootnote0"/>
        <w:rPr>
          <w:rtl/>
          <w:lang w:bidi="fa-IR"/>
        </w:rPr>
      </w:pPr>
      <w:r w:rsidRPr="00323A39">
        <w:rPr>
          <w:rtl/>
        </w:rPr>
        <w:t xml:space="preserve">ثمّ إنّا لم نجد رواية محمّد بن عيسى </w:t>
      </w:r>
      <w:r w:rsidR="0084262C" w:rsidRPr="00323A39">
        <w:rPr>
          <w:rtl/>
        </w:rPr>
        <w:t>-</w:t>
      </w:r>
      <w:r w:rsidRPr="00323A39">
        <w:rPr>
          <w:rtl/>
        </w:rPr>
        <w:t xml:space="preserve"> وهو ابن عبيد </w:t>
      </w:r>
      <w:r w:rsidR="0084262C" w:rsidRPr="00323A39">
        <w:rPr>
          <w:rtl/>
        </w:rPr>
        <w:t>-</w:t>
      </w:r>
      <w:r w:rsidR="000D0A44">
        <w:rPr>
          <w:rtl/>
        </w:rPr>
        <w:t xml:space="preserve"> عن أبي جميلة ، بلا واسطة ، إل</w:t>
      </w:r>
      <w:r w:rsidR="000D0A44">
        <w:rPr>
          <w:rFonts w:hint="cs"/>
          <w:rtl/>
        </w:rPr>
        <w:t>ّ</w:t>
      </w:r>
      <w:r w:rsidR="000D0A44">
        <w:rPr>
          <w:rtl/>
        </w:rPr>
        <w:t>ا</w:t>
      </w:r>
      <w:r w:rsidRPr="00323A39">
        <w:rPr>
          <w:rtl/>
        </w:rPr>
        <w:t xml:space="preserve">في هذا الخبر وما يأتي في </w:t>
      </w:r>
      <w:r w:rsidRPr="00993B55">
        <w:rPr>
          <w:rStyle w:val="libFootnoteBoldChar"/>
          <w:rtl/>
        </w:rPr>
        <w:t>الكافي</w:t>
      </w:r>
      <w:r w:rsidRPr="00323A39">
        <w:rPr>
          <w:rtl/>
        </w:rPr>
        <w:t xml:space="preserve"> ، ح 2238 ، والمتوسّط بينهما في هذا الطريق ، أي طريق عليّ بن إبراهيم ، هو يونس [ بن عبد الرحمن ] ، والظاهر سقوطه من السند ؛ فقد روى الخبر الصدوق </w:t>
      </w:r>
      <w:r w:rsidR="00117575" w:rsidRPr="00117575">
        <w:rPr>
          <w:rStyle w:val="libFootnoteAlaemChar"/>
          <w:rtl/>
        </w:rPr>
        <w:t>قدس‌سره</w:t>
      </w:r>
      <w:r w:rsidRPr="00323A39">
        <w:rPr>
          <w:rtl/>
        </w:rPr>
        <w:t xml:space="preserve"> في </w:t>
      </w:r>
      <w:r w:rsidRPr="00993B55">
        <w:rPr>
          <w:rStyle w:val="libFootnoteBoldChar"/>
          <w:rtl/>
        </w:rPr>
        <w:t>الأمالي</w:t>
      </w:r>
      <w:r w:rsidRPr="00323A39">
        <w:rPr>
          <w:rtl/>
        </w:rPr>
        <w:t xml:space="preserve"> ، ص 247 ، المجلس 50 ، ح 2 بسنده عن محمّد بن عيسى بن عبيد ، عن يونس بن عبد الرحمن ، عن أبي جميلة ، عن الصادق جعفر بن محمّد ، عن آبائه </w:t>
      </w:r>
      <w:r w:rsidR="00117575" w:rsidRPr="00117575">
        <w:rPr>
          <w:rStyle w:val="libFootnoteAlaemChar"/>
          <w:rtl/>
        </w:rPr>
        <w:t>عليهم‌السلام</w:t>
      </w:r>
      <w:r w:rsidRPr="00323A39">
        <w:rPr>
          <w:rtl/>
        </w:rPr>
        <w:t xml:space="preserve"> قال : قال رسول الله </w:t>
      </w:r>
      <w:r w:rsidR="004A4E41" w:rsidRPr="00AC2E2F">
        <w:rPr>
          <w:rStyle w:val="libFootnoteAlaemChar"/>
          <w:rtl/>
        </w:rPr>
        <w:t>صلى‌الله‌عليه‌وآله</w:t>
      </w:r>
      <w:r w:rsidRPr="00323A39">
        <w:rPr>
          <w:rtl/>
        </w:rPr>
        <w:t xml:space="preserve">. وكذا الخبر الآتي في ح 2238 ، روى الكليني </w:t>
      </w:r>
      <w:r w:rsidR="00117575" w:rsidRPr="00117575">
        <w:rPr>
          <w:rStyle w:val="libFootnoteAlaemChar"/>
          <w:rtl/>
        </w:rPr>
        <w:t>قدس‌سره</w:t>
      </w:r>
      <w:r w:rsidRPr="00323A39">
        <w:rPr>
          <w:rtl/>
        </w:rPr>
        <w:t xml:space="preserve"> صدره في ح 3478 ، عن عليّ بن إبراهيم ، عن محمّد بن عيسى ، عن يونس ، عن أبي جميلة.</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قَالَ اللهُ تَبَارَكَ وَتَعَالى : يَا عِبَادِيَ الصِّدِّيقِينَ </w:t>
      </w:r>
      <w:r w:rsidR="006C577F" w:rsidRPr="006C577F">
        <w:rPr>
          <w:rStyle w:val="libFootnotenumChar"/>
          <w:rtl/>
        </w:rPr>
        <w:t>(1)</w:t>
      </w:r>
      <w:r w:rsidRPr="00C9040A">
        <w:rPr>
          <w:rtl/>
          <w:lang w:bidi="fa-IR"/>
        </w:rPr>
        <w:t xml:space="preserve">، تَنَعَّمُوا بِعِبَادَتِي </w:t>
      </w:r>
      <w:r w:rsidR="006C577F" w:rsidRPr="006C577F">
        <w:rPr>
          <w:rStyle w:val="libFootnotenumChar"/>
          <w:rtl/>
        </w:rPr>
        <w:t>(2)</w:t>
      </w:r>
      <w:r w:rsidRPr="00C9040A">
        <w:rPr>
          <w:rtl/>
          <w:lang w:bidi="fa-IR"/>
        </w:rPr>
        <w:t xml:space="preserve"> فِي الدُّنْيَا ؛ فَإِنَّكُمْ تَتَنَعَّمُونَ </w:t>
      </w:r>
      <w:r w:rsidR="006C577F" w:rsidRPr="006C577F">
        <w:rPr>
          <w:rStyle w:val="libFootnotenumChar"/>
          <w:rtl/>
        </w:rPr>
        <w:t>(3)</w:t>
      </w:r>
      <w:r w:rsidRPr="00C9040A">
        <w:rPr>
          <w:rtl/>
          <w:lang w:bidi="fa-IR"/>
        </w:rPr>
        <w:t xml:space="preserve"> بِهَا فِي الْآخِرَةِ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EA692B">
        <w:rPr>
          <w:rtl/>
        </w:rPr>
        <w:t>1670</w:t>
      </w:r>
      <w:r w:rsidRPr="00261CB0">
        <w:rPr>
          <w:rStyle w:val="libBold2Char"/>
          <w:rtl/>
        </w:rPr>
        <w:t xml:space="preserve"> / 3.</w:t>
      </w:r>
      <w:r w:rsidRPr="00C9040A">
        <w:rPr>
          <w:rtl/>
          <w:lang w:bidi="fa-IR"/>
        </w:rPr>
        <w:t xml:space="preserve"> عَلِيُّ بْنُ إِبْرَاهِيمَ ، عَنْ مُحَمَّدِ بْنِ عِيسى ، عَنْ يُونُسَ ، عَنْ </w:t>
      </w:r>
      <w:r w:rsidR="006C577F" w:rsidRPr="006C577F">
        <w:rPr>
          <w:rStyle w:val="libFootnotenumChar"/>
          <w:rtl/>
        </w:rPr>
        <w:t>(5)</w:t>
      </w:r>
      <w:r w:rsidRPr="00C9040A">
        <w:rPr>
          <w:rtl/>
          <w:lang w:bidi="fa-IR"/>
        </w:rPr>
        <w:t xml:space="preserve"> عَمْرِو بْنِ جُمَيْعٍ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أَفْضَلُ </w:t>
      </w:r>
      <w:r w:rsidR="006C577F" w:rsidRPr="006C577F">
        <w:rPr>
          <w:rStyle w:val="libFootnotenumChar"/>
          <w:rtl/>
        </w:rPr>
        <w:t>(6)</w:t>
      </w:r>
      <w:r w:rsidRPr="005B567D">
        <w:rPr>
          <w:rStyle w:val="libFootnotenumChar"/>
          <w:rtl/>
        </w:rPr>
        <w:t xml:space="preserve"> </w:t>
      </w:r>
      <w:r w:rsidRPr="00C9040A">
        <w:rPr>
          <w:rtl/>
          <w:lang w:bidi="fa-IR"/>
        </w:rPr>
        <w:t>النَّاسِ مَنْ عَشِقَ الْعِبَادَةَ فَعَانَقَهَا ، وَأَحَبَّهَا بِقَلْبِهِ ، وَبَاشَرَهَا بِجَسَدِهِ ، وَتَفَرَّغَ لَهَا ، فَهُوَ لَايُبَالِي عَلى مَا أَصْبَحَ مِنَ الدُّنْيَا ، عَلى عُسْرٍ أَمْ عَلى يُسْرٍ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EA692B">
        <w:rPr>
          <w:rtl/>
        </w:rPr>
        <w:t>1671</w:t>
      </w:r>
      <w:r w:rsidRPr="00261CB0">
        <w:rPr>
          <w:rStyle w:val="libBold2Char"/>
          <w:rtl/>
        </w:rPr>
        <w:t xml:space="preserve"> / 4.</w:t>
      </w:r>
      <w:r w:rsidRPr="00C9040A">
        <w:rPr>
          <w:rtl/>
          <w:lang w:bidi="fa-IR"/>
        </w:rPr>
        <w:t xml:space="preserve"> مُحَمَّدُ بْنُ يَحْيى ، عَنْ أَحْمَدَ بْنِ مُحَمَّدِ بْنِ عِيسى ، عَنْ شَاذَانَ بْنِ الْخَلِيلِ ، قَالَ : وَكَتَبْتُ </w:t>
      </w:r>
      <w:r w:rsidR="006C577F" w:rsidRPr="006C577F">
        <w:rPr>
          <w:rStyle w:val="libFootnotenumChar"/>
          <w:rtl/>
        </w:rPr>
        <w:t>(8)</w:t>
      </w:r>
      <w:r w:rsidRPr="00C9040A">
        <w:rPr>
          <w:rtl/>
          <w:lang w:bidi="fa-IR"/>
        </w:rPr>
        <w:t xml:space="preserve"> مِنْ </w:t>
      </w:r>
      <w:r w:rsidR="006C577F" w:rsidRPr="006C577F">
        <w:rPr>
          <w:rStyle w:val="libFootnotenumChar"/>
          <w:rtl/>
        </w:rPr>
        <w:t>(9)</w:t>
      </w:r>
      <w:r w:rsidRPr="00C9040A">
        <w:rPr>
          <w:rtl/>
          <w:lang w:bidi="fa-IR"/>
        </w:rPr>
        <w:t xml:space="preserve"> كِتَابِهِ بِإِسْنَادٍ لَهُ </w:t>
      </w:r>
      <w:r w:rsidR="006C577F" w:rsidRPr="006C577F">
        <w:rPr>
          <w:rStyle w:val="libFootnotenumChar"/>
          <w:rtl/>
        </w:rPr>
        <w:t>(10)</w:t>
      </w:r>
      <w:r w:rsidRPr="00C9040A">
        <w:rPr>
          <w:rtl/>
          <w:lang w:bidi="fa-IR"/>
        </w:rPr>
        <w:t xml:space="preserve"> يَرْفَعُهُ </w:t>
      </w:r>
      <w:r w:rsidR="006C577F" w:rsidRPr="006C577F">
        <w:rPr>
          <w:rStyle w:val="libFootnotenumChar"/>
          <w:rtl/>
        </w:rPr>
        <w:t>(11)</w:t>
      </w:r>
      <w:r w:rsidRPr="00C9040A">
        <w:rPr>
          <w:rtl/>
          <w:lang w:bidi="fa-IR"/>
        </w:rPr>
        <w:t xml:space="preserve"> إِلى عِيسَى بْنِ عَبْدِ اللهِ ، قَالَ :</w:t>
      </w:r>
    </w:p>
    <w:p w:rsidR="008A74EB" w:rsidRPr="00C9040A" w:rsidRDefault="008A74EB" w:rsidP="008A74EB">
      <w:pPr>
        <w:pStyle w:val="libNormal"/>
        <w:rPr>
          <w:rtl/>
          <w:lang w:bidi="fa-IR"/>
        </w:rPr>
      </w:pPr>
      <w:r w:rsidRPr="00C9040A">
        <w:rPr>
          <w:rtl/>
          <w:lang w:bidi="fa-IR"/>
        </w:rPr>
        <w:t xml:space="preserve">قَالَ عِيسَى بْنُ عَبْدِ اللهِ لِأَبِي عَبْدِ اللهِ </w:t>
      </w:r>
      <w:r w:rsidRPr="0003660B">
        <w:rPr>
          <w:rStyle w:val="libAlaemChar"/>
          <w:rtl/>
        </w:rPr>
        <w:t>عليه‌السلام</w:t>
      </w:r>
      <w:r w:rsidRPr="00C9040A">
        <w:rPr>
          <w:rtl/>
          <w:lang w:bidi="fa-IR"/>
        </w:rPr>
        <w:t xml:space="preserve"> : جُعِلْتُ فِدَاكَ ، مَا الْعِبَادَةُ</w:t>
      </w:r>
      <w:r>
        <w:rPr>
          <w:rtl/>
          <w:lang w:bidi="fa-IR"/>
        </w:rPr>
        <w:t>؟</w:t>
      </w:r>
    </w:p>
    <w:p w:rsidR="008A74EB" w:rsidRPr="00C9040A" w:rsidRDefault="008A74EB" w:rsidP="008A74EB">
      <w:pPr>
        <w:pStyle w:val="libNormal"/>
        <w:rPr>
          <w:rtl/>
          <w:lang w:bidi="fa-IR"/>
        </w:rPr>
      </w:pPr>
      <w:r w:rsidRPr="00C9040A">
        <w:rPr>
          <w:rtl/>
          <w:lang w:bidi="fa-IR"/>
        </w:rPr>
        <w:t>قَالَ : « حُسْنُ النِّيَّةِ بِالطَّاعَةِ مِنَ الْوُجُوهِ الَّتِي يُطَاعُ اللهُ مِنْهَا ، أَمَا إِنَّكَ يَا عِيسى لَا تَكُونُ مُؤْمِناً حَتّى تَعْرِفَ النَّاسِخَ مِنَ الْمَنْسُوخِ »</w:t>
      </w:r>
      <w:r>
        <w:rPr>
          <w:rtl/>
          <w:lang w:bidi="fa-IR"/>
        </w:rPr>
        <w:t>.</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 ب ، </w:t>
      </w:r>
      <w:r w:rsidR="006D3162">
        <w:rPr>
          <w:rtl/>
        </w:rPr>
        <w:t xml:space="preserve">ه </w:t>
      </w:r>
      <w:r w:rsidR="008A74EB" w:rsidRPr="00C9040A">
        <w:rPr>
          <w:rtl/>
        </w:rPr>
        <w:t>» : « الصادقين »</w:t>
      </w:r>
      <w:r w:rsidR="008A74EB">
        <w:rPr>
          <w:rtl/>
        </w:rPr>
        <w:t>.</w:t>
      </w:r>
      <w:r w:rsidR="008A74EB" w:rsidRPr="00C9040A">
        <w:rPr>
          <w:rtl/>
        </w:rPr>
        <w:t xml:space="preserve"> وفي « بر » : « السابقين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w:t>
      </w:r>
      <w:r w:rsidR="008A74EB" w:rsidRPr="00993B55">
        <w:rPr>
          <w:rStyle w:val="libFootnoteBoldChar"/>
          <w:rtl/>
        </w:rPr>
        <w:t>مرآة العقول</w:t>
      </w:r>
      <w:r w:rsidR="008A74EB" w:rsidRPr="00C9040A">
        <w:rPr>
          <w:rtl/>
        </w:rPr>
        <w:t xml:space="preserve"> : « الظاهر أنّ الباء صلة ، فإنّ الصدّيقين والمقرّبين يلتذّون بعبادة ربّهم ويتّقوون بها ، وهي عندهم أعظم اللذّات الروحانيّة. وقيل : الباء سببيّة ، فإنّ العبادة سبب الرزق كما قال تعالى : </w:t>
      </w:r>
      <w:r w:rsidR="008A74EB" w:rsidRPr="00AC2E2F">
        <w:rPr>
          <w:rStyle w:val="libFootnoteAlaemChar"/>
          <w:rtl/>
        </w:rPr>
        <w:t>(</w:t>
      </w:r>
      <w:r w:rsidR="008A74EB" w:rsidRPr="00883DD5">
        <w:rPr>
          <w:rStyle w:val="libFootnoteAieChar"/>
          <w:rFonts w:hint="cs"/>
          <w:rtl/>
        </w:rPr>
        <w:t xml:space="preserve"> </w:t>
      </w:r>
      <w:r w:rsidR="008A74EB" w:rsidRPr="00883DD5">
        <w:rPr>
          <w:rStyle w:val="libFootnoteAieChar"/>
          <w:rtl/>
        </w:rPr>
        <w:t>وَمَنْ يَتَّقِ اللهَ يَجْعَل</w:t>
      </w:r>
      <w:r w:rsidR="00A35809">
        <w:rPr>
          <w:rStyle w:val="libFootnoteAieChar"/>
          <w:rtl/>
        </w:rPr>
        <w:t xml:space="preserve"> ل</w:t>
      </w:r>
      <w:r w:rsidR="00A35809">
        <w:rPr>
          <w:rStyle w:val="libFootnoteAieChar"/>
          <w:rFonts w:hint="cs"/>
          <w:rtl/>
        </w:rPr>
        <w:t>َّ</w:t>
      </w:r>
      <w:r w:rsidR="008A74EB" w:rsidRPr="00883DD5">
        <w:rPr>
          <w:rStyle w:val="libFootnoteAieChar"/>
          <w:rtl/>
        </w:rPr>
        <w:t>هُ مَخْرَجاً</w:t>
      </w:r>
      <w:r w:rsidR="008A74EB" w:rsidRPr="00883DD5">
        <w:rPr>
          <w:rStyle w:val="libFootnoteAieChar"/>
          <w:rFonts w:hint="cs"/>
          <w:rtl/>
        </w:rPr>
        <w:t xml:space="preserve"> </w:t>
      </w:r>
      <w:r w:rsidR="008A74EB" w:rsidRPr="00AC2E2F">
        <w:rPr>
          <w:rStyle w:val="libFootnoteAlaemChar"/>
          <w:rtl/>
        </w:rPr>
        <w:t>)</w:t>
      </w:r>
      <w:r w:rsidR="008A74EB" w:rsidRPr="00C9040A">
        <w:rPr>
          <w:rtl/>
        </w:rPr>
        <w:t xml:space="preserve"> [ الطلاق (65) : 2 ]</w:t>
      </w:r>
      <w:r w:rsidR="008A74EB">
        <w:rPr>
          <w:rtl/>
        </w:rPr>
        <w:t>.</w:t>
      </w:r>
      <w:r w:rsidR="008A74EB" w:rsidRPr="00C9040A">
        <w:rPr>
          <w:rtl/>
        </w:rPr>
        <w:t xml:space="preserve"> وهو بعيد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بر » : « تنعّمون » بحذف إحدى التاءين. وفي حاشية « ف » : « متنعّمون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w:t>
      </w:r>
      <w:r w:rsidR="008A74EB" w:rsidRPr="0034021D">
        <w:rPr>
          <w:rStyle w:val="libFootnoteBoldChar"/>
          <w:rtl/>
        </w:rPr>
        <w:t>الأمالي للصدوق</w:t>
      </w:r>
      <w:r w:rsidR="008A74EB" w:rsidRPr="00C9040A">
        <w:rPr>
          <w:rtl/>
        </w:rPr>
        <w:t xml:space="preserve"> ، ص 301 ، المجلس 50 ، ح 2 ، بسنده عن محمّد بن عيسى بن عبيد ، عن يونس ، عن أبي جميلة </w:t>
      </w:r>
      <w:r w:rsidR="00A35809">
        <w:rPr>
          <w:rFonts w:hint="cs"/>
          <w:rtl/>
        </w:rPr>
        <w:t>.</w:t>
      </w:r>
      <w:r w:rsidR="008A74EB" w:rsidRPr="00993B55">
        <w:rPr>
          <w:rStyle w:val="libFootnoteBoldChar"/>
          <w:rtl/>
        </w:rPr>
        <w:t>الوافي</w:t>
      </w:r>
      <w:r w:rsidR="008A74EB" w:rsidRPr="00C9040A">
        <w:rPr>
          <w:rtl/>
        </w:rPr>
        <w:t xml:space="preserve"> ، ج 4 ، ص 355 ، ح 2114 ؛ </w:t>
      </w:r>
      <w:r w:rsidR="008A74EB" w:rsidRPr="00993B55">
        <w:rPr>
          <w:rStyle w:val="libFootnoteBoldChar"/>
          <w:rtl/>
        </w:rPr>
        <w:t>الوسائل</w:t>
      </w:r>
      <w:r w:rsidR="008A74EB" w:rsidRPr="00C9040A">
        <w:rPr>
          <w:rtl/>
        </w:rPr>
        <w:t xml:space="preserve"> ، ج 1 ، ص 83 ، ح 193 ؛ </w:t>
      </w:r>
      <w:r w:rsidR="008A74EB" w:rsidRPr="00993B55">
        <w:rPr>
          <w:rStyle w:val="libFootnoteBoldChar"/>
          <w:rtl/>
        </w:rPr>
        <w:t>البحار</w:t>
      </w:r>
      <w:r w:rsidR="008A74EB" w:rsidRPr="00C9040A">
        <w:rPr>
          <w:rtl/>
        </w:rPr>
        <w:t xml:space="preserve"> ، ج 8 ، ص 155 ، ح 93 ؛ وج 70 ، ص 253 ، ح 9.</w:t>
      </w:r>
    </w:p>
    <w:p w:rsidR="008A74EB" w:rsidRPr="00C9040A" w:rsidRDefault="006C577F" w:rsidP="004A4E41">
      <w:pPr>
        <w:pStyle w:val="libFootnote0"/>
        <w:rPr>
          <w:rtl/>
          <w:lang w:bidi="fa-IR"/>
        </w:rPr>
      </w:pPr>
      <w:r>
        <w:rPr>
          <w:rtl/>
        </w:rPr>
        <w:t>(5).</w:t>
      </w:r>
      <w:r w:rsidR="008A74EB" w:rsidRPr="00C9040A">
        <w:rPr>
          <w:rtl/>
        </w:rPr>
        <w:t xml:space="preserve"> في « ز ، ص ، </w:t>
      </w:r>
      <w:r w:rsidR="006D3162">
        <w:rPr>
          <w:rtl/>
        </w:rPr>
        <w:t xml:space="preserve">ه </w:t>
      </w:r>
      <w:r w:rsidR="008A74EB" w:rsidRPr="00C9040A">
        <w:rPr>
          <w:rtl/>
        </w:rPr>
        <w:t>» : « بن »</w:t>
      </w:r>
      <w:r w:rsidR="008A74EB">
        <w:rPr>
          <w:rtl/>
        </w:rPr>
        <w:t>.</w:t>
      </w:r>
      <w:r w:rsidR="008A74EB" w:rsidRPr="00C9040A">
        <w:rPr>
          <w:rtl/>
        </w:rPr>
        <w:t xml:space="preserve"> وهو سهو ؛ فقد روى يونس بن عبد الرحمن ، عن عمرو بن جميع كتابه. راجع : </w:t>
      </w:r>
      <w:r w:rsidR="008A74EB" w:rsidRPr="0034021D">
        <w:rPr>
          <w:rStyle w:val="libFootnoteBoldChar"/>
          <w:rtl/>
        </w:rPr>
        <w:t>الفهرست للطوسي</w:t>
      </w:r>
      <w:r w:rsidR="008A74EB" w:rsidRPr="00C9040A">
        <w:rPr>
          <w:rtl/>
        </w:rPr>
        <w:t xml:space="preserve"> ، ص 317 ، الرقم 489.</w:t>
      </w:r>
      <w:r w:rsidR="00AA6EB9">
        <w:rPr>
          <w:rFonts w:hint="cs"/>
          <w:rtl/>
        </w:rPr>
        <w:t xml:space="preserve">  </w:t>
      </w:r>
      <w:r w:rsidR="00AC2E2F">
        <w:rPr>
          <w:rFonts w:hint="cs"/>
          <w:rtl/>
        </w:rPr>
        <w:t xml:space="preserve">    </w:t>
      </w:r>
      <w:r w:rsidR="00AA6EB9">
        <w:rPr>
          <w:rFonts w:hint="cs"/>
          <w:rtl/>
        </w:rPr>
        <w:t xml:space="preserve">        </w:t>
      </w:r>
      <w:r>
        <w:rPr>
          <w:rtl/>
        </w:rPr>
        <w:t>(6).</w:t>
      </w:r>
      <w:r w:rsidR="008A74EB">
        <w:rPr>
          <w:rtl/>
        </w:rPr>
        <w:t xml:space="preserve"> </w:t>
      </w:r>
      <w:r w:rsidR="008A74EB" w:rsidRPr="00C9040A">
        <w:rPr>
          <w:rtl/>
        </w:rPr>
        <w:t>في«ف»:«</w:t>
      </w:r>
      <w:r w:rsidR="000960B2">
        <w:rPr>
          <w:rtl/>
        </w:rPr>
        <w:t>إنّ أفضل</w:t>
      </w:r>
      <w:r w:rsidR="008A74EB" w:rsidRPr="00C9040A">
        <w:rPr>
          <w:rtl/>
        </w:rPr>
        <w:t>»</w:t>
      </w:r>
      <w:r w:rsidR="008A74EB">
        <w:rPr>
          <w:rtl/>
        </w:rPr>
        <w:t>.</w:t>
      </w:r>
    </w:p>
    <w:p w:rsidR="008A74EB" w:rsidRPr="004A4E41" w:rsidRDefault="006C577F" w:rsidP="004A4E41">
      <w:pPr>
        <w:pStyle w:val="libFootnote0"/>
        <w:rPr>
          <w:rStyle w:val="libFootnote0Char"/>
          <w:rtl/>
        </w:rPr>
      </w:pPr>
      <w:r>
        <w:rPr>
          <w:rtl/>
        </w:rPr>
        <w:t>(7).</w:t>
      </w:r>
      <w:r w:rsidR="008A74EB" w:rsidRPr="00C9040A">
        <w:rPr>
          <w:rtl/>
        </w:rPr>
        <w:t xml:space="preserve"> </w:t>
      </w:r>
      <w:r w:rsidR="008A74EB" w:rsidRPr="00993B55">
        <w:rPr>
          <w:rStyle w:val="libFootnoteBoldChar"/>
          <w:rtl/>
        </w:rPr>
        <w:t>الجعفريّات</w:t>
      </w:r>
      <w:r w:rsidR="008A74EB" w:rsidRPr="00C9040A">
        <w:rPr>
          <w:rtl/>
        </w:rPr>
        <w:t xml:space="preserve"> ، ص 232 ، بسند آخر ، مع اختلاف يسير </w:t>
      </w:r>
      <w:r w:rsidR="00AA6EB9">
        <w:rPr>
          <w:rFonts w:hint="cs"/>
          <w:rtl/>
        </w:rPr>
        <w:t>.</w:t>
      </w:r>
      <w:r w:rsidR="008A74EB" w:rsidRPr="00993B55">
        <w:rPr>
          <w:rStyle w:val="libFootnoteBoldChar"/>
          <w:rtl/>
        </w:rPr>
        <w:t>الوافي</w:t>
      </w:r>
      <w:r w:rsidR="008A74EB" w:rsidRPr="00C9040A">
        <w:rPr>
          <w:rtl/>
        </w:rPr>
        <w:t xml:space="preserve"> ، ج 4 ، ص 355 ، ح 2115 ؛ </w:t>
      </w:r>
      <w:r w:rsidR="008A74EB" w:rsidRPr="00993B55">
        <w:rPr>
          <w:rStyle w:val="libFootnoteBoldChar"/>
          <w:rtl/>
        </w:rPr>
        <w:t>الوسائل</w:t>
      </w:r>
      <w:r w:rsidR="008A74EB" w:rsidRPr="00C9040A">
        <w:rPr>
          <w:rtl/>
        </w:rPr>
        <w:t xml:space="preserve"> ، ج 1 ، ص 83 ، ح 192 ؛ </w:t>
      </w:r>
      <w:r w:rsidR="008A74EB" w:rsidRPr="00993B55">
        <w:rPr>
          <w:rStyle w:val="libFootnoteBoldChar"/>
          <w:rtl/>
        </w:rPr>
        <w:t>البحار</w:t>
      </w:r>
      <w:r w:rsidR="008A74EB" w:rsidRPr="00C9040A">
        <w:rPr>
          <w:rtl/>
        </w:rPr>
        <w:t xml:space="preserve"> ، ج 70 ، ص 253 ، ح 10.</w:t>
      </w:r>
    </w:p>
    <w:tbl>
      <w:tblPr>
        <w:tblStyle w:val="TableGrid"/>
        <w:bidiVisual/>
        <w:tblW w:w="0" w:type="auto"/>
        <w:tblLook w:val="04A0" w:firstRow="1" w:lastRow="0" w:firstColumn="1" w:lastColumn="0" w:noHBand="0" w:noVBand="1"/>
      </w:tblPr>
      <w:tblGrid>
        <w:gridCol w:w="4006"/>
        <w:gridCol w:w="4006"/>
      </w:tblGrid>
      <w:tr w:rsidR="00CC3AC1" w:rsidTr="00CC3AC1">
        <w:tc>
          <w:tcPr>
            <w:tcW w:w="4006" w:type="dxa"/>
          </w:tcPr>
          <w:p w:rsidR="00CC3AC1" w:rsidRDefault="00CC3AC1" w:rsidP="004A4E41">
            <w:pPr>
              <w:pStyle w:val="libFootnote0"/>
              <w:rPr>
                <w:rtl/>
              </w:rPr>
            </w:pPr>
            <w:r>
              <w:rPr>
                <w:rtl/>
              </w:rPr>
              <w:t>(8).</w:t>
            </w:r>
            <w:r w:rsidRPr="00C9040A">
              <w:rPr>
                <w:rtl/>
              </w:rPr>
              <w:t xml:space="preserve"> في « ص ، ف » : « وكتب »</w:t>
            </w:r>
            <w:r>
              <w:rPr>
                <w:rtl/>
              </w:rPr>
              <w:t>.</w:t>
            </w:r>
          </w:p>
        </w:tc>
        <w:tc>
          <w:tcPr>
            <w:tcW w:w="4006" w:type="dxa"/>
          </w:tcPr>
          <w:p w:rsidR="00CC3AC1" w:rsidRDefault="00CC3AC1" w:rsidP="004A4E41">
            <w:pPr>
              <w:pStyle w:val="libFootnote0"/>
              <w:rPr>
                <w:rtl/>
              </w:rPr>
            </w:pPr>
            <w:r>
              <w:rPr>
                <w:rtl/>
              </w:rPr>
              <w:t>(9).</w:t>
            </w:r>
            <w:r w:rsidRPr="00C9040A">
              <w:rPr>
                <w:rtl/>
              </w:rPr>
              <w:t xml:space="preserve"> في « ز ، ص » : « في »</w:t>
            </w:r>
            <w:r>
              <w:rPr>
                <w:rtl/>
              </w:rPr>
              <w:t>.</w:t>
            </w:r>
          </w:p>
        </w:tc>
      </w:tr>
      <w:tr w:rsidR="00CC3AC1" w:rsidTr="00CC3AC1">
        <w:tc>
          <w:tcPr>
            <w:tcW w:w="4006" w:type="dxa"/>
          </w:tcPr>
          <w:p w:rsidR="00CC3AC1" w:rsidRDefault="00CC3AC1" w:rsidP="004A4E41">
            <w:pPr>
              <w:pStyle w:val="libFootnote0"/>
              <w:rPr>
                <w:rtl/>
              </w:rPr>
            </w:pPr>
            <w:r>
              <w:rPr>
                <w:rtl/>
              </w:rPr>
              <w:t>(10).</w:t>
            </w:r>
            <w:r w:rsidRPr="00C9040A">
              <w:rPr>
                <w:rtl/>
              </w:rPr>
              <w:t xml:space="preserve"> في الوسائل : « بإسناده »</w:t>
            </w:r>
            <w:r>
              <w:rPr>
                <w:rtl/>
              </w:rPr>
              <w:t>.</w:t>
            </w:r>
          </w:p>
        </w:tc>
        <w:tc>
          <w:tcPr>
            <w:tcW w:w="4006" w:type="dxa"/>
          </w:tcPr>
          <w:p w:rsidR="00CC3AC1" w:rsidRDefault="00CC3AC1" w:rsidP="004A4E41">
            <w:pPr>
              <w:pStyle w:val="libFootnote0"/>
              <w:rPr>
                <w:rtl/>
              </w:rPr>
            </w:pPr>
            <w:r>
              <w:rPr>
                <w:rtl/>
              </w:rPr>
              <w:t>(11).</w:t>
            </w:r>
            <w:r w:rsidRPr="00C9040A">
              <w:rPr>
                <w:rtl/>
              </w:rPr>
              <w:t xml:space="preserve"> في « </w:t>
            </w:r>
            <w:r>
              <w:rPr>
                <w:rtl/>
              </w:rPr>
              <w:t xml:space="preserve">ه </w:t>
            </w:r>
            <w:r w:rsidRPr="00C9040A">
              <w:rPr>
                <w:rtl/>
              </w:rPr>
              <w:t>» : « رفعه »</w:t>
            </w:r>
            <w:r>
              <w:rPr>
                <w:rtl/>
              </w:rPr>
              <w:t>.</w:t>
            </w:r>
          </w:p>
        </w:tc>
      </w:tr>
    </w:tbl>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قَالَ </w:t>
      </w:r>
      <w:r w:rsidR="006C577F" w:rsidRPr="006C577F">
        <w:rPr>
          <w:rStyle w:val="libFootnotenumChar"/>
          <w:rtl/>
        </w:rPr>
        <w:t>(1)</w:t>
      </w:r>
      <w:r w:rsidRPr="001E6F92">
        <w:rPr>
          <w:rFonts w:hint="cs"/>
          <w:rtl/>
        </w:rPr>
        <w:t xml:space="preserve"> </w:t>
      </w:r>
      <w:r w:rsidRPr="00C9040A">
        <w:rPr>
          <w:rtl/>
          <w:lang w:bidi="fa-IR"/>
        </w:rPr>
        <w:t xml:space="preserve">: قُلْتُ </w:t>
      </w:r>
      <w:r w:rsidR="006C577F" w:rsidRPr="006C577F">
        <w:rPr>
          <w:rStyle w:val="libFootnotenumChar"/>
          <w:rtl/>
        </w:rPr>
        <w:t>(2)</w:t>
      </w:r>
      <w:r w:rsidRPr="00C9040A">
        <w:rPr>
          <w:rtl/>
          <w:lang w:bidi="fa-IR"/>
        </w:rPr>
        <w:t xml:space="preserve"> : جُعِلْتُ فِدَاكَ ، وَمَا مَعْرِفَةُ النَّاسِخِ مِنَ الْمَنْسُوخِ</w:t>
      </w:r>
      <w:r>
        <w:rPr>
          <w:rtl/>
          <w:lang w:bidi="fa-IR"/>
        </w:rPr>
        <w:t>؟</w:t>
      </w:r>
    </w:p>
    <w:p w:rsidR="008A74EB" w:rsidRPr="00C9040A" w:rsidRDefault="008A74EB" w:rsidP="008A74EB">
      <w:pPr>
        <w:pStyle w:val="libNormal"/>
        <w:rPr>
          <w:rtl/>
          <w:lang w:bidi="fa-IR"/>
        </w:rPr>
      </w:pPr>
      <w:r w:rsidRPr="00C9040A">
        <w:rPr>
          <w:rtl/>
          <w:lang w:bidi="fa-IR"/>
        </w:rPr>
        <w:t>قَالَ : فَقَ</w:t>
      </w:r>
      <w:r>
        <w:rPr>
          <w:rtl/>
          <w:lang w:bidi="fa-IR"/>
        </w:rPr>
        <w:t>الَ : « أَ</w:t>
      </w:r>
      <w:r w:rsidRPr="00C9040A">
        <w:rPr>
          <w:rtl/>
          <w:lang w:bidi="fa-IR"/>
        </w:rPr>
        <w:t>لَيْسَ تَكُونُ مَعَ الْإِمَامِ مُوَطِّناً نَفْسَكَ عَلى حُسْنِ النِّيَّةِ فِي طَاعَتِهِ ، فَيَمْضِي ذلِكَ الْإِمَامُ ، وَيَأْتِي إِمَامٌ آخَرُ ، فَتُوَطِّنُ نَفْسَكَ عَلى حُسْنِ النِّيَّةِ فِي طَاعَتِهِ</w:t>
      </w:r>
      <w:r>
        <w:rPr>
          <w:rtl/>
          <w:lang w:bidi="fa-IR"/>
        </w:rPr>
        <w:t>؟</w:t>
      </w:r>
      <w:r w:rsidRPr="00C9040A">
        <w:rPr>
          <w:rtl/>
          <w:lang w:bidi="fa-IR"/>
        </w:rPr>
        <w:t xml:space="preserve"> »</w:t>
      </w:r>
      <w:r>
        <w:rPr>
          <w:rtl/>
          <w:lang w:bidi="fa-IR"/>
        </w:rPr>
        <w:t>.</w:t>
      </w:r>
    </w:p>
    <w:p w:rsidR="008A74EB" w:rsidRPr="00C9040A" w:rsidRDefault="008A74EB" w:rsidP="008A74EB">
      <w:pPr>
        <w:pStyle w:val="libNormal"/>
        <w:rPr>
          <w:rtl/>
          <w:lang w:bidi="fa-IR"/>
        </w:rPr>
      </w:pPr>
      <w:r w:rsidRPr="00C9040A">
        <w:rPr>
          <w:rtl/>
          <w:lang w:bidi="fa-IR"/>
        </w:rPr>
        <w:t xml:space="preserve">قَالَ : قُلْتُ : نَعَمْ ، قَالَ : « هذَا </w:t>
      </w:r>
      <w:r w:rsidR="006C577F" w:rsidRPr="006C577F">
        <w:rPr>
          <w:rStyle w:val="libFootnotenumChar"/>
          <w:rtl/>
        </w:rPr>
        <w:t>(3)</w:t>
      </w:r>
      <w:r w:rsidRPr="00C9040A">
        <w:rPr>
          <w:rtl/>
          <w:lang w:bidi="fa-IR"/>
        </w:rPr>
        <w:t xml:space="preserve"> مَعْرِفَةُ النَّاسِخِ مِنَ الْمَنْسُوخِ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EA692B">
        <w:rPr>
          <w:rtl/>
        </w:rPr>
        <w:t>1672</w:t>
      </w:r>
      <w:r w:rsidRPr="00261CB0">
        <w:rPr>
          <w:rStyle w:val="libBold2Char"/>
          <w:rtl/>
        </w:rPr>
        <w:t xml:space="preserve"> / 5.</w:t>
      </w:r>
      <w:r w:rsidRPr="00C9040A">
        <w:rPr>
          <w:rtl/>
          <w:lang w:bidi="fa-IR"/>
        </w:rPr>
        <w:t xml:space="preserve"> عَلِيُّ بْنُ إِبْرَاهِيمَ ، عَنْ أَبِيهِ ، عَنِ ابْنِ مَحْبُوبٍ ، عَنْ جَمِيلٍ ، عَنْ هَارُونَ بْنِ خَارِجَةَ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إِنَّ </w:t>
      </w:r>
      <w:r w:rsidR="006C577F" w:rsidRPr="006C577F">
        <w:rPr>
          <w:rStyle w:val="libFootnotenumChar"/>
          <w:rtl/>
        </w:rPr>
        <w:t>(5)</w:t>
      </w:r>
      <w:r w:rsidRPr="00C9040A">
        <w:rPr>
          <w:rtl/>
          <w:lang w:bidi="fa-IR"/>
        </w:rPr>
        <w:t xml:space="preserve"> الْعِبَادَةَ </w:t>
      </w:r>
      <w:r w:rsidR="006C577F" w:rsidRPr="006C577F">
        <w:rPr>
          <w:rStyle w:val="libFootnotenumChar"/>
          <w:rtl/>
        </w:rPr>
        <w:t>(6)</w:t>
      </w:r>
      <w:r w:rsidRPr="005B567D">
        <w:rPr>
          <w:rStyle w:val="libFootnotenumChar"/>
          <w:rtl/>
        </w:rPr>
        <w:t xml:space="preserve"> </w:t>
      </w:r>
      <w:r w:rsidRPr="00C9040A">
        <w:rPr>
          <w:rtl/>
          <w:lang w:bidi="fa-IR"/>
        </w:rPr>
        <w:t xml:space="preserve">ثَلَاثَةٌ </w:t>
      </w:r>
      <w:r w:rsidR="006C577F" w:rsidRPr="006C577F">
        <w:rPr>
          <w:rStyle w:val="libFootnotenumChar"/>
          <w:rtl/>
        </w:rPr>
        <w:t>(7)</w:t>
      </w:r>
      <w:r w:rsidRPr="00C9040A">
        <w:rPr>
          <w:rtl/>
          <w:lang w:bidi="fa-IR"/>
        </w:rPr>
        <w:t xml:space="preserve"> : قَوْمٌ عَبَدُوا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خَوْفاً ، فَتِلْكَ عِبَادَةُ الْعَبِيدِ ؛ وَقَوْمٌ عَبَدُوا اللهَ </w:t>
      </w:r>
      <w:r w:rsidR="006C577F" w:rsidRPr="006C577F">
        <w:rPr>
          <w:rStyle w:val="libFootnotenumChar"/>
          <w:rtl/>
        </w:rPr>
        <w:t>(8)</w:t>
      </w:r>
      <w:r>
        <w:rPr>
          <w:rtl/>
          <w:lang w:bidi="fa-IR"/>
        </w:rPr>
        <w:t xml:space="preserve"> </w:t>
      </w:r>
      <w:r w:rsidR="0084262C">
        <w:rPr>
          <w:rtl/>
          <w:lang w:bidi="fa-IR"/>
        </w:rPr>
        <w:t>-</w:t>
      </w:r>
      <w:r>
        <w:rPr>
          <w:rtl/>
          <w:lang w:bidi="fa-IR"/>
        </w:rPr>
        <w:t xml:space="preserve"> </w:t>
      </w:r>
      <w:r w:rsidRPr="00C9040A">
        <w:rPr>
          <w:rtl/>
          <w:lang w:bidi="fa-IR"/>
        </w:rPr>
        <w:t>تَبَارَكَ وَتَعَالى</w:t>
      </w:r>
      <w:r>
        <w:rPr>
          <w:rtl/>
          <w:lang w:bidi="fa-IR"/>
        </w:rPr>
        <w:t xml:space="preserve"> </w:t>
      </w:r>
      <w:r w:rsidR="0084262C">
        <w:rPr>
          <w:rtl/>
          <w:lang w:bidi="fa-IR"/>
        </w:rPr>
        <w:t>-</w:t>
      </w:r>
      <w:r>
        <w:rPr>
          <w:rtl/>
          <w:lang w:bidi="fa-IR"/>
        </w:rPr>
        <w:t xml:space="preserve"> </w:t>
      </w:r>
      <w:r w:rsidRPr="00C9040A">
        <w:rPr>
          <w:rtl/>
          <w:lang w:bidi="fa-IR"/>
        </w:rPr>
        <w:t xml:space="preserve">طَلَبَ الثَّوَابِ </w:t>
      </w:r>
      <w:r w:rsidR="006C577F" w:rsidRPr="006C577F">
        <w:rPr>
          <w:rStyle w:val="libFootnotenumChar"/>
          <w:rtl/>
        </w:rPr>
        <w:t>(9)</w:t>
      </w:r>
      <w:r w:rsidRPr="00C9040A">
        <w:rPr>
          <w:rtl/>
          <w:lang w:bidi="fa-IR"/>
        </w:rPr>
        <w:t xml:space="preserve"> ، فَتِلْكَ عِبَادَةُ الْأُجَرَاءِ </w:t>
      </w:r>
      <w:r w:rsidR="006C577F" w:rsidRPr="006C577F">
        <w:rPr>
          <w:rStyle w:val="libFootnotenumChar"/>
          <w:rtl/>
        </w:rPr>
        <w:t>(10)</w:t>
      </w:r>
      <w:r w:rsidRPr="00C9040A">
        <w:rPr>
          <w:rtl/>
          <w:lang w:bidi="fa-IR"/>
        </w:rPr>
        <w:t xml:space="preserve"> ؛ وَقَوْمٌ عَبَدُوا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حُبّاً لَهُ ، فَتِلْكَ عِبَادَةُ الْأَحْرَارِ ، وَهِيَ أَفْضَلُ </w:t>
      </w:r>
      <w:r w:rsidR="006C577F" w:rsidRPr="006C577F">
        <w:rPr>
          <w:rStyle w:val="libFootnotenumChar"/>
          <w:rtl/>
        </w:rPr>
        <w:t>(11)</w:t>
      </w:r>
      <w:r w:rsidRPr="00C9040A">
        <w:rPr>
          <w:rtl/>
          <w:lang w:bidi="fa-IR"/>
        </w:rPr>
        <w:t xml:space="preserve"> الْعِبَادَةِ </w:t>
      </w:r>
      <w:r w:rsidR="006C577F" w:rsidRPr="006C577F">
        <w:rPr>
          <w:rStyle w:val="libFootnotenumChar"/>
          <w:rtl/>
        </w:rPr>
        <w:t>(12)</w:t>
      </w:r>
      <w:r w:rsidRPr="00C9040A">
        <w:rPr>
          <w:rtl/>
          <w:lang w:bidi="fa-IR"/>
        </w:rPr>
        <w:t xml:space="preserve"> »</w:t>
      </w:r>
      <w:r>
        <w:rPr>
          <w:rtl/>
          <w:lang w:bidi="fa-IR"/>
        </w:rPr>
        <w:t>.</w:t>
      </w:r>
      <w:r w:rsidRPr="00C9040A">
        <w:rPr>
          <w:rtl/>
          <w:lang w:bidi="fa-IR"/>
        </w:rPr>
        <w:t xml:space="preserve"> </w:t>
      </w:r>
      <w:r w:rsidRPr="005B567D">
        <w:rPr>
          <w:rStyle w:val="libFootnotenumChar"/>
          <w:rtl/>
        </w:rPr>
        <w:t>(13)</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CC3AC1" w:rsidTr="00CC3AC1">
        <w:tc>
          <w:tcPr>
            <w:tcW w:w="4006" w:type="dxa"/>
          </w:tcPr>
          <w:p w:rsidR="00CC3AC1" w:rsidRDefault="00CC3AC1" w:rsidP="004A4E41">
            <w:pPr>
              <w:pStyle w:val="libFootnote0"/>
              <w:rPr>
                <w:rtl/>
              </w:rPr>
            </w:pPr>
            <w:r>
              <w:rPr>
                <w:rtl/>
              </w:rPr>
              <w:t>(1).</w:t>
            </w:r>
            <w:r w:rsidRPr="00C9040A">
              <w:rPr>
                <w:rtl/>
              </w:rPr>
              <w:t xml:space="preserve"> في « ز ، ص » : « فقال »</w:t>
            </w:r>
            <w:r>
              <w:rPr>
                <w:rtl/>
              </w:rPr>
              <w:t>.</w:t>
            </w:r>
          </w:p>
        </w:tc>
        <w:tc>
          <w:tcPr>
            <w:tcW w:w="4006" w:type="dxa"/>
          </w:tcPr>
          <w:p w:rsidR="00CC3AC1" w:rsidRDefault="00CC3AC1" w:rsidP="004A4E41">
            <w:pPr>
              <w:pStyle w:val="libFootnote0"/>
              <w:rPr>
                <w:rtl/>
              </w:rPr>
            </w:pPr>
            <w:r>
              <w:rPr>
                <w:rtl/>
              </w:rPr>
              <w:t xml:space="preserve">(2). </w:t>
            </w:r>
            <w:r w:rsidRPr="00C9040A">
              <w:rPr>
                <w:rtl/>
              </w:rPr>
              <w:t>في«ب»:«فقلت»</w:t>
            </w:r>
            <w:r>
              <w:rPr>
                <w:rtl/>
              </w:rPr>
              <w:t>.</w:t>
            </w:r>
            <w:r w:rsidRPr="00C9040A">
              <w:rPr>
                <w:rtl/>
              </w:rPr>
              <w:t xml:space="preserve"> وفي «ز»</w:t>
            </w:r>
            <w:r>
              <w:rPr>
                <w:rtl/>
              </w:rPr>
              <w:t>:-</w:t>
            </w:r>
            <w:r w:rsidRPr="00C9040A">
              <w:rPr>
                <w:rtl/>
              </w:rPr>
              <w:t>«قلت»</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في « ب ، بر ، بف » : « هذه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المحاسن</w:t>
      </w:r>
      <w:r w:rsidR="008A74EB" w:rsidRPr="00C9040A">
        <w:rPr>
          <w:rtl/>
        </w:rPr>
        <w:t xml:space="preserve"> ، ص 261 ، كتاب مصابيح الظلم ، ح 321 ؛ و</w:t>
      </w:r>
      <w:r w:rsidR="008A74EB" w:rsidRPr="00993B55">
        <w:rPr>
          <w:rStyle w:val="libFootnoteBoldChar"/>
          <w:rtl/>
        </w:rPr>
        <w:t xml:space="preserve">معاني الأخبار </w:t>
      </w:r>
      <w:r w:rsidR="008A74EB" w:rsidRPr="00C9040A">
        <w:rPr>
          <w:rtl/>
        </w:rPr>
        <w:t xml:space="preserve">، ص 240 ، ح 1 ، بسندهما عن عيسى بن عبد الله ، إلى قوله : « الوجوه التي يطاع الله منها » مع اختلاف يسير </w:t>
      </w:r>
      <w:r w:rsidR="00CC3AC1">
        <w:rPr>
          <w:rFonts w:hint="cs"/>
          <w:rtl/>
        </w:rPr>
        <w:t>.</w:t>
      </w:r>
      <w:r w:rsidR="008A74EB" w:rsidRPr="00993B55">
        <w:rPr>
          <w:rStyle w:val="libFootnoteBoldChar"/>
          <w:rtl/>
        </w:rPr>
        <w:t>الوافي</w:t>
      </w:r>
      <w:r w:rsidR="008A74EB" w:rsidRPr="00C9040A">
        <w:rPr>
          <w:rtl/>
        </w:rPr>
        <w:t xml:space="preserve"> ، ج 4 ، ص 369 ، ح 2138 ؛ </w:t>
      </w:r>
      <w:r w:rsidR="008A74EB" w:rsidRPr="00993B55">
        <w:rPr>
          <w:rStyle w:val="libFootnoteBoldChar"/>
          <w:rtl/>
        </w:rPr>
        <w:t>الوسائل</w:t>
      </w:r>
      <w:r w:rsidR="008A74EB" w:rsidRPr="00C9040A">
        <w:rPr>
          <w:rtl/>
        </w:rPr>
        <w:t xml:space="preserve"> ، ج 1 ، ص 52 ، ذيل ح 105 ؛ </w:t>
      </w:r>
      <w:r w:rsidR="008A74EB" w:rsidRPr="00993B55">
        <w:rPr>
          <w:rStyle w:val="libFootnoteBoldChar"/>
          <w:rtl/>
        </w:rPr>
        <w:t>البحار</w:t>
      </w:r>
      <w:r w:rsidR="008A74EB" w:rsidRPr="00C9040A">
        <w:rPr>
          <w:rtl/>
        </w:rPr>
        <w:t xml:space="preserve"> ، ج 70 ، ص 254 ، ح 11.</w:t>
      </w:r>
    </w:p>
    <w:p w:rsidR="008A74EB" w:rsidRPr="00C9040A" w:rsidRDefault="006C577F" w:rsidP="004A4E41">
      <w:pPr>
        <w:pStyle w:val="libFootnote0"/>
        <w:rPr>
          <w:rtl/>
          <w:lang w:bidi="fa-IR"/>
        </w:rPr>
      </w:pPr>
      <w:r>
        <w:rPr>
          <w:rtl/>
        </w:rPr>
        <w:t>(5).</w:t>
      </w:r>
      <w:r w:rsidR="008A74EB" w:rsidRPr="00C9040A">
        <w:rPr>
          <w:rtl/>
        </w:rPr>
        <w:t xml:space="preserve"> في « د ، ز ، ص ، ض ، ف ، بس » والوسائل والبحار ، ج 70 ، ص 236 </w:t>
      </w:r>
      <w:r w:rsidR="008A74EB">
        <w:rPr>
          <w:rtl/>
        </w:rPr>
        <w:t xml:space="preserve">: </w:t>
      </w:r>
      <w:r w:rsidR="0084262C">
        <w:rPr>
          <w:rtl/>
        </w:rPr>
        <w:t>-</w:t>
      </w:r>
      <w:r w:rsidR="008A74EB" w:rsidRPr="00C9040A">
        <w:rPr>
          <w:rtl/>
        </w:rPr>
        <w:t xml:space="preserve"> « إنّ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هكذا في « ب ، ج ، د ، ز ، ص ، ض ، </w:t>
      </w:r>
      <w:r w:rsidR="006D3162">
        <w:rPr>
          <w:rtl/>
        </w:rPr>
        <w:t xml:space="preserve">ه </w:t>
      </w:r>
      <w:r w:rsidR="008A74EB" w:rsidRPr="00C9040A">
        <w:rPr>
          <w:rtl/>
        </w:rPr>
        <w:t>، بر ، بس ، بف » وشرح المازندراني والوسائل ، وهو الأنسب ؛ لأنّ التقسيم يرد بالأصالة على العبادة والوصف ؛ وبقرينة قوله في آخر الحديث : « وهي أفضل العبادة »</w:t>
      </w:r>
      <w:r w:rsidR="008A74EB">
        <w:rPr>
          <w:rtl/>
        </w:rPr>
        <w:t>.</w:t>
      </w:r>
      <w:r w:rsidR="008A74EB" w:rsidRPr="00C9040A">
        <w:rPr>
          <w:rtl/>
        </w:rPr>
        <w:t xml:space="preserve"> وفي « ف » والمطبوع : « العُبّاد »</w:t>
      </w:r>
      <w:r w:rsidR="008A74EB">
        <w:rPr>
          <w:rtl/>
        </w:rPr>
        <w:t>.</w:t>
      </w:r>
    </w:p>
    <w:p w:rsidR="008A74EB" w:rsidRPr="004A4E41" w:rsidRDefault="006C577F" w:rsidP="004A4E41">
      <w:pPr>
        <w:pStyle w:val="libFootnote0"/>
        <w:rPr>
          <w:rStyle w:val="libFootnote0Char"/>
          <w:rtl/>
        </w:rPr>
      </w:pPr>
      <w:r>
        <w:rPr>
          <w:rtl/>
        </w:rPr>
        <w:t>(7).</w:t>
      </w:r>
      <w:r w:rsidR="008A74EB" w:rsidRPr="00C9040A">
        <w:rPr>
          <w:rtl/>
        </w:rPr>
        <w:t xml:space="preserve"> في « ف » : + « أقوام »</w:t>
      </w:r>
      <w:r w:rsidR="008A74EB">
        <w:rPr>
          <w:rtl/>
        </w:rPr>
        <w:t>.</w:t>
      </w:r>
      <w:r w:rsidR="008A74EB" w:rsidRPr="00C9040A">
        <w:rPr>
          <w:rtl/>
        </w:rPr>
        <w:t xml:space="preserve"> وفي هامش المطبوع عن بعض النسخ : « ثلاث »</w:t>
      </w:r>
      <w:r w:rsidR="008A74EB">
        <w:rPr>
          <w:rtl/>
        </w:rPr>
        <w:t>.</w:t>
      </w:r>
    </w:p>
    <w:tbl>
      <w:tblPr>
        <w:tblStyle w:val="TableGrid"/>
        <w:bidiVisual/>
        <w:tblW w:w="0" w:type="auto"/>
        <w:tblLook w:val="04A0" w:firstRow="1" w:lastRow="0" w:firstColumn="1" w:lastColumn="0" w:noHBand="0" w:noVBand="1"/>
      </w:tblPr>
      <w:tblGrid>
        <w:gridCol w:w="4006"/>
        <w:gridCol w:w="4006"/>
      </w:tblGrid>
      <w:tr w:rsidR="00415145" w:rsidTr="00415145">
        <w:tc>
          <w:tcPr>
            <w:tcW w:w="4006" w:type="dxa"/>
          </w:tcPr>
          <w:p w:rsidR="00415145" w:rsidRDefault="00415145" w:rsidP="004A4E41">
            <w:pPr>
              <w:pStyle w:val="libFootnote0"/>
              <w:rPr>
                <w:rtl/>
              </w:rPr>
            </w:pPr>
            <w:r>
              <w:rPr>
                <w:rtl/>
              </w:rPr>
              <w:t>(8).</w:t>
            </w:r>
            <w:r w:rsidRPr="00C9040A">
              <w:rPr>
                <w:rtl/>
              </w:rPr>
              <w:t xml:space="preserve"> في « بف » </w:t>
            </w:r>
            <w:r>
              <w:rPr>
                <w:rtl/>
              </w:rPr>
              <w:t>: -</w:t>
            </w:r>
            <w:r w:rsidRPr="00C9040A">
              <w:rPr>
                <w:rtl/>
              </w:rPr>
              <w:t xml:space="preserve"> « الله »</w:t>
            </w:r>
            <w:r>
              <w:rPr>
                <w:rtl/>
              </w:rPr>
              <w:t>.</w:t>
            </w:r>
          </w:p>
        </w:tc>
        <w:tc>
          <w:tcPr>
            <w:tcW w:w="4006" w:type="dxa"/>
          </w:tcPr>
          <w:p w:rsidR="00415145" w:rsidRDefault="00415145" w:rsidP="004A4E41">
            <w:pPr>
              <w:pStyle w:val="libFootnote0"/>
              <w:rPr>
                <w:rtl/>
              </w:rPr>
            </w:pPr>
            <w:r>
              <w:rPr>
                <w:rtl/>
              </w:rPr>
              <w:t>(9).</w:t>
            </w:r>
            <w:r w:rsidRPr="00C9040A">
              <w:rPr>
                <w:rtl/>
              </w:rPr>
              <w:t xml:space="preserve"> في«ف»والبحار،ج70،ص236:«طلباً للثواب»</w:t>
            </w:r>
            <w:r>
              <w:rPr>
                <w:rtl/>
              </w:rPr>
              <w:t>.</w:t>
            </w:r>
          </w:p>
        </w:tc>
      </w:tr>
      <w:tr w:rsidR="00415145" w:rsidTr="00415145">
        <w:tc>
          <w:tcPr>
            <w:tcW w:w="4006" w:type="dxa"/>
          </w:tcPr>
          <w:p w:rsidR="00415145" w:rsidRDefault="00415145" w:rsidP="004A4E41">
            <w:pPr>
              <w:pStyle w:val="libFootnote0"/>
              <w:rPr>
                <w:rtl/>
              </w:rPr>
            </w:pPr>
            <w:r>
              <w:rPr>
                <w:rtl/>
              </w:rPr>
              <w:t>(10).</w:t>
            </w:r>
            <w:r w:rsidRPr="00C9040A">
              <w:rPr>
                <w:rtl/>
              </w:rPr>
              <w:t xml:space="preserve"> في«ص»:«الأبرار»</w:t>
            </w:r>
            <w:r>
              <w:rPr>
                <w:rtl/>
              </w:rPr>
              <w:t>.</w:t>
            </w:r>
            <w:r w:rsidRPr="00C9040A">
              <w:rPr>
                <w:rtl/>
              </w:rPr>
              <w:t>وفي«</w:t>
            </w:r>
            <w:r>
              <w:rPr>
                <w:rtl/>
              </w:rPr>
              <w:t>ه</w:t>
            </w:r>
            <w:r w:rsidRPr="00C9040A">
              <w:rPr>
                <w:rtl/>
              </w:rPr>
              <w:t>»:«الأجير»</w:t>
            </w:r>
            <w:r>
              <w:rPr>
                <w:rtl/>
              </w:rPr>
              <w:t>.</w:t>
            </w:r>
          </w:p>
        </w:tc>
        <w:tc>
          <w:tcPr>
            <w:tcW w:w="4006" w:type="dxa"/>
          </w:tcPr>
          <w:p w:rsidR="00415145" w:rsidRDefault="00415145" w:rsidP="004A4E41">
            <w:pPr>
              <w:pStyle w:val="libFootnote0"/>
              <w:rPr>
                <w:rtl/>
              </w:rPr>
            </w:pPr>
            <w:r>
              <w:rPr>
                <w:rtl/>
              </w:rPr>
              <w:t>(11).</w:t>
            </w:r>
            <w:r w:rsidRPr="00C9040A">
              <w:rPr>
                <w:rtl/>
              </w:rPr>
              <w:t xml:space="preserve"> في حاشية « ف » : « أعبد »</w:t>
            </w:r>
            <w:r>
              <w:rPr>
                <w:rtl/>
              </w:rPr>
              <w:t>.</w:t>
            </w:r>
          </w:p>
        </w:tc>
      </w:tr>
    </w:tbl>
    <w:p w:rsidR="008A74EB" w:rsidRPr="00C9040A" w:rsidRDefault="006C577F" w:rsidP="004A4E41">
      <w:pPr>
        <w:pStyle w:val="libFootnote0"/>
        <w:rPr>
          <w:rtl/>
          <w:lang w:bidi="fa-IR"/>
        </w:rPr>
      </w:pPr>
      <w:r>
        <w:rPr>
          <w:rtl/>
        </w:rPr>
        <w:t>(12).</w:t>
      </w:r>
      <w:r w:rsidR="008A74EB" w:rsidRPr="00C9040A">
        <w:rPr>
          <w:rtl/>
        </w:rPr>
        <w:t xml:space="preserve"> في حاشية « ف » : « هو أفضل العباد »</w:t>
      </w:r>
      <w:r w:rsidR="008A74EB">
        <w:rPr>
          <w:rtl/>
        </w:rPr>
        <w:t>.</w:t>
      </w:r>
    </w:p>
    <w:p w:rsidR="008A74EB" w:rsidRPr="00C9040A" w:rsidRDefault="008A74EB" w:rsidP="004A4E41">
      <w:pPr>
        <w:pStyle w:val="libFootnote0"/>
        <w:rPr>
          <w:rtl/>
          <w:lang w:bidi="fa-IR"/>
        </w:rPr>
      </w:pPr>
      <w:r>
        <w:rPr>
          <w:rtl/>
        </w:rPr>
        <w:t>(13)</w:t>
      </w:r>
      <w:r w:rsidR="00415145">
        <w:rPr>
          <w:rFonts w:hint="cs"/>
          <w:rtl/>
        </w:rPr>
        <w:t>.</w:t>
      </w:r>
      <w:r w:rsidRPr="00C9040A">
        <w:rPr>
          <w:rtl/>
        </w:rPr>
        <w:t xml:space="preserve"> </w:t>
      </w:r>
      <w:r w:rsidRPr="0034021D">
        <w:rPr>
          <w:rStyle w:val="libFootnoteBoldChar"/>
          <w:rtl/>
        </w:rPr>
        <w:t>الأمالي للصدوق</w:t>
      </w:r>
      <w:r w:rsidRPr="00C9040A">
        <w:rPr>
          <w:rtl/>
        </w:rPr>
        <w:t xml:space="preserve"> ، ص 38 ، المجلس 10 ، ح 4 ؛ و</w:t>
      </w:r>
      <w:r w:rsidRPr="00993B55">
        <w:rPr>
          <w:rStyle w:val="libFootnoteBoldChar"/>
          <w:rtl/>
        </w:rPr>
        <w:t xml:space="preserve">الخصال </w:t>
      </w:r>
      <w:r w:rsidRPr="00C9040A">
        <w:rPr>
          <w:rtl/>
        </w:rPr>
        <w:t xml:space="preserve">، ص 188 ، باب الثلاثة ، ح 259 ؛ </w:t>
      </w:r>
      <w:r w:rsidRPr="00EA692B">
        <w:rPr>
          <w:rtl/>
        </w:rPr>
        <w:t>و</w:t>
      </w:r>
      <w:r w:rsidRPr="00993B55">
        <w:rPr>
          <w:rStyle w:val="libFootnoteBoldChar"/>
          <w:rtl/>
        </w:rPr>
        <w:t>علل الشرائع</w:t>
      </w:r>
      <w:r w:rsidR="00415145">
        <w:rPr>
          <w:rtl/>
        </w:rPr>
        <w:t xml:space="preserve"> ،</w:t>
      </w:r>
      <w:r w:rsidR="00AC2E2F">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422A78">
        <w:rPr>
          <w:rtl/>
        </w:rPr>
        <w:t>1673</w:t>
      </w:r>
      <w:r w:rsidRPr="00261CB0">
        <w:rPr>
          <w:rStyle w:val="libBold2Char"/>
          <w:rtl/>
        </w:rPr>
        <w:t xml:space="preserve"> / 6.</w:t>
      </w:r>
      <w:r w:rsidRPr="00C9040A">
        <w:rPr>
          <w:rtl/>
          <w:lang w:bidi="fa-IR"/>
        </w:rPr>
        <w:t xml:space="preserve"> عَلِيٌّ </w:t>
      </w:r>
      <w:r w:rsidR="006C577F" w:rsidRPr="006C577F">
        <w:rPr>
          <w:rStyle w:val="libFootnotenumChar"/>
          <w:rtl/>
        </w:rPr>
        <w:t>(1)</w:t>
      </w:r>
      <w:r w:rsidRPr="00C9040A">
        <w:rPr>
          <w:rtl/>
          <w:lang w:bidi="fa-IR"/>
        </w:rPr>
        <w:t>، عَنْ أَبِيهِ ، عَنِ النَّوْفَلِيِّ ، عَنِ السَّكُونِيِّ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مَا أَقْبَحَ الْفَقْرَ بَعْدَ الْغِنى</w:t>
      </w:r>
      <w:r>
        <w:rPr>
          <w:rtl/>
          <w:lang w:bidi="fa-IR"/>
        </w:rPr>
        <w:t>!</w:t>
      </w:r>
      <w:r w:rsidRPr="00C9040A">
        <w:rPr>
          <w:rtl/>
          <w:lang w:bidi="fa-IR"/>
        </w:rPr>
        <w:t xml:space="preserve"> وَأَقْبَحَ </w:t>
      </w:r>
      <w:r w:rsidR="006C577F" w:rsidRPr="006C577F">
        <w:rPr>
          <w:rStyle w:val="libFootnotenumChar"/>
          <w:rtl/>
        </w:rPr>
        <w:t>(2)</w:t>
      </w:r>
      <w:r w:rsidRPr="00C9040A">
        <w:rPr>
          <w:rtl/>
          <w:lang w:bidi="fa-IR"/>
        </w:rPr>
        <w:t xml:space="preserve"> الْخَطِيئَةَ بَعْدَ </w:t>
      </w:r>
      <w:r w:rsidR="006C577F" w:rsidRPr="006C577F">
        <w:rPr>
          <w:rStyle w:val="libFootnotenumChar"/>
          <w:rtl/>
        </w:rPr>
        <w:t>(3)</w:t>
      </w:r>
      <w:r w:rsidRPr="00C9040A">
        <w:rPr>
          <w:rtl/>
          <w:lang w:bidi="fa-IR"/>
        </w:rPr>
        <w:t xml:space="preserve"> الْمَسْكَنَةِ </w:t>
      </w:r>
      <w:r w:rsidR="006C577F" w:rsidRPr="006C577F">
        <w:rPr>
          <w:rStyle w:val="libFootnotenumChar"/>
          <w:rtl/>
        </w:rPr>
        <w:t>(4)</w:t>
      </w:r>
      <w:r>
        <w:rPr>
          <w:rtl/>
          <w:lang w:bidi="fa-IR"/>
        </w:rPr>
        <w:t>!</w:t>
      </w:r>
      <w:r w:rsidRPr="00C9040A">
        <w:rPr>
          <w:rtl/>
          <w:lang w:bidi="fa-IR"/>
        </w:rPr>
        <w:t xml:space="preserve"> وَأَقْبَحُ مِنْ ذلِكَ الْعَابِدُ لِلّهِ ، ثُمَّ يَدَعُ </w:t>
      </w:r>
      <w:r w:rsidR="006C577F" w:rsidRPr="006C577F">
        <w:rPr>
          <w:rStyle w:val="libFootnotenumChar"/>
          <w:rtl/>
        </w:rPr>
        <w:t>(5)</w:t>
      </w:r>
      <w:r w:rsidRPr="00C9040A">
        <w:rPr>
          <w:rtl/>
          <w:lang w:bidi="fa-IR"/>
        </w:rPr>
        <w:t xml:space="preserve"> عِبَادَتَهُ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Normal"/>
        <w:rPr>
          <w:rtl/>
          <w:lang w:bidi="fa-IR"/>
        </w:rPr>
      </w:pPr>
      <w:r w:rsidRPr="00422A78">
        <w:rPr>
          <w:rtl/>
        </w:rPr>
        <w:t>1674</w:t>
      </w:r>
      <w:r w:rsidRPr="00261CB0">
        <w:rPr>
          <w:rStyle w:val="libBold2Char"/>
          <w:rtl/>
        </w:rPr>
        <w:t xml:space="preserve"> / 7.</w:t>
      </w:r>
      <w:r w:rsidRPr="00C9040A">
        <w:rPr>
          <w:rtl/>
          <w:lang w:bidi="fa-IR"/>
        </w:rPr>
        <w:t xml:space="preserve"> الْحُسَيْنُ بْنُ مُحَمَّدٍ ، عَنْ مُعَلَّى بْنِ مُحَمَّدٍ ، عَنِ الْوَشَّاءِ ، عَنْ عَاصِمِ بْنِ حُمَيْدٍ ، عَنْ أَبِي حَمْزَةَ :</w:t>
      </w:r>
    </w:p>
    <w:p w:rsidR="008A74EB" w:rsidRPr="00C9040A" w:rsidRDefault="008A74EB" w:rsidP="008A74EB">
      <w:pPr>
        <w:pStyle w:val="libNormal"/>
        <w:rPr>
          <w:rtl/>
          <w:lang w:bidi="fa-IR"/>
        </w:rPr>
      </w:pPr>
      <w:r w:rsidRPr="00C9040A">
        <w:rPr>
          <w:rtl/>
          <w:lang w:bidi="fa-IR"/>
        </w:rPr>
        <w:t xml:space="preserve">عَنْ عَلِيِّ بْنِ الْحُسَيْنِ </w:t>
      </w:r>
      <w:r w:rsidRPr="0003660B">
        <w:rPr>
          <w:rStyle w:val="libAlaemChar"/>
          <w:rtl/>
        </w:rPr>
        <w:t>عليهما‌السلام</w:t>
      </w:r>
      <w:r w:rsidRPr="00C9040A">
        <w:rPr>
          <w:rtl/>
          <w:lang w:bidi="fa-IR"/>
        </w:rPr>
        <w:t xml:space="preserve"> ، قَالَ : « مَنْ عَمِلَ بِمَا افْتَرَضَ اللهُ عَلَيْهِ </w:t>
      </w:r>
      <w:r w:rsidR="006C577F" w:rsidRPr="006C577F">
        <w:rPr>
          <w:rStyle w:val="libFootnotenumChar"/>
          <w:rtl/>
        </w:rPr>
        <w:t>(7)</w:t>
      </w:r>
      <w:r w:rsidRPr="00C9040A">
        <w:rPr>
          <w:rtl/>
          <w:lang w:bidi="fa-IR"/>
        </w:rPr>
        <w:t xml:space="preserve"> ، فَهُوَ مِنْ </w:t>
      </w:r>
      <w:r w:rsidR="006C577F" w:rsidRPr="006C577F">
        <w:rPr>
          <w:rStyle w:val="libFootnotenumChar"/>
          <w:rtl/>
        </w:rPr>
        <w:t>(8)</w:t>
      </w:r>
      <w:r w:rsidRPr="00C9040A">
        <w:rPr>
          <w:rtl/>
          <w:lang w:bidi="fa-IR"/>
        </w:rPr>
        <w:t xml:space="preserve"> أَعْبَدِ </w:t>
      </w:r>
      <w:r w:rsidR="006C577F" w:rsidRPr="006C577F">
        <w:rPr>
          <w:rStyle w:val="libFootnotenumChar"/>
          <w:rtl/>
        </w:rPr>
        <w:t>(9)</w:t>
      </w:r>
      <w:r w:rsidRPr="00C9040A">
        <w:rPr>
          <w:rtl/>
          <w:lang w:bidi="fa-IR"/>
        </w:rPr>
        <w:t xml:space="preserve"> النَّاسِ »</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4A4E41" w:rsidRDefault="00415145" w:rsidP="004A4E41">
      <w:pPr>
        <w:pStyle w:val="libFootnote0"/>
        <w:rPr>
          <w:rStyle w:val="libFootnote0Char"/>
          <w:rtl/>
        </w:rPr>
      </w:pPr>
      <w:r>
        <w:rPr>
          <w:rFonts w:hint="cs"/>
          <w:rtl/>
        </w:rPr>
        <w:t xml:space="preserve">= </w:t>
      </w:r>
      <w:r w:rsidR="008A74EB" w:rsidRPr="00C9040A">
        <w:rPr>
          <w:rtl/>
        </w:rPr>
        <w:t xml:space="preserve">ص 12 ، ح 8 ، بسند آخر ، مع اختلاف يسير وزيادة. </w:t>
      </w:r>
      <w:r w:rsidR="008A74EB" w:rsidRPr="00993B55">
        <w:rPr>
          <w:rStyle w:val="libFootnoteBoldChar"/>
          <w:rtl/>
        </w:rPr>
        <w:t>تحف العقول</w:t>
      </w:r>
      <w:r w:rsidR="008A74EB" w:rsidRPr="00C9040A">
        <w:rPr>
          <w:rtl/>
        </w:rPr>
        <w:t xml:space="preserve"> ، ص 246 ، عن الحسين بن عليّ </w:t>
      </w:r>
      <w:r w:rsidR="00117575" w:rsidRPr="00117575">
        <w:rPr>
          <w:rStyle w:val="libFootnoteAlaemChar"/>
          <w:rtl/>
        </w:rPr>
        <w:t>عليه‌السلام</w:t>
      </w:r>
      <w:r w:rsidR="008A74EB" w:rsidRPr="00C9040A">
        <w:rPr>
          <w:rtl/>
        </w:rPr>
        <w:t xml:space="preserve"> ؛ </w:t>
      </w:r>
      <w:r w:rsidR="008A74EB" w:rsidRPr="00993B55">
        <w:rPr>
          <w:rStyle w:val="libFootnoteBoldChar"/>
          <w:rtl/>
        </w:rPr>
        <w:t>نهج البلاغة</w:t>
      </w:r>
      <w:r w:rsidR="008A74EB" w:rsidRPr="00C9040A">
        <w:rPr>
          <w:rtl/>
        </w:rPr>
        <w:t xml:space="preserve"> ، ص 510 ، الحكمة 237 ، وفيهما مع اختلاف يسير </w:t>
      </w:r>
      <w:r>
        <w:rPr>
          <w:rFonts w:hint="cs"/>
          <w:rtl/>
        </w:rPr>
        <w:t>.</w:t>
      </w:r>
      <w:r w:rsidR="008A74EB" w:rsidRPr="00993B55">
        <w:rPr>
          <w:rStyle w:val="libFootnoteBoldChar"/>
          <w:rtl/>
        </w:rPr>
        <w:t>الوافي</w:t>
      </w:r>
      <w:r w:rsidR="008A74EB" w:rsidRPr="00C9040A">
        <w:rPr>
          <w:rtl/>
        </w:rPr>
        <w:t xml:space="preserve"> ، ج 4 ، ص 366 ، ح 2134 ؛ </w:t>
      </w:r>
      <w:r w:rsidR="008A74EB" w:rsidRPr="00993B55">
        <w:rPr>
          <w:rStyle w:val="libFootnoteBoldChar"/>
          <w:rtl/>
        </w:rPr>
        <w:t>الوسائل</w:t>
      </w:r>
      <w:r w:rsidR="008A74EB" w:rsidRPr="00C9040A">
        <w:rPr>
          <w:rtl/>
        </w:rPr>
        <w:t xml:space="preserve"> ، ج 1 ، ص 62 ، ح 134 ؛ </w:t>
      </w:r>
      <w:r w:rsidR="008A74EB" w:rsidRPr="00993B55">
        <w:rPr>
          <w:rStyle w:val="libFootnoteBoldChar"/>
          <w:rtl/>
        </w:rPr>
        <w:t>البحار</w:t>
      </w:r>
      <w:r w:rsidR="008A74EB" w:rsidRPr="00C9040A">
        <w:rPr>
          <w:rtl/>
        </w:rPr>
        <w:t xml:space="preserve"> ، ج 70 ، ص 236 ؛ وص 255 ، ح 12.</w:t>
      </w:r>
    </w:p>
    <w:tbl>
      <w:tblPr>
        <w:tblStyle w:val="TableGrid"/>
        <w:bidiVisual/>
        <w:tblW w:w="0" w:type="auto"/>
        <w:tblLook w:val="04A0" w:firstRow="1" w:lastRow="0" w:firstColumn="1" w:lastColumn="0" w:noHBand="0" w:noVBand="1"/>
      </w:tblPr>
      <w:tblGrid>
        <w:gridCol w:w="4006"/>
        <w:gridCol w:w="4006"/>
      </w:tblGrid>
      <w:tr w:rsidR="008C6168" w:rsidTr="008C6168">
        <w:tc>
          <w:tcPr>
            <w:tcW w:w="4006" w:type="dxa"/>
          </w:tcPr>
          <w:p w:rsidR="008C6168" w:rsidRDefault="008C6168" w:rsidP="004A4E41">
            <w:pPr>
              <w:pStyle w:val="libFootnote0"/>
              <w:rPr>
                <w:rtl/>
                <w:lang w:bidi="fa-IR"/>
              </w:rPr>
            </w:pPr>
            <w:r>
              <w:rPr>
                <w:rtl/>
              </w:rPr>
              <w:t>(1).</w:t>
            </w:r>
            <w:r w:rsidRPr="00C9040A">
              <w:rPr>
                <w:rtl/>
              </w:rPr>
              <w:t xml:space="preserve"> في « ض ، </w:t>
            </w:r>
            <w:r>
              <w:rPr>
                <w:rtl/>
              </w:rPr>
              <w:t xml:space="preserve">ه </w:t>
            </w:r>
            <w:r w:rsidRPr="00C9040A">
              <w:rPr>
                <w:rtl/>
              </w:rPr>
              <w:t>» : + « بن إبراهيم »</w:t>
            </w:r>
            <w:r>
              <w:rPr>
                <w:rtl/>
              </w:rPr>
              <w:t>.</w:t>
            </w:r>
          </w:p>
        </w:tc>
        <w:tc>
          <w:tcPr>
            <w:tcW w:w="4006" w:type="dxa"/>
          </w:tcPr>
          <w:p w:rsidR="008C6168" w:rsidRDefault="008C6168" w:rsidP="004A4E41">
            <w:pPr>
              <w:pStyle w:val="libFootnote0"/>
              <w:rPr>
                <w:rtl/>
                <w:lang w:bidi="fa-IR"/>
              </w:rPr>
            </w:pPr>
            <w:r>
              <w:rPr>
                <w:rtl/>
              </w:rPr>
              <w:t xml:space="preserve">(2). </w:t>
            </w:r>
            <w:r w:rsidRPr="00C9040A">
              <w:rPr>
                <w:rtl/>
              </w:rPr>
              <w:t>في « ف » : « وما أقبح »</w:t>
            </w:r>
            <w:r>
              <w:rPr>
                <w:rtl/>
              </w:rPr>
              <w:t>.</w:t>
            </w:r>
          </w:p>
        </w:tc>
      </w:tr>
    </w:tbl>
    <w:p w:rsidR="008A74EB" w:rsidRPr="004A4E41" w:rsidRDefault="006C577F" w:rsidP="004A4E41">
      <w:pPr>
        <w:pStyle w:val="libFootnote0"/>
        <w:rPr>
          <w:rStyle w:val="libFootnote0Char"/>
          <w:rtl/>
        </w:rPr>
      </w:pPr>
      <w:r>
        <w:rPr>
          <w:rtl/>
        </w:rPr>
        <w:t>(3).</w:t>
      </w:r>
      <w:r w:rsidR="008A74EB" w:rsidRPr="00C9040A">
        <w:rPr>
          <w:rtl/>
        </w:rPr>
        <w:t xml:space="preserve"> في « ف » : + « التوبة </w:t>
      </w:r>
      <w:r w:rsidR="008A74EB">
        <w:rPr>
          <w:rtl/>
        </w:rPr>
        <w:t>و ».</w:t>
      </w:r>
      <w:r w:rsidR="008A74EB" w:rsidRPr="00C9040A">
        <w:rPr>
          <w:rtl/>
        </w:rPr>
        <w:t xml:space="preserve"> وفي حاشية « ج ، بف » : « مع »</w:t>
      </w:r>
      <w:r w:rsidR="008A74EB">
        <w:rPr>
          <w:rtl/>
        </w:rPr>
        <w:t>.</w:t>
      </w:r>
    </w:p>
    <w:tbl>
      <w:tblPr>
        <w:tblStyle w:val="TableGrid"/>
        <w:bidiVisual/>
        <w:tblW w:w="0" w:type="auto"/>
        <w:tblLook w:val="04A0" w:firstRow="1" w:lastRow="0" w:firstColumn="1" w:lastColumn="0" w:noHBand="0" w:noVBand="1"/>
      </w:tblPr>
      <w:tblGrid>
        <w:gridCol w:w="4006"/>
        <w:gridCol w:w="4006"/>
      </w:tblGrid>
      <w:tr w:rsidR="008C6168" w:rsidTr="008C6168">
        <w:tc>
          <w:tcPr>
            <w:tcW w:w="4006" w:type="dxa"/>
          </w:tcPr>
          <w:p w:rsidR="008C6168" w:rsidRDefault="008C6168" w:rsidP="004A4E41">
            <w:pPr>
              <w:pStyle w:val="libFootnote0"/>
              <w:rPr>
                <w:rtl/>
              </w:rPr>
            </w:pPr>
            <w:r>
              <w:rPr>
                <w:rtl/>
              </w:rPr>
              <w:t>(4).</w:t>
            </w:r>
            <w:r w:rsidRPr="00C9040A">
              <w:rPr>
                <w:rtl/>
              </w:rPr>
              <w:t xml:space="preserve"> في تحف العقول : « النسك »</w:t>
            </w:r>
            <w:r>
              <w:rPr>
                <w:rtl/>
              </w:rPr>
              <w:t>.</w:t>
            </w:r>
          </w:p>
        </w:tc>
        <w:tc>
          <w:tcPr>
            <w:tcW w:w="4006" w:type="dxa"/>
          </w:tcPr>
          <w:p w:rsidR="008C6168" w:rsidRDefault="008C6168" w:rsidP="004A4E41">
            <w:pPr>
              <w:pStyle w:val="libFootnote0"/>
              <w:rPr>
                <w:rtl/>
              </w:rPr>
            </w:pPr>
            <w:r>
              <w:rPr>
                <w:rtl/>
              </w:rPr>
              <w:t>(5).</w:t>
            </w:r>
            <w:r w:rsidRPr="00C9040A">
              <w:rPr>
                <w:rtl/>
              </w:rPr>
              <w:t xml:space="preserve"> في تحف العقول : « يترك »</w:t>
            </w:r>
            <w:r>
              <w:rPr>
                <w:rtl/>
              </w:rPr>
              <w:t>.</w:t>
            </w:r>
          </w:p>
        </w:tc>
      </w:tr>
    </w:tbl>
    <w:p w:rsidR="008A74EB" w:rsidRPr="004A4E41" w:rsidRDefault="006C577F" w:rsidP="004A4E41">
      <w:pPr>
        <w:pStyle w:val="libFootnote0"/>
        <w:rPr>
          <w:rStyle w:val="libFootnote0Char"/>
          <w:rtl/>
        </w:rPr>
      </w:pPr>
      <w:r>
        <w:rPr>
          <w:rtl/>
        </w:rPr>
        <w:t>(6).</w:t>
      </w:r>
      <w:r w:rsidR="008A74EB">
        <w:rPr>
          <w:rtl/>
        </w:rPr>
        <w:t xml:space="preserve"> </w:t>
      </w:r>
      <w:r w:rsidR="008A74EB" w:rsidRPr="00993B55">
        <w:rPr>
          <w:rStyle w:val="libFootnoteBoldChar"/>
          <w:rtl/>
        </w:rPr>
        <w:t>تحف العقول</w:t>
      </w:r>
      <w:r w:rsidR="008A74EB" w:rsidRPr="00C9040A">
        <w:rPr>
          <w:rtl/>
        </w:rPr>
        <w:t xml:space="preserve"> ، ص 397 ، عن الكاظم </w:t>
      </w:r>
      <w:r w:rsidR="00117575" w:rsidRPr="00117575">
        <w:rPr>
          <w:rStyle w:val="libFootnoteAlaemChar"/>
          <w:rtl/>
        </w:rPr>
        <w:t>عليه‌السلام</w:t>
      </w:r>
      <w:r w:rsidR="008A74EB" w:rsidRPr="00C9040A">
        <w:rPr>
          <w:rtl/>
        </w:rPr>
        <w:t xml:space="preserve"> ، مع اختلاف يسير </w:t>
      </w:r>
      <w:r w:rsidR="008C6168">
        <w:rPr>
          <w:rFonts w:hint="cs"/>
          <w:rtl/>
        </w:rPr>
        <w:t>.</w:t>
      </w:r>
      <w:r w:rsidR="008A74EB" w:rsidRPr="00993B55">
        <w:rPr>
          <w:rStyle w:val="libFootnoteBoldChar"/>
          <w:rtl/>
        </w:rPr>
        <w:t>الوافي</w:t>
      </w:r>
      <w:r w:rsidR="008A74EB" w:rsidRPr="00C9040A">
        <w:rPr>
          <w:rtl/>
        </w:rPr>
        <w:t xml:space="preserve"> ، ج 4 ، ص 358 ، ح 2121 ؛ </w:t>
      </w:r>
      <w:r w:rsidR="008A74EB" w:rsidRPr="00993B55">
        <w:rPr>
          <w:rStyle w:val="libFootnoteBoldChar"/>
          <w:rtl/>
        </w:rPr>
        <w:t>الوسائل</w:t>
      </w:r>
      <w:r w:rsidR="008A74EB" w:rsidRPr="00C9040A">
        <w:rPr>
          <w:rtl/>
        </w:rPr>
        <w:t xml:space="preserve"> ، ج 1 ، ص 95 ، ح 226 ؛ </w:t>
      </w:r>
      <w:r w:rsidR="008A74EB" w:rsidRPr="00993B55">
        <w:rPr>
          <w:rStyle w:val="libFootnoteBoldChar"/>
          <w:rtl/>
        </w:rPr>
        <w:t>البحار</w:t>
      </w:r>
      <w:r w:rsidR="008A74EB" w:rsidRPr="00C9040A">
        <w:rPr>
          <w:rtl/>
        </w:rPr>
        <w:t xml:space="preserve"> ، ج 70 ، ص 256 ، ح 13.</w:t>
      </w:r>
    </w:p>
    <w:tbl>
      <w:tblPr>
        <w:tblStyle w:val="TableGrid"/>
        <w:bidiVisual/>
        <w:tblW w:w="0" w:type="auto"/>
        <w:tblLook w:val="04A0" w:firstRow="1" w:lastRow="0" w:firstColumn="1" w:lastColumn="0" w:noHBand="0" w:noVBand="1"/>
      </w:tblPr>
      <w:tblGrid>
        <w:gridCol w:w="4006"/>
        <w:gridCol w:w="4006"/>
      </w:tblGrid>
      <w:tr w:rsidR="00BF4A21" w:rsidTr="00BF4A21">
        <w:tc>
          <w:tcPr>
            <w:tcW w:w="4006" w:type="dxa"/>
          </w:tcPr>
          <w:p w:rsidR="00BF4A21" w:rsidRDefault="00BF4A21" w:rsidP="004A4E41">
            <w:pPr>
              <w:pStyle w:val="libFootnote0"/>
              <w:rPr>
                <w:rtl/>
              </w:rPr>
            </w:pPr>
            <w:r>
              <w:rPr>
                <w:rtl/>
              </w:rPr>
              <w:t>(7).</w:t>
            </w:r>
            <w:r w:rsidRPr="00C9040A">
              <w:rPr>
                <w:rtl/>
              </w:rPr>
              <w:t xml:space="preserve"> في البحار </w:t>
            </w:r>
            <w:r>
              <w:rPr>
                <w:rtl/>
              </w:rPr>
              <w:t>: -</w:t>
            </w:r>
            <w:r w:rsidRPr="00C9040A">
              <w:rPr>
                <w:rtl/>
              </w:rPr>
              <w:t xml:space="preserve"> « عليه »</w:t>
            </w:r>
            <w:r>
              <w:rPr>
                <w:rtl/>
              </w:rPr>
              <w:t>.</w:t>
            </w:r>
          </w:p>
        </w:tc>
        <w:tc>
          <w:tcPr>
            <w:tcW w:w="4006" w:type="dxa"/>
          </w:tcPr>
          <w:p w:rsidR="00BF4A21" w:rsidRDefault="00BF4A21" w:rsidP="004A4E41">
            <w:pPr>
              <w:pStyle w:val="libFootnote0"/>
              <w:rPr>
                <w:rtl/>
              </w:rPr>
            </w:pPr>
            <w:r>
              <w:rPr>
                <w:rtl/>
              </w:rPr>
              <w:t>(8).</w:t>
            </w:r>
            <w:r w:rsidRPr="00C9040A">
              <w:rPr>
                <w:rtl/>
              </w:rPr>
              <w:t xml:space="preserve"> في شرح المازندراني </w:t>
            </w:r>
            <w:r>
              <w:rPr>
                <w:rtl/>
              </w:rPr>
              <w:t>: -</w:t>
            </w:r>
            <w:r w:rsidRPr="00C9040A">
              <w:rPr>
                <w:rtl/>
              </w:rPr>
              <w:t xml:space="preserve"> « من »</w:t>
            </w:r>
            <w:r>
              <w:rPr>
                <w:rtl/>
              </w:rPr>
              <w:t>.</w:t>
            </w:r>
          </w:p>
        </w:tc>
      </w:tr>
    </w:tbl>
    <w:p w:rsidR="008A74EB" w:rsidRPr="00C9040A" w:rsidRDefault="006C577F" w:rsidP="004A4E41">
      <w:pPr>
        <w:pStyle w:val="libFootnote0"/>
        <w:rPr>
          <w:rtl/>
          <w:lang w:bidi="fa-IR"/>
        </w:rPr>
      </w:pPr>
      <w:r>
        <w:rPr>
          <w:rtl/>
        </w:rPr>
        <w:t>(9).</w:t>
      </w:r>
      <w:r w:rsidR="008A74EB" w:rsidRPr="00C9040A">
        <w:rPr>
          <w:rtl/>
        </w:rPr>
        <w:t xml:space="preserve"> في </w:t>
      </w:r>
      <w:r w:rsidR="008A74EB" w:rsidRPr="00993B55">
        <w:rPr>
          <w:rStyle w:val="libFootnoteBoldChar"/>
          <w:rtl/>
        </w:rPr>
        <w:t>الكافي</w:t>
      </w:r>
      <w:r w:rsidR="008A74EB" w:rsidRPr="00C9040A">
        <w:rPr>
          <w:rtl/>
        </w:rPr>
        <w:t xml:space="preserve"> ، ح 1657 والزهد و</w:t>
      </w:r>
      <w:r w:rsidR="008A74EB" w:rsidRPr="0034021D">
        <w:rPr>
          <w:rStyle w:val="libFootnoteBoldChar"/>
          <w:rtl/>
        </w:rPr>
        <w:t>الأمالي للمفيد</w:t>
      </w:r>
      <w:r w:rsidR="008A74EB" w:rsidRPr="00C9040A">
        <w:rPr>
          <w:rtl/>
        </w:rPr>
        <w:t xml:space="preserve"> : « خير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w:t>
      </w:r>
      <w:r w:rsidR="008A74EB" w:rsidRPr="00993B55">
        <w:rPr>
          <w:rStyle w:val="libFootnoteBoldChar"/>
          <w:rtl/>
        </w:rPr>
        <w:t>الزهد</w:t>
      </w:r>
      <w:r w:rsidR="008A74EB" w:rsidRPr="00C9040A">
        <w:rPr>
          <w:rtl/>
        </w:rPr>
        <w:t xml:space="preserve"> ، ص 79 ، ح 41 ؛ و</w:t>
      </w:r>
      <w:r w:rsidR="008A74EB" w:rsidRPr="00993B55">
        <w:rPr>
          <w:rStyle w:val="libFootnoteBoldChar"/>
          <w:rtl/>
        </w:rPr>
        <w:t xml:space="preserve">الكافي </w:t>
      </w:r>
      <w:r w:rsidR="008A74EB" w:rsidRPr="00C9040A">
        <w:rPr>
          <w:rtl/>
        </w:rPr>
        <w:t>، كتاب الإيمان والكفر ، باب أداء الفرائض ، ح 1657 ؛ و</w:t>
      </w:r>
      <w:r w:rsidR="008A74EB" w:rsidRPr="0034021D">
        <w:rPr>
          <w:rStyle w:val="libFootnoteBoldChar"/>
          <w:rtl/>
        </w:rPr>
        <w:t>الأمالي للمفيد</w:t>
      </w:r>
      <w:r w:rsidR="008A74EB" w:rsidRPr="00C9040A">
        <w:rPr>
          <w:rtl/>
        </w:rPr>
        <w:t xml:space="preserve"> ، ص 184 ، المجلس 23 ، ح 9 ، بسند آخر عن أبي حمزة. وفي </w:t>
      </w:r>
      <w:r w:rsidR="008A74EB" w:rsidRPr="00993B55">
        <w:rPr>
          <w:rStyle w:val="libFootnoteBoldChar"/>
          <w:rtl/>
        </w:rPr>
        <w:t>الفقيه</w:t>
      </w:r>
      <w:r w:rsidR="008A74EB" w:rsidRPr="00C9040A">
        <w:rPr>
          <w:rtl/>
        </w:rPr>
        <w:t xml:space="preserve"> ، ج 4 ، ص 358 ، ضمن الحديث الطويل 5765 ؛ و</w:t>
      </w:r>
      <w:r w:rsidR="008A74EB" w:rsidRPr="00993B55">
        <w:rPr>
          <w:rStyle w:val="libFootnoteBoldChar"/>
          <w:rtl/>
        </w:rPr>
        <w:t>الخصال</w:t>
      </w:r>
      <w:r w:rsidR="008A74EB" w:rsidRPr="00C9040A">
        <w:rPr>
          <w:rtl/>
        </w:rPr>
        <w:t xml:space="preserve"> ، ص 125 ، باب الثلاثة ، ضمن الحديث الطويل 122 ، بسند آخر عن أبي عبد الله ، عن آبائه </w:t>
      </w:r>
      <w:r w:rsidR="00117575" w:rsidRPr="00117575">
        <w:rPr>
          <w:rStyle w:val="libFootnoteAlaemChar"/>
          <w:rtl/>
        </w:rPr>
        <w:t>عليهم‌السلام</w:t>
      </w:r>
      <w:r w:rsidR="008A74EB" w:rsidRPr="00C9040A">
        <w:rPr>
          <w:rtl/>
        </w:rPr>
        <w:t xml:space="preserve"> عن رسول الله </w:t>
      </w:r>
      <w:r w:rsidR="004A4E41" w:rsidRPr="00AC2E2F">
        <w:rPr>
          <w:rStyle w:val="libFootnoteAlaemChar"/>
          <w:rtl/>
        </w:rPr>
        <w:t>صلى‌الله‌عليه‌وآله</w:t>
      </w:r>
      <w:r w:rsidR="008A74EB" w:rsidRPr="00C9040A">
        <w:rPr>
          <w:rtl/>
        </w:rPr>
        <w:t xml:space="preserve">. </w:t>
      </w:r>
      <w:r w:rsidR="008A74EB" w:rsidRPr="00993B55">
        <w:rPr>
          <w:rStyle w:val="libFootnoteBoldChar"/>
          <w:rtl/>
        </w:rPr>
        <w:t>تحف العقول</w:t>
      </w:r>
      <w:r w:rsidR="008A74EB" w:rsidRPr="00C9040A">
        <w:rPr>
          <w:rtl/>
        </w:rPr>
        <w:t xml:space="preserve"> ، ص 7 ، ضمن الحديث الطويل ، عن النبيّ </w:t>
      </w:r>
      <w:r w:rsidR="004A4E41" w:rsidRPr="00AC2E2F">
        <w:rPr>
          <w:rStyle w:val="libFootnoteAlaemChar"/>
          <w:rtl/>
        </w:rPr>
        <w:t>صلى‌الله‌عليه‌وآله</w:t>
      </w:r>
      <w:r w:rsidR="008A74EB" w:rsidRPr="00C9040A">
        <w:rPr>
          <w:rtl/>
        </w:rPr>
        <w:t xml:space="preserve">. وورد : « أعبد الناس من أقام الفرائض » في هذه المصادر : </w:t>
      </w:r>
      <w:r w:rsidR="008A74EB" w:rsidRPr="00993B55">
        <w:rPr>
          <w:rStyle w:val="libFootnoteBoldChar"/>
          <w:rtl/>
        </w:rPr>
        <w:t>الخصال</w:t>
      </w:r>
      <w:r w:rsidR="008A74EB" w:rsidRPr="00C9040A">
        <w:rPr>
          <w:rtl/>
        </w:rPr>
        <w:t xml:space="preserve"> ، ص 16 ، باب الواحد ، ح 56 ، بسند آخر ، مع زيادة في أوّله وآخره ؛ وفي </w:t>
      </w:r>
      <w:r w:rsidR="008A74EB" w:rsidRPr="00993B55">
        <w:rPr>
          <w:rStyle w:val="libFootnoteBoldChar"/>
          <w:rtl/>
        </w:rPr>
        <w:t>الفقيه</w:t>
      </w:r>
      <w:r w:rsidR="008A74EB" w:rsidRPr="00C9040A">
        <w:rPr>
          <w:rtl/>
        </w:rPr>
        <w:t xml:space="preserve"> ، ج 4 ، ص 394 ، صدر الحديث الطويل 5840 ؛ و</w:t>
      </w:r>
      <w:r w:rsidR="008A74EB" w:rsidRPr="0034021D">
        <w:rPr>
          <w:rStyle w:val="libFootnoteBoldChar"/>
          <w:rtl/>
        </w:rPr>
        <w:t>الأمالي للصدوق</w:t>
      </w:r>
      <w:r w:rsidR="008A74EB" w:rsidRPr="00C9040A">
        <w:rPr>
          <w:rtl/>
        </w:rPr>
        <w:t xml:space="preserve"> ، ص 20 ، المجلس 6 ، صدر الحديث الطويل 4 ؛ و</w:t>
      </w:r>
      <w:r w:rsidR="008A74EB" w:rsidRPr="00993B55">
        <w:rPr>
          <w:rStyle w:val="libFootnoteBoldChar"/>
          <w:rtl/>
        </w:rPr>
        <w:t>معاني الأخبار</w:t>
      </w:r>
      <w:r w:rsidR="008A74EB" w:rsidRPr="00C9040A">
        <w:rPr>
          <w:rtl/>
        </w:rPr>
        <w:t xml:space="preserve"> ، ص 195 ، صدر الحديث الطويل 1 ، بسند آخر عن أبي عبد الله ، عن آبائه </w:t>
      </w:r>
      <w:r w:rsidR="00117575" w:rsidRPr="00117575">
        <w:rPr>
          <w:rStyle w:val="libFootnoteAlaemChar"/>
          <w:rtl/>
        </w:rPr>
        <w:t>عليهم‌السلام</w:t>
      </w:r>
      <w:r w:rsidR="00BF4A21" w:rsidRPr="00C9040A">
        <w:rPr>
          <w:rtl/>
        </w:rPr>
        <w:t xml:space="preserve"> </w:t>
      </w:r>
      <w:r w:rsidR="008A74EB" w:rsidRPr="00C9040A">
        <w:rPr>
          <w:rtl/>
        </w:rPr>
        <w:t xml:space="preserve">، عن رسول الله </w:t>
      </w:r>
      <w:r w:rsidR="004A4E41" w:rsidRPr="00AC2E2F">
        <w:rPr>
          <w:rStyle w:val="libFootnoteAlaemChar"/>
          <w:rtl/>
        </w:rPr>
        <w:t>صلى‌الله‌عليه‌وآله</w:t>
      </w:r>
      <w:r w:rsidR="008A74EB" w:rsidRPr="00C9040A">
        <w:rPr>
          <w:rtl/>
        </w:rPr>
        <w:t xml:space="preserve"> </w:t>
      </w:r>
      <w:r w:rsidR="00BF4A21">
        <w:rPr>
          <w:rFonts w:hint="cs"/>
          <w:rtl/>
        </w:rPr>
        <w:t>.</w:t>
      </w:r>
      <w:r w:rsidR="008A74EB" w:rsidRPr="00993B55">
        <w:rPr>
          <w:rStyle w:val="libFootnoteBoldChar"/>
          <w:rtl/>
        </w:rPr>
        <w:t>الوافي</w:t>
      </w:r>
      <w:r w:rsidR="008A74EB" w:rsidRPr="00C9040A">
        <w:rPr>
          <w:rtl/>
        </w:rPr>
        <w:t xml:space="preserve"> ، ج 4 ، ص 322 ، ح 2019 ؛ </w:t>
      </w:r>
      <w:r w:rsidR="008A74EB" w:rsidRPr="00993B55">
        <w:rPr>
          <w:rStyle w:val="libFootnoteBoldChar"/>
          <w:rtl/>
        </w:rPr>
        <w:t>الوسائل</w:t>
      </w:r>
      <w:r w:rsidR="008A74EB" w:rsidRPr="00C9040A">
        <w:rPr>
          <w:rtl/>
        </w:rPr>
        <w:t xml:space="preserve"> ، ج 15 ، ص 260 ، ح 20451 ؛ </w:t>
      </w:r>
      <w:r w:rsidR="008A74EB" w:rsidRPr="00993B55">
        <w:rPr>
          <w:rStyle w:val="libFootnoteBoldChar"/>
          <w:rtl/>
        </w:rPr>
        <w:t>البحار</w:t>
      </w:r>
      <w:r w:rsidR="008A74EB" w:rsidRPr="00C9040A">
        <w:rPr>
          <w:rtl/>
        </w:rPr>
        <w:t xml:space="preserve"> ، ج 70 ، ص 257 ، ح 14.</w:t>
      </w:r>
    </w:p>
    <w:p w:rsidR="004B7F34" w:rsidRDefault="004B7F34" w:rsidP="004B7F34">
      <w:pPr>
        <w:pStyle w:val="libNormal"/>
        <w:rPr>
          <w:rtl/>
          <w:lang w:bidi="fa-IR"/>
        </w:rPr>
      </w:pPr>
      <w:r>
        <w:rPr>
          <w:rtl/>
          <w:lang w:bidi="fa-IR"/>
        </w:rPr>
        <w:br w:type="page"/>
      </w:r>
    </w:p>
    <w:p w:rsidR="008A74EB" w:rsidRPr="00C9040A" w:rsidRDefault="008A74EB" w:rsidP="008A74EB">
      <w:pPr>
        <w:pStyle w:val="Heading2Center"/>
        <w:rPr>
          <w:rtl/>
          <w:lang w:bidi="fa-IR"/>
        </w:rPr>
      </w:pPr>
      <w:bookmarkStart w:id="139" w:name="_Toc343795634"/>
      <w:bookmarkStart w:id="140" w:name="_Toc459810758"/>
      <w:bookmarkStart w:id="141" w:name="_Toc35348664"/>
      <w:r w:rsidRPr="00C9040A">
        <w:rPr>
          <w:rtl/>
          <w:lang w:bidi="fa-IR"/>
        </w:rPr>
        <w:t>43</w:t>
      </w:r>
      <w:r>
        <w:rPr>
          <w:rtl/>
          <w:lang w:bidi="fa-IR"/>
        </w:rPr>
        <w:t xml:space="preserve"> </w:t>
      </w:r>
      <w:r w:rsidR="0084262C">
        <w:rPr>
          <w:rtl/>
          <w:lang w:bidi="fa-IR"/>
        </w:rPr>
        <w:t>-</w:t>
      </w:r>
      <w:r>
        <w:rPr>
          <w:rtl/>
          <w:lang w:bidi="fa-IR"/>
        </w:rPr>
        <w:t xml:space="preserve"> </w:t>
      </w:r>
      <w:r w:rsidRPr="00C9040A">
        <w:rPr>
          <w:rtl/>
          <w:lang w:bidi="fa-IR"/>
        </w:rPr>
        <w:t>بَابُ النِّيَّةِ‌</w:t>
      </w:r>
      <w:bookmarkEnd w:id="139"/>
      <w:bookmarkEnd w:id="140"/>
      <w:bookmarkEnd w:id="141"/>
    </w:p>
    <w:p w:rsidR="008A74EB" w:rsidRPr="00C9040A" w:rsidRDefault="008A74EB" w:rsidP="008A74EB">
      <w:pPr>
        <w:pStyle w:val="libNormal"/>
        <w:rPr>
          <w:rtl/>
          <w:lang w:bidi="fa-IR"/>
        </w:rPr>
      </w:pPr>
      <w:r w:rsidRPr="00422A78">
        <w:rPr>
          <w:rtl/>
        </w:rPr>
        <w:t>1675</w:t>
      </w:r>
      <w:r w:rsidRPr="00261CB0">
        <w:rPr>
          <w:rStyle w:val="libBold2Char"/>
          <w:rtl/>
        </w:rPr>
        <w:t xml:space="preserve"> / 1.</w:t>
      </w:r>
      <w:r w:rsidRPr="00C9040A">
        <w:rPr>
          <w:rtl/>
          <w:lang w:bidi="fa-IR"/>
        </w:rPr>
        <w:t xml:space="preserve"> عَلِيُّ بْنُ إِبْرَاهِيمَ ، عَنْ أَبِيهِ ، عَنِ ابْنِ مَحْبُوبٍ ، عَنْ مَالِكِ بْنِ عَطِيَّةَ ، عَنْ أَبِي حَمْزَةَ :</w:t>
      </w:r>
    </w:p>
    <w:p w:rsidR="008A74EB" w:rsidRPr="00C9040A" w:rsidRDefault="008A74EB" w:rsidP="008A74EB">
      <w:pPr>
        <w:pStyle w:val="libNormal"/>
        <w:rPr>
          <w:rtl/>
          <w:lang w:bidi="fa-IR"/>
        </w:rPr>
      </w:pPr>
      <w:r w:rsidRPr="00C9040A">
        <w:rPr>
          <w:rtl/>
          <w:lang w:bidi="fa-IR"/>
        </w:rPr>
        <w:t>عَنْ عَلِيِّ بْنِ الْحُسَيْنِ صَلَوَاتُ اللهِ عَلَيْهِم</w:t>
      </w:r>
      <w:r w:rsidR="006F53F5">
        <w:rPr>
          <w:rtl/>
          <w:lang w:bidi="fa-IR"/>
        </w:rPr>
        <w:t>َا ، قَالَ : « لَا عَمَلَ إِل</w:t>
      </w:r>
      <w:r w:rsidR="006F53F5">
        <w:rPr>
          <w:rFonts w:hint="cs"/>
          <w:rtl/>
          <w:lang w:bidi="fa-IR"/>
        </w:rPr>
        <w:t>َّ</w:t>
      </w:r>
      <w:r w:rsidR="006F53F5">
        <w:rPr>
          <w:rtl/>
          <w:lang w:bidi="fa-IR"/>
        </w:rPr>
        <w:t>ا</w:t>
      </w:r>
      <w:r w:rsidRPr="00C9040A">
        <w:rPr>
          <w:rtl/>
          <w:lang w:bidi="fa-IR"/>
        </w:rPr>
        <w:t xml:space="preserve"> بِنِيَّةٍ </w:t>
      </w:r>
      <w:r w:rsidR="006C577F" w:rsidRPr="006C577F">
        <w:rPr>
          <w:rStyle w:val="libFootnotenumChar"/>
          <w:rtl/>
        </w:rPr>
        <w:t>(1)</w:t>
      </w:r>
      <w:r w:rsidRPr="00C9040A">
        <w:rPr>
          <w:rtl/>
          <w:lang w:bidi="fa-IR"/>
        </w:rPr>
        <w:t>»</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422A78">
        <w:rPr>
          <w:rtl/>
        </w:rPr>
        <w:t>1676</w:t>
      </w:r>
      <w:r w:rsidRPr="00261CB0">
        <w:rPr>
          <w:rStyle w:val="libBold2Char"/>
          <w:rtl/>
        </w:rPr>
        <w:t xml:space="preserve"> / 2.</w:t>
      </w:r>
      <w:r w:rsidRPr="00C9040A">
        <w:rPr>
          <w:rtl/>
          <w:lang w:bidi="fa-IR"/>
        </w:rPr>
        <w:t xml:space="preserve"> عَلِيٌّ ، عَنْ أَبِيهِ ، عَنِ النَّوْفَلِيِّ ، عَنِ السَّكُونِيِّ :</w:t>
      </w:r>
    </w:p>
    <w:p w:rsidR="008A74EB" w:rsidRPr="00C9040A" w:rsidRDefault="008A74EB" w:rsidP="006F53F5">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نِيَّةُ الْمُؤْمِنِ </w:t>
      </w:r>
      <w:r w:rsidR="006C577F" w:rsidRPr="006C577F">
        <w:rPr>
          <w:rStyle w:val="libFootnotenumChar"/>
          <w:rtl/>
        </w:rPr>
        <w:t>(3)</w:t>
      </w:r>
      <w:r w:rsidRPr="00C9040A">
        <w:rPr>
          <w:rtl/>
          <w:lang w:bidi="fa-IR"/>
        </w:rPr>
        <w:t xml:space="preserve"> خَيْرٌ مِنْ عَمَلِهِ ، وَنِيَّةُ الْكَافِرِ </w:t>
      </w:r>
      <w:r w:rsidR="006C577F" w:rsidRPr="006C577F">
        <w:rPr>
          <w:rStyle w:val="libFootnotenumChar"/>
          <w:rtl/>
        </w:rPr>
        <w:t>(4)</w:t>
      </w:r>
      <w:r w:rsidRPr="00C9040A">
        <w:rPr>
          <w:rtl/>
          <w:lang w:bidi="fa-IR"/>
        </w:rPr>
        <w:t xml:space="preserve"> شَرٌّ مِنْ عَمَلِهِ ، وَكُلُّ </w:t>
      </w:r>
      <w:r w:rsidR="006C577F" w:rsidRPr="006C577F">
        <w:rPr>
          <w:rStyle w:val="libFootnotenumChar"/>
          <w:rtl/>
        </w:rPr>
        <w:t>(5)</w:t>
      </w:r>
      <w:r w:rsidRPr="00C9040A">
        <w:rPr>
          <w:rtl/>
          <w:lang w:bidi="fa-IR"/>
        </w:rPr>
        <w:t xml:space="preserve"> عَامِلٍ </w:t>
      </w:r>
      <w:r w:rsidR="006C577F" w:rsidRPr="006C577F">
        <w:rPr>
          <w:rStyle w:val="libFootnotenumChar"/>
          <w:rtl/>
        </w:rPr>
        <w:t>(6)</w:t>
      </w:r>
      <w:r w:rsidRPr="005B567D">
        <w:rPr>
          <w:rStyle w:val="libFootnotenumChar"/>
          <w:rtl/>
        </w:rPr>
        <w:t xml:space="preserve"> </w:t>
      </w:r>
      <w:r w:rsidRPr="00C9040A">
        <w:rPr>
          <w:rtl/>
          <w:lang w:bidi="fa-IR"/>
        </w:rPr>
        <w:t>يَعْمَلُ عَلى‌</w:t>
      </w:r>
      <w:r w:rsidR="006F53F5">
        <w:rPr>
          <w:rFonts w:hint="cs"/>
          <w:rtl/>
          <w:lang w:bidi="fa-IR"/>
        </w:rPr>
        <w:t>............................</w:t>
      </w:r>
      <w:r w:rsidR="006F53F5">
        <w:rPr>
          <w:rFonts w:hint="cs"/>
          <w:rtl/>
          <w:lang w:bidi="fa-IR"/>
        </w:rPr>
        <w:tab/>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w:t>
      </w:r>
      <w:r w:rsidR="008A74EB" w:rsidRPr="00993B55">
        <w:rPr>
          <w:rStyle w:val="libFootnoteBoldChar"/>
          <w:rtl/>
        </w:rPr>
        <w:t>الكافي</w:t>
      </w:r>
      <w:r w:rsidR="008A74EB" w:rsidRPr="00C9040A">
        <w:rPr>
          <w:rtl/>
        </w:rPr>
        <w:t xml:space="preserve"> ، ح 15128 : « بالنيّة »</w:t>
      </w:r>
      <w:r w:rsidR="008A74EB">
        <w:rPr>
          <w:rtl/>
        </w:rPr>
        <w:t>.</w:t>
      </w:r>
      <w:r w:rsidR="008A74EB" w:rsidRPr="00C9040A">
        <w:rPr>
          <w:rtl/>
        </w:rPr>
        <w:t xml:space="preserve"> وفي الوافي : « يعني لا عمل يحسب من عبادة الله تعالى ويُعَدّ من طاعته بحيث يصحّ أن </w:t>
      </w:r>
      <w:r w:rsidR="00186890">
        <w:rPr>
          <w:rtl/>
        </w:rPr>
        <w:t>يترتّب عليه الأجر في الآخرة إل</w:t>
      </w:r>
      <w:r w:rsidR="00186890">
        <w:rPr>
          <w:rFonts w:hint="cs"/>
          <w:rtl/>
        </w:rPr>
        <w:t>ّ</w:t>
      </w:r>
      <w:r w:rsidR="00186890">
        <w:rPr>
          <w:rtl/>
        </w:rPr>
        <w:t>ا</w:t>
      </w:r>
      <w:r w:rsidR="008A74EB" w:rsidRPr="00C9040A">
        <w:rPr>
          <w:rtl/>
        </w:rPr>
        <w:t>ما يراد به التقرّب إلى الله تعالى والدار الآخرة ، أعني يقصد به وجه الله سبحانه ، أو التوصّل إلى ثوابه ، أو الخلاص من عقابه ، وبالجملة امتثال أمر الله تعالى في ما ندب عباده إليه ووعدهم الأجر عليه ، وإنّما يأجرهم على حسب أقدارهم ومنازلهم ونيّاتهم »</w:t>
      </w:r>
      <w:r w:rsidR="008A74EB">
        <w:rPr>
          <w:rtl/>
        </w:rPr>
        <w:t>.</w:t>
      </w:r>
      <w:r w:rsidR="008A74EB" w:rsidRPr="00C9040A">
        <w:rPr>
          <w:rtl/>
        </w:rPr>
        <w:t xml:space="preserve"> وللكلام تتمّة ، ومن أراد التفصيل فليراجع.</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الكافي</w:t>
      </w:r>
      <w:r w:rsidR="008A74EB" w:rsidRPr="00C9040A">
        <w:rPr>
          <w:rtl/>
        </w:rPr>
        <w:t xml:space="preserve"> ، كتاب الروضة ، ح 15128. وفي </w:t>
      </w:r>
      <w:r w:rsidR="008A74EB" w:rsidRPr="00993B55">
        <w:rPr>
          <w:rStyle w:val="libFootnoteBoldChar"/>
          <w:rtl/>
        </w:rPr>
        <w:t>الخصال</w:t>
      </w:r>
      <w:r w:rsidR="008A74EB" w:rsidRPr="00C9040A">
        <w:rPr>
          <w:rtl/>
        </w:rPr>
        <w:t xml:space="preserve"> ، ص 18 ، باب الواحد ، ح 62 ، بسنده عن الحسن بن محبوب. </w:t>
      </w:r>
      <w:r w:rsidR="008A74EB" w:rsidRPr="00993B55">
        <w:rPr>
          <w:rStyle w:val="libFootnoteBoldChar"/>
          <w:rtl/>
        </w:rPr>
        <w:t>تحف العقول</w:t>
      </w:r>
      <w:r w:rsidR="008A74EB" w:rsidRPr="00C9040A">
        <w:rPr>
          <w:rtl/>
        </w:rPr>
        <w:t xml:space="preserve"> ، ص 280 ، وفي كلّها مع زيادة في أوّله وآخره. راجع : </w:t>
      </w:r>
      <w:r w:rsidR="008A74EB" w:rsidRPr="00993B55">
        <w:rPr>
          <w:rStyle w:val="libFootnoteBoldChar"/>
          <w:rtl/>
        </w:rPr>
        <w:t>الكافي</w:t>
      </w:r>
      <w:r w:rsidR="008A74EB" w:rsidRPr="00C9040A">
        <w:rPr>
          <w:rtl/>
        </w:rPr>
        <w:t xml:space="preserve"> ، كتاب فضل العلم ، باب الأخذ بالسنّة وشواهد الكتاب ، ح 211 ؛ و</w:t>
      </w:r>
      <w:r w:rsidR="008A74EB" w:rsidRPr="00993B55">
        <w:rPr>
          <w:rStyle w:val="libFootnoteBoldChar"/>
          <w:rtl/>
        </w:rPr>
        <w:t>المحاسن</w:t>
      </w:r>
      <w:r w:rsidR="008A74EB" w:rsidRPr="00C9040A">
        <w:rPr>
          <w:rtl/>
        </w:rPr>
        <w:t xml:space="preserve"> ، ص 221 ، كتاب مصابيح الظلم ، ح 134 ؛ و</w:t>
      </w:r>
      <w:r w:rsidR="008A74EB" w:rsidRPr="00993B55">
        <w:rPr>
          <w:rStyle w:val="libFootnoteBoldChar"/>
          <w:rtl/>
        </w:rPr>
        <w:t xml:space="preserve">بصائر الدرجات </w:t>
      </w:r>
      <w:r w:rsidR="008A74EB" w:rsidRPr="00C9040A">
        <w:rPr>
          <w:rtl/>
        </w:rPr>
        <w:t>، ص 11 ، ح 4 ؛ و</w:t>
      </w:r>
      <w:r w:rsidR="008A74EB" w:rsidRPr="00993B55">
        <w:rPr>
          <w:rStyle w:val="libFootnoteBoldChar"/>
          <w:rtl/>
        </w:rPr>
        <w:t>الجعفريّات</w:t>
      </w:r>
      <w:r w:rsidR="008A74EB" w:rsidRPr="00C9040A">
        <w:rPr>
          <w:rtl/>
        </w:rPr>
        <w:t xml:space="preserve"> ، ص 150 ؛ و</w:t>
      </w:r>
      <w:r w:rsidR="008A74EB" w:rsidRPr="00993B55">
        <w:rPr>
          <w:rStyle w:val="libFootnoteBoldChar"/>
          <w:rtl/>
        </w:rPr>
        <w:t>المقنعة</w:t>
      </w:r>
      <w:r w:rsidR="008A74EB" w:rsidRPr="00C9040A">
        <w:rPr>
          <w:rtl/>
        </w:rPr>
        <w:t xml:space="preserve"> ، ص 301 ؛ و</w:t>
      </w:r>
      <w:r w:rsidR="008A74EB" w:rsidRPr="00993B55">
        <w:rPr>
          <w:rStyle w:val="libFootnoteBoldChar"/>
          <w:rtl/>
        </w:rPr>
        <w:t>التهذيب</w:t>
      </w:r>
      <w:r w:rsidR="008A74EB" w:rsidRPr="00C9040A">
        <w:rPr>
          <w:rtl/>
        </w:rPr>
        <w:t xml:space="preserve"> ، ج 4 ، ص 186 ، ح 520 ؛ </w:t>
      </w:r>
      <w:r w:rsidR="008A74EB" w:rsidRPr="00AC2E2F">
        <w:rPr>
          <w:rStyle w:val="libFootnoteBoldChar"/>
          <w:rtl/>
        </w:rPr>
        <w:t>والأمالي للطوسي</w:t>
      </w:r>
      <w:r w:rsidR="008A74EB" w:rsidRPr="00C9040A">
        <w:rPr>
          <w:rtl/>
        </w:rPr>
        <w:t xml:space="preserve"> ، ص 385 ، المجلس 13 ، ح 90 ؛ و</w:t>
      </w:r>
      <w:r w:rsidR="008A74EB" w:rsidRPr="00993B55">
        <w:rPr>
          <w:rStyle w:val="libFootnoteBoldChar"/>
          <w:rtl/>
        </w:rPr>
        <w:t>تحف العقول</w:t>
      </w:r>
      <w:r w:rsidR="008A74EB" w:rsidRPr="00C9040A">
        <w:rPr>
          <w:rtl/>
        </w:rPr>
        <w:t xml:space="preserve"> ، ص 43 ؛ و</w:t>
      </w:r>
      <w:r w:rsidR="008A74EB" w:rsidRPr="00993B55">
        <w:rPr>
          <w:rStyle w:val="libFootnoteBoldChar"/>
          <w:rtl/>
        </w:rPr>
        <w:t xml:space="preserve">فقه الرضا </w:t>
      </w:r>
      <w:r w:rsidR="00117575" w:rsidRPr="00117575">
        <w:rPr>
          <w:rStyle w:val="libFootnoteAlaemChar"/>
          <w:rtl/>
        </w:rPr>
        <w:t>عليه‌السلام</w:t>
      </w:r>
      <w:r w:rsidR="008A74EB" w:rsidRPr="00C9040A">
        <w:rPr>
          <w:rtl/>
        </w:rPr>
        <w:t xml:space="preserve"> ، ص 378 </w:t>
      </w:r>
      <w:r w:rsidR="00186890">
        <w:rPr>
          <w:rFonts w:hint="cs"/>
          <w:rtl/>
        </w:rPr>
        <w:t>.</w:t>
      </w:r>
      <w:r w:rsidR="008A74EB" w:rsidRPr="00993B55">
        <w:rPr>
          <w:rStyle w:val="libFootnoteBoldChar"/>
          <w:rtl/>
        </w:rPr>
        <w:t>الوافي</w:t>
      </w:r>
      <w:r w:rsidR="008A74EB" w:rsidRPr="00C9040A">
        <w:rPr>
          <w:rtl/>
        </w:rPr>
        <w:t xml:space="preserve"> ، ج 4 ، ص 361 ، ح 2131 ؛ </w:t>
      </w:r>
      <w:r w:rsidR="008A74EB" w:rsidRPr="00993B55">
        <w:rPr>
          <w:rStyle w:val="libFootnoteBoldChar"/>
          <w:rtl/>
        </w:rPr>
        <w:t>الوسائل</w:t>
      </w:r>
      <w:r w:rsidR="008A74EB" w:rsidRPr="00C9040A">
        <w:rPr>
          <w:rtl/>
        </w:rPr>
        <w:t xml:space="preserve"> ، ج 1 ، ص 46 ، ح 83 ؛ وج 6 ، ص 5 ، ح 7196 ؛ </w:t>
      </w:r>
      <w:r w:rsidR="008A74EB" w:rsidRPr="00993B55">
        <w:rPr>
          <w:rStyle w:val="libFootnoteBoldChar"/>
          <w:rtl/>
        </w:rPr>
        <w:t>البحار</w:t>
      </w:r>
      <w:r w:rsidR="008A74EB" w:rsidRPr="00C9040A">
        <w:rPr>
          <w:rtl/>
        </w:rPr>
        <w:t xml:space="preserve"> ، ج 70 ، ص 185 ، ح 1.</w:t>
      </w:r>
    </w:p>
    <w:p w:rsidR="008A74EB" w:rsidRPr="00C9040A" w:rsidRDefault="006C577F" w:rsidP="004A4E41">
      <w:pPr>
        <w:pStyle w:val="libFootnote0"/>
        <w:rPr>
          <w:rtl/>
          <w:lang w:bidi="fa-IR"/>
        </w:rPr>
      </w:pPr>
      <w:r>
        <w:rPr>
          <w:rtl/>
        </w:rPr>
        <w:t>(3).</w:t>
      </w:r>
      <w:r w:rsidR="008A74EB" w:rsidRPr="00C9040A">
        <w:rPr>
          <w:rtl/>
        </w:rPr>
        <w:t xml:space="preserve"> في المحاسن : « المرء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w:t>
      </w:r>
      <w:r w:rsidR="006D3162">
        <w:rPr>
          <w:rtl/>
        </w:rPr>
        <w:t xml:space="preserve">ه </w:t>
      </w:r>
      <w:r w:rsidR="008A74EB" w:rsidRPr="00C9040A">
        <w:rPr>
          <w:rtl/>
        </w:rPr>
        <w:t>» والمحاسن : « الفاجر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ص » : « فكلّ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الجعفريّات </w:t>
      </w:r>
      <w:r w:rsidR="008A74EB">
        <w:rPr>
          <w:rtl/>
        </w:rPr>
        <w:t xml:space="preserve">: </w:t>
      </w:r>
      <w:r w:rsidR="0084262C">
        <w:rPr>
          <w:rtl/>
        </w:rPr>
        <w:t>-</w:t>
      </w:r>
      <w:r w:rsidR="008A74EB" w:rsidRPr="00C9040A">
        <w:rPr>
          <w:rtl/>
        </w:rPr>
        <w:t xml:space="preserve"> « عامل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نِيَّتِهِ </w:t>
      </w:r>
      <w:r w:rsidR="006C577F" w:rsidRPr="006C577F">
        <w:rPr>
          <w:rStyle w:val="libFootnotenumChar"/>
          <w:rtl/>
        </w:rPr>
        <w:t>(1)</w:t>
      </w:r>
      <w:r w:rsidRPr="00C9040A">
        <w:rPr>
          <w:rtl/>
          <w:lang w:bidi="fa-IR"/>
        </w:rPr>
        <w:t>»</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422A78">
        <w:rPr>
          <w:rtl/>
        </w:rPr>
        <w:t>1677</w:t>
      </w:r>
      <w:r w:rsidRPr="00261CB0">
        <w:rPr>
          <w:rStyle w:val="libBold2Char"/>
          <w:rtl/>
        </w:rPr>
        <w:t xml:space="preserve"> / 3.</w:t>
      </w:r>
      <w:r w:rsidRPr="00C9040A">
        <w:rPr>
          <w:rtl/>
          <w:lang w:bidi="fa-IR"/>
        </w:rPr>
        <w:t xml:space="preserve"> عِدَّةٌ مِنْ أَصْحَابِنَا ، عَنْ أَحْمَدَ بْنِ مُحَمَّدٍ ، عَنِ ابْنِ مَحْبُوبٍ ، عَنْ هِشَامِ بْنِ‌</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w:t>
      </w:r>
      <w:r w:rsidR="008A74EB" w:rsidRPr="00993B55">
        <w:rPr>
          <w:rStyle w:val="libFootnoteBoldChar"/>
          <w:rtl/>
        </w:rPr>
        <w:t>الوافي</w:t>
      </w:r>
      <w:r w:rsidR="008A74EB" w:rsidRPr="00C9040A">
        <w:rPr>
          <w:rtl/>
        </w:rPr>
        <w:t xml:space="preserve"> : « قد ذكر في معنى هذا الحديث وجوه أكثرها مدخول لا فائدة في إيراده ، فلنقتصر منها على ما هو أقرب إلى الصواب ، وهو أربعة :</w:t>
      </w:r>
    </w:p>
    <w:p w:rsidR="008A74EB" w:rsidRPr="00C9040A" w:rsidRDefault="008A74EB" w:rsidP="004A4E41">
      <w:pPr>
        <w:pStyle w:val="libFootnote0"/>
        <w:rPr>
          <w:rtl/>
          <w:lang w:bidi="fa-IR"/>
        </w:rPr>
      </w:pPr>
      <w:r w:rsidRPr="00323A39">
        <w:rPr>
          <w:rtl/>
        </w:rPr>
        <w:t>أحدها : ما ذكره الغزالي في إحيائه ، وهو أنّ كلّ طاعة ينتظم بنيّة وعمل ،</w:t>
      </w:r>
      <w:r w:rsidR="003247E7">
        <w:rPr>
          <w:rtl/>
        </w:rPr>
        <w:t xml:space="preserve"> وكلّ منهما من جملة الخيرات إل</w:t>
      </w:r>
      <w:r w:rsidR="003247E7">
        <w:rPr>
          <w:rFonts w:hint="cs"/>
          <w:rtl/>
        </w:rPr>
        <w:t>ّ</w:t>
      </w:r>
      <w:r w:rsidR="003247E7">
        <w:rPr>
          <w:rtl/>
        </w:rPr>
        <w:t>ا</w:t>
      </w:r>
      <w:r w:rsidRPr="00323A39">
        <w:rPr>
          <w:rFonts w:hint="cs"/>
          <w:rtl/>
        </w:rPr>
        <w:t xml:space="preserve"> </w:t>
      </w:r>
      <w:r w:rsidRPr="00323A39">
        <w:rPr>
          <w:rtl/>
        </w:rPr>
        <w:t xml:space="preserve">أنّ النيّة من الطاعتين خير من العمل ؛ لأنّ أثر النيّة في المقصود أكثر من أثر العمل ؛ لأنّ صلاح القلب هو المقصود من التكليف ، والأعضاء آلات موصلة إلى المقصود ، والغرض من حركات الجوارح أن يعتاد القلب إرادة الخير ويؤكّد فيه الميل إليه ؛ ليتفرّغ عن شهوات الدنيا ، ويقبل على الذكر والفكر ، فبالضرورة يكون خيراً بالإضافه إلى الغرض ؛ قال الله تعالى : </w:t>
      </w:r>
      <w:r w:rsidRPr="00AC2E2F">
        <w:rPr>
          <w:rStyle w:val="libFootnoteAlaemChar"/>
          <w:rtl/>
        </w:rPr>
        <w:t>(</w:t>
      </w:r>
      <w:r w:rsidRPr="00883DD5">
        <w:rPr>
          <w:rStyle w:val="libFootnoteAieChar"/>
          <w:rFonts w:hint="cs"/>
          <w:rtl/>
        </w:rPr>
        <w:t xml:space="preserve"> </w:t>
      </w:r>
      <w:r w:rsidRPr="00883DD5">
        <w:rPr>
          <w:rStyle w:val="libFootnoteAieChar"/>
          <w:rtl/>
        </w:rPr>
        <w:t>لَنْ يَن</w:t>
      </w:r>
      <w:r w:rsidR="003247E7" w:rsidRPr="00883DD5">
        <w:rPr>
          <w:rStyle w:val="libFootnoteAieChar"/>
          <w:rtl/>
        </w:rPr>
        <w:t>ْ</w:t>
      </w:r>
      <w:r w:rsidR="003247E7">
        <w:rPr>
          <w:rStyle w:val="libFootnoteAieChar"/>
          <w:rtl/>
        </w:rPr>
        <w:t>الَ الله</w:t>
      </w:r>
      <w:r w:rsidRPr="00883DD5">
        <w:rPr>
          <w:rStyle w:val="libFootnoteAieChar"/>
          <w:rtl/>
        </w:rPr>
        <w:t xml:space="preserve"> لُحُومُها وَلا دِماؤُها وَلكِنْ يَنالُهُ التَّقْوى مِنْكُمْ</w:t>
      </w:r>
      <w:r w:rsidRPr="00883DD5">
        <w:rPr>
          <w:rStyle w:val="libFootnoteAieChar"/>
          <w:rFonts w:hint="cs"/>
          <w:rtl/>
        </w:rPr>
        <w:t xml:space="preserve"> </w:t>
      </w:r>
      <w:r w:rsidRPr="00AC2E2F">
        <w:rPr>
          <w:rStyle w:val="libFootnoteAlaemChar"/>
          <w:rtl/>
        </w:rPr>
        <w:t>)</w:t>
      </w:r>
      <w:r w:rsidRPr="00323A39">
        <w:rPr>
          <w:rtl/>
        </w:rPr>
        <w:t xml:space="preserve"> [ الحجّ (22) : 37 ] والتقوى صفة القلب. وفي الحديث : « إنّ في الجسد لمضغة إذا صلحت صلح لها سائر الجسد ».</w:t>
      </w:r>
    </w:p>
    <w:p w:rsidR="008A74EB" w:rsidRPr="00C9040A" w:rsidRDefault="008A74EB" w:rsidP="004A4E41">
      <w:pPr>
        <w:pStyle w:val="libFootnote0"/>
        <w:rPr>
          <w:rtl/>
          <w:lang w:bidi="fa-IR"/>
        </w:rPr>
      </w:pPr>
      <w:r w:rsidRPr="0082575F">
        <w:rPr>
          <w:rtl/>
        </w:rPr>
        <w:t>والثاني : ما نقل عن ابن دريد ، وهو أنّ المؤمن ينوي خيرات كثيرة لايساعده الزمان على عملها ، فكان الثواب المترتّب على نيّاته أكثر من الثواب المترتّب على أعماله. وهذا بعينه معنى الحديث الآتي.</w:t>
      </w:r>
    </w:p>
    <w:p w:rsidR="008A74EB" w:rsidRPr="00C9040A" w:rsidRDefault="008A74EB" w:rsidP="004A4E41">
      <w:pPr>
        <w:pStyle w:val="libFootnote0"/>
        <w:rPr>
          <w:rtl/>
          <w:lang w:bidi="fa-IR"/>
        </w:rPr>
      </w:pPr>
      <w:r w:rsidRPr="0082575F">
        <w:rPr>
          <w:rtl/>
        </w:rPr>
        <w:t>والثالث : ما خطر ببالي ، وهو أنّ المؤمن ينوي أن يوقع عباداته على أحسن الوجوه ؛ لأنّ إيمانه يقتضي ذلك ، ثمّ إذا كان يشتغل بها لايتيسّر له ذلك ولايتأتّى كما يريد ، فلا يأتي بها كما ينبغي ، فالذي ينوي دائماً خيرٌ من الذي يعمل في كلّ عبادة.</w:t>
      </w:r>
    </w:p>
    <w:p w:rsidR="008A74EB" w:rsidRPr="00C9040A" w:rsidRDefault="008A74EB" w:rsidP="004A4E41">
      <w:pPr>
        <w:pStyle w:val="libFootnote0"/>
        <w:rPr>
          <w:rtl/>
          <w:lang w:bidi="fa-IR"/>
        </w:rPr>
      </w:pPr>
      <w:r w:rsidRPr="0082575F">
        <w:rPr>
          <w:rtl/>
        </w:rPr>
        <w:t>والرابع : أن يكون المراد بالحديث مجموع المعنيين الأخيرين ؛ لاشتراكهما في أمر واحد ، وهو نيّة الخير الذي لايتأتّى له كما يريد. ويؤيّده الأخبار الآتية.</w:t>
      </w:r>
    </w:p>
    <w:p w:rsidR="008A74EB" w:rsidRPr="00C9040A" w:rsidRDefault="008A74EB" w:rsidP="004A4E41">
      <w:pPr>
        <w:pStyle w:val="libFootnote0"/>
        <w:rPr>
          <w:rtl/>
          <w:lang w:bidi="fa-IR"/>
        </w:rPr>
      </w:pPr>
      <w:r w:rsidRPr="00323A39">
        <w:rPr>
          <w:rtl/>
        </w:rPr>
        <w:t xml:space="preserve">وممّا يدلّ عليه صريحاً ما اطّلعت عليه بعد شرحي لهذا الحديث في كتاب </w:t>
      </w:r>
      <w:r w:rsidRPr="00993B55">
        <w:rPr>
          <w:rStyle w:val="libFootnoteBoldChar"/>
          <w:rtl/>
        </w:rPr>
        <w:t>علل الشرائع</w:t>
      </w:r>
      <w:r w:rsidRPr="00323A39">
        <w:rPr>
          <w:rtl/>
        </w:rPr>
        <w:t xml:space="preserve"> للصدوق</w:t>
      </w:r>
      <w:r w:rsidR="005C261E">
        <w:rPr>
          <w:rFonts w:hint="cs"/>
          <w:rtl/>
        </w:rPr>
        <w:t xml:space="preserve"> رحمه الله </w:t>
      </w:r>
      <w:r w:rsidRPr="00323A39">
        <w:rPr>
          <w:rtl/>
        </w:rPr>
        <w:t xml:space="preserve">، وهو ما رواه بإسناده عن أبي جعفر </w:t>
      </w:r>
      <w:r w:rsidR="00117575" w:rsidRPr="00117575">
        <w:rPr>
          <w:rStyle w:val="libFootnoteAlaemChar"/>
          <w:rtl/>
        </w:rPr>
        <w:t>عليه‌السلام</w:t>
      </w:r>
      <w:r w:rsidRPr="00323A39">
        <w:rPr>
          <w:rtl/>
        </w:rPr>
        <w:t xml:space="preserve"> أنّه كان يقول : « نيّة المؤمن خير من عمله ؛ وذلك لأنّه ينوي من الخير ما لا يدركه ؛ ونيّة الكافر شرّ من عمله ؛ وذلك لأنّ الكافر ينوي الشرّ ويأمل من الشرّ ما لا يدركه ».</w:t>
      </w:r>
    </w:p>
    <w:p w:rsidR="008A74EB" w:rsidRPr="00C9040A" w:rsidRDefault="008A74EB" w:rsidP="004A4E41">
      <w:pPr>
        <w:pStyle w:val="libFootnote0"/>
        <w:rPr>
          <w:rtl/>
          <w:lang w:bidi="fa-IR"/>
        </w:rPr>
      </w:pPr>
      <w:r w:rsidRPr="00323A39">
        <w:rPr>
          <w:rtl/>
        </w:rPr>
        <w:t xml:space="preserve">وبإسناده عن أبي عبدالله </w:t>
      </w:r>
      <w:r w:rsidR="00117575" w:rsidRPr="00117575">
        <w:rPr>
          <w:rStyle w:val="libFootnoteAlaemChar"/>
          <w:rtl/>
        </w:rPr>
        <w:t xml:space="preserve">عليه‌السلام </w:t>
      </w:r>
      <w:r w:rsidRPr="00323A39">
        <w:rPr>
          <w:rtl/>
        </w:rPr>
        <w:t xml:space="preserve">أنّه قال له زيد الشحّام : إنّي سمعتك تقول : « نيّة المؤمن خير من عمله » ، فكيف تكون النيّة خيراً من العمل؟ قال : « لأنّ العمل إنّما كان رياء المخلوقين ، والنيّة خالصة لربّ العالمين ، فيعطي عزّوجلّ على النيّة ما لا يعطي على العمل ». قال أبوعبدالله </w:t>
      </w:r>
      <w:r w:rsidR="00117575" w:rsidRPr="00117575">
        <w:rPr>
          <w:rStyle w:val="libFootnoteAlaemChar"/>
          <w:rtl/>
        </w:rPr>
        <w:t>عليه‌السلام</w:t>
      </w:r>
      <w:r w:rsidRPr="00323A39">
        <w:rPr>
          <w:rtl/>
        </w:rPr>
        <w:t xml:space="preserve"> : « إنّ العبد لينوي من نهاره أن يصلّي بالليل ، فتغلبه عينه فينام ، فيثبت الله له صلاته ، ويكتب نفسه تسبيحاً ، ويجعل نومه صدقة ».</w:t>
      </w:r>
    </w:p>
    <w:p w:rsidR="008A74EB" w:rsidRPr="00C9040A" w:rsidRDefault="008A74EB" w:rsidP="004A4E41">
      <w:pPr>
        <w:pStyle w:val="libFootnote0"/>
        <w:rPr>
          <w:rtl/>
          <w:lang w:bidi="fa-IR"/>
        </w:rPr>
      </w:pPr>
      <w:r w:rsidRPr="00323A39">
        <w:rPr>
          <w:rtl/>
        </w:rPr>
        <w:t xml:space="preserve">ومن أراد التفصيل فليراجع إلى </w:t>
      </w:r>
      <w:r w:rsidRPr="00993B55">
        <w:rPr>
          <w:rStyle w:val="libFootnoteBoldChar"/>
          <w:rtl/>
        </w:rPr>
        <w:t>مرآة العقول</w:t>
      </w:r>
      <w:r w:rsidRPr="00323A39">
        <w:rPr>
          <w:rtl/>
        </w:rPr>
        <w:t xml:space="preserve"> ، ج 8 ، ص 92 </w:t>
      </w:r>
      <w:r w:rsidR="0084262C" w:rsidRPr="00323A39">
        <w:rPr>
          <w:rtl/>
        </w:rPr>
        <w:t>-</w:t>
      </w:r>
      <w:r w:rsidRPr="00323A39">
        <w:rPr>
          <w:rtl/>
        </w:rPr>
        <w:t xml:space="preserve"> 102.</w:t>
      </w:r>
    </w:p>
    <w:p w:rsidR="008A74EB" w:rsidRPr="00C9040A" w:rsidRDefault="006C577F" w:rsidP="00AC2E2F">
      <w:pPr>
        <w:pStyle w:val="libFootnote0"/>
        <w:rPr>
          <w:rtl/>
          <w:lang w:bidi="fa-IR"/>
        </w:rPr>
      </w:pPr>
      <w:r>
        <w:rPr>
          <w:rtl/>
        </w:rPr>
        <w:t>(2).</w:t>
      </w:r>
      <w:r w:rsidR="008A74EB">
        <w:rPr>
          <w:rtl/>
        </w:rPr>
        <w:t xml:space="preserve"> </w:t>
      </w:r>
      <w:r w:rsidR="008A74EB" w:rsidRPr="00993B55">
        <w:rPr>
          <w:rStyle w:val="libFootnoteBoldChar"/>
          <w:rtl/>
        </w:rPr>
        <w:t>المحاسن</w:t>
      </w:r>
      <w:r w:rsidR="008A74EB" w:rsidRPr="00C9040A">
        <w:rPr>
          <w:rtl/>
        </w:rPr>
        <w:t xml:space="preserve"> ، ص 260 ، كتاب مصابيح الظلم ، ح 315 ، عن حسين بن يزيد النوفلي. </w:t>
      </w:r>
      <w:r w:rsidR="008A74EB" w:rsidRPr="00993B55">
        <w:rPr>
          <w:rStyle w:val="libFootnoteBoldChar"/>
          <w:rtl/>
        </w:rPr>
        <w:t>الجعفريّات</w:t>
      </w:r>
      <w:r w:rsidR="008A74EB" w:rsidRPr="00C9040A">
        <w:rPr>
          <w:rtl/>
        </w:rPr>
        <w:t xml:space="preserve"> ، ص 169 ، بسند آخر ؛ </w:t>
      </w:r>
      <w:r w:rsidR="008A74EB" w:rsidRPr="00993B55">
        <w:rPr>
          <w:rStyle w:val="libFootnoteBoldChar"/>
          <w:rtl/>
        </w:rPr>
        <w:t>علل الشرائع</w:t>
      </w:r>
      <w:r w:rsidR="008A74EB" w:rsidRPr="00C9040A">
        <w:rPr>
          <w:rtl/>
        </w:rPr>
        <w:t xml:space="preserve"> ، ص 524 ، ح 2 ، بسند آخر عن أبي جعفر </w:t>
      </w:r>
      <w:r w:rsidR="00117575" w:rsidRPr="00117575">
        <w:rPr>
          <w:rStyle w:val="libFootnoteAlaemChar"/>
          <w:rtl/>
        </w:rPr>
        <w:t>عليه‌السلام</w:t>
      </w:r>
      <w:r w:rsidR="008A74EB" w:rsidRPr="00C9040A">
        <w:rPr>
          <w:rtl/>
        </w:rPr>
        <w:t xml:space="preserve"> ، مع اختلاف يسير وزيادة ؛ </w:t>
      </w:r>
      <w:r w:rsidR="008A74EB" w:rsidRPr="00993B55">
        <w:rPr>
          <w:rStyle w:val="libFootnoteBoldChar"/>
          <w:rtl/>
        </w:rPr>
        <w:t>الأمالي</w:t>
      </w:r>
      <w:r w:rsidR="008A74EB" w:rsidRPr="00C9040A">
        <w:rPr>
          <w:rtl/>
        </w:rPr>
        <w:t xml:space="preserve"> للطوسي ، ص 454 ، المجلس 16 ، ح 1013 ، بسند آخر عن أبي جعفر ، عن آبائه </w:t>
      </w:r>
      <w:r w:rsidR="00117575" w:rsidRPr="00117575">
        <w:rPr>
          <w:rStyle w:val="libFootnoteAlaemChar"/>
          <w:rtl/>
        </w:rPr>
        <w:t>عليهم‌السلام</w:t>
      </w:r>
      <w:r w:rsidR="008A74EB" w:rsidRPr="00C9040A">
        <w:rPr>
          <w:rtl/>
        </w:rPr>
        <w:t xml:space="preserve"> عن رسول الله </w:t>
      </w:r>
      <w:r w:rsidR="004A4E41" w:rsidRPr="00AC2E2F">
        <w:rPr>
          <w:rStyle w:val="libFootnoteAlaemChar"/>
          <w:rtl/>
        </w:rPr>
        <w:t>صلى‌الله‌عليه‌وآله</w:t>
      </w:r>
      <w:r w:rsidR="008A74EB" w:rsidRPr="00C9040A">
        <w:rPr>
          <w:rtl/>
        </w:rPr>
        <w:t xml:space="preserve"> ، وفيه : « نيّة المؤمن أبلغ من عمله ، وكذلك الفاجر »</w:t>
      </w:r>
      <w:r w:rsidR="008A74EB">
        <w:rPr>
          <w:rtl/>
        </w:rPr>
        <w:t>.</w:t>
      </w:r>
      <w:r w:rsidR="008A74EB" w:rsidRPr="00C9040A">
        <w:rPr>
          <w:rtl/>
        </w:rPr>
        <w:t xml:space="preserve"> </w:t>
      </w:r>
      <w:r w:rsidR="008A74EB" w:rsidRPr="00993B55">
        <w:rPr>
          <w:rStyle w:val="libFootnoteBoldChar"/>
          <w:rtl/>
        </w:rPr>
        <w:t>فقه الرضا</w:t>
      </w:r>
      <w:r w:rsidR="008A74EB" w:rsidRPr="00C9040A">
        <w:rPr>
          <w:rtl/>
        </w:rPr>
        <w:t xml:space="preserve"> </w:t>
      </w:r>
      <w:r w:rsidR="00117575" w:rsidRPr="00117575">
        <w:rPr>
          <w:rStyle w:val="libFootnoteAlaemChar"/>
          <w:rtl/>
        </w:rPr>
        <w:t>عليه‌السلام</w:t>
      </w:r>
      <w:r w:rsidR="008A74EB" w:rsidRPr="00C9040A">
        <w:rPr>
          <w:rtl/>
        </w:rPr>
        <w:t xml:space="preserve"> ، ص 378 ، مع اختلاف يسير وزيادة </w:t>
      </w:r>
      <w:r w:rsidR="005C261E">
        <w:rPr>
          <w:rFonts w:hint="cs"/>
          <w:rtl/>
        </w:rPr>
        <w:t>.</w:t>
      </w:r>
      <w:r w:rsidR="008A74EB" w:rsidRPr="00993B55">
        <w:rPr>
          <w:rStyle w:val="libFootnoteBoldChar"/>
          <w:rtl/>
        </w:rPr>
        <w:t>الوافي</w:t>
      </w:r>
      <w:r w:rsidR="008A74EB" w:rsidRPr="00C9040A">
        <w:rPr>
          <w:rtl/>
        </w:rPr>
        <w:t xml:space="preserve"> ، ج 4 ، ص 366 ، ح 2135 ؛ </w:t>
      </w:r>
      <w:r w:rsidR="008A74EB" w:rsidRPr="00993B55">
        <w:rPr>
          <w:rStyle w:val="libFootnoteBoldChar"/>
          <w:rtl/>
        </w:rPr>
        <w:t>الوسائل</w:t>
      </w:r>
      <w:r w:rsidR="008A74EB" w:rsidRPr="00C9040A">
        <w:rPr>
          <w:rtl/>
        </w:rPr>
        <w:t xml:space="preserve"> ، ج 1 ، ص 50 ، ح 95 ؛ </w:t>
      </w:r>
      <w:r w:rsidR="008A74EB" w:rsidRPr="00993B55">
        <w:rPr>
          <w:rStyle w:val="libFootnoteBoldChar"/>
          <w:rtl/>
        </w:rPr>
        <w:t>البحار</w:t>
      </w:r>
      <w:r w:rsidR="008A74EB" w:rsidRPr="00C9040A">
        <w:rPr>
          <w:rtl/>
        </w:rPr>
        <w:t xml:space="preserve"> ، ج 70 ، ص 189 ، ح 2.</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سَالِمٍ ، عَنْ أَبِي بَصِيرٍ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إِنَّ الْعَبْدَ الْمُؤْمِنَ الْفَقِيرَ لَيَقُولُ : يَا رَبِّ ارْزُقْنِي حَتّى أَفْعَلَ كَذَا وَكَذَا مِنَ الْبِرِّ وَوُجُوهِ الْخَيْرِ ، فَإِذَا عَلِمَ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ذلِكَ مِنْهُ بِصِدْقِ نِيَّةٍ </w:t>
      </w:r>
      <w:r w:rsidR="006C577F" w:rsidRPr="006C577F">
        <w:rPr>
          <w:rStyle w:val="libFootnotenumChar"/>
          <w:rtl/>
        </w:rPr>
        <w:t>(1)</w:t>
      </w:r>
      <w:r w:rsidRPr="00C9040A">
        <w:rPr>
          <w:rtl/>
          <w:lang w:bidi="fa-IR"/>
        </w:rPr>
        <w:t>، كَتَبَ اللهُ لَهُ مِنَ الْأَجْرِ مِثْلَ مَا يَكْتُبُ لَهُ لَوْ عَمِلَهُ ؛ إِنَّ اللهَ وَاسِعٌ كَرِيمٌ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422A78">
        <w:rPr>
          <w:rtl/>
        </w:rPr>
        <w:t>1678</w:t>
      </w:r>
      <w:r w:rsidRPr="00261CB0">
        <w:rPr>
          <w:rStyle w:val="libBold2Char"/>
          <w:rtl/>
        </w:rPr>
        <w:t xml:space="preserve"> / 4.</w:t>
      </w:r>
      <w:r w:rsidRPr="00C9040A">
        <w:rPr>
          <w:rtl/>
          <w:lang w:bidi="fa-IR"/>
        </w:rPr>
        <w:t xml:space="preserve"> عِدَّةٌ مِنْ أَصْحَابِنَا ، عَنْ أَحْمَدَ بْنِ مُحَمَّدِ بْنِ خَالِدٍ ، عَنْ عَلِيِّ بْنِ أَسْبَاطٍ ، عَنْ مُحَمَّدِ بْنِ إِسْحَاقَ بْنِ </w:t>
      </w:r>
      <w:r w:rsidR="006C577F" w:rsidRPr="006C577F">
        <w:rPr>
          <w:rStyle w:val="libFootnotenumChar"/>
          <w:rtl/>
        </w:rPr>
        <w:t>(3)</w:t>
      </w:r>
      <w:r w:rsidRPr="00C9040A">
        <w:rPr>
          <w:rtl/>
          <w:lang w:bidi="fa-IR"/>
        </w:rPr>
        <w:t xml:space="preserve"> الْحُسَيْنِ بن </w:t>
      </w:r>
      <w:r w:rsidR="006C577F" w:rsidRPr="006C577F">
        <w:rPr>
          <w:rStyle w:val="libFootnotenumChar"/>
          <w:rtl/>
        </w:rPr>
        <w:t>(4)</w:t>
      </w:r>
      <w:r w:rsidRPr="00C9040A">
        <w:rPr>
          <w:rtl/>
          <w:lang w:bidi="fa-IR"/>
        </w:rPr>
        <w:t xml:space="preserve"> عَمْرٍو ، عَنْ </w:t>
      </w:r>
      <w:r w:rsidR="006C577F" w:rsidRPr="006C577F">
        <w:rPr>
          <w:rStyle w:val="libFootnotenumChar"/>
          <w:rtl/>
        </w:rPr>
        <w:t>(5)</w:t>
      </w:r>
      <w:r w:rsidRPr="00C9040A">
        <w:rPr>
          <w:rtl/>
          <w:lang w:bidi="fa-IR"/>
        </w:rPr>
        <w:t xml:space="preserve"> حَسَنِ </w:t>
      </w:r>
      <w:r w:rsidR="006C577F" w:rsidRPr="006C577F">
        <w:rPr>
          <w:rStyle w:val="libFootnotenumChar"/>
          <w:rtl/>
        </w:rPr>
        <w:t>(6)</w:t>
      </w:r>
      <w:r w:rsidRPr="005B567D">
        <w:rPr>
          <w:rStyle w:val="libFootnotenumChar"/>
          <w:rtl/>
        </w:rPr>
        <w:t xml:space="preserve"> </w:t>
      </w:r>
      <w:r w:rsidRPr="00C9040A">
        <w:rPr>
          <w:rtl/>
          <w:lang w:bidi="fa-IR"/>
        </w:rPr>
        <w:t xml:space="preserve">بْنِ </w:t>
      </w:r>
      <w:r w:rsidR="006C577F" w:rsidRPr="006C577F">
        <w:rPr>
          <w:rStyle w:val="libFootnotenumChar"/>
          <w:rtl/>
        </w:rPr>
        <w:t>(7)</w:t>
      </w:r>
      <w:r w:rsidRPr="00C9040A">
        <w:rPr>
          <w:rtl/>
          <w:lang w:bidi="fa-IR"/>
        </w:rPr>
        <w:t xml:space="preserve"> أَبَا</w:t>
      </w:r>
      <w:r w:rsidR="00AC2E2F">
        <w:rPr>
          <w:rtl/>
          <w:lang w:bidi="fa-IR"/>
        </w:rPr>
        <w:t>نٍ ، عَنْ أَبِي بَصِيرٍ ، قَالَ</w:t>
      </w:r>
      <w:r w:rsidRPr="00C9040A">
        <w:rPr>
          <w:rtl/>
          <w:lang w:bidi="fa-IR"/>
        </w:rPr>
        <w:t>:</w:t>
      </w:r>
    </w:p>
    <w:p w:rsidR="008A74EB" w:rsidRPr="00C9040A" w:rsidRDefault="008A74EB" w:rsidP="008A74EB">
      <w:pPr>
        <w:pStyle w:val="libNormal"/>
        <w:rPr>
          <w:rtl/>
          <w:lang w:bidi="fa-IR"/>
        </w:rPr>
      </w:pPr>
      <w:r w:rsidRPr="00C9040A">
        <w:rPr>
          <w:rtl/>
          <w:lang w:bidi="fa-IR"/>
        </w:rPr>
        <w:t xml:space="preserve">سَأَلْتُ أَبَا عَبْدِ اللهِ </w:t>
      </w:r>
      <w:r w:rsidRPr="0003660B">
        <w:rPr>
          <w:rStyle w:val="libAlaemChar"/>
          <w:rtl/>
        </w:rPr>
        <w:t>عليه‌السلام</w:t>
      </w:r>
      <w:r w:rsidRPr="00C9040A">
        <w:rPr>
          <w:rtl/>
          <w:lang w:bidi="fa-IR"/>
        </w:rPr>
        <w:t xml:space="preserve"> عَنْ حَدِّ </w:t>
      </w:r>
      <w:r w:rsidR="006C577F" w:rsidRPr="006C577F">
        <w:rPr>
          <w:rStyle w:val="libFootnotenumChar"/>
          <w:rtl/>
        </w:rPr>
        <w:t>(8)</w:t>
      </w:r>
      <w:r w:rsidRPr="00C9040A">
        <w:rPr>
          <w:rtl/>
          <w:lang w:bidi="fa-IR"/>
        </w:rPr>
        <w:t xml:space="preserve"> الْعِبَادَةِ الَّتِي إِذَا فَعَلَهَا فَاعِلُهَا كَانَ مُؤَدِّياً ، فَقَالَ :</w:t>
      </w:r>
      <w:r>
        <w:rPr>
          <w:rFonts w:hint="cs"/>
          <w:rtl/>
          <w:lang w:bidi="fa-IR"/>
        </w:rPr>
        <w:t xml:space="preserve"> </w:t>
      </w:r>
      <w:r w:rsidRPr="00C9040A">
        <w:rPr>
          <w:rtl/>
          <w:lang w:bidi="fa-IR"/>
        </w:rPr>
        <w:t>« حُسْنُ النِّيَّةِ بِالطَّاعَةِ »</w:t>
      </w:r>
      <w:r>
        <w:rPr>
          <w:rtl/>
          <w:lang w:bidi="fa-IR"/>
        </w:rPr>
        <w:t>.</w:t>
      </w:r>
      <w:r w:rsidRPr="00C9040A">
        <w:rPr>
          <w:rtl/>
          <w:lang w:bidi="fa-IR"/>
        </w:rPr>
        <w:t xml:space="preserve"> </w:t>
      </w:r>
      <w:r w:rsidR="006C577F" w:rsidRPr="006C577F">
        <w:rPr>
          <w:rStyle w:val="libFootnotenumChar"/>
          <w:rtl/>
        </w:rPr>
        <w:t>(9)</w:t>
      </w:r>
      <w:r w:rsidRPr="00C9040A">
        <w:rPr>
          <w:rtl/>
          <w:lang w:bidi="fa-IR"/>
        </w:rPr>
        <w:t xml:space="preserve"> ‌</w:t>
      </w:r>
    </w:p>
    <w:p w:rsidR="008A74EB" w:rsidRPr="00C9040A" w:rsidRDefault="008A74EB" w:rsidP="008A74EB">
      <w:pPr>
        <w:pStyle w:val="libNormal"/>
        <w:rPr>
          <w:rtl/>
          <w:lang w:bidi="fa-IR"/>
        </w:rPr>
      </w:pPr>
      <w:r w:rsidRPr="00422A78">
        <w:rPr>
          <w:rtl/>
        </w:rPr>
        <w:t>1679</w:t>
      </w:r>
      <w:r w:rsidRPr="00261CB0">
        <w:rPr>
          <w:rStyle w:val="libBold2Char"/>
          <w:rtl/>
        </w:rPr>
        <w:t xml:space="preserve"> / 5.</w:t>
      </w:r>
      <w:r w:rsidRPr="00C9040A">
        <w:rPr>
          <w:rtl/>
          <w:lang w:bidi="fa-IR"/>
        </w:rPr>
        <w:t xml:space="preserve"> عَلِيُّ بْنُ إِبْرَاهِيمَ ، عَنْ أَبِيهِ ، عَنِ الْقَاسِمِ بْنِ مُحَمَّدٍ ، عَنِ الْمِنْقَرِيِّ ، عَنْ أَحْمَدَ بْنِ يُونُسَ ، عَنْ أَبِي هَاشِمٍ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إِنَّمَا خُلِّدَ أَهْلُ النَّارِ فِي النَّارِ لِأَنَّ نِيَّاتِهِمْ كَانَتْ فِي الدُّنْيَا أَنْ </w:t>
      </w:r>
      <w:r w:rsidR="006C577F" w:rsidRPr="006C577F">
        <w:rPr>
          <w:rStyle w:val="libFootnotenumChar"/>
          <w:rtl/>
        </w:rPr>
        <w:t>(10)</w:t>
      </w:r>
      <w:r w:rsidRPr="00C9040A">
        <w:rPr>
          <w:rtl/>
          <w:lang w:bidi="fa-IR"/>
        </w:rPr>
        <w:t xml:space="preserve"> لَوْ خُلِّدُوا فِيهَا أَنْ يَعْصُوا اللهَ أَبَداً ، وَإِنَّمَا خُلِّدَ أَهْلُ الْجَنَّةِ فِي الْجَنَّةِ </w:t>
      </w:r>
      <w:r w:rsidR="006C577F" w:rsidRPr="006C577F">
        <w:rPr>
          <w:rStyle w:val="libFootnotenumChar"/>
          <w:rtl/>
        </w:rPr>
        <w:t>(11)</w:t>
      </w:r>
      <w:r w:rsidRPr="00C9040A">
        <w:rPr>
          <w:rtl/>
          <w:lang w:bidi="fa-IR"/>
        </w:rPr>
        <w:t xml:space="preserve"> لِأَنَّ نِيَّاتِهِمْ كَانَتْ فِي الدُّنْيَا أَنْ </w:t>
      </w:r>
      <w:r w:rsidR="006C577F" w:rsidRPr="006C577F">
        <w:rPr>
          <w:rStyle w:val="libFootnotenumChar"/>
          <w:rtl/>
        </w:rPr>
        <w:t>(12)</w:t>
      </w:r>
      <w:r w:rsidRPr="00C9040A">
        <w:rPr>
          <w:rtl/>
          <w:lang w:bidi="fa-IR"/>
        </w:rPr>
        <w:t xml:space="preserve"> لَوْ بَقُوا فِيهَا أَنْ يُطِيعُوا اللهَ أَبَداً </w:t>
      </w:r>
      <w:r w:rsidRPr="005B567D">
        <w:rPr>
          <w:rStyle w:val="libFootnotenumChar"/>
          <w:rtl/>
        </w:rPr>
        <w:t>(13)</w:t>
      </w:r>
      <w:r w:rsidRPr="00C9040A">
        <w:rPr>
          <w:rtl/>
          <w:lang w:bidi="fa-IR"/>
        </w:rPr>
        <w:t xml:space="preserve"> ؛ فَبِالنِّيَّاتِ </w:t>
      </w:r>
      <w:r w:rsidRPr="005B567D">
        <w:rPr>
          <w:rStyle w:val="libFootnotenumChar"/>
          <w:rtl/>
        </w:rPr>
        <w:t>(14)</w:t>
      </w:r>
      <w:r w:rsidRPr="00C9040A">
        <w:rPr>
          <w:rtl/>
          <w:lang w:bidi="fa-IR"/>
        </w:rPr>
        <w:t xml:space="preserve"> خُلِّدَ </w:t>
      </w:r>
      <w:r w:rsidRPr="005B567D">
        <w:rPr>
          <w:rStyle w:val="libFootnotenumChar"/>
          <w:rtl/>
        </w:rPr>
        <w:t>(15)</w:t>
      </w:r>
      <w:r w:rsidRPr="00C9040A">
        <w:rPr>
          <w:rtl/>
          <w:lang w:bidi="fa-IR"/>
        </w:rPr>
        <w:t xml:space="preserve"> هؤُلَاءِ وَهؤُلَاءِ » ثُمَّ‌</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 ف » والمحاسن : « نيّته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المحاسن</w:t>
      </w:r>
      <w:r w:rsidR="008A74EB" w:rsidRPr="00C9040A">
        <w:rPr>
          <w:rtl/>
        </w:rPr>
        <w:t xml:space="preserve"> ، ص 261 ، كتاب مصابيح الظلم ، ح 320 ، عن ابن محبوب ، عن أبي بصير </w:t>
      </w:r>
      <w:r w:rsidR="00353407">
        <w:rPr>
          <w:rFonts w:hint="cs"/>
          <w:rtl/>
        </w:rPr>
        <w:t>.</w:t>
      </w:r>
      <w:r w:rsidR="008A74EB" w:rsidRPr="00993B55">
        <w:rPr>
          <w:rStyle w:val="libFootnoteBoldChar"/>
          <w:rtl/>
        </w:rPr>
        <w:t>الوافي</w:t>
      </w:r>
      <w:r w:rsidR="008A74EB" w:rsidRPr="00C9040A">
        <w:rPr>
          <w:rtl/>
        </w:rPr>
        <w:t xml:space="preserve"> ، ج 4 ، ص 368 ، ح 2136 ؛ </w:t>
      </w:r>
      <w:r w:rsidR="008A74EB" w:rsidRPr="00993B55">
        <w:rPr>
          <w:rStyle w:val="libFootnoteBoldChar"/>
          <w:rtl/>
        </w:rPr>
        <w:t>الوسائل</w:t>
      </w:r>
      <w:r w:rsidR="008A74EB" w:rsidRPr="00C9040A">
        <w:rPr>
          <w:rtl/>
        </w:rPr>
        <w:t xml:space="preserve"> ، ج 1 ، ص 49 ، ح 93 ؛ </w:t>
      </w:r>
      <w:r w:rsidR="008A74EB" w:rsidRPr="00993B55">
        <w:rPr>
          <w:rStyle w:val="libFootnoteBoldChar"/>
          <w:rtl/>
        </w:rPr>
        <w:t>البحار</w:t>
      </w:r>
      <w:r w:rsidR="008A74EB" w:rsidRPr="00C9040A">
        <w:rPr>
          <w:rtl/>
        </w:rPr>
        <w:t xml:space="preserve"> ، ج 70 ، ص 199 ، ح 4.</w:t>
      </w:r>
    </w:p>
    <w:p w:rsidR="008A74EB" w:rsidRPr="00C9040A" w:rsidRDefault="006C577F" w:rsidP="004A4E41">
      <w:pPr>
        <w:pStyle w:val="libFootnote0"/>
        <w:rPr>
          <w:rtl/>
          <w:lang w:bidi="fa-IR"/>
        </w:rPr>
      </w:pPr>
      <w:r>
        <w:rPr>
          <w:rtl/>
        </w:rPr>
        <w:t>(3).</w:t>
      </w:r>
      <w:r w:rsidR="008A74EB" w:rsidRPr="00C9040A">
        <w:rPr>
          <w:rtl/>
        </w:rPr>
        <w:t xml:space="preserve"> في « ز » : « عن »</w:t>
      </w:r>
      <w:r w:rsidR="008A74EB">
        <w:rPr>
          <w:rtl/>
        </w:rPr>
        <w:t>.</w:t>
      </w:r>
    </w:p>
    <w:p w:rsidR="008A74EB" w:rsidRPr="004A4E41" w:rsidRDefault="006C577F" w:rsidP="004A4E41">
      <w:pPr>
        <w:pStyle w:val="libFootnote0"/>
        <w:rPr>
          <w:rStyle w:val="libFootnote0Char"/>
          <w:rtl/>
        </w:rPr>
      </w:pPr>
      <w:r>
        <w:rPr>
          <w:rtl/>
        </w:rPr>
        <w:t>(4).</w:t>
      </w:r>
      <w:r w:rsidR="008A74EB" w:rsidRPr="00C9040A">
        <w:rPr>
          <w:rtl/>
        </w:rPr>
        <w:t xml:space="preserve"> هكذا في « د ، ز ، ص ، ض ، ف ، </w:t>
      </w:r>
      <w:r w:rsidR="006D3162">
        <w:rPr>
          <w:rtl/>
        </w:rPr>
        <w:t xml:space="preserve">ه </w:t>
      </w:r>
      <w:r w:rsidR="008A74EB" w:rsidRPr="00C9040A">
        <w:rPr>
          <w:rtl/>
        </w:rPr>
        <w:t>، بف » وحاشية « بر ، بس »</w:t>
      </w:r>
      <w:r w:rsidR="008A74EB">
        <w:rPr>
          <w:rtl/>
        </w:rPr>
        <w:t>.</w:t>
      </w:r>
      <w:r w:rsidR="008A74EB" w:rsidRPr="00C9040A">
        <w:rPr>
          <w:rtl/>
        </w:rPr>
        <w:t xml:space="preserve"> وفي « ألف ، ب ، بر ، بس » والمطبوع : « عن »</w:t>
      </w:r>
      <w:r w:rsidR="008A74EB">
        <w:rPr>
          <w:rtl/>
        </w:rPr>
        <w:t>.</w:t>
      </w:r>
    </w:p>
    <w:tbl>
      <w:tblPr>
        <w:tblStyle w:val="TableGrid"/>
        <w:bidiVisual/>
        <w:tblW w:w="0" w:type="auto"/>
        <w:tblLook w:val="04A0" w:firstRow="1" w:lastRow="0" w:firstColumn="1" w:lastColumn="0" w:noHBand="0" w:noVBand="1"/>
      </w:tblPr>
      <w:tblGrid>
        <w:gridCol w:w="4006"/>
        <w:gridCol w:w="4006"/>
      </w:tblGrid>
      <w:tr w:rsidR="00353407" w:rsidTr="00353407">
        <w:tc>
          <w:tcPr>
            <w:tcW w:w="4006" w:type="dxa"/>
          </w:tcPr>
          <w:p w:rsidR="00353407" w:rsidRDefault="00E139FC" w:rsidP="004A4E41">
            <w:pPr>
              <w:pStyle w:val="libFootnote0"/>
              <w:rPr>
                <w:rtl/>
              </w:rPr>
            </w:pPr>
            <w:r>
              <w:rPr>
                <w:rtl/>
              </w:rPr>
              <w:t>(5).</w:t>
            </w:r>
            <w:r w:rsidRPr="00C9040A">
              <w:rPr>
                <w:rtl/>
              </w:rPr>
              <w:t xml:space="preserve"> في حاشية « ج » : « بن »</w:t>
            </w:r>
            <w:r>
              <w:rPr>
                <w:rtl/>
              </w:rPr>
              <w:t>.</w:t>
            </w:r>
          </w:p>
        </w:tc>
        <w:tc>
          <w:tcPr>
            <w:tcW w:w="4006" w:type="dxa"/>
          </w:tcPr>
          <w:p w:rsidR="00353407" w:rsidRDefault="00E139FC" w:rsidP="004A4E41">
            <w:pPr>
              <w:pStyle w:val="libFootnote0"/>
              <w:rPr>
                <w:rtl/>
              </w:rPr>
            </w:pPr>
            <w:r>
              <w:rPr>
                <w:rtl/>
              </w:rPr>
              <w:t xml:space="preserve">(6). </w:t>
            </w:r>
            <w:r w:rsidRPr="00C9040A">
              <w:rPr>
                <w:rtl/>
              </w:rPr>
              <w:t xml:space="preserve">في « ب ، ف ، </w:t>
            </w:r>
            <w:r>
              <w:rPr>
                <w:rtl/>
              </w:rPr>
              <w:t xml:space="preserve">ه </w:t>
            </w:r>
            <w:r w:rsidRPr="00C9040A">
              <w:rPr>
                <w:rtl/>
              </w:rPr>
              <w:t>» : « الحسن »</w:t>
            </w:r>
            <w:r>
              <w:rPr>
                <w:rtl/>
              </w:rPr>
              <w:t>.</w:t>
            </w:r>
          </w:p>
        </w:tc>
      </w:tr>
      <w:tr w:rsidR="00353407" w:rsidTr="00353407">
        <w:tc>
          <w:tcPr>
            <w:tcW w:w="4006" w:type="dxa"/>
          </w:tcPr>
          <w:p w:rsidR="00353407" w:rsidRDefault="00E139FC" w:rsidP="004A4E41">
            <w:pPr>
              <w:pStyle w:val="libFootnote0"/>
              <w:rPr>
                <w:rtl/>
              </w:rPr>
            </w:pPr>
            <w:r>
              <w:rPr>
                <w:rtl/>
              </w:rPr>
              <w:t>(7).</w:t>
            </w:r>
            <w:r w:rsidRPr="00C9040A">
              <w:rPr>
                <w:rtl/>
              </w:rPr>
              <w:t xml:space="preserve"> في « </w:t>
            </w:r>
            <w:r>
              <w:rPr>
                <w:rtl/>
              </w:rPr>
              <w:t xml:space="preserve">ه </w:t>
            </w:r>
            <w:r w:rsidRPr="00C9040A">
              <w:rPr>
                <w:rtl/>
              </w:rPr>
              <w:t>» : « عن »</w:t>
            </w:r>
            <w:r>
              <w:rPr>
                <w:rtl/>
              </w:rPr>
              <w:t>.</w:t>
            </w:r>
          </w:p>
        </w:tc>
        <w:tc>
          <w:tcPr>
            <w:tcW w:w="4006" w:type="dxa"/>
          </w:tcPr>
          <w:p w:rsidR="00353407" w:rsidRDefault="00E139FC" w:rsidP="004A4E41">
            <w:pPr>
              <w:pStyle w:val="libFootnote0"/>
              <w:rPr>
                <w:rtl/>
              </w:rPr>
            </w:pPr>
            <w:r>
              <w:rPr>
                <w:rtl/>
              </w:rPr>
              <w:t>(8).</w:t>
            </w:r>
            <w:r w:rsidRPr="00C9040A">
              <w:rPr>
                <w:rtl/>
              </w:rPr>
              <w:t xml:space="preserve"> في « ز » : « حسن »</w:t>
            </w:r>
            <w:r>
              <w:rPr>
                <w:rtl/>
              </w:rPr>
              <w:t>.</w:t>
            </w:r>
          </w:p>
        </w:tc>
      </w:tr>
    </w:tbl>
    <w:p w:rsidR="008A74EB" w:rsidRPr="004A4E41" w:rsidRDefault="006C577F" w:rsidP="004A4E41">
      <w:pPr>
        <w:pStyle w:val="libFootnote0"/>
        <w:rPr>
          <w:rStyle w:val="libFootnote0Char"/>
          <w:rtl/>
        </w:rPr>
      </w:pPr>
      <w:r>
        <w:rPr>
          <w:rtl/>
        </w:rPr>
        <w:t>(9).</w:t>
      </w:r>
      <w:r w:rsidR="008A74EB" w:rsidRPr="00C9040A">
        <w:rPr>
          <w:rtl/>
        </w:rPr>
        <w:t xml:space="preserve"> </w:t>
      </w:r>
      <w:r w:rsidR="008A74EB" w:rsidRPr="00993B55">
        <w:rPr>
          <w:rStyle w:val="libFootnoteBoldChar"/>
          <w:rtl/>
        </w:rPr>
        <w:t>الوافي</w:t>
      </w:r>
      <w:r w:rsidR="008A74EB" w:rsidRPr="00C9040A">
        <w:rPr>
          <w:rtl/>
        </w:rPr>
        <w:t xml:space="preserve"> ، ج 4 ، ص 368 ، ح 2137 ؛ </w:t>
      </w:r>
      <w:r w:rsidR="008A74EB" w:rsidRPr="00993B55">
        <w:rPr>
          <w:rStyle w:val="libFootnoteBoldChar"/>
          <w:rtl/>
        </w:rPr>
        <w:t>الوسائل</w:t>
      </w:r>
      <w:r w:rsidR="008A74EB" w:rsidRPr="00C9040A">
        <w:rPr>
          <w:rtl/>
        </w:rPr>
        <w:t xml:space="preserve"> ، ج 1 ، ص 49 ، ح 94 ؛ </w:t>
      </w:r>
      <w:r w:rsidR="008A74EB" w:rsidRPr="00993B55">
        <w:rPr>
          <w:rStyle w:val="libFootnoteBoldChar"/>
          <w:rtl/>
        </w:rPr>
        <w:t>البحار</w:t>
      </w:r>
      <w:r w:rsidR="008A74EB" w:rsidRPr="00C9040A">
        <w:rPr>
          <w:rtl/>
        </w:rPr>
        <w:t xml:space="preserve"> ، ج 70 ، ص 199 ، ح 3.</w:t>
      </w:r>
    </w:p>
    <w:tbl>
      <w:tblPr>
        <w:tblStyle w:val="TableGrid"/>
        <w:bidiVisual/>
        <w:tblW w:w="0" w:type="auto"/>
        <w:tblLook w:val="04A0" w:firstRow="1" w:lastRow="0" w:firstColumn="1" w:lastColumn="0" w:noHBand="0" w:noVBand="1"/>
      </w:tblPr>
      <w:tblGrid>
        <w:gridCol w:w="4006"/>
        <w:gridCol w:w="4006"/>
      </w:tblGrid>
      <w:tr w:rsidR="00E139FC" w:rsidTr="00E139FC">
        <w:tc>
          <w:tcPr>
            <w:tcW w:w="4006" w:type="dxa"/>
          </w:tcPr>
          <w:p w:rsidR="00E139FC" w:rsidRDefault="00E139FC" w:rsidP="004A4E41">
            <w:pPr>
              <w:pStyle w:val="libFootnote0"/>
              <w:rPr>
                <w:rtl/>
                <w:lang w:bidi="fa-IR"/>
              </w:rPr>
            </w:pPr>
            <w:r>
              <w:rPr>
                <w:rtl/>
              </w:rPr>
              <w:t>(10).</w:t>
            </w:r>
            <w:r w:rsidRPr="00C9040A">
              <w:rPr>
                <w:rtl/>
              </w:rPr>
              <w:t xml:space="preserve"> في « ض » والعلل </w:t>
            </w:r>
            <w:r>
              <w:rPr>
                <w:rtl/>
              </w:rPr>
              <w:t>: -</w:t>
            </w:r>
            <w:r w:rsidRPr="00C9040A">
              <w:rPr>
                <w:rtl/>
              </w:rPr>
              <w:t xml:space="preserve"> « أن »</w:t>
            </w:r>
            <w:r>
              <w:rPr>
                <w:rtl/>
              </w:rPr>
              <w:t>.</w:t>
            </w:r>
          </w:p>
        </w:tc>
        <w:tc>
          <w:tcPr>
            <w:tcW w:w="4006" w:type="dxa"/>
          </w:tcPr>
          <w:p w:rsidR="00E139FC" w:rsidRDefault="00E139FC" w:rsidP="004A4E41">
            <w:pPr>
              <w:pStyle w:val="libFootnote0"/>
              <w:rPr>
                <w:rtl/>
                <w:lang w:bidi="fa-IR"/>
              </w:rPr>
            </w:pPr>
            <w:r>
              <w:rPr>
                <w:rtl/>
              </w:rPr>
              <w:t>(11).</w:t>
            </w:r>
            <w:r w:rsidRPr="00C9040A">
              <w:rPr>
                <w:rtl/>
              </w:rPr>
              <w:t xml:space="preserve"> في « ز » </w:t>
            </w:r>
            <w:r>
              <w:rPr>
                <w:rtl/>
              </w:rPr>
              <w:t>: -</w:t>
            </w:r>
            <w:r w:rsidRPr="00C9040A">
              <w:rPr>
                <w:rtl/>
              </w:rPr>
              <w:t xml:space="preserve"> « في الجنّة »</w:t>
            </w:r>
            <w:r>
              <w:rPr>
                <w:rtl/>
              </w:rPr>
              <w:t>.</w:t>
            </w:r>
          </w:p>
        </w:tc>
      </w:tr>
      <w:tr w:rsidR="00E139FC" w:rsidTr="00E139FC">
        <w:tc>
          <w:tcPr>
            <w:tcW w:w="4006" w:type="dxa"/>
          </w:tcPr>
          <w:p w:rsidR="00E139FC" w:rsidRDefault="00E139FC" w:rsidP="004A4E41">
            <w:pPr>
              <w:pStyle w:val="libFootnote0"/>
              <w:rPr>
                <w:rtl/>
                <w:lang w:bidi="fa-IR"/>
              </w:rPr>
            </w:pPr>
            <w:r>
              <w:rPr>
                <w:rtl/>
              </w:rPr>
              <w:t>(12).</w:t>
            </w:r>
            <w:r w:rsidRPr="00C9040A">
              <w:rPr>
                <w:rtl/>
              </w:rPr>
              <w:t xml:space="preserve"> في « بر » والعلل </w:t>
            </w:r>
            <w:r>
              <w:rPr>
                <w:rtl/>
              </w:rPr>
              <w:t>: -</w:t>
            </w:r>
            <w:r w:rsidRPr="00C9040A">
              <w:rPr>
                <w:rtl/>
              </w:rPr>
              <w:t xml:space="preserve"> « أن »</w:t>
            </w:r>
            <w:r>
              <w:rPr>
                <w:rtl/>
              </w:rPr>
              <w:t>.</w:t>
            </w:r>
          </w:p>
        </w:tc>
        <w:tc>
          <w:tcPr>
            <w:tcW w:w="4006" w:type="dxa"/>
          </w:tcPr>
          <w:p w:rsidR="00E139FC" w:rsidRDefault="00E139FC" w:rsidP="004A4E41">
            <w:pPr>
              <w:pStyle w:val="libFootnote0"/>
              <w:rPr>
                <w:rtl/>
                <w:lang w:bidi="fa-IR"/>
              </w:rPr>
            </w:pPr>
            <w:r>
              <w:rPr>
                <w:rtl/>
              </w:rPr>
              <w:t>(13)</w:t>
            </w:r>
            <w:r w:rsidRPr="00C9040A">
              <w:rPr>
                <w:rtl/>
              </w:rPr>
              <w:t xml:space="preserve"> في العلل : + « ما بقوا »</w:t>
            </w:r>
            <w:r>
              <w:rPr>
                <w:rtl/>
              </w:rPr>
              <w:t>.</w:t>
            </w:r>
          </w:p>
        </w:tc>
      </w:tr>
      <w:tr w:rsidR="00E139FC" w:rsidTr="00E139FC">
        <w:tc>
          <w:tcPr>
            <w:tcW w:w="4006" w:type="dxa"/>
          </w:tcPr>
          <w:p w:rsidR="00E139FC" w:rsidRDefault="00E139FC" w:rsidP="004A4E41">
            <w:pPr>
              <w:pStyle w:val="libFootnote0"/>
              <w:rPr>
                <w:rtl/>
                <w:lang w:bidi="fa-IR"/>
              </w:rPr>
            </w:pPr>
            <w:r>
              <w:rPr>
                <w:rtl/>
              </w:rPr>
              <w:t>(14)</w:t>
            </w:r>
            <w:r w:rsidRPr="00C9040A">
              <w:rPr>
                <w:rtl/>
              </w:rPr>
              <w:t xml:space="preserve"> في « </w:t>
            </w:r>
            <w:r>
              <w:rPr>
                <w:rtl/>
              </w:rPr>
              <w:t xml:space="preserve">ه </w:t>
            </w:r>
            <w:r w:rsidRPr="00C9040A">
              <w:rPr>
                <w:rtl/>
              </w:rPr>
              <w:t>» : « فالنيّات »</w:t>
            </w:r>
            <w:r>
              <w:rPr>
                <w:rtl/>
              </w:rPr>
              <w:t>.</w:t>
            </w:r>
          </w:p>
        </w:tc>
        <w:tc>
          <w:tcPr>
            <w:tcW w:w="4006" w:type="dxa"/>
          </w:tcPr>
          <w:p w:rsidR="00E139FC" w:rsidRDefault="00E139FC" w:rsidP="004A4E41">
            <w:pPr>
              <w:pStyle w:val="libFootnote0"/>
              <w:rPr>
                <w:rtl/>
                <w:lang w:bidi="fa-IR"/>
              </w:rPr>
            </w:pPr>
            <w:r>
              <w:rPr>
                <w:rtl/>
              </w:rPr>
              <w:t>(15)</w:t>
            </w:r>
            <w:r w:rsidRPr="00C9040A">
              <w:rPr>
                <w:rtl/>
              </w:rPr>
              <w:t xml:space="preserve"> في العلل : « تخلد »</w:t>
            </w:r>
            <w:r>
              <w:rPr>
                <w:rtl/>
              </w:rPr>
              <w:t>.</w:t>
            </w:r>
          </w:p>
        </w:tc>
      </w:tr>
    </w:tbl>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تَلَا قَوْلَهُ تَعَالى : </w:t>
      </w:r>
      <w:r w:rsidRPr="0003660B">
        <w:rPr>
          <w:rStyle w:val="libAlaemChar"/>
          <w:rtl/>
        </w:rPr>
        <w:t>(</w:t>
      </w:r>
      <w:r w:rsidRPr="006A2246">
        <w:rPr>
          <w:rStyle w:val="libAieChar"/>
          <w:rtl/>
        </w:rPr>
        <w:t xml:space="preserve"> قُلْ كُلٌّ يَعْمَلُ عَلى شاكِلَتِهِ </w:t>
      </w:r>
      <w:r w:rsidRPr="0003660B">
        <w:rPr>
          <w:rStyle w:val="libAlaemChar"/>
          <w:rtl/>
        </w:rPr>
        <w:t>)</w:t>
      </w:r>
      <w:r w:rsidRPr="00C9040A">
        <w:rPr>
          <w:rtl/>
          <w:lang w:bidi="fa-IR"/>
        </w:rPr>
        <w:t xml:space="preserve"> </w:t>
      </w:r>
      <w:r w:rsidR="006C577F" w:rsidRPr="006C577F">
        <w:rPr>
          <w:rStyle w:val="libFootnotenumChar"/>
          <w:rtl/>
        </w:rPr>
        <w:t>(1)</w:t>
      </w:r>
      <w:r w:rsidRPr="002712F0">
        <w:rPr>
          <w:rFonts w:hint="cs"/>
          <w:rtl/>
        </w:rPr>
        <w:t xml:space="preserve"> </w:t>
      </w:r>
      <w:r w:rsidRPr="00C9040A">
        <w:rPr>
          <w:rtl/>
          <w:lang w:bidi="fa-IR"/>
        </w:rPr>
        <w:t xml:space="preserve">قَالَ </w:t>
      </w:r>
      <w:r w:rsidR="006C577F" w:rsidRPr="006C577F">
        <w:rPr>
          <w:rStyle w:val="libFootnotenumChar"/>
          <w:rtl/>
        </w:rPr>
        <w:t>(2)</w:t>
      </w:r>
      <w:r w:rsidRPr="00C9040A">
        <w:rPr>
          <w:rtl/>
          <w:lang w:bidi="fa-IR"/>
        </w:rPr>
        <w:t xml:space="preserve"> : « عَلى نِيَّتِهِ </w:t>
      </w:r>
      <w:r w:rsidR="006C577F" w:rsidRPr="006C577F">
        <w:rPr>
          <w:rStyle w:val="libFootnotenumChar"/>
          <w:rtl/>
        </w:rPr>
        <w:t>(3)</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Heading2Center"/>
        <w:rPr>
          <w:rtl/>
          <w:lang w:bidi="fa-IR"/>
        </w:rPr>
      </w:pPr>
      <w:bookmarkStart w:id="142" w:name="_Toc343795635"/>
      <w:bookmarkStart w:id="143" w:name="_Toc459810759"/>
      <w:bookmarkStart w:id="144" w:name="_Toc35348665"/>
      <w:r w:rsidRPr="00C9040A">
        <w:rPr>
          <w:rtl/>
          <w:lang w:bidi="fa-IR"/>
        </w:rPr>
        <w:t>44</w:t>
      </w:r>
      <w:r>
        <w:rPr>
          <w:rtl/>
          <w:lang w:bidi="fa-IR"/>
        </w:rPr>
        <w:t xml:space="preserve"> </w:t>
      </w:r>
      <w:r w:rsidR="0084262C">
        <w:rPr>
          <w:rtl/>
          <w:lang w:bidi="fa-IR"/>
        </w:rPr>
        <w:t>-</w:t>
      </w:r>
      <w:r>
        <w:rPr>
          <w:rtl/>
          <w:lang w:bidi="fa-IR"/>
        </w:rPr>
        <w:t xml:space="preserve"> </w:t>
      </w:r>
      <w:r w:rsidRPr="00C9040A">
        <w:rPr>
          <w:rtl/>
          <w:lang w:bidi="fa-IR"/>
        </w:rPr>
        <w:t>بَابٌ‌</w:t>
      </w:r>
      <w:bookmarkEnd w:id="142"/>
      <w:bookmarkEnd w:id="143"/>
      <w:bookmarkEnd w:id="144"/>
    </w:p>
    <w:p w:rsidR="008A74EB" w:rsidRPr="00C9040A" w:rsidRDefault="008A74EB" w:rsidP="008A74EB">
      <w:pPr>
        <w:pStyle w:val="libNormal"/>
        <w:rPr>
          <w:rtl/>
          <w:lang w:bidi="fa-IR"/>
        </w:rPr>
      </w:pPr>
      <w:r w:rsidRPr="00422A78">
        <w:rPr>
          <w:rtl/>
        </w:rPr>
        <w:t>1680</w:t>
      </w:r>
      <w:r w:rsidRPr="00261CB0">
        <w:rPr>
          <w:rStyle w:val="libBold2Char"/>
          <w:rtl/>
        </w:rPr>
        <w:t xml:space="preserve"> / 1.</w:t>
      </w:r>
      <w:r w:rsidRPr="00C9040A">
        <w:rPr>
          <w:rtl/>
          <w:lang w:bidi="fa-IR"/>
        </w:rPr>
        <w:t xml:space="preserve"> مُحَمَّدُ بْنُ يَحْيى ، عَنْ أَحْمَدَ بْنِ مُحَمَّدِ بْنِ عِيسى ، عَنِ ابْنِ مَحْبُوبٍ </w:t>
      </w:r>
      <w:r w:rsidR="00E139FC">
        <w:rPr>
          <w:rtl/>
          <w:lang w:bidi="fa-IR"/>
        </w:rPr>
        <w:t>، عَنِ الْأَحْوَلِ ، عَنْ سَل</w:t>
      </w:r>
      <w:r w:rsidR="00E139FC">
        <w:rPr>
          <w:rFonts w:hint="cs"/>
          <w:rtl/>
          <w:lang w:bidi="fa-IR"/>
        </w:rPr>
        <w:t>َّ</w:t>
      </w:r>
      <w:r w:rsidR="00E139FC">
        <w:rPr>
          <w:rtl/>
          <w:lang w:bidi="fa-IR"/>
        </w:rPr>
        <w:t>ا</w:t>
      </w:r>
      <w:r w:rsidRPr="00C9040A">
        <w:rPr>
          <w:rtl/>
          <w:lang w:bidi="fa-IR"/>
        </w:rPr>
        <w:t>مِ بْنِ الْمُسْتَنِيرِ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أَلَا إِنَّ </w:t>
      </w:r>
      <w:r w:rsidR="006C577F" w:rsidRPr="006C577F">
        <w:rPr>
          <w:rStyle w:val="libFootnotenumChar"/>
          <w:rtl/>
        </w:rPr>
        <w:t>(5)</w:t>
      </w:r>
      <w:r w:rsidRPr="00C9040A">
        <w:rPr>
          <w:rtl/>
          <w:lang w:bidi="fa-IR"/>
        </w:rPr>
        <w:t xml:space="preserve"> لِكُلِّ عِبَادَةٍ شِرَّةً </w:t>
      </w:r>
      <w:r w:rsidR="006C577F" w:rsidRPr="006C577F">
        <w:rPr>
          <w:rStyle w:val="libFootnotenumChar"/>
          <w:rtl/>
        </w:rPr>
        <w:t>(6)</w:t>
      </w:r>
      <w:r w:rsidRPr="005B567D">
        <w:rPr>
          <w:rStyle w:val="libFootnotenumChar"/>
          <w:rtl/>
        </w:rPr>
        <w:t xml:space="preserve"> </w:t>
      </w:r>
      <w:r w:rsidRPr="00C9040A">
        <w:rPr>
          <w:rtl/>
          <w:lang w:bidi="fa-IR"/>
        </w:rPr>
        <w:t xml:space="preserve">، ثُمَّ تَصِيرُ إِلى فَتْرَةٍ ، فَمَنْ صَارَتْ شِرَّةُ عِبَادَتِهِ إِلى سُنَّتِي فَقَدِ اهْتَدى ؛ وَمَنْ خَالَفَ سُنَّتِي فَقَدْ ضَلَّ ، وَكَانَ عَمَلُهُ فِي تَبَابٍ </w:t>
      </w:r>
      <w:r w:rsidR="006C577F" w:rsidRPr="006C577F">
        <w:rPr>
          <w:rStyle w:val="libFootnotenumChar"/>
          <w:rtl/>
        </w:rPr>
        <w:t>(7)</w:t>
      </w:r>
      <w:r w:rsidRPr="00C9040A">
        <w:rPr>
          <w:rtl/>
          <w:lang w:bidi="fa-IR"/>
        </w:rPr>
        <w:t xml:space="preserve"> ، أَمَا إِنِّي أُصَلِّي ، وَأَنَامُ ، وَأَصُومُ ، وَأُفْطِرُ ، وَأَضْحَكُ ، وَأَبْكِي ؛ فَمَنْ رَغِبَ عَنْ </w:t>
      </w:r>
      <w:r w:rsidR="006C577F" w:rsidRPr="006C577F">
        <w:rPr>
          <w:rStyle w:val="libFootnotenumChar"/>
          <w:rtl/>
        </w:rPr>
        <w:t>(8)</w:t>
      </w:r>
      <w:r w:rsidRPr="00C9040A">
        <w:rPr>
          <w:rtl/>
          <w:lang w:bidi="fa-IR"/>
        </w:rPr>
        <w:t xml:space="preserve"> مِنْهَاجِي وَسُنَّتِي </w:t>
      </w:r>
      <w:r w:rsidR="006C577F" w:rsidRPr="006C577F">
        <w:rPr>
          <w:rStyle w:val="libFootnotenumChar"/>
          <w:rtl/>
        </w:rPr>
        <w:t>(9)</w:t>
      </w:r>
      <w:r w:rsidRPr="00C9040A">
        <w:rPr>
          <w:rtl/>
          <w:lang w:bidi="fa-IR"/>
        </w:rPr>
        <w:t xml:space="preserve"> فَلَيْسَ مِنِّي ، وَقَالَ : كَفى </w:t>
      </w:r>
      <w:r w:rsidR="006C577F" w:rsidRPr="006C577F">
        <w:rPr>
          <w:rStyle w:val="libFootnotenumChar"/>
          <w:rtl/>
        </w:rPr>
        <w:t>(10)</w:t>
      </w:r>
      <w:r w:rsidRPr="00C9040A">
        <w:rPr>
          <w:rtl/>
          <w:lang w:bidi="fa-IR"/>
        </w:rPr>
        <w:t xml:space="preserve"> بِالْمَوْتِ مَوْعِظَةً ، وَكَفى‌</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E139FC" w:rsidTr="00E139FC">
        <w:tc>
          <w:tcPr>
            <w:tcW w:w="4006" w:type="dxa"/>
          </w:tcPr>
          <w:p w:rsidR="00E139FC" w:rsidRDefault="00E139FC" w:rsidP="004A4E41">
            <w:pPr>
              <w:pStyle w:val="libFootnote0"/>
              <w:rPr>
                <w:rtl/>
              </w:rPr>
            </w:pPr>
            <w:r>
              <w:rPr>
                <w:rtl/>
              </w:rPr>
              <w:t>(1).</w:t>
            </w:r>
            <w:r w:rsidRPr="00C9040A">
              <w:rPr>
                <w:rtl/>
              </w:rPr>
              <w:t xml:space="preserve"> الإسراء (17) : 84.</w:t>
            </w:r>
          </w:p>
        </w:tc>
        <w:tc>
          <w:tcPr>
            <w:tcW w:w="4006" w:type="dxa"/>
          </w:tcPr>
          <w:p w:rsidR="00E139FC" w:rsidRDefault="00E139FC" w:rsidP="004A4E41">
            <w:pPr>
              <w:pStyle w:val="libFootnote0"/>
              <w:rPr>
                <w:rtl/>
              </w:rPr>
            </w:pPr>
            <w:r>
              <w:rPr>
                <w:rtl/>
              </w:rPr>
              <w:t xml:space="preserve">(2). </w:t>
            </w:r>
            <w:r w:rsidRPr="00C9040A">
              <w:rPr>
                <w:rtl/>
              </w:rPr>
              <w:t>في المحاسن : « أي »</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في </w:t>
      </w:r>
      <w:r w:rsidR="008A74EB" w:rsidRPr="00993B55">
        <w:rPr>
          <w:rStyle w:val="libFootnoteBoldChar"/>
          <w:rtl/>
        </w:rPr>
        <w:t>مرآة العقول</w:t>
      </w:r>
      <w:r w:rsidR="008A74EB" w:rsidRPr="00C9040A">
        <w:rPr>
          <w:rtl/>
        </w:rPr>
        <w:t xml:space="preserve"> ، ج 8 ، ص 104 : « وكأنّ الاستشهاد بالآية مبنيّ على ما حقّقنا سابقاً أنّ المدار في الأعمال على النيّة التابعة للحالة التي اتّصفت النفس بها من العقائد والأخلاق الحسنة والسيّئة ، فإذا كانت النفس على العقائد الثابتة والأخلاق الحسنة الراسخة التي لايتخلّف عنها الأعمال الصالحة الكاملة لو بقي في الدنيا أبداً ، فبتلك الشاكلة والحالة استحقّ الخلود في الجنّة ، وإذا كانت على العقائد الباطلة والأخلاق الرديّة التي علم الله تعالى أنّه لو بقي في الدنيا أبداً لعصى الله تعالى دائماً ؛ فبتلك الشاكلة استحقّ الخلود في النار ، لا بالأعمال التي لم يعملها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المحاسن</w:t>
      </w:r>
      <w:r w:rsidR="008A74EB" w:rsidRPr="00C9040A">
        <w:rPr>
          <w:rtl/>
        </w:rPr>
        <w:t xml:space="preserve"> ، ص 330 ، كتاب العلل ، ح 94 ؛ و</w:t>
      </w:r>
      <w:r w:rsidR="008A74EB" w:rsidRPr="00993B55">
        <w:rPr>
          <w:rStyle w:val="libFootnoteBoldChar"/>
          <w:rtl/>
        </w:rPr>
        <w:t>علل الشرائع</w:t>
      </w:r>
      <w:r w:rsidR="008A74EB" w:rsidRPr="00C9040A">
        <w:rPr>
          <w:rtl/>
        </w:rPr>
        <w:t xml:space="preserve"> ، ص 523 ، ح 1 ، بسندهما عن القاسم بن محمّد. </w:t>
      </w:r>
      <w:r w:rsidR="008A74EB" w:rsidRPr="00993B55">
        <w:rPr>
          <w:rStyle w:val="libFootnoteBoldChar"/>
          <w:rtl/>
        </w:rPr>
        <w:t>تفسير العيّاشي</w:t>
      </w:r>
      <w:r w:rsidR="008A74EB" w:rsidRPr="00C9040A">
        <w:rPr>
          <w:rtl/>
        </w:rPr>
        <w:t xml:space="preserve"> ، ج 2 ، ص 316 ، ح 158 ، عن أبي هاشم. وراجع : </w:t>
      </w:r>
      <w:r w:rsidR="008A74EB" w:rsidRPr="00993B55">
        <w:rPr>
          <w:rStyle w:val="libFootnoteBoldChar"/>
          <w:rtl/>
        </w:rPr>
        <w:t>الكافى</w:t>
      </w:r>
      <w:r w:rsidR="008A74EB" w:rsidRPr="00C9040A">
        <w:rPr>
          <w:rtl/>
        </w:rPr>
        <w:t xml:space="preserve"> ، كتاب الإيمان والكفر ، باب الإخلاص ، ح 1485 </w:t>
      </w:r>
      <w:r w:rsidR="00E139FC">
        <w:rPr>
          <w:rFonts w:hint="cs"/>
          <w:rtl/>
        </w:rPr>
        <w:t>.</w:t>
      </w:r>
      <w:r w:rsidR="008A74EB" w:rsidRPr="00993B55">
        <w:rPr>
          <w:rStyle w:val="libFootnoteBoldChar"/>
          <w:rtl/>
        </w:rPr>
        <w:t>الوافي</w:t>
      </w:r>
      <w:r w:rsidR="008A74EB" w:rsidRPr="00C9040A">
        <w:rPr>
          <w:rtl/>
        </w:rPr>
        <w:t xml:space="preserve"> ، ج 4 ، ص 369 ، ح 2139 ؛ </w:t>
      </w:r>
      <w:r w:rsidR="008A74EB" w:rsidRPr="00993B55">
        <w:rPr>
          <w:rStyle w:val="libFootnoteBoldChar"/>
          <w:rtl/>
        </w:rPr>
        <w:t>الوسائل</w:t>
      </w:r>
      <w:r w:rsidR="008A74EB" w:rsidRPr="00C9040A">
        <w:rPr>
          <w:rtl/>
        </w:rPr>
        <w:t xml:space="preserve"> ، ج 1 ، ص 50 ، ح 96 ؛ </w:t>
      </w:r>
      <w:r w:rsidR="008A74EB" w:rsidRPr="00993B55">
        <w:rPr>
          <w:rStyle w:val="libFootnoteBoldChar"/>
          <w:rtl/>
        </w:rPr>
        <w:t>البحار</w:t>
      </w:r>
      <w:r w:rsidR="008A74EB" w:rsidRPr="00C9040A">
        <w:rPr>
          <w:rtl/>
        </w:rPr>
        <w:t xml:space="preserve"> ، ج 70 ، ص 201 ، ح 5.</w:t>
      </w:r>
      <w:r w:rsidR="00E139FC">
        <w:rPr>
          <w:rFonts w:hint="cs"/>
          <w:rtl/>
        </w:rPr>
        <w:t xml:space="preserve">             </w:t>
      </w:r>
      <w:r>
        <w:rPr>
          <w:rtl/>
        </w:rPr>
        <w:t>(5).</w:t>
      </w:r>
      <w:r w:rsidR="008A74EB" w:rsidRPr="00C9040A">
        <w:rPr>
          <w:rtl/>
        </w:rPr>
        <w:t xml:space="preserve"> في « ب » </w:t>
      </w:r>
      <w:r w:rsidR="008A74EB">
        <w:rPr>
          <w:rtl/>
        </w:rPr>
        <w:t xml:space="preserve">: </w:t>
      </w:r>
      <w:r w:rsidR="0084262C">
        <w:rPr>
          <w:rtl/>
        </w:rPr>
        <w:t>-</w:t>
      </w:r>
      <w:r w:rsidR="008A74EB" w:rsidRPr="00C9040A">
        <w:rPr>
          <w:rtl/>
        </w:rPr>
        <w:t xml:space="preserve"> « إنّ »</w:t>
      </w:r>
      <w:r w:rsidR="008A74EB">
        <w:rPr>
          <w:rtl/>
        </w:rPr>
        <w:t>.</w:t>
      </w:r>
      <w:r w:rsidR="008A74EB" w:rsidRPr="00C9040A">
        <w:rPr>
          <w:rtl/>
        </w:rPr>
        <w:t xml:space="preserve"> وفي « ف » : « وإنّ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 الشِّرَّة » : النَّشاط والرغبة. </w:t>
      </w:r>
      <w:r w:rsidR="008A74EB" w:rsidRPr="00993B55">
        <w:rPr>
          <w:rStyle w:val="libFootnoteBoldChar"/>
          <w:rtl/>
        </w:rPr>
        <w:t>النهاية</w:t>
      </w:r>
      <w:r w:rsidR="008A74EB" w:rsidRPr="00C9040A">
        <w:rPr>
          <w:rtl/>
        </w:rPr>
        <w:t xml:space="preserve"> ، ج 2 ، ص 458 ( شرر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ص ، ف ، بس » وحاشية « ب ، ج ، د ، </w:t>
      </w:r>
      <w:r w:rsidR="006D3162">
        <w:rPr>
          <w:rtl/>
        </w:rPr>
        <w:t xml:space="preserve">ه </w:t>
      </w:r>
      <w:r w:rsidR="008A74EB" w:rsidRPr="00C9040A">
        <w:rPr>
          <w:rtl/>
        </w:rPr>
        <w:t>، بر ، بف » والوسائل ، ح 268 : « تبار »</w:t>
      </w:r>
      <w:r w:rsidR="008A74EB">
        <w:rPr>
          <w:rtl/>
        </w:rPr>
        <w:t>.</w:t>
      </w:r>
      <w:r w:rsidR="008A74EB" w:rsidRPr="00C9040A">
        <w:rPr>
          <w:rtl/>
        </w:rPr>
        <w:t xml:space="preserve"> </w:t>
      </w:r>
      <w:r w:rsidR="008A74EB">
        <w:rPr>
          <w:rtl/>
        </w:rPr>
        <w:t>و «</w:t>
      </w:r>
      <w:r w:rsidR="008A74EB" w:rsidRPr="00C9040A">
        <w:rPr>
          <w:rtl/>
        </w:rPr>
        <w:t xml:space="preserve"> التباب » : الهلاك‌</w:t>
      </w:r>
      <w:r w:rsidR="00375DA9">
        <w:rPr>
          <w:rFonts w:hint="cs"/>
          <w:rtl/>
        </w:rPr>
        <w:t xml:space="preserve"> </w:t>
      </w:r>
      <w:r w:rsidR="008A74EB" w:rsidRPr="00C9040A">
        <w:rPr>
          <w:rtl/>
        </w:rPr>
        <w:t xml:space="preserve">والخسران. </w:t>
      </w:r>
      <w:r w:rsidR="008A74EB" w:rsidRPr="00993B55">
        <w:rPr>
          <w:rStyle w:val="libFootnoteBoldChar"/>
          <w:rtl/>
        </w:rPr>
        <w:t>الصحاح</w:t>
      </w:r>
      <w:r w:rsidR="008A74EB" w:rsidRPr="00C9040A">
        <w:rPr>
          <w:rtl/>
        </w:rPr>
        <w:t xml:space="preserve"> ، ج 1 ، ص 90 ( تبب )</w:t>
      </w:r>
      <w:r w:rsidR="008A74EB">
        <w:rPr>
          <w:rtl/>
        </w:rPr>
        <w:t>.</w:t>
      </w:r>
    </w:p>
    <w:p w:rsidR="008A74EB" w:rsidRPr="004A4E41" w:rsidRDefault="006C577F" w:rsidP="004A4E41">
      <w:pPr>
        <w:pStyle w:val="libFootnote0"/>
        <w:rPr>
          <w:rStyle w:val="libFootnote0Char"/>
          <w:rtl/>
        </w:rPr>
      </w:pPr>
      <w:r>
        <w:rPr>
          <w:rtl/>
        </w:rPr>
        <w:t>(8).</w:t>
      </w:r>
      <w:r w:rsidR="008A74EB" w:rsidRPr="00C9040A">
        <w:rPr>
          <w:rtl/>
        </w:rPr>
        <w:t xml:space="preserve"> « رغب عنه » : لم يرده. </w:t>
      </w:r>
      <w:r w:rsidR="008A74EB" w:rsidRPr="00993B55">
        <w:rPr>
          <w:rStyle w:val="libFootnoteBoldChar"/>
          <w:rtl/>
        </w:rPr>
        <w:t>القاموس المحيط</w:t>
      </w:r>
      <w:r w:rsidR="008A74EB" w:rsidRPr="00C9040A">
        <w:rPr>
          <w:rtl/>
        </w:rPr>
        <w:t xml:space="preserve"> ، ج 1 ، ص 169 ( رغب )</w:t>
      </w:r>
      <w:r w:rsidR="008A74EB">
        <w:rPr>
          <w:rtl/>
        </w:rPr>
        <w:t>.</w:t>
      </w:r>
    </w:p>
    <w:tbl>
      <w:tblPr>
        <w:tblStyle w:val="TableGrid"/>
        <w:bidiVisual/>
        <w:tblW w:w="0" w:type="auto"/>
        <w:tblLook w:val="04A0" w:firstRow="1" w:lastRow="0" w:firstColumn="1" w:lastColumn="0" w:noHBand="0" w:noVBand="1"/>
      </w:tblPr>
      <w:tblGrid>
        <w:gridCol w:w="4006"/>
        <w:gridCol w:w="4006"/>
      </w:tblGrid>
      <w:tr w:rsidR="00375DA9" w:rsidTr="00375DA9">
        <w:tc>
          <w:tcPr>
            <w:tcW w:w="4006" w:type="dxa"/>
          </w:tcPr>
          <w:p w:rsidR="00375DA9" w:rsidRDefault="00375DA9" w:rsidP="004A4E41">
            <w:pPr>
              <w:pStyle w:val="libFootnote0"/>
              <w:rPr>
                <w:rtl/>
              </w:rPr>
            </w:pPr>
            <w:r>
              <w:rPr>
                <w:rtl/>
              </w:rPr>
              <w:t>(9).</w:t>
            </w:r>
            <w:r w:rsidRPr="00C9040A">
              <w:rPr>
                <w:rtl/>
              </w:rPr>
              <w:t xml:space="preserve"> في « ز ، ص » : « عن باب سنّتي ومنهاجي »</w:t>
            </w:r>
            <w:r>
              <w:rPr>
                <w:rtl/>
              </w:rPr>
              <w:t>.</w:t>
            </w:r>
          </w:p>
        </w:tc>
        <w:tc>
          <w:tcPr>
            <w:tcW w:w="4006" w:type="dxa"/>
          </w:tcPr>
          <w:p w:rsidR="00375DA9" w:rsidRDefault="00375DA9" w:rsidP="004A4E41">
            <w:pPr>
              <w:pStyle w:val="libFootnote0"/>
              <w:rPr>
                <w:rtl/>
              </w:rPr>
            </w:pPr>
            <w:r>
              <w:rPr>
                <w:rtl/>
              </w:rPr>
              <w:t>(10).</w:t>
            </w:r>
            <w:r w:rsidRPr="00C9040A">
              <w:rPr>
                <w:rtl/>
              </w:rPr>
              <w:t xml:space="preserve"> في « ز » : « وكفى »</w:t>
            </w:r>
            <w:r>
              <w:rPr>
                <w:rtl/>
              </w:rPr>
              <w:t>.</w:t>
            </w:r>
          </w:p>
        </w:tc>
      </w:tr>
    </w:tbl>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بِالْيَقِينِ غِنًى ، وَكَفى بِالْعِبَادَةِ شُغُلاً »</w:t>
      </w:r>
      <w:r>
        <w:rPr>
          <w:rtl/>
          <w:lang w:bidi="fa-IR"/>
        </w:rPr>
        <w:t>.</w:t>
      </w:r>
      <w:r w:rsidRPr="00C9040A">
        <w:rPr>
          <w:rtl/>
          <w:lang w:bidi="fa-IR"/>
        </w:rPr>
        <w:t xml:space="preserve"> </w:t>
      </w:r>
      <w:r w:rsidR="006C577F" w:rsidRPr="006C577F">
        <w:rPr>
          <w:rStyle w:val="libFootnotenumChar"/>
          <w:rtl/>
        </w:rPr>
        <w:t>(1)</w:t>
      </w:r>
      <w:r w:rsidRPr="00C9040A">
        <w:rPr>
          <w:rtl/>
          <w:lang w:bidi="fa-IR"/>
        </w:rPr>
        <w:t>‌</w:t>
      </w:r>
    </w:p>
    <w:p w:rsidR="008A74EB" w:rsidRPr="00C9040A" w:rsidRDefault="008A74EB" w:rsidP="008A74EB">
      <w:pPr>
        <w:pStyle w:val="libNormal"/>
        <w:rPr>
          <w:rtl/>
          <w:lang w:bidi="fa-IR"/>
        </w:rPr>
      </w:pPr>
      <w:r w:rsidRPr="003E7EE9">
        <w:rPr>
          <w:rtl/>
        </w:rPr>
        <w:t>1681</w:t>
      </w:r>
      <w:r w:rsidRPr="00261CB0">
        <w:rPr>
          <w:rStyle w:val="libBold2Char"/>
          <w:rtl/>
        </w:rPr>
        <w:t xml:space="preserve"> / 2.</w:t>
      </w:r>
      <w:r w:rsidRPr="00C9040A">
        <w:rPr>
          <w:rtl/>
          <w:lang w:bidi="fa-IR"/>
        </w:rPr>
        <w:t xml:space="preserve"> عِدَّةٌ مِنْ أَصْحَابِنَا ، عَنْ سَهْلِ بْنِ زِيَادٍ ، عَنِ الْحَجَّالِ ، عَنْ ثَعْلَبَةَ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لِكُلِّ أَحَدٍ شِرَّةٌ ، وَلِكُلِّ شِرَّةٍ فَتْرَةٌ ، فَطُوبى لِمَنْ كَانَتْ فَتْرَتُهُ إِلى خَيْرٍ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Heading2Center"/>
        <w:rPr>
          <w:rtl/>
          <w:lang w:bidi="fa-IR"/>
        </w:rPr>
      </w:pPr>
      <w:bookmarkStart w:id="145" w:name="_Toc343795636"/>
      <w:bookmarkStart w:id="146" w:name="_Toc459810760"/>
      <w:bookmarkStart w:id="147" w:name="_Toc35348666"/>
      <w:r w:rsidRPr="00C9040A">
        <w:rPr>
          <w:rtl/>
          <w:lang w:bidi="fa-IR"/>
        </w:rPr>
        <w:t>45</w:t>
      </w:r>
      <w:r>
        <w:rPr>
          <w:rtl/>
          <w:lang w:bidi="fa-IR"/>
        </w:rPr>
        <w:t xml:space="preserve"> </w:t>
      </w:r>
      <w:r w:rsidR="0084262C">
        <w:rPr>
          <w:rtl/>
          <w:lang w:bidi="fa-IR"/>
        </w:rPr>
        <w:t>-</w:t>
      </w:r>
      <w:r>
        <w:rPr>
          <w:rtl/>
          <w:lang w:bidi="fa-IR"/>
        </w:rPr>
        <w:t xml:space="preserve"> </w:t>
      </w:r>
      <w:r w:rsidRPr="00C9040A">
        <w:rPr>
          <w:rtl/>
          <w:lang w:bidi="fa-IR"/>
        </w:rPr>
        <w:t>بَابُ الِاقْتِصَادِ فِي الْعِبَادَةِ‌</w:t>
      </w:r>
      <w:bookmarkEnd w:id="145"/>
      <w:bookmarkEnd w:id="146"/>
      <w:bookmarkEnd w:id="147"/>
    </w:p>
    <w:p w:rsidR="008A74EB" w:rsidRPr="00C9040A" w:rsidRDefault="008A74EB" w:rsidP="008A74EB">
      <w:pPr>
        <w:pStyle w:val="libNormal"/>
        <w:rPr>
          <w:rtl/>
          <w:lang w:bidi="fa-IR"/>
        </w:rPr>
      </w:pPr>
      <w:r w:rsidRPr="003E7EE9">
        <w:rPr>
          <w:rtl/>
        </w:rPr>
        <w:t>1682</w:t>
      </w:r>
      <w:r w:rsidRPr="00261CB0">
        <w:rPr>
          <w:rStyle w:val="libBold2Char"/>
          <w:rtl/>
        </w:rPr>
        <w:t xml:space="preserve"> / 1.</w:t>
      </w:r>
      <w:r w:rsidRPr="00C9040A">
        <w:rPr>
          <w:rtl/>
          <w:lang w:bidi="fa-IR"/>
        </w:rPr>
        <w:t xml:space="preserve"> مُحَمَّدُ بْنُ يَحْيى ، عَنْ أَحْمَدَ بْنِ مُحَمَّدِ بْنِ عِيسى ، عَنْ مُحَمَّدِ بْنِ سِنَانٍ ، عَنْ أَبِي الْجَارُودِ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إِنَّ هذَا الدِّينَ مَتِينٌ ؛ فَأَوْغِلُوا فِيهِ بِرِفْقٍ ، وَلَا تُكَرِّهُوا عِبَادَةَ اللهِ إِلى عِبَادِ اللهِ </w:t>
      </w:r>
      <w:r w:rsidR="006C577F" w:rsidRPr="006C577F">
        <w:rPr>
          <w:rStyle w:val="libFootnotenumChar"/>
          <w:rtl/>
        </w:rPr>
        <w:t>(3)</w:t>
      </w:r>
      <w:r w:rsidRPr="00C9040A">
        <w:rPr>
          <w:rtl/>
          <w:lang w:bidi="fa-IR"/>
        </w:rPr>
        <w:t xml:space="preserve"> ؛ فَتَكُونُوا كَالرَّاكِبِ الْمُنْبَتِّ </w:t>
      </w:r>
      <w:r w:rsidR="006C577F" w:rsidRPr="006C577F">
        <w:rPr>
          <w:rStyle w:val="libFootnotenumChar"/>
          <w:rtl/>
        </w:rPr>
        <w:t>(4)</w:t>
      </w:r>
      <w:r w:rsidRPr="00C9040A">
        <w:rPr>
          <w:rtl/>
          <w:lang w:bidi="fa-IR"/>
        </w:rPr>
        <w:t xml:space="preserve"> الَّذِي لَاسَفَراً قَطَعَ ، وَلَا ظَهْراً </w:t>
      </w:r>
      <w:r w:rsidR="006C577F" w:rsidRPr="006C577F">
        <w:rPr>
          <w:rStyle w:val="libFootnotenumChar"/>
          <w:rtl/>
        </w:rPr>
        <w:t>(5)</w:t>
      </w:r>
      <w:r w:rsidRPr="00C9040A">
        <w:rPr>
          <w:rtl/>
          <w:lang w:bidi="fa-IR"/>
        </w:rPr>
        <w:t xml:space="preserve"> أَبْقى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w:t>
      </w:r>
      <w:r w:rsidR="008A74EB" w:rsidRPr="00993B55">
        <w:rPr>
          <w:rStyle w:val="libFootnoteBoldChar"/>
          <w:rtl/>
        </w:rPr>
        <w:t>المحاسن</w:t>
      </w:r>
      <w:r w:rsidR="008A74EB" w:rsidRPr="00C9040A">
        <w:rPr>
          <w:rtl/>
        </w:rPr>
        <w:t xml:space="preserve"> ، ص 247 ، </w:t>
      </w:r>
      <w:r w:rsidR="008A74EB" w:rsidRPr="00375DA9">
        <w:rPr>
          <w:rStyle w:val="libFootnoteBoldChar"/>
          <w:rtl/>
        </w:rPr>
        <w:t>كتاب مصابيح الظلم</w:t>
      </w:r>
      <w:r w:rsidR="008A74EB" w:rsidRPr="00C9040A">
        <w:rPr>
          <w:rtl/>
        </w:rPr>
        <w:t xml:space="preserve"> ، ح 251 ، بسند آخر عن أبي عبد الله </w:t>
      </w:r>
      <w:r w:rsidR="00117575" w:rsidRPr="00117575">
        <w:rPr>
          <w:rStyle w:val="libFootnoteAlaemChar"/>
          <w:rtl/>
        </w:rPr>
        <w:t>عليه‌السلام</w:t>
      </w:r>
      <w:r w:rsidR="008A74EB" w:rsidRPr="00C9040A">
        <w:rPr>
          <w:rtl/>
        </w:rPr>
        <w:t xml:space="preserve"> ، وتمام الرواية هكذا : « كفى باليقين غنى وبالعبادة شغلاً »</w:t>
      </w:r>
      <w:r w:rsidR="008A74EB">
        <w:rPr>
          <w:rtl/>
        </w:rPr>
        <w:t>.</w:t>
      </w:r>
      <w:r w:rsidR="008A74EB" w:rsidRPr="00C9040A">
        <w:rPr>
          <w:rtl/>
        </w:rPr>
        <w:t xml:space="preserve"> راجع : </w:t>
      </w:r>
      <w:r w:rsidR="008A74EB" w:rsidRPr="00993B55">
        <w:rPr>
          <w:rStyle w:val="libFootnoteBoldChar"/>
          <w:rtl/>
        </w:rPr>
        <w:t>الكافي</w:t>
      </w:r>
      <w:r w:rsidR="008A74EB" w:rsidRPr="00C9040A">
        <w:rPr>
          <w:rtl/>
        </w:rPr>
        <w:t xml:space="preserve"> ، كتاب الإيمان والكفر ، باب الذنوب ، ح 2438 ؛ </w:t>
      </w:r>
      <w:r w:rsidR="008A74EB" w:rsidRPr="00AC2E2F">
        <w:rPr>
          <w:rStyle w:val="libFootnoteBoldChar"/>
          <w:rtl/>
        </w:rPr>
        <w:t>والأمالي للطوسي</w:t>
      </w:r>
      <w:r w:rsidR="008A74EB" w:rsidRPr="00C9040A">
        <w:rPr>
          <w:rtl/>
        </w:rPr>
        <w:t xml:space="preserve"> ، ص 27 ، المجلس 1 ، ح 31 ؛ </w:t>
      </w:r>
      <w:r w:rsidR="008A74EB" w:rsidRPr="00375DA9">
        <w:rPr>
          <w:rStyle w:val="libFootnoteBoldChar"/>
          <w:rtl/>
        </w:rPr>
        <w:t>و</w:t>
      </w:r>
      <w:r w:rsidR="008A74EB" w:rsidRPr="00993B55">
        <w:rPr>
          <w:rStyle w:val="libFootnoteBoldChar"/>
          <w:rtl/>
        </w:rPr>
        <w:t>الغارات</w:t>
      </w:r>
      <w:r w:rsidR="008A74EB" w:rsidRPr="00C9040A">
        <w:rPr>
          <w:rtl/>
        </w:rPr>
        <w:t xml:space="preserve"> ، ج 1 ، ص 148 ؛ و</w:t>
      </w:r>
      <w:r w:rsidR="008A74EB" w:rsidRPr="00993B55">
        <w:rPr>
          <w:rStyle w:val="libFootnoteBoldChar"/>
          <w:rtl/>
        </w:rPr>
        <w:t>فقه الرضا</w:t>
      </w:r>
      <w:r w:rsidR="008A74EB" w:rsidRPr="00C9040A">
        <w:rPr>
          <w:rtl/>
        </w:rPr>
        <w:t xml:space="preserve"> </w:t>
      </w:r>
      <w:r w:rsidR="00117575" w:rsidRPr="00117575">
        <w:rPr>
          <w:rStyle w:val="libFootnoteAlaemChar"/>
          <w:rtl/>
        </w:rPr>
        <w:t>عليه‌السلام</w:t>
      </w:r>
      <w:r w:rsidR="008A74EB" w:rsidRPr="00C9040A">
        <w:rPr>
          <w:rtl/>
        </w:rPr>
        <w:t xml:space="preserve"> ص 381 ؛ و</w:t>
      </w:r>
      <w:r w:rsidR="008A74EB" w:rsidRPr="00993B55">
        <w:rPr>
          <w:rStyle w:val="libFootnoteBoldChar"/>
          <w:rtl/>
        </w:rPr>
        <w:t>تحف العقول</w:t>
      </w:r>
      <w:r w:rsidR="008A74EB" w:rsidRPr="00C9040A">
        <w:rPr>
          <w:rtl/>
        </w:rPr>
        <w:t xml:space="preserve"> ، ص 35 ؛ و</w:t>
      </w:r>
      <w:r w:rsidR="008A74EB" w:rsidRPr="00993B55">
        <w:rPr>
          <w:rStyle w:val="libFootnoteBoldChar"/>
          <w:rtl/>
        </w:rPr>
        <w:t>مصباح الشريعة</w:t>
      </w:r>
      <w:r w:rsidR="008A74EB" w:rsidRPr="00C9040A">
        <w:rPr>
          <w:rtl/>
        </w:rPr>
        <w:t xml:space="preserve"> ، ص 113 ، الباب 53 </w:t>
      </w:r>
      <w:r w:rsidR="00375DA9">
        <w:rPr>
          <w:rFonts w:hint="cs"/>
          <w:rtl/>
        </w:rPr>
        <w:t>.</w:t>
      </w:r>
      <w:r w:rsidR="008A74EB" w:rsidRPr="00993B55">
        <w:rPr>
          <w:rStyle w:val="libFootnoteBoldChar"/>
          <w:rtl/>
        </w:rPr>
        <w:t>الوافي</w:t>
      </w:r>
      <w:r w:rsidR="008A74EB" w:rsidRPr="00C9040A">
        <w:rPr>
          <w:rtl/>
        </w:rPr>
        <w:t xml:space="preserve"> ، ج 1 ، ص 300 ، ح 243 ؛ وج 4 ، ص 356 ، ح 2116 ؛ </w:t>
      </w:r>
      <w:r w:rsidR="008A74EB" w:rsidRPr="00993B55">
        <w:rPr>
          <w:rStyle w:val="libFootnoteBoldChar"/>
          <w:rtl/>
        </w:rPr>
        <w:t>الوسائل</w:t>
      </w:r>
      <w:r w:rsidR="008A74EB" w:rsidRPr="00C9040A">
        <w:rPr>
          <w:rtl/>
        </w:rPr>
        <w:t xml:space="preserve"> ، ج 1 ، ص 83 ، ح 194 ، وفي الأخيرين من قوله : « كفى بالموت » ؛ وص 109 ، ح 268 ؛ </w:t>
      </w:r>
      <w:r w:rsidR="008A74EB" w:rsidRPr="00993B55">
        <w:rPr>
          <w:rStyle w:val="libFootnoteBoldChar"/>
          <w:rtl/>
        </w:rPr>
        <w:t>البحار</w:t>
      </w:r>
      <w:r w:rsidR="008A74EB" w:rsidRPr="00C9040A">
        <w:rPr>
          <w:rtl/>
        </w:rPr>
        <w:t xml:space="preserve"> ، ج 71 ، ص 209 ، ح 1.</w:t>
      </w:r>
    </w:p>
    <w:p w:rsidR="008A74EB" w:rsidRPr="00C9040A" w:rsidRDefault="006C577F" w:rsidP="00AC2E2F">
      <w:pPr>
        <w:pStyle w:val="libFootnote0"/>
        <w:rPr>
          <w:rtl/>
          <w:lang w:bidi="fa-IR"/>
        </w:rPr>
      </w:pPr>
      <w:r>
        <w:rPr>
          <w:rtl/>
        </w:rPr>
        <w:t>(2).</w:t>
      </w:r>
      <w:r w:rsidR="008A74EB">
        <w:rPr>
          <w:rtl/>
        </w:rPr>
        <w:t xml:space="preserve"> </w:t>
      </w:r>
      <w:r w:rsidR="008A74EB" w:rsidRPr="00993B55">
        <w:rPr>
          <w:rStyle w:val="libFootnoteBoldChar"/>
          <w:rtl/>
        </w:rPr>
        <w:t>الكافي</w:t>
      </w:r>
      <w:r w:rsidR="008A74EB" w:rsidRPr="00C9040A">
        <w:rPr>
          <w:rtl/>
        </w:rPr>
        <w:t xml:space="preserve"> ، كتاب التوحيد ، باب الأخذ بالسنّة وشواهد الكتاب ، ح 212 ، بسند آخر عن أبي جعفر </w:t>
      </w:r>
      <w:r w:rsidR="00117575" w:rsidRPr="00117575">
        <w:rPr>
          <w:rStyle w:val="libFootnoteAlaemChar"/>
          <w:rtl/>
        </w:rPr>
        <w:t>عليه‌السلام</w:t>
      </w:r>
      <w:r w:rsidR="008A74EB" w:rsidRPr="00C9040A">
        <w:rPr>
          <w:rtl/>
        </w:rPr>
        <w:t xml:space="preserve"> ، مع اختلاف </w:t>
      </w:r>
      <w:r w:rsidR="00375DA9">
        <w:rPr>
          <w:rFonts w:hint="cs"/>
          <w:rtl/>
        </w:rPr>
        <w:t>.</w:t>
      </w:r>
      <w:r w:rsidR="008A74EB" w:rsidRPr="00993B55">
        <w:rPr>
          <w:rStyle w:val="libFootnoteBoldChar"/>
          <w:rtl/>
        </w:rPr>
        <w:t>الوافي</w:t>
      </w:r>
      <w:r w:rsidR="008A74EB" w:rsidRPr="00C9040A">
        <w:rPr>
          <w:rtl/>
        </w:rPr>
        <w:t xml:space="preserve"> ، ج 1 ، ص 300 ، ح 242 ؛ </w:t>
      </w:r>
      <w:r w:rsidR="008A74EB" w:rsidRPr="00993B55">
        <w:rPr>
          <w:rStyle w:val="libFootnoteBoldChar"/>
          <w:rtl/>
        </w:rPr>
        <w:t>البحار</w:t>
      </w:r>
      <w:r w:rsidR="008A74EB" w:rsidRPr="00C9040A">
        <w:rPr>
          <w:rtl/>
        </w:rPr>
        <w:t xml:space="preserve"> ، ج 71 ، ص 211 ، ح 2.</w:t>
      </w:r>
    </w:p>
    <w:p w:rsidR="008A74EB" w:rsidRPr="00C9040A" w:rsidRDefault="006C577F" w:rsidP="004A4E41">
      <w:pPr>
        <w:pStyle w:val="libFootnote0"/>
        <w:rPr>
          <w:rtl/>
          <w:lang w:bidi="fa-IR"/>
        </w:rPr>
      </w:pPr>
      <w:r>
        <w:rPr>
          <w:rtl/>
        </w:rPr>
        <w:t>(3).</w:t>
      </w:r>
      <w:r w:rsidR="008A74EB" w:rsidRPr="00C9040A">
        <w:rPr>
          <w:rtl/>
        </w:rPr>
        <w:t xml:space="preserve"> في « ف » : « عباد الله إلى عبادته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 البَتّ » : القطع المستأصل. </w:t>
      </w:r>
      <w:r w:rsidR="008A74EB">
        <w:rPr>
          <w:rtl/>
        </w:rPr>
        <w:t>و «</w:t>
      </w:r>
      <w:r w:rsidR="00375DA9">
        <w:rPr>
          <w:rtl/>
        </w:rPr>
        <w:t xml:space="preserve"> الم</w:t>
      </w:r>
      <w:r w:rsidR="00375DA9">
        <w:rPr>
          <w:rFonts w:hint="cs"/>
          <w:rtl/>
        </w:rPr>
        <w:t>ـُ</w:t>
      </w:r>
      <w:r w:rsidR="008A74EB" w:rsidRPr="00C9040A">
        <w:rPr>
          <w:rtl/>
        </w:rPr>
        <w:t xml:space="preserve">نبَتّ » : الذي أتعب دابّته حتّى عطب ظهرُه وبقي منقطعاً به. </w:t>
      </w:r>
      <w:r w:rsidR="008A74EB" w:rsidRPr="00993B55">
        <w:rPr>
          <w:rStyle w:val="libFootnoteBoldChar"/>
          <w:rtl/>
        </w:rPr>
        <w:t>لسان العرب</w:t>
      </w:r>
      <w:r w:rsidR="008A74EB" w:rsidRPr="00C9040A">
        <w:rPr>
          <w:rtl/>
        </w:rPr>
        <w:t xml:space="preserve"> ، ج 2 ، ص 7 ( بتت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w:t>
      </w:r>
      <w:r w:rsidR="008A74EB" w:rsidRPr="00993B55">
        <w:rPr>
          <w:rStyle w:val="libFootnoteBoldChar"/>
          <w:rtl/>
        </w:rPr>
        <w:t>الوافي</w:t>
      </w:r>
      <w:r w:rsidR="008A74EB" w:rsidRPr="00C9040A">
        <w:rPr>
          <w:rtl/>
        </w:rPr>
        <w:t xml:space="preserve"> : « الظهر : المركب ؛ يريد أنّه بقي في طريقه عاجزاً عن مقصده لم يقض وطره وقد أعطب مركبه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الوافي</w:t>
      </w:r>
      <w:r w:rsidR="008A74EB" w:rsidRPr="00C9040A">
        <w:rPr>
          <w:rtl/>
        </w:rPr>
        <w:t xml:space="preserve"> ، ج 4 ، ص 359 ، ح 2124 ؛ </w:t>
      </w:r>
      <w:r w:rsidR="008A74EB" w:rsidRPr="00993B55">
        <w:rPr>
          <w:rStyle w:val="libFootnoteBoldChar"/>
          <w:rtl/>
        </w:rPr>
        <w:t>الوسائل</w:t>
      </w:r>
      <w:r w:rsidR="008A74EB" w:rsidRPr="00C9040A">
        <w:rPr>
          <w:rtl/>
        </w:rPr>
        <w:t xml:space="preserve"> ، ج 1 ، ص 109 ، ح 269 ؛ </w:t>
      </w:r>
      <w:r w:rsidR="008A74EB" w:rsidRPr="00993B55">
        <w:rPr>
          <w:rStyle w:val="libFootnoteBoldChar"/>
          <w:rtl/>
        </w:rPr>
        <w:t>البحار</w:t>
      </w:r>
      <w:r w:rsidR="008A74EB" w:rsidRPr="00C9040A">
        <w:rPr>
          <w:rtl/>
        </w:rPr>
        <w:t xml:space="preserve"> ، ج 71 ، ص 211 ، ح 3.</w:t>
      </w:r>
    </w:p>
    <w:p w:rsidR="004B7F34" w:rsidRDefault="004B7F34" w:rsidP="004B7F34">
      <w:pPr>
        <w:pStyle w:val="libNormal"/>
        <w:rPr>
          <w:rtl/>
          <w:lang w:bidi="fa-IR"/>
        </w:rPr>
      </w:pPr>
      <w:r>
        <w:rPr>
          <w:rtl/>
          <w:lang w:bidi="fa-IR"/>
        </w:rPr>
        <w:br w:type="page"/>
      </w:r>
    </w:p>
    <w:p w:rsidR="008A74EB" w:rsidRPr="00C9040A" w:rsidRDefault="00375DA9" w:rsidP="008A74EB">
      <w:pPr>
        <w:pStyle w:val="libNormal"/>
        <w:rPr>
          <w:rtl/>
          <w:lang w:bidi="fa-IR"/>
        </w:rPr>
      </w:pPr>
      <w:r>
        <w:rPr>
          <w:rFonts w:hint="cs"/>
          <w:rtl/>
          <w:lang w:bidi="fa-IR"/>
        </w:rPr>
        <w:t xml:space="preserve">* </w:t>
      </w:r>
      <w:r w:rsidR="008A74EB" w:rsidRPr="00C9040A">
        <w:rPr>
          <w:rtl/>
          <w:lang w:bidi="fa-IR"/>
        </w:rPr>
        <w:t xml:space="preserve">مُحَمَّدُ بْنُ سِنَانٍ </w:t>
      </w:r>
      <w:r w:rsidR="006C577F" w:rsidRPr="006C577F">
        <w:rPr>
          <w:rStyle w:val="libFootnotenumChar"/>
          <w:rtl/>
        </w:rPr>
        <w:t>(1)</w:t>
      </w:r>
      <w:r w:rsidR="008A74EB" w:rsidRPr="00C9040A">
        <w:rPr>
          <w:rtl/>
          <w:lang w:bidi="fa-IR"/>
        </w:rPr>
        <w:t xml:space="preserve">، عَنْ مُقَرِّنٍ ، عَنْ مُحَمَّدِ بْنِ سُوقَةَ ، عَنْ أَبِي جَعْفَرٍ </w:t>
      </w:r>
      <w:r w:rsidR="008A74EB" w:rsidRPr="0003660B">
        <w:rPr>
          <w:rStyle w:val="libAlaemChar"/>
          <w:rtl/>
        </w:rPr>
        <w:t>عليه‌السلام</w:t>
      </w:r>
      <w:r w:rsidR="008A74EB" w:rsidRPr="00C9040A">
        <w:rPr>
          <w:rtl/>
          <w:lang w:bidi="fa-IR"/>
        </w:rPr>
        <w:t xml:space="preserve"> ، مِثْلَهُ. </w:t>
      </w:r>
      <w:r w:rsidR="006C577F" w:rsidRPr="006C577F">
        <w:rPr>
          <w:rStyle w:val="libFootnotenumChar"/>
          <w:rtl/>
        </w:rPr>
        <w:t>(2)</w:t>
      </w:r>
      <w:r w:rsidR="008A74EB" w:rsidRPr="00C9040A">
        <w:rPr>
          <w:rtl/>
          <w:lang w:bidi="fa-IR"/>
        </w:rPr>
        <w:t xml:space="preserve"> ‌</w:t>
      </w:r>
    </w:p>
    <w:p w:rsidR="00375DA9" w:rsidRDefault="008A74EB" w:rsidP="00375DA9">
      <w:pPr>
        <w:pStyle w:val="libNormal"/>
        <w:rPr>
          <w:rtl/>
          <w:lang w:bidi="fa-IR"/>
        </w:rPr>
      </w:pPr>
      <w:r w:rsidRPr="003E7EE9">
        <w:rPr>
          <w:rtl/>
        </w:rPr>
        <w:t>1683</w:t>
      </w:r>
      <w:r w:rsidRPr="00261CB0">
        <w:rPr>
          <w:rStyle w:val="libBold2Char"/>
          <w:rtl/>
        </w:rPr>
        <w:t xml:space="preserve"> / 2.</w:t>
      </w:r>
      <w:r w:rsidRPr="00C9040A">
        <w:rPr>
          <w:rtl/>
          <w:lang w:bidi="fa-IR"/>
        </w:rPr>
        <w:t xml:space="preserve"> عَلِيُّ بْنُ إِبْرَاهِيمَ ، عَنْ أَبِيهِ ؛</w:t>
      </w:r>
    </w:p>
    <w:p w:rsidR="008A74EB" w:rsidRPr="00C9040A" w:rsidRDefault="00375DA9" w:rsidP="00375DA9">
      <w:pPr>
        <w:pStyle w:val="libNormal"/>
        <w:rPr>
          <w:rtl/>
          <w:lang w:bidi="fa-IR"/>
        </w:rPr>
      </w:pPr>
      <w:r>
        <w:rPr>
          <w:rFonts w:hint="cs"/>
          <w:rtl/>
          <w:lang w:bidi="fa-IR"/>
        </w:rPr>
        <w:t xml:space="preserve">             </w:t>
      </w:r>
      <w:r w:rsidR="008A74EB" w:rsidRPr="00C9040A">
        <w:rPr>
          <w:rtl/>
          <w:lang w:bidi="fa-IR"/>
        </w:rPr>
        <w:t>وَمُحَمَّدُ بْنُ إِسْمَاعِيلَ ، عَنِ الْفَضْلِ بْنِ شَاذَانَ جَمِيعاً ، عَنِ ابْنِ أَبِي عُمَيْرٍ ، عَنْ حَفْصِ بْنِ الْبَخْتَرِيِّ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لَا تُكَرِّهُوا إِلى أَنْفُسِكُمُ الْعِبَادَةَ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3E7EE9">
        <w:rPr>
          <w:rtl/>
        </w:rPr>
        <w:t>1684</w:t>
      </w:r>
      <w:r w:rsidRPr="00261CB0">
        <w:rPr>
          <w:rStyle w:val="libBold2Char"/>
          <w:rtl/>
        </w:rPr>
        <w:t xml:space="preserve"> / 3.</w:t>
      </w:r>
      <w:r w:rsidRPr="00C9040A">
        <w:rPr>
          <w:rtl/>
          <w:lang w:bidi="fa-IR"/>
        </w:rPr>
        <w:t xml:space="preserve"> مُحَمَّدُ بْنُ يَحْيى ، عَنْ أَحْمَدَ بْنِ مُحَمَّدِ بْنِ عِيسى ، عَنْ مُحَمَّدِ بْنِ إِسْمَاعِيلَ ، عَنْ حَنَانِ بْنِ سَدِيرٍ ، قَالَ :</w:t>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 « إِنَّ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إِذَا أَحَبَّ عَبْداً ، فَعَمِلَ </w:t>
      </w:r>
      <w:r w:rsidR="006C577F" w:rsidRPr="006C577F">
        <w:rPr>
          <w:rStyle w:val="libFootnotenumChar"/>
          <w:rtl/>
        </w:rPr>
        <w:t>(4)</w:t>
      </w:r>
      <w:r w:rsidRPr="00C9040A">
        <w:rPr>
          <w:rtl/>
          <w:lang w:bidi="fa-IR"/>
        </w:rPr>
        <w:t xml:space="preserve"> عَمَلاً </w:t>
      </w:r>
      <w:r w:rsidR="006C577F" w:rsidRPr="006C577F">
        <w:rPr>
          <w:rStyle w:val="libFootnotenumChar"/>
          <w:rtl/>
        </w:rPr>
        <w:t>(5)</w:t>
      </w:r>
      <w:r w:rsidRPr="00C9040A">
        <w:rPr>
          <w:rtl/>
          <w:lang w:bidi="fa-IR"/>
        </w:rPr>
        <w:t xml:space="preserve"> قَلِيلاً ، جَزَاهُ بِالْقَلِيلِ الْكَثِيرَ ، وَلَمْ يَتَعَاظَمْهُ أَنْ يَجْزِيَ بِالْقَلِيلِ الْكَثِيرَ لَهُ </w:t>
      </w:r>
      <w:r w:rsidR="006C577F" w:rsidRPr="006C577F">
        <w:rPr>
          <w:rStyle w:val="libFootnotenumChar"/>
          <w:rtl/>
        </w:rPr>
        <w:t>(6)</w:t>
      </w:r>
      <w:r w:rsidRPr="005B567D">
        <w:rPr>
          <w:rStyle w:val="libFootnotenumChar"/>
          <w:rtl/>
        </w:rPr>
        <w:t xml:space="preserve"> </w:t>
      </w:r>
      <w:r w:rsidRPr="00C9040A">
        <w:rPr>
          <w:rtl/>
          <w:lang w:bidi="fa-IR"/>
        </w:rPr>
        <w:t>»</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3E7EE9">
        <w:rPr>
          <w:rtl/>
        </w:rPr>
        <w:t>1685</w:t>
      </w:r>
      <w:r w:rsidRPr="00261CB0">
        <w:rPr>
          <w:rStyle w:val="libBold2Char"/>
          <w:rtl/>
        </w:rPr>
        <w:t xml:space="preserve"> / 4.</w:t>
      </w:r>
      <w:r w:rsidRPr="00C9040A">
        <w:rPr>
          <w:rtl/>
          <w:lang w:bidi="fa-IR"/>
        </w:rPr>
        <w:t xml:space="preserve"> عِدَّةٌ مِنْ أَصْحَابِنَا ، عَنْ أَحْمَدَ بْنِ مُحَمَّدٍ ، عَنِ ابْنِ فَضَّالٍ ، عَنِ الْحَسَنِ بْنِ الْجَهْمِ </w:t>
      </w:r>
      <w:r w:rsidR="006C577F" w:rsidRPr="006C577F">
        <w:rPr>
          <w:rStyle w:val="libFootnotenumChar"/>
          <w:rtl/>
        </w:rPr>
        <w:t>(8)</w:t>
      </w:r>
      <w:r w:rsidRPr="00C9040A">
        <w:rPr>
          <w:rtl/>
          <w:lang w:bidi="fa-IR"/>
        </w:rPr>
        <w:t xml:space="preserve"> ، عَنْ مَنْصُورٍ ، عَنْ أَبِي بَصِيرٍ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مَرَّ بِي أَبِي وَأَنَا بِالطَّوَافِ وَأَنَا حَدَثٌ </w:t>
      </w:r>
      <w:r w:rsidR="006C577F" w:rsidRPr="006C577F">
        <w:rPr>
          <w:rStyle w:val="libFootnotenumChar"/>
          <w:rtl/>
        </w:rPr>
        <w:t>(9)</w:t>
      </w:r>
      <w:r w:rsidRPr="00C9040A">
        <w:rPr>
          <w:rtl/>
          <w:lang w:bidi="fa-IR"/>
        </w:rPr>
        <w:t xml:space="preserve"> ، وَقَدِ اجْتَهَدْتُ فِي الْعِبَادَةِ ، فَرَآنِي وَأَنَا أَتَصَابُّ عَرَقاً ، فَقَالَ لِي : يَا جَعْفَرُ ، يَا بُنَيَّ ، إِنَّ اللهَ إِذَا أَحَبَّ عَبْداً أَدْخَلَهُ الْجَنَّةَ ، وَرَضِيَ عَنْهُ </w:t>
      </w:r>
      <w:r w:rsidR="006C577F" w:rsidRPr="006C577F">
        <w:rPr>
          <w:rStyle w:val="libFootnotenumChar"/>
          <w:rtl/>
        </w:rPr>
        <w:t>(10)</w:t>
      </w:r>
      <w:r w:rsidRPr="00C9040A">
        <w:rPr>
          <w:rtl/>
          <w:lang w:bidi="fa-IR"/>
        </w:rPr>
        <w:t xml:space="preserve"> ‌</w:t>
      </w:r>
      <w:r w:rsidR="00375DA9">
        <w:rPr>
          <w:rFonts w:hint="cs"/>
          <w:rtl/>
          <w:lang w:bidi="fa-IR"/>
        </w:rPr>
        <w:t>.........................................................</w:t>
      </w:r>
      <w:r w:rsidR="00375DA9">
        <w:rPr>
          <w:rFonts w:hint="cs"/>
          <w:rtl/>
          <w:lang w:bidi="fa-IR"/>
        </w:rPr>
        <w:tab/>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السند تعليق. ويروي عن محمّد بن سنان ، محمّد بن يحيى عن أحمد بن محمّد بن عيسى.</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الوافي</w:t>
      </w:r>
      <w:r w:rsidR="008A74EB" w:rsidRPr="00C9040A">
        <w:rPr>
          <w:rtl/>
        </w:rPr>
        <w:t xml:space="preserve"> ، ج 4 ، ص 359 ، ح 2125 ؛ </w:t>
      </w:r>
      <w:r w:rsidR="008A74EB" w:rsidRPr="00993B55">
        <w:rPr>
          <w:rStyle w:val="libFootnoteBoldChar"/>
          <w:rtl/>
        </w:rPr>
        <w:t>الوسائل</w:t>
      </w:r>
      <w:r w:rsidR="008A74EB" w:rsidRPr="00C9040A">
        <w:rPr>
          <w:rtl/>
        </w:rPr>
        <w:t xml:space="preserve"> ، ج 1 ، ص 110 ، ذيل ح 269 ؛ </w:t>
      </w:r>
      <w:r w:rsidR="008A74EB" w:rsidRPr="00993B55">
        <w:rPr>
          <w:rStyle w:val="libFootnoteBoldChar"/>
          <w:rtl/>
        </w:rPr>
        <w:t>البحار</w:t>
      </w:r>
      <w:r w:rsidR="008A74EB" w:rsidRPr="00C9040A">
        <w:rPr>
          <w:rtl/>
        </w:rPr>
        <w:t xml:space="preserve"> ، ج 71 ، ص 212 ، ذيل ح 3.</w:t>
      </w:r>
    </w:p>
    <w:p w:rsidR="008A74EB" w:rsidRPr="004A4E41" w:rsidRDefault="006C577F" w:rsidP="004A4E41">
      <w:pPr>
        <w:pStyle w:val="libFootnote0"/>
        <w:rPr>
          <w:rStyle w:val="libFootnote0Char"/>
          <w:rtl/>
        </w:rPr>
      </w:pPr>
      <w:r>
        <w:rPr>
          <w:rtl/>
        </w:rPr>
        <w:t>(3).</w:t>
      </w:r>
      <w:r w:rsidR="008A74EB" w:rsidRPr="00C9040A">
        <w:rPr>
          <w:rtl/>
        </w:rPr>
        <w:t xml:space="preserve"> </w:t>
      </w:r>
      <w:r w:rsidR="008A74EB" w:rsidRPr="00993B55">
        <w:rPr>
          <w:rStyle w:val="libFootnoteBoldChar"/>
          <w:rtl/>
        </w:rPr>
        <w:t>الوافي</w:t>
      </w:r>
      <w:r w:rsidR="008A74EB" w:rsidRPr="00C9040A">
        <w:rPr>
          <w:rtl/>
        </w:rPr>
        <w:t xml:space="preserve"> ، ج 4 ، ص 360 ، ح 2127 ؛ </w:t>
      </w:r>
      <w:r w:rsidR="008A74EB" w:rsidRPr="00993B55">
        <w:rPr>
          <w:rStyle w:val="libFootnoteBoldChar"/>
          <w:rtl/>
        </w:rPr>
        <w:t>الوسائل</w:t>
      </w:r>
      <w:r w:rsidR="008A74EB" w:rsidRPr="00C9040A">
        <w:rPr>
          <w:rtl/>
        </w:rPr>
        <w:t xml:space="preserve"> ، ج 1 ، ص 108 ، ح 265 ؛ </w:t>
      </w:r>
      <w:r w:rsidR="008A74EB" w:rsidRPr="00993B55">
        <w:rPr>
          <w:rStyle w:val="libFootnoteBoldChar"/>
          <w:rtl/>
        </w:rPr>
        <w:t>البحار</w:t>
      </w:r>
      <w:r w:rsidR="008A74EB" w:rsidRPr="00C9040A">
        <w:rPr>
          <w:rtl/>
        </w:rPr>
        <w:t xml:space="preserve"> ، ج 71 ، ص 213 ، ح 4.</w:t>
      </w:r>
    </w:p>
    <w:tbl>
      <w:tblPr>
        <w:tblStyle w:val="TableGrid"/>
        <w:bidiVisual/>
        <w:tblW w:w="0" w:type="auto"/>
        <w:tblLook w:val="04A0" w:firstRow="1" w:lastRow="0" w:firstColumn="1" w:lastColumn="0" w:noHBand="0" w:noVBand="1"/>
      </w:tblPr>
      <w:tblGrid>
        <w:gridCol w:w="4006"/>
        <w:gridCol w:w="4006"/>
      </w:tblGrid>
      <w:tr w:rsidR="00375DA9" w:rsidTr="00375DA9">
        <w:tc>
          <w:tcPr>
            <w:tcW w:w="4006" w:type="dxa"/>
          </w:tcPr>
          <w:p w:rsidR="00375DA9" w:rsidRDefault="00375DA9" w:rsidP="004A4E41">
            <w:pPr>
              <w:pStyle w:val="libFootnote0"/>
              <w:rPr>
                <w:rtl/>
              </w:rPr>
            </w:pPr>
            <w:r>
              <w:rPr>
                <w:rtl/>
              </w:rPr>
              <w:t>(4).</w:t>
            </w:r>
            <w:r w:rsidRPr="00C9040A">
              <w:rPr>
                <w:rtl/>
              </w:rPr>
              <w:t xml:space="preserve"> في « ف » : « فيعمل »</w:t>
            </w:r>
            <w:r>
              <w:rPr>
                <w:rtl/>
              </w:rPr>
              <w:t>.</w:t>
            </w:r>
          </w:p>
        </w:tc>
        <w:tc>
          <w:tcPr>
            <w:tcW w:w="4006" w:type="dxa"/>
          </w:tcPr>
          <w:p w:rsidR="00375DA9" w:rsidRDefault="00375DA9" w:rsidP="004A4E41">
            <w:pPr>
              <w:pStyle w:val="libFootnote0"/>
              <w:rPr>
                <w:rtl/>
              </w:rPr>
            </w:pPr>
            <w:r>
              <w:rPr>
                <w:rtl/>
              </w:rPr>
              <w:t>(5).</w:t>
            </w:r>
            <w:r>
              <w:rPr>
                <w:rFonts w:hint="cs"/>
                <w:rtl/>
              </w:rPr>
              <w:t xml:space="preserve"> </w:t>
            </w:r>
            <w:r>
              <w:rPr>
                <w:rtl/>
              </w:rPr>
              <w:t>في«ج،ز</w:t>
            </w:r>
            <w:r w:rsidRPr="00C9040A">
              <w:rPr>
                <w:rtl/>
              </w:rPr>
              <w:t>،</w:t>
            </w:r>
            <w:r>
              <w:rPr>
                <w:rtl/>
              </w:rPr>
              <w:t>ص ،ف ،ه ،بر ،بس ،بف»:-«عملاً</w:t>
            </w:r>
            <w:r w:rsidRPr="00C9040A">
              <w:rPr>
                <w:rtl/>
              </w:rPr>
              <w:t>»</w:t>
            </w:r>
            <w:r>
              <w:rPr>
                <w:rtl/>
              </w:rPr>
              <w:t>.</w:t>
            </w:r>
          </w:p>
        </w:tc>
      </w:tr>
    </w:tbl>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 </w:t>
      </w:r>
      <w:r w:rsidR="006D3162">
        <w:rPr>
          <w:rtl/>
        </w:rPr>
        <w:t xml:space="preserve">ه </w:t>
      </w:r>
      <w:r w:rsidR="008A74EB" w:rsidRPr="00C9040A">
        <w:rPr>
          <w:rtl/>
        </w:rPr>
        <w:t xml:space="preserve">» </w:t>
      </w:r>
      <w:r w:rsidR="008A74EB">
        <w:rPr>
          <w:rtl/>
        </w:rPr>
        <w:t xml:space="preserve">: </w:t>
      </w:r>
      <w:r w:rsidR="0084262C">
        <w:rPr>
          <w:rtl/>
        </w:rPr>
        <w:t>-</w:t>
      </w:r>
      <w:r w:rsidR="008A74EB" w:rsidRPr="00C9040A">
        <w:rPr>
          <w:rtl/>
        </w:rPr>
        <w:t xml:space="preserve"> « له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الوافي</w:t>
      </w:r>
      <w:r w:rsidR="008A74EB" w:rsidRPr="00C9040A">
        <w:rPr>
          <w:rtl/>
        </w:rPr>
        <w:t xml:space="preserve"> ، ج 4 ، ص 360 ، ح 2128 ؛ </w:t>
      </w:r>
      <w:r w:rsidR="008A74EB" w:rsidRPr="00993B55">
        <w:rPr>
          <w:rStyle w:val="libFootnoteBoldChar"/>
          <w:rtl/>
        </w:rPr>
        <w:t>الوسائل</w:t>
      </w:r>
      <w:r w:rsidR="008A74EB" w:rsidRPr="00C9040A">
        <w:rPr>
          <w:rtl/>
        </w:rPr>
        <w:t xml:space="preserve"> ، ج 1 ، ص 109 ، ح 267 ؛ </w:t>
      </w:r>
      <w:r w:rsidR="008A74EB" w:rsidRPr="00993B55">
        <w:rPr>
          <w:rStyle w:val="libFootnoteBoldChar"/>
          <w:rtl/>
        </w:rPr>
        <w:t>البحار</w:t>
      </w:r>
      <w:r w:rsidR="008A74EB" w:rsidRPr="00C9040A">
        <w:rPr>
          <w:rtl/>
        </w:rPr>
        <w:t xml:space="preserve"> ، ج 71 ، ص 213 ، ح 5.</w:t>
      </w:r>
    </w:p>
    <w:p w:rsidR="008A74EB" w:rsidRPr="00C9040A" w:rsidRDefault="006C577F" w:rsidP="004A4E41">
      <w:pPr>
        <w:pStyle w:val="libFootnote0"/>
        <w:rPr>
          <w:rtl/>
          <w:lang w:bidi="fa-IR"/>
        </w:rPr>
      </w:pPr>
      <w:r>
        <w:rPr>
          <w:rtl/>
        </w:rPr>
        <w:t>(8).</w:t>
      </w:r>
      <w:r w:rsidR="008A74EB" w:rsidRPr="00C9040A">
        <w:rPr>
          <w:rtl/>
        </w:rPr>
        <w:t xml:space="preserve"> في « ب ، د ، ز ، ص ، </w:t>
      </w:r>
      <w:r w:rsidR="006D3162">
        <w:rPr>
          <w:rtl/>
        </w:rPr>
        <w:t xml:space="preserve">ه </w:t>
      </w:r>
      <w:r w:rsidR="008A74EB" w:rsidRPr="00C9040A">
        <w:rPr>
          <w:rtl/>
        </w:rPr>
        <w:t>، بس » وحاشية « ف » : « جهم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رجل حَدَث ، أي شابّ ، فإن ذكرتَ السنّ قلتَ : حديث السن. </w:t>
      </w:r>
      <w:r w:rsidR="008A74EB" w:rsidRPr="00993B55">
        <w:rPr>
          <w:rStyle w:val="libFootnoteBoldChar"/>
          <w:rtl/>
        </w:rPr>
        <w:t>الصحاح</w:t>
      </w:r>
      <w:r w:rsidR="008A74EB" w:rsidRPr="00C9040A">
        <w:rPr>
          <w:rtl/>
        </w:rPr>
        <w:t xml:space="preserve"> ، ج 1 ، ص 278 ( حدث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 </w:t>
      </w:r>
      <w:r w:rsidR="006D3162">
        <w:rPr>
          <w:rtl/>
        </w:rPr>
        <w:t xml:space="preserve">ه </w:t>
      </w:r>
      <w:r w:rsidR="008A74EB" w:rsidRPr="00C9040A">
        <w:rPr>
          <w:rtl/>
        </w:rPr>
        <w:t>» وحاشية « ض » والبحار : « منه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بِالْيَسِيرِ »</w:t>
      </w:r>
      <w:r>
        <w:rPr>
          <w:rtl/>
          <w:lang w:bidi="fa-IR"/>
        </w:rPr>
        <w:t>.</w:t>
      </w:r>
      <w:r w:rsidRPr="00C9040A">
        <w:rPr>
          <w:rtl/>
          <w:lang w:bidi="fa-IR"/>
        </w:rPr>
        <w:t xml:space="preserve"> </w:t>
      </w:r>
      <w:r w:rsidR="006C577F" w:rsidRPr="006C577F">
        <w:rPr>
          <w:rStyle w:val="libFootnotenumChar"/>
          <w:rtl/>
        </w:rPr>
        <w:t>(1)</w:t>
      </w:r>
      <w:r w:rsidRPr="00C9040A">
        <w:rPr>
          <w:rtl/>
          <w:lang w:bidi="fa-IR"/>
        </w:rPr>
        <w:t>‌</w:t>
      </w:r>
    </w:p>
    <w:p w:rsidR="008A74EB" w:rsidRPr="00C9040A" w:rsidRDefault="008A74EB" w:rsidP="008A74EB">
      <w:pPr>
        <w:pStyle w:val="libNormal"/>
        <w:rPr>
          <w:rtl/>
          <w:lang w:bidi="fa-IR"/>
        </w:rPr>
      </w:pPr>
      <w:r w:rsidRPr="003E7EE9">
        <w:rPr>
          <w:rtl/>
        </w:rPr>
        <w:t>1686</w:t>
      </w:r>
      <w:r w:rsidRPr="00261CB0">
        <w:rPr>
          <w:rStyle w:val="libBold2Char"/>
          <w:rtl/>
        </w:rPr>
        <w:t xml:space="preserve"> / 5.</w:t>
      </w:r>
      <w:r w:rsidRPr="00C9040A">
        <w:rPr>
          <w:rtl/>
          <w:lang w:bidi="fa-IR"/>
        </w:rPr>
        <w:t xml:space="preserve"> عَلِيُّ بْنُ إِبْرَاهِيمَ ، عَنْ أَبِيهِ ، عَنِ ابْنِ أَبِي عُمَيْرٍ ، عَنْ حَفْصِ</w:t>
      </w:r>
      <w:r w:rsidR="00375DA9">
        <w:rPr>
          <w:rtl/>
          <w:lang w:bidi="fa-IR"/>
        </w:rPr>
        <w:t xml:space="preserve"> بْنِ الْبَخْتَرِيِّ وَغَيْرِهِ</w:t>
      </w:r>
      <w:r w:rsidRPr="00C9040A">
        <w:rPr>
          <w:rtl/>
          <w:lang w:bidi="fa-IR"/>
        </w:rPr>
        <w:t>:</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اجْتَهَدْتُ فِي الْعِبَادَةِ </w:t>
      </w:r>
      <w:r w:rsidR="006C577F" w:rsidRPr="006C577F">
        <w:rPr>
          <w:rStyle w:val="libFootnotenumChar"/>
          <w:rtl/>
        </w:rPr>
        <w:t>(2)</w:t>
      </w:r>
      <w:r w:rsidRPr="00C9040A">
        <w:rPr>
          <w:rtl/>
          <w:lang w:bidi="fa-IR"/>
        </w:rPr>
        <w:t xml:space="preserve"> وَأَنَا شَابٌّ ، فَقَالَ لِي أَبِي : يَا بُنَيَّ ، دُونَ مَا أَرَاكَ تَصْنَعُ ؛ فَإِنَّ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إِذَا أَحَبَّ عَبْداً رَضِيَ عَنْهُ </w:t>
      </w:r>
      <w:r w:rsidR="006C577F" w:rsidRPr="006C577F">
        <w:rPr>
          <w:rStyle w:val="libFootnotenumChar"/>
          <w:rtl/>
        </w:rPr>
        <w:t>(3)</w:t>
      </w:r>
      <w:r w:rsidRPr="00C9040A">
        <w:rPr>
          <w:rtl/>
          <w:lang w:bidi="fa-IR"/>
        </w:rPr>
        <w:t xml:space="preserve"> بِالْيَسِيرِ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3E7EE9">
        <w:rPr>
          <w:rtl/>
        </w:rPr>
        <w:t>1687</w:t>
      </w:r>
      <w:r w:rsidRPr="00261CB0">
        <w:rPr>
          <w:rStyle w:val="libBold2Char"/>
          <w:rtl/>
        </w:rPr>
        <w:t xml:space="preserve"> / 6.</w:t>
      </w:r>
      <w:r w:rsidRPr="00C9040A">
        <w:rPr>
          <w:rtl/>
          <w:lang w:bidi="fa-IR"/>
        </w:rPr>
        <w:t xml:space="preserve"> حُمَيْدُ بْنُ زِيَادٍ ، عَنِ الْخَشَّابِ ، عَنِ ابْنِ بَقَّاحٍ </w:t>
      </w:r>
      <w:r w:rsidR="006C577F" w:rsidRPr="006C577F">
        <w:rPr>
          <w:rStyle w:val="libFootnotenumChar"/>
          <w:rtl/>
        </w:rPr>
        <w:t>(5)</w:t>
      </w:r>
      <w:r w:rsidRPr="00C9040A">
        <w:rPr>
          <w:rtl/>
          <w:lang w:bidi="fa-IR"/>
        </w:rPr>
        <w:t xml:space="preserve"> ، عَنْ مُعَاذِ </w:t>
      </w:r>
      <w:r w:rsidR="006C577F" w:rsidRPr="006C577F">
        <w:rPr>
          <w:rStyle w:val="libFootnotenumChar"/>
          <w:rtl/>
        </w:rPr>
        <w:t>(6)</w:t>
      </w:r>
      <w:r w:rsidRPr="005B567D">
        <w:rPr>
          <w:rStyle w:val="libFootnotenumChar"/>
          <w:rtl/>
        </w:rPr>
        <w:t xml:space="preserve"> </w:t>
      </w:r>
      <w:r w:rsidRPr="00C9040A">
        <w:rPr>
          <w:rtl/>
          <w:lang w:bidi="fa-IR"/>
        </w:rPr>
        <w:t>بْنِ ثَابِتٍ ، عَنْ عَمْرِو بْنِ جُمَيْعٍ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يَا عَلِيُّ ، إِنَّ هذَا الدِّينَ مَتِينٌ ، فَأَوْغِلْ فِيهِ بِرِفْقٍ ، وَلَا تُبَغِّضْ </w:t>
      </w:r>
      <w:r w:rsidR="006C577F" w:rsidRPr="006C577F">
        <w:rPr>
          <w:rStyle w:val="libFootnotenumChar"/>
          <w:rtl/>
        </w:rPr>
        <w:t>(7)</w:t>
      </w:r>
      <w:r w:rsidRPr="00C9040A">
        <w:rPr>
          <w:rtl/>
          <w:lang w:bidi="fa-IR"/>
        </w:rPr>
        <w:t xml:space="preserve"> إِلى نَفْسِكَ عِبَادَةَ رَبِّكَ ؛ فَإِنَّ </w:t>
      </w:r>
      <w:r w:rsidR="006C577F" w:rsidRPr="006C577F">
        <w:rPr>
          <w:rStyle w:val="libFootnotenumChar"/>
          <w:rtl/>
        </w:rPr>
        <w:t>(8)</w:t>
      </w:r>
      <w:r w:rsidRPr="00C9040A">
        <w:rPr>
          <w:rtl/>
          <w:lang w:bidi="fa-IR"/>
        </w:rPr>
        <w:t xml:space="preserve"> الْمُنْبَتَّ</w:t>
      </w:r>
      <w:r>
        <w:rPr>
          <w:rtl/>
          <w:lang w:bidi="fa-IR"/>
        </w:rPr>
        <w:t xml:space="preserve"> </w:t>
      </w:r>
      <w:r w:rsidR="0084262C">
        <w:rPr>
          <w:rtl/>
          <w:lang w:bidi="fa-IR"/>
        </w:rPr>
        <w:t>-</w:t>
      </w:r>
      <w:r>
        <w:rPr>
          <w:rtl/>
          <w:lang w:bidi="fa-IR"/>
        </w:rPr>
        <w:t xml:space="preserve"> </w:t>
      </w:r>
      <w:r w:rsidRPr="00C9040A">
        <w:rPr>
          <w:rtl/>
          <w:lang w:bidi="fa-IR"/>
        </w:rPr>
        <w:t>يَعْنِي الْمُفْرِطَ</w:t>
      </w:r>
      <w:r>
        <w:rPr>
          <w:rtl/>
          <w:lang w:bidi="fa-IR"/>
        </w:rPr>
        <w:t xml:space="preserve"> </w:t>
      </w:r>
      <w:r w:rsidR="0084262C">
        <w:rPr>
          <w:rtl/>
          <w:lang w:bidi="fa-IR"/>
        </w:rPr>
        <w:t>-</w:t>
      </w:r>
      <w:r>
        <w:rPr>
          <w:rtl/>
          <w:lang w:bidi="fa-IR"/>
        </w:rPr>
        <w:t xml:space="preserve"> </w:t>
      </w:r>
      <w:r w:rsidRPr="00C9040A">
        <w:rPr>
          <w:rtl/>
          <w:lang w:bidi="fa-IR"/>
        </w:rPr>
        <w:t xml:space="preserve">لَا ظَهْراً </w:t>
      </w:r>
      <w:r w:rsidR="006C577F" w:rsidRPr="006C577F">
        <w:rPr>
          <w:rStyle w:val="libFootnotenumChar"/>
          <w:rtl/>
        </w:rPr>
        <w:t>(9)</w:t>
      </w:r>
      <w:r w:rsidRPr="00C9040A">
        <w:rPr>
          <w:rtl/>
          <w:lang w:bidi="fa-IR"/>
        </w:rPr>
        <w:t xml:space="preserve"> أَبْقى ، وَلَا أَرْضاً قَطَعَ ؛ فَاعْمَلْ عَمَلَ مَنْ يَرْجُو أَنْ يَمُوتَ هَرِماً ، وَاحْذَرْ حَذَرَ مَنْ يَتَخَوَّفُ أَنْ يَمُوتَ غَداً »</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w:t>
      </w:r>
      <w:r w:rsidR="008A74EB" w:rsidRPr="00993B55">
        <w:rPr>
          <w:rStyle w:val="libFootnoteBoldChar"/>
          <w:rtl/>
        </w:rPr>
        <w:t>الوافي</w:t>
      </w:r>
      <w:r w:rsidR="008A74EB" w:rsidRPr="00C9040A">
        <w:rPr>
          <w:rtl/>
        </w:rPr>
        <w:t xml:space="preserve"> ، ج 4 ، ص 360 ، ح 2129 ؛ </w:t>
      </w:r>
      <w:r w:rsidR="008A74EB" w:rsidRPr="00993B55">
        <w:rPr>
          <w:rStyle w:val="libFootnoteBoldChar"/>
          <w:rtl/>
        </w:rPr>
        <w:t>الوسائل</w:t>
      </w:r>
      <w:r w:rsidR="008A74EB" w:rsidRPr="00C9040A">
        <w:rPr>
          <w:rtl/>
        </w:rPr>
        <w:t xml:space="preserve"> ، ج 1 ، ص 108 ، ح 266 ؛ </w:t>
      </w:r>
      <w:r w:rsidR="008A74EB" w:rsidRPr="00993B55">
        <w:rPr>
          <w:rStyle w:val="libFootnoteBoldChar"/>
          <w:rtl/>
        </w:rPr>
        <w:t>البحار</w:t>
      </w:r>
      <w:r w:rsidR="008A74EB" w:rsidRPr="00C9040A">
        <w:rPr>
          <w:rtl/>
        </w:rPr>
        <w:t xml:space="preserve"> ، ج 47 ، ص 55 ، ح 94 ؛ وج 71 ، ص 213 ، ح 6.</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ز ، ص ، ف » : « بالعبادة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ج ، ض ، </w:t>
      </w:r>
      <w:r w:rsidR="006D3162">
        <w:rPr>
          <w:rtl/>
        </w:rPr>
        <w:t xml:space="preserve">ه </w:t>
      </w:r>
      <w:r w:rsidR="008A74EB" w:rsidRPr="00C9040A">
        <w:rPr>
          <w:rtl/>
        </w:rPr>
        <w:t>، بس » وحاشية « بر » والبحار : « منه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الوافي</w:t>
      </w:r>
      <w:r w:rsidR="008A74EB" w:rsidRPr="00C9040A">
        <w:rPr>
          <w:rtl/>
        </w:rPr>
        <w:t xml:space="preserve"> ، ج 4 ، ص 360 ، ح 2130 ؛ </w:t>
      </w:r>
      <w:r w:rsidR="008A74EB" w:rsidRPr="00993B55">
        <w:rPr>
          <w:rStyle w:val="libFootnoteBoldChar"/>
          <w:rtl/>
        </w:rPr>
        <w:t>الوسائل</w:t>
      </w:r>
      <w:r w:rsidR="008A74EB" w:rsidRPr="00C9040A">
        <w:rPr>
          <w:rtl/>
        </w:rPr>
        <w:t xml:space="preserve"> ، ج 1 ، ص 108 ، ح 264 ؛ </w:t>
      </w:r>
      <w:r w:rsidR="008A74EB" w:rsidRPr="00993B55">
        <w:rPr>
          <w:rStyle w:val="libFootnoteBoldChar"/>
          <w:rtl/>
        </w:rPr>
        <w:t>البحار</w:t>
      </w:r>
      <w:r w:rsidR="008A74EB" w:rsidRPr="00C9040A">
        <w:rPr>
          <w:rtl/>
        </w:rPr>
        <w:t xml:space="preserve"> ، ج 47 ، ص 55 ، ح 95 ؛ وج 71 ، ص 213 ، ح 7.</w:t>
      </w:r>
    </w:p>
    <w:p w:rsidR="008A74EB" w:rsidRPr="00C9040A" w:rsidRDefault="006C577F" w:rsidP="004A4E41">
      <w:pPr>
        <w:pStyle w:val="libFootnote0"/>
        <w:rPr>
          <w:rtl/>
          <w:lang w:bidi="fa-IR"/>
        </w:rPr>
      </w:pPr>
      <w:r>
        <w:rPr>
          <w:rtl/>
        </w:rPr>
        <w:t>(5).</w:t>
      </w:r>
      <w:r w:rsidR="008A74EB" w:rsidRPr="00C9040A">
        <w:rPr>
          <w:rtl/>
        </w:rPr>
        <w:t xml:space="preserve"> في « </w:t>
      </w:r>
      <w:r w:rsidR="006D3162">
        <w:rPr>
          <w:rtl/>
        </w:rPr>
        <w:t xml:space="preserve">ه </w:t>
      </w:r>
      <w:r w:rsidR="008A74EB" w:rsidRPr="00C9040A">
        <w:rPr>
          <w:rtl/>
        </w:rPr>
        <w:t>» : « ابن التفّاح »</w:t>
      </w:r>
      <w:r w:rsidR="008A74EB">
        <w:rPr>
          <w:rtl/>
        </w:rPr>
        <w:t>.</w:t>
      </w:r>
      <w:r w:rsidR="008A74EB" w:rsidRPr="00C9040A">
        <w:rPr>
          <w:rtl/>
        </w:rPr>
        <w:t xml:space="preserve"> وهو سهو ؛ فقد روى الحسن بن عليّ بن يوسف المعروف بابن بقّاح عن معاذ بن‌ثابت الجوهري كتابه. راجع : </w:t>
      </w:r>
      <w:r w:rsidR="008A74EB" w:rsidRPr="0034021D">
        <w:rPr>
          <w:rStyle w:val="libFootnoteBoldChar"/>
          <w:rtl/>
        </w:rPr>
        <w:t>الفهرست للطوسي</w:t>
      </w:r>
      <w:r w:rsidR="008A74EB" w:rsidRPr="00C9040A">
        <w:rPr>
          <w:rtl/>
        </w:rPr>
        <w:t xml:space="preserve"> ، ص 472 ، الرقم 757.</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 « ج ، ص ، ض ، </w:t>
      </w:r>
      <w:r w:rsidR="006D3162">
        <w:rPr>
          <w:rtl/>
        </w:rPr>
        <w:t xml:space="preserve">ه </w:t>
      </w:r>
      <w:r w:rsidR="008A74EB" w:rsidRPr="00C9040A">
        <w:rPr>
          <w:rtl/>
        </w:rPr>
        <w:t>، بس » : « معاد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يجوز في الكلمة الإفعال والتفعيل.</w:t>
      </w:r>
    </w:p>
    <w:p w:rsidR="008A74EB" w:rsidRPr="00C9040A" w:rsidRDefault="006C577F" w:rsidP="004A4E41">
      <w:pPr>
        <w:pStyle w:val="libFootnote0"/>
        <w:rPr>
          <w:rtl/>
          <w:lang w:bidi="fa-IR"/>
        </w:rPr>
      </w:pPr>
      <w:r>
        <w:rPr>
          <w:rtl/>
        </w:rPr>
        <w:t>(8).</w:t>
      </w:r>
      <w:r w:rsidR="008A74EB" w:rsidRPr="00C9040A">
        <w:rPr>
          <w:rtl/>
        </w:rPr>
        <w:t xml:space="preserve"> في « ج ، د ، ز ، ض ، ف ، </w:t>
      </w:r>
      <w:r w:rsidR="006D3162">
        <w:rPr>
          <w:rtl/>
        </w:rPr>
        <w:t xml:space="preserve">ه </w:t>
      </w:r>
      <w:r w:rsidR="008A74EB" w:rsidRPr="00C9040A">
        <w:rPr>
          <w:rtl/>
        </w:rPr>
        <w:t>، بس » والوسائل والبحار : « إنّ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بس » : « أظهراً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w:t>
      </w:r>
      <w:r w:rsidR="008A74EB" w:rsidRPr="00993B55">
        <w:rPr>
          <w:rStyle w:val="libFootnoteBoldChar"/>
          <w:rtl/>
        </w:rPr>
        <w:t>الوافي</w:t>
      </w:r>
      <w:r w:rsidR="008A74EB" w:rsidRPr="00C9040A">
        <w:rPr>
          <w:rtl/>
        </w:rPr>
        <w:t xml:space="preserve"> ، ج 4 ، ص 360 ، ح 2126 ؛ </w:t>
      </w:r>
      <w:r w:rsidR="008A74EB" w:rsidRPr="00993B55">
        <w:rPr>
          <w:rStyle w:val="libFootnoteBoldChar"/>
          <w:rtl/>
        </w:rPr>
        <w:t>الوسائل</w:t>
      </w:r>
      <w:r w:rsidR="008A74EB" w:rsidRPr="00C9040A">
        <w:rPr>
          <w:rtl/>
        </w:rPr>
        <w:t xml:space="preserve"> ، ج 1 ، ص 110 ، ح 270 ؛ </w:t>
      </w:r>
      <w:r w:rsidR="008A74EB" w:rsidRPr="00993B55">
        <w:rPr>
          <w:rStyle w:val="libFootnoteBoldChar"/>
          <w:rtl/>
        </w:rPr>
        <w:t>البحار</w:t>
      </w:r>
      <w:r w:rsidR="008A74EB" w:rsidRPr="00C9040A">
        <w:rPr>
          <w:rtl/>
        </w:rPr>
        <w:t xml:space="preserve"> ، ج 71 ، ص 213 ، ح 8.</w:t>
      </w:r>
    </w:p>
    <w:p w:rsidR="004B7F34" w:rsidRDefault="004B7F34" w:rsidP="004B7F34">
      <w:pPr>
        <w:pStyle w:val="libNormal"/>
        <w:rPr>
          <w:rtl/>
          <w:lang w:bidi="fa-IR"/>
        </w:rPr>
      </w:pPr>
      <w:r>
        <w:rPr>
          <w:rtl/>
          <w:lang w:bidi="fa-IR"/>
        </w:rPr>
        <w:br w:type="page"/>
      </w:r>
    </w:p>
    <w:p w:rsidR="008A74EB" w:rsidRPr="00C9040A" w:rsidRDefault="008A74EB" w:rsidP="008A74EB">
      <w:pPr>
        <w:pStyle w:val="Heading2Center"/>
        <w:rPr>
          <w:rtl/>
          <w:lang w:bidi="fa-IR"/>
        </w:rPr>
      </w:pPr>
      <w:bookmarkStart w:id="148" w:name="_Toc343795637"/>
      <w:bookmarkStart w:id="149" w:name="_Toc459810761"/>
      <w:bookmarkStart w:id="150" w:name="_Toc35348667"/>
      <w:r w:rsidRPr="00C9040A">
        <w:rPr>
          <w:rtl/>
          <w:lang w:bidi="fa-IR"/>
        </w:rPr>
        <w:t>46</w:t>
      </w:r>
      <w:r>
        <w:rPr>
          <w:rtl/>
          <w:lang w:bidi="fa-IR"/>
        </w:rPr>
        <w:t xml:space="preserve"> </w:t>
      </w:r>
      <w:r w:rsidR="0084262C">
        <w:rPr>
          <w:rtl/>
          <w:lang w:bidi="fa-IR"/>
        </w:rPr>
        <w:t>-</w:t>
      </w:r>
      <w:r>
        <w:rPr>
          <w:rtl/>
          <w:lang w:bidi="fa-IR"/>
        </w:rPr>
        <w:t xml:space="preserve"> </w:t>
      </w:r>
      <w:r w:rsidRPr="00C9040A">
        <w:rPr>
          <w:rtl/>
          <w:lang w:bidi="fa-IR"/>
        </w:rPr>
        <w:t>بَابُ مَنْ بَلَغَهُ ثَوَابٌ مِنَ اللهِ عَلى عَمَلٍ‌</w:t>
      </w:r>
      <w:bookmarkEnd w:id="148"/>
      <w:bookmarkEnd w:id="149"/>
      <w:bookmarkEnd w:id="150"/>
    </w:p>
    <w:p w:rsidR="008A74EB" w:rsidRPr="00C9040A" w:rsidRDefault="008A74EB" w:rsidP="008A74EB">
      <w:pPr>
        <w:pStyle w:val="libNormal"/>
        <w:rPr>
          <w:rtl/>
          <w:lang w:bidi="fa-IR"/>
        </w:rPr>
      </w:pPr>
      <w:r w:rsidRPr="003E7EE9">
        <w:rPr>
          <w:rtl/>
        </w:rPr>
        <w:t>1688</w:t>
      </w:r>
      <w:r w:rsidRPr="00261CB0">
        <w:rPr>
          <w:rStyle w:val="libBold2Char"/>
          <w:rtl/>
        </w:rPr>
        <w:t xml:space="preserve"> / 1.</w:t>
      </w:r>
      <w:r w:rsidRPr="00C9040A">
        <w:rPr>
          <w:rtl/>
          <w:lang w:bidi="fa-IR"/>
        </w:rPr>
        <w:t xml:space="preserve"> عَلِيُّ بْنُ إِبْرَاهِيمَ ، عَنْ أَبِيهِ ، عَنِ ابْنِ أَبِي عُمَيْرٍ ، عَنْ هِشَامِ بْنِ سَالِمٍ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مَنْ سَمِعَ شَيْئاً مِنَ الثَّوَابِ عَلى شَيْ‌ءٍ ، فَصَنَعَهُ ، كَانَ لَهُ أَجْرُهُ </w:t>
      </w:r>
      <w:r w:rsidR="006C577F" w:rsidRPr="006C577F">
        <w:rPr>
          <w:rStyle w:val="libFootnotenumChar"/>
          <w:rtl/>
        </w:rPr>
        <w:t>(1)</w:t>
      </w:r>
      <w:r w:rsidRPr="009E51F8">
        <w:rPr>
          <w:rFonts w:hint="cs"/>
          <w:rtl/>
        </w:rPr>
        <w:t xml:space="preserve"> </w:t>
      </w:r>
      <w:r w:rsidRPr="00C9040A">
        <w:rPr>
          <w:rtl/>
          <w:lang w:bidi="fa-IR"/>
        </w:rPr>
        <w:t>وَإِنْ لَمْ يَكُنْ عَلى مَا بَلَغَهُ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3E7EE9">
        <w:rPr>
          <w:rtl/>
        </w:rPr>
        <w:t>1689</w:t>
      </w:r>
      <w:r w:rsidRPr="00261CB0">
        <w:rPr>
          <w:rStyle w:val="libBold2Char"/>
          <w:rtl/>
        </w:rPr>
        <w:t xml:space="preserve"> / 2.</w:t>
      </w:r>
      <w:r w:rsidRPr="00C9040A">
        <w:rPr>
          <w:rtl/>
          <w:lang w:bidi="fa-IR"/>
        </w:rPr>
        <w:t xml:space="preserve"> مُحَمَّدُ بْنُ يَحْيى ، عَنْ مُحَمَّدِ بْنِ الْحُسَيْنِ ، عَنْ مُحَمَّدِ بْنِ سِنَانٍ ، عَنْ عِمْرَانَ الزَّعْفَرَانِيِّ ، عَنْ مُحَمَّدِ بْنِ مَرْوَانَ ، قَالَ :</w:t>
      </w:r>
    </w:p>
    <w:p w:rsidR="008A74EB" w:rsidRPr="00C9040A" w:rsidRDefault="008A74EB" w:rsidP="008A74EB">
      <w:pPr>
        <w:pStyle w:val="libNormal"/>
        <w:rPr>
          <w:rtl/>
          <w:lang w:bidi="fa-IR"/>
        </w:rPr>
      </w:pPr>
      <w:r w:rsidRPr="00C9040A">
        <w:rPr>
          <w:rtl/>
          <w:lang w:bidi="fa-IR"/>
        </w:rPr>
        <w:t xml:space="preserve">سَمِعْتُ أَبَا جَعْفَرٍ </w:t>
      </w:r>
      <w:r w:rsidRPr="0003660B">
        <w:rPr>
          <w:rStyle w:val="libAlaemChar"/>
          <w:rtl/>
        </w:rPr>
        <w:t>عليه‌السلام</w:t>
      </w:r>
      <w:r w:rsidRPr="00C9040A">
        <w:rPr>
          <w:rtl/>
          <w:lang w:bidi="fa-IR"/>
        </w:rPr>
        <w:t xml:space="preserve"> يَقُولُ : « مَنْ بَلَغَهُ ثَوَابٌ مِنَ </w:t>
      </w:r>
      <w:r w:rsidR="006C577F" w:rsidRPr="006C577F">
        <w:rPr>
          <w:rStyle w:val="libFootnotenumChar"/>
          <w:rtl/>
        </w:rPr>
        <w:t>(3)</w:t>
      </w:r>
      <w:r w:rsidRPr="00C9040A">
        <w:rPr>
          <w:rtl/>
          <w:lang w:bidi="fa-IR"/>
        </w:rPr>
        <w:t xml:space="preserve"> اللهِ عَلى عَمَلٍ ، فَعَمِلَ ذلِكَ الْعَمَلَ الْتِمَاسَ ذلِكَ الثَّوَابِ ، أُوتِيَهُ وَإِنْ لَمْ يَكُنِ الْحَدِيثُ كَمَا بَلَغَهُ </w:t>
      </w:r>
      <w:r w:rsidR="006C577F" w:rsidRPr="006C577F">
        <w:rPr>
          <w:rStyle w:val="libFootnotenumChar"/>
          <w:rtl/>
        </w:rPr>
        <w:t>(4)</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Heading2Center"/>
        <w:rPr>
          <w:rtl/>
          <w:lang w:bidi="fa-IR"/>
        </w:rPr>
      </w:pPr>
      <w:bookmarkStart w:id="151" w:name="_Toc343795638"/>
      <w:bookmarkStart w:id="152" w:name="_Toc459810762"/>
      <w:bookmarkStart w:id="153" w:name="_Toc35348668"/>
      <w:r w:rsidRPr="00C9040A">
        <w:rPr>
          <w:rtl/>
          <w:lang w:bidi="fa-IR"/>
        </w:rPr>
        <w:t>47</w:t>
      </w:r>
      <w:r>
        <w:rPr>
          <w:rtl/>
          <w:lang w:bidi="fa-IR"/>
        </w:rPr>
        <w:t xml:space="preserve"> </w:t>
      </w:r>
      <w:r w:rsidR="0084262C">
        <w:rPr>
          <w:rtl/>
          <w:lang w:bidi="fa-IR"/>
        </w:rPr>
        <w:t>-</w:t>
      </w:r>
      <w:r>
        <w:rPr>
          <w:rtl/>
          <w:lang w:bidi="fa-IR"/>
        </w:rPr>
        <w:t xml:space="preserve"> </w:t>
      </w:r>
      <w:r w:rsidRPr="00C9040A">
        <w:rPr>
          <w:rtl/>
          <w:lang w:bidi="fa-IR"/>
        </w:rPr>
        <w:t>بَابُ الصَّبْرِ‌</w:t>
      </w:r>
      <w:bookmarkEnd w:id="151"/>
      <w:bookmarkEnd w:id="152"/>
      <w:bookmarkEnd w:id="153"/>
    </w:p>
    <w:p w:rsidR="008A74EB" w:rsidRPr="00C9040A" w:rsidRDefault="008A74EB" w:rsidP="008A74EB">
      <w:pPr>
        <w:pStyle w:val="libNormal"/>
        <w:rPr>
          <w:rtl/>
          <w:lang w:bidi="fa-IR"/>
        </w:rPr>
      </w:pPr>
      <w:r w:rsidRPr="003E7EE9">
        <w:rPr>
          <w:rtl/>
        </w:rPr>
        <w:t>1690</w:t>
      </w:r>
      <w:r w:rsidRPr="00261CB0">
        <w:rPr>
          <w:rStyle w:val="libBold2Char"/>
          <w:rtl/>
        </w:rPr>
        <w:t xml:space="preserve"> / 1.</w:t>
      </w:r>
      <w:r w:rsidRPr="00C9040A">
        <w:rPr>
          <w:rtl/>
          <w:lang w:bidi="fa-IR"/>
        </w:rPr>
        <w:t xml:space="preserve"> عِدَّةٌ مِنْ أَصْحَابِنَا ، عَنْ سَهْلِ بْنِ زِيَادٍ ، عَنِ الْحَسَنِ </w:t>
      </w:r>
      <w:r w:rsidR="006C577F" w:rsidRPr="006C577F">
        <w:rPr>
          <w:rStyle w:val="libFootnotenumChar"/>
          <w:rtl/>
        </w:rPr>
        <w:t>(6)</w:t>
      </w:r>
      <w:r w:rsidRPr="005B567D">
        <w:rPr>
          <w:rStyle w:val="libFootnotenumChar"/>
          <w:rtl/>
        </w:rPr>
        <w:t xml:space="preserve"> </w:t>
      </w:r>
      <w:r w:rsidRPr="00C9040A">
        <w:rPr>
          <w:rtl/>
          <w:lang w:bidi="fa-IR"/>
        </w:rPr>
        <w:t>بْنِ مَحْبُوبٍ ، عَنْ عَلِيِّ بْنِ رِئَابٍ ، عَنِ ابْنِ أَبِي يَعْفُورٍ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هكذا في « ب ، ج ، د ، ض ، </w:t>
      </w:r>
      <w:r w:rsidR="006D3162">
        <w:rPr>
          <w:rtl/>
        </w:rPr>
        <w:t xml:space="preserve">ه </w:t>
      </w:r>
      <w:r w:rsidR="008A74EB" w:rsidRPr="00C9040A">
        <w:rPr>
          <w:rtl/>
        </w:rPr>
        <w:t>، بس ، بف »</w:t>
      </w:r>
      <w:r w:rsidR="008A74EB">
        <w:rPr>
          <w:rtl/>
        </w:rPr>
        <w:t>.</w:t>
      </w:r>
      <w:r w:rsidR="008A74EB" w:rsidRPr="00C9040A">
        <w:rPr>
          <w:rtl/>
        </w:rPr>
        <w:t xml:space="preserve"> وفي سائر النسخ والمطبوع :</w:t>
      </w:r>
      <w:r w:rsidR="008A74EB">
        <w:rPr>
          <w:rtl/>
        </w:rPr>
        <w:t xml:space="preserve"> </w:t>
      </w:r>
      <w:r w:rsidR="0084262C">
        <w:rPr>
          <w:rtl/>
        </w:rPr>
        <w:t>-</w:t>
      </w:r>
      <w:r w:rsidR="008A74EB">
        <w:rPr>
          <w:rtl/>
        </w:rPr>
        <w:t xml:space="preserve"> </w:t>
      </w:r>
      <w:r w:rsidR="008A74EB" w:rsidRPr="00C9040A">
        <w:rPr>
          <w:rtl/>
        </w:rPr>
        <w:t>« أجره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المحاسن</w:t>
      </w:r>
      <w:r w:rsidR="008A74EB" w:rsidRPr="00C9040A">
        <w:rPr>
          <w:rtl/>
        </w:rPr>
        <w:t xml:space="preserve"> ، ص 25 ، كتاب ثواب الأعمال ، ح 2 ، عن أبيه ، عن عليّ بن حكم ، عن هشام بن سالم. </w:t>
      </w:r>
      <w:r w:rsidR="008A74EB" w:rsidRPr="00993B55">
        <w:rPr>
          <w:rStyle w:val="libFootnoteBoldChar"/>
          <w:rtl/>
        </w:rPr>
        <w:t>ثواب الأعمال</w:t>
      </w:r>
      <w:r w:rsidR="008A74EB" w:rsidRPr="00C9040A">
        <w:rPr>
          <w:rtl/>
        </w:rPr>
        <w:t xml:space="preserve"> ، ص 160 ، ح 1 ، بسند آخر ، وفيهما مع اختلاف يسير </w:t>
      </w:r>
      <w:r w:rsidR="00375DA9">
        <w:rPr>
          <w:rFonts w:hint="cs"/>
          <w:rtl/>
        </w:rPr>
        <w:t>.</w:t>
      </w:r>
      <w:r w:rsidR="008A74EB" w:rsidRPr="00993B55">
        <w:rPr>
          <w:rStyle w:val="libFootnoteBoldChar"/>
          <w:rtl/>
        </w:rPr>
        <w:t>الوافي</w:t>
      </w:r>
      <w:r w:rsidR="008A74EB" w:rsidRPr="00C9040A">
        <w:rPr>
          <w:rtl/>
        </w:rPr>
        <w:t xml:space="preserve"> ، ج 4 ، ص 369 ، ح 2140 ؛ </w:t>
      </w:r>
      <w:r w:rsidR="008A74EB" w:rsidRPr="00993B55">
        <w:rPr>
          <w:rStyle w:val="libFootnoteBoldChar"/>
          <w:rtl/>
        </w:rPr>
        <w:t>الوسائل</w:t>
      </w:r>
      <w:r w:rsidR="008A74EB" w:rsidRPr="00C9040A">
        <w:rPr>
          <w:rtl/>
        </w:rPr>
        <w:t xml:space="preserve"> ، ج 1 ، ص 81 ، ح 187.</w:t>
      </w:r>
      <w:r w:rsidR="00375DA9">
        <w:rPr>
          <w:rFonts w:hint="cs"/>
          <w:rtl/>
        </w:rPr>
        <w:t xml:space="preserve">           </w:t>
      </w:r>
      <w:r>
        <w:rPr>
          <w:rtl/>
        </w:rPr>
        <w:t>(3).</w:t>
      </w:r>
      <w:r w:rsidR="008A74EB" w:rsidRPr="00C9040A">
        <w:rPr>
          <w:rtl/>
        </w:rPr>
        <w:t xml:space="preserve"> في « </w:t>
      </w:r>
      <w:r w:rsidR="006D3162">
        <w:rPr>
          <w:rtl/>
        </w:rPr>
        <w:t xml:space="preserve">ه </w:t>
      </w:r>
      <w:r w:rsidR="008A74EB" w:rsidRPr="00C9040A">
        <w:rPr>
          <w:rtl/>
        </w:rPr>
        <w:t xml:space="preserve">» </w:t>
      </w:r>
      <w:r w:rsidR="008A74EB">
        <w:rPr>
          <w:rtl/>
        </w:rPr>
        <w:t xml:space="preserve">: </w:t>
      </w:r>
      <w:r w:rsidR="0084262C">
        <w:rPr>
          <w:rtl/>
        </w:rPr>
        <w:t>-</w:t>
      </w:r>
      <w:r w:rsidR="008A74EB" w:rsidRPr="00C9040A">
        <w:rPr>
          <w:rtl/>
        </w:rPr>
        <w:t xml:space="preserve"> « من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w:t>
      </w:r>
      <w:r w:rsidR="008A74EB" w:rsidRPr="00993B55">
        <w:rPr>
          <w:rStyle w:val="libFootnoteBoldChar"/>
          <w:rtl/>
        </w:rPr>
        <w:t>الوافي</w:t>
      </w:r>
      <w:r w:rsidR="008A74EB" w:rsidRPr="00C9040A">
        <w:rPr>
          <w:rtl/>
        </w:rPr>
        <w:t xml:space="preserve"> : « وذلك لأنّ الأعمال الج</w:t>
      </w:r>
      <w:r w:rsidR="00375DA9">
        <w:rPr>
          <w:rtl/>
        </w:rPr>
        <w:t>سمانيّة لا قدر لها عند الله إل</w:t>
      </w:r>
      <w:r w:rsidR="00375DA9">
        <w:rPr>
          <w:rFonts w:hint="cs"/>
          <w:rtl/>
        </w:rPr>
        <w:t>ّ</w:t>
      </w:r>
      <w:r w:rsidR="00375DA9">
        <w:rPr>
          <w:rtl/>
        </w:rPr>
        <w:t>ا</w:t>
      </w:r>
      <w:r w:rsidR="008A74EB" w:rsidRPr="00C9040A">
        <w:rPr>
          <w:rtl/>
        </w:rPr>
        <w:t xml:space="preserve">بالنيّات القلبيّة ، ومن يعمل بما سمع أنّه عبادة فإنّما يعمل به طاعةً لله‌وانقياداً لرسول الله </w:t>
      </w:r>
      <w:r w:rsidR="004A4E41" w:rsidRPr="00AC2E2F">
        <w:rPr>
          <w:rStyle w:val="libFootnoteAlaemChar"/>
          <w:rtl/>
        </w:rPr>
        <w:t>صلى‌الله‌عليه‌وآله</w:t>
      </w:r>
      <w:r w:rsidR="008A74EB" w:rsidRPr="00C9040A">
        <w:rPr>
          <w:rtl/>
        </w:rPr>
        <w:t xml:space="preserve"> ، فيكون عمله مشتملاً على نيّة التقرّب وهيئة التسلّم وإن كان نسبته إلى الرسول خطأ ؛ وذلك لأنّ الخطأ لم يصدر منه باجتهاده ، وإنّها صدر من غيره ، وهو إنّما تبع ما سمع. فلا ينافي هذا ما مضى</w:t>
      </w:r>
      <w:r w:rsidR="008A74EB">
        <w:rPr>
          <w:rtl/>
        </w:rPr>
        <w:t xml:space="preserve"> ..</w:t>
      </w:r>
      <w:r w:rsidR="00375DA9">
        <w:rPr>
          <w:rtl/>
        </w:rPr>
        <w:t>. أنّه لا نيّة إل</w:t>
      </w:r>
      <w:r w:rsidR="00375DA9">
        <w:rPr>
          <w:rFonts w:hint="cs"/>
          <w:rtl/>
        </w:rPr>
        <w:t>ّ</w:t>
      </w:r>
      <w:r w:rsidR="00375DA9">
        <w:rPr>
          <w:rtl/>
        </w:rPr>
        <w:t>ا</w:t>
      </w:r>
      <w:r w:rsidR="008A74EB" w:rsidRPr="00C9040A">
        <w:rPr>
          <w:rtl/>
        </w:rPr>
        <w:t>بإصابة السنّة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المحاسن</w:t>
      </w:r>
      <w:r w:rsidR="008A74EB" w:rsidRPr="00C9040A">
        <w:rPr>
          <w:rtl/>
        </w:rPr>
        <w:t xml:space="preserve"> ، ص 25 ، كتاب ثواب الأعمال ، ح 1 ، بسنده عن محمّد بن مروان ، مع اختلاف يسير </w:t>
      </w:r>
      <w:r w:rsidR="00375DA9">
        <w:rPr>
          <w:rFonts w:hint="cs"/>
          <w:rtl/>
        </w:rPr>
        <w:t>.</w:t>
      </w:r>
      <w:r w:rsidR="008A74EB" w:rsidRPr="00993B55">
        <w:rPr>
          <w:rStyle w:val="libFootnoteBoldChar"/>
          <w:rtl/>
        </w:rPr>
        <w:t>الوافي</w:t>
      </w:r>
      <w:r w:rsidR="008A74EB" w:rsidRPr="00C9040A">
        <w:rPr>
          <w:rtl/>
        </w:rPr>
        <w:t xml:space="preserve"> ، ج 4 ، ص 369 ، ح 2141 ؛ </w:t>
      </w:r>
      <w:r w:rsidR="008A74EB" w:rsidRPr="00993B55">
        <w:rPr>
          <w:rStyle w:val="libFootnoteBoldChar"/>
          <w:rtl/>
        </w:rPr>
        <w:t>الوسائل</w:t>
      </w:r>
      <w:r w:rsidR="008A74EB" w:rsidRPr="00C9040A">
        <w:rPr>
          <w:rtl/>
        </w:rPr>
        <w:t xml:space="preserve"> ، ج 1 ، ص 82 ، ح 188.</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 ب » </w:t>
      </w:r>
      <w:r w:rsidR="008A74EB">
        <w:rPr>
          <w:rtl/>
        </w:rPr>
        <w:t xml:space="preserve">: </w:t>
      </w:r>
      <w:r w:rsidR="0084262C">
        <w:rPr>
          <w:rtl/>
        </w:rPr>
        <w:t>-</w:t>
      </w:r>
      <w:r w:rsidR="008A74EB" w:rsidRPr="00C9040A">
        <w:rPr>
          <w:rtl/>
        </w:rPr>
        <w:t xml:space="preserve"> « الحسن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الصَّبْرُ رَأْسُ الْإِيمَانِ »</w:t>
      </w:r>
      <w:r>
        <w:rPr>
          <w:rtl/>
          <w:lang w:bidi="fa-IR"/>
        </w:rPr>
        <w:t>.</w:t>
      </w:r>
      <w:r w:rsidRPr="00C9040A">
        <w:rPr>
          <w:rtl/>
          <w:lang w:bidi="fa-IR"/>
        </w:rPr>
        <w:t xml:space="preserve"> </w:t>
      </w:r>
      <w:r w:rsidR="006C577F" w:rsidRPr="006C577F">
        <w:rPr>
          <w:rStyle w:val="libFootnotenumChar"/>
          <w:rtl/>
        </w:rPr>
        <w:t>(1)</w:t>
      </w:r>
      <w:r w:rsidRPr="00C9040A">
        <w:rPr>
          <w:rtl/>
          <w:lang w:bidi="fa-IR"/>
        </w:rPr>
        <w:t>‌</w:t>
      </w:r>
    </w:p>
    <w:p w:rsidR="008A74EB" w:rsidRPr="00C9040A" w:rsidRDefault="008A74EB" w:rsidP="008A74EB">
      <w:pPr>
        <w:pStyle w:val="libNormal"/>
        <w:rPr>
          <w:rtl/>
          <w:lang w:bidi="fa-IR"/>
        </w:rPr>
      </w:pPr>
      <w:r w:rsidRPr="003E7EE9">
        <w:rPr>
          <w:rtl/>
        </w:rPr>
        <w:t>1691</w:t>
      </w:r>
      <w:r w:rsidRPr="00261CB0">
        <w:rPr>
          <w:rStyle w:val="libBold2Char"/>
          <w:rtl/>
        </w:rPr>
        <w:t xml:space="preserve"> / 2.</w:t>
      </w:r>
      <w:r w:rsidRPr="00C9040A">
        <w:rPr>
          <w:rtl/>
          <w:lang w:bidi="fa-IR"/>
        </w:rPr>
        <w:t xml:space="preserve"> أَبُو عَلِيٍّ الْأَشْعَرِيُّ ، عَنْ أَحْمَدَ بْنِ مُحَمَّدِ بْنِ عِيسى ، عَنْ مُحَمَّدِ بْنِ سِنَانٍ ، عَنِ الْعَلَاءِ بْنِ </w:t>
      </w:r>
      <w:r w:rsidR="006C577F" w:rsidRPr="006C577F">
        <w:rPr>
          <w:rStyle w:val="libFootnotenumChar"/>
          <w:rtl/>
        </w:rPr>
        <w:t>(2)</w:t>
      </w:r>
      <w:r w:rsidRPr="00C9040A">
        <w:rPr>
          <w:rtl/>
          <w:lang w:bidi="fa-IR"/>
        </w:rPr>
        <w:t xml:space="preserve"> الْفُضَيْلِ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الصَّبْرُ مِنَ الْإِيمَانِ بِمَنْزِلَةِ الرَّأْسِ مِنَ الْجَسَدِ ، فَإِذَا ذَهَبَ الرَّأْسُ ذَهَبَ الْجَسَدُ ، كَذلِكَ </w:t>
      </w:r>
      <w:r w:rsidR="006C577F" w:rsidRPr="006C577F">
        <w:rPr>
          <w:rStyle w:val="libFootnotenumChar"/>
          <w:rtl/>
        </w:rPr>
        <w:t>(4)</w:t>
      </w:r>
      <w:r w:rsidRPr="00C9040A">
        <w:rPr>
          <w:rtl/>
          <w:lang w:bidi="fa-IR"/>
        </w:rPr>
        <w:t xml:space="preserve"> إِذَا ذَهَبَ الصَّبْرُ ذَهَبَ الْإِيمَانُ »</w:t>
      </w:r>
      <w:r>
        <w:rPr>
          <w:rtl/>
          <w:lang w:bidi="fa-IR"/>
        </w:rPr>
        <w:t>.</w:t>
      </w:r>
      <w:r w:rsidRPr="00C9040A">
        <w:rPr>
          <w:rtl/>
          <w:lang w:bidi="fa-IR"/>
        </w:rPr>
        <w:t xml:space="preserve"> </w:t>
      </w:r>
      <w:r w:rsidR="006C577F" w:rsidRPr="006C577F">
        <w:rPr>
          <w:rStyle w:val="libFootnotenumChar"/>
          <w:rtl/>
        </w:rPr>
        <w:t>(5)</w:t>
      </w:r>
    </w:p>
    <w:p w:rsidR="008A74EB" w:rsidRPr="00C9040A" w:rsidRDefault="008A74EB" w:rsidP="008A74EB">
      <w:pPr>
        <w:pStyle w:val="libNormal"/>
        <w:rPr>
          <w:rtl/>
          <w:lang w:bidi="fa-IR"/>
        </w:rPr>
      </w:pPr>
      <w:r w:rsidRPr="003E7EE9">
        <w:rPr>
          <w:rtl/>
        </w:rPr>
        <w:t>1692</w:t>
      </w:r>
      <w:r w:rsidRPr="00261CB0">
        <w:rPr>
          <w:rStyle w:val="libBold2Char"/>
          <w:rtl/>
        </w:rPr>
        <w:t xml:space="preserve"> / 3.</w:t>
      </w:r>
      <w:r w:rsidRPr="00C9040A">
        <w:rPr>
          <w:rtl/>
          <w:lang w:bidi="fa-IR"/>
        </w:rPr>
        <w:t xml:space="preserve"> عَلِيُّ بْنُ إِبْرَاهِيمَ ، عَنْ أَبِيهِ وَعَلِيِّ بْنِ مُحَمَّدٍ الْقَاسَانِيِّ </w:t>
      </w:r>
      <w:r w:rsidR="006C577F" w:rsidRPr="006C577F">
        <w:rPr>
          <w:rStyle w:val="libFootnotenumChar"/>
          <w:rtl/>
        </w:rPr>
        <w:t>(6)</w:t>
      </w:r>
      <w:r w:rsidRPr="005B567D">
        <w:rPr>
          <w:rStyle w:val="libFootnotenumChar"/>
          <w:rtl/>
        </w:rPr>
        <w:t xml:space="preserve"> </w:t>
      </w:r>
      <w:r w:rsidRPr="00C9040A">
        <w:rPr>
          <w:rtl/>
          <w:lang w:bidi="fa-IR"/>
        </w:rPr>
        <w:t xml:space="preserve">جَمِيعاً </w:t>
      </w:r>
      <w:r w:rsidR="006C577F" w:rsidRPr="006C577F">
        <w:rPr>
          <w:rStyle w:val="libFootnotenumChar"/>
          <w:rtl/>
        </w:rPr>
        <w:t>(7)</w:t>
      </w:r>
      <w:r w:rsidRPr="00C9040A">
        <w:rPr>
          <w:rtl/>
          <w:lang w:bidi="fa-IR"/>
        </w:rPr>
        <w:t xml:space="preserve"> ، عَنِ الْقَاسِمِ بْنِ مُحَمَّدٍ الْأَصْبَهَانِيِّ </w:t>
      </w:r>
      <w:r w:rsidR="006C577F" w:rsidRPr="006C577F">
        <w:rPr>
          <w:rStyle w:val="libFootnotenumChar"/>
          <w:rtl/>
        </w:rPr>
        <w:t>(8)</w:t>
      </w:r>
      <w:r w:rsidRPr="00C9040A">
        <w:rPr>
          <w:rtl/>
          <w:lang w:bidi="fa-IR"/>
        </w:rPr>
        <w:t xml:space="preserve"> ، عَنْ سُلَيْمَانَ بْنِ دَاوُدَ الْمِنْقَرِيِّ ، عَنْ حَفْصِ بْنِ غِيَاثٍ ، قَالَ :</w:t>
      </w:r>
    </w:p>
    <w:p w:rsidR="008A74EB" w:rsidRPr="00C9040A" w:rsidRDefault="008A74EB" w:rsidP="008A74EB">
      <w:pPr>
        <w:pStyle w:val="libNormal"/>
        <w:rPr>
          <w:rtl/>
          <w:lang w:bidi="fa-IR"/>
        </w:rPr>
      </w:pPr>
      <w:r w:rsidRPr="00C9040A">
        <w:rPr>
          <w:rtl/>
          <w:lang w:bidi="fa-IR"/>
        </w:rPr>
        <w:t xml:space="preserve">قَالَ </w:t>
      </w:r>
      <w:r w:rsidR="006C577F" w:rsidRPr="006C577F">
        <w:rPr>
          <w:rStyle w:val="libFootnotenumChar"/>
          <w:rtl/>
        </w:rPr>
        <w:t>(9)</w:t>
      </w:r>
      <w:r w:rsidRPr="00C9040A">
        <w:rPr>
          <w:rtl/>
          <w:lang w:bidi="fa-IR"/>
        </w:rPr>
        <w:t xml:space="preserve"> أَبُو عَبْدِ اللهِ </w:t>
      </w:r>
      <w:r w:rsidRPr="0003660B">
        <w:rPr>
          <w:rStyle w:val="libAlaemChar"/>
          <w:rtl/>
        </w:rPr>
        <w:t>عليه‌السلام</w:t>
      </w:r>
      <w:r w:rsidRPr="00C9040A">
        <w:rPr>
          <w:rtl/>
          <w:lang w:bidi="fa-IR"/>
        </w:rPr>
        <w:t xml:space="preserve"> : « يَا حَفْصُ ، إِنَّ مَنْ صَبَرَ ، صَبَرَ قَلِيلاً ، وَإِنَّ </w:t>
      </w:r>
      <w:r w:rsidR="006C577F" w:rsidRPr="006C577F">
        <w:rPr>
          <w:rStyle w:val="libFootnotenumChar"/>
          <w:rtl/>
        </w:rPr>
        <w:t>(10)</w:t>
      </w:r>
      <w:r w:rsidRPr="00C9040A">
        <w:rPr>
          <w:rtl/>
          <w:lang w:bidi="fa-IR"/>
        </w:rPr>
        <w:t xml:space="preserve"> مَنْ جَزِعَ ، جَزِعَ قَلِيلاً »</w:t>
      </w:r>
      <w:r>
        <w:rPr>
          <w:rtl/>
          <w:lang w:bidi="fa-IR"/>
        </w:rPr>
        <w:t>.</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w:t>
      </w:r>
      <w:r w:rsidR="008A74EB" w:rsidRPr="00993B55">
        <w:rPr>
          <w:rStyle w:val="libFootnoteBoldChar"/>
          <w:rtl/>
        </w:rPr>
        <w:t>الوافي</w:t>
      </w:r>
      <w:r w:rsidR="008A74EB" w:rsidRPr="00C9040A">
        <w:rPr>
          <w:rtl/>
        </w:rPr>
        <w:t xml:space="preserve"> ، ج 4 ، ص 333 ، ح 2049 ؛ </w:t>
      </w:r>
      <w:r w:rsidR="008A74EB" w:rsidRPr="00993B55">
        <w:rPr>
          <w:rStyle w:val="libFootnoteBoldChar"/>
          <w:rtl/>
        </w:rPr>
        <w:t>الوسائل</w:t>
      </w:r>
      <w:r w:rsidR="008A74EB" w:rsidRPr="00C9040A">
        <w:rPr>
          <w:rtl/>
        </w:rPr>
        <w:t xml:space="preserve"> ، ج 3 ، ص 257 ، ح 3568 ؛ </w:t>
      </w:r>
      <w:r w:rsidR="008A74EB" w:rsidRPr="00993B55">
        <w:rPr>
          <w:rStyle w:val="libFootnoteBoldChar"/>
          <w:rtl/>
        </w:rPr>
        <w:t>البحار</w:t>
      </w:r>
      <w:r w:rsidR="008A74EB" w:rsidRPr="00C9040A">
        <w:rPr>
          <w:rtl/>
        </w:rPr>
        <w:t xml:space="preserve"> ، ج 71 ، ص 67 ، ح 2.</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ص » : « عن »</w:t>
      </w:r>
      <w:r w:rsidR="008A74EB">
        <w:rPr>
          <w:rtl/>
        </w:rPr>
        <w:t>.</w:t>
      </w:r>
      <w:r w:rsidR="008A74EB" w:rsidRPr="00C9040A">
        <w:rPr>
          <w:rtl/>
        </w:rPr>
        <w:t xml:space="preserve"> وهو سهو ، فقد روى أحمد بن إدريس ،</w:t>
      </w:r>
      <w:r w:rsidR="008A74EB">
        <w:rPr>
          <w:rtl/>
        </w:rPr>
        <w:t xml:space="preserve"> </w:t>
      </w:r>
      <w:r w:rsidR="0084262C">
        <w:rPr>
          <w:rtl/>
        </w:rPr>
        <w:t>-</w:t>
      </w:r>
      <w:r w:rsidR="008A74EB">
        <w:rPr>
          <w:rtl/>
        </w:rPr>
        <w:t xml:space="preserve"> </w:t>
      </w:r>
      <w:r w:rsidR="008A74EB" w:rsidRPr="00C9040A">
        <w:rPr>
          <w:rtl/>
        </w:rPr>
        <w:t>وهو أبو عليّ الأشعري</w:t>
      </w:r>
      <w:r w:rsidR="008A74EB">
        <w:rPr>
          <w:rtl/>
        </w:rPr>
        <w:t xml:space="preserve"> </w:t>
      </w:r>
      <w:r w:rsidR="0084262C">
        <w:rPr>
          <w:rtl/>
        </w:rPr>
        <w:t>-</w:t>
      </w:r>
      <w:r w:rsidR="008A74EB">
        <w:rPr>
          <w:rtl/>
        </w:rPr>
        <w:t xml:space="preserve"> </w:t>
      </w:r>
      <w:r w:rsidR="008A74EB" w:rsidRPr="00C9040A">
        <w:rPr>
          <w:rtl/>
        </w:rPr>
        <w:t xml:space="preserve">عن أحمد بن محمّد بن عيسى ، عن محمّد بن سنان كتاب العلاء بن الفضيل بن يسار ، وتكرّرت رواية محمّد بن سنان ، عن العلاء بن الفضيل في الأسناد. راجع : </w:t>
      </w:r>
      <w:r w:rsidR="008A74EB" w:rsidRPr="00993B55">
        <w:rPr>
          <w:rStyle w:val="libFootnoteBoldChar"/>
          <w:rtl/>
        </w:rPr>
        <w:t>رجال النجاشي</w:t>
      </w:r>
      <w:r w:rsidR="008A74EB" w:rsidRPr="00C9040A">
        <w:rPr>
          <w:rtl/>
        </w:rPr>
        <w:t xml:space="preserve"> ، ص 298 ، الرقم 810 ؛ </w:t>
      </w:r>
      <w:r w:rsidR="008A74EB" w:rsidRPr="00993B55">
        <w:rPr>
          <w:rStyle w:val="libFootnoteBoldChar"/>
          <w:rtl/>
        </w:rPr>
        <w:t>معجم رجال الحديث</w:t>
      </w:r>
      <w:r w:rsidR="008A74EB" w:rsidRPr="00C9040A">
        <w:rPr>
          <w:rtl/>
        </w:rPr>
        <w:t xml:space="preserve"> ، ج 16 ، ص 401</w:t>
      </w:r>
      <w:r w:rsidR="008A74EB">
        <w:rPr>
          <w:rtl/>
        </w:rPr>
        <w:t xml:space="preserve"> </w:t>
      </w:r>
      <w:r w:rsidR="0084262C">
        <w:rPr>
          <w:rtl/>
        </w:rPr>
        <w:t>-</w:t>
      </w:r>
      <w:r w:rsidR="008A74EB">
        <w:rPr>
          <w:rtl/>
        </w:rPr>
        <w:t xml:space="preserve"> </w:t>
      </w:r>
      <w:r w:rsidR="008A74EB" w:rsidRPr="00C9040A">
        <w:rPr>
          <w:rtl/>
        </w:rPr>
        <w:t>402.</w:t>
      </w:r>
    </w:p>
    <w:p w:rsidR="008A74EB" w:rsidRPr="00C9040A" w:rsidRDefault="006C577F" w:rsidP="004A4E41">
      <w:pPr>
        <w:pStyle w:val="libFootnote0"/>
        <w:rPr>
          <w:rtl/>
          <w:lang w:bidi="fa-IR"/>
        </w:rPr>
      </w:pPr>
      <w:r>
        <w:rPr>
          <w:rtl/>
        </w:rPr>
        <w:t>(3).</w:t>
      </w:r>
      <w:r w:rsidR="008A74EB" w:rsidRPr="00C9040A">
        <w:rPr>
          <w:rtl/>
        </w:rPr>
        <w:t xml:space="preserve"> هكذا في « ج ، د ، ز ، ص ، ض ، ف ، بر ، بس » والوسائل والبحار. وفي « </w:t>
      </w:r>
      <w:r w:rsidR="006D3162">
        <w:rPr>
          <w:rtl/>
        </w:rPr>
        <w:t xml:space="preserve">ه </w:t>
      </w:r>
      <w:r w:rsidR="008A74EB" w:rsidRPr="00C9040A">
        <w:rPr>
          <w:rtl/>
        </w:rPr>
        <w:t>» : « الفصل »</w:t>
      </w:r>
      <w:r w:rsidR="008A74EB">
        <w:rPr>
          <w:rtl/>
        </w:rPr>
        <w:t>.</w:t>
      </w:r>
      <w:r w:rsidR="008A74EB" w:rsidRPr="00C9040A">
        <w:rPr>
          <w:rtl/>
        </w:rPr>
        <w:t xml:space="preserve"> وفي « ب ، بف » والطبعة الأخيرة من الكافي : « فضيل » ، أمّا الطبعة السابقة عليها ، ففيها أيضاً : « الفضيل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ف » : « وكذلك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قرب الإسناد</w:t>
      </w:r>
      <w:r w:rsidR="008A74EB" w:rsidRPr="00C9040A">
        <w:rPr>
          <w:rtl/>
        </w:rPr>
        <w:t xml:space="preserve"> ، ص 155 ، ح 572 ؛ و</w:t>
      </w:r>
      <w:r w:rsidR="008A74EB" w:rsidRPr="00993B55">
        <w:rPr>
          <w:rStyle w:val="libFootnoteBoldChar"/>
          <w:rtl/>
        </w:rPr>
        <w:t>الجعفريّات</w:t>
      </w:r>
      <w:r w:rsidR="008A74EB" w:rsidRPr="00C9040A">
        <w:rPr>
          <w:rtl/>
        </w:rPr>
        <w:t xml:space="preserve"> ، ص 236 ، بسند آخر عن جعفر بن محمّد ، عن آبائه ، عن عليّ </w:t>
      </w:r>
      <w:r w:rsidR="00117575" w:rsidRPr="00117575">
        <w:rPr>
          <w:rStyle w:val="libFootnoteAlaemChar"/>
          <w:rtl/>
        </w:rPr>
        <w:t>عليهم‌السلام</w:t>
      </w:r>
      <w:r w:rsidR="008A74EB" w:rsidRPr="00C9040A">
        <w:rPr>
          <w:rtl/>
        </w:rPr>
        <w:t xml:space="preserve"> ؛ </w:t>
      </w:r>
      <w:r w:rsidR="008A74EB" w:rsidRPr="00993B55">
        <w:rPr>
          <w:rStyle w:val="libFootnoteBoldChar"/>
          <w:rtl/>
        </w:rPr>
        <w:t>الخصال</w:t>
      </w:r>
      <w:r w:rsidR="008A74EB" w:rsidRPr="00C9040A">
        <w:rPr>
          <w:rtl/>
        </w:rPr>
        <w:t xml:space="preserve"> ، ص 315 ، باب الخمسة ، ح 96 ، بسند آخر عن عليّ </w:t>
      </w:r>
      <w:r w:rsidR="00117575" w:rsidRPr="00117575">
        <w:rPr>
          <w:rStyle w:val="libFootnoteAlaemChar"/>
          <w:rtl/>
        </w:rPr>
        <w:t>عليه‌السلام</w:t>
      </w:r>
      <w:r w:rsidR="008A74EB" w:rsidRPr="00C9040A">
        <w:rPr>
          <w:rtl/>
        </w:rPr>
        <w:t xml:space="preserve"> ، مع زيادة في آخره ، في كلّها إلى قوله : « بمنزلة الرأس من الجسد » مع زيادة في أوّله. </w:t>
      </w:r>
      <w:r w:rsidR="008A74EB" w:rsidRPr="00993B55">
        <w:rPr>
          <w:rStyle w:val="libFootnoteBoldChar"/>
          <w:rtl/>
        </w:rPr>
        <w:t>مصباح الشريعة</w:t>
      </w:r>
      <w:r w:rsidR="008A74EB" w:rsidRPr="00C9040A">
        <w:rPr>
          <w:rtl/>
        </w:rPr>
        <w:t xml:space="preserve"> ، ص 184 ، الباب 87 ، عن الصادق ، عن عليّ </w:t>
      </w:r>
      <w:r w:rsidR="00117575" w:rsidRPr="00117575">
        <w:rPr>
          <w:rStyle w:val="libFootnoteAlaemChar"/>
          <w:rtl/>
        </w:rPr>
        <w:t>عليهما‌السلام</w:t>
      </w:r>
      <w:r w:rsidR="008A74EB" w:rsidRPr="00C9040A">
        <w:rPr>
          <w:rtl/>
        </w:rPr>
        <w:t xml:space="preserve"> ، وتمام الرواية فيه : « الصبر من الإيمان كالرأس من الجسد » </w:t>
      </w:r>
      <w:r w:rsidR="00D65B5E">
        <w:rPr>
          <w:rFonts w:hint="cs"/>
          <w:rtl/>
        </w:rPr>
        <w:t>.</w:t>
      </w:r>
      <w:r w:rsidR="008A74EB" w:rsidRPr="00993B55">
        <w:rPr>
          <w:rStyle w:val="libFootnoteBoldChar"/>
          <w:rtl/>
        </w:rPr>
        <w:t>الوافي</w:t>
      </w:r>
      <w:r w:rsidR="008A74EB" w:rsidRPr="00C9040A">
        <w:rPr>
          <w:rtl/>
        </w:rPr>
        <w:t xml:space="preserve"> ، ج 4 ، ص 333 ، ح 2052 ؛ </w:t>
      </w:r>
      <w:r w:rsidR="008A74EB" w:rsidRPr="00993B55">
        <w:rPr>
          <w:rStyle w:val="libFootnoteBoldChar"/>
          <w:rtl/>
        </w:rPr>
        <w:t>الوسائل</w:t>
      </w:r>
      <w:r w:rsidR="008A74EB" w:rsidRPr="00C9040A">
        <w:rPr>
          <w:rtl/>
        </w:rPr>
        <w:t xml:space="preserve"> ، ج 3 ، ص 258 ، ح 3573 ؛ </w:t>
      </w:r>
      <w:r w:rsidR="008A74EB" w:rsidRPr="00993B55">
        <w:rPr>
          <w:rStyle w:val="libFootnoteBoldChar"/>
          <w:rtl/>
        </w:rPr>
        <w:t>البحار</w:t>
      </w:r>
      <w:r w:rsidR="008A74EB" w:rsidRPr="00C9040A">
        <w:rPr>
          <w:rtl/>
        </w:rPr>
        <w:t xml:space="preserve"> ، ج 71 ، ص 81 ، ح 17.</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 </w:t>
      </w:r>
      <w:r w:rsidR="006D3162">
        <w:rPr>
          <w:rtl/>
        </w:rPr>
        <w:t xml:space="preserve">ه </w:t>
      </w:r>
      <w:r w:rsidR="008A74EB" w:rsidRPr="00C9040A">
        <w:rPr>
          <w:rtl/>
        </w:rPr>
        <w:t>» : « القاشاني »</w:t>
      </w:r>
      <w:r w:rsidR="008A74EB">
        <w:rPr>
          <w:rtl/>
        </w:rPr>
        <w:t>.</w:t>
      </w:r>
    </w:p>
    <w:p w:rsidR="008A74EB" w:rsidRPr="004A4E41" w:rsidRDefault="006C577F" w:rsidP="004A4E41">
      <w:pPr>
        <w:pStyle w:val="libFootnote0"/>
        <w:rPr>
          <w:rStyle w:val="libFootnote0Char"/>
          <w:rtl/>
        </w:rPr>
      </w:pPr>
      <w:r>
        <w:rPr>
          <w:rtl/>
        </w:rPr>
        <w:t>(7).</w:t>
      </w:r>
      <w:r w:rsidR="008A74EB" w:rsidRPr="00C9040A">
        <w:rPr>
          <w:rtl/>
        </w:rPr>
        <w:t xml:space="preserve"> في الوسائل </w:t>
      </w:r>
      <w:r w:rsidR="008A74EB">
        <w:rPr>
          <w:rtl/>
        </w:rPr>
        <w:t xml:space="preserve">: </w:t>
      </w:r>
      <w:r w:rsidR="0084262C">
        <w:rPr>
          <w:rtl/>
        </w:rPr>
        <w:t>-</w:t>
      </w:r>
      <w:r w:rsidR="008A74EB" w:rsidRPr="00C9040A">
        <w:rPr>
          <w:rtl/>
        </w:rPr>
        <w:t xml:space="preserve"> « جميعاً »</w:t>
      </w:r>
      <w:r w:rsidR="008A74EB">
        <w:rPr>
          <w:rtl/>
        </w:rPr>
        <w:t>.</w:t>
      </w:r>
    </w:p>
    <w:tbl>
      <w:tblPr>
        <w:tblStyle w:val="TableGrid"/>
        <w:bidiVisual/>
        <w:tblW w:w="0" w:type="auto"/>
        <w:tblLook w:val="04A0" w:firstRow="1" w:lastRow="0" w:firstColumn="1" w:lastColumn="0" w:noHBand="0" w:noVBand="1"/>
      </w:tblPr>
      <w:tblGrid>
        <w:gridCol w:w="4006"/>
        <w:gridCol w:w="4006"/>
      </w:tblGrid>
      <w:tr w:rsidR="00D65B5E" w:rsidTr="00D65B5E">
        <w:tc>
          <w:tcPr>
            <w:tcW w:w="4006" w:type="dxa"/>
          </w:tcPr>
          <w:p w:rsidR="00D65B5E" w:rsidRDefault="00D65B5E" w:rsidP="004A4E41">
            <w:pPr>
              <w:pStyle w:val="libFootnote0"/>
              <w:rPr>
                <w:rtl/>
              </w:rPr>
            </w:pPr>
            <w:r>
              <w:rPr>
                <w:rtl/>
              </w:rPr>
              <w:t>(8).</w:t>
            </w:r>
            <w:r w:rsidRPr="00C9040A">
              <w:rPr>
                <w:rtl/>
              </w:rPr>
              <w:t xml:space="preserve"> في « ز ، ص » : « الإصفهاني »</w:t>
            </w:r>
            <w:r>
              <w:rPr>
                <w:rtl/>
              </w:rPr>
              <w:t>.</w:t>
            </w:r>
          </w:p>
        </w:tc>
        <w:tc>
          <w:tcPr>
            <w:tcW w:w="4006" w:type="dxa"/>
          </w:tcPr>
          <w:p w:rsidR="00D65B5E" w:rsidRDefault="00D65B5E" w:rsidP="004A4E41">
            <w:pPr>
              <w:pStyle w:val="libFootnote0"/>
              <w:rPr>
                <w:rtl/>
              </w:rPr>
            </w:pPr>
            <w:r>
              <w:rPr>
                <w:rtl/>
              </w:rPr>
              <w:t>(9).</w:t>
            </w:r>
            <w:r w:rsidRPr="00C9040A">
              <w:rPr>
                <w:rtl/>
              </w:rPr>
              <w:t xml:space="preserve"> في « ب » وحاشية « د » : + « لي »</w:t>
            </w:r>
            <w:r>
              <w:rPr>
                <w:rtl/>
              </w:rPr>
              <w:t>.</w:t>
            </w:r>
          </w:p>
        </w:tc>
      </w:tr>
    </w:tbl>
    <w:p w:rsidR="008A74EB" w:rsidRPr="00C9040A" w:rsidRDefault="006C577F" w:rsidP="004A4E41">
      <w:pPr>
        <w:pStyle w:val="libFootnote0"/>
        <w:rPr>
          <w:rtl/>
          <w:lang w:bidi="fa-IR"/>
        </w:rPr>
      </w:pPr>
      <w:r>
        <w:rPr>
          <w:rtl/>
        </w:rPr>
        <w:t>(10).</w:t>
      </w:r>
      <w:r w:rsidR="008A74EB" w:rsidRPr="00C9040A">
        <w:rPr>
          <w:rtl/>
        </w:rPr>
        <w:t xml:space="preserve"> في شرح المازندراني </w:t>
      </w:r>
      <w:r w:rsidR="008A74EB">
        <w:rPr>
          <w:rtl/>
        </w:rPr>
        <w:t xml:space="preserve">: </w:t>
      </w:r>
      <w:r w:rsidR="0084262C">
        <w:rPr>
          <w:rtl/>
        </w:rPr>
        <w:t>-</w:t>
      </w:r>
      <w:r w:rsidR="008A74EB" w:rsidRPr="00C9040A">
        <w:rPr>
          <w:rtl/>
        </w:rPr>
        <w:t xml:space="preserve"> « إنّ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ثُمَّ قَالَ : « عَلَيْكَ بِالصَّبْرِ فِي جَمِيعِ أُمُورِكَ ؛ فَإِنَّ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بَعَثَ مُحَمَّداً </w:t>
      </w:r>
      <w:r w:rsidR="004A4E41" w:rsidRPr="004A4E41">
        <w:rPr>
          <w:rStyle w:val="libAlaemChar"/>
          <w:rtl/>
        </w:rPr>
        <w:t>صلى‌الله‌عليه‌وآله</w:t>
      </w:r>
      <w:r w:rsidRPr="00C9040A">
        <w:rPr>
          <w:rtl/>
          <w:lang w:bidi="fa-IR"/>
        </w:rPr>
        <w:t xml:space="preserve"> ، فَأَمَرَهُ </w:t>
      </w:r>
      <w:r w:rsidR="006C577F" w:rsidRPr="006C577F">
        <w:rPr>
          <w:rStyle w:val="libFootnotenumChar"/>
          <w:rtl/>
        </w:rPr>
        <w:t>(1)</w:t>
      </w:r>
      <w:r w:rsidRPr="002712F0">
        <w:rPr>
          <w:rFonts w:hint="cs"/>
          <w:rtl/>
        </w:rPr>
        <w:t xml:space="preserve"> </w:t>
      </w:r>
      <w:r w:rsidRPr="00C9040A">
        <w:rPr>
          <w:rtl/>
          <w:lang w:bidi="fa-IR"/>
        </w:rPr>
        <w:t xml:space="preserve">بِالصَّبْرِ وَالرِّفْقِ ، فَقَالَ </w:t>
      </w:r>
      <w:r w:rsidR="006C577F" w:rsidRPr="006C577F">
        <w:rPr>
          <w:rStyle w:val="libFootnotenumChar"/>
          <w:rtl/>
        </w:rPr>
        <w:t>(2)</w:t>
      </w:r>
      <w:r w:rsidRPr="00C9040A">
        <w:rPr>
          <w:rtl/>
          <w:lang w:bidi="fa-IR"/>
        </w:rPr>
        <w:t xml:space="preserve"> : </w:t>
      </w:r>
      <w:r w:rsidRPr="0003660B">
        <w:rPr>
          <w:rStyle w:val="libAlaemChar"/>
          <w:rtl/>
        </w:rPr>
        <w:t>(</w:t>
      </w:r>
      <w:r w:rsidRPr="006A2246">
        <w:rPr>
          <w:rStyle w:val="libAieChar"/>
          <w:rtl/>
        </w:rPr>
        <w:t xml:space="preserve"> وَاصْبِرْ عَلى ما يَقُولُونَ وَاهْجُرْهُمْ هَجْراً جَمِيلاً</w:t>
      </w:r>
      <w:r w:rsidRPr="00BF171D">
        <w:rPr>
          <w:rFonts w:hint="cs"/>
          <w:rtl/>
        </w:rPr>
        <w:t xml:space="preserve"> </w:t>
      </w:r>
      <w:r w:rsidR="006C577F" w:rsidRPr="006C577F">
        <w:rPr>
          <w:rStyle w:val="libFootnotenumChar"/>
          <w:rtl/>
        </w:rPr>
        <w:t>(3)</w:t>
      </w:r>
      <w:r>
        <w:rPr>
          <w:rFonts w:hint="cs"/>
          <w:rtl/>
        </w:rPr>
        <w:t xml:space="preserve"> </w:t>
      </w:r>
      <w:r w:rsidR="00D65B5E" w:rsidRPr="00D65B5E">
        <w:rPr>
          <w:rStyle w:val="libAieChar"/>
          <w:rFonts w:hint="cs"/>
          <w:rtl/>
        </w:rPr>
        <w:t>*</w:t>
      </w:r>
      <w:r w:rsidR="00D65B5E">
        <w:rPr>
          <w:rFonts w:hint="cs"/>
          <w:rtl/>
        </w:rPr>
        <w:t xml:space="preserve"> </w:t>
      </w:r>
      <w:r w:rsidRPr="006A2246">
        <w:rPr>
          <w:rStyle w:val="libAieChar"/>
          <w:rtl/>
        </w:rPr>
        <w:t xml:space="preserve">وَذَرْنِي وَالْمُكَذِّبِينَ أُولِي النَّعْمَةِ </w:t>
      </w:r>
      <w:r w:rsidRPr="0003660B">
        <w:rPr>
          <w:rStyle w:val="libAlaemChar"/>
          <w:rtl/>
        </w:rPr>
        <w:t>)</w:t>
      </w:r>
      <w:r w:rsidRPr="00C9040A">
        <w:rPr>
          <w:rtl/>
          <w:lang w:bidi="fa-IR"/>
        </w:rPr>
        <w:t xml:space="preserve"> </w:t>
      </w:r>
      <w:r w:rsidR="006C577F" w:rsidRPr="006C577F">
        <w:rPr>
          <w:rStyle w:val="libFootnotenumChar"/>
          <w:rtl/>
        </w:rPr>
        <w:t>(4)</w:t>
      </w:r>
      <w:r w:rsidRPr="00C9040A">
        <w:rPr>
          <w:rtl/>
          <w:lang w:bidi="fa-IR"/>
        </w:rPr>
        <w:t xml:space="preserve"> وَقَالَ تَبَارَكَ وَتَعَالى : </w:t>
      </w:r>
      <w:r w:rsidRPr="0003660B">
        <w:rPr>
          <w:rStyle w:val="libAlaemChar"/>
          <w:rtl/>
        </w:rPr>
        <w:t>(</w:t>
      </w:r>
      <w:r w:rsidRPr="006A2246">
        <w:rPr>
          <w:rStyle w:val="libAieChar"/>
          <w:rtl/>
        </w:rPr>
        <w:t xml:space="preserve"> ادْفَعْ بِالَّتِي هِيَ أَحْسَنُ</w:t>
      </w:r>
      <w:r>
        <w:rPr>
          <w:rFonts w:hint="cs"/>
          <w:rtl/>
        </w:rPr>
        <w:t xml:space="preserve"> </w:t>
      </w:r>
      <w:r w:rsidR="006C577F" w:rsidRPr="006C577F">
        <w:rPr>
          <w:rStyle w:val="libFootnotenumChar"/>
          <w:rtl/>
        </w:rPr>
        <w:t>(5)</w:t>
      </w:r>
      <w:r>
        <w:rPr>
          <w:rFonts w:hint="cs"/>
          <w:rtl/>
        </w:rPr>
        <w:t xml:space="preserve"> </w:t>
      </w:r>
      <w:r w:rsidRPr="006A2246">
        <w:rPr>
          <w:rStyle w:val="libAieChar"/>
          <w:rtl/>
        </w:rPr>
        <w:t>فَإِذَا الَّذِي بَيْنَكَ وَبَيْنَهُ عَداوَةٌ كَأَنَّهُ وَلِيٌّ حَمِيمٌ</w:t>
      </w:r>
      <w:r>
        <w:rPr>
          <w:rFonts w:hint="cs"/>
          <w:rtl/>
        </w:rPr>
        <w:t xml:space="preserve"> </w:t>
      </w:r>
      <w:r w:rsidR="006C577F" w:rsidRPr="006C577F">
        <w:rPr>
          <w:rStyle w:val="libFootnotenumChar"/>
          <w:rtl/>
        </w:rPr>
        <w:t>(6)</w:t>
      </w:r>
      <w:r>
        <w:rPr>
          <w:rFonts w:hint="cs"/>
          <w:rtl/>
        </w:rPr>
        <w:t xml:space="preserve"> </w:t>
      </w:r>
      <w:r w:rsidR="00D65B5E" w:rsidRPr="00D65B5E">
        <w:rPr>
          <w:rStyle w:val="libAieChar"/>
          <w:rFonts w:hint="cs"/>
          <w:rtl/>
        </w:rPr>
        <w:t>*</w:t>
      </w:r>
      <w:r w:rsidR="00D65B5E">
        <w:rPr>
          <w:rFonts w:hint="cs"/>
          <w:rtl/>
        </w:rPr>
        <w:t xml:space="preserve"> </w:t>
      </w:r>
      <w:r w:rsidR="00D65B5E">
        <w:rPr>
          <w:rStyle w:val="libAieChar"/>
          <w:rtl/>
        </w:rPr>
        <w:t>وَما يُلَقّاها إِل</w:t>
      </w:r>
      <w:r w:rsidR="00D65B5E">
        <w:rPr>
          <w:rStyle w:val="libAieChar"/>
          <w:rFonts w:hint="cs"/>
          <w:rtl/>
        </w:rPr>
        <w:t>َّ</w:t>
      </w:r>
      <w:r w:rsidR="00D65B5E">
        <w:rPr>
          <w:rStyle w:val="libAieChar"/>
          <w:rtl/>
        </w:rPr>
        <w:t>ا</w:t>
      </w:r>
      <w:r w:rsidRPr="006A2246">
        <w:rPr>
          <w:rStyle w:val="libAieChar"/>
          <w:rtl/>
        </w:rPr>
        <w:t xml:space="preserve"> الَّذِينَ صَبَرُوا وَم</w:t>
      </w:r>
      <w:r w:rsidR="00D65B5E">
        <w:rPr>
          <w:rStyle w:val="libAieChar"/>
          <w:rtl/>
        </w:rPr>
        <w:t>ا يُلَقّاها إِل</w:t>
      </w:r>
      <w:r w:rsidR="00D65B5E">
        <w:rPr>
          <w:rStyle w:val="libAieChar"/>
          <w:rFonts w:hint="cs"/>
          <w:rtl/>
        </w:rPr>
        <w:t>ّ</w:t>
      </w:r>
      <w:r w:rsidR="00D65B5E">
        <w:rPr>
          <w:rStyle w:val="libAieChar"/>
          <w:rtl/>
        </w:rPr>
        <w:t>ا</w:t>
      </w:r>
      <w:r w:rsidRPr="006A2246">
        <w:rPr>
          <w:rStyle w:val="libAieChar"/>
          <w:rtl/>
        </w:rPr>
        <w:t xml:space="preserve"> ذُو حَظٍّ عَظِيمٍ</w:t>
      </w:r>
      <w:r w:rsidRPr="0003660B">
        <w:rPr>
          <w:rStyle w:val="libAlaemChar"/>
          <w:rtl/>
        </w:rPr>
        <w:t>)</w:t>
      </w:r>
      <w:r w:rsidR="006C577F" w:rsidRPr="006C577F">
        <w:rPr>
          <w:rStyle w:val="libFootnotenumChar"/>
          <w:rtl/>
        </w:rPr>
        <w:t>(7)</w:t>
      </w:r>
    </w:p>
    <w:p w:rsidR="008A74EB" w:rsidRPr="00C9040A" w:rsidRDefault="008A74EB" w:rsidP="008A74EB">
      <w:pPr>
        <w:pStyle w:val="libNormal"/>
        <w:rPr>
          <w:rtl/>
          <w:lang w:bidi="fa-IR"/>
        </w:rPr>
      </w:pPr>
      <w:r w:rsidRPr="00C9040A">
        <w:rPr>
          <w:rtl/>
          <w:lang w:bidi="fa-IR"/>
        </w:rPr>
        <w:t xml:space="preserve">فَصَبَرَ رَسُولُ اللهِ </w:t>
      </w:r>
      <w:r w:rsidR="006C577F" w:rsidRPr="006C577F">
        <w:rPr>
          <w:rStyle w:val="libFootnotenumChar"/>
          <w:rtl/>
        </w:rPr>
        <w:t>(8)</w:t>
      </w:r>
      <w:r w:rsidRPr="00C9040A">
        <w:rPr>
          <w:rtl/>
          <w:lang w:bidi="fa-IR"/>
        </w:rPr>
        <w:t xml:space="preserve"> </w:t>
      </w:r>
      <w:r w:rsidR="004A4E41" w:rsidRPr="004A4E41">
        <w:rPr>
          <w:rStyle w:val="libAlaemChar"/>
          <w:rtl/>
        </w:rPr>
        <w:t>صلى‌الله‌عليه‌وآله</w:t>
      </w:r>
      <w:r w:rsidRPr="00C9040A">
        <w:rPr>
          <w:rtl/>
          <w:lang w:bidi="fa-IR"/>
        </w:rPr>
        <w:t xml:space="preserve"> حَتّى نَالُوهُ </w:t>
      </w:r>
      <w:r w:rsidR="006C577F" w:rsidRPr="006C577F">
        <w:rPr>
          <w:rStyle w:val="libFootnotenumChar"/>
          <w:rtl/>
        </w:rPr>
        <w:t>(9)</w:t>
      </w:r>
      <w:r w:rsidRPr="00C9040A">
        <w:rPr>
          <w:rtl/>
          <w:lang w:bidi="fa-IR"/>
        </w:rPr>
        <w:t xml:space="preserve"> بِالْعَظَائِمِ ، وَرَمَوْهُ بِهَا ، فَضَاقَ صَدْرُهُ ، فَأَنْزَلَ اللهُ عَزَّ وَجَلَّ : </w:t>
      </w:r>
      <w:r w:rsidRPr="0003660B">
        <w:rPr>
          <w:rStyle w:val="libAlaemChar"/>
          <w:rtl/>
        </w:rPr>
        <w:t>(</w:t>
      </w:r>
      <w:r w:rsidRPr="006A2246">
        <w:rPr>
          <w:rStyle w:val="libAieChar"/>
          <w:rtl/>
        </w:rPr>
        <w:t xml:space="preserve"> وَلَقَدْ نَعْلَمُ أَنَّكَ يَضِيقُ صَدْرُكَ بِما يَقُولُونَ </w:t>
      </w:r>
      <w:r w:rsidR="00D65B5E">
        <w:rPr>
          <w:rStyle w:val="libAieChar"/>
          <w:rFonts w:hint="cs"/>
          <w:rtl/>
        </w:rPr>
        <w:t xml:space="preserve">* </w:t>
      </w:r>
      <w:r w:rsidRPr="006A2246">
        <w:rPr>
          <w:rStyle w:val="libAieChar"/>
          <w:rtl/>
        </w:rPr>
        <w:t xml:space="preserve">فَسَبِّحْ بِحَمْدِ رَبِّكَ وَكُنْ مِنَ السّاجِدِينَ </w:t>
      </w:r>
      <w:r w:rsidRPr="0003660B">
        <w:rPr>
          <w:rStyle w:val="libAlaemChar"/>
          <w:rtl/>
        </w:rPr>
        <w:t>)</w:t>
      </w:r>
      <w:r w:rsidRPr="00C9040A">
        <w:rPr>
          <w:rtl/>
          <w:lang w:bidi="fa-IR"/>
        </w:rPr>
        <w:t xml:space="preserve"> </w:t>
      </w:r>
      <w:r w:rsidR="006C577F" w:rsidRPr="006C577F">
        <w:rPr>
          <w:rStyle w:val="libFootnotenumChar"/>
          <w:rtl/>
        </w:rPr>
        <w:t>(10)</w:t>
      </w:r>
      <w:r w:rsidRPr="00C9040A">
        <w:rPr>
          <w:rtl/>
          <w:lang w:bidi="fa-IR"/>
        </w:rPr>
        <w:t xml:space="preserve"> ثُمَّ كَذَّبُوهُ وَرَمَوْهُ </w:t>
      </w:r>
      <w:r w:rsidR="006C577F" w:rsidRPr="006C577F">
        <w:rPr>
          <w:rStyle w:val="libFootnotenumChar"/>
          <w:rtl/>
        </w:rPr>
        <w:t>(11)</w:t>
      </w:r>
      <w:r w:rsidRPr="00C9040A">
        <w:rPr>
          <w:rtl/>
          <w:lang w:bidi="fa-IR"/>
        </w:rPr>
        <w:t xml:space="preserve"> ، فَحَزِنَ لِذلِكَ ، فَأَنْزَلَ اللهُ عَزَّ وَجَلَّ : </w:t>
      </w:r>
      <w:r w:rsidRPr="0003660B">
        <w:rPr>
          <w:rStyle w:val="libAlaemChar"/>
          <w:rtl/>
        </w:rPr>
        <w:t>(</w:t>
      </w:r>
      <w:r w:rsidRPr="006A2246">
        <w:rPr>
          <w:rStyle w:val="libAieChar"/>
          <w:rtl/>
        </w:rPr>
        <w:t xml:space="preserve"> قَدْ نَعْلَمُ إِنَّهُ لَيَحْزُنُكَ الَّذِي يَقُولُونَ فَإِنَّهُمْ لا يُكَذِّبُونَكَ وَلكِنَّ الظّالِمِينَ بِآياتِ اللهِ يَجْحَدُونَ </w:t>
      </w:r>
      <w:r w:rsidR="00D65B5E">
        <w:rPr>
          <w:rStyle w:val="libAieChar"/>
          <w:rFonts w:hint="cs"/>
          <w:rtl/>
        </w:rPr>
        <w:t xml:space="preserve">* </w:t>
      </w:r>
      <w:r w:rsidRPr="006A2246">
        <w:rPr>
          <w:rStyle w:val="libAieChar"/>
          <w:rtl/>
        </w:rPr>
        <w:t xml:space="preserve">وَلَقَدْ كُذِّبَتْ رُسُلٌ مِنْ قَبْلِكَ فَصَبَرُوا عَلى ما كُذِّبُوا وَأُوذُوا حَتّى أَتاهُمْ نَصْرُنا </w:t>
      </w:r>
      <w:r w:rsidRPr="0003660B">
        <w:rPr>
          <w:rStyle w:val="libAlaemChar"/>
          <w:rtl/>
        </w:rPr>
        <w:t>)</w:t>
      </w:r>
      <w:r w:rsidRPr="00C9040A">
        <w:rPr>
          <w:rtl/>
          <w:lang w:bidi="fa-IR"/>
        </w:rPr>
        <w:t xml:space="preserve"> </w:t>
      </w:r>
      <w:r w:rsidR="006C577F" w:rsidRPr="006C577F">
        <w:rPr>
          <w:rStyle w:val="libFootnotenumChar"/>
          <w:rtl/>
        </w:rPr>
        <w:t>(12)</w:t>
      </w:r>
      <w:r w:rsidR="00D65B5E" w:rsidRPr="00D65B5E">
        <w:rPr>
          <w:rFonts w:hint="cs"/>
          <w:rtl/>
        </w:rPr>
        <w:t>.</w:t>
      </w:r>
    </w:p>
    <w:p w:rsidR="008A74EB" w:rsidRPr="00C9040A" w:rsidRDefault="008A74EB" w:rsidP="008A74EB">
      <w:pPr>
        <w:pStyle w:val="libNormal"/>
        <w:rPr>
          <w:rtl/>
          <w:lang w:bidi="fa-IR"/>
        </w:rPr>
      </w:pPr>
      <w:r w:rsidRPr="00C9040A">
        <w:rPr>
          <w:rtl/>
          <w:lang w:bidi="fa-IR"/>
        </w:rPr>
        <w:t xml:space="preserve">فَأَلْزَمَ </w:t>
      </w:r>
      <w:r w:rsidRPr="005B567D">
        <w:rPr>
          <w:rStyle w:val="libFootnotenumChar"/>
          <w:rtl/>
        </w:rPr>
        <w:t>(13)</w:t>
      </w:r>
      <w:r w:rsidRPr="00C9040A">
        <w:rPr>
          <w:rtl/>
          <w:lang w:bidi="fa-IR"/>
        </w:rPr>
        <w:t xml:space="preserve"> النَّبِيُّ </w:t>
      </w:r>
      <w:r w:rsidR="004A4E41" w:rsidRPr="004A4E41">
        <w:rPr>
          <w:rStyle w:val="libAlaemChar"/>
          <w:rtl/>
        </w:rPr>
        <w:t>صلى‌الله‌عليه‌وآله</w:t>
      </w:r>
      <w:r w:rsidRPr="00C9040A">
        <w:rPr>
          <w:rtl/>
          <w:lang w:bidi="fa-IR"/>
        </w:rPr>
        <w:t xml:space="preserve"> </w:t>
      </w:r>
      <w:r w:rsidRPr="005B567D">
        <w:rPr>
          <w:rStyle w:val="libFootnotenumChar"/>
          <w:rtl/>
        </w:rPr>
        <w:t>(14)</w:t>
      </w:r>
      <w:r w:rsidRPr="00C9040A">
        <w:rPr>
          <w:rtl/>
          <w:lang w:bidi="fa-IR"/>
        </w:rPr>
        <w:t xml:space="preserve"> نَفْسَهُ الصَّبْرَ </w:t>
      </w:r>
      <w:r w:rsidRPr="005B567D">
        <w:rPr>
          <w:rStyle w:val="libFootnotenumChar"/>
          <w:rtl/>
        </w:rPr>
        <w:t>(15)</w:t>
      </w:r>
      <w:r w:rsidRPr="00C9040A">
        <w:rPr>
          <w:rtl/>
          <w:lang w:bidi="fa-IR"/>
        </w:rPr>
        <w:t xml:space="preserve"> ، فَتَعَدَّوْا ، فَذَكَرُوا </w:t>
      </w:r>
      <w:r w:rsidRPr="005B567D">
        <w:rPr>
          <w:rStyle w:val="libFootnotenumChar"/>
          <w:rtl/>
        </w:rPr>
        <w:t>(16)</w:t>
      </w:r>
      <w:r w:rsidRPr="00C9040A">
        <w:rPr>
          <w:rtl/>
          <w:lang w:bidi="fa-IR"/>
        </w:rPr>
        <w:t xml:space="preserve"> اللهَ</w:t>
      </w:r>
      <w:r>
        <w:rPr>
          <w:rtl/>
          <w:lang w:bidi="fa-IR"/>
        </w:rPr>
        <w:t xml:space="preserve"> </w:t>
      </w:r>
      <w:r w:rsidR="0084262C">
        <w:rPr>
          <w:rtl/>
          <w:lang w:bidi="fa-IR"/>
        </w:rPr>
        <w:t>-</w:t>
      </w:r>
      <w:r>
        <w:rPr>
          <w:rtl/>
          <w:lang w:bidi="fa-IR"/>
        </w:rPr>
        <w:t xml:space="preserve"> </w:t>
      </w:r>
      <w:r w:rsidRPr="00C9040A">
        <w:rPr>
          <w:rtl/>
          <w:lang w:bidi="fa-IR"/>
        </w:rPr>
        <w:t>تَبَارَكَ‌</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تفسير القمّي : « وأمره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حاشية « ف » : + « </w:t>
      </w:r>
      <w:r w:rsidR="00893E43" w:rsidRPr="00AC2E2F">
        <w:rPr>
          <w:rStyle w:val="libFootnoteAlaemChar"/>
          <w:rFonts w:hint="cs"/>
          <w:rtl/>
        </w:rPr>
        <w:t>(</w:t>
      </w:r>
      <w:r w:rsidR="008A74EB" w:rsidRPr="00893E43">
        <w:rPr>
          <w:rStyle w:val="libFootnoteAieChar"/>
          <w:rtl/>
        </w:rPr>
        <w:t xml:space="preserve"> فَاصْبِرْ كَمَا صَبَرَ أُوْلُوا الْعَزْمِ مِنَ الرُّسُلِ </w:t>
      </w:r>
      <w:r w:rsidR="00893E43" w:rsidRPr="00AC2E2F">
        <w:rPr>
          <w:rStyle w:val="libFootnoteAlaemChar"/>
          <w:rFonts w:hint="cs"/>
          <w:rtl/>
        </w:rPr>
        <w:t>)</w:t>
      </w:r>
      <w:r w:rsidR="008A74EB">
        <w:rPr>
          <w:rtl/>
        </w:rPr>
        <w:t>.</w:t>
      </w:r>
      <w:r w:rsidR="008A74EB" w:rsidRPr="00C9040A">
        <w:rPr>
          <w:rtl/>
        </w:rPr>
        <w:t xml:space="preserve"> وقال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w:t>
      </w:r>
      <w:r w:rsidR="008A74EB" w:rsidRPr="00993B55">
        <w:rPr>
          <w:rStyle w:val="libFootnoteBoldChar"/>
          <w:rtl/>
        </w:rPr>
        <w:t>شرح المازندراني</w:t>
      </w:r>
      <w:r w:rsidR="008A74EB" w:rsidRPr="00C9040A">
        <w:rPr>
          <w:rtl/>
        </w:rPr>
        <w:t xml:space="preserve"> ، ج 8 ، ص 263 : « الهجر الجميل هو أن يجانبهم ويداريهم ولا يكافيهم ويكل أمرهم إلى الله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المزّمّل (73) : 10</w:t>
      </w:r>
      <w:r w:rsidR="008A74EB">
        <w:rPr>
          <w:rtl/>
        </w:rPr>
        <w:t xml:space="preserve"> </w:t>
      </w:r>
      <w:r w:rsidR="0084262C">
        <w:rPr>
          <w:rtl/>
        </w:rPr>
        <w:t>-</w:t>
      </w:r>
      <w:r w:rsidR="008A74EB">
        <w:rPr>
          <w:rtl/>
        </w:rPr>
        <w:t xml:space="preserve"> </w:t>
      </w:r>
      <w:r w:rsidR="008A74EB" w:rsidRPr="00C9040A">
        <w:rPr>
          <w:rtl/>
        </w:rPr>
        <w:t xml:space="preserve">11. وفي تفسير القمّي </w:t>
      </w:r>
      <w:r w:rsidR="008A74EB">
        <w:rPr>
          <w:rtl/>
        </w:rPr>
        <w:t xml:space="preserve">: </w:t>
      </w:r>
      <w:r w:rsidR="0084262C">
        <w:rPr>
          <w:rtl/>
        </w:rPr>
        <w:t>-</w:t>
      </w:r>
      <w:r w:rsidR="008A74EB" w:rsidRPr="00C9040A">
        <w:rPr>
          <w:rtl/>
        </w:rPr>
        <w:t xml:space="preserve"> </w:t>
      </w:r>
      <w:r w:rsidR="00893E43" w:rsidRPr="00AC2E2F">
        <w:rPr>
          <w:rStyle w:val="libFootnoteAlaemChar"/>
          <w:rFonts w:hint="cs"/>
          <w:rtl/>
        </w:rPr>
        <w:t>(</w:t>
      </w:r>
      <w:r w:rsidR="008A74EB" w:rsidRPr="00893E43">
        <w:rPr>
          <w:rStyle w:val="libFootnoteAieChar"/>
          <w:rtl/>
        </w:rPr>
        <w:t xml:space="preserve"> وَذَرْنِى وَالْمُكَذّبِينَ أُوْلِى النَّعْمَةِ </w:t>
      </w:r>
      <w:r w:rsidR="00893E43" w:rsidRPr="00AC2E2F">
        <w:rPr>
          <w:rStyle w:val="libFootnoteAlaemChar"/>
          <w:rFonts w:hint="cs"/>
          <w:rtl/>
        </w:rPr>
        <w:t>)</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هكذا في القرآن </w:t>
      </w:r>
      <w:r w:rsidR="008A74EB">
        <w:rPr>
          <w:rtl/>
        </w:rPr>
        <w:t>و «</w:t>
      </w:r>
      <w:r w:rsidR="008A74EB" w:rsidRPr="00C9040A">
        <w:rPr>
          <w:rtl/>
        </w:rPr>
        <w:t xml:space="preserve"> </w:t>
      </w:r>
      <w:r w:rsidR="006D3162">
        <w:rPr>
          <w:rtl/>
        </w:rPr>
        <w:t xml:space="preserve">ه </w:t>
      </w:r>
      <w:r w:rsidR="008A74EB" w:rsidRPr="00C9040A">
        <w:rPr>
          <w:rtl/>
        </w:rPr>
        <w:t>» والوافي والوسائل. وفي سائر النسخ التي بأيدينا والمطبوع : + « السيّئة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ف » : + « وقال »</w:t>
      </w:r>
      <w:r w:rsidR="008A74EB">
        <w:rPr>
          <w:rtl/>
        </w:rPr>
        <w:t>.</w:t>
      </w:r>
    </w:p>
    <w:p w:rsidR="008A74EB" w:rsidRPr="00C9040A" w:rsidRDefault="006C577F" w:rsidP="00AC2E2F">
      <w:pPr>
        <w:pStyle w:val="libFootnote0"/>
        <w:rPr>
          <w:rtl/>
          <w:lang w:bidi="fa-IR"/>
        </w:rPr>
      </w:pPr>
      <w:r>
        <w:rPr>
          <w:rtl/>
        </w:rPr>
        <w:t>(7).</w:t>
      </w:r>
      <w:r w:rsidR="008A74EB" w:rsidRPr="00C9040A">
        <w:rPr>
          <w:rtl/>
        </w:rPr>
        <w:t xml:space="preserve"> فصّلت (41) : 34</w:t>
      </w:r>
      <w:r w:rsidR="008A74EB">
        <w:rPr>
          <w:rtl/>
        </w:rPr>
        <w:t xml:space="preserve"> </w:t>
      </w:r>
      <w:r w:rsidR="0084262C">
        <w:rPr>
          <w:rtl/>
        </w:rPr>
        <w:t>-</w:t>
      </w:r>
      <w:r w:rsidR="008A74EB">
        <w:rPr>
          <w:rtl/>
        </w:rPr>
        <w:t xml:space="preserve"> </w:t>
      </w:r>
      <w:r w:rsidR="008A74EB" w:rsidRPr="00C9040A">
        <w:rPr>
          <w:rtl/>
        </w:rPr>
        <w:t xml:space="preserve">35. وفي تفسير القمّي </w:t>
      </w:r>
      <w:r w:rsidR="008A74EB">
        <w:rPr>
          <w:rtl/>
        </w:rPr>
        <w:t xml:space="preserve">: </w:t>
      </w:r>
      <w:r w:rsidR="0084262C">
        <w:rPr>
          <w:rtl/>
        </w:rPr>
        <w:t>-</w:t>
      </w:r>
      <w:r w:rsidR="008A74EB" w:rsidRPr="00C9040A">
        <w:rPr>
          <w:rtl/>
        </w:rPr>
        <w:t xml:space="preserve"> </w:t>
      </w:r>
      <w:r w:rsidR="00893E43" w:rsidRPr="00AC2E2F">
        <w:rPr>
          <w:rStyle w:val="libFootnoteAlaemChar"/>
          <w:rFonts w:hint="cs"/>
          <w:rtl/>
        </w:rPr>
        <w:t>(</w:t>
      </w:r>
      <w:r w:rsidR="008A74EB" w:rsidRPr="00893E43">
        <w:rPr>
          <w:rStyle w:val="libFootnoteAieChar"/>
          <w:rtl/>
        </w:rPr>
        <w:t xml:space="preserve"> وَمَا يُلَقَّل</w:t>
      </w:r>
      <w:r w:rsidR="00893E43" w:rsidRPr="00893E43">
        <w:rPr>
          <w:rStyle w:val="libFootnoteAieChar"/>
          <w:rFonts w:hint="cs"/>
          <w:rtl/>
        </w:rPr>
        <w:t>ا</w:t>
      </w:r>
      <w:r w:rsidR="00893E43" w:rsidRPr="00893E43">
        <w:rPr>
          <w:rStyle w:val="libFootnoteAieChar"/>
          <w:rtl/>
        </w:rPr>
        <w:t>هَآ إِل</w:t>
      </w:r>
      <w:r w:rsidR="00893E43" w:rsidRPr="00893E43">
        <w:rPr>
          <w:rStyle w:val="libFootnoteAieChar"/>
          <w:rFonts w:hint="cs"/>
          <w:rtl/>
        </w:rPr>
        <w:t>َّ</w:t>
      </w:r>
      <w:r w:rsidR="00893E43" w:rsidRPr="00893E43">
        <w:rPr>
          <w:rStyle w:val="libFootnoteAieChar"/>
          <w:rtl/>
        </w:rPr>
        <w:t>ا</w:t>
      </w:r>
      <w:r w:rsidR="008A74EB" w:rsidRPr="00893E43">
        <w:rPr>
          <w:rStyle w:val="libFootnoteAieChar"/>
          <w:rtl/>
        </w:rPr>
        <w:t xml:space="preserve"> الَّذِينَ </w:t>
      </w:r>
      <w:r w:rsidR="00AC2E2F">
        <w:rPr>
          <w:rStyle w:val="libFootnoteAlaemChar"/>
          <w:rFonts w:hint="cs"/>
          <w:rtl/>
        </w:rPr>
        <w:t>)</w:t>
      </w:r>
      <w:r w:rsidR="008A74EB">
        <w:rPr>
          <w:rtl/>
        </w:rPr>
        <w:t xml:space="preserve"> </w:t>
      </w:r>
      <w:r w:rsidR="0084262C">
        <w:rPr>
          <w:rtl/>
        </w:rPr>
        <w:t>-</w:t>
      </w:r>
      <w:r w:rsidR="008A74EB">
        <w:rPr>
          <w:rtl/>
        </w:rPr>
        <w:t xml:space="preserve"> </w:t>
      </w:r>
      <w:r w:rsidR="008A74EB" w:rsidRPr="00C9040A">
        <w:rPr>
          <w:rtl/>
        </w:rPr>
        <w:t>إلى</w:t>
      </w:r>
      <w:r w:rsidR="008A74EB">
        <w:rPr>
          <w:rtl/>
        </w:rPr>
        <w:t xml:space="preserve"> </w:t>
      </w:r>
      <w:r w:rsidR="00893E43">
        <w:rPr>
          <w:rtl/>
        </w:rPr>
        <w:t>–</w:t>
      </w:r>
      <w:r w:rsidR="008A74EB">
        <w:rPr>
          <w:rtl/>
        </w:rPr>
        <w:t xml:space="preserve"> </w:t>
      </w:r>
      <w:r w:rsidR="00893E43" w:rsidRPr="00AC2E2F">
        <w:rPr>
          <w:rStyle w:val="libFootnoteAlaemChar"/>
          <w:rFonts w:hint="cs"/>
          <w:rtl/>
        </w:rPr>
        <w:t>(</w:t>
      </w:r>
      <w:r w:rsidR="008A74EB" w:rsidRPr="00893E43">
        <w:rPr>
          <w:rStyle w:val="libFootnoteAieChar"/>
          <w:rtl/>
        </w:rPr>
        <w:t xml:space="preserve"> عَظِيمْ </w:t>
      </w:r>
      <w:r w:rsidR="00893E43" w:rsidRPr="00AC2E2F">
        <w:rPr>
          <w:rStyle w:val="libFootnoteAlaemChar"/>
          <w:rFonts w:hint="cs"/>
          <w:rtl/>
        </w:rPr>
        <w:t>)</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 د ، ز ، ص ، ض ، ف ، </w:t>
      </w:r>
      <w:r w:rsidR="006D3162">
        <w:rPr>
          <w:rtl/>
        </w:rPr>
        <w:t xml:space="preserve">ه </w:t>
      </w:r>
      <w:r w:rsidR="008A74EB" w:rsidRPr="00C9040A">
        <w:rPr>
          <w:rtl/>
        </w:rPr>
        <w:t xml:space="preserve">، بر ، بس ، بف » والوافي والوسائل والبحار </w:t>
      </w:r>
      <w:r w:rsidR="008A74EB">
        <w:rPr>
          <w:rtl/>
        </w:rPr>
        <w:t xml:space="preserve">: </w:t>
      </w:r>
      <w:r w:rsidR="0084262C">
        <w:rPr>
          <w:rtl/>
        </w:rPr>
        <w:t>-</w:t>
      </w:r>
      <w:r w:rsidR="008A74EB" w:rsidRPr="00C9040A">
        <w:rPr>
          <w:rtl/>
        </w:rPr>
        <w:t xml:space="preserve"> « رسول الله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تفسير القمّي : « قابلوه »</w:t>
      </w:r>
      <w:r w:rsidR="008A74EB">
        <w:rPr>
          <w:rtl/>
        </w:rPr>
        <w:t>.</w:t>
      </w:r>
      <w:r w:rsidR="008A74EB" w:rsidRPr="00C9040A">
        <w:rPr>
          <w:rtl/>
        </w:rPr>
        <w:t xml:space="preserve"> ونِلْتُه أنيلُه وأناله نَيلاً : أصبتُه. </w:t>
      </w:r>
      <w:r w:rsidR="008A74EB" w:rsidRPr="00993B55">
        <w:rPr>
          <w:rStyle w:val="libFootnoteBoldChar"/>
          <w:rtl/>
        </w:rPr>
        <w:t>القاموس المحيط</w:t>
      </w:r>
      <w:r w:rsidR="008A74EB" w:rsidRPr="00C9040A">
        <w:rPr>
          <w:rtl/>
        </w:rPr>
        <w:t xml:space="preserve"> ، ج 2 ، ص 1407 ( نيل )</w:t>
      </w:r>
      <w:r w:rsidR="008A74EB">
        <w:rPr>
          <w:rtl/>
        </w:rPr>
        <w:t>.</w:t>
      </w:r>
      <w:r w:rsidR="008A74EB" w:rsidRPr="00C9040A">
        <w:rPr>
          <w:rtl/>
        </w:rPr>
        <w:t xml:space="preserve"> وفي </w:t>
      </w:r>
      <w:r w:rsidR="008A74EB" w:rsidRPr="00993B55">
        <w:rPr>
          <w:rStyle w:val="libFootnoteBoldChar"/>
          <w:rtl/>
        </w:rPr>
        <w:t>الوافي</w:t>
      </w:r>
      <w:r w:rsidR="008A74EB" w:rsidRPr="00C9040A">
        <w:rPr>
          <w:rtl/>
        </w:rPr>
        <w:t xml:space="preserve"> : « نالوه بالعظائم ورموه بها ؛ يعني نسبوه إلى الكذب والجنون والسحر وغير ذلك وافتروا عليه »</w:t>
      </w:r>
      <w:r w:rsidR="008A74EB">
        <w:rPr>
          <w:rtl/>
        </w:rPr>
        <w:t>.</w:t>
      </w:r>
    </w:p>
    <w:p w:rsidR="008A74EB" w:rsidRPr="004A4E41" w:rsidRDefault="006C577F" w:rsidP="004A4E41">
      <w:pPr>
        <w:pStyle w:val="libFootnote0"/>
        <w:rPr>
          <w:rStyle w:val="libFootnote0Char"/>
          <w:rtl/>
        </w:rPr>
      </w:pPr>
      <w:r>
        <w:rPr>
          <w:rtl/>
        </w:rPr>
        <w:t>(10).</w:t>
      </w:r>
      <w:r w:rsidR="008A74EB" w:rsidRPr="00C9040A">
        <w:rPr>
          <w:rtl/>
        </w:rPr>
        <w:t xml:space="preserve"> الحجر (15) : 97</w:t>
      </w:r>
      <w:r w:rsidR="008A74EB">
        <w:rPr>
          <w:rtl/>
        </w:rPr>
        <w:t xml:space="preserve"> </w:t>
      </w:r>
      <w:r w:rsidR="0084262C">
        <w:rPr>
          <w:rtl/>
        </w:rPr>
        <w:t>-</w:t>
      </w:r>
      <w:r w:rsidR="008A74EB">
        <w:rPr>
          <w:rtl/>
        </w:rPr>
        <w:t xml:space="preserve"> </w:t>
      </w:r>
      <w:r w:rsidR="008A74EB" w:rsidRPr="00C9040A">
        <w:rPr>
          <w:rtl/>
        </w:rPr>
        <w:t xml:space="preserve">98. وفي تفسير القمّي </w:t>
      </w:r>
      <w:r w:rsidR="008A74EB">
        <w:rPr>
          <w:rtl/>
        </w:rPr>
        <w:t xml:space="preserve">: </w:t>
      </w:r>
      <w:r w:rsidR="0084262C">
        <w:rPr>
          <w:rtl/>
        </w:rPr>
        <w:t>-</w:t>
      </w:r>
      <w:r w:rsidR="008A74EB" w:rsidRPr="00C9040A">
        <w:rPr>
          <w:rtl/>
        </w:rPr>
        <w:t xml:space="preserve"> </w:t>
      </w:r>
      <w:r w:rsidR="00893E43" w:rsidRPr="00AC2E2F">
        <w:rPr>
          <w:rStyle w:val="libFootnoteAlaemChar"/>
          <w:rFonts w:hint="cs"/>
          <w:rtl/>
        </w:rPr>
        <w:t>(</w:t>
      </w:r>
      <w:r w:rsidR="008A74EB" w:rsidRPr="00893E43">
        <w:rPr>
          <w:rStyle w:val="libFootnoteAieChar"/>
          <w:rtl/>
        </w:rPr>
        <w:t xml:space="preserve"> فَسَبّحْ </w:t>
      </w:r>
      <w:r w:rsidR="0084262C">
        <w:rPr>
          <w:rtl/>
        </w:rPr>
        <w:t>-</w:t>
      </w:r>
      <w:r w:rsidR="008A74EB">
        <w:rPr>
          <w:rtl/>
        </w:rPr>
        <w:t xml:space="preserve"> </w:t>
      </w:r>
      <w:r w:rsidR="008A74EB" w:rsidRPr="00C9040A">
        <w:rPr>
          <w:rtl/>
        </w:rPr>
        <w:t>إلى</w:t>
      </w:r>
      <w:r w:rsidR="008A74EB">
        <w:rPr>
          <w:rtl/>
        </w:rPr>
        <w:t xml:space="preserve"> </w:t>
      </w:r>
      <w:r w:rsidR="0084262C">
        <w:rPr>
          <w:rtl/>
        </w:rPr>
        <w:t>-</w:t>
      </w:r>
      <w:r w:rsidR="008A74EB" w:rsidRPr="00893E43">
        <w:rPr>
          <w:rStyle w:val="libFootnoteAieChar"/>
          <w:rtl/>
        </w:rPr>
        <w:t xml:space="preserve"> السجِدِينَ </w:t>
      </w:r>
      <w:r w:rsidR="00893E43" w:rsidRPr="00AC2E2F">
        <w:rPr>
          <w:rStyle w:val="libFootnoteAlaemChar"/>
          <w:rFonts w:hint="cs"/>
          <w:rtl/>
        </w:rPr>
        <w:t>)</w:t>
      </w:r>
      <w:r w:rsidR="008A74EB">
        <w:rPr>
          <w:rtl/>
        </w:rPr>
        <w:t>.</w:t>
      </w:r>
    </w:p>
    <w:tbl>
      <w:tblPr>
        <w:tblStyle w:val="TableGrid"/>
        <w:bidiVisual/>
        <w:tblW w:w="0" w:type="auto"/>
        <w:tblLook w:val="04A0" w:firstRow="1" w:lastRow="0" w:firstColumn="1" w:lastColumn="0" w:noHBand="0" w:noVBand="1"/>
      </w:tblPr>
      <w:tblGrid>
        <w:gridCol w:w="4006"/>
        <w:gridCol w:w="4006"/>
      </w:tblGrid>
      <w:tr w:rsidR="00893E43" w:rsidTr="00893E43">
        <w:tc>
          <w:tcPr>
            <w:tcW w:w="4006" w:type="dxa"/>
          </w:tcPr>
          <w:p w:rsidR="00893E43" w:rsidRDefault="00893E43" w:rsidP="004A4E41">
            <w:pPr>
              <w:pStyle w:val="libFootnote0"/>
              <w:rPr>
                <w:rtl/>
              </w:rPr>
            </w:pPr>
            <w:r>
              <w:rPr>
                <w:rtl/>
              </w:rPr>
              <w:t>(11).</w:t>
            </w:r>
            <w:r w:rsidRPr="00C9040A">
              <w:rPr>
                <w:rtl/>
              </w:rPr>
              <w:t xml:space="preserve"> في « ز ، ص ، ف » : « فرموه »</w:t>
            </w:r>
            <w:r>
              <w:rPr>
                <w:rtl/>
              </w:rPr>
              <w:t>.</w:t>
            </w:r>
          </w:p>
        </w:tc>
        <w:tc>
          <w:tcPr>
            <w:tcW w:w="4006" w:type="dxa"/>
          </w:tcPr>
          <w:p w:rsidR="00893E43" w:rsidRDefault="00893E43" w:rsidP="004A4E41">
            <w:pPr>
              <w:pStyle w:val="libFootnote0"/>
              <w:rPr>
                <w:rtl/>
              </w:rPr>
            </w:pPr>
            <w:r>
              <w:rPr>
                <w:rtl/>
              </w:rPr>
              <w:t>(12).</w:t>
            </w:r>
            <w:r w:rsidRPr="00C9040A">
              <w:rPr>
                <w:rtl/>
              </w:rPr>
              <w:t xml:space="preserve"> الأنعام </w:t>
            </w:r>
            <w:r>
              <w:rPr>
                <w:rtl/>
              </w:rPr>
              <w:t xml:space="preserve">(6) </w:t>
            </w:r>
            <w:r w:rsidRPr="00C9040A">
              <w:rPr>
                <w:rtl/>
              </w:rPr>
              <w:t>: 33</w:t>
            </w:r>
            <w:r>
              <w:rPr>
                <w:rtl/>
              </w:rPr>
              <w:t xml:space="preserve"> - </w:t>
            </w:r>
            <w:r w:rsidRPr="00C9040A">
              <w:rPr>
                <w:rtl/>
              </w:rPr>
              <w:t>34.</w:t>
            </w:r>
          </w:p>
        </w:tc>
      </w:tr>
      <w:tr w:rsidR="00893E43" w:rsidTr="00893E43">
        <w:tc>
          <w:tcPr>
            <w:tcW w:w="4006" w:type="dxa"/>
          </w:tcPr>
          <w:p w:rsidR="00893E43" w:rsidRDefault="00893E43" w:rsidP="004A4E41">
            <w:pPr>
              <w:pStyle w:val="libFootnote0"/>
              <w:rPr>
                <w:rtl/>
              </w:rPr>
            </w:pPr>
            <w:r>
              <w:rPr>
                <w:rtl/>
              </w:rPr>
              <w:t>(13)</w:t>
            </w:r>
            <w:r w:rsidRPr="00C9040A">
              <w:rPr>
                <w:rtl/>
              </w:rPr>
              <w:t xml:space="preserve"> في « </w:t>
            </w:r>
            <w:r>
              <w:rPr>
                <w:rtl/>
              </w:rPr>
              <w:t xml:space="preserve">ه </w:t>
            </w:r>
            <w:r w:rsidRPr="00C9040A">
              <w:rPr>
                <w:rtl/>
              </w:rPr>
              <w:t>، بف » : + « الله »</w:t>
            </w:r>
            <w:r>
              <w:rPr>
                <w:rtl/>
              </w:rPr>
              <w:t>.</w:t>
            </w:r>
          </w:p>
        </w:tc>
        <w:tc>
          <w:tcPr>
            <w:tcW w:w="4006" w:type="dxa"/>
          </w:tcPr>
          <w:p w:rsidR="00893E43" w:rsidRDefault="00893E43" w:rsidP="004A4E41">
            <w:pPr>
              <w:pStyle w:val="libFootnote0"/>
              <w:rPr>
                <w:rtl/>
              </w:rPr>
            </w:pPr>
            <w:r>
              <w:rPr>
                <w:rtl/>
              </w:rPr>
              <w:t>(14)</w:t>
            </w:r>
            <w:r w:rsidRPr="00C9040A">
              <w:rPr>
                <w:rtl/>
              </w:rPr>
              <w:t xml:space="preserve"> في تفسير القمّي </w:t>
            </w:r>
            <w:r>
              <w:rPr>
                <w:rtl/>
              </w:rPr>
              <w:t>: -</w:t>
            </w:r>
            <w:r w:rsidRPr="00C9040A">
              <w:rPr>
                <w:rtl/>
              </w:rPr>
              <w:t xml:space="preserve"> « النبيّ </w:t>
            </w:r>
            <w:r w:rsidR="004A4E41" w:rsidRPr="00AC2E2F">
              <w:rPr>
                <w:rStyle w:val="libFootnoteAlaemChar"/>
                <w:rtl/>
              </w:rPr>
              <w:t>صلى‌الله‌عليه‌وآله</w:t>
            </w:r>
            <w:r w:rsidRPr="00C9040A">
              <w:rPr>
                <w:rtl/>
              </w:rPr>
              <w:t xml:space="preserve"> »</w:t>
            </w:r>
            <w:r>
              <w:rPr>
                <w:rtl/>
              </w:rPr>
              <w:t>.</w:t>
            </w:r>
          </w:p>
        </w:tc>
      </w:tr>
    </w:tbl>
    <w:p w:rsidR="008A74EB" w:rsidRPr="00C9040A" w:rsidRDefault="008A74EB" w:rsidP="004A4E41">
      <w:pPr>
        <w:pStyle w:val="libFootnote0"/>
        <w:rPr>
          <w:rtl/>
          <w:lang w:bidi="fa-IR"/>
        </w:rPr>
      </w:pPr>
      <w:r>
        <w:rPr>
          <w:rtl/>
        </w:rPr>
        <w:t>(15)</w:t>
      </w:r>
      <w:r w:rsidRPr="00C9040A">
        <w:rPr>
          <w:rtl/>
        </w:rPr>
        <w:t xml:space="preserve"> في « بر » : « بالصبر »</w:t>
      </w:r>
      <w:r>
        <w:rPr>
          <w:rtl/>
        </w:rPr>
        <w:t>.</w:t>
      </w:r>
    </w:p>
    <w:p w:rsidR="008A74EB" w:rsidRPr="00C9040A" w:rsidRDefault="008A74EB" w:rsidP="004A4E41">
      <w:pPr>
        <w:pStyle w:val="libFootnote0"/>
        <w:rPr>
          <w:rtl/>
          <w:lang w:bidi="fa-IR"/>
        </w:rPr>
      </w:pPr>
      <w:r>
        <w:rPr>
          <w:rtl/>
        </w:rPr>
        <w:t>(16)</w:t>
      </w:r>
      <w:r w:rsidRPr="00C9040A">
        <w:rPr>
          <w:rtl/>
        </w:rPr>
        <w:t xml:space="preserve"> في « ف ، بس » : « فذكر »</w:t>
      </w:r>
      <w:r>
        <w:rPr>
          <w:rtl/>
        </w:rPr>
        <w:t>.</w:t>
      </w:r>
      <w:r w:rsidRPr="00C9040A">
        <w:rPr>
          <w:rtl/>
        </w:rPr>
        <w:t xml:space="preserve"> وفي حاشية « ف » : « وذكر »</w:t>
      </w:r>
      <w:r>
        <w:rPr>
          <w:rtl/>
        </w:rPr>
        <w:t>.</w:t>
      </w:r>
      <w:r w:rsidRPr="00C9040A">
        <w:rPr>
          <w:rtl/>
        </w:rPr>
        <w:t xml:space="preserve"> وفي تفسير القمّي : « فقعدوا وذكروا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وَتَعَالى </w:t>
      </w:r>
      <w:r w:rsidR="006C577F" w:rsidRPr="006C577F">
        <w:rPr>
          <w:rStyle w:val="libFootnotenumChar"/>
          <w:rtl/>
        </w:rPr>
        <w:t>(1)</w:t>
      </w:r>
      <w:r w:rsidR="0084262C">
        <w:rPr>
          <w:rtl/>
          <w:lang w:bidi="fa-IR"/>
        </w:rPr>
        <w:t>-</w:t>
      </w:r>
      <w:r>
        <w:rPr>
          <w:rtl/>
          <w:lang w:bidi="fa-IR"/>
        </w:rPr>
        <w:t xml:space="preserve"> </w:t>
      </w:r>
      <w:r w:rsidRPr="00C9040A">
        <w:rPr>
          <w:rtl/>
          <w:lang w:bidi="fa-IR"/>
        </w:rPr>
        <w:t xml:space="preserve">وَكَذَّبُوهُ </w:t>
      </w:r>
      <w:r w:rsidR="006C577F" w:rsidRPr="006C577F">
        <w:rPr>
          <w:rStyle w:val="libFootnotenumChar"/>
          <w:rtl/>
        </w:rPr>
        <w:t>(2)</w:t>
      </w:r>
      <w:r w:rsidRPr="00C9040A">
        <w:rPr>
          <w:rtl/>
          <w:lang w:bidi="fa-IR"/>
        </w:rPr>
        <w:t xml:space="preserve"> ، فَقَالَ </w:t>
      </w:r>
      <w:r w:rsidR="006C577F" w:rsidRPr="006C577F">
        <w:rPr>
          <w:rStyle w:val="libFootnotenumChar"/>
          <w:rtl/>
        </w:rPr>
        <w:t>(3)</w:t>
      </w:r>
      <w:r w:rsidRPr="00C9040A">
        <w:rPr>
          <w:rtl/>
          <w:lang w:bidi="fa-IR"/>
        </w:rPr>
        <w:t xml:space="preserve"> : قَدْ </w:t>
      </w:r>
      <w:r w:rsidR="006C577F" w:rsidRPr="006C577F">
        <w:rPr>
          <w:rStyle w:val="libFootnotenumChar"/>
          <w:rtl/>
        </w:rPr>
        <w:t>(4)</w:t>
      </w:r>
      <w:r w:rsidRPr="00C9040A">
        <w:rPr>
          <w:rtl/>
          <w:lang w:bidi="fa-IR"/>
        </w:rPr>
        <w:t xml:space="preserve"> صَبَرْتُ فِي نَفْسِي وَأَهْلِي </w:t>
      </w:r>
      <w:r w:rsidR="006C577F" w:rsidRPr="006C577F">
        <w:rPr>
          <w:rStyle w:val="libFootnotenumChar"/>
          <w:rtl/>
        </w:rPr>
        <w:t>(5)</w:t>
      </w:r>
      <w:r w:rsidRPr="00C9040A">
        <w:rPr>
          <w:rtl/>
          <w:lang w:bidi="fa-IR"/>
        </w:rPr>
        <w:t xml:space="preserve"> وَعِرْضِي ، وَلَا صَبْرَ لِي عَلى ذِكْرِ </w:t>
      </w:r>
      <w:r w:rsidR="006C577F" w:rsidRPr="006C577F">
        <w:rPr>
          <w:rStyle w:val="libFootnotenumChar"/>
          <w:rtl/>
        </w:rPr>
        <w:t>(6)</w:t>
      </w:r>
      <w:r w:rsidRPr="005B567D">
        <w:rPr>
          <w:rStyle w:val="libFootnotenumChar"/>
          <w:rtl/>
        </w:rPr>
        <w:t xml:space="preserve"> </w:t>
      </w:r>
      <w:r w:rsidRPr="00C9040A">
        <w:rPr>
          <w:rtl/>
          <w:lang w:bidi="fa-IR"/>
        </w:rPr>
        <w:t xml:space="preserve">إِلهِي ، فَأَنْزَلَ اللهُ عَزَّ وَجَلَّ : </w:t>
      </w:r>
      <w:r w:rsidRPr="0003660B">
        <w:rPr>
          <w:rStyle w:val="libAlaemChar"/>
          <w:rtl/>
        </w:rPr>
        <w:t>(</w:t>
      </w:r>
      <w:r w:rsidRPr="006A2246">
        <w:rPr>
          <w:rStyle w:val="libAieChar"/>
          <w:rtl/>
        </w:rPr>
        <w:t xml:space="preserve"> وَلَقَدْ خَلَقْنَا السَّماواتِ وَالْأَرْضَ وَما بَيْنَهُما فِي سِتَّةِ أَيّامٍ وَما مَسَّنا مِنْ لُغُوبٍ</w:t>
      </w:r>
      <w:r>
        <w:rPr>
          <w:rFonts w:hint="cs"/>
          <w:rtl/>
        </w:rPr>
        <w:t xml:space="preserve"> </w:t>
      </w:r>
      <w:r w:rsidR="006C577F" w:rsidRPr="006C577F">
        <w:rPr>
          <w:rStyle w:val="libFootnotenumChar"/>
          <w:rtl/>
        </w:rPr>
        <w:t>(7)</w:t>
      </w:r>
      <w:r w:rsidRPr="00BF171D">
        <w:rPr>
          <w:rFonts w:hint="cs"/>
          <w:rtl/>
        </w:rPr>
        <w:t xml:space="preserve"> </w:t>
      </w:r>
      <w:r w:rsidRPr="006A2246">
        <w:rPr>
          <w:rStyle w:val="libAieChar"/>
          <w:rtl/>
        </w:rPr>
        <w:t xml:space="preserve">فَاصْبِرْ عَلى ما يَقُولُونَ </w:t>
      </w:r>
      <w:r w:rsidRPr="0003660B">
        <w:rPr>
          <w:rStyle w:val="libAlaemChar"/>
          <w:rtl/>
        </w:rPr>
        <w:t>)</w:t>
      </w:r>
      <w:r w:rsidRPr="00C9040A">
        <w:rPr>
          <w:rtl/>
          <w:lang w:bidi="fa-IR"/>
        </w:rPr>
        <w:t xml:space="preserve"> </w:t>
      </w:r>
      <w:r w:rsidR="006C577F" w:rsidRPr="006C577F">
        <w:rPr>
          <w:rStyle w:val="libFootnotenumChar"/>
          <w:rtl/>
        </w:rPr>
        <w:t>(8)</w:t>
      </w:r>
      <w:r w:rsidRPr="00C9040A">
        <w:rPr>
          <w:rtl/>
          <w:lang w:bidi="fa-IR"/>
        </w:rPr>
        <w:t xml:space="preserve"> فَصَبَرَ النَّبِيُّ </w:t>
      </w:r>
      <w:r w:rsidR="006C577F" w:rsidRPr="006C577F">
        <w:rPr>
          <w:rStyle w:val="libFootnotenumChar"/>
          <w:rtl/>
        </w:rPr>
        <w:t>(9)</w:t>
      </w:r>
      <w:r w:rsidRPr="00C9040A">
        <w:rPr>
          <w:rtl/>
          <w:lang w:bidi="fa-IR"/>
        </w:rPr>
        <w:t xml:space="preserve"> </w:t>
      </w:r>
      <w:r w:rsidR="004A4E41" w:rsidRPr="004A4E41">
        <w:rPr>
          <w:rStyle w:val="libAlaemChar"/>
          <w:rtl/>
        </w:rPr>
        <w:t>صلى‌الله‌عليه‌وآله</w:t>
      </w:r>
      <w:r w:rsidRPr="00C9040A">
        <w:rPr>
          <w:rtl/>
          <w:lang w:bidi="fa-IR"/>
        </w:rPr>
        <w:t xml:space="preserve"> فِي جَمِيعِ أَحْوَالِهِ.</w:t>
      </w:r>
    </w:p>
    <w:p w:rsidR="008A74EB" w:rsidRPr="00C9040A" w:rsidRDefault="008A74EB" w:rsidP="008A74EB">
      <w:pPr>
        <w:pStyle w:val="libNormal"/>
        <w:rPr>
          <w:rtl/>
          <w:lang w:bidi="fa-IR"/>
        </w:rPr>
      </w:pPr>
      <w:r w:rsidRPr="00C9040A">
        <w:rPr>
          <w:rtl/>
          <w:lang w:bidi="fa-IR"/>
        </w:rPr>
        <w:t xml:space="preserve">ثُمَّ بُشِّرَ فِي عِتْرَتِهِ بِالْأَئِمَّةِ </w:t>
      </w:r>
      <w:r w:rsidR="006C577F" w:rsidRPr="006C577F">
        <w:rPr>
          <w:rStyle w:val="libFootnotenumChar"/>
          <w:rtl/>
        </w:rPr>
        <w:t>(10)</w:t>
      </w:r>
      <w:r w:rsidRPr="00C9040A">
        <w:rPr>
          <w:rtl/>
          <w:lang w:bidi="fa-IR"/>
        </w:rPr>
        <w:t xml:space="preserve"> ، وَوُصِفُوا بِالصَّبْرِ ، فَقَالَ جَلَّ ثَنَاؤُهُ : </w:t>
      </w:r>
      <w:r w:rsidRPr="0003660B">
        <w:rPr>
          <w:rStyle w:val="libAlaemChar"/>
          <w:rtl/>
        </w:rPr>
        <w:t>(</w:t>
      </w:r>
      <w:r w:rsidRPr="006A2246">
        <w:rPr>
          <w:rStyle w:val="libAieChar"/>
          <w:rtl/>
        </w:rPr>
        <w:t xml:space="preserve"> وَجَعَلْنا مِنْهُمْ</w:t>
      </w:r>
      <w:r>
        <w:rPr>
          <w:rFonts w:hint="cs"/>
          <w:rtl/>
        </w:rPr>
        <w:t xml:space="preserve"> </w:t>
      </w:r>
      <w:r w:rsidR="006C577F" w:rsidRPr="006C577F">
        <w:rPr>
          <w:rStyle w:val="libFootnotenumChar"/>
          <w:rtl/>
        </w:rPr>
        <w:t>(11)</w:t>
      </w:r>
      <w:r>
        <w:rPr>
          <w:rFonts w:hint="cs"/>
          <w:rtl/>
        </w:rPr>
        <w:t xml:space="preserve"> </w:t>
      </w:r>
      <w:r w:rsidRPr="006A2246">
        <w:rPr>
          <w:rStyle w:val="libAieChar"/>
          <w:rtl/>
        </w:rPr>
        <w:t xml:space="preserve">أَئِمَّةً يَهْدُونَ بِأَمْرِنا لَمّا صَبَرُوا وَكانُوا بِآياتِنا يُوقِنُونَ </w:t>
      </w:r>
      <w:r w:rsidRPr="0003660B">
        <w:rPr>
          <w:rStyle w:val="libAlaemChar"/>
          <w:rtl/>
        </w:rPr>
        <w:t>)</w:t>
      </w:r>
      <w:r w:rsidRPr="00C9040A">
        <w:rPr>
          <w:rtl/>
          <w:lang w:bidi="fa-IR"/>
        </w:rPr>
        <w:t xml:space="preserve"> </w:t>
      </w:r>
      <w:r w:rsidR="006C577F" w:rsidRPr="006C577F">
        <w:rPr>
          <w:rStyle w:val="libFootnotenumChar"/>
          <w:rtl/>
        </w:rPr>
        <w:t>(12)</w:t>
      </w:r>
      <w:r w:rsidRPr="00C9040A">
        <w:rPr>
          <w:rtl/>
          <w:lang w:bidi="fa-IR"/>
        </w:rPr>
        <w:t xml:space="preserve"> فَعِنْدَ ذلِكَ قَالَ </w:t>
      </w:r>
      <w:r w:rsidRPr="005B567D">
        <w:rPr>
          <w:rStyle w:val="libFootnotenumChar"/>
          <w:rtl/>
        </w:rPr>
        <w:t>(13)</w:t>
      </w:r>
      <w:r w:rsidRPr="00C9040A">
        <w:rPr>
          <w:rtl/>
          <w:lang w:bidi="fa-IR"/>
        </w:rPr>
        <w:t xml:space="preserve"> </w:t>
      </w:r>
      <w:r w:rsidR="004A4E41" w:rsidRPr="004A4E41">
        <w:rPr>
          <w:rStyle w:val="libAlaemChar"/>
          <w:rtl/>
        </w:rPr>
        <w:t>صلى‌الله‌عليه‌وآله</w:t>
      </w:r>
      <w:r w:rsidRPr="00C9040A">
        <w:rPr>
          <w:rtl/>
          <w:lang w:bidi="fa-IR"/>
        </w:rPr>
        <w:t xml:space="preserve"> : الصَّبْرُ مِنَ الْإِيمَانِ كَالرَّأْسِ </w:t>
      </w:r>
      <w:r w:rsidRPr="005B567D">
        <w:rPr>
          <w:rStyle w:val="libFootnotenumChar"/>
          <w:rtl/>
        </w:rPr>
        <w:t>(14)</w:t>
      </w:r>
      <w:r w:rsidRPr="00C9040A">
        <w:rPr>
          <w:rtl/>
          <w:lang w:bidi="fa-IR"/>
        </w:rPr>
        <w:t xml:space="preserve"> مِنَ الْجَسَدِ </w:t>
      </w:r>
      <w:r w:rsidRPr="005B567D">
        <w:rPr>
          <w:rStyle w:val="libFootnotenumChar"/>
          <w:rtl/>
        </w:rPr>
        <w:t>(15)</w:t>
      </w:r>
      <w:r w:rsidRPr="00C9040A">
        <w:rPr>
          <w:rtl/>
          <w:lang w:bidi="fa-IR"/>
        </w:rPr>
        <w:t xml:space="preserve"> ، فَشَكَرَ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ذلِكَ لَهُ ، فَأَنْزَلَ اللهُ عَزَّ وَجَلَّ </w:t>
      </w:r>
      <w:r w:rsidRPr="005B567D">
        <w:rPr>
          <w:rStyle w:val="libFootnotenumChar"/>
          <w:rtl/>
        </w:rPr>
        <w:t>(16)</w:t>
      </w:r>
      <w:r w:rsidRPr="00C9040A">
        <w:rPr>
          <w:rtl/>
          <w:lang w:bidi="fa-IR"/>
        </w:rPr>
        <w:t xml:space="preserve"> : </w:t>
      </w:r>
      <w:r w:rsidRPr="0003660B">
        <w:rPr>
          <w:rStyle w:val="libAlaemChar"/>
          <w:rtl/>
        </w:rPr>
        <w:t>(</w:t>
      </w:r>
      <w:r w:rsidRPr="006A2246">
        <w:rPr>
          <w:rStyle w:val="libAieChar"/>
          <w:rtl/>
        </w:rPr>
        <w:t xml:space="preserve"> وَتَمَّتْ كَلِمَتُ رَبِّكَ الْحُسْنى عَلى بَنِي إِسْرائِيلَ بِما صَبَرُوا وَدَمَّرْنا ما كانَ يَصْنَعُ فِرْعَوْنُ وَقَوْمُهُ وَما كانُوا يَعْرِشُونَ </w:t>
      </w:r>
      <w:r w:rsidRPr="0003660B">
        <w:rPr>
          <w:rStyle w:val="libAlaemChar"/>
          <w:rtl/>
        </w:rPr>
        <w:t>)</w:t>
      </w:r>
      <w:r w:rsidRPr="00C9040A">
        <w:rPr>
          <w:rtl/>
          <w:lang w:bidi="fa-IR"/>
        </w:rPr>
        <w:t xml:space="preserve"> </w:t>
      </w:r>
      <w:r w:rsidRPr="005B567D">
        <w:rPr>
          <w:rStyle w:val="libFootnotenumChar"/>
          <w:rtl/>
        </w:rPr>
        <w:t>(17)</w:t>
      </w:r>
      <w:r w:rsidRPr="00C9040A">
        <w:rPr>
          <w:rtl/>
          <w:lang w:bidi="fa-IR"/>
        </w:rPr>
        <w:t xml:space="preserve"> فَقَالَ </w:t>
      </w:r>
      <w:r w:rsidRPr="005B567D">
        <w:rPr>
          <w:rStyle w:val="libFootnotenumChar"/>
          <w:rtl/>
        </w:rPr>
        <w:t>(18)</w:t>
      </w:r>
      <w:r w:rsidRPr="00C9040A">
        <w:rPr>
          <w:rtl/>
          <w:lang w:bidi="fa-IR"/>
        </w:rPr>
        <w:t xml:space="preserve"> </w:t>
      </w:r>
      <w:r w:rsidR="004A4E41" w:rsidRPr="004A4E41">
        <w:rPr>
          <w:rStyle w:val="libAlaemChar"/>
          <w:rtl/>
        </w:rPr>
        <w:t>صلى‌الله‌عليه‌وآله</w:t>
      </w:r>
      <w:r w:rsidRPr="00C9040A">
        <w:rPr>
          <w:rtl/>
          <w:lang w:bidi="fa-IR"/>
        </w:rPr>
        <w:t xml:space="preserve"> : إِنَّهُ </w:t>
      </w:r>
      <w:r w:rsidRPr="005B567D">
        <w:rPr>
          <w:rStyle w:val="libFootnotenumChar"/>
          <w:rtl/>
        </w:rPr>
        <w:t>(19)</w:t>
      </w:r>
      <w:r w:rsidRPr="00C9040A">
        <w:rPr>
          <w:rtl/>
          <w:lang w:bidi="fa-IR"/>
        </w:rPr>
        <w:t xml:space="preserve"> بُشْرى وَانْتِقَامٌ ، فَأَبَاحَ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لَهُ </w:t>
      </w:r>
      <w:r w:rsidRPr="005B567D">
        <w:rPr>
          <w:rStyle w:val="libFootnotenumChar"/>
          <w:rtl/>
        </w:rPr>
        <w:t>(20)</w:t>
      </w:r>
      <w:r w:rsidRPr="00C9040A">
        <w:rPr>
          <w:rtl/>
          <w:lang w:bidi="fa-IR"/>
        </w:rPr>
        <w:t xml:space="preserve"> قِتَالَ الْمُشْرِكِينَ ، فَأَنْزَلَ اللهُ </w:t>
      </w:r>
      <w:r w:rsidRPr="005B567D">
        <w:rPr>
          <w:rStyle w:val="libFootnotenumChar"/>
          <w:rtl/>
        </w:rPr>
        <w:t>(21)</w:t>
      </w:r>
      <w:r w:rsidRPr="00C9040A">
        <w:rPr>
          <w:rtl/>
          <w:lang w:bidi="fa-IR"/>
        </w:rPr>
        <w:t xml:space="preserve"> : </w:t>
      </w:r>
      <w:r w:rsidRPr="0003660B">
        <w:rPr>
          <w:rStyle w:val="libAlaemChar"/>
          <w:rtl/>
        </w:rPr>
        <w:t>(</w:t>
      </w:r>
      <w:r w:rsidRPr="006A2246">
        <w:rPr>
          <w:rStyle w:val="libAieChar"/>
          <w:rtl/>
        </w:rPr>
        <w:t xml:space="preserve"> فَاقْتُلُوا</w:t>
      </w:r>
      <w:r>
        <w:rPr>
          <w:rFonts w:hint="cs"/>
          <w:rtl/>
        </w:rPr>
        <w:t xml:space="preserve"> </w:t>
      </w:r>
      <w:r w:rsidRPr="005B567D">
        <w:rPr>
          <w:rStyle w:val="libFootnotenumChar"/>
          <w:rtl/>
        </w:rPr>
        <w:t>(22)</w:t>
      </w:r>
      <w:r>
        <w:rPr>
          <w:rFonts w:hint="cs"/>
          <w:rtl/>
        </w:rPr>
        <w:t xml:space="preserve"> </w:t>
      </w:r>
      <w:r w:rsidRPr="006A2246">
        <w:rPr>
          <w:rStyle w:val="libAieChar"/>
          <w:rtl/>
        </w:rPr>
        <w:t>الْمُشْرِكِينَ حَيْثُ وَجَدْتُمُوهُمْ وَخُذُوهُمْ وَاحْصُرُوهُمْ</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7F6EB0" w:rsidTr="007F6EB0">
        <w:tc>
          <w:tcPr>
            <w:tcW w:w="4006" w:type="dxa"/>
          </w:tcPr>
          <w:p w:rsidR="007F6EB0" w:rsidRDefault="007F6EB0" w:rsidP="004A4E41">
            <w:pPr>
              <w:pStyle w:val="libFootnote0"/>
              <w:rPr>
                <w:rtl/>
              </w:rPr>
            </w:pPr>
            <w:r>
              <w:rPr>
                <w:rtl/>
              </w:rPr>
              <w:t>(1).</w:t>
            </w:r>
            <w:r w:rsidRPr="00C9040A">
              <w:rPr>
                <w:rtl/>
              </w:rPr>
              <w:t xml:space="preserve"> في تفسير القمّي : + « بالسوء »</w:t>
            </w:r>
            <w:r>
              <w:rPr>
                <w:rtl/>
              </w:rPr>
              <w:t>.</w:t>
            </w:r>
          </w:p>
        </w:tc>
        <w:tc>
          <w:tcPr>
            <w:tcW w:w="4006" w:type="dxa"/>
          </w:tcPr>
          <w:p w:rsidR="007F6EB0" w:rsidRDefault="007F6EB0" w:rsidP="004A4E41">
            <w:pPr>
              <w:pStyle w:val="libFootnote0"/>
              <w:rPr>
                <w:rtl/>
              </w:rPr>
            </w:pPr>
            <w:r>
              <w:rPr>
                <w:rtl/>
              </w:rPr>
              <w:t xml:space="preserve">(2). </w:t>
            </w:r>
            <w:r w:rsidRPr="00C9040A">
              <w:rPr>
                <w:rtl/>
              </w:rPr>
              <w:t>في حاشية « ف » : « فكذّبوه »</w:t>
            </w:r>
            <w:r>
              <w:rPr>
                <w:rtl/>
              </w:rPr>
              <w:t>.</w:t>
            </w:r>
          </w:p>
        </w:tc>
      </w:tr>
      <w:tr w:rsidR="007F6EB0" w:rsidTr="007F6EB0">
        <w:tc>
          <w:tcPr>
            <w:tcW w:w="4006" w:type="dxa"/>
          </w:tcPr>
          <w:p w:rsidR="007F6EB0" w:rsidRDefault="007F6EB0" w:rsidP="004A4E41">
            <w:pPr>
              <w:pStyle w:val="libFootnote0"/>
              <w:rPr>
                <w:rtl/>
              </w:rPr>
            </w:pPr>
            <w:r>
              <w:rPr>
                <w:rtl/>
              </w:rPr>
              <w:t>(3).</w:t>
            </w:r>
            <w:r w:rsidRPr="00C9040A">
              <w:rPr>
                <w:rtl/>
              </w:rPr>
              <w:t xml:space="preserve"> في تفسير القمّي : + « رسول الله </w:t>
            </w:r>
            <w:r w:rsidR="004A4E41" w:rsidRPr="00AC2E2F">
              <w:rPr>
                <w:rStyle w:val="libFootnoteAlaemChar"/>
                <w:rtl/>
              </w:rPr>
              <w:t>صلى‌الله‌عليه‌وآله</w:t>
            </w:r>
            <w:r w:rsidRPr="00C9040A">
              <w:rPr>
                <w:rtl/>
              </w:rPr>
              <w:t xml:space="preserve"> »</w:t>
            </w:r>
            <w:r>
              <w:rPr>
                <w:rtl/>
              </w:rPr>
              <w:t>.</w:t>
            </w:r>
          </w:p>
        </w:tc>
        <w:tc>
          <w:tcPr>
            <w:tcW w:w="4006" w:type="dxa"/>
          </w:tcPr>
          <w:p w:rsidR="007F6EB0" w:rsidRDefault="007F6EB0" w:rsidP="004A4E41">
            <w:pPr>
              <w:pStyle w:val="libFootnote0"/>
              <w:rPr>
                <w:rtl/>
              </w:rPr>
            </w:pPr>
            <w:r>
              <w:rPr>
                <w:rtl/>
              </w:rPr>
              <w:t>(4).</w:t>
            </w:r>
            <w:r w:rsidRPr="00C9040A">
              <w:rPr>
                <w:rtl/>
              </w:rPr>
              <w:t xml:space="preserve"> في « ب » </w:t>
            </w:r>
            <w:r>
              <w:rPr>
                <w:rtl/>
              </w:rPr>
              <w:t>: -</w:t>
            </w:r>
            <w:r w:rsidRPr="00C9040A">
              <w:rPr>
                <w:rtl/>
              </w:rPr>
              <w:t xml:space="preserve"> « قد »</w:t>
            </w:r>
            <w:r>
              <w:rPr>
                <w:rtl/>
              </w:rPr>
              <w:t>.</w:t>
            </w:r>
          </w:p>
        </w:tc>
      </w:tr>
      <w:tr w:rsidR="007F6EB0" w:rsidTr="007F6EB0">
        <w:tc>
          <w:tcPr>
            <w:tcW w:w="4006" w:type="dxa"/>
          </w:tcPr>
          <w:p w:rsidR="007F6EB0" w:rsidRDefault="007F6EB0" w:rsidP="004A4E41">
            <w:pPr>
              <w:pStyle w:val="libFootnote0"/>
              <w:rPr>
                <w:rtl/>
              </w:rPr>
            </w:pPr>
            <w:r>
              <w:rPr>
                <w:rtl/>
              </w:rPr>
              <w:t>(5).</w:t>
            </w:r>
            <w:r w:rsidRPr="00C9040A">
              <w:rPr>
                <w:rtl/>
              </w:rPr>
              <w:t xml:space="preserve"> في حاشية « بس » : + « ومالي »</w:t>
            </w:r>
            <w:r>
              <w:rPr>
                <w:rtl/>
              </w:rPr>
              <w:t>.</w:t>
            </w:r>
          </w:p>
        </w:tc>
        <w:tc>
          <w:tcPr>
            <w:tcW w:w="4006" w:type="dxa"/>
          </w:tcPr>
          <w:p w:rsidR="007F6EB0" w:rsidRDefault="007F6EB0" w:rsidP="004A4E41">
            <w:pPr>
              <w:pStyle w:val="libFootnote0"/>
              <w:rPr>
                <w:rtl/>
              </w:rPr>
            </w:pPr>
            <w:r>
              <w:rPr>
                <w:rtl/>
              </w:rPr>
              <w:t xml:space="preserve">(6). </w:t>
            </w:r>
            <w:r w:rsidRPr="00C9040A">
              <w:rPr>
                <w:rtl/>
              </w:rPr>
              <w:t>في تفسير القمّي : « ذكرهم »</w:t>
            </w:r>
            <w:r>
              <w:rPr>
                <w:rtl/>
              </w:rPr>
              <w:t>.</w:t>
            </w:r>
          </w:p>
        </w:tc>
      </w:tr>
    </w:tbl>
    <w:p w:rsidR="008A74EB" w:rsidRPr="00C9040A" w:rsidRDefault="006C577F" w:rsidP="004A4E41">
      <w:pPr>
        <w:pStyle w:val="libFootnote0"/>
        <w:rPr>
          <w:rtl/>
          <w:lang w:bidi="fa-IR"/>
        </w:rPr>
      </w:pPr>
      <w:r>
        <w:rPr>
          <w:rtl/>
        </w:rPr>
        <w:t>(7).</w:t>
      </w:r>
      <w:r w:rsidR="008A74EB" w:rsidRPr="00C9040A">
        <w:rPr>
          <w:rtl/>
        </w:rPr>
        <w:t xml:space="preserve"> في تفسير القمّي </w:t>
      </w:r>
      <w:r w:rsidR="008A74EB">
        <w:rPr>
          <w:rtl/>
        </w:rPr>
        <w:t xml:space="preserve">: </w:t>
      </w:r>
      <w:r w:rsidR="0084262C">
        <w:rPr>
          <w:rtl/>
        </w:rPr>
        <w:t>-</w:t>
      </w:r>
      <w:r w:rsidR="008A74EB" w:rsidRPr="00AC2E2F">
        <w:rPr>
          <w:rStyle w:val="libFootnoteAlaemChar"/>
          <w:rtl/>
        </w:rPr>
        <w:t>(</w:t>
      </w:r>
      <w:r w:rsidR="008A74EB" w:rsidRPr="00883DD5">
        <w:rPr>
          <w:rStyle w:val="libFootnoteAieChar"/>
          <w:rFonts w:hint="cs"/>
          <w:rtl/>
        </w:rPr>
        <w:t xml:space="preserve"> </w:t>
      </w:r>
      <w:r w:rsidR="008A74EB" w:rsidRPr="00883DD5">
        <w:rPr>
          <w:rStyle w:val="libFootnoteAieChar"/>
          <w:rtl/>
        </w:rPr>
        <w:t>وَلَقَدْ خَلَقْنَا</w:t>
      </w:r>
      <w:r w:rsidR="008A74EB">
        <w:rPr>
          <w:rFonts w:hint="cs"/>
          <w:rtl/>
        </w:rPr>
        <w:t xml:space="preserve"> </w:t>
      </w:r>
      <w:r w:rsidR="0084262C">
        <w:rPr>
          <w:rtl/>
        </w:rPr>
        <w:t>-</w:t>
      </w:r>
      <w:r w:rsidR="008A74EB">
        <w:rPr>
          <w:rtl/>
        </w:rPr>
        <w:t xml:space="preserve"> </w:t>
      </w:r>
      <w:r w:rsidR="008A74EB" w:rsidRPr="00C9040A">
        <w:rPr>
          <w:rtl/>
        </w:rPr>
        <w:t>إلى</w:t>
      </w:r>
      <w:r w:rsidR="008A74EB">
        <w:rPr>
          <w:rtl/>
        </w:rPr>
        <w:t xml:space="preserve"> </w:t>
      </w:r>
      <w:r w:rsidR="0084262C">
        <w:rPr>
          <w:rtl/>
        </w:rPr>
        <w:t>-</w:t>
      </w:r>
      <w:r w:rsidR="008A74EB">
        <w:rPr>
          <w:rFonts w:hint="cs"/>
          <w:rtl/>
        </w:rPr>
        <w:t xml:space="preserve"> </w:t>
      </w:r>
      <w:r w:rsidR="008A74EB" w:rsidRPr="00883DD5">
        <w:rPr>
          <w:rStyle w:val="libFootnoteAieChar"/>
          <w:rtl/>
        </w:rPr>
        <w:t>مِنْ لُغُوبٍ</w:t>
      </w:r>
      <w:r w:rsidR="008A74EB" w:rsidRPr="00883DD5">
        <w:rPr>
          <w:rStyle w:val="libFootnoteAieChar"/>
          <w:rFonts w:hint="cs"/>
          <w:rtl/>
        </w:rPr>
        <w:t xml:space="preserve"> </w:t>
      </w:r>
      <w:r w:rsidR="008A74EB" w:rsidRPr="00AC2E2F">
        <w:rPr>
          <w:rStyle w:val="libFootnoteAlaemChar"/>
          <w:rtl/>
        </w:rPr>
        <w:t>)</w:t>
      </w:r>
      <w:r w:rsidR="008A74EB" w:rsidRPr="00C9040A">
        <w:rPr>
          <w:rtl/>
        </w:rPr>
        <w:t xml:space="preserve">. </w:t>
      </w:r>
      <w:r w:rsidR="008A74EB">
        <w:rPr>
          <w:rtl/>
        </w:rPr>
        <w:t>و «</w:t>
      </w:r>
      <w:r w:rsidR="008A74EB" w:rsidRPr="00C9040A">
        <w:rPr>
          <w:rtl/>
        </w:rPr>
        <w:t xml:space="preserve"> اللغوب » : التعب والإعياء. </w:t>
      </w:r>
      <w:r w:rsidR="008A74EB" w:rsidRPr="00993B55">
        <w:rPr>
          <w:rStyle w:val="libFootnoteBoldChar"/>
          <w:rtl/>
        </w:rPr>
        <w:t>لسان العرب</w:t>
      </w:r>
      <w:r w:rsidR="008A74EB" w:rsidRPr="00C9040A">
        <w:rPr>
          <w:rtl/>
        </w:rPr>
        <w:t xml:space="preserve"> ، ج 1 ، ص 742 ( لغب )</w:t>
      </w:r>
      <w:r w:rsidR="008A74EB">
        <w:rPr>
          <w:rtl/>
        </w:rPr>
        <w:t>.</w:t>
      </w:r>
      <w:r w:rsidR="007F6EB0">
        <w:rPr>
          <w:rFonts w:hint="cs"/>
          <w:rtl/>
        </w:rPr>
        <w:t xml:space="preserve">                                   </w:t>
      </w:r>
      <w:r>
        <w:rPr>
          <w:rtl/>
        </w:rPr>
        <w:t>(8).</w:t>
      </w:r>
      <w:r w:rsidR="008A74EB" w:rsidRPr="00C9040A">
        <w:rPr>
          <w:rtl/>
        </w:rPr>
        <w:t xml:space="preserve"> ق</w:t>
      </w:r>
      <w:r w:rsidR="007F6EB0">
        <w:rPr>
          <w:rFonts w:hint="cs"/>
          <w:rtl/>
        </w:rPr>
        <w:t>َ</w:t>
      </w:r>
      <w:r w:rsidR="008A74EB" w:rsidRPr="00C9040A">
        <w:rPr>
          <w:rtl/>
        </w:rPr>
        <w:t xml:space="preserve"> (50) : 38</w:t>
      </w:r>
      <w:r w:rsidR="008A74EB">
        <w:rPr>
          <w:rtl/>
        </w:rPr>
        <w:t xml:space="preserve"> </w:t>
      </w:r>
      <w:r w:rsidR="0084262C">
        <w:rPr>
          <w:rtl/>
        </w:rPr>
        <w:t>-</w:t>
      </w:r>
      <w:r w:rsidR="008A74EB">
        <w:rPr>
          <w:rtl/>
        </w:rPr>
        <w:t xml:space="preserve"> </w:t>
      </w:r>
      <w:r w:rsidR="008A74EB" w:rsidRPr="00C9040A">
        <w:rPr>
          <w:rtl/>
        </w:rPr>
        <w:t>39.</w:t>
      </w:r>
    </w:p>
    <w:p w:rsidR="008A74EB" w:rsidRPr="00C9040A" w:rsidRDefault="006C577F" w:rsidP="004A4E41">
      <w:pPr>
        <w:pStyle w:val="libFootnote0"/>
        <w:rPr>
          <w:rtl/>
          <w:lang w:bidi="fa-IR"/>
        </w:rPr>
      </w:pPr>
      <w:r>
        <w:rPr>
          <w:rtl/>
        </w:rPr>
        <w:t>(9).</w:t>
      </w:r>
      <w:r w:rsidR="008A74EB" w:rsidRPr="00C9040A">
        <w:rPr>
          <w:rtl/>
        </w:rPr>
        <w:t xml:space="preserve"> في « ب ، ص ، ض ، ف ، </w:t>
      </w:r>
      <w:r w:rsidR="006D3162">
        <w:rPr>
          <w:rtl/>
        </w:rPr>
        <w:t xml:space="preserve">ه </w:t>
      </w:r>
      <w:r w:rsidR="008A74EB" w:rsidRPr="00C9040A">
        <w:rPr>
          <w:rtl/>
        </w:rPr>
        <w:t xml:space="preserve">، بس ، بف » والوافي والوسائل والبحار </w:t>
      </w:r>
      <w:r w:rsidR="008A74EB">
        <w:rPr>
          <w:rtl/>
        </w:rPr>
        <w:t xml:space="preserve">: </w:t>
      </w:r>
      <w:r w:rsidR="0084262C">
        <w:rPr>
          <w:rtl/>
        </w:rPr>
        <w:t>-</w:t>
      </w:r>
      <w:r w:rsidR="008A74EB" w:rsidRPr="00C9040A">
        <w:rPr>
          <w:rtl/>
        </w:rPr>
        <w:t xml:space="preserve"> « النبيّ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حاشية « ف » : « بالإمامة »</w:t>
      </w:r>
      <w:r w:rsidR="008A74EB">
        <w:rPr>
          <w:rtl/>
        </w:rPr>
        <w:t>.</w:t>
      </w:r>
      <w:r w:rsidR="008A74EB" w:rsidRPr="00C9040A">
        <w:rPr>
          <w:rtl/>
        </w:rPr>
        <w:t xml:space="preserve"> وفي تفسير القمّي : « الأئمّة من عترته » بدل « عترته بالأئمّة »</w:t>
      </w:r>
      <w:r w:rsidR="008A74EB">
        <w:rPr>
          <w:rtl/>
        </w:rPr>
        <w:t>.</w:t>
      </w:r>
    </w:p>
    <w:p w:rsidR="008A74EB" w:rsidRPr="004A4E41" w:rsidRDefault="006C577F" w:rsidP="004A4E41">
      <w:pPr>
        <w:pStyle w:val="libFootnote0"/>
        <w:rPr>
          <w:rStyle w:val="libFootnote0Char"/>
          <w:rtl/>
        </w:rPr>
      </w:pPr>
      <w:r>
        <w:rPr>
          <w:rtl/>
        </w:rPr>
        <w:t>(11).</w:t>
      </w:r>
      <w:r w:rsidR="008A74EB" w:rsidRPr="00C9040A">
        <w:rPr>
          <w:rtl/>
        </w:rPr>
        <w:t xml:space="preserve"> هكذا في القرآن </w:t>
      </w:r>
      <w:r w:rsidR="008A74EB">
        <w:rPr>
          <w:rtl/>
        </w:rPr>
        <w:t>و «</w:t>
      </w:r>
      <w:r w:rsidR="008A74EB" w:rsidRPr="00C9040A">
        <w:rPr>
          <w:rtl/>
        </w:rPr>
        <w:t xml:space="preserve"> ص ، ف ، </w:t>
      </w:r>
      <w:r w:rsidR="006D3162">
        <w:rPr>
          <w:rtl/>
        </w:rPr>
        <w:t xml:space="preserve">ه </w:t>
      </w:r>
      <w:r w:rsidR="008A74EB" w:rsidRPr="00C9040A">
        <w:rPr>
          <w:rtl/>
        </w:rPr>
        <w:t>» وشرح المازندراني. وفي سائر النسخ والمطبوع : « جعلناهم »</w:t>
      </w:r>
      <w:r w:rsidR="008A74EB">
        <w:rPr>
          <w:rtl/>
        </w:rPr>
        <w:t>.</w:t>
      </w:r>
    </w:p>
    <w:tbl>
      <w:tblPr>
        <w:tblStyle w:val="TableGrid"/>
        <w:bidiVisual/>
        <w:tblW w:w="0" w:type="auto"/>
        <w:tblLook w:val="04A0" w:firstRow="1" w:lastRow="0" w:firstColumn="1" w:lastColumn="0" w:noHBand="0" w:noVBand="1"/>
      </w:tblPr>
      <w:tblGrid>
        <w:gridCol w:w="4006"/>
        <w:gridCol w:w="4006"/>
      </w:tblGrid>
      <w:tr w:rsidR="007F6EB0" w:rsidTr="007F6EB0">
        <w:tc>
          <w:tcPr>
            <w:tcW w:w="4006" w:type="dxa"/>
          </w:tcPr>
          <w:p w:rsidR="007F6EB0" w:rsidRDefault="007F6EB0" w:rsidP="004A4E41">
            <w:pPr>
              <w:pStyle w:val="libFootnote0"/>
              <w:rPr>
                <w:rtl/>
              </w:rPr>
            </w:pPr>
            <w:r>
              <w:rPr>
                <w:rtl/>
              </w:rPr>
              <w:t>(12).</w:t>
            </w:r>
            <w:r w:rsidRPr="00C9040A">
              <w:rPr>
                <w:rtl/>
              </w:rPr>
              <w:t xml:space="preserve"> السجدة (32) : 24.</w:t>
            </w:r>
          </w:p>
        </w:tc>
        <w:tc>
          <w:tcPr>
            <w:tcW w:w="4006" w:type="dxa"/>
          </w:tcPr>
          <w:p w:rsidR="007F6EB0" w:rsidRDefault="007F6EB0" w:rsidP="004A4E41">
            <w:pPr>
              <w:pStyle w:val="libFootnote0"/>
              <w:rPr>
                <w:rtl/>
              </w:rPr>
            </w:pPr>
            <w:r>
              <w:rPr>
                <w:rtl/>
              </w:rPr>
              <w:t>(13)</w:t>
            </w:r>
            <w:r w:rsidRPr="00C9040A">
              <w:rPr>
                <w:rtl/>
              </w:rPr>
              <w:t xml:space="preserve"> في « </w:t>
            </w:r>
            <w:r>
              <w:rPr>
                <w:rtl/>
              </w:rPr>
              <w:t xml:space="preserve">ه </w:t>
            </w:r>
            <w:r w:rsidRPr="00C9040A">
              <w:rPr>
                <w:rtl/>
              </w:rPr>
              <w:t>، بف » والوافي والوسائل : + « النبيّ »</w:t>
            </w:r>
            <w:r>
              <w:rPr>
                <w:rtl/>
              </w:rPr>
              <w:t>.</w:t>
            </w:r>
          </w:p>
        </w:tc>
      </w:tr>
      <w:tr w:rsidR="007F6EB0" w:rsidTr="007F6EB0">
        <w:tc>
          <w:tcPr>
            <w:tcW w:w="4006" w:type="dxa"/>
          </w:tcPr>
          <w:p w:rsidR="007F6EB0" w:rsidRDefault="007F6EB0" w:rsidP="004A4E41">
            <w:pPr>
              <w:pStyle w:val="libFootnote0"/>
              <w:rPr>
                <w:rtl/>
              </w:rPr>
            </w:pPr>
            <w:r>
              <w:rPr>
                <w:rtl/>
              </w:rPr>
              <w:t>(14)</w:t>
            </w:r>
            <w:r w:rsidRPr="00C9040A">
              <w:rPr>
                <w:rtl/>
              </w:rPr>
              <w:t xml:space="preserve"> في « ز » : « بمنزلة الرأس »</w:t>
            </w:r>
            <w:r>
              <w:rPr>
                <w:rtl/>
              </w:rPr>
              <w:t>.</w:t>
            </w:r>
          </w:p>
        </w:tc>
        <w:tc>
          <w:tcPr>
            <w:tcW w:w="4006" w:type="dxa"/>
          </w:tcPr>
          <w:p w:rsidR="007F6EB0" w:rsidRDefault="007F6EB0" w:rsidP="004A4E41">
            <w:pPr>
              <w:pStyle w:val="libFootnote0"/>
              <w:rPr>
                <w:rtl/>
              </w:rPr>
            </w:pPr>
            <w:r>
              <w:rPr>
                <w:rtl/>
              </w:rPr>
              <w:t>(15)</w:t>
            </w:r>
            <w:r w:rsidRPr="00C9040A">
              <w:rPr>
                <w:rtl/>
              </w:rPr>
              <w:t xml:space="preserve"> في تفسير القمّي : « من البدن »</w:t>
            </w:r>
            <w:r>
              <w:rPr>
                <w:rtl/>
              </w:rPr>
              <w:t>.</w:t>
            </w:r>
          </w:p>
        </w:tc>
      </w:tr>
      <w:tr w:rsidR="007F6EB0" w:rsidTr="007F6EB0">
        <w:tc>
          <w:tcPr>
            <w:tcW w:w="4006" w:type="dxa"/>
          </w:tcPr>
          <w:p w:rsidR="007F6EB0" w:rsidRDefault="007F6EB0" w:rsidP="004A4E41">
            <w:pPr>
              <w:pStyle w:val="libFootnote0"/>
              <w:rPr>
                <w:rtl/>
              </w:rPr>
            </w:pPr>
            <w:r>
              <w:rPr>
                <w:rtl/>
              </w:rPr>
              <w:t>(16)</w:t>
            </w:r>
            <w:r w:rsidRPr="00C9040A">
              <w:rPr>
                <w:rtl/>
              </w:rPr>
              <w:t xml:space="preserve"> في تفسير القمّي : « له ذلك فأنزل الله عليه »</w:t>
            </w:r>
            <w:r>
              <w:rPr>
                <w:rtl/>
              </w:rPr>
              <w:t>.</w:t>
            </w:r>
          </w:p>
        </w:tc>
        <w:tc>
          <w:tcPr>
            <w:tcW w:w="4006" w:type="dxa"/>
          </w:tcPr>
          <w:p w:rsidR="007F6EB0" w:rsidRDefault="007F6EB0" w:rsidP="004A4E41">
            <w:pPr>
              <w:pStyle w:val="libFootnote0"/>
              <w:rPr>
                <w:rtl/>
              </w:rPr>
            </w:pPr>
            <w:r>
              <w:rPr>
                <w:rtl/>
              </w:rPr>
              <w:t>(17)</w:t>
            </w:r>
            <w:r w:rsidRPr="00C9040A">
              <w:rPr>
                <w:rtl/>
              </w:rPr>
              <w:t xml:space="preserve"> الأعراف </w:t>
            </w:r>
            <w:r>
              <w:rPr>
                <w:rtl/>
              </w:rPr>
              <w:t>(7)</w:t>
            </w:r>
            <w:r w:rsidRPr="00C9040A">
              <w:rPr>
                <w:rtl/>
              </w:rPr>
              <w:t xml:space="preserve"> : 137.</w:t>
            </w:r>
          </w:p>
        </w:tc>
      </w:tr>
    </w:tbl>
    <w:p w:rsidR="008A74EB" w:rsidRPr="004A4E41" w:rsidRDefault="008A74EB" w:rsidP="004A4E41">
      <w:pPr>
        <w:pStyle w:val="libFootnote0"/>
        <w:rPr>
          <w:rStyle w:val="libFootnote0Char"/>
          <w:rtl/>
        </w:rPr>
      </w:pPr>
      <w:r>
        <w:rPr>
          <w:rtl/>
        </w:rPr>
        <w:t>(18)</w:t>
      </w:r>
      <w:r w:rsidRPr="00C9040A">
        <w:rPr>
          <w:rtl/>
        </w:rPr>
        <w:t xml:space="preserve"> في « ف ، </w:t>
      </w:r>
      <w:r w:rsidR="006D3162">
        <w:rPr>
          <w:rtl/>
        </w:rPr>
        <w:t xml:space="preserve">ه </w:t>
      </w:r>
      <w:r w:rsidRPr="00C9040A">
        <w:rPr>
          <w:rtl/>
        </w:rPr>
        <w:t>» : + « النبيّ »</w:t>
      </w:r>
      <w:r>
        <w:rPr>
          <w:rtl/>
        </w:rPr>
        <w:t>.</w:t>
      </w:r>
      <w:r w:rsidRPr="00C9040A">
        <w:rPr>
          <w:rtl/>
        </w:rPr>
        <w:t xml:space="preserve"> وفي تفسير القمّي : + « رسول الله »</w:t>
      </w:r>
      <w:r>
        <w:rPr>
          <w:rtl/>
        </w:rPr>
        <w:t>.</w:t>
      </w:r>
    </w:p>
    <w:tbl>
      <w:tblPr>
        <w:tblStyle w:val="TableGrid"/>
        <w:bidiVisual/>
        <w:tblW w:w="0" w:type="auto"/>
        <w:tblLook w:val="04A0" w:firstRow="1" w:lastRow="0" w:firstColumn="1" w:lastColumn="0" w:noHBand="0" w:noVBand="1"/>
      </w:tblPr>
      <w:tblGrid>
        <w:gridCol w:w="4006"/>
        <w:gridCol w:w="4006"/>
      </w:tblGrid>
      <w:tr w:rsidR="007F6EB0" w:rsidTr="007F6EB0">
        <w:tc>
          <w:tcPr>
            <w:tcW w:w="4006" w:type="dxa"/>
          </w:tcPr>
          <w:p w:rsidR="007F6EB0" w:rsidRDefault="007F6EB0" w:rsidP="004A4E41">
            <w:pPr>
              <w:pStyle w:val="libFootnote0"/>
              <w:rPr>
                <w:rtl/>
              </w:rPr>
            </w:pPr>
            <w:r>
              <w:rPr>
                <w:rtl/>
              </w:rPr>
              <w:t>(19)</w:t>
            </w:r>
            <w:r w:rsidRPr="00C9040A">
              <w:rPr>
                <w:rtl/>
              </w:rPr>
              <w:t xml:space="preserve"> في تفسير القمّي : « آية »</w:t>
            </w:r>
            <w:r>
              <w:rPr>
                <w:rtl/>
              </w:rPr>
              <w:t>.</w:t>
            </w:r>
          </w:p>
        </w:tc>
        <w:tc>
          <w:tcPr>
            <w:tcW w:w="4006" w:type="dxa"/>
          </w:tcPr>
          <w:p w:rsidR="007F6EB0" w:rsidRDefault="007F6EB0" w:rsidP="004A4E41">
            <w:pPr>
              <w:pStyle w:val="libFootnote0"/>
              <w:rPr>
                <w:rtl/>
              </w:rPr>
            </w:pPr>
            <w:r>
              <w:rPr>
                <w:rtl/>
              </w:rPr>
              <w:t>(20)</w:t>
            </w:r>
            <w:r w:rsidRPr="00C9040A">
              <w:rPr>
                <w:rtl/>
              </w:rPr>
              <w:t xml:space="preserve"> في « ب ، ف ، </w:t>
            </w:r>
            <w:r>
              <w:rPr>
                <w:rtl/>
              </w:rPr>
              <w:t xml:space="preserve">ه </w:t>
            </w:r>
            <w:r w:rsidRPr="00C9040A">
              <w:rPr>
                <w:rtl/>
              </w:rPr>
              <w:t xml:space="preserve">» </w:t>
            </w:r>
            <w:r>
              <w:rPr>
                <w:rtl/>
              </w:rPr>
              <w:t>: -</w:t>
            </w:r>
            <w:r w:rsidRPr="00C9040A">
              <w:rPr>
                <w:rtl/>
              </w:rPr>
              <w:t xml:space="preserve"> « له »</w:t>
            </w:r>
            <w:r>
              <w:rPr>
                <w:rtl/>
              </w:rPr>
              <w:t>.</w:t>
            </w:r>
          </w:p>
        </w:tc>
      </w:tr>
    </w:tbl>
    <w:p w:rsidR="008A74EB" w:rsidRPr="00C9040A" w:rsidRDefault="008A74EB" w:rsidP="004A4E41">
      <w:pPr>
        <w:pStyle w:val="libFootnote0"/>
        <w:rPr>
          <w:rtl/>
          <w:lang w:bidi="fa-IR"/>
        </w:rPr>
      </w:pPr>
      <w:r>
        <w:rPr>
          <w:rtl/>
        </w:rPr>
        <w:t>(21)</w:t>
      </w:r>
      <w:r w:rsidRPr="00C9040A">
        <w:rPr>
          <w:rtl/>
        </w:rPr>
        <w:t xml:space="preserve"> في « ب ، د ، ز ، ص ، ف ، بر ، بس ، بف » والوافي </w:t>
      </w:r>
      <w:r>
        <w:rPr>
          <w:rtl/>
        </w:rPr>
        <w:t xml:space="preserve">: </w:t>
      </w:r>
      <w:r w:rsidR="0084262C">
        <w:rPr>
          <w:rtl/>
        </w:rPr>
        <w:t>-</w:t>
      </w:r>
      <w:r w:rsidRPr="00C9040A">
        <w:rPr>
          <w:rtl/>
        </w:rPr>
        <w:t xml:space="preserve"> « الله »</w:t>
      </w:r>
      <w:r>
        <w:rPr>
          <w:rtl/>
        </w:rPr>
        <w:t>.</w:t>
      </w:r>
      <w:r w:rsidRPr="00C9040A">
        <w:rPr>
          <w:rtl/>
        </w:rPr>
        <w:t xml:space="preserve"> وفي « ج » </w:t>
      </w:r>
      <w:r>
        <w:rPr>
          <w:rtl/>
        </w:rPr>
        <w:t xml:space="preserve">: </w:t>
      </w:r>
      <w:r w:rsidR="0084262C">
        <w:rPr>
          <w:rtl/>
        </w:rPr>
        <w:t>-</w:t>
      </w:r>
      <w:r w:rsidRPr="00C9040A">
        <w:rPr>
          <w:rtl/>
        </w:rPr>
        <w:t xml:space="preserve"> « فأنزل الله »</w:t>
      </w:r>
      <w:r>
        <w:rPr>
          <w:rtl/>
        </w:rPr>
        <w:t>.</w:t>
      </w:r>
    </w:p>
    <w:p w:rsidR="008A74EB" w:rsidRPr="00C9040A" w:rsidRDefault="008A74EB" w:rsidP="004A4E41">
      <w:pPr>
        <w:pStyle w:val="libFootnote0"/>
        <w:rPr>
          <w:rtl/>
          <w:lang w:bidi="fa-IR"/>
        </w:rPr>
      </w:pPr>
      <w:r>
        <w:rPr>
          <w:rtl/>
        </w:rPr>
        <w:t>(22)</w:t>
      </w:r>
      <w:r w:rsidRPr="00C9040A">
        <w:rPr>
          <w:rtl/>
        </w:rPr>
        <w:t xml:space="preserve"> هكذا في القرآن </w:t>
      </w:r>
      <w:r>
        <w:rPr>
          <w:rtl/>
        </w:rPr>
        <w:t>و «</w:t>
      </w:r>
      <w:r w:rsidRPr="00C9040A">
        <w:rPr>
          <w:rtl/>
        </w:rPr>
        <w:t xml:space="preserve"> و، جل »</w:t>
      </w:r>
      <w:r>
        <w:rPr>
          <w:rtl/>
        </w:rPr>
        <w:t>.</w:t>
      </w:r>
      <w:r w:rsidRPr="00C9040A">
        <w:rPr>
          <w:rtl/>
        </w:rPr>
        <w:t xml:space="preserve"> وفي سائر النسخ والمطبوع : « اقتلوا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6A2246">
        <w:rPr>
          <w:rStyle w:val="libAieChar"/>
          <w:rtl/>
        </w:rPr>
        <w:t xml:space="preserve">وَاقْعُدُوا لَهُمْ كُلَّ مَرْصَدٍ </w:t>
      </w:r>
      <w:r w:rsidRPr="0003660B">
        <w:rPr>
          <w:rStyle w:val="libAlaemChar"/>
          <w:rtl/>
        </w:rPr>
        <w:t>)</w:t>
      </w:r>
      <w:r w:rsidRPr="00C9040A">
        <w:rPr>
          <w:rtl/>
          <w:lang w:bidi="fa-IR"/>
        </w:rPr>
        <w:t xml:space="preserve"> </w:t>
      </w:r>
      <w:r w:rsidR="006C577F" w:rsidRPr="006C577F">
        <w:rPr>
          <w:rStyle w:val="libFootnotenumChar"/>
          <w:rtl/>
        </w:rPr>
        <w:t>(1)</w:t>
      </w:r>
      <w:r w:rsidRPr="00721F6A">
        <w:rPr>
          <w:rFonts w:hint="cs"/>
          <w:rtl/>
        </w:rPr>
        <w:t xml:space="preserve"> </w:t>
      </w:r>
      <w:r w:rsidRPr="0003660B">
        <w:rPr>
          <w:rStyle w:val="libAlaemChar"/>
          <w:rtl/>
        </w:rPr>
        <w:t>(</w:t>
      </w:r>
      <w:r w:rsidRPr="006A2246">
        <w:rPr>
          <w:rStyle w:val="libAieChar"/>
          <w:rtl/>
        </w:rPr>
        <w:t xml:space="preserve"> وَاقْتُلُوهُمْ حَيْثُ ثَقِفْتُمُوهُمْ </w:t>
      </w:r>
      <w:r w:rsidRPr="0003660B">
        <w:rPr>
          <w:rStyle w:val="libAlaemChar"/>
          <w:rtl/>
        </w:rPr>
        <w:t>)</w:t>
      </w:r>
      <w:r w:rsidRPr="00C9040A">
        <w:rPr>
          <w:rtl/>
          <w:lang w:bidi="fa-IR"/>
        </w:rPr>
        <w:t xml:space="preserve"> </w:t>
      </w:r>
      <w:r w:rsidR="006C577F" w:rsidRPr="006C577F">
        <w:rPr>
          <w:rStyle w:val="libFootnotenumChar"/>
          <w:rtl/>
        </w:rPr>
        <w:t>(2)</w:t>
      </w:r>
      <w:r w:rsidRPr="00C9040A">
        <w:rPr>
          <w:rtl/>
          <w:lang w:bidi="fa-IR"/>
        </w:rPr>
        <w:t xml:space="preserve"> </w:t>
      </w:r>
      <w:r w:rsidR="006C577F" w:rsidRPr="006C577F">
        <w:rPr>
          <w:rStyle w:val="libFootnotenumChar"/>
          <w:rtl/>
        </w:rPr>
        <w:t>(3)</w:t>
      </w:r>
      <w:r w:rsidRPr="00C9040A">
        <w:rPr>
          <w:rtl/>
          <w:lang w:bidi="fa-IR"/>
        </w:rPr>
        <w:t xml:space="preserve"> فَقَتَلَهُمُ اللهُ </w:t>
      </w:r>
      <w:r w:rsidR="006C577F" w:rsidRPr="006C577F">
        <w:rPr>
          <w:rStyle w:val="libFootnotenumChar"/>
          <w:rtl/>
        </w:rPr>
        <w:t>(4)</w:t>
      </w:r>
      <w:r w:rsidRPr="00C9040A">
        <w:rPr>
          <w:rtl/>
          <w:lang w:bidi="fa-IR"/>
        </w:rPr>
        <w:t xml:space="preserve"> عَلى يَدَيْ </w:t>
      </w:r>
      <w:r w:rsidR="006C577F" w:rsidRPr="006C577F">
        <w:rPr>
          <w:rStyle w:val="libFootnotenumChar"/>
          <w:rtl/>
        </w:rPr>
        <w:t>(5)</w:t>
      </w:r>
      <w:r w:rsidRPr="00C9040A">
        <w:rPr>
          <w:rtl/>
          <w:lang w:bidi="fa-IR"/>
        </w:rPr>
        <w:t xml:space="preserve"> رَسُولِ اللهِ </w:t>
      </w:r>
      <w:r w:rsidR="006C577F" w:rsidRPr="006C577F">
        <w:rPr>
          <w:rStyle w:val="libFootnotenumChar"/>
          <w:rtl/>
        </w:rPr>
        <w:t>(6)</w:t>
      </w:r>
      <w:r w:rsidRPr="005B567D">
        <w:rPr>
          <w:rStyle w:val="libFootnotenumChar"/>
          <w:rtl/>
        </w:rPr>
        <w:t xml:space="preserve"> </w:t>
      </w:r>
      <w:r w:rsidR="004A4E41" w:rsidRPr="004A4E41">
        <w:rPr>
          <w:rStyle w:val="libAlaemChar"/>
          <w:rtl/>
        </w:rPr>
        <w:t>صلى‌الله‌عليه‌وآله</w:t>
      </w:r>
      <w:r w:rsidRPr="00C9040A">
        <w:rPr>
          <w:rtl/>
          <w:lang w:bidi="fa-IR"/>
        </w:rPr>
        <w:t xml:space="preserve"> </w:t>
      </w:r>
      <w:r w:rsidR="006C577F" w:rsidRPr="006C577F">
        <w:rPr>
          <w:rStyle w:val="libFootnotenumChar"/>
          <w:rtl/>
        </w:rPr>
        <w:t>(7)</w:t>
      </w:r>
      <w:r w:rsidRPr="00C9040A">
        <w:rPr>
          <w:rtl/>
          <w:lang w:bidi="fa-IR"/>
        </w:rPr>
        <w:t xml:space="preserve"> وَأَحِبَّائِهِ ، وَجَعَلَ </w:t>
      </w:r>
      <w:r w:rsidR="006C577F" w:rsidRPr="006C577F">
        <w:rPr>
          <w:rStyle w:val="libFootnotenumChar"/>
          <w:rtl/>
        </w:rPr>
        <w:t>(8)</w:t>
      </w:r>
      <w:r w:rsidRPr="00C9040A">
        <w:rPr>
          <w:rtl/>
          <w:lang w:bidi="fa-IR"/>
        </w:rPr>
        <w:t xml:space="preserve"> لَهُ </w:t>
      </w:r>
      <w:r w:rsidR="006C577F" w:rsidRPr="006C577F">
        <w:rPr>
          <w:rStyle w:val="libFootnotenumChar"/>
          <w:rtl/>
        </w:rPr>
        <w:t>(9)</w:t>
      </w:r>
      <w:r w:rsidRPr="00C9040A">
        <w:rPr>
          <w:rtl/>
          <w:lang w:bidi="fa-IR"/>
        </w:rPr>
        <w:t xml:space="preserve"> ثَوَابَ صَبْرِهِ مَعَ مَا ادَّخَرَ لَهُ فِي الْآخِرَةِ ، فَمَنْ صَبَرَ وَاحْتَسَبَ لَمْ يَخْرُجْ مِنَ الدُّنْيَا حَتّى يُقِرَّ اللهُ لَهُ </w:t>
      </w:r>
      <w:r w:rsidR="006C577F" w:rsidRPr="006C577F">
        <w:rPr>
          <w:rStyle w:val="libFootnotenumChar"/>
          <w:rtl/>
        </w:rPr>
        <w:t>(10)</w:t>
      </w:r>
      <w:r w:rsidRPr="00C9040A">
        <w:rPr>
          <w:rtl/>
          <w:lang w:bidi="fa-IR"/>
        </w:rPr>
        <w:t xml:space="preserve"> عَيْنَهُ </w:t>
      </w:r>
      <w:r w:rsidR="006C577F" w:rsidRPr="006C577F">
        <w:rPr>
          <w:rStyle w:val="libFootnotenumChar"/>
          <w:rtl/>
        </w:rPr>
        <w:t>(11)</w:t>
      </w:r>
      <w:r w:rsidRPr="00C9040A">
        <w:rPr>
          <w:rtl/>
          <w:lang w:bidi="fa-IR"/>
        </w:rPr>
        <w:t xml:space="preserve"> فِي أَعْدَائِهِ مَعَ مَا يَدَّخِرُ لَهُ فِي الْآخِرَةِ</w:t>
      </w:r>
      <w:r w:rsidR="006C577F" w:rsidRPr="006C577F">
        <w:rPr>
          <w:rStyle w:val="libFootnotenumChar"/>
          <w:rtl/>
        </w:rPr>
        <w:t>(12)</w:t>
      </w:r>
      <w:r w:rsidRPr="00C9040A">
        <w:rPr>
          <w:rtl/>
          <w:lang w:bidi="fa-IR"/>
        </w:rPr>
        <w:t>»</w:t>
      </w:r>
      <w:r>
        <w:rPr>
          <w:rtl/>
          <w:lang w:bidi="fa-IR"/>
        </w:rPr>
        <w:t>.</w:t>
      </w:r>
      <w:r w:rsidRPr="00C9040A">
        <w:rPr>
          <w:rtl/>
          <w:lang w:bidi="fa-IR"/>
        </w:rPr>
        <w:t xml:space="preserve"> </w:t>
      </w:r>
      <w:r w:rsidRPr="005B567D">
        <w:rPr>
          <w:rStyle w:val="libFootnotenumChar"/>
          <w:rtl/>
        </w:rPr>
        <w:t>(13)</w:t>
      </w:r>
      <w:r w:rsidRPr="00C9040A">
        <w:rPr>
          <w:rtl/>
          <w:lang w:bidi="fa-IR"/>
        </w:rPr>
        <w:t xml:space="preserve"> ‌</w:t>
      </w:r>
    </w:p>
    <w:p w:rsidR="008A74EB" w:rsidRPr="00C9040A" w:rsidRDefault="008A74EB" w:rsidP="008A74EB">
      <w:pPr>
        <w:pStyle w:val="libNormal"/>
        <w:rPr>
          <w:rtl/>
          <w:lang w:bidi="fa-IR"/>
        </w:rPr>
      </w:pPr>
      <w:r w:rsidRPr="006532EC">
        <w:rPr>
          <w:rtl/>
        </w:rPr>
        <w:t>1693</w:t>
      </w:r>
      <w:r w:rsidRPr="00261CB0">
        <w:rPr>
          <w:rStyle w:val="libBold2Char"/>
          <w:rtl/>
        </w:rPr>
        <w:t xml:space="preserve"> / 4.</w:t>
      </w:r>
      <w:r w:rsidRPr="00C9040A">
        <w:rPr>
          <w:rtl/>
          <w:lang w:bidi="fa-IR"/>
        </w:rPr>
        <w:t xml:space="preserve"> مُحَمَّدُ بْنُ يَحْيى ، عَنْ أَحْمَدَ بْنِ مُحَمَّدِ بْنِ عِيسى ، عَنْ عَلِيِّ بْنِ الْحَكَمِ ، عَنْ أَبِي مُحَمَّدٍ عَبْدِ اللهِ السَّرَّاجِ :</w:t>
      </w:r>
    </w:p>
    <w:p w:rsidR="008A74EB" w:rsidRPr="00C9040A" w:rsidRDefault="008A74EB" w:rsidP="008A74EB">
      <w:pPr>
        <w:pStyle w:val="libNormal"/>
        <w:rPr>
          <w:rtl/>
          <w:lang w:bidi="fa-IR"/>
        </w:rPr>
      </w:pPr>
      <w:r w:rsidRPr="00C9040A">
        <w:rPr>
          <w:rtl/>
          <w:lang w:bidi="fa-IR"/>
        </w:rPr>
        <w:t xml:space="preserve">رَفَعَهُ إِلى عَلِيِّ بْنِ الْحُسَيْنِ </w:t>
      </w:r>
      <w:r w:rsidRPr="0003660B">
        <w:rPr>
          <w:rStyle w:val="libAlaemChar"/>
          <w:rtl/>
        </w:rPr>
        <w:t>عليهما‌السلام</w:t>
      </w:r>
      <w:r w:rsidRPr="00C9040A">
        <w:rPr>
          <w:rtl/>
          <w:lang w:bidi="fa-IR"/>
        </w:rPr>
        <w:t xml:space="preserve"> ، قَالَ : « الصَّبْرُ مِنَ الْإِيمَانِ بِمَنْزِلَةِ الرَّأْسِ مِنَ الْجَسَدِ ، وَلَا إِيمَانَ لِمَنْ لَا صَبْرَ لَهُ »</w:t>
      </w:r>
      <w:r>
        <w:rPr>
          <w:rtl/>
          <w:lang w:bidi="fa-IR"/>
        </w:rPr>
        <w:t>.</w:t>
      </w:r>
      <w:r w:rsidRPr="00C9040A">
        <w:rPr>
          <w:rtl/>
          <w:lang w:bidi="fa-IR"/>
        </w:rPr>
        <w:t xml:space="preserve"> </w:t>
      </w:r>
      <w:r w:rsidRPr="005B567D">
        <w:rPr>
          <w:rStyle w:val="libFootnotenumChar"/>
          <w:rtl/>
        </w:rPr>
        <w:t>(14)</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التوبة </w:t>
      </w:r>
      <w:r w:rsidR="007F6EB0">
        <w:rPr>
          <w:rtl/>
        </w:rPr>
        <w:t>(9)</w:t>
      </w:r>
      <w:r w:rsidR="008A74EB" w:rsidRPr="00C9040A">
        <w:rPr>
          <w:rtl/>
        </w:rPr>
        <w:t xml:space="preserve"> : 5.</w:t>
      </w:r>
    </w:p>
    <w:p w:rsidR="008A74EB" w:rsidRPr="00C9040A" w:rsidRDefault="006C577F" w:rsidP="004A4E41">
      <w:pPr>
        <w:pStyle w:val="libFootnote0"/>
        <w:rPr>
          <w:rtl/>
          <w:lang w:bidi="fa-IR"/>
        </w:rPr>
      </w:pPr>
      <w:r>
        <w:rPr>
          <w:rtl/>
        </w:rPr>
        <w:t>(2).</w:t>
      </w:r>
      <w:r w:rsidR="008A74EB">
        <w:rPr>
          <w:rtl/>
        </w:rPr>
        <w:t xml:space="preserve"> </w:t>
      </w:r>
      <w:r w:rsidR="008A74EB" w:rsidRPr="00AC2E2F">
        <w:rPr>
          <w:rStyle w:val="libFootnoteAlaemChar"/>
          <w:rtl/>
        </w:rPr>
        <w:t>(</w:t>
      </w:r>
      <w:r w:rsidR="008A74EB" w:rsidRPr="00883DD5">
        <w:rPr>
          <w:rStyle w:val="libFootnoteAieChar"/>
          <w:rFonts w:hint="cs"/>
          <w:rtl/>
        </w:rPr>
        <w:t xml:space="preserve"> </w:t>
      </w:r>
      <w:r w:rsidR="008A74EB" w:rsidRPr="00883DD5">
        <w:rPr>
          <w:rStyle w:val="libFootnoteAieChar"/>
          <w:rtl/>
        </w:rPr>
        <w:t>ثَقِفْتُمُوهُمْ</w:t>
      </w:r>
      <w:r w:rsidR="008A74EB" w:rsidRPr="00883DD5">
        <w:rPr>
          <w:rStyle w:val="libFootnoteAieChar"/>
          <w:rFonts w:hint="cs"/>
          <w:rtl/>
        </w:rPr>
        <w:t xml:space="preserve"> </w:t>
      </w:r>
      <w:r w:rsidR="008A74EB" w:rsidRPr="00AC2E2F">
        <w:rPr>
          <w:rStyle w:val="libFootnoteAlaemChar"/>
          <w:rtl/>
        </w:rPr>
        <w:t>)</w:t>
      </w:r>
      <w:r w:rsidR="008A74EB" w:rsidRPr="00C9040A">
        <w:rPr>
          <w:rtl/>
        </w:rPr>
        <w:t xml:space="preserve"> ، أي أدركتموهم ، يقال : ثقفه ، كسمعه ، أي صادفه ، أو أخذه ، أو ظفر به ، أو أدركه. قال الراغب : « الثقف : الحِذق في إدراك الشي‌ء وفعله</w:t>
      </w:r>
      <w:r w:rsidR="008A74EB">
        <w:rPr>
          <w:rtl/>
        </w:rPr>
        <w:t xml:space="preserve"> ..</w:t>
      </w:r>
      <w:r w:rsidR="008A74EB" w:rsidRPr="00C9040A">
        <w:rPr>
          <w:rtl/>
        </w:rPr>
        <w:t>. ثمّ يتجوّز به فيستعمل في الإد</w:t>
      </w:r>
      <w:r w:rsidR="00201D76">
        <w:rPr>
          <w:rtl/>
        </w:rPr>
        <w:t>راك وإنّ لم تكن معه ثقافة. راجع</w:t>
      </w:r>
      <w:r w:rsidR="008A74EB" w:rsidRPr="00C9040A">
        <w:rPr>
          <w:rtl/>
        </w:rPr>
        <w:t xml:space="preserve">: </w:t>
      </w:r>
      <w:r w:rsidR="008A74EB" w:rsidRPr="00993B55">
        <w:rPr>
          <w:rStyle w:val="libFootnoteBoldChar"/>
          <w:rtl/>
        </w:rPr>
        <w:t>المفردات</w:t>
      </w:r>
      <w:r w:rsidR="008A74EB" w:rsidRPr="00C9040A">
        <w:rPr>
          <w:rtl/>
        </w:rPr>
        <w:t xml:space="preserve"> للراغب ، ص 173 ؛ </w:t>
      </w:r>
      <w:r w:rsidR="008A74EB" w:rsidRPr="00993B55">
        <w:rPr>
          <w:rStyle w:val="libFootnoteBoldChar"/>
          <w:rtl/>
        </w:rPr>
        <w:t>لسان العرب</w:t>
      </w:r>
      <w:r w:rsidR="008A74EB" w:rsidRPr="00C9040A">
        <w:rPr>
          <w:rtl/>
        </w:rPr>
        <w:t xml:space="preserve"> ، ج 9 ، ص 30 ؛ </w:t>
      </w:r>
      <w:r w:rsidR="008A74EB" w:rsidRPr="00993B55">
        <w:rPr>
          <w:rStyle w:val="libFootnoteBoldChar"/>
          <w:rtl/>
        </w:rPr>
        <w:t>القاموس المحيط</w:t>
      </w:r>
      <w:r w:rsidR="00201D76">
        <w:rPr>
          <w:rtl/>
        </w:rPr>
        <w:t xml:space="preserve"> ، ج 2 ، ص 1061 (ثقف</w:t>
      </w:r>
      <w:r w:rsidR="008A74EB" w:rsidRPr="00C9040A">
        <w:rPr>
          <w:rtl/>
        </w:rPr>
        <w:t>)</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البقرة </w:t>
      </w:r>
      <w:r w:rsidR="00201D76">
        <w:rPr>
          <w:rtl/>
        </w:rPr>
        <w:t>(2)</w:t>
      </w:r>
      <w:r w:rsidR="008A74EB" w:rsidRPr="00C9040A">
        <w:rPr>
          <w:rtl/>
        </w:rPr>
        <w:t xml:space="preserve"> : 191 ؛ النساء </w:t>
      </w:r>
      <w:r w:rsidR="00201D76">
        <w:rPr>
          <w:rtl/>
        </w:rPr>
        <w:t>(4)</w:t>
      </w:r>
      <w:r w:rsidR="008A74EB" w:rsidRPr="00C9040A">
        <w:rPr>
          <w:rtl/>
        </w:rPr>
        <w:t xml:space="preserve"> : 91.</w:t>
      </w:r>
    </w:p>
    <w:p w:rsidR="008A74EB" w:rsidRPr="004A4E41" w:rsidRDefault="006C577F" w:rsidP="004A4E41">
      <w:pPr>
        <w:pStyle w:val="libFootnote0"/>
        <w:rPr>
          <w:rStyle w:val="libFootnote0Char"/>
          <w:rtl/>
        </w:rPr>
      </w:pPr>
      <w:r>
        <w:rPr>
          <w:rtl/>
        </w:rPr>
        <w:t>(4).</w:t>
      </w:r>
      <w:r w:rsidR="008A74EB" w:rsidRPr="00C9040A">
        <w:rPr>
          <w:rtl/>
        </w:rPr>
        <w:t xml:space="preserve"> في « ف » </w:t>
      </w:r>
      <w:r w:rsidR="008A74EB">
        <w:rPr>
          <w:rtl/>
        </w:rPr>
        <w:t xml:space="preserve">: </w:t>
      </w:r>
      <w:r w:rsidR="0084262C">
        <w:rPr>
          <w:rtl/>
        </w:rPr>
        <w:t>-</w:t>
      </w:r>
      <w:r w:rsidR="008A74EB" w:rsidRPr="00C9040A">
        <w:rPr>
          <w:rtl/>
        </w:rPr>
        <w:t xml:space="preserve"> « الله »</w:t>
      </w:r>
      <w:r w:rsidR="008A74EB">
        <w:rPr>
          <w:rtl/>
        </w:rPr>
        <w:t>.</w:t>
      </w:r>
      <w:r w:rsidR="008A74EB" w:rsidRPr="00C9040A">
        <w:rPr>
          <w:rtl/>
        </w:rPr>
        <w:t xml:space="preserve"> وفي تفسير القمّي : « فأباح الله قتل المشركين حيث وجدوا ، فقتلهم » بدل « فأباح الله عزّ وجلّ له</w:t>
      </w:r>
      <w:r w:rsidR="008A74EB">
        <w:rPr>
          <w:rtl/>
        </w:rPr>
        <w:t xml:space="preserve"> </w:t>
      </w:r>
      <w:r w:rsidR="0084262C">
        <w:rPr>
          <w:rtl/>
        </w:rPr>
        <w:t>-</w:t>
      </w:r>
      <w:r w:rsidR="008A74EB">
        <w:rPr>
          <w:rtl/>
        </w:rPr>
        <w:t xml:space="preserve"> </w:t>
      </w:r>
      <w:r w:rsidR="008A74EB" w:rsidRPr="00C9040A">
        <w:rPr>
          <w:rtl/>
        </w:rPr>
        <w:t>إلى</w:t>
      </w:r>
      <w:r w:rsidR="008A74EB">
        <w:rPr>
          <w:rtl/>
        </w:rPr>
        <w:t xml:space="preserve"> </w:t>
      </w:r>
      <w:r w:rsidR="0084262C">
        <w:rPr>
          <w:rtl/>
        </w:rPr>
        <w:t>-</w:t>
      </w:r>
      <w:r w:rsidR="008A74EB">
        <w:rPr>
          <w:rtl/>
        </w:rPr>
        <w:t xml:space="preserve"> </w:t>
      </w:r>
      <w:r w:rsidR="008A74EB" w:rsidRPr="00C9040A">
        <w:rPr>
          <w:rtl/>
        </w:rPr>
        <w:t>فقتلهم الله »</w:t>
      </w:r>
      <w:r w:rsidR="008A74EB">
        <w:rPr>
          <w:rtl/>
        </w:rPr>
        <w:t>.</w:t>
      </w:r>
      <w:r w:rsidR="00201D76">
        <w:rPr>
          <w:rFonts w:hint="cs"/>
          <w:rtl/>
        </w:rPr>
        <w:t xml:space="preserve">                        </w:t>
      </w:r>
      <w:r>
        <w:rPr>
          <w:rtl/>
        </w:rPr>
        <w:t>(5).</w:t>
      </w:r>
      <w:r w:rsidR="00201D76">
        <w:rPr>
          <w:rtl/>
        </w:rPr>
        <w:t xml:space="preserve"> في «ص ،</w:t>
      </w:r>
      <w:r w:rsidR="006D3162">
        <w:rPr>
          <w:rtl/>
        </w:rPr>
        <w:t xml:space="preserve">ه </w:t>
      </w:r>
      <w:r w:rsidR="00201D76">
        <w:rPr>
          <w:rtl/>
        </w:rPr>
        <w:t>،بف » والوافي والبحار</w:t>
      </w:r>
      <w:r w:rsidR="008A74EB" w:rsidRPr="00C9040A">
        <w:rPr>
          <w:rtl/>
        </w:rPr>
        <w:t>:</w:t>
      </w:r>
      <w:r w:rsidR="00201D76">
        <w:rPr>
          <w:rtl/>
        </w:rPr>
        <w:t>«أيدي</w:t>
      </w:r>
      <w:r w:rsidR="008A74EB" w:rsidRPr="00C9040A">
        <w:rPr>
          <w:rtl/>
        </w:rPr>
        <w:t>»</w:t>
      </w:r>
      <w:r w:rsidR="008A74EB">
        <w:rPr>
          <w:rtl/>
        </w:rPr>
        <w:t>.</w:t>
      </w:r>
    </w:p>
    <w:tbl>
      <w:tblPr>
        <w:tblStyle w:val="TableGrid"/>
        <w:bidiVisual/>
        <w:tblW w:w="0" w:type="auto"/>
        <w:tblLook w:val="04A0" w:firstRow="1" w:lastRow="0" w:firstColumn="1" w:lastColumn="0" w:noHBand="0" w:noVBand="1"/>
      </w:tblPr>
      <w:tblGrid>
        <w:gridCol w:w="4006"/>
        <w:gridCol w:w="4006"/>
      </w:tblGrid>
      <w:tr w:rsidR="00201D76" w:rsidTr="00201D76">
        <w:tc>
          <w:tcPr>
            <w:tcW w:w="4006" w:type="dxa"/>
          </w:tcPr>
          <w:p w:rsidR="00201D76" w:rsidRDefault="00201D76" w:rsidP="004A4E41">
            <w:pPr>
              <w:pStyle w:val="libFootnote0"/>
              <w:rPr>
                <w:rtl/>
              </w:rPr>
            </w:pPr>
            <w:r>
              <w:rPr>
                <w:rtl/>
              </w:rPr>
              <w:t xml:space="preserve">(6). </w:t>
            </w:r>
            <w:r w:rsidRPr="00C9040A">
              <w:rPr>
                <w:rtl/>
              </w:rPr>
              <w:t xml:space="preserve">في « ز ، ص ، ض ، </w:t>
            </w:r>
            <w:r>
              <w:rPr>
                <w:rtl/>
              </w:rPr>
              <w:t xml:space="preserve">ه </w:t>
            </w:r>
            <w:r w:rsidRPr="00C9040A">
              <w:rPr>
                <w:rtl/>
              </w:rPr>
              <w:t>» : « رسوله »</w:t>
            </w:r>
            <w:r>
              <w:rPr>
                <w:rtl/>
              </w:rPr>
              <w:t>.</w:t>
            </w:r>
          </w:p>
        </w:tc>
        <w:tc>
          <w:tcPr>
            <w:tcW w:w="4006" w:type="dxa"/>
          </w:tcPr>
          <w:p w:rsidR="00201D76" w:rsidRDefault="00201D76" w:rsidP="004A4E41">
            <w:pPr>
              <w:pStyle w:val="libFootnote0"/>
              <w:rPr>
                <w:rtl/>
              </w:rPr>
            </w:pPr>
            <w:r>
              <w:rPr>
                <w:rtl/>
              </w:rPr>
              <w:t>(7).</w:t>
            </w:r>
            <w:r w:rsidRPr="00C9040A">
              <w:rPr>
                <w:rtl/>
              </w:rPr>
              <w:t xml:space="preserve"> في « </w:t>
            </w:r>
            <w:r>
              <w:rPr>
                <w:rtl/>
              </w:rPr>
              <w:t xml:space="preserve">ه </w:t>
            </w:r>
            <w:r w:rsidRPr="00C9040A">
              <w:rPr>
                <w:rtl/>
              </w:rPr>
              <w:t>» : + « وأهله »</w:t>
            </w:r>
            <w:r>
              <w:rPr>
                <w:rtl/>
              </w:rPr>
              <w:t>.</w:t>
            </w:r>
          </w:p>
        </w:tc>
      </w:tr>
    </w:tbl>
    <w:p w:rsidR="008A74EB" w:rsidRPr="00C9040A" w:rsidRDefault="006C577F" w:rsidP="004A4E41">
      <w:pPr>
        <w:pStyle w:val="libFootnote0"/>
        <w:rPr>
          <w:rtl/>
          <w:lang w:bidi="fa-IR"/>
        </w:rPr>
      </w:pPr>
      <w:r>
        <w:rPr>
          <w:rtl/>
        </w:rPr>
        <w:t>(8).</w:t>
      </w:r>
      <w:r w:rsidR="008A74EB" w:rsidRPr="00C9040A">
        <w:rPr>
          <w:rtl/>
        </w:rPr>
        <w:t xml:space="preserve"> في « ب ، ف ، </w:t>
      </w:r>
      <w:r w:rsidR="006D3162">
        <w:rPr>
          <w:rtl/>
        </w:rPr>
        <w:t xml:space="preserve">ه </w:t>
      </w:r>
      <w:r w:rsidR="008A74EB" w:rsidRPr="00C9040A">
        <w:rPr>
          <w:rtl/>
        </w:rPr>
        <w:t>، بر » وحاشية « ز ، ض » والوافي ومرآة العقول : « وعجّل »</w:t>
      </w:r>
      <w:r w:rsidR="008A74EB">
        <w:rPr>
          <w:rtl/>
        </w:rPr>
        <w:t>.</w:t>
      </w:r>
      <w:r w:rsidR="008A74EB" w:rsidRPr="00C9040A">
        <w:rPr>
          <w:rtl/>
        </w:rPr>
        <w:t xml:space="preserve"> وفي تفسير القمّي : « وعجّل الله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ب ، </w:t>
      </w:r>
      <w:r w:rsidR="006D3162">
        <w:rPr>
          <w:rtl/>
        </w:rPr>
        <w:t xml:space="preserve">ه </w:t>
      </w:r>
      <w:r w:rsidR="008A74EB" w:rsidRPr="00C9040A">
        <w:rPr>
          <w:rtl/>
        </w:rPr>
        <w:t>، بر » والوافي ومرآة العقول : + « الثواب »</w:t>
      </w:r>
      <w:r w:rsidR="008A74EB">
        <w:rPr>
          <w:rtl/>
        </w:rPr>
        <w:t>.</w:t>
      </w:r>
      <w:r w:rsidR="008A74EB" w:rsidRPr="00C9040A">
        <w:rPr>
          <w:rtl/>
        </w:rPr>
        <w:t xml:space="preserve"> وفي « بف » </w:t>
      </w:r>
      <w:r w:rsidR="008A74EB">
        <w:rPr>
          <w:rtl/>
        </w:rPr>
        <w:t xml:space="preserve">: </w:t>
      </w:r>
      <w:r w:rsidR="0084262C">
        <w:rPr>
          <w:rtl/>
        </w:rPr>
        <w:t>-</w:t>
      </w:r>
      <w:r w:rsidR="008A74EB" w:rsidRPr="00C9040A">
        <w:rPr>
          <w:rtl/>
        </w:rPr>
        <w:t xml:space="preserve"> « له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 د ، ض ، </w:t>
      </w:r>
      <w:r w:rsidR="006D3162">
        <w:rPr>
          <w:rtl/>
        </w:rPr>
        <w:t xml:space="preserve">ه </w:t>
      </w:r>
      <w:r w:rsidR="008A74EB" w:rsidRPr="00C9040A">
        <w:rPr>
          <w:rtl/>
        </w:rPr>
        <w:t xml:space="preserve">، بر ، بف » والوافي والبحار </w:t>
      </w:r>
      <w:r w:rsidR="008A74EB">
        <w:rPr>
          <w:rtl/>
        </w:rPr>
        <w:t xml:space="preserve">: </w:t>
      </w:r>
      <w:r w:rsidR="0084262C">
        <w:rPr>
          <w:rtl/>
        </w:rPr>
        <w:t>-</w:t>
      </w:r>
      <w:r w:rsidR="008A74EB" w:rsidRPr="00C9040A">
        <w:rPr>
          <w:rtl/>
        </w:rPr>
        <w:t xml:space="preserve"> « له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في « ز ، ص ، بس » : « يقرّ له عينه »</w:t>
      </w:r>
      <w:r w:rsidR="008A74EB">
        <w:rPr>
          <w:rtl/>
        </w:rPr>
        <w:t>.</w:t>
      </w:r>
      <w:r w:rsidR="008A74EB" w:rsidRPr="00C9040A">
        <w:rPr>
          <w:rtl/>
        </w:rPr>
        <w:t xml:space="preserve"> وفي « ض ، </w:t>
      </w:r>
      <w:r w:rsidR="006D3162">
        <w:rPr>
          <w:rtl/>
        </w:rPr>
        <w:t xml:space="preserve">ه </w:t>
      </w:r>
      <w:r w:rsidR="008A74EB" w:rsidRPr="00C9040A">
        <w:rPr>
          <w:rtl/>
        </w:rPr>
        <w:t>» : « يقرّ الله جلّ وعزّ عينه »</w:t>
      </w:r>
      <w:r w:rsidR="008A74EB">
        <w:rPr>
          <w:rtl/>
        </w:rPr>
        <w:t>.</w:t>
      </w:r>
      <w:r w:rsidR="008A74EB" w:rsidRPr="00C9040A">
        <w:rPr>
          <w:rtl/>
        </w:rPr>
        <w:t xml:space="preserve"> وفي حاشية « ض » : « يقرّ له الله عينه »</w:t>
      </w:r>
      <w:r w:rsidR="008A74EB">
        <w:rPr>
          <w:rtl/>
        </w:rPr>
        <w:t>.</w:t>
      </w:r>
      <w:r w:rsidR="00201D76">
        <w:rPr>
          <w:rFonts w:hint="cs"/>
          <w:rtl/>
        </w:rPr>
        <w:t xml:space="preserve">                                  </w:t>
      </w:r>
      <w:r>
        <w:rPr>
          <w:rtl/>
        </w:rPr>
        <w:t>(12).</w:t>
      </w:r>
      <w:r w:rsidR="00201D76">
        <w:rPr>
          <w:rtl/>
        </w:rPr>
        <w:t xml:space="preserve"> في تفسير القمّي:</w:t>
      </w:r>
      <w:r w:rsidR="0084262C">
        <w:rPr>
          <w:rtl/>
        </w:rPr>
        <w:t>-</w:t>
      </w:r>
      <w:r w:rsidR="00201D76">
        <w:rPr>
          <w:rtl/>
        </w:rPr>
        <w:t>«</w:t>
      </w:r>
      <w:r w:rsidR="008A74EB" w:rsidRPr="00C9040A">
        <w:rPr>
          <w:rtl/>
        </w:rPr>
        <w:t>فمن صبر</w:t>
      </w:r>
      <w:r w:rsidR="0084262C">
        <w:rPr>
          <w:rtl/>
        </w:rPr>
        <w:t>-</w:t>
      </w:r>
      <w:r w:rsidR="008A74EB">
        <w:rPr>
          <w:rtl/>
        </w:rPr>
        <w:t xml:space="preserve"> </w:t>
      </w:r>
      <w:r w:rsidR="008A74EB" w:rsidRPr="00C9040A">
        <w:rPr>
          <w:rtl/>
        </w:rPr>
        <w:t>إلى</w:t>
      </w:r>
      <w:r w:rsidR="008A74EB">
        <w:rPr>
          <w:rtl/>
        </w:rPr>
        <w:t xml:space="preserve"> </w:t>
      </w:r>
      <w:r w:rsidR="0084262C">
        <w:rPr>
          <w:rtl/>
        </w:rPr>
        <w:t>-</w:t>
      </w:r>
      <w:r w:rsidR="008A74EB">
        <w:rPr>
          <w:rtl/>
        </w:rPr>
        <w:t xml:space="preserve"> </w:t>
      </w:r>
      <w:r w:rsidR="008A74EB" w:rsidRPr="00C9040A">
        <w:rPr>
          <w:rtl/>
        </w:rPr>
        <w:t>في الآخرة »</w:t>
      </w:r>
      <w:r w:rsidR="008A74EB">
        <w:rPr>
          <w:rtl/>
        </w:rPr>
        <w:t>.</w:t>
      </w:r>
    </w:p>
    <w:p w:rsidR="008A74EB" w:rsidRPr="00C9040A" w:rsidRDefault="008A74EB" w:rsidP="004A4E41">
      <w:pPr>
        <w:pStyle w:val="libFootnote0"/>
        <w:rPr>
          <w:rtl/>
          <w:lang w:bidi="fa-IR"/>
        </w:rPr>
      </w:pPr>
      <w:r>
        <w:rPr>
          <w:rtl/>
        </w:rPr>
        <w:t>(13)</w:t>
      </w:r>
      <w:r w:rsidRPr="00C9040A">
        <w:rPr>
          <w:rtl/>
        </w:rPr>
        <w:t xml:space="preserve"> </w:t>
      </w:r>
      <w:r w:rsidRPr="00993B55">
        <w:rPr>
          <w:rStyle w:val="libFootnoteBoldChar"/>
          <w:rtl/>
        </w:rPr>
        <w:t>تفسير القمّي</w:t>
      </w:r>
      <w:r w:rsidRPr="00C9040A">
        <w:rPr>
          <w:rtl/>
        </w:rPr>
        <w:t xml:space="preserve"> ، ج 1 ، ص 196 ، عن أبيه ، عن القاسم بن محمّد ، عن سليمان بن داود </w:t>
      </w:r>
      <w:r w:rsidR="00201D76">
        <w:rPr>
          <w:rFonts w:hint="cs"/>
          <w:rtl/>
        </w:rPr>
        <w:t>.</w:t>
      </w:r>
      <w:r w:rsidRPr="00993B55">
        <w:rPr>
          <w:rStyle w:val="libFootnoteBoldChar"/>
          <w:rtl/>
        </w:rPr>
        <w:t>الوافي</w:t>
      </w:r>
      <w:r w:rsidRPr="00C9040A">
        <w:rPr>
          <w:rtl/>
        </w:rPr>
        <w:t xml:space="preserve"> ، ج 4 ، ص 341 ، ح 2080 ؛ </w:t>
      </w:r>
      <w:r w:rsidRPr="00993B55">
        <w:rPr>
          <w:rStyle w:val="libFootnoteBoldChar"/>
          <w:rtl/>
        </w:rPr>
        <w:t>الوسائل</w:t>
      </w:r>
      <w:r w:rsidRPr="00C9040A">
        <w:rPr>
          <w:rtl/>
        </w:rPr>
        <w:t xml:space="preserve"> ، ج 15 ، ص 261 ، ح 20454 ؛ </w:t>
      </w:r>
      <w:r w:rsidRPr="00993B55">
        <w:rPr>
          <w:rStyle w:val="libFootnoteBoldChar"/>
          <w:rtl/>
        </w:rPr>
        <w:t>البحار</w:t>
      </w:r>
      <w:r w:rsidRPr="00C9040A">
        <w:rPr>
          <w:rtl/>
        </w:rPr>
        <w:t xml:space="preserve"> ، ج 71 ، ص 60 ، ح 1.</w:t>
      </w:r>
    </w:p>
    <w:p w:rsidR="008A74EB" w:rsidRPr="00C9040A" w:rsidRDefault="008A74EB" w:rsidP="004A4E41">
      <w:pPr>
        <w:pStyle w:val="libFootnote0"/>
        <w:rPr>
          <w:rtl/>
          <w:lang w:bidi="fa-IR"/>
        </w:rPr>
      </w:pPr>
      <w:r>
        <w:rPr>
          <w:rtl/>
        </w:rPr>
        <w:t>(14)</w:t>
      </w:r>
      <w:r w:rsidRPr="00C9040A">
        <w:rPr>
          <w:rtl/>
        </w:rPr>
        <w:t xml:space="preserve"> </w:t>
      </w:r>
      <w:r w:rsidRPr="00993B55">
        <w:rPr>
          <w:rStyle w:val="libFootnoteBoldChar"/>
          <w:rtl/>
        </w:rPr>
        <w:t>الخصال</w:t>
      </w:r>
      <w:r w:rsidRPr="00C9040A">
        <w:rPr>
          <w:rtl/>
        </w:rPr>
        <w:t xml:space="preserve"> ، ص 315 ، باب الخمسة ، ح 95 ؛ </w:t>
      </w:r>
      <w:r w:rsidRPr="00201D76">
        <w:rPr>
          <w:rStyle w:val="libFootnoteBoldChar"/>
          <w:rtl/>
        </w:rPr>
        <w:t>و</w:t>
      </w:r>
      <w:r w:rsidRPr="00993B55">
        <w:rPr>
          <w:rStyle w:val="libFootnoteBoldChar"/>
          <w:rtl/>
        </w:rPr>
        <w:t>عيون الأخبار</w:t>
      </w:r>
      <w:r w:rsidRPr="00C9040A">
        <w:rPr>
          <w:rtl/>
        </w:rPr>
        <w:t xml:space="preserve"> ، ج 2 ، ص 44 ، ح 155 ؛ و</w:t>
      </w:r>
      <w:r w:rsidRPr="00993B55">
        <w:rPr>
          <w:rStyle w:val="libFootnoteBoldChar"/>
          <w:rtl/>
        </w:rPr>
        <w:t xml:space="preserve">صحيفة الرضا </w:t>
      </w:r>
      <w:r w:rsidR="00117575" w:rsidRPr="00117575">
        <w:rPr>
          <w:rStyle w:val="libFootnoteAlaemChar"/>
          <w:rtl/>
        </w:rPr>
        <w:t>عليه‌السلام</w:t>
      </w:r>
      <w:r w:rsidRPr="00C9040A">
        <w:rPr>
          <w:rtl/>
        </w:rPr>
        <w:t xml:space="preserve"> ، ص 81 ، ح 177 ، بسند آخر عن الرضا ، عن آبائه ، عن عليّ </w:t>
      </w:r>
      <w:r w:rsidR="00117575" w:rsidRPr="00117575">
        <w:rPr>
          <w:rStyle w:val="libFootnoteAlaemChar"/>
          <w:rtl/>
        </w:rPr>
        <w:t>عليهم‌السلام</w:t>
      </w:r>
      <w:r w:rsidRPr="00C9040A">
        <w:rPr>
          <w:rtl/>
        </w:rPr>
        <w:t xml:space="preserve">. </w:t>
      </w:r>
      <w:r w:rsidRPr="00993B55">
        <w:rPr>
          <w:rStyle w:val="libFootnoteBoldChar"/>
          <w:rtl/>
        </w:rPr>
        <w:t>تحف العقول</w:t>
      </w:r>
      <w:r w:rsidRPr="00C9040A">
        <w:rPr>
          <w:rtl/>
        </w:rPr>
        <w:t xml:space="preserve"> ، ص 281 ؛ </w:t>
      </w:r>
      <w:r w:rsidRPr="00993B55">
        <w:rPr>
          <w:rStyle w:val="libFootnoteBoldChar"/>
          <w:rtl/>
        </w:rPr>
        <w:t>الإرشاد</w:t>
      </w:r>
      <w:r w:rsidRPr="00C9040A">
        <w:rPr>
          <w:rtl/>
        </w:rPr>
        <w:t xml:space="preserve"> ، ج 1 ، ص 297 ، </w:t>
      </w:r>
      <w:r w:rsidR="00201D76">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6532EC">
        <w:rPr>
          <w:rtl/>
        </w:rPr>
        <w:t>1694</w:t>
      </w:r>
      <w:r w:rsidRPr="00261CB0">
        <w:rPr>
          <w:rStyle w:val="libBold2Char"/>
          <w:rtl/>
        </w:rPr>
        <w:t xml:space="preserve"> / 5.</w:t>
      </w:r>
      <w:r w:rsidRPr="00C9040A">
        <w:rPr>
          <w:rtl/>
          <w:lang w:bidi="fa-IR"/>
        </w:rPr>
        <w:t xml:space="preserve"> عَلِيُّ بْنُ إِبْرَاهِيمَ ، عَنْ أَبِيهِ ، عَنْ حَمَّادِ بْنِ عِيسى ، عَنْ رِبْعِيِّ بْنِ عَبْدِ اللهِ ، عَنْ فُضَيْلِ بْنِ يَسَارٍ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الصَّبْرُ مِنَ </w:t>
      </w:r>
      <w:r w:rsidR="006C577F" w:rsidRPr="006C577F">
        <w:rPr>
          <w:rStyle w:val="libFootnotenumChar"/>
          <w:rtl/>
        </w:rPr>
        <w:t>(1)</w:t>
      </w:r>
      <w:r w:rsidRPr="00853746">
        <w:rPr>
          <w:rFonts w:hint="cs"/>
          <w:rtl/>
        </w:rPr>
        <w:t xml:space="preserve"> </w:t>
      </w:r>
      <w:r w:rsidRPr="00C9040A">
        <w:rPr>
          <w:rtl/>
          <w:lang w:bidi="fa-IR"/>
        </w:rPr>
        <w:t xml:space="preserve">الْإِيمَانِ بِمَنْزِلَةِ الرَّأْسِ مِنَ الْجَسَدِ ، فَإِذَا ذَهَبَ الرَّأْسُ ، ذَهَبَ الْجَسَدُ </w:t>
      </w:r>
      <w:r w:rsidR="006C577F" w:rsidRPr="006C577F">
        <w:rPr>
          <w:rStyle w:val="libFootnotenumChar"/>
          <w:rtl/>
        </w:rPr>
        <w:t>(2)</w:t>
      </w:r>
      <w:r w:rsidRPr="00C9040A">
        <w:rPr>
          <w:rtl/>
          <w:lang w:bidi="fa-IR"/>
        </w:rPr>
        <w:t xml:space="preserve"> ؛ كَذلِكَ </w:t>
      </w:r>
      <w:r w:rsidR="006C577F" w:rsidRPr="006C577F">
        <w:rPr>
          <w:rStyle w:val="libFootnotenumChar"/>
          <w:rtl/>
        </w:rPr>
        <w:t>(3)</w:t>
      </w:r>
      <w:r w:rsidRPr="00C9040A">
        <w:rPr>
          <w:rtl/>
          <w:lang w:bidi="fa-IR"/>
        </w:rPr>
        <w:t xml:space="preserve"> إِذَا ذَهَبَ الصَّبْرُ ، ذَهَبَ الْإِيمَانُ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6532EC">
        <w:rPr>
          <w:rtl/>
        </w:rPr>
        <w:t>1695</w:t>
      </w:r>
      <w:r w:rsidRPr="00261CB0">
        <w:rPr>
          <w:rStyle w:val="libBold2Char"/>
          <w:rtl/>
        </w:rPr>
        <w:t xml:space="preserve"> / 6.</w:t>
      </w:r>
      <w:r w:rsidRPr="00C9040A">
        <w:rPr>
          <w:rtl/>
          <w:lang w:bidi="fa-IR"/>
        </w:rPr>
        <w:t xml:space="preserve"> عِدَّةٌ مِنْ أَصْحَابِنَا ، عَنْ أَحْمَدَ بْنِ مُحَمَّدِ بْنِ خَالِدٍ ، عَنْ أَبِيهِ ، عَنْ عَلِيِّ بْنِ النُّعْمَانِ ، عَنْ عَبْدِ اللهِ بْنِ مُسْكَانَ ، عَنْ أَبِي بَصِيرٍ ، قَالَ :</w:t>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 « إِنَّ الْحُرَّ حُرٌّ عَلى جَمِيعِ أَحْوَالِهِ ، إِنْ نَابَتْهُ نَائِبَةٌ </w:t>
      </w:r>
      <w:r w:rsidR="006C577F" w:rsidRPr="006C577F">
        <w:rPr>
          <w:rStyle w:val="libFootnotenumChar"/>
          <w:rtl/>
        </w:rPr>
        <w:t>(5)</w:t>
      </w:r>
      <w:r w:rsidRPr="00C9040A">
        <w:rPr>
          <w:rtl/>
          <w:lang w:bidi="fa-IR"/>
        </w:rPr>
        <w:t xml:space="preserve"> صَبَرَ لَهَا ؛ وَإِنْ تَدَاكَّتْ </w:t>
      </w:r>
      <w:r w:rsidR="006C577F" w:rsidRPr="006C577F">
        <w:rPr>
          <w:rStyle w:val="libFootnotenumChar"/>
          <w:rtl/>
        </w:rPr>
        <w:t>(6)</w:t>
      </w:r>
      <w:r w:rsidRPr="005B567D">
        <w:rPr>
          <w:rStyle w:val="libFootnotenumChar"/>
          <w:rtl/>
        </w:rPr>
        <w:t xml:space="preserve"> </w:t>
      </w:r>
      <w:r w:rsidRPr="00C9040A">
        <w:rPr>
          <w:rtl/>
          <w:lang w:bidi="fa-IR"/>
        </w:rPr>
        <w:t xml:space="preserve">عَلَيْهِ الْمَصَائِبُ لَمْ تَكْسِرْهُ ؛ وَإِنْ أُسِرَ وَقُهِرَ وَاسْتُبْدِلَ بِالْيُسْرِ عُسْراً </w:t>
      </w:r>
      <w:r w:rsidR="006C577F" w:rsidRPr="006C577F">
        <w:rPr>
          <w:rStyle w:val="libFootnotenumChar"/>
          <w:rtl/>
        </w:rPr>
        <w:t>(7)</w:t>
      </w:r>
      <w:r>
        <w:rPr>
          <w:rtl/>
          <w:lang w:bidi="fa-IR"/>
        </w:rPr>
        <w:t xml:space="preserve"> </w:t>
      </w:r>
      <w:r w:rsidR="0084262C">
        <w:rPr>
          <w:rtl/>
          <w:lang w:bidi="fa-IR"/>
        </w:rPr>
        <w:t>-</w:t>
      </w:r>
      <w:r>
        <w:rPr>
          <w:rtl/>
          <w:lang w:bidi="fa-IR"/>
        </w:rPr>
        <w:t xml:space="preserve"> </w:t>
      </w:r>
      <w:r w:rsidRPr="00C9040A">
        <w:rPr>
          <w:rtl/>
          <w:lang w:bidi="fa-IR"/>
        </w:rPr>
        <w:t>كَمَا كَانَ يُوسُفُ الصِّدِّيقُ الْأَمِينُ صَلَوَاتُ اللهِ عَلَيْهِ</w:t>
      </w:r>
      <w:r>
        <w:rPr>
          <w:rtl/>
          <w:lang w:bidi="fa-IR"/>
        </w:rPr>
        <w:t xml:space="preserve"> </w:t>
      </w:r>
      <w:r w:rsidR="0084262C">
        <w:rPr>
          <w:rtl/>
          <w:lang w:bidi="fa-IR"/>
        </w:rPr>
        <w:t>-</w:t>
      </w:r>
      <w:r>
        <w:rPr>
          <w:rtl/>
          <w:lang w:bidi="fa-IR"/>
        </w:rPr>
        <w:t xml:space="preserve"> </w:t>
      </w:r>
      <w:r w:rsidRPr="00C9040A">
        <w:rPr>
          <w:rtl/>
          <w:lang w:bidi="fa-IR"/>
        </w:rPr>
        <w:t>لَمْ يَضْرُرْ حُرِّيَّتَهُ أَنِ اسْتُعْبِدَ وَ</w:t>
      </w:r>
      <w:r>
        <w:rPr>
          <w:rFonts w:hint="cs"/>
          <w:rtl/>
          <w:lang w:bidi="fa-IR"/>
        </w:rPr>
        <w:t xml:space="preserve"> </w:t>
      </w:r>
      <w:r w:rsidR="006C577F" w:rsidRPr="006C577F">
        <w:rPr>
          <w:rStyle w:val="libFootnotenumChar"/>
          <w:rtl/>
        </w:rPr>
        <w:t>(8)</w:t>
      </w:r>
      <w:r w:rsidRPr="00C9040A">
        <w:rPr>
          <w:rtl/>
          <w:lang w:bidi="fa-IR"/>
        </w:rPr>
        <w:t xml:space="preserve"> قُهِرَ وَأُسِرَ ، وَلَمْ تَضْرُرْهُ </w:t>
      </w:r>
      <w:r w:rsidR="006C577F" w:rsidRPr="006C577F">
        <w:rPr>
          <w:rStyle w:val="libFootnotenumChar"/>
          <w:rtl/>
        </w:rPr>
        <w:t>(9)</w:t>
      </w:r>
      <w:r w:rsidRPr="00C9040A">
        <w:rPr>
          <w:rtl/>
          <w:lang w:bidi="fa-IR"/>
        </w:rPr>
        <w:t xml:space="preserve"> ظُلْمَةُ الْجُبِّ </w:t>
      </w:r>
      <w:r w:rsidR="006C577F" w:rsidRPr="006C577F">
        <w:rPr>
          <w:rStyle w:val="libFootnotenumChar"/>
          <w:rtl/>
        </w:rPr>
        <w:t>(10)</w:t>
      </w:r>
      <w:r w:rsidRPr="00C9040A">
        <w:rPr>
          <w:rtl/>
          <w:lang w:bidi="fa-IR"/>
        </w:rPr>
        <w:t xml:space="preserve"> وَوَحْشَتُهُ وَمَا نَالَهُ أَنْ مَنَّ اللهُ‌</w:t>
      </w:r>
    </w:p>
    <w:p w:rsidR="008A74EB" w:rsidRPr="00C9040A" w:rsidRDefault="008A74EB" w:rsidP="008A74EB">
      <w:pPr>
        <w:pStyle w:val="libLine"/>
        <w:rPr>
          <w:rtl/>
          <w:lang w:bidi="fa-IR"/>
        </w:rPr>
      </w:pPr>
      <w:r w:rsidRPr="00C9040A">
        <w:rPr>
          <w:rtl/>
          <w:lang w:bidi="fa-IR"/>
        </w:rPr>
        <w:t>__________________</w:t>
      </w:r>
    </w:p>
    <w:p w:rsidR="008A74EB" w:rsidRPr="004A4E41" w:rsidRDefault="00201D76" w:rsidP="004A4E41">
      <w:pPr>
        <w:pStyle w:val="libFootnote0"/>
        <w:rPr>
          <w:rStyle w:val="libFootnote0Char"/>
          <w:rtl/>
        </w:rPr>
      </w:pPr>
      <w:r>
        <w:rPr>
          <w:rFonts w:hint="cs"/>
          <w:rtl/>
        </w:rPr>
        <w:t>=</w:t>
      </w:r>
      <w:r w:rsidR="008A74EB" w:rsidRPr="00C9040A">
        <w:rPr>
          <w:rtl/>
        </w:rPr>
        <w:t xml:space="preserve">مرسلاً عن عليّ </w:t>
      </w:r>
      <w:r w:rsidR="00117575" w:rsidRPr="00117575">
        <w:rPr>
          <w:rStyle w:val="libFootnoteAlaemChar"/>
          <w:rtl/>
        </w:rPr>
        <w:t>عليه‌السلام</w:t>
      </w:r>
      <w:r w:rsidR="008A74EB" w:rsidRPr="00C9040A">
        <w:rPr>
          <w:rtl/>
        </w:rPr>
        <w:t xml:space="preserve"> ، وفي كلّها مع زيادة في أوّله ؛ </w:t>
      </w:r>
      <w:r w:rsidR="008A74EB" w:rsidRPr="00993B55">
        <w:rPr>
          <w:rStyle w:val="libFootnoteBoldChar"/>
          <w:rtl/>
        </w:rPr>
        <w:t>تحف العقول</w:t>
      </w:r>
      <w:r w:rsidR="008A74EB" w:rsidRPr="00C9040A">
        <w:rPr>
          <w:rtl/>
        </w:rPr>
        <w:t xml:space="preserve"> ، ص 202 ، عن عليّ </w:t>
      </w:r>
      <w:r w:rsidR="00117575" w:rsidRPr="00117575">
        <w:rPr>
          <w:rStyle w:val="libFootnoteAlaemChar"/>
          <w:rtl/>
        </w:rPr>
        <w:t>عليه‌السلام</w:t>
      </w:r>
      <w:r w:rsidR="008A74EB" w:rsidRPr="00C9040A">
        <w:rPr>
          <w:rtl/>
        </w:rPr>
        <w:t xml:space="preserve"> ؛ </w:t>
      </w:r>
      <w:r w:rsidR="008A74EB" w:rsidRPr="00993B55">
        <w:rPr>
          <w:rStyle w:val="libFootnoteBoldChar"/>
          <w:rtl/>
        </w:rPr>
        <w:t>وفيه</w:t>
      </w:r>
      <w:r w:rsidR="008A74EB" w:rsidRPr="00C9040A">
        <w:rPr>
          <w:rtl/>
        </w:rPr>
        <w:t xml:space="preserve"> ، ص 211 ، عن عليّ </w:t>
      </w:r>
      <w:r w:rsidR="00117575" w:rsidRPr="00117575">
        <w:rPr>
          <w:rStyle w:val="libFootnoteAlaemChar"/>
          <w:rtl/>
        </w:rPr>
        <w:t>عليه‌السلام</w:t>
      </w:r>
      <w:r w:rsidR="008A74EB" w:rsidRPr="00C9040A">
        <w:rPr>
          <w:rtl/>
        </w:rPr>
        <w:t xml:space="preserve"> ، إلى قوله : « بمنزلة الرأس من الجسد » مع زيادة في أوّله ؛ </w:t>
      </w:r>
      <w:r w:rsidR="008A74EB" w:rsidRPr="00993B55">
        <w:rPr>
          <w:rStyle w:val="libFootnoteBoldChar"/>
          <w:rtl/>
        </w:rPr>
        <w:t>نهج البلاغة</w:t>
      </w:r>
      <w:r w:rsidR="008A74EB" w:rsidRPr="00C9040A">
        <w:rPr>
          <w:rtl/>
        </w:rPr>
        <w:t xml:space="preserve"> ، ص 482 ، الحكمة 82 ؛ </w:t>
      </w:r>
      <w:r w:rsidR="008A74EB" w:rsidRPr="00993B55">
        <w:rPr>
          <w:rStyle w:val="libFootnoteBoldChar"/>
          <w:rtl/>
        </w:rPr>
        <w:t>خصائص الأئمّة</w:t>
      </w:r>
      <w:r w:rsidR="008A74EB" w:rsidRPr="00C9040A">
        <w:rPr>
          <w:rtl/>
        </w:rPr>
        <w:t xml:space="preserve"> </w:t>
      </w:r>
      <w:r w:rsidR="00117575" w:rsidRPr="00117575">
        <w:rPr>
          <w:rStyle w:val="libFootnoteAlaemChar"/>
          <w:rtl/>
        </w:rPr>
        <w:t>عليهم‌السلام</w:t>
      </w:r>
      <w:r w:rsidR="008A74EB" w:rsidRPr="00C9040A">
        <w:rPr>
          <w:rtl/>
        </w:rPr>
        <w:t xml:space="preserve"> ، ص 94 ، عن عليّ </w:t>
      </w:r>
      <w:r w:rsidR="00117575" w:rsidRPr="00117575">
        <w:rPr>
          <w:rStyle w:val="libFootnoteAlaemChar"/>
          <w:rtl/>
        </w:rPr>
        <w:t>عليه‌السلام</w:t>
      </w:r>
      <w:r w:rsidR="008A74EB" w:rsidRPr="00C9040A">
        <w:rPr>
          <w:rtl/>
        </w:rPr>
        <w:t xml:space="preserve"> ، وفيهما مع زيادة واختلاف يسير </w:t>
      </w:r>
      <w:r>
        <w:rPr>
          <w:rFonts w:hint="cs"/>
          <w:rtl/>
        </w:rPr>
        <w:t>.</w:t>
      </w:r>
      <w:r w:rsidR="008A74EB" w:rsidRPr="00993B55">
        <w:rPr>
          <w:rStyle w:val="libFootnoteBoldChar"/>
          <w:rtl/>
        </w:rPr>
        <w:t>الوافي</w:t>
      </w:r>
      <w:r w:rsidR="008A74EB" w:rsidRPr="00C9040A">
        <w:rPr>
          <w:rtl/>
        </w:rPr>
        <w:t xml:space="preserve"> ، ج 4 ، ص 333 ، ح 2050 ؛ </w:t>
      </w:r>
      <w:r w:rsidR="008A74EB" w:rsidRPr="00993B55">
        <w:rPr>
          <w:rStyle w:val="libFootnoteBoldChar"/>
          <w:rtl/>
        </w:rPr>
        <w:t>الوسائل</w:t>
      </w:r>
      <w:r w:rsidR="008A74EB" w:rsidRPr="00C9040A">
        <w:rPr>
          <w:rtl/>
        </w:rPr>
        <w:t xml:space="preserve"> ، ج 3 ، ص 258 ، ح 3572 ؛ </w:t>
      </w:r>
      <w:r w:rsidR="008A74EB" w:rsidRPr="00993B55">
        <w:rPr>
          <w:rStyle w:val="libFootnoteBoldChar"/>
          <w:rtl/>
        </w:rPr>
        <w:t>البحار</w:t>
      </w:r>
      <w:r w:rsidR="008A74EB" w:rsidRPr="00C9040A">
        <w:rPr>
          <w:rtl/>
        </w:rPr>
        <w:t xml:space="preserve"> ، ج 71 ، ص 81 ، ح 17.</w:t>
      </w:r>
    </w:p>
    <w:tbl>
      <w:tblPr>
        <w:tblStyle w:val="TableGrid"/>
        <w:bidiVisual/>
        <w:tblW w:w="0" w:type="auto"/>
        <w:tblLook w:val="04A0" w:firstRow="1" w:lastRow="0" w:firstColumn="1" w:lastColumn="0" w:noHBand="0" w:noVBand="1"/>
      </w:tblPr>
      <w:tblGrid>
        <w:gridCol w:w="4006"/>
        <w:gridCol w:w="4006"/>
      </w:tblGrid>
      <w:tr w:rsidR="00201D76" w:rsidTr="00201D76">
        <w:tc>
          <w:tcPr>
            <w:tcW w:w="4006" w:type="dxa"/>
          </w:tcPr>
          <w:p w:rsidR="00201D76" w:rsidRDefault="00201D76" w:rsidP="004A4E41">
            <w:pPr>
              <w:pStyle w:val="libFootnote0"/>
              <w:rPr>
                <w:rtl/>
              </w:rPr>
            </w:pPr>
            <w:r>
              <w:rPr>
                <w:rtl/>
              </w:rPr>
              <w:t>(1).</w:t>
            </w:r>
            <w:r w:rsidRPr="00C9040A">
              <w:rPr>
                <w:rtl/>
              </w:rPr>
              <w:t xml:space="preserve"> في « </w:t>
            </w:r>
            <w:r>
              <w:rPr>
                <w:rtl/>
              </w:rPr>
              <w:t xml:space="preserve">ه </w:t>
            </w:r>
            <w:r w:rsidRPr="00C9040A">
              <w:rPr>
                <w:rtl/>
              </w:rPr>
              <w:t>» : « في »</w:t>
            </w:r>
            <w:r>
              <w:rPr>
                <w:rtl/>
              </w:rPr>
              <w:t>.</w:t>
            </w:r>
          </w:p>
        </w:tc>
        <w:tc>
          <w:tcPr>
            <w:tcW w:w="4006" w:type="dxa"/>
          </w:tcPr>
          <w:p w:rsidR="00201D76" w:rsidRDefault="00201D76" w:rsidP="004A4E41">
            <w:pPr>
              <w:pStyle w:val="libFootnote0"/>
              <w:rPr>
                <w:rtl/>
              </w:rPr>
            </w:pPr>
            <w:r>
              <w:rPr>
                <w:rtl/>
              </w:rPr>
              <w:t xml:space="preserve">(2). </w:t>
            </w:r>
            <w:r w:rsidRPr="00C9040A">
              <w:rPr>
                <w:rtl/>
              </w:rPr>
              <w:t>في « ز » : « البدن »</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في « ز ، ض ، </w:t>
      </w:r>
      <w:r w:rsidR="006D3162">
        <w:rPr>
          <w:rtl/>
        </w:rPr>
        <w:t xml:space="preserve">ه </w:t>
      </w:r>
      <w:r w:rsidR="008A74EB" w:rsidRPr="00C9040A">
        <w:rPr>
          <w:rtl/>
        </w:rPr>
        <w:t>، بر » : « وكذلك »</w:t>
      </w:r>
      <w:r w:rsidR="008A74EB">
        <w:rPr>
          <w:rtl/>
        </w:rPr>
        <w:t>.</w:t>
      </w:r>
      <w:r w:rsidR="008A74EB" w:rsidRPr="00C9040A">
        <w:rPr>
          <w:rtl/>
        </w:rPr>
        <w:t xml:space="preserve"> وفي « ف » : « فكذلك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راجع المصادر التي ذكرنا ذيل ح 1691 </w:t>
      </w:r>
      <w:r w:rsidR="00201D76">
        <w:rPr>
          <w:rFonts w:hint="cs"/>
          <w:rtl/>
        </w:rPr>
        <w:t>.</w:t>
      </w:r>
      <w:r w:rsidR="008A74EB" w:rsidRPr="00993B55">
        <w:rPr>
          <w:rStyle w:val="libFootnoteBoldChar"/>
          <w:rtl/>
        </w:rPr>
        <w:t>الوافي</w:t>
      </w:r>
      <w:r w:rsidR="008A74EB" w:rsidRPr="00C9040A">
        <w:rPr>
          <w:rtl/>
        </w:rPr>
        <w:t xml:space="preserve"> ، ج 4 ، ص 333 ، ح 2051 ؛ </w:t>
      </w:r>
      <w:r w:rsidR="008A74EB" w:rsidRPr="00993B55">
        <w:rPr>
          <w:rStyle w:val="libFootnoteBoldChar"/>
          <w:rtl/>
        </w:rPr>
        <w:t>الوسائل</w:t>
      </w:r>
      <w:r w:rsidR="008A74EB" w:rsidRPr="00C9040A">
        <w:rPr>
          <w:rtl/>
        </w:rPr>
        <w:t xml:space="preserve"> ، ج 3 ، ص 257 ، ح 3567.</w:t>
      </w:r>
    </w:p>
    <w:p w:rsidR="008A74EB" w:rsidRPr="00C9040A" w:rsidRDefault="006C577F" w:rsidP="004A4E41">
      <w:pPr>
        <w:pStyle w:val="libFootnote0"/>
        <w:rPr>
          <w:rtl/>
          <w:lang w:bidi="fa-IR"/>
        </w:rPr>
      </w:pPr>
      <w:r>
        <w:rPr>
          <w:rtl/>
        </w:rPr>
        <w:t>(5).</w:t>
      </w:r>
      <w:r w:rsidR="008A74EB" w:rsidRPr="00C9040A">
        <w:rPr>
          <w:rtl/>
        </w:rPr>
        <w:t xml:space="preserve"> ناب الأمر : نزل ، </w:t>
      </w:r>
      <w:r w:rsidR="008A74EB">
        <w:rPr>
          <w:rtl/>
        </w:rPr>
        <w:t>و «</w:t>
      </w:r>
      <w:r w:rsidR="008A74EB" w:rsidRPr="00C9040A">
        <w:rPr>
          <w:rtl/>
        </w:rPr>
        <w:t xml:space="preserve"> النائبة » : المصيبة ، أي أصابته مصيبة. راجع : </w:t>
      </w:r>
      <w:r w:rsidR="008A74EB" w:rsidRPr="00993B55">
        <w:rPr>
          <w:rStyle w:val="libFootnoteBoldChar"/>
          <w:rtl/>
        </w:rPr>
        <w:t>لسان العرب</w:t>
      </w:r>
      <w:r w:rsidR="00201D76">
        <w:rPr>
          <w:rtl/>
        </w:rPr>
        <w:t xml:space="preserve"> ، ج 1 ، ص 774 (نوب</w:t>
      </w:r>
      <w:r w:rsidR="008A74EB" w:rsidRPr="00C9040A">
        <w:rPr>
          <w:rtl/>
        </w:rPr>
        <w:t>)</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ف » : « وإن توالت »</w:t>
      </w:r>
      <w:r w:rsidR="008A74EB">
        <w:rPr>
          <w:rtl/>
        </w:rPr>
        <w:t>.</w:t>
      </w:r>
      <w:r w:rsidR="008A74EB" w:rsidRPr="00C9040A">
        <w:rPr>
          <w:rtl/>
        </w:rPr>
        <w:t xml:space="preserve"> </w:t>
      </w:r>
      <w:r w:rsidR="008A74EB">
        <w:rPr>
          <w:rtl/>
        </w:rPr>
        <w:t>و «</w:t>
      </w:r>
      <w:r w:rsidR="008A74EB" w:rsidRPr="00C9040A">
        <w:rPr>
          <w:rtl/>
        </w:rPr>
        <w:t xml:space="preserve"> تَداكَّتْ » ، أي ازدحمت. راجع : </w:t>
      </w:r>
      <w:r w:rsidR="008A74EB" w:rsidRPr="00993B55">
        <w:rPr>
          <w:rStyle w:val="libFootnoteBoldChar"/>
          <w:rtl/>
        </w:rPr>
        <w:t>النهاية</w:t>
      </w:r>
      <w:r w:rsidR="008A74EB" w:rsidRPr="00C9040A">
        <w:rPr>
          <w:rtl/>
        </w:rPr>
        <w:t xml:space="preserve"> ، ج 2 ، ص 128 ؛ </w:t>
      </w:r>
      <w:r w:rsidR="008A74EB" w:rsidRPr="00993B55">
        <w:rPr>
          <w:rStyle w:val="libFootnoteBoldChar"/>
          <w:rtl/>
        </w:rPr>
        <w:t>لسان العرب</w:t>
      </w:r>
      <w:r w:rsidR="008A74EB" w:rsidRPr="00C9040A">
        <w:rPr>
          <w:rtl/>
        </w:rPr>
        <w:t xml:space="preserve"> ، ج 10 ، ص 426 ( دكك )</w:t>
      </w:r>
      <w:r w:rsidR="008A74EB">
        <w:rPr>
          <w:rtl/>
        </w:rPr>
        <w:t>.</w:t>
      </w:r>
      <w:r w:rsidR="00201D76">
        <w:rPr>
          <w:rFonts w:hint="cs"/>
          <w:rtl/>
        </w:rPr>
        <w:t xml:space="preserve">        </w:t>
      </w:r>
      <w:r>
        <w:rPr>
          <w:rtl/>
        </w:rPr>
        <w:t>(7).</w:t>
      </w:r>
      <w:r w:rsidR="008A74EB" w:rsidRPr="00C9040A">
        <w:rPr>
          <w:rtl/>
        </w:rPr>
        <w:t xml:space="preserve"> في حاشية « ض » وشرح المازندراني : « بالعسر يسراً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الوسائل : « أو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د ، ز ، ض ، ف ، بر ، بس » والوافي والبحار : « لم يضرره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قال الخليل : « الجُبّ : بئر غير بعيدة الغور » ، وقال الجوهري : « الجبّ : البئر التي لم تُطْوَ »</w:t>
      </w:r>
      <w:r w:rsidR="008A74EB">
        <w:rPr>
          <w:rtl/>
        </w:rPr>
        <w:t>.</w:t>
      </w:r>
      <w:r w:rsidR="008A74EB" w:rsidRPr="00C9040A">
        <w:rPr>
          <w:rtl/>
        </w:rPr>
        <w:t xml:space="preserve"> راجع : </w:t>
      </w:r>
      <w:r w:rsidR="008A74EB" w:rsidRPr="00993B55">
        <w:rPr>
          <w:rStyle w:val="libFootnoteBoldChar"/>
          <w:rtl/>
        </w:rPr>
        <w:t>ترتيب كتاب العين</w:t>
      </w:r>
      <w:r w:rsidR="008A74EB" w:rsidRPr="00C9040A">
        <w:rPr>
          <w:rtl/>
        </w:rPr>
        <w:t xml:space="preserve"> ، ج 1 ، ص 257 ؛ </w:t>
      </w:r>
      <w:r w:rsidR="008A74EB" w:rsidRPr="00993B55">
        <w:rPr>
          <w:rStyle w:val="libFootnoteBoldChar"/>
          <w:rtl/>
        </w:rPr>
        <w:t>الصحاح</w:t>
      </w:r>
      <w:r w:rsidR="008A74EB" w:rsidRPr="00C9040A">
        <w:rPr>
          <w:rtl/>
        </w:rPr>
        <w:t xml:space="preserve"> ، ج 1 ، ص 96 ( جبب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عَلَيْهِ </w:t>
      </w:r>
      <w:r w:rsidR="006C577F" w:rsidRPr="006C577F">
        <w:rPr>
          <w:rStyle w:val="libFootnotenumChar"/>
          <w:rtl/>
        </w:rPr>
        <w:t>(1)</w:t>
      </w:r>
      <w:r w:rsidRPr="00C9040A">
        <w:rPr>
          <w:rtl/>
          <w:lang w:bidi="fa-IR"/>
        </w:rPr>
        <w:t xml:space="preserve">؛ فَجَعَلَ الْجَبَّارَ الْعَاتِيَ لَهُ عَبْداً بَعْدَ إِذْ كَانَ لَهُ </w:t>
      </w:r>
      <w:r w:rsidR="006C577F" w:rsidRPr="006C577F">
        <w:rPr>
          <w:rStyle w:val="libFootnotenumChar"/>
          <w:rtl/>
        </w:rPr>
        <w:t>(2)</w:t>
      </w:r>
      <w:r w:rsidRPr="00C9040A">
        <w:rPr>
          <w:rtl/>
          <w:lang w:bidi="fa-IR"/>
        </w:rPr>
        <w:t xml:space="preserve"> مَالِكاً ، فَأَرْسَلَهُ وَرَحِمَ بِهِ أُمَّةً ، وَكَذلِكَ </w:t>
      </w:r>
      <w:r w:rsidR="006C577F" w:rsidRPr="006C577F">
        <w:rPr>
          <w:rStyle w:val="libFootnotenumChar"/>
          <w:rtl/>
        </w:rPr>
        <w:t>(3)</w:t>
      </w:r>
      <w:r w:rsidRPr="00C9040A">
        <w:rPr>
          <w:rtl/>
          <w:lang w:bidi="fa-IR"/>
        </w:rPr>
        <w:t xml:space="preserve"> الصَّبْرُ يُعَقِّبُ خَيْراً ؛ فَاصْبِرُوا وَوَطِّنُوا أَنْفُسَكُمْ عَلَى الصَّبْرِ تُوجَرُوا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6532EC">
        <w:rPr>
          <w:rtl/>
        </w:rPr>
        <w:t>1696</w:t>
      </w:r>
      <w:r w:rsidRPr="00261CB0">
        <w:rPr>
          <w:rStyle w:val="libBold2Char"/>
          <w:rtl/>
        </w:rPr>
        <w:t xml:space="preserve"> / 7.</w:t>
      </w:r>
      <w:r w:rsidRPr="00C9040A">
        <w:rPr>
          <w:rtl/>
          <w:lang w:bidi="fa-IR"/>
        </w:rPr>
        <w:t xml:space="preserve"> مُحَمَّدُ بْنُ يَحْيى ، عَنْ أَحْمَدَ بْنِ مُحَمَّدِ بْنِ عِيسى ، عَنْ عَلِيِّ بْنِ الْحَكَمِ ، عَنْ عَبْدِ اللهِ بْنِ بُكَيْرٍ ، عَنْ حَمْزَةَ بْنِ حُمْرَانَ :</w:t>
      </w:r>
    </w:p>
    <w:p w:rsidR="008A74EB" w:rsidRPr="00C9040A" w:rsidRDefault="008A74EB" w:rsidP="008A74EB">
      <w:pPr>
        <w:pStyle w:val="libNormal"/>
        <w:rPr>
          <w:rtl/>
          <w:lang w:bidi="fa-IR"/>
        </w:rPr>
      </w:pPr>
      <w:r w:rsidRPr="00C9040A">
        <w:rPr>
          <w:rtl/>
          <w:lang w:bidi="fa-IR"/>
        </w:rPr>
        <w:t xml:space="preserve">عَنْ أَبِي عَبْدِ اللهِ </w:t>
      </w:r>
      <w:r w:rsidR="006C577F" w:rsidRPr="006C577F">
        <w:rPr>
          <w:rStyle w:val="libFootnotenumChar"/>
          <w:rtl/>
        </w:rPr>
        <w:t>(5)</w:t>
      </w:r>
      <w:r w:rsidRPr="00C9040A">
        <w:rPr>
          <w:rtl/>
          <w:lang w:bidi="fa-IR"/>
        </w:rPr>
        <w:t xml:space="preserve"> </w:t>
      </w:r>
      <w:r w:rsidRPr="0003660B">
        <w:rPr>
          <w:rStyle w:val="libAlaemChar"/>
          <w:rtl/>
        </w:rPr>
        <w:t>عليه‌السلام</w:t>
      </w:r>
      <w:r w:rsidRPr="00C9040A">
        <w:rPr>
          <w:rtl/>
          <w:lang w:bidi="fa-IR"/>
        </w:rPr>
        <w:t xml:space="preserve"> ، قَالَ </w:t>
      </w:r>
      <w:r w:rsidR="006C577F" w:rsidRPr="006C577F">
        <w:rPr>
          <w:rStyle w:val="libFootnotenumChar"/>
          <w:rtl/>
        </w:rPr>
        <w:t>(6)</w:t>
      </w:r>
      <w:r w:rsidRPr="005B567D">
        <w:rPr>
          <w:rStyle w:val="libFootnotenumChar"/>
          <w:rtl/>
        </w:rPr>
        <w:t xml:space="preserve"> </w:t>
      </w:r>
      <w:r w:rsidRPr="00C9040A">
        <w:rPr>
          <w:rtl/>
          <w:lang w:bidi="fa-IR"/>
        </w:rPr>
        <w:t>: « الْجَنَّةُ مَحْفُوفَةٌ بِالْمَكَارِهِ وَالصَّبْرِ ، فَمَنْ صَبَرَ عَلَى الْمَكَارِهِ فِي الدُّنْيَا ، دَخَلَ الْجَنَّةَ ؛ وَجَهَنَّمُ مَحْفُوفَةٌ بِاللَّذَّاتِ وَالشَّهَوَاتِ ، فَمَنْ أَعْطى نَفْسَهُ لَذَّتَهَا وَشَهْوَتَهَا ، دَخَلَ</w:t>
      </w:r>
      <w:r>
        <w:rPr>
          <w:rFonts w:hint="cs"/>
          <w:rtl/>
          <w:lang w:bidi="fa-IR"/>
        </w:rPr>
        <w:t xml:space="preserve"> </w:t>
      </w:r>
      <w:r w:rsidRPr="00C9040A">
        <w:rPr>
          <w:rtl/>
          <w:lang w:bidi="fa-IR"/>
        </w:rPr>
        <w:t xml:space="preserve">النَّارَ </w:t>
      </w:r>
      <w:r w:rsidR="006C577F" w:rsidRPr="006C577F">
        <w:rPr>
          <w:rStyle w:val="libFootnotenumChar"/>
          <w:rtl/>
        </w:rPr>
        <w:t>(7)</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3494"/>
        <w:gridCol w:w="4518"/>
      </w:tblGrid>
      <w:tr w:rsidR="00F031B8" w:rsidTr="00AC2E2F">
        <w:tc>
          <w:tcPr>
            <w:tcW w:w="3494" w:type="dxa"/>
          </w:tcPr>
          <w:p w:rsidR="00F031B8" w:rsidRDefault="00F031B8" w:rsidP="004A4E41">
            <w:pPr>
              <w:pStyle w:val="libFootnote0"/>
              <w:rPr>
                <w:rtl/>
              </w:rPr>
            </w:pPr>
            <w:r>
              <w:rPr>
                <w:rtl/>
              </w:rPr>
              <w:t>(1).</w:t>
            </w:r>
            <w:r w:rsidRPr="00C9040A">
              <w:rPr>
                <w:rtl/>
              </w:rPr>
              <w:t xml:space="preserve"> في«ف»ومرآةالعقول</w:t>
            </w:r>
            <w:r>
              <w:rPr>
                <w:rtl/>
              </w:rPr>
              <w:t>:-</w:t>
            </w:r>
            <w:r w:rsidRPr="00C9040A">
              <w:rPr>
                <w:rtl/>
              </w:rPr>
              <w:t>«عليه»</w:t>
            </w:r>
            <w:r>
              <w:rPr>
                <w:rtl/>
              </w:rPr>
              <w:t>.</w:t>
            </w:r>
          </w:p>
        </w:tc>
        <w:tc>
          <w:tcPr>
            <w:tcW w:w="4518" w:type="dxa"/>
          </w:tcPr>
          <w:p w:rsidR="00F031B8" w:rsidRDefault="00F031B8" w:rsidP="004A4E41">
            <w:pPr>
              <w:pStyle w:val="libFootnote0"/>
              <w:rPr>
                <w:rtl/>
              </w:rPr>
            </w:pPr>
            <w:r>
              <w:rPr>
                <w:rtl/>
              </w:rPr>
              <w:t>(2).</w:t>
            </w:r>
            <w:r w:rsidRPr="00C9040A">
              <w:rPr>
                <w:rtl/>
              </w:rPr>
              <w:t>في«ج،د،ز،ص،ض،</w:t>
            </w:r>
            <w:r>
              <w:rPr>
                <w:rtl/>
              </w:rPr>
              <w:t>ه</w:t>
            </w:r>
            <w:r w:rsidRPr="00C9040A">
              <w:rPr>
                <w:rtl/>
              </w:rPr>
              <w:t>،بر،بس،</w:t>
            </w:r>
            <w:r>
              <w:rPr>
                <w:rFonts w:hint="cs"/>
                <w:rtl/>
              </w:rPr>
              <w:t>ب</w:t>
            </w:r>
            <w:r w:rsidRPr="00C9040A">
              <w:rPr>
                <w:rtl/>
              </w:rPr>
              <w:t>ف»والوافي</w:t>
            </w:r>
            <w:r>
              <w:rPr>
                <w:rFonts w:hint="cs"/>
                <w:rtl/>
              </w:rPr>
              <w:t xml:space="preserve"> </w:t>
            </w:r>
            <w:r w:rsidRPr="00C9040A">
              <w:rPr>
                <w:rtl/>
              </w:rPr>
              <w:t>والبحار</w:t>
            </w:r>
            <w:r>
              <w:rPr>
                <w:rtl/>
              </w:rPr>
              <w:t>:</w:t>
            </w:r>
            <w:r>
              <w:rPr>
                <w:rFonts w:hint="cs"/>
                <w:rtl/>
              </w:rPr>
              <w:t>-</w:t>
            </w:r>
            <w:r w:rsidRPr="00C9040A">
              <w:rPr>
                <w:rtl/>
              </w:rPr>
              <w:t>«له»</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في « ف » : « فكذلك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الوافي</w:t>
      </w:r>
      <w:r w:rsidR="008A74EB" w:rsidRPr="00C9040A">
        <w:rPr>
          <w:rtl/>
        </w:rPr>
        <w:t xml:space="preserve"> ، ج 4 ، ص 333 ، ح 2053 ؛ </w:t>
      </w:r>
      <w:r w:rsidR="008A74EB" w:rsidRPr="00993B55">
        <w:rPr>
          <w:rStyle w:val="libFootnoteBoldChar"/>
          <w:rtl/>
        </w:rPr>
        <w:t>الوسائل</w:t>
      </w:r>
      <w:r w:rsidR="008A74EB" w:rsidRPr="00C9040A">
        <w:rPr>
          <w:rtl/>
        </w:rPr>
        <w:t xml:space="preserve"> ، ج 3 ، ص 257 ، ح 3566 ؛ </w:t>
      </w:r>
      <w:r w:rsidR="008A74EB" w:rsidRPr="00993B55">
        <w:rPr>
          <w:rStyle w:val="libFootnoteBoldChar"/>
          <w:rtl/>
        </w:rPr>
        <w:t>البحار</w:t>
      </w:r>
      <w:r w:rsidR="008A74EB" w:rsidRPr="00C9040A">
        <w:rPr>
          <w:rtl/>
        </w:rPr>
        <w:t xml:space="preserve"> ، ج 71 ، ص 69 ، ح 3.</w:t>
      </w:r>
    </w:p>
    <w:p w:rsidR="008A74EB" w:rsidRPr="00C9040A" w:rsidRDefault="006C577F" w:rsidP="004A4E41">
      <w:pPr>
        <w:pStyle w:val="libFootnote0"/>
        <w:rPr>
          <w:rtl/>
          <w:lang w:bidi="fa-IR"/>
        </w:rPr>
      </w:pPr>
      <w:r>
        <w:rPr>
          <w:rtl/>
        </w:rPr>
        <w:t>(5).</w:t>
      </w:r>
      <w:r w:rsidR="008A74EB" w:rsidRPr="00C9040A">
        <w:rPr>
          <w:rtl/>
        </w:rPr>
        <w:t xml:space="preserve"> هكذا في «ض،</w:t>
      </w:r>
      <w:r w:rsidR="006D3162">
        <w:rPr>
          <w:rtl/>
        </w:rPr>
        <w:t>ه</w:t>
      </w:r>
      <w:r w:rsidR="008A74EB" w:rsidRPr="00C9040A">
        <w:rPr>
          <w:rtl/>
        </w:rPr>
        <w:t>»</w:t>
      </w:r>
      <w:r w:rsidR="008A74EB">
        <w:rPr>
          <w:rtl/>
        </w:rPr>
        <w:t>.</w:t>
      </w:r>
      <w:r w:rsidR="008A74EB" w:rsidRPr="00C9040A">
        <w:rPr>
          <w:rtl/>
        </w:rPr>
        <w:t xml:space="preserve"> وفي « ب ، ج ، د ، ز ، ص ، ف ، بر ، بس ، بف ، جر » والمطبوع : « أبي جعفر »</w:t>
      </w:r>
      <w:r w:rsidR="008A74EB">
        <w:rPr>
          <w:rtl/>
        </w:rPr>
        <w:t>.</w:t>
      </w:r>
    </w:p>
    <w:p w:rsidR="008A74EB" w:rsidRPr="00C9040A" w:rsidRDefault="008A74EB" w:rsidP="004A4E41">
      <w:pPr>
        <w:pStyle w:val="libFootnote0"/>
        <w:rPr>
          <w:rtl/>
          <w:lang w:bidi="fa-IR"/>
        </w:rPr>
      </w:pPr>
      <w:r w:rsidRPr="00323A39">
        <w:rPr>
          <w:rtl/>
        </w:rPr>
        <w:t xml:space="preserve">والصواب ما أثبتناه ؛ فإنّه لم يثبت رواية حمزة بن حمران عن أبي جعفر </w:t>
      </w:r>
      <w:r w:rsidR="00117575" w:rsidRPr="00117575">
        <w:rPr>
          <w:rStyle w:val="libFootnoteAlaemChar"/>
          <w:rtl/>
        </w:rPr>
        <w:t>عليه‌السلام</w:t>
      </w:r>
      <w:r w:rsidRPr="00323A39">
        <w:rPr>
          <w:rtl/>
        </w:rPr>
        <w:t xml:space="preserve"> ، وما ورد في بعض الأسناد ففيه خلل لا محالة.</w:t>
      </w:r>
    </w:p>
    <w:p w:rsidR="008A74EB" w:rsidRPr="00C9040A" w:rsidRDefault="008A74EB" w:rsidP="004A4E41">
      <w:pPr>
        <w:pStyle w:val="libFootnote0"/>
        <w:rPr>
          <w:rtl/>
          <w:lang w:bidi="fa-IR"/>
        </w:rPr>
      </w:pPr>
      <w:r w:rsidRPr="00323A39">
        <w:rPr>
          <w:rtl/>
        </w:rPr>
        <w:t xml:space="preserve">فقد وردت في </w:t>
      </w:r>
      <w:r w:rsidRPr="00993B55">
        <w:rPr>
          <w:rStyle w:val="libFootnoteBoldChar"/>
          <w:rtl/>
        </w:rPr>
        <w:t>الاستبصار</w:t>
      </w:r>
      <w:r w:rsidRPr="00323A39">
        <w:rPr>
          <w:rtl/>
        </w:rPr>
        <w:t xml:space="preserve"> ، ج 3 </w:t>
      </w:r>
      <w:r w:rsidR="00BF46AC">
        <w:rPr>
          <w:rtl/>
        </w:rPr>
        <w:t>، ص 258 ، ح 923 ، رواية أبي ول</w:t>
      </w:r>
      <w:r w:rsidR="00BF46AC">
        <w:rPr>
          <w:rFonts w:hint="cs"/>
          <w:rtl/>
        </w:rPr>
        <w:t>ّ</w:t>
      </w:r>
      <w:r w:rsidR="00BF46AC">
        <w:rPr>
          <w:rtl/>
        </w:rPr>
        <w:t>ا</w:t>
      </w:r>
      <w:r w:rsidRPr="00323A39">
        <w:rPr>
          <w:rtl/>
        </w:rPr>
        <w:t xml:space="preserve">د عن حمزة بن حمران عن أبي جعفر </w:t>
      </w:r>
      <w:r w:rsidR="00117575" w:rsidRPr="00117575">
        <w:rPr>
          <w:rStyle w:val="libFootnoteAlaemChar"/>
          <w:rtl/>
        </w:rPr>
        <w:t xml:space="preserve">عليه‌السلام </w:t>
      </w:r>
      <w:r w:rsidRPr="00323A39">
        <w:rPr>
          <w:rtl/>
        </w:rPr>
        <w:t xml:space="preserve">. لكنّ الشيخ روى الخبر في </w:t>
      </w:r>
      <w:r w:rsidRPr="00993B55">
        <w:rPr>
          <w:rStyle w:val="libFootnoteBoldChar"/>
          <w:rtl/>
        </w:rPr>
        <w:t>التهذيب</w:t>
      </w:r>
      <w:r w:rsidRPr="00323A39">
        <w:rPr>
          <w:rtl/>
        </w:rPr>
        <w:t xml:space="preserve"> ، ج 8 ، ص 10 ، ح 23. وفيه « حمران » بدل « حمزة بن حمران » ، وكذا الكليني روى الخبر في ضمن خبر طويل في </w:t>
      </w:r>
      <w:r w:rsidRPr="00993B55">
        <w:rPr>
          <w:rStyle w:val="libFootnoteBoldChar"/>
          <w:rtl/>
        </w:rPr>
        <w:t>الكافي</w:t>
      </w:r>
      <w:r w:rsidRPr="00323A39">
        <w:rPr>
          <w:rtl/>
        </w:rPr>
        <w:t xml:space="preserve"> ، ح 11040 ، وفيه أيضاً « حمران ».</w:t>
      </w:r>
    </w:p>
    <w:p w:rsidR="008A74EB" w:rsidRPr="00C9040A" w:rsidRDefault="008A74EB" w:rsidP="004A4E41">
      <w:pPr>
        <w:pStyle w:val="libFootnote0"/>
        <w:rPr>
          <w:rtl/>
          <w:lang w:bidi="fa-IR"/>
        </w:rPr>
      </w:pPr>
      <w:r w:rsidRPr="00323A39">
        <w:rPr>
          <w:rtl/>
        </w:rPr>
        <w:t xml:space="preserve">وورد في </w:t>
      </w:r>
      <w:r w:rsidRPr="00993B55">
        <w:rPr>
          <w:rStyle w:val="libFootnoteBoldChar"/>
          <w:rtl/>
        </w:rPr>
        <w:t>مستطرفات السرائر</w:t>
      </w:r>
      <w:r w:rsidRPr="00323A39">
        <w:rPr>
          <w:rtl/>
        </w:rPr>
        <w:t xml:space="preserve"> ، ص 86 ، ح 34 ، حمزة بن حمران ، قال : سألت أبا جعفر </w:t>
      </w:r>
      <w:r w:rsidR="00117575" w:rsidRPr="00117575">
        <w:rPr>
          <w:rStyle w:val="libFootnoteAlaemChar"/>
          <w:rtl/>
        </w:rPr>
        <w:t xml:space="preserve">عليه‌السلام </w:t>
      </w:r>
      <w:r w:rsidRPr="00323A39">
        <w:rPr>
          <w:rtl/>
        </w:rPr>
        <w:t xml:space="preserve">. والخبر رواه الكليني في </w:t>
      </w:r>
      <w:r w:rsidRPr="00993B55">
        <w:rPr>
          <w:rStyle w:val="libFootnoteBoldChar"/>
          <w:rtl/>
        </w:rPr>
        <w:t>الكافي</w:t>
      </w:r>
      <w:r w:rsidRPr="00323A39">
        <w:rPr>
          <w:rtl/>
        </w:rPr>
        <w:t xml:space="preserve"> ، ح 13751 ، وفيه « حمزة بن حمران ، عن حمران ، قال : سألت أبا جعفر </w:t>
      </w:r>
      <w:r w:rsidR="00117575" w:rsidRPr="00117575">
        <w:rPr>
          <w:rStyle w:val="libFootnoteAlaemChar"/>
          <w:rtl/>
        </w:rPr>
        <w:t>عليه‌السلام</w:t>
      </w:r>
      <w:r w:rsidRPr="00323A39">
        <w:rPr>
          <w:rtl/>
        </w:rPr>
        <w:t xml:space="preserve"> ».</w:t>
      </w:r>
    </w:p>
    <w:p w:rsidR="008A74EB" w:rsidRPr="00C9040A" w:rsidRDefault="008A74EB" w:rsidP="004A4E41">
      <w:pPr>
        <w:pStyle w:val="libFootnote0"/>
        <w:rPr>
          <w:rtl/>
          <w:lang w:bidi="fa-IR"/>
        </w:rPr>
      </w:pPr>
      <w:r w:rsidRPr="00323A39">
        <w:rPr>
          <w:rtl/>
        </w:rPr>
        <w:t xml:space="preserve">وورد في </w:t>
      </w:r>
      <w:r w:rsidRPr="00993B55">
        <w:rPr>
          <w:rStyle w:val="libFootnoteBoldChar"/>
          <w:rtl/>
        </w:rPr>
        <w:t>الكافي</w:t>
      </w:r>
      <w:r w:rsidRPr="00323A39">
        <w:rPr>
          <w:rtl/>
        </w:rPr>
        <w:t xml:space="preserve"> ، ح 11381 ، حمزة بن حمران ، قال : شكا رجل إلى أبي جعفر </w:t>
      </w:r>
      <w:r w:rsidR="00117575" w:rsidRPr="00117575">
        <w:rPr>
          <w:rStyle w:val="libFootnoteAlaemChar"/>
          <w:rtl/>
        </w:rPr>
        <w:t xml:space="preserve">عليه‌السلام </w:t>
      </w:r>
      <w:r w:rsidRPr="00323A39">
        <w:rPr>
          <w:rtl/>
        </w:rPr>
        <w:t xml:space="preserve">. والخبر رواه البرقي في </w:t>
      </w:r>
      <w:r w:rsidRPr="00993B55">
        <w:rPr>
          <w:rStyle w:val="libFootnoteBoldChar"/>
          <w:rtl/>
        </w:rPr>
        <w:t>المحاسن</w:t>
      </w:r>
      <w:r w:rsidRPr="00323A39">
        <w:rPr>
          <w:rtl/>
        </w:rPr>
        <w:t xml:space="preserve"> ، ص 609 ، ح 14 ، بسنده عن حمزة بن حمران ، عن رجل ، قال : شكا رجل إلى أبي جعفر </w:t>
      </w:r>
      <w:r w:rsidR="00117575" w:rsidRPr="00117575">
        <w:rPr>
          <w:rStyle w:val="libFootnoteAlaemChar"/>
          <w:rtl/>
        </w:rPr>
        <w:t xml:space="preserve">عليه‌السلام </w:t>
      </w:r>
      <w:r w:rsidRPr="00323A39">
        <w:rPr>
          <w:rtl/>
        </w:rPr>
        <w:t>.</w:t>
      </w:r>
    </w:p>
    <w:p w:rsidR="008A74EB" w:rsidRPr="004A4E41" w:rsidRDefault="008A74EB" w:rsidP="004A4E41">
      <w:pPr>
        <w:pStyle w:val="libFootnote0"/>
        <w:rPr>
          <w:rStyle w:val="libFootnote0Char"/>
          <w:rtl/>
        </w:rPr>
      </w:pPr>
      <w:r w:rsidRPr="00323A39">
        <w:rPr>
          <w:rtl/>
        </w:rPr>
        <w:t xml:space="preserve">هذا ، وأمّا ما ورد في </w:t>
      </w:r>
      <w:r w:rsidRPr="00993B55">
        <w:rPr>
          <w:rStyle w:val="libFootnoteBoldChar"/>
          <w:rtl/>
        </w:rPr>
        <w:t>رجال الطوسي</w:t>
      </w:r>
      <w:r w:rsidRPr="00323A39">
        <w:rPr>
          <w:rtl/>
        </w:rPr>
        <w:t xml:space="preserve"> ، ص 132 ، الرقم 1367 ، من عدّ حمزة بن حمران بن أعين من أصحاب أبي جعفر </w:t>
      </w:r>
      <w:r w:rsidR="00117575" w:rsidRPr="00117575">
        <w:rPr>
          <w:rStyle w:val="libFootnoteAlaemChar"/>
          <w:rtl/>
        </w:rPr>
        <w:t>عليه‌السلام</w:t>
      </w:r>
      <w:r w:rsidRPr="00323A39">
        <w:rPr>
          <w:rtl/>
        </w:rPr>
        <w:t xml:space="preserve"> ، فلا يمكن الاعتماد عليه ؛ لتفرّده بهذا الأمر ، مع أنّ النجاشي والبرقي ذكراه في أصحاب أبي عبد الله </w:t>
      </w:r>
      <w:r w:rsidR="00117575" w:rsidRPr="00117575">
        <w:rPr>
          <w:rStyle w:val="libFootnoteAlaemChar"/>
          <w:rtl/>
        </w:rPr>
        <w:t>عليه‌السلام</w:t>
      </w:r>
      <w:r w:rsidRPr="00323A39">
        <w:rPr>
          <w:rtl/>
        </w:rPr>
        <w:t xml:space="preserve"> ولم يشيرا إلى روايته عن أبي جعفر </w:t>
      </w:r>
      <w:r w:rsidR="00117575" w:rsidRPr="00117575">
        <w:rPr>
          <w:rStyle w:val="libFootnoteAlaemChar"/>
          <w:rtl/>
        </w:rPr>
        <w:t xml:space="preserve">عليه‌السلام </w:t>
      </w:r>
      <w:r w:rsidRPr="00323A39">
        <w:rPr>
          <w:rtl/>
        </w:rPr>
        <w:t xml:space="preserve">. وأبو غالب الزراري أيضاً </w:t>
      </w:r>
      <w:r w:rsidR="0084262C" w:rsidRPr="00323A39">
        <w:rPr>
          <w:rtl/>
        </w:rPr>
        <w:t>-</w:t>
      </w:r>
      <w:r w:rsidRPr="00323A39">
        <w:rPr>
          <w:rtl/>
        </w:rPr>
        <w:t xml:space="preserve"> في رسالته التي كتبها إلى ابن ابنه وعرّف فيها آل أعين بالتفصيل </w:t>
      </w:r>
      <w:r w:rsidR="0084262C" w:rsidRPr="00323A39">
        <w:rPr>
          <w:rtl/>
        </w:rPr>
        <w:t>-</w:t>
      </w:r>
      <w:r w:rsidRPr="00323A39">
        <w:rPr>
          <w:rtl/>
        </w:rPr>
        <w:t xml:space="preserve"> عدّه ممّن لقي أبا عبد الله </w:t>
      </w:r>
      <w:r w:rsidR="00117575" w:rsidRPr="00117575">
        <w:rPr>
          <w:rStyle w:val="libFootnoteAlaemChar"/>
          <w:rtl/>
        </w:rPr>
        <w:t>عليه‌السلام</w:t>
      </w:r>
      <w:r w:rsidRPr="00323A39">
        <w:rPr>
          <w:rtl/>
        </w:rPr>
        <w:t xml:space="preserve"> وروى عنه. راجع : </w:t>
      </w:r>
      <w:r w:rsidRPr="00993B55">
        <w:rPr>
          <w:rStyle w:val="libFootnoteBoldChar"/>
          <w:rtl/>
        </w:rPr>
        <w:t>رجال النجاشي</w:t>
      </w:r>
      <w:r w:rsidRPr="00323A39">
        <w:rPr>
          <w:rtl/>
        </w:rPr>
        <w:t xml:space="preserve"> ، ص 140 ، الرقم 365 ؛ </w:t>
      </w:r>
      <w:r w:rsidRPr="00993B55">
        <w:rPr>
          <w:rStyle w:val="libFootnoteBoldChar"/>
          <w:rtl/>
        </w:rPr>
        <w:t>رجال البرقي</w:t>
      </w:r>
      <w:r w:rsidRPr="00323A39">
        <w:rPr>
          <w:rtl/>
        </w:rPr>
        <w:t xml:space="preserve"> ، ص 39 ؛ </w:t>
      </w:r>
      <w:r w:rsidRPr="00993B55">
        <w:rPr>
          <w:rStyle w:val="libFootnoteBoldChar"/>
          <w:rtl/>
        </w:rPr>
        <w:t>رسالة أبي غالب الزراري</w:t>
      </w:r>
      <w:r w:rsidRPr="00323A39">
        <w:rPr>
          <w:rtl/>
        </w:rPr>
        <w:t xml:space="preserve"> ، ص 114.</w:t>
      </w:r>
    </w:p>
    <w:tbl>
      <w:tblPr>
        <w:tblStyle w:val="TableGrid"/>
        <w:bidiVisual/>
        <w:tblW w:w="0" w:type="auto"/>
        <w:tblLook w:val="04A0" w:firstRow="1" w:lastRow="0" w:firstColumn="1" w:lastColumn="0" w:noHBand="0" w:noVBand="1"/>
      </w:tblPr>
      <w:tblGrid>
        <w:gridCol w:w="4006"/>
        <w:gridCol w:w="4006"/>
      </w:tblGrid>
      <w:tr w:rsidR="00BF46AC" w:rsidTr="00BF46AC">
        <w:tc>
          <w:tcPr>
            <w:tcW w:w="4006" w:type="dxa"/>
          </w:tcPr>
          <w:p w:rsidR="00BF46AC" w:rsidRDefault="00BF46AC" w:rsidP="004A4E41">
            <w:pPr>
              <w:pStyle w:val="libFootnote0"/>
              <w:rPr>
                <w:rtl/>
              </w:rPr>
            </w:pPr>
            <w:r>
              <w:rPr>
                <w:rtl/>
              </w:rPr>
              <w:t xml:space="preserve">(6). </w:t>
            </w:r>
            <w:r w:rsidRPr="00C9040A">
              <w:rPr>
                <w:rtl/>
              </w:rPr>
              <w:t>في « ب » : + « إنّ »</w:t>
            </w:r>
            <w:r>
              <w:rPr>
                <w:rtl/>
              </w:rPr>
              <w:t>.</w:t>
            </w:r>
          </w:p>
        </w:tc>
        <w:tc>
          <w:tcPr>
            <w:tcW w:w="4006" w:type="dxa"/>
          </w:tcPr>
          <w:p w:rsidR="00BF46AC" w:rsidRDefault="00BF46AC" w:rsidP="004A4E41">
            <w:pPr>
              <w:pStyle w:val="libFootnote0"/>
              <w:rPr>
                <w:rtl/>
              </w:rPr>
            </w:pPr>
            <w:r>
              <w:rPr>
                <w:rtl/>
              </w:rPr>
              <w:t>(7).</w:t>
            </w:r>
            <w:r w:rsidRPr="00C9040A">
              <w:rPr>
                <w:rtl/>
              </w:rPr>
              <w:t xml:space="preserve"> في « بر » : « جهنّم »</w:t>
            </w:r>
            <w:r>
              <w:rPr>
                <w:rtl/>
              </w:rPr>
              <w:t>.</w:t>
            </w:r>
          </w:p>
        </w:tc>
      </w:tr>
    </w:tbl>
    <w:p w:rsidR="008A74EB" w:rsidRPr="00C9040A" w:rsidRDefault="006C577F" w:rsidP="004A4E41">
      <w:pPr>
        <w:pStyle w:val="libFootnote0"/>
        <w:rPr>
          <w:rtl/>
          <w:lang w:bidi="fa-IR"/>
        </w:rPr>
      </w:pPr>
      <w:r>
        <w:rPr>
          <w:rtl/>
        </w:rPr>
        <w:t>(8).</w:t>
      </w:r>
      <w:r w:rsidR="008A74EB" w:rsidRPr="00C9040A">
        <w:rPr>
          <w:rtl/>
        </w:rPr>
        <w:t xml:space="preserve"> </w:t>
      </w:r>
      <w:r w:rsidR="008A74EB" w:rsidRPr="00993B55">
        <w:rPr>
          <w:rStyle w:val="libFootnoteBoldChar"/>
          <w:rtl/>
        </w:rPr>
        <w:t>الوافي</w:t>
      </w:r>
      <w:r w:rsidR="008A74EB" w:rsidRPr="00C9040A">
        <w:rPr>
          <w:rtl/>
        </w:rPr>
        <w:t>،ج 4،ص334،ح2055؛</w:t>
      </w:r>
      <w:r w:rsidR="008A74EB" w:rsidRPr="00993B55">
        <w:rPr>
          <w:rStyle w:val="libFootnoteBoldChar"/>
          <w:rtl/>
        </w:rPr>
        <w:t>الوسائل</w:t>
      </w:r>
      <w:r w:rsidR="008A74EB" w:rsidRPr="00C9040A">
        <w:rPr>
          <w:rtl/>
        </w:rPr>
        <w:t xml:space="preserve">،ج15،ص309،ح20600 ؛ </w:t>
      </w:r>
      <w:r w:rsidR="008A74EB" w:rsidRPr="00993B55">
        <w:rPr>
          <w:rStyle w:val="libFootnoteBoldChar"/>
          <w:rtl/>
        </w:rPr>
        <w:t>البحار</w:t>
      </w:r>
      <w:r w:rsidR="008A74EB" w:rsidRPr="00C9040A">
        <w:rPr>
          <w:rtl/>
        </w:rPr>
        <w:t xml:space="preserve"> ، ج 71 ، ص 72 ، ح 4.</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8A47A3">
        <w:rPr>
          <w:rtl/>
        </w:rPr>
        <w:t>1697</w:t>
      </w:r>
      <w:r w:rsidRPr="00261CB0">
        <w:rPr>
          <w:rStyle w:val="libBold2Char"/>
          <w:rtl/>
        </w:rPr>
        <w:t xml:space="preserve"> / 8.</w:t>
      </w:r>
      <w:r w:rsidRPr="00C9040A">
        <w:rPr>
          <w:rtl/>
          <w:lang w:bidi="fa-IR"/>
        </w:rPr>
        <w:t xml:space="preserve"> عَلِيُّ بْنُ إِبْرَاهِيمَ ، عَنْ أَبِيهِ ، عَنِ ابْنِ مَحْبُوبٍ ، عَنْ عَبْدِ اللهِ بْنِ مَرْحُومٍ </w:t>
      </w:r>
      <w:r w:rsidR="006C577F" w:rsidRPr="006C577F">
        <w:rPr>
          <w:rStyle w:val="libFootnotenumChar"/>
          <w:rtl/>
        </w:rPr>
        <w:t>(1)</w:t>
      </w:r>
      <w:r w:rsidRPr="00C9040A">
        <w:rPr>
          <w:rtl/>
          <w:lang w:bidi="fa-IR"/>
        </w:rPr>
        <w:t>، عَنْ أَبِي سَيَّارٍ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إِذَا دَخَلَ الْمُؤْمِنُ قَبْرَهُ </w:t>
      </w:r>
      <w:r w:rsidR="006C577F" w:rsidRPr="006C577F">
        <w:rPr>
          <w:rStyle w:val="libFootnotenumChar"/>
          <w:rtl/>
        </w:rPr>
        <w:t>(2)</w:t>
      </w:r>
      <w:r w:rsidRPr="00C9040A">
        <w:rPr>
          <w:rtl/>
          <w:lang w:bidi="fa-IR"/>
        </w:rPr>
        <w:t xml:space="preserve"> ، كَانَتِ الصَّلَاةُ عَنْ يَمِينِهِ ، وَالزَّكَاةُ عَنْ يَسَارِهِ ، وَالْبِرُّ مُظِلٌّ </w:t>
      </w:r>
      <w:r w:rsidR="006C577F" w:rsidRPr="006C577F">
        <w:rPr>
          <w:rStyle w:val="libFootnotenumChar"/>
          <w:rtl/>
        </w:rPr>
        <w:t>(3)</w:t>
      </w:r>
      <w:r w:rsidRPr="00C9040A">
        <w:rPr>
          <w:rtl/>
          <w:lang w:bidi="fa-IR"/>
        </w:rPr>
        <w:t xml:space="preserve"> عَلَيْهِ ، وَيَتَنَحَّى </w:t>
      </w:r>
      <w:r w:rsidR="006C577F" w:rsidRPr="006C577F">
        <w:rPr>
          <w:rStyle w:val="libFootnotenumChar"/>
          <w:rtl/>
        </w:rPr>
        <w:t>(4)</w:t>
      </w:r>
      <w:r w:rsidRPr="00C9040A">
        <w:rPr>
          <w:rtl/>
          <w:lang w:bidi="fa-IR"/>
        </w:rPr>
        <w:t xml:space="preserve"> الصَّبْرُ نَاحِيَةً ، فَإِذَا </w:t>
      </w:r>
      <w:r w:rsidR="006C577F" w:rsidRPr="006C577F">
        <w:rPr>
          <w:rStyle w:val="libFootnotenumChar"/>
          <w:rtl/>
        </w:rPr>
        <w:t>(5)</w:t>
      </w:r>
      <w:r w:rsidRPr="00C9040A">
        <w:rPr>
          <w:rtl/>
          <w:lang w:bidi="fa-IR"/>
        </w:rPr>
        <w:t xml:space="preserve"> دَخَلَ عَلَيْهِ الْمَلَكَانِ اللَّذَانِ يَلِيَانِ مُسَاءَلَتَهُ ، قَالَ الصَّبْرُ لِلصَّلَاةِ وَالزَّكَاةِ وَالْبِرِّ </w:t>
      </w:r>
      <w:r w:rsidR="006C577F" w:rsidRPr="006C577F">
        <w:rPr>
          <w:rStyle w:val="libFootnotenumChar"/>
          <w:rtl/>
        </w:rPr>
        <w:t>(6)</w:t>
      </w:r>
      <w:r w:rsidRPr="005B567D">
        <w:rPr>
          <w:rStyle w:val="libFootnotenumChar"/>
          <w:rtl/>
        </w:rPr>
        <w:t xml:space="preserve"> </w:t>
      </w:r>
      <w:r w:rsidRPr="00C9040A">
        <w:rPr>
          <w:rtl/>
          <w:lang w:bidi="fa-IR"/>
        </w:rPr>
        <w:t xml:space="preserve">: دُونَكُمْ </w:t>
      </w:r>
      <w:r w:rsidR="006C577F" w:rsidRPr="006C577F">
        <w:rPr>
          <w:rStyle w:val="libFootnotenumChar"/>
          <w:rtl/>
        </w:rPr>
        <w:t>(7)</w:t>
      </w:r>
      <w:r w:rsidRPr="00C9040A">
        <w:rPr>
          <w:rtl/>
          <w:lang w:bidi="fa-IR"/>
        </w:rPr>
        <w:t xml:space="preserve"> صَاحِبَكُمْ ، فَإِنْ عَجَزْتُمْ عَنْهُ فَأَنَا دُونَهُ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Normal"/>
        <w:rPr>
          <w:rtl/>
          <w:lang w:bidi="fa-IR"/>
        </w:rPr>
      </w:pPr>
      <w:r w:rsidRPr="008A47A3">
        <w:rPr>
          <w:rtl/>
        </w:rPr>
        <w:t>1698</w:t>
      </w:r>
      <w:r w:rsidRPr="00261CB0">
        <w:rPr>
          <w:rStyle w:val="libBold2Char"/>
          <w:rtl/>
        </w:rPr>
        <w:t xml:space="preserve"> / 9.</w:t>
      </w:r>
      <w:r w:rsidRPr="00C9040A">
        <w:rPr>
          <w:rtl/>
          <w:lang w:bidi="fa-IR"/>
        </w:rPr>
        <w:t xml:space="preserve"> عَلِيٌّ </w:t>
      </w:r>
      <w:r w:rsidR="006C577F" w:rsidRPr="006C577F">
        <w:rPr>
          <w:rStyle w:val="libFootnotenumChar"/>
          <w:rtl/>
        </w:rPr>
        <w:t>(9)</w:t>
      </w:r>
      <w:r w:rsidRPr="00C9040A">
        <w:rPr>
          <w:rtl/>
          <w:lang w:bidi="fa-IR"/>
        </w:rPr>
        <w:t xml:space="preserve"> ، عَنْ أَبِيهِ ، عَنْ جَعْفَرِ بْنِ مُحَمَّدٍ الْأَشْعَرِيِّ ، عَنْ عَبْدِ اللهِ بْنِ مَيْمُونٍ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دَخَلَ أَمِيرُ الْمُؤْمِنِينَ صَلَوَاتُ اللهِ عَلَيْهِ الْمَسْجِدَ ، فَإِذَا هُوَ بِرَجُلٍ عَلى بَابِ الْمَسْجِدِ </w:t>
      </w:r>
      <w:r w:rsidR="006C577F" w:rsidRPr="006C577F">
        <w:rPr>
          <w:rStyle w:val="libFootnotenumChar"/>
          <w:rtl/>
        </w:rPr>
        <w:t>(10)</w:t>
      </w:r>
      <w:r w:rsidRPr="00C9040A">
        <w:rPr>
          <w:rtl/>
          <w:lang w:bidi="fa-IR"/>
        </w:rPr>
        <w:t xml:space="preserve"> كَئِيبٍ </w:t>
      </w:r>
      <w:r w:rsidR="006C577F" w:rsidRPr="006C577F">
        <w:rPr>
          <w:rStyle w:val="libFootnotenumChar"/>
          <w:rtl/>
        </w:rPr>
        <w:t>(11)</w:t>
      </w:r>
      <w:r w:rsidRPr="00C9040A">
        <w:rPr>
          <w:rtl/>
          <w:lang w:bidi="fa-IR"/>
        </w:rPr>
        <w:t xml:space="preserve"> حَزِينٍ ، فَقَالَ لَهُ أَمِيرُ الْمُؤْمِنِينَ </w:t>
      </w:r>
      <w:r w:rsidRPr="0003660B">
        <w:rPr>
          <w:rStyle w:val="libAlaemChar"/>
          <w:rtl/>
        </w:rPr>
        <w:t>عليه‌السلام</w:t>
      </w:r>
      <w:r w:rsidRPr="00C9040A">
        <w:rPr>
          <w:rtl/>
          <w:lang w:bidi="fa-IR"/>
        </w:rPr>
        <w:t xml:space="preserve"> </w:t>
      </w:r>
      <w:r w:rsidR="006C577F" w:rsidRPr="006C577F">
        <w:rPr>
          <w:rStyle w:val="libFootnotenumChar"/>
          <w:rtl/>
        </w:rPr>
        <w:t>(12)</w:t>
      </w:r>
      <w:r w:rsidRPr="00C9040A">
        <w:rPr>
          <w:rtl/>
          <w:lang w:bidi="fa-IR"/>
        </w:rPr>
        <w:t xml:space="preserve"> : مَا لَكَ</w:t>
      </w:r>
      <w:r>
        <w:rPr>
          <w:rtl/>
          <w:lang w:bidi="fa-IR"/>
        </w:rPr>
        <w:t>؟</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ورد الخبر في </w:t>
      </w:r>
      <w:r w:rsidR="008A74EB" w:rsidRPr="00993B55">
        <w:rPr>
          <w:rStyle w:val="libFootnoteBoldChar"/>
          <w:rtl/>
        </w:rPr>
        <w:t>الكافي</w:t>
      </w:r>
      <w:r w:rsidR="008A74EB" w:rsidRPr="00C9040A">
        <w:rPr>
          <w:rtl/>
        </w:rPr>
        <w:t xml:space="preserve"> ، ح 4707 بنفس السند عن عبد الله بن كولوم ، عن أبي سعيد. والظاهر عدم صحّة « كولوم » ؛ فإنّا لم نجد في الكتب والأسناد من يسمّى</w:t>
      </w:r>
      <w:r w:rsidR="008A74EB">
        <w:rPr>
          <w:rtl/>
        </w:rPr>
        <w:t xml:space="preserve"> ب</w:t>
      </w:r>
      <w:r w:rsidR="009A7CD5">
        <w:rPr>
          <w:rFonts w:hint="cs"/>
          <w:rtl/>
        </w:rPr>
        <w:t>ـ</w:t>
      </w:r>
      <w:r w:rsidR="008A74EB">
        <w:rPr>
          <w:rtl/>
        </w:rPr>
        <w:t>«</w:t>
      </w:r>
      <w:r w:rsidR="008A74EB" w:rsidRPr="00C9040A">
        <w:rPr>
          <w:rtl/>
        </w:rPr>
        <w:t xml:space="preserve"> كولوم » أو يلقّب به. وعبد الله بن مرحوم ذكره الشيخ في أصحاب الصادق وأبي الحسن </w:t>
      </w:r>
      <w:r w:rsidR="00117575" w:rsidRPr="00117575">
        <w:rPr>
          <w:rStyle w:val="libFootnoteAlaemChar"/>
          <w:rtl/>
        </w:rPr>
        <w:t>عليهما‌السلام</w:t>
      </w:r>
      <w:r w:rsidR="008A74EB" w:rsidRPr="00C9040A">
        <w:rPr>
          <w:rtl/>
        </w:rPr>
        <w:t xml:space="preserve">. </w:t>
      </w:r>
      <w:r w:rsidR="008A74EB" w:rsidRPr="00993B55">
        <w:rPr>
          <w:rStyle w:val="libFootnoteBoldChar"/>
          <w:rtl/>
        </w:rPr>
        <w:t>رجال الطوسي</w:t>
      </w:r>
      <w:r w:rsidR="008A74EB" w:rsidRPr="00C9040A">
        <w:rPr>
          <w:rtl/>
        </w:rPr>
        <w:t xml:space="preserve"> ، ص 232 ، الرقم 3149 ؛ وص 341 ، الرقم 5075.</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هكذا في النسخ التي قوبلت والوسائل والبحار والكافي ، ح 4707. وفي المطبوع : « في قبره »</w:t>
      </w:r>
      <w:r w:rsidR="008A74EB">
        <w:rPr>
          <w:rtl/>
        </w:rPr>
        <w:t>.</w:t>
      </w:r>
      <w:r w:rsidR="008A74EB" w:rsidRPr="00C9040A">
        <w:rPr>
          <w:rtl/>
        </w:rPr>
        <w:t xml:space="preserve"> وفي ثواب‌الأعمال : « من قبره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حاشية « د » ومرآة العقول والبحار : « مطلّ » بالمهملة أي مشرف. وفي الكافي ، ح 4707 : « يطلّ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ب » : « وينتحي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الكافي ، ح 4707 : « وإذا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الكافي ، ح 4707 </w:t>
      </w:r>
      <w:r w:rsidR="008A74EB">
        <w:rPr>
          <w:rtl/>
        </w:rPr>
        <w:t xml:space="preserve">: </w:t>
      </w:r>
      <w:r w:rsidR="0084262C">
        <w:rPr>
          <w:rtl/>
        </w:rPr>
        <w:t>-</w:t>
      </w:r>
      <w:r w:rsidR="008A74EB" w:rsidRPr="00C9040A">
        <w:rPr>
          <w:rtl/>
        </w:rPr>
        <w:t xml:space="preserve"> « والبرّ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الكافي ، ح 4707 : « دونكما »</w:t>
      </w:r>
      <w:r w:rsidR="008A74EB">
        <w:rPr>
          <w:rtl/>
        </w:rPr>
        <w:t>.</w:t>
      </w:r>
    </w:p>
    <w:p w:rsidR="008A74EB" w:rsidRPr="004A4E41" w:rsidRDefault="006C577F" w:rsidP="004A4E41">
      <w:pPr>
        <w:pStyle w:val="libFootnote0"/>
        <w:rPr>
          <w:rStyle w:val="libFootnote0Char"/>
          <w:rtl/>
        </w:rPr>
      </w:pPr>
      <w:r>
        <w:rPr>
          <w:rtl/>
        </w:rPr>
        <w:t>(8).</w:t>
      </w:r>
      <w:r w:rsidR="008A74EB" w:rsidRPr="00C9040A">
        <w:rPr>
          <w:rtl/>
        </w:rPr>
        <w:t xml:space="preserve"> </w:t>
      </w:r>
      <w:r w:rsidR="008A74EB" w:rsidRPr="00993B55">
        <w:rPr>
          <w:rStyle w:val="libFootnoteBoldChar"/>
          <w:rtl/>
        </w:rPr>
        <w:t>الكافي</w:t>
      </w:r>
      <w:r w:rsidR="008A74EB" w:rsidRPr="00C9040A">
        <w:rPr>
          <w:rtl/>
        </w:rPr>
        <w:t xml:space="preserve"> ، كتاب الجنائز ، باب المسألة في القبر</w:t>
      </w:r>
      <w:r w:rsidR="008A74EB">
        <w:rPr>
          <w:rtl/>
        </w:rPr>
        <w:t xml:space="preserve"> ..</w:t>
      </w:r>
      <w:r w:rsidR="008A74EB" w:rsidRPr="00C9040A">
        <w:rPr>
          <w:rtl/>
        </w:rPr>
        <w:t xml:space="preserve">. ، ح 4707 ، عن عليّ بن إبراهيم ، عن أبيه ، عن ابن محبوب ، عن عبدالله بن كولوم ، عن أبي سعيد ، عن أبي عبدالله </w:t>
      </w:r>
      <w:r w:rsidR="00117575" w:rsidRPr="00117575">
        <w:rPr>
          <w:rStyle w:val="libFootnoteAlaemChar"/>
          <w:rtl/>
        </w:rPr>
        <w:t xml:space="preserve">عليه‌السلام </w:t>
      </w:r>
      <w:r w:rsidR="008A74EB" w:rsidRPr="00C9040A">
        <w:rPr>
          <w:rtl/>
        </w:rPr>
        <w:t xml:space="preserve">. وفي </w:t>
      </w:r>
      <w:r w:rsidR="008A74EB" w:rsidRPr="00993B55">
        <w:rPr>
          <w:rStyle w:val="libFootnoteBoldChar"/>
          <w:rtl/>
        </w:rPr>
        <w:t>ثواب الأعمال</w:t>
      </w:r>
      <w:r w:rsidR="008A74EB" w:rsidRPr="00C9040A">
        <w:rPr>
          <w:rtl/>
        </w:rPr>
        <w:t xml:space="preserve"> ، ص 203 ، ح 1 ، بسنده عن الحسن بن محبوب ، عن عبد الله بن مرحوم ، عن ابن سنان ، عن أبي عبد الله </w:t>
      </w:r>
      <w:r w:rsidR="00117575" w:rsidRPr="00117575">
        <w:rPr>
          <w:rStyle w:val="libFootnoteAlaemChar"/>
          <w:rtl/>
        </w:rPr>
        <w:t>عليه‌السلام</w:t>
      </w:r>
      <w:r w:rsidR="008A74EB" w:rsidRPr="00C9040A">
        <w:rPr>
          <w:rtl/>
        </w:rPr>
        <w:t xml:space="preserve"> </w:t>
      </w:r>
      <w:r w:rsidR="00922534">
        <w:rPr>
          <w:rFonts w:hint="cs"/>
          <w:rtl/>
        </w:rPr>
        <w:t>.</w:t>
      </w:r>
      <w:r w:rsidR="008A74EB" w:rsidRPr="00993B55">
        <w:rPr>
          <w:rStyle w:val="libFootnoteBoldChar"/>
          <w:rtl/>
        </w:rPr>
        <w:t>الوافي</w:t>
      </w:r>
      <w:r w:rsidR="008A74EB" w:rsidRPr="00C9040A">
        <w:rPr>
          <w:rtl/>
        </w:rPr>
        <w:t xml:space="preserve"> ، ج 4 ، ص 334 ، ح 2054 ؛ </w:t>
      </w:r>
      <w:r w:rsidR="008A74EB" w:rsidRPr="00993B55">
        <w:rPr>
          <w:rStyle w:val="libFootnoteBoldChar"/>
          <w:rtl/>
        </w:rPr>
        <w:t>الوسائل</w:t>
      </w:r>
      <w:r w:rsidR="008A74EB" w:rsidRPr="00C9040A">
        <w:rPr>
          <w:rtl/>
        </w:rPr>
        <w:t xml:space="preserve"> ، ج 3 ، ص 255 ، ح 3562 ؛ </w:t>
      </w:r>
      <w:r w:rsidR="008A74EB" w:rsidRPr="00993B55">
        <w:rPr>
          <w:rStyle w:val="libFootnoteBoldChar"/>
          <w:rtl/>
        </w:rPr>
        <w:t>البحار</w:t>
      </w:r>
      <w:r w:rsidR="008A74EB" w:rsidRPr="00C9040A">
        <w:rPr>
          <w:rtl/>
        </w:rPr>
        <w:t xml:space="preserve"> ، ج 71 ، ص 72 ، ح 5.</w:t>
      </w:r>
    </w:p>
    <w:tbl>
      <w:tblPr>
        <w:tblStyle w:val="TableGrid"/>
        <w:bidiVisual/>
        <w:tblW w:w="0" w:type="auto"/>
        <w:tblLook w:val="04A0" w:firstRow="1" w:lastRow="0" w:firstColumn="1" w:lastColumn="0" w:noHBand="0" w:noVBand="1"/>
      </w:tblPr>
      <w:tblGrid>
        <w:gridCol w:w="4006"/>
        <w:gridCol w:w="4006"/>
      </w:tblGrid>
      <w:tr w:rsidR="002F00FD" w:rsidTr="002F00FD">
        <w:tc>
          <w:tcPr>
            <w:tcW w:w="4006" w:type="dxa"/>
          </w:tcPr>
          <w:p w:rsidR="002F00FD" w:rsidRDefault="002F00FD" w:rsidP="004A4E41">
            <w:pPr>
              <w:pStyle w:val="libFootnote0"/>
              <w:rPr>
                <w:rtl/>
              </w:rPr>
            </w:pPr>
            <w:r>
              <w:rPr>
                <w:rtl/>
              </w:rPr>
              <w:t>(9).</w:t>
            </w:r>
            <w:r w:rsidRPr="00C9040A">
              <w:rPr>
                <w:rtl/>
              </w:rPr>
              <w:t xml:space="preserve"> في « ص ، ض ، ف » : + « بن إبراهيم »</w:t>
            </w:r>
            <w:r>
              <w:rPr>
                <w:rtl/>
              </w:rPr>
              <w:t>.</w:t>
            </w:r>
          </w:p>
        </w:tc>
        <w:tc>
          <w:tcPr>
            <w:tcW w:w="4006" w:type="dxa"/>
          </w:tcPr>
          <w:p w:rsidR="002F00FD" w:rsidRDefault="002F00FD" w:rsidP="004A4E41">
            <w:pPr>
              <w:pStyle w:val="libFootnote0"/>
              <w:rPr>
                <w:rtl/>
              </w:rPr>
            </w:pPr>
            <w:r>
              <w:rPr>
                <w:rtl/>
              </w:rPr>
              <w:t>(10).</w:t>
            </w:r>
            <w:r w:rsidRPr="00C9040A">
              <w:rPr>
                <w:rtl/>
              </w:rPr>
              <w:t xml:space="preserve"> في الوسائل </w:t>
            </w:r>
            <w:r>
              <w:rPr>
                <w:rtl/>
              </w:rPr>
              <w:t>: -</w:t>
            </w:r>
            <w:r w:rsidRPr="00C9040A">
              <w:rPr>
                <w:rtl/>
              </w:rPr>
              <w:t xml:space="preserve"> « على باب المسجد »</w:t>
            </w:r>
            <w:r>
              <w:rPr>
                <w:rtl/>
              </w:rPr>
              <w:t>.</w:t>
            </w:r>
          </w:p>
        </w:tc>
      </w:tr>
    </w:tbl>
    <w:p w:rsidR="008A74EB" w:rsidRPr="00C9040A" w:rsidRDefault="006C577F" w:rsidP="004A4E41">
      <w:pPr>
        <w:pStyle w:val="libFootnote0"/>
        <w:rPr>
          <w:rtl/>
          <w:lang w:bidi="fa-IR"/>
        </w:rPr>
      </w:pPr>
      <w:r>
        <w:rPr>
          <w:rtl/>
        </w:rPr>
        <w:t>(11).</w:t>
      </w:r>
      <w:r w:rsidR="008A74EB" w:rsidRPr="00C9040A">
        <w:rPr>
          <w:rtl/>
        </w:rPr>
        <w:t xml:space="preserve"> في « </w:t>
      </w:r>
      <w:r w:rsidR="006D3162">
        <w:rPr>
          <w:rtl/>
        </w:rPr>
        <w:t xml:space="preserve">ه </w:t>
      </w:r>
      <w:r w:rsidR="008A74EB" w:rsidRPr="00C9040A">
        <w:rPr>
          <w:rtl/>
        </w:rPr>
        <w:t>، بر ، ب » وحاشية « ف » والوسائل : « مكتئب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في الوسائل </w:t>
      </w:r>
      <w:r w:rsidR="008A74EB">
        <w:rPr>
          <w:rtl/>
        </w:rPr>
        <w:t xml:space="preserve">: </w:t>
      </w:r>
      <w:r w:rsidR="0084262C">
        <w:rPr>
          <w:rtl/>
        </w:rPr>
        <w:t>-</w:t>
      </w:r>
      <w:r w:rsidR="008A74EB" w:rsidRPr="00C9040A">
        <w:rPr>
          <w:rtl/>
        </w:rPr>
        <w:t xml:space="preserve"> « أمير المؤمنين </w:t>
      </w:r>
      <w:r w:rsidR="00117575" w:rsidRPr="00117575">
        <w:rPr>
          <w:rStyle w:val="libFootnoteAlaemChar"/>
          <w:rtl/>
        </w:rPr>
        <w:t>عليه‌السلام</w:t>
      </w:r>
      <w:r w:rsidR="008A74EB" w:rsidRPr="00C9040A">
        <w:rPr>
          <w:rtl/>
        </w:rPr>
        <w:t xml:space="preserve">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قَالَ </w:t>
      </w:r>
      <w:r w:rsidR="006C577F" w:rsidRPr="006C577F">
        <w:rPr>
          <w:rStyle w:val="libFootnotenumChar"/>
          <w:rtl/>
        </w:rPr>
        <w:t>(1)</w:t>
      </w:r>
      <w:r w:rsidRPr="001E6F92">
        <w:rPr>
          <w:rFonts w:hint="cs"/>
          <w:rtl/>
        </w:rPr>
        <w:t xml:space="preserve"> </w:t>
      </w:r>
      <w:r w:rsidRPr="00C9040A">
        <w:rPr>
          <w:rtl/>
          <w:lang w:bidi="fa-IR"/>
        </w:rPr>
        <w:t xml:space="preserve">: يَا أَمِيرَ الْمُؤْمِنِينَ </w:t>
      </w:r>
      <w:r w:rsidR="006C577F" w:rsidRPr="006C577F">
        <w:rPr>
          <w:rStyle w:val="libFootnotenumChar"/>
          <w:rtl/>
        </w:rPr>
        <w:t>(2)</w:t>
      </w:r>
      <w:r w:rsidRPr="00C9040A">
        <w:rPr>
          <w:rtl/>
          <w:lang w:bidi="fa-IR"/>
        </w:rPr>
        <w:t xml:space="preserve"> ، أُصِبْتُ </w:t>
      </w:r>
      <w:r w:rsidR="006C577F" w:rsidRPr="006C577F">
        <w:rPr>
          <w:rStyle w:val="libFootnotenumChar"/>
          <w:rtl/>
        </w:rPr>
        <w:t>(3)</w:t>
      </w:r>
      <w:r w:rsidRPr="00C9040A">
        <w:rPr>
          <w:rtl/>
          <w:lang w:bidi="fa-IR"/>
        </w:rPr>
        <w:t xml:space="preserve"> بِأَبِي </w:t>
      </w:r>
      <w:r w:rsidR="006C577F" w:rsidRPr="006C577F">
        <w:rPr>
          <w:rStyle w:val="libFootnotenumChar"/>
          <w:rtl/>
        </w:rPr>
        <w:t>(4)</w:t>
      </w:r>
      <w:r w:rsidRPr="00C9040A">
        <w:rPr>
          <w:rtl/>
          <w:lang w:bidi="fa-IR"/>
        </w:rPr>
        <w:t xml:space="preserve"> وَأَخِي ، وَأَخْشى </w:t>
      </w:r>
      <w:r w:rsidR="006C577F" w:rsidRPr="006C577F">
        <w:rPr>
          <w:rStyle w:val="libFootnotenumChar"/>
          <w:rtl/>
        </w:rPr>
        <w:t>(5)</w:t>
      </w:r>
      <w:r w:rsidRPr="00C9040A">
        <w:rPr>
          <w:rtl/>
          <w:lang w:bidi="fa-IR"/>
        </w:rPr>
        <w:t xml:space="preserve"> أَنْ أَكُونَ قَدْ </w:t>
      </w:r>
      <w:r w:rsidR="006C577F" w:rsidRPr="006C577F">
        <w:rPr>
          <w:rStyle w:val="libFootnotenumChar"/>
          <w:rtl/>
        </w:rPr>
        <w:t>(6)</w:t>
      </w:r>
      <w:r w:rsidRPr="005B567D">
        <w:rPr>
          <w:rStyle w:val="libFootnotenumChar"/>
          <w:rtl/>
        </w:rPr>
        <w:t xml:space="preserve"> </w:t>
      </w:r>
      <w:r w:rsidRPr="00C9040A">
        <w:rPr>
          <w:rtl/>
          <w:lang w:bidi="fa-IR"/>
        </w:rPr>
        <w:t xml:space="preserve">وَجِلْتُ </w:t>
      </w:r>
      <w:r w:rsidR="006C577F" w:rsidRPr="006C577F">
        <w:rPr>
          <w:rStyle w:val="libFootnotenumChar"/>
          <w:rtl/>
        </w:rPr>
        <w:t>(7)</w:t>
      </w:r>
      <w:r w:rsidRPr="00C9040A">
        <w:rPr>
          <w:rtl/>
          <w:lang w:bidi="fa-IR"/>
        </w:rPr>
        <w:t xml:space="preserve"> ، فَقَالَ لَهُ </w:t>
      </w:r>
      <w:r w:rsidR="006C577F" w:rsidRPr="006C577F">
        <w:rPr>
          <w:rStyle w:val="libFootnotenumChar"/>
          <w:rtl/>
        </w:rPr>
        <w:t>(8)</w:t>
      </w:r>
      <w:r w:rsidRPr="00C9040A">
        <w:rPr>
          <w:rtl/>
          <w:lang w:bidi="fa-IR"/>
        </w:rPr>
        <w:t xml:space="preserve"> أَمِيرُ الْمُؤْمِنِينَ </w:t>
      </w:r>
      <w:r w:rsidRPr="0003660B">
        <w:rPr>
          <w:rStyle w:val="libAlaemChar"/>
          <w:rtl/>
        </w:rPr>
        <w:t>عليه‌السلام</w:t>
      </w:r>
      <w:r w:rsidRPr="00C9040A">
        <w:rPr>
          <w:rtl/>
          <w:lang w:bidi="fa-IR"/>
        </w:rPr>
        <w:t xml:space="preserve"> : عَلَيْكَ بِتَقْوَى اللهِ وَالصَّبْرِ ؛ تَقْدَمْ </w:t>
      </w:r>
      <w:r w:rsidR="006C577F" w:rsidRPr="006C577F">
        <w:rPr>
          <w:rStyle w:val="libFootnotenumChar"/>
          <w:rtl/>
        </w:rPr>
        <w:t>(9)</w:t>
      </w:r>
      <w:r w:rsidRPr="00C9040A">
        <w:rPr>
          <w:rtl/>
          <w:lang w:bidi="fa-IR"/>
        </w:rPr>
        <w:t xml:space="preserve"> عَلَيْهِ غَداً ، وَالصَّبْرُ </w:t>
      </w:r>
      <w:r w:rsidR="006C577F" w:rsidRPr="006C577F">
        <w:rPr>
          <w:rStyle w:val="libFootnotenumChar"/>
          <w:rtl/>
        </w:rPr>
        <w:t>(10)</w:t>
      </w:r>
      <w:r w:rsidRPr="00C9040A">
        <w:rPr>
          <w:rtl/>
          <w:lang w:bidi="fa-IR"/>
        </w:rPr>
        <w:t xml:space="preserve"> فِي الْأُمُورِ بِمَنْزِلَةِ الرَّأْسِ مِنَ الْجَسَدِ ، فَإِذَا فَارَقَ الرَّأْسُ الْجَسَدَ ، فَسَدَ الْجَسَدُ ، وَإِذَا فَارَقَ الصَّبْرُ الْأُمُورَ ، فَسَدَتِ الْأُمُورُ »</w:t>
      </w:r>
      <w:r>
        <w:rPr>
          <w:rtl/>
          <w:lang w:bidi="fa-IR"/>
        </w:rPr>
        <w:t>.</w:t>
      </w:r>
      <w:r w:rsidRPr="00C9040A">
        <w:rPr>
          <w:rtl/>
          <w:lang w:bidi="fa-IR"/>
        </w:rPr>
        <w:t xml:space="preserve"> </w:t>
      </w:r>
      <w:r w:rsidR="006C577F" w:rsidRPr="006C577F">
        <w:rPr>
          <w:rStyle w:val="libFootnotenumChar"/>
          <w:rtl/>
        </w:rPr>
        <w:t>(11)</w:t>
      </w:r>
      <w:r w:rsidRPr="00C9040A">
        <w:rPr>
          <w:rtl/>
          <w:lang w:bidi="fa-IR"/>
        </w:rPr>
        <w:t xml:space="preserve"> ‌</w:t>
      </w:r>
    </w:p>
    <w:p w:rsidR="008A74EB" w:rsidRPr="00C9040A" w:rsidRDefault="008A74EB" w:rsidP="008A74EB">
      <w:pPr>
        <w:pStyle w:val="libNormal"/>
        <w:rPr>
          <w:rtl/>
          <w:lang w:bidi="fa-IR"/>
        </w:rPr>
      </w:pPr>
      <w:r w:rsidRPr="008A47A3">
        <w:rPr>
          <w:rtl/>
        </w:rPr>
        <w:t>1699</w:t>
      </w:r>
      <w:r w:rsidRPr="00261CB0">
        <w:rPr>
          <w:rStyle w:val="libBold2Char"/>
          <w:rtl/>
        </w:rPr>
        <w:t xml:space="preserve"> / 10.</w:t>
      </w:r>
      <w:r w:rsidRPr="00C9040A">
        <w:rPr>
          <w:rtl/>
          <w:lang w:bidi="fa-IR"/>
        </w:rPr>
        <w:t xml:space="preserve"> مُحَمَّدُ بْنُ يَحْيى ، عَنْ أَحْمَدَ بْنِ مُحَمَّدِ بْنِ عِيسى </w:t>
      </w:r>
      <w:r w:rsidR="006C577F" w:rsidRPr="006C577F">
        <w:rPr>
          <w:rStyle w:val="libFootnotenumChar"/>
          <w:rtl/>
        </w:rPr>
        <w:t>(12)</w:t>
      </w:r>
      <w:r w:rsidRPr="00C9040A">
        <w:rPr>
          <w:rtl/>
          <w:lang w:bidi="fa-IR"/>
        </w:rPr>
        <w:t xml:space="preserve"> ، عَنْ عَلِيِّ بْنِ الْحَكَمِ ، عَنْ سَمَاعَةَ بْنِ مِهْرَانَ :</w:t>
      </w:r>
    </w:p>
    <w:p w:rsidR="008A74EB" w:rsidRPr="00C9040A" w:rsidRDefault="008A74EB" w:rsidP="008A74EB">
      <w:pPr>
        <w:pStyle w:val="libNormal"/>
        <w:rPr>
          <w:rtl/>
          <w:lang w:bidi="fa-IR"/>
        </w:rPr>
      </w:pPr>
      <w:r w:rsidRPr="00C9040A">
        <w:rPr>
          <w:rtl/>
          <w:lang w:bidi="fa-IR"/>
        </w:rPr>
        <w:t xml:space="preserve">عَنْ أَبِي الْحَسَنِ </w:t>
      </w:r>
      <w:r w:rsidRPr="0003660B">
        <w:rPr>
          <w:rStyle w:val="libAlaemChar"/>
          <w:rtl/>
        </w:rPr>
        <w:t>عليه‌السلام</w:t>
      </w:r>
      <w:r w:rsidRPr="00C9040A">
        <w:rPr>
          <w:rtl/>
          <w:lang w:bidi="fa-IR"/>
        </w:rPr>
        <w:t xml:space="preserve"> ، قَالَ : قَالَ لِي : « مَا حَبَسَكَ عَنِ الْحَجِّ</w:t>
      </w:r>
      <w:r>
        <w:rPr>
          <w:rtl/>
          <w:lang w:bidi="fa-IR"/>
        </w:rPr>
        <w:t>؟</w:t>
      </w:r>
      <w:r w:rsidRPr="00C9040A">
        <w:rPr>
          <w:rtl/>
          <w:lang w:bidi="fa-IR"/>
        </w:rPr>
        <w:t xml:space="preserve"> » قَالَ : قُلْتُ : جُعِلْتُ فِدَاكَ ، وَقَعَ عَلَيَّ دَيْنٌ كَثِيرٌ ، وَذَهَبَ مَالِي ، وَدَيْنِيَ </w:t>
      </w:r>
      <w:r w:rsidRPr="005B567D">
        <w:rPr>
          <w:rStyle w:val="libFootnotenumChar"/>
          <w:rtl/>
        </w:rPr>
        <w:t>(13)</w:t>
      </w:r>
      <w:r w:rsidRPr="00C9040A">
        <w:rPr>
          <w:rtl/>
          <w:lang w:bidi="fa-IR"/>
        </w:rPr>
        <w:t xml:space="preserve"> الَّذِي قَدْ لَزِمَنِي هُوَ أَعْظَمُ مِنْ ذَهَابِ مَالِي ، فَلَوْ </w:t>
      </w:r>
      <w:r w:rsidRPr="005B567D">
        <w:rPr>
          <w:rStyle w:val="libFootnotenumChar"/>
          <w:rtl/>
        </w:rPr>
        <w:t>(14)</w:t>
      </w:r>
      <w:r w:rsidRPr="00C9040A">
        <w:rPr>
          <w:rtl/>
          <w:lang w:bidi="fa-IR"/>
        </w:rPr>
        <w:t xml:space="preserve"> لَا</w:t>
      </w:r>
      <w:r>
        <w:rPr>
          <w:rFonts w:hint="cs"/>
          <w:rtl/>
          <w:lang w:bidi="fa-IR"/>
        </w:rPr>
        <w:t xml:space="preserve"> </w:t>
      </w:r>
      <w:r w:rsidRPr="00C9040A">
        <w:rPr>
          <w:rtl/>
          <w:lang w:bidi="fa-IR"/>
        </w:rPr>
        <w:t xml:space="preserve">أَنَّ رَجُلاً مِنْ أَصْحَابِنَا أَخْرَجَنِي مَا قَدَرْتُ أَنْ </w:t>
      </w:r>
      <w:r w:rsidRPr="005B567D">
        <w:rPr>
          <w:rStyle w:val="libFootnotenumChar"/>
          <w:rtl/>
        </w:rPr>
        <w:t>(15)</w:t>
      </w:r>
      <w:r w:rsidRPr="00C9040A">
        <w:rPr>
          <w:rtl/>
          <w:lang w:bidi="fa-IR"/>
        </w:rPr>
        <w:t xml:space="preserve"> أَخْرُجَ ، فَقَالَ لِي </w:t>
      </w:r>
      <w:r w:rsidRPr="005B567D">
        <w:rPr>
          <w:rStyle w:val="libFootnotenumChar"/>
          <w:rtl/>
        </w:rPr>
        <w:t>(16)</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 ض » وحاشية « بر » : « فقال »</w:t>
      </w:r>
      <w:r w:rsidR="008A74EB">
        <w:rPr>
          <w:rtl/>
        </w:rPr>
        <w:t>.</w:t>
      </w:r>
      <w:r w:rsidR="008A74EB" w:rsidRPr="00C9040A">
        <w:rPr>
          <w:rtl/>
        </w:rPr>
        <w:t xml:space="preserve"> وفي « </w:t>
      </w:r>
      <w:r w:rsidR="006D3162">
        <w:rPr>
          <w:rtl/>
        </w:rPr>
        <w:t xml:space="preserve">ه </w:t>
      </w:r>
      <w:r w:rsidR="008A74EB" w:rsidRPr="00C9040A">
        <w:rPr>
          <w:rtl/>
        </w:rPr>
        <w:t>» : + « فقال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الوسائل </w:t>
      </w:r>
      <w:r w:rsidR="008A74EB">
        <w:rPr>
          <w:rtl/>
        </w:rPr>
        <w:t xml:space="preserve">: </w:t>
      </w:r>
      <w:r w:rsidR="0084262C">
        <w:rPr>
          <w:rtl/>
        </w:rPr>
        <w:t>-</w:t>
      </w:r>
      <w:r w:rsidR="008A74EB" w:rsidRPr="00C9040A">
        <w:rPr>
          <w:rtl/>
        </w:rPr>
        <w:t xml:space="preserve"> « يا أمير المؤمنين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حاشية « ج » : « قد ا</w:t>
      </w:r>
      <w:r w:rsidR="00CB7777">
        <w:rPr>
          <w:rFonts w:hint="cs"/>
          <w:rtl/>
        </w:rPr>
        <w:t>ُ</w:t>
      </w:r>
      <w:r w:rsidR="008A74EB" w:rsidRPr="00C9040A">
        <w:rPr>
          <w:rtl/>
        </w:rPr>
        <w:t>صبتُ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هكذا في النسخ التي قوبلت والوافي ومرآة العقول والوسائل والبحار. وفي المطبوع : + « وا</w:t>
      </w:r>
      <w:r w:rsidR="00CB7777">
        <w:rPr>
          <w:rFonts w:hint="cs"/>
          <w:rtl/>
        </w:rPr>
        <w:t>ُ</w:t>
      </w:r>
      <w:r w:rsidR="008A74EB" w:rsidRPr="00C9040A">
        <w:rPr>
          <w:rtl/>
        </w:rPr>
        <w:t>مّي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ف » : « وا</w:t>
      </w:r>
      <w:r w:rsidR="00CB7777">
        <w:rPr>
          <w:rFonts w:hint="cs"/>
          <w:rtl/>
        </w:rPr>
        <w:t>ُ</w:t>
      </w:r>
      <w:r w:rsidR="008A74EB" w:rsidRPr="00C9040A">
        <w:rPr>
          <w:rtl/>
        </w:rPr>
        <w:t>ختي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الوسائل </w:t>
      </w:r>
      <w:r w:rsidR="008A74EB">
        <w:rPr>
          <w:rtl/>
        </w:rPr>
        <w:t xml:space="preserve">: </w:t>
      </w:r>
      <w:r w:rsidR="0084262C">
        <w:rPr>
          <w:rtl/>
        </w:rPr>
        <w:t>-</w:t>
      </w:r>
      <w:r w:rsidR="008A74EB" w:rsidRPr="00C9040A">
        <w:rPr>
          <w:rtl/>
        </w:rPr>
        <w:t xml:space="preserve"> « قد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حاشية « ص » : « قد دخلت »</w:t>
      </w:r>
      <w:r w:rsidR="008A74EB">
        <w:rPr>
          <w:rtl/>
        </w:rPr>
        <w:t>.</w:t>
      </w:r>
      <w:r w:rsidR="008A74EB" w:rsidRPr="00C9040A">
        <w:rPr>
          <w:rtl/>
        </w:rPr>
        <w:t xml:space="preserve"> ولعلّ المراد بخشية الوجل خوفه أن يكون قد انشقّ مرارته من شدّة ما أصابه من الألم ؛ أو المعنى : أخشى أن يكون حزني بلغ حدّاً مذموماً شرعاً ، فعبّر عنه بالوجل. راجع : </w:t>
      </w:r>
      <w:r w:rsidR="008A74EB" w:rsidRPr="00993B55">
        <w:rPr>
          <w:rStyle w:val="libFootnoteBoldChar"/>
          <w:rtl/>
        </w:rPr>
        <w:t>الوافي</w:t>
      </w:r>
      <w:r w:rsidR="008A74EB" w:rsidRPr="00C9040A">
        <w:rPr>
          <w:rtl/>
        </w:rPr>
        <w:t xml:space="preserve"> ، ج 4 ، ص 341 ؛ </w:t>
      </w:r>
      <w:r w:rsidR="008A74EB" w:rsidRPr="00993B55">
        <w:rPr>
          <w:rStyle w:val="libFootnoteBoldChar"/>
          <w:rtl/>
        </w:rPr>
        <w:t>مرآة العقول</w:t>
      </w:r>
      <w:r w:rsidR="008A74EB" w:rsidRPr="00C9040A">
        <w:rPr>
          <w:rtl/>
        </w:rPr>
        <w:t xml:space="preserve"> ، ج 8 ، ص 134.</w:t>
      </w:r>
      <w:r w:rsidR="00CB7777">
        <w:rPr>
          <w:rFonts w:hint="cs"/>
          <w:rtl/>
        </w:rPr>
        <w:t xml:space="preserve">          </w:t>
      </w:r>
      <w:r>
        <w:rPr>
          <w:rtl/>
        </w:rPr>
        <w:t>(8).</w:t>
      </w:r>
      <w:r w:rsidR="008A74EB" w:rsidRPr="00C9040A">
        <w:rPr>
          <w:rtl/>
        </w:rPr>
        <w:t xml:space="preserve"> في«</w:t>
      </w:r>
      <w:r w:rsidR="006D3162">
        <w:rPr>
          <w:rtl/>
        </w:rPr>
        <w:t>ه</w:t>
      </w:r>
      <w:r w:rsidR="008A74EB" w:rsidRPr="00C9040A">
        <w:rPr>
          <w:rtl/>
        </w:rPr>
        <w:t>»</w:t>
      </w:r>
      <w:r w:rsidR="008A74EB">
        <w:rPr>
          <w:rtl/>
        </w:rPr>
        <w:t>:</w:t>
      </w:r>
      <w:r w:rsidR="0084262C">
        <w:rPr>
          <w:rtl/>
        </w:rPr>
        <w:t>-</w:t>
      </w:r>
      <w:r w:rsidR="008A74EB" w:rsidRPr="00C9040A">
        <w:rPr>
          <w:rtl/>
        </w:rPr>
        <w:t>«له»</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w:t>
      </w:r>
      <w:r w:rsidR="008A74EB" w:rsidRPr="00993B55">
        <w:rPr>
          <w:rStyle w:val="libFootnoteBoldChar"/>
          <w:rtl/>
        </w:rPr>
        <w:t>مرآة العقول</w:t>
      </w:r>
      <w:r w:rsidR="008A74EB" w:rsidRPr="00C9040A">
        <w:rPr>
          <w:rtl/>
        </w:rPr>
        <w:t xml:space="preserve"> ، ج 8 ، ص 134 : « تقدّم ؛ على بناء المعلوم من باب علم ، بالجزم جزاء للأمر في « عليك »</w:t>
      </w:r>
      <w:r w:rsidR="008A74EB">
        <w:rPr>
          <w:rtl/>
        </w:rPr>
        <w:t>.</w:t>
      </w:r>
      <w:r w:rsidR="008A74EB" w:rsidRPr="00C9040A">
        <w:rPr>
          <w:rtl/>
        </w:rPr>
        <w:t xml:space="preserve"> أو بالرفع استينافاً بيانيّاً »</w:t>
      </w:r>
      <w:r w:rsidR="008A74EB">
        <w:rPr>
          <w:rtl/>
        </w:rPr>
        <w:t>.</w:t>
      </w:r>
      <w:r w:rsidR="00CB7777">
        <w:rPr>
          <w:rFonts w:hint="cs"/>
          <w:rtl/>
        </w:rPr>
        <w:t xml:space="preserve">                                       </w:t>
      </w:r>
      <w:r>
        <w:rPr>
          <w:rtl/>
        </w:rPr>
        <w:t>(10).</w:t>
      </w:r>
      <w:r w:rsidR="008A74EB" w:rsidRPr="00C9040A">
        <w:rPr>
          <w:rtl/>
        </w:rPr>
        <w:t xml:space="preserve"> في « </w:t>
      </w:r>
      <w:r w:rsidR="006D3162">
        <w:rPr>
          <w:rtl/>
        </w:rPr>
        <w:t xml:space="preserve">ه </w:t>
      </w:r>
      <w:r w:rsidR="008A74EB" w:rsidRPr="00C9040A">
        <w:rPr>
          <w:rtl/>
        </w:rPr>
        <w:t>» : « فالصبر »</w:t>
      </w:r>
      <w:r w:rsidR="008A74EB">
        <w:rPr>
          <w:rtl/>
        </w:rPr>
        <w:t>.</w:t>
      </w:r>
    </w:p>
    <w:p w:rsidR="008A74EB" w:rsidRPr="004A4E41" w:rsidRDefault="006C577F" w:rsidP="004A4E41">
      <w:pPr>
        <w:pStyle w:val="libFootnote0"/>
        <w:rPr>
          <w:rStyle w:val="libFootnote0Char"/>
          <w:rtl/>
        </w:rPr>
      </w:pPr>
      <w:r>
        <w:rPr>
          <w:rtl/>
        </w:rPr>
        <w:t>(11).</w:t>
      </w:r>
      <w:r w:rsidR="008A74EB" w:rsidRPr="00C9040A">
        <w:rPr>
          <w:rtl/>
        </w:rPr>
        <w:t xml:space="preserve"> </w:t>
      </w:r>
      <w:r w:rsidR="008A74EB" w:rsidRPr="00993B55">
        <w:rPr>
          <w:rStyle w:val="libFootnoteBoldChar"/>
          <w:rtl/>
        </w:rPr>
        <w:t>نهج البلاغة</w:t>
      </w:r>
      <w:r w:rsidR="008A74EB" w:rsidRPr="00C9040A">
        <w:rPr>
          <w:rtl/>
        </w:rPr>
        <w:t xml:space="preserve"> ، ص 482 ، الحكمة 82 ؛ </w:t>
      </w:r>
      <w:r w:rsidR="008A74EB" w:rsidRPr="00993B55">
        <w:rPr>
          <w:rStyle w:val="libFootnoteBoldChar"/>
          <w:rtl/>
        </w:rPr>
        <w:t>خصائص الأئمّة</w:t>
      </w:r>
      <w:r w:rsidR="008A74EB" w:rsidRPr="00C9040A">
        <w:rPr>
          <w:rtl/>
        </w:rPr>
        <w:t xml:space="preserve"> </w:t>
      </w:r>
      <w:r w:rsidR="00117575" w:rsidRPr="00117575">
        <w:rPr>
          <w:rStyle w:val="libFootnoteAlaemChar"/>
          <w:rtl/>
        </w:rPr>
        <w:t>عليهم‌السلام</w:t>
      </w:r>
      <w:r w:rsidR="008A74EB" w:rsidRPr="00C9040A">
        <w:rPr>
          <w:rtl/>
        </w:rPr>
        <w:t xml:space="preserve"> ، ص 94 ، مرسلاً عن عليّ </w:t>
      </w:r>
      <w:r w:rsidR="00117575" w:rsidRPr="00117575">
        <w:rPr>
          <w:rStyle w:val="libFootnoteAlaemChar"/>
          <w:rtl/>
        </w:rPr>
        <w:t xml:space="preserve">عليه‌السلام </w:t>
      </w:r>
      <w:r w:rsidR="008A74EB" w:rsidRPr="00C9040A">
        <w:rPr>
          <w:rtl/>
        </w:rPr>
        <w:t xml:space="preserve">، وفيهما هكذا : « عليكم بالصبر ، فإنّ الصبر من الإيمان كالرأس من الجسد ، ولا خير في جسد لا رأس معه » مع زيادة في أوّله وآخره </w:t>
      </w:r>
      <w:r w:rsidR="006C40EB">
        <w:rPr>
          <w:rFonts w:hint="cs"/>
          <w:rtl/>
        </w:rPr>
        <w:t>.</w:t>
      </w:r>
      <w:r w:rsidR="008A74EB" w:rsidRPr="00993B55">
        <w:rPr>
          <w:rStyle w:val="libFootnoteBoldChar"/>
          <w:rtl/>
        </w:rPr>
        <w:t>الوافي</w:t>
      </w:r>
      <w:r w:rsidR="008A74EB" w:rsidRPr="00C9040A">
        <w:rPr>
          <w:rtl/>
        </w:rPr>
        <w:t xml:space="preserve"> ، ج 4 ، ص 340 ، ح 2077 ؛ </w:t>
      </w:r>
      <w:r w:rsidR="008A74EB" w:rsidRPr="00993B55">
        <w:rPr>
          <w:rStyle w:val="libFootnoteBoldChar"/>
          <w:rtl/>
        </w:rPr>
        <w:t>الوسائل</w:t>
      </w:r>
      <w:r w:rsidR="008A74EB" w:rsidRPr="00C9040A">
        <w:rPr>
          <w:rtl/>
        </w:rPr>
        <w:t xml:space="preserve"> ، ج 3 ، ص 255 ، ح 3561 ؛ </w:t>
      </w:r>
      <w:r w:rsidR="008A74EB" w:rsidRPr="00993B55">
        <w:rPr>
          <w:rStyle w:val="libFootnoteBoldChar"/>
          <w:rtl/>
        </w:rPr>
        <w:t>البحار</w:t>
      </w:r>
      <w:r w:rsidR="008A74EB" w:rsidRPr="00C9040A">
        <w:rPr>
          <w:rtl/>
        </w:rPr>
        <w:t xml:space="preserve"> ، ج 42 ، ص 188 ، ح 6 ؛ وج 71 ، ص 73 ، ح 6.</w:t>
      </w:r>
      <w:r w:rsidR="006C40EB">
        <w:rPr>
          <w:rFonts w:hint="cs"/>
          <w:rtl/>
        </w:rPr>
        <w:t xml:space="preserve">          </w:t>
      </w:r>
      <w:r>
        <w:rPr>
          <w:rtl/>
        </w:rPr>
        <w:t>(12).</w:t>
      </w:r>
      <w:r w:rsidR="008A74EB" w:rsidRPr="00C9040A">
        <w:rPr>
          <w:rtl/>
        </w:rPr>
        <w:t xml:space="preserve"> في«ج،ز،ص،ف،بر،بس،بف»</w:t>
      </w:r>
      <w:r w:rsidR="008A74EB">
        <w:rPr>
          <w:rtl/>
        </w:rPr>
        <w:t>:</w:t>
      </w:r>
      <w:r w:rsidR="0084262C">
        <w:rPr>
          <w:rtl/>
        </w:rPr>
        <w:t>-</w:t>
      </w:r>
      <w:r w:rsidR="008A74EB" w:rsidRPr="00C9040A">
        <w:rPr>
          <w:rtl/>
        </w:rPr>
        <w:t>«بن عيسى»</w:t>
      </w:r>
      <w:r w:rsidR="008A74EB">
        <w:rPr>
          <w:rtl/>
        </w:rPr>
        <w:t>.</w:t>
      </w:r>
    </w:p>
    <w:tbl>
      <w:tblPr>
        <w:tblStyle w:val="TableGrid"/>
        <w:bidiVisual/>
        <w:tblW w:w="0" w:type="auto"/>
        <w:tblLook w:val="04A0" w:firstRow="1" w:lastRow="0" w:firstColumn="1" w:lastColumn="0" w:noHBand="0" w:noVBand="1"/>
      </w:tblPr>
      <w:tblGrid>
        <w:gridCol w:w="4006"/>
        <w:gridCol w:w="4006"/>
      </w:tblGrid>
      <w:tr w:rsidR="00CD71A0" w:rsidTr="00CD71A0">
        <w:tc>
          <w:tcPr>
            <w:tcW w:w="4006" w:type="dxa"/>
          </w:tcPr>
          <w:p w:rsidR="00CD71A0" w:rsidRDefault="00CD71A0" w:rsidP="004A4E41">
            <w:pPr>
              <w:pStyle w:val="libFootnote0"/>
              <w:rPr>
                <w:rtl/>
              </w:rPr>
            </w:pPr>
            <w:r>
              <w:rPr>
                <w:rtl/>
              </w:rPr>
              <w:t>(13)</w:t>
            </w:r>
            <w:r>
              <w:rPr>
                <w:rFonts w:hint="cs"/>
                <w:rtl/>
              </w:rPr>
              <w:t>.</w:t>
            </w:r>
            <w:r w:rsidRPr="00C9040A">
              <w:rPr>
                <w:rtl/>
              </w:rPr>
              <w:t xml:space="preserve"> في«ج»وحاشية«بر»:«والدين»</w:t>
            </w:r>
            <w:r>
              <w:rPr>
                <w:rtl/>
              </w:rPr>
              <w:t>.</w:t>
            </w:r>
          </w:p>
        </w:tc>
        <w:tc>
          <w:tcPr>
            <w:tcW w:w="4006" w:type="dxa"/>
          </w:tcPr>
          <w:p w:rsidR="00CD71A0" w:rsidRDefault="00CD71A0" w:rsidP="004A4E41">
            <w:pPr>
              <w:pStyle w:val="libFootnote0"/>
              <w:rPr>
                <w:rtl/>
              </w:rPr>
            </w:pPr>
            <w:r>
              <w:rPr>
                <w:rtl/>
              </w:rPr>
              <w:t>(14)</w:t>
            </w:r>
            <w:r>
              <w:rPr>
                <w:rFonts w:hint="cs"/>
                <w:rtl/>
              </w:rPr>
              <w:t>.</w:t>
            </w:r>
            <w:r w:rsidRPr="00C9040A">
              <w:rPr>
                <w:rtl/>
              </w:rPr>
              <w:t xml:space="preserve"> في«</w:t>
            </w:r>
            <w:r>
              <w:rPr>
                <w:rtl/>
              </w:rPr>
              <w:t>ه</w:t>
            </w:r>
            <w:r w:rsidRPr="00C9040A">
              <w:rPr>
                <w:rtl/>
              </w:rPr>
              <w:t>»:«ولو»</w:t>
            </w:r>
            <w:r>
              <w:rPr>
                <w:rtl/>
              </w:rPr>
              <w:t>.</w:t>
            </w:r>
          </w:p>
        </w:tc>
      </w:tr>
      <w:tr w:rsidR="00CD71A0" w:rsidTr="00CD71A0">
        <w:tc>
          <w:tcPr>
            <w:tcW w:w="4006" w:type="dxa"/>
          </w:tcPr>
          <w:p w:rsidR="00CD71A0" w:rsidRDefault="00CD71A0" w:rsidP="004A4E41">
            <w:pPr>
              <w:pStyle w:val="libFootnote0"/>
              <w:rPr>
                <w:rtl/>
              </w:rPr>
            </w:pPr>
            <w:r>
              <w:rPr>
                <w:rtl/>
              </w:rPr>
              <w:t>(15)</w:t>
            </w:r>
            <w:r>
              <w:rPr>
                <w:rFonts w:hint="cs"/>
                <w:rtl/>
              </w:rPr>
              <w:t>.</w:t>
            </w:r>
            <w:r w:rsidRPr="00C9040A">
              <w:rPr>
                <w:rtl/>
              </w:rPr>
              <w:t xml:space="preserve"> في«د،بس»</w:t>
            </w:r>
            <w:r>
              <w:rPr>
                <w:rtl/>
              </w:rPr>
              <w:t>:-</w:t>
            </w:r>
            <w:r w:rsidRPr="00C9040A">
              <w:rPr>
                <w:rtl/>
              </w:rPr>
              <w:t>«أن»</w:t>
            </w:r>
            <w:r>
              <w:rPr>
                <w:rtl/>
              </w:rPr>
              <w:t>.</w:t>
            </w:r>
          </w:p>
        </w:tc>
        <w:tc>
          <w:tcPr>
            <w:tcW w:w="4006" w:type="dxa"/>
          </w:tcPr>
          <w:p w:rsidR="00CD71A0" w:rsidRDefault="00CD71A0" w:rsidP="004A4E41">
            <w:pPr>
              <w:pStyle w:val="libFootnote0"/>
              <w:rPr>
                <w:rtl/>
              </w:rPr>
            </w:pPr>
            <w:r>
              <w:rPr>
                <w:rtl/>
              </w:rPr>
              <w:t>(16)</w:t>
            </w:r>
            <w:r>
              <w:rPr>
                <w:rFonts w:hint="cs"/>
                <w:rtl/>
              </w:rPr>
              <w:t>.</w:t>
            </w:r>
            <w:r w:rsidRPr="00C9040A">
              <w:rPr>
                <w:rtl/>
              </w:rPr>
              <w:t xml:space="preserve"> في«</w:t>
            </w:r>
            <w:r>
              <w:rPr>
                <w:rtl/>
              </w:rPr>
              <w:t>ه</w:t>
            </w:r>
            <w:r w:rsidRPr="00C9040A">
              <w:rPr>
                <w:rtl/>
              </w:rPr>
              <w:t>»والوسائل</w:t>
            </w:r>
            <w:r>
              <w:rPr>
                <w:rtl/>
              </w:rPr>
              <w:t>:-</w:t>
            </w:r>
            <w:r w:rsidRPr="00C9040A">
              <w:rPr>
                <w:rtl/>
              </w:rPr>
              <w:t>«لي»</w:t>
            </w:r>
            <w:r>
              <w:rPr>
                <w:rtl/>
              </w:rPr>
              <w:t>.</w:t>
            </w:r>
          </w:p>
        </w:tc>
      </w:tr>
    </w:tbl>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 إِنْ تَصْبِرْ تُغْتَبَطْ </w:t>
      </w:r>
      <w:r w:rsidR="006C577F" w:rsidRPr="006C577F">
        <w:rPr>
          <w:rStyle w:val="libFootnotenumChar"/>
          <w:rtl/>
        </w:rPr>
        <w:t>(1)</w:t>
      </w:r>
      <w:r w:rsidR="00BF5947">
        <w:rPr>
          <w:rtl/>
          <w:lang w:bidi="fa-IR"/>
        </w:rPr>
        <w:t>، وَإِل</w:t>
      </w:r>
      <w:r w:rsidR="00BF5947">
        <w:rPr>
          <w:rFonts w:hint="cs"/>
          <w:rtl/>
          <w:lang w:bidi="fa-IR"/>
        </w:rPr>
        <w:t>َّ</w:t>
      </w:r>
      <w:r w:rsidR="00BF5947">
        <w:rPr>
          <w:rtl/>
          <w:lang w:bidi="fa-IR"/>
        </w:rPr>
        <w:t>ا</w:t>
      </w:r>
      <w:r w:rsidRPr="00C9040A">
        <w:rPr>
          <w:rtl/>
          <w:lang w:bidi="fa-IR"/>
        </w:rPr>
        <w:t xml:space="preserve"> تَصْبِرْ يُنْفِذِ اللهُ مَقَادِيرَهُ ، رَاضِياً كُنْتَ </w:t>
      </w:r>
      <w:r w:rsidR="006C577F" w:rsidRPr="006C577F">
        <w:rPr>
          <w:rStyle w:val="libFootnotenumChar"/>
          <w:rtl/>
        </w:rPr>
        <w:t>(2)</w:t>
      </w:r>
      <w:r w:rsidRPr="00C9040A">
        <w:rPr>
          <w:rtl/>
          <w:lang w:bidi="fa-IR"/>
        </w:rPr>
        <w:t xml:space="preserve"> أَمْ كَارِهاً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AF3651">
        <w:rPr>
          <w:rtl/>
        </w:rPr>
        <w:t>1700</w:t>
      </w:r>
      <w:r w:rsidRPr="00261CB0">
        <w:rPr>
          <w:rStyle w:val="libBold2Char"/>
          <w:rtl/>
        </w:rPr>
        <w:t xml:space="preserve"> / 11.</w:t>
      </w:r>
      <w:r w:rsidRPr="00C9040A">
        <w:rPr>
          <w:rtl/>
          <w:lang w:bidi="fa-IR"/>
        </w:rPr>
        <w:t xml:space="preserve"> مُحَمَّدُ بْنُ يَحْيى ، عَنْ أَحْمَدَ بْنِ مُحَمَّدٍ ، عَنِ ابْنِ سِنَانٍ ، عَنْ أَبِي الْجَارُودِ ، عَنِ الْأَصْبَغِ ، قَالَ :</w:t>
      </w:r>
    </w:p>
    <w:p w:rsidR="008A74EB" w:rsidRPr="00C9040A" w:rsidRDefault="008A74EB" w:rsidP="008A74EB">
      <w:pPr>
        <w:pStyle w:val="libNormal"/>
        <w:rPr>
          <w:rtl/>
          <w:lang w:bidi="fa-IR"/>
        </w:rPr>
      </w:pPr>
      <w:r w:rsidRPr="00C9040A">
        <w:rPr>
          <w:rtl/>
          <w:lang w:bidi="fa-IR"/>
        </w:rPr>
        <w:t>قَالَ أَمِيرُ الْمُؤْمِنِينَ صَلَوَاتُ اللهِ عَلَيْهِ : « الصَّبْرُ صَبْرَانِ : صَبْرٌ عِنْدَ الْمُصِيبَةِ حَسَنٌ جَمِيلٌ ، وَأَحْسَنُ مِنْ ذلِكَ الصَّبْرُ عِنْدَ مَا حَرَّمَ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عَلَيْكَ ؛ وَالذِّكْرُ ذِكْرَانِ : ذِكْرُ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عِنْدَ الْمُصِيبَةِ ، وَأَفْضَلُ مِنْ ذلِكَ ذِكْرُ اللهِ عِنْدَ مَا حَرَّمَ </w:t>
      </w:r>
      <w:r w:rsidR="006C577F" w:rsidRPr="006C577F">
        <w:rPr>
          <w:rStyle w:val="libFootnotenumChar"/>
          <w:rtl/>
        </w:rPr>
        <w:t>(4)</w:t>
      </w:r>
      <w:r w:rsidRPr="00C9040A">
        <w:rPr>
          <w:rtl/>
          <w:lang w:bidi="fa-IR"/>
        </w:rPr>
        <w:t xml:space="preserve"> عَلَيْكَ ، فَيَكُونُ </w:t>
      </w:r>
      <w:r w:rsidR="006C577F" w:rsidRPr="006C577F">
        <w:rPr>
          <w:rStyle w:val="libFootnotenumChar"/>
          <w:rtl/>
        </w:rPr>
        <w:t>(5)</w:t>
      </w:r>
      <w:r w:rsidRPr="00C9040A">
        <w:rPr>
          <w:rtl/>
          <w:lang w:bidi="fa-IR"/>
        </w:rPr>
        <w:t xml:space="preserve"> حَاجِزاً »</w:t>
      </w:r>
      <w:r>
        <w:rPr>
          <w:rtl/>
          <w:lang w:bidi="fa-IR"/>
        </w:rPr>
        <w:t>.</w:t>
      </w:r>
      <w:r w:rsidR="006C577F" w:rsidRPr="006C577F">
        <w:rPr>
          <w:rStyle w:val="libFootnotenumChar"/>
          <w:rtl/>
        </w:rPr>
        <w:t>(6)</w:t>
      </w:r>
      <w:r w:rsidRPr="00C9040A">
        <w:rPr>
          <w:rtl/>
          <w:lang w:bidi="fa-IR"/>
        </w:rPr>
        <w:t>‌</w:t>
      </w:r>
    </w:p>
    <w:p w:rsidR="008A74EB" w:rsidRPr="00C9040A" w:rsidRDefault="008A74EB" w:rsidP="008A74EB">
      <w:pPr>
        <w:pStyle w:val="libNormal"/>
        <w:rPr>
          <w:rtl/>
          <w:lang w:bidi="fa-IR"/>
        </w:rPr>
      </w:pPr>
      <w:r w:rsidRPr="00AF3651">
        <w:rPr>
          <w:rtl/>
        </w:rPr>
        <w:t>1701</w:t>
      </w:r>
      <w:r w:rsidRPr="00261CB0">
        <w:rPr>
          <w:rStyle w:val="libBold2Char"/>
          <w:rtl/>
        </w:rPr>
        <w:t xml:space="preserve"> / 12.</w:t>
      </w:r>
      <w:r w:rsidRPr="00C9040A">
        <w:rPr>
          <w:rtl/>
          <w:lang w:bidi="fa-IR"/>
        </w:rPr>
        <w:t xml:space="preserve"> أَبُو عَلِيٍّ الْأَشْعَرِيُّ ، عَنِ الْحَسَنِ بْنِ عَلِيٍّ الْكُوفِيِّ ، عَنِ الْعَبَّاسِ بْنِ عَامِرٍ ، عَنِ الْعَرْزَمِيِّ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سَيَأْتِي عَلَى النَّاسِ زَمَانٌ لَايُنَالُ الْمُلْكُ فِيهِ </w:t>
      </w:r>
      <w:r w:rsidR="006C577F" w:rsidRPr="006C577F">
        <w:rPr>
          <w:rStyle w:val="libFootnotenumChar"/>
          <w:rtl/>
        </w:rPr>
        <w:t>(7)</w:t>
      </w:r>
      <w:r w:rsidR="00BF5947">
        <w:rPr>
          <w:rtl/>
          <w:lang w:bidi="fa-IR"/>
        </w:rPr>
        <w:t xml:space="preserve"> إِل</w:t>
      </w:r>
      <w:r w:rsidR="00BF5947">
        <w:rPr>
          <w:rFonts w:hint="cs"/>
          <w:rtl/>
          <w:lang w:bidi="fa-IR"/>
        </w:rPr>
        <w:t>َّ</w:t>
      </w:r>
      <w:r w:rsidR="00BF5947">
        <w:rPr>
          <w:rtl/>
          <w:lang w:bidi="fa-IR"/>
        </w:rPr>
        <w:t>ا</w:t>
      </w:r>
      <w:r w:rsidRPr="00C9040A">
        <w:rPr>
          <w:rtl/>
          <w:lang w:bidi="fa-IR"/>
        </w:rPr>
        <w:t xml:space="preserve"> بِالْقَتْلِ وَالتَّجَبُّرِ </w:t>
      </w:r>
      <w:r w:rsidR="006C577F" w:rsidRPr="006C577F">
        <w:rPr>
          <w:rStyle w:val="libFootnotenumChar"/>
          <w:rtl/>
        </w:rPr>
        <w:t>(8)</w:t>
      </w:r>
      <w:r w:rsidR="00BF5947">
        <w:rPr>
          <w:rtl/>
          <w:lang w:bidi="fa-IR"/>
        </w:rPr>
        <w:t xml:space="preserve"> ، وَلَا الْغِنى إِل</w:t>
      </w:r>
      <w:r w:rsidR="00BF5947">
        <w:rPr>
          <w:rFonts w:hint="cs"/>
          <w:rtl/>
          <w:lang w:bidi="fa-IR"/>
        </w:rPr>
        <w:t>َّ</w:t>
      </w:r>
      <w:r w:rsidR="00BF5947">
        <w:rPr>
          <w:rtl/>
          <w:lang w:bidi="fa-IR"/>
        </w:rPr>
        <w:t>ا</w:t>
      </w:r>
      <w:r w:rsidRPr="00C9040A">
        <w:rPr>
          <w:rtl/>
          <w:lang w:bidi="fa-IR"/>
        </w:rPr>
        <w:t xml:space="preserve"> بِالْغَصْبِ وَالْبُ</w:t>
      </w:r>
      <w:r w:rsidR="00BF5947">
        <w:rPr>
          <w:rtl/>
          <w:lang w:bidi="fa-IR"/>
        </w:rPr>
        <w:t>خْلِ ، وَلَا الْمَحَبَّةُ إِل</w:t>
      </w:r>
      <w:r w:rsidR="00BF5947">
        <w:rPr>
          <w:rFonts w:hint="cs"/>
          <w:rtl/>
          <w:lang w:bidi="fa-IR"/>
        </w:rPr>
        <w:t>َّ</w:t>
      </w:r>
      <w:r w:rsidR="00BF5947">
        <w:rPr>
          <w:rtl/>
          <w:lang w:bidi="fa-IR"/>
        </w:rPr>
        <w:t>ا</w:t>
      </w:r>
      <w:r w:rsidRPr="00C9040A">
        <w:rPr>
          <w:rtl/>
          <w:lang w:bidi="fa-IR"/>
        </w:rPr>
        <w:t xml:space="preserve"> بِاسْتِخْرَاجِ </w:t>
      </w:r>
      <w:r w:rsidR="006C577F" w:rsidRPr="006C577F">
        <w:rPr>
          <w:rStyle w:val="libFootnotenumChar"/>
          <w:rtl/>
        </w:rPr>
        <w:t>(9)</w:t>
      </w:r>
      <w:r w:rsidRPr="00C9040A">
        <w:rPr>
          <w:rtl/>
          <w:lang w:bidi="fa-IR"/>
        </w:rPr>
        <w:t xml:space="preserve"> الدِّينِ وَاتِّبَاعِ الْهَوى ، فَمَنْ أَدْرَكَ ذلِكَ الزَّمَانَ ، فَصَبَرَ عَلَى الْفَقْرِ وَهُوَ‌</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 ف » : « تعبّط »</w:t>
      </w:r>
      <w:r w:rsidR="008A74EB">
        <w:rPr>
          <w:rtl/>
        </w:rPr>
        <w:t>.</w:t>
      </w:r>
      <w:r w:rsidR="008A74EB" w:rsidRPr="00C9040A">
        <w:rPr>
          <w:rtl/>
        </w:rPr>
        <w:t xml:space="preserve"> </w:t>
      </w:r>
      <w:r w:rsidR="008A74EB">
        <w:rPr>
          <w:rtl/>
        </w:rPr>
        <w:t>و «</w:t>
      </w:r>
      <w:r w:rsidR="008A74EB" w:rsidRPr="00C9040A">
        <w:rPr>
          <w:rtl/>
        </w:rPr>
        <w:t xml:space="preserve"> الغبطة » : أن تتمنّى مثلَ حال المغبوط من غير أن تريد زوالها عنه ، وليس بحسد. </w:t>
      </w:r>
      <w:r w:rsidR="008A74EB" w:rsidRPr="00993B55">
        <w:rPr>
          <w:rStyle w:val="libFootnoteBoldChar"/>
          <w:rtl/>
        </w:rPr>
        <w:t>الصحاح</w:t>
      </w:r>
      <w:r w:rsidR="008A74EB" w:rsidRPr="00C9040A">
        <w:rPr>
          <w:rtl/>
        </w:rPr>
        <w:t xml:space="preserve"> ، ج 3 ، ص 1146 ( غبط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w:t>
      </w:r>
      <w:r w:rsidR="006D3162">
        <w:rPr>
          <w:rtl/>
        </w:rPr>
        <w:t xml:space="preserve">ه </w:t>
      </w:r>
      <w:r w:rsidR="008A74EB" w:rsidRPr="00C9040A">
        <w:rPr>
          <w:rtl/>
        </w:rPr>
        <w:t>» : « أنت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w:t>
      </w:r>
      <w:r w:rsidR="008A74EB" w:rsidRPr="00993B55">
        <w:rPr>
          <w:rStyle w:val="libFootnoteBoldChar"/>
          <w:rtl/>
        </w:rPr>
        <w:t>الوافي</w:t>
      </w:r>
      <w:r w:rsidR="008A74EB" w:rsidRPr="00C9040A">
        <w:rPr>
          <w:rtl/>
        </w:rPr>
        <w:t>،ج4،ص341،ح2078؛</w:t>
      </w:r>
      <w:r w:rsidR="008A74EB" w:rsidRPr="00993B55">
        <w:rPr>
          <w:rStyle w:val="libFootnoteBoldChar"/>
          <w:rtl/>
        </w:rPr>
        <w:t>الوسائل</w:t>
      </w:r>
      <w:r w:rsidR="008A74EB" w:rsidRPr="00C9040A">
        <w:rPr>
          <w:rtl/>
        </w:rPr>
        <w:t>،ج3،ص258،ح3571،من قوله:«فقال لي:إن تصبر تغتبط»؛</w:t>
      </w:r>
      <w:r w:rsidR="008A74EB" w:rsidRPr="00993B55">
        <w:rPr>
          <w:rStyle w:val="libFootnoteBoldChar"/>
          <w:rtl/>
        </w:rPr>
        <w:t>البحار</w:t>
      </w:r>
      <w:r w:rsidR="00BF5947">
        <w:rPr>
          <w:rStyle w:val="libFootnoteBoldChar"/>
          <w:rFonts w:hint="cs"/>
          <w:rtl/>
        </w:rPr>
        <w:t xml:space="preserve"> </w:t>
      </w:r>
      <w:r w:rsidR="008A74EB" w:rsidRPr="00C9040A">
        <w:rPr>
          <w:rtl/>
        </w:rPr>
        <w:t>،ج71،ص74،ح7.</w:t>
      </w:r>
      <w:r w:rsidR="004E0CFE">
        <w:rPr>
          <w:rFonts w:hint="cs"/>
          <w:rtl/>
        </w:rPr>
        <w:t xml:space="preserve">                                 </w:t>
      </w:r>
      <w:r w:rsidR="004E0CFE" w:rsidRPr="004E0CFE">
        <w:rPr>
          <w:rtl/>
        </w:rPr>
        <w:t xml:space="preserve"> </w:t>
      </w:r>
      <w:r w:rsidR="004E0CFE">
        <w:rPr>
          <w:rtl/>
        </w:rPr>
        <w:t>(4).</w:t>
      </w:r>
      <w:r w:rsidR="004E0CFE" w:rsidRPr="00C9040A">
        <w:rPr>
          <w:rtl/>
        </w:rPr>
        <w:t xml:space="preserve"> في«ج،ز،ص،ض،ف»والوسائل:+«الله»</w:t>
      </w:r>
      <w:r w:rsidR="004E0CFE">
        <w:rPr>
          <w:rtl/>
        </w:rPr>
        <w:t>.</w:t>
      </w:r>
    </w:p>
    <w:p w:rsidR="008A74EB" w:rsidRPr="00C9040A" w:rsidRDefault="006C577F" w:rsidP="004A4E41">
      <w:pPr>
        <w:pStyle w:val="libFootnote0"/>
        <w:rPr>
          <w:rtl/>
          <w:lang w:bidi="fa-IR"/>
        </w:rPr>
      </w:pPr>
      <w:r>
        <w:rPr>
          <w:rtl/>
        </w:rPr>
        <w:t>(5).</w:t>
      </w:r>
      <w:r w:rsidR="008A74EB" w:rsidRPr="00C9040A">
        <w:rPr>
          <w:rtl/>
        </w:rPr>
        <w:t xml:space="preserve"> في حاشية « بر » : + « الله »</w:t>
      </w:r>
      <w:r w:rsidR="008A74EB">
        <w:rPr>
          <w:rtl/>
        </w:rPr>
        <w:t>.</w:t>
      </w:r>
      <w:r w:rsidR="008A74EB" w:rsidRPr="00C9040A">
        <w:rPr>
          <w:rtl/>
        </w:rPr>
        <w:t xml:space="preserve"> وفي تحف العقول : + « ذلك »</w:t>
      </w:r>
      <w:r w:rsidR="008A74EB">
        <w:rPr>
          <w:rtl/>
        </w:rPr>
        <w:t>.</w:t>
      </w:r>
    </w:p>
    <w:p w:rsidR="008A74EB" w:rsidRPr="00C9040A" w:rsidRDefault="006C577F" w:rsidP="00AC2E2F">
      <w:pPr>
        <w:pStyle w:val="libFootnote0"/>
        <w:rPr>
          <w:rtl/>
          <w:lang w:bidi="fa-IR"/>
        </w:rPr>
      </w:pPr>
      <w:r>
        <w:rPr>
          <w:rtl/>
        </w:rPr>
        <w:t>(6).</w:t>
      </w:r>
      <w:r w:rsidR="008A74EB">
        <w:rPr>
          <w:rtl/>
        </w:rPr>
        <w:t xml:space="preserve"> </w:t>
      </w:r>
      <w:r w:rsidR="008A74EB" w:rsidRPr="00993B55">
        <w:rPr>
          <w:rStyle w:val="libFootnoteBoldChar"/>
          <w:rtl/>
        </w:rPr>
        <w:t>تحف العقول</w:t>
      </w:r>
      <w:r w:rsidR="008A74EB" w:rsidRPr="00C9040A">
        <w:rPr>
          <w:rtl/>
        </w:rPr>
        <w:t xml:space="preserve"> ، ص 216 ؛ و</w:t>
      </w:r>
      <w:r w:rsidR="008A74EB" w:rsidRPr="00993B55">
        <w:rPr>
          <w:rStyle w:val="libFootnoteBoldChar"/>
          <w:rtl/>
        </w:rPr>
        <w:t>الاختصاص</w:t>
      </w:r>
      <w:r w:rsidR="008A74EB" w:rsidRPr="00C9040A">
        <w:rPr>
          <w:rtl/>
        </w:rPr>
        <w:t xml:space="preserve"> ، ص 218 ، مرسلاً ؛ </w:t>
      </w:r>
      <w:r w:rsidR="008A74EB" w:rsidRPr="00993B55">
        <w:rPr>
          <w:rStyle w:val="libFootnoteBoldChar"/>
          <w:rtl/>
        </w:rPr>
        <w:t>الفقيه</w:t>
      </w:r>
      <w:r w:rsidR="008A74EB" w:rsidRPr="00C9040A">
        <w:rPr>
          <w:rtl/>
        </w:rPr>
        <w:t xml:space="preserve"> ، ج 1 ، ص 187 ، ح 565 ، مرسلاً عن الصادق </w:t>
      </w:r>
      <w:r w:rsidR="00117575" w:rsidRPr="00117575">
        <w:rPr>
          <w:rStyle w:val="libFootnoteAlaemChar"/>
          <w:rtl/>
        </w:rPr>
        <w:t>عليه‌السلام</w:t>
      </w:r>
      <w:r w:rsidR="008A74EB" w:rsidRPr="00C9040A">
        <w:rPr>
          <w:rtl/>
        </w:rPr>
        <w:t xml:space="preserve"> ، وفيهما مع اختلاف يسير </w:t>
      </w:r>
      <w:r w:rsidR="004E0CFE">
        <w:rPr>
          <w:rFonts w:hint="cs"/>
          <w:rtl/>
        </w:rPr>
        <w:t>.</w:t>
      </w:r>
      <w:r w:rsidR="008A74EB" w:rsidRPr="00993B55">
        <w:rPr>
          <w:rStyle w:val="libFootnoteBoldChar"/>
          <w:rtl/>
        </w:rPr>
        <w:t>الوافي</w:t>
      </w:r>
      <w:r w:rsidR="008A74EB" w:rsidRPr="00C9040A">
        <w:rPr>
          <w:rtl/>
        </w:rPr>
        <w:t xml:space="preserve"> ، ج 4 ، ص 335 ، ح 2057 ؛ </w:t>
      </w:r>
      <w:r w:rsidR="008A74EB" w:rsidRPr="00993B55">
        <w:rPr>
          <w:rStyle w:val="libFootnoteBoldChar"/>
          <w:rtl/>
        </w:rPr>
        <w:t>الوسائل</w:t>
      </w:r>
      <w:r w:rsidR="008A74EB" w:rsidRPr="00C9040A">
        <w:rPr>
          <w:rtl/>
        </w:rPr>
        <w:t xml:space="preserve"> ، ج 15 ، ص 236 ، ح 20369 ؛ </w:t>
      </w:r>
      <w:r w:rsidR="008A74EB" w:rsidRPr="00993B55">
        <w:rPr>
          <w:rStyle w:val="libFootnoteBoldChar"/>
          <w:rtl/>
        </w:rPr>
        <w:t>البحار</w:t>
      </w:r>
      <w:r w:rsidR="008A74EB" w:rsidRPr="00C9040A">
        <w:rPr>
          <w:rtl/>
        </w:rPr>
        <w:t xml:space="preserve"> ،ج71،ص75،ح8.</w:t>
      </w:r>
      <w:r w:rsidR="009529B5">
        <w:rPr>
          <w:rFonts w:hint="cs"/>
          <w:rtl/>
        </w:rPr>
        <w:t xml:space="preserve">    </w:t>
      </w:r>
      <w:r>
        <w:rPr>
          <w:rtl/>
        </w:rPr>
        <w:t>(7).</w:t>
      </w:r>
      <w:r w:rsidR="008A74EB" w:rsidRPr="00C9040A">
        <w:rPr>
          <w:rtl/>
        </w:rPr>
        <w:t xml:space="preserve"> في الوسائل : « فيه الملك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حاشية « بر » : « والتجرّي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بس » : « باستجراح »</w:t>
      </w:r>
      <w:r w:rsidR="008A74EB">
        <w:rPr>
          <w:rtl/>
        </w:rPr>
        <w:t>.</w:t>
      </w:r>
      <w:r w:rsidR="008A74EB" w:rsidRPr="00C9040A">
        <w:rPr>
          <w:rtl/>
        </w:rPr>
        <w:t xml:space="preserve"> وفي المرآة :</w:t>
      </w:r>
      <w:r w:rsidR="009529B5">
        <w:rPr>
          <w:rtl/>
        </w:rPr>
        <w:t xml:space="preserve"> « إل</w:t>
      </w:r>
      <w:r w:rsidR="009529B5">
        <w:rPr>
          <w:rFonts w:hint="cs"/>
          <w:rtl/>
        </w:rPr>
        <w:t>ّ</w:t>
      </w:r>
      <w:r w:rsidR="009529B5">
        <w:rPr>
          <w:rtl/>
        </w:rPr>
        <w:t>ا</w:t>
      </w:r>
      <w:r w:rsidR="008A74EB" w:rsidRPr="00C9040A">
        <w:rPr>
          <w:rtl/>
        </w:rPr>
        <w:t xml:space="preserve"> باستخراج الدين ، أي طلب خروج الدين من القلب ، أي [ أو</w:t>
      </w:r>
      <w:r w:rsidR="008A74EB">
        <w:rPr>
          <w:rtl/>
        </w:rPr>
        <w:t xml:space="preserve"> </w:t>
      </w:r>
      <w:r w:rsidR="0084262C">
        <w:rPr>
          <w:rtl/>
        </w:rPr>
        <w:t>-</w:t>
      </w:r>
      <w:r w:rsidR="008A74EB">
        <w:rPr>
          <w:rtl/>
        </w:rPr>
        <w:t xml:space="preserve"> </w:t>
      </w:r>
      <w:r w:rsidR="008A74EB" w:rsidRPr="00C9040A">
        <w:rPr>
          <w:rtl/>
        </w:rPr>
        <w:t>خ ل ] بطلب خروجهم من الدين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يَقْدِرُ عَلَى الْغِنى ، وَصَبَرَ عَلَى الْبِغْضَةِ </w:t>
      </w:r>
      <w:r w:rsidR="006C577F" w:rsidRPr="006C577F">
        <w:rPr>
          <w:rStyle w:val="libFootnotenumChar"/>
          <w:rtl/>
        </w:rPr>
        <w:t>(1)</w:t>
      </w:r>
      <w:r w:rsidRPr="00E711C7">
        <w:rPr>
          <w:rFonts w:hint="cs"/>
          <w:rtl/>
        </w:rPr>
        <w:t xml:space="preserve"> </w:t>
      </w:r>
      <w:r w:rsidRPr="00C9040A">
        <w:rPr>
          <w:rtl/>
          <w:lang w:bidi="fa-IR"/>
        </w:rPr>
        <w:t xml:space="preserve">وَهُوَ يَقْدِرُ عَلَى الْمَحَبَّةِ ، وَصَبَرَ عَلَى الذُّلِّ وَهُوَ يَقْدِرُ عَلَى الْعِزِّ </w:t>
      </w:r>
      <w:r w:rsidR="006C577F" w:rsidRPr="006C577F">
        <w:rPr>
          <w:rStyle w:val="libFootnotenumChar"/>
          <w:rtl/>
        </w:rPr>
        <w:t>(2)</w:t>
      </w:r>
      <w:r w:rsidRPr="00C9040A">
        <w:rPr>
          <w:rtl/>
          <w:lang w:bidi="fa-IR"/>
        </w:rPr>
        <w:t xml:space="preserve"> ، آتَاهُ </w:t>
      </w:r>
      <w:r w:rsidR="006C577F" w:rsidRPr="006C577F">
        <w:rPr>
          <w:rStyle w:val="libFootnotenumChar"/>
          <w:rtl/>
        </w:rPr>
        <w:t>(3)</w:t>
      </w:r>
      <w:r w:rsidRPr="00C9040A">
        <w:rPr>
          <w:rtl/>
          <w:lang w:bidi="fa-IR"/>
        </w:rPr>
        <w:t xml:space="preserve"> اللهُ ثَوَابَ خَمْسِينَ صِدِّيقاً مِمَّنْ صَدَّقَ بِي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AF3651">
        <w:rPr>
          <w:rtl/>
        </w:rPr>
        <w:t>1702</w:t>
      </w:r>
      <w:r w:rsidRPr="00261CB0">
        <w:rPr>
          <w:rStyle w:val="libBold2Char"/>
          <w:rtl/>
        </w:rPr>
        <w:t xml:space="preserve"> / 13.</w:t>
      </w:r>
      <w:r w:rsidRPr="00C9040A">
        <w:rPr>
          <w:rtl/>
          <w:lang w:bidi="fa-IR"/>
        </w:rPr>
        <w:t xml:space="preserve"> عِدَّةٌ مِنْ أَصْحَابِنَا ، عَنْ أَحْمَدَ بْنِ أَبِي عَبْدِ اللهِ ، عَنْ إِسْمَاعِيلَ بْنِ مِهْرَانَ ، عَنْ دُرُسْتَ بْنِ أَبِي مَنْصُورٍ ، عَنْ عِيسَى بْنِ بَشِيرٍ ، عَنْ أَبِي حَمْزَةَ ، قَالَ :</w:t>
      </w:r>
    </w:p>
    <w:p w:rsidR="008A74EB" w:rsidRPr="00C9040A" w:rsidRDefault="008A74EB" w:rsidP="008A74EB">
      <w:pPr>
        <w:pStyle w:val="libNormal"/>
        <w:rPr>
          <w:rtl/>
          <w:lang w:bidi="fa-IR"/>
        </w:rPr>
      </w:pPr>
      <w:r w:rsidRPr="00C9040A">
        <w:rPr>
          <w:rtl/>
          <w:lang w:bidi="fa-IR"/>
        </w:rPr>
        <w:t xml:space="preserve">قَالَ أَبُو جَعْفَرٍ </w:t>
      </w:r>
      <w:r w:rsidRPr="0003660B">
        <w:rPr>
          <w:rStyle w:val="libAlaemChar"/>
          <w:rtl/>
        </w:rPr>
        <w:t>عليه‌السلام</w:t>
      </w:r>
      <w:r w:rsidRPr="00C9040A">
        <w:rPr>
          <w:rtl/>
          <w:lang w:bidi="fa-IR"/>
        </w:rPr>
        <w:t xml:space="preserve"> : « لَمَّا حَضَرَتْ </w:t>
      </w:r>
      <w:r w:rsidR="006C577F" w:rsidRPr="006C577F">
        <w:rPr>
          <w:rStyle w:val="libFootnotenumChar"/>
          <w:rtl/>
        </w:rPr>
        <w:t>(5)</w:t>
      </w:r>
      <w:r w:rsidRPr="00C9040A">
        <w:rPr>
          <w:rtl/>
          <w:lang w:bidi="fa-IR"/>
        </w:rPr>
        <w:t xml:space="preserve"> أَبِي </w:t>
      </w:r>
      <w:r w:rsidR="006C577F" w:rsidRPr="006C577F">
        <w:rPr>
          <w:rStyle w:val="libFootnotenumChar"/>
          <w:rtl/>
        </w:rPr>
        <w:t>(6)</w:t>
      </w:r>
      <w:r w:rsidRPr="005B567D">
        <w:rPr>
          <w:rStyle w:val="libFootnotenumChar"/>
          <w:rtl/>
        </w:rPr>
        <w:t xml:space="preserve"> </w:t>
      </w:r>
      <w:r w:rsidRPr="00C9040A">
        <w:rPr>
          <w:rtl/>
          <w:lang w:bidi="fa-IR"/>
        </w:rPr>
        <w:t xml:space="preserve">عَلِيَّ بْنَ الْحُسَيْنِ </w:t>
      </w:r>
      <w:r w:rsidRPr="0003660B">
        <w:rPr>
          <w:rStyle w:val="libAlaemChar"/>
          <w:rtl/>
        </w:rPr>
        <w:t>عليهما‌السلام</w:t>
      </w:r>
      <w:r w:rsidRPr="00C9040A">
        <w:rPr>
          <w:rtl/>
          <w:lang w:bidi="fa-IR"/>
        </w:rPr>
        <w:t xml:space="preserve"> الْوَفَاةُ ضَمَّنِي إِلى صَدْرِهِ ، وَقَالَ </w:t>
      </w:r>
      <w:r w:rsidR="006C577F" w:rsidRPr="006C577F">
        <w:rPr>
          <w:rStyle w:val="libFootnotenumChar"/>
          <w:rtl/>
        </w:rPr>
        <w:t>(7)</w:t>
      </w:r>
      <w:r w:rsidRPr="00C9040A">
        <w:rPr>
          <w:rtl/>
          <w:lang w:bidi="fa-IR"/>
        </w:rPr>
        <w:t xml:space="preserve"> : يَا بُنَيَّ ، أُوصِيكَ بِمَا أَوْصَانِي بِهِ أَبِي حِينَ حَضَرَتْهُ الْوَفَاةُ ، وَبِمَا ذَكَرَ أَنَّ أَبَاهُ أَوْصَاهُ بِهِ </w:t>
      </w:r>
      <w:r w:rsidR="006C577F" w:rsidRPr="006C577F">
        <w:rPr>
          <w:rStyle w:val="libFootnotenumChar"/>
          <w:rtl/>
        </w:rPr>
        <w:t>(8)</w:t>
      </w:r>
      <w:r w:rsidRPr="00C9040A">
        <w:rPr>
          <w:rtl/>
          <w:lang w:bidi="fa-IR"/>
        </w:rPr>
        <w:t xml:space="preserve"> ؛ يَا بُنَيَّ ، اصْبِرْ عَلَى الْحَقِّ وَإِنْ كَانَ مُرّاً »</w:t>
      </w:r>
      <w:r>
        <w:rPr>
          <w:rtl/>
          <w:lang w:bidi="fa-IR"/>
        </w:rPr>
        <w:t>.</w:t>
      </w:r>
      <w:r w:rsidRPr="00C9040A">
        <w:rPr>
          <w:rtl/>
          <w:lang w:bidi="fa-IR"/>
        </w:rPr>
        <w:t xml:space="preserve"> </w:t>
      </w:r>
      <w:r w:rsidR="006C577F" w:rsidRPr="006C577F">
        <w:rPr>
          <w:rStyle w:val="libFootnotenumChar"/>
          <w:rtl/>
        </w:rPr>
        <w:t>(9)</w:t>
      </w:r>
      <w:r w:rsidRPr="00C9040A">
        <w:rPr>
          <w:rtl/>
          <w:lang w:bidi="fa-IR"/>
        </w:rPr>
        <w:t xml:space="preserve"> ‌</w:t>
      </w:r>
    </w:p>
    <w:p w:rsidR="008A74EB" w:rsidRPr="00C9040A" w:rsidRDefault="008A74EB" w:rsidP="008A74EB">
      <w:pPr>
        <w:pStyle w:val="libNormal"/>
        <w:rPr>
          <w:rtl/>
          <w:lang w:bidi="fa-IR"/>
        </w:rPr>
      </w:pPr>
      <w:r w:rsidRPr="00AF3651">
        <w:rPr>
          <w:rtl/>
        </w:rPr>
        <w:t>1703</w:t>
      </w:r>
      <w:r w:rsidRPr="00261CB0">
        <w:rPr>
          <w:rStyle w:val="libBold2Char"/>
          <w:rtl/>
        </w:rPr>
        <w:t xml:space="preserve"> / 14.</w:t>
      </w:r>
      <w:r w:rsidRPr="00C9040A">
        <w:rPr>
          <w:rtl/>
          <w:lang w:bidi="fa-IR"/>
        </w:rPr>
        <w:t xml:space="preserve"> عَنْهُ </w:t>
      </w:r>
      <w:r w:rsidR="006C577F" w:rsidRPr="006C577F">
        <w:rPr>
          <w:rStyle w:val="libFootnotenumChar"/>
          <w:rtl/>
        </w:rPr>
        <w:t>(10)</w:t>
      </w:r>
      <w:r w:rsidRPr="00C9040A">
        <w:rPr>
          <w:rtl/>
          <w:lang w:bidi="fa-IR"/>
        </w:rPr>
        <w:t xml:space="preserve"> ، عَنْ أَبِيهِ </w:t>
      </w:r>
      <w:r w:rsidR="006C577F" w:rsidRPr="006C577F">
        <w:rPr>
          <w:rStyle w:val="libFootnotenumChar"/>
          <w:rtl/>
        </w:rPr>
        <w:t>(11)</w:t>
      </w:r>
      <w:r w:rsidRPr="00C9040A">
        <w:rPr>
          <w:rtl/>
          <w:lang w:bidi="fa-IR"/>
        </w:rPr>
        <w:t xml:space="preserve"> رَفَعَهُ :</w:t>
      </w:r>
    </w:p>
    <w:p w:rsidR="008A74EB" w:rsidRPr="00C9040A" w:rsidRDefault="008A74EB" w:rsidP="008A74EB">
      <w:pPr>
        <w:pStyle w:val="libNormal"/>
        <w:rPr>
          <w:rtl/>
          <w:lang w:bidi="fa-IR"/>
        </w:rPr>
      </w:pPr>
      <w:r w:rsidRPr="00C9040A">
        <w:rPr>
          <w:rtl/>
          <w:lang w:bidi="fa-IR"/>
        </w:rPr>
        <w:t xml:space="preserve">عَنْ </w:t>
      </w:r>
      <w:r w:rsidR="006C577F" w:rsidRPr="006C577F">
        <w:rPr>
          <w:rStyle w:val="libFootnotenumChar"/>
          <w:rtl/>
        </w:rPr>
        <w:t>(12)</w:t>
      </w:r>
      <w:r w:rsidRPr="00C9040A">
        <w:rPr>
          <w:rtl/>
          <w:lang w:bidi="fa-IR"/>
        </w:rPr>
        <w:t xml:space="preserve"> أَبِي جَعْفَرٍ </w:t>
      </w:r>
      <w:r w:rsidRPr="0003660B">
        <w:rPr>
          <w:rStyle w:val="libAlaemChar"/>
          <w:rtl/>
        </w:rPr>
        <w:t>عليه‌السلام</w:t>
      </w:r>
      <w:r w:rsidRPr="00C9040A">
        <w:rPr>
          <w:rtl/>
          <w:lang w:bidi="fa-IR"/>
        </w:rPr>
        <w:t xml:space="preserve"> ، قَالَ : « الصَّبْرُ صَبْرَانِ : صَبْرٌ عَلَى </w:t>
      </w:r>
      <w:r w:rsidRPr="005B567D">
        <w:rPr>
          <w:rStyle w:val="libFootnotenumChar"/>
          <w:rtl/>
        </w:rPr>
        <w:t>(13)</w:t>
      </w:r>
      <w:r w:rsidRPr="00C9040A">
        <w:rPr>
          <w:rtl/>
          <w:lang w:bidi="fa-IR"/>
        </w:rPr>
        <w:t xml:space="preserve"> الْبَلَاءِ حَسَنٌ جَمِيلٌ ،</w:t>
      </w:r>
    </w:p>
    <w:p w:rsidR="008A74EB" w:rsidRPr="00C9040A" w:rsidRDefault="008A74EB" w:rsidP="008A74EB">
      <w:pPr>
        <w:pStyle w:val="libLine"/>
        <w:rPr>
          <w:rtl/>
          <w:lang w:bidi="fa-IR"/>
        </w:rPr>
      </w:pPr>
      <w:r w:rsidRPr="00C9040A">
        <w:rPr>
          <w:rtl/>
          <w:lang w:bidi="fa-IR"/>
        </w:rPr>
        <w:t>__________________</w:t>
      </w:r>
    </w:p>
    <w:p w:rsidR="008A74EB" w:rsidRPr="004A4E41" w:rsidRDefault="006C577F" w:rsidP="004A4E41">
      <w:pPr>
        <w:pStyle w:val="libFootnote0"/>
        <w:rPr>
          <w:rStyle w:val="libFootnote0Char"/>
          <w:rtl/>
        </w:rPr>
      </w:pPr>
      <w:r>
        <w:rPr>
          <w:rtl/>
        </w:rPr>
        <w:t>(1).</w:t>
      </w:r>
      <w:r w:rsidR="008A74EB" w:rsidRPr="00C9040A">
        <w:rPr>
          <w:rtl/>
        </w:rPr>
        <w:t xml:space="preserve"> في </w:t>
      </w:r>
      <w:r w:rsidR="008A74EB" w:rsidRPr="00993B55">
        <w:rPr>
          <w:rStyle w:val="libFootnoteBoldChar"/>
          <w:rtl/>
        </w:rPr>
        <w:t>المرآة</w:t>
      </w:r>
      <w:r w:rsidR="008A74EB" w:rsidRPr="00C9040A">
        <w:rPr>
          <w:rtl/>
        </w:rPr>
        <w:t xml:space="preserve"> : « أي بغضة الناس له ؛ لعدم اتّباعه أهواءهم »</w:t>
      </w:r>
      <w:r w:rsidR="008A74EB">
        <w:rPr>
          <w:rtl/>
        </w:rPr>
        <w:t>.</w:t>
      </w:r>
    </w:p>
    <w:tbl>
      <w:tblPr>
        <w:tblStyle w:val="TableGrid"/>
        <w:bidiVisual/>
        <w:tblW w:w="0" w:type="auto"/>
        <w:tblLook w:val="04A0" w:firstRow="1" w:lastRow="0" w:firstColumn="1" w:lastColumn="0" w:noHBand="0" w:noVBand="1"/>
      </w:tblPr>
      <w:tblGrid>
        <w:gridCol w:w="4006"/>
        <w:gridCol w:w="4006"/>
      </w:tblGrid>
      <w:tr w:rsidR="00C84190" w:rsidTr="00C84190">
        <w:tc>
          <w:tcPr>
            <w:tcW w:w="4006" w:type="dxa"/>
          </w:tcPr>
          <w:p w:rsidR="00C84190" w:rsidRDefault="00C84190" w:rsidP="004A4E41">
            <w:pPr>
              <w:pStyle w:val="libFootnote0"/>
              <w:rPr>
                <w:rtl/>
              </w:rPr>
            </w:pPr>
            <w:r>
              <w:rPr>
                <w:rtl/>
              </w:rPr>
              <w:t xml:space="preserve">(2). </w:t>
            </w:r>
            <w:r w:rsidRPr="00C9040A">
              <w:rPr>
                <w:rtl/>
              </w:rPr>
              <w:t>في « بر » : « العزّة »</w:t>
            </w:r>
            <w:r>
              <w:rPr>
                <w:rtl/>
              </w:rPr>
              <w:t>.</w:t>
            </w:r>
          </w:p>
        </w:tc>
        <w:tc>
          <w:tcPr>
            <w:tcW w:w="4006" w:type="dxa"/>
          </w:tcPr>
          <w:p w:rsidR="00C84190" w:rsidRDefault="00C84190" w:rsidP="004A4E41">
            <w:pPr>
              <w:pStyle w:val="libFootnote0"/>
              <w:rPr>
                <w:rtl/>
              </w:rPr>
            </w:pPr>
            <w:r>
              <w:rPr>
                <w:rtl/>
              </w:rPr>
              <w:t>(3).</w:t>
            </w:r>
            <w:r w:rsidRPr="00C9040A">
              <w:rPr>
                <w:rtl/>
              </w:rPr>
              <w:t xml:space="preserve"> في حاشية « بر » : « أناله »</w:t>
            </w:r>
            <w:r>
              <w:rPr>
                <w:rtl/>
              </w:rPr>
              <w:t>.</w:t>
            </w:r>
          </w:p>
        </w:tc>
      </w:tr>
    </w:tbl>
    <w:p w:rsidR="008A74EB" w:rsidRPr="004A4E41" w:rsidRDefault="006C577F" w:rsidP="004A4E41">
      <w:pPr>
        <w:pStyle w:val="libFootnote0"/>
        <w:rPr>
          <w:rStyle w:val="libFootnote0Char"/>
          <w:rtl/>
        </w:rPr>
      </w:pPr>
      <w:r>
        <w:rPr>
          <w:rtl/>
        </w:rPr>
        <w:t>(4).</w:t>
      </w:r>
      <w:r w:rsidR="008A74EB" w:rsidRPr="00C9040A">
        <w:rPr>
          <w:rtl/>
        </w:rPr>
        <w:t xml:space="preserve"> </w:t>
      </w:r>
      <w:r w:rsidR="008A74EB" w:rsidRPr="00993B55">
        <w:rPr>
          <w:rStyle w:val="libFootnoteBoldChar"/>
          <w:rtl/>
        </w:rPr>
        <w:t>تحف العقول</w:t>
      </w:r>
      <w:r w:rsidR="008A74EB" w:rsidRPr="00C9040A">
        <w:rPr>
          <w:rtl/>
        </w:rPr>
        <w:t xml:space="preserve"> ، ص 59 ، عن رسول الله </w:t>
      </w:r>
      <w:r w:rsidR="004A4E41" w:rsidRPr="00AC2E2F">
        <w:rPr>
          <w:rStyle w:val="libFootnoteAlaemChar"/>
          <w:rtl/>
        </w:rPr>
        <w:t>صلى‌الله‌عليه‌وآله</w:t>
      </w:r>
      <w:r w:rsidR="008A74EB" w:rsidRPr="00C9040A">
        <w:rPr>
          <w:rtl/>
        </w:rPr>
        <w:t xml:space="preserve"> ، مع اختلاف يسير وزيادة في أوّله </w:t>
      </w:r>
      <w:r w:rsidR="00C84190">
        <w:rPr>
          <w:rFonts w:hint="cs"/>
          <w:rtl/>
        </w:rPr>
        <w:t>.</w:t>
      </w:r>
      <w:r w:rsidR="008A74EB" w:rsidRPr="00993B55">
        <w:rPr>
          <w:rStyle w:val="libFootnoteBoldChar"/>
          <w:rtl/>
        </w:rPr>
        <w:t>الوافي</w:t>
      </w:r>
      <w:r w:rsidR="008A74EB" w:rsidRPr="00C9040A">
        <w:rPr>
          <w:rtl/>
        </w:rPr>
        <w:t xml:space="preserve"> ، ج 4 ، ص 339 ، ح 2071 ؛ </w:t>
      </w:r>
      <w:r w:rsidR="008A74EB" w:rsidRPr="00993B55">
        <w:rPr>
          <w:rStyle w:val="libFootnoteBoldChar"/>
          <w:rtl/>
        </w:rPr>
        <w:t>الوسائل</w:t>
      </w:r>
      <w:r w:rsidR="008A74EB" w:rsidRPr="00C9040A">
        <w:rPr>
          <w:rtl/>
        </w:rPr>
        <w:t xml:space="preserve"> ، ج 15 ، ص 263 ، ح 20455 ؛ </w:t>
      </w:r>
      <w:r w:rsidR="008A74EB" w:rsidRPr="00993B55">
        <w:rPr>
          <w:rStyle w:val="libFootnoteBoldChar"/>
          <w:rtl/>
        </w:rPr>
        <w:t>البحار</w:t>
      </w:r>
      <w:r w:rsidR="008A74EB" w:rsidRPr="00C9040A">
        <w:rPr>
          <w:rtl/>
        </w:rPr>
        <w:t xml:space="preserve"> ، ج 18 ، ص 146 ، ح 8 ؛ وج 71 ، ص 75 ، ح 9.</w:t>
      </w:r>
    </w:p>
    <w:tbl>
      <w:tblPr>
        <w:tblStyle w:val="TableGrid"/>
        <w:bidiVisual/>
        <w:tblW w:w="0" w:type="auto"/>
        <w:tblLook w:val="04A0" w:firstRow="1" w:lastRow="0" w:firstColumn="1" w:lastColumn="0" w:noHBand="0" w:noVBand="1"/>
      </w:tblPr>
      <w:tblGrid>
        <w:gridCol w:w="4006"/>
        <w:gridCol w:w="4006"/>
      </w:tblGrid>
      <w:tr w:rsidR="008E2B37" w:rsidTr="008E2B37">
        <w:tc>
          <w:tcPr>
            <w:tcW w:w="4006" w:type="dxa"/>
          </w:tcPr>
          <w:p w:rsidR="008E2B37" w:rsidRDefault="008E2B37" w:rsidP="004A4E41">
            <w:pPr>
              <w:pStyle w:val="libFootnote0"/>
              <w:rPr>
                <w:rtl/>
              </w:rPr>
            </w:pPr>
            <w:r>
              <w:rPr>
                <w:rtl/>
              </w:rPr>
              <w:t>(5).</w:t>
            </w:r>
            <w:r w:rsidRPr="00C9040A">
              <w:rPr>
                <w:rtl/>
              </w:rPr>
              <w:t xml:space="preserve"> في الكافي ، ح 2654 : « حضر »</w:t>
            </w:r>
            <w:r>
              <w:rPr>
                <w:rtl/>
              </w:rPr>
              <w:t>.</w:t>
            </w:r>
          </w:p>
        </w:tc>
        <w:tc>
          <w:tcPr>
            <w:tcW w:w="4006" w:type="dxa"/>
          </w:tcPr>
          <w:p w:rsidR="008E2B37" w:rsidRDefault="008E2B37" w:rsidP="004A4E41">
            <w:pPr>
              <w:pStyle w:val="libFootnote0"/>
              <w:rPr>
                <w:rtl/>
              </w:rPr>
            </w:pPr>
            <w:r>
              <w:rPr>
                <w:rtl/>
              </w:rPr>
              <w:t xml:space="preserve">(6). </w:t>
            </w:r>
            <w:r w:rsidRPr="00C9040A">
              <w:rPr>
                <w:rtl/>
              </w:rPr>
              <w:t xml:space="preserve">في الوسائل </w:t>
            </w:r>
            <w:r>
              <w:rPr>
                <w:rtl/>
              </w:rPr>
              <w:t>: -</w:t>
            </w:r>
            <w:r w:rsidRPr="00C9040A">
              <w:rPr>
                <w:rtl/>
              </w:rPr>
              <w:t xml:space="preserve"> « أبي »</w:t>
            </w:r>
            <w:r>
              <w:rPr>
                <w:rtl/>
              </w:rPr>
              <w:t>.</w:t>
            </w:r>
          </w:p>
        </w:tc>
      </w:tr>
    </w:tbl>
    <w:p w:rsidR="008A74EB" w:rsidRPr="00C9040A" w:rsidRDefault="006C577F" w:rsidP="004A4E41">
      <w:pPr>
        <w:pStyle w:val="libFootnote0"/>
        <w:rPr>
          <w:rtl/>
          <w:lang w:bidi="fa-IR"/>
        </w:rPr>
      </w:pPr>
      <w:r>
        <w:rPr>
          <w:rtl/>
        </w:rPr>
        <w:t>(7).</w:t>
      </w:r>
      <w:r w:rsidR="008A74EB" w:rsidRPr="00C9040A">
        <w:rPr>
          <w:rtl/>
        </w:rPr>
        <w:t xml:space="preserve"> في « ز ، ص ، ف ، </w:t>
      </w:r>
      <w:r w:rsidR="006D3162">
        <w:rPr>
          <w:rtl/>
        </w:rPr>
        <w:t xml:space="preserve">ه </w:t>
      </w:r>
      <w:r w:rsidR="008A74EB" w:rsidRPr="00C9040A">
        <w:rPr>
          <w:rtl/>
        </w:rPr>
        <w:t>، بر » والوافي والفقيه : « ثمّ قال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البحار </w:t>
      </w:r>
      <w:r w:rsidR="008A74EB">
        <w:rPr>
          <w:rtl/>
        </w:rPr>
        <w:t xml:space="preserve">: </w:t>
      </w:r>
      <w:r w:rsidR="0084262C">
        <w:rPr>
          <w:rtl/>
        </w:rPr>
        <w:t>-</w:t>
      </w:r>
      <w:r w:rsidR="008A74EB" w:rsidRPr="00C9040A">
        <w:rPr>
          <w:rtl/>
        </w:rPr>
        <w:t xml:space="preserve"> « به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w:t>
      </w:r>
      <w:r w:rsidR="008A74EB" w:rsidRPr="00993B55">
        <w:rPr>
          <w:rStyle w:val="libFootnoteBoldChar"/>
          <w:rtl/>
        </w:rPr>
        <w:t>الفقيه</w:t>
      </w:r>
      <w:r w:rsidR="008A74EB" w:rsidRPr="00C9040A">
        <w:rPr>
          <w:rtl/>
        </w:rPr>
        <w:t xml:space="preserve"> ، ج 4 ، ص 410 ، ح 5891 ، معلقاً عن أبي حمزة الثمالي ، مع اختلاف يسير وزيادة. وراجع : </w:t>
      </w:r>
      <w:r w:rsidR="008A74EB" w:rsidRPr="00993B55">
        <w:rPr>
          <w:rStyle w:val="libFootnoteBoldChar"/>
          <w:rtl/>
        </w:rPr>
        <w:t>الكافي</w:t>
      </w:r>
      <w:r w:rsidR="008A74EB" w:rsidRPr="00C9040A">
        <w:rPr>
          <w:rtl/>
        </w:rPr>
        <w:t xml:space="preserve"> ، كتاب الإيمان والكفر ، باب الظلم ، ح 2654 ؛ و</w:t>
      </w:r>
      <w:r w:rsidR="008A74EB" w:rsidRPr="0034021D">
        <w:rPr>
          <w:rStyle w:val="libFootnoteBoldChar"/>
          <w:rtl/>
        </w:rPr>
        <w:t>الأمالي للصدوق</w:t>
      </w:r>
      <w:r w:rsidR="008A74EB" w:rsidRPr="00C9040A">
        <w:rPr>
          <w:rtl/>
        </w:rPr>
        <w:t xml:space="preserve"> ، ص 182 ، المجلس 34 ، ح 10 ؛ و</w:t>
      </w:r>
      <w:r w:rsidR="008A74EB" w:rsidRPr="00993B55">
        <w:rPr>
          <w:rStyle w:val="libFootnoteBoldChar"/>
          <w:rtl/>
        </w:rPr>
        <w:t xml:space="preserve">الخصال </w:t>
      </w:r>
      <w:r w:rsidR="008A74EB" w:rsidRPr="00C9040A">
        <w:rPr>
          <w:rtl/>
        </w:rPr>
        <w:t xml:space="preserve">، ص 16 ، باب الواحد ، ح 59 </w:t>
      </w:r>
      <w:r w:rsidR="008E2B37">
        <w:rPr>
          <w:rFonts w:hint="cs"/>
          <w:rtl/>
        </w:rPr>
        <w:t>.</w:t>
      </w:r>
      <w:r w:rsidR="008A74EB" w:rsidRPr="00993B55">
        <w:rPr>
          <w:rStyle w:val="libFootnoteBoldChar"/>
          <w:rtl/>
        </w:rPr>
        <w:t>الوافي</w:t>
      </w:r>
      <w:r w:rsidR="008A74EB" w:rsidRPr="00C9040A">
        <w:rPr>
          <w:rtl/>
        </w:rPr>
        <w:t xml:space="preserve"> ، ج 4 ، ص 340 ، ح 2074 ؛ </w:t>
      </w:r>
      <w:r w:rsidR="008A74EB" w:rsidRPr="00993B55">
        <w:rPr>
          <w:rStyle w:val="libFootnoteBoldChar"/>
          <w:rtl/>
        </w:rPr>
        <w:t>الوسائل</w:t>
      </w:r>
      <w:r w:rsidR="008A74EB" w:rsidRPr="00C9040A">
        <w:rPr>
          <w:rtl/>
        </w:rPr>
        <w:t xml:space="preserve"> ، ج 15 ، ص 237 ، ح 20370 ؛ </w:t>
      </w:r>
      <w:r w:rsidR="008A74EB" w:rsidRPr="00993B55">
        <w:rPr>
          <w:rStyle w:val="libFootnoteBoldChar"/>
          <w:rtl/>
        </w:rPr>
        <w:t>البحار</w:t>
      </w:r>
      <w:r w:rsidR="008A74EB" w:rsidRPr="00C9040A">
        <w:rPr>
          <w:rtl/>
        </w:rPr>
        <w:t xml:space="preserve"> ، ج 71 ، ص 76 ، ح 10.</w:t>
      </w:r>
    </w:p>
    <w:p w:rsidR="008A74EB" w:rsidRPr="00C9040A" w:rsidRDefault="006C577F" w:rsidP="004A4E41">
      <w:pPr>
        <w:pStyle w:val="libFootnote0"/>
        <w:rPr>
          <w:rtl/>
          <w:lang w:bidi="fa-IR"/>
        </w:rPr>
      </w:pPr>
      <w:r>
        <w:rPr>
          <w:rtl/>
        </w:rPr>
        <w:t>(10).</w:t>
      </w:r>
      <w:r w:rsidR="008A74EB" w:rsidRPr="00C9040A">
        <w:rPr>
          <w:rtl/>
        </w:rPr>
        <w:t xml:space="preserve"> الضمير راجع إلى أحمد بن أبي عبد الله المذكور في السند السابق.</w:t>
      </w:r>
    </w:p>
    <w:p w:rsidR="008A74EB" w:rsidRPr="00C9040A" w:rsidRDefault="006C577F" w:rsidP="004A4E41">
      <w:pPr>
        <w:pStyle w:val="libFootnote0"/>
        <w:rPr>
          <w:rtl/>
          <w:lang w:bidi="fa-IR"/>
        </w:rPr>
      </w:pPr>
      <w:r>
        <w:rPr>
          <w:rtl/>
        </w:rPr>
        <w:t>(11).</w:t>
      </w:r>
      <w:r w:rsidR="008A74EB" w:rsidRPr="00C9040A">
        <w:rPr>
          <w:rtl/>
        </w:rPr>
        <w:t xml:space="preserve"> هكذا في « ب ، ج ، د ، ز ، ص ، ض ، ف ، بر ، بس ، بف » والطبعة الحجريّة من الكتاب والوسائل والبحار. وفي « </w:t>
      </w:r>
      <w:r w:rsidR="006D3162">
        <w:rPr>
          <w:rtl/>
        </w:rPr>
        <w:t xml:space="preserve">ه </w:t>
      </w:r>
      <w:r w:rsidR="008A74EB" w:rsidRPr="00C9040A">
        <w:rPr>
          <w:rtl/>
        </w:rPr>
        <w:t>، جر » وحاشية « ز ، بف » والمطبوع : + « عن يونس بن عبد الرحمن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في « ض » : « على »</w:t>
      </w:r>
      <w:r w:rsidR="008A74EB">
        <w:rPr>
          <w:rtl/>
        </w:rPr>
        <w:t>.</w:t>
      </w:r>
      <w:r w:rsidR="008A74EB" w:rsidRPr="00C9040A">
        <w:rPr>
          <w:rtl/>
        </w:rPr>
        <w:t xml:space="preserve"> وفي « </w:t>
      </w:r>
      <w:r w:rsidR="006D3162">
        <w:rPr>
          <w:rtl/>
        </w:rPr>
        <w:t xml:space="preserve">ه </w:t>
      </w:r>
      <w:r w:rsidR="008A74EB" w:rsidRPr="00C9040A">
        <w:rPr>
          <w:rtl/>
        </w:rPr>
        <w:t>، بر » وحاشية « ص » : « إلى »</w:t>
      </w:r>
      <w:r w:rsidR="008A74EB">
        <w:rPr>
          <w:rtl/>
        </w:rPr>
        <w:t>.</w:t>
      </w:r>
    </w:p>
    <w:p w:rsidR="008A74EB" w:rsidRPr="00C9040A" w:rsidRDefault="008A74EB" w:rsidP="004A4E41">
      <w:pPr>
        <w:pStyle w:val="libFootnote0"/>
        <w:rPr>
          <w:rtl/>
          <w:lang w:bidi="fa-IR"/>
        </w:rPr>
      </w:pPr>
      <w:r>
        <w:rPr>
          <w:rtl/>
        </w:rPr>
        <w:t>(13)</w:t>
      </w:r>
      <w:r w:rsidR="00FB5A96">
        <w:rPr>
          <w:rFonts w:hint="cs"/>
          <w:rtl/>
        </w:rPr>
        <w:t>.</w:t>
      </w:r>
      <w:r w:rsidRPr="00C9040A">
        <w:rPr>
          <w:rtl/>
        </w:rPr>
        <w:t xml:space="preserve"> في « ج » وحاشية « ف ، بر ، بس » : « عند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وَأَفْضَلُ الصَّبْرَيْنِ </w:t>
      </w:r>
      <w:r w:rsidR="006C577F" w:rsidRPr="006C577F">
        <w:rPr>
          <w:rStyle w:val="libFootnotenumChar"/>
          <w:rtl/>
        </w:rPr>
        <w:t>(1)</w:t>
      </w:r>
      <w:r w:rsidRPr="00853746">
        <w:rPr>
          <w:rFonts w:hint="cs"/>
          <w:rtl/>
        </w:rPr>
        <w:t xml:space="preserve"> </w:t>
      </w:r>
      <w:r w:rsidRPr="00C9040A">
        <w:rPr>
          <w:rtl/>
          <w:lang w:bidi="fa-IR"/>
        </w:rPr>
        <w:t>الْوَرَعُ عَنِ الْمَحَارِمِ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9526DA">
        <w:rPr>
          <w:rtl/>
        </w:rPr>
        <w:t>1704</w:t>
      </w:r>
      <w:r w:rsidRPr="00261CB0">
        <w:rPr>
          <w:rStyle w:val="libBold2Char"/>
          <w:rtl/>
        </w:rPr>
        <w:t xml:space="preserve"> / 15.</w:t>
      </w:r>
      <w:r w:rsidRPr="00C9040A">
        <w:rPr>
          <w:rtl/>
          <w:lang w:bidi="fa-IR"/>
        </w:rPr>
        <w:t xml:space="preserve"> مُحَمَّدُ بْنُ يَحْيى ، عَنْ أَحْمَدَ بْنِ مُحَمَّدِ بْنِ عِيسى ، قَالَ : أَخْبَرَنِي يَحْيَى بْنُ سُلَيْمٍ </w:t>
      </w:r>
      <w:r w:rsidR="006C577F" w:rsidRPr="006C577F">
        <w:rPr>
          <w:rStyle w:val="libFootnotenumChar"/>
          <w:rtl/>
        </w:rPr>
        <w:t>(3)</w:t>
      </w:r>
      <w:r w:rsidRPr="00C9040A">
        <w:rPr>
          <w:rtl/>
          <w:lang w:bidi="fa-IR"/>
        </w:rPr>
        <w:t xml:space="preserve"> الطَّائِفِيُّ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C9040A">
        <w:rPr>
          <w:rtl/>
          <w:lang w:bidi="fa-IR"/>
        </w:rPr>
        <w:t xml:space="preserve">قَالَ : أَخْبَرَنِي عَمْرُو </w:t>
      </w:r>
      <w:r w:rsidR="006C577F" w:rsidRPr="006C577F">
        <w:rPr>
          <w:rStyle w:val="libFootnotenumChar"/>
          <w:rtl/>
        </w:rPr>
        <w:t>(5)</w:t>
      </w:r>
      <w:r w:rsidRPr="00C9040A">
        <w:rPr>
          <w:rtl/>
          <w:lang w:bidi="fa-IR"/>
        </w:rPr>
        <w:t xml:space="preserve"> بْنُ شِمْرٍ الْيَمَانِيُّ </w:t>
      </w:r>
      <w:r w:rsidR="006C577F" w:rsidRPr="006C577F">
        <w:rPr>
          <w:rStyle w:val="libFootnotenumChar"/>
          <w:rtl/>
        </w:rPr>
        <w:t>(6)</w:t>
      </w:r>
      <w:r w:rsidRPr="005B567D">
        <w:rPr>
          <w:rStyle w:val="libFootnotenumChar"/>
          <w:rtl/>
        </w:rPr>
        <w:t xml:space="preserve"> </w:t>
      </w:r>
      <w:r w:rsidRPr="00C9040A">
        <w:rPr>
          <w:rtl/>
          <w:lang w:bidi="fa-IR"/>
        </w:rPr>
        <w:t xml:space="preserve">يَرْفَعُ الْحَدِيثَ إِلى عَلِيٍّ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الصَّبْرُ ثَلَاثَةٌ : صَبْرٌ عِنْدَ </w:t>
      </w:r>
      <w:r w:rsidR="006C577F" w:rsidRPr="006C577F">
        <w:rPr>
          <w:rStyle w:val="libFootnotenumChar"/>
          <w:rtl/>
        </w:rPr>
        <w:t>(7)</w:t>
      </w:r>
      <w:r w:rsidRPr="00C9040A">
        <w:rPr>
          <w:rtl/>
          <w:lang w:bidi="fa-IR"/>
        </w:rPr>
        <w:t xml:space="preserve"> الْمُصِيبَةِ ، وَصَبْرٌ عَلَى </w:t>
      </w:r>
      <w:r w:rsidR="006C577F" w:rsidRPr="006C577F">
        <w:rPr>
          <w:rStyle w:val="libFootnotenumChar"/>
          <w:rtl/>
        </w:rPr>
        <w:t>(8)</w:t>
      </w:r>
      <w:r w:rsidRPr="00C9040A">
        <w:rPr>
          <w:rtl/>
          <w:lang w:bidi="fa-IR"/>
        </w:rPr>
        <w:t xml:space="preserve"> الطَّاعَةِ ، وَصَبْرٌ عَنِ </w:t>
      </w:r>
      <w:r w:rsidR="006C577F" w:rsidRPr="006C577F">
        <w:rPr>
          <w:rStyle w:val="libFootnotenumChar"/>
          <w:rtl/>
        </w:rPr>
        <w:t>(9)</w:t>
      </w:r>
      <w:r w:rsidRPr="00C9040A">
        <w:rPr>
          <w:rtl/>
          <w:lang w:bidi="fa-IR"/>
        </w:rPr>
        <w:t xml:space="preserve"> الْمَعْصِيَةِ ، فَمَنْ صَبَرَ عَلَى الْمُصِيبَةِ حَتّى يَرُدَّهَا بِحُسْنِ عَزَائِهَا ، كَتَبَ اللهُ لَهُ ثَلَاثَمِائَةِ دَرَجَةٍ ، مَا بَيْنَ الدَّرَجَةِ إِلَى الدَّرَجَةِ كَمَا بَيْنَ السَّمَاءِ إِلَى </w:t>
      </w:r>
      <w:r w:rsidR="006C577F" w:rsidRPr="006C577F">
        <w:rPr>
          <w:rStyle w:val="libFootnotenumChar"/>
          <w:rtl/>
        </w:rPr>
        <w:t>(10)</w:t>
      </w:r>
      <w:r w:rsidRPr="00C9040A">
        <w:rPr>
          <w:rtl/>
          <w:lang w:bidi="fa-IR"/>
        </w:rPr>
        <w:t xml:space="preserve"> الْأَرْضِ ، وَمَنْ صَبَرَ عَلَى الطَّاعَةِ ، كَتَبَ اللهُ لَهُ سِتَّمِائَةِ دَرَجَةٍ ، مَا بَيْنَ الدَّرَجَةِ إِلَى الدَّرَجَةِ كَمَا </w:t>
      </w:r>
      <w:r w:rsidR="006C577F" w:rsidRPr="006C577F">
        <w:rPr>
          <w:rStyle w:val="libFootnotenumChar"/>
          <w:rtl/>
        </w:rPr>
        <w:t>(11)</w:t>
      </w:r>
      <w:r w:rsidRPr="00C9040A">
        <w:rPr>
          <w:rtl/>
          <w:lang w:bidi="fa-IR"/>
        </w:rPr>
        <w:t xml:space="preserve"> بَيْنَ تُخُومِ </w:t>
      </w:r>
      <w:r w:rsidR="006C577F" w:rsidRPr="006C577F">
        <w:rPr>
          <w:rStyle w:val="libFootnotenumChar"/>
          <w:rtl/>
        </w:rPr>
        <w:t>(12)</w:t>
      </w:r>
      <w:r w:rsidRPr="00C9040A">
        <w:rPr>
          <w:rtl/>
          <w:lang w:bidi="fa-IR"/>
        </w:rPr>
        <w:t xml:space="preserve"> الْأَرْضِ إِلَى </w:t>
      </w:r>
      <w:r w:rsidRPr="005B567D">
        <w:rPr>
          <w:rStyle w:val="libFootnotenumChar"/>
          <w:rtl/>
        </w:rPr>
        <w:t>(13)</w:t>
      </w:r>
      <w:r w:rsidRPr="00C9040A">
        <w:rPr>
          <w:rtl/>
          <w:lang w:bidi="fa-IR"/>
        </w:rPr>
        <w:t xml:space="preserve"> الْعَرْشِ ، وَمَنْ صَبَرَ عَنِ </w:t>
      </w:r>
      <w:r w:rsidRPr="005B567D">
        <w:rPr>
          <w:rStyle w:val="libFootnotenumChar"/>
          <w:rtl/>
        </w:rPr>
        <w:t>(14)</w:t>
      </w:r>
      <w:r w:rsidRPr="00C9040A">
        <w:rPr>
          <w:rtl/>
          <w:lang w:bidi="fa-IR"/>
        </w:rPr>
        <w:t xml:space="preserve"> الْمَعْصِيَةِ ، كَتَبَ اللهُ لَهُ تِسْعَمِائَةِ دَرَجَةٍ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 </w:t>
      </w:r>
      <w:r w:rsidR="006D3162">
        <w:rPr>
          <w:rtl/>
        </w:rPr>
        <w:t xml:space="preserve">ه </w:t>
      </w:r>
      <w:r w:rsidR="008A74EB" w:rsidRPr="00C9040A">
        <w:rPr>
          <w:rtl/>
        </w:rPr>
        <w:t>» : « الصبر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الوافي</w:t>
      </w:r>
      <w:r w:rsidR="008A74EB" w:rsidRPr="00C9040A">
        <w:rPr>
          <w:rtl/>
        </w:rPr>
        <w:t xml:space="preserve"> ، ج 4 ، ص 335 ، ح 2059 ؛ </w:t>
      </w:r>
      <w:r w:rsidR="008A74EB" w:rsidRPr="00993B55">
        <w:rPr>
          <w:rStyle w:val="libFootnoteBoldChar"/>
          <w:rtl/>
        </w:rPr>
        <w:t>الوسائل</w:t>
      </w:r>
      <w:r w:rsidR="008A74EB" w:rsidRPr="00C9040A">
        <w:rPr>
          <w:rtl/>
        </w:rPr>
        <w:t xml:space="preserve"> ، ج 15 ، ص 237 ، ح 20371 ؛ </w:t>
      </w:r>
      <w:r w:rsidR="008A74EB" w:rsidRPr="00993B55">
        <w:rPr>
          <w:rStyle w:val="libFootnoteBoldChar"/>
          <w:rtl/>
        </w:rPr>
        <w:t>البحار</w:t>
      </w:r>
      <w:r w:rsidR="008A74EB" w:rsidRPr="00C9040A">
        <w:rPr>
          <w:rtl/>
        </w:rPr>
        <w:t xml:space="preserve"> ، ج 71 ، ص 77 ، ح 11.</w:t>
      </w:r>
    </w:p>
    <w:p w:rsidR="008A74EB" w:rsidRPr="00C9040A" w:rsidRDefault="006C577F" w:rsidP="004A4E41">
      <w:pPr>
        <w:pStyle w:val="libFootnote0"/>
        <w:rPr>
          <w:rtl/>
          <w:lang w:bidi="fa-IR"/>
        </w:rPr>
      </w:pPr>
      <w:r>
        <w:rPr>
          <w:rtl/>
        </w:rPr>
        <w:t>(3).</w:t>
      </w:r>
      <w:r w:rsidR="008A74EB" w:rsidRPr="00C9040A">
        <w:rPr>
          <w:rtl/>
        </w:rPr>
        <w:t xml:space="preserve"> في « بس » : « سليمان » ، ويحيى بن سليم الطائفي ترجم له في </w:t>
      </w:r>
      <w:r w:rsidR="008A74EB" w:rsidRPr="00993B55">
        <w:rPr>
          <w:rStyle w:val="libFootnoteBoldChar"/>
          <w:rtl/>
        </w:rPr>
        <w:t>تهذيب الكمال</w:t>
      </w:r>
      <w:r w:rsidR="008A74EB" w:rsidRPr="00C9040A">
        <w:rPr>
          <w:rtl/>
        </w:rPr>
        <w:t xml:space="preserve"> ، ج 31 ، ص 365 ، الرقم 6841 ، وذكر أنّه مات سنة خمس وتسعين ومائة. والشيخ الطوسي أيضاً ذكر في رجاله ، ص 323 ، الرقم 4821 ، يحيى بن سليم الطائفي في أصحاب أبي عبد الله </w:t>
      </w:r>
      <w:r w:rsidR="00117575" w:rsidRPr="00117575">
        <w:rPr>
          <w:rStyle w:val="libFootnoteAlaemChar"/>
          <w:rtl/>
        </w:rPr>
        <w:t xml:space="preserve">عليه‌السلام </w:t>
      </w:r>
      <w:r w:rsidR="008A74EB" w:rsidRPr="00C9040A">
        <w:rPr>
          <w:rtl/>
        </w:rPr>
        <w:t xml:space="preserve">. والظاهر كونه معمّراً كما يظهر من ملاحظة ترجمته في </w:t>
      </w:r>
      <w:r w:rsidR="008A74EB" w:rsidRPr="00993B55">
        <w:rPr>
          <w:rStyle w:val="libFootnoteBoldChar"/>
          <w:rtl/>
        </w:rPr>
        <w:t>تهذيب الكمال</w:t>
      </w:r>
      <w:r w:rsidR="008A74EB" w:rsidRPr="00C9040A">
        <w:rPr>
          <w:rtl/>
        </w:rPr>
        <w:t xml:space="preserve"> ، فلاحظ.</w:t>
      </w:r>
    </w:p>
    <w:p w:rsidR="008A74EB" w:rsidRPr="00C9040A" w:rsidRDefault="006C577F" w:rsidP="004A4E41">
      <w:pPr>
        <w:pStyle w:val="libFootnote0"/>
        <w:rPr>
          <w:rtl/>
          <w:lang w:bidi="fa-IR"/>
        </w:rPr>
      </w:pPr>
      <w:r>
        <w:rPr>
          <w:rtl/>
        </w:rPr>
        <w:t>(4).</w:t>
      </w:r>
      <w:r w:rsidR="008A74EB" w:rsidRPr="00C9040A">
        <w:rPr>
          <w:rtl/>
        </w:rPr>
        <w:t xml:space="preserve"> في « </w:t>
      </w:r>
      <w:r w:rsidR="006D3162">
        <w:rPr>
          <w:rtl/>
        </w:rPr>
        <w:t xml:space="preserve">ه </w:t>
      </w:r>
      <w:r w:rsidR="008A74EB" w:rsidRPr="00C9040A">
        <w:rPr>
          <w:rtl/>
        </w:rPr>
        <w:t xml:space="preserve">» </w:t>
      </w:r>
      <w:r w:rsidR="008A74EB">
        <w:rPr>
          <w:rtl/>
        </w:rPr>
        <w:t xml:space="preserve">: </w:t>
      </w:r>
      <w:r w:rsidR="0084262C">
        <w:rPr>
          <w:rtl/>
        </w:rPr>
        <w:t>-</w:t>
      </w:r>
      <w:r w:rsidR="008A74EB" w:rsidRPr="00C9040A">
        <w:rPr>
          <w:rtl/>
        </w:rPr>
        <w:t xml:space="preserve"> « قال : أخبرني يحيى بن سُلَيم الطائفي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ز » : « عمر »</w:t>
      </w:r>
      <w:r w:rsidR="008A74EB">
        <w:rPr>
          <w:rtl/>
        </w:rPr>
        <w:t>.</w:t>
      </w:r>
    </w:p>
    <w:p w:rsidR="008A74EB" w:rsidRPr="004A4E41" w:rsidRDefault="006C577F" w:rsidP="004A4E41">
      <w:pPr>
        <w:pStyle w:val="libFootnote0"/>
        <w:rPr>
          <w:rStyle w:val="libFootnote0Char"/>
          <w:rtl/>
        </w:rPr>
      </w:pPr>
      <w:r>
        <w:rPr>
          <w:rtl/>
        </w:rPr>
        <w:t>(6).</w:t>
      </w:r>
      <w:r w:rsidR="008A74EB">
        <w:rPr>
          <w:rtl/>
        </w:rPr>
        <w:t xml:space="preserve"> </w:t>
      </w:r>
      <w:r w:rsidR="008A74EB" w:rsidRPr="00C9040A">
        <w:rPr>
          <w:rtl/>
        </w:rPr>
        <w:t>في « بر ، ف » : « اليمامي » ، والرجل مجهول لم نعرفه.</w:t>
      </w:r>
    </w:p>
    <w:tbl>
      <w:tblPr>
        <w:tblStyle w:val="TableGrid"/>
        <w:bidiVisual/>
        <w:tblW w:w="0" w:type="auto"/>
        <w:tblLook w:val="04A0" w:firstRow="1" w:lastRow="0" w:firstColumn="1" w:lastColumn="0" w:noHBand="0" w:noVBand="1"/>
      </w:tblPr>
      <w:tblGrid>
        <w:gridCol w:w="4006"/>
        <w:gridCol w:w="4006"/>
      </w:tblGrid>
      <w:tr w:rsidR="00FB5A96" w:rsidTr="00FB5A96">
        <w:tc>
          <w:tcPr>
            <w:tcW w:w="4006" w:type="dxa"/>
          </w:tcPr>
          <w:p w:rsidR="00FB5A96" w:rsidRDefault="00FB5A96" w:rsidP="004A4E41">
            <w:pPr>
              <w:pStyle w:val="libFootnote0"/>
              <w:rPr>
                <w:rtl/>
              </w:rPr>
            </w:pPr>
            <w:r>
              <w:rPr>
                <w:rtl/>
              </w:rPr>
              <w:t>(7).</w:t>
            </w:r>
            <w:r w:rsidRPr="00C9040A">
              <w:rPr>
                <w:rtl/>
              </w:rPr>
              <w:t xml:space="preserve"> في البحار : « على »</w:t>
            </w:r>
            <w:r>
              <w:rPr>
                <w:rtl/>
              </w:rPr>
              <w:t>.</w:t>
            </w:r>
          </w:p>
        </w:tc>
        <w:tc>
          <w:tcPr>
            <w:tcW w:w="4006" w:type="dxa"/>
          </w:tcPr>
          <w:p w:rsidR="00FB5A96" w:rsidRDefault="00FB5A96" w:rsidP="004A4E41">
            <w:pPr>
              <w:pStyle w:val="libFootnote0"/>
              <w:rPr>
                <w:rtl/>
              </w:rPr>
            </w:pPr>
            <w:r>
              <w:rPr>
                <w:rtl/>
              </w:rPr>
              <w:t>(8).</w:t>
            </w:r>
            <w:r w:rsidRPr="00C9040A">
              <w:rPr>
                <w:rtl/>
              </w:rPr>
              <w:t xml:space="preserve"> في الوسائل : « عند »</w:t>
            </w:r>
            <w:r>
              <w:rPr>
                <w:rtl/>
              </w:rPr>
              <w:t>.</w:t>
            </w:r>
          </w:p>
        </w:tc>
      </w:tr>
    </w:tbl>
    <w:p w:rsidR="008A74EB" w:rsidRPr="00C9040A" w:rsidRDefault="006C577F" w:rsidP="004A4E41">
      <w:pPr>
        <w:pStyle w:val="libFootnote0"/>
        <w:rPr>
          <w:rtl/>
          <w:lang w:bidi="fa-IR"/>
        </w:rPr>
      </w:pPr>
      <w:r>
        <w:rPr>
          <w:rtl/>
        </w:rPr>
        <w:t>(9).</w:t>
      </w:r>
      <w:r w:rsidR="008A74EB" w:rsidRPr="00C9040A">
        <w:rPr>
          <w:rtl/>
        </w:rPr>
        <w:t xml:space="preserve"> في « ز ، ص ، ف » والبحار : « على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 ز ، ص ، بر » وحاشية « بف » والوافي والوسائل : « </w:t>
      </w:r>
      <w:r w:rsidR="008A74EB">
        <w:rPr>
          <w:rtl/>
        </w:rPr>
        <w:t>و ».</w:t>
      </w:r>
    </w:p>
    <w:p w:rsidR="008A74EB" w:rsidRPr="00C9040A" w:rsidRDefault="006C577F" w:rsidP="004A4E41">
      <w:pPr>
        <w:pStyle w:val="libFootnote0"/>
        <w:rPr>
          <w:rtl/>
          <w:lang w:bidi="fa-IR"/>
        </w:rPr>
      </w:pPr>
      <w:r>
        <w:rPr>
          <w:rtl/>
        </w:rPr>
        <w:t>(11).</w:t>
      </w:r>
      <w:r w:rsidR="008A74EB" w:rsidRPr="00C9040A">
        <w:rPr>
          <w:rtl/>
        </w:rPr>
        <w:t xml:space="preserve"> في « ز » : « ما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 التَخْم » : حدّ الأرض. والجمع : تُخُوم. والتُخوم : الفصل بين الأرضين. </w:t>
      </w:r>
      <w:r w:rsidR="008A74EB" w:rsidRPr="00993B55">
        <w:rPr>
          <w:rStyle w:val="libFootnoteBoldChar"/>
          <w:rtl/>
        </w:rPr>
        <w:t>مجمع البحرين</w:t>
      </w:r>
      <w:r w:rsidR="008A74EB" w:rsidRPr="00C9040A">
        <w:rPr>
          <w:rtl/>
        </w:rPr>
        <w:t xml:space="preserve"> ، ج 6 ، ص 21 ( تخم )</w:t>
      </w:r>
      <w:r w:rsidR="008A74EB">
        <w:rPr>
          <w:rtl/>
        </w:rPr>
        <w:t>.</w:t>
      </w:r>
    </w:p>
    <w:p w:rsidR="008A74EB" w:rsidRPr="00C9040A" w:rsidRDefault="008A74EB" w:rsidP="004A4E41">
      <w:pPr>
        <w:pStyle w:val="libFootnote0"/>
        <w:rPr>
          <w:rtl/>
          <w:lang w:bidi="fa-IR"/>
        </w:rPr>
      </w:pPr>
      <w:r>
        <w:rPr>
          <w:rtl/>
        </w:rPr>
        <w:t>(13)</w:t>
      </w:r>
      <w:r w:rsidRPr="00C9040A">
        <w:rPr>
          <w:rtl/>
        </w:rPr>
        <w:t xml:space="preserve"> في حاشية « ز » وشرح المازندراني والوسائل : + « منتهى »</w:t>
      </w:r>
      <w:r>
        <w:rPr>
          <w:rtl/>
        </w:rPr>
        <w:t>.</w:t>
      </w:r>
    </w:p>
    <w:p w:rsidR="008A74EB" w:rsidRPr="00C9040A" w:rsidRDefault="008A74EB" w:rsidP="004A4E41">
      <w:pPr>
        <w:pStyle w:val="libFootnote0"/>
        <w:rPr>
          <w:rtl/>
          <w:lang w:bidi="fa-IR"/>
        </w:rPr>
      </w:pPr>
      <w:r>
        <w:rPr>
          <w:rtl/>
        </w:rPr>
        <w:t>(14)</w:t>
      </w:r>
      <w:r w:rsidRPr="00C9040A">
        <w:rPr>
          <w:rtl/>
        </w:rPr>
        <w:t xml:space="preserve"> في « ز ، ف ، بر » وحاشية « ج » والبحار : « على »</w:t>
      </w:r>
      <w:r>
        <w:rPr>
          <w:rtl/>
        </w:rPr>
        <w:t>.</w:t>
      </w:r>
      <w:r w:rsidRPr="00C9040A">
        <w:rPr>
          <w:rtl/>
        </w:rPr>
        <w:t xml:space="preserve"> وفي « بس » : « عند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مَا بَيْنَ الدَّرَجَةِ </w:t>
      </w:r>
      <w:r w:rsidR="006C577F" w:rsidRPr="006C577F">
        <w:rPr>
          <w:rStyle w:val="libFootnotenumChar"/>
          <w:rtl/>
        </w:rPr>
        <w:t>(1)</w:t>
      </w:r>
      <w:r w:rsidRPr="00853746">
        <w:rPr>
          <w:rFonts w:hint="cs"/>
          <w:rtl/>
        </w:rPr>
        <w:t xml:space="preserve"> </w:t>
      </w:r>
      <w:r w:rsidRPr="00C9040A">
        <w:rPr>
          <w:rtl/>
          <w:lang w:bidi="fa-IR"/>
        </w:rPr>
        <w:t>إِلَى الدَّرَجَةِ كَمَا بَيْنَ تُخُومِ الْأَرْضِ إِلى مُنْتَهَى الْعَرْشِ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9526DA">
        <w:rPr>
          <w:rtl/>
        </w:rPr>
        <w:t>1705</w:t>
      </w:r>
      <w:r w:rsidRPr="00261CB0">
        <w:rPr>
          <w:rStyle w:val="libBold2Char"/>
          <w:rtl/>
        </w:rPr>
        <w:t xml:space="preserve"> / 16.</w:t>
      </w:r>
      <w:r w:rsidRPr="00C9040A">
        <w:rPr>
          <w:rtl/>
          <w:lang w:bidi="fa-IR"/>
        </w:rPr>
        <w:t xml:space="preserve"> عَنْهُ </w:t>
      </w:r>
      <w:r w:rsidR="006C577F" w:rsidRPr="006C577F">
        <w:rPr>
          <w:rStyle w:val="libFootnotenumChar"/>
          <w:rtl/>
        </w:rPr>
        <w:t>(3)</w:t>
      </w:r>
      <w:r w:rsidRPr="00C9040A">
        <w:rPr>
          <w:rtl/>
          <w:lang w:bidi="fa-IR"/>
        </w:rPr>
        <w:t xml:space="preserve"> ، عَنْ عَلِيِّ بْنِ الْحَكَمِ ، عَنْ يُونُسَ بْنِ يَعْقُوبَ ، قَالَ :</w:t>
      </w:r>
    </w:p>
    <w:p w:rsidR="008A74EB" w:rsidRPr="00C9040A" w:rsidRDefault="008A74EB" w:rsidP="008A74EB">
      <w:pPr>
        <w:pStyle w:val="libNormal"/>
        <w:rPr>
          <w:rtl/>
          <w:lang w:bidi="fa-IR"/>
        </w:rPr>
      </w:pPr>
      <w:r w:rsidRPr="00C9040A">
        <w:rPr>
          <w:rtl/>
          <w:lang w:bidi="fa-IR"/>
        </w:rPr>
        <w:t xml:space="preserve">أَمَرَنِي أَبُو عَبْدِ اللهِ </w:t>
      </w:r>
      <w:r w:rsidRPr="0003660B">
        <w:rPr>
          <w:rStyle w:val="libAlaemChar"/>
          <w:rtl/>
        </w:rPr>
        <w:t>عليه‌السلام</w:t>
      </w:r>
      <w:r w:rsidRPr="00C9040A">
        <w:rPr>
          <w:rtl/>
          <w:lang w:bidi="fa-IR"/>
        </w:rPr>
        <w:t xml:space="preserve"> أَنْ آتِيَ الْمُفَضَّلَ ، وَأُعَزِّيَهُ بِإِسْمَاعِيلَ </w:t>
      </w:r>
      <w:r w:rsidR="006C577F" w:rsidRPr="006C577F">
        <w:rPr>
          <w:rStyle w:val="libFootnotenumChar"/>
          <w:rtl/>
        </w:rPr>
        <w:t>(4)</w:t>
      </w:r>
      <w:r w:rsidRPr="00C9040A">
        <w:rPr>
          <w:rtl/>
          <w:lang w:bidi="fa-IR"/>
        </w:rPr>
        <w:t xml:space="preserve"> ، وَقَالَ : « أَقْرِئِ الْمُفَضَّلَ السَّلَامَ ، وَ</w:t>
      </w:r>
      <w:r>
        <w:rPr>
          <w:rFonts w:hint="cs"/>
          <w:rtl/>
          <w:lang w:bidi="fa-IR"/>
        </w:rPr>
        <w:t xml:space="preserve"> </w:t>
      </w:r>
      <w:r w:rsidR="006C577F" w:rsidRPr="006C577F">
        <w:rPr>
          <w:rStyle w:val="libFootnotenumChar"/>
          <w:rtl/>
        </w:rPr>
        <w:t>(5)</w:t>
      </w:r>
      <w:r w:rsidRPr="00C9040A">
        <w:rPr>
          <w:rtl/>
          <w:lang w:bidi="fa-IR"/>
        </w:rPr>
        <w:t xml:space="preserve"> قُلْ لَهُ : إِنَّا قَدْ أُصِبْنَا بِإِسْمَاعِيلَ ، فَصَبَرْنَا ، فَاصْبِرْ كَمَا صَبَرْنَا ؛ إِنَّا أَرَدْنَا أَمْراً وَأَرَادَ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أَمْراً ، فَسَلَّمْنَا لِأَمْرِ اللهِ عَزَّوَجَلَّ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Normal"/>
        <w:rPr>
          <w:rtl/>
          <w:lang w:bidi="fa-IR"/>
        </w:rPr>
      </w:pPr>
      <w:r w:rsidRPr="009526DA">
        <w:rPr>
          <w:rtl/>
        </w:rPr>
        <w:t>1706</w:t>
      </w:r>
      <w:r w:rsidRPr="00261CB0">
        <w:rPr>
          <w:rStyle w:val="libBold2Char"/>
          <w:rtl/>
        </w:rPr>
        <w:t xml:space="preserve"> / 17.</w:t>
      </w:r>
      <w:r w:rsidRPr="00C9040A">
        <w:rPr>
          <w:rtl/>
          <w:lang w:bidi="fa-IR"/>
        </w:rPr>
        <w:t xml:space="preserve"> عَلِيُّ بْنُ إِبْرَاهِيمَ ، عَنْ أَبِيهِ ، عَنِ ابْنِ أَبِي عُمَيْرٍ ، عَنْ سَيْفِ بْنِ عَمِيرَةَ ، عَنْ أَبِي حَمْزَةَ الثُّمَالِيِّ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مَنِ ابْتُلِيَ مِنَ الْمُؤْمِنِينَ بِبَلَاءٍ فَصَبَرَ عَلَيْهِ ، كَانَ لَهُ </w:t>
      </w:r>
      <w:r w:rsidR="006C577F" w:rsidRPr="006C577F">
        <w:rPr>
          <w:rStyle w:val="libFootnotenumChar"/>
          <w:rtl/>
        </w:rPr>
        <w:t>(7)</w:t>
      </w:r>
      <w:r w:rsidRPr="00C9040A">
        <w:rPr>
          <w:rtl/>
          <w:lang w:bidi="fa-IR"/>
        </w:rPr>
        <w:t xml:space="preserve"> مِثْلُ أَجْرِ أَلْفِ شَهِيدٍ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r w:rsidRPr="00C9040A">
        <w:t>‌</w:t>
      </w:r>
    </w:p>
    <w:p w:rsidR="008A74EB" w:rsidRPr="00C9040A" w:rsidRDefault="008A74EB" w:rsidP="008A74EB">
      <w:pPr>
        <w:pStyle w:val="libNormal"/>
        <w:rPr>
          <w:rtl/>
          <w:lang w:bidi="fa-IR"/>
        </w:rPr>
      </w:pPr>
      <w:r w:rsidRPr="009526DA">
        <w:rPr>
          <w:rtl/>
        </w:rPr>
        <w:t>1707</w:t>
      </w:r>
      <w:r w:rsidRPr="00261CB0">
        <w:rPr>
          <w:rStyle w:val="libBold2Char"/>
          <w:rtl/>
        </w:rPr>
        <w:t xml:space="preserve"> / 18.</w:t>
      </w:r>
      <w:r w:rsidRPr="00C9040A">
        <w:rPr>
          <w:rtl/>
          <w:lang w:bidi="fa-IR"/>
        </w:rPr>
        <w:t xml:space="preserve"> مُحَمَّدُ بْنُ يَحْيى ، عَنْ أَحْمَدَ بْنِ مُحَمَّدِ بْنِ عِيسى ، عَنْ مُحَمَّدِ بْنِ سِنَانٍ ، عَنْ عَمَّارِ بْنِ مَرْوَانَ ، عَنْ سَمَاعَةَ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الوسائل : « درجة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تحف العقول</w:t>
      </w:r>
      <w:r w:rsidR="008A74EB" w:rsidRPr="00C9040A">
        <w:rPr>
          <w:rtl/>
        </w:rPr>
        <w:t xml:space="preserve"> ، ص 206 ، عن عليّ </w:t>
      </w:r>
      <w:r w:rsidR="00117575" w:rsidRPr="00117575">
        <w:rPr>
          <w:rStyle w:val="libFootnoteAlaemChar"/>
          <w:rtl/>
        </w:rPr>
        <w:t>عليه‌السلام</w:t>
      </w:r>
      <w:r w:rsidR="008A74EB" w:rsidRPr="00C9040A">
        <w:rPr>
          <w:rtl/>
        </w:rPr>
        <w:t xml:space="preserve"> ، من دون الإسناد إلى النبيّ </w:t>
      </w:r>
      <w:r w:rsidR="004A4E41" w:rsidRPr="00AC2E2F">
        <w:rPr>
          <w:rStyle w:val="libFootnoteAlaemChar"/>
          <w:rtl/>
        </w:rPr>
        <w:t>صلى‌الله‌عليه‌وآله</w:t>
      </w:r>
      <w:r w:rsidR="008A74EB" w:rsidRPr="00C9040A">
        <w:rPr>
          <w:rtl/>
        </w:rPr>
        <w:t xml:space="preserve"> ، وتمام الرواية : « الصبر ثلاثة : الصبر على المصيبة ، والصبر على الطاعة ، والصبر عن المعصية » </w:t>
      </w:r>
      <w:r w:rsidR="00DC7241">
        <w:rPr>
          <w:rFonts w:hint="cs"/>
          <w:rtl/>
        </w:rPr>
        <w:t>.</w:t>
      </w:r>
      <w:r w:rsidR="008A74EB" w:rsidRPr="00993B55">
        <w:rPr>
          <w:rStyle w:val="libFootnoteBoldChar"/>
          <w:rtl/>
        </w:rPr>
        <w:t>الوافي</w:t>
      </w:r>
      <w:r w:rsidR="008A74EB" w:rsidRPr="00C9040A">
        <w:rPr>
          <w:rtl/>
        </w:rPr>
        <w:t xml:space="preserve"> ، ج 4 ، ص 336 ، ح 2060 ؛ </w:t>
      </w:r>
      <w:r w:rsidR="008A74EB" w:rsidRPr="00993B55">
        <w:rPr>
          <w:rStyle w:val="libFootnoteBoldChar"/>
          <w:rtl/>
        </w:rPr>
        <w:t>الوسائل</w:t>
      </w:r>
      <w:r w:rsidR="008A74EB" w:rsidRPr="00C9040A">
        <w:rPr>
          <w:rtl/>
        </w:rPr>
        <w:t xml:space="preserve"> ، ج 15 ، ص 237 ، ح 20373 ؛ </w:t>
      </w:r>
      <w:r w:rsidR="008A74EB" w:rsidRPr="00993B55">
        <w:rPr>
          <w:rStyle w:val="libFootnoteBoldChar"/>
          <w:rtl/>
        </w:rPr>
        <w:t>البحار</w:t>
      </w:r>
      <w:r w:rsidR="008A74EB" w:rsidRPr="00C9040A">
        <w:rPr>
          <w:rtl/>
        </w:rPr>
        <w:t xml:space="preserve"> ، ج 71 ، ص 77 ، ح 12.</w:t>
      </w:r>
    </w:p>
    <w:p w:rsidR="008A74EB" w:rsidRPr="00C9040A" w:rsidRDefault="006C577F" w:rsidP="004A4E41">
      <w:pPr>
        <w:pStyle w:val="libFootnote0"/>
        <w:rPr>
          <w:rtl/>
          <w:lang w:bidi="fa-IR"/>
        </w:rPr>
      </w:pPr>
      <w:r>
        <w:rPr>
          <w:rtl/>
        </w:rPr>
        <w:t>(3).</w:t>
      </w:r>
      <w:r w:rsidR="008A74EB" w:rsidRPr="00C9040A">
        <w:rPr>
          <w:rtl/>
        </w:rPr>
        <w:t xml:space="preserve"> الضمير راجع إلى أحمد بن محمّد بن عيسى المذكور في السند السابق.</w:t>
      </w:r>
    </w:p>
    <w:p w:rsidR="008A74EB" w:rsidRPr="00C9040A" w:rsidRDefault="006C577F" w:rsidP="004A4E41">
      <w:pPr>
        <w:pStyle w:val="libFootnote0"/>
        <w:rPr>
          <w:rtl/>
          <w:lang w:bidi="fa-IR"/>
        </w:rPr>
      </w:pPr>
      <w:r>
        <w:rPr>
          <w:rtl/>
        </w:rPr>
        <w:t>(4).</w:t>
      </w:r>
      <w:r w:rsidR="008A74EB" w:rsidRPr="00C9040A">
        <w:rPr>
          <w:rtl/>
        </w:rPr>
        <w:t xml:space="preserve"> في الوسائل : « أن ا</w:t>
      </w:r>
      <w:r w:rsidR="00D61D75">
        <w:rPr>
          <w:rFonts w:hint="cs"/>
          <w:rtl/>
        </w:rPr>
        <w:t>ُ</w:t>
      </w:r>
      <w:r w:rsidR="008A74EB" w:rsidRPr="00C9040A">
        <w:rPr>
          <w:rtl/>
        </w:rPr>
        <w:t>عزّي المفضّل » بدل « أن آتي المفضّل وا</w:t>
      </w:r>
      <w:r w:rsidR="00D61D75">
        <w:rPr>
          <w:rFonts w:hint="cs"/>
          <w:rtl/>
        </w:rPr>
        <w:t>ُ</w:t>
      </w:r>
      <w:r w:rsidR="008A74EB" w:rsidRPr="00C9040A">
        <w:rPr>
          <w:rtl/>
        </w:rPr>
        <w:t>عزّيه بإسماعيل »</w:t>
      </w:r>
      <w:r w:rsidR="008A74EB">
        <w:rPr>
          <w:rtl/>
        </w:rPr>
        <w:t>.</w:t>
      </w:r>
      <w:r w:rsidR="008A74EB" w:rsidRPr="00C9040A">
        <w:rPr>
          <w:rtl/>
        </w:rPr>
        <w:t xml:space="preserve"> وفي </w:t>
      </w:r>
      <w:r w:rsidR="008A74EB" w:rsidRPr="00993B55">
        <w:rPr>
          <w:rStyle w:val="libFootnoteBoldChar"/>
          <w:rtl/>
        </w:rPr>
        <w:t>الوافي</w:t>
      </w:r>
      <w:r w:rsidR="008A74EB" w:rsidRPr="00C9040A">
        <w:rPr>
          <w:rtl/>
        </w:rPr>
        <w:t xml:space="preserve"> : « كأنّ المرادبإسماعيل ابنه </w:t>
      </w:r>
      <w:r w:rsidR="00117575" w:rsidRPr="00117575">
        <w:rPr>
          <w:rStyle w:val="libFootnoteAlaemChar"/>
          <w:rtl/>
        </w:rPr>
        <w:t xml:space="preserve">عليه‌السلام </w:t>
      </w:r>
      <w:r w:rsidR="008A74EB" w:rsidRPr="00C9040A">
        <w:rPr>
          <w:rtl/>
        </w:rPr>
        <w:t xml:space="preserve"> ولعلّ المفضّل كان ممّن أحبّه وآنس به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الوسائل </w:t>
      </w:r>
      <w:r w:rsidR="008A74EB">
        <w:rPr>
          <w:rtl/>
        </w:rPr>
        <w:t xml:space="preserve">: </w:t>
      </w:r>
      <w:r w:rsidR="0084262C">
        <w:rPr>
          <w:rtl/>
        </w:rPr>
        <w:t>-</w:t>
      </w:r>
      <w:r w:rsidR="008A74EB" w:rsidRPr="00C9040A">
        <w:rPr>
          <w:rtl/>
        </w:rPr>
        <w:t xml:space="preserve"> « أقرئ المفضّل السلام </w:t>
      </w:r>
      <w:r w:rsidR="008A74EB">
        <w:rPr>
          <w:rtl/>
        </w:rPr>
        <w:t>و ».</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الوافي</w:t>
      </w:r>
      <w:r w:rsidR="008A74EB" w:rsidRPr="00C9040A">
        <w:rPr>
          <w:rtl/>
        </w:rPr>
        <w:t xml:space="preserve"> ، ج 4 ، ص 337 ، ح 2064 ؛ </w:t>
      </w:r>
      <w:r w:rsidR="008A74EB" w:rsidRPr="00993B55">
        <w:rPr>
          <w:rStyle w:val="libFootnoteBoldChar"/>
          <w:rtl/>
        </w:rPr>
        <w:t>الوسائل</w:t>
      </w:r>
      <w:r w:rsidR="008A74EB" w:rsidRPr="00C9040A">
        <w:rPr>
          <w:rtl/>
        </w:rPr>
        <w:t xml:space="preserve"> ، ج 3 ، ص 258 ، ح 3575 ؛ </w:t>
      </w:r>
      <w:r w:rsidR="008A74EB" w:rsidRPr="00993B55">
        <w:rPr>
          <w:rStyle w:val="libFootnoteBoldChar"/>
          <w:rtl/>
        </w:rPr>
        <w:t>البحار</w:t>
      </w:r>
      <w:r w:rsidR="008A74EB" w:rsidRPr="00C9040A">
        <w:rPr>
          <w:rtl/>
        </w:rPr>
        <w:t xml:space="preserve"> ، ج 71 ، ص 78 ، ح 13.</w:t>
      </w:r>
    </w:p>
    <w:p w:rsidR="008A74EB" w:rsidRPr="00C9040A" w:rsidRDefault="006C577F" w:rsidP="004A4E41">
      <w:pPr>
        <w:pStyle w:val="libFootnote0"/>
        <w:rPr>
          <w:rtl/>
          <w:lang w:bidi="fa-IR"/>
        </w:rPr>
      </w:pPr>
      <w:r>
        <w:rPr>
          <w:rtl/>
        </w:rPr>
        <w:t>(7).</w:t>
      </w:r>
      <w:r w:rsidR="008A74EB" w:rsidRPr="00C9040A">
        <w:rPr>
          <w:rtl/>
        </w:rPr>
        <w:t xml:space="preserve"> في « ف » : + « أجر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w:t>
      </w:r>
      <w:r w:rsidR="008A74EB" w:rsidRPr="00993B55">
        <w:rPr>
          <w:rStyle w:val="libFootnoteBoldChar"/>
          <w:rtl/>
        </w:rPr>
        <w:t>الكافي</w:t>
      </w:r>
      <w:r w:rsidR="008A74EB" w:rsidRPr="00C9040A">
        <w:rPr>
          <w:rtl/>
        </w:rPr>
        <w:t xml:space="preserve"> ، </w:t>
      </w:r>
      <w:r w:rsidR="008A74EB" w:rsidRPr="00E07F95">
        <w:rPr>
          <w:rStyle w:val="libFootnoteBoldChar"/>
          <w:rtl/>
        </w:rPr>
        <w:t xml:space="preserve">كتاب الحجّة </w:t>
      </w:r>
      <w:r w:rsidR="008A74EB" w:rsidRPr="00C9040A">
        <w:rPr>
          <w:rtl/>
        </w:rPr>
        <w:t xml:space="preserve">، باب ما يفصل به بين دعوى المحقّ والمبطل في أمر الإمامة ، ح 931 ؛ </w:t>
      </w:r>
      <w:r w:rsidR="008A74EB" w:rsidRPr="00E07F95">
        <w:rPr>
          <w:rStyle w:val="libFootnoteBoldChar"/>
          <w:rtl/>
        </w:rPr>
        <w:t>و</w:t>
      </w:r>
      <w:r w:rsidR="008A74EB" w:rsidRPr="00993B55">
        <w:rPr>
          <w:rStyle w:val="libFootnoteBoldChar"/>
          <w:rtl/>
        </w:rPr>
        <w:t>عيون الأخبار</w:t>
      </w:r>
      <w:r w:rsidR="008A74EB" w:rsidRPr="00C9040A">
        <w:rPr>
          <w:rtl/>
        </w:rPr>
        <w:t xml:space="preserve"> ، ج 2 ، ص 221 ، ح 39 ، بسند آخر عن الرضا </w:t>
      </w:r>
      <w:r w:rsidR="00117575" w:rsidRPr="00117575">
        <w:rPr>
          <w:rStyle w:val="libFootnoteAlaemChar"/>
          <w:rtl/>
        </w:rPr>
        <w:t>عليه‌السلام</w:t>
      </w:r>
      <w:r w:rsidR="008A74EB" w:rsidRPr="00C9040A">
        <w:rPr>
          <w:rtl/>
        </w:rPr>
        <w:t xml:space="preserve"> ، مع اختلاف وزيادة في أوّله وآخره. </w:t>
      </w:r>
      <w:r w:rsidR="008A74EB" w:rsidRPr="00993B55">
        <w:rPr>
          <w:rStyle w:val="libFootnoteBoldChar"/>
          <w:rtl/>
        </w:rPr>
        <w:t>المؤمن</w:t>
      </w:r>
      <w:r w:rsidR="008A74EB" w:rsidRPr="00C9040A">
        <w:rPr>
          <w:rtl/>
        </w:rPr>
        <w:t xml:space="preserve"> ، ص 16 ، ح 7 ، عن أحدهما </w:t>
      </w:r>
      <w:r w:rsidR="00117575" w:rsidRPr="00117575">
        <w:rPr>
          <w:rStyle w:val="libFootnoteAlaemChar"/>
          <w:rtl/>
        </w:rPr>
        <w:t>عليهما‌السلام</w:t>
      </w:r>
      <w:r w:rsidR="008A74EB" w:rsidRPr="00C9040A">
        <w:rPr>
          <w:rtl/>
        </w:rPr>
        <w:t xml:space="preserve"> ؛ </w:t>
      </w:r>
      <w:r w:rsidR="008A74EB" w:rsidRPr="00993B55">
        <w:rPr>
          <w:rStyle w:val="libFootnoteBoldChar"/>
          <w:rtl/>
        </w:rPr>
        <w:t>وفيه</w:t>
      </w:r>
      <w:r w:rsidR="008A74EB" w:rsidRPr="00C9040A">
        <w:rPr>
          <w:rtl/>
        </w:rPr>
        <w:t xml:space="preserve"> ، ح 8 ، عن أبي الحسن </w:t>
      </w:r>
      <w:r w:rsidR="00117575" w:rsidRPr="00117575">
        <w:rPr>
          <w:rStyle w:val="libFootnoteAlaemChar"/>
          <w:rtl/>
        </w:rPr>
        <w:t>عليه‌السلام</w:t>
      </w:r>
      <w:r w:rsidR="008A74EB" w:rsidRPr="00C9040A">
        <w:rPr>
          <w:rtl/>
        </w:rPr>
        <w:t xml:space="preserve"> ، وفيهما مع اختلاف </w:t>
      </w:r>
      <w:r w:rsidR="00E07F95">
        <w:rPr>
          <w:rFonts w:hint="cs"/>
          <w:rtl/>
        </w:rPr>
        <w:t>.</w:t>
      </w:r>
      <w:r w:rsidR="008A74EB" w:rsidRPr="00993B55">
        <w:rPr>
          <w:rStyle w:val="libFootnoteBoldChar"/>
          <w:rtl/>
        </w:rPr>
        <w:t>الوافي</w:t>
      </w:r>
      <w:r w:rsidR="008A74EB" w:rsidRPr="00C9040A">
        <w:rPr>
          <w:rtl/>
        </w:rPr>
        <w:t xml:space="preserve"> ، ج 4 ، ص 337 ، ح 2065 ؛ </w:t>
      </w:r>
      <w:r w:rsidR="008A74EB" w:rsidRPr="00993B55">
        <w:rPr>
          <w:rStyle w:val="libFootnoteBoldChar"/>
          <w:rtl/>
        </w:rPr>
        <w:t>الوسائل</w:t>
      </w:r>
      <w:r w:rsidR="008A74EB" w:rsidRPr="00C9040A">
        <w:rPr>
          <w:rtl/>
        </w:rPr>
        <w:t xml:space="preserve"> ، ج 3 ، ص 255 ، ح 3560 ؛ </w:t>
      </w:r>
      <w:r w:rsidR="008A74EB" w:rsidRPr="00993B55">
        <w:rPr>
          <w:rStyle w:val="libFootnoteBoldChar"/>
          <w:rtl/>
        </w:rPr>
        <w:t>البحار</w:t>
      </w:r>
      <w:r w:rsidR="008A74EB" w:rsidRPr="00C9040A">
        <w:rPr>
          <w:rtl/>
        </w:rPr>
        <w:t xml:space="preserve"> ، ج 71 ، ص 78 ، ح 14.</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أَنْعَمَ عَلى قَوْمٍ </w:t>
      </w:r>
      <w:r w:rsidR="006C577F" w:rsidRPr="006C577F">
        <w:rPr>
          <w:rStyle w:val="libFootnotenumChar"/>
          <w:rtl/>
        </w:rPr>
        <w:t>(1)</w:t>
      </w:r>
      <w:r w:rsidRPr="00C9040A">
        <w:rPr>
          <w:rtl/>
          <w:lang w:bidi="fa-IR"/>
        </w:rPr>
        <w:t xml:space="preserve">، فَلَمْ يَشْكُرُوا ، فَصَارَتْ عَلَيْهِمْ وَبَالاً ، وَابْتَلى قَوْماً </w:t>
      </w:r>
      <w:r w:rsidR="006C577F" w:rsidRPr="006C577F">
        <w:rPr>
          <w:rStyle w:val="libFootnotenumChar"/>
          <w:rtl/>
        </w:rPr>
        <w:t>(2)</w:t>
      </w:r>
      <w:r w:rsidRPr="00C9040A">
        <w:rPr>
          <w:rtl/>
          <w:lang w:bidi="fa-IR"/>
        </w:rPr>
        <w:t xml:space="preserve"> بِالْمَصَائِبِ ، فَصَبَرُوا ، فَصَارَتْ عَلَيْهِمْ </w:t>
      </w:r>
      <w:r w:rsidR="006C577F" w:rsidRPr="006C577F">
        <w:rPr>
          <w:rStyle w:val="libFootnotenumChar"/>
          <w:rtl/>
        </w:rPr>
        <w:t>(3)</w:t>
      </w:r>
      <w:r w:rsidRPr="00C9040A">
        <w:rPr>
          <w:rtl/>
          <w:lang w:bidi="fa-IR"/>
        </w:rPr>
        <w:t xml:space="preserve"> نِعْمَةً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E07F95" w:rsidRDefault="008A74EB" w:rsidP="00E07F95">
      <w:pPr>
        <w:pStyle w:val="libNormal"/>
        <w:rPr>
          <w:rtl/>
          <w:lang w:bidi="fa-IR"/>
        </w:rPr>
      </w:pPr>
      <w:r w:rsidRPr="009526DA">
        <w:rPr>
          <w:rtl/>
        </w:rPr>
        <w:t>1708</w:t>
      </w:r>
      <w:r w:rsidRPr="00261CB0">
        <w:rPr>
          <w:rStyle w:val="libBold2Char"/>
          <w:rtl/>
        </w:rPr>
        <w:t xml:space="preserve"> / 19.</w:t>
      </w:r>
      <w:r w:rsidRPr="00C9040A">
        <w:rPr>
          <w:rtl/>
          <w:lang w:bidi="fa-IR"/>
        </w:rPr>
        <w:t xml:space="preserve"> عَلِيُّ بْنُ إِبْرَاهِيمَ ، عَنْ أَبِيهِ ؛</w:t>
      </w:r>
    </w:p>
    <w:p w:rsidR="008A74EB" w:rsidRPr="00C9040A" w:rsidRDefault="00E07F95" w:rsidP="00E07F95">
      <w:pPr>
        <w:pStyle w:val="libNormal"/>
        <w:rPr>
          <w:rtl/>
          <w:lang w:bidi="fa-IR"/>
        </w:rPr>
      </w:pPr>
      <w:r>
        <w:rPr>
          <w:rFonts w:hint="cs"/>
          <w:rtl/>
          <w:lang w:bidi="fa-IR"/>
        </w:rPr>
        <w:t xml:space="preserve">               </w:t>
      </w:r>
      <w:r w:rsidR="008A74EB" w:rsidRPr="00C9040A">
        <w:rPr>
          <w:rtl/>
          <w:lang w:bidi="fa-IR"/>
        </w:rPr>
        <w:t>وَمُحَمَّدُ بْنُ إِسْمَاعِيلَ ، عَنِ الْفَضْلِ بْنِ شَاذَانَ جَمِيعاً ، عَنِ ابْنِ أَبِي عُمَيْرٍ ، عَنْ إِبْرَاهِيمَ بْنِ عَبْدِ الْحَمِيدِ ، عَنْ أَبَانِ بْنِ أَبِي مُسَافِرٍ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فِي </w:t>
      </w:r>
      <w:r w:rsidR="006C577F" w:rsidRPr="006C577F">
        <w:rPr>
          <w:rStyle w:val="libFootnotenumChar"/>
          <w:rtl/>
        </w:rPr>
        <w:t>(5)</w:t>
      </w:r>
      <w:r w:rsidRPr="00C9040A">
        <w:rPr>
          <w:rtl/>
          <w:lang w:bidi="fa-IR"/>
        </w:rPr>
        <w:t xml:space="preserve"> قَوْلِ اللهِ عَزَّ وَجَلَّ : </w:t>
      </w:r>
      <w:r w:rsidRPr="0003660B">
        <w:rPr>
          <w:rStyle w:val="libAlaemChar"/>
          <w:rtl/>
        </w:rPr>
        <w:t>(</w:t>
      </w:r>
      <w:r w:rsidRPr="006A2246">
        <w:rPr>
          <w:rStyle w:val="libAieChar"/>
          <w:rtl/>
        </w:rPr>
        <w:t xml:space="preserve"> يا أَيُّهَا الَّذِينَ آمَنُوا اصْبِرُوا وَصابِرُوا </w:t>
      </w:r>
      <w:r w:rsidRPr="0003660B">
        <w:rPr>
          <w:rStyle w:val="libAlaemChar"/>
          <w:rtl/>
        </w:rPr>
        <w:t>)</w:t>
      </w:r>
      <w:r w:rsidRPr="00C9040A">
        <w:rPr>
          <w:rtl/>
          <w:lang w:bidi="fa-IR"/>
        </w:rPr>
        <w:t xml:space="preserve"> </w:t>
      </w:r>
      <w:r w:rsidR="006C577F" w:rsidRPr="006C577F">
        <w:rPr>
          <w:rStyle w:val="libFootnotenumChar"/>
          <w:rtl/>
        </w:rPr>
        <w:t>(6)</w:t>
      </w:r>
      <w:r w:rsidRPr="00C9040A">
        <w:rPr>
          <w:rtl/>
          <w:lang w:bidi="fa-IR"/>
        </w:rPr>
        <w:t>، قَالَ : « اصْبِرُوا عَلَى الْمَصَائِبِ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E07F95" w:rsidP="008A74EB">
      <w:pPr>
        <w:pStyle w:val="libNormal"/>
        <w:rPr>
          <w:rtl/>
          <w:lang w:bidi="fa-IR"/>
        </w:rPr>
      </w:pPr>
      <w:r>
        <w:rPr>
          <w:rFonts w:hint="cs"/>
          <w:rtl/>
          <w:lang w:bidi="fa-IR"/>
        </w:rPr>
        <w:t xml:space="preserve">* </w:t>
      </w:r>
      <w:r w:rsidR="008A74EB" w:rsidRPr="00C9040A">
        <w:rPr>
          <w:rtl/>
          <w:lang w:bidi="fa-IR"/>
        </w:rPr>
        <w:t xml:space="preserve">وَفِي رِوَايَةِ ابْنِ أَبِي يَعْفُورٍ ، عَنْ أَبِي عَبْدِ اللهِ </w:t>
      </w:r>
      <w:r w:rsidR="008A74EB" w:rsidRPr="0003660B">
        <w:rPr>
          <w:rStyle w:val="libAlaemChar"/>
          <w:rtl/>
        </w:rPr>
        <w:t>عليه‌السلام</w:t>
      </w:r>
      <w:r w:rsidR="008A74EB" w:rsidRPr="00C9040A">
        <w:rPr>
          <w:rtl/>
          <w:lang w:bidi="fa-IR"/>
        </w:rPr>
        <w:t xml:space="preserve"> ، قَالَ : « صَابِرُوا </w:t>
      </w:r>
      <w:r w:rsidR="006C577F" w:rsidRPr="006C577F">
        <w:rPr>
          <w:rStyle w:val="libFootnotenumChar"/>
          <w:rtl/>
        </w:rPr>
        <w:t>(8)</w:t>
      </w:r>
      <w:r w:rsidR="008A74EB" w:rsidRPr="00C9040A">
        <w:rPr>
          <w:rtl/>
          <w:lang w:bidi="fa-IR"/>
        </w:rPr>
        <w:t xml:space="preserve"> عَلَى الْمَصَائِبِ</w:t>
      </w:r>
      <w:r w:rsidR="006C577F" w:rsidRPr="006C577F">
        <w:rPr>
          <w:rStyle w:val="libFootnotenumChar"/>
          <w:rtl/>
        </w:rPr>
        <w:t>(9)</w:t>
      </w:r>
      <w:r w:rsidR="008A74EB" w:rsidRPr="00C9040A">
        <w:rPr>
          <w:rtl/>
          <w:lang w:bidi="fa-IR"/>
        </w:rPr>
        <w:t>»</w:t>
      </w:r>
      <w:r w:rsidR="008A74EB">
        <w:rPr>
          <w:rtl/>
          <w:lang w:bidi="fa-IR"/>
        </w:rPr>
        <w:t>.</w:t>
      </w:r>
      <w:r w:rsidR="006C577F" w:rsidRPr="006C577F">
        <w:rPr>
          <w:rStyle w:val="libFootnotenumChar"/>
          <w:rtl/>
        </w:rPr>
        <w:t>(10)</w:t>
      </w:r>
      <w:r w:rsidR="008A74EB" w:rsidRPr="00C9040A">
        <w:rPr>
          <w:rtl/>
          <w:lang w:bidi="fa-IR"/>
        </w:rPr>
        <w:t xml:space="preserve"> ‌</w:t>
      </w:r>
    </w:p>
    <w:p w:rsidR="008A74EB" w:rsidRPr="00C9040A" w:rsidRDefault="008A74EB" w:rsidP="008A74EB">
      <w:pPr>
        <w:pStyle w:val="libNormal"/>
        <w:rPr>
          <w:rtl/>
          <w:lang w:bidi="fa-IR"/>
        </w:rPr>
      </w:pPr>
      <w:r w:rsidRPr="009526DA">
        <w:rPr>
          <w:rtl/>
        </w:rPr>
        <w:t>1709</w:t>
      </w:r>
      <w:r w:rsidRPr="00261CB0">
        <w:rPr>
          <w:rStyle w:val="libBold2Char"/>
          <w:rtl/>
        </w:rPr>
        <w:t xml:space="preserve"> / 20.</w:t>
      </w:r>
      <w:r w:rsidRPr="00C9040A">
        <w:rPr>
          <w:rtl/>
          <w:lang w:bidi="fa-IR"/>
        </w:rPr>
        <w:t xml:space="preserve"> عِدَّةٌ مِنْ أَصْحَابِنَا ، عَنْ أَحْمَدَ بْنِ مُحَمَّدِ بْنِ خَالِدٍ ، عَنْ مُحَمَّدِ بْنِ عِيسى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الأمالي وتحف العقول والتهذيب : + « بالمواهب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ف » : « وابتلاهم » بدل « وابتلى قوماً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ف » </w:t>
      </w:r>
      <w:r w:rsidR="008A74EB">
        <w:rPr>
          <w:rtl/>
        </w:rPr>
        <w:t xml:space="preserve">: </w:t>
      </w:r>
      <w:r w:rsidR="0084262C">
        <w:rPr>
          <w:rtl/>
        </w:rPr>
        <w:t>-</w:t>
      </w:r>
      <w:r w:rsidR="008A74EB" w:rsidRPr="00C9040A">
        <w:rPr>
          <w:rtl/>
        </w:rPr>
        <w:t xml:space="preserve"> « عليهم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التهذيب</w:t>
      </w:r>
      <w:r w:rsidR="008A74EB" w:rsidRPr="00C9040A">
        <w:rPr>
          <w:rtl/>
        </w:rPr>
        <w:t xml:space="preserve"> ، ج 6 ، ص 377 ، ح 1101 ؛ </w:t>
      </w:r>
      <w:r w:rsidR="008A74EB" w:rsidRPr="00E07F95">
        <w:rPr>
          <w:rStyle w:val="libFootnoteBoldChar"/>
          <w:rtl/>
        </w:rPr>
        <w:t>و</w:t>
      </w:r>
      <w:r w:rsidR="008A74EB" w:rsidRPr="0034021D">
        <w:rPr>
          <w:rStyle w:val="libFootnoteBoldChar"/>
          <w:rtl/>
        </w:rPr>
        <w:t>الأمالي للصدوق</w:t>
      </w:r>
      <w:r w:rsidR="008A74EB" w:rsidRPr="00C9040A">
        <w:rPr>
          <w:rtl/>
        </w:rPr>
        <w:t xml:space="preserve"> ، ص 302 ، المجلس 50 ، ح 4 ، بسند آخر عن محمّد بن سنان. </w:t>
      </w:r>
      <w:r w:rsidR="008A74EB" w:rsidRPr="00993B55">
        <w:rPr>
          <w:rStyle w:val="libFootnoteBoldChar"/>
          <w:rtl/>
        </w:rPr>
        <w:t>تحف العقول</w:t>
      </w:r>
      <w:r w:rsidR="008A74EB" w:rsidRPr="00C9040A">
        <w:rPr>
          <w:rtl/>
        </w:rPr>
        <w:t xml:space="preserve"> ، ص 359 </w:t>
      </w:r>
      <w:r w:rsidR="00E07F95">
        <w:rPr>
          <w:rFonts w:hint="cs"/>
          <w:rtl/>
        </w:rPr>
        <w:t>.</w:t>
      </w:r>
      <w:r w:rsidR="008A74EB" w:rsidRPr="00993B55">
        <w:rPr>
          <w:rStyle w:val="libFootnoteBoldChar"/>
          <w:rtl/>
        </w:rPr>
        <w:t>الوافي</w:t>
      </w:r>
      <w:r w:rsidR="008A74EB" w:rsidRPr="00C9040A">
        <w:rPr>
          <w:rtl/>
        </w:rPr>
        <w:t xml:space="preserve"> ، ج 4 ، ص 337 ، ح 2066 ؛ </w:t>
      </w:r>
      <w:r w:rsidR="008A74EB" w:rsidRPr="00993B55">
        <w:rPr>
          <w:rStyle w:val="libFootnoteBoldChar"/>
          <w:rtl/>
        </w:rPr>
        <w:t>الوسائل</w:t>
      </w:r>
      <w:r w:rsidR="008A74EB" w:rsidRPr="00C9040A">
        <w:rPr>
          <w:rtl/>
        </w:rPr>
        <w:t xml:space="preserve"> ، ج 3 ، ص 259 ، ح 3577 ؛ </w:t>
      </w:r>
      <w:r w:rsidR="008A74EB" w:rsidRPr="00993B55">
        <w:rPr>
          <w:rStyle w:val="libFootnoteBoldChar"/>
          <w:rtl/>
        </w:rPr>
        <w:t>البحار</w:t>
      </w:r>
      <w:r w:rsidR="008A74EB" w:rsidRPr="00C9040A">
        <w:rPr>
          <w:rtl/>
        </w:rPr>
        <w:t xml:space="preserve"> ، ج 71 ، ص 81 ، ح 18.</w:t>
      </w:r>
      <w:r w:rsidR="00E07F95">
        <w:rPr>
          <w:rFonts w:hint="cs"/>
          <w:rtl/>
        </w:rPr>
        <w:t xml:space="preserve">           </w:t>
      </w:r>
      <w:r>
        <w:rPr>
          <w:rtl/>
        </w:rPr>
        <w:t>(5).</w:t>
      </w:r>
      <w:r w:rsidR="008A74EB" w:rsidRPr="00C9040A">
        <w:rPr>
          <w:rtl/>
        </w:rPr>
        <w:t xml:space="preserve"> في « ز ، ص » : « عن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آل عمران </w:t>
      </w:r>
      <w:r w:rsidR="00E07F95">
        <w:rPr>
          <w:rtl/>
        </w:rPr>
        <w:t>(3)</w:t>
      </w:r>
      <w:r w:rsidR="008A74EB" w:rsidRPr="00C9040A">
        <w:rPr>
          <w:rtl/>
        </w:rPr>
        <w:t xml:space="preserve"> : 200. وفي « ف » : + </w:t>
      </w:r>
      <w:r w:rsidR="00E07F95" w:rsidRPr="004A4E41">
        <w:rPr>
          <w:rFonts w:hint="cs"/>
          <w:rtl/>
        </w:rPr>
        <w:t>(</w:t>
      </w:r>
      <w:r w:rsidR="008A74EB" w:rsidRPr="00E07F95">
        <w:rPr>
          <w:rStyle w:val="libFootnoteAieChar"/>
          <w:rtl/>
        </w:rPr>
        <w:t xml:space="preserve"> وَرَابِطُوا </w:t>
      </w:r>
      <w:r w:rsidR="00E07F95" w:rsidRPr="004A4E41">
        <w:rPr>
          <w:rFonts w:hint="cs"/>
          <w:rtl/>
        </w:rPr>
        <w:t>)</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معاني الأخبار</w:t>
      </w:r>
      <w:r w:rsidR="008A74EB" w:rsidRPr="00C9040A">
        <w:rPr>
          <w:rtl/>
        </w:rPr>
        <w:t xml:space="preserve"> ، ص 369 ، ح 1 ، بسند آخر. </w:t>
      </w:r>
      <w:r w:rsidR="008A74EB" w:rsidRPr="00993B55">
        <w:rPr>
          <w:rStyle w:val="libFootnoteBoldChar"/>
          <w:rtl/>
        </w:rPr>
        <w:t>الاختصاص</w:t>
      </w:r>
      <w:r w:rsidR="008A74EB" w:rsidRPr="00C9040A">
        <w:rPr>
          <w:rtl/>
        </w:rPr>
        <w:t xml:space="preserve"> ، ص 142 ، من دون الإسناد إلى المعصوم </w:t>
      </w:r>
      <w:r w:rsidR="00117575" w:rsidRPr="00117575">
        <w:rPr>
          <w:rStyle w:val="libFootnoteAlaemChar"/>
          <w:rtl/>
        </w:rPr>
        <w:t>عليه‌السلام</w:t>
      </w:r>
      <w:r w:rsidR="008A74EB" w:rsidRPr="00C9040A">
        <w:rPr>
          <w:rtl/>
        </w:rPr>
        <w:t xml:space="preserve"> ، وفيهما مع زيادة في آخره </w:t>
      </w:r>
      <w:r w:rsidR="00E07F95">
        <w:rPr>
          <w:rFonts w:hint="cs"/>
          <w:rtl/>
        </w:rPr>
        <w:t>.</w:t>
      </w:r>
      <w:r w:rsidR="008A74EB" w:rsidRPr="00993B55">
        <w:rPr>
          <w:rStyle w:val="libFootnoteBoldChar"/>
          <w:rtl/>
        </w:rPr>
        <w:t>الوافي</w:t>
      </w:r>
      <w:r w:rsidR="008A74EB" w:rsidRPr="00C9040A">
        <w:rPr>
          <w:rtl/>
        </w:rPr>
        <w:t xml:space="preserve"> ، ج 4 ، ص 338 ، ح 2067 ؛ </w:t>
      </w:r>
      <w:r w:rsidR="008A74EB" w:rsidRPr="00993B55">
        <w:rPr>
          <w:rStyle w:val="libFootnoteBoldChar"/>
          <w:rtl/>
        </w:rPr>
        <w:t>الوسائل</w:t>
      </w:r>
      <w:r w:rsidR="008A74EB" w:rsidRPr="00C9040A">
        <w:rPr>
          <w:rtl/>
        </w:rPr>
        <w:t xml:space="preserve"> ، ج 3 ، ص 256 ، ح 3563 ؛ </w:t>
      </w:r>
      <w:r w:rsidR="008A74EB" w:rsidRPr="00993B55">
        <w:rPr>
          <w:rStyle w:val="libFootnoteBoldChar"/>
          <w:rtl/>
        </w:rPr>
        <w:t>البحار</w:t>
      </w:r>
      <w:r w:rsidR="008A74EB" w:rsidRPr="00C9040A">
        <w:rPr>
          <w:rtl/>
        </w:rPr>
        <w:t xml:space="preserve"> ، ج 71 ، ص 82 ، ح 19.</w:t>
      </w:r>
    </w:p>
    <w:p w:rsidR="008A74EB" w:rsidRPr="00C9040A" w:rsidRDefault="006C577F" w:rsidP="004A4E41">
      <w:pPr>
        <w:pStyle w:val="libFootnote0"/>
        <w:rPr>
          <w:rtl/>
          <w:lang w:bidi="fa-IR"/>
        </w:rPr>
      </w:pPr>
      <w:r>
        <w:rPr>
          <w:rtl/>
        </w:rPr>
        <w:t>(8).</w:t>
      </w:r>
      <w:r w:rsidR="008A74EB" w:rsidRPr="00C9040A">
        <w:rPr>
          <w:rtl/>
        </w:rPr>
        <w:t xml:space="preserve"> في « ج ، د ، ص ، ض ، ف ، بس » والكافي ، ح 1658 </w:t>
      </w:r>
      <w:r w:rsidR="008A74EB">
        <w:rPr>
          <w:rtl/>
        </w:rPr>
        <w:t>و 1</w:t>
      </w:r>
      <w:r w:rsidR="008A74EB" w:rsidRPr="00C9040A">
        <w:rPr>
          <w:rtl/>
        </w:rPr>
        <w:t>659 : « اصبروا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ف » والكافي ، ح 1658 </w:t>
      </w:r>
      <w:r w:rsidR="008A74EB">
        <w:rPr>
          <w:rtl/>
        </w:rPr>
        <w:t>و 1</w:t>
      </w:r>
      <w:r w:rsidR="008A74EB" w:rsidRPr="00C9040A">
        <w:rPr>
          <w:rtl/>
        </w:rPr>
        <w:t>659 : « الفرائض »</w:t>
      </w:r>
      <w:r w:rsidR="008A74EB">
        <w:rPr>
          <w:rtl/>
        </w:rPr>
        <w:t>.</w:t>
      </w:r>
      <w:r w:rsidR="008A74EB" w:rsidRPr="00C9040A">
        <w:rPr>
          <w:rtl/>
        </w:rPr>
        <w:t xml:space="preserve"> وفي حاشية « ف » : « مصائب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w:t>
      </w:r>
      <w:r w:rsidR="008A74EB" w:rsidRPr="00993B55">
        <w:rPr>
          <w:rStyle w:val="libFootnoteBoldChar"/>
          <w:rtl/>
        </w:rPr>
        <w:t>الكافي</w:t>
      </w:r>
      <w:r w:rsidR="008A74EB" w:rsidRPr="00C9040A">
        <w:rPr>
          <w:rtl/>
        </w:rPr>
        <w:t xml:space="preserve"> ، كتاب الإيمان والكفر ، باب أداء الفرائض ، ح 1568 </w:t>
      </w:r>
      <w:r w:rsidR="008A74EB">
        <w:rPr>
          <w:rtl/>
        </w:rPr>
        <w:t>و 1</w:t>
      </w:r>
      <w:r w:rsidR="008A74EB" w:rsidRPr="00C9040A">
        <w:rPr>
          <w:rtl/>
        </w:rPr>
        <w:t xml:space="preserve">659 ، بسند آخر. </w:t>
      </w:r>
      <w:r w:rsidR="008A74EB" w:rsidRPr="00993B55">
        <w:rPr>
          <w:rStyle w:val="libFootnoteBoldChar"/>
          <w:rtl/>
        </w:rPr>
        <w:t>تفسير العيّاشي</w:t>
      </w:r>
      <w:r w:rsidR="008A74EB" w:rsidRPr="00C9040A">
        <w:rPr>
          <w:rtl/>
        </w:rPr>
        <w:t xml:space="preserve"> ، ج 1 ، ص 212 ، ح 180 ، عن ابن أبي يعفور ، وفيهما مع زيادة </w:t>
      </w:r>
      <w:r w:rsidR="00E07F95">
        <w:rPr>
          <w:rFonts w:hint="cs"/>
          <w:rtl/>
        </w:rPr>
        <w:t>.</w:t>
      </w:r>
      <w:r w:rsidR="008A74EB" w:rsidRPr="00993B55">
        <w:rPr>
          <w:rStyle w:val="libFootnoteBoldChar"/>
          <w:rtl/>
        </w:rPr>
        <w:t>الوافي</w:t>
      </w:r>
      <w:r w:rsidR="008A74EB" w:rsidRPr="00C9040A">
        <w:rPr>
          <w:rtl/>
        </w:rPr>
        <w:t xml:space="preserve"> ، ج 4 ، ص 338 ، ح 2068 ؛ </w:t>
      </w:r>
      <w:r w:rsidR="008A74EB" w:rsidRPr="00993B55">
        <w:rPr>
          <w:rStyle w:val="libFootnoteBoldChar"/>
          <w:rtl/>
        </w:rPr>
        <w:t>الوسائل</w:t>
      </w:r>
      <w:r w:rsidR="008A74EB" w:rsidRPr="00C9040A">
        <w:rPr>
          <w:rtl/>
        </w:rPr>
        <w:t xml:space="preserve"> ، ج 3 ، ص 256 ، ح 3564 ؛ </w:t>
      </w:r>
      <w:r w:rsidR="008A74EB" w:rsidRPr="00993B55">
        <w:rPr>
          <w:rStyle w:val="libFootnoteBoldChar"/>
          <w:rtl/>
        </w:rPr>
        <w:t>البحار</w:t>
      </w:r>
      <w:r w:rsidR="008A74EB" w:rsidRPr="00C9040A">
        <w:rPr>
          <w:rtl/>
        </w:rPr>
        <w:t xml:space="preserve"> ، ج 71 ، ص 82 ، ذيل ح 19.</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عَنْ عَلِيِّ بْنِ مُحَمَّدِ بْنِ أَبِي جَمِيلَةَ </w:t>
      </w:r>
      <w:r w:rsidR="006C577F" w:rsidRPr="006C577F">
        <w:rPr>
          <w:rStyle w:val="libFootnotenumChar"/>
          <w:rtl/>
        </w:rPr>
        <w:t>(1)</w:t>
      </w:r>
      <w:r w:rsidRPr="00C9040A">
        <w:rPr>
          <w:rtl/>
          <w:lang w:bidi="fa-IR"/>
        </w:rPr>
        <w:t xml:space="preserve">، عَنْ جَدِّهِ أَبِي جَمِيلَةَ </w:t>
      </w:r>
      <w:r w:rsidR="006C577F" w:rsidRPr="006C577F">
        <w:rPr>
          <w:rStyle w:val="libFootnotenumChar"/>
          <w:rtl/>
        </w:rPr>
        <w:t>(2)</w:t>
      </w:r>
      <w:r w:rsidRPr="00C9040A">
        <w:rPr>
          <w:rtl/>
          <w:lang w:bidi="fa-IR"/>
        </w:rPr>
        <w:t xml:space="preserve"> ، عَنْ بَعْضِ أَصْحَابِهِ </w:t>
      </w:r>
      <w:r w:rsidR="006C577F" w:rsidRPr="006C577F">
        <w:rPr>
          <w:rStyle w:val="libFootnotenumChar"/>
          <w:rtl/>
        </w:rPr>
        <w:t>(3)</w:t>
      </w:r>
      <w:r w:rsidRPr="00C9040A">
        <w:rPr>
          <w:rtl/>
          <w:lang w:bidi="fa-IR"/>
        </w:rPr>
        <w:t xml:space="preserve"> ، قَالَ :</w:t>
      </w:r>
    </w:p>
    <w:p w:rsidR="008A74EB" w:rsidRPr="00C9040A" w:rsidRDefault="008A74EB" w:rsidP="008A74EB">
      <w:pPr>
        <w:pStyle w:val="libNormal"/>
        <w:rPr>
          <w:rtl/>
          <w:lang w:bidi="fa-IR"/>
        </w:rPr>
      </w:pPr>
      <w:r w:rsidRPr="00C9040A">
        <w:rPr>
          <w:rtl/>
          <w:lang w:bidi="fa-IR"/>
        </w:rPr>
        <w:t>« لَوْ لَا</w:t>
      </w:r>
      <w:r>
        <w:rPr>
          <w:rFonts w:hint="cs"/>
          <w:rtl/>
          <w:lang w:bidi="fa-IR"/>
        </w:rPr>
        <w:t xml:space="preserve"> </w:t>
      </w:r>
      <w:r w:rsidRPr="00C9040A">
        <w:rPr>
          <w:rtl/>
          <w:lang w:bidi="fa-IR"/>
        </w:rPr>
        <w:t xml:space="preserve">أَنَّ الصَّبْرَ خُلِقَ قَبْلَ الْبَلَاءِ ، لَتَفَطَّرَ </w:t>
      </w:r>
      <w:r w:rsidR="006C577F" w:rsidRPr="006C577F">
        <w:rPr>
          <w:rStyle w:val="libFootnotenumChar"/>
          <w:rtl/>
        </w:rPr>
        <w:t>(4)</w:t>
      </w:r>
      <w:r w:rsidRPr="00C9040A">
        <w:rPr>
          <w:rtl/>
          <w:lang w:bidi="fa-IR"/>
        </w:rPr>
        <w:t xml:space="preserve"> الْمُؤْمِنُ كَمَا تَتَفَطَّرُ الْبَيْضَةُ عَلَى الصَّفَا </w:t>
      </w:r>
      <w:r w:rsidR="006C577F" w:rsidRPr="006C577F">
        <w:rPr>
          <w:rStyle w:val="libFootnotenumChar"/>
          <w:rtl/>
        </w:rPr>
        <w:t>(5)</w:t>
      </w:r>
      <w:r w:rsidRPr="00C9040A">
        <w:rPr>
          <w:rtl/>
          <w:lang w:bidi="fa-IR"/>
        </w:rPr>
        <w:t>»</w:t>
      </w:r>
      <w:r>
        <w:rPr>
          <w:rtl/>
          <w:lang w:bidi="fa-IR"/>
        </w:rPr>
        <w:t>.</w:t>
      </w:r>
      <w:r w:rsidR="006C577F" w:rsidRPr="006C577F">
        <w:rPr>
          <w:rStyle w:val="libFootnotenumChar"/>
          <w:rtl/>
        </w:rPr>
        <w:t>(6)</w:t>
      </w:r>
    </w:p>
    <w:p w:rsidR="008A74EB" w:rsidRPr="00C9040A" w:rsidRDefault="008A74EB" w:rsidP="008A74EB">
      <w:pPr>
        <w:pStyle w:val="libNormal"/>
        <w:rPr>
          <w:rtl/>
          <w:lang w:bidi="fa-IR"/>
        </w:rPr>
      </w:pPr>
      <w:r w:rsidRPr="009526DA">
        <w:rPr>
          <w:rtl/>
        </w:rPr>
        <w:t>1710</w:t>
      </w:r>
      <w:r w:rsidRPr="00261CB0">
        <w:rPr>
          <w:rStyle w:val="libBold2Char"/>
          <w:rtl/>
        </w:rPr>
        <w:t xml:space="preserve"> / 21.</w:t>
      </w:r>
      <w:r w:rsidRPr="00C9040A">
        <w:rPr>
          <w:rtl/>
          <w:lang w:bidi="fa-IR"/>
        </w:rPr>
        <w:t xml:space="preserve"> أَبُو عَلِيٍّ الْأَشْعَرِيُّ ، عَنْ مُحَمَّدِ بْنِ عَبْدِ الْجَبَّارِ ، عَنْ صَفْوَانَ ، عَنْ إِسْحَاقَ بْنِ عَمَّارٍ وَعَبْدِ اللهِ بْنِ سِنَانٍ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قَالَ اللهُ عَزَّ وَجَلَّ : إِنِّي جَعَلْتُ </w:t>
      </w:r>
      <w:r w:rsidR="006C577F" w:rsidRPr="006C577F">
        <w:rPr>
          <w:rStyle w:val="libFootnotenumChar"/>
          <w:rtl/>
        </w:rPr>
        <w:t>(8)</w:t>
      </w:r>
      <w:r w:rsidRPr="00C9040A">
        <w:rPr>
          <w:rtl/>
          <w:lang w:bidi="fa-IR"/>
        </w:rPr>
        <w:t xml:space="preserve"> الدُّنْيَا بَيْنَ عِبَادِي قَرْضاً ، فَمَنْ أَقْرَضَنِي مِنْهَا قَرْضاً </w:t>
      </w:r>
      <w:r w:rsidR="006C577F" w:rsidRPr="006C577F">
        <w:rPr>
          <w:rStyle w:val="libFootnotenumChar"/>
          <w:rtl/>
        </w:rPr>
        <w:t>(9)</w:t>
      </w:r>
      <w:r w:rsidRPr="00C9040A">
        <w:rPr>
          <w:rtl/>
          <w:lang w:bidi="fa-IR"/>
        </w:rPr>
        <w:t xml:space="preserve"> ، أَعْطَيْتُهُ بِكُلِّ وَاحِدَةٍ عَشْراً إِلى سَبْعِمِائَةِ ضِعْفٍ ، وَمَا شِئْتُ مِنْ ذلِكَ ، وَمَنْ لَمْ يُقْرِضْنِي مِنْهَا قَرْضاً </w:t>
      </w:r>
      <w:r w:rsidR="006C577F" w:rsidRPr="006C577F">
        <w:rPr>
          <w:rStyle w:val="libFootnotenumChar"/>
          <w:rtl/>
        </w:rPr>
        <w:t>(10)</w:t>
      </w:r>
      <w:r w:rsidRPr="00C9040A">
        <w:rPr>
          <w:rtl/>
          <w:lang w:bidi="fa-IR"/>
        </w:rPr>
        <w:t xml:space="preserve"> ، فَأَخَذْتُ مِنْهُ شَيْئاً </w:t>
      </w:r>
      <w:r w:rsidR="006C577F" w:rsidRPr="006C577F">
        <w:rPr>
          <w:rStyle w:val="libFootnotenumChar"/>
          <w:rtl/>
        </w:rPr>
        <w:t>(11)</w:t>
      </w:r>
      <w:r w:rsidRPr="00C9040A">
        <w:rPr>
          <w:rtl/>
          <w:lang w:bidi="fa-IR"/>
        </w:rPr>
        <w:t xml:space="preserve"> قَسْراً ، فَصَبَرَ </w:t>
      </w:r>
      <w:r w:rsidR="006C577F" w:rsidRPr="006C577F">
        <w:rPr>
          <w:rStyle w:val="libFootnotenumChar"/>
          <w:rtl/>
        </w:rPr>
        <w:t>(12)</w:t>
      </w:r>
      <w:r w:rsidRPr="00C9040A">
        <w:rPr>
          <w:rtl/>
          <w:lang w:bidi="fa-IR"/>
        </w:rPr>
        <w:t xml:space="preserve"> ، أَعْطَيْتُهُ ثَلَاثَ خِصَالٍ ، لَوْ أَعْطَيْتُ وَاحِدَةً مِنْهُنَّ مَلَائِكَتِي لَرَضُوا بِهَا مِنِّي »</w:t>
      </w:r>
      <w:r>
        <w:rPr>
          <w:rtl/>
          <w:lang w:bidi="fa-IR"/>
        </w:rPr>
        <w:t>.</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 ص » : « أبي جميل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ب » </w:t>
      </w:r>
      <w:r w:rsidR="008A74EB">
        <w:rPr>
          <w:rtl/>
        </w:rPr>
        <w:t xml:space="preserve">: </w:t>
      </w:r>
      <w:r w:rsidR="0084262C">
        <w:rPr>
          <w:rtl/>
        </w:rPr>
        <w:t>-</w:t>
      </w:r>
      <w:r w:rsidR="008A74EB" w:rsidRPr="00C9040A">
        <w:rPr>
          <w:rtl/>
        </w:rPr>
        <w:t xml:space="preserve"> « عن جدّه أبي جميلة »</w:t>
      </w:r>
      <w:r w:rsidR="008A74EB">
        <w:rPr>
          <w:rtl/>
        </w:rPr>
        <w:t>.</w:t>
      </w:r>
      <w:r w:rsidR="008A74EB" w:rsidRPr="00C9040A">
        <w:rPr>
          <w:rtl/>
        </w:rPr>
        <w:t xml:space="preserve"> وفي « ص » : « أبي جميل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الوسائل : « عن رجل » بدل « عن بعض أصحابه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فَطَر الشي‌ءَ يَفطُرُه فَطْراً فَانْفَطَرو فَطَّرَه : شقّه. </w:t>
      </w:r>
      <w:r w:rsidR="008A74EB" w:rsidRPr="00993B55">
        <w:rPr>
          <w:rStyle w:val="libFootnoteBoldChar"/>
          <w:rtl/>
        </w:rPr>
        <w:t>لسان العرب</w:t>
      </w:r>
      <w:r w:rsidR="008A74EB" w:rsidRPr="00C9040A">
        <w:rPr>
          <w:rtl/>
        </w:rPr>
        <w:t xml:space="preserve"> ، ج 5 ، ص 55 ( فطر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 الصفا » : حجر صُلب أملس. الواحدة : صفاة. </w:t>
      </w:r>
      <w:r w:rsidR="008A74EB" w:rsidRPr="00993B55">
        <w:rPr>
          <w:rStyle w:val="libFootnoteBoldChar"/>
          <w:rtl/>
        </w:rPr>
        <w:t>ترتيب كتاب العين</w:t>
      </w:r>
      <w:r w:rsidR="008A74EB" w:rsidRPr="00C9040A">
        <w:rPr>
          <w:rtl/>
        </w:rPr>
        <w:t xml:space="preserve"> ، ج 2 ، ص 998 ؛ </w:t>
      </w:r>
      <w:r w:rsidR="008A74EB" w:rsidRPr="00993B55">
        <w:rPr>
          <w:rStyle w:val="libFootnoteBoldChar"/>
          <w:rtl/>
        </w:rPr>
        <w:t>المصباح المنير</w:t>
      </w:r>
      <w:r w:rsidR="008A74EB" w:rsidRPr="00C9040A">
        <w:rPr>
          <w:rtl/>
        </w:rPr>
        <w:t xml:space="preserve"> ، ص 344 ( صفو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الفقيه</w:t>
      </w:r>
      <w:r w:rsidR="008A74EB" w:rsidRPr="00C9040A">
        <w:rPr>
          <w:rtl/>
        </w:rPr>
        <w:t xml:space="preserve"> ، ج 1 ، ص 175 ، ح 513 ، مرسلاً عن الصادق </w:t>
      </w:r>
      <w:r w:rsidR="00117575" w:rsidRPr="00117575">
        <w:rPr>
          <w:rStyle w:val="libFootnoteAlaemChar"/>
          <w:rtl/>
        </w:rPr>
        <w:t>عليه‌السلام</w:t>
      </w:r>
      <w:r w:rsidR="008A74EB" w:rsidRPr="00C9040A">
        <w:rPr>
          <w:rtl/>
        </w:rPr>
        <w:t xml:space="preserve"> </w:t>
      </w:r>
      <w:r w:rsidR="00E07F95">
        <w:rPr>
          <w:rFonts w:hint="cs"/>
          <w:rtl/>
        </w:rPr>
        <w:t>.</w:t>
      </w:r>
      <w:r w:rsidR="008A74EB" w:rsidRPr="00993B55">
        <w:rPr>
          <w:rStyle w:val="libFootnoteBoldChar"/>
          <w:rtl/>
        </w:rPr>
        <w:t>الوافي</w:t>
      </w:r>
      <w:r w:rsidR="008A74EB" w:rsidRPr="00C9040A">
        <w:rPr>
          <w:rtl/>
        </w:rPr>
        <w:t xml:space="preserve"> ، ج 4 ، ص 338 ، ح 2069 ؛ </w:t>
      </w:r>
      <w:r w:rsidR="008A74EB" w:rsidRPr="00993B55">
        <w:rPr>
          <w:rStyle w:val="libFootnoteBoldChar"/>
          <w:rtl/>
        </w:rPr>
        <w:t>الوسائل</w:t>
      </w:r>
      <w:r w:rsidR="008A74EB" w:rsidRPr="00C9040A">
        <w:rPr>
          <w:rtl/>
        </w:rPr>
        <w:t xml:space="preserve"> ، ج 3 ، ص 257 ، ح 3569 ؛ </w:t>
      </w:r>
      <w:r w:rsidR="008A74EB" w:rsidRPr="00993B55">
        <w:rPr>
          <w:rStyle w:val="libFootnoteBoldChar"/>
          <w:rtl/>
        </w:rPr>
        <w:t>البحار</w:t>
      </w:r>
      <w:r w:rsidR="008A74EB" w:rsidRPr="00C9040A">
        <w:rPr>
          <w:rtl/>
        </w:rPr>
        <w:t xml:space="preserve"> ، ج 71 ، ص 82 ، ح 20.</w:t>
      </w:r>
    </w:p>
    <w:p w:rsidR="008A74EB" w:rsidRPr="00C9040A" w:rsidRDefault="006C577F" w:rsidP="004A4E41">
      <w:pPr>
        <w:pStyle w:val="libFootnote0"/>
        <w:rPr>
          <w:rtl/>
          <w:lang w:bidi="fa-IR"/>
        </w:rPr>
      </w:pPr>
      <w:r>
        <w:rPr>
          <w:rtl/>
        </w:rPr>
        <w:t>(7).</w:t>
      </w:r>
      <w:r w:rsidR="008A74EB" w:rsidRPr="00C9040A">
        <w:rPr>
          <w:rtl/>
        </w:rPr>
        <w:t xml:space="preserve"> ورد الخبر</w:t>
      </w:r>
      <w:r w:rsidR="008A74EB">
        <w:rPr>
          <w:rtl/>
        </w:rPr>
        <w:t xml:space="preserve"> </w:t>
      </w:r>
      <w:r w:rsidR="0084262C">
        <w:rPr>
          <w:rtl/>
        </w:rPr>
        <w:t>-</w:t>
      </w:r>
      <w:r w:rsidR="008A74EB">
        <w:rPr>
          <w:rtl/>
        </w:rPr>
        <w:t xml:space="preserve"> </w:t>
      </w:r>
      <w:r w:rsidR="008A74EB" w:rsidRPr="00C9040A">
        <w:rPr>
          <w:rtl/>
        </w:rPr>
        <w:t>مع اختلاف يسير</w:t>
      </w:r>
      <w:r w:rsidR="008A74EB">
        <w:rPr>
          <w:rtl/>
        </w:rPr>
        <w:t xml:space="preserve"> </w:t>
      </w:r>
      <w:r w:rsidR="0084262C">
        <w:rPr>
          <w:rtl/>
        </w:rPr>
        <w:t>-</w:t>
      </w:r>
      <w:r w:rsidR="008A74EB">
        <w:rPr>
          <w:rtl/>
        </w:rPr>
        <w:t xml:space="preserve"> </w:t>
      </w:r>
      <w:r w:rsidR="008A74EB" w:rsidRPr="00C9040A">
        <w:rPr>
          <w:rtl/>
        </w:rPr>
        <w:t xml:space="preserve">في </w:t>
      </w:r>
      <w:r w:rsidR="008A74EB" w:rsidRPr="00993B55">
        <w:rPr>
          <w:rStyle w:val="libFootnoteBoldChar"/>
          <w:rtl/>
        </w:rPr>
        <w:t>الخصال</w:t>
      </w:r>
      <w:r w:rsidR="008A74EB" w:rsidRPr="00C9040A">
        <w:rPr>
          <w:rtl/>
        </w:rPr>
        <w:t xml:space="preserve"> ، ص 130 ، ح 135 ، بسنده عن الحسن بن محبوب ، عن إسحاق بن عمّار ، عن عبدالله بن سنان. وهو سهو ظاهراً ؛ فإنّه تكرّرت رواية [ الحسن ] بن محبوب عن [ عبدالله ] بن سنان مباشرة في كثير من الأسناد ، ولم يثبت رواية إسحاق بن عمّار عن عبدالله بن سنان في موضع ، بل وردت في </w:t>
      </w:r>
      <w:r w:rsidR="008A74EB" w:rsidRPr="00993B55">
        <w:rPr>
          <w:rStyle w:val="libFootnoteBoldChar"/>
          <w:rtl/>
        </w:rPr>
        <w:t>الكافي</w:t>
      </w:r>
      <w:r w:rsidR="008A74EB" w:rsidRPr="00C9040A">
        <w:rPr>
          <w:rtl/>
        </w:rPr>
        <w:t xml:space="preserve"> ، ح 2860 </w:t>
      </w:r>
      <w:r w:rsidR="008A74EB">
        <w:rPr>
          <w:rtl/>
        </w:rPr>
        <w:t>و 1</w:t>
      </w:r>
      <w:r w:rsidR="008A74EB" w:rsidRPr="00C9040A">
        <w:rPr>
          <w:rtl/>
        </w:rPr>
        <w:t>4997 ، رواية ابن سنان معطوفاً على إسحاق بن عمّار.</w:t>
      </w:r>
    </w:p>
    <w:p w:rsidR="008A74EB" w:rsidRPr="00C9040A" w:rsidRDefault="006C577F" w:rsidP="004A4E41">
      <w:pPr>
        <w:pStyle w:val="libFootnote0"/>
        <w:rPr>
          <w:rtl/>
          <w:lang w:bidi="fa-IR"/>
        </w:rPr>
      </w:pPr>
      <w:r>
        <w:rPr>
          <w:rtl/>
        </w:rPr>
        <w:t>(8).</w:t>
      </w:r>
      <w:r w:rsidR="008A74EB" w:rsidRPr="00C9040A">
        <w:rPr>
          <w:rtl/>
        </w:rPr>
        <w:t xml:space="preserve"> في الخصال : « أعطيت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حاشية « ف » : + « حسناً »</w:t>
      </w:r>
      <w:r w:rsidR="008A74EB">
        <w:rPr>
          <w:rtl/>
        </w:rPr>
        <w:t>.</w:t>
      </w:r>
    </w:p>
    <w:p w:rsidR="008A74EB" w:rsidRPr="004A4E41" w:rsidRDefault="006C577F" w:rsidP="004A4E41">
      <w:pPr>
        <w:pStyle w:val="libFootnote0"/>
        <w:rPr>
          <w:rStyle w:val="libFootnote0Char"/>
          <w:rtl/>
        </w:rPr>
      </w:pPr>
      <w:r>
        <w:rPr>
          <w:rtl/>
        </w:rPr>
        <w:t>(10).</w:t>
      </w:r>
      <w:r w:rsidR="008A74EB" w:rsidRPr="00C9040A">
        <w:rPr>
          <w:rtl/>
        </w:rPr>
        <w:t xml:space="preserve"> في « ف » : + « حسناً »</w:t>
      </w:r>
      <w:r w:rsidR="008A74EB">
        <w:rPr>
          <w:rtl/>
        </w:rPr>
        <w:t>.</w:t>
      </w:r>
      <w:r w:rsidR="008A74EB" w:rsidRPr="00C9040A">
        <w:rPr>
          <w:rtl/>
        </w:rPr>
        <w:t xml:space="preserve"> وفي البحار </w:t>
      </w:r>
      <w:r w:rsidR="008A74EB">
        <w:rPr>
          <w:rtl/>
        </w:rPr>
        <w:t xml:space="preserve">: </w:t>
      </w:r>
      <w:r w:rsidR="0084262C">
        <w:rPr>
          <w:rtl/>
        </w:rPr>
        <w:t>-</w:t>
      </w:r>
      <w:r w:rsidR="008A74EB" w:rsidRPr="00C9040A">
        <w:rPr>
          <w:rtl/>
        </w:rPr>
        <w:t xml:space="preserve"> « قرضاً »</w:t>
      </w:r>
      <w:r w:rsidR="008A74EB">
        <w:rPr>
          <w:rtl/>
        </w:rPr>
        <w:t>.</w:t>
      </w:r>
    </w:p>
    <w:tbl>
      <w:tblPr>
        <w:tblStyle w:val="TableGrid"/>
        <w:bidiVisual/>
        <w:tblW w:w="0" w:type="auto"/>
        <w:tblLook w:val="04A0" w:firstRow="1" w:lastRow="0" w:firstColumn="1" w:lastColumn="0" w:noHBand="0" w:noVBand="1"/>
      </w:tblPr>
      <w:tblGrid>
        <w:gridCol w:w="4006"/>
        <w:gridCol w:w="4006"/>
      </w:tblGrid>
      <w:tr w:rsidR="00481E7D" w:rsidTr="00481E7D">
        <w:tc>
          <w:tcPr>
            <w:tcW w:w="4006" w:type="dxa"/>
          </w:tcPr>
          <w:p w:rsidR="00481E7D" w:rsidRDefault="00481E7D" w:rsidP="004A4E41">
            <w:pPr>
              <w:pStyle w:val="libFootnote0"/>
              <w:rPr>
                <w:rtl/>
              </w:rPr>
            </w:pPr>
            <w:r>
              <w:rPr>
                <w:rtl/>
              </w:rPr>
              <w:t>(11).</w:t>
            </w:r>
            <w:r w:rsidRPr="00C9040A">
              <w:rPr>
                <w:rtl/>
              </w:rPr>
              <w:t xml:space="preserve"> في « ف » والخصال </w:t>
            </w:r>
            <w:r>
              <w:rPr>
                <w:rtl/>
              </w:rPr>
              <w:t>: -</w:t>
            </w:r>
            <w:r w:rsidRPr="00C9040A">
              <w:rPr>
                <w:rtl/>
              </w:rPr>
              <w:t xml:space="preserve"> « شيئاً »</w:t>
            </w:r>
            <w:r>
              <w:rPr>
                <w:rtl/>
              </w:rPr>
              <w:t>.</w:t>
            </w:r>
          </w:p>
        </w:tc>
        <w:tc>
          <w:tcPr>
            <w:tcW w:w="4006" w:type="dxa"/>
          </w:tcPr>
          <w:p w:rsidR="00481E7D" w:rsidRDefault="00481E7D" w:rsidP="004A4E41">
            <w:pPr>
              <w:pStyle w:val="libFootnote0"/>
              <w:rPr>
                <w:rtl/>
              </w:rPr>
            </w:pPr>
            <w:r>
              <w:rPr>
                <w:rtl/>
              </w:rPr>
              <w:t>(12).في «</w:t>
            </w:r>
            <w:r w:rsidRPr="00C9040A">
              <w:rPr>
                <w:rtl/>
              </w:rPr>
              <w:t>د ،</w:t>
            </w:r>
            <w:r>
              <w:rPr>
                <w:rtl/>
              </w:rPr>
              <w:t>ز ،بف» والبحار والخصال:-« فصبر</w:t>
            </w:r>
            <w:r w:rsidRPr="00C9040A">
              <w:rPr>
                <w:rtl/>
              </w:rPr>
              <w:t>»</w:t>
            </w:r>
            <w:r>
              <w:rPr>
                <w:rtl/>
              </w:rPr>
              <w:t>.</w:t>
            </w:r>
          </w:p>
        </w:tc>
      </w:tr>
    </w:tbl>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قَالَ </w:t>
      </w:r>
      <w:r w:rsidR="006C577F" w:rsidRPr="006C577F">
        <w:rPr>
          <w:rStyle w:val="libFootnotenumChar"/>
          <w:rtl/>
        </w:rPr>
        <w:t>(1)</w:t>
      </w:r>
      <w:r w:rsidRPr="001E6F92">
        <w:rPr>
          <w:rFonts w:hint="cs"/>
          <w:rtl/>
        </w:rPr>
        <w:t xml:space="preserve"> </w:t>
      </w:r>
      <w:r w:rsidRPr="00C9040A">
        <w:rPr>
          <w:rtl/>
          <w:lang w:bidi="fa-IR"/>
        </w:rPr>
        <w:t xml:space="preserve">: ثُمَّ تَلَا أَبُو عَبْدِ اللهِ </w:t>
      </w:r>
      <w:r w:rsidRPr="0003660B">
        <w:rPr>
          <w:rStyle w:val="libAlaemChar"/>
          <w:rtl/>
        </w:rPr>
        <w:t>عليه‌السلام</w:t>
      </w:r>
      <w:r w:rsidRPr="00C9040A">
        <w:rPr>
          <w:rtl/>
          <w:lang w:bidi="fa-IR"/>
        </w:rPr>
        <w:t xml:space="preserve"> قَوْلَ اللهِ عَزَّ وَجَلَّ : « </w:t>
      </w:r>
      <w:r w:rsidRPr="0003660B">
        <w:rPr>
          <w:rStyle w:val="libAlaemChar"/>
          <w:rtl/>
        </w:rPr>
        <w:t>(</w:t>
      </w:r>
      <w:r w:rsidRPr="006A2246">
        <w:rPr>
          <w:rStyle w:val="libAieChar"/>
          <w:rtl/>
        </w:rPr>
        <w:t xml:space="preserve"> الَّذِينَ إِذا أَصابَتْهُمْ مُصِيبَةٌ قالُوا إِنّا لِلّهِ وَإِنّا إِلَيْهِ راجِعُونَ </w:t>
      </w:r>
      <w:r w:rsidR="00481E7D">
        <w:rPr>
          <w:rStyle w:val="libAieChar"/>
          <w:rFonts w:hint="cs"/>
          <w:rtl/>
        </w:rPr>
        <w:t xml:space="preserve">* </w:t>
      </w:r>
      <w:r w:rsidRPr="006A2246">
        <w:rPr>
          <w:rStyle w:val="libAieChar"/>
          <w:rtl/>
        </w:rPr>
        <w:t xml:space="preserve">أُولئِكَ عَلَيْهِمْ صَلَواتٌ مِنْ رَبِّهِمْ </w:t>
      </w:r>
      <w:r w:rsidRPr="0003660B">
        <w:rPr>
          <w:rStyle w:val="libAlaemChar"/>
          <w:rtl/>
        </w:rPr>
        <w:t>)</w:t>
      </w:r>
      <w:r w:rsidRPr="00C9040A">
        <w:rPr>
          <w:rtl/>
          <w:lang w:bidi="fa-IR"/>
        </w:rPr>
        <w:t xml:space="preserve"> فَهذِهِ وَاحِدَةٌ مِنْ ثَلَاثِ خِصَالٍ</w:t>
      </w:r>
      <w:r>
        <w:rPr>
          <w:rFonts w:hint="cs"/>
          <w:rtl/>
          <w:lang w:bidi="fa-IR"/>
        </w:rPr>
        <w:t xml:space="preserve"> </w:t>
      </w:r>
      <w:r w:rsidRPr="0003660B">
        <w:rPr>
          <w:rStyle w:val="libAlaemChar"/>
          <w:rtl/>
        </w:rPr>
        <w:t>(</w:t>
      </w:r>
      <w:r w:rsidRPr="006A2246">
        <w:rPr>
          <w:rStyle w:val="libAieChar"/>
          <w:rtl/>
        </w:rPr>
        <w:t xml:space="preserve"> وَرَحْمَةٌ </w:t>
      </w:r>
      <w:r w:rsidRPr="0003660B">
        <w:rPr>
          <w:rStyle w:val="libAlaemChar"/>
          <w:rtl/>
        </w:rPr>
        <w:t>)</w:t>
      </w:r>
      <w:r w:rsidRPr="00C9040A">
        <w:rPr>
          <w:rtl/>
          <w:lang w:bidi="fa-IR"/>
        </w:rPr>
        <w:t xml:space="preserve"> اثْنَتَانِ </w:t>
      </w:r>
      <w:r w:rsidR="006C577F" w:rsidRPr="006C577F">
        <w:rPr>
          <w:rStyle w:val="libFootnotenumChar"/>
          <w:rtl/>
        </w:rPr>
        <w:t>(2)</w:t>
      </w:r>
      <w:r w:rsidRPr="00C9040A">
        <w:rPr>
          <w:rtl/>
          <w:lang w:bidi="fa-IR"/>
        </w:rPr>
        <w:t xml:space="preserve"> </w:t>
      </w:r>
      <w:r w:rsidRPr="0003660B">
        <w:rPr>
          <w:rStyle w:val="libAlaemChar"/>
          <w:rtl/>
        </w:rPr>
        <w:t>(</w:t>
      </w:r>
      <w:r w:rsidRPr="006A2246">
        <w:rPr>
          <w:rStyle w:val="libAieChar"/>
          <w:rtl/>
        </w:rPr>
        <w:t xml:space="preserve"> وَأُولئِكَ هُمُ الْمُهْتَدُونَ </w:t>
      </w:r>
      <w:r w:rsidRPr="0003660B">
        <w:rPr>
          <w:rStyle w:val="libAlaemChar"/>
          <w:rtl/>
        </w:rPr>
        <w:t>)</w:t>
      </w:r>
      <w:r w:rsidRPr="00C9040A">
        <w:rPr>
          <w:rtl/>
          <w:lang w:bidi="fa-IR"/>
        </w:rPr>
        <w:t xml:space="preserve"> </w:t>
      </w:r>
      <w:r w:rsidR="006C577F" w:rsidRPr="006C577F">
        <w:rPr>
          <w:rStyle w:val="libFootnotenumChar"/>
          <w:rtl/>
        </w:rPr>
        <w:t>(3)</w:t>
      </w:r>
      <w:r w:rsidRPr="00C9040A">
        <w:rPr>
          <w:rtl/>
          <w:lang w:bidi="fa-IR"/>
        </w:rPr>
        <w:t xml:space="preserve"> ثَلَاثٌ »</w:t>
      </w:r>
      <w:r>
        <w:rPr>
          <w:rtl/>
          <w:lang w:bidi="fa-IR"/>
        </w:rPr>
        <w:t>.</w:t>
      </w:r>
    </w:p>
    <w:p w:rsidR="008A74EB" w:rsidRPr="00C9040A" w:rsidRDefault="008A74EB" w:rsidP="008A74EB">
      <w:pPr>
        <w:pStyle w:val="libNormal"/>
        <w:rPr>
          <w:rtl/>
          <w:lang w:bidi="fa-IR"/>
        </w:rPr>
      </w:pPr>
      <w:r w:rsidRPr="00C9040A">
        <w:rPr>
          <w:rtl/>
          <w:lang w:bidi="fa-IR"/>
        </w:rPr>
        <w:t xml:space="preserve">ثُمَّ قَالَ أَبُو عَبْدِ اللهِ </w:t>
      </w:r>
      <w:r w:rsidRPr="0003660B">
        <w:rPr>
          <w:rStyle w:val="libAlaemChar"/>
          <w:rtl/>
        </w:rPr>
        <w:t>عليه‌السلام</w:t>
      </w:r>
      <w:r w:rsidRPr="00C9040A">
        <w:rPr>
          <w:rtl/>
          <w:lang w:bidi="fa-IR"/>
        </w:rPr>
        <w:t xml:space="preserve"> : « هذَا لِمَنْ أَخَذَ اللهُ مِنْهُ شَيْئاً قَسْراً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9526DA">
        <w:rPr>
          <w:rtl/>
        </w:rPr>
        <w:t>1711</w:t>
      </w:r>
      <w:r w:rsidRPr="00261CB0">
        <w:rPr>
          <w:rStyle w:val="libBold2Char"/>
          <w:rtl/>
        </w:rPr>
        <w:t xml:space="preserve"> / 22.</w:t>
      </w:r>
      <w:r w:rsidRPr="00C9040A">
        <w:rPr>
          <w:rtl/>
          <w:lang w:bidi="fa-IR"/>
        </w:rPr>
        <w:t xml:space="preserve"> عَلِيُّ بْنُ إِبْرَاهِيمَ ، عَنْ أَبِيهِ وَعَلِيِّ بْنِ مُحَمَّدٍ الْقَاسَانِيِّ </w:t>
      </w:r>
      <w:r w:rsidR="006C577F" w:rsidRPr="006C577F">
        <w:rPr>
          <w:rStyle w:val="libFootnotenumChar"/>
          <w:rtl/>
        </w:rPr>
        <w:t>(5)</w:t>
      </w:r>
      <w:r w:rsidRPr="00C9040A">
        <w:rPr>
          <w:rtl/>
          <w:lang w:bidi="fa-IR"/>
        </w:rPr>
        <w:t xml:space="preserve"> ، عَنِ الْقَاسِمِ بْنِ مُحَمَّدٍ ، عَنْ سُلَيْمَانَ بْنِ دَاوُدَ ، عَنْ يَحْيَى بْنِ آدَمَ ، عَنْ شَرِيكٍ ، عَنْ جَابِرِ بْنِ يَزِيدَ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مُرُوَّةُ </w:t>
      </w:r>
      <w:r w:rsidR="006C577F" w:rsidRPr="006C577F">
        <w:rPr>
          <w:rStyle w:val="libFootnotenumChar"/>
          <w:rtl/>
        </w:rPr>
        <w:t>(7)</w:t>
      </w:r>
      <w:r w:rsidRPr="00C9040A">
        <w:rPr>
          <w:rtl/>
          <w:lang w:bidi="fa-IR"/>
        </w:rPr>
        <w:t xml:space="preserve"> الصَّبْرِ فِي حَالِ الْحَاجَةِ وَالْفَاقَةِ </w:t>
      </w:r>
      <w:r w:rsidR="006C577F" w:rsidRPr="006C577F">
        <w:rPr>
          <w:rStyle w:val="libFootnotenumChar"/>
          <w:rtl/>
        </w:rPr>
        <w:t>(8)</w:t>
      </w:r>
      <w:r w:rsidRPr="00C9040A">
        <w:rPr>
          <w:rtl/>
          <w:lang w:bidi="fa-IR"/>
        </w:rPr>
        <w:t xml:space="preserve"> وَالتَّعَفُّفِ وَالْغِنى </w:t>
      </w:r>
      <w:r w:rsidR="006C577F" w:rsidRPr="006C577F">
        <w:rPr>
          <w:rStyle w:val="libFootnotenumChar"/>
          <w:rtl/>
        </w:rPr>
        <w:t>(9)</w:t>
      </w:r>
      <w:r w:rsidRPr="00C9040A">
        <w:rPr>
          <w:rtl/>
          <w:lang w:bidi="fa-IR"/>
        </w:rPr>
        <w:t xml:space="preserve"> أَكْثَرُ مِنْ مُرُوَّةِ </w:t>
      </w:r>
      <w:r w:rsidR="006C577F" w:rsidRPr="006C577F">
        <w:rPr>
          <w:rStyle w:val="libFootnotenumChar"/>
          <w:rtl/>
        </w:rPr>
        <w:t>(10)</w:t>
      </w:r>
      <w:r w:rsidRPr="00C9040A">
        <w:rPr>
          <w:rtl/>
          <w:lang w:bidi="fa-IR"/>
        </w:rPr>
        <w:t xml:space="preserve"> الْإِعْطَاءِ »</w:t>
      </w:r>
      <w:r>
        <w:rPr>
          <w:rtl/>
          <w:lang w:bidi="fa-IR"/>
        </w:rPr>
        <w:t>.</w:t>
      </w:r>
      <w:r w:rsidRPr="00C9040A">
        <w:rPr>
          <w:rtl/>
          <w:lang w:bidi="fa-IR"/>
        </w:rPr>
        <w:t xml:space="preserve"> </w:t>
      </w:r>
      <w:r w:rsidR="006C577F" w:rsidRPr="006C577F">
        <w:rPr>
          <w:rStyle w:val="libFootnotenumChar"/>
          <w:rtl/>
        </w:rPr>
        <w:t>(11)</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4A4E41" w:rsidRDefault="006C577F" w:rsidP="004A4E41">
      <w:pPr>
        <w:pStyle w:val="libFootnote0"/>
        <w:rPr>
          <w:rStyle w:val="libFootnote0Char"/>
          <w:rtl/>
        </w:rPr>
      </w:pPr>
      <w:r>
        <w:rPr>
          <w:rtl/>
        </w:rPr>
        <w:t>(1).</w:t>
      </w:r>
      <w:r w:rsidR="008A74EB" w:rsidRPr="00C9040A">
        <w:rPr>
          <w:rtl/>
        </w:rPr>
        <w:t xml:space="preserve"> في البحار </w:t>
      </w:r>
      <w:r w:rsidR="008A74EB">
        <w:rPr>
          <w:rtl/>
        </w:rPr>
        <w:t xml:space="preserve">: </w:t>
      </w:r>
      <w:r w:rsidR="0084262C">
        <w:rPr>
          <w:rtl/>
        </w:rPr>
        <w:t>-</w:t>
      </w:r>
      <w:r w:rsidR="008A74EB" w:rsidRPr="00C9040A">
        <w:rPr>
          <w:rtl/>
        </w:rPr>
        <w:t xml:space="preserve"> « قال »</w:t>
      </w:r>
      <w:r w:rsidR="008A74EB">
        <w:rPr>
          <w:rtl/>
        </w:rPr>
        <w:t>.</w:t>
      </w:r>
    </w:p>
    <w:tbl>
      <w:tblPr>
        <w:tblStyle w:val="TableGrid"/>
        <w:bidiVisual/>
        <w:tblW w:w="0" w:type="auto"/>
        <w:tblLook w:val="04A0" w:firstRow="1" w:lastRow="0" w:firstColumn="1" w:lastColumn="0" w:noHBand="0" w:noVBand="1"/>
      </w:tblPr>
      <w:tblGrid>
        <w:gridCol w:w="4006"/>
        <w:gridCol w:w="4006"/>
      </w:tblGrid>
      <w:tr w:rsidR="00481E7D" w:rsidTr="00481E7D">
        <w:tc>
          <w:tcPr>
            <w:tcW w:w="4006" w:type="dxa"/>
          </w:tcPr>
          <w:p w:rsidR="00481E7D" w:rsidRDefault="00481E7D" w:rsidP="004A4E41">
            <w:pPr>
              <w:pStyle w:val="libFootnote0"/>
              <w:rPr>
                <w:rtl/>
              </w:rPr>
            </w:pPr>
            <w:r>
              <w:rPr>
                <w:rtl/>
              </w:rPr>
              <w:t xml:space="preserve">(2). </w:t>
            </w:r>
            <w:r w:rsidRPr="00C9040A">
              <w:rPr>
                <w:rtl/>
              </w:rPr>
              <w:t>في « بر » : « ثنتان »</w:t>
            </w:r>
            <w:r>
              <w:rPr>
                <w:rtl/>
              </w:rPr>
              <w:t>.</w:t>
            </w:r>
          </w:p>
        </w:tc>
        <w:tc>
          <w:tcPr>
            <w:tcW w:w="4006" w:type="dxa"/>
          </w:tcPr>
          <w:p w:rsidR="00481E7D" w:rsidRDefault="00481E7D" w:rsidP="004A4E41">
            <w:pPr>
              <w:pStyle w:val="libFootnote0"/>
              <w:rPr>
                <w:rtl/>
              </w:rPr>
            </w:pPr>
            <w:r>
              <w:rPr>
                <w:rtl/>
              </w:rPr>
              <w:t>(3).</w:t>
            </w:r>
            <w:r w:rsidRPr="00C9040A">
              <w:rPr>
                <w:rtl/>
              </w:rPr>
              <w:t xml:space="preserve"> البقرة </w:t>
            </w:r>
            <w:r>
              <w:rPr>
                <w:rtl/>
              </w:rPr>
              <w:t>(2)</w:t>
            </w:r>
            <w:r w:rsidRPr="00C9040A">
              <w:rPr>
                <w:rtl/>
              </w:rPr>
              <w:t xml:space="preserve"> : 156</w:t>
            </w:r>
            <w:r>
              <w:rPr>
                <w:rtl/>
              </w:rPr>
              <w:t xml:space="preserve"> - </w:t>
            </w:r>
            <w:r w:rsidRPr="00C9040A">
              <w:rPr>
                <w:rtl/>
              </w:rPr>
              <w:t>157.</w:t>
            </w:r>
          </w:p>
        </w:tc>
      </w:tr>
    </w:tbl>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الخصال</w:t>
      </w:r>
      <w:r w:rsidR="008A74EB" w:rsidRPr="00C9040A">
        <w:rPr>
          <w:rtl/>
        </w:rPr>
        <w:t xml:space="preserve"> ، ص 130 ، باب الثلاثة ، ح 135 ، بسنده عن إسحاق بن عمّار ، عن عبد الله بن سنان. </w:t>
      </w:r>
      <w:r w:rsidR="008A74EB" w:rsidRPr="00993B55">
        <w:rPr>
          <w:rStyle w:val="libFootnoteBoldChar"/>
          <w:rtl/>
        </w:rPr>
        <w:t>تفسير العيّاشي</w:t>
      </w:r>
      <w:r w:rsidR="008A74EB" w:rsidRPr="00C9040A">
        <w:rPr>
          <w:rtl/>
        </w:rPr>
        <w:t xml:space="preserve"> ، ج 1 ، ص 68 ، ح 126 ، عن إسحاق بن عمّار ، مع اختلاف وزيادة في أوّله </w:t>
      </w:r>
      <w:r w:rsidR="00481E7D">
        <w:rPr>
          <w:rFonts w:hint="cs"/>
          <w:rtl/>
        </w:rPr>
        <w:t>.</w:t>
      </w:r>
      <w:r w:rsidR="008A74EB" w:rsidRPr="00993B55">
        <w:rPr>
          <w:rStyle w:val="libFootnoteBoldChar"/>
          <w:rtl/>
        </w:rPr>
        <w:t>الوافي</w:t>
      </w:r>
      <w:r w:rsidR="008A74EB" w:rsidRPr="00C9040A">
        <w:rPr>
          <w:rtl/>
        </w:rPr>
        <w:t xml:space="preserve"> ، ج 4 ، ص 338 ، ح 2070 ؛ </w:t>
      </w:r>
      <w:r w:rsidR="008A74EB" w:rsidRPr="00993B55">
        <w:rPr>
          <w:rStyle w:val="libFootnoteBoldChar"/>
          <w:rtl/>
        </w:rPr>
        <w:t>البحار</w:t>
      </w:r>
      <w:r w:rsidR="008A74EB" w:rsidRPr="00C9040A">
        <w:rPr>
          <w:rtl/>
        </w:rPr>
        <w:t xml:space="preserve"> ، ج 71 ، ص 78 ، ح 15 ؛ وج 82 ، ص 126.</w:t>
      </w:r>
    </w:p>
    <w:p w:rsidR="008A74EB" w:rsidRPr="00C9040A" w:rsidRDefault="006C577F" w:rsidP="004A4E41">
      <w:pPr>
        <w:pStyle w:val="libFootnote0"/>
        <w:rPr>
          <w:rtl/>
          <w:lang w:bidi="fa-IR"/>
        </w:rPr>
      </w:pPr>
      <w:r>
        <w:rPr>
          <w:rtl/>
        </w:rPr>
        <w:t>(5).</w:t>
      </w:r>
      <w:r w:rsidR="008A74EB" w:rsidRPr="00C9040A">
        <w:rPr>
          <w:rtl/>
        </w:rPr>
        <w:t xml:space="preserve"> في « بس » : « القاشاني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ب ، ر ، ض ، بر ، بف » وحاشية « ج ، ز » : + « الجعفي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ب » وحاشية « د ، بف » : « مرارة »</w:t>
      </w:r>
      <w:r w:rsidR="008A74EB">
        <w:rPr>
          <w:rtl/>
        </w:rPr>
        <w:t>.</w:t>
      </w:r>
      <w:r w:rsidR="008A74EB" w:rsidRPr="00C9040A">
        <w:rPr>
          <w:rtl/>
        </w:rPr>
        <w:t xml:space="preserve"> </w:t>
      </w:r>
      <w:r w:rsidR="008A74EB">
        <w:rPr>
          <w:rtl/>
        </w:rPr>
        <w:t>و «</w:t>
      </w:r>
      <w:r w:rsidR="008A74EB" w:rsidRPr="00C9040A">
        <w:rPr>
          <w:rtl/>
        </w:rPr>
        <w:t xml:space="preserve"> المروّة » : آداب نفسانيّة تحمل مراعاتها الإنسان على الوقوف عند</w:t>
      </w:r>
      <w:r w:rsidR="00481E7D">
        <w:rPr>
          <w:rFonts w:hint="cs"/>
          <w:rtl/>
        </w:rPr>
        <w:t xml:space="preserve"> </w:t>
      </w:r>
      <w:r w:rsidR="008A74EB" w:rsidRPr="00C9040A">
        <w:rPr>
          <w:rtl/>
        </w:rPr>
        <w:t xml:space="preserve">محاسن الأخلاق وجميل العادات ، وقد يتحقّق بمجانبة ما يؤذن بخِسَّة النفس من المباحات. </w:t>
      </w:r>
      <w:r w:rsidR="008A74EB" w:rsidRPr="00993B55">
        <w:rPr>
          <w:rStyle w:val="libFootnoteBoldChar"/>
          <w:rtl/>
        </w:rPr>
        <w:t>مجمع البحرين</w:t>
      </w:r>
      <w:r w:rsidR="008A74EB" w:rsidRPr="00C9040A">
        <w:rPr>
          <w:rtl/>
        </w:rPr>
        <w:t xml:space="preserve"> ، ج 3 ، ص 1683 ( مرأ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الوافي : « الفاقة والحاجة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w:t>
      </w:r>
      <w:r w:rsidR="008A74EB" w:rsidRPr="00993B55">
        <w:rPr>
          <w:rStyle w:val="libFootnoteBoldChar"/>
          <w:rtl/>
        </w:rPr>
        <w:t>شرح المازندراني</w:t>
      </w:r>
      <w:r w:rsidR="008A74EB" w:rsidRPr="00C9040A">
        <w:rPr>
          <w:rtl/>
        </w:rPr>
        <w:t xml:space="preserve"> ، ج 8 ، ص 275 : « ونقل عن بعض الأفاضل أنّه حكّ نقطة الغنى ، وهو المضبوط في جميع النسخ وجعله العناء بالعين المهملة »</w:t>
      </w:r>
      <w:r w:rsidR="008A74EB">
        <w:rPr>
          <w:rtl/>
        </w:rPr>
        <w:t>.</w:t>
      </w:r>
      <w:r w:rsidR="008A74EB" w:rsidRPr="00C9040A">
        <w:rPr>
          <w:rtl/>
        </w:rPr>
        <w:t xml:space="preserve"> وقال المجلسي في </w:t>
      </w:r>
      <w:r w:rsidR="008A74EB" w:rsidRPr="00993B55">
        <w:rPr>
          <w:rStyle w:val="libFootnoteBoldChar"/>
          <w:rtl/>
        </w:rPr>
        <w:t>مرآة العقول</w:t>
      </w:r>
      <w:r w:rsidR="008A74EB" w:rsidRPr="00C9040A">
        <w:rPr>
          <w:rtl/>
        </w:rPr>
        <w:t xml:space="preserve"> ، ج 8 ، ص 143 : « وفي بعض النسخ بالمهملة ، بمعنى التعب. فعطفه على « الحاجة » حينئذٍ أنسب ، وتخلّل التعطّف في البين ممّا يبعّده ، فالأظهر على تقديره عطفه على الصبر أيضاً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 ب » وحاشية « د ، بف » : « مرارة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w:t>
      </w:r>
      <w:r w:rsidR="008A74EB" w:rsidRPr="00993B55">
        <w:rPr>
          <w:rStyle w:val="libFootnoteBoldChar"/>
          <w:rtl/>
        </w:rPr>
        <w:t>التهذيب</w:t>
      </w:r>
      <w:r w:rsidR="008A74EB" w:rsidRPr="00C9040A">
        <w:rPr>
          <w:rtl/>
        </w:rPr>
        <w:t xml:space="preserve"> ، ج 6 ، ص 387 ، ح 1152 ، بسنده عن عليّ بن محمّد ، عن القاسم بن محمّد ، مع زيادة في أوّله وآخره </w:t>
      </w:r>
      <w:r w:rsidR="00481E7D">
        <w:rPr>
          <w:rFonts w:hint="cs"/>
          <w:rtl/>
        </w:rPr>
        <w:t>.</w:t>
      </w:r>
      <w:r w:rsidR="008A74EB" w:rsidRPr="00993B55">
        <w:rPr>
          <w:rStyle w:val="libFootnoteBoldChar"/>
          <w:rtl/>
        </w:rPr>
        <w:t>الوافي</w:t>
      </w:r>
      <w:r w:rsidR="008A74EB" w:rsidRPr="00C9040A">
        <w:rPr>
          <w:rtl/>
        </w:rPr>
        <w:t xml:space="preserve"> ، ج 4 ، ص 339 ، ح 2072 ؛ </w:t>
      </w:r>
      <w:r w:rsidR="008A74EB" w:rsidRPr="00993B55">
        <w:rPr>
          <w:rStyle w:val="libFootnoteBoldChar"/>
          <w:rtl/>
        </w:rPr>
        <w:t>الوسائل</w:t>
      </w:r>
      <w:r w:rsidR="008A74EB" w:rsidRPr="00C9040A">
        <w:rPr>
          <w:rtl/>
        </w:rPr>
        <w:t xml:space="preserve"> ، ج 3 ، ص 258 ، ح 3574 ؛ </w:t>
      </w:r>
      <w:r w:rsidR="008A74EB" w:rsidRPr="00993B55">
        <w:rPr>
          <w:rStyle w:val="libFootnoteBoldChar"/>
          <w:rtl/>
        </w:rPr>
        <w:t>البحار</w:t>
      </w:r>
      <w:r w:rsidR="008A74EB" w:rsidRPr="00C9040A">
        <w:rPr>
          <w:rtl/>
        </w:rPr>
        <w:t xml:space="preserve"> ، ج 71 ، ص 82 ، ح 21.</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9D5C89">
        <w:rPr>
          <w:rtl/>
        </w:rPr>
        <w:t>1712</w:t>
      </w:r>
      <w:r w:rsidRPr="00261CB0">
        <w:rPr>
          <w:rStyle w:val="libBold2Char"/>
          <w:rtl/>
        </w:rPr>
        <w:t xml:space="preserve"> / 23.</w:t>
      </w:r>
      <w:r w:rsidRPr="00C9040A">
        <w:rPr>
          <w:rtl/>
          <w:lang w:bidi="fa-IR"/>
        </w:rPr>
        <w:t xml:space="preserve"> أَبُو عَلِيٍّ الْأَشْعَرِيُّ ، عَنْ مُحَمَّدِ بْنِ عَبْدِ الْجَبَّارِ ، عَنْ أَحْمَدَ بْنِ النَّضْرِ </w:t>
      </w:r>
      <w:r w:rsidR="006C577F" w:rsidRPr="006C577F">
        <w:rPr>
          <w:rStyle w:val="libFootnotenumChar"/>
          <w:rtl/>
        </w:rPr>
        <w:t>(1)</w:t>
      </w:r>
      <w:r w:rsidRPr="00C9040A">
        <w:rPr>
          <w:rtl/>
          <w:lang w:bidi="fa-IR"/>
        </w:rPr>
        <w:t>، عَنْ عَمْرِو بْنِ شِمْرٍ ، عَنْ جَابِرٍ ، قَالَ :</w:t>
      </w:r>
    </w:p>
    <w:p w:rsidR="008A74EB" w:rsidRPr="00C9040A" w:rsidRDefault="008A74EB" w:rsidP="008A74EB">
      <w:pPr>
        <w:pStyle w:val="libNormal"/>
        <w:rPr>
          <w:rtl/>
          <w:lang w:bidi="fa-IR"/>
        </w:rPr>
      </w:pPr>
      <w:r w:rsidRPr="00C9040A">
        <w:rPr>
          <w:rtl/>
          <w:lang w:bidi="fa-IR"/>
        </w:rPr>
        <w:t xml:space="preserve">قُلْتُ لِأَبِي جَعْفَرٍ </w:t>
      </w:r>
      <w:r w:rsidRPr="0003660B">
        <w:rPr>
          <w:rStyle w:val="libAlaemChar"/>
          <w:rtl/>
        </w:rPr>
        <w:t>عليه‌السلام</w:t>
      </w:r>
      <w:r w:rsidRPr="00C9040A">
        <w:rPr>
          <w:rtl/>
          <w:lang w:bidi="fa-IR"/>
        </w:rPr>
        <w:t xml:space="preserve"> : يَرْحَمُكَ اللهُ ، مَا الصَّبْرُ الْجَمِيلُ</w:t>
      </w:r>
      <w:r>
        <w:rPr>
          <w:rtl/>
          <w:lang w:bidi="fa-IR"/>
        </w:rPr>
        <w:t>؟</w:t>
      </w:r>
    </w:p>
    <w:p w:rsidR="008A74EB" w:rsidRPr="00C9040A" w:rsidRDefault="008A74EB" w:rsidP="008A74EB">
      <w:pPr>
        <w:pStyle w:val="libNormal"/>
        <w:rPr>
          <w:rtl/>
          <w:lang w:bidi="fa-IR"/>
        </w:rPr>
      </w:pPr>
      <w:r w:rsidRPr="00C9040A">
        <w:rPr>
          <w:rtl/>
          <w:lang w:bidi="fa-IR"/>
        </w:rPr>
        <w:t xml:space="preserve">قَالَ : « ذلِكَ </w:t>
      </w:r>
      <w:r w:rsidR="006C577F" w:rsidRPr="006C577F">
        <w:rPr>
          <w:rStyle w:val="libFootnotenumChar"/>
          <w:rtl/>
        </w:rPr>
        <w:t>(2)</w:t>
      </w:r>
      <w:r w:rsidRPr="00C9040A">
        <w:rPr>
          <w:rtl/>
          <w:lang w:bidi="fa-IR"/>
        </w:rPr>
        <w:t xml:space="preserve"> صَبْرٌ لَيْسَ فِيهِ شَكْوَى إِلَى النَّاسِ »</w:t>
      </w:r>
      <w:r>
        <w:rPr>
          <w:rtl/>
          <w:lang w:bidi="fa-IR"/>
        </w:rPr>
        <w:t>.</w:t>
      </w:r>
      <w:r w:rsidRPr="00C9040A">
        <w:rPr>
          <w:rtl/>
          <w:lang w:bidi="fa-IR"/>
        </w:rPr>
        <w:t xml:space="preserve"> </w:t>
      </w:r>
      <w:r w:rsidR="006C577F" w:rsidRPr="006C577F">
        <w:rPr>
          <w:rStyle w:val="libFootnotenumChar"/>
          <w:rtl/>
        </w:rPr>
        <w:t>(3)</w:t>
      </w:r>
    </w:p>
    <w:p w:rsidR="008A74EB" w:rsidRPr="00C9040A" w:rsidRDefault="008A74EB" w:rsidP="008A74EB">
      <w:pPr>
        <w:pStyle w:val="libNormal"/>
        <w:rPr>
          <w:rtl/>
          <w:lang w:bidi="fa-IR"/>
        </w:rPr>
      </w:pPr>
      <w:r w:rsidRPr="009D5C89">
        <w:rPr>
          <w:rtl/>
        </w:rPr>
        <w:t>1713</w:t>
      </w:r>
      <w:r w:rsidRPr="00261CB0">
        <w:rPr>
          <w:rStyle w:val="libBold2Char"/>
          <w:rtl/>
        </w:rPr>
        <w:t xml:space="preserve"> / 24.</w:t>
      </w:r>
      <w:r w:rsidRPr="00C9040A">
        <w:rPr>
          <w:rtl/>
          <w:lang w:bidi="fa-IR"/>
        </w:rPr>
        <w:t xml:space="preserve"> حُمَيْدُ بْنُ زِيَادٍ ، عَنِ الْحَسَنِ بْنِ مُحَمَّدِ بْنِ سَمَاعَةَ ، عَنْ بَعْضِ أَصْحَابِهِ ، عَنْ أَبَانٍ ، عَنْ عَبْدِ الرَّحْمنِ بْنِ سَيَابَةَ ، عَنْ أَبِي النُّعْمَانِ :</w:t>
      </w:r>
    </w:p>
    <w:p w:rsidR="008A74EB" w:rsidRPr="00C9040A" w:rsidRDefault="008A74EB" w:rsidP="008A74EB">
      <w:pPr>
        <w:pStyle w:val="libNormal"/>
        <w:rPr>
          <w:rtl/>
          <w:lang w:bidi="fa-IR"/>
        </w:rPr>
      </w:pPr>
      <w:r w:rsidRPr="00C9040A">
        <w:rPr>
          <w:rtl/>
          <w:lang w:bidi="fa-IR"/>
        </w:rPr>
        <w:t xml:space="preserve">عَنْ أَبِي عَبْدِ اللهِ أَوْ </w:t>
      </w:r>
      <w:r w:rsidR="006C577F" w:rsidRPr="006C577F">
        <w:rPr>
          <w:rStyle w:val="libFootnotenumChar"/>
          <w:rtl/>
        </w:rPr>
        <w:t>(4)</w:t>
      </w:r>
      <w:r w:rsidRPr="00C9040A">
        <w:rPr>
          <w:rtl/>
          <w:lang w:bidi="fa-IR"/>
        </w:rPr>
        <w:t xml:space="preserve"> أَبِي جَعْفَرٍ </w:t>
      </w:r>
      <w:r w:rsidRPr="0003660B">
        <w:rPr>
          <w:rStyle w:val="libAlaemChar"/>
          <w:rtl/>
        </w:rPr>
        <w:t>عليهما‌السلام</w:t>
      </w:r>
      <w:r w:rsidRPr="00C9040A">
        <w:rPr>
          <w:rtl/>
          <w:lang w:bidi="fa-IR"/>
        </w:rPr>
        <w:t xml:space="preserve"> ، قَالَ : « مَنْ لَايُعِدَّ الصَّبْرَ لِنَوَائِبِ </w:t>
      </w:r>
      <w:r w:rsidR="006C577F" w:rsidRPr="006C577F">
        <w:rPr>
          <w:rStyle w:val="libFootnotenumChar"/>
          <w:rtl/>
        </w:rPr>
        <w:t>(5)</w:t>
      </w:r>
      <w:r w:rsidRPr="00C9040A">
        <w:rPr>
          <w:rtl/>
          <w:lang w:bidi="fa-IR"/>
        </w:rPr>
        <w:t xml:space="preserve"> الدَّهْرِ يَعْجِزْ</w:t>
      </w:r>
      <w:r w:rsidR="006C577F" w:rsidRPr="006C577F">
        <w:rPr>
          <w:rStyle w:val="libFootnotenumChar"/>
          <w:rtl/>
        </w:rPr>
        <w:t>(6)</w:t>
      </w:r>
      <w:r w:rsidRPr="00C9040A">
        <w:rPr>
          <w:rtl/>
          <w:lang w:bidi="fa-IR"/>
        </w:rPr>
        <w:t>»</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9D5C89">
        <w:rPr>
          <w:rtl/>
        </w:rPr>
        <w:t>1714</w:t>
      </w:r>
      <w:r w:rsidRPr="00261CB0">
        <w:rPr>
          <w:rStyle w:val="libBold2Char"/>
          <w:rtl/>
        </w:rPr>
        <w:t xml:space="preserve"> / 25.</w:t>
      </w:r>
      <w:r w:rsidRPr="00C9040A">
        <w:rPr>
          <w:rtl/>
          <w:lang w:bidi="fa-IR"/>
        </w:rPr>
        <w:t xml:space="preserve"> أَبُو عَبْدِ اللهِ الْأَشْعَرِيُّ </w:t>
      </w:r>
      <w:r w:rsidR="006C577F" w:rsidRPr="006C577F">
        <w:rPr>
          <w:rStyle w:val="libFootnotenumChar"/>
          <w:rtl/>
        </w:rPr>
        <w:t>(8)</w:t>
      </w:r>
      <w:r w:rsidRPr="00C9040A">
        <w:rPr>
          <w:rtl/>
          <w:lang w:bidi="fa-IR"/>
        </w:rPr>
        <w:t xml:space="preserve"> ، عَنْ مُعَلَّى بْنِ مُحَمَّدٍ ، عَنِ الْوَشَّاءِ ، عَنْ بَعْضِ أَصْحَابِهِ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 ص » : « النصر »</w:t>
      </w:r>
      <w:r w:rsidR="008A74EB">
        <w:rPr>
          <w:rtl/>
        </w:rPr>
        <w:t>.</w:t>
      </w:r>
      <w:r w:rsidR="008A74EB" w:rsidRPr="00C9040A">
        <w:rPr>
          <w:rtl/>
        </w:rPr>
        <w:t xml:space="preserve"> وهو سهو. راجع : </w:t>
      </w:r>
      <w:r w:rsidR="008A74EB" w:rsidRPr="00993B55">
        <w:rPr>
          <w:rStyle w:val="libFootnoteBoldChar"/>
          <w:rtl/>
        </w:rPr>
        <w:t>رجال النجاشي</w:t>
      </w:r>
      <w:r w:rsidR="008A74EB" w:rsidRPr="00C9040A">
        <w:rPr>
          <w:rtl/>
        </w:rPr>
        <w:t xml:space="preserve"> ، ص 98 ، الرقم 244 ؛ </w:t>
      </w:r>
      <w:r w:rsidR="008A74EB" w:rsidRPr="0034021D">
        <w:rPr>
          <w:rStyle w:val="libFootnoteBoldChar"/>
          <w:rtl/>
        </w:rPr>
        <w:t>الفهرست للطوسي</w:t>
      </w:r>
      <w:r w:rsidR="008A74EB" w:rsidRPr="00C9040A">
        <w:rPr>
          <w:rtl/>
        </w:rPr>
        <w:t xml:space="preserve"> ، ص 80 ، الرقم 101.</w:t>
      </w:r>
      <w:r w:rsidR="00481E7D">
        <w:rPr>
          <w:rFonts w:hint="cs"/>
          <w:rtl/>
        </w:rPr>
        <w:t xml:space="preserve">                             </w:t>
      </w:r>
      <w:r>
        <w:rPr>
          <w:rtl/>
        </w:rPr>
        <w:t>(2).</w:t>
      </w:r>
      <w:r w:rsidR="008A74EB">
        <w:rPr>
          <w:rtl/>
        </w:rPr>
        <w:t xml:space="preserve"> </w:t>
      </w:r>
      <w:r w:rsidR="008A74EB" w:rsidRPr="00C9040A">
        <w:rPr>
          <w:rtl/>
        </w:rPr>
        <w:t>في « بر » والوافي وتفسير العيّاشي : « ذاك »</w:t>
      </w:r>
      <w:r w:rsidR="008A74EB">
        <w:rPr>
          <w:rtl/>
        </w:rPr>
        <w:t>.</w:t>
      </w:r>
    </w:p>
    <w:p w:rsidR="008A74EB" w:rsidRPr="004A4E41" w:rsidRDefault="006C577F" w:rsidP="004A4E41">
      <w:pPr>
        <w:pStyle w:val="libFootnote0"/>
        <w:rPr>
          <w:rStyle w:val="libFootnote0Char"/>
          <w:rtl/>
        </w:rPr>
      </w:pPr>
      <w:r>
        <w:rPr>
          <w:rtl/>
        </w:rPr>
        <w:t>(3).</w:t>
      </w:r>
      <w:r w:rsidR="008A74EB" w:rsidRPr="00C9040A">
        <w:rPr>
          <w:rtl/>
        </w:rPr>
        <w:t xml:space="preserve"> </w:t>
      </w:r>
      <w:r w:rsidR="008A74EB" w:rsidRPr="00993B55">
        <w:rPr>
          <w:rStyle w:val="libFootnoteBoldChar"/>
          <w:rtl/>
        </w:rPr>
        <w:t>تفسير العيّاشي</w:t>
      </w:r>
      <w:r w:rsidR="008A74EB" w:rsidRPr="00C9040A">
        <w:rPr>
          <w:rtl/>
        </w:rPr>
        <w:t xml:space="preserve"> ، ج 2 ، ص 188 ، ح 57 ، عن جابر ، مع زيادة في آخره. </w:t>
      </w:r>
      <w:r w:rsidR="008A74EB" w:rsidRPr="00993B55">
        <w:rPr>
          <w:rStyle w:val="libFootnoteBoldChar"/>
          <w:rtl/>
        </w:rPr>
        <w:t>تحف العقول</w:t>
      </w:r>
      <w:r w:rsidR="008A74EB" w:rsidRPr="00C9040A">
        <w:rPr>
          <w:rtl/>
        </w:rPr>
        <w:t xml:space="preserve"> ، ص 369 ، عن أبي عبد الله </w:t>
      </w:r>
      <w:r w:rsidR="00117575" w:rsidRPr="00117575">
        <w:rPr>
          <w:rStyle w:val="libFootnoteAlaemChar"/>
          <w:rtl/>
        </w:rPr>
        <w:t>عليه‌السلام</w:t>
      </w:r>
      <w:r w:rsidR="008A74EB" w:rsidRPr="00C9040A">
        <w:rPr>
          <w:rtl/>
        </w:rPr>
        <w:t xml:space="preserve"> ، مع اختلاف يسير وزيادة في أوّله </w:t>
      </w:r>
      <w:r w:rsidR="00481E7D">
        <w:rPr>
          <w:rFonts w:hint="cs"/>
          <w:rtl/>
        </w:rPr>
        <w:t>.</w:t>
      </w:r>
      <w:r w:rsidR="008A74EB" w:rsidRPr="00993B55">
        <w:rPr>
          <w:rStyle w:val="libFootnoteBoldChar"/>
          <w:rtl/>
        </w:rPr>
        <w:t>الوافي</w:t>
      </w:r>
      <w:r w:rsidR="008A74EB" w:rsidRPr="00C9040A">
        <w:rPr>
          <w:rtl/>
        </w:rPr>
        <w:t xml:space="preserve"> ، ج 4 ، ص 341 ، ح 2079 ؛ </w:t>
      </w:r>
      <w:r w:rsidR="008A74EB" w:rsidRPr="00993B55">
        <w:rPr>
          <w:rStyle w:val="libFootnoteBoldChar"/>
          <w:rtl/>
        </w:rPr>
        <w:t>الوسائل</w:t>
      </w:r>
      <w:r w:rsidR="008A74EB" w:rsidRPr="00C9040A">
        <w:rPr>
          <w:rtl/>
        </w:rPr>
        <w:t xml:space="preserve"> ، ج 2 ، ص 407 ، ح 2484 ؛ </w:t>
      </w:r>
      <w:r w:rsidR="008A74EB" w:rsidRPr="00993B55">
        <w:rPr>
          <w:rStyle w:val="libFootnoteBoldChar"/>
          <w:rtl/>
        </w:rPr>
        <w:t>البحار</w:t>
      </w:r>
      <w:r w:rsidR="008A74EB" w:rsidRPr="00C9040A">
        <w:rPr>
          <w:rtl/>
        </w:rPr>
        <w:t xml:space="preserve"> ، ج 71 ، ص 83 ، ح 22.</w:t>
      </w:r>
    </w:p>
    <w:tbl>
      <w:tblPr>
        <w:tblStyle w:val="TableGrid"/>
        <w:bidiVisual/>
        <w:tblW w:w="0" w:type="auto"/>
        <w:tblLook w:val="04A0" w:firstRow="1" w:lastRow="0" w:firstColumn="1" w:lastColumn="0" w:noHBand="0" w:noVBand="1"/>
      </w:tblPr>
      <w:tblGrid>
        <w:gridCol w:w="4006"/>
        <w:gridCol w:w="4006"/>
      </w:tblGrid>
      <w:tr w:rsidR="00481E7D" w:rsidTr="00481E7D">
        <w:tc>
          <w:tcPr>
            <w:tcW w:w="4006" w:type="dxa"/>
          </w:tcPr>
          <w:p w:rsidR="00481E7D" w:rsidRDefault="00481E7D" w:rsidP="004A4E41">
            <w:pPr>
              <w:pStyle w:val="libFootnote0"/>
              <w:rPr>
                <w:rtl/>
              </w:rPr>
            </w:pPr>
            <w:r>
              <w:rPr>
                <w:rtl/>
              </w:rPr>
              <w:t>(4).</w:t>
            </w:r>
            <w:r w:rsidRPr="00C9040A">
              <w:rPr>
                <w:rtl/>
              </w:rPr>
              <w:t xml:space="preserve"> في « ف » : + « عن »</w:t>
            </w:r>
            <w:r>
              <w:rPr>
                <w:rtl/>
              </w:rPr>
              <w:t>.</w:t>
            </w:r>
            <w:r w:rsidRPr="00C9040A">
              <w:rPr>
                <w:rtl/>
              </w:rPr>
              <w:t xml:space="preserve"> وفي « بف » : « </w:t>
            </w:r>
            <w:r>
              <w:rPr>
                <w:rtl/>
              </w:rPr>
              <w:t>و ».</w:t>
            </w:r>
          </w:p>
        </w:tc>
        <w:tc>
          <w:tcPr>
            <w:tcW w:w="4006" w:type="dxa"/>
          </w:tcPr>
          <w:p w:rsidR="00481E7D" w:rsidRDefault="00481E7D" w:rsidP="004A4E41">
            <w:pPr>
              <w:pStyle w:val="libFootnote0"/>
              <w:rPr>
                <w:rtl/>
              </w:rPr>
            </w:pPr>
            <w:r>
              <w:rPr>
                <w:rtl/>
              </w:rPr>
              <w:t>(5).</w:t>
            </w:r>
            <w:r w:rsidRPr="00C9040A">
              <w:rPr>
                <w:rtl/>
              </w:rPr>
              <w:t xml:space="preserve"> في الأمالي : « لفواجع »</w:t>
            </w:r>
            <w:r>
              <w:rPr>
                <w:rtl/>
              </w:rPr>
              <w:t>.</w:t>
            </w:r>
          </w:p>
        </w:tc>
      </w:tr>
    </w:tbl>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بف ، بر » وحاشية « بس » : « لعجز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w:t>
      </w:r>
      <w:r w:rsidR="008A74EB" w:rsidRPr="0034021D">
        <w:rPr>
          <w:rStyle w:val="libFootnoteBoldChar"/>
          <w:rtl/>
        </w:rPr>
        <w:t>الأمالي للمفيد</w:t>
      </w:r>
      <w:r w:rsidR="008A74EB" w:rsidRPr="00C9040A">
        <w:rPr>
          <w:rtl/>
        </w:rPr>
        <w:t xml:space="preserve"> ، ص 185 ، المجلس 23 ، ح 11 ، بسنده عن أبان ، عن عبد الرحمن بن سيابة ، عن النعمان ، عن أبي جعفر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الكافي</w:t>
      </w:r>
      <w:r w:rsidR="008A74EB" w:rsidRPr="00C9040A">
        <w:rPr>
          <w:rtl/>
        </w:rPr>
        <w:t xml:space="preserve"> ، كتاب الروضة ، ح 14862 ، بسند آخر عن أبي جعفر </w:t>
      </w:r>
      <w:r w:rsidR="00117575" w:rsidRPr="00117575">
        <w:rPr>
          <w:rStyle w:val="libFootnoteAlaemChar"/>
          <w:rtl/>
        </w:rPr>
        <w:t xml:space="preserve">عليه‌السلام </w:t>
      </w:r>
      <w:r w:rsidR="008A74EB" w:rsidRPr="00C9040A">
        <w:rPr>
          <w:rtl/>
        </w:rPr>
        <w:t xml:space="preserve"> عن رسول لله</w:t>
      </w:r>
      <w:r w:rsidR="00AC2E2F">
        <w:rPr>
          <w:rFonts w:hint="cs"/>
          <w:rtl/>
        </w:rPr>
        <w:t xml:space="preserve"> </w:t>
      </w:r>
      <w:r w:rsidR="008A74EB" w:rsidRPr="00AC2E2F">
        <w:rPr>
          <w:rStyle w:val="libFootnoteAlaemChar"/>
          <w:rtl/>
        </w:rPr>
        <w:t>‌</w:t>
      </w:r>
      <w:r w:rsidR="004A4E41" w:rsidRPr="00AC2E2F">
        <w:rPr>
          <w:rStyle w:val="libFootnoteAlaemChar"/>
          <w:rtl/>
        </w:rPr>
        <w:t>صلى‌الله‌عليه‌وآله</w:t>
      </w:r>
      <w:r w:rsidR="008A74EB" w:rsidRPr="00C9040A">
        <w:rPr>
          <w:rtl/>
        </w:rPr>
        <w:t xml:space="preserve">. </w:t>
      </w:r>
      <w:r w:rsidR="008A74EB" w:rsidRPr="00993B55">
        <w:rPr>
          <w:rStyle w:val="libFootnoteBoldChar"/>
          <w:rtl/>
        </w:rPr>
        <w:t>تحف العقول</w:t>
      </w:r>
      <w:r w:rsidR="008A74EB" w:rsidRPr="00C9040A">
        <w:rPr>
          <w:rtl/>
        </w:rPr>
        <w:t xml:space="preserve"> ، ص 44 ، عن رسول الله </w:t>
      </w:r>
      <w:r w:rsidR="004A4E41" w:rsidRPr="00AC2E2F">
        <w:rPr>
          <w:rStyle w:val="libFootnoteAlaemChar"/>
          <w:rtl/>
        </w:rPr>
        <w:t>صلى‌الله‌عليه‌وآله</w:t>
      </w:r>
      <w:r w:rsidR="008A74EB" w:rsidRPr="00C9040A">
        <w:rPr>
          <w:rtl/>
        </w:rPr>
        <w:t xml:space="preserve"> ، وفي كلّها مع زيادة في أوّله وآخره </w:t>
      </w:r>
      <w:r w:rsidR="00481E7D">
        <w:rPr>
          <w:rFonts w:hint="cs"/>
          <w:rtl/>
        </w:rPr>
        <w:t>.</w:t>
      </w:r>
      <w:r w:rsidR="008A74EB" w:rsidRPr="00993B55">
        <w:rPr>
          <w:rStyle w:val="libFootnoteBoldChar"/>
          <w:rtl/>
        </w:rPr>
        <w:t>الوافي</w:t>
      </w:r>
      <w:r w:rsidR="008A74EB" w:rsidRPr="00C9040A">
        <w:rPr>
          <w:rtl/>
        </w:rPr>
        <w:t xml:space="preserve"> ، ج 4 ، ص 339 ، ح 2073 ؛ </w:t>
      </w:r>
      <w:r w:rsidR="008A74EB" w:rsidRPr="00993B55">
        <w:rPr>
          <w:rStyle w:val="libFootnoteBoldChar"/>
          <w:rtl/>
        </w:rPr>
        <w:t>الوسائل</w:t>
      </w:r>
      <w:r w:rsidR="008A74EB" w:rsidRPr="00C9040A">
        <w:rPr>
          <w:rtl/>
        </w:rPr>
        <w:t xml:space="preserve"> ، ج 3 ، ص 259 ، ح 3578 ؛ </w:t>
      </w:r>
      <w:r w:rsidR="008A74EB" w:rsidRPr="00993B55">
        <w:rPr>
          <w:rStyle w:val="libFootnoteBoldChar"/>
          <w:rtl/>
        </w:rPr>
        <w:t>البحار</w:t>
      </w:r>
      <w:r w:rsidR="008A74EB" w:rsidRPr="00C9040A">
        <w:rPr>
          <w:rtl/>
        </w:rPr>
        <w:t xml:space="preserve"> ، ج 71 ، ص 83 ، ح 23.</w:t>
      </w:r>
    </w:p>
    <w:p w:rsidR="008A74EB" w:rsidRPr="00C9040A" w:rsidRDefault="006C577F" w:rsidP="004A4E41">
      <w:pPr>
        <w:pStyle w:val="libFootnote0"/>
        <w:rPr>
          <w:rtl/>
          <w:lang w:bidi="fa-IR"/>
        </w:rPr>
      </w:pPr>
      <w:r>
        <w:rPr>
          <w:rtl/>
        </w:rPr>
        <w:t>(8).</w:t>
      </w:r>
      <w:r w:rsidR="008A74EB" w:rsidRPr="00C9040A">
        <w:rPr>
          <w:rtl/>
        </w:rPr>
        <w:t xml:space="preserve"> هكذا في « ب ، د ، ز ، ص ، ض ، بر ، بس ، بف »</w:t>
      </w:r>
      <w:r w:rsidR="008A74EB">
        <w:rPr>
          <w:rtl/>
        </w:rPr>
        <w:t>.</w:t>
      </w:r>
      <w:r w:rsidR="008A74EB" w:rsidRPr="00C9040A">
        <w:rPr>
          <w:rtl/>
        </w:rPr>
        <w:t xml:space="preserve"> وفي « ج ، ف » والمطبوع : « أبو عليّ الأشعري »</w:t>
      </w:r>
      <w:r w:rsidR="008A74EB">
        <w:rPr>
          <w:rtl/>
        </w:rPr>
        <w:t>.</w:t>
      </w:r>
      <w:r w:rsidR="008A74EB" w:rsidRPr="00C9040A">
        <w:rPr>
          <w:rtl/>
        </w:rPr>
        <w:t xml:space="preserve"> والصواب ما</w:t>
      </w:r>
      <w:r w:rsidR="008A74EB">
        <w:rPr>
          <w:rFonts w:hint="cs"/>
          <w:rtl/>
        </w:rPr>
        <w:t xml:space="preserve"> </w:t>
      </w:r>
      <w:r w:rsidR="008A74EB" w:rsidRPr="00C9040A">
        <w:rPr>
          <w:rtl/>
        </w:rPr>
        <w:t xml:space="preserve">أثبتناه ؛ فإنّ أبا عبد الله الأشعري ، هو الحسين بن محمّد من مشايخ الكليني ، وقد أكثر الرواية عن معلّى بن محمّد ، ويأتي في الكافي ، ح 3726 ، رواية أبي عبد الله الأشعري ، عن معلّى بن محمّد ، عن الوشّاء. راجع : </w:t>
      </w:r>
      <w:r w:rsidR="008A74EB" w:rsidRPr="00993B55">
        <w:rPr>
          <w:rStyle w:val="libFootnoteBoldChar"/>
          <w:rtl/>
        </w:rPr>
        <w:t>معجم رجال الحديث</w:t>
      </w:r>
      <w:r w:rsidR="008A74EB" w:rsidRPr="00C9040A">
        <w:rPr>
          <w:rtl/>
        </w:rPr>
        <w:t xml:space="preserve"> ، ج 6 ، ص 343</w:t>
      </w:r>
      <w:r w:rsidR="008A74EB">
        <w:rPr>
          <w:rtl/>
        </w:rPr>
        <w:t xml:space="preserve"> </w:t>
      </w:r>
      <w:r w:rsidR="0084262C">
        <w:rPr>
          <w:rtl/>
        </w:rPr>
        <w:t>-</w:t>
      </w:r>
      <w:r w:rsidR="008A74EB">
        <w:rPr>
          <w:rtl/>
        </w:rPr>
        <w:t xml:space="preserve"> </w:t>
      </w:r>
      <w:r w:rsidR="008A74EB" w:rsidRPr="00C9040A">
        <w:rPr>
          <w:rtl/>
        </w:rPr>
        <w:t xml:space="preserve">350 ؛ </w:t>
      </w:r>
      <w:r w:rsidR="008A74EB" w:rsidRPr="00993B55">
        <w:rPr>
          <w:rStyle w:val="libFootnoteBoldChar"/>
          <w:rtl/>
        </w:rPr>
        <w:t>رجال النجاشي</w:t>
      </w:r>
      <w:r w:rsidR="008A74EB" w:rsidRPr="00C9040A">
        <w:rPr>
          <w:rtl/>
        </w:rPr>
        <w:t xml:space="preserve"> ، ص 66 ، الرقم 156.</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إِنَّا صُبَّرٌ </w:t>
      </w:r>
      <w:r w:rsidR="006C577F" w:rsidRPr="006C577F">
        <w:rPr>
          <w:rStyle w:val="libFootnotenumChar"/>
          <w:rtl/>
        </w:rPr>
        <w:t>(1)</w:t>
      </w:r>
      <w:r w:rsidRPr="00E711C7">
        <w:rPr>
          <w:rFonts w:hint="cs"/>
          <w:rtl/>
        </w:rPr>
        <w:t xml:space="preserve"> </w:t>
      </w:r>
      <w:r w:rsidRPr="00C9040A">
        <w:rPr>
          <w:rtl/>
          <w:lang w:bidi="fa-IR"/>
        </w:rPr>
        <w:t>وَشِيعَتُنَا أَصْبَرُ مِنَّا »</w:t>
      </w:r>
      <w:r>
        <w:rPr>
          <w:rtl/>
          <w:lang w:bidi="fa-IR"/>
        </w:rPr>
        <w:t>.</w:t>
      </w:r>
      <w:r w:rsidRPr="00C9040A">
        <w:rPr>
          <w:rtl/>
          <w:lang w:bidi="fa-IR"/>
        </w:rPr>
        <w:t xml:space="preserve"> قُلْتُ : جُعِلْتُ فِدَاكَ ، كَيْفَ صَارَ شِيعَتُكُمْ أَصْبَرَ مِنْكُمْ</w:t>
      </w:r>
      <w:r>
        <w:rPr>
          <w:rtl/>
          <w:lang w:bidi="fa-IR"/>
        </w:rPr>
        <w:t>؟</w:t>
      </w:r>
      <w:r w:rsidRPr="00C9040A">
        <w:rPr>
          <w:rtl/>
          <w:lang w:bidi="fa-IR"/>
        </w:rPr>
        <w:t xml:space="preserve"> قَالَ : « لِأَنَّا نَصْبِرُ عَلى مَا نَعْلَمُ ، وَشِيعَتُنَا يَصْبِرُونَ عَلى مَا لَا يَعْلَمُونَ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Heading2Center"/>
        <w:rPr>
          <w:rtl/>
          <w:lang w:bidi="fa-IR"/>
        </w:rPr>
      </w:pPr>
      <w:bookmarkStart w:id="154" w:name="_Toc343795639"/>
      <w:bookmarkStart w:id="155" w:name="_Toc459810763"/>
      <w:bookmarkStart w:id="156" w:name="_Toc35348669"/>
      <w:r w:rsidRPr="00C9040A">
        <w:rPr>
          <w:rtl/>
          <w:lang w:bidi="fa-IR"/>
        </w:rPr>
        <w:t>48</w:t>
      </w:r>
      <w:r>
        <w:rPr>
          <w:rtl/>
          <w:lang w:bidi="fa-IR"/>
        </w:rPr>
        <w:t xml:space="preserve"> </w:t>
      </w:r>
      <w:r w:rsidR="0084262C">
        <w:rPr>
          <w:rtl/>
          <w:lang w:bidi="fa-IR"/>
        </w:rPr>
        <w:t>-</w:t>
      </w:r>
      <w:r>
        <w:rPr>
          <w:rtl/>
          <w:lang w:bidi="fa-IR"/>
        </w:rPr>
        <w:t xml:space="preserve"> </w:t>
      </w:r>
      <w:r w:rsidRPr="00C9040A">
        <w:rPr>
          <w:rtl/>
          <w:lang w:bidi="fa-IR"/>
        </w:rPr>
        <w:t>بَابُ الشُّكْرِ‌</w:t>
      </w:r>
      <w:bookmarkEnd w:id="154"/>
      <w:bookmarkEnd w:id="155"/>
      <w:bookmarkEnd w:id="156"/>
    </w:p>
    <w:p w:rsidR="008A74EB" w:rsidRPr="00C9040A" w:rsidRDefault="008A74EB" w:rsidP="008A74EB">
      <w:pPr>
        <w:pStyle w:val="libNormal"/>
        <w:rPr>
          <w:rtl/>
          <w:lang w:bidi="fa-IR"/>
        </w:rPr>
      </w:pPr>
      <w:r w:rsidRPr="00717D4C">
        <w:rPr>
          <w:rtl/>
        </w:rPr>
        <w:t>1715</w:t>
      </w:r>
      <w:r w:rsidRPr="00261CB0">
        <w:rPr>
          <w:rStyle w:val="libBold2Char"/>
          <w:rtl/>
        </w:rPr>
        <w:t xml:space="preserve"> / 1.</w:t>
      </w:r>
      <w:r w:rsidRPr="00C9040A">
        <w:rPr>
          <w:rtl/>
          <w:lang w:bidi="fa-IR"/>
        </w:rPr>
        <w:t xml:space="preserve"> عَلِيُّ بْنُ إِبْرَاهِيمَ ، عَنْ أَبِيهِ ، عَنِ النَّوْفَلِيِّ ، عَنِ السَّكُونِيِّ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الطَّاعِمُ الشَّاكِرُ ، لَهُ مِنَ الْأَجْرِ كَأَجْرِ الصَّائِمِ الْمُحْتَسِبِ ، وَالْمُعَافَى الشَّاكِرُ ، لَهُ مِنَ الْأَجْرِ كَأَجْرِ الْمُبْتَلَى الصَّابِرِ ، وَالْمُعْطَى </w:t>
      </w:r>
      <w:r w:rsidR="006C577F" w:rsidRPr="006C577F">
        <w:rPr>
          <w:rStyle w:val="libFootnotenumChar"/>
          <w:rtl/>
        </w:rPr>
        <w:t>(3)</w:t>
      </w:r>
      <w:r w:rsidRPr="00C9040A">
        <w:rPr>
          <w:rtl/>
          <w:lang w:bidi="fa-IR"/>
        </w:rPr>
        <w:t xml:space="preserve"> الشَّاكِرُ ، لَهُ مِنَ الْأَجْرِ كَأَجْرِ الْمَحْرُومِ الْقَانِعِ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717D4C">
        <w:rPr>
          <w:rtl/>
        </w:rPr>
        <w:t>1716</w:t>
      </w:r>
      <w:r w:rsidRPr="00261CB0">
        <w:rPr>
          <w:rStyle w:val="libBold2Char"/>
          <w:rtl/>
        </w:rPr>
        <w:t xml:space="preserve"> / 2.</w:t>
      </w:r>
      <w:r w:rsidRPr="00C9040A">
        <w:rPr>
          <w:rtl/>
          <w:lang w:bidi="fa-IR"/>
        </w:rPr>
        <w:t xml:space="preserve"> وَبِهذَا الْإِسْنَادِ ، قَالَ :</w:t>
      </w:r>
    </w:p>
    <w:p w:rsidR="008A74EB" w:rsidRPr="00C9040A" w:rsidRDefault="008A74EB" w:rsidP="008A74EB">
      <w:pPr>
        <w:pStyle w:val="libNormal"/>
        <w:rPr>
          <w:rtl/>
          <w:lang w:bidi="fa-IR"/>
        </w:rPr>
      </w:pPr>
      <w:r w:rsidRPr="00C9040A">
        <w:rPr>
          <w:rtl/>
          <w:lang w:bidi="fa-IR"/>
        </w:rPr>
        <w:t xml:space="preserve">« قَالَ رَسُولُ اللهِ </w:t>
      </w:r>
      <w:r w:rsidR="004A4E41" w:rsidRPr="004A4E41">
        <w:rPr>
          <w:rStyle w:val="libAlaemChar"/>
          <w:rtl/>
        </w:rPr>
        <w:t>صلى‌الله‌عليه‌وآله</w:t>
      </w:r>
      <w:r w:rsidRPr="00C9040A">
        <w:rPr>
          <w:rtl/>
          <w:lang w:bidi="fa-IR"/>
        </w:rPr>
        <w:t xml:space="preserve"> : مَا فَتَحَ اللهُ عَلى عَبْدٍ بَابَ شُكْرٍ ، فَخَزَنَ </w:t>
      </w:r>
      <w:r w:rsidR="006C577F" w:rsidRPr="006C577F">
        <w:rPr>
          <w:rStyle w:val="libFootnotenumChar"/>
          <w:rtl/>
        </w:rPr>
        <w:t>(5)</w:t>
      </w:r>
      <w:r w:rsidRPr="00C9040A">
        <w:rPr>
          <w:rtl/>
          <w:lang w:bidi="fa-IR"/>
        </w:rPr>
        <w:t xml:space="preserve"> عَنْهُ </w:t>
      </w:r>
      <w:r w:rsidR="006C577F" w:rsidRPr="006C577F">
        <w:rPr>
          <w:rStyle w:val="libFootnotenumChar"/>
          <w:rtl/>
        </w:rPr>
        <w:t>(6)</w:t>
      </w:r>
      <w:r w:rsidRPr="005B567D">
        <w:rPr>
          <w:rStyle w:val="libFootnotenumChar"/>
          <w:rtl/>
        </w:rPr>
        <w:t xml:space="preserve"> </w:t>
      </w:r>
      <w:r w:rsidR="00481E7D">
        <w:rPr>
          <w:rtl/>
          <w:lang w:bidi="fa-IR"/>
        </w:rPr>
        <w:t>بَابَ الزِّيَادَةِ</w:t>
      </w:r>
      <w:r w:rsidRPr="00C9040A">
        <w:rPr>
          <w:rtl/>
          <w:lang w:bidi="fa-IR"/>
        </w:rPr>
        <w:t>»</w:t>
      </w:r>
      <w:r>
        <w:rPr>
          <w:rtl/>
          <w:lang w:bidi="fa-IR"/>
        </w:rPr>
        <w:t>.</w:t>
      </w:r>
      <w:r w:rsidR="006C577F" w:rsidRPr="006C577F">
        <w:rPr>
          <w:rStyle w:val="libFootnotenumChar"/>
          <w:rtl/>
        </w:rPr>
        <w:t>(7)</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يجوز في الكلمة ضمّ الباء مخفّفةً.</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تفسير القمّي</w:t>
      </w:r>
      <w:r w:rsidR="008A74EB" w:rsidRPr="00C9040A">
        <w:rPr>
          <w:rtl/>
        </w:rPr>
        <w:t xml:space="preserve"> ، ج 1 ، ص 365 ، بسند آخر عن أبي عبد الله </w:t>
      </w:r>
      <w:r w:rsidR="00117575" w:rsidRPr="00117575">
        <w:rPr>
          <w:rStyle w:val="libFootnoteAlaemChar"/>
          <w:rtl/>
        </w:rPr>
        <w:t xml:space="preserve">عليه‌السلام </w:t>
      </w:r>
      <w:r w:rsidR="008A74EB" w:rsidRPr="00C9040A">
        <w:rPr>
          <w:rtl/>
        </w:rPr>
        <w:t xml:space="preserve"> ؛ </w:t>
      </w:r>
      <w:r w:rsidR="008A74EB" w:rsidRPr="00993B55">
        <w:rPr>
          <w:rStyle w:val="libFootnoteBoldChar"/>
          <w:rtl/>
        </w:rPr>
        <w:t>وفيه</w:t>
      </w:r>
      <w:r w:rsidR="008A74EB" w:rsidRPr="00C9040A">
        <w:rPr>
          <w:rtl/>
        </w:rPr>
        <w:t xml:space="preserve"> ، ج 2 ، ص 141 ، مرسلاً ، وفيهما مع اختلاف يسير. وراجع : </w:t>
      </w:r>
      <w:r w:rsidR="008A74EB" w:rsidRPr="00993B55">
        <w:rPr>
          <w:rStyle w:val="libFootnoteBoldChar"/>
          <w:rtl/>
        </w:rPr>
        <w:t>الكافي</w:t>
      </w:r>
      <w:r w:rsidR="008A74EB" w:rsidRPr="00C9040A">
        <w:rPr>
          <w:rtl/>
        </w:rPr>
        <w:t xml:space="preserve"> ، كتاب الحجّة ، باب مولد أبي عبدالله جعفر بن محمّد </w:t>
      </w:r>
      <w:r w:rsidR="00117575" w:rsidRPr="00117575">
        <w:rPr>
          <w:rStyle w:val="libFootnoteAlaemChar"/>
          <w:rtl/>
        </w:rPr>
        <w:t>عليه‌السلام</w:t>
      </w:r>
      <w:r w:rsidR="008A74EB" w:rsidRPr="00C9040A">
        <w:rPr>
          <w:rtl/>
        </w:rPr>
        <w:t xml:space="preserve"> ، ح 1281 </w:t>
      </w:r>
      <w:r w:rsidR="00481E7D">
        <w:rPr>
          <w:rFonts w:hint="cs"/>
          <w:rtl/>
        </w:rPr>
        <w:t>.</w:t>
      </w:r>
      <w:r w:rsidR="008A74EB" w:rsidRPr="00993B55">
        <w:rPr>
          <w:rStyle w:val="libFootnoteBoldChar"/>
          <w:rtl/>
        </w:rPr>
        <w:t>الوافي</w:t>
      </w:r>
      <w:r w:rsidR="008A74EB" w:rsidRPr="00C9040A">
        <w:rPr>
          <w:rtl/>
        </w:rPr>
        <w:t xml:space="preserve"> ، ج 4 ، ص 340 ، ح 2076 ؛ </w:t>
      </w:r>
      <w:r w:rsidR="008A74EB" w:rsidRPr="00993B55">
        <w:rPr>
          <w:rStyle w:val="libFootnoteBoldChar"/>
          <w:rtl/>
        </w:rPr>
        <w:t>البحار</w:t>
      </w:r>
      <w:r w:rsidR="008A74EB" w:rsidRPr="00C9040A">
        <w:rPr>
          <w:rtl/>
        </w:rPr>
        <w:t xml:space="preserve"> ، ج 71 ، ص 80 ، ح 16.</w:t>
      </w:r>
    </w:p>
    <w:p w:rsidR="008A74EB" w:rsidRPr="00C9040A" w:rsidRDefault="006C577F" w:rsidP="004A4E41">
      <w:pPr>
        <w:pStyle w:val="libFootnote0"/>
        <w:rPr>
          <w:rtl/>
          <w:lang w:bidi="fa-IR"/>
        </w:rPr>
      </w:pPr>
      <w:r>
        <w:rPr>
          <w:rtl/>
        </w:rPr>
        <w:t>(3).</w:t>
      </w:r>
      <w:r w:rsidR="008A74EB" w:rsidRPr="00C9040A">
        <w:rPr>
          <w:rtl/>
        </w:rPr>
        <w:t xml:space="preserve"> في « ف » : « والمعاطى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قرب الإسناد</w:t>
      </w:r>
      <w:r w:rsidR="008A74EB" w:rsidRPr="00C9040A">
        <w:rPr>
          <w:rtl/>
        </w:rPr>
        <w:t xml:space="preserve"> ، ص 74 ، ح 237 ، بسند آخر عن جعفر ، عن أبيه يرفعه ، قال : « الطاعم</w:t>
      </w:r>
      <w:r w:rsidR="008A74EB">
        <w:rPr>
          <w:rtl/>
        </w:rPr>
        <w:t xml:space="preserve"> ..</w:t>
      </w:r>
      <w:r w:rsidR="008A74EB" w:rsidRPr="00C9040A">
        <w:rPr>
          <w:rtl/>
        </w:rPr>
        <w:t xml:space="preserve">. » ؛ </w:t>
      </w:r>
      <w:r w:rsidR="008A74EB" w:rsidRPr="00993B55">
        <w:rPr>
          <w:rStyle w:val="libFootnoteBoldChar"/>
          <w:rtl/>
        </w:rPr>
        <w:t>ثواب الأعمال</w:t>
      </w:r>
      <w:r w:rsidR="008A74EB" w:rsidRPr="00C9040A">
        <w:rPr>
          <w:rtl/>
        </w:rPr>
        <w:t xml:space="preserve"> ، ص 216 ، ح 1 ، بسند آخر عن أبي عبد الله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تحف العقول</w:t>
      </w:r>
      <w:r w:rsidR="008A74EB" w:rsidRPr="00C9040A">
        <w:rPr>
          <w:rtl/>
        </w:rPr>
        <w:t xml:space="preserve"> ، ص 364 ، عن أبي عبد الله </w:t>
      </w:r>
      <w:r w:rsidR="00117575" w:rsidRPr="00117575">
        <w:rPr>
          <w:rStyle w:val="libFootnoteAlaemChar"/>
          <w:rtl/>
        </w:rPr>
        <w:t>عليه‌السلام</w:t>
      </w:r>
      <w:r w:rsidR="008A74EB" w:rsidRPr="00C9040A">
        <w:rPr>
          <w:rtl/>
        </w:rPr>
        <w:t xml:space="preserve"> ، وفيهما من دون الإسناد إلى رسول الله </w:t>
      </w:r>
      <w:r w:rsidR="004A4E41" w:rsidRPr="00AC2E2F">
        <w:rPr>
          <w:rStyle w:val="libFootnoteAlaemChar"/>
          <w:rtl/>
        </w:rPr>
        <w:t>صلى‌الله‌عليه‌وآله</w:t>
      </w:r>
      <w:r w:rsidR="008A74EB" w:rsidRPr="00C9040A">
        <w:rPr>
          <w:rtl/>
        </w:rPr>
        <w:t xml:space="preserve"> ، إلى قوله : « كأجر المبتلى الصابر »</w:t>
      </w:r>
      <w:r w:rsidR="008A74EB">
        <w:rPr>
          <w:rtl/>
        </w:rPr>
        <w:t>.</w:t>
      </w:r>
      <w:r w:rsidR="008A74EB" w:rsidRPr="00C9040A">
        <w:rPr>
          <w:rtl/>
        </w:rPr>
        <w:t xml:space="preserve"> وراجع : </w:t>
      </w:r>
      <w:r w:rsidR="008A74EB" w:rsidRPr="00993B55">
        <w:rPr>
          <w:rStyle w:val="libFootnoteBoldChar"/>
          <w:rtl/>
        </w:rPr>
        <w:t>المحاسن</w:t>
      </w:r>
      <w:r w:rsidR="008A74EB" w:rsidRPr="00C9040A">
        <w:rPr>
          <w:rtl/>
        </w:rPr>
        <w:t xml:space="preserve"> ، ص 435 ، كتاب المأكل ، ح 271 </w:t>
      </w:r>
      <w:r w:rsidR="00481E7D">
        <w:rPr>
          <w:rFonts w:hint="cs"/>
          <w:rtl/>
        </w:rPr>
        <w:t>.</w:t>
      </w:r>
      <w:r w:rsidR="008A74EB" w:rsidRPr="00993B55">
        <w:rPr>
          <w:rStyle w:val="libFootnoteBoldChar"/>
          <w:rtl/>
        </w:rPr>
        <w:t>الوافي</w:t>
      </w:r>
      <w:r w:rsidR="008A74EB" w:rsidRPr="00C9040A">
        <w:rPr>
          <w:rtl/>
        </w:rPr>
        <w:t xml:space="preserve"> ، ج 4 ، ص 345 ، ح 2083 ؛ </w:t>
      </w:r>
      <w:r w:rsidR="008A74EB" w:rsidRPr="00993B55">
        <w:rPr>
          <w:rStyle w:val="libFootnoteBoldChar"/>
          <w:rtl/>
        </w:rPr>
        <w:t>الوسائل</w:t>
      </w:r>
      <w:r w:rsidR="008A74EB" w:rsidRPr="00C9040A">
        <w:rPr>
          <w:rtl/>
        </w:rPr>
        <w:t xml:space="preserve"> ، ج 16 ، ص 310 ، ح 21627 ؛ </w:t>
      </w:r>
      <w:r w:rsidR="008A74EB" w:rsidRPr="00993B55">
        <w:rPr>
          <w:rStyle w:val="libFootnoteBoldChar"/>
          <w:rtl/>
        </w:rPr>
        <w:t>البحار</w:t>
      </w:r>
      <w:r w:rsidR="008A74EB" w:rsidRPr="00C9040A">
        <w:rPr>
          <w:rtl/>
        </w:rPr>
        <w:t xml:space="preserve"> ، ج 71 ، ص 22 ، ح 1.</w:t>
      </w:r>
    </w:p>
    <w:p w:rsidR="008A74EB" w:rsidRPr="00C9040A" w:rsidRDefault="006C577F" w:rsidP="004A4E41">
      <w:pPr>
        <w:pStyle w:val="libFootnote0"/>
        <w:rPr>
          <w:rtl/>
          <w:lang w:bidi="fa-IR"/>
        </w:rPr>
      </w:pPr>
      <w:r>
        <w:rPr>
          <w:rtl/>
        </w:rPr>
        <w:t>(5).</w:t>
      </w:r>
      <w:r w:rsidR="008A74EB" w:rsidRPr="00C9040A">
        <w:rPr>
          <w:rtl/>
        </w:rPr>
        <w:t xml:space="preserve"> في « ف » : « فخرج »</w:t>
      </w:r>
      <w:r w:rsidR="008A74EB">
        <w:rPr>
          <w:rtl/>
        </w:rPr>
        <w:t>.</w:t>
      </w:r>
      <w:r w:rsidR="008A74EB" w:rsidRPr="00C9040A">
        <w:rPr>
          <w:rtl/>
        </w:rPr>
        <w:t xml:space="preserve"> وخَزَن المال : غيّبه. </w:t>
      </w:r>
      <w:r w:rsidR="008A74EB" w:rsidRPr="00993B55">
        <w:rPr>
          <w:rStyle w:val="libFootnoteBoldChar"/>
          <w:rtl/>
        </w:rPr>
        <w:t>مجمع البحرين</w:t>
      </w:r>
      <w:r w:rsidR="008A74EB" w:rsidRPr="00C9040A">
        <w:rPr>
          <w:rtl/>
        </w:rPr>
        <w:t xml:space="preserve"> ، ج 1 ، ص 509 ( خزن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حاشية « بر ، بف » : « عليه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الجعفريّات</w:t>
      </w:r>
      <w:r w:rsidR="008A74EB" w:rsidRPr="00C9040A">
        <w:rPr>
          <w:rtl/>
        </w:rPr>
        <w:t xml:space="preserve"> ، ص 222 ، بسند آخر عن جعفر بن محمّد ، عن آبائه </w:t>
      </w:r>
      <w:r w:rsidR="00117575" w:rsidRPr="00117575">
        <w:rPr>
          <w:rStyle w:val="libFootnoteAlaemChar"/>
          <w:rtl/>
        </w:rPr>
        <w:t>عليهم‌السلام</w:t>
      </w:r>
      <w:r w:rsidR="008A74EB" w:rsidRPr="00C9040A">
        <w:rPr>
          <w:rtl/>
        </w:rPr>
        <w:t xml:space="preserve"> عن رسول الله </w:t>
      </w:r>
      <w:r w:rsidR="004A4E41" w:rsidRPr="00AC2E2F">
        <w:rPr>
          <w:rStyle w:val="libFootnoteAlaemChar"/>
          <w:rtl/>
        </w:rPr>
        <w:t>صلى‌الله‌عليه‌وآله</w:t>
      </w:r>
      <w:r w:rsidR="008A74EB" w:rsidRPr="00C9040A">
        <w:rPr>
          <w:rtl/>
        </w:rPr>
        <w:t xml:space="preserve"> ، مع زيادة في أوّله </w:t>
      </w:r>
      <w:r w:rsidR="00481E7D">
        <w:rPr>
          <w:rFonts w:hint="cs"/>
          <w:rtl/>
        </w:rPr>
        <w:t>.</w:t>
      </w:r>
      <w:r w:rsidR="008A74EB" w:rsidRPr="00993B55">
        <w:rPr>
          <w:rStyle w:val="libFootnoteBoldChar"/>
          <w:rtl/>
        </w:rPr>
        <w:t>الوافي</w:t>
      </w:r>
      <w:r w:rsidR="008A74EB" w:rsidRPr="00C9040A">
        <w:rPr>
          <w:rtl/>
        </w:rPr>
        <w:t xml:space="preserve"> ، ج 4 ، ص 345 ، ح 2085 ؛ </w:t>
      </w:r>
      <w:r w:rsidR="008A74EB" w:rsidRPr="00993B55">
        <w:rPr>
          <w:rStyle w:val="libFootnoteBoldChar"/>
          <w:rtl/>
        </w:rPr>
        <w:t>الوسائل</w:t>
      </w:r>
      <w:r w:rsidR="008A74EB" w:rsidRPr="00C9040A">
        <w:rPr>
          <w:rtl/>
        </w:rPr>
        <w:t xml:space="preserve"> ، ج 16 ، ص 311 ، ح 21628 ؛ </w:t>
      </w:r>
      <w:r w:rsidR="008A74EB" w:rsidRPr="00993B55">
        <w:rPr>
          <w:rStyle w:val="libFootnoteBoldChar"/>
          <w:rtl/>
        </w:rPr>
        <w:t>البحار</w:t>
      </w:r>
      <w:r w:rsidR="008A74EB" w:rsidRPr="00C9040A">
        <w:rPr>
          <w:rtl/>
        </w:rPr>
        <w:t xml:space="preserve"> ، ج 71 ، ص 23 ، ح 2.</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717D4C">
        <w:rPr>
          <w:rtl/>
        </w:rPr>
        <w:t>1717</w:t>
      </w:r>
      <w:r w:rsidRPr="00261CB0">
        <w:rPr>
          <w:rStyle w:val="libBold2Char"/>
          <w:rtl/>
        </w:rPr>
        <w:t xml:space="preserve"> / 3.</w:t>
      </w:r>
      <w:r w:rsidRPr="00C9040A">
        <w:rPr>
          <w:rtl/>
          <w:lang w:bidi="fa-IR"/>
        </w:rPr>
        <w:t xml:space="preserve"> مُحَمَّدُ بْنُ يَحْيى ، عَنْ أَحْمَدَ بْنِ مُحَمَّدِ بْنِ عِيسى ، عَنْ جَعْفَرِ بْنِ مُحَمَّدٍ الْبَغْدَادِيِّ ، عَنْ عَبْدِ اللهِ بْنِ إِسْحَاقَ الْجَعْفَرِيِّ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مَكْتُوبٌ فِي التَّوْرَاةِ : اشْكُرْ </w:t>
      </w:r>
      <w:r w:rsidR="006C577F" w:rsidRPr="006C577F">
        <w:rPr>
          <w:rStyle w:val="libFootnotenumChar"/>
          <w:rtl/>
        </w:rPr>
        <w:t>(1)</w:t>
      </w:r>
      <w:r w:rsidRPr="002712F0">
        <w:rPr>
          <w:rFonts w:hint="cs"/>
          <w:rtl/>
        </w:rPr>
        <w:t xml:space="preserve"> </w:t>
      </w:r>
      <w:r w:rsidRPr="00C9040A">
        <w:rPr>
          <w:rtl/>
          <w:lang w:bidi="fa-IR"/>
        </w:rPr>
        <w:t xml:space="preserve">مَنْ أَنْعَمَ عَلَيْكَ ، وَأَنْعِمْ عَلى </w:t>
      </w:r>
      <w:r w:rsidR="006C577F" w:rsidRPr="006C577F">
        <w:rPr>
          <w:rStyle w:val="libFootnotenumChar"/>
          <w:rtl/>
        </w:rPr>
        <w:t>(2)</w:t>
      </w:r>
      <w:r w:rsidRPr="00C9040A">
        <w:rPr>
          <w:rtl/>
          <w:lang w:bidi="fa-IR"/>
        </w:rPr>
        <w:t xml:space="preserve"> مَنْ شَكَرَكَ ؛ فَإِنَّهُ لَازَوَالَ لِلنَّعْمَاءِ </w:t>
      </w:r>
      <w:r w:rsidR="006C577F" w:rsidRPr="006C577F">
        <w:rPr>
          <w:rStyle w:val="libFootnotenumChar"/>
          <w:rtl/>
        </w:rPr>
        <w:t>(3)</w:t>
      </w:r>
      <w:r w:rsidRPr="00C9040A">
        <w:rPr>
          <w:rtl/>
          <w:lang w:bidi="fa-IR"/>
        </w:rPr>
        <w:t xml:space="preserve"> إِذَا شُكِرَتْ ، وَلَا بَقَاءَ لَهَا إِذَا كُفِرَتْ ؛ الشُّكْرُ </w:t>
      </w:r>
      <w:r w:rsidR="006C577F" w:rsidRPr="006C577F">
        <w:rPr>
          <w:rStyle w:val="libFootnotenumChar"/>
          <w:rtl/>
        </w:rPr>
        <w:t>(4)</w:t>
      </w:r>
      <w:r w:rsidRPr="00C9040A">
        <w:rPr>
          <w:rtl/>
          <w:lang w:bidi="fa-IR"/>
        </w:rPr>
        <w:t xml:space="preserve"> زِيَادَةٌ فِي النِّعَمِ ، وَأَمَانٌ مِنَ الْغِيَرِ </w:t>
      </w:r>
      <w:r w:rsidR="006C577F" w:rsidRPr="006C577F">
        <w:rPr>
          <w:rStyle w:val="libFootnotenumChar"/>
          <w:rtl/>
        </w:rPr>
        <w:t>(5)</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Normal"/>
        <w:rPr>
          <w:rtl/>
          <w:lang w:bidi="fa-IR"/>
        </w:rPr>
      </w:pPr>
      <w:r w:rsidRPr="00717D4C">
        <w:rPr>
          <w:rtl/>
        </w:rPr>
        <w:t>1718</w:t>
      </w:r>
      <w:r w:rsidRPr="00261CB0">
        <w:rPr>
          <w:rStyle w:val="libBold2Char"/>
          <w:rtl/>
        </w:rPr>
        <w:t xml:space="preserve"> / 4.</w:t>
      </w:r>
      <w:r w:rsidRPr="00C9040A">
        <w:rPr>
          <w:rtl/>
          <w:lang w:bidi="fa-IR"/>
        </w:rPr>
        <w:t xml:space="preserve"> عِدَّةٌ مِنْ أَصْحَابِنَا ، عَنْ أَحْمَدَ بْنِ أَبِي عَبْدِ اللهِ ، عَنْ مُحَمَّدِ بْنِ عَلِيٍّ ، عَنْ عَلِيِّ بْنِ أَسْبَاطٍ ، عَنْ يَعْقُوبَ بْنِ سَالِمٍ ، عَنْ رَجُلٍ :</w:t>
      </w:r>
    </w:p>
    <w:p w:rsidR="008A74EB" w:rsidRPr="00C9040A" w:rsidRDefault="008A74EB" w:rsidP="008A74EB">
      <w:pPr>
        <w:pStyle w:val="libNormal"/>
        <w:rPr>
          <w:rtl/>
          <w:lang w:bidi="fa-IR"/>
        </w:rPr>
      </w:pPr>
      <w:r w:rsidRPr="00C9040A">
        <w:rPr>
          <w:rtl/>
          <w:lang w:bidi="fa-IR"/>
        </w:rPr>
        <w:t xml:space="preserve">عَنْ أَبِي جَعْفَرٍ أَوْ </w:t>
      </w:r>
      <w:r w:rsidR="006C577F" w:rsidRPr="006C577F">
        <w:rPr>
          <w:rStyle w:val="libFootnotenumChar"/>
          <w:rtl/>
        </w:rPr>
        <w:t>(7)</w:t>
      </w:r>
      <w:r w:rsidRPr="00C9040A">
        <w:rPr>
          <w:rtl/>
          <w:lang w:bidi="fa-IR"/>
        </w:rPr>
        <w:t xml:space="preserve"> أَبِي عَبْدِ اللهِ </w:t>
      </w:r>
      <w:r w:rsidRPr="0003660B">
        <w:rPr>
          <w:rStyle w:val="libAlaemChar"/>
          <w:rtl/>
        </w:rPr>
        <w:t>عليهما‌السلام</w:t>
      </w:r>
      <w:r w:rsidRPr="00C9040A">
        <w:rPr>
          <w:rtl/>
          <w:lang w:bidi="fa-IR"/>
        </w:rPr>
        <w:t xml:space="preserve"> ، قَالَ : « الْمُعَافَى الشَّاكِرُ ، لَهُ مِنَ الْأَجْرِ مَا لِلْمُبْتَلَى الصَّابِرِ ، وَالْمُعْطَى </w:t>
      </w:r>
      <w:r w:rsidR="006C577F" w:rsidRPr="006C577F">
        <w:rPr>
          <w:rStyle w:val="libFootnotenumChar"/>
          <w:rtl/>
        </w:rPr>
        <w:t>(8)</w:t>
      </w:r>
      <w:r w:rsidRPr="00C9040A">
        <w:rPr>
          <w:rtl/>
          <w:lang w:bidi="fa-IR"/>
        </w:rPr>
        <w:t xml:space="preserve"> الشَّاكِرُ ، لَهُ مِنَ الْأَجْرِ كَالْمَحْرُومِ الْقَانِعِ »</w:t>
      </w:r>
      <w:r>
        <w:rPr>
          <w:rtl/>
          <w:lang w:bidi="fa-IR"/>
        </w:rPr>
        <w:t>.</w:t>
      </w:r>
      <w:r w:rsidRPr="00C9040A">
        <w:rPr>
          <w:rtl/>
          <w:lang w:bidi="fa-IR"/>
        </w:rPr>
        <w:t xml:space="preserve"> </w:t>
      </w:r>
      <w:r w:rsidR="006C577F" w:rsidRPr="006C577F">
        <w:rPr>
          <w:rStyle w:val="libFootnotenumChar"/>
          <w:rtl/>
        </w:rPr>
        <w:t>(9)</w:t>
      </w:r>
      <w:r w:rsidRPr="00C9040A">
        <w:rPr>
          <w:rtl/>
          <w:lang w:bidi="fa-IR"/>
        </w:rPr>
        <w:t xml:space="preserve"> ‌</w:t>
      </w:r>
    </w:p>
    <w:p w:rsidR="008A74EB" w:rsidRPr="00C9040A" w:rsidRDefault="008A74EB" w:rsidP="008A74EB">
      <w:pPr>
        <w:pStyle w:val="libNormal"/>
        <w:rPr>
          <w:rtl/>
          <w:lang w:bidi="fa-IR"/>
        </w:rPr>
      </w:pPr>
      <w:r w:rsidRPr="00717D4C">
        <w:rPr>
          <w:rtl/>
        </w:rPr>
        <w:t>1719</w:t>
      </w:r>
      <w:r w:rsidRPr="00261CB0">
        <w:rPr>
          <w:rStyle w:val="libBold2Char"/>
          <w:rtl/>
        </w:rPr>
        <w:t xml:space="preserve"> / 5.</w:t>
      </w:r>
      <w:r w:rsidRPr="00C9040A">
        <w:rPr>
          <w:rtl/>
          <w:lang w:bidi="fa-IR"/>
        </w:rPr>
        <w:t xml:space="preserve"> عَنْهُ </w:t>
      </w:r>
      <w:r w:rsidR="006C577F" w:rsidRPr="006C577F">
        <w:rPr>
          <w:rStyle w:val="libFootnotenumChar"/>
          <w:rtl/>
        </w:rPr>
        <w:t>(10)</w:t>
      </w:r>
      <w:r w:rsidRPr="00C9040A">
        <w:rPr>
          <w:rtl/>
          <w:lang w:bidi="fa-IR"/>
        </w:rPr>
        <w:t xml:space="preserve"> ، عَنْ أَحْمَدَ بْنِ مُحَمَّدِ بْنِ أَبِي نَصْرٍ ، عَنْ دَاوُدَ بْنِ الْحُصَيْنِ ، عَنْ فَضْلٍ‌</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0D38A1" w:rsidTr="000D38A1">
        <w:tc>
          <w:tcPr>
            <w:tcW w:w="4006" w:type="dxa"/>
          </w:tcPr>
          <w:p w:rsidR="000D38A1" w:rsidRDefault="000D38A1" w:rsidP="004A4E41">
            <w:pPr>
              <w:pStyle w:val="libFootnote0"/>
              <w:rPr>
                <w:rtl/>
              </w:rPr>
            </w:pPr>
            <w:r>
              <w:rPr>
                <w:rtl/>
              </w:rPr>
              <w:t>(1).</w:t>
            </w:r>
            <w:r w:rsidRPr="00C9040A">
              <w:rPr>
                <w:rtl/>
              </w:rPr>
              <w:t xml:space="preserve"> في « ف » : + « على »</w:t>
            </w:r>
            <w:r>
              <w:rPr>
                <w:rtl/>
              </w:rPr>
              <w:t>.</w:t>
            </w:r>
          </w:p>
        </w:tc>
        <w:tc>
          <w:tcPr>
            <w:tcW w:w="4006" w:type="dxa"/>
          </w:tcPr>
          <w:p w:rsidR="000D38A1" w:rsidRDefault="000D38A1" w:rsidP="004A4E41">
            <w:pPr>
              <w:pStyle w:val="libFootnote0"/>
              <w:rPr>
                <w:rtl/>
              </w:rPr>
            </w:pPr>
            <w:r>
              <w:rPr>
                <w:rtl/>
              </w:rPr>
              <w:t xml:space="preserve">(2). </w:t>
            </w:r>
            <w:r w:rsidRPr="00C9040A">
              <w:rPr>
                <w:rtl/>
              </w:rPr>
              <w:t xml:space="preserve">في « ف » </w:t>
            </w:r>
            <w:r>
              <w:rPr>
                <w:rtl/>
              </w:rPr>
              <w:t>: -</w:t>
            </w:r>
            <w:r w:rsidRPr="00C9040A">
              <w:rPr>
                <w:rtl/>
              </w:rPr>
              <w:t xml:space="preserve"> « على »</w:t>
            </w:r>
            <w:r>
              <w:rPr>
                <w:rtl/>
              </w:rPr>
              <w:t>.</w:t>
            </w:r>
          </w:p>
        </w:tc>
      </w:tr>
      <w:tr w:rsidR="000D38A1" w:rsidTr="000D38A1">
        <w:tc>
          <w:tcPr>
            <w:tcW w:w="4006" w:type="dxa"/>
          </w:tcPr>
          <w:p w:rsidR="000D38A1" w:rsidRDefault="000D38A1" w:rsidP="004A4E41">
            <w:pPr>
              <w:pStyle w:val="libFootnote0"/>
              <w:rPr>
                <w:rtl/>
              </w:rPr>
            </w:pPr>
            <w:r>
              <w:rPr>
                <w:rtl/>
              </w:rPr>
              <w:t>(3).</w:t>
            </w:r>
            <w:r w:rsidRPr="00C9040A">
              <w:rPr>
                <w:rtl/>
              </w:rPr>
              <w:t xml:space="preserve"> في حاشية « ج ، د » : « من نعمائي »</w:t>
            </w:r>
            <w:r>
              <w:rPr>
                <w:rtl/>
              </w:rPr>
              <w:t>.</w:t>
            </w:r>
          </w:p>
        </w:tc>
        <w:tc>
          <w:tcPr>
            <w:tcW w:w="4006" w:type="dxa"/>
          </w:tcPr>
          <w:p w:rsidR="000D38A1" w:rsidRDefault="000D38A1" w:rsidP="004A4E41">
            <w:pPr>
              <w:pStyle w:val="libFootnote0"/>
              <w:rPr>
                <w:rtl/>
              </w:rPr>
            </w:pPr>
            <w:r>
              <w:rPr>
                <w:rtl/>
              </w:rPr>
              <w:t>(4).</w:t>
            </w:r>
            <w:r w:rsidRPr="00C9040A">
              <w:rPr>
                <w:rtl/>
              </w:rPr>
              <w:t xml:space="preserve"> في البحار : « والشكر »</w:t>
            </w:r>
            <w:r>
              <w:rPr>
                <w:rtl/>
              </w:rPr>
              <w:t>.</w:t>
            </w:r>
          </w:p>
        </w:tc>
      </w:tr>
    </w:tbl>
    <w:p w:rsidR="008A74EB" w:rsidRPr="00C9040A" w:rsidRDefault="006C577F" w:rsidP="004A4E41">
      <w:pPr>
        <w:pStyle w:val="libFootnote0"/>
        <w:rPr>
          <w:rtl/>
          <w:lang w:bidi="fa-IR"/>
        </w:rPr>
      </w:pPr>
      <w:r>
        <w:rPr>
          <w:rtl/>
        </w:rPr>
        <w:t>(5).</w:t>
      </w:r>
      <w:r w:rsidR="008A74EB" w:rsidRPr="00C9040A">
        <w:rPr>
          <w:rtl/>
        </w:rPr>
        <w:t xml:space="preserve"> « الغِيَرُ » : تغيّر الحال وانتقالها عن الصلاح إلى الفساد. </w:t>
      </w:r>
      <w:r w:rsidR="008A74EB">
        <w:rPr>
          <w:rtl/>
        </w:rPr>
        <w:t>و «</w:t>
      </w:r>
      <w:r w:rsidR="008A74EB" w:rsidRPr="00C9040A">
        <w:rPr>
          <w:rtl/>
        </w:rPr>
        <w:t xml:space="preserve"> الغِيَر » : الاسم من قولك : غيّرت الشي‌ء فتغيّر. </w:t>
      </w:r>
      <w:r w:rsidR="008A74EB" w:rsidRPr="00993B55">
        <w:rPr>
          <w:rStyle w:val="libFootnoteBoldChar"/>
          <w:rtl/>
        </w:rPr>
        <w:t>النهاية</w:t>
      </w:r>
      <w:r w:rsidR="008A74EB" w:rsidRPr="00C9040A">
        <w:rPr>
          <w:rtl/>
        </w:rPr>
        <w:t xml:space="preserve"> ، ج 3 ، ص 401 ( غير )</w:t>
      </w:r>
      <w:r w:rsidR="008A74EB">
        <w:rPr>
          <w:rtl/>
        </w:rPr>
        <w:t>.</w:t>
      </w:r>
      <w:r w:rsidR="008A74EB" w:rsidRPr="00C9040A">
        <w:rPr>
          <w:rtl/>
        </w:rPr>
        <w:t xml:space="preserve"> وقال المجلسي في </w:t>
      </w:r>
      <w:r w:rsidR="008A74EB" w:rsidRPr="00993B55">
        <w:rPr>
          <w:rStyle w:val="libFootnoteBoldChar"/>
          <w:rtl/>
        </w:rPr>
        <w:t>مرآة العقول</w:t>
      </w:r>
      <w:r w:rsidR="008A74EB" w:rsidRPr="00C9040A">
        <w:rPr>
          <w:rtl/>
        </w:rPr>
        <w:t xml:space="preserve"> ، ج 8 ، ص 147 : « وفي بعض النسخ بالباء الموحّدة ، وهو محرّكةً داهية لا يهتدى لمثلها. والظاهر أنّه تصحيف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كفاية الأثر</w:t>
      </w:r>
      <w:r w:rsidR="008A74EB" w:rsidRPr="00C9040A">
        <w:rPr>
          <w:rtl/>
        </w:rPr>
        <w:t xml:space="preserve"> ، ص 240 ؛ </w:t>
      </w:r>
      <w:r w:rsidR="008A74EB" w:rsidRPr="00AC2E2F">
        <w:rPr>
          <w:rStyle w:val="libFootnoteBoldChar"/>
          <w:rtl/>
        </w:rPr>
        <w:t>والأمالي للطوسي</w:t>
      </w:r>
      <w:r w:rsidR="008A74EB" w:rsidRPr="00C9040A">
        <w:rPr>
          <w:rtl/>
        </w:rPr>
        <w:t xml:space="preserve"> ، ص 501 ، المجلس 18 ، ح 3 ، بسند آخر عن عليّ بن الحسين </w:t>
      </w:r>
      <w:r w:rsidR="00117575" w:rsidRPr="00117575">
        <w:rPr>
          <w:rStyle w:val="libFootnoteAlaemChar"/>
          <w:rtl/>
        </w:rPr>
        <w:t>عليه‌السلام</w:t>
      </w:r>
      <w:r w:rsidR="008A74EB" w:rsidRPr="00C9040A">
        <w:rPr>
          <w:rtl/>
        </w:rPr>
        <w:t xml:space="preserve"> ، في وصيّته لبعض ولده ، مع اختلاف يسير وزيادة. </w:t>
      </w:r>
      <w:r w:rsidR="008A74EB" w:rsidRPr="00993B55">
        <w:rPr>
          <w:rStyle w:val="libFootnoteBoldChar"/>
          <w:rtl/>
        </w:rPr>
        <w:t>تحف العقول</w:t>
      </w:r>
      <w:r w:rsidR="008A74EB" w:rsidRPr="00C9040A">
        <w:rPr>
          <w:rtl/>
        </w:rPr>
        <w:t xml:space="preserve"> ، ص 359 ، مع اختلاف يسير </w:t>
      </w:r>
      <w:r w:rsidR="000D38A1">
        <w:rPr>
          <w:rFonts w:hint="cs"/>
          <w:rtl/>
        </w:rPr>
        <w:t>.</w:t>
      </w:r>
      <w:r w:rsidR="008A74EB" w:rsidRPr="00993B55">
        <w:rPr>
          <w:rStyle w:val="libFootnoteBoldChar"/>
          <w:rtl/>
        </w:rPr>
        <w:t>الوافي</w:t>
      </w:r>
      <w:r w:rsidR="008A74EB" w:rsidRPr="00C9040A">
        <w:rPr>
          <w:rtl/>
        </w:rPr>
        <w:t xml:space="preserve"> ، ج 4 ، ص 346 ، ح 2086 ؛ </w:t>
      </w:r>
      <w:r w:rsidR="008A74EB" w:rsidRPr="00993B55">
        <w:rPr>
          <w:rStyle w:val="libFootnoteBoldChar"/>
          <w:rtl/>
        </w:rPr>
        <w:t>الوسائل</w:t>
      </w:r>
      <w:r w:rsidR="008A74EB" w:rsidRPr="00C9040A">
        <w:rPr>
          <w:rtl/>
        </w:rPr>
        <w:t xml:space="preserve"> ، ج 15 ، ص 315 ، ح 20618 ؛ وج 16 ، ص 311 ، ح 21629 ؛ </w:t>
      </w:r>
      <w:r w:rsidR="008A74EB" w:rsidRPr="00993B55">
        <w:rPr>
          <w:rStyle w:val="libFootnoteBoldChar"/>
          <w:rtl/>
        </w:rPr>
        <w:t>البحار</w:t>
      </w:r>
      <w:r w:rsidR="008A74EB" w:rsidRPr="00C9040A">
        <w:rPr>
          <w:rtl/>
        </w:rPr>
        <w:t xml:space="preserve"> ، ج 13 ، ص 360 ، ح 72 ؛ وج 71 ، ص 27 ، ح 4.</w:t>
      </w:r>
    </w:p>
    <w:p w:rsidR="008A74EB" w:rsidRPr="00C9040A" w:rsidRDefault="006C577F" w:rsidP="004A4E41">
      <w:pPr>
        <w:pStyle w:val="libFootnote0"/>
        <w:rPr>
          <w:rtl/>
          <w:lang w:bidi="fa-IR"/>
        </w:rPr>
      </w:pPr>
      <w:r>
        <w:rPr>
          <w:rtl/>
        </w:rPr>
        <w:t>(7).</w:t>
      </w:r>
      <w:r w:rsidR="008A74EB" w:rsidRPr="00C9040A">
        <w:rPr>
          <w:rtl/>
        </w:rPr>
        <w:t xml:space="preserve"> في « ج ، ز ، ص ، ض ، ف ، بس » والوافي </w:t>
      </w:r>
      <w:r w:rsidR="008A74EB">
        <w:rPr>
          <w:rtl/>
        </w:rPr>
        <w:t xml:space="preserve">: </w:t>
      </w:r>
      <w:r w:rsidR="0084262C">
        <w:rPr>
          <w:rtl/>
        </w:rPr>
        <w:t>-</w:t>
      </w:r>
      <w:r w:rsidR="008A74EB" w:rsidRPr="00C9040A">
        <w:rPr>
          <w:rtl/>
        </w:rPr>
        <w:t xml:space="preserve"> « أبي جعفر أو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 ص ، ف » : « والمعاطى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w:t>
      </w:r>
      <w:r w:rsidR="008A74EB" w:rsidRPr="00993B55">
        <w:rPr>
          <w:rStyle w:val="libFootnoteBoldChar"/>
          <w:rtl/>
        </w:rPr>
        <w:t>الوافي</w:t>
      </w:r>
      <w:r w:rsidR="008A74EB" w:rsidRPr="00C9040A">
        <w:rPr>
          <w:rtl/>
        </w:rPr>
        <w:t xml:space="preserve"> ، ج 4 ، ص 345 ، ح 2084 ؛ </w:t>
      </w:r>
      <w:r w:rsidR="008A74EB" w:rsidRPr="00993B55">
        <w:rPr>
          <w:rStyle w:val="libFootnoteBoldChar"/>
          <w:rtl/>
        </w:rPr>
        <w:t>البحار</w:t>
      </w:r>
      <w:r w:rsidR="008A74EB" w:rsidRPr="00C9040A">
        <w:rPr>
          <w:rtl/>
        </w:rPr>
        <w:t xml:space="preserve"> ، ج 71 ، ص 28 ، ح 5.</w:t>
      </w:r>
    </w:p>
    <w:p w:rsidR="008A74EB" w:rsidRPr="00C9040A" w:rsidRDefault="006C577F" w:rsidP="004A4E41">
      <w:pPr>
        <w:pStyle w:val="libFootnote0"/>
        <w:rPr>
          <w:rtl/>
          <w:lang w:bidi="fa-IR"/>
        </w:rPr>
      </w:pPr>
      <w:r>
        <w:rPr>
          <w:rtl/>
        </w:rPr>
        <w:t>(10).</w:t>
      </w:r>
      <w:r w:rsidR="008A74EB" w:rsidRPr="00C9040A">
        <w:rPr>
          <w:rtl/>
        </w:rPr>
        <w:t xml:space="preserve"> </w:t>
      </w:r>
      <w:r w:rsidR="008A74EB" w:rsidRPr="000D38A1">
        <w:rPr>
          <w:rStyle w:val="libFootnoteBoldChar"/>
          <w:rtl/>
        </w:rPr>
        <w:t>الضمير</w:t>
      </w:r>
      <w:r w:rsidR="008A74EB" w:rsidRPr="00C9040A">
        <w:rPr>
          <w:rtl/>
        </w:rPr>
        <w:t xml:space="preserve"> راجع إلى أحمد بن أبي عبد الله المذكور في السند السابق ؛ فقد تكرّرت رواية أحمد بن أبي عبدالله‌</w:t>
      </w:r>
      <w:r w:rsidR="000D38A1">
        <w:rPr>
          <w:rFonts w:hint="cs"/>
          <w:rtl/>
        </w:rPr>
        <w:t xml:space="preserve"> </w:t>
      </w:r>
      <w:r w:rsidR="008A74EB" w:rsidRPr="00C9040A">
        <w:rPr>
          <w:rtl/>
        </w:rPr>
        <w:t xml:space="preserve">بهذا العنوان وبعنوان أحمد بن محمّد بن خالد ، عن أحمد بن محمّد بن أبي نصر في الأسناد. راجع : </w:t>
      </w:r>
      <w:r w:rsidR="008A74EB" w:rsidRPr="00993B55">
        <w:rPr>
          <w:rStyle w:val="libFootnoteBoldChar"/>
          <w:rtl/>
        </w:rPr>
        <w:t>معجم رجال الحديث</w:t>
      </w:r>
      <w:r w:rsidR="008A74EB" w:rsidRPr="00C9040A">
        <w:rPr>
          <w:rtl/>
        </w:rPr>
        <w:t xml:space="preserve"> ، ج 2 ، ص 396 ؛ وص 632.</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الْبَقْبَاقِ ، قَالَ :</w:t>
      </w:r>
    </w:p>
    <w:p w:rsidR="008A74EB" w:rsidRPr="00C9040A" w:rsidRDefault="008A74EB" w:rsidP="000D38A1">
      <w:pPr>
        <w:pStyle w:val="libNormal"/>
        <w:rPr>
          <w:rtl/>
          <w:lang w:bidi="fa-IR"/>
        </w:rPr>
      </w:pPr>
      <w:r w:rsidRPr="00C9040A">
        <w:rPr>
          <w:rtl/>
          <w:lang w:bidi="fa-IR"/>
        </w:rPr>
        <w:t xml:space="preserve">سَأَلْتُ أَبَا عَبْدِ اللهِ </w:t>
      </w:r>
      <w:r w:rsidRPr="0003660B">
        <w:rPr>
          <w:rStyle w:val="libAlaemChar"/>
          <w:rtl/>
        </w:rPr>
        <w:t>عليه‌السلام</w:t>
      </w:r>
      <w:r w:rsidRPr="00C9040A">
        <w:rPr>
          <w:rtl/>
          <w:lang w:bidi="fa-IR"/>
        </w:rPr>
        <w:t xml:space="preserve"> عَنْ قَوْلِ اللهِ عَزَّ وَجَلَّ : </w:t>
      </w:r>
      <w:r w:rsidRPr="0003660B">
        <w:rPr>
          <w:rStyle w:val="libAlaemChar"/>
          <w:rtl/>
        </w:rPr>
        <w:t>(</w:t>
      </w:r>
      <w:r w:rsidRPr="006A2246">
        <w:rPr>
          <w:rStyle w:val="libAieChar"/>
          <w:rtl/>
        </w:rPr>
        <w:t xml:space="preserve"> وَأَمّا بِنِعْمَةِ رَبِّكَ فَحَدِّثْ </w:t>
      </w:r>
      <w:r w:rsidRPr="0003660B">
        <w:rPr>
          <w:rStyle w:val="libAlaemChar"/>
          <w:rtl/>
        </w:rPr>
        <w:t>)</w:t>
      </w:r>
      <w:r w:rsidRPr="00C9040A">
        <w:rPr>
          <w:rtl/>
          <w:lang w:bidi="fa-IR"/>
        </w:rPr>
        <w:t xml:space="preserve"> </w:t>
      </w:r>
      <w:r w:rsidR="006C577F" w:rsidRPr="006C577F">
        <w:rPr>
          <w:rStyle w:val="libFootnotenumChar"/>
          <w:rtl/>
        </w:rPr>
        <w:t>(1)</w:t>
      </w:r>
      <w:r w:rsidRPr="002712F0">
        <w:rPr>
          <w:rFonts w:hint="cs"/>
          <w:rtl/>
        </w:rPr>
        <w:t xml:space="preserve"> </w:t>
      </w:r>
      <w:r w:rsidRPr="00C9040A">
        <w:rPr>
          <w:rtl/>
          <w:lang w:bidi="fa-IR"/>
        </w:rPr>
        <w:t xml:space="preserve">قَالَ : « الَّذِي أَنْعَمَ </w:t>
      </w:r>
      <w:r w:rsidR="006C577F" w:rsidRPr="006C577F">
        <w:rPr>
          <w:rStyle w:val="libFootnotenumChar"/>
          <w:rtl/>
        </w:rPr>
        <w:t>(2)</w:t>
      </w:r>
      <w:r w:rsidRPr="00C9040A">
        <w:rPr>
          <w:rtl/>
          <w:lang w:bidi="fa-IR"/>
        </w:rPr>
        <w:t xml:space="preserve"> عَلَيْكَ بِمَا فَضَّلَكَ وَأَعْطَاكَ وَأَحْسَنَ إِلَيْكَ »</w:t>
      </w:r>
      <w:r>
        <w:rPr>
          <w:rtl/>
          <w:lang w:bidi="fa-IR"/>
        </w:rPr>
        <w:t>.</w:t>
      </w:r>
      <w:r w:rsidRPr="00C9040A">
        <w:rPr>
          <w:rtl/>
          <w:lang w:bidi="fa-IR"/>
        </w:rPr>
        <w:t xml:space="preserve"> ثُمَّ قَالَ : « فَحَدَّثَ بِدِينِهِ وَمَا أَعْطَاهُ اللهُ وَمَا أَنْعَمَ بِهِ عَلَيْهِ »</w:t>
      </w:r>
      <w:r>
        <w:rPr>
          <w:rtl/>
          <w:lang w:bidi="fa-IR"/>
        </w:rPr>
        <w:t>.</w:t>
      </w:r>
      <w:r w:rsidRPr="00C9040A">
        <w:rPr>
          <w:rtl/>
          <w:lang w:bidi="fa-IR"/>
        </w:rPr>
        <w:t xml:space="preserve"> </w:t>
      </w:r>
      <w:r w:rsidR="006C577F" w:rsidRPr="006C577F">
        <w:rPr>
          <w:rStyle w:val="libFootnotenumChar"/>
          <w:rtl/>
        </w:rPr>
        <w:t>(3)</w:t>
      </w:r>
    </w:p>
    <w:p w:rsidR="008A74EB" w:rsidRPr="00C9040A" w:rsidRDefault="008A74EB" w:rsidP="008A74EB">
      <w:pPr>
        <w:pStyle w:val="libNormal"/>
        <w:rPr>
          <w:rtl/>
          <w:lang w:bidi="fa-IR"/>
        </w:rPr>
      </w:pPr>
      <w:r w:rsidRPr="00717D4C">
        <w:rPr>
          <w:rtl/>
        </w:rPr>
        <w:t>1720</w:t>
      </w:r>
      <w:r w:rsidRPr="00261CB0">
        <w:rPr>
          <w:rStyle w:val="libBold2Char"/>
          <w:rtl/>
        </w:rPr>
        <w:t xml:space="preserve"> / 6.</w:t>
      </w:r>
      <w:r w:rsidRPr="00C9040A">
        <w:rPr>
          <w:rtl/>
          <w:lang w:bidi="fa-IR"/>
        </w:rPr>
        <w:t xml:space="preserve"> حُمَيْدُ بْنُ زِيَادٍ ، عَنِ الْحَسَنِ بْنِ مُحَمَّدِ بْنِ سَمَاعَةَ ، عَنْ وُهَيْبِ </w:t>
      </w:r>
      <w:r w:rsidR="006C577F" w:rsidRPr="006C577F">
        <w:rPr>
          <w:rStyle w:val="libFootnotenumChar"/>
          <w:rtl/>
        </w:rPr>
        <w:t>(4)</w:t>
      </w:r>
      <w:r w:rsidRPr="00C9040A">
        <w:rPr>
          <w:rtl/>
          <w:lang w:bidi="fa-IR"/>
        </w:rPr>
        <w:t xml:space="preserve"> بْنِ حَفْصٍ ، عَنْ أَبِي بَصِيرٍ :</w:t>
      </w:r>
    </w:p>
    <w:p w:rsidR="008A74EB" w:rsidRPr="00C9040A" w:rsidRDefault="008A74EB" w:rsidP="008A74EB">
      <w:pPr>
        <w:pStyle w:val="libNormal"/>
        <w:rPr>
          <w:rtl/>
          <w:lang w:bidi="fa-IR"/>
        </w:rPr>
      </w:pPr>
      <w:r w:rsidRPr="00C9040A">
        <w:rPr>
          <w:rtl/>
          <w:lang w:bidi="fa-IR"/>
        </w:rPr>
        <w:t xml:space="preserve">عَنْ أَبِي جَعْفَرٍ </w:t>
      </w:r>
      <w:r w:rsidR="006C577F" w:rsidRPr="006C577F">
        <w:rPr>
          <w:rStyle w:val="libFootnotenumChar"/>
          <w:rtl/>
        </w:rPr>
        <w:t>(5)</w:t>
      </w:r>
      <w:r w:rsidRPr="00C9040A">
        <w:rPr>
          <w:rtl/>
          <w:lang w:bidi="fa-IR"/>
        </w:rPr>
        <w:t xml:space="preserve"> </w:t>
      </w:r>
      <w:r w:rsidRPr="0003660B">
        <w:rPr>
          <w:rStyle w:val="libAlaemChar"/>
          <w:rtl/>
        </w:rPr>
        <w:t>عليه‌السلام</w:t>
      </w:r>
      <w:r w:rsidRPr="00C9040A">
        <w:rPr>
          <w:rtl/>
          <w:lang w:bidi="fa-IR"/>
        </w:rPr>
        <w:t xml:space="preserve"> ، قَالَ : « كَانَ رَسُولُ اللهِ </w:t>
      </w:r>
      <w:r w:rsidR="004A4E41" w:rsidRPr="004A4E41">
        <w:rPr>
          <w:rStyle w:val="libAlaemChar"/>
          <w:rtl/>
        </w:rPr>
        <w:t>صلى‌الله‌عليه‌وآله</w:t>
      </w:r>
      <w:r w:rsidRPr="00C9040A">
        <w:rPr>
          <w:rtl/>
          <w:lang w:bidi="fa-IR"/>
        </w:rPr>
        <w:t xml:space="preserve"> عِنْدَ عَائِشَةَ لَيْلَتَهَا ، فَقَالَتْ :</w:t>
      </w:r>
      <w:r>
        <w:rPr>
          <w:rFonts w:hint="cs"/>
          <w:rtl/>
          <w:lang w:bidi="fa-IR"/>
        </w:rPr>
        <w:t xml:space="preserve"> </w:t>
      </w:r>
      <w:r w:rsidRPr="00C9040A">
        <w:rPr>
          <w:rtl/>
          <w:lang w:bidi="fa-IR"/>
        </w:rPr>
        <w:t xml:space="preserve">يَا رَسُولَ اللهِ ، لِمَ تُتْعِبُ نَفْسَكَ وَقَدْ غَفَرَ اللهُ </w:t>
      </w:r>
      <w:r w:rsidR="006C577F" w:rsidRPr="006C577F">
        <w:rPr>
          <w:rStyle w:val="libFootnotenumChar"/>
          <w:rtl/>
        </w:rPr>
        <w:t>(6)</w:t>
      </w:r>
      <w:r w:rsidRPr="005B567D">
        <w:rPr>
          <w:rStyle w:val="libFootnotenumChar"/>
          <w:rtl/>
        </w:rPr>
        <w:t xml:space="preserve"> </w:t>
      </w:r>
      <w:r w:rsidRPr="00C9040A">
        <w:rPr>
          <w:rtl/>
          <w:lang w:bidi="fa-IR"/>
        </w:rPr>
        <w:t>لَكَ مَا تَقَدَّمَ مِنْ ذَنْبِكَ وَمَا تَأَخَّرَ</w:t>
      </w:r>
      <w:r>
        <w:rPr>
          <w:rtl/>
          <w:lang w:bidi="fa-IR"/>
        </w:rPr>
        <w:t>؟</w:t>
      </w:r>
      <w:r>
        <w:rPr>
          <w:rFonts w:hint="cs"/>
          <w:rtl/>
          <w:lang w:bidi="fa-IR"/>
        </w:rPr>
        <w:t xml:space="preserve"> </w:t>
      </w:r>
      <w:r>
        <w:rPr>
          <w:rtl/>
          <w:lang w:bidi="fa-IR"/>
        </w:rPr>
        <w:t>فَقَالَ : يَا عَائِشَةُ ، أَ</w:t>
      </w:r>
      <w:r w:rsidRPr="00C9040A">
        <w:rPr>
          <w:rtl/>
          <w:lang w:bidi="fa-IR"/>
        </w:rPr>
        <w:t>لَا</w:t>
      </w:r>
      <w:r>
        <w:rPr>
          <w:rFonts w:hint="cs"/>
          <w:rtl/>
          <w:lang w:bidi="fa-IR"/>
        </w:rPr>
        <w:t xml:space="preserve"> </w:t>
      </w:r>
      <w:r w:rsidRPr="00C9040A">
        <w:rPr>
          <w:rtl/>
          <w:lang w:bidi="fa-IR"/>
        </w:rPr>
        <w:t>أَكُونُ عَبْداً شَكُوراً</w:t>
      </w:r>
      <w:r>
        <w:rPr>
          <w:rtl/>
          <w:lang w:bidi="fa-IR"/>
        </w:rPr>
        <w:t>؟</w:t>
      </w:r>
      <w:r w:rsidRPr="00C9040A">
        <w:rPr>
          <w:rtl/>
          <w:lang w:bidi="fa-IR"/>
        </w:rPr>
        <w:t xml:space="preserve"> »</w:t>
      </w:r>
      <w:r>
        <w:rPr>
          <w:rtl/>
          <w:lang w:bidi="fa-IR"/>
        </w:rPr>
        <w:t>.</w:t>
      </w:r>
    </w:p>
    <w:p w:rsidR="008A74EB" w:rsidRPr="00C9040A" w:rsidRDefault="008A74EB" w:rsidP="008A74EB">
      <w:pPr>
        <w:pStyle w:val="libNormal"/>
        <w:rPr>
          <w:rtl/>
          <w:lang w:bidi="fa-IR"/>
        </w:rPr>
      </w:pPr>
      <w:r w:rsidRPr="00C9040A">
        <w:rPr>
          <w:rtl/>
          <w:lang w:bidi="fa-IR"/>
        </w:rPr>
        <w:t xml:space="preserve">قَالَ : « وَكَانَ رَسُولُ اللهِ </w:t>
      </w:r>
      <w:r w:rsidR="004A4E41" w:rsidRPr="004A4E41">
        <w:rPr>
          <w:rStyle w:val="libAlaemChar"/>
          <w:rtl/>
        </w:rPr>
        <w:t>صلى‌الله‌عليه‌وآله</w:t>
      </w:r>
      <w:r w:rsidRPr="00C9040A">
        <w:rPr>
          <w:rtl/>
          <w:lang w:bidi="fa-IR"/>
        </w:rPr>
        <w:t xml:space="preserve"> يَقُومُ عَلى أَطْرَافِ أَصَابِعِ رِجْلَيْهِ ، فَأَنْزَلَ اللهُ سُبْحَانَهُ وَتَعَالى </w:t>
      </w:r>
      <w:r w:rsidR="006C577F" w:rsidRPr="006C577F">
        <w:rPr>
          <w:rStyle w:val="libFootnotenumChar"/>
          <w:rtl/>
        </w:rPr>
        <w:t>(7)</w:t>
      </w:r>
      <w:r w:rsidRPr="00C9040A">
        <w:rPr>
          <w:rtl/>
          <w:lang w:bidi="fa-IR"/>
        </w:rPr>
        <w:t xml:space="preserve"> : </w:t>
      </w:r>
      <w:r w:rsidRPr="0003660B">
        <w:rPr>
          <w:rStyle w:val="libAlaemChar"/>
          <w:rtl/>
        </w:rPr>
        <w:t>(</w:t>
      </w:r>
      <w:r w:rsidRPr="006A2246">
        <w:rPr>
          <w:rStyle w:val="libAieChar"/>
          <w:rtl/>
        </w:rPr>
        <w:t xml:space="preserve"> ط</w:t>
      </w:r>
      <w:r w:rsidR="00C433FE">
        <w:rPr>
          <w:rStyle w:val="libAieChar"/>
          <w:rFonts w:hint="cs"/>
          <w:rtl/>
        </w:rPr>
        <w:t>ّ</w:t>
      </w:r>
      <w:r w:rsidRPr="006A2246">
        <w:rPr>
          <w:rStyle w:val="libAieChar"/>
          <w:rtl/>
        </w:rPr>
        <w:t>ه</w:t>
      </w:r>
      <w:r w:rsidR="00C433FE">
        <w:rPr>
          <w:rStyle w:val="libAieChar"/>
          <w:rFonts w:hint="cs"/>
          <w:rtl/>
        </w:rPr>
        <w:t xml:space="preserve"> *</w:t>
      </w:r>
      <w:r w:rsidRPr="006A2246">
        <w:rPr>
          <w:rStyle w:val="libAieChar"/>
          <w:rtl/>
        </w:rPr>
        <w:t xml:space="preserve"> ما أَنْزَلْنا عَلَيْكَ الْقُرْآنَ لِتَشْقى </w:t>
      </w:r>
      <w:r w:rsidRPr="0003660B">
        <w:rPr>
          <w:rStyle w:val="libAlaemChar"/>
          <w:rtl/>
        </w:rPr>
        <w:t>)</w:t>
      </w:r>
      <w:r w:rsidRPr="00C9040A">
        <w:rPr>
          <w:rtl/>
          <w:lang w:bidi="fa-IR"/>
        </w:rPr>
        <w:t xml:space="preserve"> </w:t>
      </w:r>
      <w:r w:rsidR="006C577F" w:rsidRPr="006C577F">
        <w:rPr>
          <w:rStyle w:val="libFootnotenumChar"/>
          <w:rtl/>
        </w:rPr>
        <w:t>(8)</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(9)</w:t>
      </w:r>
      <w:r w:rsidRPr="00C9040A">
        <w:rPr>
          <w:rtl/>
          <w:lang w:bidi="fa-IR"/>
        </w:rPr>
        <w:t xml:space="preserve"> ‌</w:t>
      </w:r>
    </w:p>
    <w:p w:rsidR="008A74EB" w:rsidRPr="00C9040A" w:rsidRDefault="008A74EB" w:rsidP="008A74EB">
      <w:pPr>
        <w:pStyle w:val="libNormal"/>
        <w:rPr>
          <w:rtl/>
          <w:lang w:bidi="fa-IR"/>
        </w:rPr>
      </w:pPr>
      <w:r w:rsidRPr="00717D4C">
        <w:rPr>
          <w:rtl/>
        </w:rPr>
        <w:t>1721</w:t>
      </w:r>
      <w:r w:rsidRPr="00261CB0">
        <w:rPr>
          <w:rStyle w:val="libBold2Char"/>
          <w:rtl/>
        </w:rPr>
        <w:t xml:space="preserve"> / 7.</w:t>
      </w:r>
      <w:r w:rsidRPr="00C9040A">
        <w:rPr>
          <w:rtl/>
          <w:lang w:bidi="fa-IR"/>
        </w:rPr>
        <w:t xml:space="preserve"> عِدَّةٌ مِنْ أَصْحَابِنَا ، عَنْ أَحْمَدَ بْنِ مُحَمَّدٍ ، عَنِ ابْنِ فَضَّالٍ ، عَنْ حَسَنِ بْنِ‌</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C433FE" w:rsidTr="00C433FE">
        <w:tc>
          <w:tcPr>
            <w:tcW w:w="4006" w:type="dxa"/>
          </w:tcPr>
          <w:p w:rsidR="00C433FE" w:rsidRDefault="00C433FE" w:rsidP="004A4E41">
            <w:pPr>
              <w:pStyle w:val="libFootnote0"/>
              <w:rPr>
                <w:rtl/>
              </w:rPr>
            </w:pPr>
            <w:r>
              <w:rPr>
                <w:rtl/>
              </w:rPr>
              <w:t>(1).</w:t>
            </w:r>
            <w:r w:rsidRPr="00C9040A">
              <w:rPr>
                <w:rtl/>
              </w:rPr>
              <w:t xml:space="preserve"> الضحى (93) : 11.</w:t>
            </w:r>
          </w:p>
        </w:tc>
        <w:tc>
          <w:tcPr>
            <w:tcW w:w="4006" w:type="dxa"/>
          </w:tcPr>
          <w:p w:rsidR="00C433FE" w:rsidRDefault="00C433FE" w:rsidP="004A4E41">
            <w:pPr>
              <w:pStyle w:val="libFootnote0"/>
              <w:rPr>
                <w:rtl/>
              </w:rPr>
            </w:pPr>
            <w:r>
              <w:rPr>
                <w:rtl/>
              </w:rPr>
              <w:t xml:space="preserve">(2). </w:t>
            </w:r>
            <w:r w:rsidRPr="00C9040A">
              <w:rPr>
                <w:rtl/>
              </w:rPr>
              <w:t>في « ز ، ص ، ف » : + « الله »</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w:t>
      </w:r>
      <w:r w:rsidR="008A74EB" w:rsidRPr="00993B55">
        <w:rPr>
          <w:rStyle w:val="libFootnoteBoldChar"/>
          <w:rtl/>
        </w:rPr>
        <w:t>المحاسن</w:t>
      </w:r>
      <w:r w:rsidR="008A74EB" w:rsidRPr="00C9040A">
        <w:rPr>
          <w:rtl/>
        </w:rPr>
        <w:t xml:space="preserve"> ، ص 218 ، </w:t>
      </w:r>
      <w:r w:rsidR="008A74EB" w:rsidRPr="00C433FE">
        <w:rPr>
          <w:rStyle w:val="libFootnoteBoldChar"/>
          <w:rtl/>
        </w:rPr>
        <w:t>كتاب مصابيح الظلم</w:t>
      </w:r>
      <w:r w:rsidR="008A74EB" w:rsidRPr="00C9040A">
        <w:rPr>
          <w:rtl/>
        </w:rPr>
        <w:t xml:space="preserve"> ، ح 115 ، بسند آخر عن الحسين بن عليّ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تحف العقول</w:t>
      </w:r>
      <w:r w:rsidR="008A74EB" w:rsidRPr="00C9040A">
        <w:rPr>
          <w:rtl/>
        </w:rPr>
        <w:t xml:space="preserve"> ، ص 246 ، عن الحسين بن عليّ </w:t>
      </w:r>
      <w:r w:rsidR="00117575" w:rsidRPr="00117575">
        <w:rPr>
          <w:rStyle w:val="libFootnoteAlaemChar"/>
          <w:rtl/>
        </w:rPr>
        <w:t>عليه‌السلام</w:t>
      </w:r>
      <w:r w:rsidR="008A74EB" w:rsidRPr="00C9040A">
        <w:rPr>
          <w:rtl/>
        </w:rPr>
        <w:t xml:space="preserve"> ، وفيهما مع اختلاف </w:t>
      </w:r>
      <w:r w:rsidR="00C433FE">
        <w:rPr>
          <w:rFonts w:hint="cs"/>
          <w:rtl/>
        </w:rPr>
        <w:t>.</w:t>
      </w:r>
      <w:r w:rsidR="008A74EB" w:rsidRPr="00993B55">
        <w:rPr>
          <w:rStyle w:val="libFootnoteBoldChar"/>
          <w:rtl/>
        </w:rPr>
        <w:t>الوافي</w:t>
      </w:r>
      <w:r w:rsidR="008A74EB" w:rsidRPr="00C9040A">
        <w:rPr>
          <w:rtl/>
        </w:rPr>
        <w:t xml:space="preserve"> ، ج 4 ، ص 346 ، ح 2089 ؛ </w:t>
      </w:r>
      <w:r w:rsidR="008A74EB" w:rsidRPr="00993B55">
        <w:rPr>
          <w:rStyle w:val="libFootnoteBoldChar"/>
          <w:rtl/>
        </w:rPr>
        <w:t>البحار</w:t>
      </w:r>
      <w:r w:rsidR="008A74EB" w:rsidRPr="00C9040A">
        <w:rPr>
          <w:rtl/>
        </w:rPr>
        <w:t xml:space="preserve"> ، ج 71 ، ص 28 ، ح 6.</w:t>
      </w:r>
    </w:p>
    <w:p w:rsidR="008A74EB" w:rsidRPr="004A4E41" w:rsidRDefault="006C577F" w:rsidP="004A4E41">
      <w:pPr>
        <w:pStyle w:val="libFootnote0"/>
        <w:rPr>
          <w:rStyle w:val="libFootnote0Char"/>
          <w:rtl/>
        </w:rPr>
      </w:pPr>
      <w:r>
        <w:rPr>
          <w:rtl/>
        </w:rPr>
        <w:t>(4).</w:t>
      </w:r>
      <w:r w:rsidR="008A74EB" w:rsidRPr="00C9040A">
        <w:rPr>
          <w:rtl/>
        </w:rPr>
        <w:t xml:space="preserve"> في « ب » : « وهب »</w:t>
      </w:r>
      <w:r w:rsidR="008A74EB">
        <w:rPr>
          <w:rtl/>
        </w:rPr>
        <w:t>.</w:t>
      </w:r>
      <w:r w:rsidR="008A74EB" w:rsidRPr="00C9040A">
        <w:rPr>
          <w:rtl/>
        </w:rPr>
        <w:t xml:space="preserve"> وهو سهو ؛ فقد روى الحسن بن سماعة</w:t>
      </w:r>
      <w:r w:rsidR="008A74EB">
        <w:rPr>
          <w:rtl/>
        </w:rPr>
        <w:t xml:space="preserve"> </w:t>
      </w:r>
      <w:r w:rsidR="0084262C">
        <w:rPr>
          <w:rtl/>
        </w:rPr>
        <w:t>-</w:t>
      </w:r>
      <w:r w:rsidR="008A74EB">
        <w:rPr>
          <w:rtl/>
        </w:rPr>
        <w:t xml:space="preserve"> </w:t>
      </w:r>
      <w:r w:rsidR="008A74EB" w:rsidRPr="00C9040A">
        <w:rPr>
          <w:rtl/>
        </w:rPr>
        <w:t>وهو الحسن بن محمّد بن سماعة</w:t>
      </w:r>
      <w:r w:rsidR="008A74EB">
        <w:rPr>
          <w:rtl/>
        </w:rPr>
        <w:t xml:space="preserve"> </w:t>
      </w:r>
      <w:r w:rsidR="0084262C">
        <w:rPr>
          <w:rtl/>
        </w:rPr>
        <w:t>-</w:t>
      </w:r>
      <w:r w:rsidR="008A74EB">
        <w:rPr>
          <w:rtl/>
        </w:rPr>
        <w:t xml:space="preserve"> </w:t>
      </w:r>
      <w:r w:rsidR="008A74EB" w:rsidRPr="00C9040A">
        <w:rPr>
          <w:rtl/>
        </w:rPr>
        <w:t>عن وهيب</w:t>
      </w:r>
      <w:r w:rsidR="00C433FE">
        <w:rPr>
          <w:rFonts w:hint="cs"/>
          <w:rtl/>
        </w:rPr>
        <w:t xml:space="preserve"> </w:t>
      </w:r>
      <w:r w:rsidR="008A74EB" w:rsidRPr="00C9040A">
        <w:rPr>
          <w:rtl/>
        </w:rPr>
        <w:t xml:space="preserve">‌بن حفص كتابه. راجع : </w:t>
      </w:r>
      <w:r w:rsidR="008A74EB" w:rsidRPr="00993B55">
        <w:rPr>
          <w:rStyle w:val="libFootnoteBoldChar"/>
          <w:rtl/>
        </w:rPr>
        <w:t>رجال النجاشي</w:t>
      </w:r>
      <w:r w:rsidR="008A74EB" w:rsidRPr="00C9040A">
        <w:rPr>
          <w:rtl/>
        </w:rPr>
        <w:t xml:space="preserve"> ، ص 431 ، الرقم 1159.</w:t>
      </w:r>
    </w:p>
    <w:tbl>
      <w:tblPr>
        <w:tblStyle w:val="TableGrid"/>
        <w:bidiVisual/>
        <w:tblW w:w="0" w:type="auto"/>
        <w:tblLook w:val="04A0" w:firstRow="1" w:lastRow="0" w:firstColumn="1" w:lastColumn="0" w:noHBand="0" w:noVBand="1"/>
      </w:tblPr>
      <w:tblGrid>
        <w:gridCol w:w="4006"/>
        <w:gridCol w:w="4006"/>
      </w:tblGrid>
      <w:tr w:rsidR="00C433FE" w:rsidTr="00C433FE">
        <w:tc>
          <w:tcPr>
            <w:tcW w:w="4006" w:type="dxa"/>
          </w:tcPr>
          <w:p w:rsidR="00C433FE" w:rsidRDefault="00C433FE" w:rsidP="004A4E41">
            <w:pPr>
              <w:pStyle w:val="libFootnote0"/>
              <w:rPr>
                <w:rtl/>
              </w:rPr>
            </w:pPr>
            <w:r>
              <w:rPr>
                <w:rtl/>
              </w:rPr>
              <w:t>(5).</w:t>
            </w:r>
            <w:r w:rsidRPr="00C9040A">
              <w:rPr>
                <w:rtl/>
              </w:rPr>
              <w:t xml:space="preserve"> في « ف » : « أبي عبد الله »</w:t>
            </w:r>
            <w:r>
              <w:rPr>
                <w:rtl/>
              </w:rPr>
              <w:t>.</w:t>
            </w:r>
          </w:p>
        </w:tc>
        <w:tc>
          <w:tcPr>
            <w:tcW w:w="4006" w:type="dxa"/>
          </w:tcPr>
          <w:p w:rsidR="00C433FE" w:rsidRDefault="00C433FE" w:rsidP="004A4E41">
            <w:pPr>
              <w:pStyle w:val="libFootnote0"/>
              <w:rPr>
                <w:rtl/>
              </w:rPr>
            </w:pPr>
            <w:r>
              <w:rPr>
                <w:rtl/>
              </w:rPr>
              <w:t xml:space="preserve">(6). </w:t>
            </w:r>
            <w:r w:rsidRPr="00C9040A">
              <w:rPr>
                <w:rtl/>
              </w:rPr>
              <w:t xml:space="preserve">في « ج ، د ، ز ، ف » </w:t>
            </w:r>
            <w:r>
              <w:rPr>
                <w:rtl/>
              </w:rPr>
              <w:t>: -</w:t>
            </w:r>
            <w:r w:rsidRPr="00C9040A">
              <w:rPr>
                <w:rtl/>
              </w:rPr>
              <w:t xml:space="preserve"> « الله »</w:t>
            </w:r>
            <w:r>
              <w:rPr>
                <w:rtl/>
              </w:rPr>
              <w:t>.</w:t>
            </w:r>
          </w:p>
        </w:tc>
      </w:tr>
    </w:tbl>
    <w:p w:rsidR="008A74EB" w:rsidRPr="00C9040A" w:rsidRDefault="006C577F" w:rsidP="004A4E41">
      <w:pPr>
        <w:pStyle w:val="libFootnote0"/>
        <w:rPr>
          <w:rtl/>
          <w:lang w:bidi="fa-IR"/>
        </w:rPr>
      </w:pPr>
      <w:r>
        <w:rPr>
          <w:rtl/>
        </w:rPr>
        <w:t>(7).</w:t>
      </w:r>
      <w:r w:rsidR="008A74EB" w:rsidRPr="00C9040A">
        <w:rPr>
          <w:rtl/>
        </w:rPr>
        <w:t xml:space="preserve"> في « ب ، ج ، د ، بر » </w:t>
      </w:r>
      <w:r w:rsidR="008A74EB">
        <w:rPr>
          <w:rtl/>
        </w:rPr>
        <w:t xml:space="preserve">: </w:t>
      </w:r>
      <w:r w:rsidR="0084262C">
        <w:rPr>
          <w:rtl/>
        </w:rPr>
        <w:t>-</w:t>
      </w:r>
      <w:r w:rsidR="008A74EB" w:rsidRPr="00C9040A">
        <w:rPr>
          <w:rtl/>
        </w:rPr>
        <w:t xml:space="preserve"> « سبحانه وتعالى »</w:t>
      </w:r>
      <w:r w:rsidR="008A74EB">
        <w:rPr>
          <w:rtl/>
        </w:rPr>
        <w:t>.</w:t>
      </w:r>
      <w:r w:rsidR="008A74EB" w:rsidRPr="00C9040A">
        <w:rPr>
          <w:rtl/>
        </w:rPr>
        <w:t xml:space="preserve"> وفي الوافي : « سبحانه عليه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طه (20) : 1</w:t>
      </w:r>
      <w:r w:rsidR="008A74EB">
        <w:rPr>
          <w:rtl/>
        </w:rPr>
        <w:t xml:space="preserve"> </w:t>
      </w:r>
      <w:r w:rsidR="0084262C">
        <w:rPr>
          <w:rtl/>
        </w:rPr>
        <w:t>-</w:t>
      </w:r>
      <w:r w:rsidR="008A74EB">
        <w:rPr>
          <w:rtl/>
        </w:rPr>
        <w:t xml:space="preserve"> </w:t>
      </w:r>
      <w:r w:rsidR="008A74EB" w:rsidRPr="00C9040A">
        <w:rPr>
          <w:rtl/>
        </w:rPr>
        <w:t>2.</w:t>
      </w:r>
    </w:p>
    <w:p w:rsidR="008A74EB" w:rsidRPr="00C9040A" w:rsidRDefault="006C577F" w:rsidP="004A4E41">
      <w:pPr>
        <w:pStyle w:val="libFootnote0"/>
        <w:rPr>
          <w:rtl/>
          <w:lang w:bidi="fa-IR"/>
        </w:rPr>
      </w:pPr>
      <w:r>
        <w:rPr>
          <w:rtl/>
        </w:rPr>
        <w:t>(9).</w:t>
      </w:r>
      <w:r w:rsidR="008A74EB" w:rsidRPr="00C9040A">
        <w:rPr>
          <w:rtl/>
        </w:rPr>
        <w:t xml:space="preserve"> </w:t>
      </w:r>
      <w:r w:rsidR="008A74EB" w:rsidRPr="00993B55">
        <w:rPr>
          <w:rStyle w:val="libFootnoteBoldChar"/>
          <w:rtl/>
        </w:rPr>
        <w:t>الأمال</w:t>
      </w:r>
      <w:r w:rsidR="008A74EB" w:rsidRPr="00C433FE">
        <w:rPr>
          <w:rStyle w:val="libFootnoteBoldChar"/>
          <w:rtl/>
        </w:rPr>
        <w:t>ي للطوسي</w:t>
      </w:r>
      <w:r w:rsidR="008A74EB" w:rsidRPr="00C9040A">
        <w:rPr>
          <w:rtl/>
        </w:rPr>
        <w:t xml:space="preserve"> ، ص 403 ، المجلس 14 ، ح 903 ، بسند آخر عن رسول الله </w:t>
      </w:r>
      <w:r w:rsidR="004A4E41" w:rsidRPr="00AC2E2F">
        <w:rPr>
          <w:rStyle w:val="libFootnoteAlaemChar"/>
          <w:rtl/>
        </w:rPr>
        <w:t>صلى‌الله‌عليه‌وآله</w:t>
      </w:r>
      <w:r w:rsidR="008A74EB" w:rsidRPr="00C9040A">
        <w:rPr>
          <w:rtl/>
        </w:rPr>
        <w:t xml:space="preserve"> ، مع اختلاف </w:t>
      </w:r>
      <w:r w:rsidR="00C433FE">
        <w:rPr>
          <w:rFonts w:hint="cs"/>
          <w:rtl/>
        </w:rPr>
        <w:t>.</w:t>
      </w:r>
      <w:r w:rsidR="008A74EB" w:rsidRPr="00993B55">
        <w:rPr>
          <w:rStyle w:val="libFootnoteBoldChar"/>
          <w:rtl/>
        </w:rPr>
        <w:t>الوافي</w:t>
      </w:r>
      <w:r w:rsidR="008A74EB" w:rsidRPr="00C9040A">
        <w:rPr>
          <w:rtl/>
        </w:rPr>
        <w:t xml:space="preserve"> ، ج 4 ، ص 347 ، ح 2090 ؛ </w:t>
      </w:r>
      <w:r w:rsidR="008A74EB" w:rsidRPr="00993B55">
        <w:rPr>
          <w:rStyle w:val="libFootnoteBoldChar"/>
          <w:rtl/>
        </w:rPr>
        <w:t>الوسائل</w:t>
      </w:r>
      <w:r w:rsidR="008A74EB" w:rsidRPr="00C9040A">
        <w:rPr>
          <w:rtl/>
        </w:rPr>
        <w:t xml:space="preserve"> ، ج 5 ، ص 490 ، ح 7139 ؛ </w:t>
      </w:r>
      <w:r w:rsidR="008A74EB" w:rsidRPr="00993B55">
        <w:rPr>
          <w:rStyle w:val="libFootnoteBoldChar"/>
          <w:rtl/>
        </w:rPr>
        <w:t>البحار</w:t>
      </w:r>
      <w:r w:rsidR="008A74EB" w:rsidRPr="00C9040A">
        <w:rPr>
          <w:rtl/>
        </w:rPr>
        <w:t xml:space="preserve"> ، ج 16 ، ص 85 ، ح 3 ، وفيهما من قوله : « وكان رسول الله </w:t>
      </w:r>
      <w:r w:rsidR="004A4E41" w:rsidRPr="00AC2E2F">
        <w:rPr>
          <w:rStyle w:val="libFootnoteAlaemChar"/>
          <w:rtl/>
        </w:rPr>
        <w:t>صلى‌الله‌عليه‌وآله</w:t>
      </w:r>
      <w:r w:rsidR="008A74EB" w:rsidRPr="00C9040A">
        <w:rPr>
          <w:rtl/>
        </w:rPr>
        <w:t xml:space="preserve"> يقوم على أطراف » ؛ وص 263 ، ح 59 ؛ وج 71 ، ص 24 ، ح 3.</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جَهْمٍ ، عَنْ أَبِي الْيَقْظَانِ ، عَنْ عُبَيْدِ اللهِ بْنِ الْوَلِيدِ ، قَالَ :</w:t>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 « ثَلَاثٌ لَايَضُرُّ مَعَهُنَّ شَيْ‌ءٌ : الدُّعَاءُ عِنْدَ الْكَرْبِ ، وَالِاسْتِغْفَارُ عِنْدَ الذَّنْبِ ، وَالشُّكْرُ عِنْدَ النِّعْمَةِ »</w:t>
      </w:r>
      <w:r>
        <w:rPr>
          <w:rtl/>
          <w:lang w:bidi="fa-IR"/>
        </w:rPr>
        <w:t>.</w:t>
      </w:r>
      <w:r w:rsidRPr="00C9040A">
        <w:rPr>
          <w:rtl/>
          <w:lang w:bidi="fa-IR"/>
        </w:rPr>
        <w:t xml:space="preserve"> </w:t>
      </w:r>
      <w:r w:rsidR="006C577F" w:rsidRPr="006C577F">
        <w:rPr>
          <w:rStyle w:val="libFootnotenumChar"/>
          <w:rtl/>
        </w:rPr>
        <w:t>(1)</w:t>
      </w:r>
      <w:r w:rsidRPr="00C9040A">
        <w:rPr>
          <w:rtl/>
          <w:lang w:bidi="fa-IR"/>
        </w:rPr>
        <w:t>‌</w:t>
      </w:r>
    </w:p>
    <w:p w:rsidR="008A74EB" w:rsidRPr="00C9040A" w:rsidRDefault="008A74EB" w:rsidP="008A74EB">
      <w:pPr>
        <w:pStyle w:val="libNormal"/>
        <w:rPr>
          <w:rtl/>
          <w:lang w:bidi="fa-IR"/>
        </w:rPr>
      </w:pPr>
      <w:r w:rsidRPr="00717D4C">
        <w:rPr>
          <w:rtl/>
        </w:rPr>
        <w:t>1722</w:t>
      </w:r>
      <w:r w:rsidRPr="00261CB0">
        <w:rPr>
          <w:rStyle w:val="libBold2Char"/>
          <w:rtl/>
        </w:rPr>
        <w:t xml:space="preserve"> / 8.</w:t>
      </w:r>
      <w:r w:rsidRPr="00C9040A">
        <w:rPr>
          <w:rtl/>
          <w:lang w:bidi="fa-IR"/>
        </w:rPr>
        <w:t xml:space="preserve"> عِدَّةٌ مِنْ أَصْحَابِنَا ، عَنْ سَهْلِ بْنِ زِيَادٍ ، عَنْ يَحْيَى بْنِ الْمُبَارَكِ ، عَنْ عَبْدِ اللهِ بْنِ جَبَلَةَ ، عَنْ مُعَاوِيَةَ بْنِ وَهْبٍ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مَنْ أُعْطِيَ الشُّكْرَ أُعْطِيَ الزِّيَادَةَ ؛ يَقُولُ اللهُ عَزَّ وَجَلَّ :</w:t>
      </w:r>
      <w:r>
        <w:rPr>
          <w:rFonts w:hint="cs"/>
          <w:rtl/>
          <w:lang w:bidi="fa-IR"/>
        </w:rPr>
        <w:t xml:space="preserve"> </w:t>
      </w:r>
      <w:r w:rsidRPr="0003660B">
        <w:rPr>
          <w:rStyle w:val="libAlaemChar"/>
          <w:rtl/>
        </w:rPr>
        <w:t>(</w:t>
      </w:r>
      <w:r w:rsidRPr="006A2246">
        <w:rPr>
          <w:rStyle w:val="libAieChar"/>
          <w:rtl/>
        </w:rPr>
        <w:t xml:space="preserve">لَئِنْ شَكَرْتُمْ لَأَزِيدَنَّكُمْ </w:t>
      </w:r>
      <w:r w:rsidRPr="0003660B">
        <w:rPr>
          <w:rStyle w:val="libAlaemChar"/>
          <w:rtl/>
        </w:rPr>
        <w:t>)</w:t>
      </w:r>
      <w:r w:rsidRPr="00C9040A">
        <w:rPr>
          <w:rtl/>
          <w:lang w:bidi="fa-IR"/>
        </w:rPr>
        <w:t xml:space="preserve"> </w:t>
      </w:r>
      <w:r w:rsidR="006C577F" w:rsidRPr="006C577F">
        <w:rPr>
          <w:rStyle w:val="libFootnotenumChar"/>
          <w:rtl/>
        </w:rPr>
        <w:t>(2)</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717D4C">
        <w:rPr>
          <w:rtl/>
        </w:rPr>
        <w:t>1723</w:t>
      </w:r>
      <w:r w:rsidRPr="00261CB0">
        <w:rPr>
          <w:rStyle w:val="libBold2Char"/>
          <w:rtl/>
        </w:rPr>
        <w:t xml:space="preserve"> / 9.</w:t>
      </w:r>
      <w:r w:rsidRPr="00C9040A">
        <w:rPr>
          <w:rtl/>
          <w:lang w:bidi="fa-IR"/>
        </w:rPr>
        <w:t xml:space="preserve"> أَبُو عَلِيٍّ الْأَشْعَرِيُّ ، عَنْ مُحَمَّدِ بْنِ عَبْدِ الْجَبَّارِ ، عَنْ صَفْوَانَ ، عَنْ إِسْحَاقَ بْنِ عَمَّارٍ ، عَنْ رَجُلَيْنِ مِنْ أَصْحَابِنَا </w:t>
      </w:r>
      <w:r w:rsidR="006C577F" w:rsidRPr="006C577F">
        <w:rPr>
          <w:rStyle w:val="libFootnotenumChar"/>
          <w:rtl/>
        </w:rPr>
        <w:t>(4)</w:t>
      </w:r>
      <w:r w:rsidRPr="00C9040A">
        <w:rPr>
          <w:rtl/>
          <w:lang w:bidi="fa-IR"/>
        </w:rPr>
        <w:t xml:space="preserve"> سَمِعَاهُ :</w:t>
      </w:r>
    </w:p>
    <w:p w:rsidR="008A74EB" w:rsidRPr="00C9040A" w:rsidRDefault="008A74EB" w:rsidP="008A74EB">
      <w:pPr>
        <w:pStyle w:val="libNormal"/>
        <w:rPr>
          <w:rtl/>
          <w:lang w:bidi="fa-IR"/>
        </w:rPr>
      </w:pPr>
      <w:r w:rsidRPr="00C9040A">
        <w:rPr>
          <w:rtl/>
          <w:lang w:bidi="fa-IR"/>
        </w:rPr>
        <w:t xml:space="preserve">عَنْ </w:t>
      </w:r>
      <w:r w:rsidR="006C577F" w:rsidRPr="006C577F">
        <w:rPr>
          <w:rStyle w:val="libFootnotenumChar"/>
          <w:rtl/>
        </w:rPr>
        <w:t>(5)</w:t>
      </w:r>
      <w:r w:rsidRPr="00C9040A">
        <w:rPr>
          <w:rtl/>
          <w:lang w:bidi="fa-IR"/>
        </w:rPr>
        <w:t xml:space="preserve"> أَبِي عَبْدِ اللهِ </w:t>
      </w:r>
      <w:r w:rsidRPr="0003660B">
        <w:rPr>
          <w:rStyle w:val="libAlaemChar"/>
          <w:rtl/>
        </w:rPr>
        <w:t>عليه‌السلام</w:t>
      </w:r>
      <w:r w:rsidRPr="00C9040A">
        <w:rPr>
          <w:rtl/>
          <w:lang w:bidi="fa-IR"/>
        </w:rPr>
        <w:t xml:space="preserve"> ، قَالَ : « مَا أَنْعَمَ اللهُ عَلى عَبْدٍ مِنْ نِعْمَةٍ ، فَعَرَفَهَا بِقَلْبِهِ ، وَحَمِدَ اللهَ ظَاهِراً </w:t>
      </w:r>
      <w:r w:rsidR="006C577F" w:rsidRPr="006C577F">
        <w:rPr>
          <w:rStyle w:val="libFootnotenumChar"/>
          <w:rtl/>
        </w:rPr>
        <w:t>(6)</w:t>
      </w:r>
      <w:r w:rsidRPr="005B567D">
        <w:rPr>
          <w:rStyle w:val="libFootnotenumChar"/>
          <w:rtl/>
        </w:rPr>
        <w:t xml:space="preserve"> </w:t>
      </w:r>
      <w:r w:rsidRPr="00C9040A">
        <w:rPr>
          <w:rtl/>
          <w:lang w:bidi="fa-IR"/>
        </w:rPr>
        <w:t>بِلِسَانِهِ فَتَمَّ كَلَامُهُ ، حَتّى يُؤْمَرَ لَهُ‌</w:t>
      </w:r>
      <w:r w:rsidR="00C433FE">
        <w:rPr>
          <w:rFonts w:hint="cs"/>
          <w:rtl/>
          <w:lang w:bidi="fa-IR"/>
        </w:rPr>
        <w:t>.........................................</w:t>
      </w:r>
      <w:r w:rsidR="00C433FE">
        <w:rPr>
          <w:rFonts w:hint="cs"/>
          <w:rtl/>
          <w:lang w:bidi="fa-IR"/>
        </w:rPr>
        <w:tab/>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w:t>
      </w:r>
      <w:r w:rsidR="008A74EB" w:rsidRPr="00993B55">
        <w:rPr>
          <w:rStyle w:val="libFootnoteBoldChar"/>
          <w:rtl/>
        </w:rPr>
        <w:t>الأمالي</w:t>
      </w:r>
      <w:r w:rsidR="008A74EB" w:rsidRPr="000D75B3">
        <w:rPr>
          <w:rStyle w:val="libFootnoteBoldChar"/>
          <w:rtl/>
        </w:rPr>
        <w:t xml:space="preserve"> للطوسي</w:t>
      </w:r>
      <w:r w:rsidR="008A74EB" w:rsidRPr="00C9040A">
        <w:rPr>
          <w:rtl/>
        </w:rPr>
        <w:t xml:space="preserve"> ، ص 204 ، المجلس 7 ، ح 349 ، بسنده عن أحمد بن عبد الله ، عن جدّه أحمد بن أبي عبد الله البرقي ، عن الحسن بن فضّال </w:t>
      </w:r>
      <w:r w:rsidR="000D75B3">
        <w:rPr>
          <w:rFonts w:hint="cs"/>
          <w:rtl/>
        </w:rPr>
        <w:t>.</w:t>
      </w:r>
      <w:r w:rsidR="008A74EB" w:rsidRPr="00993B55">
        <w:rPr>
          <w:rStyle w:val="libFootnoteBoldChar"/>
          <w:rtl/>
        </w:rPr>
        <w:t>الوافي</w:t>
      </w:r>
      <w:r w:rsidR="008A74EB" w:rsidRPr="00C9040A">
        <w:rPr>
          <w:rtl/>
        </w:rPr>
        <w:t xml:space="preserve"> ، ج 4 ، ص 347 ، ح 2091 ؛ </w:t>
      </w:r>
      <w:r w:rsidR="008A74EB" w:rsidRPr="00993B55">
        <w:rPr>
          <w:rStyle w:val="libFootnoteBoldChar"/>
          <w:rtl/>
        </w:rPr>
        <w:t>البحار</w:t>
      </w:r>
      <w:r w:rsidR="008A74EB" w:rsidRPr="00C9040A">
        <w:rPr>
          <w:rtl/>
        </w:rPr>
        <w:t xml:space="preserve"> ، ج 71 ، ص 39 ، ح 26.</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إبراهيم (14) : 7.</w:t>
      </w:r>
    </w:p>
    <w:p w:rsidR="008A74EB" w:rsidRPr="004A4E41" w:rsidRDefault="006C577F" w:rsidP="004A4E41">
      <w:pPr>
        <w:pStyle w:val="libFootnote0"/>
        <w:rPr>
          <w:rStyle w:val="libFootnote0Char"/>
          <w:rtl/>
        </w:rPr>
      </w:pPr>
      <w:r>
        <w:rPr>
          <w:rtl/>
        </w:rPr>
        <w:t>(3).</w:t>
      </w:r>
      <w:r w:rsidR="008A74EB" w:rsidRPr="00C9040A">
        <w:rPr>
          <w:rtl/>
        </w:rPr>
        <w:t xml:space="preserve"> </w:t>
      </w:r>
      <w:r w:rsidR="008A74EB" w:rsidRPr="00993B55">
        <w:rPr>
          <w:rStyle w:val="libFootnoteBoldChar"/>
          <w:rtl/>
        </w:rPr>
        <w:t>الكافي</w:t>
      </w:r>
      <w:r w:rsidR="008A74EB" w:rsidRPr="00C9040A">
        <w:rPr>
          <w:rtl/>
        </w:rPr>
        <w:t xml:space="preserve"> ، كتاب الإيمان والكفر ، باب التفويض إلى الله والتوكّل عليه ، ح 1596 ، عن عدّة من أصحابنا ، عن سهل بن زياد وعليّ بن إبراهيم ، عن أبيه جميعاً ، عن يحيى بن المبارك. وفي </w:t>
      </w:r>
      <w:r w:rsidR="008A74EB" w:rsidRPr="00993B55">
        <w:rPr>
          <w:rStyle w:val="libFootnoteBoldChar"/>
          <w:rtl/>
        </w:rPr>
        <w:t>المحاسن</w:t>
      </w:r>
      <w:r w:rsidR="008A74EB" w:rsidRPr="00C9040A">
        <w:rPr>
          <w:rtl/>
        </w:rPr>
        <w:t xml:space="preserve"> ، ص 3 ، كتاب القرائن ، ح 1 ؛ و</w:t>
      </w:r>
      <w:r w:rsidR="008A74EB" w:rsidRPr="00993B55">
        <w:rPr>
          <w:rStyle w:val="libFootnoteBoldChar"/>
          <w:rtl/>
        </w:rPr>
        <w:t xml:space="preserve">الخصال </w:t>
      </w:r>
      <w:r w:rsidR="008A74EB" w:rsidRPr="00C9040A">
        <w:rPr>
          <w:rtl/>
        </w:rPr>
        <w:t xml:space="preserve">، ص 101 ، باب الثلاثة ، ح 56 ، بسندهما عن معاوية بن وهب ، وفي كلّها مع زيادة. وفي </w:t>
      </w:r>
      <w:r w:rsidR="008A74EB" w:rsidRPr="00993B55">
        <w:rPr>
          <w:rStyle w:val="libFootnoteBoldChar"/>
          <w:rtl/>
        </w:rPr>
        <w:t>الخصال</w:t>
      </w:r>
      <w:r w:rsidR="008A74EB" w:rsidRPr="00C9040A">
        <w:rPr>
          <w:rtl/>
        </w:rPr>
        <w:t xml:space="preserve"> ، ص 202 ، باب الأربعة ، ح 16 ؛ </w:t>
      </w:r>
      <w:r w:rsidR="008A74EB" w:rsidRPr="000D75B3">
        <w:rPr>
          <w:rStyle w:val="libFootnoteBoldChar"/>
          <w:rtl/>
        </w:rPr>
        <w:t>و</w:t>
      </w:r>
      <w:r w:rsidR="008A74EB" w:rsidRPr="00993B55">
        <w:rPr>
          <w:rStyle w:val="libFootnoteBoldChar"/>
          <w:rtl/>
        </w:rPr>
        <w:t>معاني الأخبار</w:t>
      </w:r>
      <w:r w:rsidR="008A74EB" w:rsidRPr="00C9040A">
        <w:rPr>
          <w:rtl/>
        </w:rPr>
        <w:t xml:space="preserve"> ، ص 323 ، ح 1 ، بسند آخر هكذا : « من ا</w:t>
      </w:r>
      <w:r w:rsidR="000D75B3">
        <w:rPr>
          <w:rFonts w:hint="cs"/>
          <w:rtl/>
        </w:rPr>
        <w:t>ُ</w:t>
      </w:r>
      <w:r w:rsidR="008A74EB" w:rsidRPr="00C9040A">
        <w:rPr>
          <w:rtl/>
        </w:rPr>
        <w:t xml:space="preserve">عطي الشكر لم يحرم الزيادة » مع زيادة في أوّله وآخره. وفي </w:t>
      </w:r>
      <w:r w:rsidR="008A74EB" w:rsidRPr="00993B55">
        <w:rPr>
          <w:rStyle w:val="libFootnoteBoldChar"/>
          <w:rtl/>
        </w:rPr>
        <w:t>الأمال</w:t>
      </w:r>
      <w:r w:rsidR="008A74EB" w:rsidRPr="000D75B3">
        <w:rPr>
          <w:rStyle w:val="libFootnoteBoldChar"/>
          <w:rtl/>
        </w:rPr>
        <w:t>ي للطوسي</w:t>
      </w:r>
      <w:r w:rsidR="008A74EB" w:rsidRPr="00C9040A">
        <w:rPr>
          <w:rtl/>
        </w:rPr>
        <w:t xml:space="preserve"> ، ص 452 ، المجلس 16 ، ح 14 ، بسند آخر عن أبي جعفر </w:t>
      </w:r>
      <w:r w:rsidR="00117575" w:rsidRPr="00117575">
        <w:rPr>
          <w:rStyle w:val="libFootnoteAlaemChar"/>
          <w:rtl/>
        </w:rPr>
        <w:t>عليه‌السلام</w:t>
      </w:r>
      <w:r w:rsidR="008A74EB" w:rsidRPr="00C9040A">
        <w:rPr>
          <w:rtl/>
        </w:rPr>
        <w:t xml:space="preserve"> ؛ </w:t>
      </w:r>
      <w:r w:rsidR="008A74EB" w:rsidRPr="00993B55">
        <w:rPr>
          <w:rStyle w:val="libFootnoteBoldChar"/>
          <w:rtl/>
        </w:rPr>
        <w:t>وفيه</w:t>
      </w:r>
      <w:r w:rsidR="008A74EB" w:rsidRPr="00C9040A">
        <w:rPr>
          <w:rtl/>
        </w:rPr>
        <w:t xml:space="preserve"> ، ص 693 ، المجلس 39 ، ح 16 ، بسند آخر ، مع اختلاف يسير وزيادة في أوّله. </w:t>
      </w:r>
      <w:r w:rsidR="008A74EB" w:rsidRPr="00993B55">
        <w:rPr>
          <w:rStyle w:val="libFootnoteBoldChar"/>
          <w:rtl/>
        </w:rPr>
        <w:t>نهج البلاغة</w:t>
      </w:r>
      <w:r w:rsidR="008A74EB" w:rsidRPr="00C9040A">
        <w:rPr>
          <w:rtl/>
        </w:rPr>
        <w:t xml:space="preserve"> ، ص 494 ، الحكمة 135 ، مع زيادة في أوّله ؛ </w:t>
      </w:r>
      <w:r w:rsidR="008A74EB" w:rsidRPr="00993B55">
        <w:rPr>
          <w:rStyle w:val="libFootnoteBoldChar"/>
          <w:rtl/>
        </w:rPr>
        <w:t>تحف العقول</w:t>
      </w:r>
      <w:r w:rsidR="008A74EB" w:rsidRPr="00C9040A">
        <w:rPr>
          <w:rtl/>
        </w:rPr>
        <w:t xml:space="preserve"> ، ص 41 ، عن رسول الله </w:t>
      </w:r>
      <w:r w:rsidR="004A4E41" w:rsidRPr="00AC2E2F">
        <w:rPr>
          <w:rStyle w:val="libFootnoteAlaemChar"/>
          <w:rtl/>
        </w:rPr>
        <w:t>صلى‌الله‌عليه‌وآله</w:t>
      </w:r>
      <w:r w:rsidR="008A74EB" w:rsidRPr="00C9040A">
        <w:rPr>
          <w:rtl/>
        </w:rPr>
        <w:t xml:space="preserve"> ، مع زيادة في أوّله وآخره ، وفيهما هكذا : « من ا</w:t>
      </w:r>
      <w:r w:rsidR="000D75B3">
        <w:rPr>
          <w:rFonts w:hint="cs"/>
          <w:rtl/>
        </w:rPr>
        <w:t>ُ</w:t>
      </w:r>
      <w:r w:rsidR="008A74EB" w:rsidRPr="00C9040A">
        <w:rPr>
          <w:rtl/>
        </w:rPr>
        <w:t xml:space="preserve">عطي الشكر لم يحرم الزيادة » ؛ </w:t>
      </w:r>
      <w:r w:rsidR="008A74EB" w:rsidRPr="00993B55">
        <w:rPr>
          <w:rStyle w:val="libFootnoteBoldChar"/>
          <w:rtl/>
        </w:rPr>
        <w:t>خصائص الأئمّة</w:t>
      </w:r>
      <w:r w:rsidR="008A74EB" w:rsidRPr="00C9040A">
        <w:rPr>
          <w:rtl/>
        </w:rPr>
        <w:t xml:space="preserve"> </w:t>
      </w:r>
      <w:r w:rsidR="00117575" w:rsidRPr="00117575">
        <w:rPr>
          <w:rStyle w:val="libFootnoteAlaemChar"/>
          <w:rtl/>
        </w:rPr>
        <w:t>عليهم‌السلام</w:t>
      </w:r>
      <w:r w:rsidR="008A74EB" w:rsidRPr="00C9040A">
        <w:rPr>
          <w:rtl/>
        </w:rPr>
        <w:t xml:space="preserve"> ، ص 103 ، مرسلاً عن عليّ </w:t>
      </w:r>
      <w:r w:rsidR="00117575" w:rsidRPr="00117575">
        <w:rPr>
          <w:rStyle w:val="libFootnoteAlaemChar"/>
          <w:rtl/>
        </w:rPr>
        <w:t>عليه‌السلام</w:t>
      </w:r>
      <w:r w:rsidR="008A74EB" w:rsidRPr="00C9040A">
        <w:rPr>
          <w:rtl/>
        </w:rPr>
        <w:t xml:space="preserve"> ، مع اختلاف يسير وزيادة </w:t>
      </w:r>
      <w:r w:rsidR="000D75B3">
        <w:rPr>
          <w:rFonts w:hint="cs"/>
          <w:rtl/>
        </w:rPr>
        <w:t>.</w:t>
      </w:r>
      <w:r w:rsidR="008A74EB" w:rsidRPr="00993B55">
        <w:rPr>
          <w:rStyle w:val="libFootnoteBoldChar"/>
          <w:rtl/>
        </w:rPr>
        <w:t>الوافي</w:t>
      </w:r>
      <w:r w:rsidR="008A74EB" w:rsidRPr="00C9040A">
        <w:rPr>
          <w:rtl/>
        </w:rPr>
        <w:t xml:space="preserve"> ، ج 4 ، ص 346 ، ح 2087 ؛ </w:t>
      </w:r>
      <w:r w:rsidR="008A74EB" w:rsidRPr="00993B55">
        <w:rPr>
          <w:rStyle w:val="libFootnoteBoldChar"/>
          <w:rtl/>
        </w:rPr>
        <w:t>البحار</w:t>
      </w:r>
      <w:r w:rsidR="008A74EB" w:rsidRPr="00C9040A">
        <w:rPr>
          <w:rtl/>
        </w:rPr>
        <w:t xml:space="preserve"> ، ج 71 ، ص 40 ، ح 27.</w:t>
      </w:r>
    </w:p>
    <w:tbl>
      <w:tblPr>
        <w:tblStyle w:val="TableGrid"/>
        <w:bidiVisual/>
        <w:tblW w:w="0" w:type="auto"/>
        <w:tblLook w:val="04A0" w:firstRow="1" w:lastRow="0" w:firstColumn="1" w:lastColumn="0" w:noHBand="0" w:noVBand="1"/>
      </w:tblPr>
      <w:tblGrid>
        <w:gridCol w:w="4006"/>
        <w:gridCol w:w="4006"/>
      </w:tblGrid>
      <w:tr w:rsidR="000D75B3" w:rsidTr="000D75B3">
        <w:tc>
          <w:tcPr>
            <w:tcW w:w="4006" w:type="dxa"/>
          </w:tcPr>
          <w:p w:rsidR="000D75B3" w:rsidRDefault="000D75B3" w:rsidP="004A4E41">
            <w:pPr>
              <w:pStyle w:val="libFootnote0"/>
              <w:rPr>
                <w:rtl/>
              </w:rPr>
            </w:pPr>
            <w:r>
              <w:rPr>
                <w:rtl/>
              </w:rPr>
              <w:t>(4).</w:t>
            </w:r>
            <w:r w:rsidRPr="00C9040A">
              <w:rPr>
                <w:rtl/>
              </w:rPr>
              <w:t xml:space="preserve"> في « د ، بس » </w:t>
            </w:r>
            <w:r>
              <w:rPr>
                <w:rtl/>
              </w:rPr>
              <w:t>: -</w:t>
            </w:r>
            <w:r w:rsidRPr="00C9040A">
              <w:rPr>
                <w:rtl/>
              </w:rPr>
              <w:t xml:space="preserve"> « من أصحابنا »</w:t>
            </w:r>
            <w:r>
              <w:rPr>
                <w:rtl/>
              </w:rPr>
              <w:t>.</w:t>
            </w:r>
          </w:p>
        </w:tc>
        <w:tc>
          <w:tcPr>
            <w:tcW w:w="4006" w:type="dxa"/>
          </w:tcPr>
          <w:p w:rsidR="000D75B3" w:rsidRDefault="000D75B3" w:rsidP="004A4E41">
            <w:pPr>
              <w:pStyle w:val="libFootnote0"/>
              <w:rPr>
                <w:rtl/>
              </w:rPr>
            </w:pPr>
            <w:r>
              <w:rPr>
                <w:rtl/>
              </w:rPr>
              <w:t>(5). في «د ،ص ،بس » وحاشية «ض » : «</w:t>
            </w:r>
            <w:r w:rsidRPr="00C9040A">
              <w:rPr>
                <w:rtl/>
              </w:rPr>
              <w:t>من »</w:t>
            </w:r>
            <w:r>
              <w:rPr>
                <w:rtl/>
              </w:rPr>
              <w:t>.</w:t>
            </w:r>
          </w:p>
        </w:tc>
      </w:tr>
    </w:tbl>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حاشية « بف » : + « عليها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بِالْمَزِيدِ »</w:t>
      </w:r>
      <w:r>
        <w:rPr>
          <w:rtl/>
          <w:lang w:bidi="fa-IR"/>
        </w:rPr>
        <w:t>.</w:t>
      </w:r>
      <w:r w:rsidRPr="00C9040A">
        <w:rPr>
          <w:rtl/>
          <w:lang w:bidi="fa-IR"/>
        </w:rPr>
        <w:t xml:space="preserve"> </w:t>
      </w:r>
      <w:r w:rsidR="006C577F" w:rsidRPr="006C577F">
        <w:rPr>
          <w:rStyle w:val="libFootnotenumChar"/>
          <w:rtl/>
        </w:rPr>
        <w:t>(1)</w:t>
      </w:r>
    </w:p>
    <w:p w:rsidR="008A74EB" w:rsidRPr="00C9040A" w:rsidRDefault="008A74EB" w:rsidP="008A74EB">
      <w:pPr>
        <w:pStyle w:val="libNormal"/>
        <w:rPr>
          <w:rtl/>
          <w:lang w:bidi="fa-IR"/>
        </w:rPr>
      </w:pPr>
      <w:r w:rsidRPr="00717D4C">
        <w:rPr>
          <w:rtl/>
        </w:rPr>
        <w:t>1724</w:t>
      </w:r>
      <w:r w:rsidRPr="00261CB0">
        <w:rPr>
          <w:rStyle w:val="libBold2Char"/>
          <w:rtl/>
        </w:rPr>
        <w:t xml:space="preserve"> / 10.</w:t>
      </w:r>
      <w:r w:rsidRPr="00C9040A">
        <w:rPr>
          <w:rtl/>
          <w:lang w:bidi="fa-IR"/>
        </w:rPr>
        <w:t xml:space="preserve"> عِدَّةٌ مِنْ أَصْحَابِنَا ، عَنْ أَحْمَدَ بْنِ مُحَمَّدِ بْنِ خَالِدٍ ، عَنْ بَعْضِ أَصْحَابِنَا ، عَنْ مُحَمَّدِ بْنِ هِشَامٍ </w:t>
      </w:r>
      <w:r w:rsidR="006C577F" w:rsidRPr="006C577F">
        <w:rPr>
          <w:rStyle w:val="libFootnotenumChar"/>
          <w:rtl/>
        </w:rPr>
        <w:t>(2)</w:t>
      </w:r>
      <w:r w:rsidRPr="00C9040A">
        <w:rPr>
          <w:rtl/>
          <w:lang w:bidi="fa-IR"/>
        </w:rPr>
        <w:t xml:space="preserve"> ، عَنْ مُيَسِّرٍ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شُكْرُ النِّعْمَةِ </w:t>
      </w:r>
      <w:r w:rsidR="006C577F" w:rsidRPr="006C577F">
        <w:rPr>
          <w:rStyle w:val="libFootnotenumChar"/>
          <w:rtl/>
        </w:rPr>
        <w:t>(3)</w:t>
      </w:r>
      <w:r w:rsidRPr="00C9040A">
        <w:rPr>
          <w:rtl/>
          <w:lang w:bidi="fa-IR"/>
        </w:rPr>
        <w:t xml:space="preserve"> اجْتِنَابُ الْمَحَارِمِ </w:t>
      </w:r>
      <w:r w:rsidR="006C577F" w:rsidRPr="006C577F">
        <w:rPr>
          <w:rStyle w:val="libFootnotenumChar"/>
          <w:rtl/>
        </w:rPr>
        <w:t>(4)</w:t>
      </w:r>
      <w:r w:rsidRPr="00C9040A">
        <w:rPr>
          <w:rtl/>
          <w:lang w:bidi="fa-IR"/>
        </w:rPr>
        <w:t xml:space="preserve"> ، وَتَمَامُ الشُّكْرِ قَوْلُ الرَّجُلِ : الْحَمْدُ لِلّهِ رَبِّ الْعَالَمِينَ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717D4C">
        <w:rPr>
          <w:rtl/>
        </w:rPr>
        <w:t>1725</w:t>
      </w:r>
      <w:r w:rsidRPr="00261CB0">
        <w:rPr>
          <w:rStyle w:val="libBold2Char"/>
          <w:rtl/>
        </w:rPr>
        <w:t xml:space="preserve"> / 11.</w:t>
      </w:r>
      <w:r w:rsidRPr="00C9040A">
        <w:rPr>
          <w:rtl/>
          <w:lang w:bidi="fa-IR"/>
        </w:rPr>
        <w:t xml:space="preserve"> عَلِيُّ بْنُ إِبْرَاهِيمَ ، عَنْ أَبِيهِ ، عَنِ ابْنِ أَبِي عُمَيْرٍ ، عَنْ عَلِيِّ بْنِ عُقْبَةَ </w:t>
      </w:r>
      <w:r w:rsidR="006C577F" w:rsidRPr="006C577F">
        <w:rPr>
          <w:rStyle w:val="libFootnotenumChar"/>
          <w:rtl/>
        </w:rPr>
        <w:t>(6)</w:t>
      </w:r>
      <w:r w:rsidRPr="005B567D">
        <w:rPr>
          <w:rStyle w:val="libFootnotenumChar"/>
          <w:rtl/>
        </w:rPr>
        <w:t xml:space="preserve"> </w:t>
      </w:r>
      <w:r w:rsidRPr="00C9040A">
        <w:rPr>
          <w:rtl/>
          <w:lang w:bidi="fa-IR"/>
        </w:rPr>
        <w:t>، عَنْ عُمَرَ بْنِ يَزِيدَ ، قَالَ :</w:t>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 « شُكْرُ كُلِّ نِعْمَةٍ</w:t>
      </w:r>
      <w:r>
        <w:rPr>
          <w:rtl/>
          <w:lang w:bidi="fa-IR"/>
        </w:rPr>
        <w:t xml:space="preserve"> </w:t>
      </w:r>
      <w:r w:rsidR="0084262C">
        <w:rPr>
          <w:rtl/>
          <w:lang w:bidi="fa-IR"/>
        </w:rPr>
        <w:t>-</w:t>
      </w:r>
      <w:r>
        <w:rPr>
          <w:rtl/>
          <w:lang w:bidi="fa-IR"/>
        </w:rPr>
        <w:t xml:space="preserve"> </w:t>
      </w:r>
      <w:r w:rsidRPr="00C9040A">
        <w:rPr>
          <w:rtl/>
          <w:lang w:bidi="fa-IR"/>
        </w:rPr>
        <w:t>وَإِنْ عَظُمَتْ</w:t>
      </w:r>
      <w:r>
        <w:rPr>
          <w:rtl/>
          <w:lang w:bidi="fa-IR"/>
        </w:rPr>
        <w:t xml:space="preserve"> </w:t>
      </w:r>
      <w:r w:rsidR="0084262C">
        <w:rPr>
          <w:rtl/>
          <w:lang w:bidi="fa-IR"/>
        </w:rPr>
        <w:t>-</w:t>
      </w:r>
      <w:r>
        <w:rPr>
          <w:rtl/>
          <w:lang w:bidi="fa-IR"/>
        </w:rPr>
        <w:t xml:space="preserve"> </w:t>
      </w:r>
      <w:r w:rsidRPr="00C9040A">
        <w:rPr>
          <w:rtl/>
          <w:lang w:bidi="fa-IR"/>
        </w:rPr>
        <w:t xml:space="preserve">أَنْ تَحْمَدَ </w:t>
      </w:r>
      <w:r w:rsidR="006C577F" w:rsidRPr="006C577F">
        <w:rPr>
          <w:rStyle w:val="libFootnotenumChar"/>
          <w:rtl/>
        </w:rPr>
        <w:t>(7)</w:t>
      </w:r>
      <w:r w:rsidRPr="00C9040A">
        <w:rPr>
          <w:rtl/>
          <w:lang w:bidi="fa-IR"/>
        </w:rPr>
        <w:t xml:space="preserve"> اللهَ</w:t>
      </w:r>
      <w:r>
        <w:rPr>
          <w:rtl/>
          <w:lang w:bidi="fa-IR"/>
        </w:rPr>
        <w:t xml:space="preserve"> </w:t>
      </w:r>
      <w:r w:rsidR="0084262C">
        <w:rPr>
          <w:rtl/>
          <w:lang w:bidi="fa-IR"/>
        </w:rPr>
        <w:t>-</w:t>
      </w:r>
      <w:r>
        <w:rPr>
          <w:rtl/>
          <w:lang w:bidi="fa-IR"/>
        </w:rPr>
        <w:t xml:space="preserve"> </w:t>
      </w:r>
      <w:r w:rsidRPr="00C9040A">
        <w:rPr>
          <w:rtl/>
          <w:lang w:bidi="fa-IR"/>
        </w:rPr>
        <w:t>عَزَّ‌</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w:t>
      </w:r>
      <w:r w:rsidR="008A74EB" w:rsidRPr="00993B55">
        <w:rPr>
          <w:rStyle w:val="libFootnoteBoldChar"/>
          <w:rtl/>
        </w:rPr>
        <w:t>الكافي</w:t>
      </w:r>
      <w:r w:rsidR="008A74EB" w:rsidRPr="00C9040A">
        <w:rPr>
          <w:rtl/>
        </w:rPr>
        <w:t xml:space="preserve"> ، كتاب الروضة ، ضمن الحديث الطويل 14913 ، بسند آخر ، مع اختلاف ؛ </w:t>
      </w:r>
      <w:r w:rsidR="008A74EB" w:rsidRPr="00993B55">
        <w:rPr>
          <w:rStyle w:val="libFootnoteBoldChar"/>
          <w:rtl/>
        </w:rPr>
        <w:t>ثواب الأعمال</w:t>
      </w:r>
      <w:r w:rsidR="008A74EB" w:rsidRPr="00C9040A">
        <w:rPr>
          <w:rtl/>
        </w:rPr>
        <w:t xml:space="preserve"> ، ص 223 ، ح 1 ، بسند آخر ، مع اختلاف يسير. </w:t>
      </w:r>
      <w:r w:rsidR="008A74EB" w:rsidRPr="00993B55">
        <w:rPr>
          <w:rStyle w:val="libFootnoteBoldChar"/>
          <w:rtl/>
        </w:rPr>
        <w:t>الأم</w:t>
      </w:r>
      <w:r w:rsidR="008A74EB" w:rsidRPr="00152319">
        <w:rPr>
          <w:rStyle w:val="libFootnoteBoldChar"/>
          <w:rtl/>
        </w:rPr>
        <w:t>الي للطوسي</w:t>
      </w:r>
      <w:r w:rsidR="008A74EB" w:rsidRPr="00C9040A">
        <w:rPr>
          <w:rtl/>
        </w:rPr>
        <w:t xml:space="preserve"> ، المجلس 24 ، ح 2 ، بسنده آخر عن أبي عبدالله ، عن عليّ </w:t>
      </w:r>
      <w:r w:rsidR="00117575" w:rsidRPr="00117575">
        <w:rPr>
          <w:rStyle w:val="libFootnoteAlaemChar"/>
          <w:rtl/>
        </w:rPr>
        <w:t>عليهما‌السلام</w:t>
      </w:r>
      <w:r w:rsidR="008A74EB" w:rsidRPr="00C9040A">
        <w:rPr>
          <w:rtl/>
        </w:rPr>
        <w:t xml:space="preserve"> ، مع اختلاف. </w:t>
      </w:r>
      <w:r w:rsidR="008A74EB" w:rsidRPr="00993B55">
        <w:rPr>
          <w:rStyle w:val="libFootnoteBoldChar"/>
          <w:rtl/>
        </w:rPr>
        <w:t>تفسير العيّاشي</w:t>
      </w:r>
      <w:r w:rsidR="008A74EB" w:rsidRPr="00C9040A">
        <w:rPr>
          <w:rtl/>
        </w:rPr>
        <w:t xml:space="preserve"> ، ج 2 ، ص 222 ، ح 3 ، عن أبي عمر المدائني ، عن أبي عبدالله </w:t>
      </w:r>
      <w:r w:rsidR="00117575" w:rsidRPr="00117575">
        <w:rPr>
          <w:rStyle w:val="libFootnoteAlaemChar"/>
          <w:rtl/>
        </w:rPr>
        <w:t>عليه‌السلام</w:t>
      </w:r>
      <w:r w:rsidR="008A74EB" w:rsidRPr="00C9040A">
        <w:rPr>
          <w:rtl/>
        </w:rPr>
        <w:t xml:space="preserve"> ؛ </w:t>
      </w:r>
      <w:r w:rsidR="008A74EB" w:rsidRPr="00993B55">
        <w:rPr>
          <w:rStyle w:val="libFootnoteBoldChar"/>
          <w:rtl/>
        </w:rPr>
        <w:t>تفسير القمّي</w:t>
      </w:r>
      <w:r w:rsidR="008A74EB" w:rsidRPr="00C9040A">
        <w:rPr>
          <w:rtl/>
        </w:rPr>
        <w:t xml:space="preserve"> ، ج 1 ، ص 367 ، مرسلاً ، وفيهما مع اختلاف يسير. </w:t>
      </w:r>
      <w:r w:rsidR="008A74EB" w:rsidRPr="00993B55">
        <w:rPr>
          <w:rStyle w:val="libFootnoteBoldChar"/>
          <w:rtl/>
        </w:rPr>
        <w:t>تحف العقول</w:t>
      </w:r>
      <w:r w:rsidR="008A74EB" w:rsidRPr="00C9040A">
        <w:rPr>
          <w:rtl/>
        </w:rPr>
        <w:t xml:space="preserve"> ، ص 357 ضمن الحديث الطويل ، عن عليّ </w:t>
      </w:r>
      <w:r w:rsidR="00117575" w:rsidRPr="00117575">
        <w:rPr>
          <w:rStyle w:val="libFootnoteAlaemChar"/>
          <w:rtl/>
        </w:rPr>
        <w:t>عليه‌السلام</w:t>
      </w:r>
      <w:r w:rsidR="008A74EB" w:rsidRPr="00C9040A">
        <w:rPr>
          <w:rtl/>
        </w:rPr>
        <w:t xml:space="preserve"> ، مع اختلاف </w:t>
      </w:r>
      <w:r w:rsidR="00152319">
        <w:rPr>
          <w:rFonts w:hint="cs"/>
          <w:rtl/>
        </w:rPr>
        <w:t>.</w:t>
      </w:r>
      <w:r w:rsidR="008A74EB" w:rsidRPr="00993B55">
        <w:rPr>
          <w:rStyle w:val="libFootnoteBoldChar"/>
          <w:rtl/>
        </w:rPr>
        <w:t>الوافي</w:t>
      </w:r>
      <w:r w:rsidR="008A74EB" w:rsidRPr="00C9040A">
        <w:rPr>
          <w:rtl/>
        </w:rPr>
        <w:t xml:space="preserve"> ، ج 4 ، ص 346 ، ح 2088 ؛ </w:t>
      </w:r>
      <w:r w:rsidR="008A74EB" w:rsidRPr="00993B55">
        <w:rPr>
          <w:rStyle w:val="libFootnoteBoldChar"/>
          <w:rtl/>
        </w:rPr>
        <w:t>البحار</w:t>
      </w:r>
      <w:r w:rsidR="008A74EB" w:rsidRPr="00C9040A">
        <w:rPr>
          <w:rtl/>
        </w:rPr>
        <w:t xml:space="preserve"> ، ج 71 ، ص 40 ، ح 28.</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ب » : « هاشم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ب ، بر ، بف » : « النعم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ب » : « المعاصي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الوافي</w:t>
      </w:r>
      <w:r w:rsidR="008A74EB" w:rsidRPr="00C9040A">
        <w:rPr>
          <w:rtl/>
        </w:rPr>
        <w:t xml:space="preserve"> ، ج 4 ، ص 348 ، ح 2092 ؛ </w:t>
      </w:r>
      <w:r w:rsidR="008A74EB" w:rsidRPr="00993B55">
        <w:rPr>
          <w:rStyle w:val="libFootnoteBoldChar"/>
          <w:rtl/>
        </w:rPr>
        <w:t>البحار</w:t>
      </w:r>
      <w:r w:rsidR="008A74EB" w:rsidRPr="00C9040A">
        <w:rPr>
          <w:rtl/>
        </w:rPr>
        <w:t xml:space="preserve"> ، ج 71 ، ص 40 ، ح 29.</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هكذا في « ب ، ض ، بر ، بف ، جر » وحاشية « بس » والبحار. وفي « ج ، د ، ز ، ص ، ف ، بس » والمطبوع : « عيينة »</w:t>
      </w:r>
      <w:r w:rsidR="008A74EB">
        <w:rPr>
          <w:rtl/>
        </w:rPr>
        <w:t>.</w:t>
      </w:r>
    </w:p>
    <w:p w:rsidR="008A74EB" w:rsidRPr="00C9040A" w:rsidRDefault="008A74EB" w:rsidP="004A4E41">
      <w:pPr>
        <w:pStyle w:val="libFootnote0"/>
        <w:rPr>
          <w:rtl/>
          <w:lang w:bidi="fa-IR"/>
        </w:rPr>
      </w:pPr>
      <w:r w:rsidRPr="00323A39">
        <w:rPr>
          <w:rtl/>
        </w:rPr>
        <w:t xml:space="preserve">وما أثبتناه هو الصواب ؛ فإنّا لم نجد لعليّ بن عيينة ذكراً في الكتب والأسناد في غير هذا المورد ، أمّا عليّ بن عقبة ، فقد ورد في كثير من الأسناد ، ويأتي رواية ابن أبي عمير عنه في </w:t>
      </w:r>
      <w:r w:rsidRPr="00993B55">
        <w:rPr>
          <w:rStyle w:val="libFootnoteBoldChar"/>
          <w:rtl/>
        </w:rPr>
        <w:t>الكافي</w:t>
      </w:r>
      <w:r w:rsidRPr="00323A39">
        <w:rPr>
          <w:rtl/>
        </w:rPr>
        <w:t xml:space="preserve"> ، ح 5023 و 14099 ، وهو المذكور في كتب الرجال ، روى كتابه الحسن بن عليّ بن فضّال المتوفّى سنة إحدى وعشرين أو أربع وعشرين ومائتين ، فيكون ابن فضّال في طبقة محمّد بن أبي عمير المتوفّى سنة سبع عشرة ومائتين. راجع : </w:t>
      </w:r>
      <w:r w:rsidRPr="0034021D">
        <w:rPr>
          <w:rStyle w:val="libFootnoteBoldChar"/>
          <w:rtl/>
        </w:rPr>
        <w:t>الفهرست للطوسي</w:t>
      </w:r>
      <w:r w:rsidRPr="00323A39">
        <w:rPr>
          <w:rtl/>
        </w:rPr>
        <w:t xml:space="preserve"> ، ص 269 ، الرقم 385 ؛ </w:t>
      </w:r>
      <w:r w:rsidRPr="00993B55">
        <w:rPr>
          <w:rStyle w:val="libFootnoteBoldChar"/>
          <w:rtl/>
        </w:rPr>
        <w:t>رجال النجاشي</w:t>
      </w:r>
      <w:r w:rsidRPr="00323A39">
        <w:rPr>
          <w:rtl/>
        </w:rPr>
        <w:t xml:space="preserve"> ، ص 34 ، الرقم 72 ؛ وص 75 ، الرقم 180 ؛ وص 299 ، الرقم 814 ؛ وص 326 ، الرقم 887 ؛ </w:t>
      </w:r>
      <w:r w:rsidRPr="00993B55">
        <w:rPr>
          <w:rStyle w:val="libFootnoteBoldChar"/>
          <w:rtl/>
        </w:rPr>
        <w:t>معجم رجال الحديث</w:t>
      </w:r>
      <w:r w:rsidRPr="00323A39">
        <w:rPr>
          <w:rtl/>
        </w:rPr>
        <w:t xml:space="preserve"> ، ج 12 ، ص 95 ، الرقم 8320.</w:t>
      </w:r>
    </w:p>
    <w:p w:rsidR="008A74EB" w:rsidRPr="00C9040A" w:rsidRDefault="006C577F" w:rsidP="004A4E41">
      <w:pPr>
        <w:pStyle w:val="libFootnote0"/>
        <w:rPr>
          <w:rtl/>
          <w:lang w:bidi="fa-IR"/>
        </w:rPr>
      </w:pPr>
      <w:r>
        <w:rPr>
          <w:rtl/>
        </w:rPr>
        <w:t>(7).</w:t>
      </w:r>
      <w:r w:rsidR="008A74EB" w:rsidRPr="00C9040A">
        <w:rPr>
          <w:rtl/>
        </w:rPr>
        <w:t xml:space="preserve"> في « ب ، ف » : « أن يحمد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وَجَلَّ</w:t>
      </w:r>
      <w:r>
        <w:rPr>
          <w:rtl/>
          <w:lang w:bidi="fa-IR"/>
        </w:rPr>
        <w:t xml:space="preserve"> </w:t>
      </w:r>
      <w:r w:rsidR="0084262C">
        <w:rPr>
          <w:rtl/>
          <w:lang w:bidi="fa-IR"/>
        </w:rPr>
        <w:t>-</w:t>
      </w:r>
      <w:r>
        <w:rPr>
          <w:rtl/>
          <w:lang w:bidi="fa-IR"/>
        </w:rPr>
        <w:t xml:space="preserve"> </w:t>
      </w:r>
      <w:r w:rsidRPr="00C9040A">
        <w:rPr>
          <w:rtl/>
          <w:lang w:bidi="fa-IR"/>
        </w:rPr>
        <w:t xml:space="preserve">عَلَيْهَا </w:t>
      </w:r>
      <w:r w:rsidR="006C577F" w:rsidRPr="006C577F">
        <w:rPr>
          <w:rStyle w:val="libFootnotenumChar"/>
          <w:rtl/>
        </w:rPr>
        <w:t>(1)</w:t>
      </w:r>
      <w:r w:rsidRPr="00C9040A">
        <w:rPr>
          <w:rtl/>
          <w:lang w:bidi="fa-IR"/>
        </w:rPr>
        <w:t>»</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0F35FB">
        <w:rPr>
          <w:rtl/>
        </w:rPr>
        <w:t>1726</w:t>
      </w:r>
      <w:r w:rsidRPr="00261CB0">
        <w:rPr>
          <w:rStyle w:val="libBold2Char"/>
          <w:rtl/>
        </w:rPr>
        <w:t xml:space="preserve"> / 12.</w:t>
      </w:r>
      <w:r w:rsidRPr="00C9040A">
        <w:rPr>
          <w:rtl/>
          <w:lang w:bidi="fa-IR"/>
        </w:rPr>
        <w:t xml:space="preserve"> عِدَّةٌ مِنْ أَصْحَابِنَا ، عَنْ أَحْمَدَ بْنِ مُحَمَّدِ بْنِ خَالِدٍ ، عَنْ إِسْمَاعِيلَ بْنِ مِهْرَانَ ، عَنْ سَيْفِ بْنِ عَمِيرَةَ ، عَنْ أَبِي بَصِيرٍ ، قَالَ :</w:t>
      </w:r>
    </w:p>
    <w:p w:rsidR="008A74EB" w:rsidRPr="00C9040A" w:rsidRDefault="008A74EB" w:rsidP="008A74EB">
      <w:pPr>
        <w:pStyle w:val="libNormal"/>
        <w:rPr>
          <w:rtl/>
          <w:lang w:bidi="fa-IR"/>
        </w:rPr>
      </w:pPr>
      <w:r w:rsidRPr="00C9040A">
        <w:rPr>
          <w:rtl/>
          <w:lang w:bidi="fa-IR"/>
        </w:rPr>
        <w:t xml:space="preserve">قُلْتُ لِأَبِي عَبْدِ اللهِ </w:t>
      </w:r>
      <w:r w:rsidRPr="0003660B">
        <w:rPr>
          <w:rStyle w:val="libAlaemChar"/>
          <w:rtl/>
        </w:rPr>
        <w:t>عليه‌السلام</w:t>
      </w:r>
      <w:r w:rsidRPr="00C9040A">
        <w:rPr>
          <w:rtl/>
          <w:lang w:bidi="fa-IR"/>
        </w:rPr>
        <w:t xml:space="preserve"> : هَلْ لِلشُّكْرِ حَدٌّ إِذَا فَعَلَهُ الْعَبْدُ كَانَ شَاكِراً</w:t>
      </w:r>
      <w:r>
        <w:rPr>
          <w:rtl/>
          <w:lang w:bidi="fa-IR"/>
        </w:rPr>
        <w:t>؟</w:t>
      </w:r>
      <w:r w:rsidRPr="00C9040A">
        <w:rPr>
          <w:rtl/>
          <w:lang w:bidi="fa-IR"/>
        </w:rPr>
        <w:t xml:space="preserve"> قَالَ : « نَعَمْ »</w:t>
      </w:r>
      <w:r>
        <w:rPr>
          <w:rtl/>
          <w:lang w:bidi="fa-IR"/>
        </w:rPr>
        <w:t>.</w:t>
      </w:r>
      <w:r>
        <w:rPr>
          <w:rFonts w:hint="cs"/>
          <w:rtl/>
          <w:lang w:bidi="fa-IR"/>
        </w:rPr>
        <w:t xml:space="preserve"> </w:t>
      </w:r>
      <w:r w:rsidRPr="00C9040A">
        <w:rPr>
          <w:rtl/>
          <w:lang w:bidi="fa-IR"/>
        </w:rPr>
        <w:t xml:space="preserve">قُلْتُ : مَا </w:t>
      </w:r>
      <w:r w:rsidR="006C577F" w:rsidRPr="006C577F">
        <w:rPr>
          <w:rStyle w:val="libFootnotenumChar"/>
          <w:rtl/>
        </w:rPr>
        <w:t>(3)</w:t>
      </w:r>
      <w:r w:rsidRPr="00C9040A">
        <w:rPr>
          <w:rtl/>
          <w:lang w:bidi="fa-IR"/>
        </w:rPr>
        <w:t xml:space="preserve"> هُوَ</w:t>
      </w:r>
      <w:r>
        <w:rPr>
          <w:rtl/>
          <w:lang w:bidi="fa-IR"/>
        </w:rPr>
        <w:t>؟</w:t>
      </w:r>
      <w:r w:rsidRPr="00C9040A">
        <w:rPr>
          <w:rtl/>
          <w:lang w:bidi="fa-IR"/>
        </w:rPr>
        <w:t xml:space="preserve"> قَالَ : « يَحْمَدُ اللهَ عَلى كُلِّ نِعْمَةٍ </w:t>
      </w:r>
      <w:r w:rsidR="006C577F" w:rsidRPr="006C577F">
        <w:rPr>
          <w:rStyle w:val="libFootnotenumChar"/>
          <w:rtl/>
        </w:rPr>
        <w:t>(4)</w:t>
      </w:r>
      <w:r w:rsidRPr="00C9040A">
        <w:rPr>
          <w:rtl/>
          <w:lang w:bidi="fa-IR"/>
        </w:rPr>
        <w:t xml:space="preserve"> عَلَيْهِ فِي أَهْلٍ وَمَالٍ ، وَإِنْ كَانَ فِيمَا أَنْعَمَ </w:t>
      </w:r>
      <w:r w:rsidR="006C577F" w:rsidRPr="006C577F">
        <w:rPr>
          <w:rStyle w:val="libFootnotenumChar"/>
          <w:rtl/>
        </w:rPr>
        <w:t>(5)</w:t>
      </w:r>
      <w:r w:rsidRPr="00C9040A">
        <w:rPr>
          <w:rtl/>
          <w:lang w:bidi="fa-IR"/>
        </w:rPr>
        <w:t xml:space="preserve"> عَلَيْهِ فِي مَالِهِ حَقٌّ أَدَّاهُ ، وَمِنْهُ قَوْلُهُ </w:t>
      </w:r>
      <w:r w:rsidR="006C577F" w:rsidRPr="006C577F">
        <w:rPr>
          <w:rStyle w:val="libFootnotenumChar"/>
          <w:rtl/>
        </w:rPr>
        <w:t>(6)</w:t>
      </w:r>
      <w:r w:rsidRPr="005B567D">
        <w:rPr>
          <w:rStyle w:val="libFootnotenumChar"/>
          <w:rtl/>
        </w:rPr>
        <w:t xml:space="preserve"> </w:t>
      </w:r>
      <w:r w:rsidRPr="00C9040A">
        <w:rPr>
          <w:rtl/>
          <w:lang w:bidi="fa-IR"/>
        </w:rPr>
        <w:t xml:space="preserve">جَلَّ وَعَزَّ : </w:t>
      </w:r>
      <w:r w:rsidRPr="0003660B">
        <w:rPr>
          <w:rStyle w:val="libAlaemChar"/>
          <w:rtl/>
        </w:rPr>
        <w:t>(</w:t>
      </w:r>
      <w:r w:rsidRPr="006A2246">
        <w:rPr>
          <w:rStyle w:val="libAieChar"/>
          <w:rtl/>
        </w:rPr>
        <w:t xml:space="preserve"> سُبْحانَ الَّذِي سَخَّرَ لَنا هذا وَما كُنّا لَهُ مُقْرِنِينَ </w:t>
      </w:r>
      <w:r w:rsidRPr="0003660B">
        <w:rPr>
          <w:rStyle w:val="libAlaemChar"/>
          <w:rtl/>
        </w:rPr>
        <w:t>)</w:t>
      </w:r>
      <w:r w:rsidRPr="00C9040A">
        <w:rPr>
          <w:rtl/>
          <w:lang w:bidi="fa-IR"/>
        </w:rPr>
        <w:t xml:space="preserve"> </w:t>
      </w:r>
      <w:r w:rsidR="006C577F" w:rsidRPr="006C577F">
        <w:rPr>
          <w:rStyle w:val="libFootnotenumChar"/>
          <w:rtl/>
        </w:rPr>
        <w:t>(7)</w:t>
      </w:r>
      <w:r w:rsidRPr="00C9040A">
        <w:rPr>
          <w:rtl/>
          <w:lang w:bidi="fa-IR"/>
        </w:rPr>
        <w:t xml:space="preserve"> وَمِنْهُ قَوْلُهُ تَعَالى </w:t>
      </w:r>
      <w:r w:rsidR="006C577F" w:rsidRPr="006C577F">
        <w:rPr>
          <w:rStyle w:val="libFootnotenumChar"/>
          <w:rtl/>
        </w:rPr>
        <w:t>(8)</w:t>
      </w:r>
      <w:r w:rsidRPr="00C9040A">
        <w:rPr>
          <w:rtl/>
          <w:lang w:bidi="fa-IR"/>
        </w:rPr>
        <w:t xml:space="preserve"> : </w:t>
      </w:r>
      <w:r w:rsidRPr="0003660B">
        <w:rPr>
          <w:rStyle w:val="libAlaemChar"/>
          <w:rtl/>
        </w:rPr>
        <w:t>(</w:t>
      </w:r>
      <w:r w:rsidRPr="006A2246">
        <w:rPr>
          <w:rStyle w:val="libAieChar"/>
          <w:rtl/>
        </w:rPr>
        <w:t xml:space="preserve"> رَبِّ أَنْزِلْنِي مُنْزَلاً مُبارَكاً وَأَنْتَ خَيْرُ الْمُنْزِلِينَ </w:t>
      </w:r>
      <w:r w:rsidRPr="0003660B">
        <w:rPr>
          <w:rStyle w:val="libAlaemChar"/>
          <w:rtl/>
        </w:rPr>
        <w:t>)</w:t>
      </w:r>
      <w:r w:rsidRPr="00C9040A">
        <w:rPr>
          <w:rtl/>
          <w:lang w:bidi="fa-IR"/>
        </w:rPr>
        <w:t xml:space="preserve"> </w:t>
      </w:r>
      <w:r w:rsidR="006C577F" w:rsidRPr="006C577F">
        <w:rPr>
          <w:rStyle w:val="libFootnotenumChar"/>
          <w:rtl/>
        </w:rPr>
        <w:t>(9)</w:t>
      </w:r>
      <w:r w:rsidRPr="00C9040A">
        <w:rPr>
          <w:rtl/>
          <w:lang w:bidi="fa-IR"/>
        </w:rPr>
        <w:t xml:space="preserve"> وَقَوْلُهُ : </w:t>
      </w:r>
      <w:r w:rsidRPr="0003660B">
        <w:rPr>
          <w:rStyle w:val="libAlaemChar"/>
          <w:rtl/>
        </w:rPr>
        <w:t>(</w:t>
      </w:r>
      <w:r w:rsidRPr="006A2246">
        <w:rPr>
          <w:rStyle w:val="libAieChar"/>
          <w:rtl/>
        </w:rPr>
        <w:t xml:space="preserve"> رَبِّ أَدْخِلْنِي مُدْخَلَ صِدْقٍ وَأَخْرِجْنِي مُخْرَجَ صِدْقٍ وَاجْعَلْ لِي مِنْ لَدُنْكَ سُلْطاناً نَصِيراً</w:t>
      </w:r>
      <w:r w:rsidRPr="0003660B">
        <w:rPr>
          <w:rStyle w:val="libAlaemChar"/>
          <w:rtl/>
        </w:rPr>
        <w:t>)</w:t>
      </w:r>
      <w:r w:rsidR="006C577F" w:rsidRPr="006C577F">
        <w:rPr>
          <w:rStyle w:val="libFootnotenumChar"/>
          <w:rtl/>
        </w:rPr>
        <w:t>(10)</w:t>
      </w:r>
      <w:r w:rsidRPr="00C9040A">
        <w:rPr>
          <w:rtl/>
          <w:lang w:bidi="fa-IR"/>
        </w:rPr>
        <w:t>»</w:t>
      </w:r>
      <w:r>
        <w:rPr>
          <w:rtl/>
          <w:lang w:bidi="fa-IR"/>
        </w:rPr>
        <w:t>.</w:t>
      </w:r>
      <w:r w:rsidR="006C577F" w:rsidRPr="006C577F">
        <w:rPr>
          <w:rStyle w:val="libFootnotenumChar"/>
          <w:rtl/>
        </w:rPr>
        <w:t>(11)</w:t>
      </w:r>
      <w:r w:rsidRPr="00C9040A">
        <w:rPr>
          <w:rtl/>
          <w:lang w:bidi="fa-IR"/>
        </w:rPr>
        <w:t xml:space="preserve"> ‌</w:t>
      </w:r>
    </w:p>
    <w:p w:rsidR="008A74EB" w:rsidRPr="00C9040A" w:rsidRDefault="008A74EB" w:rsidP="008A74EB">
      <w:pPr>
        <w:pStyle w:val="libNormal"/>
        <w:rPr>
          <w:rtl/>
          <w:lang w:bidi="fa-IR"/>
        </w:rPr>
      </w:pPr>
      <w:r w:rsidRPr="000F35FB">
        <w:rPr>
          <w:rtl/>
        </w:rPr>
        <w:t>1727</w:t>
      </w:r>
      <w:r w:rsidRPr="00261CB0">
        <w:rPr>
          <w:rStyle w:val="libBold2Char"/>
          <w:rtl/>
        </w:rPr>
        <w:t xml:space="preserve"> / 13.</w:t>
      </w:r>
      <w:r w:rsidRPr="00C9040A">
        <w:rPr>
          <w:rtl/>
          <w:lang w:bidi="fa-IR"/>
        </w:rPr>
        <w:t xml:space="preserve"> مُحَمَّدُ بْنُ يَحْيى ، عَنْ أَحْمَدَ بْنِ مُحَمَّدِ بْنِ عِ</w:t>
      </w:r>
      <w:r w:rsidR="00152319">
        <w:rPr>
          <w:rtl/>
          <w:lang w:bidi="fa-IR"/>
        </w:rPr>
        <w:t>يسى ، عَنْ مُعَمَّرِ بْنِ خَل</w:t>
      </w:r>
      <w:r w:rsidR="00152319">
        <w:rPr>
          <w:rFonts w:hint="cs"/>
          <w:rtl/>
          <w:lang w:bidi="fa-IR"/>
        </w:rPr>
        <w:t>َّ</w:t>
      </w:r>
      <w:r w:rsidR="00152319">
        <w:rPr>
          <w:rtl/>
          <w:lang w:bidi="fa-IR"/>
        </w:rPr>
        <w:t>ا</w:t>
      </w:r>
      <w:r w:rsidRPr="00C9040A">
        <w:rPr>
          <w:rtl/>
          <w:lang w:bidi="fa-IR"/>
        </w:rPr>
        <w:t>دٍ ، قَالَ :</w:t>
      </w:r>
    </w:p>
    <w:p w:rsidR="008A74EB" w:rsidRPr="00C9040A" w:rsidRDefault="008A74EB" w:rsidP="008A74EB">
      <w:pPr>
        <w:pStyle w:val="libNormal"/>
        <w:rPr>
          <w:rtl/>
          <w:lang w:bidi="fa-IR"/>
        </w:rPr>
      </w:pPr>
      <w:r w:rsidRPr="00C9040A">
        <w:rPr>
          <w:rtl/>
          <w:lang w:bidi="fa-IR"/>
        </w:rPr>
        <w:t>سَمِعْتُ أَبَا الْحَسَنِ</w:t>
      </w:r>
      <w:r>
        <w:rPr>
          <w:rtl/>
          <w:lang w:bidi="fa-IR"/>
        </w:rPr>
        <w:t xml:space="preserve"> </w:t>
      </w:r>
      <w:r w:rsidR="0084262C">
        <w:rPr>
          <w:rtl/>
          <w:lang w:bidi="fa-IR"/>
        </w:rPr>
        <w:t>-</w:t>
      </w:r>
      <w:r>
        <w:rPr>
          <w:rtl/>
          <w:lang w:bidi="fa-IR"/>
        </w:rPr>
        <w:t xml:space="preserve"> </w:t>
      </w:r>
      <w:r w:rsidRPr="00C9040A">
        <w:rPr>
          <w:rtl/>
          <w:lang w:bidi="fa-IR"/>
        </w:rPr>
        <w:t>صَلَوَاتُ اللهِ عَلَيْهِ</w:t>
      </w:r>
      <w:r>
        <w:rPr>
          <w:rtl/>
          <w:lang w:bidi="fa-IR"/>
        </w:rPr>
        <w:t xml:space="preserve"> </w:t>
      </w:r>
      <w:r w:rsidR="0084262C">
        <w:rPr>
          <w:rtl/>
          <w:lang w:bidi="fa-IR"/>
        </w:rPr>
        <w:t>-</w:t>
      </w:r>
      <w:r>
        <w:rPr>
          <w:rtl/>
          <w:lang w:bidi="fa-IR"/>
        </w:rPr>
        <w:t xml:space="preserve"> </w:t>
      </w:r>
      <w:r w:rsidRPr="00C9040A">
        <w:rPr>
          <w:rtl/>
          <w:lang w:bidi="fa-IR"/>
        </w:rPr>
        <w:t>يَقُولُ : « مَنْ حَمِدَ اللهَ عَلَى النِّعْمَةِ فَقَدْ‌</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 ج ، ز ، ص ، ض ، بر ، بس » والخصال </w:t>
      </w:r>
      <w:r w:rsidR="008A74EB">
        <w:rPr>
          <w:rtl/>
        </w:rPr>
        <w:t xml:space="preserve">: </w:t>
      </w:r>
      <w:r w:rsidR="0084262C">
        <w:rPr>
          <w:rtl/>
        </w:rPr>
        <w:t>-</w:t>
      </w:r>
      <w:r w:rsidR="008A74EB" w:rsidRPr="00C9040A">
        <w:rPr>
          <w:rtl/>
        </w:rPr>
        <w:t xml:space="preserve"> « عليها »</w:t>
      </w:r>
      <w:r w:rsidR="008A74EB">
        <w:rPr>
          <w:rtl/>
        </w:rPr>
        <w:t>.</w:t>
      </w:r>
    </w:p>
    <w:p w:rsidR="008A74EB" w:rsidRPr="004A4E41" w:rsidRDefault="006C577F" w:rsidP="004A4E41">
      <w:pPr>
        <w:pStyle w:val="libFootnote0"/>
        <w:rPr>
          <w:rStyle w:val="libFootnote0Char"/>
          <w:rtl/>
        </w:rPr>
      </w:pPr>
      <w:r>
        <w:rPr>
          <w:rtl/>
        </w:rPr>
        <w:t>(2).</w:t>
      </w:r>
      <w:r w:rsidR="008A74EB">
        <w:rPr>
          <w:rtl/>
        </w:rPr>
        <w:t xml:space="preserve"> </w:t>
      </w:r>
      <w:r w:rsidR="008A74EB" w:rsidRPr="00993B55">
        <w:rPr>
          <w:rStyle w:val="libFootnoteBoldChar"/>
          <w:rtl/>
        </w:rPr>
        <w:t>الخصال</w:t>
      </w:r>
      <w:r w:rsidR="008A74EB" w:rsidRPr="00C9040A">
        <w:rPr>
          <w:rtl/>
        </w:rPr>
        <w:t xml:space="preserve"> ، ص 21 ، باب الواحد ، ح 73 ، بسنده عن عمر بن يزيد </w:t>
      </w:r>
      <w:r w:rsidR="00152319">
        <w:rPr>
          <w:rFonts w:hint="cs"/>
          <w:rtl/>
        </w:rPr>
        <w:t>.</w:t>
      </w:r>
      <w:r w:rsidR="008A74EB" w:rsidRPr="00993B55">
        <w:rPr>
          <w:rStyle w:val="libFootnoteBoldChar"/>
          <w:rtl/>
        </w:rPr>
        <w:t>الوافي</w:t>
      </w:r>
      <w:r w:rsidR="008A74EB" w:rsidRPr="00C9040A">
        <w:rPr>
          <w:rtl/>
        </w:rPr>
        <w:t xml:space="preserve"> ، ج 4 ، ص 348 ، ح 2093 ؛ </w:t>
      </w:r>
      <w:r w:rsidR="008A74EB" w:rsidRPr="00993B55">
        <w:rPr>
          <w:rStyle w:val="libFootnoteBoldChar"/>
          <w:rtl/>
        </w:rPr>
        <w:t>البحار</w:t>
      </w:r>
      <w:r w:rsidR="008A74EB" w:rsidRPr="00C9040A">
        <w:rPr>
          <w:rtl/>
        </w:rPr>
        <w:t xml:space="preserve"> ، ج 71 ، ص 40 ، ح 30.</w:t>
      </w:r>
    </w:p>
    <w:tbl>
      <w:tblPr>
        <w:tblStyle w:val="TableGrid"/>
        <w:bidiVisual/>
        <w:tblW w:w="0" w:type="auto"/>
        <w:tblLook w:val="04A0" w:firstRow="1" w:lastRow="0" w:firstColumn="1" w:lastColumn="0" w:noHBand="0" w:noVBand="1"/>
      </w:tblPr>
      <w:tblGrid>
        <w:gridCol w:w="4006"/>
        <w:gridCol w:w="4006"/>
      </w:tblGrid>
      <w:tr w:rsidR="000248CF" w:rsidTr="000248CF">
        <w:tc>
          <w:tcPr>
            <w:tcW w:w="4006" w:type="dxa"/>
          </w:tcPr>
          <w:p w:rsidR="000248CF" w:rsidRDefault="000248CF" w:rsidP="004A4E41">
            <w:pPr>
              <w:pStyle w:val="libFootnote0"/>
              <w:rPr>
                <w:rtl/>
              </w:rPr>
            </w:pPr>
            <w:r>
              <w:rPr>
                <w:rtl/>
              </w:rPr>
              <w:t>(3).</w:t>
            </w:r>
            <w:r w:rsidRPr="00C9040A">
              <w:rPr>
                <w:rtl/>
              </w:rPr>
              <w:t xml:space="preserve"> في « ج ، ف » : « وما »</w:t>
            </w:r>
            <w:r>
              <w:rPr>
                <w:rtl/>
              </w:rPr>
              <w:t>.</w:t>
            </w:r>
          </w:p>
        </w:tc>
        <w:tc>
          <w:tcPr>
            <w:tcW w:w="4006" w:type="dxa"/>
          </w:tcPr>
          <w:p w:rsidR="000248CF" w:rsidRDefault="000248CF" w:rsidP="004A4E41">
            <w:pPr>
              <w:pStyle w:val="libFootnote0"/>
              <w:rPr>
                <w:rtl/>
              </w:rPr>
            </w:pPr>
            <w:r>
              <w:rPr>
                <w:rtl/>
              </w:rPr>
              <w:t>(4).</w:t>
            </w:r>
            <w:r w:rsidRPr="00C9040A">
              <w:rPr>
                <w:rtl/>
              </w:rPr>
              <w:t xml:space="preserve"> في « ف » : + « أنعم »</w:t>
            </w:r>
            <w:r>
              <w:rPr>
                <w:rtl/>
              </w:rPr>
              <w:t>.</w:t>
            </w:r>
          </w:p>
        </w:tc>
      </w:tr>
      <w:tr w:rsidR="00DB2A90" w:rsidTr="00DB2A90">
        <w:tc>
          <w:tcPr>
            <w:tcW w:w="4006" w:type="dxa"/>
          </w:tcPr>
          <w:p w:rsidR="00DB2A90" w:rsidRDefault="00DB2A90" w:rsidP="004A4E41">
            <w:pPr>
              <w:pStyle w:val="libFootnote0"/>
              <w:rPr>
                <w:rtl/>
                <w:lang w:bidi="fa-IR"/>
              </w:rPr>
            </w:pPr>
            <w:r>
              <w:rPr>
                <w:rtl/>
              </w:rPr>
              <w:t>(5).</w:t>
            </w:r>
            <w:r w:rsidRPr="00C9040A">
              <w:rPr>
                <w:rtl/>
              </w:rPr>
              <w:t xml:space="preserve"> في « ف » وحاشية « بف » : + « الله »</w:t>
            </w:r>
            <w:r>
              <w:rPr>
                <w:rtl/>
              </w:rPr>
              <w:t>.</w:t>
            </w:r>
          </w:p>
        </w:tc>
        <w:tc>
          <w:tcPr>
            <w:tcW w:w="4006" w:type="dxa"/>
          </w:tcPr>
          <w:p w:rsidR="00DB2A90" w:rsidRDefault="00DB2A90" w:rsidP="004A4E41">
            <w:pPr>
              <w:pStyle w:val="libFootnote0"/>
              <w:rPr>
                <w:rtl/>
                <w:lang w:bidi="fa-IR"/>
              </w:rPr>
            </w:pPr>
            <w:r>
              <w:rPr>
                <w:rtl/>
              </w:rPr>
              <w:t xml:space="preserve">(6). </w:t>
            </w:r>
            <w:r w:rsidRPr="00C9040A">
              <w:rPr>
                <w:rtl/>
              </w:rPr>
              <w:t>في البحار : « قول الله »</w:t>
            </w:r>
            <w:r>
              <w:rPr>
                <w:rtl/>
              </w:rPr>
              <w:t>.</w:t>
            </w:r>
          </w:p>
        </w:tc>
      </w:tr>
    </w:tbl>
    <w:p w:rsidR="008A74EB" w:rsidRPr="00C9040A" w:rsidRDefault="006C577F" w:rsidP="004A4E41">
      <w:pPr>
        <w:pStyle w:val="libFootnote0"/>
        <w:rPr>
          <w:rtl/>
          <w:lang w:bidi="fa-IR"/>
        </w:rPr>
      </w:pPr>
      <w:r>
        <w:rPr>
          <w:rtl/>
        </w:rPr>
        <w:t>(7).</w:t>
      </w:r>
      <w:r w:rsidR="008A74EB" w:rsidRPr="00C9040A">
        <w:rPr>
          <w:rtl/>
        </w:rPr>
        <w:t xml:space="preserve"> الزخرف (43) : 13.</w:t>
      </w:r>
    </w:p>
    <w:p w:rsidR="008A74EB" w:rsidRPr="00C9040A" w:rsidRDefault="006C577F" w:rsidP="004A4E41">
      <w:pPr>
        <w:pStyle w:val="libFootnote0"/>
        <w:rPr>
          <w:rtl/>
          <w:lang w:bidi="fa-IR"/>
        </w:rPr>
      </w:pPr>
      <w:r>
        <w:rPr>
          <w:rtl/>
        </w:rPr>
        <w:t>(8).</w:t>
      </w:r>
      <w:r w:rsidR="008A74EB" w:rsidRPr="00C9040A">
        <w:rPr>
          <w:rtl/>
        </w:rPr>
        <w:t xml:space="preserve"> في « ض » ومرآة العقول والبحار : + « </w:t>
      </w:r>
      <w:r w:rsidR="008A74EB" w:rsidRPr="00AC2E2F">
        <w:rPr>
          <w:rStyle w:val="libFootnoteAlaemChar"/>
          <w:rtl/>
        </w:rPr>
        <w:t>(</w:t>
      </w:r>
      <w:r w:rsidR="008A74EB" w:rsidRPr="00883DD5">
        <w:rPr>
          <w:rStyle w:val="libFootnoteAieChar"/>
          <w:rFonts w:hint="cs"/>
          <w:rtl/>
        </w:rPr>
        <w:t xml:space="preserve"> </w:t>
      </w:r>
      <w:r w:rsidR="008A74EB" w:rsidRPr="00883DD5">
        <w:rPr>
          <w:rStyle w:val="libFootnoteAieChar"/>
          <w:rtl/>
        </w:rPr>
        <w:t>رَبِّ إِنِّي ل</w:t>
      </w:r>
      <w:r w:rsidR="004A1649">
        <w:rPr>
          <w:rStyle w:val="libFootnoteAieChar"/>
          <w:rFonts w:hint="cs"/>
          <w:rtl/>
        </w:rPr>
        <w:t>َ</w:t>
      </w:r>
      <w:r w:rsidR="008A74EB" w:rsidRPr="00883DD5">
        <w:rPr>
          <w:rStyle w:val="libFootnoteAieChar"/>
          <w:rtl/>
        </w:rPr>
        <w:t>م</w:t>
      </w:r>
      <w:r w:rsidR="004A1649">
        <w:rPr>
          <w:rStyle w:val="libFootnoteAieChar"/>
          <w:rFonts w:hint="cs"/>
          <w:rtl/>
        </w:rPr>
        <w:t>َ</w:t>
      </w:r>
      <w:r w:rsidR="008A74EB" w:rsidRPr="00883DD5">
        <w:rPr>
          <w:rStyle w:val="libFootnoteAieChar"/>
          <w:rtl/>
        </w:rPr>
        <w:t>ا أَنْزَلْتَ إِلَيَّ مِنْ خَيْرٍ فَقِيرٌ</w:t>
      </w:r>
      <w:r w:rsidR="008A74EB" w:rsidRPr="00883DD5">
        <w:rPr>
          <w:rStyle w:val="libFootnoteAieChar"/>
          <w:rFonts w:hint="cs"/>
          <w:rtl/>
        </w:rPr>
        <w:t xml:space="preserve"> </w:t>
      </w:r>
      <w:r w:rsidR="008A74EB" w:rsidRPr="00AC2E2F">
        <w:rPr>
          <w:rStyle w:val="libFootnoteAlaemChar"/>
          <w:rtl/>
        </w:rPr>
        <w:t>)</w:t>
      </w:r>
      <w:r w:rsidR="008A74EB" w:rsidRPr="00C9040A">
        <w:rPr>
          <w:rtl/>
        </w:rPr>
        <w:t xml:space="preserve"> ومنه قوله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المؤمنون (23) : 29.</w:t>
      </w:r>
    </w:p>
    <w:p w:rsidR="008A74EB" w:rsidRPr="00C9040A" w:rsidRDefault="006C577F" w:rsidP="004A4E41">
      <w:pPr>
        <w:pStyle w:val="libFootnote0"/>
        <w:rPr>
          <w:rtl/>
          <w:lang w:bidi="fa-IR"/>
        </w:rPr>
      </w:pPr>
      <w:r>
        <w:rPr>
          <w:rtl/>
        </w:rPr>
        <w:t>(10).</w:t>
      </w:r>
      <w:r w:rsidR="008A74EB" w:rsidRPr="00C9040A">
        <w:rPr>
          <w:rtl/>
        </w:rPr>
        <w:t xml:space="preserve"> الإسراء (17) : 80. وفي الوافي : « يعني ومن الحقّ الذي يجب أداؤه فيما أنعم الله عليه أن يقول عند ركوب الفلك أو الدابّة اللتين أنعم الله بهما عليه ما قاله سبحانه تعليماً لعباده وإرشاداً لهم حيث قال عزّوجلّ : </w:t>
      </w:r>
      <w:r w:rsidR="008A74EB" w:rsidRPr="00AC2E2F">
        <w:rPr>
          <w:rStyle w:val="libFootnoteAlaemChar"/>
          <w:rtl/>
        </w:rPr>
        <w:t>(</w:t>
      </w:r>
      <w:r w:rsidR="008A74EB" w:rsidRPr="00883DD5">
        <w:rPr>
          <w:rStyle w:val="libFootnoteAieChar"/>
          <w:rFonts w:hint="cs"/>
          <w:rtl/>
        </w:rPr>
        <w:t xml:space="preserve"> </w:t>
      </w:r>
      <w:r w:rsidR="008A74EB" w:rsidRPr="00883DD5">
        <w:rPr>
          <w:rStyle w:val="libFootnoteAieChar"/>
          <w:rtl/>
        </w:rPr>
        <w:t>وَجَعَلَ لَكُمْ مِنَ الْفُلْكِ وَالْأَنْعامِ ما تَرْكَبُونَ</w:t>
      </w:r>
      <w:r w:rsidR="004A1649">
        <w:rPr>
          <w:rStyle w:val="libFootnoteAieChar"/>
          <w:rFonts w:hint="cs"/>
          <w:rtl/>
        </w:rPr>
        <w:t xml:space="preserve"> *</w:t>
      </w:r>
      <w:r w:rsidR="008A74EB" w:rsidRPr="00883DD5">
        <w:rPr>
          <w:rStyle w:val="libFootnoteAieChar"/>
          <w:rtl/>
        </w:rPr>
        <w:t xml:space="preserve"> لِتَسْتَوُوا عَل</w:t>
      </w:r>
      <w:r w:rsidR="004A1649">
        <w:rPr>
          <w:rStyle w:val="libFootnoteAieChar"/>
          <w:rFonts w:hint="cs"/>
          <w:rtl/>
        </w:rPr>
        <w:t>َ</w:t>
      </w:r>
      <w:r w:rsidR="008A74EB" w:rsidRPr="00883DD5">
        <w:rPr>
          <w:rStyle w:val="libFootnoteAieChar"/>
          <w:rtl/>
        </w:rPr>
        <w:t>ى ظُهُورِهِ ثُمَّ تَذْكُرُوا نِعْمَةَ رَبِّكُمْ إِذَا اسْتَوَيْتُمْ عَلَيْهِ وَتَقُولُوا سُبْحانَ الَّذِي سَخَّرَ لَنا هذا وَما كُنّا لَهُ مُقْرِنِينَ</w:t>
      </w:r>
      <w:r w:rsidR="008A74EB" w:rsidRPr="00883DD5">
        <w:rPr>
          <w:rStyle w:val="libFootnoteAieChar"/>
          <w:rFonts w:hint="cs"/>
          <w:rtl/>
        </w:rPr>
        <w:t xml:space="preserve"> </w:t>
      </w:r>
      <w:r w:rsidR="008A74EB" w:rsidRPr="00AC2E2F">
        <w:rPr>
          <w:rStyle w:val="libFootnoteAlaemChar"/>
          <w:rtl/>
        </w:rPr>
        <w:t>)</w:t>
      </w:r>
      <w:r w:rsidR="008A74EB" w:rsidRPr="00C9040A">
        <w:rPr>
          <w:rtl/>
        </w:rPr>
        <w:t xml:space="preserve"> [ الزخرف (43) : 12</w:t>
      </w:r>
      <w:r w:rsidR="008A74EB">
        <w:rPr>
          <w:rtl/>
        </w:rPr>
        <w:t xml:space="preserve"> </w:t>
      </w:r>
      <w:r w:rsidR="0084262C">
        <w:rPr>
          <w:rtl/>
        </w:rPr>
        <w:t>-</w:t>
      </w:r>
      <w:r w:rsidR="008A74EB">
        <w:rPr>
          <w:rtl/>
        </w:rPr>
        <w:t xml:space="preserve"> </w:t>
      </w:r>
      <w:r w:rsidR="008A74EB" w:rsidRPr="00C9040A">
        <w:rPr>
          <w:rtl/>
        </w:rPr>
        <w:t>13 ]</w:t>
      </w:r>
      <w:r w:rsidR="008A74EB">
        <w:rPr>
          <w:rtl/>
        </w:rPr>
        <w:t>.</w:t>
      </w:r>
      <w:r w:rsidR="008A74EB" w:rsidRPr="00C9040A">
        <w:rPr>
          <w:rtl/>
        </w:rPr>
        <w:t xml:space="preserve"> وأن يقول عند نزوله من إحداهما : </w:t>
      </w:r>
      <w:r w:rsidR="008A74EB" w:rsidRPr="00AC2E2F">
        <w:rPr>
          <w:rStyle w:val="libFootnoteAlaemChar"/>
          <w:rtl/>
        </w:rPr>
        <w:t>(</w:t>
      </w:r>
      <w:r w:rsidR="008A74EB" w:rsidRPr="00883DD5">
        <w:rPr>
          <w:rStyle w:val="libFootnoteAieChar"/>
          <w:rFonts w:hint="cs"/>
          <w:rtl/>
        </w:rPr>
        <w:t xml:space="preserve"> </w:t>
      </w:r>
      <w:r w:rsidR="008A74EB" w:rsidRPr="00883DD5">
        <w:rPr>
          <w:rStyle w:val="libFootnoteAieChar"/>
          <w:rtl/>
        </w:rPr>
        <w:t>رَبِّ أَنْزِلْنِي</w:t>
      </w:r>
      <w:r w:rsidR="008A74EB" w:rsidRPr="00883DD5">
        <w:rPr>
          <w:rStyle w:val="libFootnoteAieChar"/>
          <w:rFonts w:hint="cs"/>
          <w:rtl/>
        </w:rPr>
        <w:t xml:space="preserve"> </w:t>
      </w:r>
      <w:r w:rsidR="008A74EB" w:rsidRPr="00AC2E2F">
        <w:rPr>
          <w:rStyle w:val="libFootnoteAlaemChar"/>
          <w:rtl/>
        </w:rPr>
        <w:t>)</w:t>
      </w:r>
      <w:r w:rsidR="008A74EB" w:rsidRPr="00C9040A">
        <w:rPr>
          <w:rtl/>
        </w:rPr>
        <w:t xml:space="preserve"> الآية. وأن يقول عند دخوله الدار أو البيت : </w:t>
      </w:r>
      <w:r w:rsidR="008A74EB" w:rsidRPr="00AC2E2F">
        <w:rPr>
          <w:rStyle w:val="libFootnoteAlaemChar"/>
          <w:rtl/>
        </w:rPr>
        <w:t>(</w:t>
      </w:r>
      <w:r w:rsidR="008A74EB" w:rsidRPr="00883DD5">
        <w:rPr>
          <w:rStyle w:val="libFootnoteAieChar"/>
          <w:rFonts w:hint="cs"/>
          <w:rtl/>
        </w:rPr>
        <w:t xml:space="preserve"> </w:t>
      </w:r>
      <w:r w:rsidR="008A74EB" w:rsidRPr="00883DD5">
        <w:rPr>
          <w:rStyle w:val="libFootnoteAieChar"/>
          <w:rtl/>
        </w:rPr>
        <w:t>رَبِّ أَدْخِلْنِي</w:t>
      </w:r>
      <w:r w:rsidR="008A74EB" w:rsidRPr="00883DD5">
        <w:rPr>
          <w:rStyle w:val="libFootnoteAieChar"/>
          <w:rFonts w:hint="cs"/>
          <w:rtl/>
        </w:rPr>
        <w:t xml:space="preserve"> </w:t>
      </w:r>
      <w:r w:rsidR="008A74EB" w:rsidRPr="00AC2E2F">
        <w:rPr>
          <w:rStyle w:val="libFootnoteAlaemChar"/>
          <w:rtl/>
        </w:rPr>
        <w:t>)</w:t>
      </w:r>
      <w:r w:rsidR="008A74EB" w:rsidRPr="00C9040A">
        <w:rPr>
          <w:rtl/>
        </w:rPr>
        <w:t xml:space="preserve"> الآية »</w:t>
      </w:r>
      <w:r w:rsidR="008A74EB">
        <w:rPr>
          <w:rtl/>
        </w:rPr>
        <w:t>.</w:t>
      </w:r>
    </w:p>
    <w:p w:rsidR="008A74EB" w:rsidRPr="00C9040A" w:rsidRDefault="006C577F" w:rsidP="00AC2E2F">
      <w:pPr>
        <w:pStyle w:val="libFootnote0"/>
        <w:rPr>
          <w:rtl/>
          <w:lang w:bidi="fa-IR"/>
        </w:rPr>
      </w:pPr>
      <w:r>
        <w:rPr>
          <w:rtl/>
        </w:rPr>
        <w:t>(11).</w:t>
      </w:r>
      <w:r w:rsidR="008A74EB" w:rsidRPr="00C9040A">
        <w:rPr>
          <w:rtl/>
        </w:rPr>
        <w:t xml:space="preserve"> </w:t>
      </w:r>
      <w:r w:rsidR="008A74EB" w:rsidRPr="00993B55">
        <w:rPr>
          <w:rStyle w:val="libFootnoteBoldChar"/>
          <w:rtl/>
        </w:rPr>
        <w:t>تفسير العيّاشي</w:t>
      </w:r>
      <w:r w:rsidR="008A74EB" w:rsidRPr="00C9040A">
        <w:rPr>
          <w:rtl/>
        </w:rPr>
        <w:t xml:space="preserve"> ، ج 1 ، ص 67 ، ح 120 ، عن سماعة بن مهران ، عن أبي عبد الله </w:t>
      </w:r>
      <w:r w:rsidR="00117575" w:rsidRPr="00117575">
        <w:rPr>
          <w:rStyle w:val="libFootnoteAlaemChar"/>
          <w:rtl/>
        </w:rPr>
        <w:t>عليه‌السلام</w:t>
      </w:r>
      <w:r w:rsidR="008A74EB" w:rsidRPr="004A4E41">
        <w:rPr>
          <w:rtl/>
        </w:rPr>
        <w:t xml:space="preserve"> </w:t>
      </w:r>
      <w:r w:rsidR="008A74EB" w:rsidRPr="00C9040A">
        <w:rPr>
          <w:rtl/>
        </w:rPr>
        <w:t>، مع اختلاف يسير</w:t>
      </w:r>
      <w:r w:rsidR="004A1649">
        <w:rPr>
          <w:rFonts w:hint="cs"/>
          <w:rtl/>
        </w:rPr>
        <w:t>.</w:t>
      </w:r>
      <w:r w:rsidR="008A74EB" w:rsidRPr="00993B55">
        <w:rPr>
          <w:rStyle w:val="libFootnoteBoldChar"/>
          <w:rtl/>
        </w:rPr>
        <w:t>الوافي</w:t>
      </w:r>
      <w:r w:rsidR="008A74EB" w:rsidRPr="00C9040A">
        <w:rPr>
          <w:rtl/>
        </w:rPr>
        <w:t xml:space="preserve"> ، ج 4 ، ص 348 ، ح 2096 ؛ </w:t>
      </w:r>
      <w:r w:rsidR="008A74EB" w:rsidRPr="00993B55">
        <w:rPr>
          <w:rStyle w:val="libFootnoteBoldChar"/>
          <w:rtl/>
        </w:rPr>
        <w:t>البحار</w:t>
      </w:r>
      <w:r w:rsidR="008A74EB" w:rsidRPr="00C9040A">
        <w:rPr>
          <w:rtl/>
        </w:rPr>
        <w:t xml:space="preserve"> ، ج 71 ، ص 29 ، ح 7.</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شَكَرَهُ ، وَكَانَ الْحَمْدُ أَفْضَلَ مِنْ تِلْكَ النِّعْمَةِ »</w:t>
      </w:r>
      <w:r>
        <w:rPr>
          <w:rtl/>
          <w:lang w:bidi="fa-IR"/>
        </w:rPr>
        <w:t>.</w:t>
      </w:r>
      <w:r w:rsidRPr="00C9040A">
        <w:rPr>
          <w:rtl/>
          <w:lang w:bidi="fa-IR"/>
        </w:rPr>
        <w:t xml:space="preserve"> </w:t>
      </w:r>
      <w:r w:rsidR="006C577F" w:rsidRPr="006C577F">
        <w:rPr>
          <w:rStyle w:val="libFootnotenumChar"/>
          <w:rtl/>
        </w:rPr>
        <w:t>(1)</w:t>
      </w:r>
      <w:r w:rsidRPr="00C9040A">
        <w:rPr>
          <w:rtl/>
          <w:lang w:bidi="fa-IR"/>
        </w:rPr>
        <w:t>‌</w:t>
      </w:r>
    </w:p>
    <w:p w:rsidR="008A74EB" w:rsidRPr="00C9040A" w:rsidRDefault="008A74EB" w:rsidP="008A74EB">
      <w:pPr>
        <w:pStyle w:val="libNormal"/>
        <w:rPr>
          <w:rtl/>
          <w:lang w:bidi="fa-IR"/>
        </w:rPr>
      </w:pPr>
      <w:r w:rsidRPr="003B7500">
        <w:rPr>
          <w:rtl/>
        </w:rPr>
        <w:t>1728</w:t>
      </w:r>
      <w:r w:rsidRPr="00261CB0">
        <w:rPr>
          <w:rStyle w:val="libBold2Char"/>
          <w:rtl/>
        </w:rPr>
        <w:t xml:space="preserve"> / 14.</w:t>
      </w:r>
      <w:r w:rsidRPr="00C9040A">
        <w:rPr>
          <w:rtl/>
          <w:lang w:bidi="fa-IR"/>
        </w:rPr>
        <w:t xml:space="preserve"> مُحَمَّدٌ </w:t>
      </w:r>
      <w:r w:rsidR="006C577F" w:rsidRPr="006C577F">
        <w:rPr>
          <w:rStyle w:val="libFootnotenumChar"/>
          <w:rtl/>
        </w:rPr>
        <w:t>(2)</w:t>
      </w:r>
      <w:r w:rsidRPr="00C9040A">
        <w:rPr>
          <w:rtl/>
          <w:lang w:bidi="fa-IR"/>
        </w:rPr>
        <w:t xml:space="preserve"> ، عَنْ أَحْمَدَ </w:t>
      </w:r>
      <w:r w:rsidR="006C577F" w:rsidRPr="006C577F">
        <w:rPr>
          <w:rStyle w:val="libFootnotenumChar"/>
          <w:rtl/>
        </w:rPr>
        <w:t>(3)</w:t>
      </w:r>
      <w:r w:rsidRPr="00C9040A">
        <w:rPr>
          <w:rtl/>
          <w:lang w:bidi="fa-IR"/>
        </w:rPr>
        <w:t xml:space="preserve"> ، عَنْ عَلِيِّ بْنِ الْحَكَمِ ، عَنْ صَفْوَانَ الْجَمَّالِ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قَالَ لِي : « مَا أَنْعَمَ اللهُ عَلى عَبْدٍ بِنِعْمَةٍ</w:t>
      </w:r>
      <w:r>
        <w:rPr>
          <w:rtl/>
          <w:lang w:bidi="fa-IR"/>
        </w:rPr>
        <w:t xml:space="preserve"> </w:t>
      </w:r>
      <w:r w:rsidR="0084262C">
        <w:rPr>
          <w:rtl/>
          <w:lang w:bidi="fa-IR"/>
        </w:rPr>
        <w:t>-</w:t>
      </w:r>
      <w:r>
        <w:rPr>
          <w:rtl/>
          <w:lang w:bidi="fa-IR"/>
        </w:rPr>
        <w:t xml:space="preserve"> </w:t>
      </w:r>
      <w:r w:rsidRPr="00C9040A">
        <w:rPr>
          <w:rtl/>
          <w:lang w:bidi="fa-IR"/>
        </w:rPr>
        <w:t>صَغُرَتْ أَوْ كَبُرَتْ</w:t>
      </w:r>
      <w:r>
        <w:rPr>
          <w:rtl/>
          <w:lang w:bidi="fa-IR"/>
        </w:rPr>
        <w:t xml:space="preserve"> </w:t>
      </w:r>
      <w:r w:rsidR="0084262C">
        <w:rPr>
          <w:rtl/>
          <w:lang w:bidi="fa-IR"/>
        </w:rPr>
        <w:t>-</w:t>
      </w:r>
      <w:r>
        <w:rPr>
          <w:rtl/>
          <w:lang w:bidi="fa-IR"/>
        </w:rPr>
        <w:t xml:space="preserve"> </w:t>
      </w:r>
      <w:r w:rsidRPr="00C9040A">
        <w:rPr>
          <w:rtl/>
          <w:lang w:bidi="fa-IR"/>
        </w:rPr>
        <w:t>فَقَ</w:t>
      </w:r>
      <w:r w:rsidR="004A1649">
        <w:rPr>
          <w:rtl/>
          <w:lang w:bidi="fa-IR"/>
        </w:rPr>
        <w:t>الَ : " الْحَمْدُ لِلّهِ" إِل</w:t>
      </w:r>
      <w:r w:rsidR="004A1649">
        <w:rPr>
          <w:rFonts w:hint="cs"/>
          <w:rtl/>
          <w:lang w:bidi="fa-IR"/>
        </w:rPr>
        <w:t>َّ</w:t>
      </w:r>
      <w:r w:rsidR="004A1649">
        <w:rPr>
          <w:rtl/>
          <w:lang w:bidi="fa-IR"/>
        </w:rPr>
        <w:t>ا</w:t>
      </w:r>
      <w:r w:rsidRPr="00C9040A">
        <w:rPr>
          <w:rtl/>
          <w:lang w:bidi="fa-IR"/>
        </w:rPr>
        <w:t xml:space="preserve"> أَدّى شُكْرَهَا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3B7500">
        <w:rPr>
          <w:rtl/>
        </w:rPr>
        <w:t>1729</w:t>
      </w:r>
      <w:r w:rsidRPr="00261CB0">
        <w:rPr>
          <w:rStyle w:val="libBold2Char"/>
          <w:rtl/>
        </w:rPr>
        <w:t xml:space="preserve"> / 15.</w:t>
      </w:r>
      <w:r w:rsidRPr="00C9040A">
        <w:rPr>
          <w:rtl/>
          <w:lang w:bidi="fa-IR"/>
        </w:rPr>
        <w:t xml:space="preserve"> أَبُو عَلِيٍّ الْأَشْعَرِيُّ ، عَنْ عِيسَى بْنِ أَيُّوبَ ، عَنْ عَلِيِّ بْنِ مَهْزِيَارَ ، عَنِ الْقَاسِمِ بْنِ مُحَمَّدٍ ، عَنْ إِسْمَاعِيلَ بْنِ أَبِي الْحَسَنِ ، عَنْ رَجُلٍ :</w:t>
      </w:r>
    </w:p>
    <w:p w:rsidR="008A74EB" w:rsidRPr="00C9040A" w:rsidRDefault="008A74EB" w:rsidP="004A1649">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مَنْ أَنْعَمَ اللهُ عَلَيْهِ بِنِعْمَةٍ ، فَعَرَفَهَا </w:t>
      </w:r>
      <w:r w:rsidR="006C577F" w:rsidRPr="006C577F">
        <w:rPr>
          <w:rStyle w:val="libFootnotenumChar"/>
          <w:rtl/>
        </w:rPr>
        <w:t>(5)</w:t>
      </w:r>
      <w:r w:rsidRPr="00C9040A">
        <w:rPr>
          <w:rtl/>
          <w:lang w:bidi="fa-IR"/>
        </w:rPr>
        <w:t xml:space="preserve"> بِقَلْبِهِ </w:t>
      </w:r>
      <w:r w:rsidR="006C577F" w:rsidRPr="006C577F">
        <w:rPr>
          <w:rStyle w:val="libFootnotenumChar"/>
          <w:rtl/>
        </w:rPr>
        <w:t>(6)</w:t>
      </w:r>
      <w:r w:rsidR="004A1649" w:rsidRPr="00C9040A">
        <w:rPr>
          <w:rtl/>
          <w:lang w:bidi="fa-IR"/>
        </w:rPr>
        <w:t xml:space="preserve"> </w:t>
      </w:r>
      <w:r w:rsidRPr="00C9040A">
        <w:rPr>
          <w:rtl/>
          <w:lang w:bidi="fa-IR"/>
        </w:rPr>
        <w:t>، فَقَدْ أَدّى شُكْرَهَا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3B7500">
        <w:rPr>
          <w:rtl/>
        </w:rPr>
        <w:t>1730</w:t>
      </w:r>
      <w:r w:rsidRPr="00261CB0">
        <w:rPr>
          <w:rStyle w:val="libBold2Char"/>
          <w:rtl/>
        </w:rPr>
        <w:t xml:space="preserve"> / 16.</w:t>
      </w:r>
      <w:r w:rsidRPr="00C9040A">
        <w:rPr>
          <w:rtl/>
          <w:lang w:bidi="fa-IR"/>
        </w:rPr>
        <w:t xml:space="preserve"> عَلِيُّ بْنُ إِبْرَاهِيمَ ، عَنْ أَبِيهِ ، عَنِ ابْنِ أَبِي عُمَيْرٍ ، عَنْ مَنْصُورِ بْنِ يُونُسَ ، عَنْ أَبِي بَصِيرٍ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إِنَّ الرَّجُلَ مِنْكُمْ لَيَشْرَبُ </w:t>
      </w:r>
      <w:r w:rsidR="006C577F" w:rsidRPr="006C577F">
        <w:rPr>
          <w:rStyle w:val="libFootnotenumChar"/>
          <w:rtl/>
        </w:rPr>
        <w:t>(8)</w:t>
      </w:r>
      <w:r w:rsidRPr="00C9040A">
        <w:rPr>
          <w:rtl/>
          <w:lang w:bidi="fa-IR"/>
        </w:rPr>
        <w:t xml:space="preserve"> الشَّرْبَةَ مِنَ الْمَاءِ ، فَيُوجِبُ اللهُ لَهُ بِهَا الْجَنَّةَ »</w:t>
      </w:r>
      <w:r>
        <w:rPr>
          <w:rtl/>
          <w:lang w:bidi="fa-IR"/>
        </w:rPr>
        <w:t>.</w:t>
      </w:r>
    </w:p>
    <w:p w:rsidR="008A74EB" w:rsidRPr="00C9040A" w:rsidRDefault="008A74EB" w:rsidP="008A74EB">
      <w:pPr>
        <w:pStyle w:val="libNormal"/>
        <w:rPr>
          <w:rtl/>
          <w:lang w:bidi="fa-IR"/>
        </w:rPr>
      </w:pPr>
      <w:r w:rsidRPr="00C9040A">
        <w:rPr>
          <w:rtl/>
          <w:lang w:bidi="fa-IR"/>
        </w:rPr>
        <w:t xml:space="preserve">ثُمَّ قَالَ : « إِنَّهُ لَيَأْخُذُ الْإِنَاءَ ، فَيَضَعُهُ عَلى فِيهِ فَيُسَمِّي </w:t>
      </w:r>
      <w:r w:rsidR="006C577F" w:rsidRPr="006C577F">
        <w:rPr>
          <w:rStyle w:val="libFootnotenumChar"/>
          <w:rtl/>
        </w:rPr>
        <w:t>(9)</w:t>
      </w:r>
      <w:r w:rsidRPr="00C9040A">
        <w:rPr>
          <w:rtl/>
          <w:lang w:bidi="fa-IR"/>
        </w:rPr>
        <w:t xml:space="preserve"> ، ثُمَّ يَشْرَبُ ، فَيُنَحِّيهِ وَهُوَ‌</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w:t>
      </w:r>
      <w:r w:rsidR="008A74EB" w:rsidRPr="00993B55">
        <w:rPr>
          <w:rStyle w:val="libFootnoteBoldChar"/>
          <w:rtl/>
        </w:rPr>
        <w:t>ثواب الأعمال</w:t>
      </w:r>
      <w:r w:rsidR="008A74EB" w:rsidRPr="00C9040A">
        <w:rPr>
          <w:rtl/>
        </w:rPr>
        <w:t xml:space="preserve"> ، ص 216 ، ح 1 ، بسند آخر عن أبي عبد الله </w:t>
      </w:r>
      <w:r w:rsidR="00117575" w:rsidRPr="00117575">
        <w:rPr>
          <w:rStyle w:val="libFootnoteAlaemChar"/>
          <w:rtl/>
        </w:rPr>
        <w:t xml:space="preserve">عليه‌السلام </w:t>
      </w:r>
      <w:r w:rsidR="008A74EB" w:rsidRPr="00C9040A">
        <w:rPr>
          <w:rtl/>
        </w:rPr>
        <w:t>، مع اختلاف</w:t>
      </w:r>
      <w:r w:rsidR="004A1649">
        <w:rPr>
          <w:rFonts w:hint="cs"/>
          <w:rtl/>
        </w:rPr>
        <w:t>.</w:t>
      </w:r>
      <w:r w:rsidR="008A74EB" w:rsidRPr="00993B55">
        <w:rPr>
          <w:rStyle w:val="libFootnoteBoldChar"/>
          <w:rtl/>
        </w:rPr>
        <w:t>الوافي</w:t>
      </w:r>
      <w:r w:rsidR="008A74EB" w:rsidRPr="00C9040A">
        <w:rPr>
          <w:rtl/>
        </w:rPr>
        <w:t xml:space="preserve"> ، ج 4 ، ص 349 ، ح 2097 ؛ </w:t>
      </w:r>
      <w:r w:rsidR="008A74EB" w:rsidRPr="00993B55">
        <w:rPr>
          <w:rStyle w:val="libFootnoteBoldChar"/>
          <w:rtl/>
        </w:rPr>
        <w:t>البحار</w:t>
      </w:r>
      <w:r w:rsidR="008A74EB" w:rsidRPr="00C9040A">
        <w:rPr>
          <w:rtl/>
        </w:rPr>
        <w:t xml:space="preserve"> ، ج 71 ، ص 31 ، ح 8.</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هكذا في النسخ. وفي المطبوع وحاشية « بف » : + « بن يحيى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حاشية « بف » : + « بن محمّد »</w:t>
      </w:r>
      <w:r w:rsidR="008A74EB">
        <w:rPr>
          <w:rtl/>
        </w:rPr>
        <w:t>.</w:t>
      </w:r>
      <w:r w:rsidR="008A74EB" w:rsidRPr="00C9040A">
        <w:rPr>
          <w:rtl/>
        </w:rPr>
        <w:t xml:space="preserve"> وفي البحار : « محمّد بن أحمد » بدل « محمّد عن أحمد »</w:t>
      </w:r>
      <w:r w:rsidR="008A74EB">
        <w:rPr>
          <w:rtl/>
        </w:rPr>
        <w:t>.</w:t>
      </w:r>
      <w:r w:rsidR="008A74EB" w:rsidRPr="00C9040A">
        <w:rPr>
          <w:rtl/>
        </w:rPr>
        <w:t xml:space="preserve"> وهو سهو واضح.</w:t>
      </w:r>
    </w:p>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الخصال</w:t>
      </w:r>
      <w:r w:rsidR="008A74EB" w:rsidRPr="00C9040A">
        <w:rPr>
          <w:rtl/>
        </w:rPr>
        <w:t xml:space="preserve"> ، ص 299 ، باب الخمسة ، ح 72 ، بسند آخر عن عليّ بن الحسين </w:t>
      </w:r>
      <w:r w:rsidR="00117575" w:rsidRPr="00117575">
        <w:rPr>
          <w:rStyle w:val="libFootnoteAlaemChar"/>
          <w:rtl/>
        </w:rPr>
        <w:t>عليه‌السلام</w:t>
      </w:r>
      <w:r w:rsidR="008A74EB" w:rsidRPr="00C9040A">
        <w:rPr>
          <w:rtl/>
        </w:rPr>
        <w:t xml:space="preserve"> ، وفيه : « ومن قال : الحمد لله ، فقد أدّى شكر كلّ نعمة لله‌عزّ وجلّ عليه » مع زيادة في أوّله</w:t>
      </w:r>
      <w:r w:rsidR="001F4FFD">
        <w:rPr>
          <w:rFonts w:hint="cs"/>
          <w:rtl/>
        </w:rPr>
        <w:t>.</w:t>
      </w:r>
      <w:r w:rsidR="008A74EB" w:rsidRPr="00993B55">
        <w:rPr>
          <w:rStyle w:val="libFootnoteBoldChar"/>
          <w:rtl/>
        </w:rPr>
        <w:t>الوافي</w:t>
      </w:r>
      <w:r w:rsidR="008A74EB" w:rsidRPr="00C9040A">
        <w:rPr>
          <w:rtl/>
        </w:rPr>
        <w:t xml:space="preserve"> ، ج 4 ، ص 349 ، ح 2098 ؛ </w:t>
      </w:r>
      <w:r w:rsidR="008A74EB" w:rsidRPr="00993B55">
        <w:rPr>
          <w:rStyle w:val="libFootnoteBoldChar"/>
          <w:rtl/>
        </w:rPr>
        <w:t>البحار</w:t>
      </w:r>
      <w:r w:rsidR="008A74EB" w:rsidRPr="00C9040A">
        <w:rPr>
          <w:rtl/>
        </w:rPr>
        <w:t xml:space="preserve"> ، ج 71 ، ص 32 ، ح 9.</w:t>
      </w:r>
      <w:r w:rsidR="001F4FFD">
        <w:rPr>
          <w:rFonts w:hint="cs"/>
          <w:rtl/>
        </w:rPr>
        <w:t xml:space="preserve">                                              </w:t>
      </w:r>
      <w:r>
        <w:rPr>
          <w:rtl/>
        </w:rPr>
        <w:t>(5).</w:t>
      </w:r>
      <w:r w:rsidR="008A74EB" w:rsidRPr="00C9040A">
        <w:rPr>
          <w:rtl/>
        </w:rPr>
        <w:t xml:space="preserve"> في « ز » : « وعرفها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تحف العقول : + « وعلم أنّ المنعم عليه الله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تحف العقول</w:t>
      </w:r>
      <w:r w:rsidR="008A74EB" w:rsidRPr="00C9040A">
        <w:rPr>
          <w:rtl/>
        </w:rPr>
        <w:t xml:space="preserve"> ، ص 369 ، مع زيادة في آخره</w:t>
      </w:r>
      <w:r w:rsidR="001F4FFD">
        <w:rPr>
          <w:rFonts w:hint="cs"/>
          <w:rtl/>
        </w:rPr>
        <w:t>.</w:t>
      </w:r>
      <w:r w:rsidR="008A74EB" w:rsidRPr="00993B55">
        <w:rPr>
          <w:rStyle w:val="libFootnoteBoldChar"/>
          <w:rtl/>
        </w:rPr>
        <w:t>الوافي</w:t>
      </w:r>
      <w:r w:rsidR="008A74EB" w:rsidRPr="00C9040A">
        <w:rPr>
          <w:rtl/>
        </w:rPr>
        <w:t xml:space="preserve"> ، ج 4 ، ص 350 ، ح 2099 ؛ </w:t>
      </w:r>
      <w:r w:rsidR="008A74EB" w:rsidRPr="00993B55">
        <w:rPr>
          <w:rStyle w:val="libFootnoteBoldChar"/>
          <w:rtl/>
        </w:rPr>
        <w:t>البحار</w:t>
      </w:r>
      <w:r w:rsidR="008A74EB" w:rsidRPr="00C9040A">
        <w:rPr>
          <w:rtl/>
        </w:rPr>
        <w:t xml:space="preserve"> ، ج 71 ، ص 32 ، ح 10.</w:t>
      </w:r>
    </w:p>
    <w:p w:rsidR="008A74EB" w:rsidRPr="00C9040A" w:rsidRDefault="006C577F" w:rsidP="004A4E41">
      <w:pPr>
        <w:pStyle w:val="libFootnote0"/>
        <w:rPr>
          <w:rtl/>
          <w:lang w:bidi="fa-IR"/>
        </w:rPr>
      </w:pPr>
      <w:r>
        <w:rPr>
          <w:rtl/>
        </w:rPr>
        <w:t>(8).</w:t>
      </w:r>
      <w:r w:rsidR="008A74EB" w:rsidRPr="00C9040A">
        <w:rPr>
          <w:rtl/>
        </w:rPr>
        <w:t xml:space="preserve"> في « ف » : « يشرب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الوسائل : « ويسمّى »</w:t>
      </w:r>
      <w:r w:rsidR="008A74EB">
        <w:rPr>
          <w:rtl/>
        </w:rPr>
        <w:t>.</w:t>
      </w:r>
      <w:r w:rsidR="008A74EB" w:rsidRPr="00C9040A">
        <w:rPr>
          <w:rtl/>
        </w:rPr>
        <w:t xml:space="preserve"> والتسمية أن يقول : بسم الله الرحمن الرحيم.</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يَشْتَهِيهِ ، فَيَحْمَدُ اللهَ </w:t>
      </w:r>
      <w:r w:rsidR="006C577F" w:rsidRPr="006C577F">
        <w:rPr>
          <w:rStyle w:val="libFootnotenumChar"/>
          <w:rtl/>
        </w:rPr>
        <w:t>(1)</w:t>
      </w:r>
      <w:r w:rsidRPr="00C9040A">
        <w:rPr>
          <w:rtl/>
          <w:lang w:bidi="fa-IR"/>
        </w:rPr>
        <w:t xml:space="preserve">، ثُمَّ يَعُودُ فَيَشْرَبُ </w:t>
      </w:r>
      <w:r w:rsidR="006C577F" w:rsidRPr="006C577F">
        <w:rPr>
          <w:rStyle w:val="libFootnotenumChar"/>
          <w:rtl/>
        </w:rPr>
        <w:t>(2)</w:t>
      </w:r>
      <w:r w:rsidRPr="00C9040A">
        <w:rPr>
          <w:rtl/>
          <w:lang w:bidi="fa-IR"/>
        </w:rPr>
        <w:t xml:space="preserve"> ، ثُمَّ يُنَحِّيهِ ، فَيَحْمَدُ اللهَ ، ثُمَّ يَعُودُ فَيَشْرَبُ ، ثُمَّ يُنَحِّيهِ ، فَيَحْمَدُ اللهَ ، فَيُوجِبُ </w:t>
      </w:r>
      <w:r w:rsidR="006C577F" w:rsidRPr="006C577F">
        <w:rPr>
          <w:rStyle w:val="libFootnotenumChar"/>
          <w:rtl/>
        </w:rPr>
        <w:t>(3)</w:t>
      </w:r>
      <w:r w:rsidRPr="00C9040A">
        <w:rPr>
          <w:rtl/>
          <w:lang w:bidi="fa-IR"/>
        </w:rPr>
        <w:t xml:space="preserve">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بِهَا لَهُ </w:t>
      </w:r>
      <w:r w:rsidR="006C577F" w:rsidRPr="006C577F">
        <w:rPr>
          <w:rStyle w:val="libFootnotenumChar"/>
          <w:rtl/>
        </w:rPr>
        <w:t>(4)</w:t>
      </w:r>
      <w:r w:rsidRPr="00C9040A">
        <w:rPr>
          <w:rtl/>
          <w:lang w:bidi="fa-IR"/>
        </w:rPr>
        <w:t xml:space="preserve"> الْجَنَّةَ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1F4FFD">
      <w:pPr>
        <w:pStyle w:val="libNormal"/>
        <w:rPr>
          <w:rtl/>
          <w:lang w:bidi="fa-IR"/>
        </w:rPr>
      </w:pPr>
      <w:r w:rsidRPr="003B7500">
        <w:rPr>
          <w:rtl/>
        </w:rPr>
        <w:t>1731</w:t>
      </w:r>
      <w:r w:rsidRPr="00261CB0">
        <w:rPr>
          <w:rStyle w:val="libBold2Char"/>
          <w:rtl/>
        </w:rPr>
        <w:t xml:space="preserve"> / 17.</w:t>
      </w:r>
      <w:r w:rsidRPr="00C9040A">
        <w:rPr>
          <w:rtl/>
          <w:lang w:bidi="fa-IR"/>
        </w:rPr>
        <w:t xml:space="preserve"> ابْنُ أَبِي عُمَيْرٍ </w:t>
      </w:r>
      <w:r w:rsidR="006C577F" w:rsidRPr="006C577F">
        <w:rPr>
          <w:rStyle w:val="libFootnotenumChar"/>
          <w:rtl/>
        </w:rPr>
        <w:t>(6)</w:t>
      </w:r>
      <w:r w:rsidR="001F4FFD" w:rsidRPr="00C9040A">
        <w:rPr>
          <w:rtl/>
          <w:lang w:bidi="fa-IR"/>
        </w:rPr>
        <w:t xml:space="preserve"> </w:t>
      </w:r>
      <w:r w:rsidRPr="00C9040A">
        <w:rPr>
          <w:rtl/>
          <w:lang w:bidi="fa-IR"/>
        </w:rPr>
        <w:t xml:space="preserve">، عَنِ الْحَسَنِ </w:t>
      </w:r>
      <w:r w:rsidR="006C577F" w:rsidRPr="006C577F">
        <w:rPr>
          <w:rStyle w:val="libFootnotenumChar"/>
          <w:rtl/>
        </w:rPr>
        <w:t>(7)</w:t>
      </w:r>
      <w:r w:rsidRPr="00C9040A">
        <w:rPr>
          <w:rtl/>
          <w:lang w:bidi="fa-IR"/>
        </w:rPr>
        <w:t xml:space="preserve"> بْنِ عَطِيَّةَ ، عَنْ عُمَرَ بْنِ يَزِيدَ ، قَالَ :</w:t>
      </w:r>
    </w:p>
    <w:p w:rsidR="008A74EB" w:rsidRPr="00C9040A" w:rsidRDefault="008A74EB" w:rsidP="008A74EB">
      <w:pPr>
        <w:pStyle w:val="libNormal"/>
        <w:rPr>
          <w:rtl/>
          <w:lang w:bidi="fa-IR"/>
        </w:rPr>
      </w:pPr>
      <w:r w:rsidRPr="00C9040A">
        <w:rPr>
          <w:rtl/>
          <w:lang w:bidi="fa-IR"/>
        </w:rPr>
        <w:t xml:space="preserve">قُلْتُ لِأَبِي عَبْدِ اللهِ </w:t>
      </w:r>
      <w:r w:rsidRPr="0003660B">
        <w:rPr>
          <w:rStyle w:val="libAlaemChar"/>
          <w:rtl/>
        </w:rPr>
        <w:t>عليه‌السلام</w:t>
      </w:r>
      <w:r w:rsidRPr="00C9040A">
        <w:rPr>
          <w:rtl/>
          <w:lang w:bidi="fa-IR"/>
        </w:rPr>
        <w:t xml:space="preserve"> : إِنِّي سَأَلْتُ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أَنْ يَرْزُقَنِي مَالاً ، فَرَزَقَنِي </w:t>
      </w:r>
      <w:r w:rsidR="006C577F" w:rsidRPr="006C577F">
        <w:rPr>
          <w:rStyle w:val="libFootnotenumChar"/>
          <w:rtl/>
        </w:rPr>
        <w:t>(8)</w:t>
      </w:r>
      <w:r w:rsidRPr="00C9040A">
        <w:rPr>
          <w:rtl/>
          <w:lang w:bidi="fa-IR"/>
        </w:rPr>
        <w:t xml:space="preserve"> ، وَإِنِّي سَأَلْتُ اللهَ أَنْ يَرْزُقَنِي وَلَداً </w:t>
      </w:r>
      <w:r w:rsidR="006C577F" w:rsidRPr="006C577F">
        <w:rPr>
          <w:rStyle w:val="libFootnotenumChar"/>
          <w:rtl/>
        </w:rPr>
        <w:t>(9)</w:t>
      </w:r>
      <w:r w:rsidRPr="00C9040A">
        <w:rPr>
          <w:rtl/>
          <w:lang w:bidi="fa-IR"/>
        </w:rPr>
        <w:t xml:space="preserve"> ، فَرَزَقَنِي وَلَداً </w:t>
      </w:r>
      <w:r w:rsidR="006C577F" w:rsidRPr="006C577F">
        <w:rPr>
          <w:rStyle w:val="libFootnotenumChar"/>
          <w:rtl/>
        </w:rPr>
        <w:t>(10)</w:t>
      </w:r>
      <w:r w:rsidRPr="00C9040A">
        <w:rPr>
          <w:rtl/>
          <w:lang w:bidi="fa-IR"/>
        </w:rPr>
        <w:t xml:space="preserve"> ، وَسَأَلْتُهُ أَنْ يَرْزُقَنِي دَاراً ، فَرَزَقَنِي </w:t>
      </w:r>
      <w:r w:rsidR="006C577F" w:rsidRPr="006C577F">
        <w:rPr>
          <w:rStyle w:val="libFootnotenumChar"/>
          <w:rtl/>
        </w:rPr>
        <w:t>(11)</w:t>
      </w:r>
      <w:r w:rsidRPr="00C9040A">
        <w:rPr>
          <w:rtl/>
          <w:lang w:bidi="fa-IR"/>
        </w:rPr>
        <w:t xml:space="preserve"> ، وَقَدْ خِفْتُ أَنْ يَكُونَ ذلِكَ </w:t>
      </w:r>
      <w:r w:rsidR="006C577F" w:rsidRPr="006C577F">
        <w:rPr>
          <w:rStyle w:val="libFootnotenumChar"/>
          <w:rtl/>
        </w:rPr>
        <w:t>(12)</w:t>
      </w:r>
      <w:r w:rsidRPr="00C9040A">
        <w:rPr>
          <w:rtl/>
          <w:lang w:bidi="fa-IR"/>
        </w:rPr>
        <w:t xml:space="preserve"> اسْتِدْرَاجاً </w:t>
      </w:r>
      <w:r w:rsidRPr="005B567D">
        <w:rPr>
          <w:rStyle w:val="libFootnotenumChar"/>
          <w:rtl/>
        </w:rPr>
        <w:t>(13)</w:t>
      </w:r>
      <w:r>
        <w:rPr>
          <w:rtl/>
          <w:lang w:bidi="fa-IR"/>
        </w:rPr>
        <w:t>؟</w:t>
      </w:r>
    </w:p>
    <w:p w:rsidR="008A74EB" w:rsidRPr="00C9040A" w:rsidRDefault="008A74EB" w:rsidP="008A74EB">
      <w:pPr>
        <w:pStyle w:val="libNormal"/>
        <w:rPr>
          <w:rtl/>
          <w:lang w:bidi="fa-IR"/>
        </w:rPr>
      </w:pPr>
      <w:r w:rsidRPr="00C9040A">
        <w:rPr>
          <w:rtl/>
          <w:lang w:bidi="fa-IR"/>
        </w:rPr>
        <w:t xml:space="preserve">فَقَالَ : « أَمَا وَاللهِ ، مَعَ الْحَمْدِ </w:t>
      </w:r>
      <w:r w:rsidRPr="005B567D">
        <w:rPr>
          <w:rStyle w:val="libFootnotenumChar"/>
          <w:rtl/>
        </w:rPr>
        <w:t>(14)</w:t>
      </w:r>
      <w:r w:rsidRPr="00C9040A">
        <w:rPr>
          <w:rtl/>
          <w:lang w:bidi="fa-IR"/>
        </w:rPr>
        <w:t xml:space="preserve"> فَلَا »</w:t>
      </w:r>
      <w:r>
        <w:rPr>
          <w:rtl/>
          <w:lang w:bidi="fa-IR"/>
        </w:rPr>
        <w:t>.</w:t>
      </w:r>
      <w:r w:rsidRPr="00C9040A">
        <w:rPr>
          <w:rtl/>
          <w:lang w:bidi="fa-IR"/>
        </w:rPr>
        <w:t xml:space="preserve"> </w:t>
      </w:r>
      <w:r w:rsidRPr="005B567D">
        <w:rPr>
          <w:rStyle w:val="libFootnotenumChar"/>
          <w:rtl/>
        </w:rPr>
        <w:t>(15)</w:t>
      </w:r>
      <w:r w:rsidRPr="00C9040A">
        <w:rPr>
          <w:rtl/>
          <w:lang w:bidi="fa-IR"/>
        </w:rPr>
        <w:t xml:space="preserve"> ‌</w:t>
      </w:r>
    </w:p>
    <w:p w:rsidR="008A74EB" w:rsidRPr="00C9040A" w:rsidRDefault="008A74EB" w:rsidP="008A74EB">
      <w:pPr>
        <w:pStyle w:val="libNormal"/>
        <w:rPr>
          <w:rtl/>
          <w:lang w:bidi="fa-IR"/>
        </w:rPr>
      </w:pPr>
      <w:r w:rsidRPr="003B7500">
        <w:rPr>
          <w:rtl/>
        </w:rPr>
        <w:t>1732</w:t>
      </w:r>
      <w:r w:rsidRPr="00261CB0">
        <w:rPr>
          <w:rStyle w:val="libBold2Char"/>
          <w:rtl/>
        </w:rPr>
        <w:t xml:space="preserve"> / 18.</w:t>
      </w:r>
      <w:r w:rsidRPr="00C9040A">
        <w:rPr>
          <w:rtl/>
          <w:lang w:bidi="fa-IR"/>
        </w:rPr>
        <w:t xml:space="preserve"> الْحُسَيْنُ بْنُ مُحَمَّدٍ ، عَنْ مُعَلَّى بْنِ مُحَمَّدٍ ، عَنِ الْوَشَّاءِ ، عَنْ حَمَّادِ بْنِ عُثْمَانَ ، قَالَ :</w:t>
      </w:r>
    </w:p>
    <w:p w:rsidR="008A74EB" w:rsidRPr="00C9040A" w:rsidRDefault="008A74EB" w:rsidP="008A74EB">
      <w:pPr>
        <w:pStyle w:val="libNormal"/>
        <w:rPr>
          <w:rtl/>
          <w:lang w:bidi="fa-IR"/>
        </w:rPr>
      </w:pPr>
      <w:r w:rsidRPr="00C9040A">
        <w:rPr>
          <w:rtl/>
          <w:lang w:bidi="fa-IR"/>
        </w:rPr>
        <w:t xml:space="preserve">خَرَجَ أَبُو عَبْدِ اللهِ </w:t>
      </w:r>
      <w:r w:rsidRPr="0003660B">
        <w:rPr>
          <w:rStyle w:val="libAlaemChar"/>
          <w:rtl/>
        </w:rPr>
        <w:t>عليه‌السلام</w:t>
      </w:r>
      <w:r w:rsidRPr="00C9040A">
        <w:rPr>
          <w:rtl/>
          <w:lang w:bidi="fa-IR"/>
        </w:rPr>
        <w:t xml:space="preserve"> مِنَ الْمَسْجِدِ ، وَقَدْ ضَاعَتْ دَابَّتُهُ ، فَقَالَ : « لَئِنْ رَدَّهَا اللهُ‌</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1F4FFD" w:rsidTr="001F4FFD">
        <w:tc>
          <w:tcPr>
            <w:tcW w:w="4006" w:type="dxa"/>
          </w:tcPr>
          <w:p w:rsidR="001F4FFD" w:rsidRDefault="001F4FFD" w:rsidP="004A4E41">
            <w:pPr>
              <w:pStyle w:val="libFootnote0"/>
              <w:rPr>
                <w:rtl/>
              </w:rPr>
            </w:pPr>
            <w:r>
              <w:rPr>
                <w:rtl/>
              </w:rPr>
              <w:t>(1).</w:t>
            </w:r>
            <w:r w:rsidRPr="00C9040A">
              <w:rPr>
                <w:rtl/>
              </w:rPr>
              <w:t xml:space="preserve"> في البحار </w:t>
            </w:r>
            <w:r>
              <w:rPr>
                <w:rtl/>
              </w:rPr>
              <w:t>: -</w:t>
            </w:r>
            <w:r w:rsidRPr="00C9040A">
              <w:rPr>
                <w:rtl/>
              </w:rPr>
              <w:t xml:space="preserve"> « الله »</w:t>
            </w:r>
            <w:r>
              <w:rPr>
                <w:rtl/>
              </w:rPr>
              <w:t>.</w:t>
            </w:r>
          </w:p>
        </w:tc>
        <w:tc>
          <w:tcPr>
            <w:tcW w:w="4006" w:type="dxa"/>
          </w:tcPr>
          <w:p w:rsidR="001F4FFD" w:rsidRDefault="001F4FFD" w:rsidP="004A4E41">
            <w:pPr>
              <w:pStyle w:val="libFootnote0"/>
              <w:rPr>
                <w:rtl/>
              </w:rPr>
            </w:pPr>
            <w:r>
              <w:rPr>
                <w:rtl/>
              </w:rPr>
              <w:t xml:space="preserve">(2). </w:t>
            </w:r>
            <w:r w:rsidRPr="00C9040A">
              <w:rPr>
                <w:rtl/>
              </w:rPr>
              <w:t>في الوسائل : « يشرب »</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في « ز » : « فيوهب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ب ، د ، ف ، بف » والوافي والوسائل والبحار : « له بها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المحاسن</w:t>
      </w:r>
      <w:r w:rsidR="008A74EB" w:rsidRPr="00C9040A">
        <w:rPr>
          <w:rtl/>
        </w:rPr>
        <w:t xml:space="preserve"> ، ص 578 ، كتاب الماء ، ذيل ح 44 ، بسنده عن منصور بن يونس. وفي </w:t>
      </w:r>
      <w:r w:rsidR="008A74EB" w:rsidRPr="00993B55">
        <w:rPr>
          <w:rStyle w:val="libFootnoteBoldChar"/>
          <w:rtl/>
        </w:rPr>
        <w:t>الكافي</w:t>
      </w:r>
      <w:r w:rsidR="008A74EB" w:rsidRPr="00C9040A">
        <w:rPr>
          <w:rtl/>
        </w:rPr>
        <w:t xml:space="preserve"> ، كتاب الأشربة ، باب القول على شرب الماء ، ح 12183 ؛ و</w:t>
      </w:r>
      <w:r w:rsidR="008A74EB" w:rsidRPr="00993B55">
        <w:rPr>
          <w:rStyle w:val="libFootnoteBoldChar"/>
          <w:rtl/>
        </w:rPr>
        <w:t xml:space="preserve">معاني الأخبار </w:t>
      </w:r>
      <w:r w:rsidR="008A74EB" w:rsidRPr="00C9040A">
        <w:rPr>
          <w:rtl/>
        </w:rPr>
        <w:t>، ص 385 ، ح 17 ، بسند آخر ، وفي كلّها مع اختلاف يسير</w:t>
      </w:r>
      <w:r w:rsidR="000C4E70">
        <w:rPr>
          <w:rFonts w:hint="cs"/>
          <w:rtl/>
        </w:rPr>
        <w:t>.</w:t>
      </w:r>
      <w:r w:rsidR="008A74EB" w:rsidRPr="00993B55">
        <w:rPr>
          <w:rStyle w:val="libFootnoteBoldChar"/>
          <w:rtl/>
        </w:rPr>
        <w:t>الوافي</w:t>
      </w:r>
      <w:r w:rsidR="008A74EB" w:rsidRPr="00C9040A">
        <w:rPr>
          <w:rtl/>
        </w:rPr>
        <w:t xml:space="preserve"> ، ج 20 ، ص 571 ، ح 20033 ؛ </w:t>
      </w:r>
      <w:r w:rsidR="008A74EB" w:rsidRPr="00993B55">
        <w:rPr>
          <w:rStyle w:val="libFootnoteBoldChar"/>
          <w:rtl/>
        </w:rPr>
        <w:t>الوسائل</w:t>
      </w:r>
      <w:r w:rsidR="008A74EB" w:rsidRPr="00C9040A">
        <w:rPr>
          <w:rtl/>
        </w:rPr>
        <w:t xml:space="preserve"> ، ج 25 ، ص 251 ، ح 31832 ؛ </w:t>
      </w:r>
      <w:r w:rsidR="008A74EB" w:rsidRPr="00993B55">
        <w:rPr>
          <w:rStyle w:val="libFootnoteBoldChar"/>
          <w:rtl/>
        </w:rPr>
        <w:t>البحار</w:t>
      </w:r>
      <w:r w:rsidR="008A74EB" w:rsidRPr="00C9040A">
        <w:rPr>
          <w:rtl/>
        </w:rPr>
        <w:t xml:space="preserve"> ، ج 71 ، ص 32 ، ح 11.</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السند معلّق على سابقه. ويروي عن ابن أبي عمير ، عليّ بن إبراهيم عن أبيه.</w:t>
      </w:r>
    </w:p>
    <w:p w:rsidR="008A74EB" w:rsidRPr="004A4E41" w:rsidRDefault="006C577F" w:rsidP="004A4E41">
      <w:pPr>
        <w:pStyle w:val="libFootnote0"/>
        <w:rPr>
          <w:rStyle w:val="libFootnote0Char"/>
          <w:rtl/>
        </w:rPr>
      </w:pPr>
      <w:r>
        <w:rPr>
          <w:rtl/>
        </w:rPr>
        <w:t>(7).</w:t>
      </w:r>
      <w:r w:rsidR="008A74EB" w:rsidRPr="00C9040A">
        <w:rPr>
          <w:rtl/>
        </w:rPr>
        <w:t xml:space="preserve"> في « ز ، ص » : « الحسين »</w:t>
      </w:r>
      <w:r w:rsidR="008A74EB">
        <w:rPr>
          <w:rtl/>
        </w:rPr>
        <w:t>.</w:t>
      </w:r>
      <w:r w:rsidR="008A74EB" w:rsidRPr="00C9040A">
        <w:rPr>
          <w:rtl/>
        </w:rPr>
        <w:t xml:space="preserve"> وقد توسّط الحسن بن عطيّة بين ابن أبي عمير وعُمَر </w:t>
      </w:r>
      <w:r w:rsidR="00271B02">
        <w:rPr>
          <w:rtl/>
        </w:rPr>
        <w:t>بن يزيد في عدد من الأسناد. راجع</w:t>
      </w:r>
      <w:r w:rsidR="008A74EB" w:rsidRPr="00C9040A">
        <w:rPr>
          <w:rtl/>
        </w:rPr>
        <w:t>:</w:t>
      </w:r>
      <w:r w:rsidR="008A74EB" w:rsidRPr="00993B55">
        <w:rPr>
          <w:rStyle w:val="libFootnoteBoldChar"/>
          <w:rtl/>
        </w:rPr>
        <w:t>معجم رجال الحديث</w:t>
      </w:r>
      <w:r w:rsidR="00271B02">
        <w:rPr>
          <w:rtl/>
        </w:rPr>
        <w:t>،</w:t>
      </w:r>
      <w:r w:rsidR="008A74EB" w:rsidRPr="00C9040A">
        <w:rPr>
          <w:rtl/>
        </w:rPr>
        <w:t>ج 4</w:t>
      </w:r>
      <w:r w:rsidR="00271B02">
        <w:rPr>
          <w:rtl/>
        </w:rPr>
        <w:t>،</w:t>
      </w:r>
      <w:r w:rsidR="008A74EB" w:rsidRPr="00C9040A">
        <w:rPr>
          <w:rtl/>
        </w:rPr>
        <w:t>ص 524.</w:t>
      </w:r>
      <w:r w:rsidR="00271B02">
        <w:rPr>
          <w:rFonts w:hint="cs"/>
          <w:rtl/>
        </w:rPr>
        <w:t xml:space="preserve"> </w:t>
      </w:r>
      <w:r w:rsidR="000C4E70">
        <w:rPr>
          <w:rFonts w:hint="cs"/>
          <w:rtl/>
        </w:rPr>
        <w:t xml:space="preserve">      </w:t>
      </w:r>
      <w:r>
        <w:rPr>
          <w:rtl/>
        </w:rPr>
        <w:t>(8).</w:t>
      </w:r>
      <w:r w:rsidR="008A74EB" w:rsidRPr="00C9040A">
        <w:rPr>
          <w:rtl/>
        </w:rPr>
        <w:t xml:space="preserve"> في « ب » : + « مالاً »</w:t>
      </w:r>
      <w:r w:rsidR="008A74EB">
        <w:rPr>
          <w:rtl/>
        </w:rPr>
        <w:t>.</w:t>
      </w:r>
    </w:p>
    <w:tbl>
      <w:tblPr>
        <w:tblStyle w:val="TableGrid"/>
        <w:bidiVisual/>
        <w:tblW w:w="0" w:type="auto"/>
        <w:tblLook w:val="04A0" w:firstRow="1" w:lastRow="0" w:firstColumn="1" w:lastColumn="0" w:noHBand="0" w:noVBand="1"/>
      </w:tblPr>
      <w:tblGrid>
        <w:gridCol w:w="4006"/>
        <w:gridCol w:w="4006"/>
      </w:tblGrid>
      <w:tr w:rsidR="000C4E70" w:rsidTr="000C4E70">
        <w:tc>
          <w:tcPr>
            <w:tcW w:w="4006" w:type="dxa"/>
          </w:tcPr>
          <w:p w:rsidR="000C4E70" w:rsidRDefault="000C4E70" w:rsidP="004A4E41">
            <w:pPr>
              <w:pStyle w:val="libFootnote0"/>
              <w:rPr>
                <w:rtl/>
              </w:rPr>
            </w:pPr>
            <w:r>
              <w:rPr>
                <w:rtl/>
              </w:rPr>
              <w:t>(9).</w:t>
            </w:r>
            <w:r w:rsidRPr="00C9040A">
              <w:rPr>
                <w:rtl/>
              </w:rPr>
              <w:t xml:space="preserve"> في « ز ، ف » </w:t>
            </w:r>
            <w:r>
              <w:rPr>
                <w:rtl/>
              </w:rPr>
              <w:t>: -</w:t>
            </w:r>
            <w:r w:rsidRPr="00C9040A">
              <w:rPr>
                <w:rtl/>
              </w:rPr>
              <w:t xml:space="preserve"> « ولداً »</w:t>
            </w:r>
            <w:r>
              <w:rPr>
                <w:rtl/>
              </w:rPr>
              <w:t>.</w:t>
            </w:r>
          </w:p>
        </w:tc>
        <w:tc>
          <w:tcPr>
            <w:tcW w:w="4006" w:type="dxa"/>
          </w:tcPr>
          <w:p w:rsidR="000C4E70" w:rsidRDefault="000C4E70" w:rsidP="004A4E41">
            <w:pPr>
              <w:pStyle w:val="libFootnote0"/>
              <w:rPr>
                <w:rtl/>
              </w:rPr>
            </w:pPr>
            <w:r>
              <w:rPr>
                <w:rtl/>
              </w:rPr>
              <w:t>(10).</w:t>
            </w:r>
            <w:r w:rsidRPr="00C9040A">
              <w:rPr>
                <w:rtl/>
              </w:rPr>
              <w:t xml:space="preserve"> في الوافي والبحار </w:t>
            </w:r>
            <w:r>
              <w:rPr>
                <w:rtl/>
              </w:rPr>
              <w:t>: -</w:t>
            </w:r>
            <w:r w:rsidRPr="00C9040A">
              <w:rPr>
                <w:rtl/>
              </w:rPr>
              <w:t xml:space="preserve"> « ولداً »</w:t>
            </w:r>
            <w:r>
              <w:rPr>
                <w:rtl/>
              </w:rPr>
              <w:t>.</w:t>
            </w:r>
          </w:p>
        </w:tc>
      </w:tr>
      <w:tr w:rsidR="000C4E70" w:rsidTr="000C4E70">
        <w:tc>
          <w:tcPr>
            <w:tcW w:w="4006" w:type="dxa"/>
          </w:tcPr>
          <w:p w:rsidR="000C4E70" w:rsidRDefault="000C4E70" w:rsidP="004A4E41">
            <w:pPr>
              <w:pStyle w:val="libFootnote0"/>
              <w:rPr>
                <w:rtl/>
              </w:rPr>
            </w:pPr>
            <w:r>
              <w:rPr>
                <w:rtl/>
              </w:rPr>
              <w:t>(11).</w:t>
            </w:r>
            <w:r w:rsidRPr="00C9040A">
              <w:rPr>
                <w:rtl/>
              </w:rPr>
              <w:t xml:space="preserve"> في « بر ، بف » : + « داراً »</w:t>
            </w:r>
            <w:r>
              <w:rPr>
                <w:rtl/>
              </w:rPr>
              <w:t>.</w:t>
            </w:r>
          </w:p>
        </w:tc>
        <w:tc>
          <w:tcPr>
            <w:tcW w:w="4006" w:type="dxa"/>
          </w:tcPr>
          <w:p w:rsidR="000C4E70" w:rsidRDefault="000C4E70" w:rsidP="004A4E41">
            <w:pPr>
              <w:pStyle w:val="libFootnote0"/>
              <w:rPr>
                <w:rtl/>
              </w:rPr>
            </w:pPr>
            <w:r>
              <w:rPr>
                <w:rtl/>
              </w:rPr>
              <w:t>(12).</w:t>
            </w:r>
            <w:r w:rsidRPr="00C9040A">
              <w:rPr>
                <w:rtl/>
              </w:rPr>
              <w:t xml:space="preserve"> في الوافي </w:t>
            </w:r>
            <w:r>
              <w:rPr>
                <w:rtl/>
              </w:rPr>
              <w:t>: -</w:t>
            </w:r>
            <w:r w:rsidRPr="00C9040A">
              <w:rPr>
                <w:rtl/>
              </w:rPr>
              <w:t xml:space="preserve"> « ذلك »</w:t>
            </w:r>
            <w:r>
              <w:rPr>
                <w:rtl/>
              </w:rPr>
              <w:t>.</w:t>
            </w:r>
          </w:p>
        </w:tc>
      </w:tr>
    </w:tbl>
    <w:p w:rsidR="008A74EB" w:rsidRPr="00C9040A" w:rsidRDefault="008A74EB" w:rsidP="004A4E41">
      <w:pPr>
        <w:pStyle w:val="libFootnote0"/>
        <w:rPr>
          <w:rtl/>
          <w:lang w:bidi="fa-IR"/>
        </w:rPr>
      </w:pPr>
      <w:r>
        <w:rPr>
          <w:rtl/>
        </w:rPr>
        <w:t>(13)</w:t>
      </w:r>
      <w:r w:rsidRPr="00C9040A">
        <w:rPr>
          <w:rtl/>
        </w:rPr>
        <w:t xml:space="preserve"> استدرجه : خَدَعه وأدناه ، كدَرَّجَه. واستدراج الله تعالى العبد : أنّه كلّما جدّد خطيئةً جدّد له نعمة وأنساه الاستغفار ، أو أن يأخذه قليلاً قليلاً ولايباغته. والبغتة : الفجأة. راجع : </w:t>
      </w:r>
      <w:r w:rsidRPr="00993B55">
        <w:rPr>
          <w:rStyle w:val="libFootnoteBoldChar"/>
          <w:rtl/>
        </w:rPr>
        <w:t>القاموس المحيط</w:t>
      </w:r>
      <w:r w:rsidR="00AC2E2F">
        <w:rPr>
          <w:rtl/>
        </w:rPr>
        <w:t xml:space="preserve"> ، ج 1 ، ص 188 ( درج</w:t>
      </w:r>
      <w:r w:rsidRPr="00C9040A">
        <w:rPr>
          <w:rtl/>
        </w:rPr>
        <w:t>)</w:t>
      </w:r>
      <w:r>
        <w:rPr>
          <w:rtl/>
        </w:rPr>
        <w:t>.</w:t>
      </w:r>
    </w:p>
    <w:p w:rsidR="008A74EB" w:rsidRPr="00C9040A" w:rsidRDefault="008A74EB" w:rsidP="004A4E41">
      <w:pPr>
        <w:pStyle w:val="libFootnote0"/>
        <w:rPr>
          <w:rtl/>
          <w:lang w:bidi="fa-IR"/>
        </w:rPr>
      </w:pPr>
      <w:r>
        <w:rPr>
          <w:rtl/>
        </w:rPr>
        <w:t>(14)</w:t>
      </w:r>
      <w:r w:rsidRPr="00C9040A">
        <w:rPr>
          <w:rtl/>
        </w:rPr>
        <w:t xml:space="preserve"> في « ض » : + « لله »</w:t>
      </w:r>
      <w:r>
        <w:rPr>
          <w:rtl/>
        </w:rPr>
        <w:t>.</w:t>
      </w:r>
    </w:p>
    <w:p w:rsidR="008A74EB" w:rsidRPr="00C9040A" w:rsidRDefault="008A74EB" w:rsidP="004A4E41">
      <w:pPr>
        <w:pStyle w:val="libFootnote0"/>
        <w:rPr>
          <w:rtl/>
          <w:lang w:bidi="fa-IR"/>
        </w:rPr>
      </w:pPr>
      <w:r>
        <w:rPr>
          <w:rtl/>
        </w:rPr>
        <w:t>(15)</w:t>
      </w:r>
      <w:r w:rsidRPr="00C9040A">
        <w:rPr>
          <w:rtl/>
        </w:rPr>
        <w:t xml:space="preserve"> </w:t>
      </w:r>
      <w:r w:rsidRPr="00993B55">
        <w:rPr>
          <w:rStyle w:val="libFootnoteBoldChar"/>
          <w:rtl/>
        </w:rPr>
        <w:t>الوافي</w:t>
      </w:r>
      <w:r w:rsidRPr="00C9040A">
        <w:rPr>
          <w:rtl/>
        </w:rPr>
        <w:t xml:space="preserve"> ، ج 5 ، ص 1044 ، ح 3559 ؛ </w:t>
      </w:r>
      <w:r w:rsidRPr="00993B55">
        <w:rPr>
          <w:rStyle w:val="libFootnoteBoldChar"/>
          <w:rtl/>
        </w:rPr>
        <w:t>البحار</w:t>
      </w:r>
      <w:r w:rsidRPr="00C9040A">
        <w:rPr>
          <w:rtl/>
        </w:rPr>
        <w:t xml:space="preserve"> ، ج 71 ، ص 32 ، ح 12.</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عَلَيَّ ، لَأَشْكُرَنَّ اللهَ حَقَّ شُكْرِهِ »</w:t>
      </w:r>
      <w:r>
        <w:rPr>
          <w:rtl/>
          <w:lang w:bidi="fa-IR"/>
        </w:rPr>
        <w:t>.</w:t>
      </w:r>
      <w:r w:rsidRPr="00C9040A">
        <w:rPr>
          <w:rtl/>
          <w:lang w:bidi="fa-IR"/>
        </w:rPr>
        <w:t xml:space="preserve"> قَالَ : فَمَا لَبِثَ أَنْ أُتِيَ بِهَا ، فَقَالَ : « الْحَمْدُ لِلّهِ »</w:t>
      </w:r>
      <w:r>
        <w:rPr>
          <w:rtl/>
          <w:lang w:bidi="fa-IR"/>
        </w:rPr>
        <w:t>.</w:t>
      </w:r>
      <w:r w:rsidRPr="00C9040A">
        <w:rPr>
          <w:rtl/>
          <w:lang w:bidi="fa-IR"/>
        </w:rPr>
        <w:t xml:space="preserve"> فَقَالَ قَائِلٌ لَهُ </w:t>
      </w:r>
      <w:r w:rsidR="006C577F" w:rsidRPr="006C577F">
        <w:rPr>
          <w:rStyle w:val="libFootnotenumChar"/>
          <w:rtl/>
        </w:rPr>
        <w:t>(1)</w:t>
      </w:r>
      <w:r w:rsidRPr="001E6F92">
        <w:rPr>
          <w:rFonts w:hint="cs"/>
          <w:rtl/>
        </w:rPr>
        <w:t xml:space="preserve"> </w:t>
      </w:r>
      <w:r>
        <w:rPr>
          <w:rtl/>
          <w:lang w:bidi="fa-IR"/>
        </w:rPr>
        <w:t>: جُعِلْتُ فِدَاكَ ، أَ</w:t>
      </w:r>
      <w:r w:rsidRPr="00C9040A">
        <w:rPr>
          <w:rtl/>
          <w:lang w:bidi="fa-IR"/>
        </w:rPr>
        <w:t xml:space="preserve">لَيْسَ </w:t>
      </w:r>
      <w:r w:rsidR="006C577F" w:rsidRPr="006C577F">
        <w:rPr>
          <w:rStyle w:val="libFootnotenumChar"/>
          <w:rtl/>
        </w:rPr>
        <w:t>(2)</w:t>
      </w:r>
      <w:r w:rsidRPr="00C9040A">
        <w:rPr>
          <w:rtl/>
          <w:lang w:bidi="fa-IR"/>
        </w:rPr>
        <w:t xml:space="preserve"> قُلْتَ : لَأَشْكُرَنَّ اللهَ حَقَّ شُكْرِهِ</w:t>
      </w:r>
      <w:r>
        <w:rPr>
          <w:rtl/>
          <w:lang w:bidi="fa-IR"/>
        </w:rPr>
        <w:t>؟</w:t>
      </w:r>
      <w:r w:rsidRPr="00C9040A">
        <w:rPr>
          <w:rtl/>
          <w:lang w:bidi="fa-IR"/>
        </w:rPr>
        <w:t xml:space="preserve"> فَقَالَ أَبُو عَبْدِ اللهِ </w:t>
      </w:r>
      <w:r w:rsidRPr="0003660B">
        <w:rPr>
          <w:rStyle w:val="libAlaemChar"/>
          <w:rtl/>
        </w:rPr>
        <w:t>عليه‌السلام</w:t>
      </w:r>
      <w:r w:rsidRPr="00C9040A">
        <w:rPr>
          <w:rtl/>
          <w:lang w:bidi="fa-IR"/>
        </w:rPr>
        <w:t xml:space="preserve"> :</w:t>
      </w:r>
      <w:r>
        <w:rPr>
          <w:rFonts w:hint="cs"/>
          <w:rtl/>
          <w:lang w:bidi="fa-IR"/>
        </w:rPr>
        <w:t xml:space="preserve"> </w:t>
      </w:r>
      <w:r w:rsidRPr="00C9040A">
        <w:rPr>
          <w:rtl/>
          <w:lang w:bidi="fa-IR"/>
        </w:rPr>
        <w:t>« أَلَمْ تَسْمَعْنِي قُلْتُ : الْحَمْدُ لِلّهِ</w:t>
      </w:r>
      <w:r>
        <w:rPr>
          <w:rtl/>
          <w:lang w:bidi="fa-IR"/>
        </w:rPr>
        <w:t>؟</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3B7500">
        <w:rPr>
          <w:rtl/>
        </w:rPr>
        <w:t>1733</w:t>
      </w:r>
      <w:r w:rsidRPr="00261CB0">
        <w:rPr>
          <w:rStyle w:val="libBold2Char"/>
          <w:rtl/>
        </w:rPr>
        <w:t xml:space="preserve"> / 19.</w:t>
      </w:r>
      <w:r w:rsidRPr="00C9040A">
        <w:rPr>
          <w:rtl/>
          <w:lang w:bidi="fa-IR"/>
        </w:rPr>
        <w:t xml:space="preserve"> مُحَمَّدُ بْنُ يَحْيى ، عَنْ أَحْمَدَ بْنِ مُحَمَّدِ بْنِ عِيسى ، عَنِ الْقَاسِمِ بْنِ يَحْيى ، عَنْ جَدِّهِ الْحَسَنِ بْنِ رَاشِدٍ ، عَنِ الْمُثَنَّى </w:t>
      </w:r>
      <w:r w:rsidR="006C577F" w:rsidRPr="006C577F">
        <w:rPr>
          <w:rStyle w:val="libFootnotenumChar"/>
          <w:rtl/>
        </w:rPr>
        <w:t>(4)</w:t>
      </w:r>
      <w:r w:rsidRPr="00C9040A">
        <w:rPr>
          <w:rtl/>
          <w:lang w:bidi="fa-IR"/>
        </w:rPr>
        <w:t xml:space="preserve"> الْحَنَّاطِ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كَانَ رَسُولُ اللهِ </w:t>
      </w:r>
      <w:r w:rsidR="004A4E41" w:rsidRPr="004A4E41">
        <w:rPr>
          <w:rStyle w:val="libAlaemChar"/>
          <w:rtl/>
        </w:rPr>
        <w:t>صلى‌الله‌عليه‌وآله</w:t>
      </w:r>
      <w:r w:rsidRPr="00C9040A">
        <w:rPr>
          <w:rtl/>
          <w:lang w:bidi="fa-IR"/>
        </w:rPr>
        <w:t xml:space="preserve"> إِذَا وَرَدَ عَلَيْهِ أَمْرٌ يَسُرُّهُ ، قَالَ : الْحَمْدُ لِلّهِ عَلى هذِهِ النِّعْمَةِ ، وَإِذَا وَرَدَ عَلَيْهِ أَمْرٌ يَغْتَمُّ بِهِ </w:t>
      </w:r>
      <w:r w:rsidR="006C577F" w:rsidRPr="006C577F">
        <w:rPr>
          <w:rStyle w:val="libFootnotenumChar"/>
          <w:rtl/>
        </w:rPr>
        <w:t>(6)</w:t>
      </w:r>
      <w:r w:rsidRPr="00C9040A">
        <w:rPr>
          <w:rtl/>
          <w:lang w:bidi="fa-IR"/>
        </w:rPr>
        <w:t>، قَالَ : الْحَمْدُ لِلّهِ عَلى كُلِّ حَالٍ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3B7500">
        <w:rPr>
          <w:rtl/>
        </w:rPr>
        <w:t>1734</w:t>
      </w:r>
      <w:r w:rsidRPr="00261CB0">
        <w:rPr>
          <w:rStyle w:val="libBold2Char"/>
          <w:rtl/>
        </w:rPr>
        <w:t xml:space="preserve"> / 20.</w:t>
      </w:r>
      <w:r w:rsidRPr="00C9040A">
        <w:rPr>
          <w:rtl/>
          <w:lang w:bidi="fa-IR"/>
        </w:rPr>
        <w:t xml:space="preserve"> عَلِيُّ بْنُ إِبْرَاهِيمَ ، عَنْ أَبِيهِ ، عَنِ ابْنِ أَبِي عُمَيْرٍ ، عَنْ أَبِي أَيُّوبَ الْخَرَّازِ </w:t>
      </w:r>
      <w:r w:rsidR="006C577F" w:rsidRPr="006C577F">
        <w:rPr>
          <w:rStyle w:val="libFootnotenumChar"/>
          <w:rtl/>
        </w:rPr>
        <w:t>(8)</w:t>
      </w:r>
      <w:r w:rsidRPr="00C9040A">
        <w:rPr>
          <w:rtl/>
          <w:lang w:bidi="fa-IR"/>
        </w:rPr>
        <w:t xml:space="preserve"> ، عَنْ أَبِي بَصِيرٍ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تَقُولُ ثَلَاثَ مَرَّاتٍ إِذَا نَظَرْتَ إِلَى الْمُبْتَلى مِنْ غَيْرِ أَنْ تُسْمِعَهُ </w:t>
      </w:r>
      <w:r w:rsidR="006C577F" w:rsidRPr="006C577F">
        <w:rPr>
          <w:rStyle w:val="libFootnotenumChar"/>
          <w:rtl/>
        </w:rPr>
        <w:t>(9)</w:t>
      </w:r>
      <w:r w:rsidRPr="00C9040A">
        <w:rPr>
          <w:rtl/>
          <w:lang w:bidi="fa-IR"/>
        </w:rPr>
        <w:t xml:space="preserve"> : الْحَمْدُ لِلّهِ الَّذِي عَافَانِي مِمَّا ابْتَلَاكَ بِهِ ، وَلَوْ شَاءَ </w:t>
      </w:r>
      <w:r w:rsidR="006C577F" w:rsidRPr="006C577F">
        <w:rPr>
          <w:rStyle w:val="libFootnotenumChar"/>
          <w:rtl/>
        </w:rPr>
        <w:t>(10)</w:t>
      </w:r>
      <w:r w:rsidRPr="00C9040A">
        <w:rPr>
          <w:rtl/>
          <w:lang w:bidi="fa-IR"/>
        </w:rPr>
        <w:t xml:space="preserve"> فَعَلَ </w:t>
      </w:r>
      <w:r w:rsidR="006C577F" w:rsidRPr="006C577F">
        <w:rPr>
          <w:rStyle w:val="libFootnotenumChar"/>
          <w:rtl/>
        </w:rPr>
        <w:t>(11)</w:t>
      </w:r>
      <w:r w:rsidRPr="00C9040A">
        <w:rPr>
          <w:rtl/>
          <w:lang w:bidi="fa-IR"/>
        </w:rPr>
        <w:t xml:space="preserve"> » قَالَ : « مَنْ قَالَ‌</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هكذا في النسخ التي قوبلت والوافي والبحار. وفي المطبوع : « له قائل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حاشية « ف »</w:t>
      </w:r>
      <w:r w:rsidR="008A74EB">
        <w:rPr>
          <w:rtl/>
        </w:rPr>
        <w:t xml:space="preserve"> : « أ</w:t>
      </w:r>
      <w:r w:rsidR="008A74EB" w:rsidRPr="00C9040A">
        <w:rPr>
          <w:rtl/>
        </w:rPr>
        <w:t>لست »</w:t>
      </w:r>
      <w:r w:rsidR="008A74EB">
        <w:rPr>
          <w:rtl/>
        </w:rPr>
        <w:t>.</w:t>
      </w:r>
      <w:r w:rsidR="008A74EB" w:rsidRPr="00C9040A">
        <w:rPr>
          <w:rtl/>
        </w:rPr>
        <w:t xml:space="preserve"> </w:t>
      </w:r>
      <w:r w:rsidR="008A74EB">
        <w:rPr>
          <w:rtl/>
        </w:rPr>
        <w:t xml:space="preserve">وهو الظاهر. وفي البحار : </w:t>
      </w:r>
      <w:r w:rsidR="0084262C">
        <w:rPr>
          <w:rtl/>
        </w:rPr>
        <w:t>-</w:t>
      </w:r>
      <w:r w:rsidR="008A74EB">
        <w:rPr>
          <w:rtl/>
        </w:rPr>
        <w:t xml:space="preserve"> « أ</w:t>
      </w:r>
      <w:r w:rsidR="008A74EB" w:rsidRPr="00C9040A">
        <w:rPr>
          <w:rtl/>
        </w:rPr>
        <w:t>ليس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w:t>
      </w:r>
      <w:r w:rsidR="008A74EB" w:rsidRPr="00993B55">
        <w:rPr>
          <w:rStyle w:val="libFootnoteBoldChar"/>
          <w:rtl/>
        </w:rPr>
        <w:t>الوافي</w:t>
      </w:r>
      <w:r w:rsidR="008A74EB" w:rsidRPr="00C9040A">
        <w:rPr>
          <w:rtl/>
        </w:rPr>
        <w:t xml:space="preserve"> ، ج 4 ، ص 348 ، ح 2094 ؛ </w:t>
      </w:r>
      <w:r w:rsidR="008A74EB" w:rsidRPr="00993B55">
        <w:rPr>
          <w:rStyle w:val="libFootnoteBoldChar"/>
          <w:rtl/>
        </w:rPr>
        <w:t>البحار</w:t>
      </w:r>
      <w:r w:rsidR="008A74EB" w:rsidRPr="00C9040A">
        <w:rPr>
          <w:rtl/>
        </w:rPr>
        <w:t xml:space="preserve"> ، ج 71 ، ص 33 ، ح 13.</w:t>
      </w:r>
    </w:p>
    <w:p w:rsidR="008A74EB" w:rsidRPr="00C9040A" w:rsidRDefault="006C577F" w:rsidP="004A4E41">
      <w:pPr>
        <w:pStyle w:val="libFootnote0"/>
        <w:rPr>
          <w:rtl/>
          <w:lang w:bidi="fa-IR"/>
        </w:rPr>
      </w:pPr>
      <w:r>
        <w:rPr>
          <w:rtl/>
        </w:rPr>
        <w:t>(4).</w:t>
      </w:r>
      <w:r w:rsidR="008A74EB" w:rsidRPr="00C9040A">
        <w:rPr>
          <w:rtl/>
        </w:rPr>
        <w:t xml:space="preserve"> في « ز ، ص ، ض ، ف » : « مثنّى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ف ، بر » : « الخيّاط » ، وتقدّم في </w:t>
      </w:r>
      <w:r w:rsidR="008A74EB" w:rsidRPr="00993B55">
        <w:rPr>
          <w:rStyle w:val="libFootnoteBoldChar"/>
          <w:rtl/>
        </w:rPr>
        <w:t>الكافي</w:t>
      </w:r>
      <w:r w:rsidR="008A74EB" w:rsidRPr="00C9040A">
        <w:rPr>
          <w:rtl/>
        </w:rPr>
        <w:t xml:space="preserve"> ، ح 1496 ، أنّه سهو.</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حاشية « ض » : « يغتمّ له »</w:t>
      </w:r>
      <w:r w:rsidR="008A74EB">
        <w:rPr>
          <w:rtl/>
        </w:rPr>
        <w:t>.</w:t>
      </w:r>
      <w:r w:rsidR="008A74EB" w:rsidRPr="00C9040A">
        <w:rPr>
          <w:rtl/>
        </w:rPr>
        <w:t xml:space="preserve"> وفي مرآة العقول : « يغتمّ به ، على بناء المعلوم. وقد يقرأ على المجهول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الأمالي</w:t>
      </w:r>
      <w:r w:rsidR="008A74EB" w:rsidRPr="00C9040A">
        <w:rPr>
          <w:rtl/>
        </w:rPr>
        <w:t xml:space="preserve"> للطوسي ، ص 49 ، المجلس 2 ، ح 33 ، بسند آخر عن الرضا ، عن آبائه </w:t>
      </w:r>
      <w:r w:rsidR="00117575" w:rsidRPr="00117575">
        <w:rPr>
          <w:rStyle w:val="libFootnoteAlaemChar"/>
          <w:rtl/>
        </w:rPr>
        <w:t>عليهم‌السلام</w:t>
      </w:r>
      <w:r w:rsidR="008A74EB" w:rsidRPr="00C9040A">
        <w:rPr>
          <w:rtl/>
        </w:rPr>
        <w:t xml:space="preserve"> عن رسول الله </w:t>
      </w:r>
      <w:r w:rsidR="004A4E41" w:rsidRPr="00AC2E2F">
        <w:rPr>
          <w:rStyle w:val="libFootnoteAlaemChar"/>
          <w:rtl/>
        </w:rPr>
        <w:t>صلى‌الله‌عليه‌وآله</w:t>
      </w:r>
      <w:r w:rsidR="008A74EB" w:rsidRPr="00C9040A">
        <w:rPr>
          <w:rtl/>
        </w:rPr>
        <w:t xml:space="preserve"> ، مع اختلاف يسير</w:t>
      </w:r>
      <w:r w:rsidR="001B1838">
        <w:rPr>
          <w:rFonts w:hint="cs"/>
          <w:rtl/>
        </w:rPr>
        <w:t>.</w:t>
      </w:r>
      <w:r w:rsidR="008A74EB" w:rsidRPr="00993B55">
        <w:rPr>
          <w:rStyle w:val="libFootnoteBoldChar"/>
          <w:rtl/>
        </w:rPr>
        <w:t>الوافي</w:t>
      </w:r>
      <w:r w:rsidR="008A74EB" w:rsidRPr="00C9040A">
        <w:rPr>
          <w:rtl/>
        </w:rPr>
        <w:t xml:space="preserve"> ، ج 4 ، ص 348 ، ح 2095 ؛ </w:t>
      </w:r>
      <w:r w:rsidR="008A74EB" w:rsidRPr="00993B55">
        <w:rPr>
          <w:rStyle w:val="libFootnoteBoldChar"/>
          <w:rtl/>
        </w:rPr>
        <w:t>الوسائل</w:t>
      </w:r>
      <w:r w:rsidR="008A74EB" w:rsidRPr="00C9040A">
        <w:rPr>
          <w:rtl/>
        </w:rPr>
        <w:t xml:space="preserve"> ، ج 3 ، ص 247 ، ح 3535 ؛ </w:t>
      </w:r>
      <w:r w:rsidR="008A74EB" w:rsidRPr="00993B55">
        <w:rPr>
          <w:rStyle w:val="libFootnoteBoldChar"/>
          <w:rtl/>
        </w:rPr>
        <w:t>البحار</w:t>
      </w:r>
      <w:r w:rsidR="008A74EB" w:rsidRPr="00C9040A">
        <w:rPr>
          <w:rtl/>
        </w:rPr>
        <w:t xml:space="preserve"> ، ج 71 ، ص 33 ، ح 14.</w:t>
      </w:r>
    </w:p>
    <w:p w:rsidR="008A74EB" w:rsidRPr="004A4E41" w:rsidRDefault="006C577F" w:rsidP="004A4E41">
      <w:pPr>
        <w:pStyle w:val="libFootnote0"/>
        <w:rPr>
          <w:rStyle w:val="libFootnote0Char"/>
          <w:rtl/>
        </w:rPr>
      </w:pPr>
      <w:r>
        <w:rPr>
          <w:rtl/>
        </w:rPr>
        <w:t>(8).</w:t>
      </w:r>
      <w:r w:rsidR="008A74EB" w:rsidRPr="00C9040A">
        <w:rPr>
          <w:rtl/>
        </w:rPr>
        <w:t xml:space="preserve"> هكذا في « د ، ز ، ص ، جر »</w:t>
      </w:r>
      <w:r w:rsidR="008A74EB">
        <w:rPr>
          <w:rtl/>
        </w:rPr>
        <w:t>.</w:t>
      </w:r>
      <w:r w:rsidR="008A74EB" w:rsidRPr="00C9040A">
        <w:rPr>
          <w:rtl/>
        </w:rPr>
        <w:t xml:space="preserve"> وفي « ب ، ج ، ض ، ف ، بس ، بف » والمطبوع : « الخزّاز »</w:t>
      </w:r>
      <w:r w:rsidR="008A74EB">
        <w:rPr>
          <w:rtl/>
        </w:rPr>
        <w:t>.</w:t>
      </w:r>
      <w:r w:rsidR="008A74EB" w:rsidRPr="00C9040A">
        <w:rPr>
          <w:rtl/>
        </w:rPr>
        <w:t xml:space="preserve"> وفي « بر » : « الخرّار »</w:t>
      </w:r>
      <w:r w:rsidR="008A74EB">
        <w:rPr>
          <w:rtl/>
        </w:rPr>
        <w:t>.</w:t>
      </w:r>
      <w:r w:rsidR="008A74EB" w:rsidRPr="00C9040A">
        <w:rPr>
          <w:rtl/>
        </w:rPr>
        <w:t xml:space="preserve"> والصواب ما أثبتناه ، كما تقدّم في </w:t>
      </w:r>
      <w:r w:rsidR="008A74EB" w:rsidRPr="00993B55">
        <w:rPr>
          <w:rStyle w:val="libFootnoteBoldChar"/>
          <w:rtl/>
        </w:rPr>
        <w:t>الكافي</w:t>
      </w:r>
      <w:r w:rsidR="008A74EB" w:rsidRPr="00C9040A">
        <w:rPr>
          <w:rtl/>
        </w:rPr>
        <w:t xml:space="preserve"> ، ح 75.</w:t>
      </w:r>
    </w:p>
    <w:tbl>
      <w:tblPr>
        <w:tblStyle w:val="TableGrid"/>
        <w:bidiVisual/>
        <w:tblW w:w="0" w:type="auto"/>
        <w:tblLook w:val="04A0" w:firstRow="1" w:lastRow="0" w:firstColumn="1" w:lastColumn="0" w:noHBand="0" w:noVBand="1"/>
      </w:tblPr>
      <w:tblGrid>
        <w:gridCol w:w="4006"/>
        <w:gridCol w:w="4006"/>
      </w:tblGrid>
      <w:tr w:rsidR="001B1838" w:rsidTr="001B1838">
        <w:tc>
          <w:tcPr>
            <w:tcW w:w="4006" w:type="dxa"/>
          </w:tcPr>
          <w:p w:rsidR="001B1838" w:rsidRDefault="001B1838" w:rsidP="004A4E41">
            <w:pPr>
              <w:pStyle w:val="libFootnote0"/>
              <w:rPr>
                <w:rtl/>
              </w:rPr>
            </w:pPr>
            <w:r>
              <w:rPr>
                <w:rtl/>
              </w:rPr>
              <w:t>(9).</w:t>
            </w:r>
            <w:r w:rsidRPr="00C9040A">
              <w:rPr>
                <w:rtl/>
              </w:rPr>
              <w:t xml:space="preserve"> في « بر » : « تسمّعه » بالتشديد.</w:t>
            </w:r>
          </w:p>
        </w:tc>
        <w:tc>
          <w:tcPr>
            <w:tcW w:w="4006" w:type="dxa"/>
          </w:tcPr>
          <w:p w:rsidR="001B1838" w:rsidRDefault="001B1838" w:rsidP="004A4E41">
            <w:pPr>
              <w:pStyle w:val="libFootnote0"/>
              <w:rPr>
                <w:rtl/>
              </w:rPr>
            </w:pPr>
            <w:r>
              <w:rPr>
                <w:rtl/>
              </w:rPr>
              <w:t>(10).</w:t>
            </w:r>
            <w:r w:rsidRPr="00C9040A">
              <w:rPr>
                <w:rtl/>
              </w:rPr>
              <w:t xml:space="preserve"> في حاشية « ص » : + « الله »</w:t>
            </w:r>
            <w:r>
              <w:rPr>
                <w:rtl/>
              </w:rPr>
              <w:t>.</w:t>
            </w:r>
          </w:p>
        </w:tc>
      </w:tr>
    </w:tbl>
    <w:p w:rsidR="008A74EB" w:rsidRPr="00C9040A" w:rsidRDefault="006C577F" w:rsidP="004A4E41">
      <w:pPr>
        <w:pStyle w:val="libFootnote0"/>
        <w:rPr>
          <w:rtl/>
          <w:lang w:bidi="fa-IR"/>
        </w:rPr>
      </w:pPr>
      <w:r>
        <w:rPr>
          <w:rtl/>
        </w:rPr>
        <w:t>(11).</w:t>
      </w:r>
      <w:r w:rsidR="008A74EB" w:rsidRPr="00C9040A">
        <w:rPr>
          <w:rtl/>
        </w:rPr>
        <w:t xml:space="preserve"> في « ب ، ز ، بف » : « لفعل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ذلِكَ ، لَمْ يُصِبْهُ ذلِكَ الْبَلَاءُ أَبَداً »</w:t>
      </w:r>
      <w:r>
        <w:rPr>
          <w:rtl/>
          <w:lang w:bidi="fa-IR"/>
        </w:rPr>
        <w:t>.</w:t>
      </w:r>
      <w:r w:rsidRPr="00C9040A">
        <w:rPr>
          <w:rtl/>
          <w:lang w:bidi="fa-IR"/>
        </w:rPr>
        <w:t xml:space="preserve"> </w:t>
      </w:r>
      <w:r w:rsidR="006C577F" w:rsidRPr="006C577F">
        <w:rPr>
          <w:rStyle w:val="libFootnotenumChar"/>
          <w:rtl/>
        </w:rPr>
        <w:t>(1)</w:t>
      </w:r>
      <w:r w:rsidRPr="00C9040A">
        <w:rPr>
          <w:rtl/>
          <w:lang w:bidi="fa-IR"/>
        </w:rPr>
        <w:t>‌</w:t>
      </w:r>
    </w:p>
    <w:p w:rsidR="008A74EB" w:rsidRPr="00C9040A" w:rsidRDefault="008A74EB" w:rsidP="008A74EB">
      <w:pPr>
        <w:pStyle w:val="libNormal"/>
        <w:rPr>
          <w:rtl/>
          <w:lang w:bidi="fa-IR"/>
        </w:rPr>
      </w:pPr>
      <w:r w:rsidRPr="003B7500">
        <w:rPr>
          <w:rtl/>
        </w:rPr>
        <w:t>1735</w:t>
      </w:r>
      <w:r w:rsidRPr="00261CB0">
        <w:rPr>
          <w:rStyle w:val="libBold2Char"/>
          <w:rtl/>
        </w:rPr>
        <w:t xml:space="preserve"> / 21.</w:t>
      </w:r>
      <w:r w:rsidRPr="00C9040A">
        <w:rPr>
          <w:rtl/>
          <w:lang w:bidi="fa-IR"/>
        </w:rPr>
        <w:t xml:space="preserve"> حُمَيْدُ بْنُ زِيَادٍ ، عَنِ الْحَسَنِ بْنِ مُحَمَّدِ بْنِ سَمَاعَةَ ، عَنْ غَيْرِ وَاحِدٍ ، عَنْ أَبَانِ بْنِ عُثْمَانَ ، عَنْ حَفْصٍ الْكُنَاسِيِّ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مَا مِنْ عَبْدٍ يَرى </w:t>
      </w:r>
      <w:r w:rsidR="006C577F" w:rsidRPr="006C577F">
        <w:rPr>
          <w:rStyle w:val="libFootnotenumChar"/>
          <w:rtl/>
        </w:rPr>
        <w:t>(2)</w:t>
      </w:r>
      <w:r w:rsidRPr="00C9040A">
        <w:rPr>
          <w:rtl/>
          <w:lang w:bidi="fa-IR"/>
        </w:rPr>
        <w:t xml:space="preserve"> مُبْتَلًى ، فَيَقُولُ : " الْحَمْدُ لِلّهِ الَّذِي عَدَلَ عَنِّي مَا ابْتَلَاكَ بِهِ ، وَفَضَّلَنِي عَلَيْكَ بِالْعَافِيَةِ ، اللهُمَّ عَافِنِي مِمَّا ابْتَلَيْتَهُ </w:t>
      </w:r>
      <w:r w:rsidR="006C577F" w:rsidRPr="006C577F">
        <w:rPr>
          <w:rStyle w:val="libFootnotenumChar"/>
          <w:rtl/>
        </w:rPr>
        <w:t>(3)</w:t>
      </w:r>
      <w:r w:rsidR="00C6608F">
        <w:rPr>
          <w:rtl/>
          <w:lang w:bidi="fa-IR"/>
        </w:rPr>
        <w:t xml:space="preserve"> بِهِ" إِل</w:t>
      </w:r>
      <w:r w:rsidR="00C6608F">
        <w:rPr>
          <w:rFonts w:hint="cs"/>
          <w:rtl/>
          <w:lang w:bidi="fa-IR"/>
        </w:rPr>
        <w:t>َّ</w:t>
      </w:r>
      <w:r w:rsidR="00C6608F">
        <w:rPr>
          <w:rtl/>
          <w:lang w:bidi="fa-IR"/>
        </w:rPr>
        <w:t>ا</w:t>
      </w:r>
      <w:r w:rsidRPr="00C9040A">
        <w:rPr>
          <w:rtl/>
          <w:lang w:bidi="fa-IR"/>
        </w:rPr>
        <w:t xml:space="preserve"> لَمْ يُبْتَلَ بِذلِكَ الْبَلَاءِ </w:t>
      </w:r>
      <w:r w:rsidR="006C577F" w:rsidRPr="006C577F">
        <w:rPr>
          <w:rStyle w:val="libFootnotenumChar"/>
          <w:rtl/>
        </w:rPr>
        <w:t>(4)</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3B7500">
        <w:rPr>
          <w:rtl/>
        </w:rPr>
        <w:t>1736</w:t>
      </w:r>
      <w:r w:rsidRPr="00261CB0">
        <w:rPr>
          <w:rStyle w:val="libBold2Char"/>
          <w:rtl/>
        </w:rPr>
        <w:t xml:space="preserve"> / 22.</w:t>
      </w:r>
      <w:r w:rsidRPr="00C9040A">
        <w:rPr>
          <w:rtl/>
          <w:lang w:bidi="fa-IR"/>
        </w:rPr>
        <w:t xml:space="preserve"> عِدَّةٌ مِنْ أَصْحَابِنَا ، عَنْ أَحْمَدَ بْنِ أَبِي عَبْدِ اللهِ ، عَنْ عُثْمَانَ بْنِ عِيسى ، عَنْ خَالِدِ بْنِ نَجِيحٍ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إِذَا رَأَيْتَ الرَّجُلَ وَ</w:t>
      </w:r>
      <w:r>
        <w:rPr>
          <w:rFonts w:hint="cs"/>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قَدِ ابْتُلِيَ وَ</w:t>
      </w:r>
      <w:r>
        <w:rPr>
          <w:rFonts w:hint="cs"/>
          <w:rtl/>
          <w:lang w:bidi="fa-IR"/>
        </w:rPr>
        <w:t xml:space="preserve"> </w:t>
      </w:r>
      <w:r w:rsidR="006C577F" w:rsidRPr="006C577F">
        <w:rPr>
          <w:rStyle w:val="libFootnotenumChar"/>
          <w:rtl/>
        </w:rPr>
        <w:t>(7)</w:t>
      </w:r>
      <w:r w:rsidRPr="00C9040A">
        <w:rPr>
          <w:rtl/>
          <w:lang w:bidi="fa-IR"/>
        </w:rPr>
        <w:t xml:space="preserve"> أَنْعَمَ اللهُ </w:t>
      </w:r>
      <w:r w:rsidR="006C577F" w:rsidRPr="006C577F">
        <w:rPr>
          <w:rStyle w:val="libFootnotenumChar"/>
          <w:rtl/>
        </w:rPr>
        <w:t>(8)</w:t>
      </w:r>
      <w:r w:rsidRPr="00C9040A">
        <w:rPr>
          <w:rtl/>
          <w:lang w:bidi="fa-IR"/>
        </w:rPr>
        <w:t xml:space="preserve"> عَلَيْكَ ، فَقُلِ :</w:t>
      </w:r>
      <w:r>
        <w:rPr>
          <w:rFonts w:hint="cs"/>
          <w:rtl/>
          <w:lang w:bidi="fa-IR"/>
        </w:rPr>
        <w:t xml:space="preserve"> </w:t>
      </w:r>
      <w:r w:rsidRPr="00C9040A">
        <w:rPr>
          <w:rtl/>
          <w:lang w:bidi="fa-IR"/>
        </w:rPr>
        <w:t>اللهُمَّ إِنِّي لَا</w:t>
      </w:r>
      <w:r>
        <w:rPr>
          <w:rFonts w:hint="cs"/>
          <w:rtl/>
          <w:lang w:bidi="fa-IR"/>
        </w:rPr>
        <w:t xml:space="preserve"> </w:t>
      </w:r>
      <w:r w:rsidRPr="00C9040A">
        <w:rPr>
          <w:rtl/>
          <w:lang w:bidi="fa-IR"/>
        </w:rPr>
        <w:t xml:space="preserve">أَسْخَرُ وَلَا أَفْخَرُ </w:t>
      </w:r>
      <w:r w:rsidR="006C577F" w:rsidRPr="006C577F">
        <w:rPr>
          <w:rStyle w:val="libFootnotenumChar"/>
          <w:rtl/>
        </w:rPr>
        <w:t>(9)</w:t>
      </w:r>
      <w:r w:rsidRPr="00C9040A">
        <w:rPr>
          <w:rtl/>
          <w:lang w:bidi="fa-IR"/>
        </w:rPr>
        <w:t xml:space="preserve"> ، وَلكِنْ </w:t>
      </w:r>
      <w:r w:rsidR="006C577F" w:rsidRPr="006C577F">
        <w:rPr>
          <w:rStyle w:val="libFootnotenumChar"/>
          <w:rtl/>
        </w:rPr>
        <w:t>(10)</w:t>
      </w:r>
      <w:r w:rsidRPr="00C9040A">
        <w:rPr>
          <w:rtl/>
          <w:lang w:bidi="fa-IR"/>
        </w:rPr>
        <w:t xml:space="preserve"> أَحْمَدُكَ عَلى عَظِيمِ نَعْمَائِكَ عَلَيَّ »</w:t>
      </w:r>
      <w:r>
        <w:rPr>
          <w:rtl/>
          <w:lang w:bidi="fa-IR"/>
        </w:rPr>
        <w:t>.</w:t>
      </w:r>
      <w:r w:rsidRPr="00C9040A">
        <w:rPr>
          <w:rtl/>
          <w:lang w:bidi="fa-IR"/>
        </w:rPr>
        <w:t xml:space="preserve"> </w:t>
      </w:r>
      <w:r w:rsidR="006C577F" w:rsidRPr="006C577F">
        <w:rPr>
          <w:rStyle w:val="libFootnotenumChar"/>
          <w:rtl/>
        </w:rPr>
        <w:t>(11)</w:t>
      </w:r>
      <w:r w:rsidRPr="00C9040A">
        <w:rPr>
          <w:rtl/>
          <w:lang w:bidi="fa-IR"/>
        </w:rPr>
        <w:t xml:space="preserve"> ‌</w:t>
      </w:r>
    </w:p>
    <w:p w:rsidR="008A74EB" w:rsidRPr="00C9040A" w:rsidRDefault="008A74EB" w:rsidP="008A74EB">
      <w:pPr>
        <w:pStyle w:val="libNormal"/>
        <w:rPr>
          <w:rtl/>
          <w:lang w:bidi="fa-IR"/>
        </w:rPr>
      </w:pPr>
      <w:r w:rsidRPr="003B7500">
        <w:rPr>
          <w:rtl/>
        </w:rPr>
        <w:t>1737</w:t>
      </w:r>
      <w:r w:rsidRPr="00261CB0">
        <w:rPr>
          <w:rStyle w:val="libBold2Char"/>
          <w:rtl/>
        </w:rPr>
        <w:t xml:space="preserve"> / 23.</w:t>
      </w:r>
      <w:r w:rsidRPr="00C9040A">
        <w:rPr>
          <w:rtl/>
          <w:lang w:bidi="fa-IR"/>
        </w:rPr>
        <w:t xml:space="preserve"> عَنْهُ </w:t>
      </w:r>
      <w:r w:rsidR="006C577F" w:rsidRPr="006C577F">
        <w:rPr>
          <w:rStyle w:val="libFootnotenumChar"/>
          <w:rtl/>
        </w:rPr>
        <w:t>(12)</w:t>
      </w:r>
      <w:r w:rsidRPr="00C9040A">
        <w:rPr>
          <w:rtl/>
          <w:lang w:bidi="fa-IR"/>
        </w:rPr>
        <w:t xml:space="preserve"> ، عَنْ أَبِيهِ ، عَنْ هَارُونَ بْنِ الْجَهْمِ ، عَنْ حَفْصِ بْنِ عُمَرَ :</w:t>
      </w:r>
    </w:p>
    <w:p w:rsidR="008A74EB" w:rsidRPr="00C9040A" w:rsidRDefault="008A74EB" w:rsidP="008A74EB">
      <w:pPr>
        <w:pStyle w:val="libLine"/>
        <w:rPr>
          <w:rtl/>
          <w:lang w:bidi="fa-IR"/>
        </w:rPr>
      </w:pPr>
      <w:r w:rsidRPr="00C9040A">
        <w:rPr>
          <w:rtl/>
          <w:lang w:bidi="fa-IR"/>
        </w:rPr>
        <w:t>__________________</w:t>
      </w:r>
    </w:p>
    <w:p w:rsidR="008A74EB" w:rsidRPr="004A4E41" w:rsidRDefault="006C577F" w:rsidP="004A4E41">
      <w:pPr>
        <w:pStyle w:val="libFootnote0"/>
        <w:rPr>
          <w:rStyle w:val="libFootnote0Char"/>
          <w:rtl/>
        </w:rPr>
      </w:pPr>
      <w:r>
        <w:rPr>
          <w:rtl/>
        </w:rPr>
        <w:t>(1).</w:t>
      </w:r>
      <w:r w:rsidR="008A74EB" w:rsidRPr="00C9040A">
        <w:rPr>
          <w:rtl/>
        </w:rPr>
        <w:t xml:space="preserve"> </w:t>
      </w:r>
      <w:r w:rsidR="008A74EB" w:rsidRPr="00993B55">
        <w:rPr>
          <w:rStyle w:val="libFootnoteBoldChar"/>
          <w:rtl/>
        </w:rPr>
        <w:t>الكافي</w:t>
      </w:r>
      <w:r w:rsidR="008A74EB" w:rsidRPr="00C9040A">
        <w:rPr>
          <w:rtl/>
        </w:rPr>
        <w:t xml:space="preserve"> ، كتاب الدعاء ، باب الدعاء للعلل والأمراض ، ح 3406 ، بسند آخر ، وفيه : « وفضّلني عليك وعلى كثير ممّن خلق » بدل « ولو شاء فعل » ؛ </w:t>
      </w:r>
      <w:r w:rsidR="008A74EB" w:rsidRPr="0034021D">
        <w:rPr>
          <w:rStyle w:val="libFootnoteBoldChar"/>
          <w:rtl/>
        </w:rPr>
        <w:t>الأمالي للصدوق</w:t>
      </w:r>
      <w:r w:rsidR="008A74EB" w:rsidRPr="00C9040A">
        <w:rPr>
          <w:rtl/>
        </w:rPr>
        <w:t xml:space="preserve"> ، ص 267 ، المجلس 45 ، ح 12 ، بسند آخر عن أبي عبد الله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فقه الرضا</w:t>
      </w:r>
      <w:r w:rsidR="008A74EB" w:rsidRPr="00C9040A">
        <w:rPr>
          <w:rtl/>
        </w:rPr>
        <w:t xml:space="preserve"> </w:t>
      </w:r>
      <w:r w:rsidR="00117575" w:rsidRPr="00117575">
        <w:rPr>
          <w:rStyle w:val="libFootnoteAlaemChar"/>
          <w:rtl/>
        </w:rPr>
        <w:t>عليه‌السلام</w:t>
      </w:r>
      <w:r w:rsidR="008A74EB" w:rsidRPr="00C9040A">
        <w:rPr>
          <w:rtl/>
        </w:rPr>
        <w:t xml:space="preserve"> ، ص 399 ، ضمن الحديث الطويل ، وفي كلّها مع اختلاف يسير. وراجع : </w:t>
      </w:r>
      <w:r w:rsidR="008A74EB" w:rsidRPr="00993B55">
        <w:rPr>
          <w:rStyle w:val="libFootnoteBoldChar"/>
          <w:rtl/>
        </w:rPr>
        <w:t>الجعفريّات</w:t>
      </w:r>
      <w:r w:rsidR="008A74EB" w:rsidRPr="00C9040A">
        <w:rPr>
          <w:rtl/>
        </w:rPr>
        <w:t xml:space="preserve"> ، ص 220</w:t>
      </w:r>
      <w:r w:rsidR="00C6608F">
        <w:rPr>
          <w:rFonts w:hint="cs"/>
          <w:rtl/>
        </w:rPr>
        <w:t>.</w:t>
      </w:r>
      <w:r w:rsidR="008A74EB" w:rsidRPr="00993B55">
        <w:rPr>
          <w:rStyle w:val="libFootnoteBoldChar"/>
          <w:rtl/>
        </w:rPr>
        <w:t>الوافي</w:t>
      </w:r>
      <w:r w:rsidR="008A74EB" w:rsidRPr="00C9040A">
        <w:rPr>
          <w:rtl/>
        </w:rPr>
        <w:t xml:space="preserve"> ، ج 4 ، ص 352 ، ح 2104 ؛ </w:t>
      </w:r>
      <w:r w:rsidR="008A74EB" w:rsidRPr="00993B55">
        <w:rPr>
          <w:rStyle w:val="libFootnoteBoldChar"/>
          <w:rtl/>
        </w:rPr>
        <w:t>البحار</w:t>
      </w:r>
      <w:r w:rsidR="008A74EB" w:rsidRPr="00C9040A">
        <w:rPr>
          <w:rtl/>
        </w:rPr>
        <w:t xml:space="preserve"> ، ج 71 ، ص 34 ، ح 15.</w:t>
      </w:r>
    </w:p>
    <w:tbl>
      <w:tblPr>
        <w:tblStyle w:val="TableGrid"/>
        <w:bidiVisual/>
        <w:tblW w:w="0" w:type="auto"/>
        <w:tblLook w:val="04A0" w:firstRow="1" w:lastRow="0" w:firstColumn="1" w:lastColumn="0" w:noHBand="0" w:noVBand="1"/>
      </w:tblPr>
      <w:tblGrid>
        <w:gridCol w:w="4006"/>
        <w:gridCol w:w="4006"/>
      </w:tblGrid>
      <w:tr w:rsidR="00C6608F" w:rsidTr="00C6608F">
        <w:tc>
          <w:tcPr>
            <w:tcW w:w="4006" w:type="dxa"/>
          </w:tcPr>
          <w:p w:rsidR="00C6608F" w:rsidRDefault="00C6608F" w:rsidP="004A4E41">
            <w:pPr>
              <w:pStyle w:val="libFootnote0"/>
              <w:rPr>
                <w:rtl/>
              </w:rPr>
            </w:pPr>
            <w:r>
              <w:rPr>
                <w:rtl/>
              </w:rPr>
              <w:t xml:space="preserve">(2). </w:t>
            </w:r>
            <w:r w:rsidRPr="00C9040A">
              <w:rPr>
                <w:rtl/>
              </w:rPr>
              <w:t>في البحار : « رأى »</w:t>
            </w:r>
            <w:r>
              <w:rPr>
                <w:rtl/>
              </w:rPr>
              <w:t>.</w:t>
            </w:r>
          </w:p>
        </w:tc>
        <w:tc>
          <w:tcPr>
            <w:tcW w:w="4006" w:type="dxa"/>
          </w:tcPr>
          <w:p w:rsidR="00C6608F" w:rsidRDefault="00C6608F" w:rsidP="004A4E41">
            <w:pPr>
              <w:pStyle w:val="libFootnote0"/>
              <w:rPr>
                <w:rtl/>
              </w:rPr>
            </w:pPr>
            <w:r>
              <w:rPr>
                <w:rtl/>
              </w:rPr>
              <w:t>(3).</w:t>
            </w:r>
            <w:r w:rsidRPr="00C9040A">
              <w:rPr>
                <w:rtl/>
              </w:rPr>
              <w:t xml:space="preserve"> في « ز » : « ابتليت »</w:t>
            </w:r>
            <w:r>
              <w:rPr>
                <w:rtl/>
              </w:rPr>
              <w:t>.</w:t>
            </w:r>
          </w:p>
        </w:tc>
      </w:tr>
    </w:tbl>
    <w:p w:rsidR="008A74EB" w:rsidRPr="00C9040A" w:rsidRDefault="006C577F" w:rsidP="004A4E41">
      <w:pPr>
        <w:pStyle w:val="libFootnote0"/>
        <w:rPr>
          <w:rtl/>
          <w:lang w:bidi="fa-IR"/>
        </w:rPr>
      </w:pPr>
      <w:r>
        <w:rPr>
          <w:rtl/>
        </w:rPr>
        <w:t>(4).</w:t>
      </w:r>
      <w:r w:rsidR="008A74EB" w:rsidRPr="00C9040A">
        <w:rPr>
          <w:rtl/>
        </w:rPr>
        <w:t xml:space="preserve"> في حاشية « بر » والوافي والبحار : + « أبداً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الوافي</w:t>
      </w:r>
      <w:r w:rsidR="008A74EB" w:rsidRPr="00C9040A">
        <w:rPr>
          <w:rtl/>
        </w:rPr>
        <w:t xml:space="preserve"> ، ج 4 ، ص 352 ، ح 2105 ؛ </w:t>
      </w:r>
      <w:r w:rsidR="008A74EB" w:rsidRPr="00993B55">
        <w:rPr>
          <w:rStyle w:val="libFootnoteBoldChar"/>
          <w:rtl/>
        </w:rPr>
        <w:t>البحار</w:t>
      </w:r>
      <w:r w:rsidR="008A74EB" w:rsidRPr="00C9040A">
        <w:rPr>
          <w:rtl/>
        </w:rPr>
        <w:t xml:space="preserve"> ، ج 71 ، ص 34 ، ح 16.</w:t>
      </w:r>
    </w:p>
    <w:p w:rsidR="008A74EB" w:rsidRPr="004A4E41" w:rsidRDefault="006C577F" w:rsidP="004A4E41">
      <w:pPr>
        <w:pStyle w:val="libFootnote0"/>
        <w:rPr>
          <w:rStyle w:val="libFootnote0Char"/>
          <w:rtl/>
        </w:rPr>
      </w:pPr>
      <w:r>
        <w:rPr>
          <w:rtl/>
        </w:rPr>
        <w:t>(6).</w:t>
      </w:r>
      <w:r w:rsidR="008A74EB">
        <w:rPr>
          <w:rtl/>
        </w:rPr>
        <w:t xml:space="preserve"> </w:t>
      </w:r>
      <w:r w:rsidR="008A74EB" w:rsidRPr="00C9040A">
        <w:rPr>
          <w:rtl/>
        </w:rPr>
        <w:t xml:space="preserve">في « ب ، ج ، ف ، بر ، بس » والوافي والبحار </w:t>
      </w:r>
      <w:r w:rsidR="008A74EB">
        <w:rPr>
          <w:rtl/>
        </w:rPr>
        <w:t xml:space="preserve">: </w:t>
      </w:r>
      <w:r w:rsidR="0084262C">
        <w:rPr>
          <w:rtl/>
        </w:rPr>
        <w:t>-</w:t>
      </w:r>
      <w:r w:rsidR="008A74EB" w:rsidRPr="00C9040A">
        <w:rPr>
          <w:rtl/>
        </w:rPr>
        <w:t xml:space="preserve"> « </w:t>
      </w:r>
      <w:r w:rsidR="008A74EB">
        <w:rPr>
          <w:rtl/>
        </w:rPr>
        <w:t>و ».</w:t>
      </w:r>
    </w:p>
    <w:tbl>
      <w:tblPr>
        <w:tblStyle w:val="TableGrid"/>
        <w:bidiVisual/>
        <w:tblW w:w="0" w:type="auto"/>
        <w:tblLook w:val="04A0" w:firstRow="1" w:lastRow="0" w:firstColumn="1" w:lastColumn="0" w:noHBand="0" w:noVBand="1"/>
      </w:tblPr>
      <w:tblGrid>
        <w:gridCol w:w="4006"/>
        <w:gridCol w:w="4006"/>
      </w:tblGrid>
      <w:tr w:rsidR="00087924" w:rsidTr="00087924">
        <w:tc>
          <w:tcPr>
            <w:tcW w:w="4006" w:type="dxa"/>
          </w:tcPr>
          <w:p w:rsidR="00087924" w:rsidRDefault="00087924" w:rsidP="004A4E41">
            <w:pPr>
              <w:pStyle w:val="libFootnote0"/>
              <w:rPr>
                <w:rtl/>
              </w:rPr>
            </w:pPr>
            <w:r>
              <w:rPr>
                <w:rtl/>
              </w:rPr>
              <w:t>(7).</w:t>
            </w:r>
            <w:r w:rsidRPr="00C9040A">
              <w:rPr>
                <w:rtl/>
              </w:rPr>
              <w:t xml:space="preserve"> في « بر » وحاشية « بس » : « وقد »</w:t>
            </w:r>
            <w:r>
              <w:rPr>
                <w:rtl/>
              </w:rPr>
              <w:t>.</w:t>
            </w:r>
          </w:p>
        </w:tc>
        <w:tc>
          <w:tcPr>
            <w:tcW w:w="4006" w:type="dxa"/>
          </w:tcPr>
          <w:p w:rsidR="00087924" w:rsidRDefault="00087924" w:rsidP="004A4E41">
            <w:pPr>
              <w:pStyle w:val="libFootnote0"/>
              <w:rPr>
                <w:rtl/>
              </w:rPr>
            </w:pPr>
            <w:r>
              <w:rPr>
                <w:rtl/>
              </w:rPr>
              <w:t>(8).</w:t>
            </w:r>
            <w:r w:rsidRPr="00C9040A">
              <w:rPr>
                <w:rtl/>
              </w:rPr>
              <w:t xml:space="preserve"> في « ز ، ص ، ف » </w:t>
            </w:r>
            <w:r>
              <w:rPr>
                <w:rtl/>
              </w:rPr>
              <w:t>: -</w:t>
            </w:r>
            <w:r w:rsidRPr="00C9040A">
              <w:rPr>
                <w:rtl/>
              </w:rPr>
              <w:t xml:space="preserve"> « الله »</w:t>
            </w:r>
            <w:r>
              <w:rPr>
                <w:rtl/>
              </w:rPr>
              <w:t>.</w:t>
            </w:r>
          </w:p>
        </w:tc>
      </w:tr>
    </w:tbl>
    <w:p w:rsidR="008A74EB" w:rsidRPr="00C9040A" w:rsidRDefault="006C577F" w:rsidP="004A4E41">
      <w:pPr>
        <w:pStyle w:val="libFootnote0"/>
        <w:rPr>
          <w:rtl/>
          <w:lang w:bidi="fa-IR"/>
        </w:rPr>
      </w:pPr>
      <w:r>
        <w:rPr>
          <w:rtl/>
        </w:rPr>
        <w:t>(9).</w:t>
      </w:r>
      <w:r w:rsidR="008A74EB" w:rsidRPr="00C9040A">
        <w:rPr>
          <w:rtl/>
        </w:rPr>
        <w:t xml:space="preserve"> في </w:t>
      </w:r>
      <w:r w:rsidR="008A74EB" w:rsidRPr="00993B55">
        <w:rPr>
          <w:rStyle w:val="libFootnoteBoldChar"/>
          <w:rtl/>
        </w:rPr>
        <w:t>الوافي</w:t>
      </w:r>
      <w:r w:rsidR="008A74EB" w:rsidRPr="00C9040A">
        <w:rPr>
          <w:rtl/>
        </w:rPr>
        <w:t xml:space="preserve"> : « يعني لا أسخر من هذا المبتلى بابتلائه بذلك ، ولا أفخر عليه ببراءتي منه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 بر ، بف » والوافي : « ولكنّي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w:t>
      </w:r>
      <w:r w:rsidR="008A74EB" w:rsidRPr="00993B55">
        <w:rPr>
          <w:rStyle w:val="libFootnoteBoldChar"/>
          <w:rtl/>
        </w:rPr>
        <w:t>الوافي</w:t>
      </w:r>
      <w:r w:rsidR="008A74EB" w:rsidRPr="00C9040A">
        <w:rPr>
          <w:rtl/>
        </w:rPr>
        <w:t xml:space="preserve"> ، ج 4 ، ص 352 ، ح 2106 ؛ </w:t>
      </w:r>
      <w:r w:rsidR="008A74EB" w:rsidRPr="00993B55">
        <w:rPr>
          <w:rStyle w:val="libFootnoteBoldChar"/>
          <w:rtl/>
        </w:rPr>
        <w:t>البحار</w:t>
      </w:r>
      <w:r w:rsidR="008A74EB" w:rsidRPr="00C9040A">
        <w:rPr>
          <w:rtl/>
        </w:rPr>
        <w:t xml:space="preserve"> ، ج 71 ، ص 34 ، ح 17.</w:t>
      </w:r>
    </w:p>
    <w:p w:rsidR="008A74EB" w:rsidRPr="00C9040A" w:rsidRDefault="006C577F" w:rsidP="004A4E41">
      <w:pPr>
        <w:pStyle w:val="libFootnote0"/>
        <w:rPr>
          <w:rtl/>
          <w:lang w:bidi="fa-IR"/>
        </w:rPr>
      </w:pPr>
      <w:r>
        <w:rPr>
          <w:rtl/>
        </w:rPr>
        <w:t>(12).</w:t>
      </w:r>
      <w:r w:rsidR="008A74EB" w:rsidRPr="00C9040A">
        <w:rPr>
          <w:rtl/>
        </w:rPr>
        <w:t xml:space="preserve"> الضمير راجع إلى أحمد بن أبي عبد الله المذكور في السند السابق ؛ فقد روى أحمد بن أبي عبد الله عن أبيه </w:t>
      </w:r>
      <w:r w:rsidR="007C66DC">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إِذَا رَأَيْتُمْ أَهْلَ الْبَلَاءِ ، فَاحْمَدُوا اللهَ ، وَلَا تُسْمِعُوهُمْ ؛ فَإِنَّ ذلِكَ يَحْزُنُهُمْ »</w:t>
      </w:r>
      <w:r>
        <w:rPr>
          <w:rtl/>
          <w:lang w:bidi="fa-IR"/>
        </w:rPr>
        <w:t>.</w:t>
      </w:r>
      <w:r w:rsidRPr="00C9040A">
        <w:rPr>
          <w:rtl/>
          <w:lang w:bidi="fa-IR"/>
        </w:rPr>
        <w:t xml:space="preserve"> </w:t>
      </w:r>
      <w:r w:rsidR="006C577F" w:rsidRPr="006C577F">
        <w:rPr>
          <w:rStyle w:val="libFootnotenumChar"/>
          <w:rtl/>
        </w:rPr>
        <w:t>(1)</w:t>
      </w:r>
      <w:r w:rsidRPr="00C9040A">
        <w:rPr>
          <w:rtl/>
          <w:lang w:bidi="fa-IR"/>
        </w:rPr>
        <w:t>‌</w:t>
      </w:r>
    </w:p>
    <w:p w:rsidR="008A74EB" w:rsidRPr="00C9040A" w:rsidRDefault="008A74EB" w:rsidP="008A74EB">
      <w:pPr>
        <w:pStyle w:val="libNormal"/>
        <w:rPr>
          <w:rtl/>
          <w:lang w:bidi="fa-IR"/>
        </w:rPr>
      </w:pPr>
      <w:r w:rsidRPr="00E568EF">
        <w:rPr>
          <w:rtl/>
        </w:rPr>
        <w:t>1738</w:t>
      </w:r>
      <w:r w:rsidRPr="00261CB0">
        <w:rPr>
          <w:rStyle w:val="libBold2Char"/>
          <w:rtl/>
        </w:rPr>
        <w:t xml:space="preserve"> / 24.</w:t>
      </w:r>
      <w:r w:rsidRPr="00C9040A">
        <w:rPr>
          <w:rtl/>
          <w:lang w:bidi="fa-IR"/>
        </w:rPr>
        <w:t xml:space="preserve"> عَنْهُ </w:t>
      </w:r>
      <w:r w:rsidR="006C577F" w:rsidRPr="006C577F">
        <w:rPr>
          <w:rStyle w:val="libFootnotenumChar"/>
          <w:rtl/>
        </w:rPr>
        <w:t>(2)</w:t>
      </w:r>
      <w:r w:rsidRPr="00C9040A">
        <w:rPr>
          <w:rtl/>
          <w:lang w:bidi="fa-IR"/>
        </w:rPr>
        <w:t xml:space="preserve"> ، عَنْ عُثْمَانَ بْنِ عِيسى ، عَنْ عَبْدِ اللهِ بْنِ مُسْكَانَ :</w:t>
      </w:r>
    </w:p>
    <w:p w:rsidR="008A74EB" w:rsidRPr="00C9040A" w:rsidRDefault="008A74EB" w:rsidP="00194F1D">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w:t>
      </w:r>
      <w:r w:rsidR="006C577F" w:rsidRPr="006C577F">
        <w:rPr>
          <w:rStyle w:val="libFootnotenumChar"/>
          <w:rtl/>
        </w:rPr>
        <w:t>(3)</w:t>
      </w:r>
      <w:r w:rsidRPr="00C9040A">
        <w:rPr>
          <w:rtl/>
          <w:lang w:bidi="fa-IR"/>
        </w:rPr>
        <w:t xml:space="preserve"> : « إِنَّ رَسُولَ اللهِ </w:t>
      </w:r>
      <w:r w:rsidR="004A4E41" w:rsidRPr="004A4E41">
        <w:rPr>
          <w:rStyle w:val="libAlaemChar"/>
          <w:rtl/>
        </w:rPr>
        <w:t>صلى‌الله‌عليه‌وآله</w:t>
      </w:r>
      <w:r w:rsidR="00194F1D" w:rsidRPr="00C9040A">
        <w:rPr>
          <w:rtl/>
          <w:lang w:bidi="fa-IR"/>
        </w:rPr>
        <w:t xml:space="preserve"> </w:t>
      </w:r>
      <w:r w:rsidRPr="00C9040A">
        <w:rPr>
          <w:rtl/>
          <w:lang w:bidi="fa-IR"/>
        </w:rPr>
        <w:t xml:space="preserve">كَانَ فِي سَفَرٍ يَسِيرُ عَلى نَاقَةٍ لَهُ إِذَا </w:t>
      </w:r>
      <w:r w:rsidR="006C577F" w:rsidRPr="006C577F">
        <w:rPr>
          <w:rStyle w:val="libFootnotenumChar"/>
          <w:rtl/>
        </w:rPr>
        <w:t>(4)</w:t>
      </w:r>
      <w:r w:rsidRPr="00C9040A">
        <w:rPr>
          <w:rtl/>
          <w:lang w:bidi="fa-IR"/>
        </w:rPr>
        <w:t xml:space="preserve"> نَزَلَ فَسَجَدَ خَمْسَ سَجَدَاتٍ ، فَلَمَّا أَنْ </w:t>
      </w:r>
      <w:r w:rsidR="006C577F" w:rsidRPr="006C577F">
        <w:rPr>
          <w:rStyle w:val="libFootnotenumChar"/>
          <w:rtl/>
        </w:rPr>
        <w:t>(5)</w:t>
      </w:r>
      <w:r w:rsidRPr="00C9040A">
        <w:rPr>
          <w:rtl/>
          <w:lang w:bidi="fa-IR"/>
        </w:rPr>
        <w:t xml:space="preserve"> رَكِبَ ، قَالُوا : يَا رَسُولَ اللهِ ، إِنَّا رَأَيْنَاكَ صَنَعْتَ شَيْئاً لَمْ تَصْنَعْهُ</w:t>
      </w:r>
      <w:r>
        <w:rPr>
          <w:rtl/>
          <w:lang w:bidi="fa-IR"/>
        </w:rPr>
        <w:t>؟</w:t>
      </w:r>
      <w:r w:rsidRPr="00C9040A">
        <w:rPr>
          <w:rtl/>
          <w:lang w:bidi="fa-IR"/>
        </w:rPr>
        <w:t xml:space="preserve"> فَقَالَ : نَعَمْ ، اسْتَقْبَلَنِي جَبْرَئِيلُ </w:t>
      </w:r>
      <w:r w:rsidRPr="0003660B">
        <w:rPr>
          <w:rStyle w:val="libAlaemChar"/>
          <w:rtl/>
        </w:rPr>
        <w:t>عليه‌السلام</w:t>
      </w:r>
      <w:r w:rsidRPr="00C9040A">
        <w:rPr>
          <w:rtl/>
          <w:lang w:bidi="fa-IR"/>
        </w:rPr>
        <w:t xml:space="preserve"> ، فَبَشَّرَنِي بِبِشَارَاتٍ </w:t>
      </w:r>
      <w:r w:rsidR="006C577F" w:rsidRPr="006C577F">
        <w:rPr>
          <w:rStyle w:val="libFootnotenumChar"/>
          <w:rtl/>
        </w:rPr>
        <w:t>(6)</w:t>
      </w:r>
      <w:r w:rsidRPr="005B567D">
        <w:rPr>
          <w:rStyle w:val="libFootnotenumChar"/>
          <w:rtl/>
        </w:rPr>
        <w:t xml:space="preserve"> </w:t>
      </w:r>
      <w:r w:rsidRPr="00C9040A">
        <w:rPr>
          <w:rtl/>
          <w:lang w:bidi="fa-IR"/>
        </w:rPr>
        <w:t xml:space="preserve">مِنَ اللهِ عَزَّ وَجَلَّ ، فَسَجَدْتُ لِلّهِ شُكْراً </w:t>
      </w:r>
      <w:r w:rsidR="006C577F" w:rsidRPr="006C577F">
        <w:rPr>
          <w:rStyle w:val="libFootnotenumChar"/>
          <w:rtl/>
        </w:rPr>
        <w:t>(7)</w:t>
      </w:r>
      <w:r w:rsidRPr="00C9040A">
        <w:rPr>
          <w:rtl/>
          <w:lang w:bidi="fa-IR"/>
        </w:rPr>
        <w:t xml:space="preserve"> ، لِكُلِّ بُشْرى سَجْدَةً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Normal"/>
        <w:rPr>
          <w:rtl/>
          <w:lang w:bidi="fa-IR"/>
        </w:rPr>
      </w:pPr>
      <w:r w:rsidRPr="00E568EF">
        <w:rPr>
          <w:rtl/>
        </w:rPr>
        <w:t>1739</w:t>
      </w:r>
      <w:r w:rsidRPr="00261CB0">
        <w:rPr>
          <w:rStyle w:val="libBold2Char"/>
          <w:rtl/>
        </w:rPr>
        <w:t xml:space="preserve"> / 25.</w:t>
      </w:r>
      <w:r w:rsidRPr="00C9040A">
        <w:rPr>
          <w:rtl/>
          <w:lang w:bidi="fa-IR"/>
        </w:rPr>
        <w:t xml:space="preserve"> عَنْهُ </w:t>
      </w:r>
      <w:r w:rsidR="006C577F" w:rsidRPr="006C577F">
        <w:rPr>
          <w:rStyle w:val="libFootnotenumChar"/>
          <w:rtl/>
        </w:rPr>
        <w:t>(9)</w:t>
      </w:r>
      <w:r w:rsidRPr="00C9040A">
        <w:rPr>
          <w:rtl/>
          <w:lang w:bidi="fa-IR"/>
        </w:rPr>
        <w:t xml:space="preserve"> ، عَنْ عُثْمَانَ بْنِ عِيسى ، عَنْ يُونُسَ بْنِ عَمَّارٍ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إِذَا ذَكَرَ أَحَدُكُمْ نِعْمَةَ </w:t>
      </w:r>
      <w:r w:rsidR="006C577F" w:rsidRPr="006C577F">
        <w:rPr>
          <w:rStyle w:val="libFootnotenumChar"/>
          <w:rtl/>
        </w:rPr>
        <w:t>(10)</w:t>
      </w:r>
      <w:r w:rsidRPr="00C9040A">
        <w:rPr>
          <w:rtl/>
          <w:lang w:bidi="fa-IR"/>
        </w:rPr>
        <w:t xml:space="preserve"> اللهِ عَزَّ وَجَلَّ ، فَلْيَضَعْ خَدَّهُ عَلَى التُّرَابِ شُكْراً لِلّهِ ، فَإِنْ كَانَ رَاكِباً ، فَلْيَنْزِلْ فَلْيَضَعْ </w:t>
      </w:r>
      <w:r w:rsidR="006C577F" w:rsidRPr="006C577F">
        <w:rPr>
          <w:rStyle w:val="libFootnotenumChar"/>
          <w:rtl/>
        </w:rPr>
        <w:t>(11)</w:t>
      </w:r>
      <w:r w:rsidRPr="00C9040A">
        <w:rPr>
          <w:rtl/>
          <w:lang w:bidi="fa-IR"/>
        </w:rPr>
        <w:t xml:space="preserve"> خَدَّهُ عَلَى التُّرَابِ </w:t>
      </w:r>
      <w:r w:rsidR="006C577F" w:rsidRPr="006C577F">
        <w:rPr>
          <w:rStyle w:val="libFootnotenumChar"/>
          <w:rtl/>
        </w:rPr>
        <w:t>(12)</w:t>
      </w:r>
      <w:r w:rsidRPr="00C9040A">
        <w:rPr>
          <w:rtl/>
          <w:lang w:bidi="fa-IR"/>
        </w:rPr>
        <w:t xml:space="preserve"> ، وَإِنْ </w:t>
      </w:r>
      <w:r w:rsidRPr="005B567D">
        <w:rPr>
          <w:rStyle w:val="libFootnotenumChar"/>
          <w:rtl/>
        </w:rPr>
        <w:t>(13)</w:t>
      </w:r>
      <w:r w:rsidRPr="00C9040A">
        <w:rPr>
          <w:rtl/>
          <w:lang w:bidi="fa-IR"/>
        </w:rPr>
        <w:t xml:space="preserve"> لَمْ‌</w:t>
      </w:r>
    </w:p>
    <w:p w:rsidR="008A74EB" w:rsidRPr="00C9040A" w:rsidRDefault="008A74EB" w:rsidP="008A74EB">
      <w:pPr>
        <w:pStyle w:val="libLine"/>
        <w:rPr>
          <w:rtl/>
          <w:lang w:bidi="fa-IR"/>
        </w:rPr>
      </w:pPr>
      <w:r w:rsidRPr="00C9040A">
        <w:rPr>
          <w:rtl/>
          <w:lang w:bidi="fa-IR"/>
        </w:rPr>
        <w:t>__________________</w:t>
      </w:r>
    </w:p>
    <w:p w:rsidR="008A74EB" w:rsidRPr="00C9040A" w:rsidRDefault="0070724A" w:rsidP="004A4E41">
      <w:pPr>
        <w:pStyle w:val="libFootnote0"/>
        <w:rPr>
          <w:rtl/>
          <w:lang w:bidi="fa-IR"/>
        </w:rPr>
      </w:pPr>
      <w:r>
        <w:rPr>
          <w:rFonts w:hint="cs"/>
          <w:rtl/>
        </w:rPr>
        <w:t xml:space="preserve">= </w:t>
      </w:r>
      <w:r w:rsidR="008A74EB" w:rsidRPr="00C9040A">
        <w:rPr>
          <w:rtl/>
        </w:rPr>
        <w:t xml:space="preserve">كتاب هارون بن الجهم ، وتكرّرت روايته عنه بتوسّط أبيه في الأسناد. راجع : </w:t>
      </w:r>
      <w:r w:rsidR="008A74EB" w:rsidRPr="0034021D">
        <w:rPr>
          <w:rStyle w:val="libFootnoteBoldChar"/>
          <w:rtl/>
        </w:rPr>
        <w:t>الفهرست للطوسي</w:t>
      </w:r>
      <w:r w:rsidR="008A74EB" w:rsidRPr="00C9040A">
        <w:rPr>
          <w:rtl/>
        </w:rPr>
        <w:t xml:space="preserve"> ، ص 496 ، الرقم 784 ؛ </w:t>
      </w:r>
      <w:r w:rsidR="008A74EB" w:rsidRPr="00993B55">
        <w:rPr>
          <w:rStyle w:val="libFootnoteBoldChar"/>
          <w:rtl/>
        </w:rPr>
        <w:t>معجم رجال الحديث</w:t>
      </w:r>
      <w:r w:rsidR="008A74EB" w:rsidRPr="00C9040A">
        <w:rPr>
          <w:rtl/>
        </w:rPr>
        <w:t xml:space="preserve"> ، ج 19 ، ص 398</w:t>
      </w:r>
      <w:r w:rsidR="008A74EB">
        <w:rPr>
          <w:rtl/>
        </w:rPr>
        <w:t xml:space="preserve"> </w:t>
      </w:r>
      <w:r w:rsidR="0084262C">
        <w:rPr>
          <w:rtl/>
        </w:rPr>
        <w:t>-</w:t>
      </w:r>
      <w:r w:rsidR="008A74EB">
        <w:rPr>
          <w:rtl/>
        </w:rPr>
        <w:t xml:space="preserve"> </w:t>
      </w:r>
      <w:r w:rsidR="008A74EB" w:rsidRPr="00C9040A">
        <w:rPr>
          <w:rtl/>
        </w:rPr>
        <w:t>399.</w:t>
      </w:r>
    </w:p>
    <w:p w:rsidR="008A74EB" w:rsidRPr="00C9040A" w:rsidRDefault="006C577F" w:rsidP="004A4E41">
      <w:pPr>
        <w:pStyle w:val="libFootnote0"/>
        <w:rPr>
          <w:rtl/>
          <w:lang w:bidi="fa-IR"/>
        </w:rPr>
      </w:pPr>
      <w:r>
        <w:rPr>
          <w:rtl/>
        </w:rPr>
        <w:t>(1).</w:t>
      </w:r>
      <w:r w:rsidR="008A74EB" w:rsidRPr="00C9040A">
        <w:rPr>
          <w:rtl/>
        </w:rPr>
        <w:t xml:space="preserve"> </w:t>
      </w:r>
      <w:r w:rsidR="008A74EB" w:rsidRPr="00993B55">
        <w:rPr>
          <w:rStyle w:val="libFootnoteBoldChar"/>
          <w:rtl/>
        </w:rPr>
        <w:t>الوافي</w:t>
      </w:r>
      <w:r w:rsidR="008A74EB" w:rsidRPr="00C9040A">
        <w:rPr>
          <w:rtl/>
        </w:rPr>
        <w:t xml:space="preserve"> ، ج 4 ، ص 353 ، ح 2107 ؛ </w:t>
      </w:r>
      <w:r w:rsidR="008A74EB" w:rsidRPr="00993B55">
        <w:rPr>
          <w:rStyle w:val="libFootnoteBoldChar"/>
          <w:rtl/>
        </w:rPr>
        <w:t>البحار</w:t>
      </w:r>
      <w:r w:rsidR="008A74EB" w:rsidRPr="00C9040A">
        <w:rPr>
          <w:rtl/>
        </w:rPr>
        <w:t xml:space="preserve"> ، ج 71 ، ص 34 ، ح 18.</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الضمير راجع إلى أحمد بن أبي عبد الله.</w:t>
      </w:r>
    </w:p>
    <w:p w:rsidR="008A74EB" w:rsidRPr="00C9040A" w:rsidRDefault="006C577F" w:rsidP="004A4E41">
      <w:pPr>
        <w:pStyle w:val="libFootnote0"/>
        <w:rPr>
          <w:rtl/>
          <w:lang w:bidi="fa-IR"/>
        </w:rPr>
      </w:pPr>
      <w:r>
        <w:rPr>
          <w:rtl/>
        </w:rPr>
        <w:t>(3).</w:t>
      </w:r>
      <w:r w:rsidR="008A74EB" w:rsidRPr="00C9040A">
        <w:rPr>
          <w:rtl/>
        </w:rPr>
        <w:t xml:space="preserve"> في « ج ، ز ، ص ، ف ، بر ، بف » والوسائل والبحار </w:t>
      </w:r>
      <w:r w:rsidR="008A74EB">
        <w:rPr>
          <w:rtl/>
        </w:rPr>
        <w:t xml:space="preserve">: </w:t>
      </w:r>
      <w:r w:rsidR="0084262C">
        <w:rPr>
          <w:rtl/>
        </w:rPr>
        <w:t>-</w:t>
      </w:r>
      <w:r w:rsidR="008A74EB" w:rsidRPr="00C9040A">
        <w:rPr>
          <w:rtl/>
        </w:rPr>
        <w:t xml:space="preserve"> « قال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ب ، د ، ص ، ف ، بر » والوافي والوسائل والبحار : « إذ »</w:t>
      </w:r>
      <w:r w:rsidR="008A74EB">
        <w:rPr>
          <w:rtl/>
        </w:rPr>
        <w:t>.</w:t>
      </w:r>
    </w:p>
    <w:p w:rsidR="008A74EB" w:rsidRPr="004A4E41" w:rsidRDefault="006C577F" w:rsidP="004A4E41">
      <w:pPr>
        <w:pStyle w:val="libFootnote0"/>
        <w:rPr>
          <w:rStyle w:val="libFootnote0Char"/>
          <w:rtl/>
        </w:rPr>
      </w:pPr>
      <w:r>
        <w:rPr>
          <w:rtl/>
        </w:rPr>
        <w:t>(5).</w:t>
      </w:r>
      <w:r w:rsidR="008A74EB" w:rsidRPr="00C9040A">
        <w:rPr>
          <w:rtl/>
        </w:rPr>
        <w:t xml:space="preserve"> في « د ، ص ، بر ، بس ، بف » والوافي والوسائل والبحار </w:t>
      </w:r>
      <w:r w:rsidR="008A74EB">
        <w:rPr>
          <w:rtl/>
        </w:rPr>
        <w:t xml:space="preserve">: </w:t>
      </w:r>
      <w:r w:rsidR="0084262C">
        <w:rPr>
          <w:rtl/>
        </w:rPr>
        <w:t>-</w:t>
      </w:r>
      <w:r w:rsidR="008A74EB" w:rsidRPr="00C9040A">
        <w:rPr>
          <w:rtl/>
        </w:rPr>
        <w:t xml:space="preserve"> « أن »</w:t>
      </w:r>
      <w:r w:rsidR="008A74EB">
        <w:rPr>
          <w:rtl/>
        </w:rPr>
        <w:t>.</w:t>
      </w:r>
    </w:p>
    <w:tbl>
      <w:tblPr>
        <w:tblStyle w:val="TableGrid"/>
        <w:bidiVisual/>
        <w:tblW w:w="0" w:type="auto"/>
        <w:tblLook w:val="04A0" w:firstRow="1" w:lastRow="0" w:firstColumn="1" w:lastColumn="0" w:noHBand="0" w:noVBand="1"/>
      </w:tblPr>
      <w:tblGrid>
        <w:gridCol w:w="4006"/>
        <w:gridCol w:w="4006"/>
      </w:tblGrid>
      <w:tr w:rsidR="0070724A" w:rsidTr="0070724A">
        <w:tc>
          <w:tcPr>
            <w:tcW w:w="4006" w:type="dxa"/>
          </w:tcPr>
          <w:p w:rsidR="0070724A" w:rsidRDefault="00340187" w:rsidP="004A4E41">
            <w:pPr>
              <w:pStyle w:val="libFootnote0"/>
              <w:rPr>
                <w:rtl/>
              </w:rPr>
            </w:pPr>
            <w:r>
              <w:rPr>
                <w:rtl/>
              </w:rPr>
              <w:t xml:space="preserve">(6). </w:t>
            </w:r>
            <w:r w:rsidRPr="00C9040A">
              <w:rPr>
                <w:rtl/>
              </w:rPr>
              <w:t>في « ز » : « ببشارة »</w:t>
            </w:r>
            <w:r>
              <w:rPr>
                <w:rtl/>
              </w:rPr>
              <w:t>.</w:t>
            </w:r>
          </w:p>
        </w:tc>
        <w:tc>
          <w:tcPr>
            <w:tcW w:w="4006" w:type="dxa"/>
          </w:tcPr>
          <w:p w:rsidR="0070724A" w:rsidRDefault="00340187" w:rsidP="004A4E41">
            <w:pPr>
              <w:pStyle w:val="libFootnote0"/>
              <w:rPr>
                <w:rtl/>
              </w:rPr>
            </w:pPr>
            <w:r>
              <w:rPr>
                <w:rtl/>
              </w:rPr>
              <w:t>(7).</w:t>
            </w:r>
            <w:r w:rsidRPr="00C9040A">
              <w:rPr>
                <w:rtl/>
              </w:rPr>
              <w:t xml:space="preserve"> في الوسائل : « شكراً لله »</w:t>
            </w:r>
            <w:r>
              <w:rPr>
                <w:rtl/>
              </w:rPr>
              <w:t>.</w:t>
            </w:r>
          </w:p>
        </w:tc>
      </w:tr>
    </w:tbl>
    <w:p w:rsidR="008A74EB" w:rsidRPr="004A4E41" w:rsidRDefault="006C577F" w:rsidP="004A4E41">
      <w:pPr>
        <w:pStyle w:val="libFootnote0"/>
        <w:rPr>
          <w:rStyle w:val="libFootnote0Char"/>
          <w:rtl/>
        </w:rPr>
      </w:pPr>
      <w:r>
        <w:rPr>
          <w:rtl/>
        </w:rPr>
        <w:t>(8).</w:t>
      </w:r>
      <w:r w:rsidR="008A74EB" w:rsidRPr="00C9040A">
        <w:rPr>
          <w:rtl/>
        </w:rPr>
        <w:t xml:space="preserve"> </w:t>
      </w:r>
      <w:r w:rsidR="008A74EB" w:rsidRPr="0034021D">
        <w:rPr>
          <w:rStyle w:val="libFootnoteBoldChar"/>
          <w:rtl/>
        </w:rPr>
        <w:t>الأمالي للمفيد</w:t>
      </w:r>
      <w:r w:rsidR="008A74EB" w:rsidRPr="00C9040A">
        <w:rPr>
          <w:rtl/>
        </w:rPr>
        <w:t xml:space="preserve"> ، ص 21 ، المجلس 3 ، ح 2 ، بسنده عن عثمان بن عيسى ، عن أبي عبد الرحمن ، عن جعفر بن محمد </w:t>
      </w:r>
      <w:r w:rsidR="00117575" w:rsidRPr="00117575">
        <w:rPr>
          <w:rStyle w:val="libFootnoteAlaemChar"/>
          <w:rtl/>
        </w:rPr>
        <w:t>عليه‌السلام</w:t>
      </w:r>
      <w:r w:rsidR="008A74EB" w:rsidRPr="00C9040A">
        <w:rPr>
          <w:rtl/>
        </w:rPr>
        <w:t xml:space="preserve"> ، مع اختلاف يسير وزيادة. </w:t>
      </w:r>
      <w:r w:rsidR="008A74EB" w:rsidRPr="0034021D">
        <w:rPr>
          <w:rStyle w:val="libFootnoteBoldChar"/>
          <w:rtl/>
        </w:rPr>
        <w:t>الأمالي للصدوق</w:t>
      </w:r>
      <w:r w:rsidR="008A74EB" w:rsidRPr="00C9040A">
        <w:rPr>
          <w:rtl/>
        </w:rPr>
        <w:t xml:space="preserve"> ، ص 509 ، المجلس 76 ، ح 6 ، بسند آخر ، مع اختلاف وزيادة</w:t>
      </w:r>
      <w:r w:rsidR="002F0D83">
        <w:rPr>
          <w:rFonts w:hint="cs"/>
          <w:rtl/>
        </w:rPr>
        <w:t>.</w:t>
      </w:r>
      <w:r w:rsidR="008A74EB" w:rsidRPr="00993B55">
        <w:rPr>
          <w:rStyle w:val="libFootnoteBoldChar"/>
          <w:rtl/>
        </w:rPr>
        <w:t>الوافي</w:t>
      </w:r>
      <w:r w:rsidR="008A74EB" w:rsidRPr="00C9040A">
        <w:rPr>
          <w:rtl/>
        </w:rPr>
        <w:t xml:space="preserve"> ، ج 4 ، ص 353 ، ح 2108 ؛ </w:t>
      </w:r>
      <w:r w:rsidR="008A74EB" w:rsidRPr="00993B55">
        <w:rPr>
          <w:rStyle w:val="libFootnoteBoldChar"/>
          <w:rtl/>
        </w:rPr>
        <w:t>الوسائل</w:t>
      </w:r>
      <w:r w:rsidR="008A74EB" w:rsidRPr="00C9040A">
        <w:rPr>
          <w:rtl/>
        </w:rPr>
        <w:t xml:space="preserve"> ، ج 7 ، ص 18 ، ح 8590 ؛ </w:t>
      </w:r>
      <w:r w:rsidR="008A74EB" w:rsidRPr="00993B55">
        <w:rPr>
          <w:rStyle w:val="libFootnoteBoldChar"/>
          <w:rtl/>
        </w:rPr>
        <w:t>البحار</w:t>
      </w:r>
      <w:r w:rsidR="008A74EB" w:rsidRPr="00C9040A">
        <w:rPr>
          <w:rtl/>
        </w:rPr>
        <w:t xml:space="preserve"> ، ج 16 ، ص 264 ، ح 60 ؛ وج 71 ، ص 35 ، ح 19.</w:t>
      </w:r>
    </w:p>
    <w:tbl>
      <w:tblPr>
        <w:tblStyle w:val="TableGrid"/>
        <w:bidiVisual/>
        <w:tblW w:w="0" w:type="auto"/>
        <w:tblLook w:val="04A0" w:firstRow="1" w:lastRow="0" w:firstColumn="1" w:lastColumn="0" w:noHBand="0" w:noVBand="1"/>
      </w:tblPr>
      <w:tblGrid>
        <w:gridCol w:w="4006"/>
        <w:gridCol w:w="4006"/>
      </w:tblGrid>
      <w:tr w:rsidR="002F0D83" w:rsidTr="002F0D83">
        <w:tc>
          <w:tcPr>
            <w:tcW w:w="4006" w:type="dxa"/>
          </w:tcPr>
          <w:p w:rsidR="002F0D83" w:rsidRDefault="002F0D83" w:rsidP="004A4E41">
            <w:pPr>
              <w:pStyle w:val="libFootnote0"/>
              <w:rPr>
                <w:rtl/>
              </w:rPr>
            </w:pPr>
            <w:r>
              <w:rPr>
                <w:rtl/>
              </w:rPr>
              <w:t>(9).</w:t>
            </w:r>
            <w:r w:rsidRPr="00C9040A">
              <w:rPr>
                <w:rtl/>
              </w:rPr>
              <w:t xml:space="preserve"> الضمير راجع إلى أحمد بن أبي عبد الله.</w:t>
            </w:r>
          </w:p>
        </w:tc>
        <w:tc>
          <w:tcPr>
            <w:tcW w:w="4006" w:type="dxa"/>
          </w:tcPr>
          <w:p w:rsidR="002F0D83" w:rsidRDefault="002F0D83" w:rsidP="004A4E41">
            <w:pPr>
              <w:pStyle w:val="libFootnote0"/>
              <w:rPr>
                <w:rtl/>
              </w:rPr>
            </w:pPr>
            <w:r>
              <w:rPr>
                <w:rtl/>
              </w:rPr>
              <w:t>(10).</w:t>
            </w:r>
            <w:r w:rsidRPr="00C9040A">
              <w:rPr>
                <w:rtl/>
              </w:rPr>
              <w:t xml:space="preserve"> في « ف » : « نعم »</w:t>
            </w:r>
            <w:r>
              <w:rPr>
                <w:rtl/>
              </w:rPr>
              <w:t>.</w:t>
            </w:r>
          </w:p>
        </w:tc>
      </w:tr>
      <w:tr w:rsidR="002F0D83" w:rsidTr="002F0D83">
        <w:tc>
          <w:tcPr>
            <w:tcW w:w="4006" w:type="dxa"/>
          </w:tcPr>
          <w:p w:rsidR="002F0D83" w:rsidRDefault="002F0D83" w:rsidP="004A4E41">
            <w:pPr>
              <w:pStyle w:val="libFootnote0"/>
              <w:rPr>
                <w:rtl/>
              </w:rPr>
            </w:pPr>
            <w:r>
              <w:rPr>
                <w:rtl/>
              </w:rPr>
              <w:t>(11).</w:t>
            </w:r>
            <w:r w:rsidRPr="00C9040A">
              <w:rPr>
                <w:rtl/>
              </w:rPr>
              <w:t xml:space="preserve"> في « بر » : « وليضع »</w:t>
            </w:r>
            <w:r>
              <w:rPr>
                <w:rtl/>
              </w:rPr>
              <w:t>.</w:t>
            </w:r>
          </w:p>
        </w:tc>
        <w:tc>
          <w:tcPr>
            <w:tcW w:w="4006" w:type="dxa"/>
          </w:tcPr>
          <w:p w:rsidR="002F0D83" w:rsidRDefault="002F0D83" w:rsidP="004A4E41">
            <w:pPr>
              <w:pStyle w:val="libFootnote0"/>
              <w:rPr>
                <w:rtl/>
              </w:rPr>
            </w:pPr>
            <w:r>
              <w:rPr>
                <w:rtl/>
              </w:rPr>
              <w:t>(12).</w:t>
            </w:r>
            <w:r w:rsidRPr="00C9040A">
              <w:rPr>
                <w:rtl/>
              </w:rPr>
              <w:t xml:space="preserve"> في الوافي : + « شكراً لله »</w:t>
            </w:r>
            <w:r>
              <w:rPr>
                <w:rtl/>
              </w:rPr>
              <w:t>.</w:t>
            </w:r>
          </w:p>
        </w:tc>
      </w:tr>
    </w:tbl>
    <w:p w:rsidR="008A74EB" w:rsidRPr="00C9040A" w:rsidRDefault="008A74EB" w:rsidP="004A4E41">
      <w:pPr>
        <w:pStyle w:val="libFootnote0"/>
        <w:rPr>
          <w:rtl/>
          <w:lang w:bidi="fa-IR"/>
        </w:rPr>
      </w:pPr>
      <w:r>
        <w:rPr>
          <w:rtl/>
        </w:rPr>
        <w:t>(13)</w:t>
      </w:r>
      <w:r w:rsidRPr="00C9040A">
        <w:rPr>
          <w:rtl/>
        </w:rPr>
        <w:t xml:space="preserve"> في « ب » : « فإن »</w:t>
      </w:r>
      <w:r>
        <w:rPr>
          <w:rtl/>
        </w:rPr>
        <w:t>.</w:t>
      </w:r>
      <w:r w:rsidRPr="00C9040A">
        <w:rPr>
          <w:rtl/>
        </w:rPr>
        <w:t xml:space="preserve"> وفي « ف » : + « كان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يَكُنْ يَقْدِرُ عَلَى النُّزُولِ لِلشُّهْرَةِ ، فَلْيَضَعْ خَدَّهُ عَلى قَرَبُوسِهِ </w:t>
      </w:r>
      <w:r w:rsidR="006C577F" w:rsidRPr="006C577F">
        <w:rPr>
          <w:rStyle w:val="libFootnotenumChar"/>
          <w:rtl/>
        </w:rPr>
        <w:t>(1)</w:t>
      </w:r>
      <w:r w:rsidRPr="00C9040A">
        <w:rPr>
          <w:rtl/>
          <w:lang w:bidi="fa-IR"/>
        </w:rPr>
        <w:t xml:space="preserve">، فَإِنْ </w:t>
      </w:r>
      <w:r w:rsidR="006C577F" w:rsidRPr="006C577F">
        <w:rPr>
          <w:rStyle w:val="libFootnotenumChar"/>
          <w:rtl/>
        </w:rPr>
        <w:t>(2)</w:t>
      </w:r>
      <w:r w:rsidRPr="00C9040A">
        <w:rPr>
          <w:rtl/>
          <w:lang w:bidi="fa-IR"/>
        </w:rPr>
        <w:t xml:space="preserve"> لَمْ </w:t>
      </w:r>
      <w:r w:rsidR="006C577F" w:rsidRPr="006C577F">
        <w:rPr>
          <w:rStyle w:val="libFootnotenumChar"/>
          <w:rtl/>
        </w:rPr>
        <w:t>(3)</w:t>
      </w:r>
      <w:r w:rsidRPr="00C9040A">
        <w:rPr>
          <w:rtl/>
          <w:lang w:bidi="fa-IR"/>
        </w:rPr>
        <w:t xml:space="preserve"> يَقْدِرْ ، فَلْيَضَعْ خَدَّهُ عَلى كَفِّهِ </w:t>
      </w:r>
      <w:r w:rsidR="006C577F" w:rsidRPr="006C577F">
        <w:rPr>
          <w:rStyle w:val="libFootnotenumChar"/>
          <w:rtl/>
        </w:rPr>
        <w:t>(4)</w:t>
      </w:r>
      <w:r w:rsidRPr="00C9040A">
        <w:rPr>
          <w:rtl/>
          <w:lang w:bidi="fa-IR"/>
        </w:rPr>
        <w:t xml:space="preserve"> ، ثُمَّ لْيَحْمَدِ اللهَ عَلى مَا أَنْعَمَ اللهُ </w:t>
      </w:r>
      <w:r w:rsidR="006C577F" w:rsidRPr="006C577F">
        <w:rPr>
          <w:rStyle w:val="libFootnotenumChar"/>
          <w:rtl/>
        </w:rPr>
        <w:t>(5)</w:t>
      </w:r>
      <w:r w:rsidRPr="00C9040A">
        <w:rPr>
          <w:rtl/>
          <w:lang w:bidi="fa-IR"/>
        </w:rPr>
        <w:t xml:space="preserve"> عَلَيْهِ »</w:t>
      </w:r>
      <w:r>
        <w:rPr>
          <w:rtl/>
          <w:lang w:bidi="fa-IR"/>
        </w:rPr>
        <w:t>.</w:t>
      </w:r>
      <w:r w:rsidRPr="00C9040A">
        <w:rPr>
          <w:rtl/>
          <w:lang w:bidi="fa-IR"/>
        </w:rPr>
        <w:t xml:space="preserve"> </w:t>
      </w:r>
      <w:r w:rsidR="006C577F" w:rsidRPr="006C577F">
        <w:rPr>
          <w:rStyle w:val="libFootnotenumChar"/>
          <w:rtl/>
        </w:rPr>
        <w:t>(6)</w:t>
      </w:r>
    </w:p>
    <w:p w:rsidR="008A74EB" w:rsidRPr="00C9040A" w:rsidRDefault="008A74EB" w:rsidP="008A74EB">
      <w:pPr>
        <w:pStyle w:val="libNormal"/>
        <w:rPr>
          <w:rtl/>
          <w:lang w:bidi="fa-IR"/>
        </w:rPr>
      </w:pPr>
      <w:r w:rsidRPr="00E568EF">
        <w:rPr>
          <w:rtl/>
        </w:rPr>
        <w:t>1740</w:t>
      </w:r>
      <w:r w:rsidRPr="00261CB0">
        <w:rPr>
          <w:rStyle w:val="libBold2Char"/>
          <w:rtl/>
        </w:rPr>
        <w:t xml:space="preserve"> / 26.</w:t>
      </w:r>
      <w:r w:rsidRPr="00C9040A">
        <w:rPr>
          <w:rtl/>
          <w:lang w:bidi="fa-IR"/>
        </w:rPr>
        <w:t xml:space="preserve"> عَلِيُّ بْنُ إِبْرَاهِيمَ ، عَنْ أَبِيهِ ، عَنِ ابْنِ أَبِي عُمَيْرٍ ، عَنْ عَلِيِّ بْنِ عَطِيَّةَ ، عَنْ هِشَامِ بْنِ أَحْمَرَ ، قَالَ :</w:t>
      </w:r>
    </w:p>
    <w:p w:rsidR="008A74EB" w:rsidRPr="00C9040A" w:rsidRDefault="008A74EB" w:rsidP="008A74EB">
      <w:pPr>
        <w:pStyle w:val="libNormal"/>
        <w:rPr>
          <w:rtl/>
          <w:lang w:bidi="fa-IR"/>
        </w:rPr>
      </w:pPr>
      <w:r w:rsidRPr="00C9040A">
        <w:rPr>
          <w:rtl/>
          <w:lang w:bidi="fa-IR"/>
        </w:rPr>
        <w:t xml:space="preserve">كُنْتُ أَسِيرُ مَعَ أَبِي الْحَسَنِ </w:t>
      </w:r>
      <w:r w:rsidRPr="0003660B">
        <w:rPr>
          <w:rStyle w:val="libAlaemChar"/>
          <w:rtl/>
        </w:rPr>
        <w:t>عليه‌السلام</w:t>
      </w:r>
      <w:r w:rsidRPr="00C9040A">
        <w:rPr>
          <w:rtl/>
          <w:lang w:bidi="fa-IR"/>
        </w:rPr>
        <w:t xml:space="preserve"> فِي بَعْضِ أَطْرَافِ </w:t>
      </w:r>
      <w:r w:rsidR="006C577F" w:rsidRPr="006C577F">
        <w:rPr>
          <w:rStyle w:val="libFootnotenumChar"/>
          <w:rtl/>
        </w:rPr>
        <w:t>(7)</w:t>
      </w:r>
      <w:r w:rsidRPr="00C9040A">
        <w:rPr>
          <w:rtl/>
          <w:lang w:bidi="fa-IR"/>
        </w:rPr>
        <w:t xml:space="preserve"> الْمَدِينَةِ إِذْ ثَنى رِجْلَهُ عَنْ دَابَّتِهِ </w:t>
      </w:r>
      <w:r w:rsidR="006C577F" w:rsidRPr="006C577F">
        <w:rPr>
          <w:rStyle w:val="libFootnotenumChar"/>
          <w:rtl/>
        </w:rPr>
        <w:t>(8)</w:t>
      </w:r>
      <w:r w:rsidRPr="00C9040A">
        <w:rPr>
          <w:rtl/>
          <w:lang w:bidi="fa-IR"/>
        </w:rPr>
        <w:t xml:space="preserve"> ، فَخَرَّ سَاجِداً ، فَأَطَالَ وَأَطَالَ ، ثُمَّ رَفَعَ رَأْسَهُ ، وَرَكِبَ دَابَّتَهُ ، فَقُلْتُ : جُعِلْتُ فِدَاكَ ، قَدْ أَطَلْتَ السُّجُودَ </w:t>
      </w:r>
      <w:r w:rsidR="006C577F" w:rsidRPr="006C577F">
        <w:rPr>
          <w:rStyle w:val="libFootnotenumChar"/>
          <w:rtl/>
        </w:rPr>
        <w:t>(9)</w:t>
      </w:r>
      <w:r>
        <w:rPr>
          <w:rtl/>
          <w:lang w:bidi="fa-IR"/>
        </w:rPr>
        <w:t>؟</w:t>
      </w:r>
      <w:r w:rsidRPr="00C9040A">
        <w:rPr>
          <w:rtl/>
          <w:lang w:bidi="fa-IR"/>
        </w:rPr>
        <w:t xml:space="preserve"> فَقَالَ : « إِنَّنِي </w:t>
      </w:r>
      <w:r w:rsidR="006C577F" w:rsidRPr="006C577F">
        <w:rPr>
          <w:rStyle w:val="libFootnotenumChar"/>
          <w:rtl/>
        </w:rPr>
        <w:t>(10)</w:t>
      </w:r>
      <w:r w:rsidRPr="00C9040A">
        <w:rPr>
          <w:rtl/>
          <w:lang w:bidi="fa-IR"/>
        </w:rPr>
        <w:t xml:space="preserve"> ذَكَرْتُ نِعْمَةً أَنْعَمَ اللهُ بِهَا </w:t>
      </w:r>
      <w:r w:rsidR="006C577F" w:rsidRPr="006C577F">
        <w:rPr>
          <w:rStyle w:val="libFootnotenumChar"/>
          <w:rtl/>
        </w:rPr>
        <w:t>(11)</w:t>
      </w:r>
      <w:r w:rsidRPr="00C9040A">
        <w:rPr>
          <w:rtl/>
          <w:lang w:bidi="fa-IR"/>
        </w:rPr>
        <w:t xml:space="preserve"> عَلَيَّ </w:t>
      </w:r>
      <w:r w:rsidR="006C577F" w:rsidRPr="006C577F">
        <w:rPr>
          <w:rStyle w:val="libFootnotenumChar"/>
          <w:rtl/>
        </w:rPr>
        <w:t>(12)</w:t>
      </w:r>
      <w:r w:rsidRPr="00C9040A">
        <w:rPr>
          <w:rtl/>
          <w:lang w:bidi="fa-IR"/>
        </w:rPr>
        <w:t xml:space="preserve"> ، فَأَحْبَبْتُ أَنْ أَشْكُرَ رَبِّي »</w:t>
      </w:r>
      <w:r>
        <w:rPr>
          <w:rtl/>
          <w:lang w:bidi="fa-IR"/>
        </w:rPr>
        <w:t>.</w:t>
      </w:r>
      <w:r w:rsidRPr="00C9040A">
        <w:rPr>
          <w:rtl/>
          <w:lang w:bidi="fa-IR"/>
        </w:rPr>
        <w:t xml:space="preserve"> </w:t>
      </w:r>
      <w:r w:rsidRPr="005B567D">
        <w:rPr>
          <w:rStyle w:val="libFootnotenumChar"/>
          <w:rtl/>
        </w:rPr>
        <w:t>(13)</w:t>
      </w:r>
      <w:r w:rsidRPr="00C9040A">
        <w:rPr>
          <w:rtl/>
          <w:lang w:bidi="fa-IR"/>
        </w:rPr>
        <w:t xml:space="preserve"> ‌</w:t>
      </w:r>
    </w:p>
    <w:p w:rsidR="008A74EB" w:rsidRPr="00C9040A" w:rsidRDefault="008A74EB" w:rsidP="008A74EB">
      <w:pPr>
        <w:pStyle w:val="libNormal"/>
        <w:rPr>
          <w:rtl/>
          <w:lang w:bidi="fa-IR"/>
        </w:rPr>
      </w:pPr>
      <w:r w:rsidRPr="00E568EF">
        <w:rPr>
          <w:rtl/>
        </w:rPr>
        <w:t>1741</w:t>
      </w:r>
      <w:r w:rsidRPr="00261CB0">
        <w:rPr>
          <w:rStyle w:val="libBold2Char"/>
          <w:rtl/>
        </w:rPr>
        <w:t xml:space="preserve"> / 27.</w:t>
      </w:r>
      <w:r w:rsidRPr="00C9040A">
        <w:rPr>
          <w:rtl/>
          <w:lang w:bidi="fa-IR"/>
        </w:rPr>
        <w:t xml:space="preserve"> عَلِيٌّ ، عَنْ أَبِيهِ ، عَنِ ابْنِ أَبِي عُمَيْرٍ ، عَنْ أَبِي عَبْدِ اللهِ</w:t>
      </w:r>
      <w:r>
        <w:rPr>
          <w:rtl/>
          <w:lang w:bidi="fa-IR"/>
        </w:rPr>
        <w:t xml:space="preserve"> </w:t>
      </w:r>
      <w:r w:rsidR="0084262C">
        <w:rPr>
          <w:rtl/>
          <w:lang w:bidi="fa-IR"/>
        </w:rPr>
        <w:t>-</w:t>
      </w:r>
      <w:r>
        <w:rPr>
          <w:rtl/>
          <w:lang w:bidi="fa-IR"/>
        </w:rPr>
        <w:t xml:space="preserve"> </w:t>
      </w:r>
      <w:r w:rsidRPr="00C9040A">
        <w:rPr>
          <w:rtl/>
          <w:lang w:bidi="fa-IR"/>
        </w:rPr>
        <w:t xml:space="preserve">صَاحِبِ السَّابِرِيِّ فِيمَا أَعْلَمُ أَوْ غَيْرِهِ </w:t>
      </w:r>
      <w:r w:rsidR="0084262C">
        <w:rPr>
          <w:rtl/>
          <w:lang w:bidi="fa-IR"/>
        </w:rPr>
        <w:t>-</w:t>
      </w:r>
      <w:r>
        <w:rPr>
          <w:rtl/>
          <w:lang w:bidi="fa-IR"/>
        </w:rPr>
        <w:t xml:space="preserve">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w:t>
      </w:r>
      <w:r w:rsidRPr="005B567D">
        <w:rPr>
          <w:rStyle w:val="libFootnotenumChar"/>
          <w:rtl/>
        </w:rPr>
        <w:t>(14)</w:t>
      </w:r>
      <w:r w:rsidRPr="00C9040A">
        <w:rPr>
          <w:rtl/>
          <w:lang w:bidi="fa-IR"/>
        </w:rPr>
        <w:t xml:space="preserve"> : « أَوْحَى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5377F0">
        <w:rPr>
          <w:rtl/>
          <w:lang w:bidi="fa-IR"/>
        </w:rPr>
        <w:t>–</w:t>
      </w:r>
      <w:r>
        <w:rPr>
          <w:rtl/>
          <w:lang w:bidi="fa-IR"/>
        </w:rPr>
        <w:t xml:space="preserve"> </w:t>
      </w:r>
      <w:r w:rsidRPr="00C9040A">
        <w:rPr>
          <w:rtl/>
          <w:lang w:bidi="fa-IR"/>
        </w:rPr>
        <w:t>إِلى</w:t>
      </w:r>
      <w:r w:rsidR="005377F0">
        <w:rPr>
          <w:rFonts w:hint="cs"/>
          <w:rtl/>
          <w:lang w:bidi="fa-IR"/>
        </w:rPr>
        <w:t>.............</w:t>
      </w:r>
      <w:r w:rsidR="005377F0">
        <w:rPr>
          <w:rFonts w:hint="cs"/>
          <w:rtl/>
          <w:lang w:bidi="fa-IR"/>
        </w:rPr>
        <w:tab/>
      </w:r>
      <w:r w:rsidRPr="00C9040A">
        <w:rPr>
          <w:rtl/>
          <w:lang w:bidi="fa-IR"/>
        </w:rPr>
        <w:t>‌</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 القربوس »</w:t>
      </w:r>
      <w:r w:rsidR="008A74EB">
        <w:rPr>
          <w:rtl/>
        </w:rPr>
        <w:t xml:space="preserve"> </w:t>
      </w:r>
      <w:r w:rsidR="0084262C">
        <w:rPr>
          <w:rtl/>
        </w:rPr>
        <w:t>-</w:t>
      </w:r>
      <w:r w:rsidR="008A74EB">
        <w:rPr>
          <w:rtl/>
        </w:rPr>
        <w:t xml:space="preserve"> </w:t>
      </w:r>
      <w:r w:rsidR="007B286C">
        <w:rPr>
          <w:rtl/>
        </w:rPr>
        <w:t>كحلزون ، ولا يسكَّن إل</w:t>
      </w:r>
      <w:r w:rsidR="007B286C">
        <w:rPr>
          <w:rFonts w:hint="cs"/>
          <w:rtl/>
        </w:rPr>
        <w:t>ّ</w:t>
      </w:r>
      <w:r w:rsidR="007B286C">
        <w:rPr>
          <w:rtl/>
        </w:rPr>
        <w:t>ا</w:t>
      </w:r>
      <w:r w:rsidR="008A74EB" w:rsidRPr="00C9040A">
        <w:rPr>
          <w:rtl/>
        </w:rPr>
        <w:t>في الشعر</w:t>
      </w:r>
      <w:r w:rsidR="008A74EB">
        <w:rPr>
          <w:rtl/>
        </w:rPr>
        <w:t xml:space="preserve"> </w:t>
      </w:r>
      <w:r w:rsidR="0084262C">
        <w:rPr>
          <w:rtl/>
        </w:rPr>
        <w:t>-</w:t>
      </w:r>
      <w:r w:rsidR="008A74EB">
        <w:rPr>
          <w:rtl/>
        </w:rPr>
        <w:t xml:space="preserve"> </w:t>
      </w:r>
      <w:r w:rsidR="008A74EB" w:rsidRPr="00C9040A">
        <w:rPr>
          <w:rtl/>
        </w:rPr>
        <w:t xml:space="preserve">: حِنْوُ السرج. وهما قربوسان. وجمعه : قرابيس. </w:t>
      </w:r>
      <w:r w:rsidR="008A74EB" w:rsidRPr="00993B55">
        <w:rPr>
          <w:rStyle w:val="libFootnoteBoldChar"/>
          <w:rtl/>
        </w:rPr>
        <w:t>القاموس‌المحيط</w:t>
      </w:r>
      <w:r w:rsidR="008A74EB" w:rsidRPr="00C9040A">
        <w:rPr>
          <w:rtl/>
        </w:rPr>
        <w:t xml:space="preserve"> ، ج 1 ، ص 774 ( قربس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هكذا في « ب ، ج ، ص ، ض ، ف ، بر ، بس ، بف » والوافي والوسائل والبحار. وفي سائر النسخ والمطبوع : « وإن »</w:t>
      </w:r>
      <w:r w:rsidR="008A74EB">
        <w:rPr>
          <w:rtl/>
        </w:rPr>
        <w:t>.</w:t>
      </w:r>
      <w:r w:rsidR="007B286C">
        <w:rPr>
          <w:rFonts w:hint="cs"/>
          <w:rtl/>
        </w:rPr>
        <w:t xml:space="preserve">                                                       </w:t>
      </w:r>
      <w:r>
        <w:rPr>
          <w:rtl/>
        </w:rPr>
        <w:t>(3).</w:t>
      </w:r>
      <w:r w:rsidR="008A74EB" w:rsidRPr="00C9040A">
        <w:rPr>
          <w:rtl/>
        </w:rPr>
        <w:t xml:space="preserve"> في البحار : « لم يكن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بس » وحاشية « د ، ص ، بف » : « كفّه على خدّه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ب ، د ، ز ، ص ، ض ، بر ، بف » والوافي </w:t>
      </w:r>
      <w:r w:rsidR="008A74EB">
        <w:rPr>
          <w:rtl/>
        </w:rPr>
        <w:t xml:space="preserve">: </w:t>
      </w:r>
      <w:r w:rsidR="0084262C">
        <w:rPr>
          <w:rtl/>
        </w:rPr>
        <w:t>-</w:t>
      </w:r>
      <w:r w:rsidR="008A74EB" w:rsidRPr="00C9040A">
        <w:rPr>
          <w:rtl/>
        </w:rPr>
        <w:t xml:space="preserve"> « الله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الوافي</w:t>
      </w:r>
      <w:r w:rsidR="008A74EB" w:rsidRPr="00C9040A">
        <w:rPr>
          <w:rtl/>
        </w:rPr>
        <w:t xml:space="preserve"> ، ج 4 ، ص 353 ، ح 2109 ؛ </w:t>
      </w:r>
      <w:r w:rsidR="008A74EB" w:rsidRPr="00993B55">
        <w:rPr>
          <w:rStyle w:val="libFootnoteBoldChar"/>
          <w:rtl/>
        </w:rPr>
        <w:t>الوسائل</w:t>
      </w:r>
      <w:r w:rsidR="008A74EB" w:rsidRPr="00C9040A">
        <w:rPr>
          <w:rtl/>
        </w:rPr>
        <w:t xml:space="preserve"> ، ج 7 ، ص 19 ، ح 8592 ؛ </w:t>
      </w:r>
      <w:r w:rsidR="008A74EB" w:rsidRPr="00993B55">
        <w:rPr>
          <w:rStyle w:val="libFootnoteBoldChar"/>
          <w:rtl/>
        </w:rPr>
        <w:t>البحار</w:t>
      </w:r>
      <w:r w:rsidR="008A74EB" w:rsidRPr="00C9040A">
        <w:rPr>
          <w:rtl/>
        </w:rPr>
        <w:t xml:space="preserve"> ، ج 71 ، ص 35 ، ح 20.</w:t>
      </w:r>
    </w:p>
    <w:p w:rsidR="008A74EB" w:rsidRPr="00C9040A" w:rsidRDefault="006C577F" w:rsidP="004A4E41">
      <w:pPr>
        <w:pStyle w:val="libFootnote0"/>
        <w:rPr>
          <w:rtl/>
          <w:lang w:bidi="fa-IR"/>
        </w:rPr>
      </w:pPr>
      <w:r>
        <w:rPr>
          <w:rtl/>
        </w:rPr>
        <w:t>(7).</w:t>
      </w:r>
      <w:r w:rsidR="008A74EB" w:rsidRPr="00C9040A">
        <w:rPr>
          <w:rtl/>
        </w:rPr>
        <w:t xml:space="preserve"> في « بف » وحاشية « ج ، ض » : « طرق »</w:t>
      </w:r>
      <w:r w:rsidR="008A74EB">
        <w:rPr>
          <w:rtl/>
        </w:rPr>
        <w:t>.</w:t>
      </w:r>
    </w:p>
    <w:p w:rsidR="008A74EB" w:rsidRPr="004A4E41" w:rsidRDefault="006C577F" w:rsidP="004A4E41">
      <w:pPr>
        <w:pStyle w:val="libFootnote0"/>
        <w:rPr>
          <w:rStyle w:val="libFootnote0Char"/>
          <w:rtl/>
        </w:rPr>
      </w:pPr>
      <w:r>
        <w:rPr>
          <w:rtl/>
        </w:rPr>
        <w:t>(8).</w:t>
      </w:r>
      <w:r w:rsidR="008A74EB" w:rsidRPr="00C9040A">
        <w:rPr>
          <w:rtl/>
        </w:rPr>
        <w:t xml:space="preserve"> « ثنى رجله عن دابّته » : ضمّ ساقه إلى فَخِذه فنزل عن دابّته. </w:t>
      </w:r>
      <w:r w:rsidR="008A74EB" w:rsidRPr="00993B55">
        <w:rPr>
          <w:rStyle w:val="libFootnoteBoldChar"/>
          <w:rtl/>
        </w:rPr>
        <w:t>ترتيب كتاب العين</w:t>
      </w:r>
      <w:r w:rsidR="008A74EB" w:rsidRPr="00C9040A">
        <w:rPr>
          <w:rtl/>
        </w:rPr>
        <w:t xml:space="preserve"> ، ج 1 ، ص 251 ( ثنى )</w:t>
      </w:r>
      <w:r w:rsidR="008A74EB">
        <w:rPr>
          <w:rtl/>
        </w:rPr>
        <w:t>.</w:t>
      </w:r>
    </w:p>
    <w:tbl>
      <w:tblPr>
        <w:tblStyle w:val="TableGrid"/>
        <w:bidiVisual/>
        <w:tblW w:w="0" w:type="auto"/>
        <w:tblLook w:val="04A0" w:firstRow="1" w:lastRow="0" w:firstColumn="1" w:lastColumn="0" w:noHBand="0" w:noVBand="1"/>
      </w:tblPr>
      <w:tblGrid>
        <w:gridCol w:w="4006"/>
        <w:gridCol w:w="4006"/>
      </w:tblGrid>
      <w:tr w:rsidR="007B286C" w:rsidTr="007B286C">
        <w:tc>
          <w:tcPr>
            <w:tcW w:w="4006" w:type="dxa"/>
          </w:tcPr>
          <w:p w:rsidR="007B286C" w:rsidRDefault="007B286C" w:rsidP="004A4E41">
            <w:pPr>
              <w:pStyle w:val="libFootnote0"/>
              <w:rPr>
                <w:rtl/>
              </w:rPr>
            </w:pPr>
            <w:r>
              <w:rPr>
                <w:rtl/>
              </w:rPr>
              <w:t>(9).</w:t>
            </w:r>
            <w:r w:rsidRPr="00C9040A">
              <w:rPr>
                <w:rtl/>
              </w:rPr>
              <w:t xml:space="preserve"> في حاشية « بف » : « السجدة »</w:t>
            </w:r>
            <w:r>
              <w:rPr>
                <w:rtl/>
              </w:rPr>
              <w:t>.</w:t>
            </w:r>
          </w:p>
        </w:tc>
        <w:tc>
          <w:tcPr>
            <w:tcW w:w="4006" w:type="dxa"/>
          </w:tcPr>
          <w:p w:rsidR="007B286C" w:rsidRDefault="007B286C" w:rsidP="004A4E41">
            <w:pPr>
              <w:pStyle w:val="libFootnote0"/>
              <w:rPr>
                <w:rtl/>
              </w:rPr>
            </w:pPr>
            <w:r>
              <w:rPr>
                <w:rtl/>
              </w:rPr>
              <w:t>(10).</w:t>
            </w:r>
            <w:r w:rsidRPr="00C9040A">
              <w:rPr>
                <w:rtl/>
              </w:rPr>
              <w:t xml:space="preserve"> في « ب » والوسائل : « إنّي »</w:t>
            </w:r>
            <w:r>
              <w:rPr>
                <w:rtl/>
              </w:rPr>
              <w:t>.</w:t>
            </w:r>
          </w:p>
        </w:tc>
      </w:tr>
      <w:tr w:rsidR="007B286C" w:rsidTr="007B286C">
        <w:tc>
          <w:tcPr>
            <w:tcW w:w="4006" w:type="dxa"/>
          </w:tcPr>
          <w:p w:rsidR="007B286C" w:rsidRDefault="007B286C" w:rsidP="004A4E41">
            <w:pPr>
              <w:pStyle w:val="libFootnote0"/>
              <w:rPr>
                <w:rtl/>
              </w:rPr>
            </w:pPr>
            <w:r>
              <w:rPr>
                <w:rtl/>
              </w:rPr>
              <w:t>(11).</w:t>
            </w:r>
            <w:r w:rsidRPr="00C9040A">
              <w:rPr>
                <w:rtl/>
              </w:rPr>
              <w:t xml:space="preserve"> في « ف » </w:t>
            </w:r>
            <w:r>
              <w:rPr>
                <w:rtl/>
              </w:rPr>
              <w:t>: -</w:t>
            </w:r>
            <w:r w:rsidRPr="00C9040A">
              <w:rPr>
                <w:rtl/>
              </w:rPr>
              <w:t xml:space="preserve"> « بها »</w:t>
            </w:r>
            <w:r>
              <w:rPr>
                <w:rtl/>
              </w:rPr>
              <w:t>.</w:t>
            </w:r>
          </w:p>
        </w:tc>
        <w:tc>
          <w:tcPr>
            <w:tcW w:w="4006" w:type="dxa"/>
          </w:tcPr>
          <w:p w:rsidR="007B286C" w:rsidRDefault="007B286C" w:rsidP="004A4E41">
            <w:pPr>
              <w:pStyle w:val="libFootnote0"/>
              <w:rPr>
                <w:rtl/>
              </w:rPr>
            </w:pPr>
            <w:r>
              <w:rPr>
                <w:rtl/>
              </w:rPr>
              <w:t>(12).</w:t>
            </w:r>
            <w:r w:rsidRPr="00C9040A">
              <w:rPr>
                <w:rtl/>
              </w:rPr>
              <w:t xml:space="preserve"> في « ض ، بف » </w:t>
            </w:r>
            <w:r>
              <w:rPr>
                <w:rtl/>
              </w:rPr>
              <w:t>: -</w:t>
            </w:r>
            <w:r w:rsidRPr="00C9040A">
              <w:rPr>
                <w:rtl/>
              </w:rPr>
              <w:t xml:space="preserve"> « عليّ »</w:t>
            </w:r>
            <w:r>
              <w:rPr>
                <w:rtl/>
              </w:rPr>
              <w:t>.</w:t>
            </w:r>
          </w:p>
        </w:tc>
      </w:tr>
    </w:tbl>
    <w:p w:rsidR="008A74EB" w:rsidRPr="00C9040A" w:rsidRDefault="008A74EB" w:rsidP="004A4E41">
      <w:pPr>
        <w:pStyle w:val="libFootnote0"/>
        <w:rPr>
          <w:rtl/>
          <w:lang w:bidi="fa-IR"/>
        </w:rPr>
      </w:pPr>
      <w:r>
        <w:rPr>
          <w:rtl/>
        </w:rPr>
        <w:t>(13)</w:t>
      </w:r>
      <w:r w:rsidRPr="00C9040A">
        <w:rPr>
          <w:rtl/>
        </w:rPr>
        <w:t xml:space="preserve"> </w:t>
      </w:r>
      <w:r w:rsidRPr="00993B55">
        <w:rPr>
          <w:rStyle w:val="libFootnoteBoldChar"/>
          <w:rtl/>
        </w:rPr>
        <w:t>الوافي</w:t>
      </w:r>
      <w:r w:rsidRPr="00C9040A">
        <w:rPr>
          <w:rtl/>
        </w:rPr>
        <w:t xml:space="preserve"> ، ج 4 ، ص 353 ، ح 2110 ؛ </w:t>
      </w:r>
      <w:r w:rsidRPr="00993B55">
        <w:rPr>
          <w:rStyle w:val="libFootnoteBoldChar"/>
          <w:rtl/>
        </w:rPr>
        <w:t>الوسائل</w:t>
      </w:r>
      <w:r w:rsidRPr="00C9040A">
        <w:rPr>
          <w:rtl/>
        </w:rPr>
        <w:t xml:space="preserve"> ، ج 7 ، ص 19 ، ح 8593 ؛ </w:t>
      </w:r>
      <w:r w:rsidRPr="00993B55">
        <w:rPr>
          <w:rStyle w:val="libFootnoteBoldChar"/>
          <w:rtl/>
        </w:rPr>
        <w:t>البحار</w:t>
      </w:r>
      <w:r w:rsidRPr="00C9040A">
        <w:rPr>
          <w:rtl/>
        </w:rPr>
        <w:t xml:space="preserve"> ، ج 48 ، ص 116 ، ح 29 ؛ وج 71 ، ص 35 ، ح 21.</w:t>
      </w:r>
    </w:p>
    <w:p w:rsidR="008A74EB" w:rsidRPr="00C9040A" w:rsidRDefault="008A74EB" w:rsidP="004A4E41">
      <w:pPr>
        <w:pStyle w:val="libFootnote0"/>
        <w:rPr>
          <w:rtl/>
          <w:lang w:bidi="fa-IR"/>
        </w:rPr>
      </w:pPr>
      <w:r>
        <w:rPr>
          <w:rtl/>
        </w:rPr>
        <w:t>(14)</w:t>
      </w:r>
      <w:r w:rsidRPr="00C9040A">
        <w:rPr>
          <w:rtl/>
        </w:rPr>
        <w:t xml:space="preserve"> هكذا في النسخ التي قوبلت والبحار. وفي المطبوع : + « فيما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مُوسى </w:t>
      </w:r>
      <w:r w:rsidR="006C577F" w:rsidRPr="006C577F">
        <w:rPr>
          <w:rStyle w:val="libFootnotenumChar"/>
          <w:rtl/>
        </w:rPr>
        <w:t>(1)</w:t>
      </w:r>
      <w:r w:rsidRPr="0003660B">
        <w:rPr>
          <w:rStyle w:val="libAlaemChar"/>
          <w:rtl/>
        </w:rPr>
        <w:t>عليه‌السلام</w:t>
      </w:r>
      <w:r w:rsidRPr="00C9040A">
        <w:rPr>
          <w:rtl/>
          <w:lang w:bidi="fa-IR"/>
        </w:rPr>
        <w:t xml:space="preserve"> : يَا مُوسَى اشْكُرْنِي حَقَّ شُكْرِي ، فَقَالَ : يَا رَبِّ </w:t>
      </w:r>
      <w:r w:rsidR="006C577F" w:rsidRPr="006C577F">
        <w:rPr>
          <w:rStyle w:val="libFootnotenumChar"/>
          <w:rtl/>
        </w:rPr>
        <w:t>(2)</w:t>
      </w:r>
      <w:r w:rsidRPr="00C9040A">
        <w:rPr>
          <w:rtl/>
          <w:lang w:bidi="fa-IR"/>
        </w:rPr>
        <w:t xml:space="preserve"> ، وَكَيْفَ </w:t>
      </w:r>
      <w:r w:rsidR="006C577F" w:rsidRPr="006C577F">
        <w:rPr>
          <w:rStyle w:val="libFootnotenumChar"/>
          <w:rtl/>
        </w:rPr>
        <w:t>(3)</w:t>
      </w:r>
      <w:r w:rsidRPr="00C9040A">
        <w:rPr>
          <w:rtl/>
          <w:lang w:bidi="fa-IR"/>
        </w:rPr>
        <w:t xml:space="preserve"> أَشْكُرُكَ حَقَّ شُكْرِكَ ، وَلَيْسَ مِ</w:t>
      </w:r>
      <w:r w:rsidR="00A164D5">
        <w:rPr>
          <w:rtl/>
          <w:lang w:bidi="fa-IR"/>
        </w:rPr>
        <w:t>نْ شُكْرٍ أَشْكُرُكَ بِهِ إِل</w:t>
      </w:r>
      <w:r w:rsidR="00A164D5">
        <w:rPr>
          <w:rFonts w:hint="cs"/>
          <w:rtl/>
          <w:lang w:bidi="fa-IR"/>
        </w:rPr>
        <w:t>َّ</w:t>
      </w:r>
      <w:r w:rsidR="00A164D5">
        <w:rPr>
          <w:rtl/>
          <w:lang w:bidi="fa-IR"/>
        </w:rPr>
        <w:t>ا</w:t>
      </w:r>
      <w:r w:rsidRPr="00C9040A">
        <w:rPr>
          <w:rtl/>
          <w:lang w:bidi="fa-IR"/>
        </w:rPr>
        <w:t xml:space="preserve"> وَأَنْتَ أَنْعَمْتَ </w:t>
      </w:r>
      <w:r w:rsidR="006C577F" w:rsidRPr="006C577F">
        <w:rPr>
          <w:rStyle w:val="libFootnotenumChar"/>
          <w:rtl/>
        </w:rPr>
        <w:t>(4)</w:t>
      </w:r>
      <w:r w:rsidRPr="00C9040A">
        <w:rPr>
          <w:rtl/>
          <w:lang w:bidi="fa-IR"/>
        </w:rPr>
        <w:t xml:space="preserve"> بِهِ </w:t>
      </w:r>
      <w:r w:rsidR="006C577F" w:rsidRPr="006C577F">
        <w:rPr>
          <w:rStyle w:val="libFootnotenumChar"/>
          <w:rtl/>
        </w:rPr>
        <w:t>(5)</w:t>
      </w:r>
      <w:r w:rsidRPr="00C9040A">
        <w:rPr>
          <w:rtl/>
          <w:lang w:bidi="fa-IR"/>
        </w:rPr>
        <w:t xml:space="preserve"> عَلَيَّ</w:t>
      </w:r>
      <w:r>
        <w:rPr>
          <w:rtl/>
          <w:lang w:bidi="fa-IR"/>
        </w:rPr>
        <w:t>؟</w:t>
      </w:r>
      <w:r w:rsidRPr="00C9040A">
        <w:rPr>
          <w:rtl/>
          <w:lang w:bidi="fa-IR"/>
        </w:rPr>
        <w:t xml:space="preserve"> قَالَ : يَا مُوسَى ، الْآنَ </w:t>
      </w:r>
      <w:r w:rsidR="006C577F" w:rsidRPr="006C577F">
        <w:rPr>
          <w:rStyle w:val="libFootnotenumChar"/>
          <w:rtl/>
        </w:rPr>
        <w:t>(6)</w:t>
      </w:r>
      <w:r w:rsidR="00A164D5" w:rsidRPr="00C9040A">
        <w:rPr>
          <w:rtl/>
          <w:lang w:bidi="fa-IR"/>
        </w:rPr>
        <w:t xml:space="preserve"> </w:t>
      </w:r>
      <w:r w:rsidRPr="00C9040A">
        <w:rPr>
          <w:rtl/>
          <w:lang w:bidi="fa-IR"/>
        </w:rPr>
        <w:t xml:space="preserve">شَكَرْتَنِي حِينَ </w:t>
      </w:r>
      <w:r w:rsidR="006C577F" w:rsidRPr="006C577F">
        <w:rPr>
          <w:rStyle w:val="libFootnotenumChar"/>
          <w:rtl/>
        </w:rPr>
        <w:t>(7)</w:t>
      </w:r>
      <w:r w:rsidRPr="00C9040A">
        <w:rPr>
          <w:rtl/>
          <w:lang w:bidi="fa-IR"/>
        </w:rPr>
        <w:t xml:space="preserve"> عَلِمْتَ أَنَّ ذلِكَ مِنِّي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Normal"/>
        <w:rPr>
          <w:rtl/>
          <w:lang w:bidi="fa-IR"/>
        </w:rPr>
      </w:pPr>
      <w:r w:rsidRPr="00E568EF">
        <w:rPr>
          <w:rtl/>
        </w:rPr>
        <w:t>1742</w:t>
      </w:r>
      <w:r w:rsidRPr="00261CB0">
        <w:rPr>
          <w:rStyle w:val="libBold2Char"/>
          <w:rtl/>
        </w:rPr>
        <w:t xml:space="preserve"> / 28.</w:t>
      </w:r>
      <w:r w:rsidRPr="00C9040A">
        <w:rPr>
          <w:rtl/>
          <w:lang w:bidi="fa-IR"/>
        </w:rPr>
        <w:t xml:space="preserve"> ابْنُ أَبِي عُمَيْرٍ </w:t>
      </w:r>
      <w:r w:rsidR="006C577F" w:rsidRPr="006C577F">
        <w:rPr>
          <w:rStyle w:val="libFootnotenumChar"/>
          <w:rtl/>
        </w:rPr>
        <w:t>(9)</w:t>
      </w:r>
      <w:r w:rsidRPr="00C9040A">
        <w:rPr>
          <w:rtl/>
          <w:lang w:bidi="fa-IR"/>
        </w:rPr>
        <w:t xml:space="preserve"> ، عَنِ ابْنِ رِئَابٍ ، عَنْ إِسْمَاعِيلَ بْنِ الْفَضْلِ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إِذَا أَصْبَحْتَ وَأَمْسَيْتَ ، فَقُلْ عَشْرَ مَرَّاتٍ : " اللهُمَّ مَا أَصْبَحَتْ بِي مِنْ نِعْمَةٍ أَوْ عَافِيَةٍ فِي </w:t>
      </w:r>
      <w:r w:rsidR="006C577F" w:rsidRPr="006C577F">
        <w:rPr>
          <w:rStyle w:val="libFootnotenumChar"/>
          <w:rtl/>
        </w:rPr>
        <w:t>(10)</w:t>
      </w:r>
      <w:r w:rsidRPr="00C9040A">
        <w:rPr>
          <w:rtl/>
          <w:lang w:bidi="fa-IR"/>
        </w:rPr>
        <w:t xml:space="preserve"> دِينٍ أَوْ دُنْيَا ، فَمِنْكَ </w:t>
      </w:r>
      <w:r w:rsidR="006C577F" w:rsidRPr="006C577F">
        <w:rPr>
          <w:rStyle w:val="libFootnotenumChar"/>
          <w:rtl/>
        </w:rPr>
        <w:t>(11)</w:t>
      </w:r>
      <w:r w:rsidRPr="00C9040A">
        <w:rPr>
          <w:rtl/>
          <w:lang w:bidi="fa-IR"/>
        </w:rPr>
        <w:t xml:space="preserve"> وَحْدَكَ لَاشَرِيكَ لَكَ ، لَكَ الْحَمْدُ ، وَلَكَ الشُّكْرُ بِهَا عَلَيَّ يَا رَبِّ حَتّى تَرْضى ، وَبَعْدَ الرِّضَا" فَإِنَّكَ إِذَا قُلْتَ ذلِكَ ، كُنْتَ قَدْ </w:t>
      </w:r>
      <w:r w:rsidR="006C577F" w:rsidRPr="006C577F">
        <w:rPr>
          <w:rStyle w:val="libFootnotenumChar"/>
          <w:rtl/>
        </w:rPr>
        <w:t>(12)</w:t>
      </w:r>
      <w:r w:rsidRPr="00C9040A">
        <w:rPr>
          <w:rtl/>
          <w:lang w:bidi="fa-IR"/>
        </w:rPr>
        <w:t xml:space="preserve"> أَدَّيْتَ شُكْرَ مَا أَنْعَمَ اللهُ بِهِ </w:t>
      </w:r>
      <w:r w:rsidRPr="005B567D">
        <w:rPr>
          <w:rStyle w:val="libFootnotenumChar"/>
          <w:rtl/>
        </w:rPr>
        <w:t>(13)</w:t>
      </w:r>
      <w:r w:rsidRPr="00C9040A">
        <w:rPr>
          <w:rtl/>
          <w:lang w:bidi="fa-IR"/>
        </w:rPr>
        <w:t xml:space="preserve"> عَلَيْكَ فِي ذلِكَ الْيَوْمِ ، وَفِي تِلْكَ اللَّيْلَةِ »</w:t>
      </w:r>
      <w:r>
        <w:rPr>
          <w:rtl/>
          <w:lang w:bidi="fa-IR"/>
        </w:rPr>
        <w:t>.</w:t>
      </w:r>
      <w:r w:rsidRPr="00C9040A">
        <w:rPr>
          <w:rtl/>
          <w:lang w:bidi="fa-IR"/>
        </w:rPr>
        <w:t xml:space="preserve"> </w:t>
      </w:r>
      <w:r w:rsidRPr="005B567D">
        <w:rPr>
          <w:rStyle w:val="libFootnotenumChar"/>
          <w:rtl/>
        </w:rPr>
        <w:t>(14)</w:t>
      </w:r>
      <w:r w:rsidRPr="00C9040A">
        <w:rPr>
          <w:rtl/>
          <w:lang w:bidi="fa-IR"/>
        </w:rPr>
        <w:t xml:space="preserve"> ‌</w:t>
      </w:r>
    </w:p>
    <w:p w:rsidR="008A74EB" w:rsidRPr="00C9040A" w:rsidRDefault="008A74EB" w:rsidP="008A74EB">
      <w:pPr>
        <w:pStyle w:val="libNormal"/>
        <w:rPr>
          <w:rtl/>
          <w:lang w:bidi="fa-IR"/>
        </w:rPr>
      </w:pPr>
      <w:r w:rsidRPr="00E568EF">
        <w:rPr>
          <w:rtl/>
        </w:rPr>
        <w:t>1743</w:t>
      </w:r>
      <w:r w:rsidRPr="00261CB0">
        <w:rPr>
          <w:rStyle w:val="libBold2Char"/>
          <w:rtl/>
        </w:rPr>
        <w:t xml:space="preserve"> / 29.</w:t>
      </w:r>
      <w:r w:rsidRPr="00C9040A">
        <w:rPr>
          <w:rtl/>
          <w:lang w:bidi="fa-IR"/>
        </w:rPr>
        <w:t xml:space="preserve"> ابْنُ أَبِي عُمَيْرٍ </w:t>
      </w:r>
      <w:r w:rsidRPr="005B567D">
        <w:rPr>
          <w:rStyle w:val="libFootnotenumChar"/>
          <w:rtl/>
        </w:rPr>
        <w:t>(15)</w:t>
      </w:r>
      <w:r w:rsidRPr="00C9040A">
        <w:rPr>
          <w:rtl/>
          <w:lang w:bidi="fa-IR"/>
        </w:rPr>
        <w:t xml:space="preserve"> ، عَنْ حَفْصِ بْنِ الْبَخْتَرِيِّ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كَانَ نُوحٌ </w:t>
      </w:r>
      <w:r w:rsidRPr="0003660B">
        <w:rPr>
          <w:rStyle w:val="libAlaemChar"/>
          <w:rtl/>
        </w:rPr>
        <w:t>عليه‌السلام</w:t>
      </w:r>
      <w:r w:rsidRPr="00C9040A">
        <w:rPr>
          <w:rtl/>
          <w:lang w:bidi="fa-IR"/>
        </w:rPr>
        <w:t xml:space="preserve"> يَقُولُ ذلِكَ </w:t>
      </w:r>
      <w:r w:rsidRPr="005B567D">
        <w:rPr>
          <w:rStyle w:val="libFootnotenumChar"/>
          <w:rtl/>
        </w:rPr>
        <w:t>(16)</w:t>
      </w:r>
      <w:r w:rsidRPr="00C9040A">
        <w:rPr>
          <w:rtl/>
          <w:lang w:bidi="fa-IR"/>
        </w:rPr>
        <w:t xml:space="preserve"> إِذَا أَصْبَحَ ، فَسُمِّيَ بِذلِكَ عَبْداً شَكُوراً »</w:t>
      </w:r>
      <w:r>
        <w:rPr>
          <w:rtl/>
          <w:lang w:bidi="fa-IR"/>
        </w:rPr>
        <w:t>.</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 ض » : + « بن عمران »</w:t>
      </w:r>
      <w:r w:rsidR="008A74EB">
        <w:rPr>
          <w:rtl/>
        </w:rPr>
        <w:t>.</w:t>
      </w:r>
    </w:p>
    <w:p w:rsidR="008A74EB" w:rsidRPr="004A4E41" w:rsidRDefault="006C577F" w:rsidP="004A4E41">
      <w:pPr>
        <w:pStyle w:val="libFootnote0"/>
        <w:rPr>
          <w:rStyle w:val="libFootnote0Char"/>
          <w:rtl/>
        </w:rPr>
      </w:pPr>
      <w:r>
        <w:rPr>
          <w:rtl/>
        </w:rPr>
        <w:t>(2).</w:t>
      </w:r>
      <w:r w:rsidR="008A74EB">
        <w:rPr>
          <w:rtl/>
        </w:rPr>
        <w:t xml:space="preserve"> </w:t>
      </w:r>
      <w:r w:rsidR="008A74EB" w:rsidRPr="00C9040A">
        <w:rPr>
          <w:rtl/>
        </w:rPr>
        <w:t xml:space="preserve">في « ف » </w:t>
      </w:r>
      <w:r w:rsidR="008A74EB">
        <w:rPr>
          <w:rtl/>
        </w:rPr>
        <w:t xml:space="preserve">: </w:t>
      </w:r>
      <w:r w:rsidR="0084262C">
        <w:rPr>
          <w:rtl/>
        </w:rPr>
        <w:t>-</w:t>
      </w:r>
      <w:r w:rsidR="008A74EB" w:rsidRPr="00C9040A">
        <w:rPr>
          <w:rtl/>
        </w:rPr>
        <w:t xml:space="preserve"> « يا ربّ »</w:t>
      </w:r>
      <w:r w:rsidR="008A74EB">
        <w:rPr>
          <w:rtl/>
        </w:rPr>
        <w:t>.</w:t>
      </w:r>
    </w:p>
    <w:tbl>
      <w:tblPr>
        <w:tblStyle w:val="TableGrid"/>
        <w:bidiVisual/>
        <w:tblW w:w="0" w:type="auto"/>
        <w:tblLook w:val="04A0" w:firstRow="1" w:lastRow="0" w:firstColumn="1" w:lastColumn="0" w:noHBand="0" w:noVBand="1"/>
      </w:tblPr>
      <w:tblGrid>
        <w:gridCol w:w="4006"/>
        <w:gridCol w:w="4006"/>
      </w:tblGrid>
      <w:tr w:rsidR="00A164D5" w:rsidTr="00A164D5">
        <w:tc>
          <w:tcPr>
            <w:tcW w:w="4006" w:type="dxa"/>
          </w:tcPr>
          <w:p w:rsidR="00A164D5" w:rsidRDefault="00A164D5" w:rsidP="004A4E41">
            <w:pPr>
              <w:pStyle w:val="libFootnote0"/>
              <w:rPr>
                <w:rtl/>
              </w:rPr>
            </w:pPr>
            <w:r>
              <w:rPr>
                <w:rtl/>
              </w:rPr>
              <w:t>(3).</w:t>
            </w:r>
            <w:r w:rsidRPr="00C9040A">
              <w:rPr>
                <w:rtl/>
              </w:rPr>
              <w:t xml:space="preserve"> في البحار : « فكيف »</w:t>
            </w:r>
            <w:r>
              <w:rPr>
                <w:rtl/>
              </w:rPr>
              <w:t>.</w:t>
            </w:r>
          </w:p>
        </w:tc>
        <w:tc>
          <w:tcPr>
            <w:tcW w:w="4006" w:type="dxa"/>
          </w:tcPr>
          <w:p w:rsidR="00A164D5" w:rsidRDefault="00A164D5" w:rsidP="004A4E41">
            <w:pPr>
              <w:pStyle w:val="libFootnote0"/>
              <w:rPr>
                <w:rtl/>
              </w:rPr>
            </w:pPr>
            <w:r>
              <w:rPr>
                <w:rtl/>
              </w:rPr>
              <w:t>(4). في«ز»:</w:t>
            </w:r>
            <w:r w:rsidRPr="00C9040A">
              <w:rPr>
                <w:rtl/>
              </w:rPr>
              <w:t>«</w:t>
            </w:r>
            <w:r>
              <w:rPr>
                <w:rtl/>
              </w:rPr>
              <w:t>أنعمتني</w:t>
            </w:r>
            <w:r w:rsidRPr="00C9040A">
              <w:rPr>
                <w:rtl/>
              </w:rPr>
              <w:t>»</w:t>
            </w:r>
            <w:r>
              <w:rPr>
                <w:rtl/>
              </w:rPr>
              <w:t>. وفي حاشية«ف»</w:t>
            </w:r>
            <w:r w:rsidRPr="00C9040A">
              <w:rPr>
                <w:rtl/>
              </w:rPr>
              <w:t>: « أنعمته »</w:t>
            </w:r>
            <w:r>
              <w:rPr>
                <w:rtl/>
              </w:rPr>
              <w:t>.</w:t>
            </w:r>
          </w:p>
        </w:tc>
      </w:tr>
      <w:tr w:rsidR="00A164D5" w:rsidTr="00A164D5">
        <w:tc>
          <w:tcPr>
            <w:tcW w:w="4006" w:type="dxa"/>
          </w:tcPr>
          <w:p w:rsidR="00A164D5" w:rsidRDefault="00A164D5" w:rsidP="004A4E41">
            <w:pPr>
              <w:pStyle w:val="libFootnote0"/>
              <w:rPr>
                <w:rtl/>
              </w:rPr>
            </w:pPr>
            <w:r>
              <w:rPr>
                <w:rtl/>
              </w:rPr>
              <w:t>(5).</w:t>
            </w:r>
            <w:r w:rsidRPr="00C9040A">
              <w:rPr>
                <w:rtl/>
              </w:rPr>
              <w:t xml:space="preserve"> في « ف » </w:t>
            </w:r>
            <w:r>
              <w:rPr>
                <w:rtl/>
              </w:rPr>
              <w:t>: -</w:t>
            </w:r>
            <w:r w:rsidRPr="00C9040A">
              <w:rPr>
                <w:rtl/>
              </w:rPr>
              <w:t xml:space="preserve"> « به »</w:t>
            </w:r>
            <w:r>
              <w:rPr>
                <w:rtl/>
              </w:rPr>
              <w:t>.</w:t>
            </w:r>
          </w:p>
        </w:tc>
        <w:tc>
          <w:tcPr>
            <w:tcW w:w="4006" w:type="dxa"/>
          </w:tcPr>
          <w:p w:rsidR="00A164D5" w:rsidRDefault="00A164D5" w:rsidP="004A4E41">
            <w:pPr>
              <w:pStyle w:val="libFootnote0"/>
              <w:rPr>
                <w:rtl/>
              </w:rPr>
            </w:pPr>
            <w:r>
              <w:rPr>
                <w:rtl/>
              </w:rPr>
              <w:t xml:space="preserve">(6). </w:t>
            </w:r>
            <w:r w:rsidRPr="00C9040A">
              <w:rPr>
                <w:rtl/>
              </w:rPr>
              <w:t>في « ز » : « الآن يا موسى »</w:t>
            </w:r>
            <w:r>
              <w:rPr>
                <w:rtl/>
              </w:rPr>
              <w:t>.</w:t>
            </w:r>
          </w:p>
        </w:tc>
      </w:tr>
    </w:tbl>
    <w:p w:rsidR="008A74EB" w:rsidRPr="00C9040A" w:rsidRDefault="006C577F" w:rsidP="004A4E41">
      <w:pPr>
        <w:pStyle w:val="libFootnote0"/>
        <w:rPr>
          <w:rtl/>
          <w:lang w:bidi="fa-IR"/>
        </w:rPr>
      </w:pPr>
      <w:r>
        <w:rPr>
          <w:rtl/>
        </w:rPr>
        <w:t>(7).</w:t>
      </w:r>
      <w:r w:rsidR="008A74EB" w:rsidRPr="00C9040A">
        <w:rPr>
          <w:rtl/>
        </w:rPr>
        <w:t xml:space="preserve"> في حاشية « ف » : « حيث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w:t>
      </w:r>
      <w:r w:rsidR="008A74EB" w:rsidRPr="00993B55">
        <w:rPr>
          <w:rStyle w:val="libFootnoteBoldChar"/>
          <w:rtl/>
        </w:rPr>
        <w:t>الوافي</w:t>
      </w:r>
      <w:r w:rsidR="008A74EB" w:rsidRPr="00C9040A">
        <w:rPr>
          <w:rtl/>
        </w:rPr>
        <w:t xml:space="preserve"> ، ج 4 ، ص 350 ، ح 2100 ؛ </w:t>
      </w:r>
      <w:r w:rsidR="008A74EB" w:rsidRPr="00993B55">
        <w:rPr>
          <w:rStyle w:val="libFootnoteBoldChar"/>
          <w:rtl/>
        </w:rPr>
        <w:t>البحار</w:t>
      </w:r>
      <w:r w:rsidR="008A74EB" w:rsidRPr="00C9040A">
        <w:rPr>
          <w:rtl/>
        </w:rPr>
        <w:t xml:space="preserve"> ، ج 71 ، ص 36 ، ح 22.</w:t>
      </w:r>
    </w:p>
    <w:p w:rsidR="008A74EB" w:rsidRPr="00C9040A" w:rsidRDefault="006C577F" w:rsidP="004A4E41">
      <w:pPr>
        <w:pStyle w:val="libFootnote0"/>
        <w:rPr>
          <w:rtl/>
          <w:lang w:bidi="fa-IR"/>
        </w:rPr>
      </w:pPr>
      <w:r>
        <w:rPr>
          <w:rtl/>
        </w:rPr>
        <w:t>(9).</w:t>
      </w:r>
      <w:r w:rsidR="008A74EB" w:rsidRPr="00C9040A">
        <w:rPr>
          <w:rtl/>
        </w:rPr>
        <w:t xml:space="preserve"> السند معلّق على سابقه. ويروي عن ابن أبي عمير ، عليّ بن إبراهيم عن أبيه.</w:t>
      </w:r>
    </w:p>
    <w:p w:rsidR="008A74EB" w:rsidRPr="00C9040A" w:rsidRDefault="006C577F" w:rsidP="004A4E41">
      <w:pPr>
        <w:pStyle w:val="libFootnote0"/>
        <w:rPr>
          <w:rtl/>
          <w:lang w:bidi="fa-IR"/>
        </w:rPr>
      </w:pPr>
      <w:r>
        <w:rPr>
          <w:rtl/>
        </w:rPr>
        <w:t>(10).</w:t>
      </w:r>
      <w:r w:rsidR="008A74EB" w:rsidRPr="00C9040A">
        <w:rPr>
          <w:rtl/>
        </w:rPr>
        <w:t xml:space="preserve"> هكذا في النسخ التي قوبلت والوافي. وفي المطبوع : « من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في </w:t>
      </w:r>
      <w:r w:rsidR="008A74EB" w:rsidRPr="00993B55">
        <w:rPr>
          <w:rStyle w:val="libFootnoteBoldChar"/>
          <w:rtl/>
        </w:rPr>
        <w:t>مرآة العقول</w:t>
      </w:r>
      <w:r w:rsidR="008A74EB" w:rsidRPr="00C9040A">
        <w:rPr>
          <w:rtl/>
        </w:rPr>
        <w:t xml:space="preserve"> : « وربّما يقرأ منّك بفتح الميم وتشديد النون ، وهو تصحيف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في « ف » : « عبداً لله » بدل « قد »</w:t>
      </w:r>
      <w:r w:rsidR="008A74EB">
        <w:rPr>
          <w:rtl/>
        </w:rPr>
        <w:t>.</w:t>
      </w:r>
    </w:p>
    <w:p w:rsidR="008A74EB" w:rsidRPr="00C9040A" w:rsidRDefault="008A74EB" w:rsidP="004A4E41">
      <w:pPr>
        <w:pStyle w:val="libFootnote0"/>
        <w:rPr>
          <w:rtl/>
          <w:lang w:bidi="fa-IR"/>
        </w:rPr>
      </w:pPr>
      <w:r>
        <w:rPr>
          <w:rtl/>
        </w:rPr>
        <w:t>(13)</w:t>
      </w:r>
      <w:r w:rsidRPr="00C9040A">
        <w:rPr>
          <w:rtl/>
        </w:rPr>
        <w:t xml:space="preserve"> في البحار ، ج 71 </w:t>
      </w:r>
      <w:r>
        <w:rPr>
          <w:rtl/>
        </w:rPr>
        <w:t xml:space="preserve">: </w:t>
      </w:r>
      <w:r w:rsidR="0084262C">
        <w:rPr>
          <w:rtl/>
        </w:rPr>
        <w:t>-</w:t>
      </w:r>
      <w:r w:rsidRPr="00C9040A">
        <w:rPr>
          <w:rtl/>
        </w:rPr>
        <w:t xml:space="preserve"> « به »</w:t>
      </w:r>
      <w:r>
        <w:rPr>
          <w:rtl/>
        </w:rPr>
        <w:t>.</w:t>
      </w:r>
    </w:p>
    <w:p w:rsidR="008A74EB" w:rsidRPr="004A4E41" w:rsidRDefault="008A74EB" w:rsidP="004A4E41">
      <w:pPr>
        <w:pStyle w:val="libFootnote0"/>
        <w:rPr>
          <w:rStyle w:val="libFootnote0Char"/>
          <w:rtl/>
        </w:rPr>
      </w:pPr>
      <w:r>
        <w:rPr>
          <w:rtl/>
        </w:rPr>
        <w:t>(14)</w:t>
      </w:r>
      <w:r w:rsidRPr="00C9040A">
        <w:rPr>
          <w:rtl/>
        </w:rPr>
        <w:t xml:space="preserve"> </w:t>
      </w:r>
      <w:r w:rsidRPr="00993B55">
        <w:rPr>
          <w:rStyle w:val="libFootnoteBoldChar"/>
          <w:rtl/>
        </w:rPr>
        <w:t>الوافي</w:t>
      </w:r>
      <w:r w:rsidRPr="00C9040A">
        <w:rPr>
          <w:rtl/>
        </w:rPr>
        <w:t xml:space="preserve"> ، ج 4 ، ص 351 ، ح 2102 ؛ </w:t>
      </w:r>
      <w:r w:rsidRPr="00993B55">
        <w:rPr>
          <w:rStyle w:val="libFootnoteBoldChar"/>
          <w:rtl/>
        </w:rPr>
        <w:t>الوسائل</w:t>
      </w:r>
      <w:r w:rsidRPr="00C9040A">
        <w:rPr>
          <w:rtl/>
        </w:rPr>
        <w:t xml:space="preserve"> ، ج 7 ، ص 229 ، ح 9192 ؛ </w:t>
      </w:r>
      <w:r w:rsidRPr="00993B55">
        <w:rPr>
          <w:rStyle w:val="libFootnoteBoldChar"/>
          <w:rtl/>
        </w:rPr>
        <w:t>البحار</w:t>
      </w:r>
      <w:r w:rsidRPr="00C9040A">
        <w:rPr>
          <w:rtl/>
        </w:rPr>
        <w:t xml:space="preserve"> ، ج 71 ، ص 36 ، ح 23 ؛ وج 83 ، ص 125 ، ح 73.</w:t>
      </w:r>
    </w:p>
    <w:tbl>
      <w:tblPr>
        <w:tblStyle w:val="TableGrid"/>
        <w:bidiVisual/>
        <w:tblW w:w="0" w:type="auto"/>
        <w:tblLook w:val="04A0" w:firstRow="1" w:lastRow="0" w:firstColumn="1" w:lastColumn="0" w:noHBand="0" w:noVBand="1"/>
      </w:tblPr>
      <w:tblGrid>
        <w:gridCol w:w="4006"/>
        <w:gridCol w:w="4006"/>
      </w:tblGrid>
      <w:tr w:rsidR="00797AE9" w:rsidTr="00797AE9">
        <w:tc>
          <w:tcPr>
            <w:tcW w:w="4006" w:type="dxa"/>
          </w:tcPr>
          <w:p w:rsidR="00797AE9" w:rsidRDefault="00797AE9" w:rsidP="004A4E41">
            <w:pPr>
              <w:pStyle w:val="libFootnote0"/>
              <w:rPr>
                <w:rtl/>
              </w:rPr>
            </w:pPr>
            <w:r>
              <w:rPr>
                <w:rtl/>
              </w:rPr>
              <w:t>(15)</w:t>
            </w:r>
            <w:r w:rsidRPr="00C9040A">
              <w:rPr>
                <w:rtl/>
              </w:rPr>
              <w:t xml:space="preserve"> السند معلّق ، كسابقه.</w:t>
            </w:r>
          </w:p>
        </w:tc>
        <w:tc>
          <w:tcPr>
            <w:tcW w:w="4006" w:type="dxa"/>
          </w:tcPr>
          <w:p w:rsidR="00797AE9" w:rsidRDefault="00797AE9" w:rsidP="004A4E41">
            <w:pPr>
              <w:pStyle w:val="libFootnote0"/>
              <w:rPr>
                <w:rtl/>
              </w:rPr>
            </w:pPr>
            <w:r>
              <w:rPr>
                <w:rtl/>
              </w:rPr>
              <w:t>(16)</w:t>
            </w:r>
            <w:r w:rsidRPr="00C9040A">
              <w:rPr>
                <w:rtl/>
              </w:rPr>
              <w:t xml:space="preserve"> يعني الدعاء المذكور في الحديث السابق.</w:t>
            </w:r>
          </w:p>
        </w:tc>
      </w:tr>
    </w:tbl>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وَقَالَ </w:t>
      </w:r>
      <w:r w:rsidR="006C577F" w:rsidRPr="006C577F">
        <w:rPr>
          <w:rStyle w:val="libFootnotenumChar"/>
          <w:rtl/>
        </w:rPr>
        <w:t>(1)</w:t>
      </w:r>
      <w:r w:rsidRPr="001E6F92">
        <w:rPr>
          <w:rFonts w:hint="cs"/>
          <w:rtl/>
        </w:rPr>
        <w:t xml:space="preserve"> </w:t>
      </w:r>
      <w:r w:rsidRPr="00C9040A">
        <w:rPr>
          <w:rtl/>
          <w:lang w:bidi="fa-IR"/>
        </w:rPr>
        <w:t xml:space="preserve">: « قَالَ رَسُولُ اللهِ </w:t>
      </w:r>
      <w:r w:rsidR="004A4E41" w:rsidRPr="004A4E41">
        <w:rPr>
          <w:rStyle w:val="libAlaemChar"/>
          <w:rtl/>
        </w:rPr>
        <w:t>صلى‌الله‌عليه‌وآله</w:t>
      </w:r>
      <w:r w:rsidRPr="00C9040A">
        <w:rPr>
          <w:rtl/>
          <w:lang w:bidi="fa-IR"/>
        </w:rPr>
        <w:t xml:space="preserve"> : مَنْ صَدَقَ </w:t>
      </w:r>
      <w:r w:rsidR="006C577F" w:rsidRPr="006C577F">
        <w:rPr>
          <w:rStyle w:val="libFootnotenumChar"/>
          <w:rtl/>
        </w:rPr>
        <w:t>(2)</w:t>
      </w:r>
      <w:r w:rsidRPr="00C9040A">
        <w:rPr>
          <w:rtl/>
          <w:lang w:bidi="fa-IR"/>
        </w:rPr>
        <w:t xml:space="preserve"> اللهَ نَجَا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E568EF">
        <w:rPr>
          <w:rtl/>
        </w:rPr>
        <w:t>1744</w:t>
      </w:r>
      <w:r w:rsidRPr="00261CB0">
        <w:rPr>
          <w:rStyle w:val="libBold2Char"/>
          <w:rtl/>
        </w:rPr>
        <w:t xml:space="preserve"> / 30.</w:t>
      </w:r>
      <w:r w:rsidRPr="00C9040A">
        <w:rPr>
          <w:rtl/>
          <w:lang w:bidi="fa-IR"/>
        </w:rPr>
        <w:t xml:space="preserve"> عَلِيُّ بْنُ إِبْرَاهِيمَ ، عَنْ أَبِيهِ ، عَنِ الْقَاسِمِ بْنِ مُحَمَّدٍ ، عَنِ الْمِنْقَرِيِّ ، عَنْ سُفْيَانَ بْنِ عُيَيْنَةَ ، عَنْ عَمَّارٍ الدُّهْنِيِّ ، قَالَ :</w:t>
      </w:r>
    </w:p>
    <w:p w:rsidR="008A74EB" w:rsidRPr="00C9040A" w:rsidRDefault="008A74EB" w:rsidP="008A74EB">
      <w:pPr>
        <w:pStyle w:val="libNormal"/>
        <w:rPr>
          <w:rtl/>
          <w:lang w:bidi="fa-IR"/>
        </w:rPr>
      </w:pPr>
      <w:r w:rsidRPr="00C9040A">
        <w:rPr>
          <w:rtl/>
          <w:lang w:bidi="fa-IR"/>
        </w:rPr>
        <w:t xml:space="preserve">سَمِعْتُ عَلِيَّ بْنَ الْحُسَيْنِ </w:t>
      </w:r>
      <w:r w:rsidRPr="0003660B">
        <w:rPr>
          <w:rStyle w:val="libAlaemChar"/>
          <w:rtl/>
        </w:rPr>
        <w:t>عليهما‌السلام</w:t>
      </w:r>
      <w:r w:rsidRPr="00C9040A">
        <w:rPr>
          <w:rtl/>
          <w:lang w:bidi="fa-IR"/>
        </w:rPr>
        <w:t xml:space="preserve"> يَقُولُ : « إِنَّ اللهَ يُحِبُّ كُلَّ قَلْبٍ حَزِينٍ ، وَيُحِبُّ كُلَّ عَبْدٍ شَكُورٍ ، يَقُولُ اللهُ</w:t>
      </w:r>
      <w:r>
        <w:rPr>
          <w:rtl/>
          <w:lang w:bidi="fa-IR"/>
        </w:rPr>
        <w:t xml:space="preserve"> </w:t>
      </w:r>
      <w:r w:rsidR="0084262C">
        <w:rPr>
          <w:rtl/>
          <w:lang w:bidi="fa-IR"/>
        </w:rPr>
        <w:t>-</w:t>
      </w:r>
      <w:r>
        <w:rPr>
          <w:rtl/>
          <w:lang w:bidi="fa-IR"/>
        </w:rPr>
        <w:t xml:space="preserve"> </w:t>
      </w:r>
      <w:r w:rsidRPr="00C9040A">
        <w:rPr>
          <w:rtl/>
          <w:lang w:bidi="fa-IR"/>
        </w:rPr>
        <w:t>تَبَارَكَ وَتَعَالى</w:t>
      </w:r>
      <w:r>
        <w:rPr>
          <w:rtl/>
          <w:lang w:bidi="fa-IR"/>
        </w:rPr>
        <w:t xml:space="preserve"> </w:t>
      </w:r>
      <w:r w:rsidR="0084262C">
        <w:rPr>
          <w:rtl/>
          <w:lang w:bidi="fa-IR"/>
        </w:rPr>
        <w:t>-</w:t>
      </w:r>
      <w:r>
        <w:rPr>
          <w:rtl/>
          <w:lang w:bidi="fa-IR"/>
        </w:rPr>
        <w:t xml:space="preserve"> </w:t>
      </w:r>
      <w:r w:rsidRPr="00C9040A">
        <w:rPr>
          <w:rtl/>
          <w:lang w:bidi="fa-IR"/>
        </w:rPr>
        <w:t>لِعَبْدٍ مِنْ عَب</w:t>
      </w:r>
      <w:r>
        <w:rPr>
          <w:rtl/>
          <w:lang w:bidi="fa-IR"/>
        </w:rPr>
        <w:t>ِيدِهِ يَوْمَ الْقِيَامَةِ : أَ</w:t>
      </w:r>
      <w:r w:rsidRPr="00C9040A">
        <w:rPr>
          <w:rtl/>
          <w:lang w:bidi="fa-IR"/>
        </w:rPr>
        <w:t>شَكَرْتَ فُلَاناً</w:t>
      </w:r>
      <w:r>
        <w:rPr>
          <w:rtl/>
          <w:lang w:bidi="fa-IR"/>
        </w:rPr>
        <w:t>؟</w:t>
      </w:r>
      <w:r w:rsidRPr="00C9040A">
        <w:rPr>
          <w:rtl/>
          <w:lang w:bidi="fa-IR"/>
        </w:rPr>
        <w:t xml:space="preserve"> فَيَقُولُ :</w:t>
      </w:r>
      <w:r>
        <w:rPr>
          <w:rFonts w:hint="cs"/>
          <w:rtl/>
          <w:lang w:bidi="fa-IR"/>
        </w:rPr>
        <w:t xml:space="preserve"> </w:t>
      </w:r>
      <w:r w:rsidRPr="00C9040A">
        <w:rPr>
          <w:rtl/>
          <w:lang w:bidi="fa-IR"/>
        </w:rPr>
        <w:t xml:space="preserve">بَلْ شَكَرْتُكَ يَا رَبِّ ، فَيَقُولُ : لَمْ تَشْكُرْنِي إِذْ </w:t>
      </w:r>
      <w:r w:rsidR="006C577F" w:rsidRPr="006C577F">
        <w:rPr>
          <w:rStyle w:val="libFootnotenumChar"/>
          <w:rtl/>
        </w:rPr>
        <w:t>(4)</w:t>
      </w:r>
      <w:r w:rsidRPr="00C9040A">
        <w:rPr>
          <w:rtl/>
          <w:lang w:bidi="fa-IR"/>
        </w:rPr>
        <w:t xml:space="preserve"> لَمْ تَشْكُرْهُ » ثُمَّ </w:t>
      </w:r>
      <w:r w:rsidR="006C577F" w:rsidRPr="006C577F">
        <w:rPr>
          <w:rStyle w:val="libFootnotenumChar"/>
          <w:rtl/>
        </w:rPr>
        <w:t>(5)</w:t>
      </w:r>
      <w:r w:rsidRPr="00C9040A">
        <w:rPr>
          <w:rtl/>
          <w:lang w:bidi="fa-IR"/>
        </w:rPr>
        <w:t xml:space="preserve"> قَالَ : « أَشْكَرُكُمْ لِلّهِ أَشْكَرُكُمْ لِلنَّاسِ »</w:t>
      </w:r>
      <w:r>
        <w:rPr>
          <w:rtl/>
          <w:lang w:bidi="fa-IR"/>
        </w:rPr>
        <w:t>.</w:t>
      </w:r>
      <w:r w:rsidRPr="00C9040A">
        <w:rPr>
          <w:rtl/>
          <w:lang w:bidi="fa-IR"/>
        </w:rPr>
        <w:t xml:space="preserve"> </w:t>
      </w:r>
      <w:r w:rsidR="006C577F" w:rsidRPr="006C577F">
        <w:rPr>
          <w:rStyle w:val="libFootnotenumChar"/>
          <w:rtl/>
        </w:rPr>
        <w:t>(6)</w:t>
      </w:r>
    </w:p>
    <w:p w:rsidR="008A74EB" w:rsidRPr="00C9040A" w:rsidRDefault="008A74EB" w:rsidP="008A74EB">
      <w:pPr>
        <w:pStyle w:val="Heading2Center"/>
        <w:rPr>
          <w:rtl/>
          <w:lang w:bidi="fa-IR"/>
        </w:rPr>
      </w:pPr>
      <w:bookmarkStart w:id="157" w:name="_Toc343795640"/>
      <w:bookmarkStart w:id="158" w:name="_Toc459810764"/>
      <w:bookmarkStart w:id="159" w:name="_Toc35348670"/>
      <w:r w:rsidRPr="00C9040A">
        <w:rPr>
          <w:rtl/>
          <w:lang w:bidi="fa-IR"/>
        </w:rPr>
        <w:t>49</w:t>
      </w:r>
      <w:r>
        <w:rPr>
          <w:rtl/>
          <w:lang w:bidi="fa-IR"/>
        </w:rPr>
        <w:t xml:space="preserve"> </w:t>
      </w:r>
      <w:r w:rsidR="0084262C">
        <w:rPr>
          <w:rtl/>
          <w:lang w:bidi="fa-IR"/>
        </w:rPr>
        <w:t>-</w:t>
      </w:r>
      <w:r>
        <w:rPr>
          <w:rtl/>
          <w:lang w:bidi="fa-IR"/>
        </w:rPr>
        <w:t xml:space="preserve"> </w:t>
      </w:r>
      <w:r w:rsidRPr="00C9040A">
        <w:rPr>
          <w:rtl/>
          <w:lang w:bidi="fa-IR"/>
        </w:rPr>
        <w:t>بَابُ حُسْنِ الْخُلُقِ‌</w:t>
      </w:r>
      <w:bookmarkEnd w:id="157"/>
      <w:bookmarkEnd w:id="158"/>
      <w:bookmarkEnd w:id="159"/>
    </w:p>
    <w:p w:rsidR="008A74EB" w:rsidRPr="00C9040A" w:rsidRDefault="008A74EB" w:rsidP="008A74EB">
      <w:pPr>
        <w:pStyle w:val="libNormal"/>
        <w:rPr>
          <w:rtl/>
          <w:lang w:bidi="fa-IR"/>
        </w:rPr>
      </w:pPr>
      <w:r w:rsidRPr="00E568EF">
        <w:rPr>
          <w:rtl/>
        </w:rPr>
        <w:t>1745</w:t>
      </w:r>
      <w:r w:rsidRPr="00261CB0">
        <w:rPr>
          <w:rStyle w:val="libBold2Char"/>
          <w:rtl/>
        </w:rPr>
        <w:t xml:space="preserve"> / 1.</w:t>
      </w:r>
      <w:r w:rsidRPr="00C9040A">
        <w:rPr>
          <w:rtl/>
          <w:lang w:bidi="fa-IR"/>
        </w:rPr>
        <w:t xml:space="preserve"> مُحَمَّدُ بْنُ يَحْيى ، عَنْ أَحْمَدَ بْنِ مُحَمَّدِ بْنِ عِيسى ، عَنِ الْحَسَنِ بْنِ مَحْبُوبٍ ، عَنْ جَمِيلِ بْنِ دَرَّاجٍ </w:t>
      </w:r>
      <w:r w:rsidR="006C577F" w:rsidRPr="006C577F">
        <w:rPr>
          <w:rStyle w:val="libFootnotenumChar"/>
          <w:rtl/>
        </w:rPr>
        <w:t>(7)</w:t>
      </w:r>
      <w:r w:rsidRPr="00C9040A">
        <w:rPr>
          <w:rtl/>
          <w:lang w:bidi="fa-IR"/>
        </w:rPr>
        <w:t xml:space="preserve"> ، عَنْ مُحَمَّدِ بْنِ مُسْلِمٍ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 ض ، بر » والوافي : « قال </w:t>
      </w:r>
      <w:r w:rsidR="008A74EB">
        <w:rPr>
          <w:rtl/>
        </w:rPr>
        <w:t>و ».</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ب ، ز ، ف ، بر » وشرح المازندراني والوافي : « صدّق » بالتشديد. وفي </w:t>
      </w:r>
      <w:r w:rsidR="008A74EB" w:rsidRPr="00993B55">
        <w:rPr>
          <w:rStyle w:val="libFootnoteBoldChar"/>
          <w:rtl/>
        </w:rPr>
        <w:t>الوافي</w:t>
      </w:r>
      <w:r w:rsidR="008A74EB" w:rsidRPr="00C9040A">
        <w:rPr>
          <w:rtl/>
        </w:rPr>
        <w:t xml:space="preserve"> : « لعلّه </w:t>
      </w:r>
      <w:r w:rsidR="00117575" w:rsidRPr="00117575">
        <w:rPr>
          <w:rStyle w:val="libFootnoteAlaemChar"/>
          <w:rtl/>
        </w:rPr>
        <w:t>عليه‌السلام</w:t>
      </w:r>
      <w:r w:rsidR="008A74EB" w:rsidRPr="00C9040A">
        <w:rPr>
          <w:rtl/>
        </w:rPr>
        <w:t xml:space="preserve"> أشار بآخر الحديث إلى أنّ هذه الكلمات تصديق لله‌سبحانه فيما وصف الله به نفسه وشهد به من التوحيد »</w:t>
      </w:r>
      <w:r w:rsidR="008A74EB">
        <w:rPr>
          <w:rtl/>
        </w:rPr>
        <w:t>.</w:t>
      </w:r>
    </w:p>
    <w:p w:rsidR="008A74EB" w:rsidRPr="004A4E41" w:rsidRDefault="006C577F" w:rsidP="004A4E41">
      <w:pPr>
        <w:pStyle w:val="libFootnote0"/>
        <w:rPr>
          <w:rStyle w:val="libFootnote0Char"/>
          <w:rtl/>
        </w:rPr>
      </w:pPr>
      <w:r>
        <w:rPr>
          <w:rtl/>
        </w:rPr>
        <w:t>(3).</w:t>
      </w:r>
      <w:r w:rsidR="008A74EB" w:rsidRPr="00C9040A">
        <w:rPr>
          <w:rtl/>
        </w:rPr>
        <w:t xml:space="preserve"> </w:t>
      </w:r>
      <w:r w:rsidR="008A74EB" w:rsidRPr="00993B55">
        <w:rPr>
          <w:rStyle w:val="libFootnoteBoldChar"/>
          <w:rtl/>
        </w:rPr>
        <w:t>الفقيه</w:t>
      </w:r>
      <w:r w:rsidR="008A74EB" w:rsidRPr="00C9040A">
        <w:rPr>
          <w:rtl/>
        </w:rPr>
        <w:t xml:space="preserve"> ، ج 1 ، ص 335 ، ح 981 ، معلّقاً عن حفص البختري ، مع اختلاف يسير. </w:t>
      </w:r>
      <w:r w:rsidR="008A74EB" w:rsidRPr="00993B55">
        <w:rPr>
          <w:rStyle w:val="libFootnoteBoldChar"/>
          <w:rtl/>
        </w:rPr>
        <w:t>تفسير القمّي</w:t>
      </w:r>
      <w:r w:rsidR="008A74EB" w:rsidRPr="00C9040A">
        <w:rPr>
          <w:rtl/>
        </w:rPr>
        <w:t xml:space="preserve"> ، ج 2 ، ص 13 ، بسند آخر عن أبي جعفر </w:t>
      </w:r>
      <w:r w:rsidR="00117575" w:rsidRPr="00117575">
        <w:rPr>
          <w:rStyle w:val="libFootnoteAlaemChar"/>
          <w:rtl/>
        </w:rPr>
        <w:t>عليه‌السلام</w:t>
      </w:r>
      <w:r w:rsidR="008A74EB" w:rsidRPr="00C9040A">
        <w:rPr>
          <w:rtl/>
        </w:rPr>
        <w:t xml:space="preserve"> ، مع اختلاف. </w:t>
      </w:r>
      <w:r w:rsidR="008A74EB" w:rsidRPr="00993B55">
        <w:rPr>
          <w:rStyle w:val="libFootnoteBoldChar"/>
          <w:rtl/>
        </w:rPr>
        <w:t>تفسير العيّاشي</w:t>
      </w:r>
      <w:r w:rsidR="008A74EB" w:rsidRPr="00C9040A">
        <w:rPr>
          <w:rtl/>
        </w:rPr>
        <w:t xml:space="preserve"> ، ج 2 ، ص 280 ، ح 17 ، عن حفص البختري ، مع زيادة في آخره ؛ </w:t>
      </w:r>
      <w:r w:rsidR="008A74EB" w:rsidRPr="00993B55">
        <w:rPr>
          <w:rStyle w:val="libFootnoteBoldChar"/>
          <w:rtl/>
        </w:rPr>
        <w:t>وفيه</w:t>
      </w:r>
      <w:r w:rsidR="008A74EB" w:rsidRPr="00C9040A">
        <w:rPr>
          <w:rtl/>
        </w:rPr>
        <w:t xml:space="preserve"> ، ح 19 ، عن أبي حمزة الثمالي ، عن أبي جعفر </w:t>
      </w:r>
      <w:r w:rsidR="00117575" w:rsidRPr="00117575">
        <w:rPr>
          <w:rStyle w:val="libFootnoteAlaemChar"/>
          <w:rtl/>
        </w:rPr>
        <w:t>عليه‌السلام</w:t>
      </w:r>
      <w:r w:rsidR="008A74EB" w:rsidRPr="00C9040A">
        <w:rPr>
          <w:rtl/>
        </w:rPr>
        <w:t xml:space="preserve"> ، وفيهما مع اختلاف يسير ، وفي كلّها إلى قوله : « فسمّي بذلك عبداً شكوراً »</w:t>
      </w:r>
      <w:r w:rsidR="008A74EB">
        <w:rPr>
          <w:rtl/>
        </w:rPr>
        <w:t>.</w:t>
      </w:r>
      <w:r w:rsidR="008A74EB" w:rsidRPr="00C9040A">
        <w:rPr>
          <w:rtl/>
        </w:rPr>
        <w:t xml:space="preserve"> </w:t>
      </w:r>
      <w:r w:rsidR="008A74EB" w:rsidRPr="00993B55">
        <w:rPr>
          <w:rStyle w:val="libFootnoteBoldChar"/>
          <w:rtl/>
        </w:rPr>
        <w:t>وفيه</w:t>
      </w:r>
      <w:r w:rsidR="008A74EB" w:rsidRPr="00C9040A">
        <w:rPr>
          <w:rtl/>
        </w:rPr>
        <w:t xml:space="preserve"> ، ح 16 ، عن حفص بن البختري ؛ </w:t>
      </w:r>
      <w:r w:rsidR="008A74EB" w:rsidRPr="00993B55">
        <w:rPr>
          <w:rStyle w:val="libFootnoteBoldChar"/>
          <w:rtl/>
        </w:rPr>
        <w:t>وفيه</w:t>
      </w:r>
      <w:r w:rsidR="008A74EB" w:rsidRPr="00C9040A">
        <w:rPr>
          <w:rtl/>
        </w:rPr>
        <w:t xml:space="preserve"> ، ح 18 ، عن جابر ، عن أبي جعفر </w:t>
      </w:r>
      <w:r w:rsidR="00117575" w:rsidRPr="00117575">
        <w:rPr>
          <w:rStyle w:val="libFootnoteAlaemChar"/>
          <w:rtl/>
        </w:rPr>
        <w:t>عليه‌السلام</w:t>
      </w:r>
      <w:r w:rsidR="008A74EB" w:rsidRPr="00C9040A">
        <w:rPr>
          <w:rtl/>
        </w:rPr>
        <w:t xml:space="preserve"> وفيهما إلى قوله : « إذا أصبح » مع اختلاف</w:t>
      </w:r>
      <w:r w:rsidR="00431D92">
        <w:rPr>
          <w:rFonts w:hint="cs"/>
          <w:rtl/>
        </w:rPr>
        <w:t>.</w:t>
      </w:r>
      <w:r w:rsidR="008A74EB" w:rsidRPr="00993B55">
        <w:rPr>
          <w:rStyle w:val="libFootnoteBoldChar"/>
          <w:rtl/>
        </w:rPr>
        <w:t>الوافي</w:t>
      </w:r>
      <w:r w:rsidR="008A74EB" w:rsidRPr="00C9040A">
        <w:rPr>
          <w:rtl/>
        </w:rPr>
        <w:t xml:space="preserve"> ، ج 4 ، ص 352 ، ح 2103 ؛ </w:t>
      </w:r>
      <w:r w:rsidR="008A74EB" w:rsidRPr="00993B55">
        <w:rPr>
          <w:rStyle w:val="libFootnoteBoldChar"/>
          <w:rtl/>
        </w:rPr>
        <w:t>الوسائل</w:t>
      </w:r>
      <w:r w:rsidR="008A74EB" w:rsidRPr="00C9040A">
        <w:rPr>
          <w:rtl/>
        </w:rPr>
        <w:t xml:space="preserve"> ، ج 7 ، ص 229 ، ح 9193</w:t>
      </w:r>
      <w:r w:rsidR="008A74EB">
        <w:rPr>
          <w:rtl/>
        </w:rPr>
        <w:t xml:space="preserve"> </w:t>
      </w:r>
      <w:r w:rsidR="0084262C">
        <w:rPr>
          <w:rtl/>
        </w:rPr>
        <w:t>-</w:t>
      </w:r>
      <w:r w:rsidR="008A74EB">
        <w:rPr>
          <w:rtl/>
        </w:rPr>
        <w:t xml:space="preserve"> </w:t>
      </w:r>
      <w:r w:rsidR="008A74EB" w:rsidRPr="00C9040A">
        <w:rPr>
          <w:rtl/>
        </w:rPr>
        <w:t xml:space="preserve">9194 ؛ </w:t>
      </w:r>
      <w:r w:rsidR="008A74EB" w:rsidRPr="00993B55">
        <w:rPr>
          <w:rStyle w:val="libFootnoteBoldChar"/>
          <w:rtl/>
        </w:rPr>
        <w:t>البحار</w:t>
      </w:r>
      <w:r w:rsidR="008A74EB" w:rsidRPr="00C9040A">
        <w:rPr>
          <w:rtl/>
        </w:rPr>
        <w:t xml:space="preserve"> ، ج 71 ، ص 37 ، ح 24.</w:t>
      </w:r>
    </w:p>
    <w:tbl>
      <w:tblPr>
        <w:tblStyle w:val="TableGrid"/>
        <w:bidiVisual/>
        <w:tblW w:w="0" w:type="auto"/>
        <w:tblLook w:val="04A0" w:firstRow="1" w:lastRow="0" w:firstColumn="1" w:lastColumn="0" w:noHBand="0" w:noVBand="1"/>
      </w:tblPr>
      <w:tblGrid>
        <w:gridCol w:w="4006"/>
        <w:gridCol w:w="4006"/>
      </w:tblGrid>
      <w:tr w:rsidR="00431D92" w:rsidTr="00431D92">
        <w:tc>
          <w:tcPr>
            <w:tcW w:w="4006" w:type="dxa"/>
          </w:tcPr>
          <w:p w:rsidR="00431D92" w:rsidRDefault="00431D92" w:rsidP="004A4E41">
            <w:pPr>
              <w:pStyle w:val="libFootnote0"/>
              <w:rPr>
                <w:rtl/>
              </w:rPr>
            </w:pPr>
            <w:r>
              <w:rPr>
                <w:rtl/>
              </w:rPr>
              <w:t>(4).</w:t>
            </w:r>
            <w:r w:rsidRPr="00C9040A">
              <w:rPr>
                <w:rtl/>
              </w:rPr>
              <w:t xml:space="preserve"> في « ف » والوافي : « إذا »</w:t>
            </w:r>
            <w:r>
              <w:rPr>
                <w:rtl/>
              </w:rPr>
              <w:t>.</w:t>
            </w:r>
          </w:p>
        </w:tc>
        <w:tc>
          <w:tcPr>
            <w:tcW w:w="4006" w:type="dxa"/>
          </w:tcPr>
          <w:p w:rsidR="00431D92" w:rsidRDefault="00431D92" w:rsidP="004A4E41">
            <w:pPr>
              <w:pStyle w:val="libFootnote0"/>
              <w:rPr>
                <w:rtl/>
              </w:rPr>
            </w:pPr>
            <w:r>
              <w:rPr>
                <w:rtl/>
              </w:rPr>
              <w:t>(5).</w:t>
            </w:r>
            <w:r w:rsidRPr="00C9040A">
              <w:rPr>
                <w:rtl/>
              </w:rPr>
              <w:t xml:space="preserve"> في « بر ، بف » </w:t>
            </w:r>
            <w:r>
              <w:rPr>
                <w:rtl/>
              </w:rPr>
              <w:t>: -</w:t>
            </w:r>
            <w:r w:rsidRPr="00C9040A">
              <w:rPr>
                <w:rtl/>
              </w:rPr>
              <w:t xml:space="preserve"> « ثمّ »</w:t>
            </w:r>
            <w:r>
              <w:rPr>
                <w:rtl/>
              </w:rPr>
              <w:t>.</w:t>
            </w:r>
          </w:p>
        </w:tc>
      </w:tr>
    </w:tbl>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الوافي</w:t>
      </w:r>
      <w:r w:rsidR="008A74EB" w:rsidRPr="00C9040A">
        <w:rPr>
          <w:rtl/>
        </w:rPr>
        <w:t xml:space="preserve"> ، ج 4 ، ص 354 ، ح 2111 ؛ </w:t>
      </w:r>
      <w:r w:rsidR="008A74EB" w:rsidRPr="00993B55">
        <w:rPr>
          <w:rStyle w:val="libFootnoteBoldChar"/>
          <w:rtl/>
        </w:rPr>
        <w:t>الوسائل</w:t>
      </w:r>
      <w:r w:rsidR="008A74EB" w:rsidRPr="00C9040A">
        <w:rPr>
          <w:rtl/>
        </w:rPr>
        <w:t xml:space="preserve"> ، ج 16 ، ص 310 ، ح 21626 ؛ </w:t>
      </w:r>
      <w:r w:rsidR="008A74EB" w:rsidRPr="00993B55">
        <w:rPr>
          <w:rStyle w:val="libFootnoteBoldChar"/>
          <w:rtl/>
        </w:rPr>
        <w:t>البحار</w:t>
      </w:r>
      <w:r w:rsidR="008A74EB" w:rsidRPr="00C9040A">
        <w:rPr>
          <w:rtl/>
        </w:rPr>
        <w:t xml:space="preserve"> ، ج 71 ، ص 38 ، ح 25.</w:t>
      </w:r>
    </w:p>
    <w:p w:rsidR="008A74EB" w:rsidRPr="00C9040A" w:rsidRDefault="006C577F" w:rsidP="004A4E41">
      <w:pPr>
        <w:pStyle w:val="libFootnote0"/>
        <w:rPr>
          <w:rtl/>
          <w:lang w:bidi="fa-IR"/>
        </w:rPr>
      </w:pPr>
      <w:r>
        <w:rPr>
          <w:rtl/>
        </w:rPr>
        <w:t>(7).</w:t>
      </w:r>
      <w:r w:rsidR="008A74EB" w:rsidRPr="00C9040A">
        <w:rPr>
          <w:rtl/>
        </w:rPr>
        <w:t xml:space="preserve"> هكذا في « ج ، ز ، ص ، ف » وحاشية « د ، ض ، بر ، بف »</w:t>
      </w:r>
      <w:r w:rsidR="008A74EB">
        <w:rPr>
          <w:rtl/>
        </w:rPr>
        <w:t>.</w:t>
      </w:r>
      <w:r w:rsidR="008A74EB" w:rsidRPr="00C9040A">
        <w:rPr>
          <w:rtl/>
        </w:rPr>
        <w:t xml:space="preserve"> وفي « ب ، د ، ض ، بر ، بس ، بف ، جر » والمطبوع والوسائل والبحار : « جميل بن صالح »</w:t>
      </w:r>
      <w:r w:rsidR="008A74EB">
        <w:rPr>
          <w:rtl/>
        </w:rPr>
        <w:t>.</w:t>
      </w:r>
      <w:r w:rsidR="00AD6CDA">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إِنَّ أَكْمَلَ الْمُؤْمِنِينَ إِيمَاناً أَحْسَنُهُمْ خُلُقاً »</w:t>
      </w:r>
      <w:r>
        <w:rPr>
          <w:rtl/>
          <w:lang w:bidi="fa-IR"/>
        </w:rPr>
        <w:t>.</w:t>
      </w:r>
      <w:r w:rsidRPr="00C9040A">
        <w:rPr>
          <w:rtl/>
          <w:lang w:bidi="fa-IR"/>
        </w:rPr>
        <w:t xml:space="preserve"> </w:t>
      </w:r>
      <w:r w:rsidR="006C577F" w:rsidRPr="006C577F">
        <w:rPr>
          <w:rStyle w:val="libFootnotenumChar"/>
          <w:rtl/>
        </w:rPr>
        <w:t>(1)</w:t>
      </w:r>
      <w:r w:rsidRPr="00C9040A">
        <w:rPr>
          <w:rtl/>
          <w:lang w:bidi="fa-IR"/>
        </w:rPr>
        <w:t>‌</w:t>
      </w:r>
    </w:p>
    <w:p w:rsidR="008A74EB" w:rsidRPr="00C9040A" w:rsidRDefault="008A74EB" w:rsidP="008A74EB">
      <w:pPr>
        <w:pStyle w:val="libNormal"/>
        <w:rPr>
          <w:rtl/>
          <w:lang w:bidi="fa-IR"/>
        </w:rPr>
      </w:pPr>
      <w:r w:rsidRPr="00E568EF">
        <w:rPr>
          <w:rtl/>
        </w:rPr>
        <w:t>1746</w:t>
      </w:r>
      <w:r w:rsidRPr="00261CB0">
        <w:rPr>
          <w:rStyle w:val="libBold2Char"/>
          <w:rtl/>
        </w:rPr>
        <w:t xml:space="preserve"> / 2.</w:t>
      </w:r>
      <w:r w:rsidRPr="00C9040A">
        <w:rPr>
          <w:rtl/>
          <w:lang w:bidi="fa-IR"/>
        </w:rPr>
        <w:t xml:space="preserve"> الْحُسَيْنُ بْنُ مُحَمَّدٍ ، عَنْ مُعَلَّى بْنِ مُحَمَّدٍ ، عَنِ الْوَشَّاءِ ، عَنْ عَبْدِ اللهِ بْنِ سِنَانٍ ، عَنْ رَجُلٍ مِنْ أَهْلِ الْمَدِينَةِ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C9040A">
        <w:rPr>
          <w:rtl/>
          <w:lang w:bidi="fa-IR"/>
        </w:rPr>
        <w:t xml:space="preserve">عَنْ عَلِيِّ بْنِ الْحُسَيْنِ </w:t>
      </w:r>
      <w:r w:rsidRPr="0003660B">
        <w:rPr>
          <w:rStyle w:val="libAlaemChar"/>
          <w:rtl/>
        </w:rPr>
        <w:t>عليهما‌السلام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مَا </w:t>
      </w:r>
      <w:r w:rsidR="006C577F" w:rsidRPr="006C577F">
        <w:rPr>
          <w:rStyle w:val="libFootnotenumChar"/>
          <w:rtl/>
        </w:rPr>
        <w:t>(3)</w:t>
      </w:r>
      <w:r w:rsidRPr="00C9040A">
        <w:rPr>
          <w:rtl/>
          <w:lang w:bidi="fa-IR"/>
        </w:rPr>
        <w:t xml:space="preserve"> يُوضَعُ فِي مِيزَانِ امْرِئٍ‌</w:t>
      </w:r>
    </w:p>
    <w:p w:rsidR="008A74EB" w:rsidRPr="00C9040A" w:rsidRDefault="008A74EB" w:rsidP="008A74EB">
      <w:pPr>
        <w:pStyle w:val="libLine"/>
        <w:rPr>
          <w:rtl/>
          <w:lang w:bidi="fa-IR"/>
        </w:rPr>
      </w:pPr>
      <w:r w:rsidRPr="00C9040A">
        <w:rPr>
          <w:rtl/>
          <w:lang w:bidi="fa-IR"/>
        </w:rPr>
        <w:t>__________________</w:t>
      </w:r>
    </w:p>
    <w:p w:rsidR="008A74EB" w:rsidRPr="00C9040A" w:rsidRDefault="0035380D" w:rsidP="004A4E41">
      <w:pPr>
        <w:pStyle w:val="libFootnote0"/>
        <w:rPr>
          <w:rtl/>
          <w:lang w:bidi="fa-IR"/>
        </w:rPr>
      </w:pPr>
      <w:r>
        <w:rPr>
          <w:rFonts w:hint="cs"/>
          <w:rtl/>
        </w:rPr>
        <w:t xml:space="preserve">= </w:t>
      </w:r>
      <w:r w:rsidR="008A74EB" w:rsidRPr="00323A39">
        <w:rPr>
          <w:rtl/>
        </w:rPr>
        <w:t>والظاهر صحّة ما أثبتناه ؛ فإنّا لم نجد رواية جم</w:t>
      </w:r>
      <w:r>
        <w:rPr>
          <w:rtl/>
        </w:rPr>
        <w:t>يل بن صالح عن محمّد بن مسلم إل</w:t>
      </w:r>
      <w:r>
        <w:rPr>
          <w:rFonts w:hint="cs"/>
          <w:rtl/>
        </w:rPr>
        <w:t>ّ</w:t>
      </w:r>
      <w:r>
        <w:rPr>
          <w:rtl/>
        </w:rPr>
        <w:t>ا</w:t>
      </w:r>
      <w:r w:rsidR="008A74EB" w:rsidRPr="00323A39">
        <w:rPr>
          <w:rtl/>
        </w:rPr>
        <w:t xml:space="preserve">في </w:t>
      </w:r>
      <w:r w:rsidR="008A74EB" w:rsidRPr="00993B55">
        <w:rPr>
          <w:rStyle w:val="libFootnoteBoldChar"/>
          <w:rtl/>
        </w:rPr>
        <w:t>الكافي</w:t>
      </w:r>
      <w:r w:rsidR="008A74EB" w:rsidRPr="00323A39">
        <w:rPr>
          <w:rtl/>
        </w:rPr>
        <w:t xml:space="preserve"> ، ح 62 ؛ و</w:t>
      </w:r>
      <w:r w:rsidR="008A74EB" w:rsidRPr="0034021D">
        <w:rPr>
          <w:rStyle w:val="libFootnoteBoldChar"/>
          <w:rtl/>
        </w:rPr>
        <w:t>الأمالي للصدوق</w:t>
      </w:r>
      <w:r w:rsidR="008A74EB" w:rsidRPr="00323A39">
        <w:rPr>
          <w:rtl/>
        </w:rPr>
        <w:t xml:space="preserve"> ، ص 253 ، المجلس 51 ، ح 1 ، وفي ما نحن فيه.</w:t>
      </w:r>
    </w:p>
    <w:p w:rsidR="008A74EB" w:rsidRPr="00C9040A" w:rsidRDefault="008A74EB" w:rsidP="008A74EB">
      <w:pPr>
        <w:pStyle w:val="libNormal"/>
        <w:rPr>
          <w:rtl/>
          <w:lang w:bidi="fa-IR"/>
        </w:rPr>
      </w:pPr>
      <w:r w:rsidRPr="00323A39">
        <w:rPr>
          <w:rStyle w:val="libFootnote0Char"/>
          <w:rtl/>
        </w:rPr>
        <w:t xml:space="preserve">والخبر الأوّل أورده ابن إدريس في </w:t>
      </w:r>
      <w:r w:rsidRPr="00993B55">
        <w:rPr>
          <w:rStyle w:val="libFootnoteBoldChar"/>
          <w:rtl/>
        </w:rPr>
        <w:t>مستطرفات السرائر</w:t>
      </w:r>
      <w:r w:rsidRPr="00323A39">
        <w:rPr>
          <w:rStyle w:val="libFootnote0Char"/>
          <w:rtl/>
        </w:rPr>
        <w:t xml:space="preserve"> ، ص 84 ، ح 31 ، نقلاً من كتاب المشيخة تصنيف الحسن بن محبوب ، عن جميل بن درّاج ، عن محمّد بن مسلم والمذكور في بعض نسخ </w:t>
      </w:r>
      <w:r w:rsidRPr="00993B55">
        <w:rPr>
          <w:rStyle w:val="libFootnoteBoldChar"/>
          <w:rtl/>
        </w:rPr>
        <w:t>الكافي</w:t>
      </w:r>
      <w:r w:rsidRPr="00323A39">
        <w:rPr>
          <w:rStyle w:val="libFootnote0Char"/>
          <w:rtl/>
        </w:rPr>
        <w:t xml:space="preserve"> أيضاً هو « جميل بن درّاج ». وما نحن فيه قد ورد في بعض النسخ « جميل بن درّاج » ، كما أش</w:t>
      </w:r>
      <w:r w:rsidR="0035380D">
        <w:rPr>
          <w:rStyle w:val="libFootnote0Char"/>
          <w:rtl/>
        </w:rPr>
        <w:t>رنا إليه ، فلم يبق في البين إل</w:t>
      </w:r>
      <w:r w:rsidR="0035380D">
        <w:rPr>
          <w:rStyle w:val="libFootnote0Char"/>
          <w:rFonts w:hint="cs"/>
          <w:rtl/>
        </w:rPr>
        <w:t>ّ</w:t>
      </w:r>
      <w:r w:rsidR="0035380D">
        <w:rPr>
          <w:rStyle w:val="libFootnote0Char"/>
          <w:rtl/>
        </w:rPr>
        <w:t>ا</w:t>
      </w:r>
      <w:r w:rsidRPr="00323A39">
        <w:rPr>
          <w:rStyle w:val="libFootnote0Char"/>
          <w:rtl/>
        </w:rPr>
        <w:t xml:space="preserve">ما رواه الصدوق في </w:t>
      </w:r>
      <w:r w:rsidRPr="00993B55">
        <w:rPr>
          <w:rStyle w:val="libFootnoteBoldChar"/>
          <w:rtl/>
        </w:rPr>
        <w:t>الأمالي</w:t>
      </w:r>
      <w:r w:rsidRPr="00323A39">
        <w:rPr>
          <w:rStyle w:val="libFootnote0Char"/>
          <w:rtl/>
        </w:rPr>
        <w:t xml:space="preserve"> ، وبه لا يثبت رواية جميل بن صالح ، عن محمّد بن مسلم </w:t>
      </w:r>
      <w:r w:rsidR="0084262C" w:rsidRPr="00323A39">
        <w:rPr>
          <w:rStyle w:val="libFootnote0Char"/>
          <w:rtl/>
        </w:rPr>
        <w:t>-</w:t>
      </w:r>
      <w:r w:rsidRPr="00323A39">
        <w:rPr>
          <w:rStyle w:val="libFootnote0Char"/>
          <w:rtl/>
        </w:rPr>
        <w:t xml:space="preserve"> مع أنّ كلاًّ منهما كثير الرواية جدّاً </w:t>
      </w:r>
      <w:r w:rsidR="0084262C" w:rsidRPr="00323A39">
        <w:rPr>
          <w:rStyle w:val="libFootnote0Char"/>
          <w:rtl/>
        </w:rPr>
        <w:t>-</w:t>
      </w:r>
      <w:r w:rsidRPr="00323A39">
        <w:rPr>
          <w:rStyle w:val="libFootnote0Char"/>
          <w:rtl/>
        </w:rPr>
        <w:t xml:space="preserve"> ؛ فإنّ الخبر رواه الصدوق بسنده عن الحسن بن محبوب ، عن جميل بن صالح ، عن محمّد بن مسلم. واحتمال كون الأصل في العنوان هو جميل وتفسيره بجميل بن صالح </w:t>
      </w:r>
      <w:r w:rsidR="0084262C" w:rsidRPr="00323A39">
        <w:rPr>
          <w:rStyle w:val="libFootnote0Char"/>
          <w:rtl/>
        </w:rPr>
        <w:t>-</w:t>
      </w:r>
      <w:r w:rsidRPr="00323A39">
        <w:rPr>
          <w:rStyle w:val="libFootnote0Char"/>
          <w:rtl/>
        </w:rPr>
        <w:t xml:space="preserve"> لما ورد في كثير من الأسناد من الرواية [ الحسن ] بن محبوب ، عن جميل بن صالح </w:t>
      </w:r>
      <w:r w:rsidR="0084262C" w:rsidRPr="00323A39">
        <w:rPr>
          <w:rStyle w:val="libFootnote0Char"/>
          <w:rtl/>
        </w:rPr>
        <w:t>-</w:t>
      </w:r>
      <w:r w:rsidRPr="00323A39">
        <w:rPr>
          <w:rStyle w:val="libFootnote0Char"/>
          <w:rtl/>
        </w:rPr>
        <w:t xml:space="preserve"> قويّ جدّاً. راجع : </w:t>
      </w:r>
      <w:r w:rsidRPr="00993B55">
        <w:rPr>
          <w:rStyle w:val="libFootnoteBoldChar"/>
          <w:rtl/>
        </w:rPr>
        <w:t>معجم رجال الحديث</w:t>
      </w:r>
      <w:r w:rsidRPr="00323A39">
        <w:rPr>
          <w:rStyle w:val="libFootnote0Char"/>
          <w:rtl/>
        </w:rPr>
        <w:t xml:space="preserve"> ، ج 4 ، ص 159 ؛ وج 5 ، ص 343 </w:t>
      </w:r>
      <w:r w:rsidR="0084262C" w:rsidRPr="00323A39">
        <w:rPr>
          <w:rStyle w:val="libFootnote0Char"/>
          <w:rtl/>
        </w:rPr>
        <w:t>-</w:t>
      </w:r>
      <w:r w:rsidRPr="00323A39">
        <w:rPr>
          <w:rStyle w:val="libFootnote0Char"/>
          <w:rtl/>
        </w:rPr>
        <w:t xml:space="preserve"> 344 ؛ وج 17 ، ص 233 ؛ وج 23 ، ص 251 </w:t>
      </w:r>
      <w:r w:rsidR="0084262C" w:rsidRPr="00323A39">
        <w:rPr>
          <w:rStyle w:val="libFootnote0Char"/>
          <w:rtl/>
        </w:rPr>
        <w:t>-</w:t>
      </w:r>
      <w:r w:rsidRPr="00323A39">
        <w:rPr>
          <w:rStyle w:val="libFootnote0Char"/>
          <w:rtl/>
        </w:rPr>
        <w:t xml:space="preserve"> 253.</w:t>
      </w:r>
    </w:p>
    <w:p w:rsidR="008A74EB" w:rsidRPr="00C9040A" w:rsidRDefault="008A74EB" w:rsidP="004A4E41">
      <w:pPr>
        <w:pStyle w:val="libFootnote0"/>
        <w:rPr>
          <w:rtl/>
          <w:lang w:bidi="fa-IR"/>
        </w:rPr>
      </w:pPr>
      <w:r w:rsidRPr="00323A39">
        <w:rPr>
          <w:rtl/>
        </w:rPr>
        <w:t xml:space="preserve">هذا ، وقد أكثر جميل بن درّاج من الرواية عن محمّد بن مسلم في الأسناد. راجع : </w:t>
      </w:r>
      <w:r w:rsidRPr="00993B55">
        <w:rPr>
          <w:rStyle w:val="libFootnoteBoldChar"/>
          <w:rtl/>
        </w:rPr>
        <w:t>معجم رجال الحديث</w:t>
      </w:r>
      <w:r w:rsidRPr="00323A39">
        <w:rPr>
          <w:rtl/>
        </w:rPr>
        <w:t xml:space="preserve"> ، ج 4 ، ص 452 </w:t>
      </w:r>
      <w:r w:rsidR="0084262C" w:rsidRPr="00323A39">
        <w:rPr>
          <w:rtl/>
        </w:rPr>
        <w:t>-</w:t>
      </w:r>
      <w:r w:rsidRPr="00323A39">
        <w:rPr>
          <w:rtl/>
        </w:rPr>
        <w:t xml:space="preserve"> 453.</w:t>
      </w:r>
    </w:p>
    <w:p w:rsidR="008A74EB" w:rsidRPr="00C9040A" w:rsidRDefault="006C577F" w:rsidP="004A4E41">
      <w:pPr>
        <w:pStyle w:val="libFootnote0"/>
        <w:rPr>
          <w:rtl/>
          <w:lang w:bidi="fa-IR"/>
        </w:rPr>
      </w:pPr>
      <w:r>
        <w:rPr>
          <w:rtl/>
        </w:rPr>
        <w:t>(1).</w:t>
      </w:r>
      <w:r w:rsidR="008A74EB" w:rsidRPr="00C9040A">
        <w:rPr>
          <w:rtl/>
        </w:rPr>
        <w:t xml:space="preserve"> </w:t>
      </w:r>
      <w:r w:rsidR="008A74EB" w:rsidRPr="00993B55">
        <w:rPr>
          <w:rStyle w:val="libFootnoteBoldChar"/>
          <w:rtl/>
        </w:rPr>
        <w:t>الأمالي</w:t>
      </w:r>
      <w:r w:rsidR="008A74EB" w:rsidRPr="00C9040A">
        <w:rPr>
          <w:rtl/>
        </w:rPr>
        <w:t xml:space="preserve"> للطوسي ، ص 139 ، المجلس 5 ، ح 40 ، بسند آخر عن جعفر بن محمّد ، عن آبائه </w:t>
      </w:r>
      <w:r w:rsidR="00117575" w:rsidRPr="00117575">
        <w:rPr>
          <w:rStyle w:val="libFootnoteAlaemChar"/>
          <w:rtl/>
        </w:rPr>
        <w:t>عليهم‌السلام</w:t>
      </w:r>
      <w:r w:rsidR="008A74EB" w:rsidRPr="00C9040A">
        <w:rPr>
          <w:rtl/>
        </w:rPr>
        <w:t xml:space="preserve"> عن رسول الله </w:t>
      </w:r>
      <w:r w:rsidR="004A4E41" w:rsidRPr="00AC2E2F">
        <w:rPr>
          <w:rStyle w:val="libFootnoteAlaemChar"/>
          <w:rtl/>
        </w:rPr>
        <w:t>صلى‌الله‌عليه‌وآله</w:t>
      </w:r>
      <w:r w:rsidR="008A74EB" w:rsidRPr="00C9040A">
        <w:rPr>
          <w:rtl/>
        </w:rPr>
        <w:t xml:space="preserve"> ؛ </w:t>
      </w:r>
      <w:r w:rsidR="008A74EB" w:rsidRPr="00993B55">
        <w:rPr>
          <w:rStyle w:val="libFootnoteBoldChar"/>
          <w:rtl/>
        </w:rPr>
        <w:t>وفيه</w:t>
      </w:r>
      <w:r w:rsidR="008A74EB" w:rsidRPr="00C9040A">
        <w:rPr>
          <w:rtl/>
        </w:rPr>
        <w:t xml:space="preserve"> ، ص 392 ، المجلس 14 ، ح 12 ، بسند آخر عن رسول الله </w:t>
      </w:r>
      <w:r w:rsidR="004A4E41" w:rsidRPr="00AC2E2F">
        <w:rPr>
          <w:rStyle w:val="libFootnoteAlaemChar"/>
          <w:rtl/>
        </w:rPr>
        <w:t>صلى‌الله‌عليه‌وآله</w:t>
      </w:r>
      <w:r w:rsidR="008A74EB" w:rsidRPr="00C9040A">
        <w:rPr>
          <w:rtl/>
        </w:rPr>
        <w:t xml:space="preserve"> ، مع زيادة في آخره ؛ </w:t>
      </w:r>
      <w:r w:rsidR="008A74EB" w:rsidRPr="00993B55">
        <w:rPr>
          <w:rStyle w:val="libFootnoteBoldChar"/>
          <w:rtl/>
        </w:rPr>
        <w:t>الزهد</w:t>
      </w:r>
      <w:r w:rsidR="008A74EB" w:rsidRPr="00C9040A">
        <w:rPr>
          <w:rtl/>
        </w:rPr>
        <w:t xml:space="preserve"> ، ص 91 ، ح 67 ، بسند آخر عن أبي عبد الله </w:t>
      </w:r>
      <w:r w:rsidR="00117575" w:rsidRPr="00117575">
        <w:rPr>
          <w:rStyle w:val="libFootnoteAlaemChar"/>
          <w:rtl/>
        </w:rPr>
        <w:t>عليه‌السلام</w:t>
      </w:r>
      <w:r w:rsidR="008A74EB" w:rsidRPr="00C9040A">
        <w:rPr>
          <w:rtl/>
        </w:rPr>
        <w:t xml:space="preserve"> عن رسول الله </w:t>
      </w:r>
      <w:r w:rsidR="004A4E41" w:rsidRPr="00AC2E2F">
        <w:rPr>
          <w:rStyle w:val="libFootnoteAlaemChar"/>
          <w:rtl/>
        </w:rPr>
        <w:t>صلى‌الله‌عليه‌وآله</w:t>
      </w:r>
      <w:r w:rsidR="008A74EB" w:rsidRPr="00C9040A">
        <w:rPr>
          <w:rtl/>
        </w:rPr>
        <w:t xml:space="preserve"> ؛ </w:t>
      </w:r>
      <w:r w:rsidR="008A74EB" w:rsidRPr="00993B55">
        <w:rPr>
          <w:rStyle w:val="libFootnoteBoldChar"/>
          <w:rtl/>
        </w:rPr>
        <w:t>كفاية الأثر</w:t>
      </w:r>
      <w:r w:rsidR="008A74EB" w:rsidRPr="00C9040A">
        <w:rPr>
          <w:rtl/>
        </w:rPr>
        <w:t xml:space="preserve"> ، ص 250 ، ضمن الحديث الطويل ، بسند آخر ، وفيهما مع اختلاف يسير. </w:t>
      </w:r>
      <w:r w:rsidR="008A74EB" w:rsidRPr="00993B55">
        <w:rPr>
          <w:rStyle w:val="libFootnoteBoldChar"/>
          <w:rtl/>
        </w:rPr>
        <w:t>تحف العقول</w:t>
      </w:r>
      <w:r w:rsidR="008A74EB" w:rsidRPr="00C9040A">
        <w:rPr>
          <w:rtl/>
        </w:rPr>
        <w:t xml:space="preserve"> ، ص 47 ، عن النبيّ </w:t>
      </w:r>
      <w:r w:rsidR="004A4E41" w:rsidRPr="00AC2E2F">
        <w:rPr>
          <w:rStyle w:val="libFootnoteAlaemChar"/>
          <w:rtl/>
        </w:rPr>
        <w:t>صلى‌الله‌عليه‌وآله</w:t>
      </w:r>
      <w:r w:rsidR="008A74EB" w:rsidRPr="00C9040A">
        <w:rPr>
          <w:rtl/>
        </w:rPr>
        <w:t xml:space="preserve"> ، مع زيادة في آخره ؛ </w:t>
      </w:r>
      <w:r w:rsidR="008A74EB" w:rsidRPr="00993B55">
        <w:rPr>
          <w:rStyle w:val="libFootnoteBoldChar"/>
          <w:rtl/>
        </w:rPr>
        <w:t>وفيه</w:t>
      </w:r>
      <w:r w:rsidR="008A74EB" w:rsidRPr="00C9040A">
        <w:rPr>
          <w:rtl/>
        </w:rPr>
        <w:t xml:space="preserve"> ، ص 395 ، ضمن الحديث الطويل ، عن موسى بن جعفر </w:t>
      </w:r>
      <w:r w:rsidR="00117575" w:rsidRPr="00117575">
        <w:rPr>
          <w:rStyle w:val="libFootnoteAlaemChar"/>
          <w:rtl/>
        </w:rPr>
        <w:t xml:space="preserve">عليه‌السلام </w:t>
      </w:r>
      <w:r w:rsidR="008A74EB" w:rsidRPr="00C9040A">
        <w:rPr>
          <w:rtl/>
        </w:rPr>
        <w:t>. و</w:t>
      </w:r>
      <w:r w:rsidR="0035380D">
        <w:rPr>
          <w:rFonts w:hint="cs"/>
          <w:rtl/>
        </w:rPr>
        <w:t xml:space="preserve"> </w:t>
      </w:r>
      <w:r w:rsidR="008A74EB" w:rsidRPr="00C9040A">
        <w:rPr>
          <w:rtl/>
        </w:rPr>
        <w:t xml:space="preserve">ورد مع اختلاف في هذه المصادر : </w:t>
      </w:r>
      <w:r w:rsidR="008A74EB" w:rsidRPr="0034021D">
        <w:rPr>
          <w:rStyle w:val="libFootnoteBoldChar"/>
          <w:rtl/>
        </w:rPr>
        <w:t>الأمالي للصدوق</w:t>
      </w:r>
      <w:r w:rsidR="008A74EB" w:rsidRPr="00C9040A">
        <w:rPr>
          <w:rtl/>
        </w:rPr>
        <w:t xml:space="preserve"> ، ص 20 ، المجلس 6 ، ضمن الحديث الطويل 4 ؛ و</w:t>
      </w:r>
      <w:r w:rsidR="008A74EB" w:rsidRPr="00993B55">
        <w:rPr>
          <w:rStyle w:val="libFootnoteBoldChar"/>
          <w:rtl/>
        </w:rPr>
        <w:t>معاني الأخبار</w:t>
      </w:r>
      <w:r w:rsidR="008A74EB" w:rsidRPr="00C9040A">
        <w:rPr>
          <w:rtl/>
        </w:rPr>
        <w:t xml:space="preserve"> ، ص 195 ، ضمن الحديث الطويل 1 ، وفيهما بسند آخر عن أبي عبد الله ، عن آبائه </w:t>
      </w:r>
      <w:r w:rsidR="00117575" w:rsidRPr="00117575">
        <w:rPr>
          <w:rStyle w:val="libFootnoteAlaemChar"/>
          <w:rtl/>
        </w:rPr>
        <w:t>عليهم‌السلام</w:t>
      </w:r>
      <w:r w:rsidR="008A74EB" w:rsidRPr="00C9040A">
        <w:rPr>
          <w:rtl/>
        </w:rPr>
        <w:t xml:space="preserve"> عن رسول الله </w:t>
      </w:r>
      <w:r w:rsidR="004A4E41" w:rsidRPr="00AC2E2F">
        <w:rPr>
          <w:rStyle w:val="libFootnoteAlaemChar"/>
          <w:rtl/>
        </w:rPr>
        <w:t>صلى‌الله‌عليه‌وآله</w:t>
      </w:r>
      <w:r w:rsidR="008A74EB" w:rsidRPr="00C9040A">
        <w:rPr>
          <w:rtl/>
        </w:rPr>
        <w:t xml:space="preserve"> ؛ </w:t>
      </w:r>
      <w:r w:rsidR="008A74EB" w:rsidRPr="00993B55">
        <w:rPr>
          <w:rStyle w:val="libFootnoteBoldChar"/>
          <w:rtl/>
        </w:rPr>
        <w:t>عيون الأخبار</w:t>
      </w:r>
      <w:r w:rsidR="008A74EB" w:rsidRPr="00C9040A">
        <w:rPr>
          <w:rtl/>
        </w:rPr>
        <w:t xml:space="preserve"> ، ج 2 ، ص 38 ، ح 109 ، بسند آخر عن الرضا ، عن آبائه </w:t>
      </w:r>
      <w:r w:rsidR="00117575" w:rsidRPr="00117575">
        <w:rPr>
          <w:rStyle w:val="libFootnoteAlaemChar"/>
          <w:rtl/>
        </w:rPr>
        <w:t>عليهم‌السلام</w:t>
      </w:r>
      <w:r w:rsidR="008A74EB" w:rsidRPr="00C9040A">
        <w:rPr>
          <w:rtl/>
        </w:rPr>
        <w:t xml:space="preserve"> عن رسول الله </w:t>
      </w:r>
      <w:r w:rsidR="004A4E41" w:rsidRPr="00AC2E2F">
        <w:rPr>
          <w:rStyle w:val="libFootnoteAlaemChar"/>
          <w:rtl/>
        </w:rPr>
        <w:t>صلى‌الله‌عليه‌وآله</w:t>
      </w:r>
      <w:r w:rsidR="008A74EB" w:rsidRPr="00C9040A">
        <w:rPr>
          <w:rtl/>
        </w:rPr>
        <w:t xml:space="preserve"> ؛ </w:t>
      </w:r>
      <w:r w:rsidR="008A74EB" w:rsidRPr="00993B55">
        <w:rPr>
          <w:rStyle w:val="libFootnoteBoldChar"/>
          <w:rtl/>
        </w:rPr>
        <w:t xml:space="preserve">صحيفة الرضا </w:t>
      </w:r>
      <w:r w:rsidR="00117575" w:rsidRPr="00117575">
        <w:rPr>
          <w:rStyle w:val="libFootnoteAlaemChar"/>
          <w:rtl/>
        </w:rPr>
        <w:t xml:space="preserve">عليه‌السلام </w:t>
      </w:r>
      <w:r w:rsidR="008A74EB" w:rsidRPr="00C9040A">
        <w:rPr>
          <w:rtl/>
        </w:rPr>
        <w:t xml:space="preserve"> ، ص 67 ، ح 125 ، بسند آخر عن الرضا ، عن آبائه </w:t>
      </w:r>
      <w:r w:rsidR="00117575" w:rsidRPr="00117575">
        <w:rPr>
          <w:rStyle w:val="libFootnoteAlaemChar"/>
          <w:rtl/>
        </w:rPr>
        <w:t>عليهم‌السلام</w:t>
      </w:r>
      <w:r w:rsidR="008A74EB" w:rsidRPr="00C9040A">
        <w:rPr>
          <w:rtl/>
        </w:rPr>
        <w:t xml:space="preserve"> عن رسول الله </w:t>
      </w:r>
      <w:r w:rsidR="004A4E41" w:rsidRPr="00AC2E2F">
        <w:rPr>
          <w:rStyle w:val="libFootnoteAlaemChar"/>
          <w:rtl/>
        </w:rPr>
        <w:t>صلى‌الله‌عليه‌وآله</w:t>
      </w:r>
      <w:r w:rsidR="008A74EB" w:rsidRPr="00C9040A">
        <w:rPr>
          <w:rtl/>
        </w:rPr>
        <w:t xml:space="preserve"> ، وفيهما مع زيادة في آخره</w:t>
      </w:r>
      <w:r w:rsidR="0035380D">
        <w:rPr>
          <w:rFonts w:hint="cs"/>
          <w:rtl/>
        </w:rPr>
        <w:t>.</w:t>
      </w:r>
      <w:r w:rsidR="008A74EB" w:rsidRPr="00993B55">
        <w:rPr>
          <w:rStyle w:val="libFootnoteBoldChar"/>
          <w:rtl/>
        </w:rPr>
        <w:t>الوافي</w:t>
      </w:r>
      <w:r w:rsidR="008A74EB" w:rsidRPr="00C9040A">
        <w:rPr>
          <w:rtl/>
        </w:rPr>
        <w:t xml:space="preserve"> ، ج 4 ، ص 419 ، ح 2230 ؛ </w:t>
      </w:r>
      <w:r w:rsidR="008A74EB" w:rsidRPr="00993B55">
        <w:rPr>
          <w:rStyle w:val="libFootnoteBoldChar"/>
          <w:rtl/>
        </w:rPr>
        <w:t>الوسائل</w:t>
      </w:r>
      <w:r w:rsidR="008A74EB" w:rsidRPr="00C9040A">
        <w:rPr>
          <w:rtl/>
        </w:rPr>
        <w:t xml:space="preserve"> ، ج 12 ، ص 148 ، ح 15904 ؛ </w:t>
      </w:r>
      <w:r w:rsidR="008A74EB" w:rsidRPr="00993B55">
        <w:rPr>
          <w:rStyle w:val="libFootnoteBoldChar"/>
          <w:rtl/>
        </w:rPr>
        <w:t>البحار</w:t>
      </w:r>
      <w:r w:rsidR="008A74EB" w:rsidRPr="00C9040A">
        <w:rPr>
          <w:rtl/>
        </w:rPr>
        <w:t xml:space="preserve"> ، ج 71 ، ص 372 ، ح 1.</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الوسائل </w:t>
      </w:r>
      <w:r w:rsidR="008A74EB">
        <w:rPr>
          <w:rtl/>
        </w:rPr>
        <w:t xml:space="preserve">: </w:t>
      </w:r>
      <w:r w:rsidR="0084262C">
        <w:rPr>
          <w:rtl/>
        </w:rPr>
        <w:t>-</w:t>
      </w:r>
      <w:r w:rsidR="008A74EB" w:rsidRPr="00C9040A">
        <w:rPr>
          <w:rtl/>
        </w:rPr>
        <w:t xml:space="preserve"> « من أهل المدينة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البحار ، ج 7 ، ص 303 : + « من عمل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يَوْمَ الْقِيَامَةِ أَفْضَلُ مِنْ حُسْنِ الْخُلُقِ »</w:t>
      </w:r>
      <w:r>
        <w:rPr>
          <w:rtl/>
          <w:lang w:bidi="fa-IR"/>
        </w:rPr>
        <w:t>.</w:t>
      </w:r>
      <w:r w:rsidRPr="00C9040A">
        <w:rPr>
          <w:rtl/>
          <w:lang w:bidi="fa-IR"/>
        </w:rPr>
        <w:t xml:space="preserve"> </w:t>
      </w:r>
      <w:r w:rsidR="006C577F" w:rsidRPr="006C577F">
        <w:rPr>
          <w:rStyle w:val="libFootnotenumChar"/>
          <w:rtl/>
        </w:rPr>
        <w:t>(1)</w:t>
      </w:r>
      <w:r w:rsidRPr="00C9040A">
        <w:rPr>
          <w:rtl/>
          <w:lang w:bidi="fa-IR"/>
        </w:rPr>
        <w:t>‌</w:t>
      </w:r>
    </w:p>
    <w:p w:rsidR="008A74EB" w:rsidRPr="00C9040A" w:rsidRDefault="008A74EB" w:rsidP="008A74EB">
      <w:pPr>
        <w:pStyle w:val="libNormal"/>
        <w:rPr>
          <w:rtl/>
          <w:lang w:bidi="fa-IR"/>
        </w:rPr>
      </w:pPr>
      <w:r w:rsidRPr="00E568EF">
        <w:rPr>
          <w:rtl/>
        </w:rPr>
        <w:t>1747</w:t>
      </w:r>
      <w:r w:rsidRPr="00261CB0">
        <w:rPr>
          <w:rStyle w:val="libBold2Char"/>
          <w:rtl/>
        </w:rPr>
        <w:t xml:space="preserve"> / 3.</w:t>
      </w:r>
      <w:r w:rsidRPr="00C9040A">
        <w:rPr>
          <w:rtl/>
          <w:lang w:bidi="fa-IR"/>
        </w:rPr>
        <w:t xml:space="preserve"> مُحَمَّدُ بْنُ يَحْيى ، عَنْ أَحْمَدَ بْنِ مُحَمَّدٍ ، عَنِ ابْ</w:t>
      </w:r>
      <w:r w:rsidR="0035380D">
        <w:rPr>
          <w:rtl/>
          <w:lang w:bidi="fa-IR"/>
        </w:rPr>
        <w:t>نِ مَحْبُوبٍ ، عَنْ أَبِي وَل</w:t>
      </w:r>
      <w:r w:rsidR="0035380D">
        <w:rPr>
          <w:rFonts w:hint="cs"/>
          <w:rtl/>
          <w:lang w:bidi="fa-IR"/>
        </w:rPr>
        <w:t>َّ</w:t>
      </w:r>
      <w:r w:rsidR="0035380D">
        <w:rPr>
          <w:rtl/>
          <w:lang w:bidi="fa-IR"/>
        </w:rPr>
        <w:t>ا</w:t>
      </w:r>
      <w:r w:rsidRPr="00C9040A">
        <w:rPr>
          <w:rtl/>
          <w:lang w:bidi="fa-IR"/>
        </w:rPr>
        <w:t>دٍ الْحَنَّاطِ :</w:t>
      </w:r>
    </w:p>
    <w:p w:rsidR="008A74EB" w:rsidRPr="00C9040A" w:rsidRDefault="008A74EB" w:rsidP="0035380D">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أَرْبَعٌ مَنْ كُنَّ فِيهِ كَمَلَ إِيمَانُهُ ، وَإِنْ كَانَ مِنْ قَرْنِهِ </w:t>
      </w:r>
      <w:r w:rsidR="006C577F" w:rsidRPr="006C577F">
        <w:rPr>
          <w:rStyle w:val="libFootnotenumChar"/>
          <w:rtl/>
        </w:rPr>
        <w:t>(2)</w:t>
      </w:r>
      <w:r w:rsidRPr="00C9040A">
        <w:rPr>
          <w:rtl/>
          <w:lang w:bidi="fa-IR"/>
        </w:rPr>
        <w:t xml:space="preserve"> إِلى قَدَمِهِ </w:t>
      </w:r>
      <w:r w:rsidR="006C577F" w:rsidRPr="006C577F">
        <w:rPr>
          <w:rStyle w:val="libFootnotenumChar"/>
          <w:rtl/>
        </w:rPr>
        <w:t>(3)</w:t>
      </w:r>
      <w:r w:rsidRPr="00C9040A">
        <w:rPr>
          <w:rtl/>
          <w:lang w:bidi="fa-IR"/>
        </w:rPr>
        <w:t xml:space="preserve"> ذُنُوباً </w:t>
      </w:r>
      <w:r w:rsidR="006C577F" w:rsidRPr="006C577F">
        <w:rPr>
          <w:rStyle w:val="libFootnotenumChar"/>
          <w:rtl/>
        </w:rPr>
        <w:t>(4)</w:t>
      </w:r>
      <w:r w:rsidRPr="00C9040A">
        <w:rPr>
          <w:rtl/>
          <w:lang w:bidi="fa-IR"/>
        </w:rPr>
        <w:t xml:space="preserve"> لَمْ يَنْقُصْهُ ذلِكَ » قَالَ : « وَهُوَ : الصِّدْقُ ، وَأَدَاءُ الْأَمَانَةِ ، وَ</w:t>
      </w:r>
      <w:r w:rsidR="00AC2E2F">
        <w:rPr>
          <w:rtl/>
          <w:lang w:bidi="fa-IR"/>
        </w:rPr>
        <w:t>الْحَيَاءُ ، وَحُسْنُ الْخُلُقِ</w:t>
      </w:r>
      <w:r w:rsidRPr="00C9040A">
        <w:rPr>
          <w:rtl/>
          <w:lang w:bidi="fa-IR"/>
        </w:rPr>
        <w:t>»</w:t>
      </w:r>
      <w:r>
        <w:rPr>
          <w:rtl/>
          <w:lang w:bidi="fa-IR"/>
        </w:rPr>
        <w:t>.</w:t>
      </w:r>
      <w:r w:rsidRPr="00C9040A">
        <w:rPr>
          <w:rtl/>
          <w:lang w:bidi="fa-IR"/>
        </w:rPr>
        <w:t xml:space="preserve"> </w:t>
      </w:r>
      <w:r w:rsidR="006C577F" w:rsidRPr="006C577F">
        <w:rPr>
          <w:rStyle w:val="libFootnotenumChar"/>
          <w:rtl/>
        </w:rPr>
        <w:t>(5)</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w:t>
      </w:r>
      <w:r w:rsidR="008A74EB" w:rsidRPr="00993B55">
        <w:rPr>
          <w:rStyle w:val="libFootnoteBoldChar"/>
          <w:rtl/>
        </w:rPr>
        <w:t>قرب الإسناد</w:t>
      </w:r>
      <w:r w:rsidR="008A74EB" w:rsidRPr="00C9040A">
        <w:rPr>
          <w:rtl/>
        </w:rPr>
        <w:t xml:space="preserve"> ، ص 46 ، ح 149 ، بسند آخر عن جعفر بن محمّد ، عن آبائه </w:t>
      </w:r>
      <w:r w:rsidR="00117575" w:rsidRPr="00117575">
        <w:rPr>
          <w:rStyle w:val="libFootnoteAlaemChar"/>
          <w:rtl/>
        </w:rPr>
        <w:t>عليهم‌السلام</w:t>
      </w:r>
      <w:r w:rsidR="008A74EB" w:rsidRPr="00C9040A">
        <w:rPr>
          <w:rtl/>
        </w:rPr>
        <w:t xml:space="preserve"> عن رسول الله </w:t>
      </w:r>
      <w:r w:rsidR="004A4E41" w:rsidRPr="00AC2E2F">
        <w:rPr>
          <w:rStyle w:val="libFootnoteAlaemChar"/>
          <w:rtl/>
        </w:rPr>
        <w:t>صلى‌الله‌عليه‌وآله</w:t>
      </w:r>
      <w:r w:rsidR="008A74EB" w:rsidRPr="00C9040A">
        <w:rPr>
          <w:rtl/>
        </w:rPr>
        <w:t xml:space="preserve"> ، وتمام الرواية : « أوّل ما يوضع في ميزان العبد يوم القيامة حسن خلقه »</w:t>
      </w:r>
      <w:r w:rsidR="000E4568">
        <w:rPr>
          <w:rFonts w:hint="cs"/>
          <w:rtl/>
        </w:rPr>
        <w:t>.</w:t>
      </w:r>
      <w:r w:rsidR="008A74EB" w:rsidRPr="00993B55">
        <w:rPr>
          <w:rStyle w:val="libFootnoteBoldChar"/>
          <w:rtl/>
        </w:rPr>
        <w:t>الوافي</w:t>
      </w:r>
      <w:r w:rsidR="008A74EB" w:rsidRPr="00C9040A">
        <w:rPr>
          <w:rtl/>
        </w:rPr>
        <w:t xml:space="preserve"> ، ج 4 ، ص 419 ، ح 2231 ؛ </w:t>
      </w:r>
      <w:r w:rsidR="008A74EB" w:rsidRPr="00993B55">
        <w:rPr>
          <w:rStyle w:val="libFootnoteBoldChar"/>
          <w:rtl/>
        </w:rPr>
        <w:t>الوسائل</w:t>
      </w:r>
      <w:r w:rsidR="008A74EB" w:rsidRPr="00C9040A">
        <w:rPr>
          <w:rtl/>
        </w:rPr>
        <w:t xml:space="preserve"> ، ج 12 ، ص 151 ، ح 15916 ؛ </w:t>
      </w:r>
      <w:r w:rsidR="008A74EB" w:rsidRPr="00993B55">
        <w:rPr>
          <w:rStyle w:val="libFootnoteBoldChar"/>
          <w:rtl/>
        </w:rPr>
        <w:t>البحار</w:t>
      </w:r>
      <w:r w:rsidR="008A74EB" w:rsidRPr="00C9040A">
        <w:rPr>
          <w:rtl/>
        </w:rPr>
        <w:t xml:space="preserve"> ، ج 7 ، ص 249 ، ح 7 ؛ وص 303 ، ح 63 ؛ وج 71 ، ص 374 ، ح 2.</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 القَرْن » : الجانب الأعلى من الرأس. وجمعه : قرون. </w:t>
      </w:r>
      <w:r w:rsidR="008A74EB" w:rsidRPr="00993B55">
        <w:rPr>
          <w:rStyle w:val="libFootnoteBoldChar"/>
          <w:rtl/>
        </w:rPr>
        <w:t>القاموس المحيط</w:t>
      </w:r>
      <w:r w:rsidR="008A74EB" w:rsidRPr="00C9040A">
        <w:rPr>
          <w:rtl/>
        </w:rPr>
        <w:t xml:space="preserve"> ، ج 2 ، ص 1606 ( قرن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ف » : « قدميه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w:t>
      </w:r>
      <w:r w:rsidR="008A74EB" w:rsidRPr="00993B55">
        <w:rPr>
          <w:rStyle w:val="libFootnoteBoldChar"/>
          <w:rtl/>
        </w:rPr>
        <w:t>مرآة العقول</w:t>
      </w:r>
      <w:r w:rsidR="008A74EB" w:rsidRPr="00C9040A">
        <w:rPr>
          <w:rtl/>
        </w:rPr>
        <w:t xml:space="preserve"> ، ج 8 ، ص 168 : « يمكن حملها على الصغائر ، فإنّ صاحب هذه الخصال لايجترئ على الإصرار على الكبائر ، أو أنّه يوفّق للتوبة وهذه الخصال تدعوه إليها ؛ مع أنّ الصدق يخرج كثيراً من الذنوب كالكذب وما يشاكله ، وكذا أداء الأمانة يخرج كثيراً من الذنوب كالخيانة في أموال الناس ومنع الزكوات والأخماس وسائر حقوق الله ، وكذا الحياء من الخلق يمنعه من التظاهر بأكثر المعاصي ، والحياء من الله يمنعه من تعمّد المعاصي والاصرار عليها ويدعوه إلى التوبة سريعاً ، وكذا حسن الخلق يمنعه عن المعاصي المتعلّقة بإيذاء الخلق كعقوق الوالدين وقطع الأرحام والإضرار بال</w:t>
      </w:r>
      <w:r w:rsidR="000E4568">
        <w:rPr>
          <w:rtl/>
        </w:rPr>
        <w:t>مسلمين ؛ فلا يبقى من الذنوب إل</w:t>
      </w:r>
      <w:r w:rsidR="000E4568">
        <w:rPr>
          <w:rFonts w:hint="cs"/>
          <w:rtl/>
        </w:rPr>
        <w:t>ّ</w:t>
      </w:r>
      <w:r w:rsidR="000E4568">
        <w:rPr>
          <w:rtl/>
        </w:rPr>
        <w:t>ا</w:t>
      </w:r>
      <w:r w:rsidR="008A74EB" w:rsidRPr="00C9040A">
        <w:rPr>
          <w:rtl/>
        </w:rPr>
        <w:t>قليل لايضرّ في إيمانه ، مع أنّه موفّق للتوبة ؛ والله الموفّق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التهذيب</w:t>
      </w:r>
      <w:r w:rsidR="008A74EB" w:rsidRPr="00C9040A">
        <w:rPr>
          <w:rtl/>
        </w:rPr>
        <w:t xml:space="preserve"> ، ج 6 ، ص 350 ، ح 990 ، معلّقاً عن الحسن بن محبوب ، عن</w:t>
      </w:r>
      <w:r w:rsidR="000E4568">
        <w:rPr>
          <w:rtl/>
        </w:rPr>
        <w:t xml:space="preserve"> أبي ول</w:t>
      </w:r>
      <w:r w:rsidR="000E4568">
        <w:rPr>
          <w:rFonts w:hint="cs"/>
          <w:rtl/>
        </w:rPr>
        <w:t>ّ</w:t>
      </w:r>
      <w:r w:rsidR="000E4568">
        <w:rPr>
          <w:rtl/>
        </w:rPr>
        <w:t>ا</w:t>
      </w:r>
      <w:r w:rsidR="008A74EB" w:rsidRPr="00C9040A">
        <w:rPr>
          <w:rtl/>
        </w:rPr>
        <w:t xml:space="preserve">د ، عن أبي عبد الله ، عن أبيه </w:t>
      </w:r>
      <w:r w:rsidR="00117575" w:rsidRPr="00117575">
        <w:rPr>
          <w:rStyle w:val="libFootnoteAlaemChar"/>
          <w:rtl/>
        </w:rPr>
        <w:t>عليهما‌السلام</w:t>
      </w:r>
      <w:r w:rsidR="008A74EB" w:rsidRPr="00C9040A">
        <w:rPr>
          <w:rtl/>
        </w:rPr>
        <w:t xml:space="preserve"> ؛ </w:t>
      </w:r>
      <w:r w:rsidR="008A74EB" w:rsidRPr="00993B55">
        <w:rPr>
          <w:rStyle w:val="libFootnoteBoldChar"/>
          <w:rtl/>
        </w:rPr>
        <w:t>الأمالي</w:t>
      </w:r>
      <w:r w:rsidR="008A74EB" w:rsidRPr="00C9040A">
        <w:rPr>
          <w:rtl/>
        </w:rPr>
        <w:t xml:space="preserve"> للطوسي ، ص 44 ، المجلس 2 ، ح 20 ، بسنده عن أحمد بن محمّد بن عيسى ، عن الحسن بن محبوب. وفي </w:t>
      </w:r>
      <w:r w:rsidR="008A74EB" w:rsidRPr="00993B55">
        <w:rPr>
          <w:rStyle w:val="libFootnoteBoldChar"/>
          <w:rtl/>
        </w:rPr>
        <w:t>الكافي</w:t>
      </w:r>
      <w:r w:rsidR="008A74EB" w:rsidRPr="00C9040A">
        <w:rPr>
          <w:rtl/>
        </w:rPr>
        <w:t xml:space="preserve"> ، كتاب الإيمان والكفر ، باب المكارم ، ح 1565 ؛ و</w:t>
      </w:r>
      <w:r w:rsidR="008A74EB" w:rsidRPr="00993B55">
        <w:rPr>
          <w:rStyle w:val="libFootnoteBoldChar"/>
          <w:rtl/>
        </w:rPr>
        <w:t>الزهد</w:t>
      </w:r>
      <w:r w:rsidR="008A74EB" w:rsidRPr="00C9040A">
        <w:rPr>
          <w:rtl/>
        </w:rPr>
        <w:t xml:space="preserve"> ، ص 88 ، ح 61 ، بسند آخر ، من دون التصريح باسم المعصوم </w:t>
      </w:r>
      <w:r w:rsidR="00117575" w:rsidRPr="00117575">
        <w:rPr>
          <w:rStyle w:val="libFootnoteAlaemChar"/>
          <w:rtl/>
        </w:rPr>
        <w:t>عليه‌السلام</w:t>
      </w:r>
      <w:r w:rsidR="008A74EB" w:rsidRPr="00C9040A">
        <w:rPr>
          <w:rtl/>
        </w:rPr>
        <w:t xml:space="preserve"> ، مع اختلاف يسير. وفي </w:t>
      </w:r>
      <w:r w:rsidR="008A74EB" w:rsidRPr="00993B55">
        <w:rPr>
          <w:rStyle w:val="libFootnoteBoldChar"/>
          <w:rtl/>
        </w:rPr>
        <w:t>المحاسن</w:t>
      </w:r>
      <w:r w:rsidR="008A74EB" w:rsidRPr="00C9040A">
        <w:rPr>
          <w:rtl/>
        </w:rPr>
        <w:t xml:space="preserve"> ، ص 8 ، كتاب القرائن ، ح 21 ؛ و</w:t>
      </w:r>
      <w:r w:rsidR="008A74EB" w:rsidRPr="00993B55">
        <w:rPr>
          <w:rStyle w:val="libFootnoteBoldChar"/>
          <w:rtl/>
        </w:rPr>
        <w:t>الخصال</w:t>
      </w:r>
      <w:r w:rsidR="008A74EB" w:rsidRPr="00C9040A">
        <w:rPr>
          <w:rtl/>
        </w:rPr>
        <w:t xml:space="preserve"> ، ص 222 ، باب الأربعة ، ح 50 ؛ و</w:t>
      </w:r>
      <w:r w:rsidR="008A74EB" w:rsidRPr="0034021D">
        <w:rPr>
          <w:rStyle w:val="libFootnoteBoldChar"/>
          <w:rtl/>
        </w:rPr>
        <w:t>الأمالي للمفيد</w:t>
      </w:r>
      <w:r w:rsidR="008A74EB" w:rsidRPr="00C9040A">
        <w:rPr>
          <w:rtl/>
        </w:rPr>
        <w:t xml:space="preserve"> ، ص 299 ، المجلس 35 ، ح 9 ؛ </w:t>
      </w:r>
      <w:r w:rsidR="008A74EB" w:rsidRPr="00AC2E2F">
        <w:rPr>
          <w:rStyle w:val="libFootnoteBoldChar"/>
          <w:rtl/>
        </w:rPr>
        <w:t>والأمالي للطوسي</w:t>
      </w:r>
      <w:r w:rsidR="008A74EB" w:rsidRPr="00C9040A">
        <w:rPr>
          <w:rtl/>
        </w:rPr>
        <w:t xml:space="preserve"> ، ص 73 ، المجلس 3 ، ح 15 ، بسند آخر عن أبي جعفر ، عن أبيه عليّ بن الحسين </w:t>
      </w:r>
      <w:r w:rsidR="00117575" w:rsidRPr="00117575">
        <w:rPr>
          <w:rStyle w:val="libFootnoteAlaemChar"/>
          <w:rtl/>
        </w:rPr>
        <w:t>عليهما‌السلام</w:t>
      </w:r>
      <w:r w:rsidR="008A74EB" w:rsidRPr="00C9040A">
        <w:rPr>
          <w:rtl/>
        </w:rPr>
        <w:t xml:space="preserve"> ، مع اختلاف وزيادة. وفي </w:t>
      </w:r>
      <w:r w:rsidR="008A74EB" w:rsidRPr="0034021D">
        <w:rPr>
          <w:rStyle w:val="libFootnoteBoldChar"/>
          <w:rtl/>
        </w:rPr>
        <w:t>الأمالي للمفيد</w:t>
      </w:r>
      <w:r w:rsidR="008A74EB" w:rsidRPr="00C9040A">
        <w:rPr>
          <w:rtl/>
        </w:rPr>
        <w:t xml:space="preserve"> ، ص 166 ، المجلس 21 ، ح 1 ؛ </w:t>
      </w:r>
      <w:r w:rsidR="008A74EB" w:rsidRPr="00AC2E2F">
        <w:rPr>
          <w:rStyle w:val="libFootnoteBoldChar"/>
          <w:rtl/>
        </w:rPr>
        <w:t>والأمالي للطوسي</w:t>
      </w:r>
      <w:r w:rsidR="008A74EB" w:rsidRPr="00C9040A">
        <w:rPr>
          <w:rtl/>
        </w:rPr>
        <w:t xml:space="preserve"> ، ص 189 ، المجلس 7 ، ح 21 ، بسند آخر عن أبي جعفر </w:t>
      </w:r>
      <w:r w:rsidR="00117575" w:rsidRPr="00117575">
        <w:rPr>
          <w:rStyle w:val="libFootnoteAlaemChar"/>
          <w:rtl/>
        </w:rPr>
        <w:t>عليه‌السلام</w:t>
      </w:r>
      <w:r w:rsidR="008A74EB" w:rsidRPr="00C9040A">
        <w:rPr>
          <w:rtl/>
        </w:rPr>
        <w:t xml:space="preserve"> ، مع اختلاف وزيادة. </w:t>
      </w:r>
      <w:r w:rsidR="008A74EB" w:rsidRPr="00993B55">
        <w:rPr>
          <w:rStyle w:val="libFootnoteBoldChar"/>
          <w:rtl/>
        </w:rPr>
        <w:t>تحف العقول</w:t>
      </w:r>
      <w:r w:rsidR="008A74EB" w:rsidRPr="00C9040A">
        <w:rPr>
          <w:rtl/>
        </w:rPr>
        <w:t xml:space="preserve"> ، ص 369 ، مع اختلاف يسير. وراجع : </w:t>
      </w:r>
      <w:r w:rsidR="008A74EB" w:rsidRPr="00993B55">
        <w:rPr>
          <w:rStyle w:val="libFootnoteBoldChar"/>
          <w:rtl/>
        </w:rPr>
        <w:t>الكافي</w:t>
      </w:r>
      <w:r w:rsidR="008A74EB" w:rsidRPr="00C9040A">
        <w:rPr>
          <w:rtl/>
        </w:rPr>
        <w:t xml:space="preserve"> ، كتاب الإيمان </w:t>
      </w:r>
      <w:r w:rsidR="000E4568">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E568EF">
        <w:rPr>
          <w:rtl/>
        </w:rPr>
        <w:t>1748</w:t>
      </w:r>
      <w:r w:rsidRPr="00261CB0">
        <w:rPr>
          <w:rStyle w:val="libBold2Char"/>
          <w:rtl/>
        </w:rPr>
        <w:t xml:space="preserve"> / 4.</w:t>
      </w:r>
      <w:r w:rsidRPr="00C9040A">
        <w:rPr>
          <w:rtl/>
          <w:lang w:bidi="fa-IR"/>
        </w:rPr>
        <w:t xml:space="preserve"> عِدَّةٌ مِنْ أَصْحَابِنَا ، عَنْ أَحْمَدَ بْنِ مُحَمَّدِ بْنِ خَالِدٍ ، عَنِ ابْنِ مَحْبُوبٍ ، عَنْ عَنْبَسَةَ الْعَابِدِ ، قَالَ :</w:t>
      </w:r>
    </w:p>
    <w:p w:rsidR="008A74EB" w:rsidRPr="00C9040A" w:rsidRDefault="008A74EB" w:rsidP="008A74EB">
      <w:pPr>
        <w:pStyle w:val="libNormal"/>
        <w:rPr>
          <w:rtl/>
          <w:lang w:bidi="fa-IR"/>
        </w:rPr>
      </w:pPr>
      <w:r w:rsidRPr="00C9040A">
        <w:rPr>
          <w:rtl/>
          <w:lang w:bidi="fa-IR"/>
        </w:rPr>
        <w:t xml:space="preserve">قَالَ لِي </w:t>
      </w:r>
      <w:r w:rsidR="006C577F" w:rsidRPr="006C577F">
        <w:rPr>
          <w:rStyle w:val="libFootnotenumChar"/>
          <w:rtl/>
        </w:rPr>
        <w:t>(1)</w:t>
      </w:r>
      <w:r w:rsidRPr="00853746">
        <w:rPr>
          <w:rFonts w:hint="cs"/>
          <w:rtl/>
        </w:rPr>
        <w:t xml:space="preserve"> </w:t>
      </w:r>
      <w:r w:rsidRPr="00C9040A">
        <w:rPr>
          <w:rtl/>
          <w:lang w:bidi="fa-IR"/>
        </w:rPr>
        <w:t xml:space="preserve">أَبُو عَبْدِ اللهِ </w:t>
      </w:r>
      <w:r w:rsidRPr="0003660B">
        <w:rPr>
          <w:rStyle w:val="libAlaemChar"/>
          <w:rtl/>
        </w:rPr>
        <w:t>عليه‌السلام</w:t>
      </w:r>
      <w:r w:rsidRPr="00C9040A">
        <w:rPr>
          <w:rtl/>
          <w:lang w:bidi="fa-IR"/>
        </w:rPr>
        <w:t xml:space="preserve"> : « مَا يَقْدَمُ الْمُؤْمِنُ عَلَى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بِعَمَلٍ </w:t>
      </w:r>
      <w:r w:rsidR="006C577F" w:rsidRPr="006C577F">
        <w:rPr>
          <w:rStyle w:val="libFootnotenumChar"/>
          <w:rtl/>
        </w:rPr>
        <w:t>(2)</w:t>
      </w:r>
      <w:r w:rsidRPr="00C9040A">
        <w:rPr>
          <w:rtl/>
          <w:lang w:bidi="fa-IR"/>
        </w:rPr>
        <w:t xml:space="preserve"> بَعْدَ الْفَرَائِضِ </w:t>
      </w:r>
      <w:r w:rsidR="006C577F" w:rsidRPr="006C577F">
        <w:rPr>
          <w:rStyle w:val="libFootnotenumChar"/>
          <w:rtl/>
        </w:rPr>
        <w:t>(3)</w:t>
      </w:r>
      <w:r w:rsidRPr="00C9040A">
        <w:rPr>
          <w:rtl/>
          <w:lang w:bidi="fa-IR"/>
        </w:rPr>
        <w:t xml:space="preserve"> أَحَبَّ إِلَى اللهِ تَعَالى مِنْ أَنْ يَسَعَ النَّاسَ بِخُلُقِهِ </w:t>
      </w:r>
      <w:r w:rsidR="006C577F" w:rsidRPr="006C577F">
        <w:rPr>
          <w:rStyle w:val="libFootnotenumChar"/>
          <w:rtl/>
        </w:rPr>
        <w:t>(4)</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E568EF">
        <w:rPr>
          <w:rtl/>
        </w:rPr>
        <w:t>1749</w:t>
      </w:r>
      <w:r w:rsidRPr="00261CB0">
        <w:rPr>
          <w:rStyle w:val="libBold2Char"/>
          <w:rtl/>
        </w:rPr>
        <w:t xml:space="preserve"> / 5.</w:t>
      </w:r>
      <w:r w:rsidRPr="00C9040A">
        <w:rPr>
          <w:rtl/>
          <w:lang w:bidi="fa-IR"/>
        </w:rPr>
        <w:t xml:space="preserve"> أَبُو عَلِيٍّ الْأَشْعَرِيُّ ، عَنْ مُحَمَّدِ بْنِ عَبْدِ الْجَبَّارِ ، عَنْ صَفْوَانَ ، عَنْ ذَرِيحٍ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إِنَّ صَاحِبَ الْخُلُقِ الْحَسَنِ ، لَهُ مِثْلُ أَجْرِ </w:t>
      </w:r>
      <w:r w:rsidR="006C577F" w:rsidRPr="006C577F">
        <w:rPr>
          <w:rStyle w:val="libFootnotenumChar"/>
          <w:rtl/>
        </w:rPr>
        <w:t>(6)</w:t>
      </w:r>
      <w:r w:rsidRPr="005B567D">
        <w:rPr>
          <w:rStyle w:val="libFootnotenumChar"/>
          <w:rtl/>
        </w:rPr>
        <w:t xml:space="preserve"> </w:t>
      </w:r>
      <w:r w:rsidRPr="00C9040A">
        <w:rPr>
          <w:rtl/>
          <w:lang w:bidi="fa-IR"/>
        </w:rPr>
        <w:t>الصَّائِمِ الْقَائِمِ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E568EF">
        <w:rPr>
          <w:rtl/>
        </w:rPr>
        <w:t>1750</w:t>
      </w:r>
      <w:r w:rsidRPr="00261CB0">
        <w:rPr>
          <w:rStyle w:val="libBold2Char"/>
          <w:rtl/>
        </w:rPr>
        <w:t xml:space="preserve"> / 6.</w:t>
      </w:r>
      <w:r w:rsidRPr="00C9040A">
        <w:rPr>
          <w:rtl/>
          <w:lang w:bidi="fa-IR"/>
        </w:rPr>
        <w:t xml:space="preserve"> عَلِيُّ بْنُ إِبْرَاهِيمَ ، عَنْ أَبِيهِ ، عَنِ النَّوْفَلِيِّ ، عَنِ السَّكُونِيِّ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أَكْثَرُ مَا تَلِجُ </w:t>
      </w:r>
      <w:r w:rsidR="006C577F" w:rsidRPr="006C577F">
        <w:rPr>
          <w:rStyle w:val="libFootnotenumChar"/>
          <w:rtl/>
        </w:rPr>
        <w:t>(8)</w:t>
      </w:r>
      <w:r w:rsidRPr="00C9040A">
        <w:rPr>
          <w:rtl/>
          <w:lang w:bidi="fa-IR"/>
        </w:rPr>
        <w:t xml:space="preserve"> بِهِ أُمَّتِيَ الْجَنَّةَ </w:t>
      </w:r>
      <w:r w:rsidR="006C577F" w:rsidRPr="006C577F">
        <w:rPr>
          <w:rStyle w:val="libFootnotenumChar"/>
          <w:rtl/>
        </w:rPr>
        <w:t>(9)</w:t>
      </w:r>
      <w:r w:rsidRPr="00C9040A">
        <w:rPr>
          <w:rtl/>
          <w:lang w:bidi="fa-IR"/>
        </w:rPr>
        <w:t xml:space="preserve"> تَقْوَى اللهِ وَحُسْنُ الْخُلُقِ »</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4A4E41" w:rsidRDefault="00AC3E9F" w:rsidP="004A4E41">
      <w:pPr>
        <w:pStyle w:val="libFootnote0"/>
        <w:rPr>
          <w:rStyle w:val="libFootnote0Char"/>
          <w:rtl/>
        </w:rPr>
      </w:pPr>
      <w:r>
        <w:rPr>
          <w:rFonts w:hint="cs"/>
          <w:rtl/>
        </w:rPr>
        <w:t xml:space="preserve">= </w:t>
      </w:r>
      <w:r w:rsidR="008A74EB" w:rsidRPr="00C9040A">
        <w:rPr>
          <w:rtl/>
        </w:rPr>
        <w:t>والكفر ، باب الحياء ، ح 1787</w:t>
      </w:r>
      <w:r w:rsidR="00FF0104">
        <w:rPr>
          <w:rFonts w:hint="cs"/>
          <w:rtl/>
        </w:rPr>
        <w:t>.</w:t>
      </w:r>
      <w:r w:rsidR="008A74EB" w:rsidRPr="00993B55">
        <w:rPr>
          <w:rStyle w:val="libFootnoteBoldChar"/>
          <w:rtl/>
        </w:rPr>
        <w:t>الوافي</w:t>
      </w:r>
      <w:r w:rsidR="008A74EB" w:rsidRPr="00C9040A">
        <w:rPr>
          <w:rtl/>
        </w:rPr>
        <w:t xml:space="preserve"> ، ج 4 ، ص 265 ، ح 1912 ؛ </w:t>
      </w:r>
      <w:r w:rsidR="008A74EB" w:rsidRPr="00993B55">
        <w:rPr>
          <w:rStyle w:val="libFootnoteBoldChar"/>
          <w:rtl/>
        </w:rPr>
        <w:t>الوسائل</w:t>
      </w:r>
      <w:r w:rsidR="008A74EB" w:rsidRPr="00C9040A">
        <w:rPr>
          <w:rtl/>
        </w:rPr>
        <w:t xml:space="preserve"> ، ج 12 ، ص 148 ، ح 15905 ؛ </w:t>
      </w:r>
      <w:r w:rsidR="008A74EB" w:rsidRPr="00993B55">
        <w:rPr>
          <w:rStyle w:val="libFootnoteBoldChar"/>
          <w:rtl/>
        </w:rPr>
        <w:t>البحار</w:t>
      </w:r>
      <w:r w:rsidR="008A74EB" w:rsidRPr="00C9040A">
        <w:rPr>
          <w:rtl/>
        </w:rPr>
        <w:t xml:space="preserve"> ، ج 71 ، ص 374 ، ح 3.</w:t>
      </w:r>
    </w:p>
    <w:tbl>
      <w:tblPr>
        <w:tblStyle w:val="TableGrid"/>
        <w:bidiVisual/>
        <w:tblW w:w="0" w:type="auto"/>
        <w:tblLook w:val="04A0" w:firstRow="1" w:lastRow="0" w:firstColumn="1" w:lastColumn="0" w:noHBand="0" w:noVBand="1"/>
      </w:tblPr>
      <w:tblGrid>
        <w:gridCol w:w="4006"/>
        <w:gridCol w:w="4006"/>
      </w:tblGrid>
      <w:tr w:rsidR="00FF0104" w:rsidTr="00FF0104">
        <w:tc>
          <w:tcPr>
            <w:tcW w:w="4006" w:type="dxa"/>
          </w:tcPr>
          <w:p w:rsidR="00FF0104" w:rsidRDefault="00FF0104" w:rsidP="004A4E41">
            <w:pPr>
              <w:pStyle w:val="libFootnote0"/>
              <w:rPr>
                <w:rtl/>
              </w:rPr>
            </w:pPr>
            <w:r>
              <w:rPr>
                <w:rtl/>
              </w:rPr>
              <w:t>(1).</w:t>
            </w:r>
            <w:r w:rsidRPr="00C9040A">
              <w:rPr>
                <w:rtl/>
              </w:rPr>
              <w:t xml:space="preserve"> في « د ، بر » </w:t>
            </w:r>
            <w:r>
              <w:rPr>
                <w:rtl/>
              </w:rPr>
              <w:t>: -</w:t>
            </w:r>
            <w:r w:rsidRPr="00C9040A">
              <w:rPr>
                <w:rtl/>
              </w:rPr>
              <w:t xml:space="preserve"> « لي »</w:t>
            </w:r>
            <w:r>
              <w:rPr>
                <w:rtl/>
              </w:rPr>
              <w:t>.</w:t>
            </w:r>
          </w:p>
        </w:tc>
        <w:tc>
          <w:tcPr>
            <w:tcW w:w="4006" w:type="dxa"/>
          </w:tcPr>
          <w:p w:rsidR="00FF0104" w:rsidRDefault="00FF0104" w:rsidP="004A4E41">
            <w:pPr>
              <w:pStyle w:val="libFootnote0"/>
              <w:rPr>
                <w:rtl/>
              </w:rPr>
            </w:pPr>
            <w:r>
              <w:rPr>
                <w:rtl/>
              </w:rPr>
              <w:t xml:space="preserve">(2). </w:t>
            </w:r>
            <w:r w:rsidRPr="00C9040A">
              <w:rPr>
                <w:rtl/>
              </w:rPr>
              <w:t>في الوسائل : « بشي‌ءٍ »</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في « بر » : « فرائض الله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w:t>
      </w:r>
      <w:r w:rsidR="008A74EB" w:rsidRPr="00993B55">
        <w:rPr>
          <w:rStyle w:val="libFootnoteBoldChar"/>
          <w:rtl/>
        </w:rPr>
        <w:t>المرآة</w:t>
      </w:r>
      <w:r w:rsidR="008A74EB" w:rsidRPr="00C9040A">
        <w:rPr>
          <w:rtl/>
        </w:rPr>
        <w:t xml:space="preserve"> : « أي يكون خلقه الحسن وسيعاً بحيث يشمل جميع الناس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الوافي</w:t>
      </w:r>
      <w:r w:rsidR="008A74EB" w:rsidRPr="00C9040A">
        <w:rPr>
          <w:rtl/>
        </w:rPr>
        <w:t xml:space="preserve"> ، ج 4 ، ص 419 ، ح 2232 ؛ </w:t>
      </w:r>
      <w:r w:rsidR="008A74EB" w:rsidRPr="00993B55">
        <w:rPr>
          <w:rStyle w:val="libFootnoteBoldChar"/>
          <w:rtl/>
        </w:rPr>
        <w:t>الوسائل</w:t>
      </w:r>
      <w:r w:rsidR="008A74EB" w:rsidRPr="00C9040A">
        <w:rPr>
          <w:rtl/>
        </w:rPr>
        <w:t xml:space="preserve"> ، ج 12 ، ص 150 ، ح 15913 ؛ </w:t>
      </w:r>
      <w:r w:rsidR="008A74EB" w:rsidRPr="00993B55">
        <w:rPr>
          <w:rStyle w:val="libFootnoteBoldChar"/>
          <w:rtl/>
        </w:rPr>
        <w:t>البحار</w:t>
      </w:r>
      <w:r w:rsidR="008A74EB" w:rsidRPr="00C9040A">
        <w:rPr>
          <w:rtl/>
        </w:rPr>
        <w:t xml:space="preserve"> ، ج 71 ، ص 375 ، ح 4.</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ب ، بر » : « أجر مثل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عيون الأخبار</w:t>
      </w:r>
      <w:r w:rsidR="008A74EB" w:rsidRPr="00C9040A">
        <w:rPr>
          <w:rtl/>
        </w:rPr>
        <w:t xml:space="preserve"> ، ج 2 ، ص 71 ، ح 328 ، بسند آخر عن الرضا ، عن آبائه </w:t>
      </w:r>
      <w:r w:rsidR="00117575" w:rsidRPr="00117575">
        <w:rPr>
          <w:rStyle w:val="libFootnoteAlaemChar"/>
          <w:rtl/>
        </w:rPr>
        <w:t>عليهم‌السلام</w:t>
      </w:r>
      <w:r w:rsidR="008A74EB" w:rsidRPr="00C9040A">
        <w:rPr>
          <w:rtl/>
        </w:rPr>
        <w:t xml:space="preserve"> عن النبيّ </w:t>
      </w:r>
      <w:r w:rsidR="004A4E41" w:rsidRPr="00AC2E2F">
        <w:rPr>
          <w:rStyle w:val="libFootnoteAlaemChar"/>
          <w:rtl/>
        </w:rPr>
        <w:t>صلى‌الله‌عليه‌وآله</w:t>
      </w:r>
      <w:r w:rsidR="008A74EB" w:rsidRPr="00C9040A">
        <w:rPr>
          <w:rtl/>
        </w:rPr>
        <w:t xml:space="preserve"> ، مع اختلاف يسير وزيادة في أوّله</w:t>
      </w:r>
      <w:r w:rsidR="00B623A0">
        <w:rPr>
          <w:rFonts w:hint="cs"/>
          <w:rtl/>
        </w:rPr>
        <w:t>.</w:t>
      </w:r>
      <w:r w:rsidR="008A74EB" w:rsidRPr="00993B55">
        <w:rPr>
          <w:rStyle w:val="libFootnoteBoldChar"/>
          <w:rtl/>
        </w:rPr>
        <w:t>الوافي</w:t>
      </w:r>
      <w:r w:rsidR="008A74EB" w:rsidRPr="00C9040A">
        <w:rPr>
          <w:rtl/>
        </w:rPr>
        <w:t xml:space="preserve"> ، ج 4 ، ص 419 ، ح 2233 ؛ </w:t>
      </w:r>
      <w:r w:rsidR="008A74EB" w:rsidRPr="00993B55">
        <w:rPr>
          <w:rStyle w:val="libFootnoteBoldChar"/>
          <w:rtl/>
        </w:rPr>
        <w:t>الوسائل</w:t>
      </w:r>
      <w:r w:rsidR="008A74EB" w:rsidRPr="00C9040A">
        <w:rPr>
          <w:rtl/>
        </w:rPr>
        <w:t xml:space="preserve"> ، ج 12 ، ص 149 ، ح 15906 ؛ </w:t>
      </w:r>
      <w:r w:rsidR="008A74EB" w:rsidRPr="00993B55">
        <w:rPr>
          <w:rStyle w:val="libFootnoteBoldChar"/>
          <w:rtl/>
        </w:rPr>
        <w:t>البحار</w:t>
      </w:r>
      <w:r w:rsidR="008A74EB" w:rsidRPr="00C9040A">
        <w:rPr>
          <w:rtl/>
        </w:rPr>
        <w:t xml:space="preserve"> ، ج 71 ، ص 375 ، ح 5.</w:t>
      </w:r>
    </w:p>
    <w:p w:rsidR="008A74EB" w:rsidRPr="00C9040A" w:rsidRDefault="006C577F" w:rsidP="004A4E41">
      <w:pPr>
        <w:pStyle w:val="libFootnote0"/>
        <w:rPr>
          <w:rtl/>
          <w:lang w:bidi="fa-IR"/>
        </w:rPr>
      </w:pPr>
      <w:r>
        <w:rPr>
          <w:rtl/>
        </w:rPr>
        <w:t>(8).</w:t>
      </w:r>
      <w:r w:rsidR="008A74EB" w:rsidRPr="00C9040A">
        <w:rPr>
          <w:rtl/>
        </w:rPr>
        <w:t xml:space="preserve"> في « ب ، ز ، بس » : « يلج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الجعفريّات : « في الجنّة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w:t>
      </w:r>
      <w:r w:rsidR="008A74EB" w:rsidRPr="00993B55">
        <w:rPr>
          <w:rStyle w:val="libFootnoteBoldChar"/>
          <w:rtl/>
        </w:rPr>
        <w:t>الجعفريّات</w:t>
      </w:r>
      <w:r w:rsidR="008A74EB" w:rsidRPr="00C9040A">
        <w:rPr>
          <w:rtl/>
        </w:rPr>
        <w:t xml:space="preserve"> ، ص 150 ، بسند آخر عن أبي عبد الله ، عن آبائه </w:t>
      </w:r>
      <w:r w:rsidR="00117575" w:rsidRPr="00117575">
        <w:rPr>
          <w:rStyle w:val="libFootnoteAlaemChar"/>
          <w:rtl/>
        </w:rPr>
        <w:t>عليهم‌السلام</w:t>
      </w:r>
      <w:r w:rsidR="008A74EB" w:rsidRPr="00C9040A">
        <w:rPr>
          <w:rtl/>
        </w:rPr>
        <w:t xml:space="preserve"> عن رسول الله </w:t>
      </w:r>
      <w:r w:rsidR="004A4E41" w:rsidRPr="00AC2E2F">
        <w:rPr>
          <w:rStyle w:val="libFootnoteAlaemChar"/>
          <w:rtl/>
        </w:rPr>
        <w:t>صلى‌الله‌عليه‌وآله</w:t>
      </w:r>
      <w:r w:rsidR="008A74EB" w:rsidRPr="00C9040A">
        <w:rPr>
          <w:rtl/>
        </w:rPr>
        <w:t xml:space="preserve">. </w:t>
      </w:r>
      <w:r w:rsidR="008A74EB" w:rsidRPr="00993B55">
        <w:rPr>
          <w:rStyle w:val="libFootnoteBoldChar"/>
          <w:rtl/>
        </w:rPr>
        <w:t>الاختصاص</w:t>
      </w:r>
      <w:r w:rsidR="008A74EB" w:rsidRPr="00C9040A">
        <w:rPr>
          <w:rtl/>
        </w:rPr>
        <w:t xml:space="preserve"> ، ص 228 ، مرسلاً عن رسول الله </w:t>
      </w:r>
      <w:r w:rsidR="004A4E41" w:rsidRPr="00AC2E2F">
        <w:rPr>
          <w:rStyle w:val="libFootnoteAlaemChar"/>
          <w:rtl/>
        </w:rPr>
        <w:t>صلى‌الله‌عليه‌وآله</w:t>
      </w:r>
      <w:r w:rsidR="008A74EB" w:rsidRPr="00C9040A">
        <w:rPr>
          <w:rtl/>
        </w:rPr>
        <w:t xml:space="preserve"> ، وفيهما مع زيادة في أوّله</w:t>
      </w:r>
      <w:r w:rsidR="00B623A0">
        <w:rPr>
          <w:rFonts w:hint="cs"/>
          <w:rtl/>
        </w:rPr>
        <w:t>.</w:t>
      </w:r>
      <w:r w:rsidR="008A74EB" w:rsidRPr="00993B55">
        <w:rPr>
          <w:rStyle w:val="libFootnoteBoldChar"/>
          <w:rtl/>
        </w:rPr>
        <w:t>الوافي</w:t>
      </w:r>
      <w:r w:rsidR="008A74EB" w:rsidRPr="00C9040A">
        <w:rPr>
          <w:rtl/>
        </w:rPr>
        <w:t xml:space="preserve"> ، ج 4 ، ص 420 ، ح 2235 ؛ </w:t>
      </w:r>
      <w:r w:rsidR="008A74EB" w:rsidRPr="00993B55">
        <w:rPr>
          <w:rStyle w:val="libFootnoteBoldChar"/>
          <w:rtl/>
        </w:rPr>
        <w:t>الوسائل</w:t>
      </w:r>
      <w:r w:rsidR="008A74EB" w:rsidRPr="00C9040A">
        <w:rPr>
          <w:rtl/>
        </w:rPr>
        <w:t xml:space="preserve"> ، ج 12 ، ص 150 ، ح 15911 ؛ </w:t>
      </w:r>
      <w:r w:rsidR="008A74EB" w:rsidRPr="00993B55">
        <w:rPr>
          <w:rStyle w:val="libFootnoteBoldChar"/>
          <w:rtl/>
        </w:rPr>
        <w:t>البحار</w:t>
      </w:r>
      <w:r w:rsidR="008A74EB" w:rsidRPr="00C9040A">
        <w:rPr>
          <w:rtl/>
        </w:rPr>
        <w:t xml:space="preserve"> ، ج 71 ، ص 375 ، ح 6.</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4B36A3">
        <w:rPr>
          <w:rtl/>
        </w:rPr>
        <w:t>1751</w:t>
      </w:r>
      <w:r w:rsidRPr="00261CB0">
        <w:rPr>
          <w:rStyle w:val="libBold2Char"/>
          <w:rtl/>
        </w:rPr>
        <w:t xml:space="preserve"> / 7.</w:t>
      </w:r>
      <w:r w:rsidRPr="00C9040A">
        <w:rPr>
          <w:rtl/>
          <w:lang w:bidi="fa-IR"/>
        </w:rPr>
        <w:t xml:space="preserve"> عَلِيُّ بْنُ إِبْرَاهِيمَ ، عَنْ أَبِيهِ ، عَنِ ابْنِ أَبِي عُمَيْرٍ ، عَنْ حُسَيْنٍ الْأَحْمَسِيِّ </w:t>
      </w:r>
      <w:r w:rsidR="006C577F" w:rsidRPr="006C577F">
        <w:rPr>
          <w:rStyle w:val="libFootnotenumChar"/>
          <w:rtl/>
        </w:rPr>
        <w:t>(1)</w:t>
      </w:r>
      <w:r w:rsidRPr="00E711C7">
        <w:rPr>
          <w:rFonts w:hint="cs"/>
          <w:rtl/>
        </w:rPr>
        <w:t xml:space="preserve"> </w:t>
      </w:r>
      <w:r w:rsidRPr="00C9040A">
        <w:rPr>
          <w:rtl/>
          <w:lang w:bidi="fa-IR"/>
        </w:rPr>
        <w:t>وَعَبْدِ اللهِ بْنِ سِنَانٍ :</w:t>
      </w:r>
    </w:p>
    <w:p w:rsidR="008A74EB" w:rsidRPr="00C9040A" w:rsidRDefault="008A74EB" w:rsidP="00B623A0">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إِنَّ الْخُلُقَ الْحَسَنَ يَمِيثُ </w:t>
      </w:r>
      <w:r w:rsidR="006C577F" w:rsidRPr="006C577F">
        <w:rPr>
          <w:rStyle w:val="libFootnotenumChar"/>
          <w:rtl/>
        </w:rPr>
        <w:t>(2)</w:t>
      </w:r>
      <w:r w:rsidRPr="00C9040A">
        <w:rPr>
          <w:rtl/>
          <w:lang w:bidi="fa-IR"/>
        </w:rPr>
        <w:t xml:space="preserve"> الْخَطِيئَةَ ، كَمَا تَمِيثُ </w:t>
      </w:r>
      <w:r w:rsidR="006C577F" w:rsidRPr="006C577F">
        <w:rPr>
          <w:rStyle w:val="libFootnotenumChar"/>
          <w:rtl/>
        </w:rPr>
        <w:t>(3)</w:t>
      </w:r>
      <w:r w:rsidRPr="00C9040A">
        <w:rPr>
          <w:rtl/>
          <w:lang w:bidi="fa-IR"/>
        </w:rPr>
        <w:t xml:space="preserve"> الشَّمْسُ الْجَلِيدَ </w:t>
      </w:r>
      <w:r w:rsidR="006C577F" w:rsidRPr="006C577F">
        <w:rPr>
          <w:rStyle w:val="libFootnotenumChar"/>
          <w:rtl/>
        </w:rPr>
        <w:t>(4)</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(5)</w:t>
      </w:r>
    </w:p>
    <w:p w:rsidR="008A74EB" w:rsidRPr="00C9040A" w:rsidRDefault="008A74EB" w:rsidP="008A74EB">
      <w:pPr>
        <w:pStyle w:val="libNormal"/>
        <w:rPr>
          <w:rtl/>
          <w:lang w:bidi="fa-IR"/>
        </w:rPr>
      </w:pPr>
      <w:r w:rsidRPr="004B36A3">
        <w:rPr>
          <w:rtl/>
        </w:rPr>
        <w:t>1752</w:t>
      </w:r>
      <w:r w:rsidRPr="00261CB0">
        <w:rPr>
          <w:rStyle w:val="libBold2Char"/>
          <w:rtl/>
        </w:rPr>
        <w:t xml:space="preserve"> / 8.</w:t>
      </w:r>
      <w:r w:rsidRPr="00C9040A">
        <w:rPr>
          <w:rtl/>
          <w:lang w:bidi="fa-IR"/>
        </w:rPr>
        <w:t xml:space="preserve"> عَنْهُ ، عَنْ أَبِيهِ ، عَنِ ابْنِ أَبِي عُمَيْرٍ ، عَنْ عَبْدِ اللهِ بْنِ سِنَانٍ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الْبِرُّ وَحُسْنُ الْخُلُقِ يَعْمُرَانِ الدِّيَارَ ، وَيَزِيدَانِ فِي‌</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 ز ، ف » : « الحسين الأحمسي »</w:t>
      </w:r>
      <w:r w:rsidR="008A74EB">
        <w:rPr>
          <w:rtl/>
        </w:rPr>
        <w:t>.</w:t>
      </w:r>
      <w:r w:rsidR="008A74EB" w:rsidRPr="00C9040A">
        <w:rPr>
          <w:rtl/>
        </w:rPr>
        <w:t xml:space="preserve"> وفي « ص » : « الحسين بن الأخمُسي »</w:t>
      </w:r>
      <w:r w:rsidR="008A74EB">
        <w:rPr>
          <w:rtl/>
        </w:rPr>
        <w:t>.</w:t>
      </w:r>
      <w:r w:rsidR="008A74EB" w:rsidRPr="00C9040A">
        <w:rPr>
          <w:rtl/>
        </w:rPr>
        <w:t xml:space="preserve"> وفي « بس » : « حسين الأخمسي »</w:t>
      </w:r>
      <w:r w:rsidR="008A74EB">
        <w:rPr>
          <w:rtl/>
        </w:rPr>
        <w:t>.</w:t>
      </w:r>
    </w:p>
    <w:p w:rsidR="008A74EB" w:rsidRPr="00C9040A" w:rsidRDefault="008A74EB" w:rsidP="004A4E41">
      <w:pPr>
        <w:pStyle w:val="libFootnote0"/>
        <w:rPr>
          <w:rtl/>
          <w:lang w:bidi="fa-IR"/>
        </w:rPr>
      </w:pPr>
      <w:r w:rsidRPr="00323A39">
        <w:rPr>
          <w:rtl/>
        </w:rPr>
        <w:t xml:space="preserve">هذا ، وقد ورد الخبر </w:t>
      </w:r>
      <w:r w:rsidR="0084262C" w:rsidRPr="00323A39">
        <w:rPr>
          <w:rtl/>
        </w:rPr>
        <w:t>-</w:t>
      </w:r>
      <w:r w:rsidRPr="00323A39">
        <w:rPr>
          <w:rtl/>
        </w:rPr>
        <w:t xml:space="preserve"> مع اختلاف وزيادة في آخره </w:t>
      </w:r>
      <w:r w:rsidR="0084262C" w:rsidRPr="00323A39">
        <w:rPr>
          <w:rtl/>
        </w:rPr>
        <w:t>-</w:t>
      </w:r>
      <w:r w:rsidRPr="00323A39">
        <w:rPr>
          <w:rtl/>
        </w:rPr>
        <w:t xml:space="preserve"> في </w:t>
      </w:r>
      <w:r w:rsidRPr="00993B55">
        <w:rPr>
          <w:rStyle w:val="libFootnoteBoldChar"/>
          <w:rtl/>
        </w:rPr>
        <w:t>الزهد</w:t>
      </w:r>
      <w:r w:rsidRPr="00323A39">
        <w:rPr>
          <w:rtl/>
        </w:rPr>
        <w:t xml:space="preserve"> ، ص 93 ، ح 75 ، عن محمّد بن أبي عمير عن عليّ الأحمسي. وعليّ الأحمسي ذكره الشيخ الطوسي في رجاله ، ص 246 ، الرقم 3420 ، وروى عنه ابن أبي عمير في </w:t>
      </w:r>
      <w:r w:rsidRPr="00993B55">
        <w:rPr>
          <w:rStyle w:val="libFootnoteBoldChar"/>
          <w:rtl/>
        </w:rPr>
        <w:t>الكافي</w:t>
      </w:r>
      <w:r w:rsidRPr="00323A39">
        <w:rPr>
          <w:rtl/>
        </w:rPr>
        <w:t xml:space="preserve"> ، ح 2947 و 3004. ثمّ إنّ المظنون اتّحاد عليّ الأحمسي مع أبي الحسن الأحمسي الراوي عن أبي عبدالله </w:t>
      </w:r>
      <w:r w:rsidR="00117575" w:rsidRPr="00117575">
        <w:rPr>
          <w:rStyle w:val="libFootnoteAlaemChar"/>
          <w:rtl/>
        </w:rPr>
        <w:t>عليه‌السلام</w:t>
      </w:r>
      <w:r w:rsidRPr="00323A39">
        <w:rPr>
          <w:rtl/>
        </w:rPr>
        <w:t xml:space="preserve"> في </w:t>
      </w:r>
      <w:r w:rsidRPr="00993B55">
        <w:rPr>
          <w:rStyle w:val="libFootnoteBoldChar"/>
          <w:rtl/>
        </w:rPr>
        <w:t>الكافي</w:t>
      </w:r>
      <w:r w:rsidRPr="00323A39">
        <w:rPr>
          <w:rtl/>
        </w:rPr>
        <w:t xml:space="preserve"> ، ح 7235 و 12513 ، كما أنّ المظنون وقوع التحريف في عنوان أبي الحسين الأحمسي المذكور في </w:t>
      </w:r>
      <w:r w:rsidRPr="00993B55">
        <w:rPr>
          <w:rStyle w:val="libFootnoteBoldChar"/>
          <w:rtl/>
        </w:rPr>
        <w:t>رجال البرقي</w:t>
      </w:r>
      <w:r w:rsidRPr="00323A39">
        <w:rPr>
          <w:rtl/>
        </w:rPr>
        <w:t xml:space="preserve"> ، ص 43 والراوي عن أبي عبدالله </w:t>
      </w:r>
      <w:r w:rsidR="00117575" w:rsidRPr="00117575">
        <w:rPr>
          <w:rStyle w:val="libFootnoteAlaemChar"/>
          <w:rtl/>
        </w:rPr>
        <w:t>عليه‌السلام</w:t>
      </w:r>
      <w:r w:rsidRPr="00323A39">
        <w:rPr>
          <w:rtl/>
        </w:rPr>
        <w:t xml:space="preserve"> في </w:t>
      </w:r>
      <w:r w:rsidRPr="00993B55">
        <w:rPr>
          <w:rStyle w:val="libFootnoteBoldChar"/>
          <w:rtl/>
        </w:rPr>
        <w:t>المحاسن</w:t>
      </w:r>
      <w:r w:rsidRPr="00323A39">
        <w:rPr>
          <w:rtl/>
        </w:rPr>
        <w:t xml:space="preserve"> ، ص 408 ، ح 125 ؛ وص 531 ، ح 786 ، وأنّ الصواب فيه هو أبوالحسن الأحمسي.</w:t>
      </w:r>
    </w:p>
    <w:p w:rsidR="008A74EB" w:rsidRPr="00C9040A" w:rsidRDefault="008A74EB" w:rsidP="004A4E41">
      <w:pPr>
        <w:pStyle w:val="libFootnote0"/>
        <w:rPr>
          <w:rtl/>
          <w:lang w:bidi="fa-IR"/>
        </w:rPr>
      </w:pPr>
      <w:r w:rsidRPr="00323A39">
        <w:rPr>
          <w:rtl/>
        </w:rPr>
        <w:t xml:space="preserve">إذا تبيّن هذا فنقول : روى ابن أبي عمير كتاب الحسين بن عثمان الأحمسي أيضاً ، وتكرّرت روايته عنه بعنوان الحسين بن عثمان في الأسناد. راجع : </w:t>
      </w:r>
      <w:r w:rsidRPr="00993B55">
        <w:rPr>
          <w:rStyle w:val="libFootnoteBoldChar"/>
          <w:rtl/>
        </w:rPr>
        <w:t>رجال النجاشي</w:t>
      </w:r>
      <w:r w:rsidRPr="00323A39">
        <w:rPr>
          <w:rtl/>
        </w:rPr>
        <w:t xml:space="preserve"> ، ص 54 ، الرقم 122 ؛ </w:t>
      </w:r>
      <w:r w:rsidRPr="00993B55">
        <w:rPr>
          <w:rStyle w:val="libFootnoteBoldChar"/>
          <w:rtl/>
        </w:rPr>
        <w:t>معجم رجال الحديث</w:t>
      </w:r>
      <w:r w:rsidRPr="00323A39">
        <w:rPr>
          <w:rtl/>
        </w:rPr>
        <w:t xml:space="preserve"> ، ج 6 ، ص 330 </w:t>
      </w:r>
      <w:r w:rsidR="0084262C" w:rsidRPr="00323A39">
        <w:rPr>
          <w:rtl/>
        </w:rPr>
        <w:t>-</w:t>
      </w:r>
      <w:r w:rsidRPr="00323A39">
        <w:rPr>
          <w:rtl/>
        </w:rPr>
        <w:t xml:space="preserve"> 334.</w:t>
      </w:r>
    </w:p>
    <w:p w:rsidR="008A74EB" w:rsidRPr="00C9040A" w:rsidRDefault="008A74EB" w:rsidP="004A4E41">
      <w:pPr>
        <w:pStyle w:val="libFootnote0"/>
        <w:rPr>
          <w:rtl/>
          <w:lang w:bidi="fa-IR"/>
        </w:rPr>
      </w:pPr>
      <w:r w:rsidRPr="00323A39">
        <w:rPr>
          <w:rtl/>
        </w:rPr>
        <w:t xml:space="preserve">فعليه لا يبعد أن يكون الراوي لخبرنا هذا وما ورد في </w:t>
      </w:r>
      <w:r w:rsidRPr="00993B55">
        <w:rPr>
          <w:rStyle w:val="libFootnoteBoldChar"/>
          <w:rtl/>
        </w:rPr>
        <w:t>الزهد</w:t>
      </w:r>
      <w:r w:rsidR="00D64E81">
        <w:rPr>
          <w:rtl/>
        </w:rPr>
        <w:t xml:space="preserve"> أحد هذين الأحمسيين إل</w:t>
      </w:r>
      <w:r w:rsidR="00D64E81">
        <w:rPr>
          <w:rFonts w:hint="cs"/>
          <w:rtl/>
        </w:rPr>
        <w:t>ّ</w:t>
      </w:r>
      <w:r w:rsidR="00D64E81">
        <w:rPr>
          <w:rtl/>
        </w:rPr>
        <w:t>ا</w:t>
      </w:r>
      <w:r w:rsidRPr="00323A39">
        <w:rPr>
          <w:rtl/>
        </w:rPr>
        <w:t xml:space="preserve"> أنّه قد وقع التحريف في أحد الموضعين.</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ج ، د ، ز ، بف » : « يميت »</w:t>
      </w:r>
      <w:r w:rsidR="008A74EB">
        <w:rPr>
          <w:rtl/>
        </w:rPr>
        <w:t>.</w:t>
      </w:r>
      <w:r w:rsidR="008A74EB" w:rsidRPr="00C9040A">
        <w:rPr>
          <w:rtl/>
        </w:rPr>
        <w:t xml:space="preserve"> وفي الزهد : « حسن الخلق يذيب »</w:t>
      </w:r>
      <w:r w:rsidR="008A74EB">
        <w:rPr>
          <w:rtl/>
        </w:rPr>
        <w:t>.</w:t>
      </w:r>
      <w:r w:rsidR="008A74EB" w:rsidRPr="00C9040A">
        <w:rPr>
          <w:rtl/>
        </w:rPr>
        <w:t xml:space="preserve"> وماث الشي‌ء مَوْثاً ، ويَمِيث مَيثاً</w:t>
      </w:r>
      <w:r w:rsidR="008A74EB">
        <w:rPr>
          <w:rtl/>
        </w:rPr>
        <w:t xml:space="preserve"> </w:t>
      </w:r>
      <w:r w:rsidR="0084262C">
        <w:rPr>
          <w:rtl/>
        </w:rPr>
        <w:t>-</w:t>
      </w:r>
      <w:r w:rsidR="008A74EB">
        <w:rPr>
          <w:rtl/>
        </w:rPr>
        <w:t xml:space="preserve"> </w:t>
      </w:r>
      <w:r w:rsidR="008A74EB" w:rsidRPr="00C9040A">
        <w:rPr>
          <w:rtl/>
        </w:rPr>
        <w:t>لغة</w:t>
      </w:r>
      <w:r w:rsidR="008A74EB">
        <w:rPr>
          <w:rtl/>
        </w:rPr>
        <w:t xml:space="preserve"> </w:t>
      </w:r>
      <w:r w:rsidR="0084262C">
        <w:rPr>
          <w:rtl/>
        </w:rPr>
        <w:t>-</w:t>
      </w:r>
      <w:r w:rsidR="008A74EB">
        <w:rPr>
          <w:rtl/>
        </w:rPr>
        <w:t xml:space="preserve"> </w:t>
      </w:r>
      <w:r w:rsidR="008A74EB" w:rsidRPr="00C9040A">
        <w:rPr>
          <w:rtl/>
        </w:rPr>
        <w:t xml:space="preserve">: ذاب في الماء ، فانماث هو فيه انمياثاً ، وماثه غيره ، يتعدّى ولا يتعدّي ، والمعنى : يذيبها ويذهبها ، كإذابة الشمس الجليد. </w:t>
      </w:r>
      <w:r w:rsidR="008A74EB" w:rsidRPr="00993B55">
        <w:rPr>
          <w:rStyle w:val="libFootnoteBoldChar"/>
          <w:rtl/>
        </w:rPr>
        <w:t>المصباح المنير</w:t>
      </w:r>
      <w:r w:rsidR="008A74EB" w:rsidRPr="00C9040A">
        <w:rPr>
          <w:rtl/>
        </w:rPr>
        <w:t xml:space="preserve"> ، ص 584 ؛ </w:t>
      </w:r>
      <w:r w:rsidR="008A74EB" w:rsidRPr="00993B55">
        <w:rPr>
          <w:rStyle w:val="libFootnoteBoldChar"/>
          <w:rtl/>
        </w:rPr>
        <w:t>مجمع البحرين</w:t>
      </w:r>
      <w:r w:rsidR="008A74EB" w:rsidRPr="00C9040A">
        <w:rPr>
          <w:rtl/>
        </w:rPr>
        <w:t xml:space="preserve"> ، ج 2 ، ص 265 ( موث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ب ، ج » : « يميت »</w:t>
      </w:r>
      <w:r w:rsidR="008A74EB">
        <w:rPr>
          <w:rtl/>
        </w:rPr>
        <w:t>.</w:t>
      </w:r>
      <w:r w:rsidR="008A74EB" w:rsidRPr="00C9040A">
        <w:rPr>
          <w:rtl/>
        </w:rPr>
        <w:t xml:space="preserve"> وفي « ز ، بس » : « تميت »</w:t>
      </w:r>
      <w:r w:rsidR="008A74EB">
        <w:rPr>
          <w:rtl/>
        </w:rPr>
        <w:t>.</w:t>
      </w:r>
      <w:r w:rsidR="008A74EB" w:rsidRPr="00C9040A">
        <w:rPr>
          <w:rtl/>
        </w:rPr>
        <w:t xml:space="preserve"> وفي الزهد : « تذيب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قال الجوهري : « الجليد : الضريب والسقيط ، وهو ندى يسقط من السماء فيجمد على الأرض » ، وقال ابن الأثير : « الجليد هو الماء الجامد من البرد »</w:t>
      </w:r>
      <w:r w:rsidR="008A74EB">
        <w:rPr>
          <w:rtl/>
        </w:rPr>
        <w:t>.</w:t>
      </w:r>
      <w:r w:rsidR="008A74EB" w:rsidRPr="00C9040A">
        <w:rPr>
          <w:rtl/>
        </w:rPr>
        <w:t xml:space="preserve"> راجع : </w:t>
      </w:r>
      <w:r w:rsidR="008A74EB" w:rsidRPr="00993B55">
        <w:rPr>
          <w:rStyle w:val="libFootnoteBoldChar"/>
          <w:rtl/>
        </w:rPr>
        <w:t>الصحاح</w:t>
      </w:r>
      <w:r w:rsidR="008A74EB" w:rsidRPr="00C9040A">
        <w:rPr>
          <w:rtl/>
        </w:rPr>
        <w:t xml:space="preserve"> ، ج 2 ، ص 459 ؛ </w:t>
      </w:r>
      <w:r w:rsidR="008A74EB" w:rsidRPr="00993B55">
        <w:rPr>
          <w:rStyle w:val="libFootnoteBoldChar"/>
          <w:rtl/>
        </w:rPr>
        <w:t>النهاية</w:t>
      </w:r>
      <w:r w:rsidR="008A74EB" w:rsidRPr="00C9040A">
        <w:rPr>
          <w:rtl/>
        </w:rPr>
        <w:t xml:space="preserve"> ، ج 1 ، ص 285 ( جلد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الزهد</w:t>
      </w:r>
      <w:r w:rsidR="008A74EB" w:rsidRPr="00C9040A">
        <w:rPr>
          <w:rtl/>
        </w:rPr>
        <w:t xml:space="preserve"> ، ص 93 ، ح 75 ، عن محمّد بن أبي عمير ، عن عليّ الأحمشي ، عن أبي عبد الله </w:t>
      </w:r>
      <w:r w:rsidR="00117575" w:rsidRPr="00117575">
        <w:rPr>
          <w:rStyle w:val="libFootnoteAlaemChar"/>
          <w:rtl/>
        </w:rPr>
        <w:t>عليه‌السلام</w:t>
      </w:r>
      <w:r w:rsidR="008A74EB" w:rsidRPr="00C9040A">
        <w:rPr>
          <w:rtl/>
        </w:rPr>
        <w:t xml:space="preserve"> ، مع زيادة في آخره</w:t>
      </w:r>
      <w:r w:rsidR="00D64E81">
        <w:rPr>
          <w:rFonts w:hint="cs"/>
          <w:rtl/>
        </w:rPr>
        <w:t>.</w:t>
      </w:r>
      <w:r w:rsidR="008A74EB" w:rsidRPr="00993B55">
        <w:rPr>
          <w:rStyle w:val="libFootnoteBoldChar"/>
          <w:rtl/>
        </w:rPr>
        <w:t>الوافي</w:t>
      </w:r>
      <w:r w:rsidR="008A74EB" w:rsidRPr="00C9040A">
        <w:rPr>
          <w:rtl/>
        </w:rPr>
        <w:t xml:space="preserve"> ، ج 4 ، ص 420 ، ح 2236 ؛ </w:t>
      </w:r>
      <w:r w:rsidR="008A74EB" w:rsidRPr="00993B55">
        <w:rPr>
          <w:rStyle w:val="libFootnoteBoldChar"/>
          <w:rtl/>
        </w:rPr>
        <w:t>الوسائل</w:t>
      </w:r>
      <w:r w:rsidR="008A74EB" w:rsidRPr="00C9040A">
        <w:rPr>
          <w:rtl/>
        </w:rPr>
        <w:t xml:space="preserve"> ، ج 12 ، ص 149 ، ح 15909 ؛ </w:t>
      </w:r>
      <w:r w:rsidR="008A74EB" w:rsidRPr="00993B55">
        <w:rPr>
          <w:rStyle w:val="libFootnoteBoldChar"/>
          <w:rtl/>
        </w:rPr>
        <w:t>البحار</w:t>
      </w:r>
      <w:r w:rsidR="008A74EB" w:rsidRPr="00C9040A">
        <w:rPr>
          <w:rtl/>
        </w:rPr>
        <w:t xml:space="preserve"> ، ج 71 ، ص 375 ، ح 7.</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الْأَعْمَارِ »</w:t>
      </w:r>
      <w:r>
        <w:rPr>
          <w:rtl/>
          <w:lang w:bidi="fa-IR"/>
        </w:rPr>
        <w:t>.</w:t>
      </w:r>
      <w:r w:rsidRPr="00C9040A">
        <w:rPr>
          <w:rtl/>
          <w:lang w:bidi="fa-IR"/>
        </w:rPr>
        <w:t xml:space="preserve"> </w:t>
      </w:r>
      <w:r w:rsidR="006C577F" w:rsidRPr="006C577F">
        <w:rPr>
          <w:rStyle w:val="libFootnotenumChar"/>
          <w:rtl/>
        </w:rPr>
        <w:t>(1)</w:t>
      </w:r>
      <w:r w:rsidRPr="00C9040A">
        <w:rPr>
          <w:rtl/>
          <w:lang w:bidi="fa-IR"/>
        </w:rPr>
        <w:t>‌</w:t>
      </w:r>
    </w:p>
    <w:p w:rsidR="008A74EB" w:rsidRPr="00C9040A" w:rsidRDefault="008A74EB" w:rsidP="008A74EB">
      <w:pPr>
        <w:pStyle w:val="libNormal"/>
        <w:rPr>
          <w:rtl/>
          <w:lang w:bidi="fa-IR"/>
        </w:rPr>
      </w:pPr>
      <w:r w:rsidRPr="004B36A3">
        <w:rPr>
          <w:rtl/>
        </w:rPr>
        <w:t>1753</w:t>
      </w:r>
      <w:r w:rsidRPr="00261CB0">
        <w:rPr>
          <w:rStyle w:val="libBold2Char"/>
          <w:rtl/>
        </w:rPr>
        <w:t xml:space="preserve"> / 9.</w:t>
      </w:r>
      <w:r w:rsidRPr="00C9040A">
        <w:rPr>
          <w:rtl/>
          <w:lang w:bidi="fa-IR"/>
        </w:rPr>
        <w:t xml:space="preserve"> عِدَّةٌ مِنْ أَصْحَابِنَا ، عَنْ سَهْلِ بْنِ زِيَادٍ ، عَنْ مُحَمَّدِ بْنِ عَبْدِ الْحَمِيدِ ، قَالَ :</w:t>
      </w:r>
      <w:r>
        <w:rPr>
          <w:rFonts w:hint="cs"/>
          <w:rtl/>
          <w:lang w:bidi="fa-IR"/>
        </w:rPr>
        <w:t xml:space="preserve"> </w:t>
      </w:r>
      <w:r w:rsidRPr="00C9040A">
        <w:rPr>
          <w:rtl/>
          <w:lang w:bidi="fa-IR"/>
        </w:rPr>
        <w:t xml:space="preserve">حَدَّثَنِي </w:t>
      </w:r>
      <w:r w:rsidR="006C577F" w:rsidRPr="006C577F">
        <w:rPr>
          <w:rStyle w:val="libFootnotenumChar"/>
          <w:rtl/>
        </w:rPr>
        <w:t>(2)</w:t>
      </w:r>
      <w:r w:rsidRPr="00C9040A">
        <w:rPr>
          <w:rtl/>
          <w:lang w:bidi="fa-IR"/>
        </w:rPr>
        <w:t xml:space="preserve"> يَحْيَى بْنُ عَمْرٍو </w:t>
      </w:r>
      <w:r w:rsidR="006C577F" w:rsidRPr="006C577F">
        <w:rPr>
          <w:rStyle w:val="libFootnotenumChar"/>
          <w:rtl/>
        </w:rPr>
        <w:t>(3)</w:t>
      </w:r>
      <w:r w:rsidRPr="00C9040A">
        <w:rPr>
          <w:rtl/>
          <w:lang w:bidi="fa-IR"/>
        </w:rPr>
        <w:t xml:space="preserve"> ، عَنْ عَبْدِ اللهِ بْنِ سِنَانٍ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أَوْحَى اللهُ</w:t>
      </w:r>
      <w:r>
        <w:rPr>
          <w:rtl/>
          <w:lang w:bidi="fa-IR"/>
        </w:rPr>
        <w:t xml:space="preserve"> </w:t>
      </w:r>
      <w:r w:rsidR="0084262C">
        <w:rPr>
          <w:rtl/>
          <w:lang w:bidi="fa-IR"/>
        </w:rPr>
        <w:t>-</w:t>
      </w:r>
      <w:r>
        <w:rPr>
          <w:rtl/>
          <w:lang w:bidi="fa-IR"/>
        </w:rPr>
        <w:t xml:space="preserve"> </w:t>
      </w:r>
      <w:r w:rsidRPr="00C9040A">
        <w:rPr>
          <w:rtl/>
          <w:lang w:bidi="fa-IR"/>
        </w:rPr>
        <w:t>تَبَارَكَ وَتَعَالى</w:t>
      </w:r>
      <w:r>
        <w:rPr>
          <w:rtl/>
          <w:lang w:bidi="fa-IR"/>
        </w:rPr>
        <w:t xml:space="preserve"> </w:t>
      </w:r>
      <w:r w:rsidR="0084262C">
        <w:rPr>
          <w:rtl/>
          <w:lang w:bidi="fa-IR"/>
        </w:rPr>
        <w:t>-</w:t>
      </w:r>
      <w:r>
        <w:rPr>
          <w:rtl/>
          <w:lang w:bidi="fa-IR"/>
        </w:rPr>
        <w:t xml:space="preserve"> </w:t>
      </w:r>
      <w:r w:rsidRPr="00C9040A">
        <w:rPr>
          <w:rtl/>
          <w:lang w:bidi="fa-IR"/>
        </w:rPr>
        <w:t xml:space="preserve">إِلى بَعْضِ أَنْبِيَائِهِ </w:t>
      </w:r>
      <w:r w:rsidRPr="0003660B">
        <w:rPr>
          <w:rStyle w:val="libAlaemChar"/>
          <w:rtl/>
        </w:rPr>
        <w:t>عليهم‌السلام</w:t>
      </w:r>
      <w:r w:rsidRPr="00C9040A">
        <w:rPr>
          <w:rtl/>
          <w:lang w:bidi="fa-IR"/>
        </w:rPr>
        <w:t xml:space="preserve"> : الْخُلُقُ الْحَسَنُ </w:t>
      </w:r>
      <w:r w:rsidR="006C577F" w:rsidRPr="006C577F">
        <w:rPr>
          <w:rStyle w:val="libFootnotenumChar"/>
          <w:rtl/>
        </w:rPr>
        <w:t>(4)</w:t>
      </w:r>
      <w:r w:rsidRPr="00C9040A">
        <w:rPr>
          <w:rtl/>
          <w:lang w:bidi="fa-IR"/>
        </w:rPr>
        <w:t xml:space="preserve"> يَمِيثُ </w:t>
      </w:r>
      <w:r w:rsidR="006C577F" w:rsidRPr="006C577F">
        <w:rPr>
          <w:rStyle w:val="libFootnotenumChar"/>
          <w:rtl/>
        </w:rPr>
        <w:t>(5)</w:t>
      </w:r>
      <w:r w:rsidRPr="00C9040A">
        <w:rPr>
          <w:rtl/>
          <w:lang w:bidi="fa-IR"/>
        </w:rPr>
        <w:t xml:space="preserve"> الْخَطِيئَةَ ، كَمَا تَمِيثُ </w:t>
      </w:r>
      <w:r w:rsidR="006C577F" w:rsidRPr="006C577F">
        <w:rPr>
          <w:rStyle w:val="libFootnotenumChar"/>
          <w:rtl/>
        </w:rPr>
        <w:t>(6)</w:t>
      </w:r>
      <w:r w:rsidRPr="005B567D">
        <w:rPr>
          <w:rStyle w:val="libFootnotenumChar"/>
          <w:rtl/>
        </w:rPr>
        <w:t xml:space="preserve"> </w:t>
      </w:r>
      <w:r w:rsidRPr="00C9040A">
        <w:rPr>
          <w:rtl/>
          <w:lang w:bidi="fa-IR"/>
        </w:rPr>
        <w:t>الشَّمْسُ الْجَلِيدَ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4B36A3">
        <w:rPr>
          <w:rtl/>
        </w:rPr>
        <w:t>1754</w:t>
      </w:r>
      <w:r w:rsidRPr="00261CB0">
        <w:rPr>
          <w:rStyle w:val="libBold2Char"/>
          <w:rtl/>
        </w:rPr>
        <w:t xml:space="preserve"> / 10.</w:t>
      </w:r>
      <w:r w:rsidRPr="00C9040A">
        <w:rPr>
          <w:rtl/>
          <w:lang w:bidi="fa-IR"/>
        </w:rPr>
        <w:t xml:space="preserve"> مُحَمَّدُ بْنُ يَحْيى ، عَنْ أَحْمَدَ بْنِ مُحَمَّدِ بْنِ عِيسى ، عَنِ الْحَسَنِ بْنِ عَلِيٍّ الْوَشَّاءِ ، عَنْ عَبْدِ اللهِ بْنِ سِنَانٍ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هَلَكَ رَجُلٌ عَلى عَهْدِ النَّبِيِّ </w:t>
      </w:r>
      <w:r w:rsidR="006C577F" w:rsidRPr="006C577F">
        <w:rPr>
          <w:rStyle w:val="libFootnotenumChar"/>
          <w:rtl/>
        </w:rPr>
        <w:t>(8)</w:t>
      </w:r>
      <w:r w:rsidRPr="00C9040A">
        <w:rPr>
          <w:rtl/>
          <w:lang w:bidi="fa-IR"/>
        </w:rPr>
        <w:t xml:space="preserve"> </w:t>
      </w:r>
      <w:r w:rsidR="004A4E41" w:rsidRPr="004A4E41">
        <w:rPr>
          <w:rStyle w:val="libAlaemChar"/>
          <w:rtl/>
        </w:rPr>
        <w:t>صلى‌الله‌عليه‌وآله</w:t>
      </w:r>
      <w:r w:rsidRPr="00C9040A">
        <w:rPr>
          <w:rtl/>
          <w:lang w:bidi="fa-IR"/>
        </w:rPr>
        <w:t xml:space="preserve"> ، فَأَتَى </w:t>
      </w:r>
      <w:r w:rsidR="006C577F" w:rsidRPr="006C577F">
        <w:rPr>
          <w:rStyle w:val="libFootnotenumChar"/>
          <w:rtl/>
        </w:rPr>
        <w:t>(9)</w:t>
      </w:r>
      <w:r w:rsidRPr="00C9040A">
        <w:rPr>
          <w:rtl/>
          <w:lang w:bidi="fa-IR"/>
        </w:rPr>
        <w:t xml:space="preserve"> الْحَفَّارِينَ ، فَإِذَا هُمْ </w:t>
      </w:r>
      <w:r w:rsidR="006C577F" w:rsidRPr="006C577F">
        <w:rPr>
          <w:rStyle w:val="libFootnotenumChar"/>
          <w:rtl/>
        </w:rPr>
        <w:t>(10)</w:t>
      </w:r>
      <w:r w:rsidRPr="00C9040A">
        <w:rPr>
          <w:rtl/>
          <w:lang w:bidi="fa-IR"/>
        </w:rPr>
        <w:t xml:space="preserve"> لَمْ يَحْفِرُوا شَيْئاً ، وَشَكَوْا ذلِكَ </w:t>
      </w:r>
      <w:r w:rsidR="006C577F" w:rsidRPr="006C577F">
        <w:rPr>
          <w:rStyle w:val="libFootnotenumChar"/>
          <w:rtl/>
        </w:rPr>
        <w:t>(11)</w:t>
      </w:r>
      <w:r w:rsidRPr="00C9040A">
        <w:rPr>
          <w:rtl/>
          <w:lang w:bidi="fa-IR"/>
        </w:rPr>
        <w:t xml:space="preserve"> إِلى رَسُولِ اللهِ </w:t>
      </w:r>
      <w:r w:rsidR="004A4E41" w:rsidRPr="004A4E41">
        <w:rPr>
          <w:rStyle w:val="libAlaemChar"/>
          <w:rtl/>
        </w:rPr>
        <w:t>صلى‌الله‌عليه‌وآله</w:t>
      </w:r>
      <w:r w:rsidRPr="00C9040A">
        <w:rPr>
          <w:rtl/>
          <w:lang w:bidi="fa-IR"/>
        </w:rPr>
        <w:t xml:space="preserve"> ، فَقَالُوا :</w:t>
      </w:r>
      <w:r>
        <w:rPr>
          <w:rFonts w:hint="cs"/>
          <w:rtl/>
          <w:lang w:bidi="fa-IR"/>
        </w:rPr>
        <w:t xml:space="preserve"> </w:t>
      </w:r>
      <w:r w:rsidRPr="00C9040A">
        <w:rPr>
          <w:rtl/>
          <w:lang w:bidi="fa-IR"/>
        </w:rPr>
        <w:t xml:space="preserve">يَا رَسُولَ اللهِ </w:t>
      </w:r>
      <w:r w:rsidR="006C577F" w:rsidRPr="006C577F">
        <w:rPr>
          <w:rStyle w:val="libFootnotenumChar"/>
          <w:rtl/>
        </w:rPr>
        <w:t>(12)</w:t>
      </w:r>
      <w:r w:rsidRPr="00C9040A">
        <w:rPr>
          <w:rtl/>
          <w:lang w:bidi="fa-IR"/>
        </w:rPr>
        <w:t xml:space="preserve"> ، مَا يَعْمَلُ حَدِيدُنَا فِي الْأَرْضِ ، فَكَأَنَّمَا </w:t>
      </w:r>
      <w:r w:rsidRPr="005B567D">
        <w:rPr>
          <w:rStyle w:val="libFootnotenumChar"/>
          <w:rtl/>
        </w:rPr>
        <w:t>(13)</w:t>
      </w:r>
      <w:r w:rsidRPr="00C9040A">
        <w:rPr>
          <w:rtl/>
          <w:lang w:bidi="fa-IR"/>
        </w:rPr>
        <w:t xml:space="preserve"> نَضْرِبُ بِهِ فِي‌</w:t>
      </w:r>
      <w:r w:rsidR="00D64E81">
        <w:rPr>
          <w:rFonts w:hint="cs"/>
          <w:rtl/>
          <w:lang w:bidi="fa-IR"/>
        </w:rPr>
        <w:t>..................................</w:t>
      </w:r>
      <w:r w:rsidR="00D64E81">
        <w:rPr>
          <w:rFonts w:hint="cs"/>
          <w:rtl/>
          <w:lang w:bidi="fa-IR"/>
        </w:rPr>
        <w:tab/>
      </w:r>
    </w:p>
    <w:p w:rsidR="008A74EB" w:rsidRPr="00C9040A" w:rsidRDefault="008A74EB" w:rsidP="008A74EB">
      <w:pPr>
        <w:pStyle w:val="libLine"/>
        <w:rPr>
          <w:rtl/>
          <w:lang w:bidi="fa-IR"/>
        </w:rPr>
      </w:pPr>
      <w:r w:rsidRPr="00C9040A">
        <w:rPr>
          <w:rtl/>
          <w:lang w:bidi="fa-IR"/>
        </w:rPr>
        <w:t>__________________</w:t>
      </w:r>
    </w:p>
    <w:p w:rsidR="008A74EB" w:rsidRPr="004A4E41" w:rsidRDefault="006C577F" w:rsidP="004A4E41">
      <w:pPr>
        <w:pStyle w:val="libFootnote0"/>
        <w:rPr>
          <w:rStyle w:val="libFootnote0Char"/>
          <w:rtl/>
        </w:rPr>
      </w:pPr>
      <w:r>
        <w:rPr>
          <w:rtl/>
        </w:rPr>
        <w:t>(1).</w:t>
      </w:r>
      <w:r w:rsidR="008A74EB" w:rsidRPr="00C9040A">
        <w:rPr>
          <w:rtl/>
        </w:rPr>
        <w:t xml:space="preserve"> </w:t>
      </w:r>
      <w:r w:rsidR="008A74EB" w:rsidRPr="00993B55">
        <w:rPr>
          <w:rStyle w:val="libFootnoteBoldChar"/>
          <w:rtl/>
        </w:rPr>
        <w:t>الزهد</w:t>
      </w:r>
      <w:r w:rsidR="008A74EB" w:rsidRPr="00C9040A">
        <w:rPr>
          <w:rtl/>
        </w:rPr>
        <w:t xml:space="preserve"> ، ص 93 ، ح 74 ، عن ابن أبي عمير. </w:t>
      </w:r>
      <w:r w:rsidR="008A74EB" w:rsidRPr="00993B55">
        <w:rPr>
          <w:rStyle w:val="libFootnoteBoldChar"/>
          <w:rtl/>
        </w:rPr>
        <w:t>تحف العقول</w:t>
      </w:r>
      <w:r w:rsidR="008A74EB" w:rsidRPr="00C9040A">
        <w:rPr>
          <w:rtl/>
        </w:rPr>
        <w:t xml:space="preserve"> ، ص 395 ، ضمن الحديث الطويل ، عن موسى بن جعفر </w:t>
      </w:r>
      <w:r w:rsidR="00117575" w:rsidRPr="00117575">
        <w:rPr>
          <w:rStyle w:val="libFootnoteAlaemChar"/>
          <w:rtl/>
        </w:rPr>
        <w:t>عليه‌السلام</w:t>
      </w:r>
      <w:r w:rsidR="008A74EB" w:rsidRPr="00C9040A">
        <w:rPr>
          <w:rtl/>
        </w:rPr>
        <w:t xml:space="preserve"> ، وفيه : « إنّ الرفق والبرّ وحسن الخلق يعمر الديار ويزيد في الرزق »</w:t>
      </w:r>
      <w:r w:rsidR="00511ADE">
        <w:rPr>
          <w:rFonts w:hint="cs"/>
          <w:rtl/>
        </w:rPr>
        <w:t>.</w:t>
      </w:r>
      <w:r w:rsidR="008A74EB" w:rsidRPr="00993B55">
        <w:rPr>
          <w:rStyle w:val="libFootnoteBoldChar"/>
          <w:rtl/>
        </w:rPr>
        <w:t>الوافي</w:t>
      </w:r>
      <w:r w:rsidR="008A74EB" w:rsidRPr="00C9040A">
        <w:rPr>
          <w:rtl/>
        </w:rPr>
        <w:t xml:space="preserve"> ، ج 4 ، ص 421 ، ح 2238 ؛ </w:t>
      </w:r>
      <w:r w:rsidR="008A74EB" w:rsidRPr="00993B55">
        <w:rPr>
          <w:rStyle w:val="libFootnoteBoldChar"/>
          <w:rtl/>
        </w:rPr>
        <w:t>الوسائل</w:t>
      </w:r>
      <w:r w:rsidR="008A74EB" w:rsidRPr="00C9040A">
        <w:rPr>
          <w:rtl/>
        </w:rPr>
        <w:t xml:space="preserve"> ، ج 12 ، ص 149 ، ح 15908.</w:t>
      </w:r>
    </w:p>
    <w:tbl>
      <w:tblPr>
        <w:tblStyle w:val="TableGrid"/>
        <w:bidiVisual/>
        <w:tblW w:w="0" w:type="auto"/>
        <w:tblLook w:val="04A0" w:firstRow="1" w:lastRow="0" w:firstColumn="1" w:lastColumn="0" w:noHBand="0" w:noVBand="1"/>
      </w:tblPr>
      <w:tblGrid>
        <w:gridCol w:w="4006"/>
        <w:gridCol w:w="4006"/>
      </w:tblGrid>
      <w:tr w:rsidR="00511ADE" w:rsidTr="00511ADE">
        <w:tc>
          <w:tcPr>
            <w:tcW w:w="4006" w:type="dxa"/>
          </w:tcPr>
          <w:p w:rsidR="00511ADE" w:rsidRDefault="00511ADE" w:rsidP="004A4E41">
            <w:pPr>
              <w:pStyle w:val="libFootnote0"/>
              <w:rPr>
                <w:rtl/>
              </w:rPr>
            </w:pPr>
            <w:r>
              <w:rPr>
                <w:rtl/>
              </w:rPr>
              <w:t xml:space="preserve">(2). </w:t>
            </w:r>
            <w:r w:rsidRPr="00C9040A">
              <w:rPr>
                <w:rtl/>
              </w:rPr>
              <w:t>في « ز » : + « عبد الله بن »</w:t>
            </w:r>
            <w:r>
              <w:rPr>
                <w:rtl/>
              </w:rPr>
              <w:t>.</w:t>
            </w:r>
          </w:p>
        </w:tc>
        <w:tc>
          <w:tcPr>
            <w:tcW w:w="4006" w:type="dxa"/>
          </w:tcPr>
          <w:p w:rsidR="00511ADE" w:rsidRDefault="00511ADE" w:rsidP="004A4E41">
            <w:pPr>
              <w:pStyle w:val="libFootnote0"/>
              <w:rPr>
                <w:rtl/>
              </w:rPr>
            </w:pPr>
            <w:r>
              <w:rPr>
                <w:rtl/>
              </w:rPr>
              <w:t>(3).</w:t>
            </w:r>
            <w:r w:rsidRPr="00C9040A">
              <w:rPr>
                <w:rtl/>
              </w:rPr>
              <w:t xml:space="preserve"> في « بف » والوافي : « عثمان »</w:t>
            </w:r>
            <w:r>
              <w:rPr>
                <w:rtl/>
              </w:rPr>
              <w:t>.</w:t>
            </w:r>
          </w:p>
        </w:tc>
      </w:tr>
      <w:tr w:rsidR="00511ADE" w:rsidTr="00511ADE">
        <w:tc>
          <w:tcPr>
            <w:tcW w:w="4006" w:type="dxa"/>
          </w:tcPr>
          <w:p w:rsidR="00511ADE" w:rsidRDefault="00511ADE" w:rsidP="004A4E41">
            <w:pPr>
              <w:pStyle w:val="libFootnote0"/>
              <w:rPr>
                <w:rtl/>
              </w:rPr>
            </w:pPr>
            <w:r>
              <w:rPr>
                <w:rtl/>
              </w:rPr>
              <w:t>(4).</w:t>
            </w:r>
            <w:r w:rsidRPr="00C9040A">
              <w:rPr>
                <w:rtl/>
              </w:rPr>
              <w:t xml:space="preserve"> في « ز » : « وحسن الخلق »</w:t>
            </w:r>
            <w:r>
              <w:rPr>
                <w:rtl/>
              </w:rPr>
              <w:t>.</w:t>
            </w:r>
          </w:p>
        </w:tc>
        <w:tc>
          <w:tcPr>
            <w:tcW w:w="4006" w:type="dxa"/>
          </w:tcPr>
          <w:p w:rsidR="00511ADE" w:rsidRDefault="00511ADE" w:rsidP="004A4E41">
            <w:pPr>
              <w:pStyle w:val="libFootnote0"/>
              <w:rPr>
                <w:rtl/>
              </w:rPr>
            </w:pPr>
            <w:r>
              <w:rPr>
                <w:rtl/>
              </w:rPr>
              <w:t>(5).</w:t>
            </w:r>
            <w:r w:rsidR="002B18C3">
              <w:rPr>
                <w:rtl/>
              </w:rPr>
              <w:t xml:space="preserve"> في«د،ز،ص،بس،بف</w:t>
            </w:r>
            <w:r w:rsidRPr="00C9040A">
              <w:rPr>
                <w:rtl/>
              </w:rPr>
              <w:t>»</w:t>
            </w:r>
            <w:r w:rsidR="002B18C3">
              <w:rPr>
                <w:rtl/>
              </w:rPr>
              <w:t>وحاشية«ج</w:t>
            </w:r>
            <w:r w:rsidRPr="00C9040A">
              <w:rPr>
                <w:rtl/>
              </w:rPr>
              <w:t>» : « يميت »</w:t>
            </w:r>
            <w:r>
              <w:rPr>
                <w:rtl/>
              </w:rPr>
              <w:t>.</w:t>
            </w:r>
          </w:p>
        </w:tc>
      </w:tr>
    </w:tbl>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ج » : « يميث »</w:t>
      </w:r>
      <w:r w:rsidR="008A74EB">
        <w:rPr>
          <w:rtl/>
        </w:rPr>
        <w:t>.</w:t>
      </w:r>
      <w:r w:rsidR="008A74EB" w:rsidRPr="00C9040A">
        <w:rPr>
          <w:rtl/>
        </w:rPr>
        <w:t xml:space="preserve"> وفي « ز » : « يميت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الوافي</w:t>
      </w:r>
      <w:r w:rsidR="008A74EB" w:rsidRPr="00C9040A">
        <w:rPr>
          <w:rtl/>
        </w:rPr>
        <w:t xml:space="preserve"> ، ج 4 ، ص 420 ، ح 2237 ؛ </w:t>
      </w:r>
      <w:r w:rsidR="008A74EB" w:rsidRPr="00993B55">
        <w:rPr>
          <w:rStyle w:val="libFootnoteBoldChar"/>
          <w:rtl/>
        </w:rPr>
        <w:t>الوسائل</w:t>
      </w:r>
      <w:r w:rsidR="008A74EB" w:rsidRPr="00C9040A">
        <w:rPr>
          <w:rtl/>
        </w:rPr>
        <w:t xml:space="preserve"> ، ج 12 ، ص 150 ، ح 15915 ؛ </w:t>
      </w:r>
      <w:r w:rsidR="008A74EB" w:rsidRPr="00993B55">
        <w:rPr>
          <w:rStyle w:val="libFootnoteBoldChar"/>
          <w:rtl/>
        </w:rPr>
        <w:t>البحار</w:t>
      </w:r>
      <w:r w:rsidR="008A74EB" w:rsidRPr="00C9040A">
        <w:rPr>
          <w:rtl/>
        </w:rPr>
        <w:t xml:space="preserve"> ، ج 14 ، ص 464 ، ح 35.</w:t>
      </w:r>
    </w:p>
    <w:p w:rsidR="008A74EB" w:rsidRPr="00C9040A" w:rsidRDefault="006C577F" w:rsidP="004A4E41">
      <w:pPr>
        <w:pStyle w:val="libFootnote0"/>
        <w:rPr>
          <w:rtl/>
          <w:lang w:bidi="fa-IR"/>
        </w:rPr>
      </w:pPr>
      <w:r>
        <w:rPr>
          <w:rtl/>
        </w:rPr>
        <w:t>(8).</w:t>
      </w:r>
      <w:r w:rsidR="008A74EB" w:rsidRPr="00C9040A">
        <w:rPr>
          <w:rtl/>
        </w:rPr>
        <w:t xml:space="preserve"> في « ض » والبحار : « رسول الله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الضمير المستتر في الفعل للنبيّ </w:t>
      </w:r>
      <w:r w:rsidR="004A4E41" w:rsidRPr="00AC2E2F">
        <w:rPr>
          <w:rStyle w:val="libFootnoteAlaemChar"/>
          <w:rtl/>
        </w:rPr>
        <w:t>صلى‌الله‌عليه‌وآله</w:t>
      </w:r>
      <w:r w:rsidR="008A74EB" w:rsidRPr="00C9040A">
        <w:rPr>
          <w:rtl/>
        </w:rPr>
        <w:t xml:space="preserve">. وقال المجلسي في </w:t>
      </w:r>
      <w:r w:rsidR="008A74EB" w:rsidRPr="00993B55">
        <w:rPr>
          <w:rStyle w:val="libFootnoteBoldChar"/>
          <w:rtl/>
        </w:rPr>
        <w:t>مرآة العقول</w:t>
      </w:r>
      <w:r w:rsidR="008A74EB" w:rsidRPr="00C9040A">
        <w:rPr>
          <w:rtl/>
        </w:rPr>
        <w:t xml:space="preserve"> : « ومنهم من قرأ : اتّي ، على بناء المفعول من باب التفعيل ، فالنائب للفاعل الضمير المستتر الراجع إلى الرجل. والحفّارين ، معفوله الثاني. ولا يخفى ما فيه »</w:t>
      </w:r>
      <w:r w:rsidR="008A74EB">
        <w:rPr>
          <w:rtl/>
        </w:rPr>
        <w:t>.</w:t>
      </w:r>
      <w:r w:rsidR="008A74EB" w:rsidRPr="00C9040A">
        <w:rPr>
          <w:rtl/>
        </w:rPr>
        <w:t xml:space="preserve"> وراجع أيضاً </w:t>
      </w:r>
      <w:r w:rsidR="008A74EB" w:rsidRPr="00993B55">
        <w:rPr>
          <w:rStyle w:val="libFootnoteBoldChar"/>
          <w:rtl/>
        </w:rPr>
        <w:t>الوافي</w:t>
      </w:r>
      <w:r w:rsidR="008A74EB" w:rsidRPr="00C9040A">
        <w:rPr>
          <w:rtl/>
        </w:rPr>
        <w:t>.</w:t>
      </w:r>
    </w:p>
    <w:p w:rsidR="008A74EB" w:rsidRPr="00C9040A" w:rsidRDefault="006C577F" w:rsidP="004A4E41">
      <w:pPr>
        <w:pStyle w:val="libFootnote0"/>
        <w:rPr>
          <w:rtl/>
          <w:lang w:bidi="fa-IR"/>
        </w:rPr>
      </w:pPr>
      <w:r>
        <w:rPr>
          <w:rtl/>
        </w:rPr>
        <w:t>(10).</w:t>
      </w:r>
      <w:r w:rsidR="008A74EB" w:rsidRPr="00C9040A">
        <w:rPr>
          <w:rtl/>
        </w:rPr>
        <w:t xml:space="preserve"> هكذا في « ز ، ص » والوافي. وفي سائر النسخ والمطبوع : « فإذا بهم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في « د ، بس » </w:t>
      </w:r>
      <w:r w:rsidR="008A74EB">
        <w:rPr>
          <w:rtl/>
        </w:rPr>
        <w:t xml:space="preserve">: </w:t>
      </w:r>
      <w:r w:rsidR="0084262C">
        <w:rPr>
          <w:rtl/>
        </w:rPr>
        <w:t>-</w:t>
      </w:r>
      <w:r w:rsidR="008A74EB" w:rsidRPr="00C9040A">
        <w:rPr>
          <w:rtl/>
        </w:rPr>
        <w:t xml:space="preserve"> « ذلك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في « ج ، ز ، ص ، ف ، بر ، بس ، بف » والبحار </w:t>
      </w:r>
      <w:r w:rsidR="008A74EB">
        <w:rPr>
          <w:rtl/>
        </w:rPr>
        <w:t xml:space="preserve">: </w:t>
      </w:r>
      <w:r w:rsidR="0084262C">
        <w:rPr>
          <w:rtl/>
        </w:rPr>
        <w:t>-</w:t>
      </w:r>
      <w:r w:rsidR="008A74EB" w:rsidRPr="00C9040A">
        <w:rPr>
          <w:rtl/>
        </w:rPr>
        <w:t xml:space="preserve"> « يا رسول الله »</w:t>
      </w:r>
      <w:r w:rsidR="008A74EB">
        <w:rPr>
          <w:rtl/>
        </w:rPr>
        <w:t>.</w:t>
      </w:r>
    </w:p>
    <w:p w:rsidR="008A74EB" w:rsidRPr="00C9040A" w:rsidRDefault="008A74EB" w:rsidP="004A4E41">
      <w:pPr>
        <w:pStyle w:val="libFootnote0"/>
        <w:rPr>
          <w:rtl/>
          <w:lang w:bidi="fa-IR"/>
        </w:rPr>
      </w:pPr>
      <w:r>
        <w:rPr>
          <w:rtl/>
        </w:rPr>
        <w:t>(13)</w:t>
      </w:r>
      <w:r w:rsidRPr="00C9040A">
        <w:rPr>
          <w:rtl/>
        </w:rPr>
        <w:t xml:space="preserve"> في « ض » : « كأنّما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الصَّفَا </w:t>
      </w:r>
      <w:r w:rsidR="006C577F" w:rsidRPr="006C577F">
        <w:rPr>
          <w:rStyle w:val="libFootnotenumChar"/>
          <w:rtl/>
        </w:rPr>
        <w:t>(1)</w:t>
      </w:r>
      <w:r w:rsidRPr="00C9040A">
        <w:rPr>
          <w:rtl/>
          <w:lang w:bidi="fa-IR"/>
        </w:rPr>
        <w:t>، فَقَالَ : وَلِمَ</w:t>
      </w:r>
      <w:r>
        <w:rPr>
          <w:rtl/>
          <w:lang w:bidi="fa-IR"/>
        </w:rPr>
        <w:t>؟</w:t>
      </w:r>
      <w:r w:rsidRPr="00C9040A">
        <w:rPr>
          <w:rtl/>
          <w:lang w:bidi="fa-IR"/>
        </w:rPr>
        <w:t xml:space="preserve"> إِنْ </w:t>
      </w:r>
      <w:r w:rsidR="006C577F" w:rsidRPr="006C577F">
        <w:rPr>
          <w:rStyle w:val="libFootnotenumChar"/>
          <w:rtl/>
        </w:rPr>
        <w:t>(2)</w:t>
      </w:r>
      <w:r w:rsidRPr="00C9040A">
        <w:rPr>
          <w:rtl/>
          <w:lang w:bidi="fa-IR"/>
        </w:rPr>
        <w:t xml:space="preserve"> كَانَ صَاحِبُكُمْ لَحَسَنَ الْخُلُقِ ، ائْتُونِي </w:t>
      </w:r>
      <w:r w:rsidR="006C577F" w:rsidRPr="006C577F">
        <w:rPr>
          <w:rStyle w:val="libFootnotenumChar"/>
          <w:rtl/>
        </w:rPr>
        <w:t>(3)</w:t>
      </w:r>
      <w:r w:rsidRPr="00C9040A">
        <w:rPr>
          <w:rtl/>
          <w:lang w:bidi="fa-IR"/>
        </w:rPr>
        <w:t xml:space="preserve"> بِقَدَحٍ مِنْ مَاءٍ </w:t>
      </w:r>
      <w:r w:rsidR="006C577F" w:rsidRPr="006C577F">
        <w:rPr>
          <w:rStyle w:val="libFootnotenumChar"/>
          <w:rtl/>
        </w:rPr>
        <w:t>(4)</w:t>
      </w:r>
      <w:r w:rsidRPr="00C9040A">
        <w:rPr>
          <w:rtl/>
          <w:lang w:bidi="fa-IR"/>
        </w:rPr>
        <w:t xml:space="preserve"> ، فَأَتَوْهُ بِهِ ، فَأَدْخَلَ </w:t>
      </w:r>
      <w:r w:rsidR="006C577F" w:rsidRPr="006C577F">
        <w:rPr>
          <w:rStyle w:val="libFootnotenumChar"/>
          <w:rtl/>
        </w:rPr>
        <w:t>(5)</w:t>
      </w:r>
      <w:r w:rsidRPr="00C9040A">
        <w:rPr>
          <w:rtl/>
          <w:lang w:bidi="fa-IR"/>
        </w:rPr>
        <w:t xml:space="preserve"> يَدَهُ فِيهِ ، ثُمَّ رَشَّهُ عَلَى الْأَرْضِ رَشّاً </w:t>
      </w:r>
      <w:r w:rsidR="006C577F" w:rsidRPr="006C577F">
        <w:rPr>
          <w:rStyle w:val="libFootnotenumChar"/>
          <w:rtl/>
        </w:rPr>
        <w:t>(6)</w:t>
      </w:r>
      <w:r w:rsidRPr="005B567D">
        <w:rPr>
          <w:rStyle w:val="libFootnotenumChar"/>
          <w:rtl/>
        </w:rPr>
        <w:t xml:space="preserve"> </w:t>
      </w:r>
      <w:r w:rsidRPr="00C9040A">
        <w:rPr>
          <w:rtl/>
          <w:lang w:bidi="fa-IR"/>
        </w:rPr>
        <w:t>، ثُمَّ قَالَ : احْفِرُوا »</w:t>
      </w:r>
      <w:r>
        <w:rPr>
          <w:rtl/>
          <w:lang w:bidi="fa-IR"/>
        </w:rPr>
        <w:t>.</w:t>
      </w:r>
      <w:r w:rsidRPr="00C9040A">
        <w:rPr>
          <w:rtl/>
          <w:lang w:bidi="fa-IR"/>
        </w:rPr>
        <w:t xml:space="preserve"> قَالَ : « فَحَفَرَ </w:t>
      </w:r>
      <w:r w:rsidR="006C577F" w:rsidRPr="006C577F">
        <w:rPr>
          <w:rStyle w:val="libFootnotenumChar"/>
          <w:rtl/>
        </w:rPr>
        <w:t>(7)</w:t>
      </w:r>
      <w:r w:rsidRPr="00C9040A">
        <w:rPr>
          <w:rtl/>
          <w:lang w:bidi="fa-IR"/>
        </w:rPr>
        <w:t xml:space="preserve"> الْحَفَّارُونَ ، فَكَأَنَّمَا كَانَ رَمْلاً يَتَهَايَلُ </w:t>
      </w:r>
      <w:r w:rsidR="006C577F" w:rsidRPr="006C577F">
        <w:rPr>
          <w:rStyle w:val="libFootnotenumChar"/>
          <w:rtl/>
        </w:rPr>
        <w:t>(8)</w:t>
      </w:r>
      <w:r w:rsidRPr="00C9040A">
        <w:rPr>
          <w:rtl/>
          <w:lang w:bidi="fa-IR"/>
        </w:rPr>
        <w:t xml:space="preserve"> عَلَيْهِمْ »</w:t>
      </w:r>
      <w:r>
        <w:rPr>
          <w:rtl/>
          <w:lang w:bidi="fa-IR"/>
        </w:rPr>
        <w:t>.</w:t>
      </w:r>
      <w:r w:rsidRPr="00C9040A">
        <w:rPr>
          <w:rtl/>
          <w:lang w:bidi="fa-IR"/>
        </w:rPr>
        <w:t xml:space="preserve"> </w:t>
      </w:r>
      <w:r w:rsidR="006C577F" w:rsidRPr="006C577F">
        <w:rPr>
          <w:rStyle w:val="libFootnotenumChar"/>
          <w:rtl/>
        </w:rPr>
        <w:t>(9)</w:t>
      </w:r>
      <w:r w:rsidRPr="00C9040A">
        <w:rPr>
          <w:rtl/>
          <w:lang w:bidi="fa-IR"/>
        </w:rPr>
        <w:t xml:space="preserve"> ‌</w:t>
      </w:r>
    </w:p>
    <w:p w:rsidR="008A74EB" w:rsidRPr="00C9040A" w:rsidRDefault="008A74EB" w:rsidP="008A74EB">
      <w:pPr>
        <w:pStyle w:val="libNormal"/>
        <w:rPr>
          <w:rtl/>
          <w:lang w:bidi="fa-IR"/>
        </w:rPr>
      </w:pPr>
      <w:r w:rsidRPr="004B36A3">
        <w:rPr>
          <w:rtl/>
        </w:rPr>
        <w:t>1755</w:t>
      </w:r>
      <w:r w:rsidRPr="00261CB0">
        <w:rPr>
          <w:rStyle w:val="libBold2Char"/>
          <w:rtl/>
        </w:rPr>
        <w:t xml:space="preserve"> / 11.</w:t>
      </w:r>
      <w:r w:rsidRPr="00C9040A">
        <w:rPr>
          <w:rtl/>
          <w:lang w:bidi="fa-IR"/>
        </w:rPr>
        <w:t xml:space="preserve"> عَنْهُ ، </w:t>
      </w:r>
      <w:r w:rsidR="006C577F" w:rsidRPr="006C577F">
        <w:rPr>
          <w:rStyle w:val="libFootnotenumChar"/>
          <w:rtl/>
        </w:rPr>
        <w:t>(10)</w:t>
      </w:r>
      <w:r w:rsidRPr="00C9040A">
        <w:rPr>
          <w:rtl/>
          <w:lang w:bidi="fa-IR"/>
        </w:rPr>
        <w:t xml:space="preserve"> عَنْ مُحَمَّدِ بْنِ سِنَانٍ ، عَنْ إِسْحَاقَ بْنِ عَمَّارٍ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إِنَّ الْخُلُقَ مَنِيحَةٌ </w:t>
      </w:r>
      <w:r w:rsidR="006C577F" w:rsidRPr="006C577F">
        <w:rPr>
          <w:rStyle w:val="libFootnotenumChar"/>
          <w:rtl/>
        </w:rPr>
        <w:t>(11)</w:t>
      </w:r>
      <w:r w:rsidRPr="00C9040A">
        <w:rPr>
          <w:rtl/>
          <w:lang w:bidi="fa-IR"/>
        </w:rPr>
        <w:t xml:space="preserve"> يَمْنَحُهَا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خَلْقَهُ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 الصفا » : حجر صُلْب أملس. الواحدة : صفاة. </w:t>
      </w:r>
      <w:r w:rsidR="008A74EB" w:rsidRPr="00993B55">
        <w:rPr>
          <w:rStyle w:val="libFootnoteBoldChar"/>
          <w:rtl/>
        </w:rPr>
        <w:t>ترتيب كتاب العين</w:t>
      </w:r>
      <w:r w:rsidR="008A74EB" w:rsidRPr="00C9040A">
        <w:rPr>
          <w:rtl/>
        </w:rPr>
        <w:t xml:space="preserve"> ، ج 2 ، ص 998 ؛ </w:t>
      </w:r>
      <w:r w:rsidR="008A74EB" w:rsidRPr="00993B55">
        <w:rPr>
          <w:rStyle w:val="libFootnoteBoldChar"/>
          <w:rtl/>
        </w:rPr>
        <w:t>المصباح المنير</w:t>
      </w:r>
      <w:r w:rsidR="008A74EB" w:rsidRPr="00C9040A">
        <w:rPr>
          <w:rtl/>
        </w:rPr>
        <w:t xml:space="preserve"> ، ص 334 ( صلب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 إن » مخفّفة عن المثقّلة ؛ بدليل اللام في خبر كان ، لا للشرط </w:t>
      </w:r>
      <w:r w:rsidR="008A74EB">
        <w:rPr>
          <w:rtl/>
        </w:rPr>
        <w:t>و «</w:t>
      </w:r>
      <w:r w:rsidR="008A74EB" w:rsidRPr="00C9040A">
        <w:rPr>
          <w:rtl/>
        </w:rPr>
        <w:t xml:space="preserve"> ائتوني » جزاؤه ، بل هو ابتداء الكلام. وقال المجلسي في </w:t>
      </w:r>
      <w:r w:rsidR="008A74EB" w:rsidRPr="00993B55">
        <w:rPr>
          <w:rStyle w:val="libFootnoteBoldChar"/>
          <w:rtl/>
        </w:rPr>
        <w:t>مرآة العقول</w:t>
      </w:r>
      <w:r w:rsidR="008A74EB" w:rsidRPr="00C9040A">
        <w:rPr>
          <w:rtl/>
        </w:rPr>
        <w:t xml:space="preserve"> : « وتعجّبه </w:t>
      </w:r>
      <w:r w:rsidR="004A4E41" w:rsidRPr="00AC2E2F">
        <w:rPr>
          <w:rStyle w:val="libFootnoteAlaemChar"/>
          <w:rtl/>
        </w:rPr>
        <w:t>صلى‌الله‌عليه‌وآله</w:t>
      </w:r>
      <w:r w:rsidR="008A74EB" w:rsidRPr="00C9040A">
        <w:rPr>
          <w:rtl/>
        </w:rPr>
        <w:t xml:space="preserve"> من أنّه لم اشتدّ الأرض عليهم مع كون صاحبهم حسن الخلق ، فإنّه يوجب يسر الأمر في الحياة وبعد الوفاة ، بخلاف سوء الخلق ، فإنّه يوجب اشتداد الأمر فيهما. والحاصل : أنّه ل</w:t>
      </w:r>
      <w:r w:rsidR="00A070AD">
        <w:rPr>
          <w:rFonts w:hint="cs"/>
          <w:rtl/>
        </w:rPr>
        <w:t>ـ</w:t>
      </w:r>
      <w:r w:rsidR="008A74EB" w:rsidRPr="00C9040A">
        <w:rPr>
          <w:rtl/>
        </w:rPr>
        <w:t>مّا كان حسن الخلق فليس هذا الاشتداد من قبله ، فهو من صلابة الأرض ، فصبّ الماء المتبرّك بيده المباركة على الموضع ، فصار بإعجازه في غاية الرخاوة. وقيل : إن ، للشرط ، ولم ، قائم مقام جزاء الشرط. فحاصله : أنّه لو كان حسن الخلق لم يشتدّ الحفر على الحفّارين فرشّ صاحب الخلق الحسن الماء الذي أدخل يده المباركة فيه لرفع تأثير خلقه السيّ‌ء. ولا يخفى بعده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ب ، ف ، بس » : « آتوني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ز » : « من الماء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ف » : + « به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 ف » </w:t>
      </w:r>
      <w:r w:rsidR="008A74EB">
        <w:rPr>
          <w:rtl/>
        </w:rPr>
        <w:t xml:space="preserve">: </w:t>
      </w:r>
      <w:r w:rsidR="0084262C">
        <w:rPr>
          <w:rtl/>
        </w:rPr>
        <w:t>-</w:t>
      </w:r>
      <w:r w:rsidR="008A74EB" w:rsidRPr="00C9040A">
        <w:rPr>
          <w:rtl/>
        </w:rPr>
        <w:t xml:space="preserve"> « رشّاً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ف » : « فحفروا » بناء على كون « الحفّارون » بدلاً ، أو على لغة أكلوني البراغيث.</w:t>
      </w:r>
    </w:p>
    <w:p w:rsidR="008A74EB" w:rsidRPr="00C9040A" w:rsidRDefault="006C577F" w:rsidP="004A4E41">
      <w:pPr>
        <w:pStyle w:val="libFootnote0"/>
        <w:rPr>
          <w:rtl/>
          <w:lang w:bidi="fa-IR"/>
        </w:rPr>
      </w:pPr>
      <w:r>
        <w:rPr>
          <w:rtl/>
        </w:rPr>
        <w:t>(8).</w:t>
      </w:r>
      <w:r w:rsidR="008A74EB" w:rsidRPr="00C9040A">
        <w:rPr>
          <w:rtl/>
        </w:rPr>
        <w:t xml:space="preserve"> « يتهايل » ، من الهَيْل ، وهو الصبّ ، يقال : هِلْتُ الماء وأهلته ، إذا صببته وأرسلته. وكلّ شي‌ء أرسلته إرسالاً من رمل أو تراب أو طعام ونحوه ، قلت : هلته فانهال ، أي صببته فانصبّ وجرى. بقي شي‌ء ، وهو أنّ تفاعل لم يجئ في كتب اللغة من هذه المادّة. راجع : </w:t>
      </w:r>
      <w:r w:rsidR="008A74EB" w:rsidRPr="00993B55">
        <w:rPr>
          <w:rStyle w:val="libFootnoteBoldChar"/>
          <w:rtl/>
        </w:rPr>
        <w:t>الصحاح</w:t>
      </w:r>
      <w:r w:rsidR="008A74EB" w:rsidRPr="00C9040A">
        <w:rPr>
          <w:rtl/>
        </w:rPr>
        <w:t xml:space="preserve"> ، ج 5 ، ص 1855 ؛ </w:t>
      </w:r>
      <w:r w:rsidR="008A74EB" w:rsidRPr="00993B55">
        <w:rPr>
          <w:rStyle w:val="libFootnoteBoldChar"/>
          <w:rtl/>
        </w:rPr>
        <w:t>النهاية</w:t>
      </w:r>
      <w:r w:rsidR="008A74EB" w:rsidRPr="00C9040A">
        <w:rPr>
          <w:rtl/>
        </w:rPr>
        <w:t xml:space="preserve"> ، ج 5 ، ص 288 ؛ </w:t>
      </w:r>
      <w:r w:rsidR="008A74EB" w:rsidRPr="00993B55">
        <w:rPr>
          <w:rStyle w:val="libFootnoteBoldChar"/>
          <w:rtl/>
        </w:rPr>
        <w:t>لسان العرب</w:t>
      </w:r>
      <w:r w:rsidR="008A74EB" w:rsidRPr="00C9040A">
        <w:rPr>
          <w:rtl/>
        </w:rPr>
        <w:t xml:space="preserve"> ، ج 11 ، ص 714 ( هيل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w:t>
      </w:r>
      <w:r w:rsidR="008A74EB" w:rsidRPr="00993B55">
        <w:rPr>
          <w:rStyle w:val="libFootnoteBoldChar"/>
          <w:rtl/>
        </w:rPr>
        <w:t>الوافي</w:t>
      </w:r>
      <w:r w:rsidR="008A74EB" w:rsidRPr="00C9040A">
        <w:rPr>
          <w:rtl/>
        </w:rPr>
        <w:t xml:space="preserve"> ، ج 4 ، ص 421 ، ح 2239 ؛ </w:t>
      </w:r>
      <w:r w:rsidR="008A74EB" w:rsidRPr="00993B55">
        <w:rPr>
          <w:rStyle w:val="libFootnoteBoldChar"/>
          <w:rtl/>
        </w:rPr>
        <w:t>البحار</w:t>
      </w:r>
      <w:r w:rsidR="008A74EB" w:rsidRPr="00C9040A">
        <w:rPr>
          <w:rtl/>
        </w:rPr>
        <w:t xml:space="preserve"> ، ج 71 ، ص 376 ، ح 8.</w:t>
      </w:r>
    </w:p>
    <w:p w:rsidR="008A74EB" w:rsidRPr="00C9040A" w:rsidRDefault="006C577F" w:rsidP="004A4E41">
      <w:pPr>
        <w:pStyle w:val="libFootnote0"/>
        <w:rPr>
          <w:rtl/>
          <w:lang w:bidi="fa-IR"/>
        </w:rPr>
      </w:pPr>
      <w:r>
        <w:rPr>
          <w:rtl/>
        </w:rPr>
        <w:t>(10).</w:t>
      </w:r>
      <w:r w:rsidR="008A74EB" w:rsidRPr="00C9040A">
        <w:rPr>
          <w:rtl/>
        </w:rPr>
        <w:t xml:space="preserve"> الضمير راجع إلى أحمد بن محمّد بن عيسى المذكور في السند السابق ؛ فقد أكثر هو بهذا العنوان من الرواية عن محمّد بن سنان. راجع : </w:t>
      </w:r>
      <w:r w:rsidR="008A74EB" w:rsidRPr="00993B55">
        <w:rPr>
          <w:rStyle w:val="libFootnoteBoldChar"/>
          <w:rtl/>
        </w:rPr>
        <w:t>معجم رجال الحديث</w:t>
      </w:r>
      <w:r w:rsidR="008A74EB" w:rsidRPr="00C9040A">
        <w:rPr>
          <w:rtl/>
        </w:rPr>
        <w:t xml:space="preserve"> ، ج 2 ، ص 695</w:t>
      </w:r>
      <w:r w:rsidR="008A74EB">
        <w:rPr>
          <w:rtl/>
        </w:rPr>
        <w:t xml:space="preserve"> </w:t>
      </w:r>
      <w:r w:rsidR="0084262C">
        <w:rPr>
          <w:rtl/>
        </w:rPr>
        <w:t>-</w:t>
      </w:r>
      <w:r w:rsidR="008A74EB">
        <w:rPr>
          <w:rtl/>
        </w:rPr>
        <w:t xml:space="preserve"> </w:t>
      </w:r>
      <w:r w:rsidR="008A74EB" w:rsidRPr="00C9040A">
        <w:rPr>
          <w:rtl/>
        </w:rPr>
        <w:t>696.</w:t>
      </w:r>
    </w:p>
    <w:p w:rsidR="008A74EB" w:rsidRPr="00C9040A" w:rsidRDefault="006C577F" w:rsidP="004A4E41">
      <w:pPr>
        <w:pStyle w:val="libFootnote0"/>
        <w:rPr>
          <w:rtl/>
          <w:lang w:bidi="fa-IR"/>
        </w:rPr>
      </w:pPr>
      <w:r>
        <w:rPr>
          <w:rtl/>
        </w:rPr>
        <w:t>(11).</w:t>
      </w:r>
      <w:r w:rsidR="008A74EB" w:rsidRPr="00C9040A">
        <w:rPr>
          <w:rtl/>
        </w:rPr>
        <w:t xml:space="preserve"> في « بر ، بف » : « المنحة » وفي الوسائل والزهد : « منحة »</w:t>
      </w:r>
      <w:r w:rsidR="008A74EB">
        <w:rPr>
          <w:rtl/>
        </w:rPr>
        <w:t>.</w:t>
      </w:r>
      <w:r w:rsidR="008A74EB" w:rsidRPr="00C9040A">
        <w:rPr>
          <w:rtl/>
        </w:rPr>
        <w:t xml:space="preserve"> </w:t>
      </w:r>
      <w:r w:rsidR="008A74EB">
        <w:rPr>
          <w:rtl/>
        </w:rPr>
        <w:t>و «</w:t>
      </w:r>
      <w:r w:rsidR="008A74EB" w:rsidRPr="00C9040A">
        <w:rPr>
          <w:rtl/>
        </w:rPr>
        <w:t xml:space="preserve"> ال</w:t>
      </w:r>
      <w:r w:rsidR="005D2F97">
        <w:rPr>
          <w:rFonts w:hint="cs"/>
          <w:rtl/>
        </w:rPr>
        <w:t>ـ</w:t>
      </w:r>
      <w:r w:rsidR="008A74EB" w:rsidRPr="00C9040A">
        <w:rPr>
          <w:rtl/>
        </w:rPr>
        <w:t>مَنْح » : العطاء. مَنَحَه يَمْنَحُه ويَمْنِحه. والاسم : ال</w:t>
      </w:r>
      <w:r w:rsidR="005D2F97">
        <w:rPr>
          <w:rFonts w:hint="cs"/>
          <w:rtl/>
        </w:rPr>
        <w:t>ـ</w:t>
      </w:r>
      <w:r w:rsidR="008A74EB" w:rsidRPr="00C9040A">
        <w:rPr>
          <w:rtl/>
        </w:rPr>
        <w:t xml:space="preserve">مِنْحَة والمنيحة. راجع : </w:t>
      </w:r>
      <w:r w:rsidR="008A74EB" w:rsidRPr="00993B55">
        <w:rPr>
          <w:rStyle w:val="libFootnoteBoldChar"/>
          <w:rtl/>
        </w:rPr>
        <w:t>الصحاح</w:t>
      </w:r>
      <w:r w:rsidR="008A74EB" w:rsidRPr="00C9040A">
        <w:rPr>
          <w:rtl/>
        </w:rPr>
        <w:t xml:space="preserve"> ، ج 1 ، ص 408 ؛ </w:t>
      </w:r>
      <w:r w:rsidR="008A74EB" w:rsidRPr="00993B55">
        <w:rPr>
          <w:rStyle w:val="libFootnoteBoldChar"/>
          <w:rtl/>
        </w:rPr>
        <w:t>المصباح المنير</w:t>
      </w:r>
      <w:r w:rsidR="008A74EB" w:rsidRPr="00C9040A">
        <w:rPr>
          <w:rtl/>
        </w:rPr>
        <w:t xml:space="preserve"> ، ص 580 ( منح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فَمِنْهُ سَجِيَّةٌ ، وَمِنْهُ نِيَّةٌ </w:t>
      </w:r>
      <w:r w:rsidR="006C577F" w:rsidRPr="006C577F">
        <w:rPr>
          <w:rStyle w:val="libFootnotenumChar"/>
          <w:rtl/>
        </w:rPr>
        <w:t>(1)</w:t>
      </w:r>
      <w:r w:rsidRPr="00C9040A">
        <w:rPr>
          <w:rtl/>
          <w:lang w:bidi="fa-IR"/>
        </w:rPr>
        <w:t>»</w:t>
      </w:r>
      <w:r>
        <w:rPr>
          <w:rtl/>
          <w:lang w:bidi="fa-IR"/>
        </w:rPr>
        <w:t>.</w:t>
      </w:r>
      <w:r w:rsidRPr="00C9040A">
        <w:rPr>
          <w:rtl/>
          <w:lang w:bidi="fa-IR"/>
        </w:rPr>
        <w:t xml:space="preserve"> فَقُلْتُ </w:t>
      </w:r>
      <w:r w:rsidR="006C577F" w:rsidRPr="006C577F">
        <w:rPr>
          <w:rStyle w:val="libFootnotenumChar"/>
          <w:rtl/>
        </w:rPr>
        <w:t>(2)</w:t>
      </w:r>
      <w:r w:rsidRPr="00C9040A">
        <w:rPr>
          <w:rtl/>
          <w:lang w:bidi="fa-IR"/>
        </w:rPr>
        <w:t xml:space="preserve"> : فَأَيَّتُهُمَا </w:t>
      </w:r>
      <w:r w:rsidR="006C577F" w:rsidRPr="006C577F">
        <w:rPr>
          <w:rStyle w:val="libFootnotenumChar"/>
          <w:rtl/>
        </w:rPr>
        <w:t>(3)</w:t>
      </w:r>
      <w:r w:rsidRPr="00C9040A">
        <w:rPr>
          <w:rtl/>
          <w:lang w:bidi="fa-IR"/>
        </w:rPr>
        <w:t xml:space="preserve"> أَفْضَلُ</w:t>
      </w:r>
      <w:r>
        <w:rPr>
          <w:rtl/>
          <w:lang w:bidi="fa-IR"/>
        </w:rPr>
        <w:t>؟</w:t>
      </w:r>
      <w:r w:rsidRPr="00C9040A">
        <w:rPr>
          <w:rtl/>
          <w:lang w:bidi="fa-IR"/>
        </w:rPr>
        <w:t xml:space="preserve"> فَقَالَ </w:t>
      </w:r>
      <w:r w:rsidR="006C577F" w:rsidRPr="006C577F">
        <w:rPr>
          <w:rStyle w:val="libFootnotenumChar"/>
          <w:rtl/>
        </w:rPr>
        <w:t>(4)</w:t>
      </w:r>
      <w:r w:rsidRPr="00C9040A">
        <w:rPr>
          <w:rtl/>
          <w:lang w:bidi="fa-IR"/>
        </w:rPr>
        <w:t xml:space="preserve"> : « صَاحِبُ السَّجِيَّةِ هُوَ مَجْبُولٌ لَايَسْتَطِيعُ غَيْرَهُ ، وَصَاحِبُ النِّيَّةِ يَصْبِرُ </w:t>
      </w:r>
      <w:r w:rsidR="006C577F" w:rsidRPr="006C577F">
        <w:rPr>
          <w:rStyle w:val="libFootnotenumChar"/>
          <w:rtl/>
        </w:rPr>
        <w:t>(5)</w:t>
      </w:r>
      <w:r w:rsidRPr="00C9040A">
        <w:rPr>
          <w:rtl/>
          <w:lang w:bidi="fa-IR"/>
        </w:rPr>
        <w:t xml:space="preserve"> عَلَى الطَّاعَةِ تَصَبُّراً ؛ فَهُوَ أَفْضَلُهُمَا </w:t>
      </w:r>
      <w:r w:rsidR="006C577F" w:rsidRPr="006C577F">
        <w:rPr>
          <w:rStyle w:val="libFootnotenumChar"/>
          <w:rtl/>
        </w:rPr>
        <w:t>(6)</w:t>
      </w:r>
      <w:r w:rsidRPr="00C9040A">
        <w:rPr>
          <w:rtl/>
          <w:lang w:bidi="fa-IR"/>
        </w:rPr>
        <w:t>»</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4B36A3">
        <w:rPr>
          <w:rtl/>
        </w:rPr>
        <w:t>1756</w:t>
      </w:r>
      <w:r w:rsidRPr="00261CB0">
        <w:rPr>
          <w:rStyle w:val="libBold2Char"/>
          <w:rtl/>
        </w:rPr>
        <w:t xml:space="preserve"> / 12.</w:t>
      </w:r>
      <w:r w:rsidRPr="00C9040A">
        <w:rPr>
          <w:rtl/>
          <w:lang w:bidi="fa-IR"/>
        </w:rPr>
        <w:t xml:space="preserve"> وَعَنْهُ </w:t>
      </w:r>
      <w:r w:rsidR="006C577F" w:rsidRPr="006C577F">
        <w:rPr>
          <w:rStyle w:val="libFootnotenumChar"/>
          <w:rtl/>
        </w:rPr>
        <w:t>(8)</w:t>
      </w:r>
      <w:r w:rsidRPr="00C9040A">
        <w:rPr>
          <w:rtl/>
          <w:lang w:bidi="fa-IR"/>
        </w:rPr>
        <w:t xml:space="preserve"> ، عَنْ بَكْرِ بْنِ صَالِحٍ ، عَنِ الْحَسَنِ بْنِ عَلِيٍّ ، عَنْ عَبْدِ اللهِ بْنِ إِبْرَاهِيمَ ، عَنْ عَلِيِّ بْنِ أَبِي عَلِيٍّ اللهَبِيِّ :</w:t>
      </w:r>
    </w:p>
    <w:p w:rsidR="008A74EB" w:rsidRPr="00C9040A" w:rsidRDefault="008A74EB" w:rsidP="005D2F97">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إِنَّ اللهَ</w:t>
      </w:r>
      <w:r>
        <w:rPr>
          <w:rtl/>
          <w:lang w:bidi="fa-IR"/>
        </w:rPr>
        <w:t xml:space="preserve"> </w:t>
      </w:r>
      <w:r w:rsidR="0084262C">
        <w:rPr>
          <w:rtl/>
          <w:lang w:bidi="fa-IR"/>
        </w:rPr>
        <w:t>-</w:t>
      </w:r>
      <w:r>
        <w:rPr>
          <w:rtl/>
          <w:lang w:bidi="fa-IR"/>
        </w:rPr>
        <w:t xml:space="preserve"> </w:t>
      </w:r>
      <w:r w:rsidRPr="00C9040A">
        <w:rPr>
          <w:rtl/>
          <w:lang w:bidi="fa-IR"/>
        </w:rPr>
        <w:t>تَبَارَكَ وَتَعَالى</w:t>
      </w:r>
      <w:r>
        <w:rPr>
          <w:rtl/>
          <w:lang w:bidi="fa-IR"/>
        </w:rPr>
        <w:t xml:space="preserve"> </w:t>
      </w:r>
      <w:r w:rsidR="0084262C">
        <w:rPr>
          <w:rtl/>
          <w:lang w:bidi="fa-IR"/>
        </w:rPr>
        <w:t>-</w:t>
      </w:r>
      <w:r>
        <w:rPr>
          <w:rtl/>
          <w:lang w:bidi="fa-IR"/>
        </w:rPr>
        <w:t xml:space="preserve"> </w:t>
      </w:r>
      <w:r w:rsidRPr="00C9040A">
        <w:rPr>
          <w:rtl/>
          <w:lang w:bidi="fa-IR"/>
        </w:rPr>
        <w:t xml:space="preserve">لَيُعْطِي الْعَبْدَ مِنَ الثَّوَابِ عَلى حُسْنِ الْخُلُقِ ، كَمَا يُعْطِي الْمُجَاهِدَ فِي سَبِيلِ اللهِ ، يَغْدُو عَلَيْهِ وَيَرُوحُ </w:t>
      </w:r>
      <w:r w:rsidR="006C577F" w:rsidRPr="006C577F">
        <w:rPr>
          <w:rStyle w:val="libFootnotenumChar"/>
          <w:rtl/>
        </w:rPr>
        <w:t>(9)</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Normal"/>
        <w:rPr>
          <w:rtl/>
          <w:lang w:bidi="fa-IR"/>
        </w:rPr>
      </w:pPr>
      <w:r w:rsidRPr="004B36A3">
        <w:rPr>
          <w:rtl/>
        </w:rPr>
        <w:t>1757</w:t>
      </w:r>
      <w:r w:rsidRPr="00261CB0">
        <w:rPr>
          <w:rStyle w:val="libBold2Char"/>
          <w:rtl/>
        </w:rPr>
        <w:t xml:space="preserve"> / 13.</w:t>
      </w:r>
      <w:r w:rsidRPr="00C9040A">
        <w:rPr>
          <w:rtl/>
          <w:lang w:bidi="fa-IR"/>
        </w:rPr>
        <w:t xml:space="preserve"> عَنْهُ </w:t>
      </w:r>
      <w:r w:rsidR="006C577F" w:rsidRPr="006C577F">
        <w:rPr>
          <w:rStyle w:val="libFootnotenumChar"/>
          <w:rtl/>
        </w:rPr>
        <w:t>(11)</w:t>
      </w:r>
      <w:r w:rsidRPr="00C9040A">
        <w:rPr>
          <w:rtl/>
          <w:lang w:bidi="fa-IR"/>
        </w:rPr>
        <w:t xml:space="preserve"> ، عَنْ عَبْدِ اللهِ الْحَجَّالِ </w:t>
      </w:r>
      <w:r w:rsidR="006C577F" w:rsidRPr="006C577F">
        <w:rPr>
          <w:rStyle w:val="libFootnotenumChar"/>
          <w:rtl/>
        </w:rPr>
        <w:t>(12)</w:t>
      </w:r>
      <w:r w:rsidRPr="00C9040A">
        <w:rPr>
          <w:rtl/>
          <w:lang w:bidi="fa-IR"/>
        </w:rPr>
        <w:t xml:space="preserve"> ، عَنْ أَبِي </w:t>
      </w:r>
      <w:r w:rsidRPr="005B567D">
        <w:rPr>
          <w:rStyle w:val="libFootnotenumChar"/>
          <w:rtl/>
        </w:rPr>
        <w:t>(13)</w:t>
      </w:r>
      <w:r w:rsidRPr="00C9040A">
        <w:rPr>
          <w:rtl/>
          <w:lang w:bidi="fa-IR"/>
        </w:rPr>
        <w:t xml:space="preserve"> عُثْمَانَ الْقَابُوسِيِّ ، عَمَّنْ ذَكَرَهُ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w:t>
      </w:r>
      <w:r w:rsidR="008A74EB" w:rsidRPr="00993B55">
        <w:rPr>
          <w:rStyle w:val="libFootnoteBoldChar"/>
          <w:rtl/>
        </w:rPr>
        <w:t>الوافي</w:t>
      </w:r>
      <w:r w:rsidR="008A74EB" w:rsidRPr="00C9040A">
        <w:rPr>
          <w:rtl/>
        </w:rPr>
        <w:t xml:space="preserve"> : « فمنه سجيّة ، أي جبلة وطبيعة وخلق. ومنه نيّة ، أي يكون عن قصد واكتساب وتعمّد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بر ، بف » والوافي والوسائل : « قلت »</w:t>
      </w:r>
      <w:r w:rsidR="008A74EB">
        <w:rPr>
          <w:rtl/>
        </w:rPr>
        <w:t>.</w:t>
      </w:r>
    </w:p>
    <w:p w:rsidR="008A74EB" w:rsidRPr="004A4E41" w:rsidRDefault="006C577F" w:rsidP="004A4E41">
      <w:pPr>
        <w:pStyle w:val="libFootnote0"/>
        <w:rPr>
          <w:rStyle w:val="libFootnote0Char"/>
          <w:rtl/>
        </w:rPr>
      </w:pPr>
      <w:r>
        <w:rPr>
          <w:rtl/>
        </w:rPr>
        <w:t>(3).</w:t>
      </w:r>
      <w:r w:rsidR="00AC2E2F">
        <w:rPr>
          <w:rtl/>
        </w:rPr>
        <w:t xml:space="preserve"> في «</w:t>
      </w:r>
      <w:r w:rsidR="008A74EB" w:rsidRPr="00C9040A">
        <w:rPr>
          <w:rtl/>
        </w:rPr>
        <w:t>ب ، ص ، ف » : « أيّهما »</w:t>
      </w:r>
      <w:r w:rsidR="008A74EB">
        <w:rPr>
          <w:rtl/>
        </w:rPr>
        <w:t>.</w:t>
      </w:r>
      <w:r w:rsidR="008A74EB" w:rsidRPr="00C9040A">
        <w:rPr>
          <w:rtl/>
        </w:rPr>
        <w:t xml:space="preserve"> وفي « ز » : « وأيّهما »</w:t>
      </w:r>
      <w:r w:rsidR="008A74EB">
        <w:rPr>
          <w:rtl/>
        </w:rPr>
        <w:t>.</w:t>
      </w:r>
      <w:r w:rsidR="008A74EB" w:rsidRPr="00C9040A">
        <w:rPr>
          <w:rtl/>
        </w:rPr>
        <w:t xml:space="preserve"> وفي « ض ، بر</w:t>
      </w:r>
      <w:r w:rsidR="00AC2E2F">
        <w:rPr>
          <w:rtl/>
        </w:rPr>
        <w:t xml:space="preserve"> » والوافي والوسائل : «فأيّهما</w:t>
      </w:r>
      <w:r w:rsidR="008A74EB" w:rsidRPr="00C9040A">
        <w:rPr>
          <w:rtl/>
        </w:rPr>
        <w:t>»</w:t>
      </w:r>
      <w:r w:rsidR="008A74EB">
        <w:rPr>
          <w:rtl/>
        </w:rPr>
        <w:t>.</w:t>
      </w:r>
    </w:p>
    <w:tbl>
      <w:tblPr>
        <w:tblStyle w:val="TableGrid"/>
        <w:bidiVisual/>
        <w:tblW w:w="0" w:type="auto"/>
        <w:tblLook w:val="04A0" w:firstRow="1" w:lastRow="0" w:firstColumn="1" w:lastColumn="0" w:noHBand="0" w:noVBand="1"/>
      </w:tblPr>
      <w:tblGrid>
        <w:gridCol w:w="4006"/>
        <w:gridCol w:w="4006"/>
      </w:tblGrid>
      <w:tr w:rsidR="005D2F97" w:rsidTr="005D2F97">
        <w:tc>
          <w:tcPr>
            <w:tcW w:w="4006" w:type="dxa"/>
          </w:tcPr>
          <w:p w:rsidR="005D2F97" w:rsidRDefault="005D2F97" w:rsidP="004A4E41">
            <w:pPr>
              <w:pStyle w:val="libFootnote0"/>
              <w:rPr>
                <w:rtl/>
              </w:rPr>
            </w:pPr>
            <w:r>
              <w:rPr>
                <w:rtl/>
              </w:rPr>
              <w:t>(4).</w:t>
            </w:r>
            <w:r w:rsidRPr="00C9040A">
              <w:rPr>
                <w:rtl/>
              </w:rPr>
              <w:t xml:space="preserve"> في الوسائل والزهد : « قال »</w:t>
            </w:r>
            <w:r>
              <w:rPr>
                <w:rtl/>
              </w:rPr>
              <w:t>.</w:t>
            </w:r>
          </w:p>
        </w:tc>
        <w:tc>
          <w:tcPr>
            <w:tcW w:w="4006" w:type="dxa"/>
          </w:tcPr>
          <w:p w:rsidR="005D2F97" w:rsidRDefault="005D2F97" w:rsidP="004A4E41">
            <w:pPr>
              <w:pStyle w:val="libFootnote0"/>
              <w:rPr>
                <w:rtl/>
              </w:rPr>
            </w:pPr>
            <w:r>
              <w:rPr>
                <w:rtl/>
              </w:rPr>
              <w:t>(5).</w:t>
            </w:r>
            <w:r w:rsidRPr="00C9040A">
              <w:rPr>
                <w:rtl/>
              </w:rPr>
              <w:t xml:space="preserve"> في الوافي : « تصبّر »</w:t>
            </w:r>
            <w:r>
              <w:rPr>
                <w:rtl/>
              </w:rPr>
              <w:t>.</w:t>
            </w:r>
          </w:p>
        </w:tc>
      </w:tr>
    </w:tbl>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البحار : « أفضلها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الزهد</w:t>
      </w:r>
      <w:r w:rsidR="008A74EB" w:rsidRPr="00C9040A">
        <w:rPr>
          <w:rtl/>
        </w:rPr>
        <w:t xml:space="preserve"> ، ص 92 ، ح 71 ، عن محمّد بن سنان. </w:t>
      </w:r>
      <w:r w:rsidR="008A74EB" w:rsidRPr="00993B55">
        <w:rPr>
          <w:rStyle w:val="libFootnoteBoldChar"/>
          <w:rtl/>
        </w:rPr>
        <w:t>تحف العقول</w:t>
      </w:r>
      <w:r w:rsidR="008A74EB" w:rsidRPr="00C9040A">
        <w:rPr>
          <w:rtl/>
        </w:rPr>
        <w:t xml:space="preserve"> ، ص 373 ، وفيهما مع اختلاف يسير</w:t>
      </w:r>
      <w:r w:rsidR="00CE2CD3">
        <w:rPr>
          <w:rFonts w:hint="cs"/>
          <w:rtl/>
        </w:rPr>
        <w:t>.</w:t>
      </w:r>
      <w:r w:rsidR="008A74EB" w:rsidRPr="00993B55">
        <w:rPr>
          <w:rStyle w:val="libFootnoteBoldChar"/>
          <w:rtl/>
        </w:rPr>
        <w:t>الوافي</w:t>
      </w:r>
      <w:r w:rsidR="008A74EB" w:rsidRPr="00C9040A">
        <w:rPr>
          <w:rtl/>
        </w:rPr>
        <w:t xml:space="preserve"> ، ج 4 ، ص 421 ، ح 2240 ؛ </w:t>
      </w:r>
      <w:r w:rsidR="008A74EB" w:rsidRPr="00993B55">
        <w:rPr>
          <w:rStyle w:val="libFootnoteBoldChar"/>
          <w:rtl/>
        </w:rPr>
        <w:t>الوسائل</w:t>
      </w:r>
      <w:r w:rsidR="008A74EB" w:rsidRPr="00C9040A">
        <w:rPr>
          <w:rtl/>
        </w:rPr>
        <w:t xml:space="preserve"> ، ج 12 ، ص 151 ، ح 15917 ؛ </w:t>
      </w:r>
      <w:r w:rsidR="008A74EB" w:rsidRPr="00993B55">
        <w:rPr>
          <w:rStyle w:val="libFootnoteBoldChar"/>
          <w:rtl/>
        </w:rPr>
        <w:t>البحار</w:t>
      </w:r>
      <w:r w:rsidR="008A74EB" w:rsidRPr="00C9040A">
        <w:rPr>
          <w:rtl/>
        </w:rPr>
        <w:t xml:space="preserve"> ، ج 71 ، ص 377 ، ح 9.</w:t>
      </w:r>
    </w:p>
    <w:p w:rsidR="008A74EB" w:rsidRPr="00C9040A" w:rsidRDefault="006C577F" w:rsidP="004A4E41">
      <w:pPr>
        <w:pStyle w:val="libFootnote0"/>
        <w:rPr>
          <w:rtl/>
          <w:lang w:bidi="fa-IR"/>
        </w:rPr>
      </w:pPr>
      <w:r>
        <w:rPr>
          <w:rtl/>
        </w:rPr>
        <w:t>(8).</w:t>
      </w:r>
      <w:r w:rsidR="008A74EB" w:rsidRPr="00C9040A">
        <w:rPr>
          <w:rtl/>
        </w:rPr>
        <w:t xml:space="preserve"> الضمير راجع إلى أحمد بن محمّد بن عيسى.</w:t>
      </w:r>
    </w:p>
    <w:p w:rsidR="008A74EB" w:rsidRPr="00C9040A" w:rsidRDefault="006C577F" w:rsidP="004A4E41">
      <w:pPr>
        <w:pStyle w:val="libFootnote0"/>
        <w:rPr>
          <w:rtl/>
          <w:lang w:bidi="fa-IR"/>
        </w:rPr>
      </w:pPr>
      <w:r>
        <w:rPr>
          <w:rtl/>
        </w:rPr>
        <w:t>(9).</w:t>
      </w:r>
      <w:r w:rsidR="008A74EB" w:rsidRPr="00C9040A">
        <w:rPr>
          <w:rtl/>
        </w:rPr>
        <w:t xml:space="preserve"> « الغُدُوّ » : سَيْر أوّل النهار ، نقيض الرواح. </w:t>
      </w:r>
      <w:r w:rsidR="008A74EB">
        <w:rPr>
          <w:rtl/>
        </w:rPr>
        <w:t>و «</w:t>
      </w:r>
      <w:r w:rsidR="008A74EB" w:rsidRPr="00C9040A">
        <w:rPr>
          <w:rtl/>
        </w:rPr>
        <w:t xml:space="preserve"> الرواح » : العَشيّ ، أو من الزوال إلى الليل. ورُحْنا رواحاً : سرنا فيه أو عَمِلنا. </w:t>
      </w:r>
      <w:r w:rsidR="008A74EB" w:rsidRPr="00993B55">
        <w:rPr>
          <w:rStyle w:val="libFootnoteBoldChar"/>
          <w:rtl/>
        </w:rPr>
        <w:t>النهاية</w:t>
      </w:r>
      <w:r w:rsidR="008A74EB" w:rsidRPr="00C9040A">
        <w:rPr>
          <w:rtl/>
        </w:rPr>
        <w:t xml:space="preserve"> ، ج 3 ، ص 346 ( غدا ) ؛ </w:t>
      </w:r>
      <w:r w:rsidR="008A74EB" w:rsidRPr="00993B55">
        <w:rPr>
          <w:rStyle w:val="libFootnoteBoldChar"/>
          <w:rtl/>
        </w:rPr>
        <w:t>القاموس المحيط</w:t>
      </w:r>
      <w:r w:rsidR="008A74EB" w:rsidRPr="00C9040A">
        <w:rPr>
          <w:rtl/>
        </w:rPr>
        <w:t xml:space="preserve"> ، ج 1 ، ص 336 ( روح )</w:t>
      </w:r>
      <w:r w:rsidR="008A74EB">
        <w:rPr>
          <w:rtl/>
        </w:rPr>
        <w:t>.</w:t>
      </w:r>
      <w:r w:rsidR="008A74EB" w:rsidRPr="00C9040A">
        <w:rPr>
          <w:rtl/>
        </w:rPr>
        <w:t xml:space="preserve"> والمراد أنّ ثواب العبد في حسن خلقه مثل ثواب هذا المجاهد الساعي في الجهاد المستمرّ فيه ، أو المراد أنّ الثواب يغدو على حسن خلقه ويروح ؛ يعني إنّه ملازم له كملازمة حسن خلقه ، أو المراد أنّ المجاهد يغدو على الجهاد ويروح. راجع : </w:t>
      </w:r>
      <w:r w:rsidR="008A74EB" w:rsidRPr="00993B55">
        <w:rPr>
          <w:rStyle w:val="libFootnoteBoldChar"/>
          <w:rtl/>
        </w:rPr>
        <w:t>شرح المازندراني</w:t>
      </w:r>
      <w:r w:rsidR="008A74EB" w:rsidRPr="00C9040A">
        <w:rPr>
          <w:rtl/>
        </w:rPr>
        <w:t xml:space="preserve"> ، ج 8 ، ص 291 ؛ </w:t>
      </w:r>
      <w:r w:rsidR="008A74EB" w:rsidRPr="00993B55">
        <w:rPr>
          <w:rStyle w:val="libFootnoteBoldChar"/>
          <w:rtl/>
        </w:rPr>
        <w:t>الوافي</w:t>
      </w:r>
      <w:r w:rsidR="008A74EB" w:rsidRPr="00C9040A">
        <w:rPr>
          <w:rtl/>
        </w:rPr>
        <w:t xml:space="preserve"> ، ج 4 ، ص 422 ؛ </w:t>
      </w:r>
      <w:r w:rsidR="008A74EB" w:rsidRPr="00993B55">
        <w:rPr>
          <w:rStyle w:val="libFootnoteBoldChar"/>
          <w:rtl/>
        </w:rPr>
        <w:t>مرآة العقول</w:t>
      </w:r>
      <w:r w:rsidR="008A74EB" w:rsidRPr="00C9040A">
        <w:rPr>
          <w:rtl/>
        </w:rPr>
        <w:t xml:space="preserve"> ، ج 8 ، ص 171.</w:t>
      </w:r>
    </w:p>
    <w:p w:rsidR="008A74EB" w:rsidRPr="00C9040A" w:rsidRDefault="006C577F" w:rsidP="004A4E41">
      <w:pPr>
        <w:pStyle w:val="libFootnote0"/>
        <w:rPr>
          <w:rtl/>
          <w:lang w:bidi="fa-IR"/>
        </w:rPr>
      </w:pPr>
      <w:r>
        <w:rPr>
          <w:rtl/>
        </w:rPr>
        <w:t>(10).</w:t>
      </w:r>
      <w:r w:rsidR="008A74EB" w:rsidRPr="00C9040A">
        <w:rPr>
          <w:rtl/>
        </w:rPr>
        <w:t xml:space="preserve"> </w:t>
      </w:r>
      <w:r w:rsidR="008A74EB" w:rsidRPr="00993B55">
        <w:rPr>
          <w:rStyle w:val="libFootnoteBoldChar"/>
          <w:rtl/>
        </w:rPr>
        <w:t>الوافي</w:t>
      </w:r>
      <w:r w:rsidR="008A74EB" w:rsidRPr="00C9040A">
        <w:rPr>
          <w:rtl/>
        </w:rPr>
        <w:t xml:space="preserve"> ، ج 4 ، ص 422 ، ح 2241 ؛ </w:t>
      </w:r>
      <w:r w:rsidR="008A74EB" w:rsidRPr="00993B55">
        <w:rPr>
          <w:rStyle w:val="libFootnoteBoldChar"/>
          <w:rtl/>
        </w:rPr>
        <w:t>الوسائل</w:t>
      </w:r>
      <w:r w:rsidR="008A74EB" w:rsidRPr="00C9040A">
        <w:rPr>
          <w:rtl/>
        </w:rPr>
        <w:t xml:space="preserve"> ، ج 12 ، ص 151 ، ح 15918 ؛ </w:t>
      </w:r>
      <w:r w:rsidR="008A74EB" w:rsidRPr="00993B55">
        <w:rPr>
          <w:rStyle w:val="libFootnoteBoldChar"/>
          <w:rtl/>
        </w:rPr>
        <w:t>البحار</w:t>
      </w:r>
      <w:r w:rsidR="008A74EB" w:rsidRPr="00C9040A">
        <w:rPr>
          <w:rtl/>
        </w:rPr>
        <w:t xml:space="preserve"> ، ج 71 ، ص 377 ، ح 10.</w:t>
      </w:r>
    </w:p>
    <w:p w:rsidR="008A74EB" w:rsidRPr="00C9040A" w:rsidRDefault="006C577F" w:rsidP="004A4E41">
      <w:pPr>
        <w:pStyle w:val="libFootnote0"/>
        <w:rPr>
          <w:rtl/>
          <w:lang w:bidi="fa-IR"/>
        </w:rPr>
      </w:pPr>
      <w:r>
        <w:rPr>
          <w:rtl/>
        </w:rPr>
        <w:t>(11).</w:t>
      </w:r>
      <w:r w:rsidR="008A74EB" w:rsidRPr="00C9040A">
        <w:rPr>
          <w:rtl/>
        </w:rPr>
        <w:t xml:space="preserve"> الضمير راجع إلى أحمد بن محمّد بن عيسى.</w:t>
      </w:r>
    </w:p>
    <w:p w:rsidR="008A74EB" w:rsidRPr="00C9040A" w:rsidRDefault="006C577F" w:rsidP="004A4E41">
      <w:pPr>
        <w:pStyle w:val="libFootnote0"/>
        <w:rPr>
          <w:rtl/>
          <w:lang w:bidi="fa-IR"/>
        </w:rPr>
      </w:pPr>
      <w:r>
        <w:rPr>
          <w:rtl/>
        </w:rPr>
        <w:t>(12).</w:t>
      </w:r>
      <w:r w:rsidR="008A74EB" w:rsidRPr="00C9040A">
        <w:rPr>
          <w:rtl/>
        </w:rPr>
        <w:t xml:space="preserve"> في « ز ، ص » : « الجمّال »</w:t>
      </w:r>
      <w:r w:rsidR="008A74EB">
        <w:rPr>
          <w:rtl/>
        </w:rPr>
        <w:t>.</w:t>
      </w:r>
      <w:r w:rsidR="008A74EB" w:rsidRPr="00C9040A">
        <w:rPr>
          <w:rtl/>
        </w:rPr>
        <w:t xml:space="preserve"> وهو سهو ؛ فإنّ عبد الله هذا ، هو عبد الله بن محمّد أبو محمّد الحجّال ، روى عنه أحمد بن محمّد بن عيسى ، بعناوينه : الحجّال وأبي محمّد الحجّال وعبد الله الحجّال. راجع : </w:t>
      </w:r>
      <w:r w:rsidR="008A74EB" w:rsidRPr="00993B55">
        <w:rPr>
          <w:rStyle w:val="libFootnoteBoldChar"/>
          <w:rtl/>
        </w:rPr>
        <w:t>رجال النجاشي</w:t>
      </w:r>
      <w:r w:rsidR="008A74EB" w:rsidRPr="00C9040A">
        <w:rPr>
          <w:rtl/>
        </w:rPr>
        <w:t xml:space="preserve"> ، ص 226 ، الرقم 595 ؛ </w:t>
      </w:r>
      <w:r w:rsidR="008A74EB" w:rsidRPr="0034021D">
        <w:rPr>
          <w:rStyle w:val="libFootnoteBoldChar"/>
          <w:rtl/>
        </w:rPr>
        <w:t>الفهرست للطوسي</w:t>
      </w:r>
      <w:r w:rsidR="008A74EB" w:rsidRPr="00C9040A">
        <w:rPr>
          <w:rtl/>
        </w:rPr>
        <w:t xml:space="preserve"> ، ص 293 ، الرقم 439 ؛ </w:t>
      </w:r>
      <w:r w:rsidR="008A74EB" w:rsidRPr="00993B55">
        <w:rPr>
          <w:rStyle w:val="libFootnoteBoldChar"/>
          <w:rtl/>
        </w:rPr>
        <w:t>معجم رجال الحديث</w:t>
      </w:r>
      <w:r w:rsidR="008A74EB" w:rsidRPr="00C9040A">
        <w:rPr>
          <w:rtl/>
        </w:rPr>
        <w:t xml:space="preserve"> ، ج 2 ، ص 301</w:t>
      </w:r>
      <w:r w:rsidR="008A74EB">
        <w:rPr>
          <w:rtl/>
        </w:rPr>
        <w:t xml:space="preserve"> </w:t>
      </w:r>
      <w:r w:rsidR="0084262C">
        <w:rPr>
          <w:rtl/>
        </w:rPr>
        <w:t>-</w:t>
      </w:r>
      <w:r w:rsidR="008A74EB">
        <w:rPr>
          <w:rtl/>
        </w:rPr>
        <w:t xml:space="preserve"> </w:t>
      </w:r>
      <w:r w:rsidR="008A74EB" w:rsidRPr="00C9040A">
        <w:rPr>
          <w:rtl/>
        </w:rPr>
        <w:t>303.</w:t>
      </w:r>
    </w:p>
    <w:p w:rsidR="008A74EB" w:rsidRDefault="008A74EB" w:rsidP="004A4E41">
      <w:pPr>
        <w:pStyle w:val="libFootnote0"/>
        <w:rPr>
          <w:rtl/>
        </w:rPr>
      </w:pPr>
      <w:r>
        <w:rPr>
          <w:rtl/>
        </w:rPr>
        <w:t>(13)</w:t>
      </w:r>
      <w:r w:rsidRPr="00C9040A">
        <w:rPr>
          <w:rtl/>
        </w:rPr>
        <w:t xml:space="preserve"> في « ز » : « ابن »</w:t>
      </w:r>
      <w:r>
        <w:rPr>
          <w:rtl/>
        </w:rPr>
        <w:t>.</w:t>
      </w:r>
    </w:p>
    <w:p w:rsidR="00AC2E2F" w:rsidRDefault="00AC2E2F" w:rsidP="00AC2E2F">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إِنَّ اللهَ</w:t>
      </w:r>
      <w:r>
        <w:rPr>
          <w:rtl/>
          <w:lang w:bidi="fa-IR"/>
        </w:rPr>
        <w:t xml:space="preserve"> </w:t>
      </w:r>
      <w:r w:rsidR="0084262C">
        <w:rPr>
          <w:rtl/>
          <w:lang w:bidi="fa-IR"/>
        </w:rPr>
        <w:t>-</w:t>
      </w:r>
      <w:r>
        <w:rPr>
          <w:rtl/>
          <w:lang w:bidi="fa-IR"/>
        </w:rPr>
        <w:t xml:space="preserve"> </w:t>
      </w:r>
      <w:r w:rsidRPr="00C9040A">
        <w:rPr>
          <w:rtl/>
          <w:lang w:bidi="fa-IR"/>
        </w:rPr>
        <w:t>تَبَارَكَ وَتَعَالى</w:t>
      </w:r>
      <w:r>
        <w:rPr>
          <w:rtl/>
          <w:lang w:bidi="fa-IR"/>
        </w:rPr>
        <w:t xml:space="preserve"> </w:t>
      </w:r>
      <w:r w:rsidR="0084262C">
        <w:rPr>
          <w:rtl/>
          <w:lang w:bidi="fa-IR"/>
        </w:rPr>
        <w:t>-</w:t>
      </w:r>
      <w:r>
        <w:rPr>
          <w:rtl/>
          <w:lang w:bidi="fa-IR"/>
        </w:rPr>
        <w:t xml:space="preserve"> </w:t>
      </w:r>
      <w:r w:rsidRPr="00C9040A">
        <w:rPr>
          <w:rtl/>
          <w:lang w:bidi="fa-IR"/>
        </w:rPr>
        <w:t xml:space="preserve">أَعَارَ أَعْدَاءَهُ </w:t>
      </w:r>
      <w:r w:rsidR="006C577F" w:rsidRPr="006C577F">
        <w:rPr>
          <w:rStyle w:val="libFootnotenumChar"/>
          <w:rtl/>
        </w:rPr>
        <w:t>(1)</w:t>
      </w:r>
      <w:r w:rsidRPr="00E711C7">
        <w:rPr>
          <w:rFonts w:hint="cs"/>
          <w:rtl/>
        </w:rPr>
        <w:t xml:space="preserve"> </w:t>
      </w:r>
      <w:r w:rsidRPr="00C9040A">
        <w:rPr>
          <w:rtl/>
          <w:lang w:bidi="fa-IR"/>
        </w:rPr>
        <w:t xml:space="preserve">أَخْلَاقاً مِنْ أَخْلَاقِ أَوْلِيَائِهِ ؛ لِيَعِيشَ أَوْلِيَاؤُهُ مَعَ أَعْدَائِهِ </w:t>
      </w:r>
      <w:r w:rsidR="006C577F" w:rsidRPr="006C577F">
        <w:rPr>
          <w:rStyle w:val="libFootnotenumChar"/>
          <w:rtl/>
        </w:rPr>
        <w:t>(2)</w:t>
      </w:r>
      <w:r w:rsidRPr="00C9040A">
        <w:rPr>
          <w:rtl/>
          <w:lang w:bidi="fa-IR"/>
        </w:rPr>
        <w:t xml:space="preserve"> فِي دَوْلَاتِهِمْ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FA1610" w:rsidP="008A74EB">
      <w:pPr>
        <w:pStyle w:val="libNormal"/>
        <w:rPr>
          <w:rtl/>
          <w:lang w:bidi="fa-IR"/>
        </w:rPr>
      </w:pPr>
      <w:r>
        <w:rPr>
          <w:rFonts w:hint="cs"/>
          <w:rtl/>
          <w:lang w:bidi="fa-IR"/>
        </w:rPr>
        <w:t xml:space="preserve">* </w:t>
      </w:r>
      <w:r w:rsidR="008A74EB" w:rsidRPr="00C9040A">
        <w:rPr>
          <w:rtl/>
          <w:lang w:bidi="fa-IR"/>
        </w:rPr>
        <w:t>وَفِي رِوَايَةٍ أُخْرى : « وَ</w:t>
      </w:r>
      <w:r w:rsidR="008A74EB">
        <w:rPr>
          <w:rFonts w:hint="cs"/>
          <w:rtl/>
          <w:lang w:bidi="fa-IR"/>
        </w:rPr>
        <w:t xml:space="preserve"> </w:t>
      </w:r>
      <w:r w:rsidR="006C577F" w:rsidRPr="006C577F">
        <w:rPr>
          <w:rStyle w:val="libFootnotenumChar"/>
          <w:rtl/>
        </w:rPr>
        <w:t>(4)</w:t>
      </w:r>
      <w:r w:rsidR="008A74EB" w:rsidRPr="00C9040A">
        <w:rPr>
          <w:rtl/>
          <w:lang w:bidi="fa-IR"/>
        </w:rPr>
        <w:t xml:space="preserve"> لَوْ لَاذلِكَ لَمَا تَرَكُوا وَلِيّاً لِلّهِ </w:t>
      </w:r>
      <w:r w:rsidR="006C577F" w:rsidRPr="006C577F">
        <w:rPr>
          <w:rStyle w:val="libFootnotenumChar"/>
          <w:rtl/>
        </w:rPr>
        <w:t>(5)</w:t>
      </w:r>
      <w:r>
        <w:rPr>
          <w:rtl/>
          <w:lang w:bidi="fa-IR"/>
        </w:rPr>
        <w:t xml:space="preserve"> إِل</w:t>
      </w:r>
      <w:r>
        <w:rPr>
          <w:rFonts w:hint="cs"/>
          <w:rtl/>
          <w:lang w:bidi="fa-IR"/>
        </w:rPr>
        <w:t>َّ</w:t>
      </w:r>
      <w:r>
        <w:rPr>
          <w:rtl/>
          <w:lang w:bidi="fa-IR"/>
        </w:rPr>
        <w:t>ا</w:t>
      </w:r>
      <w:r w:rsidR="008A74EB" w:rsidRPr="00C9040A">
        <w:rPr>
          <w:rtl/>
          <w:lang w:bidi="fa-IR"/>
        </w:rPr>
        <w:t xml:space="preserve"> قَتَلُوهُ »</w:t>
      </w:r>
      <w:r w:rsidR="008A74EB">
        <w:rPr>
          <w:rtl/>
          <w:lang w:bidi="fa-IR"/>
        </w:rPr>
        <w:t>.</w:t>
      </w:r>
      <w:r w:rsidR="008A74EB" w:rsidRPr="00C9040A">
        <w:rPr>
          <w:rtl/>
          <w:lang w:bidi="fa-IR"/>
        </w:rPr>
        <w:t xml:space="preserve"> </w:t>
      </w:r>
      <w:r w:rsidR="006C577F" w:rsidRPr="006C577F">
        <w:rPr>
          <w:rStyle w:val="libFootnotenumChar"/>
          <w:rtl/>
        </w:rPr>
        <w:t>(6)</w:t>
      </w:r>
    </w:p>
    <w:p w:rsidR="008A74EB" w:rsidRPr="00C9040A" w:rsidRDefault="008A74EB" w:rsidP="008A74EB">
      <w:pPr>
        <w:pStyle w:val="libNormal"/>
        <w:rPr>
          <w:rtl/>
          <w:lang w:bidi="fa-IR"/>
        </w:rPr>
      </w:pPr>
      <w:r w:rsidRPr="008751FE">
        <w:rPr>
          <w:rtl/>
        </w:rPr>
        <w:t>1758</w:t>
      </w:r>
      <w:r w:rsidRPr="00261CB0">
        <w:rPr>
          <w:rStyle w:val="libBold2Char"/>
          <w:rtl/>
        </w:rPr>
        <w:t xml:space="preserve"> / 14.</w:t>
      </w:r>
      <w:r w:rsidRPr="00C9040A">
        <w:rPr>
          <w:rtl/>
          <w:lang w:bidi="fa-IR"/>
        </w:rPr>
        <w:t xml:space="preserve"> عَلِيُّ بْنُ إِبْرَاهِيمَ ، عَنْ أَبِيهِ ، عَنْ حَمَّادِ بْنِ عِيسى ، عَنِ الْحُسَيْنِ بْنِ الْمُخْتَارِ ، عَنِ الْعَلَاءِ بْنِ كَامِلٍ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إِذَا خَالَطْتَ النَّاسَ ، فَإِنِ اسْتَطَعْتَ أَنْ لَاتُخَال</w:t>
      </w:r>
      <w:r w:rsidR="003B7F49">
        <w:rPr>
          <w:rtl/>
          <w:lang w:bidi="fa-IR"/>
        </w:rPr>
        <w:t>ِطَ أَحَداً مِنَ النَّاسِ إِل</w:t>
      </w:r>
      <w:r w:rsidR="003B7F49">
        <w:rPr>
          <w:rFonts w:hint="cs"/>
          <w:rtl/>
          <w:lang w:bidi="fa-IR"/>
        </w:rPr>
        <w:t>َّ</w:t>
      </w:r>
      <w:r w:rsidR="003B7F49">
        <w:rPr>
          <w:rtl/>
          <w:lang w:bidi="fa-IR"/>
        </w:rPr>
        <w:t>ا</w:t>
      </w:r>
      <w:r w:rsidRPr="00C9040A">
        <w:rPr>
          <w:rtl/>
          <w:lang w:bidi="fa-IR"/>
        </w:rPr>
        <w:t xml:space="preserve"> كَانَتْ </w:t>
      </w:r>
      <w:r w:rsidR="006C577F" w:rsidRPr="006C577F">
        <w:rPr>
          <w:rStyle w:val="libFootnotenumChar"/>
          <w:rtl/>
        </w:rPr>
        <w:t>(7)</w:t>
      </w:r>
      <w:r w:rsidRPr="00C9040A">
        <w:rPr>
          <w:rtl/>
          <w:lang w:bidi="fa-IR"/>
        </w:rPr>
        <w:t xml:space="preserve"> يَدُكَ الْعُلْيَا </w:t>
      </w:r>
      <w:r w:rsidR="006C577F" w:rsidRPr="006C577F">
        <w:rPr>
          <w:rStyle w:val="libFootnotenumChar"/>
          <w:rtl/>
        </w:rPr>
        <w:t>(8)</w:t>
      </w:r>
      <w:r w:rsidRPr="00C9040A">
        <w:rPr>
          <w:rtl/>
          <w:lang w:bidi="fa-IR"/>
        </w:rPr>
        <w:t xml:space="preserve"> عَلَيْهِ ، فَافْعَلْ ؛ فَإِنَّ الْعَبْدَ يَكُونُ فِيهِ بَعْضُ التَّقْصِيرِ مِنَ الْعِبَادَةِ ، وَيَكُونُ لَهُ خُلُقٌ حَسَنٌ </w:t>
      </w:r>
      <w:r w:rsidR="006C577F" w:rsidRPr="006C577F">
        <w:rPr>
          <w:rStyle w:val="libFootnotenumChar"/>
          <w:rtl/>
        </w:rPr>
        <w:t>(9)</w:t>
      </w:r>
      <w:r w:rsidRPr="00C9040A">
        <w:rPr>
          <w:rtl/>
          <w:lang w:bidi="fa-IR"/>
        </w:rPr>
        <w:t xml:space="preserve"> ، فَيُبَلِّغُهُ </w:t>
      </w:r>
      <w:r w:rsidR="006C577F" w:rsidRPr="006C577F">
        <w:rPr>
          <w:rStyle w:val="libFootnotenumChar"/>
          <w:rtl/>
        </w:rPr>
        <w:t>(10)</w:t>
      </w:r>
      <w:r w:rsidRPr="00C9040A">
        <w:rPr>
          <w:rtl/>
          <w:lang w:bidi="fa-IR"/>
        </w:rPr>
        <w:t xml:space="preserve"> اللهُ بِحُسْنِ خُلُقِهِ </w:t>
      </w:r>
      <w:r w:rsidR="006C577F" w:rsidRPr="006C577F">
        <w:rPr>
          <w:rStyle w:val="libFootnotenumChar"/>
          <w:rtl/>
        </w:rPr>
        <w:t>(11)</w:t>
      </w:r>
      <w:r w:rsidRPr="00C9040A">
        <w:rPr>
          <w:rtl/>
          <w:lang w:bidi="fa-IR"/>
        </w:rPr>
        <w:t xml:space="preserve"> دَرَجَةَ الصَّائِمِ الْقَائِمِ »</w:t>
      </w:r>
      <w:r>
        <w:rPr>
          <w:rtl/>
          <w:lang w:bidi="fa-IR"/>
        </w:rPr>
        <w:t>.</w:t>
      </w:r>
      <w:r w:rsidRPr="00C9040A">
        <w:rPr>
          <w:rtl/>
          <w:lang w:bidi="fa-IR"/>
        </w:rPr>
        <w:t xml:space="preserve"> </w:t>
      </w:r>
      <w:r w:rsidR="006C577F" w:rsidRPr="006C577F">
        <w:rPr>
          <w:rStyle w:val="libFootnotenumChar"/>
          <w:rtl/>
        </w:rPr>
        <w:t>(12)</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3B7F49" w:rsidTr="003B7F49">
        <w:tc>
          <w:tcPr>
            <w:tcW w:w="4006" w:type="dxa"/>
          </w:tcPr>
          <w:p w:rsidR="003B7F49" w:rsidRDefault="003B7F49" w:rsidP="004A4E41">
            <w:pPr>
              <w:pStyle w:val="libFootnote0"/>
              <w:rPr>
                <w:rtl/>
              </w:rPr>
            </w:pPr>
            <w:r>
              <w:rPr>
                <w:rtl/>
              </w:rPr>
              <w:t>(1).</w:t>
            </w:r>
            <w:r w:rsidRPr="00C9040A">
              <w:rPr>
                <w:rtl/>
              </w:rPr>
              <w:t xml:space="preserve"> في « ض ، بس » : « أعداه »</w:t>
            </w:r>
            <w:r>
              <w:rPr>
                <w:rtl/>
              </w:rPr>
              <w:t>.</w:t>
            </w:r>
          </w:p>
        </w:tc>
        <w:tc>
          <w:tcPr>
            <w:tcW w:w="4006" w:type="dxa"/>
          </w:tcPr>
          <w:p w:rsidR="003B7F49" w:rsidRDefault="003B7F49" w:rsidP="004A4E41">
            <w:pPr>
              <w:pStyle w:val="libFootnote0"/>
              <w:rPr>
                <w:rtl/>
              </w:rPr>
            </w:pPr>
            <w:r>
              <w:rPr>
                <w:rtl/>
              </w:rPr>
              <w:t xml:space="preserve">(2). </w:t>
            </w:r>
            <w:r w:rsidRPr="00C9040A">
              <w:rPr>
                <w:rtl/>
              </w:rPr>
              <w:t>في « بس » : « أعدائهم »</w:t>
            </w:r>
            <w:r>
              <w:rPr>
                <w:rtl/>
              </w:rPr>
              <w:t>.</w:t>
            </w:r>
          </w:p>
        </w:tc>
      </w:tr>
    </w:tbl>
    <w:p w:rsidR="008A74EB" w:rsidRPr="004A4E41" w:rsidRDefault="006C577F" w:rsidP="004A4E41">
      <w:pPr>
        <w:pStyle w:val="libFootnote0"/>
        <w:rPr>
          <w:rStyle w:val="libFootnote0Char"/>
          <w:rtl/>
        </w:rPr>
      </w:pPr>
      <w:r>
        <w:rPr>
          <w:rtl/>
        </w:rPr>
        <w:t>(3).</w:t>
      </w:r>
      <w:r w:rsidR="008A74EB" w:rsidRPr="00C9040A">
        <w:rPr>
          <w:rtl/>
        </w:rPr>
        <w:t xml:space="preserve"> </w:t>
      </w:r>
      <w:r w:rsidR="008A74EB" w:rsidRPr="00993B55">
        <w:rPr>
          <w:rStyle w:val="libFootnoteBoldChar"/>
          <w:rtl/>
        </w:rPr>
        <w:t>الوافي</w:t>
      </w:r>
      <w:r w:rsidR="008A74EB" w:rsidRPr="00C9040A">
        <w:rPr>
          <w:rtl/>
        </w:rPr>
        <w:t xml:space="preserve"> ، ج 4 ، ص 422 ، ح 2242 ؛ </w:t>
      </w:r>
      <w:r w:rsidR="008A74EB" w:rsidRPr="00993B55">
        <w:rPr>
          <w:rStyle w:val="libFootnoteBoldChar"/>
          <w:rtl/>
        </w:rPr>
        <w:t>البحار</w:t>
      </w:r>
      <w:r w:rsidR="008A74EB" w:rsidRPr="00C9040A">
        <w:rPr>
          <w:rtl/>
        </w:rPr>
        <w:t xml:space="preserve"> ، ج 71 ، ص 378 ، ح 11.</w:t>
      </w:r>
    </w:p>
    <w:tbl>
      <w:tblPr>
        <w:tblStyle w:val="TableGrid"/>
        <w:bidiVisual/>
        <w:tblW w:w="0" w:type="auto"/>
        <w:tblLook w:val="04A0" w:firstRow="1" w:lastRow="0" w:firstColumn="1" w:lastColumn="0" w:noHBand="0" w:noVBand="1"/>
      </w:tblPr>
      <w:tblGrid>
        <w:gridCol w:w="4006"/>
        <w:gridCol w:w="4006"/>
      </w:tblGrid>
      <w:tr w:rsidR="003B7F49" w:rsidTr="003B7F49">
        <w:tc>
          <w:tcPr>
            <w:tcW w:w="4006" w:type="dxa"/>
          </w:tcPr>
          <w:p w:rsidR="003B7F49" w:rsidRDefault="003B7F49" w:rsidP="004A4E41">
            <w:pPr>
              <w:pStyle w:val="libFootnote0"/>
              <w:rPr>
                <w:rtl/>
                <w:lang w:bidi="fa-IR"/>
              </w:rPr>
            </w:pPr>
            <w:r>
              <w:rPr>
                <w:rtl/>
              </w:rPr>
              <w:t>(4).</w:t>
            </w:r>
            <w:r w:rsidRPr="00C9040A">
              <w:rPr>
                <w:rtl/>
              </w:rPr>
              <w:t xml:space="preserve"> في « بر » والوافي </w:t>
            </w:r>
            <w:r>
              <w:rPr>
                <w:rtl/>
              </w:rPr>
              <w:t>: -</w:t>
            </w:r>
            <w:r w:rsidRPr="00C9040A">
              <w:rPr>
                <w:rtl/>
              </w:rPr>
              <w:t xml:space="preserve"> « </w:t>
            </w:r>
            <w:r>
              <w:rPr>
                <w:rtl/>
              </w:rPr>
              <w:t>و ».</w:t>
            </w:r>
          </w:p>
        </w:tc>
        <w:tc>
          <w:tcPr>
            <w:tcW w:w="4006" w:type="dxa"/>
          </w:tcPr>
          <w:p w:rsidR="003B7F49" w:rsidRDefault="003B7F49" w:rsidP="004A4E41">
            <w:pPr>
              <w:pStyle w:val="libFootnote0"/>
              <w:rPr>
                <w:rtl/>
                <w:lang w:bidi="fa-IR"/>
              </w:rPr>
            </w:pPr>
            <w:r>
              <w:rPr>
                <w:rtl/>
              </w:rPr>
              <w:t>(5).</w:t>
            </w:r>
            <w:r w:rsidRPr="00C9040A">
              <w:rPr>
                <w:rtl/>
              </w:rPr>
              <w:t xml:space="preserve"> في « ز » : « أولياء الله »</w:t>
            </w:r>
            <w:r>
              <w:rPr>
                <w:rtl/>
              </w:rPr>
              <w:t>.</w:t>
            </w:r>
          </w:p>
        </w:tc>
      </w:tr>
    </w:tbl>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الوافي</w:t>
      </w:r>
      <w:r w:rsidR="008A74EB" w:rsidRPr="00C9040A">
        <w:rPr>
          <w:rtl/>
        </w:rPr>
        <w:t xml:space="preserve"> ، ج 4 ، ص 422 ، ح 2243 ؛ </w:t>
      </w:r>
      <w:r w:rsidR="008A74EB" w:rsidRPr="00993B55">
        <w:rPr>
          <w:rStyle w:val="libFootnoteBoldChar"/>
          <w:rtl/>
        </w:rPr>
        <w:t>البحار</w:t>
      </w:r>
      <w:r w:rsidR="008A74EB" w:rsidRPr="00C9040A">
        <w:rPr>
          <w:rtl/>
        </w:rPr>
        <w:t xml:space="preserve"> ، ج 71 ، ص 378 ، ذيل ح 11.</w:t>
      </w:r>
    </w:p>
    <w:p w:rsidR="008A74EB" w:rsidRPr="00C9040A" w:rsidRDefault="006C577F" w:rsidP="004A4E41">
      <w:pPr>
        <w:pStyle w:val="libFootnote0"/>
        <w:rPr>
          <w:rtl/>
          <w:lang w:bidi="fa-IR"/>
        </w:rPr>
      </w:pPr>
      <w:r>
        <w:rPr>
          <w:rtl/>
        </w:rPr>
        <w:t>(7).</w:t>
      </w:r>
      <w:r w:rsidR="008A74EB" w:rsidRPr="00C9040A">
        <w:rPr>
          <w:rtl/>
        </w:rPr>
        <w:t xml:space="preserve"> في الوسائل : « كان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اليد العليا » : ال</w:t>
      </w:r>
      <w:r w:rsidR="00E02A75">
        <w:rPr>
          <w:rFonts w:hint="cs"/>
          <w:rtl/>
        </w:rPr>
        <w:t>ـ</w:t>
      </w:r>
      <w:r w:rsidR="008A74EB" w:rsidRPr="00C9040A">
        <w:rPr>
          <w:rtl/>
        </w:rPr>
        <w:t xml:space="preserve">مُعطِية. </w:t>
      </w:r>
      <w:r w:rsidR="008A74EB" w:rsidRPr="00993B55">
        <w:rPr>
          <w:rStyle w:val="libFootnoteBoldChar"/>
          <w:rtl/>
        </w:rPr>
        <w:t>النهاية</w:t>
      </w:r>
      <w:r w:rsidR="008A74EB" w:rsidRPr="00C9040A">
        <w:rPr>
          <w:rtl/>
        </w:rPr>
        <w:t xml:space="preserve"> ، ج 5 ، ص 293 ( يد )</w:t>
      </w:r>
      <w:r w:rsidR="008A74EB">
        <w:rPr>
          <w:rtl/>
        </w:rPr>
        <w:t>.</w:t>
      </w:r>
      <w:r w:rsidR="008A74EB" w:rsidRPr="00C9040A">
        <w:rPr>
          <w:rtl/>
        </w:rPr>
        <w:t xml:space="preserve"> وفي الوافي : « </w:t>
      </w:r>
      <w:r w:rsidR="00AC2E2F">
        <w:rPr>
          <w:rtl/>
        </w:rPr>
        <w:t>أي كنت نفّاعاً له يصل نفعك إليه</w:t>
      </w:r>
      <w:r w:rsidR="008A74EB" w:rsidRPr="00C9040A">
        <w:rPr>
          <w:rtl/>
        </w:rPr>
        <w:t>»</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 العليا بالضمّ مؤنّث الأعلى ، وهي خبر « كانت » </w:t>
      </w:r>
      <w:r w:rsidR="008A74EB">
        <w:rPr>
          <w:rtl/>
        </w:rPr>
        <w:t>و «</w:t>
      </w:r>
      <w:r w:rsidR="008A74EB" w:rsidRPr="00C9040A">
        <w:rPr>
          <w:rtl/>
        </w:rPr>
        <w:t xml:space="preserve"> عليه » متعلّق بالعليا ، والتعريف يفيد الحصر ، « فافعل » أي الإحسان أو المخالطة ، والأوّل أظهر ، أي كن أنت المحسن عليه أو أكثر إحساناً لا بالعكس. ويحتمل كون العليا صفة لليد ، </w:t>
      </w:r>
      <w:r w:rsidR="008A74EB">
        <w:rPr>
          <w:rtl/>
        </w:rPr>
        <w:t>و «</w:t>
      </w:r>
      <w:r w:rsidR="008A74EB" w:rsidRPr="00C9040A">
        <w:rPr>
          <w:rtl/>
        </w:rPr>
        <w:t xml:space="preserve"> عليه » خبر « كانت » ، أي يدك المعطية ثابتة أو مفيضة أو مشرفة عليه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هكذا في النسخ التي قوبلت والوافي والوسائل والبحار. وفي المطبوع : « حسن خلق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 ص » : « يبلّغه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في « ج ، ز ، ص ، ف » وحاشية « د » والوسائل والبحار والزهد : « بخلقه » بدل « بحسن خلقه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w:t>
      </w:r>
      <w:r w:rsidR="008A74EB" w:rsidRPr="00993B55">
        <w:rPr>
          <w:rStyle w:val="libFootnoteBoldChar"/>
          <w:rtl/>
        </w:rPr>
        <w:t>الزهد</w:t>
      </w:r>
      <w:r w:rsidR="008A74EB" w:rsidRPr="00C9040A">
        <w:rPr>
          <w:rtl/>
        </w:rPr>
        <w:t xml:space="preserve"> ، ص 90 ، ح 65 ، عن حمّاد بن عيسى. وفي </w:t>
      </w:r>
      <w:r w:rsidR="008A74EB" w:rsidRPr="00993B55">
        <w:rPr>
          <w:rStyle w:val="libFootnoteBoldChar"/>
          <w:rtl/>
        </w:rPr>
        <w:t>الكافي</w:t>
      </w:r>
      <w:r w:rsidR="008A74EB" w:rsidRPr="00C9040A">
        <w:rPr>
          <w:rtl/>
        </w:rPr>
        <w:t xml:space="preserve"> ، كتاب العشرة ، باب حسن المعاشرة ، ح 3603 ؛ وباب حسن الصحابة وحقّ الصاحب</w:t>
      </w:r>
      <w:r w:rsidR="008A74EB">
        <w:rPr>
          <w:rtl/>
        </w:rPr>
        <w:t xml:space="preserve"> ..</w:t>
      </w:r>
      <w:r w:rsidR="008A74EB" w:rsidRPr="00C9040A">
        <w:rPr>
          <w:rtl/>
        </w:rPr>
        <w:t>. ، ح 3775 ؛ و</w:t>
      </w:r>
      <w:r w:rsidR="008A74EB" w:rsidRPr="00993B55">
        <w:rPr>
          <w:rStyle w:val="libFootnoteBoldChar"/>
          <w:rtl/>
        </w:rPr>
        <w:t>المحاسن</w:t>
      </w:r>
      <w:r w:rsidR="008A74EB" w:rsidRPr="00C9040A">
        <w:rPr>
          <w:rtl/>
        </w:rPr>
        <w:t xml:space="preserve"> ، ص 358 ، كتاب السفر ، ح 69 ؛ و</w:t>
      </w:r>
      <w:r w:rsidR="008A74EB" w:rsidRPr="00993B55">
        <w:rPr>
          <w:rStyle w:val="libFootnoteBoldChar"/>
          <w:rtl/>
        </w:rPr>
        <w:t>الفقيه</w:t>
      </w:r>
      <w:r w:rsidR="008A74EB" w:rsidRPr="00C9040A">
        <w:rPr>
          <w:rtl/>
        </w:rPr>
        <w:t xml:space="preserve"> ، ج 2 ، ص 275 ، ح 2427 ، بسند آخر عن أبي جعفر </w:t>
      </w:r>
      <w:r w:rsidR="00117575" w:rsidRPr="00117575">
        <w:rPr>
          <w:rStyle w:val="libFootnoteAlaemChar"/>
          <w:rtl/>
        </w:rPr>
        <w:t xml:space="preserve">عليه‌السلام </w:t>
      </w:r>
      <w:r w:rsidR="008A74EB" w:rsidRPr="00C9040A">
        <w:rPr>
          <w:rtl/>
        </w:rPr>
        <w:t xml:space="preserve">، مع اختلاف. </w:t>
      </w:r>
      <w:r w:rsidR="008A74EB" w:rsidRPr="00993B55">
        <w:rPr>
          <w:rStyle w:val="libFootnoteBoldChar"/>
          <w:rtl/>
        </w:rPr>
        <w:t>تحف العقول</w:t>
      </w:r>
      <w:r w:rsidR="008A74EB" w:rsidRPr="00C9040A">
        <w:rPr>
          <w:rtl/>
        </w:rPr>
        <w:t xml:space="preserve"> ، ص 395 ، ضمن وصيّة الإمام موسى بن جعفر </w:t>
      </w:r>
      <w:r w:rsidR="00117575" w:rsidRPr="00117575">
        <w:rPr>
          <w:rStyle w:val="libFootnoteAlaemChar"/>
          <w:rtl/>
        </w:rPr>
        <w:t>عليهما‌السلام</w:t>
      </w:r>
      <w:r w:rsidR="008A74EB" w:rsidRPr="00C9040A">
        <w:rPr>
          <w:rtl/>
        </w:rPr>
        <w:t xml:space="preserve"> لهشام ، مع اختلاف يسير ، وفي كلّ المصادر </w:t>
      </w:r>
      <w:r w:rsidR="00E02A75">
        <w:rPr>
          <w:rtl/>
        </w:rPr>
        <w:t>إل</w:t>
      </w:r>
      <w:r w:rsidR="00E02A75">
        <w:rPr>
          <w:rFonts w:hint="cs"/>
          <w:rtl/>
        </w:rPr>
        <w:t>ّ</w:t>
      </w:r>
      <w:r w:rsidR="00E02A75">
        <w:rPr>
          <w:rtl/>
        </w:rPr>
        <w:t>ا</w:t>
      </w:r>
      <w:r w:rsidR="008A74EB" w:rsidRPr="008751FE">
        <w:rPr>
          <w:rFonts w:hint="cs"/>
          <w:rtl/>
        </w:rPr>
        <w:t xml:space="preserve"> </w:t>
      </w:r>
      <w:r w:rsidR="008A74EB" w:rsidRPr="00993B55">
        <w:rPr>
          <w:rStyle w:val="libFootnoteBoldChar"/>
          <w:rtl/>
        </w:rPr>
        <w:t>الزهد</w:t>
      </w:r>
      <w:r w:rsidR="008A74EB" w:rsidRPr="00C9040A">
        <w:rPr>
          <w:rtl/>
        </w:rPr>
        <w:t xml:space="preserve"> إلى قوله : « كانت يدك العليا عليه فافعل »</w:t>
      </w:r>
      <w:r w:rsidR="00E02A75">
        <w:rPr>
          <w:rFonts w:hint="cs"/>
          <w:rtl/>
        </w:rPr>
        <w:t>.</w:t>
      </w:r>
      <w:r w:rsidR="008A74EB" w:rsidRPr="00993B55">
        <w:rPr>
          <w:rStyle w:val="libFootnoteBoldChar"/>
          <w:rtl/>
        </w:rPr>
        <w:t>الوافي</w:t>
      </w:r>
      <w:r w:rsidR="008A74EB" w:rsidRPr="00C9040A">
        <w:rPr>
          <w:rtl/>
        </w:rPr>
        <w:t xml:space="preserve"> ، ج 4 ، ص 423 ، ح 2244 ؛ </w:t>
      </w:r>
      <w:r w:rsidR="008A74EB" w:rsidRPr="00993B55">
        <w:rPr>
          <w:rStyle w:val="libFootnoteBoldChar"/>
          <w:rtl/>
        </w:rPr>
        <w:t>الوسائل</w:t>
      </w:r>
      <w:r w:rsidR="008A74EB" w:rsidRPr="00C9040A">
        <w:rPr>
          <w:rtl/>
        </w:rPr>
        <w:t xml:space="preserve"> ، ج 12 ، ص 149 ، ح 15910 ؛ </w:t>
      </w:r>
      <w:r w:rsidR="008A74EB" w:rsidRPr="00993B55">
        <w:rPr>
          <w:rStyle w:val="libFootnoteBoldChar"/>
          <w:rtl/>
        </w:rPr>
        <w:t>البحار</w:t>
      </w:r>
      <w:r w:rsidR="008A74EB" w:rsidRPr="00C9040A">
        <w:rPr>
          <w:rtl/>
        </w:rPr>
        <w:t xml:space="preserve"> ، ج 71 ، ص 378 ، ح 12.</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8751FE">
        <w:rPr>
          <w:rtl/>
        </w:rPr>
        <w:t>1759</w:t>
      </w:r>
      <w:r w:rsidRPr="00261CB0">
        <w:rPr>
          <w:rStyle w:val="libBold2Char"/>
          <w:rtl/>
        </w:rPr>
        <w:t xml:space="preserve"> / 15.</w:t>
      </w:r>
      <w:r w:rsidRPr="00C9040A">
        <w:rPr>
          <w:rtl/>
          <w:lang w:bidi="fa-IR"/>
        </w:rPr>
        <w:t xml:space="preserve"> عِدَّةٌ مِنْ أَصْحَابِنَا ، عَنْ أَحْمَدَ بْنِ أَبِي عَبْدِ اللهِ ، عَنْ أَبِيهِ ، عَنْ حَمَّادِ بْنِ عِيسى ، عَنْ حَرِيزِ بْنِ عَبْدِ اللهِ ، عَنْ بَحْرٍ السَّقَّاءِ </w:t>
      </w:r>
      <w:r w:rsidR="006C577F" w:rsidRPr="006C577F">
        <w:rPr>
          <w:rStyle w:val="libFootnotenumChar"/>
          <w:rtl/>
        </w:rPr>
        <w:t>(1)</w:t>
      </w:r>
      <w:r w:rsidRPr="00C9040A">
        <w:rPr>
          <w:rtl/>
          <w:lang w:bidi="fa-IR"/>
        </w:rPr>
        <w:t>، قَالَ :</w:t>
      </w:r>
    </w:p>
    <w:p w:rsidR="008A74EB" w:rsidRPr="00C9040A" w:rsidRDefault="008A74EB" w:rsidP="008A74EB">
      <w:pPr>
        <w:pStyle w:val="libNormal"/>
        <w:rPr>
          <w:rtl/>
          <w:lang w:bidi="fa-IR"/>
        </w:rPr>
      </w:pPr>
      <w:r w:rsidRPr="00C9040A">
        <w:rPr>
          <w:rtl/>
          <w:lang w:bidi="fa-IR"/>
        </w:rPr>
        <w:t xml:space="preserve">قَالَ لِي </w:t>
      </w:r>
      <w:r w:rsidR="006C577F" w:rsidRPr="006C577F">
        <w:rPr>
          <w:rStyle w:val="libFootnotenumChar"/>
          <w:rtl/>
        </w:rPr>
        <w:t>(2)</w:t>
      </w:r>
      <w:r w:rsidRPr="00C9040A">
        <w:rPr>
          <w:rtl/>
          <w:lang w:bidi="fa-IR"/>
        </w:rPr>
        <w:t xml:space="preserve"> أَبُو عَبْدِ اللهِ </w:t>
      </w:r>
      <w:r w:rsidRPr="0003660B">
        <w:rPr>
          <w:rStyle w:val="libAlaemChar"/>
          <w:rtl/>
        </w:rPr>
        <w:t>عليه‌السلام</w:t>
      </w:r>
      <w:r w:rsidRPr="00C9040A">
        <w:rPr>
          <w:rtl/>
          <w:lang w:bidi="fa-IR"/>
        </w:rPr>
        <w:t xml:space="preserve"> : « يَا بَحْرُ ، حُسْنُ الْخُلُقِ يُسْرٌ </w:t>
      </w:r>
      <w:r w:rsidR="006C577F" w:rsidRPr="006C577F">
        <w:rPr>
          <w:rStyle w:val="libFootnotenumChar"/>
          <w:rtl/>
        </w:rPr>
        <w:t>(3)</w:t>
      </w:r>
      <w:r w:rsidRPr="00C9040A">
        <w:rPr>
          <w:rtl/>
          <w:lang w:bidi="fa-IR"/>
        </w:rPr>
        <w:t xml:space="preserve"> »</w:t>
      </w:r>
      <w:r>
        <w:rPr>
          <w:rtl/>
          <w:lang w:bidi="fa-IR"/>
        </w:rPr>
        <w:t>.</w:t>
      </w:r>
    </w:p>
    <w:p w:rsidR="008A74EB" w:rsidRPr="00C9040A" w:rsidRDefault="008A74EB" w:rsidP="008A74EB">
      <w:pPr>
        <w:pStyle w:val="libNormal"/>
        <w:rPr>
          <w:rtl/>
          <w:lang w:bidi="fa-IR"/>
        </w:rPr>
      </w:pPr>
      <w:r>
        <w:rPr>
          <w:rtl/>
          <w:lang w:bidi="fa-IR"/>
        </w:rPr>
        <w:t>ثُمَّ قَالَ : « أَ</w:t>
      </w:r>
      <w:r w:rsidRPr="00C9040A">
        <w:rPr>
          <w:rtl/>
          <w:lang w:bidi="fa-IR"/>
        </w:rPr>
        <w:t>لَا</w:t>
      </w:r>
      <w:r>
        <w:rPr>
          <w:rFonts w:hint="cs"/>
          <w:rtl/>
          <w:lang w:bidi="fa-IR"/>
        </w:rPr>
        <w:t xml:space="preserve"> </w:t>
      </w:r>
      <w:r w:rsidRPr="00C9040A">
        <w:rPr>
          <w:rtl/>
          <w:lang w:bidi="fa-IR"/>
        </w:rPr>
        <w:t>أُخْبِرُكَ بِحَدِيثٍ مَا هُوَ فِي يَدَيْ أَحَدٍ مِنْ أَهْلِ الْمَدِينَةِ</w:t>
      </w:r>
      <w:r>
        <w:rPr>
          <w:rtl/>
          <w:lang w:bidi="fa-IR"/>
        </w:rPr>
        <w:t>؟</w:t>
      </w:r>
      <w:r w:rsidRPr="00C9040A">
        <w:rPr>
          <w:rtl/>
          <w:lang w:bidi="fa-IR"/>
        </w:rPr>
        <w:t xml:space="preserve"> » قُلْتُ : بَلى ، قَالَ : « بَيْنَا </w:t>
      </w:r>
      <w:r w:rsidR="006C577F" w:rsidRPr="006C577F">
        <w:rPr>
          <w:rStyle w:val="libFootnotenumChar"/>
          <w:rtl/>
        </w:rPr>
        <w:t>(4)</w:t>
      </w:r>
      <w:r w:rsidRPr="00C9040A">
        <w:rPr>
          <w:rtl/>
          <w:lang w:bidi="fa-IR"/>
        </w:rPr>
        <w:t xml:space="preserve"> رَسُولُ اللهِ </w:t>
      </w:r>
      <w:r w:rsidR="004A4E41" w:rsidRPr="004A4E41">
        <w:rPr>
          <w:rStyle w:val="libAlaemChar"/>
          <w:rtl/>
        </w:rPr>
        <w:t>صلى‌الله‌عليه‌وآله</w:t>
      </w:r>
      <w:r w:rsidRPr="00C9040A">
        <w:rPr>
          <w:rtl/>
          <w:lang w:bidi="fa-IR"/>
        </w:rPr>
        <w:t xml:space="preserve"> ذَاتَ يَوْمٍ جَالِسٌ فِي الْمَسْجِدِ إِذْ جَاءَتْ جَارِيَةٌ لِبَعْضِ الْأَنْصَارِ وَهُوَ قَائِمٌ ، فَأَخَذَتْ بِطَرَفِ ثَوْبِهِ ، فَقَامَ لَهَا النَّبِيُّ </w:t>
      </w:r>
      <w:r w:rsidR="004A4E41" w:rsidRPr="004A4E41">
        <w:rPr>
          <w:rStyle w:val="libAlaemChar"/>
          <w:rtl/>
        </w:rPr>
        <w:t>صلى‌الله‌عليه‌وآله</w:t>
      </w:r>
      <w:r w:rsidRPr="00C9040A">
        <w:rPr>
          <w:rtl/>
          <w:lang w:bidi="fa-IR"/>
        </w:rPr>
        <w:t xml:space="preserve"> ، فَلَمْ تَقُلْ </w:t>
      </w:r>
      <w:r w:rsidR="006C577F" w:rsidRPr="006C577F">
        <w:rPr>
          <w:rStyle w:val="libFootnotenumChar"/>
          <w:rtl/>
        </w:rPr>
        <w:t>(5)</w:t>
      </w:r>
      <w:r w:rsidRPr="00C9040A">
        <w:rPr>
          <w:rtl/>
          <w:lang w:bidi="fa-IR"/>
        </w:rPr>
        <w:t xml:space="preserve"> شَيْئاً ، وَلَمْ يَقُلْ لَهَا النَّبِيُّ </w:t>
      </w:r>
      <w:r w:rsidR="004A4E41" w:rsidRPr="004A4E41">
        <w:rPr>
          <w:rStyle w:val="libAlaemChar"/>
          <w:rtl/>
        </w:rPr>
        <w:t>صلى‌الله‌عليه‌وآله</w:t>
      </w:r>
      <w:r w:rsidRPr="00C9040A">
        <w:rPr>
          <w:rtl/>
          <w:lang w:bidi="fa-IR"/>
        </w:rPr>
        <w:t xml:space="preserve"> شَيْئاً حَتّى فَعَلَتْ ذلِكَ ثَلَاثَ مَرَّاتٍ </w:t>
      </w:r>
      <w:r w:rsidR="006C577F" w:rsidRPr="006C577F">
        <w:rPr>
          <w:rStyle w:val="libFootnotenumChar"/>
          <w:rtl/>
        </w:rPr>
        <w:t>(6)</w:t>
      </w:r>
      <w:r w:rsidRPr="005B567D">
        <w:rPr>
          <w:rStyle w:val="libFootnotenumChar"/>
          <w:rtl/>
        </w:rPr>
        <w:t xml:space="preserve"> </w:t>
      </w:r>
      <w:r w:rsidRPr="00C9040A">
        <w:rPr>
          <w:rtl/>
          <w:lang w:bidi="fa-IR"/>
        </w:rPr>
        <w:t xml:space="preserve">، فَقَامَ لَهَا النَّبِيُّ </w:t>
      </w:r>
      <w:r w:rsidR="004A4E41" w:rsidRPr="004A4E41">
        <w:rPr>
          <w:rStyle w:val="libAlaemChar"/>
          <w:rtl/>
        </w:rPr>
        <w:t>صلى‌الله‌عليه‌وآله</w:t>
      </w:r>
      <w:r w:rsidRPr="00C9040A">
        <w:rPr>
          <w:rtl/>
          <w:lang w:bidi="fa-IR"/>
        </w:rPr>
        <w:t xml:space="preserve"> فِي الرَّابِعَةِ</w:t>
      </w:r>
      <w:r>
        <w:rPr>
          <w:rtl/>
          <w:lang w:bidi="fa-IR"/>
        </w:rPr>
        <w:t xml:space="preserve"> </w:t>
      </w:r>
      <w:r w:rsidR="0084262C">
        <w:rPr>
          <w:rtl/>
          <w:lang w:bidi="fa-IR"/>
        </w:rPr>
        <w:t>-</w:t>
      </w:r>
      <w:r>
        <w:rPr>
          <w:rtl/>
          <w:lang w:bidi="fa-IR"/>
        </w:rPr>
        <w:t xml:space="preserve"> </w:t>
      </w:r>
      <w:r w:rsidRPr="00C9040A">
        <w:rPr>
          <w:rtl/>
          <w:lang w:bidi="fa-IR"/>
        </w:rPr>
        <w:t>وَهِيَ خَلْفَهُ</w:t>
      </w:r>
      <w:r>
        <w:rPr>
          <w:rtl/>
          <w:lang w:bidi="fa-IR"/>
        </w:rPr>
        <w:t xml:space="preserve"> </w:t>
      </w:r>
      <w:r w:rsidR="0084262C">
        <w:rPr>
          <w:rtl/>
          <w:lang w:bidi="fa-IR"/>
        </w:rPr>
        <w:t>-</w:t>
      </w:r>
      <w:r>
        <w:rPr>
          <w:rtl/>
          <w:lang w:bidi="fa-IR"/>
        </w:rPr>
        <w:t xml:space="preserve"> </w:t>
      </w:r>
      <w:r w:rsidRPr="00C9040A">
        <w:rPr>
          <w:rtl/>
          <w:lang w:bidi="fa-IR"/>
        </w:rPr>
        <w:t xml:space="preserve">فَأَخَذَتْ هُدْبَةً </w:t>
      </w:r>
      <w:r w:rsidR="006C577F" w:rsidRPr="006C577F">
        <w:rPr>
          <w:rStyle w:val="libFootnotenumChar"/>
          <w:rtl/>
        </w:rPr>
        <w:t>(7)</w:t>
      </w:r>
      <w:r w:rsidRPr="00C9040A">
        <w:rPr>
          <w:rtl/>
          <w:lang w:bidi="fa-IR"/>
        </w:rPr>
        <w:t xml:space="preserve"> مِنْ ثَوْبِهِ ، ثُمَّ رَجَعَتْ.</w:t>
      </w:r>
    </w:p>
    <w:p w:rsidR="008A74EB" w:rsidRPr="00C9040A" w:rsidRDefault="008A74EB" w:rsidP="008A74EB">
      <w:pPr>
        <w:pStyle w:val="libNormal"/>
        <w:rPr>
          <w:rtl/>
          <w:lang w:bidi="fa-IR"/>
        </w:rPr>
      </w:pPr>
      <w:r w:rsidRPr="00C9040A">
        <w:rPr>
          <w:rtl/>
          <w:lang w:bidi="fa-IR"/>
        </w:rPr>
        <w:t xml:space="preserve">فَقَالَ لَهَا النَّاسُ : فَعَلَ اللهُ بِكِ وَفَعَلَ ، حَبَسْتِ رَسُولَ اللهِ </w:t>
      </w:r>
      <w:r w:rsidR="004A4E41" w:rsidRPr="004A4E41">
        <w:rPr>
          <w:rStyle w:val="libAlaemChar"/>
          <w:rtl/>
        </w:rPr>
        <w:t>صلى‌الله‌عليه‌وآله</w:t>
      </w:r>
      <w:r w:rsidRPr="00C9040A">
        <w:rPr>
          <w:rtl/>
          <w:lang w:bidi="fa-IR"/>
        </w:rPr>
        <w:t xml:space="preserve"> ثَلَاثَ مَرَّاتٍ لَا تَقُولِينَ لَهُ شَيْئاً ، وَلَا هُوَ يَقُولُ لَكِ شَيْئاً ، مَا </w:t>
      </w:r>
      <w:r w:rsidR="006C577F" w:rsidRPr="006C577F">
        <w:rPr>
          <w:rStyle w:val="libFootnotenumChar"/>
          <w:rtl/>
        </w:rPr>
        <w:t>(8)</w:t>
      </w:r>
      <w:r w:rsidRPr="00C9040A">
        <w:rPr>
          <w:rtl/>
          <w:lang w:bidi="fa-IR"/>
        </w:rPr>
        <w:t xml:space="preserve"> كَانَتْ </w:t>
      </w:r>
      <w:r w:rsidR="006C577F" w:rsidRPr="006C577F">
        <w:rPr>
          <w:rStyle w:val="libFootnotenumChar"/>
          <w:rtl/>
        </w:rPr>
        <w:t>(9)</w:t>
      </w:r>
      <w:r w:rsidRPr="00C9040A">
        <w:rPr>
          <w:rtl/>
          <w:lang w:bidi="fa-IR"/>
        </w:rPr>
        <w:t xml:space="preserve"> حَاجَتُكِ إِلَيْهِ</w:t>
      </w:r>
      <w:r>
        <w:rPr>
          <w:rtl/>
          <w:lang w:bidi="fa-IR"/>
        </w:rPr>
        <w:t>؟</w:t>
      </w:r>
      <w:r w:rsidRPr="00C9040A">
        <w:rPr>
          <w:rtl/>
          <w:lang w:bidi="fa-IR"/>
        </w:rPr>
        <w:t xml:space="preserve"> قَالَتْ </w:t>
      </w:r>
      <w:r w:rsidR="006C577F" w:rsidRPr="006C577F">
        <w:rPr>
          <w:rStyle w:val="libFootnotenumChar"/>
          <w:rtl/>
        </w:rPr>
        <w:t>(10)</w:t>
      </w:r>
      <w:r w:rsidRPr="00C9040A">
        <w:rPr>
          <w:rtl/>
          <w:lang w:bidi="fa-IR"/>
        </w:rPr>
        <w:t xml:space="preserve"> : إِنَّ لَنَا مَرِيضاً ، فَأَرْسَلَنِي أَهْلِي لِآخُذَ هُدْبَةً مِنْ ثَوْبِهِ لِيَسْتَشْفِيَ </w:t>
      </w:r>
      <w:r w:rsidR="006C577F" w:rsidRPr="006C577F">
        <w:rPr>
          <w:rStyle w:val="libFootnotenumChar"/>
          <w:rtl/>
        </w:rPr>
        <w:t>(11)</w:t>
      </w:r>
      <w:r w:rsidRPr="00C9040A">
        <w:rPr>
          <w:rtl/>
          <w:lang w:bidi="fa-IR"/>
        </w:rPr>
        <w:t xml:space="preserve"> بِهَا ، فَلَمَّا أَرَدْتُ‌</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روى الحسين بن سعيد في </w:t>
      </w:r>
      <w:r w:rsidR="008A74EB" w:rsidRPr="00993B55">
        <w:rPr>
          <w:rStyle w:val="libFootnoteBoldChar"/>
          <w:rtl/>
        </w:rPr>
        <w:t>الزهد</w:t>
      </w:r>
      <w:r w:rsidR="008A74EB" w:rsidRPr="00C9040A">
        <w:rPr>
          <w:rtl/>
        </w:rPr>
        <w:t xml:space="preserve"> ، ص 89 ، ح 63 ، عن حمّاد بن عيسى بن ربعي ، قال قال أبوعبدالله </w:t>
      </w:r>
      <w:r w:rsidR="00117575" w:rsidRPr="00117575">
        <w:rPr>
          <w:rStyle w:val="libFootnoteAlaemChar"/>
          <w:rtl/>
        </w:rPr>
        <w:t>عليه‌السلام</w:t>
      </w:r>
      <w:r w:rsidR="008A74EB" w:rsidRPr="00C9040A">
        <w:rPr>
          <w:rtl/>
        </w:rPr>
        <w:t xml:space="preserve"> ليحيى السقّاء : « يا يحيى إنّ الخلق الحسن يسر وإنّ الخلق السيّئ نكد »</w:t>
      </w:r>
      <w:r w:rsidR="008A74EB">
        <w:rPr>
          <w:rtl/>
        </w:rPr>
        <w:t>.</w:t>
      </w:r>
    </w:p>
    <w:p w:rsidR="008A74EB" w:rsidRPr="00C9040A" w:rsidRDefault="008A74EB" w:rsidP="004A4E41">
      <w:pPr>
        <w:pStyle w:val="libFootnote0"/>
        <w:rPr>
          <w:rtl/>
          <w:lang w:bidi="fa-IR"/>
        </w:rPr>
      </w:pPr>
      <w:r w:rsidRPr="00323A39">
        <w:rPr>
          <w:rtl/>
        </w:rPr>
        <w:t xml:space="preserve">والظاهر أنّ يحيى السقّاء في سند الزهد محرّف من بحر السقّاء ؛ فإنّا لم نجد ليحيى السقّاء ذكراً في ما تتبّعنا من الأسناد وكتب الرجال. وأمّا بحر السقّاء ، فهو مذكور في مصادرنا ومصادر العامّة الرجاليّة. راجع : </w:t>
      </w:r>
      <w:r w:rsidRPr="00993B55">
        <w:rPr>
          <w:rStyle w:val="libFootnoteBoldChar"/>
          <w:rtl/>
        </w:rPr>
        <w:t>رجال البرقي</w:t>
      </w:r>
      <w:r w:rsidRPr="00323A39">
        <w:rPr>
          <w:rtl/>
        </w:rPr>
        <w:t xml:space="preserve"> ، ص 40 ؛ </w:t>
      </w:r>
      <w:r w:rsidRPr="00993B55">
        <w:rPr>
          <w:rStyle w:val="libFootnoteBoldChar"/>
          <w:rtl/>
        </w:rPr>
        <w:t>رجال الطوسي</w:t>
      </w:r>
      <w:r w:rsidRPr="00323A39">
        <w:rPr>
          <w:rtl/>
        </w:rPr>
        <w:t xml:space="preserve"> ، ص 172 ، الرقم 2012 ؛ </w:t>
      </w:r>
      <w:r w:rsidRPr="00993B55">
        <w:rPr>
          <w:rStyle w:val="libFootnoteBoldChar"/>
          <w:rtl/>
        </w:rPr>
        <w:t>الجرح والتعديل</w:t>
      </w:r>
      <w:r w:rsidRPr="00323A39">
        <w:rPr>
          <w:rtl/>
        </w:rPr>
        <w:t xml:space="preserve"> ، ج 2 ، ص 339 ، الرقم 1655 ؛ </w:t>
      </w:r>
      <w:r w:rsidRPr="00993B55">
        <w:rPr>
          <w:rStyle w:val="libFootnoteBoldChar"/>
          <w:rtl/>
        </w:rPr>
        <w:t>الكامل في ضعفاء الرجال</w:t>
      </w:r>
      <w:r w:rsidRPr="00323A39">
        <w:rPr>
          <w:rtl/>
        </w:rPr>
        <w:t xml:space="preserve"> ، ج 2 ، ص 50 ، الرقم 287 ؛ </w:t>
      </w:r>
      <w:r w:rsidRPr="00993B55">
        <w:rPr>
          <w:rStyle w:val="libFootnoteBoldChar"/>
          <w:rtl/>
        </w:rPr>
        <w:t>تهذيب الكمال</w:t>
      </w:r>
      <w:r w:rsidRPr="00323A39">
        <w:rPr>
          <w:rtl/>
        </w:rPr>
        <w:t xml:space="preserve"> ، ج 2 ، ص 12 ، الرقم 639.</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ص » والوافي </w:t>
      </w:r>
      <w:r w:rsidR="008A74EB">
        <w:rPr>
          <w:rtl/>
        </w:rPr>
        <w:t xml:space="preserve">: </w:t>
      </w:r>
      <w:r w:rsidR="0084262C">
        <w:rPr>
          <w:rtl/>
        </w:rPr>
        <w:t>-</w:t>
      </w:r>
      <w:r w:rsidR="008A74EB" w:rsidRPr="00C9040A">
        <w:rPr>
          <w:rtl/>
        </w:rPr>
        <w:t xml:space="preserve"> « لي »</w:t>
      </w:r>
      <w:r w:rsidR="008A74EB">
        <w:rPr>
          <w:rtl/>
        </w:rPr>
        <w:t>.</w:t>
      </w:r>
    </w:p>
    <w:p w:rsidR="008A74EB" w:rsidRPr="004A4E41" w:rsidRDefault="006C577F" w:rsidP="004A4E41">
      <w:pPr>
        <w:pStyle w:val="libFootnote0"/>
        <w:rPr>
          <w:rStyle w:val="libFootnote0Char"/>
          <w:rtl/>
        </w:rPr>
      </w:pPr>
      <w:r>
        <w:rPr>
          <w:rtl/>
        </w:rPr>
        <w:t>(3).</w:t>
      </w:r>
      <w:r w:rsidR="008A74EB" w:rsidRPr="00C9040A">
        <w:rPr>
          <w:rtl/>
        </w:rPr>
        <w:t xml:space="preserve"> في </w:t>
      </w:r>
      <w:r w:rsidR="008A74EB" w:rsidRPr="00993B55">
        <w:rPr>
          <w:rStyle w:val="libFootnoteBoldChar"/>
          <w:rtl/>
        </w:rPr>
        <w:t>مرآة العقول</w:t>
      </w:r>
      <w:r w:rsidR="008A74EB" w:rsidRPr="00C9040A">
        <w:rPr>
          <w:rtl/>
        </w:rPr>
        <w:t xml:space="preserve"> : « يمكن أن يقرأ يسر بصيغة المضارع ، أي يصير سبباً لسرور صاحبه ، أو الناس ، أو الأعمّ »</w:t>
      </w:r>
      <w:r w:rsidR="008A74EB">
        <w:rPr>
          <w:rtl/>
        </w:rPr>
        <w:t>.</w:t>
      </w:r>
    </w:p>
    <w:tbl>
      <w:tblPr>
        <w:tblStyle w:val="TableGrid"/>
        <w:bidiVisual/>
        <w:tblW w:w="0" w:type="auto"/>
        <w:tblLook w:val="04A0" w:firstRow="1" w:lastRow="0" w:firstColumn="1" w:lastColumn="0" w:noHBand="0" w:noVBand="1"/>
      </w:tblPr>
      <w:tblGrid>
        <w:gridCol w:w="4006"/>
        <w:gridCol w:w="4006"/>
      </w:tblGrid>
      <w:tr w:rsidR="001A5012" w:rsidTr="001A5012">
        <w:tc>
          <w:tcPr>
            <w:tcW w:w="4006" w:type="dxa"/>
          </w:tcPr>
          <w:p w:rsidR="001A5012" w:rsidRDefault="001A5012" w:rsidP="004A4E41">
            <w:pPr>
              <w:pStyle w:val="libFootnote0"/>
              <w:rPr>
                <w:rtl/>
              </w:rPr>
            </w:pPr>
            <w:r>
              <w:rPr>
                <w:rtl/>
              </w:rPr>
              <w:t>(4).</w:t>
            </w:r>
            <w:r w:rsidRPr="00C9040A">
              <w:rPr>
                <w:rtl/>
              </w:rPr>
              <w:t xml:space="preserve"> في البحار : « بينما »</w:t>
            </w:r>
            <w:r>
              <w:rPr>
                <w:rtl/>
              </w:rPr>
              <w:t>.</w:t>
            </w:r>
          </w:p>
        </w:tc>
        <w:tc>
          <w:tcPr>
            <w:tcW w:w="4006" w:type="dxa"/>
          </w:tcPr>
          <w:p w:rsidR="001A5012" w:rsidRDefault="001A5012" w:rsidP="004A4E41">
            <w:pPr>
              <w:pStyle w:val="libFootnote0"/>
              <w:rPr>
                <w:rtl/>
              </w:rPr>
            </w:pPr>
            <w:r>
              <w:rPr>
                <w:rtl/>
              </w:rPr>
              <w:t>(5).</w:t>
            </w:r>
            <w:r w:rsidRPr="00C9040A">
              <w:rPr>
                <w:rtl/>
              </w:rPr>
              <w:t xml:space="preserve"> في « ف » : + « له »</w:t>
            </w:r>
            <w:r>
              <w:rPr>
                <w:rtl/>
              </w:rPr>
              <w:t>.</w:t>
            </w:r>
          </w:p>
        </w:tc>
      </w:tr>
    </w:tbl>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بر » والوافي : + « لا تقول له شيئاً ولا يقول لها شيئاً »</w:t>
      </w:r>
      <w:r w:rsidR="008A74EB">
        <w:rPr>
          <w:rtl/>
        </w:rPr>
        <w:t>.</w:t>
      </w:r>
    </w:p>
    <w:p w:rsidR="008A74EB" w:rsidRPr="004A4E41" w:rsidRDefault="006C577F" w:rsidP="004A4E41">
      <w:pPr>
        <w:pStyle w:val="libFootnote0"/>
        <w:rPr>
          <w:rStyle w:val="libFootnote0Char"/>
          <w:rtl/>
        </w:rPr>
      </w:pPr>
      <w:r>
        <w:rPr>
          <w:rtl/>
        </w:rPr>
        <w:t>(7).</w:t>
      </w:r>
      <w:r w:rsidR="008A74EB" w:rsidRPr="00C9040A">
        <w:rPr>
          <w:rtl/>
        </w:rPr>
        <w:t xml:space="preserve"> هُدْب الثوب وهُدّاب الثوب : ما على أطرافه. </w:t>
      </w:r>
      <w:r w:rsidR="008A74EB" w:rsidRPr="00993B55">
        <w:rPr>
          <w:rStyle w:val="libFootnoteBoldChar"/>
          <w:rtl/>
        </w:rPr>
        <w:t>الصحاح</w:t>
      </w:r>
      <w:r w:rsidR="008A74EB" w:rsidRPr="00C9040A">
        <w:rPr>
          <w:rtl/>
        </w:rPr>
        <w:t xml:space="preserve"> ، ج 1 ، ص 237 ( هدب )</w:t>
      </w:r>
      <w:r w:rsidR="008A74EB">
        <w:rPr>
          <w:rtl/>
        </w:rPr>
        <w:t>.</w:t>
      </w:r>
    </w:p>
    <w:tbl>
      <w:tblPr>
        <w:tblStyle w:val="TableGrid"/>
        <w:bidiVisual/>
        <w:tblW w:w="0" w:type="auto"/>
        <w:tblLook w:val="04A0" w:firstRow="1" w:lastRow="0" w:firstColumn="1" w:lastColumn="0" w:noHBand="0" w:noVBand="1"/>
      </w:tblPr>
      <w:tblGrid>
        <w:gridCol w:w="4006"/>
        <w:gridCol w:w="4006"/>
      </w:tblGrid>
      <w:tr w:rsidR="0081478B" w:rsidTr="0081478B">
        <w:tc>
          <w:tcPr>
            <w:tcW w:w="4006" w:type="dxa"/>
          </w:tcPr>
          <w:p w:rsidR="0081478B" w:rsidRDefault="0081478B" w:rsidP="004A4E41">
            <w:pPr>
              <w:pStyle w:val="libFootnote0"/>
              <w:rPr>
                <w:rtl/>
              </w:rPr>
            </w:pPr>
            <w:r>
              <w:rPr>
                <w:rtl/>
              </w:rPr>
              <w:t>(8).</w:t>
            </w:r>
            <w:r w:rsidRPr="00C9040A">
              <w:rPr>
                <w:rtl/>
              </w:rPr>
              <w:t xml:space="preserve"> في « بر » والوافي : « فما »</w:t>
            </w:r>
            <w:r>
              <w:rPr>
                <w:rtl/>
              </w:rPr>
              <w:t>.</w:t>
            </w:r>
          </w:p>
        </w:tc>
        <w:tc>
          <w:tcPr>
            <w:tcW w:w="4006" w:type="dxa"/>
          </w:tcPr>
          <w:p w:rsidR="0081478B" w:rsidRDefault="0081478B" w:rsidP="004A4E41">
            <w:pPr>
              <w:pStyle w:val="libFootnote0"/>
              <w:rPr>
                <w:rtl/>
              </w:rPr>
            </w:pPr>
            <w:r>
              <w:rPr>
                <w:rtl/>
              </w:rPr>
              <w:t>(9).</w:t>
            </w:r>
            <w:r w:rsidRPr="00C9040A">
              <w:rPr>
                <w:rtl/>
              </w:rPr>
              <w:t xml:space="preserve"> في « ج » : « كان »</w:t>
            </w:r>
            <w:r>
              <w:rPr>
                <w:rtl/>
              </w:rPr>
              <w:t>.</w:t>
            </w:r>
          </w:p>
        </w:tc>
      </w:tr>
    </w:tbl>
    <w:p w:rsidR="008A74EB" w:rsidRPr="00C9040A" w:rsidRDefault="006C577F" w:rsidP="004A4E41">
      <w:pPr>
        <w:pStyle w:val="libFootnote0"/>
        <w:rPr>
          <w:rtl/>
          <w:lang w:bidi="fa-IR"/>
        </w:rPr>
      </w:pPr>
      <w:r>
        <w:rPr>
          <w:rtl/>
        </w:rPr>
        <w:t>(10).</w:t>
      </w:r>
      <w:r w:rsidR="008A74EB" w:rsidRPr="00C9040A">
        <w:rPr>
          <w:rtl/>
        </w:rPr>
        <w:t xml:space="preserve"> في الوافي : « فقالت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في « ب » : « تستشفي »</w:t>
      </w:r>
      <w:r w:rsidR="008A74EB">
        <w:rPr>
          <w:rtl/>
        </w:rPr>
        <w:t>.</w:t>
      </w:r>
      <w:r w:rsidR="008A74EB" w:rsidRPr="00C9040A">
        <w:rPr>
          <w:rtl/>
        </w:rPr>
        <w:t xml:space="preserve"> وفي « ج ، ص ، ف ، بر ، بس ، بف » والوافي ومرآة العقول : « يستشفي »</w:t>
      </w:r>
      <w:r w:rsidR="008A74EB">
        <w:rPr>
          <w:rtl/>
        </w:rPr>
        <w:t>.</w:t>
      </w:r>
      <w:r w:rsidR="008A74EB" w:rsidRPr="00C9040A">
        <w:rPr>
          <w:rtl/>
        </w:rPr>
        <w:t xml:space="preserve"> وفي « ز » : </w:t>
      </w:r>
      <w:r w:rsidR="00E61297">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أَخْذَهَا </w:t>
      </w:r>
      <w:r w:rsidR="006C577F" w:rsidRPr="006C577F">
        <w:rPr>
          <w:rStyle w:val="libFootnotenumChar"/>
          <w:rtl/>
        </w:rPr>
        <w:t>(1)</w:t>
      </w:r>
      <w:r w:rsidRPr="002712F0">
        <w:rPr>
          <w:rFonts w:hint="cs"/>
          <w:rtl/>
        </w:rPr>
        <w:t xml:space="preserve"> </w:t>
      </w:r>
      <w:r w:rsidRPr="00C9040A">
        <w:rPr>
          <w:rtl/>
          <w:lang w:bidi="fa-IR"/>
        </w:rPr>
        <w:t xml:space="preserve">رَآنِي ، فَقَامَ ، فَاسْتَحْيَيْتُ </w:t>
      </w:r>
      <w:r w:rsidR="006C577F" w:rsidRPr="006C577F">
        <w:rPr>
          <w:rStyle w:val="libFootnotenumChar"/>
          <w:rtl/>
        </w:rPr>
        <w:t>(2)</w:t>
      </w:r>
      <w:r w:rsidRPr="00C9040A">
        <w:rPr>
          <w:rtl/>
          <w:lang w:bidi="fa-IR"/>
        </w:rPr>
        <w:t xml:space="preserve"> أَنْ آخُذَهَا وَهُوَ يَرَانِي ، وَأَكْرَهُ أَنْ أَسْتَأْمِرَهُ فِي أَخْذِهَا ، فَأَخَذْتُهَا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0B6F6E">
        <w:rPr>
          <w:rtl/>
        </w:rPr>
        <w:t>1760</w:t>
      </w:r>
      <w:r w:rsidRPr="00261CB0">
        <w:rPr>
          <w:rStyle w:val="libBold2Char"/>
          <w:rtl/>
        </w:rPr>
        <w:t xml:space="preserve"> / 16.</w:t>
      </w:r>
      <w:r w:rsidRPr="00C9040A">
        <w:rPr>
          <w:rtl/>
          <w:lang w:bidi="fa-IR"/>
        </w:rPr>
        <w:t xml:space="preserve"> عَلِيُّ بْنُ إِبْرَاهِيمَ ، عَنْ أَبِيهِ ، عَنِ ابْنِ أَبِي عُمَيْرٍ ، عَنْ حَبِيبٍ الْخَثْعَمِيِّ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أَفَاضِلُكُمْ أَحْسَنُكُمْ أَخْلَاقاً ، الْمُوَطَّئُونَ أَكْنَافاً </w:t>
      </w:r>
      <w:r w:rsidR="006C577F" w:rsidRPr="006C577F">
        <w:rPr>
          <w:rStyle w:val="libFootnotenumChar"/>
          <w:rtl/>
        </w:rPr>
        <w:t>(4)</w:t>
      </w:r>
      <w:r w:rsidRPr="00C9040A">
        <w:rPr>
          <w:rtl/>
          <w:lang w:bidi="fa-IR"/>
        </w:rPr>
        <w:t xml:space="preserve"> ، الَّذِينَ يَأْلَفُونَ وَيُؤْلَفُونَ ، وَتُوَطَّأُ رِحَالُهُمْ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0B6F6E">
        <w:rPr>
          <w:rtl/>
        </w:rPr>
        <w:t>1761</w:t>
      </w:r>
      <w:r w:rsidRPr="00261CB0">
        <w:rPr>
          <w:rStyle w:val="libBold2Char"/>
          <w:rtl/>
        </w:rPr>
        <w:t xml:space="preserve"> / 17.</w:t>
      </w:r>
      <w:r w:rsidRPr="00C9040A">
        <w:rPr>
          <w:rtl/>
          <w:lang w:bidi="fa-IR"/>
        </w:rPr>
        <w:t xml:space="preserve"> عِدَّةٌ مِنْ أَصْحَابِنَا ، عَنْ سَهْلِ بْنِ زِيَادٍ ، عَنْ جَعْفَرِ بْنِ مُحَمَّدٍ الْأَشْعَرِيِّ ، عَنْ عَبْدِ اللهِ بْنِ مَيْمُونٍ الْقَدَّاحِ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أَمِيرُ الْمُؤْمِنِينَ </w:t>
      </w:r>
      <w:r w:rsidRPr="0003660B">
        <w:rPr>
          <w:rStyle w:val="libAlaemChar"/>
          <w:rtl/>
        </w:rPr>
        <w:t>عليه‌السلام</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 الْمُؤْمِنُ مَأْ لُوفٌ ، وَلَا خَيْرَ‌</w:t>
      </w:r>
    </w:p>
    <w:p w:rsidR="008A74EB" w:rsidRPr="00C9040A" w:rsidRDefault="008A74EB" w:rsidP="008A74EB">
      <w:pPr>
        <w:pStyle w:val="libLine"/>
        <w:rPr>
          <w:rtl/>
          <w:lang w:bidi="fa-IR"/>
        </w:rPr>
      </w:pPr>
      <w:r w:rsidRPr="00C9040A">
        <w:rPr>
          <w:rtl/>
          <w:lang w:bidi="fa-IR"/>
        </w:rPr>
        <w:t>__________________</w:t>
      </w:r>
    </w:p>
    <w:p w:rsidR="00D50EE9" w:rsidRDefault="00D50EE9" w:rsidP="004A4E41">
      <w:pPr>
        <w:pStyle w:val="libFootnote0"/>
        <w:rPr>
          <w:rtl/>
        </w:rPr>
      </w:pPr>
      <w:r>
        <w:rPr>
          <w:rFonts w:hint="cs"/>
          <w:rtl/>
        </w:rPr>
        <w:t xml:space="preserve">= </w:t>
      </w:r>
      <w:r w:rsidRPr="00C9040A">
        <w:rPr>
          <w:rtl/>
        </w:rPr>
        <w:t>« لنستشفي »</w:t>
      </w:r>
      <w:r>
        <w:rPr>
          <w:rtl/>
        </w:rPr>
        <w:t>.</w:t>
      </w:r>
      <w:r w:rsidRPr="00C9040A">
        <w:rPr>
          <w:rtl/>
        </w:rPr>
        <w:t xml:space="preserve"> وفي « ض ، جم » : « نستشفي » وفي المطبوع : « [ ل ] يستشفي »</w:t>
      </w:r>
      <w:r>
        <w:rPr>
          <w:rtl/>
        </w:rPr>
        <w:t>.</w:t>
      </w:r>
      <w:r w:rsidRPr="00C9040A">
        <w:rPr>
          <w:rtl/>
        </w:rPr>
        <w:t xml:space="preserve"> وفي « بع ، جس ، جه » والبحار كما في المتن.</w:t>
      </w:r>
    </w:p>
    <w:p w:rsidR="008A74EB" w:rsidRPr="00C9040A" w:rsidRDefault="006C577F" w:rsidP="004A4E41">
      <w:pPr>
        <w:pStyle w:val="libFootnote0"/>
        <w:rPr>
          <w:rtl/>
          <w:lang w:bidi="fa-IR"/>
        </w:rPr>
      </w:pPr>
      <w:r>
        <w:rPr>
          <w:rtl/>
        </w:rPr>
        <w:t>(1).</w:t>
      </w:r>
      <w:r w:rsidR="008A74EB" w:rsidRPr="00C9040A">
        <w:rPr>
          <w:rtl/>
        </w:rPr>
        <w:t xml:space="preserve"> في « بر ، بف » والوافي : « أن آخذها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هكذا في « ص ، ف ، بر ، بس ، بف » والوافي والبحار. وفي سائرالنسخ والمطبوع : + « منه »</w:t>
      </w:r>
      <w:r w:rsidR="008A74EB">
        <w:rPr>
          <w:rtl/>
        </w:rPr>
        <w:t>.</w:t>
      </w:r>
      <w:r w:rsidR="008A74EB" w:rsidRPr="00C9040A">
        <w:rPr>
          <w:rtl/>
        </w:rPr>
        <w:t xml:space="preserve"> وفي « ب ، ز ، ص ، ض ، بر ، بس ، بف » : « استحييت »</w:t>
      </w:r>
      <w:r w:rsidR="008A74EB">
        <w:rPr>
          <w:rtl/>
        </w:rPr>
        <w:t>.</w:t>
      </w:r>
      <w:r w:rsidR="008A74EB" w:rsidRPr="00C9040A">
        <w:rPr>
          <w:rtl/>
        </w:rPr>
        <w:t xml:space="preserve"> وفي « د » وحاشية « ض » : « استحيت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w:t>
      </w:r>
      <w:r w:rsidR="008A74EB" w:rsidRPr="00993B55">
        <w:rPr>
          <w:rStyle w:val="libFootnoteBoldChar"/>
          <w:rtl/>
        </w:rPr>
        <w:t>الزهد</w:t>
      </w:r>
      <w:r w:rsidR="008A74EB" w:rsidRPr="00C9040A">
        <w:rPr>
          <w:rtl/>
        </w:rPr>
        <w:t xml:space="preserve"> ، ص 89 ، ح 63 ، عن حمّاد بن عيسى ، عن ربعي ، قال : قال أبوعبدالله </w:t>
      </w:r>
      <w:r w:rsidR="00117575" w:rsidRPr="00117575">
        <w:rPr>
          <w:rStyle w:val="libFootnoteAlaemChar"/>
          <w:rtl/>
        </w:rPr>
        <w:t xml:space="preserve">عليه‌السلام </w:t>
      </w:r>
      <w:r w:rsidR="008A74EB" w:rsidRPr="00C9040A">
        <w:rPr>
          <w:rtl/>
        </w:rPr>
        <w:t>، ليحيى السقّاء ، وتمام الرواية فيه : « يا يحيى ، إنّ الخلق الحسن يسر ، وإنّ الخلق السيّيَ نكد »</w:t>
      </w:r>
      <w:r w:rsidR="00D50EE9">
        <w:rPr>
          <w:rFonts w:hint="cs"/>
          <w:rtl/>
        </w:rPr>
        <w:t>.</w:t>
      </w:r>
      <w:r w:rsidR="008A74EB" w:rsidRPr="00993B55">
        <w:rPr>
          <w:rStyle w:val="libFootnoteBoldChar"/>
          <w:rtl/>
        </w:rPr>
        <w:t>الوافي</w:t>
      </w:r>
      <w:r w:rsidR="008A74EB" w:rsidRPr="00C9040A">
        <w:rPr>
          <w:rtl/>
        </w:rPr>
        <w:t xml:space="preserve"> ، ج 4 ، ص 423 ، ح 2245 ؛ </w:t>
      </w:r>
      <w:r w:rsidR="008A74EB" w:rsidRPr="00993B55">
        <w:rPr>
          <w:rStyle w:val="libFootnoteBoldChar"/>
          <w:rtl/>
        </w:rPr>
        <w:t>الوسائل</w:t>
      </w:r>
      <w:r w:rsidR="008A74EB" w:rsidRPr="00C9040A">
        <w:rPr>
          <w:rtl/>
        </w:rPr>
        <w:t xml:space="preserve"> ، ج 12 ، ص 150 ، ح 15914 ، ملخصّاً ؛ </w:t>
      </w:r>
      <w:r w:rsidR="008A74EB" w:rsidRPr="00993B55">
        <w:rPr>
          <w:rStyle w:val="libFootnoteBoldChar"/>
          <w:rtl/>
        </w:rPr>
        <w:t>البحار</w:t>
      </w:r>
      <w:r w:rsidR="008A74EB" w:rsidRPr="00C9040A">
        <w:rPr>
          <w:rtl/>
        </w:rPr>
        <w:t xml:space="preserve"> ، ج 16 ، ص 264 ، ح 61 ؛ وج 71 ، ص 379 ، ح 13.</w:t>
      </w:r>
    </w:p>
    <w:p w:rsidR="008A74EB" w:rsidRPr="00C9040A" w:rsidRDefault="006C577F" w:rsidP="004A4E41">
      <w:pPr>
        <w:pStyle w:val="libFootnote0"/>
        <w:rPr>
          <w:rtl/>
          <w:lang w:bidi="fa-IR"/>
        </w:rPr>
      </w:pPr>
      <w:r>
        <w:rPr>
          <w:rtl/>
        </w:rPr>
        <w:t>(4).</w:t>
      </w:r>
      <w:r w:rsidR="008A74EB" w:rsidRPr="00C9040A">
        <w:rPr>
          <w:rtl/>
        </w:rPr>
        <w:t xml:space="preserve"> في « ز ، ص » وحاشية « بس » : « أكتافاً »</w:t>
      </w:r>
      <w:r w:rsidR="008A74EB">
        <w:rPr>
          <w:rtl/>
        </w:rPr>
        <w:t>.</w:t>
      </w:r>
      <w:r w:rsidR="008A74EB" w:rsidRPr="00C9040A">
        <w:rPr>
          <w:rtl/>
        </w:rPr>
        <w:t xml:space="preserve"> قال في </w:t>
      </w:r>
      <w:r w:rsidR="008A74EB" w:rsidRPr="00993B55">
        <w:rPr>
          <w:rStyle w:val="libFootnoteBoldChar"/>
          <w:rtl/>
        </w:rPr>
        <w:t>مرآة العقول</w:t>
      </w:r>
      <w:r w:rsidR="008A74EB" w:rsidRPr="00C9040A">
        <w:rPr>
          <w:rtl/>
        </w:rPr>
        <w:t xml:space="preserve"> : « وفي بعض النسخ بالتاء ، كناية عن غاية حسن الخلق ، كأنّهم يحملون الناس على أكنافهم ورقابهم ، وكأنّه تصحيف »</w:t>
      </w:r>
      <w:r w:rsidR="008A74EB">
        <w:rPr>
          <w:rtl/>
        </w:rPr>
        <w:t>.</w:t>
      </w:r>
      <w:r w:rsidR="008A74EB" w:rsidRPr="00C9040A">
        <w:rPr>
          <w:rtl/>
        </w:rPr>
        <w:t xml:space="preserve"> ورجل موطّأ الأكناف : سهل دَمِثٌ كريم مِضْياف ، وهو مثل. وحقيقته من التوطئة ، وهي التمهيد والتذليل. وفراش وطي‌ء ، لا يوذي جنب النائم. </w:t>
      </w:r>
      <w:r w:rsidR="008A74EB">
        <w:rPr>
          <w:rtl/>
        </w:rPr>
        <w:t>و «</w:t>
      </w:r>
      <w:r w:rsidR="008A74EB" w:rsidRPr="00C9040A">
        <w:rPr>
          <w:rtl/>
        </w:rPr>
        <w:t xml:space="preserve"> الأكناف : الجوانب. أراد الذين جوانبُهم وطيئة يتمكّن فيها من يصاحبهم ولا يتأذّى »</w:t>
      </w:r>
      <w:r w:rsidR="008A74EB">
        <w:rPr>
          <w:rtl/>
        </w:rPr>
        <w:t>.</w:t>
      </w:r>
      <w:r w:rsidR="008A74EB" w:rsidRPr="00C9040A">
        <w:rPr>
          <w:rtl/>
        </w:rPr>
        <w:t xml:space="preserve"> </w:t>
      </w:r>
      <w:r w:rsidR="008A74EB" w:rsidRPr="00993B55">
        <w:rPr>
          <w:rStyle w:val="libFootnoteBoldChar"/>
          <w:rtl/>
        </w:rPr>
        <w:t>القاموس المحيط</w:t>
      </w:r>
      <w:r w:rsidR="008A74EB" w:rsidRPr="00C9040A">
        <w:rPr>
          <w:rtl/>
        </w:rPr>
        <w:t xml:space="preserve"> ، ج 1 ، ص 124 ؛ </w:t>
      </w:r>
      <w:r w:rsidR="008A74EB" w:rsidRPr="00993B55">
        <w:rPr>
          <w:rStyle w:val="libFootnoteBoldChar"/>
          <w:rtl/>
        </w:rPr>
        <w:t>النهاية</w:t>
      </w:r>
      <w:r w:rsidR="008A74EB" w:rsidRPr="00C9040A">
        <w:rPr>
          <w:rtl/>
        </w:rPr>
        <w:t xml:space="preserve"> ، ج 5 ، ص 201 ( وطأ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الزهد</w:t>
      </w:r>
      <w:r w:rsidR="008A74EB" w:rsidRPr="00C9040A">
        <w:rPr>
          <w:rtl/>
        </w:rPr>
        <w:t xml:space="preserve"> ، ص 93 ، ح 77 ، عن ابن أبي عمير ، عن حبيب الخثعمي ، عن أبي عبدالله </w:t>
      </w:r>
      <w:r w:rsidR="00117575" w:rsidRPr="00117575">
        <w:rPr>
          <w:rStyle w:val="libFootnoteAlaemChar"/>
          <w:rtl/>
        </w:rPr>
        <w:t>عليه‌السلام</w:t>
      </w:r>
      <w:r w:rsidR="008A74EB" w:rsidRPr="00C9040A">
        <w:rPr>
          <w:rtl/>
        </w:rPr>
        <w:t xml:space="preserve"> عن رسول الله </w:t>
      </w:r>
      <w:r w:rsidR="004A4E41" w:rsidRPr="00AC2E2F">
        <w:rPr>
          <w:rStyle w:val="libFootnoteAlaemChar"/>
          <w:rtl/>
        </w:rPr>
        <w:t>صلى‌الله‌عليه‌وآله</w:t>
      </w:r>
      <w:r w:rsidR="008A74EB" w:rsidRPr="00C9040A">
        <w:rPr>
          <w:rtl/>
        </w:rPr>
        <w:t xml:space="preserve">. </w:t>
      </w:r>
      <w:r w:rsidR="008A74EB" w:rsidRPr="00993B55">
        <w:rPr>
          <w:rStyle w:val="libFootnoteBoldChar"/>
          <w:rtl/>
        </w:rPr>
        <w:t>تحف العقول</w:t>
      </w:r>
      <w:r w:rsidR="008A74EB" w:rsidRPr="00C9040A">
        <w:rPr>
          <w:rtl/>
        </w:rPr>
        <w:t xml:space="preserve"> ، ص 45 ، عن رسول الله </w:t>
      </w:r>
      <w:r w:rsidR="004A4E41" w:rsidRPr="00AC2E2F">
        <w:rPr>
          <w:rStyle w:val="libFootnoteAlaemChar"/>
          <w:rtl/>
        </w:rPr>
        <w:t>صلى‌الله‌عليه‌وآله</w:t>
      </w:r>
      <w:r w:rsidR="008A74EB" w:rsidRPr="00C9040A">
        <w:rPr>
          <w:rtl/>
        </w:rPr>
        <w:t xml:space="preserve"> ، وفيهما مع اختلاف يسير</w:t>
      </w:r>
      <w:r w:rsidR="00D50EE9">
        <w:rPr>
          <w:rFonts w:hint="cs"/>
          <w:rtl/>
        </w:rPr>
        <w:t>.</w:t>
      </w:r>
      <w:r w:rsidR="008A74EB" w:rsidRPr="00993B55">
        <w:rPr>
          <w:rStyle w:val="libFootnoteBoldChar"/>
          <w:rtl/>
        </w:rPr>
        <w:t>الوافي</w:t>
      </w:r>
      <w:r w:rsidR="008A74EB" w:rsidRPr="00C9040A">
        <w:rPr>
          <w:rtl/>
        </w:rPr>
        <w:t xml:space="preserve"> ، ج 4 ، ص 424 ، ح 2246 ؛ </w:t>
      </w:r>
      <w:r w:rsidR="008A74EB" w:rsidRPr="00993B55">
        <w:rPr>
          <w:rStyle w:val="libFootnoteBoldChar"/>
          <w:rtl/>
        </w:rPr>
        <w:t>الوسائل</w:t>
      </w:r>
      <w:r w:rsidR="008A74EB" w:rsidRPr="00C9040A">
        <w:rPr>
          <w:rtl/>
        </w:rPr>
        <w:t xml:space="preserve"> ، ج 12 ، ص 157 ، ح 15940 ؛ </w:t>
      </w:r>
      <w:r w:rsidR="008A74EB" w:rsidRPr="00993B55">
        <w:rPr>
          <w:rStyle w:val="libFootnoteBoldChar"/>
          <w:rtl/>
        </w:rPr>
        <w:t>البحار</w:t>
      </w:r>
      <w:r w:rsidR="008A74EB" w:rsidRPr="00C9040A">
        <w:rPr>
          <w:rtl/>
        </w:rPr>
        <w:t xml:space="preserve"> ، ج 71 ، ص 380 ، ح 14.</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 ز » والوسائل </w:t>
      </w:r>
      <w:r w:rsidR="008A74EB">
        <w:rPr>
          <w:rtl/>
        </w:rPr>
        <w:t xml:space="preserve">: </w:t>
      </w:r>
      <w:r w:rsidR="0084262C">
        <w:rPr>
          <w:rtl/>
        </w:rPr>
        <w:t>-</w:t>
      </w:r>
      <w:r w:rsidR="008A74EB" w:rsidRPr="00C9040A">
        <w:rPr>
          <w:rtl/>
        </w:rPr>
        <w:t xml:space="preserve"> « قال أمير المؤمنين </w:t>
      </w:r>
      <w:r w:rsidR="00117575" w:rsidRPr="00117575">
        <w:rPr>
          <w:rStyle w:val="libFootnoteAlaemChar"/>
          <w:rtl/>
        </w:rPr>
        <w:t>عليه‌السلام</w:t>
      </w:r>
      <w:r w:rsidR="008A74EB" w:rsidRPr="00C9040A">
        <w:rPr>
          <w:rtl/>
        </w:rPr>
        <w:t xml:space="preserve"> »</w:t>
      </w:r>
      <w:r w:rsidR="008A74EB">
        <w:rPr>
          <w:rtl/>
        </w:rPr>
        <w:t>.</w:t>
      </w:r>
      <w:r w:rsidR="008A74EB" w:rsidRPr="00C9040A">
        <w:rPr>
          <w:rtl/>
        </w:rPr>
        <w:t xml:space="preserve"> وفي « ص ، ف » </w:t>
      </w:r>
      <w:r w:rsidR="008A74EB">
        <w:rPr>
          <w:rtl/>
        </w:rPr>
        <w:t xml:space="preserve">: </w:t>
      </w:r>
      <w:r w:rsidR="0084262C">
        <w:rPr>
          <w:rtl/>
        </w:rPr>
        <w:t>-</w:t>
      </w:r>
      <w:r w:rsidR="008A74EB" w:rsidRPr="00C9040A">
        <w:rPr>
          <w:rtl/>
        </w:rPr>
        <w:t xml:space="preserve"> « أمير المؤمنين </w:t>
      </w:r>
      <w:r w:rsidR="00117575" w:rsidRPr="00117575">
        <w:rPr>
          <w:rStyle w:val="libFootnoteAlaemChar"/>
          <w:rtl/>
        </w:rPr>
        <w:t>عليه‌السلام</w:t>
      </w:r>
      <w:r w:rsidR="008A74EB" w:rsidRPr="00C9040A">
        <w:rPr>
          <w:rtl/>
        </w:rPr>
        <w:t xml:space="preserve">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فِيمَنْ لَا </w:t>
      </w:r>
      <w:r w:rsidR="006C577F" w:rsidRPr="006C577F">
        <w:rPr>
          <w:rStyle w:val="libFootnotenumChar"/>
          <w:rtl/>
        </w:rPr>
        <w:t>(1)</w:t>
      </w:r>
      <w:r w:rsidRPr="002712F0">
        <w:rPr>
          <w:rFonts w:hint="cs"/>
          <w:rtl/>
        </w:rPr>
        <w:t xml:space="preserve"> </w:t>
      </w:r>
      <w:r w:rsidRPr="00C9040A">
        <w:rPr>
          <w:rtl/>
          <w:lang w:bidi="fa-IR"/>
        </w:rPr>
        <w:t>يَأْلَفُ وَلَا يُؤْلَفُ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0B6F6E">
        <w:rPr>
          <w:rtl/>
        </w:rPr>
        <w:t>1762</w:t>
      </w:r>
      <w:r w:rsidRPr="00261CB0">
        <w:rPr>
          <w:rStyle w:val="libBold2Char"/>
          <w:rtl/>
        </w:rPr>
        <w:t xml:space="preserve"> / 18.</w:t>
      </w:r>
      <w:r w:rsidRPr="00C9040A">
        <w:rPr>
          <w:rtl/>
          <w:lang w:bidi="fa-IR"/>
        </w:rPr>
        <w:t xml:space="preserve"> عَلِيُّ بْنُ إِبْرَاهِيمَ ، عَنْ أَبِيهِ ، عَنِ ابْنِ أَبِي عُمَيْرٍ ، عَنْ عَبْدِ اللهِ بْنِ سِنَانٍ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إِنَّ حُسْنَ الْخُلُقِ يَبْلُغُ بِصَاحِبِهِ دَرَجَةَ الصَّائِمِ الْقَائِمِ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Heading2Center"/>
        <w:rPr>
          <w:rtl/>
          <w:lang w:bidi="fa-IR"/>
        </w:rPr>
      </w:pPr>
      <w:bookmarkStart w:id="160" w:name="_Toc343795641"/>
      <w:bookmarkStart w:id="161" w:name="_Toc459810765"/>
      <w:bookmarkStart w:id="162" w:name="_Toc35348671"/>
      <w:r w:rsidRPr="00C9040A">
        <w:rPr>
          <w:rtl/>
          <w:lang w:bidi="fa-IR"/>
        </w:rPr>
        <w:t>50</w:t>
      </w:r>
      <w:r>
        <w:rPr>
          <w:rtl/>
          <w:lang w:bidi="fa-IR"/>
        </w:rPr>
        <w:t xml:space="preserve"> </w:t>
      </w:r>
      <w:r w:rsidR="0084262C">
        <w:rPr>
          <w:rtl/>
          <w:lang w:bidi="fa-IR"/>
        </w:rPr>
        <w:t>-</w:t>
      </w:r>
      <w:r>
        <w:rPr>
          <w:rtl/>
          <w:lang w:bidi="fa-IR"/>
        </w:rPr>
        <w:t xml:space="preserve"> </w:t>
      </w:r>
      <w:r w:rsidRPr="00C9040A">
        <w:rPr>
          <w:rtl/>
          <w:lang w:bidi="fa-IR"/>
        </w:rPr>
        <w:t>بَابُ حُسْنِ الْبِشْرِ‌</w:t>
      </w:r>
      <w:bookmarkEnd w:id="160"/>
      <w:bookmarkEnd w:id="161"/>
      <w:bookmarkEnd w:id="162"/>
    </w:p>
    <w:p w:rsidR="008A74EB" w:rsidRPr="00C9040A" w:rsidRDefault="008A74EB" w:rsidP="008A74EB">
      <w:pPr>
        <w:pStyle w:val="libNormal"/>
        <w:rPr>
          <w:rtl/>
          <w:lang w:bidi="fa-IR"/>
        </w:rPr>
      </w:pPr>
      <w:r w:rsidRPr="000B6F6E">
        <w:rPr>
          <w:rtl/>
        </w:rPr>
        <w:t>1763</w:t>
      </w:r>
      <w:r w:rsidRPr="00261CB0">
        <w:rPr>
          <w:rStyle w:val="libBold2Char"/>
          <w:rtl/>
        </w:rPr>
        <w:t xml:space="preserve"> / 1.</w:t>
      </w:r>
      <w:r w:rsidRPr="00C9040A">
        <w:rPr>
          <w:rtl/>
          <w:lang w:bidi="fa-IR"/>
        </w:rPr>
        <w:t xml:space="preserve"> عِدَّةٌ مِنْ أَصْحَابِنَا ، عَنْ أَحْمَدَ بْنِ مُحَمَّدٍ ، عَنْ عَلِيِّ بْنِ الْحَكَمِ ، عَنِ الْحَسَنِ بْنِ الْحُسَيْنِ ، قَالَ :</w:t>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 « قَالَ رَسُولُ اللهِ </w:t>
      </w:r>
      <w:r w:rsidR="004A4E41" w:rsidRPr="004A4E41">
        <w:rPr>
          <w:rStyle w:val="libAlaemChar"/>
          <w:rtl/>
        </w:rPr>
        <w:t>صلى‌الله‌عليه‌وآله</w:t>
      </w:r>
      <w:r w:rsidRPr="00C9040A">
        <w:rPr>
          <w:rtl/>
          <w:lang w:bidi="fa-IR"/>
        </w:rPr>
        <w:t xml:space="preserve"> : يَا بَنِي عَبْدِ الْمُطَّلِبِ ، إِنَّكُمْ لَنْ تَسَعُوا النَّاسَ </w:t>
      </w:r>
      <w:r w:rsidR="006C577F" w:rsidRPr="006C577F">
        <w:rPr>
          <w:rStyle w:val="libFootnotenumChar"/>
          <w:rtl/>
        </w:rPr>
        <w:t>(4)</w:t>
      </w:r>
      <w:r w:rsidRPr="00C9040A">
        <w:rPr>
          <w:rtl/>
          <w:lang w:bidi="fa-IR"/>
        </w:rPr>
        <w:t xml:space="preserve"> بِأَمْوَالِكُمْ ، فَالْقَوْهُمْ بِطَلَاقَةِ الْوَجْهِ وَحُسْنِ الْبِشْرِ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 ف » </w:t>
      </w:r>
      <w:r w:rsidR="008A74EB">
        <w:rPr>
          <w:rtl/>
        </w:rPr>
        <w:t xml:space="preserve">: </w:t>
      </w:r>
      <w:r w:rsidR="0084262C">
        <w:rPr>
          <w:rtl/>
        </w:rPr>
        <w:t>-</w:t>
      </w:r>
      <w:r w:rsidR="008A74EB" w:rsidRPr="00C9040A">
        <w:rPr>
          <w:rtl/>
        </w:rPr>
        <w:t xml:space="preserve"> « لا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الأمالي</w:t>
      </w:r>
      <w:r w:rsidR="008A74EB" w:rsidRPr="00C9040A">
        <w:rPr>
          <w:rtl/>
        </w:rPr>
        <w:t xml:space="preserve"> للطوسي ، ص 462 ، المجلس 16 ، ح 36 ، بسند آخر عن جعفر بن محمّد ، عن آبائه </w:t>
      </w:r>
      <w:r w:rsidR="00117575" w:rsidRPr="00117575">
        <w:rPr>
          <w:rStyle w:val="libFootnoteAlaemChar"/>
          <w:rtl/>
        </w:rPr>
        <w:t>عليهم‌السلام</w:t>
      </w:r>
      <w:r w:rsidR="008A74EB" w:rsidRPr="00C9040A">
        <w:rPr>
          <w:rtl/>
        </w:rPr>
        <w:t xml:space="preserve"> عن النّبي </w:t>
      </w:r>
      <w:r w:rsidR="004A4E41" w:rsidRPr="00AC2E2F">
        <w:rPr>
          <w:rStyle w:val="libFootnoteAlaemChar"/>
          <w:rtl/>
        </w:rPr>
        <w:t>صلى‌الله‌عليه‌وآله</w:t>
      </w:r>
      <w:r w:rsidR="008A74EB" w:rsidRPr="00C9040A">
        <w:rPr>
          <w:rtl/>
        </w:rPr>
        <w:t xml:space="preserve"> ، مع اختلاف يسير وزيادة في أوّله وآخره</w:t>
      </w:r>
      <w:r w:rsidR="00D50EE9">
        <w:rPr>
          <w:rFonts w:hint="cs"/>
          <w:rtl/>
        </w:rPr>
        <w:t>.</w:t>
      </w:r>
      <w:r w:rsidR="008A74EB" w:rsidRPr="00993B55">
        <w:rPr>
          <w:rStyle w:val="libFootnoteBoldChar"/>
          <w:rtl/>
        </w:rPr>
        <w:t>الوافي</w:t>
      </w:r>
      <w:r w:rsidR="008A74EB" w:rsidRPr="00C9040A">
        <w:rPr>
          <w:rtl/>
        </w:rPr>
        <w:t xml:space="preserve"> ، ج 4 ، ص 424 ، ح 2247 ؛ </w:t>
      </w:r>
      <w:r w:rsidR="008A74EB" w:rsidRPr="00993B55">
        <w:rPr>
          <w:rStyle w:val="libFootnoteBoldChar"/>
          <w:rtl/>
        </w:rPr>
        <w:t>الوسائل</w:t>
      </w:r>
      <w:r w:rsidR="008A74EB" w:rsidRPr="00C9040A">
        <w:rPr>
          <w:rtl/>
        </w:rPr>
        <w:t xml:space="preserve"> ، ج 12 ، ص 158 ، ح 15941 ؛ </w:t>
      </w:r>
      <w:r w:rsidR="008A74EB" w:rsidRPr="00993B55">
        <w:rPr>
          <w:rStyle w:val="libFootnoteBoldChar"/>
          <w:rtl/>
        </w:rPr>
        <w:t>البحار</w:t>
      </w:r>
      <w:r w:rsidR="008A74EB" w:rsidRPr="00C9040A">
        <w:rPr>
          <w:rtl/>
        </w:rPr>
        <w:t xml:space="preserve"> ، ج 71 ، ص 381 ، ح 15.</w:t>
      </w:r>
    </w:p>
    <w:p w:rsidR="008A74EB" w:rsidRPr="00C9040A" w:rsidRDefault="006C577F" w:rsidP="004A4E41">
      <w:pPr>
        <w:pStyle w:val="libFootnote0"/>
        <w:rPr>
          <w:rtl/>
          <w:lang w:bidi="fa-IR"/>
        </w:rPr>
      </w:pPr>
      <w:r>
        <w:rPr>
          <w:rtl/>
        </w:rPr>
        <w:t>(3).</w:t>
      </w:r>
      <w:r w:rsidR="008A74EB" w:rsidRPr="00C9040A">
        <w:rPr>
          <w:rtl/>
        </w:rPr>
        <w:t xml:space="preserve"> </w:t>
      </w:r>
      <w:r w:rsidR="008A74EB" w:rsidRPr="00993B55">
        <w:rPr>
          <w:rStyle w:val="libFootnoteBoldChar"/>
          <w:rtl/>
        </w:rPr>
        <w:t>الزهد</w:t>
      </w:r>
      <w:r w:rsidR="008A74EB" w:rsidRPr="00C9040A">
        <w:rPr>
          <w:rtl/>
        </w:rPr>
        <w:t xml:space="preserve"> ، ص 90 ، ح 65 ، بسند آخر ، مع اختلاف يسير وزيادة في أوّله ؛ </w:t>
      </w:r>
      <w:r w:rsidR="008A74EB" w:rsidRPr="0034021D">
        <w:rPr>
          <w:rStyle w:val="libFootnoteBoldChar"/>
          <w:rtl/>
        </w:rPr>
        <w:t>الأمالي للصدوق</w:t>
      </w:r>
      <w:r w:rsidR="008A74EB" w:rsidRPr="00C9040A">
        <w:rPr>
          <w:rtl/>
        </w:rPr>
        <w:t xml:space="preserve"> ، ص 359 ، المجلس 57 ، ح 10 ، بسند آخر ، مع زيادة في أوّله وآخره ؛ </w:t>
      </w:r>
      <w:r w:rsidR="008A74EB" w:rsidRPr="00993B55">
        <w:rPr>
          <w:rStyle w:val="libFootnoteBoldChar"/>
          <w:rtl/>
        </w:rPr>
        <w:t>الخصال</w:t>
      </w:r>
      <w:r w:rsidR="008A74EB" w:rsidRPr="00C9040A">
        <w:rPr>
          <w:rtl/>
        </w:rPr>
        <w:t xml:space="preserve"> ، ص 620 ، باب الثمانين وما فوقه ، ضمن الحديث الطويل 10 ، بسند آخر عن أبي عبد الله ، عن آبائه ، عن عليّ </w:t>
      </w:r>
      <w:r w:rsidR="00117575" w:rsidRPr="00117575">
        <w:rPr>
          <w:rStyle w:val="libFootnoteAlaemChar"/>
          <w:rtl/>
        </w:rPr>
        <w:t>عليهم‌السلام</w:t>
      </w:r>
      <w:r w:rsidR="008A74EB" w:rsidRPr="00C9040A">
        <w:rPr>
          <w:rtl/>
        </w:rPr>
        <w:t xml:space="preserve">. وفي </w:t>
      </w:r>
      <w:r w:rsidR="008A74EB" w:rsidRPr="00993B55">
        <w:rPr>
          <w:rStyle w:val="libFootnoteBoldChar"/>
          <w:rtl/>
        </w:rPr>
        <w:t>عيون الأخبار</w:t>
      </w:r>
      <w:r w:rsidR="008A74EB" w:rsidRPr="00C9040A">
        <w:rPr>
          <w:rtl/>
        </w:rPr>
        <w:t xml:space="preserve"> ، ج 2 ، ص 37 ، ح 97 ؛ وص 71 ، ح 328 ؛ و</w:t>
      </w:r>
      <w:r w:rsidR="008A74EB" w:rsidRPr="00993B55">
        <w:rPr>
          <w:rStyle w:val="libFootnoteBoldChar"/>
          <w:rtl/>
        </w:rPr>
        <w:t>صحيفة الرضا</w:t>
      </w:r>
      <w:r w:rsidR="008A74EB" w:rsidRPr="00C9040A">
        <w:rPr>
          <w:rtl/>
        </w:rPr>
        <w:t xml:space="preserve"> </w:t>
      </w:r>
      <w:r w:rsidR="00117575" w:rsidRPr="00117575">
        <w:rPr>
          <w:rStyle w:val="libFootnoteAlaemChar"/>
          <w:rtl/>
        </w:rPr>
        <w:t>عليه‌السلام</w:t>
      </w:r>
      <w:r w:rsidR="008A74EB" w:rsidRPr="00C9040A">
        <w:rPr>
          <w:rtl/>
        </w:rPr>
        <w:t xml:space="preserve"> ، ص 64 ، ح 110 ، بسندها عن الرضا ، عن آبائه </w:t>
      </w:r>
      <w:r w:rsidR="00117575" w:rsidRPr="00117575">
        <w:rPr>
          <w:rStyle w:val="libFootnoteAlaemChar"/>
          <w:rtl/>
        </w:rPr>
        <w:t>عليهم‌السلام</w:t>
      </w:r>
      <w:r w:rsidR="008A74EB" w:rsidRPr="00C9040A">
        <w:rPr>
          <w:rtl/>
        </w:rPr>
        <w:t xml:space="preserve"> عن رسول الله </w:t>
      </w:r>
      <w:r w:rsidR="004A4E41" w:rsidRPr="00AC2E2F">
        <w:rPr>
          <w:rStyle w:val="libFootnoteAlaemChar"/>
          <w:rtl/>
        </w:rPr>
        <w:t>صلى‌الله‌عليه‌وآله</w:t>
      </w:r>
      <w:r w:rsidR="008A74EB" w:rsidRPr="00C9040A">
        <w:rPr>
          <w:rtl/>
        </w:rPr>
        <w:t xml:space="preserve"> ، مع اختلاف يسير وزيادة في أوّله. </w:t>
      </w:r>
      <w:r w:rsidR="008A74EB" w:rsidRPr="00993B55">
        <w:rPr>
          <w:rStyle w:val="libFootnoteBoldChar"/>
          <w:rtl/>
        </w:rPr>
        <w:t>تحف العقول</w:t>
      </w:r>
      <w:r w:rsidR="008A74EB" w:rsidRPr="00C9040A">
        <w:rPr>
          <w:rtl/>
        </w:rPr>
        <w:t xml:space="preserve"> ، ص 45 ، عن رسول الله </w:t>
      </w:r>
      <w:r w:rsidR="004A4E41" w:rsidRPr="00AC2E2F">
        <w:rPr>
          <w:rStyle w:val="libFootnoteAlaemChar"/>
          <w:rtl/>
        </w:rPr>
        <w:t>صلى‌الله‌عليه‌وآله</w:t>
      </w:r>
      <w:r w:rsidR="008A74EB" w:rsidRPr="00C9040A">
        <w:rPr>
          <w:rtl/>
        </w:rPr>
        <w:t xml:space="preserve"> ، مع اختلاف يسير وزيادة في آخره</w:t>
      </w:r>
      <w:r w:rsidR="000F0AF8">
        <w:rPr>
          <w:rFonts w:hint="cs"/>
          <w:rtl/>
        </w:rPr>
        <w:t>.</w:t>
      </w:r>
      <w:r w:rsidR="008A74EB" w:rsidRPr="00C9040A">
        <w:rPr>
          <w:rtl/>
        </w:rPr>
        <w:t xml:space="preserve">الوافي ، ج 4 ، ص 420 ، ح 2234 ؛ </w:t>
      </w:r>
      <w:r w:rsidR="008A74EB" w:rsidRPr="00993B55">
        <w:rPr>
          <w:rStyle w:val="libFootnoteBoldChar"/>
          <w:rtl/>
        </w:rPr>
        <w:t>الوسائل</w:t>
      </w:r>
      <w:r w:rsidR="008A74EB" w:rsidRPr="00C9040A">
        <w:rPr>
          <w:rtl/>
        </w:rPr>
        <w:t xml:space="preserve"> ، ج 12 ، ص 149 ، ح 15907 ؛ </w:t>
      </w:r>
      <w:r w:rsidR="008A74EB" w:rsidRPr="00993B55">
        <w:rPr>
          <w:rStyle w:val="libFootnoteBoldChar"/>
          <w:rtl/>
        </w:rPr>
        <w:t>البحار</w:t>
      </w:r>
      <w:r w:rsidR="008A74EB" w:rsidRPr="00C9040A">
        <w:rPr>
          <w:rtl/>
        </w:rPr>
        <w:t xml:space="preserve"> ، ج 71 ، ص 381 ، ح 16.</w:t>
      </w:r>
    </w:p>
    <w:p w:rsidR="008A74EB" w:rsidRPr="00C9040A" w:rsidRDefault="006C577F" w:rsidP="004A4E41">
      <w:pPr>
        <w:pStyle w:val="libFootnote0"/>
        <w:rPr>
          <w:rtl/>
          <w:lang w:bidi="fa-IR"/>
        </w:rPr>
      </w:pPr>
      <w:r>
        <w:rPr>
          <w:rtl/>
        </w:rPr>
        <w:t>(4).</w:t>
      </w:r>
      <w:r w:rsidR="008A74EB" w:rsidRPr="00C9040A">
        <w:rPr>
          <w:rtl/>
        </w:rPr>
        <w:t xml:space="preserve"> في « ف » : « الذكر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w:t>
      </w:r>
      <w:r w:rsidR="008A74EB" w:rsidRPr="0034021D">
        <w:rPr>
          <w:rStyle w:val="libFootnoteBoldChar"/>
          <w:rtl/>
        </w:rPr>
        <w:t>الأمالي للصدوق</w:t>
      </w:r>
      <w:r w:rsidR="008A74EB" w:rsidRPr="00C9040A">
        <w:rPr>
          <w:rtl/>
        </w:rPr>
        <w:t xml:space="preserve"> ، ص 446 ، المجلس 68 ، ضمن الحديث الطويل 9 ؛ و</w:t>
      </w:r>
      <w:r w:rsidR="008A74EB" w:rsidRPr="00993B55">
        <w:rPr>
          <w:rStyle w:val="libFootnoteBoldChar"/>
          <w:rtl/>
        </w:rPr>
        <w:t>عيون الأخبار</w:t>
      </w:r>
      <w:r w:rsidR="008A74EB" w:rsidRPr="00C9040A">
        <w:rPr>
          <w:rtl/>
        </w:rPr>
        <w:t xml:space="preserve"> ، ج 2 ، ص 53 ، ضمن الحديث الطويل 204 ، بسند آخر عن الإمام الجواد ، عن أبيه ، عن جدّه ، عن آبائه ، عن أمير المؤمنين </w:t>
      </w:r>
      <w:r w:rsidR="00117575" w:rsidRPr="00117575">
        <w:rPr>
          <w:rStyle w:val="libFootnoteAlaemChar"/>
          <w:rtl/>
        </w:rPr>
        <w:t>عليهم‌السلام</w:t>
      </w:r>
      <w:r w:rsidR="008A74EB" w:rsidRPr="00C9040A">
        <w:rPr>
          <w:rtl/>
        </w:rPr>
        <w:t xml:space="preserve"> عن رسول الله </w:t>
      </w:r>
      <w:r w:rsidR="004A4E41" w:rsidRPr="00AC2E2F">
        <w:rPr>
          <w:rStyle w:val="libFootnoteAlaemChar"/>
          <w:rtl/>
        </w:rPr>
        <w:t>صلى‌الله‌عليه‌وآله</w:t>
      </w:r>
      <w:r w:rsidR="008A74EB" w:rsidRPr="00C9040A">
        <w:rPr>
          <w:rtl/>
        </w:rPr>
        <w:t xml:space="preserve"> ، مع اختلاف يسير</w:t>
      </w:r>
      <w:r w:rsidR="000F0AF8">
        <w:rPr>
          <w:rFonts w:hint="cs"/>
          <w:rtl/>
        </w:rPr>
        <w:t>.</w:t>
      </w:r>
      <w:r w:rsidR="008A74EB" w:rsidRPr="00993B55">
        <w:rPr>
          <w:rStyle w:val="libFootnoteBoldChar"/>
          <w:rtl/>
        </w:rPr>
        <w:t>الوافي</w:t>
      </w:r>
      <w:r w:rsidR="008A74EB" w:rsidRPr="00C9040A">
        <w:rPr>
          <w:rtl/>
        </w:rPr>
        <w:t xml:space="preserve"> ، ج 4 ، ص 427 ، ح 2250 ؛ </w:t>
      </w:r>
      <w:r w:rsidR="008A74EB" w:rsidRPr="00993B55">
        <w:rPr>
          <w:rStyle w:val="libFootnoteBoldChar"/>
          <w:rtl/>
        </w:rPr>
        <w:t>الوسائل</w:t>
      </w:r>
      <w:r w:rsidR="008A74EB" w:rsidRPr="00C9040A">
        <w:rPr>
          <w:rtl/>
        </w:rPr>
        <w:t xml:space="preserve"> ، ج 12 ، ص 160 ، ح 15950 ؛ </w:t>
      </w:r>
      <w:r w:rsidR="008A74EB" w:rsidRPr="00993B55">
        <w:rPr>
          <w:rStyle w:val="libFootnoteBoldChar"/>
          <w:rtl/>
        </w:rPr>
        <w:t>البحار</w:t>
      </w:r>
      <w:r w:rsidR="008A74EB" w:rsidRPr="00C9040A">
        <w:rPr>
          <w:rtl/>
        </w:rPr>
        <w:t xml:space="preserve"> ، ج 74 ، ص 169 ، ح 36.</w:t>
      </w:r>
    </w:p>
    <w:p w:rsidR="004B7F34" w:rsidRDefault="004B7F34" w:rsidP="004B7F34">
      <w:pPr>
        <w:pStyle w:val="libNormal"/>
        <w:rPr>
          <w:rtl/>
          <w:lang w:bidi="fa-IR"/>
        </w:rPr>
      </w:pPr>
      <w:r>
        <w:rPr>
          <w:rtl/>
          <w:lang w:bidi="fa-IR"/>
        </w:rPr>
        <w:br w:type="page"/>
      </w:r>
    </w:p>
    <w:p w:rsidR="008A74EB" w:rsidRPr="00C9040A" w:rsidRDefault="000F0AF8" w:rsidP="008A74EB">
      <w:pPr>
        <w:pStyle w:val="libNormal"/>
        <w:rPr>
          <w:rtl/>
          <w:lang w:bidi="fa-IR"/>
        </w:rPr>
      </w:pPr>
      <w:r>
        <w:rPr>
          <w:rFonts w:hint="cs"/>
          <w:rtl/>
          <w:lang w:bidi="fa-IR"/>
        </w:rPr>
        <w:t xml:space="preserve">* </w:t>
      </w:r>
      <w:r w:rsidR="008A74EB" w:rsidRPr="00C9040A">
        <w:rPr>
          <w:rtl/>
          <w:lang w:bidi="fa-IR"/>
        </w:rPr>
        <w:t xml:space="preserve">وَرَوَاهُ </w:t>
      </w:r>
      <w:r w:rsidR="006C577F" w:rsidRPr="006C577F">
        <w:rPr>
          <w:rStyle w:val="libFootnotenumChar"/>
          <w:rtl/>
        </w:rPr>
        <w:t>(1)</w:t>
      </w:r>
      <w:r w:rsidR="008A74EB" w:rsidRPr="002712F0">
        <w:rPr>
          <w:rFonts w:hint="cs"/>
          <w:rtl/>
        </w:rPr>
        <w:t xml:space="preserve"> </w:t>
      </w:r>
      <w:r w:rsidR="008A74EB" w:rsidRPr="00C9040A">
        <w:rPr>
          <w:rtl/>
          <w:lang w:bidi="fa-IR"/>
        </w:rPr>
        <w:t xml:space="preserve">عَنِ الْقَاسِمِ بْنِ يَحْيى ، عَنْ جَدِّهِ الْحَسَنِ بْنِ رَاشِدٍ ، عَنْ أَبِي عَبْدِ اللهِ </w:t>
      </w:r>
      <w:r w:rsidR="008A74EB" w:rsidRPr="0003660B">
        <w:rPr>
          <w:rStyle w:val="libAlaemChar"/>
          <w:rtl/>
        </w:rPr>
        <w:t>عليه‌السلام</w:t>
      </w:r>
      <w:r w:rsidR="00690216">
        <w:rPr>
          <w:rtl/>
          <w:lang w:bidi="fa-IR"/>
        </w:rPr>
        <w:t xml:space="preserve"> ، إِل</w:t>
      </w:r>
      <w:r w:rsidR="00690216">
        <w:rPr>
          <w:rFonts w:hint="cs"/>
          <w:rtl/>
          <w:lang w:bidi="fa-IR"/>
        </w:rPr>
        <w:t>َّ</w:t>
      </w:r>
      <w:r w:rsidR="00690216">
        <w:rPr>
          <w:rtl/>
          <w:lang w:bidi="fa-IR"/>
        </w:rPr>
        <w:t>ا</w:t>
      </w:r>
      <w:r w:rsidR="008A74EB" w:rsidRPr="00C9040A">
        <w:rPr>
          <w:rtl/>
          <w:lang w:bidi="fa-IR"/>
        </w:rPr>
        <w:t xml:space="preserve"> أَنَّهُ قَالَ : « يَا بَنِي هَاشِمٍ »</w:t>
      </w:r>
      <w:r w:rsidR="008A74EB">
        <w:rPr>
          <w:rtl/>
          <w:lang w:bidi="fa-IR"/>
        </w:rPr>
        <w:t>.</w:t>
      </w:r>
      <w:r w:rsidR="008A74EB" w:rsidRPr="00C9040A">
        <w:rPr>
          <w:rtl/>
          <w:lang w:bidi="fa-IR"/>
        </w:rPr>
        <w:t xml:space="preserve"> </w:t>
      </w:r>
      <w:r w:rsidR="006C577F" w:rsidRPr="006C577F">
        <w:rPr>
          <w:rStyle w:val="libFootnotenumChar"/>
          <w:rtl/>
        </w:rPr>
        <w:t>(2)</w:t>
      </w:r>
      <w:r w:rsidR="008A74EB" w:rsidRPr="00C9040A">
        <w:rPr>
          <w:rtl/>
          <w:lang w:bidi="fa-IR"/>
        </w:rPr>
        <w:t xml:space="preserve"> ‌</w:t>
      </w:r>
    </w:p>
    <w:p w:rsidR="008A74EB" w:rsidRPr="00C9040A" w:rsidRDefault="008A74EB" w:rsidP="008A74EB">
      <w:pPr>
        <w:pStyle w:val="libNormal"/>
        <w:rPr>
          <w:rtl/>
          <w:lang w:bidi="fa-IR"/>
        </w:rPr>
      </w:pPr>
      <w:r w:rsidRPr="000B6F6E">
        <w:rPr>
          <w:rtl/>
        </w:rPr>
        <w:t>1764</w:t>
      </w:r>
      <w:r w:rsidRPr="00261CB0">
        <w:rPr>
          <w:rStyle w:val="libBold2Char"/>
          <w:rtl/>
        </w:rPr>
        <w:t xml:space="preserve"> / 2.</w:t>
      </w:r>
      <w:r w:rsidRPr="00C9040A">
        <w:rPr>
          <w:rtl/>
          <w:lang w:bidi="fa-IR"/>
        </w:rPr>
        <w:t xml:space="preserve"> عَنْهُ </w:t>
      </w:r>
      <w:r w:rsidR="006C577F" w:rsidRPr="006C577F">
        <w:rPr>
          <w:rStyle w:val="libFootnotenumChar"/>
          <w:rtl/>
        </w:rPr>
        <w:t>(3)</w:t>
      </w:r>
      <w:r w:rsidRPr="00C9040A">
        <w:rPr>
          <w:rtl/>
          <w:lang w:bidi="fa-IR"/>
        </w:rPr>
        <w:t xml:space="preserve"> ، عَنْ عُثْمَانَ بْنِ عِيسى ، عَنْ سَمَاعَةَ بْنِ مِهْرَانَ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ثَلَاثٌ مَنْ أَتَى اللهَ بِوَاحِدَةٍ مِنْهُنَّ ، أَوْجَبَ اللهُ لَهُ الْجَنَّةَ :</w:t>
      </w:r>
      <w:r>
        <w:rPr>
          <w:rFonts w:hint="cs"/>
          <w:rtl/>
          <w:lang w:bidi="fa-IR"/>
        </w:rPr>
        <w:t xml:space="preserve"> </w:t>
      </w:r>
      <w:r w:rsidRPr="00C9040A">
        <w:rPr>
          <w:rtl/>
          <w:lang w:bidi="fa-IR"/>
        </w:rPr>
        <w:t xml:space="preserve">الْإِنْفَاقُ </w:t>
      </w:r>
      <w:r w:rsidR="006C577F" w:rsidRPr="006C577F">
        <w:rPr>
          <w:rStyle w:val="libFootnotenumChar"/>
          <w:rtl/>
        </w:rPr>
        <w:t>(4)</w:t>
      </w:r>
      <w:r w:rsidRPr="00C9040A">
        <w:rPr>
          <w:rtl/>
          <w:lang w:bidi="fa-IR"/>
        </w:rPr>
        <w:t xml:space="preserve"> مِنْ إِقْتَارٍ </w:t>
      </w:r>
      <w:r w:rsidR="006C577F" w:rsidRPr="006C577F">
        <w:rPr>
          <w:rStyle w:val="libFootnotenumChar"/>
          <w:rtl/>
        </w:rPr>
        <w:t>(5)</w:t>
      </w:r>
      <w:r w:rsidRPr="00C9040A">
        <w:rPr>
          <w:rtl/>
          <w:lang w:bidi="fa-IR"/>
        </w:rPr>
        <w:t xml:space="preserve"> ، وَالْبِشْرُ لِجَمِيعِ </w:t>
      </w:r>
      <w:r w:rsidR="006C577F" w:rsidRPr="006C577F">
        <w:rPr>
          <w:rStyle w:val="libFootnotenumChar"/>
          <w:rtl/>
        </w:rPr>
        <w:t>(6)</w:t>
      </w:r>
      <w:r w:rsidRPr="005B567D">
        <w:rPr>
          <w:rStyle w:val="libFootnotenumChar"/>
          <w:rtl/>
        </w:rPr>
        <w:t xml:space="preserve"> </w:t>
      </w:r>
      <w:r w:rsidRPr="00C9040A">
        <w:rPr>
          <w:rtl/>
          <w:lang w:bidi="fa-IR"/>
        </w:rPr>
        <w:t>الْعَالَمِ ، وَالْإِنْصَافُ مِنْ نَفْسِهِ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0B6F6E">
        <w:rPr>
          <w:rtl/>
        </w:rPr>
        <w:t>1765</w:t>
      </w:r>
      <w:r w:rsidRPr="00261CB0">
        <w:rPr>
          <w:rStyle w:val="libBold2Char"/>
          <w:rtl/>
        </w:rPr>
        <w:t xml:space="preserve"> / 3.</w:t>
      </w:r>
      <w:r w:rsidRPr="00C9040A">
        <w:rPr>
          <w:rtl/>
          <w:lang w:bidi="fa-IR"/>
        </w:rPr>
        <w:t xml:space="preserve"> عَلِيُّ بْنُ إِبْرَاهِيمَ ، عَنْ أَبِيهِ ، عَنِ ابْنِ مَحْبُوبٍ ، عَنْ هِشَامِ بْنِ سَالِمٍ ، عَنْ أَبِي بَصِيرٍ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أَتى رَسُولَ اللهِ </w:t>
      </w:r>
      <w:r w:rsidR="004A4E41" w:rsidRPr="004A4E41">
        <w:rPr>
          <w:rStyle w:val="libAlaemChar"/>
          <w:rtl/>
        </w:rPr>
        <w:t>صلى‌الله‌عليه‌وآله</w:t>
      </w:r>
      <w:r w:rsidRPr="00C9040A">
        <w:rPr>
          <w:rtl/>
          <w:lang w:bidi="fa-IR"/>
        </w:rPr>
        <w:t xml:space="preserve"> رَجُلٌ ، فَقَالَ : يَا رَسُولَ اللهِ ، أَوْصِنِي </w:t>
      </w:r>
      <w:r w:rsidR="006C577F" w:rsidRPr="006C577F">
        <w:rPr>
          <w:rStyle w:val="libFootnotenumChar"/>
          <w:rtl/>
        </w:rPr>
        <w:t>(8)</w:t>
      </w:r>
      <w:r w:rsidRPr="00C9040A">
        <w:rPr>
          <w:rtl/>
          <w:lang w:bidi="fa-IR"/>
        </w:rPr>
        <w:t xml:space="preserve"> ، فَكَانَ فِيمَا أَوْصَاهُ </w:t>
      </w:r>
      <w:r w:rsidR="006C577F" w:rsidRPr="006C577F">
        <w:rPr>
          <w:rStyle w:val="libFootnotenumChar"/>
          <w:rtl/>
        </w:rPr>
        <w:t>(9)</w:t>
      </w:r>
      <w:r w:rsidRPr="00C9040A">
        <w:rPr>
          <w:rtl/>
          <w:lang w:bidi="fa-IR"/>
        </w:rPr>
        <w:t xml:space="preserve"> أَنْ قَالَ </w:t>
      </w:r>
      <w:r w:rsidR="006C577F" w:rsidRPr="006C577F">
        <w:rPr>
          <w:rStyle w:val="libFootnotenumChar"/>
          <w:rtl/>
        </w:rPr>
        <w:t>(10)</w:t>
      </w:r>
      <w:r w:rsidRPr="00C9040A">
        <w:rPr>
          <w:rtl/>
          <w:lang w:bidi="fa-IR"/>
        </w:rPr>
        <w:t xml:space="preserve"> : الْقَ أَخَاكَ بِوَجْهٍ مُنْبَسِطٍ »</w:t>
      </w:r>
      <w:r>
        <w:rPr>
          <w:rtl/>
          <w:lang w:bidi="fa-IR"/>
        </w:rPr>
        <w:t>.</w:t>
      </w:r>
      <w:r w:rsidRPr="00C9040A">
        <w:rPr>
          <w:rtl/>
          <w:lang w:bidi="fa-IR"/>
        </w:rPr>
        <w:t xml:space="preserve"> </w:t>
      </w:r>
      <w:r w:rsidR="006C577F" w:rsidRPr="006C577F">
        <w:rPr>
          <w:rStyle w:val="libFootnotenumChar"/>
          <w:rtl/>
        </w:rPr>
        <w:t>(11)</w:t>
      </w:r>
      <w:r w:rsidRPr="00C9040A">
        <w:rPr>
          <w:rtl/>
          <w:lang w:bidi="fa-IR"/>
        </w:rPr>
        <w:t xml:space="preserve"> ‌</w:t>
      </w:r>
    </w:p>
    <w:p w:rsidR="008A74EB" w:rsidRPr="00C9040A" w:rsidRDefault="008A74EB" w:rsidP="008A74EB">
      <w:pPr>
        <w:pStyle w:val="libNormal"/>
        <w:rPr>
          <w:rtl/>
          <w:lang w:bidi="fa-IR"/>
        </w:rPr>
      </w:pPr>
      <w:r w:rsidRPr="000B6F6E">
        <w:rPr>
          <w:rtl/>
        </w:rPr>
        <w:t>1766</w:t>
      </w:r>
      <w:r w:rsidRPr="00261CB0">
        <w:rPr>
          <w:rStyle w:val="libBold2Char"/>
          <w:rtl/>
        </w:rPr>
        <w:t xml:space="preserve"> / 4.</w:t>
      </w:r>
      <w:r w:rsidRPr="00C9040A">
        <w:rPr>
          <w:rtl/>
          <w:lang w:bidi="fa-IR"/>
        </w:rPr>
        <w:t xml:space="preserve"> عَنْهُ </w:t>
      </w:r>
      <w:r w:rsidR="006C577F" w:rsidRPr="006C577F">
        <w:rPr>
          <w:rStyle w:val="libFootnotenumChar"/>
          <w:rtl/>
        </w:rPr>
        <w:t>(12)</w:t>
      </w:r>
      <w:r w:rsidRPr="00C9040A">
        <w:rPr>
          <w:rtl/>
          <w:lang w:bidi="fa-IR"/>
        </w:rPr>
        <w:t xml:space="preserve"> ، عَنِ ابْنِ مَحْبُوبٍ ، عَنْ بَعْضِ أَصْحَابِهِ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الضمير المستتر في « رواه » راجع إلى أحمد بن محمّد المذكور في السند السابق ؛ فإنّ القاسم بن يحيى هذا ، روى عنه أحمد بن محمّد بن خالد وأحمد بن محمّد بن عيسى. وأحمد بن محمّد في مشايخ العدّة مشترك بينهما. راجع : </w:t>
      </w:r>
      <w:r w:rsidR="008A74EB" w:rsidRPr="00993B55">
        <w:rPr>
          <w:rStyle w:val="libFootnoteBoldChar"/>
          <w:rtl/>
        </w:rPr>
        <w:t>معجم رجال الحديث</w:t>
      </w:r>
      <w:r w:rsidR="008A74EB" w:rsidRPr="00C9040A">
        <w:rPr>
          <w:rtl/>
        </w:rPr>
        <w:t xml:space="preserve"> ، ج 14 ، ص 368</w:t>
      </w:r>
      <w:r w:rsidR="008A74EB">
        <w:rPr>
          <w:rtl/>
        </w:rPr>
        <w:t xml:space="preserve"> </w:t>
      </w:r>
      <w:r w:rsidR="0084262C">
        <w:rPr>
          <w:rtl/>
        </w:rPr>
        <w:t>-</w:t>
      </w:r>
      <w:r w:rsidR="008A74EB">
        <w:rPr>
          <w:rtl/>
        </w:rPr>
        <w:t xml:space="preserve"> </w:t>
      </w:r>
      <w:r w:rsidR="008A74EB" w:rsidRPr="00C9040A">
        <w:rPr>
          <w:rtl/>
        </w:rPr>
        <w:t>370.</w:t>
      </w:r>
    </w:p>
    <w:p w:rsidR="008A74EB" w:rsidRPr="004A4E41" w:rsidRDefault="006C577F" w:rsidP="004A4E41">
      <w:pPr>
        <w:pStyle w:val="libFootnote0"/>
        <w:rPr>
          <w:rStyle w:val="libFootnote0Char"/>
          <w:rtl/>
        </w:rPr>
      </w:pPr>
      <w:r>
        <w:rPr>
          <w:rtl/>
        </w:rPr>
        <w:t>(2).</w:t>
      </w:r>
      <w:r w:rsidR="008A74EB">
        <w:rPr>
          <w:rtl/>
        </w:rPr>
        <w:t xml:space="preserve"> </w:t>
      </w:r>
      <w:r w:rsidR="008A74EB" w:rsidRPr="00993B55">
        <w:rPr>
          <w:rStyle w:val="libFootnoteBoldChar"/>
          <w:rtl/>
        </w:rPr>
        <w:t>الوافي</w:t>
      </w:r>
      <w:r w:rsidR="008A74EB" w:rsidRPr="00C9040A">
        <w:rPr>
          <w:rtl/>
        </w:rPr>
        <w:t xml:space="preserve"> ، ج 4 ، ص 427 ، ح 2251 ؛ </w:t>
      </w:r>
      <w:r w:rsidR="008A74EB" w:rsidRPr="00993B55">
        <w:rPr>
          <w:rStyle w:val="libFootnoteBoldChar"/>
          <w:rtl/>
        </w:rPr>
        <w:t>الوسائل</w:t>
      </w:r>
      <w:r w:rsidR="008A74EB" w:rsidRPr="00C9040A">
        <w:rPr>
          <w:rtl/>
        </w:rPr>
        <w:t xml:space="preserve"> ، ج 12 ، ص 160 ، ح 15951 ؛ </w:t>
      </w:r>
      <w:r w:rsidR="008A74EB" w:rsidRPr="00993B55">
        <w:rPr>
          <w:rStyle w:val="libFootnoteBoldChar"/>
          <w:rtl/>
        </w:rPr>
        <w:t>البحار</w:t>
      </w:r>
      <w:r w:rsidR="008A74EB" w:rsidRPr="00C9040A">
        <w:rPr>
          <w:rtl/>
        </w:rPr>
        <w:t xml:space="preserve"> ، ج 74 ، ص 169 ، ذيل ح 36.</w:t>
      </w:r>
    </w:p>
    <w:tbl>
      <w:tblPr>
        <w:tblStyle w:val="TableGrid"/>
        <w:bidiVisual/>
        <w:tblW w:w="0" w:type="auto"/>
        <w:tblLook w:val="04A0" w:firstRow="1" w:lastRow="0" w:firstColumn="1" w:lastColumn="0" w:noHBand="0" w:noVBand="1"/>
      </w:tblPr>
      <w:tblGrid>
        <w:gridCol w:w="4006"/>
        <w:gridCol w:w="4006"/>
      </w:tblGrid>
      <w:tr w:rsidR="00690216" w:rsidTr="00690216">
        <w:tc>
          <w:tcPr>
            <w:tcW w:w="4006" w:type="dxa"/>
          </w:tcPr>
          <w:p w:rsidR="00690216" w:rsidRDefault="00690216" w:rsidP="004A4E41">
            <w:pPr>
              <w:pStyle w:val="libFootnote0"/>
              <w:rPr>
                <w:rtl/>
              </w:rPr>
            </w:pPr>
            <w:r>
              <w:rPr>
                <w:rtl/>
              </w:rPr>
              <w:t>(3).</w:t>
            </w:r>
            <w:r w:rsidRPr="00C9040A">
              <w:rPr>
                <w:rtl/>
              </w:rPr>
              <w:t xml:space="preserve"> الضمير راجع إلى أحمد بن محمّد.</w:t>
            </w:r>
          </w:p>
        </w:tc>
        <w:tc>
          <w:tcPr>
            <w:tcW w:w="4006" w:type="dxa"/>
          </w:tcPr>
          <w:p w:rsidR="00690216" w:rsidRDefault="00690216" w:rsidP="004A4E41">
            <w:pPr>
              <w:pStyle w:val="libFootnote0"/>
              <w:rPr>
                <w:rtl/>
              </w:rPr>
            </w:pPr>
            <w:r>
              <w:rPr>
                <w:rtl/>
              </w:rPr>
              <w:t>(4).</w:t>
            </w:r>
            <w:r w:rsidRPr="00C9040A">
              <w:rPr>
                <w:rtl/>
              </w:rPr>
              <w:t xml:space="preserve"> في « ز » : + « في سبيل الله »</w:t>
            </w:r>
            <w:r>
              <w:rPr>
                <w:rtl/>
              </w:rPr>
              <w:t>.</w:t>
            </w:r>
          </w:p>
        </w:tc>
      </w:tr>
    </w:tbl>
    <w:p w:rsidR="008A74EB" w:rsidRPr="00C9040A" w:rsidRDefault="006C577F" w:rsidP="004A4E41">
      <w:pPr>
        <w:pStyle w:val="libFootnote0"/>
        <w:rPr>
          <w:rtl/>
          <w:lang w:bidi="fa-IR"/>
        </w:rPr>
      </w:pPr>
      <w:r>
        <w:rPr>
          <w:rtl/>
        </w:rPr>
        <w:t>(5).</w:t>
      </w:r>
      <w:r w:rsidR="008A74EB" w:rsidRPr="00C9040A">
        <w:rPr>
          <w:rtl/>
        </w:rPr>
        <w:t xml:space="preserve"> في حاشية « ز » : « افتقار »</w:t>
      </w:r>
      <w:r w:rsidR="008A74EB">
        <w:rPr>
          <w:rtl/>
        </w:rPr>
        <w:t>.</w:t>
      </w:r>
      <w:r w:rsidR="008A74EB" w:rsidRPr="00C9040A">
        <w:rPr>
          <w:rtl/>
        </w:rPr>
        <w:t xml:space="preserve"> وفي الوسائل : « الإقتار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ب ، بر ، بف » ومرآة العقول والوسائل والبحار : « بجميع »</w:t>
      </w:r>
      <w:r w:rsidR="008A74EB">
        <w:rPr>
          <w:rtl/>
        </w:rPr>
        <w:t>.</w:t>
      </w:r>
    </w:p>
    <w:p w:rsidR="008A74EB" w:rsidRPr="004A4E41" w:rsidRDefault="006C577F" w:rsidP="004A4E41">
      <w:pPr>
        <w:pStyle w:val="libFootnote0"/>
        <w:rPr>
          <w:rStyle w:val="libFootnote0Char"/>
          <w:rtl/>
        </w:rPr>
      </w:pPr>
      <w:r>
        <w:rPr>
          <w:rtl/>
        </w:rPr>
        <w:t>(7).</w:t>
      </w:r>
      <w:r w:rsidR="008A74EB" w:rsidRPr="00C9040A">
        <w:rPr>
          <w:rtl/>
        </w:rPr>
        <w:t xml:space="preserve"> </w:t>
      </w:r>
      <w:r w:rsidR="008A74EB" w:rsidRPr="00993B55">
        <w:rPr>
          <w:rStyle w:val="libFootnoteBoldChar"/>
          <w:rtl/>
        </w:rPr>
        <w:t>الوافي</w:t>
      </w:r>
      <w:r w:rsidR="008A74EB" w:rsidRPr="00C9040A">
        <w:rPr>
          <w:rtl/>
        </w:rPr>
        <w:t xml:space="preserve"> ، ج 4 ، ص 427 ، ح 2252 ؛ </w:t>
      </w:r>
      <w:r w:rsidR="008A74EB" w:rsidRPr="00993B55">
        <w:rPr>
          <w:rStyle w:val="libFootnoteBoldChar"/>
          <w:rtl/>
        </w:rPr>
        <w:t>الوسائل</w:t>
      </w:r>
      <w:r w:rsidR="008A74EB" w:rsidRPr="00C9040A">
        <w:rPr>
          <w:rtl/>
        </w:rPr>
        <w:t xml:space="preserve"> ، ج 12 ، ص 161 ، ح 15952 ؛ </w:t>
      </w:r>
      <w:r w:rsidR="008A74EB" w:rsidRPr="00993B55">
        <w:rPr>
          <w:rStyle w:val="libFootnoteBoldChar"/>
          <w:rtl/>
        </w:rPr>
        <w:t>البحار</w:t>
      </w:r>
      <w:r w:rsidR="008A74EB" w:rsidRPr="00C9040A">
        <w:rPr>
          <w:rtl/>
        </w:rPr>
        <w:t xml:space="preserve"> ، ج 74 ، ص 169 ، ح 37.</w:t>
      </w:r>
    </w:p>
    <w:tbl>
      <w:tblPr>
        <w:tblStyle w:val="TableGrid"/>
        <w:bidiVisual/>
        <w:tblW w:w="0" w:type="auto"/>
        <w:tblLook w:val="04A0" w:firstRow="1" w:lastRow="0" w:firstColumn="1" w:lastColumn="0" w:noHBand="0" w:noVBand="1"/>
      </w:tblPr>
      <w:tblGrid>
        <w:gridCol w:w="4006"/>
        <w:gridCol w:w="4006"/>
      </w:tblGrid>
      <w:tr w:rsidR="003D0700" w:rsidTr="003D0700">
        <w:tc>
          <w:tcPr>
            <w:tcW w:w="4006" w:type="dxa"/>
          </w:tcPr>
          <w:p w:rsidR="003D0700" w:rsidRDefault="003D0700" w:rsidP="004A4E41">
            <w:pPr>
              <w:pStyle w:val="libFootnote0"/>
              <w:rPr>
                <w:rtl/>
              </w:rPr>
            </w:pPr>
            <w:r>
              <w:rPr>
                <w:rtl/>
              </w:rPr>
              <w:t>(8).</w:t>
            </w:r>
            <w:r w:rsidRPr="00C9040A">
              <w:rPr>
                <w:rtl/>
              </w:rPr>
              <w:t xml:space="preserve"> في « ص » : + « فأوصاه »</w:t>
            </w:r>
            <w:r>
              <w:rPr>
                <w:rtl/>
              </w:rPr>
              <w:t>.</w:t>
            </w:r>
          </w:p>
        </w:tc>
        <w:tc>
          <w:tcPr>
            <w:tcW w:w="4006" w:type="dxa"/>
          </w:tcPr>
          <w:p w:rsidR="003D0700" w:rsidRDefault="003D0700" w:rsidP="004A4E41">
            <w:pPr>
              <w:pStyle w:val="libFootnote0"/>
              <w:rPr>
                <w:rtl/>
              </w:rPr>
            </w:pPr>
            <w:r>
              <w:rPr>
                <w:rtl/>
              </w:rPr>
              <w:t>(9). في«ف»:</w:t>
            </w:r>
            <w:r w:rsidRPr="00C9040A">
              <w:rPr>
                <w:rtl/>
              </w:rPr>
              <w:t>« فأوصاه » بدل « فكان فيما أوصاه »</w:t>
            </w:r>
            <w:r>
              <w:rPr>
                <w:rtl/>
              </w:rPr>
              <w:t>.</w:t>
            </w:r>
          </w:p>
        </w:tc>
      </w:tr>
    </w:tbl>
    <w:p w:rsidR="008A74EB" w:rsidRPr="00C9040A" w:rsidRDefault="006C577F" w:rsidP="004A4E41">
      <w:pPr>
        <w:pStyle w:val="libFootnote0"/>
        <w:rPr>
          <w:rtl/>
          <w:lang w:bidi="fa-IR"/>
        </w:rPr>
      </w:pPr>
      <w:r>
        <w:rPr>
          <w:rtl/>
        </w:rPr>
        <w:t>(10).</w:t>
      </w:r>
      <w:r w:rsidR="008A74EB" w:rsidRPr="00C9040A">
        <w:rPr>
          <w:rtl/>
        </w:rPr>
        <w:t xml:space="preserve"> في « بر » </w:t>
      </w:r>
      <w:r w:rsidR="008A74EB">
        <w:rPr>
          <w:rtl/>
        </w:rPr>
        <w:t xml:space="preserve">: </w:t>
      </w:r>
      <w:r w:rsidR="0084262C">
        <w:rPr>
          <w:rtl/>
        </w:rPr>
        <w:t>-</w:t>
      </w:r>
      <w:r w:rsidR="008A74EB" w:rsidRPr="00C9040A">
        <w:rPr>
          <w:rtl/>
        </w:rPr>
        <w:t xml:space="preserve"> « قال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w:t>
      </w:r>
      <w:r w:rsidR="008A74EB" w:rsidRPr="00993B55">
        <w:rPr>
          <w:rStyle w:val="libFootnoteBoldChar"/>
          <w:rtl/>
        </w:rPr>
        <w:t>الزهد</w:t>
      </w:r>
      <w:r w:rsidR="008A74EB" w:rsidRPr="00C9040A">
        <w:rPr>
          <w:rtl/>
        </w:rPr>
        <w:t xml:space="preserve"> ، ص 81 ، ح 45 ، بسند آخر عن زيد بن عليّ ، عن آبائه ، عن عليّ </w:t>
      </w:r>
      <w:r w:rsidR="00117575" w:rsidRPr="00117575">
        <w:rPr>
          <w:rStyle w:val="libFootnoteAlaemChar"/>
          <w:rtl/>
        </w:rPr>
        <w:t>عليهم‌السلام</w:t>
      </w:r>
      <w:r w:rsidR="008A74EB" w:rsidRPr="00C9040A">
        <w:rPr>
          <w:rtl/>
        </w:rPr>
        <w:t xml:space="preserve">. </w:t>
      </w:r>
      <w:r w:rsidR="008A74EB" w:rsidRPr="00993B55">
        <w:rPr>
          <w:rStyle w:val="libFootnoteBoldChar"/>
          <w:rtl/>
        </w:rPr>
        <w:t>تحف العقول</w:t>
      </w:r>
      <w:r w:rsidR="008A74EB" w:rsidRPr="00C9040A">
        <w:rPr>
          <w:rtl/>
        </w:rPr>
        <w:t xml:space="preserve"> ، ص 41 ، عن رسول الله </w:t>
      </w:r>
      <w:r w:rsidR="004A4E41" w:rsidRPr="00AC2E2F">
        <w:rPr>
          <w:rStyle w:val="libFootnoteAlaemChar"/>
          <w:rtl/>
        </w:rPr>
        <w:t>صلى‌الله‌عليه‌وآله</w:t>
      </w:r>
      <w:r w:rsidR="008A74EB" w:rsidRPr="00C9040A">
        <w:rPr>
          <w:rtl/>
        </w:rPr>
        <w:t xml:space="preserve"> ، وفيهما مع اختلاف يسير وزيادة في أوّله وآخره</w:t>
      </w:r>
      <w:r w:rsidR="00FA6B87">
        <w:rPr>
          <w:rFonts w:hint="cs"/>
          <w:rtl/>
        </w:rPr>
        <w:t>.</w:t>
      </w:r>
      <w:r w:rsidR="008A74EB" w:rsidRPr="00993B55">
        <w:rPr>
          <w:rStyle w:val="libFootnoteBoldChar"/>
          <w:rtl/>
        </w:rPr>
        <w:t>الوافي</w:t>
      </w:r>
      <w:r w:rsidR="008A74EB" w:rsidRPr="00C9040A">
        <w:rPr>
          <w:rtl/>
        </w:rPr>
        <w:t xml:space="preserve"> ، ج 4 ، ص 427 ، ح 2253 ؛ </w:t>
      </w:r>
      <w:r w:rsidR="008A74EB" w:rsidRPr="00FA6B87">
        <w:rPr>
          <w:rStyle w:val="libFootnoteBoldChar"/>
          <w:rtl/>
        </w:rPr>
        <w:t>الوسائل</w:t>
      </w:r>
      <w:r w:rsidR="008A74EB" w:rsidRPr="00C9040A">
        <w:rPr>
          <w:rtl/>
        </w:rPr>
        <w:t xml:space="preserve"> ، ج 12 ، ص 160 ، ح 15948 ؛ </w:t>
      </w:r>
      <w:r w:rsidR="008A74EB" w:rsidRPr="00993B55">
        <w:rPr>
          <w:rStyle w:val="libFootnoteBoldChar"/>
          <w:rtl/>
        </w:rPr>
        <w:t>البحار</w:t>
      </w:r>
      <w:r w:rsidR="008A74EB" w:rsidRPr="00C9040A">
        <w:rPr>
          <w:rtl/>
        </w:rPr>
        <w:t xml:space="preserve"> ، ج 74 ، ص 171 ، ح 38.</w:t>
      </w:r>
    </w:p>
    <w:p w:rsidR="008A74EB" w:rsidRPr="00C9040A" w:rsidRDefault="006C577F" w:rsidP="004A4E41">
      <w:pPr>
        <w:pStyle w:val="libFootnote0"/>
        <w:rPr>
          <w:rtl/>
          <w:lang w:bidi="fa-IR"/>
        </w:rPr>
      </w:pPr>
      <w:r>
        <w:rPr>
          <w:rtl/>
        </w:rPr>
        <w:t>(12).</w:t>
      </w:r>
      <w:r w:rsidR="008A74EB" w:rsidRPr="00C9040A">
        <w:rPr>
          <w:rtl/>
        </w:rPr>
        <w:t xml:space="preserve"> روى عليّ بن إبراهيم ، عن أبيه ، عن [ الحسن ] بن محبوب في كثيرٍ من الأسناد. والظاهر البدوي من السند </w:t>
      </w:r>
      <w:r w:rsidR="00FA6B87">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قُلْتُ لَهُ </w:t>
      </w:r>
      <w:r w:rsidR="006C577F" w:rsidRPr="006C577F">
        <w:rPr>
          <w:rStyle w:val="libFootnotenumChar"/>
          <w:rtl/>
        </w:rPr>
        <w:t>(1)</w:t>
      </w:r>
      <w:r w:rsidRPr="002D2273">
        <w:rPr>
          <w:rFonts w:hint="cs"/>
          <w:rtl/>
        </w:rPr>
        <w:t xml:space="preserve"> </w:t>
      </w:r>
      <w:r w:rsidRPr="00C9040A">
        <w:rPr>
          <w:rtl/>
          <w:lang w:bidi="fa-IR"/>
        </w:rPr>
        <w:t>: مَا حَدُّ حُسْنِ الْخُلُقِ</w:t>
      </w:r>
      <w:r>
        <w:rPr>
          <w:rtl/>
          <w:lang w:bidi="fa-IR"/>
        </w:rPr>
        <w:t>؟</w:t>
      </w:r>
    </w:p>
    <w:p w:rsidR="008A74EB" w:rsidRPr="00C9040A" w:rsidRDefault="008A74EB" w:rsidP="008A74EB">
      <w:pPr>
        <w:pStyle w:val="libNormal"/>
        <w:rPr>
          <w:rtl/>
          <w:lang w:bidi="fa-IR"/>
        </w:rPr>
      </w:pPr>
      <w:r w:rsidRPr="00C9040A">
        <w:rPr>
          <w:rtl/>
          <w:lang w:bidi="fa-IR"/>
        </w:rPr>
        <w:t xml:space="preserve">قَالَ : « تُلِينُ </w:t>
      </w:r>
      <w:r w:rsidR="006C577F" w:rsidRPr="006C577F">
        <w:rPr>
          <w:rStyle w:val="libFootnotenumChar"/>
          <w:rtl/>
        </w:rPr>
        <w:t>(2)</w:t>
      </w:r>
      <w:r w:rsidRPr="00C9040A">
        <w:rPr>
          <w:rtl/>
          <w:lang w:bidi="fa-IR"/>
        </w:rPr>
        <w:t xml:space="preserve"> جَنَاحَكَ </w:t>
      </w:r>
      <w:r w:rsidR="006C577F" w:rsidRPr="006C577F">
        <w:rPr>
          <w:rStyle w:val="libFootnotenumChar"/>
          <w:rtl/>
        </w:rPr>
        <w:t>(3)</w:t>
      </w:r>
      <w:r w:rsidRPr="00C9040A">
        <w:rPr>
          <w:rtl/>
          <w:lang w:bidi="fa-IR"/>
        </w:rPr>
        <w:t xml:space="preserve"> ، وَتُطِيبُ </w:t>
      </w:r>
      <w:r w:rsidR="006C577F" w:rsidRPr="006C577F">
        <w:rPr>
          <w:rStyle w:val="libFootnotenumChar"/>
          <w:rtl/>
        </w:rPr>
        <w:t>(4)</w:t>
      </w:r>
      <w:r w:rsidRPr="00C9040A">
        <w:rPr>
          <w:rtl/>
          <w:lang w:bidi="fa-IR"/>
        </w:rPr>
        <w:t xml:space="preserve"> كَلَامَكَ ، وَتَلْقى أَخَاكَ بِبِشْرٍ حَسَنٍ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8C50BE">
        <w:rPr>
          <w:rtl/>
        </w:rPr>
        <w:t>1767</w:t>
      </w:r>
      <w:r w:rsidRPr="00261CB0">
        <w:rPr>
          <w:rStyle w:val="libBold2Char"/>
          <w:rtl/>
        </w:rPr>
        <w:t xml:space="preserve"> / 5.</w:t>
      </w:r>
      <w:r w:rsidRPr="00C9040A">
        <w:rPr>
          <w:rtl/>
          <w:lang w:bidi="fa-IR"/>
        </w:rPr>
        <w:t xml:space="preserve"> عَنْهُ </w:t>
      </w:r>
      <w:r w:rsidR="006C577F" w:rsidRPr="006C577F">
        <w:rPr>
          <w:rStyle w:val="libFootnotenumChar"/>
          <w:rtl/>
        </w:rPr>
        <w:t>(6)</w:t>
      </w:r>
      <w:r w:rsidRPr="005B567D">
        <w:rPr>
          <w:rStyle w:val="libFootnotenumChar"/>
          <w:rtl/>
        </w:rPr>
        <w:t xml:space="preserve"> </w:t>
      </w:r>
      <w:r w:rsidRPr="00C9040A">
        <w:rPr>
          <w:rtl/>
          <w:lang w:bidi="fa-IR"/>
        </w:rPr>
        <w:t xml:space="preserve">، عَنْ أَبِيهِ ، عَنْ حَمَّادٍ ، عَنْ رِبْعِيٍّ ، عَنْ فُضَيْلٍ </w:t>
      </w:r>
      <w:r w:rsidR="006C577F" w:rsidRPr="006C577F">
        <w:rPr>
          <w:rStyle w:val="libFootnotenumChar"/>
          <w:rtl/>
        </w:rPr>
        <w:t>(7)</w:t>
      </w:r>
      <w:r w:rsidRPr="00C9040A">
        <w:rPr>
          <w:rtl/>
          <w:lang w:bidi="fa-IR"/>
        </w:rPr>
        <w:t xml:space="preserve"> ، قَالَ </w:t>
      </w:r>
      <w:r w:rsidR="006C577F" w:rsidRPr="006C577F">
        <w:rPr>
          <w:rStyle w:val="libFootnotenumChar"/>
          <w:rtl/>
        </w:rPr>
        <w:t>(8)</w:t>
      </w:r>
      <w:r w:rsidRPr="00C9040A">
        <w:rPr>
          <w:rtl/>
          <w:lang w:bidi="fa-IR"/>
        </w:rPr>
        <w:t xml:space="preserve"> :</w:t>
      </w:r>
    </w:p>
    <w:p w:rsidR="008A74EB" w:rsidRPr="00C9040A" w:rsidRDefault="008A74EB" w:rsidP="008A74EB">
      <w:pPr>
        <w:pStyle w:val="libNormal"/>
        <w:rPr>
          <w:rtl/>
          <w:lang w:bidi="fa-IR"/>
        </w:rPr>
      </w:pPr>
      <w:r w:rsidRPr="00C9040A">
        <w:rPr>
          <w:rtl/>
          <w:lang w:bidi="fa-IR"/>
        </w:rPr>
        <w:t xml:space="preserve">صَنَائِعُ الْمَعْرُوفِ وَحُسْنُ الْبِشْرِ يَكْسِبَانِ الْمَحَبَّةَ ، وَيُدْخِلَانِ الْجَنَّةَ ؛ وَالْبُخْلُ وَعُبُوسُ الْوَجْهِ يُبْعِدَانِ مِنَ اللهِ ، وَيُدْخِلَانِ النَّارَ. </w:t>
      </w:r>
      <w:r w:rsidR="006C577F" w:rsidRPr="006C577F">
        <w:rPr>
          <w:rStyle w:val="libFootnotenumChar"/>
          <w:rtl/>
        </w:rPr>
        <w:t>(9)</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8C460C" w:rsidP="004A4E41">
      <w:pPr>
        <w:pStyle w:val="libFootnote0"/>
        <w:rPr>
          <w:rtl/>
          <w:lang w:bidi="fa-IR"/>
        </w:rPr>
      </w:pPr>
      <w:r>
        <w:rPr>
          <w:rFonts w:hint="cs"/>
          <w:rtl/>
        </w:rPr>
        <w:t xml:space="preserve">= </w:t>
      </w:r>
      <w:r w:rsidR="008A74EB" w:rsidRPr="00C9040A">
        <w:rPr>
          <w:rtl/>
        </w:rPr>
        <w:t xml:space="preserve">رجوع ضمير « عنه » إلى لفظة « أبيه » في السند السابق ، وبه أخذ الشيخ الحرّ في </w:t>
      </w:r>
      <w:r w:rsidR="008A74EB" w:rsidRPr="00993B55">
        <w:rPr>
          <w:rStyle w:val="libFootnoteBoldChar"/>
          <w:rtl/>
        </w:rPr>
        <w:t>الوسائل</w:t>
      </w:r>
      <w:r w:rsidR="008A74EB" w:rsidRPr="00C9040A">
        <w:rPr>
          <w:rtl/>
        </w:rPr>
        <w:t xml:space="preserve"> ، ج 12 ، ح 15949. لكن يأتي في نفس المجلّد ، ذيل ح 3389 ، عدم ثبوت رجوع الضمير إلى إبراهيم بن هاشم المعبَّر عنه</w:t>
      </w:r>
      <w:r w:rsidR="008A74EB">
        <w:rPr>
          <w:rtl/>
        </w:rPr>
        <w:t xml:space="preserve"> ب</w:t>
      </w:r>
      <w:r w:rsidR="007F21C0">
        <w:rPr>
          <w:rFonts w:hint="cs"/>
          <w:rtl/>
        </w:rPr>
        <w:t>ـ</w:t>
      </w:r>
      <w:r w:rsidR="008A74EB">
        <w:rPr>
          <w:rtl/>
        </w:rPr>
        <w:t xml:space="preserve"> «</w:t>
      </w:r>
      <w:r w:rsidR="008A74EB" w:rsidRPr="00C9040A">
        <w:rPr>
          <w:rtl/>
        </w:rPr>
        <w:t xml:space="preserve"> أبيه » في شي‌ءٍ من أسناد </w:t>
      </w:r>
      <w:r w:rsidR="008A74EB" w:rsidRPr="00993B55">
        <w:rPr>
          <w:rStyle w:val="libFootnoteBoldChar"/>
          <w:rtl/>
        </w:rPr>
        <w:t>الكافي</w:t>
      </w:r>
      <w:r w:rsidR="008A74EB" w:rsidRPr="00C9040A">
        <w:rPr>
          <w:rtl/>
        </w:rPr>
        <w:t>.</w:t>
      </w:r>
    </w:p>
    <w:p w:rsidR="008A74EB" w:rsidRPr="00C9040A" w:rsidRDefault="008A74EB" w:rsidP="004A4E41">
      <w:pPr>
        <w:pStyle w:val="libFootnote0"/>
        <w:rPr>
          <w:rtl/>
          <w:lang w:bidi="fa-IR"/>
        </w:rPr>
      </w:pPr>
      <w:r w:rsidRPr="0082575F">
        <w:rPr>
          <w:rtl/>
        </w:rPr>
        <w:t>والظاهر من ملاحظة الأسناد السابقة في الباب ، رجوع الضمير إلى أحمد بن محمّد المشترك بين ابن عيسى وابن خالد البرقي.</w:t>
      </w:r>
    </w:p>
    <w:p w:rsidR="008A74EB" w:rsidRPr="00C9040A" w:rsidRDefault="008A74EB" w:rsidP="004A4E41">
      <w:pPr>
        <w:pStyle w:val="libFootnote0"/>
        <w:rPr>
          <w:rtl/>
          <w:lang w:bidi="fa-IR"/>
        </w:rPr>
      </w:pPr>
      <w:r w:rsidRPr="00323A39">
        <w:rPr>
          <w:rtl/>
        </w:rPr>
        <w:t xml:space="preserve">ويؤكّد ذلك ورد الخبر في </w:t>
      </w:r>
      <w:r w:rsidRPr="00993B55">
        <w:rPr>
          <w:rStyle w:val="libFootnoteBoldChar"/>
          <w:rtl/>
        </w:rPr>
        <w:t>معاني الأخبار</w:t>
      </w:r>
      <w:r w:rsidRPr="00323A39">
        <w:rPr>
          <w:rtl/>
        </w:rPr>
        <w:t xml:space="preserve"> ، بسنده عن أحمد بن محمّد بن عيسى. عن الحسن بن محبوب ، عن بعض أصحابنا قال قلت لأبي عبدالله </w:t>
      </w:r>
      <w:r w:rsidR="00117575" w:rsidRPr="00117575">
        <w:rPr>
          <w:rStyle w:val="libFootnoteAlaemChar"/>
          <w:rtl/>
        </w:rPr>
        <w:t xml:space="preserve">عليه‌السلام </w:t>
      </w:r>
      <w:r w:rsidRPr="00323A39">
        <w:rPr>
          <w:rtl/>
        </w:rPr>
        <w:t>.</w:t>
      </w:r>
      <w:r w:rsidR="007F21C0">
        <w:rPr>
          <w:rFonts w:hint="cs"/>
          <w:rtl/>
        </w:rPr>
        <w:t xml:space="preserve">                              </w:t>
      </w:r>
      <w:r w:rsidR="006C577F">
        <w:rPr>
          <w:rtl/>
        </w:rPr>
        <w:t>(1).</w:t>
      </w:r>
      <w:r w:rsidRPr="00C9040A">
        <w:rPr>
          <w:rtl/>
        </w:rPr>
        <w:t xml:space="preserve"> في الوسائل والبحار </w:t>
      </w:r>
      <w:r>
        <w:rPr>
          <w:rtl/>
        </w:rPr>
        <w:t xml:space="preserve">: </w:t>
      </w:r>
      <w:r w:rsidR="0084262C">
        <w:rPr>
          <w:rtl/>
        </w:rPr>
        <w:t>-</w:t>
      </w:r>
      <w:r w:rsidRPr="00C9040A">
        <w:rPr>
          <w:rtl/>
        </w:rPr>
        <w:t xml:space="preserve"> « له »</w:t>
      </w:r>
      <w:r>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يجوز في الكلمة الإفعال والتفعيل.</w:t>
      </w:r>
    </w:p>
    <w:p w:rsidR="008A74EB" w:rsidRPr="00C9040A" w:rsidRDefault="006C577F" w:rsidP="004A4E41">
      <w:pPr>
        <w:pStyle w:val="libFootnote0"/>
        <w:rPr>
          <w:rtl/>
          <w:lang w:bidi="fa-IR"/>
        </w:rPr>
      </w:pPr>
      <w:r>
        <w:rPr>
          <w:rtl/>
        </w:rPr>
        <w:t>(3).</w:t>
      </w:r>
      <w:r w:rsidR="008A74EB" w:rsidRPr="00C9040A">
        <w:rPr>
          <w:rtl/>
        </w:rPr>
        <w:t xml:space="preserve"> في الفقيه والمعاني : « جانبك »</w:t>
      </w:r>
      <w:r w:rsidR="008A74EB">
        <w:rPr>
          <w:rtl/>
        </w:rPr>
        <w:t>.</w:t>
      </w:r>
      <w:r w:rsidR="008A74EB" w:rsidRPr="00C9040A">
        <w:rPr>
          <w:rtl/>
        </w:rPr>
        <w:t xml:space="preserve"> </w:t>
      </w:r>
      <w:r w:rsidR="008A74EB">
        <w:rPr>
          <w:rtl/>
        </w:rPr>
        <w:t>و «</w:t>
      </w:r>
      <w:r w:rsidR="008A74EB" w:rsidRPr="00C9040A">
        <w:rPr>
          <w:rtl/>
        </w:rPr>
        <w:t xml:space="preserve"> الجناح » : جناح الطائر. وسمّي جانبا الشي‌ء جَناحيه ، فقيل : جناحا الإنسان لجانبيه. والمراد أن تتواضع ، نظير قوله تعالى : </w:t>
      </w:r>
      <w:r w:rsidR="008A74EB" w:rsidRPr="00AC2E2F">
        <w:rPr>
          <w:rStyle w:val="libFootnoteAlaemChar"/>
          <w:rtl/>
        </w:rPr>
        <w:t>(</w:t>
      </w:r>
      <w:r w:rsidR="008A74EB" w:rsidRPr="00883DD5">
        <w:rPr>
          <w:rStyle w:val="libFootnoteAieChar"/>
          <w:rFonts w:hint="cs"/>
          <w:rtl/>
        </w:rPr>
        <w:t xml:space="preserve"> </w:t>
      </w:r>
      <w:r w:rsidR="008A74EB" w:rsidRPr="00883DD5">
        <w:rPr>
          <w:rStyle w:val="libFootnoteAieChar"/>
          <w:rtl/>
        </w:rPr>
        <w:t>وَاخْفِضْ جَناحَكَ لِلْمُؤْمِنِينَ</w:t>
      </w:r>
      <w:r w:rsidR="008A74EB" w:rsidRPr="00883DD5">
        <w:rPr>
          <w:rStyle w:val="libFootnoteAieChar"/>
          <w:rFonts w:hint="cs"/>
          <w:rtl/>
        </w:rPr>
        <w:t xml:space="preserve"> </w:t>
      </w:r>
      <w:r w:rsidR="008A74EB" w:rsidRPr="00AC2E2F">
        <w:rPr>
          <w:rStyle w:val="libFootnoteAlaemChar"/>
          <w:rtl/>
        </w:rPr>
        <w:t>)</w:t>
      </w:r>
      <w:r w:rsidR="008A74EB" w:rsidRPr="00C9040A">
        <w:rPr>
          <w:rtl/>
        </w:rPr>
        <w:t xml:space="preserve"> [ الحجر (15) : 88 ]</w:t>
      </w:r>
      <w:r w:rsidR="008A74EB">
        <w:rPr>
          <w:rtl/>
        </w:rPr>
        <w:t>.</w:t>
      </w:r>
      <w:r w:rsidR="008A74EB" w:rsidRPr="00C9040A">
        <w:rPr>
          <w:rtl/>
        </w:rPr>
        <w:t xml:space="preserve"> راجع : </w:t>
      </w:r>
      <w:r w:rsidR="008A74EB" w:rsidRPr="00993B55">
        <w:rPr>
          <w:rStyle w:val="libFootnoteBoldChar"/>
          <w:rtl/>
        </w:rPr>
        <w:t>المفردات</w:t>
      </w:r>
      <w:r w:rsidR="008A74EB" w:rsidRPr="00C9040A">
        <w:rPr>
          <w:rtl/>
        </w:rPr>
        <w:t xml:space="preserve"> للراغب ، ص 206 ( جنح ) ؛ </w:t>
      </w:r>
      <w:r w:rsidR="008A74EB" w:rsidRPr="00993B55">
        <w:rPr>
          <w:rStyle w:val="libFootnoteBoldChar"/>
          <w:rtl/>
        </w:rPr>
        <w:t>أساس البلاغة</w:t>
      </w:r>
      <w:r w:rsidR="008A74EB" w:rsidRPr="00C9040A">
        <w:rPr>
          <w:rtl/>
        </w:rPr>
        <w:t xml:space="preserve"> ، ص 419 ( لين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يجوز في الكلمة الإفعال والتفعيل.</w:t>
      </w:r>
    </w:p>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معاني الأخبار</w:t>
      </w:r>
      <w:r w:rsidR="008A74EB" w:rsidRPr="00C9040A">
        <w:rPr>
          <w:rtl/>
        </w:rPr>
        <w:t xml:space="preserve"> ، ص 253 ، ح 1 ، بسنده عن الحسن بن محبوب ، عن بعض أصحابه. </w:t>
      </w:r>
      <w:r w:rsidR="008A74EB" w:rsidRPr="00993B55">
        <w:rPr>
          <w:rStyle w:val="libFootnoteBoldChar"/>
          <w:rtl/>
        </w:rPr>
        <w:t>الفقيه</w:t>
      </w:r>
      <w:r w:rsidR="008A74EB" w:rsidRPr="00C9040A">
        <w:rPr>
          <w:rtl/>
        </w:rPr>
        <w:t xml:space="preserve"> ، ج 4 ، ص 412 ، ح 5897 ، مرسلاً</w:t>
      </w:r>
      <w:r w:rsidR="007F21C0">
        <w:rPr>
          <w:rFonts w:hint="cs"/>
          <w:rtl/>
        </w:rPr>
        <w:t>.</w:t>
      </w:r>
      <w:r w:rsidR="008A74EB" w:rsidRPr="00993B55">
        <w:rPr>
          <w:rStyle w:val="libFootnoteBoldChar"/>
          <w:rtl/>
        </w:rPr>
        <w:t>الوافي</w:t>
      </w:r>
      <w:r w:rsidR="008A74EB" w:rsidRPr="00C9040A">
        <w:rPr>
          <w:rtl/>
        </w:rPr>
        <w:t xml:space="preserve"> ، ج 4 ، ص 427 ، ح 2254 ؛ </w:t>
      </w:r>
      <w:r w:rsidR="008A74EB" w:rsidRPr="00993B55">
        <w:rPr>
          <w:rStyle w:val="libFootnoteBoldChar"/>
          <w:rtl/>
        </w:rPr>
        <w:t>الوسائل</w:t>
      </w:r>
      <w:r w:rsidR="008A74EB" w:rsidRPr="00C9040A">
        <w:rPr>
          <w:rtl/>
        </w:rPr>
        <w:t xml:space="preserve"> ، ج 12 ، ص 160 ، ح 15949 ؛ </w:t>
      </w:r>
      <w:r w:rsidR="008A74EB" w:rsidRPr="00993B55">
        <w:rPr>
          <w:rStyle w:val="libFootnoteBoldChar"/>
          <w:rtl/>
        </w:rPr>
        <w:t>البحار</w:t>
      </w:r>
      <w:r w:rsidR="008A74EB" w:rsidRPr="00C9040A">
        <w:rPr>
          <w:rtl/>
        </w:rPr>
        <w:t xml:space="preserve"> ، ج 74 ، ص 171 ، ح 39.</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ض ، ف » : « وعنه »</w:t>
      </w:r>
      <w:r w:rsidR="008A74EB">
        <w:rPr>
          <w:rtl/>
        </w:rPr>
        <w:t>.</w:t>
      </w:r>
      <w:r w:rsidR="008A74EB" w:rsidRPr="00C9040A">
        <w:rPr>
          <w:rtl/>
        </w:rPr>
        <w:t xml:space="preserve"> والضمير راجع إلى عليّ بن إبراهيم المذكور في سند ح 1765 ؛ فقد روى هو عن أبيه ، عن حمّاد بن عيسى ، عن ربعيّ بن عبد الله ، عن الفضيل بن يسار في عدّة من الأسناد. ا</w:t>
      </w:r>
      <w:r w:rsidR="00645ECF">
        <w:rPr>
          <w:rFonts w:hint="cs"/>
          <w:rtl/>
        </w:rPr>
        <w:t>ُ</w:t>
      </w:r>
      <w:r w:rsidR="008A74EB" w:rsidRPr="00C9040A">
        <w:rPr>
          <w:rtl/>
        </w:rPr>
        <w:t>نظر على سبيل المثال ما تقدّم في ح 1694 ، وما يأتي في ح 2239.</w:t>
      </w:r>
    </w:p>
    <w:p w:rsidR="008A74EB" w:rsidRPr="00C9040A" w:rsidRDefault="006C577F" w:rsidP="004A4E41">
      <w:pPr>
        <w:pStyle w:val="libFootnote0"/>
        <w:rPr>
          <w:rtl/>
          <w:lang w:bidi="fa-IR"/>
        </w:rPr>
      </w:pPr>
      <w:r>
        <w:rPr>
          <w:rtl/>
        </w:rPr>
        <w:t>(7).</w:t>
      </w:r>
      <w:r w:rsidR="008A74EB" w:rsidRPr="00C9040A">
        <w:rPr>
          <w:rtl/>
        </w:rPr>
        <w:t xml:space="preserve"> في « ب ، ج ، ض ، ف ، بر » : « الفضل »</w:t>
      </w:r>
      <w:r w:rsidR="008A74EB">
        <w:rPr>
          <w:rtl/>
        </w:rPr>
        <w:t>.</w:t>
      </w:r>
      <w:r w:rsidR="008A74EB" w:rsidRPr="00C9040A">
        <w:rPr>
          <w:rtl/>
        </w:rPr>
        <w:t xml:space="preserve"> وفي « د ، بس ، بف ، ج</w:t>
      </w:r>
      <w:r w:rsidR="00AC2E2F">
        <w:rPr>
          <w:rtl/>
        </w:rPr>
        <w:t>ر » والوسائل والبحار : «الفضيل</w:t>
      </w:r>
      <w:r w:rsidR="008A74EB" w:rsidRPr="00C9040A">
        <w:rPr>
          <w:rtl/>
        </w:rPr>
        <w:t>»</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البحار : + « قال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 والضمير في « قال » راجع إلى الباقر أو الصادق </w:t>
      </w:r>
      <w:r w:rsidR="00117575" w:rsidRPr="00117575">
        <w:rPr>
          <w:rStyle w:val="libFootnoteAlaemChar"/>
          <w:rtl/>
        </w:rPr>
        <w:t>عليهما‌السلام</w:t>
      </w:r>
      <w:r w:rsidR="008A74EB" w:rsidRPr="00C9040A">
        <w:rPr>
          <w:rtl/>
        </w:rPr>
        <w:t xml:space="preserve"> ، وكأنّه سقط من النُسّاخ أو الرواة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w:t>
      </w:r>
      <w:r w:rsidR="008A74EB" w:rsidRPr="00993B55">
        <w:rPr>
          <w:rStyle w:val="libFootnoteBoldChar"/>
          <w:rtl/>
        </w:rPr>
        <w:t>تحف العقول</w:t>
      </w:r>
      <w:r w:rsidR="008A74EB" w:rsidRPr="00C9040A">
        <w:rPr>
          <w:rtl/>
        </w:rPr>
        <w:t xml:space="preserve"> ، ص 296 ، عن أبي جعفر </w:t>
      </w:r>
      <w:r w:rsidR="00117575" w:rsidRPr="00117575">
        <w:rPr>
          <w:rStyle w:val="libFootnoteAlaemChar"/>
          <w:rtl/>
        </w:rPr>
        <w:t>عليه‌السلام</w:t>
      </w:r>
      <w:r w:rsidR="008A74EB" w:rsidRPr="00C9040A">
        <w:rPr>
          <w:rtl/>
        </w:rPr>
        <w:t xml:space="preserve"> ، مع اختلاف يسير</w:t>
      </w:r>
      <w:r w:rsidR="00645ECF">
        <w:rPr>
          <w:rFonts w:hint="cs"/>
          <w:rtl/>
        </w:rPr>
        <w:t>.</w:t>
      </w:r>
      <w:r w:rsidR="008A74EB" w:rsidRPr="00993B55">
        <w:rPr>
          <w:rStyle w:val="libFootnoteBoldChar"/>
          <w:rtl/>
        </w:rPr>
        <w:t>الوافي</w:t>
      </w:r>
      <w:r w:rsidR="008A74EB" w:rsidRPr="00C9040A">
        <w:rPr>
          <w:rtl/>
        </w:rPr>
        <w:t xml:space="preserve"> ، ج 4 ، ص 428 ، ح 2255 ؛ </w:t>
      </w:r>
      <w:r w:rsidR="008A74EB" w:rsidRPr="00993B55">
        <w:rPr>
          <w:rStyle w:val="libFootnoteBoldChar"/>
          <w:rtl/>
        </w:rPr>
        <w:t>الوسائل</w:t>
      </w:r>
      <w:r w:rsidR="008A74EB" w:rsidRPr="00C9040A">
        <w:rPr>
          <w:rtl/>
        </w:rPr>
        <w:t xml:space="preserve"> ، ج 12 ، ص 160 ، ح 15947 ؛ </w:t>
      </w:r>
      <w:r w:rsidR="008A74EB" w:rsidRPr="00993B55">
        <w:rPr>
          <w:rStyle w:val="libFootnoteBoldChar"/>
          <w:rtl/>
        </w:rPr>
        <w:t>البحار</w:t>
      </w:r>
      <w:r w:rsidR="008A74EB" w:rsidRPr="00C9040A">
        <w:rPr>
          <w:rtl/>
        </w:rPr>
        <w:t xml:space="preserve"> ، ج 74 ، ص 172 ، ح 40.</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8C50BE">
        <w:rPr>
          <w:rtl/>
        </w:rPr>
        <w:t>1768</w:t>
      </w:r>
      <w:r w:rsidRPr="00261CB0">
        <w:rPr>
          <w:rStyle w:val="libBold2Char"/>
          <w:rtl/>
        </w:rPr>
        <w:t xml:space="preserve"> / 6.</w:t>
      </w:r>
      <w:r w:rsidRPr="00C9040A">
        <w:rPr>
          <w:rtl/>
          <w:lang w:bidi="fa-IR"/>
        </w:rPr>
        <w:t xml:space="preserve"> عِدَّةٌ مِنْ أَصْحَابِنَا ، عَنْ أَحْمَدَ بْنِ مُحَمَّدٍ ، عَنْ عُثْمَانَ بْنِ عِيسى ، عَنْ سَمَاعَةَ :</w:t>
      </w:r>
    </w:p>
    <w:p w:rsidR="008A74EB" w:rsidRPr="00C9040A" w:rsidRDefault="008A74EB" w:rsidP="008A74EB">
      <w:pPr>
        <w:pStyle w:val="libNormal"/>
        <w:rPr>
          <w:rtl/>
          <w:lang w:bidi="fa-IR"/>
        </w:rPr>
      </w:pPr>
      <w:r w:rsidRPr="00C9040A">
        <w:rPr>
          <w:rtl/>
          <w:lang w:bidi="fa-IR"/>
        </w:rPr>
        <w:t xml:space="preserve">عَنْ أَبِي الْحَسَنِ مُوسى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حُسْنُ الْبِشْرِ يَذْهَبُ بِالسَّخِيمَةِ </w:t>
      </w:r>
      <w:r w:rsidR="006C577F" w:rsidRPr="006C577F">
        <w:rPr>
          <w:rStyle w:val="libFootnotenumChar"/>
          <w:rtl/>
        </w:rPr>
        <w:t>(1)</w:t>
      </w:r>
      <w:r w:rsidRPr="00C9040A">
        <w:rPr>
          <w:rtl/>
          <w:lang w:bidi="fa-IR"/>
        </w:rPr>
        <w:t>»</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Heading2Center"/>
        <w:rPr>
          <w:rtl/>
          <w:lang w:bidi="fa-IR"/>
        </w:rPr>
      </w:pPr>
      <w:bookmarkStart w:id="163" w:name="_Toc343795642"/>
      <w:bookmarkStart w:id="164" w:name="_Toc459810766"/>
      <w:bookmarkStart w:id="165" w:name="_Toc35348672"/>
      <w:r w:rsidRPr="00C9040A">
        <w:rPr>
          <w:rtl/>
          <w:lang w:bidi="fa-IR"/>
        </w:rPr>
        <w:t>51</w:t>
      </w:r>
      <w:r>
        <w:rPr>
          <w:rtl/>
          <w:lang w:bidi="fa-IR"/>
        </w:rPr>
        <w:t xml:space="preserve"> </w:t>
      </w:r>
      <w:r w:rsidR="0084262C">
        <w:rPr>
          <w:rtl/>
          <w:lang w:bidi="fa-IR"/>
        </w:rPr>
        <w:t>-</w:t>
      </w:r>
      <w:r>
        <w:rPr>
          <w:rtl/>
          <w:lang w:bidi="fa-IR"/>
        </w:rPr>
        <w:t xml:space="preserve"> </w:t>
      </w:r>
      <w:r w:rsidRPr="00C9040A">
        <w:rPr>
          <w:rtl/>
          <w:lang w:bidi="fa-IR"/>
        </w:rPr>
        <w:t>بَابُ الصِّدْقِ وَأَدَاءِ الْأَمَانَةِ‌</w:t>
      </w:r>
      <w:bookmarkEnd w:id="163"/>
      <w:bookmarkEnd w:id="164"/>
      <w:bookmarkEnd w:id="165"/>
    </w:p>
    <w:p w:rsidR="008A74EB" w:rsidRPr="00C9040A" w:rsidRDefault="008A74EB" w:rsidP="008A74EB">
      <w:pPr>
        <w:pStyle w:val="libNormal"/>
        <w:rPr>
          <w:rtl/>
          <w:lang w:bidi="fa-IR"/>
        </w:rPr>
      </w:pPr>
      <w:r w:rsidRPr="008C50BE">
        <w:rPr>
          <w:rtl/>
        </w:rPr>
        <w:t>1769</w:t>
      </w:r>
      <w:r w:rsidRPr="00261CB0">
        <w:rPr>
          <w:rStyle w:val="libBold2Char"/>
          <w:rtl/>
        </w:rPr>
        <w:t xml:space="preserve"> / 1.</w:t>
      </w:r>
      <w:r w:rsidRPr="00C9040A">
        <w:rPr>
          <w:rtl/>
          <w:lang w:bidi="fa-IR"/>
        </w:rPr>
        <w:t xml:space="preserve"> مُحَمَّدُ بْنُ يَحْيى ، عَنْ أَحْمَدَ بْنِ مُحَمَّدِ بْنِ عِيسى ، عَنْ عَلِيِّ بْنِ الْحَكَمِ ، عَنِ الْحُسَيْنِ بْنِ أَبِي الْعَلَاءِ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00645ECF">
        <w:rPr>
          <w:rtl/>
          <w:lang w:bidi="fa-IR"/>
        </w:rPr>
        <w:t>لَمْ يَبْعَثْ نَبِيّاً إِل</w:t>
      </w:r>
      <w:r w:rsidR="00645ECF">
        <w:rPr>
          <w:rFonts w:hint="cs"/>
          <w:rtl/>
          <w:lang w:bidi="fa-IR"/>
        </w:rPr>
        <w:t>َّ</w:t>
      </w:r>
      <w:r w:rsidR="00645ECF">
        <w:rPr>
          <w:rtl/>
          <w:lang w:bidi="fa-IR"/>
        </w:rPr>
        <w:t>ا</w:t>
      </w:r>
      <w:r w:rsidRPr="00C9040A">
        <w:rPr>
          <w:rtl/>
          <w:lang w:bidi="fa-IR"/>
        </w:rPr>
        <w:t xml:space="preserve"> بِصِدْقِ الْحَدِيثِ وَأَدَاءِ الْأَمَانَةِ إِلَى الْبَرِّ وَالْفَاجِرِ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8C50BE">
        <w:rPr>
          <w:rtl/>
        </w:rPr>
        <w:t>1770</w:t>
      </w:r>
      <w:r w:rsidRPr="00261CB0">
        <w:rPr>
          <w:rStyle w:val="libBold2Char"/>
          <w:rtl/>
        </w:rPr>
        <w:t xml:space="preserve"> / 2.</w:t>
      </w:r>
      <w:r w:rsidRPr="00C9040A">
        <w:rPr>
          <w:rtl/>
          <w:lang w:bidi="fa-IR"/>
        </w:rPr>
        <w:t xml:space="preserve"> عَنْهُ </w:t>
      </w:r>
      <w:r w:rsidR="006C577F" w:rsidRPr="006C577F">
        <w:rPr>
          <w:rStyle w:val="libFootnotenumChar"/>
          <w:rtl/>
        </w:rPr>
        <w:t>(4)</w:t>
      </w:r>
      <w:r w:rsidRPr="00C9040A">
        <w:rPr>
          <w:rtl/>
          <w:lang w:bidi="fa-IR"/>
        </w:rPr>
        <w:t xml:space="preserve"> ، عَنْ عُثْمَانَ بْنِ عِيسى ، عَنْ إِسْحَاقَ بْنِ عَمَّارٍ وَغَيْرِهِ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لَا تَغْتَرُّوا بِصَلَاتِهِمْ </w:t>
      </w:r>
      <w:r w:rsidR="006C577F" w:rsidRPr="006C577F">
        <w:rPr>
          <w:rStyle w:val="libFootnotenumChar"/>
          <w:rtl/>
        </w:rPr>
        <w:t>(5)</w:t>
      </w:r>
      <w:r w:rsidRPr="00C9040A">
        <w:rPr>
          <w:rtl/>
          <w:lang w:bidi="fa-IR"/>
        </w:rPr>
        <w:t xml:space="preserve"> وَلَا بِصِيَامِهِمْ ؛ فَإِنَّ الرَّجُلَ رُبَّمَا لَهِجَ </w:t>
      </w:r>
      <w:r w:rsidR="006C577F" w:rsidRPr="006C577F">
        <w:rPr>
          <w:rStyle w:val="libFootnotenumChar"/>
          <w:rtl/>
        </w:rPr>
        <w:t>(6)</w:t>
      </w:r>
      <w:r w:rsidRPr="005B567D">
        <w:rPr>
          <w:rStyle w:val="libFootnotenumChar"/>
          <w:rtl/>
        </w:rPr>
        <w:t xml:space="preserve"> </w:t>
      </w:r>
      <w:r w:rsidRPr="00C9040A">
        <w:rPr>
          <w:rtl/>
          <w:lang w:bidi="fa-IR"/>
        </w:rPr>
        <w:t>بِالصَّلَاةِ وَالصَّوْمِ حَتّى لَوْ تَرَكَهُ اسْتَوْحَشَ ، وَلكِنِ اخْتَبِرُوهُمْ عِنْدَ صِدْقِ الْحَدِيثِ وَأَدَاءِ الْأَمَانَةِ »</w:t>
      </w:r>
      <w:r>
        <w:rPr>
          <w:rtl/>
          <w:lang w:bidi="fa-IR"/>
        </w:rPr>
        <w:t>.</w:t>
      </w:r>
      <w:r w:rsidRPr="00C9040A">
        <w:rPr>
          <w:rtl/>
          <w:lang w:bidi="fa-IR"/>
        </w:rPr>
        <w:t xml:space="preserve"> </w:t>
      </w:r>
      <w:r w:rsidR="006C577F" w:rsidRPr="006C577F">
        <w:rPr>
          <w:rStyle w:val="libFootnotenumChar"/>
          <w:rtl/>
        </w:rPr>
        <w:t>(7)</w:t>
      </w:r>
      <w:r w:rsidRPr="00C9040A">
        <w:rPr>
          <w:rtl/>
          <w:lang w:bidi="fa-IR"/>
        </w:rPr>
        <w:t>‌</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 السخيمة » : الحِقْد في النفس. </w:t>
      </w:r>
      <w:r w:rsidR="008A74EB" w:rsidRPr="00993B55">
        <w:rPr>
          <w:rStyle w:val="libFootnoteBoldChar"/>
          <w:rtl/>
        </w:rPr>
        <w:t>الصحاح</w:t>
      </w:r>
      <w:r w:rsidR="008A74EB" w:rsidRPr="00C9040A">
        <w:rPr>
          <w:rtl/>
        </w:rPr>
        <w:t xml:space="preserve"> ، ج 2 ، ص 351 ( سخم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تحف العقول</w:t>
      </w:r>
      <w:r w:rsidR="008A74EB" w:rsidRPr="00C9040A">
        <w:rPr>
          <w:rtl/>
        </w:rPr>
        <w:t xml:space="preserve"> ، ص 45 ، عن رسول الله </w:t>
      </w:r>
      <w:r w:rsidR="004A4E41" w:rsidRPr="00AC2E2F">
        <w:rPr>
          <w:rStyle w:val="libFootnoteAlaemChar"/>
          <w:rtl/>
        </w:rPr>
        <w:t>صلى‌الله‌عليه‌وآله</w:t>
      </w:r>
      <w:r w:rsidR="0043354F">
        <w:rPr>
          <w:rFonts w:hint="cs"/>
          <w:rtl/>
        </w:rPr>
        <w:t>.</w:t>
      </w:r>
      <w:r w:rsidR="008A74EB" w:rsidRPr="00993B55">
        <w:rPr>
          <w:rStyle w:val="libFootnoteBoldChar"/>
          <w:rtl/>
        </w:rPr>
        <w:t>الوافي</w:t>
      </w:r>
      <w:r w:rsidR="008A74EB" w:rsidRPr="00C9040A">
        <w:rPr>
          <w:rtl/>
        </w:rPr>
        <w:t xml:space="preserve"> ، ج 4 ، ص 428 ، ح 2256 ؛ </w:t>
      </w:r>
      <w:r w:rsidR="008A74EB" w:rsidRPr="00993B55">
        <w:rPr>
          <w:rStyle w:val="libFootnoteBoldChar"/>
          <w:rtl/>
        </w:rPr>
        <w:t>الوسائل</w:t>
      </w:r>
      <w:r w:rsidR="008A74EB" w:rsidRPr="00C9040A">
        <w:rPr>
          <w:rtl/>
        </w:rPr>
        <w:t xml:space="preserve"> ، ج 12 ، ص 161 ، ح 15953 ؛ </w:t>
      </w:r>
      <w:r w:rsidR="008A74EB" w:rsidRPr="00993B55">
        <w:rPr>
          <w:rStyle w:val="libFootnoteBoldChar"/>
          <w:rtl/>
        </w:rPr>
        <w:t>البحار</w:t>
      </w:r>
      <w:r w:rsidR="008A74EB" w:rsidRPr="00C9040A">
        <w:rPr>
          <w:rtl/>
        </w:rPr>
        <w:t xml:space="preserve"> ، ج 74 ، ص 172 ، ح 41.</w:t>
      </w:r>
    </w:p>
    <w:p w:rsidR="008A74EB" w:rsidRPr="00C9040A" w:rsidRDefault="006C577F" w:rsidP="004A4E41">
      <w:pPr>
        <w:pStyle w:val="libFootnote0"/>
        <w:rPr>
          <w:rtl/>
          <w:lang w:bidi="fa-IR"/>
        </w:rPr>
      </w:pPr>
      <w:r>
        <w:rPr>
          <w:rtl/>
        </w:rPr>
        <w:t>(3).</w:t>
      </w:r>
      <w:r w:rsidR="008A74EB" w:rsidRPr="00C9040A">
        <w:rPr>
          <w:rtl/>
        </w:rPr>
        <w:t xml:space="preserve"> </w:t>
      </w:r>
      <w:r w:rsidR="008A74EB" w:rsidRPr="00993B55">
        <w:rPr>
          <w:rStyle w:val="libFootnoteBoldChar"/>
          <w:rtl/>
        </w:rPr>
        <w:t>الاختصاص</w:t>
      </w:r>
      <w:r w:rsidR="008A74EB" w:rsidRPr="00C9040A">
        <w:rPr>
          <w:rtl/>
        </w:rPr>
        <w:t xml:space="preserve"> ، ص 263 ، بسند آخر ، مع اختلاف وزيادة في أوّله وآخره. </w:t>
      </w:r>
      <w:r w:rsidR="008A74EB" w:rsidRPr="00993B55">
        <w:rPr>
          <w:rStyle w:val="libFootnoteBoldChar"/>
          <w:rtl/>
        </w:rPr>
        <w:t>الأمالي</w:t>
      </w:r>
      <w:r w:rsidR="008A74EB" w:rsidRPr="00C9040A">
        <w:rPr>
          <w:rtl/>
        </w:rPr>
        <w:t xml:space="preserve"> للطوسي ، ص 676 ، المجلس 37 ، ح 8 ، بسند آخر ، مع اختلاف وزيادة في آخره</w:t>
      </w:r>
      <w:r w:rsidR="0043354F">
        <w:rPr>
          <w:rFonts w:hint="cs"/>
          <w:rtl/>
        </w:rPr>
        <w:t>.</w:t>
      </w:r>
      <w:r w:rsidR="008A74EB" w:rsidRPr="00993B55">
        <w:rPr>
          <w:rStyle w:val="libFootnoteBoldChar"/>
          <w:rtl/>
        </w:rPr>
        <w:t>الوافي</w:t>
      </w:r>
      <w:r w:rsidR="008A74EB" w:rsidRPr="00C9040A">
        <w:rPr>
          <w:rtl/>
        </w:rPr>
        <w:t xml:space="preserve"> ، ج 4 ، ص 429 ، ح 2257 ؛ </w:t>
      </w:r>
      <w:r w:rsidR="008A74EB" w:rsidRPr="00993B55">
        <w:rPr>
          <w:rStyle w:val="libFootnoteBoldChar"/>
          <w:rtl/>
        </w:rPr>
        <w:t>الوسائل</w:t>
      </w:r>
      <w:r w:rsidR="008A74EB" w:rsidRPr="00C9040A">
        <w:rPr>
          <w:rtl/>
        </w:rPr>
        <w:t xml:space="preserve"> ، ج 19 ، ص 73 ، ح 24182 ؛ </w:t>
      </w:r>
      <w:r w:rsidR="008A74EB" w:rsidRPr="00993B55">
        <w:rPr>
          <w:rStyle w:val="libFootnoteBoldChar"/>
          <w:rtl/>
        </w:rPr>
        <w:t>البحار</w:t>
      </w:r>
      <w:r w:rsidR="008A74EB" w:rsidRPr="00C9040A">
        <w:rPr>
          <w:rtl/>
        </w:rPr>
        <w:t xml:space="preserve"> ، ج 11 ، ص 67 ، ح 21 ؛ وج 71 ، ص 2 ، ح 1.</w:t>
      </w:r>
    </w:p>
    <w:p w:rsidR="008A74EB" w:rsidRPr="00C9040A" w:rsidRDefault="006C577F" w:rsidP="004A4E41">
      <w:pPr>
        <w:pStyle w:val="libFootnote0"/>
        <w:rPr>
          <w:rtl/>
          <w:lang w:bidi="fa-IR"/>
        </w:rPr>
      </w:pPr>
      <w:r>
        <w:rPr>
          <w:rtl/>
        </w:rPr>
        <w:t>(4).</w:t>
      </w:r>
      <w:r w:rsidR="008A74EB" w:rsidRPr="00C9040A">
        <w:rPr>
          <w:rtl/>
        </w:rPr>
        <w:t xml:space="preserve"> الضمير راجع إلى أحمد بن محمّد بن عيسى المذكور في السند السابق.</w:t>
      </w:r>
    </w:p>
    <w:p w:rsidR="008A74EB" w:rsidRPr="00C9040A" w:rsidRDefault="006C577F" w:rsidP="004A4E41">
      <w:pPr>
        <w:pStyle w:val="libFootnote0"/>
        <w:rPr>
          <w:rtl/>
          <w:lang w:bidi="fa-IR"/>
        </w:rPr>
      </w:pPr>
      <w:r>
        <w:rPr>
          <w:rtl/>
        </w:rPr>
        <w:t>(5).</w:t>
      </w:r>
      <w:r w:rsidR="008A74EB" w:rsidRPr="00C9040A">
        <w:rPr>
          <w:rtl/>
        </w:rPr>
        <w:t xml:space="preserve"> في الوسائل : « بكثرة صلاتهم » بدل « بصلاتهم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الل</w:t>
      </w:r>
      <w:r w:rsidR="0043354F">
        <w:rPr>
          <w:rFonts w:hint="cs"/>
          <w:rtl/>
        </w:rPr>
        <w:t>َّ</w:t>
      </w:r>
      <w:r w:rsidR="008A74EB" w:rsidRPr="00C9040A">
        <w:rPr>
          <w:rtl/>
        </w:rPr>
        <w:t xml:space="preserve">هَجُ بالشي‌ء : الولوع به. </w:t>
      </w:r>
      <w:r w:rsidR="008A74EB" w:rsidRPr="00993B55">
        <w:rPr>
          <w:rStyle w:val="libFootnoteBoldChar"/>
          <w:rtl/>
        </w:rPr>
        <w:t>الصحاح</w:t>
      </w:r>
      <w:r w:rsidR="008A74EB" w:rsidRPr="00C9040A">
        <w:rPr>
          <w:rtl/>
        </w:rPr>
        <w:t xml:space="preserve"> ، ج 1 ، ص 339 ( لهج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w:t>
      </w:r>
      <w:r w:rsidR="008A74EB" w:rsidRPr="0034021D">
        <w:rPr>
          <w:rStyle w:val="libFootnoteBoldChar"/>
          <w:rtl/>
        </w:rPr>
        <w:t>الأمالي للصدوق</w:t>
      </w:r>
      <w:r w:rsidR="008A74EB" w:rsidRPr="00C9040A">
        <w:rPr>
          <w:rtl/>
        </w:rPr>
        <w:t xml:space="preserve"> ، ص 303 ، المجلس 50 ، ح 6 ؛ و</w:t>
      </w:r>
      <w:r w:rsidR="008A74EB" w:rsidRPr="00993B55">
        <w:rPr>
          <w:rStyle w:val="libFootnoteBoldChar"/>
          <w:rtl/>
        </w:rPr>
        <w:t>عيون الأخبار</w:t>
      </w:r>
      <w:r w:rsidR="008A74EB" w:rsidRPr="00C9040A">
        <w:rPr>
          <w:rtl/>
        </w:rPr>
        <w:t xml:space="preserve"> ، ج 2 ، ص 51 ، ح 197 ، بسند آخر </w:t>
      </w:r>
      <w:r w:rsidR="0043354F">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8C50BE">
        <w:rPr>
          <w:rtl/>
        </w:rPr>
        <w:t>1771</w:t>
      </w:r>
      <w:r w:rsidRPr="00261CB0">
        <w:rPr>
          <w:rStyle w:val="libBold2Char"/>
          <w:rtl/>
        </w:rPr>
        <w:t xml:space="preserve"> / 3.</w:t>
      </w:r>
      <w:r w:rsidRPr="00C9040A">
        <w:rPr>
          <w:rtl/>
          <w:lang w:bidi="fa-IR"/>
        </w:rPr>
        <w:t xml:space="preserve"> عِدَّةٌ مِنْ أَصْحَابِنَا ، عَنْ سَهْلِ بْنِ زِيَادٍ ، عَنِ ابْنِ أَبِي نَجْرَانَ ، عَنْ مُثَنًّى الْحَنَّاطِ </w:t>
      </w:r>
      <w:r w:rsidR="006C577F" w:rsidRPr="006C577F">
        <w:rPr>
          <w:rStyle w:val="libFootnotenumChar"/>
          <w:rtl/>
        </w:rPr>
        <w:t>(1)</w:t>
      </w:r>
      <w:r w:rsidRPr="00C9040A">
        <w:rPr>
          <w:rtl/>
          <w:lang w:bidi="fa-IR"/>
        </w:rPr>
        <w:t>، عَنْ مُحَمَّدِ بْنِ مُسْلِمٍ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مَنْ صَدَقَ لِسَانُهُ زَكى </w:t>
      </w:r>
      <w:r w:rsidR="006C577F" w:rsidRPr="006C577F">
        <w:rPr>
          <w:rStyle w:val="libFootnotenumChar"/>
          <w:rtl/>
        </w:rPr>
        <w:t>(2)</w:t>
      </w:r>
      <w:r w:rsidRPr="00C9040A">
        <w:rPr>
          <w:rtl/>
          <w:lang w:bidi="fa-IR"/>
        </w:rPr>
        <w:t xml:space="preserve"> عَمَلُهُ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8C50BE">
        <w:rPr>
          <w:rtl/>
        </w:rPr>
        <w:t>1772</w:t>
      </w:r>
      <w:r w:rsidRPr="00261CB0">
        <w:rPr>
          <w:rStyle w:val="libBold2Char"/>
          <w:rtl/>
        </w:rPr>
        <w:t xml:space="preserve"> / 4.</w:t>
      </w:r>
      <w:r w:rsidRPr="00C9040A">
        <w:rPr>
          <w:rtl/>
          <w:lang w:bidi="fa-IR"/>
        </w:rPr>
        <w:t xml:space="preserve"> مُحَمَّدُ بْنُ يَحْيى ، عَنْ مُحَمَّدِ بْنِ الْحُسَيْنِ ، عَنْ مُوسَى بْنِ سَعْدَانَ ، عَنْ عَبْدِ اللهِ بْنِ الْقَاسِمِ ، عَنْ عَمْرِو بْنِ أَبِي الْمِقْدَامِ ، قَالَ :</w:t>
      </w:r>
    </w:p>
    <w:p w:rsidR="008A74EB" w:rsidRPr="00C9040A" w:rsidRDefault="008A74EB" w:rsidP="008A74EB">
      <w:pPr>
        <w:pStyle w:val="libNormal"/>
        <w:rPr>
          <w:rtl/>
          <w:lang w:bidi="fa-IR"/>
        </w:rPr>
      </w:pPr>
      <w:r w:rsidRPr="00C9040A">
        <w:rPr>
          <w:rtl/>
          <w:lang w:bidi="fa-IR"/>
        </w:rPr>
        <w:t xml:space="preserve">قَالَ لِي أَبُو جَعْفَرٍ </w:t>
      </w:r>
      <w:r w:rsidRPr="0003660B">
        <w:rPr>
          <w:rStyle w:val="libAlaemChar"/>
          <w:rtl/>
        </w:rPr>
        <w:t>عليه‌السلام</w:t>
      </w:r>
      <w:r w:rsidRPr="00C9040A">
        <w:rPr>
          <w:rtl/>
          <w:lang w:bidi="fa-IR"/>
        </w:rPr>
        <w:t xml:space="preserve"> فِي أَوَّلِ دَخْلَةٍ دَخَلْتُ عَلَيْهِ : « تَعَلَّمُوا الصِّدْقَ قَبْلَ الْحَدِيثِ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8C50BE">
        <w:rPr>
          <w:rtl/>
        </w:rPr>
        <w:t>1773</w:t>
      </w:r>
      <w:r w:rsidRPr="00261CB0">
        <w:rPr>
          <w:rStyle w:val="libBold2Char"/>
          <w:rtl/>
        </w:rPr>
        <w:t xml:space="preserve"> / 5.</w:t>
      </w:r>
      <w:r w:rsidRPr="00C9040A">
        <w:rPr>
          <w:rtl/>
          <w:lang w:bidi="fa-IR"/>
        </w:rPr>
        <w:t xml:space="preserve"> مُحَمَّدُ بْنُ يَحْيى ، عَنْ أَحْمَدَ بْنِ مُحَمَّدِ بْنِ عِيسى ، عَنِ الْحَسَنِ بْنِ مَحْبُوبٍ ، عَنْ </w:t>
      </w:r>
      <w:r w:rsidR="006C577F" w:rsidRPr="006C577F">
        <w:rPr>
          <w:rStyle w:val="libFootnotenumChar"/>
          <w:rtl/>
        </w:rPr>
        <w:t>(5)</w:t>
      </w:r>
      <w:r w:rsidRPr="00C9040A">
        <w:rPr>
          <w:rtl/>
          <w:lang w:bidi="fa-IR"/>
        </w:rPr>
        <w:t xml:space="preserve"> أَبِي كَهْمَسٍ </w:t>
      </w:r>
      <w:r w:rsidR="006C577F" w:rsidRPr="006C577F">
        <w:rPr>
          <w:rStyle w:val="libFootnotenumChar"/>
          <w:rtl/>
        </w:rPr>
        <w:t>(6)</w:t>
      </w:r>
      <w:r w:rsidRPr="005B567D">
        <w:rPr>
          <w:rStyle w:val="libFootnotenumChar"/>
          <w:rtl/>
        </w:rPr>
        <w:t xml:space="preserve"> </w:t>
      </w:r>
      <w:r w:rsidRPr="00C9040A">
        <w:rPr>
          <w:rtl/>
          <w:lang w:bidi="fa-IR"/>
        </w:rPr>
        <w:t>، قَالَ :</w:t>
      </w:r>
    </w:p>
    <w:p w:rsidR="008A74EB" w:rsidRPr="00C9040A" w:rsidRDefault="008A74EB" w:rsidP="008A74EB">
      <w:pPr>
        <w:pStyle w:val="libNormal"/>
        <w:rPr>
          <w:rtl/>
          <w:lang w:bidi="fa-IR"/>
        </w:rPr>
      </w:pPr>
      <w:r w:rsidRPr="00C9040A">
        <w:rPr>
          <w:rtl/>
          <w:lang w:bidi="fa-IR"/>
        </w:rPr>
        <w:t xml:space="preserve">قُلْتُ لِأَبِي عَبْدِ اللهِ </w:t>
      </w:r>
      <w:r w:rsidRPr="0003660B">
        <w:rPr>
          <w:rStyle w:val="libAlaemChar"/>
          <w:rtl/>
        </w:rPr>
        <w:t>عليه‌السلام</w:t>
      </w:r>
      <w:r w:rsidRPr="00C9040A">
        <w:rPr>
          <w:rtl/>
          <w:lang w:bidi="fa-IR"/>
        </w:rPr>
        <w:t xml:space="preserve"> : عَبْدُ اللهِ بْنُ أَبِي يَعْفُورٍ يُقْرِئُكَ السَّلَامَ.</w:t>
      </w:r>
    </w:p>
    <w:p w:rsidR="008A74EB" w:rsidRPr="00C9040A" w:rsidRDefault="008A74EB" w:rsidP="008A74EB">
      <w:pPr>
        <w:pStyle w:val="libNormal"/>
        <w:rPr>
          <w:rtl/>
          <w:lang w:bidi="fa-IR"/>
        </w:rPr>
      </w:pPr>
      <w:r w:rsidRPr="00C9040A">
        <w:rPr>
          <w:rtl/>
          <w:lang w:bidi="fa-IR"/>
        </w:rPr>
        <w:t xml:space="preserve">قَالَ : « عَلَيْكَ </w:t>
      </w:r>
      <w:r w:rsidR="006C577F" w:rsidRPr="006C577F">
        <w:rPr>
          <w:rStyle w:val="libFootnotenumChar"/>
          <w:rtl/>
        </w:rPr>
        <w:t>(7)</w:t>
      </w:r>
      <w:r w:rsidRPr="00C9040A">
        <w:rPr>
          <w:rtl/>
          <w:lang w:bidi="fa-IR"/>
        </w:rPr>
        <w:t xml:space="preserve"> وَعَلَيْهِ </w:t>
      </w:r>
      <w:r w:rsidR="006C577F" w:rsidRPr="006C577F">
        <w:rPr>
          <w:rStyle w:val="libFootnotenumChar"/>
          <w:rtl/>
        </w:rPr>
        <w:t>(8)</w:t>
      </w:r>
      <w:r w:rsidRPr="00C9040A">
        <w:rPr>
          <w:rtl/>
          <w:lang w:bidi="fa-IR"/>
        </w:rPr>
        <w:t xml:space="preserve"> السَّلَامُ ، إِذَا أَتَيْتَ عَبْدَ اللهِ فَأَقْرِئْهُ السَّلَامَ ، وَقُلْ لَهُ : إِنَّ جَعْفَرَ بْنَ مُحَمَّدٍ يَقُولُ لَكَ : انْظُرْ </w:t>
      </w:r>
      <w:r w:rsidR="006C577F" w:rsidRPr="006C577F">
        <w:rPr>
          <w:rStyle w:val="libFootnotenumChar"/>
          <w:rtl/>
        </w:rPr>
        <w:t>(9)</w:t>
      </w:r>
      <w:r w:rsidRPr="00C9040A">
        <w:rPr>
          <w:rtl/>
          <w:lang w:bidi="fa-IR"/>
        </w:rPr>
        <w:t xml:space="preserve"> مَا بَلَغَ بِهِ عَلِيٌّ </w:t>
      </w:r>
      <w:r w:rsidRPr="0003660B">
        <w:rPr>
          <w:rStyle w:val="libAlaemChar"/>
          <w:rtl/>
        </w:rPr>
        <w:t>عليه‌السلام</w:t>
      </w:r>
      <w:r w:rsidRPr="00C9040A">
        <w:rPr>
          <w:rtl/>
          <w:lang w:bidi="fa-IR"/>
        </w:rPr>
        <w:t xml:space="preserve"> عِنْدَ رَسُولِ اللهِ </w:t>
      </w:r>
      <w:r w:rsidR="004A4E41" w:rsidRPr="004A4E41">
        <w:rPr>
          <w:rStyle w:val="libAlaemChar"/>
          <w:rtl/>
        </w:rPr>
        <w:t>صلى‌الله‌عليه‌وآله</w:t>
      </w:r>
      <w:r w:rsidRPr="00C9040A">
        <w:rPr>
          <w:rtl/>
          <w:lang w:bidi="fa-IR"/>
        </w:rPr>
        <w:t xml:space="preserve"> ، فَالْزَمْهُ ؛ فَإِنَّ‌</w:t>
      </w:r>
    </w:p>
    <w:p w:rsidR="008A74EB" w:rsidRPr="00C9040A" w:rsidRDefault="008A74EB" w:rsidP="008A74EB">
      <w:pPr>
        <w:pStyle w:val="libLine"/>
        <w:rPr>
          <w:rtl/>
          <w:lang w:bidi="fa-IR"/>
        </w:rPr>
      </w:pPr>
      <w:r w:rsidRPr="00C9040A">
        <w:rPr>
          <w:rtl/>
          <w:lang w:bidi="fa-IR"/>
        </w:rPr>
        <w:t>__________________</w:t>
      </w:r>
    </w:p>
    <w:p w:rsidR="008A74EB" w:rsidRPr="00C9040A" w:rsidRDefault="003750E3" w:rsidP="004A4E41">
      <w:pPr>
        <w:pStyle w:val="libFootnote0"/>
        <w:rPr>
          <w:rtl/>
          <w:lang w:bidi="fa-IR"/>
        </w:rPr>
      </w:pPr>
      <w:r>
        <w:rPr>
          <w:rFonts w:hint="cs"/>
          <w:rtl/>
        </w:rPr>
        <w:t xml:space="preserve">= </w:t>
      </w:r>
      <w:r w:rsidR="008A74EB" w:rsidRPr="00C9040A">
        <w:rPr>
          <w:rtl/>
        </w:rPr>
        <w:t xml:space="preserve">عن الرضا ، عن آبائه </w:t>
      </w:r>
      <w:r w:rsidR="00117575" w:rsidRPr="00117575">
        <w:rPr>
          <w:rStyle w:val="libFootnoteAlaemChar"/>
          <w:rtl/>
        </w:rPr>
        <w:t>عليهم‌السلام</w:t>
      </w:r>
      <w:r w:rsidR="008A74EB" w:rsidRPr="00C9040A">
        <w:rPr>
          <w:rtl/>
        </w:rPr>
        <w:t xml:space="preserve"> عن النبيّ </w:t>
      </w:r>
      <w:r w:rsidR="004A4E41" w:rsidRPr="00AC2E2F">
        <w:rPr>
          <w:rStyle w:val="libFootnoteAlaemChar"/>
          <w:rtl/>
        </w:rPr>
        <w:t>صلى‌الله‌عليه‌وآله</w:t>
      </w:r>
      <w:r w:rsidR="008A74EB" w:rsidRPr="00C9040A">
        <w:rPr>
          <w:rtl/>
        </w:rPr>
        <w:t xml:space="preserve">. </w:t>
      </w:r>
      <w:r w:rsidR="008A74EB" w:rsidRPr="00993B55">
        <w:rPr>
          <w:rStyle w:val="libFootnoteBoldChar"/>
          <w:rtl/>
        </w:rPr>
        <w:t>الاختصاص</w:t>
      </w:r>
      <w:r w:rsidR="008A74EB" w:rsidRPr="00C9040A">
        <w:rPr>
          <w:rtl/>
        </w:rPr>
        <w:t xml:space="preserve"> ، ص 229 ، مرسلاً عن النبيّ </w:t>
      </w:r>
      <w:r w:rsidR="004A4E41" w:rsidRPr="00AC2E2F">
        <w:rPr>
          <w:rStyle w:val="libFootnoteAlaemChar"/>
          <w:rtl/>
        </w:rPr>
        <w:t>صلى‌الله‌عليه‌وآله</w:t>
      </w:r>
      <w:r w:rsidR="008A74EB" w:rsidRPr="00C9040A">
        <w:rPr>
          <w:rtl/>
        </w:rPr>
        <w:t xml:space="preserve"> ، وفي كلّها مع اختلاف</w:t>
      </w:r>
      <w:r w:rsidR="00793999">
        <w:rPr>
          <w:rFonts w:hint="cs"/>
          <w:rtl/>
        </w:rPr>
        <w:t>.</w:t>
      </w:r>
      <w:r w:rsidR="008A74EB" w:rsidRPr="00993B55">
        <w:rPr>
          <w:rStyle w:val="libFootnoteBoldChar"/>
          <w:rtl/>
        </w:rPr>
        <w:t>الوافي</w:t>
      </w:r>
      <w:r w:rsidR="008A74EB" w:rsidRPr="00C9040A">
        <w:rPr>
          <w:rtl/>
        </w:rPr>
        <w:t xml:space="preserve"> ، ج 4 ، ص 429 ، ح 2258 ؛ </w:t>
      </w:r>
      <w:r w:rsidR="008A74EB" w:rsidRPr="00993B55">
        <w:rPr>
          <w:rStyle w:val="libFootnoteBoldChar"/>
          <w:rtl/>
        </w:rPr>
        <w:t>الوسائل</w:t>
      </w:r>
      <w:r w:rsidR="008A74EB" w:rsidRPr="00C9040A">
        <w:rPr>
          <w:rtl/>
        </w:rPr>
        <w:t xml:space="preserve"> ، ج 19 ، ص 67 ، ح 24167 ؛ </w:t>
      </w:r>
      <w:r w:rsidR="008A74EB" w:rsidRPr="00993B55">
        <w:rPr>
          <w:rStyle w:val="libFootnoteBoldChar"/>
          <w:rtl/>
        </w:rPr>
        <w:t>البحار</w:t>
      </w:r>
      <w:r w:rsidR="008A74EB" w:rsidRPr="00C9040A">
        <w:rPr>
          <w:rtl/>
        </w:rPr>
        <w:t xml:space="preserve"> ، ج 71 ، ص 2 ، ح 2.</w:t>
      </w:r>
    </w:p>
    <w:p w:rsidR="008A74EB" w:rsidRPr="00C9040A" w:rsidRDefault="006C577F" w:rsidP="004A4E41">
      <w:pPr>
        <w:pStyle w:val="libFootnote0"/>
        <w:rPr>
          <w:rtl/>
          <w:lang w:bidi="fa-IR"/>
        </w:rPr>
      </w:pPr>
      <w:r>
        <w:rPr>
          <w:rtl/>
        </w:rPr>
        <w:t>(1).</w:t>
      </w:r>
      <w:r w:rsidR="008A74EB" w:rsidRPr="00C9040A">
        <w:rPr>
          <w:rtl/>
        </w:rPr>
        <w:t xml:space="preserve"> في « ج ، ص ، بر » : « الخيّاط »</w:t>
      </w:r>
      <w:r w:rsidR="008A74EB">
        <w:rPr>
          <w:rtl/>
        </w:rPr>
        <w:t>.</w:t>
      </w:r>
      <w:r w:rsidR="008A74EB" w:rsidRPr="00C9040A">
        <w:rPr>
          <w:rtl/>
        </w:rPr>
        <w:t xml:space="preserve"> وتقدّم في </w:t>
      </w:r>
      <w:r w:rsidR="008A74EB" w:rsidRPr="00993B55">
        <w:rPr>
          <w:rStyle w:val="libFootnoteBoldChar"/>
          <w:rtl/>
        </w:rPr>
        <w:t>الكافي</w:t>
      </w:r>
      <w:r w:rsidR="008A74EB" w:rsidRPr="00C9040A">
        <w:rPr>
          <w:rtl/>
        </w:rPr>
        <w:t xml:space="preserve"> ، ذيل ح 1496 ، أنّه سهو.</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ج » : « زكّى » بالتشديد. وقال في </w:t>
      </w:r>
      <w:r w:rsidR="008A74EB" w:rsidRPr="00993B55">
        <w:rPr>
          <w:rStyle w:val="libFootnoteBoldChar"/>
          <w:rtl/>
        </w:rPr>
        <w:t>مرآة العقول</w:t>
      </w:r>
      <w:r w:rsidR="008A74EB" w:rsidRPr="00C9040A">
        <w:rPr>
          <w:rtl/>
        </w:rPr>
        <w:t xml:space="preserve"> ، ج 8 ، ص 182 : « وفي بعض النسخ : زُكّي على المجهول من بناء التفعيل بمعنى القبول ، أي يمدح الله عمله ويقبله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w:t>
      </w:r>
      <w:r w:rsidR="008A74EB" w:rsidRPr="00993B55">
        <w:rPr>
          <w:rStyle w:val="libFootnoteBoldChar"/>
          <w:rtl/>
        </w:rPr>
        <w:t>الوافي</w:t>
      </w:r>
      <w:r w:rsidR="008A74EB" w:rsidRPr="00C9040A">
        <w:rPr>
          <w:rtl/>
        </w:rPr>
        <w:t xml:space="preserve"> ، ج 4 ، ص 432 ، ح 2268 ؛ </w:t>
      </w:r>
      <w:r w:rsidR="008A74EB" w:rsidRPr="00993B55">
        <w:rPr>
          <w:rStyle w:val="libFootnoteBoldChar"/>
          <w:rtl/>
        </w:rPr>
        <w:t>الوسائل</w:t>
      </w:r>
      <w:r w:rsidR="008A74EB" w:rsidRPr="00C9040A">
        <w:rPr>
          <w:rtl/>
        </w:rPr>
        <w:t xml:space="preserve"> ، ج 12 ، ص 162 ، ح 15956 ؛ </w:t>
      </w:r>
      <w:r w:rsidR="008A74EB" w:rsidRPr="00993B55">
        <w:rPr>
          <w:rStyle w:val="libFootnoteBoldChar"/>
          <w:rtl/>
        </w:rPr>
        <w:t>البحار</w:t>
      </w:r>
      <w:r w:rsidR="008A74EB" w:rsidRPr="00C9040A">
        <w:rPr>
          <w:rtl/>
        </w:rPr>
        <w:t xml:space="preserve"> ، ج 71 ، ص 3 ، ح 3.</w:t>
      </w:r>
    </w:p>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الوافي</w:t>
      </w:r>
      <w:r w:rsidR="008A74EB" w:rsidRPr="00C9040A">
        <w:rPr>
          <w:rtl/>
        </w:rPr>
        <w:t xml:space="preserve"> ، ج 4 ، ص 432 ، ح 2269 ؛ </w:t>
      </w:r>
      <w:r w:rsidR="008A74EB" w:rsidRPr="00993B55">
        <w:rPr>
          <w:rStyle w:val="libFootnoteBoldChar"/>
          <w:rtl/>
        </w:rPr>
        <w:t>الوسائل</w:t>
      </w:r>
      <w:r w:rsidR="008A74EB" w:rsidRPr="00C9040A">
        <w:rPr>
          <w:rtl/>
        </w:rPr>
        <w:t xml:space="preserve"> ، ج 12 ، ص 163 ، ح 15959 ؛ </w:t>
      </w:r>
      <w:r w:rsidR="008A74EB" w:rsidRPr="00993B55">
        <w:rPr>
          <w:rStyle w:val="libFootnoteBoldChar"/>
          <w:rtl/>
        </w:rPr>
        <w:t>البحار</w:t>
      </w:r>
      <w:r w:rsidR="008A74EB" w:rsidRPr="00C9040A">
        <w:rPr>
          <w:rtl/>
        </w:rPr>
        <w:t xml:space="preserve"> ، ج 71 ، ص 3 ، ح 4.</w:t>
      </w:r>
    </w:p>
    <w:p w:rsidR="008A74EB" w:rsidRPr="00C9040A" w:rsidRDefault="006C577F" w:rsidP="004A4E41">
      <w:pPr>
        <w:pStyle w:val="libFootnote0"/>
        <w:rPr>
          <w:rtl/>
          <w:lang w:bidi="fa-IR"/>
        </w:rPr>
      </w:pPr>
      <w:r>
        <w:rPr>
          <w:rtl/>
        </w:rPr>
        <w:t>(5).</w:t>
      </w:r>
      <w:r w:rsidR="008A74EB" w:rsidRPr="00C9040A">
        <w:rPr>
          <w:rtl/>
        </w:rPr>
        <w:t xml:space="preserve"> في « ص » والوافى : + « ابن »</w:t>
      </w:r>
      <w:r w:rsidR="008A74EB">
        <w:rPr>
          <w:rtl/>
        </w:rPr>
        <w:t>.</w:t>
      </w:r>
      <w:r w:rsidR="008A74EB" w:rsidRPr="00C9040A">
        <w:rPr>
          <w:rtl/>
        </w:rPr>
        <w:t xml:space="preserve"> والظاهر أنّ أباكهمس هذا ، هو هيثم أبوكهمس. راجع : </w:t>
      </w:r>
      <w:r w:rsidR="008A74EB" w:rsidRPr="00993B55">
        <w:rPr>
          <w:rStyle w:val="libFootnoteBoldChar"/>
          <w:rtl/>
        </w:rPr>
        <w:t>رجال النجاشي</w:t>
      </w:r>
      <w:r w:rsidR="008A74EB" w:rsidRPr="00C9040A">
        <w:rPr>
          <w:rtl/>
        </w:rPr>
        <w:t xml:space="preserve"> ، ص 436 ، الرقم 1170 ؛ </w:t>
      </w:r>
      <w:r w:rsidR="008A74EB" w:rsidRPr="00993B55">
        <w:rPr>
          <w:rStyle w:val="libFootnoteBoldChar"/>
          <w:rtl/>
        </w:rPr>
        <w:t>رجال البرقي</w:t>
      </w:r>
      <w:r w:rsidR="008A74EB" w:rsidRPr="00C9040A">
        <w:rPr>
          <w:rtl/>
        </w:rPr>
        <w:t xml:space="preserve"> ، ص 43 ؛ </w:t>
      </w:r>
      <w:r w:rsidR="008A74EB" w:rsidRPr="0034021D">
        <w:rPr>
          <w:rStyle w:val="libFootnoteBoldChar"/>
          <w:rtl/>
        </w:rPr>
        <w:t>الفهرست للطوسي</w:t>
      </w:r>
      <w:r w:rsidR="008A74EB" w:rsidRPr="00C9040A">
        <w:rPr>
          <w:rtl/>
        </w:rPr>
        <w:t xml:space="preserve"> ، ص 541 ، الرقم 888.</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د ، ز » : « كهمش » ، وتقدّم ذيل ح 1638 عدم صحّته.</w:t>
      </w:r>
    </w:p>
    <w:p w:rsidR="008A74EB" w:rsidRPr="00C9040A" w:rsidRDefault="006C577F" w:rsidP="004A4E41">
      <w:pPr>
        <w:pStyle w:val="libFootnote0"/>
        <w:rPr>
          <w:rtl/>
          <w:lang w:bidi="fa-IR"/>
        </w:rPr>
      </w:pPr>
      <w:r>
        <w:rPr>
          <w:rtl/>
        </w:rPr>
        <w:t>(7).</w:t>
      </w:r>
      <w:r w:rsidR="008A74EB" w:rsidRPr="00C9040A">
        <w:rPr>
          <w:rtl/>
        </w:rPr>
        <w:t xml:space="preserve"> في « ب ، ز ، ص ، ف ، بس ، بف » والوسائل : « وعليك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 ف » وحاشية « ض » : « عليه وعليك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ف » : + « إلى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عَلِيّاً </w:t>
      </w:r>
      <w:r w:rsidRPr="0003660B">
        <w:rPr>
          <w:rStyle w:val="libAlaemChar"/>
          <w:rtl/>
        </w:rPr>
        <w:t>عليه‌السلام</w:t>
      </w:r>
      <w:r w:rsidRPr="00C9040A">
        <w:rPr>
          <w:rtl/>
          <w:lang w:bidi="fa-IR"/>
        </w:rPr>
        <w:t xml:space="preserve"> إِنَّمَا بَلَغَ مَا بَلَغَ بِهِ </w:t>
      </w:r>
      <w:r w:rsidR="006C577F" w:rsidRPr="006C577F">
        <w:rPr>
          <w:rStyle w:val="libFootnotenumChar"/>
          <w:rtl/>
        </w:rPr>
        <w:t>(1)</w:t>
      </w:r>
      <w:r w:rsidRPr="002712F0">
        <w:rPr>
          <w:rFonts w:hint="cs"/>
          <w:rtl/>
        </w:rPr>
        <w:t xml:space="preserve"> </w:t>
      </w:r>
      <w:r w:rsidRPr="00C9040A">
        <w:rPr>
          <w:rtl/>
          <w:lang w:bidi="fa-IR"/>
        </w:rPr>
        <w:t xml:space="preserve">عِنْدَ رَسُولِ اللهِ </w:t>
      </w:r>
      <w:r w:rsidR="004A4E41" w:rsidRPr="004A4E41">
        <w:rPr>
          <w:rStyle w:val="libAlaemChar"/>
          <w:rtl/>
        </w:rPr>
        <w:t>صلى‌الله‌عليه‌وآله</w:t>
      </w:r>
      <w:r w:rsidRPr="00C9040A">
        <w:rPr>
          <w:rtl/>
          <w:lang w:bidi="fa-IR"/>
        </w:rPr>
        <w:t xml:space="preserve"> بِصِدْقِ الْحَدِيثِ وَأَدَاءِ الْأَمَانَةِ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8C50BE">
        <w:rPr>
          <w:rtl/>
        </w:rPr>
        <w:t>1774</w:t>
      </w:r>
      <w:r w:rsidRPr="00261CB0">
        <w:rPr>
          <w:rStyle w:val="libBold2Char"/>
          <w:rtl/>
        </w:rPr>
        <w:t xml:space="preserve"> / 6.</w:t>
      </w:r>
      <w:r w:rsidRPr="00C9040A">
        <w:rPr>
          <w:rtl/>
          <w:lang w:bidi="fa-IR"/>
        </w:rPr>
        <w:t xml:space="preserve"> عَلِيُّ بْنُ إِبْرَاهِيمَ ، عَنْ أَبِيهِ ، عَنِ ابْنِ أَبِي عُمَيْرٍ ، عَنْ أَبِي إِسْمَاعِيلَ الْبَصْرِيِّ ، عَنِ الْفُضَيْلِ </w:t>
      </w:r>
      <w:r w:rsidR="006C577F" w:rsidRPr="006C577F">
        <w:rPr>
          <w:rStyle w:val="libFootnotenumChar"/>
          <w:rtl/>
        </w:rPr>
        <w:t>(3)</w:t>
      </w:r>
      <w:r w:rsidRPr="00C9040A">
        <w:rPr>
          <w:rtl/>
          <w:lang w:bidi="fa-IR"/>
        </w:rPr>
        <w:t xml:space="preserve"> بْنِ يَسَارٍ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يَا فُضَيْلُ ، إِنَّ الصَّادِقَ أَوَّلُ مَنْ يُصَدِّقُهُ اللهُ عَزَّ وَجَلَّ ، يَعْلَمُ أَنَّهُ صَادِقٌ ، وَتُصَدِّقُهُ </w:t>
      </w:r>
      <w:r w:rsidR="006C577F" w:rsidRPr="006C577F">
        <w:rPr>
          <w:rStyle w:val="libFootnotenumChar"/>
          <w:rtl/>
        </w:rPr>
        <w:t>(4)</w:t>
      </w:r>
      <w:r w:rsidRPr="00C9040A">
        <w:rPr>
          <w:rtl/>
          <w:lang w:bidi="fa-IR"/>
        </w:rPr>
        <w:t xml:space="preserve"> نَفْسُهُ ، تَعْلَمُ </w:t>
      </w:r>
      <w:r w:rsidR="006C577F" w:rsidRPr="006C577F">
        <w:rPr>
          <w:rStyle w:val="libFootnotenumChar"/>
          <w:rtl/>
        </w:rPr>
        <w:t>(5)</w:t>
      </w:r>
      <w:r w:rsidRPr="00C9040A">
        <w:rPr>
          <w:rtl/>
          <w:lang w:bidi="fa-IR"/>
        </w:rPr>
        <w:t xml:space="preserve"> أَنَّهُ صَادِقٌ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Normal"/>
        <w:rPr>
          <w:rtl/>
          <w:lang w:bidi="fa-IR"/>
        </w:rPr>
      </w:pPr>
      <w:r w:rsidRPr="008C50BE">
        <w:rPr>
          <w:rtl/>
        </w:rPr>
        <w:t>1775</w:t>
      </w:r>
      <w:r w:rsidRPr="00261CB0">
        <w:rPr>
          <w:rStyle w:val="libBold2Char"/>
          <w:rtl/>
        </w:rPr>
        <w:t xml:space="preserve"> / 7.</w:t>
      </w:r>
      <w:r w:rsidRPr="00C9040A">
        <w:rPr>
          <w:rtl/>
          <w:lang w:bidi="fa-IR"/>
        </w:rPr>
        <w:t xml:space="preserve"> ابْنُ أَبِي عُمَيْرٍ </w:t>
      </w:r>
      <w:r w:rsidR="006C577F" w:rsidRPr="006C577F">
        <w:rPr>
          <w:rStyle w:val="libFootnotenumChar"/>
          <w:rtl/>
        </w:rPr>
        <w:t>(7)</w:t>
      </w:r>
      <w:r w:rsidRPr="00C9040A">
        <w:rPr>
          <w:rtl/>
          <w:lang w:bidi="fa-IR"/>
        </w:rPr>
        <w:t xml:space="preserve"> ، عَنْ مَنْصُورِ بْنِ حَازِمٍ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إِنَّمَا سُمِّيَ إِسْمَاعِيلُ صَادِقَ الْوَعْدِ لِأَنَّهُ وَعَدَ رَجُلاً فِي مَكَانٍ ، فَانْتَظَرَهُ فِي ذلِكَ الْمَكَانِ </w:t>
      </w:r>
      <w:r w:rsidR="006C577F" w:rsidRPr="006C577F">
        <w:rPr>
          <w:rStyle w:val="libFootnotenumChar"/>
          <w:rtl/>
        </w:rPr>
        <w:t>(8)</w:t>
      </w:r>
      <w:r w:rsidRPr="00C9040A">
        <w:rPr>
          <w:rtl/>
          <w:lang w:bidi="fa-IR"/>
        </w:rPr>
        <w:t xml:space="preserve"> سَنَةً ، فَسَمَّاهُ </w:t>
      </w:r>
      <w:r w:rsidR="006C577F" w:rsidRPr="006C577F">
        <w:rPr>
          <w:rStyle w:val="libFootnotenumChar"/>
          <w:rtl/>
        </w:rPr>
        <w:t>(9)</w:t>
      </w:r>
      <w:r w:rsidRPr="00C9040A">
        <w:rPr>
          <w:rtl/>
          <w:lang w:bidi="fa-IR"/>
        </w:rPr>
        <w:t xml:space="preserve"> اللهُ </w:t>
      </w:r>
      <w:r w:rsidR="006C577F" w:rsidRPr="006C577F">
        <w:rPr>
          <w:rStyle w:val="libFootnotenumChar"/>
          <w:rtl/>
        </w:rPr>
        <w:t>(10)</w:t>
      </w:r>
      <w:r w:rsidRPr="00C9040A">
        <w:rPr>
          <w:rtl/>
          <w:lang w:bidi="fa-IR"/>
        </w:rPr>
        <w:t xml:space="preserve"> عَزَّ وَجَلَّ </w:t>
      </w:r>
      <w:r w:rsidR="006C577F" w:rsidRPr="006C577F">
        <w:rPr>
          <w:rStyle w:val="libFootnotenumChar"/>
          <w:rtl/>
        </w:rPr>
        <w:t>(11)</w:t>
      </w:r>
      <w:r w:rsidRPr="00C9040A">
        <w:rPr>
          <w:rtl/>
          <w:lang w:bidi="fa-IR"/>
        </w:rPr>
        <w:t xml:space="preserve"> </w:t>
      </w:r>
      <w:r w:rsidRPr="0003660B">
        <w:rPr>
          <w:rStyle w:val="libAlaemChar"/>
          <w:rtl/>
        </w:rPr>
        <w:t>(</w:t>
      </w:r>
      <w:r w:rsidRPr="006A2246">
        <w:rPr>
          <w:rStyle w:val="libAieChar"/>
          <w:rtl/>
        </w:rPr>
        <w:t xml:space="preserve"> صادِقَ الْوَعْدِ </w:t>
      </w:r>
      <w:r w:rsidRPr="0003660B">
        <w:rPr>
          <w:rStyle w:val="libAlaemChar"/>
          <w:rtl/>
        </w:rPr>
        <w:t>)</w:t>
      </w:r>
      <w:r w:rsidRPr="00C9040A">
        <w:rPr>
          <w:rtl/>
          <w:lang w:bidi="fa-IR"/>
        </w:rPr>
        <w:t xml:space="preserve"> </w:t>
      </w:r>
      <w:r w:rsidR="006C577F" w:rsidRPr="006C577F">
        <w:rPr>
          <w:rStyle w:val="libFootnotenumChar"/>
          <w:rtl/>
        </w:rPr>
        <w:t>(12)</w:t>
      </w:r>
      <w:r w:rsidRPr="00C9040A">
        <w:rPr>
          <w:rtl/>
          <w:lang w:bidi="fa-IR"/>
        </w:rPr>
        <w:t xml:space="preserve"> ثُمَّ </w:t>
      </w:r>
      <w:r w:rsidRPr="005B567D">
        <w:rPr>
          <w:rStyle w:val="libFootnotenumChar"/>
          <w:rtl/>
        </w:rPr>
        <w:t>(13)</w:t>
      </w:r>
      <w:r w:rsidRPr="00C9040A">
        <w:rPr>
          <w:rtl/>
          <w:lang w:bidi="fa-IR"/>
        </w:rPr>
        <w:t xml:space="preserve"> : إِنَّ الرَّجُلَ أَتَاهُ بَعْدَ ذلِكَ ، فَقَالَ لَهُ إِسْمَاعِيلُ : مَا زِلْتُ مُنْتَظِراً لَكَ »</w:t>
      </w:r>
      <w:r>
        <w:rPr>
          <w:rtl/>
          <w:lang w:bidi="fa-IR"/>
        </w:rPr>
        <w:t>.</w:t>
      </w:r>
      <w:r w:rsidRPr="00C9040A">
        <w:rPr>
          <w:rtl/>
          <w:lang w:bidi="fa-IR"/>
        </w:rPr>
        <w:t xml:space="preserve"> </w:t>
      </w:r>
      <w:r w:rsidRPr="005B567D">
        <w:rPr>
          <w:rStyle w:val="libFootnotenumChar"/>
          <w:rtl/>
        </w:rPr>
        <w:t>(14)</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 ص » </w:t>
      </w:r>
      <w:r w:rsidR="008A74EB">
        <w:rPr>
          <w:rtl/>
        </w:rPr>
        <w:t xml:space="preserve">: </w:t>
      </w:r>
      <w:r w:rsidR="0084262C">
        <w:rPr>
          <w:rtl/>
        </w:rPr>
        <w:t>-</w:t>
      </w:r>
      <w:r w:rsidR="008A74EB" w:rsidRPr="00C9040A">
        <w:rPr>
          <w:rtl/>
        </w:rPr>
        <w:t xml:space="preserve"> « به »</w:t>
      </w:r>
      <w:r w:rsidR="008A74EB">
        <w:rPr>
          <w:rtl/>
        </w:rPr>
        <w:t>.</w:t>
      </w:r>
      <w:r w:rsidR="008A74EB" w:rsidRPr="00C9040A">
        <w:rPr>
          <w:rtl/>
        </w:rPr>
        <w:t xml:space="preserve"> وقال في مرآة العقول : « كأنّه زيدت كلمة « به » من النسّاخ ، وليست في بعض النسخ ، وعلى تقديرها كأنّ الباء زائدة</w:t>
      </w:r>
      <w:r w:rsidR="008A74EB">
        <w:rPr>
          <w:rtl/>
        </w:rPr>
        <w:t xml:space="preserve"> ..</w:t>
      </w:r>
      <w:r w:rsidR="008A74EB" w:rsidRPr="00C9040A">
        <w:rPr>
          <w:rtl/>
        </w:rPr>
        <w:t>. فيمكن أن يكون الباء بمعنى إلى. ويحتمل على بُعد أن يكون قوله : « فإنّ عليّاً » تعليلاً للزوم ، وضمير « به » راجعاً إلى الموصول في « ما بلغ به » أوّلاً ، وقوله : « بصدق الحديث » كلاماً مستأنفاً متعلّقاً بفعل مقدّر ، أي بلغ ذلك بصدق الصديق »</w:t>
      </w:r>
      <w:r w:rsidR="008A74EB">
        <w:rPr>
          <w:rtl/>
        </w:rPr>
        <w:t>.</w:t>
      </w:r>
    </w:p>
    <w:p w:rsidR="008A74EB" w:rsidRPr="004A4E41" w:rsidRDefault="006C577F" w:rsidP="004A4E41">
      <w:pPr>
        <w:pStyle w:val="libFootnote0"/>
        <w:rPr>
          <w:rStyle w:val="libFootnote0Char"/>
          <w:rtl/>
        </w:rPr>
      </w:pPr>
      <w:r>
        <w:rPr>
          <w:rtl/>
        </w:rPr>
        <w:t>(2).</w:t>
      </w:r>
      <w:r w:rsidR="008A74EB">
        <w:rPr>
          <w:rtl/>
        </w:rPr>
        <w:t xml:space="preserve"> </w:t>
      </w:r>
      <w:r w:rsidR="008A74EB" w:rsidRPr="00993B55">
        <w:rPr>
          <w:rStyle w:val="libFootnoteBoldChar"/>
          <w:rtl/>
        </w:rPr>
        <w:t>الوافي</w:t>
      </w:r>
      <w:r w:rsidR="008A74EB" w:rsidRPr="00C9040A">
        <w:rPr>
          <w:rtl/>
        </w:rPr>
        <w:t xml:space="preserve"> ، ج 4 ، ص 430 ، ح 2260 ؛ </w:t>
      </w:r>
      <w:r w:rsidR="008A74EB" w:rsidRPr="00993B55">
        <w:rPr>
          <w:rStyle w:val="libFootnoteBoldChar"/>
          <w:rtl/>
        </w:rPr>
        <w:t>الوسائل</w:t>
      </w:r>
      <w:r w:rsidR="008A74EB" w:rsidRPr="00C9040A">
        <w:rPr>
          <w:rtl/>
        </w:rPr>
        <w:t xml:space="preserve"> ، ج 19 ، ص 67 ، ح 24166 ؛ </w:t>
      </w:r>
      <w:r w:rsidR="008A74EB" w:rsidRPr="00993B55">
        <w:rPr>
          <w:rStyle w:val="libFootnoteBoldChar"/>
          <w:rtl/>
        </w:rPr>
        <w:t>البحار</w:t>
      </w:r>
      <w:r w:rsidR="008A74EB" w:rsidRPr="00C9040A">
        <w:rPr>
          <w:rtl/>
        </w:rPr>
        <w:t xml:space="preserve"> ، ج 71 ، ص 4 ، ح 5.</w:t>
      </w:r>
    </w:p>
    <w:tbl>
      <w:tblPr>
        <w:tblStyle w:val="TableGrid"/>
        <w:bidiVisual/>
        <w:tblW w:w="0" w:type="auto"/>
        <w:tblLook w:val="04A0" w:firstRow="1" w:lastRow="0" w:firstColumn="1" w:lastColumn="0" w:noHBand="0" w:noVBand="1"/>
      </w:tblPr>
      <w:tblGrid>
        <w:gridCol w:w="4006"/>
        <w:gridCol w:w="4006"/>
      </w:tblGrid>
      <w:tr w:rsidR="00793999" w:rsidTr="00793999">
        <w:tc>
          <w:tcPr>
            <w:tcW w:w="4006" w:type="dxa"/>
          </w:tcPr>
          <w:p w:rsidR="00793999" w:rsidRDefault="00793999" w:rsidP="004A4E41">
            <w:pPr>
              <w:pStyle w:val="libFootnote0"/>
              <w:rPr>
                <w:rtl/>
              </w:rPr>
            </w:pPr>
            <w:r>
              <w:rPr>
                <w:rtl/>
              </w:rPr>
              <w:t>(3).</w:t>
            </w:r>
            <w:r w:rsidRPr="00C9040A">
              <w:rPr>
                <w:rtl/>
              </w:rPr>
              <w:t xml:space="preserve"> هكذا في النسخ. وفي المطبوع : « فضيل »</w:t>
            </w:r>
            <w:r>
              <w:rPr>
                <w:rtl/>
              </w:rPr>
              <w:t>.</w:t>
            </w:r>
          </w:p>
        </w:tc>
        <w:tc>
          <w:tcPr>
            <w:tcW w:w="4006" w:type="dxa"/>
          </w:tcPr>
          <w:p w:rsidR="00793999" w:rsidRDefault="00793999" w:rsidP="004A4E41">
            <w:pPr>
              <w:pStyle w:val="libFootnote0"/>
              <w:rPr>
                <w:rtl/>
              </w:rPr>
            </w:pPr>
            <w:r>
              <w:rPr>
                <w:rtl/>
              </w:rPr>
              <w:t>(4).</w:t>
            </w:r>
            <w:r w:rsidR="00276AF9">
              <w:rPr>
                <w:rtl/>
              </w:rPr>
              <w:t xml:space="preserve"> في «ز</w:t>
            </w:r>
            <w:r w:rsidRPr="00C9040A">
              <w:rPr>
                <w:rtl/>
              </w:rPr>
              <w:t>» : « ويصدّقه »</w:t>
            </w:r>
            <w:r>
              <w:rPr>
                <w:rtl/>
              </w:rPr>
              <w:t>.</w:t>
            </w:r>
            <w:r w:rsidRPr="00C9040A">
              <w:rPr>
                <w:rtl/>
              </w:rPr>
              <w:t xml:space="preserve"> وفي الوافي : « فتصدّقه »</w:t>
            </w:r>
            <w:r>
              <w:rPr>
                <w:rtl/>
              </w:rPr>
              <w:t>.</w:t>
            </w:r>
          </w:p>
        </w:tc>
      </w:tr>
    </w:tbl>
    <w:p w:rsidR="008A74EB" w:rsidRPr="00C9040A" w:rsidRDefault="006C577F" w:rsidP="004A4E41">
      <w:pPr>
        <w:pStyle w:val="libFootnote0"/>
        <w:rPr>
          <w:rtl/>
          <w:lang w:bidi="fa-IR"/>
        </w:rPr>
      </w:pPr>
      <w:r>
        <w:rPr>
          <w:rtl/>
        </w:rPr>
        <w:t>(5).</w:t>
      </w:r>
      <w:r w:rsidR="008A74EB" w:rsidRPr="00C9040A">
        <w:rPr>
          <w:rtl/>
        </w:rPr>
        <w:t xml:space="preserve"> في « ب ، ج ، ز » : « يعلم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ثواب الأعمال</w:t>
      </w:r>
      <w:r w:rsidR="008A74EB" w:rsidRPr="00C9040A">
        <w:rPr>
          <w:rtl/>
        </w:rPr>
        <w:t xml:space="preserve"> ، ص 213 ، ح 1 ، بسند آخر ، مع اختلاف يسير وزيادة في آخره</w:t>
      </w:r>
      <w:r w:rsidR="00276AF9">
        <w:rPr>
          <w:rFonts w:hint="cs"/>
          <w:rtl/>
        </w:rPr>
        <w:t>.</w:t>
      </w:r>
      <w:r w:rsidR="008A74EB" w:rsidRPr="00993B55">
        <w:rPr>
          <w:rStyle w:val="libFootnoteBoldChar"/>
          <w:rtl/>
        </w:rPr>
        <w:t>الوافي</w:t>
      </w:r>
      <w:r w:rsidR="008A74EB" w:rsidRPr="00C9040A">
        <w:rPr>
          <w:rtl/>
        </w:rPr>
        <w:t xml:space="preserve"> ، ج 4 ، ص 430 ، ح 2261 ؛ </w:t>
      </w:r>
      <w:r w:rsidR="008A74EB" w:rsidRPr="00993B55">
        <w:rPr>
          <w:rStyle w:val="libFootnoteBoldChar"/>
          <w:rtl/>
        </w:rPr>
        <w:t>الوسائل</w:t>
      </w:r>
      <w:r w:rsidR="008A74EB" w:rsidRPr="00C9040A">
        <w:rPr>
          <w:rtl/>
        </w:rPr>
        <w:t xml:space="preserve"> ، ج 12 ، ص 163 ، ح 15960 ؛ </w:t>
      </w:r>
      <w:r w:rsidR="008A74EB" w:rsidRPr="00993B55">
        <w:rPr>
          <w:rStyle w:val="libFootnoteBoldChar"/>
          <w:rtl/>
        </w:rPr>
        <w:t>البحار</w:t>
      </w:r>
      <w:r w:rsidR="008A74EB" w:rsidRPr="00C9040A">
        <w:rPr>
          <w:rtl/>
        </w:rPr>
        <w:t xml:space="preserve"> ، ج 71 ، ص 5 ، ح 6.</w:t>
      </w:r>
    </w:p>
    <w:p w:rsidR="008A74EB" w:rsidRPr="00C9040A" w:rsidRDefault="006C577F" w:rsidP="004A4E41">
      <w:pPr>
        <w:pStyle w:val="libFootnote0"/>
        <w:rPr>
          <w:rtl/>
          <w:lang w:bidi="fa-IR"/>
        </w:rPr>
      </w:pPr>
      <w:r>
        <w:rPr>
          <w:rtl/>
        </w:rPr>
        <w:t>(7).</w:t>
      </w:r>
      <w:r w:rsidR="008A74EB" w:rsidRPr="00C9040A">
        <w:rPr>
          <w:rtl/>
        </w:rPr>
        <w:t xml:space="preserve"> السند معلّق على سابقه. ويروي عن ابن أبي عمير ، عليّ بن إبراهيم عن أبيه.</w:t>
      </w:r>
    </w:p>
    <w:p w:rsidR="008A74EB" w:rsidRPr="004A4E41" w:rsidRDefault="006C577F" w:rsidP="004A4E41">
      <w:pPr>
        <w:pStyle w:val="libFootnote0"/>
        <w:rPr>
          <w:rStyle w:val="libFootnote0Char"/>
          <w:rtl/>
        </w:rPr>
      </w:pPr>
      <w:r>
        <w:rPr>
          <w:rtl/>
        </w:rPr>
        <w:t>(8).</w:t>
      </w:r>
      <w:r w:rsidR="008A74EB" w:rsidRPr="00C9040A">
        <w:rPr>
          <w:rtl/>
        </w:rPr>
        <w:t xml:space="preserve"> في « ج ، ز ، ص ، ض ، ف ، بس » والوسائل </w:t>
      </w:r>
      <w:r w:rsidR="008A74EB">
        <w:rPr>
          <w:rtl/>
        </w:rPr>
        <w:t xml:space="preserve">: </w:t>
      </w:r>
      <w:r w:rsidR="0084262C">
        <w:rPr>
          <w:rtl/>
        </w:rPr>
        <w:t>-</w:t>
      </w:r>
      <w:r w:rsidR="008A74EB" w:rsidRPr="00C9040A">
        <w:rPr>
          <w:rtl/>
        </w:rPr>
        <w:t xml:space="preserve"> « في ذلك المكان »</w:t>
      </w:r>
      <w:r w:rsidR="008A74EB">
        <w:rPr>
          <w:rtl/>
        </w:rPr>
        <w:t>.</w:t>
      </w:r>
    </w:p>
    <w:tbl>
      <w:tblPr>
        <w:tblStyle w:val="TableGrid"/>
        <w:bidiVisual/>
        <w:tblW w:w="0" w:type="auto"/>
        <w:tblLook w:val="04A0" w:firstRow="1" w:lastRow="0" w:firstColumn="1" w:lastColumn="0" w:noHBand="0" w:noVBand="1"/>
      </w:tblPr>
      <w:tblGrid>
        <w:gridCol w:w="4006"/>
        <w:gridCol w:w="4006"/>
      </w:tblGrid>
      <w:tr w:rsidR="00276AF9" w:rsidTr="00276AF9">
        <w:tc>
          <w:tcPr>
            <w:tcW w:w="4006" w:type="dxa"/>
          </w:tcPr>
          <w:p w:rsidR="00276AF9" w:rsidRDefault="00276AF9" w:rsidP="004A4E41">
            <w:pPr>
              <w:pStyle w:val="libFootnote0"/>
              <w:rPr>
                <w:rtl/>
              </w:rPr>
            </w:pPr>
            <w:r>
              <w:rPr>
                <w:rtl/>
              </w:rPr>
              <w:t>(9).</w:t>
            </w:r>
            <w:r w:rsidRPr="00C9040A">
              <w:rPr>
                <w:rtl/>
              </w:rPr>
              <w:t xml:space="preserve"> في « ف » : « فسمّي »</w:t>
            </w:r>
            <w:r>
              <w:rPr>
                <w:rtl/>
              </w:rPr>
              <w:t>.</w:t>
            </w:r>
          </w:p>
        </w:tc>
        <w:tc>
          <w:tcPr>
            <w:tcW w:w="4006" w:type="dxa"/>
          </w:tcPr>
          <w:p w:rsidR="00276AF9" w:rsidRDefault="00276AF9" w:rsidP="004A4E41">
            <w:pPr>
              <w:pStyle w:val="libFootnote0"/>
              <w:rPr>
                <w:rtl/>
              </w:rPr>
            </w:pPr>
            <w:r>
              <w:rPr>
                <w:rtl/>
              </w:rPr>
              <w:t>(10).</w:t>
            </w:r>
            <w:r w:rsidRPr="00C9040A">
              <w:rPr>
                <w:rtl/>
              </w:rPr>
              <w:t xml:space="preserve"> في « بس » </w:t>
            </w:r>
            <w:r>
              <w:rPr>
                <w:rtl/>
              </w:rPr>
              <w:t>: -</w:t>
            </w:r>
            <w:r w:rsidRPr="00C9040A">
              <w:rPr>
                <w:rtl/>
              </w:rPr>
              <w:t xml:space="preserve"> « الله »</w:t>
            </w:r>
            <w:r>
              <w:rPr>
                <w:rtl/>
              </w:rPr>
              <w:t>.</w:t>
            </w:r>
          </w:p>
        </w:tc>
      </w:tr>
      <w:tr w:rsidR="00276AF9" w:rsidTr="00276AF9">
        <w:tc>
          <w:tcPr>
            <w:tcW w:w="4006" w:type="dxa"/>
          </w:tcPr>
          <w:p w:rsidR="00276AF9" w:rsidRDefault="00276AF9" w:rsidP="004A4E41">
            <w:pPr>
              <w:pStyle w:val="libFootnote0"/>
              <w:rPr>
                <w:rtl/>
              </w:rPr>
            </w:pPr>
            <w:r>
              <w:rPr>
                <w:rtl/>
              </w:rPr>
              <w:t>(11).</w:t>
            </w:r>
            <w:r w:rsidRPr="00C9040A">
              <w:rPr>
                <w:rtl/>
              </w:rPr>
              <w:t xml:space="preserve"> في « ف » </w:t>
            </w:r>
            <w:r>
              <w:rPr>
                <w:rtl/>
              </w:rPr>
              <w:t>: -</w:t>
            </w:r>
            <w:r w:rsidRPr="00C9040A">
              <w:rPr>
                <w:rtl/>
              </w:rPr>
              <w:t xml:space="preserve"> « الله عزّ وجلّ »</w:t>
            </w:r>
            <w:r>
              <w:rPr>
                <w:rtl/>
              </w:rPr>
              <w:t>.</w:t>
            </w:r>
          </w:p>
        </w:tc>
        <w:tc>
          <w:tcPr>
            <w:tcW w:w="4006" w:type="dxa"/>
          </w:tcPr>
          <w:p w:rsidR="00276AF9" w:rsidRDefault="00276AF9" w:rsidP="004A4E41">
            <w:pPr>
              <w:pStyle w:val="libFootnote0"/>
              <w:rPr>
                <w:rtl/>
              </w:rPr>
            </w:pPr>
            <w:r>
              <w:rPr>
                <w:rtl/>
              </w:rPr>
              <w:t>(12).</w:t>
            </w:r>
            <w:r w:rsidRPr="00C9040A">
              <w:rPr>
                <w:rtl/>
              </w:rPr>
              <w:t xml:space="preserve"> مريم (19) : 54.</w:t>
            </w:r>
          </w:p>
        </w:tc>
      </w:tr>
    </w:tbl>
    <w:p w:rsidR="008A74EB" w:rsidRPr="00C9040A" w:rsidRDefault="008A74EB" w:rsidP="004A4E41">
      <w:pPr>
        <w:pStyle w:val="libFootnote0"/>
        <w:rPr>
          <w:rtl/>
          <w:lang w:bidi="fa-IR"/>
        </w:rPr>
      </w:pPr>
      <w:r>
        <w:rPr>
          <w:rtl/>
        </w:rPr>
        <w:t>(13)</w:t>
      </w:r>
      <w:r w:rsidRPr="00C9040A">
        <w:rPr>
          <w:rtl/>
        </w:rPr>
        <w:t xml:space="preserve"> هكذا في النسخ التي قوبلت والوافي والوسائل والبحار. وفي المطبوع : + « [ قال ] »</w:t>
      </w:r>
      <w:r>
        <w:rPr>
          <w:rtl/>
        </w:rPr>
        <w:t>.</w:t>
      </w:r>
    </w:p>
    <w:p w:rsidR="008A74EB" w:rsidRPr="00C9040A" w:rsidRDefault="008A74EB" w:rsidP="004A4E41">
      <w:pPr>
        <w:pStyle w:val="libFootnote0"/>
        <w:rPr>
          <w:rtl/>
          <w:lang w:bidi="fa-IR"/>
        </w:rPr>
      </w:pPr>
      <w:r>
        <w:rPr>
          <w:rtl/>
        </w:rPr>
        <w:t>(14)</w:t>
      </w:r>
      <w:r w:rsidRPr="00C9040A">
        <w:rPr>
          <w:rtl/>
        </w:rPr>
        <w:t xml:space="preserve"> </w:t>
      </w:r>
      <w:r w:rsidRPr="00993B55">
        <w:rPr>
          <w:rStyle w:val="libFootnoteBoldChar"/>
          <w:rtl/>
        </w:rPr>
        <w:t>علل الشرائع</w:t>
      </w:r>
      <w:r w:rsidRPr="00C9040A">
        <w:rPr>
          <w:rtl/>
        </w:rPr>
        <w:t xml:space="preserve"> ، ص 77 ، ح 1 ؛ و</w:t>
      </w:r>
      <w:r w:rsidRPr="00993B55">
        <w:rPr>
          <w:rStyle w:val="libFootnoteBoldChar"/>
          <w:rtl/>
        </w:rPr>
        <w:t xml:space="preserve">عيون الأخبار </w:t>
      </w:r>
      <w:r w:rsidRPr="00C9040A">
        <w:rPr>
          <w:rtl/>
        </w:rPr>
        <w:t xml:space="preserve">، ج 2 ، ص 79 ، ح 9 ، بسند آخر عن الرضا </w:t>
      </w:r>
      <w:r w:rsidR="00117575" w:rsidRPr="00117575">
        <w:rPr>
          <w:rStyle w:val="libFootnoteAlaemChar"/>
          <w:rtl/>
        </w:rPr>
        <w:t xml:space="preserve">عليه‌السلام </w:t>
      </w:r>
      <w:r w:rsidRPr="00C9040A">
        <w:rPr>
          <w:rtl/>
        </w:rPr>
        <w:t xml:space="preserve">. </w:t>
      </w:r>
      <w:r w:rsidRPr="00993B55">
        <w:rPr>
          <w:rStyle w:val="libFootnoteBoldChar"/>
          <w:rtl/>
        </w:rPr>
        <w:t>تفسير القمّي</w:t>
      </w:r>
      <w:r w:rsidRPr="00C9040A">
        <w:rPr>
          <w:rtl/>
        </w:rPr>
        <w:t xml:space="preserve"> ، ج 2 ، ص 50 ، من دون الإسناد إلى المعصوم </w:t>
      </w:r>
      <w:r w:rsidR="00117575" w:rsidRPr="00117575">
        <w:rPr>
          <w:rStyle w:val="libFootnoteAlaemChar"/>
          <w:rtl/>
        </w:rPr>
        <w:t>عليه‌السلام</w:t>
      </w:r>
      <w:r w:rsidRPr="00C9040A">
        <w:rPr>
          <w:rtl/>
        </w:rPr>
        <w:t xml:space="preserve"> ، وفي كلّها مع اختلاف</w:t>
      </w:r>
      <w:r w:rsidR="00CE0197">
        <w:rPr>
          <w:rFonts w:hint="cs"/>
          <w:rtl/>
        </w:rPr>
        <w:t>.</w:t>
      </w:r>
      <w:r w:rsidRPr="00993B55">
        <w:rPr>
          <w:rStyle w:val="libFootnoteBoldChar"/>
          <w:rtl/>
        </w:rPr>
        <w:t>الوافي</w:t>
      </w:r>
      <w:r w:rsidRPr="00C9040A">
        <w:rPr>
          <w:rtl/>
        </w:rPr>
        <w:t xml:space="preserve"> ، ج 4 ، ص 430 ، ح 2262 ؛ </w:t>
      </w:r>
      <w:r w:rsidRPr="00993B55">
        <w:rPr>
          <w:rStyle w:val="libFootnoteBoldChar"/>
          <w:rtl/>
        </w:rPr>
        <w:t>الوسائل</w:t>
      </w:r>
      <w:r w:rsidRPr="00C9040A">
        <w:rPr>
          <w:rtl/>
        </w:rPr>
        <w:t xml:space="preserve"> ، ج 12 ، ص 164 ، ح 15964 ؛ </w:t>
      </w:r>
      <w:r w:rsidRPr="00993B55">
        <w:rPr>
          <w:rStyle w:val="libFootnoteBoldChar"/>
          <w:rtl/>
        </w:rPr>
        <w:t>البحار</w:t>
      </w:r>
      <w:r w:rsidRPr="00C9040A">
        <w:rPr>
          <w:rtl/>
        </w:rPr>
        <w:t xml:space="preserve"> ، ج 71 ، ص 5 ، ح 7.</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8C50BE">
        <w:rPr>
          <w:rtl/>
        </w:rPr>
        <w:t>1776</w:t>
      </w:r>
      <w:r w:rsidRPr="00261CB0">
        <w:rPr>
          <w:rStyle w:val="libBold2Char"/>
          <w:rtl/>
        </w:rPr>
        <w:t xml:space="preserve"> / 8.</w:t>
      </w:r>
      <w:r w:rsidRPr="00C9040A">
        <w:rPr>
          <w:rtl/>
          <w:lang w:bidi="fa-IR"/>
        </w:rPr>
        <w:t xml:space="preserve"> أَبُو عَلِيٍّ الْأَشْعَرِيُّ ، عَنْ مُحَمَّدِ بْنِ سَالِمٍ ، عَنْ أَحْمَدَ بْنِ النَّضْرِ الْخَزَّازِ </w:t>
      </w:r>
      <w:r w:rsidR="006C577F" w:rsidRPr="006C577F">
        <w:rPr>
          <w:rStyle w:val="libFootnotenumChar"/>
          <w:rtl/>
        </w:rPr>
        <w:t>(1)</w:t>
      </w:r>
      <w:r w:rsidRPr="00C9040A">
        <w:rPr>
          <w:rtl/>
          <w:lang w:bidi="fa-IR"/>
        </w:rPr>
        <w:t>، عَنْ جَدِّهِ الرَّبِيعِ بْنِ سَعْدٍ ، قَالَ :</w:t>
      </w:r>
    </w:p>
    <w:p w:rsidR="008A74EB" w:rsidRPr="00C9040A" w:rsidRDefault="008A74EB" w:rsidP="008A74EB">
      <w:pPr>
        <w:pStyle w:val="libNormal"/>
        <w:rPr>
          <w:rtl/>
          <w:lang w:bidi="fa-IR"/>
        </w:rPr>
      </w:pPr>
      <w:r w:rsidRPr="00C9040A">
        <w:rPr>
          <w:rtl/>
          <w:lang w:bidi="fa-IR"/>
        </w:rPr>
        <w:t xml:space="preserve">قَالَ لِي </w:t>
      </w:r>
      <w:r w:rsidR="006C577F" w:rsidRPr="006C577F">
        <w:rPr>
          <w:rStyle w:val="libFootnotenumChar"/>
          <w:rtl/>
        </w:rPr>
        <w:t>(2)</w:t>
      </w:r>
      <w:r w:rsidRPr="00C9040A">
        <w:rPr>
          <w:rtl/>
          <w:lang w:bidi="fa-IR"/>
        </w:rPr>
        <w:t xml:space="preserve"> أَبُو جَعْفَرٍ </w:t>
      </w:r>
      <w:r w:rsidRPr="0003660B">
        <w:rPr>
          <w:rStyle w:val="libAlaemChar"/>
          <w:rtl/>
        </w:rPr>
        <w:t>عليه‌السلام</w:t>
      </w:r>
      <w:r w:rsidRPr="00C9040A">
        <w:rPr>
          <w:rtl/>
          <w:lang w:bidi="fa-IR"/>
        </w:rPr>
        <w:t xml:space="preserve"> : « يَا رَبِيعُ ، إِنَّ الرَّجُلَ لَيَصْدُقُ حَتّى يَكْتُبَهُ اللهُ صِدِّيقاً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8C50BE">
        <w:rPr>
          <w:rtl/>
        </w:rPr>
        <w:t>1777</w:t>
      </w:r>
      <w:r w:rsidRPr="00261CB0">
        <w:rPr>
          <w:rStyle w:val="libBold2Char"/>
          <w:rtl/>
        </w:rPr>
        <w:t xml:space="preserve"> / 9.</w:t>
      </w:r>
      <w:r w:rsidRPr="00C9040A">
        <w:rPr>
          <w:rtl/>
          <w:lang w:bidi="fa-IR"/>
        </w:rPr>
        <w:t xml:space="preserve"> عِدَّةٌ مِنْ أَصْحَابِنَا ، عَنْ أَحْمَدَ بْنِ مُحَمَّدٍ </w:t>
      </w:r>
      <w:r w:rsidR="006C577F" w:rsidRPr="006C577F">
        <w:rPr>
          <w:rStyle w:val="libFootnotenumChar"/>
          <w:rtl/>
        </w:rPr>
        <w:t>(4)</w:t>
      </w:r>
      <w:r w:rsidRPr="00C9040A">
        <w:rPr>
          <w:rtl/>
          <w:lang w:bidi="fa-IR"/>
        </w:rPr>
        <w:t xml:space="preserve"> ، عَنِ الْوَشَّاءِ ، عَنْ عَلِيِّ بْنِ أَبِي حَمْزَةَ ، عَنْ أَبِي بَصِيرٍ ، قَالَ :</w:t>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 « إِنَّ الْعَبْدَ لَيَصْدُقُ حَتّى يُكْتَبَ عِنْدَ اللهِ مِنَ الصَّادِقِينَ ، وَيَكْذِبُ حَتّى يُكْتَبَ عِنْدَ اللهِ مِنَ الْكَاذِبِينَ ، فَإِذَا صَدَقَ قَالَ اللهُ عَزَّ وَجَلَّ :</w:t>
      </w:r>
      <w:r>
        <w:rPr>
          <w:rFonts w:hint="cs"/>
          <w:rtl/>
          <w:lang w:bidi="fa-IR"/>
        </w:rPr>
        <w:t xml:space="preserve"> </w:t>
      </w:r>
      <w:r w:rsidRPr="00C9040A">
        <w:rPr>
          <w:rtl/>
          <w:lang w:bidi="fa-IR"/>
        </w:rPr>
        <w:t xml:space="preserve">صَدَقَ وَبَرَّ </w:t>
      </w:r>
      <w:r w:rsidR="006C577F" w:rsidRPr="006C577F">
        <w:rPr>
          <w:rStyle w:val="libFootnotenumChar"/>
          <w:rtl/>
        </w:rPr>
        <w:t>(5)</w:t>
      </w:r>
      <w:r w:rsidRPr="00C9040A">
        <w:rPr>
          <w:rtl/>
          <w:lang w:bidi="fa-IR"/>
        </w:rPr>
        <w:t xml:space="preserve"> ، وَإِذَا كَذَبَ قَالَ اللهُ عَزَّ وَجَلَّ : كَذَبَ وَفَجَرَ »</w:t>
      </w:r>
      <w:r>
        <w:rPr>
          <w:rtl/>
          <w:lang w:bidi="fa-IR"/>
        </w:rPr>
        <w:t>.</w:t>
      </w:r>
      <w:r w:rsidRPr="00C9040A">
        <w:rPr>
          <w:rtl/>
          <w:lang w:bidi="fa-IR"/>
        </w:rPr>
        <w:t xml:space="preserve"> </w:t>
      </w:r>
      <w:r w:rsidR="006C577F" w:rsidRPr="006C577F">
        <w:rPr>
          <w:rStyle w:val="libFootnotenumChar"/>
          <w:rtl/>
        </w:rPr>
        <w:t>(6)</w:t>
      </w:r>
    </w:p>
    <w:p w:rsidR="008A74EB" w:rsidRPr="00C9040A" w:rsidRDefault="008A74EB" w:rsidP="008A74EB">
      <w:pPr>
        <w:pStyle w:val="libNormal"/>
        <w:rPr>
          <w:rtl/>
          <w:lang w:bidi="fa-IR"/>
        </w:rPr>
      </w:pPr>
      <w:r w:rsidRPr="008C50BE">
        <w:rPr>
          <w:rtl/>
        </w:rPr>
        <w:t>1778</w:t>
      </w:r>
      <w:r w:rsidRPr="00261CB0">
        <w:rPr>
          <w:rStyle w:val="libBold2Char"/>
          <w:rtl/>
        </w:rPr>
        <w:t xml:space="preserve"> / 10.</w:t>
      </w:r>
      <w:r w:rsidRPr="00C9040A">
        <w:rPr>
          <w:rtl/>
          <w:lang w:bidi="fa-IR"/>
        </w:rPr>
        <w:t xml:space="preserve"> عَنْهُ </w:t>
      </w:r>
      <w:r w:rsidR="006C577F" w:rsidRPr="006C577F">
        <w:rPr>
          <w:rStyle w:val="libFootnotenumChar"/>
          <w:rtl/>
        </w:rPr>
        <w:t>(7)</w:t>
      </w:r>
      <w:r w:rsidRPr="00C9040A">
        <w:rPr>
          <w:rtl/>
          <w:lang w:bidi="fa-IR"/>
        </w:rPr>
        <w:t xml:space="preserve"> ، عَنِ ابْنِ مَحْبُوبٍ ، عَنِ الْعَلَاءِ بْنِ رَزِينٍ ، عَنْ عَبْدِ اللهِ بْنِ أَبِي يَعْفُورٍ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كُونُوا دُعَاةً لِلنَّاسِ بِالْخَيْرِ بِغَيْرِ أَلْسِنَتِكُمْ ؛ لِيَرَوْا مِنْكُمُ‌</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 ص ، ض ، بف ، جر » والوسائل : « الخرّاز »</w:t>
      </w:r>
      <w:r w:rsidR="008A74EB">
        <w:rPr>
          <w:rtl/>
        </w:rPr>
        <w:t>.</w:t>
      </w:r>
      <w:r w:rsidR="008A74EB" w:rsidRPr="00C9040A">
        <w:rPr>
          <w:rtl/>
        </w:rPr>
        <w:t xml:space="preserve"> والظاهر أنّ الصواب في لقب العنوان هو « الخزّاز »</w:t>
      </w:r>
      <w:r w:rsidR="008A74EB">
        <w:rPr>
          <w:rtl/>
        </w:rPr>
        <w:t>.</w:t>
      </w:r>
      <w:r w:rsidR="008A74EB" w:rsidRPr="00C9040A">
        <w:rPr>
          <w:rtl/>
        </w:rPr>
        <w:t xml:space="preserve"> راجع : </w:t>
      </w:r>
      <w:r w:rsidR="008A74EB" w:rsidRPr="00993B55">
        <w:rPr>
          <w:rStyle w:val="libFootnoteBoldChar"/>
          <w:rtl/>
        </w:rPr>
        <w:t>رجال النّجاشي</w:t>
      </w:r>
      <w:r w:rsidR="008A74EB" w:rsidRPr="00C9040A">
        <w:rPr>
          <w:rtl/>
        </w:rPr>
        <w:t xml:space="preserve"> ، ص 98 ، الرقم 244 ؛ </w:t>
      </w:r>
      <w:r w:rsidR="008A74EB" w:rsidRPr="0034021D">
        <w:rPr>
          <w:rStyle w:val="libFootnoteBoldChar"/>
          <w:rtl/>
        </w:rPr>
        <w:t>الفهرست للطوسي</w:t>
      </w:r>
      <w:r w:rsidR="008A74EB" w:rsidRPr="00C9040A">
        <w:rPr>
          <w:rtl/>
        </w:rPr>
        <w:t xml:space="preserve"> ، ص 80 ، الرقم 101 ؛ </w:t>
      </w:r>
      <w:r w:rsidR="008A74EB" w:rsidRPr="00993B55">
        <w:rPr>
          <w:rStyle w:val="libFootnoteBoldChar"/>
          <w:rtl/>
        </w:rPr>
        <w:t>الرجال</w:t>
      </w:r>
      <w:r w:rsidR="008A74EB" w:rsidRPr="00C9040A">
        <w:rPr>
          <w:rtl/>
        </w:rPr>
        <w:t xml:space="preserve"> لابن داود ، ص 47 ، الرقم 139.</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الوافي </w:t>
      </w:r>
      <w:r w:rsidR="008A74EB">
        <w:rPr>
          <w:rtl/>
        </w:rPr>
        <w:t xml:space="preserve">: </w:t>
      </w:r>
      <w:r w:rsidR="0084262C">
        <w:rPr>
          <w:rtl/>
        </w:rPr>
        <w:t>-</w:t>
      </w:r>
      <w:r w:rsidR="008A74EB" w:rsidRPr="00C9040A">
        <w:rPr>
          <w:rtl/>
        </w:rPr>
        <w:t xml:space="preserve"> « لي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w:t>
      </w:r>
      <w:r w:rsidR="008A74EB" w:rsidRPr="00993B55">
        <w:rPr>
          <w:rStyle w:val="libFootnoteBoldChar"/>
          <w:rtl/>
        </w:rPr>
        <w:t>الكافي</w:t>
      </w:r>
      <w:r w:rsidR="008A74EB" w:rsidRPr="00C9040A">
        <w:rPr>
          <w:rtl/>
        </w:rPr>
        <w:t xml:space="preserve"> ، كتاب الإيمان والكفر ، باب الكذب ، ح 2684 ، بسند آخر عن أبي جعفر ، عن عليّ بن الحسين </w:t>
      </w:r>
      <w:r w:rsidR="00117575" w:rsidRPr="00117575">
        <w:rPr>
          <w:rStyle w:val="libFootnoteAlaemChar"/>
          <w:rtl/>
        </w:rPr>
        <w:t>عليهما‌السلام</w:t>
      </w:r>
      <w:r w:rsidR="008A74EB" w:rsidRPr="00C9040A">
        <w:rPr>
          <w:rtl/>
        </w:rPr>
        <w:t xml:space="preserve"> عن رسول الله </w:t>
      </w:r>
      <w:r w:rsidR="004A4E41" w:rsidRPr="00AC2E2F">
        <w:rPr>
          <w:rStyle w:val="libFootnoteAlaemChar"/>
          <w:rtl/>
        </w:rPr>
        <w:t>صلى‌الله‌عليه‌وآله</w:t>
      </w:r>
      <w:r w:rsidR="008A74EB" w:rsidRPr="00C9040A">
        <w:rPr>
          <w:rtl/>
        </w:rPr>
        <w:t xml:space="preserve"> ، مع اختلاف يسير وزيادة في أوّله وآخره</w:t>
      </w:r>
      <w:r w:rsidR="00CE0197">
        <w:rPr>
          <w:rFonts w:hint="cs"/>
          <w:rtl/>
        </w:rPr>
        <w:t>.</w:t>
      </w:r>
      <w:r w:rsidR="008A74EB" w:rsidRPr="00993B55">
        <w:rPr>
          <w:rStyle w:val="libFootnoteBoldChar"/>
          <w:rtl/>
        </w:rPr>
        <w:t>الوافي</w:t>
      </w:r>
      <w:r w:rsidR="008A74EB" w:rsidRPr="00C9040A">
        <w:rPr>
          <w:rtl/>
        </w:rPr>
        <w:t xml:space="preserve"> ، ج 4 ، ص 431 ، ح 2263 ؛ </w:t>
      </w:r>
      <w:r w:rsidR="008A74EB" w:rsidRPr="00993B55">
        <w:rPr>
          <w:rStyle w:val="libFootnoteBoldChar"/>
          <w:rtl/>
        </w:rPr>
        <w:t>الوسائل</w:t>
      </w:r>
      <w:r w:rsidR="008A74EB" w:rsidRPr="00C9040A">
        <w:rPr>
          <w:rtl/>
        </w:rPr>
        <w:t xml:space="preserve"> ، ج 12 ، ص 163 ، ح 15961 ؛ </w:t>
      </w:r>
      <w:r w:rsidR="008A74EB" w:rsidRPr="00993B55">
        <w:rPr>
          <w:rStyle w:val="libFootnoteBoldChar"/>
          <w:rtl/>
        </w:rPr>
        <w:t>البحار</w:t>
      </w:r>
      <w:r w:rsidR="008A74EB" w:rsidRPr="00C9040A">
        <w:rPr>
          <w:rtl/>
        </w:rPr>
        <w:t xml:space="preserve"> ، ج 71 ، ص 6 ، ح 8.</w:t>
      </w:r>
    </w:p>
    <w:p w:rsidR="008A74EB" w:rsidRPr="00C9040A" w:rsidRDefault="006C577F" w:rsidP="004A4E41">
      <w:pPr>
        <w:pStyle w:val="libFootnote0"/>
        <w:rPr>
          <w:rtl/>
          <w:lang w:bidi="fa-IR"/>
        </w:rPr>
      </w:pPr>
      <w:r>
        <w:rPr>
          <w:rtl/>
        </w:rPr>
        <w:t>(4).</w:t>
      </w:r>
      <w:r w:rsidR="008A74EB" w:rsidRPr="00C9040A">
        <w:rPr>
          <w:rtl/>
        </w:rPr>
        <w:t xml:space="preserve"> في « ج » : + « بن محمّد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البرّ : التوسّع في فعل الخير ، ويستعمل في الصدق لكونه بعض الخيرات المتوسّع فيه ، وبرّ العبد ربّه : توسّع في طاعته. وسمّي الكاذب فاجراً لكون الكذب بعض الفجور. راجع : </w:t>
      </w:r>
      <w:r w:rsidR="008A74EB" w:rsidRPr="00993B55">
        <w:rPr>
          <w:rStyle w:val="libFootnoteBoldChar"/>
          <w:rtl/>
        </w:rPr>
        <w:t>المفردات</w:t>
      </w:r>
      <w:r w:rsidR="008A74EB" w:rsidRPr="00C9040A">
        <w:rPr>
          <w:rtl/>
        </w:rPr>
        <w:t xml:space="preserve"> للراغب ، ص 114 ( برر ) ، وص 626 ( فجر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المحاسن</w:t>
      </w:r>
      <w:r w:rsidR="008A74EB" w:rsidRPr="00C9040A">
        <w:rPr>
          <w:rtl/>
        </w:rPr>
        <w:t xml:space="preserve"> ، ص 117 ، كتاب الصفوة ، ذيل ح 125 ، مرسلاً عن أبي بصير ، وفيه : « إنّ العبد ليكذب حتّى يكتب من الكذّابين ، فإذا كذب قال الله تعالى : كذب وفجر »</w:t>
      </w:r>
      <w:r w:rsidR="008A74EB">
        <w:rPr>
          <w:rtl/>
        </w:rPr>
        <w:t>.</w:t>
      </w:r>
      <w:r w:rsidR="008A74EB" w:rsidRPr="00C9040A">
        <w:rPr>
          <w:rtl/>
        </w:rPr>
        <w:t xml:space="preserve"> وراجع : </w:t>
      </w:r>
      <w:r w:rsidR="008A74EB" w:rsidRPr="0034021D">
        <w:rPr>
          <w:rStyle w:val="libFootnoteBoldChar"/>
          <w:rtl/>
        </w:rPr>
        <w:t>الأمالي للصدوق</w:t>
      </w:r>
      <w:r w:rsidR="008A74EB" w:rsidRPr="00C9040A">
        <w:rPr>
          <w:rtl/>
        </w:rPr>
        <w:t xml:space="preserve"> ، ص 419 ، المجلس 65 ، ح 9 </w:t>
      </w:r>
      <w:r w:rsidR="008A74EB" w:rsidRPr="00993B55">
        <w:rPr>
          <w:rStyle w:val="libFootnoteBoldChar"/>
          <w:rtl/>
        </w:rPr>
        <w:t>الوافي</w:t>
      </w:r>
      <w:r w:rsidR="008A74EB" w:rsidRPr="00C9040A">
        <w:rPr>
          <w:rtl/>
        </w:rPr>
        <w:t xml:space="preserve"> ، ج 4 ، ص 431 ، ح 2264 ؛ </w:t>
      </w:r>
      <w:r w:rsidR="008A74EB" w:rsidRPr="00993B55">
        <w:rPr>
          <w:rStyle w:val="libFootnoteBoldChar"/>
          <w:rtl/>
        </w:rPr>
        <w:t>الوسائل</w:t>
      </w:r>
      <w:r w:rsidR="008A74EB" w:rsidRPr="00C9040A">
        <w:rPr>
          <w:rtl/>
        </w:rPr>
        <w:t xml:space="preserve"> ، ج 12 ، ص 162 ، ح 15957 ؛ </w:t>
      </w:r>
      <w:r w:rsidR="008A74EB" w:rsidRPr="00993B55">
        <w:rPr>
          <w:rStyle w:val="libFootnoteBoldChar"/>
          <w:rtl/>
        </w:rPr>
        <w:t>البحار</w:t>
      </w:r>
      <w:r w:rsidR="008A74EB" w:rsidRPr="00C9040A">
        <w:rPr>
          <w:rtl/>
        </w:rPr>
        <w:t xml:space="preserve"> ، ج 71 ، ص 7 ، ح 7.</w:t>
      </w:r>
    </w:p>
    <w:p w:rsidR="008A74EB" w:rsidRPr="00C9040A" w:rsidRDefault="006C577F" w:rsidP="004A4E41">
      <w:pPr>
        <w:pStyle w:val="libFootnote0"/>
        <w:rPr>
          <w:rtl/>
          <w:lang w:bidi="fa-IR"/>
        </w:rPr>
      </w:pPr>
      <w:r>
        <w:rPr>
          <w:rtl/>
        </w:rPr>
        <w:t>(7).</w:t>
      </w:r>
      <w:r w:rsidR="008A74EB" w:rsidRPr="00C9040A">
        <w:rPr>
          <w:rtl/>
        </w:rPr>
        <w:t xml:space="preserve"> الضمير راجع إلى أحمد بن محمّد المذكور في السند السابق.</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الِاجْتِهَادَ وَالصِّدْقَ وَالْوَرَعَ »</w:t>
      </w:r>
      <w:r>
        <w:rPr>
          <w:rtl/>
          <w:lang w:bidi="fa-IR"/>
        </w:rPr>
        <w:t>.</w:t>
      </w:r>
      <w:r w:rsidRPr="00C9040A">
        <w:rPr>
          <w:rtl/>
          <w:lang w:bidi="fa-IR"/>
        </w:rPr>
        <w:t xml:space="preserve"> </w:t>
      </w:r>
      <w:r w:rsidR="006C577F" w:rsidRPr="006C577F">
        <w:rPr>
          <w:rStyle w:val="libFootnotenumChar"/>
          <w:rtl/>
        </w:rPr>
        <w:t>(1)</w:t>
      </w:r>
      <w:r w:rsidRPr="00C9040A">
        <w:rPr>
          <w:rtl/>
          <w:lang w:bidi="fa-IR"/>
        </w:rPr>
        <w:t>‌</w:t>
      </w:r>
    </w:p>
    <w:p w:rsidR="008A74EB" w:rsidRPr="00C9040A" w:rsidRDefault="008A74EB" w:rsidP="008A74EB">
      <w:pPr>
        <w:pStyle w:val="libNormal"/>
        <w:rPr>
          <w:rtl/>
          <w:lang w:bidi="fa-IR"/>
        </w:rPr>
      </w:pPr>
      <w:r w:rsidRPr="008C50BE">
        <w:rPr>
          <w:rtl/>
        </w:rPr>
        <w:t>1779</w:t>
      </w:r>
      <w:r w:rsidRPr="00261CB0">
        <w:rPr>
          <w:rStyle w:val="libBold2Char"/>
          <w:rtl/>
        </w:rPr>
        <w:t xml:space="preserve"> / 11.</w:t>
      </w:r>
      <w:r w:rsidRPr="00C9040A">
        <w:rPr>
          <w:rtl/>
          <w:lang w:bidi="fa-IR"/>
        </w:rPr>
        <w:t xml:space="preserve"> مُحَمَّدُ بْنُ يَحْيى ، عَنْ أَحْمَدَ بْنِ مُحَمَّدِ بْنِ عِيسى ، عَنْ عَلِيِّ بْنِ الْحَكَمِ ، قَالَ : قَالَ أَبُو الْوَلِيدِ حَسَنُ بْنُ زِيَادٍ الصَّيْقَلُ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مَنْ صَدَقَ لِسَانُهُ زَكى عَمَلُهُ ، وَمَنْ حَسُنَتْ نِيَّتُهُ زِيدَ فِي رِزْقِهِ ، وَمَنْ حَسُنَ بِرُّهُ </w:t>
      </w:r>
      <w:r w:rsidR="006C577F" w:rsidRPr="006C577F">
        <w:rPr>
          <w:rStyle w:val="libFootnotenumChar"/>
          <w:rtl/>
        </w:rPr>
        <w:t>(2)</w:t>
      </w:r>
      <w:r w:rsidRPr="00C9040A">
        <w:rPr>
          <w:rtl/>
          <w:lang w:bidi="fa-IR"/>
        </w:rPr>
        <w:t xml:space="preserve"> بِأَهْلِ </w:t>
      </w:r>
      <w:r w:rsidR="006C577F" w:rsidRPr="006C577F">
        <w:rPr>
          <w:rStyle w:val="libFootnotenumChar"/>
          <w:rtl/>
        </w:rPr>
        <w:t>(3)</w:t>
      </w:r>
      <w:r w:rsidRPr="00C9040A">
        <w:rPr>
          <w:rtl/>
          <w:lang w:bidi="fa-IR"/>
        </w:rPr>
        <w:t xml:space="preserve"> بَيْتِهِ مُدَّ لَهُ </w:t>
      </w:r>
      <w:r w:rsidR="006C577F" w:rsidRPr="006C577F">
        <w:rPr>
          <w:rStyle w:val="libFootnotenumChar"/>
          <w:rtl/>
        </w:rPr>
        <w:t>(4)</w:t>
      </w:r>
      <w:r w:rsidRPr="00C9040A">
        <w:rPr>
          <w:rtl/>
          <w:lang w:bidi="fa-IR"/>
        </w:rPr>
        <w:t xml:space="preserve"> فِي عُمُرِهِ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7046D8">
      <w:pPr>
        <w:pStyle w:val="libNormal"/>
        <w:rPr>
          <w:rtl/>
          <w:lang w:bidi="fa-IR"/>
        </w:rPr>
      </w:pPr>
      <w:r w:rsidRPr="008C50BE">
        <w:rPr>
          <w:rtl/>
        </w:rPr>
        <w:t>1780</w:t>
      </w:r>
      <w:r w:rsidRPr="00261CB0">
        <w:rPr>
          <w:rStyle w:val="libBold2Char"/>
          <w:rtl/>
        </w:rPr>
        <w:t xml:space="preserve"> / 12.</w:t>
      </w:r>
      <w:r w:rsidRPr="00C9040A">
        <w:rPr>
          <w:rtl/>
          <w:lang w:bidi="fa-IR"/>
        </w:rPr>
        <w:t xml:space="preserve"> عَنْهُ </w:t>
      </w:r>
      <w:r w:rsidR="006C577F" w:rsidRPr="006C577F">
        <w:rPr>
          <w:rStyle w:val="libFootnotenumChar"/>
          <w:rtl/>
        </w:rPr>
        <w:t>(6)</w:t>
      </w:r>
      <w:r w:rsidR="007046D8" w:rsidRPr="00C9040A">
        <w:rPr>
          <w:rtl/>
          <w:lang w:bidi="fa-IR"/>
        </w:rPr>
        <w:t xml:space="preserve"> </w:t>
      </w:r>
      <w:r w:rsidRPr="00C9040A">
        <w:rPr>
          <w:rtl/>
          <w:lang w:bidi="fa-IR"/>
        </w:rPr>
        <w:t>، عَنْ أَبِي طَالِبٍ رَفَعَهُ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لَا تَنْظُرُوا إِلى طُولِ رُكُوعِ الرَّجُلِ وَسُجُودِهِ ؛ فَإِنَّ ذلِكَ شَيْ‌ءٌ </w:t>
      </w:r>
      <w:r w:rsidR="006C577F" w:rsidRPr="006C577F">
        <w:rPr>
          <w:rStyle w:val="libFootnotenumChar"/>
          <w:rtl/>
        </w:rPr>
        <w:t>(7)</w:t>
      </w:r>
      <w:r w:rsidRPr="00C9040A">
        <w:rPr>
          <w:rtl/>
          <w:lang w:bidi="fa-IR"/>
        </w:rPr>
        <w:t xml:space="preserve"> اعْتَادَهُ ، فَلَوْ تَرَكَهُ اسْتَوْحَشَ لِذلِكَ ، وَلكِنِ انْظُرُوا </w:t>
      </w:r>
      <w:r w:rsidR="006C577F" w:rsidRPr="006C577F">
        <w:rPr>
          <w:rStyle w:val="libFootnotenumChar"/>
          <w:rtl/>
        </w:rPr>
        <w:t>(8)</w:t>
      </w:r>
      <w:r w:rsidRPr="00C9040A">
        <w:rPr>
          <w:rtl/>
          <w:lang w:bidi="fa-IR"/>
        </w:rPr>
        <w:t xml:space="preserve"> إِلى صِدْقِ حَدِيثِهِ ، وَأَدَاءِ أَمَانَتِهِ »</w:t>
      </w:r>
      <w:r>
        <w:rPr>
          <w:rtl/>
          <w:lang w:bidi="fa-IR"/>
        </w:rPr>
        <w:t>.</w:t>
      </w:r>
      <w:r w:rsidRPr="00C9040A">
        <w:rPr>
          <w:rtl/>
          <w:lang w:bidi="fa-IR"/>
        </w:rPr>
        <w:t xml:space="preserve"> </w:t>
      </w:r>
      <w:r w:rsidR="006C577F" w:rsidRPr="006C577F">
        <w:rPr>
          <w:rStyle w:val="libFootnotenumChar"/>
          <w:rtl/>
        </w:rPr>
        <w:t>(9)</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w:t>
      </w:r>
      <w:r w:rsidR="008A74EB" w:rsidRPr="00993B55">
        <w:rPr>
          <w:rStyle w:val="libFootnoteBoldChar"/>
          <w:rtl/>
        </w:rPr>
        <w:t>الكافي</w:t>
      </w:r>
      <w:r w:rsidR="008A74EB" w:rsidRPr="00C9040A">
        <w:rPr>
          <w:rtl/>
        </w:rPr>
        <w:t xml:space="preserve"> ، كتاب الإيمان والكفر ، باب الورع ، ح 1641 ، بسند آخر عن العلاء ، مع اختلاف يسير</w:t>
      </w:r>
      <w:r w:rsidR="007046D8">
        <w:rPr>
          <w:rFonts w:hint="cs"/>
          <w:rtl/>
        </w:rPr>
        <w:t>.</w:t>
      </w:r>
      <w:r w:rsidR="008A74EB" w:rsidRPr="00993B55">
        <w:rPr>
          <w:rStyle w:val="libFootnoteBoldChar"/>
          <w:rtl/>
        </w:rPr>
        <w:t>الوافي</w:t>
      </w:r>
      <w:r w:rsidR="008A74EB" w:rsidRPr="00C9040A">
        <w:rPr>
          <w:rtl/>
        </w:rPr>
        <w:t xml:space="preserve"> ، ج 4 ، ص 431 ، ح 2265 ؛ </w:t>
      </w:r>
      <w:r w:rsidR="008A74EB" w:rsidRPr="00993B55">
        <w:rPr>
          <w:rStyle w:val="libFootnoteBoldChar"/>
          <w:rtl/>
        </w:rPr>
        <w:t>الوسائل</w:t>
      </w:r>
      <w:r w:rsidR="008A74EB" w:rsidRPr="00C9040A">
        <w:rPr>
          <w:rtl/>
        </w:rPr>
        <w:t xml:space="preserve"> ، ج 12 ، ص 164 ، ح 15955 ؛ </w:t>
      </w:r>
      <w:r w:rsidR="008A74EB" w:rsidRPr="00993B55">
        <w:rPr>
          <w:rStyle w:val="libFootnoteBoldChar"/>
          <w:rtl/>
        </w:rPr>
        <w:t>البحار</w:t>
      </w:r>
      <w:r w:rsidR="008A74EB" w:rsidRPr="00C9040A">
        <w:rPr>
          <w:rtl/>
        </w:rPr>
        <w:t xml:space="preserve"> ، ج 71 ، ص 7 ، ح 8.</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 البِرّ » : الصلة والاتّساع في الإحسان. </w:t>
      </w:r>
      <w:r w:rsidR="008A74EB" w:rsidRPr="00993B55">
        <w:rPr>
          <w:rStyle w:val="libFootnoteBoldChar"/>
          <w:rtl/>
        </w:rPr>
        <w:t>القاموس المحيط</w:t>
      </w:r>
      <w:r w:rsidR="008A74EB" w:rsidRPr="00C9040A">
        <w:rPr>
          <w:rtl/>
        </w:rPr>
        <w:t xml:space="preserve"> ، ج 1 ، ص 498 ( برر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ز ، ص » : « في أهل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w:t>
      </w:r>
      <w:r w:rsidR="008A74EB" w:rsidRPr="00993B55">
        <w:rPr>
          <w:rStyle w:val="libFootnoteBoldChar"/>
          <w:rtl/>
        </w:rPr>
        <w:t>الكافي</w:t>
      </w:r>
      <w:r w:rsidR="008A74EB" w:rsidRPr="00C9040A">
        <w:rPr>
          <w:rtl/>
        </w:rPr>
        <w:t xml:space="preserve"> ، ح 15085 : « بأهله زاد الله » بدل « بأهل بيته مُدّ له »</w:t>
      </w:r>
      <w:r w:rsidR="008A74EB">
        <w:rPr>
          <w:rtl/>
        </w:rPr>
        <w:t>.</w:t>
      </w:r>
      <w:r w:rsidR="008A74EB" w:rsidRPr="00C9040A">
        <w:rPr>
          <w:rtl/>
        </w:rPr>
        <w:t xml:space="preserve"> وفي الأمالي وتحف العقول : « زيد » بدل « مدّ له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الأمالي</w:t>
      </w:r>
      <w:r w:rsidR="008A74EB" w:rsidRPr="00C9040A">
        <w:rPr>
          <w:rtl/>
        </w:rPr>
        <w:t xml:space="preserve"> للطوسي ، ص 245 ، المجلس 9 ، ح 17 ، بسنده عن محمّد بن يعقوب ، عن عليّ بن إبراهيم ، عن محمّد بن عيسى ، عن يونس بن عبد الرحمن ، عن أبي وليد ، عن الحسن بن زياد الصيقل. وفي </w:t>
      </w:r>
      <w:r w:rsidR="008A74EB" w:rsidRPr="00993B55">
        <w:rPr>
          <w:rStyle w:val="libFootnoteBoldChar"/>
          <w:rtl/>
        </w:rPr>
        <w:t>الكافي</w:t>
      </w:r>
      <w:r w:rsidR="008A74EB" w:rsidRPr="00C9040A">
        <w:rPr>
          <w:rtl/>
        </w:rPr>
        <w:t xml:space="preserve"> ، كتاب الروضة ، ح 15085 ؛ و</w:t>
      </w:r>
      <w:r w:rsidR="008A74EB" w:rsidRPr="00993B55">
        <w:rPr>
          <w:rStyle w:val="libFootnoteBoldChar"/>
          <w:rtl/>
        </w:rPr>
        <w:t>الخصال</w:t>
      </w:r>
      <w:r w:rsidR="008A74EB" w:rsidRPr="00C9040A">
        <w:rPr>
          <w:rtl/>
        </w:rPr>
        <w:t xml:space="preserve"> ، ص 87 ، باب الثلاثة ، ح 21 ، بسند آخر. </w:t>
      </w:r>
      <w:r w:rsidR="008A74EB" w:rsidRPr="00993B55">
        <w:rPr>
          <w:rStyle w:val="libFootnoteBoldChar"/>
          <w:rtl/>
        </w:rPr>
        <w:t>تحف العقول</w:t>
      </w:r>
      <w:r w:rsidR="008A74EB" w:rsidRPr="00C9040A">
        <w:rPr>
          <w:rtl/>
        </w:rPr>
        <w:t xml:space="preserve"> ، ص 387 ، عن موسى بن جعفر </w:t>
      </w:r>
      <w:r w:rsidR="00117575" w:rsidRPr="00117575">
        <w:rPr>
          <w:rStyle w:val="libFootnoteAlaemChar"/>
          <w:rtl/>
        </w:rPr>
        <w:t xml:space="preserve">عليه‌السلام </w:t>
      </w:r>
      <w:r w:rsidR="008A74EB" w:rsidRPr="00C9040A">
        <w:rPr>
          <w:rtl/>
        </w:rPr>
        <w:t xml:space="preserve"> ، وفي الثلاثة الأخيرة مع اختلاف يسير. راجع : </w:t>
      </w:r>
      <w:r w:rsidR="008A74EB" w:rsidRPr="00993B55">
        <w:rPr>
          <w:rStyle w:val="libFootnoteBoldChar"/>
          <w:rtl/>
        </w:rPr>
        <w:t>المحاسن</w:t>
      </w:r>
      <w:r w:rsidR="008A74EB" w:rsidRPr="00C9040A">
        <w:rPr>
          <w:rtl/>
        </w:rPr>
        <w:t xml:space="preserve"> ، ص 261 ، كتاب مصابيح الظلم ، ح 318 ؛ </w:t>
      </w:r>
      <w:r w:rsidR="008A74EB" w:rsidRPr="00993B55">
        <w:rPr>
          <w:rStyle w:val="libFootnoteBoldChar"/>
          <w:rtl/>
        </w:rPr>
        <w:t>فقه الرضا</w:t>
      </w:r>
      <w:r w:rsidR="008A74EB" w:rsidRPr="00C9040A">
        <w:rPr>
          <w:rtl/>
        </w:rPr>
        <w:t xml:space="preserve"> ، ص 378 ؛ </w:t>
      </w:r>
      <w:r w:rsidR="008A74EB" w:rsidRPr="00993B55">
        <w:rPr>
          <w:rStyle w:val="libFootnoteBoldChar"/>
          <w:rtl/>
        </w:rPr>
        <w:t>تحف العقول</w:t>
      </w:r>
      <w:r w:rsidR="008A74EB" w:rsidRPr="00C9040A">
        <w:rPr>
          <w:rtl/>
        </w:rPr>
        <w:t xml:space="preserve"> ، ص 295</w:t>
      </w:r>
      <w:r w:rsidR="007046D8">
        <w:rPr>
          <w:rFonts w:hint="cs"/>
          <w:rtl/>
        </w:rPr>
        <w:t>.</w:t>
      </w:r>
      <w:r w:rsidR="008A74EB" w:rsidRPr="00993B55">
        <w:rPr>
          <w:rStyle w:val="libFootnoteBoldChar"/>
          <w:rtl/>
        </w:rPr>
        <w:t>الوافي</w:t>
      </w:r>
      <w:r w:rsidR="008A74EB" w:rsidRPr="00C9040A">
        <w:rPr>
          <w:rtl/>
        </w:rPr>
        <w:t xml:space="preserve"> ، ج 4 ، ص 431 ، ح 2266 ؛ </w:t>
      </w:r>
      <w:r w:rsidR="008A74EB" w:rsidRPr="00993B55">
        <w:rPr>
          <w:rStyle w:val="libFootnoteBoldChar"/>
          <w:rtl/>
        </w:rPr>
        <w:t>الوسائل</w:t>
      </w:r>
      <w:r w:rsidR="008A74EB" w:rsidRPr="00C9040A">
        <w:rPr>
          <w:rtl/>
        </w:rPr>
        <w:t xml:space="preserve"> ، ج 12 ، ص 162 ، ح 15958 ؛ </w:t>
      </w:r>
      <w:r w:rsidR="008A74EB" w:rsidRPr="00993B55">
        <w:rPr>
          <w:rStyle w:val="libFootnoteBoldChar"/>
          <w:rtl/>
        </w:rPr>
        <w:t>البحار</w:t>
      </w:r>
      <w:r w:rsidR="008A74EB" w:rsidRPr="00C9040A">
        <w:rPr>
          <w:rtl/>
        </w:rPr>
        <w:t xml:space="preserve"> ، ج 71 ، ص 8 ، ح 9.</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الظاهر رجوع الضمير إلى أحمد بن محمّد بن عيسى ، وأنّ المراد بأبي طالب هو أبو طالب عبد الله بن الصلت الذي روى عنه أحمد بن محمّد بن عيسى في عددٍ من الأسناد. انظر على سبيل المثال : </w:t>
      </w:r>
      <w:r w:rsidR="008A74EB" w:rsidRPr="0034021D">
        <w:rPr>
          <w:rStyle w:val="libFootnoteBoldChar"/>
          <w:rtl/>
        </w:rPr>
        <w:t>الأمالي للصدوق</w:t>
      </w:r>
      <w:r w:rsidR="008A74EB" w:rsidRPr="00C9040A">
        <w:rPr>
          <w:rtl/>
        </w:rPr>
        <w:t xml:space="preserve"> ، ص 74 ، المجلس 18 ، ح 11 ؛ </w:t>
      </w:r>
      <w:r w:rsidR="008A74EB" w:rsidRPr="00993B55">
        <w:rPr>
          <w:rStyle w:val="libFootnoteBoldChar"/>
          <w:rtl/>
        </w:rPr>
        <w:t>التهذيب</w:t>
      </w:r>
      <w:r w:rsidR="008A74EB" w:rsidRPr="00C9040A">
        <w:rPr>
          <w:rtl/>
        </w:rPr>
        <w:t xml:space="preserve"> ، ج 2 ، ص 25 ، ح 70 ؛ وص 30 ، ح 91 ؛ وص 116 ، ح 433.</w:t>
      </w:r>
    </w:p>
    <w:p w:rsidR="008A74EB" w:rsidRPr="004A4E41" w:rsidRDefault="008A74EB" w:rsidP="004A4E41">
      <w:pPr>
        <w:pStyle w:val="libFootnote0"/>
        <w:rPr>
          <w:rStyle w:val="libFootnote0Char"/>
          <w:rtl/>
        </w:rPr>
      </w:pPr>
      <w:r w:rsidRPr="00323A39">
        <w:rPr>
          <w:rtl/>
        </w:rPr>
        <w:t xml:space="preserve">يؤيّد ذلك كثرة رجوع الضمير إلى أحمد بن محمّد [ بن عيسى ] في أسناد </w:t>
      </w:r>
      <w:r w:rsidRPr="00993B55">
        <w:rPr>
          <w:rStyle w:val="libFootnoteBoldChar"/>
          <w:rtl/>
        </w:rPr>
        <w:t>الكافي</w:t>
      </w:r>
      <w:r w:rsidRPr="00323A39">
        <w:rPr>
          <w:rtl/>
        </w:rPr>
        <w:t xml:space="preserve"> ، كما لا يخفى على المتتبّع.</w:t>
      </w:r>
    </w:p>
    <w:tbl>
      <w:tblPr>
        <w:tblStyle w:val="TableGrid"/>
        <w:bidiVisual/>
        <w:tblW w:w="0" w:type="auto"/>
        <w:tblLook w:val="04A0" w:firstRow="1" w:lastRow="0" w:firstColumn="1" w:lastColumn="0" w:noHBand="0" w:noVBand="1"/>
      </w:tblPr>
      <w:tblGrid>
        <w:gridCol w:w="4006"/>
        <w:gridCol w:w="4006"/>
      </w:tblGrid>
      <w:tr w:rsidR="002C20F0" w:rsidTr="002C20F0">
        <w:tc>
          <w:tcPr>
            <w:tcW w:w="4006" w:type="dxa"/>
          </w:tcPr>
          <w:p w:rsidR="002C20F0" w:rsidRDefault="002C20F0" w:rsidP="004A4E41">
            <w:pPr>
              <w:pStyle w:val="libFootnote0"/>
              <w:rPr>
                <w:rtl/>
              </w:rPr>
            </w:pPr>
            <w:r>
              <w:rPr>
                <w:rtl/>
              </w:rPr>
              <w:t>(7).</w:t>
            </w:r>
            <w:r w:rsidRPr="00C9040A">
              <w:rPr>
                <w:rtl/>
              </w:rPr>
              <w:t xml:space="preserve"> في « ج ، ز » والبحار : + « قد »</w:t>
            </w:r>
            <w:r>
              <w:rPr>
                <w:rtl/>
              </w:rPr>
              <w:t>.</w:t>
            </w:r>
          </w:p>
        </w:tc>
        <w:tc>
          <w:tcPr>
            <w:tcW w:w="4006" w:type="dxa"/>
          </w:tcPr>
          <w:p w:rsidR="002C20F0" w:rsidRDefault="002C20F0" w:rsidP="004A4E41">
            <w:pPr>
              <w:pStyle w:val="libFootnote0"/>
              <w:rPr>
                <w:rtl/>
              </w:rPr>
            </w:pPr>
            <w:r>
              <w:rPr>
                <w:rtl/>
              </w:rPr>
              <w:t>(8).</w:t>
            </w:r>
            <w:r w:rsidRPr="00C9040A">
              <w:rPr>
                <w:rtl/>
              </w:rPr>
              <w:t xml:space="preserve"> في « ز » : « انظر »</w:t>
            </w:r>
            <w:r>
              <w:rPr>
                <w:rtl/>
              </w:rPr>
              <w:t>.</w:t>
            </w:r>
          </w:p>
        </w:tc>
      </w:tr>
    </w:tbl>
    <w:p w:rsidR="008A74EB" w:rsidRPr="00C9040A" w:rsidRDefault="006C577F" w:rsidP="004A4E41">
      <w:pPr>
        <w:pStyle w:val="libFootnote0"/>
        <w:rPr>
          <w:rtl/>
          <w:lang w:bidi="fa-IR"/>
        </w:rPr>
      </w:pPr>
      <w:r>
        <w:rPr>
          <w:rtl/>
        </w:rPr>
        <w:t>(9).</w:t>
      </w:r>
      <w:r w:rsidR="008A74EB" w:rsidRPr="00C9040A">
        <w:rPr>
          <w:rtl/>
        </w:rPr>
        <w:t xml:space="preserve"> </w:t>
      </w:r>
      <w:r w:rsidR="008A74EB" w:rsidRPr="00993B55">
        <w:rPr>
          <w:rStyle w:val="libFootnoteBoldChar"/>
          <w:rtl/>
        </w:rPr>
        <w:t>الوافي</w:t>
      </w:r>
      <w:r w:rsidR="008A74EB" w:rsidRPr="00C9040A">
        <w:rPr>
          <w:rtl/>
        </w:rPr>
        <w:t xml:space="preserve"> ، ج 4 ، ص 429 ، ح 2259 ؛ </w:t>
      </w:r>
      <w:r w:rsidR="008A74EB" w:rsidRPr="00993B55">
        <w:rPr>
          <w:rStyle w:val="libFootnoteBoldChar"/>
          <w:rtl/>
        </w:rPr>
        <w:t>الوسائل</w:t>
      </w:r>
      <w:r w:rsidR="008A74EB" w:rsidRPr="00C9040A">
        <w:rPr>
          <w:rtl/>
        </w:rPr>
        <w:t xml:space="preserve"> ، ج 19 ، ص 68 ، ح 24168 ؛ </w:t>
      </w:r>
      <w:r w:rsidR="008A74EB" w:rsidRPr="00993B55">
        <w:rPr>
          <w:rStyle w:val="libFootnoteBoldChar"/>
          <w:rtl/>
        </w:rPr>
        <w:t>البحار</w:t>
      </w:r>
      <w:r w:rsidR="008A74EB" w:rsidRPr="00C9040A">
        <w:rPr>
          <w:rtl/>
        </w:rPr>
        <w:t xml:space="preserve"> ، ج 71 ، ص 8 ، ح 10.</w:t>
      </w:r>
    </w:p>
    <w:p w:rsidR="004B7F34" w:rsidRDefault="004B7F34" w:rsidP="004B7F34">
      <w:pPr>
        <w:pStyle w:val="libNormal"/>
        <w:rPr>
          <w:rtl/>
          <w:lang w:bidi="fa-IR"/>
        </w:rPr>
      </w:pPr>
      <w:r>
        <w:rPr>
          <w:rtl/>
          <w:lang w:bidi="fa-IR"/>
        </w:rPr>
        <w:br w:type="page"/>
      </w:r>
    </w:p>
    <w:p w:rsidR="008A74EB" w:rsidRPr="00C9040A" w:rsidRDefault="008A74EB" w:rsidP="008A74EB">
      <w:pPr>
        <w:pStyle w:val="Heading2Center"/>
        <w:rPr>
          <w:rtl/>
          <w:lang w:bidi="fa-IR"/>
        </w:rPr>
      </w:pPr>
      <w:bookmarkStart w:id="166" w:name="_Toc343795643"/>
      <w:bookmarkStart w:id="167" w:name="_Toc459810767"/>
      <w:bookmarkStart w:id="168" w:name="_Toc35348673"/>
      <w:r w:rsidRPr="00C9040A">
        <w:rPr>
          <w:rtl/>
          <w:lang w:bidi="fa-IR"/>
        </w:rPr>
        <w:t>52</w:t>
      </w:r>
      <w:r>
        <w:rPr>
          <w:rtl/>
          <w:lang w:bidi="fa-IR"/>
        </w:rPr>
        <w:t xml:space="preserve"> </w:t>
      </w:r>
      <w:r w:rsidR="0084262C">
        <w:rPr>
          <w:rtl/>
          <w:lang w:bidi="fa-IR"/>
        </w:rPr>
        <w:t>-</w:t>
      </w:r>
      <w:r>
        <w:rPr>
          <w:rtl/>
          <w:lang w:bidi="fa-IR"/>
        </w:rPr>
        <w:t xml:space="preserve"> </w:t>
      </w:r>
      <w:r w:rsidRPr="00C9040A">
        <w:rPr>
          <w:rtl/>
          <w:lang w:bidi="fa-IR"/>
        </w:rPr>
        <w:t>بَابُ الْحَيَاءِ‌</w:t>
      </w:r>
      <w:bookmarkEnd w:id="166"/>
      <w:bookmarkEnd w:id="167"/>
      <w:bookmarkEnd w:id="168"/>
    </w:p>
    <w:p w:rsidR="008A74EB" w:rsidRPr="00C9040A" w:rsidRDefault="008A74EB" w:rsidP="008A74EB">
      <w:pPr>
        <w:pStyle w:val="libNormal"/>
        <w:rPr>
          <w:rtl/>
          <w:lang w:bidi="fa-IR"/>
        </w:rPr>
      </w:pPr>
      <w:r w:rsidRPr="00710CEF">
        <w:rPr>
          <w:rtl/>
        </w:rPr>
        <w:t>1781</w:t>
      </w:r>
      <w:r w:rsidRPr="00261CB0">
        <w:rPr>
          <w:rStyle w:val="libBold2Char"/>
          <w:rtl/>
        </w:rPr>
        <w:t xml:space="preserve"> / 1.</w:t>
      </w:r>
      <w:r w:rsidRPr="00C9040A">
        <w:rPr>
          <w:rtl/>
          <w:lang w:bidi="fa-IR"/>
        </w:rPr>
        <w:t xml:space="preserve"> عِدَّةٌ مِنْ أَصْحَابِنَا ، عَنْ سَهْلِ بْنِ زِيَادٍ ، عَنِ ابْنِ مَحْبُوبٍ ، عَنْ عَلِيِّ بْنِ رِئَابٍ </w:t>
      </w:r>
      <w:r w:rsidR="006C577F" w:rsidRPr="006C577F">
        <w:rPr>
          <w:rStyle w:val="libFootnotenumChar"/>
          <w:rtl/>
        </w:rPr>
        <w:t>(1)</w:t>
      </w:r>
      <w:r w:rsidRPr="00C9040A">
        <w:rPr>
          <w:rtl/>
          <w:lang w:bidi="fa-IR"/>
        </w:rPr>
        <w:t>، عَنْ أَبِي عُبَيْدَةَ الْحَذَّاءِ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الْحَيَاءُ مِنَ الْإِيمَانِ ، وَالْإِيمَانُ فِي الْجَنَّةِ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710CEF">
        <w:rPr>
          <w:rtl/>
        </w:rPr>
        <w:t>1782</w:t>
      </w:r>
      <w:r w:rsidRPr="00261CB0">
        <w:rPr>
          <w:rStyle w:val="libBold2Char"/>
          <w:rtl/>
        </w:rPr>
        <w:t xml:space="preserve"> / 2.</w:t>
      </w:r>
      <w:r w:rsidRPr="00C9040A">
        <w:rPr>
          <w:rtl/>
          <w:lang w:bidi="fa-IR"/>
        </w:rPr>
        <w:t xml:space="preserve"> مُحَمَّدُ بْنُ يَحْيى ، عَنْ أَحْمَدَ بْنِ مُحَمَّدٍ ، عَنْ مُحَمَّدِ بْنِ سِنَانٍ ، عَنِ ابْنِ مُسْكَانَ ، عَنْ حَسَنٍ </w:t>
      </w:r>
      <w:r w:rsidR="006C577F" w:rsidRPr="006C577F">
        <w:rPr>
          <w:rStyle w:val="libFootnotenumChar"/>
          <w:rtl/>
        </w:rPr>
        <w:t>(3)</w:t>
      </w:r>
      <w:r w:rsidRPr="00C9040A">
        <w:rPr>
          <w:rtl/>
          <w:lang w:bidi="fa-IR"/>
        </w:rPr>
        <w:t xml:space="preserve"> الصَّيْقَلِ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الْحَيَاءُ وَالْعَفَافُ وَالْعِيُّ</w:t>
      </w:r>
      <w:r>
        <w:rPr>
          <w:rtl/>
          <w:lang w:bidi="fa-IR"/>
        </w:rPr>
        <w:t xml:space="preserve"> </w:t>
      </w:r>
      <w:r w:rsidR="0084262C">
        <w:rPr>
          <w:rtl/>
          <w:lang w:bidi="fa-IR"/>
        </w:rPr>
        <w:t>-</w:t>
      </w:r>
      <w:r>
        <w:rPr>
          <w:rtl/>
          <w:lang w:bidi="fa-IR"/>
        </w:rPr>
        <w:t xml:space="preserve"> </w:t>
      </w:r>
      <w:r w:rsidRPr="00C9040A">
        <w:rPr>
          <w:rtl/>
          <w:lang w:bidi="fa-IR"/>
        </w:rPr>
        <w:t xml:space="preserve">أَعْنِي عِيَّ اللِّسَانِ </w:t>
      </w:r>
      <w:r w:rsidR="006C577F" w:rsidRPr="006C577F">
        <w:rPr>
          <w:rStyle w:val="libFootnotenumChar"/>
          <w:rtl/>
        </w:rPr>
        <w:t>(4)</w:t>
      </w:r>
      <w:r w:rsidRPr="00C9040A">
        <w:rPr>
          <w:rtl/>
          <w:lang w:bidi="fa-IR"/>
        </w:rPr>
        <w:t xml:space="preserve"> لَاعِيَّ الْقَلْبِ</w:t>
      </w:r>
      <w:r>
        <w:rPr>
          <w:rtl/>
          <w:lang w:bidi="fa-IR"/>
        </w:rPr>
        <w:t xml:space="preserve"> </w:t>
      </w:r>
      <w:r w:rsidR="0084262C">
        <w:rPr>
          <w:rtl/>
          <w:lang w:bidi="fa-IR"/>
        </w:rPr>
        <w:t>-</w:t>
      </w:r>
      <w:r>
        <w:rPr>
          <w:rtl/>
          <w:lang w:bidi="fa-IR"/>
        </w:rPr>
        <w:t xml:space="preserve"> </w:t>
      </w:r>
      <w:r w:rsidRPr="00C9040A">
        <w:rPr>
          <w:rtl/>
          <w:lang w:bidi="fa-IR"/>
        </w:rPr>
        <w:t>مِنَ الْإِيمَانِ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710CEF">
        <w:rPr>
          <w:rtl/>
        </w:rPr>
        <w:t>1783</w:t>
      </w:r>
      <w:r w:rsidRPr="00261CB0">
        <w:rPr>
          <w:rStyle w:val="libBold2Char"/>
          <w:rtl/>
        </w:rPr>
        <w:t xml:space="preserve"> / 3.</w:t>
      </w:r>
      <w:r w:rsidRPr="00C9040A">
        <w:rPr>
          <w:rtl/>
          <w:lang w:bidi="fa-IR"/>
        </w:rPr>
        <w:t xml:space="preserve"> الْحُسَيْنُ بْنُ مُحَمَّدٍ ، عَنْ مُحَمَّدِ بْنِ أَحْمَدَ النَّهْدِيِّ </w:t>
      </w:r>
      <w:r w:rsidR="006C577F" w:rsidRPr="006C577F">
        <w:rPr>
          <w:rStyle w:val="libFootnotenumChar"/>
          <w:rtl/>
        </w:rPr>
        <w:t>(6)</w:t>
      </w:r>
      <w:r w:rsidRPr="005B567D">
        <w:rPr>
          <w:rStyle w:val="libFootnotenumChar"/>
          <w:rtl/>
        </w:rPr>
        <w:t xml:space="preserve"> </w:t>
      </w:r>
      <w:r w:rsidRPr="00C9040A">
        <w:rPr>
          <w:rtl/>
          <w:lang w:bidi="fa-IR"/>
        </w:rPr>
        <w:t>، عَنْ‌</w:t>
      </w:r>
      <w:r w:rsidR="005469EC">
        <w:rPr>
          <w:rFonts w:hint="cs"/>
          <w:rtl/>
          <w:lang w:bidi="fa-IR"/>
        </w:rPr>
        <w:t>............</w:t>
      </w:r>
      <w:r w:rsidR="005469EC">
        <w:rPr>
          <w:rFonts w:hint="cs"/>
          <w:rtl/>
          <w:lang w:bidi="fa-IR"/>
        </w:rPr>
        <w:tab/>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 ص » : « زياد »</w:t>
      </w:r>
      <w:r w:rsidR="008A74EB">
        <w:rPr>
          <w:rtl/>
        </w:rPr>
        <w:t>.</w:t>
      </w:r>
      <w:r w:rsidR="008A74EB" w:rsidRPr="00C9040A">
        <w:rPr>
          <w:rtl/>
        </w:rPr>
        <w:t xml:space="preserve"> وهو سهو ؛ فقد روى عليّ بن رئاب كتاب أبي عبيدة الحذّاء ، وتوسّط بينه وبين الحسن بن محبوب في كثير من الأسناد. راجع : </w:t>
      </w:r>
      <w:r w:rsidR="008A74EB" w:rsidRPr="00993B55">
        <w:rPr>
          <w:rStyle w:val="libFootnoteBoldChar"/>
          <w:rtl/>
        </w:rPr>
        <w:t>رجال النجاشي</w:t>
      </w:r>
      <w:r w:rsidR="008A74EB" w:rsidRPr="00C9040A">
        <w:rPr>
          <w:rtl/>
        </w:rPr>
        <w:t xml:space="preserve"> ، ص 170 ، ح 449 ؛ </w:t>
      </w:r>
      <w:r w:rsidR="008A74EB" w:rsidRPr="00993B55">
        <w:rPr>
          <w:rStyle w:val="libFootnoteBoldChar"/>
          <w:rtl/>
        </w:rPr>
        <w:t>معجم رجال الحديث</w:t>
      </w:r>
      <w:r w:rsidR="008A74EB" w:rsidRPr="00C9040A">
        <w:rPr>
          <w:rtl/>
        </w:rPr>
        <w:t xml:space="preserve"> ، ج 12 ، ص 287</w:t>
      </w:r>
      <w:r w:rsidR="008A74EB">
        <w:rPr>
          <w:rtl/>
        </w:rPr>
        <w:t xml:space="preserve"> </w:t>
      </w:r>
      <w:r w:rsidR="0084262C">
        <w:rPr>
          <w:rtl/>
        </w:rPr>
        <w:t>-</w:t>
      </w:r>
      <w:r w:rsidR="008A74EB">
        <w:rPr>
          <w:rtl/>
        </w:rPr>
        <w:t xml:space="preserve"> </w:t>
      </w:r>
      <w:r w:rsidR="008A74EB" w:rsidRPr="00C9040A">
        <w:rPr>
          <w:rtl/>
        </w:rPr>
        <w:t>288.</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الزهد</w:t>
      </w:r>
      <w:r w:rsidR="008A74EB" w:rsidRPr="00C9040A">
        <w:rPr>
          <w:rtl/>
        </w:rPr>
        <w:t xml:space="preserve"> ، ص 66 ، ح 10 ، عن الحسن بن محبوب ، مع زيادة في آخره. </w:t>
      </w:r>
      <w:r w:rsidR="008A74EB" w:rsidRPr="00993B55">
        <w:rPr>
          <w:rStyle w:val="libFootnoteBoldChar"/>
          <w:rtl/>
        </w:rPr>
        <w:t>تحف العقول</w:t>
      </w:r>
      <w:r w:rsidR="008A74EB" w:rsidRPr="00C9040A">
        <w:rPr>
          <w:rtl/>
        </w:rPr>
        <w:t xml:space="preserve"> ، ص 392 ، ضمن الحديث الطويل ، عن موسى بن جعفر </w:t>
      </w:r>
      <w:r w:rsidR="00117575" w:rsidRPr="00117575">
        <w:rPr>
          <w:rStyle w:val="libFootnoteAlaemChar"/>
          <w:rtl/>
        </w:rPr>
        <w:t xml:space="preserve">عليه‌السلام </w:t>
      </w:r>
      <w:r w:rsidR="008A74EB" w:rsidRPr="00C9040A">
        <w:rPr>
          <w:rtl/>
        </w:rPr>
        <w:t xml:space="preserve">. وورد : « الحياء من الإيمان » في هذه المصادر : </w:t>
      </w:r>
      <w:r w:rsidR="008A74EB" w:rsidRPr="00993B55">
        <w:rPr>
          <w:rStyle w:val="libFootnoteBoldChar"/>
          <w:rtl/>
        </w:rPr>
        <w:t>عيون الأخبار</w:t>
      </w:r>
      <w:r w:rsidR="008A74EB" w:rsidRPr="00C9040A">
        <w:rPr>
          <w:rtl/>
        </w:rPr>
        <w:t xml:space="preserve"> ، ج 1 ، ص 265 ، ح 23 ، بسند آخر عن الرضا </w:t>
      </w:r>
      <w:r w:rsidR="00117575" w:rsidRPr="00117575">
        <w:rPr>
          <w:rStyle w:val="libFootnoteAlaemChar"/>
          <w:rtl/>
        </w:rPr>
        <w:t xml:space="preserve">عليه‌السلام </w:t>
      </w:r>
      <w:r w:rsidR="008A74EB" w:rsidRPr="00C9040A">
        <w:rPr>
          <w:rtl/>
        </w:rPr>
        <w:t xml:space="preserve"> ؛ </w:t>
      </w:r>
      <w:r w:rsidR="008A74EB" w:rsidRPr="00993B55">
        <w:rPr>
          <w:rStyle w:val="libFootnoteBoldChar"/>
          <w:rtl/>
        </w:rPr>
        <w:t>الغيبة</w:t>
      </w:r>
      <w:r w:rsidR="008A74EB" w:rsidRPr="00C9040A">
        <w:rPr>
          <w:rtl/>
        </w:rPr>
        <w:t xml:space="preserve"> للطوسي ، ص 390 ، ح 356 ، مع زيادة في آخره ؛ </w:t>
      </w:r>
      <w:r w:rsidR="008A74EB" w:rsidRPr="00993B55">
        <w:rPr>
          <w:rStyle w:val="libFootnoteBoldChar"/>
          <w:rtl/>
        </w:rPr>
        <w:t>مصباح الشريعة</w:t>
      </w:r>
      <w:r w:rsidR="008A74EB" w:rsidRPr="00C9040A">
        <w:rPr>
          <w:rtl/>
        </w:rPr>
        <w:t xml:space="preserve"> ، ص 189 ، الباب 90 ، مع زيادة في آخره ؛ </w:t>
      </w:r>
      <w:r w:rsidR="008A74EB" w:rsidRPr="00993B55">
        <w:rPr>
          <w:rStyle w:val="libFootnoteBoldChar"/>
          <w:rtl/>
        </w:rPr>
        <w:t>تحف العقول</w:t>
      </w:r>
      <w:r w:rsidR="008A74EB" w:rsidRPr="00C9040A">
        <w:rPr>
          <w:rtl/>
        </w:rPr>
        <w:t xml:space="preserve"> ، ص 56 ، عن رسول الله </w:t>
      </w:r>
      <w:r w:rsidR="004A4E41" w:rsidRPr="00AC2E2F">
        <w:rPr>
          <w:rStyle w:val="libFootnoteAlaemChar"/>
          <w:rtl/>
        </w:rPr>
        <w:t>صلى‌الله‌عليه‌وآله</w:t>
      </w:r>
      <w:r w:rsidR="005D7BF0">
        <w:rPr>
          <w:rFonts w:hint="cs"/>
          <w:rtl/>
        </w:rPr>
        <w:t>.</w:t>
      </w:r>
      <w:r w:rsidR="008A74EB" w:rsidRPr="00993B55">
        <w:rPr>
          <w:rStyle w:val="libFootnoteBoldChar"/>
          <w:rtl/>
        </w:rPr>
        <w:t>الوافي</w:t>
      </w:r>
      <w:r w:rsidR="008A74EB" w:rsidRPr="00C9040A">
        <w:rPr>
          <w:rtl/>
        </w:rPr>
        <w:t xml:space="preserve"> ، ج 4 ، ص 435 ، ح 2274 ؛ </w:t>
      </w:r>
      <w:r w:rsidR="008A74EB" w:rsidRPr="00993B55">
        <w:rPr>
          <w:rStyle w:val="libFootnoteBoldChar"/>
          <w:rtl/>
        </w:rPr>
        <w:t>الوسائل</w:t>
      </w:r>
      <w:r w:rsidR="008A74EB" w:rsidRPr="00C9040A">
        <w:rPr>
          <w:rtl/>
        </w:rPr>
        <w:t xml:space="preserve"> ، ج 12 ، ص 166 ، ح 15970 ؛ </w:t>
      </w:r>
      <w:r w:rsidR="008A74EB" w:rsidRPr="00993B55">
        <w:rPr>
          <w:rStyle w:val="libFootnoteBoldChar"/>
          <w:rtl/>
        </w:rPr>
        <w:t>البحار</w:t>
      </w:r>
      <w:r w:rsidR="008A74EB" w:rsidRPr="00C9040A">
        <w:rPr>
          <w:rtl/>
        </w:rPr>
        <w:t xml:space="preserve"> ، ج 71 ، ص 329 ، ح 1.</w:t>
      </w:r>
    </w:p>
    <w:p w:rsidR="008A74EB" w:rsidRPr="00C9040A" w:rsidRDefault="006C577F" w:rsidP="004A4E41">
      <w:pPr>
        <w:pStyle w:val="libFootnote0"/>
        <w:rPr>
          <w:rtl/>
          <w:lang w:bidi="fa-IR"/>
        </w:rPr>
      </w:pPr>
      <w:r>
        <w:rPr>
          <w:rtl/>
        </w:rPr>
        <w:t>(3).</w:t>
      </w:r>
      <w:r w:rsidR="008A74EB" w:rsidRPr="00C9040A">
        <w:rPr>
          <w:rtl/>
        </w:rPr>
        <w:t xml:space="preserve"> هكذ في النسخ التي قوبلت والوسائل والبحار. وفي المطبوع والزهد : « الحسن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والمراد بعيّ اللسان ترك الكلام فيما لا فائدة فيه ، وعدم الاجتراء على الفتوى بغير علم وعلى إيذاء الناس‌وأمثاله ؛ وهذا ممدوح. وعيّ القلب : عجزه عن إدراك دقائق المسائل وحقائق الا</w:t>
      </w:r>
      <w:r w:rsidR="005D7BF0">
        <w:rPr>
          <w:rFonts w:hint="cs"/>
          <w:rtl/>
        </w:rPr>
        <w:t>ُ</w:t>
      </w:r>
      <w:r w:rsidR="008A74EB" w:rsidRPr="00C9040A">
        <w:rPr>
          <w:rtl/>
        </w:rPr>
        <w:t xml:space="preserve">مور ؛ وهو مذموم. راجع : </w:t>
      </w:r>
      <w:r w:rsidR="008A74EB" w:rsidRPr="00993B55">
        <w:rPr>
          <w:rStyle w:val="libFootnoteBoldChar"/>
          <w:rtl/>
        </w:rPr>
        <w:t>مرآة العقول</w:t>
      </w:r>
      <w:r w:rsidR="008A74EB" w:rsidRPr="00C9040A">
        <w:rPr>
          <w:rtl/>
        </w:rPr>
        <w:t xml:space="preserve"> ، ج 8 ، ص 188.</w:t>
      </w:r>
    </w:p>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الزهد</w:t>
      </w:r>
      <w:r w:rsidR="008A74EB" w:rsidRPr="00C9040A">
        <w:rPr>
          <w:rtl/>
        </w:rPr>
        <w:t xml:space="preserve"> ، ص 70 ، ح 21 ، عن محمّد بن سنان ، مع زيادة في أوّله وآخره</w:t>
      </w:r>
      <w:r w:rsidR="005D7BF0">
        <w:rPr>
          <w:rFonts w:hint="cs"/>
          <w:rtl/>
        </w:rPr>
        <w:t>.</w:t>
      </w:r>
      <w:r w:rsidR="008A74EB" w:rsidRPr="00993B55">
        <w:rPr>
          <w:rStyle w:val="libFootnoteBoldChar"/>
          <w:rtl/>
        </w:rPr>
        <w:t>الوافي</w:t>
      </w:r>
      <w:r w:rsidR="008A74EB" w:rsidRPr="00C9040A">
        <w:rPr>
          <w:rtl/>
        </w:rPr>
        <w:t xml:space="preserve"> ، ج 4 ، ص 435 ، ح 2275 ؛ </w:t>
      </w:r>
      <w:r w:rsidR="008A74EB" w:rsidRPr="00993B55">
        <w:rPr>
          <w:rStyle w:val="libFootnoteBoldChar"/>
          <w:rtl/>
        </w:rPr>
        <w:t>الوسائل</w:t>
      </w:r>
      <w:r w:rsidR="008A74EB" w:rsidRPr="00C9040A">
        <w:rPr>
          <w:rtl/>
        </w:rPr>
        <w:t xml:space="preserve"> ، ج 12 ، ص 167 ، ح 15972 ؛ </w:t>
      </w:r>
      <w:r w:rsidR="008A74EB" w:rsidRPr="00993B55">
        <w:rPr>
          <w:rStyle w:val="libFootnoteBoldChar"/>
          <w:rtl/>
        </w:rPr>
        <w:t>البحار</w:t>
      </w:r>
      <w:r w:rsidR="008A74EB" w:rsidRPr="00C9040A">
        <w:rPr>
          <w:rtl/>
        </w:rPr>
        <w:t xml:space="preserve"> ، ج 71 ، ص 329 ، ح 2.</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محمّد بن أحمد النهدي هو أبو جعفر القلانسي المعروف بحمدان ، وقد ورد في ترجمة مُصعَب بن يزيد </w:t>
      </w:r>
      <w:r w:rsidR="005D7BF0">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مُصْعَبِ </w:t>
      </w:r>
      <w:r w:rsidR="006C577F" w:rsidRPr="006C577F">
        <w:rPr>
          <w:rStyle w:val="libFootnotenumChar"/>
          <w:rtl/>
        </w:rPr>
        <w:t>(1)</w:t>
      </w:r>
      <w:r w:rsidRPr="002712F0">
        <w:rPr>
          <w:rFonts w:hint="cs"/>
          <w:rtl/>
        </w:rPr>
        <w:t xml:space="preserve"> </w:t>
      </w:r>
      <w:r w:rsidRPr="00C9040A">
        <w:rPr>
          <w:rtl/>
          <w:lang w:bidi="fa-IR"/>
        </w:rPr>
        <w:t xml:space="preserve">بْنِ يَزِيدَ ، عَنِ الْعَوَّامِ </w:t>
      </w:r>
      <w:r w:rsidR="006C577F" w:rsidRPr="006C577F">
        <w:rPr>
          <w:rStyle w:val="libFootnotenumChar"/>
          <w:rtl/>
        </w:rPr>
        <w:t>(2)</w:t>
      </w:r>
      <w:r w:rsidRPr="00C9040A">
        <w:rPr>
          <w:rtl/>
          <w:lang w:bidi="fa-IR"/>
        </w:rPr>
        <w:t xml:space="preserve"> بْنِ الزُّبَيْرِ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مَنْ رَقَّ وَجْهُهُ ، رَقَّ عِلْمُهُ </w:t>
      </w:r>
      <w:r w:rsidR="006C577F" w:rsidRPr="006C577F">
        <w:rPr>
          <w:rStyle w:val="libFootnotenumChar"/>
          <w:rtl/>
        </w:rPr>
        <w:t>(3)</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EE489C">
        <w:rPr>
          <w:rtl/>
        </w:rPr>
        <w:t>1784</w:t>
      </w:r>
      <w:r w:rsidRPr="00261CB0">
        <w:rPr>
          <w:rStyle w:val="libBold2Char"/>
          <w:rtl/>
        </w:rPr>
        <w:t xml:space="preserve"> / 4.</w:t>
      </w:r>
      <w:r w:rsidRPr="00C9040A">
        <w:rPr>
          <w:rtl/>
          <w:lang w:bidi="fa-IR"/>
        </w:rPr>
        <w:t xml:space="preserve"> عَلِيُّ بْنُ إِبْرَاهِيمَ ، عَنْ أَبِيهِ ، عَنْ عَبْدِ اللهِ بْنِ الْمُغِيرَةِ ، عَنْ يَحْيى</w:t>
      </w:r>
      <w:r>
        <w:rPr>
          <w:rtl/>
          <w:lang w:bidi="fa-IR"/>
        </w:rPr>
        <w:t xml:space="preserve"> </w:t>
      </w:r>
      <w:r w:rsidR="0084262C">
        <w:rPr>
          <w:rtl/>
          <w:lang w:bidi="fa-IR"/>
        </w:rPr>
        <w:t>-</w:t>
      </w:r>
      <w:r>
        <w:rPr>
          <w:rtl/>
          <w:lang w:bidi="fa-IR"/>
        </w:rPr>
        <w:t xml:space="preserve"> </w:t>
      </w:r>
      <w:r w:rsidRPr="00C9040A">
        <w:rPr>
          <w:rtl/>
          <w:lang w:bidi="fa-IR"/>
        </w:rPr>
        <w:t>أَخِي دَارِمٍ</w:t>
      </w:r>
      <w:r>
        <w:rPr>
          <w:rtl/>
          <w:lang w:bidi="fa-IR"/>
        </w:rPr>
        <w:t xml:space="preserve"> </w:t>
      </w:r>
      <w:r w:rsidR="0084262C">
        <w:rPr>
          <w:rtl/>
          <w:lang w:bidi="fa-IR"/>
        </w:rPr>
        <w:t>-</w:t>
      </w:r>
      <w:r>
        <w:rPr>
          <w:rtl/>
          <w:lang w:bidi="fa-IR"/>
        </w:rPr>
        <w:t xml:space="preserve"> </w:t>
      </w:r>
      <w:r w:rsidRPr="00C9040A">
        <w:rPr>
          <w:rtl/>
          <w:lang w:bidi="fa-IR"/>
        </w:rPr>
        <w:t xml:space="preserve">عَنْ مُعَاذِ </w:t>
      </w:r>
      <w:r w:rsidR="006C577F" w:rsidRPr="006C577F">
        <w:rPr>
          <w:rStyle w:val="libFootnotenumChar"/>
          <w:rtl/>
        </w:rPr>
        <w:t>(5)</w:t>
      </w:r>
      <w:r w:rsidRPr="00C9040A">
        <w:rPr>
          <w:rtl/>
          <w:lang w:bidi="fa-IR"/>
        </w:rPr>
        <w:t xml:space="preserve"> بْنِ كَثِيرٍ :</w:t>
      </w:r>
    </w:p>
    <w:p w:rsidR="008A74EB" w:rsidRPr="00C9040A" w:rsidRDefault="008A74EB" w:rsidP="008A74EB">
      <w:pPr>
        <w:pStyle w:val="libNormal"/>
        <w:rPr>
          <w:rtl/>
          <w:lang w:bidi="fa-IR"/>
        </w:rPr>
      </w:pPr>
      <w:r w:rsidRPr="00C9040A">
        <w:rPr>
          <w:rtl/>
          <w:lang w:bidi="fa-IR"/>
        </w:rPr>
        <w:t xml:space="preserve">عَنْ أَحَدِهِمَا </w:t>
      </w:r>
      <w:r w:rsidRPr="0003660B">
        <w:rPr>
          <w:rStyle w:val="libAlaemChar"/>
          <w:rtl/>
        </w:rPr>
        <w:t>عليهما‌السلام</w:t>
      </w:r>
      <w:r w:rsidRPr="00C9040A">
        <w:rPr>
          <w:rtl/>
          <w:lang w:bidi="fa-IR"/>
        </w:rPr>
        <w:t xml:space="preserve"> ، قَالَ : « الْحَيَاءُ وَالْإِيمَانُ مَقْرُونَانِ فِي قَرَنٍ </w:t>
      </w:r>
      <w:r w:rsidR="006C577F" w:rsidRPr="006C577F">
        <w:rPr>
          <w:rStyle w:val="libFootnotenumChar"/>
          <w:rtl/>
        </w:rPr>
        <w:t>(6)</w:t>
      </w:r>
      <w:r w:rsidRPr="005B567D">
        <w:rPr>
          <w:rStyle w:val="libFootnotenumChar"/>
          <w:rtl/>
        </w:rPr>
        <w:t xml:space="preserve"> </w:t>
      </w:r>
      <w:r w:rsidRPr="00C9040A">
        <w:rPr>
          <w:rtl/>
          <w:lang w:bidi="fa-IR"/>
        </w:rPr>
        <w:t>، فَإِذَا ذَهَبَ أَحَدُهُمَا تَبِعَهُ صَاحِبُهُ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EE489C">
        <w:rPr>
          <w:rtl/>
        </w:rPr>
        <w:t>1785</w:t>
      </w:r>
      <w:r w:rsidRPr="00261CB0">
        <w:rPr>
          <w:rStyle w:val="libBold2Char"/>
          <w:rtl/>
        </w:rPr>
        <w:t xml:space="preserve"> / 5.</w:t>
      </w:r>
      <w:r w:rsidRPr="00C9040A">
        <w:rPr>
          <w:rtl/>
          <w:lang w:bidi="fa-IR"/>
        </w:rPr>
        <w:t xml:space="preserve"> عِدَّةٌ مِنْ أَصْحَابِنَا ، عَنْ سَهْلِ بْنِ زِيَادٍ ، عَنْ مُحَمَّدِ بْنِ عِيسى ، عَنِ الْحَسَنِ بْنِ عَلِيِّ بْنِ يَقْطِينٍ ، عَنِ الْفُضَيْلِ </w:t>
      </w:r>
      <w:r w:rsidR="006C577F" w:rsidRPr="006C577F">
        <w:rPr>
          <w:rStyle w:val="libFootnotenumChar"/>
          <w:rtl/>
        </w:rPr>
        <w:t>(8)</w:t>
      </w:r>
      <w:r w:rsidRPr="00C9040A">
        <w:rPr>
          <w:rtl/>
          <w:lang w:bidi="fa-IR"/>
        </w:rPr>
        <w:t xml:space="preserve"> بْنِ كَثِيرٍ ، عَمَّنْ ذَكَرَهُ :</w:t>
      </w:r>
    </w:p>
    <w:p w:rsidR="008A74EB" w:rsidRPr="00C9040A" w:rsidRDefault="008A74EB" w:rsidP="008A74EB">
      <w:pPr>
        <w:pStyle w:val="libLine"/>
        <w:rPr>
          <w:rtl/>
          <w:lang w:bidi="fa-IR"/>
        </w:rPr>
      </w:pPr>
      <w:r w:rsidRPr="00C9040A">
        <w:rPr>
          <w:rtl/>
          <w:lang w:bidi="fa-IR"/>
        </w:rPr>
        <w:t>__________________</w:t>
      </w:r>
    </w:p>
    <w:p w:rsidR="008A74EB" w:rsidRPr="00C9040A" w:rsidRDefault="00A850A5" w:rsidP="004A4E41">
      <w:pPr>
        <w:pStyle w:val="libFootnote0"/>
        <w:rPr>
          <w:rtl/>
          <w:lang w:bidi="fa-IR"/>
        </w:rPr>
      </w:pPr>
      <w:r>
        <w:rPr>
          <w:rFonts w:hint="cs"/>
          <w:rtl/>
        </w:rPr>
        <w:t xml:space="preserve">= </w:t>
      </w:r>
      <w:r w:rsidR="008A74EB" w:rsidRPr="00C9040A">
        <w:rPr>
          <w:rtl/>
        </w:rPr>
        <w:t xml:space="preserve">أنّه روى محمّد بن أحمد القلانسي عن عليّ بن الحسن الطويل كتاب مُصعَب بن يزيد ، فيحتمل سقوط الواسطة بينهما في السند. راجع : </w:t>
      </w:r>
      <w:r w:rsidR="008A74EB" w:rsidRPr="00993B55">
        <w:rPr>
          <w:rStyle w:val="libFootnoteBoldChar"/>
          <w:rtl/>
        </w:rPr>
        <w:t>رجال النجاشي</w:t>
      </w:r>
      <w:r w:rsidR="008A74EB" w:rsidRPr="00C9040A">
        <w:rPr>
          <w:rtl/>
        </w:rPr>
        <w:t xml:space="preserve"> ، ص 341 ، الرقم 914 ؛ وص 419 ، الرقم 1122.</w:t>
      </w:r>
    </w:p>
    <w:p w:rsidR="008A74EB" w:rsidRDefault="008A74EB" w:rsidP="004A4E41">
      <w:pPr>
        <w:pStyle w:val="libFootnote0"/>
        <w:rPr>
          <w:rtl/>
        </w:rPr>
      </w:pPr>
      <w:r w:rsidRPr="0082575F">
        <w:rPr>
          <w:rtl/>
        </w:rPr>
        <w:t>نبّه على ذلك الا</w:t>
      </w:r>
      <w:r w:rsidR="001F6347">
        <w:rPr>
          <w:rFonts w:hint="cs"/>
          <w:rtl/>
        </w:rPr>
        <w:t>ُ</w:t>
      </w:r>
      <w:r w:rsidRPr="0082575F">
        <w:rPr>
          <w:rtl/>
        </w:rPr>
        <w:t>ستاد السيّد محمّد جواد الشبيري</w:t>
      </w:r>
      <w:r>
        <w:rPr>
          <w:rtl/>
        </w:rPr>
        <w:t xml:space="preserve"> </w:t>
      </w:r>
      <w:r w:rsidR="0084262C">
        <w:rPr>
          <w:rtl/>
        </w:rPr>
        <w:t>-</w:t>
      </w:r>
      <w:r>
        <w:rPr>
          <w:rtl/>
        </w:rPr>
        <w:t xml:space="preserve"> </w:t>
      </w:r>
      <w:r w:rsidRPr="0082575F">
        <w:rPr>
          <w:rtl/>
        </w:rPr>
        <w:t>دام توفيقه</w:t>
      </w:r>
      <w:r>
        <w:rPr>
          <w:rtl/>
        </w:rPr>
        <w:t xml:space="preserve"> </w:t>
      </w:r>
      <w:r w:rsidR="0084262C">
        <w:rPr>
          <w:rtl/>
        </w:rPr>
        <w:t>-</w:t>
      </w:r>
      <w:r>
        <w:rPr>
          <w:rtl/>
        </w:rPr>
        <w:t xml:space="preserve"> </w:t>
      </w:r>
      <w:r w:rsidRPr="0082575F">
        <w:rPr>
          <w:rtl/>
        </w:rPr>
        <w:t>في تعليقته على السند.</w:t>
      </w:r>
    </w:p>
    <w:p w:rsidR="008A74EB" w:rsidRPr="00C9040A" w:rsidRDefault="006C577F" w:rsidP="004A4E41">
      <w:pPr>
        <w:pStyle w:val="libFootnote0"/>
        <w:rPr>
          <w:rtl/>
          <w:lang w:bidi="fa-IR"/>
        </w:rPr>
      </w:pPr>
      <w:r>
        <w:rPr>
          <w:rtl/>
        </w:rPr>
        <w:t>(1).</w:t>
      </w:r>
      <w:r w:rsidR="008A74EB" w:rsidRPr="00C9040A">
        <w:rPr>
          <w:rtl/>
        </w:rPr>
        <w:t xml:space="preserve"> في « بس » : « مصعبة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ب » : « عوام »</w:t>
      </w:r>
      <w:r w:rsidR="008A74EB">
        <w:rPr>
          <w:rtl/>
        </w:rPr>
        <w:t>.</w:t>
      </w:r>
      <w:r w:rsidR="008A74EB" w:rsidRPr="00C9040A">
        <w:rPr>
          <w:rtl/>
        </w:rPr>
        <w:t xml:space="preserve"> وفي « ز ، بر » : « القوام »</w:t>
      </w:r>
      <w:r w:rsidR="008A74EB">
        <w:rPr>
          <w:rtl/>
        </w:rPr>
        <w:t>.</w:t>
      </w:r>
      <w:r w:rsidR="008A74EB" w:rsidRPr="00C9040A">
        <w:rPr>
          <w:rtl/>
        </w:rPr>
        <w:t xml:space="preserve"> وهو سهو غير مذكور في ما يُتَرقَّبُ ذكره.</w:t>
      </w:r>
    </w:p>
    <w:p w:rsidR="008A74EB" w:rsidRPr="00C9040A" w:rsidRDefault="006C577F" w:rsidP="004A4E41">
      <w:pPr>
        <w:pStyle w:val="libFootnote0"/>
        <w:rPr>
          <w:rtl/>
          <w:lang w:bidi="fa-IR"/>
        </w:rPr>
      </w:pPr>
      <w:r>
        <w:rPr>
          <w:rtl/>
        </w:rPr>
        <w:t>(3).</w:t>
      </w:r>
      <w:r w:rsidR="008A74EB" w:rsidRPr="00C9040A">
        <w:rPr>
          <w:rtl/>
        </w:rPr>
        <w:t xml:space="preserve"> في « ص ، ض ، بف » وحاشية « ج » : « عمله »</w:t>
      </w:r>
      <w:r w:rsidR="008A74EB">
        <w:rPr>
          <w:rtl/>
        </w:rPr>
        <w:t>.</w:t>
      </w:r>
      <w:r w:rsidR="008A74EB" w:rsidRPr="00C9040A">
        <w:rPr>
          <w:rtl/>
        </w:rPr>
        <w:t xml:space="preserve"> وفي المرآة : « والمراد برقّة الوجه الاستحياء عن السؤال وطلب العلم ، وهو مذموم ، فإنّه لاحياء في طلب العلم ولا في إظهار الحقّ ، وإنّما الحياء عن الأمر القبيح ، قال الله تعالى : </w:t>
      </w:r>
      <w:r w:rsidR="008A74EB" w:rsidRPr="00AC2E2F">
        <w:rPr>
          <w:rStyle w:val="libFootnoteAlaemChar"/>
          <w:rtl/>
        </w:rPr>
        <w:t>(</w:t>
      </w:r>
      <w:r w:rsidR="008A74EB" w:rsidRPr="00883DD5">
        <w:rPr>
          <w:rStyle w:val="libFootnoteAieChar"/>
          <w:rFonts w:hint="cs"/>
          <w:rtl/>
        </w:rPr>
        <w:t xml:space="preserve"> </w:t>
      </w:r>
      <w:r w:rsidR="008A74EB" w:rsidRPr="00883DD5">
        <w:rPr>
          <w:rStyle w:val="libFootnoteAieChar"/>
          <w:rtl/>
        </w:rPr>
        <w:t>وَاللهُ ل</w:t>
      </w:r>
      <w:r w:rsidR="001F6347">
        <w:rPr>
          <w:rStyle w:val="libFootnoteAieChar"/>
          <w:rFonts w:hint="cs"/>
          <w:rtl/>
        </w:rPr>
        <w:t>َ</w:t>
      </w:r>
      <w:r w:rsidR="008A74EB" w:rsidRPr="00883DD5">
        <w:rPr>
          <w:rStyle w:val="libFootnoteAieChar"/>
          <w:rtl/>
        </w:rPr>
        <w:t>ا يَسْتَحْيِي مِنَ الْحَقِّ</w:t>
      </w:r>
      <w:r w:rsidR="008A74EB" w:rsidRPr="00883DD5">
        <w:rPr>
          <w:rStyle w:val="libFootnoteAieChar"/>
          <w:rFonts w:hint="cs"/>
          <w:rtl/>
        </w:rPr>
        <w:t xml:space="preserve"> </w:t>
      </w:r>
      <w:r w:rsidR="008A74EB" w:rsidRPr="00AC2E2F">
        <w:rPr>
          <w:rStyle w:val="libFootnoteAlaemChar"/>
          <w:rtl/>
        </w:rPr>
        <w:t>)</w:t>
      </w:r>
      <w:r w:rsidR="008A74EB" w:rsidRPr="00C9040A">
        <w:rPr>
          <w:rtl/>
        </w:rPr>
        <w:t xml:space="preserve"> [ الأحزاب (33) : 53 ]</w:t>
      </w:r>
      <w:r w:rsidR="008A74EB">
        <w:rPr>
          <w:rtl/>
        </w:rPr>
        <w:t>.</w:t>
      </w:r>
      <w:r w:rsidR="008A74EB" w:rsidRPr="00C9040A">
        <w:rPr>
          <w:rtl/>
        </w:rPr>
        <w:t xml:space="preserve"> ورقّة العلم كناية عن قلّته. وما قيل : إنّ المراد برقّة الوجه قلّة الحياء ، فضعفه ظاهر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الوافي</w:t>
      </w:r>
      <w:r w:rsidR="008A74EB" w:rsidRPr="00C9040A">
        <w:rPr>
          <w:rtl/>
        </w:rPr>
        <w:t xml:space="preserve"> ، ج 4 ، ص 436 ، ح 2279 ؛ </w:t>
      </w:r>
      <w:r w:rsidR="008A74EB" w:rsidRPr="00993B55">
        <w:rPr>
          <w:rStyle w:val="libFootnoteBoldChar"/>
          <w:rtl/>
        </w:rPr>
        <w:t>الوسائل</w:t>
      </w:r>
      <w:r w:rsidR="008A74EB" w:rsidRPr="00C9040A">
        <w:rPr>
          <w:rtl/>
        </w:rPr>
        <w:t xml:space="preserve"> ، ج 12 ، ص 169 ، ح 15981 ؛ </w:t>
      </w:r>
      <w:r w:rsidR="008A74EB" w:rsidRPr="00993B55">
        <w:rPr>
          <w:rStyle w:val="libFootnoteBoldChar"/>
          <w:rtl/>
        </w:rPr>
        <w:t>البحار</w:t>
      </w:r>
      <w:r w:rsidR="008A74EB" w:rsidRPr="00C9040A">
        <w:rPr>
          <w:rtl/>
        </w:rPr>
        <w:t xml:space="preserve"> ، ج 71 ، ص 330 ، ح 3.</w:t>
      </w:r>
    </w:p>
    <w:p w:rsidR="008A74EB" w:rsidRPr="00C9040A" w:rsidRDefault="006C577F" w:rsidP="004A4E41">
      <w:pPr>
        <w:pStyle w:val="libFootnote0"/>
        <w:rPr>
          <w:rtl/>
          <w:lang w:bidi="fa-IR"/>
        </w:rPr>
      </w:pPr>
      <w:r>
        <w:rPr>
          <w:rtl/>
        </w:rPr>
        <w:t>(5).</w:t>
      </w:r>
      <w:r w:rsidR="008A74EB" w:rsidRPr="00C9040A">
        <w:rPr>
          <w:rtl/>
        </w:rPr>
        <w:t xml:space="preserve"> في « ز ، بس ، بف » : « معاد »</w:t>
      </w:r>
      <w:r w:rsidR="008A74EB">
        <w:rPr>
          <w:rtl/>
        </w:rPr>
        <w:t>.</w:t>
      </w:r>
      <w:r w:rsidR="008A74EB" w:rsidRPr="00C9040A">
        <w:rPr>
          <w:rtl/>
        </w:rPr>
        <w:t xml:space="preserve"> وهو سهو. راجع : </w:t>
      </w:r>
      <w:r w:rsidR="008A74EB" w:rsidRPr="00993B55">
        <w:rPr>
          <w:rStyle w:val="libFootnoteBoldChar"/>
          <w:rtl/>
        </w:rPr>
        <w:t>رجال البرقي</w:t>
      </w:r>
      <w:r w:rsidR="008A74EB" w:rsidRPr="00C9040A">
        <w:rPr>
          <w:rtl/>
        </w:rPr>
        <w:t xml:space="preserve"> ، ص 46 ؛ </w:t>
      </w:r>
      <w:r w:rsidR="008A74EB" w:rsidRPr="00993B55">
        <w:rPr>
          <w:rStyle w:val="libFootnoteBoldChar"/>
          <w:rtl/>
        </w:rPr>
        <w:t>رجال الطوسي</w:t>
      </w:r>
      <w:r w:rsidR="008A74EB" w:rsidRPr="00C9040A">
        <w:rPr>
          <w:rtl/>
        </w:rPr>
        <w:t xml:space="preserve"> ، ص 306 ، الرقم 4518.</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ج » : « القرن »</w:t>
      </w:r>
      <w:r w:rsidR="008A74EB">
        <w:rPr>
          <w:rtl/>
        </w:rPr>
        <w:t>.</w:t>
      </w:r>
      <w:r w:rsidR="008A74EB" w:rsidRPr="00C9040A">
        <w:rPr>
          <w:rtl/>
        </w:rPr>
        <w:t xml:space="preserve"> </w:t>
      </w:r>
      <w:r w:rsidR="008A74EB">
        <w:rPr>
          <w:rtl/>
        </w:rPr>
        <w:t>و «</w:t>
      </w:r>
      <w:r w:rsidR="008A74EB" w:rsidRPr="00C9040A">
        <w:rPr>
          <w:rtl/>
        </w:rPr>
        <w:t xml:space="preserve"> القِران » : الحبل. </w:t>
      </w:r>
      <w:r w:rsidR="008A74EB">
        <w:rPr>
          <w:rtl/>
        </w:rPr>
        <w:t>و «</w:t>
      </w:r>
      <w:r w:rsidR="008A74EB" w:rsidRPr="00C9040A">
        <w:rPr>
          <w:rtl/>
        </w:rPr>
        <w:t xml:space="preserve"> القَرَن » بفتحتين ، لغة فيه. </w:t>
      </w:r>
      <w:r w:rsidR="008A74EB" w:rsidRPr="00993B55">
        <w:rPr>
          <w:rStyle w:val="libFootnoteBoldChar"/>
          <w:rtl/>
        </w:rPr>
        <w:t>المصباح المنير</w:t>
      </w:r>
      <w:r w:rsidR="008A74EB" w:rsidRPr="00C9040A">
        <w:rPr>
          <w:rtl/>
        </w:rPr>
        <w:t xml:space="preserve"> ، ص 500 ( قرن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تحف العقول</w:t>
      </w:r>
      <w:r w:rsidR="008A74EB" w:rsidRPr="00C9040A">
        <w:rPr>
          <w:rtl/>
        </w:rPr>
        <w:t xml:space="preserve"> ، ص 297 ، عن أبي جعفر </w:t>
      </w:r>
      <w:r w:rsidR="00117575" w:rsidRPr="00117575">
        <w:rPr>
          <w:rStyle w:val="libFootnoteAlaemChar"/>
          <w:rtl/>
        </w:rPr>
        <w:t xml:space="preserve">عليه‌السلام </w:t>
      </w:r>
      <w:r w:rsidR="001F6347">
        <w:rPr>
          <w:rFonts w:hint="cs"/>
          <w:rtl/>
          <w:lang w:bidi="fa-IR"/>
        </w:rPr>
        <w:t>.</w:t>
      </w:r>
      <w:r w:rsidR="008A74EB" w:rsidRPr="00993B55">
        <w:rPr>
          <w:rStyle w:val="libFootnoteBoldChar"/>
          <w:rtl/>
        </w:rPr>
        <w:t>الوافي</w:t>
      </w:r>
      <w:r w:rsidR="008A74EB" w:rsidRPr="00C9040A">
        <w:rPr>
          <w:rtl/>
        </w:rPr>
        <w:t xml:space="preserve"> ، ج 4 ، ص 435 ، ح 2276 ؛ </w:t>
      </w:r>
      <w:r w:rsidR="008A74EB" w:rsidRPr="00993B55">
        <w:rPr>
          <w:rStyle w:val="libFootnoteBoldChar"/>
          <w:rtl/>
        </w:rPr>
        <w:t>الوسائل</w:t>
      </w:r>
      <w:r w:rsidR="008A74EB" w:rsidRPr="00C9040A">
        <w:rPr>
          <w:rtl/>
        </w:rPr>
        <w:t xml:space="preserve"> ، ج 12 ، ص 166 ، ح 15969 ؛ </w:t>
      </w:r>
      <w:r w:rsidR="008A74EB" w:rsidRPr="00993B55">
        <w:rPr>
          <w:rStyle w:val="libFootnoteBoldChar"/>
          <w:rtl/>
        </w:rPr>
        <w:t>البحار</w:t>
      </w:r>
      <w:r w:rsidR="008A74EB" w:rsidRPr="00C9040A">
        <w:rPr>
          <w:rtl/>
        </w:rPr>
        <w:t xml:space="preserve"> ، ج 71 ، ص 331 ، ح 4.</w:t>
      </w:r>
    </w:p>
    <w:p w:rsidR="008A74EB" w:rsidRPr="00C9040A" w:rsidRDefault="006C577F" w:rsidP="004A4E41">
      <w:pPr>
        <w:pStyle w:val="libFootnote0"/>
        <w:rPr>
          <w:rtl/>
          <w:lang w:bidi="fa-IR"/>
        </w:rPr>
      </w:pPr>
      <w:r>
        <w:rPr>
          <w:rtl/>
        </w:rPr>
        <w:t>(8).</w:t>
      </w:r>
      <w:r w:rsidR="008A74EB" w:rsidRPr="00C9040A">
        <w:rPr>
          <w:rtl/>
        </w:rPr>
        <w:t xml:space="preserve"> هكذا في جميع النسخ والطبعة الحجريّة من الكتاب والوافي والبحار. وفي المطبوع : « الفضل »</w:t>
      </w:r>
      <w:r w:rsidR="008A74EB">
        <w:rPr>
          <w:rtl/>
        </w:rPr>
        <w:t>.</w:t>
      </w:r>
      <w:r w:rsidR="008A74EB" w:rsidRPr="00C9040A">
        <w:rPr>
          <w:rtl/>
        </w:rPr>
        <w:t xml:space="preserve"> والخبر يأتي في </w:t>
      </w:r>
      <w:r w:rsidR="008A74EB" w:rsidRPr="00993B55">
        <w:rPr>
          <w:rStyle w:val="libFootnoteBoldChar"/>
          <w:rtl/>
        </w:rPr>
        <w:t>الكافي</w:t>
      </w:r>
      <w:r w:rsidR="008A74EB" w:rsidRPr="00C9040A">
        <w:rPr>
          <w:rtl/>
        </w:rPr>
        <w:t xml:space="preserve"> ، ح 9411 </w:t>
      </w:r>
      <w:r w:rsidR="008A74EB">
        <w:rPr>
          <w:rtl/>
        </w:rPr>
        <w:t>و 1</w:t>
      </w:r>
      <w:r w:rsidR="008A74EB" w:rsidRPr="00C9040A">
        <w:rPr>
          <w:rtl/>
        </w:rPr>
        <w:t xml:space="preserve">2536 ، مع زيادة ، وقد رواه المصنّف </w:t>
      </w:r>
      <w:r w:rsidR="00117575" w:rsidRPr="00117575">
        <w:rPr>
          <w:rStyle w:val="libFootnoteAlaemChar"/>
          <w:rtl/>
        </w:rPr>
        <w:t>قدس‌سره</w:t>
      </w:r>
      <w:r w:rsidR="008A74EB" w:rsidRPr="00C9040A">
        <w:rPr>
          <w:rtl/>
        </w:rPr>
        <w:t xml:space="preserve"> بنفس السند ، عن الحسن بن عليّ بن يقطين ، عن الفضل بن كثير المدائني. والرجل لم نعرفه حتّى يمكن لنا تمييز الصواب منهما.</w:t>
      </w:r>
      <w:r w:rsidR="00A532FF">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لَا إِيمَانَ لِمَنْ لَا حَيَاءَ لَهُ »</w:t>
      </w:r>
      <w:r>
        <w:rPr>
          <w:rtl/>
          <w:lang w:bidi="fa-IR"/>
        </w:rPr>
        <w:t>.</w:t>
      </w:r>
      <w:r w:rsidRPr="00C9040A">
        <w:rPr>
          <w:rtl/>
          <w:lang w:bidi="fa-IR"/>
        </w:rPr>
        <w:t xml:space="preserve"> </w:t>
      </w:r>
      <w:r w:rsidR="006C577F" w:rsidRPr="006C577F">
        <w:rPr>
          <w:rStyle w:val="libFootnotenumChar"/>
          <w:rtl/>
        </w:rPr>
        <w:t>(1)</w:t>
      </w:r>
      <w:r w:rsidRPr="00C9040A">
        <w:rPr>
          <w:rtl/>
          <w:lang w:bidi="fa-IR"/>
        </w:rPr>
        <w:t xml:space="preserve"> ‌</w:t>
      </w:r>
    </w:p>
    <w:p w:rsidR="008A74EB" w:rsidRPr="00C9040A" w:rsidRDefault="008A74EB" w:rsidP="008A74EB">
      <w:pPr>
        <w:pStyle w:val="libNormal"/>
        <w:rPr>
          <w:rtl/>
          <w:lang w:bidi="fa-IR"/>
        </w:rPr>
      </w:pPr>
      <w:r w:rsidRPr="00EF66ED">
        <w:rPr>
          <w:rtl/>
        </w:rPr>
        <w:t>1786</w:t>
      </w:r>
      <w:r w:rsidRPr="00261CB0">
        <w:rPr>
          <w:rStyle w:val="libBold2Char"/>
          <w:rtl/>
        </w:rPr>
        <w:t xml:space="preserve"> / 6.</w:t>
      </w:r>
      <w:r w:rsidRPr="00C9040A">
        <w:rPr>
          <w:rtl/>
          <w:lang w:bidi="fa-IR"/>
        </w:rPr>
        <w:t xml:space="preserve"> عِدَّةٌ مِنْ أَصْحَابِنَا ، عَنْ أَحْمَدَ بْنِ أَبِي عَبْدِ اللهِ ، عَنْ بَعْض</w:t>
      </w:r>
      <w:r w:rsidR="003B1489">
        <w:rPr>
          <w:rtl/>
          <w:lang w:bidi="fa-IR"/>
        </w:rPr>
        <w:t>ِ أَصْحَابِنَا رَفَعَهُ ، قَالَ</w:t>
      </w:r>
      <w:r w:rsidRPr="00C9040A">
        <w:rPr>
          <w:rtl/>
          <w:lang w:bidi="fa-IR"/>
        </w:rPr>
        <w:t>:</w:t>
      </w:r>
    </w:p>
    <w:p w:rsidR="008A74EB" w:rsidRPr="00C9040A" w:rsidRDefault="008A74EB" w:rsidP="008A74EB">
      <w:pPr>
        <w:pStyle w:val="libNormal"/>
        <w:rPr>
          <w:rtl/>
          <w:lang w:bidi="fa-IR"/>
        </w:rPr>
      </w:pPr>
      <w:r w:rsidRPr="00C9040A">
        <w:rPr>
          <w:rtl/>
          <w:lang w:bidi="fa-IR"/>
        </w:rPr>
        <w:t xml:space="preserve">قَالَ رَسُولُ اللهِ </w:t>
      </w:r>
      <w:r w:rsidR="004A4E41" w:rsidRPr="004A4E41">
        <w:rPr>
          <w:rStyle w:val="libAlaemChar"/>
          <w:rtl/>
        </w:rPr>
        <w:t>صلى‌الله‌عليه‌وآله</w:t>
      </w:r>
      <w:r w:rsidRPr="00C9040A">
        <w:rPr>
          <w:rtl/>
          <w:lang w:bidi="fa-IR"/>
        </w:rPr>
        <w:t xml:space="preserve"> : « الْحَيَاءُ حَيَاءَانِ : حَيَاءُ عَقْلٍ ، وَحَيَاءُ حُمْقٍ ، فَحَيَاءُ الْعَقْلِ هُوَ الْعِلْمُ ، وَحَيَاءُ الْحُمْقِ هُوَ الْجَهْلُ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EF66ED">
        <w:rPr>
          <w:rtl/>
        </w:rPr>
        <w:t>1787</w:t>
      </w:r>
      <w:r w:rsidRPr="00261CB0">
        <w:rPr>
          <w:rStyle w:val="libBold2Char"/>
          <w:rtl/>
        </w:rPr>
        <w:t xml:space="preserve"> / 7.</w:t>
      </w:r>
      <w:r w:rsidRPr="00C9040A">
        <w:rPr>
          <w:rtl/>
          <w:lang w:bidi="fa-IR"/>
        </w:rPr>
        <w:t xml:space="preserve"> مُحَمَّدُ بْنُ يَحْيى ، عَنْ أَحْمَدَ بْنِ مُحَمَّدٍ ، عَنْ بَكْرِ بْنِ صَالِحٍ ، عَنِ الْحَسَنِ بْنِ عَلِيٍّ ، عَنْ عَبْدِ اللهِ بْنِ إِبْرَاهِيمَ ، عَنْ عَلِيِّ بْنِ أَبِي عَلِيٍّ اللهَبِيِّ :</w:t>
      </w:r>
    </w:p>
    <w:p w:rsidR="008A74EB" w:rsidRPr="00C9040A" w:rsidRDefault="008A74EB" w:rsidP="003B1489">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أَرْبَعٌ مَنْ كُنَّ فِيهِ وَكَانَ مِنْ قَرْنِهِ </w:t>
      </w:r>
      <w:r w:rsidR="006C577F" w:rsidRPr="006C577F">
        <w:rPr>
          <w:rStyle w:val="libFootnotenumChar"/>
          <w:rtl/>
        </w:rPr>
        <w:t>(3)</w:t>
      </w:r>
      <w:r w:rsidRPr="00C9040A">
        <w:rPr>
          <w:rtl/>
          <w:lang w:bidi="fa-IR"/>
        </w:rPr>
        <w:t xml:space="preserve"> إِلى قَدَمِهِ </w:t>
      </w:r>
      <w:r w:rsidR="006C577F" w:rsidRPr="006C577F">
        <w:rPr>
          <w:rStyle w:val="libFootnotenumChar"/>
          <w:rtl/>
        </w:rPr>
        <w:t>(4)</w:t>
      </w:r>
      <w:r w:rsidRPr="00C9040A">
        <w:rPr>
          <w:rtl/>
          <w:lang w:bidi="fa-IR"/>
        </w:rPr>
        <w:t xml:space="preserve"> ذُنُوباً ، بَدَّلَهَا اللهُ حَسَنَاتٍ </w:t>
      </w:r>
      <w:r w:rsidR="006C577F" w:rsidRPr="006C577F">
        <w:rPr>
          <w:rStyle w:val="libFootnotenumChar"/>
          <w:rtl/>
        </w:rPr>
        <w:t>(5)</w:t>
      </w:r>
      <w:r w:rsidRPr="00C9040A">
        <w:rPr>
          <w:rtl/>
          <w:lang w:bidi="fa-IR"/>
        </w:rPr>
        <w:t xml:space="preserve"> : الصِّدْقُ ، وَالْحَيَاءُ ، وَحُسْنُ الْخُلُقِ ، وَالشُّكْرُ »</w:t>
      </w:r>
      <w:r>
        <w:rPr>
          <w:rtl/>
          <w:lang w:bidi="fa-IR"/>
        </w:rPr>
        <w:t>.</w:t>
      </w:r>
      <w:r w:rsidRPr="00C9040A">
        <w:rPr>
          <w:rtl/>
          <w:lang w:bidi="fa-IR"/>
        </w:rPr>
        <w:t xml:space="preserve"> </w:t>
      </w:r>
      <w:r w:rsidR="006C577F" w:rsidRPr="006C577F">
        <w:rPr>
          <w:rStyle w:val="libFootnotenumChar"/>
          <w:rtl/>
        </w:rPr>
        <w:t>(6)</w:t>
      </w:r>
    </w:p>
    <w:p w:rsidR="008A74EB" w:rsidRPr="00C9040A" w:rsidRDefault="008A74EB" w:rsidP="008A74EB">
      <w:pPr>
        <w:pStyle w:val="libLine"/>
        <w:rPr>
          <w:rtl/>
          <w:lang w:bidi="fa-IR"/>
        </w:rPr>
      </w:pPr>
      <w:r w:rsidRPr="00C9040A">
        <w:rPr>
          <w:rtl/>
          <w:lang w:bidi="fa-IR"/>
        </w:rPr>
        <w:t>__________________</w:t>
      </w:r>
    </w:p>
    <w:p w:rsidR="008A74EB" w:rsidRPr="00C9040A" w:rsidRDefault="00B13882" w:rsidP="004A4E41">
      <w:pPr>
        <w:pStyle w:val="libFootnote0"/>
        <w:rPr>
          <w:rtl/>
          <w:lang w:bidi="fa-IR"/>
        </w:rPr>
      </w:pPr>
      <w:r>
        <w:rPr>
          <w:rFonts w:hint="cs"/>
          <w:rtl/>
        </w:rPr>
        <w:t xml:space="preserve">= </w:t>
      </w:r>
      <w:r w:rsidR="008A74EB" w:rsidRPr="00323A39">
        <w:rPr>
          <w:rtl/>
        </w:rPr>
        <w:t xml:space="preserve">ثمّ إنّ الفضل أو الفضيل بن كثير هذا ، غير الفضل بن كثير الذي ذكره الشيخ في رجاله ، ص 390 ، الرقم 5743 من أصحاب عليّ بن محمّد الهادي </w:t>
      </w:r>
      <w:r w:rsidR="00117575" w:rsidRPr="00117575">
        <w:rPr>
          <w:rStyle w:val="libFootnoteAlaemChar"/>
          <w:rtl/>
        </w:rPr>
        <w:t xml:space="preserve">عليه‌السلام </w:t>
      </w:r>
      <w:r w:rsidR="008A74EB" w:rsidRPr="00323A39">
        <w:rPr>
          <w:rtl/>
        </w:rPr>
        <w:t xml:space="preserve"> ؛ فإنّ ابن كثير في ما نحن فيه يروي عنه الحسن بن عليّ بن يقطين ، وهو من أصحاب أبي الحسن موسى بن جعفر والرضا </w:t>
      </w:r>
      <w:r w:rsidR="00117575" w:rsidRPr="00117575">
        <w:rPr>
          <w:rStyle w:val="libFootnoteAlaemChar"/>
          <w:rtl/>
        </w:rPr>
        <w:t>عليهما‌السلام</w:t>
      </w:r>
      <w:r w:rsidR="008A74EB" w:rsidRPr="00323A39">
        <w:rPr>
          <w:rtl/>
        </w:rPr>
        <w:t xml:space="preserve">. راجع : </w:t>
      </w:r>
      <w:r w:rsidR="008A74EB" w:rsidRPr="00993B55">
        <w:rPr>
          <w:rStyle w:val="libFootnoteBoldChar"/>
          <w:rtl/>
        </w:rPr>
        <w:t>رجال النجاشي</w:t>
      </w:r>
      <w:r w:rsidR="008A74EB" w:rsidRPr="00323A39">
        <w:rPr>
          <w:rtl/>
        </w:rPr>
        <w:t xml:space="preserve"> ، ص 45 ، الرقم 91 ؛ </w:t>
      </w:r>
      <w:r w:rsidR="008A74EB" w:rsidRPr="00993B55">
        <w:rPr>
          <w:rStyle w:val="libFootnoteBoldChar"/>
          <w:rtl/>
        </w:rPr>
        <w:t>رجال البرقي</w:t>
      </w:r>
      <w:r w:rsidR="008A74EB" w:rsidRPr="00323A39">
        <w:rPr>
          <w:rtl/>
        </w:rPr>
        <w:t xml:space="preserve"> ، ص 51 ؛ </w:t>
      </w:r>
      <w:r w:rsidR="008A74EB" w:rsidRPr="00993B55">
        <w:rPr>
          <w:rStyle w:val="libFootnoteBoldChar"/>
          <w:rtl/>
        </w:rPr>
        <w:t>رجال الطوسي</w:t>
      </w:r>
      <w:r w:rsidR="008A74EB" w:rsidRPr="00323A39">
        <w:rPr>
          <w:rtl/>
        </w:rPr>
        <w:t xml:space="preserve"> ، ص 354 ، الرقم 5246.</w:t>
      </w:r>
    </w:p>
    <w:p w:rsidR="008A74EB" w:rsidRPr="00C9040A" w:rsidRDefault="006C577F" w:rsidP="004A4E41">
      <w:pPr>
        <w:pStyle w:val="libFootnote0"/>
        <w:rPr>
          <w:rtl/>
          <w:lang w:bidi="fa-IR"/>
        </w:rPr>
      </w:pPr>
      <w:r>
        <w:rPr>
          <w:rtl/>
        </w:rPr>
        <w:t>(1).</w:t>
      </w:r>
      <w:r w:rsidR="008A74EB">
        <w:rPr>
          <w:rtl/>
        </w:rPr>
        <w:t xml:space="preserve"> </w:t>
      </w:r>
      <w:r w:rsidR="008A74EB" w:rsidRPr="00993B55">
        <w:rPr>
          <w:rStyle w:val="libFootnoteBoldChar"/>
          <w:rtl/>
        </w:rPr>
        <w:t>الكافي</w:t>
      </w:r>
      <w:r w:rsidR="008A74EB" w:rsidRPr="00C9040A">
        <w:rPr>
          <w:rtl/>
        </w:rPr>
        <w:t xml:space="preserve"> ، كتاب المعيشة ، باب النوادر من كتاب المعيشة ، ح 9411 ؛ وكتاب الزيّ والتجمّل ، باب لبس الخُلقان ، ح 12536 ، مع زيادة في أوّله وآخره</w:t>
      </w:r>
      <w:r w:rsidR="0072093C">
        <w:rPr>
          <w:rFonts w:hint="cs"/>
          <w:rtl/>
        </w:rPr>
        <w:t>.</w:t>
      </w:r>
      <w:r w:rsidR="008A74EB" w:rsidRPr="00993B55">
        <w:rPr>
          <w:rStyle w:val="libFootnoteBoldChar"/>
          <w:rtl/>
        </w:rPr>
        <w:t>الوافي</w:t>
      </w:r>
      <w:r w:rsidR="008A74EB" w:rsidRPr="00C9040A">
        <w:rPr>
          <w:rtl/>
        </w:rPr>
        <w:t xml:space="preserve"> ، ج 4 ، ص 436 ، ح 2277 ؛ </w:t>
      </w:r>
      <w:r w:rsidR="008A74EB" w:rsidRPr="00993B55">
        <w:rPr>
          <w:rStyle w:val="libFootnoteBoldChar"/>
          <w:rtl/>
        </w:rPr>
        <w:t>الوسائل</w:t>
      </w:r>
      <w:r w:rsidR="008A74EB" w:rsidRPr="00C9040A">
        <w:rPr>
          <w:rtl/>
        </w:rPr>
        <w:t xml:space="preserve"> ، ج 12 ، ص 166 ، ح 15971 ؛ </w:t>
      </w:r>
      <w:r w:rsidR="008A74EB" w:rsidRPr="00993B55">
        <w:rPr>
          <w:rStyle w:val="libFootnoteBoldChar"/>
          <w:rtl/>
        </w:rPr>
        <w:t>البحار</w:t>
      </w:r>
      <w:r w:rsidR="008A74EB" w:rsidRPr="00C9040A">
        <w:rPr>
          <w:rtl/>
        </w:rPr>
        <w:t xml:space="preserve"> ، ج 71 ، ص 331 ، ح 5.</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تحف العقول</w:t>
      </w:r>
      <w:r w:rsidR="008A74EB" w:rsidRPr="00C9040A">
        <w:rPr>
          <w:rtl/>
        </w:rPr>
        <w:t xml:space="preserve"> ، ص 45 ، عن رسول الله </w:t>
      </w:r>
      <w:r w:rsidR="004A4E41" w:rsidRPr="00AC2E2F">
        <w:rPr>
          <w:rStyle w:val="libFootnoteAlaemChar"/>
          <w:rtl/>
        </w:rPr>
        <w:t>صلى‌الله‌عليه‌وآله</w:t>
      </w:r>
      <w:r w:rsidR="0072093C">
        <w:rPr>
          <w:rFonts w:hint="cs"/>
          <w:rtl/>
        </w:rPr>
        <w:t>.</w:t>
      </w:r>
      <w:r w:rsidR="008A74EB" w:rsidRPr="00993B55">
        <w:rPr>
          <w:rStyle w:val="libFootnoteBoldChar"/>
          <w:rtl/>
        </w:rPr>
        <w:t>الوافي</w:t>
      </w:r>
      <w:r w:rsidR="008A74EB" w:rsidRPr="00C9040A">
        <w:rPr>
          <w:rtl/>
        </w:rPr>
        <w:t xml:space="preserve"> ، ج 4 ، ص 436 ، ح 2278 ؛ </w:t>
      </w:r>
      <w:r w:rsidR="008A74EB" w:rsidRPr="00993B55">
        <w:rPr>
          <w:rStyle w:val="libFootnoteBoldChar"/>
          <w:rtl/>
        </w:rPr>
        <w:t>الوسائل</w:t>
      </w:r>
      <w:r w:rsidR="008A74EB" w:rsidRPr="00C9040A">
        <w:rPr>
          <w:rtl/>
        </w:rPr>
        <w:t xml:space="preserve"> ، ج 12 ، ص 169 ، ح 15982 ؛ </w:t>
      </w:r>
      <w:r w:rsidR="008A74EB" w:rsidRPr="00993B55">
        <w:rPr>
          <w:rStyle w:val="libFootnoteBoldChar"/>
          <w:rtl/>
        </w:rPr>
        <w:t>البحار</w:t>
      </w:r>
      <w:r w:rsidR="008A74EB" w:rsidRPr="00C9040A">
        <w:rPr>
          <w:rtl/>
        </w:rPr>
        <w:t xml:space="preserve"> ، ج 71 ، ص 331 ، ح 6.</w:t>
      </w:r>
    </w:p>
    <w:p w:rsidR="008A74EB" w:rsidRPr="00C9040A" w:rsidRDefault="006C577F" w:rsidP="004A4E41">
      <w:pPr>
        <w:pStyle w:val="libFootnote0"/>
        <w:rPr>
          <w:rtl/>
          <w:lang w:bidi="fa-IR"/>
        </w:rPr>
      </w:pPr>
      <w:r>
        <w:rPr>
          <w:rtl/>
        </w:rPr>
        <w:t>(3).</w:t>
      </w:r>
      <w:r w:rsidR="008A74EB" w:rsidRPr="00C9040A">
        <w:rPr>
          <w:rtl/>
        </w:rPr>
        <w:t xml:space="preserve"> « القَرْن » : الجانب الأعلى من الرأس. وجمعه : قرون. </w:t>
      </w:r>
      <w:r w:rsidR="008A74EB" w:rsidRPr="00993B55">
        <w:rPr>
          <w:rStyle w:val="libFootnoteBoldChar"/>
          <w:rtl/>
        </w:rPr>
        <w:t>القاموس المحيط</w:t>
      </w:r>
      <w:r w:rsidR="008A74EB" w:rsidRPr="00C9040A">
        <w:rPr>
          <w:rtl/>
        </w:rPr>
        <w:t xml:space="preserve"> ، ج 2 ، ص 1606 ( قرن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ف » : « قدميه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إشارة إلى الآية 70 من سورة الفرقان (25)</w:t>
      </w:r>
      <w:r w:rsidR="008A74EB" w:rsidRPr="002D2273">
        <w:rPr>
          <w:rFonts w:hint="cs"/>
          <w:rtl/>
        </w:rPr>
        <w:t xml:space="preserve"> </w:t>
      </w:r>
      <w:r w:rsidR="008A74EB" w:rsidRPr="00C9040A">
        <w:rPr>
          <w:rtl/>
        </w:rPr>
        <w:t xml:space="preserve">: </w:t>
      </w:r>
      <w:r w:rsidR="008A74EB" w:rsidRPr="00AC2E2F">
        <w:rPr>
          <w:rStyle w:val="libFootnoteAlaemChar"/>
          <w:rtl/>
        </w:rPr>
        <w:t>(</w:t>
      </w:r>
      <w:r w:rsidR="008A74EB" w:rsidRPr="00883DD5">
        <w:rPr>
          <w:rStyle w:val="libFootnoteAieChar"/>
          <w:rFonts w:hint="cs"/>
          <w:rtl/>
        </w:rPr>
        <w:t xml:space="preserve"> </w:t>
      </w:r>
      <w:r w:rsidR="0072093C">
        <w:rPr>
          <w:rStyle w:val="libFootnoteAieChar"/>
          <w:rtl/>
        </w:rPr>
        <w:t>إِل</w:t>
      </w:r>
      <w:r w:rsidR="0072093C">
        <w:rPr>
          <w:rStyle w:val="libFootnoteAieChar"/>
          <w:rFonts w:hint="cs"/>
          <w:rtl/>
        </w:rPr>
        <w:t>ّ</w:t>
      </w:r>
      <w:r w:rsidR="0072093C">
        <w:rPr>
          <w:rStyle w:val="libFootnoteAieChar"/>
          <w:rtl/>
        </w:rPr>
        <w:t>ا</w:t>
      </w:r>
      <w:r w:rsidR="008A74EB" w:rsidRPr="00883DD5">
        <w:rPr>
          <w:rStyle w:val="libFootnoteAieChar"/>
          <w:rtl/>
        </w:rPr>
        <w:t xml:space="preserve"> مَنْ تابَ وَ</w:t>
      </w:r>
      <w:r w:rsidR="0072093C">
        <w:rPr>
          <w:rStyle w:val="libFootnoteAieChar"/>
          <w:rFonts w:hint="cs"/>
          <w:rtl/>
        </w:rPr>
        <w:t xml:space="preserve"> ءَا</w:t>
      </w:r>
      <w:r w:rsidR="008A74EB" w:rsidRPr="00883DD5">
        <w:rPr>
          <w:rStyle w:val="libFootnoteAieChar"/>
          <w:rtl/>
        </w:rPr>
        <w:t>مَنَ وَعَمِلَ عَمَلاً صالِحاً فَأُوْل</w:t>
      </w:r>
      <w:r w:rsidR="0072093C">
        <w:rPr>
          <w:rStyle w:val="libFootnoteAieChar"/>
          <w:rFonts w:hint="cs"/>
          <w:rtl/>
        </w:rPr>
        <w:t>َ</w:t>
      </w:r>
      <w:r w:rsidR="008A74EB" w:rsidRPr="00883DD5">
        <w:rPr>
          <w:rStyle w:val="libFootnoteAieChar"/>
          <w:rtl/>
        </w:rPr>
        <w:t>ئِكَ يُبَدِّلُ اللهُ سَيِّئ</w:t>
      </w:r>
      <w:r w:rsidR="0072093C">
        <w:rPr>
          <w:rStyle w:val="libFootnoteAieChar"/>
          <w:rFonts w:hint="cs"/>
          <w:rtl/>
        </w:rPr>
        <w:t>َ</w:t>
      </w:r>
      <w:r w:rsidR="008A74EB" w:rsidRPr="00883DD5">
        <w:rPr>
          <w:rStyle w:val="libFootnoteAieChar"/>
          <w:rtl/>
        </w:rPr>
        <w:t>اتِهِمْ حَسَن</w:t>
      </w:r>
      <w:r w:rsidR="0072093C">
        <w:rPr>
          <w:rStyle w:val="libFootnoteAieChar"/>
          <w:rFonts w:hint="cs"/>
          <w:rtl/>
        </w:rPr>
        <w:t>َ</w:t>
      </w:r>
      <w:r w:rsidR="008A74EB" w:rsidRPr="00883DD5">
        <w:rPr>
          <w:rStyle w:val="libFootnoteAieChar"/>
          <w:rtl/>
        </w:rPr>
        <w:t>اتٍ وَك</w:t>
      </w:r>
      <w:r w:rsidR="0072093C">
        <w:rPr>
          <w:rStyle w:val="libFootnoteAieChar"/>
          <w:rFonts w:hint="cs"/>
          <w:rtl/>
        </w:rPr>
        <w:t>َ</w:t>
      </w:r>
      <w:r w:rsidR="0072093C">
        <w:rPr>
          <w:rStyle w:val="libFootnoteAieChar"/>
          <w:rtl/>
        </w:rPr>
        <w:t>انَ اللهُ غَفُوراً ر</w:t>
      </w:r>
      <w:r w:rsidR="0072093C">
        <w:rPr>
          <w:rStyle w:val="libFootnoteAieChar"/>
          <w:rFonts w:hint="cs"/>
          <w:rtl/>
        </w:rPr>
        <w:t>َّ</w:t>
      </w:r>
      <w:r w:rsidR="008A74EB" w:rsidRPr="00883DD5">
        <w:rPr>
          <w:rStyle w:val="libFootnoteAieChar"/>
          <w:rtl/>
        </w:rPr>
        <w:t>حِيماً</w:t>
      </w:r>
      <w:r w:rsidR="008A74EB" w:rsidRPr="00883DD5">
        <w:rPr>
          <w:rStyle w:val="libFootnoteAieChar"/>
          <w:rFonts w:hint="cs"/>
          <w:rtl/>
        </w:rPr>
        <w:t xml:space="preserve"> </w:t>
      </w:r>
      <w:r w:rsidR="008A74EB" w:rsidRPr="00AC2E2F">
        <w:rPr>
          <w:rStyle w:val="libFootnoteAlaemChar"/>
          <w:rtl/>
        </w:rPr>
        <w:t>)</w:t>
      </w:r>
      <w:r w:rsidR="008A74EB" w:rsidRPr="00C9040A">
        <w:rPr>
          <w:rtl/>
        </w:rPr>
        <w:t>.</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الكافي</w:t>
      </w:r>
      <w:r w:rsidR="008A74EB" w:rsidRPr="00C9040A">
        <w:rPr>
          <w:rtl/>
        </w:rPr>
        <w:t xml:space="preserve"> ، كتاب الإيمان والكفر ، باب المكارم ، ح 1565 ؛ و</w:t>
      </w:r>
      <w:r w:rsidR="008A74EB" w:rsidRPr="00993B55">
        <w:rPr>
          <w:rStyle w:val="libFootnoteBoldChar"/>
          <w:rtl/>
        </w:rPr>
        <w:t>الزهد</w:t>
      </w:r>
      <w:r w:rsidR="008A74EB" w:rsidRPr="00C9040A">
        <w:rPr>
          <w:rtl/>
        </w:rPr>
        <w:t xml:space="preserve"> ، ص 88 ، ح 61 ، بسند آخر ، من دون التصريح باسم المعصوم </w:t>
      </w:r>
      <w:r w:rsidR="00117575" w:rsidRPr="00117575">
        <w:rPr>
          <w:rStyle w:val="libFootnoteAlaemChar"/>
          <w:rtl/>
        </w:rPr>
        <w:t xml:space="preserve">عليه‌السلام </w:t>
      </w:r>
      <w:r w:rsidR="008A74EB" w:rsidRPr="00C9040A">
        <w:rPr>
          <w:rtl/>
        </w:rPr>
        <w:t xml:space="preserve"> ، وفي </w:t>
      </w:r>
      <w:r w:rsidR="008A74EB" w:rsidRPr="00993B55">
        <w:rPr>
          <w:rStyle w:val="libFootnoteBoldChar"/>
          <w:rtl/>
        </w:rPr>
        <w:t>الكافي</w:t>
      </w:r>
      <w:r w:rsidR="008A74EB" w:rsidRPr="00C9040A">
        <w:rPr>
          <w:rtl/>
        </w:rPr>
        <w:t xml:space="preserve"> ، نفس الكتاب ، باب حسن الخلق ، ح 1747 ؛ و</w:t>
      </w:r>
      <w:r w:rsidR="008A74EB" w:rsidRPr="00993B55">
        <w:rPr>
          <w:rStyle w:val="libFootnoteBoldChar"/>
          <w:rtl/>
        </w:rPr>
        <w:t>التهذيب</w:t>
      </w:r>
      <w:r w:rsidR="008A74EB" w:rsidRPr="00C9040A">
        <w:rPr>
          <w:rtl/>
        </w:rPr>
        <w:t xml:space="preserve"> ، ج 6 ، ص 350 ، ح 990 ؛ </w:t>
      </w:r>
      <w:r w:rsidR="008A74EB" w:rsidRPr="00AC2E2F">
        <w:rPr>
          <w:rStyle w:val="libFootnoteBoldChar"/>
          <w:rtl/>
        </w:rPr>
        <w:t>والأمالي للطوسي</w:t>
      </w:r>
      <w:r w:rsidR="008A74EB" w:rsidRPr="00C9040A">
        <w:rPr>
          <w:rtl/>
        </w:rPr>
        <w:t xml:space="preserve"> ، ص 44 ، المجلس 2 ، ح 20 ، بسند آخر عن أبي عبد الله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 xml:space="preserve">تحف </w:t>
      </w:r>
      <w:r w:rsidR="0072093C" w:rsidRPr="00C53C02">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Heading2Center"/>
        <w:rPr>
          <w:rtl/>
          <w:lang w:bidi="fa-IR"/>
        </w:rPr>
      </w:pPr>
      <w:bookmarkStart w:id="169" w:name="_Toc343795644"/>
      <w:bookmarkStart w:id="170" w:name="_Toc459810768"/>
      <w:bookmarkStart w:id="171" w:name="_Toc35348674"/>
      <w:r w:rsidRPr="00C9040A">
        <w:rPr>
          <w:rtl/>
          <w:lang w:bidi="fa-IR"/>
        </w:rPr>
        <w:t>53</w:t>
      </w:r>
      <w:r>
        <w:rPr>
          <w:rtl/>
          <w:lang w:bidi="fa-IR"/>
        </w:rPr>
        <w:t xml:space="preserve"> </w:t>
      </w:r>
      <w:r w:rsidR="0084262C">
        <w:rPr>
          <w:rtl/>
          <w:lang w:bidi="fa-IR"/>
        </w:rPr>
        <w:t>-</w:t>
      </w:r>
      <w:r>
        <w:rPr>
          <w:rtl/>
          <w:lang w:bidi="fa-IR"/>
        </w:rPr>
        <w:t xml:space="preserve"> </w:t>
      </w:r>
      <w:r w:rsidRPr="00C9040A">
        <w:rPr>
          <w:rtl/>
          <w:lang w:bidi="fa-IR"/>
        </w:rPr>
        <w:t>بَابُ الْعَفْوِ‌</w:t>
      </w:r>
      <w:bookmarkEnd w:id="169"/>
      <w:bookmarkEnd w:id="170"/>
      <w:bookmarkEnd w:id="171"/>
    </w:p>
    <w:p w:rsidR="008A74EB" w:rsidRPr="00C9040A" w:rsidRDefault="008A74EB" w:rsidP="008A74EB">
      <w:pPr>
        <w:pStyle w:val="libNormal"/>
        <w:rPr>
          <w:rtl/>
          <w:lang w:bidi="fa-IR"/>
        </w:rPr>
      </w:pPr>
      <w:r w:rsidRPr="00EF66ED">
        <w:rPr>
          <w:rtl/>
        </w:rPr>
        <w:t>1788</w:t>
      </w:r>
      <w:r w:rsidRPr="00261CB0">
        <w:rPr>
          <w:rStyle w:val="libBold2Char"/>
          <w:rtl/>
        </w:rPr>
        <w:t xml:space="preserve"> / 1.</w:t>
      </w:r>
      <w:r w:rsidRPr="00C9040A">
        <w:rPr>
          <w:rtl/>
          <w:lang w:bidi="fa-IR"/>
        </w:rPr>
        <w:t xml:space="preserve"> عَلِيُّ بْنُ إِبْرَاهِيمَ ، عَنْ أَبِيهِ ، عَنِ ابْنِ أَبِي عُمَيْرٍ ، عَنْ عَبْدِ اللهِ بْنِ سِنَانٍ :</w:t>
      </w:r>
    </w:p>
    <w:p w:rsidR="008A74EB" w:rsidRPr="00C9040A" w:rsidRDefault="008A74EB" w:rsidP="002A4758">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فِي خُطْبَتِهِ </w:t>
      </w:r>
      <w:r w:rsidR="006C577F" w:rsidRPr="006C577F">
        <w:rPr>
          <w:rStyle w:val="libFootnotenumChar"/>
          <w:rtl/>
        </w:rPr>
        <w:t>(1)</w:t>
      </w:r>
      <w:r>
        <w:rPr>
          <w:rtl/>
          <w:lang w:bidi="fa-IR"/>
        </w:rPr>
        <w:t xml:space="preserve"> : أَ</w:t>
      </w:r>
      <w:r w:rsidRPr="00C9040A">
        <w:rPr>
          <w:rtl/>
          <w:lang w:bidi="fa-IR"/>
        </w:rPr>
        <w:t>لَا</w:t>
      </w:r>
      <w:r>
        <w:rPr>
          <w:rFonts w:hint="cs"/>
          <w:rtl/>
          <w:lang w:bidi="fa-IR"/>
        </w:rPr>
        <w:t xml:space="preserve"> </w:t>
      </w:r>
      <w:r w:rsidRPr="00C9040A">
        <w:rPr>
          <w:rtl/>
          <w:lang w:bidi="fa-IR"/>
        </w:rPr>
        <w:t xml:space="preserve">أُخْبِرُكُمْ بِخَيْرِ خَلَائِقِ </w:t>
      </w:r>
      <w:r w:rsidR="006C577F" w:rsidRPr="006C577F">
        <w:rPr>
          <w:rStyle w:val="libFootnotenumChar"/>
          <w:rtl/>
        </w:rPr>
        <w:t>(2)</w:t>
      </w:r>
      <w:r w:rsidRPr="00C9040A">
        <w:rPr>
          <w:rtl/>
          <w:lang w:bidi="fa-IR"/>
        </w:rPr>
        <w:t xml:space="preserve"> الدُّنْيَا وَالْآخِرَةِ</w:t>
      </w:r>
      <w:r>
        <w:rPr>
          <w:rtl/>
          <w:lang w:bidi="fa-IR"/>
        </w:rPr>
        <w:t>؟</w:t>
      </w:r>
      <w:r w:rsidRPr="00C9040A">
        <w:rPr>
          <w:rtl/>
          <w:lang w:bidi="fa-IR"/>
        </w:rPr>
        <w:t xml:space="preserve"> : الْعَفْوُ عَمَّنْ ظَلَمَكَ ، وَتَصِلُ </w:t>
      </w:r>
      <w:r w:rsidR="006C577F" w:rsidRPr="006C577F">
        <w:rPr>
          <w:rStyle w:val="libFootnotenumChar"/>
          <w:rtl/>
        </w:rPr>
        <w:t>(3)</w:t>
      </w:r>
      <w:r w:rsidRPr="00C9040A">
        <w:rPr>
          <w:rtl/>
          <w:lang w:bidi="fa-IR"/>
        </w:rPr>
        <w:t xml:space="preserve"> مَنْ قَطَعَكَ ، وَالْإِحْسَانُ إِلى مَنْ أَسَاءَ إِلَيْكَ ، وَإِعْطَاءُ مَنْ حَرَمَكَ »</w:t>
      </w:r>
      <w:r>
        <w:rPr>
          <w:rtl/>
          <w:lang w:bidi="fa-IR"/>
        </w:rPr>
        <w:t>.</w:t>
      </w:r>
      <w:r w:rsidRPr="00C9040A">
        <w:rPr>
          <w:rtl/>
          <w:lang w:bidi="fa-IR"/>
        </w:rPr>
        <w:t xml:space="preserve"> </w:t>
      </w:r>
      <w:r w:rsidR="006C577F" w:rsidRPr="006C577F">
        <w:rPr>
          <w:rStyle w:val="libFootnotenumChar"/>
          <w:rtl/>
        </w:rPr>
        <w:t>(4)</w:t>
      </w:r>
    </w:p>
    <w:p w:rsidR="008A74EB" w:rsidRPr="00C9040A" w:rsidRDefault="008A74EB" w:rsidP="008A74EB">
      <w:pPr>
        <w:pStyle w:val="libNormal"/>
        <w:rPr>
          <w:rtl/>
          <w:lang w:bidi="fa-IR"/>
        </w:rPr>
      </w:pPr>
      <w:r w:rsidRPr="00EF66ED">
        <w:rPr>
          <w:rtl/>
        </w:rPr>
        <w:t>1789</w:t>
      </w:r>
      <w:r w:rsidRPr="00261CB0">
        <w:rPr>
          <w:rStyle w:val="libBold2Char"/>
          <w:rtl/>
        </w:rPr>
        <w:t xml:space="preserve"> / 2.</w:t>
      </w:r>
      <w:r w:rsidRPr="00C9040A">
        <w:rPr>
          <w:rtl/>
          <w:lang w:bidi="fa-IR"/>
        </w:rPr>
        <w:t xml:space="preserve"> عِدَّةٌ مِنْ أَصْحَابِنَا ، عَنْ سَهْلِ بْنِ زِيَادٍ ، عَنْ مُحَمَّدِ بْنِ عَبْدِ الْحَمِيدِ ، عَنْ يُونُسَ بْنِ يَعْقُوبَ ، عَنْ غُرَّةَ </w:t>
      </w:r>
      <w:r w:rsidR="006C577F" w:rsidRPr="006C577F">
        <w:rPr>
          <w:rStyle w:val="libFootnotenumChar"/>
          <w:rtl/>
        </w:rPr>
        <w:t>(5)</w:t>
      </w:r>
      <w:r w:rsidRPr="00C9040A">
        <w:rPr>
          <w:rtl/>
          <w:lang w:bidi="fa-IR"/>
        </w:rPr>
        <w:t xml:space="preserve"> بْنِ دِينَارٍ الرَّقِّيِّ ، عَنْ أَبِي إِسْحَاقَ السَّبِيعِيِّ رَفَعَهُ ، قَالَ :</w:t>
      </w:r>
    </w:p>
    <w:p w:rsidR="008A74EB" w:rsidRPr="00C9040A" w:rsidRDefault="008A74EB" w:rsidP="008A74EB">
      <w:pPr>
        <w:pStyle w:val="libNormal"/>
        <w:rPr>
          <w:rtl/>
          <w:lang w:bidi="fa-IR"/>
        </w:rPr>
      </w:pPr>
      <w:r w:rsidRPr="00C9040A">
        <w:rPr>
          <w:rtl/>
          <w:lang w:bidi="fa-IR"/>
        </w:rPr>
        <w:t xml:space="preserve">قَالَ رَسُولُ اللهِ </w:t>
      </w:r>
      <w:r w:rsidR="004A4E41" w:rsidRPr="004A4E41">
        <w:rPr>
          <w:rStyle w:val="libAlaemChar"/>
          <w:rtl/>
        </w:rPr>
        <w:t>صلى‌الله‌عليه‌وآله</w:t>
      </w:r>
      <w:r w:rsidRPr="00C9040A">
        <w:rPr>
          <w:rtl/>
          <w:lang w:bidi="fa-IR"/>
        </w:rPr>
        <w:t xml:space="preserve"> : « أ</w:t>
      </w:r>
      <w:r>
        <w:rPr>
          <w:rtl/>
          <w:lang w:bidi="fa-IR"/>
        </w:rPr>
        <w:t>َ</w:t>
      </w:r>
      <w:r w:rsidRPr="00C9040A">
        <w:rPr>
          <w:rtl/>
          <w:lang w:bidi="fa-IR"/>
        </w:rPr>
        <w:t>لَا أَدُلُّكُمْ عَلى خَيْرِ أَخْلَاقِ الدُّنْيَا وَالْآخِرَةِ</w:t>
      </w:r>
      <w:r>
        <w:rPr>
          <w:rtl/>
          <w:lang w:bidi="fa-IR"/>
        </w:rPr>
        <w:t>؟</w:t>
      </w:r>
      <w:r w:rsidRPr="00C9040A">
        <w:rPr>
          <w:rtl/>
          <w:lang w:bidi="fa-IR"/>
        </w:rPr>
        <w:t xml:space="preserve"> : تَصِلُ مَنْ قَطَعَكَ ، وَتُعْطِي مَنْ حَرَمَكَ ، وَتَعْفُو عَمَّنْ ظَلَمَكَ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Line"/>
        <w:rPr>
          <w:rtl/>
          <w:lang w:bidi="fa-IR"/>
        </w:rPr>
      </w:pPr>
      <w:r w:rsidRPr="00C9040A">
        <w:rPr>
          <w:rtl/>
          <w:lang w:bidi="fa-IR"/>
        </w:rPr>
        <w:t>__________________</w:t>
      </w:r>
    </w:p>
    <w:p w:rsidR="008A74EB" w:rsidRPr="00C9040A" w:rsidRDefault="006B675F" w:rsidP="004A4E41">
      <w:pPr>
        <w:pStyle w:val="libFootnote0"/>
        <w:rPr>
          <w:rtl/>
          <w:lang w:bidi="fa-IR"/>
        </w:rPr>
      </w:pPr>
      <w:r w:rsidRPr="006B675F">
        <w:rPr>
          <w:rFonts w:hint="cs"/>
          <w:rtl/>
        </w:rPr>
        <w:t xml:space="preserve">= </w:t>
      </w:r>
      <w:r w:rsidR="008A74EB" w:rsidRPr="00993B55">
        <w:rPr>
          <w:rStyle w:val="libFootnoteBoldChar"/>
          <w:rtl/>
        </w:rPr>
        <w:t>العقول</w:t>
      </w:r>
      <w:r w:rsidR="008A74EB" w:rsidRPr="00C9040A">
        <w:rPr>
          <w:rtl/>
        </w:rPr>
        <w:t xml:space="preserve"> ، ص 369 ، عن أبي عبد الله </w:t>
      </w:r>
      <w:r w:rsidR="00117575" w:rsidRPr="00117575">
        <w:rPr>
          <w:rStyle w:val="libFootnoteAlaemChar"/>
          <w:rtl/>
        </w:rPr>
        <w:t>عليه‌السلام</w:t>
      </w:r>
      <w:r w:rsidR="008A74EB" w:rsidRPr="00C9040A">
        <w:rPr>
          <w:rtl/>
        </w:rPr>
        <w:t xml:space="preserve"> ، وفي كلّها مع اختلاف يسير. وورد مع اختلاف وزيادة في هذه المصادر : </w:t>
      </w:r>
      <w:r w:rsidR="008A74EB" w:rsidRPr="00993B55">
        <w:rPr>
          <w:rStyle w:val="libFootnoteBoldChar"/>
          <w:rtl/>
        </w:rPr>
        <w:t>المحاسن</w:t>
      </w:r>
      <w:r w:rsidR="008A74EB" w:rsidRPr="00C9040A">
        <w:rPr>
          <w:rtl/>
        </w:rPr>
        <w:t xml:space="preserve"> ، ص 8 ، كتاب القرائن ، ح 21 ؛ </w:t>
      </w:r>
      <w:r w:rsidR="008A74EB" w:rsidRPr="00993B55">
        <w:rPr>
          <w:rStyle w:val="libFootnoteBoldChar"/>
          <w:rtl/>
        </w:rPr>
        <w:t>الخصال</w:t>
      </w:r>
      <w:r w:rsidR="008A74EB" w:rsidRPr="00C9040A">
        <w:rPr>
          <w:rtl/>
        </w:rPr>
        <w:t xml:space="preserve"> ، ص 222 ، باب الأربعة ، ح 50 ؛ </w:t>
      </w:r>
      <w:r w:rsidR="008A74EB" w:rsidRPr="0034021D">
        <w:rPr>
          <w:rStyle w:val="libFootnoteBoldChar"/>
          <w:rtl/>
        </w:rPr>
        <w:t>الأمالي للمفيد</w:t>
      </w:r>
      <w:r w:rsidR="008A74EB" w:rsidRPr="00C9040A">
        <w:rPr>
          <w:rtl/>
        </w:rPr>
        <w:t xml:space="preserve"> ، ص 299 ، المجلس 35 ، ح 9 ؛ </w:t>
      </w:r>
      <w:r w:rsidR="008A74EB" w:rsidRPr="00993B55">
        <w:rPr>
          <w:rStyle w:val="libFootnoteBoldChar"/>
          <w:rtl/>
        </w:rPr>
        <w:t>الأمالي</w:t>
      </w:r>
      <w:r w:rsidR="008A74EB" w:rsidRPr="00C9040A">
        <w:rPr>
          <w:rtl/>
        </w:rPr>
        <w:t xml:space="preserve"> للطوسي ، ص 73 ، المجلس 3 ، ح 15 ، وفي كلّها بسند آخر عن أبي جعفر ، عن أبيه </w:t>
      </w:r>
      <w:r w:rsidR="00117575" w:rsidRPr="00117575">
        <w:rPr>
          <w:rStyle w:val="libFootnoteAlaemChar"/>
          <w:rtl/>
        </w:rPr>
        <w:t>عليهما‌السلام</w:t>
      </w:r>
      <w:r w:rsidR="008A74EB" w:rsidRPr="00C9040A">
        <w:rPr>
          <w:rtl/>
        </w:rPr>
        <w:t xml:space="preserve">. وفي </w:t>
      </w:r>
      <w:r w:rsidR="008A74EB" w:rsidRPr="0034021D">
        <w:rPr>
          <w:rStyle w:val="libFootnoteBoldChar"/>
          <w:rtl/>
        </w:rPr>
        <w:t>الأمالي للمفيد</w:t>
      </w:r>
      <w:r w:rsidR="008A74EB" w:rsidRPr="00C9040A">
        <w:rPr>
          <w:rtl/>
        </w:rPr>
        <w:t xml:space="preserve"> ، ص 166 ، المجلس 21 ، ح 1 ؛ </w:t>
      </w:r>
      <w:r w:rsidR="008A74EB" w:rsidRPr="00AC2E2F">
        <w:rPr>
          <w:rStyle w:val="libFootnoteBoldChar"/>
          <w:rtl/>
        </w:rPr>
        <w:t>والأمالي للطوسي</w:t>
      </w:r>
      <w:r w:rsidR="008A74EB" w:rsidRPr="00C9040A">
        <w:rPr>
          <w:rtl/>
        </w:rPr>
        <w:t xml:space="preserve"> ، ص 189 ، المجلس 7 ، ح 21 ، بسند آخر عن أبي جعفر </w:t>
      </w:r>
      <w:r w:rsidR="00117575" w:rsidRPr="00117575">
        <w:rPr>
          <w:rStyle w:val="libFootnoteAlaemChar"/>
          <w:rtl/>
        </w:rPr>
        <w:t xml:space="preserve">عليه‌السلام </w:t>
      </w:r>
      <w:r w:rsidR="0078207A">
        <w:rPr>
          <w:rFonts w:hint="cs"/>
          <w:rtl/>
        </w:rPr>
        <w:t>.</w:t>
      </w:r>
      <w:r w:rsidR="008A74EB" w:rsidRPr="00993B55">
        <w:rPr>
          <w:rStyle w:val="libFootnoteBoldChar"/>
          <w:rtl/>
        </w:rPr>
        <w:t>الوافي</w:t>
      </w:r>
      <w:r w:rsidR="008A74EB" w:rsidRPr="00C9040A">
        <w:rPr>
          <w:rtl/>
        </w:rPr>
        <w:t xml:space="preserve"> ، ج 4 ، ص 265 ، ح 1913 ؛ </w:t>
      </w:r>
      <w:r w:rsidR="008A74EB" w:rsidRPr="00993B55">
        <w:rPr>
          <w:rStyle w:val="libFootnoteBoldChar"/>
          <w:rtl/>
        </w:rPr>
        <w:t>الوسائل</w:t>
      </w:r>
      <w:r w:rsidR="008A74EB" w:rsidRPr="00C9040A">
        <w:rPr>
          <w:rtl/>
        </w:rPr>
        <w:t xml:space="preserve"> ، ج 12 ، ص 167 ، ح 15973.</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الوافي والزهد : « خطبة »</w:t>
      </w:r>
      <w:r w:rsidR="008A74EB">
        <w:rPr>
          <w:rtl/>
        </w:rPr>
        <w:t>.</w:t>
      </w:r>
      <w:r w:rsidR="008A74EB" w:rsidRPr="00C9040A">
        <w:rPr>
          <w:rtl/>
        </w:rPr>
        <w:t xml:space="preserve"> وفي الوسائل : « خطبه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ص ، ف » وحاشية « ض ، بر ، بس » والوافي : « أخلاق »</w:t>
      </w:r>
      <w:r w:rsidR="008A74EB">
        <w:rPr>
          <w:rtl/>
        </w:rPr>
        <w:t>.</w:t>
      </w:r>
      <w:r w:rsidR="008A74EB" w:rsidRPr="00C9040A">
        <w:rPr>
          <w:rtl/>
        </w:rPr>
        <w:t xml:space="preserve"> </w:t>
      </w:r>
      <w:r w:rsidR="008A74EB">
        <w:rPr>
          <w:rtl/>
        </w:rPr>
        <w:t>و «</w:t>
      </w:r>
      <w:r w:rsidR="008A74EB" w:rsidRPr="00C9040A">
        <w:rPr>
          <w:rtl/>
        </w:rPr>
        <w:t xml:space="preserve"> الخلائق » جمع الخليقة ، وهي الطبيعة. والمرادهنا الملكات النفسانيّة الراسخة. </w:t>
      </w:r>
      <w:r w:rsidR="008A74EB" w:rsidRPr="00993B55">
        <w:rPr>
          <w:rStyle w:val="libFootnoteBoldChar"/>
          <w:rtl/>
        </w:rPr>
        <w:t>مرآة العقول</w:t>
      </w:r>
      <w:r w:rsidR="008A74EB" w:rsidRPr="00C9040A">
        <w:rPr>
          <w:rtl/>
        </w:rPr>
        <w:t xml:space="preserve"> ، ج 8 ، ص 192.</w:t>
      </w:r>
    </w:p>
    <w:p w:rsidR="008A74EB" w:rsidRPr="00C9040A" w:rsidRDefault="006C577F" w:rsidP="004A4E41">
      <w:pPr>
        <w:pStyle w:val="libFootnote0"/>
        <w:rPr>
          <w:rtl/>
          <w:lang w:bidi="fa-IR"/>
        </w:rPr>
      </w:pPr>
      <w:r>
        <w:rPr>
          <w:rtl/>
        </w:rPr>
        <w:t>(3).</w:t>
      </w:r>
      <w:r w:rsidR="008A74EB" w:rsidRPr="00C9040A">
        <w:rPr>
          <w:rtl/>
        </w:rPr>
        <w:t xml:space="preserve"> في « ف » : « والصلة »</w:t>
      </w:r>
      <w:r w:rsidR="008A74EB">
        <w:rPr>
          <w:rtl/>
        </w:rPr>
        <w:t>.</w:t>
      </w:r>
      <w:r w:rsidR="008A74EB" w:rsidRPr="00C9040A">
        <w:rPr>
          <w:rtl/>
        </w:rPr>
        <w:t xml:space="preserve"> وفي الأمالي : « وأن تصل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w:t>
      </w:r>
      <w:r w:rsidR="008A74EB" w:rsidRPr="0034021D">
        <w:rPr>
          <w:rStyle w:val="libFootnoteBoldChar"/>
          <w:rtl/>
        </w:rPr>
        <w:t>الأمالي للمفيد</w:t>
      </w:r>
      <w:r w:rsidR="008A74EB" w:rsidRPr="00C9040A">
        <w:rPr>
          <w:rtl/>
        </w:rPr>
        <w:t xml:space="preserve"> ، ص 180 ، المجلس 23 ، ح 2 ، بسنده عن ابن أبي عمير ، عن النضر بن سويد ، عن ابن سنان ؛ </w:t>
      </w:r>
      <w:r w:rsidR="008A74EB" w:rsidRPr="00993B55">
        <w:rPr>
          <w:rStyle w:val="libFootnoteBoldChar"/>
          <w:rtl/>
        </w:rPr>
        <w:t>الزهد</w:t>
      </w:r>
      <w:r w:rsidR="008A74EB" w:rsidRPr="00C9040A">
        <w:rPr>
          <w:rtl/>
        </w:rPr>
        <w:t xml:space="preserve"> ، ص 75 ، ح 30 ، عن محمّد بن أبي عمير ، عن أبي سيّار ، عن أبي عبدالله </w:t>
      </w:r>
      <w:r w:rsidR="00117575" w:rsidRPr="00117575">
        <w:rPr>
          <w:rStyle w:val="libFootnoteAlaemChar"/>
          <w:rtl/>
        </w:rPr>
        <w:t>عليه‌السلام</w:t>
      </w:r>
      <w:r w:rsidR="008A74EB" w:rsidRPr="00C9040A">
        <w:rPr>
          <w:rtl/>
        </w:rPr>
        <w:t xml:space="preserve"> ، مع زيادة في آخره</w:t>
      </w:r>
      <w:r w:rsidR="0078207A">
        <w:rPr>
          <w:rFonts w:hint="cs"/>
          <w:rtl/>
        </w:rPr>
        <w:t>.</w:t>
      </w:r>
      <w:r w:rsidR="008A74EB" w:rsidRPr="00993B55">
        <w:rPr>
          <w:rStyle w:val="libFootnoteBoldChar"/>
          <w:rtl/>
        </w:rPr>
        <w:t>الوافي</w:t>
      </w:r>
      <w:r w:rsidR="008A74EB" w:rsidRPr="00C9040A">
        <w:rPr>
          <w:rtl/>
        </w:rPr>
        <w:t xml:space="preserve"> ، ج 4 ، ص 437 ، ح 2280 ؛ </w:t>
      </w:r>
      <w:r w:rsidR="008A74EB" w:rsidRPr="00993B55">
        <w:rPr>
          <w:rStyle w:val="libFootnoteBoldChar"/>
          <w:rtl/>
        </w:rPr>
        <w:t>الوسائل</w:t>
      </w:r>
      <w:r w:rsidR="008A74EB" w:rsidRPr="00C9040A">
        <w:rPr>
          <w:rtl/>
        </w:rPr>
        <w:t xml:space="preserve"> ، ج 12 ، ص 172 ، ح 15993 ؛ </w:t>
      </w:r>
      <w:r w:rsidR="008A74EB" w:rsidRPr="00993B55">
        <w:rPr>
          <w:rStyle w:val="libFootnoteBoldChar"/>
          <w:rtl/>
        </w:rPr>
        <w:t>البحار</w:t>
      </w:r>
      <w:r w:rsidR="008A74EB" w:rsidRPr="00C9040A">
        <w:rPr>
          <w:rtl/>
        </w:rPr>
        <w:t xml:space="preserve"> ، ج 71 ، ص 399 ، ح 1.</w:t>
      </w:r>
    </w:p>
    <w:p w:rsidR="008A74EB" w:rsidRPr="00C9040A" w:rsidRDefault="006C577F" w:rsidP="004A4E41">
      <w:pPr>
        <w:pStyle w:val="libFootnote0"/>
        <w:rPr>
          <w:rtl/>
          <w:lang w:bidi="fa-IR"/>
        </w:rPr>
      </w:pPr>
      <w:r>
        <w:rPr>
          <w:rtl/>
        </w:rPr>
        <w:t>(5).</w:t>
      </w:r>
      <w:r w:rsidR="008A74EB" w:rsidRPr="00C9040A">
        <w:rPr>
          <w:rtl/>
        </w:rPr>
        <w:t xml:space="preserve"> في « ز ، ص » : « عزّة »</w:t>
      </w:r>
      <w:r w:rsidR="008A74EB">
        <w:rPr>
          <w:rtl/>
        </w:rPr>
        <w:t>.</w:t>
      </w:r>
      <w:r w:rsidR="008A74EB" w:rsidRPr="00C9040A">
        <w:rPr>
          <w:rtl/>
        </w:rPr>
        <w:t xml:space="preserve"> وفي « بس ، بف » : « عزة »</w:t>
      </w:r>
      <w:r w:rsidR="008A74EB">
        <w:rPr>
          <w:rtl/>
        </w:rPr>
        <w:t>.</w:t>
      </w:r>
      <w:r w:rsidR="008A74EB" w:rsidRPr="00C9040A">
        <w:rPr>
          <w:rtl/>
        </w:rPr>
        <w:t xml:space="preserve"> وفي البحار : « ضمرة »</w:t>
      </w:r>
      <w:r w:rsidR="008A74EB">
        <w:rPr>
          <w:rtl/>
        </w:rPr>
        <w:t>.</w:t>
      </w:r>
      <w:r w:rsidR="008A74EB" w:rsidRPr="00C9040A">
        <w:rPr>
          <w:rtl/>
        </w:rPr>
        <w:t xml:space="preserve"> ويحتمل كون الصواب : « عزرة »</w:t>
      </w:r>
      <w:r w:rsidR="008A74EB">
        <w:rPr>
          <w:rtl/>
        </w:rPr>
        <w:t>.</w:t>
      </w:r>
      <w:r w:rsidR="008A74EB" w:rsidRPr="00C9040A">
        <w:rPr>
          <w:rtl/>
        </w:rPr>
        <w:t xml:space="preserve"> راجع : </w:t>
      </w:r>
      <w:r w:rsidR="008A74EB" w:rsidRPr="00993B55">
        <w:rPr>
          <w:rStyle w:val="libFootnoteBoldChar"/>
          <w:rtl/>
        </w:rPr>
        <w:t>الإكمال</w:t>
      </w:r>
      <w:r w:rsidR="008A74EB" w:rsidRPr="00C9040A">
        <w:rPr>
          <w:rtl/>
        </w:rPr>
        <w:t xml:space="preserve"> لابن ماكولا ، ج 6 ، ص 201 ؛ </w:t>
      </w:r>
      <w:r w:rsidR="008A74EB" w:rsidRPr="00993B55">
        <w:rPr>
          <w:rStyle w:val="libFootnoteBoldChar"/>
          <w:rtl/>
        </w:rPr>
        <w:t>الثقات</w:t>
      </w:r>
      <w:r w:rsidR="008A74EB" w:rsidRPr="00C9040A">
        <w:rPr>
          <w:rtl/>
        </w:rPr>
        <w:t xml:space="preserve"> لابن حبّان ، ج 7 ، ص 300.</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الزهد</w:t>
      </w:r>
      <w:r w:rsidR="008A74EB" w:rsidRPr="00C9040A">
        <w:rPr>
          <w:rtl/>
        </w:rPr>
        <w:t xml:space="preserve"> ، ص 105 ، ح 107 ، عن ابن أبي البلاد ، عن أبيه رفعه ، مع اختلاف يسير وزيادة في آخره. </w:t>
      </w:r>
      <w:r w:rsidR="00A30B6B">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EF66ED">
        <w:rPr>
          <w:rtl/>
        </w:rPr>
        <w:t>1790</w:t>
      </w:r>
      <w:r w:rsidRPr="00261CB0">
        <w:rPr>
          <w:rStyle w:val="libBold2Char"/>
          <w:rtl/>
        </w:rPr>
        <w:t xml:space="preserve"> / 3.</w:t>
      </w:r>
      <w:r w:rsidRPr="00C9040A">
        <w:rPr>
          <w:rtl/>
          <w:lang w:bidi="fa-IR"/>
        </w:rPr>
        <w:t xml:space="preserve"> عَلِيُّ بْنُ إِبْرَاهِيمَ ، عَنْ مُحَمَّدِ بْنِ عِيسَى بْنِ عُبَيْدٍ ، عَنْ يُونُسَ بْنِ عَبْدِ الرَّحْمنِ ، عَنْ أَبِي عَبْدِ اللهِ نُسَيْبٍ </w:t>
      </w:r>
      <w:r w:rsidR="006C577F" w:rsidRPr="006C577F">
        <w:rPr>
          <w:rStyle w:val="libFootnotenumChar"/>
          <w:rtl/>
        </w:rPr>
        <w:t>(1)</w:t>
      </w:r>
      <w:r w:rsidRPr="00C9040A">
        <w:rPr>
          <w:rtl/>
          <w:lang w:bidi="fa-IR"/>
        </w:rPr>
        <w:t xml:space="preserve"> اللَّفَائِفِيِّ ، عَنْ حُمْرَانَ بْنِ أَعْيَنَ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ثَلَاثٌ مِنْ مَكَارِمِ </w:t>
      </w:r>
      <w:r w:rsidR="006C577F" w:rsidRPr="006C577F">
        <w:rPr>
          <w:rStyle w:val="libFootnotenumChar"/>
          <w:rtl/>
        </w:rPr>
        <w:t>(2)</w:t>
      </w:r>
      <w:r w:rsidRPr="00C9040A">
        <w:rPr>
          <w:rtl/>
          <w:lang w:bidi="fa-IR"/>
        </w:rPr>
        <w:t xml:space="preserve"> الدُّنْيَا وَالْآخِرَةِ : تَعْفُو </w:t>
      </w:r>
      <w:r w:rsidR="006C577F" w:rsidRPr="006C577F">
        <w:rPr>
          <w:rStyle w:val="libFootnotenumChar"/>
          <w:rtl/>
        </w:rPr>
        <w:t>(3)</w:t>
      </w:r>
      <w:r w:rsidRPr="00C9040A">
        <w:rPr>
          <w:rtl/>
          <w:lang w:bidi="fa-IR"/>
        </w:rPr>
        <w:t xml:space="preserve"> عَمَّنْ ظَلَمَكَ ، وَتَصِلُ مَنْ قَطَعَكَ ، وَتَحْلُمُ </w:t>
      </w:r>
      <w:r w:rsidR="006C577F" w:rsidRPr="006C577F">
        <w:rPr>
          <w:rStyle w:val="libFootnotenumChar"/>
          <w:rtl/>
        </w:rPr>
        <w:t>(4)</w:t>
      </w:r>
      <w:r w:rsidRPr="00C9040A">
        <w:rPr>
          <w:rtl/>
          <w:lang w:bidi="fa-IR"/>
        </w:rPr>
        <w:t xml:space="preserve"> إِذَا </w:t>
      </w:r>
      <w:r w:rsidR="006C577F" w:rsidRPr="006C577F">
        <w:rPr>
          <w:rStyle w:val="libFootnotenumChar"/>
          <w:rtl/>
        </w:rPr>
        <w:t>(5)</w:t>
      </w:r>
      <w:r w:rsidRPr="00C9040A">
        <w:rPr>
          <w:rtl/>
          <w:lang w:bidi="fa-IR"/>
        </w:rPr>
        <w:t xml:space="preserve"> جُهِلَ عَلَيْكَ </w:t>
      </w:r>
      <w:r w:rsidR="006C577F" w:rsidRPr="006C577F">
        <w:rPr>
          <w:rStyle w:val="libFootnotenumChar"/>
          <w:rtl/>
        </w:rPr>
        <w:t>(6)</w:t>
      </w:r>
      <w:r w:rsidRPr="005B567D">
        <w:rPr>
          <w:rStyle w:val="libFootnotenumChar"/>
          <w:rtl/>
        </w:rPr>
        <w:t xml:space="preserve"> </w:t>
      </w:r>
      <w:r w:rsidRPr="00C9040A">
        <w:rPr>
          <w:rtl/>
          <w:lang w:bidi="fa-IR"/>
        </w:rPr>
        <w:t>»</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63099B" w:rsidRDefault="008A74EB" w:rsidP="0063099B">
      <w:pPr>
        <w:pStyle w:val="libNormal"/>
        <w:rPr>
          <w:rtl/>
          <w:lang w:bidi="fa-IR"/>
        </w:rPr>
      </w:pPr>
      <w:r w:rsidRPr="00EF66ED">
        <w:rPr>
          <w:rtl/>
        </w:rPr>
        <w:t>1791</w:t>
      </w:r>
      <w:r w:rsidRPr="00261CB0">
        <w:rPr>
          <w:rStyle w:val="libBold2Char"/>
          <w:rtl/>
        </w:rPr>
        <w:t xml:space="preserve"> / 4.</w:t>
      </w:r>
      <w:r w:rsidRPr="00C9040A">
        <w:rPr>
          <w:rtl/>
          <w:lang w:bidi="fa-IR"/>
        </w:rPr>
        <w:t xml:space="preserve"> عَلِيٌّ ، عَنْ أَبِيهِ ؛</w:t>
      </w:r>
    </w:p>
    <w:p w:rsidR="008A74EB" w:rsidRPr="00C9040A" w:rsidRDefault="008A74EB" w:rsidP="0063099B">
      <w:pPr>
        <w:pStyle w:val="libNormal"/>
        <w:rPr>
          <w:rtl/>
          <w:lang w:bidi="fa-IR"/>
        </w:rPr>
      </w:pPr>
      <w:r w:rsidRPr="00C9040A">
        <w:rPr>
          <w:rtl/>
          <w:lang w:bidi="fa-IR"/>
        </w:rPr>
        <w:t>وَمُحَمَّدُ بْنُ إِسْمَاعِيلَ ، عَنِ الْفَضْلِ بْنِ شَاذَانَ جَمِيعاً ، عَنِ ابْنِ أَبِي عُمَيْرٍ ، عَنْ إِبْرَاهِيمَ بْنِ عَبْدِ الْحَمِيدِ ، عَنْ أَبِي حَمْزَةَ الثُّمَالِيِّ :</w:t>
      </w:r>
    </w:p>
    <w:p w:rsidR="008A74EB" w:rsidRPr="00C9040A" w:rsidRDefault="008A74EB" w:rsidP="008A74EB">
      <w:pPr>
        <w:pStyle w:val="libLine"/>
        <w:rPr>
          <w:rtl/>
          <w:lang w:bidi="fa-IR"/>
        </w:rPr>
      </w:pPr>
      <w:r w:rsidRPr="00C9040A">
        <w:rPr>
          <w:rtl/>
          <w:lang w:bidi="fa-IR"/>
        </w:rPr>
        <w:t>__________________</w:t>
      </w:r>
    </w:p>
    <w:p w:rsidR="008A74EB" w:rsidRPr="00C9040A" w:rsidRDefault="0063099B" w:rsidP="004A4E41">
      <w:pPr>
        <w:pStyle w:val="libFootnote0"/>
        <w:rPr>
          <w:rtl/>
          <w:lang w:bidi="fa-IR"/>
        </w:rPr>
      </w:pPr>
      <w:r w:rsidRPr="0063099B">
        <w:rPr>
          <w:rFonts w:hint="cs"/>
          <w:rtl/>
        </w:rPr>
        <w:t xml:space="preserve">= </w:t>
      </w:r>
      <w:r w:rsidR="008A74EB" w:rsidRPr="00993B55">
        <w:rPr>
          <w:rStyle w:val="libFootnoteBoldChar"/>
          <w:rtl/>
        </w:rPr>
        <w:t>تحف العقول</w:t>
      </w:r>
      <w:r w:rsidR="008A74EB" w:rsidRPr="00C9040A">
        <w:rPr>
          <w:rtl/>
        </w:rPr>
        <w:t xml:space="preserve"> ، ص 45</w:t>
      </w:r>
      <w:r w:rsidR="00192CD8">
        <w:rPr>
          <w:rFonts w:hint="cs"/>
          <w:rtl/>
        </w:rPr>
        <w:t>.</w:t>
      </w:r>
      <w:r w:rsidR="008A74EB" w:rsidRPr="00993B55">
        <w:rPr>
          <w:rStyle w:val="libFootnoteBoldChar"/>
          <w:rtl/>
        </w:rPr>
        <w:t>الوافي</w:t>
      </w:r>
      <w:r w:rsidR="008A74EB" w:rsidRPr="00C9040A">
        <w:rPr>
          <w:rtl/>
        </w:rPr>
        <w:t xml:space="preserve"> ، ج 4 ، ص 437 ، ح 2281 ؛ </w:t>
      </w:r>
      <w:r w:rsidR="008A74EB" w:rsidRPr="00993B55">
        <w:rPr>
          <w:rStyle w:val="libFootnoteBoldChar"/>
          <w:rtl/>
        </w:rPr>
        <w:t>البحار</w:t>
      </w:r>
      <w:r w:rsidR="008A74EB" w:rsidRPr="00C9040A">
        <w:rPr>
          <w:rtl/>
        </w:rPr>
        <w:t xml:space="preserve"> ، ج 71 ، ص 399 ، ح 2.</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هكذا في « بف » وحاشية « د »</w:t>
      </w:r>
      <w:r w:rsidR="008A74EB">
        <w:rPr>
          <w:rtl/>
        </w:rPr>
        <w:t>.</w:t>
      </w:r>
      <w:r w:rsidR="008A74EB" w:rsidRPr="00C9040A">
        <w:rPr>
          <w:rtl/>
        </w:rPr>
        <w:t xml:space="preserve"> وفي « ب ، ج ، د ، ز ، ص ، ض ، ف ، بر ، بس ، جر » والمطبوع : « نشيب »</w:t>
      </w:r>
      <w:r w:rsidR="008A74EB">
        <w:rPr>
          <w:rtl/>
        </w:rPr>
        <w:t>.</w:t>
      </w:r>
    </w:p>
    <w:p w:rsidR="008A74EB" w:rsidRPr="00C9040A" w:rsidRDefault="008A74EB" w:rsidP="004A4E41">
      <w:pPr>
        <w:pStyle w:val="libFootnote0"/>
        <w:rPr>
          <w:rtl/>
          <w:lang w:bidi="fa-IR"/>
        </w:rPr>
      </w:pPr>
      <w:r w:rsidRPr="00323A39">
        <w:rPr>
          <w:rtl/>
        </w:rPr>
        <w:t xml:space="preserve">والظاهر أنّ الصواب ما أثبتناه ، فإنّا لم نجد </w:t>
      </w:r>
      <w:r w:rsidR="0084262C" w:rsidRPr="00323A39">
        <w:rPr>
          <w:rtl/>
        </w:rPr>
        <w:t>-</w:t>
      </w:r>
      <w:r w:rsidRPr="00323A39">
        <w:rPr>
          <w:rtl/>
        </w:rPr>
        <w:t xml:space="preserve"> مع الفحص الأكيد </w:t>
      </w:r>
      <w:r w:rsidR="0084262C" w:rsidRPr="00323A39">
        <w:rPr>
          <w:rtl/>
        </w:rPr>
        <w:t>-</w:t>
      </w:r>
      <w:r w:rsidRPr="00323A39">
        <w:rPr>
          <w:rtl/>
        </w:rPr>
        <w:t xml:space="preserve"> في الكتب والأنساب « نشيب » في غير هذا الخبر. والمذكور في كتب الضبط هو « نُسَيْب » بضمّ النون وفتح السين المهملة ، ثمّ الياء المثنّاة تحتها ، ثمّ الموحّدة ، كأحد الأعلام ، راجع : </w:t>
      </w:r>
      <w:r w:rsidRPr="00993B55">
        <w:rPr>
          <w:rStyle w:val="libFootnoteBoldChar"/>
          <w:rtl/>
        </w:rPr>
        <w:t>توضيح المشتبه</w:t>
      </w:r>
      <w:r w:rsidRPr="00323A39">
        <w:rPr>
          <w:rtl/>
        </w:rPr>
        <w:t xml:space="preserve"> ، ج 5 ، ص 291 ؛ وج 9 ، ص 77.</w:t>
      </w:r>
    </w:p>
    <w:p w:rsidR="008A74EB" w:rsidRPr="00C9040A" w:rsidRDefault="003465FB" w:rsidP="004A4E41">
      <w:pPr>
        <w:pStyle w:val="libFootnote0"/>
        <w:rPr>
          <w:rtl/>
          <w:lang w:bidi="fa-IR"/>
        </w:rPr>
      </w:pPr>
      <w:r>
        <w:rPr>
          <w:rtl/>
        </w:rPr>
        <w:t>هذا ، واحتمل العل</w:t>
      </w:r>
      <w:r>
        <w:rPr>
          <w:rFonts w:hint="cs"/>
          <w:rtl/>
        </w:rPr>
        <w:t>ّ</w:t>
      </w:r>
      <w:r>
        <w:rPr>
          <w:rtl/>
        </w:rPr>
        <w:t>ا</w:t>
      </w:r>
      <w:r w:rsidR="008A74EB" w:rsidRPr="0082575F">
        <w:rPr>
          <w:rtl/>
        </w:rPr>
        <w:t>مة الخبير السيّد موسى الشبيري</w:t>
      </w:r>
      <w:r w:rsidR="008A74EB">
        <w:rPr>
          <w:rtl/>
        </w:rPr>
        <w:t xml:space="preserve"> </w:t>
      </w:r>
      <w:r w:rsidR="0084262C">
        <w:rPr>
          <w:rtl/>
        </w:rPr>
        <w:t>-</w:t>
      </w:r>
      <w:r w:rsidR="008A74EB">
        <w:rPr>
          <w:rtl/>
        </w:rPr>
        <w:t xml:space="preserve"> </w:t>
      </w:r>
      <w:r w:rsidR="008A74EB" w:rsidRPr="0082575F">
        <w:rPr>
          <w:rtl/>
        </w:rPr>
        <w:t>مدّ ظلّه</w:t>
      </w:r>
      <w:r w:rsidR="008A74EB">
        <w:rPr>
          <w:rtl/>
        </w:rPr>
        <w:t xml:space="preserve"> </w:t>
      </w:r>
      <w:r w:rsidR="0084262C">
        <w:rPr>
          <w:rtl/>
        </w:rPr>
        <w:t>-</w:t>
      </w:r>
      <w:r w:rsidR="008A74EB">
        <w:rPr>
          <w:rtl/>
        </w:rPr>
        <w:t xml:space="preserve"> </w:t>
      </w:r>
      <w:r w:rsidR="008A74EB" w:rsidRPr="0082575F">
        <w:rPr>
          <w:rtl/>
        </w:rPr>
        <w:t>في تعليقته على السند صحّة « نَسِيب » بمعنى « قريب » ، وقد ا</w:t>
      </w:r>
      <w:r w:rsidR="00FB2C57">
        <w:rPr>
          <w:rFonts w:hint="cs"/>
          <w:rtl/>
        </w:rPr>
        <w:t>ُ</w:t>
      </w:r>
      <w:r w:rsidR="008A74EB" w:rsidRPr="0082575F">
        <w:rPr>
          <w:rtl/>
        </w:rPr>
        <w:t>ضيف اللفظ إلى اللفائفي ، بمعنى « من أقرباء اللفائفي »</w:t>
      </w:r>
      <w:r w:rsidR="008A74EB">
        <w:rPr>
          <w:rtl/>
        </w:rPr>
        <w:t>.</w:t>
      </w:r>
    </w:p>
    <w:p w:rsidR="008A74EB" w:rsidRPr="00C9040A" w:rsidRDefault="008A74EB" w:rsidP="004A4E41">
      <w:pPr>
        <w:pStyle w:val="libFootnote0"/>
        <w:rPr>
          <w:rtl/>
          <w:lang w:bidi="fa-IR"/>
        </w:rPr>
      </w:pPr>
      <w:r w:rsidRPr="00323A39">
        <w:rPr>
          <w:rtl/>
        </w:rPr>
        <w:t xml:space="preserve">وأمّا : قد ذكر « نَشَب » أيضاً في الأعلام ، كما في </w:t>
      </w:r>
      <w:r w:rsidRPr="00993B55">
        <w:rPr>
          <w:rStyle w:val="libFootnoteBoldChar"/>
          <w:rtl/>
        </w:rPr>
        <w:t>توضيح المشتبه</w:t>
      </w:r>
      <w:r w:rsidRPr="00323A39">
        <w:rPr>
          <w:rtl/>
        </w:rPr>
        <w:t xml:space="preserve"> ، ج 9 ، ص 76 ، فلايضرّ باستظهار صحّة « نُسَيب » أو « نَسيب » ؛ فقد أجمعت النسخ إجماعاً مركّباً على عدم صحّة « نَشَب » لاجتماعها في ثلاثة حروف وهي « النون ، والياء ، والباء » ، واختلافها في « السين والشين ». فلابدّ من اختيار اللفظ الصحيح ممّا ورد في النسخ مؤيّداً بالقرائن الخارجيّة ؛ فتأمّل.</w:t>
      </w:r>
      <w:r w:rsidR="00FB2C57">
        <w:rPr>
          <w:rFonts w:hint="cs"/>
          <w:rtl/>
        </w:rPr>
        <w:t xml:space="preserve">      </w:t>
      </w:r>
      <w:r w:rsidR="00AC2E2F">
        <w:rPr>
          <w:rFonts w:hint="cs"/>
          <w:rtl/>
        </w:rPr>
        <w:t xml:space="preserve">                            </w:t>
      </w:r>
      <w:r w:rsidR="00FB2C57">
        <w:rPr>
          <w:rFonts w:hint="cs"/>
          <w:rtl/>
        </w:rPr>
        <w:t xml:space="preserve">           </w:t>
      </w:r>
      <w:r w:rsidR="006C577F">
        <w:rPr>
          <w:rtl/>
        </w:rPr>
        <w:t>(2).</w:t>
      </w:r>
      <w:r>
        <w:rPr>
          <w:rtl/>
        </w:rPr>
        <w:t xml:space="preserve"> </w:t>
      </w:r>
      <w:r w:rsidRPr="00C9040A">
        <w:rPr>
          <w:rtl/>
        </w:rPr>
        <w:t>في الفقيه : + « الأخلاق في »</w:t>
      </w:r>
      <w:r>
        <w:rPr>
          <w:rtl/>
        </w:rPr>
        <w:t>.</w:t>
      </w:r>
    </w:p>
    <w:p w:rsidR="008A74EB" w:rsidRPr="00C9040A" w:rsidRDefault="006C577F" w:rsidP="004A4E41">
      <w:pPr>
        <w:pStyle w:val="libFootnote0"/>
        <w:rPr>
          <w:rtl/>
          <w:lang w:bidi="fa-IR"/>
        </w:rPr>
      </w:pPr>
      <w:r>
        <w:rPr>
          <w:rtl/>
        </w:rPr>
        <w:t>(3).</w:t>
      </w:r>
      <w:r w:rsidR="008A74EB" w:rsidRPr="00C9040A">
        <w:rPr>
          <w:rtl/>
        </w:rPr>
        <w:t xml:space="preserve"> في الفقيه : « أن تعفو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ف » : + « من »</w:t>
      </w:r>
      <w:r w:rsidR="008A74EB">
        <w:rPr>
          <w:rtl/>
        </w:rPr>
        <w:t>.</w:t>
      </w:r>
      <w:r w:rsidR="008A74EB" w:rsidRPr="00C9040A">
        <w:rPr>
          <w:rtl/>
        </w:rPr>
        <w:t xml:space="preserve"> وحَلُم حِلماً : صفح وستر ، فهو حليم. </w:t>
      </w:r>
      <w:r w:rsidR="008A74EB" w:rsidRPr="00993B55">
        <w:rPr>
          <w:rStyle w:val="libFootnoteBoldChar"/>
          <w:rtl/>
        </w:rPr>
        <w:t>المصباح المنير</w:t>
      </w:r>
      <w:r w:rsidR="008A74EB" w:rsidRPr="00C9040A">
        <w:rPr>
          <w:rtl/>
        </w:rPr>
        <w:t xml:space="preserve"> ، ص 148 ( حلم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الفقيه : « عمّن » بدل « إذا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هو يجهل على قومه : يتسافَه عليهم. </w:t>
      </w:r>
      <w:r w:rsidR="008A74EB" w:rsidRPr="00993B55">
        <w:rPr>
          <w:rStyle w:val="libFootnoteBoldChar"/>
          <w:rtl/>
        </w:rPr>
        <w:t>أساس البلاغة</w:t>
      </w:r>
      <w:r w:rsidR="008A74EB" w:rsidRPr="00C9040A">
        <w:rPr>
          <w:rtl/>
        </w:rPr>
        <w:t xml:space="preserve"> ، ص 67 ( جهل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الفقيه</w:t>
      </w:r>
      <w:r w:rsidR="008A74EB" w:rsidRPr="00C9040A">
        <w:rPr>
          <w:rtl/>
        </w:rPr>
        <w:t xml:space="preserve"> ، ج 4 ، ص 356 ، ضمن الحديث الطويل 5762 ، بسند آخر عن جعفر بن محمّد ، عن أبيه ، عن جدّه ، عن عليّ بن أبي طالب </w:t>
      </w:r>
      <w:r w:rsidR="00117575" w:rsidRPr="00117575">
        <w:rPr>
          <w:rStyle w:val="libFootnoteAlaemChar"/>
          <w:rtl/>
        </w:rPr>
        <w:t>عليهم‌السلام</w:t>
      </w:r>
      <w:r w:rsidR="008A74EB" w:rsidRPr="00C9040A">
        <w:rPr>
          <w:rtl/>
        </w:rPr>
        <w:t xml:space="preserve"> عن النبيّ </w:t>
      </w:r>
      <w:r w:rsidR="004A4E41" w:rsidRPr="00AC2E2F">
        <w:rPr>
          <w:rStyle w:val="libFootnoteAlaemChar"/>
          <w:rtl/>
        </w:rPr>
        <w:t>صلى‌الله‌عليه‌وآله</w:t>
      </w:r>
      <w:r w:rsidR="008A74EB" w:rsidRPr="00C9040A">
        <w:rPr>
          <w:rtl/>
        </w:rPr>
        <w:t xml:space="preserve">. </w:t>
      </w:r>
      <w:r w:rsidR="008A74EB" w:rsidRPr="00993B55">
        <w:rPr>
          <w:rStyle w:val="libFootnoteBoldChar"/>
          <w:rtl/>
        </w:rPr>
        <w:t>الأمالي</w:t>
      </w:r>
      <w:r w:rsidR="008A74EB" w:rsidRPr="00AC2E2F">
        <w:rPr>
          <w:rStyle w:val="libFootnoteBoldChar"/>
          <w:rtl/>
        </w:rPr>
        <w:t xml:space="preserve"> للطوسي</w:t>
      </w:r>
      <w:r w:rsidR="008A74EB" w:rsidRPr="00C9040A">
        <w:rPr>
          <w:rtl/>
        </w:rPr>
        <w:t xml:space="preserve"> ، ص 644 ، المجلس 2 ، ح 23 ، بسند آخر ، مع اختلاف يسير وزيادة في أوّله ؛ </w:t>
      </w:r>
      <w:r w:rsidR="008A74EB" w:rsidRPr="0034021D">
        <w:rPr>
          <w:rStyle w:val="libFootnoteBoldChar"/>
          <w:rtl/>
        </w:rPr>
        <w:t>الأمالي للصدوق</w:t>
      </w:r>
      <w:r w:rsidR="008A74EB" w:rsidRPr="00C9040A">
        <w:rPr>
          <w:rtl/>
        </w:rPr>
        <w:t xml:space="preserve"> ، ص 280 ، المجلس 47 ، ح 10 ؛ </w:t>
      </w:r>
      <w:r w:rsidR="008A74EB" w:rsidRPr="00993B55">
        <w:rPr>
          <w:rStyle w:val="libFootnoteBoldChar"/>
          <w:rtl/>
        </w:rPr>
        <w:t>معاني الأخبار</w:t>
      </w:r>
      <w:r w:rsidR="008A74EB" w:rsidRPr="00C9040A">
        <w:rPr>
          <w:rtl/>
        </w:rPr>
        <w:t xml:space="preserve"> ، ص 191 ، ح 1 ، وفيهما بسند آخر ، مع اختلاف</w:t>
      </w:r>
      <w:r w:rsidR="00FB2C57">
        <w:rPr>
          <w:rFonts w:hint="cs"/>
          <w:rtl/>
        </w:rPr>
        <w:t>.</w:t>
      </w:r>
      <w:r w:rsidR="008A74EB" w:rsidRPr="00993B55">
        <w:rPr>
          <w:rStyle w:val="libFootnoteBoldChar"/>
          <w:rtl/>
        </w:rPr>
        <w:t>الوافي</w:t>
      </w:r>
      <w:r w:rsidR="008A74EB" w:rsidRPr="00C9040A">
        <w:rPr>
          <w:rtl/>
        </w:rPr>
        <w:t xml:space="preserve"> ، ج 4 ، ص 438 ، ح 2283 ؛ </w:t>
      </w:r>
      <w:r w:rsidR="008A74EB" w:rsidRPr="00993B55">
        <w:rPr>
          <w:rStyle w:val="libFootnoteBoldChar"/>
          <w:rtl/>
        </w:rPr>
        <w:t>الوسائل</w:t>
      </w:r>
      <w:r w:rsidR="008A74EB" w:rsidRPr="00C9040A">
        <w:rPr>
          <w:rtl/>
        </w:rPr>
        <w:t xml:space="preserve"> ، ج 12 ، ص 173 ، ح 15995 ؛ </w:t>
      </w:r>
      <w:r w:rsidR="008A74EB" w:rsidRPr="00993B55">
        <w:rPr>
          <w:rStyle w:val="libFootnoteBoldChar"/>
          <w:rtl/>
        </w:rPr>
        <w:t>البحار</w:t>
      </w:r>
      <w:r w:rsidR="008A74EB" w:rsidRPr="00C9040A">
        <w:rPr>
          <w:rtl/>
        </w:rPr>
        <w:t xml:space="preserve"> ، ج 71 ، ص 399 ، ح 3.</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عَنْ عَلِيِّ بْنِ الْحُسَيْنِ </w:t>
      </w:r>
      <w:r w:rsidRPr="0003660B">
        <w:rPr>
          <w:rStyle w:val="libAlaemChar"/>
          <w:rtl/>
        </w:rPr>
        <w:t>عليهما‌السلام</w:t>
      </w:r>
      <w:r w:rsidRPr="00C9040A">
        <w:rPr>
          <w:rtl/>
          <w:lang w:bidi="fa-IR"/>
        </w:rPr>
        <w:t xml:space="preserve"> ، قَالَ : سَمِعْتُهُ يَقُولُ : « إِذَا كَانَ يَوْمُ الْقِيَامَةِ ، جَمَعَ اللهُ </w:t>
      </w:r>
      <w:r w:rsidR="0084262C">
        <w:rPr>
          <w:rtl/>
          <w:lang w:bidi="fa-IR"/>
        </w:rPr>
        <w:t>-</w:t>
      </w:r>
      <w:r w:rsidRPr="00C9040A">
        <w:rPr>
          <w:rtl/>
          <w:lang w:bidi="fa-IR"/>
        </w:rPr>
        <w:t xml:space="preserve"> تَبَارَكَ وَتَعَالى</w:t>
      </w:r>
      <w:r>
        <w:rPr>
          <w:rtl/>
          <w:lang w:bidi="fa-IR"/>
        </w:rPr>
        <w:t xml:space="preserve"> </w:t>
      </w:r>
      <w:r w:rsidR="0084262C">
        <w:rPr>
          <w:rtl/>
          <w:lang w:bidi="fa-IR"/>
        </w:rPr>
        <w:t>-</w:t>
      </w:r>
      <w:r>
        <w:rPr>
          <w:rtl/>
          <w:lang w:bidi="fa-IR"/>
        </w:rPr>
        <w:t xml:space="preserve"> </w:t>
      </w:r>
      <w:r w:rsidRPr="00C9040A">
        <w:rPr>
          <w:rtl/>
          <w:lang w:bidi="fa-IR"/>
        </w:rPr>
        <w:t>الْأَوَّلِينَ وَالْآخِرِينَ فِي صَعِيدٍ وَاحِدٍ ، ثُمَّ يُنَادِي مُنَادٍ : أَيْنَ أَهْلُ الْفَضْلِ</w:t>
      </w:r>
      <w:r>
        <w:rPr>
          <w:rtl/>
          <w:lang w:bidi="fa-IR"/>
        </w:rPr>
        <w:t>؟</w:t>
      </w:r>
      <w:r w:rsidRPr="00C9040A">
        <w:rPr>
          <w:rtl/>
          <w:lang w:bidi="fa-IR"/>
        </w:rPr>
        <w:t xml:space="preserve"> » قَالَ : « فَيَقُومُ عُنُقٌ </w:t>
      </w:r>
      <w:r w:rsidR="006C577F" w:rsidRPr="006C577F">
        <w:rPr>
          <w:rStyle w:val="libFootnotenumChar"/>
          <w:rtl/>
        </w:rPr>
        <w:t>(1)</w:t>
      </w:r>
      <w:r w:rsidRPr="00C9040A">
        <w:rPr>
          <w:rtl/>
          <w:lang w:bidi="fa-IR"/>
        </w:rPr>
        <w:t xml:space="preserve"> مِنَ النَّاسِ ، فَتَلَقَّاهُمُ </w:t>
      </w:r>
      <w:r w:rsidR="006C577F" w:rsidRPr="006C577F">
        <w:rPr>
          <w:rStyle w:val="libFootnotenumChar"/>
          <w:rtl/>
        </w:rPr>
        <w:t>(2)</w:t>
      </w:r>
      <w:r w:rsidRPr="00C9040A">
        <w:rPr>
          <w:rtl/>
          <w:lang w:bidi="fa-IR"/>
        </w:rPr>
        <w:t xml:space="preserve"> الْمَلَائِكَةُ ، فَيَقُولُونَ : وَمَا كَانَ فَضْلُكُمْ</w:t>
      </w:r>
      <w:r>
        <w:rPr>
          <w:rtl/>
          <w:lang w:bidi="fa-IR"/>
        </w:rPr>
        <w:t>؟</w:t>
      </w:r>
      <w:r w:rsidRPr="00C9040A">
        <w:rPr>
          <w:rtl/>
          <w:lang w:bidi="fa-IR"/>
        </w:rPr>
        <w:t xml:space="preserve"> فَيَقُولُونَ : كُنَّا نَصِلُ مَنْ قَطَعَنَا ، وَنُعْطِي مَنْ حَرَمَنَا ، وَنَعْفُو عَمَّنْ ظَلَمَنَا » قَالَ :</w:t>
      </w:r>
      <w:r>
        <w:rPr>
          <w:rFonts w:hint="cs"/>
          <w:rtl/>
          <w:lang w:bidi="fa-IR"/>
        </w:rPr>
        <w:t xml:space="preserve"> </w:t>
      </w:r>
      <w:r w:rsidRPr="00C9040A">
        <w:rPr>
          <w:rtl/>
          <w:lang w:bidi="fa-IR"/>
        </w:rPr>
        <w:t xml:space="preserve">« فَيُقَالُ لَهُمْ : صَدَقْتُمُ ، ادْخُلُوا الْجَنَّةَ </w:t>
      </w:r>
      <w:r w:rsidR="006C577F" w:rsidRPr="006C577F">
        <w:rPr>
          <w:rStyle w:val="libFootnotenumChar"/>
          <w:rtl/>
        </w:rPr>
        <w:t>(3)</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EF66ED">
        <w:rPr>
          <w:rtl/>
        </w:rPr>
        <w:t>1792</w:t>
      </w:r>
      <w:r w:rsidRPr="00261CB0">
        <w:rPr>
          <w:rStyle w:val="libBold2Char"/>
          <w:rtl/>
        </w:rPr>
        <w:t xml:space="preserve"> / 5.</w:t>
      </w:r>
      <w:r w:rsidRPr="00C9040A">
        <w:rPr>
          <w:rtl/>
          <w:lang w:bidi="fa-IR"/>
        </w:rPr>
        <w:t xml:space="preserve"> عِدَّةٌ مِنْ أَصْحَابِنَا ، عَنْ أَحْمَدَ بْنِ مُحَمَّدِ بْنِ خَالِدٍ ، عَنْ جَهْمِ بْنِ الْحَكَمِ الْمَدَائِنِيِّ ، عَنْ إِسْمَاعِيلَ بْنِ أَبِي زِيَادٍ السَّكُونِيِّ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عَلَيْكُمْ بِالْعَفْوِ ؛ فَإِنَّ الْعَ</w:t>
      </w:r>
      <w:r w:rsidR="00FB2C57">
        <w:rPr>
          <w:rtl/>
          <w:lang w:bidi="fa-IR"/>
        </w:rPr>
        <w:t>فْوَ لَايَزِيدُ الْعَبْدَ إِل</w:t>
      </w:r>
      <w:r w:rsidR="00FB2C57">
        <w:rPr>
          <w:rFonts w:hint="cs"/>
          <w:rtl/>
          <w:lang w:bidi="fa-IR"/>
        </w:rPr>
        <w:t>َّ</w:t>
      </w:r>
      <w:r w:rsidR="00FB2C57">
        <w:rPr>
          <w:rtl/>
          <w:lang w:bidi="fa-IR"/>
        </w:rPr>
        <w:t>ا</w:t>
      </w:r>
      <w:r w:rsidRPr="00C9040A">
        <w:rPr>
          <w:rtl/>
          <w:lang w:bidi="fa-IR"/>
        </w:rPr>
        <w:t xml:space="preserve"> عِزّاً ، فَتَعَافَوْا يُعِزَّكُمُ اللهُ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EF66ED">
        <w:rPr>
          <w:rtl/>
        </w:rPr>
        <w:t>1793</w:t>
      </w:r>
      <w:r w:rsidRPr="00261CB0">
        <w:rPr>
          <w:rStyle w:val="libBold2Char"/>
          <w:rtl/>
        </w:rPr>
        <w:t xml:space="preserve"> / 6.</w:t>
      </w:r>
      <w:r w:rsidRPr="00C9040A">
        <w:rPr>
          <w:rtl/>
          <w:lang w:bidi="fa-IR"/>
        </w:rPr>
        <w:t xml:space="preserve"> مُحَمَّدُ بْنُ يَحْيى ، عَنْ أَحْمَدَ بْنِ مُحَمَّدِ بْنِ عِيسى ، عَنْ مُحَمَّدِ بْنِ سِنَانٍ ، عَنْ أَبِي خَالِدٍ الْقَمَّاطِ ، عَنْ حُمْرَانَ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 العُنُق » : الجماعة من الناس ، والرُّؤساء. </w:t>
      </w:r>
      <w:r w:rsidR="008A74EB" w:rsidRPr="00993B55">
        <w:rPr>
          <w:rStyle w:val="libFootnoteBoldChar"/>
          <w:rtl/>
        </w:rPr>
        <w:t>القاموس المحيط</w:t>
      </w:r>
      <w:r w:rsidR="008A74EB" w:rsidRPr="00C9040A">
        <w:rPr>
          <w:rtl/>
        </w:rPr>
        <w:t xml:space="preserve"> ، ج 2 ، ص 1210 ( عنق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حاشية « بف » والوسائل والزهد : « فتتلقّاهم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w:t>
      </w:r>
      <w:r w:rsidR="008A74EB" w:rsidRPr="00993B55">
        <w:rPr>
          <w:rStyle w:val="libFootnoteBoldChar"/>
          <w:rtl/>
        </w:rPr>
        <w:t>الوافي</w:t>
      </w:r>
      <w:r w:rsidR="008A74EB" w:rsidRPr="00C9040A">
        <w:rPr>
          <w:rtl/>
        </w:rPr>
        <w:t xml:space="preserve"> : « هذه الخصال فضيلة وأيّة فضيلة ، ومكرمة وأيّة مكرمة ، لايدرك كنه شرفها وفضلها ؛ إذ العامل بها يثبت بها لنفسه الفضيلة ، ويرفع بها عن صاحبه الرذيلة ، ويغلب على صاحبه بقوّة قلبه ، يكسر بها عدوّ نفسه ونفس عدوّه. وإلى هذا ا</w:t>
      </w:r>
      <w:r w:rsidR="00FB2C57">
        <w:rPr>
          <w:rFonts w:hint="cs"/>
          <w:rtl/>
        </w:rPr>
        <w:t>ُ</w:t>
      </w:r>
      <w:r w:rsidR="008A74EB" w:rsidRPr="00C9040A">
        <w:rPr>
          <w:rtl/>
        </w:rPr>
        <w:t xml:space="preserve">شير في القرآن المجيد بقوله : </w:t>
      </w:r>
      <w:r w:rsidR="008A74EB" w:rsidRPr="00AC2E2F">
        <w:rPr>
          <w:rStyle w:val="libFootnoteAlaemChar"/>
          <w:rtl/>
        </w:rPr>
        <w:t>(</w:t>
      </w:r>
      <w:r w:rsidR="008A74EB" w:rsidRPr="00883DD5">
        <w:rPr>
          <w:rStyle w:val="libFootnoteAieChar"/>
          <w:rFonts w:hint="cs"/>
          <w:rtl/>
        </w:rPr>
        <w:t xml:space="preserve"> </w:t>
      </w:r>
      <w:r w:rsidR="008A74EB" w:rsidRPr="00883DD5">
        <w:rPr>
          <w:rStyle w:val="libFootnoteAieChar"/>
          <w:rtl/>
        </w:rPr>
        <w:t>ادْفَعْ بِالَّتِي هِيَ أَحْسَنُ</w:t>
      </w:r>
      <w:r w:rsidR="008A74EB" w:rsidRPr="00883DD5">
        <w:rPr>
          <w:rStyle w:val="libFootnoteAieChar"/>
          <w:rFonts w:hint="cs"/>
          <w:rtl/>
        </w:rPr>
        <w:t xml:space="preserve"> </w:t>
      </w:r>
      <w:r w:rsidR="008A74EB" w:rsidRPr="00AC2E2F">
        <w:rPr>
          <w:rStyle w:val="libFootnoteAlaemChar"/>
          <w:rtl/>
        </w:rPr>
        <w:t>)</w:t>
      </w:r>
      <w:r w:rsidR="008A74EB" w:rsidRPr="00C9040A">
        <w:rPr>
          <w:rtl/>
        </w:rPr>
        <w:t xml:space="preserve"> يعني السيّئة</w:t>
      </w:r>
      <w:r w:rsidR="008A74EB">
        <w:rPr>
          <w:rFonts w:hint="cs"/>
          <w:rtl/>
        </w:rPr>
        <w:t xml:space="preserve"> </w:t>
      </w:r>
      <w:r w:rsidR="008A74EB" w:rsidRPr="00AC2E2F">
        <w:rPr>
          <w:rStyle w:val="libFootnoteAlaemChar"/>
          <w:rtl/>
        </w:rPr>
        <w:t>(</w:t>
      </w:r>
      <w:r w:rsidR="008A74EB" w:rsidRPr="00883DD5">
        <w:rPr>
          <w:rStyle w:val="libFootnoteAieChar"/>
          <w:rFonts w:hint="cs"/>
          <w:rtl/>
        </w:rPr>
        <w:t xml:space="preserve"> </w:t>
      </w:r>
      <w:r w:rsidR="008A74EB" w:rsidRPr="00883DD5">
        <w:rPr>
          <w:rStyle w:val="libFootnoteAieChar"/>
          <w:rtl/>
        </w:rPr>
        <w:t>فَإِذَا الَّذِي بَيْنَكَ وَبَيْنَهُ عَداوَةٌ كَأَنَّهُ وَلِيٌّ حَمِيمٌ</w:t>
      </w:r>
      <w:r w:rsidR="008A74EB" w:rsidRPr="00883DD5">
        <w:rPr>
          <w:rStyle w:val="libFootnoteAieChar"/>
          <w:rFonts w:hint="cs"/>
          <w:rtl/>
        </w:rPr>
        <w:t xml:space="preserve"> </w:t>
      </w:r>
      <w:r w:rsidR="008A74EB" w:rsidRPr="00AC2E2F">
        <w:rPr>
          <w:rStyle w:val="libFootnoteAlaemChar"/>
          <w:rtl/>
        </w:rPr>
        <w:t>)</w:t>
      </w:r>
      <w:r w:rsidR="008A74EB" w:rsidRPr="00C9040A">
        <w:rPr>
          <w:rtl/>
        </w:rPr>
        <w:t xml:space="preserve"> ثمّ ا</w:t>
      </w:r>
      <w:r w:rsidR="00FB2C57">
        <w:rPr>
          <w:rFonts w:hint="cs"/>
          <w:rtl/>
        </w:rPr>
        <w:t>ُ</w:t>
      </w:r>
      <w:r w:rsidR="008A74EB" w:rsidRPr="00C9040A">
        <w:rPr>
          <w:rtl/>
        </w:rPr>
        <w:t xml:space="preserve">شير إلى فضلها العالي وشرفها الرفيع بقوله عزّوجلّ : </w:t>
      </w:r>
      <w:r w:rsidR="008A74EB" w:rsidRPr="00AC2E2F">
        <w:rPr>
          <w:rStyle w:val="libFootnoteAlaemChar"/>
          <w:rtl/>
        </w:rPr>
        <w:t>(</w:t>
      </w:r>
      <w:r w:rsidR="008A74EB" w:rsidRPr="00883DD5">
        <w:rPr>
          <w:rStyle w:val="libFootnoteAieChar"/>
          <w:rFonts w:hint="cs"/>
          <w:rtl/>
        </w:rPr>
        <w:t xml:space="preserve"> </w:t>
      </w:r>
      <w:r w:rsidR="008A74EB" w:rsidRPr="00883DD5">
        <w:rPr>
          <w:rStyle w:val="libFootnoteAieChar"/>
          <w:rtl/>
        </w:rPr>
        <w:t>وَم</w:t>
      </w:r>
      <w:r w:rsidR="00FB2C57">
        <w:rPr>
          <w:rStyle w:val="libFootnoteAieChar"/>
          <w:rFonts w:hint="cs"/>
          <w:rtl/>
        </w:rPr>
        <w:t>َ</w:t>
      </w:r>
      <w:r w:rsidR="00FB2C57">
        <w:rPr>
          <w:rStyle w:val="libFootnoteAieChar"/>
          <w:rtl/>
        </w:rPr>
        <w:t>ا يُلَقّاها إِل</w:t>
      </w:r>
      <w:r w:rsidR="00FB2C57">
        <w:rPr>
          <w:rStyle w:val="libFootnoteAieChar"/>
          <w:rFonts w:hint="cs"/>
          <w:rtl/>
        </w:rPr>
        <w:t>َّ</w:t>
      </w:r>
      <w:r w:rsidR="00FB2C57">
        <w:rPr>
          <w:rStyle w:val="libFootnoteAieChar"/>
          <w:rtl/>
        </w:rPr>
        <w:t>ا</w:t>
      </w:r>
      <w:r w:rsidR="008A74EB" w:rsidRPr="00883DD5">
        <w:rPr>
          <w:rStyle w:val="libFootnoteAieChar"/>
          <w:rtl/>
        </w:rPr>
        <w:t xml:space="preserve"> الَّذِينَ صَبَرُوا وَم</w:t>
      </w:r>
      <w:r w:rsidR="00FB2C57">
        <w:rPr>
          <w:rStyle w:val="libFootnoteAieChar"/>
          <w:rFonts w:hint="cs"/>
          <w:rtl/>
        </w:rPr>
        <w:t>َ</w:t>
      </w:r>
      <w:r w:rsidR="008A74EB" w:rsidRPr="00883DD5">
        <w:rPr>
          <w:rStyle w:val="libFootnoteAieChar"/>
          <w:rtl/>
        </w:rPr>
        <w:t>ا يُلَقّ</w:t>
      </w:r>
      <w:r w:rsidR="00FB2C57">
        <w:rPr>
          <w:rStyle w:val="libFootnoteAieChar"/>
          <w:rFonts w:hint="cs"/>
          <w:rtl/>
        </w:rPr>
        <w:t>َ</w:t>
      </w:r>
      <w:r w:rsidR="008A74EB" w:rsidRPr="00883DD5">
        <w:rPr>
          <w:rStyle w:val="libFootnoteAieChar"/>
          <w:rtl/>
        </w:rPr>
        <w:t>اه</w:t>
      </w:r>
      <w:r w:rsidR="00FB2C57">
        <w:rPr>
          <w:rStyle w:val="libFootnoteAieChar"/>
          <w:rFonts w:hint="cs"/>
          <w:rtl/>
        </w:rPr>
        <w:t>َ</w:t>
      </w:r>
      <w:r w:rsidR="001012C1">
        <w:rPr>
          <w:rStyle w:val="libFootnoteAieChar"/>
          <w:rtl/>
        </w:rPr>
        <w:t>ا إِل</w:t>
      </w:r>
      <w:r w:rsidR="001012C1">
        <w:rPr>
          <w:rStyle w:val="libFootnoteAieChar"/>
          <w:rFonts w:hint="cs"/>
          <w:rtl/>
        </w:rPr>
        <w:t>َّ</w:t>
      </w:r>
      <w:r w:rsidR="001012C1">
        <w:rPr>
          <w:rStyle w:val="libFootnoteAieChar"/>
          <w:rtl/>
        </w:rPr>
        <w:t>ا</w:t>
      </w:r>
      <w:r w:rsidR="008A74EB" w:rsidRPr="00883DD5">
        <w:rPr>
          <w:rStyle w:val="libFootnoteAieChar"/>
          <w:rtl/>
        </w:rPr>
        <w:t xml:space="preserve"> ذُو حَظٍّ عَظِيمٍ</w:t>
      </w:r>
      <w:r w:rsidR="008A74EB" w:rsidRPr="00883DD5">
        <w:rPr>
          <w:rStyle w:val="libFootnoteAieChar"/>
          <w:rFonts w:hint="cs"/>
          <w:rtl/>
        </w:rPr>
        <w:t xml:space="preserve"> </w:t>
      </w:r>
      <w:r w:rsidR="008A74EB" w:rsidRPr="00AC2E2F">
        <w:rPr>
          <w:rStyle w:val="libFootnoteAlaemChar"/>
          <w:rtl/>
        </w:rPr>
        <w:t>)</w:t>
      </w:r>
      <w:r w:rsidR="008A74EB" w:rsidRPr="00C9040A">
        <w:rPr>
          <w:rtl/>
        </w:rPr>
        <w:t xml:space="preserve"> [ فصّلت (41) : 34</w:t>
      </w:r>
      <w:r w:rsidR="008A74EB">
        <w:rPr>
          <w:rtl/>
        </w:rPr>
        <w:t xml:space="preserve"> </w:t>
      </w:r>
      <w:r w:rsidR="0084262C">
        <w:rPr>
          <w:rtl/>
        </w:rPr>
        <w:t>-</w:t>
      </w:r>
      <w:r w:rsidR="008A74EB">
        <w:rPr>
          <w:rtl/>
        </w:rPr>
        <w:t xml:space="preserve"> </w:t>
      </w:r>
      <w:r w:rsidR="008A74EB" w:rsidRPr="00C9040A">
        <w:rPr>
          <w:rtl/>
        </w:rPr>
        <w:t>35 ] يعني من الإيمان والمعرفة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الزهد</w:t>
      </w:r>
      <w:r w:rsidR="008A74EB" w:rsidRPr="00C9040A">
        <w:rPr>
          <w:rtl/>
        </w:rPr>
        <w:t xml:space="preserve"> ، ص 170 ، ح 253 ، عن محمّد بن أبي عمير ، مع زيادة في آخره</w:t>
      </w:r>
      <w:r w:rsidR="001012C1">
        <w:rPr>
          <w:rFonts w:hint="cs"/>
          <w:rtl/>
        </w:rPr>
        <w:t>.</w:t>
      </w:r>
      <w:r w:rsidR="008A74EB" w:rsidRPr="00993B55">
        <w:rPr>
          <w:rStyle w:val="libFootnoteBoldChar"/>
          <w:rtl/>
        </w:rPr>
        <w:t>الوافي</w:t>
      </w:r>
      <w:r w:rsidR="008A74EB" w:rsidRPr="00C9040A">
        <w:rPr>
          <w:rtl/>
        </w:rPr>
        <w:t xml:space="preserve"> ، ج 4 ، ص 438 ، ح 2284 ؛ </w:t>
      </w:r>
      <w:r w:rsidR="008A74EB" w:rsidRPr="00993B55">
        <w:rPr>
          <w:rStyle w:val="libFootnoteBoldChar"/>
          <w:rtl/>
        </w:rPr>
        <w:t>الوسائل</w:t>
      </w:r>
      <w:r w:rsidR="008A74EB" w:rsidRPr="00C9040A">
        <w:rPr>
          <w:rtl/>
        </w:rPr>
        <w:t xml:space="preserve"> ، ج 12 ، ص 172 ، ح 15994 ؛ </w:t>
      </w:r>
      <w:r w:rsidR="008A74EB" w:rsidRPr="00993B55">
        <w:rPr>
          <w:rStyle w:val="libFootnoteBoldChar"/>
          <w:rtl/>
        </w:rPr>
        <w:t>البحار</w:t>
      </w:r>
      <w:r w:rsidR="008A74EB" w:rsidRPr="00C9040A">
        <w:rPr>
          <w:rtl/>
        </w:rPr>
        <w:t xml:space="preserve"> ، ج 71 ، ص 400 ، ح 4.</w:t>
      </w:r>
    </w:p>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الكافي</w:t>
      </w:r>
      <w:r w:rsidR="008A74EB" w:rsidRPr="00C9040A">
        <w:rPr>
          <w:rtl/>
        </w:rPr>
        <w:t xml:space="preserve"> ، كتاب الإيمان والكفر ، باب التواضع ، ح 1863 ؛ و</w:t>
      </w:r>
      <w:r w:rsidR="008A74EB" w:rsidRPr="0034021D">
        <w:rPr>
          <w:rStyle w:val="libFootnoteBoldChar"/>
          <w:rtl/>
        </w:rPr>
        <w:t>الأمالي للمفيد</w:t>
      </w:r>
      <w:r w:rsidR="008A74EB" w:rsidRPr="00C9040A">
        <w:rPr>
          <w:rtl/>
        </w:rPr>
        <w:t xml:space="preserve"> ، ص 238 ، المجلس 28 ، ح 2 ؛ </w:t>
      </w:r>
      <w:r w:rsidR="008A74EB" w:rsidRPr="00AC2E2F">
        <w:rPr>
          <w:rStyle w:val="libFootnoteBoldChar"/>
          <w:rtl/>
        </w:rPr>
        <w:t>والأمالي للطوسي</w:t>
      </w:r>
      <w:r w:rsidR="008A74EB" w:rsidRPr="00C9040A">
        <w:rPr>
          <w:rtl/>
        </w:rPr>
        <w:t xml:space="preserve"> ، ص 14 ، المجلس 1 ، ح 18 ، بسند آخر ، من قوله : « فإنّ العفو لا يزيد » ، مع اختلاف يسير وزيادة في أوّله</w:t>
      </w:r>
      <w:r w:rsidR="001012C1">
        <w:rPr>
          <w:rFonts w:hint="cs"/>
          <w:rtl/>
        </w:rPr>
        <w:t>.</w:t>
      </w:r>
      <w:r w:rsidR="008A74EB" w:rsidRPr="00993B55">
        <w:rPr>
          <w:rStyle w:val="libFootnoteBoldChar"/>
          <w:rtl/>
        </w:rPr>
        <w:t>الوافي</w:t>
      </w:r>
      <w:r w:rsidR="008A74EB" w:rsidRPr="00C9040A">
        <w:rPr>
          <w:rtl/>
        </w:rPr>
        <w:t xml:space="preserve"> ، ج 4 ، ص 441 ، ح 2285 ؛ </w:t>
      </w:r>
      <w:r w:rsidR="008A74EB" w:rsidRPr="00993B55">
        <w:rPr>
          <w:rStyle w:val="libFootnoteBoldChar"/>
          <w:rtl/>
        </w:rPr>
        <w:t>الوسائل</w:t>
      </w:r>
      <w:r w:rsidR="008A74EB" w:rsidRPr="00C9040A">
        <w:rPr>
          <w:rtl/>
        </w:rPr>
        <w:t xml:space="preserve"> ، ج 12 ، ص 169 ، ح 15984 ؛ </w:t>
      </w:r>
      <w:r w:rsidR="008A74EB" w:rsidRPr="00993B55">
        <w:rPr>
          <w:rStyle w:val="libFootnoteBoldChar"/>
          <w:rtl/>
        </w:rPr>
        <w:t>البحار</w:t>
      </w:r>
      <w:r w:rsidR="008A74EB" w:rsidRPr="00C9040A">
        <w:rPr>
          <w:rtl/>
        </w:rPr>
        <w:t xml:space="preserve"> ، ج 71 ، ص 401 ، ح 5.</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النَّدَامَةُ عَلَى الْعَفْوِ أَفْضَلُ وَأَيْسَرُ مِنَ النَّدَامَةِ عَلَى الْعُقُوبَةِ »</w:t>
      </w:r>
      <w:r>
        <w:rPr>
          <w:rtl/>
          <w:lang w:bidi="fa-IR"/>
        </w:rPr>
        <w:t>.</w:t>
      </w:r>
      <w:r w:rsidRPr="00C9040A">
        <w:rPr>
          <w:rtl/>
          <w:lang w:bidi="fa-IR"/>
        </w:rPr>
        <w:t xml:space="preserve"> </w:t>
      </w:r>
      <w:r w:rsidR="006C577F" w:rsidRPr="006C577F">
        <w:rPr>
          <w:rStyle w:val="libFootnotenumChar"/>
          <w:rtl/>
        </w:rPr>
        <w:t>(1)</w:t>
      </w:r>
      <w:r w:rsidRPr="00C9040A">
        <w:rPr>
          <w:rtl/>
          <w:lang w:bidi="fa-IR"/>
        </w:rPr>
        <w:t>‌</w:t>
      </w:r>
    </w:p>
    <w:p w:rsidR="008A74EB" w:rsidRPr="00C9040A" w:rsidRDefault="008A74EB" w:rsidP="008A74EB">
      <w:pPr>
        <w:pStyle w:val="libNormal"/>
        <w:rPr>
          <w:rtl/>
          <w:lang w:bidi="fa-IR"/>
        </w:rPr>
      </w:pPr>
      <w:r w:rsidRPr="00EF66ED">
        <w:rPr>
          <w:rtl/>
        </w:rPr>
        <w:t>1794</w:t>
      </w:r>
      <w:r w:rsidRPr="00261CB0">
        <w:rPr>
          <w:rStyle w:val="libBold2Char"/>
          <w:rtl/>
        </w:rPr>
        <w:t xml:space="preserve"> / 7.</w:t>
      </w:r>
      <w:r w:rsidRPr="00C9040A">
        <w:rPr>
          <w:rtl/>
          <w:lang w:bidi="fa-IR"/>
        </w:rPr>
        <w:t xml:space="preserve"> عِدَّةٌ مِنْ أَصْحَابِنَا ، عَنْ أَحْمَدَ بْنِ أَبِي عَبْدِ اللهِ ، عَنْ أَبِيهِ </w:t>
      </w:r>
      <w:r w:rsidR="006C577F" w:rsidRPr="006C577F">
        <w:rPr>
          <w:rStyle w:val="libFootnotenumChar"/>
          <w:rtl/>
        </w:rPr>
        <w:t>(2)</w:t>
      </w:r>
      <w:r w:rsidRPr="00C9040A">
        <w:rPr>
          <w:rtl/>
          <w:lang w:bidi="fa-IR"/>
        </w:rPr>
        <w:t xml:space="preserve"> ، عَنْ سَعْدَانَ ، عَنْ مُعَتِّبٍ ، قَالَ :</w:t>
      </w:r>
    </w:p>
    <w:p w:rsidR="008A74EB" w:rsidRPr="00C9040A" w:rsidRDefault="008A74EB" w:rsidP="008A74EB">
      <w:pPr>
        <w:pStyle w:val="libNormal"/>
        <w:rPr>
          <w:rtl/>
          <w:lang w:bidi="fa-IR"/>
        </w:rPr>
      </w:pPr>
      <w:r w:rsidRPr="00C9040A">
        <w:rPr>
          <w:rtl/>
          <w:lang w:bidi="fa-IR"/>
        </w:rPr>
        <w:t xml:space="preserve">كَانَ أَبُو الْحَسَنِ مُوسى </w:t>
      </w:r>
      <w:r w:rsidRPr="0003660B">
        <w:rPr>
          <w:rStyle w:val="libAlaemChar"/>
          <w:rtl/>
        </w:rPr>
        <w:t>عليه‌السلام</w:t>
      </w:r>
      <w:r w:rsidRPr="00C9040A">
        <w:rPr>
          <w:rtl/>
          <w:lang w:bidi="fa-IR"/>
        </w:rPr>
        <w:t xml:space="preserve"> فِي حَائِطٍ </w:t>
      </w:r>
      <w:r w:rsidR="006C577F" w:rsidRPr="006C577F">
        <w:rPr>
          <w:rStyle w:val="libFootnotenumChar"/>
          <w:rtl/>
        </w:rPr>
        <w:t>(3)</w:t>
      </w:r>
      <w:r w:rsidRPr="00C9040A">
        <w:rPr>
          <w:rtl/>
          <w:lang w:bidi="fa-IR"/>
        </w:rPr>
        <w:t xml:space="preserve"> لَهُ يَصْرِمُ </w:t>
      </w:r>
      <w:r w:rsidR="006C577F" w:rsidRPr="006C577F">
        <w:rPr>
          <w:rStyle w:val="libFootnotenumChar"/>
          <w:rtl/>
        </w:rPr>
        <w:t>(4)</w:t>
      </w:r>
      <w:r w:rsidRPr="00C9040A">
        <w:rPr>
          <w:rtl/>
          <w:lang w:bidi="fa-IR"/>
        </w:rPr>
        <w:t xml:space="preserve"> ، فَنَظَرْتُ إِلى غُلَامٍ لَهُ قَدْ أَخَذَ كَارَةً </w:t>
      </w:r>
      <w:r w:rsidR="006C577F" w:rsidRPr="006C577F">
        <w:rPr>
          <w:rStyle w:val="libFootnotenumChar"/>
          <w:rtl/>
        </w:rPr>
        <w:t>(5)</w:t>
      </w:r>
      <w:r w:rsidRPr="00C9040A">
        <w:rPr>
          <w:rtl/>
          <w:lang w:bidi="fa-IR"/>
        </w:rPr>
        <w:t xml:space="preserve"> مِنْ تَمْرٍ ، فَرَمى بِهَا وَرَاءَ </w:t>
      </w:r>
      <w:r w:rsidR="006C577F" w:rsidRPr="006C577F">
        <w:rPr>
          <w:rStyle w:val="libFootnotenumChar"/>
          <w:rtl/>
        </w:rPr>
        <w:t>(6)</w:t>
      </w:r>
      <w:r w:rsidRPr="005B567D">
        <w:rPr>
          <w:rStyle w:val="libFootnotenumChar"/>
          <w:rtl/>
        </w:rPr>
        <w:t xml:space="preserve"> </w:t>
      </w:r>
      <w:r w:rsidRPr="00C9040A">
        <w:rPr>
          <w:rtl/>
          <w:lang w:bidi="fa-IR"/>
        </w:rPr>
        <w:t xml:space="preserve">الْحَائِطِ ، فَأَتَيْتُهُ وَأَخَذْتُهُ </w:t>
      </w:r>
      <w:r w:rsidR="006C577F" w:rsidRPr="006C577F">
        <w:rPr>
          <w:rStyle w:val="libFootnotenumChar"/>
          <w:rtl/>
        </w:rPr>
        <w:t>(7)</w:t>
      </w:r>
      <w:r w:rsidRPr="00C9040A">
        <w:rPr>
          <w:rtl/>
          <w:lang w:bidi="fa-IR"/>
        </w:rPr>
        <w:t xml:space="preserve"> ، وَذَهَبْتُ بِهِ إِلَيْهِ ، فَقُلْتُ </w:t>
      </w:r>
      <w:r w:rsidR="006C577F" w:rsidRPr="006C577F">
        <w:rPr>
          <w:rStyle w:val="libFootnotenumChar"/>
          <w:rtl/>
        </w:rPr>
        <w:t>(8)</w:t>
      </w:r>
      <w:r w:rsidRPr="00C9040A">
        <w:rPr>
          <w:rtl/>
          <w:lang w:bidi="fa-IR"/>
        </w:rPr>
        <w:t xml:space="preserve"> : جُعِلْتُ فِدَاكَ ، إِنِّي وَجَدْتُ هذَا وَهذِهِ الْكَارَةَ ، فَقَالَ لِلْغُلَامِ : « يَا </w:t>
      </w:r>
      <w:r w:rsidR="006C577F" w:rsidRPr="006C577F">
        <w:rPr>
          <w:rStyle w:val="libFootnotenumChar"/>
          <w:rtl/>
        </w:rPr>
        <w:t>(9)</w:t>
      </w:r>
      <w:r w:rsidRPr="00C9040A">
        <w:rPr>
          <w:rtl/>
          <w:lang w:bidi="fa-IR"/>
        </w:rPr>
        <w:t xml:space="preserve"> فُلَانُ » قَالَ لَبَّيْكَ ، قَالَ :</w:t>
      </w:r>
      <w:r>
        <w:rPr>
          <w:rFonts w:hint="cs"/>
          <w:rtl/>
          <w:lang w:bidi="fa-IR"/>
        </w:rPr>
        <w:t xml:space="preserve"> </w:t>
      </w:r>
      <w:r>
        <w:rPr>
          <w:rtl/>
          <w:lang w:bidi="fa-IR"/>
        </w:rPr>
        <w:t>« أَ</w:t>
      </w:r>
      <w:r w:rsidRPr="00C9040A">
        <w:rPr>
          <w:rtl/>
          <w:lang w:bidi="fa-IR"/>
        </w:rPr>
        <w:t xml:space="preserve">تَجُوعُ </w:t>
      </w:r>
      <w:r w:rsidR="006C577F" w:rsidRPr="006C577F">
        <w:rPr>
          <w:rStyle w:val="libFootnotenumChar"/>
          <w:rtl/>
        </w:rPr>
        <w:t>(10)</w:t>
      </w:r>
      <w:r>
        <w:rPr>
          <w:rtl/>
          <w:lang w:bidi="fa-IR"/>
        </w:rPr>
        <w:t>؟</w:t>
      </w:r>
      <w:r w:rsidRPr="00C9040A">
        <w:rPr>
          <w:rtl/>
          <w:lang w:bidi="fa-IR"/>
        </w:rPr>
        <w:t xml:space="preserve"> » قَالَ : لَايَا سَيِّدِي ، قَالَ : « فَتَعْرى </w:t>
      </w:r>
      <w:r w:rsidR="006C577F" w:rsidRPr="006C577F">
        <w:rPr>
          <w:rStyle w:val="libFootnotenumChar"/>
          <w:rtl/>
        </w:rPr>
        <w:t>(11)</w:t>
      </w:r>
      <w:r>
        <w:rPr>
          <w:rtl/>
          <w:lang w:bidi="fa-IR"/>
        </w:rPr>
        <w:t>؟</w:t>
      </w:r>
      <w:r w:rsidRPr="00C9040A">
        <w:rPr>
          <w:rtl/>
          <w:lang w:bidi="fa-IR"/>
        </w:rPr>
        <w:t xml:space="preserve"> » قَالَ :</w:t>
      </w:r>
      <w:r w:rsidR="001012C1">
        <w:rPr>
          <w:rFonts w:hint="cs"/>
          <w:rtl/>
          <w:lang w:bidi="fa-IR"/>
        </w:rPr>
        <w:t>.............................</w:t>
      </w:r>
      <w:r w:rsidR="001012C1">
        <w:rPr>
          <w:rFonts w:hint="cs"/>
          <w:rtl/>
          <w:lang w:bidi="fa-IR"/>
        </w:rPr>
        <w:tab/>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993B55">
        <w:rPr>
          <w:rStyle w:val="libFootnoteBoldChar"/>
          <w:rtl/>
        </w:rPr>
        <w:t>الوافي</w:t>
      </w:r>
      <w:r w:rsidR="008A74EB" w:rsidRPr="00C9040A">
        <w:rPr>
          <w:rtl/>
        </w:rPr>
        <w:t xml:space="preserve"> ، ج 4 ، ص 441 ، ح 2286 ؛ </w:t>
      </w:r>
      <w:r w:rsidR="008A74EB" w:rsidRPr="00993B55">
        <w:rPr>
          <w:rStyle w:val="libFootnoteBoldChar"/>
          <w:rtl/>
        </w:rPr>
        <w:t>الوسائل</w:t>
      </w:r>
      <w:r w:rsidR="008A74EB" w:rsidRPr="00C9040A">
        <w:rPr>
          <w:rtl/>
        </w:rPr>
        <w:t xml:space="preserve"> ، ج 12 ، ص 170 ، ح 15986 ؛ </w:t>
      </w:r>
      <w:r w:rsidR="008A74EB" w:rsidRPr="00993B55">
        <w:rPr>
          <w:rStyle w:val="libFootnoteBoldChar"/>
          <w:rtl/>
        </w:rPr>
        <w:t>البحار</w:t>
      </w:r>
      <w:r w:rsidR="008A74EB" w:rsidRPr="00C9040A">
        <w:rPr>
          <w:rtl/>
        </w:rPr>
        <w:t xml:space="preserve"> ، ج 71 ، ص 401 ، ح 6.</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هكذا في « ص »</w:t>
      </w:r>
      <w:r w:rsidR="008A74EB">
        <w:rPr>
          <w:rtl/>
        </w:rPr>
        <w:t>.</w:t>
      </w:r>
      <w:r w:rsidR="008A74EB" w:rsidRPr="00C9040A">
        <w:rPr>
          <w:rtl/>
        </w:rPr>
        <w:t xml:space="preserve"> وفي « ب ، ج ، د ، ز ، ض ، ف ، بر ، بس ، بف ، جر » والمطبوع والبحار </w:t>
      </w:r>
      <w:r w:rsidR="008A74EB">
        <w:rPr>
          <w:rtl/>
        </w:rPr>
        <w:t xml:space="preserve">: </w:t>
      </w:r>
      <w:r w:rsidR="0084262C">
        <w:rPr>
          <w:rtl/>
        </w:rPr>
        <w:t>-</w:t>
      </w:r>
      <w:r w:rsidR="008A74EB" w:rsidRPr="00C9040A">
        <w:rPr>
          <w:rtl/>
        </w:rPr>
        <w:t xml:space="preserve"> « عن أبيه »</w:t>
      </w:r>
      <w:r w:rsidR="008A74EB">
        <w:rPr>
          <w:rtl/>
        </w:rPr>
        <w:t>.</w:t>
      </w:r>
    </w:p>
    <w:p w:rsidR="008A74EB" w:rsidRPr="00C9040A" w:rsidRDefault="008A74EB" w:rsidP="004A4E41">
      <w:pPr>
        <w:pStyle w:val="libFootnote0"/>
        <w:rPr>
          <w:rtl/>
          <w:lang w:bidi="fa-IR"/>
        </w:rPr>
      </w:pPr>
      <w:r w:rsidRPr="00323A39">
        <w:rPr>
          <w:rtl/>
        </w:rPr>
        <w:t xml:space="preserve">والصواب ما أثبتناه ، فقد أكثر أحمد بن أبي عبد الله من الرواية عن سعدان [ بن مسلم ] بتوسّط أبيه في كتابه المحاسن ، كما توسّط والد أحمد بينهما في غيره من الكتب ، ولم يثبت رواية أحمد عن سعدان مباشرة ، وما يبدو منه رواية أحمد عن سعدان بلاواسطة ممّا ورد في </w:t>
      </w:r>
      <w:r w:rsidRPr="00993B55">
        <w:rPr>
          <w:rStyle w:val="libFootnoteBoldChar"/>
          <w:rtl/>
        </w:rPr>
        <w:t>المحاسن</w:t>
      </w:r>
      <w:r w:rsidRPr="00323A39">
        <w:rPr>
          <w:rtl/>
        </w:rPr>
        <w:t xml:space="preserve"> ، ص 99 ، ح 69 ؛ وص 403 ، ح 99 ؛ وص 409 ، ح 132 ، ففيه خلل لا محالة ؛ فإنّ الأوّل رواه الكليني </w:t>
      </w:r>
      <w:r w:rsidR="00117575" w:rsidRPr="00117575">
        <w:rPr>
          <w:rStyle w:val="libFootnoteAlaemChar"/>
          <w:rtl/>
        </w:rPr>
        <w:t>قدس‌سره</w:t>
      </w:r>
      <w:r w:rsidRPr="00323A39">
        <w:rPr>
          <w:rtl/>
        </w:rPr>
        <w:t xml:space="preserve"> في </w:t>
      </w:r>
      <w:r w:rsidRPr="00993B55">
        <w:rPr>
          <w:rStyle w:val="libFootnoteBoldChar"/>
          <w:rtl/>
        </w:rPr>
        <w:t>الكافي</w:t>
      </w:r>
      <w:r w:rsidRPr="00323A39">
        <w:rPr>
          <w:rtl/>
        </w:rPr>
        <w:t xml:space="preserve"> ، ح 2788 ، وقد توسّط محمّد بن عليّ بينهما. والثاني رواه في </w:t>
      </w:r>
      <w:r w:rsidRPr="00993B55">
        <w:rPr>
          <w:rStyle w:val="libFootnoteBoldChar"/>
          <w:rtl/>
        </w:rPr>
        <w:t>الكافي</w:t>
      </w:r>
      <w:r w:rsidRPr="00323A39">
        <w:rPr>
          <w:rtl/>
        </w:rPr>
        <w:t xml:space="preserve"> ، ح 11821 ، والمتوسّط بينهما والد أحمد. وأمّا الثالث ، فقد ورد في المحاسن هكذا : « عنه ، عن سعدان » إلخ. وقد سبقه خبر بهذا السند : « عنه ، عن أبيه ، عن سعدان » إلخ. والمحتمل قويّاً أنّ السند كان في أصل الكتاب معلّقاً على سابقه ولم يلتفت إلى هذا الأمر راوي الكتاب وأضاف لفظة « عنه » في صدر كلا السندين. راجع : </w:t>
      </w:r>
      <w:r w:rsidRPr="00993B55">
        <w:rPr>
          <w:rStyle w:val="libFootnoteBoldChar"/>
          <w:rtl/>
        </w:rPr>
        <w:t>معجم رجال الحديث</w:t>
      </w:r>
      <w:r w:rsidRPr="00323A39">
        <w:rPr>
          <w:rtl/>
        </w:rPr>
        <w:t xml:space="preserve"> ، ج 16 ، ص 357 </w:t>
      </w:r>
      <w:r w:rsidR="0084262C" w:rsidRPr="00323A39">
        <w:rPr>
          <w:rtl/>
        </w:rPr>
        <w:t>-</w:t>
      </w:r>
      <w:r w:rsidRPr="00323A39">
        <w:rPr>
          <w:rtl/>
        </w:rPr>
        <w:t xml:space="preserve"> 358 ؛ وج 21 ، ص 407.</w:t>
      </w:r>
    </w:p>
    <w:p w:rsidR="008A74EB" w:rsidRPr="00C9040A" w:rsidRDefault="006C577F" w:rsidP="004A4E41">
      <w:pPr>
        <w:pStyle w:val="libFootnote0"/>
        <w:rPr>
          <w:rtl/>
          <w:lang w:bidi="fa-IR"/>
        </w:rPr>
      </w:pPr>
      <w:r>
        <w:rPr>
          <w:rtl/>
        </w:rPr>
        <w:t>(3).</w:t>
      </w:r>
      <w:r w:rsidR="008A74EB" w:rsidRPr="00C9040A">
        <w:rPr>
          <w:rtl/>
        </w:rPr>
        <w:t xml:space="preserve"> « الحائط » : البستان. وجمعه : حوائط. </w:t>
      </w:r>
      <w:r w:rsidR="008A74EB" w:rsidRPr="00993B55">
        <w:rPr>
          <w:rStyle w:val="libFootnoteBoldChar"/>
          <w:rtl/>
        </w:rPr>
        <w:t>المصباح المنير</w:t>
      </w:r>
      <w:r w:rsidR="008A74EB" w:rsidRPr="00C9040A">
        <w:rPr>
          <w:rtl/>
        </w:rPr>
        <w:t xml:space="preserve"> ، ص 157 ( حوط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 يصرم » ، أي يقطع الثمرة من النخلة ؛ من الصَّرْم ، وهو القطع والجَذّ. والصِّرام ، وهو قطع الثمرة واجتناؤها من النخلة. راجع : </w:t>
      </w:r>
      <w:r w:rsidR="008A74EB" w:rsidRPr="00993B55">
        <w:rPr>
          <w:rStyle w:val="libFootnoteBoldChar"/>
          <w:rtl/>
        </w:rPr>
        <w:t>الصحاح</w:t>
      </w:r>
      <w:r w:rsidR="008A74EB" w:rsidRPr="00C9040A">
        <w:rPr>
          <w:rtl/>
        </w:rPr>
        <w:t xml:space="preserve"> ، ج 5 ، ص 1965 ؛ </w:t>
      </w:r>
      <w:r w:rsidR="008A74EB" w:rsidRPr="00993B55">
        <w:rPr>
          <w:rStyle w:val="libFootnoteBoldChar"/>
          <w:rtl/>
        </w:rPr>
        <w:t>النهاية</w:t>
      </w:r>
      <w:r w:rsidR="008A74EB" w:rsidRPr="00C9040A">
        <w:rPr>
          <w:rtl/>
        </w:rPr>
        <w:t xml:space="preserve"> ، ج 3 ، ص 26 ( صرم )</w:t>
      </w:r>
      <w:r w:rsidR="008A74EB">
        <w:rPr>
          <w:rtl/>
        </w:rPr>
        <w:t>.</w:t>
      </w:r>
    </w:p>
    <w:p w:rsidR="008A74EB" w:rsidRPr="004A4E41" w:rsidRDefault="006C577F" w:rsidP="004A4E41">
      <w:pPr>
        <w:pStyle w:val="libFootnote0"/>
        <w:rPr>
          <w:rStyle w:val="libFootnote0Char"/>
          <w:rtl/>
        </w:rPr>
      </w:pPr>
      <w:r>
        <w:rPr>
          <w:rtl/>
        </w:rPr>
        <w:t>(5).</w:t>
      </w:r>
      <w:r w:rsidR="008A74EB" w:rsidRPr="00C9040A">
        <w:rPr>
          <w:rtl/>
        </w:rPr>
        <w:t xml:space="preserve"> « الكارة » : مقدار معلوم من الطعام. راجع : </w:t>
      </w:r>
      <w:r w:rsidR="008A74EB" w:rsidRPr="00993B55">
        <w:rPr>
          <w:rStyle w:val="libFootnoteBoldChar"/>
          <w:rtl/>
        </w:rPr>
        <w:t>القاموس المحيط</w:t>
      </w:r>
      <w:r w:rsidR="008A74EB" w:rsidRPr="00C9040A">
        <w:rPr>
          <w:rtl/>
        </w:rPr>
        <w:t xml:space="preserve"> ، ج 1 ، ص 656 ( كور )</w:t>
      </w:r>
      <w:r w:rsidR="008A74EB">
        <w:rPr>
          <w:rtl/>
        </w:rPr>
        <w:t>.</w:t>
      </w:r>
    </w:p>
    <w:tbl>
      <w:tblPr>
        <w:tblStyle w:val="TableGrid"/>
        <w:bidiVisual/>
        <w:tblW w:w="0" w:type="auto"/>
        <w:tblLook w:val="04A0" w:firstRow="1" w:lastRow="0" w:firstColumn="1" w:lastColumn="0" w:noHBand="0" w:noVBand="1"/>
      </w:tblPr>
      <w:tblGrid>
        <w:gridCol w:w="4006"/>
        <w:gridCol w:w="4006"/>
      </w:tblGrid>
      <w:tr w:rsidR="001012C1" w:rsidTr="001012C1">
        <w:tc>
          <w:tcPr>
            <w:tcW w:w="4006" w:type="dxa"/>
          </w:tcPr>
          <w:p w:rsidR="001012C1" w:rsidRDefault="001012C1" w:rsidP="004A4E41">
            <w:pPr>
              <w:pStyle w:val="libFootnote0"/>
              <w:rPr>
                <w:rtl/>
              </w:rPr>
            </w:pPr>
            <w:r>
              <w:rPr>
                <w:rtl/>
              </w:rPr>
              <w:t xml:space="preserve">(6). </w:t>
            </w:r>
            <w:r w:rsidRPr="00C9040A">
              <w:rPr>
                <w:rtl/>
              </w:rPr>
              <w:t>في « ف » : « من وراء »</w:t>
            </w:r>
            <w:r>
              <w:rPr>
                <w:rtl/>
              </w:rPr>
              <w:t>.</w:t>
            </w:r>
          </w:p>
        </w:tc>
        <w:tc>
          <w:tcPr>
            <w:tcW w:w="4006" w:type="dxa"/>
          </w:tcPr>
          <w:p w:rsidR="001012C1" w:rsidRDefault="001012C1" w:rsidP="004A4E41">
            <w:pPr>
              <w:pStyle w:val="libFootnote0"/>
              <w:rPr>
                <w:rtl/>
              </w:rPr>
            </w:pPr>
            <w:r>
              <w:rPr>
                <w:rtl/>
              </w:rPr>
              <w:t>(7).</w:t>
            </w:r>
            <w:r w:rsidRPr="00C9040A">
              <w:rPr>
                <w:rtl/>
              </w:rPr>
              <w:t xml:space="preserve"> في « ج ، ض » والبحار : « فأخذته »</w:t>
            </w:r>
            <w:r>
              <w:rPr>
                <w:rtl/>
              </w:rPr>
              <w:t>.</w:t>
            </w:r>
          </w:p>
        </w:tc>
      </w:tr>
    </w:tbl>
    <w:p w:rsidR="008A74EB" w:rsidRPr="00C9040A" w:rsidRDefault="006C577F" w:rsidP="004A4E41">
      <w:pPr>
        <w:pStyle w:val="libFootnote0"/>
        <w:rPr>
          <w:rtl/>
          <w:lang w:bidi="fa-IR"/>
        </w:rPr>
      </w:pPr>
      <w:r>
        <w:rPr>
          <w:rtl/>
        </w:rPr>
        <w:t>(8).</w:t>
      </w:r>
      <w:r w:rsidR="008A74EB" w:rsidRPr="00C9040A">
        <w:rPr>
          <w:rtl/>
        </w:rPr>
        <w:t xml:space="preserve"> في « ب ، ج ، ض ، بر ، بف » والوافي والبحار : + « له »</w:t>
      </w:r>
      <w:r w:rsidR="008A74EB">
        <w:rPr>
          <w:rtl/>
        </w:rPr>
        <w:t>.</w:t>
      </w:r>
    </w:p>
    <w:p w:rsidR="008A74EB" w:rsidRPr="004A4E41" w:rsidRDefault="006C577F" w:rsidP="004A4E41">
      <w:pPr>
        <w:pStyle w:val="libFootnote0"/>
        <w:rPr>
          <w:rStyle w:val="libFootnote0Char"/>
          <w:rtl/>
        </w:rPr>
      </w:pPr>
      <w:r>
        <w:rPr>
          <w:rtl/>
        </w:rPr>
        <w:t>(9).</w:t>
      </w:r>
      <w:r w:rsidR="008A74EB" w:rsidRPr="00C9040A">
        <w:rPr>
          <w:rtl/>
        </w:rPr>
        <w:t xml:space="preserve"> في « ج ، د ، ز ، ص ، ض ، ف ، بر » والبحار </w:t>
      </w:r>
      <w:r w:rsidR="008A74EB">
        <w:rPr>
          <w:rtl/>
        </w:rPr>
        <w:t xml:space="preserve">: </w:t>
      </w:r>
      <w:r w:rsidR="0084262C">
        <w:rPr>
          <w:rtl/>
        </w:rPr>
        <w:t>-</w:t>
      </w:r>
      <w:r w:rsidR="008A74EB" w:rsidRPr="00C9040A">
        <w:rPr>
          <w:rtl/>
        </w:rPr>
        <w:t xml:space="preserve"> « يا »</w:t>
      </w:r>
      <w:r w:rsidR="008A74EB">
        <w:rPr>
          <w:rtl/>
        </w:rPr>
        <w:t>.</w:t>
      </w:r>
    </w:p>
    <w:tbl>
      <w:tblPr>
        <w:tblStyle w:val="TableGrid"/>
        <w:bidiVisual/>
        <w:tblW w:w="0" w:type="auto"/>
        <w:tblLook w:val="04A0" w:firstRow="1" w:lastRow="0" w:firstColumn="1" w:lastColumn="0" w:noHBand="0" w:noVBand="1"/>
      </w:tblPr>
      <w:tblGrid>
        <w:gridCol w:w="4006"/>
        <w:gridCol w:w="4006"/>
      </w:tblGrid>
      <w:tr w:rsidR="00A62C82" w:rsidTr="00A62C82">
        <w:tc>
          <w:tcPr>
            <w:tcW w:w="4006" w:type="dxa"/>
          </w:tcPr>
          <w:p w:rsidR="00A62C82" w:rsidRDefault="00A62C82" w:rsidP="004A4E41">
            <w:pPr>
              <w:pStyle w:val="libFootnote0"/>
              <w:rPr>
                <w:rtl/>
              </w:rPr>
            </w:pPr>
            <w:r>
              <w:rPr>
                <w:rtl/>
              </w:rPr>
              <w:t>(10).</w:t>
            </w:r>
            <w:r w:rsidRPr="00C9040A">
              <w:rPr>
                <w:rtl/>
              </w:rPr>
              <w:t xml:space="preserve"> في « ص » : « أتجوّع » بحذف إحدى التاءين.</w:t>
            </w:r>
          </w:p>
        </w:tc>
        <w:tc>
          <w:tcPr>
            <w:tcW w:w="4006" w:type="dxa"/>
          </w:tcPr>
          <w:p w:rsidR="00A62C82" w:rsidRDefault="00A62C82" w:rsidP="004A4E41">
            <w:pPr>
              <w:pStyle w:val="libFootnote0"/>
              <w:rPr>
                <w:rtl/>
              </w:rPr>
            </w:pPr>
            <w:r>
              <w:rPr>
                <w:rtl/>
              </w:rPr>
              <w:t>(11).</w:t>
            </w:r>
            <w:r w:rsidRPr="00C9040A">
              <w:rPr>
                <w:rtl/>
              </w:rPr>
              <w:t xml:space="preserve"> في « ف » : « أفتعرى »</w:t>
            </w:r>
            <w:r>
              <w:rPr>
                <w:rtl/>
              </w:rPr>
              <w:t>.</w:t>
            </w:r>
          </w:p>
        </w:tc>
      </w:tr>
    </w:tbl>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لَايَا </w:t>
      </w:r>
      <w:r w:rsidR="006C577F" w:rsidRPr="006C577F">
        <w:rPr>
          <w:rStyle w:val="libFootnotenumChar"/>
          <w:rtl/>
        </w:rPr>
        <w:t>(1)</w:t>
      </w:r>
      <w:r w:rsidRPr="00C9040A">
        <w:rPr>
          <w:rtl/>
          <w:lang w:bidi="fa-IR"/>
        </w:rPr>
        <w:t xml:space="preserve"> سَيِّدِي </w:t>
      </w:r>
      <w:r w:rsidR="006C577F" w:rsidRPr="006C577F">
        <w:rPr>
          <w:rStyle w:val="libFootnotenumChar"/>
          <w:rtl/>
        </w:rPr>
        <w:t>(2)</w:t>
      </w:r>
      <w:r w:rsidRPr="00C9040A">
        <w:rPr>
          <w:rtl/>
          <w:lang w:bidi="fa-IR"/>
        </w:rPr>
        <w:t xml:space="preserve"> ، قَالَ : « فَلِأَيِّ شَيْ‌ءٍ أَخَذْتَ هذِهِ </w:t>
      </w:r>
      <w:r w:rsidR="006C577F" w:rsidRPr="006C577F">
        <w:rPr>
          <w:rStyle w:val="libFootnotenumChar"/>
          <w:rtl/>
        </w:rPr>
        <w:t>(3)</w:t>
      </w:r>
      <w:r>
        <w:rPr>
          <w:rtl/>
          <w:lang w:bidi="fa-IR"/>
        </w:rPr>
        <w:t>؟</w:t>
      </w:r>
      <w:r w:rsidRPr="00C9040A">
        <w:rPr>
          <w:rtl/>
          <w:lang w:bidi="fa-IR"/>
        </w:rPr>
        <w:t xml:space="preserve"> » قَالَ : اشْتَهَيْتُ ذلِكَ ، قَالَ : « اذْهَبْ ، فَهِيَ لَكَ » وَقَالَ : « خَلُّوا عَنْهُ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EF66ED">
        <w:rPr>
          <w:rtl/>
        </w:rPr>
        <w:t>1795</w:t>
      </w:r>
      <w:r w:rsidRPr="00261CB0">
        <w:rPr>
          <w:rStyle w:val="libBold2Char"/>
          <w:rtl/>
        </w:rPr>
        <w:t xml:space="preserve"> / 8.</w:t>
      </w:r>
      <w:r w:rsidRPr="00C9040A">
        <w:rPr>
          <w:rtl/>
          <w:lang w:bidi="fa-IR"/>
        </w:rPr>
        <w:t xml:space="preserve"> عَنْهُ </w:t>
      </w:r>
      <w:r w:rsidR="006C577F" w:rsidRPr="006C577F">
        <w:rPr>
          <w:rStyle w:val="libFootnotenumChar"/>
          <w:rtl/>
        </w:rPr>
        <w:t>(5)</w:t>
      </w:r>
      <w:r w:rsidRPr="00C9040A">
        <w:rPr>
          <w:rtl/>
          <w:lang w:bidi="fa-IR"/>
        </w:rPr>
        <w:t xml:space="preserve"> ، عَنِ ابْنِ فَضَّالٍ ، قَالَ :</w:t>
      </w:r>
    </w:p>
    <w:p w:rsidR="008A74EB" w:rsidRPr="00C9040A" w:rsidRDefault="008A74EB" w:rsidP="008A74EB">
      <w:pPr>
        <w:pStyle w:val="libNormal"/>
        <w:rPr>
          <w:rtl/>
          <w:lang w:bidi="fa-IR"/>
        </w:rPr>
      </w:pPr>
      <w:r w:rsidRPr="00C9040A">
        <w:rPr>
          <w:rtl/>
          <w:lang w:bidi="fa-IR"/>
        </w:rPr>
        <w:t xml:space="preserve">سَمِعْتُ أَبَا الْحَسَنِ </w:t>
      </w:r>
      <w:r w:rsidRPr="0003660B">
        <w:rPr>
          <w:rStyle w:val="libAlaemChar"/>
          <w:rtl/>
        </w:rPr>
        <w:t>عليه‌السلام</w:t>
      </w:r>
      <w:r w:rsidRPr="00C9040A">
        <w:rPr>
          <w:rtl/>
          <w:lang w:bidi="fa-IR"/>
        </w:rPr>
        <w:t xml:space="preserve"> يَقُولُ : « مَا الْتَقَتْ </w:t>
      </w:r>
      <w:r w:rsidR="006C577F" w:rsidRPr="006C577F">
        <w:rPr>
          <w:rStyle w:val="libFootnotenumChar"/>
          <w:rtl/>
        </w:rPr>
        <w:t>(6)</w:t>
      </w:r>
      <w:r w:rsidRPr="005B567D">
        <w:rPr>
          <w:rStyle w:val="libFootnotenumChar"/>
          <w:rtl/>
        </w:rPr>
        <w:t xml:space="preserve"> </w:t>
      </w:r>
      <w:r w:rsidR="00035176">
        <w:rPr>
          <w:rtl/>
          <w:lang w:bidi="fa-IR"/>
        </w:rPr>
        <w:t>فِئَتَانِ قَطُّ إِل</w:t>
      </w:r>
      <w:r w:rsidR="00035176">
        <w:rPr>
          <w:rFonts w:hint="cs"/>
          <w:rtl/>
          <w:lang w:bidi="fa-IR"/>
        </w:rPr>
        <w:t>َّ</w:t>
      </w:r>
      <w:r w:rsidR="00035176">
        <w:rPr>
          <w:rtl/>
          <w:lang w:bidi="fa-IR"/>
        </w:rPr>
        <w:t>ا</w:t>
      </w:r>
      <w:r w:rsidRPr="00C9040A">
        <w:rPr>
          <w:rtl/>
          <w:lang w:bidi="fa-IR"/>
        </w:rPr>
        <w:t xml:space="preserve"> نُصِرَ </w:t>
      </w:r>
      <w:r w:rsidR="006C577F" w:rsidRPr="006C577F">
        <w:rPr>
          <w:rStyle w:val="libFootnotenumChar"/>
          <w:rtl/>
        </w:rPr>
        <w:t>(7)</w:t>
      </w:r>
      <w:r w:rsidRPr="00C9040A">
        <w:rPr>
          <w:rtl/>
          <w:lang w:bidi="fa-IR"/>
        </w:rPr>
        <w:t xml:space="preserve"> أَعْظَمُهُمَا عَفْواً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Normal"/>
        <w:rPr>
          <w:rtl/>
          <w:lang w:bidi="fa-IR"/>
        </w:rPr>
      </w:pPr>
      <w:r w:rsidRPr="00EF66ED">
        <w:rPr>
          <w:rtl/>
        </w:rPr>
        <w:t>1796</w:t>
      </w:r>
      <w:r w:rsidRPr="00261CB0">
        <w:rPr>
          <w:rStyle w:val="libBold2Char"/>
          <w:rtl/>
        </w:rPr>
        <w:t xml:space="preserve"> / 9.</w:t>
      </w:r>
      <w:r w:rsidRPr="00C9040A">
        <w:rPr>
          <w:rtl/>
          <w:lang w:bidi="fa-IR"/>
        </w:rPr>
        <w:t xml:space="preserve"> مُحَمَّدُ بْنُ يَحْيى ، عَنْ أَحْمَدَ بْنِ مُحَمَّدِ بْنِ عِيسى ، عَنِ ابْنِ فَضَّالٍ ، عَنِ ابْنِ بُكَيْرٍ ، عَنْ زُرَارَةَ :</w:t>
      </w:r>
    </w:p>
    <w:p w:rsidR="008A74EB" w:rsidRPr="00C9040A" w:rsidRDefault="008A74EB" w:rsidP="00035176">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إِنَّ رَسُولَ اللهِ </w:t>
      </w:r>
      <w:r w:rsidR="004A4E41" w:rsidRPr="004A4E41">
        <w:rPr>
          <w:rStyle w:val="libAlaemChar"/>
          <w:rtl/>
        </w:rPr>
        <w:t>صلى‌الله‌عليه‌وآله</w:t>
      </w:r>
      <w:r w:rsidR="00035176" w:rsidRPr="00C9040A">
        <w:rPr>
          <w:rtl/>
          <w:lang w:bidi="fa-IR"/>
        </w:rPr>
        <w:t xml:space="preserve"> </w:t>
      </w:r>
      <w:r w:rsidRPr="00C9040A">
        <w:rPr>
          <w:rtl/>
          <w:lang w:bidi="fa-IR"/>
        </w:rPr>
        <w:t xml:space="preserve">أُتِيَ بِالْيَهُودِيَّةِ الَّتِي سَمَّتِ الشَّاةَ لِلنَّبِيِّ </w:t>
      </w:r>
      <w:r w:rsidR="004A4E41" w:rsidRPr="004A4E41">
        <w:rPr>
          <w:rStyle w:val="libAlaemChar"/>
          <w:rtl/>
        </w:rPr>
        <w:t>صلى‌الله‌عليه‌وآله</w:t>
      </w:r>
      <w:r w:rsidRPr="00C9040A">
        <w:rPr>
          <w:rtl/>
          <w:lang w:bidi="fa-IR"/>
        </w:rPr>
        <w:t xml:space="preserve"> ، فَقَالَ لَهَا : مَا حَمَلَكِ عَلى مَا صَنَعْتِ</w:t>
      </w:r>
      <w:r>
        <w:rPr>
          <w:rtl/>
          <w:lang w:bidi="fa-IR"/>
        </w:rPr>
        <w:t>؟</w:t>
      </w:r>
      <w:r w:rsidRPr="00C9040A">
        <w:rPr>
          <w:rtl/>
          <w:lang w:bidi="fa-IR"/>
        </w:rPr>
        <w:t xml:space="preserve"> فَقَالَتْ : قُلْتُ : إِنْ كَانَ نَبِيّاً لَمْ يَضُرَّهُ ، وَإِنْ كَانَ مَلِكاً أَرَحْتُ النَّاسَ مِنْهُ » قَالَ : « فَعَفَا رَسُولُ اللهِ </w:t>
      </w:r>
      <w:r w:rsidR="004A4E41" w:rsidRPr="004A4E41">
        <w:rPr>
          <w:rStyle w:val="libAlaemChar"/>
          <w:rtl/>
        </w:rPr>
        <w:t>صلى‌الله‌عليه‌وآله</w:t>
      </w:r>
      <w:r w:rsidR="00035176" w:rsidRPr="00C9040A">
        <w:rPr>
          <w:rtl/>
          <w:lang w:bidi="fa-IR"/>
        </w:rPr>
        <w:t xml:space="preserve"> </w:t>
      </w:r>
      <w:r w:rsidRPr="00C9040A">
        <w:rPr>
          <w:rtl/>
          <w:lang w:bidi="fa-IR"/>
        </w:rPr>
        <w:t>عَنْهَا »</w:t>
      </w:r>
      <w:r>
        <w:rPr>
          <w:rtl/>
          <w:lang w:bidi="fa-IR"/>
        </w:rPr>
        <w:t>.</w:t>
      </w:r>
      <w:r w:rsidRPr="00C9040A">
        <w:rPr>
          <w:rtl/>
          <w:lang w:bidi="fa-IR"/>
        </w:rPr>
        <w:t xml:space="preserve"> </w:t>
      </w:r>
      <w:r w:rsidR="006C577F" w:rsidRPr="006C577F">
        <w:rPr>
          <w:rStyle w:val="libFootnotenumChar"/>
          <w:rtl/>
        </w:rPr>
        <w:t>(9)</w:t>
      </w:r>
      <w:r w:rsidRPr="00C9040A">
        <w:rPr>
          <w:rtl/>
          <w:lang w:bidi="fa-IR"/>
        </w:rPr>
        <w:t xml:space="preserve"> ‌</w:t>
      </w:r>
    </w:p>
    <w:p w:rsidR="008A74EB" w:rsidRPr="00C9040A" w:rsidRDefault="008A74EB" w:rsidP="008A74EB">
      <w:pPr>
        <w:pStyle w:val="libNormal"/>
        <w:rPr>
          <w:rtl/>
          <w:lang w:bidi="fa-IR"/>
        </w:rPr>
      </w:pPr>
      <w:r w:rsidRPr="00EF66ED">
        <w:rPr>
          <w:rtl/>
        </w:rPr>
        <w:t>1797</w:t>
      </w:r>
      <w:r w:rsidRPr="00261CB0">
        <w:rPr>
          <w:rStyle w:val="libBold2Char"/>
          <w:rtl/>
        </w:rPr>
        <w:t xml:space="preserve"> / 10.</w:t>
      </w:r>
      <w:r w:rsidRPr="00C9040A">
        <w:rPr>
          <w:rtl/>
          <w:lang w:bidi="fa-IR"/>
        </w:rPr>
        <w:t xml:space="preserve"> عَلِيُّ بْنُ إِبْرَاهِيمَ ، عَنْ مُحَمَّدِ بْنِ عِيسى ، عَنْ يُونُسَ ، عَنْ عَمْرِو بْنِ شِمْرٍ ،</w:t>
      </w:r>
      <w:r>
        <w:rPr>
          <w:rFonts w:hint="cs"/>
          <w:rtl/>
          <w:lang w:bidi="fa-IR"/>
        </w:rPr>
        <w:t xml:space="preserve"> </w:t>
      </w:r>
      <w:r w:rsidRPr="00C9040A">
        <w:rPr>
          <w:rtl/>
          <w:lang w:bidi="fa-IR"/>
        </w:rPr>
        <w:t>عَنْ جَابِرٍ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ثَلَاثٌ لَايَزِيدُ اللهُ بِهِنَّ ا</w:t>
      </w:r>
      <w:r w:rsidR="00035176">
        <w:rPr>
          <w:rtl/>
          <w:lang w:bidi="fa-IR"/>
        </w:rPr>
        <w:t>لْمَرْءَ الْمُسْلِمَ إِل</w:t>
      </w:r>
      <w:r w:rsidR="00035176">
        <w:rPr>
          <w:rFonts w:hint="cs"/>
          <w:rtl/>
          <w:lang w:bidi="fa-IR"/>
        </w:rPr>
        <w:t>َّ</w:t>
      </w:r>
      <w:r w:rsidR="00035176">
        <w:rPr>
          <w:rtl/>
          <w:lang w:bidi="fa-IR"/>
        </w:rPr>
        <w:t>ا</w:t>
      </w:r>
      <w:r w:rsidRPr="00C9040A">
        <w:rPr>
          <w:rtl/>
          <w:lang w:bidi="fa-IR"/>
        </w:rPr>
        <w:t xml:space="preserve"> عِزّاً : الصَّفْحُ عَمَّنْ‌</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ج » </w:t>
      </w:r>
      <w:r w:rsidR="008A74EB">
        <w:rPr>
          <w:rtl/>
        </w:rPr>
        <w:t xml:space="preserve">: </w:t>
      </w:r>
      <w:r w:rsidR="0084262C">
        <w:rPr>
          <w:rtl/>
        </w:rPr>
        <w:t>-</w:t>
      </w:r>
      <w:r w:rsidR="008A74EB" w:rsidRPr="00C9040A">
        <w:rPr>
          <w:rtl/>
        </w:rPr>
        <w:t xml:space="preserve"> « يا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البحار ، ج 71 </w:t>
      </w:r>
      <w:r w:rsidR="008A74EB">
        <w:rPr>
          <w:rtl/>
        </w:rPr>
        <w:t xml:space="preserve">: </w:t>
      </w:r>
      <w:r w:rsidR="0084262C">
        <w:rPr>
          <w:rtl/>
        </w:rPr>
        <w:t>-</w:t>
      </w:r>
      <w:r w:rsidR="008A74EB" w:rsidRPr="00C9040A">
        <w:rPr>
          <w:rtl/>
        </w:rPr>
        <w:t xml:space="preserve"> « قال : فتعرى ، قال : لا ، يا سيّدي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ب ، د ، ز ، ض ، ف ، بس ، بف » والوافي : « هذا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الوافي</w:t>
      </w:r>
      <w:r w:rsidR="008A74EB" w:rsidRPr="00C9040A">
        <w:rPr>
          <w:rtl/>
        </w:rPr>
        <w:t xml:space="preserve"> ، ج 4 ، ص 441 ، ح 2287 ؛ </w:t>
      </w:r>
      <w:r w:rsidR="008A74EB" w:rsidRPr="00993B55">
        <w:rPr>
          <w:rStyle w:val="libFootnoteBoldChar"/>
          <w:rtl/>
        </w:rPr>
        <w:t>البحار</w:t>
      </w:r>
      <w:r w:rsidR="008A74EB" w:rsidRPr="00C9040A">
        <w:rPr>
          <w:rtl/>
        </w:rPr>
        <w:t xml:space="preserve"> ، ج 48 ، ص</w:t>
      </w:r>
      <w:r w:rsidR="00327F2C">
        <w:rPr>
          <w:rtl/>
        </w:rPr>
        <w:t xml:space="preserve"> 115 ، ح 26 ؛ وج 71 ، ص 402 ، ح</w:t>
      </w:r>
      <w:r w:rsidR="008A74EB" w:rsidRPr="00C9040A">
        <w:rPr>
          <w:rtl/>
        </w:rPr>
        <w:t>7.</w:t>
      </w:r>
    </w:p>
    <w:p w:rsidR="008A74EB" w:rsidRPr="004A4E41" w:rsidRDefault="006C577F" w:rsidP="004A4E41">
      <w:pPr>
        <w:pStyle w:val="libFootnote0"/>
        <w:rPr>
          <w:rStyle w:val="libFootnote0Char"/>
          <w:rtl/>
        </w:rPr>
      </w:pPr>
      <w:r>
        <w:rPr>
          <w:rtl/>
        </w:rPr>
        <w:t>(5).</w:t>
      </w:r>
      <w:r w:rsidR="008A74EB" w:rsidRPr="00C9040A">
        <w:rPr>
          <w:rtl/>
        </w:rPr>
        <w:t xml:space="preserve"> الضمير راجع إلى أحمد بن أبي عبد الله المذكور في السند السابق.</w:t>
      </w:r>
    </w:p>
    <w:tbl>
      <w:tblPr>
        <w:tblStyle w:val="TableGrid"/>
        <w:bidiVisual/>
        <w:tblW w:w="0" w:type="auto"/>
        <w:tblLook w:val="04A0" w:firstRow="1" w:lastRow="0" w:firstColumn="1" w:lastColumn="0" w:noHBand="0" w:noVBand="1"/>
      </w:tblPr>
      <w:tblGrid>
        <w:gridCol w:w="4006"/>
        <w:gridCol w:w="4006"/>
      </w:tblGrid>
      <w:tr w:rsidR="00327F2C" w:rsidTr="00327F2C">
        <w:tc>
          <w:tcPr>
            <w:tcW w:w="4006" w:type="dxa"/>
          </w:tcPr>
          <w:p w:rsidR="00327F2C" w:rsidRDefault="00327F2C" w:rsidP="004A4E41">
            <w:pPr>
              <w:pStyle w:val="libFootnote0"/>
              <w:rPr>
                <w:rtl/>
              </w:rPr>
            </w:pPr>
            <w:r>
              <w:rPr>
                <w:rtl/>
              </w:rPr>
              <w:t xml:space="preserve">(6). </w:t>
            </w:r>
            <w:r w:rsidRPr="00C9040A">
              <w:rPr>
                <w:rtl/>
              </w:rPr>
              <w:t>في « ز » : « اتّصلت »</w:t>
            </w:r>
            <w:r>
              <w:rPr>
                <w:rtl/>
              </w:rPr>
              <w:t>.</w:t>
            </w:r>
          </w:p>
        </w:tc>
        <w:tc>
          <w:tcPr>
            <w:tcW w:w="4006" w:type="dxa"/>
          </w:tcPr>
          <w:p w:rsidR="00327F2C" w:rsidRDefault="00327F2C" w:rsidP="004A4E41">
            <w:pPr>
              <w:pStyle w:val="libFootnote0"/>
              <w:rPr>
                <w:rtl/>
              </w:rPr>
            </w:pPr>
            <w:r>
              <w:rPr>
                <w:rtl/>
              </w:rPr>
              <w:t>(7).</w:t>
            </w:r>
            <w:r w:rsidRPr="00C9040A">
              <w:rPr>
                <w:rtl/>
              </w:rPr>
              <w:t xml:space="preserve"> في الأمالي : + « الله »</w:t>
            </w:r>
            <w:r>
              <w:rPr>
                <w:rtl/>
              </w:rPr>
              <w:t>.</w:t>
            </w:r>
          </w:p>
        </w:tc>
      </w:tr>
    </w:tbl>
    <w:p w:rsidR="008A74EB" w:rsidRPr="00C9040A" w:rsidRDefault="006C577F" w:rsidP="004A4E41">
      <w:pPr>
        <w:pStyle w:val="libFootnote0"/>
        <w:rPr>
          <w:rtl/>
          <w:lang w:bidi="fa-IR"/>
        </w:rPr>
      </w:pPr>
      <w:r>
        <w:rPr>
          <w:rtl/>
        </w:rPr>
        <w:t>(8).</w:t>
      </w:r>
      <w:r w:rsidR="008A74EB" w:rsidRPr="00C9040A">
        <w:rPr>
          <w:rtl/>
        </w:rPr>
        <w:t xml:space="preserve"> </w:t>
      </w:r>
      <w:r w:rsidR="008A74EB" w:rsidRPr="0034021D">
        <w:rPr>
          <w:rStyle w:val="libFootnoteBoldChar"/>
          <w:rtl/>
        </w:rPr>
        <w:t>الأمالي للمفيد</w:t>
      </w:r>
      <w:r w:rsidR="008A74EB" w:rsidRPr="00C9040A">
        <w:rPr>
          <w:rtl/>
        </w:rPr>
        <w:t xml:space="preserve"> ، ص 209 ، المجلس 23 ، ح 45 ، بسند آخر عن الحسن بن عليّ بن فضّال. </w:t>
      </w:r>
      <w:r w:rsidR="008A74EB" w:rsidRPr="00993B55">
        <w:rPr>
          <w:rStyle w:val="libFootnoteBoldChar"/>
          <w:rtl/>
        </w:rPr>
        <w:t>تحف العقول</w:t>
      </w:r>
      <w:r w:rsidR="008A74EB" w:rsidRPr="00C9040A">
        <w:rPr>
          <w:rtl/>
        </w:rPr>
        <w:t xml:space="preserve"> ، ص 446 ، عن الرضا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الوافي</w:t>
      </w:r>
      <w:r w:rsidR="008A74EB" w:rsidRPr="00C9040A">
        <w:rPr>
          <w:rtl/>
        </w:rPr>
        <w:t xml:space="preserve"> ، ج 4 ، ص 441 ، ح 2288 ؛ </w:t>
      </w:r>
      <w:r w:rsidR="008A74EB" w:rsidRPr="00993B55">
        <w:rPr>
          <w:rStyle w:val="libFootnoteBoldChar"/>
          <w:rtl/>
        </w:rPr>
        <w:t>الوسائل</w:t>
      </w:r>
      <w:r w:rsidR="008A74EB" w:rsidRPr="00C9040A">
        <w:rPr>
          <w:rtl/>
        </w:rPr>
        <w:t xml:space="preserve"> ، ج 12 ، ص 169 ، ح 15983 ؛ </w:t>
      </w:r>
      <w:r w:rsidR="008A74EB" w:rsidRPr="00993B55">
        <w:rPr>
          <w:rStyle w:val="libFootnoteBoldChar"/>
          <w:rtl/>
        </w:rPr>
        <w:t>البحار</w:t>
      </w:r>
      <w:r w:rsidR="008A74EB" w:rsidRPr="00C9040A">
        <w:rPr>
          <w:rtl/>
        </w:rPr>
        <w:t xml:space="preserve"> ، ج 71 ، ص 402 ، ح 8.</w:t>
      </w:r>
    </w:p>
    <w:p w:rsidR="008A74EB" w:rsidRPr="00C9040A" w:rsidRDefault="006C577F" w:rsidP="004A4E41">
      <w:pPr>
        <w:pStyle w:val="libFootnote0"/>
        <w:rPr>
          <w:rtl/>
          <w:lang w:bidi="fa-IR"/>
        </w:rPr>
      </w:pPr>
      <w:r>
        <w:rPr>
          <w:rtl/>
        </w:rPr>
        <w:t>(9).</w:t>
      </w:r>
      <w:r w:rsidR="008A74EB" w:rsidRPr="00C9040A">
        <w:rPr>
          <w:rtl/>
        </w:rPr>
        <w:t xml:space="preserve"> </w:t>
      </w:r>
      <w:r w:rsidR="008A74EB" w:rsidRPr="0034021D">
        <w:rPr>
          <w:rStyle w:val="libFootnoteBoldChar"/>
          <w:rtl/>
        </w:rPr>
        <w:t>الأمالي للصدوق</w:t>
      </w:r>
      <w:r w:rsidR="008A74EB" w:rsidRPr="00C9040A">
        <w:rPr>
          <w:rtl/>
        </w:rPr>
        <w:t xml:space="preserve"> ، ص 224 ، المجلس 40 ، ضمن الحديث الطويل 2 ، بسند آخر عن عليّ </w:t>
      </w:r>
      <w:r w:rsidR="00117575" w:rsidRPr="00117575">
        <w:rPr>
          <w:rStyle w:val="libFootnoteAlaemChar"/>
          <w:rtl/>
        </w:rPr>
        <w:t xml:space="preserve">عليه‌السلام </w:t>
      </w:r>
      <w:r w:rsidR="008A74EB" w:rsidRPr="00C9040A">
        <w:rPr>
          <w:rtl/>
        </w:rPr>
        <w:t xml:space="preserve"> ، من دون الإشارة إلى عفو رسول الله </w:t>
      </w:r>
      <w:r w:rsidR="004A4E41" w:rsidRPr="00AC2E2F">
        <w:rPr>
          <w:rStyle w:val="libFootnoteAlaemChar"/>
          <w:rtl/>
        </w:rPr>
        <w:t>صلى‌الله‌عليه‌وآله</w:t>
      </w:r>
      <w:r w:rsidR="008A74EB" w:rsidRPr="00C9040A">
        <w:rPr>
          <w:rtl/>
        </w:rPr>
        <w:t xml:space="preserve"> عنها ، مع اختلاف يسير</w:t>
      </w:r>
      <w:r w:rsidR="008346EA">
        <w:rPr>
          <w:rFonts w:hint="cs"/>
          <w:rtl/>
        </w:rPr>
        <w:t>.</w:t>
      </w:r>
      <w:r w:rsidR="008A74EB" w:rsidRPr="00993B55">
        <w:rPr>
          <w:rStyle w:val="libFootnoteBoldChar"/>
          <w:rtl/>
        </w:rPr>
        <w:t>الوافي</w:t>
      </w:r>
      <w:r w:rsidR="008A74EB" w:rsidRPr="00C9040A">
        <w:rPr>
          <w:rtl/>
        </w:rPr>
        <w:t xml:space="preserve"> ، ج 4 ، ص 442 ، ح 2289 ؛ </w:t>
      </w:r>
      <w:r w:rsidR="008A74EB" w:rsidRPr="00993B55">
        <w:rPr>
          <w:rStyle w:val="libFootnoteBoldChar"/>
          <w:rtl/>
        </w:rPr>
        <w:t>الوسائل</w:t>
      </w:r>
      <w:r w:rsidR="008A74EB" w:rsidRPr="00C9040A">
        <w:rPr>
          <w:rtl/>
        </w:rPr>
        <w:t xml:space="preserve"> ، ج 12 ، ص 170 ، ح 15985 ؛ </w:t>
      </w:r>
      <w:r w:rsidR="008A74EB" w:rsidRPr="00993B55">
        <w:rPr>
          <w:rStyle w:val="libFootnoteBoldChar"/>
          <w:rtl/>
        </w:rPr>
        <w:t>البحار</w:t>
      </w:r>
      <w:r w:rsidR="008A74EB" w:rsidRPr="00C9040A">
        <w:rPr>
          <w:rtl/>
        </w:rPr>
        <w:t xml:space="preserve"> ، ج 16 ، ص 265 ، ح 62 ؛ وج 71 ، ص 402 ، ح 9.</w:t>
      </w:r>
    </w:p>
    <w:p w:rsidR="004B7F34" w:rsidRDefault="004B7F34" w:rsidP="004B7F34">
      <w:pPr>
        <w:pStyle w:val="libNormal"/>
        <w:rPr>
          <w:rtl/>
          <w:lang w:bidi="fa-IR"/>
        </w:rPr>
      </w:pPr>
      <w:r>
        <w:rPr>
          <w:rtl/>
          <w:lang w:bidi="fa-IR"/>
        </w:rPr>
        <w:br w:type="page"/>
      </w:r>
    </w:p>
    <w:p w:rsidR="008A74EB" w:rsidRPr="00C9040A" w:rsidRDefault="008A74EB" w:rsidP="008346EA">
      <w:pPr>
        <w:pStyle w:val="libNormal0"/>
        <w:rPr>
          <w:rtl/>
          <w:lang w:bidi="fa-IR"/>
        </w:rPr>
      </w:pPr>
      <w:r w:rsidRPr="00C9040A">
        <w:rPr>
          <w:rtl/>
          <w:lang w:bidi="fa-IR"/>
        </w:rPr>
        <w:t>ظَلَمَهُ ، وَإِعْطَاءُ مَنْ حَرَمَهُ ، وَالصِّلَةُ لِمَنْ قَطَعَهُ »</w:t>
      </w:r>
      <w:r>
        <w:rPr>
          <w:rtl/>
          <w:lang w:bidi="fa-IR"/>
        </w:rPr>
        <w:t>.</w:t>
      </w:r>
      <w:r w:rsidRPr="00C9040A">
        <w:rPr>
          <w:rtl/>
          <w:lang w:bidi="fa-IR"/>
        </w:rPr>
        <w:t xml:space="preserve"> </w:t>
      </w:r>
      <w:r w:rsidR="006C577F" w:rsidRPr="006C577F">
        <w:rPr>
          <w:rStyle w:val="libFootnotenumChar"/>
          <w:rtl/>
        </w:rPr>
        <w:t>(1)</w:t>
      </w:r>
    </w:p>
    <w:p w:rsidR="008A74EB" w:rsidRPr="00C9040A" w:rsidRDefault="008A74EB" w:rsidP="008A74EB">
      <w:pPr>
        <w:pStyle w:val="Heading2Center"/>
        <w:rPr>
          <w:rtl/>
          <w:lang w:bidi="fa-IR"/>
        </w:rPr>
      </w:pPr>
      <w:bookmarkStart w:id="172" w:name="_Toc343795645"/>
      <w:bookmarkStart w:id="173" w:name="_Toc459810769"/>
      <w:bookmarkStart w:id="174" w:name="_Toc35348675"/>
      <w:r w:rsidRPr="00C9040A">
        <w:rPr>
          <w:rtl/>
          <w:lang w:bidi="fa-IR"/>
        </w:rPr>
        <w:t>54</w:t>
      </w:r>
      <w:r>
        <w:rPr>
          <w:rtl/>
          <w:lang w:bidi="fa-IR"/>
        </w:rPr>
        <w:t xml:space="preserve"> </w:t>
      </w:r>
      <w:r w:rsidR="0084262C">
        <w:rPr>
          <w:rtl/>
          <w:lang w:bidi="fa-IR"/>
        </w:rPr>
        <w:t>-</w:t>
      </w:r>
      <w:r>
        <w:rPr>
          <w:rtl/>
          <w:lang w:bidi="fa-IR"/>
        </w:rPr>
        <w:t xml:space="preserve"> </w:t>
      </w:r>
      <w:r w:rsidRPr="00C9040A">
        <w:rPr>
          <w:rtl/>
          <w:lang w:bidi="fa-IR"/>
        </w:rPr>
        <w:t>بَابُ كَظْمِ الْغَيْظِ‌</w:t>
      </w:r>
      <w:bookmarkEnd w:id="172"/>
      <w:bookmarkEnd w:id="173"/>
      <w:bookmarkEnd w:id="174"/>
    </w:p>
    <w:p w:rsidR="008A74EB" w:rsidRPr="00C9040A" w:rsidRDefault="008A74EB" w:rsidP="008A74EB">
      <w:pPr>
        <w:pStyle w:val="libNormal"/>
        <w:rPr>
          <w:rtl/>
          <w:lang w:bidi="fa-IR"/>
        </w:rPr>
      </w:pPr>
      <w:r w:rsidRPr="00F93DBB">
        <w:rPr>
          <w:rtl/>
        </w:rPr>
        <w:t>1798</w:t>
      </w:r>
      <w:r w:rsidRPr="00261CB0">
        <w:rPr>
          <w:rStyle w:val="libBold2Char"/>
          <w:rtl/>
        </w:rPr>
        <w:t xml:space="preserve"> / 1.</w:t>
      </w:r>
      <w:r w:rsidRPr="00C9040A">
        <w:rPr>
          <w:rtl/>
          <w:lang w:bidi="fa-IR"/>
        </w:rPr>
        <w:t xml:space="preserve"> عَلِيُّ بْنُ إِبْرَاهِيمَ ، عَنْ أَبِيهِ ، عَنِ ابْنِ أَبِي عُمَيْرٍ ، عَنْ هِشَامِ بْنِ الْحَكَمِ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كَانَ عَلِيُّ بْنُ الْحُسَيْنِ </w:t>
      </w:r>
      <w:r w:rsidRPr="0003660B">
        <w:rPr>
          <w:rStyle w:val="libAlaemChar"/>
          <w:rtl/>
        </w:rPr>
        <w:t>عليهما‌السلام</w:t>
      </w:r>
      <w:r w:rsidRPr="00C9040A">
        <w:rPr>
          <w:rtl/>
          <w:lang w:bidi="fa-IR"/>
        </w:rPr>
        <w:t xml:space="preserve"> يَقُولُ : مَا أُحِبُّ أَنَّ لِي بِذُلِّ نَفْسِي </w:t>
      </w:r>
      <w:r w:rsidR="006C577F" w:rsidRPr="006C577F">
        <w:rPr>
          <w:rStyle w:val="libFootnotenumChar"/>
          <w:rtl/>
        </w:rPr>
        <w:t>(2)</w:t>
      </w:r>
      <w:r w:rsidRPr="00C9040A">
        <w:rPr>
          <w:rtl/>
          <w:lang w:bidi="fa-IR"/>
        </w:rPr>
        <w:t xml:space="preserve"> حُمْرَ النَّعَمِ </w:t>
      </w:r>
      <w:r w:rsidR="006C577F" w:rsidRPr="006C577F">
        <w:rPr>
          <w:rStyle w:val="libFootnotenumChar"/>
          <w:rtl/>
        </w:rPr>
        <w:t>(3)</w:t>
      </w:r>
      <w:r w:rsidRPr="00C9040A">
        <w:rPr>
          <w:rtl/>
          <w:lang w:bidi="fa-IR"/>
        </w:rPr>
        <w:t xml:space="preserve"> ، وَمَا تَجَرَّعْتُ جُرْعَةً أَحَبَّ إِلَيَّ مِنْ جُرْعَةِ غَيْظٍ لَا</w:t>
      </w:r>
      <w:r>
        <w:rPr>
          <w:rFonts w:hint="cs"/>
          <w:rtl/>
          <w:lang w:bidi="fa-IR"/>
        </w:rPr>
        <w:t xml:space="preserve"> </w:t>
      </w:r>
      <w:r w:rsidRPr="00C9040A">
        <w:rPr>
          <w:rtl/>
          <w:lang w:bidi="fa-IR"/>
        </w:rPr>
        <w:t xml:space="preserve">أُكَافِي بِهَا </w:t>
      </w:r>
      <w:r w:rsidR="006C577F" w:rsidRPr="006C577F">
        <w:rPr>
          <w:rStyle w:val="libFootnotenumChar"/>
          <w:rtl/>
        </w:rPr>
        <w:t>(4)</w:t>
      </w:r>
      <w:r w:rsidRPr="00C9040A">
        <w:rPr>
          <w:rtl/>
          <w:lang w:bidi="fa-IR"/>
        </w:rPr>
        <w:t xml:space="preserve"> صَاحِبَهَا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F93DBB">
        <w:rPr>
          <w:rtl/>
        </w:rPr>
        <w:t>1799</w:t>
      </w:r>
      <w:r w:rsidRPr="00261CB0">
        <w:rPr>
          <w:rStyle w:val="libBold2Char"/>
          <w:rtl/>
        </w:rPr>
        <w:t xml:space="preserve"> / 2.</w:t>
      </w:r>
      <w:r w:rsidRPr="00C9040A">
        <w:rPr>
          <w:rtl/>
          <w:lang w:bidi="fa-IR"/>
        </w:rPr>
        <w:t xml:space="preserve"> مُحَمَّدُ بْنُ يَحْيى ، عَنْ أَحْمَدَ بْنِ مُحَمَّدِ بْنِ عِيسى ، عَنْ مُحَمَّدِ بْنِ سِنَانٍ وَعَلِيِّ بْنِ النُّعْمَانِ </w:t>
      </w:r>
      <w:r w:rsidR="006C577F" w:rsidRPr="006C577F">
        <w:rPr>
          <w:rStyle w:val="libFootnotenumChar"/>
          <w:rtl/>
        </w:rPr>
        <w:t>(6)</w:t>
      </w:r>
      <w:r w:rsidRPr="005B567D">
        <w:rPr>
          <w:rStyle w:val="libFootnotenumChar"/>
          <w:rtl/>
        </w:rPr>
        <w:t xml:space="preserve"> </w:t>
      </w:r>
      <w:r w:rsidRPr="00C9040A">
        <w:rPr>
          <w:rtl/>
          <w:lang w:bidi="fa-IR"/>
        </w:rPr>
        <w:t>، عَنْ عَمَّارِ بْنِ مَرْوَانَ ، عَنْ زَيْدٍ الشَّحَّامِ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نِعْمَ الْجُرْعَةُ الْغَيْظُ لِمَنْ صَبَرَ عَلَيْهَا ؛ فَإِنَّ </w:t>
      </w:r>
      <w:r w:rsidR="006C577F" w:rsidRPr="006C577F">
        <w:rPr>
          <w:rStyle w:val="libFootnotenumChar"/>
          <w:rtl/>
        </w:rPr>
        <w:t>(7)</w:t>
      </w:r>
      <w:r w:rsidRPr="00C9040A">
        <w:rPr>
          <w:rtl/>
          <w:lang w:bidi="fa-IR"/>
        </w:rPr>
        <w:t xml:space="preserve"> عَظِيمَ‌</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993B55">
        <w:rPr>
          <w:rStyle w:val="libFootnoteBoldChar"/>
          <w:rtl/>
        </w:rPr>
        <w:t>الوافي</w:t>
      </w:r>
      <w:r w:rsidR="008A74EB" w:rsidRPr="00C9040A">
        <w:rPr>
          <w:rtl/>
        </w:rPr>
        <w:t xml:space="preserve"> ، ج 4 ، ص 438 ، ح 2282 ؛ </w:t>
      </w:r>
      <w:r w:rsidR="008A74EB" w:rsidRPr="00993B55">
        <w:rPr>
          <w:rStyle w:val="libFootnoteBoldChar"/>
          <w:rtl/>
        </w:rPr>
        <w:t>الوسائل</w:t>
      </w:r>
      <w:r w:rsidR="008A74EB" w:rsidRPr="00C9040A">
        <w:rPr>
          <w:rtl/>
        </w:rPr>
        <w:t xml:space="preserve"> ، ج 12 ، ص 173 ، ح 15996 ؛ </w:t>
      </w:r>
      <w:r w:rsidR="008A74EB" w:rsidRPr="00993B55">
        <w:rPr>
          <w:rStyle w:val="libFootnoteBoldChar"/>
          <w:rtl/>
        </w:rPr>
        <w:t>البحار</w:t>
      </w:r>
      <w:r w:rsidR="008A74EB" w:rsidRPr="00C9040A">
        <w:rPr>
          <w:rtl/>
        </w:rPr>
        <w:t xml:space="preserve"> ، ج 71 ، ص 403 ، ح 10.</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w:t>
      </w:r>
      <w:r w:rsidR="008A74EB" w:rsidRPr="00993B55">
        <w:rPr>
          <w:rStyle w:val="libFootnoteBoldChar"/>
          <w:rtl/>
        </w:rPr>
        <w:t>مرآة العقول</w:t>
      </w:r>
      <w:r w:rsidR="008A74EB" w:rsidRPr="00C9040A">
        <w:rPr>
          <w:rtl/>
        </w:rPr>
        <w:t xml:space="preserve"> ، ج 8 ، ص 197 : « ذلّ النفس</w:t>
      </w:r>
      <w:r w:rsidR="008A74EB">
        <w:rPr>
          <w:rtl/>
        </w:rPr>
        <w:t xml:space="preserve"> </w:t>
      </w:r>
      <w:r w:rsidR="0084262C">
        <w:rPr>
          <w:rtl/>
        </w:rPr>
        <w:t>-</w:t>
      </w:r>
      <w:r w:rsidR="008A74EB">
        <w:rPr>
          <w:rtl/>
        </w:rPr>
        <w:t xml:space="preserve"> </w:t>
      </w:r>
      <w:r w:rsidR="008A74EB" w:rsidRPr="00C9040A">
        <w:rPr>
          <w:rtl/>
        </w:rPr>
        <w:t>بالكسر</w:t>
      </w:r>
      <w:r w:rsidR="008A74EB">
        <w:rPr>
          <w:rtl/>
        </w:rPr>
        <w:t xml:space="preserve"> </w:t>
      </w:r>
      <w:r w:rsidR="0084262C">
        <w:rPr>
          <w:rtl/>
        </w:rPr>
        <w:t>-</w:t>
      </w:r>
      <w:r w:rsidR="008A74EB">
        <w:rPr>
          <w:rtl/>
        </w:rPr>
        <w:t xml:space="preserve"> </w:t>
      </w:r>
      <w:r w:rsidR="008A74EB" w:rsidRPr="00C9040A">
        <w:rPr>
          <w:rtl/>
        </w:rPr>
        <w:t>سهولتها وانقيادها وهو ذلول ، وبالضمّ مذلّتها وضعفها</w:t>
      </w:r>
      <w:r w:rsidR="00E60EA7">
        <w:rPr>
          <w:rFonts w:hint="cs"/>
          <w:rtl/>
        </w:rPr>
        <w:t xml:space="preserve"> </w:t>
      </w:r>
      <w:r w:rsidR="008A74EB" w:rsidRPr="00C9040A">
        <w:rPr>
          <w:rtl/>
        </w:rPr>
        <w:t>و</w:t>
      </w:r>
      <w:r w:rsidR="00E60EA7">
        <w:rPr>
          <w:rFonts w:hint="cs"/>
          <w:rtl/>
        </w:rPr>
        <w:t xml:space="preserve"> </w:t>
      </w:r>
      <w:r w:rsidR="008A74EB" w:rsidRPr="00C9040A">
        <w:rPr>
          <w:rtl/>
        </w:rPr>
        <w:t>هي ذليل</w:t>
      </w:r>
      <w:r w:rsidR="008A74EB">
        <w:rPr>
          <w:rtl/>
        </w:rPr>
        <w:t xml:space="preserve"> ..</w:t>
      </w:r>
      <w:r w:rsidR="008A74EB" w:rsidRPr="00C9040A">
        <w:rPr>
          <w:rtl/>
        </w:rPr>
        <w:t>. فالخبر يحتمل وجهين : الأوّل : أن يكون الذُلّ بالضمّ والباء للسببيّة أو المصاحبة ، أي لا ا</w:t>
      </w:r>
      <w:r w:rsidR="00E60EA7">
        <w:rPr>
          <w:rFonts w:hint="cs"/>
          <w:rtl/>
        </w:rPr>
        <w:t>ُ</w:t>
      </w:r>
      <w:r w:rsidR="008A74EB" w:rsidRPr="00C9040A">
        <w:rPr>
          <w:rtl/>
        </w:rPr>
        <w:t xml:space="preserve">حبّ أن يكون لي مع ذُلّ نفسي أو بسببه نفائس أموال الدنيا أقتنيها أو أتصدّق بها ؛ لأنّه لم يكن للمال عنده </w:t>
      </w:r>
      <w:r w:rsidR="004A4E41" w:rsidRPr="00AC2E2F">
        <w:rPr>
          <w:rStyle w:val="libFootnoteAlaemChar"/>
          <w:rtl/>
        </w:rPr>
        <w:t>صلى‌الله‌عليه‌وآله</w:t>
      </w:r>
      <w:r w:rsidR="008A74EB" w:rsidRPr="00C9040A">
        <w:rPr>
          <w:rtl/>
        </w:rPr>
        <w:t xml:space="preserve"> قدر ومنزلة. وقال الطيبي : هو كناية عن خير الدنيا كلّه. والحاصل : أنّي ما أرضى أن ا</w:t>
      </w:r>
      <w:r w:rsidR="00E60EA7">
        <w:rPr>
          <w:rFonts w:hint="cs"/>
          <w:rtl/>
        </w:rPr>
        <w:t>ُ</w:t>
      </w:r>
      <w:r w:rsidR="008A74EB" w:rsidRPr="00C9040A">
        <w:rPr>
          <w:rtl/>
        </w:rPr>
        <w:t>ذلّ نفسي ولي بذلك كرائم الدنيا</w:t>
      </w:r>
      <w:r w:rsidR="008A74EB">
        <w:rPr>
          <w:rtl/>
        </w:rPr>
        <w:t xml:space="preserve"> ....</w:t>
      </w:r>
      <w:r w:rsidR="008A74EB" w:rsidRPr="00C9040A">
        <w:rPr>
          <w:rtl/>
        </w:rPr>
        <w:t xml:space="preserve"> الثاني : أن يكون الذِّلّ بالكسر والباء للعوض ، أي لا أرضى أن يكون لي عوض انقياد نفسي وسهولتها وتواضعها</w:t>
      </w:r>
      <w:r w:rsidR="008A74EB">
        <w:rPr>
          <w:rtl/>
        </w:rPr>
        <w:t xml:space="preserve"> </w:t>
      </w:r>
      <w:r w:rsidR="0084262C">
        <w:rPr>
          <w:rtl/>
        </w:rPr>
        <w:t>-</w:t>
      </w:r>
      <w:r w:rsidR="008A74EB">
        <w:rPr>
          <w:rtl/>
        </w:rPr>
        <w:t xml:space="preserve"> </w:t>
      </w:r>
      <w:r w:rsidR="008A74EB" w:rsidRPr="00C9040A">
        <w:rPr>
          <w:rtl/>
        </w:rPr>
        <w:t>أو بالضمّ أيضاً ، أي المذلّة الحاصلة عند إطاعة أمر الله بكظم الغيظ والعفو</w:t>
      </w:r>
      <w:r w:rsidR="008A74EB">
        <w:rPr>
          <w:rtl/>
        </w:rPr>
        <w:t xml:space="preserve"> </w:t>
      </w:r>
      <w:r w:rsidR="0084262C">
        <w:rPr>
          <w:rtl/>
        </w:rPr>
        <w:t>-</w:t>
      </w:r>
      <w:r w:rsidR="008A74EB">
        <w:rPr>
          <w:rtl/>
        </w:rPr>
        <w:t xml:space="preserve"> </w:t>
      </w:r>
      <w:r w:rsidR="008A74EB" w:rsidRPr="00C9040A">
        <w:rPr>
          <w:rtl/>
        </w:rPr>
        <w:t>نفائس الأموال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قال في </w:t>
      </w:r>
      <w:r w:rsidR="008A74EB" w:rsidRPr="00993B55">
        <w:rPr>
          <w:rStyle w:val="libFootnoteBoldChar"/>
          <w:rtl/>
        </w:rPr>
        <w:t>مرآة العقول</w:t>
      </w:r>
      <w:r w:rsidR="008A74EB" w:rsidRPr="00C9040A">
        <w:rPr>
          <w:rtl/>
        </w:rPr>
        <w:t xml:space="preserve"> : « وربّما يقرأ النِعَم بالكسر جمع نعمة. والحمرة كناية عن الحسن ، أي محاسن النعم. والأوّل</w:t>
      </w:r>
      <w:r w:rsidR="008A74EB">
        <w:rPr>
          <w:rtl/>
        </w:rPr>
        <w:t xml:space="preserve"> </w:t>
      </w:r>
      <w:r w:rsidR="0084262C">
        <w:rPr>
          <w:rtl/>
        </w:rPr>
        <w:t>-</w:t>
      </w:r>
      <w:r w:rsidR="008A74EB">
        <w:rPr>
          <w:rtl/>
        </w:rPr>
        <w:t xml:space="preserve"> </w:t>
      </w:r>
      <w:r w:rsidR="008A74EB" w:rsidRPr="00C9040A">
        <w:rPr>
          <w:rtl/>
        </w:rPr>
        <w:t>أي الفتح</w:t>
      </w:r>
      <w:r w:rsidR="008A74EB">
        <w:rPr>
          <w:rtl/>
        </w:rPr>
        <w:t xml:space="preserve"> </w:t>
      </w:r>
      <w:r w:rsidR="0084262C">
        <w:rPr>
          <w:rtl/>
        </w:rPr>
        <w:t>-</w:t>
      </w:r>
      <w:r w:rsidR="008A74EB">
        <w:rPr>
          <w:rtl/>
        </w:rPr>
        <w:t xml:space="preserve"> </w:t>
      </w:r>
      <w:r w:rsidR="008A74EB" w:rsidRPr="00C9040A">
        <w:rPr>
          <w:rtl/>
        </w:rPr>
        <w:t>أشهر وأظهر »</w:t>
      </w:r>
      <w:r w:rsidR="008A74EB">
        <w:rPr>
          <w:rtl/>
        </w:rPr>
        <w:t>.</w:t>
      </w:r>
      <w:r w:rsidR="008A74EB" w:rsidRPr="00C9040A">
        <w:rPr>
          <w:rtl/>
        </w:rPr>
        <w:t xml:space="preserve"> والنَّعَم بالفتح ، المال الراعي ، وأكثر ما يقع على الإبل ، أو الإبل خاصّة ، والإبل الحمر أنفس أموال العرب. وفي </w:t>
      </w:r>
      <w:r w:rsidR="008A74EB" w:rsidRPr="00993B55">
        <w:rPr>
          <w:rStyle w:val="libFootnoteBoldChar"/>
          <w:rtl/>
        </w:rPr>
        <w:t>المغرب</w:t>
      </w:r>
      <w:r w:rsidR="008A74EB" w:rsidRPr="00C9040A">
        <w:rPr>
          <w:rtl/>
        </w:rPr>
        <w:t xml:space="preserve"> : حمر النعم : كرائمها ، وهي مثل في كلّ نفيس.</w:t>
      </w:r>
    </w:p>
    <w:p w:rsidR="008A74EB" w:rsidRPr="00C9040A" w:rsidRDefault="006C577F" w:rsidP="004A4E41">
      <w:pPr>
        <w:pStyle w:val="libFootnote0"/>
        <w:rPr>
          <w:rtl/>
          <w:lang w:bidi="fa-IR"/>
        </w:rPr>
      </w:pPr>
      <w:r>
        <w:rPr>
          <w:rtl/>
        </w:rPr>
        <w:t>(4).</w:t>
      </w:r>
      <w:r w:rsidR="008A74EB" w:rsidRPr="00C9040A">
        <w:rPr>
          <w:rtl/>
        </w:rPr>
        <w:t xml:space="preserve"> في حاشية « بر » : « عليها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الوافي</w:t>
      </w:r>
      <w:r w:rsidR="008A74EB" w:rsidRPr="00C9040A">
        <w:rPr>
          <w:rtl/>
        </w:rPr>
        <w:t xml:space="preserve"> ، ج 4 ، ص 443 ، ح 2290 ؛ </w:t>
      </w:r>
      <w:r w:rsidR="008A74EB" w:rsidRPr="00993B55">
        <w:rPr>
          <w:rStyle w:val="libFootnoteBoldChar"/>
          <w:rtl/>
        </w:rPr>
        <w:t>الوسائل</w:t>
      </w:r>
      <w:r w:rsidR="008A74EB" w:rsidRPr="00C9040A">
        <w:rPr>
          <w:rtl/>
        </w:rPr>
        <w:t xml:space="preserve"> ، ج 12 ، ص 176 ، ح 16003 ؛ </w:t>
      </w:r>
      <w:r w:rsidR="008A74EB" w:rsidRPr="00993B55">
        <w:rPr>
          <w:rStyle w:val="libFootnoteBoldChar"/>
          <w:rtl/>
        </w:rPr>
        <w:t>البحار</w:t>
      </w:r>
      <w:r w:rsidR="008A74EB" w:rsidRPr="00C9040A">
        <w:rPr>
          <w:rtl/>
        </w:rPr>
        <w:t xml:space="preserve"> ، ج 71 ، ص 406 ، ح 20.</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الكافي ، ح 2354 </w:t>
      </w:r>
      <w:r w:rsidR="008A74EB">
        <w:rPr>
          <w:rtl/>
        </w:rPr>
        <w:t xml:space="preserve">: </w:t>
      </w:r>
      <w:r w:rsidR="0084262C">
        <w:rPr>
          <w:rtl/>
        </w:rPr>
        <w:t>-</w:t>
      </w:r>
      <w:r w:rsidR="008A74EB" w:rsidRPr="00C9040A">
        <w:rPr>
          <w:rtl/>
        </w:rPr>
        <w:t xml:space="preserve"> « وعليّ بن النعمان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الكافي ، ح 2354 : « إنّ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الْأَجْرِ لَمِنْ </w:t>
      </w:r>
      <w:r w:rsidR="006C577F" w:rsidRPr="006C577F">
        <w:rPr>
          <w:rStyle w:val="libFootnotenumChar"/>
          <w:rtl/>
        </w:rPr>
        <w:t>(1)</w:t>
      </w:r>
      <w:r w:rsidRPr="00C9040A">
        <w:rPr>
          <w:rtl/>
          <w:lang w:bidi="fa-IR"/>
        </w:rPr>
        <w:t xml:space="preserve"> عَظِيمِ </w:t>
      </w:r>
      <w:r w:rsidR="006C577F" w:rsidRPr="006C577F">
        <w:rPr>
          <w:rStyle w:val="libFootnotenumChar"/>
          <w:rtl/>
        </w:rPr>
        <w:t>(2)</w:t>
      </w:r>
      <w:r w:rsidRPr="00C9040A">
        <w:rPr>
          <w:rtl/>
          <w:lang w:bidi="fa-IR"/>
        </w:rPr>
        <w:t xml:space="preserve"> الْبَلَاءِ ، وَ</w:t>
      </w:r>
      <w:r w:rsidR="00E60EA7">
        <w:rPr>
          <w:rtl/>
          <w:lang w:bidi="fa-IR"/>
        </w:rPr>
        <w:t>مَا أَحَبَّ اللهُ قَوْماً إِل</w:t>
      </w:r>
      <w:r w:rsidR="00E60EA7">
        <w:rPr>
          <w:rFonts w:hint="cs"/>
          <w:rtl/>
          <w:lang w:bidi="fa-IR"/>
        </w:rPr>
        <w:t>َّ</w:t>
      </w:r>
      <w:r w:rsidR="00E60EA7">
        <w:rPr>
          <w:rtl/>
          <w:lang w:bidi="fa-IR"/>
        </w:rPr>
        <w:t>ا</w:t>
      </w:r>
      <w:r w:rsidRPr="00C9040A">
        <w:rPr>
          <w:rtl/>
          <w:lang w:bidi="fa-IR"/>
        </w:rPr>
        <w:t xml:space="preserve"> ابْتَلَاهُمْ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F93DBB">
        <w:rPr>
          <w:rtl/>
        </w:rPr>
        <w:t>1800</w:t>
      </w:r>
      <w:r w:rsidRPr="00261CB0">
        <w:rPr>
          <w:rStyle w:val="libBold2Char"/>
          <w:rtl/>
        </w:rPr>
        <w:t xml:space="preserve"> / 3.</w:t>
      </w:r>
      <w:r w:rsidRPr="00C9040A">
        <w:rPr>
          <w:rtl/>
          <w:lang w:bidi="fa-IR"/>
        </w:rPr>
        <w:t xml:space="preserve"> عَنْهُ </w:t>
      </w:r>
      <w:r w:rsidR="006C577F" w:rsidRPr="006C577F">
        <w:rPr>
          <w:rStyle w:val="libFootnotenumChar"/>
          <w:rtl/>
        </w:rPr>
        <w:t>(4)</w:t>
      </w:r>
      <w:r w:rsidRPr="00C9040A">
        <w:rPr>
          <w:rtl/>
          <w:lang w:bidi="fa-IR"/>
        </w:rPr>
        <w:t xml:space="preserve"> ، عَنْ عَلِيِّ بْنِ النُّعْمَانِ وَمُحَمَّدِ بْنِ سِنَانٍ ، عَنْ عَمَّارِ بْنِ مَرْوَانَ :</w:t>
      </w:r>
    </w:p>
    <w:p w:rsidR="008A74EB" w:rsidRPr="00C9040A" w:rsidRDefault="008A74EB" w:rsidP="008A74EB">
      <w:pPr>
        <w:pStyle w:val="libNormal"/>
        <w:rPr>
          <w:rtl/>
          <w:lang w:bidi="fa-IR"/>
        </w:rPr>
      </w:pPr>
      <w:r w:rsidRPr="00C9040A">
        <w:rPr>
          <w:rtl/>
          <w:lang w:bidi="fa-IR"/>
        </w:rPr>
        <w:t xml:space="preserve">عَنْ أَبِي الْحَسَنِ الْأَوَّلِ </w:t>
      </w:r>
      <w:r w:rsidRPr="0003660B">
        <w:rPr>
          <w:rStyle w:val="libAlaemChar"/>
          <w:rtl/>
        </w:rPr>
        <w:t>عليه‌السلام</w:t>
      </w:r>
      <w:r w:rsidRPr="00C9040A">
        <w:rPr>
          <w:rtl/>
          <w:lang w:bidi="fa-IR"/>
        </w:rPr>
        <w:t xml:space="preserve"> ، قَالَ : « اصْبِرْ عَلى أَعْدَاءِ النِّعَمِ </w:t>
      </w:r>
      <w:r w:rsidR="006C577F" w:rsidRPr="006C577F">
        <w:rPr>
          <w:rStyle w:val="libFootnotenumChar"/>
          <w:rtl/>
        </w:rPr>
        <w:t>(5)</w:t>
      </w:r>
      <w:r w:rsidRPr="00C9040A">
        <w:rPr>
          <w:rtl/>
          <w:lang w:bidi="fa-IR"/>
        </w:rPr>
        <w:t xml:space="preserve"> ؛ فَإِنَّكَ لَنْ تُكَافِئَ مَنْ عَصَى اللهَ فِيكَ بِأَفْضَلَ مِنْ أَنْ تُطِيعَ اللهَ فِيهِ »</w:t>
      </w:r>
      <w:r>
        <w:rPr>
          <w:rtl/>
          <w:lang w:bidi="fa-IR"/>
        </w:rPr>
        <w:t>.</w:t>
      </w:r>
      <w:r w:rsidRPr="00C9040A">
        <w:rPr>
          <w:rtl/>
          <w:lang w:bidi="fa-IR"/>
        </w:rPr>
        <w:t xml:space="preserve"> </w:t>
      </w:r>
      <w:r w:rsidR="006C577F" w:rsidRPr="006C577F">
        <w:rPr>
          <w:rStyle w:val="libFootnotenumChar"/>
          <w:rtl/>
        </w:rPr>
        <w:t>(6)</w:t>
      </w:r>
    </w:p>
    <w:p w:rsidR="008A74EB" w:rsidRPr="00C9040A" w:rsidRDefault="008A74EB" w:rsidP="008A74EB">
      <w:pPr>
        <w:pStyle w:val="libNormal"/>
        <w:rPr>
          <w:rtl/>
          <w:lang w:bidi="fa-IR"/>
        </w:rPr>
      </w:pPr>
      <w:r w:rsidRPr="00F93DBB">
        <w:rPr>
          <w:rtl/>
        </w:rPr>
        <w:t>1801</w:t>
      </w:r>
      <w:r w:rsidRPr="00261CB0">
        <w:rPr>
          <w:rStyle w:val="libBold2Char"/>
          <w:rtl/>
        </w:rPr>
        <w:t xml:space="preserve"> / 4.</w:t>
      </w:r>
      <w:r w:rsidRPr="00C9040A">
        <w:rPr>
          <w:rtl/>
          <w:lang w:bidi="fa-IR"/>
        </w:rPr>
        <w:t xml:space="preserve"> عَنْهُ </w:t>
      </w:r>
      <w:r w:rsidR="006C577F" w:rsidRPr="006C577F">
        <w:rPr>
          <w:rStyle w:val="libFootnotenumChar"/>
          <w:rtl/>
        </w:rPr>
        <w:t>(7)</w:t>
      </w:r>
      <w:r w:rsidRPr="00C9040A">
        <w:rPr>
          <w:rtl/>
          <w:lang w:bidi="fa-IR"/>
        </w:rPr>
        <w:t xml:space="preserve"> ، عَنْ مُحَمَّدِ بْنِ سِنَانٍ </w:t>
      </w:r>
      <w:r w:rsidR="006C577F" w:rsidRPr="006C577F">
        <w:rPr>
          <w:rStyle w:val="libFootnotenumChar"/>
          <w:rtl/>
        </w:rPr>
        <w:t>(8)</w:t>
      </w:r>
      <w:r w:rsidRPr="00C9040A">
        <w:rPr>
          <w:rtl/>
          <w:lang w:bidi="fa-IR"/>
        </w:rPr>
        <w:t xml:space="preserve"> ، عَنْ ثَابِتٍ مَوْلى آلِ جَرِيرٍ </w:t>
      </w:r>
      <w:r w:rsidR="006C577F" w:rsidRPr="006C577F">
        <w:rPr>
          <w:rStyle w:val="libFootnotenumChar"/>
          <w:rtl/>
        </w:rPr>
        <w:t>(9)</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الكافي ، ح 2354 : « لمع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ز » والوافي : « عظم »</w:t>
      </w:r>
      <w:r w:rsidR="008A74EB">
        <w:rPr>
          <w:rtl/>
        </w:rPr>
        <w:t>.</w:t>
      </w:r>
      <w:r w:rsidR="008A74EB" w:rsidRPr="00C9040A">
        <w:rPr>
          <w:rtl/>
        </w:rPr>
        <w:t xml:space="preserve"> وفي « ف » : « لعظيم » بدل « لمن عظيم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w:t>
      </w:r>
      <w:r w:rsidR="008A74EB" w:rsidRPr="00993B55">
        <w:rPr>
          <w:rStyle w:val="libFootnoteBoldChar"/>
          <w:rtl/>
        </w:rPr>
        <w:t>الكافي</w:t>
      </w:r>
      <w:r w:rsidR="008A74EB" w:rsidRPr="00C9040A">
        <w:rPr>
          <w:rtl/>
        </w:rPr>
        <w:t xml:space="preserve"> ، كتاب الإيمان والكفر ، باب شدّة ابتلاء المؤمن ، ح 2354. </w:t>
      </w:r>
      <w:r w:rsidR="008A74EB" w:rsidRPr="00993B55">
        <w:rPr>
          <w:rStyle w:val="libFootnoteBoldChar"/>
          <w:rtl/>
        </w:rPr>
        <w:t>وفيه</w:t>
      </w:r>
      <w:r w:rsidR="008A74EB" w:rsidRPr="00C9040A">
        <w:rPr>
          <w:rtl/>
        </w:rPr>
        <w:t xml:space="preserve"> ، نفس الباب ، ح 2359 ، بسند آخر عن زيد الزرّاد ، عن أبي عبد الله </w:t>
      </w:r>
      <w:r w:rsidR="00117575" w:rsidRPr="00117575">
        <w:rPr>
          <w:rStyle w:val="libFootnoteAlaemChar"/>
          <w:rtl/>
        </w:rPr>
        <w:t xml:space="preserve">عليه‌السلام </w:t>
      </w:r>
      <w:r w:rsidR="008A74EB" w:rsidRPr="00C9040A">
        <w:rPr>
          <w:rtl/>
        </w:rPr>
        <w:t xml:space="preserve"> عن رسول الله </w:t>
      </w:r>
      <w:r w:rsidR="004A4E41" w:rsidRPr="00AC2E2F">
        <w:rPr>
          <w:rStyle w:val="libFootnoteAlaemChar"/>
          <w:rtl/>
        </w:rPr>
        <w:t>صلى‌الله‌عليه‌وآله</w:t>
      </w:r>
      <w:r w:rsidR="008A74EB" w:rsidRPr="00C9040A">
        <w:rPr>
          <w:rtl/>
        </w:rPr>
        <w:t xml:space="preserve"> ؛ </w:t>
      </w:r>
      <w:r w:rsidR="008A74EB" w:rsidRPr="00993B55">
        <w:rPr>
          <w:rStyle w:val="libFootnoteBoldChar"/>
          <w:rtl/>
        </w:rPr>
        <w:t>الخصال</w:t>
      </w:r>
      <w:r w:rsidR="008A74EB" w:rsidRPr="00C9040A">
        <w:rPr>
          <w:rtl/>
        </w:rPr>
        <w:t xml:space="preserve"> ، ص 18 ، باب الواحد ، ح 64 ، بسند آخر عن محمّد بن سنان ، عن زيد أبي ا</w:t>
      </w:r>
      <w:r w:rsidR="00AE7143">
        <w:rPr>
          <w:rFonts w:hint="cs"/>
          <w:rtl/>
        </w:rPr>
        <w:t>ُ</w:t>
      </w:r>
      <w:r w:rsidR="008A74EB" w:rsidRPr="00C9040A">
        <w:rPr>
          <w:rtl/>
        </w:rPr>
        <w:t xml:space="preserve">سامة الشحّام ، عن أبي عبد الله </w:t>
      </w:r>
      <w:r w:rsidR="00117575" w:rsidRPr="00117575">
        <w:rPr>
          <w:rStyle w:val="libFootnoteAlaemChar"/>
          <w:rtl/>
        </w:rPr>
        <w:t xml:space="preserve">عليه‌السلام </w:t>
      </w:r>
      <w:r w:rsidR="008A74EB" w:rsidRPr="00C9040A">
        <w:rPr>
          <w:rtl/>
        </w:rPr>
        <w:t xml:space="preserve"> عن رسول الله </w:t>
      </w:r>
      <w:r w:rsidR="004A4E41" w:rsidRPr="00AC2E2F">
        <w:rPr>
          <w:rStyle w:val="libFootnoteAlaemChar"/>
          <w:rtl/>
        </w:rPr>
        <w:t>صلى‌الله‌عليه‌وآله</w:t>
      </w:r>
      <w:r w:rsidR="008A74EB" w:rsidRPr="00C9040A">
        <w:rPr>
          <w:rtl/>
        </w:rPr>
        <w:t xml:space="preserve">. </w:t>
      </w:r>
      <w:r w:rsidR="008A74EB" w:rsidRPr="00993B55">
        <w:rPr>
          <w:rStyle w:val="libFootnoteBoldChar"/>
          <w:rtl/>
        </w:rPr>
        <w:t>تحف العقول</w:t>
      </w:r>
      <w:r w:rsidR="008A74EB" w:rsidRPr="00C9040A">
        <w:rPr>
          <w:rtl/>
        </w:rPr>
        <w:t xml:space="preserve"> ، ص 41 ، عن رسول الله </w:t>
      </w:r>
      <w:r w:rsidR="004A4E41" w:rsidRPr="00AC2E2F">
        <w:rPr>
          <w:rStyle w:val="libFootnoteAlaemChar"/>
          <w:rtl/>
        </w:rPr>
        <w:t>صلى‌الله‌عليه‌وآله</w:t>
      </w:r>
      <w:r w:rsidR="008A74EB" w:rsidRPr="00C9040A">
        <w:rPr>
          <w:rtl/>
        </w:rPr>
        <w:t xml:space="preserve"> ، وفي الثلاثة الأخيرة مع اختلاف يسير وزيادة في آخره ، وفي كلّها من قوله : « فإنّ عظيم الأجر »</w:t>
      </w:r>
      <w:r w:rsidR="008A74EB">
        <w:rPr>
          <w:rtl/>
        </w:rPr>
        <w:t>.</w:t>
      </w:r>
      <w:r w:rsidR="008A74EB" w:rsidRPr="00C9040A">
        <w:rPr>
          <w:rtl/>
        </w:rPr>
        <w:t xml:space="preserve"> </w:t>
      </w:r>
      <w:r w:rsidR="008A74EB" w:rsidRPr="00993B55">
        <w:rPr>
          <w:rStyle w:val="libFootnoteBoldChar"/>
          <w:rtl/>
        </w:rPr>
        <w:t>المؤمن</w:t>
      </w:r>
      <w:r w:rsidR="008A74EB" w:rsidRPr="00C9040A">
        <w:rPr>
          <w:rtl/>
        </w:rPr>
        <w:t xml:space="preserve"> ، ص 24 ، ح 36 ، عن أبي عبدالله </w:t>
      </w:r>
      <w:r w:rsidR="00117575" w:rsidRPr="00117575">
        <w:rPr>
          <w:rStyle w:val="libFootnoteAlaemChar"/>
          <w:rtl/>
        </w:rPr>
        <w:t xml:space="preserve">عليه‌السلام </w:t>
      </w:r>
      <w:r w:rsidR="00AE7143">
        <w:rPr>
          <w:rFonts w:hint="cs"/>
          <w:rtl/>
        </w:rPr>
        <w:t>.</w:t>
      </w:r>
      <w:r w:rsidR="008A74EB" w:rsidRPr="00993B55">
        <w:rPr>
          <w:rStyle w:val="libFootnoteBoldChar"/>
          <w:rtl/>
        </w:rPr>
        <w:t>الوافي</w:t>
      </w:r>
      <w:r w:rsidR="008A74EB" w:rsidRPr="00C9040A">
        <w:rPr>
          <w:rtl/>
        </w:rPr>
        <w:t xml:space="preserve"> ، ج 4 ، ص 444 ، ح 2294.</w:t>
      </w:r>
    </w:p>
    <w:p w:rsidR="008A74EB" w:rsidRPr="00C9040A" w:rsidRDefault="006C577F" w:rsidP="004A4E41">
      <w:pPr>
        <w:pStyle w:val="libFootnote0"/>
        <w:rPr>
          <w:rtl/>
          <w:lang w:bidi="fa-IR"/>
        </w:rPr>
      </w:pPr>
      <w:r>
        <w:rPr>
          <w:rtl/>
        </w:rPr>
        <w:t>(4).</w:t>
      </w:r>
      <w:r w:rsidR="008A74EB" w:rsidRPr="00C9040A">
        <w:rPr>
          <w:rtl/>
        </w:rPr>
        <w:t xml:space="preserve"> الضمير راجع إلى أحمد بن محمّد بن عيسى المذكور في السند السابق ، كما هو الظاهر.</w:t>
      </w:r>
    </w:p>
    <w:p w:rsidR="008A74EB" w:rsidRPr="00C9040A" w:rsidRDefault="006C577F" w:rsidP="004A4E41">
      <w:pPr>
        <w:pStyle w:val="libFootnote0"/>
        <w:rPr>
          <w:rtl/>
          <w:lang w:bidi="fa-IR"/>
        </w:rPr>
      </w:pPr>
      <w:r>
        <w:rPr>
          <w:rtl/>
        </w:rPr>
        <w:t>(5).</w:t>
      </w:r>
      <w:r w:rsidR="008A74EB" w:rsidRPr="00C9040A">
        <w:rPr>
          <w:rtl/>
        </w:rPr>
        <w:t xml:space="preserve"> في </w:t>
      </w:r>
      <w:r w:rsidR="008A74EB" w:rsidRPr="00993B55">
        <w:rPr>
          <w:rStyle w:val="libFootnoteBoldChar"/>
          <w:rtl/>
        </w:rPr>
        <w:t>الوافي</w:t>
      </w:r>
      <w:r w:rsidR="008A74EB" w:rsidRPr="00C9040A">
        <w:rPr>
          <w:rtl/>
        </w:rPr>
        <w:t xml:space="preserve"> : « ا</w:t>
      </w:r>
      <w:r w:rsidR="00AE7143">
        <w:rPr>
          <w:rFonts w:hint="cs"/>
          <w:rtl/>
        </w:rPr>
        <w:t>ُ</w:t>
      </w:r>
      <w:r w:rsidR="008A74EB" w:rsidRPr="00C9040A">
        <w:rPr>
          <w:rtl/>
        </w:rPr>
        <w:t>ريد بأعداء النعم الحسّاد ، وبالعصيان الحسد وما يترقّب عليه ، وبالطاعة الصبر على أذى الحاسدوما يقتضيه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الوافي</w:t>
      </w:r>
      <w:r w:rsidR="008A74EB" w:rsidRPr="00C9040A">
        <w:rPr>
          <w:rtl/>
        </w:rPr>
        <w:t xml:space="preserve"> ، ج 4 ، ص 444 ، ح 2295 ؛ </w:t>
      </w:r>
      <w:r w:rsidR="008A74EB" w:rsidRPr="00993B55">
        <w:rPr>
          <w:rStyle w:val="libFootnoteBoldChar"/>
          <w:rtl/>
        </w:rPr>
        <w:t>الوسائل</w:t>
      </w:r>
      <w:r w:rsidR="008A74EB" w:rsidRPr="00C9040A">
        <w:rPr>
          <w:rtl/>
        </w:rPr>
        <w:t xml:space="preserve"> ، ج 12 ، ص 181 ، ح 16021 ؛ </w:t>
      </w:r>
      <w:r w:rsidR="008A74EB" w:rsidRPr="00993B55">
        <w:rPr>
          <w:rStyle w:val="libFootnoteBoldChar"/>
          <w:rtl/>
        </w:rPr>
        <w:t>البحار</w:t>
      </w:r>
      <w:r w:rsidR="008A74EB" w:rsidRPr="00C9040A">
        <w:rPr>
          <w:rtl/>
        </w:rPr>
        <w:t xml:space="preserve"> ، ج 71 ، ص 408 ، ح 22.</w:t>
      </w:r>
    </w:p>
    <w:p w:rsidR="008A74EB" w:rsidRPr="00C9040A" w:rsidRDefault="006C577F" w:rsidP="004A4E41">
      <w:pPr>
        <w:pStyle w:val="libFootnote0"/>
        <w:rPr>
          <w:rtl/>
          <w:lang w:bidi="fa-IR"/>
        </w:rPr>
      </w:pPr>
      <w:r>
        <w:rPr>
          <w:rtl/>
        </w:rPr>
        <w:t>(7).</w:t>
      </w:r>
      <w:r w:rsidR="008A74EB" w:rsidRPr="00C9040A">
        <w:rPr>
          <w:rtl/>
        </w:rPr>
        <w:t xml:space="preserve"> الضمير راجع إلى أحمد بن محمّد بن عيسى.</w:t>
      </w:r>
    </w:p>
    <w:p w:rsidR="008A74EB" w:rsidRPr="00C9040A" w:rsidRDefault="006C577F" w:rsidP="004A4E41">
      <w:pPr>
        <w:pStyle w:val="libFootnote0"/>
        <w:rPr>
          <w:rtl/>
          <w:lang w:bidi="fa-IR"/>
        </w:rPr>
      </w:pPr>
      <w:r>
        <w:rPr>
          <w:rtl/>
        </w:rPr>
        <w:t>(8).</w:t>
      </w:r>
      <w:r w:rsidR="008A74EB" w:rsidRPr="00C9040A">
        <w:rPr>
          <w:rtl/>
        </w:rPr>
        <w:t xml:space="preserve"> روى أحمد بن أبي عبد الله البرقي في </w:t>
      </w:r>
      <w:r w:rsidR="008A74EB" w:rsidRPr="00993B55">
        <w:rPr>
          <w:rStyle w:val="libFootnoteBoldChar"/>
          <w:rtl/>
        </w:rPr>
        <w:t>المحاسن</w:t>
      </w:r>
      <w:r w:rsidR="008A74EB" w:rsidRPr="00C9040A">
        <w:rPr>
          <w:rtl/>
        </w:rPr>
        <w:t xml:space="preserve"> ، ص 259 ، ح 312 ، صدر الخبر عن أبيه ، عن محمّد بن سنان ، عن ابن مسكان ، عن ثابت مولى آل جرير ، وكذا نقله عنه المجلسي </w:t>
      </w:r>
      <w:r w:rsidR="00117575" w:rsidRPr="00117575">
        <w:rPr>
          <w:rStyle w:val="libFootnoteAlaemChar"/>
          <w:rtl/>
        </w:rPr>
        <w:t>قدس‌سره</w:t>
      </w:r>
      <w:r w:rsidR="008A74EB" w:rsidRPr="00C9040A">
        <w:rPr>
          <w:rtl/>
        </w:rPr>
        <w:t xml:space="preserve"> في </w:t>
      </w:r>
      <w:r w:rsidR="008A74EB" w:rsidRPr="00993B55">
        <w:rPr>
          <w:rStyle w:val="libFootnoteBoldChar"/>
          <w:rtl/>
        </w:rPr>
        <w:t>البحار</w:t>
      </w:r>
      <w:r w:rsidR="008A74EB" w:rsidRPr="00C9040A">
        <w:rPr>
          <w:rtl/>
        </w:rPr>
        <w:t xml:space="preserve"> ، ج 75 ، ص 399 ، ح 38 ، والظاهر وقوع السقط في ما نحن فيه.</w:t>
      </w:r>
    </w:p>
    <w:p w:rsidR="008A74EB" w:rsidRPr="00C9040A" w:rsidRDefault="006C577F" w:rsidP="004A4E41">
      <w:pPr>
        <w:pStyle w:val="libFootnote0"/>
        <w:rPr>
          <w:rtl/>
          <w:lang w:bidi="fa-IR"/>
        </w:rPr>
      </w:pPr>
      <w:r>
        <w:rPr>
          <w:rtl/>
        </w:rPr>
        <w:t>(9).</w:t>
      </w:r>
      <w:r w:rsidR="008A74EB" w:rsidRPr="00C9040A">
        <w:rPr>
          <w:rtl/>
        </w:rPr>
        <w:t xml:space="preserve"> هكذا في « ف »</w:t>
      </w:r>
      <w:r w:rsidR="008A74EB">
        <w:rPr>
          <w:rtl/>
        </w:rPr>
        <w:t>.</w:t>
      </w:r>
      <w:r w:rsidR="008A74EB" w:rsidRPr="00C9040A">
        <w:rPr>
          <w:rtl/>
        </w:rPr>
        <w:t xml:space="preserve"> وفي « ب ، ج ، د ، ز ، ص ، ض ، بر ، بس ، بف ، جر » والمطبوع : « آل حريز »</w:t>
      </w:r>
      <w:r w:rsidR="008A74EB">
        <w:rPr>
          <w:rtl/>
        </w:rPr>
        <w:t>.</w:t>
      </w:r>
      <w:r w:rsidR="008A74EB" w:rsidRPr="00C9040A">
        <w:rPr>
          <w:rtl/>
        </w:rPr>
        <w:t xml:space="preserve"> والظاهر أنّ ما أثبتناه هو الصواب ؛ فقد ورد في </w:t>
      </w:r>
      <w:r w:rsidR="008A74EB" w:rsidRPr="00993B55">
        <w:rPr>
          <w:rStyle w:val="libFootnoteBoldChar"/>
          <w:rtl/>
        </w:rPr>
        <w:t>رجال البرقي</w:t>
      </w:r>
      <w:r w:rsidR="008A74EB" w:rsidRPr="00C9040A">
        <w:rPr>
          <w:rtl/>
        </w:rPr>
        <w:t xml:space="preserve"> ، ص 41 ثابت مولى بني جرير في ذيل أصحاب الصادق </w:t>
      </w:r>
      <w:r w:rsidR="00117575" w:rsidRPr="00117575">
        <w:rPr>
          <w:rStyle w:val="libFootnoteAlaemChar"/>
          <w:rtl/>
        </w:rPr>
        <w:t xml:space="preserve">عليه‌السلام </w:t>
      </w:r>
      <w:r w:rsidR="008A74EB" w:rsidRPr="00C9040A">
        <w:rPr>
          <w:rtl/>
        </w:rPr>
        <w:t xml:space="preserve"> ، وفي </w:t>
      </w:r>
      <w:r w:rsidR="008A74EB" w:rsidRPr="00993B55">
        <w:rPr>
          <w:rStyle w:val="libFootnoteBoldChar"/>
          <w:rtl/>
        </w:rPr>
        <w:t>رجال الطوسي</w:t>
      </w:r>
      <w:r w:rsidR="008A74EB" w:rsidRPr="00C9040A">
        <w:rPr>
          <w:rtl/>
        </w:rPr>
        <w:t xml:space="preserve"> ، ص 174 ، الرقم 2062 ، ثابت مولى جرير. ونقل ابن حجر العسقلاني في </w:t>
      </w:r>
      <w:r w:rsidR="008A74EB" w:rsidRPr="00993B55">
        <w:rPr>
          <w:rStyle w:val="libFootnoteBoldChar"/>
          <w:rtl/>
        </w:rPr>
        <w:t>لسان الميزان</w:t>
      </w:r>
      <w:r w:rsidR="008A74EB" w:rsidRPr="00C9040A">
        <w:rPr>
          <w:rtl/>
        </w:rPr>
        <w:t xml:space="preserve"> ، ج 2 ، ص 143 ، الرقم 1858 عن الكشّي ، ثابت مولى جرير ، وقال : « ذكره الكشّي في رجال الشيعة. وقال عليّ بن الحكم : كان كوفيّاً دخل على جعفر وأسند عنه »</w:t>
      </w:r>
      <w:r w:rsidR="008A74EB">
        <w:rPr>
          <w:rtl/>
        </w:rPr>
        <w:t>.</w:t>
      </w:r>
    </w:p>
    <w:p w:rsidR="008A74EB" w:rsidRPr="00C9040A" w:rsidRDefault="008A74EB" w:rsidP="004A4E41">
      <w:pPr>
        <w:pStyle w:val="libFootnote0"/>
        <w:rPr>
          <w:rtl/>
          <w:lang w:bidi="fa-IR"/>
        </w:rPr>
      </w:pPr>
      <w:r w:rsidRPr="00323A39">
        <w:rPr>
          <w:rtl/>
        </w:rPr>
        <w:t xml:space="preserve">ثمّ إنّ الظاهر من </w:t>
      </w:r>
      <w:r w:rsidRPr="00993B55">
        <w:rPr>
          <w:rStyle w:val="libFootnoteBoldChar"/>
          <w:rtl/>
        </w:rPr>
        <w:t>جامع الرواة</w:t>
      </w:r>
      <w:r w:rsidRPr="00323A39">
        <w:rPr>
          <w:rtl/>
        </w:rPr>
        <w:t xml:space="preserve"> ، ج 1 ، ص 139 نقلاً من الكافي ، ثبوت « جرير ».</w:t>
      </w:r>
    </w:p>
    <w:p w:rsidR="008A74EB" w:rsidRPr="00C9040A" w:rsidRDefault="008A74EB" w:rsidP="004A4E41">
      <w:pPr>
        <w:pStyle w:val="libFootnote0"/>
        <w:rPr>
          <w:rtl/>
          <w:lang w:bidi="fa-IR"/>
        </w:rPr>
      </w:pPr>
      <w:r w:rsidRPr="0082575F">
        <w:rPr>
          <w:rtl/>
        </w:rPr>
        <w:t xml:space="preserve">يؤيّد ما أثبتناه شباهة اللفظين « جرير » </w:t>
      </w:r>
      <w:r>
        <w:rPr>
          <w:rtl/>
        </w:rPr>
        <w:t>و «</w:t>
      </w:r>
      <w:r w:rsidRPr="0082575F">
        <w:rPr>
          <w:rtl/>
        </w:rPr>
        <w:t xml:space="preserve"> حريز » في الكتابة شباهة تامّةً ، وكون « حريز » أكثر تكراراً في الأسناد ، بحيث يوجب تحريف « جرير »</w:t>
      </w:r>
      <w:r>
        <w:rPr>
          <w:rtl/>
        </w:rPr>
        <w:t xml:space="preserve"> ب</w:t>
      </w:r>
      <w:r w:rsidR="00E143E2">
        <w:rPr>
          <w:rFonts w:hint="cs"/>
          <w:rtl/>
        </w:rPr>
        <w:t>ـ</w:t>
      </w:r>
      <w:r>
        <w:rPr>
          <w:rtl/>
        </w:rPr>
        <w:t xml:space="preserve"> «</w:t>
      </w:r>
      <w:r w:rsidRPr="0082575F">
        <w:rPr>
          <w:rtl/>
        </w:rPr>
        <w:t xml:space="preserve"> حريز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كَظْمُ الْغَيْظِ عَنِ </w:t>
      </w:r>
      <w:r w:rsidR="006C577F" w:rsidRPr="006C577F">
        <w:rPr>
          <w:rStyle w:val="libFootnotenumChar"/>
          <w:rtl/>
        </w:rPr>
        <w:t>(1)</w:t>
      </w:r>
      <w:r w:rsidRPr="00C9040A">
        <w:rPr>
          <w:rtl/>
          <w:lang w:bidi="fa-IR"/>
        </w:rPr>
        <w:t xml:space="preserve"> الْعَدُوِّ فِي دَوْلَاتِهِمْ تَقِيَّةً حَزْمٌ </w:t>
      </w:r>
      <w:r w:rsidR="006C577F" w:rsidRPr="006C577F">
        <w:rPr>
          <w:rStyle w:val="libFootnotenumChar"/>
          <w:rtl/>
        </w:rPr>
        <w:t>(2)</w:t>
      </w:r>
      <w:r w:rsidRPr="00C9040A">
        <w:rPr>
          <w:rtl/>
          <w:lang w:bidi="fa-IR"/>
        </w:rPr>
        <w:t xml:space="preserve"> لِمَنْ أَخَذَ بِهِ </w:t>
      </w:r>
      <w:r w:rsidR="006C577F" w:rsidRPr="006C577F">
        <w:rPr>
          <w:rStyle w:val="libFootnotenumChar"/>
          <w:rtl/>
        </w:rPr>
        <w:t>(3)</w:t>
      </w:r>
      <w:r w:rsidRPr="00C9040A">
        <w:rPr>
          <w:rtl/>
          <w:lang w:bidi="fa-IR"/>
        </w:rPr>
        <w:t xml:space="preserve"> ، وَتَحَرُّزٌ مِنَ </w:t>
      </w:r>
      <w:r w:rsidR="006C577F" w:rsidRPr="006C577F">
        <w:rPr>
          <w:rStyle w:val="libFootnotenumChar"/>
          <w:rtl/>
        </w:rPr>
        <w:t>(4)</w:t>
      </w:r>
      <w:r w:rsidRPr="00C9040A">
        <w:rPr>
          <w:rtl/>
          <w:lang w:bidi="fa-IR"/>
        </w:rPr>
        <w:t xml:space="preserve"> التَّعَرُّضِ لِلْبَلَاءِ فِي الدُّنْيَا ؛ وَمُعَانَدَةُ الْأَعْدَاءِ فِي دَوْلَاتِهِمْ وَمُمَاظَّتُهُمْ </w:t>
      </w:r>
      <w:r w:rsidR="006C577F" w:rsidRPr="006C577F">
        <w:rPr>
          <w:rStyle w:val="libFootnotenumChar"/>
          <w:rtl/>
        </w:rPr>
        <w:t>(5)</w:t>
      </w:r>
      <w:r w:rsidRPr="00C9040A">
        <w:rPr>
          <w:rtl/>
          <w:lang w:bidi="fa-IR"/>
        </w:rPr>
        <w:t xml:space="preserve"> فِي غَيْرِ تَقِيَّةٍ تَرْكُ أَمْرِ اللهِ ؛ فَجَامِلُوا النَّاسَ يَسْمَنْ </w:t>
      </w:r>
      <w:r w:rsidR="006C577F" w:rsidRPr="006C577F">
        <w:rPr>
          <w:rStyle w:val="libFootnotenumChar"/>
          <w:rtl/>
        </w:rPr>
        <w:t>(6)</w:t>
      </w:r>
      <w:r w:rsidR="006F2685" w:rsidRPr="00C9040A">
        <w:rPr>
          <w:rtl/>
          <w:lang w:bidi="fa-IR"/>
        </w:rPr>
        <w:t xml:space="preserve"> </w:t>
      </w:r>
      <w:r w:rsidRPr="00C9040A">
        <w:rPr>
          <w:rtl/>
          <w:lang w:bidi="fa-IR"/>
        </w:rPr>
        <w:t xml:space="preserve">ذلِكَ لَكُمْ </w:t>
      </w:r>
      <w:r w:rsidR="006C577F" w:rsidRPr="006C577F">
        <w:rPr>
          <w:rStyle w:val="libFootnotenumChar"/>
          <w:rtl/>
        </w:rPr>
        <w:t>(7)</w:t>
      </w:r>
      <w:r w:rsidRPr="00C9040A">
        <w:rPr>
          <w:rtl/>
          <w:lang w:bidi="fa-IR"/>
        </w:rPr>
        <w:t xml:space="preserve"> عِنْدَهُمْ ، وَلَا تُعَادُوهُمْ فَتَحْمِلُوهُمْ عَلى رِقَابِكُمْ ، فَتَذِلُّوا </w:t>
      </w:r>
      <w:r w:rsidR="006C577F" w:rsidRPr="006C577F">
        <w:rPr>
          <w:rStyle w:val="libFootnotenumChar"/>
          <w:rtl/>
        </w:rPr>
        <w:t>(8)</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(9)</w:t>
      </w:r>
      <w:r w:rsidRPr="00C9040A">
        <w:rPr>
          <w:rtl/>
          <w:lang w:bidi="fa-IR"/>
        </w:rPr>
        <w:t xml:space="preserve"> ‌</w:t>
      </w:r>
    </w:p>
    <w:p w:rsidR="008A74EB" w:rsidRPr="00C9040A" w:rsidRDefault="008A74EB" w:rsidP="008A74EB">
      <w:pPr>
        <w:pStyle w:val="libNormal"/>
        <w:rPr>
          <w:rtl/>
          <w:lang w:bidi="fa-IR"/>
        </w:rPr>
      </w:pPr>
      <w:r w:rsidRPr="00261CB0">
        <w:rPr>
          <w:rStyle w:val="libBold2Char"/>
          <w:rtl/>
        </w:rPr>
        <w:t>1802 / 5.</w:t>
      </w:r>
      <w:r w:rsidRPr="00C9040A">
        <w:rPr>
          <w:rtl/>
          <w:lang w:bidi="fa-IR"/>
        </w:rPr>
        <w:t xml:space="preserve"> عَلِيُّ بْنُ إِبْرَاهِيمَ ، عَنْ أَبِيهِ ، </w:t>
      </w:r>
      <w:r w:rsidR="006C577F" w:rsidRPr="006C577F">
        <w:rPr>
          <w:rStyle w:val="libFootnotenumChar"/>
          <w:rtl/>
        </w:rPr>
        <w:t>(10)</w:t>
      </w:r>
      <w:r w:rsidRPr="00C9040A">
        <w:rPr>
          <w:rtl/>
          <w:lang w:bidi="fa-IR"/>
        </w:rPr>
        <w:t xml:space="preserve"> عَنْ بَعْضِ أَصْحَابِهِ ، عَنْ مَالِكِ بْنِ حُصَيْنٍ </w:t>
      </w:r>
      <w:r w:rsidR="006C577F" w:rsidRPr="006C577F">
        <w:rPr>
          <w:rStyle w:val="libFootnotenumChar"/>
          <w:rtl/>
        </w:rPr>
        <w:t>(11)</w:t>
      </w:r>
      <w:r w:rsidRPr="00C9040A">
        <w:rPr>
          <w:rtl/>
          <w:lang w:bidi="fa-IR"/>
        </w:rPr>
        <w:t xml:space="preserve"> السَّكُونِيِّ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مَا م</w:t>
      </w:r>
      <w:r w:rsidR="006F2685">
        <w:rPr>
          <w:rtl/>
          <w:lang w:bidi="fa-IR"/>
        </w:rPr>
        <w:t>ِنْ عَبْدٍ كَظَمَ غَيْظاً إِل</w:t>
      </w:r>
      <w:r w:rsidR="006F2685">
        <w:rPr>
          <w:rFonts w:hint="cs"/>
          <w:rtl/>
          <w:lang w:bidi="fa-IR"/>
        </w:rPr>
        <w:t>َّ</w:t>
      </w:r>
      <w:r w:rsidR="006F2685">
        <w:rPr>
          <w:rtl/>
          <w:lang w:bidi="fa-IR"/>
        </w:rPr>
        <w:t>ا</w:t>
      </w:r>
      <w:r w:rsidRPr="00C9040A">
        <w:rPr>
          <w:rtl/>
          <w:lang w:bidi="fa-IR"/>
        </w:rPr>
        <w:t xml:space="preserve"> زَادَهُ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عِزّاً فِي الدُّنْيَا‌</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البحار : « من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w:t>
      </w:r>
      <w:r w:rsidR="008A74EB" w:rsidRPr="00993B55">
        <w:rPr>
          <w:rStyle w:val="libFootnoteBoldChar"/>
          <w:rtl/>
        </w:rPr>
        <w:t>الوافي</w:t>
      </w:r>
      <w:r w:rsidR="008A74EB" w:rsidRPr="00C9040A">
        <w:rPr>
          <w:rtl/>
        </w:rPr>
        <w:t xml:space="preserve"> : « تقيّة حزم ، إمّا برفع « تقيّة » على الخبريّة والإضافة إلى الحزم ؛ وإمّا بنصبها على التمييز ، ويكون الخبر حزم »</w:t>
      </w:r>
      <w:r w:rsidR="008A74EB">
        <w:rPr>
          <w:rtl/>
        </w:rPr>
        <w:t>.</w:t>
      </w:r>
      <w:r w:rsidR="006F2685">
        <w:rPr>
          <w:rFonts w:hint="cs"/>
          <w:rtl/>
        </w:rPr>
        <w:t xml:space="preserve">                                               </w:t>
      </w:r>
      <w:r>
        <w:rPr>
          <w:rtl/>
        </w:rPr>
        <w:t>(3).</w:t>
      </w:r>
      <w:r w:rsidR="008A74EB" w:rsidRPr="00C9040A">
        <w:rPr>
          <w:rtl/>
        </w:rPr>
        <w:t xml:space="preserve"> في المحاسن : « بها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البحار : « عن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 المماظّة » : شدّة المنازعة والمخاصمة مع طول اللزوم. </w:t>
      </w:r>
      <w:r w:rsidR="008A74EB" w:rsidRPr="00993B55">
        <w:rPr>
          <w:rStyle w:val="libFootnoteBoldChar"/>
          <w:rtl/>
        </w:rPr>
        <w:t>النهاية</w:t>
      </w:r>
      <w:r w:rsidR="008A74EB" w:rsidRPr="00C9040A">
        <w:rPr>
          <w:rtl/>
        </w:rPr>
        <w:t xml:space="preserve"> ، ج 4 ، ص 340 ( مظظ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ف » : « يسمّن »</w:t>
      </w:r>
      <w:r w:rsidR="008A74EB">
        <w:rPr>
          <w:rtl/>
        </w:rPr>
        <w:t>.</w:t>
      </w:r>
      <w:r w:rsidR="008A74EB" w:rsidRPr="00C9040A">
        <w:rPr>
          <w:rtl/>
        </w:rPr>
        <w:t xml:space="preserve"> وفي « بس » : « تسمن »</w:t>
      </w:r>
      <w:r w:rsidR="008A74EB">
        <w:rPr>
          <w:rtl/>
        </w:rPr>
        <w:t>.</w:t>
      </w:r>
      <w:r w:rsidR="008A74EB" w:rsidRPr="00C9040A">
        <w:rPr>
          <w:rtl/>
        </w:rPr>
        <w:t xml:space="preserve"> وفي « بف » : « يسمّى »</w:t>
      </w:r>
      <w:r w:rsidR="008A74EB">
        <w:rPr>
          <w:rtl/>
        </w:rPr>
        <w:t>.</w:t>
      </w:r>
      <w:r w:rsidR="008A74EB" w:rsidRPr="00C9040A">
        <w:rPr>
          <w:rtl/>
        </w:rPr>
        <w:t xml:space="preserve"> وفي الوافي : « يسما »</w:t>
      </w:r>
      <w:r w:rsidR="008A74EB">
        <w:rPr>
          <w:rtl/>
        </w:rPr>
        <w:t>.</w:t>
      </w:r>
      <w:r w:rsidR="008A74EB" w:rsidRPr="00C9040A">
        <w:rPr>
          <w:rtl/>
        </w:rPr>
        <w:t xml:space="preserve"> وقال في </w:t>
      </w:r>
      <w:r w:rsidR="008A74EB" w:rsidRPr="00993B55">
        <w:rPr>
          <w:rStyle w:val="libFootnoteBoldChar"/>
          <w:rtl/>
        </w:rPr>
        <w:t>شرح المازندراني</w:t>
      </w:r>
      <w:r w:rsidR="008A74EB" w:rsidRPr="00C9040A">
        <w:rPr>
          <w:rtl/>
        </w:rPr>
        <w:t xml:space="preserve"> ، ج 8 ، ص 306 : « وفي بعض النسخ : يسمن الله ذلك ، إلى آخره ، ويسمن حينئذٍ من باب الإفعال أو التفعيل ، أي يجعل الله ذلك عندهم شريفاً عظيماً تورث المحبّة لكم »</w:t>
      </w:r>
      <w:r w:rsidR="008A74EB">
        <w:rPr>
          <w:rtl/>
        </w:rPr>
        <w:t>.</w:t>
      </w:r>
      <w:r w:rsidR="008A74EB" w:rsidRPr="00C9040A">
        <w:rPr>
          <w:rtl/>
        </w:rPr>
        <w:t xml:space="preserve"> وقال في </w:t>
      </w:r>
      <w:r w:rsidR="008A74EB" w:rsidRPr="00993B55">
        <w:rPr>
          <w:rStyle w:val="libFootnoteBoldChar"/>
          <w:rtl/>
        </w:rPr>
        <w:t>مرآة العقول</w:t>
      </w:r>
      <w:r w:rsidR="008A74EB" w:rsidRPr="00C9040A">
        <w:rPr>
          <w:rtl/>
        </w:rPr>
        <w:t xml:space="preserve"> ، ج 8 ، ص 200 : « قوله : يسمن ذلك عندهم ، كذا في أكثر النسخ</w:t>
      </w:r>
      <w:r w:rsidR="008A74EB">
        <w:rPr>
          <w:rtl/>
        </w:rPr>
        <w:t xml:space="preserve"> ..</w:t>
      </w:r>
      <w:r w:rsidR="008A74EB" w:rsidRPr="00C9040A">
        <w:rPr>
          <w:rtl/>
        </w:rPr>
        <w:t>. ويمكن أن يقرأ على بناء المفعول من الإفعال أو التفعيل ، أي يفعل الله ذلك مرضيّاً محبوباً عندهم. وفي بعض النسخ : يسمّى على بناء المفعول من التسمية ، أي يذكرهم عندهم ويحمدونكم بذلك ، فيكون مرفوعاً بالاستيناف البياني »</w:t>
      </w:r>
      <w:r w:rsidR="008A74EB">
        <w:rPr>
          <w:rtl/>
        </w:rPr>
        <w:t>.</w:t>
      </w:r>
    </w:p>
    <w:p w:rsidR="008A74EB" w:rsidRPr="00C9040A" w:rsidRDefault="008A74EB" w:rsidP="004A4E41">
      <w:pPr>
        <w:pStyle w:val="libFootnote0"/>
        <w:rPr>
          <w:rtl/>
          <w:lang w:bidi="fa-IR"/>
        </w:rPr>
      </w:pPr>
      <w:r w:rsidRPr="00323A39">
        <w:rPr>
          <w:rtl/>
        </w:rPr>
        <w:t xml:space="preserve">وسَمِنَ يسمن : إذا كثر لحمه وشحمه. ومن المجاز دار سمينة : كثيرة الأهل. وسمِّنوا لفلان : أعطوه عطاءً كثيراً. </w:t>
      </w:r>
      <w:r w:rsidRPr="00993B55">
        <w:rPr>
          <w:rStyle w:val="libFootnoteBoldChar"/>
          <w:rtl/>
        </w:rPr>
        <w:t>المصباح المنير</w:t>
      </w:r>
      <w:r w:rsidRPr="00323A39">
        <w:rPr>
          <w:rtl/>
        </w:rPr>
        <w:t xml:space="preserve"> ، ص 290 ؛ </w:t>
      </w:r>
      <w:r w:rsidRPr="00993B55">
        <w:rPr>
          <w:rStyle w:val="libFootnoteBoldChar"/>
          <w:rtl/>
        </w:rPr>
        <w:t>أساس البلاغة</w:t>
      </w:r>
      <w:r w:rsidRPr="00323A39">
        <w:rPr>
          <w:rtl/>
        </w:rPr>
        <w:t xml:space="preserve"> ، ص 221 ( سمن ). وهو هنا كناية عن العزّة والراحة ، والذي يلازم الاتّساع في المال والعدد.</w:t>
      </w:r>
      <w:r w:rsidR="006F2685">
        <w:rPr>
          <w:rFonts w:hint="cs"/>
          <w:rtl/>
        </w:rPr>
        <w:t xml:space="preserve">                                                 </w:t>
      </w:r>
      <w:r w:rsidR="006C577F">
        <w:rPr>
          <w:rtl/>
        </w:rPr>
        <w:t>(7).</w:t>
      </w:r>
      <w:r w:rsidRPr="00C9040A">
        <w:rPr>
          <w:rtl/>
        </w:rPr>
        <w:t xml:space="preserve"> في مرآة العقول </w:t>
      </w:r>
      <w:r>
        <w:rPr>
          <w:rtl/>
        </w:rPr>
        <w:t xml:space="preserve">: </w:t>
      </w:r>
      <w:r w:rsidR="0084262C">
        <w:rPr>
          <w:rtl/>
        </w:rPr>
        <w:t>-</w:t>
      </w:r>
      <w:r w:rsidRPr="00C9040A">
        <w:rPr>
          <w:rtl/>
        </w:rPr>
        <w:t xml:space="preserve"> « لكم »</w:t>
      </w:r>
      <w:r>
        <w:rPr>
          <w:rtl/>
        </w:rPr>
        <w:t>.</w:t>
      </w:r>
    </w:p>
    <w:p w:rsidR="008A74EB" w:rsidRPr="00C9040A" w:rsidRDefault="006C577F" w:rsidP="004A4E41">
      <w:pPr>
        <w:pStyle w:val="libFootnote0"/>
        <w:rPr>
          <w:rtl/>
          <w:lang w:bidi="fa-IR"/>
        </w:rPr>
      </w:pPr>
      <w:r>
        <w:rPr>
          <w:rtl/>
        </w:rPr>
        <w:t>(8).</w:t>
      </w:r>
      <w:r w:rsidR="008A74EB" w:rsidRPr="00C9040A">
        <w:rPr>
          <w:rtl/>
        </w:rPr>
        <w:t xml:space="preserve"> في « ج » : « فتُذَلّوا » مبنيّ للمفعول من الإفعال.</w:t>
      </w:r>
    </w:p>
    <w:p w:rsidR="008A74EB" w:rsidRPr="00C9040A" w:rsidRDefault="006C577F" w:rsidP="004A4E41">
      <w:pPr>
        <w:pStyle w:val="libFootnote0"/>
        <w:rPr>
          <w:rtl/>
          <w:lang w:bidi="fa-IR"/>
        </w:rPr>
      </w:pPr>
      <w:r>
        <w:rPr>
          <w:rtl/>
        </w:rPr>
        <w:t>(9).</w:t>
      </w:r>
      <w:r w:rsidR="008A74EB" w:rsidRPr="00C9040A">
        <w:rPr>
          <w:rtl/>
        </w:rPr>
        <w:t xml:space="preserve"> </w:t>
      </w:r>
      <w:r w:rsidR="008A74EB" w:rsidRPr="00993B55">
        <w:rPr>
          <w:rStyle w:val="libFootnoteBoldChar"/>
          <w:rtl/>
        </w:rPr>
        <w:t>المحاسن</w:t>
      </w:r>
      <w:r w:rsidR="008A74EB" w:rsidRPr="00C9040A">
        <w:rPr>
          <w:rtl/>
        </w:rPr>
        <w:t xml:space="preserve"> ، ص 259 ، كتاب مصابيح الظلم ، ح 312 ، عن أبيه ، عن محمّد بن سنان ، عن ابن مسكان ، عن ثابت مولى آل جرير ، عن أبي عبد الله </w:t>
      </w:r>
      <w:r w:rsidR="00117575" w:rsidRPr="00117575">
        <w:rPr>
          <w:rStyle w:val="libFootnoteAlaemChar"/>
          <w:rtl/>
        </w:rPr>
        <w:t xml:space="preserve">عليه‌السلام </w:t>
      </w:r>
      <w:r w:rsidR="008A74EB" w:rsidRPr="00C9040A">
        <w:rPr>
          <w:rtl/>
        </w:rPr>
        <w:t xml:space="preserve"> ، إلى قوله : « التعرّض للبلاء في الدنيا »</w:t>
      </w:r>
      <w:r w:rsidR="00301A31">
        <w:rPr>
          <w:rFonts w:hint="cs"/>
          <w:rtl/>
        </w:rPr>
        <w:t>.</w:t>
      </w:r>
      <w:r w:rsidR="008A74EB" w:rsidRPr="00993B55">
        <w:rPr>
          <w:rStyle w:val="libFootnoteBoldChar"/>
          <w:rtl/>
        </w:rPr>
        <w:t>الوافي</w:t>
      </w:r>
      <w:r w:rsidR="008A74EB" w:rsidRPr="00C9040A">
        <w:rPr>
          <w:rtl/>
        </w:rPr>
        <w:t xml:space="preserve"> ، ج 5 ، ص 525 ، ح 2501 ؛ </w:t>
      </w:r>
      <w:r w:rsidR="008A74EB" w:rsidRPr="00993B55">
        <w:rPr>
          <w:rStyle w:val="libFootnoteBoldChar"/>
          <w:rtl/>
        </w:rPr>
        <w:t>الوسائل</w:t>
      </w:r>
      <w:r w:rsidR="008A74EB" w:rsidRPr="00C9040A">
        <w:rPr>
          <w:rtl/>
        </w:rPr>
        <w:t xml:space="preserve"> ، ج 12 ، ص 179 ، ح 16017 ؛ </w:t>
      </w:r>
      <w:r w:rsidR="008A74EB" w:rsidRPr="00993B55">
        <w:rPr>
          <w:rStyle w:val="libFootnoteBoldChar"/>
          <w:rtl/>
        </w:rPr>
        <w:t>البحار</w:t>
      </w:r>
      <w:r w:rsidR="008A74EB" w:rsidRPr="00C9040A">
        <w:rPr>
          <w:rtl/>
        </w:rPr>
        <w:t xml:space="preserve"> ، ج 71 ، ص 409 ، ح 23.</w:t>
      </w:r>
    </w:p>
    <w:p w:rsidR="008A74EB" w:rsidRPr="00C9040A" w:rsidRDefault="006C577F" w:rsidP="004A4E41">
      <w:pPr>
        <w:pStyle w:val="libFootnote0"/>
        <w:rPr>
          <w:rtl/>
          <w:lang w:bidi="fa-IR"/>
        </w:rPr>
      </w:pPr>
      <w:r>
        <w:rPr>
          <w:rtl/>
        </w:rPr>
        <w:t>(10).</w:t>
      </w:r>
      <w:r w:rsidR="008A74EB" w:rsidRPr="00C9040A">
        <w:rPr>
          <w:rtl/>
        </w:rPr>
        <w:t xml:space="preserve"> هكذا في النسخ والطبعة الحجريّة من الكتاب والوسائل والبحار. وفي المطبوع </w:t>
      </w:r>
      <w:r w:rsidR="008A74EB">
        <w:rPr>
          <w:rtl/>
        </w:rPr>
        <w:t xml:space="preserve">: </w:t>
      </w:r>
      <w:r w:rsidR="0084262C">
        <w:rPr>
          <w:rtl/>
        </w:rPr>
        <w:t>-</w:t>
      </w:r>
      <w:r w:rsidR="008A74EB" w:rsidRPr="00C9040A">
        <w:rPr>
          <w:rtl/>
        </w:rPr>
        <w:t xml:space="preserve"> « عن أبيه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في « ز » : « حسين »</w:t>
      </w:r>
      <w:r w:rsidR="008A74EB">
        <w:rPr>
          <w:rtl/>
        </w:rPr>
        <w:t>.</w:t>
      </w:r>
      <w:r w:rsidR="008A74EB" w:rsidRPr="00C9040A">
        <w:rPr>
          <w:rtl/>
        </w:rPr>
        <w:t xml:space="preserve"> والمذكور في </w:t>
      </w:r>
      <w:r w:rsidR="008A74EB" w:rsidRPr="00993B55">
        <w:rPr>
          <w:rStyle w:val="libFootnoteBoldChar"/>
          <w:rtl/>
        </w:rPr>
        <w:t>رجال الشيخ</w:t>
      </w:r>
      <w:r w:rsidR="008A74EB" w:rsidRPr="00C9040A">
        <w:rPr>
          <w:rtl/>
        </w:rPr>
        <w:t xml:space="preserve"> ، ص 302 ، الرقم 4437 هو مالك بن حصين السكوني.</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وَالْآخِرَةِ ، وَقَدْ قَالَ اللهُ عَزَّ وَجَلَّ : </w:t>
      </w:r>
      <w:r w:rsidRPr="0003660B">
        <w:rPr>
          <w:rStyle w:val="libAlaemChar"/>
          <w:rtl/>
        </w:rPr>
        <w:t>(</w:t>
      </w:r>
      <w:r w:rsidRPr="006A2246">
        <w:rPr>
          <w:rStyle w:val="libAieChar"/>
          <w:rtl/>
        </w:rPr>
        <w:t xml:space="preserve"> وَالْكاظِمِينَ الْغَيْظَ وَالْعافِينَ عَنِ النّاسِ وَاللهُ يُحِبُّ الْمُحْسِنِينَ </w:t>
      </w:r>
      <w:r w:rsidRPr="0003660B">
        <w:rPr>
          <w:rStyle w:val="libAlaemChar"/>
          <w:rtl/>
        </w:rPr>
        <w:t>)</w:t>
      </w:r>
      <w:r w:rsidRPr="00C9040A">
        <w:rPr>
          <w:rtl/>
          <w:lang w:bidi="fa-IR"/>
        </w:rPr>
        <w:t xml:space="preserve"> </w:t>
      </w:r>
      <w:r w:rsidR="006C577F" w:rsidRPr="006C577F">
        <w:rPr>
          <w:rStyle w:val="libFootnotenumChar"/>
          <w:rtl/>
        </w:rPr>
        <w:t>(1)</w:t>
      </w:r>
      <w:r w:rsidRPr="00C9040A">
        <w:rPr>
          <w:rtl/>
          <w:lang w:bidi="fa-IR"/>
        </w:rPr>
        <w:t xml:space="preserve"> وَأَثَابَهُ اللهُ مَكَانَ غَيْظِهِ ذلِكَ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F93DBB">
        <w:rPr>
          <w:rtl/>
        </w:rPr>
        <w:t>1803</w:t>
      </w:r>
      <w:r w:rsidRPr="00261CB0">
        <w:rPr>
          <w:rStyle w:val="libBold2Char"/>
          <w:rtl/>
        </w:rPr>
        <w:t xml:space="preserve"> / 6.</w:t>
      </w:r>
      <w:r w:rsidRPr="00C9040A">
        <w:rPr>
          <w:rtl/>
          <w:lang w:bidi="fa-IR"/>
        </w:rPr>
        <w:t xml:space="preserve"> عِدَّةٌ مِنْ أَصْحَابِنَا ، عَنْ أَحْمَدَ بْنِ مُحَمَّدِ بْنِ خَالِدٍ ، عَنْ إِسْمَاعِيلَ بْنِ مِهْرَانَ ، عَنْ سَيْفِ بْنِ عَمِيرَةَ ، قَالَ :</w:t>
      </w:r>
    </w:p>
    <w:p w:rsidR="008A74EB" w:rsidRPr="00C9040A" w:rsidRDefault="008A74EB" w:rsidP="008A74EB">
      <w:pPr>
        <w:pStyle w:val="libNormal"/>
        <w:rPr>
          <w:rtl/>
          <w:lang w:bidi="fa-IR"/>
        </w:rPr>
      </w:pPr>
      <w:r w:rsidRPr="00C9040A">
        <w:rPr>
          <w:rtl/>
          <w:lang w:bidi="fa-IR"/>
        </w:rPr>
        <w:t xml:space="preserve">حَدَّثَنِي مَنْ سَمِعَ أَبَا عَبْدِ اللهِ </w:t>
      </w:r>
      <w:r w:rsidRPr="0003660B">
        <w:rPr>
          <w:rStyle w:val="libAlaemChar"/>
          <w:rtl/>
        </w:rPr>
        <w:t>عليه‌السلام</w:t>
      </w:r>
      <w:r w:rsidRPr="00C9040A">
        <w:rPr>
          <w:rtl/>
          <w:lang w:bidi="fa-IR"/>
        </w:rPr>
        <w:t xml:space="preserve"> يَقُولُ : « مَنْ كَظَمَ غَيْظاً</w:t>
      </w:r>
      <w:r>
        <w:rPr>
          <w:rtl/>
          <w:lang w:bidi="fa-IR"/>
        </w:rPr>
        <w:t xml:space="preserve"> </w:t>
      </w:r>
      <w:r w:rsidR="0084262C">
        <w:rPr>
          <w:rtl/>
          <w:lang w:bidi="fa-IR"/>
        </w:rPr>
        <w:t>-</w:t>
      </w:r>
      <w:r>
        <w:rPr>
          <w:rtl/>
          <w:lang w:bidi="fa-IR"/>
        </w:rPr>
        <w:t xml:space="preserve"> </w:t>
      </w:r>
      <w:r w:rsidRPr="00C9040A">
        <w:rPr>
          <w:rtl/>
          <w:lang w:bidi="fa-IR"/>
        </w:rPr>
        <w:t>وَلَوْ شَاءَ أَنْ يُمْضِيَهُ أَمْضَاهُ</w:t>
      </w:r>
      <w:r>
        <w:rPr>
          <w:rtl/>
          <w:lang w:bidi="fa-IR"/>
        </w:rPr>
        <w:t xml:space="preserve"> </w:t>
      </w:r>
      <w:r w:rsidR="0084262C">
        <w:rPr>
          <w:rtl/>
          <w:lang w:bidi="fa-IR"/>
        </w:rPr>
        <w:t>-</w:t>
      </w:r>
      <w:r>
        <w:rPr>
          <w:rtl/>
          <w:lang w:bidi="fa-IR"/>
        </w:rPr>
        <w:t xml:space="preserve"> </w:t>
      </w:r>
      <w:r w:rsidRPr="00C9040A">
        <w:rPr>
          <w:rtl/>
          <w:lang w:bidi="fa-IR"/>
        </w:rPr>
        <w:t xml:space="preserve">مَلَأَ </w:t>
      </w:r>
      <w:r w:rsidR="006C577F" w:rsidRPr="006C577F">
        <w:rPr>
          <w:rStyle w:val="libFootnotenumChar"/>
          <w:rtl/>
        </w:rPr>
        <w:t>(3)</w:t>
      </w:r>
      <w:r w:rsidRPr="00C9040A">
        <w:rPr>
          <w:rtl/>
          <w:lang w:bidi="fa-IR"/>
        </w:rPr>
        <w:t xml:space="preserve"> اللهُ قَلْبَهُ يَوْمَ الْقِيَامَةِ رِضَاهُ </w:t>
      </w:r>
      <w:r w:rsidR="006C577F" w:rsidRPr="006C577F">
        <w:rPr>
          <w:rStyle w:val="libFootnotenumChar"/>
          <w:rtl/>
        </w:rPr>
        <w:t>(4)</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F93DBB">
        <w:rPr>
          <w:rtl/>
        </w:rPr>
        <w:t>1804</w:t>
      </w:r>
      <w:r w:rsidRPr="00261CB0">
        <w:rPr>
          <w:rStyle w:val="libBold2Char"/>
          <w:rtl/>
        </w:rPr>
        <w:t xml:space="preserve"> / 7.</w:t>
      </w:r>
      <w:r w:rsidRPr="00C9040A">
        <w:rPr>
          <w:rtl/>
          <w:lang w:bidi="fa-IR"/>
        </w:rPr>
        <w:t xml:space="preserve"> أَبُو عَلِيٍّ الْأَشْعَرِيُّ ، عَنْ مُحَمَّدِ بْنِ عَبْدِ الْجَبَّارِ ، عَنِ ابْنِ فَضَّالٍ ، عَنْ غَالِبِ بْنِ عُثْمَانَ ، عَنْ عَبْدِ اللهِ بْنِ مُنْذِرٍ ، عَنِ الْوَصَّافِيِّ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مَنْ كَظَمَ غَيْظاً</w:t>
      </w:r>
      <w:r>
        <w:rPr>
          <w:rtl/>
          <w:lang w:bidi="fa-IR"/>
        </w:rPr>
        <w:t xml:space="preserve"> </w:t>
      </w:r>
      <w:r w:rsidR="0084262C">
        <w:rPr>
          <w:rtl/>
          <w:lang w:bidi="fa-IR"/>
        </w:rPr>
        <w:t>-</w:t>
      </w:r>
      <w:r>
        <w:rPr>
          <w:rtl/>
          <w:lang w:bidi="fa-IR"/>
        </w:rPr>
        <w:t xml:space="preserve"> </w:t>
      </w:r>
      <w:r w:rsidRPr="00C9040A">
        <w:rPr>
          <w:rtl/>
          <w:lang w:bidi="fa-IR"/>
        </w:rPr>
        <w:t>وَهُوَ يَقْدِرُ عَلى إِمْضَائِهِ</w:t>
      </w:r>
      <w:r>
        <w:rPr>
          <w:rtl/>
          <w:lang w:bidi="fa-IR"/>
        </w:rPr>
        <w:t xml:space="preserve"> </w:t>
      </w:r>
      <w:r w:rsidR="0084262C">
        <w:rPr>
          <w:rtl/>
          <w:lang w:bidi="fa-IR"/>
        </w:rPr>
        <w:t>-</w:t>
      </w:r>
      <w:r>
        <w:rPr>
          <w:rtl/>
          <w:lang w:bidi="fa-IR"/>
        </w:rPr>
        <w:t xml:space="preserve"> </w:t>
      </w:r>
      <w:r w:rsidRPr="00C9040A">
        <w:rPr>
          <w:rtl/>
          <w:lang w:bidi="fa-IR"/>
        </w:rPr>
        <w:t>حَشَا اللهُ قَلْبَهُ أَمْناً وَإِيمَاناً يَوْمَ الْقِيَامَةِ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Normal"/>
        <w:rPr>
          <w:rtl/>
          <w:lang w:bidi="fa-IR"/>
        </w:rPr>
      </w:pPr>
      <w:r w:rsidRPr="00F93DBB">
        <w:rPr>
          <w:rtl/>
        </w:rPr>
        <w:t>1805</w:t>
      </w:r>
      <w:r w:rsidRPr="00261CB0">
        <w:rPr>
          <w:rStyle w:val="libBold2Char"/>
          <w:rtl/>
        </w:rPr>
        <w:t xml:space="preserve"> / 8.</w:t>
      </w:r>
      <w:r w:rsidRPr="00C9040A">
        <w:rPr>
          <w:rtl/>
          <w:lang w:bidi="fa-IR"/>
        </w:rPr>
        <w:t xml:space="preserve"> الْحُسَيْنُ بْنُ مُحَمَّدٍ ، عَنْ مُعَلَّى بْنِ مُحَمَّدٍ ، عَنِ الْحَسَنِ بْنِ عَلِيٍّ الْوَشَّاءِ ، عَنْ عَبْدِ الْكَرِيمِ بْنِ عَمْرٍو ، عَنْ أَبِي أُسَامَةَ زَيْدٍ الشَّحَّامِ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قَالَ لِي : « يَا زَيْدُ ، اصْبِرْ عَلى أَعْدَاءِ النِّعَمِ ، فَإِنَّكَ لَنْ تُكَافِئَ مَنْ عَصَى اللهَ فِيكَ بِأَفْضَلَ مِنْ أَنْ تُطِيعَ اللهَ فِيهِ ؛ يَا زَيْدُ ، إِنَّ اللهَ اصْطَفَى‌</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آل عمران </w:t>
      </w:r>
      <w:r w:rsidR="00301A31">
        <w:rPr>
          <w:rtl/>
        </w:rPr>
        <w:t>(3)</w:t>
      </w:r>
      <w:r w:rsidR="008A74EB" w:rsidRPr="00C9040A">
        <w:rPr>
          <w:rtl/>
        </w:rPr>
        <w:t xml:space="preserve"> : 134.</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الوافي</w:t>
      </w:r>
      <w:r w:rsidR="008A74EB" w:rsidRPr="00C9040A">
        <w:rPr>
          <w:rtl/>
        </w:rPr>
        <w:t xml:space="preserve"> ، ج 4 ، ص 446 ، ح 2299 ؛ </w:t>
      </w:r>
      <w:r w:rsidR="008A74EB" w:rsidRPr="00993B55">
        <w:rPr>
          <w:rStyle w:val="libFootnoteBoldChar"/>
          <w:rtl/>
        </w:rPr>
        <w:t>الوسائل</w:t>
      </w:r>
      <w:r w:rsidR="008A74EB" w:rsidRPr="00C9040A">
        <w:rPr>
          <w:rtl/>
        </w:rPr>
        <w:t xml:space="preserve"> ، ج 12 ، ص 176 ، ح 16009 ؛ </w:t>
      </w:r>
      <w:r w:rsidR="008A74EB" w:rsidRPr="00993B55">
        <w:rPr>
          <w:rStyle w:val="libFootnoteBoldChar"/>
          <w:rtl/>
        </w:rPr>
        <w:t>البحار</w:t>
      </w:r>
      <w:r w:rsidR="008A74EB" w:rsidRPr="00C9040A">
        <w:rPr>
          <w:rtl/>
        </w:rPr>
        <w:t xml:space="preserve"> ، ج 71 ، ص 409 ، ح 24.</w:t>
      </w:r>
    </w:p>
    <w:p w:rsidR="008A74EB" w:rsidRPr="00C9040A" w:rsidRDefault="006C577F" w:rsidP="004A4E41">
      <w:pPr>
        <w:pStyle w:val="libFootnote0"/>
        <w:rPr>
          <w:rtl/>
          <w:lang w:bidi="fa-IR"/>
        </w:rPr>
      </w:pPr>
      <w:r>
        <w:rPr>
          <w:rtl/>
        </w:rPr>
        <w:t>(3).</w:t>
      </w:r>
      <w:r w:rsidR="008A74EB" w:rsidRPr="00C9040A">
        <w:rPr>
          <w:rtl/>
        </w:rPr>
        <w:t xml:space="preserve"> هكذا في النسخ التي قوبلت والوافي والوسائل والبحار. وفي المطبوع وشرح المازندراني ومرآة العقول : « أملأ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ف » : « رضاءه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الوافي</w:t>
      </w:r>
      <w:r w:rsidR="008A74EB" w:rsidRPr="00C9040A">
        <w:rPr>
          <w:rtl/>
        </w:rPr>
        <w:t xml:space="preserve"> ، ج 4 ، ص 446 ، ح 2300 ؛ </w:t>
      </w:r>
      <w:r w:rsidR="008A74EB" w:rsidRPr="00993B55">
        <w:rPr>
          <w:rStyle w:val="libFootnoteBoldChar"/>
          <w:rtl/>
        </w:rPr>
        <w:t>الوسائل</w:t>
      </w:r>
      <w:r w:rsidR="008A74EB" w:rsidRPr="00C9040A">
        <w:rPr>
          <w:rtl/>
        </w:rPr>
        <w:t xml:space="preserve"> ، ج 12 ، ص 177 ، ح 16009 ؛ </w:t>
      </w:r>
      <w:r w:rsidR="008A74EB" w:rsidRPr="00993B55">
        <w:rPr>
          <w:rStyle w:val="libFootnoteBoldChar"/>
          <w:rtl/>
        </w:rPr>
        <w:t>البحار</w:t>
      </w:r>
      <w:r w:rsidR="008A74EB" w:rsidRPr="00C9040A">
        <w:rPr>
          <w:rtl/>
        </w:rPr>
        <w:t xml:space="preserve"> ، ج 71 ، ص 411 ، ح 25.</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الفقيه</w:t>
      </w:r>
      <w:r w:rsidR="008A74EB" w:rsidRPr="00C9040A">
        <w:rPr>
          <w:rtl/>
        </w:rPr>
        <w:t xml:space="preserve"> ، ج 4 ، ص 352 ، ضمن الحديث الطويل 5762 ، بسند آخر عن جعفر بن محمّد ، عن آبائه </w:t>
      </w:r>
      <w:r w:rsidR="00117575" w:rsidRPr="00117575">
        <w:rPr>
          <w:rStyle w:val="libFootnoteAlaemChar"/>
          <w:rtl/>
        </w:rPr>
        <w:t>عليهم‌السلام</w:t>
      </w:r>
      <w:r w:rsidR="008A74EB" w:rsidRPr="00C9040A">
        <w:rPr>
          <w:rtl/>
        </w:rPr>
        <w:t xml:space="preserve"> عن رسول الله </w:t>
      </w:r>
      <w:r w:rsidR="004A4E41" w:rsidRPr="00AC2E2F">
        <w:rPr>
          <w:rStyle w:val="libFootnoteAlaemChar"/>
          <w:rtl/>
        </w:rPr>
        <w:t>صلى‌الله‌عليه‌وآله</w:t>
      </w:r>
      <w:r w:rsidR="008A74EB" w:rsidRPr="00C9040A">
        <w:rPr>
          <w:rtl/>
        </w:rPr>
        <w:t xml:space="preserve"> ، مع اختلاف يسير. </w:t>
      </w:r>
      <w:r w:rsidR="008A74EB" w:rsidRPr="00993B55">
        <w:rPr>
          <w:rStyle w:val="libFootnoteBoldChar"/>
          <w:rtl/>
        </w:rPr>
        <w:t>تفسير القمّي</w:t>
      </w:r>
      <w:r w:rsidR="008A74EB" w:rsidRPr="00C9040A">
        <w:rPr>
          <w:rtl/>
        </w:rPr>
        <w:t xml:space="preserve"> ، ج 2 ، ص 277 ، مرسلاً ، مع زيادة في آخره</w:t>
      </w:r>
      <w:r w:rsidR="00301A31">
        <w:rPr>
          <w:rFonts w:hint="cs"/>
          <w:rtl/>
        </w:rPr>
        <w:t>.</w:t>
      </w:r>
      <w:r w:rsidR="008A74EB" w:rsidRPr="00993B55">
        <w:rPr>
          <w:rStyle w:val="libFootnoteBoldChar"/>
          <w:rtl/>
        </w:rPr>
        <w:t>الوافي</w:t>
      </w:r>
      <w:r w:rsidR="008A74EB" w:rsidRPr="00C9040A">
        <w:rPr>
          <w:rtl/>
        </w:rPr>
        <w:t xml:space="preserve"> ، ج 4 ، ص 446 ، ح 2301 ؛ </w:t>
      </w:r>
      <w:r w:rsidR="008A74EB" w:rsidRPr="00993B55">
        <w:rPr>
          <w:rStyle w:val="libFootnoteBoldChar"/>
          <w:rtl/>
        </w:rPr>
        <w:t>الوسائل</w:t>
      </w:r>
      <w:r w:rsidR="008A74EB" w:rsidRPr="00C9040A">
        <w:rPr>
          <w:rtl/>
        </w:rPr>
        <w:t xml:space="preserve"> ، ج 12 ، ص 177 ، ح 16010 ؛ </w:t>
      </w:r>
      <w:r w:rsidR="008A74EB" w:rsidRPr="00993B55">
        <w:rPr>
          <w:rStyle w:val="libFootnoteBoldChar"/>
          <w:rtl/>
        </w:rPr>
        <w:t>البحار</w:t>
      </w:r>
      <w:r w:rsidR="008A74EB" w:rsidRPr="00C9040A">
        <w:rPr>
          <w:rtl/>
        </w:rPr>
        <w:t xml:space="preserve"> ، ج 71 ، ص 411 ، ذيل ح 25.</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الْإِسْلَامَ وَاخْتَارَهُ ، فَأَحْسِنُوا صُحْبَتَهُ بِالسَّخَاءِ وَحُسْنِ الْخُلُقِ »</w:t>
      </w:r>
      <w:r>
        <w:rPr>
          <w:rtl/>
          <w:lang w:bidi="fa-IR"/>
        </w:rPr>
        <w:t>.</w:t>
      </w:r>
      <w:r w:rsidRPr="00C9040A">
        <w:rPr>
          <w:rtl/>
          <w:lang w:bidi="fa-IR"/>
        </w:rPr>
        <w:t xml:space="preserve"> </w:t>
      </w:r>
      <w:r w:rsidR="006C577F" w:rsidRPr="006C577F">
        <w:rPr>
          <w:rStyle w:val="libFootnotenumChar"/>
          <w:rtl/>
        </w:rPr>
        <w:t>(1)</w:t>
      </w:r>
      <w:r w:rsidRPr="00C9040A">
        <w:rPr>
          <w:rtl/>
          <w:lang w:bidi="fa-IR"/>
        </w:rPr>
        <w:t xml:space="preserve"> ‌</w:t>
      </w:r>
    </w:p>
    <w:p w:rsidR="008A74EB" w:rsidRPr="00C9040A" w:rsidRDefault="008A74EB" w:rsidP="008A74EB">
      <w:pPr>
        <w:pStyle w:val="libNormal"/>
        <w:rPr>
          <w:rtl/>
          <w:lang w:bidi="fa-IR"/>
        </w:rPr>
      </w:pPr>
      <w:r w:rsidRPr="00F93DBB">
        <w:rPr>
          <w:rtl/>
        </w:rPr>
        <w:t>1806</w:t>
      </w:r>
      <w:r w:rsidRPr="00261CB0">
        <w:rPr>
          <w:rStyle w:val="libBold2Char"/>
          <w:rtl/>
        </w:rPr>
        <w:t xml:space="preserve"> / 9.</w:t>
      </w:r>
      <w:r w:rsidRPr="00C9040A">
        <w:rPr>
          <w:rtl/>
          <w:lang w:bidi="fa-IR"/>
        </w:rPr>
        <w:t xml:space="preserve"> عَلِيُّ بْنُ إِبْرَاهِيمَ ، عَنْ مُحَمَّدِ بْنِ عِيسى ، عَنْ يُونُسَ ، عَنْ حَفْصٍ </w:t>
      </w:r>
      <w:r w:rsidR="006C577F" w:rsidRPr="006C577F">
        <w:rPr>
          <w:rStyle w:val="libFootnotenumChar"/>
          <w:rtl/>
        </w:rPr>
        <w:t>(2)</w:t>
      </w:r>
      <w:r w:rsidRPr="00C9040A">
        <w:rPr>
          <w:rtl/>
          <w:lang w:bidi="fa-IR"/>
        </w:rPr>
        <w:t xml:space="preserve"> بَيَّاعِ السَّابِرِيِّ ، عَنْ أَبِي حَمْزَةَ :</w:t>
      </w:r>
    </w:p>
    <w:p w:rsidR="008A74EB" w:rsidRPr="00C9040A" w:rsidRDefault="008A74EB" w:rsidP="008A74EB">
      <w:pPr>
        <w:pStyle w:val="libNormal"/>
        <w:rPr>
          <w:rtl/>
          <w:lang w:bidi="fa-IR"/>
        </w:rPr>
      </w:pPr>
      <w:r w:rsidRPr="00C9040A">
        <w:rPr>
          <w:rtl/>
          <w:lang w:bidi="fa-IR"/>
        </w:rPr>
        <w:t xml:space="preserve">عَنْ عَلِيِّ بْنِ الْحُسَيْنِ </w:t>
      </w:r>
      <w:r w:rsidRPr="0003660B">
        <w:rPr>
          <w:rStyle w:val="libAlaemChar"/>
          <w:rtl/>
        </w:rPr>
        <w:t>عليهما‌السلام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مِنْ أَحَبِّ السَّبِيلِ </w:t>
      </w:r>
      <w:r w:rsidR="006C577F" w:rsidRPr="006C577F">
        <w:rPr>
          <w:rStyle w:val="libFootnotenumChar"/>
          <w:rtl/>
        </w:rPr>
        <w:t>(3)</w:t>
      </w:r>
      <w:r w:rsidRPr="00C9040A">
        <w:rPr>
          <w:rtl/>
          <w:lang w:bidi="fa-IR"/>
        </w:rPr>
        <w:t xml:space="preserve"> إِلَى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جُرْعَتَانِ : جُرْعَةُ غَيْظٍ تَرُدُّهَا </w:t>
      </w:r>
      <w:r w:rsidR="006C577F" w:rsidRPr="006C577F">
        <w:rPr>
          <w:rStyle w:val="libFootnotenumChar"/>
          <w:rtl/>
        </w:rPr>
        <w:t>(4)</w:t>
      </w:r>
      <w:r w:rsidRPr="00C9040A">
        <w:rPr>
          <w:rtl/>
          <w:lang w:bidi="fa-IR"/>
        </w:rPr>
        <w:t xml:space="preserve"> بِحِلْمٍ ، وَجُرْعَةُ مُصِيبَةٍ </w:t>
      </w:r>
      <w:r w:rsidR="006C577F" w:rsidRPr="006C577F">
        <w:rPr>
          <w:rStyle w:val="libFootnotenumChar"/>
          <w:rtl/>
        </w:rPr>
        <w:t>(5)</w:t>
      </w:r>
      <w:r w:rsidRPr="00C9040A">
        <w:rPr>
          <w:rtl/>
          <w:lang w:bidi="fa-IR"/>
        </w:rPr>
        <w:t xml:space="preserve"> تَرُدُّهَا </w:t>
      </w:r>
      <w:r w:rsidR="006C577F" w:rsidRPr="006C577F">
        <w:rPr>
          <w:rStyle w:val="libFootnotenumChar"/>
          <w:rtl/>
        </w:rPr>
        <w:t>(6)</w:t>
      </w:r>
      <w:r w:rsidRPr="005B567D">
        <w:rPr>
          <w:rStyle w:val="libFootnotenumChar"/>
          <w:rtl/>
        </w:rPr>
        <w:t xml:space="preserve"> </w:t>
      </w:r>
      <w:r w:rsidRPr="00C9040A">
        <w:rPr>
          <w:rtl/>
          <w:lang w:bidi="fa-IR"/>
        </w:rPr>
        <w:t>بِصَبْرٍ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F93DBB">
        <w:rPr>
          <w:rtl/>
        </w:rPr>
        <w:t>1807</w:t>
      </w:r>
      <w:r w:rsidRPr="00261CB0">
        <w:rPr>
          <w:rStyle w:val="libBold2Char"/>
          <w:rtl/>
        </w:rPr>
        <w:t xml:space="preserve"> / 10.</w:t>
      </w:r>
      <w:r w:rsidRPr="00C9040A">
        <w:rPr>
          <w:rtl/>
          <w:lang w:bidi="fa-IR"/>
        </w:rPr>
        <w:t xml:space="preserve"> عَلِيُّ بْنُ إِبْرَاهِيمَ ، عَنْ أَبِيهِ ، عَنْ حَمَّادٍ ، عَنْ رِبْعِيٍّ ، عَمَّنْ حَدَّثَهُ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قَالَ لِي أَبِي : يَا بُنَيَّ </w:t>
      </w:r>
      <w:r w:rsidR="006C577F" w:rsidRPr="006C577F">
        <w:rPr>
          <w:rStyle w:val="libFootnotenumChar"/>
          <w:rtl/>
        </w:rPr>
        <w:t>(8)</w:t>
      </w:r>
      <w:r w:rsidRPr="00C9040A">
        <w:rPr>
          <w:rtl/>
          <w:lang w:bidi="fa-IR"/>
        </w:rPr>
        <w:t xml:space="preserve"> ، مَا مِنْ شَيْ‌ءٍ أَقَرَّ لِعَيْنِ أَبِيكَ مِنْ جُرْعَةِ غَيْظٍ عَاقِبَتُهَا صَبْرٌ ، وَمَا </w:t>
      </w:r>
      <w:r w:rsidR="006C577F" w:rsidRPr="006C577F">
        <w:rPr>
          <w:rStyle w:val="libFootnotenumChar"/>
          <w:rtl/>
        </w:rPr>
        <w:t>(9)</w:t>
      </w:r>
      <w:r w:rsidRPr="00C9040A">
        <w:rPr>
          <w:rtl/>
          <w:lang w:bidi="fa-IR"/>
        </w:rPr>
        <w:t xml:space="preserve"> يَسُرُّنِي أَنَّ لِي </w:t>
      </w:r>
      <w:r w:rsidR="006C577F" w:rsidRPr="006C577F">
        <w:rPr>
          <w:rStyle w:val="libFootnotenumChar"/>
          <w:rtl/>
        </w:rPr>
        <w:t>(10)</w:t>
      </w:r>
      <w:r w:rsidRPr="00C9040A">
        <w:rPr>
          <w:rtl/>
          <w:lang w:bidi="fa-IR"/>
        </w:rPr>
        <w:t xml:space="preserve"> بِذُلِّ نَفْسِي حُمْرَ النَّعَمِ »</w:t>
      </w:r>
      <w:r>
        <w:rPr>
          <w:rtl/>
          <w:lang w:bidi="fa-IR"/>
        </w:rPr>
        <w:t>.</w:t>
      </w:r>
      <w:r w:rsidRPr="00C9040A">
        <w:rPr>
          <w:rtl/>
          <w:lang w:bidi="fa-IR"/>
        </w:rPr>
        <w:t xml:space="preserve"> </w:t>
      </w:r>
      <w:r w:rsidR="006C577F" w:rsidRPr="006C577F">
        <w:rPr>
          <w:rStyle w:val="libFootnotenumChar"/>
          <w:rtl/>
        </w:rPr>
        <w:t>(11)</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993B55">
        <w:rPr>
          <w:rStyle w:val="libFootnoteBoldChar"/>
          <w:rtl/>
        </w:rPr>
        <w:t>الكافي</w:t>
      </w:r>
      <w:r w:rsidR="008A74EB" w:rsidRPr="00C9040A">
        <w:rPr>
          <w:rtl/>
        </w:rPr>
        <w:t xml:space="preserve"> ، كتاب الإيمان والكفر ، باب المكارم ، ح 1563 ؛ و</w:t>
      </w:r>
      <w:r w:rsidR="008A74EB" w:rsidRPr="00993B55">
        <w:rPr>
          <w:rStyle w:val="libFootnoteBoldChar"/>
          <w:rtl/>
        </w:rPr>
        <w:t xml:space="preserve">الزهد </w:t>
      </w:r>
      <w:r w:rsidR="008A74EB" w:rsidRPr="00C9040A">
        <w:rPr>
          <w:rtl/>
        </w:rPr>
        <w:t>، ص 87 ، ح 58 ؛ و</w:t>
      </w:r>
      <w:r w:rsidR="008A74EB" w:rsidRPr="0034021D">
        <w:rPr>
          <w:rStyle w:val="libFootnoteBoldChar"/>
          <w:rtl/>
        </w:rPr>
        <w:t>الأمالي للصدوق</w:t>
      </w:r>
      <w:r w:rsidR="008A74EB" w:rsidRPr="00C9040A">
        <w:rPr>
          <w:rtl/>
        </w:rPr>
        <w:t xml:space="preserve"> ، ص 270 ، المجلس 46 ، ح 3 ، بسند آخر ، من قوله : « إنّ الله اصطفى الإسلام » مع اختلاف يسير</w:t>
      </w:r>
      <w:r w:rsidR="00764350">
        <w:rPr>
          <w:rFonts w:hint="cs"/>
          <w:rtl/>
        </w:rPr>
        <w:t>.</w:t>
      </w:r>
      <w:r w:rsidR="008A74EB" w:rsidRPr="00993B55">
        <w:rPr>
          <w:rStyle w:val="libFootnoteBoldChar"/>
          <w:rtl/>
        </w:rPr>
        <w:t>الوافي</w:t>
      </w:r>
      <w:r w:rsidR="008A74EB" w:rsidRPr="00C9040A">
        <w:rPr>
          <w:rtl/>
        </w:rPr>
        <w:t xml:space="preserve"> ، ج 4 ، ص 445 ، ح 2296 ؛ </w:t>
      </w:r>
      <w:r w:rsidR="008A74EB" w:rsidRPr="00993B55">
        <w:rPr>
          <w:rStyle w:val="libFootnoteBoldChar"/>
          <w:rtl/>
        </w:rPr>
        <w:t>الوسائل</w:t>
      </w:r>
      <w:r w:rsidR="008A74EB" w:rsidRPr="00C9040A">
        <w:rPr>
          <w:rtl/>
        </w:rPr>
        <w:t xml:space="preserve"> ، ج 12 ، ص 181 ، ح 16022 ؛ </w:t>
      </w:r>
      <w:r w:rsidR="008A74EB" w:rsidRPr="00993B55">
        <w:rPr>
          <w:rStyle w:val="libFootnoteBoldChar"/>
          <w:rtl/>
        </w:rPr>
        <w:t>البحار</w:t>
      </w:r>
      <w:r w:rsidR="008A74EB" w:rsidRPr="00C9040A">
        <w:rPr>
          <w:rtl/>
        </w:rPr>
        <w:t xml:space="preserve"> ، ج 71 ، ص 411 ، ح 26.</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ب ، ف ، بر » : « حفض »</w:t>
      </w:r>
      <w:r w:rsidR="008A74EB">
        <w:rPr>
          <w:rtl/>
        </w:rPr>
        <w:t>.</w:t>
      </w:r>
      <w:r w:rsidR="008A74EB" w:rsidRPr="00C9040A">
        <w:rPr>
          <w:rtl/>
        </w:rPr>
        <w:t xml:space="preserve"> وفي « ض » : « حفظ »</w:t>
      </w:r>
      <w:r w:rsidR="008A74EB">
        <w:rPr>
          <w:rtl/>
        </w:rPr>
        <w:t>.</w:t>
      </w:r>
      <w:r w:rsidR="008A74EB" w:rsidRPr="00C9040A">
        <w:rPr>
          <w:rtl/>
        </w:rPr>
        <w:t xml:space="preserve"> هذا ولم نعثر على هذين اللفظين كالعنوان في موضع.</w:t>
      </w:r>
    </w:p>
    <w:p w:rsidR="008A74EB" w:rsidRPr="00C9040A" w:rsidRDefault="006C577F" w:rsidP="004A4E41">
      <w:pPr>
        <w:pStyle w:val="libFootnote0"/>
        <w:rPr>
          <w:rtl/>
          <w:lang w:bidi="fa-IR"/>
        </w:rPr>
      </w:pPr>
      <w:r>
        <w:rPr>
          <w:rtl/>
        </w:rPr>
        <w:t>(3).</w:t>
      </w:r>
      <w:r w:rsidR="008A74EB" w:rsidRPr="00C9040A">
        <w:rPr>
          <w:rtl/>
        </w:rPr>
        <w:t xml:space="preserve"> في تحف العقول : « السبل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ب ، ج ، ز ، ف ، بر ، بس ، بف » والبحار : « يردّها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ب » : « معصية »</w:t>
      </w:r>
      <w:r w:rsidR="008A74EB">
        <w:rPr>
          <w:rtl/>
        </w:rPr>
        <w:t>.</w:t>
      </w:r>
      <w:r w:rsidR="008A74EB" w:rsidRPr="00C9040A">
        <w:rPr>
          <w:rtl/>
        </w:rPr>
        <w:t xml:space="preserve"> وفي تحف العقول : « حزن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ب ، ج ، ز ، ف ، بر ، بس ، بف » والبحار : « يردّها »</w:t>
      </w:r>
      <w:r w:rsidR="008A74EB">
        <w:rPr>
          <w:rtl/>
        </w:rPr>
        <w:t>.</w:t>
      </w:r>
    </w:p>
    <w:p w:rsidR="008A74EB" w:rsidRPr="00C9040A" w:rsidRDefault="006C577F" w:rsidP="00AC2E2F">
      <w:pPr>
        <w:pStyle w:val="libFootnote0"/>
        <w:rPr>
          <w:rtl/>
          <w:lang w:bidi="fa-IR"/>
        </w:rPr>
      </w:pPr>
      <w:r>
        <w:rPr>
          <w:rtl/>
        </w:rPr>
        <w:t>(7).</w:t>
      </w:r>
      <w:r w:rsidR="008A74EB" w:rsidRPr="00C9040A">
        <w:rPr>
          <w:rtl/>
        </w:rPr>
        <w:t xml:space="preserve"> </w:t>
      </w:r>
      <w:r w:rsidR="008A74EB" w:rsidRPr="00993B55">
        <w:rPr>
          <w:rStyle w:val="libFootnoteBoldChar"/>
          <w:rtl/>
        </w:rPr>
        <w:t>الخصال</w:t>
      </w:r>
      <w:r w:rsidR="008A74EB" w:rsidRPr="00C9040A">
        <w:rPr>
          <w:rtl/>
        </w:rPr>
        <w:t xml:space="preserve"> ، ص 50 ، باب الاثنين ، ح 60 ؛ و</w:t>
      </w:r>
      <w:r w:rsidR="008A74EB" w:rsidRPr="0034021D">
        <w:rPr>
          <w:rStyle w:val="libFootnoteBoldChar"/>
          <w:rtl/>
        </w:rPr>
        <w:t>الأمالي للمفيد</w:t>
      </w:r>
      <w:r w:rsidR="008A74EB" w:rsidRPr="00C9040A">
        <w:rPr>
          <w:rtl/>
        </w:rPr>
        <w:t xml:space="preserve"> ، ص 111 ، المجلس 1 ، ح 8 ، بسند آخر عن زين العابدين </w:t>
      </w:r>
      <w:r w:rsidR="00117575" w:rsidRPr="00117575">
        <w:rPr>
          <w:rStyle w:val="libFootnoteAlaemChar"/>
          <w:rtl/>
        </w:rPr>
        <w:t xml:space="preserve">عليه‌السلام </w:t>
      </w:r>
      <w:r w:rsidR="008A74EB" w:rsidRPr="00C9040A">
        <w:rPr>
          <w:rtl/>
        </w:rPr>
        <w:t xml:space="preserve"> ، من دون الإسناد إلى الرسول </w:t>
      </w:r>
      <w:r w:rsidR="004A4E41" w:rsidRPr="00AC2E2F">
        <w:rPr>
          <w:rStyle w:val="libFootnoteAlaemChar"/>
          <w:rtl/>
        </w:rPr>
        <w:t>صلى‌الله‌عليه‌وآله</w:t>
      </w:r>
      <w:r w:rsidR="008A74EB" w:rsidRPr="00C9040A">
        <w:rPr>
          <w:rtl/>
        </w:rPr>
        <w:t xml:space="preserve"> ؛ </w:t>
      </w:r>
      <w:r w:rsidR="008A74EB" w:rsidRPr="00993B55">
        <w:rPr>
          <w:rStyle w:val="libFootnoteBoldChar"/>
          <w:rtl/>
        </w:rPr>
        <w:t>الزهد</w:t>
      </w:r>
      <w:r w:rsidR="008A74EB" w:rsidRPr="00C9040A">
        <w:rPr>
          <w:rtl/>
        </w:rPr>
        <w:t xml:space="preserve"> ، ص 146 ، ح 208 ، بسند آخر عن أبي حمزة ، عن أبي جعفر </w:t>
      </w:r>
      <w:r w:rsidR="00117575" w:rsidRPr="00117575">
        <w:rPr>
          <w:rStyle w:val="libFootnoteAlaemChar"/>
          <w:rtl/>
        </w:rPr>
        <w:t xml:space="preserve">عليه‌السلام </w:t>
      </w:r>
      <w:r w:rsidR="008A74EB" w:rsidRPr="00C9040A">
        <w:rPr>
          <w:rtl/>
        </w:rPr>
        <w:t xml:space="preserve"> ، من دون الإسناد إلى الرسول </w:t>
      </w:r>
      <w:r w:rsidR="004A4E41" w:rsidRPr="00AC2E2F">
        <w:rPr>
          <w:rStyle w:val="libFootnoteAlaemChar"/>
          <w:rtl/>
        </w:rPr>
        <w:t>صلى‌الله‌عليه‌وآله</w:t>
      </w:r>
      <w:r w:rsidR="008A74EB" w:rsidRPr="00C9040A">
        <w:rPr>
          <w:rtl/>
        </w:rPr>
        <w:t xml:space="preserve"> ، وفي كلّها مع اختلاف يسير. </w:t>
      </w:r>
      <w:r w:rsidR="008A74EB" w:rsidRPr="00993B55">
        <w:rPr>
          <w:rStyle w:val="libFootnoteBoldChar"/>
          <w:rtl/>
        </w:rPr>
        <w:t>تحف العقول</w:t>
      </w:r>
      <w:r w:rsidR="008A74EB" w:rsidRPr="00C9040A">
        <w:rPr>
          <w:rtl/>
        </w:rPr>
        <w:t xml:space="preserve"> ، ص 219 ، عن أمير المؤمنين </w:t>
      </w:r>
      <w:r w:rsidR="00117575" w:rsidRPr="00117575">
        <w:rPr>
          <w:rStyle w:val="libFootnoteAlaemChar"/>
          <w:rtl/>
        </w:rPr>
        <w:t xml:space="preserve">عليه‌السلام </w:t>
      </w:r>
      <w:r w:rsidR="008A74EB" w:rsidRPr="00C9040A">
        <w:rPr>
          <w:rtl/>
        </w:rPr>
        <w:t xml:space="preserve"> ، وفي كلّها مع زيادة</w:t>
      </w:r>
      <w:r w:rsidR="00764350">
        <w:rPr>
          <w:rFonts w:hint="cs"/>
          <w:rtl/>
        </w:rPr>
        <w:t>.</w:t>
      </w:r>
      <w:r w:rsidR="008A74EB" w:rsidRPr="00993B55">
        <w:rPr>
          <w:rStyle w:val="libFootnoteBoldChar"/>
          <w:rtl/>
        </w:rPr>
        <w:t>الوافي</w:t>
      </w:r>
      <w:r w:rsidR="008A74EB" w:rsidRPr="00C9040A">
        <w:rPr>
          <w:rtl/>
        </w:rPr>
        <w:t xml:space="preserve"> ، ج 4 ، ص 446 ، ح 2302 ؛ </w:t>
      </w:r>
      <w:r w:rsidR="008A74EB" w:rsidRPr="00993B55">
        <w:rPr>
          <w:rStyle w:val="libFootnoteBoldChar"/>
          <w:rtl/>
        </w:rPr>
        <w:t>الوسائل</w:t>
      </w:r>
      <w:r w:rsidR="008A74EB" w:rsidRPr="00C9040A">
        <w:rPr>
          <w:rtl/>
        </w:rPr>
        <w:t xml:space="preserve"> ، ج 12 ، ص 176 ، ح 16005 ؛ </w:t>
      </w:r>
      <w:r w:rsidR="008A74EB" w:rsidRPr="00993B55">
        <w:rPr>
          <w:rStyle w:val="libFootnoteBoldChar"/>
          <w:rtl/>
        </w:rPr>
        <w:t>البحار</w:t>
      </w:r>
      <w:r w:rsidR="008A74EB" w:rsidRPr="00C9040A">
        <w:rPr>
          <w:rtl/>
        </w:rPr>
        <w:t xml:space="preserve"> ، ج 71 ، ص 411 ، ح 27.</w:t>
      </w:r>
      <w:r w:rsidR="00AC2E2F">
        <w:rPr>
          <w:rFonts w:hint="cs"/>
          <w:rtl/>
        </w:rPr>
        <w:t xml:space="preserve">       </w:t>
      </w:r>
      <w:r w:rsidR="00764350">
        <w:rPr>
          <w:rFonts w:hint="cs"/>
          <w:rtl/>
        </w:rPr>
        <w:t xml:space="preserve">       </w:t>
      </w:r>
      <w:r>
        <w:rPr>
          <w:rtl/>
        </w:rPr>
        <w:t>(8).</w:t>
      </w:r>
      <w:r w:rsidR="008A74EB" w:rsidRPr="00C9040A">
        <w:rPr>
          <w:rtl/>
        </w:rPr>
        <w:t xml:space="preserve"> في الوسائل </w:t>
      </w:r>
      <w:r w:rsidR="008A74EB">
        <w:rPr>
          <w:rtl/>
        </w:rPr>
        <w:t xml:space="preserve">: </w:t>
      </w:r>
      <w:r w:rsidR="0084262C">
        <w:rPr>
          <w:rtl/>
        </w:rPr>
        <w:t>-</w:t>
      </w:r>
      <w:r w:rsidR="00AC2E2F">
        <w:rPr>
          <w:rtl/>
        </w:rPr>
        <w:t xml:space="preserve"> «يا بنيّ</w:t>
      </w:r>
      <w:r w:rsidR="008A74EB" w:rsidRPr="00C9040A">
        <w:rPr>
          <w:rtl/>
        </w:rPr>
        <w:t>»</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هكذا في « ب ، ج ، د ، ز ، ف ، بس ، بف » والوافي والوسائل والبحار. وفي سائر النسخ والمطبوع : « وما من شي‌ء »</w:t>
      </w:r>
      <w:r w:rsidR="008A74EB">
        <w:rPr>
          <w:rtl/>
        </w:rPr>
        <w:t>.</w:t>
      </w:r>
      <w:r w:rsidR="00764350">
        <w:rPr>
          <w:rFonts w:hint="cs"/>
          <w:rtl/>
        </w:rPr>
        <w:t xml:space="preserve">                                                                   </w:t>
      </w:r>
      <w:r>
        <w:rPr>
          <w:rtl/>
        </w:rPr>
        <w:t>(10).</w:t>
      </w:r>
      <w:r w:rsidR="008A74EB" w:rsidRPr="00C9040A">
        <w:rPr>
          <w:rtl/>
        </w:rPr>
        <w:t xml:space="preserve"> في « ب » </w:t>
      </w:r>
      <w:r w:rsidR="008A74EB">
        <w:rPr>
          <w:rtl/>
        </w:rPr>
        <w:t xml:space="preserve">: </w:t>
      </w:r>
      <w:r w:rsidR="0084262C">
        <w:rPr>
          <w:rtl/>
        </w:rPr>
        <w:t>-</w:t>
      </w:r>
      <w:r w:rsidR="008A74EB" w:rsidRPr="00C9040A">
        <w:rPr>
          <w:rtl/>
        </w:rPr>
        <w:t xml:space="preserve"> « لي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w:t>
      </w:r>
      <w:r w:rsidR="008A74EB" w:rsidRPr="00993B55">
        <w:rPr>
          <w:rStyle w:val="libFootnoteBoldChar"/>
          <w:rtl/>
        </w:rPr>
        <w:t>الأمال</w:t>
      </w:r>
      <w:r w:rsidR="008A74EB" w:rsidRPr="00AC2E2F">
        <w:rPr>
          <w:rStyle w:val="libFootnoteBoldChar"/>
          <w:rtl/>
        </w:rPr>
        <w:t xml:space="preserve">ي للطوسي </w:t>
      </w:r>
      <w:r w:rsidR="008A74EB" w:rsidRPr="00C9040A">
        <w:rPr>
          <w:rtl/>
        </w:rPr>
        <w:t xml:space="preserve">، ص 673 ، المجلس 36 ، ح 26 ، بسند آخر عن أبي عبد الله ، عن عليّ بن الحسين </w:t>
      </w:r>
      <w:r w:rsidR="00117575" w:rsidRPr="00117575">
        <w:rPr>
          <w:rStyle w:val="libFootnoteAlaemChar"/>
          <w:rtl/>
        </w:rPr>
        <w:t>عليهما‌السلام</w:t>
      </w:r>
      <w:r w:rsidR="008A74EB" w:rsidRPr="00C9040A">
        <w:rPr>
          <w:rtl/>
        </w:rPr>
        <w:t xml:space="preserve"> ، مع اختلاف وزيادة في آخره</w:t>
      </w:r>
      <w:r w:rsidR="00764350">
        <w:rPr>
          <w:rFonts w:hint="cs"/>
          <w:rtl/>
        </w:rPr>
        <w:t>.</w:t>
      </w:r>
      <w:r w:rsidR="008A74EB" w:rsidRPr="00993B55">
        <w:rPr>
          <w:rStyle w:val="libFootnoteBoldChar"/>
          <w:rtl/>
        </w:rPr>
        <w:t>الوافي</w:t>
      </w:r>
      <w:r w:rsidR="008A74EB" w:rsidRPr="00C9040A">
        <w:rPr>
          <w:rtl/>
        </w:rPr>
        <w:t xml:space="preserve"> ، ج 4 ، ص 443 ، ح 2292 ؛ </w:t>
      </w:r>
      <w:r w:rsidR="008A74EB" w:rsidRPr="00993B55">
        <w:rPr>
          <w:rStyle w:val="libFootnoteBoldChar"/>
          <w:rtl/>
        </w:rPr>
        <w:t>الوسائل</w:t>
      </w:r>
      <w:r w:rsidR="008A74EB" w:rsidRPr="00C9040A">
        <w:rPr>
          <w:rtl/>
        </w:rPr>
        <w:t xml:space="preserve"> ، ج 12 ، ص 176 ، ح 16004 ؛ </w:t>
      </w:r>
      <w:r w:rsidR="008A74EB" w:rsidRPr="00993B55">
        <w:rPr>
          <w:rStyle w:val="libFootnoteBoldChar"/>
          <w:rtl/>
        </w:rPr>
        <w:t>البحار</w:t>
      </w:r>
      <w:r w:rsidR="008A74EB" w:rsidRPr="00C9040A">
        <w:rPr>
          <w:rtl/>
        </w:rPr>
        <w:t xml:space="preserve"> ، ج 71 ، ص 412 ، ح 28.</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F93DBB">
        <w:rPr>
          <w:rtl/>
        </w:rPr>
        <w:t>1808</w:t>
      </w:r>
      <w:r w:rsidRPr="00261CB0">
        <w:rPr>
          <w:rStyle w:val="libBold2Char"/>
          <w:rtl/>
        </w:rPr>
        <w:t xml:space="preserve"> / 11.</w:t>
      </w:r>
      <w:r w:rsidRPr="00C9040A">
        <w:rPr>
          <w:rtl/>
          <w:lang w:bidi="fa-IR"/>
        </w:rPr>
        <w:t xml:space="preserve"> عَلِيُّ بْنُ إِبْرَاهِيمَ ، عَنْ أَبِيهِ ، عَنِ ابْنِ أَبِي عُمَيْرٍ ، عَنْ مُعَاوِيَةَ بْنِ وَهْبٍ ، عَنْ مُعَاذِ </w:t>
      </w:r>
      <w:r w:rsidR="006C577F" w:rsidRPr="006C577F">
        <w:rPr>
          <w:rStyle w:val="libFootnotenumChar"/>
          <w:rtl/>
        </w:rPr>
        <w:t>(1)</w:t>
      </w:r>
      <w:r w:rsidRPr="00C9040A">
        <w:rPr>
          <w:rtl/>
          <w:lang w:bidi="fa-IR"/>
        </w:rPr>
        <w:t xml:space="preserve"> بْنِ مُسْلِمٍ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اصْبِرُوا </w:t>
      </w:r>
      <w:r w:rsidR="006C577F" w:rsidRPr="006C577F">
        <w:rPr>
          <w:rStyle w:val="libFootnotenumChar"/>
          <w:rtl/>
        </w:rPr>
        <w:t>(2)</w:t>
      </w:r>
      <w:r w:rsidRPr="00C9040A">
        <w:rPr>
          <w:rtl/>
          <w:lang w:bidi="fa-IR"/>
        </w:rPr>
        <w:t xml:space="preserve"> عَلى أَعْدَاءِ النِّعَمِ ؛ فَإِنَّكَ لَنْ تُكَافِئَ مَنْ عَصَى اللهَ فِيكَ بِأَفْضَلَ مِنْ أَنْ تُطِيعَ اللهَ فِيهِ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F93DBB">
        <w:rPr>
          <w:rtl/>
        </w:rPr>
        <w:t>1809</w:t>
      </w:r>
      <w:r w:rsidRPr="00261CB0">
        <w:rPr>
          <w:rStyle w:val="libBold2Char"/>
          <w:rtl/>
        </w:rPr>
        <w:t xml:space="preserve"> / 12.</w:t>
      </w:r>
      <w:r w:rsidRPr="00C9040A">
        <w:rPr>
          <w:rtl/>
          <w:lang w:bidi="fa-IR"/>
        </w:rPr>
        <w:t xml:space="preserve"> عَنْهُ ، عَنْ أَبِيهِ ، عَنِ ابْنِ أَبِي عُمَيْرٍ ، عَنْ خَلاَّدٍ ، عَنِ </w:t>
      </w:r>
      <w:r w:rsidR="006C577F" w:rsidRPr="006C577F">
        <w:rPr>
          <w:rStyle w:val="libFootnotenumChar"/>
          <w:rtl/>
        </w:rPr>
        <w:t>(4)</w:t>
      </w:r>
      <w:r w:rsidRPr="00C9040A">
        <w:rPr>
          <w:rtl/>
          <w:lang w:bidi="fa-IR"/>
        </w:rPr>
        <w:t xml:space="preserve"> الثُّمَالِيِّ :</w:t>
      </w:r>
    </w:p>
    <w:p w:rsidR="008A74EB" w:rsidRDefault="008A74EB" w:rsidP="00764350">
      <w:pPr>
        <w:pStyle w:val="libNormal"/>
        <w:rPr>
          <w:rtl/>
          <w:lang w:bidi="fa-IR"/>
        </w:rPr>
      </w:pPr>
      <w:r w:rsidRPr="00C9040A">
        <w:rPr>
          <w:rtl/>
          <w:lang w:bidi="fa-IR"/>
        </w:rPr>
        <w:t xml:space="preserve">عَنْ عَلِيِّ بْنِ الْحُسَيْنِ صَلَوَاتُ اللهِ عَلَيْهِمَا ، قَالَ : قَالَ </w:t>
      </w:r>
      <w:r w:rsidR="006C577F" w:rsidRPr="006C577F">
        <w:rPr>
          <w:rStyle w:val="libFootnotenumChar"/>
          <w:rtl/>
        </w:rPr>
        <w:t>(5)</w:t>
      </w:r>
      <w:r w:rsidRPr="00C9040A">
        <w:rPr>
          <w:rtl/>
          <w:lang w:bidi="fa-IR"/>
        </w:rPr>
        <w:t xml:space="preserve"> : « مَا أُحِبُّ أَنَّ لِي بِذُلِّ نَفْسِي حُمْرَ النَّعَمِ ، وَمَا تَجَرَّعْتُ مِنْ </w:t>
      </w:r>
      <w:r w:rsidR="006C577F" w:rsidRPr="006C577F">
        <w:rPr>
          <w:rStyle w:val="libFootnotenumChar"/>
          <w:rtl/>
        </w:rPr>
        <w:t>(6)</w:t>
      </w:r>
      <w:r w:rsidR="00764350" w:rsidRPr="00C9040A">
        <w:rPr>
          <w:rtl/>
          <w:lang w:bidi="fa-IR"/>
        </w:rPr>
        <w:t xml:space="preserve"> </w:t>
      </w:r>
      <w:r w:rsidRPr="00C9040A">
        <w:rPr>
          <w:rtl/>
          <w:lang w:bidi="fa-IR"/>
        </w:rPr>
        <w:t xml:space="preserve">جُرْعَةٍ </w:t>
      </w:r>
      <w:r w:rsidR="006C577F" w:rsidRPr="006C577F">
        <w:rPr>
          <w:rStyle w:val="libFootnotenumChar"/>
          <w:rtl/>
        </w:rPr>
        <w:t>(7)</w:t>
      </w:r>
      <w:r w:rsidRPr="00C9040A">
        <w:rPr>
          <w:rtl/>
          <w:lang w:bidi="fa-IR"/>
        </w:rPr>
        <w:t xml:space="preserve"> أَحَبَّ إِلَيَّ مِنْ جُرْعَةِ غَيْظٍ لَا</w:t>
      </w:r>
      <w:r>
        <w:rPr>
          <w:rFonts w:hint="cs"/>
          <w:rtl/>
          <w:lang w:bidi="fa-IR"/>
        </w:rPr>
        <w:t xml:space="preserve"> </w:t>
      </w:r>
      <w:r w:rsidRPr="00C9040A">
        <w:rPr>
          <w:rtl/>
          <w:lang w:bidi="fa-IR"/>
        </w:rPr>
        <w:t>أُكَافِئُ بِهَا صَاحِبَهَا »</w:t>
      </w:r>
      <w:r>
        <w:rPr>
          <w:rtl/>
          <w:lang w:bidi="fa-IR"/>
        </w:rPr>
        <w:t>.</w:t>
      </w:r>
      <w:r w:rsidRPr="00C9040A">
        <w:rPr>
          <w:rtl/>
          <w:lang w:bidi="fa-IR"/>
        </w:rPr>
        <w:t xml:space="preserve"> </w:t>
      </w:r>
      <w:r w:rsidR="006C577F" w:rsidRPr="006C577F">
        <w:rPr>
          <w:rStyle w:val="libFootnotenumChar"/>
          <w:rtl/>
        </w:rPr>
        <w:t>(8)</w:t>
      </w:r>
    </w:p>
    <w:p w:rsidR="008A74EB" w:rsidRPr="00C9040A" w:rsidRDefault="008A74EB" w:rsidP="008A74EB">
      <w:pPr>
        <w:pStyle w:val="libNormal"/>
        <w:rPr>
          <w:rtl/>
          <w:lang w:bidi="fa-IR"/>
        </w:rPr>
      </w:pPr>
      <w:r w:rsidRPr="00C9040A">
        <w:rPr>
          <w:rtl/>
          <w:lang w:bidi="fa-IR"/>
        </w:rPr>
        <w:t>‌</w:t>
      </w:r>
      <w:r w:rsidRPr="00F93DBB">
        <w:rPr>
          <w:rtl/>
        </w:rPr>
        <w:t>1810</w:t>
      </w:r>
      <w:r w:rsidRPr="00261CB0">
        <w:rPr>
          <w:rStyle w:val="libBold2Char"/>
          <w:rtl/>
        </w:rPr>
        <w:t xml:space="preserve"> / 13.</w:t>
      </w:r>
      <w:r w:rsidRPr="00C9040A">
        <w:rPr>
          <w:rtl/>
          <w:lang w:bidi="fa-IR"/>
        </w:rPr>
        <w:t xml:space="preserve"> عِدَّةٌ مِنْ أَصْحَابِنَا ، عَنْ أَحْمَدَ بْنِ مُحَمَّدٍ ، عَنِ الْوَشَّاءِ ، عَنْ مُثَنًّى الْحَنَّاطِ ، عَنْ أَبِي حَمْزَةَ ، قَالَ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بس » : « معاد »</w:t>
      </w:r>
      <w:r w:rsidR="008A74EB">
        <w:rPr>
          <w:rtl/>
        </w:rPr>
        <w:t>.</w:t>
      </w:r>
      <w:r w:rsidR="008A74EB" w:rsidRPr="00C9040A">
        <w:rPr>
          <w:rtl/>
        </w:rPr>
        <w:t xml:space="preserve"> ومُعاذ هذا ، هو مُعاذ بن مسلم النحوي الهرّاء. راجع : </w:t>
      </w:r>
      <w:r w:rsidR="008A74EB" w:rsidRPr="00993B55">
        <w:rPr>
          <w:rStyle w:val="libFootnoteBoldChar"/>
          <w:rtl/>
        </w:rPr>
        <w:t>رجال الكشّي</w:t>
      </w:r>
      <w:r w:rsidR="008A74EB" w:rsidRPr="00C9040A">
        <w:rPr>
          <w:rtl/>
        </w:rPr>
        <w:t xml:space="preserve"> ، ص 253 ، الرقم 470 ؛ </w:t>
      </w:r>
      <w:r w:rsidR="008A74EB" w:rsidRPr="00993B55">
        <w:rPr>
          <w:rStyle w:val="libFootnoteBoldChar"/>
          <w:rtl/>
        </w:rPr>
        <w:t>رجال الطوسي</w:t>
      </w:r>
      <w:r w:rsidR="008A74EB" w:rsidRPr="00C9040A">
        <w:rPr>
          <w:rtl/>
        </w:rPr>
        <w:t xml:space="preserve"> ، ص 146 الرقم 1612 ؛ وص 183 ، الرقم 2209 ؛ وص 306 ، الرقم 4517.</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الفقيه والأمالي والخصال : « اصبر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w:t>
      </w:r>
      <w:r w:rsidR="008A74EB" w:rsidRPr="00993B55">
        <w:rPr>
          <w:rStyle w:val="libFootnoteBoldChar"/>
          <w:rtl/>
        </w:rPr>
        <w:t>الفقيه</w:t>
      </w:r>
      <w:r w:rsidR="008A74EB" w:rsidRPr="00C9040A">
        <w:rPr>
          <w:rtl/>
        </w:rPr>
        <w:t xml:space="preserve"> ، ج 4 ، ص 398 ، ح 5852 ، بسنده عن ابن أبي عمير ، عن معاوية بن وهب ، عن أبي عبد الله </w:t>
      </w:r>
      <w:r w:rsidR="00117575" w:rsidRPr="00117575">
        <w:rPr>
          <w:rStyle w:val="libFootnoteAlaemChar"/>
          <w:rtl/>
        </w:rPr>
        <w:t xml:space="preserve">عليه‌السلام </w:t>
      </w:r>
      <w:r w:rsidR="008A74EB" w:rsidRPr="00C9040A">
        <w:rPr>
          <w:rtl/>
        </w:rPr>
        <w:t xml:space="preserve">. وفي </w:t>
      </w:r>
      <w:r w:rsidR="008A74EB" w:rsidRPr="0034021D">
        <w:rPr>
          <w:rStyle w:val="libFootnoteBoldChar"/>
          <w:rtl/>
        </w:rPr>
        <w:t>الأمالي للصدوق</w:t>
      </w:r>
      <w:r w:rsidR="008A74EB" w:rsidRPr="00C9040A">
        <w:rPr>
          <w:rtl/>
        </w:rPr>
        <w:t xml:space="preserve"> ، ص 98 ، المجلس 21 ، ح 5 ؛ و</w:t>
      </w:r>
      <w:r w:rsidR="008A74EB" w:rsidRPr="00993B55">
        <w:rPr>
          <w:rStyle w:val="libFootnoteBoldChar"/>
          <w:rtl/>
        </w:rPr>
        <w:t>الخصال</w:t>
      </w:r>
      <w:r w:rsidR="008A74EB" w:rsidRPr="00C9040A">
        <w:rPr>
          <w:rtl/>
        </w:rPr>
        <w:t xml:space="preserve"> ، ص 20 ، باب الواحد ، ح 71 ، بسند آخر عن ابن أبي عمير</w:t>
      </w:r>
      <w:r w:rsidR="00764350">
        <w:rPr>
          <w:rFonts w:hint="cs"/>
          <w:rtl/>
        </w:rPr>
        <w:t>.</w:t>
      </w:r>
      <w:r w:rsidR="008A74EB" w:rsidRPr="00993B55">
        <w:rPr>
          <w:rStyle w:val="libFootnoteBoldChar"/>
          <w:rtl/>
        </w:rPr>
        <w:t>الوافي</w:t>
      </w:r>
      <w:r w:rsidR="008A74EB" w:rsidRPr="00C9040A">
        <w:rPr>
          <w:rtl/>
        </w:rPr>
        <w:t xml:space="preserve"> ، ج 4 ، ص 445 ، ح 2297 ؛ </w:t>
      </w:r>
      <w:r w:rsidR="008A74EB" w:rsidRPr="00993B55">
        <w:rPr>
          <w:rStyle w:val="libFootnoteBoldChar"/>
          <w:rtl/>
        </w:rPr>
        <w:t>الوسائل</w:t>
      </w:r>
      <w:r w:rsidR="008A74EB" w:rsidRPr="00C9040A">
        <w:rPr>
          <w:rtl/>
        </w:rPr>
        <w:t xml:space="preserve"> ، ج 12 ، ص 180 ، ذيل ح 16018.</w:t>
      </w:r>
    </w:p>
    <w:p w:rsidR="008A74EB" w:rsidRPr="004A4E41" w:rsidRDefault="006C577F" w:rsidP="004A4E41">
      <w:pPr>
        <w:pStyle w:val="libFootnote0"/>
        <w:rPr>
          <w:rStyle w:val="libFootnote0Char"/>
          <w:rtl/>
        </w:rPr>
      </w:pPr>
      <w:r>
        <w:rPr>
          <w:rtl/>
        </w:rPr>
        <w:t>(4).</w:t>
      </w:r>
      <w:r w:rsidR="008A74EB" w:rsidRPr="00C9040A">
        <w:rPr>
          <w:rtl/>
        </w:rPr>
        <w:t xml:space="preserve"> في « بس » </w:t>
      </w:r>
      <w:r w:rsidR="008A74EB">
        <w:rPr>
          <w:rtl/>
        </w:rPr>
        <w:t xml:space="preserve">: </w:t>
      </w:r>
      <w:r w:rsidR="0084262C">
        <w:rPr>
          <w:rtl/>
        </w:rPr>
        <w:t>-</w:t>
      </w:r>
      <w:r w:rsidR="008A74EB" w:rsidRPr="00C9040A">
        <w:rPr>
          <w:rtl/>
        </w:rPr>
        <w:t xml:space="preserve"> « عن »</w:t>
      </w:r>
      <w:r w:rsidR="008A74EB">
        <w:rPr>
          <w:rtl/>
        </w:rPr>
        <w:t>.</w:t>
      </w:r>
      <w:r w:rsidR="008A74EB" w:rsidRPr="00C9040A">
        <w:rPr>
          <w:rtl/>
        </w:rPr>
        <w:t xml:space="preserve"> وهو سهو ؛ فقد روى الصدوق </w:t>
      </w:r>
      <w:r w:rsidR="00117575" w:rsidRPr="00117575">
        <w:rPr>
          <w:rStyle w:val="libFootnoteAlaemChar"/>
          <w:rtl/>
        </w:rPr>
        <w:t>قدس‌سره</w:t>
      </w:r>
      <w:r w:rsidR="008A74EB" w:rsidRPr="00C9040A">
        <w:rPr>
          <w:rtl/>
        </w:rPr>
        <w:t xml:space="preserve"> الخبر في </w:t>
      </w:r>
      <w:r w:rsidR="008A74EB" w:rsidRPr="00993B55">
        <w:rPr>
          <w:rStyle w:val="libFootnoteBoldChar"/>
          <w:rtl/>
        </w:rPr>
        <w:t>الخصال</w:t>
      </w:r>
      <w:r w:rsidR="008A74EB" w:rsidRPr="00C9040A">
        <w:rPr>
          <w:rtl/>
        </w:rPr>
        <w:t xml:space="preserve"> ، ص 23 ، ح 81 بسنده عن محمّد بن أبي عمير ، عن خلاّد ، عن أبي حمزة الثمالي. وخلاّد هذا ، هو خلاّد السدّي البزّاز ، روى ابن أبي عمير كتابه ؛ فقد ورد الخبر</w:t>
      </w:r>
      <w:r w:rsidR="008A74EB">
        <w:rPr>
          <w:rtl/>
        </w:rPr>
        <w:t xml:space="preserve"> </w:t>
      </w:r>
      <w:r w:rsidR="0084262C">
        <w:rPr>
          <w:rtl/>
        </w:rPr>
        <w:t>-</w:t>
      </w:r>
      <w:r w:rsidR="008A74EB">
        <w:rPr>
          <w:rtl/>
        </w:rPr>
        <w:t xml:space="preserve"> </w:t>
      </w:r>
      <w:r w:rsidR="008A74EB" w:rsidRPr="00C9040A">
        <w:rPr>
          <w:rtl/>
        </w:rPr>
        <w:t>باختلاف يسير</w:t>
      </w:r>
      <w:r w:rsidR="008A74EB">
        <w:rPr>
          <w:rtl/>
        </w:rPr>
        <w:t xml:space="preserve"> </w:t>
      </w:r>
      <w:r w:rsidR="0084262C">
        <w:rPr>
          <w:rtl/>
        </w:rPr>
        <w:t>-</w:t>
      </w:r>
      <w:r w:rsidR="008A74EB">
        <w:rPr>
          <w:rtl/>
        </w:rPr>
        <w:t xml:space="preserve"> </w:t>
      </w:r>
      <w:r w:rsidR="008A74EB" w:rsidRPr="00C9040A">
        <w:rPr>
          <w:rtl/>
        </w:rPr>
        <w:t xml:space="preserve">في </w:t>
      </w:r>
      <w:r w:rsidR="008A74EB" w:rsidRPr="00993B55">
        <w:rPr>
          <w:rStyle w:val="libFootnoteBoldChar"/>
          <w:rtl/>
        </w:rPr>
        <w:t>مستدرك الوسائل</w:t>
      </w:r>
      <w:r w:rsidR="008A74EB" w:rsidRPr="00C9040A">
        <w:rPr>
          <w:rtl/>
        </w:rPr>
        <w:t xml:space="preserve"> ، ج 9 ، ص 13 ، ح 10067 ، نقلاً من كتاب خلاّد السندي</w:t>
      </w:r>
      <w:r w:rsidR="008A74EB">
        <w:rPr>
          <w:rtl/>
        </w:rPr>
        <w:t xml:space="preserve"> </w:t>
      </w:r>
      <w:r w:rsidR="0084262C">
        <w:rPr>
          <w:rtl/>
        </w:rPr>
        <w:t>-</w:t>
      </w:r>
      <w:r w:rsidR="008A74EB">
        <w:rPr>
          <w:rtl/>
        </w:rPr>
        <w:t xml:space="preserve"> </w:t>
      </w:r>
      <w:r w:rsidR="008A74EB" w:rsidRPr="00C9040A">
        <w:rPr>
          <w:rtl/>
        </w:rPr>
        <w:t xml:space="preserve">والصواب السدّي كما يأتي في </w:t>
      </w:r>
      <w:r w:rsidR="008A74EB" w:rsidRPr="00993B55">
        <w:rPr>
          <w:rStyle w:val="libFootnoteBoldChar"/>
          <w:rtl/>
        </w:rPr>
        <w:t>الكافي</w:t>
      </w:r>
      <w:r w:rsidR="008A74EB" w:rsidRPr="00C9040A">
        <w:rPr>
          <w:rtl/>
        </w:rPr>
        <w:t xml:space="preserve"> ، ح 13632</w:t>
      </w:r>
      <w:r w:rsidR="008A74EB">
        <w:rPr>
          <w:rtl/>
        </w:rPr>
        <w:t xml:space="preserve"> </w:t>
      </w:r>
      <w:r w:rsidR="0084262C">
        <w:rPr>
          <w:rtl/>
        </w:rPr>
        <w:t>-</w:t>
      </w:r>
      <w:r w:rsidR="008A74EB">
        <w:rPr>
          <w:rtl/>
        </w:rPr>
        <w:t xml:space="preserve"> </w:t>
      </w:r>
      <w:r w:rsidR="008A74EB" w:rsidRPr="00C9040A">
        <w:rPr>
          <w:rtl/>
        </w:rPr>
        <w:t xml:space="preserve">البزّاز الكوفي عن أبي حمزة الثمالي ، عن عليّ بن الحسين </w:t>
      </w:r>
      <w:r w:rsidR="00117575" w:rsidRPr="00117575">
        <w:rPr>
          <w:rStyle w:val="libFootnoteAlaemChar"/>
          <w:rtl/>
        </w:rPr>
        <w:t xml:space="preserve">عليه‌السلام </w:t>
      </w:r>
      <w:r w:rsidR="008A74EB" w:rsidRPr="00C9040A">
        <w:rPr>
          <w:rtl/>
        </w:rPr>
        <w:t xml:space="preserve">. راجع : </w:t>
      </w:r>
      <w:r w:rsidR="008A74EB" w:rsidRPr="00993B55">
        <w:rPr>
          <w:rStyle w:val="libFootnoteBoldChar"/>
          <w:rtl/>
        </w:rPr>
        <w:t>رجال النجاشي</w:t>
      </w:r>
      <w:r w:rsidR="008A74EB" w:rsidRPr="00C9040A">
        <w:rPr>
          <w:rtl/>
        </w:rPr>
        <w:t xml:space="preserve"> ، ص 154 ، الرقم 405 ؛ </w:t>
      </w:r>
      <w:r w:rsidR="008A74EB" w:rsidRPr="00993B55">
        <w:rPr>
          <w:rStyle w:val="libFootnoteBoldChar"/>
          <w:rtl/>
        </w:rPr>
        <w:t>رجال الطوسي</w:t>
      </w:r>
      <w:r w:rsidR="008A74EB" w:rsidRPr="00C9040A">
        <w:rPr>
          <w:rtl/>
        </w:rPr>
        <w:t xml:space="preserve"> ، ص 199 ، الرقم 2517.</w:t>
      </w:r>
    </w:p>
    <w:tbl>
      <w:tblPr>
        <w:tblStyle w:val="TableGrid"/>
        <w:bidiVisual/>
        <w:tblW w:w="0" w:type="auto"/>
        <w:tblLook w:val="04A0" w:firstRow="1" w:lastRow="0" w:firstColumn="1" w:lastColumn="0" w:noHBand="0" w:noVBand="1"/>
      </w:tblPr>
      <w:tblGrid>
        <w:gridCol w:w="4006"/>
        <w:gridCol w:w="4006"/>
      </w:tblGrid>
      <w:tr w:rsidR="00764350" w:rsidTr="00764350">
        <w:tc>
          <w:tcPr>
            <w:tcW w:w="4006" w:type="dxa"/>
          </w:tcPr>
          <w:p w:rsidR="00764350" w:rsidRDefault="00764350" w:rsidP="004A4E41">
            <w:pPr>
              <w:pStyle w:val="libFootnote0"/>
              <w:rPr>
                <w:rtl/>
              </w:rPr>
            </w:pPr>
            <w:r>
              <w:rPr>
                <w:rtl/>
              </w:rPr>
              <w:t>(5).</w:t>
            </w:r>
            <w:r w:rsidRPr="00C9040A">
              <w:rPr>
                <w:rtl/>
              </w:rPr>
              <w:t xml:space="preserve"> في الخصال </w:t>
            </w:r>
            <w:r>
              <w:rPr>
                <w:rtl/>
              </w:rPr>
              <w:t>: -</w:t>
            </w:r>
            <w:r w:rsidRPr="00C9040A">
              <w:rPr>
                <w:rtl/>
              </w:rPr>
              <w:t xml:space="preserve"> « قال »</w:t>
            </w:r>
            <w:r>
              <w:rPr>
                <w:rtl/>
              </w:rPr>
              <w:t>.</w:t>
            </w:r>
          </w:p>
        </w:tc>
        <w:tc>
          <w:tcPr>
            <w:tcW w:w="4006" w:type="dxa"/>
          </w:tcPr>
          <w:p w:rsidR="00764350" w:rsidRDefault="00764350" w:rsidP="004A4E41">
            <w:pPr>
              <w:pStyle w:val="libFootnote0"/>
              <w:rPr>
                <w:rtl/>
              </w:rPr>
            </w:pPr>
            <w:r>
              <w:rPr>
                <w:rtl/>
              </w:rPr>
              <w:t xml:space="preserve">(6). </w:t>
            </w:r>
            <w:r w:rsidRPr="00C9040A">
              <w:rPr>
                <w:rtl/>
              </w:rPr>
              <w:t xml:space="preserve">في الوافي والزهد والخصال </w:t>
            </w:r>
            <w:r>
              <w:rPr>
                <w:rtl/>
              </w:rPr>
              <w:t>: -</w:t>
            </w:r>
            <w:r w:rsidRPr="00C9040A">
              <w:rPr>
                <w:rtl/>
              </w:rPr>
              <w:t xml:space="preserve"> « من »</w:t>
            </w:r>
            <w:r>
              <w:rPr>
                <w:rtl/>
              </w:rPr>
              <w:t>.</w:t>
            </w:r>
          </w:p>
        </w:tc>
      </w:tr>
    </w:tbl>
    <w:p w:rsidR="008A74EB" w:rsidRPr="00C9040A" w:rsidRDefault="006C577F" w:rsidP="004A4E41">
      <w:pPr>
        <w:pStyle w:val="libFootnote0"/>
        <w:rPr>
          <w:rtl/>
          <w:lang w:bidi="fa-IR"/>
        </w:rPr>
      </w:pPr>
      <w:r>
        <w:rPr>
          <w:rtl/>
        </w:rPr>
        <w:t>(7).</w:t>
      </w:r>
      <w:r w:rsidR="008A74EB" w:rsidRPr="00C9040A">
        <w:rPr>
          <w:rtl/>
        </w:rPr>
        <w:t xml:space="preserve"> في حاشية « بف » : « بجرعة » بدل « من جرعة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w:t>
      </w:r>
      <w:r w:rsidR="008A74EB" w:rsidRPr="00993B55">
        <w:rPr>
          <w:rStyle w:val="libFootnoteBoldChar"/>
          <w:rtl/>
        </w:rPr>
        <w:t>الخصال</w:t>
      </w:r>
      <w:r w:rsidR="008A74EB" w:rsidRPr="00C9040A">
        <w:rPr>
          <w:rtl/>
        </w:rPr>
        <w:t xml:space="preserve"> ، ص 23 ، باب الواحد ، ح 81 ، بسند آخر عن محمّد بن أبي عمير ؛ </w:t>
      </w:r>
      <w:r w:rsidR="008A74EB" w:rsidRPr="00993B55">
        <w:rPr>
          <w:rStyle w:val="libFootnoteBoldChar"/>
          <w:rtl/>
        </w:rPr>
        <w:t>الزهد</w:t>
      </w:r>
      <w:r w:rsidR="008A74EB" w:rsidRPr="00C9040A">
        <w:rPr>
          <w:rtl/>
        </w:rPr>
        <w:t xml:space="preserve"> ، ص 130 ، ح 168 ، عن ابن أبي عمير ، عن هشام بن الحكم ، عن أبي عبد الله </w:t>
      </w:r>
      <w:r w:rsidR="00117575" w:rsidRPr="00117575">
        <w:rPr>
          <w:rStyle w:val="libFootnoteAlaemChar"/>
          <w:rtl/>
        </w:rPr>
        <w:t>عليه‌السلام</w:t>
      </w:r>
      <w:r w:rsidR="008A74EB" w:rsidRPr="00C9040A">
        <w:rPr>
          <w:rtl/>
        </w:rPr>
        <w:t xml:space="preserve"> ، ومنصور ، عن الثمالي ، عن أبي جعفر </w:t>
      </w:r>
      <w:r w:rsidR="00117575" w:rsidRPr="00117575">
        <w:rPr>
          <w:rStyle w:val="libFootnoteAlaemChar"/>
          <w:rtl/>
        </w:rPr>
        <w:t xml:space="preserve">عليه‌السلام </w:t>
      </w:r>
      <w:r w:rsidR="008A74EB" w:rsidRPr="00C9040A">
        <w:rPr>
          <w:rtl/>
        </w:rPr>
        <w:t xml:space="preserve">، قال : كان عليّ بن الحسين </w:t>
      </w:r>
      <w:r w:rsidR="00117575" w:rsidRPr="00117575">
        <w:rPr>
          <w:rStyle w:val="libFootnoteAlaemChar"/>
          <w:rtl/>
        </w:rPr>
        <w:t>عليه‌السلام</w:t>
      </w:r>
      <w:r w:rsidR="008A74EB" w:rsidRPr="00C9040A">
        <w:rPr>
          <w:rtl/>
        </w:rPr>
        <w:t xml:space="preserve"> يقول : ما أحبّ</w:t>
      </w:r>
      <w:r w:rsidR="008A74EB">
        <w:rPr>
          <w:rtl/>
        </w:rPr>
        <w:t xml:space="preserve"> ..</w:t>
      </w:r>
      <w:r w:rsidR="008A74EB" w:rsidRPr="00C9040A">
        <w:rPr>
          <w:rtl/>
        </w:rPr>
        <w:t>.</w:t>
      </w:r>
      <w:r w:rsidR="001F0326">
        <w:rPr>
          <w:rFonts w:hint="cs"/>
          <w:rtl/>
        </w:rPr>
        <w:t xml:space="preserve"> .</w:t>
      </w:r>
      <w:r w:rsidR="008A74EB" w:rsidRPr="00993B55">
        <w:rPr>
          <w:rStyle w:val="libFootnoteBoldChar"/>
          <w:rtl/>
        </w:rPr>
        <w:t>الوافي</w:t>
      </w:r>
      <w:r w:rsidR="008A74EB" w:rsidRPr="00C9040A">
        <w:rPr>
          <w:rtl/>
        </w:rPr>
        <w:t xml:space="preserve"> ، ج 4 ، ص 443 ، ح 2291 ؛ </w:t>
      </w:r>
      <w:r w:rsidR="008A74EB" w:rsidRPr="00993B55">
        <w:rPr>
          <w:rStyle w:val="libFootnoteBoldChar"/>
          <w:rtl/>
        </w:rPr>
        <w:t>الوسائل</w:t>
      </w:r>
      <w:r w:rsidR="008A74EB" w:rsidRPr="00C9040A">
        <w:rPr>
          <w:rtl/>
        </w:rPr>
        <w:t xml:space="preserve"> ، ج 16 ، ص 157 ، ح 21235 ؛ </w:t>
      </w:r>
      <w:r w:rsidR="008A74EB" w:rsidRPr="00993B55">
        <w:rPr>
          <w:rStyle w:val="libFootnoteBoldChar"/>
          <w:rtl/>
        </w:rPr>
        <w:t>البحار</w:t>
      </w:r>
      <w:r w:rsidR="008A74EB" w:rsidRPr="00C9040A">
        <w:rPr>
          <w:rtl/>
        </w:rPr>
        <w:t xml:space="preserve"> ، ج 46 ، ص 102 ، ح 91.</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مَا مِنْ جُرْعَةٍ يَتَجَرَّعُهَا الْعَبْدُ </w:t>
      </w:r>
      <w:r w:rsidR="006C577F" w:rsidRPr="006C577F">
        <w:rPr>
          <w:rStyle w:val="libFootnotenumChar"/>
          <w:rtl/>
        </w:rPr>
        <w:t>(1)</w:t>
      </w:r>
      <w:r w:rsidRPr="00C9040A">
        <w:rPr>
          <w:rtl/>
          <w:lang w:bidi="fa-IR"/>
        </w:rPr>
        <w:t xml:space="preserve"> أَحَبَّ إِلَى اللهِ مِنْ جُرْعَةِ غَيْظٍ يَتَجَرَّعُهَا عِنْدَ تَرَدُّدِهَا </w:t>
      </w:r>
      <w:r w:rsidR="006C577F" w:rsidRPr="006C577F">
        <w:rPr>
          <w:rStyle w:val="libFootnotenumChar"/>
          <w:rtl/>
        </w:rPr>
        <w:t>(2)</w:t>
      </w:r>
      <w:r w:rsidRPr="00C9040A">
        <w:rPr>
          <w:rtl/>
          <w:lang w:bidi="fa-IR"/>
        </w:rPr>
        <w:t xml:space="preserve"> فِي قَلْبِهِ : إِمَّا بِصَبْرٍ ، وَإِمَّا </w:t>
      </w:r>
      <w:r w:rsidR="006C577F" w:rsidRPr="006C577F">
        <w:rPr>
          <w:rStyle w:val="libFootnotenumChar"/>
          <w:rtl/>
        </w:rPr>
        <w:t>(3)</w:t>
      </w:r>
      <w:r w:rsidRPr="00C9040A">
        <w:rPr>
          <w:rtl/>
          <w:lang w:bidi="fa-IR"/>
        </w:rPr>
        <w:t xml:space="preserve"> بِحِلْمٍ </w:t>
      </w:r>
      <w:r w:rsidR="006C577F" w:rsidRPr="006C577F">
        <w:rPr>
          <w:rStyle w:val="libFootnotenumChar"/>
          <w:rtl/>
        </w:rPr>
        <w:t>(4)</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Heading2Center"/>
        <w:rPr>
          <w:rtl/>
          <w:lang w:bidi="fa-IR"/>
        </w:rPr>
      </w:pPr>
      <w:bookmarkStart w:id="175" w:name="_Toc343795646"/>
      <w:bookmarkStart w:id="176" w:name="_Toc459810770"/>
      <w:bookmarkStart w:id="177" w:name="_Toc35348676"/>
      <w:r w:rsidRPr="00C9040A">
        <w:rPr>
          <w:rtl/>
          <w:lang w:bidi="fa-IR"/>
        </w:rPr>
        <w:t>55</w:t>
      </w:r>
      <w:r>
        <w:rPr>
          <w:rtl/>
          <w:lang w:bidi="fa-IR"/>
        </w:rPr>
        <w:t xml:space="preserve"> </w:t>
      </w:r>
      <w:r w:rsidR="0084262C">
        <w:rPr>
          <w:rtl/>
          <w:lang w:bidi="fa-IR"/>
        </w:rPr>
        <w:t>-</w:t>
      </w:r>
      <w:r>
        <w:rPr>
          <w:rtl/>
          <w:lang w:bidi="fa-IR"/>
        </w:rPr>
        <w:t xml:space="preserve"> </w:t>
      </w:r>
      <w:r w:rsidRPr="00C9040A">
        <w:rPr>
          <w:rtl/>
          <w:lang w:bidi="fa-IR"/>
        </w:rPr>
        <w:t>بَابُ الْحِلْمِ‌</w:t>
      </w:r>
      <w:bookmarkEnd w:id="175"/>
      <w:bookmarkEnd w:id="176"/>
      <w:bookmarkEnd w:id="177"/>
    </w:p>
    <w:p w:rsidR="008A74EB" w:rsidRPr="00C9040A" w:rsidRDefault="008A74EB" w:rsidP="008A74EB">
      <w:pPr>
        <w:pStyle w:val="libNormal"/>
        <w:rPr>
          <w:rtl/>
          <w:lang w:bidi="fa-IR"/>
        </w:rPr>
      </w:pPr>
      <w:r w:rsidRPr="00406725">
        <w:rPr>
          <w:rtl/>
        </w:rPr>
        <w:t>1811</w:t>
      </w:r>
      <w:r w:rsidRPr="00261CB0">
        <w:rPr>
          <w:rStyle w:val="libBold2Char"/>
          <w:rtl/>
        </w:rPr>
        <w:t xml:space="preserve"> / 1.</w:t>
      </w:r>
      <w:r w:rsidRPr="00C9040A">
        <w:rPr>
          <w:rtl/>
          <w:lang w:bidi="fa-IR"/>
        </w:rPr>
        <w:t xml:space="preserve"> مُحَمَّدُ بْنُ يَحْيى ، عَنْ أَحْمَدَ بْنِ مُحَمَّدِ بْنِ عِيسى ، عَنْ أَحْمَدَ بْنِ مُحَمَّدِ بْنِ أَبِي نَصْرٍ ، عَنْ مُحَمَّدِ بْنِ عَبْدِ اللهِ </w:t>
      </w:r>
      <w:r w:rsidR="006C577F" w:rsidRPr="006C577F">
        <w:rPr>
          <w:rStyle w:val="libFootnotenumChar"/>
          <w:rtl/>
        </w:rPr>
        <w:t>(6)</w:t>
      </w:r>
      <w:r w:rsidRPr="00C9040A">
        <w:rPr>
          <w:rtl/>
          <w:lang w:bidi="fa-IR"/>
        </w:rPr>
        <w:t>، قَالَ :</w:t>
      </w:r>
    </w:p>
    <w:p w:rsidR="008A74EB" w:rsidRPr="00C9040A" w:rsidRDefault="008A74EB" w:rsidP="008A74EB">
      <w:pPr>
        <w:pStyle w:val="libNormal"/>
        <w:rPr>
          <w:rtl/>
          <w:lang w:bidi="fa-IR"/>
        </w:rPr>
      </w:pPr>
      <w:r w:rsidRPr="00C9040A">
        <w:rPr>
          <w:rtl/>
          <w:lang w:bidi="fa-IR"/>
        </w:rPr>
        <w:t xml:space="preserve">سَمِعْتُ الرِّضَا </w:t>
      </w:r>
      <w:r w:rsidRPr="0003660B">
        <w:rPr>
          <w:rStyle w:val="libAlaemChar"/>
          <w:rtl/>
        </w:rPr>
        <w:t>عليه‌السلام</w:t>
      </w:r>
      <w:r w:rsidRPr="00C9040A">
        <w:rPr>
          <w:rtl/>
          <w:lang w:bidi="fa-IR"/>
        </w:rPr>
        <w:t xml:space="preserve"> يَقُولُ : « لَا يَكُونُ الرَّجُلُ عَابِداً حَتّى يَكُونَ حَلِيماً ، وَإِنَّ الرَّجُلَ كَانَ إِذَا تَعَبَّدَ فِي بَنِي إِسْرَائِيلَ ، لَمْ يُعَدَّ عَابِداً حَتّى يَصْمُتَ </w:t>
      </w:r>
      <w:r w:rsidR="006C577F" w:rsidRPr="006C577F">
        <w:rPr>
          <w:rStyle w:val="libFootnotenumChar"/>
          <w:rtl/>
        </w:rPr>
        <w:t>(7)</w:t>
      </w:r>
      <w:r w:rsidRPr="00C9040A">
        <w:rPr>
          <w:rtl/>
          <w:lang w:bidi="fa-IR"/>
        </w:rPr>
        <w:t xml:space="preserve"> قَبْلَ ذلِكَ عَشْرَ سِنِينَ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1F0326" w:rsidTr="001F0326">
        <w:tc>
          <w:tcPr>
            <w:tcW w:w="4006" w:type="dxa"/>
          </w:tcPr>
          <w:p w:rsidR="001F0326" w:rsidRDefault="001F0326" w:rsidP="004A4E41">
            <w:pPr>
              <w:pStyle w:val="libFootnote0"/>
              <w:rPr>
                <w:rtl/>
              </w:rPr>
            </w:pPr>
            <w:r>
              <w:rPr>
                <w:rtl/>
              </w:rPr>
              <w:t xml:space="preserve">(1). </w:t>
            </w:r>
            <w:r w:rsidRPr="00C9040A">
              <w:rPr>
                <w:rtl/>
              </w:rPr>
              <w:t>في المحاسن : « عبد »</w:t>
            </w:r>
            <w:r>
              <w:rPr>
                <w:rtl/>
              </w:rPr>
              <w:t>.</w:t>
            </w:r>
          </w:p>
        </w:tc>
        <w:tc>
          <w:tcPr>
            <w:tcW w:w="4006" w:type="dxa"/>
          </w:tcPr>
          <w:p w:rsidR="001F0326" w:rsidRDefault="001F0326" w:rsidP="004A4E41">
            <w:pPr>
              <w:pStyle w:val="libFootnote0"/>
              <w:rPr>
                <w:rtl/>
              </w:rPr>
            </w:pPr>
            <w:r>
              <w:rPr>
                <w:rtl/>
              </w:rPr>
              <w:t xml:space="preserve">(2). </w:t>
            </w:r>
            <w:r w:rsidRPr="00C9040A">
              <w:rPr>
                <w:rtl/>
              </w:rPr>
              <w:t>في « د ، ص ، بف » والمحاسن : « عبد يردّدها »</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في « ج ، ض ، ف » وحاشية « بر » : « أو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هامش المطبوع عن بعض النسخ : « أما يصبر وأما يحلم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المحاسن</w:t>
      </w:r>
      <w:r w:rsidR="008A74EB" w:rsidRPr="00C9040A">
        <w:rPr>
          <w:rtl/>
        </w:rPr>
        <w:t xml:space="preserve"> ، ص 292 ، كتاب مصابيح الظلم ، ح 450 ، عن الوشّاء</w:t>
      </w:r>
      <w:r w:rsidR="001F0326">
        <w:rPr>
          <w:rFonts w:hint="cs"/>
          <w:rtl/>
        </w:rPr>
        <w:t>.</w:t>
      </w:r>
      <w:r w:rsidR="008A74EB" w:rsidRPr="00993B55">
        <w:rPr>
          <w:rStyle w:val="libFootnoteBoldChar"/>
          <w:rtl/>
        </w:rPr>
        <w:t>الوافي</w:t>
      </w:r>
      <w:r w:rsidR="008A74EB" w:rsidRPr="00C9040A">
        <w:rPr>
          <w:rtl/>
        </w:rPr>
        <w:t xml:space="preserve"> ، ج 4 ، ص 444 ، ح 2293 ؛ </w:t>
      </w:r>
      <w:r w:rsidR="008A74EB" w:rsidRPr="00993B55">
        <w:rPr>
          <w:rStyle w:val="libFootnoteBoldChar"/>
          <w:rtl/>
        </w:rPr>
        <w:t>الوسائل</w:t>
      </w:r>
      <w:r w:rsidR="008A74EB" w:rsidRPr="00C9040A">
        <w:rPr>
          <w:rtl/>
        </w:rPr>
        <w:t xml:space="preserve"> ، ج 12 ، ص 177 ، ح 16007 ؛ </w:t>
      </w:r>
      <w:r w:rsidR="008A74EB" w:rsidRPr="00993B55">
        <w:rPr>
          <w:rStyle w:val="libFootnoteBoldChar"/>
          <w:rtl/>
        </w:rPr>
        <w:t>البحار</w:t>
      </w:r>
      <w:r w:rsidR="008A74EB" w:rsidRPr="00C9040A">
        <w:rPr>
          <w:rtl/>
        </w:rPr>
        <w:t xml:space="preserve"> ، ج 71 ، ص 413 ، ح 29.</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هكذا في « ر ، ز ، ص ، ف ، بر ، جر »</w:t>
      </w:r>
      <w:r w:rsidR="008A74EB">
        <w:rPr>
          <w:rtl/>
        </w:rPr>
        <w:t>.</w:t>
      </w:r>
      <w:r w:rsidR="008A74EB" w:rsidRPr="00C9040A">
        <w:rPr>
          <w:rtl/>
        </w:rPr>
        <w:t xml:space="preserve"> وفي « ب ، ج ، ض ، بس ، بف » والمطبوع : « محمّد بن عبيد الله »</w:t>
      </w:r>
      <w:r w:rsidR="008A74EB">
        <w:rPr>
          <w:rtl/>
        </w:rPr>
        <w:t>.</w:t>
      </w:r>
      <w:r w:rsidR="008A74EB" w:rsidRPr="00C9040A">
        <w:rPr>
          <w:rtl/>
        </w:rPr>
        <w:t xml:space="preserve"> والصواب ما أثبتناه ؛ فقد توسّط محمّد بن عبد الله ومحمّد بن عبد الله الأشعري ومحمّد بن عبد الله القمّي بين أحمد بن محمّد بن أبي نصر وأبي الحسن الرضا </w:t>
      </w:r>
      <w:r w:rsidR="00117575" w:rsidRPr="00117575">
        <w:rPr>
          <w:rStyle w:val="libFootnoteAlaemChar"/>
          <w:rtl/>
        </w:rPr>
        <w:t>عليه‌السلام</w:t>
      </w:r>
      <w:r w:rsidR="008A74EB" w:rsidRPr="00C9040A">
        <w:rPr>
          <w:rtl/>
        </w:rPr>
        <w:t xml:space="preserve"> في عددٍ من الأسناد. وقد ذكر الشيخ الطوسي محمّد بن عبد الله الأشعري ومحمّد بن عبد الله بن عيسى الأشعري</w:t>
      </w:r>
      <w:r w:rsidR="008A74EB">
        <w:rPr>
          <w:rtl/>
        </w:rPr>
        <w:t xml:space="preserve"> </w:t>
      </w:r>
      <w:r w:rsidR="0084262C">
        <w:rPr>
          <w:rtl/>
        </w:rPr>
        <w:t>-</w:t>
      </w:r>
      <w:r w:rsidR="008A74EB">
        <w:rPr>
          <w:rtl/>
        </w:rPr>
        <w:t xml:space="preserve"> </w:t>
      </w:r>
      <w:r w:rsidR="008A74EB" w:rsidRPr="00C9040A">
        <w:rPr>
          <w:rtl/>
        </w:rPr>
        <w:t>والظاهر اتّحادهما</w:t>
      </w:r>
      <w:r w:rsidR="008A74EB">
        <w:rPr>
          <w:rtl/>
        </w:rPr>
        <w:t xml:space="preserve"> </w:t>
      </w:r>
      <w:r w:rsidR="0084262C">
        <w:rPr>
          <w:rtl/>
        </w:rPr>
        <w:t>-</w:t>
      </w:r>
      <w:r w:rsidR="008A74EB">
        <w:rPr>
          <w:rtl/>
        </w:rPr>
        <w:t xml:space="preserve"> </w:t>
      </w:r>
      <w:r w:rsidR="008A74EB" w:rsidRPr="00C9040A">
        <w:rPr>
          <w:rtl/>
        </w:rPr>
        <w:t xml:space="preserve">في أصحاب عليّ بن موسى الرضا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رجال الطوسي</w:t>
      </w:r>
      <w:r w:rsidR="008A74EB" w:rsidRPr="00C9040A">
        <w:rPr>
          <w:rtl/>
        </w:rPr>
        <w:t xml:space="preserve"> ، ص 365 ، الرقم 5411 </w:t>
      </w:r>
      <w:r w:rsidR="008A74EB">
        <w:rPr>
          <w:rtl/>
        </w:rPr>
        <w:t>و 5</w:t>
      </w:r>
      <w:r w:rsidR="008A74EB" w:rsidRPr="00C9040A">
        <w:rPr>
          <w:rtl/>
        </w:rPr>
        <w:t xml:space="preserve">419 ؛ وص 367 ، الرقم 5468. راجع : </w:t>
      </w:r>
      <w:r w:rsidR="008A74EB" w:rsidRPr="00993B55">
        <w:rPr>
          <w:rStyle w:val="libFootnoteBoldChar"/>
          <w:rtl/>
        </w:rPr>
        <w:t>معجم رجال الحديث</w:t>
      </w:r>
      <w:r w:rsidR="008A74EB" w:rsidRPr="00C9040A">
        <w:rPr>
          <w:rtl/>
        </w:rPr>
        <w:t xml:space="preserve"> ، ج 16 ، ص 231 ، الرقم 11072 ؛ وص 257 ، الرقم 11152 ؛ وص 428.</w:t>
      </w:r>
    </w:p>
    <w:p w:rsidR="008A74EB" w:rsidRPr="00C9040A" w:rsidRDefault="008A74EB" w:rsidP="004A4E41">
      <w:pPr>
        <w:pStyle w:val="libFootnote0"/>
        <w:rPr>
          <w:rtl/>
          <w:lang w:bidi="fa-IR"/>
        </w:rPr>
      </w:pPr>
      <w:r w:rsidRPr="00323A39">
        <w:rPr>
          <w:rtl/>
        </w:rPr>
        <w:t xml:space="preserve">ثمّ إنّ ما ورد في </w:t>
      </w:r>
      <w:r w:rsidRPr="00993B55">
        <w:rPr>
          <w:rStyle w:val="libFootnoteBoldChar"/>
          <w:rtl/>
        </w:rPr>
        <w:t>التهذيب</w:t>
      </w:r>
      <w:r w:rsidRPr="00323A39">
        <w:rPr>
          <w:rtl/>
        </w:rPr>
        <w:t xml:space="preserve"> ، ج 1 ، ص 111 ، ح 292 ، من توسّط محمّد بن عبيد الله بين ابن أبي نصر والرضا </w:t>
      </w:r>
      <w:r w:rsidR="00117575" w:rsidRPr="00117575">
        <w:rPr>
          <w:rStyle w:val="libFootnoteAlaemChar"/>
          <w:rtl/>
        </w:rPr>
        <w:t>عليه‌السلام</w:t>
      </w:r>
      <w:r w:rsidRPr="00323A39">
        <w:rPr>
          <w:rtl/>
        </w:rPr>
        <w:t xml:space="preserve"> ، فإنّه مضافاً إلى وجود نسخة « عبد الله » في بعض نسخ </w:t>
      </w:r>
      <w:r w:rsidRPr="00993B55">
        <w:rPr>
          <w:rStyle w:val="libFootnoteBoldChar"/>
          <w:rtl/>
        </w:rPr>
        <w:t>التهذيب</w:t>
      </w:r>
      <w:r w:rsidRPr="00323A39">
        <w:rPr>
          <w:rtl/>
        </w:rPr>
        <w:t xml:space="preserve"> ، روى الكليني الخبر في </w:t>
      </w:r>
      <w:r w:rsidRPr="00993B55">
        <w:rPr>
          <w:rStyle w:val="libFootnoteBoldChar"/>
          <w:rtl/>
        </w:rPr>
        <w:t>الكافي</w:t>
      </w:r>
      <w:r w:rsidRPr="00323A39">
        <w:rPr>
          <w:rtl/>
        </w:rPr>
        <w:t xml:space="preserve"> ، ح 3999 ، وكذا الشيخ الطوسي في </w:t>
      </w:r>
      <w:r w:rsidRPr="00993B55">
        <w:rPr>
          <w:rStyle w:val="libFootnoteBoldChar"/>
          <w:rtl/>
        </w:rPr>
        <w:t>الاستبصار</w:t>
      </w:r>
      <w:r w:rsidRPr="00323A39">
        <w:rPr>
          <w:rtl/>
        </w:rPr>
        <w:t xml:space="preserve"> ، ج 1 ، ص 103 ، ح 337 بسنديهما عن أحمد بن محمّد بن أبي نصر ، عن محمّد بن عبد الله.</w:t>
      </w:r>
      <w:r w:rsidR="006026C2">
        <w:rPr>
          <w:rFonts w:hint="cs"/>
          <w:rtl/>
        </w:rPr>
        <w:t xml:space="preserve">                                     </w:t>
      </w:r>
      <w:r w:rsidR="006C577F">
        <w:rPr>
          <w:rtl/>
        </w:rPr>
        <w:t>(7).</w:t>
      </w:r>
      <w:r w:rsidRPr="00C9040A">
        <w:rPr>
          <w:rtl/>
        </w:rPr>
        <w:t xml:space="preserve"> في « ب » : « يصمّت » بالتشديد.</w:t>
      </w:r>
    </w:p>
    <w:p w:rsidR="008A74EB" w:rsidRPr="00C9040A" w:rsidRDefault="006C577F" w:rsidP="004A4E41">
      <w:pPr>
        <w:pStyle w:val="libFootnote0"/>
        <w:rPr>
          <w:rtl/>
          <w:lang w:bidi="fa-IR"/>
        </w:rPr>
      </w:pPr>
      <w:r>
        <w:rPr>
          <w:rtl/>
        </w:rPr>
        <w:t>(8).</w:t>
      </w:r>
      <w:r w:rsidR="008A74EB" w:rsidRPr="00C9040A">
        <w:rPr>
          <w:rtl/>
        </w:rPr>
        <w:t xml:space="preserve"> </w:t>
      </w:r>
      <w:r w:rsidR="008A74EB" w:rsidRPr="00993B55">
        <w:rPr>
          <w:rStyle w:val="libFootnoteBoldChar"/>
          <w:rtl/>
        </w:rPr>
        <w:t>الكافي</w:t>
      </w:r>
      <w:r w:rsidR="008A74EB" w:rsidRPr="00C9040A">
        <w:rPr>
          <w:rtl/>
        </w:rPr>
        <w:t xml:space="preserve"> ، كتاب الإيمان والكفر ، باب الصمت وحفظ اللسان ، ح 1837 ؛ و</w:t>
      </w:r>
      <w:r w:rsidR="008A74EB" w:rsidRPr="00993B55">
        <w:rPr>
          <w:rStyle w:val="libFootnoteBoldChar"/>
          <w:rtl/>
        </w:rPr>
        <w:t>عيون الأخبار</w:t>
      </w:r>
      <w:r w:rsidR="008A74EB" w:rsidRPr="00C9040A">
        <w:rPr>
          <w:rtl/>
        </w:rPr>
        <w:t xml:space="preserve"> ، ج 2 ، ص 12 ، ح 28 ، بسند آخر ، مع اختلاف يسير</w:t>
      </w:r>
      <w:r w:rsidR="006026C2">
        <w:rPr>
          <w:rFonts w:hint="cs"/>
          <w:rtl/>
        </w:rPr>
        <w:t>.</w:t>
      </w:r>
      <w:r w:rsidR="008A74EB" w:rsidRPr="00993B55">
        <w:rPr>
          <w:rStyle w:val="libFootnoteBoldChar"/>
          <w:rtl/>
        </w:rPr>
        <w:t>الوافي</w:t>
      </w:r>
      <w:r w:rsidR="008A74EB" w:rsidRPr="00C9040A">
        <w:rPr>
          <w:rtl/>
        </w:rPr>
        <w:t xml:space="preserve"> ، ج 4 ، ص 448 ، ح 2310 ؛ </w:t>
      </w:r>
      <w:r w:rsidR="008A74EB" w:rsidRPr="00993B55">
        <w:rPr>
          <w:rStyle w:val="libFootnoteBoldChar"/>
          <w:rtl/>
        </w:rPr>
        <w:t>الوسائل</w:t>
      </w:r>
      <w:r w:rsidR="008A74EB" w:rsidRPr="00C9040A">
        <w:rPr>
          <w:rtl/>
        </w:rPr>
        <w:t xml:space="preserve"> ، ج 15 ، ص 265 ، ح 20463 ؛ </w:t>
      </w:r>
      <w:r w:rsidR="008A74EB" w:rsidRPr="00993B55">
        <w:rPr>
          <w:rStyle w:val="libFootnoteBoldChar"/>
          <w:rtl/>
        </w:rPr>
        <w:t>البحار</w:t>
      </w:r>
      <w:r w:rsidR="008A74EB" w:rsidRPr="00C9040A">
        <w:rPr>
          <w:rtl/>
        </w:rPr>
        <w:t xml:space="preserve"> ، ج 14 ، ص 508 ، ح 33 ؛ وج 71 ، ص 403 ، ح 12.</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406725">
        <w:rPr>
          <w:rtl/>
        </w:rPr>
        <w:t>1812</w:t>
      </w:r>
      <w:r w:rsidRPr="00261CB0">
        <w:rPr>
          <w:rStyle w:val="libBold2Char"/>
          <w:rtl/>
        </w:rPr>
        <w:t xml:space="preserve"> / 2.</w:t>
      </w:r>
      <w:r w:rsidRPr="00C9040A">
        <w:rPr>
          <w:rtl/>
          <w:lang w:bidi="fa-IR"/>
        </w:rPr>
        <w:t xml:space="preserve"> مُحَمَّدُ بْنُ يَحْيى ، عَنْ أَحْمَدَ بْنِ مُحَمَّدٍ ، عَنْ عَلِيِّ بْنِ النُّعْمَانِ ، عَنِ ابْنِ مُسْكَانَ ، عَنْ أَبِي حَمْزَةَ ، قَالَ </w:t>
      </w:r>
      <w:r w:rsidR="006C577F" w:rsidRPr="006C577F">
        <w:rPr>
          <w:rStyle w:val="libFootnotenumChar"/>
          <w:rtl/>
        </w:rPr>
        <w:t>(1)</w:t>
      </w:r>
      <w:r w:rsidRPr="00C9040A">
        <w:rPr>
          <w:rtl/>
          <w:lang w:bidi="fa-IR"/>
        </w:rPr>
        <w:t xml:space="preserve"> :</w:t>
      </w:r>
    </w:p>
    <w:p w:rsidR="008A74EB" w:rsidRPr="00C9040A" w:rsidRDefault="008A74EB" w:rsidP="008A74EB">
      <w:pPr>
        <w:pStyle w:val="libNormal"/>
        <w:rPr>
          <w:rtl/>
          <w:lang w:bidi="fa-IR"/>
        </w:rPr>
      </w:pPr>
      <w:r w:rsidRPr="00C9040A">
        <w:rPr>
          <w:rtl/>
          <w:lang w:bidi="fa-IR"/>
        </w:rPr>
        <w:t xml:space="preserve">« الْمُؤْمِنُ مَنْ </w:t>
      </w:r>
      <w:r w:rsidR="006C577F" w:rsidRPr="006C577F">
        <w:rPr>
          <w:rStyle w:val="libFootnotenumChar"/>
          <w:rtl/>
        </w:rPr>
        <w:t>(2)</w:t>
      </w:r>
      <w:r w:rsidRPr="00C9040A">
        <w:rPr>
          <w:rtl/>
          <w:lang w:bidi="fa-IR"/>
        </w:rPr>
        <w:t xml:space="preserve"> خَلَطَ عَمَلَهُ </w:t>
      </w:r>
      <w:r w:rsidR="006C577F" w:rsidRPr="006C577F">
        <w:rPr>
          <w:rStyle w:val="libFootnotenumChar"/>
          <w:rtl/>
        </w:rPr>
        <w:t>(3)</w:t>
      </w:r>
      <w:r w:rsidRPr="00C9040A">
        <w:rPr>
          <w:rtl/>
          <w:lang w:bidi="fa-IR"/>
        </w:rPr>
        <w:t xml:space="preserve"> بِالْحِلْمِ ، يَجْلِسُ لِيَعْلَمَ </w:t>
      </w:r>
      <w:r w:rsidR="006C577F" w:rsidRPr="006C577F">
        <w:rPr>
          <w:rStyle w:val="libFootnotenumChar"/>
          <w:rtl/>
        </w:rPr>
        <w:t>(4)</w:t>
      </w:r>
      <w:r w:rsidRPr="00C9040A">
        <w:rPr>
          <w:rtl/>
          <w:lang w:bidi="fa-IR"/>
        </w:rPr>
        <w:t xml:space="preserve"> ، وَيَنْطِقُ لِيَفْهَمَ ، لَايُحَدِّثُ </w:t>
      </w:r>
      <w:r w:rsidR="006C577F" w:rsidRPr="006C577F">
        <w:rPr>
          <w:rStyle w:val="libFootnotenumChar"/>
          <w:rtl/>
        </w:rPr>
        <w:t>(5)</w:t>
      </w:r>
      <w:r w:rsidRPr="00C9040A">
        <w:rPr>
          <w:rtl/>
          <w:lang w:bidi="fa-IR"/>
        </w:rPr>
        <w:t xml:space="preserve"> أَمَانَتَهُ الْأَصْدِقَاءَ ، وَلَا يَكْتُمُ شَهَادَتَهُ الْأَعْدَاءَ </w:t>
      </w:r>
      <w:r w:rsidR="006C577F" w:rsidRPr="006C577F">
        <w:rPr>
          <w:rStyle w:val="libFootnotenumChar"/>
          <w:rtl/>
        </w:rPr>
        <w:t>(6)</w:t>
      </w:r>
      <w:r w:rsidRPr="005B567D">
        <w:rPr>
          <w:rStyle w:val="libFootnotenumChar"/>
          <w:rtl/>
        </w:rPr>
        <w:t xml:space="preserve"> </w:t>
      </w:r>
      <w:r w:rsidRPr="00C9040A">
        <w:rPr>
          <w:rtl/>
          <w:lang w:bidi="fa-IR"/>
        </w:rPr>
        <w:t xml:space="preserve">، وَلَا يَفْعَلُ شَيْئاً مِنَ الْحَقِّ رِيَاءً ، وَلَا يَتْرُكُهُ حَيَاءً ، إِنْ زُكِّيَ خَافَ مِمَّا </w:t>
      </w:r>
      <w:r w:rsidR="006C577F" w:rsidRPr="006C577F">
        <w:rPr>
          <w:rStyle w:val="libFootnotenumChar"/>
          <w:rtl/>
        </w:rPr>
        <w:t>(7)</w:t>
      </w:r>
      <w:r w:rsidRPr="00C9040A">
        <w:rPr>
          <w:rtl/>
          <w:lang w:bidi="fa-IR"/>
        </w:rPr>
        <w:t xml:space="preserve"> يَقُولُونَ ، وَاسْتَغْفَرَ اللهَ مِمَّا لَايَعْلَمُونَ ، لَايَغُرُّهُ قَوْلُ مَنْ جَهِلَهُ ، وَيَخْشى </w:t>
      </w:r>
      <w:r w:rsidR="006C577F" w:rsidRPr="006C577F">
        <w:rPr>
          <w:rStyle w:val="libFootnotenumChar"/>
          <w:rtl/>
        </w:rPr>
        <w:t>(8)</w:t>
      </w:r>
      <w:r w:rsidRPr="00C9040A">
        <w:rPr>
          <w:rtl/>
          <w:lang w:bidi="fa-IR"/>
        </w:rPr>
        <w:t xml:space="preserve"> إِحْصَاءَ مَا قَدْ عَمِلَهُ »</w:t>
      </w:r>
      <w:r>
        <w:rPr>
          <w:rtl/>
          <w:lang w:bidi="fa-IR"/>
        </w:rPr>
        <w:t>.</w:t>
      </w:r>
      <w:r w:rsidRPr="00C9040A">
        <w:rPr>
          <w:rtl/>
          <w:lang w:bidi="fa-IR"/>
        </w:rPr>
        <w:t xml:space="preserve"> </w:t>
      </w:r>
      <w:r w:rsidR="006C577F" w:rsidRPr="006C577F">
        <w:rPr>
          <w:rStyle w:val="libFootnotenumChar"/>
          <w:rtl/>
        </w:rPr>
        <w:t>(9)</w:t>
      </w:r>
      <w:r w:rsidRPr="00C9040A">
        <w:rPr>
          <w:rtl/>
          <w:lang w:bidi="fa-IR"/>
        </w:rPr>
        <w:t xml:space="preserve"> ‌</w:t>
      </w:r>
    </w:p>
    <w:p w:rsidR="008A74EB" w:rsidRPr="00C9040A" w:rsidRDefault="008A74EB" w:rsidP="008A74EB">
      <w:pPr>
        <w:pStyle w:val="libNormal"/>
        <w:rPr>
          <w:rtl/>
          <w:lang w:bidi="fa-IR"/>
        </w:rPr>
      </w:pPr>
      <w:r w:rsidRPr="00406725">
        <w:rPr>
          <w:rtl/>
        </w:rPr>
        <w:t>1813</w:t>
      </w:r>
      <w:r w:rsidRPr="00261CB0">
        <w:rPr>
          <w:rStyle w:val="libBold2Char"/>
          <w:rtl/>
        </w:rPr>
        <w:t xml:space="preserve"> / 3.</w:t>
      </w:r>
      <w:r w:rsidRPr="00C9040A">
        <w:rPr>
          <w:rtl/>
          <w:lang w:bidi="fa-IR"/>
        </w:rPr>
        <w:t xml:space="preserve"> مُحَمَّدُ بْنُ يَحْيى ، عَنْ أَحْمَدَ بْنِ مُحَمَّدِ بْنِ عِيسى ، عَنِ ابْنِ فَضَّالٍ ، عَنِ‌</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كذا في النسخ والمطبوع موقوفاً ، لكنّ الخبر رواه الشيخ الصدوق </w:t>
      </w:r>
      <w:r w:rsidR="00117575" w:rsidRPr="00117575">
        <w:rPr>
          <w:rStyle w:val="libFootnoteAlaemChar"/>
          <w:rtl/>
        </w:rPr>
        <w:t>قدس‌سره</w:t>
      </w:r>
      <w:r w:rsidR="008A74EB">
        <w:rPr>
          <w:rtl/>
        </w:rPr>
        <w:t xml:space="preserve"> </w:t>
      </w:r>
      <w:r w:rsidR="0084262C">
        <w:rPr>
          <w:rtl/>
        </w:rPr>
        <w:t>-</w:t>
      </w:r>
      <w:r w:rsidR="008A74EB">
        <w:rPr>
          <w:rtl/>
        </w:rPr>
        <w:t xml:space="preserve"> </w:t>
      </w:r>
      <w:r w:rsidR="008A74EB" w:rsidRPr="00C9040A">
        <w:rPr>
          <w:rtl/>
        </w:rPr>
        <w:t>مع زيادة</w:t>
      </w:r>
      <w:r w:rsidR="008A74EB">
        <w:rPr>
          <w:rtl/>
        </w:rPr>
        <w:t xml:space="preserve"> </w:t>
      </w:r>
      <w:r w:rsidR="0084262C">
        <w:rPr>
          <w:rtl/>
        </w:rPr>
        <w:t>-</w:t>
      </w:r>
      <w:r w:rsidR="008A74EB">
        <w:rPr>
          <w:rtl/>
        </w:rPr>
        <w:t xml:space="preserve"> </w:t>
      </w:r>
      <w:r w:rsidR="008A74EB" w:rsidRPr="00C9040A">
        <w:rPr>
          <w:rtl/>
        </w:rPr>
        <w:t xml:space="preserve">في </w:t>
      </w:r>
      <w:r w:rsidR="008A74EB" w:rsidRPr="00993B55">
        <w:rPr>
          <w:rStyle w:val="libFootnoteBoldChar"/>
          <w:rtl/>
        </w:rPr>
        <w:t>الأمالي</w:t>
      </w:r>
      <w:r w:rsidR="008A74EB" w:rsidRPr="00C9040A">
        <w:rPr>
          <w:rtl/>
        </w:rPr>
        <w:t xml:space="preserve"> ، ص 399 ، المجلس 74 ، ح 12 ، بسنده عن مالك بن عطيّة ، عن أبي حمزة الثمالي ، عن سيّد العابدين عليّ بن أبي طالب. والظاهر وقوع السقط في سند </w:t>
      </w:r>
      <w:r w:rsidR="008A74EB" w:rsidRPr="00993B55">
        <w:rPr>
          <w:rStyle w:val="libFootnoteBoldChar"/>
          <w:rtl/>
        </w:rPr>
        <w:t>الأمالي</w:t>
      </w:r>
      <w:r w:rsidR="008A74EB" w:rsidRPr="00C9040A">
        <w:rPr>
          <w:rtl/>
        </w:rPr>
        <w:t xml:space="preserve"> ، والصواب : سيّد العابدين عليّ بن الحسين بن عليّ بن أبي طالب. يؤيّد ذلك ، مضافاً إلى لقب سيّد العابدين في </w:t>
      </w:r>
      <w:r w:rsidR="008A74EB" w:rsidRPr="00993B55">
        <w:rPr>
          <w:rStyle w:val="libFootnoteBoldChar"/>
          <w:rtl/>
        </w:rPr>
        <w:t>الأمالي</w:t>
      </w:r>
      <w:r w:rsidR="008A74EB" w:rsidRPr="00C9040A">
        <w:rPr>
          <w:rtl/>
        </w:rPr>
        <w:t xml:space="preserve"> ، ما ورد في </w:t>
      </w:r>
      <w:r w:rsidR="008A74EB" w:rsidRPr="00993B55">
        <w:rPr>
          <w:rStyle w:val="libFootnoteBoldChar"/>
          <w:rtl/>
        </w:rPr>
        <w:t>البحار</w:t>
      </w:r>
      <w:r w:rsidR="008A74EB" w:rsidRPr="00C9040A">
        <w:rPr>
          <w:rtl/>
        </w:rPr>
        <w:t xml:space="preserve"> ، ج 64 ، ص 291 ، ح 14 ، نقلاً من </w:t>
      </w:r>
      <w:r w:rsidR="008A74EB" w:rsidRPr="0034021D">
        <w:rPr>
          <w:rStyle w:val="libFootnoteBoldChar"/>
          <w:rtl/>
        </w:rPr>
        <w:t>الأمالي للصدوق</w:t>
      </w:r>
      <w:r w:rsidR="008A74EB" w:rsidRPr="00C9040A">
        <w:rPr>
          <w:rtl/>
        </w:rPr>
        <w:t xml:space="preserve"> ، وفيه : « عليّ بن الحسين »</w:t>
      </w:r>
      <w:r w:rsidR="008A74EB">
        <w:rPr>
          <w:rtl/>
        </w:rPr>
        <w:t>.</w:t>
      </w:r>
      <w:r w:rsidR="008A74EB" w:rsidRPr="00C9040A">
        <w:rPr>
          <w:rtl/>
        </w:rPr>
        <w:t xml:space="preserve"> فعليه ، الظاهر سقوط عنوان المعصوم </w:t>
      </w:r>
      <w:r w:rsidR="00117575" w:rsidRPr="00117575">
        <w:rPr>
          <w:rStyle w:val="libFootnoteAlaemChar"/>
          <w:rtl/>
        </w:rPr>
        <w:t xml:space="preserve">عليه‌السلام </w:t>
      </w:r>
      <w:r w:rsidR="008A74EB" w:rsidRPr="00C9040A">
        <w:rPr>
          <w:rtl/>
        </w:rPr>
        <w:t xml:space="preserve"> في ما نحن فيه.</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هكذا في « ج ، د ، ف ، بس » وحاشية « بر »</w:t>
      </w:r>
      <w:r w:rsidR="008A74EB">
        <w:rPr>
          <w:rtl/>
        </w:rPr>
        <w:t>.</w:t>
      </w:r>
      <w:r w:rsidR="008A74EB" w:rsidRPr="00C9040A">
        <w:rPr>
          <w:rtl/>
        </w:rPr>
        <w:t xml:space="preserve"> وفي سائر النسخ والمطبوع والوافي </w:t>
      </w:r>
      <w:r w:rsidR="008A74EB">
        <w:rPr>
          <w:rtl/>
        </w:rPr>
        <w:t xml:space="preserve">: </w:t>
      </w:r>
      <w:r w:rsidR="0084262C">
        <w:rPr>
          <w:rtl/>
        </w:rPr>
        <w:t>-</w:t>
      </w:r>
      <w:r w:rsidR="008A74EB" w:rsidRPr="00C9040A">
        <w:rPr>
          <w:rtl/>
        </w:rPr>
        <w:t xml:space="preserve"> « من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بف » والوافي والأمالي ، ص 493 : « علمه »</w:t>
      </w:r>
      <w:r w:rsidR="008A74EB">
        <w:rPr>
          <w:rtl/>
        </w:rPr>
        <w:t>.</w:t>
      </w:r>
      <w:r w:rsidR="006026C2">
        <w:rPr>
          <w:rtl/>
        </w:rPr>
        <w:t xml:space="preserve"> وقال العل</w:t>
      </w:r>
      <w:r w:rsidR="006026C2">
        <w:rPr>
          <w:rFonts w:hint="cs"/>
          <w:rtl/>
        </w:rPr>
        <w:t>ّ</w:t>
      </w:r>
      <w:r w:rsidR="006026C2">
        <w:rPr>
          <w:rtl/>
        </w:rPr>
        <w:t>ا</w:t>
      </w:r>
      <w:r w:rsidR="008A74EB" w:rsidRPr="00C9040A">
        <w:rPr>
          <w:rtl/>
        </w:rPr>
        <w:t xml:space="preserve">مة المجلسي في </w:t>
      </w:r>
      <w:r w:rsidR="008A74EB" w:rsidRPr="00993B55">
        <w:rPr>
          <w:rStyle w:val="libFootnoteBoldChar"/>
          <w:rtl/>
        </w:rPr>
        <w:t>المرآة</w:t>
      </w:r>
      <w:r w:rsidR="008A74EB" w:rsidRPr="00C9040A">
        <w:rPr>
          <w:rtl/>
        </w:rPr>
        <w:t xml:space="preserve"> : « وهو أظهر وأوفق بسائر الأخبار ؛ إذ العلم بدون العمل يصير غالباً سبباً للتكبّر والترفّع والسفاهة »</w:t>
      </w:r>
      <w:r w:rsidR="008A74EB">
        <w:rPr>
          <w:rtl/>
        </w:rPr>
        <w:t>.</w:t>
      </w:r>
    </w:p>
    <w:p w:rsidR="008A74EB" w:rsidRPr="004A4E41" w:rsidRDefault="006C577F" w:rsidP="004A4E41">
      <w:pPr>
        <w:pStyle w:val="libFootnote0"/>
        <w:rPr>
          <w:rStyle w:val="libFootnote0Char"/>
          <w:rtl/>
        </w:rPr>
      </w:pPr>
      <w:r>
        <w:rPr>
          <w:rtl/>
        </w:rPr>
        <w:t>(4).</w:t>
      </w:r>
      <w:r w:rsidR="008A74EB" w:rsidRPr="00C9040A">
        <w:rPr>
          <w:rtl/>
        </w:rPr>
        <w:t xml:space="preserve"> في الأمالي ، ص 493 : + « وينصت ليسلم »</w:t>
      </w:r>
      <w:r w:rsidR="008A74EB">
        <w:rPr>
          <w:rtl/>
        </w:rPr>
        <w:t>.</w:t>
      </w:r>
    </w:p>
    <w:tbl>
      <w:tblPr>
        <w:tblStyle w:val="TableGrid"/>
        <w:bidiVisual/>
        <w:tblW w:w="0" w:type="auto"/>
        <w:tblLook w:val="04A0" w:firstRow="1" w:lastRow="0" w:firstColumn="1" w:lastColumn="0" w:noHBand="0" w:noVBand="1"/>
      </w:tblPr>
      <w:tblGrid>
        <w:gridCol w:w="4006"/>
        <w:gridCol w:w="4006"/>
      </w:tblGrid>
      <w:tr w:rsidR="009B5B40" w:rsidTr="009B5B40">
        <w:tc>
          <w:tcPr>
            <w:tcW w:w="4006" w:type="dxa"/>
          </w:tcPr>
          <w:p w:rsidR="009B5B40" w:rsidRDefault="009B5B40" w:rsidP="004A4E41">
            <w:pPr>
              <w:pStyle w:val="libFootnote0"/>
              <w:rPr>
                <w:rtl/>
              </w:rPr>
            </w:pPr>
            <w:r>
              <w:rPr>
                <w:rtl/>
              </w:rPr>
              <w:t>(5).</w:t>
            </w:r>
            <w:r w:rsidRPr="00C9040A">
              <w:rPr>
                <w:rtl/>
              </w:rPr>
              <w:t xml:space="preserve"> في « د ، ص ، ف » والوافي : « ولا يحدّث »</w:t>
            </w:r>
            <w:r>
              <w:rPr>
                <w:rtl/>
              </w:rPr>
              <w:t>.</w:t>
            </w:r>
          </w:p>
        </w:tc>
        <w:tc>
          <w:tcPr>
            <w:tcW w:w="4006" w:type="dxa"/>
          </w:tcPr>
          <w:p w:rsidR="009B5B40" w:rsidRDefault="009B5B40" w:rsidP="004A4E41">
            <w:pPr>
              <w:pStyle w:val="libFootnote0"/>
              <w:rPr>
                <w:rtl/>
              </w:rPr>
            </w:pPr>
            <w:r>
              <w:rPr>
                <w:rtl/>
              </w:rPr>
              <w:t xml:space="preserve">(6). </w:t>
            </w:r>
            <w:r w:rsidRPr="00C9040A">
              <w:rPr>
                <w:rtl/>
              </w:rPr>
              <w:t>في الوافي : « للأعداء »</w:t>
            </w:r>
            <w:r>
              <w:rPr>
                <w:rtl/>
              </w:rPr>
              <w:t>.</w:t>
            </w:r>
          </w:p>
        </w:tc>
      </w:tr>
    </w:tbl>
    <w:p w:rsidR="008A74EB" w:rsidRPr="00C9040A" w:rsidRDefault="006C577F" w:rsidP="004A4E41">
      <w:pPr>
        <w:pStyle w:val="libFootnote0"/>
        <w:rPr>
          <w:rtl/>
          <w:lang w:bidi="fa-IR"/>
        </w:rPr>
      </w:pPr>
      <w:r>
        <w:rPr>
          <w:rtl/>
        </w:rPr>
        <w:t>(7).</w:t>
      </w:r>
      <w:r w:rsidR="008A74EB" w:rsidRPr="00C9040A">
        <w:rPr>
          <w:rtl/>
        </w:rPr>
        <w:t xml:space="preserve"> في « ف ، ض » وحاشية « بف » : « ما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 ص » : « ولا يخشى »</w:t>
      </w:r>
      <w:r w:rsidR="008A74EB">
        <w:rPr>
          <w:rtl/>
        </w:rPr>
        <w:t>.</w:t>
      </w:r>
      <w:r w:rsidR="008A74EB" w:rsidRPr="00C9040A">
        <w:rPr>
          <w:rtl/>
        </w:rPr>
        <w:t xml:space="preserve"> وله معنى صحيح.</w:t>
      </w:r>
    </w:p>
    <w:p w:rsidR="008A74EB" w:rsidRPr="00C9040A" w:rsidRDefault="006C577F" w:rsidP="004A4E41">
      <w:pPr>
        <w:pStyle w:val="libFootnote0"/>
        <w:rPr>
          <w:rtl/>
          <w:lang w:bidi="fa-IR"/>
        </w:rPr>
      </w:pPr>
      <w:r>
        <w:rPr>
          <w:rtl/>
        </w:rPr>
        <w:t>(9).</w:t>
      </w:r>
      <w:r w:rsidR="008A74EB" w:rsidRPr="00C9040A">
        <w:rPr>
          <w:rtl/>
        </w:rPr>
        <w:t xml:space="preserve"> </w:t>
      </w:r>
      <w:r w:rsidR="008A74EB" w:rsidRPr="00993B55">
        <w:rPr>
          <w:rStyle w:val="libFootnoteBoldChar"/>
          <w:rtl/>
        </w:rPr>
        <w:t>الكافي</w:t>
      </w:r>
      <w:r w:rsidR="008A74EB" w:rsidRPr="00C9040A">
        <w:rPr>
          <w:rtl/>
        </w:rPr>
        <w:t xml:space="preserve"> ، كتاب الإيمان والكفر ، باب المؤمن وعلاماته وصفاته ، ح 2282 ، بسند آخر عن أبي حمزة ، عن عليّ بن الحسين </w:t>
      </w:r>
      <w:r w:rsidR="00117575" w:rsidRPr="00117575">
        <w:rPr>
          <w:rStyle w:val="libFootnoteAlaemChar"/>
          <w:rtl/>
        </w:rPr>
        <w:t>عليه‌السلام</w:t>
      </w:r>
      <w:r w:rsidR="008A74EB" w:rsidRPr="00C9040A">
        <w:rPr>
          <w:rtl/>
        </w:rPr>
        <w:t xml:space="preserve"> ، مع اختلاف يسير ؛ </w:t>
      </w:r>
      <w:r w:rsidR="008A74EB" w:rsidRPr="0034021D">
        <w:rPr>
          <w:rStyle w:val="libFootnoteBoldChar"/>
          <w:rtl/>
        </w:rPr>
        <w:t>الأمالي للصدوق</w:t>
      </w:r>
      <w:r w:rsidR="008A74EB" w:rsidRPr="00C9040A">
        <w:rPr>
          <w:rtl/>
        </w:rPr>
        <w:t xml:space="preserve"> ، ص 493 ، المجلس 74 ، ح 12 ، بسند آخر عن أبي حمزة الثمالي ، عن سيّد العابدين عليّ بن أبي طالب </w:t>
      </w:r>
      <w:r w:rsidR="00117575" w:rsidRPr="00117575">
        <w:rPr>
          <w:rStyle w:val="libFootnoteAlaemChar"/>
          <w:rtl/>
        </w:rPr>
        <w:t xml:space="preserve">عليه‌السلام </w:t>
      </w:r>
      <w:r w:rsidR="008A74EB" w:rsidRPr="00C9040A">
        <w:rPr>
          <w:rtl/>
        </w:rPr>
        <w:t xml:space="preserve"> ، مع زيادة في آخره ؛ </w:t>
      </w:r>
      <w:r w:rsidR="008A74EB" w:rsidRPr="00993B55">
        <w:rPr>
          <w:rStyle w:val="libFootnoteBoldChar"/>
          <w:rtl/>
        </w:rPr>
        <w:t>وفيه</w:t>
      </w:r>
      <w:r w:rsidR="008A74EB" w:rsidRPr="00C9040A">
        <w:rPr>
          <w:rtl/>
        </w:rPr>
        <w:t xml:space="preserve"> ، ص 572 ، المجلس 84 ، ح 2 ، بسند آخر عن جعفر بن محمّد ، عن أبيه ، عن أمير المؤمنين </w:t>
      </w:r>
      <w:r w:rsidR="00117575" w:rsidRPr="00117575">
        <w:rPr>
          <w:rStyle w:val="libFootnoteAlaemChar"/>
          <w:rtl/>
        </w:rPr>
        <w:t>عليهم‌السلام</w:t>
      </w:r>
      <w:r w:rsidR="008A74EB" w:rsidRPr="00C9040A">
        <w:rPr>
          <w:rtl/>
        </w:rPr>
        <w:t xml:space="preserve"> ، مع زيادة في أوّله وآخره. </w:t>
      </w:r>
      <w:r w:rsidR="008A74EB" w:rsidRPr="00993B55">
        <w:rPr>
          <w:rStyle w:val="libFootnoteBoldChar"/>
          <w:rtl/>
        </w:rPr>
        <w:t>تحف العقول</w:t>
      </w:r>
      <w:r w:rsidR="008A74EB" w:rsidRPr="00C9040A">
        <w:rPr>
          <w:rtl/>
        </w:rPr>
        <w:t xml:space="preserve"> ، ص 280 ، عن عليّ بن الحسين </w:t>
      </w:r>
      <w:r w:rsidR="00117575" w:rsidRPr="00117575">
        <w:rPr>
          <w:rStyle w:val="libFootnoteAlaemChar"/>
          <w:rtl/>
        </w:rPr>
        <w:t xml:space="preserve">عليه‌السلام </w:t>
      </w:r>
      <w:r w:rsidR="008A74EB" w:rsidRPr="00C9040A">
        <w:rPr>
          <w:rtl/>
        </w:rPr>
        <w:t xml:space="preserve">، مع زيادة في أوّله. </w:t>
      </w:r>
      <w:r w:rsidR="008A74EB" w:rsidRPr="00993B55">
        <w:rPr>
          <w:rStyle w:val="libFootnoteBoldChar"/>
          <w:rtl/>
        </w:rPr>
        <w:t>الفقيه</w:t>
      </w:r>
      <w:r w:rsidR="008A74EB" w:rsidRPr="00C9040A">
        <w:rPr>
          <w:rtl/>
        </w:rPr>
        <w:t xml:space="preserve"> ، ج 3 ، ص 72 ، ذيل ح 3363 ، قطعة منه ، من دون الإسناد إلى المعصوم </w:t>
      </w:r>
      <w:r w:rsidR="00117575" w:rsidRPr="00117575">
        <w:rPr>
          <w:rStyle w:val="libFootnoteAlaemChar"/>
          <w:rtl/>
        </w:rPr>
        <w:t>عليه‌السلام</w:t>
      </w:r>
      <w:r w:rsidR="008A74EB" w:rsidRPr="00C9040A">
        <w:rPr>
          <w:rtl/>
        </w:rPr>
        <w:t xml:space="preserve"> ، وفي الثلاثة الأخيرة مع اختلاف يسير</w:t>
      </w:r>
      <w:r w:rsidR="00DC0CD2">
        <w:rPr>
          <w:rFonts w:hint="cs"/>
          <w:rtl/>
        </w:rPr>
        <w:t>.</w:t>
      </w:r>
      <w:r w:rsidR="008A74EB" w:rsidRPr="00993B55">
        <w:rPr>
          <w:rStyle w:val="libFootnoteBoldChar"/>
          <w:rtl/>
        </w:rPr>
        <w:t>الوافي</w:t>
      </w:r>
      <w:r w:rsidR="008A74EB" w:rsidRPr="00C9040A">
        <w:rPr>
          <w:rtl/>
        </w:rPr>
        <w:t xml:space="preserve"> ، ج 4 ، ص 158 ، ح 1750 ؛ </w:t>
      </w:r>
      <w:r w:rsidR="008A74EB" w:rsidRPr="00993B55">
        <w:rPr>
          <w:rStyle w:val="libFootnoteBoldChar"/>
          <w:rtl/>
        </w:rPr>
        <w:t>الوسائل</w:t>
      </w:r>
      <w:r w:rsidR="008A74EB" w:rsidRPr="00C9040A">
        <w:rPr>
          <w:rtl/>
        </w:rPr>
        <w:t xml:space="preserve"> ، ج 15 ، ص 186 ، ذيل ح 20238.</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ابْنِ </w:t>
      </w:r>
      <w:r w:rsidR="006C577F" w:rsidRPr="006C577F">
        <w:rPr>
          <w:rStyle w:val="libFootnotenumChar"/>
          <w:rtl/>
        </w:rPr>
        <w:t>(1)</w:t>
      </w:r>
      <w:r w:rsidRPr="00C9040A">
        <w:rPr>
          <w:rtl/>
          <w:lang w:bidi="fa-IR"/>
        </w:rPr>
        <w:t xml:space="preserve"> بُكَيْرٍ ، عَنْ زُرَارَةَ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كَانَ عَلِيُّ بْنُ الْحُسَيْنِ </w:t>
      </w:r>
      <w:r w:rsidRPr="0003660B">
        <w:rPr>
          <w:rStyle w:val="libAlaemChar"/>
          <w:rtl/>
        </w:rPr>
        <w:t>عليهما‌السلام</w:t>
      </w:r>
      <w:r w:rsidRPr="00C9040A">
        <w:rPr>
          <w:rtl/>
          <w:lang w:bidi="fa-IR"/>
        </w:rPr>
        <w:t xml:space="preserve"> يَقُولُ : إِنَّهُ لَيُعْجِبُنِي الرَّجُلُ أَنْ يُدْرِكَهُ حِلْمُهُ عِنْدَ غَضَبِهِ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406725">
        <w:rPr>
          <w:rtl/>
        </w:rPr>
        <w:t>1814</w:t>
      </w:r>
      <w:r w:rsidRPr="00261CB0">
        <w:rPr>
          <w:rStyle w:val="libBold2Char"/>
          <w:rtl/>
        </w:rPr>
        <w:t xml:space="preserve"> / 4.</w:t>
      </w:r>
      <w:r w:rsidRPr="00C9040A">
        <w:rPr>
          <w:rtl/>
          <w:lang w:bidi="fa-IR"/>
        </w:rPr>
        <w:t xml:space="preserve"> عِدَّةٌ مِنْ أَصْحَابِنَا ، عَنْ أَحْمَدَ بْنِ مُحَمَّدِ بْنِ خَالِدٍ ، عَنْ عَلِيِّ بْنِ الْحَكَمِ ، عَنْ أَبِي جَمِيلَةَ ، عَنْ جَابِرٍ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w:t>
      </w:r>
      <w:r w:rsidR="006C577F" w:rsidRPr="006C577F">
        <w:rPr>
          <w:rStyle w:val="libFootnotenumChar"/>
          <w:rtl/>
        </w:rPr>
        <w:t>(3)</w:t>
      </w:r>
      <w:r w:rsidRPr="00C9040A">
        <w:rPr>
          <w:rtl/>
          <w:lang w:bidi="fa-IR"/>
        </w:rPr>
        <w:t xml:space="preserve"> : « إِنَّ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يُحِبُّ </w:t>
      </w:r>
      <w:r w:rsidR="006C577F" w:rsidRPr="006C577F">
        <w:rPr>
          <w:rStyle w:val="libFootnotenumChar"/>
          <w:rtl/>
        </w:rPr>
        <w:t>(4)</w:t>
      </w:r>
      <w:r w:rsidRPr="00C9040A">
        <w:rPr>
          <w:rtl/>
          <w:lang w:bidi="fa-IR"/>
        </w:rPr>
        <w:t xml:space="preserve"> الْحَيِيَّ الْحَلِيمَ </w:t>
      </w:r>
      <w:r w:rsidR="006C577F" w:rsidRPr="006C577F">
        <w:rPr>
          <w:rStyle w:val="libFootnotenumChar"/>
          <w:rtl/>
        </w:rPr>
        <w:t>(5)</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Normal"/>
        <w:rPr>
          <w:rtl/>
          <w:lang w:bidi="fa-IR"/>
        </w:rPr>
      </w:pPr>
      <w:r w:rsidRPr="00406725">
        <w:rPr>
          <w:rtl/>
        </w:rPr>
        <w:t>1815</w:t>
      </w:r>
      <w:r w:rsidRPr="00261CB0">
        <w:rPr>
          <w:rStyle w:val="libBold2Char"/>
          <w:rtl/>
        </w:rPr>
        <w:t xml:space="preserve"> / 5.</w:t>
      </w:r>
      <w:r w:rsidRPr="00C9040A">
        <w:rPr>
          <w:rtl/>
          <w:lang w:bidi="fa-IR"/>
        </w:rPr>
        <w:t xml:space="preserve"> عَنْهُ </w:t>
      </w:r>
      <w:r w:rsidR="006C577F" w:rsidRPr="006C577F">
        <w:rPr>
          <w:rStyle w:val="libFootnotenumChar"/>
          <w:rtl/>
        </w:rPr>
        <w:t>(7)</w:t>
      </w:r>
      <w:r w:rsidRPr="00C9040A">
        <w:rPr>
          <w:rtl/>
          <w:lang w:bidi="fa-IR"/>
        </w:rPr>
        <w:t xml:space="preserve"> ، عَنْ عَلِيِّ بْنِ حَفْصٍ الْعَوْسِيِّ </w:t>
      </w:r>
      <w:r w:rsidR="006C577F" w:rsidRPr="006C577F">
        <w:rPr>
          <w:rStyle w:val="libFootnotenumChar"/>
          <w:rtl/>
        </w:rPr>
        <w:t>(8)</w:t>
      </w:r>
      <w:r w:rsidRPr="00C9040A">
        <w:rPr>
          <w:rtl/>
          <w:lang w:bidi="fa-IR"/>
        </w:rPr>
        <w:t xml:space="preserve"> الْكُوفِيِّ :</w:t>
      </w:r>
    </w:p>
    <w:p w:rsidR="008A74EB" w:rsidRPr="00C9040A" w:rsidRDefault="008A74EB" w:rsidP="008A74EB">
      <w:pPr>
        <w:pStyle w:val="libNormal"/>
        <w:rPr>
          <w:rtl/>
          <w:lang w:bidi="fa-IR"/>
        </w:rPr>
      </w:pPr>
      <w:r w:rsidRPr="00C9040A">
        <w:rPr>
          <w:rtl/>
          <w:lang w:bidi="fa-IR"/>
        </w:rPr>
        <w:t xml:space="preserve">رَفَعَهُ إِلى أَبِي عَبْدِ اللهِ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مَا أَعَزَّ اللهُ بِجَهْلٍ قَطُّ ، وَلَا أَذَلَّ بِحِلْمٍ قَطُّ »</w:t>
      </w:r>
      <w:r>
        <w:rPr>
          <w:rtl/>
          <w:lang w:bidi="fa-IR"/>
        </w:rPr>
        <w:t>.</w:t>
      </w:r>
      <w:r w:rsidRPr="00C9040A">
        <w:rPr>
          <w:rtl/>
          <w:lang w:bidi="fa-IR"/>
        </w:rPr>
        <w:t xml:space="preserve"> </w:t>
      </w:r>
      <w:r w:rsidR="006C577F" w:rsidRPr="006C577F">
        <w:rPr>
          <w:rStyle w:val="libFootnotenumChar"/>
          <w:rtl/>
        </w:rPr>
        <w:t>(9)</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ج ، ص » </w:t>
      </w:r>
      <w:r w:rsidR="008A74EB">
        <w:rPr>
          <w:rtl/>
        </w:rPr>
        <w:t xml:space="preserve">: </w:t>
      </w:r>
      <w:r w:rsidR="0084262C">
        <w:rPr>
          <w:rtl/>
        </w:rPr>
        <w:t>-</w:t>
      </w:r>
      <w:r w:rsidR="008A74EB" w:rsidRPr="00C9040A">
        <w:rPr>
          <w:rtl/>
        </w:rPr>
        <w:t xml:space="preserve"> « ابن »</w:t>
      </w:r>
      <w:r w:rsidR="008A74EB">
        <w:rPr>
          <w:rtl/>
        </w:rPr>
        <w:t>.</w:t>
      </w:r>
      <w:r w:rsidR="008A74EB" w:rsidRPr="00C9040A">
        <w:rPr>
          <w:rtl/>
        </w:rPr>
        <w:t xml:space="preserve"> وهو سهو ؛ فقد روى الحسن بن عليّ بن فضّال كتاب عبد الله بن بكير ، وتوسّط ابن بكير بينه وبين زرارة في كثير من الأسناد. راجع : </w:t>
      </w:r>
      <w:r w:rsidR="008A74EB" w:rsidRPr="0034021D">
        <w:rPr>
          <w:rStyle w:val="libFootnoteBoldChar"/>
          <w:rtl/>
        </w:rPr>
        <w:t>الفهرست للطوسي</w:t>
      </w:r>
      <w:r w:rsidR="008A74EB" w:rsidRPr="00C9040A">
        <w:rPr>
          <w:rtl/>
        </w:rPr>
        <w:t xml:space="preserve"> ، ص 304 ، الرقم 464 ؛ </w:t>
      </w:r>
      <w:r w:rsidR="008A74EB" w:rsidRPr="00993B55">
        <w:rPr>
          <w:rStyle w:val="libFootnoteBoldChar"/>
          <w:rtl/>
        </w:rPr>
        <w:t>معجم رجال الحديث</w:t>
      </w:r>
      <w:r w:rsidR="008A74EB" w:rsidRPr="00C9040A">
        <w:rPr>
          <w:rtl/>
        </w:rPr>
        <w:t xml:space="preserve"> ، ج 10 ، ص 424</w:t>
      </w:r>
      <w:r w:rsidR="008A74EB">
        <w:rPr>
          <w:rtl/>
        </w:rPr>
        <w:t xml:space="preserve"> </w:t>
      </w:r>
      <w:r w:rsidR="0084262C">
        <w:rPr>
          <w:rtl/>
        </w:rPr>
        <w:t>-</w:t>
      </w:r>
      <w:r w:rsidR="008A74EB">
        <w:rPr>
          <w:rtl/>
        </w:rPr>
        <w:t xml:space="preserve"> </w:t>
      </w:r>
      <w:r w:rsidR="008A74EB" w:rsidRPr="00C9040A">
        <w:rPr>
          <w:rtl/>
        </w:rPr>
        <w:t>425 ؛ وج 22 ، ص 368</w:t>
      </w:r>
      <w:r w:rsidR="008A74EB">
        <w:rPr>
          <w:rtl/>
        </w:rPr>
        <w:t xml:space="preserve"> </w:t>
      </w:r>
      <w:r w:rsidR="0084262C">
        <w:rPr>
          <w:rtl/>
        </w:rPr>
        <w:t>-</w:t>
      </w:r>
      <w:r w:rsidR="008A74EB">
        <w:rPr>
          <w:rtl/>
        </w:rPr>
        <w:t xml:space="preserve"> </w:t>
      </w:r>
      <w:r w:rsidR="008A74EB" w:rsidRPr="00C9040A">
        <w:rPr>
          <w:rtl/>
        </w:rPr>
        <w:t>370.</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الوافي</w:t>
      </w:r>
      <w:r w:rsidR="008A74EB" w:rsidRPr="00C9040A">
        <w:rPr>
          <w:rtl/>
        </w:rPr>
        <w:t xml:space="preserve"> ، ج 4 ، ص 447 ، ح 2303 ؛ </w:t>
      </w:r>
      <w:r w:rsidR="008A74EB" w:rsidRPr="00993B55">
        <w:rPr>
          <w:rStyle w:val="libFootnoteBoldChar"/>
          <w:rtl/>
        </w:rPr>
        <w:t>الوسائل</w:t>
      </w:r>
      <w:r w:rsidR="008A74EB" w:rsidRPr="00C9040A">
        <w:rPr>
          <w:rtl/>
        </w:rPr>
        <w:t xml:space="preserve"> ، ج 15 ، ص 265 ، ح 20464 ؛ </w:t>
      </w:r>
      <w:r w:rsidR="008A74EB" w:rsidRPr="00993B55">
        <w:rPr>
          <w:rStyle w:val="libFootnoteBoldChar"/>
          <w:rtl/>
        </w:rPr>
        <w:t>البحار</w:t>
      </w:r>
      <w:r w:rsidR="008A74EB" w:rsidRPr="00C9040A">
        <w:rPr>
          <w:rtl/>
        </w:rPr>
        <w:t xml:space="preserve"> ، ج 71 ، ص 404 ، ح 13.</w:t>
      </w:r>
    </w:p>
    <w:p w:rsidR="008A74EB" w:rsidRPr="00C9040A" w:rsidRDefault="006C577F" w:rsidP="004A4E41">
      <w:pPr>
        <w:pStyle w:val="libFootnote0"/>
        <w:rPr>
          <w:rtl/>
          <w:lang w:bidi="fa-IR"/>
        </w:rPr>
      </w:pPr>
      <w:r>
        <w:rPr>
          <w:rtl/>
        </w:rPr>
        <w:t>(3).</w:t>
      </w:r>
      <w:r w:rsidR="008A74EB" w:rsidRPr="00C9040A">
        <w:rPr>
          <w:rtl/>
        </w:rPr>
        <w:t xml:space="preserve"> في حاشية « ز » : + « قال رسول الله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ب » : + « الخلق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ج » : « العليم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الوافي</w:t>
      </w:r>
      <w:r w:rsidR="008A74EB" w:rsidRPr="00C9040A">
        <w:rPr>
          <w:rtl/>
        </w:rPr>
        <w:t xml:space="preserve"> ، ج 4 ، ص 447 ، ح 2304 ؛ </w:t>
      </w:r>
      <w:r w:rsidR="008A74EB" w:rsidRPr="00993B55">
        <w:rPr>
          <w:rStyle w:val="libFootnoteBoldChar"/>
          <w:rtl/>
        </w:rPr>
        <w:t>الوسائل</w:t>
      </w:r>
      <w:r w:rsidR="008A74EB" w:rsidRPr="00C9040A">
        <w:rPr>
          <w:rtl/>
        </w:rPr>
        <w:t xml:space="preserve"> ، ج 15 ، ص 266 ، ح 20467 ؛ </w:t>
      </w:r>
      <w:r w:rsidR="008A74EB" w:rsidRPr="00993B55">
        <w:rPr>
          <w:rStyle w:val="libFootnoteBoldChar"/>
          <w:rtl/>
        </w:rPr>
        <w:t>البحار</w:t>
      </w:r>
      <w:r w:rsidR="008A74EB" w:rsidRPr="00C9040A">
        <w:rPr>
          <w:rtl/>
        </w:rPr>
        <w:t xml:space="preserve"> ، ج 71 ، ص 404 ، ح 14.</w:t>
      </w:r>
    </w:p>
    <w:p w:rsidR="008A74EB" w:rsidRPr="00C9040A" w:rsidRDefault="006C577F" w:rsidP="004A4E41">
      <w:pPr>
        <w:pStyle w:val="libFootnote0"/>
        <w:rPr>
          <w:rtl/>
          <w:lang w:bidi="fa-IR"/>
        </w:rPr>
      </w:pPr>
      <w:r>
        <w:rPr>
          <w:rtl/>
        </w:rPr>
        <w:t>(7).</w:t>
      </w:r>
      <w:r w:rsidR="008A74EB" w:rsidRPr="00C9040A">
        <w:rPr>
          <w:rtl/>
        </w:rPr>
        <w:t xml:space="preserve"> الضمير راجع إلى أحمد بن محمّد بن خالد المذكور في السند السابق ؛ فقد روى هو في كتابه </w:t>
      </w:r>
      <w:r w:rsidR="008A74EB" w:rsidRPr="00993B55">
        <w:rPr>
          <w:rStyle w:val="libFootnoteBoldChar"/>
          <w:rtl/>
        </w:rPr>
        <w:t>المحاسن</w:t>
      </w:r>
      <w:r w:rsidR="008A74EB" w:rsidRPr="00C9040A">
        <w:rPr>
          <w:rtl/>
        </w:rPr>
        <w:t xml:space="preserve"> ، ص 195 ، ح 18 ، عن العوسي ، ووردت في </w:t>
      </w:r>
      <w:r w:rsidR="008A74EB" w:rsidRPr="00993B55">
        <w:rPr>
          <w:rStyle w:val="libFootnoteBoldChar"/>
          <w:rtl/>
        </w:rPr>
        <w:t>الكافي</w:t>
      </w:r>
      <w:r w:rsidR="008A74EB" w:rsidRPr="00C9040A">
        <w:rPr>
          <w:rtl/>
        </w:rPr>
        <w:t xml:space="preserve"> ، ح 12572 ، رواية أحمد بن أبي عبد الله</w:t>
      </w:r>
      <w:r w:rsidR="008A74EB">
        <w:rPr>
          <w:rtl/>
        </w:rPr>
        <w:t xml:space="preserve"> </w:t>
      </w:r>
      <w:r w:rsidR="0084262C">
        <w:rPr>
          <w:rtl/>
        </w:rPr>
        <w:t>-</w:t>
      </w:r>
      <w:r w:rsidR="008A74EB">
        <w:rPr>
          <w:rtl/>
        </w:rPr>
        <w:t xml:space="preserve"> </w:t>
      </w:r>
      <w:r w:rsidR="008A74EB" w:rsidRPr="00C9040A">
        <w:rPr>
          <w:rtl/>
        </w:rPr>
        <w:t>وهو أحمد بن محمّد بن خالد</w:t>
      </w:r>
      <w:r w:rsidR="008A74EB">
        <w:rPr>
          <w:rtl/>
        </w:rPr>
        <w:t xml:space="preserve"> </w:t>
      </w:r>
      <w:r w:rsidR="0084262C">
        <w:rPr>
          <w:rtl/>
        </w:rPr>
        <w:t>-</w:t>
      </w:r>
      <w:r w:rsidR="008A74EB">
        <w:rPr>
          <w:rtl/>
        </w:rPr>
        <w:t xml:space="preserve"> </w:t>
      </w:r>
      <w:r w:rsidR="008A74EB" w:rsidRPr="00C9040A">
        <w:rPr>
          <w:rtl/>
        </w:rPr>
        <w:t xml:space="preserve">عن العوسي. ويأتي في </w:t>
      </w:r>
      <w:r w:rsidR="008A74EB" w:rsidRPr="00993B55">
        <w:rPr>
          <w:rStyle w:val="libFootnoteBoldChar"/>
          <w:rtl/>
        </w:rPr>
        <w:t>الكافي</w:t>
      </w:r>
      <w:r w:rsidR="008A74EB" w:rsidRPr="00C9040A">
        <w:rPr>
          <w:rtl/>
        </w:rPr>
        <w:t xml:space="preserve"> ، ح 2959 سند هكذا : « عنه ، عن عليّ بن حفص العوسي »</w:t>
      </w:r>
      <w:r w:rsidR="008A74EB">
        <w:rPr>
          <w:rtl/>
        </w:rPr>
        <w:t>.</w:t>
      </w:r>
      <w:r w:rsidR="008A74EB" w:rsidRPr="00C9040A">
        <w:rPr>
          <w:rtl/>
        </w:rPr>
        <w:t xml:space="preserve"> والظاهر فيه أيضاً رجوع الضمير إلى أحمد بن أبي عبد الله المذكور في السند المتقدّم عليه.</w:t>
      </w:r>
    </w:p>
    <w:p w:rsidR="008A74EB" w:rsidRPr="00C9040A" w:rsidRDefault="006C577F" w:rsidP="004A4E41">
      <w:pPr>
        <w:pStyle w:val="libFootnote0"/>
        <w:rPr>
          <w:rtl/>
          <w:lang w:bidi="fa-IR"/>
        </w:rPr>
      </w:pPr>
      <w:r>
        <w:rPr>
          <w:rtl/>
        </w:rPr>
        <w:t>(8).</w:t>
      </w:r>
      <w:r w:rsidR="008A74EB" w:rsidRPr="00C9040A">
        <w:rPr>
          <w:rtl/>
        </w:rPr>
        <w:t xml:space="preserve"> في البحار : « القرشي »</w:t>
      </w:r>
      <w:r w:rsidR="008A74EB">
        <w:rPr>
          <w:rtl/>
        </w:rPr>
        <w:t>.</w:t>
      </w:r>
      <w:r w:rsidR="008A74EB" w:rsidRPr="00C9040A">
        <w:rPr>
          <w:rtl/>
        </w:rPr>
        <w:t xml:space="preserve"> وفي هامش المطبوع : « في بعض النسخ : العويسي ، وفي بعضها : الأوسي. وفي بعضها : القرشي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w:t>
      </w:r>
      <w:r w:rsidR="008A74EB" w:rsidRPr="00993B55">
        <w:rPr>
          <w:rStyle w:val="libFootnoteBoldChar"/>
          <w:rtl/>
        </w:rPr>
        <w:t>الوافي</w:t>
      </w:r>
      <w:r w:rsidR="008A74EB" w:rsidRPr="00C9040A">
        <w:rPr>
          <w:rtl/>
        </w:rPr>
        <w:t xml:space="preserve"> ، ج 4 ، ص 447 ، ح 2305 ؛ </w:t>
      </w:r>
      <w:r w:rsidR="008A74EB" w:rsidRPr="00993B55">
        <w:rPr>
          <w:rStyle w:val="libFootnoteBoldChar"/>
          <w:rtl/>
        </w:rPr>
        <w:t>الوسائل</w:t>
      </w:r>
      <w:r w:rsidR="008A74EB" w:rsidRPr="00C9040A">
        <w:rPr>
          <w:rtl/>
        </w:rPr>
        <w:t xml:space="preserve"> ، ج 15 ، ص 266 ، ح 20468 ؛ </w:t>
      </w:r>
      <w:r w:rsidR="008A74EB" w:rsidRPr="00993B55">
        <w:rPr>
          <w:rStyle w:val="libFootnoteBoldChar"/>
          <w:rtl/>
        </w:rPr>
        <w:t>البحار</w:t>
      </w:r>
      <w:r w:rsidR="008A74EB" w:rsidRPr="00C9040A">
        <w:rPr>
          <w:rtl/>
        </w:rPr>
        <w:t xml:space="preserve"> ، ج 71 ، ص 404 ، ح 15.</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95758B">
        <w:rPr>
          <w:rtl/>
        </w:rPr>
        <w:t>1816</w:t>
      </w:r>
      <w:r w:rsidRPr="00261CB0">
        <w:rPr>
          <w:rStyle w:val="libBold2Char"/>
          <w:rtl/>
        </w:rPr>
        <w:t xml:space="preserve"> / 6.</w:t>
      </w:r>
      <w:r w:rsidRPr="00C9040A">
        <w:rPr>
          <w:rtl/>
          <w:lang w:bidi="fa-IR"/>
        </w:rPr>
        <w:t xml:space="preserve"> عَنْهُ </w:t>
      </w:r>
      <w:r w:rsidR="006C577F" w:rsidRPr="006C577F">
        <w:rPr>
          <w:rStyle w:val="libFootnotenumChar"/>
          <w:rtl/>
        </w:rPr>
        <w:t>(1)</w:t>
      </w:r>
      <w:r w:rsidRPr="00C9040A">
        <w:rPr>
          <w:rtl/>
          <w:lang w:bidi="fa-IR"/>
        </w:rPr>
        <w:t xml:space="preserve"> ، عَنْ بَعْضِ أَصْحَابِهِ </w:t>
      </w:r>
      <w:r w:rsidR="006C577F" w:rsidRPr="006C577F">
        <w:rPr>
          <w:rStyle w:val="libFootnotenumChar"/>
          <w:rtl/>
        </w:rPr>
        <w:t>(2)</w:t>
      </w:r>
      <w:r w:rsidRPr="00C9040A">
        <w:rPr>
          <w:rtl/>
          <w:lang w:bidi="fa-IR"/>
        </w:rPr>
        <w:t xml:space="preserve"> رَفَعَهُ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كَفى بِالْحِلْمِ نَاصِراً »</w:t>
      </w:r>
      <w:r>
        <w:rPr>
          <w:rtl/>
          <w:lang w:bidi="fa-IR"/>
        </w:rPr>
        <w:t>.</w:t>
      </w:r>
      <w:r w:rsidRPr="00C9040A">
        <w:rPr>
          <w:rtl/>
          <w:lang w:bidi="fa-IR"/>
        </w:rPr>
        <w:t xml:space="preserve"> وَقَالَ : « إِذَا لَمْ تَكُنْ حَلِيماً ، فَتَحَلَّمْ »</w:t>
      </w:r>
      <w:r>
        <w:rPr>
          <w:rtl/>
          <w:lang w:bidi="fa-IR"/>
        </w:rPr>
        <w:t>.</w:t>
      </w:r>
      <w:r w:rsidR="006C577F" w:rsidRPr="006C577F">
        <w:rPr>
          <w:rStyle w:val="libFootnotenumChar"/>
          <w:rtl/>
        </w:rPr>
        <w:t>(3)</w:t>
      </w:r>
      <w:r w:rsidRPr="00C9040A">
        <w:rPr>
          <w:rtl/>
          <w:lang w:bidi="fa-IR"/>
        </w:rPr>
        <w:t>‌</w:t>
      </w:r>
    </w:p>
    <w:p w:rsidR="008A74EB" w:rsidRPr="00C9040A" w:rsidRDefault="008A74EB" w:rsidP="008A74EB">
      <w:pPr>
        <w:pStyle w:val="libNormal"/>
        <w:rPr>
          <w:rtl/>
          <w:lang w:bidi="fa-IR"/>
        </w:rPr>
      </w:pPr>
      <w:r w:rsidRPr="0095758B">
        <w:rPr>
          <w:rtl/>
        </w:rPr>
        <w:t>1817</w:t>
      </w:r>
      <w:r w:rsidRPr="00261CB0">
        <w:rPr>
          <w:rStyle w:val="libBold2Char"/>
          <w:rtl/>
        </w:rPr>
        <w:t xml:space="preserve"> / 7.</w:t>
      </w:r>
      <w:r w:rsidRPr="00C9040A">
        <w:rPr>
          <w:rtl/>
          <w:lang w:bidi="fa-IR"/>
        </w:rPr>
        <w:t xml:space="preserve"> مُحَمَّدُ بْنُ يَحْيى ، عَنْ أَحْمَدَ بْنِ مُحَمَّدِ بْنِ عِيسى ، عَنْ عَبْدِ اللهِ الْحَجَّالِ ، عَنْ حَفْصِ بْنِ أَبِي عَائِشَةَ ، قَالَ :</w:t>
      </w:r>
    </w:p>
    <w:p w:rsidR="008A74EB" w:rsidRPr="00C9040A" w:rsidRDefault="008A74EB" w:rsidP="008A74EB">
      <w:pPr>
        <w:pStyle w:val="libNormal"/>
        <w:rPr>
          <w:rtl/>
          <w:lang w:bidi="fa-IR"/>
        </w:rPr>
      </w:pPr>
      <w:r w:rsidRPr="00C9040A">
        <w:rPr>
          <w:rtl/>
          <w:lang w:bidi="fa-IR"/>
        </w:rPr>
        <w:t xml:space="preserve">بَعَثَ أَبُو عَبْدِ اللهِ </w:t>
      </w:r>
      <w:r w:rsidRPr="0003660B">
        <w:rPr>
          <w:rStyle w:val="libAlaemChar"/>
          <w:rtl/>
        </w:rPr>
        <w:t>عليه‌السلام</w:t>
      </w:r>
      <w:r w:rsidRPr="00C9040A">
        <w:rPr>
          <w:rtl/>
          <w:lang w:bidi="fa-IR"/>
        </w:rPr>
        <w:t xml:space="preserve"> غُلَاماً لَهُ فِي حَاجَةٍ ، فَأَبْطَأَ ، فَخَرَجَ أَبُو عَبْدِ اللهِ </w:t>
      </w:r>
      <w:r w:rsidRPr="0003660B">
        <w:rPr>
          <w:rStyle w:val="libAlaemChar"/>
          <w:rtl/>
        </w:rPr>
        <w:t>عليه‌السلام</w:t>
      </w:r>
      <w:r w:rsidRPr="00C9040A">
        <w:rPr>
          <w:rtl/>
          <w:lang w:bidi="fa-IR"/>
        </w:rPr>
        <w:t xml:space="preserve"> </w:t>
      </w:r>
      <w:r w:rsidR="006C577F" w:rsidRPr="006C577F">
        <w:rPr>
          <w:rStyle w:val="libFootnotenumChar"/>
          <w:rtl/>
        </w:rPr>
        <w:t>(4)</w:t>
      </w:r>
      <w:r w:rsidRPr="00C9040A">
        <w:rPr>
          <w:rtl/>
          <w:lang w:bidi="fa-IR"/>
        </w:rPr>
        <w:t xml:space="preserve"> عَلى أَثَرِهِ لَمَّا أَبْطَأَ </w:t>
      </w:r>
      <w:r w:rsidR="006C577F" w:rsidRPr="006C577F">
        <w:rPr>
          <w:rStyle w:val="libFootnotenumChar"/>
          <w:rtl/>
        </w:rPr>
        <w:t>(5)</w:t>
      </w:r>
      <w:r w:rsidRPr="00C9040A">
        <w:rPr>
          <w:rtl/>
          <w:lang w:bidi="fa-IR"/>
        </w:rPr>
        <w:t xml:space="preserve"> ، فَوَجَدَهُ نَائِماً ، فَجَلَسَ عِنْدَ رَأْسِهِ يُرَوِّحُهُ </w:t>
      </w:r>
      <w:r w:rsidR="006C577F" w:rsidRPr="006C577F">
        <w:rPr>
          <w:rStyle w:val="libFootnotenumChar"/>
          <w:rtl/>
        </w:rPr>
        <w:t>(6)</w:t>
      </w:r>
      <w:r w:rsidRPr="005B567D">
        <w:rPr>
          <w:rStyle w:val="libFootnotenumChar"/>
          <w:rtl/>
        </w:rPr>
        <w:t xml:space="preserve"> </w:t>
      </w:r>
      <w:r w:rsidRPr="00C9040A">
        <w:rPr>
          <w:rtl/>
          <w:lang w:bidi="fa-IR"/>
        </w:rPr>
        <w:t xml:space="preserve">حَتَّى انْتَبَهَ ، فَلَمَّا تَنَبَّهَ </w:t>
      </w:r>
      <w:r w:rsidR="006C577F" w:rsidRPr="006C577F">
        <w:rPr>
          <w:rStyle w:val="libFootnotenumChar"/>
          <w:rtl/>
        </w:rPr>
        <w:t>(7)</w:t>
      </w:r>
      <w:r w:rsidRPr="00C9040A">
        <w:rPr>
          <w:rtl/>
          <w:lang w:bidi="fa-IR"/>
        </w:rPr>
        <w:t xml:space="preserve"> ، قَالَ </w:t>
      </w:r>
      <w:r w:rsidR="006C577F" w:rsidRPr="006C577F">
        <w:rPr>
          <w:rStyle w:val="libFootnotenumChar"/>
          <w:rtl/>
        </w:rPr>
        <w:t>(8)</w:t>
      </w:r>
      <w:r w:rsidRPr="00C9040A">
        <w:rPr>
          <w:rtl/>
          <w:lang w:bidi="fa-IR"/>
        </w:rPr>
        <w:t xml:space="preserve"> لَهُ أَبُو عَبْدِ اللهِ </w:t>
      </w:r>
      <w:r w:rsidRPr="0003660B">
        <w:rPr>
          <w:rStyle w:val="libAlaemChar"/>
          <w:rtl/>
        </w:rPr>
        <w:t>عليه‌السلام</w:t>
      </w:r>
      <w:r w:rsidRPr="00C9040A">
        <w:rPr>
          <w:rtl/>
          <w:lang w:bidi="fa-IR"/>
        </w:rPr>
        <w:t xml:space="preserve"> : « يَا فُلَانُ ، وَاللهِ مَا ذلِكَ </w:t>
      </w:r>
      <w:r w:rsidR="006C577F" w:rsidRPr="006C577F">
        <w:rPr>
          <w:rStyle w:val="libFootnotenumChar"/>
          <w:rtl/>
        </w:rPr>
        <w:t>(9)</w:t>
      </w:r>
      <w:r w:rsidRPr="00C9040A">
        <w:rPr>
          <w:rtl/>
          <w:lang w:bidi="fa-IR"/>
        </w:rPr>
        <w:t xml:space="preserve"> لَكَ ، تَنَامُ اللَّيْلَ وَالنَّهَارَ ؛ لَكَ اللَّيْلُ ، وَلَنَا مِنْكَ النَّهَارُ »</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Normal"/>
        <w:rPr>
          <w:rtl/>
          <w:lang w:bidi="fa-IR"/>
        </w:rPr>
      </w:pPr>
      <w:r w:rsidRPr="0095758B">
        <w:rPr>
          <w:rtl/>
        </w:rPr>
        <w:t>1818</w:t>
      </w:r>
      <w:r w:rsidRPr="00261CB0">
        <w:rPr>
          <w:rStyle w:val="libBold2Char"/>
          <w:rtl/>
        </w:rPr>
        <w:t xml:space="preserve"> / 8.</w:t>
      </w:r>
      <w:r w:rsidRPr="00C9040A">
        <w:rPr>
          <w:rtl/>
          <w:lang w:bidi="fa-IR"/>
        </w:rPr>
        <w:t xml:space="preserve"> مُحَمَّدُ بْنُ يَحْيى ، عَنْ أَحْمَدَ بْنِ مُحَمَّدٍ ، عَنْ عَلِيِّ بْنِ النُّعْمَانِ ، عَنْ عَمْرِو بْنِ شِمْرٍ ، عَنْ جَابِرٍ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إِنَّ اللهَ يُحِبُّ الْحَيِيَّ الْحَلِيمَ ، الْعَفِيفَ</w:t>
      </w:r>
      <w:r w:rsidR="006C577F" w:rsidRPr="006C577F">
        <w:rPr>
          <w:rStyle w:val="libFootnotenumChar"/>
          <w:rtl/>
        </w:rPr>
        <w:t>(11)</w:t>
      </w:r>
      <w:r w:rsidRPr="00C9040A">
        <w:rPr>
          <w:rtl/>
          <w:lang w:bidi="fa-IR"/>
        </w:rPr>
        <w:t>‌</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الضمير راجع إلى أحمد بن محمّد بن خالد.</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ص » : « أصحابنا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w:t>
      </w:r>
      <w:r w:rsidR="008A74EB" w:rsidRPr="00993B55">
        <w:rPr>
          <w:rStyle w:val="libFootnoteBoldChar"/>
          <w:rtl/>
        </w:rPr>
        <w:t>نهج البلاغة</w:t>
      </w:r>
      <w:r w:rsidR="008A74EB" w:rsidRPr="00C9040A">
        <w:rPr>
          <w:rtl/>
        </w:rPr>
        <w:t xml:space="preserve"> ، ص 506 ، الحكمة 207 ، مع زيادة في آخره ؛ </w:t>
      </w:r>
      <w:r w:rsidR="008A74EB" w:rsidRPr="00993B55">
        <w:rPr>
          <w:rStyle w:val="libFootnoteBoldChar"/>
          <w:rtl/>
        </w:rPr>
        <w:t>خصائص الأئمّة</w:t>
      </w:r>
      <w:r w:rsidR="008A74EB" w:rsidRPr="00C9040A">
        <w:rPr>
          <w:rtl/>
        </w:rPr>
        <w:t xml:space="preserve"> </w:t>
      </w:r>
      <w:r w:rsidR="00117575" w:rsidRPr="00117575">
        <w:rPr>
          <w:rStyle w:val="libFootnoteAlaemChar"/>
          <w:rtl/>
        </w:rPr>
        <w:t>عليهم‌السلام</w:t>
      </w:r>
      <w:r w:rsidR="008A74EB" w:rsidRPr="00C9040A">
        <w:rPr>
          <w:rtl/>
        </w:rPr>
        <w:t xml:space="preserve"> ، ص 115 ، مع زيادة في أوّله وآخره ، وفيهما مرسلاً عن أمير المؤمنين </w:t>
      </w:r>
      <w:r w:rsidR="00117575" w:rsidRPr="00117575">
        <w:rPr>
          <w:rStyle w:val="libFootnoteAlaemChar"/>
          <w:rtl/>
        </w:rPr>
        <w:t xml:space="preserve">عليه‌السلام </w:t>
      </w:r>
      <w:r w:rsidR="008A74EB" w:rsidRPr="00C9040A">
        <w:rPr>
          <w:rtl/>
        </w:rPr>
        <w:t xml:space="preserve"> ، من قوله : « إذا لم تكن حليماً فتحلّم » ، مع اختلاف يسير</w:t>
      </w:r>
      <w:r w:rsidR="00DC0CD2">
        <w:rPr>
          <w:rFonts w:hint="cs"/>
          <w:rtl/>
        </w:rPr>
        <w:t>.</w:t>
      </w:r>
      <w:r w:rsidR="008A74EB" w:rsidRPr="00993B55">
        <w:rPr>
          <w:rStyle w:val="libFootnoteBoldChar"/>
          <w:rtl/>
        </w:rPr>
        <w:t>الوافى</w:t>
      </w:r>
      <w:r w:rsidR="008A74EB" w:rsidRPr="00C9040A">
        <w:rPr>
          <w:rtl/>
        </w:rPr>
        <w:t xml:space="preserve"> ، ج 4 ، ص 447 ، ح 2306 ؛ </w:t>
      </w:r>
      <w:r w:rsidR="008A74EB" w:rsidRPr="00993B55">
        <w:rPr>
          <w:rStyle w:val="libFootnoteBoldChar"/>
          <w:rtl/>
        </w:rPr>
        <w:t>الوسائل</w:t>
      </w:r>
      <w:r w:rsidR="008A74EB" w:rsidRPr="00C9040A">
        <w:rPr>
          <w:rtl/>
        </w:rPr>
        <w:t xml:space="preserve"> ، ج 15 ، ص 266 ، ح 20469 ؛ </w:t>
      </w:r>
      <w:r w:rsidR="008A74EB" w:rsidRPr="00993B55">
        <w:rPr>
          <w:rStyle w:val="libFootnoteBoldChar"/>
          <w:rtl/>
        </w:rPr>
        <w:t>البحار</w:t>
      </w:r>
      <w:r w:rsidR="008A74EB" w:rsidRPr="00C9040A">
        <w:rPr>
          <w:rtl/>
        </w:rPr>
        <w:t xml:space="preserve"> ، ج 71 ، ص 404 ، ح 16.</w:t>
      </w:r>
    </w:p>
    <w:p w:rsidR="008A74EB" w:rsidRPr="00C9040A" w:rsidRDefault="006C577F" w:rsidP="004A4E41">
      <w:pPr>
        <w:pStyle w:val="libFootnote0"/>
        <w:rPr>
          <w:rtl/>
          <w:lang w:bidi="fa-IR"/>
        </w:rPr>
      </w:pPr>
      <w:r>
        <w:rPr>
          <w:rtl/>
        </w:rPr>
        <w:t>(4).</w:t>
      </w:r>
      <w:r w:rsidR="008A74EB" w:rsidRPr="00C9040A">
        <w:rPr>
          <w:rtl/>
        </w:rPr>
        <w:t xml:space="preserve"> في الوسائل </w:t>
      </w:r>
      <w:r w:rsidR="008A74EB">
        <w:rPr>
          <w:rtl/>
        </w:rPr>
        <w:t xml:space="preserve">: </w:t>
      </w:r>
      <w:r w:rsidR="0084262C">
        <w:rPr>
          <w:rtl/>
        </w:rPr>
        <w:t>-</w:t>
      </w:r>
      <w:r w:rsidR="008A74EB" w:rsidRPr="00C9040A">
        <w:rPr>
          <w:rtl/>
        </w:rPr>
        <w:t xml:space="preserve"> « أبو عبد الله </w:t>
      </w:r>
      <w:r w:rsidR="00117575" w:rsidRPr="00117575">
        <w:rPr>
          <w:rStyle w:val="libFootnoteAlaemChar"/>
          <w:rtl/>
        </w:rPr>
        <w:t>عليه‌السلام</w:t>
      </w:r>
      <w:r w:rsidR="008A74EB" w:rsidRPr="00C9040A">
        <w:rPr>
          <w:rtl/>
        </w:rPr>
        <w:t xml:space="preserve">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ز » </w:t>
      </w:r>
      <w:r w:rsidR="008A74EB">
        <w:rPr>
          <w:rtl/>
        </w:rPr>
        <w:t xml:space="preserve">: </w:t>
      </w:r>
      <w:r w:rsidR="0084262C">
        <w:rPr>
          <w:rtl/>
        </w:rPr>
        <w:t>-</w:t>
      </w:r>
      <w:r w:rsidR="008A74EB" w:rsidRPr="00C9040A">
        <w:rPr>
          <w:rtl/>
        </w:rPr>
        <w:t xml:space="preserve"> « ل</w:t>
      </w:r>
      <w:r w:rsidR="00DC0CD2">
        <w:rPr>
          <w:rFonts w:hint="cs"/>
          <w:rtl/>
        </w:rPr>
        <w:t>ـ</w:t>
      </w:r>
      <w:r w:rsidR="008A74EB" w:rsidRPr="00C9040A">
        <w:rPr>
          <w:rtl/>
        </w:rPr>
        <w:t>مّا أبطأ »</w:t>
      </w:r>
      <w:r w:rsidR="008A74EB">
        <w:rPr>
          <w:rtl/>
        </w:rPr>
        <w:t>.</w:t>
      </w:r>
      <w:r w:rsidR="008A74EB" w:rsidRPr="00C9040A">
        <w:rPr>
          <w:rtl/>
        </w:rPr>
        <w:t xml:space="preserve"> وفي الكافي ، ح 14865 : « ل</w:t>
      </w:r>
      <w:r w:rsidR="00DC0CD2">
        <w:rPr>
          <w:rFonts w:hint="cs"/>
          <w:rtl/>
        </w:rPr>
        <w:t>ـ</w:t>
      </w:r>
      <w:r w:rsidR="008A74EB" w:rsidRPr="00C9040A">
        <w:rPr>
          <w:rtl/>
        </w:rPr>
        <w:t>مّا أبطأ عليه »</w:t>
      </w:r>
      <w:r w:rsidR="008A74EB">
        <w:rPr>
          <w:rtl/>
        </w:rPr>
        <w:t>.</w:t>
      </w:r>
      <w:r w:rsidR="008A74EB" w:rsidRPr="00C9040A">
        <w:rPr>
          <w:rtl/>
        </w:rPr>
        <w:t xml:space="preserve"> وفي الوسائل : « ل</w:t>
      </w:r>
      <w:r w:rsidR="00DC0CD2">
        <w:rPr>
          <w:rFonts w:hint="cs"/>
          <w:rtl/>
        </w:rPr>
        <w:t>ـ</w:t>
      </w:r>
      <w:r w:rsidR="008A74EB" w:rsidRPr="00C9040A">
        <w:rPr>
          <w:rtl/>
        </w:rPr>
        <w:t>مّا أبطأه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أي يروّحه من الحرّ بال</w:t>
      </w:r>
      <w:r w:rsidR="00DC0CD2">
        <w:rPr>
          <w:rFonts w:hint="cs"/>
          <w:rtl/>
        </w:rPr>
        <w:t>ـ</w:t>
      </w:r>
      <w:r w:rsidR="008A74EB" w:rsidRPr="00C9040A">
        <w:rPr>
          <w:rtl/>
        </w:rPr>
        <w:t xml:space="preserve">مِرْوَحَة. </w:t>
      </w:r>
      <w:r w:rsidR="008A74EB" w:rsidRPr="00993B55">
        <w:rPr>
          <w:rStyle w:val="libFootnoteBoldChar"/>
          <w:rtl/>
        </w:rPr>
        <w:t>النهاية</w:t>
      </w:r>
      <w:r w:rsidR="008A74EB" w:rsidRPr="00C9040A">
        <w:rPr>
          <w:rtl/>
        </w:rPr>
        <w:t xml:space="preserve"> ، ج 2 ، ص 273 ( روح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ب ، ز ، ض ، ف ، بر ، بس ، بف » والبحار والكافي ، ح 14865 : « انتبه »</w:t>
      </w:r>
      <w:r w:rsidR="008A74EB">
        <w:rPr>
          <w:rtl/>
        </w:rPr>
        <w:t>.</w:t>
      </w:r>
      <w:r w:rsidR="008A74EB" w:rsidRPr="00C9040A">
        <w:rPr>
          <w:rtl/>
        </w:rPr>
        <w:t xml:space="preserve"> وفي الوسائل </w:t>
      </w:r>
      <w:r w:rsidR="008A74EB">
        <w:rPr>
          <w:rtl/>
        </w:rPr>
        <w:t xml:space="preserve">: </w:t>
      </w:r>
      <w:r w:rsidR="0084262C">
        <w:rPr>
          <w:rtl/>
        </w:rPr>
        <w:t>-</w:t>
      </w:r>
      <w:r w:rsidR="008A74EB" w:rsidRPr="00C9040A">
        <w:rPr>
          <w:rtl/>
        </w:rPr>
        <w:t xml:space="preserve"> « فلمّا تنبّه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الوسائل : « فقال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الوسائل : « ذاك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w:t>
      </w:r>
      <w:r w:rsidR="008A74EB" w:rsidRPr="00993B55">
        <w:rPr>
          <w:rStyle w:val="libFootnoteBoldChar"/>
          <w:rtl/>
        </w:rPr>
        <w:t>الكافي</w:t>
      </w:r>
      <w:r w:rsidR="008A74EB" w:rsidRPr="00C9040A">
        <w:rPr>
          <w:rtl/>
        </w:rPr>
        <w:t xml:space="preserve"> ، كتاب الروضة ، ح 14865</w:t>
      </w:r>
      <w:r w:rsidR="00DC0CD2">
        <w:rPr>
          <w:rFonts w:hint="cs"/>
          <w:rtl/>
        </w:rPr>
        <w:t>.</w:t>
      </w:r>
      <w:r w:rsidR="008A74EB" w:rsidRPr="00993B55">
        <w:rPr>
          <w:rStyle w:val="libFootnoteBoldChar"/>
          <w:rtl/>
        </w:rPr>
        <w:t>الوافي</w:t>
      </w:r>
      <w:r w:rsidR="008A74EB" w:rsidRPr="00C9040A">
        <w:rPr>
          <w:rtl/>
        </w:rPr>
        <w:t xml:space="preserve"> ، ج 4 ، ص 448 ، ح 2307 ؛ </w:t>
      </w:r>
      <w:r w:rsidR="008A74EB" w:rsidRPr="00993B55">
        <w:rPr>
          <w:rStyle w:val="libFootnoteBoldChar"/>
          <w:rtl/>
        </w:rPr>
        <w:t>الوسائل</w:t>
      </w:r>
      <w:r w:rsidR="008A74EB" w:rsidRPr="00C9040A">
        <w:rPr>
          <w:rtl/>
        </w:rPr>
        <w:t xml:space="preserve"> ، ج 15 ، ص 266 ، ح 20466 ؛ </w:t>
      </w:r>
      <w:r w:rsidR="008A74EB" w:rsidRPr="00993B55">
        <w:rPr>
          <w:rStyle w:val="libFootnoteBoldChar"/>
          <w:rtl/>
        </w:rPr>
        <w:t>البحار</w:t>
      </w:r>
      <w:r w:rsidR="008A74EB" w:rsidRPr="00C9040A">
        <w:rPr>
          <w:rtl/>
        </w:rPr>
        <w:t xml:space="preserve"> ، ج 47 ، ص 56 ، ح 97 ؛ وج 71 ، ص 405 ، ح 17.</w:t>
      </w:r>
    </w:p>
    <w:p w:rsidR="008A74EB" w:rsidRPr="00C9040A" w:rsidRDefault="006C577F" w:rsidP="004A4E41">
      <w:pPr>
        <w:pStyle w:val="libFootnote0"/>
        <w:rPr>
          <w:rtl/>
          <w:lang w:bidi="fa-IR"/>
        </w:rPr>
      </w:pPr>
      <w:r>
        <w:rPr>
          <w:rtl/>
        </w:rPr>
        <w:t>(11).</w:t>
      </w:r>
      <w:r w:rsidR="008A74EB" w:rsidRPr="00C9040A">
        <w:rPr>
          <w:rtl/>
        </w:rPr>
        <w:t xml:space="preserve"> في الزهد : « الغنيّ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الْمُتَعَفِّفَ </w:t>
      </w:r>
      <w:r w:rsidR="006C577F" w:rsidRPr="006C577F">
        <w:rPr>
          <w:rStyle w:val="libFootnotenumChar"/>
          <w:rtl/>
        </w:rPr>
        <w:t>(1)</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95758B">
        <w:rPr>
          <w:rtl/>
        </w:rPr>
        <w:t>1819</w:t>
      </w:r>
      <w:r w:rsidRPr="00261CB0">
        <w:rPr>
          <w:rStyle w:val="libBold2Char"/>
          <w:rtl/>
        </w:rPr>
        <w:t xml:space="preserve"> / 9.</w:t>
      </w:r>
      <w:r w:rsidRPr="00C9040A">
        <w:rPr>
          <w:rtl/>
          <w:lang w:bidi="fa-IR"/>
        </w:rPr>
        <w:t xml:space="preserve"> أَبُو عَلِيٍّ الْأَشْعَرِيُّ ، عَنْ مُحَمَّدِ بْنِ عَلِيِّ بْنِ مَحْبُوبٍ ، عَنْ أَيُّوبَ بْنِ نُوحٍ ، عَنْ عَبَّاسِ بْنِ عَامِرٍ ، عَنْ رَبِيعِ بْنِ مُحَمَّدٍ الْمُسْلِيِّ ، عَنْ أَبِي مُحَمَّدٍ ، عَنْ </w:t>
      </w:r>
      <w:r w:rsidR="006C577F" w:rsidRPr="006C577F">
        <w:rPr>
          <w:rStyle w:val="libFootnotenumChar"/>
          <w:rtl/>
        </w:rPr>
        <w:t>(3)</w:t>
      </w:r>
      <w:r w:rsidRPr="00C9040A">
        <w:rPr>
          <w:rtl/>
          <w:lang w:bidi="fa-IR"/>
        </w:rPr>
        <w:t xml:space="preserve"> عِمْرَانَ ، عَنْ سَعِيدِ بْنِ يَسَارٍ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إِذَا وَقَعَ بَيْنَ رَجُلَيْنِ مُنَازَعَةٌ نَزَلَ مَلَكَانِ ، فَيَقُولَانِ لِلسَّفِيهِ مِنْهُمَا : قُلْتَ وَقُلْتَ </w:t>
      </w:r>
      <w:r w:rsidR="006C577F" w:rsidRPr="006C577F">
        <w:rPr>
          <w:rStyle w:val="libFootnotenumChar"/>
          <w:rtl/>
        </w:rPr>
        <w:t>(4)</w:t>
      </w:r>
      <w:r w:rsidRPr="00C9040A">
        <w:rPr>
          <w:rtl/>
          <w:lang w:bidi="fa-IR"/>
        </w:rPr>
        <w:t xml:space="preserve"> وَأَنْتَ أَهْلٌ لِمَا قُلْتَ ، سَتُجْزى </w:t>
      </w:r>
      <w:r w:rsidR="006C577F" w:rsidRPr="006C577F">
        <w:rPr>
          <w:rStyle w:val="libFootnotenumChar"/>
          <w:rtl/>
        </w:rPr>
        <w:t>(5)</w:t>
      </w:r>
      <w:r w:rsidRPr="00C9040A">
        <w:rPr>
          <w:rtl/>
          <w:lang w:bidi="fa-IR"/>
        </w:rPr>
        <w:t xml:space="preserve"> بِمَا قُلْتَ ، وَيَقُولَانِ لِلْحَلِيمِ مِنْهُمَا : صَبَرْتَ وَحَلُمْتَ ، سَيَغْفِرُ اللهُ </w:t>
      </w:r>
      <w:r w:rsidR="006C577F" w:rsidRPr="006C577F">
        <w:rPr>
          <w:rStyle w:val="libFootnotenumChar"/>
          <w:rtl/>
        </w:rPr>
        <w:t>(6)</w:t>
      </w:r>
      <w:r w:rsidRPr="005B567D">
        <w:rPr>
          <w:rStyle w:val="libFootnotenumChar"/>
          <w:rtl/>
        </w:rPr>
        <w:t xml:space="preserve"> </w:t>
      </w:r>
      <w:r w:rsidRPr="00C9040A">
        <w:rPr>
          <w:rtl/>
          <w:lang w:bidi="fa-IR"/>
        </w:rPr>
        <w:t xml:space="preserve">لَكَ إِنْ أَتْمَمْتَ ذلِكَ » قَالَ </w:t>
      </w:r>
      <w:r w:rsidR="006C577F" w:rsidRPr="006C577F">
        <w:rPr>
          <w:rStyle w:val="libFootnotenumChar"/>
          <w:rtl/>
        </w:rPr>
        <w:t>(7)</w:t>
      </w:r>
      <w:r w:rsidRPr="00C9040A">
        <w:rPr>
          <w:rtl/>
          <w:lang w:bidi="fa-IR"/>
        </w:rPr>
        <w:t xml:space="preserve"> : « فَإِنْ </w:t>
      </w:r>
      <w:r w:rsidR="006C577F" w:rsidRPr="006C577F">
        <w:rPr>
          <w:rStyle w:val="libFootnotenumChar"/>
          <w:rtl/>
        </w:rPr>
        <w:t>(8)</w:t>
      </w:r>
      <w:r w:rsidRPr="00C9040A">
        <w:rPr>
          <w:rtl/>
          <w:lang w:bidi="fa-IR"/>
        </w:rPr>
        <w:t xml:space="preserve"> رَدَّ الْحَلِيمُ عَلَيْهِ ارْتَفَعَ الْمَلَكَانِ »</w:t>
      </w:r>
      <w:r>
        <w:rPr>
          <w:rtl/>
          <w:lang w:bidi="fa-IR"/>
        </w:rPr>
        <w:t>.</w:t>
      </w:r>
      <w:r w:rsidRPr="00C9040A">
        <w:rPr>
          <w:rtl/>
          <w:lang w:bidi="fa-IR"/>
        </w:rPr>
        <w:t xml:space="preserve"> </w:t>
      </w:r>
      <w:r w:rsidR="006C577F" w:rsidRPr="006C577F">
        <w:rPr>
          <w:rStyle w:val="libFootnotenumChar"/>
          <w:rtl/>
        </w:rPr>
        <w:t>(9)</w:t>
      </w:r>
      <w:r w:rsidRPr="00C9040A">
        <w:rPr>
          <w:rtl/>
          <w:lang w:bidi="fa-IR"/>
        </w:rPr>
        <w:t xml:space="preserve"> ‌</w:t>
      </w:r>
    </w:p>
    <w:p w:rsidR="008A74EB" w:rsidRPr="00C9040A" w:rsidRDefault="008A74EB" w:rsidP="008A74EB">
      <w:pPr>
        <w:pStyle w:val="Heading2Center"/>
        <w:rPr>
          <w:rtl/>
          <w:lang w:bidi="fa-IR"/>
        </w:rPr>
      </w:pPr>
      <w:bookmarkStart w:id="178" w:name="_Toc343795647"/>
      <w:bookmarkStart w:id="179" w:name="_Toc459810771"/>
      <w:bookmarkStart w:id="180" w:name="_Toc35348677"/>
      <w:r w:rsidRPr="00C9040A">
        <w:rPr>
          <w:rtl/>
          <w:lang w:bidi="fa-IR"/>
        </w:rPr>
        <w:t>56</w:t>
      </w:r>
      <w:r>
        <w:rPr>
          <w:rtl/>
          <w:lang w:bidi="fa-IR"/>
        </w:rPr>
        <w:t xml:space="preserve"> </w:t>
      </w:r>
      <w:r w:rsidR="0084262C">
        <w:rPr>
          <w:rtl/>
          <w:lang w:bidi="fa-IR"/>
        </w:rPr>
        <w:t>-</w:t>
      </w:r>
      <w:r>
        <w:rPr>
          <w:rtl/>
          <w:lang w:bidi="fa-IR"/>
        </w:rPr>
        <w:t xml:space="preserve"> </w:t>
      </w:r>
      <w:r w:rsidRPr="00C9040A">
        <w:rPr>
          <w:rtl/>
          <w:lang w:bidi="fa-IR"/>
        </w:rPr>
        <w:t>بَابُ الصَّمْتِ وَحِفْظِ اللِّسَانِ‌</w:t>
      </w:r>
      <w:bookmarkEnd w:id="178"/>
      <w:bookmarkEnd w:id="179"/>
      <w:bookmarkEnd w:id="180"/>
    </w:p>
    <w:p w:rsidR="008A74EB" w:rsidRPr="00C9040A" w:rsidRDefault="008A74EB" w:rsidP="008A74EB">
      <w:pPr>
        <w:pStyle w:val="libNormal"/>
        <w:rPr>
          <w:rtl/>
          <w:lang w:bidi="fa-IR"/>
        </w:rPr>
      </w:pPr>
      <w:r w:rsidRPr="0095758B">
        <w:rPr>
          <w:rtl/>
        </w:rPr>
        <w:t>1820</w:t>
      </w:r>
      <w:r w:rsidRPr="00261CB0">
        <w:rPr>
          <w:rStyle w:val="libBold2Char"/>
          <w:rtl/>
        </w:rPr>
        <w:t xml:space="preserve"> / 1.</w:t>
      </w:r>
      <w:r w:rsidRPr="00C9040A">
        <w:rPr>
          <w:rtl/>
          <w:lang w:bidi="fa-IR"/>
        </w:rPr>
        <w:t xml:space="preserve"> مُحَمَّدُ بْنُ يَحْيى ، عَنْ أَحْمَدَ بْنِ مُحَمَّدِ بْنِ عِيسى ، عَنْ أَحْمَدَ بْنِ مُحَمَّدِ بْنِ أَبِي نَصْرٍ ، قَالَ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تفسير العيّاشي : « الضعيف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الزهد</w:t>
      </w:r>
      <w:r w:rsidR="008A74EB" w:rsidRPr="00C9040A">
        <w:rPr>
          <w:rtl/>
        </w:rPr>
        <w:t xml:space="preserve"> ، ص 70 ، ح 20 ، عن عليّ بن النعمان ، عن عمرو بن شمر ، عن جابر ، عن أبي عبدالله </w:t>
      </w:r>
      <w:r w:rsidR="00117575" w:rsidRPr="00117575">
        <w:rPr>
          <w:rStyle w:val="libFootnoteAlaemChar"/>
          <w:rtl/>
        </w:rPr>
        <w:t>عليه‌السلام</w:t>
      </w:r>
      <w:r w:rsidR="008A74EB" w:rsidRPr="00C9040A">
        <w:rPr>
          <w:rtl/>
        </w:rPr>
        <w:t xml:space="preserve"> ، مع زيادة في آخره ؛ </w:t>
      </w:r>
      <w:r w:rsidR="008A74EB" w:rsidRPr="0034021D">
        <w:rPr>
          <w:rStyle w:val="libFootnoteBoldChar"/>
          <w:rtl/>
        </w:rPr>
        <w:t>الأمالي للصدوق</w:t>
      </w:r>
      <w:r w:rsidR="008A74EB" w:rsidRPr="00C9040A">
        <w:rPr>
          <w:rtl/>
        </w:rPr>
        <w:t xml:space="preserve"> ، ص 254 ، المجلس 44 ، ح 4 ، بسند آخر عن جابر. </w:t>
      </w:r>
      <w:r w:rsidR="008A74EB" w:rsidRPr="00993B55">
        <w:rPr>
          <w:rStyle w:val="libFootnoteBoldChar"/>
          <w:rtl/>
        </w:rPr>
        <w:t>تفسير العيّاشي</w:t>
      </w:r>
      <w:r w:rsidR="008A74EB" w:rsidRPr="00C9040A">
        <w:rPr>
          <w:rtl/>
        </w:rPr>
        <w:t xml:space="preserve"> ، ج 1 ، ص 48 ، ح 63 ، عن جابر ؛ </w:t>
      </w:r>
      <w:r w:rsidR="008A74EB" w:rsidRPr="00993B55">
        <w:rPr>
          <w:rStyle w:val="libFootnoteBoldChar"/>
          <w:rtl/>
        </w:rPr>
        <w:t>تحف العقول</w:t>
      </w:r>
      <w:r w:rsidR="008A74EB" w:rsidRPr="00C9040A">
        <w:rPr>
          <w:rtl/>
        </w:rPr>
        <w:t xml:space="preserve"> ، ص 300 ، عن أبي جعفر </w:t>
      </w:r>
      <w:r w:rsidR="00117575" w:rsidRPr="00117575">
        <w:rPr>
          <w:rStyle w:val="libFootnoteAlaemChar"/>
          <w:rtl/>
        </w:rPr>
        <w:t>عليه‌السلام</w:t>
      </w:r>
      <w:r w:rsidR="008A74EB" w:rsidRPr="00C9040A">
        <w:rPr>
          <w:rtl/>
        </w:rPr>
        <w:t xml:space="preserve"> ، وفي الثلاثة الأخيرة من دون الإسناد إلى النبيّ </w:t>
      </w:r>
      <w:r w:rsidR="004A4E41" w:rsidRPr="00AC2E2F">
        <w:rPr>
          <w:rStyle w:val="libFootnoteAlaemChar"/>
          <w:rtl/>
        </w:rPr>
        <w:t>صلى‌الله‌عليه‌وآله</w:t>
      </w:r>
      <w:r w:rsidR="008A74EB" w:rsidRPr="00C9040A">
        <w:rPr>
          <w:rtl/>
        </w:rPr>
        <w:t xml:space="preserve"> ، ومع زيادة في أوّله</w:t>
      </w:r>
      <w:r w:rsidR="00CB7D0F">
        <w:rPr>
          <w:rFonts w:hint="cs"/>
          <w:rtl/>
        </w:rPr>
        <w:t>.</w:t>
      </w:r>
      <w:r w:rsidR="008A74EB" w:rsidRPr="00993B55">
        <w:rPr>
          <w:rStyle w:val="libFootnoteBoldChar"/>
          <w:rtl/>
        </w:rPr>
        <w:t>الوافي</w:t>
      </w:r>
      <w:r w:rsidR="008A74EB" w:rsidRPr="00C9040A">
        <w:rPr>
          <w:rtl/>
        </w:rPr>
        <w:t xml:space="preserve"> ، ج 4 ، ص 448 ، ح 2308 ؛ </w:t>
      </w:r>
      <w:r w:rsidR="008A74EB" w:rsidRPr="00993B55">
        <w:rPr>
          <w:rStyle w:val="libFootnoteBoldChar"/>
          <w:rtl/>
        </w:rPr>
        <w:t>الوسائل</w:t>
      </w:r>
      <w:r w:rsidR="008A74EB" w:rsidRPr="00C9040A">
        <w:rPr>
          <w:rtl/>
        </w:rPr>
        <w:t xml:space="preserve"> ، ج 15 ، ص 266 ، ح 20465 ؛ </w:t>
      </w:r>
      <w:r w:rsidR="008A74EB" w:rsidRPr="00993B55">
        <w:rPr>
          <w:rStyle w:val="libFootnoteBoldChar"/>
          <w:rtl/>
        </w:rPr>
        <w:t>البحار</w:t>
      </w:r>
      <w:r w:rsidR="008A74EB" w:rsidRPr="00C9040A">
        <w:rPr>
          <w:rtl/>
        </w:rPr>
        <w:t xml:space="preserve"> ، ج 71 ، ص 405 ، ح 18.</w:t>
      </w:r>
    </w:p>
    <w:p w:rsidR="008A74EB" w:rsidRPr="00C9040A" w:rsidRDefault="006C577F" w:rsidP="004A4E41">
      <w:pPr>
        <w:pStyle w:val="libFootnote0"/>
        <w:rPr>
          <w:rtl/>
          <w:lang w:bidi="fa-IR"/>
        </w:rPr>
      </w:pPr>
      <w:r>
        <w:rPr>
          <w:rtl/>
        </w:rPr>
        <w:t>(3).</w:t>
      </w:r>
      <w:r w:rsidR="008A74EB" w:rsidRPr="00C9040A">
        <w:rPr>
          <w:rtl/>
        </w:rPr>
        <w:t xml:space="preserve"> في « ز » : « عن أبي عمران »</w:t>
      </w:r>
      <w:r w:rsidR="008A74EB">
        <w:rPr>
          <w:rtl/>
        </w:rPr>
        <w:t>.</w:t>
      </w:r>
    </w:p>
    <w:p w:rsidR="008A74EB" w:rsidRPr="004A4E41" w:rsidRDefault="006C577F" w:rsidP="004A4E41">
      <w:pPr>
        <w:pStyle w:val="libFootnote0"/>
        <w:rPr>
          <w:rStyle w:val="libFootnote0Char"/>
          <w:rtl/>
        </w:rPr>
      </w:pPr>
      <w:r>
        <w:rPr>
          <w:rtl/>
        </w:rPr>
        <w:t>(4).</w:t>
      </w:r>
      <w:r w:rsidR="008A74EB" w:rsidRPr="00C9040A">
        <w:rPr>
          <w:rtl/>
        </w:rPr>
        <w:t xml:space="preserve"> تكرار الفعل لبيان كثرة الشتم وقول الباطل. وربّما يقرأ الثاني بالفاء ، كما هو في بعض النسخ. يقال : فال‌الرجل في رأيه وفيّل ، إذا لم يصب فيه ، ورجل فايل الرأي. وقال المجلسي : « والظاهر أنّه تصحيف »</w:t>
      </w:r>
      <w:r w:rsidR="008A74EB">
        <w:rPr>
          <w:rtl/>
        </w:rPr>
        <w:t>.</w:t>
      </w:r>
    </w:p>
    <w:tbl>
      <w:tblPr>
        <w:tblStyle w:val="TableGrid"/>
        <w:bidiVisual/>
        <w:tblW w:w="0" w:type="auto"/>
        <w:tblLook w:val="04A0" w:firstRow="1" w:lastRow="0" w:firstColumn="1" w:lastColumn="0" w:noHBand="0" w:noVBand="1"/>
      </w:tblPr>
      <w:tblGrid>
        <w:gridCol w:w="4006"/>
        <w:gridCol w:w="4006"/>
      </w:tblGrid>
      <w:tr w:rsidR="00CB7D0F" w:rsidTr="00CB7D0F">
        <w:tc>
          <w:tcPr>
            <w:tcW w:w="4006" w:type="dxa"/>
          </w:tcPr>
          <w:p w:rsidR="00CB7D0F" w:rsidRDefault="00CB7D0F" w:rsidP="004A4E41">
            <w:pPr>
              <w:pStyle w:val="libFootnote0"/>
              <w:rPr>
                <w:rtl/>
              </w:rPr>
            </w:pPr>
            <w:r>
              <w:rPr>
                <w:rtl/>
              </w:rPr>
              <w:t>(5).</w:t>
            </w:r>
            <w:r w:rsidRPr="00C9040A">
              <w:rPr>
                <w:rtl/>
              </w:rPr>
              <w:t xml:space="preserve"> في « بر » والوسائل : « وستجزى »</w:t>
            </w:r>
            <w:r>
              <w:rPr>
                <w:rtl/>
              </w:rPr>
              <w:t>.</w:t>
            </w:r>
          </w:p>
        </w:tc>
        <w:tc>
          <w:tcPr>
            <w:tcW w:w="4006" w:type="dxa"/>
          </w:tcPr>
          <w:p w:rsidR="00CB7D0F" w:rsidRDefault="00CB7D0F" w:rsidP="004A4E41">
            <w:pPr>
              <w:pStyle w:val="libFootnote0"/>
              <w:rPr>
                <w:rtl/>
              </w:rPr>
            </w:pPr>
            <w:r>
              <w:rPr>
                <w:rtl/>
              </w:rPr>
              <w:t xml:space="preserve">(6). </w:t>
            </w:r>
            <w:r w:rsidRPr="00C9040A">
              <w:rPr>
                <w:rtl/>
              </w:rPr>
              <w:t xml:space="preserve">في « بس » وحاشية « ج » والوسائل </w:t>
            </w:r>
            <w:r>
              <w:rPr>
                <w:rtl/>
              </w:rPr>
              <w:t>: - «الله</w:t>
            </w:r>
            <w:r w:rsidRPr="00C9040A">
              <w:rPr>
                <w:rtl/>
              </w:rPr>
              <w:t>»</w:t>
            </w:r>
            <w:r>
              <w:rPr>
                <w:rtl/>
              </w:rPr>
              <w:t>.</w:t>
            </w:r>
          </w:p>
        </w:tc>
      </w:tr>
      <w:tr w:rsidR="00CB7D0F" w:rsidTr="00CB7D0F">
        <w:tc>
          <w:tcPr>
            <w:tcW w:w="4006" w:type="dxa"/>
          </w:tcPr>
          <w:p w:rsidR="00CB7D0F" w:rsidRDefault="00CB7D0F" w:rsidP="004A4E41">
            <w:pPr>
              <w:pStyle w:val="libFootnote0"/>
              <w:rPr>
                <w:rtl/>
              </w:rPr>
            </w:pPr>
            <w:r>
              <w:rPr>
                <w:rtl/>
              </w:rPr>
              <w:t>(7).</w:t>
            </w:r>
            <w:r w:rsidRPr="00C9040A">
              <w:rPr>
                <w:rtl/>
              </w:rPr>
              <w:t xml:space="preserve"> في « د » والوسائل </w:t>
            </w:r>
            <w:r>
              <w:rPr>
                <w:rtl/>
              </w:rPr>
              <w:t>: -</w:t>
            </w:r>
            <w:r w:rsidRPr="00C9040A">
              <w:rPr>
                <w:rtl/>
              </w:rPr>
              <w:t xml:space="preserve"> « قال »</w:t>
            </w:r>
            <w:r>
              <w:rPr>
                <w:rtl/>
              </w:rPr>
              <w:t>.</w:t>
            </w:r>
          </w:p>
        </w:tc>
        <w:tc>
          <w:tcPr>
            <w:tcW w:w="4006" w:type="dxa"/>
          </w:tcPr>
          <w:p w:rsidR="00CB7D0F" w:rsidRDefault="00CB7D0F" w:rsidP="004A4E41">
            <w:pPr>
              <w:pStyle w:val="libFootnote0"/>
              <w:rPr>
                <w:rtl/>
              </w:rPr>
            </w:pPr>
            <w:r>
              <w:rPr>
                <w:rtl/>
              </w:rPr>
              <w:t>(8).</w:t>
            </w:r>
            <w:r w:rsidRPr="00C9040A">
              <w:rPr>
                <w:rtl/>
              </w:rPr>
              <w:t xml:space="preserve"> في الوسائل : « وإن »</w:t>
            </w:r>
            <w:r>
              <w:rPr>
                <w:rtl/>
              </w:rPr>
              <w:t>.</w:t>
            </w:r>
          </w:p>
        </w:tc>
      </w:tr>
    </w:tbl>
    <w:p w:rsidR="008A74EB" w:rsidRPr="00C9040A" w:rsidRDefault="006C577F" w:rsidP="004A4E41">
      <w:pPr>
        <w:pStyle w:val="libFootnote0"/>
        <w:rPr>
          <w:rtl/>
          <w:lang w:bidi="fa-IR"/>
        </w:rPr>
      </w:pPr>
      <w:r>
        <w:rPr>
          <w:rtl/>
        </w:rPr>
        <w:t>(9).</w:t>
      </w:r>
      <w:r w:rsidR="008A74EB" w:rsidRPr="00C9040A">
        <w:rPr>
          <w:rtl/>
        </w:rPr>
        <w:t xml:space="preserve"> </w:t>
      </w:r>
      <w:r w:rsidR="008A74EB" w:rsidRPr="00993B55">
        <w:rPr>
          <w:rStyle w:val="libFootnoteBoldChar"/>
          <w:rtl/>
        </w:rPr>
        <w:t>الوافي</w:t>
      </w:r>
      <w:r w:rsidR="008A74EB" w:rsidRPr="00C9040A">
        <w:rPr>
          <w:rtl/>
        </w:rPr>
        <w:t xml:space="preserve"> ، ج 4 ، ص 448 ، ح 2309 ؛ </w:t>
      </w:r>
      <w:r w:rsidR="008A74EB" w:rsidRPr="00993B55">
        <w:rPr>
          <w:rStyle w:val="libFootnoteBoldChar"/>
          <w:rtl/>
        </w:rPr>
        <w:t>الوسائل</w:t>
      </w:r>
      <w:r w:rsidR="008A74EB" w:rsidRPr="00C9040A">
        <w:rPr>
          <w:rtl/>
        </w:rPr>
        <w:t xml:space="preserve"> ، ج 15 ، ص 267 ، ح 20470 ؛ </w:t>
      </w:r>
      <w:r w:rsidR="008A74EB" w:rsidRPr="00993B55">
        <w:rPr>
          <w:rStyle w:val="libFootnoteBoldChar"/>
          <w:rtl/>
        </w:rPr>
        <w:t>البحار</w:t>
      </w:r>
      <w:r w:rsidR="008A74EB" w:rsidRPr="00C9040A">
        <w:rPr>
          <w:rtl/>
        </w:rPr>
        <w:t xml:space="preserve"> ، ج 71 ، ص 406 ، ح 19.</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قَالَ أَبُو الْحَسَنِ الرِّضَا </w:t>
      </w:r>
      <w:r w:rsidR="006C577F" w:rsidRPr="006C577F">
        <w:rPr>
          <w:rStyle w:val="libFootnotenumChar"/>
          <w:rtl/>
        </w:rPr>
        <w:t>(1)</w:t>
      </w:r>
      <w:r w:rsidRPr="00C9040A">
        <w:rPr>
          <w:rtl/>
          <w:lang w:bidi="fa-IR"/>
        </w:rPr>
        <w:t xml:space="preserve"> </w:t>
      </w:r>
      <w:r w:rsidRPr="0003660B">
        <w:rPr>
          <w:rStyle w:val="libAlaemChar"/>
          <w:rtl/>
        </w:rPr>
        <w:t>عليه‌السلام</w:t>
      </w:r>
      <w:r w:rsidRPr="00C9040A">
        <w:rPr>
          <w:rtl/>
          <w:lang w:bidi="fa-IR"/>
        </w:rPr>
        <w:t xml:space="preserve"> : « مِنْ عَلَامَاتِ الْفِقْهِ </w:t>
      </w:r>
      <w:r w:rsidR="006C577F" w:rsidRPr="006C577F">
        <w:rPr>
          <w:rStyle w:val="libFootnotenumChar"/>
          <w:rtl/>
        </w:rPr>
        <w:t>(2)</w:t>
      </w:r>
      <w:r w:rsidRPr="00C9040A">
        <w:rPr>
          <w:rtl/>
          <w:lang w:bidi="fa-IR"/>
        </w:rPr>
        <w:t xml:space="preserve"> : الْحِلْمُ ، وَالْعِلْمُ </w:t>
      </w:r>
      <w:r w:rsidR="006C577F" w:rsidRPr="006C577F">
        <w:rPr>
          <w:rStyle w:val="libFootnotenumChar"/>
          <w:rtl/>
        </w:rPr>
        <w:t>(3)</w:t>
      </w:r>
      <w:r w:rsidRPr="00C9040A">
        <w:rPr>
          <w:rtl/>
          <w:lang w:bidi="fa-IR"/>
        </w:rPr>
        <w:t xml:space="preserve"> ، وَالصَّمْتُ ؛ إِنَّ الصَّمْتَ بَابٌ مِنْ أَبْوَابِ الْحِكْمَةِ ؛ إِنَّ </w:t>
      </w:r>
      <w:r w:rsidR="006C577F" w:rsidRPr="006C577F">
        <w:rPr>
          <w:rStyle w:val="libFootnotenumChar"/>
          <w:rtl/>
        </w:rPr>
        <w:t>(4)</w:t>
      </w:r>
      <w:r w:rsidRPr="00C9040A">
        <w:rPr>
          <w:rtl/>
          <w:lang w:bidi="fa-IR"/>
        </w:rPr>
        <w:t xml:space="preserve"> الصَّمْتَ يَكْسِبُ الْمَحَبَّةَ </w:t>
      </w:r>
      <w:r w:rsidR="006C577F" w:rsidRPr="006C577F">
        <w:rPr>
          <w:rStyle w:val="libFootnotenumChar"/>
          <w:rtl/>
        </w:rPr>
        <w:t>(5)</w:t>
      </w:r>
      <w:r w:rsidRPr="00C9040A">
        <w:rPr>
          <w:rtl/>
          <w:lang w:bidi="fa-IR"/>
        </w:rPr>
        <w:t xml:space="preserve"> ؛ إِنَّهُ </w:t>
      </w:r>
      <w:r w:rsidR="006C577F" w:rsidRPr="006C577F">
        <w:rPr>
          <w:rStyle w:val="libFootnotenumChar"/>
          <w:rtl/>
        </w:rPr>
        <w:t>(6)</w:t>
      </w:r>
      <w:r w:rsidRPr="005B567D">
        <w:rPr>
          <w:rStyle w:val="libFootnotenumChar"/>
          <w:rtl/>
        </w:rPr>
        <w:t xml:space="preserve"> </w:t>
      </w:r>
      <w:r w:rsidRPr="00C9040A">
        <w:rPr>
          <w:rtl/>
          <w:lang w:bidi="fa-IR"/>
        </w:rPr>
        <w:t>دَلِيلٌ عَلى كُلِّ خَيْرٍ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95758B">
        <w:rPr>
          <w:rtl/>
        </w:rPr>
        <w:t>1821</w:t>
      </w:r>
      <w:r w:rsidRPr="00261CB0">
        <w:rPr>
          <w:rStyle w:val="libBold2Char"/>
          <w:rtl/>
        </w:rPr>
        <w:t xml:space="preserve"> / 2.</w:t>
      </w:r>
      <w:r w:rsidRPr="00C9040A">
        <w:rPr>
          <w:rtl/>
          <w:lang w:bidi="fa-IR"/>
        </w:rPr>
        <w:t xml:space="preserve"> عَنْهُ </w:t>
      </w:r>
      <w:r w:rsidR="006C577F" w:rsidRPr="006C577F">
        <w:rPr>
          <w:rStyle w:val="libFootnotenumChar"/>
          <w:rtl/>
        </w:rPr>
        <w:t>(8)</w:t>
      </w:r>
      <w:r w:rsidRPr="00C9040A">
        <w:rPr>
          <w:rtl/>
          <w:lang w:bidi="fa-IR"/>
        </w:rPr>
        <w:t xml:space="preserve"> ، عَنِ الْحَسَنِ بْنِ مَحْبُوبٍ ، عَنْ عَبْدِ اللهِ بْنِ سِنَانٍ ، عَنْ أَبِي‌حَمْزَةَ ، قَالَ :</w:t>
      </w:r>
    </w:p>
    <w:p w:rsidR="008A74EB" w:rsidRPr="00C9040A" w:rsidRDefault="008A74EB" w:rsidP="008A74EB">
      <w:pPr>
        <w:pStyle w:val="libNormal"/>
        <w:rPr>
          <w:rtl/>
          <w:lang w:bidi="fa-IR"/>
        </w:rPr>
      </w:pPr>
      <w:r w:rsidRPr="00C9040A">
        <w:rPr>
          <w:rtl/>
          <w:lang w:bidi="fa-IR"/>
        </w:rPr>
        <w:t xml:space="preserve">سَمِعْتُ أَبَا جَعْفَرٍ </w:t>
      </w:r>
      <w:r w:rsidRPr="0003660B">
        <w:rPr>
          <w:rStyle w:val="libAlaemChar"/>
          <w:rtl/>
        </w:rPr>
        <w:t>عليه‌السلام</w:t>
      </w:r>
      <w:r w:rsidRPr="00C9040A">
        <w:rPr>
          <w:rtl/>
          <w:lang w:bidi="fa-IR"/>
        </w:rPr>
        <w:t xml:space="preserve"> يَقُولُ : « إِنَّمَا </w:t>
      </w:r>
      <w:r w:rsidR="006C577F" w:rsidRPr="006C577F">
        <w:rPr>
          <w:rStyle w:val="libFootnotenumChar"/>
          <w:rtl/>
        </w:rPr>
        <w:t>(9)</w:t>
      </w:r>
      <w:r w:rsidRPr="00C9040A">
        <w:rPr>
          <w:rtl/>
          <w:lang w:bidi="fa-IR"/>
        </w:rPr>
        <w:t xml:space="preserve"> شِيعَتُنَا الْخُرْسُ </w:t>
      </w:r>
      <w:r w:rsidR="006C577F" w:rsidRPr="006C577F">
        <w:rPr>
          <w:rStyle w:val="libFootnotenumChar"/>
          <w:rtl/>
        </w:rPr>
        <w:t>(10)</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(11)</w:t>
      </w:r>
      <w:r w:rsidRPr="00C9040A">
        <w:rPr>
          <w:rtl/>
          <w:lang w:bidi="fa-IR"/>
        </w:rPr>
        <w:t xml:space="preserve"> ‌</w:t>
      </w:r>
    </w:p>
    <w:p w:rsidR="008A74EB" w:rsidRPr="00C9040A" w:rsidRDefault="008A74EB" w:rsidP="008A74EB">
      <w:pPr>
        <w:pStyle w:val="libNormal"/>
        <w:rPr>
          <w:rtl/>
          <w:lang w:bidi="fa-IR"/>
        </w:rPr>
      </w:pPr>
      <w:r w:rsidRPr="0095758B">
        <w:rPr>
          <w:rtl/>
        </w:rPr>
        <w:t>1822</w:t>
      </w:r>
      <w:r w:rsidRPr="00261CB0">
        <w:rPr>
          <w:rStyle w:val="libBold2Char"/>
          <w:rtl/>
        </w:rPr>
        <w:t xml:space="preserve"> / 3.</w:t>
      </w:r>
      <w:r w:rsidRPr="00C9040A">
        <w:rPr>
          <w:rtl/>
          <w:lang w:bidi="fa-IR"/>
        </w:rPr>
        <w:t xml:space="preserve"> عَنْهُ </w:t>
      </w:r>
      <w:r w:rsidR="006C577F" w:rsidRPr="006C577F">
        <w:rPr>
          <w:rStyle w:val="libFootnotenumChar"/>
          <w:rtl/>
        </w:rPr>
        <w:t>(12)</w:t>
      </w:r>
      <w:r w:rsidRPr="00C9040A">
        <w:rPr>
          <w:rtl/>
          <w:lang w:bidi="fa-IR"/>
        </w:rPr>
        <w:t xml:space="preserve"> ، عَنِ ابْنِ مَحْبُوبٍ </w:t>
      </w:r>
      <w:r w:rsidRPr="005B567D">
        <w:rPr>
          <w:rStyle w:val="libFootnotenumChar"/>
          <w:rtl/>
        </w:rPr>
        <w:t>(13)</w:t>
      </w:r>
      <w:r w:rsidRPr="00C9040A">
        <w:rPr>
          <w:rtl/>
          <w:lang w:bidi="fa-IR"/>
        </w:rPr>
        <w:t xml:space="preserve"> ، عَنْ أَبِي عَلِيٍّ‌</w:t>
      </w:r>
      <w:r w:rsidR="008126F2">
        <w:rPr>
          <w:rFonts w:hint="cs"/>
          <w:rtl/>
          <w:lang w:bidi="fa-IR"/>
        </w:rPr>
        <w:t>.......................</w:t>
      </w:r>
      <w:r w:rsidR="008126F2">
        <w:rPr>
          <w:rFonts w:hint="cs"/>
          <w:rtl/>
          <w:lang w:bidi="fa-IR"/>
        </w:rPr>
        <w:tab/>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ج ، ز ، ص ، ف ، بر ، بف ، جر » والوسائل والعيون والخصال </w:t>
      </w:r>
      <w:r w:rsidR="008A74EB">
        <w:rPr>
          <w:rtl/>
        </w:rPr>
        <w:t xml:space="preserve">: </w:t>
      </w:r>
      <w:r w:rsidR="0084262C">
        <w:rPr>
          <w:rtl/>
        </w:rPr>
        <w:t>-</w:t>
      </w:r>
      <w:r w:rsidR="008A74EB" w:rsidRPr="00C9040A">
        <w:rPr>
          <w:rtl/>
        </w:rPr>
        <w:t xml:space="preserve"> « الرضا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ز » والعيون : « الفقيه »</w:t>
      </w:r>
      <w:r w:rsidR="008A74EB">
        <w:rPr>
          <w:rtl/>
        </w:rPr>
        <w:t>.</w:t>
      </w:r>
    </w:p>
    <w:p w:rsidR="008A74EB" w:rsidRPr="004A4E41" w:rsidRDefault="006C577F" w:rsidP="004A4E41">
      <w:pPr>
        <w:pStyle w:val="libFootnote0"/>
        <w:rPr>
          <w:rStyle w:val="libFootnote0Char"/>
          <w:rtl/>
        </w:rPr>
      </w:pPr>
      <w:r>
        <w:rPr>
          <w:rtl/>
        </w:rPr>
        <w:t>(3).</w:t>
      </w:r>
      <w:r w:rsidR="008A74EB" w:rsidRPr="00C9040A">
        <w:rPr>
          <w:rtl/>
        </w:rPr>
        <w:t xml:space="preserve"> في الوسائل : « العلم والحلم »</w:t>
      </w:r>
      <w:r w:rsidR="008A74EB">
        <w:rPr>
          <w:rtl/>
        </w:rPr>
        <w:t>.</w:t>
      </w:r>
      <w:r w:rsidR="008A74EB" w:rsidRPr="00C9040A">
        <w:rPr>
          <w:rtl/>
        </w:rPr>
        <w:t xml:space="preserve"> ا</w:t>
      </w:r>
      <w:r w:rsidR="002E12AD">
        <w:rPr>
          <w:rFonts w:hint="cs"/>
          <w:rtl/>
        </w:rPr>
        <w:t>ُ</w:t>
      </w:r>
      <w:r w:rsidR="008A74EB" w:rsidRPr="00C9040A">
        <w:rPr>
          <w:rtl/>
        </w:rPr>
        <w:t>ورد هاهنا بأنّ العلم هو الفقه ، ولا يصحّ أن يكون الشي‌ء علامة لنفسه. وا</w:t>
      </w:r>
      <w:r w:rsidR="002E12AD">
        <w:rPr>
          <w:rFonts w:hint="cs"/>
          <w:rtl/>
        </w:rPr>
        <w:t>ُ</w:t>
      </w:r>
      <w:r w:rsidR="008A74EB" w:rsidRPr="00C9040A">
        <w:rPr>
          <w:rtl/>
        </w:rPr>
        <w:t xml:space="preserve">جيب بوجوه : منها : أنّ المراد بالعلم آثاره ، كإثبات الحقّ وغيره ، وهو بهذا الاعتبار من آثار الفقه وعلاماته الدالّة عليه. راجع : </w:t>
      </w:r>
      <w:r w:rsidR="008A74EB" w:rsidRPr="00993B55">
        <w:rPr>
          <w:rStyle w:val="libFootnoteBoldChar"/>
          <w:rtl/>
        </w:rPr>
        <w:t>شرح المازندراني</w:t>
      </w:r>
      <w:r w:rsidR="008A74EB" w:rsidRPr="00C9040A">
        <w:rPr>
          <w:rtl/>
        </w:rPr>
        <w:t xml:space="preserve"> ، ج 8 ، ص 313 ؛ </w:t>
      </w:r>
      <w:r w:rsidR="008A74EB" w:rsidRPr="00993B55">
        <w:rPr>
          <w:rStyle w:val="libFootnoteBoldChar"/>
          <w:rtl/>
        </w:rPr>
        <w:t>مرآة العقول</w:t>
      </w:r>
      <w:r w:rsidR="008A74EB" w:rsidRPr="00C9040A">
        <w:rPr>
          <w:rtl/>
        </w:rPr>
        <w:t xml:space="preserve"> ، ج 8 ، ص 210.</w:t>
      </w:r>
    </w:p>
    <w:tbl>
      <w:tblPr>
        <w:tblStyle w:val="TableGrid"/>
        <w:bidiVisual/>
        <w:tblW w:w="0" w:type="auto"/>
        <w:tblLook w:val="04A0" w:firstRow="1" w:lastRow="0" w:firstColumn="1" w:lastColumn="0" w:noHBand="0" w:noVBand="1"/>
      </w:tblPr>
      <w:tblGrid>
        <w:gridCol w:w="4006"/>
        <w:gridCol w:w="4006"/>
      </w:tblGrid>
      <w:tr w:rsidR="002E12AD" w:rsidTr="002E12AD">
        <w:tc>
          <w:tcPr>
            <w:tcW w:w="4006" w:type="dxa"/>
          </w:tcPr>
          <w:p w:rsidR="002E12AD" w:rsidRDefault="002E12AD" w:rsidP="004A4E41">
            <w:pPr>
              <w:pStyle w:val="libFootnote0"/>
              <w:rPr>
                <w:rtl/>
              </w:rPr>
            </w:pPr>
            <w:r>
              <w:rPr>
                <w:rtl/>
              </w:rPr>
              <w:t>(4).</w:t>
            </w:r>
            <w:r w:rsidRPr="00C9040A">
              <w:rPr>
                <w:rtl/>
              </w:rPr>
              <w:t xml:space="preserve"> في الخصال : « وإنّ »</w:t>
            </w:r>
            <w:r>
              <w:rPr>
                <w:rtl/>
              </w:rPr>
              <w:t>.</w:t>
            </w:r>
          </w:p>
        </w:tc>
        <w:tc>
          <w:tcPr>
            <w:tcW w:w="4006" w:type="dxa"/>
          </w:tcPr>
          <w:p w:rsidR="002E12AD" w:rsidRDefault="002E12AD" w:rsidP="004A4E41">
            <w:pPr>
              <w:pStyle w:val="libFootnote0"/>
              <w:rPr>
                <w:rtl/>
              </w:rPr>
            </w:pPr>
            <w:r>
              <w:rPr>
                <w:rtl/>
              </w:rPr>
              <w:t>(5).</w:t>
            </w:r>
            <w:r w:rsidRPr="00C9040A">
              <w:rPr>
                <w:rtl/>
              </w:rPr>
              <w:t xml:space="preserve"> في حاشية « بر » : « الجنّة »</w:t>
            </w:r>
            <w:r>
              <w:rPr>
                <w:rtl/>
              </w:rPr>
              <w:t>.</w:t>
            </w:r>
          </w:p>
        </w:tc>
      </w:tr>
    </w:tbl>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الخصال : « وإنّه »</w:t>
      </w:r>
      <w:r w:rsidR="008A74EB">
        <w:rPr>
          <w:rtl/>
        </w:rPr>
        <w:t>.</w:t>
      </w:r>
      <w:r w:rsidR="008A74EB" w:rsidRPr="00C9040A">
        <w:rPr>
          <w:rtl/>
        </w:rPr>
        <w:t xml:space="preserve"> وفي قرب الإسناد : « وهو » بدل « إنّه »</w:t>
      </w:r>
      <w:r w:rsidR="008A74EB">
        <w:rPr>
          <w:rtl/>
        </w:rPr>
        <w:t>.</w:t>
      </w:r>
    </w:p>
    <w:p w:rsidR="008A74EB" w:rsidRPr="00C9040A" w:rsidRDefault="006C577F" w:rsidP="00AC2E2F">
      <w:pPr>
        <w:pStyle w:val="libFootnote0"/>
        <w:rPr>
          <w:rtl/>
          <w:lang w:bidi="fa-IR"/>
        </w:rPr>
      </w:pPr>
      <w:r>
        <w:rPr>
          <w:rtl/>
        </w:rPr>
        <w:t>(7).</w:t>
      </w:r>
      <w:r w:rsidR="008A74EB" w:rsidRPr="00C9040A">
        <w:rPr>
          <w:rtl/>
        </w:rPr>
        <w:t xml:space="preserve"> </w:t>
      </w:r>
      <w:r w:rsidR="008A74EB" w:rsidRPr="00993B55">
        <w:rPr>
          <w:rStyle w:val="libFootnoteBoldChar"/>
          <w:rtl/>
        </w:rPr>
        <w:t>قرب الإسناد</w:t>
      </w:r>
      <w:r w:rsidR="008A74EB" w:rsidRPr="00C9040A">
        <w:rPr>
          <w:rtl/>
        </w:rPr>
        <w:t xml:space="preserve"> ، ص 369 ، ح 1321 ؛ و</w:t>
      </w:r>
      <w:r w:rsidR="008A74EB" w:rsidRPr="00993B55">
        <w:rPr>
          <w:rStyle w:val="libFootnoteBoldChar"/>
          <w:rtl/>
        </w:rPr>
        <w:t>الخصال</w:t>
      </w:r>
      <w:r w:rsidR="008A74EB" w:rsidRPr="00C9040A">
        <w:rPr>
          <w:rtl/>
        </w:rPr>
        <w:t xml:space="preserve"> ، ص 158 ، باب الثلاثة ، ح 202 ؛ و</w:t>
      </w:r>
      <w:r w:rsidR="008A74EB" w:rsidRPr="00993B55">
        <w:rPr>
          <w:rStyle w:val="libFootnoteBoldChar"/>
          <w:rtl/>
        </w:rPr>
        <w:t>عيون الأخبار</w:t>
      </w:r>
      <w:r w:rsidR="008A74EB" w:rsidRPr="00C9040A">
        <w:rPr>
          <w:rtl/>
        </w:rPr>
        <w:t xml:space="preserve"> ، ج 1 ، ص 258 ، ح 14 ، بسند آخر عن أحمد بن محمّد بن عيسى. </w:t>
      </w:r>
      <w:r w:rsidR="008A74EB" w:rsidRPr="00993B55">
        <w:rPr>
          <w:rStyle w:val="libFootnoteBoldChar"/>
          <w:rtl/>
        </w:rPr>
        <w:t>الكافي</w:t>
      </w:r>
      <w:r w:rsidR="008A74EB" w:rsidRPr="00C9040A">
        <w:rPr>
          <w:rtl/>
        </w:rPr>
        <w:t xml:space="preserve"> ، كتاب فضل العلم ، باب صفة العلماء ، ح 70 ، بسند آخر عن الرضا </w:t>
      </w:r>
      <w:r w:rsidR="00117575" w:rsidRPr="00117575">
        <w:rPr>
          <w:rStyle w:val="libFootnoteAlaemChar"/>
          <w:rtl/>
        </w:rPr>
        <w:t xml:space="preserve">عليه‌السلام </w:t>
      </w:r>
      <w:r w:rsidR="008A74EB" w:rsidRPr="00C9040A">
        <w:rPr>
          <w:rtl/>
        </w:rPr>
        <w:t>، وتمام الرواية فيه : « إنّ من علامات الفقه الحلم والصمت »</w:t>
      </w:r>
      <w:r w:rsidR="008A74EB">
        <w:rPr>
          <w:rtl/>
        </w:rPr>
        <w:t>.</w:t>
      </w:r>
      <w:r w:rsidR="008A74EB" w:rsidRPr="00C9040A">
        <w:rPr>
          <w:rtl/>
        </w:rPr>
        <w:t xml:space="preserve"> </w:t>
      </w:r>
      <w:r w:rsidR="008A74EB" w:rsidRPr="00993B55">
        <w:rPr>
          <w:rStyle w:val="libFootnoteBoldChar"/>
          <w:rtl/>
        </w:rPr>
        <w:t>تحف العقول</w:t>
      </w:r>
      <w:r w:rsidR="008A74EB" w:rsidRPr="00C9040A">
        <w:rPr>
          <w:rtl/>
        </w:rPr>
        <w:t xml:space="preserve"> ، ص 445 ؛ </w:t>
      </w:r>
      <w:r w:rsidR="008A74EB" w:rsidRPr="00993B55">
        <w:rPr>
          <w:rStyle w:val="libFootnoteBoldChar"/>
          <w:rtl/>
        </w:rPr>
        <w:t>وفيه</w:t>
      </w:r>
      <w:r w:rsidR="008A74EB" w:rsidRPr="00C9040A">
        <w:rPr>
          <w:rtl/>
        </w:rPr>
        <w:t xml:space="preserve"> ، ص 442 ، من قوله : « إنّ الصمت باب من » ؛ </w:t>
      </w:r>
      <w:r w:rsidR="008A74EB" w:rsidRPr="00993B55">
        <w:rPr>
          <w:rStyle w:val="libFootnoteBoldChar"/>
          <w:rtl/>
        </w:rPr>
        <w:t>الاختصاص</w:t>
      </w:r>
      <w:r w:rsidR="008A74EB" w:rsidRPr="00C9040A">
        <w:rPr>
          <w:rtl/>
        </w:rPr>
        <w:t xml:space="preserve"> ، ص 232 ، مرسلاً ، مع اختلاف يسير. وراجع : </w:t>
      </w:r>
      <w:r w:rsidR="008A74EB" w:rsidRPr="00993B55">
        <w:rPr>
          <w:rStyle w:val="libFootnoteBoldChar"/>
          <w:rtl/>
        </w:rPr>
        <w:t>الكافي</w:t>
      </w:r>
      <w:r w:rsidR="008A74EB" w:rsidRPr="00C9040A">
        <w:rPr>
          <w:rtl/>
        </w:rPr>
        <w:t xml:space="preserve"> ، كتاب فضل العلم ، باب صفة العلماء ، ح 73</w:t>
      </w:r>
      <w:r w:rsidR="003537F9">
        <w:rPr>
          <w:rFonts w:hint="cs"/>
          <w:rtl/>
        </w:rPr>
        <w:t>.</w:t>
      </w:r>
      <w:r w:rsidR="008A74EB" w:rsidRPr="00993B55">
        <w:rPr>
          <w:rStyle w:val="libFootnoteBoldChar"/>
          <w:rtl/>
        </w:rPr>
        <w:t>الوافي</w:t>
      </w:r>
      <w:r w:rsidR="008A74EB" w:rsidRPr="00C9040A">
        <w:rPr>
          <w:rtl/>
        </w:rPr>
        <w:t xml:space="preserve"> ، ج 4 ، ص 449 ، ح 2311 ؛ </w:t>
      </w:r>
      <w:r w:rsidR="008A74EB" w:rsidRPr="00993B55">
        <w:rPr>
          <w:rStyle w:val="libFootnoteBoldChar"/>
          <w:rtl/>
        </w:rPr>
        <w:t>الوسائل</w:t>
      </w:r>
      <w:r w:rsidR="008A74EB" w:rsidRPr="00C9040A">
        <w:rPr>
          <w:rtl/>
        </w:rPr>
        <w:t xml:space="preserve"> ، ج 12 ، ص 182 ، ح 16023 ؛ </w:t>
      </w:r>
      <w:r w:rsidR="008A74EB" w:rsidRPr="00993B55">
        <w:rPr>
          <w:rStyle w:val="libFootnoteBoldChar"/>
          <w:rtl/>
        </w:rPr>
        <w:t>البحار</w:t>
      </w:r>
      <w:r w:rsidR="008A74EB" w:rsidRPr="00C9040A">
        <w:rPr>
          <w:rtl/>
        </w:rPr>
        <w:t xml:space="preserve"> ، ج 71 ، ص 294 ، ح 65.</w:t>
      </w:r>
    </w:p>
    <w:p w:rsidR="008A74EB" w:rsidRPr="00C9040A" w:rsidRDefault="006C577F" w:rsidP="004A4E41">
      <w:pPr>
        <w:pStyle w:val="libFootnote0"/>
        <w:rPr>
          <w:rtl/>
          <w:lang w:bidi="fa-IR"/>
        </w:rPr>
      </w:pPr>
      <w:r>
        <w:rPr>
          <w:rtl/>
        </w:rPr>
        <w:t>(8).</w:t>
      </w:r>
      <w:r w:rsidR="008A74EB" w:rsidRPr="00C9040A">
        <w:rPr>
          <w:rtl/>
        </w:rPr>
        <w:t xml:space="preserve"> الضمير راجع إلى أحمد بن محمّد بن عيسى المذكور في السند السابق.</w:t>
      </w:r>
    </w:p>
    <w:p w:rsidR="008A74EB" w:rsidRPr="00C9040A" w:rsidRDefault="006C577F" w:rsidP="004A4E41">
      <w:pPr>
        <w:pStyle w:val="libFootnote0"/>
        <w:rPr>
          <w:rtl/>
          <w:lang w:bidi="fa-IR"/>
        </w:rPr>
      </w:pPr>
      <w:r>
        <w:rPr>
          <w:rtl/>
        </w:rPr>
        <w:t>(9).</w:t>
      </w:r>
      <w:r w:rsidR="008A74EB" w:rsidRPr="00C9040A">
        <w:rPr>
          <w:rtl/>
        </w:rPr>
        <w:t xml:space="preserve"> في « ض » وحاشية « بر » : « إنّ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خَرِس الإنسان خرساً : مُنع من الكلام خِلقةً ، فهو أخرس ، والا</w:t>
      </w:r>
      <w:r w:rsidR="003E0CEF">
        <w:rPr>
          <w:rFonts w:hint="cs"/>
          <w:rtl/>
        </w:rPr>
        <w:t>ُ</w:t>
      </w:r>
      <w:r w:rsidR="008A74EB" w:rsidRPr="00C9040A">
        <w:rPr>
          <w:rtl/>
        </w:rPr>
        <w:t xml:space="preserve">نثى : خَرساء ، والجمع : خُرْس. وهو هنا كناية عن قلّة الكلام ، من قولهم : هو من خُرْس المجلس ، إذا لم يتكلّم. راجع : </w:t>
      </w:r>
      <w:r w:rsidR="008A74EB" w:rsidRPr="00993B55">
        <w:rPr>
          <w:rStyle w:val="libFootnoteBoldChar"/>
          <w:rtl/>
        </w:rPr>
        <w:t>المصباح المنير</w:t>
      </w:r>
      <w:r w:rsidR="008A74EB" w:rsidRPr="00C9040A">
        <w:rPr>
          <w:rtl/>
        </w:rPr>
        <w:t xml:space="preserve"> ، ص 166 ؛ </w:t>
      </w:r>
      <w:r w:rsidR="008A74EB" w:rsidRPr="00993B55">
        <w:rPr>
          <w:rStyle w:val="libFootnoteBoldChar"/>
          <w:rtl/>
        </w:rPr>
        <w:t>أساس البلاغة</w:t>
      </w:r>
      <w:r w:rsidR="008A74EB" w:rsidRPr="00C9040A">
        <w:rPr>
          <w:rtl/>
        </w:rPr>
        <w:t xml:space="preserve"> ، ص 107 ( خرس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w:t>
      </w:r>
      <w:r w:rsidR="008A74EB" w:rsidRPr="00993B55">
        <w:rPr>
          <w:rStyle w:val="libFootnoteBoldChar"/>
          <w:rtl/>
        </w:rPr>
        <w:t>الوافي</w:t>
      </w:r>
      <w:r w:rsidR="008A74EB" w:rsidRPr="00C9040A">
        <w:rPr>
          <w:rtl/>
        </w:rPr>
        <w:t xml:space="preserve"> ، ج 4 ، ص 449 ، ح 2312 ؛ </w:t>
      </w:r>
      <w:r w:rsidR="008A74EB" w:rsidRPr="00993B55">
        <w:rPr>
          <w:rStyle w:val="libFootnoteBoldChar"/>
          <w:rtl/>
        </w:rPr>
        <w:t>الوسائل</w:t>
      </w:r>
      <w:r w:rsidR="008A74EB" w:rsidRPr="00C9040A">
        <w:rPr>
          <w:rtl/>
        </w:rPr>
        <w:t xml:space="preserve"> ، ج 12 ، ص 182 ، ح 16025 ؛ </w:t>
      </w:r>
      <w:r w:rsidR="008A74EB" w:rsidRPr="00993B55">
        <w:rPr>
          <w:rStyle w:val="libFootnoteBoldChar"/>
          <w:rtl/>
        </w:rPr>
        <w:t>البحار</w:t>
      </w:r>
      <w:r w:rsidR="008A74EB" w:rsidRPr="00C9040A">
        <w:rPr>
          <w:rtl/>
        </w:rPr>
        <w:t xml:space="preserve"> ، ج 71 ، ص 295 ، ح 66.</w:t>
      </w:r>
    </w:p>
    <w:p w:rsidR="008A74EB" w:rsidRPr="00C9040A" w:rsidRDefault="006C577F" w:rsidP="004A4E41">
      <w:pPr>
        <w:pStyle w:val="libFootnote0"/>
        <w:rPr>
          <w:rtl/>
          <w:lang w:bidi="fa-IR"/>
        </w:rPr>
      </w:pPr>
      <w:r>
        <w:rPr>
          <w:rtl/>
        </w:rPr>
        <w:t>(12).</w:t>
      </w:r>
      <w:r w:rsidR="008A74EB" w:rsidRPr="00C9040A">
        <w:rPr>
          <w:rtl/>
        </w:rPr>
        <w:t xml:space="preserve"> الضمير راجع إلى أحمد بن محمّد بن عيسى.</w:t>
      </w:r>
    </w:p>
    <w:p w:rsidR="008A74EB" w:rsidRPr="00C9040A" w:rsidRDefault="008A74EB" w:rsidP="004A4E41">
      <w:pPr>
        <w:pStyle w:val="libFootnote0"/>
        <w:rPr>
          <w:rtl/>
          <w:lang w:bidi="fa-IR"/>
        </w:rPr>
      </w:pPr>
      <w:r>
        <w:rPr>
          <w:rtl/>
        </w:rPr>
        <w:t>(13)</w:t>
      </w:r>
      <w:r w:rsidRPr="00C9040A">
        <w:rPr>
          <w:rtl/>
        </w:rPr>
        <w:t xml:space="preserve"> هكذا في النسخ والطبعة الحجريّة من الكتاب. وفي المطبوع : « الحسن بن محبوب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الْجَوَّانِيِّ </w:t>
      </w:r>
      <w:r w:rsidR="006C577F" w:rsidRPr="006C577F">
        <w:rPr>
          <w:rStyle w:val="libFootnotenumChar"/>
          <w:rtl/>
        </w:rPr>
        <w:t>(1)</w:t>
      </w:r>
      <w:r w:rsidRPr="00C9040A">
        <w:rPr>
          <w:rtl/>
          <w:lang w:bidi="fa-IR"/>
        </w:rPr>
        <w:t xml:space="preserve"> ، قَالَ :</w:t>
      </w:r>
    </w:p>
    <w:p w:rsidR="008A74EB" w:rsidRPr="00C9040A" w:rsidRDefault="008A74EB" w:rsidP="00E63A74">
      <w:pPr>
        <w:pStyle w:val="libNormal"/>
        <w:rPr>
          <w:rtl/>
          <w:lang w:bidi="fa-IR"/>
        </w:rPr>
      </w:pPr>
      <w:r w:rsidRPr="00C9040A">
        <w:rPr>
          <w:rtl/>
          <w:lang w:bidi="fa-IR"/>
        </w:rPr>
        <w:t xml:space="preserve">شَهِدْتُ أَبَا عَبْدِ اللهِ </w:t>
      </w:r>
      <w:r w:rsidRPr="0003660B">
        <w:rPr>
          <w:rStyle w:val="libAlaemChar"/>
          <w:rtl/>
        </w:rPr>
        <w:t>عليه‌السلام</w:t>
      </w:r>
      <w:r w:rsidRPr="00C9040A">
        <w:rPr>
          <w:rtl/>
          <w:lang w:bidi="fa-IR"/>
        </w:rPr>
        <w:t xml:space="preserve"> وَهُوَ يَقُولُ لِمَوْلًى لَهُ</w:t>
      </w:r>
      <w:r>
        <w:rPr>
          <w:rtl/>
          <w:lang w:bidi="fa-IR"/>
        </w:rPr>
        <w:t xml:space="preserve"> </w:t>
      </w:r>
      <w:r w:rsidR="0084262C">
        <w:rPr>
          <w:rtl/>
          <w:lang w:bidi="fa-IR"/>
        </w:rPr>
        <w:t>-</w:t>
      </w:r>
      <w:r>
        <w:rPr>
          <w:rtl/>
          <w:lang w:bidi="fa-IR"/>
        </w:rPr>
        <w:t xml:space="preserve"> </w:t>
      </w:r>
      <w:r w:rsidRPr="00C9040A">
        <w:rPr>
          <w:rtl/>
          <w:lang w:bidi="fa-IR"/>
        </w:rPr>
        <w:t>يُقَالُ لَهُ : سَالِمٌ</w:t>
      </w:r>
      <w:r>
        <w:rPr>
          <w:rtl/>
          <w:lang w:bidi="fa-IR"/>
        </w:rPr>
        <w:t xml:space="preserve"> </w:t>
      </w:r>
      <w:r w:rsidR="0084262C">
        <w:rPr>
          <w:rtl/>
          <w:lang w:bidi="fa-IR"/>
        </w:rPr>
        <w:t>-</w:t>
      </w:r>
      <w:r>
        <w:rPr>
          <w:rtl/>
          <w:lang w:bidi="fa-IR"/>
        </w:rPr>
        <w:t xml:space="preserve"> </w:t>
      </w:r>
      <w:r w:rsidRPr="00C9040A">
        <w:rPr>
          <w:rtl/>
          <w:lang w:bidi="fa-IR"/>
        </w:rPr>
        <w:t xml:space="preserve">وَوَضَعَ يَدَهُ عَلى شَفَتَيْهِ </w:t>
      </w:r>
      <w:r w:rsidR="006C577F" w:rsidRPr="006C577F">
        <w:rPr>
          <w:rStyle w:val="libFootnotenumChar"/>
          <w:rtl/>
        </w:rPr>
        <w:t>(2)</w:t>
      </w:r>
      <w:r w:rsidRPr="00C9040A">
        <w:rPr>
          <w:rtl/>
          <w:lang w:bidi="fa-IR"/>
        </w:rPr>
        <w:t xml:space="preserve"> ، وَقَالَ : « يَا سَالِمُ ، احْفَظْ لِسَانَكَ تَسْلَمْ ، وَلَا تَحْمِلِ النَّاسَ عَلى رِقَابِنَا »</w:t>
      </w:r>
      <w:r>
        <w:rPr>
          <w:rtl/>
          <w:lang w:bidi="fa-IR"/>
        </w:rPr>
        <w:t>.</w:t>
      </w:r>
      <w:r w:rsidRPr="00C9040A">
        <w:rPr>
          <w:rtl/>
          <w:lang w:bidi="fa-IR"/>
        </w:rPr>
        <w:t xml:space="preserve"> </w:t>
      </w:r>
      <w:r w:rsidR="006C577F" w:rsidRPr="006C577F">
        <w:rPr>
          <w:rStyle w:val="libFootnotenumChar"/>
          <w:rtl/>
        </w:rPr>
        <w:t>(3)</w:t>
      </w:r>
    </w:p>
    <w:p w:rsidR="008A74EB" w:rsidRPr="00C9040A" w:rsidRDefault="008A74EB" w:rsidP="008A74EB">
      <w:pPr>
        <w:pStyle w:val="libNormal"/>
        <w:rPr>
          <w:rtl/>
          <w:lang w:bidi="fa-IR"/>
        </w:rPr>
      </w:pPr>
      <w:r w:rsidRPr="0095758B">
        <w:rPr>
          <w:rtl/>
        </w:rPr>
        <w:t>1823</w:t>
      </w:r>
      <w:r w:rsidRPr="00261CB0">
        <w:rPr>
          <w:rStyle w:val="libBold2Char"/>
          <w:rtl/>
        </w:rPr>
        <w:t xml:space="preserve"> / 4.</w:t>
      </w:r>
      <w:r w:rsidRPr="00C9040A">
        <w:rPr>
          <w:rtl/>
          <w:lang w:bidi="fa-IR"/>
        </w:rPr>
        <w:t xml:space="preserve"> عَنْهُ </w:t>
      </w:r>
      <w:r w:rsidR="006C577F" w:rsidRPr="006C577F">
        <w:rPr>
          <w:rStyle w:val="libFootnotenumChar"/>
          <w:rtl/>
        </w:rPr>
        <w:t>(4)</w:t>
      </w:r>
      <w:r w:rsidRPr="00C9040A">
        <w:rPr>
          <w:rtl/>
          <w:lang w:bidi="fa-IR"/>
        </w:rPr>
        <w:t xml:space="preserve"> ، عَنْ عُثْمَانَ بْنِ عِيسى ، قَالَ :</w:t>
      </w:r>
    </w:p>
    <w:p w:rsidR="008A74EB" w:rsidRPr="00C9040A" w:rsidRDefault="008A74EB" w:rsidP="008A74EB">
      <w:pPr>
        <w:pStyle w:val="libNormal"/>
        <w:rPr>
          <w:rtl/>
          <w:lang w:bidi="fa-IR"/>
        </w:rPr>
      </w:pPr>
      <w:r w:rsidRPr="00C9040A">
        <w:rPr>
          <w:rtl/>
          <w:lang w:bidi="fa-IR"/>
        </w:rPr>
        <w:t>حَضَرْتُ أَبَا الْحَسَنِ</w:t>
      </w:r>
      <w:r>
        <w:rPr>
          <w:rtl/>
          <w:lang w:bidi="fa-IR"/>
        </w:rPr>
        <w:t xml:space="preserve"> </w:t>
      </w:r>
      <w:r w:rsidR="0084262C">
        <w:rPr>
          <w:rtl/>
          <w:lang w:bidi="fa-IR"/>
        </w:rPr>
        <w:t>-</w:t>
      </w:r>
      <w:r>
        <w:rPr>
          <w:rtl/>
          <w:lang w:bidi="fa-IR"/>
        </w:rPr>
        <w:t xml:space="preserve"> </w:t>
      </w:r>
      <w:r w:rsidRPr="00C9040A">
        <w:rPr>
          <w:rtl/>
          <w:lang w:bidi="fa-IR"/>
        </w:rPr>
        <w:t>صَلَوَاتُ اللهِ عَلَيْهِ</w:t>
      </w:r>
      <w:r>
        <w:rPr>
          <w:rtl/>
          <w:lang w:bidi="fa-IR"/>
        </w:rPr>
        <w:t xml:space="preserve"> </w:t>
      </w:r>
      <w:r w:rsidR="0084262C">
        <w:rPr>
          <w:rtl/>
          <w:lang w:bidi="fa-IR"/>
        </w:rPr>
        <w:t>-</w:t>
      </w:r>
      <w:r>
        <w:rPr>
          <w:rtl/>
          <w:lang w:bidi="fa-IR"/>
        </w:rPr>
        <w:t xml:space="preserve"> </w:t>
      </w:r>
      <w:r w:rsidRPr="00C9040A">
        <w:rPr>
          <w:rtl/>
          <w:lang w:bidi="fa-IR"/>
        </w:rPr>
        <w:t xml:space="preserve">وَقَالَ لَهُ رَجُلٌ : أَوْصِنِي ، فَقَالَ </w:t>
      </w:r>
      <w:r w:rsidR="006C577F" w:rsidRPr="006C577F">
        <w:rPr>
          <w:rStyle w:val="libFootnotenumChar"/>
          <w:rtl/>
        </w:rPr>
        <w:t>(5)</w:t>
      </w:r>
      <w:r w:rsidRPr="00C9040A">
        <w:rPr>
          <w:rtl/>
          <w:lang w:bidi="fa-IR"/>
        </w:rPr>
        <w:t xml:space="preserve"> لَهُ </w:t>
      </w:r>
      <w:r w:rsidR="006C577F" w:rsidRPr="006C577F">
        <w:rPr>
          <w:rStyle w:val="libFootnotenumChar"/>
          <w:rtl/>
        </w:rPr>
        <w:t>(6)</w:t>
      </w:r>
      <w:r w:rsidRPr="005B567D">
        <w:rPr>
          <w:rStyle w:val="libFootnotenumChar"/>
          <w:rtl/>
        </w:rPr>
        <w:t xml:space="preserve"> </w:t>
      </w:r>
      <w:r w:rsidRPr="00C9040A">
        <w:rPr>
          <w:rtl/>
          <w:lang w:bidi="fa-IR"/>
        </w:rPr>
        <w:t xml:space="preserve">: « احْفَظْ لِسَانَكَ تَعِزَّ </w:t>
      </w:r>
      <w:r w:rsidR="006C577F" w:rsidRPr="006C577F">
        <w:rPr>
          <w:rStyle w:val="libFootnotenumChar"/>
          <w:rtl/>
        </w:rPr>
        <w:t>(7)</w:t>
      </w:r>
      <w:r w:rsidRPr="00C9040A">
        <w:rPr>
          <w:rtl/>
          <w:lang w:bidi="fa-IR"/>
        </w:rPr>
        <w:t xml:space="preserve"> ، وَلَا تُمَكِّنِ النَّاسَ مِنْ قِيَادِكَ فَتُذِلَّ رَقَبَتَكَ </w:t>
      </w:r>
      <w:r w:rsidR="006C577F" w:rsidRPr="006C577F">
        <w:rPr>
          <w:rStyle w:val="libFootnotenumChar"/>
          <w:rtl/>
        </w:rPr>
        <w:t>(8)</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(9)</w:t>
      </w:r>
      <w:r w:rsidRPr="00C9040A">
        <w:rPr>
          <w:rtl/>
          <w:lang w:bidi="fa-IR"/>
        </w:rPr>
        <w:t xml:space="preserve"> ‌</w:t>
      </w:r>
    </w:p>
    <w:p w:rsidR="008A74EB" w:rsidRPr="00C9040A" w:rsidRDefault="008A74EB" w:rsidP="008A74EB">
      <w:pPr>
        <w:pStyle w:val="libNormal"/>
        <w:rPr>
          <w:rtl/>
          <w:lang w:bidi="fa-IR"/>
        </w:rPr>
      </w:pPr>
      <w:r w:rsidRPr="0095758B">
        <w:rPr>
          <w:rtl/>
        </w:rPr>
        <w:t>1824</w:t>
      </w:r>
      <w:r w:rsidRPr="00261CB0">
        <w:rPr>
          <w:rStyle w:val="libBold2Char"/>
          <w:rtl/>
        </w:rPr>
        <w:t xml:space="preserve"> / 5.</w:t>
      </w:r>
      <w:r w:rsidRPr="00C9040A">
        <w:rPr>
          <w:rtl/>
          <w:lang w:bidi="fa-IR"/>
        </w:rPr>
        <w:t xml:space="preserve"> عَنْهُ </w:t>
      </w:r>
      <w:r w:rsidR="006C577F" w:rsidRPr="006C577F">
        <w:rPr>
          <w:rStyle w:val="libFootnotenumChar"/>
          <w:rtl/>
        </w:rPr>
        <w:t>(10)</w:t>
      </w:r>
      <w:r w:rsidRPr="00C9040A">
        <w:rPr>
          <w:rtl/>
          <w:lang w:bidi="fa-IR"/>
        </w:rPr>
        <w:t xml:space="preserve"> ، عَنِ الْهَيْثَمِ بْنِ أَبِي مَسْرُوقٍ ، عَنْ هِشَامِ بْنِ سَالِمٍ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Pr>
          <w:rtl/>
          <w:lang w:bidi="fa-IR"/>
        </w:rPr>
        <w:t xml:space="preserve"> لِرَجُلٍ أَتَاهُ : أَ</w:t>
      </w:r>
      <w:r w:rsidRPr="00C9040A">
        <w:rPr>
          <w:rtl/>
          <w:lang w:bidi="fa-IR"/>
        </w:rPr>
        <w:t>لَا</w:t>
      </w:r>
      <w:r>
        <w:rPr>
          <w:rFonts w:hint="cs"/>
          <w:rtl/>
          <w:lang w:bidi="fa-IR"/>
        </w:rPr>
        <w:t xml:space="preserve"> </w:t>
      </w:r>
      <w:r w:rsidRPr="00C9040A">
        <w:rPr>
          <w:rtl/>
          <w:lang w:bidi="fa-IR"/>
        </w:rPr>
        <w:t>أَدُلُّكَ عَلى أَمْرٍ يُدْخِلُكَ اللهُ بِهِ الْجَنَّةَ</w:t>
      </w:r>
      <w:r>
        <w:rPr>
          <w:rtl/>
          <w:lang w:bidi="fa-IR"/>
        </w:rPr>
        <w:t>؟</w:t>
      </w:r>
      <w:r w:rsidRPr="00C9040A">
        <w:rPr>
          <w:rtl/>
          <w:lang w:bidi="fa-IR"/>
        </w:rPr>
        <w:t xml:space="preserve"> قَالَ : بَلى يَا رَسُولَ اللهِ ، قَالَ : أَنِلْ مِمَّا أَنَالَكَ </w:t>
      </w:r>
      <w:r w:rsidR="006C577F" w:rsidRPr="006C577F">
        <w:rPr>
          <w:rStyle w:val="libFootnotenumChar"/>
          <w:rtl/>
        </w:rPr>
        <w:t>(11)</w:t>
      </w:r>
      <w:r w:rsidRPr="00C9040A">
        <w:rPr>
          <w:rtl/>
          <w:lang w:bidi="fa-IR"/>
        </w:rPr>
        <w:t xml:space="preserve"> اللهُ ، قَالَ : فَإِنْ‌</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4D6F35" w:rsidTr="004D6F35">
        <w:tc>
          <w:tcPr>
            <w:tcW w:w="4006" w:type="dxa"/>
          </w:tcPr>
          <w:p w:rsidR="004D6F35" w:rsidRDefault="004D6F35" w:rsidP="004A4E41">
            <w:pPr>
              <w:pStyle w:val="libFootnote0"/>
              <w:rPr>
                <w:rtl/>
              </w:rPr>
            </w:pPr>
            <w:r>
              <w:rPr>
                <w:rtl/>
              </w:rPr>
              <w:t xml:space="preserve">(1). </w:t>
            </w:r>
            <w:r w:rsidRPr="00C9040A">
              <w:rPr>
                <w:rtl/>
              </w:rPr>
              <w:t>في « بف » : « الخرّار »</w:t>
            </w:r>
            <w:r>
              <w:rPr>
                <w:rtl/>
              </w:rPr>
              <w:t>.</w:t>
            </w:r>
          </w:p>
        </w:tc>
        <w:tc>
          <w:tcPr>
            <w:tcW w:w="4006" w:type="dxa"/>
          </w:tcPr>
          <w:p w:rsidR="004D6F35" w:rsidRDefault="004D6F35" w:rsidP="004A4E41">
            <w:pPr>
              <w:pStyle w:val="libFootnote0"/>
              <w:rPr>
                <w:rtl/>
              </w:rPr>
            </w:pPr>
            <w:r>
              <w:rPr>
                <w:rtl/>
              </w:rPr>
              <w:t xml:space="preserve">(2). </w:t>
            </w:r>
            <w:r w:rsidRPr="00C9040A">
              <w:rPr>
                <w:rtl/>
              </w:rPr>
              <w:t>في الوسائل : « شفته »</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w:t>
      </w:r>
      <w:r w:rsidR="008A74EB" w:rsidRPr="00993B55">
        <w:rPr>
          <w:rStyle w:val="libFootnoteBoldChar"/>
          <w:rtl/>
        </w:rPr>
        <w:t>الوافي</w:t>
      </w:r>
      <w:r w:rsidR="008A74EB" w:rsidRPr="00C9040A">
        <w:rPr>
          <w:rtl/>
        </w:rPr>
        <w:t xml:space="preserve"> ، ج 4 ، ص 449 ، ح 2313 ؛ </w:t>
      </w:r>
      <w:r w:rsidR="008A74EB" w:rsidRPr="00993B55">
        <w:rPr>
          <w:rStyle w:val="libFootnoteBoldChar"/>
          <w:rtl/>
        </w:rPr>
        <w:t>الوسائل</w:t>
      </w:r>
      <w:r w:rsidR="008A74EB" w:rsidRPr="00C9040A">
        <w:rPr>
          <w:rtl/>
        </w:rPr>
        <w:t xml:space="preserve"> ، ج 12 ، ص 189 ، ح 16047 ؛ </w:t>
      </w:r>
      <w:r w:rsidR="008A74EB" w:rsidRPr="00993B55">
        <w:rPr>
          <w:rStyle w:val="libFootnoteBoldChar"/>
          <w:rtl/>
        </w:rPr>
        <w:t>البحار</w:t>
      </w:r>
      <w:r w:rsidR="008A74EB" w:rsidRPr="00C9040A">
        <w:rPr>
          <w:rtl/>
        </w:rPr>
        <w:t xml:space="preserve"> ، ج 71 ، ص 295 ، ح 67.</w:t>
      </w:r>
    </w:p>
    <w:p w:rsidR="008A74EB" w:rsidRPr="00C9040A" w:rsidRDefault="006C577F" w:rsidP="004A4E41">
      <w:pPr>
        <w:pStyle w:val="libFootnote0"/>
        <w:rPr>
          <w:rtl/>
          <w:lang w:bidi="fa-IR"/>
        </w:rPr>
      </w:pPr>
      <w:r>
        <w:rPr>
          <w:rtl/>
        </w:rPr>
        <w:t>(4).</w:t>
      </w:r>
      <w:r w:rsidR="008A74EB" w:rsidRPr="00C9040A">
        <w:rPr>
          <w:rtl/>
        </w:rPr>
        <w:t xml:space="preserve"> الضمير راجع إلى أحمد بن محمّد بن عيسى.</w:t>
      </w:r>
    </w:p>
    <w:p w:rsidR="008A74EB" w:rsidRPr="00C9040A" w:rsidRDefault="006C577F" w:rsidP="004A4E41">
      <w:pPr>
        <w:pStyle w:val="libFootnote0"/>
        <w:rPr>
          <w:rtl/>
          <w:lang w:bidi="fa-IR"/>
        </w:rPr>
      </w:pPr>
      <w:r>
        <w:rPr>
          <w:rtl/>
        </w:rPr>
        <w:t>(5).</w:t>
      </w:r>
      <w:r w:rsidR="008A74EB" w:rsidRPr="00C9040A">
        <w:rPr>
          <w:rtl/>
        </w:rPr>
        <w:t xml:space="preserve"> في « ز » : « قال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 ب ، ج ، د ، ز ، ض ، بر ، بس ، بف » والوسائل والبحار </w:t>
      </w:r>
      <w:r w:rsidR="008A74EB">
        <w:rPr>
          <w:rtl/>
        </w:rPr>
        <w:t xml:space="preserve">: </w:t>
      </w:r>
      <w:r w:rsidR="0084262C">
        <w:rPr>
          <w:rtl/>
        </w:rPr>
        <w:t>-</w:t>
      </w:r>
      <w:r w:rsidR="008A74EB" w:rsidRPr="00C9040A">
        <w:rPr>
          <w:rtl/>
        </w:rPr>
        <w:t xml:space="preserve"> « له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يجوز قراءته مبنيّاً للمفعول من الإفعال.</w:t>
      </w:r>
    </w:p>
    <w:p w:rsidR="008A74EB" w:rsidRPr="00C9040A" w:rsidRDefault="006C577F" w:rsidP="004A4E41">
      <w:pPr>
        <w:pStyle w:val="libFootnote0"/>
        <w:rPr>
          <w:rtl/>
          <w:lang w:bidi="fa-IR"/>
        </w:rPr>
      </w:pPr>
      <w:r>
        <w:rPr>
          <w:rtl/>
        </w:rPr>
        <w:t>(8).</w:t>
      </w:r>
      <w:r w:rsidR="008A74EB" w:rsidRPr="00C9040A">
        <w:rPr>
          <w:rtl/>
        </w:rPr>
        <w:t xml:space="preserve"> في </w:t>
      </w:r>
      <w:r w:rsidR="008A74EB" w:rsidRPr="00993B55">
        <w:rPr>
          <w:rStyle w:val="libFootnoteBoldChar"/>
          <w:rtl/>
        </w:rPr>
        <w:t>الكافي</w:t>
      </w:r>
      <w:r w:rsidR="008A74EB" w:rsidRPr="00C9040A">
        <w:rPr>
          <w:rtl/>
        </w:rPr>
        <w:t xml:space="preserve"> ، ح 2277 : « من قياد رقبتك فتذلّ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 القياد</w:t>
      </w:r>
      <w:r w:rsidR="008A74EB">
        <w:rPr>
          <w:rtl/>
        </w:rPr>
        <w:t xml:space="preserve"> </w:t>
      </w:r>
      <w:r w:rsidR="0084262C">
        <w:rPr>
          <w:rtl/>
        </w:rPr>
        <w:t>-</w:t>
      </w:r>
      <w:r w:rsidR="008A74EB">
        <w:rPr>
          <w:rtl/>
        </w:rPr>
        <w:t xml:space="preserve"> </w:t>
      </w:r>
      <w:r w:rsidR="008A74EB" w:rsidRPr="00C9040A">
        <w:rPr>
          <w:rtl/>
        </w:rPr>
        <w:t>ككتاب</w:t>
      </w:r>
      <w:r w:rsidR="008A74EB">
        <w:rPr>
          <w:rtl/>
        </w:rPr>
        <w:t xml:space="preserve"> </w:t>
      </w:r>
      <w:r w:rsidR="0084262C">
        <w:rPr>
          <w:rtl/>
        </w:rPr>
        <w:t>-</w:t>
      </w:r>
      <w:r w:rsidR="008A74EB">
        <w:rPr>
          <w:rtl/>
        </w:rPr>
        <w:t xml:space="preserve"> </w:t>
      </w:r>
      <w:r w:rsidR="008A74EB" w:rsidRPr="00C9040A">
        <w:rPr>
          <w:rtl/>
        </w:rPr>
        <w:t>: حبلٌ تقاد به الدابّة. وتمكين الناس من القياد كناية عن تسلّطهم وإعطاء الحجّة لهم على إيذائه وإهانته بترك التقيّة. ونسبة الإذلال إلى الرقبة لظهور الذلّ فيها أكثر من سائر الأعضاء. وفيه ترشيح للاستعارة السابقة ؛ لأنّ القياد يشدّ على الرقبة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w:t>
      </w:r>
      <w:r w:rsidR="008A74EB" w:rsidRPr="00993B55">
        <w:rPr>
          <w:rStyle w:val="libFootnoteBoldChar"/>
          <w:rtl/>
        </w:rPr>
        <w:t>الكافي</w:t>
      </w:r>
      <w:r w:rsidR="008A74EB" w:rsidRPr="00C9040A">
        <w:rPr>
          <w:rtl/>
        </w:rPr>
        <w:t xml:space="preserve"> ، كتاب الإيمان والكفر ، باب الكتمان ، ح 2277 ، عن أحمد بن محمّد ، عن عثمان بن عيسى ، مع زيادة في أوّله ؛ </w:t>
      </w:r>
      <w:r w:rsidR="008A74EB" w:rsidRPr="00993B55">
        <w:rPr>
          <w:rStyle w:val="libFootnoteBoldChar"/>
          <w:rtl/>
        </w:rPr>
        <w:t>قرب الإسناد</w:t>
      </w:r>
      <w:r w:rsidR="008A74EB" w:rsidRPr="00C9040A">
        <w:rPr>
          <w:rtl/>
        </w:rPr>
        <w:t xml:space="preserve"> ، ص 309 ، ح 1204 ، عن محمّد بن الحسين ، عن عثمان بن عيسى ، وتمام الرواية فيه : « لا تمكّن الناس من قيادك فتذلّ »</w:t>
      </w:r>
      <w:r w:rsidR="00E87CD4">
        <w:rPr>
          <w:rFonts w:hint="cs"/>
          <w:rtl/>
        </w:rPr>
        <w:t>.</w:t>
      </w:r>
      <w:r w:rsidR="008A74EB" w:rsidRPr="00993B55">
        <w:rPr>
          <w:rStyle w:val="libFootnoteBoldChar"/>
          <w:rtl/>
        </w:rPr>
        <w:t>الوافي</w:t>
      </w:r>
      <w:r w:rsidR="008A74EB" w:rsidRPr="00C9040A">
        <w:rPr>
          <w:rtl/>
        </w:rPr>
        <w:t xml:space="preserve"> ، ج 4 ، ص 449 ، ح 2314 ؛ </w:t>
      </w:r>
      <w:r w:rsidR="008A74EB" w:rsidRPr="00993B55">
        <w:rPr>
          <w:rStyle w:val="libFootnoteBoldChar"/>
          <w:rtl/>
        </w:rPr>
        <w:t>الوسائل</w:t>
      </w:r>
      <w:r w:rsidR="008A74EB" w:rsidRPr="00C9040A">
        <w:rPr>
          <w:rtl/>
        </w:rPr>
        <w:t xml:space="preserve"> ، ج 12 ، ص 190 ، ح 16048 ؛ </w:t>
      </w:r>
      <w:r w:rsidR="008A74EB" w:rsidRPr="00993B55">
        <w:rPr>
          <w:rStyle w:val="libFootnoteBoldChar"/>
          <w:rtl/>
        </w:rPr>
        <w:t>البحار</w:t>
      </w:r>
      <w:r w:rsidR="008A74EB" w:rsidRPr="00C9040A">
        <w:rPr>
          <w:rtl/>
        </w:rPr>
        <w:t xml:space="preserve"> ، ج 71 ، ص 296 ، ح 68.</w:t>
      </w:r>
    </w:p>
    <w:p w:rsidR="008A74EB" w:rsidRPr="00C9040A" w:rsidRDefault="006C577F" w:rsidP="004A4E41">
      <w:pPr>
        <w:pStyle w:val="libFootnote0"/>
        <w:rPr>
          <w:rtl/>
          <w:lang w:bidi="fa-IR"/>
        </w:rPr>
      </w:pPr>
      <w:r>
        <w:rPr>
          <w:rtl/>
        </w:rPr>
        <w:t>(10).</w:t>
      </w:r>
      <w:r w:rsidR="008A74EB" w:rsidRPr="00C9040A">
        <w:rPr>
          <w:rtl/>
        </w:rPr>
        <w:t xml:space="preserve"> الضمير راجع إلى أحمد بن محمّد بن عيسى ؛ فقد وردت رواية أحمد بن محمّد [ بن عيسى ] عن الهيثم بن أبي مسروق [ النهدي ] في عددٍ من الأسناد. راجع : </w:t>
      </w:r>
      <w:r w:rsidR="008A74EB" w:rsidRPr="00993B55">
        <w:rPr>
          <w:rStyle w:val="libFootnoteBoldChar"/>
          <w:rtl/>
        </w:rPr>
        <w:t>معجم رجال الحديث</w:t>
      </w:r>
      <w:r w:rsidR="008A74EB" w:rsidRPr="00C9040A">
        <w:rPr>
          <w:rtl/>
        </w:rPr>
        <w:t xml:space="preserve"> ، ج 19 ، ص 428</w:t>
      </w:r>
      <w:r w:rsidR="008A74EB">
        <w:rPr>
          <w:rtl/>
        </w:rPr>
        <w:t xml:space="preserve"> </w:t>
      </w:r>
      <w:r w:rsidR="0084262C">
        <w:rPr>
          <w:rtl/>
        </w:rPr>
        <w:t>-</w:t>
      </w:r>
      <w:r w:rsidR="008A74EB">
        <w:rPr>
          <w:rtl/>
        </w:rPr>
        <w:t xml:space="preserve"> </w:t>
      </w:r>
      <w:r w:rsidR="008A74EB" w:rsidRPr="00C9040A">
        <w:rPr>
          <w:rtl/>
        </w:rPr>
        <w:t>430.</w:t>
      </w:r>
    </w:p>
    <w:p w:rsidR="008A74EB" w:rsidRPr="00C9040A" w:rsidRDefault="006C577F" w:rsidP="004A4E41">
      <w:pPr>
        <w:pStyle w:val="libFootnote0"/>
        <w:rPr>
          <w:rtl/>
          <w:lang w:bidi="fa-IR"/>
        </w:rPr>
      </w:pPr>
      <w:r>
        <w:rPr>
          <w:rtl/>
        </w:rPr>
        <w:t>(11).</w:t>
      </w:r>
      <w:r w:rsidR="008A74EB" w:rsidRPr="00C9040A">
        <w:rPr>
          <w:rtl/>
        </w:rPr>
        <w:t xml:space="preserve"> في « ب » : « آتاك »</w:t>
      </w:r>
      <w:r w:rsidR="008A74EB">
        <w:rPr>
          <w:rtl/>
        </w:rPr>
        <w:t>.</w:t>
      </w:r>
      <w:r w:rsidR="008A74EB" w:rsidRPr="00C9040A">
        <w:rPr>
          <w:rtl/>
        </w:rPr>
        <w:t xml:space="preserve"> وفي « ض » : « أنال »</w:t>
      </w:r>
      <w:r w:rsidR="008A74EB">
        <w:rPr>
          <w:rtl/>
        </w:rPr>
        <w:t>.</w:t>
      </w:r>
      <w:r w:rsidR="008A74EB" w:rsidRPr="00C9040A">
        <w:rPr>
          <w:rtl/>
        </w:rPr>
        <w:t xml:space="preserve"> أي أعط المحتاجين ممّا أعطاك الله تعالى.</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كُنْتُ أَحْوَجَ مِمَّنْ </w:t>
      </w:r>
      <w:r w:rsidR="006C577F" w:rsidRPr="006C577F">
        <w:rPr>
          <w:rStyle w:val="libFootnotenumChar"/>
          <w:rtl/>
        </w:rPr>
        <w:t>(1)</w:t>
      </w:r>
      <w:r w:rsidRPr="00C9040A">
        <w:rPr>
          <w:rtl/>
          <w:lang w:bidi="fa-IR"/>
        </w:rPr>
        <w:t xml:space="preserve"> أُنِيلُهُ</w:t>
      </w:r>
      <w:r>
        <w:rPr>
          <w:rtl/>
          <w:lang w:bidi="fa-IR"/>
        </w:rPr>
        <w:t>؟</w:t>
      </w:r>
      <w:r w:rsidRPr="00C9040A">
        <w:rPr>
          <w:rtl/>
          <w:lang w:bidi="fa-IR"/>
        </w:rPr>
        <w:t xml:space="preserve"> قَالَ : فَانْصُرِ الْمَظْلُومَ ، قَالَ : فَإِنْ </w:t>
      </w:r>
      <w:r w:rsidR="006C577F" w:rsidRPr="006C577F">
        <w:rPr>
          <w:rStyle w:val="libFootnotenumChar"/>
          <w:rtl/>
        </w:rPr>
        <w:t>(2)</w:t>
      </w:r>
      <w:r w:rsidRPr="00C9040A">
        <w:rPr>
          <w:rtl/>
          <w:lang w:bidi="fa-IR"/>
        </w:rPr>
        <w:t xml:space="preserve"> كُنْتُ أَضْعَفَ مِمَّنْ أَنْصُرُهُ</w:t>
      </w:r>
      <w:r>
        <w:rPr>
          <w:rtl/>
          <w:lang w:bidi="fa-IR"/>
        </w:rPr>
        <w:t>؟</w:t>
      </w:r>
      <w:r>
        <w:rPr>
          <w:rFonts w:hint="cs"/>
          <w:rtl/>
          <w:lang w:bidi="fa-IR"/>
        </w:rPr>
        <w:t xml:space="preserve"> </w:t>
      </w:r>
      <w:r w:rsidRPr="00C9040A">
        <w:rPr>
          <w:rtl/>
          <w:lang w:bidi="fa-IR"/>
        </w:rPr>
        <w:t xml:space="preserve">قَالَ : فَاصْنَعْ لِلْأَخْرَقِ </w:t>
      </w:r>
      <w:r w:rsidR="006C577F" w:rsidRPr="006C577F">
        <w:rPr>
          <w:rStyle w:val="libFootnotenumChar"/>
          <w:rtl/>
        </w:rPr>
        <w:t>(3)</w:t>
      </w:r>
      <w:r>
        <w:rPr>
          <w:rtl/>
          <w:lang w:bidi="fa-IR"/>
        </w:rPr>
        <w:t xml:space="preserve"> </w:t>
      </w:r>
      <w:r w:rsidR="0084262C">
        <w:rPr>
          <w:rtl/>
          <w:lang w:bidi="fa-IR"/>
        </w:rPr>
        <w:t>-</w:t>
      </w:r>
      <w:r>
        <w:rPr>
          <w:rtl/>
          <w:lang w:bidi="fa-IR"/>
        </w:rPr>
        <w:t xml:space="preserve"> </w:t>
      </w:r>
      <w:r w:rsidRPr="00C9040A">
        <w:rPr>
          <w:rtl/>
          <w:lang w:bidi="fa-IR"/>
        </w:rPr>
        <w:t xml:space="preserve">يَعْنِي </w:t>
      </w:r>
      <w:r w:rsidR="006C577F" w:rsidRPr="006C577F">
        <w:rPr>
          <w:rStyle w:val="libFootnotenumChar"/>
          <w:rtl/>
        </w:rPr>
        <w:t>(4)</w:t>
      </w:r>
      <w:r w:rsidRPr="00C9040A">
        <w:rPr>
          <w:rtl/>
          <w:lang w:bidi="fa-IR"/>
        </w:rPr>
        <w:t xml:space="preserve"> أَشِرْ عَلَيْهِ</w:t>
      </w:r>
      <w:r>
        <w:rPr>
          <w:rtl/>
          <w:lang w:bidi="fa-IR"/>
        </w:rPr>
        <w:t xml:space="preserve"> </w:t>
      </w:r>
      <w:r w:rsidR="0084262C">
        <w:rPr>
          <w:rtl/>
          <w:lang w:bidi="fa-IR"/>
        </w:rPr>
        <w:t>-</w:t>
      </w:r>
      <w:r>
        <w:rPr>
          <w:rtl/>
          <w:lang w:bidi="fa-IR"/>
        </w:rPr>
        <w:t xml:space="preserve"> </w:t>
      </w:r>
      <w:r w:rsidRPr="00C9040A">
        <w:rPr>
          <w:rtl/>
          <w:lang w:bidi="fa-IR"/>
        </w:rPr>
        <w:t>قَالَ : فَإِنْ كُنْتُ أَخْرَقَ مِمَّنْ أَصْنَعُ لَهُ</w:t>
      </w:r>
      <w:r>
        <w:rPr>
          <w:rtl/>
          <w:lang w:bidi="fa-IR"/>
        </w:rPr>
        <w:t>؟</w:t>
      </w:r>
      <w:r w:rsidRPr="00C9040A">
        <w:rPr>
          <w:rtl/>
          <w:lang w:bidi="fa-IR"/>
        </w:rPr>
        <w:t xml:space="preserve"> قَالَ :</w:t>
      </w:r>
      <w:r>
        <w:rPr>
          <w:rFonts w:hint="cs"/>
          <w:rtl/>
          <w:lang w:bidi="fa-IR"/>
        </w:rPr>
        <w:t xml:space="preserve"> </w:t>
      </w:r>
      <w:r w:rsidRPr="00C9040A">
        <w:rPr>
          <w:rtl/>
          <w:lang w:bidi="fa-IR"/>
        </w:rPr>
        <w:t xml:space="preserve">فَأَصْمِتْ </w:t>
      </w:r>
      <w:r w:rsidR="006C577F" w:rsidRPr="006C577F">
        <w:rPr>
          <w:rStyle w:val="libFootnotenumChar"/>
          <w:rtl/>
        </w:rPr>
        <w:t>(5)</w:t>
      </w:r>
      <w:r w:rsidRPr="00C9040A">
        <w:rPr>
          <w:rtl/>
          <w:lang w:bidi="fa-IR"/>
        </w:rPr>
        <w:t xml:space="preserve"> لِسَانَكَ </w:t>
      </w:r>
      <w:r w:rsidR="006C577F" w:rsidRPr="006C577F">
        <w:rPr>
          <w:rStyle w:val="libFootnotenumChar"/>
          <w:rtl/>
        </w:rPr>
        <w:t>(6)</w:t>
      </w:r>
      <w:r w:rsidRPr="005B567D">
        <w:rPr>
          <w:rStyle w:val="libFootnotenumChar"/>
          <w:rtl/>
        </w:rPr>
        <w:t xml:space="preserve"> </w:t>
      </w:r>
      <w:r w:rsidR="00E87CD4">
        <w:rPr>
          <w:rtl/>
          <w:lang w:bidi="fa-IR"/>
        </w:rPr>
        <w:t>إِل</w:t>
      </w:r>
      <w:r w:rsidR="00E87CD4">
        <w:rPr>
          <w:rFonts w:hint="cs"/>
          <w:rtl/>
          <w:lang w:bidi="fa-IR"/>
        </w:rPr>
        <w:t>َّ</w:t>
      </w:r>
      <w:r w:rsidR="00E87CD4">
        <w:rPr>
          <w:rtl/>
          <w:lang w:bidi="fa-IR"/>
        </w:rPr>
        <w:t>ا</w:t>
      </w:r>
      <w:r>
        <w:rPr>
          <w:rtl/>
          <w:lang w:bidi="fa-IR"/>
        </w:rPr>
        <w:t xml:space="preserve"> مِنْ خَيْرٍ ، أَ</w:t>
      </w:r>
      <w:r w:rsidRPr="00C9040A">
        <w:rPr>
          <w:rtl/>
          <w:lang w:bidi="fa-IR"/>
        </w:rPr>
        <w:t xml:space="preserve">مَا يَسُرُّكَ أَنْ تَكُونَ </w:t>
      </w:r>
      <w:r w:rsidR="006C577F" w:rsidRPr="006C577F">
        <w:rPr>
          <w:rStyle w:val="libFootnotenumChar"/>
          <w:rtl/>
        </w:rPr>
        <w:t>(7)</w:t>
      </w:r>
      <w:r w:rsidRPr="00C9040A">
        <w:rPr>
          <w:rtl/>
          <w:lang w:bidi="fa-IR"/>
        </w:rPr>
        <w:t xml:space="preserve"> فِيكَ خَصْلَةٌ مِنْ هذِهِ الْخِصَالِ تَجُرُّكَ إِلَى الْجَنَّةِ</w:t>
      </w:r>
      <w:r>
        <w:rPr>
          <w:rtl/>
          <w:lang w:bidi="fa-IR"/>
        </w:rPr>
        <w:t>؟</w:t>
      </w:r>
      <w:r w:rsidRPr="00C9040A">
        <w:rPr>
          <w:rtl/>
          <w:lang w:bidi="fa-IR"/>
        </w:rPr>
        <w:t>»</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Normal"/>
        <w:rPr>
          <w:rtl/>
          <w:lang w:bidi="fa-IR"/>
        </w:rPr>
      </w:pPr>
      <w:r w:rsidRPr="00253DAC">
        <w:rPr>
          <w:rtl/>
        </w:rPr>
        <w:t>1825</w:t>
      </w:r>
      <w:r w:rsidRPr="00261CB0">
        <w:rPr>
          <w:rStyle w:val="libBold2Char"/>
          <w:rtl/>
        </w:rPr>
        <w:t xml:space="preserve"> / 6.</w:t>
      </w:r>
      <w:r w:rsidRPr="00C9040A">
        <w:rPr>
          <w:rtl/>
          <w:lang w:bidi="fa-IR"/>
        </w:rPr>
        <w:t xml:space="preserve"> عِدَّةٌ مِنْ أَصْحَابِنَا ، عَنْ سَهْلِ بْنِ زِيَادٍ ، عَنْ جَعْفَرِ بْنِ مُحَمَّدٍ الْأَشْعَرِيِّ ، عَنِ ابْنِ الْقَدَّاحِ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لُقْمَانُ لِابْنِهِ : يَا بُنَيَّ ، إِنْ كُنْتَ زَعَمْتَ أَنَّ الْكَلَامَ مِنْ فِضَّةٍ ، فَإِنَّ السُّكُوتَ مِنْ ذَهَبٍ »</w:t>
      </w:r>
      <w:r>
        <w:rPr>
          <w:rtl/>
          <w:lang w:bidi="fa-IR"/>
        </w:rPr>
        <w:t>.</w:t>
      </w:r>
      <w:r w:rsidRPr="00C9040A">
        <w:rPr>
          <w:rtl/>
          <w:lang w:bidi="fa-IR"/>
        </w:rPr>
        <w:t xml:space="preserve"> </w:t>
      </w:r>
      <w:r w:rsidR="006C577F" w:rsidRPr="006C577F">
        <w:rPr>
          <w:rStyle w:val="libFootnotenumChar"/>
          <w:rtl/>
        </w:rPr>
        <w:t>(9)</w:t>
      </w:r>
      <w:r w:rsidRPr="00C9040A">
        <w:rPr>
          <w:rtl/>
          <w:lang w:bidi="fa-IR"/>
        </w:rPr>
        <w:t xml:space="preserve"> ‌</w:t>
      </w:r>
    </w:p>
    <w:p w:rsidR="008A74EB" w:rsidRPr="00C9040A" w:rsidRDefault="008A74EB" w:rsidP="008A74EB">
      <w:pPr>
        <w:pStyle w:val="libNormal"/>
        <w:rPr>
          <w:rtl/>
          <w:lang w:bidi="fa-IR"/>
        </w:rPr>
      </w:pPr>
      <w:r w:rsidRPr="00253DAC">
        <w:rPr>
          <w:rtl/>
        </w:rPr>
        <w:t>1826</w:t>
      </w:r>
      <w:r w:rsidRPr="00261CB0">
        <w:rPr>
          <w:rStyle w:val="libBold2Char"/>
          <w:rtl/>
        </w:rPr>
        <w:t xml:space="preserve"> / 7.</w:t>
      </w:r>
      <w:r w:rsidRPr="00C9040A">
        <w:rPr>
          <w:rtl/>
          <w:lang w:bidi="fa-IR"/>
        </w:rPr>
        <w:t xml:space="preserve"> عَلِيُّ بْنُ إِبْرَاهِيمَ ، عَنْ مُحَمَّدِ بْنِ عِيسى ، عَنْ يُونُسَ ، عَنِ الْحَلَبِيِّ </w:t>
      </w:r>
      <w:r w:rsidR="006C577F" w:rsidRPr="006C577F">
        <w:rPr>
          <w:rStyle w:val="libFootnotenumChar"/>
          <w:rtl/>
        </w:rPr>
        <w:t>(10)</w:t>
      </w:r>
      <w:r w:rsidRPr="00C9040A">
        <w:rPr>
          <w:rtl/>
          <w:lang w:bidi="fa-IR"/>
        </w:rPr>
        <w:t xml:space="preserve"> رَفَعَهُ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بس » : « ممّا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هكذا في « ب ، د ، ز ، ص ، ض ، ف ، بر » والوافي والوسائل والبحار. </w:t>
      </w:r>
      <w:r w:rsidR="00AC2E2F">
        <w:rPr>
          <w:rtl/>
        </w:rPr>
        <w:t>وفي سائر النسخ والمطبوع : « وإن</w:t>
      </w:r>
      <w:r w:rsidR="008A74EB" w:rsidRPr="00C9040A">
        <w:rPr>
          <w:rtl/>
        </w:rPr>
        <w:t>»</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 الخُرْق » : الجهل والحُمق. وقد خَرِقَ يَخْرَق فهو أخرق. وفي </w:t>
      </w:r>
      <w:r w:rsidR="008A74EB" w:rsidRPr="00993B55">
        <w:rPr>
          <w:rStyle w:val="libFootnoteBoldChar"/>
          <w:rtl/>
        </w:rPr>
        <w:t>الوافي</w:t>
      </w:r>
      <w:r w:rsidR="008A74EB" w:rsidRPr="00C9040A">
        <w:rPr>
          <w:rtl/>
        </w:rPr>
        <w:t xml:space="preserve"> : « والأخرق : الجاهل بما يجب أن‌يعلمه ، ومن لايحسن التصرّف في الا</w:t>
      </w:r>
      <w:r w:rsidR="00E87CD4">
        <w:rPr>
          <w:rFonts w:hint="cs"/>
          <w:rtl/>
        </w:rPr>
        <w:t>ُ</w:t>
      </w:r>
      <w:r w:rsidR="008A74EB" w:rsidRPr="00C9040A">
        <w:rPr>
          <w:rtl/>
        </w:rPr>
        <w:t>مور ، ولم يكن في يديه صنعة يكتسب بها ، ومنه الحديث : تعين صانعاً أو تصنع للأخرق »</w:t>
      </w:r>
      <w:r w:rsidR="008A74EB">
        <w:rPr>
          <w:rtl/>
        </w:rPr>
        <w:t>.</w:t>
      </w:r>
      <w:r w:rsidR="008A74EB" w:rsidRPr="00C9040A">
        <w:rPr>
          <w:rtl/>
        </w:rPr>
        <w:t xml:space="preserve"> وراجع : </w:t>
      </w:r>
      <w:r w:rsidR="008A74EB" w:rsidRPr="00993B55">
        <w:rPr>
          <w:rStyle w:val="libFootnoteBoldChar"/>
          <w:rtl/>
        </w:rPr>
        <w:t>النهاية</w:t>
      </w:r>
      <w:r w:rsidR="008A74EB" w:rsidRPr="00C9040A">
        <w:rPr>
          <w:rtl/>
        </w:rPr>
        <w:t xml:space="preserve"> ، ج 2 ، ص 26 ( خرق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w:t>
      </w:r>
      <w:r w:rsidR="008A74EB" w:rsidRPr="00993B55">
        <w:rPr>
          <w:rStyle w:val="libFootnoteBoldChar"/>
          <w:rtl/>
        </w:rPr>
        <w:t>مرآة العقول</w:t>
      </w:r>
      <w:r w:rsidR="008A74EB" w:rsidRPr="00C9040A">
        <w:rPr>
          <w:rtl/>
        </w:rPr>
        <w:t xml:space="preserve"> : « والظاهر أنّ « يعني » من كلام الصادق </w:t>
      </w:r>
      <w:r w:rsidR="00117575" w:rsidRPr="00117575">
        <w:rPr>
          <w:rStyle w:val="libFootnoteAlaemChar"/>
          <w:rtl/>
        </w:rPr>
        <w:t xml:space="preserve">عليه‌السلام </w:t>
      </w:r>
      <w:r w:rsidR="008A74EB" w:rsidRPr="00C9040A">
        <w:rPr>
          <w:rtl/>
        </w:rPr>
        <w:t>. ويحتمل كونه كلام بعض الرواة ، أي ليس المراد نفعه بمال أو نحوه ، بل برأي ومشورة ينفعه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قال في </w:t>
      </w:r>
      <w:r w:rsidR="008A74EB" w:rsidRPr="00993B55">
        <w:rPr>
          <w:rStyle w:val="libFootnoteBoldChar"/>
          <w:rtl/>
        </w:rPr>
        <w:t>المرآة</w:t>
      </w:r>
      <w:r w:rsidR="008A74EB" w:rsidRPr="00C9040A">
        <w:rPr>
          <w:rtl/>
        </w:rPr>
        <w:t xml:space="preserve"> : « فاصمت ، على بناء المجرّد أو الإفعال. وفي </w:t>
      </w:r>
      <w:r w:rsidR="008A74EB" w:rsidRPr="00993B55">
        <w:rPr>
          <w:rStyle w:val="libFootnoteBoldChar"/>
          <w:rtl/>
        </w:rPr>
        <w:t>القاموس</w:t>
      </w:r>
      <w:r w:rsidR="008A74EB" w:rsidRPr="00C9040A">
        <w:rPr>
          <w:rtl/>
        </w:rPr>
        <w:t xml:space="preserve"> : الصَمت والصموت والصمات : السكوت ، كالإصمات والتصميت ، وأصمته وصمّته : أسكته ، لازمان متعدّيان »</w:t>
      </w:r>
      <w:r w:rsidR="008A74EB">
        <w:rPr>
          <w:rtl/>
        </w:rPr>
        <w:t>.</w:t>
      </w:r>
      <w:r w:rsidR="008A74EB" w:rsidRPr="00C9040A">
        <w:rPr>
          <w:rtl/>
        </w:rPr>
        <w:t xml:space="preserve"> وراجع : </w:t>
      </w:r>
      <w:r w:rsidR="008A74EB" w:rsidRPr="00993B55">
        <w:rPr>
          <w:rStyle w:val="libFootnoteBoldChar"/>
          <w:rtl/>
        </w:rPr>
        <w:t>القاموس المحيط</w:t>
      </w:r>
      <w:r w:rsidR="008A74EB" w:rsidRPr="00C9040A">
        <w:rPr>
          <w:rtl/>
        </w:rPr>
        <w:t xml:space="preserve"> ، ج 1 ، ص 251 ( صمت )</w:t>
      </w:r>
      <w:r w:rsidR="008A74EB">
        <w:rPr>
          <w:rtl/>
        </w:rPr>
        <w:t>.</w:t>
      </w:r>
      <w:r w:rsidR="00E87CD4">
        <w:rPr>
          <w:rFonts w:hint="cs"/>
          <w:rtl/>
        </w:rPr>
        <w:t xml:space="preserve">                                       </w:t>
      </w:r>
      <w:r>
        <w:rPr>
          <w:rtl/>
        </w:rPr>
        <w:t>(6).</w:t>
      </w:r>
      <w:r w:rsidR="008A74EB">
        <w:rPr>
          <w:rtl/>
        </w:rPr>
        <w:t xml:space="preserve"> </w:t>
      </w:r>
      <w:r w:rsidR="008A74EB" w:rsidRPr="00C9040A">
        <w:rPr>
          <w:rtl/>
        </w:rPr>
        <w:t>في « ج » : « بلسانك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ب ، د ، ز ، ص ، ض ، بس ، بف » : « أن يكون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w:t>
      </w:r>
      <w:r w:rsidR="008A74EB" w:rsidRPr="00993B55">
        <w:rPr>
          <w:rStyle w:val="libFootnoteBoldChar"/>
          <w:rtl/>
        </w:rPr>
        <w:t>الوافي</w:t>
      </w:r>
      <w:r w:rsidR="008A74EB" w:rsidRPr="00C9040A">
        <w:rPr>
          <w:rtl/>
        </w:rPr>
        <w:t xml:space="preserve"> ، ج 4 ، ص 450 ، ح 2315 ؛ </w:t>
      </w:r>
      <w:r w:rsidR="008A74EB" w:rsidRPr="00993B55">
        <w:rPr>
          <w:rStyle w:val="libFootnoteBoldChar"/>
          <w:rtl/>
        </w:rPr>
        <w:t>الوسائل</w:t>
      </w:r>
      <w:r w:rsidR="008A74EB" w:rsidRPr="00C9040A">
        <w:rPr>
          <w:rtl/>
        </w:rPr>
        <w:t xml:space="preserve"> ، ج 12 ، ص 182 ، ح 16026 ؛ </w:t>
      </w:r>
      <w:r w:rsidR="008A74EB" w:rsidRPr="00993B55">
        <w:rPr>
          <w:rStyle w:val="libFootnoteBoldChar"/>
          <w:rtl/>
        </w:rPr>
        <w:t>البحار</w:t>
      </w:r>
      <w:r w:rsidR="008A74EB" w:rsidRPr="00C9040A">
        <w:rPr>
          <w:rtl/>
        </w:rPr>
        <w:t xml:space="preserve"> ، ج 71 ، ص 296 ، ح 69.</w:t>
      </w:r>
    </w:p>
    <w:p w:rsidR="008A74EB" w:rsidRPr="00C9040A" w:rsidRDefault="006C577F" w:rsidP="004A4E41">
      <w:pPr>
        <w:pStyle w:val="libFootnote0"/>
        <w:rPr>
          <w:rtl/>
          <w:lang w:bidi="fa-IR"/>
        </w:rPr>
      </w:pPr>
      <w:r>
        <w:rPr>
          <w:rtl/>
        </w:rPr>
        <w:t>(9).</w:t>
      </w:r>
      <w:r w:rsidR="008A74EB" w:rsidRPr="00C9040A">
        <w:rPr>
          <w:rtl/>
        </w:rPr>
        <w:t xml:space="preserve"> </w:t>
      </w:r>
      <w:r w:rsidR="008A74EB" w:rsidRPr="00993B55">
        <w:rPr>
          <w:rStyle w:val="libFootnoteBoldChar"/>
          <w:rtl/>
        </w:rPr>
        <w:t>قرب الإسناد</w:t>
      </w:r>
      <w:r w:rsidR="008A74EB" w:rsidRPr="00C9040A">
        <w:rPr>
          <w:rtl/>
        </w:rPr>
        <w:t xml:space="preserve"> ، ص 69 ، ح 221 ، بسنده عن جعفر بن محمّد ، عن أبيه </w:t>
      </w:r>
      <w:r w:rsidR="00117575" w:rsidRPr="00117575">
        <w:rPr>
          <w:rStyle w:val="libFootnoteAlaemChar"/>
          <w:rtl/>
        </w:rPr>
        <w:t>عليهما‌السلام</w:t>
      </w:r>
      <w:r w:rsidR="008A74EB" w:rsidRPr="00C9040A">
        <w:rPr>
          <w:rtl/>
        </w:rPr>
        <w:t xml:space="preserve"> ، وفيه : « أنّ داود قال لسليمان </w:t>
      </w:r>
      <w:r w:rsidR="00117575" w:rsidRPr="00117575">
        <w:rPr>
          <w:rStyle w:val="libFootnoteAlaemChar"/>
          <w:rtl/>
        </w:rPr>
        <w:t>عليه‌السلام</w:t>
      </w:r>
      <w:r w:rsidR="008A74EB">
        <w:rPr>
          <w:rtl/>
        </w:rPr>
        <w:t xml:space="preserve"> ..</w:t>
      </w:r>
      <w:r w:rsidR="008A74EB" w:rsidRPr="00C9040A">
        <w:rPr>
          <w:rtl/>
        </w:rPr>
        <w:t>. » ، مع اختلاف وزيادة في أوّله</w:t>
      </w:r>
      <w:r w:rsidR="00E87CD4">
        <w:rPr>
          <w:rFonts w:hint="cs"/>
          <w:rtl/>
        </w:rPr>
        <w:t>.</w:t>
      </w:r>
      <w:r w:rsidR="008A74EB" w:rsidRPr="00993B55">
        <w:rPr>
          <w:rStyle w:val="libFootnoteBoldChar"/>
          <w:rtl/>
        </w:rPr>
        <w:t>الوافي</w:t>
      </w:r>
      <w:r w:rsidR="008A74EB" w:rsidRPr="00C9040A">
        <w:rPr>
          <w:rtl/>
        </w:rPr>
        <w:t xml:space="preserve"> ، ج 4 ، ص 450 ، ح 2316 ؛ </w:t>
      </w:r>
      <w:r w:rsidR="008A74EB" w:rsidRPr="00993B55">
        <w:rPr>
          <w:rStyle w:val="libFootnoteBoldChar"/>
          <w:rtl/>
        </w:rPr>
        <w:t>الوسائل</w:t>
      </w:r>
      <w:r w:rsidR="008A74EB" w:rsidRPr="00C9040A">
        <w:rPr>
          <w:rtl/>
        </w:rPr>
        <w:t xml:space="preserve"> ، ج 12 ، ص 183 ، ح 16027 ؛ </w:t>
      </w:r>
      <w:r w:rsidR="008A74EB" w:rsidRPr="00993B55">
        <w:rPr>
          <w:rStyle w:val="libFootnoteBoldChar"/>
          <w:rtl/>
        </w:rPr>
        <w:t>البحار</w:t>
      </w:r>
      <w:r w:rsidR="008A74EB" w:rsidRPr="00C9040A">
        <w:rPr>
          <w:rtl/>
        </w:rPr>
        <w:t xml:space="preserve"> ، ج 71 ، ص 297 ، ح 70.</w:t>
      </w:r>
    </w:p>
    <w:p w:rsidR="008A74EB" w:rsidRPr="00C9040A" w:rsidRDefault="006C577F" w:rsidP="004A4E41">
      <w:pPr>
        <w:pStyle w:val="libFootnote0"/>
        <w:rPr>
          <w:rtl/>
          <w:lang w:bidi="fa-IR"/>
        </w:rPr>
      </w:pPr>
      <w:r>
        <w:rPr>
          <w:rtl/>
        </w:rPr>
        <w:t>(10).</w:t>
      </w:r>
      <w:r w:rsidR="008A74EB" w:rsidRPr="00C9040A">
        <w:rPr>
          <w:rtl/>
        </w:rPr>
        <w:t xml:space="preserve"> في « ب » : « يونس بن عليّ الحلبي »</w:t>
      </w:r>
      <w:r w:rsidR="008A74EB">
        <w:rPr>
          <w:rtl/>
        </w:rPr>
        <w:t>.</w:t>
      </w:r>
      <w:r w:rsidR="008A74EB" w:rsidRPr="00C9040A">
        <w:rPr>
          <w:rtl/>
        </w:rPr>
        <w:t xml:space="preserve"> وهو سهو ؛ فقد وردت في عددٍ من الأسناد رواية عليّ بن إبراهيم ، عن‌</w:t>
      </w:r>
      <w:r w:rsidR="008A74EB">
        <w:rPr>
          <w:rFonts w:hint="cs"/>
          <w:rtl/>
        </w:rPr>
        <w:t xml:space="preserve"> </w:t>
      </w:r>
      <w:r w:rsidR="00E87CD4">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قَالَ :</w:t>
      </w:r>
    </w:p>
    <w:p w:rsidR="008A74EB" w:rsidRPr="00C9040A" w:rsidRDefault="008A74EB" w:rsidP="008A74EB">
      <w:pPr>
        <w:pStyle w:val="libNormal"/>
        <w:rPr>
          <w:rtl/>
          <w:lang w:bidi="fa-IR"/>
        </w:rPr>
      </w:pPr>
      <w:r w:rsidRPr="00C9040A">
        <w:rPr>
          <w:rtl/>
          <w:lang w:bidi="fa-IR"/>
        </w:rPr>
        <w:t xml:space="preserve">قَالَ رَسُولُ اللهِ </w:t>
      </w:r>
      <w:r w:rsidR="004A4E41" w:rsidRPr="004A4E41">
        <w:rPr>
          <w:rStyle w:val="libAlaemChar"/>
          <w:rtl/>
        </w:rPr>
        <w:t>صلى‌الله‌عليه‌وآله</w:t>
      </w:r>
      <w:r w:rsidRPr="00C9040A">
        <w:rPr>
          <w:rtl/>
          <w:lang w:bidi="fa-IR"/>
        </w:rPr>
        <w:t xml:space="preserve"> : « أَمْسِكْ لِسَانَكَ ؛ فَإِنَّهَا صَدَقَةٌ تَصَدَّقُ </w:t>
      </w:r>
      <w:r w:rsidR="006C577F" w:rsidRPr="006C577F">
        <w:rPr>
          <w:rStyle w:val="libFootnotenumChar"/>
          <w:rtl/>
        </w:rPr>
        <w:t>(1)</w:t>
      </w:r>
      <w:r w:rsidRPr="00C9040A">
        <w:rPr>
          <w:rtl/>
          <w:lang w:bidi="fa-IR"/>
        </w:rPr>
        <w:t xml:space="preserve"> بِهَا عَلى نَفْسِكَ » ثُمَّ قَالَ :</w:t>
      </w:r>
      <w:r>
        <w:rPr>
          <w:rFonts w:hint="cs"/>
          <w:rtl/>
          <w:lang w:bidi="fa-IR"/>
        </w:rPr>
        <w:t xml:space="preserve"> </w:t>
      </w:r>
      <w:r w:rsidRPr="00C9040A">
        <w:rPr>
          <w:rtl/>
          <w:lang w:bidi="fa-IR"/>
        </w:rPr>
        <w:t xml:space="preserve">« وَلَايَعْرِفُ عَبْدٌ </w:t>
      </w:r>
      <w:r w:rsidR="006C577F" w:rsidRPr="006C577F">
        <w:rPr>
          <w:rStyle w:val="libFootnotenumChar"/>
          <w:rtl/>
        </w:rPr>
        <w:t>(2)</w:t>
      </w:r>
      <w:r w:rsidRPr="00C9040A">
        <w:rPr>
          <w:rtl/>
          <w:lang w:bidi="fa-IR"/>
        </w:rPr>
        <w:t xml:space="preserve"> حَقِيقَةَ الْإِيمَانِ حَتّى يَخْزُنَ </w:t>
      </w:r>
      <w:r w:rsidR="006C577F" w:rsidRPr="006C577F">
        <w:rPr>
          <w:rStyle w:val="libFootnotenumChar"/>
          <w:rtl/>
        </w:rPr>
        <w:t>(3)</w:t>
      </w:r>
      <w:r w:rsidRPr="00C9040A">
        <w:rPr>
          <w:rtl/>
          <w:lang w:bidi="fa-IR"/>
        </w:rPr>
        <w:t xml:space="preserve"> مِنْ </w:t>
      </w:r>
      <w:r w:rsidR="006C577F" w:rsidRPr="006C577F">
        <w:rPr>
          <w:rStyle w:val="libFootnotenumChar"/>
          <w:rtl/>
        </w:rPr>
        <w:t>(4)</w:t>
      </w:r>
      <w:r w:rsidRPr="00C9040A">
        <w:rPr>
          <w:rtl/>
          <w:lang w:bidi="fa-IR"/>
        </w:rPr>
        <w:t xml:space="preserve"> لِسَانِهِ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A05A08" w:rsidRDefault="008A74EB" w:rsidP="00A05A08">
      <w:pPr>
        <w:pStyle w:val="libNormal"/>
        <w:rPr>
          <w:rtl/>
          <w:lang w:bidi="fa-IR"/>
        </w:rPr>
      </w:pPr>
      <w:r w:rsidRPr="00253DAC">
        <w:rPr>
          <w:rtl/>
        </w:rPr>
        <w:t>1827</w:t>
      </w:r>
      <w:r w:rsidRPr="00261CB0">
        <w:rPr>
          <w:rStyle w:val="libBold2Char"/>
          <w:rtl/>
        </w:rPr>
        <w:t xml:space="preserve"> / 8.</w:t>
      </w:r>
      <w:r w:rsidRPr="00C9040A">
        <w:rPr>
          <w:rtl/>
          <w:lang w:bidi="fa-IR"/>
        </w:rPr>
        <w:t xml:space="preserve"> عَلِيُّ بْنُ إِبْرَاهِيمَ ، عَنْ أَبِيهِ ؛</w:t>
      </w:r>
    </w:p>
    <w:p w:rsidR="008A74EB" w:rsidRPr="00C9040A" w:rsidRDefault="008A74EB" w:rsidP="00A05A08">
      <w:pPr>
        <w:pStyle w:val="libNormal"/>
        <w:rPr>
          <w:rtl/>
          <w:lang w:bidi="fa-IR"/>
        </w:rPr>
      </w:pPr>
      <w:r w:rsidRPr="00C9040A">
        <w:rPr>
          <w:rtl/>
          <w:lang w:bidi="fa-IR"/>
        </w:rPr>
        <w:t>وَمُحَمَّدُ بْنُ إِسْمَاعِيلَ ، عَنِ الْفَضْلِ بْنِ شَاذَانَ جَمِيعاً ، عَنِ ابْنِ أَبِي عُمَيْرٍ ، عَنْ إِبْرَاهِيمَ بْنِ عَبْدِ الْحَمِيدِ ، عَنْ عُبَيْدِ اللهِ بْنِ عَلِيٍّ الْحَلَبِيِّ :</w:t>
      </w:r>
    </w:p>
    <w:p w:rsidR="008A74EB" w:rsidRPr="00C9040A" w:rsidRDefault="008A74EB" w:rsidP="00251FB8">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فِي قَوْلِ اللهِ </w:t>
      </w:r>
      <w:r w:rsidR="006C577F" w:rsidRPr="006C577F">
        <w:rPr>
          <w:rStyle w:val="libFootnotenumChar"/>
          <w:rtl/>
        </w:rPr>
        <w:t>(6)</w:t>
      </w:r>
      <w:r w:rsidR="00251FB8" w:rsidRPr="00C9040A">
        <w:rPr>
          <w:rtl/>
          <w:lang w:bidi="fa-IR"/>
        </w:rPr>
        <w:t xml:space="preserve"> </w:t>
      </w:r>
      <w:r w:rsidRPr="00C9040A">
        <w:rPr>
          <w:rtl/>
          <w:lang w:bidi="fa-IR"/>
        </w:rPr>
        <w:t xml:space="preserve">عَزَّ وَجَلَّ : </w:t>
      </w:r>
      <w:r w:rsidRPr="0003660B">
        <w:rPr>
          <w:rStyle w:val="libAlaemChar"/>
          <w:rtl/>
        </w:rPr>
        <w:t>(</w:t>
      </w:r>
      <w:r w:rsidRPr="006A2246">
        <w:rPr>
          <w:rStyle w:val="libAieChar"/>
          <w:rtl/>
        </w:rPr>
        <w:t xml:space="preserve"> أَلَمْ تَرَ إِلَى الَّذِينَ قِيلَ لَهُمْ كُفُّوا أَيْدِيَكُمْ</w:t>
      </w:r>
      <w:r w:rsidRPr="0003660B">
        <w:rPr>
          <w:rStyle w:val="libAlaemChar"/>
          <w:rtl/>
        </w:rPr>
        <w:t>)</w:t>
      </w:r>
      <w:r w:rsidRPr="00C9040A">
        <w:rPr>
          <w:rtl/>
          <w:lang w:bidi="fa-IR"/>
        </w:rPr>
        <w:t xml:space="preserve"> </w:t>
      </w:r>
      <w:r w:rsidR="006C577F" w:rsidRPr="006C577F">
        <w:rPr>
          <w:rStyle w:val="libFootnotenumChar"/>
          <w:rtl/>
        </w:rPr>
        <w:t>(7)</w:t>
      </w:r>
      <w:r w:rsidRPr="00C9040A">
        <w:rPr>
          <w:rtl/>
          <w:lang w:bidi="fa-IR"/>
        </w:rPr>
        <w:t xml:space="preserve"> قَالَ : « يَعْنِي كُفُّوا أَلْسِنَتَكُمْ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Normal"/>
        <w:rPr>
          <w:rtl/>
          <w:lang w:bidi="fa-IR"/>
        </w:rPr>
      </w:pPr>
      <w:r w:rsidRPr="00253DAC">
        <w:rPr>
          <w:rtl/>
        </w:rPr>
        <w:t>1828</w:t>
      </w:r>
      <w:r w:rsidRPr="00261CB0">
        <w:rPr>
          <w:rStyle w:val="libBold2Char"/>
          <w:rtl/>
        </w:rPr>
        <w:t xml:space="preserve"> / 9.</w:t>
      </w:r>
      <w:r w:rsidRPr="00C9040A">
        <w:rPr>
          <w:rtl/>
          <w:lang w:bidi="fa-IR"/>
        </w:rPr>
        <w:t xml:space="preserve"> عَلِيُّ بْنُ‌إِبْرَاهِيمَ ، عَنْ مُحَمَّدِ بْنِ‌عِيسى ، عَنْ يُونُسَ ، عَنِ الْحَلَبِيِّ رَفَعَهُ ، قَالَ :</w:t>
      </w:r>
    </w:p>
    <w:p w:rsidR="008A74EB" w:rsidRPr="00C9040A" w:rsidRDefault="008A74EB" w:rsidP="008A74EB">
      <w:pPr>
        <w:pStyle w:val="libNormal"/>
        <w:rPr>
          <w:rtl/>
          <w:lang w:bidi="fa-IR"/>
        </w:rPr>
      </w:pPr>
      <w:r w:rsidRPr="00C9040A">
        <w:rPr>
          <w:rtl/>
          <w:lang w:bidi="fa-IR"/>
        </w:rPr>
        <w:t xml:space="preserve">قَالَ رَسُولُ اللهِ </w:t>
      </w:r>
      <w:r w:rsidR="004A4E41" w:rsidRPr="004A4E41">
        <w:rPr>
          <w:rStyle w:val="libAlaemChar"/>
          <w:rtl/>
        </w:rPr>
        <w:t>صلى‌الله‌عليه‌وآله</w:t>
      </w:r>
      <w:r w:rsidRPr="00C9040A">
        <w:rPr>
          <w:rtl/>
          <w:lang w:bidi="fa-IR"/>
        </w:rPr>
        <w:t xml:space="preserve"> : « نَجَاةُ الْمُؤْمِنِ فِي </w:t>
      </w:r>
      <w:r w:rsidR="006C577F" w:rsidRPr="006C577F">
        <w:rPr>
          <w:rStyle w:val="libFootnotenumChar"/>
          <w:rtl/>
        </w:rPr>
        <w:t>(9)</w:t>
      </w:r>
      <w:r w:rsidRPr="00C9040A">
        <w:rPr>
          <w:rtl/>
          <w:lang w:bidi="fa-IR"/>
        </w:rPr>
        <w:t xml:space="preserve"> حِفْظِ لِسَانِهِ »</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251FB8" w:rsidP="004A4E41">
      <w:pPr>
        <w:pStyle w:val="libFootnote0"/>
        <w:rPr>
          <w:rtl/>
          <w:lang w:bidi="fa-IR"/>
        </w:rPr>
      </w:pPr>
      <w:r>
        <w:rPr>
          <w:rFonts w:hint="cs"/>
          <w:rtl/>
        </w:rPr>
        <w:t xml:space="preserve">= </w:t>
      </w:r>
      <w:r w:rsidR="008A74EB" w:rsidRPr="00C9040A">
        <w:rPr>
          <w:rtl/>
        </w:rPr>
        <w:t>محمّد بن عيسى ، عن يونس ، عن يحيى الحلبي. ويونس هذا ، هو</w:t>
      </w:r>
    </w:p>
    <w:p w:rsidR="008A74EB" w:rsidRDefault="008A74EB" w:rsidP="004A4E41">
      <w:pPr>
        <w:pStyle w:val="libFootnote0"/>
        <w:rPr>
          <w:rtl/>
        </w:rPr>
      </w:pPr>
      <w:r w:rsidRPr="00323A39">
        <w:rPr>
          <w:rtl/>
        </w:rPr>
        <w:t xml:space="preserve">يونس بن عبدالرحمن. راجع : </w:t>
      </w:r>
      <w:r w:rsidRPr="00993B55">
        <w:rPr>
          <w:rStyle w:val="libFootnoteBoldChar"/>
          <w:rtl/>
        </w:rPr>
        <w:t>الكافي</w:t>
      </w:r>
      <w:r w:rsidRPr="00323A39">
        <w:rPr>
          <w:rtl/>
        </w:rPr>
        <w:t xml:space="preserve"> ، ح 2097 و 13340 و 13460 و 13478 و 13992.</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الوسائل : « تتصدّق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ب » : « أحد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خزن المالَ في الخِزانة : ا</w:t>
      </w:r>
      <w:r w:rsidR="00CD77AC">
        <w:rPr>
          <w:rFonts w:hint="cs"/>
          <w:rtl/>
        </w:rPr>
        <w:t>ُ</w:t>
      </w:r>
      <w:r w:rsidR="008A74EB" w:rsidRPr="00C9040A">
        <w:rPr>
          <w:rtl/>
        </w:rPr>
        <w:t>حرزه. ومن المجاز : ا</w:t>
      </w:r>
      <w:r w:rsidR="00CD77AC">
        <w:rPr>
          <w:rFonts w:hint="cs"/>
          <w:rtl/>
        </w:rPr>
        <w:t>ُ</w:t>
      </w:r>
      <w:r w:rsidR="008A74EB" w:rsidRPr="00C9040A">
        <w:rPr>
          <w:rtl/>
        </w:rPr>
        <w:t xml:space="preserve">خزُن لسانك. </w:t>
      </w:r>
      <w:r w:rsidR="008A74EB" w:rsidRPr="00993B55">
        <w:rPr>
          <w:rStyle w:val="libFootnoteBoldChar"/>
          <w:rtl/>
        </w:rPr>
        <w:t>أساس البلاغة</w:t>
      </w:r>
      <w:r w:rsidR="008A74EB" w:rsidRPr="00C9040A">
        <w:rPr>
          <w:rtl/>
        </w:rPr>
        <w:t xml:space="preserve"> ، ص 110 ( خزن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الوسائل </w:t>
      </w:r>
      <w:r w:rsidR="008A74EB">
        <w:rPr>
          <w:rtl/>
        </w:rPr>
        <w:t xml:space="preserve">: </w:t>
      </w:r>
      <w:r w:rsidR="0084262C">
        <w:rPr>
          <w:rtl/>
        </w:rPr>
        <w:t>-</w:t>
      </w:r>
      <w:r w:rsidR="008A74EB" w:rsidRPr="00C9040A">
        <w:rPr>
          <w:rtl/>
        </w:rPr>
        <w:t xml:space="preserve"> « من »</w:t>
      </w:r>
      <w:r w:rsidR="008A74EB">
        <w:rPr>
          <w:rtl/>
        </w:rPr>
        <w:t>.</w:t>
      </w:r>
    </w:p>
    <w:p w:rsidR="008A74EB" w:rsidRPr="004A4E41" w:rsidRDefault="006C577F" w:rsidP="004A4E41">
      <w:pPr>
        <w:pStyle w:val="libFootnote0"/>
        <w:rPr>
          <w:rStyle w:val="libFootnote0Char"/>
          <w:rtl/>
        </w:rPr>
      </w:pPr>
      <w:r>
        <w:rPr>
          <w:rtl/>
        </w:rPr>
        <w:t>(5).</w:t>
      </w:r>
      <w:r w:rsidR="008A74EB" w:rsidRPr="00C9040A">
        <w:rPr>
          <w:rtl/>
        </w:rPr>
        <w:t xml:space="preserve"> </w:t>
      </w:r>
      <w:r w:rsidR="008A74EB" w:rsidRPr="00993B55">
        <w:rPr>
          <w:rStyle w:val="libFootnoteBoldChar"/>
          <w:rtl/>
        </w:rPr>
        <w:t>الوافي</w:t>
      </w:r>
      <w:r w:rsidR="008A74EB" w:rsidRPr="00C9040A">
        <w:rPr>
          <w:rtl/>
        </w:rPr>
        <w:t xml:space="preserve"> ، ج 4 ، ص 450 ، ح 2317 ؛ </w:t>
      </w:r>
      <w:r w:rsidR="008A74EB" w:rsidRPr="00993B55">
        <w:rPr>
          <w:rStyle w:val="libFootnoteBoldChar"/>
          <w:rtl/>
        </w:rPr>
        <w:t>الوسائل</w:t>
      </w:r>
      <w:r w:rsidR="008A74EB" w:rsidRPr="00C9040A">
        <w:rPr>
          <w:rtl/>
        </w:rPr>
        <w:t xml:space="preserve"> ، ج 12 ، ص 184 ، ح 16030 ؛ </w:t>
      </w:r>
      <w:r w:rsidR="008A74EB" w:rsidRPr="00993B55">
        <w:rPr>
          <w:rStyle w:val="libFootnoteBoldChar"/>
          <w:rtl/>
        </w:rPr>
        <w:t>البحار</w:t>
      </w:r>
      <w:r w:rsidR="008A74EB" w:rsidRPr="00C9040A">
        <w:rPr>
          <w:rtl/>
        </w:rPr>
        <w:t xml:space="preserve"> ، ج 71 ، ص 298 ، ح 71.</w:t>
      </w:r>
    </w:p>
    <w:tbl>
      <w:tblPr>
        <w:tblStyle w:val="TableGrid"/>
        <w:bidiVisual/>
        <w:tblW w:w="0" w:type="auto"/>
        <w:tblLook w:val="04A0" w:firstRow="1" w:lastRow="0" w:firstColumn="1" w:lastColumn="0" w:noHBand="0" w:noVBand="1"/>
      </w:tblPr>
      <w:tblGrid>
        <w:gridCol w:w="4006"/>
        <w:gridCol w:w="4006"/>
      </w:tblGrid>
      <w:tr w:rsidR="00CD77AC" w:rsidTr="00CD77AC">
        <w:tc>
          <w:tcPr>
            <w:tcW w:w="4006" w:type="dxa"/>
          </w:tcPr>
          <w:p w:rsidR="00CD77AC" w:rsidRDefault="00CD77AC" w:rsidP="004A4E41">
            <w:pPr>
              <w:pStyle w:val="libFootnote0"/>
              <w:rPr>
                <w:rtl/>
              </w:rPr>
            </w:pPr>
            <w:r>
              <w:rPr>
                <w:rtl/>
              </w:rPr>
              <w:t xml:space="preserve">(6). </w:t>
            </w:r>
            <w:r w:rsidRPr="00C9040A">
              <w:rPr>
                <w:rtl/>
              </w:rPr>
              <w:t>في البحار : « قوله »</w:t>
            </w:r>
            <w:r>
              <w:rPr>
                <w:rtl/>
              </w:rPr>
              <w:t>.</w:t>
            </w:r>
          </w:p>
        </w:tc>
        <w:tc>
          <w:tcPr>
            <w:tcW w:w="4006" w:type="dxa"/>
          </w:tcPr>
          <w:p w:rsidR="00CD77AC" w:rsidRDefault="00CD77AC" w:rsidP="004A4E41">
            <w:pPr>
              <w:pStyle w:val="libFootnote0"/>
              <w:rPr>
                <w:rtl/>
              </w:rPr>
            </w:pPr>
            <w:r>
              <w:rPr>
                <w:rtl/>
              </w:rPr>
              <w:t>(7).</w:t>
            </w:r>
            <w:r w:rsidRPr="00C9040A">
              <w:rPr>
                <w:rtl/>
              </w:rPr>
              <w:t xml:space="preserve"> النساء </w:t>
            </w:r>
            <w:r>
              <w:rPr>
                <w:rtl/>
              </w:rPr>
              <w:t>(4)</w:t>
            </w:r>
            <w:r w:rsidRPr="00C9040A">
              <w:rPr>
                <w:rtl/>
              </w:rPr>
              <w:t xml:space="preserve"> : 77.</w:t>
            </w:r>
          </w:p>
        </w:tc>
      </w:tr>
    </w:tbl>
    <w:p w:rsidR="008A74EB" w:rsidRPr="00C9040A" w:rsidRDefault="006C577F" w:rsidP="004A4E41">
      <w:pPr>
        <w:pStyle w:val="libFootnote0"/>
        <w:rPr>
          <w:rtl/>
          <w:lang w:bidi="fa-IR"/>
        </w:rPr>
      </w:pPr>
      <w:r>
        <w:rPr>
          <w:rtl/>
        </w:rPr>
        <w:t>(8).</w:t>
      </w:r>
      <w:r w:rsidR="008A74EB" w:rsidRPr="00C9040A">
        <w:rPr>
          <w:rtl/>
        </w:rPr>
        <w:t xml:space="preserve"> </w:t>
      </w:r>
      <w:r w:rsidR="008A74EB" w:rsidRPr="00993B55">
        <w:rPr>
          <w:rStyle w:val="libFootnoteBoldChar"/>
          <w:rtl/>
        </w:rPr>
        <w:t>تفسير العيّاشي</w:t>
      </w:r>
      <w:r w:rsidR="008A74EB" w:rsidRPr="00C9040A">
        <w:rPr>
          <w:rtl/>
        </w:rPr>
        <w:t xml:space="preserve"> ، ج 1 ، ص 258 ، ح 197 ، عن الحلبي ، عن أبي جعفر </w:t>
      </w:r>
      <w:r w:rsidR="00117575" w:rsidRPr="00117575">
        <w:rPr>
          <w:rStyle w:val="libFootnoteAlaemChar"/>
          <w:rtl/>
        </w:rPr>
        <w:t>عليه‌السلام</w:t>
      </w:r>
      <w:r w:rsidR="008A74EB" w:rsidRPr="00C9040A">
        <w:rPr>
          <w:rtl/>
        </w:rPr>
        <w:t xml:space="preserve"> ، مع اختلاف يسير</w:t>
      </w:r>
      <w:r w:rsidR="00F93C77">
        <w:rPr>
          <w:rFonts w:hint="cs"/>
          <w:rtl/>
        </w:rPr>
        <w:t>.</w:t>
      </w:r>
      <w:r w:rsidR="008A74EB" w:rsidRPr="00993B55">
        <w:rPr>
          <w:rStyle w:val="libFootnoteBoldChar"/>
          <w:rtl/>
        </w:rPr>
        <w:t>الوافي</w:t>
      </w:r>
      <w:r w:rsidR="008A74EB" w:rsidRPr="00C9040A">
        <w:rPr>
          <w:rtl/>
        </w:rPr>
        <w:t xml:space="preserve"> ، ج 4 ، ص 451 ، ح 2318 ؛ </w:t>
      </w:r>
      <w:r w:rsidR="008A74EB" w:rsidRPr="00993B55">
        <w:rPr>
          <w:rStyle w:val="libFootnoteBoldChar"/>
          <w:rtl/>
        </w:rPr>
        <w:t>الوسائل</w:t>
      </w:r>
      <w:r w:rsidR="008A74EB" w:rsidRPr="00C9040A">
        <w:rPr>
          <w:rtl/>
        </w:rPr>
        <w:t xml:space="preserve"> ، ج 12 ، ص 190 ، ح 16049 ؛ </w:t>
      </w:r>
      <w:r w:rsidR="008A74EB" w:rsidRPr="00993B55">
        <w:rPr>
          <w:rStyle w:val="libFootnoteBoldChar"/>
          <w:rtl/>
        </w:rPr>
        <w:t>البحار</w:t>
      </w:r>
      <w:r w:rsidR="008A74EB" w:rsidRPr="00C9040A">
        <w:rPr>
          <w:rtl/>
        </w:rPr>
        <w:t xml:space="preserve"> ، ج 71 ، ص 299 ، ح 72.</w:t>
      </w:r>
    </w:p>
    <w:p w:rsidR="008A74EB" w:rsidRPr="00C9040A" w:rsidRDefault="006C577F" w:rsidP="004A4E41">
      <w:pPr>
        <w:pStyle w:val="libFootnote0"/>
        <w:rPr>
          <w:rtl/>
          <w:lang w:bidi="fa-IR"/>
        </w:rPr>
      </w:pPr>
      <w:r>
        <w:rPr>
          <w:rtl/>
        </w:rPr>
        <w:t>(9).</w:t>
      </w:r>
      <w:r w:rsidR="008A74EB" w:rsidRPr="00C9040A">
        <w:rPr>
          <w:rtl/>
        </w:rPr>
        <w:t xml:space="preserve"> في « ب ، ز ، ص ، ض ، بس » والبحار : « من »</w:t>
      </w:r>
      <w:r w:rsidR="008A74EB">
        <w:rPr>
          <w:rtl/>
        </w:rPr>
        <w:t>.</w:t>
      </w:r>
      <w:r w:rsidR="008A74EB" w:rsidRPr="00C9040A">
        <w:rPr>
          <w:rtl/>
        </w:rPr>
        <w:t xml:space="preserve"> وفي « د ، بر ، بف » وشرح المازندراني والوافي ومرآة العقول والوسائل </w:t>
      </w:r>
      <w:r w:rsidR="008A74EB">
        <w:rPr>
          <w:rtl/>
        </w:rPr>
        <w:t xml:space="preserve">: </w:t>
      </w:r>
      <w:r w:rsidR="0084262C">
        <w:rPr>
          <w:rtl/>
        </w:rPr>
        <w:t>-</w:t>
      </w:r>
      <w:r w:rsidR="008A74EB" w:rsidRPr="00C9040A">
        <w:rPr>
          <w:rtl/>
        </w:rPr>
        <w:t xml:space="preserve"> « في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w:t>
      </w:r>
      <w:r w:rsidR="008A74EB" w:rsidRPr="00993B55">
        <w:rPr>
          <w:rStyle w:val="libFootnoteBoldChar"/>
          <w:rtl/>
        </w:rPr>
        <w:t>ثواب الأعمال</w:t>
      </w:r>
      <w:r w:rsidR="008A74EB" w:rsidRPr="00C9040A">
        <w:rPr>
          <w:rtl/>
        </w:rPr>
        <w:t xml:space="preserve"> ، ص 217 ، ح 1 ، بسند آخر عن أبي الحسن الرضا ، عن أبيه </w:t>
      </w:r>
      <w:r w:rsidR="00117575" w:rsidRPr="00117575">
        <w:rPr>
          <w:rStyle w:val="libFootnoteAlaemChar"/>
          <w:rtl/>
        </w:rPr>
        <w:t>عليهما‌السلام</w:t>
      </w:r>
      <w:r w:rsidR="008A74EB" w:rsidRPr="00C9040A">
        <w:rPr>
          <w:rtl/>
        </w:rPr>
        <w:t xml:space="preserve"> ، قال : « قال أبو عبد الله </w:t>
      </w:r>
      <w:r w:rsidR="00117575" w:rsidRPr="00117575">
        <w:rPr>
          <w:rStyle w:val="libFootnoteAlaemChar"/>
          <w:rtl/>
        </w:rPr>
        <w:t>عليه‌السلام</w:t>
      </w:r>
      <w:r w:rsidR="008A74EB" w:rsidRPr="00C9040A">
        <w:rPr>
          <w:rtl/>
        </w:rPr>
        <w:t xml:space="preserve"> : نجاة المؤمن</w:t>
      </w:r>
      <w:r w:rsidR="008A74EB">
        <w:rPr>
          <w:rtl/>
        </w:rPr>
        <w:t xml:space="preserve"> ..</w:t>
      </w:r>
      <w:r w:rsidR="008A74EB" w:rsidRPr="00C9040A">
        <w:rPr>
          <w:rtl/>
        </w:rPr>
        <w:t>. »</w:t>
      </w:r>
      <w:r w:rsidR="00F93C77">
        <w:rPr>
          <w:rFonts w:hint="cs"/>
          <w:rtl/>
        </w:rPr>
        <w:t>.</w:t>
      </w:r>
      <w:r w:rsidR="008A74EB" w:rsidRPr="00993B55">
        <w:rPr>
          <w:rStyle w:val="libFootnoteBoldChar"/>
          <w:rtl/>
        </w:rPr>
        <w:t>الوافي</w:t>
      </w:r>
      <w:r w:rsidR="008A74EB" w:rsidRPr="00C9040A">
        <w:rPr>
          <w:rtl/>
        </w:rPr>
        <w:t xml:space="preserve"> ، ج 4 ، ص 451 ، ح 2319 ؛ </w:t>
      </w:r>
      <w:r w:rsidR="008A74EB" w:rsidRPr="00993B55">
        <w:rPr>
          <w:rStyle w:val="libFootnoteBoldChar"/>
          <w:rtl/>
        </w:rPr>
        <w:t>الوسائل</w:t>
      </w:r>
      <w:r w:rsidR="008A74EB" w:rsidRPr="00C9040A">
        <w:rPr>
          <w:rtl/>
        </w:rPr>
        <w:t xml:space="preserve"> ، ج 12 ، ص 190 ، ح 16051 ؛ </w:t>
      </w:r>
      <w:r w:rsidR="008A74EB" w:rsidRPr="00993B55">
        <w:rPr>
          <w:rStyle w:val="libFootnoteBoldChar"/>
          <w:rtl/>
        </w:rPr>
        <w:t>البحار</w:t>
      </w:r>
      <w:r w:rsidR="008A74EB" w:rsidRPr="00C9040A">
        <w:rPr>
          <w:rtl/>
        </w:rPr>
        <w:t xml:space="preserve"> ، ج 71 ، ص 300 ، ح 73.</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253DAC">
        <w:rPr>
          <w:rtl/>
        </w:rPr>
        <w:t>1829</w:t>
      </w:r>
      <w:r w:rsidRPr="00261CB0">
        <w:rPr>
          <w:rStyle w:val="libBold2Char"/>
          <w:rtl/>
        </w:rPr>
        <w:t xml:space="preserve"> / 10.</w:t>
      </w:r>
      <w:r w:rsidRPr="00C9040A">
        <w:rPr>
          <w:rtl/>
          <w:lang w:bidi="fa-IR"/>
        </w:rPr>
        <w:t xml:space="preserve"> يُونُسُ </w:t>
      </w:r>
      <w:r w:rsidR="006C577F" w:rsidRPr="006C577F">
        <w:rPr>
          <w:rStyle w:val="libFootnotenumChar"/>
          <w:rtl/>
        </w:rPr>
        <w:t>(1)</w:t>
      </w:r>
      <w:r w:rsidRPr="00C9040A">
        <w:rPr>
          <w:rtl/>
          <w:lang w:bidi="fa-IR"/>
        </w:rPr>
        <w:t xml:space="preserve"> ، عَنْ مُثَنًّى ، عَنْ أَبِي بَصِيرٍ ، قَالَ :</w:t>
      </w:r>
    </w:p>
    <w:p w:rsidR="008A74EB" w:rsidRPr="00C9040A" w:rsidRDefault="008A74EB" w:rsidP="008A74EB">
      <w:pPr>
        <w:pStyle w:val="libNormal"/>
        <w:rPr>
          <w:rtl/>
          <w:lang w:bidi="fa-IR"/>
        </w:rPr>
      </w:pPr>
      <w:r w:rsidRPr="00C9040A">
        <w:rPr>
          <w:rtl/>
          <w:lang w:bidi="fa-IR"/>
        </w:rPr>
        <w:t xml:space="preserve">سَمِعْتُ أَبَا جَعْفَرٍ </w:t>
      </w:r>
      <w:r w:rsidRPr="0003660B">
        <w:rPr>
          <w:rStyle w:val="libAlaemChar"/>
          <w:rtl/>
        </w:rPr>
        <w:t>عليه‌السلام</w:t>
      </w:r>
      <w:r w:rsidRPr="00C9040A">
        <w:rPr>
          <w:rtl/>
          <w:lang w:bidi="fa-IR"/>
        </w:rPr>
        <w:t xml:space="preserve"> يَقُولُ : « كَانَ أَبُو ذَرٍّ</w:t>
      </w:r>
      <w:r>
        <w:rPr>
          <w:rtl/>
          <w:lang w:bidi="fa-IR"/>
        </w:rPr>
        <w:t xml:space="preserve"> </w:t>
      </w:r>
      <w:r w:rsidR="0084262C">
        <w:rPr>
          <w:rtl/>
          <w:lang w:bidi="fa-IR"/>
        </w:rPr>
        <w:t>-</w:t>
      </w:r>
      <w:r>
        <w:rPr>
          <w:rtl/>
          <w:lang w:bidi="fa-IR"/>
        </w:rPr>
        <w:t xml:space="preserve"> </w:t>
      </w:r>
      <w:r w:rsidRPr="00C9040A">
        <w:rPr>
          <w:rtl/>
          <w:lang w:bidi="fa-IR"/>
        </w:rPr>
        <w:t xml:space="preserve">رَحِمَهُ اللهُ </w:t>
      </w:r>
      <w:r w:rsidR="006C577F" w:rsidRPr="006C577F">
        <w:rPr>
          <w:rStyle w:val="libFootnotenumChar"/>
          <w:rtl/>
        </w:rPr>
        <w:t>(2)</w:t>
      </w:r>
      <w:r>
        <w:rPr>
          <w:rtl/>
          <w:lang w:bidi="fa-IR"/>
        </w:rPr>
        <w:t xml:space="preserve"> </w:t>
      </w:r>
      <w:r w:rsidR="0084262C">
        <w:rPr>
          <w:rtl/>
          <w:lang w:bidi="fa-IR"/>
        </w:rPr>
        <w:t>-</w:t>
      </w:r>
      <w:r>
        <w:rPr>
          <w:rtl/>
          <w:lang w:bidi="fa-IR"/>
        </w:rPr>
        <w:t xml:space="preserve"> </w:t>
      </w:r>
      <w:r w:rsidRPr="00C9040A">
        <w:rPr>
          <w:rtl/>
          <w:lang w:bidi="fa-IR"/>
        </w:rPr>
        <w:t xml:space="preserve">يَقُولُ : يَا مُبْتَغِيَ </w:t>
      </w:r>
      <w:r w:rsidR="006C577F" w:rsidRPr="006C577F">
        <w:rPr>
          <w:rStyle w:val="libFootnotenumChar"/>
          <w:rtl/>
        </w:rPr>
        <w:t>(3)</w:t>
      </w:r>
      <w:r w:rsidRPr="00C9040A">
        <w:rPr>
          <w:rtl/>
          <w:lang w:bidi="fa-IR"/>
        </w:rPr>
        <w:t xml:space="preserve"> الْعِلْمِ ، إِنَّ هذَا اللِّسَانَ مِفْتَاحُ خَيْرٍ ، وَمِفْتَاحُ شَرٍّ ، فَاخْتِمْ عَلى لِسَانِكَ </w:t>
      </w:r>
      <w:r w:rsidR="006C577F" w:rsidRPr="006C577F">
        <w:rPr>
          <w:rStyle w:val="libFootnotenumChar"/>
          <w:rtl/>
        </w:rPr>
        <w:t>(4)</w:t>
      </w:r>
      <w:r w:rsidRPr="00C9040A">
        <w:rPr>
          <w:rtl/>
          <w:lang w:bidi="fa-IR"/>
        </w:rPr>
        <w:t xml:space="preserve"> كَمَا تَخْتِمُ عَلى ذَهَبِكَ وَوَرِقِكَ </w:t>
      </w:r>
      <w:r w:rsidR="006C577F" w:rsidRPr="006C577F">
        <w:rPr>
          <w:rStyle w:val="libFootnotenumChar"/>
          <w:rtl/>
        </w:rPr>
        <w:t>(5)</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(6)</w:t>
      </w:r>
    </w:p>
    <w:p w:rsidR="008A74EB" w:rsidRPr="00C9040A" w:rsidRDefault="008A74EB" w:rsidP="008A74EB">
      <w:pPr>
        <w:pStyle w:val="libNormal"/>
        <w:rPr>
          <w:rtl/>
          <w:lang w:bidi="fa-IR"/>
        </w:rPr>
      </w:pPr>
      <w:r w:rsidRPr="00253DAC">
        <w:rPr>
          <w:rtl/>
        </w:rPr>
        <w:t>1830</w:t>
      </w:r>
      <w:r w:rsidRPr="00261CB0">
        <w:rPr>
          <w:rStyle w:val="libBold2Char"/>
          <w:rtl/>
        </w:rPr>
        <w:t xml:space="preserve"> / 11.</w:t>
      </w:r>
      <w:r w:rsidRPr="00C9040A">
        <w:rPr>
          <w:rtl/>
          <w:lang w:bidi="fa-IR"/>
        </w:rPr>
        <w:t xml:space="preserve"> حُمَيْدُ بْنُ زِيَادٍ ، عَنِ الْخَشَّابِ ، عَنِ ابْنِ بَقَّاحٍ ، عَنْ مُعَاذِ </w:t>
      </w:r>
      <w:r w:rsidR="006C577F" w:rsidRPr="006C577F">
        <w:rPr>
          <w:rStyle w:val="libFootnotenumChar"/>
          <w:rtl/>
        </w:rPr>
        <w:t>(7)</w:t>
      </w:r>
      <w:r w:rsidRPr="00C9040A">
        <w:rPr>
          <w:rtl/>
          <w:lang w:bidi="fa-IR"/>
        </w:rPr>
        <w:t xml:space="preserve"> بْنِ ثَابِتٍ ، عَنْ عَمْرِو بْنِ جُمَيْعٍ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كَانَ الْمَسِيحُ </w:t>
      </w:r>
      <w:r w:rsidRPr="0003660B">
        <w:rPr>
          <w:rStyle w:val="libAlaemChar"/>
          <w:rtl/>
        </w:rPr>
        <w:t>عليه‌السلام</w:t>
      </w:r>
      <w:r w:rsidRPr="00C9040A">
        <w:rPr>
          <w:rtl/>
          <w:lang w:bidi="fa-IR"/>
        </w:rPr>
        <w:t xml:space="preserve"> يَقُولُ : لَاتُكْثِرُوا </w:t>
      </w:r>
      <w:r w:rsidR="006C577F" w:rsidRPr="006C577F">
        <w:rPr>
          <w:rStyle w:val="libFootnotenumChar"/>
          <w:rtl/>
        </w:rPr>
        <w:t>(8)</w:t>
      </w:r>
      <w:r w:rsidRPr="00C9040A">
        <w:rPr>
          <w:rtl/>
          <w:lang w:bidi="fa-IR"/>
        </w:rPr>
        <w:t xml:space="preserve"> الْكَلَامَ فِي غَيْرِ ذِكْرِ اللهِ ؛ فَإِنَّ الَّذِينَ يُكْثِرُونَ الْكَلَامَ فِي غَيْرِ ذِكْرِ اللهِ </w:t>
      </w:r>
      <w:r w:rsidR="006C577F" w:rsidRPr="006C577F">
        <w:rPr>
          <w:rStyle w:val="libFootnotenumChar"/>
          <w:rtl/>
        </w:rPr>
        <w:t>(9)</w:t>
      </w:r>
      <w:r w:rsidRPr="00C9040A">
        <w:rPr>
          <w:rtl/>
          <w:lang w:bidi="fa-IR"/>
        </w:rPr>
        <w:t xml:space="preserve"> قَاسِيَةٌ قُلُوبُهُمْ ، وَلكِنْ‌</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السند معلّق على سابقه ، ويروي عن يونس ، عليّ بن إبراهيم عن محمّد بن عيسى. ويؤيّد ذلك ما ورد في </w:t>
      </w:r>
      <w:r w:rsidR="008A74EB" w:rsidRPr="00993B55">
        <w:rPr>
          <w:rStyle w:val="libFootnoteBoldChar"/>
          <w:rtl/>
        </w:rPr>
        <w:t>تأويل الآيات</w:t>
      </w:r>
      <w:r w:rsidR="008A74EB" w:rsidRPr="00C9040A">
        <w:rPr>
          <w:rtl/>
        </w:rPr>
        <w:t xml:space="preserve"> ، ص 334 ، من رواية محمّد بن عيسى عن يونس عن المثنّى الحنّاط.</w:t>
      </w:r>
    </w:p>
    <w:p w:rsidR="008A74EB" w:rsidRPr="00C9040A" w:rsidRDefault="006C577F" w:rsidP="00AC2E2F">
      <w:pPr>
        <w:pStyle w:val="libFootnote0"/>
        <w:rPr>
          <w:rtl/>
          <w:lang w:bidi="fa-IR"/>
        </w:rPr>
      </w:pPr>
      <w:r>
        <w:rPr>
          <w:rtl/>
        </w:rPr>
        <w:t>(2).</w:t>
      </w:r>
      <w:r w:rsidR="008A74EB">
        <w:rPr>
          <w:rtl/>
        </w:rPr>
        <w:t xml:space="preserve"> </w:t>
      </w:r>
      <w:r w:rsidR="008A74EB" w:rsidRPr="00C9040A">
        <w:rPr>
          <w:rtl/>
        </w:rPr>
        <w:t xml:space="preserve">في « ب ، ج » والوافي والبحار </w:t>
      </w:r>
      <w:r w:rsidR="008A74EB">
        <w:rPr>
          <w:rtl/>
        </w:rPr>
        <w:t xml:space="preserve">: </w:t>
      </w:r>
      <w:r w:rsidR="0084262C">
        <w:rPr>
          <w:rtl/>
        </w:rPr>
        <w:t>-</w:t>
      </w:r>
      <w:r w:rsidR="008A74EB" w:rsidRPr="00C9040A">
        <w:rPr>
          <w:rtl/>
        </w:rPr>
        <w:t xml:space="preserve"> « </w:t>
      </w:r>
      <w:r w:rsidR="00AC2E2F" w:rsidRPr="00AC2E2F">
        <w:rPr>
          <w:rStyle w:val="libFootnoteAlaemChar"/>
          <w:rtl/>
        </w:rPr>
        <w:t>رحمه‌الله</w:t>
      </w:r>
      <w:r w:rsidR="00AC2E2F" w:rsidRPr="00C9040A">
        <w:rPr>
          <w:rtl/>
        </w:rPr>
        <w:t xml:space="preserve"> </w:t>
      </w:r>
      <w:r w:rsidR="008A74EB" w:rsidRPr="00C9040A">
        <w:rPr>
          <w:rtl/>
        </w:rPr>
        <w:t>»</w:t>
      </w:r>
      <w:r w:rsidR="008A74EB">
        <w:rPr>
          <w:rtl/>
        </w:rPr>
        <w:t>.</w:t>
      </w:r>
      <w:r w:rsidR="008A74EB" w:rsidRPr="00C9040A">
        <w:rPr>
          <w:rtl/>
        </w:rPr>
        <w:t xml:space="preserve"> وفي « د ، ص ، بس ، بف » : « </w:t>
      </w:r>
      <w:r w:rsidR="008A74EB" w:rsidRPr="00F93C77">
        <w:rPr>
          <w:rtl/>
        </w:rPr>
        <w:t>عليه</w:t>
      </w:r>
      <w:r w:rsidR="00F93C77">
        <w:rPr>
          <w:rFonts w:hint="cs"/>
          <w:rtl/>
        </w:rPr>
        <w:t xml:space="preserve"> </w:t>
      </w:r>
      <w:r w:rsidR="008A74EB" w:rsidRPr="00F93C77">
        <w:rPr>
          <w:rtl/>
        </w:rPr>
        <w:t>‌السلام</w:t>
      </w:r>
      <w:r w:rsidR="008A74EB" w:rsidRPr="00C9040A">
        <w:rPr>
          <w:rtl/>
        </w:rPr>
        <w:t xml:space="preserve"> »</w:t>
      </w:r>
      <w:r w:rsidR="008A74EB">
        <w:rPr>
          <w:rtl/>
        </w:rPr>
        <w:t>.</w:t>
      </w:r>
      <w:r w:rsidR="008A74EB" w:rsidRPr="00C9040A">
        <w:rPr>
          <w:rtl/>
        </w:rPr>
        <w:t xml:space="preserve"> وفي « ف » : + « الرحيم »</w:t>
      </w:r>
      <w:r w:rsidR="008A74EB">
        <w:rPr>
          <w:rtl/>
        </w:rPr>
        <w:t>.</w:t>
      </w:r>
      <w:r w:rsidR="008A74EB" w:rsidRPr="00C9040A">
        <w:rPr>
          <w:rtl/>
        </w:rPr>
        <w:t xml:space="preserve"> وفي « بر » : « عليه الرحمة »</w:t>
      </w:r>
      <w:r w:rsidR="008A74EB">
        <w:rPr>
          <w:rtl/>
        </w:rPr>
        <w:t>.</w:t>
      </w:r>
      <w:r w:rsidR="00F93C77">
        <w:rPr>
          <w:rFonts w:hint="cs"/>
          <w:rtl/>
        </w:rPr>
        <w:t xml:space="preserve">     </w:t>
      </w:r>
      <w:r>
        <w:rPr>
          <w:rtl/>
        </w:rPr>
        <w:t>(3).</w:t>
      </w:r>
      <w:r w:rsidR="008A74EB" w:rsidRPr="00C9040A">
        <w:rPr>
          <w:rtl/>
        </w:rPr>
        <w:t xml:space="preserve"> </w:t>
      </w:r>
      <w:r w:rsidR="00A017E7">
        <w:rPr>
          <w:rtl/>
        </w:rPr>
        <w:t>في الأمالي للطوسي:«ياباغي</w:t>
      </w:r>
      <w:r w:rsidR="008A74EB" w:rsidRPr="00C9040A">
        <w:rPr>
          <w:rtl/>
        </w:rPr>
        <w:t>»</w:t>
      </w:r>
      <w:r w:rsidR="008A74EB">
        <w:rPr>
          <w:rtl/>
        </w:rPr>
        <w:t>.</w:t>
      </w:r>
      <w:r w:rsidR="00A017E7">
        <w:rPr>
          <w:rtl/>
        </w:rPr>
        <w:t>ومبتغي العلم</w:t>
      </w:r>
      <w:r w:rsidR="008A74EB" w:rsidRPr="00C9040A">
        <w:rPr>
          <w:rtl/>
        </w:rPr>
        <w:t>: طالبه.</w:t>
      </w:r>
    </w:p>
    <w:p w:rsidR="008A74EB" w:rsidRPr="00C9040A" w:rsidRDefault="006C577F" w:rsidP="004A4E41">
      <w:pPr>
        <w:pStyle w:val="libFootnote0"/>
        <w:rPr>
          <w:rtl/>
          <w:lang w:bidi="fa-IR"/>
        </w:rPr>
      </w:pPr>
      <w:r>
        <w:rPr>
          <w:rtl/>
        </w:rPr>
        <w:t>(4).</w:t>
      </w:r>
      <w:r w:rsidR="008A74EB" w:rsidRPr="00C9040A">
        <w:rPr>
          <w:rtl/>
        </w:rPr>
        <w:t xml:space="preserve"> في تحف العقول و</w:t>
      </w:r>
      <w:r w:rsidR="008A74EB" w:rsidRPr="0034021D">
        <w:rPr>
          <w:rStyle w:val="libFootnoteBoldChar"/>
          <w:rtl/>
        </w:rPr>
        <w:t>الأمالي للمفيد</w:t>
      </w:r>
      <w:r w:rsidR="008A74EB" w:rsidRPr="00C9040A">
        <w:rPr>
          <w:rtl/>
        </w:rPr>
        <w:t xml:space="preserve"> والطوسي : « فمك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 الوَرِق » : الدراهم المضروبة. ومنهم من يقول : الفضّة ، مضروبةً كانت أو غير مضروبة. وفيه ثلاث لغات : وَرِق ، ووِرْق ، ووَرَق. </w:t>
      </w:r>
      <w:r w:rsidR="008A74EB" w:rsidRPr="00993B55">
        <w:rPr>
          <w:rStyle w:val="libFootnoteBoldChar"/>
          <w:rtl/>
        </w:rPr>
        <w:t>الصحاح</w:t>
      </w:r>
      <w:r w:rsidR="008A74EB" w:rsidRPr="00C9040A">
        <w:rPr>
          <w:rtl/>
        </w:rPr>
        <w:t xml:space="preserve"> ، ج 4 ، ص 1564 ، وراجع : </w:t>
      </w:r>
      <w:r w:rsidR="008A74EB" w:rsidRPr="00993B55">
        <w:rPr>
          <w:rStyle w:val="libFootnoteBoldChar"/>
          <w:rtl/>
        </w:rPr>
        <w:t>المصباح المنير</w:t>
      </w:r>
      <w:r w:rsidR="008A74EB" w:rsidRPr="00C9040A">
        <w:rPr>
          <w:rtl/>
        </w:rPr>
        <w:t xml:space="preserve"> ، ص 655 ( ورق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34021D">
        <w:rPr>
          <w:rStyle w:val="libFootnoteBoldChar"/>
          <w:rtl/>
        </w:rPr>
        <w:t>الأمالي للمفيد</w:t>
      </w:r>
      <w:r w:rsidR="008A74EB" w:rsidRPr="00C9040A">
        <w:rPr>
          <w:rtl/>
        </w:rPr>
        <w:t xml:space="preserve"> ، ص 179 ، المجلس 23 ، ضمن الحديث الطويل 1 ؛ </w:t>
      </w:r>
      <w:r w:rsidR="008A74EB" w:rsidRPr="00AC2E2F">
        <w:rPr>
          <w:rStyle w:val="libFootnoteBoldChar"/>
          <w:rtl/>
        </w:rPr>
        <w:t>والأمالي للطوسي</w:t>
      </w:r>
      <w:r w:rsidR="008A74EB" w:rsidRPr="00C9040A">
        <w:rPr>
          <w:rtl/>
        </w:rPr>
        <w:t xml:space="preserve"> ، ص 543 ، المجلس 20 ، ضمن الحديث الطويل 2 ، بسند آخر عن أبي بصير ، عن أبي جعفر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تحف العقول</w:t>
      </w:r>
      <w:r w:rsidR="008A74EB" w:rsidRPr="00C9040A">
        <w:rPr>
          <w:rtl/>
        </w:rPr>
        <w:t xml:space="preserve"> ، ص 395 ، ضمن الحديث الطويل ، عن موسى بن جعفر </w:t>
      </w:r>
      <w:r w:rsidR="00117575" w:rsidRPr="00117575">
        <w:rPr>
          <w:rStyle w:val="libFootnoteAlaemChar"/>
          <w:rtl/>
        </w:rPr>
        <w:t>عليه‌السلام</w:t>
      </w:r>
      <w:r w:rsidR="008A74EB" w:rsidRPr="00C9040A">
        <w:rPr>
          <w:rtl/>
        </w:rPr>
        <w:t xml:space="preserve"> ، في وصيّته لهشام. وورد : « فاخزن لسانك كما تخزن ذهبك وورقك » في هذه المصادر : </w:t>
      </w:r>
      <w:r w:rsidR="008A74EB" w:rsidRPr="00993B55">
        <w:rPr>
          <w:rStyle w:val="libFootnoteBoldChar"/>
          <w:rtl/>
        </w:rPr>
        <w:t>الفقيه</w:t>
      </w:r>
      <w:r w:rsidR="008A74EB" w:rsidRPr="00C9040A">
        <w:rPr>
          <w:rtl/>
        </w:rPr>
        <w:t xml:space="preserve"> ، ج 4 ، ص 388 ، ضمن الحديث الطويل 5834 ، بسند آخر عن أبي عبد الله ، عن أمير المؤمنين </w:t>
      </w:r>
      <w:r w:rsidR="00117575" w:rsidRPr="00117575">
        <w:rPr>
          <w:rStyle w:val="libFootnoteAlaemChar"/>
          <w:rtl/>
        </w:rPr>
        <w:t>عليهما‌السلام</w:t>
      </w:r>
      <w:r w:rsidR="008A74EB" w:rsidRPr="00C9040A">
        <w:rPr>
          <w:rtl/>
        </w:rPr>
        <w:t xml:space="preserve"> ؛ و</w:t>
      </w:r>
      <w:r w:rsidR="008A74EB" w:rsidRPr="00993B55">
        <w:rPr>
          <w:rStyle w:val="libFootnoteBoldChar"/>
          <w:rtl/>
        </w:rPr>
        <w:t>الاختصاص</w:t>
      </w:r>
      <w:r w:rsidR="008A74EB" w:rsidRPr="00C9040A">
        <w:rPr>
          <w:rtl/>
        </w:rPr>
        <w:t xml:space="preserve"> ، ص 229 ، مرسلاً عن عليّ </w:t>
      </w:r>
      <w:r w:rsidR="00117575" w:rsidRPr="00117575">
        <w:rPr>
          <w:rStyle w:val="libFootnoteAlaemChar"/>
          <w:rtl/>
        </w:rPr>
        <w:t>عليه‌السلام</w:t>
      </w:r>
      <w:r w:rsidR="008A74EB" w:rsidRPr="00C9040A">
        <w:rPr>
          <w:rtl/>
        </w:rPr>
        <w:t xml:space="preserve"> ، مع زيادة في أوّله ؛ </w:t>
      </w:r>
      <w:r w:rsidR="008A74EB" w:rsidRPr="00993B55">
        <w:rPr>
          <w:rStyle w:val="libFootnoteBoldChar"/>
          <w:rtl/>
        </w:rPr>
        <w:t>نهج البلاغة</w:t>
      </w:r>
      <w:r w:rsidR="008A74EB" w:rsidRPr="00C9040A">
        <w:rPr>
          <w:rtl/>
        </w:rPr>
        <w:t xml:space="preserve"> ، ص 543 ، الحكمة 381 ، مع زيادة في أوّله وآخره</w:t>
      </w:r>
      <w:r w:rsidR="00A017E7">
        <w:rPr>
          <w:rFonts w:hint="cs"/>
          <w:rtl/>
        </w:rPr>
        <w:t>.</w:t>
      </w:r>
      <w:r w:rsidR="008A74EB" w:rsidRPr="00993B55">
        <w:rPr>
          <w:rStyle w:val="libFootnoteBoldChar"/>
          <w:rtl/>
        </w:rPr>
        <w:t>الوافي</w:t>
      </w:r>
      <w:r w:rsidR="008A74EB" w:rsidRPr="00C9040A">
        <w:rPr>
          <w:rtl/>
        </w:rPr>
        <w:t xml:space="preserve"> ، ج 4 ، ص 451 ، ح 2320 ؛ </w:t>
      </w:r>
      <w:r w:rsidR="008A74EB" w:rsidRPr="00993B55">
        <w:rPr>
          <w:rStyle w:val="libFootnoteBoldChar"/>
          <w:rtl/>
        </w:rPr>
        <w:t>الوسائل</w:t>
      </w:r>
      <w:r w:rsidR="008A74EB" w:rsidRPr="00C9040A">
        <w:rPr>
          <w:rtl/>
        </w:rPr>
        <w:t xml:space="preserve"> ، ج 12 ، ص 191 ، ح 16052 ؛ </w:t>
      </w:r>
      <w:r w:rsidR="008A74EB" w:rsidRPr="00993B55">
        <w:rPr>
          <w:rStyle w:val="libFootnoteBoldChar"/>
          <w:rtl/>
        </w:rPr>
        <w:t>البحار</w:t>
      </w:r>
      <w:r w:rsidR="008A74EB" w:rsidRPr="00C9040A">
        <w:rPr>
          <w:rtl/>
        </w:rPr>
        <w:t xml:space="preserve"> ، ج 71 ، ص 301 ، ح 74.</w:t>
      </w:r>
    </w:p>
    <w:p w:rsidR="008A74EB" w:rsidRPr="00C9040A" w:rsidRDefault="006C577F" w:rsidP="004A4E41">
      <w:pPr>
        <w:pStyle w:val="libFootnote0"/>
        <w:rPr>
          <w:rtl/>
          <w:lang w:bidi="fa-IR"/>
        </w:rPr>
      </w:pPr>
      <w:r>
        <w:rPr>
          <w:rtl/>
        </w:rPr>
        <w:t>(7).</w:t>
      </w:r>
      <w:r w:rsidR="008A74EB" w:rsidRPr="00C9040A">
        <w:rPr>
          <w:rtl/>
        </w:rPr>
        <w:t xml:space="preserve"> في « ز ، بس » : « معاد »</w:t>
      </w:r>
      <w:r w:rsidR="008A74EB">
        <w:rPr>
          <w:rtl/>
        </w:rPr>
        <w:t>.</w:t>
      </w:r>
      <w:r w:rsidR="008A74EB" w:rsidRPr="00C9040A">
        <w:rPr>
          <w:rtl/>
        </w:rPr>
        <w:t xml:space="preserve"> ومُعاذ هذا ، هو مُعاذ بن ثابت الجوهري ، روى كتابه الحسن بن عليّ بن يوسف‌المعروف بابن بقّاح. راجع : </w:t>
      </w:r>
      <w:r w:rsidR="008A74EB" w:rsidRPr="0034021D">
        <w:rPr>
          <w:rStyle w:val="libFootnoteBoldChar"/>
          <w:rtl/>
        </w:rPr>
        <w:t>الفهرست للطوسي</w:t>
      </w:r>
      <w:r w:rsidR="008A74EB" w:rsidRPr="00C9040A">
        <w:rPr>
          <w:rtl/>
        </w:rPr>
        <w:t xml:space="preserve"> ، ص 472 ، الرقم 757.</w:t>
      </w:r>
    </w:p>
    <w:p w:rsidR="008A74EB" w:rsidRPr="00C9040A" w:rsidRDefault="006C577F" w:rsidP="004A4E41">
      <w:pPr>
        <w:pStyle w:val="libFootnote0"/>
        <w:rPr>
          <w:rtl/>
          <w:lang w:bidi="fa-IR"/>
        </w:rPr>
      </w:pPr>
      <w:r>
        <w:rPr>
          <w:rtl/>
        </w:rPr>
        <w:t>(8).</w:t>
      </w:r>
      <w:r w:rsidR="008A74EB" w:rsidRPr="00C9040A">
        <w:rPr>
          <w:rtl/>
        </w:rPr>
        <w:t xml:space="preserve"> في « ض » : « لا تكثّروا » بالتشديد.</w:t>
      </w:r>
    </w:p>
    <w:p w:rsidR="008A74EB" w:rsidRPr="00C9040A" w:rsidRDefault="006C577F" w:rsidP="004A4E41">
      <w:pPr>
        <w:pStyle w:val="libFootnote0"/>
        <w:rPr>
          <w:rtl/>
          <w:lang w:bidi="fa-IR"/>
        </w:rPr>
      </w:pPr>
      <w:r>
        <w:rPr>
          <w:rtl/>
        </w:rPr>
        <w:t>(9).</w:t>
      </w:r>
      <w:r w:rsidR="008A74EB" w:rsidRPr="00C9040A">
        <w:rPr>
          <w:rtl/>
        </w:rPr>
        <w:t xml:space="preserve"> في « ز ، ض ، بف » والوافي والبحار ، ج 14 </w:t>
      </w:r>
      <w:r w:rsidR="008A74EB">
        <w:rPr>
          <w:rtl/>
        </w:rPr>
        <w:t xml:space="preserve">: </w:t>
      </w:r>
      <w:r w:rsidR="0084262C">
        <w:rPr>
          <w:rtl/>
        </w:rPr>
        <w:t>-</w:t>
      </w:r>
      <w:r w:rsidR="008A74EB" w:rsidRPr="00C9040A">
        <w:rPr>
          <w:rtl/>
        </w:rPr>
        <w:t xml:space="preserve"> « في غير ذكر الله »</w:t>
      </w:r>
      <w:r w:rsidR="008A74EB">
        <w:rPr>
          <w:rtl/>
        </w:rPr>
        <w:t>.</w:t>
      </w:r>
      <w:r w:rsidR="008A74EB" w:rsidRPr="00C9040A">
        <w:rPr>
          <w:rtl/>
        </w:rPr>
        <w:t xml:space="preserve"> وفي </w:t>
      </w:r>
      <w:r w:rsidR="008A74EB" w:rsidRPr="00993B55">
        <w:rPr>
          <w:rStyle w:val="libFootnoteBoldChar"/>
          <w:rtl/>
        </w:rPr>
        <w:t>المرآة</w:t>
      </w:r>
      <w:r w:rsidR="008A74EB" w:rsidRPr="00C9040A">
        <w:rPr>
          <w:rtl/>
        </w:rPr>
        <w:t xml:space="preserve"> : « فيه دلالة على أنّ كثرة الكلام </w:t>
      </w:r>
      <w:r w:rsidR="00A017E7">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لَا يَعْلَمُونَ »</w:t>
      </w:r>
      <w:r>
        <w:rPr>
          <w:rtl/>
          <w:lang w:bidi="fa-IR"/>
        </w:rPr>
        <w:t>.</w:t>
      </w:r>
      <w:r w:rsidRPr="00C9040A">
        <w:rPr>
          <w:rtl/>
          <w:lang w:bidi="fa-IR"/>
        </w:rPr>
        <w:t xml:space="preserve"> </w:t>
      </w:r>
      <w:r w:rsidR="006C577F" w:rsidRPr="006C577F">
        <w:rPr>
          <w:rStyle w:val="libFootnotenumChar"/>
          <w:rtl/>
        </w:rPr>
        <w:t>(1)</w:t>
      </w:r>
      <w:r w:rsidRPr="00C9040A">
        <w:rPr>
          <w:rtl/>
          <w:lang w:bidi="fa-IR"/>
        </w:rPr>
        <w:t xml:space="preserve"> ‌</w:t>
      </w:r>
    </w:p>
    <w:p w:rsidR="008A74EB" w:rsidRPr="00C9040A" w:rsidRDefault="008A74EB" w:rsidP="008A74EB">
      <w:pPr>
        <w:pStyle w:val="libNormal"/>
        <w:rPr>
          <w:rtl/>
          <w:lang w:bidi="fa-IR"/>
        </w:rPr>
      </w:pPr>
      <w:r w:rsidRPr="00253DAC">
        <w:rPr>
          <w:rtl/>
        </w:rPr>
        <w:t>1831</w:t>
      </w:r>
      <w:r w:rsidRPr="00261CB0">
        <w:rPr>
          <w:rStyle w:val="libBold2Char"/>
          <w:rtl/>
        </w:rPr>
        <w:t xml:space="preserve"> / 12.</w:t>
      </w:r>
      <w:r w:rsidRPr="00C9040A">
        <w:rPr>
          <w:rtl/>
          <w:lang w:bidi="fa-IR"/>
        </w:rPr>
        <w:t xml:space="preserve"> عِدَّةٌ مِنْ أَصْحَابِنَا ، عَنْ سَهْلِ بْنِ زِيَادٍ ، عَنِ ابْنِ أَبِي نَجْرَانَ ، عَنْ أَبِي جَمِيلَةَ ، عَمَّنْ ذَكَرَهُ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w:t>
      </w:r>
      <w:r w:rsidR="00DB764E">
        <w:rPr>
          <w:rtl/>
          <w:lang w:bidi="fa-IR"/>
        </w:rPr>
        <w:t>قَالَ : « مَا مِنْ يَوْمٍ إِل</w:t>
      </w:r>
      <w:r w:rsidR="00DB764E">
        <w:rPr>
          <w:rFonts w:hint="cs"/>
          <w:rtl/>
          <w:lang w:bidi="fa-IR"/>
        </w:rPr>
        <w:t>َّ</w:t>
      </w:r>
      <w:r w:rsidR="00DB764E">
        <w:rPr>
          <w:rtl/>
          <w:lang w:bidi="fa-IR"/>
        </w:rPr>
        <w:t>ا</w:t>
      </w:r>
      <w:r w:rsidRPr="00C9040A">
        <w:rPr>
          <w:rtl/>
          <w:lang w:bidi="fa-IR"/>
        </w:rPr>
        <w:t xml:space="preserve"> وَكُلُّ عُضْوٍ مِنْ أَعْضَاءِ الْجَسَدِ </w:t>
      </w:r>
      <w:r w:rsidR="006C577F" w:rsidRPr="006C577F">
        <w:rPr>
          <w:rStyle w:val="libFootnotenumChar"/>
          <w:rtl/>
        </w:rPr>
        <w:t>(2)</w:t>
      </w:r>
      <w:r w:rsidRPr="00C9040A">
        <w:rPr>
          <w:rtl/>
          <w:lang w:bidi="fa-IR"/>
        </w:rPr>
        <w:t xml:space="preserve"> يُكَفِّرُ اللِّسَانَ </w:t>
      </w:r>
      <w:r w:rsidR="006C577F" w:rsidRPr="006C577F">
        <w:rPr>
          <w:rStyle w:val="libFootnotenumChar"/>
          <w:rtl/>
        </w:rPr>
        <w:t>(3)</w:t>
      </w:r>
      <w:r w:rsidRPr="00C9040A">
        <w:rPr>
          <w:rtl/>
          <w:lang w:bidi="fa-IR"/>
        </w:rPr>
        <w:t xml:space="preserve"> يَقُولُ : نَشَدْتُكَ اللهَ أَنْ نُعَذَّبَ فِيكَ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253DAC">
        <w:rPr>
          <w:rtl/>
        </w:rPr>
        <w:t>1832</w:t>
      </w:r>
      <w:r w:rsidRPr="00261CB0">
        <w:rPr>
          <w:rStyle w:val="libBold2Char"/>
          <w:rtl/>
        </w:rPr>
        <w:t xml:space="preserve"> / 13.</w:t>
      </w:r>
      <w:r w:rsidRPr="00C9040A">
        <w:rPr>
          <w:rtl/>
          <w:lang w:bidi="fa-IR"/>
        </w:rPr>
        <w:t xml:space="preserve"> مُحَمَّدُ بْنُ يَحْيى ، عَنْ أَحْمَدَ بْنِ مُحَمَّدِ بْنِ عِيسى ، عَنْ عَلِيِّ بْنِ الْحَكَمِ ، عَنْ إِبْرَاهِيمَ بْنِ مِهْزَمٍ الْأَسَدِيِّ ، عَنْ أَبِي حَمْزَةَ :</w:t>
      </w:r>
    </w:p>
    <w:p w:rsidR="008A74EB" w:rsidRPr="00C9040A" w:rsidRDefault="008A74EB" w:rsidP="008A74EB">
      <w:pPr>
        <w:pStyle w:val="libNormal"/>
        <w:rPr>
          <w:rtl/>
          <w:lang w:bidi="fa-IR"/>
        </w:rPr>
      </w:pPr>
      <w:r w:rsidRPr="00C9040A">
        <w:rPr>
          <w:rtl/>
          <w:lang w:bidi="fa-IR"/>
        </w:rPr>
        <w:t xml:space="preserve">عَنْ عَلِيِّ بْنِ الْحُسَيْنِ </w:t>
      </w:r>
      <w:r w:rsidRPr="0003660B">
        <w:rPr>
          <w:rStyle w:val="libAlaemChar"/>
          <w:rtl/>
        </w:rPr>
        <w:t>عليهما‌السلام</w:t>
      </w:r>
      <w:r w:rsidRPr="00C9040A">
        <w:rPr>
          <w:rtl/>
          <w:lang w:bidi="fa-IR"/>
        </w:rPr>
        <w:t xml:space="preserve"> </w:t>
      </w:r>
      <w:r w:rsidR="006C577F" w:rsidRPr="006C577F">
        <w:rPr>
          <w:rStyle w:val="libFootnotenumChar"/>
          <w:rtl/>
        </w:rPr>
        <w:t>(5)</w:t>
      </w:r>
      <w:r w:rsidRPr="00C9040A">
        <w:rPr>
          <w:rtl/>
          <w:lang w:bidi="fa-IR"/>
        </w:rPr>
        <w:t xml:space="preserve"> ، قَالَ : « إِنَّ لِسَانَ ابْنِ آدَمَ يُشْرِفُ </w:t>
      </w:r>
      <w:r w:rsidR="006C577F" w:rsidRPr="006C577F">
        <w:rPr>
          <w:rStyle w:val="libFootnotenumChar"/>
          <w:rtl/>
        </w:rPr>
        <w:t>(6)</w:t>
      </w:r>
      <w:r w:rsidRPr="005B567D">
        <w:rPr>
          <w:rStyle w:val="libFootnotenumChar"/>
          <w:rtl/>
        </w:rPr>
        <w:t xml:space="preserve"> </w:t>
      </w:r>
      <w:r w:rsidRPr="00C9040A">
        <w:rPr>
          <w:rtl/>
          <w:lang w:bidi="fa-IR"/>
        </w:rPr>
        <w:t xml:space="preserve">عَلى جَمِيعِ </w:t>
      </w:r>
      <w:r w:rsidR="006C577F" w:rsidRPr="006C577F">
        <w:rPr>
          <w:rStyle w:val="libFootnotenumChar"/>
          <w:rtl/>
        </w:rPr>
        <w:t>(7)</w:t>
      </w:r>
      <w:r w:rsidRPr="00C9040A">
        <w:rPr>
          <w:rtl/>
          <w:lang w:bidi="fa-IR"/>
        </w:rPr>
        <w:t xml:space="preserve"> جَوَارِحِهِ كُلَّ صَبَاحٍ ، فَيَقُولُ : كَيْفَ أَصْبَحْتُمْ</w:t>
      </w:r>
      <w:r>
        <w:rPr>
          <w:rtl/>
          <w:lang w:bidi="fa-IR"/>
        </w:rPr>
        <w:t>؟</w:t>
      </w:r>
      <w:r w:rsidRPr="00C9040A">
        <w:rPr>
          <w:rtl/>
          <w:lang w:bidi="fa-IR"/>
        </w:rPr>
        <w:t xml:space="preserve"> فَيَقُولُونَ : بِخَيْرٍ إِنْ تَرَكْتَنَا ، وَ</w:t>
      </w:r>
      <w:r>
        <w:rPr>
          <w:rFonts w:hint="cs"/>
          <w:rtl/>
          <w:lang w:bidi="fa-IR"/>
        </w:rPr>
        <w:t xml:space="preserve"> </w:t>
      </w:r>
      <w:r w:rsidR="006C577F" w:rsidRPr="006C577F">
        <w:rPr>
          <w:rStyle w:val="libFootnotenumChar"/>
          <w:rtl/>
        </w:rPr>
        <w:t>(8)</w:t>
      </w:r>
      <w:r w:rsidRPr="00C9040A">
        <w:rPr>
          <w:rtl/>
          <w:lang w:bidi="fa-IR"/>
        </w:rPr>
        <w:t xml:space="preserve"> يَقُولُونَ : اللهَ اللهَ فِينَا ، وَيُنَاشِدُونَهُ وَيَقُولُونَ : إِنَّمَا نُثَابُ وَنُعَاقَبُ بِكَ </w:t>
      </w:r>
      <w:r w:rsidR="006C577F" w:rsidRPr="006C577F">
        <w:rPr>
          <w:rStyle w:val="libFootnotenumChar"/>
          <w:rtl/>
        </w:rPr>
        <w:t>(9)</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DB764E" w:rsidRDefault="00DB764E" w:rsidP="004A4E41">
      <w:pPr>
        <w:pStyle w:val="libFootnote0"/>
        <w:rPr>
          <w:rtl/>
        </w:rPr>
      </w:pPr>
      <w:r>
        <w:rPr>
          <w:rFonts w:hint="cs"/>
          <w:rtl/>
        </w:rPr>
        <w:t xml:space="preserve">= في الاُمور المباحة يوجب قساوة القلب، و أمّا الكلام في الاُمور الباطلة فقيلة كالكثير في إيجاب </w:t>
      </w:r>
      <w:r w:rsidR="00CE6267">
        <w:rPr>
          <w:rFonts w:hint="cs"/>
          <w:rtl/>
        </w:rPr>
        <w:t>القساوة و النهي عنه</w:t>
      </w:r>
      <w:r w:rsidR="00CE6267" w:rsidRPr="00C9040A">
        <w:rPr>
          <w:rtl/>
        </w:rPr>
        <w:t>»</w:t>
      </w:r>
      <w:r w:rsidR="00CE6267">
        <w:rPr>
          <w:rFonts w:hint="cs"/>
          <w:rtl/>
        </w:rPr>
        <w:t>.</w:t>
      </w:r>
    </w:p>
    <w:p w:rsidR="008A74EB" w:rsidRPr="00C9040A" w:rsidRDefault="006C577F" w:rsidP="00AC2E2F">
      <w:pPr>
        <w:pStyle w:val="libFootnote0"/>
        <w:rPr>
          <w:rtl/>
          <w:lang w:bidi="fa-IR"/>
        </w:rPr>
      </w:pPr>
      <w:r>
        <w:rPr>
          <w:rtl/>
        </w:rPr>
        <w:t>(1).</w:t>
      </w:r>
      <w:r w:rsidR="008A74EB">
        <w:rPr>
          <w:rtl/>
        </w:rPr>
        <w:t xml:space="preserve"> </w:t>
      </w:r>
      <w:r w:rsidR="008A74EB" w:rsidRPr="0034021D">
        <w:rPr>
          <w:rStyle w:val="libFootnoteBoldChar"/>
          <w:rtl/>
        </w:rPr>
        <w:t>الأمالي للمفيد</w:t>
      </w:r>
      <w:r w:rsidR="008A74EB" w:rsidRPr="00C9040A">
        <w:rPr>
          <w:rtl/>
        </w:rPr>
        <w:t xml:space="preserve"> ، ص 208 ، المجلس 23 ، ضمن الحديث الطويل 43 ، بسنده عن ابن سنان ، عن أبي عبد الله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الأمالي</w:t>
      </w:r>
      <w:r w:rsidR="008A74EB" w:rsidRPr="00AC2E2F">
        <w:rPr>
          <w:rStyle w:val="libFootnoteBoldChar"/>
          <w:rtl/>
        </w:rPr>
        <w:t xml:space="preserve"> للطوسي</w:t>
      </w:r>
      <w:r w:rsidR="008A74EB" w:rsidRPr="00C9040A">
        <w:rPr>
          <w:rtl/>
        </w:rPr>
        <w:t xml:space="preserve"> ، ص 3 ، المجلس 1 ، ح 1 ، بسند آخر عن رسول الله </w:t>
      </w:r>
      <w:r w:rsidR="00AC2E2F" w:rsidRPr="00AC2E2F">
        <w:rPr>
          <w:rStyle w:val="libFootnoteAlaemChar"/>
          <w:rtl/>
        </w:rPr>
        <w:t>صلى‌الله‌عليه‌وآله</w:t>
      </w:r>
      <w:r w:rsidR="00AC2E2F" w:rsidRPr="00C9040A">
        <w:rPr>
          <w:rtl/>
          <w:lang w:bidi="fa-IR"/>
        </w:rPr>
        <w:t xml:space="preserve"> </w:t>
      </w:r>
      <w:r w:rsidR="008A74EB" w:rsidRPr="00C9040A">
        <w:rPr>
          <w:rtl/>
        </w:rPr>
        <w:t>، مع اختلاف يسير وزيادة في آخره</w:t>
      </w:r>
      <w:r w:rsidR="001E5CE7">
        <w:rPr>
          <w:rFonts w:hint="cs"/>
          <w:rtl/>
        </w:rPr>
        <w:t>.</w:t>
      </w:r>
      <w:r w:rsidR="008A74EB" w:rsidRPr="00993B55">
        <w:rPr>
          <w:rStyle w:val="libFootnoteBoldChar"/>
          <w:rtl/>
        </w:rPr>
        <w:t>الوافي</w:t>
      </w:r>
      <w:r w:rsidR="008A74EB" w:rsidRPr="00C9040A">
        <w:rPr>
          <w:rtl/>
        </w:rPr>
        <w:t xml:space="preserve"> ، ج 4 ، ص 451 ، ح 2321 ؛ </w:t>
      </w:r>
      <w:r w:rsidR="008A74EB" w:rsidRPr="00993B55">
        <w:rPr>
          <w:rStyle w:val="libFootnoteBoldChar"/>
          <w:rtl/>
        </w:rPr>
        <w:t>الوسائل</w:t>
      </w:r>
      <w:r w:rsidR="008A74EB" w:rsidRPr="00C9040A">
        <w:rPr>
          <w:rtl/>
        </w:rPr>
        <w:t xml:space="preserve"> ، ج 12 ، ص 196 ، ح 16070 ؛ </w:t>
      </w:r>
      <w:r w:rsidR="008A74EB" w:rsidRPr="00993B55">
        <w:rPr>
          <w:rStyle w:val="libFootnoteBoldChar"/>
          <w:rtl/>
        </w:rPr>
        <w:t>البحار</w:t>
      </w:r>
      <w:r w:rsidR="008A74EB" w:rsidRPr="00C9040A">
        <w:rPr>
          <w:rtl/>
        </w:rPr>
        <w:t xml:space="preserve"> ، ج 14 ، ص 331 ، ح 73 ؛ وج 71 ، ص 301 ، ح 75.</w:t>
      </w:r>
      <w:r w:rsidR="001E5CE7">
        <w:rPr>
          <w:rFonts w:hint="cs"/>
          <w:rtl/>
        </w:rPr>
        <w:t xml:space="preserve">          </w:t>
      </w:r>
      <w:r>
        <w:rPr>
          <w:rtl/>
        </w:rPr>
        <w:t>(2).</w:t>
      </w:r>
      <w:r w:rsidR="008A74EB">
        <w:rPr>
          <w:rtl/>
        </w:rPr>
        <w:t xml:space="preserve"> </w:t>
      </w:r>
      <w:r w:rsidR="008A74EB" w:rsidRPr="00C9040A">
        <w:rPr>
          <w:rtl/>
        </w:rPr>
        <w:t>في « ض » : « البدن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w:t>
      </w:r>
      <w:r w:rsidR="008A74EB" w:rsidRPr="00A06B9C">
        <w:rPr>
          <w:rtl/>
        </w:rPr>
        <w:t>الوا</w:t>
      </w:r>
      <w:r w:rsidR="008A74EB" w:rsidRPr="00253DAC">
        <w:rPr>
          <w:rtl/>
        </w:rPr>
        <w:t>ف</w:t>
      </w:r>
      <w:r w:rsidR="008A74EB" w:rsidRPr="00A06B9C">
        <w:rPr>
          <w:rtl/>
        </w:rPr>
        <w:t>ي</w:t>
      </w:r>
      <w:r w:rsidR="008A74EB" w:rsidRPr="00C9040A">
        <w:rPr>
          <w:rtl/>
        </w:rPr>
        <w:t xml:space="preserve"> : « للّسان » وقال : « يكفّر للّسان ، أي يذلّ ويخضع. والتكفير هو أن ينحني الإنسان ويطأطئ رأسه قريباً من الركوع. ونشدتك الله ، أي سألتك بالله وأقسمت عليك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الوافي</w:t>
      </w:r>
      <w:r w:rsidR="008A74EB" w:rsidRPr="00C9040A">
        <w:rPr>
          <w:rtl/>
        </w:rPr>
        <w:t xml:space="preserve"> ، ج 4 ، ص 451 ، ح 2322 ؛ </w:t>
      </w:r>
      <w:r w:rsidR="008A74EB" w:rsidRPr="00993B55">
        <w:rPr>
          <w:rStyle w:val="libFootnoteBoldChar"/>
          <w:rtl/>
        </w:rPr>
        <w:t>الوسائل</w:t>
      </w:r>
      <w:r w:rsidR="008A74EB" w:rsidRPr="00C9040A">
        <w:rPr>
          <w:rtl/>
        </w:rPr>
        <w:t xml:space="preserve"> ، ج 12 ، ص 191 ، ح 16055 ؛ </w:t>
      </w:r>
      <w:r w:rsidR="008A74EB" w:rsidRPr="00993B55">
        <w:rPr>
          <w:rStyle w:val="libFootnoteBoldChar"/>
          <w:rtl/>
        </w:rPr>
        <w:t>البحار</w:t>
      </w:r>
      <w:r w:rsidR="008A74EB" w:rsidRPr="00C9040A">
        <w:rPr>
          <w:rtl/>
        </w:rPr>
        <w:t xml:space="preserve"> ، ج 71 ، ص 302 ، ح 76.</w:t>
      </w:r>
    </w:p>
    <w:p w:rsidR="008A74EB" w:rsidRPr="004A4E41" w:rsidRDefault="006C577F" w:rsidP="004A4E41">
      <w:pPr>
        <w:pStyle w:val="libFootnote0"/>
        <w:rPr>
          <w:rStyle w:val="libFootnote0Char"/>
          <w:rtl/>
        </w:rPr>
      </w:pPr>
      <w:r>
        <w:rPr>
          <w:rtl/>
        </w:rPr>
        <w:t>(5).</w:t>
      </w:r>
      <w:r w:rsidR="008A74EB" w:rsidRPr="00C9040A">
        <w:rPr>
          <w:rtl/>
        </w:rPr>
        <w:t xml:space="preserve"> في « ب ، د ، ص ، بس ، بف » : « صلوات الله عليهما »</w:t>
      </w:r>
      <w:r w:rsidR="008A74EB">
        <w:rPr>
          <w:rtl/>
        </w:rPr>
        <w:t>.</w:t>
      </w:r>
      <w:r w:rsidR="008A74EB" w:rsidRPr="00C9040A">
        <w:rPr>
          <w:rtl/>
        </w:rPr>
        <w:t xml:space="preserve"> وفي « ف » : « صلوات الله وسلامه عليهما »</w:t>
      </w:r>
      <w:r w:rsidR="008A74EB">
        <w:rPr>
          <w:rtl/>
        </w:rPr>
        <w:t>.</w:t>
      </w:r>
      <w:r w:rsidR="008A74EB" w:rsidRPr="00C9040A">
        <w:rPr>
          <w:rtl/>
        </w:rPr>
        <w:t xml:space="preserve"> وفي « بر » : « </w:t>
      </w:r>
      <w:r w:rsidR="008A74EB" w:rsidRPr="001E5CE7">
        <w:rPr>
          <w:rtl/>
        </w:rPr>
        <w:t>عليه</w:t>
      </w:r>
      <w:r w:rsidR="001E5CE7">
        <w:rPr>
          <w:rFonts w:hint="cs"/>
          <w:rtl/>
        </w:rPr>
        <w:t xml:space="preserve"> </w:t>
      </w:r>
      <w:r w:rsidR="008A74EB" w:rsidRPr="001E5CE7">
        <w:rPr>
          <w:rtl/>
        </w:rPr>
        <w:t>‌السلام</w:t>
      </w:r>
      <w:r w:rsidR="008A74EB" w:rsidRPr="00C9040A">
        <w:rPr>
          <w:rtl/>
        </w:rPr>
        <w:t xml:space="preserve"> »</w:t>
      </w:r>
      <w:r w:rsidR="008A74EB">
        <w:rPr>
          <w:rtl/>
        </w:rPr>
        <w:t>.</w:t>
      </w:r>
      <w:r w:rsidR="001E5CE7">
        <w:rPr>
          <w:rFonts w:hint="cs"/>
          <w:rtl/>
        </w:rPr>
        <w:t xml:space="preserve">                            </w:t>
      </w:r>
      <w:r w:rsidR="001D41F1">
        <w:rPr>
          <w:rFonts w:hint="cs"/>
          <w:rtl/>
        </w:rPr>
        <w:t xml:space="preserve">   </w:t>
      </w:r>
      <w:r>
        <w:rPr>
          <w:rtl/>
        </w:rPr>
        <w:t>(6).</w:t>
      </w:r>
      <w:r w:rsidR="008A74EB">
        <w:rPr>
          <w:rtl/>
        </w:rPr>
        <w:t xml:space="preserve"> </w:t>
      </w:r>
      <w:r w:rsidR="008A74EB" w:rsidRPr="00C9040A">
        <w:rPr>
          <w:rtl/>
        </w:rPr>
        <w:t>في الوسائل : + « كلّ يوم »</w:t>
      </w:r>
      <w:r w:rsidR="008A74EB">
        <w:rPr>
          <w:rtl/>
        </w:rPr>
        <w:t>.</w:t>
      </w:r>
    </w:p>
    <w:tbl>
      <w:tblPr>
        <w:tblStyle w:val="TableGrid"/>
        <w:bidiVisual/>
        <w:tblW w:w="0" w:type="auto"/>
        <w:tblLook w:val="04A0" w:firstRow="1" w:lastRow="0" w:firstColumn="1" w:lastColumn="0" w:noHBand="0" w:noVBand="1"/>
      </w:tblPr>
      <w:tblGrid>
        <w:gridCol w:w="4006"/>
        <w:gridCol w:w="4006"/>
      </w:tblGrid>
      <w:tr w:rsidR="00615FA8" w:rsidTr="00615FA8">
        <w:tc>
          <w:tcPr>
            <w:tcW w:w="4006" w:type="dxa"/>
          </w:tcPr>
          <w:p w:rsidR="00615FA8" w:rsidRDefault="00615FA8" w:rsidP="004A4E41">
            <w:pPr>
              <w:pStyle w:val="libFootnote0"/>
              <w:rPr>
                <w:rtl/>
              </w:rPr>
            </w:pPr>
            <w:r>
              <w:rPr>
                <w:rtl/>
              </w:rPr>
              <w:t>(7).</w:t>
            </w:r>
            <w:r w:rsidRPr="00C9040A">
              <w:rPr>
                <w:rtl/>
              </w:rPr>
              <w:t xml:space="preserve"> في الوسائل </w:t>
            </w:r>
            <w:r>
              <w:rPr>
                <w:rtl/>
              </w:rPr>
              <w:t>: -</w:t>
            </w:r>
            <w:r w:rsidRPr="00C9040A">
              <w:rPr>
                <w:rtl/>
              </w:rPr>
              <w:t xml:space="preserve"> « جميع »</w:t>
            </w:r>
            <w:r>
              <w:rPr>
                <w:rtl/>
              </w:rPr>
              <w:t>.</w:t>
            </w:r>
          </w:p>
        </w:tc>
        <w:tc>
          <w:tcPr>
            <w:tcW w:w="4006" w:type="dxa"/>
          </w:tcPr>
          <w:p w:rsidR="00615FA8" w:rsidRDefault="00615FA8" w:rsidP="004A4E41">
            <w:pPr>
              <w:pStyle w:val="libFootnote0"/>
              <w:rPr>
                <w:rtl/>
              </w:rPr>
            </w:pPr>
            <w:r>
              <w:rPr>
                <w:rtl/>
              </w:rPr>
              <w:t>(8).</w:t>
            </w:r>
            <w:r w:rsidRPr="00C9040A">
              <w:rPr>
                <w:rtl/>
              </w:rPr>
              <w:t xml:space="preserve"> في « بر » </w:t>
            </w:r>
            <w:r>
              <w:rPr>
                <w:rtl/>
              </w:rPr>
              <w:t>: -</w:t>
            </w:r>
            <w:r w:rsidRPr="00C9040A">
              <w:rPr>
                <w:rtl/>
              </w:rPr>
              <w:t xml:space="preserve"> « </w:t>
            </w:r>
            <w:r>
              <w:rPr>
                <w:rtl/>
              </w:rPr>
              <w:t>و ».</w:t>
            </w:r>
          </w:p>
        </w:tc>
      </w:tr>
    </w:tbl>
    <w:p w:rsidR="008A74EB" w:rsidRPr="00C9040A" w:rsidRDefault="006C577F" w:rsidP="004A4E41">
      <w:pPr>
        <w:pStyle w:val="libFootnote0"/>
        <w:rPr>
          <w:rtl/>
          <w:lang w:bidi="fa-IR"/>
        </w:rPr>
      </w:pPr>
      <w:r>
        <w:rPr>
          <w:rtl/>
        </w:rPr>
        <w:t>(9).</w:t>
      </w:r>
      <w:r w:rsidR="008A74EB" w:rsidRPr="00C9040A">
        <w:rPr>
          <w:rtl/>
        </w:rPr>
        <w:t xml:space="preserve"> في « د ، ز ، ص ، بر » : « فيك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w:t>
      </w:r>
      <w:r w:rsidR="008A74EB" w:rsidRPr="00993B55">
        <w:rPr>
          <w:rStyle w:val="libFootnoteBoldChar"/>
          <w:rtl/>
        </w:rPr>
        <w:t>ثواب الأعمال</w:t>
      </w:r>
      <w:r w:rsidR="008A74EB" w:rsidRPr="00C9040A">
        <w:rPr>
          <w:rtl/>
        </w:rPr>
        <w:t xml:space="preserve"> ، ص 282 ، ح 1 ؛ و</w:t>
      </w:r>
      <w:r w:rsidR="008A74EB" w:rsidRPr="00993B55">
        <w:rPr>
          <w:rStyle w:val="libFootnoteBoldChar"/>
          <w:rtl/>
        </w:rPr>
        <w:t>الخصال</w:t>
      </w:r>
      <w:r w:rsidR="008A74EB" w:rsidRPr="00C9040A">
        <w:rPr>
          <w:rtl/>
        </w:rPr>
        <w:t xml:space="preserve"> ، ص 5 ، باب الواحد ، ح 15 ، بسند آخر عن عليّ بن الحكم. </w:t>
      </w:r>
      <w:r w:rsidR="00741082">
        <w:rPr>
          <w:rFonts w:hint="cs"/>
          <w:rtl/>
        </w:rPr>
        <w:t>=</w:t>
      </w:r>
    </w:p>
    <w:p w:rsidR="004B7F34" w:rsidRDefault="004B7F34" w:rsidP="004B7F34">
      <w:pPr>
        <w:pStyle w:val="libNormal"/>
        <w:rPr>
          <w:rtl/>
          <w:lang w:bidi="fa-IR"/>
        </w:rPr>
      </w:pPr>
      <w:r>
        <w:rPr>
          <w:rtl/>
          <w:lang w:bidi="fa-IR"/>
        </w:rPr>
        <w:br w:type="page"/>
      </w:r>
    </w:p>
    <w:p w:rsidR="00BF70F8" w:rsidRDefault="008A74EB" w:rsidP="00BF70F8">
      <w:pPr>
        <w:pStyle w:val="libNormal"/>
        <w:rPr>
          <w:rtl/>
          <w:lang w:bidi="fa-IR"/>
        </w:rPr>
      </w:pPr>
      <w:r w:rsidRPr="00253DAC">
        <w:rPr>
          <w:rtl/>
        </w:rPr>
        <w:t>1833</w:t>
      </w:r>
      <w:r w:rsidRPr="00261CB0">
        <w:rPr>
          <w:rStyle w:val="libBold2Char"/>
          <w:rtl/>
        </w:rPr>
        <w:t xml:space="preserve"> / 14.</w:t>
      </w:r>
      <w:r w:rsidRPr="00C9040A">
        <w:rPr>
          <w:rtl/>
          <w:lang w:bidi="fa-IR"/>
        </w:rPr>
        <w:t xml:space="preserve"> عَلِيُّ بْنُ إِبْرَاهِيمَ ، عَنْ أَبِيهِ ؛</w:t>
      </w:r>
    </w:p>
    <w:p w:rsidR="008A74EB" w:rsidRPr="00C9040A" w:rsidRDefault="008A74EB" w:rsidP="00BF70F8">
      <w:pPr>
        <w:pStyle w:val="libNormal"/>
        <w:rPr>
          <w:rtl/>
          <w:lang w:bidi="fa-IR"/>
        </w:rPr>
      </w:pPr>
      <w:r w:rsidRPr="00C9040A">
        <w:rPr>
          <w:rtl/>
          <w:lang w:bidi="fa-IR"/>
        </w:rPr>
        <w:t xml:space="preserve">وَمُحَمَّدُ بْنُ إِسْمَاعِيلَ ، عَنِ الْفَضْلِ بْنِ شَاذَانَ جَمِيعاً ، عَنِ ابْنِ أَبِي عُمَيْرٍ ، عَنْ إِبْرَاهِيمَ بْنِ عَبْدِ الْحَمِيدِ ، عَنْ قَيْسٍ أَبِي إِسْمَاعِيلَ </w:t>
      </w:r>
      <w:r w:rsidR="006C577F" w:rsidRPr="006C577F">
        <w:rPr>
          <w:rStyle w:val="libFootnotenumChar"/>
          <w:rtl/>
        </w:rPr>
        <w:t>(1)</w:t>
      </w:r>
      <w:r>
        <w:rPr>
          <w:rtl/>
          <w:lang w:bidi="fa-IR"/>
        </w:rPr>
        <w:t xml:space="preserve"> </w:t>
      </w:r>
      <w:r w:rsidR="0084262C">
        <w:rPr>
          <w:rtl/>
          <w:lang w:bidi="fa-IR"/>
        </w:rPr>
        <w:t>-</w:t>
      </w:r>
      <w:r>
        <w:rPr>
          <w:rtl/>
          <w:lang w:bidi="fa-IR"/>
        </w:rPr>
        <w:t xml:space="preserve"> </w:t>
      </w:r>
      <w:r w:rsidRPr="00C9040A">
        <w:rPr>
          <w:rtl/>
          <w:lang w:bidi="fa-IR"/>
        </w:rPr>
        <w:t>وَذَكَرَ أَنَّهُ لَابَأْسَ بِهِ مِنْ أَصْحَابِنَا</w:t>
      </w:r>
      <w:r>
        <w:rPr>
          <w:rtl/>
          <w:lang w:bidi="fa-IR"/>
        </w:rPr>
        <w:t xml:space="preserve"> </w:t>
      </w:r>
      <w:r w:rsidR="0084262C">
        <w:rPr>
          <w:rtl/>
          <w:lang w:bidi="fa-IR"/>
        </w:rPr>
        <w:t>-</w:t>
      </w:r>
      <w:r>
        <w:rPr>
          <w:rtl/>
          <w:lang w:bidi="fa-IR"/>
        </w:rPr>
        <w:t xml:space="preserve"> </w:t>
      </w:r>
      <w:r w:rsidRPr="00C9040A">
        <w:rPr>
          <w:rtl/>
          <w:lang w:bidi="fa-IR"/>
        </w:rPr>
        <w:t>رَفَعَهُ ، قَالَ :</w:t>
      </w:r>
    </w:p>
    <w:p w:rsidR="008A74EB" w:rsidRPr="00C9040A" w:rsidRDefault="008A74EB" w:rsidP="008A74EB">
      <w:pPr>
        <w:pStyle w:val="libNormal"/>
        <w:rPr>
          <w:rtl/>
          <w:lang w:bidi="fa-IR"/>
        </w:rPr>
      </w:pPr>
      <w:r w:rsidRPr="00C9040A">
        <w:rPr>
          <w:rtl/>
          <w:lang w:bidi="fa-IR"/>
        </w:rPr>
        <w:t xml:space="preserve">جَاءَ رَجُلٌ إِلَى النَّبِيِّ </w:t>
      </w:r>
      <w:r w:rsidR="004A4E41" w:rsidRPr="004A4E41">
        <w:rPr>
          <w:rStyle w:val="libAlaemChar"/>
          <w:rtl/>
        </w:rPr>
        <w:t>صلى‌الله‌عليه‌وآله</w:t>
      </w:r>
      <w:r w:rsidRPr="00C9040A">
        <w:rPr>
          <w:rtl/>
          <w:lang w:bidi="fa-IR"/>
        </w:rPr>
        <w:t xml:space="preserve"> ، فَقَالَ : يَا رَسُولَ اللهِ ، أَوْصِنِي ، فَقَالَ </w:t>
      </w:r>
      <w:r w:rsidR="006C577F" w:rsidRPr="006C577F">
        <w:rPr>
          <w:rStyle w:val="libFootnotenumChar"/>
          <w:rtl/>
        </w:rPr>
        <w:t>(2)</w:t>
      </w:r>
      <w:r w:rsidRPr="00C9040A">
        <w:rPr>
          <w:rtl/>
          <w:lang w:bidi="fa-IR"/>
        </w:rPr>
        <w:t xml:space="preserve"> : « احْفَظْ لِسَانَكَ »</w:t>
      </w:r>
      <w:r>
        <w:rPr>
          <w:rtl/>
          <w:lang w:bidi="fa-IR"/>
        </w:rPr>
        <w:t>.</w:t>
      </w:r>
      <w:r>
        <w:rPr>
          <w:rFonts w:hint="cs"/>
          <w:rtl/>
          <w:lang w:bidi="fa-IR"/>
        </w:rPr>
        <w:t xml:space="preserve"> </w:t>
      </w:r>
      <w:r w:rsidRPr="00C9040A">
        <w:rPr>
          <w:rtl/>
          <w:lang w:bidi="fa-IR"/>
        </w:rPr>
        <w:t xml:space="preserve">قَالَ </w:t>
      </w:r>
      <w:r w:rsidR="006C577F" w:rsidRPr="006C577F">
        <w:rPr>
          <w:rStyle w:val="libFootnotenumChar"/>
          <w:rtl/>
        </w:rPr>
        <w:t>(3)</w:t>
      </w:r>
      <w:r w:rsidRPr="00C9040A">
        <w:rPr>
          <w:rtl/>
          <w:lang w:bidi="fa-IR"/>
        </w:rPr>
        <w:t xml:space="preserve"> : يَا رَسُولَ اللهِ ، أَوْصِنِي ، قَالَ : « احْفَظْ لِسَانَكَ »</w:t>
      </w:r>
      <w:r>
        <w:rPr>
          <w:rtl/>
          <w:lang w:bidi="fa-IR"/>
        </w:rPr>
        <w:t>.</w:t>
      </w:r>
      <w:r w:rsidRPr="00C9040A">
        <w:rPr>
          <w:rtl/>
          <w:lang w:bidi="fa-IR"/>
        </w:rPr>
        <w:t xml:space="preserve"> قَالَ : يَا رَسُولَ اللهِ ، أَوْصِنِي ، قَالَ :</w:t>
      </w:r>
      <w:r>
        <w:rPr>
          <w:rFonts w:hint="cs"/>
          <w:rtl/>
          <w:lang w:bidi="fa-IR"/>
        </w:rPr>
        <w:t xml:space="preserve"> </w:t>
      </w:r>
      <w:r w:rsidRPr="00C9040A">
        <w:rPr>
          <w:rtl/>
          <w:lang w:bidi="fa-IR"/>
        </w:rPr>
        <w:t xml:space="preserve">« احْفَظْ لِسَانَكَ </w:t>
      </w:r>
      <w:r w:rsidR="006C577F" w:rsidRPr="006C577F">
        <w:rPr>
          <w:rStyle w:val="libFootnotenumChar"/>
          <w:rtl/>
        </w:rPr>
        <w:t>(4)</w:t>
      </w:r>
      <w:r w:rsidRPr="00C9040A">
        <w:rPr>
          <w:rtl/>
          <w:lang w:bidi="fa-IR"/>
        </w:rPr>
        <w:t xml:space="preserve"> ، وَيْحَكَ ، وَهَلْ يَكُبُّ </w:t>
      </w:r>
      <w:r w:rsidR="006C577F" w:rsidRPr="006C577F">
        <w:rPr>
          <w:rStyle w:val="libFootnotenumChar"/>
          <w:rtl/>
        </w:rPr>
        <w:t>(5)</w:t>
      </w:r>
      <w:r w:rsidRPr="00C9040A">
        <w:rPr>
          <w:rtl/>
          <w:lang w:bidi="fa-IR"/>
        </w:rPr>
        <w:t xml:space="preserve"> النَّاسَ عَلى مَنَاخِرِهِمْ </w:t>
      </w:r>
      <w:r w:rsidR="006C577F" w:rsidRPr="006C577F">
        <w:rPr>
          <w:rStyle w:val="libFootnotenumChar"/>
          <w:rtl/>
        </w:rPr>
        <w:t>(6)</w:t>
      </w:r>
      <w:r w:rsidRPr="005B567D">
        <w:rPr>
          <w:rStyle w:val="libFootnotenumChar"/>
          <w:rtl/>
        </w:rPr>
        <w:t xml:space="preserve"> </w:t>
      </w:r>
      <w:r w:rsidRPr="00C9040A">
        <w:rPr>
          <w:rtl/>
          <w:lang w:bidi="fa-IR"/>
        </w:rPr>
        <w:t>فِي النَّارِ</w:t>
      </w:r>
      <w:r w:rsidR="00BF70F8">
        <w:rPr>
          <w:rtl/>
          <w:lang w:bidi="fa-IR"/>
        </w:rPr>
        <w:t xml:space="preserve"> إِل</w:t>
      </w:r>
      <w:r w:rsidR="00BF70F8">
        <w:rPr>
          <w:rFonts w:hint="cs"/>
          <w:rtl/>
          <w:lang w:bidi="fa-IR"/>
        </w:rPr>
        <w:t>َّ</w:t>
      </w:r>
      <w:r w:rsidR="00BF70F8">
        <w:rPr>
          <w:rtl/>
          <w:lang w:bidi="fa-IR"/>
        </w:rPr>
        <w:t>ا</w:t>
      </w:r>
      <w:r w:rsidRPr="00C9040A">
        <w:rPr>
          <w:rtl/>
          <w:lang w:bidi="fa-IR"/>
        </w:rPr>
        <w:t xml:space="preserve"> حَصَائِدُ </w:t>
      </w:r>
      <w:r w:rsidR="006C577F" w:rsidRPr="006C577F">
        <w:rPr>
          <w:rStyle w:val="libFootnotenumChar"/>
          <w:rtl/>
        </w:rPr>
        <w:t>(7)</w:t>
      </w:r>
      <w:r w:rsidRPr="00C9040A">
        <w:rPr>
          <w:rtl/>
          <w:lang w:bidi="fa-IR"/>
        </w:rPr>
        <w:t xml:space="preserve"> أَلْسِنَتِهِمْ</w:t>
      </w:r>
      <w:r>
        <w:rPr>
          <w:rtl/>
          <w:lang w:bidi="fa-IR"/>
        </w:rPr>
        <w:t>؟</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Normal"/>
        <w:rPr>
          <w:rtl/>
          <w:lang w:bidi="fa-IR"/>
        </w:rPr>
      </w:pPr>
      <w:r w:rsidRPr="00253DAC">
        <w:rPr>
          <w:rtl/>
        </w:rPr>
        <w:t>1834</w:t>
      </w:r>
      <w:r w:rsidRPr="00261CB0">
        <w:rPr>
          <w:rStyle w:val="libBold2Char"/>
          <w:rtl/>
        </w:rPr>
        <w:t xml:space="preserve"> / 15.</w:t>
      </w:r>
      <w:r w:rsidRPr="00C9040A">
        <w:rPr>
          <w:rtl/>
          <w:lang w:bidi="fa-IR"/>
        </w:rPr>
        <w:t xml:space="preserve"> أَبُو عَلِيٍّ الْأَشْعَرِيُّ ، عَنْ مُحَمَّدِ بْنِ عَبْدِ الْجَبَّارِ ، عَنِ ابْنِ فَضَّالٍ ، عَمَّنْ رَوَاهُ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مَنْ لَمْ يَحْسُبْ </w:t>
      </w:r>
      <w:r w:rsidR="006C577F" w:rsidRPr="006C577F">
        <w:rPr>
          <w:rStyle w:val="libFootnotenumChar"/>
          <w:rtl/>
        </w:rPr>
        <w:t>(9)</w:t>
      </w:r>
      <w:r w:rsidRPr="00C9040A">
        <w:rPr>
          <w:rtl/>
          <w:lang w:bidi="fa-IR"/>
        </w:rPr>
        <w:t xml:space="preserve"> كَلَامَهُ مِنْ عَمَلِهِ ،</w:t>
      </w:r>
    </w:p>
    <w:p w:rsidR="008A74EB" w:rsidRPr="00C9040A" w:rsidRDefault="008A74EB" w:rsidP="008A74EB">
      <w:pPr>
        <w:pStyle w:val="libLine"/>
        <w:rPr>
          <w:rtl/>
          <w:lang w:bidi="fa-IR"/>
        </w:rPr>
      </w:pPr>
      <w:r w:rsidRPr="00C9040A">
        <w:rPr>
          <w:rtl/>
          <w:lang w:bidi="fa-IR"/>
        </w:rPr>
        <w:t>__________________</w:t>
      </w:r>
    </w:p>
    <w:p w:rsidR="008A74EB" w:rsidRPr="00C9040A" w:rsidRDefault="00BF70F8" w:rsidP="004A4E41">
      <w:pPr>
        <w:pStyle w:val="libFootnote0"/>
        <w:rPr>
          <w:rtl/>
          <w:lang w:bidi="fa-IR"/>
        </w:rPr>
      </w:pPr>
      <w:r w:rsidRPr="00BF70F8">
        <w:rPr>
          <w:rFonts w:hint="cs"/>
          <w:rtl/>
        </w:rPr>
        <w:t xml:space="preserve">= </w:t>
      </w:r>
      <w:r w:rsidR="008A74EB" w:rsidRPr="00993B55">
        <w:rPr>
          <w:rStyle w:val="libFootnoteBoldChar"/>
          <w:rtl/>
        </w:rPr>
        <w:t>الاختصاص</w:t>
      </w:r>
      <w:r w:rsidR="008A74EB" w:rsidRPr="00C9040A">
        <w:rPr>
          <w:rtl/>
        </w:rPr>
        <w:t xml:space="preserve"> ، ص 230 ، مرسلاً عن أبي حمزة الثمالي</w:t>
      </w:r>
      <w:r w:rsidR="008477B2">
        <w:rPr>
          <w:rFonts w:hint="cs"/>
          <w:rtl/>
        </w:rPr>
        <w:t>.</w:t>
      </w:r>
      <w:r w:rsidR="008A74EB" w:rsidRPr="00993B55">
        <w:rPr>
          <w:rStyle w:val="libFootnoteBoldChar"/>
          <w:rtl/>
        </w:rPr>
        <w:t>الوافي</w:t>
      </w:r>
      <w:r w:rsidR="008A74EB" w:rsidRPr="00C9040A">
        <w:rPr>
          <w:rtl/>
        </w:rPr>
        <w:t xml:space="preserve"> ، ج 4 ، ص 452 ، ح 2323 ؛ </w:t>
      </w:r>
      <w:r w:rsidR="008A74EB" w:rsidRPr="00993B55">
        <w:rPr>
          <w:rStyle w:val="libFootnoteBoldChar"/>
          <w:rtl/>
        </w:rPr>
        <w:t>الوسائل</w:t>
      </w:r>
      <w:r w:rsidR="008A74EB" w:rsidRPr="00C9040A">
        <w:rPr>
          <w:rtl/>
        </w:rPr>
        <w:t xml:space="preserve"> ، ج 12 ، ص 189 ، ح 16046 ؛ </w:t>
      </w:r>
      <w:r w:rsidR="008A74EB" w:rsidRPr="00993B55">
        <w:rPr>
          <w:rStyle w:val="libFootnoteBoldChar"/>
          <w:rtl/>
        </w:rPr>
        <w:t>البحار</w:t>
      </w:r>
      <w:r w:rsidR="008A74EB" w:rsidRPr="00C9040A">
        <w:rPr>
          <w:rtl/>
        </w:rPr>
        <w:t xml:space="preserve"> ، ج 71 ، ص 302 ، ح 77.</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ز » : « قيس ابن أبي إسماعيل »</w:t>
      </w:r>
      <w:r w:rsidR="008A74EB">
        <w:rPr>
          <w:rtl/>
        </w:rPr>
        <w:t>.</w:t>
      </w:r>
      <w:r w:rsidR="008A74EB" w:rsidRPr="00C9040A">
        <w:rPr>
          <w:rtl/>
        </w:rPr>
        <w:t xml:space="preserve"> وفي « ص ، بر ، بف » : « قيس بن إسماعيل »</w:t>
      </w:r>
      <w:r w:rsidR="008A74EB">
        <w:rPr>
          <w:rtl/>
        </w:rPr>
        <w:t>.</w:t>
      </w:r>
      <w:r w:rsidR="008A74EB" w:rsidRPr="00C9040A">
        <w:rPr>
          <w:rtl/>
        </w:rPr>
        <w:t xml:space="preserve"> والظاهر أنّ قيساً هذا ، هو قيس‌أبو إسماعيل الكوفي ، الذي ذكره الشيخ الطوسي في أصحاب الصادق </w:t>
      </w:r>
      <w:r w:rsidR="00117575" w:rsidRPr="00117575">
        <w:rPr>
          <w:rStyle w:val="libFootnoteAlaemChar"/>
          <w:rtl/>
        </w:rPr>
        <w:t xml:space="preserve">عليه‌السلام </w:t>
      </w:r>
      <w:r w:rsidR="008A74EB" w:rsidRPr="00C9040A">
        <w:rPr>
          <w:rtl/>
        </w:rPr>
        <w:t xml:space="preserve">. راجع : </w:t>
      </w:r>
      <w:r w:rsidR="008A74EB" w:rsidRPr="00993B55">
        <w:rPr>
          <w:rStyle w:val="libFootnoteBoldChar"/>
          <w:rtl/>
        </w:rPr>
        <w:t>رجال الطوسي</w:t>
      </w:r>
      <w:r w:rsidR="008A74EB" w:rsidRPr="00C9040A">
        <w:rPr>
          <w:rtl/>
        </w:rPr>
        <w:t xml:space="preserve"> ، ص 272 ، الرقم 3923.</w:t>
      </w:r>
      <w:r w:rsidR="008477B2">
        <w:rPr>
          <w:rFonts w:hint="cs"/>
          <w:rtl/>
        </w:rPr>
        <w:t xml:space="preserve">                                                </w:t>
      </w:r>
      <w:r>
        <w:rPr>
          <w:rtl/>
        </w:rPr>
        <w:t>(2).</w:t>
      </w:r>
      <w:r w:rsidR="008A74EB">
        <w:rPr>
          <w:rtl/>
        </w:rPr>
        <w:t xml:space="preserve"> </w:t>
      </w:r>
      <w:r w:rsidR="008A74EB" w:rsidRPr="00C9040A">
        <w:rPr>
          <w:rtl/>
        </w:rPr>
        <w:t>في « ز ، ص ، ف » : « قال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د ، ز » : « فقال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ص » </w:t>
      </w:r>
      <w:r w:rsidR="008A74EB">
        <w:rPr>
          <w:rtl/>
        </w:rPr>
        <w:t xml:space="preserve">: </w:t>
      </w:r>
      <w:r w:rsidR="0084262C">
        <w:rPr>
          <w:rtl/>
        </w:rPr>
        <w:t>-</w:t>
      </w:r>
      <w:r w:rsidR="008A74EB" w:rsidRPr="00C9040A">
        <w:rPr>
          <w:rtl/>
        </w:rPr>
        <w:t xml:space="preserve"> « قال : يا رسول الله أوصني. قال : احفظ لسانك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ض » : « يُكبّ » من الإفعال.</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ال</w:t>
      </w:r>
      <w:r w:rsidR="008477B2">
        <w:rPr>
          <w:rFonts w:hint="cs"/>
          <w:rtl/>
        </w:rPr>
        <w:t>ـ</w:t>
      </w:r>
      <w:r w:rsidR="008A74EB" w:rsidRPr="00C9040A">
        <w:rPr>
          <w:rtl/>
        </w:rPr>
        <w:t>مَنْخَر وال</w:t>
      </w:r>
      <w:r w:rsidR="008477B2">
        <w:rPr>
          <w:rFonts w:hint="cs"/>
          <w:rtl/>
        </w:rPr>
        <w:t>ـ</w:t>
      </w:r>
      <w:r w:rsidR="008A74EB" w:rsidRPr="00C9040A">
        <w:rPr>
          <w:rtl/>
        </w:rPr>
        <w:t xml:space="preserve">مَنْخَران : ثَقْبا الأنف. </w:t>
      </w:r>
      <w:r w:rsidR="008A74EB" w:rsidRPr="00993B55">
        <w:rPr>
          <w:rStyle w:val="libFootnoteBoldChar"/>
          <w:rtl/>
        </w:rPr>
        <w:t>النهاية</w:t>
      </w:r>
      <w:r w:rsidR="008A74EB" w:rsidRPr="00C9040A">
        <w:rPr>
          <w:rtl/>
        </w:rPr>
        <w:t xml:space="preserve"> ، ج 5 ، ص 32 ( نخر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 حصائد ألسنتهم » ، أي ما يقتطعونه من الكلام الذي لا خير فيه. واحدتها : حصيدة ؛ تشبيهاً بما يُحصد من الزرع ، وتشبيهاً للّسان وما يقتطعه من القول بحدّ المنجل الذي يحصد به. </w:t>
      </w:r>
      <w:r w:rsidR="008A74EB" w:rsidRPr="00993B55">
        <w:rPr>
          <w:rStyle w:val="libFootnoteBoldChar"/>
          <w:rtl/>
        </w:rPr>
        <w:t>النهاية</w:t>
      </w:r>
      <w:r w:rsidR="008A74EB" w:rsidRPr="00C9040A">
        <w:rPr>
          <w:rtl/>
        </w:rPr>
        <w:t xml:space="preserve"> ، ج 1 ، ص 394 ( حصد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w:t>
      </w:r>
      <w:r w:rsidR="008A74EB" w:rsidRPr="00993B55">
        <w:rPr>
          <w:rStyle w:val="libFootnoteBoldChar"/>
          <w:rtl/>
        </w:rPr>
        <w:t>الزهد</w:t>
      </w:r>
      <w:r w:rsidR="008A74EB" w:rsidRPr="00C9040A">
        <w:rPr>
          <w:rtl/>
        </w:rPr>
        <w:t xml:space="preserve"> ، ص 69 ، ح 18 ، عن إبراهيم بن أبي البلاد ، عن أبيه رفعه ، عن رسول الله </w:t>
      </w:r>
      <w:r w:rsidR="004A4E41" w:rsidRPr="00AC2E2F">
        <w:rPr>
          <w:rStyle w:val="libFootnoteAlaemChar"/>
          <w:rtl/>
        </w:rPr>
        <w:t>صلى‌الله‌عليه‌وآله</w:t>
      </w:r>
      <w:r w:rsidR="008A74EB" w:rsidRPr="00C9040A">
        <w:rPr>
          <w:rtl/>
        </w:rPr>
        <w:t xml:space="preserve"> ؛ </w:t>
      </w:r>
      <w:r w:rsidR="008A74EB" w:rsidRPr="00993B55">
        <w:rPr>
          <w:rStyle w:val="libFootnoteBoldChar"/>
          <w:rtl/>
        </w:rPr>
        <w:t>الأمال</w:t>
      </w:r>
      <w:r w:rsidR="008A74EB" w:rsidRPr="00AC2E2F">
        <w:rPr>
          <w:rStyle w:val="libFootnoteBoldChar"/>
          <w:rtl/>
        </w:rPr>
        <w:t>ي للطوسي</w:t>
      </w:r>
      <w:r w:rsidR="008A74EB" w:rsidRPr="00C9040A">
        <w:rPr>
          <w:rtl/>
        </w:rPr>
        <w:t xml:space="preserve"> ، ص 536 ، المجلس 19 ، ضمن الحديث الطويل 1 ، بسند آخر عن أبي ذرّ ، عن رسول الله </w:t>
      </w:r>
      <w:r w:rsidR="004A4E41" w:rsidRPr="00AC2E2F">
        <w:rPr>
          <w:rStyle w:val="libFootnoteAlaemChar"/>
          <w:rtl/>
        </w:rPr>
        <w:t>صلى‌الله‌عليه‌وآله</w:t>
      </w:r>
      <w:r w:rsidR="008A74EB" w:rsidRPr="00C9040A">
        <w:rPr>
          <w:rtl/>
        </w:rPr>
        <w:t xml:space="preserve"> ، وفيهما من قوله : « وهل يكبّ الناس »</w:t>
      </w:r>
      <w:r w:rsidR="008A74EB">
        <w:rPr>
          <w:rtl/>
        </w:rPr>
        <w:t>.</w:t>
      </w:r>
      <w:r w:rsidR="008A74EB" w:rsidRPr="00C9040A">
        <w:rPr>
          <w:rtl/>
        </w:rPr>
        <w:t xml:space="preserve"> </w:t>
      </w:r>
      <w:r w:rsidR="008A74EB" w:rsidRPr="00993B55">
        <w:rPr>
          <w:rStyle w:val="libFootnoteBoldChar"/>
          <w:rtl/>
        </w:rPr>
        <w:t>تحف العقول</w:t>
      </w:r>
      <w:r w:rsidR="008A74EB" w:rsidRPr="00C9040A">
        <w:rPr>
          <w:rtl/>
        </w:rPr>
        <w:t xml:space="preserve"> ، ص 56 ، عن رسول الله </w:t>
      </w:r>
      <w:r w:rsidR="004A4E41" w:rsidRPr="00AC2E2F">
        <w:rPr>
          <w:rStyle w:val="libFootnoteAlaemChar"/>
          <w:rtl/>
        </w:rPr>
        <w:t>صلى‌الله‌عليه‌وآله</w:t>
      </w:r>
      <w:r w:rsidR="008477B2">
        <w:rPr>
          <w:rFonts w:hint="cs"/>
          <w:rtl/>
        </w:rPr>
        <w:t>.</w:t>
      </w:r>
      <w:r w:rsidR="008A74EB" w:rsidRPr="00993B55">
        <w:rPr>
          <w:rStyle w:val="libFootnoteBoldChar"/>
          <w:rtl/>
        </w:rPr>
        <w:t>الوافي</w:t>
      </w:r>
      <w:r w:rsidR="008A74EB" w:rsidRPr="00C9040A">
        <w:rPr>
          <w:rtl/>
        </w:rPr>
        <w:t xml:space="preserve"> ، ج 4 ، ص 452 ، ح 2324 ؛ </w:t>
      </w:r>
      <w:r w:rsidR="008A74EB" w:rsidRPr="00993B55">
        <w:rPr>
          <w:rStyle w:val="libFootnoteBoldChar"/>
          <w:rtl/>
        </w:rPr>
        <w:t>الوسائل</w:t>
      </w:r>
      <w:r w:rsidR="008A74EB" w:rsidRPr="00C9040A">
        <w:rPr>
          <w:rtl/>
        </w:rPr>
        <w:t xml:space="preserve"> ، ج 12 ، ص 191 ، ح 16053 ؛ </w:t>
      </w:r>
      <w:r w:rsidR="008A74EB" w:rsidRPr="00993B55">
        <w:rPr>
          <w:rStyle w:val="libFootnoteBoldChar"/>
          <w:rtl/>
        </w:rPr>
        <w:t>البحار</w:t>
      </w:r>
      <w:r w:rsidR="008A74EB" w:rsidRPr="00C9040A">
        <w:rPr>
          <w:rtl/>
        </w:rPr>
        <w:t xml:space="preserve"> ، ج 71 ، ص 303 ، ح 78.</w:t>
      </w:r>
    </w:p>
    <w:p w:rsidR="008A74EB" w:rsidRPr="00C9040A" w:rsidRDefault="006C577F" w:rsidP="004A4E41">
      <w:pPr>
        <w:pStyle w:val="libFootnote0"/>
        <w:rPr>
          <w:rtl/>
          <w:lang w:bidi="fa-IR"/>
        </w:rPr>
      </w:pPr>
      <w:r>
        <w:rPr>
          <w:rtl/>
        </w:rPr>
        <w:t>(9).</w:t>
      </w:r>
      <w:r w:rsidR="008A74EB" w:rsidRPr="00C9040A">
        <w:rPr>
          <w:rtl/>
        </w:rPr>
        <w:t xml:space="preserve"> في « ف » : « لم يحتسب »</w:t>
      </w:r>
      <w:r w:rsidR="008A74EB">
        <w:rPr>
          <w:rtl/>
        </w:rPr>
        <w:t>.</w:t>
      </w:r>
      <w:r w:rsidR="008A74EB" w:rsidRPr="00C9040A">
        <w:rPr>
          <w:rtl/>
        </w:rPr>
        <w:t xml:space="preserve"> وفي حاشية « ض ، بر » : « لا يحسب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كَثُرَتْ خَطَايَاهُ ، وَحَضَرَ عَذَابُهُ </w:t>
      </w:r>
      <w:r w:rsidR="006C577F" w:rsidRPr="006C577F">
        <w:rPr>
          <w:rStyle w:val="libFootnotenumChar"/>
          <w:rtl/>
        </w:rPr>
        <w:t>(1)</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7604D4">
        <w:rPr>
          <w:rtl/>
        </w:rPr>
        <w:t>1835</w:t>
      </w:r>
      <w:r w:rsidRPr="00261CB0">
        <w:rPr>
          <w:rStyle w:val="libBold2Char"/>
          <w:rtl/>
        </w:rPr>
        <w:t xml:space="preserve"> / 16.</w:t>
      </w:r>
      <w:r w:rsidRPr="00C9040A">
        <w:rPr>
          <w:rtl/>
          <w:lang w:bidi="fa-IR"/>
        </w:rPr>
        <w:t xml:space="preserve"> عَلِيُّ بْنُ إِبْرَاهِيمَ ، عَنْ أَبِيهِ ، عَنِ النَّوْفَلِيِّ ، عَنِ السَّكُونِيِّ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يُعَذِّبُ اللهُ اللِّسَانَ بِعَذَابٍ لَايُعَذِّبُ بِهِ شَيْئاً مِنَ الْجَوَارِحِ ، فَيَقُولُ </w:t>
      </w:r>
      <w:r w:rsidR="006C577F" w:rsidRPr="006C577F">
        <w:rPr>
          <w:rStyle w:val="libFootnotenumChar"/>
          <w:rtl/>
        </w:rPr>
        <w:t>(3)</w:t>
      </w:r>
      <w:r w:rsidRPr="00C9040A">
        <w:rPr>
          <w:rtl/>
          <w:lang w:bidi="fa-IR"/>
        </w:rPr>
        <w:t xml:space="preserve"> : أَيْ رَبِّ عَذَّبْتَنِي بِعَذَابٍ لَمْ تُعَذِّبْ بِهِ شَيْئاً </w:t>
      </w:r>
      <w:r w:rsidR="006C577F" w:rsidRPr="006C577F">
        <w:rPr>
          <w:rStyle w:val="libFootnotenumChar"/>
          <w:rtl/>
        </w:rPr>
        <w:t>(4)</w:t>
      </w:r>
      <w:r>
        <w:rPr>
          <w:rtl/>
          <w:lang w:bidi="fa-IR"/>
        </w:rPr>
        <w:t>؟</w:t>
      </w:r>
      <w:r w:rsidRPr="00C9040A">
        <w:rPr>
          <w:rtl/>
          <w:lang w:bidi="fa-IR"/>
        </w:rPr>
        <w:t xml:space="preserve"> فَيُقَالُ لَهُ :</w:t>
      </w:r>
      <w:r>
        <w:rPr>
          <w:rFonts w:hint="cs"/>
          <w:rtl/>
          <w:lang w:bidi="fa-IR"/>
        </w:rPr>
        <w:t xml:space="preserve"> </w:t>
      </w:r>
      <w:r w:rsidRPr="00C9040A">
        <w:rPr>
          <w:rtl/>
          <w:lang w:bidi="fa-IR"/>
        </w:rPr>
        <w:t xml:space="preserve">خَرَجَتْ مِنْكَ </w:t>
      </w:r>
      <w:r w:rsidR="006C577F" w:rsidRPr="006C577F">
        <w:rPr>
          <w:rStyle w:val="libFootnotenumChar"/>
          <w:rtl/>
        </w:rPr>
        <w:t>(5)</w:t>
      </w:r>
      <w:r w:rsidRPr="00C9040A">
        <w:rPr>
          <w:rtl/>
          <w:lang w:bidi="fa-IR"/>
        </w:rPr>
        <w:t xml:space="preserve"> كَلِمَةٌ ، فَبَلَغَتْ </w:t>
      </w:r>
      <w:r w:rsidR="006C577F" w:rsidRPr="006C577F">
        <w:rPr>
          <w:rStyle w:val="libFootnotenumChar"/>
          <w:rtl/>
        </w:rPr>
        <w:t>(6)</w:t>
      </w:r>
      <w:r w:rsidRPr="005B567D">
        <w:rPr>
          <w:rStyle w:val="libFootnotenumChar"/>
          <w:rtl/>
        </w:rPr>
        <w:t xml:space="preserve"> </w:t>
      </w:r>
      <w:r w:rsidRPr="00C9040A">
        <w:rPr>
          <w:rtl/>
          <w:lang w:bidi="fa-IR"/>
        </w:rPr>
        <w:t xml:space="preserve">مَشَارِقَ الْأَرْضِ وَمَغَارِبَهَا ، فَسُفِكَ بِهَا الدَّمُ الْحَرَامُ ، وَانْتُهِبَ </w:t>
      </w:r>
      <w:r w:rsidR="006C577F" w:rsidRPr="006C577F">
        <w:rPr>
          <w:rStyle w:val="libFootnotenumChar"/>
          <w:rtl/>
        </w:rPr>
        <w:t>(7)</w:t>
      </w:r>
      <w:r w:rsidRPr="00C9040A">
        <w:rPr>
          <w:rtl/>
          <w:lang w:bidi="fa-IR"/>
        </w:rPr>
        <w:t xml:space="preserve"> بِهَا الْمَالُ الْحَرَامُ ، وَانْتُهِكَ بِهَا الْفَرْجُ </w:t>
      </w:r>
      <w:r w:rsidR="006C577F" w:rsidRPr="006C577F">
        <w:rPr>
          <w:rStyle w:val="libFootnotenumChar"/>
          <w:rtl/>
        </w:rPr>
        <w:t>(8)</w:t>
      </w:r>
      <w:r w:rsidRPr="00C9040A">
        <w:rPr>
          <w:rtl/>
          <w:lang w:bidi="fa-IR"/>
        </w:rPr>
        <w:t xml:space="preserve"> الْحَرَامُ ، وَعِزَّتِي وَجَلَالِي </w:t>
      </w:r>
      <w:r w:rsidR="006C577F" w:rsidRPr="006C577F">
        <w:rPr>
          <w:rStyle w:val="libFootnotenumChar"/>
          <w:rtl/>
        </w:rPr>
        <w:t>(9)</w:t>
      </w:r>
      <w:r w:rsidRPr="00C9040A">
        <w:rPr>
          <w:rtl/>
          <w:lang w:bidi="fa-IR"/>
        </w:rPr>
        <w:t xml:space="preserve"> لَأُعَذِّبَنَّكَ بِعَذَابٍ لَا</w:t>
      </w:r>
      <w:r>
        <w:rPr>
          <w:rFonts w:hint="cs"/>
          <w:rtl/>
          <w:lang w:bidi="fa-IR"/>
        </w:rPr>
        <w:t xml:space="preserve"> </w:t>
      </w:r>
      <w:r w:rsidRPr="00C9040A">
        <w:rPr>
          <w:rtl/>
          <w:lang w:bidi="fa-IR"/>
        </w:rPr>
        <w:t xml:space="preserve">أُعَذِّبُ </w:t>
      </w:r>
      <w:r w:rsidR="006C577F" w:rsidRPr="006C577F">
        <w:rPr>
          <w:rStyle w:val="libFootnotenumChar"/>
          <w:rtl/>
        </w:rPr>
        <w:t>(10)</w:t>
      </w:r>
      <w:r w:rsidRPr="00C9040A">
        <w:rPr>
          <w:rtl/>
          <w:lang w:bidi="fa-IR"/>
        </w:rPr>
        <w:t xml:space="preserve"> بِهِ شَيْئاً مِنْ جَوَارِحِكَ »</w:t>
      </w:r>
      <w:r>
        <w:rPr>
          <w:rtl/>
          <w:lang w:bidi="fa-IR"/>
        </w:rPr>
        <w:t>.</w:t>
      </w:r>
      <w:r w:rsidRPr="00C9040A">
        <w:rPr>
          <w:rtl/>
          <w:lang w:bidi="fa-IR"/>
        </w:rPr>
        <w:t xml:space="preserve"> </w:t>
      </w:r>
      <w:r w:rsidR="006C577F" w:rsidRPr="006C577F">
        <w:rPr>
          <w:rStyle w:val="libFootnotenumChar"/>
          <w:rtl/>
        </w:rPr>
        <w:t>(11)</w:t>
      </w:r>
      <w:r w:rsidRPr="00C9040A">
        <w:rPr>
          <w:rtl/>
          <w:lang w:bidi="fa-IR"/>
        </w:rPr>
        <w:t xml:space="preserve"> ‌</w:t>
      </w:r>
    </w:p>
    <w:p w:rsidR="008A74EB" w:rsidRPr="00C9040A" w:rsidRDefault="008A74EB" w:rsidP="008A74EB">
      <w:pPr>
        <w:pStyle w:val="libNormal"/>
        <w:rPr>
          <w:rtl/>
          <w:lang w:bidi="fa-IR"/>
        </w:rPr>
      </w:pPr>
      <w:r w:rsidRPr="007604D4">
        <w:rPr>
          <w:rtl/>
        </w:rPr>
        <w:t>1836</w:t>
      </w:r>
      <w:r w:rsidRPr="00261CB0">
        <w:rPr>
          <w:rStyle w:val="libBold2Char"/>
          <w:rtl/>
        </w:rPr>
        <w:t xml:space="preserve"> / 17.</w:t>
      </w:r>
      <w:r w:rsidRPr="00C9040A">
        <w:rPr>
          <w:rtl/>
          <w:lang w:bidi="fa-IR"/>
        </w:rPr>
        <w:t xml:space="preserve"> وَبِهذَا الْإِسْنَادِ ، قَالَ :</w:t>
      </w:r>
    </w:p>
    <w:p w:rsidR="008A74EB" w:rsidRPr="00C9040A" w:rsidRDefault="008A74EB" w:rsidP="008A74EB">
      <w:pPr>
        <w:pStyle w:val="libNormal"/>
        <w:rPr>
          <w:rtl/>
          <w:lang w:bidi="fa-IR"/>
        </w:rPr>
      </w:pPr>
      <w:r w:rsidRPr="00C9040A">
        <w:rPr>
          <w:rtl/>
          <w:lang w:bidi="fa-IR"/>
        </w:rPr>
        <w:t xml:space="preserve">قَالَ رَسُولُ اللهِ </w:t>
      </w:r>
      <w:r w:rsidR="004A4E41" w:rsidRPr="004A4E41">
        <w:rPr>
          <w:rStyle w:val="libAlaemChar"/>
          <w:rtl/>
        </w:rPr>
        <w:t>صلى‌الله‌عليه‌وآله</w:t>
      </w:r>
      <w:r w:rsidRPr="00C9040A">
        <w:rPr>
          <w:rtl/>
          <w:lang w:bidi="fa-IR"/>
        </w:rPr>
        <w:t xml:space="preserve"> : « إِنْ كَانَ فِي شَيْ‌ءٍ شُؤْمٌ </w:t>
      </w:r>
      <w:r w:rsidR="006C577F" w:rsidRPr="006C577F">
        <w:rPr>
          <w:rStyle w:val="libFootnotenumChar"/>
          <w:rtl/>
        </w:rPr>
        <w:t>(12)</w:t>
      </w:r>
      <w:r w:rsidRPr="00C9040A">
        <w:rPr>
          <w:rtl/>
          <w:lang w:bidi="fa-IR"/>
        </w:rPr>
        <w:t xml:space="preserve"> ، فَفِي اللِّسَانِ »</w:t>
      </w:r>
      <w:r>
        <w:rPr>
          <w:rtl/>
          <w:lang w:bidi="fa-IR"/>
        </w:rPr>
        <w:t>.</w:t>
      </w:r>
      <w:r w:rsidRPr="00C9040A">
        <w:rPr>
          <w:rtl/>
          <w:lang w:bidi="fa-IR"/>
        </w:rPr>
        <w:t xml:space="preserve"> </w:t>
      </w:r>
      <w:r w:rsidRPr="005B567D">
        <w:rPr>
          <w:rStyle w:val="libFootnotenumChar"/>
          <w:rtl/>
        </w:rPr>
        <w:t>(13)</w:t>
      </w:r>
      <w:r w:rsidRPr="00C9040A">
        <w:rPr>
          <w:rtl/>
          <w:lang w:bidi="fa-IR"/>
        </w:rPr>
        <w:t xml:space="preserve"> ‌</w:t>
      </w:r>
    </w:p>
    <w:p w:rsidR="008477B2" w:rsidRDefault="008A74EB" w:rsidP="008477B2">
      <w:pPr>
        <w:pStyle w:val="libNormal"/>
        <w:rPr>
          <w:rtl/>
          <w:lang w:bidi="fa-IR"/>
        </w:rPr>
      </w:pPr>
      <w:r w:rsidRPr="007604D4">
        <w:rPr>
          <w:rtl/>
        </w:rPr>
        <w:t>1837</w:t>
      </w:r>
      <w:r w:rsidRPr="00261CB0">
        <w:rPr>
          <w:rStyle w:val="libBold2Char"/>
          <w:rtl/>
        </w:rPr>
        <w:t xml:space="preserve"> / 18.</w:t>
      </w:r>
      <w:r w:rsidRPr="00C9040A">
        <w:rPr>
          <w:rtl/>
          <w:lang w:bidi="fa-IR"/>
        </w:rPr>
        <w:t xml:space="preserve"> عِدَّةٌ مِنْ أَصْحَابِنَا ، عَنْ سَهْلِ بْنِ زِيَادٍ ؛</w:t>
      </w:r>
    </w:p>
    <w:p w:rsidR="008A74EB" w:rsidRPr="00C9040A" w:rsidRDefault="008A74EB" w:rsidP="008477B2">
      <w:pPr>
        <w:pStyle w:val="libNormal"/>
        <w:rPr>
          <w:rtl/>
          <w:lang w:bidi="fa-IR"/>
        </w:rPr>
      </w:pPr>
      <w:r w:rsidRPr="00C9040A">
        <w:rPr>
          <w:rtl/>
          <w:lang w:bidi="fa-IR"/>
        </w:rPr>
        <w:t>وَالْحُسَيْنُ بْنُ مُحَمَّدٍ ، عَنْ مُعَلَّى بْنِ مُحَمَّدٍ جَمِيعاً ، عَنِ الْوَشَّاءِ ، قَالَ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w:t>
      </w:r>
      <w:r w:rsidR="008A74EB" w:rsidRPr="00993B55">
        <w:rPr>
          <w:rStyle w:val="libFootnoteBoldChar"/>
          <w:rtl/>
        </w:rPr>
        <w:t>الوافي</w:t>
      </w:r>
      <w:r w:rsidR="008A74EB" w:rsidRPr="00C9040A">
        <w:rPr>
          <w:rtl/>
        </w:rPr>
        <w:t xml:space="preserve"> : « إنّما حضر عذابه لأنّه أكثر ما يكون يندم على بعض ما قاله ولاينفعه الندم ، ولأنّه قلّما يكون كلام لايكون مورداً للاعتراض ولاسيّما إذا كثر »</w:t>
      </w:r>
      <w:r w:rsidR="008A74EB">
        <w:rPr>
          <w:rtl/>
        </w:rPr>
        <w:t>.</w:t>
      </w:r>
    </w:p>
    <w:p w:rsidR="008A74EB" w:rsidRPr="004A4E41" w:rsidRDefault="006C577F" w:rsidP="004A4E41">
      <w:pPr>
        <w:pStyle w:val="libFootnote0"/>
        <w:rPr>
          <w:rStyle w:val="libFootnote0Char"/>
          <w:rtl/>
        </w:rPr>
      </w:pPr>
      <w:r>
        <w:rPr>
          <w:rtl/>
        </w:rPr>
        <w:t>(2).</w:t>
      </w:r>
      <w:r w:rsidR="008A74EB">
        <w:rPr>
          <w:rtl/>
        </w:rPr>
        <w:t xml:space="preserve"> </w:t>
      </w:r>
      <w:r w:rsidR="008A74EB" w:rsidRPr="00993B55">
        <w:rPr>
          <w:rStyle w:val="libFootnoteBoldChar"/>
          <w:rtl/>
        </w:rPr>
        <w:t>الوافي</w:t>
      </w:r>
      <w:r w:rsidR="008A74EB" w:rsidRPr="00C9040A">
        <w:rPr>
          <w:rtl/>
        </w:rPr>
        <w:t xml:space="preserve"> ، ج 4 ، ص 453 ، ح 2325 ؛ </w:t>
      </w:r>
      <w:r w:rsidR="008A74EB" w:rsidRPr="00993B55">
        <w:rPr>
          <w:rStyle w:val="libFootnoteBoldChar"/>
          <w:rtl/>
        </w:rPr>
        <w:t>الوسائل</w:t>
      </w:r>
      <w:r w:rsidR="008A74EB" w:rsidRPr="00C9040A">
        <w:rPr>
          <w:rtl/>
        </w:rPr>
        <w:t xml:space="preserve"> ، ج 12 ، ص 169 ، ح 16071 ؛ </w:t>
      </w:r>
      <w:r w:rsidR="008A74EB" w:rsidRPr="00993B55">
        <w:rPr>
          <w:rStyle w:val="libFootnoteBoldChar"/>
          <w:rtl/>
        </w:rPr>
        <w:t>البحار</w:t>
      </w:r>
      <w:r w:rsidR="008A74EB" w:rsidRPr="00C9040A">
        <w:rPr>
          <w:rtl/>
        </w:rPr>
        <w:t xml:space="preserve"> ، ج 71 ، ص 304 ، ح 79.</w:t>
      </w:r>
    </w:p>
    <w:tbl>
      <w:tblPr>
        <w:tblStyle w:val="TableGrid"/>
        <w:bidiVisual/>
        <w:tblW w:w="0" w:type="auto"/>
        <w:tblLook w:val="04A0" w:firstRow="1" w:lastRow="0" w:firstColumn="1" w:lastColumn="0" w:noHBand="0" w:noVBand="1"/>
      </w:tblPr>
      <w:tblGrid>
        <w:gridCol w:w="4006"/>
        <w:gridCol w:w="4006"/>
      </w:tblGrid>
      <w:tr w:rsidR="008477B2" w:rsidTr="008477B2">
        <w:tc>
          <w:tcPr>
            <w:tcW w:w="4006" w:type="dxa"/>
          </w:tcPr>
          <w:p w:rsidR="008477B2" w:rsidRDefault="00555323" w:rsidP="004A4E41">
            <w:pPr>
              <w:pStyle w:val="libFootnote0"/>
              <w:rPr>
                <w:rtl/>
              </w:rPr>
            </w:pPr>
            <w:r>
              <w:rPr>
                <w:rtl/>
              </w:rPr>
              <w:t>(3).</w:t>
            </w:r>
            <w:r w:rsidRPr="00C9040A">
              <w:rPr>
                <w:rtl/>
              </w:rPr>
              <w:t xml:space="preserve"> في « بر » : + « له »</w:t>
            </w:r>
            <w:r>
              <w:rPr>
                <w:rtl/>
              </w:rPr>
              <w:t>.</w:t>
            </w:r>
          </w:p>
        </w:tc>
        <w:tc>
          <w:tcPr>
            <w:tcW w:w="4006" w:type="dxa"/>
          </w:tcPr>
          <w:p w:rsidR="008477B2" w:rsidRDefault="00555323" w:rsidP="004A4E41">
            <w:pPr>
              <w:pStyle w:val="libFootnote0"/>
              <w:rPr>
                <w:rtl/>
              </w:rPr>
            </w:pPr>
            <w:r>
              <w:rPr>
                <w:rtl/>
              </w:rPr>
              <w:t>(4).</w:t>
            </w:r>
            <w:r w:rsidRPr="00C9040A">
              <w:rPr>
                <w:rtl/>
              </w:rPr>
              <w:t xml:space="preserve"> في « ب ، د ، بر</w:t>
            </w:r>
            <w:r>
              <w:rPr>
                <w:rtl/>
              </w:rPr>
              <w:t xml:space="preserve"> » والجعفريّات :+«من الجوارح</w:t>
            </w:r>
            <w:r w:rsidRPr="00C9040A">
              <w:rPr>
                <w:rtl/>
              </w:rPr>
              <w:t>»</w:t>
            </w:r>
            <w:r>
              <w:rPr>
                <w:rtl/>
              </w:rPr>
              <w:t>.</w:t>
            </w:r>
          </w:p>
        </w:tc>
      </w:tr>
      <w:tr w:rsidR="008477B2" w:rsidTr="008477B2">
        <w:tc>
          <w:tcPr>
            <w:tcW w:w="4006" w:type="dxa"/>
          </w:tcPr>
          <w:p w:rsidR="008477B2" w:rsidRDefault="00555323" w:rsidP="004A4E41">
            <w:pPr>
              <w:pStyle w:val="libFootnote0"/>
              <w:rPr>
                <w:rtl/>
              </w:rPr>
            </w:pPr>
            <w:r>
              <w:rPr>
                <w:rtl/>
              </w:rPr>
              <w:t>(5).</w:t>
            </w:r>
            <w:r w:rsidRPr="00C9040A">
              <w:rPr>
                <w:rtl/>
              </w:rPr>
              <w:t xml:space="preserve"> في « بر » : « عنك »</w:t>
            </w:r>
            <w:r>
              <w:rPr>
                <w:rtl/>
              </w:rPr>
              <w:t>.</w:t>
            </w:r>
          </w:p>
        </w:tc>
        <w:tc>
          <w:tcPr>
            <w:tcW w:w="4006" w:type="dxa"/>
          </w:tcPr>
          <w:p w:rsidR="008477B2" w:rsidRDefault="003115B3" w:rsidP="004A4E41">
            <w:pPr>
              <w:pStyle w:val="libFootnote0"/>
              <w:rPr>
                <w:rtl/>
              </w:rPr>
            </w:pPr>
            <w:r>
              <w:rPr>
                <w:rtl/>
              </w:rPr>
              <w:t xml:space="preserve">(6). </w:t>
            </w:r>
            <w:r w:rsidRPr="00C9040A">
              <w:rPr>
                <w:rtl/>
              </w:rPr>
              <w:t>في الجعفريّات : « يلهث »</w:t>
            </w:r>
            <w:r>
              <w:rPr>
                <w:rtl/>
              </w:rPr>
              <w:t>.</w:t>
            </w:r>
          </w:p>
        </w:tc>
      </w:tr>
      <w:tr w:rsidR="008477B2" w:rsidTr="008477B2">
        <w:tc>
          <w:tcPr>
            <w:tcW w:w="4006" w:type="dxa"/>
          </w:tcPr>
          <w:p w:rsidR="008477B2" w:rsidRDefault="00B53E83" w:rsidP="004A4E41">
            <w:pPr>
              <w:pStyle w:val="libFootnote0"/>
              <w:rPr>
                <w:rtl/>
              </w:rPr>
            </w:pPr>
            <w:r>
              <w:rPr>
                <w:rtl/>
              </w:rPr>
              <w:t>(7).</w:t>
            </w:r>
            <w:r w:rsidRPr="00C9040A">
              <w:rPr>
                <w:rtl/>
              </w:rPr>
              <w:t xml:space="preserve"> في الجعفريّات : « وا</w:t>
            </w:r>
            <w:r w:rsidR="00E51877">
              <w:rPr>
                <w:rFonts w:hint="cs"/>
                <w:rtl/>
              </w:rPr>
              <w:t>ُ</w:t>
            </w:r>
            <w:r w:rsidRPr="00C9040A">
              <w:rPr>
                <w:rtl/>
              </w:rPr>
              <w:t>خذ »</w:t>
            </w:r>
            <w:r>
              <w:rPr>
                <w:rtl/>
              </w:rPr>
              <w:t>.</w:t>
            </w:r>
          </w:p>
        </w:tc>
        <w:tc>
          <w:tcPr>
            <w:tcW w:w="4006" w:type="dxa"/>
          </w:tcPr>
          <w:p w:rsidR="008477B2" w:rsidRDefault="00B53E83" w:rsidP="004A4E41">
            <w:pPr>
              <w:pStyle w:val="libFootnote0"/>
              <w:rPr>
                <w:rtl/>
              </w:rPr>
            </w:pPr>
            <w:r>
              <w:rPr>
                <w:rtl/>
              </w:rPr>
              <w:t>(8).</w:t>
            </w:r>
            <w:r w:rsidRPr="00C9040A">
              <w:rPr>
                <w:rtl/>
              </w:rPr>
              <w:t xml:space="preserve"> في « ف » : « الفُروج »</w:t>
            </w:r>
            <w:r>
              <w:rPr>
                <w:rtl/>
              </w:rPr>
              <w:t>.</w:t>
            </w:r>
          </w:p>
        </w:tc>
      </w:tr>
    </w:tbl>
    <w:p w:rsidR="008A74EB" w:rsidRPr="00C9040A" w:rsidRDefault="006C577F" w:rsidP="004A4E41">
      <w:pPr>
        <w:pStyle w:val="libFootnote0"/>
        <w:rPr>
          <w:rtl/>
          <w:lang w:bidi="fa-IR"/>
        </w:rPr>
      </w:pPr>
      <w:r>
        <w:rPr>
          <w:rtl/>
        </w:rPr>
        <w:t>(9).</w:t>
      </w:r>
      <w:r w:rsidR="008A74EB" w:rsidRPr="00C9040A">
        <w:rPr>
          <w:rtl/>
        </w:rPr>
        <w:t xml:space="preserve"> في « ج ، ص ، ض ، ف ، بر ، بس ، بف » والوافي والوسائل والجعفريّات </w:t>
      </w:r>
      <w:r w:rsidR="008A74EB">
        <w:rPr>
          <w:rtl/>
        </w:rPr>
        <w:t xml:space="preserve">: </w:t>
      </w:r>
      <w:r w:rsidR="0084262C">
        <w:rPr>
          <w:rtl/>
        </w:rPr>
        <w:t>-</w:t>
      </w:r>
      <w:r w:rsidR="008A74EB" w:rsidRPr="00C9040A">
        <w:rPr>
          <w:rtl/>
        </w:rPr>
        <w:t xml:space="preserve"> « وجلالي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 ج » وحاشية « ض ، بر » : « لم ا</w:t>
      </w:r>
      <w:r w:rsidR="00E51877">
        <w:rPr>
          <w:rFonts w:hint="cs"/>
          <w:rtl/>
        </w:rPr>
        <w:t>ُ</w:t>
      </w:r>
      <w:r w:rsidR="008A74EB" w:rsidRPr="00C9040A">
        <w:rPr>
          <w:rtl/>
        </w:rPr>
        <w:t>عذّب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w:t>
      </w:r>
      <w:r w:rsidR="008A74EB" w:rsidRPr="00993B55">
        <w:rPr>
          <w:rStyle w:val="libFootnoteBoldChar"/>
          <w:rtl/>
        </w:rPr>
        <w:t>الجعفريّات</w:t>
      </w:r>
      <w:r w:rsidR="008A74EB" w:rsidRPr="00C9040A">
        <w:rPr>
          <w:rtl/>
        </w:rPr>
        <w:t xml:space="preserve"> ، ص 147 ، بسند آخر عن أبي عبد الله ، عن آبائه </w:t>
      </w:r>
      <w:r w:rsidR="00117575" w:rsidRPr="00117575">
        <w:rPr>
          <w:rStyle w:val="libFootnoteAlaemChar"/>
          <w:rtl/>
        </w:rPr>
        <w:t>عليهم‌السلام</w:t>
      </w:r>
      <w:r w:rsidR="008A74EB" w:rsidRPr="00C9040A">
        <w:rPr>
          <w:rtl/>
        </w:rPr>
        <w:t xml:space="preserve"> عن رسول الله </w:t>
      </w:r>
      <w:r w:rsidR="004A4E41" w:rsidRPr="00AC2E2F">
        <w:rPr>
          <w:rStyle w:val="libFootnoteAlaemChar"/>
          <w:rtl/>
        </w:rPr>
        <w:t>صلى‌الله‌عليه‌وآله</w:t>
      </w:r>
      <w:r w:rsidR="00E51877">
        <w:rPr>
          <w:rFonts w:hint="cs"/>
          <w:rtl/>
        </w:rPr>
        <w:t>.</w:t>
      </w:r>
      <w:r w:rsidR="008A74EB" w:rsidRPr="00993B55">
        <w:rPr>
          <w:rStyle w:val="libFootnoteBoldChar"/>
          <w:rtl/>
        </w:rPr>
        <w:t>الوافي</w:t>
      </w:r>
      <w:r w:rsidR="008A74EB" w:rsidRPr="00C9040A">
        <w:rPr>
          <w:rtl/>
        </w:rPr>
        <w:t xml:space="preserve"> ، ج 4 ، ص 453 ، ح 2326 ؛ </w:t>
      </w:r>
      <w:r w:rsidR="008A74EB" w:rsidRPr="00993B55">
        <w:rPr>
          <w:rStyle w:val="libFootnoteBoldChar"/>
          <w:rtl/>
        </w:rPr>
        <w:t>الوسائل</w:t>
      </w:r>
      <w:r w:rsidR="008A74EB" w:rsidRPr="00C9040A">
        <w:rPr>
          <w:rtl/>
        </w:rPr>
        <w:t xml:space="preserve"> ، ج 27 ، ص 21 ، ح 33103 ؛ </w:t>
      </w:r>
      <w:r w:rsidR="008A74EB" w:rsidRPr="00993B55">
        <w:rPr>
          <w:rStyle w:val="libFootnoteBoldChar"/>
          <w:rtl/>
        </w:rPr>
        <w:t>البحار</w:t>
      </w:r>
      <w:r w:rsidR="008A74EB" w:rsidRPr="00C9040A">
        <w:rPr>
          <w:rtl/>
        </w:rPr>
        <w:t xml:space="preserve"> ، ج 71 ، ص 304 ، ح 80.</w:t>
      </w:r>
    </w:p>
    <w:p w:rsidR="008A74EB" w:rsidRPr="00C9040A" w:rsidRDefault="006C577F" w:rsidP="004A4E41">
      <w:pPr>
        <w:pStyle w:val="libFootnote0"/>
        <w:rPr>
          <w:rtl/>
          <w:lang w:bidi="fa-IR"/>
        </w:rPr>
      </w:pPr>
      <w:r>
        <w:rPr>
          <w:rtl/>
        </w:rPr>
        <w:t>(12).</w:t>
      </w:r>
      <w:r w:rsidR="008A74EB" w:rsidRPr="00C9040A">
        <w:rPr>
          <w:rtl/>
        </w:rPr>
        <w:t xml:space="preserve"> في </w:t>
      </w:r>
      <w:r w:rsidR="008A74EB" w:rsidRPr="00993B55">
        <w:rPr>
          <w:rStyle w:val="libFootnoteBoldChar"/>
          <w:rtl/>
        </w:rPr>
        <w:t>شرح المازندراني</w:t>
      </w:r>
      <w:r w:rsidR="008A74EB" w:rsidRPr="00C9040A">
        <w:rPr>
          <w:rtl/>
        </w:rPr>
        <w:t xml:space="preserve"> : « الشؤم : الشرّ ، وشي‌ء مشوم ، أي غير مبارك ، وفيه تنبيه على كثرة شومه ؛ لأنّ له تعلّقاً بكلّ خير وشرّ ، فميدان شرّه أوسع من ميدان شرّ جميع الجوارح ، فمن أطلق عنانه في ميدانه أورده في مهاوي الهلاك ، ولا شؤم أعظم من ذلك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 كثرة شؤم اللسان لكثرة المضرّات والمفاسد المترتّبة »</w:t>
      </w:r>
      <w:r w:rsidR="008A74EB">
        <w:rPr>
          <w:rtl/>
        </w:rPr>
        <w:t>.</w:t>
      </w:r>
    </w:p>
    <w:p w:rsidR="008A74EB" w:rsidRPr="00C9040A" w:rsidRDefault="008A74EB" w:rsidP="004A4E41">
      <w:pPr>
        <w:pStyle w:val="libFootnote0"/>
        <w:rPr>
          <w:rtl/>
          <w:lang w:bidi="fa-IR"/>
        </w:rPr>
      </w:pPr>
      <w:r>
        <w:rPr>
          <w:rtl/>
        </w:rPr>
        <w:t>(13)</w:t>
      </w:r>
      <w:r w:rsidRPr="00C9040A">
        <w:rPr>
          <w:rtl/>
        </w:rPr>
        <w:t xml:space="preserve"> </w:t>
      </w:r>
      <w:r w:rsidRPr="00993B55">
        <w:rPr>
          <w:rStyle w:val="libFootnoteBoldChar"/>
          <w:rtl/>
        </w:rPr>
        <w:t>الوافي</w:t>
      </w:r>
      <w:r w:rsidRPr="00C9040A">
        <w:rPr>
          <w:rtl/>
        </w:rPr>
        <w:t xml:space="preserve"> ، ج 4 ، ص 453 ، ح 2327 ؛ </w:t>
      </w:r>
      <w:r w:rsidRPr="00993B55">
        <w:rPr>
          <w:rStyle w:val="libFootnoteBoldChar"/>
          <w:rtl/>
        </w:rPr>
        <w:t>الوسائل</w:t>
      </w:r>
      <w:r w:rsidRPr="00C9040A">
        <w:rPr>
          <w:rtl/>
        </w:rPr>
        <w:t xml:space="preserve"> ، ج 12 ، ص 192 ، ح 16056 ؛ </w:t>
      </w:r>
      <w:r w:rsidRPr="00993B55">
        <w:rPr>
          <w:rStyle w:val="libFootnoteBoldChar"/>
          <w:rtl/>
        </w:rPr>
        <w:t>البحار</w:t>
      </w:r>
      <w:r w:rsidRPr="00C9040A">
        <w:rPr>
          <w:rtl/>
        </w:rPr>
        <w:t xml:space="preserve"> ، ج 71 ، ص 305 ، ح 81.</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سَمِعْتُ الرِّضَا </w:t>
      </w:r>
      <w:r w:rsidRPr="0003660B">
        <w:rPr>
          <w:rStyle w:val="libAlaemChar"/>
          <w:rtl/>
        </w:rPr>
        <w:t>عليه‌السلام</w:t>
      </w:r>
      <w:r w:rsidRPr="00C9040A">
        <w:rPr>
          <w:rtl/>
          <w:lang w:bidi="fa-IR"/>
        </w:rPr>
        <w:t xml:space="preserve"> يَقُولُ : « كَانَ الرَّجُلُ مِنْ </w:t>
      </w:r>
      <w:r w:rsidR="006C577F" w:rsidRPr="006C577F">
        <w:rPr>
          <w:rStyle w:val="libFootnotenumChar"/>
          <w:rtl/>
        </w:rPr>
        <w:t>(1)</w:t>
      </w:r>
      <w:r w:rsidRPr="00C9040A">
        <w:rPr>
          <w:rtl/>
          <w:lang w:bidi="fa-IR"/>
        </w:rPr>
        <w:t xml:space="preserve"> بَنِي إِسْرَائِيلَ إِذَا أَرَادَ الْعِبَادَةَ ، صَمَتَ قَبْلَ ذلِكَ عَشْرَ سِنِينَ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7604D4">
        <w:rPr>
          <w:rtl/>
        </w:rPr>
        <w:t>1838</w:t>
      </w:r>
      <w:r w:rsidRPr="00261CB0">
        <w:rPr>
          <w:rStyle w:val="libBold2Char"/>
          <w:rtl/>
        </w:rPr>
        <w:t xml:space="preserve"> / 19.</w:t>
      </w:r>
      <w:r w:rsidRPr="00C9040A">
        <w:rPr>
          <w:rtl/>
          <w:lang w:bidi="fa-IR"/>
        </w:rPr>
        <w:t xml:space="preserve"> مُحَمَّدُ بْنُ يَحْيى ، عَنْ أَحْمَدَ بْنِ مُحَمَّدٍ ، عَنْ بَكْرِ بْنِ صَالِحٍ ، عَنِ الْغِفَارِيِّ ، عَنْ جَعْفَرِ بْنِ إِبْرَاهِيمَ ، قَالَ :</w:t>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w:t>
      </w:r>
      <w:r w:rsidR="006C577F" w:rsidRPr="006C577F">
        <w:rPr>
          <w:rStyle w:val="libFootnotenumChar"/>
          <w:rtl/>
        </w:rPr>
        <w:t>(3)</w:t>
      </w:r>
      <w:r w:rsidRPr="00C9040A">
        <w:rPr>
          <w:rtl/>
          <w:lang w:bidi="fa-IR"/>
        </w:rPr>
        <w:t xml:space="preserve"> : « قَالَ رَسُولُ اللهِ </w:t>
      </w:r>
      <w:r w:rsidR="004A4E41" w:rsidRPr="004A4E41">
        <w:rPr>
          <w:rStyle w:val="libAlaemChar"/>
          <w:rtl/>
        </w:rPr>
        <w:t>صلى‌الله‌عليه‌وآله</w:t>
      </w:r>
      <w:r w:rsidRPr="00C9040A">
        <w:rPr>
          <w:rtl/>
          <w:lang w:bidi="fa-IR"/>
        </w:rPr>
        <w:t xml:space="preserve"> : مَنْ رَأى مَوْضِعَ كَلَامِهِ </w:t>
      </w:r>
      <w:r w:rsidR="006C577F" w:rsidRPr="006C577F">
        <w:rPr>
          <w:rStyle w:val="libFootnotenumChar"/>
          <w:rtl/>
        </w:rPr>
        <w:t>(4)</w:t>
      </w:r>
      <w:r w:rsidRPr="00C9040A">
        <w:rPr>
          <w:rtl/>
          <w:lang w:bidi="fa-IR"/>
        </w:rPr>
        <w:t xml:space="preserve"> مِنْ عَمَلِهِ </w:t>
      </w:r>
      <w:r w:rsidR="006C577F" w:rsidRPr="006C577F">
        <w:rPr>
          <w:rStyle w:val="libFootnotenumChar"/>
          <w:rtl/>
        </w:rPr>
        <w:t>(5)</w:t>
      </w:r>
      <w:r w:rsidR="00E51877">
        <w:rPr>
          <w:rtl/>
          <w:lang w:bidi="fa-IR"/>
        </w:rPr>
        <w:t xml:space="preserve"> ، قَلَّ كَلَامُهُ إِل</w:t>
      </w:r>
      <w:r w:rsidR="00E51877">
        <w:rPr>
          <w:rFonts w:hint="cs"/>
          <w:rtl/>
          <w:lang w:bidi="fa-IR"/>
        </w:rPr>
        <w:t>َّ</w:t>
      </w:r>
      <w:r w:rsidR="00E51877">
        <w:rPr>
          <w:rtl/>
          <w:lang w:bidi="fa-IR"/>
        </w:rPr>
        <w:t>ا</w:t>
      </w:r>
      <w:r w:rsidRPr="00C9040A">
        <w:rPr>
          <w:rtl/>
          <w:lang w:bidi="fa-IR"/>
        </w:rPr>
        <w:t xml:space="preserve"> فِيمَا يَعْنِيهِ </w:t>
      </w:r>
      <w:r w:rsidR="006C577F" w:rsidRPr="006C577F">
        <w:rPr>
          <w:rStyle w:val="libFootnotenumChar"/>
          <w:rtl/>
        </w:rPr>
        <w:t>(6)</w:t>
      </w:r>
      <w:r w:rsidRPr="00C9040A">
        <w:rPr>
          <w:rtl/>
          <w:lang w:bidi="fa-IR"/>
        </w:rPr>
        <w:t>»</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7604D4">
        <w:rPr>
          <w:rtl/>
        </w:rPr>
        <w:t>1839</w:t>
      </w:r>
      <w:r w:rsidRPr="00261CB0">
        <w:rPr>
          <w:rStyle w:val="libBold2Char"/>
          <w:rtl/>
        </w:rPr>
        <w:t xml:space="preserve"> / 20.</w:t>
      </w:r>
      <w:r w:rsidRPr="00C9040A">
        <w:rPr>
          <w:rtl/>
          <w:lang w:bidi="fa-IR"/>
        </w:rPr>
        <w:t xml:space="preserve"> أَبُو عَلِيٍّ الْأَشْعَرِيُّ ، عَنِ الْحَسَنِ بْنِ عَلِيٍّ الْكُوفِيِّ ، عَنْ عُثْمَانَ بْنِ عِيسى ، عَنْ سَعِيدِ بْنِ يَسَارٍ ، عَنْ مَنْصُورِ بْنِ يُونُسَ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حاشية « بر » : « في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الكافي</w:t>
      </w:r>
      <w:r w:rsidR="008A74EB" w:rsidRPr="00C9040A">
        <w:rPr>
          <w:rtl/>
        </w:rPr>
        <w:t xml:space="preserve"> ، كتاب الإيمان والكفر ، باب الحلم ، ح 1811 ، مع زيادة في أوّله ؛ </w:t>
      </w:r>
      <w:r w:rsidR="008A74EB" w:rsidRPr="00993B55">
        <w:rPr>
          <w:rStyle w:val="libFootnoteBoldChar"/>
          <w:rtl/>
        </w:rPr>
        <w:t>عيون الأخبار</w:t>
      </w:r>
      <w:r w:rsidR="008A74EB" w:rsidRPr="00C9040A">
        <w:rPr>
          <w:rtl/>
        </w:rPr>
        <w:t xml:space="preserve"> ، ج 2 ، ص 12 ، ح 28 ، وفيهما بسند آخر ، مع اختلاف يسير</w:t>
      </w:r>
      <w:r w:rsidR="00E51877">
        <w:rPr>
          <w:rFonts w:hint="cs"/>
          <w:rtl/>
        </w:rPr>
        <w:t>.</w:t>
      </w:r>
      <w:r w:rsidR="008A74EB" w:rsidRPr="00993B55">
        <w:rPr>
          <w:rStyle w:val="libFootnoteBoldChar"/>
          <w:rtl/>
        </w:rPr>
        <w:t>الوافي</w:t>
      </w:r>
      <w:r w:rsidR="008A74EB" w:rsidRPr="00C9040A">
        <w:rPr>
          <w:rtl/>
        </w:rPr>
        <w:t xml:space="preserve"> ، ج 4 ، ص 453 ، ح 2328 ؛ </w:t>
      </w:r>
      <w:r w:rsidR="008A74EB" w:rsidRPr="00993B55">
        <w:rPr>
          <w:rStyle w:val="libFootnoteBoldChar"/>
          <w:rtl/>
        </w:rPr>
        <w:t>الوسائل</w:t>
      </w:r>
      <w:r w:rsidR="008A74EB" w:rsidRPr="00C9040A">
        <w:rPr>
          <w:rtl/>
        </w:rPr>
        <w:t xml:space="preserve"> ، ج 12 ، ص 183 ، ح 16028 ؛ </w:t>
      </w:r>
      <w:r w:rsidR="008A74EB" w:rsidRPr="00993B55">
        <w:rPr>
          <w:rStyle w:val="libFootnoteBoldChar"/>
          <w:rtl/>
        </w:rPr>
        <w:t>البحار</w:t>
      </w:r>
      <w:r w:rsidR="008A74EB" w:rsidRPr="00C9040A">
        <w:rPr>
          <w:rtl/>
        </w:rPr>
        <w:t xml:space="preserve"> ، ج 71 ، ص 306 ، ح 82.</w:t>
      </w:r>
      <w:r w:rsidR="00E51877">
        <w:rPr>
          <w:rFonts w:hint="cs"/>
          <w:rtl/>
        </w:rPr>
        <w:t xml:space="preserve">                    </w:t>
      </w:r>
      <w:r>
        <w:rPr>
          <w:rtl/>
        </w:rPr>
        <w:t>(3).</w:t>
      </w:r>
      <w:r w:rsidR="008A74EB" w:rsidRPr="00C9040A">
        <w:rPr>
          <w:rtl/>
        </w:rPr>
        <w:t xml:space="preserve"> في « ج » : « قال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نهج البلاغة وتحف العقول : « من علم أنّ كلامه » بدل « من رأى موضع كلامه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الزهد : « عقله »</w:t>
      </w:r>
      <w:r w:rsidR="008A74EB">
        <w:rPr>
          <w:rtl/>
        </w:rPr>
        <w:t>.</w:t>
      </w:r>
      <w:r w:rsidR="008A74EB" w:rsidRPr="00C9040A">
        <w:rPr>
          <w:rtl/>
        </w:rPr>
        <w:t xml:space="preserve"> وفي </w:t>
      </w:r>
      <w:r w:rsidR="008A74EB" w:rsidRPr="00993B55">
        <w:rPr>
          <w:rStyle w:val="libFootnoteBoldChar"/>
          <w:rtl/>
        </w:rPr>
        <w:t>شرح المازندراني</w:t>
      </w:r>
      <w:r w:rsidR="008A74EB" w:rsidRPr="00C9040A">
        <w:rPr>
          <w:rtl/>
        </w:rPr>
        <w:t xml:space="preserve"> : « وفيه تنبيه على أنّ المتكلّم ينبغي أن يعدّ كلامه من عمله ويتدبّر في صحّته وفساده وضرّه ونفعه ، فإن رآه صحيحاً لايترتّب عليه شي‌ء من المفاسد آجلاً وعاجلاً ، تكلّم به ، وإن رأى خلاف ذلك ، أمسك عنه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تحف العقول : « فيما ينفعه »</w:t>
      </w:r>
      <w:r w:rsidR="008A74EB">
        <w:rPr>
          <w:rtl/>
        </w:rPr>
        <w:t>.</w:t>
      </w:r>
      <w:r w:rsidR="008A74EB" w:rsidRPr="00C9040A">
        <w:rPr>
          <w:rtl/>
        </w:rPr>
        <w:t xml:space="preserve"> وفي </w:t>
      </w:r>
      <w:r w:rsidR="008A74EB" w:rsidRPr="00993B55">
        <w:rPr>
          <w:rStyle w:val="libFootnoteBoldChar"/>
          <w:rtl/>
        </w:rPr>
        <w:t>شرح المازندراني</w:t>
      </w:r>
      <w:r w:rsidR="008A74EB" w:rsidRPr="00C9040A">
        <w:rPr>
          <w:rtl/>
        </w:rPr>
        <w:t xml:space="preserve"> : « فيما يعنيه ، أي يهمّه ، أو يقصده ؛ من عنيتُ به ، أي اهتممت واشتغلت به ؛ أو من عنيتُ فلاناً ، أي قصدته »</w:t>
      </w:r>
      <w:r w:rsidR="008A74EB">
        <w:rPr>
          <w:rtl/>
        </w:rPr>
        <w:t>.</w:t>
      </w:r>
      <w:r w:rsidR="008A74EB" w:rsidRPr="00C9040A">
        <w:rPr>
          <w:rtl/>
        </w:rPr>
        <w:t xml:space="preserve"> وراجع أيضاً : </w:t>
      </w:r>
      <w:r w:rsidR="008A74EB" w:rsidRPr="00993B55">
        <w:rPr>
          <w:rStyle w:val="libFootnoteBoldChar"/>
          <w:rtl/>
        </w:rPr>
        <w:t>لسان العرب</w:t>
      </w:r>
      <w:r w:rsidR="008A74EB" w:rsidRPr="00C9040A">
        <w:rPr>
          <w:rtl/>
        </w:rPr>
        <w:t xml:space="preserve"> ، ج 15 ، ص 105 ؛ </w:t>
      </w:r>
      <w:r w:rsidR="008A74EB" w:rsidRPr="00993B55">
        <w:rPr>
          <w:rStyle w:val="libFootnoteBoldChar"/>
          <w:rtl/>
        </w:rPr>
        <w:t>المصباح المنير</w:t>
      </w:r>
      <w:r w:rsidR="008A74EB" w:rsidRPr="00C9040A">
        <w:rPr>
          <w:rtl/>
        </w:rPr>
        <w:t xml:space="preserve"> ، ص 434.</w:t>
      </w:r>
    </w:p>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الزهد</w:t>
      </w:r>
      <w:r w:rsidR="008A74EB" w:rsidRPr="00C9040A">
        <w:rPr>
          <w:rtl/>
        </w:rPr>
        <w:t xml:space="preserve"> ، ص 64 ، ح 4 ، عن محمّد بن سنان ، عن جعفر بن إبراهيم ، عن أبي عبدالله </w:t>
      </w:r>
      <w:r w:rsidR="00117575" w:rsidRPr="00117575">
        <w:rPr>
          <w:rStyle w:val="libFootnoteAlaemChar"/>
          <w:rtl/>
        </w:rPr>
        <w:t>عليه‌السلام</w:t>
      </w:r>
      <w:r w:rsidR="008A74EB" w:rsidRPr="00C9040A">
        <w:rPr>
          <w:rtl/>
        </w:rPr>
        <w:t xml:space="preserve"> ، من دون الإسناد إلى النبي </w:t>
      </w:r>
      <w:r w:rsidR="004A4E41" w:rsidRPr="00AC2E2F">
        <w:rPr>
          <w:rStyle w:val="libFootnoteAlaemChar"/>
          <w:rtl/>
        </w:rPr>
        <w:t>صلى‌الله‌عليه‌وآله</w:t>
      </w:r>
      <w:r w:rsidR="008A74EB" w:rsidRPr="00C9040A">
        <w:rPr>
          <w:rtl/>
        </w:rPr>
        <w:t xml:space="preserve">. وفي </w:t>
      </w:r>
      <w:r w:rsidR="008A74EB" w:rsidRPr="00993B55">
        <w:rPr>
          <w:rStyle w:val="libFootnoteBoldChar"/>
          <w:rtl/>
        </w:rPr>
        <w:t>الخصال</w:t>
      </w:r>
      <w:r w:rsidR="008A74EB" w:rsidRPr="00C9040A">
        <w:rPr>
          <w:rtl/>
        </w:rPr>
        <w:t xml:space="preserve"> ، ص 525 ، أبواب العشرين وما فوقه ، ضمن الحديث الطويل 13 ؛ و</w:t>
      </w:r>
      <w:r w:rsidR="008A74EB" w:rsidRPr="00993B55">
        <w:rPr>
          <w:rStyle w:val="libFootnoteBoldChar"/>
          <w:rtl/>
        </w:rPr>
        <w:t>معاني الأخبار</w:t>
      </w:r>
      <w:r w:rsidR="008A74EB" w:rsidRPr="00C9040A">
        <w:rPr>
          <w:rtl/>
        </w:rPr>
        <w:t xml:space="preserve"> ، ص 332 ، ضمن الحديث الطويل 1 ؛ </w:t>
      </w:r>
      <w:r w:rsidR="008A74EB" w:rsidRPr="00AC2E2F">
        <w:rPr>
          <w:rStyle w:val="libFootnoteBoldChar"/>
          <w:rtl/>
        </w:rPr>
        <w:t>والأمالي للطوسي</w:t>
      </w:r>
      <w:r w:rsidR="008A74EB" w:rsidRPr="00C9040A">
        <w:rPr>
          <w:rtl/>
        </w:rPr>
        <w:t xml:space="preserve"> ، ص 540 ، المجلس 19 ، ضمن الحديث الطويل 2 ، بسند آخر عن أبي ذرّ ، عن رسول الله </w:t>
      </w:r>
      <w:r w:rsidR="004A4E41" w:rsidRPr="00AC2E2F">
        <w:rPr>
          <w:rStyle w:val="libFootnoteAlaemChar"/>
          <w:rtl/>
        </w:rPr>
        <w:t>صلى‌الله‌عليه‌وآله</w:t>
      </w:r>
      <w:r w:rsidR="008A74EB" w:rsidRPr="00C9040A">
        <w:rPr>
          <w:rtl/>
        </w:rPr>
        <w:t xml:space="preserve">. </w:t>
      </w:r>
      <w:r w:rsidR="008A74EB" w:rsidRPr="00993B55">
        <w:rPr>
          <w:rStyle w:val="libFootnoteBoldChar"/>
          <w:rtl/>
        </w:rPr>
        <w:t>نهج البلاغة</w:t>
      </w:r>
      <w:r w:rsidR="008A74EB" w:rsidRPr="00C9040A">
        <w:rPr>
          <w:rtl/>
        </w:rPr>
        <w:t xml:space="preserve"> ، ص 536 ، الحكمة 349 ، مع زيادة في أوّله ؛ </w:t>
      </w:r>
      <w:r w:rsidR="008A74EB" w:rsidRPr="00993B55">
        <w:rPr>
          <w:rStyle w:val="libFootnoteBoldChar"/>
          <w:rtl/>
        </w:rPr>
        <w:t>تحف العقول</w:t>
      </w:r>
      <w:r w:rsidR="008A74EB" w:rsidRPr="00C9040A">
        <w:rPr>
          <w:rtl/>
        </w:rPr>
        <w:t xml:space="preserve"> ، ص 89 ، ضمن الحديث الطويل ؛ </w:t>
      </w:r>
      <w:r w:rsidR="008A74EB" w:rsidRPr="00993B55">
        <w:rPr>
          <w:rStyle w:val="libFootnoteBoldChar"/>
          <w:rtl/>
        </w:rPr>
        <w:t>وفيه</w:t>
      </w:r>
      <w:r w:rsidR="008A74EB" w:rsidRPr="00C9040A">
        <w:rPr>
          <w:rtl/>
        </w:rPr>
        <w:t xml:space="preserve"> ، ص 100 ، ضمن الحديث الطويل ، عن أمير المؤمنين </w:t>
      </w:r>
      <w:r w:rsidR="00117575" w:rsidRPr="00117575">
        <w:rPr>
          <w:rStyle w:val="libFootnoteAlaemChar"/>
          <w:rtl/>
        </w:rPr>
        <w:t>عليه‌السلام</w:t>
      </w:r>
      <w:r w:rsidR="008A74EB" w:rsidRPr="00C9040A">
        <w:rPr>
          <w:rtl/>
        </w:rPr>
        <w:t xml:space="preserve"> ، وفي كلّ المصادر مع اختلاف يسير</w:t>
      </w:r>
      <w:r w:rsidR="003115C4">
        <w:rPr>
          <w:rFonts w:hint="cs"/>
          <w:rtl/>
        </w:rPr>
        <w:t>.</w:t>
      </w:r>
      <w:r w:rsidR="008A74EB" w:rsidRPr="00993B55">
        <w:rPr>
          <w:rStyle w:val="libFootnoteBoldChar"/>
          <w:rtl/>
        </w:rPr>
        <w:t>الوافي</w:t>
      </w:r>
      <w:r w:rsidR="008A74EB" w:rsidRPr="00C9040A">
        <w:rPr>
          <w:rtl/>
        </w:rPr>
        <w:t xml:space="preserve"> ، ج 4 ، ص 454 ، ح 2329 ؛ </w:t>
      </w:r>
      <w:r w:rsidR="008A74EB" w:rsidRPr="00993B55">
        <w:rPr>
          <w:rStyle w:val="libFootnoteBoldChar"/>
          <w:rtl/>
        </w:rPr>
        <w:t>الوسائل</w:t>
      </w:r>
      <w:r w:rsidR="008A74EB" w:rsidRPr="00C9040A">
        <w:rPr>
          <w:rtl/>
        </w:rPr>
        <w:t xml:space="preserve"> ، ج 12 ، ص 196 ، ح 16072 ؛ </w:t>
      </w:r>
      <w:r w:rsidR="008A74EB" w:rsidRPr="00993B55">
        <w:rPr>
          <w:rStyle w:val="libFootnoteBoldChar"/>
          <w:rtl/>
        </w:rPr>
        <w:t>البحار</w:t>
      </w:r>
      <w:r w:rsidR="008A74EB" w:rsidRPr="00C9040A">
        <w:rPr>
          <w:rtl/>
        </w:rPr>
        <w:t xml:space="preserve"> ، ج 71 ، ص 306 ، ح 83.</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فِي حِكْمَةِ </w:t>
      </w:r>
      <w:r w:rsidR="006C577F" w:rsidRPr="006C577F">
        <w:rPr>
          <w:rStyle w:val="libFootnotenumChar"/>
          <w:rtl/>
        </w:rPr>
        <w:t>(1)</w:t>
      </w:r>
      <w:r w:rsidRPr="00C9040A">
        <w:rPr>
          <w:rtl/>
          <w:lang w:bidi="fa-IR"/>
        </w:rPr>
        <w:t xml:space="preserve"> آلِ دَاوُدَ : عَلَى الْعَاقِلِ أَنْ يَكُونَ عَارِفاً بِزَمَانِهِ </w:t>
      </w:r>
      <w:r w:rsidR="006C577F" w:rsidRPr="006C577F">
        <w:rPr>
          <w:rStyle w:val="libFootnotenumChar"/>
          <w:rtl/>
        </w:rPr>
        <w:t>(2)</w:t>
      </w:r>
      <w:r w:rsidRPr="00C9040A">
        <w:rPr>
          <w:rtl/>
          <w:lang w:bidi="fa-IR"/>
        </w:rPr>
        <w:t xml:space="preserve"> ، مُقْبِلاً عَلى شَأْنِهِ ، حَافِظاً لِلِسَانِهِ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7604D4">
        <w:rPr>
          <w:rtl/>
        </w:rPr>
        <w:t>1840</w:t>
      </w:r>
      <w:r w:rsidRPr="00261CB0">
        <w:rPr>
          <w:rStyle w:val="libBold2Char"/>
          <w:rtl/>
        </w:rPr>
        <w:t xml:space="preserve"> / 21.</w:t>
      </w:r>
      <w:r w:rsidRPr="00C9040A">
        <w:rPr>
          <w:rtl/>
          <w:lang w:bidi="fa-IR"/>
        </w:rPr>
        <w:t xml:space="preserve"> مُحَمَّدُ بْنُ يَحْيى ، عَنْ مُحَمَّدِ بْنِ الْحُسَيْنِ ، عَنْ عَلِيِّ بْنِ الْحَسَنِ بْنِ رِبَاطٍ ، عَنْ بَعْضِ رِجَالِهِ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لَا يَزَالُ الْعَبْدُ الْمُؤْمِنُ </w:t>
      </w:r>
      <w:r w:rsidR="006C577F" w:rsidRPr="006C577F">
        <w:rPr>
          <w:rStyle w:val="libFootnotenumChar"/>
          <w:rtl/>
        </w:rPr>
        <w:t>(4)</w:t>
      </w:r>
      <w:r w:rsidRPr="00C9040A">
        <w:rPr>
          <w:rtl/>
          <w:lang w:bidi="fa-IR"/>
        </w:rPr>
        <w:t xml:space="preserve"> يُكْتَبُ مُحْسِناً مَا دَامَ سَاكِتاً ، فَإِذَا تَكَلَّمَ كُتِبَ </w:t>
      </w:r>
      <w:r w:rsidR="006C577F" w:rsidRPr="006C577F">
        <w:rPr>
          <w:rStyle w:val="libFootnotenumChar"/>
          <w:rtl/>
        </w:rPr>
        <w:t>(5)</w:t>
      </w:r>
      <w:r w:rsidRPr="00C9040A">
        <w:rPr>
          <w:rtl/>
          <w:lang w:bidi="fa-IR"/>
        </w:rPr>
        <w:t xml:space="preserve"> مُحْسِناً أَوْ مُسِيئاً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Heading2Center"/>
        <w:rPr>
          <w:rtl/>
          <w:lang w:bidi="fa-IR"/>
        </w:rPr>
      </w:pPr>
      <w:bookmarkStart w:id="181" w:name="_Toc343795648"/>
      <w:bookmarkStart w:id="182" w:name="_Toc459810772"/>
      <w:bookmarkStart w:id="183" w:name="_Toc35348678"/>
      <w:r w:rsidRPr="00C9040A">
        <w:rPr>
          <w:rtl/>
          <w:lang w:bidi="fa-IR"/>
        </w:rPr>
        <w:t>57</w:t>
      </w:r>
      <w:r>
        <w:rPr>
          <w:rtl/>
          <w:lang w:bidi="fa-IR"/>
        </w:rPr>
        <w:t xml:space="preserve"> </w:t>
      </w:r>
      <w:r w:rsidR="0084262C">
        <w:rPr>
          <w:rtl/>
          <w:lang w:bidi="fa-IR"/>
        </w:rPr>
        <w:t>-</w:t>
      </w:r>
      <w:r>
        <w:rPr>
          <w:rtl/>
          <w:lang w:bidi="fa-IR"/>
        </w:rPr>
        <w:t xml:space="preserve"> </w:t>
      </w:r>
      <w:r w:rsidRPr="00C9040A">
        <w:rPr>
          <w:rtl/>
          <w:lang w:bidi="fa-IR"/>
        </w:rPr>
        <w:t xml:space="preserve">بَابُ الْمُدَارَاةِ </w:t>
      </w:r>
      <w:r w:rsidR="006C577F" w:rsidRPr="006C577F">
        <w:rPr>
          <w:rStyle w:val="libFootnotenumChar"/>
          <w:rtl/>
        </w:rPr>
        <w:t>(7)</w:t>
      </w:r>
      <w:r w:rsidRPr="00C9040A">
        <w:rPr>
          <w:rtl/>
          <w:lang w:bidi="fa-IR"/>
        </w:rPr>
        <w:t xml:space="preserve"> ‌</w:t>
      </w:r>
      <w:bookmarkEnd w:id="181"/>
      <w:bookmarkEnd w:id="182"/>
      <w:bookmarkEnd w:id="183"/>
    </w:p>
    <w:p w:rsidR="008A74EB" w:rsidRPr="00C9040A" w:rsidRDefault="008A74EB" w:rsidP="008A74EB">
      <w:pPr>
        <w:pStyle w:val="libNormal"/>
        <w:rPr>
          <w:rtl/>
          <w:lang w:bidi="fa-IR"/>
        </w:rPr>
      </w:pPr>
      <w:r w:rsidRPr="007604D4">
        <w:rPr>
          <w:rtl/>
        </w:rPr>
        <w:t>1841</w:t>
      </w:r>
      <w:r w:rsidRPr="00261CB0">
        <w:rPr>
          <w:rStyle w:val="libBold2Char"/>
          <w:rtl/>
        </w:rPr>
        <w:t xml:space="preserve"> / 1.</w:t>
      </w:r>
      <w:r w:rsidRPr="00C9040A">
        <w:rPr>
          <w:rtl/>
          <w:lang w:bidi="fa-IR"/>
        </w:rPr>
        <w:t xml:space="preserve"> عَلِيُّ بْنُ إِبْرَاهِيمَ ، عَنْ أَبِيهِ ، عَنِ النَّوْفَلِيِّ ، عَنِ السَّكُونِيِّ :</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E27332" w:rsidTr="00E27332">
        <w:tc>
          <w:tcPr>
            <w:tcW w:w="4006" w:type="dxa"/>
          </w:tcPr>
          <w:p w:rsidR="00E27332" w:rsidRDefault="00E27332" w:rsidP="004A4E41">
            <w:pPr>
              <w:pStyle w:val="libFootnote0"/>
              <w:rPr>
                <w:rtl/>
              </w:rPr>
            </w:pPr>
            <w:r>
              <w:rPr>
                <w:rtl/>
              </w:rPr>
              <w:t xml:space="preserve">(1). </w:t>
            </w:r>
            <w:r w:rsidRPr="00C9040A">
              <w:rPr>
                <w:rtl/>
              </w:rPr>
              <w:t>في مرآة العقول والبحار : « حكم »</w:t>
            </w:r>
            <w:r>
              <w:rPr>
                <w:rtl/>
              </w:rPr>
              <w:t>.</w:t>
            </w:r>
          </w:p>
        </w:tc>
        <w:tc>
          <w:tcPr>
            <w:tcW w:w="4006" w:type="dxa"/>
          </w:tcPr>
          <w:p w:rsidR="00E27332" w:rsidRDefault="00E27332" w:rsidP="004A4E41">
            <w:pPr>
              <w:pStyle w:val="libFootnote0"/>
              <w:rPr>
                <w:rtl/>
              </w:rPr>
            </w:pPr>
            <w:r>
              <w:rPr>
                <w:rtl/>
              </w:rPr>
              <w:t xml:space="preserve">(2). </w:t>
            </w:r>
            <w:r w:rsidRPr="00C9040A">
              <w:rPr>
                <w:rtl/>
              </w:rPr>
              <w:t>في الوسائل والفقيه : « بأهل زمانه »</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w:t>
      </w:r>
      <w:r w:rsidR="008A74EB" w:rsidRPr="00993B55">
        <w:rPr>
          <w:rStyle w:val="libFootnoteBoldChar"/>
          <w:rtl/>
        </w:rPr>
        <w:t>الفقيه</w:t>
      </w:r>
      <w:r w:rsidR="008A74EB" w:rsidRPr="00C9040A">
        <w:rPr>
          <w:rtl/>
        </w:rPr>
        <w:t xml:space="preserve"> ، ج 4 ، ص 416 ، ح 5903 ، بسند آخر ، مع اختلاف يسير ؛ </w:t>
      </w:r>
      <w:r w:rsidR="008A74EB" w:rsidRPr="00993B55">
        <w:rPr>
          <w:rStyle w:val="libFootnoteBoldChar"/>
          <w:rtl/>
        </w:rPr>
        <w:t>الكافي</w:t>
      </w:r>
      <w:r w:rsidR="008A74EB" w:rsidRPr="00C9040A">
        <w:rPr>
          <w:rtl/>
        </w:rPr>
        <w:t xml:space="preserve"> ، كتاب الإيمان والكفر ، باب الكتمان ، ح 2273 ، بسند آخر عن الرضا ، عن أبي جعفر </w:t>
      </w:r>
      <w:r w:rsidR="00117575" w:rsidRPr="00117575">
        <w:rPr>
          <w:rStyle w:val="libFootnoteAlaemChar"/>
          <w:rtl/>
        </w:rPr>
        <w:t>عليهما‌السلام</w:t>
      </w:r>
      <w:r w:rsidR="008A74EB" w:rsidRPr="00C9040A">
        <w:rPr>
          <w:rtl/>
        </w:rPr>
        <w:t xml:space="preserve"> ، وفيه : « في حكمة آل داود : ينبغي للمسلم أن يكون مالكاً لنفسه ، مقبلاً على شأنه ، عارفاً بأهل زمانه » ، مع زيادة في أوّله وآخره. وفي </w:t>
      </w:r>
      <w:r w:rsidR="008A74EB" w:rsidRPr="00993B55">
        <w:rPr>
          <w:rStyle w:val="libFootnoteBoldChar"/>
          <w:rtl/>
        </w:rPr>
        <w:t>الخصال</w:t>
      </w:r>
      <w:r w:rsidR="008A74EB" w:rsidRPr="00C9040A">
        <w:rPr>
          <w:rtl/>
        </w:rPr>
        <w:t xml:space="preserve"> ، ص 525 ، أبواب العشرين وما فوقه ، ضمن الحديث الطويل 13 ؛ و</w:t>
      </w:r>
      <w:r w:rsidR="008A74EB" w:rsidRPr="00993B55">
        <w:rPr>
          <w:rStyle w:val="libFootnoteBoldChar"/>
          <w:rtl/>
        </w:rPr>
        <w:t>معاني الأخبار</w:t>
      </w:r>
      <w:r w:rsidR="008A74EB" w:rsidRPr="00C9040A">
        <w:rPr>
          <w:rtl/>
        </w:rPr>
        <w:t xml:space="preserve"> ، ص 332 ، ضمن الحديث الطويل 1 ؛ </w:t>
      </w:r>
      <w:r w:rsidR="008A74EB" w:rsidRPr="00AC2E2F">
        <w:rPr>
          <w:rStyle w:val="libFootnoteBoldChar"/>
          <w:rtl/>
        </w:rPr>
        <w:t>والأمالي للطوسي</w:t>
      </w:r>
      <w:r w:rsidR="008A74EB" w:rsidRPr="00C9040A">
        <w:rPr>
          <w:rtl/>
        </w:rPr>
        <w:t xml:space="preserve"> ، ص 540 ، المجلس 19 ، ضمن الحديث الطويل 2 ، بسند آخر عن أبي ذرّ ، عن رسول الله </w:t>
      </w:r>
      <w:r w:rsidR="004A4E41" w:rsidRPr="00AC2E2F">
        <w:rPr>
          <w:rStyle w:val="libFootnoteAlaemChar"/>
          <w:rtl/>
        </w:rPr>
        <w:t>صلى‌الله‌عليه‌وآله</w:t>
      </w:r>
      <w:r w:rsidR="008A74EB" w:rsidRPr="00C9040A">
        <w:rPr>
          <w:rtl/>
        </w:rPr>
        <w:t xml:space="preserve"> ، حكاية عن صحف إبراهيم </w:t>
      </w:r>
      <w:r w:rsidR="00117575" w:rsidRPr="00117575">
        <w:rPr>
          <w:rStyle w:val="libFootnoteAlaemChar"/>
          <w:rtl/>
        </w:rPr>
        <w:t>عليه‌السلام</w:t>
      </w:r>
      <w:r w:rsidR="008A74EB" w:rsidRPr="00C9040A">
        <w:rPr>
          <w:rtl/>
        </w:rPr>
        <w:t xml:space="preserve"> ، مع اختلاف يسير</w:t>
      </w:r>
      <w:r w:rsidR="000944EB">
        <w:rPr>
          <w:rFonts w:hint="cs"/>
          <w:rtl/>
        </w:rPr>
        <w:t>.</w:t>
      </w:r>
      <w:r w:rsidR="008A74EB" w:rsidRPr="00993B55">
        <w:rPr>
          <w:rStyle w:val="libFootnoteBoldChar"/>
          <w:rtl/>
        </w:rPr>
        <w:t>الوافي</w:t>
      </w:r>
      <w:r w:rsidR="008A74EB" w:rsidRPr="00C9040A">
        <w:rPr>
          <w:rtl/>
        </w:rPr>
        <w:t xml:space="preserve"> ، ج 4 ، ص 454 ، ح 2330 ؛ </w:t>
      </w:r>
      <w:r w:rsidR="008A74EB" w:rsidRPr="00993B55">
        <w:rPr>
          <w:rStyle w:val="libFootnoteBoldChar"/>
          <w:rtl/>
        </w:rPr>
        <w:t>الوسائل</w:t>
      </w:r>
      <w:r w:rsidR="008A74EB" w:rsidRPr="00C9040A">
        <w:rPr>
          <w:rtl/>
        </w:rPr>
        <w:t xml:space="preserve"> ، ج 12 ، ص 191 ، ح 16054 ؛ </w:t>
      </w:r>
      <w:r w:rsidR="008A74EB" w:rsidRPr="00993B55">
        <w:rPr>
          <w:rStyle w:val="libFootnoteBoldChar"/>
          <w:rtl/>
        </w:rPr>
        <w:t>البحار</w:t>
      </w:r>
      <w:r w:rsidR="008A74EB" w:rsidRPr="00C9040A">
        <w:rPr>
          <w:rtl/>
        </w:rPr>
        <w:t xml:space="preserve"> ، ج 71 ، ص 307 ، ح 84.</w:t>
      </w:r>
    </w:p>
    <w:p w:rsidR="008A74EB" w:rsidRPr="00C9040A" w:rsidRDefault="006C577F" w:rsidP="004A4E41">
      <w:pPr>
        <w:pStyle w:val="libFootnote0"/>
        <w:rPr>
          <w:rtl/>
          <w:lang w:bidi="fa-IR"/>
        </w:rPr>
      </w:pPr>
      <w:r>
        <w:rPr>
          <w:rtl/>
        </w:rPr>
        <w:t>(4).</w:t>
      </w:r>
      <w:r w:rsidR="008A74EB" w:rsidRPr="00C9040A">
        <w:rPr>
          <w:rtl/>
        </w:rPr>
        <w:t xml:space="preserve"> في الفقيه وثواب الأعمال ، ص 178 : « الرجل المسلم » بدل « العبد المؤمن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ف » : « يكتب »</w:t>
      </w:r>
      <w:r w:rsidR="008A74EB">
        <w:rPr>
          <w:rtl/>
        </w:rPr>
        <w:t>.</w:t>
      </w:r>
      <w:r w:rsidR="008A74EB" w:rsidRPr="00C9040A">
        <w:rPr>
          <w:rtl/>
        </w:rPr>
        <w:t xml:space="preserve"> وفي ثواب الأعمال ، ص 178 : + « إمّا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ثواب الأعمال</w:t>
      </w:r>
      <w:r w:rsidR="008A74EB" w:rsidRPr="00C9040A">
        <w:rPr>
          <w:rtl/>
        </w:rPr>
        <w:t xml:space="preserve"> ، ص 196 ، ح 1 ؛ </w:t>
      </w:r>
      <w:r w:rsidR="008A74EB" w:rsidRPr="00993B55">
        <w:rPr>
          <w:rStyle w:val="libFootnoteBoldChar"/>
          <w:rtl/>
        </w:rPr>
        <w:t>وفيه</w:t>
      </w:r>
      <w:r w:rsidR="008A74EB" w:rsidRPr="00C9040A">
        <w:rPr>
          <w:rtl/>
        </w:rPr>
        <w:t xml:space="preserve"> ، ص 178 ، ح 3 ؛ و</w:t>
      </w:r>
      <w:r w:rsidR="008A74EB" w:rsidRPr="00993B55">
        <w:rPr>
          <w:rStyle w:val="libFootnoteBoldChar"/>
          <w:rtl/>
        </w:rPr>
        <w:t>الخصال</w:t>
      </w:r>
      <w:r w:rsidR="008A74EB" w:rsidRPr="00C9040A">
        <w:rPr>
          <w:rtl/>
        </w:rPr>
        <w:t xml:space="preserve"> ، ص 15 ، باب الواحد ، ح 53 ، بسند آخر عن عليّ بن الحسين بن رباط ، عن بعض رجاله ، عن أبي عبد الله </w:t>
      </w:r>
      <w:r w:rsidR="00117575" w:rsidRPr="00117575">
        <w:rPr>
          <w:rStyle w:val="libFootnoteAlaemChar"/>
          <w:rtl/>
        </w:rPr>
        <w:t xml:space="preserve">عليه‌السلام </w:t>
      </w:r>
      <w:r w:rsidR="008A74EB" w:rsidRPr="00C9040A">
        <w:rPr>
          <w:rtl/>
        </w:rPr>
        <w:t xml:space="preserve">. وفي </w:t>
      </w:r>
      <w:r w:rsidR="008A74EB" w:rsidRPr="00993B55">
        <w:rPr>
          <w:rStyle w:val="libFootnoteBoldChar"/>
          <w:rtl/>
        </w:rPr>
        <w:t>الفقيه</w:t>
      </w:r>
      <w:r w:rsidR="008A74EB" w:rsidRPr="00C9040A">
        <w:rPr>
          <w:rtl/>
        </w:rPr>
        <w:t xml:space="preserve"> ، ج 4 ، ص 396 ، ح 5842 ؛ و</w:t>
      </w:r>
      <w:r w:rsidR="008A74EB" w:rsidRPr="00993B55">
        <w:rPr>
          <w:rStyle w:val="libFootnoteBoldChar"/>
          <w:rtl/>
        </w:rPr>
        <w:t xml:space="preserve">الاختصاص </w:t>
      </w:r>
      <w:r w:rsidR="008A74EB" w:rsidRPr="00C9040A">
        <w:rPr>
          <w:rtl/>
        </w:rPr>
        <w:t>، ص 232 ، مرسلاً</w:t>
      </w:r>
      <w:r w:rsidR="000944EB">
        <w:rPr>
          <w:rFonts w:hint="cs"/>
          <w:rtl/>
        </w:rPr>
        <w:t>.</w:t>
      </w:r>
      <w:r w:rsidR="008A74EB" w:rsidRPr="00993B55">
        <w:rPr>
          <w:rStyle w:val="libFootnoteBoldChar"/>
          <w:rtl/>
        </w:rPr>
        <w:t>الوافي</w:t>
      </w:r>
      <w:r w:rsidR="008A74EB" w:rsidRPr="00C9040A">
        <w:rPr>
          <w:rtl/>
        </w:rPr>
        <w:t xml:space="preserve"> ، ج 4 ، ص 454 ، ح 2334 ؛ </w:t>
      </w:r>
      <w:r w:rsidR="008A74EB" w:rsidRPr="00993B55">
        <w:rPr>
          <w:rStyle w:val="libFootnoteBoldChar"/>
          <w:rtl/>
        </w:rPr>
        <w:t>الوسائل</w:t>
      </w:r>
      <w:r w:rsidR="008A74EB" w:rsidRPr="00C9040A">
        <w:rPr>
          <w:rtl/>
        </w:rPr>
        <w:t xml:space="preserve"> ، ج 12 ، ص 184 ، ح 16031 ؛ </w:t>
      </w:r>
      <w:r w:rsidR="008A74EB" w:rsidRPr="00993B55">
        <w:rPr>
          <w:rStyle w:val="libFootnoteBoldChar"/>
          <w:rtl/>
        </w:rPr>
        <w:t>البحار</w:t>
      </w:r>
      <w:r w:rsidR="008A74EB" w:rsidRPr="00C9040A">
        <w:rPr>
          <w:rtl/>
        </w:rPr>
        <w:t xml:space="preserve"> ، ج 71 ، ص 307 ، ح 85.</w:t>
      </w:r>
    </w:p>
    <w:p w:rsidR="008A74EB" w:rsidRPr="00C9040A" w:rsidRDefault="006C577F" w:rsidP="004A4E41">
      <w:pPr>
        <w:pStyle w:val="libFootnote0"/>
        <w:rPr>
          <w:rtl/>
          <w:lang w:bidi="fa-IR"/>
        </w:rPr>
      </w:pPr>
      <w:r>
        <w:rPr>
          <w:rtl/>
        </w:rPr>
        <w:t>(7).</w:t>
      </w:r>
      <w:r w:rsidR="008A74EB" w:rsidRPr="00C9040A">
        <w:rPr>
          <w:rtl/>
        </w:rPr>
        <w:t xml:space="preserve"> في </w:t>
      </w:r>
      <w:r w:rsidR="008A74EB" w:rsidRPr="00993B55">
        <w:rPr>
          <w:rStyle w:val="libFootnoteBoldChar"/>
          <w:rtl/>
        </w:rPr>
        <w:t>الوافي</w:t>
      </w:r>
      <w:r w:rsidR="008A74EB" w:rsidRPr="00C9040A">
        <w:rPr>
          <w:rtl/>
        </w:rPr>
        <w:t xml:space="preserve"> : « المداراة</w:t>
      </w:r>
      <w:r w:rsidR="008A74EB">
        <w:rPr>
          <w:rtl/>
        </w:rPr>
        <w:t xml:space="preserve"> </w:t>
      </w:r>
      <w:r w:rsidR="0084262C">
        <w:rPr>
          <w:rtl/>
        </w:rPr>
        <w:t>-</w:t>
      </w:r>
      <w:r w:rsidR="008A74EB">
        <w:rPr>
          <w:rtl/>
        </w:rPr>
        <w:t xml:space="preserve"> </w:t>
      </w:r>
      <w:r w:rsidR="008A74EB" w:rsidRPr="00C9040A">
        <w:rPr>
          <w:rtl/>
        </w:rPr>
        <w:t>غير مهموزة</w:t>
      </w:r>
      <w:r w:rsidR="008A74EB">
        <w:rPr>
          <w:rtl/>
        </w:rPr>
        <w:t xml:space="preserve"> </w:t>
      </w:r>
      <w:r w:rsidR="0084262C">
        <w:rPr>
          <w:rtl/>
        </w:rPr>
        <w:t>-</w:t>
      </w:r>
      <w:r w:rsidR="008A74EB">
        <w:rPr>
          <w:rtl/>
        </w:rPr>
        <w:t xml:space="preserve"> </w:t>
      </w:r>
      <w:r w:rsidR="008A74EB" w:rsidRPr="00C9040A">
        <w:rPr>
          <w:rtl/>
        </w:rPr>
        <w:t>: ملاينة الناس وحسن صحبتهم واحتمال أذاهم لئلاّ ينفروا عنك. وقد تهمز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ثَلَاثٌ مَنْ لَمْ يَكُنَّ فِيهِ لَمْ يَتِمَّ </w:t>
      </w:r>
      <w:r w:rsidR="006C577F" w:rsidRPr="006C577F">
        <w:rPr>
          <w:rStyle w:val="libFootnotenumChar"/>
          <w:rtl/>
        </w:rPr>
        <w:t>(1)</w:t>
      </w:r>
      <w:r w:rsidRPr="00C9040A">
        <w:rPr>
          <w:rtl/>
          <w:lang w:bidi="fa-IR"/>
        </w:rPr>
        <w:t xml:space="preserve"> لَهُ عَمَلٌ : وَرَعٌ يَحْجُزُهُ عَنْ مَعَاصِي اللهِ ، وَخُلُقٌ يُدَارِي بِهِ النَّاسَ ، وَحِلْمٌ يَرُدُّ بِهِ جَهْلَ الْجَاهِلِ </w:t>
      </w:r>
      <w:r w:rsidR="006C577F" w:rsidRPr="006C577F">
        <w:rPr>
          <w:rStyle w:val="libFootnotenumChar"/>
          <w:rtl/>
        </w:rPr>
        <w:t>(2)</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7604D4">
        <w:rPr>
          <w:rtl/>
        </w:rPr>
        <w:t>1842</w:t>
      </w:r>
      <w:r w:rsidRPr="00261CB0">
        <w:rPr>
          <w:rStyle w:val="libBold2Char"/>
          <w:rtl/>
        </w:rPr>
        <w:t xml:space="preserve"> / 2.</w:t>
      </w:r>
      <w:r w:rsidRPr="00C9040A">
        <w:rPr>
          <w:rtl/>
          <w:lang w:bidi="fa-IR"/>
        </w:rPr>
        <w:t xml:space="preserve"> مُحَمَّدُ بْنُ يَحْيى ، عَنْ أَحْمَدَ بْنِ مُحَمَّدِ بْنِ عِيسى ، عَنْ عَلِيِّ بْنِ الْحَكَمِ ، عَنِ الْحُسَيْنِ بْنِ الْحَسَنِ ، قَالَ :</w:t>
      </w:r>
    </w:p>
    <w:p w:rsidR="008A74EB" w:rsidRPr="00C9040A" w:rsidRDefault="008A74EB" w:rsidP="008A74EB">
      <w:pPr>
        <w:pStyle w:val="libNormal"/>
        <w:rPr>
          <w:rtl/>
          <w:lang w:bidi="fa-IR"/>
        </w:rPr>
      </w:pPr>
      <w:r w:rsidRPr="00C9040A">
        <w:rPr>
          <w:rtl/>
          <w:lang w:bidi="fa-IR"/>
        </w:rPr>
        <w:t xml:space="preserve">سَمِعْتُ جَعْفَراً </w:t>
      </w:r>
      <w:r w:rsidRPr="0003660B">
        <w:rPr>
          <w:rStyle w:val="libAlaemChar"/>
          <w:rtl/>
        </w:rPr>
        <w:t>عليه‌السلام</w:t>
      </w:r>
      <w:r w:rsidRPr="00C9040A">
        <w:rPr>
          <w:rtl/>
          <w:lang w:bidi="fa-IR"/>
        </w:rPr>
        <w:t xml:space="preserve"> يَقُولُ : « جَاءَ جَبْرَئِيلُ </w:t>
      </w:r>
      <w:r w:rsidRPr="0003660B">
        <w:rPr>
          <w:rStyle w:val="libAlaemChar"/>
          <w:rtl/>
        </w:rPr>
        <w:t>عليه‌السلام</w:t>
      </w:r>
      <w:r w:rsidRPr="00C9040A">
        <w:rPr>
          <w:rtl/>
          <w:lang w:bidi="fa-IR"/>
        </w:rPr>
        <w:t xml:space="preserve"> إِلَى النَّبِيِّ </w:t>
      </w:r>
      <w:r w:rsidR="004A4E41" w:rsidRPr="004A4E41">
        <w:rPr>
          <w:rStyle w:val="libAlaemChar"/>
          <w:rtl/>
        </w:rPr>
        <w:t>صلى‌الله‌عليه‌وآله</w:t>
      </w:r>
      <w:r w:rsidRPr="00C9040A">
        <w:rPr>
          <w:rtl/>
          <w:lang w:bidi="fa-IR"/>
        </w:rPr>
        <w:t xml:space="preserve"> ، فَقَالَ : يَا مُحَمَّدُ ، رَبُّكَ يُقْرِئُكَ السَّلَامَ ، وَيَقُولُ لَكَ : دَارِ خَلْقِي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7604D4">
        <w:rPr>
          <w:rtl/>
        </w:rPr>
        <w:t>1843</w:t>
      </w:r>
      <w:r w:rsidRPr="00261CB0">
        <w:rPr>
          <w:rStyle w:val="libBold2Char"/>
          <w:rtl/>
        </w:rPr>
        <w:t xml:space="preserve"> / 3.</w:t>
      </w:r>
      <w:r w:rsidRPr="00C9040A">
        <w:rPr>
          <w:rtl/>
          <w:lang w:bidi="fa-IR"/>
        </w:rPr>
        <w:t xml:space="preserve"> عَنْهُ ، عَنْ أَحْمَدَ بْنِ مُحَمَّدِ بْنِ عِيسى ، عَنِ ابْنِ مَحْبُوبٍ ، عَنْ هِشَامِ بْنِ سَالِمٍ ، عَنْ حَبِيبٍ السِّجِسْتَانِيِّ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فِي التَّوْرَاةِ مَكْتُوبٌ</w:t>
      </w:r>
      <w:r>
        <w:rPr>
          <w:rtl/>
          <w:lang w:bidi="fa-IR"/>
        </w:rPr>
        <w:t xml:space="preserve"> </w:t>
      </w:r>
      <w:r w:rsidR="0084262C">
        <w:rPr>
          <w:rtl/>
          <w:lang w:bidi="fa-IR"/>
        </w:rPr>
        <w:t>-</w:t>
      </w:r>
      <w:r>
        <w:rPr>
          <w:rtl/>
          <w:lang w:bidi="fa-IR"/>
        </w:rPr>
        <w:t xml:space="preserve"> </w:t>
      </w:r>
      <w:r w:rsidRPr="00C9040A">
        <w:rPr>
          <w:rtl/>
          <w:lang w:bidi="fa-IR"/>
        </w:rPr>
        <w:t xml:space="preserve">فِيمَا نَاجَى اللهُ عَزَّ وَجَلَّ بِهِ مُوسَى بْنَ عِمْرَانَ </w:t>
      </w:r>
      <w:r w:rsidR="006C577F" w:rsidRPr="006C577F">
        <w:rPr>
          <w:rStyle w:val="libFootnotenumChar"/>
          <w:rtl/>
        </w:rPr>
        <w:t>(5)</w:t>
      </w:r>
      <w:r w:rsidRPr="00C9040A">
        <w:rPr>
          <w:rtl/>
          <w:lang w:bidi="fa-IR"/>
        </w:rPr>
        <w:t xml:space="preserve"> </w:t>
      </w:r>
      <w:r w:rsidRPr="0003660B">
        <w:rPr>
          <w:rStyle w:val="libAlaemChar"/>
          <w:rtl/>
        </w:rPr>
        <w:t>عليه‌السلام</w:t>
      </w:r>
      <w:r>
        <w:rPr>
          <w:rtl/>
          <w:lang w:bidi="fa-IR"/>
        </w:rPr>
        <w:t xml:space="preserve"> </w:t>
      </w:r>
      <w:r w:rsidR="0084262C">
        <w:rPr>
          <w:rtl/>
          <w:lang w:bidi="fa-IR"/>
        </w:rPr>
        <w:t>-</w:t>
      </w:r>
      <w:r>
        <w:rPr>
          <w:rtl/>
          <w:lang w:bidi="fa-IR"/>
        </w:rPr>
        <w:t xml:space="preserve"> </w:t>
      </w:r>
      <w:r w:rsidRPr="00C9040A">
        <w:rPr>
          <w:rtl/>
          <w:lang w:bidi="fa-IR"/>
        </w:rPr>
        <w:t xml:space="preserve">: يَا مُوسَى ، اكْتُمْ مَكْتُومَ </w:t>
      </w:r>
      <w:r w:rsidR="006C577F" w:rsidRPr="006C577F">
        <w:rPr>
          <w:rStyle w:val="libFootnotenumChar"/>
          <w:rtl/>
        </w:rPr>
        <w:t>(6)</w:t>
      </w:r>
      <w:r w:rsidRPr="005B567D">
        <w:rPr>
          <w:rStyle w:val="libFootnotenumChar"/>
          <w:rtl/>
        </w:rPr>
        <w:t xml:space="preserve"> </w:t>
      </w:r>
      <w:r w:rsidRPr="00C9040A">
        <w:rPr>
          <w:rtl/>
          <w:lang w:bidi="fa-IR"/>
        </w:rPr>
        <w:t xml:space="preserve">سِرِّي فِي سَرِيرَتِكَ ، وَأَظْهِرْ فِي عَلَانِيَتِكَ الْمُدَارَاةَ عَنِّي </w:t>
      </w:r>
      <w:r w:rsidR="006C577F" w:rsidRPr="006C577F">
        <w:rPr>
          <w:rStyle w:val="libFootnotenumChar"/>
          <w:rtl/>
        </w:rPr>
        <w:t>(7)</w:t>
      </w:r>
      <w:r w:rsidRPr="00C9040A">
        <w:rPr>
          <w:rtl/>
          <w:lang w:bidi="fa-IR"/>
        </w:rPr>
        <w:t xml:space="preserve"> لِعَدُوِّي وَعَدُوِّكَ مِنْ خَلْقِي ،</w:t>
      </w:r>
      <w:r w:rsidR="000944EB">
        <w:rPr>
          <w:rFonts w:hint="cs"/>
          <w:rtl/>
          <w:lang w:bidi="fa-IR"/>
        </w:rPr>
        <w:t>..............................................</w:t>
      </w:r>
      <w:r w:rsidR="000944EB">
        <w:rPr>
          <w:rFonts w:hint="cs"/>
          <w:rtl/>
          <w:lang w:bidi="fa-IR"/>
        </w:rPr>
        <w:tab/>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المحاسن والخصال ، ص 124 : « لم يقم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ب » : « الجهل » بدل « جهل الجاهل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w:t>
      </w:r>
      <w:r w:rsidR="008A74EB" w:rsidRPr="00993B55">
        <w:rPr>
          <w:rStyle w:val="libFootnoteBoldChar"/>
          <w:rtl/>
        </w:rPr>
        <w:t>المحاسن</w:t>
      </w:r>
      <w:r w:rsidR="008A74EB" w:rsidRPr="00C9040A">
        <w:rPr>
          <w:rtl/>
        </w:rPr>
        <w:t xml:space="preserve"> ، ص 6 ، كتاب القرائن ، ح 13 ، عن النوفلي ، عن السكوني ، عن أبي عبد الله ، عن آبائه </w:t>
      </w:r>
      <w:r w:rsidR="00117575" w:rsidRPr="00117575">
        <w:rPr>
          <w:rStyle w:val="libFootnoteAlaemChar"/>
          <w:rtl/>
        </w:rPr>
        <w:t>عليهم‌السلام</w:t>
      </w:r>
      <w:r w:rsidR="008A74EB" w:rsidRPr="00C9040A">
        <w:rPr>
          <w:rtl/>
        </w:rPr>
        <w:t xml:space="preserve"> عن رسول الله </w:t>
      </w:r>
      <w:r w:rsidR="004A4E41" w:rsidRPr="00AC2E2F">
        <w:rPr>
          <w:rStyle w:val="libFootnoteAlaemChar"/>
          <w:rtl/>
        </w:rPr>
        <w:t>صلى‌الله‌عليه‌وآله</w:t>
      </w:r>
      <w:r w:rsidR="008A74EB" w:rsidRPr="00C9040A">
        <w:rPr>
          <w:rtl/>
        </w:rPr>
        <w:t xml:space="preserve">. </w:t>
      </w:r>
      <w:r w:rsidR="008A74EB" w:rsidRPr="00993B55">
        <w:rPr>
          <w:rStyle w:val="libFootnoteBoldChar"/>
          <w:rtl/>
        </w:rPr>
        <w:t>الخصال</w:t>
      </w:r>
      <w:r w:rsidR="008A74EB" w:rsidRPr="00C9040A">
        <w:rPr>
          <w:rtl/>
        </w:rPr>
        <w:t xml:space="preserve"> ، ص 124 ، باب الثلاثة ، ح 121 ، بسند آخر ، مع زيادة في أوّله وآخره. وورد مع اختلاف في هذه المصادر : </w:t>
      </w:r>
      <w:r w:rsidR="008A74EB" w:rsidRPr="00993B55">
        <w:rPr>
          <w:rStyle w:val="libFootnoteBoldChar"/>
          <w:rtl/>
        </w:rPr>
        <w:t>الخصال</w:t>
      </w:r>
      <w:r w:rsidR="008A74EB" w:rsidRPr="00C9040A">
        <w:rPr>
          <w:rtl/>
        </w:rPr>
        <w:t xml:space="preserve"> ، ص 145 ، باب الثلاثة ، ح 172 ؛ </w:t>
      </w:r>
      <w:r w:rsidR="008A74EB" w:rsidRPr="00993B55">
        <w:rPr>
          <w:rStyle w:val="libFootnoteBoldChar"/>
          <w:rtl/>
        </w:rPr>
        <w:t>التهذيب</w:t>
      </w:r>
      <w:r w:rsidR="008A74EB" w:rsidRPr="00C9040A">
        <w:rPr>
          <w:rtl/>
        </w:rPr>
        <w:t xml:space="preserve"> ، ج 5 ، ص 445 ، ح 1549 ، وفيهما بسند آخر ؛ </w:t>
      </w:r>
      <w:r w:rsidR="008A74EB" w:rsidRPr="00993B55">
        <w:rPr>
          <w:rStyle w:val="libFootnoteBoldChar"/>
          <w:rtl/>
        </w:rPr>
        <w:t>الكافي</w:t>
      </w:r>
      <w:r w:rsidR="008A74EB" w:rsidRPr="00C9040A">
        <w:rPr>
          <w:rtl/>
        </w:rPr>
        <w:t xml:space="preserve"> ، كتاب الحجّ ، باب الوصيّة ، ح 6996 ؛ </w:t>
      </w:r>
      <w:r w:rsidR="008A74EB" w:rsidRPr="00993B55">
        <w:rPr>
          <w:rStyle w:val="libFootnoteBoldChar"/>
          <w:rtl/>
        </w:rPr>
        <w:t>الخصال</w:t>
      </w:r>
      <w:r w:rsidR="008A74EB" w:rsidRPr="00C9040A">
        <w:rPr>
          <w:rtl/>
        </w:rPr>
        <w:t xml:space="preserve"> ، ص 148 ، باب الثلاثة ، ح 180 ، وفيهما بسند آخر عن أبي جعفر </w:t>
      </w:r>
      <w:r w:rsidR="00117575" w:rsidRPr="00117575">
        <w:rPr>
          <w:rStyle w:val="libFootnoteAlaemChar"/>
          <w:rtl/>
        </w:rPr>
        <w:t>عليه‌السلام</w:t>
      </w:r>
      <w:r w:rsidR="008A74EB" w:rsidRPr="00C9040A">
        <w:rPr>
          <w:rtl/>
        </w:rPr>
        <w:t xml:space="preserve"> ، وفي الثلاثة الأخيرة من دون الإسناد إلى رسول الله </w:t>
      </w:r>
      <w:r w:rsidR="004A4E41" w:rsidRPr="00AC2E2F">
        <w:rPr>
          <w:rStyle w:val="libFootnoteAlaemChar"/>
          <w:rtl/>
        </w:rPr>
        <w:t>صلى‌الله‌عليه‌وآله</w:t>
      </w:r>
      <w:r w:rsidR="000944EB">
        <w:rPr>
          <w:rFonts w:hint="cs"/>
          <w:rtl/>
        </w:rPr>
        <w:t>.</w:t>
      </w:r>
      <w:r w:rsidR="008A74EB" w:rsidRPr="00993B55">
        <w:rPr>
          <w:rStyle w:val="libFootnoteBoldChar"/>
          <w:rtl/>
        </w:rPr>
        <w:t>الوافي</w:t>
      </w:r>
      <w:r w:rsidR="008A74EB" w:rsidRPr="00C9040A">
        <w:rPr>
          <w:rtl/>
        </w:rPr>
        <w:t xml:space="preserve"> ، ج 4 ، ص 457 ، ح 2340 ؛ </w:t>
      </w:r>
      <w:r w:rsidR="008A74EB" w:rsidRPr="00993B55">
        <w:rPr>
          <w:rStyle w:val="libFootnoteBoldChar"/>
          <w:rtl/>
        </w:rPr>
        <w:t>الوسائل</w:t>
      </w:r>
      <w:r w:rsidR="008A74EB" w:rsidRPr="00C9040A">
        <w:rPr>
          <w:rtl/>
        </w:rPr>
        <w:t xml:space="preserve"> ، ج 12 ، ص 200 ، ح 16084 ؛ </w:t>
      </w:r>
      <w:r w:rsidR="008A74EB" w:rsidRPr="00993B55">
        <w:rPr>
          <w:rStyle w:val="libFootnoteBoldChar"/>
          <w:rtl/>
        </w:rPr>
        <w:t>البحار</w:t>
      </w:r>
      <w:r w:rsidR="008A74EB" w:rsidRPr="00C9040A">
        <w:rPr>
          <w:rtl/>
        </w:rPr>
        <w:t xml:space="preserve"> ، ج 75 ، ص 437 ، ح 104.</w:t>
      </w:r>
    </w:p>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الوافي</w:t>
      </w:r>
      <w:r w:rsidR="008A74EB" w:rsidRPr="00C9040A">
        <w:rPr>
          <w:rtl/>
        </w:rPr>
        <w:t xml:space="preserve"> ، ج 4 ، ص 457 ، ح 2341 ؛ </w:t>
      </w:r>
      <w:r w:rsidR="008A74EB" w:rsidRPr="00993B55">
        <w:rPr>
          <w:rStyle w:val="libFootnoteBoldChar"/>
          <w:rtl/>
        </w:rPr>
        <w:t>الوسائل</w:t>
      </w:r>
      <w:r w:rsidR="008A74EB" w:rsidRPr="00C9040A">
        <w:rPr>
          <w:rtl/>
        </w:rPr>
        <w:t xml:space="preserve"> ، ج 12 ، ص 200 ، ح 16083 ؛ </w:t>
      </w:r>
      <w:r w:rsidR="008A74EB" w:rsidRPr="00993B55">
        <w:rPr>
          <w:rStyle w:val="libFootnoteBoldChar"/>
          <w:rtl/>
        </w:rPr>
        <w:t>البحار</w:t>
      </w:r>
      <w:r w:rsidR="008A74EB" w:rsidRPr="00C9040A">
        <w:rPr>
          <w:rtl/>
        </w:rPr>
        <w:t xml:space="preserve"> ، ج 18 ، ص 213 ، ح 42 ؛ وج 75 ، ص 438 ، ح 105.</w:t>
      </w:r>
      <w:r w:rsidR="000944EB">
        <w:rPr>
          <w:rFonts w:hint="cs"/>
          <w:rtl/>
        </w:rPr>
        <w:t xml:space="preserve">      </w:t>
      </w:r>
      <w:r>
        <w:rPr>
          <w:rtl/>
        </w:rPr>
        <w:t>(5).</w:t>
      </w:r>
      <w:r w:rsidR="009C2D07">
        <w:rPr>
          <w:rtl/>
        </w:rPr>
        <w:t xml:space="preserve"> في«ص ، ف ، بف</w:t>
      </w:r>
      <w:r w:rsidR="008A74EB" w:rsidRPr="00C9040A">
        <w:rPr>
          <w:rtl/>
        </w:rPr>
        <w:t xml:space="preserve">» والوافي </w:t>
      </w:r>
      <w:r w:rsidR="008A74EB">
        <w:rPr>
          <w:rtl/>
        </w:rPr>
        <w:t xml:space="preserve">: </w:t>
      </w:r>
      <w:r w:rsidR="0084262C">
        <w:rPr>
          <w:rtl/>
        </w:rPr>
        <w:t>-</w:t>
      </w:r>
      <w:r w:rsidR="008A74EB" w:rsidRPr="00C9040A">
        <w:rPr>
          <w:rtl/>
        </w:rPr>
        <w:t xml:space="preserve"> « بن عمران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w:t>
      </w:r>
      <w:r w:rsidR="008A74EB" w:rsidRPr="0034021D">
        <w:rPr>
          <w:rStyle w:val="libFootnoteBoldChar"/>
          <w:rtl/>
        </w:rPr>
        <w:t>الأمالي للصدوق</w:t>
      </w:r>
      <w:r w:rsidR="008A74EB" w:rsidRPr="00C9040A">
        <w:rPr>
          <w:rtl/>
        </w:rPr>
        <w:t xml:space="preserve"> والمفيد : « مكنون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w:t>
      </w:r>
      <w:r w:rsidR="008A74EB" w:rsidRPr="00993B55">
        <w:rPr>
          <w:rStyle w:val="libFootnoteBoldChar"/>
          <w:rtl/>
        </w:rPr>
        <w:t>الوافي</w:t>
      </w:r>
      <w:r w:rsidR="008A74EB" w:rsidRPr="00C9040A">
        <w:rPr>
          <w:rtl/>
        </w:rPr>
        <w:t xml:space="preserve"> : « ل</w:t>
      </w:r>
      <w:r w:rsidR="009C2D07">
        <w:rPr>
          <w:rFonts w:hint="cs"/>
          <w:rtl/>
        </w:rPr>
        <w:t>ـ</w:t>
      </w:r>
      <w:r w:rsidR="008A74EB" w:rsidRPr="00C9040A">
        <w:rPr>
          <w:rtl/>
        </w:rPr>
        <w:t>مّا كان أصل الدرء الدفع وهو مأخوذ في المداراة عُدّيت بعن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117575">
      <w:pPr>
        <w:pStyle w:val="libNormal0"/>
        <w:rPr>
          <w:rtl/>
          <w:lang w:bidi="fa-IR"/>
        </w:rPr>
      </w:pPr>
      <w:r w:rsidRPr="00C9040A">
        <w:rPr>
          <w:rtl/>
          <w:lang w:bidi="fa-IR"/>
        </w:rPr>
        <w:t xml:space="preserve">وَلَا تَسْتَسِبَّ </w:t>
      </w:r>
      <w:r w:rsidR="006C577F" w:rsidRPr="006C577F">
        <w:rPr>
          <w:rStyle w:val="libFootnotenumChar"/>
          <w:rtl/>
        </w:rPr>
        <w:t>(1)</w:t>
      </w:r>
      <w:r w:rsidRPr="00C9040A">
        <w:rPr>
          <w:rtl/>
          <w:lang w:bidi="fa-IR"/>
        </w:rPr>
        <w:t xml:space="preserve"> لِي عِنْدَهُمْ بِإِظْهَارِ مَكْتُومِ </w:t>
      </w:r>
      <w:r w:rsidR="006C577F" w:rsidRPr="006C577F">
        <w:rPr>
          <w:rStyle w:val="libFootnotenumChar"/>
          <w:rtl/>
        </w:rPr>
        <w:t>(2)</w:t>
      </w:r>
      <w:r w:rsidRPr="00C9040A">
        <w:rPr>
          <w:rtl/>
          <w:lang w:bidi="fa-IR"/>
        </w:rPr>
        <w:t xml:space="preserve"> سِرِّي : فَتَشْرَكَ </w:t>
      </w:r>
      <w:r w:rsidR="006C577F" w:rsidRPr="006C577F">
        <w:rPr>
          <w:rStyle w:val="libFootnotenumChar"/>
          <w:rtl/>
        </w:rPr>
        <w:t>(3)</w:t>
      </w:r>
      <w:r w:rsidRPr="00C9040A">
        <w:rPr>
          <w:rtl/>
          <w:lang w:bidi="fa-IR"/>
        </w:rPr>
        <w:t xml:space="preserve"> عَدُوَّكَ وَعَدُوِّي </w:t>
      </w:r>
      <w:r w:rsidR="006C577F" w:rsidRPr="006C577F">
        <w:rPr>
          <w:rStyle w:val="libFootnotenumChar"/>
          <w:rtl/>
        </w:rPr>
        <w:t>(4)</w:t>
      </w:r>
      <w:r w:rsidRPr="00C9040A">
        <w:rPr>
          <w:rtl/>
          <w:lang w:bidi="fa-IR"/>
        </w:rPr>
        <w:t xml:space="preserve"> فِي سَبِّي </w:t>
      </w:r>
      <w:r w:rsidR="006C577F" w:rsidRPr="006C577F">
        <w:rPr>
          <w:rStyle w:val="libFootnotenumChar"/>
          <w:rtl/>
        </w:rPr>
        <w:t>(5)</w:t>
      </w:r>
      <w:r w:rsidRPr="00C9040A">
        <w:rPr>
          <w:rtl/>
          <w:lang w:bidi="fa-IR"/>
        </w:rPr>
        <w:t>»</w:t>
      </w:r>
      <w:r>
        <w:rPr>
          <w:rtl/>
          <w:lang w:bidi="fa-IR"/>
        </w:rPr>
        <w:t>.</w:t>
      </w:r>
      <w:r w:rsidR="006C577F" w:rsidRPr="006C577F">
        <w:rPr>
          <w:rStyle w:val="libFootnotenumChar"/>
          <w:rtl/>
        </w:rPr>
        <w:t>(6)</w:t>
      </w:r>
    </w:p>
    <w:p w:rsidR="008A74EB" w:rsidRPr="00C9040A" w:rsidRDefault="008A74EB" w:rsidP="008A74EB">
      <w:pPr>
        <w:pStyle w:val="libNormal"/>
        <w:rPr>
          <w:rtl/>
          <w:lang w:bidi="fa-IR"/>
        </w:rPr>
      </w:pPr>
      <w:r w:rsidRPr="007604D4">
        <w:rPr>
          <w:rtl/>
        </w:rPr>
        <w:t>1844</w:t>
      </w:r>
      <w:r w:rsidRPr="00261CB0">
        <w:rPr>
          <w:rStyle w:val="libBold2Char"/>
          <w:rtl/>
        </w:rPr>
        <w:t xml:space="preserve"> / 4.</w:t>
      </w:r>
      <w:r w:rsidRPr="00C9040A">
        <w:rPr>
          <w:rtl/>
          <w:lang w:bidi="fa-IR"/>
        </w:rPr>
        <w:t xml:space="preserve"> أَبُو عَلِيٍّ الْأَشْعَرِيُّ ، عَنْ مُحَمَّدِ بْنِ عَبْدِ الْجَبَّارِ ، عَنْ مُحَمَّدِ بْنِ إِسْمَاعِيلَ بْنِ بَزِيعٍ ، عَنْ حَمْزَةَ بْنِ بَزِيعٍ </w:t>
      </w:r>
      <w:r w:rsidR="006C577F" w:rsidRPr="006C577F">
        <w:rPr>
          <w:rStyle w:val="libFootnotenumChar"/>
          <w:rtl/>
        </w:rPr>
        <w:t>(7)</w:t>
      </w:r>
      <w:r w:rsidRPr="00C9040A">
        <w:rPr>
          <w:rtl/>
          <w:lang w:bidi="fa-IR"/>
        </w:rPr>
        <w:t xml:space="preserve"> ، عَنْ عَبْدِ اللهِ بْنِ سِنَانٍ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أَمَرَنِي رَبِّي بِمُدَارَاةِ النَّاسِ ، كَمَا أَمَرَنِي بِأَدَاءِ </w:t>
      </w:r>
      <w:r w:rsidR="006C577F" w:rsidRPr="006C577F">
        <w:rPr>
          <w:rStyle w:val="libFootnotenumChar"/>
          <w:rtl/>
        </w:rPr>
        <w:t>(8)</w:t>
      </w:r>
      <w:r w:rsidRPr="00C9040A">
        <w:rPr>
          <w:rtl/>
          <w:lang w:bidi="fa-IR"/>
        </w:rPr>
        <w:t xml:space="preserve"> الْفَرَائِضِ »</w:t>
      </w:r>
      <w:r>
        <w:rPr>
          <w:rtl/>
          <w:lang w:bidi="fa-IR"/>
        </w:rPr>
        <w:t>.</w:t>
      </w:r>
      <w:r w:rsidRPr="00C9040A">
        <w:rPr>
          <w:rtl/>
          <w:lang w:bidi="fa-IR"/>
        </w:rPr>
        <w:t xml:space="preserve"> </w:t>
      </w:r>
      <w:r w:rsidR="006C577F" w:rsidRPr="006C577F">
        <w:rPr>
          <w:rStyle w:val="libFootnotenumChar"/>
          <w:rtl/>
        </w:rPr>
        <w:t>(9)</w:t>
      </w:r>
      <w:r w:rsidRPr="00C9040A">
        <w:rPr>
          <w:rtl/>
          <w:lang w:bidi="fa-IR"/>
        </w:rPr>
        <w:t xml:space="preserve"> ‌</w:t>
      </w:r>
    </w:p>
    <w:p w:rsidR="008A74EB" w:rsidRPr="00C9040A" w:rsidRDefault="008A74EB" w:rsidP="008A74EB">
      <w:pPr>
        <w:pStyle w:val="libNormal"/>
        <w:rPr>
          <w:rtl/>
          <w:lang w:bidi="fa-IR"/>
        </w:rPr>
      </w:pPr>
      <w:r w:rsidRPr="007604D4">
        <w:rPr>
          <w:rtl/>
        </w:rPr>
        <w:t>1845</w:t>
      </w:r>
      <w:r w:rsidRPr="00261CB0">
        <w:rPr>
          <w:rStyle w:val="libBold2Char"/>
          <w:rtl/>
        </w:rPr>
        <w:t xml:space="preserve"> / 5.</w:t>
      </w:r>
      <w:r w:rsidRPr="00C9040A">
        <w:rPr>
          <w:rtl/>
          <w:lang w:bidi="fa-IR"/>
        </w:rPr>
        <w:t xml:space="preserve"> عَلِيُّ بْنُ إِبْرَاهِيمَ ، عَنْ هَارُونَ بْنِ مُسْلِمٍ ، عَنْ </w:t>
      </w:r>
      <w:r w:rsidR="006C577F" w:rsidRPr="006C577F">
        <w:rPr>
          <w:rStyle w:val="libFootnotenumChar"/>
          <w:rtl/>
        </w:rPr>
        <w:t>(10)</w:t>
      </w:r>
      <w:r w:rsidRPr="00C9040A">
        <w:rPr>
          <w:rtl/>
          <w:lang w:bidi="fa-IR"/>
        </w:rPr>
        <w:t xml:space="preserve"> مَسْعَدَةَ بْنِ صَدَقَةَ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w:t>
      </w:r>
      <w:r w:rsidR="006C577F" w:rsidRPr="006C577F">
        <w:rPr>
          <w:rStyle w:val="libFootnotenumChar"/>
          <w:rtl/>
        </w:rPr>
        <w:t>(11)</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مُدَارَاةُ النَّاسِ نِصْفُ الْإِيمَانِ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w:t>
      </w:r>
      <w:r w:rsidR="008A74EB" w:rsidRPr="0034021D">
        <w:rPr>
          <w:rStyle w:val="libFootnoteBoldChar"/>
          <w:rtl/>
        </w:rPr>
        <w:t>الأمالي للصدوق</w:t>
      </w:r>
      <w:r w:rsidR="008A74EB" w:rsidRPr="00C9040A">
        <w:rPr>
          <w:rtl/>
        </w:rPr>
        <w:t xml:space="preserve"> : « ولا تستبّ » ، وفي هامش المطبوع عن بعض النسخ : « ولا تسبب »</w:t>
      </w:r>
      <w:r w:rsidR="008A74EB">
        <w:rPr>
          <w:rtl/>
        </w:rPr>
        <w:t>.</w:t>
      </w:r>
      <w:r w:rsidR="008A74EB" w:rsidRPr="00C9040A">
        <w:rPr>
          <w:rtl/>
        </w:rPr>
        <w:t xml:space="preserve"> ولا تستسبّ له ، أي لا تُعرِّضْه للسَّبّ وتجرُّه إليه. والمراد : لاتطلب سبّي ، فإنّ من لم يفهم السرّ يسبّ من تكلّم به. فتشرك ، أي تكون شريكاً له ؛ لأنّك أنت الباعث له عليه. راجع : </w:t>
      </w:r>
      <w:r w:rsidR="008A74EB" w:rsidRPr="00993B55">
        <w:rPr>
          <w:rStyle w:val="libFootnoteBoldChar"/>
          <w:rtl/>
        </w:rPr>
        <w:t>الوافي</w:t>
      </w:r>
      <w:r w:rsidR="008A74EB" w:rsidRPr="00C9040A">
        <w:rPr>
          <w:rtl/>
        </w:rPr>
        <w:t xml:space="preserve"> ، ج 4 ، ص 458 ؛ </w:t>
      </w:r>
      <w:r w:rsidR="008A74EB" w:rsidRPr="00993B55">
        <w:rPr>
          <w:rStyle w:val="libFootnoteBoldChar"/>
          <w:rtl/>
        </w:rPr>
        <w:t>النهاية</w:t>
      </w:r>
      <w:r w:rsidR="008A74EB" w:rsidRPr="00C9040A">
        <w:rPr>
          <w:rtl/>
        </w:rPr>
        <w:t xml:space="preserve"> ، ج 2 ، ص 330 ( سبب )</w:t>
      </w:r>
      <w:r w:rsidR="008A74EB">
        <w:rPr>
          <w:rtl/>
        </w:rPr>
        <w:t>.</w:t>
      </w:r>
    </w:p>
    <w:p w:rsidR="008A74EB" w:rsidRPr="004A4E41" w:rsidRDefault="006C577F" w:rsidP="004A4E41">
      <w:pPr>
        <w:pStyle w:val="libFootnote0"/>
        <w:rPr>
          <w:rStyle w:val="libFootnote0Char"/>
          <w:rtl/>
        </w:rPr>
      </w:pPr>
      <w:r>
        <w:rPr>
          <w:rtl/>
        </w:rPr>
        <w:t>(2).</w:t>
      </w:r>
      <w:r w:rsidR="008A74EB">
        <w:rPr>
          <w:rtl/>
        </w:rPr>
        <w:t xml:space="preserve"> </w:t>
      </w:r>
      <w:r w:rsidR="008A74EB" w:rsidRPr="00C9040A">
        <w:rPr>
          <w:rtl/>
        </w:rPr>
        <w:t xml:space="preserve">في </w:t>
      </w:r>
      <w:r w:rsidR="008A74EB" w:rsidRPr="0034021D">
        <w:rPr>
          <w:rStyle w:val="libFootnoteBoldChar"/>
          <w:rtl/>
        </w:rPr>
        <w:t>الأمالي للصدوق</w:t>
      </w:r>
      <w:r w:rsidR="008A74EB" w:rsidRPr="00C9040A">
        <w:rPr>
          <w:rtl/>
        </w:rPr>
        <w:t xml:space="preserve"> والمفيد : « بإظهارك مكنون »</w:t>
      </w:r>
      <w:r w:rsidR="008A74EB">
        <w:rPr>
          <w:rtl/>
        </w:rPr>
        <w:t>.</w:t>
      </w:r>
    </w:p>
    <w:tbl>
      <w:tblPr>
        <w:tblStyle w:val="TableGrid"/>
        <w:bidiVisual/>
        <w:tblW w:w="0" w:type="auto"/>
        <w:tblLook w:val="04A0" w:firstRow="1" w:lastRow="0" w:firstColumn="1" w:lastColumn="0" w:noHBand="0" w:noVBand="1"/>
      </w:tblPr>
      <w:tblGrid>
        <w:gridCol w:w="4006"/>
        <w:gridCol w:w="4006"/>
      </w:tblGrid>
      <w:tr w:rsidR="005F0D44" w:rsidTr="005F0D44">
        <w:tc>
          <w:tcPr>
            <w:tcW w:w="4006" w:type="dxa"/>
          </w:tcPr>
          <w:p w:rsidR="005F0D44" w:rsidRDefault="005F0D44" w:rsidP="004A4E41">
            <w:pPr>
              <w:pStyle w:val="libFootnote0"/>
              <w:rPr>
                <w:rtl/>
              </w:rPr>
            </w:pPr>
            <w:r>
              <w:rPr>
                <w:rtl/>
              </w:rPr>
              <w:t>(3).</w:t>
            </w:r>
            <w:r w:rsidRPr="00C9040A">
              <w:rPr>
                <w:rtl/>
              </w:rPr>
              <w:t xml:space="preserve"> يجوز في الكلمة هيئة الإفعال على بُعدٍ.</w:t>
            </w:r>
          </w:p>
        </w:tc>
        <w:tc>
          <w:tcPr>
            <w:tcW w:w="4006" w:type="dxa"/>
          </w:tcPr>
          <w:p w:rsidR="005F0D44" w:rsidRDefault="005F0D44" w:rsidP="004A4E41">
            <w:pPr>
              <w:pStyle w:val="libFootnote0"/>
              <w:rPr>
                <w:rtl/>
              </w:rPr>
            </w:pPr>
            <w:r>
              <w:rPr>
                <w:rtl/>
              </w:rPr>
              <w:t>(4).</w:t>
            </w:r>
            <w:r w:rsidRPr="00C9040A">
              <w:rPr>
                <w:rtl/>
              </w:rPr>
              <w:t xml:space="preserve"> في « بر ، بف » : « عدوّي وعدوّك »</w:t>
            </w:r>
            <w:r>
              <w:rPr>
                <w:rtl/>
              </w:rPr>
              <w:t>.</w:t>
            </w:r>
          </w:p>
        </w:tc>
      </w:tr>
    </w:tbl>
    <w:p w:rsidR="008A74EB" w:rsidRPr="00C9040A" w:rsidRDefault="006C577F" w:rsidP="004A4E41">
      <w:pPr>
        <w:pStyle w:val="libFootnote0"/>
        <w:rPr>
          <w:rtl/>
          <w:lang w:bidi="fa-IR"/>
        </w:rPr>
      </w:pPr>
      <w:r>
        <w:rPr>
          <w:rtl/>
        </w:rPr>
        <w:t>(5).</w:t>
      </w:r>
      <w:r w:rsidR="008A74EB" w:rsidRPr="00C9040A">
        <w:rPr>
          <w:rtl/>
        </w:rPr>
        <w:t xml:space="preserve"> في « ص » : « سرّي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34021D">
        <w:rPr>
          <w:rStyle w:val="libFootnoteBoldChar"/>
          <w:rtl/>
        </w:rPr>
        <w:t>الأمالي للصدوق</w:t>
      </w:r>
      <w:r w:rsidR="008A74EB" w:rsidRPr="00C9040A">
        <w:rPr>
          <w:rtl/>
        </w:rPr>
        <w:t xml:space="preserve"> ، ص 254 ، المجلس 44 ، ح 6 ، بسنده عن عليّ بن إبراهيم ، عن أبيه ، عن الحسن بن محبوب ؛ </w:t>
      </w:r>
      <w:r w:rsidR="008A74EB" w:rsidRPr="0034021D">
        <w:rPr>
          <w:rStyle w:val="libFootnoteBoldChar"/>
          <w:rtl/>
        </w:rPr>
        <w:t>الأمالي للمفيد</w:t>
      </w:r>
      <w:r w:rsidR="008A74EB" w:rsidRPr="00C9040A">
        <w:rPr>
          <w:rtl/>
        </w:rPr>
        <w:t xml:space="preserve"> ، ص 210 ، المجلس 23 ، ح 46 ، بسنده عن الحسن بن محبوب ، وفيهما مع زيادة</w:t>
      </w:r>
      <w:r w:rsidR="00101696">
        <w:rPr>
          <w:rFonts w:hint="cs"/>
          <w:rtl/>
        </w:rPr>
        <w:t>.</w:t>
      </w:r>
      <w:r w:rsidR="008A74EB" w:rsidRPr="00993B55">
        <w:rPr>
          <w:rStyle w:val="libFootnoteBoldChar"/>
          <w:rtl/>
        </w:rPr>
        <w:t>الوافي</w:t>
      </w:r>
      <w:r w:rsidR="008A74EB" w:rsidRPr="00C9040A">
        <w:rPr>
          <w:rtl/>
        </w:rPr>
        <w:t xml:space="preserve"> ، ج 4 ، ص 457 ، ح 2342 ؛ </w:t>
      </w:r>
      <w:r w:rsidR="008A74EB" w:rsidRPr="00993B55">
        <w:rPr>
          <w:rStyle w:val="libFootnoteBoldChar"/>
          <w:rtl/>
        </w:rPr>
        <w:t>الوسائل</w:t>
      </w:r>
      <w:r w:rsidR="008A74EB" w:rsidRPr="00C9040A">
        <w:rPr>
          <w:rtl/>
        </w:rPr>
        <w:t xml:space="preserve"> ، ج 12 ، ص 200 ، ح 16082 ؛ </w:t>
      </w:r>
      <w:r w:rsidR="008A74EB" w:rsidRPr="00993B55">
        <w:rPr>
          <w:rStyle w:val="libFootnoteBoldChar"/>
          <w:rtl/>
        </w:rPr>
        <w:t>البحار</w:t>
      </w:r>
      <w:r w:rsidR="008A74EB" w:rsidRPr="00C9040A">
        <w:rPr>
          <w:rtl/>
        </w:rPr>
        <w:t xml:space="preserve"> ، ج 75 ، ص 438 ، ح 106.</w:t>
      </w:r>
    </w:p>
    <w:p w:rsidR="008A74EB" w:rsidRPr="00C9040A" w:rsidRDefault="006C577F" w:rsidP="004A4E41">
      <w:pPr>
        <w:pStyle w:val="libFootnote0"/>
        <w:rPr>
          <w:rtl/>
          <w:lang w:bidi="fa-IR"/>
        </w:rPr>
      </w:pPr>
      <w:r>
        <w:rPr>
          <w:rtl/>
        </w:rPr>
        <w:t>(7).</w:t>
      </w:r>
      <w:r w:rsidR="008A74EB" w:rsidRPr="00C9040A">
        <w:rPr>
          <w:rtl/>
        </w:rPr>
        <w:t xml:space="preserve"> في « بر » والوسائل </w:t>
      </w:r>
      <w:r w:rsidR="008A74EB">
        <w:rPr>
          <w:rtl/>
        </w:rPr>
        <w:t xml:space="preserve">: </w:t>
      </w:r>
      <w:r w:rsidR="0084262C">
        <w:rPr>
          <w:rtl/>
        </w:rPr>
        <w:t>-</w:t>
      </w:r>
      <w:r w:rsidR="008A74EB" w:rsidRPr="00C9040A">
        <w:rPr>
          <w:rtl/>
        </w:rPr>
        <w:t xml:space="preserve"> « عن حمزة بن بزيع »</w:t>
      </w:r>
      <w:r w:rsidR="008A74EB">
        <w:rPr>
          <w:rtl/>
        </w:rPr>
        <w:t>.</w:t>
      </w:r>
      <w:r w:rsidR="008A74EB" w:rsidRPr="00C9040A">
        <w:rPr>
          <w:rtl/>
        </w:rPr>
        <w:t xml:space="preserve"> ولعلّه ناشٍ من جواز النظر من « بزيع » الأوّل إلى « بزيع » الثاني المستتبع للسقط.</w:t>
      </w:r>
      <w:r w:rsidR="00101696">
        <w:rPr>
          <w:rFonts w:hint="cs"/>
          <w:rtl/>
        </w:rPr>
        <w:t xml:space="preserve">                                                      </w:t>
      </w:r>
      <w:r>
        <w:rPr>
          <w:rtl/>
        </w:rPr>
        <w:t>(8).</w:t>
      </w:r>
      <w:r w:rsidR="008A74EB" w:rsidRPr="00C9040A">
        <w:rPr>
          <w:rtl/>
        </w:rPr>
        <w:t xml:space="preserve"> في الأمالي : « بإقامة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w:t>
      </w:r>
      <w:r w:rsidR="008A74EB" w:rsidRPr="00993B55">
        <w:rPr>
          <w:rStyle w:val="libFootnoteBoldChar"/>
          <w:rtl/>
        </w:rPr>
        <w:t>معاني الأخبار</w:t>
      </w:r>
      <w:r w:rsidR="008A74EB" w:rsidRPr="00C9040A">
        <w:rPr>
          <w:rtl/>
        </w:rPr>
        <w:t xml:space="preserve"> ، ص 385 ، ضمن الحديث الطويل 20 ، بسند آخر. </w:t>
      </w:r>
      <w:r w:rsidR="008A74EB" w:rsidRPr="00993B55">
        <w:rPr>
          <w:rStyle w:val="libFootnoteBoldChar"/>
          <w:rtl/>
        </w:rPr>
        <w:t>الأمالي</w:t>
      </w:r>
      <w:r w:rsidR="008A74EB" w:rsidRPr="00C9040A">
        <w:rPr>
          <w:rtl/>
        </w:rPr>
        <w:t xml:space="preserve"> للطوسي ، ص 481 ، المجلس 17 ، ذيل ح 19 ؛ </w:t>
      </w:r>
      <w:r w:rsidR="008A74EB" w:rsidRPr="00993B55">
        <w:rPr>
          <w:rStyle w:val="libFootnoteBoldChar"/>
          <w:rtl/>
        </w:rPr>
        <w:t>وفيه</w:t>
      </w:r>
      <w:r w:rsidR="008A74EB" w:rsidRPr="00C9040A">
        <w:rPr>
          <w:rtl/>
        </w:rPr>
        <w:t xml:space="preserve"> ، ص 521 ، المجلس 18 ، ح 57 ، وتمام الرواية فيه : « إنّا ا</w:t>
      </w:r>
      <w:r w:rsidR="00101696">
        <w:rPr>
          <w:rFonts w:hint="cs"/>
          <w:rtl/>
        </w:rPr>
        <w:t>ُ</w:t>
      </w:r>
      <w:r w:rsidR="008A74EB" w:rsidRPr="00C9040A">
        <w:rPr>
          <w:rtl/>
        </w:rPr>
        <w:t>مرنا معاشر الأنبياء بمداراة الناس كما ا</w:t>
      </w:r>
      <w:r w:rsidR="00101696">
        <w:rPr>
          <w:rFonts w:hint="cs"/>
          <w:rtl/>
        </w:rPr>
        <w:t>ُ</w:t>
      </w:r>
      <w:r w:rsidR="008A74EB" w:rsidRPr="00C9040A">
        <w:rPr>
          <w:rtl/>
        </w:rPr>
        <w:t xml:space="preserve">مرنا بإقامة الفرائض » ، وفيهما بسند آخر عن الرضا ، عن آبائه </w:t>
      </w:r>
      <w:r w:rsidR="00117575" w:rsidRPr="00117575">
        <w:rPr>
          <w:rStyle w:val="libFootnoteAlaemChar"/>
          <w:rtl/>
        </w:rPr>
        <w:t>عليهم‌السلام</w:t>
      </w:r>
      <w:r w:rsidR="008A74EB" w:rsidRPr="00C9040A">
        <w:rPr>
          <w:rtl/>
        </w:rPr>
        <w:t xml:space="preserve"> عن رسول الله </w:t>
      </w:r>
      <w:r w:rsidR="004A4E41" w:rsidRPr="00AC2E2F">
        <w:rPr>
          <w:rStyle w:val="libFootnoteAlaemChar"/>
          <w:rtl/>
        </w:rPr>
        <w:t>صلى‌الله‌عليه‌وآله</w:t>
      </w:r>
      <w:r w:rsidR="008A74EB" w:rsidRPr="00C9040A">
        <w:rPr>
          <w:rtl/>
        </w:rPr>
        <w:t xml:space="preserve">. </w:t>
      </w:r>
      <w:r w:rsidR="008A74EB" w:rsidRPr="00993B55">
        <w:rPr>
          <w:rStyle w:val="libFootnoteBoldChar"/>
          <w:rtl/>
        </w:rPr>
        <w:t>تحف العقول</w:t>
      </w:r>
      <w:r w:rsidR="008A74EB" w:rsidRPr="00C9040A">
        <w:rPr>
          <w:rtl/>
        </w:rPr>
        <w:t xml:space="preserve"> ، ص 48 ؛ </w:t>
      </w:r>
      <w:r w:rsidR="008A74EB" w:rsidRPr="00993B55">
        <w:rPr>
          <w:rStyle w:val="libFootnoteBoldChar"/>
          <w:rtl/>
        </w:rPr>
        <w:t>فقه الرضا</w:t>
      </w:r>
      <w:r w:rsidR="008A74EB" w:rsidRPr="00C9040A">
        <w:rPr>
          <w:rtl/>
        </w:rPr>
        <w:t xml:space="preserve"> </w:t>
      </w:r>
      <w:r w:rsidR="00117575" w:rsidRPr="00117575">
        <w:rPr>
          <w:rStyle w:val="libFootnoteAlaemChar"/>
          <w:rtl/>
        </w:rPr>
        <w:t xml:space="preserve">عليه‌السلام </w:t>
      </w:r>
      <w:r w:rsidR="008A74EB" w:rsidRPr="00C9040A">
        <w:rPr>
          <w:rtl/>
        </w:rPr>
        <w:t>، ص 368 ، وفيهما مع اختلاف</w:t>
      </w:r>
      <w:r w:rsidR="00101696">
        <w:rPr>
          <w:rFonts w:hint="cs"/>
          <w:rtl/>
        </w:rPr>
        <w:t>.</w:t>
      </w:r>
      <w:r w:rsidR="008A74EB" w:rsidRPr="00993B55">
        <w:rPr>
          <w:rStyle w:val="libFootnoteBoldChar"/>
          <w:rtl/>
        </w:rPr>
        <w:t>الوافي</w:t>
      </w:r>
      <w:r w:rsidR="008A74EB" w:rsidRPr="00C9040A">
        <w:rPr>
          <w:rtl/>
        </w:rPr>
        <w:t xml:space="preserve"> ، ج 4 ، ص 458 ، ح 2343 ؛ </w:t>
      </w:r>
      <w:r w:rsidR="008A74EB" w:rsidRPr="00993B55">
        <w:rPr>
          <w:rStyle w:val="libFootnoteBoldChar"/>
          <w:rtl/>
        </w:rPr>
        <w:t>الوسائل</w:t>
      </w:r>
      <w:r w:rsidR="008A74EB" w:rsidRPr="00C9040A">
        <w:rPr>
          <w:rtl/>
        </w:rPr>
        <w:t xml:space="preserve"> ، ج 12 ، ص 200 ، ح 16081 ؛ </w:t>
      </w:r>
      <w:r w:rsidR="008A74EB" w:rsidRPr="00993B55">
        <w:rPr>
          <w:rStyle w:val="libFootnoteBoldChar"/>
          <w:rtl/>
        </w:rPr>
        <w:t>البحار</w:t>
      </w:r>
      <w:r w:rsidR="008A74EB" w:rsidRPr="00C9040A">
        <w:rPr>
          <w:rtl/>
        </w:rPr>
        <w:t xml:space="preserve"> ، ج 18 ، ص 213 ، ح 43 ؛ وج 75 ، ص 440 ، ح 107.</w:t>
      </w:r>
    </w:p>
    <w:p w:rsidR="008A74EB" w:rsidRPr="00C9040A" w:rsidRDefault="006C577F" w:rsidP="004A4E41">
      <w:pPr>
        <w:pStyle w:val="libFootnote0"/>
        <w:rPr>
          <w:rtl/>
          <w:lang w:bidi="fa-IR"/>
        </w:rPr>
      </w:pPr>
      <w:r>
        <w:rPr>
          <w:rtl/>
        </w:rPr>
        <w:t>(10).</w:t>
      </w:r>
      <w:r w:rsidR="008A74EB" w:rsidRPr="00C9040A">
        <w:rPr>
          <w:rtl/>
        </w:rPr>
        <w:t xml:space="preserve"> في « ز » : « بن »</w:t>
      </w:r>
      <w:r w:rsidR="008A74EB">
        <w:rPr>
          <w:rtl/>
        </w:rPr>
        <w:t>.</w:t>
      </w:r>
      <w:r w:rsidR="008A74EB" w:rsidRPr="00C9040A">
        <w:rPr>
          <w:rtl/>
        </w:rPr>
        <w:t xml:space="preserve"> وهو سهو ؛ فقد روى هارون بن مسلم كتب مسعدة بن صدقة وروايته عنه في الأسناد كثيرة جدّاً. راجع : </w:t>
      </w:r>
      <w:r w:rsidR="008A74EB" w:rsidRPr="00993B55">
        <w:rPr>
          <w:rStyle w:val="libFootnoteBoldChar"/>
          <w:rtl/>
        </w:rPr>
        <w:t>رجال النجاشي</w:t>
      </w:r>
      <w:r w:rsidR="008A74EB" w:rsidRPr="00C9040A">
        <w:rPr>
          <w:rtl/>
        </w:rPr>
        <w:t xml:space="preserve"> ، ص 415 ، الرقم 1108 ؛ </w:t>
      </w:r>
      <w:r w:rsidR="008A74EB" w:rsidRPr="00993B55">
        <w:rPr>
          <w:rStyle w:val="libFootnoteBoldChar"/>
          <w:rtl/>
        </w:rPr>
        <w:t>معجم رجال الحديث</w:t>
      </w:r>
      <w:r w:rsidR="008A74EB" w:rsidRPr="00C9040A">
        <w:rPr>
          <w:rtl/>
        </w:rPr>
        <w:t xml:space="preserve"> ، ج 19 ، ص 405</w:t>
      </w:r>
      <w:r w:rsidR="008A74EB">
        <w:rPr>
          <w:rtl/>
        </w:rPr>
        <w:t xml:space="preserve"> </w:t>
      </w:r>
      <w:r w:rsidR="0084262C">
        <w:rPr>
          <w:rtl/>
        </w:rPr>
        <w:t>-</w:t>
      </w:r>
      <w:r w:rsidR="008A74EB">
        <w:rPr>
          <w:rtl/>
        </w:rPr>
        <w:t xml:space="preserve"> </w:t>
      </w:r>
      <w:r w:rsidR="008A74EB" w:rsidRPr="00C9040A">
        <w:rPr>
          <w:rtl/>
        </w:rPr>
        <w:t>407.</w:t>
      </w:r>
    </w:p>
    <w:p w:rsidR="008A74EB" w:rsidRPr="00C9040A" w:rsidRDefault="006C577F" w:rsidP="004A4E41">
      <w:pPr>
        <w:pStyle w:val="libFootnote0"/>
        <w:rPr>
          <w:rtl/>
          <w:lang w:bidi="fa-IR"/>
        </w:rPr>
      </w:pPr>
      <w:r>
        <w:rPr>
          <w:rtl/>
        </w:rPr>
        <w:t>(11).</w:t>
      </w:r>
      <w:r w:rsidR="008A74EB" w:rsidRPr="00C9040A">
        <w:rPr>
          <w:rtl/>
        </w:rPr>
        <w:t xml:space="preserve"> من قوله : « قال رسول الله » في الحديث السابق إلى هنا لم يرد في « ب »</w:t>
      </w:r>
      <w:r w:rsidR="008A74EB">
        <w:rPr>
          <w:rtl/>
        </w:rPr>
        <w:t>.</w:t>
      </w:r>
      <w:r w:rsidR="008A74EB" w:rsidRPr="00C9040A">
        <w:rPr>
          <w:rtl/>
        </w:rPr>
        <w:t xml:space="preserve"> ولعلّه سقط من الناسخ.</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وَالرِّفْقُ بِهِمْ نِصْفُ الْعَيْشِ »</w:t>
      </w:r>
      <w:r>
        <w:rPr>
          <w:rtl/>
          <w:lang w:bidi="fa-IR"/>
        </w:rPr>
        <w:t>.</w:t>
      </w:r>
    </w:p>
    <w:p w:rsidR="008A74EB" w:rsidRPr="00C9040A" w:rsidRDefault="008A74EB" w:rsidP="00101696">
      <w:pPr>
        <w:pStyle w:val="libNormal"/>
        <w:rPr>
          <w:rtl/>
          <w:lang w:bidi="fa-IR"/>
        </w:rPr>
      </w:pPr>
      <w:r w:rsidRPr="00C9040A">
        <w:rPr>
          <w:rtl/>
          <w:lang w:bidi="fa-IR"/>
        </w:rPr>
        <w:t xml:space="preserve">ثُمَّ قَالَ أَبُو عَبْدِ اللهِ </w:t>
      </w:r>
      <w:r w:rsidRPr="0003660B">
        <w:rPr>
          <w:rStyle w:val="libAlaemChar"/>
          <w:rtl/>
        </w:rPr>
        <w:t>عليه‌السلام</w:t>
      </w:r>
      <w:r w:rsidRPr="00C9040A">
        <w:rPr>
          <w:rtl/>
          <w:lang w:bidi="fa-IR"/>
        </w:rPr>
        <w:t xml:space="preserve"> : « خَالِطُوا الْأَبْرَارَ سِرّاً ، وَخَالِطُوا الْفُجَّارَ جِهَاراً </w:t>
      </w:r>
      <w:r w:rsidR="006C577F" w:rsidRPr="006C577F">
        <w:rPr>
          <w:rStyle w:val="libFootnotenumChar"/>
          <w:rtl/>
        </w:rPr>
        <w:t>(1)</w:t>
      </w:r>
      <w:r w:rsidRPr="00C9040A">
        <w:rPr>
          <w:rtl/>
          <w:lang w:bidi="fa-IR"/>
        </w:rPr>
        <w:t xml:space="preserve"> ، وَلَا تَمِيلُوا عَلَيْهِمْ </w:t>
      </w:r>
      <w:r w:rsidR="006C577F" w:rsidRPr="006C577F">
        <w:rPr>
          <w:rStyle w:val="libFootnotenumChar"/>
          <w:rtl/>
        </w:rPr>
        <w:t>(2)</w:t>
      </w:r>
      <w:r w:rsidRPr="00C9040A">
        <w:rPr>
          <w:rtl/>
          <w:lang w:bidi="fa-IR"/>
        </w:rPr>
        <w:t xml:space="preserve"> فَيَظْلِمُوكُمْ ؛ فَإِنَّهُ سَيَأْتِي عَلَيْكُمْ زَمَانٌ لَايَنْجُو فِيهِ </w:t>
      </w:r>
      <w:r w:rsidR="006C577F" w:rsidRPr="006C577F">
        <w:rPr>
          <w:rStyle w:val="libFootnotenumChar"/>
          <w:rtl/>
        </w:rPr>
        <w:t>(3)</w:t>
      </w:r>
      <w:r w:rsidRPr="00C9040A">
        <w:rPr>
          <w:rtl/>
          <w:lang w:bidi="fa-IR"/>
        </w:rPr>
        <w:t xml:space="preserve"> م</w:t>
      </w:r>
      <w:r w:rsidR="00101696">
        <w:rPr>
          <w:rtl/>
          <w:lang w:bidi="fa-IR"/>
        </w:rPr>
        <w:t>ِنْ ذَوِي الدِّينِ إِل</w:t>
      </w:r>
      <w:r w:rsidR="00101696">
        <w:rPr>
          <w:rFonts w:hint="cs"/>
          <w:rtl/>
          <w:lang w:bidi="fa-IR"/>
        </w:rPr>
        <w:t>َّ</w:t>
      </w:r>
      <w:r w:rsidR="00101696">
        <w:rPr>
          <w:rtl/>
          <w:lang w:bidi="fa-IR"/>
        </w:rPr>
        <w:t>ا</w:t>
      </w:r>
      <w:r w:rsidRPr="00C9040A">
        <w:rPr>
          <w:rtl/>
          <w:lang w:bidi="fa-IR"/>
        </w:rPr>
        <w:t xml:space="preserve"> مَنْ ظَنُّوا أَنَّهُ أَبْلَهُ </w:t>
      </w:r>
      <w:r w:rsidR="006C577F" w:rsidRPr="006C577F">
        <w:rPr>
          <w:rStyle w:val="libFootnotenumChar"/>
          <w:rtl/>
        </w:rPr>
        <w:t>(4)</w:t>
      </w:r>
      <w:r w:rsidRPr="00C9040A">
        <w:rPr>
          <w:rtl/>
          <w:lang w:bidi="fa-IR"/>
        </w:rPr>
        <w:t xml:space="preserve"> ، وَصَبَّرَ </w:t>
      </w:r>
      <w:r w:rsidR="006C577F" w:rsidRPr="006C577F">
        <w:rPr>
          <w:rStyle w:val="libFootnotenumChar"/>
          <w:rtl/>
        </w:rPr>
        <w:t>(5)</w:t>
      </w:r>
      <w:r w:rsidRPr="00C9040A">
        <w:rPr>
          <w:rtl/>
          <w:lang w:bidi="fa-IR"/>
        </w:rPr>
        <w:t xml:space="preserve"> نَفْسَهُ عَلى أَنْ يُقَالَ </w:t>
      </w:r>
      <w:r w:rsidR="006C577F" w:rsidRPr="006C577F">
        <w:rPr>
          <w:rStyle w:val="libFootnotenumChar"/>
          <w:rtl/>
        </w:rPr>
        <w:t>(6)</w:t>
      </w:r>
      <w:r w:rsidRPr="005B567D">
        <w:rPr>
          <w:rStyle w:val="libFootnotenumChar"/>
          <w:rtl/>
        </w:rPr>
        <w:t xml:space="preserve"> </w:t>
      </w:r>
      <w:r w:rsidRPr="00C9040A">
        <w:rPr>
          <w:rtl/>
          <w:lang w:bidi="fa-IR"/>
        </w:rPr>
        <w:t>: إِنَّهُ أَبْلَهُ لَاعَقْلَ لَهُ »</w:t>
      </w:r>
      <w:r>
        <w:rPr>
          <w:rtl/>
          <w:lang w:bidi="fa-IR"/>
        </w:rPr>
        <w:t>.</w:t>
      </w:r>
      <w:r w:rsidRPr="00C9040A">
        <w:rPr>
          <w:rtl/>
          <w:lang w:bidi="fa-IR"/>
        </w:rPr>
        <w:t xml:space="preserve"> </w:t>
      </w:r>
      <w:r w:rsidR="006C577F" w:rsidRPr="006C577F">
        <w:rPr>
          <w:rStyle w:val="libFootnotenumChar"/>
          <w:rtl/>
        </w:rPr>
        <w:t>(7)</w:t>
      </w:r>
    </w:p>
    <w:p w:rsidR="008A74EB" w:rsidRPr="00C9040A" w:rsidRDefault="008A74EB" w:rsidP="008A74EB">
      <w:pPr>
        <w:pStyle w:val="libNormal"/>
        <w:rPr>
          <w:rtl/>
          <w:lang w:bidi="fa-IR"/>
        </w:rPr>
      </w:pPr>
      <w:r w:rsidRPr="00DC15F9">
        <w:rPr>
          <w:rtl/>
        </w:rPr>
        <w:t>1846</w:t>
      </w:r>
      <w:r w:rsidRPr="00261CB0">
        <w:rPr>
          <w:rStyle w:val="libBold2Char"/>
          <w:rtl/>
        </w:rPr>
        <w:t xml:space="preserve"> / 6.</w:t>
      </w:r>
      <w:r w:rsidRPr="00C9040A">
        <w:rPr>
          <w:rtl/>
          <w:lang w:bidi="fa-IR"/>
        </w:rPr>
        <w:t xml:space="preserve"> عَلِيُّ بْنُ إِبْرَاهِيمَ ، عَنْ بَعْضِ أَصْحَابِهِ </w:t>
      </w:r>
      <w:r w:rsidR="006C577F" w:rsidRPr="006C577F">
        <w:rPr>
          <w:rStyle w:val="libFootnotenumChar"/>
          <w:rtl/>
        </w:rPr>
        <w:t>(8)</w:t>
      </w:r>
      <w:r w:rsidRPr="00C9040A">
        <w:rPr>
          <w:rtl/>
          <w:lang w:bidi="fa-IR"/>
        </w:rPr>
        <w:t xml:space="preserve"> ذَكَرَهُ ، عَنْ مُحَمَّدِ بْنِ سِنَانٍ ، عَنْ حُذَيْفَةَ بْنِ مَنْصُورٍ ، قَالَ :</w:t>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 « إِنَّ قَوْماً مِنَ النَّاسِ </w:t>
      </w:r>
      <w:r w:rsidR="006C577F" w:rsidRPr="006C577F">
        <w:rPr>
          <w:rStyle w:val="libFootnotenumChar"/>
          <w:rtl/>
        </w:rPr>
        <w:t>(9)</w:t>
      </w:r>
      <w:r w:rsidRPr="00C9040A">
        <w:rPr>
          <w:rtl/>
          <w:lang w:bidi="fa-IR"/>
        </w:rPr>
        <w:t xml:space="preserve"> قَلَّتْ مُدَارَاتُهُمْ لِلنَّاسِ ، فَأُنِفُوا </w:t>
      </w:r>
      <w:r w:rsidR="006C577F" w:rsidRPr="006C577F">
        <w:rPr>
          <w:rStyle w:val="libFootnotenumChar"/>
          <w:rtl/>
        </w:rPr>
        <w:t>(10)</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ز ، ص ، ف » والوافي : « جهراً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قال في </w:t>
      </w:r>
      <w:r w:rsidR="008A74EB" w:rsidRPr="00993B55">
        <w:rPr>
          <w:rStyle w:val="libFootnoteBoldChar"/>
          <w:rtl/>
        </w:rPr>
        <w:t>مرآة العقول</w:t>
      </w:r>
      <w:r w:rsidR="008A74EB" w:rsidRPr="00C9040A">
        <w:rPr>
          <w:rtl/>
        </w:rPr>
        <w:t xml:space="preserve"> : « لا تميلوا عليهم ، على بناء المجرّد ، والتعدية بعلى للضرر ، أي لاتعارضوهم إرادةللغلبة</w:t>
      </w:r>
      <w:r w:rsidR="008A74EB">
        <w:rPr>
          <w:rtl/>
        </w:rPr>
        <w:t xml:space="preserve"> ....</w:t>
      </w:r>
      <w:r w:rsidR="008A74EB" w:rsidRPr="00C9040A">
        <w:rPr>
          <w:rtl/>
        </w:rPr>
        <w:t xml:space="preserve"> وقيل : هو على بناء الإفعال والتفعيل ، أي لا تعارضوهم لتميلوهم من مذهب إلى مذهب آخر ، وهو تكلّف وإن كان أنسب بما بعده »</w:t>
      </w:r>
      <w:r w:rsidR="008A74EB">
        <w:rPr>
          <w:rtl/>
        </w:rPr>
        <w:t>.</w:t>
      </w:r>
      <w:r w:rsidR="00101696">
        <w:rPr>
          <w:rFonts w:hint="cs"/>
          <w:rtl/>
        </w:rPr>
        <w:t xml:space="preserve">                                         </w:t>
      </w:r>
      <w:r>
        <w:rPr>
          <w:rtl/>
        </w:rPr>
        <w:t>(3).</w:t>
      </w:r>
      <w:r w:rsidR="008A74EB" w:rsidRPr="00C9040A">
        <w:rPr>
          <w:rtl/>
        </w:rPr>
        <w:t xml:space="preserve"> في شرح المازندراني </w:t>
      </w:r>
      <w:r w:rsidR="008A74EB">
        <w:rPr>
          <w:rtl/>
        </w:rPr>
        <w:t xml:space="preserve">: </w:t>
      </w:r>
      <w:r w:rsidR="0084262C">
        <w:rPr>
          <w:rtl/>
        </w:rPr>
        <w:t>-</w:t>
      </w:r>
      <w:r w:rsidR="008A74EB" w:rsidRPr="00C9040A">
        <w:rPr>
          <w:rtl/>
        </w:rPr>
        <w:t xml:space="preserve"> « فيه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بَلِهَ بَلَهاً : ضَعُف عقله فهو أبله. </w:t>
      </w:r>
      <w:r w:rsidR="008A74EB" w:rsidRPr="00993B55">
        <w:rPr>
          <w:rStyle w:val="libFootnoteBoldChar"/>
          <w:rtl/>
        </w:rPr>
        <w:t>المصباح المنير</w:t>
      </w:r>
      <w:r w:rsidR="008A74EB" w:rsidRPr="00C9040A">
        <w:rPr>
          <w:rtl/>
        </w:rPr>
        <w:t xml:space="preserve"> ، ص 61 ( بله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يجوز في « صبر » التجريد والتثقيل ؛ فإنّ المجرّد منه يستعمل لازماً ومتعدّياً. يقال : صَبَرْتُ ، أي حبستُ النفس عن الجزع ، وصَبَرْتُ زيداً وصبّرته ، أي حملته على الصبر بوعد الأجر ، أو قلت له : اصبر. راجع : </w:t>
      </w:r>
      <w:r w:rsidR="008A74EB" w:rsidRPr="00993B55">
        <w:rPr>
          <w:rStyle w:val="libFootnoteBoldChar"/>
          <w:rtl/>
        </w:rPr>
        <w:t>شرح المازندراني</w:t>
      </w:r>
      <w:r w:rsidR="008A74EB" w:rsidRPr="00C9040A">
        <w:rPr>
          <w:rtl/>
        </w:rPr>
        <w:t xml:space="preserve"> ، ج 8 ، ص 323 </w:t>
      </w:r>
      <w:r w:rsidR="008A74EB" w:rsidRPr="00993B55">
        <w:rPr>
          <w:rStyle w:val="libFootnoteBoldChar"/>
          <w:rtl/>
        </w:rPr>
        <w:t>مرآة العقول</w:t>
      </w:r>
      <w:r w:rsidR="008A74EB" w:rsidRPr="00C9040A">
        <w:rPr>
          <w:rtl/>
        </w:rPr>
        <w:t xml:space="preserve"> ، ج ؛ 8 ، ص 230.</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هكذا في النسخ التي قوبلت والوافي والوسائل والبحار. وفي المطبوع : + « [ له ]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تحف العقول</w:t>
      </w:r>
      <w:r w:rsidR="008A74EB" w:rsidRPr="00C9040A">
        <w:rPr>
          <w:rtl/>
        </w:rPr>
        <w:t xml:space="preserve"> ، ص 42 ، عن رسول الله </w:t>
      </w:r>
      <w:r w:rsidR="004A4E41" w:rsidRPr="00AC2E2F">
        <w:rPr>
          <w:rStyle w:val="libFootnoteAlaemChar"/>
          <w:rtl/>
        </w:rPr>
        <w:t>صلى‌الله‌عليه‌وآله</w:t>
      </w:r>
      <w:r w:rsidR="008A74EB" w:rsidRPr="00C9040A">
        <w:rPr>
          <w:rtl/>
        </w:rPr>
        <w:t xml:space="preserve"> ، إلى قوله : « الرفق بهم نصف العيش »</w:t>
      </w:r>
      <w:r w:rsidR="008A74EB">
        <w:rPr>
          <w:rtl/>
        </w:rPr>
        <w:t>.</w:t>
      </w:r>
      <w:r w:rsidR="008A74EB" w:rsidRPr="00C9040A">
        <w:rPr>
          <w:rtl/>
        </w:rPr>
        <w:t xml:space="preserve"> وراجع : </w:t>
      </w:r>
      <w:r w:rsidR="008A74EB" w:rsidRPr="00993B55">
        <w:rPr>
          <w:rStyle w:val="libFootnoteBoldChar"/>
          <w:rtl/>
        </w:rPr>
        <w:t>الكافي</w:t>
      </w:r>
      <w:r w:rsidR="008A74EB" w:rsidRPr="00C9040A">
        <w:rPr>
          <w:rtl/>
        </w:rPr>
        <w:t xml:space="preserve"> ، كتاب الإيمان والكفر ، باب الرفق ، ح 1857 ، ومصادره</w:t>
      </w:r>
      <w:r w:rsidR="00101696">
        <w:rPr>
          <w:rFonts w:hint="cs"/>
          <w:rtl/>
        </w:rPr>
        <w:t>.</w:t>
      </w:r>
      <w:r w:rsidR="008A74EB" w:rsidRPr="00993B55">
        <w:rPr>
          <w:rStyle w:val="libFootnoteBoldChar"/>
          <w:rtl/>
        </w:rPr>
        <w:t>الوافي</w:t>
      </w:r>
      <w:r w:rsidR="008A74EB" w:rsidRPr="00C9040A">
        <w:rPr>
          <w:rtl/>
        </w:rPr>
        <w:t xml:space="preserve"> ، ج 4 ، ص 458 ، ح 2344 ؛ </w:t>
      </w:r>
      <w:r w:rsidR="008A74EB" w:rsidRPr="00993B55">
        <w:rPr>
          <w:rStyle w:val="libFootnoteBoldChar"/>
          <w:rtl/>
        </w:rPr>
        <w:t>الوسائل</w:t>
      </w:r>
      <w:r w:rsidR="008A74EB" w:rsidRPr="00C9040A">
        <w:rPr>
          <w:rtl/>
        </w:rPr>
        <w:t xml:space="preserve"> ، ج 12 ، ص 201 ، ح 16085 ؛ </w:t>
      </w:r>
      <w:r w:rsidR="008A74EB" w:rsidRPr="00993B55">
        <w:rPr>
          <w:rStyle w:val="libFootnoteBoldChar"/>
          <w:rtl/>
        </w:rPr>
        <w:t>البحار</w:t>
      </w:r>
      <w:r w:rsidR="008A74EB" w:rsidRPr="00C9040A">
        <w:rPr>
          <w:rtl/>
        </w:rPr>
        <w:t xml:space="preserve"> ، ج 75 ، ص 440 ، ح 108.</w:t>
      </w:r>
      <w:r w:rsidR="00101696">
        <w:rPr>
          <w:rFonts w:hint="cs"/>
          <w:rtl/>
        </w:rPr>
        <w:t xml:space="preserve">       </w:t>
      </w:r>
      <w:r>
        <w:rPr>
          <w:rtl/>
        </w:rPr>
        <w:t>(8).</w:t>
      </w:r>
      <w:r w:rsidR="008A74EB" w:rsidRPr="00C9040A">
        <w:rPr>
          <w:rtl/>
        </w:rPr>
        <w:t xml:space="preserve"> في الوسائل : « أصحابنا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الوسائل </w:t>
      </w:r>
      <w:r w:rsidR="008A74EB">
        <w:rPr>
          <w:rtl/>
        </w:rPr>
        <w:t xml:space="preserve">: </w:t>
      </w:r>
      <w:r w:rsidR="0084262C">
        <w:rPr>
          <w:rtl/>
        </w:rPr>
        <w:t>-</w:t>
      </w:r>
      <w:r w:rsidR="008A74EB" w:rsidRPr="00C9040A">
        <w:rPr>
          <w:rtl/>
        </w:rPr>
        <w:t xml:space="preserve"> « من الناس »</w:t>
      </w:r>
      <w:r w:rsidR="008A74EB">
        <w:rPr>
          <w:rtl/>
        </w:rPr>
        <w:t>.</w:t>
      </w:r>
      <w:r w:rsidR="008A74EB" w:rsidRPr="00C9040A">
        <w:rPr>
          <w:rtl/>
        </w:rPr>
        <w:t xml:space="preserve"> وفي الخصال : « قريش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 ب ، ج ، د ، ز ، ض » وشرح المازندراني والوسائل : « فا</w:t>
      </w:r>
      <w:r w:rsidR="00101696">
        <w:rPr>
          <w:rFonts w:hint="cs"/>
          <w:rtl/>
        </w:rPr>
        <w:t>ُ</w:t>
      </w:r>
      <w:r w:rsidR="008A74EB" w:rsidRPr="00C9040A">
        <w:rPr>
          <w:rtl/>
        </w:rPr>
        <w:t>لِقوا »</w:t>
      </w:r>
      <w:r w:rsidR="008A74EB">
        <w:rPr>
          <w:rtl/>
        </w:rPr>
        <w:t>.</w:t>
      </w:r>
      <w:r w:rsidR="008A74EB" w:rsidRPr="00C9040A">
        <w:rPr>
          <w:rtl/>
        </w:rPr>
        <w:t xml:space="preserve"> وفي الخصال : « فنفوا »</w:t>
      </w:r>
      <w:r w:rsidR="008A74EB">
        <w:rPr>
          <w:rtl/>
        </w:rPr>
        <w:t>.</w:t>
      </w:r>
      <w:r w:rsidR="008A74EB" w:rsidRPr="00C9040A">
        <w:rPr>
          <w:rtl/>
        </w:rPr>
        <w:t xml:space="preserve"> وقال في </w:t>
      </w:r>
      <w:r w:rsidR="008A74EB" w:rsidRPr="00993B55">
        <w:rPr>
          <w:rStyle w:val="libFootnoteBoldChar"/>
          <w:rtl/>
        </w:rPr>
        <w:t>مرآة</w:t>
      </w:r>
      <w:r w:rsidR="008A74EB" w:rsidRPr="00C9040A">
        <w:rPr>
          <w:rtl/>
        </w:rPr>
        <w:t xml:space="preserve"> </w:t>
      </w:r>
      <w:r w:rsidR="008A74EB" w:rsidRPr="00993B55">
        <w:rPr>
          <w:rStyle w:val="libFootnoteBoldChar"/>
          <w:rtl/>
        </w:rPr>
        <w:t>العقول</w:t>
      </w:r>
      <w:r w:rsidR="008A74EB" w:rsidRPr="00C9040A">
        <w:rPr>
          <w:rtl/>
        </w:rPr>
        <w:t xml:space="preserve"> : « قوله </w:t>
      </w:r>
      <w:r w:rsidR="00117575" w:rsidRPr="00117575">
        <w:rPr>
          <w:rStyle w:val="libFootnoteAlaemChar"/>
          <w:rtl/>
        </w:rPr>
        <w:t>عليه‌السلام</w:t>
      </w:r>
      <w:r w:rsidR="008A74EB" w:rsidRPr="00C9040A">
        <w:rPr>
          <w:rtl/>
        </w:rPr>
        <w:t xml:space="preserve"> : فأنفوا من قريش ، كذا في أكثر النسخ ، وكأنّه على بناء الإفعال مشتقّاً من النفي بمعنى الانتفاء ؛ فإنّ النفي يكون لازماً ومتعدّياً ، لكن هذا البناء لم يأت في اللغة. أو هو على بناء المفعول من أنف ، من قولهم : أَنَفَهُ يَأْنِفُهُ ويَأْنُفُهُ : ضرب أنفه ، فيدلّ على النفي مع مبالغة فيه ، وهو أظهر وأبلغ. وقيل : كأنّه صيغة مجهول من الأنفة بمعنى الاستنكاف ؛ إذ لم يأت الإنفاء بمعنى النفي ؛ انتهى. وأقول : هذا أيضاً لا يستقيم ؛ لأنّ الفساد مشترك ؛ إذ لم يأت أنف بهذا المعنى على بناء المجهول فإنّه يقال : أنف منه كفرح أنفاً وأنفةً : استنكف. وفي كثير من النسخ : فألقوا ، أي أخرجوا وأطرحوا منهم. وفي </w:t>
      </w:r>
      <w:r w:rsidR="008A74EB" w:rsidRPr="00993B55">
        <w:rPr>
          <w:rStyle w:val="libFootnoteBoldChar"/>
          <w:rtl/>
        </w:rPr>
        <w:t>الخصال</w:t>
      </w:r>
      <w:r w:rsidR="008A74EB" w:rsidRPr="00C9040A">
        <w:rPr>
          <w:rtl/>
        </w:rPr>
        <w:t xml:space="preserve"> : فنفوا. وهو أظهر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مِنْ قُرَيْشٍ ، وَايْمُ اللهِ مَا كَانَ بِأَحْسَابِهِمْ بَأْسٌ ، وَإِنَّ قَوْماً مِنْ غَيْرِ </w:t>
      </w:r>
      <w:r w:rsidR="006C577F" w:rsidRPr="006C577F">
        <w:rPr>
          <w:rStyle w:val="libFootnotenumChar"/>
          <w:rtl/>
        </w:rPr>
        <w:t>(1)</w:t>
      </w:r>
      <w:r w:rsidRPr="00C9040A">
        <w:rPr>
          <w:rtl/>
          <w:lang w:bidi="fa-IR"/>
        </w:rPr>
        <w:t xml:space="preserve"> قُرَيْشٍ </w:t>
      </w:r>
      <w:r w:rsidR="006C577F" w:rsidRPr="006C577F">
        <w:rPr>
          <w:rStyle w:val="libFootnotenumChar"/>
          <w:rtl/>
        </w:rPr>
        <w:t>(2)</w:t>
      </w:r>
      <w:r w:rsidRPr="00C9040A">
        <w:rPr>
          <w:rtl/>
          <w:lang w:bidi="fa-IR"/>
        </w:rPr>
        <w:t xml:space="preserve"> حَسُنَتْ مُدَارَاتُهُمْ ، فَأُلْحِقُوا بِالْبَيْتِ الرَّفِيعِ »</w:t>
      </w:r>
      <w:r>
        <w:rPr>
          <w:rtl/>
          <w:lang w:bidi="fa-IR"/>
        </w:rPr>
        <w:t>.</w:t>
      </w:r>
      <w:r w:rsidRPr="00C9040A">
        <w:rPr>
          <w:rtl/>
          <w:lang w:bidi="fa-IR"/>
        </w:rPr>
        <w:t xml:space="preserve"> قَالَ : ثُمَّ قَالَ : « مَنْ كَفَّ يَدَهُ عَنِ النَّاسِ ، فَإِنَّمَا يَكُفُّ عَنْهُمْ يَداً وَاحِدَةً ، وَيَكُفُّونَ عَنْهُ أَيْدِيَ </w:t>
      </w:r>
      <w:r w:rsidR="006C577F" w:rsidRPr="006C577F">
        <w:rPr>
          <w:rStyle w:val="libFootnotenumChar"/>
          <w:rtl/>
        </w:rPr>
        <w:t>(3)</w:t>
      </w:r>
      <w:r w:rsidRPr="00C9040A">
        <w:rPr>
          <w:rtl/>
          <w:lang w:bidi="fa-IR"/>
        </w:rPr>
        <w:t xml:space="preserve"> كَثِيرَةً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Heading2Center"/>
        <w:rPr>
          <w:rtl/>
          <w:lang w:bidi="fa-IR"/>
        </w:rPr>
      </w:pPr>
      <w:bookmarkStart w:id="184" w:name="_Toc343795649"/>
      <w:bookmarkStart w:id="185" w:name="_Toc459810773"/>
      <w:bookmarkStart w:id="186" w:name="_Toc35348679"/>
      <w:r w:rsidRPr="00C9040A">
        <w:rPr>
          <w:rtl/>
          <w:lang w:bidi="fa-IR"/>
        </w:rPr>
        <w:t>58</w:t>
      </w:r>
      <w:r>
        <w:rPr>
          <w:rtl/>
          <w:lang w:bidi="fa-IR"/>
        </w:rPr>
        <w:t xml:space="preserve"> </w:t>
      </w:r>
      <w:r w:rsidR="0084262C">
        <w:rPr>
          <w:rtl/>
          <w:lang w:bidi="fa-IR"/>
        </w:rPr>
        <w:t>-</w:t>
      </w:r>
      <w:r>
        <w:rPr>
          <w:rtl/>
          <w:lang w:bidi="fa-IR"/>
        </w:rPr>
        <w:t xml:space="preserve"> </w:t>
      </w:r>
      <w:r w:rsidRPr="00C9040A">
        <w:rPr>
          <w:rtl/>
          <w:lang w:bidi="fa-IR"/>
        </w:rPr>
        <w:t>بَابُ الرِّفْقِ‌</w:t>
      </w:r>
      <w:bookmarkEnd w:id="184"/>
      <w:bookmarkEnd w:id="185"/>
      <w:bookmarkEnd w:id="186"/>
    </w:p>
    <w:p w:rsidR="008A74EB" w:rsidRPr="00C9040A" w:rsidRDefault="008A74EB" w:rsidP="008A74EB">
      <w:pPr>
        <w:pStyle w:val="libNormal"/>
        <w:rPr>
          <w:rtl/>
          <w:lang w:bidi="fa-IR"/>
        </w:rPr>
      </w:pPr>
      <w:r w:rsidRPr="00DC15F9">
        <w:rPr>
          <w:rtl/>
        </w:rPr>
        <w:t>1847</w:t>
      </w:r>
      <w:r w:rsidRPr="00261CB0">
        <w:rPr>
          <w:rStyle w:val="libBold2Char"/>
          <w:rtl/>
        </w:rPr>
        <w:t xml:space="preserve"> / 1.</w:t>
      </w:r>
      <w:r w:rsidRPr="00C9040A">
        <w:rPr>
          <w:rtl/>
          <w:lang w:bidi="fa-IR"/>
        </w:rPr>
        <w:t xml:space="preserve"> عِدَّةٌ مِنْ أَصْحَابِنَا ، عَنْ أَحْمَدَ بْنِ مُحَمَّدِ بْنِ خَالِدٍ ، عَنْ أَبِيهِ ، عَمَّنْ ذَكَرَهُ ، عَنْ مُحَمَّدِ بْنِ عَبْدِ الرَّحْمنِ بْنِ أَبِي لَيْلى ، عَنْ أَبِيهِ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إِنَّ لِكُلِّ شَيْ‌ءٍ قُفْلاً ، وَقُفْلُ الْإِيمَانِ الرِّفْقُ </w:t>
      </w:r>
      <w:r w:rsidR="006C577F" w:rsidRPr="006C577F">
        <w:rPr>
          <w:rStyle w:val="libFootnotenumChar"/>
          <w:rtl/>
        </w:rPr>
        <w:t>(5)</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Normal"/>
        <w:rPr>
          <w:rtl/>
          <w:lang w:bidi="fa-IR"/>
        </w:rPr>
      </w:pPr>
      <w:r w:rsidRPr="00DC15F9">
        <w:rPr>
          <w:rtl/>
        </w:rPr>
        <w:t>1848</w:t>
      </w:r>
      <w:r w:rsidRPr="00261CB0">
        <w:rPr>
          <w:rStyle w:val="libBold2Char"/>
          <w:rtl/>
        </w:rPr>
        <w:t xml:space="preserve"> / 2.</w:t>
      </w:r>
      <w:r w:rsidRPr="00C9040A">
        <w:rPr>
          <w:rtl/>
          <w:lang w:bidi="fa-IR"/>
        </w:rPr>
        <w:t xml:space="preserve"> وَبِإِسْنَادِهِ ، قَالَ :</w:t>
      </w:r>
    </w:p>
    <w:p w:rsidR="008A74EB" w:rsidRPr="00C9040A" w:rsidRDefault="008A74EB" w:rsidP="008A74EB">
      <w:pPr>
        <w:pStyle w:val="libNormal"/>
        <w:rPr>
          <w:rtl/>
          <w:lang w:bidi="fa-IR"/>
        </w:rPr>
      </w:pPr>
      <w:r w:rsidRPr="00C9040A">
        <w:rPr>
          <w:rtl/>
          <w:lang w:bidi="fa-IR"/>
        </w:rPr>
        <w:t xml:space="preserve">قَالَ أَبُو جَعْفَرٍ </w:t>
      </w:r>
      <w:r w:rsidRPr="0003660B">
        <w:rPr>
          <w:rStyle w:val="libAlaemChar"/>
          <w:rtl/>
        </w:rPr>
        <w:t>عليه‌السلام</w:t>
      </w:r>
      <w:r w:rsidRPr="00C9040A">
        <w:rPr>
          <w:rtl/>
          <w:lang w:bidi="fa-IR"/>
        </w:rPr>
        <w:t xml:space="preserve"> : « مَنْ قُسِمَ لَهُ الرِّفْقُ ، قُسِمَ لَهُ الْإِيمَانُ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ف » وشرح المازندراني والوافي </w:t>
      </w:r>
      <w:r w:rsidR="008A74EB">
        <w:rPr>
          <w:rtl/>
        </w:rPr>
        <w:t xml:space="preserve">: </w:t>
      </w:r>
      <w:r w:rsidR="0084262C">
        <w:rPr>
          <w:rtl/>
        </w:rPr>
        <w:t>-</w:t>
      </w:r>
      <w:r w:rsidR="008A74EB" w:rsidRPr="00C9040A">
        <w:rPr>
          <w:rtl/>
        </w:rPr>
        <w:t xml:space="preserve"> « غير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الخصال : « غيرهم » بدل « غير قريش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كذا في النسخ والمطبوع. وفي الكافي ، ح 3630 : « أيدياً » وهو الصحيح. وفي الخصال : « أيادي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الكافي</w:t>
      </w:r>
      <w:r w:rsidR="008A74EB" w:rsidRPr="00C9040A">
        <w:rPr>
          <w:rtl/>
        </w:rPr>
        <w:t xml:space="preserve"> ، كتاب العشرة ، باب التحبّب إلى الناس والتودّد إليهم ، ح 3630 ، عن محمّد بن يحيى ، عن أحمد بن محمّد بن عيسى ، عن محمّد بن سنان ، من قوله : « من كفّ يده عن الناس » ؛ </w:t>
      </w:r>
      <w:r w:rsidR="008A74EB" w:rsidRPr="00993B55">
        <w:rPr>
          <w:rStyle w:val="libFootnoteBoldChar"/>
          <w:rtl/>
        </w:rPr>
        <w:t>الخصال</w:t>
      </w:r>
      <w:r w:rsidR="008A74EB" w:rsidRPr="00C9040A">
        <w:rPr>
          <w:rtl/>
        </w:rPr>
        <w:t xml:space="preserve"> ، ص 17 ، باب الواحد ، ح 60 ، بسنده عن محمّد بن سنان. وفي </w:t>
      </w:r>
      <w:r w:rsidR="008A74EB" w:rsidRPr="00993B55">
        <w:rPr>
          <w:rStyle w:val="libFootnoteBoldChar"/>
          <w:rtl/>
        </w:rPr>
        <w:t>الزهد</w:t>
      </w:r>
      <w:r w:rsidR="008A74EB" w:rsidRPr="00C9040A">
        <w:rPr>
          <w:rtl/>
        </w:rPr>
        <w:t xml:space="preserve"> ، ص 103 ، ضمن ح 101 ؛ و</w:t>
      </w:r>
      <w:r w:rsidR="008A74EB" w:rsidRPr="00993B55">
        <w:rPr>
          <w:rStyle w:val="libFootnoteBoldChar"/>
          <w:rtl/>
        </w:rPr>
        <w:t>الكافي</w:t>
      </w:r>
      <w:r w:rsidR="008A74EB" w:rsidRPr="00C9040A">
        <w:rPr>
          <w:rtl/>
        </w:rPr>
        <w:t xml:space="preserve"> ، كتاب الايمان والكفر ، باب صلة الرحم ، ضمن ح 1992 ؛ </w:t>
      </w:r>
      <w:r w:rsidR="008A74EB" w:rsidRPr="00AC2E2F">
        <w:rPr>
          <w:rStyle w:val="libFootnoteBoldChar"/>
          <w:rtl/>
        </w:rPr>
        <w:t>والأمالي للطوسي</w:t>
      </w:r>
      <w:r w:rsidR="008A74EB" w:rsidRPr="00C9040A">
        <w:rPr>
          <w:rtl/>
        </w:rPr>
        <w:t xml:space="preserve"> ، ص 347 ، المجلس 12 ، ضمن ح 57 ، بسند آخر عن أميرالمؤمنين </w:t>
      </w:r>
      <w:r w:rsidR="00117575" w:rsidRPr="00117575">
        <w:rPr>
          <w:rStyle w:val="libFootnoteAlaemChar"/>
          <w:rtl/>
        </w:rPr>
        <w:t>عليه‌السلام</w:t>
      </w:r>
      <w:r w:rsidR="008A74EB" w:rsidRPr="00C9040A">
        <w:rPr>
          <w:rtl/>
        </w:rPr>
        <w:t xml:space="preserve"> ، من قوله : « من كفّ يده عن الناس » ، مع اختلاف يسير</w:t>
      </w:r>
      <w:r w:rsidR="00101696">
        <w:rPr>
          <w:rFonts w:hint="cs"/>
          <w:rtl/>
        </w:rPr>
        <w:t>.</w:t>
      </w:r>
      <w:r w:rsidR="008A74EB" w:rsidRPr="00993B55">
        <w:rPr>
          <w:rStyle w:val="libFootnoteBoldChar"/>
          <w:rtl/>
        </w:rPr>
        <w:t>الوافي</w:t>
      </w:r>
      <w:r w:rsidR="008A74EB" w:rsidRPr="00C9040A">
        <w:rPr>
          <w:rtl/>
        </w:rPr>
        <w:t xml:space="preserve"> ، ج 4 ، ص 458 ، ح 2345 ؛ </w:t>
      </w:r>
      <w:r w:rsidR="008A74EB" w:rsidRPr="00993B55">
        <w:rPr>
          <w:rStyle w:val="libFootnoteBoldChar"/>
          <w:rtl/>
        </w:rPr>
        <w:t>الوسائل</w:t>
      </w:r>
      <w:r w:rsidR="008A74EB" w:rsidRPr="00C9040A">
        <w:rPr>
          <w:rtl/>
        </w:rPr>
        <w:t xml:space="preserve"> ، ج 12 ، ص 201 ، ح 16086 ؛ </w:t>
      </w:r>
      <w:r w:rsidR="008A74EB" w:rsidRPr="00993B55">
        <w:rPr>
          <w:rStyle w:val="libFootnoteBoldChar"/>
          <w:rtl/>
        </w:rPr>
        <w:t>البحار</w:t>
      </w:r>
      <w:r w:rsidR="008A74EB" w:rsidRPr="00C9040A">
        <w:rPr>
          <w:rtl/>
        </w:rPr>
        <w:t xml:space="preserve"> ، ج 75 ، ص 441 ، ح 109.</w:t>
      </w:r>
    </w:p>
    <w:p w:rsidR="008A74EB" w:rsidRPr="00C9040A" w:rsidRDefault="006C577F" w:rsidP="004A4E41">
      <w:pPr>
        <w:pStyle w:val="libFootnote0"/>
        <w:rPr>
          <w:rtl/>
          <w:lang w:bidi="fa-IR"/>
        </w:rPr>
      </w:pPr>
      <w:r>
        <w:rPr>
          <w:rtl/>
        </w:rPr>
        <w:t>(5).</w:t>
      </w:r>
      <w:r w:rsidR="008A74EB" w:rsidRPr="00C9040A">
        <w:rPr>
          <w:rtl/>
        </w:rPr>
        <w:t xml:space="preserve"> في </w:t>
      </w:r>
      <w:r w:rsidR="008A74EB" w:rsidRPr="00993B55">
        <w:rPr>
          <w:rStyle w:val="libFootnoteBoldChar"/>
          <w:rtl/>
        </w:rPr>
        <w:t>مرآة العقول</w:t>
      </w:r>
      <w:r w:rsidR="008A74EB" w:rsidRPr="00C9040A">
        <w:rPr>
          <w:rtl/>
        </w:rPr>
        <w:t xml:space="preserve"> ، ج 8 ، ص 233 : « الرفق ، وهو لين الجانب والرأفة وترك العنف والغلظة في الأفعال والأقوال على الخلق في جميع الأحوال ، سواء صدر عنهم بالنسبة إليه خلاف الآداب أو لم يصدر. ففيه تشبيه الإيمان بالجوهر النفيس الذي يعتنى بحفظه ، والقلب بخزانته ، والرفق بالقفل ؛ لأنّه يحفظه عن خروجه وطريان المفاسد عليه ، فإنّ الشيطان سارق الإيمان ، ومع فتح القفل وترك الرفق يبعث الإنسان على ا</w:t>
      </w:r>
      <w:r w:rsidR="00101696">
        <w:rPr>
          <w:rFonts w:hint="cs"/>
          <w:rtl/>
        </w:rPr>
        <w:t>ُ</w:t>
      </w:r>
      <w:r w:rsidR="008A74EB" w:rsidRPr="00C9040A">
        <w:rPr>
          <w:rtl/>
        </w:rPr>
        <w:t>مور من الخشونة والفحش والقهر والضرب ، وأنواع الفساد وغيرها من الا</w:t>
      </w:r>
      <w:r w:rsidR="00101696">
        <w:rPr>
          <w:rFonts w:hint="cs"/>
          <w:rtl/>
        </w:rPr>
        <w:t>ُ</w:t>
      </w:r>
      <w:r w:rsidR="008A74EB" w:rsidRPr="00C9040A">
        <w:rPr>
          <w:rtl/>
        </w:rPr>
        <w:t>مور التي توجب نقص الإيمان أو زواله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الوافي</w:t>
      </w:r>
      <w:r w:rsidR="008A74EB" w:rsidRPr="00C9040A">
        <w:rPr>
          <w:rtl/>
        </w:rPr>
        <w:t xml:space="preserve"> ، ج 4 ، ص 461 ، ح 2346 ؛ </w:t>
      </w:r>
      <w:r w:rsidR="008A74EB" w:rsidRPr="00993B55">
        <w:rPr>
          <w:rStyle w:val="libFootnoteBoldChar"/>
          <w:rtl/>
        </w:rPr>
        <w:t>الوسائل</w:t>
      </w:r>
      <w:r w:rsidR="008A74EB" w:rsidRPr="00C9040A">
        <w:rPr>
          <w:rtl/>
        </w:rPr>
        <w:t xml:space="preserve"> ، ج 15 ، ص 269 ، ح 20479 ؛ </w:t>
      </w:r>
      <w:r w:rsidR="008A74EB" w:rsidRPr="00993B55">
        <w:rPr>
          <w:rStyle w:val="libFootnoteBoldChar"/>
          <w:rtl/>
        </w:rPr>
        <w:t>البحار</w:t>
      </w:r>
      <w:r w:rsidR="008A74EB" w:rsidRPr="00C9040A">
        <w:rPr>
          <w:rtl/>
        </w:rPr>
        <w:t xml:space="preserve"> ، ج 75 ، ص 55 ، ح 20.</w:t>
      </w:r>
    </w:p>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الوافي</w:t>
      </w:r>
      <w:r w:rsidR="008A74EB" w:rsidRPr="00C9040A">
        <w:rPr>
          <w:rtl/>
        </w:rPr>
        <w:t xml:space="preserve"> ، ج 4 ، ص 461 ، ح 2347 ؛ </w:t>
      </w:r>
      <w:r w:rsidR="008A74EB" w:rsidRPr="00993B55">
        <w:rPr>
          <w:rStyle w:val="libFootnoteBoldChar"/>
          <w:rtl/>
        </w:rPr>
        <w:t>الوسائل</w:t>
      </w:r>
      <w:r w:rsidR="008A74EB" w:rsidRPr="00C9040A">
        <w:rPr>
          <w:rtl/>
        </w:rPr>
        <w:t xml:space="preserve"> ، ج 15 ، ص 269 ، ح 20480 ؛ </w:t>
      </w:r>
      <w:r w:rsidR="008A74EB" w:rsidRPr="00993B55">
        <w:rPr>
          <w:rStyle w:val="libFootnoteBoldChar"/>
          <w:rtl/>
        </w:rPr>
        <w:t>البحار</w:t>
      </w:r>
      <w:r w:rsidR="008A74EB" w:rsidRPr="00C9040A">
        <w:rPr>
          <w:rtl/>
        </w:rPr>
        <w:t xml:space="preserve"> ، ج 75 ، ص 56 ، ح 21.</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9243AF">
        <w:rPr>
          <w:rtl/>
        </w:rPr>
        <w:t>1849</w:t>
      </w:r>
      <w:r w:rsidRPr="00261CB0">
        <w:rPr>
          <w:rStyle w:val="libBold2Char"/>
          <w:rtl/>
        </w:rPr>
        <w:t xml:space="preserve"> / 3.</w:t>
      </w:r>
      <w:r w:rsidRPr="00C9040A">
        <w:rPr>
          <w:rtl/>
          <w:lang w:bidi="fa-IR"/>
        </w:rPr>
        <w:t xml:space="preserve"> عَلِيُّ بْنُ إِبْرَاهِيمَ ، عَنْ أَبِيهِ ، عَنْ صَفْوَانَ بْنِ يَحْيى ، عَنْ يَحْيَى </w:t>
      </w:r>
      <w:r w:rsidR="006C577F" w:rsidRPr="006C577F">
        <w:rPr>
          <w:rStyle w:val="libFootnotenumChar"/>
          <w:rtl/>
        </w:rPr>
        <w:t>(1)</w:t>
      </w:r>
      <w:r w:rsidRPr="00C9040A">
        <w:rPr>
          <w:rtl/>
          <w:lang w:bidi="fa-IR"/>
        </w:rPr>
        <w:t xml:space="preserve"> الْأَزْرَقِ ، عَنْ حَمَّادِ بْنِ بَشِيرٍ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إِنَّ اللهَ</w:t>
      </w:r>
      <w:r>
        <w:rPr>
          <w:rtl/>
          <w:lang w:bidi="fa-IR"/>
        </w:rPr>
        <w:t xml:space="preserve"> </w:t>
      </w:r>
      <w:r w:rsidR="0084262C">
        <w:rPr>
          <w:rtl/>
          <w:lang w:bidi="fa-IR"/>
        </w:rPr>
        <w:t>-</w:t>
      </w:r>
      <w:r>
        <w:rPr>
          <w:rtl/>
          <w:lang w:bidi="fa-IR"/>
        </w:rPr>
        <w:t xml:space="preserve"> </w:t>
      </w:r>
      <w:r w:rsidRPr="00C9040A">
        <w:rPr>
          <w:rtl/>
          <w:lang w:bidi="fa-IR"/>
        </w:rPr>
        <w:t>تَبَارَكَ وَتَعَالى</w:t>
      </w:r>
      <w:r>
        <w:rPr>
          <w:rtl/>
          <w:lang w:bidi="fa-IR"/>
        </w:rPr>
        <w:t xml:space="preserve"> </w:t>
      </w:r>
      <w:r w:rsidR="0084262C">
        <w:rPr>
          <w:rtl/>
          <w:lang w:bidi="fa-IR"/>
        </w:rPr>
        <w:t>-</w:t>
      </w:r>
      <w:r>
        <w:rPr>
          <w:rtl/>
          <w:lang w:bidi="fa-IR"/>
        </w:rPr>
        <w:t xml:space="preserve"> </w:t>
      </w:r>
      <w:r w:rsidRPr="00C9040A">
        <w:rPr>
          <w:rtl/>
          <w:lang w:bidi="fa-IR"/>
        </w:rPr>
        <w:t xml:space="preserve">رَفِيقٌ يُحِبُّ الرِّفْقَ ، فَمِنْ رِفْقِهِ بِعِبَادِهِ تَسْلِيلُهُ </w:t>
      </w:r>
      <w:r w:rsidR="006C577F" w:rsidRPr="006C577F">
        <w:rPr>
          <w:rStyle w:val="libFootnotenumChar"/>
          <w:rtl/>
        </w:rPr>
        <w:t>(2)</w:t>
      </w:r>
      <w:r w:rsidRPr="00C9040A">
        <w:rPr>
          <w:rtl/>
          <w:lang w:bidi="fa-IR"/>
        </w:rPr>
        <w:t xml:space="preserve"> أَضْغَانَهُمْ وَمُضَادَّتَهُمْ </w:t>
      </w:r>
      <w:r w:rsidR="006C577F" w:rsidRPr="006C577F">
        <w:rPr>
          <w:rStyle w:val="libFootnotenumChar"/>
          <w:rtl/>
        </w:rPr>
        <w:t>(3)</w:t>
      </w:r>
      <w:r w:rsidRPr="00C9040A">
        <w:rPr>
          <w:rtl/>
          <w:lang w:bidi="fa-IR"/>
        </w:rPr>
        <w:t xml:space="preserve"> لِهَوَاهُمْ </w:t>
      </w:r>
      <w:r w:rsidR="006C577F" w:rsidRPr="006C577F">
        <w:rPr>
          <w:rStyle w:val="libFootnotenumChar"/>
          <w:rtl/>
        </w:rPr>
        <w:t>(4)</w:t>
      </w:r>
      <w:r w:rsidRPr="00C9040A">
        <w:rPr>
          <w:rtl/>
          <w:lang w:bidi="fa-IR"/>
        </w:rPr>
        <w:t xml:space="preserve"> وَقُلُوبِهِمْ </w:t>
      </w:r>
      <w:r w:rsidR="006C577F" w:rsidRPr="006C577F">
        <w:rPr>
          <w:rStyle w:val="libFootnotenumChar"/>
          <w:rtl/>
        </w:rPr>
        <w:t>(5)</w:t>
      </w:r>
      <w:r w:rsidRPr="00C9040A">
        <w:rPr>
          <w:rtl/>
          <w:lang w:bidi="fa-IR"/>
        </w:rPr>
        <w:t xml:space="preserve"> ، وَمِنْ رِفْقِهِ بِهِمْ أَنَّهُ يَدَعُهُمْ عَلَى الْأَمْرِ يُرِيدُ إِزَالَتَهُمْ عَنْهُ رِفْقاً بِهِمْ لِكَيْلَا يُلْقِيَ </w:t>
      </w:r>
      <w:r w:rsidR="006C577F" w:rsidRPr="006C577F">
        <w:rPr>
          <w:rStyle w:val="libFootnotenumChar"/>
          <w:rtl/>
        </w:rPr>
        <w:t>(6)</w:t>
      </w:r>
      <w:r w:rsidRPr="005B567D">
        <w:rPr>
          <w:rStyle w:val="libFootnotenumChar"/>
          <w:rtl/>
        </w:rPr>
        <w:t xml:space="preserve"> </w:t>
      </w:r>
      <w:r w:rsidRPr="00C9040A">
        <w:rPr>
          <w:rtl/>
          <w:lang w:bidi="fa-IR"/>
        </w:rPr>
        <w:t xml:space="preserve">عَلَيْهِمْ عُرَى الْإِيمَانِ </w:t>
      </w:r>
      <w:r w:rsidR="006C577F" w:rsidRPr="006C577F">
        <w:rPr>
          <w:rStyle w:val="libFootnotenumChar"/>
          <w:rtl/>
        </w:rPr>
        <w:t>(7)</w:t>
      </w:r>
      <w:r w:rsidRPr="00C9040A">
        <w:rPr>
          <w:rtl/>
          <w:lang w:bidi="fa-IR"/>
        </w:rPr>
        <w:t xml:space="preserve"> وَمُثَاقَلَتَهُ جُمْلَةً وَاحِدَةً ، فَيَضْعُفُوا ، فَإِذَا أَرَادَ ذلِكَ </w:t>
      </w:r>
      <w:r w:rsidR="006C577F" w:rsidRPr="006C577F">
        <w:rPr>
          <w:rStyle w:val="libFootnotenumChar"/>
          <w:rtl/>
        </w:rPr>
        <w:t>(8)</w:t>
      </w:r>
      <w:r w:rsidRPr="00C9040A">
        <w:rPr>
          <w:rtl/>
          <w:lang w:bidi="fa-IR"/>
        </w:rPr>
        <w:t xml:space="preserve"> ، نَسَخَ الْأَمْرَ بِالْآخَرِ </w:t>
      </w:r>
      <w:r w:rsidR="006C577F" w:rsidRPr="006C577F">
        <w:rPr>
          <w:rStyle w:val="libFootnotenumChar"/>
          <w:rtl/>
        </w:rPr>
        <w:t>(9)</w:t>
      </w:r>
      <w:r w:rsidRPr="00C9040A">
        <w:rPr>
          <w:rtl/>
          <w:lang w:bidi="fa-IR"/>
        </w:rPr>
        <w:t xml:space="preserve"> ، فَصَارَ مَنْسُوخاً »</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Normal"/>
        <w:rPr>
          <w:rtl/>
          <w:lang w:bidi="fa-IR"/>
        </w:rPr>
      </w:pPr>
      <w:r w:rsidRPr="009243AF">
        <w:rPr>
          <w:rtl/>
        </w:rPr>
        <w:t>1850</w:t>
      </w:r>
      <w:r w:rsidRPr="00261CB0">
        <w:rPr>
          <w:rStyle w:val="libBold2Char"/>
          <w:rtl/>
        </w:rPr>
        <w:t xml:space="preserve"> / 4.</w:t>
      </w:r>
      <w:r w:rsidRPr="00C9040A">
        <w:rPr>
          <w:rtl/>
          <w:lang w:bidi="fa-IR"/>
        </w:rPr>
        <w:t xml:space="preserve"> مُحَمَّدُ بْنُ يَحْيى ، عَنْ أَحْمَدَ بْنِ مُحَمَّدِ بْنِ عِيسى ، عَنِ ابْنِ مَحْبُوبٍ ، عَنْ‌</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ب » </w:t>
      </w:r>
      <w:r w:rsidR="008A74EB">
        <w:rPr>
          <w:rtl/>
        </w:rPr>
        <w:t xml:space="preserve">: </w:t>
      </w:r>
      <w:r w:rsidR="0084262C">
        <w:rPr>
          <w:rtl/>
        </w:rPr>
        <w:t>-</w:t>
      </w:r>
      <w:r w:rsidR="008A74EB" w:rsidRPr="00C9040A">
        <w:rPr>
          <w:rtl/>
        </w:rPr>
        <w:t xml:space="preserve"> « عن يحيى » ، ووجه سقوطه ظاهر بعد ما أشرنا إليه غير مرّة من جواز النظر من لفظ إلى لفظ</w:t>
      </w:r>
      <w:r w:rsidR="00101696">
        <w:rPr>
          <w:rFonts w:hint="cs"/>
          <w:rtl/>
        </w:rPr>
        <w:t xml:space="preserve"> </w:t>
      </w:r>
      <w:r w:rsidR="008A74EB" w:rsidRPr="00C9040A">
        <w:rPr>
          <w:rtl/>
        </w:rPr>
        <w:t>مشابه آخر.</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 السَّلّ » : انتزاعك الشي‌ء وإخراجه بالرفق. </w:t>
      </w:r>
      <w:r w:rsidR="008A74EB" w:rsidRPr="00993B55">
        <w:rPr>
          <w:rStyle w:val="libFootnoteBoldChar"/>
          <w:rtl/>
        </w:rPr>
        <w:t>مجمع البحرين</w:t>
      </w:r>
      <w:r w:rsidR="008A74EB" w:rsidRPr="00C9040A">
        <w:rPr>
          <w:rtl/>
        </w:rPr>
        <w:t xml:space="preserve"> ، ج 2 ، ص 868 ( سلل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ض ، بف » : « ومضادّاتهم »</w:t>
      </w:r>
      <w:r w:rsidR="008A74EB">
        <w:rPr>
          <w:rtl/>
        </w:rPr>
        <w:t>.</w:t>
      </w:r>
      <w:r w:rsidR="008A74EB" w:rsidRPr="00C9040A">
        <w:rPr>
          <w:rtl/>
        </w:rPr>
        <w:t xml:space="preserve"> وفي « بر » : « ومضادّاته »</w:t>
      </w:r>
      <w:r w:rsidR="008A74EB">
        <w:rPr>
          <w:rtl/>
        </w:rPr>
        <w:t>.</w:t>
      </w:r>
      <w:r w:rsidR="008A74EB" w:rsidRPr="00C9040A">
        <w:rPr>
          <w:rtl/>
        </w:rPr>
        <w:t xml:space="preserve"> وفي حاشية « ز » والوافي : « ومضادّته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ب » : « أهواءهم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ذكر في </w:t>
      </w:r>
      <w:r w:rsidR="008A74EB" w:rsidRPr="00993B55">
        <w:rPr>
          <w:rStyle w:val="libFootnoteBoldChar"/>
          <w:rtl/>
        </w:rPr>
        <w:t>مرآة العقول</w:t>
      </w:r>
      <w:r w:rsidR="008A74EB" w:rsidRPr="00C9040A">
        <w:rPr>
          <w:rtl/>
        </w:rPr>
        <w:t xml:space="preserve"> في قوله </w:t>
      </w:r>
      <w:r w:rsidR="00117575" w:rsidRPr="00117575">
        <w:rPr>
          <w:rStyle w:val="libFootnoteAlaemChar"/>
          <w:rtl/>
        </w:rPr>
        <w:t xml:space="preserve">عليه‌السلام </w:t>
      </w:r>
      <w:r w:rsidR="008A74EB" w:rsidRPr="00C9040A">
        <w:rPr>
          <w:rtl/>
        </w:rPr>
        <w:t>: « ومضادّتهم لهواهم وقلوبهم » وجوهاً : منها : كونه عطفاً على « تسليله »</w:t>
      </w:r>
      <w:r w:rsidR="008A74EB">
        <w:rPr>
          <w:rtl/>
        </w:rPr>
        <w:t>.</w:t>
      </w:r>
      <w:r w:rsidR="008A74EB" w:rsidRPr="00C9040A">
        <w:rPr>
          <w:rtl/>
        </w:rPr>
        <w:t xml:space="preserve"> والمعنى : من لطفه بعباده المؤمنين أن جعل أهوية المخالفين والكافرين متضادّة مختلفة ، فلو كانوا مجتمعين متّفقين في الأهواء لأفنوا المؤمنين واستأصلوهم. أو المعنى : أنّه من لطفه جعل المضادّة بين هوى كلّ امرء وقلبه ، أي روحه وعقله ، فلو لم يكن القلب معارضاً للهوى لم يختر أحد الآخرة على الدنيا. ومنها : أن يكون المعنى : من رفقه أنّه أوجب عليهم التكاليف المضادّة لهواهم وقلوبهم ، لكن برفق ولين بحيث لم يشقّ عليهم ، بل إنّما كلّف عباده بالأوامر والنواهي متدرّجاً كيلا ينفروا ، كما أنّهم لم</w:t>
      </w:r>
      <w:r w:rsidR="00101696">
        <w:rPr>
          <w:rFonts w:hint="cs"/>
          <w:rtl/>
        </w:rPr>
        <w:t>ـ</w:t>
      </w:r>
      <w:r w:rsidR="008A74EB" w:rsidRPr="00C9040A">
        <w:rPr>
          <w:rtl/>
        </w:rPr>
        <w:t>ّا كانوا اعتادوا بشرب الخمر نزلت أوّلاً آية تدلّ على مفاسدها ، ثمّ نهوا عن شربها قريباً من وقت الصلاة ، ثمّ عمّم وشدّد. وفي لفظ « المضادّة » إيماء إلى ذلك.</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ب » : « تلقى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هامش المطبوع عن بعض النسخ : « عرى الإسلام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 ب ، د ، بف » وحاشية « ج ، ض » والوافي : + « الأمر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ب ، بف » وحاشية « ج » : « الآخر »</w:t>
      </w:r>
      <w:r w:rsidR="008A74EB">
        <w:rPr>
          <w:rtl/>
        </w:rPr>
        <w:t>.</w:t>
      </w:r>
      <w:r w:rsidR="008A74EB" w:rsidRPr="00C9040A">
        <w:rPr>
          <w:rtl/>
        </w:rPr>
        <w:t xml:space="preserve"> وفي الوافي : « نسخ الآخر »</w:t>
      </w:r>
      <w:r w:rsidR="008A74EB">
        <w:rPr>
          <w:rtl/>
        </w:rPr>
        <w:t>.</w:t>
      </w:r>
      <w:r w:rsidR="008A74EB" w:rsidRPr="00C9040A">
        <w:rPr>
          <w:rtl/>
        </w:rPr>
        <w:t xml:space="preserve"> وفي هامش المطبوع عن بعض النسخ : « فإذا أراد ذلك الأمر نسخ بالآخر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w:t>
      </w:r>
      <w:r w:rsidR="008A74EB" w:rsidRPr="00993B55">
        <w:rPr>
          <w:rStyle w:val="libFootnoteBoldChar"/>
          <w:rtl/>
        </w:rPr>
        <w:t>الوافي</w:t>
      </w:r>
      <w:r w:rsidR="008A74EB" w:rsidRPr="00C9040A">
        <w:rPr>
          <w:rtl/>
        </w:rPr>
        <w:t xml:space="preserve"> ، ج 4 ، ص 461 ، ح 2348 ؛ </w:t>
      </w:r>
      <w:r w:rsidR="008A74EB" w:rsidRPr="00993B55">
        <w:rPr>
          <w:rStyle w:val="libFootnoteBoldChar"/>
          <w:rtl/>
        </w:rPr>
        <w:t>البحار</w:t>
      </w:r>
      <w:r w:rsidR="008A74EB" w:rsidRPr="00C9040A">
        <w:rPr>
          <w:rtl/>
        </w:rPr>
        <w:t xml:space="preserve"> ، ج 75 ، ص 56 ، ح 22.</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مُعَاوِيَةَ بْنِ وَهْبٍ ، عَنْ مُعَاذِ </w:t>
      </w:r>
      <w:r w:rsidR="006C577F" w:rsidRPr="006C577F">
        <w:rPr>
          <w:rStyle w:val="libFootnotenumChar"/>
          <w:rtl/>
        </w:rPr>
        <w:t>(1)</w:t>
      </w:r>
      <w:r w:rsidRPr="00C9040A">
        <w:rPr>
          <w:rtl/>
          <w:lang w:bidi="fa-IR"/>
        </w:rPr>
        <w:t xml:space="preserve"> بْنِ مُسْلِمٍ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الرِّفْقُ يُمْنٌ </w:t>
      </w:r>
      <w:r w:rsidR="006C577F" w:rsidRPr="006C577F">
        <w:rPr>
          <w:rStyle w:val="libFootnotenumChar"/>
          <w:rtl/>
        </w:rPr>
        <w:t>(2)</w:t>
      </w:r>
      <w:r w:rsidRPr="00C9040A">
        <w:rPr>
          <w:rtl/>
          <w:lang w:bidi="fa-IR"/>
        </w:rPr>
        <w:t xml:space="preserve"> ، وَالْخُرْقُ </w:t>
      </w:r>
      <w:r w:rsidR="006C577F" w:rsidRPr="006C577F">
        <w:rPr>
          <w:rStyle w:val="libFootnotenumChar"/>
          <w:rtl/>
        </w:rPr>
        <w:t>(3)</w:t>
      </w:r>
      <w:r w:rsidRPr="00C9040A">
        <w:rPr>
          <w:rtl/>
          <w:lang w:bidi="fa-IR"/>
        </w:rPr>
        <w:t xml:space="preserve"> شُؤْمٌ »</w:t>
      </w:r>
      <w:r>
        <w:rPr>
          <w:rtl/>
          <w:lang w:bidi="fa-IR"/>
        </w:rPr>
        <w:t>.</w:t>
      </w:r>
      <w:r w:rsidRPr="00C9040A">
        <w:rPr>
          <w:rtl/>
          <w:lang w:bidi="fa-IR"/>
        </w:rPr>
        <w:t xml:space="preserve"> </w:t>
      </w:r>
      <w:r w:rsidR="006C577F" w:rsidRPr="006C577F">
        <w:rPr>
          <w:rStyle w:val="libFootnotenumChar"/>
          <w:rtl/>
        </w:rPr>
        <w:t>(4)</w:t>
      </w:r>
      <w:r w:rsidRPr="00C9040A">
        <w:rPr>
          <w:rtl/>
          <w:lang w:bidi="fa-IR"/>
        </w:rPr>
        <w:t>‌</w:t>
      </w:r>
    </w:p>
    <w:p w:rsidR="008A74EB" w:rsidRPr="00C9040A" w:rsidRDefault="008A74EB" w:rsidP="008A74EB">
      <w:pPr>
        <w:pStyle w:val="libNormal"/>
        <w:rPr>
          <w:rtl/>
          <w:lang w:bidi="fa-IR"/>
        </w:rPr>
      </w:pPr>
      <w:r w:rsidRPr="009243AF">
        <w:rPr>
          <w:rtl/>
        </w:rPr>
        <w:t>1851</w:t>
      </w:r>
      <w:r w:rsidRPr="00261CB0">
        <w:rPr>
          <w:rStyle w:val="libBold2Char"/>
          <w:rtl/>
        </w:rPr>
        <w:t xml:space="preserve"> / 5.</w:t>
      </w:r>
      <w:r w:rsidRPr="00C9040A">
        <w:rPr>
          <w:rtl/>
          <w:lang w:bidi="fa-IR"/>
        </w:rPr>
        <w:t xml:space="preserve"> عَنْهُ </w:t>
      </w:r>
      <w:r w:rsidR="006C577F" w:rsidRPr="006C577F">
        <w:rPr>
          <w:rStyle w:val="libFootnotenumChar"/>
          <w:rtl/>
        </w:rPr>
        <w:t>(5)</w:t>
      </w:r>
      <w:r w:rsidRPr="00C9040A">
        <w:rPr>
          <w:rtl/>
          <w:lang w:bidi="fa-IR"/>
        </w:rPr>
        <w:t xml:space="preserve"> ، عَنِ ابْنِ مَحْبُوبٍ ، عَنْ عَمْرِو بْنِ شِمْرٍ ، عَنْ جَابِرٍ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w:t>
      </w:r>
      <w:r w:rsidR="006C577F" w:rsidRPr="006C577F">
        <w:rPr>
          <w:rStyle w:val="libFootnotenumChar"/>
          <w:rtl/>
        </w:rPr>
        <w:t>(6)</w:t>
      </w:r>
      <w:r w:rsidRPr="005B567D">
        <w:rPr>
          <w:rStyle w:val="libFootnotenumChar"/>
          <w:rtl/>
        </w:rPr>
        <w:t xml:space="preserve"> </w:t>
      </w:r>
      <w:r w:rsidRPr="00C9040A">
        <w:rPr>
          <w:rtl/>
          <w:lang w:bidi="fa-IR"/>
        </w:rPr>
        <w:t>: « إِنَّ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رَفِيقٌ يُحِبُّ الرِّفْقَ ، وَ</w:t>
      </w:r>
      <w:r>
        <w:rPr>
          <w:rFonts w:hint="cs"/>
          <w:rtl/>
          <w:lang w:bidi="fa-IR"/>
        </w:rPr>
        <w:t xml:space="preserve"> </w:t>
      </w:r>
      <w:r w:rsidR="006C577F" w:rsidRPr="006C577F">
        <w:rPr>
          <w:rStyle w:val="libFootnotenumChar"/>
          <w:rtl/>
        </w:rPr>
        <w:t>(7)</w:t>
      </w:r>
      <w:r w:rsidRPr="00C9040A">
        <w:rPr>
          <w:rtl/>
          <w:lang w:bidi="fa-IR"/>
        </w:rPr>
        <w:t xml:space="preserve"> يُعْطِي عَلَى الرِّفْقِ مَا لَايُعْطِي عَلَى الْعُنْفِ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Normal"/>
        <w:rPr>
          <w:rtl/>
          <w:lang w:bidi="fa-IR"/>
        </w:rPr>
      </w:pPr>
      <w:r w:rsidRPr="009243AF">
        <w:rPr>
          <w:rtl/>
        </w:rPr>
        <w:t>1852</w:t>
      </w:r>
      <w:r w:rsidRPr="00261CB0">
        <w:rPr>
          <w:rStyle w:val="libBold2Char"/>
          <w:rtl/>
        </w:rPr>
        <w:t xml:space="preserve"> / 6.</w:t>
      </w:r>
      <w:r w:rsidRPr="00C9040A">
        <w:rPr>
          <w:rtl/>
          <w:lang w:bidi="fa-IR"/>
        </w:rPr>
        <w:t xml:space="preserve"> عَلِيُّ بْنُ إِبْرَاهِيمَ ، عَنْ أَبِيهِ ، عَنِ ابْنِ أَبِي‌عُمَيْرٍ ، عَنْ عُمَرَ بْنِ أُذَيْنَةَ ، عَنْ زُرَارَةَ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إِنَّ الرِّفْقَ لَمْ يُوضَعْ عَلى شَيْ‌ءٍ </w:t>
      </w:r>
      <w:r w:rsidR="006C577F" w:rsidRPr="006C577F">
        <w:rPr>
          <w:rStyle w:val="libFootnotenumChar"/>
          <w:rtl/>
        </w:rPr>
        <w:t>(9)</w:t>
      </w:r>
      <w:r w:rsidR="00101696">
        <w:rPr>
          <w:rtl/>
          <w:lang w:bidi="fa-IR"/>
        </w:rPr>
        <w:t xml:space="preserve"> إِل</w:t>
      </w:r>
      <w:r w:rsidR="00101696">
        <w:rPr>
          <w:rFonts w:hint="cs"/>
          <w:rtl/>
          <w:lang w:bidi="fa-IR"/>
        </w:rPr>
        <w:t>َّ</w:t>
      </w:r>
      <w:r w:rsidR="00101696">
        <w:rPr>
          <w:rtl/>
          <w:lang w:bidi="fa-IR"/>
        </w:rPr>
        <w:t>ا</w:t>
      </w:r>
      <w:r w:rsidRPr="00C9040A">
        <w:rPr>
          <w:rtl/>
          <w:lang w:bidi="fa-IR"/>
        </w:rPr>
        <w:t>‌</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ص » : « معاوية » ، وقد تقدّمت في </w:t>
      </w:r>
      <w:r w:rsidR="008A74EB" w:rsidRPr="00993B55">
        <w:rPr>
          <w:rStyle w:val="libFootnoteBoldChar"/>
          <w:rtl/>
        </w:rPr>
        <w:t>الكافي</w:t>
      </w:r>
      <w:r w:rsidR="008A74EB" w:rsidRPr="00C9040A">
        <w:rPr>
          <w:rtl/>
        </w:rPr>
        <w:t xml:space="preserve"> ، ح 1808 رواية معاوية بن وهب عن مُعاذ بن مسلم. ولانعرف راوياً بعنوان معاوية بن مسلم مذكوراً في مصادرنا.</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 اليُمن » : البَرَكة ، وضدّه الشُّؤم. </w:t>
      </w:r>
      <w:r w:rsidR="008A74EB" w:rsidRPr="00993B55">
        <w:rPr>
          <w:rStyle w:val="libFootnoteBoldChar"/>
          <w:rtl/>
        </w:rPr>
        <w:t>النهاية</w:t>
      </w:r>
      <w:r w:rsidR="008A74EB" w:rsidRPr="00C9040A">
        <w:rPr>
          <w:rtl/>
        </w:rPr>
        <w:t xml:space="preserve"> ، ج 5 ، ص 302 ( يمن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 الخَرَق » بالتحريك : ضدّ الرفق ، وأن لايحسن الرجل العمل والتصرّف في الا</w:t>
      </w:r>
      <w:r w:rsidR="000E6C04">
        <w:rPr>
          <w:rFonts w:hint="cs"/>
          <w:rtl/>
        </w:rPr>
        <w:t>ُ</w:t>
      </w:r>
      <w:r w:rsidR="008A74EB" w:rsidRPr="00C9040A">
        <w:rPr>
          <w:rtl/>
        </w:rPr>
        <w:t>مور ، والاسم : الخرق ، بضمّ الخاء وسكون الراء. وقال ابن الأثير : « الخُرق</w:t>
      </w:r>
      <w:r w:rsidR="008A74EB">
        <w:rPr>
          <w:rtl/>
        </w:rPr>
        <w:t xml:space="preserve"> </w:t>
      </w:r>
      <w:r w:rsidR="0084262C">
        <w:rPr>
          <w:rtl/>
        </w:rPr>
        <w:t>-</w:t>
      </w:r>
      <w:r w:rsidR="008A74EB">
        <w:rPr>
          <w:rtl/>
        </w:rPr>
        <w:t xml:space="preserve"> </w:t>
      </w:r>
      <w:r w:rsidR="008A74EB" w:rsidRPr="00C9040A">
        <w:rPr>
          <w:rtl/>
        </w:rPr>
        <w:t>بالضمّ</w:t>
      </w:r>
      <w:r w:rsidR="008A74EB">
        <w:rPr>
          <w:rtl/>
        </w:rPr>
        <w:t xml:space="preserve"> </w:t>
      </w:r>
      <w:r w:rsidR="0084262C">
        <w:rPr>
          <w:rtl/>
        </w:rPr>
        <w:t>-</w:t>
      </w:r>
      <w:r w:rsidR="008A74EB">
        <w:rPr>
          <w:rtl/>
        </w:rPr>
        <w:t xml:space="preserve"> </w:t>
      </w:r>
      <w:r w:rsidR="008A74EB" w:rsidRPr="00C9040A">
        <w:rPr>
          <w:rtl/>
        </w:rPr>
        <w:t>: الجهل والحُمق »</w:t>
      </w:r>
      <w:r w:rsidR="008A74EB">
        <w:rPr>
          <w:rtl/>
        </w:rPr>
        <w:t>.</w:t>
      </w:r>
      <w:r w:rsidR="008A74EB" w:rsidRPr="00C9040A">
        <w:rPr>
          <w:rtl/>
        </w:rPr>
        <w:t xml:space="preserve"> </w:t>
      </w:r>
      <w:r w:rsidR="008A74EB" w:rsidRPr="00993B55">
        <w:rPr>
          <w:rStyle w:val="libFootnoteBoldChar"/>
          <w:rtl/>
        </w:rPr>
        <w:t>النهاية</w:t>
      </w:r>
      <w:r w:rsidR="008A74EB" w:rsidRPr="00C9040A">
        <w:rPr>
          <w:rtl/>
        </w:rPr>
        <w:t xml:space="preserve"> ، ج 2 ، ص 26 ؛ </w:t>
      </w:r>
      <w:r w:rsidR="008A74EB" w:rsidRPr="00993B55">
        <w:rPr>
          <w:rStyle w:val="libFootnoteBoldChar"/>
          <w:rtl/>
        </w:rPr>
        <w:t>المصباح المنير</w:t>
      </w:r>
      <w:r w:rsidR="008A74EB" w:rsidRPr="00C9040A">
        <w:rPr>
          <w:rtl/>
        </w:rPr>
        <w:t xml:space="preserve"> ، ص 167 ؛ </w:t>
      </w:r>
      <w:r w:rsidR="008A74EB" w:rsidRPr="00993B55">
        <w:rPr>
          <w:rStyle w:val="libFootnoteBoldChar"/>
          <w:rtl/>
        </w:rPr>
        <w:t>القاموس المحيط</w:t>
      </w:r>
      <w:r w:rsidR="008A74EB" w:rsidRPr="00C9040A">
        <w:rPr>
          <w:rtl/>
        </w:rPr>
        <w:t xml:space="preserve"> ، ج 2 ، ص 1168 ( خرق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الزهد</w:t>
      </w:r>
      <w:r w:rsidR="008A74EB" w:rsidRPr="00C9040A">
        <w:rPr>
          <w:rtl/>
        </w:rPr>
        <w:t xml:space="preserve"> ، ص 92 ، ح 72 ، بسنده عن معاذ بن مسلم. </w:t>
      </w:r>
      <w:r w:rsidR="008A74EB" w:rsidRPr="00993B55">
        <w:rPr>
          <w:rStyle w:val="libFootnoteBoldChar"/>
          <w:rtl/>
        </w:rPr>
        <w:t>الغارات</w:t>
      </w:r>
      <w:r w:rsidR="008A74EB" w:rsidRPr="00C9040A">
        <w:rPr>
          <w:rtl/>
        </w:rPr>
        <w:t xml:space="preserve"> ، ص 121 ، عن سهل بن سعد ، عن أمير المؤمنين </w:t>
      </w:r>
      <w:r w:rsidR="00117575" w:rsidRPr="00117575">
        <w:rPr>
          <w:rStyle w:val="libFootnoteAlaemChar"/>
          <w:rtl/>
        </w:rPr>
        <w:t>عليه‌السلام</w:t>
      </w:r>
      <w:r w:rsidR="008A74EB" w:rsidRPr="00C9040A">
        <w:rPr>
          <w:rtl/>
        </w:rPr>
        <w:t xml:space="preserve"> ، وفيه : « وارفق بالخاصّة والعامّة ، فإنّ الرفق يمن » ، مع زيادة في أوّله وآخره. </w:t>
      </w:r>
      <w:r w:rsidR="008A74EB" w:rsidRPr="00993B55">
        <w:rPr>
          <w:rStyle w:val="libFootnoteBoldChar"/>
          <w:rtl/>
        </w:rPr>
        <w:t>تحف العقول</w:t>
      </w:r>
      <w:r w:rsidR="008A74EB" w:rsidRPr="00C9040A">
        <w:rPr>
          <w:rtl/>
        </w:rPr>
        <w:t xml:space="preserve"> ، ص 395 ، ضمن الحديث الطويل ، عن موسى بن جعفر </w:t>
      </w:r>
      <w:r w:rsidR="00117575" w:rsidRPr="00117575">
        <w:rPr>
          <w:rStyle w:val="libFootnoteAlaemChar"/>
          <w:rtl/>
        </w:rPr>
        <w:t xml:space="preserve">عليه‌السلام </w:t>
      </w:r>
      <w:r w:rsidR="000E6C04">
        <w:rPr>
          <w:rFonts w:hint="cs"/>
          <w:rtl/>
        </w:rPr>
        <w:t>.</w:t>
      </w:r>
      <w:r w:rsidR="008A74EB" w:rsidRPr="00993B55">
        <w:rPr>
          <w:rStyle w:val="libFootnoteBoldChar"/>
          <w:rtl/>
        </w:rPr>
        <w:t>الوافي</w:t>
      </w:r>
      <w:r w:rsidR="008A74EB" w:rsidRPr="00C9040A">
        <w:rPr>
          <w:rtl/>
        </w:rPr>
        <w:t xml:space="preserve"> ، ج 4 ، ص 462 ، ح 2350 ؛ </w:t>
      </w:r>
      <w:r w:rsidR="008A74EB" w:rsidRPr="00993B55">
        <w:rPr>
          <w:rStyle w:val="libFootnoteBoldChar"/>
          <w:rtl/>
        </w:rPr>
        <w:t>الوسائل</w:t>
      </w:r>
      <w:r w:rsidR="008A74EB" w:rsidRPr="00C9040A">
        <w:rPr>
          <w:rtl/>
        </w:rPr>
        <w:t xml:space="preserve"> ، ج 2 ، ص 498 ، ح 2742 ؛ وج 15 ، ص 269 ، ح 20477 ؛ </w:t>
      </w:r>
      <w:r w:rsidR="008A74EB" w:rsidRPr="00993B55">
        <w:rPr>
          <w:rStyle w:val="libFootnoteBoldChar"/>
          <w:rtl/>
        </w:rPr>
        <w:t>البحار</w:t>
      </w:r>
      <w:r w:rsidR="008A74EB" w:rsidRPr="00C9040A">
        <w:rPr>
          <w:rtl/>
        </w:rPr>
        <w:t xml:space="preserve"> ، ج 75 ، ص 59 ، ح 23.</w:t>
      </w:r>
    </w:p>
    <w:p w:rsidR="008A74EB" w:rsidRPr="00C9040A" w:rsidRDefault="006C577F" w:rsidP="004A4E41">
      <w:pPr>
        <w:pStyle w:val="libFootnote0"/>
        <w:rPr>
          <w:rtl/>
          <w:lang w:bidi="fa-IR"/>
        </w:rPr>
      </w:pPr>
      <w:r>
        <w:rPr>
          <w:rtl/>
        </w:rPr>
        <w:t>(5).</w:t>
      </w:r>
      <w:r w:rsidR="008A74EB" w:rsidRPr="00C9040A">
        <w:rPr>
          <w:rtl/>
        </w:rPr>
        <w:t xml:space="preserve"> الضمير راجع إلى أحمد بن محمّد عيسى المذكور في السند السابق.</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 ص » : + « قال رسول الله </w:t>
      </w:r>
      <w:r w:rsidR="004A4E41" w:rsidRPr="00AC2E2F">
        <w:rPr>
          <w:rStyle w:val="libFootnoteAlaemChar"/>
          <w:rtl/>
        </w:rPr>
        <w:t>صلى‌الله‌عليه‌وآله</w:t>
      </w:r>
      <w:r w:rsidR="008A74EB" w:rsidRPr="00C9040A">
        <w:rPr>
          <w:rtl/>
        </w:rPr>
        <w:t xml:space="preserve">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ف » </w:t>
      </w:r>
      <w:r w:rsidR="008A74EB">
        <w:rPr>
          <w:rtl/>
        </w:rPr>
        <w:t xml:space="preserve">: </w:t>
      </w:r>
      <w:r w:rsidR="0084262C">
        <w:rPr>
          <w:rtl/>
        </w:rPr>
        <w:t>-</w:t>
      </w:r>
      <w:r w:rsidR="008A74EB" w:rsidRPr="00C9040A">
        <w:rPr>
          <w:rtl/>
        </w:rPr>
        <w:t xml:space="preserve"> « </w:t>
      </w:r>
      <w:r w:rsidR="008A74EB">
        <w:rPr>
          <w:rtl/>
        </w:rPr>
        <w:t>و ».</w:t>
      </w:r>
    </w:p>
    <w:p w:rsidR="008A74EB" w:rsidRPr="00C9040A" w:rsidRDefault="006C577F" w:rsidP="004A4E41">
      <w:pPr>
        <w:pStyle w:val="libFootnote0"/>
        <w:rPr>
          <w:rtl/>
          <w:lang w:bidi="fa-IR"/>
        </w:rPr>
      </w:pPr>
      <w:r>
        <w:rPr>
          <w:rtl/>
        </w:rPr>
        <w:t>(8).</w:t>
      </w:r>
      <w:r w:rsidR="008A74EB" w:rsidRPr="00C9040A">
        <w:rPr>
          <w:rtl/>
        </w:rPr>
        <w:t xml:space="preserve"> </w:t>
      </w:r>
      <w:r w:rsidR="008A74EB" w:rsidRPr="00993B55">
        <w:rPr>
          <w:rStyle w:val="libFootnoteBoldChar"/>
          <w:rtl/>
        </w:rPr>
        <w:t>الزهد</w:t>
      </w:r>
      <w:r w:rsidR="008A74EB" w:rsidRPr="00C9040A">
        <w:rPr>
          <w:rtl/>
        </w:rPr>
        <w:t xml:space="preserve"> ، ص 91 ، ح 69 ، عن عليّ بن النعمان ، عن عَمروِ بن شَمِر ، عن جابر ، عن أبي جعفر </w:t>
      </w:r>
      <w:r w:rsidR="00117575" w:rsidRPr="00117575">
        <w:rPr>
          <w:rStyle w:val="libFootnoteAlaemChar"/>
          <w:rtl/>
        </w:rPr>
        <w:t>عليه‌السلام</w:t>
      </w:r>
      <w:r w:rsidR="008A74EB" w:rsidRPr="00C9040A">
        <w:rPr>
          <w:rtl/>
        </w:rPr>
        <w:t xml:space="preserve"> عن رسول الله </w:t>
      </w:r>
      <w:r w:rsidR="004A4E41" w:rsidRPr="00AC2E2F">
        <w:rPr>
          <w:rStyle w:val="libFootnoteAlaemChar"/>
          <w:rtl/>
        </w:rPr>
        <w:t>صلى‌الله‌عليه‌وآله</w:t>
      </w:r>
      <w:r w:rsidR="008A74EB" w:rsidRPr="00C9040A">
        <w:rPr>
          <w:rtl/>
        </w:rPr>
        <w:t xml:space="preserve"> ، وتمام الرواية فيه : « إنّ الله رفيق يعطي الثواب ويحبّ كلّ رفيق ، ويعطي على الرفق ما لا يعطي على العنف »</w:t>
      </w:r>
      <w:r w:rsidR="000E6C04">
        <w:rPr>
          <w:rFonts w:hint="cs"/>
          <w:rtl/>
        </w:rPr>
        <w:t>.</w:t>
      </w:r>
      <w:r w:rsidR="008A74EB" w:rsidRPr="00993B55">
        <w:rPr>
          <w:rStyle w:val="libFootnoteBoldChar"/>
          <w:rtl/>
        </w:rPr>
        <w:t>الوافي</w:t>
      </w:r>
      <w:r w:rsidR="008A74EB" w:rsidRPr="00C9040A">
        <w:rPr>
          <w:rtl/>
        </w:rPr>
        <w:t xml:space="preserve"> ، ج 4 ، ص 462 ، ح 2351 ؛ </w:t>
      </w:r>
      <w:r w:rsidR="008A74EB" w:rsidRPr="00993B55">
        <w:rPr>
          <w:rStyle w:val="libFootnoteBoldChar"/>
          <w:rtl/>
        </w:rPr>
        <w:t>الوسائل</w:t>
      </w:r>
      <w:r w:rsidR="008A74EB" w:rsidRPr="00C9040A">
        <w:rPr>
          <w:rtl/>
        </w:rPr>
        <w:t xml:space="preserve"> ، ج 15 ، ص 269 ، ح 20478 ؛ </w:t>
      </w:r>
      <w:r w:rsidR="008A74EB" w:rsidRPr="00993B55">
        <w:rPr>
          <w:rStyle w:val="libFootnoteBoldChar"/>
          <w:rtl/>
        </w:rPr>
        <w:t>البحار</w:t>
      </w:r>
      <w:r w:rsidR="008A74EB" w:rsidRPr="00C9040A">
        <w:rPr>
          <w:rtl/>
        </w:rPr>
        <w:t xml:space="preserve"> ، ج 75 ، ص 60 ، ح 24.</w:t>
      </w:r>
    </w:p>
    <w:p w:rsidR="008A74EB" w:rsidRPr="00C9040A" w:rsidRDefault="006C577F" w:rsidP="004A4E41">
      <w:pPr>
        <w:pStyle w:val="libFootnote0"/>
        <w:rPr>
          <w:rtl/>
          <w:lang w:bidi="fa-IR"/>
        </w:rPr>
      </w:pPr>
      <w:r>
        <w:rPr>
          <w:rtl/>
        </w:rPr>
        <w:t>(9).</w:t>
      </w:r>
      <w:r w:rsidR="008A74EB" w:rsidRPr="00C9040A">
        <w:rPr>
          <w:rtl/>
        </w:rPr>
        <w:t xml:space="preserve"> في الكافي ، ح 3658 : + « قطّ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زَانَهُ </w:t>
      </w:r>
      <w:r w:rsidR="006C577F" w:rsidRPr="006C577F">
        <w:rPr>
          <w:rStyle w:val="libFootnotenumChar"/>
          <w:rtl/>
        </w:rPr>
        <w:t>(1)</w:t>
      </w:r>
      <w:r w:rsidRPr="00C9040A">
        <w:rPr>
          <w:rtl/>
          <w:lang w:bidi="fa-IR"/>
        </w:rPr>
        <w:t xml:space="preserve"> ، وَلَا نُزِعَ </w:t>
      </w:r>
      <w:r w:rsidR="006C577F" w:rsidRPr="006C577F">
        <w:rPr>
          <w:rStyle w:val="libFootnotenumChar"/>
          <w:rtl/>
        </w:rPr>
        <w:t>(2)</w:t>
      </w:r>
      <w:r w:rsidRPr="00C9040A">
        <w:rPr>
          <w:rtl/>
          <w:lang w:bidi="fa-IR"/>
        </w:rPr>
        <w:t xml:space="preserve"> مِنْ شَيْ‌ءٍ </w:t>
      </w:r>
      <w:r w:rsidR="006C577F" w:rsidRPr="006C577F">
        <w:rPr>
          <w:rStyle w:val="libFootnotenumChar"/>
          <w:rtl/>
        </w:rPr>
        <w:t>(3)</w:t>
      </w:r>
      <w:r w:rsidR="000E6C04">
        <w:rPr>
          <w:rtl/>
          <w:lang w:bidi="fa-IR"/>
        </w:rPr>
        <w:t xml:space="preserve"> إِل</w:t>
      </w:r>
      <w:r w:rsidR="000E6C04">
        <w:rPr>
          <w:rFonts w:hint="cs"/>
          <w:rtl/>
          <w:lang w:bidi="fa-IR"/>
        </w:rPr>
        <w:t>َّ</w:t>
      </w:r>
      <w:r w:rsidR="000E6C04">
        <w:rPr>
          <w:rtl/>
          <w:lang w:bidi="fa-IR"/>
        </w:rPr>
        <w:t>ا</w:t>
      </w:r>
      <w:r w:rsidRPr="00C9040A">
        <w:rPr>
          <w:rtl/>
          <w:lang w:bidi="fa-IR"/>
        </w:rPr>
        <w:t xml:space="preserve"> شَانَهُ </w:t>
      </w:r>
      <w:r w:rsidR="006C577F" w:rsidRPr="006C577F">
        <w:rPr>
          <w:rStyle w:val="libFootnotenumChar"/>
          <w:rtl/>
        </w:rPr>
        <w:t>(4)</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9243AF">
        <w:rPr>
          <w:rtl/>
        </w:rPr>
        <w:t>1853</w:t>
      </w:r>
      <w:r w:rsidRPr="00261CB0">
        <w:rPr>
          <w:rStyle w:val="libBold2Char"/>
          <w:rtl/>
        </w:rPr>
        <w:t xml:space="preserve"> / 7.</w:t>
      </w:r>
      <w:r w:rsidRPr="00C9040A">
        <w:rPr>
          <w:rtl/>
          <w:lang w:bidi="fa-IR"/>
        </w:rPr>
        <w:t xml:space="preserve"> عَلِيٌّ ، عَنْ أَبِيهِ ، عَنْ عَبْدِ اللهِ بْنِ الْمُغِيرَةِ ، عَنْ عَمْرِو بْنِ أَبِي الْمِقْدَامِ :</w:t>
      </w:r>
    </w:p>
    <w:p w:rsidR="008A74EB" w:rsidRPr="00C9040A" w:rsidRDefault="008A74EB" w:rsidP="008A74EB">
      <w:pPr>
        <w:pStyle w:val="libNormal"/>
        <w:rPr>
          <w:rtl/>
          <w:lang w:bidi="fa-IR"/>
        </w:rPr>
      </w:pPr>
      <w:r w:rsidRPr="00C9040A">
        <w:rPr>
          <w:rtl/>
          <w:lang w:bidi="fa-IR"/>
        </w:rPr>
        <w:t xml:space="preserve">رَفَعَهُ إِلَى </w:t>
      </w:r>
      <w:r w:rsidR="006C577F" w:rsidRPr="006C577F">
        <w:rPr>
          <w:rStyle w:val="libFootnotenumChar"/>
          <w:rtl/>
        </w:rPr>
        <w:t>(6)</w:t>
      </w:r>
      <w:r w:rsidRPr="005B567D">
        <w:rPr>
          <w:rStyle w:val="libFootnotenumChar"/>
          <w:rtl/>
        </w:rPr>
        <w:t xml:space="preserve"> </w:t>
      </w:r>
      <w:r w:rsidRPr="00C9040A">
        <w:rPr>
          <w:rtl/>
          <w:lang w:bidi="fa-IR"/>
        </w:rPr>
        <w:t xml:space="preserve">النَّبِيِّ </w:t>
      </w:r>
      <w:r w:rsidR="004A4E41" w:rsidRPr="004A4E41">
        <w:rPr>
          <w:rStyle w:val="libAlaemChar"/>
          <w:rtl/>
        </w:rPr>
        <w:t>صلى‌الله‌عليه‌وآله</w:t>
      </w:r>
      <w:r w:rsidRPr="00C9040A">
        <w:rPr>
          <w:rtl/>
          <w:lang w:bidi="fa-IR"/>
        </w:rPr>
        <w:t xml:space="preserve"> ، قَالَ : « إِنَّ فِي </w:t>
      </w:r>
      <w:r w:rsidR="006C577F" w:rsidRPr="006C577F">
        <w:rPr>
          <w:rStyle w:val="libFootnotenumChar"/>
          <w:rtl/>
        </w:rPr>
        <w:t>(7)</w:t>
      </w:r>
      <w:r w:rsidRPr="00C9040A">
        <w:rPr>
          <w:rtl/>
          <w:lang w:bidi="fa-IR"/>
        </w:rPr>
        <w:t xml:space="preserve"> الرِّفْقِ الزِّيَادَةَ وَالْبَرَكَةَ ، وَمَنْ يُحْرَ</w:t>
      </w:r>
      <w:r w:rsidR="00AC2E2F">
        <w:rPr>
          <w:rtl/>
          <w:lang w:bidi="fa-IR"/>
        </w:rPr>
        <w:t>مِ الرِّفْقَ يُحْرَمِ الْخَيْرَ</w:t>
      </w:r>
      <w:r w:rsidRPr="00C9040A">
        <w:rPr>
          <w:rtl/>
          <w:lang w:bidi="fa-IR"/>
        </w:rPr>
        <w:t>»</w:t>
      </w:r>
      <w:r>
        <w:rPr>
          <w:rtl/>
          <w:lang w:bidi="fa-IR"/>
        </w:rPr>
        <w:t>.</w:t>
      </w:r>
      <w:r w:rsidR="006C577F" w:rsidRPr="006C577F">
        <w:rPr>
          <w:rStyle w:val="libFootnotenumChar"/>
          <w:rtl/>
        </w:rPr>
        <w:t>(8)</w:t>
      </w:r>
      <w:r w:rsidRPr="00C9040A">
        <w:rPr>
          <w:rtl/>
          <w:lang w:bidi="fa-IR"/>
        </w:rPr>
        <w:t xml:space="preserve"> ‌</w:t>
      </w:r>
    </w:p>
    <w:p w:rsidR="008A74EB" w:rsidRPr="00C9040A" w:rsidRDefault="008A74EB" w:rsidP="008A74EB">
      <w:pPr>
        <w:pStyle w:val="libNormal"/>
        <w:rPr>
          <w:rtl/>
          <w:lang w:bidi="fa-IR"/>
        </w:rPr>
      </w:pPr>
      <w:r w:rsidRPr="009243AF">
        <w:rPr>
          <w:rtl/>
        </w:rPr>
        <w:t>1854</w:t>
      </w:r>
      <w:r w:rsidRPr="00261CB0">
        <w:rPr>
          <w:rStyle w:val="libBold2Char"/>
          <w:rtl/>
        </w:rPr>
        <w:t xml:space="preserve"> / 8.</w:t>
      </w:r>
      <w:r w:rsidRPr="00C9040A">
        <w:rPr>
          <w:rtl/>
          <w:lang w:bidi="fa-IR"/>
        </w:rPr>
        <w:t xml:space="preserve"> عَنْهُ </w:t>
      </w:r>
      <w:r w:rsidR="006C577F" w:rsidRPr="006C577F">
        <w:rPr>
          <w:rStyle w:val="libFootnotenumChar"/>
          <w:rtl/>
        </w:rPr>
        <w:t>(9)</w:t>
      </w:r>
      <w:r w:rsidRPr="00C9040A">
        <w:rPr>
          <w:rtl/>
          <w:lang w:bidi="fa-IR"/>
        </w:rPr>
        <w:t xml:space="preserve"> ، عَنْ عَبْدِ اللهِ بْنِ الْمُغِيرَةِ ، عَمَّنْ ذَكَرَهُ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w:t>
      </w:r>
      <w:r w:rsidR="006C577F" w:rsidRPr="006C577F">
        <w:rPr>
          <w:rStyle w:val="libFootnotenumChar"/>
          <w:rtl/>
        </w:rPr>
        <w:t>(10)</w:t>
      </w:r>
      <w:r w:rsidRPr="00C9040A">
        <w:rPr>
          <w:rtl/>
          <w:lang w:bidi="fa-IR"/>
        </w:rPr>
        <w:t xml:space="preserve"> ، قَالَ : « مَا زُوِيَ الرّ</w:t>
      </w:r>
      <w:r w:rsidR="000E6C04">
        <w:rPr>
          <w:rtl/>
          <w:lang w:bidi="fa-IR"/>
        </w:rPr>
        <w:t>ِفْقُ عَنْ أَهْلِ بَيْتٍ إِل</w:t>
      </w:r>
      <w:r w:rsidR="000E6C04">
        <w:rPr>
          <w:rFonts w:hint="cs"/>
          <w:rtl/>
          <w:lang w:bidi="fa-IR"/>
        </w:rPr>
        <w:t>َّ</w:t>
      </w:r>
      <w:r w:rsidR="000E6C04">
        <w:rPr>
          <w:rtl/>
          <w:lang w:bidi="fa-IR"/>
        </w:rPr>
        <w:t>ا</w:t>
      </w:r>
      <w:r w:rsidRPr="00C9040A">
        <w:rPr>
          <w:rtl/>
          <w:lang w:bidi="fa-IR"/>
        </w:rPr>
        <w:t xml:space="preserve"> زُوِيَ عَنْهُمُ الْخَيْرُ »</w:t>
      </w:r>
      <w:r>
        <w:rPr>
          <w:rtl/>
          <w:lang w:bidi="fa-IR"/>
        </w:rPr>
        <w:t>.</w:t>
      </w:r>
      <w:r w:rsidRPr="00C9040A">
        <w:rPr>
          <w:rtl/>
          <w:lang w:bidi="fa-IR"/>
        </w:rPr>
        <w:t xml:space="preserve"> </w:t>
      </w:r>
      <w:r w:rsidR="006C577F" w:rsidRPr="006C577F">
        <w:rPr>
          <w:rStyle w:val="libFootnotenumChar"/>
          <w:rtl/>
        </w:rPr>
        <w:t>(11)</w:t>
      </w:r>
      <w:r w:rsidRPr="00C9040A">
        <w:rPr>
          <w:rtl/>
          <w:lang w:bidi="fa-IR"/>
        </w:rPr>
        <w:t>‌</w:t>
      </w:r>
    </w:p>
    <w:p w:rsidR="008A74EB" w:rsidRPr="00C9040A" w:rsidRDefault="008A74EB" w:rsidP="008A74EB">
      <w:pPr>
        <w:pStyle w:val="libNormal"/>
        <w:rPr>
          <w:rtl/>
          <w:lang w:bidi="fa-IR"/>
        </w:rPr>
      </w:pPr>
      <w:r w:rsidRPr="009243AF">
        <w:rPr>
          <w:rtl/>
        </w:rPr>
        <w:t>1855</w:t>
      </w:r>
      <w:r w:rsidRPr="00261CB0">
        <w:rPr>
          <w:rStyle w:val="libBold2Char"/>
          <w:rtl/>
        </w:rPr>
        <w:t xml:space="preserve"> / 9.</w:t>
      </w:r>
      <w:r w:rsidRPr="00C9040A">
        <w:rPr>
          <w:rtl/>
          <w:lang w:bidi="fa-IR"/>
        </w:rPr>
        <w:t xml:space="preserve"> عِدَّةٌ مِنْ أَصْحَابِنَا ، عَنْ أَحْمَدَ بْنِ أَبِي عَبْدِ اللهِ ، عَنْ إِبْرَاهِيمَ بْنِ مُحَمَّدٍ الثَّقَفِيِّ ، عَنْ عَلِيِّ بْنِ الْمُعَلّى ، عَنْ إِسْمَاعِيلَ بْنِ يَسَارٍ ، عَنْ أَحْمَدَ بْنِ زِيَادِ بْنِ أَرْقَمَ الْكُوفِيِّ ، عَنْ رَجُلٍ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أَيُّمَا أَهْلِ بَيْتٍ </w:t>
      </w:r>
      <w:r w:rsidR="006C577F" w:rsidRPr="006C577F">
        <w:rPr>
          <w:rStyle w:val="libFootnotenumChar"/>
          <w:rtl/>
        </w:rPr>
        <w:t>(12)</w:t>
      </w:r>
      <w:r w:rsidRPr="00C9040A">
        <w:rPr>
          <w:rtl/>
          <w:lang w:bidi="fa-IR"/>
        </w:rPr>
        <w:t xml:space="preserve"> أُعْطُوا حَظَّهُمْ مِنَ الرِّفْقِ ، فَقَدْ وَسَّعَ‌</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زان الشي‌ء صاحبَه زَيناً ، وأزانه إزانةً. والاسم : الزينة. المصباح المنير ، ص 261 ( زين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د » : « ولا ينزع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الكافي ، ح 3658 : « ولم يرتع عنه قطّ » بدل « ولا نزع من شي‌ء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 الشَّينُ » : العيب ، وقد شانه يشينه. </w:t>
      </w:r>
      <w:r w:rsidR="008A74EB" w:rsidRPr="00993B55">
        <w:rPr>
          <w:rStyle w:val="libFootnoteBoldChar"/>
          <w:rtl/>
        </w:rPr>
        <w:t>النهاية</w:t>
      </w:r>
      <w:r w:rsidR="008A74EB" w:rsidRPr="00C9040A">
        <w:rPr>
          <w:rtl/>
        </w:rPr>
        <w:t xml:space="preserve"> ، ج 2 ، ص 521 ( شين )</w:t>
      </w:r>
      <w:r w:rsidR="008A74EB">
        <w:rPr>
          <w:rtl/>
        </w:rPr>
        <w:t>.</w:t>
      </w:r>
    </w:p>
    <w:p w:rsidR="008A74EB" w:rsidRPr="004A4E41" w:rsidRDefault="006C577F" w:rsidP="004A4E41">
      <w:pPr>
        <w:pStyle w:val="libFootnote0"/>
        <w:rPr>
          <w:rStyle w:val="libFootnote0Char"/>
          <w:rtl/>
        </w:rPr>
      </w:pPr>
      <w:r>
        <w:rPr>
          <w:rtl/>
        </w:rPr>
        <w:t>(5).</w:t>
      </w:r>
      <w:r w:rsidR="008A74EB" w:rsidRPr="00C9040A">
        <w:rPr>
          <w:rtl/>
        </w:rPr>
        <w:t xml:space="preserve"> </w:t>
      </w:r>
      <w:r w:rsidR="008A74EB" w:rsidRPr="00993B55">
        <w:rPr>
          <w:rStyle w:val="libFootnoteBoldChar"/>
          <w:rtl/>
        </w:rPr>
        <w:t>الكافي</w:t>
      </w:r>
      <w:r w:rsidR="008A74EB" w:rsidRPr="00C9040A">
        <w:rPr>
          <w:rtl/>
        </w:rPr>
        <w:t xml:space="preserve"> ، كتاب العشرة ، باب التسليم على أهل الملل ، ح 3658 ، مع زيادة في أوّله وآخره. وفي </w:t>
      </w:r>
      <w:r w:rsidR="008A74EB" w:rsidRPr="00993B55">
        <w:rPr>
          <w:rStyle w:val="libFootnoteBoldChar"/>
          <w:rtl/>
        </w:rPr>
        <w:t>الجعفريّات</w:t>
      </w:r>
      <w:r w:rsidR="008A74EB" w:rsidRPr="00C9040A">
        <w:rPr>
          <w:rtl/>
        </w:rPr>
        <w:t xml:space="preserve"> ، ص 149 ، بسند آخر عن أبي عبد الله ، عن آبائه </w:t>
      </w:r>
      <w:r w:rsidR="00117575" w:rsidRPr="00117575">
        <w:rPr>
          <w:rStyle w:val="libFootnoteAlaemChar"/>
          <w:rtl/>
        </w:rPr>
        <w:t>عليهم‌السلام</w:t>
      </w:r>
      <w:r w:rsidR="008A74EB" w:rsidRPr="00C9040A">
        <w:rPr>
          <w:rtl/>
        </w:rPr>
        <w:t xml:space="preserve"> عن رسول الله </w:t>
      </w:r>
      <w:r w:rsidR="004A4E41" w:rsidRPr="00AC2E2F">
        <w:rPr>
          <w:rStyle w:val="libFootnoteAlaemChar"/>
          <w:rtl/>
        </w:rPr>
        <w:t>صلى‌الله‌عليه‌وآله</w:t>
      </w:r>
      <w:r w:rsidR="008A74EB" w:rsidRPr="00C9040A">
        <w:rPr>
          <w:rtl/>
        </w:rPr>
        <w:t xml:space="preserve"> ، مع زيادة في آخره. </w:t>
      </w:r>
      <w:r w:rsidR="008A74EB" w:rsidRPr="00993B55">
        <w:rPr>
          <w:rStyle w:val="libFootnoteBoldChar"/>
          <w:rtl/>
        </w:rPr>
        <w:t>تحف العقول</w:t>
      </w:r>
      <w:r w:rsidR="008A74EB" w:rsidRPr="00C9040A">
        <w:rPr>
          <w:rtl/>
        </w:rPr>
        <w:t xml:space="preserve"> ، ص 47 ، عن رسول الله </w:t>
      </w:r>
      <w:r w:rsidR="004A4E41" w:rsidRPr="00AC2E2F">
        <w:rPr>
          <w:rStyle w:val="libFootnoteAlaemChar"/>
          <w:rtl/>
        </w:rPr>
        <w:t>صلى‌الله‌عليه‌وآله</w:t>
      </w:r>
      <w:r w:rsidR="008A74EB" w:rsidRPr="00C9040A">
        <w:rPr>
          <w:rtl/>
        </w:rPr>
        <w:t xml:space="preserve"> ، وفيهما مع اختلاف يسير</w:t>
      </w:r>
      <w:r w:rsidR="000E6C04">
        <w:rPr>
          <w:rFonts w:hint="cs"/>
          <w:rtl/>
        </w:rPr>
        <w:t>.</w:t>
      </w:r>
      <w:r w:rsidR="008A74EB" w:rsidRPr="00993B55">
        <w:rPr>
          <w:rStyle w:val="libFootnoteBoldChar"/>
          <w:rtl/>
        </w:rPr>
        <w:t>الوافي</w:t>
      </w:r>
      <w:r w:rsidR="008A74EB" w:rsidRPr="00C9040A">
        <w:rPr>
          <w:rtl/>
        </w:rPr>
        <w:t xml:space="preserve"> ، ج 4 ، ص 463 ، ح 2352 ؛ </w:t>
      </w:r>
      <w:r w:rsidR="008A74EB" w:rsidRPr="00993B55">
        <w:rPr>
          <w:rStyle w:val="libFootnoteBoldChar"/>
          <w:rtl/>
        </w:rPr>
        <w:t>الوسائل</w:t>
      </w:r>
      <w:r w:rsidR="008A74EB" w:rsidRPr="00C9040A">
        <w:rPr>
          <w:rtl/>
        </w:rPr>
        <w:t xml:space="preserve"> ، ج 2 ، ص 498 ، ح 2741 ؛ وج 15 ، ص 270 ، ح 20485 ؛ </w:t>
      </w:r>
      <w:r w:rsidR="008A74EB" w:rsidRPr="00993B55">
        <w:rPr>
          <w:rStyle w:val="libFootnoteBoldChar"/>
          <w:rtl/>
        </w:rPr>
        <w:t>البحار</w:t>
      </w:r>
      <w:r w:rsidR="008A74EB" w:rsidRPr="00C9040A">
        <w:rPr>
          <w:rtl/>
        </w:rPr>
        <w:t xml:space="preserve"> ، ج 75 ، ص 60 ، ح 25.</w:t>
      </w:r>
    </w:p>
    <w:tbl>
      <w:tblPr>
        <w:tblStyle w:val="TableGrid"/>
        <w:bidiVisual/>
        <w:tblW w:w="0" w:type="auto"/>
        <w:tblLook w:val="04A0" w:firstRow="1" w:lastRow="0" w:firstColumn="1" w:lastColumn="0" w:noHBand="0" w:noVBand="1"/>
      </w:tblPr>
      <w:tblGrid>
        <w:gridCol w:w="4006"/>
        <w:gridCol w:w="4006"/>
      </w:tblGrid>
      <w:tr w:rsidR="000E6C04" w:rsidTr="000E6C04">
        <w:tc>
          <w:tcPr>
            <w:tcW w:w="4006" w:type="dxa"/>
          </w:tcPr>
          <w:p w:rsidR="000E6C04" w:rsidRDefault="000E6C04" w:rsidP="004A4E41">
            <w:pPr>
              <w:pStyle w:val="libFootnote0"/>
              <w:rPr>
                <w:rtl/>
              </w:rPr>
            </w:pPr>
            <w:r>
              <w:rPr>
                <w:rtl/>
              </w:rPr>
              <w:t xml:space="preserve">(6). </w:t>
            </w:r>
            <w:r w:rsidRPr="00C9040A">
              <w:rPr>
                <w:rtl/>
              </w:rPr>
              <w:t>في الوسائل : « عن »</w:t>
            </w:r>
            <w:r>
              <w:rPr>
                <w:rtl/>
              </w:rPr>
              <w:t>.</w:t>
            </w:r>
          </w:p>
        </w:tc>
        <w:tc>
          <w:tcPr>
            <w:tcW w:w="4006" w:type="dxa"/>
          </w:tcPr>
          <w:p w:rsidR="000E6C04" w:rsidRDefault="000E6C04" w:rsidP="004A4E41">
            <w:pPr>
              <w:pStyle w:val="libFootnote0"/>
              <w:rPr>
                <w:rtl/>
              </w:rPr>
            </w:pPr>
            <w:r>
              <w:rPr>
                <w:rtl/>
              </w:rPr>
              <w:t>(7).</w:t>
            </w:r>
            <w:r w:rsidRPr="00C9040A">
              <w:rPr>
                <w:rtl/>
              </w:rPr>
              <w:t xml:space="preserve"> في « ز » </w:t>
            </w:r>
            <w:r>
              <w:rPr>
                <w:rtl/>
              </w:rPr>
              <w:t>: -</w:t>
            </w:r>
            <w:r w:rsidRPr="00C9040A">
              <w:rPr>
                <w:rtl/>
              </w:rPr>
              <w:t xml:space="preserve"> « في »</w:t>
            </w:r>
            <w:r>
              <w:rPr>
                <w:rtl/>
              </w:rPr>
              <w:t>.</w:t>
            </w:r>
          </w:p>
        </w:tc>
      </w:tr>
    </w:tbl>
    <w:p w:rsidR="008A74EB" w:rsidRPr="00C9040A" w:rsidRDefault="006C577F" w:rsidP="004A4E41">
      <w:pPr>
        <w:pStyle w:val="libFootnote0"/>
        <w:rPr>
          <w:rtl/>
          <w:lang w:bidi="fa-IR"/>
        </w:rPr>
      </w:pPr>
      <w:r>
        <w:rPr>
          <w:rtl/>
        </w:rPr>
        <w:t>(8).</w:t>
      </w:r>
      <w:r w:rsidR="008A74EB" w:rsidRPr="00C9040A">
        <w:rPr>
          <w:rtl/>
        </w:rPr>
        <w:t xml:space="preserve"> </w:t>
      </w:r>
      <w:r w:rsidR="008A74EB" w:rsidRPr="00993B55">
        <w:rPr>
          <w:rStyle w:val="libFootnoteBoldChar"/>
          <w:rtl/>
        </w:rPr>
        <w:t>الوافي</w:t>
      </w:r>
      <w:r w:rsidR="008A74EB" w:rsidRPr="00C9040A">
        <w:rPr>
          <w:rtl/>
        </w:rPr>
        <w:t xml:space="preserve"> ، ج 4 ، ص 463 ، ح 2353 ؛ </w:t>
      </w:r>
      <w:r w:rsidR="008A74EB" w:rsidRPr="00993B55">
        <w:rPr>
          <w:rStyle w:val="libFootnoteBoldChar"/>
          <w:rtl/>
        </w:rPr>
        <w:t>الوسائل</w:t>
      </w:r>
      <w:r w:rsidR="008A74EB" w:rsidRPr="00C9040A">
        <w:rPr>
          <w:rtl/>
        </w:rPr>
        <w:t xml:space="preserve"> ، ج 15 ، ص 271 ، ح 20486 ؛ </w:t>
      </w:r>
      <w:r w:rsidR="008A74EB" w:rsidRPr="00993B55">
        <w:rPr>
          <w:rStyle w:val="libFootnoteBoldChar"/>
          <w:rtl/>
        </w:rPr>
        <w:t>البحار</w:t>
      </w:r>
      <w:r w:rsidR="008A74EB" w:rsidRPr="00C9040A">
        <w:rPr>
          <w:rtl/>
        </w:rPr>
        <w:t xml:space="preserve"> ، ج 75 ، ص 60 ، ح 26.</w:t>
      </w:r>
    </w:p>
    <w:p w:rsidR="008A74EB" w:rsidRPr="00C9040A" w:rsidRDefault="006C577F" w:rsidP="004A4E41">
      <w:pPr>
        <w:pStyle w:val="libFootnote0"/>
        <w:rPr>
          <w:rtl/>
          <w:lang w:bidi="fa-IR"/>
        </w:rPr>
      </w:pPr>
      <w:r>
        <w:rPr>
          <w:rtl/>
        </w:rPr>
        <w:t>(9).</w:t>
      </w:r>
      <w:r w:rsidR="008A74EB" w:rsidRPr="00C9040A">
        <w:rPr>
          <w:rtl/>
        </w:rPr>
        <w:t xml:space="preserve"> الظاهر البدوي من السند رجوع الضمير إلى إبراهيم بن هاشم ، والد عليّ المذكور في السند السابق ، لكنّه يأتي في </w:t>
      </w:r>
      <w:r w:rsidR="008A74EB" w:rsidRPr="00993B55">
        <w:rPr>
          <w:rStyle w:val="libFootnoteBoldChar"/>
          <w:rtl/>
        </w:rPr>
        <w:t>الكافي</w:t>
      </w:r>
      <w:r w:rsidR="008A74EB" w:rsidRPr="00C9040A">
        <w:rPr>
          <w:rtl/>
        </w:rPr>
        <w:t xml:space="preserve"> ، ح 3530 ، عدم ثبوت هذه الظاهرة في أسناد </w:t>
      </w:r>
      <w:r w:rsidR="008A74EB" w:rsidRPr="00993B55">
        <w:rPr>
          <w:rStyle w:val="libFootnoteBoldChar"/>
          <w:rtl/>
        </w:rPr>
        <w:t>الكافي</w:t>
      </w:r>
      <w:r w:rsidR="008A74EB" w:rsidRPr="00C9040A">
        <w:rPr>
          <w:rtl/>
        </w:rPr>
        <w:t>. فلا يبعد سقوط « عن أبيه » من سندنا هذا.</w:t>
      </w:r>
    </w:p>
    <w:p w:rsidR="008A74EB" w:rsidRPr="00C9040A" w:rsidRDefault="006C577F" w:rsidP="004A4E41">
      <w:pPr>
        <w:pStyle w:val="libFootnote0"/>
        <w:rPr>
          <w:rtl/>
          <w:lang w:bidi="fa-IR"/>
        </w:rPr>
      </w:pPr>
      <w:r>
        <w:rPr>
          <w:rtl/>
        </w:rPr>
        <w:t>(10).</w:t>
      </w:r>
      <w:r w:rsidR="008A74EB" w:rsidRPr="00C9040A">
        <w:rPr>
          <w:rtl/>
        </w:rPr>
        <w:t xml:space="preserve"> في الوافي : « عنه ، عن عمرو بن أبي المقدام رفعه إلى النبيّ </w:t>
      </w:r>
      <w:r w:rsidR="004A4E41" w:rsidRPr="00AC2E2F">
        <w:rPr>
          <w:rStyle w:val="libFootnoteAlaemChar"/>
          <w:rtl/>
        </w:rPr>
        <w:t>صلى‌الله‌عليه‌وآله</w:t>
      </w:r>
      <w:r w:rsidR="008A74EB" w:rsidRPr="00C9040A">
        <w:rPr>
          <w:rtl/>
        </w:rPr>
        <w:t xml:space="preserve"> » بدل « عنه</w:t>
      </w:r>
      <w:r w:rsidR="008A74EB">
        <w:rPr>
          <w:rtl/>
        </w:rPr>
        <w:t xml:space="preserve"> </w:t>
      </w:r>
      <w:r w:rsidR="0084262C">
        <w:rPr>
          <w:rtl/>
        </w:rPr>
        <w:t>-</w:t>
      </w:r>
      <w:r w:rsidR="008A74EB">
        <w:rPr>
          <w:rtl/>
        </w:rPr>
        <w:t xml:space="preserve"> </w:t>
      </w:r>
      <w:r w:rsidR="008A74EB" w:rsidRPr="00C9040A">
        <w:rPr>
          <w:rtl/>
        </w:rPr>
        <w:t>إلى</w:t>
      </w:r>
      <w:r w:rsidR="008A74EB">
        <w:rPr>
          <w:rtl/>
        </w:rPr>
        <w:t xml:space="preserve"> </w:t>
      </w:r>
      <w:r w:rsidR="0084262C">
        <w:rPr>
          <w:rtl/>
        </w:rPr>
        <w:t>-</w:t>
      </w:r>
      <w:r w:rsidR="008A74EB">
        <w:rPr>
          <w:rtl/>
        </w:rPr>
        <w:t xml:space="preserve"> </w:t>
      </w:r>
      <w:r w:rsidR="008A74EB" w:rsidRPr="00C9040A">
        <w:rPr>
          <w:rtl/>
        </w:rPr>
        <w:t xml:space="preserve">أبي عبدالله </w:t>
      </w:r>
      <w:r w:rsidR="00117575" w:rsidRPr="00117575">
        <w:rPr>
          <w:rStyle w:val="libFootnoteAlaemChar"/>
          <w:rtl/>
        </w:rPr>
        <w:t>عليه‌السلام</w:t>
      </w:r>
      <w:r w:rsidR="008A74EB" w:rsidRPr="00C9040A">
        <w:rPr>
          <w:rtl/>
        </w:rPr>
        <w:t xml:space="preserve">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w:t>
      </w:r>
      <w:r w:rsidR="008A74EB" w:rsidRPr="00993B55">
        <w:rPr>
          <w:rStyle w:val="libFootnoteBoldChar"/>
          <w:rtl/>
        </w:rPr>
        <w:t>الوافي</w:t>
      </w:r>
      <w:r w:rsidR="008A74EB" w:rsidRPr="00C9040A">
        <w:rPr>
          <w:rtl/>
        </w:rPr>
        <w:t xml:space="preserve"> ، ج 4 ، ص 463 ، ح 2354 ؛ </w:t>
      </w:r>
      <w:r w:rsidR="008A74EB" w:rsidRPr="00993B55">
        <w:rPr>
          <w:rStyle w:val="libFootnoteBoldChar"/>
          <w:rtl/>
        </w:rPr>
        <w:t>الوسائل</w:t>
      </w:r>
      <w:r w:rsidR="008A74EB" w:rsidRPr="00C9040A">
        <w:rPr>
          <w:rtl/>
        </w:rPr>
        <w:t xml:space="preserve"> ، ج 15 ، ص 271 ، ح 20487 ؛ </w:t>
      </w:r>
      <w:r w:rsidR="008A74EB" w:rsidRPr="00993B55">
        <w:rPr>
          <w:rStyle w:val="libFootnoteBoldChar"/>
          <w:rtl/>
        </w:rPr>
        <w:t>البحار</w:t>
      </w:r>
      <w:r w:rsidR="008A74EB" w:rsidRPr="00C9040A">
        <w:rPr>
          <w:rtl/>
        </w:rPr>
        <w:t xml:space="preserve"> ، ج 75 ، ص 60 ، ح 27.</w:t>
      </w:r>
    </w:p>
    <w:p w:rsidR="008A74EB" w:rsidRPr="00C9040A" w:rsidRDefault="006C577F" w:rsidP="004A4E41">
      <w:pPr>
        <w:pStyle w:val="libFootnote0"/>
        <w:rPr>
          <w:rtl/>
          <w:lang w:bidi="fa-IR"/>
        </w:rPr>
      </w:pPr>
      <w:r>
        <w:rPr>
          <w:rtl/>
        </w:rPr>
        <w:t>(12).</w:t>
      </w:r>
      <w:r w:rsidR="008A74EB" w:rsidRPr="00C9040A">
        <w:rPr>
          <w:rtl/>
        </w:rPr>
        <w:t xml:space="preserve"> في « ص » : « البيت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اللهُ عَلَيْهِمْ فِي الرِّزْقِ ، وَالرِّفْقُ فِي تَقْدِيرِ الْمَعِيشَةِ خَيْرٌ مِنَ السَّعَةِ فِي الْمَالِ ، وَالرِّفْقُ لَا يَعْجِزُ عَنْهُ شَيْ‌ءٌ ، وَالتَّبْذِيرُ لَايَبْقى مَعَهُ شَيْ‌ءٌ ؛ إِنَّ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رَفِيقٌ يُحِبُّ الرِّفْقَ </w:t>
      </w:r>
      <w:r w:rsidR="006C577F" w:rsidRPr="006C577F">
        <w:rPr>
          <w:rStyle w:val="libFootnotenumChar"/>
          <w:rtl/>
        </w:rPr>
        <w:t>(1)</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9243AF">
        <w:rPr>
          <w:rtl/>
        </w:rPr>
        <w:t>1856</w:t>
      </w:r>
      <w:r w:rsidRPr="00261CB0">
        <w:rPr>
          <w:rStyle w:val="libBold2Char"/>
          <w:rtl/>
        </w:rPr>
        <w:t xml:space="preserve"> / 10.</w:t>
      </w:r>
      <w:r w:rsidRPr="00C9040A">
        <w:rPr>
          <w:rtl/>
          <w:lang w:bidi="fa-IR"/>
        </w:rPr>
        <w:t xml:space="preserve"> عَلِيُّ بْنُ إِبْرَاهِيمَ رَفَعَهُ ، عَنْ صَالِحِ بْنِ عُقْبَةَ ، عَنْ هِشَامِ بْنِ أَحْمَرَ :</w:t>
      </w:r>
    </w:p>
    <w:p w:rsidR="008A74EB" w:rsidRPr="00C9040A" w:rsidRDefault="008A74EB" w:rsidP="008A74EB">
      <w:pPr>
        <w:pStyle w:val="libNormal"/>
        <w:rPr>
          <w:rtl/>
          <w:lang w:bidi="fa-IR"/>
        </w:rPr>
      </w:pPr>
      <w:r w:rsidRPr="00C9040A">
        <w:rPr>
          <w:rtl/>
          <w:lang w:bidi="fa-IR"/>
        </w:rPr>
        <w:t xml:space="preserve">عَنْ أَبِي الْحَسَنِ </w:t>
      </w:r>
      <w:r w:rsidRPr="0003660B">
        <w:rPr>
          <w:rStyle w:val="libAlaemChar"/>
          <w:rtl/>
        </w:rPr>
        <w:t>عليه‌السلام</w:t>
      </w:r>
      <w:r w:rsidRPr="00C9040A">
        <w:rPr>
          <w:rtl/>
          <w:lang w:bidi="fa-IR"/>
        </w:rPr>
        <w:t xml:space="preserve"> ، قَالَ : قَالَ لِي</w:t>
      </w:r>
      <w:r>
        <w:rPr>
          <w:rtl/>
          <w:lang w:bidi="fa-IR"/>
        </w:rPr>
        <w:t xml:space="preserve"> </w:t>
      </w:r>
      <w:r w:rsidR="0084262C">
        <w:rPr>
          <w:rtl/>
          <w:lang w:bidi="fa-IR"/>
        </w:rPr>
        <w:t>-</w:t>
      </w:r>
      <w:r>
        <w:rPr>
          <w:rtl/>
          <w:lang w:bidi="fa-IR"/>
        </w:rPr>
        <w:t xml:space="preserve"> </w:t>
      </w:r>
      <w:r w:rsidRPr="00C9040A">
        <w:rPr>
          <w:rtl/>
          <w:lang w:bidi="fa-IR"/>
        </w:rPr>
        <w:t>وَجَرى بَيْنِي وَبَيْنَ رَجُلٍ مِنَ الْقَوْمِ كَلَامٌ فَقَالَ لِيَ</w:t>
      </w:r>
      <w:r>
        <w:rPr>
          <w:rtl/>
          <w:lang w:bidi="fa-IR"/>
        </w:rPr>
        <w:t xml:space="preserve"> </w:t>
      </w:r>
      <w:r w:rsidR="0084262C">
        <w:rPr>
          <w:rtl/>
          <w:lang w:bidi="fa-IR"/>
        </w:rPr>
        <w:t>-</w:t>
      </w:r>
      <w:r>
        <w:rPr>
          <w:rtl/>
          <w:lang w:bidi="fa-IR"/>
        </w:rPr>
        <w:t xml:space="preserve"> </w:t>
      </w:r>
      <w:r w:rsidRPr="00C9040A">
        <w:rPr>
          <w:rtl/>
          <w:lang w:bidi="fa-IR"/>
        </w:rPr>
        <w:t xml:space="preserve">: « ارْفُقْ بِهِمْ ؛ فَإِنَّ </w:t>
      </w:r>
      <w:r w:rsidR="006C577F" w:rsidRPr="006C577F">
        <w:rPr>
          <w:rStyle w:val="libFootnotenumChar"/>
          <w:rtl/>
        </w:rPr>
        <w:t>(3)</w:t>
      </w:r>
      <w:r w:rsidRPr="00C9040A">
        <w:rPr>
          <w:rtl/>
          <w:lang w:bidi="fa-IR"/>
        </w:rPr>
        <w:t xml:space="preserve"> كُفْرَ أَحَدِهِمْ </w:t>
      </w:r>
      <w:r w:rsidR="006C577F" w:rsidRPr="006C577F">
        <w:rPr>
          <w:rStyle w:val="libFootnotenumChar"/>
          <w:rtl/>
        </w:rPr>
        <w:t>(4)</w:t>
      </w:r>
      <w:r w:rsidRPr="00C9040A">
        <w:rPr>
          <w:rtl/>
          <w:lang w:bidi="fa-IR"/>
        </w:rPr>
        <w:t xml:space="preserve"> فِي غَضَبِهِ ، وَلَا خَيْرَ فِيمَنْ كَانَ كُفْرُهُ فِي غَضَبِهِ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9243AF">
        <w:rPr>
          <w:rtl/>
        </w:rPr>
        <w:t>1857</w:t>
      </w:r>
      <w:r w:rsidRPr="00261CB0">
        <w:rPr>
          <w:rStyle w:val="libBold2Char"/>
          <w:rtl/>
        </w:rPr>
        <w:t xml:space="preserve"> / 11.</w:t>
      </w:r>
      <w:r w:rsidRPr="00C9040A">
        <w:rPr>
          <w:rtl/>
          <w:lang w:bidi="fa-IR"/>
        </w:rPr>
        <w:t xml:space="preserve"> عِدَّةٌ مِنْ أَصْحَابِنَا ، عَنْ سَهْلِ بْنِ زِيَادٍ ، عَنْ عَلِيِّ بْنِ حَسَّانَ ، عَنْ مُوسَى بْنِ بَكْرٍ :</w:t>
      </w:r>
    </w:p>
    <w:p w:rsidR="008A74EB" w:rsidRPr="00C9040A" w:rsidRDefault="008A74EB" w:rsidP="00C07FBF">
      <w:pPr>
        <w:pStyle w:val="libNormal"/>
        <w:rPr>
          <w:rtl/>
          <w:lang w:bidi="fa-IR"/>
        </w:rPr>
      </w:pPr>
      <w:r w:rsidRPr="00C9040A">
        <w:rPr>
          <w:rtl/>
          <w:lang w:bidi="fa-IR"/>
        </w:rPr>
        <w:t xml:space="preserve">عَنْ أَبِي الْحَسَنِ مُوسى </w:t>
      </w:r>
      <w:r w:rsidR="006C577F" w:rsidRPr="006C577F">
        <w:rPr>
          <w:rStyle w:val="libFootnotenumChar"/>
          <w:rtl/>
        </w:rPr>
        <w:t>(6)</w:t>
      </w:r>
      <w:r w:rsidRPr="005B567D">
        <w:rPr>
          <w:rStyle w:val="libFootnotenumChar"/>
          <w:rtl/>
        </w:rPr>
        <w:t xml:space="preserve"> </w:t>
      </w:r>
      <w:r w:rsidR="00C07FBF" w:rsidRPr="0003660B">
        <w:rPr>
          <w:rStyle w:val="libAlaemChar"/>
          <w:rtl/>
        </w:rPr>
        <w:t>عليه‌السلام</w:t>
      </w:r>
      <w:r w:rsidR="00C07FBF" w:rsidRPr="00C9040A">
        <w:rPr>
          <w:rtl/>
          <w:lang w:bidi="fa-IR"/>
        </w:rPr>
        <w:t xml:space="preserve"> </w:t>
      </w:r>
      <w:r w:rsidRPr="00C9040A">
        <w:rPr>
          <w:rtl/>
          <w:lang w:bidi="fa-IR"/>
        </w:rPr>
        <w:t>، قَالَ : « الرِّفْقُ نِصْفُ الْعَيْشِ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9243AF">
        <w:rPr>
          <w:rtl/>
        </w:rPr>
        <w:t>1858</w:t>
      </w:r>
      <w:r w:rsidRPr="00261CB0">
        <w:rPr>
          <w:rStyle w:val="libBold2Char"/>
          <w:rtl/>
        </w:rPr>
        <w:t xml:space="preserve"> / 12.</w:t>
      </w:r>
      <w:r w:rsidRPr="00C9040A">
        <w:rPr>
          <w:rtl/>
          <w:lang w:bidi="fa-IR"/>
        </w:rPr>
        <w:t xml:space="preserve"> عَلِيُّ بْنُ إِبْرَاهِيمَ ، عَنْ أَبِيهِ ، عَنِ النَّوْفَلِيِّ ، عَنِ السَّكُونِيِّ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Pr="0003660B">
        <w:rPr>
          <w:rStyle w:val="libAlaemChar"/>
          <w:rtl/>
        </w:rPr>
        <w:t>عليه‌السلام</w:t>
      </w:r>
      <w:r w:rsidRPr="00C9040A">
        <w:rPr>
          <w:rtl/>
          <w:lang w:bidi="fa-IR"/>
        </w:rPr>
        <w:t xml:space="preserve"> : إِنَّ اللهَ يُحِبُّ الرِّفْقَ وَيُعِينُ عَلَيْهِ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w:t>
      </w:r>
      <w:r w:rsidR="008A74EB" w:rsidRPr="00993B55">
        <w:rPr>
          <w:rStyle w:val="libFootnoteBoldChar"/>
          <w:rtl/>
        </w:rPr>
        <w:t>الوافي</w:t>
      </w:r>
      <w:r w:rsidR="008A74EB" w:rsidRPr="00C9040A">
        <w:rPr>
          <w:rtl/>
        </w:rPr>
        <w:t xml:space="preserve"> : « لعلّ المراد بهذه الأخبار أنّ الرفق يصير سبباً للتوسّع في الرزق والزيادة فيه ، وفي الرفق الخير والبركة ، وأنّ الرفق مع التقدير في المعيشة خيرٌ من الخرق في سعة من المال ، والرفيق يقدر على كلّ ما يريد ، بخلاف الأخرق. والسرّ فيه أنّ الناس إذا رأوا من أحد الرفق أحبّوه وأعانوه ، وألقى الله له في قلوبهم العطف والودّ ، فلم يدعوه يتعب أو يتعسّر عليه أمره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الوافي</w:t>
      </w:r>
      <w:r w:rsidR="008A74EB" w:rsidRPr="00C9040A">
        <w:rPr>
          <w:rtl/>
        </w:rPr>
        <w:t xml:space="preserve"> ، ج 4 ، ص 463 ، ح 2355 ؛ </w:t>
      </w:r>
      <w:r w:rsidR="008A74EB" w:rsidRPr="00993B55">
        <w:rPr>
          <w:rStyle w:val="libFootnoteBoldChar"/>
          <w:rtl/>
        </w:rPr>
        <w:t>الوسائل</w:t>
      </w:r>
      <w:r w:rsidR="008A74EB" w:rsidRPr="00C9040A">
        <w:rPr>
          <w:rtl/>
        </w:rPr>
        <w:t xml:space="preserve"> ، ج 15 ، ص 270 ، ح 20481 ؛ </w:t>
      </w:r>
      <w:r w:rsidR="008A74EB" w:rsidRPr="00993B55">
        <w:rPr>
          <w:rStyle w:val="libFootnoteBoldChar"/>
          <w:rtl/>
        </w:rPr>
        <w:t>البحار</w:t>
      </w:r>
      <w:r w:rsidR="008A74EB" w:rsidRPr="00C9040A">
        <w:rPr>
          <w:rtl/>
        </w:rPr>
        <w:t xml:space="preserve"> ، ج 75 ، ص 60 ، ح 28.</w:t>
      </w:r>
    </w:p>
    <w:p w:rsidR="008A74EB" w:rsidRPr="00C9040A" w:rsidRDefault="006C577F" w:rsidP="004A4E41">
      <w:pPr>
        <w:pStyle w:val="libFootnote0"/>
        <w:rPr>
          <w:rtl/>
          <w:lang w:bidi="fa-IR"/>
        </w:rPr>
      </w:pPr>
      <w:r>
        <w:rPr>
          <w:rtl/>
        </w:rPr>
        <w:t>(3).</w:t>
      </w:r>
      <w:r w:rsidR="008A74EB" w:rsidRPr="00C9040A">
        <w:rPr>
          <w:rtl/>
        </w:rPr>
        <w:t xml:space="preserve"> في « ج » : « إنّ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ب » وحاشية « بف » والوافي : « أحدكم »</w:t>
      </w:r>
      <w:r w:rsidR="008A74EB">
        <w:rPr>
          <w:rtl/>
        </w:rPr>
        <w:t>.</w:t>
      </w:r>
      <w:r w:rsidR="008A74EB" w:rsidRPr="00C9040A">
        <w:rPr>
          <w:rtl/>
        </w:rPr>
        <w:t xml:space="preserve"> وفي « ج » : « أحد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الوافي</w:t>
      </w:r>
      <w:r w:rsidR="008A74EB" w:rsidRPr="00C9040A">
        <w:rPr>
          <w:rtl/>
        </w:rPr>
        <w:t xml:space="preserve"> ، ج 4 ، ص 464 ، ح 2356 ؛ </w:t>
      </w:r>
      <w:r w:rsidR="008A74EB" w:rsidRPr="00993B55">
        <w:rPr>
          <w:rStyle w:val="libFootnoteBoldChar"/>
          <w:rtl/>
        </w:rPr>
        <w:t>الوسائل</w:t>
      </w:r>
      <w:r w:rsidR="008A74EB" w:rsidRPr="00C9040A">
        <w:rPr>
          <w:rtl/>
        </w:rPr>
        <w:t xml:space="preserve"> ، ج 15 ، ص 271 ، ح 20488 ؛ </w:t>
      </w:r>
      <w:r w:rsidR="008A74EB" w:rsidRPr="00993B55">
        <w:rPr>
          <w:rStyle w:val="libFootnoteBoldChar"/>
          <w:rtl/>
        </w:rPr>
        <w:t>البحار</w:t>
      </w:r>
      <w:r w:rsidR="008A74EB" w:rsidRPr="00C9040A">
        <w:rPr>
          <w:rtl/>
        </w:rPr>
        <w:t xml:space="preserve"> ، ج 75 ، ص 61 ، ح 29.</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 ب ، ج ، ز ، ص ، ف ، بف ، جر » </w:t>
      </w:r>
      <w:r w:rsidR="008A74EB">
        <w:rPr>
          <w:rtl/>
        </w:rPr>
        <w:t xml:space="preserve">: </w:t>
      </w:r>
      <w:r w:rsidR="0084262C">
        <w:rPr>
          <w:rtl/>
        </w:rPr>
        <w:t>-</w:t>
      </w:r>
      <w:r w:rsidR="008A74EB" w:rsidRPr="00C9040A">
        <w:rPr>
          <w:rtl/>
        </w:rPr>
        <w:t xml:space="preserve"> « موسى »</w:t>
      </w:r>
      <w:r w:rsidR="008A74EB">
        <w:rPr>
          <w:rtl/>
        </w:rPr>
        <w:t>.</w:t>
      </w:r>
    </w:p>
    <w:p w:rsidR="008A74EB" w:rsidRPr="00C9040A" w:rsidRDefault="006C577F" w:rsidP="00AC2E2F">
      <w:pPr>
        <w:pStyle w:val="libFootnote0"/>
        <w:rPr>
          <w:rtl/>
          <w:lang w:bidi="fa-IR"/>
        </w:rPr>
      </w:pPr>
      <w:r>
        <w:rPr>
          <w:rtl/>
        </w:rPr>
        <w:t>(7).</w:t>
      </w:r>
      <w:r w:rsidR="008A74EB" w:rsidRPr="00C9040A">
        <w:rPr>
          <w:rtl/>
        </w:rPr>
        <w:t xml:space="preserve"> </w:t>
      </w:r>
      <w:r w:rsidR="008A74EB" w:rsidRPr="00993B55">
        <w:rPr>
          <w:rStyle w:val="libFootnoteBoldChar"/>
          <w:rtl/>
        </w:rPr>
        <w:t>الكافي</w:t>
      </w:r>
      <w:r w:rsidR="008A74EB" w:rsidRPr="00C9040A">
        <w:rPr>
          <w:rtl/>
        </w:rPr>
        <w:t xml:space="preserve"> ، كتاب الزكاة ، باب فضل القصد ، ح 6219 ، مع زيادة في آخره. </w:t>
      </w:r>
      <w:r w:rsidR="008A74EB" w:rsidRPr="00993B55">
        <w:rPr>
          <w:rStyle w:val="libFootnoteBoldChar"/>
          <w:rtl/>
        </w:rPr>
        <w:t>وفيه</w:t>
      </w:r>
      <w:r w:rsidR="008A74EB" w:rsidRPr="00C9040A">
        <w:rPr>
          <w:rtl/>
        </w:rPr>
        <w:t xml:space="preserve"> ، كتاب الإيمان والكفر ، باب المداراة ، ضمن ح 1845 ، بسند آخر عن أبي عبد الله </w:t>
      </w:r>
      <w:r w:rsidR="00117575" w:rsidRPr="00117575">
        <w:rPr>
          <w:rStyle w:val="libFootnoteAlaemChar"/>
          <w:rtl/>
        </w:rPr>
        <w:t xml:space="preserve">عليه‌السلام </w:t>
      </w:r>
      <w:r w:rsidR="008A74EB" w:rsidRPr="00C9040A">
        <w:rPr>
          <w:rtl/>
        </w:rPr>
        <w:t xml:space="preserve"> عن رسول الله </w:t>
      </w:r>
      <w:r w:rsidR="004A4E41" w:rsidRPr="00AC2E2F">
        <w:rPr>
          <w:rStyle w:val="libFootnoteAlaemChar"/>
          <w:rtl/>
        </w:rPr>
        <w:t>صلى‌الله‌عليه‌وآله</w:t>
      </w:r>
      <w:r w:rsidR="008A74EB" w:rsidRPr="00C9040A">
        <w:rPr>
          <w:rtl/>
        </w:rPr>
        <w:t xml:space="preserve"> ؛ </w:t>
      </w:r>
      <w:r w:rsidR="008A74EB" w:rsidRPr="00993B55">
        <w:rPr>
          <w:rStyle w:val="libFootnoteBoldChar"/>
          <w:rtl/>
        </w:rPr>
        <w:t>الجعفريّات</w:t>
      </w:r>
      <w:r w:rsidR="008A74EB" w:rsidRPr="00C9040A">
        <w:rPr>
          <w:rtl/>
        </w:rPr>
        <w:t xml:space="preserve"> ، ص 149 ، بسند آخر عن أبي عبد الله ، عن آبائه </w:t>
      </w:r>
      <w:r w:rsidR="00117575" w:rsidRPr="00117575">
        <w:rPr>
          <w:rStyle w:val="libFootnoteAlaemChar"/>
          <w:rtl/>
        </w:rPr>
        <w:t>عليهم‌السلام</w:t>
      </w:r>
      <w:r w:rsidR="008A74EB" w:rsidRPr="00C9040A">
        <w:rPr>
          <w:rtl/>
        </w:rPr>
        <w:t xml:space="preserve"> عن رسول الله </w:t>
      </w:r>
      <w:r w:rsidR="00AC2E2F" w:rsidRPr="00AC2E2F">
        <w:rPr>
          <w:rStyle w:val="libFootnoteAlaemChar"/>
          <w:rtl/>
        </w:rPr>
        <w:t>صلى‌الله‌عليه‌وآله</w:t>
      </w:r>
      <w:r w:rsidR="00AC2E2F" w:rsidRPr="00C9040A">
        <w:rPr>
          <w:rtl/>
        </w:rPr>
        <w:t xml:space="preserve"> </w:t>
      </w:r>
      <w:r w:rsidR="008A74EB" w:rsidRPr="00C9040A">
        <w:rPr>
          <w:rtl/>
        </w:rPr>
        <w:t xml:space="preserve">، مع زيادة في أوّله وآخره. وفي </w:t>
      </w:r>
      <w:r w:rsidR="008A74EB" w:rsidRPr="00993B55">
        <w:rPr>
          <w:rStyle w:val="libFootnoteBoldChar"/>
          <w:rtl/>
        </w:rPr>
        <w:t>تحف العقول</w:t>
      </w:r>
      <w:r w:rsidR="008A74EB" w:rsidRPr="00C9040A">
        <w:rPr>
          <w:rtl/>
        </w:rPr>
        <w:t xml:space="preserve"> ، ص 42 ؛ وص 56 ، عن رسول الله </w:t>
      </w:r>
      <w:r w:rsidR="004A4E41" w:rsidRPr="00AC2E2F">
        <w:rPr>
          <w:rStyle w:val="libFootnoteAlaemChar"/>
          <w:rtl/>
        </w:rPr>
        <w:t>صلى‌الله‌عليه‌وآله</w:t>
      </w:r>
      <w:r w:rsidR="008A74EB" w:rsidRPr="00C9040A">
        <w:rPr>
          <w:rtl/>
        </w:rPr>
        <w:t xml:space="preserve"> ، مع زيادة في أوّله</w:t>
      </w:r>
      <w:r w:rsidR="00C07FBF">
        <w:rPr>
          <w:rFonts w:hint="cs"/>
          <w:rtl/>
        </w:rPr>
        <w:t>.</w:t>
      </w:r>
      <w:r w:rsidR="008A74EB" w:rsidRPr="00993B55">
        <w:rPr>
          <w:rStyle w:val="libFootnoteBoldChar"/>
          <w:rtl/>
        </w:rPr>
        <w:t>الوافي</w:t>
      </w:r>
      <w:r w:rsidR="008A74EB" w:rsidRPr="00C9040A">
        <w:rPr>
          <w:rtl/>
        </w:rPr>
        <w:t xml:space="preserve"> ، ج 4 ، ص 464 ، ح 2357 ؛ </w:t>
      </w:r>
      <w:r w:rsidR="008A74EB" w:rsidRPr="00993B55">
        <w:rPr>
          <w:rStyle w:val="libFootnoteBoldChar"/>
          <w:rtl/>
        </w:rPr>
        <w:t>الوسائل</w:t>
      </w:r>
      <w:r w:rsidR="008A74EB" w:rsidRPr="00C9040A">
        <w:rPr>
          <w:rtl/>
        </w:rPr>
        <w:t xml:space="preserve"> ، ج 15 ، ص 270 ، ح 20483 ؛ </w:t>
      </w:r>
      <w:r w:rsidR="008A74EB" w:rsidRPr="00993B55">
        <w:rPr>
          <w:rStyle w:val="libFootnoteBoldChar"/>
          <w:rtl/>
        </w:rPr>
        <w:t>البحار</w:t>
      </w:r>
      <w:r w:rsidR="008A74EB" w:rsidRPr="00C9040A">
        <w:rPr>
          <w:rtl/>
        </w:rPr>
        <w:t xml:space="preserve"> ، ج 75 ، ص 62 ، ح 30.</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فَإِذَا رَكِبْتُمُ الدَّوَابَّ </w:t>
      </w:r>
      <w:r w:rsidR="006C577F" w:rsidRPr="006C577F">
        <w:rPr>
          <w:rStyle w:val="libFootnotenumChar"/>
          <w:rtl/>
        </w:rPr>
        <w:t>(1)</w:t>
      </w:r>
      <w:r w:rsidRPr="00C9040A">
        <w:rPr>
          <w:rtl/>
          <w:lang w:bidi="fa-IR"/>
        </w:rPr>
        <w:t xml:space="preserve"> الْعُجْفَ </w:t>
      </w:r>
      <w:r w:rsidR="006C577F" w:rsidRPr="006C577F">
        <w:rPr>
          <w:rStyle w:val="libFootnotenumChar"/>
          <w:rtl/>
        </w:rPr>
        <w:t>(2)</w:t>
      </w:r>
      <w:r w:rsidRPr="00C9040A">
        <w:rPr>
          <w:rtl/>
          <w:lang w:bidi="fa-IR"/>
        </w:rPr>
        <w:t xml:space="preserve"> فَأَنْزِلُوهَا مَنَازِلَهَا ، فَإِنْ </w:t>
      </w:r>
      <w:r w:rsidR="006C577F" w:rsidRPr="006C577F">
        <w:rPr>
          <w:rStyle w:val="libFootnotenumChar"/>
          <w:rtl/>
        </w:rPr>
        <w:t>(3)</w:t>
      </w:r>
      <w:r w:rsidRPr="00C9040A">
        <w:rPr>
          <w:rtl/>
          <w:lang w:bidi="fa-IR"/>
        </w:rPr>
        <w:t xml:space="preserve"> كَانَتِ الْأَرْضُ مُجْدِبَةً </w:t>
      </w:r>
      <w:r w:rsidR="006C577F" w:rsidRPr="006C577F">
        <w:rPr>
          <w:rStyle w:val="libFootnotenumChar"/>
          <w:rtl/>
        </w:rPr>
        <w:t>(4)</w:t>
      </w:r>
      <w:r w:rsidRPr="00C9040A">
        <w:rPr>
          <w:rtl/>
          <w:lang w:bidi="fa-IR"/>
        </w:rPr>
        <w:t xml:space="preserve"> فَانْجُوا </w:t>
      </w:r>
      <w:r w:rsidR="006C577F" w:rsidRPr="006C577F">
        <w:rPr>
          <w:rStyle w:val="libFootnotenumChar"/>
          <w:rtl/>
        </w:rPr>
        <w:t>(5)</w:t>
      </w:r>
      <w:r w:rsidRPr="00C9040A">
        <w:rPr>
          <w:rtl/>
          <w:lang w:bidi="fa-IR"/>
        </w:rPr>
        <w:t xml:space="preserve"> عَنْهَا </w:t>
      </w:r>
      <w:r w:rsidR="006C577F" w:rsidRPr="006C577F">
        <w:rPr>
          <w:rStyle w:val="libFootnotenumChar"/>
          <w:rtl/>
        </w:rPr>
        <w:t>(6)</w:t>
      </w:r>
      <w:r w:rsidRPr="005B567D">
        <w:rPr>
          <w:rStyle w:val="libFootnotenumChar"/>
          <w:rtl/>
        </w:rPr>
        <w:t xml:space="preserve"> </w:t>
      </w:r>
      <w:r w:rsidRPr="00C9040A">
        <w:rPr>
          <w:rtl/>
          <w:lang w:bidi="fa-IR"/>
        </w:rPr>
        <w:t xml:space="preserve">، وَإِنْ كَانَتْ مُخْصِبَةً </w:t>
      </w:r>
      <w:r w:rsidR="006C577F" w:rsidRPr="006C577F">
        <w:rPr>
          <w:rStyle w:val="libFootnotenumChar"/>
          <w:rtl/>
        </w:rPr>
        <w:t>(7)</w:t>
      </w:r>
      <w:r w:rsidRPr="00C9040A">
        <w:rPr>
          <w:rtl/>
          <w:lang w:bidi="fa-IR"/>
        </w:rPr>
        <w:t xml:space="preserve"> فَأَنْزِلُوهَا مَنَازِلَهَا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Normal"/>
        <w:rPr>
          <w:rtl/>
          <w:lang w:bidi="fa-IR"/>
        </w:rPr>
      </w:pPr>
      <w:r w:rsidRPr="009243AF">
        <w:rPr>
          <w:rtl/>
        </w:rPr>
        <w:t>1859</w:t>
      </w:r>
      <w:r w:rsidRPr="00261CB0">
        <w:rPr>
          <w:rStyle w:val="libBold2Char"/>
          <w:rtl/>
        </w:rPr>
        <w:t xml:space="preserve"> / 13.</w:t>
      </w:r>
      <w:r w:rsidRPr="00C9040A">
        <w:rPr>
          <w:rtl/>
          <w:lang w:bidi="fa-IR"/>
        </w:rPr>
        <w:t xml:space="preserve"> عِدَّةٌ مِنْ أَصْحَابِنَا ، عَنْ أَحْمَدَ بْنِ أَبِي عَبْدِ اللهِ ، عَنْ عُثْمَانَ بْنِ عِيسى ، عَنْ عَمْرِو بْنِ شِمْرٍ ، عَنْ جَابِرٍ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لَوْ كَانَ الرِّفْقُ خَلْقاً يُرى ، مَا كَانَ مِمَّا </w:t>
      </w:r>
      <w:r w:rsidR="006C577F" w:rsidRPr="006C577F">
        <w:rPr>
          <w:rStyle w:val="libFootnotenumChar"/>
          <w:rtl/>
        </w:rPr>
        <w:t>(9)</w:t>
      </w:r>
      <w:r w:rsidRPr="00C9040A">
        <w:rPr>
          <w:rtl/>
          <w:lang w:bidi="fa-IR"/>
        </w:rPr>
        <w:t xml:space="preserve"> خَلَقَ اللهُ شَيْ‌ءٌ أَحْسَنَ مِنْهُ »</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Normal"/>
        <w:rPr>
          <w:rtl/>
          <w:lang w:bidi="fa-IR"/>
        </w:rPr>
      </w:pPr>
      <w:r w:rsidRPr="009243AF">
        <w:rPr>
          <w:rtl/>
        </w:rPr>
        <w:t>1860</w:t>
      </w:r>
      <w:r w:rsidRPr="00261CB0">
        <w:rPr>
          <w:rStyle w:val="libBold2Char"/>
          <w:rtl/>
        </w:rPr>
        <w:t xml:space="preserve"> / 14.</w:t>
      </w:r>
      <w:r w:rsidRPr="00C9040A">
        <w:rPr>
          <w:rtl/>
          <w:lang w:bidi="fa-IR"/>
        </w:rPr>
        <w:t xml:space="preserve"> أَبُو عَلِيٍّ الْأَشْعَرِيُّ ، عَنْ مُحَمَّدِ بْنِ عَبْدِ الْجَبَّارِ ، عَنِ ابْنِ فَضَّالٍ ، عَنْ ثَعْلَبَةَ‌</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البحار : « الدابّة »</w:t>
      </w:r>
      <w:r w:rsidR="008A74EB">
        <w:rPr>
          <w:rtl/>
        </w:rPr>
        <w:t>.</w:t>
      </w:r>
      <w:r w:rsidR="008A74EB" w:rsidRPr="00C9040A">
        <w:rPr>
          <w:rtl/>
        </w:rPr>
        <w:t xml:space="preserve"> والتفريع بقوله : فإذا ركبتم ، للتنبيه على أنّ الرفق مطلوب حتّى مع الحيوانات.</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الفقيه : « العجاف »</w:t>
      </w:r>
      <w:r w:rsidR="008A74EB">
        <w:rPr>
          <w:rtl/>
        </w:rPr>
        <w:t>.</w:t>
      </w:r>
      <w:r w:rsidR="008A74EB" w:rsidRPr="00C9040A">
        <w:rPr>
          <w:rtl/>
        </w:rPr>
        <w:t xml:space="preserve"> </w:t>
      </w:r>
      <w:r w:rsidR="008A74EB">
        <w:rPr>
          <w:rtl/>
        </w:rPr>
        <w:t>و «</w:t>
      </w:r>
      <w:r w:rsidR="008A74EB" w:rsidRPr="00C9040A">
        <w:rPr>
          <w:rtl/>
        </w:rPr>
        <w:t xml:space="preserve"> العَجَف » : الهزال. والأعجف : المهزول ، وقد عَجِفَ. والا</w:t>
      </w:r>
      <w:r w:rsidR="006D6D98">
        <w:rPr>
          <w:rFonts w:hint="cs"/>
          <w:rtl/>
        </w:rPr>
        <w:t>ُ</w:t>
      </w:r>
      <w:r w:rsidR="008A74EB" w:rsidRPr="00C9040A">
        <w:rPr>
          <w:rtl/>
        </w:rPr>
        <w:t xml:space="preserve">نثى : عجفاء. والجمع : عجاف ، على غير قياس ، وعُجْف. </w:t>
      </w:r>
      <w:r w:rsidR="008A74EB" w:rsidRPr="00993B55">
        <w:rPr>
          <w:rStyle w:val="libFootnoteBoldChar"/>
          <w:rtl/>
        </w:rPr>
        <w:t>الصحاح</w:t>
      </w:r>
      <w:r w:rsidR="008A74EB" w:rsidRPr="00C9040A">
        <w:rPr>
          <w:rtl/>
        </w:rPr>
        <w:t xml:space="preserve"> ، ج 4 ، ص 1399 ؛ </w:t>
      </w:r>
      <w:r w:rsidR="008A74EB" w:rsidRPr="00993B55">
        <w:rPr>
          <w:rStyle w:val="libFootnoteBoldChar"/>
          <w:rtl/>
        </w:rPr>
        <w:t>المعجم الوسيط</w:t>
      </w:r>
      <w:r w:rsidR="008A74EB" w:rsidRPr="00C9040A">
        <w:rPr>
          <w:rtl/>
        </w:rPr>
        <w:t xml:space="preserve"> ، ج 2 ، ص 585 ( عجف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ض » : « وإن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 الأرض ال</w:t>
      </w:r>
      <w:r w:rsidR="006D6D98">
        <w:rPr>
          <w:rFonts w:hint="cs"/>
          <w:rtl/>
        </w:rPr>
        <w:t>ـ</w:t>
      </w:r>
      <w:r w:rsidR="008A74EB" w:rsidRPr="00C9040A">
        <w:rPr>
          <w:rtl/>
        </w:rPr>
        <w:t xml:space="preserve">مُجْدِبة » : هي التي تمسك الماء فلا تشربه سريعاً. وقيل : هي الأرض التي ليس بها قليل ولا كثير ولامرتع ولا كلأ ، وقيل : هي الأرض التي لا نبات بها ، مأخوذ من الجَدْب ، وهو القحط. راجع : </w:t>
      </w:r>
      <w:r w:rsidR="008A74EB" w:rsidRPr="00993B55">
        <w:rPr>
          <w:rStyle w:val="libFootnoteBoldChar"/>
          <w:rtl/>
        </w:rPr>
        <w:t>النهاية</w:t>
      </w:r>
      <w:r w:rsidR="008A74EB" w:rsidRPr="00C9040A">
        <w:rPr>
          <w:rtl/>
        </w:rPr>
        <w:t xml:space="preserve"> ، ج 1 ، ص 242 ؛ </w:t>
      </w:r>
      <w:r w:rsidR="008A74EB" w:rsidRPr="00993B55">
        <w:rPr>
          <w:rStyle w:val="libFootnoteBoldChar"/>
          <w:rtl/>
        </w:rPr>
        <w:t>لسان العرب</w:t>
      </w:r>
      <w:r w:rsidR="008A74EB" w:rsidRPr="00C9040A">
        <w:rPr>
          <w:rtl/>
        </w:rPr>
        <w:t xml:space="preserve"> ، ج 1 ، ص 257 ( جدب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النَّجاءُ : السرعة في السير ، والخلاص عن الشي‌ء ، يقال : نجا ينجو نَجاءً ، إذا أسرع ، ونجا من الأمر ، إذا خلص ، وأنجاه غيره. والمعنى : أسرعوا في السير ؛ لتخلصوا منها. راجع : </w:t>
      </w:r>
      <w:r w:rsidR="008A74EB" w:rsidRPr="00993B55">
        <w:rPr>
          <w:rStyle w:val="libFootnoteBoldChar"/>
          <w:rtl/>
        </w:rPr>
        <w:t>النهاية</w:t>
      </w:r>
      <w:r w:rsidR="008A74EB" w:rsidRPr="00C9040A">
        <w:rPr>
          <w:rtl/>
        </w:rPr>
        <w:t xml:space="preserve"> ، ج 5 ، ص 25 ؛ </w:t>
      </w:r>
      <w:r w:rsidR="008A74EB" w:rsidRPr="00993B55">
        <w:rPr>
          <w:rStyle w:val="libFootnoteBoldChar"/>
          <w:rtl/>
        </w:rPr>
        <w:t>لسان العرب</w:t>
      </w:r>
      <w:r w:rsidR="008A74EB" w:rsidRPr="00C9040A">
        <w:rPr>
          <w:rtl/>
        </w:rPr>
        <w:t xml:space="preserve"> ، ج 15 ، ص 306 ( نجا ) ؛ </w:t>
      </w:r>
      <w:r w:rsidR="008A74EB" w:rsidRPr="00993B55">
        <w:rPr>
          <w:rStyle w:val="libFootnoteBoldChar"/>
          <w:rtl/>
        </w:rPr>
        <w:t>شرح المازندراني</w:t>
      </w:r>
      <w:r w:rsidR="008A74EB" w:rsidRPr="00C9040A">
        <w:rPr>
          <w:rtl/>
        </w:rPr>
        <w:t xml:space="preserve"> ، ج 8 ، ص 329.</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المحاسن : « فألحوا عليها » بدل « فانجوا عنها »</w:t>
      </w:r>
      <w:r w:rsidR="008A74EB">
        <w:rPr>
          <w:rtl/>
        </w:rPr>
        <w:t>.</w:t>
      </w:r>
      <w:r w:rsidR="008A74EB" w:rsidRPr="00C9040A">
        <w:rPr>
          <w:rtl/>
        </w:rPr>
        <w:t xml:space="preserve"> وفي البحار والفقيه : « عليها » بدل « عنها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 المخصبة » : نقيض المجدبة ، وقد مضى معناها ، من الخِصْب ، وهو نقيض الجَدْب ، وهوكثرة العُشْب ورفاغة العيش. وللمزيد راجع : </w:t>
      </w:r>
      <w:r w:rsidR="008A74EB" w:rsidRPr="00993B55">
        <w:rPr>
          <w:rStyle w:val="libFootnoteBoldChar"/>
          <w:rtl/>
        </w:rPr>
        <w:t>النهاية</w:t>
      </w:r>
      <w:r w:rsidR="008A74EB" w:rsidRPr="00C9040A">
        <w:rPr>
          <w:rtl/>
        </w:rPr>
        <w:t xml:space="preserve"> ، ج 2 ، ص 36 ؛ </w:t>
      </w:r>
      <w:r w:rsidR="008A74EB" w:rsidRPr="00993B55">
        <w:rPr>
          <w:rStyle w:val="libFootnoteBoldChar"/>
          <w:rtl/>
        </w:rPr>
        <w:t>لسان العرب</w:t>
      </w:r>
      <w:r w:rsidR="008A74EB" w:rsidRPr="00C9040A">
        <w:rPr>
          <w:rtl/>
        </w:rPr>
        <w:t xml:space="preserve"> ، ج 1 ، ص 355 ( خصب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w:t>
      </w:r>
      <w:r w:rsidR="008A74EB" w:rsidRPr="00993B55">
        <w:rPr>
          <w:rStyle w:val="libFootnoteBoldChar"/>
          <w:rtl/>
        </w:rPr>
        <w:t>المحاسن</w:t>
      </w:r>
      <w:r w:rsidR="008A74EB" w:rsidRPr="00C9040A">
        <w:rPr>
          <w:rtl/>
        </w:rPr>
        <w:t xml:space="preserve"> ، ص 361 ، كتاب السفر ، ح 87 ، عن النوفلي. </w:t>
      </w:r>
      <w:r w:rsidR="008A74EB" w:rsidRPr="00993B55">
        <w:rPr>
          <w:rStyle w:val="libFootnoteBoldChar"/>
          <w:rtl/>
        </w:rPr>
        <w:t>الفقيه</w:t>
      </w:r>
      <w:r w:rsidR="008A74EB" w:rsidRPr="00C9040A">
        <w:rPr>
          <w:rtl/>
        </w:rPr>
        <w:t xml:space="preserve"> ، ج 2 ، ص 289 ، ح 2480 ، بسنده عن السكوني. </w:t>
      </w:r>
      <w:r w:rsidR="008A74EB" w:rsidRPr="00993B55">
        <w:rPr>
          <w:rStyle w:val="libFootnoteBoldChar"/>
          <w:rtl/>
        </w:rPr>
        <w:t>الجعفريّات</w:t>
      </w:r>
      <w:r w:rsidR="008A74EB" w:rsidRPr="00C9040A">
        <w:rPr>
          <w:rtl/>
        </w:rPr>
        <w:t xml:space="preserve"> ، ص 159 ، مع زيادة في آخره ؛ </w:t>
      </w:r>
      <w:r w:rsidR="008A74EB" w:rsidRPr="00993B55">
        <w:rPr>
          <w:rStyle w:val="libFootnoteBoldChar"/>
          <w:rtl/>
        </w:rPr>
        <w:t>وفيه</w:t>
      </w:r>
      <w:r w:rsidR="008A74EB" w:rsidRPr="00C9040A">
        <w:rPr>
          <w:rtl/>
        </w:rPr>
        <w:t xml:space="preserve"> ، ص 150 ، وتمام الرواية فيه : « إنّ الله يحبّ الرفق ويعين عليه ، وذكر الحديث بطوله » ، وفيهما بسند آخر عن أبي عبد الله ، عن آبائه </w:t>
      </w:r>
      <w:r w:rsidR="00117575" w:rsidRPr="00117575">
        <w:rPr>
          <w:rStyle w:val="libFootnoteAlaemChar"/>
          <w:rtl/>
        </w:rPr>
        <w:t>عليهم‌السلام</w:t>
      </w:r>
      <w:r w:rsidR="008A74EB" w:rsidRPr="00C9040A">
        <w:rPr>
          <w:rtl/>
        </w:rPr>
        <w:t xml:space="preserve"> عن رسول الله </w:t>
      </w:r>
      <w:r w:rsidR="004A4E41" w:rsidRPr="00AC2E2F">
        <w:rPr>
          <w:rStyle w:val="libFootnoteAlaemChar"/>
          <w:rtl/>
        </w:rPr>
        <w:t>صلى‌الله‌عليه‌وآله</w:t>
      </w:r>
      <w:r w:rsidR="006D6D98">
        <w:rPr>
          <w:rFonts w:hint="cs"/>
          <w:rtl/>
        </w:rPr>
        <w:t>.</w:t>
      </w:r>
      <w:r w:rsidR="008A74EB" w:rsidRPr="00993B55">
        <w:rPr>
          <w:rStyle w:val="libFootnoteBoldChar"/>
          <w:rtl/>
        </w:rPr>
        <w:t>الوافي</w:t>
      </w:r>
      <w:r w:rsidR="008A74EB" w:rsidRPr="00C9040A">
        <w:rPr>
          <w:rtl/>
        </w:rPr>
        <w:t xml:space="preserve"> ، ج 4 ، ص 464 ، ح 2358 ؛ </w:t>
      </w:r>
      <w:r w:rsidR="008A74EB" w:rsidRPr="00993B55">
        <w:rPr>
          <w:rStyle w:val="libFootnoteBoldChar"/>
          <w:rtl/>
        </w:rPr>
        <w:t>الوسائل</w:t>
      </w:r>
      <w:r w:rsidR="008A74EB" w:rsidRPr="00C9040A">
        <w:rPr>
          <w:rtl/>
        </w:rPr>
        <w:t xml:space="preserve"> ، ج 11 ، ص 451 ، ذيل ح 15234 ؛ </w:t>
      </w:r>
      <w:r w:rsidR="008A74EB" w:rsidRPr="00993B55">
        <w:rPr>
          <w:rStyle w:val="libFootnoteBoldChar"/>
          <w:rtl/>
        </w:rPr>
        <w:t>البحار</w:t>
      </w:r>
      <w:r w:rsidR="008A74EB" w:rsidRPr="00C9040A">
        <w:rPr>
          <w:rtl/>
        </w:rPr>
        <w:t xml:space="preserve"> ، ج 75 ، ص 62 ، ح 31.</w:t>
      </w:r>
    </w:p>
    <w:p w:rsidR="008A74EB" w:rsidRPr="00C9040A" w:rsidRDefault="006C577F" w:rsidP="004A4E41">
      <w:pPr>
        <w:pStyle w:val="libFootnote0"/>
        <w:rPr>
          <w:rtl/>
          <w:lang w:bidi="fa-IR"/>
        </w:rPr>
      </w:pPr>
      <w:r>
        <w:rPr>
          <w:rtl/>
        </w:rPr>
        <w:t>(9).</w:t>
      </w:r>
      <w:r w:rsidR="008A74EB" w:rsidRPr="00C9040A">
        <w:rPr>
          <w:rtl/>
        </w:rPr>
        <w:t xml:space="preserve"> في الوافي : « من</w:t>
      </w:r>
      <w:r w:rsidR="008A74EB">
        <w:rPr>
          <w:rtl/>
        </w:rPr>
        <w:t xml:space="preserve"> </w:t>
      </w:r>
      <w:r w:rsidR="0084262C">
        <w:rPr>
          <w:rtl/>
        </w:rPr>
        <w:t>-</w:t>
      </w:r>
      <w:r w:rsidR="008A74EB">
        <w:rPr>
          <w:rtl/>
        </w:rPr>
        <w:t xml:space="preserve"> </w:t>
      </w:r>
      <w:r w:rsidR="008A74EB" w:rsidRPr="00C9040A">
        <w:rPr>
          <w:rtl/>
        </w:rPr>
        <w:t>خ ل » بدل « ممّا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w:t>
      </w:r>
      <w:r w:rsidR="008A74EB" w:rsidRPr="00993B55">
        <w:rPr>
          <w:rStyle w:val="libFootnoteBoldChar"/>
          <w:rtl/>
        </w:rPr>
        <w:t>الوافي</w:t>
      </w:r>
      <w:r w:rsidR="008A74EB" w:rsidRPr="00C9040A">
        <w:rPr>
          <w:rtl/>
        </w:rPr>
        <w:t xml:space="preserve"> ، ج 4 ، ص 465 ، ح 2359 ؛ </w:t>
      </w:r>
      <w:r w:rsidR="008A74EB" w:rsidRPr="00993B55">
        <w:rPr>
          <w:rStyle w:val="libFootnoteBoldChar"/>
          <w:rtl/>
        </w:rPr>
        <w:t>الوسائل</w:t>
      </w:r>
      <w:r w:rsidR="008A74EB" w:rsidRPr="00C9040A">
        <w:rPr>
          <w:rtl/>
        </w:rPr>
        <w:t xml:space="preserve"> ، ج 15 ، ص 270 ، ح 20482 ؛ </w:t>
      </w:r>
      <w:r w:rsidR="008A74EB" w:rsidRPr="00993B55">
        <w:rPr>
          <w:rStyle w:val="libFootnoteBoldChar"/>
          <w:rtl/>
        </w:rPr>
        <w:t>البحار</w:t>
      </w:r>
      <w:r w:rsidR="008A74EB" w:rsidRPr="00C9040A">
        <w:rPr>
          <w:rtl/>
        </w:rPr>
        <w:t xml:space="preserve"> ، ج 75 ، ص 63 ، ح 32.</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بْنِ مَيْمُونٍ </w:t>
      </w:r>
      <w:r w:rsidR="006C577F" w:rsidRPr="006C577F">
        <w:rPr>
          <w:rStyle w:val="libFootnotenumChar"/>
          <w:rtl/>
        </w:rPr>
        <w:t>(1)</w:t>
      </w:r>
      <w:r w:rsidRPr="00C9040A">
        <w:rPr>
          <w:rtl/>
          <w:lang w:bidi="fa-IR"/>
        </w:rPr>
        <w:t xml:space="preserve"> ، عَمَّنْ حَدَّثَهُ :</w:t>
      </w:r>
    </w:p>
    <w:p w:rsidR="008A74EB" w:rsidRPr="00C9040A" w:rsidRDefault="008A74EB" w:rsidP="008A74EB">
      <w:pPr>
        <w:pStyle w:val="libNormal"/>
        <w:rPr>
          <w:rtl/>
          <w:lang w:bidi="fa-IR"/>
        </w:rPr>
      </w:pPr>
      <w:r w:rsidRPr="00C9040A">
        <w:rPr>
          <w:rtl/>
          <w:lang w:bidi="fa-IR"/>
        </w:rPr>
        <w:t xml:space="preserve">عَنْ أَحَدِهِمَا </w:t>
      </w:r>
      <w:r w:rsidRPr="0003660B">
        <w:rPr>
          <w:rStyle w:val="libAlaemChar"/>
          <w:rtl/>
        </w:rPr>
        <w:t>عليهما‌السلام</w:t>
      </w:r>
      <w:r w:rsidRPr="00C9040A">
        <w:rPr>
          <w:rtl/>
          <w:lang w:bidi="fa-IR"/>
        </w:rPr>
        <w:t xml:space="preserve"> ، قَالَ : « إِنَّ اللهَ رَفِيقٌ يُحِبُّ الرِّفْقَ ، وَمِنْ رِفْقِهِ بِكُمْ تَسْلِيلُهُ </w:t>
      </w:r>
      <w:r w:rsidR="006C577F" w:rsidRPr="006C577F">
        <w:rPr>
          <w:rStyle w:val="libFootnotenumChar"/>
          <w:rtl/>
        </w:rPr>
        <w:t>(2)</w:t>
      </w:r>
      <w:r w:rsidRPr="00C9040A">
        <w:rPr>
          <w:rtl/>
          <w:lang w:bidi="fa-IR"/>
        </w:rPr>
        <w:t xml:space="preserve"> أَضْغَانَكُمْ ، وَمُضَادَّةَ </w:t>
      </w:r>
      <w:r w:rsidR="006C577F" w:rsidRPr="006C577F">
        <w:rPr>
          <w:rStyle w:val="libFootnotenumChar"/>
          <w:rtl/>
        </w:rPr>
        <w:t>(3)</w:t>
      </w:r>
      <w:r w:rsidRPr="00C9040A">
        <w:rPr>
          <w:rtl/>
          <w:lang w:bidi="fa-IR"/>
        </w:rPr>
        <w:t xml:space="preserve"> قُلُوبِكُمْ ، وَإِنَّهُ </w:t>
      </w:r>
      <w:r w:rsidR="006C577F" w:rsidRPr="006C577F">
        <w:rPr>
          <w:rStyle w:val="libFootnotenumChar"/>
          <w:rtl/>
        </w:rPr>
        <w:t>(4)</w:t>
      </w:r>
      <w:r w:rsidRPr="00C9040A">
        <w:rPr>
          <w:rtl/>
          <w:lang w:bidi="fa-IR"/>
        </w:rPr>
        <w:t xml:space="preserve"> لَيُرِيدُ تَحْوِيلَ الْعَبْدِ عَنِ الْأَمْرِ ، فَيَتْرُكُهُ عَلَيْهِ حَتّى يُحَوِّلَهُ بِالنَّاسِخِ كَرَاهِيَةَ </w:t>
      </w:r>
      <w:r w:rsidR="006C577F" w:rsidRPr="006C577F">
        <w:rPr>
          <w:rStyle w:val="libFootnotenumChar"/>
          <w:rtl/>
        </w:rPr>
        <w:t>(5)</w:t>
      </w:r>
      <w:r w:rsidRPr="00C9040A">
        <w:rPr>
          <w:rtl/>
          <w:lang w:bidi="fa-IR"/>
        </w:rPr>
        <w:t xml:space="preserve"> تَثَاقُلِ الْحَقِّ عَلَيْهِ »</w:t>
      </w:r>
      <w:r>
        <w:rPr>
          <w:rtl/>
          <w:lang w:bidi="fa-IR"/>
        </w:rPr>
        <w:t>.</w:t>
      </w:r>
      <w:r w:rsidRPr="00C9040A">
        <w:rPr>
          <w:rtl/>
          <w:lang w:bidi="fa-IR"/>
        </w:rPr>
        <w:t xml:space="preserve"> </w:t>
      </w:r>
      <w:r w:rsidR="006C577F" w:rsidRPr="006C577F">
        <w:rPr>
          <w:rStyle w:val="libFootnotenumChar"/>
          <w:rtl/>
        </w:rPr>
        <w:t>(6)</w:t>
      </w:r>
    </w:p>
    <w:p w:rsidR="008A74EB" w:rsidRPr="00C9040A" w:rsidRDefault="008A74EB" w:rsidP="008A74EB">
      <w:pPr>
        <w:pStyle w:val="libNormal"/>
        <w:rPr>
          <w:rtl/>
          <w:lang w:bidi="fa-IR"/>
        </w:rPr>
      </w:pPr>
      <w:r w:rsidRPr="009243AF">
        <w:rPr>
          <w:rtl/>
        </w:rPr>
        <w:t>1861</w:t>
      </w:r>
      <w:r w:rsidRPr="00261CB0">
        <w:rPr>
          <w:rStyle w:val="libBold2Char"/>
          <w:rtl/>
        </w:rPr>
        <w:t xml:space="preserve"> / 15.</w:t>
      </w:r>
      <w:r w:rsidRPr="00C9040A">
        <w:rPr>
          <w:rtl/>
          <w:lang w:bidi="fa-IR"/>
        </w:rPr>
        <w:t xml:space="preserve"> عَلِيُّ بْنُ إِبْرَاهِيمَ ، عَنْ أَبِيهِ ، عَنِ النَّوْفَلِيِّ ، عَنِ السَّكُونِيِّ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006D6D98">
        <w:rPr>
          <w:rtl/>
          <w:lang w:bidi="fa-IR"/>
        </w:rPr>
        <w:t xml:space="preserve"> : مَا اصْطَحَبَ اثْنَانِ إِل</w:t>
      </w:r>
      <w:r w:rsidR="006D6D98">
        <w:rPr>
          <w:rFonts w:hint="cs"/>
          <w:rtl/>
          <w:lang w:bidi="fa-IR"/>
        </w:rPr>
        <w:t>َّ</w:t>
      </w:r>
      <w:r w:rsidR="006D6D98">
        <w:rPr>
          <w:rtl/>
          <w:lang w:bidi="fa-IR"/>
        </w:rPr>
        <w:t>ا</w:t>
      </w:r>
      <w:r w:rsidRPr="00C9040A">
        <w:rPr>
          <w:rtl/>
          <w:lang w:bidi="fa-IR"/>
        </w:rPr>
        <w:t xml:space="preserve"> كَانَ أَعْظَمُهُمَا أَجْراً وَأَحَبُّهُمَا إِلَى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أَرْفَقَهُمَا بِصَاحِبِهِ </w:t>
      </w:r>
      <w:r w:rsidR="006C577F" w:rsidRPr="006C577F">
        <w:rPr>
          <w:rStyle w:val="libFootnotenumChar"/>
          <w:rtl/>
        </w:rPr>
        <w:t>(7)</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Normal"/>
        <w:rPr>
          <w:rtl/>
          <w:lang w:bidi="fa-IR"/>
        </w:rPr>
      </w:pPr>
      <w:r w:rsidRPr="009243AF">
        <w:rPr>
          <w:rtl/>
        </w:rPr>
        <w:t>1862</w:t>
      </w:r>
      <w:r w:rsidRPr="00261CB0">
        <w:rPr>
          <w:rStyle w:val="libBold2Char"/>
          <w:rtl/>
        </w:rPr>
        <w:t xml:space="preserve"> / 16.</w:t>
      </w:r>
      <w:r w:rsidRPr="00C9040A">
        <w:rPr>
          <w:rtl/>
          <w:lang w:bidi="fa-IR"/>
        </w:rPr>
        <w:t xml:space="preserve"> أَبُو عَلِيٍّ الْأَشْعَرِيُّ ، عَنْ مُحَمَّدِ بْنِ حَسَّانَ ، عَنِ الْحَسَنِ بْنِ الْحُسَيْنِ ، عَنِ الْفُضَيْلِ </w:t>
      </w:r>
      <w:r w:rsidR="006C577F" w:rsidRPr="006C577F">
        <w:rPr>
          <w:rStyle w:val="libFootnotenumChar"/>
          <w:rtl/>
        </w:rPr>
        <w:t>(9)</w:t>
      </w:r>
      <w:r w:rsidRPr="00C9040A">
        <w:rPr>
          <w:rtl/>
          <w:lang w:bidi="fa-IR"/>
        </w:rPr>
        <w:t xml:space="preserve"> بْنِ عُثْمَانَ ، قَالَ :</w:t>
      </w:r>
    </w:p>
    <w:p w:rsidR="008A74EB"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 « مَنْ كَانَ رَفِيقاً فِي أَمْرِهِ ، نَالَ مَا يُرِيدُ مِنَ النَّاسِ »</w:t>
      </w:r>
      <w:r>
        <w:rPr>
          <w:rtl/>
          <w:lang w:bidi="fa-IR"/>
        </w:rPr>
        <w:t>.</w:t>
      </w:r>
      <w:r w:rsidRPr="00C9040A">
        <w:rPr>
          <w:rtl/>
          <w:lang w:bidi="fa-IR"/>
        </w:rPr>
        <w:t xml:space="preserve"> </w:t>
      </w:r>
      <w:r w:rsidR="006C577F" w:rsidRPr="006C577F">
        <w:rPr>
          <w:rStyle w:val="libFootnotenumChar"/>
          <w:rtl/>
        </w:rPr>
        <w:t>(10)</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ج ، ز ، ص ، ف ، بس » </w:t>
      </w:r>
      <w:r w:rsidR="008A74EB">
        <w:rPr>
          <w:rtl/>
        </w:rPr>
        <w:t xml:space="preserve">: </w:t>
      </w:r>
      <w:r w:rsidR="0084262C">
        <w:rPr>
          <w:rtl/>
        </w:rPr>
        <w:t>-</w:t>
      </w:r>
      <w:r w:rsidR="008A74EB" w:rsidRPr="00C9040A">
        <w:rPr>
          <w:rtl/>
        </w:rPr>
        <w:t xml:space="preserve"> « بن ميمون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هكذا في « ج ، د ، ز ، ص ، ض ، ف ، بر ، بس ، بف »</w:t>
      </w:r>
      <w:r w:rsidR="008A74EB">
        <w:rPr>
          <w:rtl/>
        </w:rPr>
        <w:t>.</w:t>
      </w:r>
      <w:r w:rsidR="008A74EB" w:rsidRPr="00C9040A">
        <w:rPr>
          <w:rtl/>
        </w:rPr>
        <w:t xml:space="preserve"> وفي « ب » والمطبوع : « تسليل »</w:t>
      </w:r>
      <w:r w:rsidR="008A74EB">
        <w:rPr>
          <w:rtl/>
        </w:rPr>
        <w:t>.</w:t>
      </w:r>
      <w:r w:rsidR="008A74EB" w:rsidRPr="00C9040A">
        <w:rPr>
          <w:rtl/>
        </w:rPr>
        <w:t xml:space="preserve"> ولم يُر مجي‌ء التفعيل من‌السلّ.</w:t>
      </w:r>
    </w:p>
    <w:p w:rsidR="008A74EB" w:rsidRPr="00C9040A" w:rsidRDefault="006C577F" w:rsidP="004A4E41">
      <w:pPr>
        <w:pStyle w:val="libFootnote0"/>
        <w:rPr>
          <w:rtl/>
          <w:lang w:bidi="fa-IR"/>
        </w:rPr>
      </w:pPr>
      <w:r>
        <w:rPr>
          <w:rtl/>
        </w:rPr>
        <w:t>(3).</w:t>
      </w:r>
      <w:r w:rsidR="008A74EB" w:rsidRPr="00C9040A">
        <w:rPr>
          <w:rtl/>
        </w:rPr>
        <w:t xml:space="preserve"> في « ب ، ض » والوافي : « مضادّته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 كأنّ الأنسب هنا عطف مضادّة على أضغانكم</w:t>
      </w:r>
      <w:r w:rsidR="008A74EB">
        <w:rPr>
          <w:rtl/>
        </w:rPr>
        <w:t xml:space="preserve"> ..</w:t>
      </w:r>
      <w:r w:rsidR="008A74EB" w:rsidRPr="00C9040A">
        <w:rPr>
          <w:rtl/>
        </w:rPr>
        <w:t>. ويحتمل أيضاً العطف على التسليل بالإضافة إلى المفعول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ج » : « فإنّه »</w:t>
      </w:r>
      <w:r w:rsidR="008A74EB">
        <w:rPr>
          <w:rtl/>
        </w:rPr>
        <w:t>.</w:t>
      </w:r>
      <w:r w:rsidR="008A74EB" w:rsidRPr="00C9040A">
        <w:rPr>
          <w:rtl/>
        </w:rPr>
        <w:t xml:space="preserve"> وفي « ص » : « فإنّه ليس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بر » : « كراهة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الوافي</w:t>
      </w:r>
      <w:r w:rsidR="008A74EB" w:rsidRPr="00C9040A">
        <w:rPr>
          <w:rtl/>
        </w:rPr>
        <w:t xml:space="preserve"> ، ج 4 ، ص 462 ، ح 2349 ؛ </w:t>
      </w:r>
      <w:r w:rsidR="008A74EB" w:rsidRPr="00993B55">
        <w:rPr>
          <w:rStyle w:val="libFootnoteBoldChar"/>
          <w:rtl/>
        </w:rPr>
        <w:t>البحار</w:t>
      </w:r>
      <w:r w:rsidR="008A74EB" w:rsidRPr="00C9040A">
        <w:rPr>
          <w:rtl/>
        </w:rPr>
        <w:t xml:space="preserve"> ، ج 75 ، ص 63 ، ح 33.</w:t>
      </w:r>
    </w:p>
    <w:p w:rsidR="008A74EB" w:rsidRPr="00C9040A" w:rsidRDefault="006C577F" w:rsidP="004A4E41">
      <w:pPr>
        <w:pStyle w:val="libFootnote0"/>
        <w:rPr>
          <w:rtl/>
          <w:lang w:bidi="fa-IR"/>
        </w:rPr>
      </w:pPr>
      <w:r>
        <w:rPr>
          <w:rtl/>
        </w:rPr>
        <w:t>(7).</w:t>
      </w:r>
      <w:r w:rsidR="008A74EB" w:rsidRPr="00C9040A">
        <w:rPr>
          <w:rtl/>
        </w:rPr>
        <w:t xml:space="preserve"> في الفقيه : « لصاحبه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w:t>
      </w:r>
      <w:r w:rsidR="008A74EB" w:rsidRPr="00993B55">
        <w:rPr>
          <w:rStyle w:val="libFootnoteBoldChar"/>
          <w:rtl/>
        </w:rPr>
        <w:t>الكافي</w:t>
      </w:r>
      <w:r w:rsidR="008A74EB" w:rsidRPr="00C9040A">
        <w:rPr>
          <w:rtl/>
        </w:rPr>
        <w:t xml:space="preserve"> ، كتاب العشرة ، باب حسن الصحابة وحقّ الصاحب في السفر ، ح 3776. وفي </w:t>
      </w:r>
      <w:r w:rsidR="008A74EB" w:rsidRPr="00993B55">
        <w:rPr>
          <w:rStyle w:val="libFootnoteBoldChar"/>
          <w:rtl/>
        </w:rPr>
        <w:t>المحاسن</w:t>
      </w:r>
      <w:r w:rsidR="008A74EB" w:rsidRPr="00C9040A">
        <w:rPr>
          <w:rtl/>
        </w:rPr>
        <w:t xml:space="preserve"> ، ص 357 ، كتاب السفر ، ح 68 ، عن النوفلي ، عن السكوني ، عن أبي عبد الله ، عن آبائه </w:t>
      </w:r>
      <w:r w:rsidR="00117575" w:rsidRPr="00117575">
        <w:rPr>
          <w:rStyle w:val="libFootnoteAlaemChar"/>
          <w:rtl/>
        </w:rPr>
        <w:t>عليهم‌السلام</w:t>
      </w:r>
      <w:r w:rsidR="008A74EB" w:rsidRPr="00C9040A">
        <w:rPr>
          <w:rtl/>
        </w:rPr>
        <w:t xml:space="preserve"> عن رسول الله </w:t>
      </w:r>
      <w:r w:rsidR="004A4E41" w:rsidRPr="004A4E41">
        <w:rPr>
          <w:rStyle w:val="libAlaemChar"/>
          <w:rtl/>
        </w:rPr>
        <w:t>صلى‌الله‌عليه‌وآله</w:t>
      </w:r>
      <w:r w:rsidR="008A74EB" w:rsidRPr="00C9040A">
        <w:rPr>
          <w:rtl/>
        </w:rPr>
        <w:t xml:space="preserve">. </w:t>
      </w:r>
      <w:r w:rsidR="008A74EB" w:rsidRPr="00993B55">
        <w:rPr>
          <w:rStyle w:val="libFootnoteBoldChar"/>
          <w:rtl/>
        </w:rPr>
        <w:t>الفقيه</w:t>
      </w:r>
      <w:r w:rsidR="008A74EB" w:rsidRPr="00C9040A">
        <w:rPr>
          <w:rtl/>
        </w:rPr>
        <w:t xml:space="preserve"> ، ج 2 ، ص 278 ، ح 2437 ، مرسلاً عن رسول الله </w:t>
      </w:r>
      <w:r w:rsidR="004A4E41" w:rsidRPr="00AC2E2F">
        <w:rPr>
          <w:rStyle w:val="libFootnoteAlaemChar"/>
          <w:rtl/>
        </w:rPr>
        <w:t>صلى‌الله‌عليه‌وآله</w:t>
      </w:r>
      <w:r w:rsidR="00176A24">
        <w:rPr>
          <w:rFonts w:hint="cs"/>
          <w:rtl/>
        </w:rPr>
        <w:t>.</w:t>
      </w:r>
      <w:r w:rsidR="008A74EB" w:rsidRPr="00993B55">
        <w:rPr>
          <w:rStyle w:val="libFootnoteBoldChar"/>
          <w:rtl/>
        </w:rPr>
        <w:t>الوافي</w:t>
      </w:r>
      <w:r w:rsidR="008A74EB" w:rsidRPr="00C9040A">
        <w:rPr>
          <w:rtl/>
        </w:rPr>
        <w:t xml:space="preserve"> ، ج 4 ، ص 465 ، ح 2360 ؛ </w:t>
      </w:r>
      <w:r w:rsidR="008A74EB" w:rsidRPr="00993B55">
        <w:rPr>
          <w:rStyle w:val="libFootnoteBoldChar"/>
          <w:rtl/>
        </w:rPr>
        <w:t>الوسائل</w:t>
      </w:r>
      <w:r w:rsidR="008A74EB" w:rsidRPr="00C9040A">
        <w:rPr>
          <w:rtl/>
        </w:rPr>
        <w:t xml:space="preserve"> ، ج 12 ، ص 133 ، ح 15860 ؛ وج 15 ، ص 271 ، ح 20490 ؛ </w:t>
      </w:r>
      <w:r w:rsidR="008A74EB" w:rsidRPr="00993B55">
        <w:rPr>
          <w:rStyle w:val="libFootnoteBoldChar"/>
          <w:rtl/>
        </w:rPr>
        <w:t>البحار</w:t>
      </w:r>
      <w:r w:rsidR="008A74EB" w:rsidRPr="00C9040A">
        <w:rPr>
          <w:rtl/>
        </w:rPr>
        <w:t xml:space="preserve"> ، ج 75 ، ص 64 ، ح 34.</w:t>
      </w:r>
    </w:p>
    <w:p w:rsidR="008A74EB" w:rsidRPr="00C9040A" w:rsidRDefault="006C577F" w:rsidP="004A4E41">
      <w:pPr>
        <w:pStyle w:val="libFootnote0"/>
        <w:rPr>
          <w:rtl/>
          <w:lang w:bidi="fa-IR"/>
        </w:rPr>
      </w:pPr>
      <w:r>
        <w:rPr>
          <w:rtl/>
        </w:rPr>
        <w:t>(9).</w:t>
      </w:r>
      <w:r w:rsidR="008A74EB" w:rsidRPr="00C9040A">
        <w:rPr>
          <w:rtl/>
        </w:rPr>
        <w:t xml:space="preserve"> هكذا في النسخ والطبعة الحجريّة من الكتاب. وفي المطبوع : « فضيل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w:t>
      </w:r>
      <w:r w:rsidR="008A74EB" w:rsidRPr="00993B55">
        <w:rPr>
          <w:rStyle w:val="libFootnoteBoldChar"/>
          <w:rtl/>
        </w:rPr>
        <w:t>الوافي</w:t>
      </w:r>
      <w:r w:rsidR="008A74EB" w:rsidRPr="00C9040A">
        <w:rPr>
          <w:rtl/>
        </w:rPr>
        <w:t xml:space="preserve"> ، ج 4 ، ص 465 ، ح 2361 ؛ </w:t>
      </w:r>
      <w:r w:rsidR="008A74EB" w:rsidRPr="00993B55">
        <w:rPr>
          <w:rStyle w:val="libFootnoteBoldChar"/>
          <w:rtl/>
        </w:rPr>
        <w:t>الوسائل</w:t>
      </w:r>
      <w:r w:rsidR="008A74EB" w:rsidRPr="00C9040A">
        <w:rPr>
          <w:rtl/>
        </w:rPr>
        <w:t xml:space="preserve"> ، ج 15 ، ص 272 ، ح 20492 ؛ </w:t>
      </w:r>
      <w:r w:rsidR="008A74EB" w:rsidRPr="00993B55">
        <w:rPr>
          <w:rStyle w:val="libFootnoteBoldChar"/>
          <w:rtl/>
        </w:rPr>
        <w:t>البحار</w:t>
      </w:r>
      <w:r w:rsidR="008A74EB" w:rsidRPr="00C9040A">
        <w:rPr>
          <w:rtl/>
        </w:rPr>
        <w:t xml:space="preserve"> ، ج 75 ، ص 64 ، ح 35.</w:t>
      </w:r>
    </w:p>
    <w:p w:rsidR="004B7F34" w:rsidRDefault="004B7F34" w:rsidP="004B7F34">
      <w:pPr>
        <w:pStyle w:val="libNormal"/>
        <w:rPr>
          <w:rtl/>
          <w:lang w:bidi="fa-IR"/>
        </w:rPr>
      </w:pPr>
      <w:r>
        <w:rPr>
          <w:rtl/>
          <w:lang w:bidi="fa-IR"/>
        </w:rPr>
        <w:br w:type="page"/>
      </w:r>
    </w:p>
    <w:p w:rsidR="008A74EB" w:rsidRPr="00C9040A" w:rsidRDefault="008A74EB" w:rsidP="008A74EB">
      <w:pPr>
        <w:pStyle w:val="Heading2Center"/>
        <w:rPr>
          <w:rtl/>
          <w:lang w:bidi="fa-IR"/>
        </w:rPr>
      </w:pPr>
      <w:bookmarkStart w:id="187" w:name="_Toc343795650"/>
      <w:bookmarkStart w:id="188" w:name="_Toc459810774"/>
      <w:bookmarkStart w:id="189" w:name="_Toc35348680"/>
      <w:r w:rsidRPr="00C9040A">
        <w:rPr>
          <w:rtl/>
          <w:lang w:bidi="fa-IR"/>
        </w:rPr>
        <w:t>59</w:t>
      </w:r>
      <w:r>
        <w:rPr>
          <w:rtl/>
          <w:lang w:bidi="fa-IR"/>
        </w:rPr>
        <w:t xml:space="preserve"> </w:t>
      </w:r>
      <w:r w:rsidR="0084262C">
        <w:rPr>
          <w:rtl/>
          <w:lang w:bidi="fa-IR"/>
        </w:rPr>
        <w:t>-</w:t>
      </w:r>
      <w:r>
        <w:rPr>
          <w:rtl/>
          <w:lang w:bidi="fa-IR"/>
        </w:rPr>
        <w:t xml:space="preserve"> </w:t>
      </w:r>
      <w:r w:rsidRPr="00C9040A">
        <w:rPr>
          <w:rtl/>
          <w:lang w:bidi="fa-IR"/>
        </w:rPr>
        <w:t>بَابُ التَّوَاضُعِ‌</w:t>
      </w:r>
      <w:bookmarkEnd w:id="187"/>
      <w:bookmarkEnd w:id="188"/>
      <w:bookmarkEnd w:id="189"/>
    </w:p>
    <w:p w:rsidR="008A74EB" w:rsidRPr="00C9040A" w:rsidRDefault="008A74EB" w:rsidP="008A74EB">
      <w:pPr>
        <w:pStyle w:val="libNormal"/>
        <w:rPr>
          <w:rtl/>
          <w:lang w:bidi="fa-IR"/>
        </w:rPr>
      </w:pPr>
      <w:r w:rsidRPr="009243AF">
        <w:rPr>
          <w:rtl/>
        </w:rPr>
        <w:t>1863</w:t>
      </w:r>
      <w:r w:rsidRPr="00261CB0">
        <w:rPr>
          <w:rStyle w:val="libBold2Char"/>
          <w:rtl/>
        </w:rPr>
        <w:t xml:space="preserve"> / 1.</w:t>
      </w:r>
      <w:r w:rsidRPr="00C9040A">
        <w:rPr>
          <w:rtl/>
          <w:lang w:bidi="fa-IR"/>
        </w:rPr>
        <w:t xml:space="preserve"> عَلِيُّ بْنُ إِبْرَاهِيمَ ، عَنْ أَبِيهِ </w:t>
      </w:r>
      <w:r w:rsidR="006C577F" w:rsidRPr="006C577F">
        <w:rPr>
          <w:rStyle w:val="libFootnotenumChar"/>
          <w:rtl/>
        </w:rPr>
        <w:t>(1)</w:t>
      </w:r>
      <w:r w:rsidRPr="00C9040A">
        <w:rPr>
          <w:rtl/>
          <w:lang w:bidi="fa-IR"/>
        </w:rPr>
        <w:t xml:space="preserve"> ، عَنْ هَارُونَ بْنِ مُسْلِمٍ ، عَنْ مَسْعَدَةَ بْنِ صَدَقَةَ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أَرْسَلَ النَّجَاشِيُّ إِلى جَعْفَرِ بْنِ أَبِي طَالِبٍ وَأَصْحَابِهِ ، فَدَخَلُوا عَلَيْهِ ، وَهُوَ فِي بَيْتٍ لَهُ ، جَالِسٌ عَلَى التُّرَابِ ، وَعَلَيْهِ خُلْقَانُ الثِّيَابِ </w:t>
      </w:r>
      <w:r w:rsidR="006C577F" w:rsidRPr="006C577F">
        <w:rPr>
          <w:rStyle w:val="libFootnotenumChar"/>
          <w:rtl/>
        </w:rPr>
        <w:t>(2)</w:t>
      </w:r>
      <w:r w:rsidRPr="00C9040A">
        <w:rPr>
          <w:rtl/>
          <w:lang w:bidi="fa-IR"/>
        </w:rPr>
        <w:t xml:space="preserve"> »</w:t>
      </w:r>
      <w:r>
        <w:rPr>
          <w:rtl/>
          <w:lang w:bidi="fa-IR"/>
        </w:rPr>
        <w:t>.</w:t>
      </w:r>
      <w:r w:rsidRPr="00C9040A">
        <w:rPr>
          <w:rtl/>
          <w:lang w:bidi="fa-IR"/>
        </w:rPr>
        <w:t xml:space="preserve"> قَالَ :</w:t>
      </w:r>
      <w:r>
        <w:rPr>
          <w:rFonts w:hint="cs"/>
          <w:rtl/>
          <w:lang w:bidi="fa-IR"/>
        </w:rPr>
        <w:t xml:space="preserve"> </w:t>
      </w:r>
      <w:r w:rsidRPr="00C9040A">
        <w:rPr>
          <w:rtl/>
          <w:lang w:bidi="fa-IR"/>
        </w:rPr>
        <w:t xml:space="preserve">« فَقَالَ جَعْفَرٌ </w:t>
      </w:r>
      <w:r w:rsidR="006C577F" w:rsidRPr="006C577F">
        <w:rPr>
          <w:rStyle w:val="libFootnotenumChar"/>
          <w:rtl/>
        </w:rPr>
        <w:t>(3)</w:t>
      </w:r>
      <w:r w:rsidRPr="00C9040A">
        <w:rPr>
          <w:rtl/>
          <w:lang w:bidi="fa-IR"/>
        </w:rPr>
        <w:t xml:space="preserve"> : فَأَشْفَقْنَا مِنْهُ حِينَ رَأَيْنَاهُ عَلى </w:t>
      </w:r>
      <w:r w:rsidR="006C577F" w:rsidRPr="006C577F">
        <w:rPr>
          <w:rStyle w:val="libFootnotenumChar"/>
          <w:rtl/>
        </w:rPr>
        <w:t>(4)</w:t>
      </w:r>
      <w:r w:rsidRPr="00C9040A">
        <w:rPr>
          <w:rtl/>
          <w:lang w:bidi="fa-IR"/>
        </w:rPr>
        <w:t xml:space="preserve"> تِلْكَ الْحَالِ ، فَلَمَّا </w:t>
      </w:r>
      <w:r w:rsidR="006C577F" w:rsidRPr="006C577F">
        <w:rPr>
          <w:rStyle w:val="libFootnotenumChar"/>
          <w:rtl/>
        </w:rPr>
        <w:t>(5)</w:t>
      </w:r>
      <w:r w:rsidRPr="00C9040A">
        <w:rPr>
          <w:rtl/>
          <w:lang w:bidi="fa-IR"/>
        </w:rPr>
        <w:t xml:space="preserve"> رَأى مَا بِنَا وَتَغَيُّرَ وُجُوهِنَا ، قَالَ : الْحَمْدُ لِلّهِ الَّذِي نَصَرَ مُحَمَّداً وَأَقَرَّ عَيْنَهُ </w:t>
      </w:r>
      <w:r w:rsidR="006C577F" w:rsidRPr="006C577F">
        <w:rPr>
          <w:rStyle w:val="libFootnotenumChar"/>
          <w:rtl/>
        </w:rPr>
        <w:t>(6)</w:t>
      </w:r>
      <w:r w:rsidRPr="005B567D">
        <w:rPr>
          <w:rStyle w:val="libFootnotenumChar"/>
          <w:rtl/>
        </w:rPr>
        <w:t xml:space="preserve"> </w:t>
      </w:r>
      <w:r>
        <w:rPr>
          <w:rtl/>
          <w:lang w:bidi="fa-IR"/>
        </w:rPr>
        <w:t>، أَ</w:t>
      </w:r>
      <w:r w:rsidRPr="00C9040A">
        <w:rPr>
          <w:rtl/>
          <w:lang w:bidi="fa-IR"/>
        </w:rPr>
        <w:t>لَا</w:t>
      </w:r>
      <w:r>
        <w:rPr>
          <w:rFonts w:hint="cs"/>
          <w:rtl/>
          <w:lang w:bidi="fa-IR"/>
        </w:rPr>
        <w:t xml:space="preserve"> </w:t>
      </w:r>
      <w:r w:rsidRPr="00C9040A">
        <w:rPr>
          <w:rtl/>
          <w:lang w:bidi="fa-IR"/>
        </w:rPr>
        <w:t>أُبَشِّرُكُمْ</w:t>
      </w:r>
      <w:r>
        <w:rPr>
          <w:rtl/>
          <w:lang w:bidi="fa-IR"/>
        </w:rPr>
        <w:t>؟</w:t>
      </w:r>
      <w:r w:rsidRPr="00C9040A">
        <w:rPr>
          <w:rtl/>
          <w:lang w:bidi="fa-IR"/>
        </w:rPr>
        <w:t xml:space="preserve"> فَقُلْتُ : بَلى أَيُّهَا الْمَلِكُ ، فَقَالَ : إِنَّهُ جَاءَنِي </w:t>
      </w:r>
      <w:r w:rsidR="006C577F" w:rsidRPr="006C577F">
        <w:rPr>
          <w:rStyle w:val="libFootnotenumChar"/>
          <w:rtl/>
        </w:rPr>
        <w:t>(7)</w:t>
      </w:r>
      <w:r w:rsidRPr="00C9040A">
        <w:rPr>
          <w:rtl/>
          <w:lang w:bidi="fa-IR"/>
        </w:rPr>
        <w:t xml:space="preserve"> السَّاعَةَ مِنْ نَحْوِ </w:t>
      </w:r>
      <w:r w:rsidR="006C577F" w:rsidRPr="006C577F">
        <w:rPr>
          <w:rStyle w:val="libFootnotenumChar"/>
          <w:rtl/>
        </w:rPr>
        <w:t>(8)</w:t>
      </w:r>
      <w:r w:rsidRPr="00C9040A">
        <w:rPr>
          <w:rtl/>
          <w:lang w:bidi="fa-IR"/>
        </w:rPr>
        <w:t xml:space="preserve"> أَرْضِكُمْ عَيْنٌ مِنْ عُيُونِي </w:t>
      </w:r>
      <w:r w:rsidR="006C577F" w:rsidRPr="006C577F">
        <w:rPr>
          <w:rStyle w:val="libFootnotenumChar"/>
          <w:rtl/>
        </w:rPr>
        <w:t>(9)</w:t>
      </w:r>
      <w:r w:rsidRPr="00C9040A">
        <w:rPr>
          <w:rtl/>
          <w:lang w:bidi="fa-IR"/>
        </w:rPr>
        <w:t xml:space="preserve"> هُنَاكَ ، فَأَخْبَرَنِي أَنَّ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قَدْ </w:t>
      </w:r>
      <w:r w:rsidR="006C577F" w:rsidRPr="006C577F">
        <w:rPr>
          <w:rStyle w:val="libFootnotenumChar"/>
          <w:rtl/>
        </w:rPr>
        <w:t>(10)</w:t>
      </w:r>
      <w:r w:rsidRPr="00C9040A">
        <w:rPr>
          <w:rtl/>
          <w:lang w:bidi="fa-IR"/>
        </w:rPr>
        <w:t xml:space="preserve"> نَصَرَ نَبِيَّهُ مُحَمَّداً </w:t>
      </w:r>
      <w:r w:rsidR="004A4E41" w:rsidRPr="004A4E41">
        <w:rPr>
          <w:rStyle w:val="libAlaemChar"/>
          <w:rtl/>
        </w:rPr>
        <w:t>صلى‌الله‌عليه‌وآله</w:t>
      </w:r>
      <w:r w:rsidRPr="00C9040A">
        <w:rPr>
          <w:rtl/>
          <w:lang w:bidi="fa-IR"/>
        </w:rPr>
        <w:t xml:space="preserve"> ، وَأَهْلَكَ عَدُوَّهُ ، وَأُسِرَ فُلَانٌ وَفُلَانٌ وَفُلَانٌ </w:t>
      </w:r>
      <w:r w:rsidR="006C577F" w:rsidRPr="006C577F">
        <w:rPr>
          <w:rStyle w:val="libFootnotenumChar"/>
          <w:rtl/>
        </w:rPr>
        <w:t>(11)</w:t>
      </w:r>
      <w:r w:rsidRPr="00C9040A">
        <w:rPr>
          <w:rtl/>
          <w:lang w:bidi="fa-IR"/>
        </w:rPr>
        <w:t xml:space="preserve"> ، الْتَقَوْا بِوَادٍ يُقَالُ لَهُ : بَدْرٌ ، كَثِيرِ الْأَرَاكِ </w:t>
      </w:r>
      <w:r w:rsidR="006C577F" w:rsidRPr="006C577F">
        <w:rPr>
          <w:rStyle w:val="libFootnotenumChar"/>
          <w:rtl/>
        </w:rPr>
        <w:t>(12)</w:t>
      </w:r>
      <w:r w:rsidRPr="00C9040A">
        <w:rPr>
          <w:rtl/>
          <w:lang w:bidi="fa-IR"/>
        </w:rPr>
        <w:t xml:space="preserve"> ، لَكَأَنِّي </w:t>
      </w:r>
      <w:r w:rsidRPr="005B567D">
        <w:rPr>
          <w:rStyle w:val="libFootnotenumChar"/>
          <w:rtl/>
        </w:rPr>
        <w:t>(13)</w:t>
      </w:r>
      <w:r w:rsidRPr="00C9040A">
        <w:rPr>
          <w:rtl/>
          <w:lang w:bidi="fa-IR"/>
        </w:rPr>
        <w:t xml:space="preserve"> أَنْظُرُ إِلَيْهِ حَيْثُ كُنْتُ أَرْعى لِسَيِّدِي‌</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الظاهر زيادة « عن أبيه » في السند ، كما تقدّم في </w:t>
      </w:r>
      <w:r w:rsidR="008A74EB" w:rsidRPr="00993B55">
        <w:rPr>
          <w:rStyle w:val="libFootnoteBoldChar"/>
          <w:rtl/>
        </w:rPr>
        <w:t>الكافي</w:t>
      </w:r>
      <w:r w:rsidR="008A74EB" w:rsidRPr="00C9040A">
        <w:rPr>
          <w:rtl/>
        </w:rPr>
        <w:t xml:space="preserve"> ، ذيل ح 18.</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w:t>
      </w:r>
      <w:r w:rsidR="008A74EB" w:rsidRPr="00993B55">
        <w:rPr>
          <w:rStyle w:val="libFootnoteBoldChar"/>
          <w:rtl/>
        </w:rPr>
        <w:t>شرح المازندراني</w:t>
      </w:r>
      <w:r w:rsidR="008A74EB" w:rsidRPr="00C9040A">
        <w:rPr>
          <w:rtl/>
        </w:rPr>
        <w:t xml:space="preserve"> : « الخلقان الثوب »</w:t>
      </w:r>
      <w:r w:rsidR="008A74EB">
        <w:rPr>
          <w:rtl/>
        </w:rPr>
        <w:t>.</w:t>
      </w:r>
      <w:r w:rsidR="008A74EB" w:rsidRPr="00C9040A">
        <w:rPr>
          <w:rtl/>
        </w:rPr>
        <w:t xml:space="preserve"> </w:t>
      </w:r>
      <w:r w:rsidR="008A74EB">
        <w:rPr>
          <w:rtl/>
        </w:rPr>
        <w:t>و «</w:t>
      </w:r>
      <w:r w:rsidR="008A74EB" w:rsidRPr="00C9040A">
        <w:rPr>
          <w:rtl/>
        </w:rPr>
        <w:t xml:space="preserve"> الخُلْقان » : جمع الخَلَق ، وهو البالي. </w:t>
      </w:r>
      <w:r w:rsidR="008A74EB" w:rsidRPr="00993B55">
        <w:rPr>
          <w:rStyle w:val="libFootnoteBoldChar"/>
          <w:rtl/>
        </w:rPr>
        <w:t>الصحاح</w:t>
      </w:r>
      <w:r w:rsidR="008A74EB" w:rsidRPr="00C9040A">
        <w:rPr>
          <w:rtl/>
        </w:rPr>
        <w:t xml:space="preserve"> ، ج 4 ، ص 1472 ( خلق )</w:t>
      </w:r>
      <w:r w:rsidR="008A74EB">
        <w:rPr>
          <w:rtl/>
        </w:rPr>
        <w:t>.</w:t>
      </w:r>
    </w:p>
    <w:p w:rsidR="008A74EB" w:rsidRPr="004A4E41" w:rsidRDefault="006C577F" w:rsidP="004A4E41">
      <w:pPr>
        <w:pStyle w:val="libFootnote0"/>
        <w:rPr>
          <w:rStyle w:val="libFootnote0Char"/>
          <w:rtl/>
        </w:rPr>
      </w:pPr>
      <w:r>
        <w:rPr>
          <w:rtl/>
        </w:rPr>
        <w:t>(3).</w:t>
      </w:r>
      <w:r w:rsidR="008A74EB" w:rsidRPr="00C9040A">
        <w:rPr>
          <w:rtl/>
        </w:rPr>
        <w:t xml:space="preserve"> في « ز » : « أبو جعفر »</w:t>
      </w:r>
      <w:r w:rsidR="008A74EB">
        <w:rPr>
          <w:rtl/>
        </w:rPr>
        <w:t>.</w:t>
      </w:r>
      <w:r w:rsidR="008A74EB" w:rsidRPr="00C9040A">
        <w:rPr>
          <w:rtl/>
        </w:rPr>
        <w:t xml:space="preserve"> وفي « ف » : + « بن محمّد »</w:t>
      </w:r>
      <w:r w:rsidR="008A74EB">
        <w:rPr>
          <w:rtl/>
        </w:rPr>
        <w:t>.</w:t>
      </w:r>
    </w:p>
    <w:tbl>
      <w:tblPr>
        <w:tblStyle w:val="TableGrid"/>
        <w:bidiVisual/>
        <w:tblW w:w="0" w:type="auto"/>
        <w:tblLook w:val="04A0" w:firstRow="1" w:lastRow="0" w:firstColumn="1" w:lastColumn="0" w:noHBand="0" w:noVBand="1"/>
      </w:tblPr>
      <w:tblGrid>
        <w:gridCol w:w="4006"/>
        <w:gridCol w:w="4006"/>
      </w:tblGrid>
      <w:tr w:rsidR="00230883" w:rsidTr="00230883">
        <w:tc>
          <w:tcPr>
            <w:tcW w:w="4006" w:type="dxa"/>
          </w:tcPr>
          <w:p w:rsidR="00230883" w:rsidRDefault="00230883" w:rsidP="004A4E41">
            <w:pPr>
              <w:pStyle w:val="libFootnote0"/>
              <w:rPr>
                <w:rtl/>
              </w:rPr>
            </w:pPr>
            <w:r>
              <w:rPr>
                <w:rtl/>
              </w:rPr>
              <w:t>(4).</w:t>
            </w:r>
            <w:r w:rsidRPr="00C9040A">
              <w:rPr>
                <w:rtl/>
              </w:rPr>
              <w:t xml:space="preserve"> في « ج » وحاشية « ض ، ف ، بر » : « في »</w:t>
            </w:r>
            <w:r>
              <w:rPr>
                <w:rtl/>
              </w:rPr>
              <w:t>.</w:t>
            </w:r>
          </w:p>
        </w:tc>
        <w:tc>
          <w:tcPr>
            <w:tcW w:w="4006" w:type="dxa"/>
          </w:tcPr>
          <w:p w:rsidR="00230883" w:rsidRDefault="00230883" w:rsidP="004A4E41">
            <w:pPr>
              <w:pStyle w:val="libFootnote0"/>
              <w:rPr>
                <w:rtl/>
              </w:rPr>
            </w:pPr>
            <w:r>
              <w:rPr>
                <w:rtl/>
              </w:rPr>
              <w:t>(5).</w:t>
            </w:r>
            <w:r w:rsidRPr="00C9040A">
              <w:rPr>
                <w:rtl/>
              </w:rPr>
              <w:t xml:space="preserve"> في </w:t>
            </w:r>
            <w:r w:rsidRPr="0034021D">
              <w:rPr>
                <w:rStyle w:val="libFootnoteBoldChar"/>
                <w:rtl/>
              </w:rPr>
              <w:t>الأمالي للمفيد</w:t>
            </w:r>
            <w:r w:rsidRPr="00C9040A">
              <w:rPr>
                <w:rtl/>
              </w:rPr>
              <w:t xml:space="preserve"> : + « أن »</w:t>
            </w:r>
            <w:r>
              <w:rPr>
                <w:rtl/>
              </w:rPr>
              <w:t>.</w:t>
            </w:r>
          </w:p>
        </w:tc>
      </w:tr>
    </w:tbl>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ص ، ف » : « عينيه »</w:t>
      </w:r>
      <w:r w:rsidR="008A74EB">
        <w:rPr>
          <w:rtl/>
        </w:rPr>
        <w:t>.</w:t>
      </w:r>
      <w:r w:rsidR="008A74EB" w:rsidRPr="00C9040A">
        <w:rPr>
          <w:rtl/>
        </w:rPr>
        <w:t xml:space="preserve"> وفي </w:t>
      </w:r>
      <w:r w:rsidR="008A74EB" w:rsidRPr="0034021D">
        <w:rPr>
          <w:rStyle w:val="libFootnoteBoldChar"/>
          <w:rtl/>
        </w:rPr>
        <w:t>الأمالي للمفيد</w:t>
      </w:r>
      <w:r w:rsidR="008A74EB" w:rsidRPr="00C9040A">
        <w:rPr>
          <w:rtl/>
        </w:rPr>
        <w:t xml:space="preserve"> والطوسي : « عينيّ به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w:t>
      </w:r>
      <w:r w:rsidR="008A74EB" w:rsidRPr="0034021D">
        <w:rPr>
          <w:rStyle w:val="libFootnoteBoldChar"/>
          <w:rtl/>
        </w:rPr>
        <w:t>الأمالي للمفيد</w:t>
      </w:r>
      <w:r w:rsidR="008A74EB" w:rsidRPr="00C9040A">
        <w:rPr>
          <w:rtl/>
        </w:rPr>
        <w:t xml:space="preserve"> والطوسي : « جاء في » بدل « جاءني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 ف » : « من » بدل « الساعة من نحو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ز » : « عيون »</w:t>
      </w:r>
      <w:r w:rsidR="008A74EB">
        <w:rPr>
          <w:rtl/>
        </w:rPr>
        <w:t>.</w:t>
      </w:r>
      <w:r w:rsidR="008A74EB" w:rsidRPr="00C9040A">
        <w:rPr>
          <w:rtl/>
        </w:rPr>
        <w:t xml:space="preserve"> والعين : الجاسوس والديدبان. راجع : </w:t>
      </w:r>
      <w:r w:rsidR="008A74EB" w:rsidRPr="00993B55">
        <w:rPr>
          <w:rStyle w:val="libFootnoteBoldChar"/>
          <w:rtl/>
        </w:rPr>
        <w:t>الصحاح</w:t>
      </w:r>
      <w:r w:rsidR="008A74EB" w:rsidRPr="00C9040A">
        <w:rPr>
          <w:rtl/>
        </w:rPr>
        <w:t xml:space="preserve"> ، ج 6 ، ص 2170 ؛ </w:t>
      </w:r>
      <w:r w:rsidR="008A74EB" w:rsidRPr="00993B55">
        <w:rPr>
          <w:rStyle w:val="libFootnoteBoldChar"/>
          <w:rtl/>
        </w:rPr>
        <w:t>النهاية</w:t>
      </w:r>
      <w:r w:rsidR="008A74EB" w:rsidRPr="00C9040A">
        <w:rPr>
          <w:rtl/>
        </w:rPr>
        <w:t xml:space="preserve"> ، ج 3 ، ص 331 ( عين )</w:t>
      </w:r>
      <w:r w:rsidR="008A74EB">
        <w:rPr>
          <w:rtl/>
        </w:rPr>
        <w:t>.</w:t>
      </w:r>
      <w:r w:rsidR="001F0A6F">
        <w:rPr>
          <w:rFonts w:hint="cs"/>
          <w:rtl/>
        </w:rPr>
        <w:t xml:space="preserve">                                        </w:t>
      </w:r>
      <w:r>
        <w:rPr>
          <w:rtl/>
        </w:rPr>
        <w:t>(10).</w:t>
      </w:r>
      <w:r w:rsidR="008A74EB" w:rsidRPr="00C9040A">
        <w:rPr>
          <w:rtl/>
        </w:rPr>
        <w:t xml:space="preserve"> في « ز ، ص ، ف » </w:t>
      </w:r>
      <w:r w:rsidR="008A74EB">
        <w:rPr>
          <w:rtl/>
        </w:rPr>
        <w:t xml:space="preserve">: </w:t>
      </w:r>
      <w:r w:rsidR="0084262C">
        <w:rPr>
          <w:rtl/>
        </w:rPr>
        <w:t>-</w:t>
      </w:r>
      <w:r w:rsidR="008A74EB" w:rsidRPr="00C9040A">
        <w:rPr>
          <w:rtl/>
        </w:rPr>
        <w:t xml:space="preserve"> « قد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في « ز ، ف » </w:t>
      </w:r>
      <w:r w:rsidR="008A74EB">
        <w:rPr>
          <w:rtl/>
        </w:rPr>
        <w:t xml:space="preserve">: </w:t>
      </w:r>
      <w:r w:rsidR="0084262C">
        <w:rPr>
          <w:rtl/>
        </w:rPr>
        <w:t>-</w:t>
      </w:r>
      <w:r w:rsidR="008A74EB" w:rsidRPr="00C9040A">
        <w:rPr>
          <w:rtl/>
        </w:rPr>
        <w:t xml:space="preserve"> « فلان »</w:t>
      </w:r>
      <w:r w:rsidR="008A74EB">
        <w:rPr>
          <w:rtl/>
        </w:rPr>
        <w:t>.</w:t>
      </w:r>
      <w:r w:rsidR="008A74EB" w:rsidRPr="00C9040A">
        <w:rPr>
          <w:rtl/>
        </w:rPr>
        <w:t xml:space="preserve"> وفي حاشية « د » : + « وفلان »</w:t>
      </w:r>
      <w:r w:rsidR="008A74EB">
        <w:rPr>
          <w:rtl/>
        </w:rPr>
        <w:t>.</w:t>
      </w:r>
      <w:r w:rsidR="008A74EB" w:rsidRPr="00C9040A">
        <w:rPr>
          <w:rtl/>
        </w:rPr>
        <w:t xml:space="preserve"> وفي </w:t>
      </w:r>
      <w:r w:rsidR="008A74EB" w:rsidRPr="0034021D">
        <w:rPr>
          <w:rStyle w:val="libFootnoteBoldChar"/>
          <w:rtl/>
        </w:rPr>
        <w:t>الأمالي للمفيد</w:t>
      </w:r>
      <w:r w:rsidR="008A74EB" w:rsidRPr="00C9040A">
        <w:rPr>
          <w:rtl/>
        </w:rPr>
        <w:t xml:space="preserve"> والطوسي : + « وقتل فلان وفلان وفلان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 الأراك » : شجر من الحَمْض يستاك بقُضبانه. والواحدة : أراكة ، له حَمل كعناقيد العنب ، واسمه : الكَباث ، وإذانضج يُسمن ال</w:t>
      </w:r>
      <w:r w:rsidR="001F0A6F">
        <w:rPr>
          <w:rFonts w:hint="cs"/>
          <w:rtl/>
        </w:rPr>
        <w:t>ـ</w:t>
      </w:r>
      <w:r w:rsidR="008A74EB" w:rsidRPr="00C9040A">
        <w:rPr>
          <w:rtl/>
        </w:rPr>
        <w:t xml:space="preserve">مَرْد. </w:t>
      </w:r>
      <w:r w:rsidR="008A74EB" w:rsidRPr="00993B55">
        <w:rPr>
          <w:rStyle w:val="libFootnoteBoldChar"/>
          <w:rtl/>
        </w:rPr>
        <w:t>المصباح المنير</w:t>
      </w:r>
      <w:r w:rsidR="008A74EB" w:rsidRPr="00C9040A">
        <w:rPr>
          <w:rtl/>
        </w:rPr>
        <w:t xml:space="preserve"> ، ص 12 ؛ </w:t>
      </w:r>
      <w:r w:rsidR="008A74EB" w:rsidRPr="00993B55">
        <w:rPr>
          <w:rStyle w:val="libFootnoteBoldChar"/>
          <w:rtl/>
        </w:rPr>
        <w:t>النهاية</w:t>
      </w:r>
      <w:r w:rsidR="008A74EB" w:rsidRPr="00C9040A">
        <w:rPr>
          <w:rtl/>
        </w:rPr>
        <w:t xml:space="preserve"> ، ج 1 ، ص 40 ( أرك )</w:t>
      </w:r>
      <w:r w:rsidR="008A74EB">
        <w:rPr>
          <w:rtl/>
        </w:rPr>
        <w:t>.</w:t>
      </w:r>
    </w:p>
    <w:p w:rsidR="008A74EB" w:rsidRPr="00C9040A" w:rsidRDefault="008A74EB" w:rsidP="004A4E41">
      <w:pPr>
        <w:pStyle w:val="libFootnote0"/>
        <w:rPr>
          <w:rtl/>
          <w:lang w:bidi="fa-IR"/>
        </w:rPr>
      </w:pPr>
      <w:r>
        <w:rPr>
          <w:rtl/>
        </w:rPr>
        <w:t>(13)</w:t>
      </w:r>
      <w:r w:rsidRPr="00C9040A">
        <w:rPr>
          <w:rtl/>
        </w:rPr>
        <w:t xml:space="preserve"> في « ب ، ف » : « فكأنّي »</w:t>
      </w:r>
      <w:r>
        <w:rPr>
          <w:rtl/>
        </w:rPr>
        <w:t>.</w:t>
      </w:r>
      <w:r w:rsidRPr="00C9040A">
        <w:rPr>
          <w:rtl/>
        </w:rPr>
        <w:t xml:space="preserve"> وفي </w:t>
      </w:r>
      <w:r w:rsidRPr="00993B55">
        <w:rPr>
          <w:rStyle w:val="libFootnoteBoldChar"/>
          <w:rtl/>
        </w:rPr>
        <w:t>الوافي</w:t>
      </w:r>
      <w:r w:rsidRPr="00C9040A">
        <w:rPr>
          <w:rtl/>
        </w:rPr>
        <w:t xml:space="preserve"> : « وقوله : لكأنّي أنظر إليه ، إمّا من كلام النجاشي ، أو حكاية كلام العين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هُنَاكَ وَهُوَ رَجُلٌ مِنْ بَنِي </w:t>
      </w:r>
      <w:r w:rsidR="006C577F" w:rsidRPr="006C577F">
        <w:rPr>
          <w:rStyle w:val="libFootnotenumChar"/>
          <w:rtl/>
        </w:rPr>
        <w:t>(1)</w:t>
      </w:r>
      <w:r w:rsidRPr="00C9040A">
        <w:rPr>
          <w:rtl/>
          <w:lang w:bidi="fa-IR"/>
        </w:rPr>
        <w:t xml:space="preserve"> ضَمْرَةَ.</w:t>
      </w:r>
    </w:p>
    <w:p w:rsidR="008A74EB" w:rsidRPr="00C9040A" w:rsidRDefault="008A74EB" w:rsidP="008A74EB">
      <w:pPr>
        <w:pStyle w:val="libNormal"/>
        <w:rPr>
          <w:rtl/>
          <w:lang w:bidi="fa-IR"/>
        </w:rPr>
      </w:pPr>
      <w:r w:rsidRPr="00C9040A">
        <w:rPr>
          <w:rtl/>
          <w:lang w:bidi="fa-IR"/>
        </w:rPr>
        <w:t xml:space="preserve">فَقَالَ لَهُ جَعْفَرٌ : أَيُّهَا الْمَلِكُ </w:t>
      </w:r>
      <w:r w:rsidR="006C577F" w:rsidRPr="006C577F">
        <w:rPr>
          <w:rStyle w:val="libFootnotenumChar"/>
          <w:rtl/>
        </w:rPr>
        <w:t>(2)</w:t>
      </w:r>
      <w:r w:rsidRPr="00C9040A">
        <w:rPr>
          <w:rtl/>
          <w:lang w:bidi="fa-IR"/>
        </w:rPr>
        <w:t xml:space="preserve"> ، فَمَا لِي أَرَاكَ جَالِساً عَلَى التُّرَابِ ، وَعَلَيْكَ هذِهِ الْخُلْقَانُ</w:t>
      </w:r>
      <w:r>
        <w:rPr>
          <w:rtl/>
          <w:lang w:bidi="fa-IR"/>
        </w:rPr>
        <w:t>؟</w:t>
      </w:r>
      <w:r w:rsidRPr="00C9040A">
        <w:rPr>
          <w:rtl/>
          <w:lang w:bidi="fa-IR"/>
        </w:rPr>
        <w:t xml:space="preserve"> فَقَالَ لَهُ </w:t>
      </w:r>
      <w:r w:rsidR="006C577F" w:rsidRPr="006C577F">
        <w:rPr>
          <w:rStyle w:val="libFootnotenumChar"/>
          <w:rtl/>
        </w:rPr>
        <w:t>(3)</w:t>
      </w:r>
      <w:r w:rsidRPr="00C9040A">
        <w:rPr>
          <w:rtl/>
          <w:lang w:bidi="fa-IR"/>
        </w:rPr>
        <w:t xml:space="preserve"> : يَا جَعْفَرُ ، إِنَّا نَجِدُ فِيمَا أَنْزَلَ اللهُ عَلى عِيسى </w:t>
      </w:r>
      <w:r w:rsidRPr="0003660B">
        <w:rPr>
          <w:rStyle w:val="libAlaemChar"/>
          <w:rtl/>
        </w:rPr>
        <w:t>عليه‌السلام</w:t>
      </w:r>
      <w:r w:rsidRPr="00C9040A">
        <w:rPr>
          <w:rtl/>
          <w:lang w:bidi="fa-IR"/>
        </w:rPr>
        <w:t xml:space="preserve"> أَنَّ مِنْ حَقِّ اللهِ عَلى عِبَادِهِ أَنْ يُحْدِثُوا لَهُ </w:t>
      </w:r>
      <w:r w:rsidR="006C577F" w:rsidRPr="006C577F">
        <w:rPr>
          <w:rStyle w:val="libFootnotenumChar"/>
          <w:rtl/>
        </w:rPr>
        <w:t>(4)</w:t>
      </w:r>
      <w:r w:rsidRPr="00C9040A">
        <w:rPr>
          <w:rtl/>
          <w:lang w:bidi="fa-IR"/>
        </w:rPr>
        <w:t xml:space="preserve"> تَوَاضُعاً </w:t>
      </w:r>
      <w:r w:rsidR="006C577F" w:rsidRPr="006C577F">
        <w:rPr>
          <w:rStyle w:val="libFootnotenumChar"/>
          <w:rtl/>
        </w:rPr>
        <w:t>(5)</w:t>
      </w:r>
      <w:r w:rsidRPr="00C9040A">
        <w:rPr>
          <w:rtl/>
          <w:lang w:bidi="fa-IR"/>
        </w:rPr>
        <w:t xml:space="preserve"> عِنْدَ مَا يُحْدِثُ لَهُمْ مِنْ </w:t>
      </w:r>
      <w:r w:rsidR="006C577F" w:rsidRPr="006C577F">
        <w:rPr>
          <w:rStyle w:val="libFootnotenumChar"/>
          <w:rtl/>
        </w:rPr>
        <w:t>(6)</w:t>
      </w:r>
      <w:r w:rsidRPr="005B567D">
        <w:rPr>
          <w:rStyle w:val="libFootnotenumChar"/>
          <w:rtl/>
        </w:rPr>
        <w:t xml:space="preserve"> </w:t>
      </w:r>
      <w:r w:rsidRPr="00C9040A">
        <w:rPr>
          <w:rtl/>
          <w:lang w:bidi="fa-IR"/>
        </w:rPr>
        <w:t xml:space="preserve">نِعْمَةٍ </w:t>
      </w:r>
      <w:r w:rsidR="006C577F" w:rsidRPr="006C577F">
        <w:rPr>
          <w:rStyle w:val="libFootnotenumChar"/>
          <w:rtl/>
        </w:rPr>
        <w:t>(7)</w:t>
      </w:r>
      <w:r w:rsidRPr="00C9040A">
        <w:rPr>
          <w:rtl/>
          <w:lang w:bidi="fa-IR"/>
        </w:rPr>
        <w:t xml:space="preserve"> ، فَلَمَّا أَحْدَثَ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لِي نِعْمَةً بِمُحَمَّدٍ </w:t>
      </w:r>
      <w:r w:rsidR="006C577F" w:rsidRPr="006C577F">
        <w:rPr>
          <w:rStyle w:val="libFootnotenumChar"/>
          <w:rtl/>
        </w:rPr>
        <w:t>(8)</w:t>
      </w:r>
      <w:r w:rsidRPr="00C9040A">
        <w:rPr>
          <w:rtl/>
          <w:lang w:bidi="fa-IR"/>
        </w:rPr>
        <w:t xml:space="preserve"> </w:t>
      </w:r>
      <w:r w:rsidR="004A4E41" w:rsidRPr="004A4E41">
        <w:rPr>
          <w:rStyle w:val="libAlaemChar"/>
          <w:rtl/>
        </w:rPr>
        <w:t>صلى‌الله‌عليه‌وآله</w:t>
      </w:r>
      <w:r w:rsidRPr="00C9040A">
        <w:rPr>
          <w:rtl/>
          <w:lang w:bidi="fa-IR"/>
        </w:rPr>
        <w:t xml:space="preserve"> ، أَحْدَثْتُ لِلّهِ هذَا التَّوَاضُعَ </w:t>
      </w:r>
      <w:r w:rsidR="006C577F" w:rsidRPr="006C577F">
        <w:rPr>
          <w:rStyle w:val="libFootnotenumChar"/>
          <w:rtl/>
        </w:rPr>
        <w:t>(9)</w:t>
      </w:r>
    </w:p>
    <w:p w:rsidR="008A74EB" w:rsidRPr="00C9040A" w:rsidRDefault="008A74EB" w:rsidP="008A74EB">
      <w:pPr>
        <w:pStyle w:val="libNormal"/>
        <w:rPr>
          <w:rtl/>
          <w:lang w:bidi="fa-IR"/>
        </w:rPr>
      </w:pPr>
      <w:r w:rsidRPr="00C9040A">
        <w:rPr>
          <w:rtl/>
          <w:lang w:bidi="fa-IR"/>
        </w:rPr>
        <w:t xml:space="preserve">فَلَمَّا بَلَغَ النَّبِيَّ </w:t>
      </w:r>
      <w:r w:rsidR="004A4E41" w:rsidRPr="004A4E41">
        <w:rPr>
          <w:rStyle w:val="libAlaemChar"/>
          <w:rtl/>
        </w:rPr>
        <w:t>صلى‌الله‌عليه‌وآله</w:t>
      </w:r>
      <w:r w:rsidRPr="00C9040A">
        <w:rPr>
          <w:rtl/>
          <w:lang w:bidi="fa-IR"/>
        </w:rPr>
        <w:t xml:space="preserve"> ، قَالَ لِأَصْحَابِهِ : إِنَّ الصَّدَقَةَ تَزِيدُ صَاحِبَهَا كَثْرَةً ، فَتَصَدَّقُوا ؛ يَرْحَمْكُمُ اللهُ ، وَإِنَّ التَّوَاضُعَ يَزِيدُ صَاحِبَهُ رِفْعَةً ، فَتَوَاضَعُوا ؛ يَرْفَعْكُمُ اللهُ </w:t>
      </w:r>
      <w:r w:rsidR="006C577F" w:rsidRPr="006C577F">
        <w:rPr>
          <w:rStyle w:val="libFootnotenumChar"/>
          <w:rtl/>
        </w:rPr>
        <w:t>(10)</w:t>
      </w:r>
      <w:r w:rsidRPr="00C9040A">
        <w:rPr>
          <w:rtl/>
          <w:lang w:bidi="fa-IR"/>
        </w:rPr>
        <w:t xml:space="preserve"> ، وَإِنَّ الْعَفْوَ يَزِيدُ صَاحِبَهُ عِزّاً ، فَاعْفُوا ؛ يُعِزَّكُمُ اللهُ »</w:t>
      </w:r>
      <w:r>
        <w:rPr>
          <w:rtl/>
          <w:lang w:bidi="fa-IR"/>
        </w:rPr>
        <w:t>.</w:t>
      </w:r>
      <w:r w:rsidRPr="00C9040A">
        <w:rPr>
          <w:rtl/>
          <w:lang w:bidi="fa-IR"/>
        </w:rPr>
        <w:t xml:space="preserve"> </w:t>
      </w:r>
      <w:r w:rsidR="006C577F" w:rsidRPr="006C577F">
        <w:rPr>
          <w:rStyle w:val="libFootnotenumChar"/>
          <w:rtl/>
        </w:rPr>
        <w:t>(11)</w:t>
      </w:r>
      <w:r w:rsidRPr="00C9040A">
        <w:rPr>
          <w:rtl/>
          <w:lang w:bidi="fa-IR"/>
        </w:rPr>
        <w:t xml:space="preserve"> ‌</w:t>
      </w:r>
    </w:p>
    <w:p w:rsidR="008A74EB" w:rsidRPr="00C9040A" w:rsidRDefault="008A74EB" w:rsidP="008A74EB">
      <w:pPr>
        <w:pStyle w:val="libNormal"/>
        <w:rPr>
          <w:rtl/>
          <w:lang w:bidi="fa-IR"/>
        </w:rPr>
      </w:pPr>
      <w:r w:rsidRPr="009243AF">
        <w:rPr>
          <w:rtl/>
        </w:rPr>
        <w:t>1864</w:t>
      </w:r>
      <w:r w:rsidRPr="00261CB0">
        <w:rPr>
          <w:rStyle w:val="libBold2Char"/>
          <w:rtl/>
        </w:rPr>
        <w:t xml:space="preserve"> / 2.</w:t>
      </w:r>
      <w:r w:rsidRPr="00C9040A">
        <w:rPr>
          <w:rtl/>
          <w:lang w:bidi="fa-IR"/>
        </w:rPr>
        <w:t xml:space="preserve"> عَلِيُّ بْنُ إِبْرَاهِيمَ ، عَنْ أَبِيهِ ، عَنِ ابْنِ أَبِي عُمَيْرٍ ، عَنْ مُعَاوِيَةَ بْنِ عَمَّارٍ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سَمِعْتُهُ يَقُولُ : « إِنَّ فِي السَّمَاءِ مَلَكَيْنِ مُوَكَّلَيْنِ بِالْعِبَادِ ، فَمَنْ تَوَاضَعَ لِلّهِ رَفَعَاهُ ، وَمَنْ تَكَبَّرَ وَضَعَاهُ »</w:t>
      </w:r>
      <w:r>
        <w:rPr>
          <w:rtl/>
          <w:lang w:bidi="fa-IR"/>
        </w:rPr>
        <w:t>.</w:t>
      </w:r>
      <w:r w:rsidRPr="00C9040A">
        <w:rPr>
          <w:rtl/>
          <w:lang w:bidi="fa-IR"/>
        </w:rPr>
        <w:t xml:space="preserve"> </w:t>
      </w:r>
      <w:r w:rsidR="006C577F" w:rsidRPr="006C577F">
        <w:rPr>
          <w:rStyle w:val="libFootnotenumChar"/>
          <w:rtl/>
        </w:rPr>
        <w:t>(12)</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1F0A6F" w:rsidTr="001F0A6F">
        <w:tc>
          <w:tcPr>
            <w:tcW w:w="4006" w:type="dxa"/>
          </w:tcPr>
          <w:p w:rsidR="001F0A6F" w:rsidRDefault="001F0A6F" w:rsidP="004A4E41">
            <w:pPr>
              <w:pStyle w:val="libFootnote0"/>
              <w:rPr>
                <w:rtl/>
              </w:rPr>
            </w:pPr>
            <w:r>
              <w:rPr>
                <w:rtl/>
              </w:rPr>
              <w:t xml:space="preserve">(1). </w:t>
            </w:r>
            <w:r w:rsidRPr="00C9040A">
              <w:rPr>
                <w:rtl/>
              </w:rPr>
              <w:t xml:space="preserve">في « ز » </w:t>
            </w:r>
            <w:r>
              <w:rPr>
                <w:rtl/>
              </w:rPr>
              <w:t>: -</w:t>
            </w:r>
            <w:r w:rsidRPr="00C9040A">
              <w:rPr>
                <w:rtl/>
              </w:rPr>
              <w:t xml:space="preserve"> « بني »</w:t>
            </w:r>
            <w:r>
              <w:rPr>
                <w:rtl/>
              </w:rPr>
              <w:t>.</w:t>
            </w:r>
          </w:p>
        </w:tc>
        <w:tc>
          <w:tcPr>
            <w:tcW w:w="4006" w:type="dxa"/>
          </w:tcPr>
          <w:p w:rsidR="001F0A6F" w:rsidRDefault="001F0A6F" w:rsidP="004A4E41">
            <w:pPr>
              <w:pStyle w:val="libFootnote0"/>
              <w:rPr>
                <w:rtl/>
              </w:rPr>
            </w:pPr>
            <w:r>
              <w:rPr>
                <w:rtl/>
              </w:rPr>
              <w:t xml:space="preserve">(2). </w:t>
            </w:r>
            <w:r w:rsidRPr="00C9040A">
              <w:rPr>
                <w:rtl/>
              </w:rPr>
              <w:t xml:space="preserve">في </w:t>
            </w:r>
            <w:r w:rsidRPr="0034021D">
              <w:rPr>
                <w:rStyle w:val="libFootnoteBoldChar"/>
                <w:rtl/>
              </w:rPr>
              <w:t>الأمالي للمفيد</w:t>
            </w:r>
            <w:r w:rsidRPr="00C9040A">
              <w:rPr>
                <w:rtl/>
              </w:rPr>
              <w:t xml:space="preserve"> والطوسي : + « الصالح »</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في « ب ، ج ، د ، ز ، ص ، ض ، ف ، بف » والوافي </w:t>
      </w:r>
      <w:r w:rsidR="008A74EB">
        <w:rPr>
          <w:rtl/>
        </w:rPr>
        <w:t xml:space="preserve">: </w:t>
      </w:r>
      <w:r w:rsidR="0084262C">
        <w:rPr>
          <w:rtl/>
        </w:rPr>
        <w:t>-</w:t>
      </w:r>
      <w:r w:rsidR="008A74EB" w:rsidRPr="00C9040A">
        <w:rPr>
          <w:rtl/>
        </w:rPr>
        <w:t xml:space="preserve"> « له »</w:t>
      </w:r>
      <w:r w:rsidR="008A74EB">
        <w:rPr>
          <w:rtl/>
        </w:rPr>
        <w:t>.</w:t>
      </w:r>
    </w:p>
    <w:p w:rsidR="008A74EB" w:rsidRPr="004A4E41" w:rsidRDefault="006C577F" w:rsidP="004A4E41">
      <w:pPr>
        <w:pStyle w:val="libFootnote0"/>
        <w:rPr>
          <w:rStyle w:val="libFootnote0Char"/>
          <w:rtl/>
        </w:rPr>
      </w:pPr>
      <w:r>
        <w:rPr>
          <w:rtl/>
        </w:rPr>
        <w:t>(4).</w:t>
      </w:r>
      <w:r w:rsidR="008A74EB" w:rsidRPr="00C9040A">
        <w:rPr>
          <w:rtl/>
        </w:rPr>
        <w:t xml:space="preserve"> في البحار و</w:t>
      </w:r>
      <w:r w:rsidR="008A74EB" w:rsidRPr="0034021D">
        <w:rPr>
          <w:rStyle w:val="libFootnoteBoldChar"/>
          <w:rtl/>
        </w:rPr>
        <w:t>الأمالي للمفيد</w:t>
      </w:r>
      <w:r w:rsidR="008A74EB" w:rsidRPr="00C9040A">
        <w:rPr>
          <w:rtl/>
        </w:rPr>
        <w:t xml:space="preserve"> والطوسي </w:t>
      </w:r>
      <w:r w:rsidR="008A74EB">
        <w:rPr>
          <w:rtl/>
        </w:rPr>
        <w:t xml:space="preserve">: </w:t>
      </w:r>
      <w:r w:rsidR="0084262C">
        <w:rPr>
          <w:rtl/>
        </w:rPr>
        <w:t>-</w:t>
      </w:r>
      <w:r w:rsidR="008A74EB" w:rsidRPr="00C9040A">
        <w:rPr>
          <w:rtl/>
        </w:rPr>
        <w:t xml:space="preserve"> « له »</w:t>
      </w:r>
      <w:r w:rsidR="008A74EB">
        <w:rPr>
          <w:rtl/>
        </w:rPr>
        <w:t>.</w:t>
      </w:r>
    </w:p>
    <w:tbl>
      <w:tblPr>
        <w:tblStyle w:val="TableGrid"/>
        <w:bidiVisual/>
        <w:tblW w:w="0" w:type="auto"/>
        <w:tblLook w:val="04A0" w:firstRow="1" w:lastRow="0" w:firstColumn="1" w:lastColumn="0" w:noHBand="0" w:noVBand="1"/>
      </w:tblPr>
      <w:tblGrid>
        <w:gridCol w:w="4006"/>
        <w:gridCol w:w="4006"/>
      </w:tblGrid>
      <w:tr w:rsidR="00A10D70" w:rsidTr="00A10D70">
        <w:tc>
          <w:tcPr>
            <w:tcW w:w="4006" w:type="dxa"/>
          </w:tcPr>
          <w:p w:rsidR="00A10D70" w:rsidRDefault="00A10D70" w:rsidP="004A4E41">
            <w:pPr>
              <w:pStyle w:val="libFootnote0"/>
              <w:rPr>
                <w:rtl/>
              </w:rPr>
            </w:pPr>
            <w:r>
              <w:rPr>
                <w:rtl/>
              </w:rPr>
              <w:t>(5).</w:t>
            </w:r>
            <w:r w:rsidRPr="00C9040A">
              <w:rPr>
                <w:rtl/>
              </w:rPr>
              <w:t xml:space="preserve"> في « ز » : « به تواضعاً له » بدل « له تواضعاً »</w:t>
            </w:r>
            <w:r>
              <w:rPr>
                <w:rtl/>
              </w:rPr>
              <w:t>.</w:t>
            </w:r>
          </w:p>
        </w:tc>
        <w:tc>
          <w:tcPr>
            <w:tcW w:w="4006" w:type="dxa"/>
          </w:tcPr>
          <w:p w:rsidR="00A10D70" w:rsidRDefault="00A10D70" w:rsidP="004A4E41">
            <w:pPr>
              <w:pStyle w:val="libFootnote0"/>
              <w:rPr>
                <w:rtl/>
              </w:rPr>
            </w:pPr>
            <w:r>
              <w:rPr>
                <w:rtl/>
              </w:rPr>
              <w:t xml:space="preserve">(6). </w:t>
            </w:r>
            <w:r w:rsidRPr="00C9040A">
              <w:rPr>
                <w:rtl/>
              </w:rPr>
              <w:t xml:space="preserve">في « ز ، ف » </w:t>
            </w:r>
            <w:r>
              <w:rPr>
                <w:rtl/>
              </w:rPr>
              <w:t>: -</w:t>
            </w:r>
            <w:r w:rsidRPr="00C9040A">
              <w:rPr>
                <w:rtl/>
              </w:rPr>
              <w:t xml:space="preserve"> « من »</w:t>
            </w:r>
            <w:r>
              <w:rPr>
                <w:rtl/>
              </w:rPr>
              <w:t>.</w:t>
            </w:r>
          </w:p>
        </w:tc>
      </w:tr>
      <w:tr w:rsidR="00A10D70" w:rsidTr="00A10D70">
        <w:tc>
          <w:tcPr>
            <w:tcW w:w="4006" w:type="dxa"/>
          </w:tcPr>
          <w:p w:rsidR="00A10D70" w:rsidRDefault="00A10D70" w:rsidP="004A4E41">
            <w:pPr>
              <w:pStyle w:val="libFootnote0"/>
              <w:rPr>
                <w:rtl/>
              </w:rPr>
            </w:pPr>
            <w:r>
              <w:rPr>
                <w:rtl/>
              </w:rPr>
              <w:t>(7).</w:t>
            </w:r>
            <w:r w:rsidRPr="00C9040A">
              <w:rPr>
                <w:rtl/>
              </w:rPr>
              <w:t xml:space="preserve"> في </w:t>
            </w:r>
            <w:r w:rsidRPr="0034021D">
              <w:rPr>
                <w:rStyle w:val="libFootnoteBoldChar"/>
                <w:rtl/>
              </w:rPr>
              <w:t>الأمالي للمفيد</w:t>
            </w:r>
            <w:r w:rsidRPr="00C9040A">
              <w:rPr>
                <w:rtl/>
              </w:rPr>
              <w:t xml:space="preserve"> : « النعمة »</w:t>
            </w:r>
            <w:r>
              <w:rPr>
                <w:rtl/>
              </w:rPr>
              <w:t>.</w:t>
            </w:r>
          </w:p>
        </w:tc>
        <w:tc>
          <w:tcPr>
            <w:tcW w:w="4006" w:type="dxa"/>
          </w:tcPr>
          <w:p w:rsidR="00A10D70" w:rsidRDefault="00A10D70" w:rsidP="004A4E41">
            <w:pPr>
              <w:pStyle w:val="libFootnote0"/>
              <w:rPr>
                <w:rtl/>
              </w:rPr>
            </w:pPr>
            <w:r>
              <w:rPr>
                <w:rtl/>
              </w:rPr>
              <w:t>(8).</w:t>
            </w:r>
            <w:r w:rsidRPr="00C9040A">
              <w:rPr>
                <w:rtl/>
              </w:rPr>
              <w:t xml:space="preserve"> في « ز ، بر » والوافي : « محمّد »</w:t>
            </w:r>
            <w:r>
              <w:rPr>
                <w:rtl/>
              </w:rPr>
              <w:t>.</w:t>
            </w:r>
          </w:p>
        </w:tc>
      </w:tr>
      <w:tr w:rsidR="00A10D70" w:rsidTr="00A10D70">
        <w:tc>
          <w:tcPr>
            <w:tcW w:w="4006" w:type="dxa"/>
          </w:tcPr>
          <w:p w:rsidR="00A10D70" w:rsidRDefault="00F83E4C" w:rsidP="004A4E41">
            <w:pPr>
              <w:pStyle w:val="libFootnote0"/>
              <w:rPr>
                <w:rtl/>
              </w:rPr>
            </w:pPr>
            <w:r>
              <w:rPr>
                <w:rtl/>
              </w:rPr>
              <w:t>(9).</w:t>
            </w:r>
            <w:r w:rsidRPr="00C9040A">
              <w:rPr>
                <w:rtl/>
              </w:rPr>
              <w:t xml:space="preserve"> في « ض » : + « قال »</w:t>
            </w:r>
            <w:r>
              <w:rPr>
                <w:rtl/>
              </w:rPr>
              <w:t>.</w:t>
            </w:r>
          </w:p>
        </w:tc>
        <w:tc>
          <w:tcPr>
            <w:tcW w:w="4006" w:type="dxa"/>
          </w:tcPr>
          <w:p w:rsidR="00A10D70" w:rsidRDefault="00F83E4C" w:rsidP="004A4E41">
            <w:pPr>
              <w:pStyle w:val="libFootnote0"/>
              <w:rPr>
                <w:rtl/>
              </w:rPr>
            </w:pPr>
            <w:r>
              <w:rPr>
                <w:rtl/>
              </w:rPr>
              <w:t>(10).</w:t>
            </w:r>
            <w:r w:rsidRPr="00C9040A">
              <w:rPr>
                <w:rtl/>
              </w:rPr>
              <w:t xml:space="preserve"> في البحار : « يرحمكم الله »</w:t>
            </w:r>
            <w:r>
              <w:rPr>
                <w:rtl/>
              </w:rPr>
              <w:t>.</w:t>
            </w:r>
          </w:p>
        </w:tc>
      </w:tr>
    </w:tbl>
    <w:p w:rsidR="008A74EB" w:rsidRPr="00C9040A" w:rsidRDefault="006C577F" w:rsidP="004A4E41">
      <w:pPr>
        <w:pStyle w:val="libFootnote0"/>
        <w:rPr>
          <w:rtl/>
          <w:lang w:bidi="fa-IR"/>
        </w:rPr>
      </w:pPr>
      <w:r>
        <w:rPr>
          <w:rtl/>
        </w:rPr>
        <w:t>(11).</w:t>
      </w:r>
      <w:r w:rsidR="008A74EB" w:rsidRPr="00C9040A">
        <w:rPr>
          <w:rtl/>
        </w:rPr>
        <w:t xml:space="preserve"> </w:t>
      </w:r>
      <w:r w:rsidR="008A74EB" w:rsidRPr="0034021D">
        <w:rPr>
          <w:rStyle w:val="libFootnoteBoldChar"/>
          <w:rtl/>
        </w:rPr>
        <w:t>الأمالي للمفيد</w:t>
      </w:r>
      <w:r w:rsidR="008A74EB" w:rsidRPr="00C9040A">
        <w:rPr>
          <w:rtl/>
        </w:rPr>
        <w:t xml:space="preserve"> ، ص 238 ، المجلس 28 ، ح 2 ؛ </w:t>
      </w:r>
      <w:r w:rsidR="008A74EB" w:rsidRPr="00AC2E2F">
        <w:rPr>
          <w:rStyle w:val="libFootnoteBoldChar"/>
          <w:rtl/>
        </w:rPr>
        <w:t>والأمالي للطوسي</w:t>
      </w:r>
      <w:r w:rsidR="008A74EB" w:rsidRPr="00C9040A">
        <w:rPr>
          <w:rtl/>
        </w:rPr>
        <w:t xml:space="preserve"> ، ص 14 ، المجلس 1 ، ح 18 ، بسند آخر عن هارون بن مسلم بن سعدان ، عن مسعدة بن صدقة ، عن جعفر بن محمّد ، عن أبيه </w:t>
      </w:r>
      <w:r w:rsidR="00117575" w:rsidRPr="00117575">
        <w:rPr>
          <w:rStyle w:val="libFootnoteAlaemChar"/>
          <w:rtl/>
        </w:rPr>
        <w:t>عليهما‌السلام</w:t>
      </w:r>
      <w:r w:rsidR="008A74EB" w:rsidRPr="00C9040A">
        <w:rPr>
          <w:rtl/>
        </w:rPr>
        <w:t xml:space="preserve">. </w:t>
      </w:r>
      <w:r w:rsidR="008A74EB" w:rsidRPr="00993B55">
        <w:rPr>
          <w:rStyle w:val="libFootnoteBoldChar"/>
          <w:rtl/>
        </w:rPr>
        <w:t>الكافي</w:t>
      </w:r>
      <w:r w:rsidR="008A74EB" w:rsidRPr="00C9040A">
        <w:rPr>
          <w:rtl/>
        </w:rPr>
        <w:t xml:space="preserve"> ، كتاب الإيمان والكفر ، باب العفو ، ح 1792 ، بسند آخر عن أبي عبدالله </w:t>
      </w:r>
      <w:r w:rsidR="00117575" w:rsidRPr="00117575">
        <w:rPr>
          <w:rStyle w:val="libFootnoteAlaemChar"/>
          <w:rtl/>
        </w:rPr>
        <w:t xml:space="preserve">عليه‌السلام </w:t>
      </w:r>
      <w:r w:rsidR="008A74EB" w:rsidRPr="00C9040A">
        <w:rPr>
          <w:rtl/>
        </w:rPr>
        <w:t xml:space="preserve">عن رسول الله </w:t>
      </w:r>
      <w:r w:rsidR="004A4E41" w:rsidRPr="0034021D">
        <w:rPr>
          <w:rStyle w:val="libFootnoteAlaemChar"/>
          <w:rtl/>
        </w:rPr>
        <w:t>صلى‌الله‌عليه‌وآله</w:t>
      </w:r>
      <w:r w:rsidR="008A74EB" w:rsidRPr="00C9040A">
        <w:rPr>
          <w:rtl/>
        </w:rPr>
        <w:t xml:space="preserve"> ، من قوله : « وإنّ العفو يزيد صاحبه عزّاً » مع اختلاف يسير</w:t>
      </w:r>
      <w:r w:rsidR="00B81EF6">
        <w:rPr>
          <w:rFonts w:hint="cs"/>
          <w:rtl/>
        </w:rPr>
        <w:t>.</w:t>
      </w:r>
      <w:r w:rsidR="008A74EB" w:rsidRPr="00993B55">
        <w:rPr>
          <w:rStyle w:val="libFootnoteBoldChar"/>
          <w:rtl/>
        </w:rPr>
        <w:t>الوافي</w:t>
      </w:r>
      <w:r w:rsidR="008A74EB" w:rsidRPr="00C9040A">
        <w:rPr>
          <w:rtl/>
        </w:rPr>
        <w:t xml:space="preserve"> ، ج 4 ، ص 467 ، ح 2362 ؛ </w:t>
      </w:r>
      <w:r w:rsidR="008A74EB" w:rsidRPr="00993B55">
        <w:rPr>
          <w:rStyle w:val="libFootnoteBoldChar"/>
          <w:rtl/>
        </w:rPr>
        <w:t>البحار</w:t>
      </w:r>
      <w:r w:rsidR="008A74EB" w:rsidRPr="00C9040A">
        <w:rPr>
          <w:rtl/>
        </w:rPr>
        <w:t xml:space="preserve"> ، ج 75 ، ص 124 ، ح 23.</w:t>
      </w:r>
    </w:p>
    <w:p w:rsidR="008A74EB" w:rsidRPr="00C9040A" w:rsidRDefault="006C577F" w:rsidP="004A4E41">
      <w:pPr>
        <w:pStyle w:val="libFootnote0"/>
        <w:rPr>
          <w:rtl/>
          <w:lang w:bidi="fa-IR"/>
        </w:rPr>
      </w:pPr>
      <w:r>
        <w:rPr>
          <w:rtl/>
        </w:rPr>
        <w:t>(12).</w:t>
      </w:r>
      <w:r w:rsidR="008A74EB" w:rsidRPr="00C9040A">
        <w:rPr>
          <w:rtl/>
        </w:rPr>
        <w:t xml:space="preserve"> </w:t>
      </w:r>
      <w:r w:rsidR="008A74EB" w:rsidRPr="00993B55">
        <w:rPr>
          <w:rStyle w:val="libFootnoteBoldChar"/>
          <w:rtl/>
        </w:rPr>
        <w:t>الزهد</w:t>
      </w:r>
      <w:r w:rsidR="008A74EB" w:rsidRPr="00C9040A">
        <w:rPr>
          <w:rtl/>
        </w:rPr>
        <w:t xml:space="preserve"> ، ص 130 ، ح 166 ، عن ابن أبي عمير. </w:t>
      </w:r>
      <w:r w:rsidR="008A74EB" w:rsidRPr="00993B55">
        <w:rPr>
          <w:rStyle w:val="libFootnoteBoldChar"/>
          <w:rtl/>
        </w:rPr>
        <w:t>المحاسن</w:t>
      </w:r>
      <w:r w:rsidR="008A74EB" w:rsidRPr="00C9040A">
        <w:rPr>
          <w:rtl/>
        </w:rPr>
        <w:t xml:space="preserve"> ، ص 123 ، كتاب عقاب الأعمال ، ح 137 ، مرسلاً عن معاوية بن عمّار ، عن أبي عبد الله </w:t>
      </w:r>
      <w:r w:rsidR="00117575" w:rsidRPr="00117575">
        <w:rPr>
          <w:rStyle w:val="libFootnoteAlaemChar"/>
          <w:rtl/>
        </w:rPr>
        <w:t xml:space="preserve">عليه‌السلام </w:t>
      </w:r>
      <w:r w:rsidR="008A74EB" w:rsidRPr="00C9040A">
        <w:rPr>
          <w:rtl/>
        </w:rPr>
        <w:t xml:space="preserve"> عن رسول الله </w:t>
      </w:r>
      <w:r w:rsidR="004A4E41" w:rsidRPr="0034021D">
        <w:rPr>
          <w:rStyle w:val="libFootnoteAlaemChar"/>
          <w:rtl/>
        </w:rPr>
        <w:t>صلى‌الله‌عليه‌وآله</w:t>
      </w:r>
      <w:r w:rsidR="008A74EB" w:rsidRPr="00C9040A">
        <w:rPr>
          <w:rtl/>
        </w:rPr>
        <w:t xml:space="preserve"> ؛ </w:t>
      </w:r>
      <w:r w:rsidR="008A74EB" w:rsidRPr="00993B55">
        <w:rPr>
          <w:rStyle w:val="libFootnoteBoldChar"/>
          <w:rtl/>
        </w:rPr>
        <w:t>فقه الرضا</w:t>
      </w:r>
      <w:r w:rsidR="008A74EB" w:rsidRPr="00C9040A">
        <w:rPr>
          <w:rtl/>
        </w:rPr>
        <w:t xml:space="preserve"> </w:t>
      </w:r>
      <w:r w:rsidR="00117575" w:rsidRPr="00117575">
        <w:rPr>
          <w:rStyle w:val="libFootnoteAlaemChar"/>
          <w:rtl/>
        </w:rPr>
        <w:t>عليه‌السلام</w:t>
      </w:r>
      <w:r w:rsidR="008A74EB" w:rsidRPr="00C9040A">
        <w:rPr>
          <w:rtl/>
        </w:rPr>
        <w:t xml:space="preserve"> ، ص 372 ، وفيهما مع اختلاف يسير</w:t>
      </w:r>
      <w:r w:rsidR="00B81EF6">
        <w:rPr>
          <w:rFonts w:hint="cs"/>
          <w:rtl/>
        </w:rPr>
        <w:t>.</w:t>
      </w:r>
      <w:r w:rsidR="008A74EB" w:rsidRPr="00993B55">
        <w:rPr>
          <w:rStyle w:val="libFootnoteBoldChar"/>
          <w:rtl/>
        </w:rPr>
        <w:t>الوافي</w:t>
      </w:r>
      <w:r w:rsidR="008A74EB" w:rsidRPr="00C9040A">
        <w:rPr>
          <w:rtl/>
        </w:rPr>
        <w:t xml:space="preserve"> ، ج 4 ، ص 468 ، ح 2363 ؛ </w:t>
      </w:r>
      <w:r w:rsidR="008A74EB" w:rsidRPr="00993B55">
        <w:rPr>
          <w:rStyle w:val="libFootnoteBoldChar"/>
          <w:rtl/>
        </w:rPr>
        <w:t>الوسائل</w:t>
      </w:r>
      <w:r w:rsidR="008A74EB" w:rsidRPr="00C9040A">
        <w:rPr>
          <w:rtl/>
        </w:rPr>
        <w:t xml:space="preserve"> ، ج 15 ، ص 272 ، ح 20493 ؛ </w:t>
      </w:r>
      <w:r w:rsidR="008A74EB" w:rsidRPr="00993B55">
        <w:rPr>
          <w:rStyle w:val="libFootnoteBoldChar"/>
          <w:rtl/>
        </w:rPr>
        <w:t>البحار</w:t>
      </w:r>
      <w:r w:rsidR="008A74EB" w:rsidRPr="00C9040A">
        <w:rPr>
          <w:rtl/>
        </w:rPr>
        <w:t xml:space="preserve"> ، ج 75 ، ص 126 ، ح 24.</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160225">
        <w:rPr>
          <w:rtl/>
        </w:rPr>
        <w:t>1865</w:t>
      </w:r>
      <w:r w:rsidRPr="00261CB0">
        <w:rPr>
          <w:rStyle w:val="libBold2Char"/>
          <w:rtl/>
        </w:rPr>
        <w:t xml:space="preserve"> / 3.</w:t>
      </w:r>
      <w:r w:rsidRPr="00C9040A">
        <w:rPr>
          <w:rtl/>
          <w:lang w:bidi="fa-IR"/>
        </w:rPr>
        <w:t xml:space="preserve"> ابْنُ أَبِي عُمَيْرٍ </w:t>
      </w:r>
      <w:r w:rsidR="006C577F" w:rsidRPr="006C577F">
        <w:rPr>
          <w:rStyle w:val="libFootnotenumChar"/>
          <w:rtl/>
        </w:rPr>
        <w:t>(1)</w:t>
      </w:r>
      <w:r w:rsidRPr="00C9040A">
        <w:rPr>
          <w:rtl/>
          <w:lang w:bidi="fa-IR"/>
        </w:rPr>
        <w:t xml:space="preserve"> ، عَنْ عَبْدِ الرَّحْمنِ بْنِ الْحَجَّاجِ :</w:t>
      </w:r>
    </w:p>
    <w:p w:rsidR="008A74EB" w:rsidRPr="00C9040A" w:rsidRDefault="008A74EB" w:rsidP="008A74EB">
      <w:pPr>
        <w:pStyle w:val="libNormal"/>
        <w:rPr>
          <w:rtl/>
          <w:lang w:bidi="fa-IR"/>
        </w:rPr>
      </w:pPr>
      <w:r w:rsidRPr="00C9040A">
        <w:rPr>
          <w:rtl/>
          <w:lang w:bidi="fa-IR"/>
        </w:rPr>
        <w:t xml:space="preserve">عَنْ أَبِي عَبْدِاللهِ </w:t>
      </w:r>
      <w:r w:rsidRPr="0003660B">
        <w:rPr>
          <w:rStyle w:val="libAlaemChar"/>
          <w:rtl/>
        </w:rPr>
        <w:t>عليه‌السلام</w:t>
      </w:r>
      <w:r w:rsidRPr="00C9040A">
        <w:rPr>
          <w:rtl/>
          <w:lang w:bidi="fa-IR"/>
        </w:rPr>
        <w:t xml:space="preserve"> ، قَالَ : « أَفْطَرَ رَسُولُ اللهِ </w:t>
      </w:r>
      <w:r w:rsidR="004A4E41" w:rsidRPr="004A4E41">
        <w:rPr>
          <w:rStyle w:val="libAlaemChar"/>
          <w:rtl/>
        </w:rPr>
        <w:t>صلى‌الله‌عليه‌وآله</w:t>
      </w:r>
      <w:r w:rsidRPr="00C9040A">
        <w:rPr>
          <w:rtl/>
          <w:lang w:bidi="fa-IR"/>
        </w:rPr>
        <w:t xml:space="preserve"> عَشِيَّةَ خَمِيسٍ فِي مَسْجِدِ قُبَا ، فَقَالَ : هَلْ مِنْ شَرَابٍ</w:t>
      </w:r>
      <w:r>
        <w:rPr>
          <w:rtl/>
          <w:lang w:bidi="fa-IR"/>
        </w:rPr>
        <w:t>؟</w:t>
      </w:r>
      <w:r w:rsidRPr="00C9040A">
        <w:rPr>
          <w:rtl/>
          <w:lang w:bidi="fa-IR"/>
        </w:rPr>
        <w:t xml:space="preserve"> فَأَتَاهُ أَوْسُ بْنُ خَوَلِيٍّ </w:t>
      </w:r>
      <w:r w:rsidR="006C577F" w:rsidRPr="006C577F">
        <w:rPr>
          <w:rStyle w:val="libFootnotenumChar"/>
          <w:rtl/>
        </w:rPr>
        <w:t>(2)</w:t>
      </w:r>
      <w:r w:rsidRPr="00C9040A">
        <w:rPr>
          <w:rtl/>
          <w:lang w:bidi="fa-IR"/>
        </w:rPr>
        <w:t xml:space="preserve"> الْأَنْصَارِيُّ بِعُسِّ </w:t>
      </w:r>
      <w:r w:rsidR="006C577F" w:rsidRPr="006C577F">
        <w:rPr>
          <w:rStyle w:val="libFootnotenumChar"/>
          <w:rtl/>
        </w:rPr>
        <w:t>(3)</w:t>
      </w:r>
      <w:r w:rsidRPr="00C9040A">
        <w:rPr>
          <w:rtl/>
          <w:lang w:bidi="fa-IR"/>
        </w:rPr>
        <w:t xml:space="preserve"> مَخِيضٍ </w:t>
      </w:r>
      <w:r w:rsidR="006C577F" w:rsidRPr="006C577F">
        <w:rPr>
          <w:rStyle w:val="libFootnotenumChar"/>
          <w:rtl/>
        </w:rPr>
        <w:t>(4)</w:t>
      </w:r>
      <w:r w:rsidRPr="00C9040A">
        <w:rPr>
          <w:rtl/>
          <w:lang w:bidi="fa-IR"/>
        </w:rPr>
        <w:t xml:space="preserve"> بِعَسَلٍ ، فَلَمَّا وَضَعَهُ عَلى فِيهِ نَحَّاهُ ، ثُمَّ </w:t>
      </w:r>
      <w:r w:rsidR="006C577F" w:rsidRPr="006C577F">
        <w:rPr>
          <w:rStyle w:val="libFootnotenumChar"/>
          <w:rtl/>
        </w:rPr>
        <w:t>(5)</w:t>
      </w:r>
      <w:r w:rsidRPr="00C9040A">
        <w:rPr>
          <w:rtl/>
          <w:lang w:bidi="fa-IR"/>
        </w:rPr>
        <w:t xml:space="preserve"> قَالَ : شَرَابَانِ يُكْتَفى بِأَحَدِهِمَا مِنْ صَاحِبِهِ ، لَا</w:t>
      </w:r>
      <w:r>
        <w:rPr>
          <w:rFonts w:hint="cs"/>
          <w:rtl/>
          <w:lang w:bidi="fa-IR"/>
        </w:rPr>
        <w:t xml:space="preserve"> </w:t>
      </w:r>
      <w:r w:rsidRPr="00C9040A">
        <w:rPr>
          <w:rtl/>
          <w:lang w:bidi="fa-IR"/>
        </w:rPr>
        <w:t xml:space="preserve">أَشْرَبُهُ ، وَلَا أُحَرِّمُهُ ، وَلكِنْ أَتَوَاضَعُ لِلّهِ ؛ فَإِنَّ </w:t>
      </w:r>
      <w:r w:rsidR="006C577F" w:rsidRPr="006C577F">
        <w:rPr>
          <w:rStyle w:val="libFootnotenumChar"/>
          <w:rtl/>
        </w:rPr>
        <w:t>(6)</w:t>
      </w:r>
      <w:r w:rsidRPr="005B567D">
        <w:rPr>
          <w:rStyle w:val="libFootnotenumChar"/>
          <w:rtl/>
        </w:rPr>
        <w:t xml:space="preserve"> </w:t>
      </w:r>
      <w:r w:rsidRPr="00C9040A">
        <w:rPr>
          <w:rtl/>
          <w:lang w:bidi="fa-IR"/>
        </w:rPr>
        <w:t xml:space="preserve">مَنْ تَوَاضَعَ لِلّهِ رَفَعَهُ اللهُ </w:t>
      </w:r>
      <w:r w:rsidR="006C577F" w:rsidRPr="006C577F">
        <w:rPr>
          <w:rStyle w:val="libFootnotenumChar"/>
          <w:rtl/>
        </w:rPr>
        <w:t>(7)</w:t>
      </w:r>
      <w:r w:rsidRPr="00C9040A">
        <w:rPr>
          <w:rtl/>
          <w:lang w:bidi="fa-IR"/>
        </w:rPr>
        <w:t xml:space="preserve"> ، وَمَنْ تَكَبَّرَ خَفَضَهُ اللهُ ، وَمَنِ اقْتَصَدَ فِي مَعِيشَتِهِ </w:t>
      </w:r>
      <w:r w:rsidR="006C577F" w:rsidRPr="006C577F">
        <w:rPr>
          <w:rStyle w:val="libFootnotenumChar"/>
          <w:rtl/>
        </w:rPr>
        <w:t>(8)</w:t>
      </w:r>
      <w:r w:rsidRPr="00C9040A">
        <w:rPr>
          <w:rtl/>
          <w:lang w:bidi="fa-IR"/>
        </w:rPr>
        <w:t xml:space="preserve"> رَزَقَهُ اللهُ ، وَمَنْ بَذَّرَ حَرَمَهُ اللهُ ، وَمَنْ أَكْثَرَ ذِكْرَ الْمَوْتِ </w:t>
      </w:r>
      <w:r w:rsidR="006C577F" w:rsidRPr="006C577F">
        <w:rPr>
          <w:rStyle w:val="libFootnotenumChar"/>
          <w:rtl/>
        </w:rPr>
        <w:t>(9)</w:t>
      </w:r>
      <w:r w:rsidRPr="00C9040A">
        <w:rPr>
          <w:rtl/>
          <w:lang w:bidi="fa-IR"/>
        </w:rPr>
        <w:t xml:space="preserve"> أَحَبَّهُ اللهُ »</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Normal"/>
        <w:rPr>
          <w:rtl/>
          <w:lang w:bidi="fa-IR"/>
        </w:rPr>
      </w:pPr>
      <w:r w:rsidRPr="00160225">
        <w:rPr>
          <w:rtl/>
        </w:rPr>
        <w:t>1866</w:t>
      </w:r>
      <w:r w:rsidRPr="00261CB0">
        <w:rPr>
          <w:rStyle w:val="libBold2Char"/>
          <w:rtl/>
        </w:rPr>
        <w:t xml:space="preserve"> / 4.</w:t>
      </w:r>
      <w:r w:rsidRPr="00C9040A">
        <w:rPr>
          <w:rtl/>
          <w:lang w:bidi="fa-IR"/>
        </w:rPr>
        <w:t xml:space="preserve"> الْحُسَيْنُ بْنُ مُحَمَّدٍ ، عَنْ مُعَلَّى بْنِ مُحَمَّدٍ ، عَنِ الْحَسَنِ بْنِ عَلِيٍّ الْوَشَّاءِ ، عَنْ دَاوُدَ الْحَمَّارِ </w:t>
      </w:r>
      <w:r w:rsidR="006C577F" w:rsidRPr="006C577F">
        <w:rPr>
          <w:rStyle w:val="libFootnotenumChar"/>
          <w:rtl/>
        </w:rPr>
        <w:t>(11)</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السند معلّق على سابقه. ويروي عن ابن أبي عمير ، عليّ بن إبراهيم عن أبيه.</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الزهد : « خولة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 العُسّ » : القدح الكبير. والجمع : عِساس ، وربّما قيل : أعساس. </w:t>
      </w:r>
      <w:r w:rsidR="008A74EB" w:rsidRPr="00993B55">
        <w:rPr>
          <w:rStyle w:val="libFootnoteBoldChar"/>
          <w:rtl/>
        </w:rPr>
        <w:t>المصباح المنير</w:t>
      </w:r>
      <w:r w:rsidR="008A74EB" w:rsidRPr="00C9040A">
        <w:rPr>
          <w:rtl/>
        </w:rPr>
        <w:t xml:space="preserve"> ، ص 409 ( عسس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الزهد : « بعُسّ من لبن مخيض »</w:t>
      </w:r>
      <w:r w:rsidR="008A74EB">
        <w:rPr>
          <w:rtl/>
        </w:rPr>
        <w:t>.</w:t>
      </w:r>
      <w:r w:rsidR="008A74EB" w:rsidRPr="00C9040A">
        <w:rPr>
          <w:rtl/>
        </w:rPr>
        <w:t xml:space="preserve"> وخاض الشراب : خَلَطَه. </w:t>
      </w:r>
      <w:r w:rsidR="008A74EB" w:rsidRPr="00993B55">
        <w:rPr>
          <w:rStyle w:val="libFootnoteBoldChar"/>
          <w:rtl/>
        </w:rPr>
        <w:t>القاموس المحيط</w:t>
      </w:r>
      <w:r w:rsidR="008A74EB" w:rsidRPr="00C9040A">
        <w:rPr>
          <w:rtl/>
        </w:rPr>
        <w:t xml:space="preserve"> ، ج 1 ، ص 869 ( خاض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ص » </w:t>
      </w:r>
      <w:r w:rsidR="008A74EB">
        <w:rPr>
          <w:rtl/>
        </w:rPr>
        <w:t xml:space="preserve">: </w:t>
      </w:r>
      <w:r w:rsidR="0084262C">
        <w:rPr>
          <w:rtl/>
        </w:rPr>
        <w:t>-</w:t>
      </w:r>
      <w:r w:rsidR="008A74EB" w:rsidRPr="00C9040A">
        <w:rPr>
          <w:rtl/>
        </w:rPr>
        <w:t xml:space="preserve"> « ثمّ »</w:t>
      </w:r>
      <w:r w:rsidR="008A74EB">
        <w:rPr>
          <w:rtl/>
        </w:rPr>
        <w:t>.</w:t>
      </w:r>
    </w:p>
    <w:p w:rsidR="008A74EB" w:rsidRPr="004A4E41" w:rsidRDefault="006C577F" w:rsidP="004A4E41">
      <w:pPr>
        <w:pStyle w:val="libFootnote0"/>
        <w:rPr>
          <w:rStyle w:val="libFootnote0Char"/>
          <w:rtl/>
        </w:rPr>
      </w:pPr>
      <w:r>
        <w:rPr>
          <w:rtl/>
        </w:rPr>
        <w:t>(6).</w:t>
      </w:r>
      <w:r w:rsidR="008A74EB">
        <w:rPr>
          <w:rtl/>
        </w:rPr>
        <w:t xml:space="preserve"> </w:t>
      </w:r>
      <w:r w:rsidR="008A74EB" w:rsidRPr="00C9040A">
        <w:rPr>
          <w:rtl/>
        </w:rPr>
        <w:t>في « ب ، د ، ز ، ص ، ف ، بر » والزهد : « فإنّه »</w:t>
      </w:r>
      <w:r w:rsidR="008A74EB">
        <w:rPr>
          <w:rtl/>
        </w:rPr>
        <w:t>.</w:t>
      </w:r>
      <w:r w:rsidR="008A74EB" w:rsidRPr="00C9040A">
        <w:rPr>
          <w:rtl/>
        </w:rPr>
        <w:t xml:space="preserve"> وفي « ج » : « إنّه »</w:t>
      </w:r>
      <w:r w:rsidR="008A74EB">
        <w:rPr>
          <w:rtl/>
        </w:rPr>
        <w:t>.</w:t>
      </w:r>
    </w:p>
    <w:tbl>
      <w:tblPr>
        <w:tblStyle w:val="TableGrid"/>
        <w:bidiVisual/>
        <w:tblW w:w="0" w:type="auto"/>
        <w:tblLook w:val="04A0" w:firstRow="1" w:lastRow="0" w:firstColumn="1" w:lastColumn="0" w:noHBand="0" w:noVBand="1"/>
      </w:tblPr>
      <w:tblGrid>
        <w:gridCol w:w="4006"/>
        <w:gridCol w:w="4006"/>
      </w:tblGrid>
      <w:tr w:rsidR="00B81EF6" w:rsidTr="00B81EF6">
        <w:tc>
          <w:tcPr>
            <w:tcW w:w="4006" w:type="dxa"/>
          </w:tcPr>
          <w:p w:rsidR="00B81EF6" w:rsidRDefault="00B81EF6" w:rsidP="004A4E41">
            <w:pPr>
              <w:pStyle w:val="libFootnote0"/>
              <w:rPr>
                <w:rtl/>
              </w:rPr>
            </w:pPr>
            <w:r>
              <w:rPr>
                <w:rtl/>
              </w:rPr>
              <w:t>(7).</w:t>
            </w:r>
            <w:r w:rsidRPr="00C9040A">
              <w:rPr>
                <w:rtl/>
              </w:rPr>
              <w:t xml:space="preserve"> في « ف » </w:t>
            </w:r>
            <w:r>
              <w:rPr>
                <w:rtl/>
              </w:rPr>
              <w:t>: -</w:t>
            </w:r>
            <w:r w:rsidRPr="00C9040A">
              <w:rPr>
                <w:rtl/>
              </w:rPr>
              <w:t xml:space="preserve"> « الله »</w:t>
            </w:r>
            <w:r>
              <w:rPr>
                <w:rtl/>
              </w:rPr>
              <w:t>.</w:t>
            </w:r>
          </w:p>
        </w:tc>
        <w:tc>
          <w:tcPr>
            <w:tcW w:w="4006" w:type="dxa"/>
          </w:tcPr>
          <w:p w:rsidR="00B81EF6" w:rsidRDefault="00B81EF6" w:rsidP="004A4E41">
            <w:pPr>
              <w:pStyle w:val="libFootnote0"/>
              <w:rPr>
                <w:rtl/>
              </w:rPr>
            </w:pPr>
            <w:r>
              <w:rPr>
                <w:rtl/>
              </w:rPr>
              <w:t>(8).</w:t>
            </w:r>
            <w:r w:rsidRPr="00C9040A">
              <w:rPr>
                <w:rtl/>
              </w:rPr>
              <w:t xml:space="preserve"> في « ج ، ز » : « معيشة »</w:t>
            </w:r>
            <w:r>
              <w:rPr>
                <w:rtl/>
              </w:rPr>
              <w:t>.</w:t>
            </w:r>
          </w:p>
        </w:tc>
      </w:tr>
    </w:tbl>
    <w:p w:rsidR="008A74EB" w:rsidRPr="00C9040A" w:rsidRDefault="006C577F" w:rsidP="004A4E41">
      <w:pPr>
        <w:pStyle w:val="libFootnote0"/>
        <w:rPr>
          <w:rtl/>
          <w:lang w:bidi="fa-IR"/>
        </w:rPr>
      </w:pPr>
      <w:r>
        <w:rPr>
          <w:rtl/>
        </w:rPr>
        <w:t>(9).</w:t>
      </w:r>
      <w:r w:rsidR="008A74EB" w:rsidRPr="00C9040A">
        <w:rPr>
          <w:rtl/>
        </w:rPr>
        <w:t xml:space="preserve"> في الزهد : « ذكر الله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w:t>
      </w:r>
      <w:r w:rsidR="008A74EB" w:rsidRPr="00993B55">
        <w:rPr>
          <w:rStyle w:val="libFootnoteBoldChar"/>
          <w:rtl/>
        </w:rPr>
        <w:t>الزهد</w:t>
      </w:r>
      <w:r w:rsidR="008A74EB" w:rsidRPr="00C9040A">
        <w:rPr>
          <w:rtl/>
        </w:rPr>
        <w:t xml:space="preserve"> ، ص 124 ، ح 151 ، عن محمّد بن أبي عمير. </w:t>
      </w:r>
      <w:r w:rsidR="008A74EB" w:rsidRPr="00993B55">
        <w:rPr>
          <w:rStyle w:val="libFootnoteBoldChar"/>
          <w:rtl/>
        </w:rPr>
        <w:t>الكافي</w:t>
      </w:r>
      <w:r w:rsidR="008A74EB" w:rsidRPr="00C9040A">
        <w:rPr>
          <w:rtl/>
        </w:rPr>
        <w:t xml:space="preserve"> ، كتاب الزكاة ، باب فضل القصد ، ح 6218 ، بسند آخر ، وتمام الرواية فيه : « من اقتصد في معيشته رزقه الله ، ومن بذّر حرمه الله » ؛ </w:t>
      </w:r>
      <w:r w:rsidR="008A74EB" w:rsidRPr="00993B55">
        <w:rPr>
          <w:rStyle w:val="libFootnoteBoldChar"/>
          <w:rtl/>
        </w:rPr>
        <w:t>المحاسن</w:t>
      </w:r>
      <w:r w:rsidR="008A74EB" w:rsidRPr="00C9040A">
        <w:rPr>
          <w:rtl/>
        </w:rPr>
        <w:t xml:space="preserve"> ، ص 409 ، كتاب المآكل ، ح 133 ، بسند آخر عن أبي عبد الله ، عن آبائه </w:t>
      </w:r>
      <w:r w:rsidR="00117575" w:rsidRPr="00117575">
        <w:rPr>
          <w:rStyle w:val="libFootnoteAlaemChar"/>
          <w:rtl/>
        </w:rPr>
        <w:t>عليهم‌السلام</w:t>
      </w:r>
      <w:r w:rsidR="008A74EB" w:rsidRPr="00C9040A">
        <w:rPr>
          <w:rtl/>
        </w:rPr>
        <w:t xml:space="preserve"> عن رسول الله </w:t>
      </w:r>
      <w:r w:rsidR="004A4E41" w:rsidRPr="0034021D">
        <w:rPr>
          <w:rStyle w:val="libFootnoteAlaemChar"/>
          <w:rtl/>
        </w:rPr>
        <w:t>صلى‌الله‌عليه‌وآله</w:t>
      </w:r>
      <w:r w:rsidR="008A74EB" w:rsidRPr="00C9040A">
        <w:rPr>
          <w:rtl/>
        </w:rPr>
        <w:t xml:space="preserve"> ، إلى قوله : « ولكن أتواضع لله » ، مع اختلاف ؛ </w:t>
      </w:r>
      <w:r w:rsidR="008A74EB" w:rsidRPr="00993B55">
        <w:rPr>
          <w:rStyle w:val="libFootnoteBoldChar"/>
          <w:rtl/>
        </w:rPr>
        <w:t>كامل الزيارات</w:t>
      </w:r>
      <w:r w:rsidR="008A74EB" w:rsidRPr="00C9040A">
        <w:rPr>
          <w:rtl/>
        </w:rPr>
        <w:t xml:space="preserve"> ، ص 270 ، الباب 88 ، ذيل الحديث الطويل 15 ، بسند آخر عن أبي عبد الله </w:t>
      </w:r>
      <w:r w:rsidR="00117575" w:rsidRPr="00117575">
        <w:rPr>
          <w:rStyle w:val="libFootnoteAlaemChar"/>
          <w:rtl/>
        </w:rPr>
        <w:t>عليه‌السلام</w:t>
      </w:r>
      <w:r w:rsidR="008A74EB" w:rsidRPr="00C9040A">
        <w:rPr>
          <w:rtl/>
        </w:rPr>
        <w:t xml:space="preserve"> ، من دون الإسناد إلى النبيّ </w:t>
      </w:r>
      <w:r w:rsidR="004A4E41" w:rsidRPr="0034021D">
        <w:rPr>
          <w:rStyle w:val="libFootnoteAlaemChar"/>
          <w:rtl/>
        </w:rPr>
        <w:t>صلى‌الله‌عليه‌وآله</w:t>
      </w:r>
      <w:r w:rsidR="008A74EB" w:rsidRPr="00C9040A">
        <w:rPr>
          <w:rtl/>
        </w:rPr>
        <w:t xml:space="preserve"> ، وتمام الرواية فيه : « من تواضع لله‌رفعه الله ، ومن تكبّر وضعه الله » ؛ </w:t>
      </w:r>
      <w:r w:rsidR="008A74EB" w:rsidRPr="00993B55">
        <w:rPr>
          <w:rStyle w:val="libFootnoteBoldChar"/>
          <w:rtl/>
        </w:rPr>
        <w:t>الأمالي</w:t>
      </w:r>
      <w:r w:rsidR="008A74EB" w:rsidRPr="00C9040A">
        <w:rPr>
          <w:rtl/>
        </w:rPr>
        <w:t xml:space="preserve"> للطوسي ، ص 56 ، المجلس 2 ، ح 49 ، وتمام ا</w:t>
      </w:r>
      <w:r w:rsidR="00E5654C">
        <w:rPr>
          <w:rtl/>
        </w:rPr>
        <w:t>لرواية فيه : « ما تواضع أحد إل</w:t>
      </w:r>
      <w:r w:rsidR="00E5654C">
        <w:rPr>
          <w:rFonts w:hint="cs"/>
          <w:rtl/>
        </w:rPr>
        <w:t>ّ</w:t>
      </w:r>
      <w:r w:rsidR="00E5654C">
        <w:rPr>
          <w:rtl/>
        </w:rPr>
        <w:t>ا</w:t>
      </w:r>
      <w:r w:rsidR="008A74EB" w:rsidRPr="00C9040A">
        <w:rPr>
          <w:rtl/>
        </w:rPr>
        <w:t xml:space="preserve">رفعه الله » ؛ </w:t>
      </w:r>
      <w:r w:rsidR="008A74EB" w:rsidRPr="00993B55">
        <w:rPr>
          <w:rStyle w:val="libFootnoteBoldChar"/>
          <w:rtl/>
        </w:rPr>
        <w:t>وفيه</w:t>
      </w:r>
      <w:r w:rsidR="008A74EB" w:rsidRPr="00C9040A">
        <w:rPr>
          <w:rtl/>
        </w:rPr>
        <w:t xml:space="preserve"> ، ص 182 ، المجلس 7 ، ضمن الحديث الطويل 8 ، وتمامه فيه : « ومن تواضع لله‌رفعه الله » ، وفيهما بسند آخر عن رسول الله </w:t>
      </w:r>
      <w:r w:rsidR="004A4E41" w:rsidRPr="0034021D">
        <w:rPr>
          <w:rStyle w:val="libFootnoteAlaemChar"/>
          <w:rtl/>
        </w:rPr>
        <w:t>صلى‌الله‌عليه‌وآله</w:t>
      </w:r>
      <w:r w:rsidR="008A74EB" w:rsidRPr="00C9040A">
        <w:rPr>
          <w:rtl/>
        </w:rPr>
        <w:t xml:space="preserve">. </w:t>
      </w:r>
      <w:r w:rsidR="008A74EB" w:rsidRPr="00993B55">
        <w:rPr>
          <w:rStyle w:val="libFootnoteBoldChar"/>
          <w:rtl/>
        </w:rPr>
        <w:t>تحف العقول</w:t>
      </w:r>
      <w:r w:rsidR="008A74EB" w:rsidRPr="00C9040A">
        <w:rPr>
          <w:rtl/>
        </w:rPr>
        <w:t xml:space="preserve"> ، ص 46 ، عن رسول الله </w:t>
      </w:r>
      <w:r w:rsidR="004A4E41" w:rsidRPr="0034021D">
        <w:rPr>
          <w:rStyle w:val="libFootnoteAlaemChar"/>
          <w:rtl/>
        </w:rPr>
        <w:t>صلى‌الله‌عليه‌وآله</w:t>
      </w:r>
      <w:r w:rsidR="008A74EB" w:rsidRPr="00C9040A">
        <w:rPr>
          <w:rtl/>
        </w:rPr>
        <w:t xml:space="preserve"> ، مع اختلاف يسير</w:t>
      </w:r>
      <w:r w:rsidR="00E5654C">
        <w:rPr>
          <w:rFonts w:hint="cs"/>
          <w:rtl/>
        </w:rPr>
        <w:t>.</w:t>
      </w:r>
      <w:r w:rsidR="008A74EB" w:rsidRPr="00993B55">
        <w:rPr>
          <w:rStyle w:val="libFootnoteBoldChar"/>
          <w:rtl/>
        </w:rPr>
        <w:t>الوافي</w:t>
      </w:r>
      <w:r w:rsidR="008A74EB" w:rsidRPr="00C9040A">
        <w:rPr>
          <w:rtl/>
        </w:rPr>
        <w:t xml:space="preserve"> ، ج 4 ، ص 468 ، ج 2364 ؛ </w:t>
      </w:r>
      <w:r w:rsidR="008A74EB" w:rsidRPr="00993B55">
        <w:rPr>
          <w:rStyle w:val="libFootnoteBoldChar"/>
          <w:rtl/>
        </w:rPr>
        <w:t>الوسائل</w:t>
      </w:r>
      <w:r w:rsidR="008A74EB" w:rsidRPr="00C9040A">
        <w:rPr>
          <w:rtl/>
        </w:rPr>
        <w:t xml:space="preserve"> ، ج 15 ، ص 277 ، ح 20505 ؛ </w:t>
      </w:r>
      <w:r w:rsidR="008A74EB" w:rsidRPr="00993B55">
        <w:rPr>
          <w:rStyle w:val="libFootnoteBoldChar"/>
          <w:rtl/>
        </w:rPr>
        <w:t>البحار</w:t>
      </w:r>
      <w:r w:rsidR="008A74EB" w:rsidRPr="00C9040A">
        <w:rPr>
          <w:rtl/>
        </w:rPr>
        <w:t xml:space="preserve"> ، ج 16 ، ص 265 ، ح 64 ؛ وج 75 ، ص 126 ، ح 25.</w:t>
      </w:r>
    </w:p>
    <w:p w:rsidR="008A74EB" w:rsidRPr="00C9040A" w:rsidRDefault="006C577F" w:rsidP="004A4E41">
      <w:pPr>
        <w:pStyle w:val="libFootnote0"/>
        <w:rPr>
          <w:rtl/>
          <w:lang w:bidi="fa-IR"/>
        </w:rPr>
      </w:pPr>
      <w:r>
        <w:rPr>
          <w:rtl/>
        </w:rPr>
        <w:t>(11).</w:t>
      </w:r>
      <w:r w:rsidR="008A74EB" w:rsidRPr="00C9040A">
        <w:rPr>
          <w:rtl/>
        </w:rPr>
        <w:t xml:space="preserve"> في « بر » : « الحمّاز »</w:t>
      </w:r>
      <w:r w:rsidR="008A74EB">
        <w:rPr>
          <w:rtl/>
        </w:rPr>
        <w:t>.</w:t>
      </w:r>
      <w:r w:rsidR="008A74EB" w:rsidRPr="00C9040A">
        <w:rPr>
          <w:rtl/>
        </w:rPr>
        <w:t xml:space="preserve"> وفي حاشية « ج ، بف » : « الجمّاز »</w:t>
      </w:r>
      <w:r w:rsidR="008A74EB">
        <w:rPr>
          <w:rtl/>
        </w:rPr>
        <w:t>.</w:t>
      </w:r>
      <w:r w:rsidR="008A74EB" w:rsidRPr="00C9040A">
        <w:rPr>
          <w:rtl/>
        </w:rPr>
        <w:t xml:space="preserve"> وداود هذا ، هو داود بن سليمان الحَمّار. راجع : </w:t>
      </w:r>
      <w:r w:rsidR="00E5654C">
        <w:rPr>
          <w:rFonts w:hint="cs"/>
          <w:rtl/>
        </w:rPr>
        <w:t>=</w:t>
      </w:r>
    </w:p>
    <w:p w:rsidR="004B7F34" w:rsidRDefault="004B7F34" w:rsidP="004B7F34">
      <w:pPr>
        <w:pStyle w:val="libNormal"/>
        <w:rPr>
          <w:rtl/>
          <w:lang w:bidi="fa-IR"/>
        </w:rPr>
      </w:pPr>
      <w:r>
        <w:rPr>
          <w:rtl/>
          <w:lang w:bidi="fa-IR"/>
        </w:rPr>
        <w:br w:type="page"/>
      </w:r>
    </w:p>
    <w:p w:rsidR="008A74EB" w:rsidRDefault="008A74EB" w:rsidP="003D7538">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مِثْلَهُ </w:t>
      </w:r>
      <w:r w:rsidR="006C577F" w:rsidRPr="006C577F">
        <w:rPr>
          <w:rStyle w:val="libFootnotenumChar"/>
          <w:rtl/>
        </w:rPr>
        <w:t>(1)</w:t>
      </w:r>
      <w:r w:rsidR="003D7538" w:rsidRPr="00C9040A">
        <w:rPr>
          <w:rtl/>
          <w:lang w:bidi="fa-IR"/>
        </w:rPr>
        <w:t xml:space="preserve"> </w:t>
      </w:r>
      <w:r w:rsidRPr="00C9040A">
        <w:rPr>
          <w:rtl/>
          <w:lang w:bidi="fa-IR"/>
        </w:rPr>
        <w:t xml:space="preserve">وَقَالَ : « مَنْ أَكْثَرَ ذِكْرَ اللهِ ، أَظَلَّهُ اللهُ فِي جَنَّتِهِ </w:t>
      </w:r>
      <w:r w:rsidR="006C577F" w:rsidRPr="006C577F">
        <w:rPr>
          <w:rStyle w:val="libFootnotenumChar"/>
          <w:rtl/>
        </w:rPr>
        <w:t>(2)</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(3)</w:t>
      </w:r>
    </w:p>
    <w:p w:rsidR="008A74EB" w:rsidRPr="00C9040A" w:rsidRDefault="008A74EB" w:rsidP="008A74EB">
      <w:pPr>
        <w:pStyle w:val="libNormal"/>
        <w:rPr>
          <w:rtl/>
          <w:lang w:bidi="fa-IR"/>
        </w:rPr>
      </w:pPr>
      <w:r w:rsidRPr="00B40282">
        <w:rPr>
          <w:rtl/>
        </w:rPr>
        <w:t>1867</w:t>
      </w:r>
      <w:r w:rsidRPr="00261CB0">
        <w:rPr>
          <w:rStyle w:val="libBold2Char"/>
          <w:rtl/>
        </w:rPr>
        <w:t xml:space="preserve"> / 5.</w:t>
      </w:r>
      <w:r w:rsidRPr="00C9040A">
        <w:rPr>
          <w:rtl/>
          <w:lang w:bidi="fa-IR"/>
        </w:rPr>
        <w:t xml:space="preserve"> عِدَّةٌ مِنْ أَصْحَابِنَا ، عَنْ أَحْمَدَ بْنِ مُحَمَّدِ بْنِ خَالِدٍ ، عَنِ ابْنِ فَضَّالٍ ، عَنِ الْعَلَاءِ بْنِ رَزِينٍ ، عَنْ مُحَمَّدِ بْنِ مُسْلِمٍ ، قَالَ :</w:t>
      </w:r>
    </w:p>
    <w:p w:rsidR="008A74EB" w:rsidRPr="00C9040A" w:rsidRDefault="008A74EB" w:rsidP="003D7538">
      <w:pPr>
        <w:pStyle w:val="libNormal"/>
        <w:rPr>
          <w:rtl/>
          <w:lang w:bidi="fa-IR"/>
        </w:rPr>
      </w:pPr>
      <w:r w:rsidRPr="00C9040A">
        <w:rPr>
          <w:rtl/>
          <w:lang w:bidi="fa-IR"/>
        </w:rPr>
        <w:t xml:space="preserve">سَمِعْتُ أَبَا جَعْفَرٍ </w:t>
      </w:r>
      <w:r w:rsidRPr="0003660B">
        <w:rPr>
          <w:rStyle w:val="libAlaemChar"/>
          <w:rtl/>
        </w:rPr>
        <w:t>عليه‌السلام</w:t>
      </w:r>
      <w:r w:rsidRPr="00C9040A">
        <w:rPr>
          <w:rtl/>
          <w:lang w:bidi="fa-IR"/>
        </w:rPr>
        <w:t xml:space="preserve"> يَذْكُرُ أَنَّهُ : « أَتى رَسُولَ اللهِ </w:t>
      </w:r>
      <w:r w:rsidR="004A4E41" w:rsidRPr="004A4E41">
        <w:rPr>
          <w:rStyle w:val="libAlaemChar"/>
          <w:rtl/>
        </w:rPr>
        <w:t>صلى‌الله‌عليه‌وآله</w:t>
      </w:r>
      <w:r w:rsidRPr="00C9040A">
        <w:rPr>
          <w:rtl/>
          <w:lang w:bidi="fa-IR"/>
        </w:rPr>
        <w:t xml:space="preserve"> مَلَكٌ </w:t>
      </w:r>
      <w:r w:rsidR="006C577F" w:rsidRPr="006C577F">
        <w:rPr>
          <w:rStyle w:val="libFootnotenumChar"/>
          <w:rtl/>
        </w:rPr>
        <w:t>(4)</w:t>
      </w:r>
      <w:r w:rsidRPr="00C9040A">
        <w:rPr>
          <w:rtl/>
          <w:lang w:bidi="fa-IR"/>
        </w:rPr>
        <w:t xml:space="preserve"> ، فَقَالَ : إِنَّ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يُخَيِّرُكَ أَنْ تَكُونَ </w:t>
      </w:r>
      <w:r w:rsidR="006C577F" w:rsidRPr="006C577F">
        <w:rPr>
          <w:rStyle w:val="libFootnotenumChar"/>
          <w:rtl/>
        </w:rPr>
        <w:t>(5)</w:t>
      </w:r>
      <w:r w:rsidRPr="00C9040A">
        <w:rPr>
          <w:rtl/>
          <w:lang w:bidi="fa-IR"/>
        </w:rPr>
        <w:t xml:space="preserve"> عَبْداً رَسُولاً مُتَوَاضِعاً </w:t>
      </w:r>
      <w:r w:rsidR="006C577F" w:rsidRPr="006C577F">
        <w:rPr>
          <w:rStyle w:val="libFootnotenumChar"/>
          <w:rtl/>
        </w:rPr>
        <w:t>(6)</w:t>
      </w:r>
      <w:r w:rsidR="003D7538" w:rsidRPr="00C9040A">
        <w:rPr>
          <w:rtl/>
          <w:lang w:bidi="fa-IR"/>
        </w:rPr>
        <w:t xml:space="preserve"> </w:t>
      </w:r>
      <w:r w:rsidRPr="00C9040A">
        <w:rPr>
          <w:rtl/>
          <w:lang w:bidi="fa-IR"/>
        </w:rPr>
        <w:t>، أَوْ مَلِكاً رَسُولاً »</w:t>
      </w:r>
      <w:r>
        <w:rPr>
          <w:rtl/>
          <w:lang w:bidi="fa-IR"/>
        </w:rPr>
        <w:t>.</w:t>
      </w:r>
    </w:p>
    <w:p w:rsidR="008A74EB" w:rsidRPr="00C9040A" w:rsidRDefault="008A74EB" w:rsidP="008A74EB">
      <w:pPr>
        <w:pStyle w:val="libNormal"/>
        <w:rPr>
          <w:rtl/>
          <w:lang w:bidi="fa-IR"/>
        </w:rPr>
      </w:pPr>
      <w:r w:rsidRPr="00C9040A">
        <w:rPr>
          <w:rtl/>
          <w:lang w:bidi="fa-IR"/>
        </w:rPr>
        <w:t xml:space="preserve">قَالَ </w:t>
      </w:r>
      <w:r w:rsidR="006C577F" w:rsidRPr="006C577F">
        <w:rPr>
          <w:rStyle w:val="libFootnotenumChar"/>
          <w:rtl/>
        </w:rPr>
        <w:t>(7)</w:t>
      </w:r>
      <w:r w:rsidRPr="00C9040A">
        <w:rPr>
          <w:rtl/>
          <w:lang w:bidi="fa-IR"/>
        </w:rPr>
        <w:t xml:space="preserve"> : « فَنَظَرَ إِلى جَبْرَئِيلَ </w:t>
      </w:r>
      <w:r w:rsidR="006C577F" w:rsidRPr="006C577F">
        <w:rPr>
          <w:rStyle w:val="libFootnotenumChar"/>
          <w:rtl/>
        </w:rPr>
        <w:t>(8)</w:t>
      </w:r>
      <w:r w:rsidRPr="00C9040A">
        <w:rPr>
          <w:rtl/>
          <w:lang w:bidi="fa-IR"/>
        </w:rPr>
        <w:t xml:space="preserve"> ، وَأَوْمَأَ بِيَدِهِ : أَنْ تَوَاضَعْ ، فَقَالَ : عَبْداً مُتَوَاضِعاً رَسُولاً </w:t>
      </w:r>
      <w:r w:rsidR="006C577F" w:rsidRPr="006C577F">
        <w:rPr>
          <w:rStyle w:val="libFootnotenumChar"/>
          <w:rtl/>
        </w:rPr>
        <w:t>(9)</w:t>
      </w:r>
      <w:r w:rsidRPr="00C9040A">
        <w:rPr>
          <w:rtl/>
          <w:lang w:bidi="fa-IR"/>
        </w:rPr>
        <w:t xml:space="preserve"> ، فَقَالَ الرَّسُولُ </w:t>
      </w:r>
      <w:r w:rsidR="006C577F" w:rsidRPr="006C577F">
        <w:rPr>
          <w:rStyle w:val="libFootnotenumChar"/>
          <w:rtl/>
        </w:rPr>
        <w:t>(10)</w:t>
      </w:r>
      <w:r w:rsidRPr="00C9040A">
        <w:rPr>
          <w:rtl/>
          <w:lang w:bidi="fa-IR"/>
        </w:rPr>
        <w:t xml:space="preserve"> : مَعَ أَنَّهُ لَايَنْقُصُكَ مِمَّا عِنْدَ رَبِّكَ شَيْئاً » قَالَ </w:t>
      </w:r>
      <w:r w:rsidR="006C577F" w:rsidRPr="006C577F">
        <w:rPr>
          <w:rStyle w:val="libFootnotenumChar"/>
          <w:rtl/>
        </w:rPr>
        <w:t>(11)</w:t>
      </w:r>
      <w:r w:rsidRPr="00C9040A">
        <w:rPr>
          <w:rtl/>
          <w:lang w:bidi="fa-IR"/>
        </w:rPr>
        <w:t xml:space="preserve"> : « وَمَعَهُ مَفَاتِيحُ خَزَائِنِ الْأَرْضِ </w:t>
      </w:r>
      <w:r w:rsidR="006C577F" w:rsidRPr="006C577F">
        <w:rPr>
          <w:rStyle w:val="libFootnotenumChar"/>
          <w:rtl/>
        </w:rPr>
        <w:t>(12)</w:t>
      </w:r>
      <w:r w:rsidRPr="00C9040A">
        <w:rPr>
          <w:rtl/>
          <w:lang w:bidi="fa-IR"/>
        </w:rPr>
        <w:t xml:space="preserve"> »</w:t>
      </w:r>
      <w:r>
        <w:rPr>
          <w:rtl/>
          <w:lang w:bidi="fa-IR"/>
        </w:rPr>
        <w:t>.</w:t>
      </w:r>
      <w:r w:rsidRPr="00C9040A">
        <w:rPr>
          <w:rtl/>
          <w:lang w:bidi="fa-IR"/>
        </w:rPr>
        <w:t xml:space="preserve"> </w:t>
      </w:r>
      <w:r w:rsidRPr="005B567D">
        <w:rPr>
          <w:rStyle w:val="libFootnotenumChar"/>
          <w:rtl/>
        </w:rPr>
        <w:t>(13)</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B51DB8" w:rsidP="004A4E41">
      <w:pPr>
        <w:pStyle w:val="libFootnote0"/>
        <w:rPr>
          <w:rtl/>
          <w:lang w:bidi="fa-IR"/>
        </w:rPr>
      </w:pPr>
      <w:r w:rsidRPr="00B51DB8">
        <w:rPr>
          <w:rFonts w:hint="cs"/>
          <w:rtl/>
        </w:rPr>
        <w:t xml:space="preserve">= </w:t>
      </w:r>
      <w:r w:rsidR="008A74EB" w:rsidRPr="00993B55">
        <w:rPr>
          <w:rStyle w:val="libFootnoteBoldChar"/>
          <w:rtl/>
        </w:rPr>
        <w:t>رجال النجاشى</w:t>
      </w:r>
      <w:r w:rsidR="008A74EB" w:rsidRPr="00C9040A">
        <w:rPr>
          <w:rtl/>
        </w:rPr>
        <w:t xml:space="preserve"> ، ص 160 ، الرقم 423 ؛ </w:t>
      </w:r>
      <w:r w:rsidR="008A74EB" w:rsidRPr="00993B55">
        <w:rPr>
          <w:rStyle w:val="libFootnoteBoldChar"/>
          <w:rtl/>
        </w:rPr>
        <w:t>رجال الطوسي</w:t>
      </w:r>
      <w:r w:rsidR="008A74EB" w:rsidRPr="00C9040A">
        <w:rPr>
          <w:rtl/>
        </w:rPr>
        <w:t xml:space="preserve"> ، ص 202 ، الرقم 2573.</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ج ، بر » : + « قال »</w:t>
      </w:r>
      <w:r w:rsidR="008A74EB">
        <w:rPr>
          <w:rtl/>
        </w:rPr>
        <w:t>.</w:t>
      </w:r>
      <w:r w:rsidR="008A74EB" w:rsidRPr="00C9040A">
        <w:rPr>
          <w:rtl/>
        </w:rPr>
        <w:t xml:space="preserve"> وفي « بس » </w:t>
      </w:r>
      <w:r w:rsidR="008A74EB">
        <w:rPr>
          <w:rtl/>
        </w:rPr>
        <w:t xml:space="preserve">: </w:t>
      </w:r>
      <w:r w:rsidR="0084262C">
        <w:rPr>
          <w:rtl/>
        </w:rPr>
        <w:t>-</w:t>
      </w:r>
      <w:r w:rsidR="008A74EB" w:rsidRPr="00C9040A">
        <w:rPr>
          <w:rtl/>
        </w:rPr>
        <w:t xml:space="preserve"> « مثله »</w:t>
      </w:r>
      <w:r w:rsidR="008A74EB">
        <w:rPr>
          <w:rtl/>
        </w:rPr>
        <w:t>.</w:t>
      </w:r>
      <w:r w:rsidR="008A74EB" w:rsidRPr="00C9040A">
        <w:rPr>
          <w:rtl/>
        </w:rPr>
        <w:t xml:space="preserve"> وفي الوسائل والكافي ، ح 3202 </w:t>
      </w:r>
      <w:r w:rsidR="008A74EB">
        <w:rPr>
          <w:rtl/>
        </w:rPr>
        <w:t xml:space="preserve">: </w:t>
      </w:r>
      <w:r w:rsidR="0084262C">
        <w:rPr>
          <w:rtl/>
        </w:rPr>
        <w:t>-</w:t>
      </w:r>
      <w:r w:rsidR="008A74EB" w:rsidRPr="00C9040A">
        <w:rPr>
          <w:rtl/>
        </w:rPr>
        <w:t xml:space="preserve"> « مثله </w:t>
      </w:r>
      <w:r w:rsidR="008A74EB">
        <w:rPr>
          <w:rtl/>
        </w:rPr>
        <w:t>و ».</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w:t>
      </w:r>
      <w:r w:rsidR="008A74EB" w:rsidRPr="00993B55">
        <w:rPr>
          <w:rStyle w:val="libFootnoteBoldChar"/>
          <w:rtl/>
        </w:rPr>
        <w:t>مرآة العقول</w:t>
      </w:r>
      <w:r w:rsidR="008A74EB" w:rsidRPr="00C9040A">
        <w:rPr>
          <w:rtl/>
        </w:rPr>
        <w:t xml:space="preserve"> : « أي آواه تحت قصورها وأشجارها ، أو وقع عليه ظلّ رحمته ، أو أدخله في كنفه وحمايته ، كما يقال : فلان في ظلّ فلان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w:t>
      </w:r>
      <w:r w:rsidR="008A74EB" w:rsidRPr="00993B55">
        <w:rPr>
          <w:rStyle w:val="libFootnoteBoldChar"/>
          <w:rtl/>
        </w:rPr>
        <w:t>الكافي</w:t>
      </w:r>
      <w:r w:rsidR="008A74EB" w:rsidRPr="00C9040A">
        <w:rPr>
          <w:rtl/>
        </w:rPr>
        <w:t xml:space="preserve"> ، كتاب الدعاء ، باب ذكر الله عزّ وجلّ كثيراً ، ح 3202</w:t>
      </w:r>
      <w:r w:rsidR="00B51DB8">
        <w:rPr>
          <w:rFonts w:hint="cs"/>
          <w:rtl/>
        </w:rPr>
        <w:t>.</w:t>
      </w:r>
      <w:r w:rsidR="008A74EB" w:rsidRPr="00993B55">
        <w:rPr>
          <w:rStyle w:val="libFootnoteBoldChar"/>
          <w:rtl/>
        </w:rPr>
        <w:t>الوافي</w:t>
      </w:r>
      <w:r w:rsidR="008A74EB" w:rsidRPr="00C9040A">
        <w:rPr>
          <w:rtl/>
        </w:rPr>
        <w:t xml:space="preserve"> ، ج 4 ، ص 468 ، ح 2365 ؛ </w:t>
      </w:r>
      <w:r w:rsidR="008A74EB" w:rsidRPr="00993B55">
        <w:rPr>
          <w:rStyle w:val="libFootnoteBoldChar"/>
          <w:rtl/>
        </w:rPr>
        <w:t>الوسائل</w:t>
      </w:r>
      <w:r w:rsidR="008A74EB" w:rsidRPr="00C9040A">
        <w:rPr>
          <w:rtl/>
        </w:rPr>
        <w:t xml:space="preserve"> ، ج 7 ، ص 156 ، ح 8990 ؛ </w:t>
      </w:r>
      <w:r w:rsidR="008A74EB" w:rsidRPr="00993B55">
        <w:rPr>
          <w:rStyle w:val="libFootnoteBoldChar"/>
          <w:rtl/>
        </w:rPr>
        <w:t>البحار</w:t>
      </w:r>
      <w:r w:rsidR="008A74EB" w:rsidRPr="00C9040A">
        <w:rPr>
          <w:rtl/>
        </w:rPr>
        <w:t xml:space="preserve"> ، ج 75 ، ص 127 ، ح 26.</w:t>
      </w:r>
    </w:p>
    <w:p w:rsidR="008A74EB" w:rsidRPr="00C9040A" w:rsidRDefault="006C577F" w:rsidP="004A4E41">
      <w:pPr>
        <w:pStyle w:val="libFootnote0"/>
        <w:rPr>
          <w:rtl/>
          <w:lang w:bidi="fa-IR"/>
        </w:rPr>
      </w:pPr>
      <w:r>
        <w:rPr>
          <w:rtl/>
        </w:rPr>
        <w:t>(4).</w:t>
      </w:r>
      <w:r w:rsidR="008A74EB" w:rsidRPr="00C9040A">
        <w:rPr>
          <w:rtl/>
        </w:rPr>
        <w:t xml:space="preserve"> في « ص » </w:t>
      </w:r>
      <w:r w:rsidR="008A74EB">
        <w:rPr>
          <w:rtl/>
        </w:rPr>
        <w:t xml:space="preserve">: </w:t>
      </w:r>
      <w:r w:rsidR="0084262C">
        <w:rPr>
          <w:rtl/>
        </w:rPr>
        <w:t>-</w:t>
      </w:r>
      <w:r w:rsidR="008A74EB" w:rsidRPr="00C9040A">
        <w:rPr>
          <w:rtl/>
        </w:rPr>
        <w:t xml:space="preserve"> « ملك »</w:t>
      </w:r>
      <w:r w:rsidR="008A74EB">
        <w:rPr>
          <w:rtl/>
        </w:rPr>
        <w:t>.</w:t>
      </w:r>
      <w:r w:rsidR="008A74EB" w:rsidRPr="00C9040A">
        <w:rPr>
          <w:rtl/>
        </w:rPr>
        <w:t xml:space="preserve"> وفي حاشية « ز » : « جبرئيل </w:t>
      </w:r>
      <w:r w:rsidR="00117575" w:rsidRPr="00117575">
        <w:rPr>
          <w:rStyle w:val="libFootnoteAlaemChar"/>
          <w:rtl/>
        </w:rPr>
        <w:t>عليه‌السلام</w:t>
      </w:r>
      <w:r w:rsidR="008A74EB" w:rsidRPr="00C9040A">
        <w:rPr>
          <w:rtl/>
        </w:rPr>
        <w:t xml:space="preserve">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ز » </w:t>
      </w:r>
      <w:r w:rsidR="008A74EB">
        <w:rPr>
          <w:rtl/>
        </w:rPr>
        <w:t xml:space="preserve">: </w:t>
      </w:r>
      <w:r w:rsidR="0084262C">
        <w:rPr>
          <w:rtl/>
        </w:rPr>
        <w:t>-</w:t>
      </w:r>
      <w:r w:rsidR="008A74EB" w:rsidRPr="00C9040A">
        <w:rPr>
          <w:rtl/>
        </w:rPr>
        <w:t xml:space="preserve"> « أن تكون »</w:t>
      </w:r>
      <w:r w:rsidR="008A74EB">
        <w:rPr>
          <w:rtl/>
        </w:rPr>
        <w:t>.</w:t>
      </w:r>
      <w:r w:rsidR="000B6131">
        <w:rPr>
          <w:rFonts w:hint="cs"/>
          <w:rtl/>
        </w:rPr>
        <w:t xml:space="preserve">              </w:t>
      </w:r>
      <w:r>
        <w:rPr>
          <w:rtl/>
        </w:rPr>
        <w:t>(6).</w:t>
      </w:r>
      <w:r w:rsidR="000B6131">
        <w:rPr>
          <w:rtl/>
        </w:rPr>
        <w:t>في«ص»:«يخيّرك عبداًرسولاً</w:t>
      </w:r>
      <w:r w:rsidR="008A74EB" w:rsidRPr="00C9040A">
        <w:rPr>
          <w:rtl/>
        </w:rPr>
        <w:t>»</w:t>
      </w:r>
      <w:r w:rsidR="000B6131">
        <w:rPr>
          <w:rtl/>
        </w:rPr>
        <w:t>بدل«فقال:</w:t>
      </w:r>
      <w:r w:rsidR="008A74EB" w:rsidRPr="00C9040A">
        <w:rPr>
          <w:rtl/>
        </w:rPr>
        <w:t>إنّ الله</w:t>
      </w:r>
      <w:r w:rsidR="0084262C">
        <w:rPr>
          <w:rtl/>
        </w:rPr>
        <w:t>-</w:t>
      </w:r>
      <w:r w:rsidR="008A74EB" w:rsidRPr="00C9040A">
        <w:rPr>
          <w:rtl/>
        </w:rPr>
        <w:t>إلى</w:t>
      </w:r>
      <w:r w:rsidR="0084262C">
        <w:rPr>
          <w:rtl/>
        </w:rPr>
        <w:t>-</w:t>
      </w:r>
      <w:r w:rsidR="000B6131">
        <w:rPr>
          <w:rtl/>
        </w:rPr>
        <w:t>متواضعاً</w:t>
      </w:r>
      <w:r w:rsidR="008A74EB" w:rsidRPr="00C9040A">
        <w:rPr>
          <w:rtl/>
        </w:rPr>
        <w:t>»</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w:t>
      </w:r>
      <w:r w:rsidR="008A74EB" w:rsidRPr="00993B55">
        <w:rPr>
          <w:rStyle w:val="libFootnoteBoldChar"/>
          <w:rtl/>
        </w:rPr>
        <w:t>مرآة العقول</w:t>
      </w:r>
      <w:r w:rsidR="008A74EB" w:rsidRPr="00C9040A">
        <w:rPr>
          <w:rtl/>
        </w:rPr>
        <w:t xml:space="preserve"> ، ج 8 ، ص 248 : « أي قال أبو جعفر </w:t>
      </w:r>
      <w:r w:rsidR="00117575" w:rsidRPr="00117575">
        <w:rPr>
          <w:rStyle w:val="libFootnoteAlaemChar"/>
          <w:rtl/>
        </w:rPr>
        <w:t>عليه‌السلام</w:t>
      </w:r>
      <w:r w:rsidR="008A74EB" w:rsidRPr="00C9040A">
        <w:rPr>
          <w:rtl/>
        </w:rPr>
        <w:t xml:space="preserve"> : فنظر الرسول إلى جبرئيل</w:t>
      </w:r>
      <w:r w:rsidR="008A74EB">
        <w:rPr>
          <w:rtl/>
        </w:rPr>
        <w:t xml:space="preserve"> ..</w:t>
      </w:r>
      <w:r w:rsidR="008A74EB" w:rsidRPr="00C9040A">
        <w:rPr>
          <w:rtl/>
        </w:rPr>
        <w:t xml:space="preserve">. ويحتمل أن يكون‌المستتر في « قال » راجعاً إلى الرسول ، </w:t>
      </w:r>
      <w:r w:rsidR="008A74EB">
        <w:rPr>
          <w:rtl/>
        </w:rPr>
        <w:t>و «</w:t>
      </w:r>
      <w:r w:rsidR="008A74EB" w:rsidRPr="00C9040A">
        <w:rPr>
          <w:rtl/>
        </w:rPr>
        <w:t xml:space="preserve"> إليّ » بالتشديد. وكأنّ الأوّل أظهر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w:t>
      </w:r>
      <w:r w:rsidR="008A74EB" w:rsidRPr="00993B55">
        <w:rPr>
          <w:rStyle w:val="libFootnoteBoldChar"/>
          <w:rtl/>
        </w:rPr>
        <w:t>الوافي</w:t>
      </w:r>
      <w:r w:rsidR="008A74EB" w:rsidRPr="00C9040A">
        <w:rPr>
          <w:rtl/>
        </w:rPr>
        <w:t xml:space="preserve"> : « فنظر إلى جبرئيل كأنّه يستشيره. وهذه الجملة وما بعدها معترضة »</w:t>
      </w:r>
      <w:r w:rsidR="008A74EB">
        <w:rPr>
          <w:rtl/>
        </w:rPr>
        <w:t>.</w:t>
      </w:r>
    </w:p>
    <w:p w:rsidR="008A74EB" w:rsidRPr="004A4E41" w:rsidRDefault="006C577F" w:rsidP="004A4E41">
      <w:pPr>
        <w:pStyle w:val="libFootnote0"/>
        <w:rPr>
          <w:rStyle w:val="libFootnote0Char"/>
          <w:rtl/>
        </w:rPr>
      </w:pPr>
      <w:r>
        <w:rPr>
          <w:rtl/>
        </w:rPr>
        <w:t>(9).</w:t>
      </w:r>
      <w:r w:rsidR="008A74EB" w:rsidRPr="00C9040A">
        <w:rPr>
          <w:rtl/>
        </w:rPr>
        <w:t xml:space="preserve"> في « ص » والوافي </w:t>
      </w:r>
      <w:r w:rsidR="008A74EB">
        <w:rPr>
          <w:rtl/>
        </w:rPr>
        <w:t xml:space="preserve">: </w:t>
      </w:r>
      <w:r w:rsidR="0084262C">
        <w:rPr>
          <w:rtl/>
        </w:rPr>
        <w:t>-</w:t>
      </w:r>
      <w:r w:rsidR="008A74EB" w:rsidRPr="00C9040A">
        <w:rPr>
          <w:rtl/>
        </w:rPr>
        <w:t xml:space="preserve"> « متواضعاً »</w:t>
      </w:r>
      <w:r w:rsidR="008A74EB">
        <w:rPr>
          <w:rtl/>
        </w:rPr>
        <w:t>.</w:t>
      </w:r>
      <w:r w:rsidR="008A74EB" w:rsidRPr="00C9040A">
        <w:rPr>
          <w:rtl/>
        </w:rPr>
        <w:t xml:space="preserve"> وفي « ف » : « عبداً رسولاً متواضعاً »</w:t>
      </w:r>
      <w:r w:rsidR="008A74EB">
        <w:rPr>
          <w:rtl/>
        </w:rPr>
        <w:t>.</w:t>
      </w:r>
    </w:p>
    <w:tbl>
      <w:tblPr>
        <w:tblStyle w:val="TableGrid"/>
        <w:bidiVisual/>
        <w:tblW w:w="0" w:type="auto"/>
        <w:tblLook w:val="04A0" w:firstRow="1" w:lastRow="0" w:firstColumn="1" w:lastColumn="0" w:noHBand="0" w:noVBand="1"/>
      </w:tblPr>
      <w:tblGrid>
        <w:gridCol w:w="4006"/>
        <w:gridCol w:w="4006"/>
      </w:tblGrid>
      <w:tr w:rsidR="00063F1F" w:rsidTr="00063F1F">
        <w:tc>
          <w:tcPr>
            <w:tcW w:w="4006" w:type="dxa"/>
          </w:tcPr>
          <w:p w:rsidR="00063F1F" w:rsidRDefault="00063F1F" w:rsidP="004A4E41">
            <w:pPr>
              <w:pStyle w:val="libFootnote0"/>
              <w:rPr>
                <w:rtl/>
              </w:rPr>
            </w:pPr>
            <w:r>
              <w:rPr>
                <w:rtl/>
              </w:rPr>
              <w:t>(10).</w:t>
            </w:r>
            <w:r w:rsidRPr="00C9040A">
              <w:rPr>
                <w:rtl/>
              </w:rPr>
              <w:t xml:space="preserve"> في </w:t>
            </w:r>
            <w:r w:rsidRPr="00993B55">
              <w:rPr>
                <w:rStyle w:val="libFootnoteBoldChar"/>
                <w:rtl/>
              </w:rPr>
              <w:t>الوافي</w:t>
            </w:r>
            <w:r w:rsidRPr="00C9040A">
              <w:rPr>
                <w:rtl/>
              </w:rPr>
              <w:t xml:space="preserve"> : « فقال الرسول ، يعني الملك »</w:t>
            </w:r>
            <w:r>
              <w:rPr>
                <w:rtl/>
              </w:rPr>
              <w:t>.</w:t>
            </w:r>
          </w:p>
        </w:tc>
        <w:tc>
          <w:tcPr>
            <w:tcW w:w="4006" w:type="dxa"/>
          </w:tcPr>
          <w:p w:rsidR="00063F1F" w:rsidRDefault="00063F1F" w:rsidP="004A4E41">
            <w:pPr>
              <w:pStyle w:val="libFootnote0"/>
              <w:rPr>
                <w:rtl/>
              </w:rPr>
            </w:pPr>
            <w:r>
              <w:rPr>
                <w:rtl/>
              </w:rPr>
              <w:t>(11).</w:t>
            </w:r>
            <w:r w:rsidRPr="00C9040A">
              <w:rPr>
                <w:rtl/>
              </w:rPr>
              <w:t xml:space="preserve"> في « ب » : « وقال »</w:t>
            </w:r>
            <w:r>
              <w:rPr>
                <w:rtl/>
              </w:rPr>
              <w:t>.</w:t>
            </w:r>
          </w:p>
        </w:tc>
      </w:tr>
    </w:tbl>
    <w:p w:rsidR="008A74EB" w:rsidRPr="00C9040A" w:rsidRDefault="006C577F" w:rsidP="004A4E41">
      <w:pPr>
        <w:pStyle w:val="libFootnote0"/>
        <w:rPr>
          <w:rtl/>
          <w:lang w:bidi="fa-IR"/>
        </w:rPr>
      </w:pPr>
      <w:r>
        <w:rPr>
          <w:rtl/>
        </w:rPr>
        <w:t>(12).</w:t>
      </w:r>
      <w:r w:rsidR="008A74EB" w:rsidRPr="00C9040A">
        <w:rPr>
          <w:rtl/>
        </w:rPr>
        <w:t xml:space="preserve"> في </w:t>
      </w:r>
      <w:r w:rsidR="008A74EB" w:rsidRPr="00993B55">
        <w:rPr>
          <w:rStyle w:val="libFootnoteBoldChar"/>
          <w:rtl/>
        </w:rPr>
        <w:t>المرآة</w:t>
      </w:r>
      <w:r w:rsidR="008A74EB" w:rsidRPr="00C9040A">
        <w:rPr>
          <w:rtl/>
        </w:rPr>
        <w:t xml:space="preserve"> : « قال ومعه ، أي قال أبوجعفر </w:t>
      </w:r>
      <w:r w:rsidR="00117575" w:rsidRPr="00117575">
        <w:rPr>
          <w:rStyle w:val="libFootnoteAlaemChar"/>
          <w:rtl/>
        </w:rPr>
        <w:t>عليه‌السلام</w:t>
      </w:r>
      <w:r w:rsidR="008A74EB" w:rsidRPr="00C9040A">
        <w:rPr>
          <w:rtl/>
        </w:rPr>
        <w:t xml:space="preserve"> وكان مع الملك عند تبليغ هذه الرسالة المفاتيح أتى بها ليعطيه إيّاها إن اختار الملك. ويحتمل أن يكون ضمير « قال » راجعاً إلى الملك ، ومفعول القول محذوفاً ، والواو في قوله : « ومعه » للحال ، أي قال ذلك ومعه المفاتيح. وقيل : ضمير « قال » راجع إلى الرسول ، أي قال </w:t>
      </w:r>
      <w:r w:rsidR="004A4E41" w:rsidRPr="0034021D">
        <w:rPr>
          <w:rStyle w:val="libFootnoteAlaemChar"/>
          <w:rtl/>
        </w:rPr>
        <w:t>صلى‌الله‌عليه‌وآله</w:t>
      </w:r>
      <w:r w:rsidR="008A74EB" w:rsidRPr="00C9040A">
        <w:rPr>
          <w:rtl/>
        </w:rPr>
        <w:t>: لا</w:t>
      </w:r>
      <w:r w:rsidR="008A74EB">
        <w:rPr>
          <w:rFonts w:hint="cs"/>
          <w:rtl/>
        </w:rPr>
        <w:t xml:space="preserve"> </w:t>
      </w:r>
      <w:r w:rsidR="008A74EB" w:rsidRPr="00C9040A">
        <w:rPr>
          <w:rtl/>
        </w:rPr>
        <w:t>أقبل وإن كان معه المفاتيح. ولا يخفى ما فيه »</w:t>
      </w:r>
      <w:r w:rsidR="008A74EB">
        <w:rPr>
          <w:rtl/>
        </w:rPr>
        <w:t>.</w:t>
      </w:r>
    </w:p>
    <w:p w:rsidR="008A74EB" w:rsidRPr="00C9040A" w:rsidRDefault="008A74EB" w:rsidP="004A4E41">
      <w:pPr>
        <w:pStyle w:val="libFootnote0"/>
        <w:rPr>
          <w:rtl/>
          <w:lang w:bidi="fa-IR"/>
        </w:rPr>
      </w:pPr>
      <w:r>
        <w:rPr>
          <w:rtl/>
        </w:rPr>
        <w:t>(13)</w:t>
      </w:r>
      <w:r w:rsidRPr="00C9040A">
        <w:rPr>
          <w:rtl/>
        </w:rPr>
        <w:t xml:space="preserve"> </w:t>
      </w:r>
      <w:r w:rsidRPr="00993B55">
        <w:rPr>
          <w:rStyle w:val="libFootnoteBoldChar"/>
          <w:rtl/>
        </w:rPr>
        <w:t>تفسير القمّي</w:t>
      </w:r>
      <w:r w:rsidRPr="00C9040A">
        <w:rPr>
          <w:rtl/>
        </w:rPr>
        <w:t xml:space="preserve"> ، ج 2 ، ص 27 ، ضمن الحديث الطويل ، بسند آخر ، مع اختلاف يسير</w:t>
      </w:r>
      <w:r w:rsidR="004B0682">
        <w:rPr>
          <w:rFonts w:hint="cs"/>
          <w:rtl/>
        </w:rPr>
        <w:t>.</w:t>
      </w:r>
      <w:r w:rsidRPr="00993B55">
        <w:rPr>
          <w:rStyle w:val="libFootnoteBoldChar"/>
          <w:rtl/>
        </w:rPr>
        <w:t>الوافي</w:t>
      </w:r>
      <w:r w:rsidRPr="00C9040A">
        <w:rPr>
          <w:rtl/>
        </w:rPr>
        <w:t xml:space="preserve"> ، ج 4 ، </w:t>
      </w:r>
      <w:r w:rsidR="004B0682">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B40282">
        <w:rPr>
          <w:rtl/>
        </w:rPr>
        <w:t>1868</w:t>
      </w:r>
      <w:r w:rsidRPr="00261CB0">
        <w:rPr>
          <w:rStyle w:val="libBold2Char"/>
          <w:rtl/>
        </w:rPr>
        <w:t xml:space="preserve"> / 6.</w:t>
      </w:r>
      <w:r w:rsidRPr="00C9040A">
        <w:rPr>
          <w:rtl/>
          <w:lang w:bidi="fa-IR"/>
        </w:rPr>
        <w:t xml:space="preserve"> عَلِيُّ بْنُ إِبْرَاهِيمَ ، عَنْ أَبِيهِ ، عَنِ النَّوْفَلِيِّ ، عَنِ السَّكُونِيِّ :</w:t>
      </w:r>
    </w:p>
    <w:p w:rsidR="008A74EB" w:rsidRPr="00C9040A" w:rsidRDefault="008A74EB" w:rsidP="00743D6E">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مِنَ التَّوَاضُعِ أَنْ تَرْضى بِالْمَجْلِسِ دُونَ الْمَجْلِسِ </w:t>
      </w:r>
      <w:r w:rsidR="006C577F" w:rsidRPr="006C577F">
        <w:rPr>
          <w:rStyle w:val="libFootnotenumChar"/>
          <w:rtl/>
        </w:rPr>
        <w:t>(1)</w:t>
      </w:r>
      <w:r w:rsidRPr="00C9040A">
        <w:rPr>
          <w:rtl/>
          <w:lang w:bidi="fa-IR"/>
        </w:rPr>
        <w:t xml:space="preserve"> ، وَأَنْ تُسَلِّمَ عَلى مَنْ تَلْقى ، وَأَنْ تَتْرُكَ الْمِرَاءَ </w:t>
      </w:r>
      <w:r w:rsidR="006C577F" w:rsidRPr="006C577F">
        <w:rPr>
          <w:rStyle w:val="libFootnotenumChar"/>
          <w:rtl/>
        </w:rPr>
        <w:t>(2)</w:t>
      </w:r>
      <w:r w:rsidRPr="00C9040A">
        <w:rPr>
          <w:rtl/>
          <w:lang w:bidi="fa-IR"/>
        </w:rPr>
        <w:t xml:space="preserve"> وَإِنْ كُنْتَ مُحِقّاً ، وَ</w:t>
      </w:r>
      <w:r>
        <w:rPr>
          <w:rFonts w:hint="cs"/>
          <w:rtl/>
          <w:lang w:bidi="fa-IR"/>
        </w:rPr>
        <w:t xml:space="preserve"> </w:t>
      </w:r>
      <w:r w:rsidR="006C577F" w:rsidRPr="006C577F">
        <w:rPr>
          <w:rStyle w:val="libFootnotenumChar"/>
          <w:rtl/>
        </w:rPr>
        <w:t>(3)</w:t>
      </w:r>
      <w:r w:rsidRPr="00C9040A">
        <w:rPr>
          <w:rtl/>
          <w:lang w:bidi="fa-IR"/>
        </w:rPr>
        <w:t xml:space="preserve"> لَاتُحِبّ</w:t>
      </w:r>
      <w:r w:rsidR="0034021D">
        <w:rPr>
          <w:rtl/>
          <w:lang w:bidi="fa-IR"/>
        </w:rPr>
        <w:t>َ أَنْ تُحْمَدَ عَلَى التَّقْوى</w:t>
      </w:r>
      <w:r w:rsidRPr="00C9040A">
        <w:rPr>
          <w:rtl/>
          <w:lang w:bidi="fa-IR"/>
        </w:rPr>
        <w:t>»</w:t>
      </w:r>
      <w:r>
        <w:rPr>
          <w:rtl/>
          <w:lang w:bidi="fa-IR"/>
        </w:rPr>
        <w:t>.</w:t>
      </w:r>
      <w:r w:rsidR="006C577F" w:rsidRPr="006C577F">
        <w:rPr>
          <w:rStyle w:val="libFootnotenumChar"/>
          <w:rtl/>
        </w:rPr>
        <w:t>(4)</w:t>
      </w:r>
    </w:p>
    <w:p w:rsidR="008A74EB" w:rsidRPr="00C9040A" w:rsidRDefault="008A74EB" w:rsidP="008A74EB">
      <w:pPr>
        <w:pStyle w:val="libNormal"/>
        <w:rPr>
          <w:rtl/>
          <w:lang w:bidi="fa-IR"/>
        </w:rPr>
      </w:pPr>
      <w:r w:rsidRPr="00B40282">
        <w:rPr>
          <w:rtl/>
        </w:rPr>
        <w:t>1869</w:t>
      </w:r>
      <w:r w:rsidRPr="00261CB0">
        <w:rPr>
          <w:rStyle w:val="libBold2Char"/>
          <w:rtl/>
        </w:rPr>
        <w:t xml:space="preserve"> / 7.</w:t>
      </w:r>
      <w:r w:rsidRPr="00C9040A">
        <w:rPr>
          <w:rtl/>
          <w:lang w:bidi="fa-IR"/>
        </w:rPr>
        <w:t xml:space="preserve"> عَلِيُّ بْنُ إِبْرَاهِيمَ ، عَنْ أَبِيهِ ، عَنِ ابْنِ أَبِي عُمَيْرٍ ، عَنْ عَلِيِّ بْنِ يَقْطِينٍ ، عَمَّنْ رَوَاهُ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أَوْحَى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إِلى مُوسى </w:t>
      </w:r>
      <w:r w:rsidRPr="0003660B">
        <w:rPr>
          <w:rStyle w:val="libAlaemChar"/>
          <w:rtl/>
        </w:rPr>
        <w:t>عليه‌السلام</w:t>
      </w:r>
      <w:r>
        <w:rPr>
          <w:rtl/>
          <w:lang w:bidi="fa-IR"/>
        </w:rPr>
        <w:t xml:space="preserve"> : أَنْ يَا مُوسى ، أَ</w:t>
      </w:r>
      <w:r w:rsidRPr="00C9040A">
        <w:rPr>
          <w:rtl/>
          <w:lang w:bidi="fa-IR"/>
        </w:rPr>
        <w:t xml:space="preserve">تَدْرِي لِمَ </w:t>
      </w:r>
      <w:r w:rsidR="006C577F" w:rsidRPr="006C577F">
        <w:rPr>
          <w:rStyle w:val="libFootnotenumChar"/>
          <w:rtl/>
        </w:rPr>
        <w:t>(5)</w:t>
      </w:r>
      <w:r w:rsidRPr="00C9040A">
        <w:rPr>
          <w:rtl/>
          <w:lang w:bidi="fa-IR"/>
        </w:rPr>
        <w:t xml:space="preserve"> اصْطَفَيْتُكَ بِكَلَامِي </w:t>
      </w:r>
      <w:r w:rsidR="006C577F" w:rsidRPr="006C577F">
        <w:rPr>
          <w:rStyle w:val="libFootnotenumChar"/>
          <w:rtl/>
        </w:rPr>
        <w:t>(6)</w:t>
      </w:r>
      <w:r w:rsidRPr="005B567D">
        <w:rPr>
          <w:rStyle w:val="libFootnotenumChar"/>
          <w:rtl/>
        </w:rPr>
        <w:t xml:space="preserve"> </w:t>
      </w:r>
      <w:r w:rsidRPr="00C9040A">
        <w:rPr>
          <w:rtl/>
          <w:lang w:bidi="fa-IR"/>
        </w:rPr>
        <w:t>دُونَ خَلْقِي</w:t>
      </w:r>
      <w:r>
        <w:rPr>
          <w:rtl/>
          <w:lang w:bidi="fa-IR"/>
        </w:rPr>
        <w:t>؟</w:t>
      </w:r>
      <w:r w:rsidRPr="00C9040A">
        <w:rPr>
          <w:rtl/>
          <w:lang w:bidi="fa-IR"/>
        </w:rPr>
        <w:t xml:space="preserve"> قَالَ </w:t>
      </w:r>
      <w:r w:rsidR="006C577F" w:rsidRPr="006C577F">
        <w:rPr>
          <w:rStyle w:val="libFootnotenumChar"/>
          <w:rtl/>
        </w:rPr>
        <w:t>(7)</w:t>
      </w:r>
      <w:r w:rsidRPr="00C9040A">
        <w:rPr>
          <w:rtl/>
          <w:lang w:bidi="fa-IR"/>
        </w:rPr>
        <w:t xml:space="preserve"> : يَا رَبِّ ، وَلِمَ ذَاكَ</w:t>
      </w:r>
      <w:r>
        <w:rPr>
          <w:rtl/>
          <w:lang w:bidi="fa-IR"/>
        </w:rPr>
        <w:t>؟</w:t>
      </w:r>
      <w:r w:rsidRPr="00C9040A">
        <w:rPr>
          <w:rtl/>
          <w:lang w:bidi="fa-IR"/>
        </w:rPr>
        <w:t xml:space="preserve"> » قَالَ : « فَأَوْحَى اللهُ</w:t>
      </w:r>
      <w:r>
        <w:rPr>
          <w:rtl/>
          <w:lang w:bidi="fa-IR"/>
        </w:rPr>
        <w:t xml:space="preserve"> </w:t>
      </w:r>
      <w:r w:rsidR="0084262C">
        <w:rPr>
          <w:rtl/>
          <w:lang w:bidi="fa-IR"/>
        </w:rPr>
        <w:t>-</w:t>
      </w:r>
      <w:r>
        <w:rPr>
          <w:rtl/>
          <w:lang w:bidi="fa-IR"/>
        </w:rPr>
        <w:t xml:space="preserve"> </w:t>
      </w:r>
      <w:r w:rsidRPr="00C9040A">
        <w:rPr>
          <w:rtl/>
          <w:lang w:bidi="fa-IR"/>
        </w:rPr>
        <w:t>تَبَارَكَ وَتَعَالى</w:t>
      </w:r>
      <w:r>
        <w:rPr>
          <w:rtl/>
          <w:lang w:bidi="fa-IR"/>
        </w:rPr>
        <w:t xml:space="preserve"> </w:t>
      </w:r>
      <w:r w:rsidR="0084262C">
        <w:rPr>
          <w:rtl/>
          <w:lang w:bidi="fa-IR"/>
        </w:rPr>
        <w:t>-</w:t>
      </w:r>
      <w:r>
        <w:rPr>
          <w:rtl/>
          <w:lang w:bidi="fa-IR"/>
        </w:rPr>
        <w:t xml:space="preserve"> </w:t>
      </w:r>
      <w:r w:rsidRPr="00C9040A">
        <w:rPr>
          <w:rtl/>
          <w:lang w:bidi="fa-IR"/>
        </w:rPr>
        <w:t>إِلَيْهِ : يَا</w:t>
      </w:r>
      <w:r>
        <w:rPr>
          <w:rFonts w:hint="cs"/>
          <w:rtl/>
          <w:lang w:bidi="fa-IR"/>
        </w:rPr>
        <w:t xml:space="preserve"> </w:t>
      </w:r>
      <w:r w:rsidRPr="00C9040A">
        <w:rPr>
          <w:rtl/>
          <w:lang w:bidi="fa-IR"/>
        </w:rPr>
        <w:t xml:space="preserve">مُوسى </w:t>
      </w:r>
      <w:r w:rsidR="006C577F" w:rsidRPr="006C577F">
        <w:rPr>
          <w:rStyle w:val="libFootnotenumChar"/>
          <w:rtl/>
        </w:rPr>
        <w:t>(8)</w:t>
      </w:r>
      <w:r w:rsidRPr="00C9040A">
        <w:rPr>
          <w:rtl/>
          <w:lang w:bidi="fa-IR"/>
        </w:rPr>
        <w:t xml:space="preserve"> ، إِنِّي قَلَّبْتُ عِبَادِي ظَهْراً لِبَطْنٍ ، فَلَمْ أَجِدْ فِيهِمْ أَحَداً أَذَلَّ لِي نَفْساً </w:t>
      </w:r>
      <w:r w:rsidR="006C577F" w:rsidRPr="006C577F">
        <w:rPr>
          <w:rStyle w:val="libFootnotenumChar"/>
          <w:rtl/>
        </w:rPr>
        <w:t>(9)</w:t>
      </w:r>
      <w:r w:rsidRPr="00C9040A">
        <w:rPr>
          <w:rtl/>
          <w:lang w:bidi="fa-IR"/>
        </w:rPr>
        <w:t xml:space="preserve"> مِنْكَ ؛ يَا مُوسى ، إِنَّكَ إِذَا صَلَّيْتَ وَضَعْتَ خَدَّكَ </w:t>
      </w:r>
      <w:r w:rsidR="006C577F" w:rsidRPr="006C577F">
        <w:rPr>
          <w:rStyle w:val="libFootnotenumChar"/>
          <w:rtl/>
        </w:rPr>
        <w:t>(10)</w:t>
      </w:r>
      <w:r w:rsidRPr="00C9040A">
        <w:rPr>
          <w:rtl/>
          <w:lang w:bidi="fa-IR"/>
        </w:rPr>
        <w:t xml:space="preserve"> عَلَى التُّرَابِ</w:t>
      </w:r>
      <w:r>
        <w:rPr>
          <w:rtl/>
          <w:lang w:bidi="fa-IR"/>
        </w:rPr>
        <w:t xml:space="preserve"> </w:t>
      </w:r>
      <w:r w:rsidR="0084262C">
        <w:rPr>
          <w:rtl/>
          <w:lang w:bidi="fa-IR"/>
        </w:rPr>
        <w:t>-</w:t>
      </w:r>
      <w:r>
        <w:rPr>
          <w:rtl/>
          <w:lang w:bidi="fa-IR"/>
        </w:rPr>
        <w:t xml:space="preserve"> </w:t>
      </w:r>
      <w:r w:rsidRPr="00C9040A">
        <w:rPr>
          <w:rtl/>
          <w:lang w:bidi="fa-IR"/>
        </w:rPr>
        <w:t>أَوْ‌</w:t>
      </w:r>
    </w:p>
    <w:p w:rsidR="008A74EB" w:rsidRPr="00C9040A" w:rsidRDefault="008A74EB" w:rsidP="008A74EB">
      <w:pPr>
        <w:pStyle w:val="libLine"/>
        <w:rPr>
          <w:rtl/>
          <w:lang w:bidi="fa-IR"/>
        </w:rPr>
      </w:pPr>
      <w:r w:rsidRPr="00C9040A">
        <w:rPr>
          <w:rtl/>
          <w:lang w:bidi="fa-IR"/>
        </w:rPr>
        <w:t>__________________</w:t>
      </w:r>
    </w:p>
    <w:p w:rsidR="008A74EB" w:rsidRPr="00C9040A" w:rsidRDefault="000A795E" w:rsidP="004A4E41">
      <w:pPr>
        <w:pStyle w:val="libFootnote0"/>
        <w:rPr>
          <w:rtl/>
          <w:lang w:bidi="fa-IR"/>
        </w:rPr>
      </w:pPr>
      <w:r>
        <w:rPr>
          <w:rFonts w:hint="cs"/>
          <w:rtl/>
        </w:rPr>
        <w:t xml:space="preserve">= </w:t>
      </w:r>
      <w:r w:rsidR="008A74EB" w:rsidRPr="00C9040A">
        <w:rPr>
          <w:rtl/>
        </w:rPr>
        <w:t xml:space="preserve">ص 468 ، ح 2366 ؛ </w:t>
      </w:r>
      <w:r w:rsidR="008A74EB" w:rsidRPr="00993B55">
        <w:rPr>
          <w:rStyle w:val="libFootnoteBoldChar"/>
          <w:rtl/>
        </w:rPr>
        <w:t>الوسائل</w:t>
      </w:r>
      <w:r w:rsidR="008A74EB" w:rsidRPr="00C9040A">
        <w:rPr>
          <w:rtl/>
        </w:rPr>
        <w:t xml:space="preserve"> ، ج 15 ، ص 273 ، ح 20496 ؛ </w:t>
      </w:r>
      <w:r w:rsidR="008A74EB" w:rsidRPr="00993B55">
        <w:rPr>
          <w:rStyle w:val="libFootnoteBoldChar"/>
          <w:rtl/>
        </w:rPr>
        <w:t>البحار</w:t>
      </w:r>
      <w:r w:rsidR="008A74EB" w:rsidRPr="00C9040A">
        <w:rPr>
          <w:rtl/>
        </w:rPr>
        <w:t xml:space="preserve"> ، ج 16 ، ص 265 ، ح 65 ؛ وج 75 ، ص 128 ، ح 27.</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المعاني : « المجالس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ماريتُه اماريه مماراة ومِراءً : جادَلتُه. </w:t>
      </w:r>
      <w:r w:rsidR="008A74EB" w:rsidRPr="00993B55">
        <w:rPr>
          <w:rStyle w:val="libFootnoteBoldChar"/>
          <w:rtl/>
        </w:rPr>
        <w:t>المصباح المنير</w:t>
      </w:r>
      <w:r w:rsidR="008A74EB" w:rsidRPr="00C9040A">
        <w:rPr>
          <w:rtl/>
        </w:rPr>
        <w:t xml:space="preserve"> ، ص 570 ( مرى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هكذا في جميع النسخ والوافي ومرآة العقول والوسائل والبحار والمعاني. وفي المطبوع : + « أن »</w:t>
      </w:r>
      <w:r w:rsidR="008A74EB">
        <w:rPr>
          <w:rtl/>
        </w:rPr>
        <w:t>.</w:t>
      </w:r>
    </w:p>
    <w:p w:rsidR="008A74EB" w:rsidRPr="004A4E41" w:rsidRDefault="006C577F" w:rsidP="004A4E41">
      <w:pPr>
        <w:pStyle w:val="libFootnote0"/>
        <w:rPr>
          <w:rStyle w:val="libFootnote0Char"/>
          <w:rtl/>
        </w:rPr>
      </w:pPr>
      <w:r>
        <w:rPr>
          <w:rtl/>
        </w:rPr>
        <w:t>(4).</w:t>
      </w:r>
      <w:r w:rsidR="008A74EB" w:rsidRPr="00C9040A">
        <w:rPr>
          <w:rtl/>
        </w:rPr>
        <w:t xml:space="preserve"> </w:t>
      </w:r>
      <w:r w:rsidR="008A74EB" w:rsidRPr="00993B55">
        <w:rPr>
          <w:rStyle w:val="libFootnoteBoldChar"/>
          <w:rtl/>
        </w:rPr>
        <w:t>معاني الأخبار</w:t>
      </w:r>
      <w:r w:rsidR="008A74EB" w:rsidRPr="00C9040A">
        <w:rPr>
          <w:rtl/>
        </w:rPr>
        <w:t xml:space="preserve"> ، ص 381 ، ح 9 ، عن أبيه ، عن عليّ بن إبراهيم ، عن أبيه ، عن النوفلي ، عن السكوني ، عن أبي عبد الله ، عن آبائه </w:t>
      </w:r>
      <w:r w:rsidR="00117575" w:rsidRPr="00117575">
        <w:rPr>
          <w:rStyle w:val="libFootnoteAlaemChar"/>
          <w:rtl/>
        </w:rPr>
        <w:t>عليهم‌السلام</w:t>
      </w:r>
      <w:r w:rsidR="008A74EB" w:rsidRPr="00C9040A">
        <w:rPr>
          <w:rtl/>
        </w:rPr>
        <w:t xml:space="preserve">. وفي </w:t>
      </w:r>
      <w:r w:rsidR="008A74EB" w:rsidRPr="00993B55">
        <w:rPr>
          <w:rStyle w:val="libFootnoteBoldChar"/>
          <w:rtl/>
        </w:rPr>
        <w:t>الكافي</w:t>
      </w:r>
      <w:r w:rsidR="008A74EB" w:rsidRPr="00C9040A">
        <w:rPr>
          <w:rtl/>
        </w:rPr>
        <w:t xml:space="preserve"> ، كتاب العشرة ، باب التسليم ، ح 3645 ؛ و</w:t>
      </w:r>
      <w:r w:rsidR="008A74EB" w:rsidRPr="00993B55">
        <w:rPr>
          <w:rStyle w:val="libFootnoteBoldChar"/>
          <w:rtl/>
        </w:rPr>
        <w:t>الخصال</w:t>
      </w:r>
      <w:r w:rsidR="008A74EB" w:rsidRPr="00C9040A">
        <w:rPr>
          <w:rtl/>
        </w:rPr>
        <w:t xml:space="preserve"> ، ص 11 ، باب الواحد ، ح 39 ، بسند آخر ، وتمام الرواية فيهما : « من التواضع أن تسلّم على من لقيت »</w:t>
      </w:r>
      <w:r w:rsidR="008A74EB">
        <w:rPr>
          <w:rtl/>
        </w:rPr>
        <w:t>.</w:t>
      </w:r>
      <w:r w:rsidR="008A74EB" w:rsidRPr="00C9040A">
        <w:rPr>
          <w:rtl/>
        </w:rPr>
        <w:t xml:space="preserve"> </w:t>
      </w:r>
      <w:r w:rsidR="008A74EB" w:rsidRPr="00993B55">
        <w:rPr>
          <w:rStyle w:val="libFootnoteBoldChar"/>
          <w:rtl/>
        </w:rPr>
        <w:t>الجعفريّات</w:t>
      </w:r>
      <w:r w:rsidR="008A74EB" w:rsidRPr="00C9040A">
        <w:rPr>
          <w:rtl/>
        </w:rPr>
        <w:t xml:space="preserve"> ، ص 149 ، بسند آخر عن أبي عبد الله ، عن آبائه </w:t>
      </w:r>
      <w:r w:rsidR="00117575" w:rsidRPr="00117575">
        <w:rPr>
          <w:rStyle w:val="libFootnoteAlaemChar"/>
          <w:rtl/>
        </w:rPr>
        <w:t>عليهم‌السلام</w:t>
      </w:r>
      <w:r w:rsidR="008A74EB" w:rsidRPr="00C9040A">
        <w:rPr>
          <w:rtl/>
        </w:rPr>
        <w:t xml:space="preserve"> عن رسول الله </w:t>
      </w:r>
      <w:r w:rsidR="004A4E41" w:rsidRPr="0034021D">
        <w:rPr>
          <w:rStyle w:val="libFootnoteAlaemChar"/>
          <w:rtl/>
        </w:rPr>
        <w:t>صلى‌الله‌عليه‌وآله</w:t>
      </w:r>
      <w:r w:rsidR="008A74EB" w:rsidRPr="00C9040A">
        <w:rPr>
          <w:rtl/>
        </w:rPr>
        <w:t xml:space="preserve"> ، مع اختلاف يسير. </w:t>
      </w:r>
      <w:r w:rsidR="008A74EB" w:rsidRPr="00993B55">
        <w:rPr>
          <w:rStyle w:val="libFootnoteBoldChar"/>
          <w:rtl/>
        </w:rPr>
        <w:t>تحف العقول</w:t>
      </w:r>
      <w:r w:rsidR="008A74EB" w:rsidRPr="00C9040A">
        <w:rPr>
          <w:rtl/>
        </w:rPr>
        <w:t xml:space="preserve"> ، ص 487 ، عن العسكري </w:t>
      </w:r>
      <w:r w:rsidR="00117575" w:rsidRPr="00117575">
        <w:rPr>
          <w:rStyle w:val="libFootnoteAlaemChar"/>
          <w:rtl/>
        </w:rPr>
        <w:t>عليه‌السلام</w:t>
      </w:r>
      <w:r w:rsidR="008A74EB" w:rsidRPr="00C9040A">
        <w:rPr>
          <w:rtl/>
        </w:rPr>
        <w:t xml:space="preserve"> ، وتمام الرواية فيه : « من التواضع السلام على كلّ من تمرّ به ، والجلوس دون شرف المجلس »</w:t>
      </w:r>
      <w:r w:rsidR="000A795E">
        <w:rPr>
          <w:rFonts w:hint="cs"/>
          <w:rtl/>
        </w:rPr>
        <w:t>.</w:t>
      </w:r>
      <w:r w:rsidR="008A74EB" w:rsidRPr="00993B55">
        <w:rPr>
          <w:rStyle w:val="libFootnoteBoldChar"/>
          <w:rtl/>
        </w:rPr>
        <w:t>الوافي</w:t>
      </w:r>
      <w:r w:rsidR="008A74EB" w:rsidRPr="00C9040A">
        <w:rPr>
          <w:rtl/>
        </w:rPr>
        <w:t xml:space="preserve"> ، ج 4 ، ص 470 ، ح 2371 ؛ </w:t>
      </w:r>
      <w:r w:rsidR="008A74EB" w:rsidRPr="00993B55">
        <w:rPr>
          <w:rStyle w:val="libFootnoteBoldChar"/>
          <w:rtl/>
        </w:rPr>
        <w:t>الوسائل</w:t>
      </w:r>
      <w:r w:rsidR="008A74EB" w:rsidRPr="00C9040A">
        <w:rPr>
          <w:rtl/>
        </w:rPr>
        <w:t xml:space="preserve"> ، ج 12 ، ص 108 ، ح 15779 ؛ </w:t>
      </w:r>
      <w:r w:rsidR="008A74EB" w:rsidRPr="00993B55">
        <w:rPr>
          <w:rStyle w:val="libFootnoteBoldChar"/>
          <w:rtl/>
        </w:rPr>
        <w:t>البحار</w:t>
      </w:r>
      <w:r w:rsidR="008A74EB" w:rsidRPr="00C9040A">
        <w:rPr>
          <w:rtl/>
        </w:rPr>
        <w:t xml:space="preserve"> ، ج 75 ، ص 129 ، ح 28.</w:t>
      </w:r>
    </w:p>
    <w:tbl>
      <w:tblPr>
        <w:tblStyle w:val="TableGrid"/>
        <w:bidiVisual/>
        <w:tblW w:w="0" w:type="auto"/>
        <w:tblLook w:val="04A0" w:firstRow="1" w:lastRow="0" w:firstColumn="1" w:lastColumn="0" w:noHBand="0" w:noVBand="1"/>
      </w:tblPr>
      <w:tblGrid>
        <w:gridCol w:w="4006"/>
        <w:gridCol w:w="4006"/>
      </w:tblGrid>
      <w:tr w:rsidR="000A795E" w:rsidTr="000A795E">
        <w:tc>
          <w:tcPr>
            <w:tcW w:w="4006" w:type="dxa"/>
          </w:tcPr>
          <w:p w:rsidR="000A795E" w:rsidRDefault="000A795E" w:rsidP="004A4E41">
            <w:pPr>
              <w:pStyle w:val="libFootnote0"/>
              <w:rPr>
                <w:rtl/>
              </w:rPr>
            </w:pPr>
            <w:r>
              <w:rPr>
                <w:rtl/>
              </w:rPr>
              <w:t>(5).</w:t>
            </w:r>
            <w:r w:rsidRPr="00C9040A">
              <w:rPr>
                <w:rtl/>
              </w:rPr>
              <w:t xml:space="preserve"> في البحار والعلل : « لما »</w:t>
            </w:r>
            <w:r>
              <w:rPr>
                <w:rtl/>
              </w:rPr>
              <w:t>.</w:t>
            </w:r>
          </w:p>
        </w:tc>
        <w:tc>
          <w:tcPr>
            <w:tcW w:w="4006" w:type="dxa"/>
          </w:tcPr>
          <w:p w:rsidR="000A795E" w:rsidRDefault="000A795E" w:rsidP="004A4E41">
            <w:pPr>
              <w:pStyle w:val="libFootnote0"/>
              <w:rPr>
                <w:rtl/>
              </w:rPr>
            </w:pPr>
            <w:r>
              <w:rPr>
                <w:rtl/>
              </w:rPr>
              <w:t xml:space="preserve">(6). </w:t>
            </w:r>
            <w:r w:rsidRPr="00C9040A">
              <w:rPr>
                <w:rtl/>
              </w:rPr>
              <w:t>في العلل : « لكلامي »</w:t>
            </w:r>
            <w:r>
              <w:rPr>
                <w:rtl/>
              </w:rPr>
              <w:t>.</w:t>
            </w:r>
          </w:p>
        </w:tc>
      </w:tr>
    </w:tbl>
    <w:p w:rsidR="008A74EB" w:rsidRPr="00C9040A" w:rsidRDefault="006C577F" w:rsidP="004A4E41">
      <w:pPr>
        <w:pStyle w:val="libFootnote0"/>
        <w:rPr>
          <w:rtl/>
          <w:lang w:bidi="fa-IR"/>
        </w:rPr>
      </w:pPr>
      <w:r>
        <w:rPr>
          <w:rtl/>
        </w:rPr>
        <w:t>(7).</w:t>
      </w:r>
      <w:r w:rsidR="008A74EB" w:rsidRPr="00C9040A">
        <w:rPr>
          <w:rtl/>
        </w:rPr>
        <w:t xml:space="preserve"> في « ض » : + « موسى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هكذا في النسخ التي قوبلت والوافي. وفي المطبوع : « أن يا موسى »</w:t>
      </w:r>
      <w:r w:rsidR="008A74EB">
        <w:rPr>
          <w:rtl/>
        </w:rPr>
        <w:t>.</w:t>
      </w:r>
      <w:r w:rsidR="008A74EB" w:rsidRPr="00C9040A">
        <w:rPr>
          <w:rtl/>
        </w:rPr>
        <w:t xml:space="preserve"> وفي الوسائل والعلل </w:t>
      </w:r>
      <w:r w:rsidR="008A74EB">
        <w:rPr>
          <w:rtl/>
        </w:rPr>
        <w:t xml:space="preserve">: </w:t>
      </w:r>
      <w:r w:rsidR="0084262C">
        <w:rPr>
          <w:rtl/>
        </w:rPr>
        <w:t>-</w:t>
      </w:r>
      <w:r w:rsidR="008A74EB" w:rsidRPr="00C9040A">
        <w:rPr>
          <w:rtl/>
        </w:rPr>
        <w:t xml:space="preserve"> « يا موسى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ب ، ج د ، ض » والوافي : « أذلّ نفساً لي »</w:t>
      </w:r>
      <w:r w:rsidR="008A74EB">
        <w:rPr>
          <w:rtl/>
        </w:rPr>
        <w:t>.</w:t>
      </w:r>
      <w:r w:rsidR="008A74EB" w:rsidRPr="00C9040A">
        <w:rPr>
          <w:rtl/>
        </w:rPr>
        <w:t xml:space="preserve"> وفي « ز » : « أذلّ نفساً » بدون « لي »</w:t>
      </w:r>
      <w:r w:rsidR="008A74EB">
        <w:rPr>
          <w:rtl/>
        </w:rPr>
        <w:t>.</w:t>
      </w:r>
      <w:r w:rsidR="008A74EB" w:rsidRPr="00C9040A">
        <w:rPr>
          <w:rtl/>
        </w:rPr>
        <w:t xml:space="preserve"> وفي « ف » : « أذلّ بي نفساً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الوسائل والعلل : « خدّيك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قَالَ : عَلَى الْأَرْضِ</w:t>
      </w:r>
      <w:r>
        <w:rPr>
          <w:rtl/>
          <w:lang w:bidi="fa-IR"/>
        </w:rPr>
        <w:t xml:space="preserve"> </w:t>
      </w:r>
      <w:r w:rsidR="0084262C">
        <w:rPr>
          <w:rtl/>
          <w:lang w:bidi="fa-IR"/>
        </w:rPr>
        <w:t>-</w:t>
      </w:r>
      <w:r>
        <w:rPr>
          <w:rtl/>
          <w:lang w:bidi="fa-IR"/>
        </w:rPr>
        <w:t xml:space="preserve"> </w:t>
      </w:r>
      <w:r w:rsidRPr="00C9040A">
        <w:rPr>
          <w:rtl/>
          <w:lang w:bidi="fa-IR"/>
        </w:rPr>
        <w:t>»</w:t>
      </w:r>
      <w:r>
        <w:rPr>
          <w:rtl/>
          <w:lang w:bidi="fa-IR"/>
        </w:rPr>
        <w:t>.</w:t>
      </w:r>
      <w:r w:rsidRPr="00C9040A">
        <w:rPr>
          <w:rtl/>
          <w:lang w:bidi="fa-IR"/>
        </w:rPr>
        <w:t xml:space="preserve"> </w:t>
      </w:r>
      <w:r w:rsidR="006C577F" w:rsidRPr="006C577F">
        <w:rPr>
          <w:rStyle w:val="libFootnotenumChar"/>
          <w:rtl/>
        </w:rPr>
        <w:t>(1)</w:t>
      </w:r>
      <w:r w:rsidRPr="00C9040A">
        <w:rPr>
          <w:rtl/>
          <w:lang w:bidi="fa-IR"/>
        </w:rPr>
        <w:t xml:space="preserve"> ‌</w:t>
      </w:r>
    </w:p>
    <w:p w:rsidR="008A74EB" w:rsidRPr="00C9040A" w:rsidRDefault="008A74EB" w:rsidP="008A74EB">
      <w:pPr>
        <w:pStyle w:val="libNormal"/>
        <w:rPr>
          <w:rtl/>
          <w:lang w:bidi="fa-IR"/>
        </w:rPr>
      </w:pPr>
      <w:r w:rsidRPr="00B40282">
        <w:rPr>
          <w:rtl/>
        </w:rPr>
        <w:t>1870</w:t>
      </w:r>
      <w:r w:rsidRPr="00261CB0">
        <w:rPr>
          <w:rStyle w:val="libBold2Char"/>
          <w:rtl/>
        </w:rPr>
        <w:t xml:space="preserve"> / 8.</w:t>
      </w:r>
      <w:r w:rsidRPr="00C9040A">
        <w:rPr>
          <w:rtl/>
          <w:lang w:bidi="fa-IR"/>
        </w:rPr>
        <w:t xml:space="preserve"> عَلِيُّ بْنُ إِبْرَاهِيمَ ، عَنْ أَبِيهِ ، عَنِ ابْنِ أَبِي عُمَيْرٍ ، عَنْ هِشَامِ بْنِ سَالِمٍ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مَرَّ عَلِيُّ بْنُ الْحُسَيْنِ</w:t>
      </w:r>
      <w:r>
        <w:rPr>
          <w:rtl/>
          <w:lang w:bidi="fa-IR"/>
        </w:rPr>
        <w:t xml:space="preserve"> </w:t>
      </w:r>
      <w:r w:rsidR="0084262C">
        <w:rPr>
          <w:rtl/>
          <w:lang w:bidi="fa-IR"/>
        </w:rPr>
        <w:t>-</w:t>
      </w:r>
      <w:r>
        <w:rPr>
          <w:rtl/>
          <w:lang w:bidi="fa-IR"/>
        </w:rPr>
        <w:t xml:space="preserve"> </w:t>
      </w:r>
      <w:r w:rsidRPr="00C9040A">
        <w:rPr>
          <w:rtl/>
          <w:lang w:bidi="fa-IR"/>
        </w:rPr>
        <w:t>صَلَوَاتُ اللهِ عَلَيْهِمَا</w:t>
      </w:r>
      <w:r>
        <w:rPr>
          <w:rtl/>
          <w:lang w:bidi="fa-IR"/>
        </w:rPr>
        <w:t xml:space="preserve"> </w:t>
      </w:r>
      <w:r w:rsidR="0084262C">
        <w:rPr>
          <w:rtl/>
          <w:lang w:bidi="fa-IR"/>
        </w:rPr>
        <w:t>-</w:t>
      </w:r>
      <w:r>
        <w:rPr>
          <w:rtl/>
          <w:lang w:bidi="fa-IR"/>
        </w:rPr>
        <w:t xml:space="preserve"> </w:t>
      </w:r>
      <w:r w:rsidRPr="00C9040A">
        <w:rPr>
          <w:rtl/>
          <w:lang w:bidi="fa-IR"/>
        </w:rPr>
        <w:t xml:space="preserve">عَلَى الْمُجَذَّمِينَ </w:t>
      </w:r>
      <w:r w:rsidR="006C577F" w:rsidRPr="006C577F">
        <w:rPr>
          <w:rStyle w:val="libFootnotenumChar"/>
          <w:rtl/>
        </w:rPr>
        <w:t>(2)</w:t>
      </w:r>
      <w:r w:rsidRPr="00C9040A">
        <w:rPr>
          <w:rtl/>
          <w:lang w:bidi="fa-IR"/>
        </w:rPr>
        <w:t xml:space="preserve"> وَهُوَ رَاكِبٌ </w:t>
      </w:r>
      <w:r w:rsidR="006C577F" w:rsidRPr="006C577F">
        <w:rPr>
          <w:rStyle w:val="libFootnotenumChar"/>
          <w:rtl/>
        </w:rPr>
        <w:t>(3)</w:t>
      </w:r>
      <w:r w:rsidRPr="00C9040A">
        <w:rPr>
          <w:rtl/>
          <w:lang w:bidi="fa-IR"/>
        </w:rPr>
        <w:t xml:space="preserve"> حِمَارَهُ وَهُمْ يَتَغَدَّوْنَ </w:t>
      </w:r>
      <w:r w:rsidR="006C577F" w:rsidRPr="006C577F">
        <w:rPr>
          <w:rStyle w:val="libFootnotenumChar"/>
          <w:rtl/>
        </w:rPr>
        <w:t>(4)</w:t>
      </w:r>
      <w:r w:rsidRPr="00C9040A">
        <w:rPr>
          <w:rtl/>
          <w:lang w:bidi="fa-IR"/>
        </w:rPr>
        <w:t xml:space="preserve"> ، فَدَعَوْهُ إِلَى الْغَدَاءِ </w:t>
      </w:r>
      <w:r w:rsidR="006C577F" w:rsidRPr="006C577F">
        <w:rPr>
          <w:rStyle w:val="libFootnotenumChar"/>
          <w:rtl/>
        </w:rPr>
        <w:t>(5)</w:t>
      </w:r>
      <w:r w:rsidRPr="00C9040A">
        <w:rPr>
          <w:rtl/>
          <w:lang w:bidi="fa-IR"/>
        </w:rPr>
        <w:t xml:space="preserve"> ، فَقَالَ : أَمَا إِنِّي </w:t>
      </w:r>
      <w:r w:rsidR="006C577F" w:rsidRPr="006C577F">
        <w:rPr>
          <w:rStyle w:val="libFootnotenumChar"/>
          <w:rtl/>
        </w:rPr>
        <w:t>(6)</w:t>
      </w:r>
      <w:r w:rsidRPr="005B567D">
        <w:rPr>
          <w:rStyle w:val="libFootnotenumChar"/>
          <w:rtl/>
        </w:rPr>
        <w:t xml:space="preserve"> </w:t>
      </w:r>
      <w:r w:rsidRPr="00C9040A">
        <w:rPr>
          <w:rtl/>
          <w:lang w:bidi="fa-IR"/>
        </w:rPr>
        <w:t xml:space="preserve">لَوْ لَا أَنِّي </w:t>
      </w:r>
      <w:r w:rsidR="006C577F" w:rsidRPr="006C577F">
        <w:rPr>
          <w:rStyle w:val="libFootnotenumChar"/>
          <w:rtl/>
        </w:rPr>
        <w:t>(7)</w:t>
      </w:r>
      <w:r w:rsidRPr="00C9040A">
        <w:rPr>
          <w:rtl/>
          <w:lang w:bidi="fa-IR"/>
        </w:rPr>
        <w:t xml:space="preserve"> صَائِمٌ لَفَعَلْتُ ، فَلَمَّا صَارَ إِلى مَنْزِلِهِ أَمَرَ بِطَعَامٍ ، فَصُنِعَ </w:t>
      </w:r>
      <w:r w:rsidR="006C577F" w:rsidRPr="006C577F">
        <w:rPr>
          <w:rStyle w:val="libFootnotenumChar"/>
          <w:rtl/>
        </w:rPr>
        <w:t>(8)</w:t>
      </w:r>
      <w:r w:rsidRPr="00C9040A">
        <w:rPr>
          <w:rtl/>
          <w:lang w:bidi="fa-IR"/>
        </w:rPr>
        <w:t xml:space="preserve"> ، وَأَمَرَ أَنْ يَتَنَوَّقُوا </w:t>
      </w:r>
      <w:r w:rsidR="006C577F" w:rsidRPr="006C577F">
        <w:rPr>
          <w:rStyle w:val="libFootnotenumChar"/>
          <w:rtl/>
        </w:rPr>
        <w:t>(9)</w:t>
      </w:r>
      <w:r w:rsidRPr="00C9040A">
        <w:rPr>
          <w:rtl/>
          <w:lang w:bidi="fa-IR"/>
        </w:rPr>
        <w:t xml:space="preserve"> فِيهِ ، ثُمَّ دَعَاهُمْ فَتَغَدَّوْا </w:t>
      </w:r>
      <w:r w:rsidR="006C577F" w:rsidRPr="006C577F">
        <w:rPr>
          <w:rStyle w:val="libFootnotenumChar"/>
          <w:rtl/>
        </w:rPr>
        <w:t>(10)</w:t>
      </w:r>
      <w:r w:rsidRPr="00C9040A">
        <w:rPr>
          <w:rtl/>
          <w:lang w:bidi="fa-IR"/>
        </w:rPr>
        <w:t xml:space="preserve"> عِنْدَهُ ، وَتَغَدّى </w:t>
      </w:r>
      <w:r w:rsidR="006C577F" w:rsidRPr="006C577F">
        <w:rPr>
          <w:rStyle w:val="libFootnotenumChar"/>
          <w:rtl/>
        </w:rPr>
        <w:t>(11)</w:t>
      </w:r>
      <w:r w:rsidRPr="00C9040A">
        <w:rPr>
          <w:rtl/>
          <w:lang w:bidi="fa-IR"/>
        </w:rPr>
        <w:t xml:space="preserve"> مَعَهُمْ »</w:t>
      </w:r>
      <w:r>
        <w:rPr>
          <w:rtl/>
          <w:lang w:bidi="fa-IR"/>
        </w:rPr>
        <w:t>.</w:t>
      </w:r>
      <w:r w:rsidRPr="00C9040A">
        <w:rPr>
          <w:rtl/>
          <w:lang w:bidi="fa-IR"/>
        </w:rPr>
        <w:t xml:space="preserve"> </w:t>
      </w:r>
      <w:r w:rsidR="006C577F" w:rsidRPr="006C577F">
        <w:rPr>
          <w:rStyle w:val="libFootnotenumChar"/>
          <w:rtl/>
        </w:rPr>
        <w:t>(12)</w:t>
      </w:r>
      <w:r w:rsidRPr="00C9040A">
        <w:rPr>
          <w:rtl/>
          <w:lang w:bidi="fa-IR"/>
        </w:rPr>
        <w:t xml:space="preserve"> ‌</w:t>
      </w:r>
    </w:p>
    <w:p w:rsidR="008A74EB" w:rsidRPr="00C9040A" w:rsidRDefault="008A74EB" w:rsidP="008A74EB">
      <w:pPr>
        <w:pStyle w:val="libNormal"/>
        <w:rPr>
          <w:rtl/>
          <w:lang w:bidi="fa-IR"/>
        </w:rPr>
      </w:pPr>
      <w:r w:rsidRPr="00B40282">
        <w:rPr>
          <w:rtl/>
        </w:rPr>
        <w:t>1871</w:t>
      </w:r>
      <w:r w:rsidRPr="00261CB0">
        <w:rPr>
          <w:rStyle w:val="libBold2Char"/>
          <w:rtl/>
        </w:rPr>
        <w:t xml:space="preserve"> / 9.</w:t>
      </w:r>
      <w:r w:rsidRPr="00C9040A">
        <w:rPr>
          <w:rtl/>
          <w:lang w:bidi="fa-IR"/>
        </w:rPr>
        <w:t xml:space="preserve"> عِدَّةٌ مِنْ أَصْحَابِنَا ، عَنْ أَحْمَدَ بْنِ أَبِي عَبْدِ اللهِ ، عَنْ عُثْمَانَ بْنِ عِيسى ، عَنْ هَارُونَ بْنِ خَارِجَةَ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993B55">
        <w:rPr>
          <w:rStyle w:val="libFootnoteBoldChar"/>
          <w:rtl/>
        </w:rPr>
        <w:t>علل الشرائع</w:t>
      </w:r>
      <w:r w:rsidR="008A74EB" w:rsidRPr="00C9040A">
        <w:rPr>
          <w:rtl/>
        </w:rPr>
        <w:t xml:space="preserve"> ، ص 56 ، ح 1 ، بسنده عن محمّد بن أبي عمير ، عن عليّ بن يقطين ، عن رجل ، عن أبي جعفر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الفقيه</w:t>
      </w:r>
      <w:r w:rsidR="008A74EB" w:rsidRPr="00C9040A">
        <w:rPr>
          <w:rtl/>
        </w:rPr>
        <w:t xml:space="preserve"> ، ج 1 ، ص 332 ، ح 975 ، مرسلاً عن أبي جعفر </w:t>
      </w:r>
      <w:r w:rsidR="00117575" w:rsidRPr="00117575">
        <w:rPr>
          <w:rStyle w:val="libFootnoteAlaemChar"/>
          <w:rtl/>
        </w:rPr>
        <w:t>عليه‌السلام</w:t>
      </w:r>
      <w:r w:rsidR="008A74EB" w:rsidRPr="00C9040A">
        <w:rPr>
          <w:rtl/>
        </w:rPr>
        <w:t xml:space="preserve"> ، مع اختلاف يسير ؛ </w:t>
      </w:r>
      <w:r w:rsidR="008A74EB" w:rsidRPr="00993B55">
        <w:rPr>
          <w:rStyle w:val="libFootnoteBoldChar"/>
          <w:rtl/>
        </w:rPr>
        <w:t>فقه الرضا</w:t>
      </w:r>
      <w:r w:rsidR="008A74EB" w:rsidRPr="00C9040A">
        <w:rPr>
          <w:rtl/>
        </w:rPr>
        <w:t xml:space="preserve"> </w:t>
      </w:r>
      <w:r w:rsidR="00117575" w:rsidRPr="00117575">
        <w:rPr>
          <w:rStyle w:val="libFootnoteAlaemChar"/>
          <w:rtl/>
        </w:rPr>
        <w:t>عليه‌السلام</w:t>
      </w:r>
      <w:r w:rsidR="008A74EB" w:rsidRPr="00C9040A">
        <w:rPr>
          <w:rtl/>
        </w:rPr>
        <w:t xml:space="preserve"> ، ص 371 ، مع اختلاف وزيادة في أوّله</w:t>
      </w:r>
      <w:r w:rsidR="00FB12A6">
        <w:rPr>
          <w:rFonts w:hint="cs"/>
          <w:rtl/>
        </w:rPr>
        <w:t>.</w:t>
      </w:r>
      <w:r w:rsidR="008A74EB" w:rsidRPr="00993B55">
        <w:rPr>
          <w:rStyle w:val="libFootnoteBoldChar"/>
          <w:rtl/>
        </w:rPr>
        <w:t>الوافي</w:t>
      </w:r>
      <w:r w:rsidR="008A74EB" w:rsidRPr="00C9040A">
        <w:rPr>
          <w:rtl/>
        </w:rPr>
        <w:t xml:space="preserve"> ، ج 4 ، ص 469 ، ح 2367 ؛ </w:t>
      </w:r>
      <w:r w:rsidR="008A74EB" w:rsidRPr="00993B55">
        <w:rPr>
          <w:rStyle w:val="libFootnoteBoldChar"/>
          <w:rtl/>
        </w:rPr>
        <w:t>الوسائل</w:t>
      </w:r>
      <w:r w:rsidR="008A74EB" w:rsidRPr="00C9040A">
        <w:rPr>
          <w:rtl/>
        </w:rPr>
        <w:t xml:space="preserve"> ، ج 7 ، ص 10 ، ح 8575 ؛ </w:t>
      </w:r>
      <w:r w:rsidR="008A74EB" w:rsidRPr="00993B55">
        <w:rPr>
          <w:rStyle w:val="libFootnoteBoldChar"/>
          <w:rtl/>
        </w:rPr>
        <w:t>البحار</w:t>
      </w:r>
      <w:r w:rsidR="008A74EB" w:rsidRPr="00C9040A">
        <w:rPr>
          <w:rtl/>
        </w:rPr>
        <w:t xml:space="preserve"> ، ج 75 ، ص 129 ، ح 29.</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ب » وحاشية « ف » : « مجذّمين »</w:t>
      </w:r>
      <w:r w:rsidR="008A74EB">
        <w:rPr>
          <w:rtl/>
        </w:rPr>
        <w:t>.</w:t>
      </w:r>
      <w:r w:rsidR="008A74EB" w:rsidRPr="00C9040A">
        <w:rPr>
          <w:rtl/>
        </w:rPr>
        <w:t xml:space="preserve"> وفي حاشية « ج ، د ، ف ، ض ، بس » والبحار : « المجذومين »</w:t>
      </w:r>
      <w:r w:rsidR="008A74EB">
        <w:rPr>
          <w:rtl/>
        </w:rPr>
        <w:t>.</w:t>
      </w:r>
      <w:r w:rsidR="008A74EB" w:rsidRPr="00C9040A">
        <w:rPr>
          <w:rtl/>
        </w:rPr>
        <w:t xml:space="preserve"> والمجذَم‌والمجذوم : المبتلى بالجذام ، وهو داء يحدث من غلبة السوداء فيفسد مزاج الأعضاء. راجع : </w:t>
      </w:r>
      <w:r w:rsidR="008A74EB" w:rsidRPr="00993B55">
        <w:rPr>
          <w:rStyle w:val="libFootnoteBoldChar"/>
          <w:rtl/>
        </w:rPr>
        <w:t>القاموس المحيط</w:t>
      </w:r>
      <w:r w:rsidR="008A74EB" w:rsidRPr="00C9040A">
        <w:rPr>
          <w:rtl/>
        </w:rPr>
        <w:t xml:space="preserve"> ، ج 2 ، ص 1433 ( جذم )</w:t>
      </w:r>
      <w:r w:rsidR="008A74EB">
        <w:rPr>
          <w:rtl/>
        </w:rPr>
        <w:t>.</w:t>
      </w:r>
      <w:r w:rsidR="00FB12A6">
        <w:rPr>
          <w:rFonts w:hint="cs"/>
          <w:rtl/>
        </w:rPr>
        <w:t xml:space="preserve">                               </w:t>
      </w:r>
      <w:r>
        <w:rPr>
          <w:rtl/>
        </w:rPr>
        <w:t>(3).</w:t>
      </w:r>
      <w:r w:rsidR="008A74EB" w:rsidRPr="00C9040A">
        <w:rPr>
          <w:rtl/>
        </w:rPr>
        <w:t xml:space="preserve"> يجوز فيه الإضافة كما في « ص »</w:t>
      </w:r>
      <w:r w:rsidR="008A74EB">
        <w:rPr>
          <w:rtl/>
        </w:rPr>
        <w:t>.</w:t>
      </w:r>
    </w:p>
    <w:p w:rsidR="008A74EB" w:rsidRPr="004A4E41" w:rsidRDefault="006C577F" w:rsidP="004A4E41">
      <w:pPr>
        <w:pStyle w:val="libFootnote0"/>
        <w:rPr>
          <w:rStyle w:val="libFootnote0Char"/>
          <w:rtl/>
        </w:rPr>
      </w:pPr>
      <w:r>
        <w:rPr>
          <w:rtl/>
        </w:rPr>
        <w:t>(4).</w:t>
      </w:r>
      <w:r w:rsidR="008A74EB" w:rsidRPr="00C9040A">
        <w:rPr>
          <w:rtl/>
        </w:rPr>
        <w:t xml:space="preserve"> في هامش المطبوع عن بعض النسخ : « يتغذّون » بالذال المعجمة ، وكذا بعده.</w:t>
      </w:r>
    </w:p>
    <w:tbl>
      <w:tblPr>
        <w:tblStyle w:val="TableGrid"/>
        <w:bidiVisual/>
        <w:tblW w:w="0" w:type="auto"/>
        <w:tblLook w:val="04A0" w:firstRow="1" w:lastRow="0" w:firstColumn="1" w:lastColumn="0" w:noHBand="0" w:noVBand="1"/>
      </w:tblPr>
      <w:tblGrid>
        <w:gridCol w:w="4006"/>
        <w:gridCol w:w="4006"/>
      </w:tblGrid>
      <w:tr w:rsidR="00FB12A6" w:rsidTr="00FB12A6">
        <w:tc>
          <w:tcPr>
            <w:tcW w:w="4006" w:type="dxa"/>
          </w:tcPr>
          <w:p w:rsidR="00FB12A6" w:rsidRDefault="00FB12A6" w:rsidP="004A4E41">
            <w:pPr>
              <w:pStyle w:val="libFootnote0"/>
              <w:rPr>
                <w:rtl/>
              </w:rPr>
            </w:pPr>
            <w:r>
              <w:rPr>
                <w:rtl/>
              </w:rPr>
              <w:t>(5).</w:t>
            </w:r>
            <w:r w:rsidRPr="00C9040A">
              <w:rPr>
                <w:rtl/>
              </w:rPr>
              <w:t xml:space="preserve"> في « ب » : « الغذاء » بالمعجمتين.</w:t>
            </w:r>
          </w:p>
        </w:tc>
        <w:tc>
          <w:tcPr>
            <w:tcW w:w="4006" w:type="dxa"/>
          </w:tcPr>
          <w:p w:rsidR="00FB12A6" w:rsidRDefault="00FB12A6" w:rsidP="004A4E41">
            <w:pPr>
              <w:pStyle w:val="libFootnote0"/>
              <w:rPr>
                <w:rtl/>
              </w:rPr>
            </w:pPr>
            <w:r>
              <w:rPr>
                <w:rtl/>
              </w:rPr>
              <w:t xml:space="preserve">(6). </w:t>
            </w:r>
            <w:r w:rsidRPr="00C9040A">
              <w:rPr>
                <w:rtl/>
              </w:rPr>
              <w:t xml:space="preserve">في الوسائل </w:t>
            </w:r>
            <w:r>
              <w:rPr>
                <w:rtl/>
              </w:rPr>
              <w:t>: -</w:t>
            </w:r>
            <w:r w:rsidRPr="00C9040A">
              <w:rPr>
                <w:rtl/>
              </w:rPr>
              <w:t xml:space="preserve"> « إنّي »</w:t>
            </w:r>
            <w:r>
              <w:rPr>
                <w:rtl/>
              </w:rPr>
              <w:t>.</w:t>
            </w:r>
          </w:p>
        </w:tc>
      </w:tr>
      <w:tr w:rsidR="00FB12A6" w:rsidTr="00FB12A6">
        <w:tc>
          <w:tcPr>
            <w:tcW w:w="4006" w:type="dxa"/>
          </w:tcPr>
          <w:p w:rsidR="00FB12A6" w:rsidRDefault="00FB12A6" w:rsidP="004A4E41">
            <w:pPr>
              <w:pStyle w:val="libFootnote0"/>
              <w:rPr>
                <w:rtl/>
              </w:rPr>
            </w:pPr>
            <w:r>
              <w:rPr>
                <w:rtl/>
              </w:rPr>
              <w:t>(7).</w:t>
            </w:r>
            <w:r w:rsidRPr="00C9040A">
              <w:rPr>
                <w:rtl/>
              </w:rPr>
              <w:t xml:space="preserve"> في « ب » </w:t>
            </w:r>
            <w:r>
              <w:rPr>
                <w:rtl/>
              </w:rPr>
              <w:t>: -</w:t>
            </w:r>
            <w:r w:rsidRPr="00C9040A">
              <w:rPr>
                <w:rtl/>
              </w:rPr>
              <w:t xml:space="preserve"> « أنّي »</w:t>
            </w:r>
            <w:r>
              <w:rPr>
                <w:rtl/>
              </w:rPr>
              <w:t>.</w:t>
            </w:r>
          </w:p>
        </w:tc>
        <w:tc>
          <w:tcPr>
            <w:tcW w:w="4006" w:type="dxa"/>
          </w:tcPr>
          <w:p w:rsidR="00FB12A6" w:rsidRDefault="00FB12A6" w:rsidP="004A4E41">
            <w:pPr>
              <w:pStyle w:val="libFootnote0"/>
              <w:rPr>
                <w:rtl/>
              </w:rPr>
            </w:pPr>
            <w:r>
              <w:rPr>
                <w:rtl/>
              </w:rPr>
              <w:t>(8).</w:t>
            </w:r>
            <w:r w:rsidRPr="00C9040A">
              <w:rPr>
                <w:rtl/>
              </w:rPr>
              <w:t xml:space="preserve"> في « ض » : + « له »</w:t>
            </w:r>
            <w:r>
              <w:rPr>
                <w:rtl/>
              </w:rPr>
              <w:t>.</w:t>
            </w:r>
          </w:p>
        </w:tc>
      </w:tr>
    </w:tbl>
    <w:p w:rsidR="008A74EB" w:rsidRPr="00C9040A" w:rsidRDefault="006C577F" w:rsidP="004A4E41">
      <w:pPr>
        <w:pStyle w:val="libFootnote0"/>
        <w:rPr>
          <w:rtl/>
          <w:lang w:bidi="fa-IR"/>
        </w:rPr>
      </w:pPr>
      <w:r>
        <w:rPr>
          <w:rtl/>
        </w:rPr>
        <w:t>(9).</w:t>
      </w:r>
      <w:r w:rsidR="008A74EB" w:rsidRPr="00C9040A">
        <w:rPr>
          <w:rtl/>
        </w:rPr>
        <w:t xml:space="preserve"> في « ض » : « أن يتفوّقوا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 يتألّقوا »</w:t>
      </w:r>
      <w:r w:rsidR="008A74EB">
        <w:rPr>
          <w:rtl/>
        </w:rPr>
        <w:t>.</w:t>
      </w:r>
      <w:r w:rsidR="008A74EB" w:rsidRPr="00C9040A">
        <w:rPr>
          <w:rtl/>
        </w:rPr>
        <w:t xml:space="preserve"> وفي هامش ال</w:t>
      </w:r>
      <w:r w:rsidR="0034021D">
        <w:rPr>
          <w:rtl/>
        </w:rPr>
        <w:t>مطبوع عن بعض النسخ : «يتأنّفوا</w:t>
      </w:r>
      <w:r w:rsidR="008A74EB" w:rsidRPr="00C9040A">
        <w:rPr>
          <w:rtl/>
        </w:rPr>
        <w:t>»</w:t>
      </w:r>
      <w:r w:rsidR="008A74EB">
        <w:rPr>
          <w:rtl/>
        </w:rPr>
        <w:t>.</w:t>
      </w:r>
      <w:r w:rsidR="008A74EB" w:rsidRPr="00C9040A">
        <w:rPr>
          <w:rtl/>
        </w:rPr>
        <w:t xml:space="preserve"> وتنوّق فلان في مطعمه ومَلبسه واموره : إذا تجوّد وبالغ. </w:t>
      </w:r>
      <w:r w:rsidR="008A74EB" w:rsidRPr="00993B55">
        <w:rPr>
          <w:rStyle w:val="libFootnoteBoldChar"/>
          <w:rtl/>
        </w:rPr>
        <w:t>ترتيب كتاب العين</w:t>
      </w:r>
      <w:r w:rsidR="008A74EB" w:rsidRPr="00C9040A">
        <w:rPr>
          <w:rtl/>
        </w:rPr>
        <w:t xml:space="preserve"> ، ج 3 ، ص 1854 ( نوق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هامش المطبوع عن بعض النسخ : « فتغذّوا » بالمعجمتين.</w:t>
      </w:r>
    </w:p>
    <w:p w:rsidR="008A74EB" w:rsidRPr="00C9040A" w:rsidRDefault="006C577F" w:rsidP="004A4E41">
      <w:pPr>
        <w:pStyle w:val="libFootnote0"/>
        <w:rPr>
          <w:rtl/>
          <w:lang w:bidi="fa-IR"/>
        </w:rPr>
      </w:pPr>
      <w:r>
        <w:rPr>
          <w:rtl/>
        </w:rPr>
        <w:t>(11).</w:t>
      </w:r>
      <w:r w:rsidR="008A74EB" w:rsidRPr="00C9040A">
        <w:rPr>
          <w:rtl/>
        </w:rPr>
        <w:t xml:space="preserve"> في « ب » : « تغذّى » بالمعجمتين. وفي </w:t>
      </w:r>
      <w:r w:rsidR="008A74EB" w:rsidRPr="00993B55">
        <w:rPr>
          <w:rStyle w:val="libFootnoteBoldChar"/>
          <w:rtl/>
        </w:rPr>
        <w:t>المرآة</w:t>
      </w:r>
      <w:r w:rsidR="008A74EB" w:rsidRPr="00C9040A">
        <w:rPr>
          <w:rtl/>
        </w:rPr>
        <w:t xml:space="preserve"> : « هذا ليس بصريح في الأكل معهم في إناء واحد ، فلا ينافي الأمر بالفرار من المجذوم ؛ مع أنّه يمكن أن يكونوا مستثنين من هذا الحكم لقوّة توكّلهم وعدم تأثّر نفوسهم بأمثال ذلك ، أو لعلمهم بأنّ الله لايبتليهم بأمثال البلايا التي توجب نفرة الخلق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w:t>
      </w:r>
      <w:r w:rsidR="008A74EB" w:rsidRPr="00993B55">
        <w:rPr>
          <w:rStyle w:val="libFootnoteBoldChar"/>
          <w:rtl/>
        </w:rPr>
        <w:t>الوافي</w:t>
      </w:r>
      <w:r w:rsidR="008A74EB" w:rsidRPr="00C9040A">
        <w:rPr>
          <w:rtl/>
        </w:rPr>
        <w:t xml:space="preserve"> ، ج 4 ، ص 469 ، ح 2368 ؛ </w:t>
      </w:r>
      <w:r w:rsidR="008A74EB" w:rsidRPr="00993B55">
        <w:rPr>
          <w:rStyle w:val="libFootnoteBoldChar"/>
          <w:rtl/>
        </w:rPr>
        <w:t>الوسائل</w:t>
      </w:r>
      <w:r w:rsidR="008A74EB" w:rsidRPr="00C9040A">
        <w:rPr>
          <w:rtl/>
        </w:rPr>
        <w:t xml:space="preserve"> ، ج 15 ، ص 277 ، ح 20507 ؛ </w:t>
      </w:r>
      <w:r w:rsidR="008A74EB" w:rsidRPr="00993B55">
        <w:rPr>
          <w:rStyle w:val="libFootnoteBoldChar"/>
          <w:rtl/>
        </w:rPr>
        <w:t>البحار</w:t>
      </w:r>
      <w:r w:rsidR="008A74EB" w:rsidRPr="00C9040A">
        <w:rPr>
          <w:rtl/>
        </w:rPr>
        <w:t xml:space="preserve"> ، ج 46 ، ص 55 ، ح 2 ؛ وص 94 ، ذيل ح 84 ؛ وج 75 ، ص 130 ، ح 30.</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إِنَّ مِنَ التَّوَاضُعِ أَنْ يَجْلِسَ الرَّجُلُ دُونَ شَرَفِهِ »</w:t>
      </w:r>
      <w:r>
        <w:rPr>
          <w:rtl/>
          <w:lang w:bidi="fa-IR"/>
        </w:rPr>
        <w:t>.</w:t>
      </w:r>
      <w:r w:rsidRPr="00C9040A">
        <w:rPr>
          <w:rtl/>
          <w:lang w:bidi="fa-IR"/>
        </w:rPr>
        <w:t xml:space="preserve"> </w:t>
      </w:r>
      <w:r w:rsidR="006C577F" w:rsidRPr="006C577F">
        <w:rPr>
          <w:rStyle w:val="libFootnotenumChar"/>
          <w:rtl/>
        </w:rPr>
        <w:t>(1)</w:t>
      </w:r>
      <w:r w:rsidRPr="00C9040A">
        <w:rPr>
          <w:rtl/>
          <w:lang w:bidi="fa-IR"/>
        </w:rPr>
        <w:t xml:space="preserve"> ‌</w:t>
      </w:r>
    </w:p>
    <w:p w:rsidR="008A74EB" w:rsidRPr="00C9040A" w:rsidRDefault="008A74EB" w:rsidP="008A74EB">
      <w:pPr>
        <w:pStyle w:val="libNormal"/>
        <w:rPr>
          <w:rtl/>
          <w:lang w:bidi="fa-IR"/>
        </w:rPr>
      </w:pPr>
      <w:r w:rsidRPr="00B40282">
        <w:rPr>
          <w:rtl/>
        </w:rPr>
        <w:t>1872</w:t>
      </w:r>
      <w:r w:rsidRPr="00261CB0">
        <w:rPr>
          <w:rStyle w:val="libBold2Char"/>
          <w:rtl/>
        </w:rPr>
        <w:t xml:space="preserve"> / 10.</w:t>
      </w:r>
      <w:r w:rsidRPr="00C9040A">
        <w:rPr>
          <w:rtl/>
          <w:lang w:bidi="fa-IR"/>
        </w:rPr>
        <w:t xml:space="preserve"> عَنْهُ </w:t>
      </w:r>
      <w:r w:rsidR="006C577F" w:rsidRPr="006C577F">
        <w:rPr>
          <w:rStyle w:val="libFootnotenumChar"/>
          <w:rtl/>
        </w:rPr>
        <w:t>(2)</w:t>
      </w:r>
      <w:r w:rsidRPr="00C9040A">
        <w:rPr>
          <w:rtl/>
          <w:lang w:bidi="fa-IR"/>
        </w:rPr>
        <w:t xml:space="preserve"> ، عَنِ ابْنِ فَضَّالٍ وَمُحَسِّنِ بْنِ أَحْمَدَ ، عَنْ يُونُسَ بْنِ يَعْقُوبَ ، قَالَ :</w:t>
      </w:r>
    </w:p>
    <w:p w:rsidR="008A74EB" w:rsidRPr="00C9040A" w:rsidRDefault="008A74EB" w:rsidP="008A74EB">
      <w:pPr>
        <w:pStyle w:val="libNormal"/>
        <w:rPr>
          <w:rtl/>
          <w:lang w:bidi="fa-IR"/>
        </w:rPr>
      </w:pPr>
      <w:r w:rsidRPr="00C9040A">
        <w:rPr>
          <w:rtl/>
          <w:lang w:bidi="fa-IR"/>
        </w:rPr>
        <w:t xml:space="preserve">نَظَرَ أَبُو عَبْدِ اللهِ </w:t>
      </w:r>
      <w:r w:rsidRPr="0003660B">
        <w:rPr>
          <w:rStyle w:val="libAlaemChar"/>
          <w:rtl/>
        </w:rPr>
        <w:t>عليه‌السلام</w:t>
      </w:r>
      <w:r w:rsidRPr="00C9040A">
        <w:rPr>
          <w:rtl/>
          <w:lang w:bidi="fa-IR"/>
        </w:rPr>
        <w:t xml:space="preserve"> إِلى رَجُلٍ مِنْ أَهْلِ الْمَدِينَةِ قَدِ اشْتَرى لِعِيَالِهِ شَيْئاً وَهُوَ يَحْمِلُهُ ، فَلَمَّا رَآهُ </w:t>
      </w:r>
      <w:r w:rsidR="006C577F" w:rsidRPr="006C577F">
        <w:rPr>
          <w:rStyle w:val="libFootnotenumChar"/>
          <w:rtl/>
        </w:rPr>
        <w:t>(3)</w:t>
      </w:r>
      <w:r w:rsidRPr="00C9040A">
        <w:rPr>
          <w:rtl/>
          <w:lang w:bidi="fa-IR"/>
        </w:rPr>
        <w:t xml:space="preserve"> الرَّجُلُ اسْتَحْيَا </w:t>
      </w:r>
      <w:r w:rsidR="006C577F" w:rsidRPr="006C577F">
        <w:rPr>
          <w:rStyle w:val="libFootnotenumChar"/>
          <w:rtl/>
        </w:rPr>
        <w:t>(4)</w:t>
      </w:r>
      <w:r w:rsidRPr="00C9040A">
        <w:rPr>
          <w:rtl/>
          <w:lang w:bidi="fa-IR"/>
        </w:rPr>
        <w:t xml:space="preserve"> مِنْهُ ، فَقَالَ لَهُ </w:t>
      </w:r>
      <w:r w:rsidR="006C577F" w:rsidRPr="006C577F">
        <w:rPr>
          <w:rStyle w:val="libFootnotenumChar"/>
          <w:rtl/>
        </w:rPr>
        <w:t>(5)</w:t>
      </w:r>
      <w:r w:rsidRPr="00C9040A">
        <w:rPr>
          <w:rtl/>
          <w:lang w:bidi="fa-IR"/>
        </w:rPr>
        <w:t xml:space="preserve"> أَبُو عَبْدِ اللهِ </w:t>
      </w:r>
      <w:r w:rsidRPr="0003660B">
        <w:rPr>
          <w:rStyle w:val="libAlaemChar"/>
          <w:rtl/>
        </w:rPr>
        <w:t>عليه‌السلام</w:t>
      </w:r>
      <w:r w:rsidRPr="00C9040A">
        <w:rPr>
          <w:rtl/>
          <w:lang w:bidi="fa-IR"/>
        </w:rPr>
        <w:t xml:space="preserve"> : « اشْتَرَيْتَهُ لِعِيَالِكَ ، وَحَمَلْتَهُ إِلَيْهِمْ ؛ أَمَا وَاللهِ ، لَوْ لَا</w:t>
      </w:r>
      <w:r>
        <w:rPr>
          <w:rFonts w:hint="cs"/>
          <w:rtl/>
          <w:lang w:bidi="fa-IR"/>
        </w:rPr>
        <w:t xml:space="preserve"> </w:t>
      </w:r>
      <w:r w:rsidRPr="00C9040A">
        <w:rPr>
          <w:rtl/>
          <w:lang w:bidi="fa-IR"/>
        </w:rPr>
        <w:t>أَهْلُ الْمَدِينَةِ لَأَحْبَبْتُ أَنْ أَشْتَرِيَ لِعِيَالِيَ الشَّيْ‌ءَ ، ثُمَّ أَحْمِلَهُ إِلَيْهِمْ »</w:t>
      </w:r>
      <w:r>
        <w:rPr>
          <w:rtl/>
          <w:lang w:bidi="fa-IR"/>
        </w:rPr>
        <w:t>.</w:t>
      </w:r>
      <w:r w:rsidRPr="00C9040A">
        <w:rPr>
          <w:rtl/>
          <w:lang w:bidi="fa-IR"/>
        </w:rPr>
        <w:t xml:space="preserve"> </w:t>
      </w:r>
      <w:r w:rsidR="006C577F" w:rsidRPr="006C577F">
        <w:rPr>
          <w:rStyle w:val="libFootnotenumChar"/>
          <w:rtl/>
        </w:rPr>
        <w:t>(6)</w:t>
      </w:r>
      <w:r w:rsidRPr="00C9040A">
        <w:rPr>
          <w:rtl/>
          <w:lang w:bidi="fa-IR"/>
        </w:rPr>
        <w:t>‌</w:t>
      </w:r>
    </w:p>
    <w:p w:rsidR="008A74EB" w:rsidRPr="00C9040A" w:rsidRDefault="008A74EB" w:rsidP="008A74EB">
      <w:pPr>
        <w:pStyle w:val="libNormal"/>
        <w:rPr>
          <w:rtl/>
          <w:lang w:bidi="fa-IR"/>
        </w:rPr>
      </w:pPr>
      <w:r w:rsidRPr="00B40282">
        <w:rPr>
          <w:rtl/>
        </w:rPr>
        <w:t>1873</w:t>
      </w:r>
      <w:r w:rsidRPr="00261CB0">
        <w:rPr>
          <w:rStyle w:val="libBold2Char"/>
          <w:rtl/>
        </w:rPr>
        <w:t xml:space="preserve"> / 11.</w:t>
      </w:r>
      <w:r w:rsidRPr="00C9040A">
        <w:rPr>
          <w:rtl/>
          <w:lang w:bidi="fa-IR"/>
        </w:rPr>
        <w:t xml:space="preserve"> عَنْهُ </w:t>
      </w:r>
      <w:r w:rsidR="006C577F" w:rsidRPr="006C577F">
        <w:rPr>
          <w:rStyle w:val="libFootnotenumChar"/>
          <w:rtl/>
        </w:rPr>
        <w:t>(7)</w:t>
      </w:r>
      <w:r w:rsidRPr="00C9040A">
        <w:rPr>
          <w:rtl/>
          <w:lang w:bidi="fa-IR"/>
        </w:rPr>
        <w:t xml:space="preserve"> ، عَنْ أَبِيهِ ، عَنْ عَبْدِ اللهِ بْنِ الْقَاسِمِ ، عَنْ عَمْرِو بْنِ أَبِي الْمِقْدَامِ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فِيمَا أَوْحَى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إِلى دَاوُدَ </w:t>
      </w:r>
      <w:r w:rsidRPr="0003660B">
        <w:rPr>
          <w:rStyle w:val="libAlaemChar"/>
          <w:rtl/>
        </w:rPr>
        <w:t>عليه‌السلام</w:t>
      </w:r>
      <w:r w:rsidRPr="00C9040A">
        <w:rPr>
          <w:rtl/>
          <w:lang w:bidi="fa-IR"/>
        </w:rPr>
        <w:t xml:space="preserve"> : يَا دَاوُدُ ، كَمَا أَنَّ أَقْرَبَ النَّاسِ مِنَ </w:t>
      </w:r>
      <w:r w:rsidR="006C577F" w:rsidRPr="006C577F">
        <w:rPr>
          <w:rStyle w:val="libFootnotenumChar"/>
          <w:rtl/>
        </w:rPr>
        <w:t>(8)</w:t>
      </w:r>
      <w:r w:rsidRPr="00C9040A">
        <w:rPr>
          <w:rtl/>
          <w:lang w:bidi="fa-IR"/>
        </w:rPr>
        <w:t xml:space="preserve"> اللهِ الْمُتَوَاضِعُونَ ، كَذلِكَ أَبْعَدُ النَّاسِ مِنَ اللهِ الْمُتَكَبِّرُونَ »</w:t>
      </w:r>
      <w:r>
        <w:rPr>
          <w:rtl/>
          <w:lang w:bidi="fa-IR"/>
        </w:rPr>
        <w:t>.</w:t>
      </w:r>
      <w:r w:rsidRPr="00C9040A">
        <w:rPr>
          <w:rtl/>
          <w:lang w:bidi="fa-IR"/>
        </w:rPr>
        <w:t xml:space="preserve"> </w:t>
      </w:r>
      <w:r w:rsidR="006C577F" w:rsidRPr="006C577F">
        <w:rPr>
          <w:rStyle w:val="libFootnotenumChar"/>
          <w:rtl/>
        </w:rPr>
        <w:t>(9)</w:t>
      </w:r>
    </w:p>
    <w:p w:rsidR="008A74EB" w:rsidRPr="00C9040A" w:rsidRDefault="008A74EB" w:rsidP="008A74EB">
      <w:pPr>
        <w:pStyle w:val="libNormal"/>
        <w:rPr>
          <w:rtl/>
          <w:lang w:bidi="fa-IR"/>
        </w:rPr>
      </w:pPr>
      <w:r w:rsidRPr="00B40282">
        <w:rPr>
          <w:rtl/>
        </w:rPr>
        <w:t>1874</w:t>
      </w:r>
      <w:r w:rsidRPr="00261CB0">
        <w:rPr>
          <w:rStyle w:val="libBold2Char"/>
          <w:rtl/>
        </w:rPr>
        <w:t xml:space="preserve"> / 12.</w:t>
      </w:r>
      <w:r w:rsidRPr="00C9040A">
        <w:rPr>
          <w:rtl/>
          <w:lang w:bidi="fa-IR"/>
        </w:rPr>
        <w:t xml:space="preserve"> عَنْهُ </w:t>
      </w:r>
      <w:r w:rsidR="006C577F" w:rsidRPr="006C577F">
        <w:rPr>
          <w:rStyle w:val="libFootnotenumChar"/>
          <w:rtl/>
        </w:rPr>
        <w:t>(10)</w:t>
      </w:r>
      <w:r w:rsidRPr="00C9040A">
        <w:rPr>
          <w:rtl/>
          <w:lang w:bidi="fa-IR"/>
        </w:rPr>
        <w:t xml:space="preserve"> ، عَنْ عَلِيِّ بْنِ الْحَكَمِ رَفَعَهُ‌</w:t>
      </w:r>
      <w:r w:rsidR="00236DED">
        <w:rPr>
          <w:rFonts w:hint="cs"/>
          <w:rtl/>
          <w:lang w:bidi="fa-IR"/>
        </w:rPr>
        <w:t>..............................</w:t>
      </w:r>
      <w:r w:rsidR="00236DED">
        <w:rPr>
          <w:rFonts w:hint="cs"/>
          <w:rtl/>
          <w:lang w:bidi="fa-IR"/>
        </w:rPr>
        <w:tab/>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993B55">
        <w:rPr>
          <w:rStyle w:val="libFootnoteBoldChar"/>
          <w:rtl/>
        </w:rPr>
        <w:t>الوافي</w:t>
      </w:r>
      <w:r w:rsidR="008A74EB" w:rsidRPr="00C9040A">
        <w:rPr>
          <w:rtl/>
        </w:rPr>
        <w:t xml:space="preserve"> ، ج 4 ، ص 470 ، ح 2370 ؛ </w:t>
      </w:r>
      <w:r w:rsidR="008A74EB" w:rsidRPr="00993B55">
        <w:rPr>
          <w:rStyle w:val="libFootnoteBoldChar"/>
          <w:rtl/>
        </w:rPr>
        <w:t>الوسائل</w:t>
      </w:r>
      <w:r w:rsidR="008A74EB" w:rsidRPr="00C9040A">
        <w:rPr>
          <w:rtl/>
        </w:rPr>
        <w:t xml:space="preserve"> ، ج 12 ، ص 108 ، ح 15778 ؛ </w:t>
      </w:r>
      <w:r w:rsidR="008A74EB" w:rsidRPr="00993B55">
        <w:rPr>
          <w:rStyle w:val="libFootnoteBoldChar"/>
          <w:rtl/>
        </w:rPr>
        <w:t>البحار</w:t>
      </w:r>
      <w:r w:rsidR="008A74EB" w:rsidRPr="00C9040A">
        <w:rPr>
          <w:rtl/>
        </w:rPr>
        <w:t xml:space="preserve"> ، ج 75 ، ص 131 ، ح 31.</w:t>
      </w:r>
    </w:p>
    <w:p w:rsidR="008A74EB" w:rsidRPr="004A4E41" w:rsidRDefault="006C577F" w:rsidP="004A4E41">
      <w:pPr>
        <w:pStyle w:val="libFootnote0"/>
        <w:rPr>
          <w:rStyle w:val="libFootnote0Char"/>
          <w:rtl/>
        </w:rPr>
      </w:pPr>
      <w:r>
        <w:rPr>
          <w:rtl/>
        </w:rPr>
        <w:t>(2).</w:t>
      </w:r>
      <w:r w:rsidR="008A74EB">
        <w:rPr>
          <w:rtl/>
        </w:rPr>
        <w:t xml:space="preserve"> </w:t>
      </w:r>
      <w:r w:rsidR="008A74EB" w:rsidRPr="00C9040A">
        <w:rPr>
          <w:rtl/>
        </w:rPr>
        <w:t xml:space="preserve">الضمير راجع إلى أحمد بن أبي عبد الله المذكور في السند السابق ؛ فقد روى هو كتاب محسِّن بن أحمد القَيسي. راجع : </w:t>
      </w:r>
      <w:r w:rsidR="008A74EB" w:rsidRPr="00993B55">
        <w:rPr>
          <w:rStyle w:val="libFootnoteBoldChar"/>
          <w:rtl/>
        </w:rPr>
        <w:t>رجال النجاشي</w:t>
      </w:r>
      <w:r w:rsidR="008A74EB" w:rsidRPr="00C9040A">
        <w:rPr>
          <w:rtl/>
        </w:rPr>
        <w:t xml:space="preserve"> ، ص 423 ، الرقم 1133 ؛ </w:t>
      </w:r>
      <w:r w:rsidR="008A74EB" w:rsidRPr="0034021D">
        <w:rPr>
          <w:rStyle w:val="libFootnoteBoldChar"/>
          <w:rtl/>
        </w:rPr>
        <w:t>الفهرست للطوسي</w:t>
      </w:r>
      <w:r w:rsidR="008A74EB" w:rsidRPr="00C9040A">
        <w:rPr>
          <w:rtl/>
        </w:rPr>
        <w:t xml:space="preserve"> ، ص 471 ، الرقم 754.</w:t>
      </w:r>
    </w:p>
    <w:tbl>
      <w:tblPr>
        <w:tblStyle w:val="TableGrid"/>
        <w:bidiVisual/>
        <w:tblW w:w="0" w:type="auto"/>
        <w:tblLook w:val="04A0" w:firstRow="1" w:lastRow="0" w:firstColumn="1" w:lastColumn="0" w:noHBand="0" w:noVBand="1"/>
      </w:tblPr>
      <w:tblGrid>
        <w:gridCol w:w="4006"/>
        <w:gridCol w:w="4006"/>
      </w:tblGrid>
      <w:tr w:rsidR="00CC5372" w:rsidTr="00CC5372">
        <w:tc>
          <w:tcPr>
            <w:tcW w:w="4006" w:type="dxa"/>
          </w:tcPr>
          <w:p w:rsidR="00CC5372" w:rsidRDefault="00CC5372" w:rsidP="004A4E41">
            <w:pPr>
              <w:pStyle w:val="libFootnote0"/>
              <w:rPr>
                <w:rtl/>
              </w:rPr>
            </w:pPr>
            <w:r>
              <w:rPr>
                <w:rtl/>
              </w:rPr>
              <w:t>(3).</w:t>
            </w:r>
            <w:r w:rsidRPr="00C9040A">
              <w:rPr>
                <w:rtl/>
              </w:rPr>
              <w:t xml:space="preserve"> في « ز » : « رأى »</w:t>
            </w:r>
            <w:r>
              <w:rPr>
                <w:rtl/>
              </w:rPr>
              <w:t>.</w:t>
            </w:r>
          </w:p>
        </w:tc>
        <w:tc>
          <w:tcPr>
            <w:tcW w:w="4006" w:type="dxa"/>
          </w:tcPr>
          <w:p w:rsidR="00CC5372" w:rsidRDefault="00CC5372" w:rsidP="004A4E41">
            <w:pPr>
              <w:pStyle w:val="libFootnote0"/>
              <w:rPr>
                <w:rtl/>
              </w:rPr>
            </w:pPr>
            <w:r>
              <w:rPr>
                <w:rtl/>
              </w:rPr>
              <w:t>(4).</w:t>
            </w:r>
            <w:r w:rsidRPr="00C9040A">
              <w:rPr>
                <w:rtl/>
              </w:rPr>
              <w:t xml:space="preserve"> في حاشية « د » : « استحى »</w:t>
            </w:r>
            <w:r>
              <w:rPr>
                <w:rtl/>
              </w:rPr>
              <w:t>.</w:t>
            </w:r>
          </w:p>
        </w:tc>
      </w:tr>
    </w:tbl>
    <w:p w:rsidR="008A74EB" w:rsidRPr="00C9040A" w:rsidRDefault="006C577F" w:rsidP="004A4E41">
      <w:pPr>
        <w:pStyle w:val="libFootnote0"/>
        <w:rPr>
          <w:rtl/>
          <w:lang w:bidi="fa-IR"/>
        </w:rPr>
      </w:pPr>
      <w:r>
        <w:rPr>
          <w:rtl/>
        </w:rPr>
        <w:t>(5).</w:t>
      </w:r>
      <w:r w:rsidR="008A74EB" w:rsidRPr="00C9040A">
        <w:rPr>
          <w:rtl/>
        </w:rPr>
        <w:t xml:space="preserve"> هكذا في « ب ، ص ض ، ف ، بس ، بف » والوافي والبحار. وفي سائر النسخ والمطبوع </w:t>
      </w:r>
      <w:r w:rsidR="008A74EB">
        <w:rPr>
          <w:rtl/>
        </w:rPr>
        <w:t xml:space="preserve">: </w:t>
      </w:r>
      <w:r w:rsidR="0084262C">
        <w:rPr>
          <w:rtl/>
        </w:rPr>
        <w:t>-</w:t>
      </w:r>
      <w:r w:rsidR="008A74EB" w:rsidRPr="00C9040A">
        <w:rPr>
          <w:rtl/>
        </w:rPr>
        <w:t xml:space="preserve"> « له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الوافي</w:t>
      </w:r>
      <w:r w:rsidR="008A74EB" w:rsidRPr="00C9040A">
        <w:rPr>
          <w:rtl/>
        </w:rPr>
        <w:t xml:space="preserve"> ، ج 4 ، ص 470 ، ح 2372 ؛ </w:t>
      </w:r>
      <w:r w:rsidR="008A74EB" w:rsidRPr="00993B55">
        <w:rPr>
          <w:rStyle w:val="libFootnoteBoldChar"/>
          <w:rtl/>
        </w:rPr>
        <w:t>الوسائل</w:t>
      </w:r>
      <w:r w:rsidR="008A74EB" w:rsidRPr="00C9040A">
        <w:rPr>
          <w:rtl/>
        </w:rPr>
        <w:t xml:space="preserve"> ، ج 5 ، ص 12 ، ح 5759 ؛ </w:t>
      </w:r>
      <w:r w:rsidR="008A74EB" w:rsidRPr="00993B55">
        <w:rPr>
          <w:rStyle w:val="libFootnoteBoldChar"/>
          <w:rtl/>
        </w:rPr>
        <w:t>البحار</w:t>
      </w:r>
      <w:r w:rsidR="008A74EB" w:rsidRPr="00C9040A">
        <w:rPr>
          <w:rtl/>
        </w:rPr>
        <w:t xml:space="preserve"> ، ج 75 ، ص 132 ، ح 32.</w:t>
      </w:r>
    </w:p>
    <w:p w:rsidR="008A74EB" w:rsidRPr="00C9040A" w:rsidRDefault="006C577F" w:rsidP="004A4E41">
      <w:pPr>
        <w:pStyle w:val="libFootnote0"/>
        <w:rPr>
          <w:rtl/>
          <w:lang w:bidi="fa-IR"/>
        </w:rPr>
      </w:pPr>
      <w:r>
        <w:rPr>
          <w:rtl/>
        </w:rPr>
        <w:t>(7).</w:t>
      </w:r>
      <w:r w:rsidR="008A74EB" w:rsidRPr="00C9040A">
        <w:rPr>
          <w:rtl/>
        </w:rPr>
        <w:t xml:space="preserve"> في « ف » : « وعنه »</w:t>
      </w:r>
      <w:r w:rsidR="008A74EB">
        <w:rPr>
          <w:rtl/>
        </w:rPr>
        <w:t>.</w:t>
      </w:r>
      <w:r w:rsidR="008A74EB" w:rsidRPr="00C9040A">
        <w:rPr>
          <w:rtl/>
        </w:rPr>
        <w:t xml:space="preserve"> والضمير راجع إلى أحمد بن أبي عبد الله.</w:t>
      </w:r>
    </w:p>
    <w:p w:rsidR="008A74EB" w:rsidRPr="00C9040A" w:rsidRDefault="006C577F" w:rsidP="004A4E41">
      <w:pPr>
        <w:pStyle w:val="libFootnote0"/>
        <w:rPr>
          <w:rtl/>
          <w:lang w:bidi="fa-IR"/>
        </w:rPr>
      </w:pPr>
      <w:r>
        <w:rPr>
          <w:rtl/>
        </w:rPr>
        <w:t>(8).</w:t>
      </w:r>
      <w:r w:rsidR="008A74EB" w:rsidRPr="00C9040A">
        <w:rPr>
          <w:rtl/>
        </w:rPr>
        <w:t xml:space="preserve"> في « ب » وحاشية « ص ، ف ، بف » : « إلى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w:t>
      </w:r>
      <w:r w:rsidR="008A74EB" w:rsidRPr="0034021D">
        <w:rPr>
          <w:rStyle w:val="libFootnoteBoldChar"/>
          <w:rtl/>
        </w:rPr>
        <w:t>الأمالي للصدوق</w:t>
      </w:r>
      <w:r w:rsidR="008A74EB" w:rsidRPr="00C9040A">
        <w:rPr>
          <w:rtl/>
        </w:rPr>
        <w:t xml:space="preserve"> ، ص 305 ، المجلس 50 ، ح 12 ، بسند آخر عن أبي عبد الله ، عن أبيه ، عن آبائه </w:t>
      </w:r>
      <w:r w:rsidR="00117575" w:rsidRPr="00117575">
        <w:rPr>
          <w:rStyle w:val="libFootnoteAlaemChar"/>
          <w:rtl/>
        </w:rPr>
        <w:t>عليهم‌السلام</w:t>
      </w:r>
      <w:r w:rsidR="008A74EB" w:rsidRPr="00C9040A">
        <w:rPr>
          <w:rtl/>
        </w:rPr>
        <w:t xml:space="preserve"> عن رسول الله </w:t>
      </w:r>
      <w:r w:rsidR="004A4E41" w:rsidRPr="0034021D">
        <w:rPr>
          <w:rStyle w:val="libFootnoteAlaemChar"/>
          <w:rtl/>
        </w:rPr>
        <w:t>صلى‌الله‌عليه‌وآله</w:t>
      </w:r>
      <w:r w:rsidR="008A74EB" w:rsidRPr="00C9040A">
        <w:rPr>
          <w:rtl/>
        </w:rPr>
        <w:t xml:space="preserve"> ، مع اختلاف يسير وزيادة في أوّله</w:t>
      </w:r>
      <w:r w:rsidR="003A1C20">
        <w:rPr>
          <w:rFonts w:hint="cs"/>
          <w:rtl/>
        </w:rPr>
        <w:t>.</w:t>
      </w:r>
      <w:r w:rsidR="008A74EB" w:rsidRPr="00993B55">
        <w:rPr>
          <w:rStyle w:val="libFootnoteBoldChar"/>
          <w:rtl/>
        </w:rPr>
        <w:t>الوافي</w:t>
      </w:r>
      <w:r w:rsidR="008A74EB" w:rsidRPr="00C9040A">
        <w:rPr>
          <w:rtl/>
        </w:rPr>
        <w:t xml:space="preserve"> ، ج 4 ، ص 471 ، ح 2373 ؛ </w:t>
      </w:r>
      <w:r w:rsidR="008A74EB" w:rsidRPr="00993B55">
        <w:rPr>
          <w:rStyle w:val="libFootnoteBoldChar"/>
          <w:rtl/>
        </w:rPr>
        <w:t>الوسائل</w:t>
      </w:r>
      <w:r w:rsidR="008A74EB" w:rsidRPr="00C9040A">
        <w:rPr>
          <w:rtl/>
        </w:rPr>
        <w:t xml:space="preserve"> ، ج 15 ، ص 272 ، ح 20494 ؛ </w:t>
      </w:r>
      <w:r w:rsidR="008A74EB" w:rsidRPr="00993B55">
        <w:rPr>
          <w:rStyle w:val="libFootnoteBoldChar"/>
          <w:rtl/>
        </w:rPr>
        <w:t>البحار</w:t>
      </w:r>
      <w:r w:rsidR="008A74EB" w:rsidRPr="00C9040A">
        <w:rPr>
          <w:rtl/>
        </w:rPr>
        <w:t xml:space="preserve"> ، ج 14 ، ص 39 ، ح 21 ؛ وج 75 ، ص 132 ، ح 34.</w:t>
      </w:r>
    </w:p>
    <w:p w:rsidR="008A74EB" w:rsidRPr="00C9040A" w:rsidRDefault="006C577F" w:rsidP="004A4E41">
      <w:pPr>
        <w:pStyle w:val="libFootnote0"/>
        <w:rPr>
          <w:rtl/>
          <w:lang w:bidi="fa-IR"/>
        </w:rPr>
      </w:pPr>
      <w:r>
        <w:rPr>
          <w:rtl/>
        </w:rPr>
        <w:t>(10).</w:t>
      </w:r>
      <w:r w:rsidR="008A74EB" w:rsidRPr="00C9040A">
        <w:rPr>
          <w:rtl/>
        </w:rPr>
        <w:t xml:space="preserve"> الضمير راجع إلى أحمد بن أبي عبد الله ؛ فقد روى هو كتاب عليّ بن الحكم ، كما في </w:t>
      </w:r>
      <w:r w:rsidR="008A74EB" w:rsidRPr="00993B55">
        <w:rPr>
          <w:rStyle w:val="libFootnoteBoldChar"/>
          <w:rtl/>
        </w:rPr>
        <w:t>رجال النجاشي</w:t>
      </w:r>
      <w:r w:rsidR="008A74EB" w:rsidRPr="00C9040A">
        <w:rPr>
          <w:rtl/>
        </w:rPr>
        <w:t xml:space="preserve"> ، ص 274 ، الرقم 718 ، وأكثر من الرواية عنه مباشرة في كتابه المحاسن ، فالظاهر أنّ ما ورد في « ب ، ف ، بر » والمطبوع من زيادة « عن أبيه » سهو لا يعتمد عليه.</w:t>
      </w:r>
      <w:r w:rsidR="003A1C20">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إِلى </w:t>
      </w:r>
      <w:r w:rsidR="006C577F" w:rsidRPr="006C577F">
        <w:rPr>
          <w:rStyle w:val="libFootnotenumChar"/>
          <w:rtl/>
        </w:rPr>
        <w:t>(1)</w:t>
      </w:r>
      <w:r w:rsidRPr="00C9040A">
        <w:rPr>
          <w:rtl/>
          <w:lang w:bidi="fa-IR"/>
        </w:rPr>
        <w:t xml:space="preserve"> أَبِي بَصِيرٍ ، قَالَ :</w:t>
      </w:r>
    </w:p>
    <w:p w:rsidR="008A74EB" w:rsidRPr="00C9040A" w:rsidRDefault="008A74EB" w:rsidP="008A74EB">
      <w:pPr>
        <w:pStyle w:val="libNormal"/>
        <w:rPr>
          <w:rtl/>
          <w:lang w:bidi="fa-IR"/>
        </w:rPr>
      </w:pPr>
      <w:r w:rsidRPr="00C9040A">
        <w:rPr>
          <w:rtl/>
          <w:lang w:bidi="fa-IR"/>
        </w:rPr>
        <w:t xml:space="preserve">دَخَلْتُ عَلى أَبِي الْحَسَنِ مُوسى </w:t>
      </w:r>
      <w:r w:rsidRPr="0003660B">
        <w:rPr>
          <w:rStyle w:val="libAlaemChar"/>
          <w:rtl/>
        </w:rPr>
        <w:t>عليه‌السلام</w:t>
      </w:r>
      <w:r w:rsidRPr="00C9040A">
        <w:rPr>
          <w:rtl/>
          <w:lang w:bidi="fa-IR"/>
        </w:rPr>
        <w:t xml:space="preserve"> فِي السَّنَةِ الَّتِي قُبِضَ فِيهَا أَبُو عَبْدِ اللهِ </w:t>
      </w:r>
      <w:r w:rsidRPr="0003660B">
        <w:rPr>
          <w:rStyle w:val="libAlaemChar"/>
          <w:rtl/>
        </w:rPr>
        <w:t>عليه‌السلام</w:t>
      </w:r>
      <w:r w:rsidRPr="00C9040A">
        <w:rPr>
          <w:rtl/>
          <w:lang w:bidi="fa-IR"/>
        </w:rPr>
        <w:t xml:space="preserve"> ، فَقُلْتُ : جُعِلْتُ فِدَاكَ ، مَا لَكَ ذَبَحْتَ كَبْشاً ، وَنَحَرَ فُلَانٌ بَدَنَةً </w:t>
      </w:r>
      <w:r w:rsidR="006C577F" w:rsidRPr="006C577F">
        <w:rPr>
          <w:rStyle w:val="libFootnotenumChar"/>
          <w:rtl/>
        </w:rPr>
        <w:t>(2)</w:t>
      </w:r>
      <w:r>
        <w:rPr>
          <w:rtl/>
          <w:lang w:bidi="fa-IR"/>
        </w:rPr>
        <w:t>؟</w:t>
      </w:r>
    </w:p>
    <w:p w:rsidR="008A74EB" w:rsidRPr="00C9040A" w:rsidRDefault="008A74EB" w:rsidP="008A74EB">
      <w:pPr>
        <w:pStyle w:val="libNormal"/>
        <w:rPr>
          <w:rtl/>
          <w:lang w:bidi="fa-IR"/>
        </w:rPr>
      </w:pPr>
      <w:r w:rsidRPr="00C9040A">
        <w:rPr>
          <w:rtl/>
          <w:lang w:bidi="fa-IR"/>
        </w:rPr>
        <w:t xml:space="preserve">فَقَالَ : « يَا أَبَا مُحَمَّدٍ ، إِنَّ نُوحاً </w:t>
      </w:r>
      <w:r w:rsidRPr="0003660B">
        <w:rPr>
          <w:rStyle w:val="libAlaemChar"/>
          <w:rtl/>
        </w:rPr>
        <w:t>عليه‌السلام</w:t>
      </w:r>
      <w:r w:rsidRPr="00C9040A">
        <w:rPr>
          <w:rtl/>
          <w:lang w:bidi="fa-IR"/>
        </w:rPr>
        <w:t xml:space="preserve"> كَانَ فِي السَّفِينَةِ ، وَكَانَ فِيهَا مَا شَاءَ اللهُ ، وَكَانَتِ السَّفِينَةُ مَأْمُورَةً ، فَطَافَتْ بِالْبَيْتِ وَهُوَ طَوَافُ النِّسَاءِ ، وَخَلّى سَبِيلَهَا نُوحٌ </w:t>
      </w:r>
      <w:r w:rsidRPr="0003660B">
        <w:rPr>
          <w:rStyle w:val="libAlaemChar"/>
          <w:rtl/>
        </w:rPr>
        <w:t>عليه‌السلام</w:t>
      </w:r>
      <w:r w:rsidRPr="00C9040A">
        <w:rPr>
          <w:rtl/>
          <w:lang w:bidi="fa-IR"/>
        </w:rPr>
        <w:t xml:space="preserve"> ، فَأَوْحَى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إِلَى الْجِبَالِ : أَنِّي وَاضِعٌ سَفِينَةَ نُوحٍ عَبْدِي عَلى جَبَلٍ مِنْكُنَّ ، فَتَطَاوَلَتْ ، وَشَمَخَتْ </w:t>
      </w:r>
      <w:r w:rsidR="006C577F" w:rsidRPr="006C577F">
        <w:rPr>
          <w:rStyle w:val="libFootnotenumChar"/>
          <w:rtl/>
        </w:rPr>
        <w:t>(3)</w:t>
      </w:r>
      <w:r w:rsidRPr="00C9040A">
        <w:rPr>
          <w:rtl/>
          <w:lang w:bidi="fa-IR"/>
        </w:rPr>
        <w:t xml:space="preserve"> ، وَتَوَاضَعَ الْجُودِيُّ </w:t>
      </w:r>
      <w:r w:rsidR="006C577F" w:rsidRPr="006C577F">
        <w:rPr>
          <w:rStyle w:val="libFootnotenumChar"/>
          <w:rtl/>
        </w:rPr>
        <w:t>(4)</w:t>
      </w:r>
      <w:r>
        <w:rPr>
          <w:rtl/>
          <w:lang w:bidi="fa-IR"/>
        </w:rPr>
        <w:t xml:space="preserve"> </w:t>
      </w:r>
      <w:r w:rsidR="0084262C">
        <w:rPr>
          <w:rtl/>
          <w:lang w:bidi="fa-IR"/>
        </w:rPr>
        <w:t>-</w:t>
      </w:r>
      <w:r>
        <w:rPr>
          <w:rtl/>
          <w:lang w:bidi="fa-IR"/>
        </w:rPr>
        <w:t xml:space="preserve"> </w:t>
      </w:r>
      <w:r w:rsidRPr="00C9040A">
        <w:rPr>
          <w:rtl/>
          <w:lang w:bidi="fa-IR"/>
        </w:rPr>
        <w:t>وَهُوَ جَبَلٌ عِنْدَكُمْ</w:t>
      </w:r>
      <w:r>
        <w:rPr>
          <w:rtl/>
          <w:lang w:bidi="fa-IR"/>
        </w:rPr>
        <w:t xml:space="preserve"> </w:t>
      </w:r>
      <w:r w:rsidR="0084262C">
        <w:rPr>
          <w:rtl/>
          <w:lang w:bidi="fa-IR"/>
        </w:rPr>
        <w:t>-</w:t>
      </w:r>
      <w:r>
        <w:rPr>
          <w:rtl/>
          <w:lang w:bidi="fa-IR"/>
        </w:rPr>
        <w:t xml:space="preserve"> </w:t>
      </w:r>
      <w:r w:rsidRPr="00C9040A">
        <w:rPr>
          <w:rtl/>
          <w:lang w:bidi="fa-IR"/>
        </w:rPr>
        <w:t xml:space="preserve">فَضَرَبَتِ السَّفِينَةُ بِجُؤْجُؤِهَا </w:t>
      </w:r>
      <w:r w:rsidR="006C577F" w:rsidRPr="006C577F">
        <w:rPr>
          <w:rStyle w:val="libFootnotenumChar"/>
          <w:rtl/>
        </w:rPr>
        <w:t>(5)</w:t>
      </w:r>
      <w:r w:rsidRPr="00C9040A">
        <w:rPr>
          <w:rtl/>
          <w:lang w:bidi="fa-IR"/>
        </w:rPr>
        <w:t xml:space="preserve"> الْجَبَلَ »</w:t>
      </w:r>
      <w:r>
        <w:rPr>
          <w:rtl/>
          <w:lang w:bidi="fa-IR"/>
        </w:rPr>
        <w:t>.</w:t>
      </w:r>
      <w:r w:rsidRPr="00C9040A">
        <w:rPr>
          <w:rtl/>
          <w:lang w:bidi="fa-IR"/>
        </w:rPr>
        <w:t xml:space="preserve"> قَالَ : « فَقَالَ نُوحٌ </w:t>
      </w:r>
      <w:r w:rsidRPr="0003660B">
        <w:rPr>
          <w:rStyle w:val="libAlaemChar"/>
          <w:rtl/>
        </w:rPr>
        <w:t>عليه‌السلام</w:t>
      </w:r>
      <w:r w:rsidRPr="00C9040A">
        <w:rPr>
          <w:rtl/>
          <w:lang w:bidi="fa-IR"/>
        </w:rPr>
        <w:t xml:space="preserve"> عِنْدَ ذلِكَ : يَا مَارِي ، أَتْقِنْ ، وَهُوَ بِالسُّرْيَانِيَّةِ : يَا </w:t>
      </w:r>
      <w:r w:rsidR="006C577F" w:rsidRPr="006C577F">
        <w:rPr>
          <w:rStyle w:val="libFootnotenumChar"/>
          <w:rtl/>
        </w:rPr>
        <w:t>(6)</w:t>
      </w:r>
      <w:r w:rsidRPr="005B567D">
        <w:rPr>
          <w:rStyle w:val="libFootnotenumChar"/>
          <w:rtl/>
        </w:rPr>
        <w:t xml:space="preserve"> </w:t>
      </w:r>
      <w:r w:rsidRPr="00C9040A">
        <w:rPr>
          <w:rtl/>
          <w:lang w:bidi="fa-IR"/>
        </w:rPr>
        <w:t>رَبِّ ، أَصْلِحْ »</w:t>
      </w:r>
      <w:r>
        <w:rPr>
          <w:rtl/>
          <w:lang w:bidi="fa-IR"/>
        </w:rPr>
        <w:t>.</w:t>
      </w:r>
    </w:p>
    <w:p w:rsidR="008A74EB" w:rsidRPr="00C9040A" w:rsidRDefault="008A74EB" w:rsidP="00725E4F">
      <w:pPr>
        <w:pStyle w:val="libNormal"/>
        <w:rPr>
          <w:rtl/>
          <w:lang w:bidi="fa-IR"/>
        </w:rPr>
      </w:pPr>
      <w:r w:rsidRPr="00C9040A">
        <w:rPr>
          <w:rtl/>
          <w:lang w:bidi="fa-IR"/>
        </w:rPr>
        <w:t xml:space="preserve">قَالَ : فَظَنَنْتُ أَنَّ أَبَا الْحَسَنِ </w:t>
      </w:r>
      <w:r w:rsidRPr="0003660B">
        <w:rPr>
          <w:rStyle w:val="libAlaemChar"/>
          <w:rtl/>
        </w:rPr>
        <w:t>عليه‌السلام</w:t>
      </w:r>
      <w:r w:rsidRPr="00C9040A">
        <w:rPr>
          <w:rtl/>
          <w:lang w:bidi="fa-IR"/>
        </w:rPr>
        <w:t xml:space="preserve"> عَرَّضَ بِنَفْسِهِ </w:t>
      </w:r>
      <w:r w:rsidR="006C577F" w:rsidRPr="006C577F">
        <w:rPr>
          <w:rStyle w:val="libFootnotenumChar"/>
          <w:rtl/>
        </w:rPr>
        <w:t>(7)</w:t>
      </w:r>
      <w:r w:rsidRPr="00C9040A">
        <w:rPr>
          <w:rtl/>
          <w:lang w:bidi="fa-IR"/>
        </w:rPr>
        <w:t xml:space="preserve"> </w:t>
      </w:r>
      <w:r w:rsidR="006C577F" w:rsidRPr="006C577F">
        <w:rPr>
          <w:rStyle w:val="libFootnotenumChar"/>
          <w:rtl/>
        </w:rPr>
        <w:t>(8)</w:t>
      </w:r>
    </w:p>
    <w:p w:rsidR="008A74EB" w:rsidRPr="00C9040A" w:rsidRDefault="008A74EB" w:rsidP="008A74EB">
      <w:pPr>
        <w:pStyle w:val="libLine"/>
        <w:rPr>
          <w:rtl/>
          <w:lang w:bidi="fa-IR"/>
        </w:rPr>
      </w:pPr>
      <w:r w:rsidRPr="00C9040A">
        <w:rPr>
          <w:rtl/>
          <w:lang w:bidi="fa-IR"/>
        </w:rPr>
        <w:t>__________________</w:t>
      </w:r>
    </w:p>
    <w:p w:rsidR="008A74EB" w:rsidRPr="00C9040A" w:rsidRDefault="00725E4F" w:rsidP="004A4E41">
      <w:pPr>
        <w:pStyle w:val="libFootnote0"/>
        <w:rPr>
          <w:rtl/>
          <w:lang w:bidi="fa-IR"/>
        </w:rPr>
      </w:pPr>
      <w:r>
        <w:rPr>
          <w:rFonts w:hint="cs"/>
          <w:rtl/>
        </w:rPr>
        <w:t xml:space="preserve">= </w:t>
      </w:r>
      <w:r w:rsidR="008A74EB" w:rsidRPr="0082575F">
        <w:rPr>
          <w:rtl/>
        </w:rPr>
        <w:t>يؤيّد ذلك خلوّ « ج ، د ، ز ، ص ، ض ، بس ، بف ، جر » والطبعة الحجريّة من هذه الزيادة.</w:t>
      </w:r>
    </w:p>
    <w:p w:rsidR="008A74EB" w:rsidRPr="00C9040A" w:rsidRDefault="008A74EB" w:rsidP="004A4E41">
      <w:pPr>
        <w:pStyle w:val="libFootnote0"/>
        <w:rPr>
          <w:rtl/>
          <w:lang w:bidi="fa-IR"/>
        </w:rPr>
      </w:pPr>
      <w:r w:rsidRPr="00323A39">
        <w:rPr>
          <w:rtl/>
        </w:rPr>
        <w:t xml:space="preserve">ثمّ إنّ ما ورد في بعض الأسناد القليلة من توسّط والد أحمد بن أبي عبد الله بينه وبين عليّ بن الحكم كما في </w:t>
      </w:r>
      <w:r w:rsidRPr="00993B55">
        <w:rPr>
          <w:rStyle w:val="libFootnoteBoldChar"/>
          <w:rtl/>
        </w:rPr>
        <w:t>المحاسن</w:t>
      </w:r>
      <w:r w:rsidRPr="00323A39">
        <w:rPr>
          <w:rtl/>
        </w:rPr>
        <w:t xml:space="preserve"> ، ص 300 ، ح 5 ؛ وص 316 ، ح 34 و 36 ؛ وص 317 ، ح 39 ؛ وص 429 ، ح 247 ، لا يأمن من وقوع الخلل.</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ب ، د ، ز ، ف ، بس ، بف ، جر » وحاشية « ض » والوافي : « عن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قال الجوهري : « البدنة : ناقة أو بقرة تنحر بمكّة ؛ سمّيت بذلك لأنّهم كانوا يسمّنونها »</w:t>
      </w:r>
      <w:r w:rsidR="008A74EB">
        <w:rPr>
          <w:rtl/>
        </w:rPr>
        <w:t>.</w:t>
      </w:r>
      <w:r w:rsidR="008A74EB" w:rsidRPr="00C9040A">
        <w:rPr>
          <w:rtl/>
        </w:rPr>
        <w:t xml:space="preserve"> وقال ابن الأثير : « البدنة تقع على الجمل والناقة والبقر ، وهي بالإبل أشبه ، وسمّيت بدنة لعظمها وسمنها »</w:t>
      </w:r>
      <w:r w:rsidR="008A74EB">
        <w:rPr>
          <w:rtl/>
        </w:rPr>
        <w:t>.</w:t>
      </w:r>
      <w:r w:rsidR="008A74EB" w:rsidRPr="00C9040A">
        <w:rPr>
          <w:rtl/>
        </w:rPr>
        <w:t xml:space="preserve"> راجع : </w:t>
      </w:r>
      <w:r w:rsidR="008A74EB" w:rsidRPr="00993B55">
        <w:rPr>
          <w:rStyle w:val="libFootnoteBoldChar"/>
          <w:rtl/>
        </w:rPr>
        <w:t>الصحاح</w:t>
      </w:r>
      <w:r w:rsidR="008A74EB" w:rsidRPr="00C9040A">
        <w:rPr>
          <w:rtl/>
        </w:rPr>
        <w:t xml:space="preserve"> ، ج 5 ، ص 2077 ؛ </w:t>
      </w:r>
      <w:r w:rsidR="008A74EB" w:rsidRPr="00993B55">
        <w:rPr>
          <w:rStyle w:val="libFootnoteBoldChar"/>
          <w:rtl/>
        </w:rPr>
        <w:t>النهاية</w:t>
      </w:r>
      <w:r w:rsidR="008A74EB" w:rsidRPr="00C9040A">
        <w:rPr>
          <w:rtl/>
        </w:rPr>
        <w:t xml:space="preserve"> ، ج 1 ، ص 108 ( بدن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 شمخت » أي ترفّعت وعلت. راجع : </w:t>
      </w:r>
      <w:r w:rsidR="008A74EB" w:rsidRPr="00993B55">
        <w:rPr>
          <w:rStyle w:val="libFootnoteBoldChar"/>
          <w:rtl/>
        </w:rPr>
        <w:t>النهاية</w:t>
      </w:r>
      <w:r w:rsidR="008A74EB" w:rsidRPr="00C9040A">
        <w:rPr>
          <w:rtl/>
        </w:rPr>
        <w:t xml:space="preserve"> ، ج 2 ، ص 500 ؛ </w:t>
      </w:r>
      <w:r w:rsidR="008A74EB" w:rsidRPr="00993B55">
        <w:rPr>
          <w:rStyle w:val="libFootnoteBoldChar"/>
          <w:rtl/>
        </w:rPr>
        <w:t>لسان العرب</w:t>
      </w:r>
      <w:r w:rsidR="008A74EB" w:rsidRPr="00C9040A">
        <w:rPr>
          <w:rtl/>
        </w:rPr>
        <w:t xml:space="preserve"> ، ج 3 ، ص 30 ( شمخ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 الجوديّ » : جبل بأرض الجزيرة ما بين دجلة والفرات ، استوت عليه سفينة نوح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الصحاح</w:t>
      </w:r>
      <w:r w:rsidR="008A74EB" w:rsidRPr="00C9040A">
        <w:rPr>
          <w:rtl/>
        </w:rPr>
        <w:t xml:space="preserve"> ، ج 2 ، ص 461 ؛ </w:t>
      </w:r>
      <w:r w:rsidR="008A74EB" w:rsidRPr="00993B55">
        <w:rPr>
          <w:rStyle w:val="libFootnoteBoldChar"/>
          <w:rtl/>
        </w:rPr>
        <w:t>مجمع البحرين</w:t>
      </w:r>
      <w:r w:rsidR="008A74EB" w:rsidRPr="00C9040A">
        <w:rPr>
          <w:rtl/>
        </w:rPr>
        <w:t xml:space="preserve"> ، ج 3 ، ص 29 ( جود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 الجُؤجُؤ » : صدر السفينة. والجمع : الجآجئ. </w:t>
      </w:r>
      <w:r w:rsidR="008A74EB" w:rsidRPr="00993B55">
        <w:rPr>
          <w:rStyle w:val="libFootnoteBoldChar"/>
          <w:rtl/>
        </w:rPr>
        <w:t>ترتيب كتاب العين</w:t>
      </w:r>
      <w:r w:rsidR="008A74EB" w:rsidRPr="00C9040A">
        <w:rPr>
          <w:rtl/>
        </w:rPr>
        <w:t xml:space="preserve"> ، ج 1 ، ص 255 ( جأجأ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 ب ، ز ، ص ، ض ، ف ، بس ، بف » والوافي والبحار </w:t>
      </w:r>
      <w:r w:rsidR="008A74EB">
        <w:rPr>
          <w:rtl/>
        </w:rPr>
        <w:t xml:space="preserve">: </w:t>
      </w:r>
      <w:r w:rsidR="0084262C">
        <w:rPr>
          <w:rtl/>
        </w:rPr>
        <w:t>-</w:t>
      </w:r>
      <w:r w:rsidR="008A74EB" w:rsidRPr="00C9040A">
        <w:rPr>
          <w:rtl/>
        </w:rPr>
        <w:t xml:space="preserve"> « يا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البحار ، ج 11 </w:t>
      </w:r>
      <w:r w:rsidR="008A74EB">
        <w:rPr>
          <w:rtl/>
        </w:rPr>
        <w:t xml:space="preserve">: </w:t>
      </w:r>
      <w:r w:rsidR="0084262C">
        <w:rPr>
          <w:rtl/>
        </w:rPr>
        <w:t>-</w:t>
      </w:r>
      <w:r w:rsidR="008A74EB" w:rsidRPr="00C9040A">
        <w:rPr>
          <w:rtl/>
        </w:rPr>
        <w:t xml:space="preserve"> « قال : فظننت</w:t>
      </w:r>
      <w:r w:rsidR="008A74EB">
        <w:rPr>
          <w:rtl/>
        </w:rPr>
        <w:t xml:space="preserve"> </w:t>
      </w:r>
      <w:r w:rsidR="0084262C">
        <w:rPr>
          <w:rtl/>
        </w:rPr>
        <w:t>-</w:t>
      </w:r>
      <w:r w:rsidR="008A74EB">
        <w:rPr>
          <w:rtl/>
        </w:rPr>
        <w:t xml:space="preserve"> </w:t>
      </w:r>
      <w:r w:rsidR="008A74EB" w:rsidRPr="00C9040A">
        <w:rPr>
          <w:rtl/>
        </w:rPr>
        <w:t>إلى</w:t>
      </w:r>
      <w:r w:rsidR="008A74EB">
        <w:rPr>
          <w:rtl/>
        </w:rPr>
        <w:t xml:space="preserve"> </w:t>
      </w:r>
      <w:r w:rsidR="0084262C">
        <w:rPr>
          <w:rtl/>
        </w:rPr>
        <w:t>-</w:t>
      </w:r>
      <w:r w:rsidR="008A74EB">
        <w:rPr>
          <w:rtl/>
        </w:rPr>
        <w:t xml:space="preserve"> </w:t>
      </w:r>
      <w:r w:rsidR="008A74EB" w:rsidRPr="00C9040A">
        <w:rPr>
          <w:rtl/>
        </w:rPr>
        <w:t>بنفسه »</w:t>
      </w:r>
      <w:r w:rsidR="008A74EB">
        <w:rPr>
          <w:rtl/>
        </w:rPr>
        <w:t>.</w:t>
      </w:r>
      <w:r w:rsidR="008A74EB" w:rsidRPr="00C9040A">
        <w:rPr>
          <w:rtl/>
        </w:rPr>
        <w:t xml:space="preserve"> وفي </w:t>
      </w:r>
      <w:r w:rsidR="008A74EB" w:rsidRPr="00993B55">
        <w:rPr>
          <w:rStyle w:val="libFootnoteBoldChar"/>
          <w:rtl/>
        </w:rPr>
        <w:t>الوافي</w:t>
      </w:r>
      <w:r w:rsidR="008A74EB" w:rsidRPr="00C9040A">
        <w:rPr>
          <w:rtl/>
        </w:rPr>
        <w:t xml:space="preserve"> : « عرّض بنفسه ، يعني أراد بهذه الحكاية أن يتبيّن أنّه إنّما تواضع بذبح الشاة دون أن ينحر البدنة ليجبر الله تواضعه ذاك با</w:t>
      </w:r>
      <w:r w:rsidR="0034021D">
        <w:rPr>
          <w:rtl/>
        </w:rPr>
        <w:t>لرفعة في قدره في الدنيا والآخرة</w:t>
      </w:r>
      <w:r w:rsidR="008A74EB" w:rsidRPr="00C9040A">
        <w:rPr>
          <w:rtl/>
        </w:rPr>
        <w:t>»</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w:t>
      </w:r>
      <w:r w:rsidR="008A74EB" w:rsidRPr="00993B55">
        <w:rPr>
          <w:rStyle w:val="libFootnoteBoldChar"/>
          <w:rtl/>
        </w:rPr>
        <w:t>تفسير العيّاشي</w:t>
      </w:r>
      <w:r w:rsidR="008A74EB" w:rsidRPr="00C9040A">
        <w:rPr>
          <w:rtl/>
        </w:rPr>
        <w:t xml:space="preserve"> ، ج 2 ، ص 150 ، ح 38 ، عن أبي بصير ، من قوله : « إنّ نوحاً كان في السفينة » ، مع اختلاف </w:t>
      </w:r>
      <w:r w:rsidR="0057195F">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B40282">
        <w:rPr>
          <w:rtl/>
        </w:rPr>
        <w:t>1875</w:t>
      </w:r>
      <w:r w:rsidRPr="00261CB0">
        <w:rPr>
          <w:rStyle w:val="libBold2Char"/>
          <w:rtl/>
        </w:rPr>
        <w:t xml:space="preserve"> / 13.</w:t>
      </w:r>
      <w:r w:rsidRPr="00C9040A">
        <w:rPr>
          <w:rtl/>
          <w:lang w:bidi="fa-IR"/>
        </w:rPr>
        <w:t xml:space="preserve"> عَنْهُ </w:t>
      </w:r>
      <w:r w:rsidR="006C577F" w:rsidRPr="006C577F">
        <w:rPr>
          <w:rStyle w:val="libFootnotenumChar"/>
          <w:rtl/>
        </w:rPr>
        <w:t>(1)</w:t>
      </w:r>
      <w:r w:rsidRPr="00C9040A">
        <w:rPr>
          <w:rtl/>
          <w:lang w:bidi="fa-IR"/>
        </w:rPr>
        <w:t xml:space="preserve"> ، عَنْ عِدَّةٍ مِنْ أَصْحَابِهِ </w:t>
      </w:r>
      <w:r w:rsidR="006C577F" w:rsidRPr="006C577F">
        <w:rPr>
          <w:rStyle w:val="libFootnotenumChar"/>
          <w:rtl/>
        </w:rPr>
        <w:t>(2)</w:t>
      </w:r>
      <w:r w:rsidRPr="00C9040A">
        <w:rPr>
          <w:rtl/>
          <w:lang w:bidi="fa-IR"/>
        </w:rPr>
        <w:t xml:space="preserve"> ، عَنْ عَلِيِّ بْنِ أَسْبَاطٍ ، عَنِ الْحَسَنِ بْنِ الْجَهْمِ :</w:t>
      </w:r>
    </w:p>
    <w:p w:rsidR="008A74EB" w:rsidRPr="00C9040A" w:rsidRDefault="008A74EB" w:rsidP="008A74EB">
      <w:pPr>
        <w:pStyle w:val="libNormal"/>
        <w:rPr>
          <w:rtl/>
          <w:lang w:bidi="fa-IR"/>
        </w:rPr>
      </w:pPr>
      <w:r w:rsidRPr="00C9040A">
        <w:rPr>
          <w:rtl/>
          <w:lang w:bidi="fa-IR"/>
        </w:rPr>
        <w:t xml:space="preserve">عَنْ أَبِي الْحَسَنِ </w:t>
      </w:r>
      <w:r w:rsidR="006C577F" w:rsidRPr="006C577F">
        <w:rPr>
          <w:rStyle w:val="libFootnotenumChar"/>
          <w:rtl/>
        </w:rPr>
        <w:t>(3)</w:t>
      </w:r>
      <w:r w:rsidRPr="00C9040A">
        <w:rPr>
          <w:rtl/>
          <w:lang w:bidi="fa-IR"/>
        </w:rPr>
        <w:t xml:space="preserve"> </w:t>
      </w:r>
      <w:r w:rsidRPr="0003660B">
        <w:rPr>
          <w:rStyle w:val="libAlaemChar"/>
          <w:rtl/>
        </w:rPr>
        <w:t>عليه‌السلام</w:t>
      </w:r>
      <w:r w:rsidRPr="00C9040A">
        <w:rPr>
          <w:rtl/>
          <w:lang w:bidi="fa-IR"/>
        </w:rPr>
        <w:t xml:space="preserve"> ، قَالَ </w:t>
      </w:r>
      <w:r w:rsidR="006C577F" w:rsidRPr="006C577F">
        <w:rPr>
          <w:rStyle w:val="libFootnotenumChar"/>
          <w:rtl/>
        </w:rPr>
        <w:t>(4)</w:t>
      </w:r>
      <w:r w:rsidRPr="00C9040A">
        <w:rPr>
          <w:rtl/>
          <w:lang w:bidi="fa-IR"/>
        </w:rPr>
        <w:t xml:space="preserve"> : قَالَ : « التَّوَاضُعُ أَنْ تُعْطِيَ </w:t>
      </w:r>
      <w:r w:rsidR="006C577F" w:rsidRPr="006C577F">
        <w:rPr>
          <w:rStyle w:val="libFootnotenumChar"/>
          <w:rtl/>
        </w:rPr>
        <w:t>(5)</w:t>
      </w:r>
      <w:r w:rsidRPr="00C9040A">
        <w:rPr>
          <w:rtl/>
          <w:lang w:bidi="fa-IR"/>
        </w:rPr>
        <w:t xml:space="preserve"> النَّاسَ مَا تُحِبُّ أَنْ تُعْطَاهُ </w:t>
      </w:r>
      <w:r w:rsidR="006C577F" w:rsidRPr="006C577F">
        <w:rPr>
          <w:rStyle w:val="libFootnotenumChar"/>
          <w:rtl/>
        </w:rPr>
        <w:t>(6)</w:t>
      </w:r>
      <w:r w:rsidRPr="005B567D">
        <w:rPr>
          <w:rStyle w:val="libFootnotenumChar"/>
          <w:rtl/>
        </w:rPr>
        <w:t xml:space="preserve"> </w:t>
      </w:r>
      <w:r w:rsidRPr="00C9040A">
        <w:rPr>
          <w:rtl/>
          <w:lang w:bidi="fa-IR"/>
        </w:rPr>
        <w:t>»</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B40282">
        <w:rPr>
          <w:rtl/>
        </w:rPr>
        <w:t>1876</w:t>
      </w:r>
      <w:r w:rsidRPr="00261CB0">
        <w:rPr>
          <w:rStyle w:val="libBold2Char"/>
          <w:rtl/>
        </w:rPr>
        <w:t xml:space="preserve"> / 14.</w:t>
      </w:r>
      <w:r w:rsidRPr="00C9040A">
        <w:rPr>
          <w:rtl/>
          <w:lang w:bidi="fa-IR"/>
        </w:rPr>
        <w:t xml:space="preserve"> وَفِي حَدِيثٍ آخَرَ ، قَالَ </w:t>
      </w:r>
      <w:r w:rsidR="006C577F" w:rsidRPr="006C577F">
        <w:rPr>
          <w:rStyle w:val="libFootnotenumChar"/>
          <w:rtl/>
        </w:rPr>
        <w:t>(8)</w:t>
      </w:r>
      <w:r w:rsidRPr="00C9040A">
        <w:rPr>
          <w:rtl/>
          <w:lang w:bidi="fa-IR"/>
        </w:rPr>
        <w:t xml:space="preserve"> : قُلْتُ : مَا حَدُّ التَّوَاضُعِ الَّذِي إِذَا فَعَلَهُ الْعَبْدُ ، كَانَ مُتَوَاضِعاً</w:t>
      </w:r>
      <w:r>
        <w:rPr>
          <w:rtl/>
          <w:lang w:bidi="fa-IR"/>
        </w:rPr>
        <w:t>؟</w:t>
      </w:r>
    </w:p>
    <w:p w:rsidR="008A74EB" w:rsidRPr="00C9040A" w:rsidRDefault="008A74EB" w:rsidP="008A74EB">
      <w:pPr>
        <w:pStyle w:val="libNormal"/>
        <w:rPr>
          <w:rtl/>
          <w:lang w:bidi="fa-IR"/>
        </w:rPr>
      </w:pPr>
      <w:r w:rsidRPr="00C9040A">
        <w:rPr>
          <w:rtl/>
          <w:lang w:bidi="fa-IR"/>
        </w:rPr>
        <w:t xml:space="preserve">فَقَالَ : « التَّوَاضُعُ دَرَجَاتٌ ، مِنْهَا أَنْ يَعْرِفَ الْمَرْءُ قَدْرَ نَفْسِهِ ، فَيُنْزِلَهَا </w:t>
      </w:r>
      <w:r w:rsidR="006C577F" w:rsidRPr="006C577F">
        <w:rPr>
          <w:rStyle w:val="libFootnotenumChar"/>
          <w:rtl/>
        </w:rPr>
        <w:t>(9)</w:t>
      </w:r>
      <w:r w:rsidRPr="00C9040A">
        <w:rPr>
          <w:rtl/>
          <w:lang w:bidi="fa-IR"/>
        </w:rPr>
        <w:t xml:space="preserve"> مَنْزِلَتَهَا </w:t>
      </w:r>
      <w:r w:rsidR="006C577F" w:rsidRPr="006C577F">
        <w:rPr>
          <w:rStyle w:val="libFootnotenumChar"/>
          <w:rtl/>
        </w:rPr>
        <w:t>(10)</w:t>
      </w:r>
      <w:r w:rsidRPr="00C9040A">
        <w:rPr>
          <w:rtl/>
          <w:lang w:bidi="fa-IR"/>
        </w:rPr>
        <w:t xml:space="preserve"> بِقَلْبٍ سَلِيمٍ ، لَايُحِبُّ أَنْ يَأْتِيَ </w:t>
      </w:r>
      <w:r w:rsidR="006C577F" w:rsidRPr="006C577F">
        <w:rPr>
          <w:rStyle w:val="libFootnotenumChar"/>
          <w:rtl/>
        </w:rPr>
        <w:t>(11)</w:t>
      </w:r>
      <w:r w:rsidRPr="00C9040A">
        <w:rPr>
          <w:rtl/>
          <w:lang w:bidi="fa-IR"/>
        </w:rPr>
        <w:t xml:space="preserve"> إِ</w:t>
      </w:r>
      <w:r w:rsidR="00316775">
        <w:rPr>
          <w:rtl/>
          <w:lang w:bidi="fa-IR"/>
        </w:rPr>
        <w:t>لى أَحَدٍ إِل</w:t>
      </w:r>
      <w:r w:rsidR="00316775">
        <w:rPr>
          <w:rFonts w:hint="cs"/>
          <w:rtl/>
          <w:lang w:bidi="fa-IR"/>
        </w:rPr>
        <w:t>َّ</w:t>
      </w:r>
      <w:r w:rsidR="00316775">
        <w:rPr>
          <w:rtl/>
          <w:lang w:bidi="fa-IR"/>
        </w:rPr>
        <w:t>ا</w:t>
      </w:r>
      <w:r w:rsidRPr="00C9040A">
        <w:rPr>
          <w:rtl/>
          <w:lang w:bidi="fa-IR"/>
        </w:rPr>
        <w:t xml:space="preserve"> مِثْلَ مَا يُؤْتى إِلَيْهِ ، إِنْ رَأى سَيِّئَةً‌</w:t>
      </w:r>
    </w:p>
    <w:p w:rsidR="008A74EB" w:rsidRPr="00C9040A" w:rsidRDefault="008A74EB" w:rsidP="008A74EB">
      <w:pPr>
        <w:pStyle w:val="libLine"/>
        <w:rPr>
          <w:rtl/>
          <w:lang w:bidi="fa-IR"/>
        </w:rPr>
      </w:pPr>
      <w:r w:rsidRPr="00C9040A">
        <w:rPr>
          <w:rtl/>
          <w:lang w:bidi="fa-IR"/>
        </w:rPr>
        <w:t>__________________</w:t>
      </w:r>
    </w:p>
    <w:p w:rsidR="008A74EB" w:rsidRPr="00C9040A" w:rsidRDefault="00316775" w:rsidP="004A4E41">
      <w:pPr>
        <w:pStyle w:val="libFootnote0"/>
        <w:rPr>
          <w:rtl/>
          <w:lang w:bidi="fa-IR"/>
        </w:rPr>
      </w:pPr>
      <w:r>
        <w:rPr>
          <w:rFonts w:hint="cs"/>
          <w:rtl/>
        </w:rPr>
        <w:t xml:space="preserve">= </w:t>
      </w:r>
      <w:r w:rsidR="008A74EB" w:rsidRPr="00C9040A">
        <w:rPr>
          <w:rtl/>
        </w:rPr>
        <w:t>يسير</w:t>
      </w:r>
      <w:r>
        <w:rPr>
          <w:rFonts w:hint="cs"/>
          <w:rtl/>
        </w:rPr>
        <w:t>.</w:t>
      </w:r>
      <w:r w:rsidR="008A74EB" w:rsidRPr="00993B55">
        <w:rPr>
          <w:rStyle w:val="libFootnoteBoldChar"/>
          <w:rtl/>
        </w:rPr>
        <w:t>الوافي</w:t>
      </w:r>
      <w:r w:rsidR="008A74EB" w:rsidRPr="00C9040A">
        <w:rPr>
          <w:rtl/>
        </w:rPr>
        <w:t xml:space="preserve"> ، ج 4 ، ص 471 ، ح 2374 ؛ </w:t>
      </w:r>
      <w:r w:rsidR="008A74EB" w:rsidRPr="00993B55">
        <w:rPr>
          <w:rStyle w:val="libFootnoteBoldChar"/>
          <w:rtl/>
        </w:rPr>
        <w:t>البحار</w:t>
      </w:r>
      <w:r w:rsidR="008A74EB" w:rsidRPr="00C9040A">
        <w:rPr>
          <w:rtl/>
        </w:rPr>
        <w:t xml:space="preserve"> ، ج 11 ، ص 338 ، ح 73 ، من قوله : « يا أبا محمّد إنّ نوحاً » ؛ وج 48 ، ص 115 ، ح 28 ؛ وج 75 ، ص 132 ، ح 35.</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الضمير راجع إلى أحمد بن أبي عبد الله ؛ فقد روى هو عن عليّ بن أسباط ، وقد توسّط بينهما « بعض أصحابنا » أو « عدّة من أصحابنا » في عددٍ من الأسناد ، ا</w:t>
      </w:r>
      <w:r w:rsidR="00316775">
        <w:rPr>
          <w:rFonts w:hint="cs"/>
          <w:rtl/>
        </w:rPr>
        <w:t>ُ</w:t>
      </w:r>
      <w:r w:rsidR="008A74EB" w:rsidRPr="00C9040A">
        <w:rPr>
          <w:rtl/>
        </w:rPr>
        <w:t xml:space="preserve">نظر على سبيل المثال : </w:t>
      </w:r>
      <w:r w:rsidR="008A74EB" w:rsidRPr="00993B55">
        <w:rPr>
          <w:rStyle w:val="libFootnoteBoldChar"/>
          <w:rtl/>
        </w:rPr>
        <w:t>المحاسن</w:t>
      </w:r>
      <w:r w:rsidR="008A74EB" w:rsidRPr="00C9040A">
        <w:rPr>
          <w:rtl/>
        </w:rPr>
        <w:t xml:space="preserve"> ، ص 209 ، ح 75 ؛ وص 227 ، ح 158 ؛ وص 229 ، ح 165 ؛ وص 255 ، ح 284 ؛ وص 274 ، ح 380 ؛ وص 275 ، ح 388 ؛ وص 277 ، ح 393.</w:t>
      </w:r>
      <w:r w:rsidR="00316775">
        <w:rPr>
          <w:rFonts w:hint="cs"/>
          <w:rtl/>
        </w:rPr>
        <w:t xml:space="preserve">                       </w:t>
      </w:r>
      <w:r>
        <w:rPr>
          <w:rtl/>
        </w:rPr>
        <w:t>(2).</w:t>
      </w:r>
      <w:r w:rsidR="008A74EB">
        <w:rPr>
          <w:rtl/>
        </w:rPr>
        <w:t xml:space="preserve"> </w:t>
      </w:r>
      <w:r w:rsidR="00316775">
        <w:rPr>
          <w:rtl/>
        </w:rPr>
        <w:t>في«ب،د،</w:t>
      </w:r>
      <w:r w:rsidR="008A74EB" w:rsidRPr="00C9040A">
        <w:rPr>
          <w:rtl/>
        </w:rPr>
        <w:t>ز ، بس ، بف ، جر » والوافي : « أصحابنا »</w:t>
      </w:r>
      <w:r w:rsidR="008A74EB">
        <w:rPr>
          <w:rtl/>
        </w:rPr>
        <w:t>.</w:t>
      </w:r>
    </w:p>
    <w:p w:rsidR="008A74EB" w:rsidRPr="004A4E41" w:rsidRDefault="006C577F" w:rsidP="004A4E41">
      <w:pPr>
        <w:pStyle w:val="libFootnote0"/>
        <w:rPr>
          <w:rStyle w:val="libFootnote0Char"/>
          <w:rtl/>
        </w:rPr>
      </w:pPr>
      <w:r>
        <w:rPr>
          <w:rtl/>
        </w:rPr>
        <w:t>(3).</w:t>
      </w:r>
      <w:r w:rsidR="008A74EB" w:rsidRPr="00C9040A">
        <w:rPr>
          <w:rtl/>
        </w:rPr>
        <w:t xml:space="preserve"> هكذا في النسخ والطبعة الحجريّة من الكتاب والوافي. وفي المطبوع : + « الرضا »</w:t>
      </w:r>
      <w:r w:rsidR="008A74EB">
        <w:rPr>
          <w:rtl/>
        </w:rPr>
        <w:t>.</w:t>
      </w:r>
    </w:p>
    <w:tbl>
      <w:tblPr>
        <w:tblStyle w:val="TableGrid"/>
        <w:bidiVisual/>
        <w:tblW w:w="0" w:type="auto"/>
        <w:tblLook w:val="04A0" w:firstRow="1" w:lastRow="0" w:firstColumn="1" w:lastColumn="0" w:noHBand="0" w:noVBand="1"/>
      </w:tblPr>
      <w:tblGrid>
        <w:gridCol w:w="4006"/>
        <w:gridCol w:w="4006"/>
      </w:tblGrid>
      <w:tr w:rsidR="00316775" w:rsidTr="00316775">
        <w:tc>
          <w:tcPr>
            <w:tcW w:w="4006" w:type="dxa"/>
          </w:tcPr>
          <w:p w:rsidR="00316775" w:rsidRDefault="00316775" w:rsidP="004A4E41">
            <w:pPr>
              <w:pStyle w:val="libFootnote0"/>
              <w:rPr>
                <w:rtl/>
              </w:rPr>
            </w:pPr>
            <w:r>
              <w:rPr>
                <w:rtl/>
              </w:rPr>
              <w:t>(4).</w:t>
            </w:r>
            <w:r w:rsidRPr="00C9040A">
              <w:rPr>
                <w:rtl/>
              </w:rPr>
              <w:t xml:space="preserve"> في « ض » </w:t>
            </w:r>
            <w:r>
              <w:rPr>
                <w:rtl/>
              </w:rPr>
              <w:t>: -</w:t>
            </w:r>
            <w:r w:rsidRPr="00C9040A">
              <w:rPr>
                <w:rtl/>
              </w:rPr>
              <w:t xml:space="preserve"> « قال »</w:t>
            </w:r>
            <w:r>
              <w:rPr>
                <w:rtl/>
              </w:rPr>
              <w:t>.</w:t>
            </w:r>
          </w:p>
        </w:tc>
        <w:tc>
          <w:tcPr>
            <w:tcW w:w="4006" w:type="dxa"/>
          </w:tcPr>
          <w:p w:rsidR="00316775" w:rsidRDefault="00316775" w:rsidP="004A4E41">
            <w:pPr>
              <w:pStyle w:val="libFootnote0"/>
              <w:rPr>
                <w:rtl/>
              </w:rPr>
            </w:pPr>
            <w:r>
              <w:rPr>
                <w:rtl/>
              </w:rPr>
              <w:t>(5).</w:t>
            </w:r>
            <w:r w:rsidRPr="00C9040A">
              <w:rPr>
                <w:rtl/>
              </w:rPr>
              <w:t xml:space="preserve"> في « ز » : « يعطى »</w:t>
            </w:r>
            <w:r>
              <w:rPr>
                <w:rtl/>
              </w:rPr>
              <w:t>.</w:t>
            </w:r>
          </w:p>
        </w:tc>
      </w:tr>
    </w:tbl>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ز » : « ما يحبّ أن يعطاه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w:t>
      </w:r>
      <w:r w:rsidR="008A74EB" w:rsidRPr="0034021D">
        <w:rPr>
          <w:rStyle w:val="libFootnoteBoldChar"/>
          <w:rtl/>
        </w:rPr>
        <w:t>الأمالي للصدوق</w:t>
      </w:r>
      <w:r w:rsidR="008A74EB" w:rsidRPr="00C9040A">
        <w:rPr>
          <w:rtl/>
        </w:rPr>
        <w:t xml:space="preserve"> ، ص 240 ، المجلس 42 ، ح 8 ؛ </w:t>
      </w:r>
      <w:r w:rsidR="008A74EB" w:rsidRPr="00993B55">
        <w:rPr>
          <w:rStyle w:val="libFootnoteBoldChar"/>
          <w:rtl/>
        </w:rPr>
        <w:t>عيون الأخبار</w:t>
      </w:r>
      <w:r w:rsidR="008A74EB" w:rsidRPr="00C9040A">
        <w:rPr>
          <w:rtl/>
        </w:rPr>
        <w:t xml:space="preserve"> ، ج 2 ، ص 49 ، ح 192 ، وفيهما بسند آخر عن عليّ بن أسباط ، مع اختلاف يسير وزيادة في أوّله وآخره</w:t>
      </w:r>
      <w:r w:rsidR="009C77CE">
        <w:rPr>
          <w:rFonts w:hint="cs"/>
          <w:rtl/>
        </w:rPr>
        <w:t>.</w:t>
      </w:r>
      <w:r w:rsidR="008A74EB" w:rsidRPr="00993B55">
        <w:rPr>
          <w:rStyle w:val="libFootnoteBoldChar"/>
          <w:rtl/>
        </w:rPr>
        <w:t>الوافي</w:t>
      </w:r>
      <w:r w:rsidR="008A74EB" w:rsidRPr="00C9040A">
        <w:rPr>
          <w:rtl/>
        </w:rPr>
        <w:t xml:space="preserve"> ، ج 4 ، ص 471 ، ح 2375 ؛ </w:t>
      </w:r>
      <w:r w:rsidR="008A74EB" w:rsidRPr="00993B55">
        <w:rPr>
          <w:rStyle w:val="libFootnoteBoldChar"/>
          <w:rtl/>
        </w:rPr>
        <w:t>الوسائل</w:t>
      </w:r>
      <w:r w:rsidR="008A74EB" w:rsidRPr="00C9040A">
        <w:rPr>
          <w:rtl/>
        </w:rPr>
        <w:t xml:space="preserve"> ، ج 15 ، ص 273 ، ح 20497 ؛ </w:t>
      </w:r>
      <w:r w:rsidR="008A74EB" w:rsidRPr="00993B55">
        <w:rPr>
          <w:rStyle w:val="libFootnoteBoldChar"/>
          <w:rtl/>
        </w:rPr>
        <w:t>البحار</w:t>
      </w:r>
      <w:r w:rsidR="008A74EB" w:rsidRPr="00C9040A">
        <w:rPr>
          <w:rtl/>
        </w:rPr>
        <w:t xml:space="preserve"> ، ج 75 ، ص 135 ، ح 36.</w:t>
      </w:r>
    </w:p>
    <w:p w:rsidR="008A74EB" w:rsidRPr="00C9040A" w:rsidRDefault="006C577F" w:rsidP="004A4E41">
      <w:pPr>
        <w:pStyle w:val="libFootnote0"/>
        <w:rPr>
          <w:rtl/>
          <w:lang w:bidi="fa-IR"/>
        </w:rPr>
      </w:pPr>
      <w:r>
        <w:rPr>
          <w:rtl/>
        </w:rPr>
        <w:t>(8).</w:t>
      </w:r>
      <w:r w:rsidR="008A74EB" w:rsidRPr="00C9040A">
        <w:rPr>
          <w:rtl/>
        </w:rPr>
        <w:t xml:space="preserve"> الظاهر أنّ الضمير المستتر في « قال » راجع إلى الحسن بن الجهم ، وهو الذي سأل الإمام </w:t>
      </w:r>
      <w:r w:rsidR="00117575" w:rsidRPr="00117575">
        <w:rPr>
          <w:rStyle w:val="libFootnoteAlaemChar"/>
          <w:rtl/>
        </w:rPr>
        <w:t xml:space="preserve">عليه‌السلام </w:t>
      </w:r>
      <w:r w:rsidR="008A74EB" w:rsidRPr="00C9040A">
        <w:rPr>
          <w:rtl/>
        </w:rPr>
        <w:t>عن حدّ التواضع. فعليه يحتمل أن يكون السند معلّقاً على السند المذكور إلى الحسن بن الجهم.</w:t>
      </w:r>
    </w:p>
    <w:p w:rsidR="008A74EB" w:rsidRPr="004A4E41" w:rsidRDefault="008A74EB" w:rsidP="004A4E41">
      <w:pPr>
        <w:pStyle w:val="libFootnote0"/>
        <w:rPr>
          <w:rStyle w:val="libFootnote0Char"/>
          <w:rtl/>
        </w:rPr>
      </w:pPr>
      <w:r w:rsidRPr="00323A39">
        <w:rPr>
          <w:rtl/>
        </w:rPr>
        <w:t xml:space="preserve">هذا ، وقد ورد الخبر </w:t>
      </w:r>
      <w:r w:rsidR="0084262C" w:rsidRPr="00323A39">
        <w:rPr>
          <w:rtl/>
        </w:rPr>
        <w:t>-</w:t>
      </w:r>
      <w:r w:rsidRPr="00323A39">
        <w:rPr>
          <w:rtl/>
        </w:rPr>
        <w:t xml:space="preserve"> باختلاف يسير </w:t>
      </w:r>
      <w:r w:rsidR="0084262C" w:rsidRPr="00323A39">
        <w:rPr>
          <w:rtl/>
        </w:rPr>
        <w:t>-</w:t>
      </w:r>
      <w:r w:rsidRPr="00323A39">
        <w:rPr>
          <w:rtl/>
        </w:rPr>
        <w:t xml:space="preserve"> في </w:t>
      </w:r>
      <w:r w:rsidRPr="00993B55">
        <w:rPr>
          <w:rStyle w:val="libFootnoteBoldChar"/>
          <w:rtl/>
        </w:rPr>
        <w:t>مشكاة الأنوار</w:t>
      </w:r>
      <w:r w:rsidRPr="00323A39">
        <w:rPr>
          <w:rtl/>
        </w:rPr>
        <w:t xml:space="preserve"> للطبرسي ، ص 225 هكذا : عن أبي الحسن موسى </w:t>
      </w:r>
      <w:r w:rsidR="00117575" w:rsidRPr="00117575">
        <w:rPr>
          <w:rStyle w:val="libFootnoteAlaemChar"/>
          <w:rtl/>
        </w:rPr>
        <w:t xml:space="preserve">عليه‌السلام </w:t>
      </w:r>
      <w:r w:rsidRPr="00323A39">
        <w:rPr>
          <w:rtl/>
        </w:rPr>
        <w:t>سأله عليّ بن سويد المدائني عن التواضع الذي إذا فعله العبد كان متواضعاً ...</w:t>
      </w:r>
    </w:p>
    <w:tbl>
      <w:tblPr>
        <w:tblStyle w:val="TableGrid"/>
        <w:bidiVisual/>
        <w:tblW w:w="0" w:type="auto"/>
        <w:tblLook w:val="04A0" w:firstRow="1" w:lastRow="0" w:firstColumn="1" w:lastColumn="0" w:noHBand="0" w:noVBand="1"/>
      </w:tblPr>
      <w:tblGrid>
        <w:gridCol w:w="4006"/>
        <w:gridCol w:w="4006"/>
      </w:tblGrid>
      <w:tr w:rsidR="009C77CE" w:rsidTr="009C77CE">
        <w:tc>
          <w:tcPr>
            <w:tcW w:w="4006" w:type="dxa"/>
          </w:tcPr>
          <w:p w:rsidR="009C77CE" w:rsidRDefault="009C77CE" w:rsidP="004A4E41">
            <w:pPr>
              <w:pStyle w:val="libFootnote0"/>
              <w:rPr>
                <w:rtl/>
              </w:rPr>
            </w:pPr>
            <w:r>
              <w:rPr>
                <w:rtl/>
              </w:rPr>
              <w:t>(9).</w:t>
            </w:r>
            <w:r w:rsidRPr="00C9040A">
              <w:rPr>
                <w:rtl/>
              </w:rPr>
              <w:t xml:space="preserve"> في « ز ، ص » : « فينزّلها »</w:t>
            </w:r>
            <w:r>
              <w:rPr>
                <w:rtl/>
              </w:rPr>
              <w:t>.</w:t>
            </w:r>
          </w:p>
        </w:tc>
        <w:tc>
          <w:tcPr>
            <w:tcW w:w="4006" w:type="dxa"/>
          </w:tcPr>
          <w:p w:rsidR="009C77CE" w:rsidRDefault="009C77CE" w:rsidP="004A4E41">
            <w:pPr>
              <w:pStyle w:val="libFootnote0"/>
              <w:rPr>
                <w:rtl/>
              </w:rPr>
            </w:pPr>
            <w:r>
              <w:rPr>
                <w:rtl/>
              </w:rPr>
              <w:t>(10).</w:t>
            </w:r>
            <w:r w:rsidRPr="00C9040A">
              <w:rPr>
                <w:rtl/>
              </w:rPr>
              <w:t xml:space="preserve"> في « بس » : « منزلها »</w:t>
            </w:r>
            <w:r>
              <w:rPr>
                <w:rtl/>
              </w:rPr>
              <w:t>.</w:t>
            </w:r>
          </w:p>
        </w:tc>
      </w:tr>
    </w:tbl>
    <w:p w:rsidR="008A74EB" w:rsidRPr="00C9040A" w:rsidRDefault="006C577F" w:rsidP="004A4E41">
      <w:pPr>
        <w:pStyle w:val="libFootnote0"/>
        <w:rPr>
          <w:rtl/>
          <w:lang w:bidi="fa-IR"/>
        </w:rPr>
      </w:pPr>
      <w:r>
        <w:rPr>
          <w:rtl/>
        </w:rPr>
        <w:t>(11).</w:t>
      </w:r>
      <w:r w:rsidR="008A74EB" w:rsidRPr="00C9040A">
        <w:rPr>
          <w:rtl/>
        </w:rPr>
        <w:t xml:space="preserve"> قال في </w:t>
      </w:r>
      <w:r w:rsidR="008A74EB" w:rsidRPr="00993B55">
        <w:rPr>
          <w:rStyle w:val="libFootnoteBoldChar"/>
          <w:rtl/>
        </w:rPr>
        <w:t>مرآة العقول</w:t>
      </w:r>
      <w:r w:rsidR="008A74EB" w:rsidRPr="00C9040A">
        <w:rPr>
          <w:rtl/>
        </w:rPr>
        <w:t xml:space="preserve"> : « أن يأتي إليه ، على المعلوم. وكأنّ الظرف فيهما مقدّر ، والتقدير : لا</w:t>
      </w:r>
      <w:r w:rsidR="009C77CE">
        <w:rPr>
          <w:rtl/>
        </w:rPr>
        <w:t xml:space="preserve"> يحبّ أن يأتي إلى‌أحد بشي‌ء إل</w:t>
      </w:r>
      <w:r w:rsidR="009C77CE">
        <w:rPr>
          <w:rFonts w:hint="cs"/>
          <w:rtl/>
        </w:rPr>
        <w:t>ّ</w:t>
      </w:r>
      <w:r w:rsidR="009C77CE">
        <w:rPr>
          <w:rtl/>
        </w:rPr>
        <w:t>ا</w:t>
      </w:r>
      <w:r w:rsidR="008A74EB" w:rsidRPr="00C9040A">
        <w:rPr>
          <w:rtl/>
        </w:rPr>
        <w:t>مثل ما يؤتى به إليه</w:t>
      </w:r>
      <w:r w:rsidR="008A74EB">
        <w:rPr>
          <w:rtl/>
        </w:rPr>
        <w:t xml:space="preserve"> ..</w:t>
      </w:r>
      <w:r w:rsidR="008A74EB" w:rsidRPr="00C9040A">
        <w:rPr>
          <w:rtl/>
        </w:rPr>
        <w:t>. ويمكن أن يقرأ على بناء التفعيل في الموضعين من قولهم : أتّيت الماء تأتية وتأتّياً ، أي سهّلت سبيله ليخرج إلى موضع. ذكره الجوهري ، لكنّه بعيد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دَرَأَهَا </w:t>
      </w:r>
      <w:r w:rsidR="006C577F" w:rsidRPr="006C577F">
        <w:rPr>
          <w:rStyle w:val="libFootnotenumChar"/>
          <w:rtl/>
        </w:rPr>
        <w:t>(1)</w:t>
      </w:r>
      <w:r w:rsidRPr="00C9040A">
        <w:rPr>
          <w:rtl/>
          <w:lang w:bidi="fa-IR"/>
        </w:rPr>
        <w:t xml:space="preserve"> بِالْحَسَنَةِ ، كَاظِمُ الْغَيْظِ ، عَافٍ عَنِ النَّاسِ ، وَاللهُ يُحِبُّ الْمُحْسِنِينَ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Heading2Center"/>
        <w:rPr>
          <w:rtl/>
          <w:lang w:bidi="fa-IR"/>
        </w:rPr>
      </w:pPr>
      <w:bookmarkStart w:id="190" w:name="_Toc343795651"/>
      <w:bookmarkStart w:id="191" w:name="_Toc459810775"/>
      <w:bookmarkStart w:id="192" w:name="_Toc35348681"/>
      <w:r w:rsidRPr="00C9040A">
        <w:rPr>
          <w:rtl/>
          <w:lang w:bidi="fa-IR"/>
        </w:rPr>
        <w:t>60</w:t>
      </w:r>
      <w:r>
        <w:rPr>
          <w:rtl/>
          <w:lang w:bidi="fa-IR"/>
        </w:rPr>
        <w:t xml:space="preserve"> </w:t>
      </w:r>
      <w:r w:rsidR="0084262C">
        <w:rPr>
          <w:rtl/>
          <w:lang w:bidi="fa-IR"/>
        </w:rPr>
        <w:t>-</w:t>
      </w:r>
      <w:r>
        <w:rPr>
          <w:rtl/>
          <w:lang w:bidi="fa-IR"/>
        </w:rPr>
        <w:t xml:space="preserve"> </w:t>
      </w:r>
      <w:r w:rsidRPr="00C9040A">
        <w:rPr>
          <w:rtl/>
          <w:lang w:bidi="fa-IR"/>
        </w:rPr>
        <w:t>بَابُ الْحُبِّ فِي اللهِ وَالْبُغْضِ فِي اللهِ‌</w:t>
      </w:r>
      <w:bookmarkEnd w:id="190"/>
      <w:bookmarkEnd w:id="191"/>
      <w:bookmarkEnd w:id="192"/>
    </w:p>
    <w:p w:rsidR="008A74EB" w:rsidRPr="00C9040A" w:rsidRDefault="008A74EB" w:rsidP="008A74EB">
      <w:pPr>
        <w:pStyle w:val="libNormal"/>
        <w:rPr>
          <w:rtl/>
          <w:lang w:bidi="fa-IR"/>
        </w:rPr>
      </w:pPr>
      <w:r w:rsidRPr="00B40282">
        <w:rPr>
          <w:rtl/>
        </w:rPr>
        <w:t>1877</w:t>
      </w:r>
      <w:r w:rsidRPr="00261CB0">
        <w:rPr>
          <w:rStyle w:val="libBold2Char"/>
          <w:rtl/>
        </w:rPr>
        <w:t xml:space="preserve"> / 1.</w:t>
      </w:r>
      <w:r w:rsidRPr="00C9040A">
        <w:rPr>
          <w:rtl/>
          <w:lang w:bidi="fa-IR"/>
        </w:rPr>
        <w:t xml:space="preserve"> عِدَّةٌ مِنْ أَصْحَابِنَا ، عَنْ أَحْمَدَ بْنِ مُحَمَّدِ بْنِ عِيسى وَأَحْمَدَ بْنِ مُحَمَّدِ بْنِ خَالِدٍ ؛ وَعَلِيُّ بْنُ إِبْرَاهِيمَ ، عَنْ أَبِيهِ وَسَهْلِ بْنِ زِيَادٍ جَمِيعاً ، عَنِ ابْنِ مَحْبُوبٍ </w:t>
      </w:r>
      <w:r w:rsidR="006C577F" w:rsidRPr="006C577F">
        <w:rPr>
          <w:rStyle w:val="libFootnotenumChar"/>
          <w:rtl/>
        </w:rPr>
        <w:t>(3)</w:t>
      </w:r>
      <w:r w:rsidRPr="00C9040A">
        <w:rPr>
          <w:rtl/>
          <w:lang w:bidi="fa-IR"/>
        </w:rPr>
        <w:t xml:space="preserve"> ، عَنْ عَلِيِّ بْنِ رِئَابٍ ، عَنْ أَبِي عُبَيْدَةَ الْحَذَّاءِ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مَنْ أَحَبَّ لِلّهِ </w:t>
      </w:r>
      <w:r w:rsidR="006C577F" w:rsidRPr="006C577F">
        <w:rPr>
          <w:rStyle w:val="libFootnotenumChar"/>
          <w:rtl/>
        </w:rPr>
        <w:t>(4)</w:t>
      </w:r>
      <w:r w:rsidRPr="00C9040A">
        <w:rPr>
          <w:rtl/>
          <w:lang w:bidi="fa-IR"/>
        </w:rPr>
        <w:t xml:space="preserve"> وَأَبْغَضَ لِلّهِ وَأَعْطى لِلّهِ </w:t>
      </w:r>
      <w:r w:rsidR="006C577F" w:rsidRPr="006C577F">
        <w:rPr>
          <w:rStyle w:val="libFootnotenumChar"/>
          <w:rtl/>
        </w:rPr>
        <w:t>(5)</w:t>
      </w:r>
      <w:r w:rsidRPr="00C9040A">
        <w:rPr>
          <w:rtl/>
          <w:lang w:bidi="fa-IR"/>
        </w:rPr>
        <w:t xml:space="preserve"> ، فَهُوَ مِمَّنْ كَمَلَ إِيمَانُهُ »</w:t>
      </w:r>
      <w:r>
        <w:rPr>
          <w:rtl/>
          <w:lang w:bidi="fa-IR"/>
        </w:rPr>
        <w:t>.</w:t>
      </w:r>
      <w:r w:rsidRPr="00C9040A">
        <w:rPr>
          <w:rtl/>
          <w:lang w:bidi="fa-IR"/>
        </w:rPr>
        <w:t xml:space="preserve"> </w:t>
      </w:r>
      <w:r w:rsidR="006C577F" w:rsidRPr="006C577F">
        <w:rPr>
          <w:rStyle w:val="libFootnotenumChar"/>
          <w:rtl/>
        </w:rPr>
        <w:t>(6)</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 الدَّرْء » : الدفع. </w:t>
      </w:r>
      <w:r w:rsidR="008A74EB" w:rsidRPr="00993B55">
        <w:rPr>
          <w:rStyle w:val="libFootnoteBoldChar"/>
          <w:rtl/>
        </w:rPr>
        <w:t>الصحاح</w:t>
      </w:r>
      <w:r w:rsidR="008A74EB" w:rsidRPr="00C9040A">
        <w:rPr>
          <w:rtl/>
        </w:rPr>
        <w:t xml:space="preserve"> ، ج 1 ، ص 48 ( درأ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الوافي</w:t>
      </w:r>
      <w:r w:rsidR="008A74EB" w:rsidRPr="00C9040A">
        <w:rPr>
          <w:rtl/>
        </w:rPr>
        <w:t xml:space="preserve"> ، ج 4 ، ص 472 ، ح 2376 ؛ </w:t>
      </w:r>
      <w:r w:rsidR="008A74EB" w:rsidRPr="00993B55">
        <w:rPr>
          <w:rStyle w:val="libFootnoteBoldChar"/>
          <w:rtl/>
        </w:rPr>
        <w:t>الوسائل</w:t>
      </w:r>
      <w:r w:rsidR="008A74EB" w:rsidRPr="00C9040A">
        <w:rPr>
          <w:rtl/>
        </w:rPr>
        <w:t xml:space="preserve"> ، ج 15 ، ص 273 ، ح 20498 ، من قوله : « التواضع درجات » ؛ </w:t>
      </w:r>
      <w:r w:rsidR="008A74EB" w:rsidRPr="00993B55">
        <w:rPr>
          <w:rStyle w:val="libFootnoteBoldChar"/>
          <w:rtl/>
        </w:rPr>
        <w:t>البحار</w:t>
      </w:r>
      <w:r w:rsidR="008A74EB" w:rsidRPr="00C9040A">
        <w:rPr>
          <w:rtl/>
        </w:rPr>
        <w:t xml:space="preserve"> ، ج 75 ، ص 135 ، ذيل ح 36.</w:t>
      </w:r>
    </w:p>
    <w:p w:rsidR="008A74EB" w:rsidRPr="00C9040A" w:rsidRDefault="006C577F" w:rsidP="004A4E41">
      <w:pPr>
        <w:pStyle w:val="libFootnote0"/>
        <w:rPr>
          <w:rtl/>
          <w:lang w:bidi="fa-IR"/>
        </w:rPr>
      </w:pPr>
      <w:r>
        <w:rPr>
          <w:rtl/>
        </w:rPr>
        <w:t>(3).</w:t>
      </w:r>
      <w:r w:rsidR="008A74EB" w:rsidRPr="00C9040A">
        <w:rPr>
          <w:rtl/>
        </w:rPr>
        <w:t xml:space="preserve"> في السند تحويل ، والطرق إلى ابن محبوب في ظاهر السند أربعة :</w:t>
      </w:r>
    </w:p>
    <w:p w:rsidR="008A74EB" w:rsidRPr="00C9040A" w:rsidRDefault="008A74EB" w:rsidP="004A4E41">
      <w:pPr>
        <w:pStyle w:val="libFootnote0"/>
        <w:rPr>
          <w:rtl/>
          <w:lang w:bidi="fa-IR"/>
        </w:rPr>
      </w:pPr>
      <w:r w:rsidRPr="0082575F">
        <w:rPr>
          <w:rtl/>
        </w:rPr>
        <w:t>الأوّل : عدّة من أصحابنا ، عن أحمد بن محمّد بن عيسى.</w:t>
      </w:r>
    </w:p>
    <w:p w:rsidR="008A74EB" w:rsidRPr="00C9040A" w:rsidRDefault="008A74EB" w:rsidP="004A4E41">
      <w:pPr>
        <w:pStyle w:val="libFootnote0"/>
        <w:rPr>
          <w:rtl/>
          <w:lang w:bidi="fa-IR"/>
        </w:rPr>
      </w:pPr>
      <w:r w:rsidRPr="0082575F">
        <w:rPr>
          <w:rtl/>
        </w:rPr>
        <w:t>الثاني : عدّة من أصحابنا ، عن أحمد بن محمّد بن خالد.</w:t>
      </w:r>
    </w:p>
    <w:p w:rsidR="008A74EB" w:rsidRPr="00C9040A" w:rsidRDefault="008A74EB" w:rsidP="004A4E41">
      <w:pPr>
        <w:pStyle w:val="libFootnote0"/>
        <w:rPr>
          <w:rtl/>
          <w:lang w:bidi="fa-IR"/>
        </w:rPr>
      </w:pPr>
      <w:r w:rsidRPr="0082575F">
        <w:rPr>
          <w:rtl/>
        </w:rPr>
        <w:t>الثالث : عليّ بن إبراهيم ، عن أبيه.</w:t>
      </w:r>
    </w:p>
    <w:p w:rsidR="008A74EB" w:rsidRPr="00C9040A" w:rsidRDefault="008A74EB" w:rsidP="004A4E41">
      <w:pPr>
        <w:pStyle w:val="libFootnote0"/>
        <w:rPr>
          <w:rtl/>
          <w:lang w:bidi="fa-IR"/>
        </w:rPr>
      </w:pPr>
      <w:r w:rsidRPr="00323A39">
        <w:rPr>
          <w:rtl/>
        </w:rPr>
        <w:t xml:space="preserve">الرابع : عليّ بن إبراهيم ، عن سهل بن زياد ؛ لكنّه لم يثبت رواية عليّ بن إبراهيم عن سهل بن زياد في شي‌ءٍ من أسناد </w:t>
      </w:r>
      <w:r w:rsidRPr="00993B55">
        <w:rPr>
          <w:rStyle w:val="libFootnoteBoldChar"/>
          <w:rtl/>
        </w:rPr>
        <w:t>الكافي</w:t>
      </w:r>
      <w:r w:rsidRPr="00323A39">
        <w:rPr>
          <w:rtl/>
        </w:rPr>
        <w:t xml:space="preserve"> ، فلا يبعد وقوع خللٍ في السند ، بأن يكون موضع « وسهل بن زياد » بعد « أحمد بن محمّد بن خالد » فيكون الراوي عن سهل بن زياد ، عدّة من أصحابنا. وهذا هو الذي يؤيّده الرجوع إلى أسناد [ الحسن ] بن محبوب في </w:t>
      </w:r>
      <w:r w:rsidRPr="00993B55">
        <w:rPr>
          <w:rStyle w:val="libFootnoteBoldChar"/>
          <w:rtl/>
        </w:rPr>
        <w:t>الكافي</w:t>
      </w:r>
      <w:r w:rsidRPr="00323A39">
        <w:rPr>
          <w:rtl/>
        </w:rPr>
        <w:t>.</w:t>
      </w:r>
    </w:p>
    <w:p w:rsidR="008A74EB" w:rsidRPr="00C9040A" w:rsidRDefault="006C577F" w:rsidP="004A4E41">
      <w:pPr>
        <w:pStyle w:val="libFootnote0"/>
        <w:rPr>
          <w:rtl/>
          <w:lang w:bidi="fa-IR"/>
        </w:rPr>
      </w:pPr>
      <w:r>
        <w:rPr>
          <w:rtl/>
        </w:rPr>
        <w:t>(4).</w:t>
      </w:r>
      <w:r w:rsidR="008A74EB" w:rsidRPr="00C9040A">
        <w:rPr>
          <w:rtl/>
        </w:rPr>
        <w:t xml:space="preserve"> في حاشية « ض » : « في الله »</w:t>
      </w:r>
      <w:r w:rsidR="008A74EB">
        <w:rPr>
          <w:rtl/>
        </w:rPr>
        <w:t>.</w:t>
      </w:r>
      <w:r w:rsidR="008A74EB" w:rsidRPr="00C9040A">
        <w:rPr>
          <w:rtl/>
        </w:rPr>
        <w:t xml:space="preserve"> وفي </w:t>
      </w:r>
      <w:r w:rsidR="008A74EB" w:rsidRPr="00993B55">
        <w:rPr>
          <w:rStyle w:val="libFootnoteBoldChar"/>
          <w:rtl/>
        </w:rPr>
        <w:t>المرآة</w:t>
      </w:r>
      <w:r w:rsidR="008A74EB" w:rsidRPr="00C9040A">
        <w:rPr>
          <w:rtl/>
        </w:rPr>
        <w:t xml:space="preserve"> : « في بعض النسخ « في الله » في المواضع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الزهد : + « ومنع لله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المحاسن</w:t>
      </w:r>
      <w:r w:rsidR="008A74EB" w:rsidRPr="00C9040A">
        <w:rPr>
          <w:rtl/>
        </w:rPr>
        <w:t xml:space="preserve"> ، ص 263 ، كتاب مصابيح الظلم ، ح 330 ، عن الحسن بن محبوب. </w:t>
      </w:r>
      <w:r w:rsidR="008A74EB" w:rsidRPr="00993B55">
        <w:rPr>
          <w:rStyle w:val="libFootnoteBoldChar"/>
          <w:rtl/>
        </w:rPr>
        <w:t>الزهد</w:t>
      </w:r>
      <w:r w:rsidR="008A74EB" w:rsidRPr="00C9040A">
        <w:rPr>
          <w:rtl/>
        </w:rPr>
        <w:t xml:space="preserve"> ، ص 77 ، ح 34 ، عن الحسن بن محبوب ، عن عليّ بن رئاب ، عن أبي عبد الله </w:t>
      </w:r>
      <w:r w:rsidR="00117575" w:rsidRPr="00117575">
        <w:rPr>
          <w:rStyle w:val="libFootnoteAlaemChar"/>
          <w:rtl/>
        </w:rPr>
        <w:t xml:space="preserve">عليه‌السلام </w:t>
      </w:r>
      <w:r w:rsidR="009C77CE">
        <w:rPr>
          <w:rFonts w:hint="cs"/>
          <w:rtl/>
        </w:rPr>
        <w:t>.</w:t>
      </w:r>
      <w:r w:rsidR="008A74EB" w:rsidRPr="00993B55">
        <w:rPr>
          <w:rStyle w:val="libFootnoteBoldChar"/>
          <w:rtl/>
        </w:rPr>
        <w:t>الوافي</w:t>
      </w:r>
      <w:r w:rsidR="008A74EB" w:rsidRPr="00C9040A">
        <w:rPr>
          <w:rtl/>
        </w:rPr>
        <w:t xml:space="preserve"> ، ج 4 ، ص 481 ، ح 2396 ؛ </w:t>
      </w:r>
      <w:r w:rsidR="008A74EB" w:rsidRPr="00993B55">
        <w:rPr>
          <w:rStyle w:val="libFootnoteBoldChar"/>
          <w:rtl/>
        </w:rPr>
        <w:t>الوسائل</w:t>
      </w:r>
      <w:r w:rsidR="008A74EB" w:rsidRPr="00C9040A">
        <w:rPr>
          <w:rtl/>
        </w:rPr>
        <w:t xml:space="preserve"> ، ج 16 ، ص 165 ، ح 21249 ؛ </w:t>
      </w:r>
      <w:r w:rsidR="008A74EB" w:rsidRPr="00993B55">
        <w:rPr>
          <w:rStyle w:val="libFootnoteBoldChar"/>
          <w:rtl/>
        </w:rPr>
        <w:t>البحار</w:t>
      </w:r>
      <w:r w:rsidR="008A74EB" w:rsidRPr="00C9040A">
        <w:rPr>
          <w:rtl/>
        </w:rPr>
        <w:t xml:space="preserve"> ، ج 69 ، ص 239 ، ح 12.</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B40282">
        <w:rPr>
          <w:rtl/>
        </w:rPr>
        <w:t>1878</w:t>
      </w:r>
      <w:r w:rsidRPr="00261CB0">
        <w:rPr>
          <w:rStyle w:val="libBold2Char"/>
          <w:rtl/>
        </w:rPr>
        <w:t xml:space="preserve"> / 2.</w:t>
      </w:r>
      <w:r w:rsidRPr="00C9040A">
        <w:rPr>
          <w:rtl/>
          <w:lang w:bidi="fa-IR"/>
        </w:rPr>
        <w:t xml:space="preserve"> ابْنُ مَحْبُوبٍ </w:t>
      </w:r>
      <w:r w:rsidR="006C577F" w:rsidRPr="006C577F">
        <w:rPr>
          <w:rStyle w:val="libFootnotenumChar"/>
          <w:rtl/>
        </w:rPr>
        <w:t>(1)</w:t>
      </w:r>
      <w:r w:rsidRPr="00C9040A">
        <w:rPr>
          <w:rtl/>
          <w:lang w:bidi="fa-IR"/>
        </w:rPr>
        <w:t xml:space="preserve"> ، عَنْ مَالِكِ بْنِ عَطِيَّةَ ، عَنْ سَعِيدٍ الْأَعْرَجِ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مِنْ أَوْثَقِ عُرَى الْإِيمَانِ أَنْ تُحِبَّ </w:t>
      </w:r>
      <w:r w:rsidR="006C577F" w:rsidRPr="006C577F">
        <w:rPr>
          <w:rStyle w:val="libFootnotenumChar"/>
          <w:rtl/>
        </w:rPr>
        <w:t>(2)</w:t>
      </w:r>
      <w:r w:rsidRPr="00C9040A">
        <w:rPr>
          <w:rtl/>
          <w:lang w:bidi="fa-IR"/>
        </w:rPr>
        <w:t xml:space="preserve"> فِي اللهِ ، وَتُبْغِضَ فِي اللهِ ، وَتُعْطِيَ فِي اللهِ ، وَتَمْنَعَ فِي اللهِ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B40282">
        <w:rPr>
          <w:rtl/>
        </w:rPr>
        <w:t>1879</w:t>
      </w:r>
      <w:r w:rsidRPr="00261CB0">
        <w:rPr>
          <w:rStyle w:val="libBold2Char"/>
          <w:rtl/>
        </w:rPr>
        <w:t xml:space="preserve"> / 3.</w:t>
      </w:r>
      <w:r w:rsidRPr="00C9040A">
        <w:rPr>
          <w:rtl/>
          <w:lang w:bidi="fa-IR"/>
        </w:rPr>
        <w:t xml:space="preserve"> ابْنُ مَحْبُوبٍ </w:t>
      </w:r>
      <w:r w:rsidR="006C577F" w:rsidRPr="006C577F">
        <w:rPr>
          <w:rStyle w:val="libFootnotenumChar"/>
          <w:rtl/>
        </w:rPr>
        <w:t>(4)</w:t>
      </w:r>
      <w:r w:rsidRPr="00C9040A">
        <w:rPr>
          <w:rtl/>
          <w:lang w:bidi="fa-IR"/>
        </w:rPr>
        <w:t xml:space="preserve"> ، عَنْ أَبِي جَعْفَرٍ</w:t>
      </w:r>
      <w:r>
        <w:rPr>
          <w:rtl/>
          <w:lang w:bidi="fa-IR"/>
        </w:rPr>
        <w:t xml:space="preserve"> </w:t>
      </w:r>
      <w:r w:rsidR="0084262C">
        <w:rPr>
          <w:rtl/>
          <w:lang w:bidi="fa-IR"/>
        </w:rPr>
        <w:t>-</w:t>
      </w:r>
      <w:r>
        <w:rPr>
          <w:rtl/>
          <w:lang w:bidi="fa-IR"/>
        </w:rPr>
        <w:t xml:space="preserve"> </w:t>
      </w:r>
      <w:r w:rsidRPr="00C9040A">
        <w:rPr>
          <w:rtl/>
          <w:lang w:bidi="fa-IR"/>
        </w:rPr>
        <w:t>مُحَمَّدِ بْنِ النُّعْمَانِ الْأَحْوَلِ صَاحِبِ الطَّاقِ</w:t>
      </w:r>
      <w:r>
        <w:rPr>
          <w:rtl/>
          <w:lang w:bidi="fa-IR"/>
        </w:rPr>
        <w:t xml:space="preserve"> </w:t>
      </w:r>
      <w:r w:rsidR="0084262C">
        <w:rPr>
          <w:rtl/>
          <w:lang w:bidi="fa-IR"/>
        </w:rPr>
        <w:t>-</w:t>
      </w:r>
      <w:r>
        <w:rPr>
          <w:rtl/>
          <w:lang w:bidi="fa-IR"/>
        </w:rPr>
        <w:t xml:space="preserve"> </w:t>
      </w:r>
      <w:r w:rsidRPr="00C9040A">
        <w:rPr>
          <w:rtl/>
          <w:lang w:bidi="fa-IR"/>
        </w:rPr>
        <w:t>عَنْ سَلاَّمِ بْنِ الْمُسْتَنِيرِ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w:t>
      </w:r>
      <w:r w:rsidR="006C577F" w:rsidRPr="006C577F">
        <w:rPr>
          <w:rStyle w:val="libFootnotenumChar"/>
          <w:rtl/>
        </w:rPr>
        <w:t>(5)</w:t>
      </w:r>
      <w:r w:rsidRPr="00C9040A">
        <w:rPr>
          <w:rtl/>
          <w:lang w:bidi="fa-IR"/>
        </w:rPr>
        <w:t xml:space="preserve"> : وُدُّ الْمُؤْمِنِ لِلْمُؤْمِنِ </w:t>
      </w:r>
      <w:r w:rsidR="006C577F" w:rsidRPr="006C577F">
        <w:rPr>
          <w:rStyle w:val="libFootnotenumChar"/>
          <w:rtl/>
        </w:rPr>
        <w:t>(6)</w:t>
      </w:r>
      <w:r w:rsidRPr="005B567D">
        <w:rPr>
          <w:rStyle w:val="libFootnotenumChar"/>
          <w:rtl/>
        </w:rPr>
        <w:t xml:space="preserve"> </w:t>
      </w:r>
      <w:r w:rsidRPr="00C9040A">
        <w:rPr>
          <w:rtl/>
          <w:lang w:bidi="fa-IR"/>
        </w:rPr>
        <w:t xml:space="preserve">فِي اللهِ مِنْ أَعْظَمِ شُعَبِ </w:t>
      </w:r>
      <w:r w:rsidR="006C577F" w:rsidRPr="006C577F">
        <w:rPr>
          <w:rStyle w:val="libFootnotenumChar"/>
          <w:rtl/>
        </w:rPr>
        <w:t>(7)</w:t>
      </w:r>
      <w:r w:rsidRPr="00C9040A">
        <w:rPr>
          <w:rtl/>
          <w:lang w:bidi="fa-IR"/>
        </w:rPr>
        <w:t xml:space="preserve"> الْإِيمَانِ ، أَلَا وَ</w:t>
      </w:r>
      <w:r>
        <w:rPr>
          <w:rFonts w:hint="cs"/>
          <w:rtl/>
          <w:lang w:bidi="fa-IR"/>
        </w:rPr>
        <w:t xml:space="preserve"> </w:t>
      </w:r>
      <w:r w:rsidR="006C577F" w:rsidRPr="006C577F">
        <w:rPr>
          <w:rStyle w:val="libFootnotenumChar"/>
          <w:rtl/>
        </w:rPr>
        <w:t>(8)</w:t>
      </w:r>
      <w:r w:rsidRPr="00C9040A">
        <w:rPr>
          <w:rtl/>
          <w:lang w:bidi="fa-IR"/>
        </w:rPr>
        <w:t xml:space="preserve"> مَنْ أَحَبَّ فِي اللهِ وَأَبْغَضَ فِي اللهِ وَأَعْطى فِي اللهِ وَمَنَعَ فِي اللهِ </w:t>
      </w:r>
      <w:r w:rsidR="006C577F" w:rsidRPr="006C577F">
        <w:rPr>
          <w:rStyle w:val="libFootnotenumChar"/>
          <w:rtl/>
        </w:rPr>
        <w:t>(9)</w:t>
      </w:r>
      <w:r w:rsidRPr="00C9040A">
        <w:rPr>
          <w:rtl/>
          <w:lang w:bidi="fa-IR"/>
        </w:rPr>
        <w:t xml:space="preserve"> ، فَهُوَ مِنْ أَصْفِيَاءِ اللهِ »</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السند معلّق على سابقه وينسحب إليه الطرق الأربعة المتقدّمة.</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هامش المطبوع : « في بعض النسخ بصيغة الغائب في الجميع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w:t>
      </w:r>
      <w:r w:rsidR="008A74EB" w:rsidRPr="00993B55">
        <w:rPr>
          <w:rStyle w:val="libFootnoteBoldChar"/>
          <w:rtl/>
        </w:rPr>
        <w:t>المحاسن</w:t>
      </w:r>
      <w:r w:rsidR="008A74EB" w:rsidRPr="00C9040A">
        <w:rPr>
          <w:rtl/>
        </w:rPr>
        <w:t xml:space="preserve"> ، ص 263 ، كتاب مصابيح الظلم ، ح 328 ، عن ابن محبوب. وفي </w:t>
      </w:r>
      <w:r w:rsidR="008A74EB" w:rsidRPr="0034021D">
        <w:rPr>
          <w:rStyle w:val="libFootnoteBoldChar"/>
          <w:rtl/>
        </w:rPr>
        <w:t>الأمالي للصدوق</w:t>
      </w:r>
      <w:r w:rsidR="008A74EB" w:rsidRPr="00C9040A">
        <w:rPr>
          <w:rtl/>
        </w:rPr>
        <w:t xml:space="preserve"> ، ص 578 ، المجلس 85 ، ح 13 ؛ و</w:t>
      </w:r>
      <w:r w:rsidR="008A74EB" w:rsidRPr="00993B55">
        <w:rPr>
          <w:rStyle w:val="libFootnoteBoldChar"/>
          <w:rtl/>
        </w:rPr>
        <w:t>ثواب الأعمال</w:t>
      </w:r>
      <w:r w:rsidR="008A74EB" w:rsidRPr="00C9040A">
        <w:rPr>
          <w:rtl/>
        </w:rPr>
        <w:t xml:space="preserve"> ، ص 202 ، ح 1 ؛ و</w:t>
      </w:r>
      <w:r w:rsidR="008A74EB" w:rsidRPr="0034021D">
        <w:rPr>
          <w:rStyle w:val="libFootnoteBoldChar"/>
          <w:rtl/>
        </w:rPr>
        <w:t>الأمالي للمفيد</w:t>
      </w:r>
      <w:r w:rsidR="008A74EB" w:rsidRPr="00C9040A">
        <w:rPr>
          <w:rtl/>
        </w:rPr>
        <w:t xml:space="preserve"> ، ص 151 ، المجلس 19 ، ح 1 ، بسند آخر عن أحمد بن محمّد بن عيسى ، عن ابن محبوب. </w:t>
      </w:r>
      <w:r w:rsidR="008A74EB" w:rsidRPr="00993B55">
        <w:rPr>
          <w:rStyle w:val="libFootnoteBoldChar"/>
          <w:rtl/>
        </w:rPr>
        <w:t>الزهد</w:t>
      </w:r>
      <w:r w:rsidR="008A74EB" w:rsidRPr="00C9040A">
        <w:rPr>
          <w:rtl/>
        </w:rPr>
        <w:t xml:space="preserve"> ، ص 77 ، ح 35 ، عن الحسن بن محبوب ، عن عليّ بن رئاب ، عن أبي عبد الله </w:t>
      </w:r>
      <w:r w:rsidR="00117575" w:rsidRPr="00117575">
        <w:rPr>
          <w:rStyle w:val="libFootnoteAlaemChar"/>
          <w:rtl/>
        </w:rPr>
        <w:t xml:space="preserve">عليه‌السلام </w:t>
      </w:r>
      <w:r w:rsidR="008A74EB" w:rsidRPr="00C9040A">
        <w:rPr>
          <w:rtl/>
        </w:rPr>
        <w:t xml:space="preserve"> ؛ </w:t>
      </w:r>
      <w:r w:rsidR="008A74EB" w:rsidRPr="00993B55">
        <w:rPr>
          <w:rStyle w:val="libFootnoteBoldChar"/>
          <w:rtl/>
        </w:rPr>
        <w:t>تحف العقول</w:t>
      </w:r>
      <w:r w:rsidR="008A74EB" w:rsidRPr="00C9040A">
        <w:rPr>
          <w:rtl/>
        </w:rPr>
        <w:t xml:space="preserve"> ، ص 362 ؛ </w:t>
      </w:r>
      <w:r w:rsidR="008A74EB" w:rsidRPr="00993B55">
        <w:rPr>
          <w:rStyle w:val="libFootnoteBoldChar"/>
          <w:rtl/>
        </w:rPr>
        <w:t>المقنعة</w:t>
      </w:r>
      <w:r w:rsidR="008A74EB" w:rsidRPr="00C9040A">
        <w:rPr>
          <w:rtl/>
        </w:rPr>
        <w:t xml:space="preserve"> ، ص 33 ، مرسلاً عن رسول الله </w:t>
      </w:r>
      <w:r w:rsidR="004A4E41" w:rsidRPr="0034021D">
        <w:rPr>
          <w:rStyle w:val="libFootnoteAlaemChar"/>
          <w:rtl/>
        </w:rPr>
        <w:t>صلى‌الله‌عليه‌وآله</w:t>
      </w:r>
      <w:r w:rsidR="008A74EB" w:rsidRPr="00C9040A">
        <w:rPr>
          <w:rtl/>
        </w:rPr>
        <w:t xml:space="preserve"> ، مع زيادة في آخره ؛ </w:t>
      </w:r>
      <w:r w:rsidR="008A74EB" w:rsidRPr="00993B55">
        <w:rPr>
          <w:rStyle w:val="libFootnoteBoldChar"/>
          <w:rtl/>
        </w:rPr>
        <w:t>الاختصاص</w:t>
      </w:r>
      <w:r w:rsidR="008A74EB" w:rsidRPr="00C9040A">
        <w:rPr>
          <w:rtl/>
        </w:rPr>
        <w:t xml:space="preserve"> ، ص 365 ، مرسلاً عن البراء بن عازب ، عن رسول الله </w:t>
      </w:r>
      <w:r w:rsidR="004A4E41" w:rsidRPr="0034021D">
        <w:rPr>
          <w:rStyle w:val="libFootnoteAlaemChar"/>
          <w:rtl/>
        </w:rPr>
        <w:t>صلى‌الله‌عليه‌وآله</w:t>
      </w:r>
      <w:r w:rsidR="008A74EB" w:rsidRPr="00C9040A">
        <w:rPr>
          <w:rtl/>
        </w:rPr>
        <w:t xml:space="preserve"> ، مع زيادة في أوّله ، وفيهما إلى قوله : « وتبغض في الله »</w:t>
      </w:r>
      <w:r w:rsidR="006F309C">
        <w:rPr>
          <w:rFonts w:hint="cs"/>
          <w:rtl/>
        </w:rPr>
        <w:t>.</w:t>
      </w:r>
      <w:r w:rsidR="008A74EB" w:rsidRPr="00993B55">
        <w:rPr>
          <w:rStyle w:val="libFootnoteBoldChar"/>
          <w:rtl/>
        </w:rPr>
        <w:t>الوافي</w:t>
      </w:r>
      <w:r w:rsidR="008A74EB" w:rsidRPr="00C9040A">
        <w:rPr>
          <w:rtl/>
        </w:rPr>
        <w:t xml:space="preserve"> ، ج 4 ، ص 481 ، ح 2397 ؛ </w:t>
      </w:r>
      <w:r w:rsidR="008A74EB" w:rsidRPr="00993B55">
        <w:rPr>
          <w:rStyle w:val="libFootnoteBoldChar"/>
          <w:rtl/>
        </w:rPr>
        <w:t>الوسائل</w:t>
      </w:r>
      <w:r w:rsidR="008A74EB" w:rsidRPr="00C9040A">
        <w:rPr>
          <w:rtl/>
        </w:rPr>
        <w:t xml:space="preserve"> ، ج 16 ، ص 165 ، ح 21250 ؛ </w:t>
      </w:r>
      <w:r w:rsidR="008A74EB" w:rsidRPr="00993B55">
        <w:rPr>
          <w:rStyle w:val="libFootnoteBoldChar"/>
          <w:rtl/>
        </w:rPr>
        <w:t>البحار</w:t>
      </w:r>
      <w:r w:rsidR="008A74EB" w:rsidRPr="00C9040A">
        <w:rPr>
          <w:rtl/>
        </w:rPr>
        <w:t xml:space="preserve"> ، ج 69 ، ص 239 ، ح 13.</w:t>
      </w:r>
      <w:r w:rsidR="006F309C">
        <w:rPr>
          <w:rFonts w:hint="cs"/>
          <w:rtl/>
        </w:rPr>
        <w:t xml:space="preserve">     </w:t>
      </w:r>
      <w:r>
        <w:rPr>
          <w:rtl/>
        </w:rPr>
        <w:t>(4).</w:t>
      </w:r>
      <w:r w:rsidR="008A74EB" w:rsidRPr="00C9040A">
        <w:rPr>
          <w:rtl/>
        </w:rPr>
        <w:t xml:space="preserve"> السند معلّق على السند الأوّل من الباب ، كما لا يخفى.</w:t>
      </w:r>
    </w:p>
    <w:p w:rsidR="008A74EB" w:rsidRPr="00C9040A" w:rsidRDefault="006C577F" w:rsidP="004A4E41">
      <w:pPr>
        <w:pStyle w:val="libFootnote0"/>
        <w:rPr>
          <w:rtl/>
          <w:lang w:bidi="fa-IR"/>
        </w:rPr>
      </w:pPr>
      <w:r>
        <w:rPr>
          <w:rtl/>
        </w:rPr>
        <w:t>(5).</w:t>
      </w:r>
      <w:r w:rsidR="008A74EB" w:rsidRPr="00C9040A">
        <w:rPr>
          <w:rtl/>
        </w:rPr>
        <w:t xml:space="preserve"> في « ص ، ف » : + « لأصحابه »</w:t>
      </w:r>
      <w:r w:rsidR="008A74EB">
        <w:rPr>
          <w:rtl/>
        </w:rPr>
        <w:t>.</w:t>
      </w:r>
      <w:r w:rsidR="008A74EB" w:rsidRPr="00C9040A">
        <w:rPr>
          <w:rtl/>
        </w:rPr>
        <w:t xml:space="preserve"> وفي الوسائل </w:t>
      </w:r>
      <w:r w:rsidR="008A74EB">
        <w:rPr>
          <w:rtl/>
        </w:rPr>
        <w:t xml:space="preserve">: </w:t>
      </w:r>
      <w:r w:rsidR="0084262C">
        <w:rPr>
          <w:rtl/>
        </w:rPr>
        <w:t>-</w:t>
      </w:r>
      <w:r w:rsidR="008A74EB" w:rsidRPr="00C9040A">
        <w:rPr>
          <w:rtl/>
        </w:rPr>
        <w:t xml:space="preserve"> « قال رسول الله </w:t>
      </w:r>
      <w:r w:rsidR="004A4E41" w:rsidRPr="0034021D">
        <w:rPr>
          <w:rStyle w:val="libFootnoteAlaemChar"/>
          <w:rtl/>
        </w:rPr>
        <w:t>صلى‌الله‌عليه‌وآله</w:t>
      </w:r>
      <w:r w:rsidR="008A74EB" w:rsidRPr="00C9040A">
        <w:rPr>
          <w:rtl/>
        </w:rPr>
        <w:t xml:space="preserve">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 ز ، ف ، بس » </w:t>
      </w:r>
      <w:r w:rsidR="008A74EB">
        <w:rPr>
          <w:rtl/>
        </w:rPr>
        <w:t xml:space="preserve">: </w:t>
      </w:r>
      <w:r w:rsidR="0084262C">
        <w:rPr>
          <w:rtl/>
        </w:rPr>
        <w:t>-</w:t>
      </w:r>
      <w:r w:rsidR="008A74EB" w:rsidRPr="00C9040A">
        <w:rPr>
          <w:rtl/>
        </w:rPr>
        <w:t xml:space="preserve"> « للمؤمن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 الشعب » : جمع الشعبة ، وهو الطائفة من كلّ شي‌ء والقطعة منه ، والشعبة من الشجرة : الغُصن المتفرّع منها ، وشعب الإيمان : الأعمال والأخلاق التي يقتضي الإيمان الإتيان بها. راجع : </w:t>
      </w:r>
      <w:r w:rsidR="008A74EB" w:rsidRPr="00993B55">
        <w:rPr>
          <w:rStyle w:val="libFootnoteBoldChar"/>
          <w:rtl/>
        </w:rPr>
        <w:t>النهاية</w:t>
      </w:r>
      <w:r w:rsidR="008A74EB" w:rsidRPr="00C9040A">
        <w:rPr>
          <w:rtl/>
        </w:rPr>
        <w:t xml:space="preserve"> ، ج 2 ، ص 477 ؛ </w:t>
      </w:r>
      <w:r w:rsidR="008A74EB" w:rsidRPr="00993B55">
        <w:rPr>
          <w:rStyle w:val="libFootnoteBoldChar"/>
          <w:rtl/>
        </w:rPr>
        <w:t>المصباح المنير</w:t>
      </w:r>
      <w:r w:rsidR="008A74EB" w:rsidRPr="00C9040A">
        <w:rPr>
          <w:rtl/>
        </w:rPr>
        <w:t xml:space="preserve"> ، ص 314 ( شعب ) ؛ </w:t>
      </w:r>
      <w:r w:rsidR="008A74EB" w:rsidRPr="00993B55">
        <w:rPr>
          <w:rStyle w:val="libFootnoteBoldChar"/>
          <w:rtl/>
        </w:rPr>
        <w:t>مرآة العقول</w:t>
      </w:r>
      <w:r w:rsidR="008A74EB" w:rsidRPr="00C9040A">
        <w:rPr>
          <w:rtl/>
        </w:rPr>
        <w:t xml:space="preserve"> ، ج 8 ، ص 258.</w:t>
      </w:r>
    </w:p>
    <w:p w:rsidR="008A74EB" w:rsidRPr="00C9040A" w:rsidRDefault="006C577F" w:rsidP="004A4E41">
      <w:pPr>
        <w:pStyle w:val="libFootnote0"/>
        <w:rPr>
          <w:rtl/>
          <w:lang w:bidi="fa-IR"/>
        </w:rPr>
      </w:pPr>
      <w:r>
        <w:rPr>
          <w:rtl/>
        </w:rPr>
        <w:t>(8).</w:t>
      </w:r>
      <w:r w:rsidR="008A74EB" w:rsidRPr="00C9040A">
        <w:rPr>
          <w:rtl/>
        </w:rPr>
        <w:t xml:space="preserve"> في « ف » : + « إنّ »</w:t>
      </w:r>
      <w:r w:rsidR="008A74EB">
        <w:rPr>
          <w:rtl/>
        </w:rPr>
        <w:t>.</w:t>
      </w:r>
      <w:r w:rsidR="006F309C">
        <w:rPr>
          <w:rFonts w:hint="cs"/>
          <w:rtl/>
        </w:rPr>
        <w:t xml:space="preserve">        </w:t>
      </w:r>
      <w:r w:rsidR="009337A9">
        <w:rPr>
          <w:rFonts w:hint="cs"/>
          <w:rtl/>
        </w:rPr>
        <w:t xml:space="preserve">           </w:t>
      </w:r>
      <w:r w:rsidR="006F309C">
        <w:rPr>
          <w:rFonts w:hint="cs"/>
          <w:rtl/>
        </w:rPr>
        <w:t xml:space="preserve">      </w:t>
      </w:r>
      <w:r>
        <w:rPr>
          <w:rtl/>
        </w:rPr>
        <w:t>(9).</w:t>
      </w:r>
      <w:r w:rsidR="008A74EB" w:rsidRPr="00C9040A">
        <w:rPr>
          <w:rtl/>
        </w:rPr>
        <w:t xml:space="preserve"> في « ف » </w:t>
      </w:r>
      <w:r w:rsidR="008A74EB">
        <w:rPr>
          <w:rtl/>
        </w:rPr>
        <w:t xml:space="preserve">: </w:t>
      </w:r>
      <w:r w:rsidR="0084262C">
        <w:rPr>
          <w:rtl/>
        </w:rPr>
        <w:t>-</w:t>
      </w:r>
      <w:r w:rsidR="008A74EB" w:rsidRPr="00C9040A">
        <w:rPr>
          <w:rtl/>
        </w:rPr>
        <w:t xml:space="preserve"> « وأعطى في الله ومنع في الله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w:t>
      </w:r>
      <w:r w:rsidR="008A74EB" w:rsidRPr="00993B55">
        <w:rPr>
          <w:rStyle w:val="libFootnoteBoldChar"/>
          <w:rtl/>
        </w:rPr>
        <w:t>المحاسن</w:t>
      </w:r>
      <w:r w:rsidR="008A74EB" w:rsidRPr="00C9040A">
        <w:rPr>
          <w:rtl/>
        </w:rPr>
        <w:t xml:space="preserve"> ، ص 263 ، كتاب مصابيح الظلم ، ح 329 ، عن الحسن بن محبوب. </w:t>
      </w:r>
      <w:r w:rsidR="008A74EB" w:rsidRPr="00993B55">
        <w:rPr>
          <w:rStyle w:val="libFootnoteBoldChar"/>
          <w:rtl/>
        </w:rPr>
        <w:t>تحف العقول</w:t>
      </w:r>
      <w:r w:rsidR="008A74EB" w:rsidRPr="00C9040A">
        <w:rPr>
          <w:rtl/>
        </w:rPr>
        <w:t xml:space="preserve"> ، ص 48 ، عن رسول الله </w:t>
      </w:r>
      <w:r w:rsidR="004A4E41" w:rsidRPr="0034021D">
        <w:rPr>
          <w:rStyle w:val="libFootnoteAlaemChar"/>
          <w:rtl/>
        </w:rPr>
        <w:t>صلى‌الله‌عليه‌وآله</w:t>
      </w:r>
      <w:r w:rsidR="006F309C">
        <w:rPr>
          <w:rFonts w:hint="cs"/>
          <w:rtl/>
        </w:rPr>
        <w:t>.</w:t>
      </w:r>
      <w:r w:rsidR="008A74EB" w:rsidRPr="00993B55">
        <w:rPr>
          <w:rStyle w:val="libFootnoteBoldChar"/>
          <w:rtl/>
        </w:rPr>
        <w:t>الوافي</w:t>
      </w:r>
      <w:r w:rsidR="008A74EB" w:rsidRPr="00C9040A">
        <w:rPr>
          <w:rtl/>
        </w:rPr>
        <w:t xml:space="preserve"> ، ج 4 ، ص 481 ، ح 2398 ؛ </w:t>
      </w:r>
      <w:r w:rsidR="008A74EB" w:rsidRPr="00993B55">
        <w:rPr>
          <w:rStyle w:val="libFootnoteBoldChar"/>
          <w:rtl/>
        </w:rPr>
        <w:t>الوسائل</w:t>
      </w:r>
      <w:r w:rsidR="008A74EB" w:rsidRPr="00C9040A">
        <w:rPr>
          <w:rtl/>
        </w:rPr>
        <w:t xml:space="preserve"> ، ج 16 ، ص 166 ، ح 21251 ؛ </w:t>
      </w:r>
      <w:r w:rsidR="008A74EB" w:rsidRPr="00993B55">
        <w:rPr>
          <w:rStyle w:val="libFootnoteBoldChar"/>
          <w:rtl/>
        </w:rPr>
        <w:t>البحار</w:t>
      </w:r>
      <w:r w:rsidR="008A74EB" w:rsidRPr="00C9040A">
        <w:rPr>
          <w:rtl/>
        </w:rPr>
        <w:t xml:space="preserve"> ، ج 69 ، ص 240 ، ح 14.</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B40282">
        <w:rPr>
          <w:rtl/>
        </w:rPr>
        <w:t>1880</w:t>
      </w:r>
      <w:r w:rsidRPr="00261CB0">
        <w:rPr>
          <w:rStyle w:val="libBold2Char"/>
          <w:rtl/>
        </w:rPr>
        <w:t xml:space="preserve"> / 4.</w:t>
      </w:r>
      <w:r w:rsidRPr="00C9040A">
        <w:rPr>
          <w:rtl/>
          <w:lang w:bidi="fa-IR"/>
        </w:rPr>
        <w:t xml:space="preserve"> الْحُسَيْنُ بْنُ مُحَمَّدٍ ، عَنْ مُعَلَّى بْنِ مُحَمَّدٍ ، عَنِ الْحَسَنِ بْنِ عَلِيٍّ الْوَشَّاءِ ، عَنْ عَلِيِّ بْنِ أَبِي حَمْزَةَ ، عَنْ أَبِي بَصِيرٍ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سَمِعْتُهُ يَقُولُ : « إِنَّ الْمُتَحَابِّينَ فِي اللهِ يَوْمَ الْقِيَامَةِ عَلى مَنَابِرَ مِنْ نُورٍ قَدْ أَضَاءَ نُورُ وُجُوهِهِمْ وَ</w:t>
      </w:r>
      <w:r>
        <w:rPr>
          <w:rFonts w:hint="cs"/>
          <w:rtl/>
          <w:lang w:bidi="fa-IR"/>
        </w:rPr>
        <w:t xml:space="preserve"> </w:t>
      </w:r>
      <w:r w:rsidR="006C577F" w:rsidRPr="006C577F">
        <w:rPr>
          <w:rStyle w:val="libFootnotenumChar"/>
          <w:rtl/>
        </w:rPr>
        <w:t>(1)</w:t>
      </w:r>
      <w:r w:rsidRPr="00C9040A">
        <w:rPr>
          <w:rtl/>
          <w:lang w:bidi="fa-IR"/>
        </w:rPr>
        <w:t xml:space="preserve"> نُورُ أَجْسَادِهِمْ وَنُورُ مَنَابِرِهِمْ </w:t>
      </w:r>
      <w:r w:rsidR="006C577F" w:rsidRPr="006C577F">
        <w:rPr>
          <w:rStyle w:val="libFootnotenumChar"/>
          <w:rtl/>
        </w:rPr>
        <w:t>(2)</w:t>
      </w:r>
      <w:r w:rsidRPr="00C9040A">
        <w:rPr>
          <w:rtl/>
          <w:lang w:bidi="fa-IR"/>
        </w:rPr>
        <w:t xml:space="preserve"> كُلَّ شَيْ‌ءٍ حَتّى يُعْرَفُوا بِهِ ، فَيُقَالُ : هؤُلَاءِ الْمُتَحَابُّونَ فِي اللهِ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57787E">
        <w:rPr>
          <w:rtl/>
        </w:rPr>
        <w:t>1881</w:t>
      </w:r>
      <w:r w:rsidRPr="00261CB0">
        <w:rPr>
          <w:rStyle w:val="libBold2Char"/>
          <w:rtl/>
        </w:rPr>
        <w:t xml:space="preserve"> / 5.</w:t>
      </w:r>
      <w:r w:rsidRPr="00C9040A">
        <w:rPr>
          <w:rtl/>
          <w:lang w:bidi="fa-IR"/>
        </w:rPr>
        <w:t xml:space="preserve"> عَلِيُّ بْنُ إِبْرَاهِيمَ ، عَنْ أَبِيهِ ، عَنْ حَمَّادٍ </w:t>
      </w:r>
      <w:r w:rsidR="006C577F" w:rsidRPr="006C577F">
        <w:rPr>
          <w:rStyle w:val="libFootnotenumChar"/>
          <w:rtl/>
        </w:rPr>
        <w:t>(4)</w:t>
      </w:r>
      <w:r w:rsidRPr="00C9040A">
        <w:rPr>
          <w:rtl/>
          <w:lang w:bidi="fa-IR"/>
        </w:rPr>
        <w:t xml:space="preserve"> ، عَنْ حَرِيزٍ ، عَنْ فُضَيْلِ بْنِ يَسَارٍ ، قَالَ :</w:t>
      </w:r>
    </w:p>
    <w:p w:rsidR="008A74EB" w:rsidRPr="00C9040A" w:rsidRDefault="008A74EB" w:rsidP="008A74EB">
      <w:pPr>
        <w:pStyle w:val="libNormal"/>
        <w:rPr>
          <w:rtl/>
          <w:lang w:bidi="fa-IR"/>
        </w:rPr>
      </w:pPr>
      <w:r w:rsidRPr="00C9040A">
        <w:rPr>
          <w:rtl/>
          <w:lang w:bidi="fa-IR"/>
        </w:rPr>
        <w:t xml:space="preserve">سَأَلْتُ أَبَا عَبْدِ اللهِ </w:t>
      </w:r>
      <w:r w:rsidRPr="0003660B">
        <w:rPr>
          <w:rStyle w:val="libAlaemChar"/>
          <w:rtl/>
        </w:rPr>
        <w:t>عليه‌السلام</w:t>
      </w:r>
      <w:r>
        <w:rPr>
          <w:rtl/>
          <w:lang w:bidi="fa-IR"/>
        </w:rPr>
        <w:t xml:space="preserve"> عَنِ الْحُبِّ وَالْبُغْضِ : أَ</w:t>
      </w:r>
      <w:r w:rsidRPr="00C9040A">
        <w:rPr>
          <w:rtl/>
          <w:lang w:bidi="fa-IR"/>
        </w:rPr>
        <w:t xml:space="preserve">مِنَ </w:t>
      </w:r>
      <w:r w:rsidR="006C577F" w:rsidRPr="006C577F">
        <w:rPr>
          <w:rStyle w:val="libFootnotenumChar"/>
          <w:rtl/>
        </w:rPr>
        <w:t>(5)</w:t>
      </w:r>
      <w:r w:rsidRPr="00C9040A">
        <w:rPr>
          <w:rtl/>
          <w:lang w:bidi="fa-IR"/>
        </w:rPr>
        <w:t xml:space="preserve"> الْإِيمَانِ هُوَ</w:t>
      </w:r>
      <w:r>
        <w:rPr>
          <w:rtl/>
          <w:lang w:bidi="fa-IR"/>
        </w:rPr>
        <w:t>؟</w:t>
      </w:r>
    </w:p>
    <w:p w:rsidR="008A74EB" w:rsidRPr="00C9040A" w:rsidRDefault="008A74EB" w:rsidP="008A74EB">
      <w:pPr>
        <w:pStyle w:val="libNormal"/>
        <w:rPr>
          <w:rtl/>
          <w:lang w:bidi="fa-IR"/>
        </w:rPr>
      </w:pPr>
      <w:r w:rsidRPr="00C9040A">
        <w:rPr>
          <w:rtl/>
          <w:lang w:bidi="fa-IR"/>
        </w:rPr>
        <w:t>فَقَا</w:t>
      </w:r>
      <w:r w:rsidR="009337A9">
        <w:rPr>
          <w:rtl/>
          <w:lang w:bidi="fa-IR"/>
        </w:rPr>
        <w:t>لَ : « وَهَلِ الْإِيمَانُ إِل</w:t>
      </w:r>
      <w:r w:rsidR="009337A9">
        <w:rPr>
          <w:rFonts w:hint="cs"/>
          <w:rtl/>
          <w:lang w:bidi="fa-IR"/>
        </w:rPr>
        <w:t>َّ</w:t>
      </w:r>
      <w:r w:rsidR="009337A9">
        <w:rPr>
          <w:rtl/>
          <w:lang w:bidi="fa-IR"/>
        </w:rPr>
        <w:t>ا</w:t>
      </w:r>
      <w:r w:rsidRPr="00C9040A">
        <w:rPr>
          <w:rtl/>
          <w:lang w:bidi="fa-IR"/>
        </w:rPr>
        <w:t xml:space="preserve"> الْحُبُّ وَالْبُغْضُ » ، ثُمَّ تَلَا هذِهِ الْآيَةَ : </w:t>
      </w:r>
      <w:r w:rsidRPr="0003660B">
        <w:rPr>
          <w:rStyle w:val="libAlaemChar"/>
          <w:rtl/>
        </w:rPr>
        <w:t>(</w:t>
      </w:r>
      <w:r w:rsidRPr="006A2246">
        <w:rPr>
          <w:rStyle w:val="libAieChar"/>
          <w:rtl/>
        </w:rPr>
        <w:t xml:space="preserve"> حَبَّبَ إِلَيْكُمُ الْإِيمانَ وَزَيَّنَهُ فِي قُلُوبِكُمْ وَكَرَّهَ إِلَيْكُمُ الْكُفْرَ وَالْفُسُوقَ وَالْعِصْيانَ أُولئِكَ هُمُ الرّاشِدُونَ </w:t>
      </w:r>
      <w:r w:rsidRPr="0003660B">
        <w:rPr>
          <w:rStyle w:val="libAlaemChar"/>
          <w:rtl/>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57787E">
        <w:rPr>
          <w:rtl/>
        </w:rPr>
        <w:t>1882</w:t>
      </w:r>
      <w:r w:rsidRPr="00261CB0">
        <w:rPr>
          <w:rStyle w:val="libBold2Char"/>
          <w:rtl/>
        </w:rPr>
        <w:t xml:space="preserve"> / 6.</w:t>
      </w:r>
      <w:r w:rsidRPr="00C9040A">
        <w:rPr>
          <w:rtl/>
          <w:lang w:bidi="fa-IR"/>
        </w:rPr>
        <w:t xml:space="preserve"> عِدَّةٌ مِنْ أَصْحَابِنَا ، عَنْ أَحْمَدَ بْنِ أَبِي عَبْدِ اللهِ ، عَنْ مُحَمَّدِ بْنِ عِيسى </w:t>
      </w:r>
      <w:r w:rsidR="006C577F" w:rsidRPr="006C577F">
        <w:rPr>
          <w:rStyle w:val="libFootnotenumChar"/>
          <w:rtl/>
        </w:rPr>
        <w:t>(8)</w:t>
      </w:r>
      <w:r w:rsidRPr="00C9040A">
        <w:rPr>
          <w:rtl/>
          <w:lang w:bidi="fa-IR"/>
        </w:rPr>
        <w:t xml:space="preserve"> ، عَنْ‌</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9337A9" w:rsidTr="009337A9">
        <w:tc>
          <w:tcPr>
            <w:tcW w:w="4006" w:type="dxa"/>
          </w:tcPr>
          <w:p w:rsidR="009337A9" w:rsidRDefault="009337A9" w:rsidP="004A4E41">
            <w:pPr>
              <w:pStyle w:val="libFootnote0"/>
              <w:rPr>
                <w:rtl/>
              </w:rPr>
            </w:pPr>
            <w:r>
              <w:rPr>
                <w:rtl/>
              </w:rPr>
              <w:t xml:space="preserve">(1). </w:t>
            </w:r>
            <w:r w:rsidRPr="00C9040A">
              <w:rPr>
                <w:rtl/>
              </w:rPr>
              <w:t xml:space="preserve">في المحاسن ، ح 339 </w:t>
            </w:r>
            <w:r>
              <w:rPr>
                <w:rtl/>
              </w:rPr>
              <w:t>: -</w:t>
            </w:r>
            <w:r w:rsidRPr="00C9040A">
              <w:rPr>
                <w:rtl/>
              </w:rPr>
              <w:t xml:space="preserve"> « نور وجوههم </w:t>
            </w:r>
            <w:r>
              <w:rPr>
                <w:rtl/>
              </w:rPr>
              <w:t>و ».</w:t>
            </w:r>
          </w:p>
        </w:tc>
        <w:tc>
          <w:tcPr>
            <w:tcW w:w="4006" w:type="dxa"/>
          </w:tcPr>
          <w:p w:rsidR="009337A9" w:rsidRDefault="009337A9" w:rsidP="004A4E41">
            <w:pPr>
              <w:pStyle w:val="libFootnote0"/>
              <w:rPr>
                <w:rtl/>
              </w:rPr>
            </w:pPr>
            <w:r>
              <w:rPr>
                <w:rtl/>
              </w:rPr>
              <w:t xml:space="preserve">(2). </w:t>
            </w:r>
            <w:r w:rsidRPr="00C9040A">
              <w:rPr>
                <w:rtl/>
              </w:rPr>
              <w:t>في الوسائل : + « على »</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w:t>
      </w:r>
      <w:r w:rsidR="008A74EB" w:rsidRPr="00993B55">
        <w:rPr>
          <w:rStyle w:val="libFootnoteBoldChar"/>
          <w:rtl/>
        </w:rPr>
        <w:t>المحاسن</w:t>
      </w:r>
      <w:r w:rsidR="008A74EB" w:rsidRPr="00C9040A">
        <w:rPr>
          <w:rtl/>
        </w:rPr>
        <w:t xml:space="preserve"> ، ص 265 ، كتاب مصابيح الظلم ، ح 339 ، عن الحسن بن عليّ الوشّاء. </w:t>
      </w:r>
      <w:r w:rsidR="008A74EB" w:rsidRPr="00993B55">
        <w:rPr>
          <w:rStyle w:val="libFootnoteBoldChar"/>
          <w:rtl/>
        </w:rPr>
        <w:t>ثواب الأعمال</w:t>
      </w:r>
      <w:r w:rsidR="008A74EB" w:rsidRPr="00C9040A">
        <w:rPr>
          <w:rtl/>
        </w:rPr>
        <w:t xml:space="preserve"> ، ص 182 ، بسند آخر عن أبي الحسن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المحاسن</w:t>
      </w:r>
      <w:r w:rsidR="008A74EB" w:rsidRPr="00C9040A">
        <w:rPr>
          <w:rtl/>
        </w:rPr>
        <w:t xml:space="preserve"> ، ص 265 ، ح 338 ، عن أبيه مرسلاً عن موسى‌بن جعفر </w:t>
      </w:r>
      <w:r w:rsidR="00117575" w:rsidRPr="00117575">
        <w:rPr>
          <w:rStyle w:val="libFootnoteAlaemChar"/>
          <w:rtl/>
        </w:rPr>
        <w:t>عليه‌السلام</w:t>
      </w:r>
      <w:r w:rsidR="008A74EB" w:rsidRPr="00C9040A">
        <w:rPr>
          <w:rtl/>
        </w:rPr>
        <w:t xml:space="preserve"> ، وفيهما مع اختلاف يسير. راجع : </w:t>
      </w:r>
      <w:r w:rsidR="008A74EB" w:rsidRPr="0034021D">
        <w:rPr>
          <w:rStyle w:val="libFootnoteBoldChar"/>
          <w:rtl/>
        </w:rPr>
        <w:t>الأمالي للمفيد</w:t>
      </w:r>
      <w:r w:rsidR="008A74EB" w:rsidRPr="00C9040A">
        <w:rPr>
          <w:rtl/>
        </w:rPr>
        <w:t xml:space="preserve"> ، ص 75 ، المجلس 8 ، ح 11</w:t>
      </w:r>
      <w:r w:rsidR="00FB546A">
        <w:rPr>
          <w:rFonts w:hint="cs"/>
          <w:rtl/>
        </w:rPr>
        <w:t>.</w:t>
      </w:r>
      <w:r w:rsidR="008A74EB" w:rsidRPr="00993B55">
        <w:rPr>
          <w:rStyle w:val="libFootnoteBoldChar"/>
          <w:rtl/>
        </w:rPr>
        <w:t>الوافي</w:t>
      </w:r>
      <w:r w:rsidR="008A74EB" w:rsidRPr="00C9040A">
        <w:rPr>
          <w:rtl/>
        </w:rPr>
        <w:t xml:space="preserve"> ، ج 4 ، ص 481 ، ح 2399 ؛ </w:t>
      </w:r>
      <w:r w:rsidR="008A74EB" w:rsidRPr="00993B55">
        <w:rPr>
          <w:rStyle w:val="libFootnoteBoldChar"/>
          <w:rtl/>
        </w:rPr>
        <w:t>الوسائل</w:t>
      </w:r>
      <w:r w:rsidR="008A74EB" w:rsidRPr="00C9040A">
        <w:rPr>
          <w:rtl/>
        </w:rPr>
        <w:t xml:space="preserve"> ، ج 16 ، ص 166 ، ح 21252 ؛ </w:t>
      </w:r>
      <w:r w:rsidR="008A74EB" w:rsidRPr="00993B55">
        <w:rPr>
          <w:rStyle w:val="libFootnoteBoldChar"/>
          <w:rtl/>
        </w:rPr>
        <w:t>البحار</w:t>
      </w:r>
      <w:r w:rsidR="008A74EB" w:rsidRPr="00C9040A">
        <w:rPr>
          <w:rtl/>
        </w:rPr>
        <w:t xml:space="preserve"> ، ج 7 ، ص 195 ، ح 64 ؛ وج 69 ، ص 240 ، ح 15.</w:t>
      </w:r>
    </w:p>
    <w:p w:rsidR="008A74EB" w:rsidRPr="004A4E41" w:rsidRDefault="006C577F" w:rsidP="004A4E41">
      <w:pPr>
        <w:pStyle w:val="libFootnote0"/>
        <w:rPr>
          <w:rStyle w:val="libFootnote0Char"/>
          <w:rtl/>
        </w:rPr>
      </w:pPr>
      <w:r>
        <w:rPr>
          <w:rtl/>
        </w:rPr>
        <w:t>(4).</w:t>
      </w:r>
      <w:r w:rsidR="008A74EB" w:rsidRPr="00C9040A">
        <w:rPr>
          <w:rtl/>
        </w:rPr>
        <w:t xml:space="preserve"> في الوسائل : « ابن أبي عمير » بدل « حمّاد »</w:t>
      </w:r>
      <w:r w:rsidR="008A74EB">
        <w:rPr>
          <w:rtl/>
        </w:rPr>
        <w:t>.</w:t>
      </w:r>
      <w:r w:rsidR="008A74EB" w:rsidRPr="00C9040A">
        <w:rPr>
          <w:rtl/>
        </w:rPr>
        <w:t xml:space="preserve"> وهو سهو ناشٍ من كثرة روايات عليّ بن إبراهيم ، عن أبيه ، عن ابن أبي عمير ، كثرةً لايُقاسُ عليها روايات عليّ بن إبراهيم ، عن أبيه ، عن حمّاد بن عيسى.</w:t>
      </w:r>
    </w:p>
    <w:tbl>
      <w:tblPr>
        <w:tblStyle w:val="TableGrid"/>
        <w:bidiVisual/>
        <w:tblW w:w="0" w:type="auto"/>
        <w:tblLook w:val="04A0" w:firstRow="1" w:lastRow="0" w:firstColumn="1" w:lastColumn="0" w:noHBand="0" w:noVBand="1"/>
      </w:tblPr>
      <w:tblGrid>
        <w:gridCol w:w="4006"/>
        <w:gridCol w:w="4006"/>
      </w:tblGrid>
      <w:tr w:rsidR="00FB546A" w:rsidTr="00FB546A">
        <w:tc>
          <w:tcPr>
            <w:tcW w:w="4006" w:type="dxa"/>
          </w:tcPr>
          <w:p w:rsidR="00FB546A" w:rsidRDefault="00FB546A" w:rsidP="004A4E41">
            <w:pPr>
              <w:pStyle w:val="libFootnote0"/>
              <w:rPr>
                <w:rtl/>
              </w:rPr>
            </w:pPr>
            <w:r>
              <w:rPr>
                <w:rtl/>
              </w:rPr>
              <w:t>(5).</w:t>
            </w:r>
            <w:r w:rsidRPr="00C9040A">
              <w:rPr>
                <w:rtl/>
              </w:rPr>
              <w:t xml:space="preserve"> في « ز » : « من » بدون همزة الاستفهام.</w:t>
            </w:r>
          </w:p>
        </w:tc>
        <w:tc>
          <w:tcPr>
            <w:tcW w:w="4006" w:type="dxa"/>
          </w:tcPr>
          <w:p w:rsidR="00FB546A" w:rsidRDefault="00FB546A" w:rsidP="004A4E41">
            <w:pPr>
              <w:pStyle w:val="libFootnote0"/>
              <w:rPr>
                <w:rtl/>
              </w:rPr>
            </w:pPr>
            <w:r>
              <w:rPr>
                <w:rtl/>
              </w:rPr>
              <w:t xml:space="preserve">(6). </w:t>
            </w:r>
            <w:r w:rsidRPr="00C9040A">
              <w:rPr>
                <w:rtl/>
              </w:rPr>
              <w:t>الحجرات (49) : 7.</w:t>
            </w:r>
          </w:p>
        </w:tc>
      </w:tr>
    </w:tbl>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المحاسن</w:t>
      </w:r>
      <w:r w:rsidR="008A74EB" w:rsidRPr="00C9040A">
        <w:rPr>
          <w:rtl/>
        </w:rPr>
        <w:t xml:space="preserve"> ، ص 262 ، كتاب مصابيح الظلم ، ح 326 ، عن أبيه ، عن حمّاد بن عيسى. وفي </w:t>
      </w:r>
      <w:r w:rsidR="008A74EB" w:rsidRPr="00993B55">
        <w:rPr>
          <w:rStyle w:val="libFootnoteBoldChar"/>
          <w:rtl/>
        </w:rPr>
        <w:t>الكافي</w:t>
      </w:r>
      <w:r w:rsidR="008A74EB" w:rsidRPr="00C9040A">
        <w:rPr>
          <w:rtl/>
        </w:rPr>
        <w:t xml:space="preserve"> ، كتاب الروضة ، ح 14850 ؛ و</w:t>
      </w:r>
      <w:r w:rsidR="008A74EB" w:rsidRPr="00993B55">
        <w:rPr>
          <w:rStyle w:val="libFootnoteBoldChar"/>
          <w:rtl/>
        </w:rPr>
        <w:t xml:space="preserve">المحاسن </w:t>
      </w:r>
      <w:r w:rsidR="008A74EB" w:rsidRPr="00C9040A">
        <w:rPr>
          <w:rtl/>
        </w:rPr>
        <w:t>، ص 262 ، ح 327 ، بس</w:t>
      </w:r>
      <w:r w:rsidR="00221783">
        <w:rPr>
          <w:rtl/>
        </w:rPr>
        <w:t>ند آخر وفيهما : « وهل الدين إل</w:t>
      </w:r>
      <w:r w:rsidR="00221783">
        <w:rPr>
          <w:rFonts w:hint="cs"/>
          <w:rtl/>
        </w:rPr>
        <w:t>ّ</w:t>
      </w:r>
      <w:r w:rsidR="00221783">
        <w:rPr>
          <w:rtl/>
        </w:rPr>
        <w:t>ا</w:t>
      </w:r>
      <w:r w:rsidR="008A74EB">
        <w:rPr>
          <w:rFonts w:hint="cs"/>
          <w:rtl/>
        </w:rPr>
        <w:t xml:space="preserve"> </w:t>
      </w:r>
      <w:r w:rsidR="008A74EB" w:rsidRPr="00C9040A">
        <w:rPr>
          <w:rtl/>
        </w:rPr>
        <w:t xml:space="preserve">الحبّ » ؛ </w:t>
      </w:r>
      <w:r w:rsidR="008A74EB" w:rsidRPr="00993B55">
        <w:rPr>
          <w:rStyle w:val="libFootnoteBoldChar"/>
          <w:rtl/>
        </w:rPr>
        <w:t>تفسير فرات</w:t>
      </w:r>
      <w:r w:rsidR="008A74EB" w:rsidRPr="00C9040A">
        <w:rPr>
          <w:rtl/>
        </w:rPr>
        <w:t xml:space="preserve"> ، ص 428 ، ح 567 ، بس</w:t>
      </w:r>
      <w:r w:rsidR="00221783">
        <w:rPr>
          <w:rtl/>
        </w:rPr>
        <w:t>ند آخر ، وفيه : « وهل الدين إل</w:t>
      </w:r>
      <w:r w:rsidR="00221783">
        <w:rPr>
          <w:rFonts w:hint="cs"/>
          <w:rtl/>
        </w:rPr>
        <w:t>ّ</w:t>
      </w:r>
      <w:r w:rsidR="00221783">
        <w:rPr>
          <w:rtl/>
        </w:rPr>
        <w:t>ا</w:t>
      </w:r>
      <w:r w:rsidR="008A74EB">
        <w:rPr>
          <w:rFonts w:hint="cs"/>
          <w:rtl/>
        </w:rPr>
        <w:t xml:space="preserve"> </w:t>
      </w:r>
      <w:r w:rsidR="008A74EB" w:rsidRPr="00C9040A">
        <w:rPr>
          <w:rtl/>
        </w:rPr>
        <w:t xml:space="preserve">الحبّ والبغض » ، وفي الثلاثة الأخيرة عن أبي جعفر </w:t>
      </w:r>
      <w:r w:rsidR="00117575" w:rsidRPr="00117575">
        <w:rPr>
          <w:rStyle w:val="libFootnoteAlaemChar"/>
          <w:rtl/>
        </w:rPr>
        <w:t>عليه‌السلام</w:t>
      </w:r>
      <w:r w:rsidR="008A74EB" w:rsidRPr="00C9040A">
        <w:rPr>
          <w:rtl/>
        </w:rPr>
        <w:t xml:space="preserve"> ، مع زيادة في أوّله وآخره</w:t>
      </w:r>
      <w:r w:rsidR="00221783">
        <w:rPr>
          <w:rFonts w:hint="cs"/>
          <w:rtl/>
        </w:rPr>
        <w:t>.</w:t>
      </w:r>
      <w:r w:rsidR="008A74EB" w:rsidRPr="00993B55">
        <w:rPr>
          <w:rStyle w:val="libFootnoteBoldChar"/>
          <w:rtl/>
        </w:rPr>
        <w:t>الوافي</w:t>
      </w:r>
      <w:r w:rsidR="008A74EB" w:rsidRPr="00C9040A">
        <w:rPr>
          <w:rtl/>
        </w:rPr>
        <w:t xml:space="preserve"> ، ج 4 ، ص 482 ، ح 2400 ؛ </w:t>
      </w:r>
      <w:r w:rsidR="008A74EB" w:rsidRPr="00993B55">
        <w:rPr>
          <w:rStyle w:val="libFootnoteBoldChar"/>
          <w:rtl/>
        </w:rPr>
        <w:t>الوسائل</w:t>
      </w:r>
      <w:r w:rsidR="008A74EB" w:rsidRPr="00C9040A">
        <w:rPr>
          <w:rtl/>
        </w:rPr>
        <w:t xml:space="preserve"> ، ج 16 ، ص 170 ، ذيل ح 21264 ؛ </w:t>
      </w:r>
      <w:r w:rsidR="008A74EB" w:rsidRPr="00993B55">
        <w:rPr>
          <w:rStyle w:val="libFootnoteBoldChar"/>
          <w:rtl/>
        </w:rPr>
        <w:t>البحار</w:t>
      </w:r>
      <w:r w:rsidR="008A74EB" w:rsidRPr="00C9040A">
        <w:rPr>
          <w:rtl/>
        </w:rPr>
        <w:t xml:space="preserve"> ، ج 67 ، ص 52 ؛ وج 69 ، ص 241 ، ح 16.</w:t>
      </w:r>
    </w:p>
    <w:p w:rsidR="008A74EB" w:rsidRPr="00C9040A" w:rsidRDefault="006C577F" w:rsidP="004A4E41">
      <w:pPr>
        <w:pStyle w:val="libFootnote0"/>
        <w:rPr>
          <w:rtl/>
          <w:lang w:bidi="fa-IR"/>
        </w:rPr>
      </w:pPr>
      <w:r>
        <w:rPr>
          <w:rtl/>
        </w:rPr>
        <w:t>(8).</w:t>
      </w:r>
      <w:r w:rsidR="008A74EB" w:rsidRPr="00C9040A">
        <w:rPr>
          <w:rtl/>
        </w:rPr>
        <w:t xml:space="preserve"> في البحار : + « عن حريز »</w:t>
      </w:r>
      <w:r w:rsidR="008A74EB">
        <w:rPr>
          <w:rtl/>
        </w:rPr>
        <w:t>.</w:t>
      </w:r>
      <w:r w:rsidR="008A74EB" w:rsidRPr="00C9040A">
        <w:rPr>
          <w:rtl/>
        </w:rPr>
        <w:t xml:space="preserve"> وهو سهو ؛ لعدم ثبوت رواية محمّد بن عيسى عن حريز. وما ورد في‌</w:t>
      </w:r>
      <w:r w:rsidR="008A74EB">
        <w:rPr>
          <w:rFonts w:hint="cs"/>
          <w:rtl/>
        </w:rPr>
        <w:t xml:space="preserve"> </w:t>
      </w:r>
      <w:r w:rsidR="00221783">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أَبِي الْحَسَنِ عَلِيِّ بْنِ يَحْيى</w:t>
      </w:r>
      <w:r>
        <w:rPr>
          <w:rtl/>
          <w:lang w:bidi="fa-IR"/>
        </w:rPr>
        <w:t xml:space="preserve"> </w:t>
      </w:r>
      <w:r w:rsidR="0084262C">
        <w:rPr>
          <w:rtl/>
          <w:lang w:bidi="fa-IR"/>
        </w:rPr>
        <w:t>-</w:t>
      </w:r>
      <w:r>
        <w:rPr>
          <w:rtl/>
          <w:lang w:bidi="fa-IR"/>
        </w:rPr>
        <w:t xml:space="preserve"> </w:t>
      </w:r>
      <w:r w:rsidRPr="00C9040A">
        <w:rPr>
          <w:rtl/>
          <w:lang w:bidi="fa-IR"/>
        </w:rPr>
        <w:t xml:space="preserve">فِيمَا أَعْلَمُ </w:t>
      </w:r>
      <w:r w:rsidR="006C577F" w:rsidRPr="006C577F">
        <w:rPr>
          <w:rStyle w:val="libFootnotenumChar"/>
          <w:rtl/>
        </w:rPr>
        <w:t>(1)</w:t>
      </w:r>
      <w:r>
        <w:rPr>
          <w:rtl/>
          <w:lang w:bidi="fa-IR"/>
        </w:rPr>
        <w:t xml:space="preserve"> </w:t>
      </w:r>
      <w:r w:rsidR="0084262C">
        <w:rPr>
          <w:rtl/>
          <w:lang w:bidi="fa-IR"/>
        </w:rPr>
        <w:t>-</w:t>
      </w:r>
      <w:r>
        <w:rPr>
          <w:rtl/>
          <w:lang w:bidi="fa-IR"/>
        </w:rPr>
        <w:t xml:space="preserve"> </w:t>
      </w:r>
      <w:r w:rsidRPr="00C9040A">
        <w:rPr>
          <w:rtl/>
          <w:lang w:bidi="fa-IR"/>
        </w:rPr>
        <w:t xml:space="preserve">عَنْ عَمْرِو بْنِ مُدْرِكٍ الطَّائِيِّ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لِأَصْحَابِهِ : أَيُّ عُرَى الْإِيمَانِ أَوْثَقُ</w:t>
      </w:r>
      <w:r>
        <w:rPr>
          <w:rtl/>
          <w:lang w:bidi="fa-IR"/>
        </w:rPr>
        <w:t>؟</w:t>
      </w:r>
    </w:p>
    <w:p w:rsidR="008A74EB" w:rsidRPr="00C9040A" w:rsidRDefault="008A74EB" w:rsidP="008A74EB">
      <w:pPr>
        <w:pStyle w:val="libNormal"/>
        <w:rPr>
          <w:rtl/>
          <w:lang w:bidi="fa-IR"/>
        </w:rPr>
      </w:pPr>
      <w:r w:rsidRPr="00C9040A">
        <w:rPr>
          <w:rtl/>
          <w:lang w:bidi="fa-IR"/>
        </w:rPr>
        <w:t xml:space="preserve">فَقَالُوا </w:t>
      </w:r>
      <w:r w:rsidR="006C577F" w:rsidRPr="006C577F">
        <w:rPr>
          <w:rStyle w:val="libFootnotenumChar"/>
          <w:rtl/>
        </w:rPr>
        <w:t>(3)</w:t>
      </w:r>
      <w:r w:rsidRPr="00C9040A">
        <w:rPr>
          <w:rtl/>
          <w:lang w:bidi="fa-IR"/>
        </w:rPr>
        <w:t xml:space="preserve"> : اللهُ وَرَسُولُهُ أَعْلَمُ ، وَقَالَ بَعْضُهُمُ : الصَّلَاةُ ، وَقَالَ بَعْضُهُمُ : الزَّكَاةُ ، وَقَالَ بَعْضُهُمُ : الصِّيَامُ </w:t>
      </w:r>
      <w:r w:rsidR="006C577F" w:rsidRPr="006C577F">
        <w:rPr>
          <w:rStyle w:val="libFootnotenumChar"/>
          <w:rtl/>
        </w:rPr>
        <w:t>(4)</w:t>
      </w:r>
      <w:r w:rsidRPr="00C9040A">
        <w:rPr>
          <w:rtl/>
          <w:lang w:bidi="fa-IR"/>
        </w:rPr>
        <w:t xml:space="preserve"> ، وَقَالَ بَعْضُهُمُ : الْحَجُّ وَالْعُمْرَةُ ، وَقَالَ بَعْضُهُمُ : الْجِهَادُ.</w:t>
      </w:r>
    </w:p>
    <w:p w:rsidR="008A74EB" w:rsidRPr="00C9040A" w:rsidRDefault="008A74EB" w:rsidP="006D6F69">
      <w:pPr>
        <w:pStyle w:val="libNormal"/>
        <w:rPr>
          <w:rtl/>
          <w:lang w:bidi="fa-IR"/>
        </w:rPr>
      </w:pPr>
      <w:r w:rsidRPr="00C9040A">
        <w:rPr>
          <w:rtl/>
          <w:lang w:bidi="fa-IR"/>
        </w:rPr>
        <w:t xml:space="preserve">فَقَالَ رَسُولُ اللهِ </w:t>
      </w:r>
      <w:r w:rsidR="004A4E41" w:rsidRPr="004A4E41">
        <w:rPr>
          <w:rStyle w:val="libAlaemChar"/>
          <w:rtl/>
        </w:rPr>
        <w:t>صلى‌الله‌عليه‌وآله</w:t>
      </w:r>
      <w:r w:rsidRPr="00C9040A">
        <w:rPr>
          <w:rtl/>
          <w:lang w:bidi="fa-IR"/>
        </w:rPr>
        <w:t xml:space="preserve"> : لِكُلِّ مَا قُلْتُمْ فَضْلٌ وَلَيْسَ بِهِ </w:t>
      </w:r>
      <w:r w:rsidR="006C577F" w:rsidRPr="006C577F">
        <w:rPr>
          <w:rStyle w:val="libFootnotenumChar"/>
          <w:rtl/>
        </w:rPr>
        <w:t>(5)</w:t>
      </w:r>
      <w:r w:rsidRPr="00C9040A">
        <w:rPr>
          <w:rtl/>
          <w:lang w:bidi="fa-IR"/>
        </w:rPr>
        <w:t xml:space="preserve"> ، وَلكِنْ أَوْثَقُ عُرَى الْإِيمَانِ الْحُبُّ فِي اللهِ ، وَالْبُغْضُ فِي اللهِ ، وَتَوَالِي </w:t>
      </w:r>
      <w:r w:rsidR="006C577F" w:rsidRPr="006C577F">
        <w:rPr>
          <w:rStyle w:val="libFootnotenumChar"/>
          <w:rtl/>
        </w:rPr>
        <w:t>(6)</w:t>
      </w:r>
      <w:r w:rsidR="006D6F69" w:rsidRPr="00C9040A">
        <w:rPr>
          <w:rtl/>
          <w:lang w:bidi="fa-IR"/>
        </w:rPr>
        <w:t xml:space="preserve"> </w:t>
      </w:r>
      <w:r w:rsidRPr="00C9040A">
        <w:rPr>
          <w:rtl/>
          <w:lang w:bidi="fa-IR"/>
        </w:rPr>
        <w:t>أَوْلِيَاءِ اللهِ ، وَالتَّبَرِّي مِنْ أَعْدَاءِ اللهِ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4D01A0">
        <w:rPr>
          <w:rtl/>
        </w:rPr>
        <w:t>1883</w:t>
      </w:r>
      <w:r w:rsidRPr="00C9040A">
        <w:rPr>
          <w:rtl/>
          <w:lang w:bidi="fa-IR"/>
        </w:rPr>
        <w:t xml:space="preserve"> /</w:t>
      </w:r>
      <w:r w:rsidRPr="00261CB0">
        <w:rPr>
          <w:rStyle w:val="libBold2Char"/>
          <w:rtl/>
        </w:rPr>
        <w:t xml:space="preserve"> 7</w:t>
      </w:r>
      <w:r w:rsidRPr="00C9040A">
        <w:rPr>
          <w:rtl/>
          <w:lang w:bidi="fa-IR"/>
        </w:rPr>
        <w:t xml:space="preserve">. عَنْهُ </w:t>
      </w:r>
      <w:r w:rsidR="006C577F" w:rsidRPr="006C577F">
        <w:rPr>
          <w:rStyle w:val="libFootnotenumChar"/>
          <w:rtl/>
        </w:rPr>
        <w:t>(8)</w:t>
      </w:r>
      <w:r w:rsidRPr="00C9040A">
        <w:rPr>
          <w:rtl/>
          <w:lang w:bidi="fa-IR"/>
        </w:rPr>
        <w:t xml:space="preserve"> ، عَنْ مُحَمَّدِ بْنِ عَلِيٍّ ، عَنْ عُمَرَ </w:t>
      </w:r>
      <w:r w:rsidR="006C577F" w:rsidRPr="006C577F">
        <w:rPr>
          <w:rStyle w:val="libFootnotenumChar"/>
          <w:rtl/>
        </w:rPr>
        <w:t>(9)</w:t>
      </w:r>
      <w:r w:rsidRPr="00C9040A">
        <w:rPr>
          <w:rtl/>
          <w:lang w:bidi="fa-IR"/>
        </w:rPr>
        <w:t xml:space="preserve"> بْنِ جَبَلَةَ الْأَحْم</w:t>
      </w:r>
      <w:r w:rsidR="006D6F69">
        <w:rPr>
          <w:rtl/>
          <w:lang w:bidi="fa-IR"/>
        </w:rPr>
        <w:t>َسِيِّ ، عَنْ أَبِي‌الْجَارُودِ</w:t>
      </w:r>
      <w:r w:rsidRPr="00C9040A">
        <w:rPr>
          <w:rtl/>
          <w:lang w:bidi="fa-IR"/>
        </w:rPr>
        <w:t>:</w:t>
      </w:r>
    </w:p>
    <w:p w:rsidR="008A74EB" w:rsidRPr="00C9040A" w:rsidRDefault="008A74EB" w:rsidP="008A74EB">
      <w:pPr>
        <w:pStyle w:val="libLine"/>
        <w:rPr>
          <w:rtl/>
          <w:lang w:bidi="fa-IR"/>
        </w:rPr>
      </w:pPr>
      <w:r w:rsidRPr="00C9040A">
        <w:rPr>
          <w:rtl/>
          <w:lang w:bidi="fa-IR"/>
        </w:rPr>
        <w:t>__________________</w:t>
      </w:r>
    </w:p>
    <w:p w:rsidR="008A74EB" w:rsidRPr="00C9040A" w:rsidRDefault="006D6F69" w:rsidP="004A4E41">
      <w:pPr>
        <w:pStyle w:val="libFootnote0"/>
        <w:rPr>
          <w:rtl/>
          <w:lang w:bidi="fa-IR"/>
        </w:rPr>
      </w:pPr>
      <w:r w:rsidRPr="00F428B8">
        <w:rPr>
          <w:rFonts w:hint="cs"/>
          <w:rtl/>
        </w:rPr>
        <w:t>=</w:t>
      </w:r>
      <w:r w:rsidRPr="004A4E41">
        <w:rPr>
          <w:rFonts w:hint="cs"/>
          <w:rtl/>
        </w:rPr>
        <w:t xml:space="preserve"> </w:t>
      </w:r>
      <w:r w:rsidR="008A74EB" w:rsidRPr="00993B55">
        <w:rPr>
          <w:rStyle w:val="libFootnoteBoldChar"/>
          <w:rtl/>
        </w:rPr>
        <w:t>رجال الكشّي</w:t>
      </w:r>
      <w:r w:rsidR="008A74EB" w:rsidRPr="00C9040A">
        <w:rPr>
          <w:rtl/>
        </w:rPr>
        <w:t xml:space="preserve"> ، ص 150 ، الرقم 243 ، من رواية محمّد بن عيسى عن حريز ، الظاهر سقوط « عن عثمان بن عيسى » قبل « عن حريز » ، من السند ، كما يعلم ذلك من </w:t>
      </w:r>
      <w:r w:rsidR="008A74EB" w:rsidRPr="00993B55">
        <w:rPr>
          <w:rStyle w:val="libFootnoteBoldChar"/>
          <w:rtl/>
        </w:rPr>
        <w:t>رجال الكشّي</w:t>
      </w:r>
      <w:r w:rsidR="008A74EB" w:rsidRPr="00C9040A">
        <w:rPr>
          <w:rtl/>
        </w:rPr>
        <w:t xml:space="preserve"> ، ص 160 ، الرقم 269. راجع : </w:t>
      </w:r>
      <w:r w:rsidR="008A74EB" w:rsidRPr="00993B55">
        <w:rPr>
          <w:rStyle w:val="libFootnoteBoldChar"/>
          <w:rtl/>
        </w:rPr>
        <w:t>معجم رجال الحديث</w:t>
      </w:r>
      <w:r w:rsidR="008A74EB" w:rsidRPr="00C9040A">
        <w:rPr>
          <w:rtl/>
        </w:rPr>
        <w:t xml:space="preserve"> ، ج 11 ، ص 430</w:t>
      </w:r>
      <w:r w:rsidR="008A74EB">
        <w:rPr>
          <w:rtl/>
        </w:rPr>
        <w:t xml:space="preserve"> </w:t>
      </w:r>
      <w:r w:rsidR="0084262C">
        <w:rPr>
          <w:rtl/>
        </w:rPr>
        <w:t>-</w:t>
      </w:r>
      <w:r w:rsidR="008A74EB">
        <w:rPr>
          <w:rtl/>
        </w:rPr>
        <w:t xml:space="preserve"> </w:t>
      </w:r>
      <w:r w:rsidR="008A74EB" w:rsidRPr="00C9040A">
        <w:rPr>
          <w:rtl/>
        </w:rPr>
        <w:t>431.</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الوسائل : « أعلمه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ورد الخبر في </w:t>
      </w:r>
      <w:r w:rsidR="008A74EB" w:rsidRPr="00993B55">
        <w:rPr>
          <w:rStyle w:val="libFootnoteBoldChar"/>
          <w:rtl/>
        </w:rPr>
        <w:t>المحاسن</w:t>
      </w:r>
      <w:r w:rsidR="008A74EB" w:rsidRPr="00C9040A">
        <w:rPr>
          <w:rtl/>
        </w:rPr>
        <w:t xml:space="preserve"> لأحمد بن أبي عبدالله البرقي ، ص 264 ، ح 335 بنفس السند عن عمرو بن مدرك الطائي. وورد في </w:t>
      </w:r>
      <w:r w:rsidR="008A74EB" w:rsidRPr="00993B55">
        <w:rPr>
          <w:rStyle w:val="libFootnoteBoldChar"/>
          <w:rtl/>
        </w:rPr>
        <w:t>المحاسن</w:t>
      </w:r>
      <w:r w:rsidR="008A74EB" w:rsidRPr="00C9040A">
        <w:rPr>
          <w:rtl/>
        </w:rPr>
        <w:t xml:space="preserve"> ، ص 165 ، ح 121 أيضاً</w:t>
      </w:r>
      <w:r w:rsidR="008A74EB">
        <w:rPr>
          <w:rtl/>
        </w:rPr>
        <w:t xml:space="preserve"> </w:t>
      </w:r>
      <w:r w:rsidR="0084262C">
        <w:rPr>
          <w:rtl/>
        </w:rPr>
        <w:t>-</w:t>
      </w:r>
      <w:r w:rsidR="008A74EB">
        <w:rPr>
          <w:rtl/>
        </w:rPr>
        <w:t xml:space="preserve"> </w:t>
      </w:r>
      <w:r w:rsidR="008A74EB" w:rsidRPr="00C9040A">
        <w:rPr>
          <w:rtl/>
        </w:rPr>
        <w:t>مع تفصيل</w:t>
      </w:r>
      <w:r w:rsidR="008A74EB">
        <w:rPr>
          <w:rtl/>
        </w:rPr>
        <w:t xml:space="preserve"> </w:t>
      </w:r>
      <w:r w:rsidR="0084262C">
        <w:rPr>
          <w:rtl/>
        </w:rPr>
        <w:t>-</w:t>
      </w:r>
      <w:r w:rsidR="008A74EB">
        <w:rPr>
          <w:rtl/>
        </w:rPr>
        <w:t xml:space="preserve"> </w:t>
      </w:r>
      <w:r w:rsidR="008A74EB" w:rsidRPr="00C9040A">
        <w:rPr>
          <w:rtl/>
        </w:rPr>
        <w:t>بسند آخر عن عمر بن مدرك أبي عليّ الطائي.</w:t>
      </w:r>
    </w:p>
    <w:p w:rsidR="008A74EB" w:rsidRPr="00C9040A" w:rsidRDefault="008A74EB" w:rsidP="004A4E41">
      <w:pPr>
        <w:pStyle w:val="libFootnote0"/>
        <w:rPr>
          <w:rtl/>
          <w:lang w:bidi="fa-IR"/>
        </w:rPr>
      </w:pPr>
      <w:r w:rsidRPr="00323A39">
        <w:rPr>
          <w:rtl/>
        </w:rPr>
        <w:t xml:space="preserve">هذا وقد ذُكر في </w:t>
      </w:r>
      <w:r w:rsidRPr="00993B55">
        <w:rPr>
          <w:rStyle w:val="libFootnoteBoldChar"/>
          <w:rtl/>
        </w:rPr>
        <w:t>رجال البرقي</w:t>
      </w:r>
      <w:r w:rsidRPr="00323A39">
        <w:rPr>
          <w:rtl/>
        </w:rPr>
        <w:t xml:space="preserve"> ، ص 36 : « عمر بن مدرك أبو عليّ الطائي » وفي </w:t>
      </w:r>
      <w:r w:rsidRPr="00993B55">
        <w:rPr>
          <w:rStyle w:val="libFootnoteBoldChar"/>
          <w:rtl/>
        </w:rPr>
        <w:t>رجال الطوسي</w:t>
      </w:r>
      <w:r w:rsidRPr="00323A39">
        <w:rPr>
          <w:rtl/>
        </w:rPr>
        <w:t xml:space="preserve"> ، ص 254 ، الرقم 3583 : « عمر بن مدرك الطائي » في أصحاب الصادق </w:t>
      </w:r>
      <w:r w:rsidR="00117575" w:rsidRPr="00117575">
        <w:rPr>
          <w:rStyle w:val="libFootnoteAlaemChar"/>
          <w:rtl/>
        </w:rPr>
        <w:t xml:space="preserve">عليه‌السلام </w:t>
      </w:r>
      <w:r w:rsidRPr="00323A39">
        <w:rPr>
          <w:rtl/>
        </w:rPr>
        <w:t xml:space="preserve"> ، والظاهر اتّحاد العنوانين ووقوع التحريف في أحدهما.</w:t>
      </w:r>
      <w:r w:rsidR="00F428B8">
        <w:rPr>
          <w:rFonts w:hint="cs"/>
          <w:rtl/>
        </w:rPr>
        <w:t xml:space="preserve">                                                 </w:t>
      </w:r>
      <w:r w:rsidR="006C577F">
        <w:rPr>
          <w:rtl/>
        </w:rPr>
        <w:t>(3).</w:t>
      </w:r>
      <w:r w:rsidRPr="00C9040A">
        <w:rPr>
          <w:rtl/>
        </w:rPr>
        <w:t xml:space="preserve"> في « ف » : « فقال » ، أي بعضهم.</w:t>
      </w:r>
    </w:p>
    <w:p w:rsidR="008A74EB" w:rsidRPr="004A4E41" w:rsidRDefault="006C577F" w:rsidP="004A4E41">
      <w:pPr>
        <w:pStyle w:val="libFootnote0"/>
        <w:rPr>
          <w:rStyle w:val="libFootnote0Char"/>
          <w:rtl/>
        </w:rPr>
      </w:pPr>
      <w:r>
        <w:rPr>
          <w:rtl/>
        </w:rPr>
        <w:t>(4).</w:t>
      </w:r>
      <w:r w:rsidR="008A74EB" w:rsidRPr="00C9040A">
        <w:rPr>
          <w:rtl/>
        </w:rPr>
        <w:t xml:space="preserve"> في « ب » والوسائل والمحاسن ، ص 264 والمعاني : « الصوم »</w:t>
      </w:r>
      <w:r w:rsidR="008A74EB">
        <w:rPr>
          <w:rtl/>
        </w:rPr>
        <w:t>.</w:t>
      </w:r>
    </w:p>
    <w:tbl>
      <w:tblPr>
        <w:tblStyle w:val="TableGrid"/>
        <w:bidiVisual/>
        <w:tblW w:w="0" w:type="auto"/>
        <w:tblInd w:w="4" w:type="dxa"/>
        <w:tblLook w:val="04A0" w:firstRow="1" w:lastRow="0" w:firstColumn="1" w:lastColumn="0" w:noHBand="0" w:noVBand="1"/>
      </w:tblPr>
      <w:tblGrid>
        <w:gridCol w:w="4002"/>
        <w:gridCol w:w="4006"/>
      </w:tblGrid>
      <w:tr w:rsidR="00F428B8" w:rsidTr="00F428B8">
        <w:tc>
          <w:tcPr>
            <w:tcW w:w="4002" w:type="dxa"/>
          </w:tcPr>
          <w:p w:rsidR="00F428B8" w:rsidRDefault="00F428B8" w:rsidP="004A4E41">
            <w:pPr>
              <w:pStyle w:val="libFootnote0"/>
              <w:rPr>
                <w:rtl/>
              </w:rPr>
            </w:pPr>
            <w:r>
              <w:rPr>
                <w:rtl/>
              </w:rPr>
              <w:t>(5).</w:t>
            </w:r>
            <w:r w:rsidRPr="00C9040A">
              <w:rPr>
                <w:rtl/>
              </w:rPr>
              <w:t xml:space="preserve"> أي ليس بأوثق. وفي « ف » : + « نقص »</w:t>
            </w:r>
            <w:r>
              <w:rPr>
                <w:rtl/>
              </w:rPr>
              <w:t>.</w:t>
            </w:r>
          </w:p>
        </w:tc>
        <w:tc>
          <w:tcPr>
            <w:tcW w:w="4006" w:type="dxa"/>
          </w:tcPr>
          <w:p w:rsidR="00F428B8" w:rsidRDefault="00F428B8" w:rsidP="004A4E41">
            <w:pPr>
              <w:pStyle w:val="libFootnote0"/>
              <w:rPr>
                <w:rtl/>
              </w:rPr>
            </w:pPr>
            <w:r>
              <w:rPr>
                <w:rtl/>
              </w:rPr>
              <w:t xml:space="preserve">(6). </w:t>
            </w:r>
            <w:r w:rsidRPr="00C9040A">
              <w:rPr>
                <w:rtl/>
              </w:rPr>
              <w:t>في « ب » والمعاني : « وتولّي »</w:t>
            </w:r>
            <w:r>
              <w:rPr>
                <w:rtl/>
              </w:rPr>
              <w:t>.</w:t>
            </w:r>
          </w:p>
        </w:tc>
      </w:tr>
    </w:tbl>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المحاسن</w:t>
      </w:r>
      <w:r w:rsidR="008A74EB" w:rsidRPr="00C9040A">
        <w:rPr>
          <w:rtl/>
        </w:rPr>
        <w:t xml:space="preserve"> ، ص 264 ، كتاب مصابيح الظلم ، ح 335 ، عن محمّد بن عيسى ؛ </w:t>
      </w:r>
      <w:r w:rsidR="008A74EB" w:rsidRPr="00993B55">
        <w:rPr>
          <w:rStyle w:val="libFootnoteBoldChar"/>
          <w:rtl/>
        </w:rPr>
        <w:t>معاني الأخبار</w:t>
      </w:r>
      <w:r w:rsidR="008A74EB" w:rsidRPr="00C9040A">
        <w:rPr>
          <w:rtl/>
        </w:rPr>
        <w:t xml:space="preserve"> ، ص 398 ، ح 55 ، بسنده عن محمّد بن عيسى</w:t>
      </w:r>
      <w:r w:rsidR="008A74EB">
        <w:rPr>
          <w:rtl/>
        </w:rPr>
        <w:t xml:space="preserve"> ..</w:t>
      </w:r>
      <w:r w:rsidR="008A74EB" w:rsidRPr="00C9040A">
        <w:rPr>
          <w:rtl/>
        </w:rPr>
        <w:t xml:space="preserve">. عن أبي عبد الله ، عن آبائه </w:t>
      </w:r>
      <w:r w:rsidR="00117575" w:rsidRPr="00117575">
        <w:rPr>
          <w:rStyle w:val="libFootnoteAlaemChar"/>
          <w:rtl/>
        </w:rPr>
        <w:t>عليهم‌السلام</w:t>
      </w:r>
      <w:r w:rsidR="008A74EB" w:rsidRPr="00C9040A">
        <w:rPr>
          <w:rtl/>
        </w:rPr>
        <w:t xml:space="preserve"> عن رسول الله </w:t>
      </w:r>
      <w:r w:rsidR="004A4E41" w:rsidRPr="0034021D">
        <w:rPr>
          <w:rStyle w:val="libFootnoteAlaemChar"/>
          <w:rtl/>
        </w:rPr>
        <w:t>صلى‌الله‌عليه‌وآله</w:t>
      </w:r>
      <w:r w:rsidR="008A74EB" w:rsidRPr="00C9040A">
        <w:rPr>
          <w:rtl/>
        </w:rPr>
        <w:t xml:space="preserve"> ؛ </w:t>
      </w:r>
      <w:r w:rsidR="008A74EB" w:rsidRPr="00993B55">
        <w:rPr>
          <w:rStyle w:val="libFootnoteBoldChar"/>
          <w:rtl/>
        </w:rPr>
        <w:t>المحاسن</w:t>
      </w:r>
      <w:r w:rsidR="008A74EB" w:rsidRPr="00C9040A">
        <w:rPr>
          <w:rtl/>
        </w:rPr>
        <w:t xml:space="preserve"> ، ص 165 ، كتاب الصفوة ، ح 121 ، عن عمرو بن مدرك ، عن أبي عبد الله </w:t>
      </w:r>
      <w:r w:rsidR="00117575" w:rsidRPr="00117575">
        <w:rPr>
          <w:rStyle w:val="libFootnoteAlaemChar"/>
          <w:rtl/>
        </w:rPr>
        <w:t xml:space="preserve">عليه‌السلام </w:t>
      </w:r>
      <w:r w:rsidR="008A74EB" w:rsidRPr="00C9040A">
        <w:rPr>
          <w:rtl/>
        </w:rPr>
        <w:t xml:space="preserve"> ، من دون الإسناد إلى النبيّ </w:t>
      </w:r>
      <w:r w:rsidR="004A4E41" w:rsidRPr="0034021D">
        <w:rPr>
          <w:rStyle w:val="libFootnoteAlaemChar"/>
          <w:rtl/>
        </w:rPr>
        <w:t>صلى‌الله‌عليه‌وآله</w:t>
      </w:r>
      <w:r w:rsidR="008A74EB" w:rsidRPr="00C9040A">
        <w:rPr>
          <w:rtl/>
        </w:rPr>
        <w:t xml:space="preserve"> ، مع اختلاف يسير. </w:t>
      </w:r>
      <w:r w:rsidR="008A74EB" w:rsidRPr="00993B55">
        <w:rPr>
          <w:rStyle w:val="libFootnoteBoldChar"/>
          <w:rtl/>
        </w:rPr>
        <w:t>الاختصاص</w:t>
      </w:r>
      <w:r w:rsidR="008A74EB" w:rsidRPr="00C9040A">
        <w:rPr>
          <w:rtl/>
        </w:rPr>
        <w:t xml:space="preserve"> ، ص 365 ، مرسلاً عن البراء بن عازب ، عن رسول الله </w:t>
      </w:r>
      <w:r w:rsidR="004A4E41" w:rsidRPr="0034021D">
        <w:rPr>
          <w:rStyle w:val="libFootnoteAlaemChar"/>
          <w:rtl/>
        </w:rPr>
        <w:t>صلى‌الله‌عليه‌وآله</w:t>
      </w:r>
      <w:r w:rsidR="008A74EB" w:rsidRPr="00C9040A">
        <w:rPr>
          <w:rtl/>
        </w:rPr>
        <w:t xml:space="preserve"> ، مع اختلاف. وراجع : </w:t>
      </w:r>
      <w:r w:rsidR="008A74EB" w:rsidRPr="00993B55">
        <w:rPr>
          <w:rStyle w:val="libFootnoteBoldChar"/>
          <w:rtl/>
        </w:rPr>
        <w:t>تحف العقول</w:t>
      </w:r>
      <w:r w:rsidR="008A74EB" w:rsidRPr="00C9040A">
        <w:rPr>
          <w:rtl/>
        </w:rPr>
        <w:t xml:space="preserve"> ، ص 55</w:t>
      </w:r>
      <w:r w:rsidR="0009525A">
        <w:rPr>
          <w:rFonts w:hint="cs"/>
          <w:rtl/>
        </w:rPr>
        <w:t>.</w:t>
      </w:r>
      <w:r w:rsidR="008A74EB" w:rsidRPr="00993B55">
        <w:rPr>
          <w:rStyle w:val="libFootnoteBoldChar"/>
          <w:rtl/>
        </w:rPr>
        <w:t>الوافي</w:t>
      </w:r>
      <w:r w:rsidR="008A74EB" w:rsidRPr="00C9040A">
        <w:rPr>
          <w:rtl/>
        </w:rPr>
        <w:t xml:space="preserve"> ، ج 4 ، ص 482 ، ح 2401 ؛ </w:t>
      </w:r>
      <w:r w:rsidR="008A74EB" w:rsidRPr="00993B55">
        <w:rPr>
          <w:rStyle w:val="libFootnoteBoldChar"/>
          <w:rtl/>
        </w:rPr>
        <w:t>الوسائل</w:t>
      </w:r>
      <w:r w:rsidR="008A74EB" w:rsidRPr="00C9040A">
        <w:rPr>
          <w:rtl/>
        </w:rPr>
        <w:t xml:space="preserve"> ، ج 16 ، ص 177 ، ح 21284 ؛ </w:t>
      </w:r>
      <w:r w:rsidR="008A74EB" w:rsidRPr="00993B55">
        <w:rPr>
          <w:rStyle w:val="libFootnoteBoldChar"/>
          <w:rtl/>
        </w:rPr>
        <w:t>البحار</w:t>
      </w:r>
      <w:r w:rsidR="008A74EB" w:rsidRPr="00C9040A">
        <w:rPr>
          <w:rtl/>
        </w:rPr>
        <w:t xml:space="preserve"> ، ج 69 ، ص 242 ، ح 17.</w:t>
      </w:r>
    </w:p>
    <w:p w:rsidR="008A74EB" w:rsidRPr="00C9040A" w:rsidRDefault="006C577F" w:rsidP="004A4E41">
      <w:pPr>
        <w:pStyle w:val="libFootnote0"/>
        <w:rPr>
          <w:rtl/>
          <w:lang w:bidi="fa-IR"/>
        </w:rPr>
      </w:pPr>
      <w:r>
        <w:rPr>
          <w:rtl/>
        </w:rPr>
        <w:t>(8).</w:t>
      </w:r>
      <w:r w:rsidR="008A74EB" w:rsidRPr="00C9040A">
        <w:rPr>
          <w:rtl/>
        </w:rPr>
        <w:t xml:space="preserve"> الضمير راجع إلى أحمد بن أبي عبد الله المذكور في السند السابق.</w:t>
      </w:r>
    </w:p>
    <w:p w:rsidR="008A74EB" w:rsidRPr="00C9040A" w:rsidRDefault="006C577F" w:rsidP="004A4E41">
      <w:pPr>
        <w:pStyle w:val="libFootnote0"/>
        <w:rPr>
          <w:rtl/>
          <w:lang w:bidi="fa-IR"/>
        </w:rPr>
      </w:pPr>
      <w:r>
        <w:rPr>
          <w:rtl/>
        </w:rPr>
        <w:t>(9).</w:t>
      </w:r>
      <w:r w:rsidR="008A74EB" w:rsidRPr="00C9040A">
        <w:rPr>
          <w:rtl/>
        </w:rPr>
        <w:t xml:space="preserve"> في « د » : « عمرو »</w:t>
      </w:r>
      <w:r w:rsidR="008A74EB">
        <w:rPr>
          <w:rtl/>
        </w:rPr>
        <w:t>.</w:t>
      </w:r>
      <w:r w:rsidR="008A74EB" w:rsidRPr="00C9040A">
        <w:rPr>
          <w:rtl/>
        </w:rPr>
        <w:t xml:space="preserve"> والخبر رواه البرقي في </w:t>
      </w:r>
      <w:r w:rsidR="008A74EB" w:rsidRPr="00993B55">
        <w:rPr>
          <w:rStyle w:val="libFootnoteBoldChar"/>
          <w:rtl/>
        </w:rPr>
        <w:t>المحاسن</w:t>
      </w:r>
      <w:r w:rsidR="008A74EB" w:rsidRPr="00C9040A">
        <w:rPr>
          <w:rtl/>
        </w:rPr>
        <w:t xml:space="preserve"> ، ص 264 ، ح 337 ، وفيه : « محمّد »</w:t>
      </w:r>
      <w:r w:rsidR="008A74EB">
        <w:rPr>
          <w:rtl/>
        </w:rPr>
        <w:t>.</w:t>
      </w:r>
      <w:r w:rsidR="008A74EB" w:rsidRPr="00C9040A">
        <w:rPr>
          <w:rtl/>
        </w:rPr>
        <w:t xml:space="preserve"> والرجل مجهول </w:t>
      </w:r>
      <w:r w:rsidR="0009525A">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الْمُتَحَابُّونَ فِي اللهِ يَوْمَ الْقِيَامَةِ عَلى أَرْضِ زَبَرْجَدَةٍ </w:t>
      </w:r>
      <w:r w:rsidR="006C577F" w:rsidRPr="006C577F">
        <w:rPr>
          <w:rStyle w:val="libFootnotenumChar"/>
          <w:rtl/>
        </w:rPr>
        <w:t>(1)</w:t>
      </w:r>
      <w:r w:rsidRPr="00C9040A">
        <w:rPr>
          <w:rtl/>
          <w:lang w:bidi="fa-IR"/>
        </w:rPr>
        <w:t xml:space="preserve"> خَضْرَاءَ ، فِي ظِلِّ عَرْشِهِ عَنْ يَمِينِهِ</w:t>
      </w:r>
      <w:r>
        <w:rPr>
          <w:rtl/>
          <w:lang w:bidi="fa-IR"/>
        </w:rPr>
        <w:t xml:space="preserve"> </w:t>
      </w:r>
      <w:r w:rsidR="0084262C">
        <w:rPr>
          <w:rtl/>
          <w:lang w:bidi="fa-IR"/>
        </w:rPr>
        <w:t>-</w:t>
      </w:r>
      <w:r>
        <w:rPr>
          <w:rtl/>
          <w:lang w:bidi="fa-IR"/>
        </w:rPr>
        <w:t xml:space="preserve"> </w:t>
      </w:r>
      <w:r w:rsidRPr="00C9040A">
        <w:rPr>
          <w:rtl/>
          <w:lang w:bidi="fa-IR"/>
        </w:rPr>
        <w:t>وَكِلْتَا يَدَيْهِ يَمِينٌ</w:t>
      </w:r>
      <w:r>
        <w:rPr>
          <w:rtl/>
          <w:lang w:bidi="fa-IR"/>
        </w:rPr>
        <w:t xml:space="preserve"> </w:t>
      </w:r>
      <w:r w:rsidR="0084262C">
        <w:rPr>
          <w:rtl/>
          <w:lang w:bidi="fa-IR"/>
        </w:rPr>
        <w:t>-</w:t>
      </w:r>
      <w:r>
        <w:rPr>
          <w:rtl/>
          <w:lang w:bidi="fa-IR"/>
        </w:rPr>
        <w:t xml:space="preserve"> </w:t>
      </w:r>
      <w:r w:rsidRPr="00C9040A">
        <w:rPr>
          <w:rtl/>
          <w:lang w:bidi="fa-IR"/>
        </w:rPr>
        <w:t xml:space="preserve">وُجُوهُهُمْ أَشَدُّ بَيَاضاً </w:t>
      </w:r>
      <w:r w:rsidR="006C577F" w:rsidRPr="006C577F">
        <w:rPr>
          <w:rStyle w:val="libFootnotenumChar"/>
          <w:rtl/>
        </w:rPr>
        <w:t>(2)</w:t>
      </w:r>
      <w:r w:rsidRPr="00C9040A">
        <w:rPr>
          <w:rtl/>
          <w:lang w:bidi="fa-IR"/>
        </w:rPr>
        <w:t xml:space="preserve"> ، وَأَضْوَأُ مِنَ الشَّمْسِ الطَّالِعَةِ ، يَغْبِطُهُمْ </w:t>
      </w:r>
      <w:r w:rsidR="006C577F" w:rsidRPr="006C577F">
        <w:rPr>
          <w:rStyle w:val="libFootnotenumChar"/>
          <w:rtl/>
        </w:rPr>
        <w:t>(3)</w:t>
      </w:r>
      <w:r w:rsidRPr="00C9040A">
        <w:rPr>
          <w:rtl/>
          <w:lang w:bidi="fa-IR"/>
        </w:rPr>
        <w:t xml:space="preserve"> بِمَنْزِلَتِهِمْ كُلُّ مَلَكٍ مُقَرَّبٍ ، وَكُلُّ نَبِيٍّ مُرْسَلٍ ، يَقُولُ النَّاسُ : مَنْ هؤُلَاءِ</w:t>
      </w:r>
      <w:r>
        <w:rPr>
          <w:rtl/>
          <w:lang w:bidi="fa-IR"/>
        </w:rPr>
        <w:t>؟</w:t>
      </w:r>
      <w:r w:rsidRPr="00C9040A">
        <w:rPr>
          <w:rtl/>
          <w:lang w:bidi="fa-IR"/>
        </w:rPr>
        <w:t xml:space="preserve"> فَيُقَالُ </w:t>
      </w:r>
      <w:r w:rsidR="006C577F" w:rsidRPr="006C577F">
        <w:rPr>
          <w:rStyle w:val="libFootnotenumChar"/>
          <w:rtl/>
        </w:rPr>
        <w:t>(4)</w:t>
      </w:r>
      <w:r w:rsidRPr="00C9040A">
        <w:rPr>
          <w:rtl/>
          <w:lang w:bidi="fa-IR"/>
        </w:rPr>
        <w:t xml:space="preserve"> : هؤُلَاءِ الْمُتَحَابُّونَ </w:t>
      </w:r>
      <w:r w:rsidR="006C577F" w:rsidRPr="006C577F">
        <w:rPr>
          <w:rStyle w:val="libFootnotenumChar"/>
          <w:rtl/>
        </w:rPr>
        <w:t>(5)</w:t>
      </w:r>
      <w:r w:rsidRPr="00C9040A">
        <w:rPr>
          <w:rtl/>
          <w:lang w:bidi="fa-IR"/>
        </w:rPr>
        <w:t xml:space="preserve"> فِي اللهِ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Normal"/>
        <w:rPr>
          <w:rtl/>
          <w:lang w:bidi="fa-IR"/>
        </w:rPr>
      </w:pPr>
      <w:r w:rsidRPr="0080510A">
        <w:rPr>
          <w:rtl/>
        </w:rPr>
        <w:t>1884</w:t>
      </w:r>
      <w:r w:rsidRPr="00261CB0">
        <w:rPr>
          <w:rStyle w:val="libBold2Char"/>
          <w:rtl/>
        </w:rPr>
        <w:t xml:space="preserve"> / 8.</w:t>
      </w:r>
      <w:r w:rsidRPr="00C9040A">
        <w:rPr>
          <w:rtl/>
          <w:lang w:bidi="fa-IR"/>
        </w:rPr>
        <w:t xml:space="preserve"> عَنْهُ </w:t>
      </w:r>
      <w:r w:rsidR="006C577F" w:rsidRPr="006C577F">
        <w:rPr>
          <w:rStyle w:val="libFootnotenumChar"/>
          <w:rtl/>
        </w:rPr>
        <w:t>(7)</w:t>
      </w:r>
      <w:r w:rsidRPr="00C9040A">
        <w:rPr>
          <w:rtl/>
          <w:lang w:bidi="fa-IR"/>
        </w:rPr>
        <w:t xml:space="preserve"> ، عَنْ أَبِيهِ </w:t>
      </w:r>
      <w:r w:rsidR="006C577F" w:rsidRPr="006C577F">
        <w:rPr>
          <w:rStyle w:val="libFootnotenumChar"/>
          <w:rtl/>
        </w:rPr>
        <w:t>(8)</w:t>
      </w:r>
      <w:r w:rsidRPr="00C9040A">
        <w:rPr>
          <w:rtl/>
          <w:lang w:bidi="fa-IR"/>
        </w:rPr>
        <w:t xml:space="preserve"> ، عَنِ النَّضْرِ بْنِ سُوَيْدٍ ، عَنْ هِشَامِ بْنِ سَالِمٍ ، عَنْ أَبِي حَمْزَةَ الثُّمَالِيِّ :</w:t>
      </w:r>
    </w:p>
    <w:p w:rsidR="008A74EB" w:rsidRPr="00C9040A" w:rsidRDefault="008A74EB" w:rsidP="003D0950">
      <w:pPr>
        <w:pStyle w:val="libNormal"/>
        <w:rPr>
          <w:rtl/>
          <w:lang w:bidi="fa-IR"/>
        </w:rPr>
      </w:pPr>
      <w:r w:rsidRPr="00C9040A">
        <w:rPr>
          <w:rtl/>
          <w:lang w:bidi="fa-IR"/>
        </w:rPr>
        <w:t xml:space="preserve">عَنْ عَلِيِّ بْنِ الْحُسَيْنِ </w:t>
      </w:r>
      <w:r w:rsidRPr="0003660B">
        <w:rPr>
          <w:rStyle w:val="libAlaemChar"/>
          <w:rtl/>
        </w:rPr>
        <w:t>عليهما‌السلام</w:t>
      </w:r>
      <w:r w:rsidRPr="00C9040A">
        <w:rPr>
          <w:rtl/>
          <w:lang w:bidi="fa-IR"/>
        </w:rPr>
        <w:t xml:space="preserve"> ، قَالَ : « إِذَا جَمَعَ </w:t>
      </w:r>
      <w:r w:rsidR="006C577F" w:rsidRPr="006C577F">
        <w:rPr>
          <w:rStyle w:val="libFootnotenumChar"/>
          <w:rtl/>
        </w:rPr>
        <w:t>(9)</w:t>
      </w:r>
      <w:r w:rsidRPr="00C9040A">
        <w:rPr>
          <w:rtl/>
          <w:lang w:bidi="fa-IR"/>
        </w:rPr>
        <w:t xml:space="preserve">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الْأَوَّلِينَ وَالْآخِرِينَ ، قَامَ مُنَادٍ فَنَادى </w:t>
      </w:r>
      <w:r w:rsidR="006C577F" w:rsidRPr="006C577F">
        <w:rPr>
          <w:rStyle w:val="libFootnotenumChar"/>
          <w:rtl/>
        </w:rPr>
        <w:t>(10)</w:t>
      </w:r>
      <w:r w:rsidRPr="00C9040A">
        <w:rPr>
          <w:rtl/>
          <w:lang w:bidi="fa-IR"/>
        </w:rPr>
        <w:t xml:space="preserve"> يُسْمِعُ </w:t>
      </w:r>
      <w:r w:rsidR="006C577F" w:rsidRPr="006C577F">
        <w:rPr>
          <w:rStyle w:val="libFootnotenumChar"/>
          <w:rtl/>
        </w:rPr>
        <w:t>(11)</w:t>
      </w:r>
      <w:r w:rsidRPr="00C9040A">
        <w:rPr>
          <w:rtl/>
          <w:lang w:bidi="fa-IR"/>
        </w:rPr>
        <w:t xml:space="preserve"> النَّاسَ ، فَيَقُولُ : أَيْنَ الْمُتَحَابُّونَ فِي اللهِ</w:t>
      </w:r>
      <w:r>
        <w:rPr>
          <w:rtl/>
          <w:lang w:bidi="fa-IR"/>
        </w:rPr>
        <w:t>؟</w:t>
      </w:r>
      <w:r w:rsidR="003D0950">
        <w:rPr>
          <w:rtl/>
          <w:lang w:bidi="fa-IR"/>
        </w:rPr>
        <w:t xml:space="preserve"> »</w:t>
      </w:r>
    </w:p>
    <w:p w:rsidR="008A74EB" w:rsidRPr="00C9040A" w:rsidRDefault="008A74EB" w:rsidP="008A74EB">
      <w:pPr>
        <w:pStyle w:val="libNormal"/>
        <w:rPr>
          <w:rtl/>
          <w:lang w:bidi="fa-IR"/>
        </w:rPr>
      </w:pPr>
      <w:r w:rsidRPr="00C9040A">
        <w:rPr>
          <w:rtl/>
          <w:lang w:bidi="fa-IR"/>
        </w:rPr>
        <w:t xml:space="preserve">قَالَ : « فَيَقُومُ عُنُقٌ </w:t>
      </w:r>
      <w:r w:rsidR="006C577F" w:rsidRPr="006C577F">
        <w:rPr>
          <w:rStyle w:val="libFootnotenumChar"/>
          <w:rtl/>
        </w:rPr>
        <w:t>(12)</w:t>
      </w:r>
      <w:r w:rsidRPr="00C9040A">
        <w:rPr>
          <w:rtl/>
          <w:lang w:bidi="fa-IR"/>
        </w:rPr>
        <w:t xml:space="preserve"> مِنَ النَّاسِ ، فَيُقَالُ لَهُمُ : اذْهَبُوا إِلَى الْجَنَّةِ بِغَيْرِ حِسَابٍ »</w:t>
      </w:r>
      <w:r>
        <w:rPr>
          <w:rtl/>
          <w:lang w:bidi="fa-IR"/>
        </w:rPr>
        <w:t>.</w:t>
      </w:r>
    </w:p>
    <w:p w:rsidR="008A74EB" w:rsidRPr="00C9040A" w:rsidRDefault="008A74EB" w:rsidP="008A74EB">
      <w:pPr>
        <w:pStyle w:val="libNormal"/>
        <w:rPr>
          <w:rtl/>
          <w:lang w:bidi="fa-IR"/>
        </w:rPr>
      </w:pPr>
      <w:r w:rsidRPr="00C9040A">
        <w:rPr>
          <w:rtl/>
          <w:lang w:bidi="fa-IR"/>
        </w:rPr>
        <w:t xml:space="preserve">قَالَ </w:t>
      </w:r>
      <w:r w:rsidRPr="005B567D">
        <w:rPr>
          <w:rStyle w:val="libFootnotenumChar"/>
          <w:rtl/>
        </w:rPr>
        <w:t>(13)</w:t>
      </w:r>
      <w:r w:rsidRPr="00C9040A">
        <w:rPr>
          <w:rtl/>
          <w:lang w:bidi="fa-IR"/>
        </w:rPr>
        <w:t xml:space="preserve"> : « فَتَلَقَّاهُمُ </w:t>
      </w:r>
      <w:r w:rsidRPr="005B567D">
        <w:rPr>
          <w:rStyle w:val="libFootnotenumChar"/>
          <w:rtl/>
        </w:rPr>
        <w:t>(14)</w:t>
      </w:r>
      <w:r w:rsidRPr="00C9040A">
        <w:rPr>
          <w:rtl/>
          <w:lang w:bidi="fa-IR"/>
        </w:rPr>
        <w:t xml:space="preserve"> الْمَلَائِكَةُ ، فَيَقُولُونَ : إِلى أَيْنَ</w:t>
      </w:r>
      <w:r>
        <w:rPr>
          <w:rtl/>
          <w:lang w:bidi="fa-IR"/>
        </w:rPr>
        <w:t>؟</w:t>
      </w:r>
      <w:r w:rsidRPr="00C9040A">
        <w:rPr>
          <w:rtl/>
          <w:lang w:bidi="fa-IR"/>
        </w:rPr>
        <w:t xml:space="preserve"> فَيَقُولُونَ : إِلَى الْجَنَّةِ بِغَيْرِ‌</w:t>
      </w:r>
    </w:p>
    <w:p w:rsidR="008A74EB" w:rsidRPr="00C9040A" w:rsidRDefault="008A74EB" w:rsidP="008A74EB">
      <w:pPr>
        <w:pStyle w:val="libLine"/>
        <w:rPr>
          <w:rtl/>
          <w:lang w:bidi="fa-IR"/>
        </w:rPr>
      </w:pPr>
      <w:r w:rsidRPr="00C9040A">
        <w:rPr>
          <w:rtl/>
          <w:lang w:bidi="fa-IR"/>
        </w:rPr>
        <w:t>__________________</w:t>
      </w:r>
    </w:p>
    <w:p w:rsidR="008A74EB" w:rsidRPr="004A4E41" w:rsidRDefault="00665BD7" w:rsidP="004A4E41">
      <w:pPr>
        <w:pStyle w:val="libFootnote0"/>
        <w:rPr>
          <w:rStyle w:val="libFootnote0Char"/>
          <w:rtl/>
        </w:rPr>
      </w:pPr>
      <w:r>
        <w:rPr>
          <w:rFonts w:hint="cs"/>
          <w:rtl/>
        </w:rPr>
        <w:t xml:space="preserve">= </w:t>
      </w:r>
      <w:r w:rsidR="008A74EB" w:rsidRPr="00C9040A">
        <w:rPr>
          <w:rtl/>
        </w:rPr>
        <w:t>لم نعرفه.</w:t>
      </w:r>
    </w:p>
    <w:tbl>
      <w:tblPr>
        <w:tblStyle w:val="TableGrid"/>
        <w:bidiVisual/>
        <w:tblW w:w="0" w:type="auto"/>
        <w:tblLook w:val="04A0" w:firstRow="1" w:lastRow="0" w:firstColumn="1" w:lastColumn="0" w:noHBand="0" w:noVBand="1"/>
      </w:tblPr>
      <w:tblGrid>
        <w:gridCol w:w="4006"/>
        <w:gridCol w:w="4006"/>
      </w:tblGrid>
      <w:tr w:rsidR="00665BD7" w:rsidTr="00665BD7">
        <w:tc>
          <w:tcPr>
            <w:tcW w:w="4006" w:type="dxa"/>
          </w:tcPr>
          <w:p w:rsidR="00665BD7" w:rsidRDefault="00665BD7" w:rsidP="004A4E41">
            <w:pPr>
              <w:pStyle w:val="libFootnote0"/>
              <w:rPr>
                <w:rtl/>
              </w:rPr>
            </w:pPr>
            <w:r>
              <w:rPr>
                <w:rtl/>
              </w:rPr>
              <w:t xml:space="preserve">(1). </w:t>
            </w:r>
            <w:r w:rsidRPr="00C9040A">
              <w:rPr>
                <w:rtl/>
              </w:rPr>
              <w:t>في المحاسن : « زبرجد »</w:t>
            </w:r>
            <w:r>
              <w:rPr>
                <w:rtl/>
              </w:rPr>
              <w:t>.</w:t>
            </w:r>
          </w:p>
        </w:tc>
        <w:tc>
          <w:tcPr>
            <w:tcW w:w="4006" w:type="dxa"/>
          </w:tcPr>
          <w:p w:rsidR="00665BD7" w:rsidRDefault="00665BD7" w:rsidP="004A4E41">
            <w:pPr>
              <w:pStyle w:val="libFootnote0"/>
              <w:rPr>
                <w:rtl/>
              </w:rPr>
            </w:pPr>
            <w:r>
              <w:rPr>
                <w:rtl/>
              </w:rPr>
              <w:t xml:space="preserve">(2). </w:t>
            </w:r>
            <w:r w:rsidRPr="00C9040A">
              <w:rPr>
                <w:rtl/>
              </w:rPr>
              <w:t>في المحاسن : + « من الثلج »</w:t>
            </w:r>
            <w:r>
              <w:rPr>
                <w:rtl/>
              </w:rPr>
              <w:t>.</w:t>
            </w:r>
          </w:p>
        </w:tc>
      </w:tr>
    </w:tbl>
    <w:p w:rsidR="008A74EB" w:rsidRPr="004A4E41" w:rsidRDefault="006C577F" w:rsidP="004A4E41">
      <w:pPr>
        <w:pStyle w:val="libFootnote0"/>
        <w:rPr>
          <w:rStyle w:val="libFootnote0Char"/>
          <w:rtl/>
        </w:rPr>
      </w:pPr>
      <w:r>
        <w:rPr>
          <w:rtl/>
        </w:rPr>
        <w:t>(3).</w:t>
      </w:r>
      <w:r w:rsidR="008A74EB" w:rsidRPr="00C9040A">
        <w:rPr>
          <w:rtl/>
        </w:rPr>
        <w:t xml:space="preserve"> في </w:t>
      </w:r>
      <w:r w:rsidR="008A74EB" w:rsidRPr="00993B55">
        <w:rPr>
          <w:rStyle w:val="libFootnoteBoldChar"/>
          <w:rtl/>
        </w:rPr>
        <w:t>مرآة العقول</w:t>
      </w:r>
      <w:r w:rsidR="008A74EB" w:rsidRPr="00C9040A">
        <w:rPr>
          <w:rtl/>
        </w:rPr>
        <w:t xml:space="preserve"> : « وربّما يقرأ : يغبّطهم ، على بناء التفعيل ، أي يعدّ أنّهم ذوي غبطة وحسن حال ، أو مغبوطين للناس »</w:t>
      </w:r>
      <w:r w:rsidR="008A74EB">
        <w:rPr>
          <w:rtl/>
        </w:rPr>
        <w:t>.</w:t>
      </w:r>
      <w:r w:rsidR="008A74EB" w:rsidRPr="00C9040A">
        <w:rPr>
          <w:rtl/>
        </w:rPr>
        <w:t xml:space="preserve"> </w:t>
      </w:r>
      <w:r w:rsidR="008A74EB">
        <w:rPr>
          <w:rtl/>
        </w:rPr>
        <w:t>و «</w:t>
      </w:r>
      <w:r w:rsidR="008A74EB" w:rsidRPr="00C9040A">
        <w:rPr>
          <w:rtl/>
        </w:rPr>
        <w:t xml:space="preserve"> الغِبطةُ » : أن تتمنّى مثلَ حال المغبوط من غير أن تريد زوالها عنه ، وليس بحسد. تقول : غَبَطْتُه بما نال أغْبِطُه غَبْطاً وغِبْطةً. </w:t>
      </w:r>
      <w:r w:rsidR="008A74EB" w:rsidRPr="00993B55">
        <w:rPr>
          <w:rStyle w:val="libFootnoteBoldChar"/>
          <w:rtl/>
        </w:rPr>
        <w:t>الصحاح</w:t>
      </w:r>
      <w:r w:rsidR="008A74EB" w:rsidRPr="00C9040A">
        <w:rPr>
          <w:rtl/>
        </w:rPr>
        <w:t xml:space="preserve"> ، ج 3 ، ص 1146 ( غبط )</w:t>
      </w:r>
      <w:r w:rsidR="008A74EB">
        <w:rPr>
          <w:rtl/>
        </w:rPr>
        <w:t>.</w:t>
      </w:r>
    </w:p>
    <w:tbl>
      <w:tblPr>
        <w:tblStyle w:val="TableGrid"/>
        <w:bidiVisual/>
        <w:tblW w:w="0" w:type="auto"/>
        <w:tblLook w:val="04A0" w:firstRow="1" w:lastRow="0" w:firstColumn="1" w:lastColumn="0" w:noHBand="0" w:noVBand="1"/>
      </w:tblPr>
      <w:tblGrid>
        <w:gridCol w:w="4006"/>
        <w:gridCol w:w="4006"/>
      </w:tblGrid>
      <w:tr w:rsidR="00D31815" w:rsidTr="00D31815">
        <w:tc>
          <w:tcPr>
            <w:tcW w:w="4006" w:type="dxa"/>
          </w:tcPr>
          <w:p w:rsidR="00D31815" w:rsidRDefault="00D31815" w:rsidP="004A4E41">
            <w:pPr>
              <w:pStyle w:val="libFootnote0"/>
              <w:rPr>
                <w:rtl/>
                <w:lang w:bidi="fa-IR"/>
              </w:rPr>
            </w:pPr>
            <w:r>
              <w:rPr>
                <w:rtl/>
              </w:rPr>
              <w:t>(4).</w:t>
            </w:r>
            <w:r w:rsidRPr="00C9040A">
              <w:rPr>
                <w:rtl/>
              </w:rPr>
              <w:t xml:space="preserve"> في « ز » : « فيقولون »</w:t>
            </w:r>
            <w:r>
              <w:rPr>
                <w:rtl/>
              </w:rPr>
              <w:t>.</w:t>
            </w:r>
          </w:p>
        </w:tc>
        <w:tc>
          <w:tcPr>
            <w:tcW w:w="4006" w:type="dxa"/>
          </w:tcPr>
          <w:p w:rsidR="00D31815" w:rsidRDefault="00D31815" w:rsidP="004A4E41">
            <w:pPr>
              <w:pStyle w:val="libFootnote0"/>
              <w:rPr>
                <w:rtl/>
                <w:lang w:bidi="fa-IR"/>
              </w:rPr>
            </w:pPr>
            <w:r>
              <w:rPr>
                <w:rtl/>
              </w:rPr>
              <w:t>(5).</w:t>
            </w:r>
            <w:r w:rsidRPr="00C9040A">
              <w:rPr>
                <w:rtl/>
              </w:rPr>
              <w:t xml:space="preserve"> في « ص » : « المحابّون »</w:t>
            </w:r>
            <w:r>
              <w:rPr>
                <w:rtl/>
              </w:rPr>
              <w:t>.</w:t>
            </w:r>
          </w:p>
        </w:tc>
      </w:tr>
    </w:tbl>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المحاسن</w:t>
      </w:r>
      <w:r w:rsidR="008A74EB" w:rsidRPr="00C9040A">
        <w:rPr>
          <w:rtl/>
        </w:rPr>
        <w:t xml:space="preserve"> ، ص 264 ، كتاب مصابيح الظلم ، ح 337 ، عن محمّد بن عليّ ، عن محمّد بن جبلة الأحمسي</w:t>
      </w:r>
      <w:r w:rsidR="0000667C">
        <w:rPr>
          <w:rFonts w:hint="cs"/>
          <w:rtl/>
        </w:rPr>
        <w:t>.</w:t>
      </w:r>
      <w:r w:rsidR="008A74EB" w:rsidRPr="00993B55">
        <w:rPr>
          <w:rStyle w:val="libFootnoteBoldChar"/>
          <w:rtl/>
        </w:rPr>
        <w:t>الوافي</w:t>
      </w:r>
      <w:r w:rsidR="008A74EB" w:rsidRPr="00C9040A">
        <w:rPr>
          <w:rtl/>
        </w:rPr>
        <w:t xml:space="preserve"> ، ج 4 ، ص 482 ، ح 2402 ؛ </w:t>
      </w:r>
      <w:r w:rsidR="008A74EB" w:rsidRPr="00993B55">
        <w:rPr>
          <w:rStyle w:val="libFootnoteBoldChar"/>
          <w:rtl/>
        </w:rPr>
        <w:t>الوسائل</w:t>
      </w:r>
      <w:r w:rsidR="008A74EB" w:rsidRPr="00C9040A">
        <w:rPr>
          <w:rtl/>
        </w:rPr>
        <w:t xml:space="preserve"> ، ج 16 ، ص 167 ، ح 21253 ؛ </w:t>
      </w:r>
      <w:r w:rsidR="008A74EB" w:rsidRPr="00993B55">
        <w:rPr>
          <w:rStyle w:val="libFootnoteBoldChar"/>
          <w:rtl/>
        </w:rPr>
        <w:t>البحار</w:t>
      </w:r>
      <w:r w:rsidR="008A74EB" w:rsidRPr="00C9040A">
        <w:rPr>
          <w:rtl/>
        </w:rPr>
        <w:t xml:space="preserve"> ، ج 7 ، ص 195 ، ح 65.</w:t>
      </w:r>
    </w:p>
    <w:p w:rsidR="008A74EB" w:rsidRPr="00C9040A" w:rsidRDefault="006C577F" w:rsidP="004A4E41">
      <w:pPr>
        <w:pStyle w:val="libFootnote0"/>
        <w:rPr>
          <w:rtl/>
          <w:lang w:bidi="fa-IR"/>
        </w:rPr>
      </w:pPr>
      <w:r>
        <w:rPr>
          <w:rtl/>
        </w:rPr>
        <w:t>(7).</w:t>
      </w:r>
      <w:r w:rsidR="008A74EB" w:rsidRPr="00C9040A">
        <w:rPr>
          <w:rtl/>
        </w:rPr>
        <w:t xml:space="preserve"> في « ف » : « وعنه »</w:t>
      </w:r>
      <w:r w:rsidR="008A74EB">
        <w:rPr>
          <w:rtl/>
        </w:rPr>
        <w:t>.</w:t>
      </w:r>
      <w:r w:rsidR="008A74EB" w:rsidRPr="00C9040A">
        <w:rPr>
          <w:rtl/>
        </w:rPr>
        <w:t xml:space="preserve"> والضمير راجع إلى أحمد بن أبي عبد الله.</w:t>
      </w:r>
    </w:p>
    <w:p w:rsidR="008A74EB" w:rsidRPr="00C9040A" w:rsidRDefault="006C577F" w:rsidP="004A4E41">
      <w:pPr>
        <w:pStyle w:val="libFootnote0"/>
        <w:rPr>
          <w:rtl/>
          <w:lang w:bidi="fa-IR"/>
        </w:rPr>
      </w:pPr>
      <w:r>
        <w:rPr>
          <w:rtl/>
        </w:rPr>
        <w:t>(8).</w:t>
      </w:r>
      <w:r w:rsidR="008A74EB" w:rsidRPr="00C9040A">
        <w:rPr>
          <w:rtl/>
        </w:rPr>
        <w:t xml:space="preserve"> في « ز » </w:t>
      </w:r>
      <w:r w:rsidR="008A74EB">
        <w:rPr>
          <w:rtl/>
        </w:rPr>
        <w:t xml:space="preserve">: </w:t>
      </w:r>
      <w:r w:rsidR="0084262C">
        <w:rPr>
          <w:rtl/>
        </w:rPr>
        <w:t>-</w:t>
      </w:r>
      <w:r w:rsidR="008A74EB" w:rsidRPr="00C9040A">
        <w:rPr>
          <w:rtl/>
        </w:rPr>
        <w:t xml:space="preserve"> « عن أبيه »</w:t>
      </w:r>
      <w:r w:rsidR="008A74EB">
        <w:rPr>
          <w:rtl/>
        </w:rPr>
        <w:t>.</w:t>
      </w:r>
      <w:r w:rsidR="008A74EB" w:rsidRPr="00C9040A">
        <w:rPr>
          <w:rtl/>
        </w:rPr>
        <w:t xml:space="preserve"> والخبر رواه البرقي في </w:t>
      </w:r>
      <w:r w:rsidR="008A74EB" w:rsidRPr="00993B55">
        <w:rPr>
          <w:rStyle w:val="libFootnoteBoldChar"/>
          <w:rtl/>
        </w:rPr>
        <w:t>المحاسن</w:t>
      </w:r>
      <w:r w:rsidR="008A74EB" w:rsidRPr="00C9040A">
        <w:rPr>
          <w:rtl/>
        </w:rPr>
        <w:t xml:space="preserve"> ، ص 264 ، ح 336 عن أبيه ، عن النضر ، عن هشام بن سالم.</w:t>
      </w:r>
      <w:r w:rsidR="0000667C">
        <w:rPr>
          <w:rFonts w:hint="cs"/>
          <w:rtl/>
        </w:rPr>
        <w:t xml:space="preserve">                                                </w:t>
      </w:r>
      <w:r>
        <w:rPr>
          <w:rtl/>
        </w:rPr>
        <w:t>(9).</w:t>
      </w:r>
      <w:r w:rsidR="008A74EB" w:rsidRPr="00C9040A">
        <w:rPr>
          <w:rtl/>
        </w:rPr>
        <w:t xml:space="preserve"> في « ص » : « أجمع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حاشية « ف » : « ينادي »</w:t>
      </w:r>
      <w:r w:rsidR="008A74EB">
        <w:rPr>
          <w:rtl/>
        </w:rPr>
        <w:t>.</w:t>
      </w:r>
      <w:r w:rsidR="008A74EB" w:rsidRPr="00C9040A">
        <w:rPr>
          <w:rtl/>
        </w:rPr>
        <w:t xml:space="preserve"> وفي المحاسن : « ينادى بصوت » بدل « فنادى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في حاشية « ض » : « ليسمع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 العُنُق » : الجَماعة من الناس ، والرُّؤساء. </w:t>
      </w:r>
      <w:r w:rsidR="008A74EB" w:rsidRPr="00993B55">
        <w:rPr>
          <w:rStyle w:val="libFootnoteBoldChar"/>
          <w:rtl/>
        </w:rPr>
        <w:t>القاموس المحيط</w:t>
      </w:r>
      <w:r w:rsidR="008A74EB" w:rsidRPr="00C9040A">
        <w:rPr>
          <w:rtl/>
        </w:rPr>
        <w:t xml:space="preserve"> ، ج 2 ، ص 1210 ( عنق )</w:t>
      </w:r>
      <w:r w:rsidR="008A74EB">
        <w:rPr>
          <w:rtl/>
        </w:rPr>
        <w:t>.</w:t>
      </w:r>
    </w:p>
    <w:p w:rsidR="008A74EB" w:rsidRPr="00C9040A" w:rsidRDefault="008A74EB" w:rsidP="004A4E41">
      <w:pPr>
        <w:pStyle w:val="libFootnote0"/>
        <w:rPr>
          <w:rtl/>
          <w:lang w:bidi="fa-IR"/>
        </w:rPr>
      </w:pPr>
      <w:r>
        <w:rPr>
          <w:rtl/>
        </w:rPr>
        <w:t>(13)</w:t>
      </w:r>
      <w:r w:rsidRPr="00C9040A">
        <w:rPr>
          <w:rtl/>
        </w:rPr>
        <w:t xml:space="preserve"> في « ص » : « وقال »</w:t>
      </w:r>
      <w:r>
        <w:rPr>
          <w:rtl/>
        </w:rPr>
        <w:t>.</w:t>
      </w:r>
    </w:p>
    <w:p w:rsidR="008A74EB" w:rsidRPr="00C9040A" w:rsidRDefault="008A74EB" w:rsidP="004A4E41">
      <w:pPr>
        <w:pStyle w:val="libFootnote0"/>
        <w:rPr>
          <w:rtl/>
          <w:lang w:bidi="fa-IR"/>
        </w:rPr>
      </w:pPr>
      <w:r>
        <w:rPr>
          <w:rtl/>
        </w:rPr>
        <w:t>(14)</w:t>
      </w:r>
      <w:r w:rsidRPr="00C9040A">
        <w:rPr>
          <w:rtl/>
        </w:rPr>
        <w:t xml:space="preserve"> في « ز » : « فتتلقّاهم »</w:t>
      </w:r>
      <w:r>
        <w:rPr>
          <w:rtl/>
        </w:rPr>
        <w:t>.</w:t>
      </w:r>
      <w:r w:rsidRPr="00C9040A">
        <w:rPr>
          <w:rtl/>
        </w:rPr>
        <w:t xml:space="preserve"> وفي </w:t>
      </w:r>
      <w:r w:rsidRPr="00993B55">
        <w:rPr>
          <w:rStyle w:val="libFootnoteBoldChar"/>
          <w:rtl/>
        </w:rPr>
        <w:t>مرآة العقول</w:t>
      </w:r>
      <w:r w:rsidRPr="00C9040A">
        <w:rPr>
          <w:rtl/>
        </w:rPr>
        <w:t xml:space="preserve"> : « فتلقّاهم ، على بناء المجرّد ، أو على بناء التفعّل ، بحذف إحدى </w:t>
      </w:r>
      <w:r w:rsidR="0000667C">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حِسَابٍ »</w:t>
      </w:r>
      <w:r>
        <w:rPr>
          <w:rtl/>
          <w:lang w:bidi="fa-IR"/>
        </w:rPr>
        <w:t>.</w:t>
      </w:r>
    </w:p>
    <w:p w:rsidR="008A74EB" w:rsidRPr="00C9040A" w:rsidRDefault="008A74EB" w:rsidP="008A74EB">
      <w:pPr>
        <w:pStyle w:val="libNormal"/>
        <w:rPr>
          <w:rtl/>
          <w:lang w:bidi="fa-IR"/>
        </w:rPr>
      </w:pPr>
      <w:r w:rsidRPr="00C9040A">
        <w:rPr>
          <w:rtl/>
          <w:lang w:bidi="fa-IR"/>
        </w:rPr>
        <w:t xml:space="preserve">قَالَ : « فَيَقُولُونَ </w:t>
      </w:r>
      <w:r w:rsidR="006C577F" w:rsidRPr="006C577F">
        <w:rPr>
          <w:rStyle w:val="libFootnotenumChar"/>
          <w:rtl/>
        </w:rPr>
        <w:t>(1)</w:t>
      </w:r>
      <w:r w:rsidRPr="00C9040A">
        <w:rPr>
          <w:rtl/>
          <w:lang w:bidi="fa-IR"/>
        </w:rPr>
        <w:t xml:space="preserve"> : فَأَيُّ </w:t>
      </w:r>
      <w:r w:rsidR="006C577F" w:rsidRPr="006C577F">
        <w:rPr>
          <w:rStyle w:val="libFootnotenumChar"/>
          <w:rtl/>
        </w:rPr>
        <w:t>(2)</w:t>
      </w:r>
      <w:r w:rsidRPr="00C9040A">
        <w:rPr>
          <w:rtl/>
          <w:lang w:bidi="fa-IR"/>
        </w:rPr>
        <w:t xml:space="preserve"> ضَرْبٍ </w:t>
      </w:r>
      <w:r w:rsidR="006C577F" w:rsidRPr="006C577F">
        <w:rPr>
          <w:rStyle w:val="libFootnotenumChar"/>
          <w:rtl/>
        </w:rPr>
        <w:t>(3)</w:t>
      </w:r>
      <w:r w:rsidRPr="00C9040A">
        <w:rPr>
          <w:rtl/>
          <w:lang w:bidi="fa-IR"/>
        </w:rPr>
        <w:t xml:space="preserve"> أَنْتُمْ مِنَ النَّاسِ </w:t>
      </w:r>
      <w:r w:rsidR="006C577F" w:rsidRPr="006C577F">
        <w:rPr>
          <w:rStyle w:val="libFootnotenumChar"/>
          <w:rtl/>
        </w:rPr>
        <w:t>(4)</w:t>
      </w:r>
      <w:r>
        <w:rPr>
          <w:rtl/>
          <w:lang w:bidi="fa-IR"/>
        </w:rPr>
        <w:t>؟</w:t>
      </w:r>
      <w:r w:rsidRPr="00C9040A">
        <w:rPr>
          <w:rtl/>
          <w:lang w:bidi="fa-IR"/>
        </w:rPr>
        <w:t xml:space="preserve"> فَيَقُولُونَ : نَ</w:t>
      </w:r>
      <w:r w:rsidR="0034021D">
        <w:rPr>
          <w:rtl/>
          <w:lang w:bidi="fa-IR"/>
        </w:rPr>
        <w:t>حْنُ الْمُتَحَابُّونَ فِي اللهِ</w:t>
      </w:r>
      <w:r w:rsidRPr="00C9040A">
        <w:rPr>
          <w:rtl/>
          <w:lang w:bidi="fa-IR"/>
        </w:rPr>
        <w:t>»</w:t>
      </w:r>
      <w:r>
        <w:rPr>
          <w:rtl/>
          <w:lang w:bidi="fa-IR"/>
        </w:rPr>
        <w:t>.</w:t>
      </w:r>
    </w:p>
    <w:p w:rsidR="008A74EB" w:rsidRPr="00C9040A" w:rsidRDefault="008A74EB" w:rsidP="008A74EB">
      <w:pPr>
        <w:pStyle w:val="libNormal"/>
        <w:rPr>
          <w:rtl/>
          <w:lang w:bidi="fa-IR"/>
        </w:rPr>
      </w:pPr>
      <w:r w:rsidRPr="00C9040A">
        <w:rPr>
          <w:rtl/>
          <w:lang w:bidi="fa-IR"/>
        </w:rPr>
        <w:t>قَالَ : « فَيَقُولُونَ : وَ</w:t>
      </w:r>
      <w:r>
        <w:rPr>
          <w:rFonts w:hint="cs"/>
          <w:rtl/>
          <w:lang w:bidi="fa-IR"/>
        </w:rPr>
        <w:t xml:space="preserve"> </w:t>
      </w:r>
      <w:r w:rsidR="006C577F" w:rsidRPr="006C577F">
        <w:rPr>
          <w:rStyle w:val="libFootnotenumChar"/>
          <w:rtl/>
        </w:rPr>
        <w:t>(5)</w:t>
      </w:r>
      <w:r w:rsidRPr="00C9040A">
        <w:rPr>
          <w:rtl/>
          <w:lang w:bidi="fa-IR"/>
        </w:rPr>
        <w:t xml:space="preserve"> أَيَّ شَيْ‌ءٍ كَانَتْ أَعْمَالُكُمْ</w:t>
      </w:r>
      <w:r>
        <w:rPr>
          <w:rtl/>
          <w:lang w:bidi="fa-IR"/>
        </w:rPr>
        <w:t>؟</w:t>
      </w:r>
      <w:r w:rsidRPr="00C9040A">
        <w:rPr>
          <w:rtl/>
          <w:lang w:bidi="fa-IR"/>
        </w:rPr>
        <w:t xml:space="preserve"> قَالُوا : كُنَّا نُحِبُّ ف</w:t>
      </w:r>
      <w:r w:rsidR="0034021D">
        <w:rPr>
          <w:rtl/>
          <w:lang w:bidi="fa-IR"/>
        </w:rPr>
        <w:t>ِي اللهِ ، وَنُبْغِضُ فِي اللهِ</w:t>
      </w:r>
      <w:r w:rsidRPr="00C9040A">
        <w:rPr>
          <w:rtl/>
          <w:lang w:bidi="fa-IR"/>
        </w:rPr>
        <w:t>» قَالَ : « فَيَقُولُونَ : نِعْمَ أَجْرُ الْعَامِلِينَ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Normal"/>
        <w:rPr>
          <w:rtl/>
          <w:lang w:bidi="fa-IR"/>
        </w:rPr>
      </w:pPr>
      <w:r w:rsidRPr="0080510A">
        <w:rPr>
          <w:rtl/>
        </w:rPr>
        <w:t>1885</w:t>
      </w:r>
      <w:r w:rsidRPr="00261CB0">
        <w:rPr>
          <w:rStyle w:val="libBold2Char"/>
          <w:rtl/>
        </w:rPr>
        <w:t xml:space="preserve"> / 9.</w:t>
      </w:r>
      <w:r w:rsidRPr="00C9040A">
        <w:rPr>
          <w:rtl/>
          <w:lang w:bidi="fa-IR"/>
        </w:rPr>
        <w:t xml:space="preserve"> عَنْهُ </w:t>
      </w:r>
      <w:r w:rsidR="006C577F" w:rsidRPr="006C577F">
        <w:rPr>
          <w:rStyle w:val="libFootnotenumChar"/>
          <w:rtl/>
        </w:rPr>
        <w:t>(7)</w:t>
      </w:r>
      <w:r w:rsidRPr="00C9040A">
        <w:rPr>
          <w:rtl/>
          <w:lang w:bidi="fa-IR"/>
        </w:rPr>
        <w:t xml:space="preserve"> ، عَنْ عَلِيِّ بْنِ حَسَّانَ ، عَمَّنْ ذَكَرَهُ ، عَنْ دَاوُدَ بْنِ فَرْقَدٍ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ثَلَاثٌ </w:t>
      </w:r>
      <w:r w:rsidR="006C577F" w:rsidRPr="006C577F">
        <w:rPr>
          <w:rStyle w:val="libFootnotenumChar"/>
          <w:rtl/>
        </w:rPr>
        <w:t>(8)</w:t>
      </w:r>
      <w:r w:rsidRPr="00C9040A">
        <w:rPr>
          <w:rtl/>
          <w:lang w:bidi="fa-IR"/>
        </w:rPr>
        <w:t xml:space="preserve"> مِنْ عَلَامَاتِ الْمُؤْمِنِ : عِلْمُهُ بِاللهِ ، وَمَنْ يُحِبُّ ، وَمَنْ </w:t>
      </w:r>
      <w:r w:rsidR="006C577F" w:rsidRPr="006C577F">
        <w:rPr>
          <w:rStyle w:val="libFootnotenumChar"/>
          <w:rtl/>
        </w:rPr>
        <w:t>(9)</w:t>
      </w:r>
      <w:r w:rsidRPr="00C9040A">
        <w:rPr>
          <w:rtl/>
          <w:lang w:bidi="fa-IR"/>
        </w:rPr>
        <w:t xml:space="preserve"> يُبْغِضُ »</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Normal"/>
        <w:rPr>
          <w:rtl/>
          <w:lang w:bidi="fa-IR"/>
        </w:rPr>
      </w:pPr>
      <w:r w:rsidRPr="0080510A">
        <w:rPr>
          <w:rtl/>
        </w:rPr>
        <w:t>1886</w:t>
      </w:r>
      <w:r w:rsidRPr="00261CB0">
        <w:rPr>
          <w:rStyle w:val="libBold2Char"/>
          <w:rtl/>
        </w:rPr>
        <w:t xml:space="preserve"> / 10.</w:t>
      </w:r>
      <w:r w:rsidRPr="00C9040A">
        <w:rPr>
          <w:rtl/>
          <w:lang w:bidi="fa-IR"/>
        </w:rPr>
        <w:t xml:space="preserve"> عَلِيُّ بْنُ إِبْرَاهِيمَ ، عَنْ أَبِيهِ ، عَنِ ابْنِ أَبِي عُمَيْرٍ ، عَنْ هِشَامِ بْنِ سَالِمٍ وَحَفْصِ بْنِ الْبَخْتَرِيِّ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إِنَّ الرَّجُلَ لَيُحِبُّكُمْ وَمَا يَعْرِفُ مَا أَنْتُمْ عَلَيْهِ ، فَيُدْخِلُهُ‌</w:t>
      </w:r>
    </w:p>
    <w:p w:rsidR="008A74EB" w:rsidRPr="00C9040A" w:rsidRDefault="008A74EB" w:rsidP="008A74EB">
      <w:pPr>
        <w:pStyle w:val="libLine"/>
        <w:rPr>
          <w:rtl/>
          <w:lang w:bidi="fa-IR"/>
        </w:rPr>
      </w:pPr>
      <w:r w:rsidRPr="00C9040A">
        <w:rPr>
          <w:rtl/>
          <w:lang w:bidi="fa-IR"/>
        </w:rPr>
        <w:t>__________________</w:t>
      </w:r>
    </w:p>
    <w:p w:rsidR="008A74EB" w:rsidRPr="00C9040A" w:rsidRDefault="00DF00E8" w:rsidP="004A4E41">
      <w:pPr>
        <w:pStyle w:val="libFootnote0"/>
        <w:rPr>
          <w:rtl/>
          <w:lang w:bidi="fa-IR"/>
        </w:rPr>
      </w:pPr>
      <w:r>
        <w:rPr>
          <w:rFonts w:hint="cs"/>
          <w:rtl/>
        </w:rPr>
        <w:t xml:space="preserve">= </w:t>
      </w:r>
      <w:r w:rsidR="008A74EB" w:rsidRPr="00C9040A">
        <w:rPr>
          <w:rtl/>
        </w:rPr>
        <w:t>التاءين ، أي تستقبلهم »</w:t>
      </w:r>
      <w:r w:rsidR="008A74EB">
        <w:rPr>
          <w:rtl/>
        </w:rPr>
        <w:t>.</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الوسائل : « ويقولون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الوسائل : « وأيّ »</w:t>
      </w:r>
      <w:r w:rsidR="008A74EB">
        <w:rPr>
          <w:rtl/>
        </w:rPr>
        <w:t>.</w:t>
      </w:r>
      <w:r w:rsidR="008A74EB" w:rsidRPr="00C9040A">
        <w:rPr>
          <w:rtl/>
        </w:rPr>
        <w:t xml:space="preserve"> وفي هامش المطبوع عن بعض النسخ : « أيّ » بدون الفاء.</w:t>
      </w:r>
    </w:p>
    <w:p w:rsidR="008A74EB" w:rsidRPr="004A4E41" w:rsidRDefault="006C577F" w:rsidP="004A4E41">
      <w:pPr>
        <w:pStyle w:val="libFootnote0"/>
        <w:rPr>
          <w:rStyle w:val="libFootnote0Char"/>
          <w:rtl/>
        </w:rPr>
      </w:pPr>
      <w:r>
        <w:rPr>
          <w:rtl/>
        </w:rPr>
        <w:t>(3).</w:t>
      </w:r>
      <w:r w:rsidR="008A74EB" w:rsidRPr="00C9040A">
        <w:rPr>
          <w:rtl/>
        </w:rPr>
        <w:t xml:space="preserve"> في حاشية « ج ، ض ، ف » والمحاسن : « حزب »</w:t>
      </w:r>
      <w:r w:rsidR="008A74EB">
        <w:rPr>
          <w:rtl/>
        </w:rPr>
        <w:t>.</w:t>
      </w:r>
    </w:p>
    <w:tbl>
      <w:tblPr>
        <w:tblStyle w:val="TableGrid"/>
        <w:bidiVisual/>
        <w:tblW w:w="0" w:type="auto"/>
        <w:tblLook w:val="04A0" w:firstRow="1" w:lastRow="0" w:firstColumn="1" w:lastColumn="0" w:noHBand="0" w:noVBand="1"/>
      </w:tblPr>
      <w:tblGrid>
        <w:gridCol w:w="4006"/>
        <w:gridCol w:w="4006"/>
      </w:tblGrid>
      <w:tr w:rsidR="00FF628A" w:rsidTr="00FF628A">
        <w:tc>
          <w:tcPr>
            <w:tcW w:w="4006" w:type="dxa"/>
          </w:tcPr>
          <w:p w:rsidR="00FF628A" w:rsidRDefault="00FF628A" w:rsidP="004A4E41">
            <w:pPr>
              <w:pStyle w:val="libFootnote0"/>
              <w:rPr>
                <w:rtl/>
              </w:rPr>
            </w:pPr>
            <w:r>
              <w:rPr>
                <w:rtl/>
              </w:rPr>
              <w:t>(4).</w:t>
            </w:r>
            <w:r w:rsidRPr="00C9040A">
              <w:rPr>
                <w:rtl/>
              </w:rPr>
              <w:t xml:space="preserve"> في « ب » : « من الناس أنتم »</w:t>
            </w:r>
            <w:r>
              <w:rPr>
                <w:rtl/>
              </w:rPr>
              <w:t>.</w:t>
            </w:r>
          </w:p>
        </w:tc>
        <w:tc>
          <w:tcPr>
            <w:tcW w:w="4006" w:type="dxa"/>
          </w:tcPr>
          <w:p w:rsidR="00FF628A" w:rsidRDefault="00FF628A" w:rsidP="004A4E41">
            <w:pPr>
              <w:pStyle w:val="libFootnote0"/>
              <w:rPr>
                <w:rtl/>
              </w:rPr>
            </w:pPr>
            <w:r>
              <w:rPr>
                <w:rtl/>
              </w:rPr>
              <w:t>(5).</w:t>
            </w:r>
            <w:r w:rsidRPr="00C9040A">
              <w:rPr>
                <w:rtl/>
              </w:rPr>
              <w:t xml:space="preserve"> في الوسائل </w:t>
            </w:r>
            <w:r>
              <w:rPr>
                <w:rtl/>
              </w:rPr>
              <w:t>: -</w:t>
            </w:r>
            <w:r w:rsidRPr="00C9040A">
              <w:rPr>
                <w:rtl/>
              </w:rPr>
              <w:t xml:space="preserve"> « </w:t>
            </w:r>
            <w:r>
              <w:rPr>
                <w:rtl/>
              </w:rPr>
              <w:t>و ».</w:t>
            </w:r>
          </w:p>
        </w:tc>
      </w:tr>
    </w:tbl>
    <w:p w:rsidR="008A74EB" w:rsidRPr="004A4E41" w:rsidRDefault="006C577F" w:rsidP="004A4E41">
      <w:pPr>
        <w:pStyle w:val="libFootnote0"/>
        <w:rPr>
          <w:rStyle w:val="libFootnote0Char"/>
          <w:rtl/>
        </w:rPr>
      </w:pPr>
      <w:r>
        <w:rPr>
          <w:rtl/>
        </w:rPr>
        <w:t>(6).</w:t>
      </w:r>
      <w:r w:rsidR="008A74EB">
        <w:rPr>
          <w:rtl/>
        </w:rPr>
        <w:t xml:space="preserve"> </w:t>
      </w:r>
      <w:r w:rsidR="008A74EB" w:rsidRPr="00993B55">
        <w:rPr>
          <w:rStyle w:val="libFootnoteBoldChar"/>
          <w:rtl/>
        </w:rPr>
        <w:t>المحاسن</w:t>
      </w:r>
      <w:r w:rsidR="008A74EB" w:rsidRPr="00C9040A">
        <w:rPr>
          <w:rtl/>
        </w:rPr>
        <w:t xml:space="preserve"> ، ص 264 ، كتاب مصابيح الظلم ، ح 336 ، عن أبيه ، عن النضر</w:t>
      </w:r>
      <w:r w:rsidR="003A55ED">
        <w:rPr>
          <w:rFonts w:hint="cs"/>
          <w:rtl/>
        </w:rPr>
        <w:t>.</w:t>
      </w:r>
      <w:r w:rsidR="008A74EB" w:rsidRPr="00993B55">
        <w:rPr>
          <w:rStyle w:val="libFootnoteBoldChar"/>
          <w:rtl/>
        </w:rPr>
        <w:t>الوافي</w:t>
      </w:r>
      <w:r w:rsidR="008A74EB" w:rsidRPr="00C9040A">
        <w:rPr>
          <w:rtl/>
        </w:rPr>
        <w:t xml:space="preserve"> ، ج 4 ، ص 483 ، ح 2403 ؛ </w:t>
      </w:r>
      <w:r w:rsidR="008A74EB" w:rsidRPr="00993B55">
        <w:rPr>
          <w:rStyle w:val="libFootnoteBoldChar"/>
          <w:rtl/>
        </w:rPr>
        <w:t>الوسائل</w:t>
      </w:r>
      <w:r w:rsidR="008A74EB" w:rsidRPr="00C9040A">
        <w:rPr>
          <w:rtl/>
        </w:rPr>
        <w:t xml:space="preserve"> ، ج 16 ، ص 167 ، ح 21254 ؛ </w:t>
      </w:r>
      <w:r w:rsidR="008A74EB" w:rsidRPr="00993B55">
        <w:rPr>
          <w:rStyle w:val="libFootnoteBoldChar"/>
          <w:rtl/>
        </w:rPr>
        <w:t>البحار</w:t>
      </w:r>
      <w:r w:rsidR="008A74EB" w:rsidRPr="00C9040A">
        <w:rPr>
          <w:rtl/>
        </w:rPr>
        <w:t xml:space="preserve"> ، ج 69 ، ص 245 ، ح 19.</w:t>
      </w:r>
    </w:p>
    <w:tbl>
      <w:tblPr>
        <w:tblStyle w:val="TableGrid"/>
        <w:bidiVisual/>
        <w:tblW w:w="0" w:type="auto"/>
        <w:tblLook w:val="04A0" w:firstRow="1" w:lastRow="0" w:firstColumn="1" w:lastColumn="0" w:noHBand="0" w:noVBand="1"/>
      </w:tblPr>
      <w:tblGrid>
        <w:gridCol w:w="4006"/>
        <w:gridCol w:w="4006"/>
      </w:tblGrid>
      <w:tr w:rsidR="000922B1" w:rsidTr="000922B1">
        <w:tc>
          <w:tcPr>
            <w:tcW w:w="4006" w:type="dxa"/>
          </w:tcPr>
          <w:p w:rsidR="000922B1" w:rsidRDefault="000922B1" w:rsidP="004A4E41">
            <w:pPr>
              <w:pStyle w:val="libFootnote0"/>
              <w:rPr>
                <w:rtl/>
              </w:rPr>
            </w:pPr>
            <w:r>
              <w:rPr>
                <w:rtl/>
              </w:rPr>
              <w:t>(7).</w:t>
            </w:r>
            <w:r w:rsidRPr="00C9040A">
              <w:rPr>
                <w:rtl/>
              </w:rPr>
              <w:t xml:space="preserve"> الضمير راجع إلى أحمد بن أبي عبد الله.</w:t>
            </w:r>
          </w:p>
        </w:tc>
        <w:tc>
          <w:tcPr>
            <w:tcW w:w="4006" w:type="dxa"/>
          </w:tcPr>
          <w:p w:rsidR="000922B1" w:rsidRDefault="000922B1" w:rsidP="004A4E41">
            <w:pPr>
              <w:pStyle w:val="libFootnote0"/>
              <w:rPr>
                <w:rtl/>
              </w:rPr>
            </w:pPr>
            <w:r>
              <w:rPr>
                <w:rtl/>
              </w:rPr>
              <w:t>(8).</w:t>
            </w:r>
            <w:r w:rsidRPr="00C9040A">
              <w:rPr>
                <w:rtl/>
              </w:rPr>
              <w:t xml:space="preserve"> في الكافي ، ح 2294 : « ثلاثة »</w:t>
            </w:r>
            <w:r>
              <w:rPr>
                <w:rtl/>
              </w:rPr>
              <w:t>.</w:t>
            </w:r>
          </w:p>
        </w:tc>
      </w:tr>
    </w:tbl>
    <w:p w:rsidR="008A74EB" w:rsidRPr="00C9040A" w:rsidRDefault="006C577F" w:rsidP="004A4E41">
      <w:pPr>
        <w:pStyle w:val="libFootnote0"/>
        <w:rPr>
          <w:rtl/>
          <w:lang w:bidi="fa-IR"/>
        </w:rPr>
      </w:pPr>
      <w:r>
        <w:rPr>
          <w:rtl/>
        </w:rPr>
        <w:t>(9).</w:t>
      </w:r>
      <w:r w:rsidR="008A74EB" w:rsidRPr="00C9040A">
        <w:rPr>
          <w:rtl/>
        </w:rPr>
        <w:t xml:space="preserve"> في « ب » </w:t>
      </w:r>
      <w:r w:rsidR="008A74EB">
        <w:rPr>
          <w:rtl/>
        </w:rPr>
        <w:t xml:space="preserve">: </w:t>
      </w:r>
      <w:r w:rsidR="0084262C">
        <w:rPr>
          <w:rtl/>
        </w:rPr>
        <w:t>-</w:t>
      </w:r>
      <w:r w:rsidR="008A74EB" w:rsidRPr="00C9040A">
        <w:rPr>
          <w:rtl/>
        </w:rPr>
        <w:t xml:space="preserve"> « من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w:t>
      </w:r>
      <w:r w:rsidR="008A74EB" w:rsidRPr="00993B55">
        <w:rPr>
          <w:rStyle w:val="libFootnoteBoldChar"/>
          <w:rtl/>
        </w:rPr>
        <w:t>المحاسن</w:t>
      </w:r>
      <w:r w:rsidR="008A74EB" w:rsidRPr="00C9040A">
        <w:rPr>
          <w:rtl/>
        </w:rPr>
        <w:t xml:space="preserve"> ، ص 263 ، كتاب مصابيح الظلم ، ح 332 ، عن عليّ بن حسّان الواسطي. </w:t>
      </w:r>
      <w:r w:rsidR="008A74EB" w:rsidRPr="00993B55">
        <w:rPr>
          <w:rStyle w:val="libFootnoteBoldChar"/>
          <w:rtl/>
        </w:rPr>
        <w:t>الكافي</w:t>
      </w:r>
      <w:r w:rsidR="008A74EB" w:rsidRPr="00C9040A">
        <w:rPr>
          <w:rtl/>
        </w:rPr>
        <w:t xml:space="preserve"> ، كتاب الإيمان والكفر ، باب المؤمن وعلاماته وصفاته ، ح 2294 ، بسند آخر ؛ </w:t>
      </w:r>
      <w:r w:rsidR="008A74EB" w:rsidRPr="00993B55">
        <w:rPr>
          <w:rStyle w:val="libFootnoteBoldChar"/>
          <w:rtl/>
        </w:rPr>
        <w:t>الجعفريّات</w:t>
      </w:r>
      <w:r w:rsidR="008A74EB" w:rsidRPr="00C9040A">
        <w:rPr>
          <w:rtl/>
        </w:rPr>
        <w:t xml:space="preserve"> ، ص 231 ، بسند آخر عن أبي عبد الله ، عن آبائه ، عن عليّ بن أبي طالب </w:t>
      </w:r>
      <w:r w:rsidR="00117575" w:rsidRPr="00117575">
        <w:rPr>
          <w:rStyle w:val="libFootnoteAlaemChar"/>
          <w:rtl/>
        </w:rPr>
        <w:t>عليهم‌السلام</w:t>
      </w:r>
      <w:r w:rsidR="008A74EB" w:rsidRPr="00C9040A">
        <w:rPr>
          <w:rtl/>
        </w:rPr>
        <w:t xml:space="preserve"> ؛ </w:t>
      </w:r>
      <w:r w:rsidR="008A74EB" w:rsidRPr="00993B55">
        <w:rPr>
          <w:rStyle w:val="libFootnoteBoldChar"/>
          <w:rtl/>
        </w:rPr>
        <w:t>صفات الشيعة</w:t>
      </w:r>
      <w:r w:rsidR="008A74EB" w:rsidRPr="00C9040A">
        <w:rPr>
          <w:rtl/>
        </w:rPr>
        <w:t xml:space="preserve"> ، ص 30 ، ح 42 ، بسند آخر عن أبي عبد الله </w:t>
      </w:r>
      <w:r w:rsidR="00117575" w:rsidRPr="00117575">
        <w:rPr>
          <w:rStyle w:val="libFootnoteAlaemChar"/>
          <w:rtl/>
        </w:rPr>
        <w:t>عليه‌السلام</w:t>
      </w:r>
      <w:r w:rsidR="008A74EB" w:rsidRPr="00C9040A">
        <w:rPr>
          <w:rtl/>
        </w:rPr>
        <w:t xml:space="preserve"> ، وفي الثلاثة الأخيرة مع اختلاف يسير</w:t>
      </w:r>
      <w:r w:rsidR="006F4F5B">
        <w:rPr>
          <w:rFonts w:hint="cs"/>
          <w:rtl/>
        </w:rPr>
        <w:t>.</w:t>
      </w:r>
      <w:r w:rsidR="008A74EB" w:rsidRPr="00993B55">
        <w:rPr>
          <w:rStyle w:val="libFootnoteBoldChar"/>
          <w:rtl/>
        </w:rPr>
        <w:t>الوافي</w:t>
      </w:r>
      <w:r w:rsidR="008A74EB" w:rsidRPr="00C9040A">
        <w:rPr>
          <w:rtl/>
        </w:rPr>
        <w:t xml:space="preserve"> ، ج 4 ، ص 163 ، ح 1759 ؛ </w:t>
      </w:r>
      <w:r w:rsidR="008A74EB" w:rsidRPr="00993B55">
        <w:rPr>
          <w:rStyle w:val="libFootnoteBoldChar"/>
          <w:rtl/>
        </w:rPr>
        <w:t>الوسائل</w:t>
      </w:r>
      <w:r w:rsidR="008A74EB" w:rsidRPr="00C9040A">
        <w:rPr>
          <w:rtl/>
        </w:rPr>
        <w:t xml:space="preserve"> ، ج 16 ، ص 168 ، ح 21255 ؛ </w:t>
      </w:r>
      <w:r w:rsidR="008A74EB" w:rsidRPr="00993B55">
        <w:rPr>
          <w:rStyle w:val="libFootnoteBoldChar"/>
          <w:rtl/>
        </w:rPr>
        <w:t>البحار</w:t>
      </w:r>
      <w:r w:rsidR="008A74EB" w:rsidRPr="00C9040A">
        <w:rPr>
          <w:rtl/>
        </w:rPr>
        <w:t xml:space="preserve"> ، ج 69 ، ص 246 ، ح 20.</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اللهُ الْجَنَّةَ بِحُبِّكُمْ ؛ وَإِنَّ الرَّجُلَ لَيُبْغِضُكُمْ وَمَا يَعْرِفُ مَا أَنْتُمْ عَلَيْهِ ، فَيُدْخِلُهُ اللهُ بِبُغْضِكُمُ النَّارَ »</w:t>
      </w:r>
      <w:r>
        <w:rPr>
          <w:rtl/>
          <w:lang w:bidi="fa-IR"/>
        </w:rPr>
        <w:t>.</w:t>
      </w:r>
      <w:r w:rsidRPr="00C9040A">
        <w:rPr>
          <w:rtl/>
          <w:lang w:bidi="fa-IR"/>
        </w:rPr>
        <w:t xml:space="preserve"> </w:t>
      </w:r>
      <w:r w:rsidR="006C577F" w:rsidRPr="006C577F">
        <w:rPr>
          <w:rStyle w:val="libFootnotenumChar"/>
          <w:rtl/>
        </w:rPr>
        <w:t>(1)</w:t>
      </w:r>
      <w:r w:rsidRPr="00C9040A">
        <w:rPr>
          <w:rtl/>
          <w:lang w:bidi="fa-IR"/>
        </w:rPr>
        <w:t xml:space="preserve"> ‌</w:t>
      </w:r>
    </w:p>
    <w:p w:rsidR="008A74EB" w:rsidRPr="00C9040A" w:rsidRDefault="008A74EB" w:rsidP="008A74EB">
      <w:pPr>
        <w:pStyle w:val="libNormal"/>
        <w:rPr>
          <w:rtl/>
          <w:lang w:bidi="fa-IR"/>
        </w:rPr>
      </w:pPr>
      <w:r w:rsidRPr="0080510A">
        <w:rPr>
          <w:rtl/>
        </w:rPr>
        <w:t>1887</w:t>
      </w:r>
      <w:r w:rsidRPr="00261CB0">
        <w:rPr>
          <w:rStyle w:val="libBold2Char"/>
          <w:rtl/>
        </w:rPr>
        <w:t xml:space="preserve"> / 11.</w:t>
      </w:r>
      <w:r w:rsidRPr="00C9040A">
        <w:rPr>
          <w:rtl/>
          <w:lang w:bidi="fa-IR"/>
        </w:rPr>
        <w:t xml:space="preserve"> عِدَّةٌ مِنْ أَصْحَابِنَا ، عَنْ أَحْمَدَ بْنِ مُحَمَّدِ بْنِ خَالِدٍ ، عَنِ ابْنِ الْعَرْزَمِيِّ </w:t>
      </w:r>
      <w:r w:rsidR="006C577F" w:rsidRPr="006C577F">
        <w:rPr>
          <w:rStyle w:val="libFootnotenumChar"/>
          <w:rtl/>
        </w:rPr>
        <w:t>(2)</w:t>
      </w:r>
      <w:r w:rsidRPr="00C9040A">
        <w:rPr>
          <w:rtl/>
          <w:lang w:bidi="fa-IR"/>
        </w:rPr>
        <w:t xml:space="preserve"> ، عَنْ أَبِيهِ ، عَنْ جَابِرٍ الْجُعْفِيِّ :</w:t>
      </w:r>
    </w:p>
    <w:p w:rsidR="008A74EB" w:rsidRPr="00C9040A" w:rsidRDefault="008A74EB" w:rsidP="006F4F5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إِذَا أَرَدْتَ أَنْ تَعْلَمَ أَنَّ </w:t>
      </w:r>
      <w:r w:rsidR="006C577F" w:rsidRPr="006C577F">
        <w:rPr>
          <w:rStyle w:val="libFootnotenumChar"/>
          <w:rtl/>
        </w:rPr>
        <w:t>(3)</w:t>
      </w:r>
      <w:r w:rsidRPr="00C9040A">
        <w:rPr>
          <w:rtl/>
          <w:lang w:bidi="fa-IR"/>
        </w:rPr>
        <w:t xml:space="preserve"> فِيكَ خَيْراً ، فَانْظُرْ إِلى قَلْبِكَ ، فَإِنْ كَانَ يُحِبُّ أَهْلَ طَاعَةِ اللهِ وَيُبْغِضُ أَهْلَ مَعْصِيَتِهِ </w:t>
      </w:r>
      <w:r w:rsidR="006C577F" w:rsidRPr="006C577F">
        <w:rPr>
          <w:rStyle w:val="libFootnotenumChar"/>
          <w:rtl/>
        </w:rPr>
        <w:t>(4)</w:t>
      </w:r>
      <w:r w:rsidRPr="00C9040A">
        <w:rPr>
          <w:rtl/>
          <w:lang w:bidi="fa-IR"/>
        </w:rPr>
        <w:t xml:space="preserve"> ، فَفِيكَ خَيْرٌ وَاللهُ يُحِبُّكَ ؛ وَإِنْ </w:t>
      </w:r>
      <w:r w:rsidR="006C577F" w:rsidRPr="006C577F">
        <w:rPr>
          <w:rStyle w:val="libFootnotenumChar"/>
          <w:rtl/>
        </w:rPr>
        <w:t>(5)</w:t>
      </w:r>
      <w:r w:rsidRPr="00C9040A">
        <w:rPr>
          <w:rtl/>
          <w:lang w:bidi="fa-IR"/>
        </w:rPr>
        <w:t xml:space="preserve"> كَانَ يُبْغِضُ أَهْلَ طَاعَةِ اللهِ وَيُحِبُّ أَهْلَ مَعْصِيَتِهِ </w:t>
      </w:r>
      <w:r w:rsidR="006C577F" w:rsidRPr="006C577F">
        <w:rPr>
          <w:rStyle w:val="libFootnotenumChar"/>
          <w:rtl/>
        </w:rPr>
        <w:t>(6)</w:t>
      </w:r>
      <w:r w:rsidRPr="005B567D">
        <w:rPr>
          <w:rStyle w:val="libFootnotenumChar"/>
          <w:rtl/>
        </w:rPr>
        <w:t xml:space="preserve"> </w:t>
      </w:r>
      <w:r w:rsidRPr="00C9040A">
        <w:rPr>
          <w:rtl/>
          <w:lang w:bidi="fa-IR"/>
        </w:rPr>
        <w:t xml:space="preserve">، فَلَيْسَ فِيكَ خَيْرٌ </w:t>
      </w:r>
      <w:r w:rsidR="006C577F" w:rsidRPr="006C577F">
        <w:rPr>
          <w:rStyle w:val="libFootnotenumChar"/>
          <w:rtl/>
        </w:rPr>
        <w:t>(7)</w:t>
      </w:r>
      <w:r w:rsidRPr="00C9040A">
        <w:rPr>
          <w:rtl/>
          <w:lang w:bidi="fa-IR"/>
        </w:rPr>
        <w:t xml:space="preserve"> وَاللهُ يُبْغِضُكَ </w:t>
      </w:r>
      <w:r w:rsidR="0034021D">
        <w:rPr>
          <w:rtl/>
          <w:lang w:bidi="fa-IR"/>
        </w:rPr>
        <w:t>، وَالْمَرْءُ مَعَ مَنْ أَحَبَّ</w:t>
      </w:r>
      <w:r w:rsidRPr="00C9040A">
        <w:rPr>
          <w:rtl/>
          <w:lang w:bidi="fa-IR"/>
        </w:rPr>
        <w:t>»</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Normal"/>
        <w:rPr>
          <w:rtl/>
          <w:lang w:bidi="fa-IR"/>
        </w:rPr>
      </w:pPr>
      <w:r w:rsidRPr="0080510A">
        <w:rPr>
          <w:rtl/>
        </w:rPr>
        <w:t>1888</w:t>
      </w:r>
      <w:r w:rsidRPr="00261CB0">
        <w:rPr>
          <w:rStyle w:val="libBold2Char"/>
          <w:rtl/>
        </w:rPr>
        <w:t xml:space="preserve"> / 12.</w:t>
      </w:r>
      <w:r w:rsidRPr="00C9040A">
        <w:rPr>
          <w:rtl/>
          <w:lang w:bidi="fa-IR"/>
        </w:rPr>
        <w:t xml:space="preserve"> عَنْهُ </w:t>
      </w:r>
      <w:r w:rsidR="006C577F" w:rsidRPr="006C577F">
        <w:rPr>
          <w:rStyle w:val="libFootnotenumChar"/>
          <w:rtl/>
        </w:rPr>
        <w:t>(9)</w:t>
      </w:r>
      <w:r w:rsidRPr="00C9040A">
        <w:rPr>
          <w:rtl/>
          <w:lang w:bidi="fa-IR"/>
        </w:rPr>
        <w:t xml:space="preserve"> ، عَنْ أَبِي عَلِيٍّ الْوَاسِطِيِّ ، عَنِ الْحُسَيْنِ بْنِ أَبَانٍ ، عَمَّنْ ذَكَرَهُ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لَوْ أَنَّ رَجُلاً أَحَبَّ رَجُلاً لِلّهِ ، لَأَثَابَهُ اللهُ عَلى </w:t>
      </w:r>
      <w:r w:rsidR="006C577F" w:rsidRPr="006C577F">
        <w:rPr>
          <w:rStyle w:val="libFootnotenumChar"/>
          <w:rtl/>
        </w:rPr>
        <w:t>(10)</w:t>
      </w:r>
      <w:r w:rsidRPr="00C9040A">
        <w:rPr>
          <w:rtl/>
          <w:lang w:bidi="fa-IR"/>
        </w:rPr>
        <w:t xml:space="preserve"> حُبِّهِ إِيَّاهُ ، وَإِنْ كَانَ الْمَحْبُوبُ فِي عِلْمِ اللهِ مِنْ أَهْلِ النَّارِ ؛ وَلَوْ أَنَّ رَجُلاً أَبْغَضَ </w:t>
      </w:r>
      <w:r w:rsidR="006C577F" w:rsidRPr="006C577F">
        <w:rPr>
          <w:rStyle w:val="libFootnotenumChar"/>
          <w:rtl/>
        </w:rPr>
        <w:t>(11)</w:t>
      </w:r>
      <w:r w:rsidRPr="00C9040A">
        <w:rPr>
          <w:rtl/>
          <w:lang w:bidi="fa-IR"/>
        </w:rPr>
        <w:t xml:space="preserve"> رَجُلاً لِلّهِ ، لَأَثَابَهُ‌</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993B55">
        <w:rPr>
          <w:rStyle w:val="libFootnoteBoldChar"/>
          <w:rtl/>
        </w:rPr>
        <w:t>الكافي</w:t>
      </w:r>
      <w:r w:rsidR="008A74EB" w:rsidRPr="00C9040A">
        <w:rPr>
          <w:rtl/>
        </w:rPr>
        <w:t xml:space="preserve"> ، كتاب الروضة ، ح 15310 ؛ و</w:t>
      </w:r>
      <w:r w:rsidR="008A74EB" w:rsidRPr="00993B55">
        <w:rPr>
          <w:rStyle w:val="libFootnoteBoldChar"/>
          <w:rtl/>
        </w:rPr>
        <w:t xml:space="preserve">فضائل الشيعة </w:t>
      </w:r>
      <w:r w:rsidR="008A74EB" w:rsidRPr="00C9040A">
        <w:rPr>
          <w:rtl/>
        </w:rPr>
        <w:t>، ص 39 ، ح 39 ؛ و</w:t>
      </w:r>
      <w:r w:rsidR="008A74EB" w:rsidRPr="00993B55">
        <w:rPr>
          <w:rStyle w:val="libFootnoteBoldChar"/>
          <w:rtl/>
        </w:rPr>
        <w:t xml:space="preserve">معاني الأخبار </w:t>
      </w:r>
      <w:r w:rsidR="008A74EB" w:rsidRPr="00C9040A">
        <w:rPr>
          <w:rtl/>
        </w:rPr>
        <w:t>، ص 392 ، ح 40 ، بسند آخر ، مع اختلاف يسير وزيادة في آخره</w:t>
      </w:r>
      <w:r w:rsidR="006F4F5B">
        <w:rPr>
          <w:rFonts w:hint="cs"/>
          <w:rtl/>
        </w:rPr>
        <w:t>.</w:t>
      </w:r>
      <w:r w:rsidR="008A74EB" w:rsidRPr="00993B55">
        <w:rPr>
          <w:rStyle w:val="libFootnoteBoldChar"/>
          <w:rtl/>
        </w:rPr>
        <w:t>الوافي</w:t>
      </w:r>
      <w:r w:rsidR="008A74EB" w:rsidRPr="00C9040A">
        <w:rPr>
          <w:rtl/>
        </w:rPr>
        <w:t xml:space="preserve"> ، ج 4 ، ص 483 ، ح 2404 ؛ </w:t>
      </w:r>
      <w:r w:rsidR="008A74EB" w:rsidRPr="00993B55">
        <w:rPr>
          <w:rStyle w:val="libFootnoteBoldChar"/>
          <w:rtl/>
        </w:rPr>
        <w:t>الوسائل</w:t>
      </w:r>
      <w:r w:rsidR="008A74EB" w:rsidRPr="00C9040A">
        <w:rPr>
          <w:rtl/>
        </w:rPr>
        <w:t xml:space="preserve"> ، ج 16 ، ص 176 ، ح 21281 ؛ </w:t>
      </w:r>
      <w:r w:rsidR="008A74EB" w:rsidRPr="00993B55">
        <w:rPr>
          <w:rStyle w:val="libFootnoteBoldChar"/>
          <w:rtl/>
        </w:rPr>
        <w:t>البحار</w:t>
      </w:r>
      <w:r w:rsidR="008A74EB" w:rsidRPr="00C9040A">
        <w:rPr>
          <w:rtl/>
        </w:rPr>
        <w:t xml:space="preserve"> ، ج 69 ، ص 246 ، ح 21.</w:t>
      </w:r>
    </w:p>
    <w:p w:rsidR="008A74EB" w:rsidRPr="004A4E41" w:rsidRDefault="006C577F" w:rsidP="004A4E41">
      <w:pPr>
        <w:pStyle w:val="libFootnote0"/>
        <w:rPr>
          <w:rStyle w:val="libFootnote0Char"/>
          <w:rtl/>
        </w:rPr>
      </w:pPr>
      <w:r>
        <w:rPr>
          <w:rtl/>
        </w:rPr>
        <w:t>(2).</w:t>
      </w:r>
      <w:r w:rsidR="008A74EB">
        <w:rPr>
          <w:rtl/>
        </w:rPr>
        <w:t xml:space="preserve"> </w:t>
      </w:r>
      <w:r w:rsidR="008A74EB" w:rsidRPr="00C9040A">
        <w:rPr>
          <w:rtl/>
        </w:rPr>
        <w:t>في « ب ، ض ، ف ، بر » : « العزرمي »</w:t>
      </w:r>
      <w:r w:rsidR="008A74EB">
        <w:rPr>
          <w:rtl/>
        </w:rPr>
        <w:t>.</w:t>
      </w:r>
      <w:r w:rsidR="008A74EB" w:rsidRPr="00C9040A">
        <w:rPr>
          <w:rtl/>
        </w:rPr>
        <w:t xml:space="preserve"> وهو سهو ، كما تقدّم في الكافي ، ذيل ح 1576.</w:t>
      </w:r>
    </w:p>
    <w:tbl>
      <w:tblPr>
        <w:tblStyle w:val="TableGrid"/>
        <w:bidiVisual/>
        <w:tblW w:w="0" w:type="auto"/>
        <w:tblLook w:val="04A0" w:firstRow="1" w:lastRow="0" w:firstColumn="1" w:lastColumn="0" w:noHBand="0" w:noVBand="1"/>
      </w:tblPr>
      <w:tblGrid>
        <w:gridCol w:w="4006"/>
        <w:gridCol w:w="4006"/>
      </w:tblGrid>
      <w:tr w:rsidR="006F4F5B" w:rsidTr="006F4F5B">
        <w:tc>
          <w:tcPr>
            <w:tcW w:w="4006" w:type="dxa"/>
          </w:tcPr>
          <w:p w:rsidR="006F4F5B" w:rsidRDefault="006F4F5B" w:rsidP="004A4E41">
            <w:pPr>
              <w:pStyle w:val="libFootnote0"/>
              <w:rPr>
                <w:rtl/>
              </w:rPr>
            </w:pPr>
            <w:r>
              <w:rPr>
                <w:rtl/>
              </w:rPr>
              <w:t>(3).</w:t>
            </w:r>
            <w:r w:rsidRPr="00C9040A">
              <w:rPr>
                <w:rtl/>
              </w:rPr>
              <w:t xml:space="preserve"> في « ب » </w:t>
            </w:r>
            <w:r>
              <w:rPr>
                <w:rtl/>
              </w:rPr>
              <w:t>: -</w:t>
            </w:r>
            <w:r w:rsidRPr="00C9040A">
              <w:rPr>
                <w:rtl/>
              </w:rPr>
              <w:t xml:space="preserve"> « أنّ »</w:t>
            </w:r>
            <w:r>
              <w:rPr>
                <w:rtl/>
              </w:rPr>
              <w:t>.</w:t>
            </w:r>
          </w:p>
        </w:tc>
        <w:tc>
          <w:tcPr>
            <w:tcW w:w="4006" w:type="dxa"/>
          </w:tcPr>
          <w:p w:rsidR="006F4F5B" w:rsidRDefault="006F4F5B" w:rsidP="004A4E41">
            <w:pPr>
              <w:pStyle w:val="libFootnote0"/>
              <w:rPr>
                <w:rtl/>
              </w:rPr>
            </w:pPr>
            <w:r>
              <w:rPr>
                <w:rtl/>
              </w:rPr>
              <w:t>(4).</w:t>
            </w:r>
            <w:r w:rsidRPr="00C9040A">
              <w:rPr>
                <w:rtl/>
              </w:rPr>
              <w:t xml:space="preserve"> في « ف » : « معصية الله »</w:t>
            </w:r>
            <w:r>
              <w:rPr>
                <w:rtl/>
              </w:rPr>
              <w:t>.</w:t>
            </w:r>
          </w:p>
        </w:tc>
      </w:tr>
    </w:tbl>
    <w:p w:rsidR="008A74EB" w:rsidRPr="004A4E41" w:rsidRDefault="006C577F" w:rsidP="004A4E41">
      <w:pPr>
        <w:pStyle w:val="libFootnote0"/>
        <w:rPr>
          <w:rStyle w:val="libFootnote0Char"/>
          <w:rtl/>
        </w:rPr>
      </w:pPr>
      <w:r>
        <w:rPr>
          <w:rtl/>
        </w:rPr>
        <w:t>(5).</w:t>
      </w:r>
      <w:r w:rsidR="008A74EB" w:rsidRPr="00C9040A">
        <w:rPr>
          <w:rtl/>
        </w:rPr>
        <w:t xml:space="preserve"> في « ج ، ص ض ، ف ، بر ، بس ، بف » والوافي ومرآة العقول والوسائل والبحار : « وإذا »</w:t>
      </w:r>
      <w:r w:rsidR="008A74EB">
        <w:rPr>
          <w:rtl/>
        </w:rPr>
        <w:t>.</w:t>
      </w:r>
    </w:p>
    <w:tbl>
      <w:tblPr>
        <w:tblStyle w:val="TableGrid"/>
        <w:bidiVisual/>
        <w:tblW w:w="0" w:type="auto"/>
        <w:tblLook w:val="04A0" w:firstRow="1" w:lastRow="0" w:firstColumn="1" w:lastColumn="0" w:noHBand="0" w:noVBand="1"/>
      </w:tblPr>
      <w:tblGrid>
        <w:gridCol w:w="4006"/>
        <w:gridCol w:w="4006"/>
      </w:tblGrid>
      <w:tr w:rsidR="006F0E83" w:rsidTr="006F0E83">
        <w:tc>
          <w:tcPr>
            <w:tcW w:w="4006" w:type="dxa"/>
          </w:tcPr>
          <w:p w:rsidR="006F0E83" w:rsidRDefault="006F0E83" w:rsidP="004A4E41">
            <w:pPr>
              <w:pStyle w:val="libFootnote0"/>
              <w:rPr>
                <w:rtl/>
                <w:lang w:bidi="fa-IR"/>
              </w:rPr>
            </w:pPr>
            <w:r>
              <w:rPr>
                <w:rtl/>
              </w:rPr>
              <w:t xml:space="preserve">(6). </w:t>
            </w:r>
            <w:r w:rsidRPr="00C9040A">
              <w:rPr>
                <w:rtl/>
              </w:rPr>
              <w:t>في « ف » : « معصية الله »</w:t>
            </w:r>
            <w:r>
              <w:rPr>
                <w:rtl/>
              </w:rPr>
              <w:t>.</w:t>
            </w:r>
          </w:p>
        </w:tc>
        <w:tc>
          <w:tcPr>
            <w:tcW w:w="4006" w:type="dxa"/>
          </w:tcPr>
          <w:p w:rsidR="006F0E83" w:rsidRDefault="006F0E83" w:rsidP="004A4E41">
            <w:pPr>
              <w:pStyle w:val="libFootnote0"/>
              <w:rPr>
                <w:rtl/>
                <w:lang w:bidi="fa-IR"/>
              </w:rPr>
            </w:pPr>
            <w:r>
              <w:rPr>
                <w:rtl/>
              </w:rPr>
              <w:t>(7). في المحاسن:«</w:t>
            </w:r>
            <w:r w:rsidRPr="00C9040A">
              <w:rPr>
                <w:rtl/>
              </w:rPr>
              <w:t>فف</w:t>
            </w:r>
            <w:r>
              <w:rPr>
                <w:rtl/>
              </w:rPr>
              <w:t>يك شرّ</w:t>
            </w:r>
            <w:r w:rsidRPr="00C9040A">
              <w:rPr>
                <w:rtl/>
              </w:rPr>
              <w:t>» بدل « فليس فيك خير »</w:t>
            </w:r>
            <w:r>
              <w:rPr>
                <w:rtl/>
              </w:rPr>
              <w:t>.</w:t>
            </w:r>
          </w:p>
        </w:tc>
      </w:tr>
    </w:tbl>
    <w:p w:rsidR="008A74EB" w:rsidRPr="00C9040A" w:rsidRDefault="006C577F" w:rsidP="004A4E41">
      <w:pPr>
        <w:pStyle w:val="libFootnote0"/>
        <w:rPr>
          <w:rtl/>
          <w:lang w:bidi="fa-IR"/>
        </w:rPr>
      </w:pPr>
      <w:r>
        <w:rPr>
          <w:rtl/>
        </w:rPr>
        <w:t>(8).</w:t>
      </w:r>
      <w:r w:rsidR="008A74EB" w:rsidRPr="00C9040A">
        <w:rPr>
          <w:rtl/>
        </w:rPr>
        <w:t xml:space="preserve"> </w:t>
      </w:r>
      <w:r w:rsidR="008A74EB" w:rsidRPr="00993B55">
        <w:rPr>
          <w:rStyle w:val="libFootnoteBoldChar"/>
          <w:rtl/>
        </w:rPr>
        <w:t>المحاسن</w:t>
      </w:r>
      <w:r w:rsidR="008A74EB" w:rsidRPr="00C9040A">
        <w:rPr>
          <w:rtl/>
        </w:rPr>
        <w:t xml:space="preserve"> ، ص 263 ، كتاب مصابيح الظلم ، ح 331 ، عن العرزمي ؛ </w:t>
      </w:r>
      <w:r w:rsidR="008A74EB" w:rsidRPr="00993B55">
        <w:rPr>
          <w:rStyle w:val="libFootnoteBoldChar"/>
          <w:rtl/>
        </w:rPr>
        <w:t>علل الشرائع</w:t>
      </w:r>
      <w:r w:rsidR="008A74EB" w:rsidRPr="00C9040A">
        <w:rPr>
          <w:rtl/>
        </w:rPr>
        <w:t xml:space="preserve"> ، ص 117 ، ح 16 ، بسند آخر عن أحمد بن محمّد ، عن أبيه ، عن ابن العرزمي. </w:t>
      </w:r>
      <w:r w:rsidR="008A74EB" w:rsidRPr="00993B55">
        <w:rPr>
          <w:rStyle w:val="libFootnoteBoldChar"/>
          <w:rtl/>
        </w:rPr>
        <w:t>مصادقة الإخوان</w:t>
      </w:r>
      <w:r w:rsidR="008A74EB" w:rsidRPr="00C9040A">
        <w:rPr>
          <w:rtl/>
        </w:rPr>
        <w:t xml:space="preserve"> ، ص 50 ، ح 3 ، مرسلاً</w:t>
      </w:r>
      <w:r w:rsidR="00306C0C">
        <w:rPr>
          <w:rFonts w:hint="cs"/>
          <w:rtl/>
        </w:rPr>
        <w:t>.</w:t>
      </w:r>
      <w:r w:rsidR="008A74EB" w:rsidRPr="00993B55">
        <w:rPr>
          <w:rStyle w:val="libFootnoteBoldChar"/>
          <w:rtl/>
        </w:rPr>
        <w:t>الوافي</w:t>
      </w:r>
      <w:r w:rsidR="008A74EB" w:rsidRPr="00C9040A">
        <w:rPr>
          <w:rtl/>
        </w:rPr>
        <w:t xml:space="preserve"> ، ج 4 ، ص 484 ، ح 2407 ؛ </w:t>
      </w:r>
      <w:r w:rsidR="008A74EB" w:rsidRPr="00993B55">
        <w:rPr>
          <w:rStyle w:val="libFootnoteBoldChar"/>
          <w:rtl/>
        </w:rPr>
        <w:t>الوسائل</w:t>
      </w:r>
      <w:r w:rsidR="008A74EB" w:rsidRPr="00C9040A">
        <w:rPr>
          <w:rtl/>
        </w:rPr>
        <w:t xml:space="preserve"> ، ج 16 ، ص 183 ، ح 21300 ؛ </w:t>
      </w:r>
      <w:r w:rsidR="008A74EB" w:rsidRPr="00993B55">
        <w:rPr>
          <w:rStyle w:val="libFootnoteBoldChar"/>
          <w:rtl/>
        </w:rPr>
        <w:t>البحار</w:t>
      </w:r>
      <w:r w:rsidR="008A74EB" w:rsidRPr="00C9040A">
        <w:rPr>
          <w:rtl/>
        </w:rPr>
        <w:t xml:space="preserve"> ، ج 69 ، ص 247 ، ح 22.</w:t>
      </w:r>
    </w:p>
    <w:p w:rsidR="008A74EB" w:rsidRPr="00C9040A" w:rsidRDefault="006C577F" w:rsidP="004A4E41">
      <w:pPr>
        <w:pStyle w:val="libFootnote0"/>
        <w:rPr>
          <w:rtl/>
          <w:lang w:bidi="fa-IR"/>
        </w:rPr>
      </w:pPr>
      <w:r>
        <w:rPr>
          <w:rtl/>
        </w:rPr>
        <w:t>(9).</w:t>
      </w:r>
      <w:r w:rsidR="008A74EB" w:rsidRPr="00C9040A">
        <w:rPr>
          <w:rtl/>
        </w:rPr>
        <w:t xml:space="preserve"> الضمير راجع إلى أحمد بن محمّد بن خالد المذكور في السند السابق ؛ فقد روى الخبر في </w:t>
      </w:r>
      <w:r w:rsidR="008A74EB" w:rsidRPr="00993B55">
        <w:rPr>
          <w:rStyle w:val="libFootnoteBoldChar"/>
          <w:rtl/>
        </w:rPr>
        <w:t>المحاسن</w:t>
      </w:r>
      <w:r w:rsidR="008A74EB" w:rsidRPr="00C9040A">
        <w:rPr>
          <w:rtl/>
        </w:rPr>
        <w:t xml:space="preserve"> ، ص 265 ، ح 342 عن أبي عليّ الواسطي.</w:t>
      </w:r>
      <w:r w:rsidR="00306C0C">
        <w:rPr>
          <w:rFonts w:hint="cs"/>
          <w:rtl/>
        </w:rPr>
        <w:t xml:space="preserve">                               </w:t>
      </w:r>
      <w:r>
        <w:rPr>
          <w:rtl/>
        </w:rPr>
        <w:t>(10).</w:t>
      </w:r>
      <w:r w:rsidR="008A74EB" w:rsidRPr="00C9040A">
        <w:rPr>
          <w:rtl/>
        </w:rPr>
        <w:t xml:space="preserve"> في « ص » : « عن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في الوافي : « يبغض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اللهُ عَلى بُغْضِهِ إِيَّاهُ </w:t>
      </w:r>
      <w:r w:rsidR="006C577F" w:rsidRPr="006C577F">
        <w:rPr>
          <w:rStyle w:val="libFootnotenumChar"/>
          <w:rtl/>
        </w:rPr>
        <w:t>(1)</w:t>
      </w:r>
      <w:r w:rsidRPr="00C9040A">
        <w:rPr>
          <w:rtl/>
          <w:lang w:bidi="fa-IR"/>
        </w:rPr>
        <w:t xml:space="preserve"> ، وَإِنْ كَانَ الْمُبْغَضُ </w:t>
      </w:r>
      <w:r w:rsidR="006C577F" w:rsidRPr="006C577F">
        <w:rPr>
          <w:rStyle w:val="libFootnotenumChar"/>
          <w:rtl/>
        </w:rPr>
        <w:t>(2)</w:t>
      </w:r>
      <w:r w:rsidRPr="00C9040A">
        <w:rPr>
          <w:rtl/>
          <w:lang w:bidi="fa-IR"/>
        </w:rPr>
        <w:t xml:space="preserve"> فِي عِلْمِ اللهِ مِنْ أَهْلِ الْجَنَّةِ </w:t>
      </w:r>
      <w:r w:rsidR="006C577F" w:rsidRPr="006C577F">
        <w:rPr>
          <w:rStyle w:val="libFootnotenumChar"/>
          <w:rtl/>
        </w:rPr>
        <w:t>(3)</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80510A">
        <w:rPr>
          <w:rtl/>
        </w:rPr>
        <w:t>1889</w:t>
      </w:r>
      <w:r w:rsidRPr="00261CB0">
        <w:rPr>
          <w:rStyle w:val="libBold2Char"/>
          <w:rtl/>
        </w:rPr>
        <w:t xml:space="preserve"> / 13.</w:t>
      </w:r>
      <w:r w:rsidRPr="00C9040A">
        <w:rPr>
          <w:rtl/>
          <w:lang w:bidi="fa-IR"/>
        </w:rPr>
        <w:t xml:space="preserve"> مُحَمَّدُ بْنُ يَحْيى ، عَنْ أَحْمَدَ بْنِ مُحَمَّدِ بْنِ عِيسى ، عَنِ الْحُسَيْنِ بْنِ سَعِيدٍ ، عَنِ النَّضْرِ بْنِ سُوَيْدٍ ، عَنْ يَحْيَى الْحَلَبِيِّ ، عَنْ بَشِيرٍ </w:t>
      </w:r>
      <w:r w:rsidR="006C577F" w:rsidRPr="006C577F">
        <w:rPr>
          <w:rStyle w:val="libFootnotenumChar"/>
          <w:rtl/>
        </w:rPr>
        <w:t>(5)</w:t>
      </w:r>
      <w:r w:rsidRPr="00C9040A">
        <w:rPr>
          <w:rtl/>
          <w:lang w:bidi="fa-IR"/>
        </w:rPr>
        <w:t xml:space="preserve"> الْكُنَاسِيِّ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قَدْ يَكُونُ حُبٌّ فِي اللهِ وَرَسُولِهِ وَحُبٌّ فِي الدُّنْيَا ، فَمَا كَانَ فِي اللهِ وَرَسُولِهِ ، فَثَوَابُهُ عَلَى اللهِ ؛ وَمَا كَانَ فِي الدُّنْيَا ، فَلَيْسَ بِشَيْ‌ءٍ </w:t>
      </w:r>
      <w:r w:rsidR="006C577F" w:rsidRPr="006C577F">
        <w:rPr>
          <w:rStyle w:val="libFootnotenumChar"/>
          <w:rtl/>
        </w:rPr>
        <w:t>(6)</w:t>
      </w:r>
      <w:r w:rsidRPr="005B567D">
        <w:rPr>
          <w:rStyle w:val="libFootnotenumChar"/>
          <w:rtl/>
        </w:rPr>
        <w:t xml:space="preserve"> </w:t>
      </w:r>
      <w:r w:rsidRPr="00C9040A">
        <w:rPr>
          <w:rtl/>
          <w:lang w:bidi="fa-IR"/>
        </w:rPr>
        <w:t>»</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الوسائل </w:t>
      </w:r>
      <w:r w:rsidR="008A74EB">
        <w:rPr>
          <w:rtl/>
        </w:rPr>
        <w:t xml:space="preserve">: </w:t>
      </w:r>
      <w:r w:rsidR="0084262C">
        <w:rPr>
          <w:rtl/>
        </w:rPr>
        <w:t>-</w:t>
      </w:r>
      <w:r w:rsidR="008A74EB" w:rsidRPr="00C9040A">
        <w:rPr>
          <w:rtl/>
        </w:rPr>
        <w:t xml:space="preserve"> « إيّاه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ب » وحاشية « ف » : « المبغوض »</w:t>
      </w:r>
      <w:r w:rsidR="008A74EB">
        <w:rPr>
          <w:rtl/>
        </w:rPr>
        <w:t>.</w:t>
      </w:r>
      <w:r w:rsidR="008A74EB" w:rsidRPr="00C9040A">
        <w:rPr>
          <w:rtl/>
        </w:rPr>
        <w:t xml:space="preserve"> وفي « ف » : « المغضوب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w:t>
      </w:r>
      <w:r w:rsidR="008A74EB" w:rsidRPr="00993B55">
        <w:rPr>
          <w:rStyle w:val="libFootnoteBoldChar"/>
          <w:rtl/>
        </w:rPr>
        <w:t>مرآة العقول</w:t>
      </w:r>
      <w:r w:rsidR="008A74EB" w:rsidRPr="00C9040A">
        <w:rPr>
          <w:rtl/>
        </w:rPr>
        <w:t xml:space="preserve"> : « هذا إذا لم يكن مقصّراً في ذلك ولم يكن مستنداً إلى ضلالته وجهالته ، كالذين يحبّون أئمّة الضلالة ويزعمون أنّ ذلك لله ، فإنّ ذلك لمحض تقصيرهم عن تتبّع الدلائل ، واتّكالهم على متابعة الآباء وتقليد الكبراء واستحسان الأهواء ؛ بل هو كمن أحبّ منافقاً يظهر الإيمان والأعمال الصالحة وفي باطنه منافق فاسق ، فهو يحبّه لإيمانه وصلاحه لله ، وهو مثاب بذلك. وكذا الثاني ؛ فإنّ أكثر المنافقين يبغضون الشيعة ويزعمون أنّه لله ، وهم مقصّرون في ذلك كما عرفت. وأمّا من رأى شيعة يتّقي من المخالفين ويظهر عقائدهم وأعمالهم ولم يَرَ ولا سمع منه ما يدلّ على تشيّعه ، فإن أبغضه ولعنه فهو في ذلك مثاب مأجور وإن كان من أبغضه من أهل الجنّة ومثاباً عند الله بتقيّة ، أو كأحد من علماء الشيعة زعم عقيدة من العقائد كفراً ، أو عملاً من الأعمال فسقاً ، وأبغض المتّصف بأحدهما لله ، ولم يكن أحدهما مقصّراً في بذل الجهد في تحقيق تلك المسألة ؛ فهما مثابان ، وهما من أهل الجنّة إن لم يكن أحدهما ضروريّاً للدين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المحاسن</w:t>
      </w:r>
      <w:r w:rsidR="008A74EB" w:rsidRPr="00C9040A">
        <w:rPr>
          <w:rtl/>
        </w:rPr>
        <w:t xml:space="preserve"> ، ص 265 ، كتاب مصابيح الظلم ، ح 342 ، عن أبي عليّ الواسطي. </w:t>
      </w:r>
      <w:r w:rsidR="008A74EB" w:rsidRPr="00993B55">
        <w:rPr>
          <w:rStyle w:val="libFootnoteBoldChar"/>
          <w:rtl/>
        </w:rPr>
        <w:t>الأمالي</w:t>
      </w:r>
      <w:r w:rsidR="008A74EB" w:rsidRPr="00C9040A">
        <w:rPr>
          <w:rtl/>
        </w:rPr>
        <w:t xml:space="preserve"> للطوسي ، ص 621 ، المجلس 29 ، ح 18 ، بسنده عن الحسن بن أبان ، عن بعض أصحابنا ، عن أبي جعفر </w:t>
      </w:r>
      <w:r w:rsidR="00117575" w:rsidRPr="00117575">
        <w:rPr>
          <w:rStyle w:val="libFootnoteAlaemChar"/>
          <w:rtl/>
        </w:rPr>
        <w:t xml:space="preserve">عليه‌السلام </w:t>
      </w:r>
      <w:r w:rsidR="008A74EB" w:rsidRPr="00C9040A">
        <w:rPr>
          <w:rtl/>
        </w:rPr>
        <w:t>، وتمام الرواية فيه : « لو أنّ رجلاً أحبّ رجلاً لله‌عزّ وجلّ ، لأثابه الله تعالى على حبّه إيّاه ، وإن كان في علم الله من أهل الجنّة »</w:t>
      </w:r>
      <w:r w:rsidR="008A74EB">
        <w:rPr>
          <w:rtl/>
        </w:rPr>
        <w:t>.</w:t>
      </w:r>
      <w:r w:rsidR="008A74EB" w:rsidRPr="00C9040A">
        <w:rPr>
          <w:rtl/>
        </w:rPr>
        <w:t xml:space="preserve"> </w:t>
      </w:r>
      <w:r w:rsidR="008A74EB" w:rsidRPr="00993B55">
        <w:rPr>
          <w:rStyle w:val="libFootnoteBoldChar"/>
          <w:rtl/>
        </w:rPr>
        <w:t>مصادقة الإخوان</w:t>
      </w:r>
      <w:r w:rsidR="008A74EB" w:rsidRPr="00C9040A">
        <w:rPr>
          <w:rtl/>
        </w:rPr>
        <w:t xml:space="preserve"> ، ص 50 ، ح 2 ، مرسلاً</w:t>
      </w:r>
      <w:r w:rsidR="00764394">
        <w:rPr>
          <w:rFonts w:hint="cs"/>
          <w:rtl/>
        </w:rPr>
        <w:t>.</w:t>
      </w:r>
      <w:r w:rsidR="008A74EB" w:rsidRPr="00993B55">
        <w:rPr>
          <w:rStyle w:val="libFootnoteBoldChar"/>
          <w:rtl/>
        </w:rPr>
        <w:t>الوافي</w:t>
      </w:r>
      <w:r w:rsidR="008A74EB" w:rsidRPr="00C9040A">
        <w:rPr>
          <w:rtl/>
        </w:rPr>
        <w:t xml:space="preserve"> ، ج 4 ، ص 484 ، ح 2408 ؛ </w:t>
      </w:r>
      <w:r w:rsidR="008A74EB" w:rsidRPr="00993B55">
        <w:rPr>
          <w:rStyle w:val="libFootnoteBoldChar"/>
          <w:rtl/>
        </w:rPr>
        <w:t>الوسائل</w:t>
      </w:r>
      <w:r w:rsidR="008A74EB" w:rsidRPr="00C9040A">
        <w:rPr>
          <w:rtl/>
        </w:rPr>
        <w:t xml:space="preserve"> ، ج 16 ، ص 184 ، ح 21301 ؛ </w:t>
      </w:r>
      <w:r w:rsidR="008A74EB" w:rsidRPr="00993B55">
        <w:rPr>
          <w:rStyle w:val="libFootnoteBoldChar"/>
          <w:rtl/>
        </w:rPr>
        <w:t>البحار</w:t>
      </w:r>
      <w:r w:rsidR="008A74EB" w:rsidRPr="00C9040A">
        <w:rPr>
          <w:rtl/>
        </w:rPr>
        <w:t xml:space="preserve"> ، ج 69 ، ص 248 ، ح 23.</w:t>
      </w:r>
    </w:p>
    <w:p w:rsidR="008A74EB" w:rsidRPr="00C9040A" w:rsidRDefault="006C577F" w:rsidP="004A4E41">
      <w:pPr>
        <w:pStyle w:val="libFootnote0"/>
        <w:rPr>
          <w:rtl/>
          <w:lang w:bidi="fa-IR"/>
        </w:rPr>
      </w:pPr>
      <w:r>
        <w:rPr>
          <w:rtl/>
        </w:rPr>
        <w:t>(5).</w:t>
      </w:r>
      <w:r w:rsidR="008A74EB" w:rsidRPr="00C9040A">
        <w:rPr>
          <w:rtl/>
        </w:rPr>
        <w:t xml:space="preserve"> في « ب ، ج » : « بشر »</w:t>
      </w:r>
      <w:r w:rsidR="008A74EB">
        <w:rPr>
          <w:rtl/>
        </w:rPr>
        <w:t>.</w:t>
      </w:r>
      <w:r w:rsidR="008A74EB" w:rsidRPr="00C9040A">
        <w:rPr>
          <w:rtl/>
        </w:rPr>
        <w:t xml:space="preserve"> والرجل مجهول لم نعرفه.</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المحاسن : + « ثمّ نفض يده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المحاسن</w:t>
      </w:r>
      <w:r w:rsidR="008A74EB" w:rsidRPr="00C9040A">
        <w:rPr>
          <w:rtl/>
        </w:rPr>
        <w:t xml:space="preserve"> ، ص 265 ، كتاب مصابيح الظلم ، ح 344 ، عن أبيه ، عن النضر بن سويد. </w:t>
      </w:r>
      <w:r w:rsidR="008A74EB" w:rsidRPr="00993B55">
        <w:rPr>
          <w:rStyle w:val="libFootnoteBoldChar"/>
          <w:rtl/>
        </w:rPr>
        <w:t>وفيه</w:t>
      </w:r>
      <w:r w:rsidR="008A74EB" w:rsidRPr="00C9040A">
        <w:rPr>
          <w:rtl/>
        </w:rPr>
        <w:t xml:space="preserve"> ، ص 162 ، كتاب الصفوة ، ح 109 ، بسند آخر عن بشير الدهّان ، عن أبي عبد الله </w:t>
      </w:r>
      <w:r w:rsidR="00117575" w:rsidRPr="00117575">
        <w:rPr>
          <w:rStyle w:val="libFootnoteAlaemChar"/>
          <w:rtl/>
        </w:rPr>
        <w:t>عليه‌السلام</w:t>
      </w:r>
      <w:r w:rsidR="008A74EB" w:rsidRPr="00C9040A">
        <w:rPr>
          <w:rtl/>
        </w:rPr>
        <w:t xml:space="preserve"> ، مع زيادة في أوّله. </w:t>
      </w:r>
      <w:r w:rsidR="008A74EB" w:rsidRPr="00993B55">
        <w:rPr>
          <w:rStyle w:val="libFootnoteBoldChar"/>
          <w:rtl/>
        </w:rPr>
        <w:t>مصادقة الإخوان</w:t>
      </w:r>
      <w:r w:rsidR="008A74EB" w:rsidRPr="00C9040A">
        <w:rPr>
          <w:rtl/>
        </w:rPr>
        <w:t xml:space="preserve"> ، ص 50 ، ح 1 ، مرسلاً</w:t>
      </w:r>
      <w:r w:rsidR="00764394">
        <w:rPr>
          <w:rFonts w:hint="cs"/>
          <w:rtl/>
        </w:rPr>
        <w:t>.</w:t>
      </w:r>
      <w:r w:rsidR="008A74EB" w:rsidRPr="00993B55">
        <w:rPr>
          <w:rStyle w:val="libFootnoteBoldChar"/>
          <w:rtl/>
        </w:rPr>
        <w:t>الوافي</w:t>
      </w:r>
      <w:r w:rsidR="008A74EB" w:rsidRPr="00C9040A">
        <w:rPr>
          <w:rtl/>
        </w:rPr>
        <w:t xml:space="preserve"> ، ج 4 ، ص 484 ، ح 2409 ؛ </w:t>
      </w:r>
      <w:r w:rsidR="008A74EB" w:rsidRPr="00993B55">
        <w:rPr>
          <w:rStyle w:val="libFootnoteBoldChar"/>
          <w:rtl/>
        </w:rPr>
        <w:t>الوسائل</w:t>
      </w:r>
      <w:r w:rsidR="008A74EB" w:rsidRPr="00C9040A">
        <w:rPr>
          <w:rtl/>
        </w:rPr>
        <w:t xml:space="preserve"> ، ج 16 ، ص 168 ، ح 21256 ؛ </w:t>
      </w:r>
      <w:r w:rsidR="008A74EB" w:rsidRPr="00993B55">
        <w:rPr>
          <w:rStyle w:val="libFootnoteBoldChar"/>
          <w:rtl/>
        </w:rPr>
        <w:t>البحار</w:t>
      </w:r>
      <w:r w:rsidR="008A74EB" w:rsidRPr="00C9040A">
        <w:rPr>
          <w:rtl/>
        </w:rPr>
        <w:t xml:space="preserve"> ، ج 69 ، ص 249 ، ح 24.</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80510A">
        <w:rPr>
          <w:rtl/>
        </w:rPr>
        <w:t>1890</w:t>
      </w:r>
      <w:r w:rsidRPr="00261CB0">
        <w:rPr>
          <w:rStyle w:val="libBold2Char"/>
          <w:rtl/>
        </w:rPr>
        <w:t xml:space="preserve"> / 14.</w:t>
      </w:r>
      <w:r w:rsidRPr="00C9040A">
        <w:rPr>
          <w:rtl/>
          <w:lang w:bidi="fa-IR"/>
        </w:rPr>
        <w:t xml:space="preserve"> عِدَّةٌ مِنْ أَصْحَابِنَا ، عَنْ أَحْمَدَ بْنِ مُحَمَّدٍ </w:t>
      </w:r>
      <w:r w:rsidR="006C577F" w:rsidRPr="006C577F">
        <w:rPr>
          <w:rStyle w:val="libFootnotenumChar"/>
          <w:rtl/>
        </w:rPr>
        <w:t>(1)</w:t>
      </w:r>
      <w:r w:rsidRPr="00C9040A">
        <w:rPr>
          <w:rtl/>
          <w:lang w:bidi="fa-IR"/>
        </w:rPr>
        <w:t xml:space="preserve"> ، عَنْ عُثْمَانَ بْنِ عِيسى ، عَنْ سَمَاعَةَ بْنِ مِهْرَانَ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إِنَّ الْمُسْلِمَيْنِ يَلْتَقِيَانِ </w:t>
      </w:r>
      <w:r w:rsidR="006C577F" w:rsidRPr="006C577F">
        <w:rPr>
          <w:rStyle w:val="libFootnotenumChar"/>
          <w:rtl/>
        </w:rPr>
        <w:t>(2)</w:t>
      </w:r>
      <w:r w:rsidRPr="00C9040A">
        <w:rPr>
          <w:rtl/>
          <w:lang w:bidi="fa-IR"/>
        </w:rPr>
        <w:t xml:space="preserve"> ، فَأَفْضَلُهُمَا </w:t>
      </w:r>
      <w:r w:rsidR="0034021D">
        <w:rPr>
          <w:rtl/>
          <w:lang w:bidi="fa-IR"/>
        </w:rPr>
        <w:t>أَشَدُّهُمَا حُبّاً لِصَاحِبِهِ</w:t>
      </w:r>
      <w:r w:rsidRPr="00C9040A">
        <w:rPr>
          <w:rtl/>
          <w:lang w:bidi="fa-IR"/>
        </w:rPr>
        <w:t>»</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80510A">
        <w:rPr>
          <w:rtl/>
        </w:rPr>
        <w:t>1891</w:t>
      </w:r>
      <w:r w:rsidRPr="00261CB0">
        <w:rPr>
          <w:rStyle w:val="libBold2Char"/>
          <w:rtl/>
        </w:rPr>
        <w:t xml:space="preserve"> / 15.</w:t>
      </w:r>
      <w:r w:rsidRPr="00C9040A">
        <w:rPr>
          <w:rtl/>
          <w:lang w:bidi="fa-IR"/>
        </w:rPr>
        <w:t xml:space="preserve"> عَنْهُ </w:t>
      </w:r>
      <w:r w:rsidR="006C577F" w:rsidRPr="006C577F">
        <w:rPr>
          <w:rStyle w:val="libFootnotenumChar"/>
          <w:rtl/>
        </w:rPr>
        <w:t>(4)</w:t>
      </w:r>
      <w:r w:rsidRPr="00C9040A">
        <w:rPr>
          <w:rtl/>
          <w:lang w:bidi="fa-IR"/>
        </w:rPr>
        <w:t xml:space="preserve"> ، عَنْ أَحْمَدَ بْنِ مُحَمَّدِ بْنِ أَبِي نَصْرٍ وَابْنِ فَضَّالٍ ، عَنْ صَفْوَانَ الْجَمَّالِ :</w:t>
      </w:r>
    </w:p>
    <w:p w:rsidR="008A74EB" w:rsidRPr="00C9040A" w:rsidRDefault="008A74EB" w:rsidP="00764394">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مَا الْتَقى مُؤْمِنَانِ قَطُّ </w:t>
      </w:r>
      <w:r w:rsidR="006C577F" w:rsidRPr="006C577F">
        <w:rPr>
          <w:rStyle w:val="libFootnotenumChar"/>
          <w:rtl/>
        </w:rPr>
        <w:t>(5)</w:t>
      </w:r>
      <w:r w:rsidR="00764394">
        <w:rPr>
          <w:rtl/>
          <w:lang w:bidi="fa-IR"/>
        </w:rPr>
        <w:t xml:space="preserve"> إِل</w:t>
      </w:r>
      <w:r w:rsidR="00764394">
        <w:rPr>
          <w:rFonts w:hint="cs"/>
          <w:rtl/>
          <w:lang w:bidi="fa-IR"/>
        </w:rPr>
        <w:t>َّ</w:t>
      </w:r>
      <w:r w:rsidR="00764394">
        <w:rPr>
          <w:rtl/>
          <w:lang w:bidi="fa-IR"/>
        </w:rPr>
        <w:t>ا</w:t>
      </w:r>
      <w:r w:rsidRPr="00C9040A">
        <w:rPr>
          <w:rtl/>
          <w:lang w:bidi="fa-IR"/>
        </w:rPr>
        <w:t xml:space="preserve"> كَانَ أَفْضَلُهُمَا </w:t>
      </w:r>
      <w:r w:rsidR="006C577F" w:rsidRPr="006C577F">
        <w:rPr>
          <w:rStyle w:val="libFootnotenumChar"/>
          <w:rtl/>
        </w:rPr>
        <w:t>(6)</w:t>
      </w:r>
      <w:r w:rsidRPr="005B567D">
        <w:rPr>
          <w:rStyle w:val="libFootnotenumChar"/>
          <w:rtl/>
        </w:rPr>
        <w:t xml:space="preserve"> </w:t>
      </w:r>
      <w:r w:rsidRPr="00C9040A">
        <w:rPr>
          <w:rtl/>
          <w:lang w:bidi="fa-IR"/>
        </w:rPr>
        <w:t xml:space="preserve">أَشَدَّهُمَا حُبّاً لِأَخِيهِ </w:t>
      </w:r>
      <w:r w:rsidR="006C577F" w:rsidRPr="006C577F">
        <w:rPr>
          <w:rStyle w:val="libFootnotenumChar"/>
          <w:rtl/>
        </w:rPr>
        <w:t>(7)</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(8)</w:t>
      </w:r>
    </w:p>
    <w:p w:rsidR="008A74EB" w:rsidRPr="00C9040A" w:rsidRDefault="008A74EB" w:rsidP="008A74EB">
      <w:pPr>
        <w:pStyle w:val="libNormal"/>
        <w:rPr>
          <w:rtl/>
          <w:lang w:bidi="fa-IR"/>
        </w:rPr>
      </w:pPr>
      <w:r w:rsidRPr="0080510A">
        <w:rPr>
          <w:rtl/>
        </w:rPr>
        <w:t>1892</w:t>
      </w:r>
      <w:r w:rsidRPr="00261CB0">
        <w:rPr>
          <w:rStyle w:val="libBold2Char"/>
          <w:rtl/>
        </w:rPr>
        <w:t xml:space="preserve"> / 16.</w:t>
      </w:r>
      <w:r w:rsidRPr="00C9040A">
        <w:rPr>
          <w:rtl/>
          <w:lang w:bidi="fa-IR"/>
        </w:rPr>
        <w:t xml:space="preserve"> الْحُسَيْنُ بْنُ مُحَمَّدٍ ، عَنْ مُحَمَّدِ بْنِ عِمْرَانَ السَّبِيعِيِّ ، عَنْ عَبْدِ اللهِ بْنِ جَبَلَةَ ، عَنْ إِسْحَاقَ بْنِ عَمَّارٍ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كُلُّ مَنْ لَمْ يُحِبَّ عَلَى الدِّينِ وَلَمْ يُبْغِضْ عَلَى الدِّينِ ، فَلَا دِينَ لَهُ »</w:t>
      </w:r>
      <w:r>
        <w:rPr>
          <w:rtl/>
          <w:lang w:bidi="fa-IR"/>
        </w:rPr>
        <w:t>.</w:t>
      </w:r>
      <w:r w:rsidRPr="00C9040A">
        <w:rPr>
          <w:rtl/>
          <w:lang w:bidi="fa-IR"/>
        </w:rPr>
        <w:t xml:space="preserve"> </w:t>
      </w:r>
      <w:r w:rsidR="006C577F" w:rsidRPr="006C577F">
        <w:rPr>
          <w:rStyle w:val="libFootnotenumChar"/>
          <w:rtl/>
        </w:rPr>
        <w:t>(9)</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هكذا في « د ، ز ، ص ض ، ف ، بر ، بس ، بف ، جر » والطبعة الحجريّة من الكتاب. وفي « ب » والمطبوع : + « بن‌خالد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الوافي : « ليلتقيان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w:t>
      </w:r>
      <w:r w:rsidR="008A74EB" w:rsidRPr="00993B55">
        <w:rPr>
          <w:rStyle w:val="libFootnoteBoldChar"/>
          <w:rtl/>
        </w:rPr>
        <w:t>المحاسن</w:t>
      </w:r>
      <w:r w:rsidR="008A74EB" w:rsidRPr="00C9040A">
        <w:rPr>
          <w:rtl/>
        </w:rPr>
        <w:t xml:space="preserve"> ، ص 264 ، كتاب مصابيح الظلم ، ح 334 ، عن عثمان بن عيسى</w:t>
      </w:r>
      <w:r w:rsidR="00764394">
        <w:rPr>
          <w:rFonts w:hint="cs"/>
          <w:rtl/>
        </w:rPr>
        <w:t>.</w:t>
      </w:r>
      <w:r w:rsidR="008A74EB" w:rsidRPr="00993B55">
        <w:rPr>
          <w:rStyle w:val="libFootnoteBoldChar"/>
          <w:rtl/>
        </w:rPr>
        <w:t>الوافي</w:t>
      </w:r>
      <w:r w:rsidR="008A74EB" w:rsidRPr="00C9040A">
        <w:rPr>
          <w:rtl/>
        </w:rPr>
        <w:t xml:space="preserve"> ، ج 4 ، ص 485 ، ح 2410 ؛ </w:t>
      </w:r>
      <w:r w:rsidR="008A74EB" w:rsidRPr="00993B55">
        <w:rPr>
          <w:rStyle w:val="libFootnoteBoldChar"/>
          <w:rtl/>
        </w:rPr>
        <w:t>الوسائل</w:t>
      </w:r>
      <w:r w:rsidR="008A74EB" w:rsidRPr="00C9040A">
        <w:rPr>
          <w:rtl/>
        </w:rPr>
        <w:t xml:space="preserve"> ، ج 16 ، ص 176 ، ح 21283 ؛ </w:t>
      </w:r>
      <w:r w:rsidR="008A74EB" w:rsidRPr="00993B55">
        <w:rPr>
          <w:rStyle w:val="libFootnoteBoldChar"/>
          <w:rtl/>
        </w:rPr>
        <w:t>البحار</w:t>
      </w:r>
      <w:r w:rsidR="008A74EB" w:rsidRPr="00C9040A">
        <w:rPr>
          <w:rtl/>
        </w:rPr>
        <w:t xml:space="preserve"> ، ج 69 ، ص 250 ، ح 25.</w:t>
      </w:r>
    </w:p>
    <w:p w:rsidR="008A74EB" w:rsidRPr="00C9040A" w:rsidRDefault="006C577F" w:rsidP="004A4E41">
      <w:pPr>
        <w:pStyle w:val="libFootnote0"/>
        <w:rPr>
          <w:rtl/>
          <w:lang w:bidi="fa-IR"/>
        </w:rPr>
      </w:pPr>
      <w:r>
        <w:rPr>
          <w:rtl/>
        </w:rPr>
        <w:t>(4).</w:t>
      </w:r>
      <w:r w:rsidR="008A74EB" w:rsidRPr="00C9040A">
        <w:rPr>
          <w:rtl/>
        </w:rPr>
        <w:t xml:space="preserve"> الضمير راجع إلى أحمد بن محمّد المذكور في السند السابق.</w:t>
      </w:r>
    </w:p>
    <w:p w:rsidR="008A74EB" w:rsidRPr="00C9040A" w:rsidRDefault="006C577F" w:rsidP="004A4E41">
      <w:pPr>
        <w:pStyle w:val="libFootnote0"/>
        <w:rPr>
          <w:rtl/>
          <w:lang w:bidi="fa-IR"/>
        </w:rPr>
      </w:pPr>
      <w:r>
        <w:rPr>
          <w:rtl/>
        </w:rPr>
        <w:t>(5).</w:t>
      </w:r>
      <w:r w:rsidR="008A74EB" w:rsidRPr="00C9040A">
        <w:rPr>
          <w:rtl/>
        </w:rPr>
        <w:t xml:space="preserve"> في المؤمن : + « فتصافحا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المؤمن : + « إيماناً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ض ، بس » : « لصاحبه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w:t>
      </w:r>
      <w:r w:rsidR="008A74EB" w:rsidRPr="00993B55">
        <w:rPr>
          <w:rStyle w:val="libFootnoteBoldChar"/>
          <w:rtl/>
        </w:rPr>
        <w:t>المحاسن</w:t>
      </w:r>
      <w:r w:rsidR="008A74EB" w:rsidRPr="00C9040A">
        <w:rPr>
          <w:rtl/>
        </w:rPr>
        <w:t xml:space="preserve"> ، ص 263 ، كتاب مصابيح الظلم ، ح 333 ، عن أحمد بن أبي نصر. </w:t>
      </w:r>
      <w:r w:rsidR="008A74EB" w:rsidRPr="00993B55">
        <w:rPr>
          <w:rStyle w:val="libFootnoteBoldChar"/>
          <w:rtl/>
        </w:rPr>
        <w:t>المؤمن</w:t>
      </w:r>
      <w:r w:rsidR="008A74EB" w:rsidRPr="00C9040A">
        <w:rPr>
          <w:rtl/>
        </w:rPr>
        <w:t xml:space="preserve"> ، ص 31 ، ح 60 ، عن صفوان الجمّال ، مع اختلاف يسير وزيادة في آخره</w:t>
      </w:r>
      <w:r w:rsidR="00764394">
        <w:rPr>
          <w:rFonts w:hint="cs"/>
          <w:rtl/>
        </w:rPr>
        <w:t>.</w:t>
      </w:r>
      <w:r w:rsidR="008A74EB" w:rsidRPr="00993B55">
        <w:rPr>
          <w:rStyle w:val="libFootnoteBoldChar"/>
          <w:rtl/>
        </w:rPr>
        <w:t>الوافي</w:t>
      </w:r>
      <w:r w:rsidR="008A74EB" w:rsidRPr="00C9040A">
        <w:rPr>
          <w:rtl/>
        </w:rPr>
        <w:t xml:space="preserve"> ، ج 4 ، ص 485 ، ح 2411 ؛ </w:t>
      </w:r>
      <w:r w:rsidR="008A74EB" w:rsidRPr="00993B55">
        <w:rPr>
          <w:rStyle w:val="libFootnoteBoldChar"/>
          <w:rtl/>
        </w:rPr>
        <w:t>الوسائل</w:t>
      </w:r>
      <w:r w:rsidR="008A74EB" w:rsidRPr="00C9040A">
        <w:rPr>
          <w:rtl/>
        </w:rPr>
        <w:t xml:space="preserve"> ، ج 16 ، ص 176 ، ح 21282 ؛ </w:t>
      </w:r>
      <w:r w:rsidR="008A74EB" w:rsidRPr="00993B55">
        <w:rPr>
          <w:rStyle w:val="libFootnoteBoldChar"/>
          <w:rtl/>
        </w:rPr>
        <w:t>البحار</w:t>
      </w:r>
      <w:r w:rsidR="008A74EB" w:rsidRPr="00C9040A">
        <w:rPr>
          <w:rtl/>
        </w:rPr>
        <w:t xml:space="preserve"> ، ج 69 ، ص 250 ، ح 26.</w:t>
      </w:r>
    </w:p>
    <w:p w:rsidR="008A74EB" w:rsidRPr="00C9040A" w:rsidRDefault="006C577F" w:rsidP="004A4E41">
      <w:pPr>
        <w:pStyle w:val="libFootnote0"/>
        <w:rPr>
          <w:rtl/>
          <w:lang w:bidi="fa-IR"/>
        </w:rPr>
      </w:pPr>
      <w:r>
        <w:rPr>
          <w:rtl/>
        </w:rPr>
        <w:t>(9).</w:t>
      </w:r>
      <w:r w:rsidR="008A74EB" w:rsidRPr="00C9040A">
        <w:rPr>
          <w:rtl/>
        </w:rPr>
        <w:t xml:space="preserve"> </w:t>
      </w:r>
      <w:r w:rsidR="008A74EB" w:rsidRPr="00993B55">
        <w:rPr>
          <w:rStyle w:val="libFootnoteBoldChar"/>
          <w:rtl/>
        </w:rPr>
        <w:t>الوافي</w:t>
      </w:r>
      <w:r w:rsidR="008A74EB" w:rsidRPr="00C9040A">
        <w:rPr>
          <w:rtl/>
        </w:rPr>
        <w:t xml:space="preserve"> ، ج 4 ، ص 485 ، ح 2412 ؛ </w:t>
      </w:r>
      <w:r w:rsidR="008A74EB" w:rsidRPr="00993B55">
        <w:rPr>
          <w:rStyle w:val="libFootnoteBoldChar"/>
          <w:rtl/>
        </w:rPr>
        <w:t>الوسائل</w:t>
      </w:r>
      <w:r w:rsidR="008A74EB" w:rsidRPr="00C9040A">
        <w:rPr>
          <w:rtl/>
        </w:rPr>
        <w:t xml:space="preserve"> ، ج 16 ، ص 177 ، ح 21285 ؛ </w:t>
      </w:r>
      <w:r w:rsidR="008A74EB" w:rsidRPr="00993B55">
        <w:rPr>
          <w:rStyle w:val="libFootnoteBoldChar"/>
          <w:rtl/>
        </w:rPr>
        <w:t>البحار</w:t>
      </w:r>
      <w:r w:rsidR="008A74EB" w:rsidRPr="00C9040A">
        <w:rPr>
          <w:rtl/>
        </w:rPr>
        <w:t xml:space="preserve"> ، ج 69 ، ص 250 ، ح 27.</w:t>
      </w:r>
    </w:p>
    <w:p w:rsidR="004B7F34" w:rsidRDefault="004B7F34" w:rsidP="004B7F34">
      <w:pPr>
        <w:pStyle w:val="libNormal"/>
        <w:rPr>
          <w:rtl/>
          <w:lang w:bidi="fa-IR"/>
        </w:rPr>
      </w:pPr>
      <w:r>
        <w:rPr>
          <w:rtl/>
          <w:lang w:bidi="fa-IR"/>
        </w:rPr>
        <w:br w:type="page"/>
      </w:r>
    </w:p>
    <w:p w:rsidR="008A74EB" w:rsidRPr="00C9040A" w:rsidRDefault="008A74EB" w:rsidP="008A74EB">
      <w:pPr>
        <w:pStyle w:val="Heading2Center"/>
        <w:rPr>
          <w:rtl/>
          <w:lang w:bidi="fa-IR"/>
        </w:rPr>
      </w:pPr>
      <w:bookmarkStart w:id="193" w:name="_Toc343795652"/>
      <w:bookmarkStart w:id="194" w:name="_Toc459810776"/>
      <w:bookmarkStart w:id="195" w:name="_Toc35348682"/>
      <w:r w:rsidRPr="00C9040A">
        <w:rPr>
          <w:rtl/>
          <w:lang w:bidi="fa-IR"/>
        </w:rPr>
        <w:t>61</w:t>
      </w:r>
      <w:r>
        <w:rPr>
          <w:rtl/>
          <w:lang w:bidi="fa-IR"/>
        </w:rPr>
        <w:t xml:space="preserve"> </w:t>
      </w:r>
      <w:r w:rsidR="0084262C">
        <w:rPr>
          <w:rtl/>
          <w:lang w:bidi="fa-IR"/>
        </w:rPr>
        <w:t>-</w:t>
      </w:r>
      <w:r>
        <w:rPr>
          <w:rtl/>
          <w:lang w:bidi="fa-IR"/>
        </w:rPr>
        <w:t xml:space="preserve"> </w:t>
      </w:r>
      <w:r w:rsidRPr="00C9040A">
        <w:rPr>
          <w:rtl/>
          <w:lang w:bidi="fa-IR"/>
        </w:rPr>
        <w:t>بَابُ ذَمِّ الدُّنْيَا وَالزُّهْدِ فِيهَا‌</w:t>
      </w:r>
      <w:bookmarkEnd w:id="193"/>
      <w:bookmarkEnd w:id="194"/>
      <w:bookmarkEnd w:id="195"/>
    </w:p>
    <w:p w:rsidR="008A74EB" w:rsidRPr="00C9040A" w:rsidRDefault="008A74EB" w:rsidP="008A74EB">
      <w:pPr>
        <w:pStyle w:val="libNormal"/>
        <w:rPr>
          <w:rtl/>
          <w:lang w:bidi="fa-IR"/>
        </w:rPr>
      </w:pPr>
      <w:r w:rsidRPr="0080510A">
        <w:rPr>
          <w:rtl/>
        </w:rPr>
        <w:t>1893</w:t>
      </w:r>
      <w:r w:rsidRPr="00261CB0">
        <w:rPr>
          <w:rStyle w:val="libBold2Char"/>
          <w:rtl/>
        </w:rPr>
        <w:t xml:space="preserve"> / 1.</w:t>
      </w:r>
      <w:r w:rsidRPr="00C9040A">
        <w:rPr>
          <w:rtl/>
          <w:lang w:bidi="fa-IR"/>
        </w:rPr>
        <w:t xml:space="preserve"> مُحَمَّدُ بْنُ يَحْيى ، عَنْ أَحْمَدَ بْنِ مُحَمَّدِ بْنِ عِيسى ، عَنِ الْحَسَنِ بْنِ مَحْبُوبٍ ، عَنِ الْهَيْثَمِ بْنِ وَاقِدٍ الْجَزَرِيِّ </w:t>
      </w:r>
      <w:r w:rsidR="006C577F" w:rsidRPr="006C577F">
        <w:rPr>
          <w:rStyle w:val="libFootnotenumChar"/>
          <w:rtl/>
        </w:rPr>
        <w:t>(1)</w:t>
      </w:r>
      <w:r w:rsidRPr="00C9040A">
        <w:rPr>
          <w:rtl/>
          <w:lang w:bidi="fa-IR"/>
        </w:rPr>
        <w:t xml:space="preserve">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مَنْ زَهِدَ فِي الدُّنْيَا أَثْبَتَ </w:t>
      </w:r>
      <w:r w:rsidR="006C577F" w:rsidRPr="006C577F">
        <w:rPr>
          <w:rStyle w:val="libFootnotenumChar"/>
          <w:rtl/>
        </w:rPr>
        <w:t>(2)</w:t>
      </w:r>
      <w:r w:rsidRPr="00C9040A">
        <w:rPr>
          <w:rtl/>
          <w:lang w:bidi="fa-IR"/>
        </w:rPr>
        <w:t xml:space="preserve"> اللهُ الْحِكْمَةَ فِي قَلْبِهِ ، وَأَنْطَقَ </w:t>
      </w:r>
      <w:r w:rsidR="006C577F" w:rsidRPr="006C577F">
        <w:rPr>
          <w:rStyle w:val="libFootnotenumChar"/>
          <w:rtl/>
        </w:rPr>
        <w:t>(3)</w:t>
      </w:r>
      <w:r w:rsidRPr="00C9040A">
        <w:rPr>
          <w:rtl/>
          <w:lang w:bidi="fa-IR"/>
        </w:rPr>
        <w:t xml:space="preserve"> بِهَا لِسَانَهُ ، وَبَصَّرَهُ عُيُوبَ الدُّنْيَا دَاءَهَا وَدَوَاءَهَا </w:t>
      </w:r>
      <w:r w:rsidR="006C577F" w:rsidRPr="006C577F">
        <w:rPr>
          <w:rStyle w:val="libFootnotenumChar"/>
          <w:rtl/>
        </w:rPr>
        <w:t>(4)</w:t>
      </w:r>
      <w:r w:rsidRPr="00C9040A">
        <w:rPr>
          <w:rtl/>
          <w:lang w:bidi="fa-IR"/>
        </w:rPr>
        <w:t xml:space="preserve"> ، وَأَخْرَجَهُ مِنَ الدُّنْيَا </w:t>
      </w:r>
      <w:r w:rsidR="006C577F" w:rsidRPr="006C577F">
        <w:rPr>
          <w:rStyle w:val="libFootnotenumChar"/>
          <w:rtl/>
        </w:rPr>
        <w:t>(5)</w:t>
      </w:r>
      <w:r w:rsidR="0034021D">
        <w:rPr>
          <w:rtl/>
          <w:lang w:bidi="fa-IR"/>
        </w:rPr>
        <w:t xml:space="preserve"> سَالِماً إِلى دَارِ السَّلَامِ</w:t>
      </w:r>
      <w:r w:rsidRPr="00C9040A">
        <w:rPr>
          <w:rtl/>
          <w:lang w:bidi="fa-IR"/>
        </w:rPr>
        <w:t>»</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Normal"/>
        <w:rPr>
          <w:rtl/>
          <w:lang w:bidi="fa-IR"/>
        </w:rPr>
      </w:pPr>
      <w:r w:rsidRPr="00B449CB">
        <w:rPr>
          <w:rtl/>
        </w:rPr>
        <w:t>1894</w:t>
      </w:r>
      <w:r w:rsidRPr="00261CB0">
        <w:rPr>
          <w:rStyle w:val="libBold2Char"/>
          <w:rtl/>
        </w:rPr>
        <w:t xml:space="preserve"> / 2.</w:t>
      </w:r>
      <w:r w:rsidRPr="00C9040A">
        <w:rPr>
          <w:rtl/>
          <w:lang w:bidi="fa-IR"/>
        </w:rPr>
        <w:t xml:space="preserve"> عَلِيُّ بْنُ إِبْرَاهِيمَ ، عَنْ أَبِيهِ وَعَلِيِّ بْنِ مُحَمَّدٍ الْقَاسَانِيِّ </w:t>
      </w:r>
      <w:r w:rsidR="006C577F" w:rsidRPr="006C577F">
        <w:rPr>
          <w:rStyle w:val="libFootnotenumChar"/>
          <w:rtl/>
        </w:rPr>
        <w:t>(7)</w:t>
      </w:r>
      <w:r w:rsidRPr="00C9040A">
        <w:rPr>
          <w:rtl/>
          <w:lang w:bidi="fa-IR"/>
        </w:rPr>
        <w:t xml:space="preserve"> جَمِيعاً ، عَنِ الْقَاسِمِ‌</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هكذا في حاشية « ج »</w:t>
      </w:r>
      <w:r w:rsidR="008A74EB">
        <w:rPr>
          <w:rtl/>
        </w:rPr>
        <w:t>.</w:t>
      </w:r>
      <w:r w:rsidR="008A74EB" w:rsidRPr="00C9040A">
        <w:rPr>
          <w:rtl/>
        </w:rPr>
        <w:t xml:space="preserve"> وفي « ب ، ج ، د ، ز ، ص ، بر ، بس ، بف ، جر</w:t>
      </w:r>
      <w:r w:rsidR="0034021D">
        <w:rPr>
          <w:rtl/>
        </w:rPr>
        <w:t xml:space="preserve"> » والمطبوع والبحار : « الحريري</w:t>
      </w:r>
      <w:r w:rsidR="008A74EB" w:rsidRPr="00C9040A">
        <w:rPr>
          <w:rtl/>
        </w:rPr>
        <w:t>»</w:t>
      </w:r>
      <w:r w:rsidR="008A74EB">
        <w:rPr>
          <w:rtl/>
        </w:rPr>
        <w:t>.</w:t>
      </w:r>
      <w:r w:rsidR="008A74EB" w:rsidRPr="00C9040A">
        <w:rPr>
          <w:rtl/>
        </w:rPr>
        <w:t xml:space="preserve"> وفي « ض ، ف » والوسائل : « الجريري »</w:t>
      </w:r>
      <w:r w:rsidR="008A74EB">
        <w:rPr>
          <w:rtl/>
        </w:rPr>
        <w:t>.</w:t>
      </w:r>
      <w:r w:rsidR="008A74EB" w:rsidRPr="00C9040A">
        <w:rPr>
          <w:rtl/>
        </w:rPr>
        <w:t xml:space="preserve"> والصواب ما أثبتناه ؛ فإنّ المذكور في كتب الرجال هو الهيثم بن واقد الجزري. راجع : </w:t>
      </w:r>
      <w:r w:rsidR="008A74EB" w:rsidRPr="00993B55">
        <w:rPr>
          <w:rStyle w:val="libFootnoteBoldChar"/>
          <w:rtl/>
        </w:rPr>
        <w:t>رجال النجاشي</w:t>
      </w:r>
      <w:r w:rsidR="008A74EB" w:rsidRPr="00C9040A">
        <w:rPr>
          <w:rtl/>
        </w:rPr>
        <w:t xml:space="preserve"> ، ص 436 ، الرقم 1171 ؛ </w:t>
      </w:r>
      <w:r w:rsidR="008A74EB" w:rsidRPr="00993B55">
        <w:rPr>
          <w:rStyle w:val="libFootnoteBoldChar"/>
          <w:rtl/>
        </w:rPr>
        <w:t>رجال البرقي</w:t>
      </w:r>
      <w:r w:rsidR="008A74EB" w:rsidRPr="00C9040A">
        <w:rPr>
          <w:rtl/>
        </w:rPr>
        <w:t xml:space="preserve"> ، ص 40 ؛ </w:t>
      </w:r>
      <w:r w:rsidR="008A74EB" w:rsidRPr="00993B55">
        <w:rPr>
          <w:rStyle w:val="libFootnoteBoldChar"/>
          <w:rtl/>
        </w:rPr>
        <w:t>رجال الطوسي</w:t>
      </w:r>
      <w:r w:rsidR="008A74EB" w:rsidRPr="00C9040A">
        <w:rPr>
          <w:rtl/>
        </w:rPr>
        <w:t xml:space="preserve"> ، ص 320 ، الرقم 4769.</w:t>
      </w:r>
    </w:p>
    <w:p w:rsidR="008A74EB" w:rsidRPr="00C9040A" w:rsidRDefault="008A74EB" w:rsidP="004A4E41">
      <w:pPr>
        <w:pStyle w:val="libFootnote0"/>
        <w:rPr>
          <w:rtl/>
          <w:lang w:bidi="fa-IR"/>
        </w:rPr>
      </w:pPr>
      <w:r w:rsidRPr="00323A39">
        <w:rPr>
          <w:rtl/>
        </w:rPr>
        <w:t xml:space="preserve">هذا ، وقد أورد ابن إدريس الخبر في </w:t>
      </w:r>
      <w:r w:rsidRPr="00993B55">
        <w:rPr>
          <w:rStyle w:val="libFootnoteBoldChar"/>
          <w:rtl/>
        </w:rPr>
        <w:t>مستطرفات السرائر</w:t>
      </w:r>
      <w:r w:rsidRPr="00323A39">
        <w:rPr>
          <w:rtl/>
        </w:rPr>
        <w:t xml:space="preserve"> ، ص 593 </w:t>
      </w:r>
      <w:r w:rsidR="0084262C" w:rsidRPr="00323A39">
        <w:rPr>
          <w:rtl/>
        </w:rPr>
        <w:t>-</w:t>
      </w:r>
      <w:r w:rsidRPr="00323A39">
        <w:rPr>
          <w:rtl/>
        </w:rPr>
        <w:t xml:space="preserve"> في ضمن حديث </w:t>
      </w:r>
      <w:r w:rsidR="0084262C" w:rsidRPr="00323A39">
        <w:rPr>
          <w:rtl/>
        </w:rPr>
        <w:t>-</w:t>
      </w:r>
      <w:r w:rsidRPr="00323A39">
        <w:rPr>
          <w:rtl/>
        </w:rPr>
        <w:t xml:space="preserve"> نقلاً من كتاب المشيخة للحسن بن محبوب عن الهيثم بن واقد الجزري.</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ثواب الأعمال : « أنبت » بالنون ، واحتمله المازندراني في شرحه.</w:t>
      </w:r>
    </w:p>
    <w:p w:rsidR="008A74EB" w:rsidRPr="00C9040A" w:rsidRDefault="006C577F" w:rsidP="004A4E41">
      <w:pPr>
        <w:pStyle w:val="libFootnote0"/>
        <w:rPr>
          <w:rtl/>
          <w:lang w:bidi="fa-IR"/>
        </w:rPr>
      </w:pPr>
      <w:r>
        <w:rPr>
          <w:rtl/>
        </w:rPr>
        <w:t>(3).</w:t>
      </w:r>
      <w:r w:rsidR="008A74EB" w:rsidRPr="00C9040A">
        <w:rPr>
          <w:rtl/>
        </w:rPr>
        <w:t xml:space="preserve"> في ثواب الأعمال : « وانطلق »</w:t>
      </w:r>
      <w:r w:rsidR="008A74EB">
        <w:rPr>
          <w:rtl/>
        </w:rPr>
        <w:t>.</w:t>
      </w:r>
      <w:r w:rsidR="008A74EB" w:rsidRPr="00C9040A">
        <w:rPr>
          <w:rtl/>
        </w:rPr>
        <w:t xml:space="preserve"> وفي الأمالي للطوسي : « وأطلق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w:t>
      </w:r>
      <w:r w:rsidR="008A74EB" w:rsidRPr="00993B55">
        <w:rPr>
          <w:rStyle w:val="libFootnoteBoldChar"/>
          <w:rtl/>
        </w:rPr>
        <w:t>مرآة العقول</w:t>
      </w:r>
      <w:r w:rsidR="008A74EB" w:rsidRPr="00C9040A">
        <w:rPr>
          <w:rtl/>
        </w:rPr>
        <w:t xml:space="preserve"> ، ج 8 ، ص 268 : « وقيل : داءها ودواءها ، مجروران بدلا بعض للدنيا ، فالمراد بعيوب دواء الدنيا : شدّتها على النفس وصعوبتها. وربّما يقرأ : دواها ، بالقصر ، بمعنى الأحمق ، أي المبتلى بحبّ الدنيا. ولا يخفى بعده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الوسائل وثواب الأعمال : « منها » بدل « من الدنيا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الفقيه</w:t>
      </w:r>
      <w:r w:rsidR="008A74EB" w:rsidRPr="00C9040A">
        <w:rPr>
          <w:rtl/>
        </w:rPr>
        <w:t xml:space="preserve"> ، ج 4 ، ص 410 ، ح 5890 ، عن الحسن بن محبوب. وفي </w:t>
      </w:r>
      <w:r w:rsidR="008A74EB" w:rsidRPr="00993B55">
        <w:rPr>
          <w:rStyle w:val="libFootnoteBoldChar"/>
          <w:rtl/>
        </w:rPr>
        <w:t>ثواب الأعمال</w:t>
      </w:r>
      <w:r w:rsidR="008A74EB" w:rsidRPr="00C9040A">
        <w:rPr>
          <w:rtl/>
        </w:rPr>
        <w:t xml:space="preserve"> ، ص 199 ، ح 1 ؛ </w:t>
      </w:r>
      <w:r w:rsidR="008A74EB" w:rsidRPr="00AC2E2F">
        <w:rPr>
          <w:rStyle w:val="libFootnoteBoldChar"/>
          <w:rtl/>
        </w:rPr>
        <w:t>والأمالي للطوسي</w:t>
      </w:r>
      <w:r w:rsidR="008A74EB" w:rsidRPr="00C9040A">
        <w:rPr>
          <w:rtl/>
        </w:rPr>
        <w:t xml:space="preserve"> ، ص 721 ، المجلس 43 ، ح 8 ، بسند آخر ، وفي كلّها مع زيادة في أوّله ؛ </w:t>
      </w:r>
      <w:r w:rsidR="008A74EB" w:rsidRPr="00993B55">
        <w:rPr>
          <w:rStyle w:val="libFootnoteBoldChar"/>
          <w:rtl/>
        </w:rPr>
        <w:t>وفيه</w:t>
      </w:r>
      <w:r w:rsidR="008A74EB" w:rsidRPr="00C9040A">
        <w:rPr>
          <w:rtl/>
        </w:rPr>
        <w:t xml:space="preserve"> ، ص 531 ، المجلس 19 ، ضمن الحديث الطويل 1 ، بسند آخر عن أبي ذرّ ، عن رسول الله </w:t>
      </w:r>
      <w:r w:rsidR="004A4E41" w:rsidRPr="0034021D">
        <w:rPr>
          <w:rStyle w:val="libFootnoteAlaemChar"/>
          <w:rtl/>
        </w:rPr>
        <w:t>صلى‌الله‌عليه‌وآله</w:t>
      </w:r>
      <w:r w:rsidR="008A74EB" w:rsidRPr="00C9040A">
        <w:rPr>
          <w:rtl/>
        </w:rPr>
        <w:t xml:space="preserve"> ، مع اختلاف يسير. </w:t>
      </w:r>
      <w:r w:rsidR="008A74EB" w:rsidRPr="00993B55">
        <w:rPr>
          <w:rStyle w:val="libFootnoteBoldChar"/>
          <w:rtl/>
        </w:rPr>
        <w:t>تحف العقول</w:t>
      </w:r>
      <w:r w:rsidR="008A74EB" w:rsidRPr="00C9040A">
        <w:rPr>
          <w:rtl/>
        </w:rPr>
        <w:t xml:space="preserve"> ، ص 57 ، عن رسول الله </w:t>
      </w:r>
      <w:r w:rsidR="004A4E41" w:rsidRPr="0034021D">
        <w:rPr>
          <w:rStyle w:val="libFootnoteAlaemChar"/>
          <w:rtl/>
        </w:rPr>
        <w:t>صلى‌الله‌عليه‌وآله</w:t>
      </w:r>
      <w:r w:rsidR="008A74EB" w:rsidRPr="00C9040A">
        <w:rPr>
          <w:rtl/>
        </w:rPr>
        <w:t xml:space="preserve"> ، مع اختلاف يسير وزيادة في أوّله</w:t>
      </w:r>
      <w:r w:rsidR="00764394">
        <w:rPr>
          <w:rFonts w:hint="cs"/>
          <w:rtl/>
        </w:rPr>
        <w:t>.</w:t>
      </w:r>
      <w:r w:rsidR="008A74EB" w:rsidRPr="00993B55">
        <w:rPr>
          <w:rStyle w:val="libFootnoteBoldChar"/>
          <w:rtl/>
        </w:rPr>
        <w:t>الوافي</w:t>
      </w:r>
      <w:r w:rsidR="008A74EB" w:rsidRPr="00C9040A">
        <w:rPr>
          <w:rtl/>
        </w:rPr>
        <w:t xml:space="preserve"> ، ج 4 ، ص 387 ، ح 2164 ؛ </w:t>
      </w:r>
      <w:r w:rsidR="008A74EB" w:rsidRPr="00993B55">
        <w:rPr>
          <w:rStyle w:val="libFootnoteBoldChar"/>
          <w:rtl/>
        </w:rPr>
        <w:t>الوسائل</w:t>
      </w:r>
      <w:r w:rsidR="008A74EB" w:rsidRPr="00C9040A">
        <w:rPr>
          <w:rtl/>
        </w:rPr>
        <w:t xml:space="preserve"> ، ج 16 ، ص 10 ، ح 20827 ؛ </w:t>
      </w:r>
      <w:r w:rsidR="008A74EB" w:rsidRPr="00993B55">
        <w:rPr>
          <w:rStyle w:val="libFootnoteBoldChar"/>
          <w:rtl/>
        </w:rPr>
        <w:t>البحار</w:t>
      </w:r>
      <w:r w:rsidR="008A74EB" w:rsidRPr="00C9040A">
        <w:rPr>
          <w:rtl/>
        </w:rPr>
        <w:t xml:space="preserve"> ، ج 73 ، ص 48 ، ح 19.</w:t>
      </w:r>
    </w:p>
    <w:p w:rsidR="008A74EB" w:rsidRPr="00C9040A" w:rsidRDefault="006C577F" w:rsidP="004A4E41">
      <w:pPr>
        <w:pStyle w:val="libFootnote0"/>
        <w:rPr>
          <w:rtl/>
          <w:lang w:bidi="fa-IR"/>
        </w:rPr>
      </w:pPr>
      <w:r>
        <w:rPr>
          <w:rtl/>
        </w:rPr>
        <w:t>(7).</w:t>
      </w:r>
      <w:r w:rsidR="008A74EB" w:rsidRPr="00C9040A">
        <w:rPr>
          <w:rtl/>
        </w:rPr>
        <w:t xml:space="preserve"> في « ر ، بس » : « القاشاني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بْنِ مُحَمَّدٍ </w:t>
      </w:r>
      <w:r w:rsidR="006C577F" w:rsidRPr="006C577F">
        <w:rPr>
          <w:rStyle w:val="libFootnotenumChar"/>
          <w:rtl/>
        </w:rPr>
        <w:t>(1)</w:t>
      </w:r>
      <w:r w:rsidRPr="00C9040A">
        <w:rPr>
          <w:rtl/>
          <w:lang w:bidi="fa-IR"/>
        </w:rPr>
        <w:t xml:space="preserve"> ، عَنْ سُلَيْمَانَ بْنِ دَاوُدَ الْمِنْقَرِيِّ ، عَنْ حَفْصِ بْنِ غِيَاثٍ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سَمِعْتُهُ يَقُولُ : « جُعِلَ الْخَيْرُ كُلُّهُ فِي بَيْتٍ ، وَجُعِلَ مِفْتَاحُهُ الزُّهْدَ فِي الدُّنْيَا »</w:t>
      </w:r>
      <w:r>
        <w:rPr>
          <w:rtl/>
          <w:lang w:bidi="fa-IR"/>
        </w:rPr>
        <w:t>.</w:t>
      </w:r>
    </w:p>
    <w:p w:rsidR="008A74EB" w:rsidRPr="00C9040A" w:rsidRDefault="008A74EB" w:rsidP="008A74EB">
      <w:pPr>
        <w:pStyle w:val="libNormal"/>
        <w:rPr>
          <w:rtl/>
          <w:lang w:bidi="fa-IR"/>
        </w:rPr>
      </w:pPr>
      <w:r w:rsidRPr="00C9040A">
        <w:rPr>
          <w:rtl/>
          <w:lang w:bidi="fa-IR"/>
        </w:rPr>
        <w:t xml:space="preserve">ثُمَّ قَالَ : « قَالَ رَسُولُ اللهِ </w:t>
      </w:r>
      <w:r w:rsidR="004A4E41" w:rsidRPr="004A4E41">
        <w:rPr>
          <w:rStyle w:val="libAlaemChar"/>
          <w:rtl/>
        </w:rPr>
        <w:t>صلى‌الله‌عليه‌وآله</w:t>
      </w:r>
      <w:r w:rsidRPr="00C9040A">
        <w:rPr>
          <w:rtl/>
          <w:lang w:bidi="fa-IR"/>
        </w:rPr>
        <w:t xml:space="preserve"> : لَايَجِدُ الرَّجُلُ حَلَاوَةَ الْإِيمَانِ فِي قَلْبِهِ </w:t>
      </w:r>
      <w:r w:rsidR="006C577F" w:rsidRPr="006C577F">
        <w:rPr>
          <w:rStyle w:val="libFootnotenumChar"/>
          <w:rtl/>
        </w:rPr>
        <w:t>(2)</w:t>
      </w:r>
      <w:r w:rsidRPr="00C9040A">
        <w:rPr>
          <w:rtl/>
          <w:lang w:bidi="fa-IR"/>
        </w:rPr>
        <w:t xml:space="preserve"> حَتّى لَا يُبَالِيَ مَنْ </w:t>
      </w:r>
      <w:r w:rsidR="006C577F" w:rsidRPr="006C577F">
        <w:rPr>
          <w:rStyle w:val="libFootnotenumChar"/>
          <w:rtl/>
        </w:rPr>
        <w:t>(3)</w:t>
      </w:r>
      <w:r w:rsidRPr="00C9040A">
        <w:rPr>
          <w:rtl/>
          <w:lang w:bidi="fa-IR"/>
        </w:rPr>
        <w:t xml:space="preserve"> أَكَلَ الدُّنْيَا »</w:t>
      </w:r>
      <w:r>
        <w:rPr>
          <w:rtl/>
          <w:lang w:bidi="fa-IR"/>
        </w:rPr>
        <w:t>.</w:t>
      </w:r>
    </w:p>
    <w:p w:rsidR="008A74EB" w:rsidRPr="00C9040A" w:rsidRDefault="008A74EB" w:rsidP="008A74EB">
      <w:pPr>
        <w:pStyle w:val="libNormal"/>
        <w:rPr>
          <w:rtl/>
          <w:lang w:bidi="fa-IR"/>
        </w:rPr>
      </w:pPr>
      <w:r w:rsidRPr="00C9040A">
        <w:rPr>
          <w:rtl/>
          <w:lang w:bidi="fa-IR"/>
        </w:rPr>
        <w:t xml:space="preserve">ثُمَّ قَالَ أَبُو عَبْدِ اللهِ </w:t>
      </w:r>
      <w:r w:rsidRPr="0003660B">
        <w:rPr>
          <w:rStyle w:val="libAlaemChar"/>
          <w:rtl/>
        </w:rPr>
        <w:t>عليه‌السلام</w:t>
      </w:r>
      <w:r w:rsidRPr="00C9040A">
        <w:rPr>
          <w:rtl/>
          <w:lang w:bidi="fa-IR"/>
        </w:rPr>
        <w:t xml:space="preserve"> : « حَرَامٌ عَلى قُلُوبِكُمْ أَنْ تَعْرِفَ حَلَاوَةَ الْإِيمَانِ حَتّى تَزْهَدَ فِي الدُّن</w:t>
      </w:r>
      <w:r w:rsidR="0034021D">
        <w:rPr>
          <w:rtl/>
          <w:lang w:bidi="fa-IR"/>
        </w:rPr>
        <w:t>ْيَا</w:t>
      </w:r>
      <w:r w:rsidRPr="00C9040A">
        <w:rPr>
          <w:rtl/>
          <w:lang w:bidi="fa-IR"/>
        </w:rPr>
        <w:t>»</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0102EC">
        <w:rPr>
          <w:rtl/>
        </w:rPr>
        <w:t>1895</w:t>
      </w:r>
      <w:r w:rsidRPr="00261CB0">
        <w:rPr>
          <w:rStyle w:val="libBold2Char"/>
          <w:rtl/>
        </w:rPr>
        <w:t xml:space="preserve"> / 3.</w:t>
      </w:r>
      <w:r w:rsidRPr="00C9040A">
        <w:rPr>
          <w:rtl/>
          <w:lang w:bidi="fa-IR"/>
        </w:rPr>
        <w:t xml:space="preserve"> عَلِيُّ بْنُ إِبْرَاهِيمَ ، عَنْ مُحَمَّدِ بْنِ عِيسى ، عَنْ يُونُسَ ، عَنْ أَبِي أَيُّوبَ الْخَرَّازِ </w:t>
      </w:r>
      <w:r w:rsidR="006C577F" w:rsidRPr="006C577F">
        <w:rPr>
          <w:rStyle w:val="libFootnotenumChar"/>
          <w:rtl/>
        </w:rPr>
        <w:t>(5)</w:t>
      </w:r>
      <w:r w:rsidRPr="00C9040A">
        <w:rPr>
          <w:rtl/>
          <w:lang w:bidi="fa-IR"/>
        </w:rPr>
        <w:t xml:space="preserve"> ، عَنْ أَبِي حَمْزَةَ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قَالَ أَمِيرُ الْمُؤْمِنِينَ </w:t>
      </w:r>
      <w:r w:rsidRPr="0003660B">
        <w:rPr>
          <w:rStyle w:val="libAlaemChar"/>
          <w:rtl/>
        </w:rPr>
        <w:t>عليه‌السلام</w:t>
      </w:r>
      <w:r w:rsidRPr="00C9040A">
        <w:rPr>
          <w:rtl/>
          <w:lang w:bidi="fa-IR"/>
        </w:rPr>
        <w:t xml:space="preserve"> : إِنَّ مِنْ أَعْوَنِ </w:t>
      </w:r>
      <w:r w:rsidR="006C577F" w:rsidRPr="006C577F">
        <w:rPr>
          <w:rStyle w:val="libFootnotenumChar"/>
          <w:rtl/>
        </w:rPr>
        <w:t>(6)</w:t>
      </w:r>
      <w:r w:rsidRPr="005B567D">
        <w:rPr>
          <w:rStyle w:val="libFootnotenumChar"/>
          <w:rtl/>
        </w:rPr>
        <w:t xml:space="preserve"> </w:t>
      </w:r>
      <w:r w:rsidRPr="00C9040A">
        <w:rPr>
          <w:rtl/>
          <w:lang w:bidi="fa-IR"/>
        </w:rPr>
        <w:t>الْأَخْلَاقِ عَلَى الدِّينِ الزُّهْدَ فِي الدُّنْيَا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0102EC">
        <w:rPr>
          <w:rtl/>
        </w:rPr>
        <w:t>1896</w:t>
      </w:r>
      <w:r w:rsidRPr="00261CB0">
        <w:rPr>
          <w:rStyle w:val="libBold2Char"/>
          <w:rtl/>
        </w:rPr>
        <w:t xml:space="preserve"> / 4.</w:t>
      </w:r>
      <w:r w:rsidRPr="00C9040A">
        <w:rPr>
          <w:rtl/>
          <w:lang w:bidi="fa-IR"/>
        </w:rPr>
        <w:t xml:space="preserve"> عَلِيُّ بْنُ إِبْرَاهِيمَ ، عَنْ أَبِيهِ وَعَلِيِّ بْنِ مُحَمَّدٍ ، عَنِ الْقَاسِمِ بْنِ مُحَمَّدٍ ، عَنْ‌</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الوسائل </w:t>
      </w:r>
      <w:r w:rsidR="008A74EB">
        <w:rPr>
          <w:rtl/>
        </w:rPr>
        <w:t xml:space="preserve">: </w:t>
      </w:r>
      <w:r w:rsidR="0084262C">
        <w:rPr>
          <w:rtl/>
        </w:rPr>
        <w:t>-</w:t>
      </w:r>
      <w:r w:rsidR="008A74EB" w:rsidRPr="00C9040A">
        <w:rPr>
          <w:rtl/>
        </w:rPr>
        <w:t xml:space="preserve"> « عن القاسم بن محمّد »</w:t>
      </w:r>
      <w:r w:rsidR="008A74EB">
        <w:rPr>
          <w:rtl/>
        </w:rPr>
        <w:t>.</w:t>
      </w:r>
      <w:r w:rsidR="008A74EB" w:rsidRPr="00C9040A">
        <w:rPr>
          <w:rtl/>
        </w:rPr>
        <w:t xml:space="preserve"> والمتكرّر في الأسناد رواية إبراهيم بن هاشم وعليّ بن محمّد [ القاساني ] عن القاسم بن محمّد [ الإصفهاني ] عن سليمان بن داود [ المنقري ]</w:t>
      </w:r>
      <w:r w:rsidR="008A74EB">
        <w:rPr>
          <w:rtl/>
        </w:rPr>
        <w:t>.</w:t>
      </w:r>
      <w:r w:rsidR="008A74EB" w:rsidRPr="00C9040A">
        <w:rPr>
          <w:rtl/>
        </w:rPr>
        <w:t xml:space="preserve"> راجع : </w:t>
      </w:r>
      <w:r w:rsidR="008A74EB" w:rsidRPr="00993B55">
        <w:rPr>
          <w:rStyle w:val="libFootnoteBoldChar"/>
          <w:rtl/>
        </w:rPr>
        <w:t>معجم رجال الحديث</w:t>
      </w:r>
      <w:r w:rsidR="008A74EB" w:rsidRPr="00C9040A">
        <w:rPr>
          <w:rtl/>
        </w:rPr>
        <w:t xml:space="preserve"> ، ج 14 ، ص 44 ؛ وص 359</w:t>
      </w:r>
      <w:r w:rsidR="008A74EB">
        <w:rPr>
          <w:rtl/>
        </w:rPr>
        <w:t xml:space="preserve"> </w:t>
      </w:r>
      <w:r w:rsidR="0084262C">
        <w:rPr>
          <w:rtl/>
        </w:rPr>
        <w:t>-</w:t>
      </w:r>
      <w:r w:rsidR="008A74EB">
        <w:rPr>
          <w:rtl/>
        </w:rPr>
        <w:t xml:space="preserve"> </w:t>
      </w:r>
      <w:r w:rsidR="008A74EB" w:rsidRPr="00C9040A">
        <w:rPr>
          <w:rtl/>
        </w:rPr>
        <w:t>361 ؛ وص 365.</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ج ، ز ، ف » وشرح المازندراني والوسائل </w:t>
      </w:r>
      <w:r w:rsidR="008A74EB">
        <w:rPr>
          <w:rtl/>
        </w:rPr>
        <w:t xml:space="preserve">: </w:t>
      </w:r>
      <w:r w:rsidR="0084262C">
        <w:rPr>
          <w:rtl/>
        </w:rPr>
        <w:t>-</w:t>
      </w:r>
      <w:r w:rsidR="008A74EB" w:rsidRPr="00C9040A">
        <w:rPr>
          <w:rtl/>
        </w:rPr>
        <w:t xml:space="preserve"> « في قلبه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د ، بر ، بس ، بف » : « مَن » بفتح الميم ، وليس في سائر النسخ ما ينافيه. وفي </w:t>
      </w:r>
      <w:r w:rsidR="008A74EB" w:rsidRPr="00993B55">
        <w:rPr>
          <w:rStyle w:val="libFootnoteBoldChar"/>
          <w:rtl/>
        </w:rPr>
        <w:t>مرآة العقول</w:t>
      </w:r>
      <w:r w:rsidR="008A74EB" w:rsidRPr="00C9040A">
        <w:rPr>
          <w:rtl/>
        </w:rPr>
        <w:t xml:space="preserve"> : « يحتمل أن يكون « من » اسم موصول ، </w:t>
      </w:r>
      <w:r w:rsidR="008A74EB">
        <w:rPr>
          <w:rtl/>
        </w:rPr>
        <w:t>و «</w:t>
      </w:r>
      <w:r w:rsidR="008A74EB" w:rsidRPr="00C9040A">
        <w:rPr>
          <w:rtl/>
        </w:rPr>
        <w:t xml:space="preserve"> أكل » فعلاً ماضياً ، وأن يكون « من » حرف جرّ </w:t>
      </w:r>
      <w:r w:rsidR="008A74EB">
        <w:rPr>
          <w:rtl/>
        </w:rPr>
        <w:t>و «</w:t>
      </w:r>
      <w:r w:rsidR="008A74EB" w:rsidRPr="00C9040A">
        <w:rPr>
          <w:rtl/>
        </w:rPr>
        <w:t xml:space="preserve"> أكل » مصدراً ؛ فعلى الأوّل المعنى أنّه لايعتني بشأن الدنيا بحيث لايحسد أحداً عليها ، ولو كانت لقمة في فم كلب لم يغتمّ لذلك ولم ير ذلك له كثيراً. وعلى الثاني أيضاً يرجع إلى ذلك ، أو المعنى : لايعتني بأكل الدنيا والتصرّف فيها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الوافي</w:t>
      </w:r>
      <w:r w:rsidR="008A74EB" w:rsidRPr="00C9040A">
        <w:rPr>
          <w:rtl/>
        </w:rPr>
        <w:t xml:space="preserve"> ، ج 4 ، ص 387 ، ح 2165 ؛ </w:t>
      </w:r>
      <w:r w:rsidR="008A74EB" w:rsidRPr="00993B55">
        <w:rPr>
          <w:rStyle w:val="libFootnoteBoldChar"/>
          <w:rtl/>
        </w:rPr>
        <w:t>الوسائل</w:t>
      </w:r>
      <w:r w:rsidR="008A74EB" w:rsidRPr="00C9040A">
        <w:rPr>
          <w:rtl/>
        </w:rPr>
        <w:t xml:space="preserve"> ، ج 16 ، ص 12 ، ح 20831 ؛ </w:t>
      </w:r>
      <w:r w:rsidR="008A74EB" w:rsidRPr="00993B55">
        <w:rPr>
          <w:rStyle w:val="libFootnoteBoldChar"/>
          <w:rtl/>
        </w:rPr>
        <w:t>البحار</w:t>
      </w:r>
      <w:r w:rsidR="008A74EB" w:rsidRPr="00C9040A">
        <w:rPr>
          <w:rtl/>
        </w:rPr>
        <w:t xml:space="preserve"> ، ج 73 ، ص 49 ، ح 20.</w:t>
      </w:r>
    </w:p>
    <w:p w:rsidR="008A74EB" w:rsidRPr="00C9040A" w:rsidRDefault="006C577F" w:rsidP="004A4E41">
      <w:pPr>
        <w:pStyle w:val="libFootnote0"/>
        <w:rPr>
          <w:rtl/>
          <w:lang w:bidi="fa-IR"/>
        </w:rPr>
      </w:pPr>
      <w:r>
        <w:rPr>
          <w:rtl/>
        </w:rPr>
        <w:t>(5).</w:t>
      </w:r>
      <w:r w:rsidR="008A74EB" w:rsidRPr="00C9040A">
        <w:rPr>
          <w:rtl/>
        </w:rPr>
        <w:t xml:space="preserve"> هكذا في « د ، ز ، ض ، بر ، بف ، جر » والوسائل. وفي « ب ، ج ، ف ، بس » والمطبوع : « الخزّاز »</w:t>
      </w:r>
      <w:r w:rsidR="008A74EB">
        <w:rPr>
          <w:rtl/>
        </w:rPr>
        <w:t>.</w:t>
      </w:r>
      <w:r w:rsidR="008A74EB" w:rsidRPr="00C9040A">
        <w:rPr>
          <w:rtl/>
        </w:rPr>
        <w:t xml:space="preserve"> وهو سهو ، كما تقدّم في </w:t>
      </w:r>
      <w:r w:rsidR="008A74EB" w:rsidRPr="00993B55">
        <w:rPr>
          <w:rStyle w:val="libFootnoteBoldChar"/>
          <w:rtl/>
        </w:rPr>
        <w:t>الكافي</w:t>
      </w:r>
      <w:r w:rsidR="008A74EB" w:rsidRPr="00C9040A">
        <w:rPr>
          <w:rtl/>
        </w:rPr>
        <w:t xml:space="preserve"> ، ذيل ح 75.</w:t>
      </w:r>
      <w:r w:rsidR="00764394">
        <w:rPr>
          <w:rFonts w:hint="cs"/>
          <w:rtl/>
        </w:rPr>
        <w:t xml:space="preserve">                                   </w:t>
      </w:r>
      <w:r>
        <w:rPr>
          <w:rtl/>
        </w:rPr>
        <w:t>(6).</w:t>
      </w:r>
      <w:r w:rsidR="008A74EB">
        <w:rPr>
          <w:rtl/>
        </w:rPr>
        <w:t xml:space="preserve"> </w:t>
      </w:r>
      <w:r w:rsidR="008A74EB" w:rsidRPr="00C9040A">
        <w:rPr>
          <w:rtl/>
        </w:rPr>
        <w:t>في « ز » : « أعوان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الوافي</w:t>
      </w:r>
      <w:r w:rsidR="008A74EB" w:rsidRPr="00C9040A">
        <w:rPr>
          <w:rtl/>
        </w:rPr>
        <w:t xml:space="preserve"> ، ج 4 ، ص 387 ، ح 2166 ؛ </w:t>
      </w:r>
      <w:r w:rsidR="008A74EB" w:rsidRPr="00993B55">
        <w:rPr>
          <w:rStyle w:val="libFootnoteBoldChar"/>
          <w:rtl/>
        </w:rPr>
        <w:t>الوسائل</w:t>
      </w:r>
      <w:r w:rsidR="008A74EB" w:rsidRPr="00C9040A">
        <w:rPr>
          <w:rtl/>
        </w:rPr>
        <w:t xml:space="preserve"> ، ج 16 ، ص 12 ، ح 20830 ؛ </w:t>
      </w:r>
      <w:r w:rsidR="008A74EB" w:rsidRPr="00993B55">
        <w:rPr>
          <w:rStyle w:val="libFootnoteBoldChar"/>
          <w:rtl/>
        </w:rPr>
        <w:t>البحار</w:t>
      </w:r>
      <w:r w:rsidR="008A74EB" w:rsidRPr="00C9040A">
        <w:rPr>
          <w:rtl/>
        </w:rPr>
        <w:t xml:space="preserve"> ، ج 73 ، ص 50 ، ح 21.</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سُلَيْمَانَ بْنِ دَاوُدَ الْمِنْقَرِيِّ ، عَنْ عَلِيِّ بْنِ هَاشِمِ بْنِ الْبَرِيدِ ، عَنْ أَبِيهِ :</w:t>
      </w:r>
    </w:p>
    <w:p w:rsidR="008A74EB" w:rsidRPr="00C9040A" w:rsidRDefault="008A74EB" w:rsidP="008A74EB">
      <w:pPr>
        <w:pStyle w:val="libNormal"/>
        <w:rPr>
          <w:rtl/>
          <w:lang w:bidi="fa-IR"/>
        </w:rPr>
      </w:pPr>
      <w:r w:rsidRPr="00C9040A">
        <w:rPr>
          <w:rtl/>
          <w:lang w:bidi="fa-IR"/>
        </w:rPr>
        <w:t xml:space="preserve">أَنَّ رَجُلاً سَأَلَ عَلِيَّ بْنَ الْحُسَيْنِ </w:t>
      </w:r>
      <w:r w:rsidRPr="0003660B">
        <w:rPr>
          <w:rStyle w:val="libAlaemChar"/>
          <w:rtl/>
        </w:rPr>
        <w:t>عليهما‌السلام</w:t>
      </w:r>
      <w:r w:rsidRPr="00C9040A">
        <w:rPr>
          <w:rtl/>
          <w:lang w:bidi="fa-IR"/>
        </w:rPr>
        <w:t xml:space="preserve"> عَنِ الزُّهْدِ ، فَقَالَ : « عَشَرَةُ أَشْيَاءَ </w:t>
      </w:r>
      <w:r w:rsidR="006C577F" w:rsidRPr="006C577F">
        <w:rPr>
          <w:rStyle w:val="libFootnotenumChar"/>
          <w:rtl/>
        </w:rPr>
        <w:t>(1)</w:t>
      </w:r>
      <w:r w:rsidRPr="00C9040A">
        <w:rPr>
          <w:rtl/>
          <w:lang w:bidi="fa-IR"/>
        </w:rPr>
        <w:t xml:space="preserve"> ، فَأَعْلى دَرَجَةِ الزُّهْدِ أَدْنى دَرَجَةِ الْوَرَعِ ، وَأَعْلى دَرَجَةِ الْوَرَعِ أَدْنى دَرَجَةِ الْيَقِينِ ، وَأَعْلى دَرَجَةِ </w:t>
      </w:r>
      <w:r w:rsidR="006C577F" w:rsidRPr="006C577F">
        <w:rPr>
          <w:rStyle w:val="libFootnotenumChar"/>
          <w:rtl/>
        </w:rPr>
        <w:t>(2)</w:t>
      </w:r>
      <w:r w:rsidRPr="00C9040A">
        <w:rPr>
          <w:rtl/>
          <w:lang w:bidi="fa-IR"/>
        </w:rPr>
        <w:t xml:space="preserve"> الْيَقِينِ أَدْنى دَرَجَةِ </w:t>
      </w:r>
      <w:r w:rsidR="006C577F" w:rsidRPr="006C577F">
        <w:rPr>
          <w:rStyle w:val="libFootnotenumChar"/>
          <w:rtl/>
        </w:rPr>
        <w:t>(3)</w:t>
      </w:r>
      <w:r w:rsidRPr="00C9040A">
        <w:rPr>
          <w:rtl/>
          <w:lang w:bidi="fa-IR"/>
        </w:rPr>
        <w:t xml:space="preserve"> الرِّضَا ، أَلَا وَإِنَّ الزُّهْدَ فِي آيَةٍ مِنْ كِتَابِ اللهِ عَزَّ وَجَلَّ : </w:t>
      </w:r>
      <w:r w:rsidRPr="0003660B">
        <w:rPr>
          <w:rStyle w:val="libAlaemChar"/>
          <w:rtl/>
        </w:rPr>
        <w:t>(</w:t>
      </w:r>
      <w:r w:rsidRPr="006A2246">
        <w:rPr>
          <w:rStyle w:val="libAieChar"/>
          <w:rtl/>
        </w:rPr>
        <w:t xml:space="preserve"> لِكَيْلا تَأْسَوْا عَلى ما فاتَكُمْ وَلا تَفْرَحُوا بِما آتاكُمْ </w:t>
      </w:r>
      <w:r w:rsidRPr="0003660B">
        <w:rPr>
          <w:rStyle w:val="libAlaemChar"/>
          <w:rtl/>
        </w:rPr>
        <w:t>)</w:t>
      </w:r>
      <w:r w:rsidRPr="00C9040A">
        <w:rPr>
          <w:rtl/>
          <w:lang w:bidi="fa-IR"/>
        </w:rPr>
        <w:t xml:space="preserve"> </w:t>
      </w:r>
      <w:r w:rsidR="006C577F" w:rsidRPr="006C577F">
        <w:rPr>
          <w:rStyle w:val="libFootnotenumChar"/>
          <w:rtl/>
        </w:rPr>
        <w:t>(4)</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0102EC">
        <w:rPr>
          <w:rtl/>
        </w:rPr>
        <w:t>1897</w:t>
      </w:r>
      <w:r w:rsidRPr="00261CB0">
        <w:rPr>
          <w:rStyle w:val="libBold2Char"/>
          <w:rtl/>
        </w:rPr>
        <w:t xml:space="preserve"> / 5.</w:t>
      </w:r>
      <w:r w:rsidRPr="00C9040A">
        <w:rPr>
          <w:rtl/>
          <w:lang w:bidi="fa-IR"/>
        </w:rPr>
        <w:t xml:space="preserve"> وَبِهذَا الْإِسْنَادِ ، عَنِ الْمِنْقَرِيِّ ، عَنْ سُفْيَانَ </w:t>
      </w:r>
      <w:r w:rsidR="006C577F" w:rsidRPr="006C577F">
        <w:rPr>
          <w:rStyle w:val="libFootnotenumChar"/>
          <w:rtl/>
        </w:rPr>
        <w:t>(6)</w:t>
      </w:r>
      <w:r w:rsidRPr="005B567D">
        <w:rPr>
          <w:rStyle w:val="libFootnotenumChar"/>
          <w:rtl/>
        </w:rPr>
        <w:t xml:space="preserve"> </w:t>
      </w:r>
      <w:r w:rsidRPr="00C9040A">
        <w:rPr>
          <w:rtl/>
          <w:lang w:bidi="fa-IR"/>
        </w:rPr>
        <w:t>بْنِ عُيَيْنَةَ ، قَالَ :</w:t>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وَهُوَ </w:t>
      </w:r>
      <w:r w:rsidR="006C577F" w:rsidRPr="006C577F">
        <w:rPr>
          <w:rStyle w:val="libFootnotenumChar"/>
          <w:rtl/>
        </w:rPr>
        <w:t>(7)</w:t>
      </w:r>
      <w:r w:rsidRPr="00C9040A">
        <w:rPr>
          <w:rtl/>
          <w:lang w:bidi="fa-IR"/>
        </w:rPr>
        <w:t xml:space="preserve"> يَقُولُ : « كُلُّ قَلْبٍ فِيهِ شَكٌّ أَوْ شِرْكٌ </w:t>
      </w:r>
      <w:r w:rsidR="006C577F" w:rsidRPr="006C577F">
        <w:rPr>
          <w:rStyle w:val="libFootnotenumChar"/>
          <w:rtl/>
        </w:rPr>
        <w:t>(8)</w:t>
      </w:r>
      <w:r w:rsidRPr="00C9040A">
        <w:rPr>
          <w:rtl/>
          <w:lang w:bidi="fa-IR"/>
        </w:rPr>
        <w:t xml:space="preserve"> فَهُوَ سَاقِطٌ ، وَإِنَّمَا أَرَادُوا بِالزُّهْدِ </w:t>
      </w:r>
      <w:r w:rsidR="006C577F" w:rsidRPr="006C577F">
        <w:rPr>
          <w:rStyle w:val="libFootnotenumChar"/>
          <w:rtl/>
        </w:rPr>
        <w:t>(9)</w:t>
      </w:r>
      <w:r w:rsidRPr="00C9040A">
        <w:rPr>
          <w:rtl/>
          <w:lang w:bidi="fa-IR"/>
        </w:rPr>
        <w:t xml:space="preserve"> فِي الدُّنْيَا لِتَفْرُغَ قُلُوبُهُمْ لِلْآخِرَةِ </w:t>
      </w:r>
      <w:r w:rsidR="006C577F" w:rsidRPr="006C577F">
        <w:rPr>
          <w:rStyle w:val="libFootnotenumChar"/>
          <w:rtl/>
        </w:rPr>
        <w:t>(10)</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(11)</w:t>
      </w:r>
      <w:r w:rsidRPr="00C9040A">
        <w:rPr>
          <w:rtl/>
          <w:lang w:bidi="fa-IR"/>
        </w:rPr>
        <w:t xml:space="preserve"> ‌</w:t>
      </w:r>
    </w:p>
    <w:p w:rsidR="008A74EB" w:rsidRPr="00C9040A" w:rsidRDefault="008A74EB" w:rsidP="008A74EB">
      <w:pPr>
        <w:pStyle w:val="libNormal"/>
        <w:rPr>
          <w:rtl/>
          <w:lang w:bidi="fa-IR"/>
        </w:rPr>
      </w:pPr>
      <w:r w:rsidRPr="000102EC">
        <w:rPr>
          <w:rtl/>
        </w:rPr>
        <w:t>1898</w:t>
      </w:r>
      <w:r w:rsidRPr="00261CB0">
        <w:rPr>
          <w:rStyle w:val="libBold2Char"/>
          <w:rtl/>
        </w:rPr>
        <w:t xml:space="preserve"> / 6.</w:t>
      </w:r>
      <w:r w:rsidRPr="00C9040A">
        <w:rPr>
          <w:rtl/>
          <w:lang w:bidi="fa-IR"/>
        </w:rPr>
        <w:t xml:space="preserve"> عَلِيٌّ </w:t>
      </w:r>
      <w:r w:rsidR="006C577F" w:rsidRPr="006C577F">
        <w:rPr>
          <w:rStyle w:val="libFootnotenumChar"/>
          <w:rtl/>
        </w:rPr>
        <w:t>(12)</w:t>
      </w:r>
      <w:r w:rsidRPr="00C9040A">
        <w:rPr>
          <w:rtl/>
          <w:lang w:bidi="fa-IR"/>
        </w:rPr>
        <w:t xml:space="preserve"> ، عَنْ أَبِيهِ ، عَنِ ابْنِ مَحْبُوبٍ ، عَنِ الْعَلَاءِ بْنِ رَزِينٍ ، عَنْ مُحَمَّدِ بْنِ‌</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6D6879" w:rsidTr="006D6879">
        <w:tc>
          <w:tcPr>
            <w:tcW w:w="4006" w:type="dxa"/>
          </w:tcPr>
          <w:p w:rsidR="006D6879" w:rsidRDefault="006D6879" w:rsidP="004A4E41">
            <w:pPr>
              <w:pStyle w:val="libFootnote0"/>
              <w:rPr>
                <w:rtl/>
              </w:rPr>
            </w:pPr>
            <w:r>
              <w:rPr>
                <w:rtl/>
              </w:rPr>
              <w:t xml:space="preserve">(1). </w:t>
            </w:r>
            <w:r w:rsidRPr="00C9040A">
              <w:rPr>
                <w:rtl/>
              </w:rPr>
              <w:t>في حاشية « بر » والوافي : « أجزاء »</w:t>
            </w:r>
            <w:r>
              <w:rPr>
                <w:rtl/>
              </w:rPr>
              <w:t>.</w:t>
            </w:r>
          </w:p>
        </w:tc>
        <w:tc>
          <w:tcPr>
            <w:tcW w:w="4006" w:type="dxa"/>
          </w:tcPr>
          <w:p w:rsidR="006D6879" w:rsidRDefault="006D6879" w:rsidP="004A4E41">
            <w:pPr>
              <w:pStyle w:val="libFootnote0"/>
              <w:rPr>
                <w:rtl/>
              </w:rPr>
            </w:pPr>
            <w:r>
              <w:rPr>
                <w:rtl/>
              </w:rPr>
              <w:t xml:space="preserve">(2). </w:t>
            </w:r>
            <w:r w:rsidRPr="00C9040A">
              <w:rPr>
                <w:rtl/>
              </w:rPr>
              <w:t>في حاشية « بر » والوسائل : « درجات »</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في « ز » وحاشية « بر ، بس ، بف » والوسائل : « درجات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الحديد (57) : 23.</w:t>
      </w:r>
    </w:p>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الكافي</w:t>
      </w:r>
      <w:r w:rsidR="008A74EB" w:rsidRPr="00C9040A">
        <w:rPr>
          <w:rtl/>
        </w:rPr>
        <w:t xml:space="preserve"> ، كتاب الإيمان والكفر ، باب الرضا بالقضاء ، ح 1587 ، إلى قوله : « أدنى درجة الرضا » مع اختلاف يسير. وفي </w:t>
      </w:r>
      <w:r w:rsidR="008A74EB" w:rsidRPr="00993B55">
        <w:rPr>
          <w:rStyle w:val="libFootnoteBoldChar"/>
          <w:rtl/>
        </w:rPr>
        <w:t>الخصال</w:t>
      </w:r>
      <w:r w:rsidR="008A74EB" w:rsidRPr="00C9040A">
        <w:rPr>
          <w:rtl/>
        </w:rPr>
        <w:t xml:space="preserve"> ، ص 437 ، باب العشر ، ح 26 ؛ و</w:t>
      </w:r>
      <w:r w:rsidR="008A74EB" w:rsidRPr="00993B55">
        <w:rPr>
          <w:rStyle w:val="libFootnoteBoldChar"/>
          <w:rtl/>
        </w:rPr>
        <w:t>معاني الأخبار</w:t>
      </w:r>
      <w:r w:rsidR="008A74EB" w:rsidRPr="00C9040A">
        <w:rPr>
          <w:rtl/>
        </w:rPr>
        <w:t xml:space="preserve"> ، ص 252 ، ح 4 ، بسندهما عن القاسم بن محمّد. </w:t>
      </w:r>
      <w:r w:rsidR="008A74EB" w:rsidRPr="00993B55">
        <w:rPr>
          <w:rStyle w:val="libFootnoteBoldChar"/>
          <w:rtl/>
        </w:rPr>
        <w:t>تفسير القمّي</w:t>
      </w:r>
      <w:r w:rsidR="008A74EB" w:rsidRPr="00C9040A">
        <w:rPr>
          <w:rtl/>
        </w:rPr>
        <w:t xml:space="preserve"> ، ج 2 ، ص 259 ، عن أبيه ، عن القاسم بن محمّد ، عن سليمان بن داود رفعه إلى عليّ بن الحسين </w:t>
      </w:r>
      <w:r w:rsidR="00117575" w:rsidRPr="00117575">
        <w:rPr>
          <w:rStyle w:val="libFootnoteAlaemChar"/>
          <w:rtl/>
        </w:rPr>
        <w:t>عليه‌السلام</w:t>
      </w:r>
      <w:r w:rsidR="008A74EB" w:rsidRPr="00C9040A">
        <w:rPr>
          <w:rtl/>
        </w:rPr>
        <w:t xml:space="preserve"> ، وفيه قطعة منه مع اختلاف وزيادة. </w:t>
      </w:r>
      <w:r w:rsidR="008A74EB" w:rsidRPr="00993B55">
        <w:rPr>
          <w:rStyle w:val="libFootnoteBoldChar"/>
          <w:rtl/>
        </w:rPr>
        <w:t>تحف العقول</w:t>
      </w:r>
      <w:r w:rsidR="008A74EB" w:rsidRPr="00C9040A">
        <w:rPr>
          <w:rtl/>
        </w:rPr>
        <w:t xml:space="preserve"> ، ص 278</w:t>
      </w:r>
      <w:r w:rsidR="00334AF7">
        <w:rPr>
          <w:rFonts w:hint="cs"/>
          <w:rtl/>
        </w:rPr>
        <w:t>.</w:t>
      </w:r>
      <w:r w:rsidR="008A74EB" w:rsidRPr="00993B55">
        <w:rPr>
          <w:rStyle w:val="libFootnoteBoldChar"/>
          <w:rtl/>
        </w:rPr>
        <w:t>الوافي</w:t>
      </w:r>
      <w:r w:rsidR="008A74EB" w:rsidRPr="00C9040A">
        <w:rPr>
          <w:rtl/>
        </w:rPr>
        <w:t xml:space="preserve"> ، ج 4 ، ص 404 ، ح 2200 ؛ </w:t>
      </w:r>
      <w:r w:rsidR="008A74EB" w:rsidRPr="00993B55">
        <w:rPr>
          <w:rStyle w:val="libFootnoteBoldChar"/>
          <w:rtl/>
        </w:rPr>
        <w:t>الوسائل</w:t>
      </w:r>
      <w:r w:rsidR="008A74EB" w:rsidRPr="00C9040A">
        <w:rPr>
          <w:rtl/>
        </w:rPr>
        <w:t xml:space="preserve"> ، ج 16 ، ص 12 ، ح 20832 ؛ </w:t>
      </w:r>
      <w:r w:rsidR="008A74EB" w:rsidRPr="00993B55">
        <w:rPr>
          <w:rStyle w:val="libFootnoteBoldChar"/>
          <w:rtl/>
        </w:rPr>
        <w:t>البحار</w:t>
      </w:r>
      <w:r w:rsidR="008A74EB" w:rsidRPr="00C9040A">
        <w:rPr>
          <w:rtl/>
        </w:rPr>
        <w:t xml:space="preserve"> ، ج 73 ، ص 50 ، ح 22.</w:t>
      </w:r>
    </w:p>
    <w:p w:rsidR="008A74EB" w:rsidRPr="004A4E41" w:rsidRDefault="006C577F" w:rsidP="004A4E41">
      <w:pPr>
        <w:pStyle w:val="libFootnote0"/>
        <w:rPr>
          <w:rStyle w:val="libFootnote0Char"/>
          <w:rtl/>
        </w:rPr>
      </w:pPr>
      <w:r>
        <w:rPr>
          <w:rtl/>
        </w:rPr>
        <w:t>(6).</w:t>
      </w:r>
      <w:r w:rsidR="008A74EB">
        <w:rPr>
          <w:rtl/>
        </w:rPr>
        <w:t xml:space="preserve"> </w:t>
      </w:r>
      <w:r w:rsidR="008A74EB" w:rsidRPr="00C9040A">
        <w:rPr>
          <w:rtl/>
        </w:rPr>
        <w:t>في « ز » : « سفينه »</w:t>
      </w:r>
      <w:r w:rsidR="008A74EB">
        <w:rPr>
          <w:rtl/>
        </w:rPr>
        <w:t>.</w:t>
      </w:r>
      <w:r w:rsidR="008A74EB" w:rsidRPr="00C9040A">
        <w:rPr>
          <w:rtl/>
        </w:rPr>
        <w:t xml:space="preserve"> وهو سهو ؛ وسفيان هو سفيان بن عيينة بن أبي عِمران الهلالي. راجع : </w:t>
      </w:r>
      <w:r w:rsidR="008A74EB" w:rsidRPr="00993B55">
        <w:rPr>
          <w:rStyle w:val="libFootnoteBoldChar"/>
          <w:rtl/>
        </w:rPr>
        <w:t>رجال النجاشي</w:t>
      </w:r>
      <w:r w:rsidR="008A74EB" w:rsidRPr="00C9040A">
        <w:rPr>
          <w:rtl/>
        </w:rPr>
        <w:t xml:space="preserve"> ، ص 190 ، الرقم 506 ؛ </w:t>
      </w:r>
      <w:r w:rsidR="008A74EB" w:rsidRPr="00993B55">
        <w:rPr>
          <w:rStyle w:val="libFootnoteBoldChar"/>
          <w:rtl/>
        </w:rPr>
        <w:t>تهذيب الكمال</w:t>
      </w:r>
      <w:r w:rsidR="008A74EB" w:rsidRPr="00C9040A">
        <w:rPr>
          <w:rtl/>
        </w:rPr>
        <w:t xml:space="preserve"> ، ج 11 ، ص 177 ، الرقم 2413.</w:t>
      </w:r>
    </w:p>
    <w:tbl>
      <w:tblPr>
        <w:tblStyle w:val="TableGrid"/>
        <w:bidiVisual/>
        <w:tblW w:w="0" w:type="auto"/>
        <w:tblLook w:val="04A0" w:firstRow="1" w:lastRow="0" w:firstColumn="1" w:lastColumn="0" w:noHBand="0" w:noVBand="1"/>
      </w:tblPr>
      <w:tblGrid>
        <w:gridCol w:w="4006"/>
        <w:gridCol w:w="4006"/>
      </w:tblGrid>
      <w:tr w:rsidR="00334AF7" w:rsidTr="00334AF7">
        <w:tc>
          <w:tcPr>
            <w:tcW w:w="4006" w:type="dxa"/>
          </w:tcPr>
          <w:p w:rsidR="00334AF7" w:rsidRDefault="00334AF7" w:rsidP="004A4E41">
            <w:pPr>
              <w:pStyle w:val="libFootnote0"/>
              <w:rPr>
                <w:rtl/>
              </w:rPr>
            </w:pPr>
            <w:r>
              <w:rPr>
                <w:rtl/>
              </w:rPr>
              <w:t>(7).</w:t>
            </w:r>
            <w:r w:rsidRPr="00C9040A">
              <w:rPr>
                <w:rtl/>
              </w:rPr>
              <w:t xml:space="preserve"> في الوسائل والبحار </w:t>
            </w:r>
            <w:r>
              <w:rPr>
                <w:rtl/>
              </w:rPr>
              <w:t>: -</w:t>
            </w:r>
            <w:r w:rsidRPr="00C9040A">
              <w:rPr>
                <w:rtl/>
              </w:rPr>
              <w:t xml:space="preserve"> « وهو »</w:t>
            </w:r>
            <w:r>
              <w:rPr>
                <w:rtl/>
              </w:rPr>
              <w:t>.</w:t>
            </w:r>
          </w:p>
        </w:tc>
        <w:tc>
          <w:tcPr>
            <w:tcW w:w="4006" w:type="dxa"/>
          </w:tcPr>
          <w:p w:rsidR="00334AF7" w:rsidRDefault="00334AF7" w:rsidP="004A4E41">
            <w:pPr>
              <w:pStyle w:val="libFootnote0"/>
              <w:rPr>
                <w:rtl/>
              </w:rPr>
            </w:pPr>
            <w:r>
              <w:rPr>
                <w:rtl/>
              </w:rPr>
              <w:t>(8).</w:t>
            </w:r>
            <w:r w:rsidRPr="00C9040A">
              <w:rPr>
                <w:rtl/>
              </w:rPr>
              <w:t xml:space="preserve"> في الكافي ، ح 1486 : « شرك أو شكّ »</w:t>
            </w:r>
            <w:r>
              <w:rPr>
                <w:rtl/>
              </w:rPr>
              <w:t>.</w:t>
            </w:r>
          </w:p>
        </w:tc>
      </w:tr>
    </w:tbl>
    <w:p w:rsidR="008A74EB" w:rsidRPr="00C9040A" w:rsidRDefault="006C577F" w:rsidP="004A4E41">
      <w:pPr>
        <w:pStyle w:val="libFootnote0"/>
        <w:rPr>
          <w:rtl/>
          <w:lang w:bidi="fa-IR"/>
        </w:rPr>
      </w:pPr>
      <w:r>
        <w:rPr>
          <w:rtl/>
        </w:rPr>
        <w:t>(9).</w:t>
      </w:r>
      <w:r w:rsidR="008A74EB" w:rsidRPr="00C9040A">
        <w:rPr>
          <w:rtl/>
        </w:rPr>
        <w:t xml:space="preserve"> في « ب » والكافي ، ح 1486 : « الزهد » بدون الباء. والباء زائدة.</w:t>
      </w:r>
    </w:p>
    <w:p w:rsidR="008A74EB" w:rsidRPr="00C9040A" w:rsidRDefault="006C577F" w:rsidP="004A4E41">
      <w:pPr>
        <w:pStyle w:val="libFootnote0"/>
        <w:rPr>
          <w:rtl/>
          <w:lang w:bidi="fa-IR"/>
        </w:rPr>
      </w:pPr>
      <w:r>
        <w:rPr>
          <w:rtl/>
        </w:rPr>
        <w:t>(10).</w:t>
      </w:r>
      <w:r w:rsidR="008A74EB" w:rsidRPr="00C9040A">
        <w:rPr>
          <w:rtl/>
        </w:rPr>
        <w:t xml:space="preserve"> في « ز » : « للُاخوّة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w:t>
      </w:r>
      <w:r w:rsidR="008A74EB" w:rsidRPr="00993B55">
        <w:rPr>
          <w:rStyle w:val="libFootnoteBoldChar"/>
          <w:rtl/>
        </w:rPr>
        <w:t>الكافي</w:t>
      </w:r>
      <w:r w:rsidR="008A74EB" w:rsidRPr="00C9040A">
        <w:rPr>
          <w:rtl/>
        </w:rPr>
        <w:t xml:space="preserve"> ، كتاب الإيمان والكفر ، باب الإخلاص ، ح 1486 ، مع زيادة في أوّله</w:t>
      </w:r>
      <w:r w:rsidR="00106C58">
        <w:rPr>
          <w:rFonts w:hint="cs"/>
          <w:rtl/>
        </w:rPr>
        <w:t>.</w:t>
      </w:r>
      <w:r w:rsidR="008A74EB" w:rsidRPr="00993B55">
        <w:rPr>
          <w:rStyle w:val="libFootnoteBoldChar"/>
          <w:rtl/>
        </w:rPr>
        <w:t>الوافي</w:t>
      </w:r>
      <w:r w:rsidR="008A74EB" w:rsidRPr="00C9040A">
        <w:rPr>
          <w:rtl/>
        </w:rPr>
        <w:t xml:space="preserve"> ، ج 4 ، ص 388 ، ح 2167 ؛ </w:t>
      </w:r>
      <w:r w:rsidR="008A74EB" w:rsidRPr="00993B55">
        <w:rPr>
          <w:rStyle w:val="libFootnoteBoldChar"/>
          <w:rtl/>
        </w:rPr>
        <w:t>الوسائل</w:t>
      </w:r>
      <w:r w:rsidR="008A74EB" w:rsidRPr="00C9040A">
        <w:rPr>
          <w:rtl/>
        </w:rPr>
        <w:t xml:space="preserve"> ، ج 16 ، ص 13 ، ح 20833 ؛ </w:t>
      </w:r>
      <w:r w:rsidR="008A74EB" w:rsidRPr="00993B55">
        <w:rPr>
          <w:rStyle w:val="libFootnoteBoldChar"/>
          <w:rtl/>
        </w:rPr>
        <w:t>البحار</w:t>
      </w:r>
      <w:r w:rsidR="008A74EB" w:rsidRPr="00C9040A">
        <w:rPr>
          <w:rtl/>
        </w:rPr>
        <w:t xml:space="preserve"> ، ج 73 ، ص 52 ، ح 23.</w:t>
      </w:r>
    </w:p>
    <w:p w:rsidR="008A74EB" w:rsidRPr="00C9040A" w:rsidRDefault="006C577F" w:rsidP="004A4E41">
      <w:pPr>
        <w:pStyle w:val="libFootnote0"/>
        <w:rPr>
          <w:rtl/>
          <w:lang w:bidi="fa-IR"/>
        </w:rPr>
      </w:pPr>
      <w:r>
        <w:rPr>
          <w:rtl/>
        </w:rPr>
        <w:t>(12).</w:t>
      </w:r>
      <w:r w:rsidR="008A74EB" w:rsidRPr="00C9040A">
        <w:rPr>
          <w:rtl/>
        </w:rPr>
        <w:t xml:space="preserve"> في « ز » : + « بن إبراهيم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مُسْلِمٍ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أَمِيرُ الْمُؤْمِنِينَ </w:t>
      </w:r>
      <w:r w:rsidRPr="0003660B">
        <w:rPr>
          <w:rStyle w:val="libAlaemChar"/>
          <w:rtl/>
        </w:rPr>
        <w:t>عليه‌السلام</w:t>
      </w:r>
      <w:r w:rsidRPr="00C9040A">
        <w:rPr>
          <w:rtl/>
          <w:lang w:bidi="fa-IR"/>
        </w:rPr>
        <w:t xml:space="preserve"> : إِنَّ عَلَامَةَ </w:t>
      </w:r>
      <w:r w:rsidR="006C577F" w:rsidRPr="006C577F">
        <w:rPr>
          <w:rStyle w:val="libFootnotenumChar"/>
          <w:rtl/>
        </w:rPr>
        <w:t>(1)</w:t>
      </w:r>
      <w:r w:rsidRPr="00C9040A">
        <w:rPr>
          <w:rtl/>
          <w:lang w:bidi="fa-IR"/>
        </w:rPr>
        <w:t xml:space="preserve"> الرَّاغِبِ فِي ثَوَابِ الْآخِرَةِ زُهْدُهُ </w:t>
      </w:r>
      <w:r w:rsidR="006C577F" w:rsidRPr="006C577F">
        <w:rPr>
          <w:rStyle w:val="libFootnotenumChar"/>
          <w:rtl/>
        </w:rPr>
        <w:t>(2)</w:t>
      </w:r>
      <w:r w:rsidRPr="00C9040A">
        <w:rPr>
          <w:rtl/>
          <w:lang w:bidi="fa-IR"/>
        </w:rPr>
        <w:t xml:space="preserve"> فِي عَاجِلِ زَهْرَةِ </w:t>
      </w:r>
      <w:r w:rsidR="006C577F" w:rsidRPr="006C577F">
        <w:rPr>
          <w:rStyle w:val="libFootnotenumChar"/>
          <w:rtl/>
        </w:rPr>
        <w:t>(3)</w:t>
      </w:r>
      <w:r w:rsidRPr="00C9040A">
        <w:rPr>
          <w:rtl/>
          <w:lang w:bidi="fa-IR"/>
        </w:rPr>
        <w:t xml:space="preserve"> الدُّنْيَا ؛ أَمَا إِنَّ زُهْدَ </w:t>
      </w:r>
      <w:r w:rsidR="006C577F" w:rsidRPr="006C577F">
        <w:rPr>
          <w:rStyle w:val="libFootnotenumChar"/>
          <w:rtl/>
        </w:rPr>
        <w:t>(4)</w:t>
      </w:r>
      <w:r w:rsidRPr="00C9040A">
        <w:rPr>
          <w:rtl/>
          <w:lang w:bidi="fa-IR"/>
        </w:rPr>
        <w:t xml:space="preserve"> الزَّاهِدِ فِي هذِهِ الدُّنْيَا لَايَنْقُصُهُ مِمَّا قَسَمَ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لَهُ </w:t>
      </w:r>
      <w:r w:rsidR="006C577F" w:rsidRPr="006C577F">
        <w:rPr>
          <w:rStyle w:val="libFootnotenumChar"/>
          <w:rtl/>
        </w:rPr>
        <w:t>(5)</w:t>
      </w:r>
      <w:r w:rsidRPr="00C9040A">
        <w:rPr>
          <w:rtl/>
          <w:lang w:bidi="fa-IR"/>
        </w:rPr>
        <w:t xml:space="preserve"> فِيهَا وَإِنْ زَهِدَ </w:t>
      </w:r>
      <w:r w:rsidR="006C577F" w:rsidRPr="006C577F">
        <w:rPr>
          <w:rStyle w:val="libFootnotenumChar"/>
          <w:rtl/>
        </w:rPr>
        <w:t>(6)</w:t>
      </w:r>
      <w:r w:rsidRPr="005B567D">
        <w:rPr>
          <w:rStyle w:val="libFootnotenumChar"/>
          <w:rtl/>
        </w:rPr>
        <w:t xml:space="preserve"> </w:t>
      </w:r>
      <w:r w:rsidRPr="00C9040A">
        <w:rPr>
          <w:rtl/>
          <w:lang w:bidi="fa-IR"/>
        </w:rPr>
        <w:t xml:space="preserve">، وَإِنَّ حِرْصَ الْحَرِيصِ عَلى </w:t>
      </w:r>
      <w:r w:rsidR="006C577F" w:rsidRPr="006C577F">
        <w:rPr>
          <w:rStyle w:val="libFootnotenumChar"/>
          <w:rtl/>
        </w:rPr>
        <w:t>(7)</w:t>
      </w:r>
      <w:r w:rsidRPr="00C9040A">
        <w:rPr>
          <w:rtl/>
          <w:lang w:bidi="fa-IR"/>
        </w:rPr>
        <w:t xml:space="preserve"> عَاجِلِ زَهْرَةِ الْحَيَاةِ </w:t>
      </w:r>
      <w:r w:rsidR="006C577F" w:rsidRPr="006C577F">
        <w:rPr>
          <w:rStyle w:val="libFootnotenumChar"/>
          <w:rtl/>
        </w:rPr>
        <w:t>(8)</w:t>
      </w:r>
      <w:r w:rsidRPr="00C9040A">
        <w:rPr>
          <w:rtl/>
          <w:lang w:bidi="fa-IR"/>
        </w:rPr>
        <w:t xml:space="preserve"> الدُّنْيَا لَايَزِيدُهُ فِيهَا وَإِنْ حَرَصَ ؛ فَالْمَغْبُونُ مَنْ حُرِمَ </w:t>
      </w:r>
      <w:r w:rsidR="006C577F" w:rsidRPr="006C577F">
        <w:rPr>
          <w:rStyle w:val="libFootnotenumChar"/>
          <w:rtl/>
        </w:rPr>
        <w:t>(9)</w:t>
      </w:r>
      <w:r w:rsidRPr="00C9040A">
        <w:rPr>
          <w:rtl/>
          <w:lang w:bidi="fa-IR"/>
        </w:rPr>
        <w:t xml:space="preserve"> حَظَّهُ مِنَ </w:t>
      </w:r>
      <w:r w:rsidR="006C577F" w:rsidRPr="006C577F">
        <w:rPr>
          <w:rStyle w:val="libFootnotenumChar"/>
          <w:rtl/>
        </w:rPr>
        <w:t>(10)</w:t>
      </w:r>
      <w:r w:rsidRPr="00C9040A">
        <w:rPr>
          <w:rtl/>
          <w:lang w:bidi="fa-IR"/>
        </w:rPr>
        <w:t xml:space="preserve"> الْآخِرَةِ »</w:t>
      </w:r>
      <w:r>
        <w:rPr>
          <w:rtl/>
          <w:lang w:bidi="fa-IR"/>
        </w:rPr>
        <w:t>.</w:t>
      </w:r>
      <w:r w:rsidRPr="00C9040A">
        <w:rPr>
          <w:rtl/>
          <w:lang w:bidi="fa-IR"/>
        </w:rPr>
        <w:t xml:space="preserve"> </w:t>
      </w:r>
      <w:r w:rsidR="006C577F" w:rsidRPr="006C577F">
        <w:rPr>
          <w:rStyle w:val="libFootnotenumChar"/>
          <w:rtl/>
        </w:rPr>
        <w:t>(11)</w:t>
      </w:r>
      <w:r w:rsidRPr="00C9040A">
        <w:rPr>
          <w:rtl/>
          <w:lang w:bidi="fa-IR"/>
        </w:rPr>
        <w:t xml:space="preserve"> ‌</w:t>
      </w:r>
    </w:p>
    <w:p w:rsidR="008A74EB" w:rsidRPr="00C9040A" w:rsidRDefault="008A74EB" w:rsidP="008A74EB">
      <w:pPr>
        <w:pStyle w:val="libNormal"/>
        <w:rPr>
          <w:rtl/>
          <w:lang w:bidi="fa-IR"/>
        </w:rPr>
      </w:pPr>
      <w:r w:rsidRPr="000102EC">
        <w:rPr>
          <w:rtl/>
        </w:rPr>
        <w:t>1899</w:t>
      </w:r>
      <w:r w:rsidRPr="00261CB0">
        <w:rPr>
          <w:rStyle w:val="libBold2Char"/>
          <w:rtl/>
        </w:rPr>
        <w:t xml:space="preserve"> / 7.</w:t>
      </w:r>
      <w:r w:rsidRPr="00C9040A">
        <w:rPr>
          <w:rtl/>
          <w:lang w:bidi="fa-IR"/>
        </w:rPr>
        <w:t xml:space="preserve"> مُحَمَّدُ بْنُ يَحْيى ، عَنْ أَحْمَدَ بْنِ مُحَمَّدٍ ، عَنْ مُحَمَّدِ بْنِ يَحْيَى الْخَثْعَمِيِّ </w:t>
      </w:r>
      <w:r w:rsidR="006C577F" w:rsidRPr="006C577F">
        <w:rPr>
          <w:rStyle w:val="libFootnotenumChar"/>
          <w:rtl/>
        </w:rPr>
        <w:t>(12)</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106C58" w:rsidTr="00106C58">
        <w:tc>
          <w:tcPr>
            <w:tcW w:w="4006" w:type="dxa"/>
          </w:tcPr>
          <w:p w:rsidR="00106C58" w:rsidRDefault="00106C58" w:rsidP="004A4E41">
            <w:pPr>
              <w:pStyle w:val="libFootnote0"/>
              <w:rPr>
                <w:rtl/>
              </w:rPr>
            </w:pPr>
            <w:r>
              <w:rPr>
                <w:rtl/>
              </w:rPr>
              <w:t xml:space="preserve">(1). </w:t>
            </w:r>
            <w:r w:rsidRPr="00C9040A">
              <w:rPr>
                <w:rtl/>
              </w:rPr>
              <w:t>في « ف » : + « الزاهد »</w:t>
            </w:r>
            <w:r>
              <w:rPr>
                <w:rtl/>
              </w:rPr>
              <w:t>.</w:t>
            </w:r>
          </w:p>
        </w:tc>
        <w:tc>
          <w:tcPr>
            <w:tcW w:w="4006" w:type="dxa"/>
          </w:tcPr>
          <w:p w:rsidR="00106C58" w:rsidRDefault="00106C58" w:rsidP="004A4E41">
            <w:pPr>
              <w:pStyle w:val="libFootnote0"/>
              <w:rPr>
                <w:rtl/>
              </w:rPr>
            </w:pPr>
            <w:r>
              <w:rPr>
                <w:rtl/>
              </w:rPr>
              <w:t xml:space="preserve">(2). </w:t>
            </w:r>
            <w:r w:rsidRPr="00C9040A">
              <w:rPr>
                <w:rtl/>
              </w:rPr>
              <w:t>في « ب » والوسائل : « زهد »</w:t>
            </w:r>
            <w:r>
              <w:rPr>
                <w:rtl/>
              </w:rPr>
              <w:t>.</w:t>
            </w:r>
          </w:p>
        </w:tc>
      </w:tr>
    </w:tbl>
    <w:p w:rsidR="008A74EB" w:rsidRPr="004A4E41" w:rsidRDefault="006C577F" w:rsidP="004A4E41">
      <w:pPr>
        <w:pStyle w:val="libFootnote0"/>
        <w:rPr>
          <w:rStyle w:val="libFootnote0Char"/>
          <w:rtl/>
        </w:rPr>
      </w:pPr>
      <w:r>
        <w:rPr>
          <w:rtl/>
        </w:rPr>
        <w:t>(3).</w:t>
      </w:r>
      <w:r w:rsidR="008A74EB" w:rsidRPr="00C9040A">
        <w:rPr>
          <w:rtl/>
        </w:rPr>
        <w:t xml:space="preserve"> في « ف ، بر » وحاشية « ج ، ز ، ص » والوافي : + « الحياة »</w:t>
      </w:r>
      <w:r w:rsidR="008A74EB">
        <w:rPr>
          <w:rtl/>
        </w:rPr>
        <w:t>.</w:t>
      </w:r>
      <w:r w:rsidR="008A74EB" w:rsidRPr="00C9040A">
        <w:rPr>
          <w:rtl/>
        </w:rPr>
        <w:t xml:space="preserve"> </w:t>
      </w:r>
      <w:r w:rsidR="008A74EB">
        <w:rPr>
          <w:rtl/>
        </w:rPr>
        <w:t>و «</w:t>
      </w:r>
      <w:r w:rsidR="008A74EB" w:rsidRPr="00C9040A">
        <w:rPr>
          <w:rtl/>
        </w:rPr>
        <w:t xml:space="preserve"> زهرة الدنيا » : بهجتها ونضارتها وحسنها.</w:t>
      </w:r>
    </w:p>
    <w:tbl>
      <w:tblPr>
        <w:tblStyle w:val="TableGrid"/>
        <w:bidiVisual/>
        <w:tblW w:w="0" w:type="auto"/>
        <w:tblLook w:val="04A0" w:firstRow="1" w:lastRow="0" w:firstColumn="1" w:lastColumn="0" w:noHBand="0" w:noVBand="1"/>
      </w:tblPr>
      <w:tblGrid>
        <w:gridCol w:w="4006"/>
        <w:gridCol w:w="4006"/>
      </w:tblGrid>
      <w:tr w:rsidR="00106C58" w:rsidTr="00106C58">
        <w:tc>
          <w:tcPr>
            <w:tcW w:w="4006" w:type="dxa"/>
          </w:tcPr>
          <w:p w:rsidR="00106C58" w:rsidRDefault="00106C58" w:rsidP="004A4E41">
            <w:pPr>
              <w:pStyle w:val="libFootnote0"/>
              <w:rPr>
                <w:rtl/>
                <w:lang w:bidi="fa-IR"/>
              </w:rPr>
            </w:pPr>
            <w:r>
              <w:rPr>
                <w:rtl/>
              </w:rPr>
              <w:t>(4).</w:t>
            </w:r>
            <w:r w:rsidRPr="00C9040A">
              <w:rPr>
                <w:rtl/>
              </w:rPr>
              <w:t xml:space="preserve"> في « ف » : + « هذا »</w:t>
            </w:r>
            <w:r>
              <w:rPr>
                <w:rtl/>
              </w:rPr>
              <w:t>.</w:t>
            </w:r>
          </w:p>
        </w:tc>
        <w:tc>
          <w:tcPr>
            <w:tcW w:w="4006" w:type="dxa"/>
          </w:tcPr>
          <w:p w:rsidR="00106C58" w:rsidRDefault="00106C58" w:rsidP="004A4E41">
            <w:pPr>
              <w:pStyle w:val="libFootnote0"/>
              <w:rPr>
                <w:rtl/>
                <w:lang w:bidi="fa-IR"/>
              </w:rPr>
            </w:pPr>
            <w:r>
              <w:rPr>
                <w:rtl/>
              </w:rPr>
              <w:t>(5).</w:t>
            </w:r>
            <w:r w:rsidRPr="00C9040A">
              <w:rPr>
                <w:rtl/>
              </w:rPr>
              <w:t xml:space="preserve"> في البحار : « له عزّ وجلّ »</w:t>
            </w:r>
            <w:r>
              <w:rPr>
                <w:rtl/>
              </w:rPr>
              <w:t>.</w:t>
            </w:r>
          </w:p>
        </w:tc>
      </w:tr>
    </w:tbl>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w:t>
      </w:r>
      <w:r w:rsidR="008A74EB" w:rsidRPr="00993B55">
        <w:rPr>
          <w:rStyle w:val="libFootnoteBoldChar"/>
          <w:rtl/>
        </w:rPr>
        <w:t>الوافي</w:t>
      </w:r>
      <w:r w:rsidR="008A74EB" w:rsidRPr="00C9040A">
        <w:rPr>
          <w:rtl/>
        </w:rPr>
        <w:t xml:space="preserve"> : « وإن زهد ، أي وإن سعى في صرفها عن نفسه. وإن حرص ، أي في تحصيلها. فالمراد بالزهد والحرص الأوّلين القلبيّان ، وبالآخرين الجسمانيّان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ض » : « في »</w:t>
      </w:r>
      <w:r w:rsidR="008A74EB">
        <w:rPr>
          <w:rtl/>
        </w:rPr>
        <w:t>.</w:t>
      </w:r>
    </w:p>
    <w:p w:rsidR="008A74EB" w:rsidRPr="004A4E41" w:rsidRDefault="006C577F" w:rsidP="004A4E41">
      <w:pPr>
        <w:pStyle w:val="libFootnote0"/>
        <w:rPr>
          <w:rStyle w:val="libFootnote0Char"/>
          <w:rtl/>
        </w:rPr>
      </w:pPr>
      <w:r>
        <w:rPr>
          <w:rtl/>
        </w:rPr>
        <w:t>(8).</w:t>
      </w:r>
      <w:r w:rsidR="008A74EB" w:rsidRPr="00C9040A">
        <w:rPr>
          <w:rtl/>
        </w:rPr>
        <w:t xml:space="preserve"> في « ب ، ج ، ض ، بر ، بس ، بف » وشرح المازندراني والبحار </w:t>
      </w:r>
      <w:r w:rsidR="008A74EB">
        <w:rPr>
          <w:rtl/>
        </w:rPr>
        <w:t xml:space="preserve">: </w:t>
      </w:r>
      <w:r w:rsidR="0084262C">
        <w:rPr>
          <w:rtl/>
        </w:rPr>
        <w:t>-</w:t>
      </w:r>
      <w:r w:rsidR="008A74EB" w:rsidRPr="00C9040A">
        <w:rPr>
          <w:rtl/>
        </w:rPr>
        <w:t xml:space="preserve"> « الحياة »</w:t>
      </w:r>
      <w:r w:rsidR="008A74EB">
        <w:rPr>
          <w:rtl/>
        </w:rPr>
        <w:t>.</w:t>
      </w:r>
    </w:p>
    <w:tbl>
      <w:tblPr>
        <w:tblStyle w:val="TableGrid"/>
        <w:bidiVisual/>
        <w:tblW w:w="0" w:type="auto"/>
        <w:tblLook w:val="04A0" w:firstRow="1" w:lastRow="0" w:firstColumn="1" w:lastColumn="0" w:noHBand="0" w:noVBand="1"/>
      </w:tblPr>
      <w:tblGrid>
        <w:gridCol w:w="4006"/>
        <w:gridCol w:w="4006"/>
      </w:tblGrid>
      <w:tr w:rsidR="009B3913" w:rsidTr="009B3913">
        <w:tc>
          <w:tcPr>
            <w:tcW w:w="4006" w:type="dxa"/>
          </w:tcPr>
          <w:p w:rsidR="009B3913" w:rsidRDefault="009B3913" w:rsidP="004A4E41">
            <w:pPr>
              <w:pStyle w:val="libFootnote0"/>
              <w:rPr>
                <w:rtl/>
              </w:rPr>
            </w:pPr>
            <w:r>
              <w:rPr>
                <w:rtl/>
              </w:rPr>
              <w:t>(9).</w:t>
            </w:r>
            <w:r w:rsidRPr="00C9040A">
              <w:rPr>
                <w:rtl/>
              </w:rPr>
              <w:t xml:space="preserve"> في « بر » والوسائل : « غبن »</w:t>
            </w:r>
            <w:r>
              <w:rPr>
                <w:rtl/>
              </w:rPr>
              <w:t>.</w:t>
            </w:r>
          </w:p>
        </w:tc>
        <w:tc>
          <w:tcPr>
            <w:tcW w:w="4006" w:type="dxa"/>
          </w:tcPr>
          <w:p w:rsidR="009B3913" w:rsidRDefault="009B3913" w:rsidP="004A4E41">
            <w:pPr>
              <w:pStyle w:val="libFootnote0"/>
              <w:rPr>
                <w:rtl/>
              </w:rPr>
            </w:pPr>
            <w:r>
              <w:rPr>
                <w:rtl/>
              </w:rPr>
              <w:t>(10).</w:t>
            </w:r>
            <w:r w:rsidRPr="00C9040A">
              <w:rPr>
                <w:rtl/>
              </w:rPr>
              <w:t xml:space="preserve"> في « ب » : « عن »</w:t>
            </w:r>
            <w:r>
              <w:rPr>
                <w:rtl/>
              </w:rPr>
              <w:t>.</w:t>
            </w:r>
          </w:p>
        </w:tc>
      </w:tr>
    </w:tbl>
    <w:p w:rsidR="008A74EB" w:rsidRPr="00C9040A" w:rsidRDefault="006C577F" w:rsidP="004A4E41">
      <w:pPr>
        <w:pStyle w:val="libFootnote0"/>
        <w:rPr>
          <w:rtl/>
          <w:lang w:bidi="fa-IR"/>
        </w:rPr>
      </w:pPr>
      <w:r>
        <w:rPr>
          <w:rtl/>
        </w:rPr>
        <w:t>(11).</w:t>
      </w:r>
      <w:r w:rsidR="008A74EB" w:rsidRPr="00C9040A">
        <w:rPr>
          <w:rtl/>
        </w:rPr>
        <w:t xml:space="preserve"> </w:t>
      </w:r>
      <w:r w:rsidR="008A74EB" w:rsidRPr="00993B55">
        <w:rPr>
          <w:rStyle w:val="libFootnoteBoldChar"/>
          <w:rtl/>
        </w:rPr>
        <w:t>الوافي</w:t>
      </w:r>
      <w:r w:rsidR="008A74EB" w:rsidRPr="00C9040A">
        <w:rPr>
          <w:rtl/>
        </w:rPr>
        <w:t xml:space="preserve"> ، ج 4 ، ص 388 ، ح 2168 ؛ </w:t>
      </w:r>
      <w:r w:rsidR="008A74EB" w:rsidRPr="00993B55">
        <w:rPr>
          <w:rStyle w:val="libFootnoteBoldChar"/>
          <w:rtl/>
        </w:rPr>
        <w:t>الوسائل</w:t>
      </w:r>
      <w:r w:rsidR="008A74EB" w:rsidRPr="00C9040A">
        <w:rPr>
          <w:rtl/>
        </w:rPr>
        <w:t xml:space="preserve"> ، ج 16 ، ص 11 ، ح 20829 ؛ </w:t>
      </w:r>
      <w:r w:rsidR="008A74EB" w:rsidRPr="00993B55">
        <w:rPr>
          <w:rStyle w:val="libFootnoteBoldChar"/>
          <w:rtl/>
        </w:rPr>
        <w:t>البحار</w:t>
      </w:r>
      <w:r w:rsidR="008A74EB" w:rsidRPr="00C9040A">
        <w:rPr>
          <w:rtl/>
        </w:rPr>
        <w:t xml:space="preserve"> ، ج 73 ، ص 52 ، ح 24.</w:t>
      </w:r>
    </w:p>
    <w:p w:rsidR="008A74EB" w:rsidRPr="00C9040A" w:rsidRDefault="006C577F" w:rsidP="004A4E41">
      <w:pPr>
        <w:pStyle w:val="libFootnote0"/>
        <w:rPr>
          <w:rtl/>
          <w:lang w:bidi="fa-IR"/>
        </w:rPr>
      </w:pPr>
      <w:r>
        <w:rPr>
          <w:rtl/>
        </w:rPr>
        <w:t>(12).</w:t>
      </w:r>
      <w:r w:rsidR="008A74EB" w:rsidRPr="00C9040A">
        <w:rPr>
          <w:rtl/>
        </w:rPr>
        <w:t xml:space="preserve"> كذا في النسخ والمطبوع ، لكنّ الظاهر عدم صحّة « الخثعمي » ، والمظنون كونه زيادة تفسيريّة ا</w:t>
      </w:r>
      <w:r w:rsidR="00AA5FDB">
        <w:rPr>
          <w:rFonts w:hint="cs"/>
          <w:rtl/>
        </w:rPr>
        <w:t>ُ</w:t>
      </w:r>
      <w:r w:rsidR="008A74EB" w:rsidRPr="00C9040A">
        <w:rPr>
          <w:rtl/>
        </w:rPr>
        <w:t>درجت في‌المتن سهواً.</w:t>
      </w:r>
    </w:p>
    <w:p w:rsidR="008A74EB" w:rsidRPr="00C9040A" w:rsidRDefault="008A74EB" w:rsidP="004A4E41">
      <w:pPr>
        <w:pStyle w:val="libFootnote0"/>
        <w:rPr>
          <w:rtl/>
          <w:lang w:bidi="fa-IR"/>
        </w:rPr>
      </w:pPr>
      <w:r w:rsidRPr="00323A39">
        <w:rPr>
          <w:rtl/>
        </w:rPr>
        <w:t xml:space="preserve">توضيح ذلك : قد وردت في كثير من الأسناد رواية محمّد بن يحيى عن أحمد بن محمّد [ بن عيسى ] عن محمّد بن يحيى عن طلحة بن زيد. ومحمّد بن يحيى في مشايخ أحمد بن محمّد بن عيسى مشترك بين محمّد بن يحيى الخثعمي ومحمّد بن يحيى الخزّاز ، والتأمّل في أسناد هذين الراويين يقضي بوجود اختلافٍ ما بين طبقتيهما بحيث يروي الخثعمي في أكثر أسناده عن أبي عبد الله </w:t>
      </w:r>
      <w:r w:rsidR="00117575" w:rsidRPr="00117575">
        <w:rPr>
          <w:rStyle w:val="libFootnoteAlaemChar"/>
          <w:rtl/>
        </w:rPr>
        <w:t xml:space="preserve">عليه‌السلام </w:t>
      </w:r>
      <w:r w:rsidRPr="00323A39">
        <w:rPr>
          <w:rtl/>
        </w:rPr>
        <w:t xml:space="preserve">، لكنّ الخزّاز يروي عن عدّة من أصحاب أبي عبد الله </w:t>
      </w:r>
      <w:r w:rsidR="00117575" w:rsidRPr="00117575">
        <w:rPr>
          <w:rStyle w:val="libFootnoteAlaemChar"/>
          <w:rtl/>
        </w:rPr>
        <w:t>عليه‌السلام</w:t>
      </w:r>
      <w:r w:rsidRPr="00323A39">
        <w:rPr>
          <w:rtl/>
        </w:rPr>
        <w:t xml:space="preserve"> ، ولم يثبت روايته عنه </w:t>
      </w:r>
      <w:r w:rsidR="00117575" w:rsidRPr="00117575">
        <w:rPr>
          <w:rStyle w:val="libFootnoteAlaemChar"/>
          <w:rtl/>
        </w:rPr>
        <w:t xml:space="preserve">عليه‌السلام </w:t>
      </w:r>
      <w:r w:rsidRPr="00323A39">
        <w:rPr>
          <w:rtl/>
        </w:rPr>
        <w:t xml:space="preserve">. راجع : </w:t>
      </w:r>
      <w:r w:rsidRPr="00993B55">
        <w:rPr>
          <w:rStyle w:val="libFootnoteBoldChar"/>
          <w:rtl/>
        </w:rPr>
        <w:t>معجم رجال الحديث</w:t>
      </w:r>
      <w:r w:rsidRPr="00323A39">
        <w:rPr>
          <w:rtl/>
        </w:rPr>
        <w:t xml:space="preserve"> ، ج 18 ، ص 387 </w:t>
      </w:r>
      <w:r w:rsidR="0084262C" w:rsidRPr="00323A39">
        <w:rPr>
          <w:rtl/>
        </w:rPr>
        <w:t>-</w:t>
      </w:r>
      <w:r w:rsidRPr="00323A39">
        <w:rPr>
          <w:rtl/>
        </w:rPr>
        <w:t xml:space="preserve"> 388 ؛ وص 391 </w:t>
      </w:r>
      <w:r w:rsidR="0084262C" w:rsidRPr="00323A39">
        <w:rPr>
          <w:rtl/>
        </w:rPr>
        <w:t>-</w:t>
      </w:r>
      <w:r w:rsidRPr="00323A39">
        <w:rPr>
          <w:rtl/>
        </w:rPr>
        <w:t xml:space="preserve"> 393.</w:t>
      </w:r>
    </w:p>
    <w:p w:rsidR="008A74EB" w:rsidRPr="00C9040A" w:rsidRDefault="008A74EB" w:rsidP="004A4E41">
      <w:pPr>
        <w:pStyle w:val="libFootnote0"/>
        <w:rPr>
          <w:rtl/>
          <w:lang w:bidi="fa-IR"/>
        </w:rPr>
      </w:pPr>
      <w:r w:rsidRPr="00323A39">
        <w:rPr>
          <w:rtl/>
        </w:rPr>
        <w:t xml:space="preserve">هذا ، وقد ذكر النجاشي في ترجمة محمّد بن يحيى الخثعمي أنّه روى عن أبي عبد الله </w:t>
      </w:r>
      <w:r w:rsidR="00117575" w:rsidRPr="00117575">
        <w:rPr>
          <w:rStyle w:val="libFootnoteAlaemChar"/>
          <w:rtl/>
        </w:rPr>
        <w:t>عليه‌السلام</w:t>
      </w:r>
      <w:r w:rsidRPr="00323A39">
        <w:rPr>
          <w:rtl/>
        </w:rPr>
        <w:t xml:space="preserve"> ، وذكره الشيخ الطوسي أيضاً في أصحاب أبي عبد الله </w:t>
      </w:r>
      <w:r w:rsidR="00117575" w:rsidRPr="00117575">
        <w:rPr>
          <w:rStyle w:val="libFootnoteAlaemChar"/>
          <w:rtl/>
        </w:rPr>
        <w:t xml:space="preserve">عليه‌السلام </w:t>
      </w:r>
      <w:r w:rsidRPr="00323A39">
        <w:rPr>
          <w:rtl/>
        </w:rPr>
        <w:t xml:space="preserve">. وأمّا محمّد بن يحيى الخزّاز ذكر النجاشي أنّه روى عن أصحاب أبي عبد الله </w:t>
      </w:r>
      <w:r w:rsidR="00117575" w:rsidRPr="00117575">
        <w:rPr>
          <w:rStyle w:val="libFootnoteAlaemChar"/>
          <w:rtl/>
        </w:rPr>
        <w:t>عليه‌السلام</w:t>
      </w:r>
      <w:r w:rsidRPr="00323A39">
        <w:rPr>
          <w:rtl/>
        </w:rPr>
        <w:t xml:space="preserve"> ، ولم يرد له ذكر في كتب الطبقات </w:t>
      </w:r>
      <w:r w:rsidRPr="00993B55">
        <w:rPr>
          <w:rStyle w:val="libFootnoteBoldChar"/>
          <w:rtl/>
        </w:rPr>
        <w:t>كرجال الشيخ ورجال البرقي</w:t>
      </w:r>
      <w:r w:rsidRPr="00323A39">
        <w:rPr>
          <w:rtl/>
        </w:rPr>
        <w:t xml:space="preserve">. راجع : </w:t>
      </w:r>
      <w:r w:rsidRPr="00993B55">
        <w:rPr>
          <w:rStyle w:val="libFootnoteBoldChar"/>
          <w:rtl/>
        </w:rPr>
        <w:t>رجال النجاشي</w:t>
      </w:r>
      <w:r w:rsidRPr="00323A39">
        <w:rPr>
          <w:rtl/>
        </w:rPr>
        <w:t xml:space="preserve"> ، ص 359 ، </w:t>
      </w:r>
      <w:r w:rsidR="00AA5FDB">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عَنْ طَلْحَةَ بْنِ زَيْدٍ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مَا أَعْجَبَ رَسُولَ اللهِ </w:t>
      </w:r>
      <w:r w:rsidR="004A4E41" w:rsidRPr="004A4E41">
        <w:rPr>
          <w:rStyle w:val="libAlaemChar"/>
          <w:rtl/>
        </w:rPr>
        <w:t>صلى‌الله‌عليه‌وآله</w:t>
      </w:r>
      <w:r w:rsidR="00AA5FDB">
        <w:rPr>
          <w:rtl/>
          <w:lang w:bidi="fa-IR"/>
        </w:rPr>
        <w:t xml:space="preserve"> شَيْ‌ءٌ مِنَ الدُّنْيَا إِل</w:t>
      </w:r>
      <w:r w:rsidR="00AA5FDB">
        <w:rPr>
          <w:rFonts w:hint="cs"/>
          <w:rtl/>
          <w:lang w:bidi="fa-IR"/>
        </w:rPr>
        <w:t>َّ</w:t>
      </w:r>
      <w:r w:rsidR="00AA5FDB">
        <w:rPr>
          <w:rtl/>
          <w:lang w:bidi="fa-IR"/>
        </w:rPr>
        <w:t>ا</w:t>
      </w:r>
      <w:r w:rsidRPr="00C9040A">
        <w:rPr>
          <w:rtl/>
          <w:lang w:bidi="fa-IR"/>
        </w:rPr>
        <w:t xml:space="preserve"> أَنْ يَكُونَ فِيهَا </w:t>
      </w:r>
      <w:r w:rsidR="006C577F" w:rsidRPr="006C577F">
        <w:rPr>
          <w:rStyle w:val="libFootnotenumChar"/>
          <w:rtl/>
        </w:rPr>
        <w:t>(1)</w:t>
      </w:r>
      <w:r w:rsidRPr="00C9040A">
        <w:rPr>
          <w:rtl/>
          <w:lang w:bidi="fa-IR"/>
        </w:rPr>
        <w:t xml:space="preserve"> جَائِعاً خَائِفاً </w:t>
      </w:r>
      <w:r w:rsidR="006C577F" w:rsidRPr="006C577F">
        <w:rPr>
          <w:rStyle w:val="libFootnotenumChar"/>
          <w:rtl/>
        </w:rPr>
        <w:t>(2)</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A42ADF">
        <w:rPr>
          <w:rtl/>
        </w:rPr>
        <w:t>1900</w:t>
      </w:r>
      <w:r w:rsidRPr="00261CB0">
        <w:rPr>
          <w:rStyle w:val="libBold2Char"/>
          <w:rtl/>
        </w:rPr>
        <w:t xml:space="preserve"> / 8.</w:t>
      </w:r>
      <w:r w:rsidRPr="00C9040A">
        <w:rPr>
          <w:rtl/>
          <w:lang w:bidi="fa-IR"/>
        </w:rPr>
        <w:t xml:space="preserve"> عِدَّةٌ مِنْ أَصْحَابِنَا ، عَنْ أَحْمَدَ بْنِ مُحَمَّدِ بْنِ خَالِدٍ ، عَنِ الْقَاسِمِ بْنِ يَحْيى ، عَنْ جَدِّهِ الْحَسَنِ بْنِ رَاشِدٍ ، عَنْ عَبْدِ اللهِ بْنِ سِنَانٍ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خَرَجَ النَّبِيُّ </w:t>
      </w:r>
      <w:r w:rsidR="004A4E41" w:rsidRPr="004A4E41">
        <w:rPr>
          <w:rStyle w:val="libAlaemChar"/>
          <w:rtl/>
        </w:rPr>
        <w:t>صلى‌الله‌عليه‌وآله</w:t>
      </w:r>
      <w:r w:rsidRPr="00C9040A">
        <w:rPr>
          <w:rtl/>
          <w:lang w:bidi="fa-IR"/>
        </w:rPr>
        <w:t xml:space="preserve"> وَهُوَ مَحْزُونٌ ، فَأَتَاهُ مَلَكٌ ، وَمَعَهُ مَفَاتِيحُ خَزَائِنِ الْأَرْضِ </w:t>
      </w:r>
      <w:r w:rsidR="006C577F" w:rsidRPr="006C577F">
        <w:rPr>
          <w:rStyle w:val="libFootnotenumChar"/>
          <w:rtl/>
        </w:rPr>
        <w:t>(4)</w:t>
      </w:r>
      <w:r w:rsidRPr="00C9040A">
        <w:rPr>
          <w:rtl/>
          <w:lang w:bidi="fa-IR"/>
        </w:rPr>
        <w:t xml:space="preserve"> ، فَقَالَ : يَا مُحَمَّدُ ، هذِهِ مَفَاتِيحُ خَزَائِنِ الْأَرْضِ </w:t>
      </w:r>
      <w:r w:rsidR="006C577F" w:rsidRPr="006C577F">
        <w:rPr>
          <w:rStyle w:val="libFootnotenumChar"/>
          <w:rtl/>
        </w:rPr>
        <w:t>(5)</w:t>
      </w:r>
      <w:r w:rsidRPr="00C9040A">
        <w:rPr>
          <w:rtl/>
          <w:lang w:bidi="fa-IR"/>
        </w:rPr>
        <w:t xml:space="preserve"> ، يَقُولُ لَكَ رَبُّكَ : افْتَحْ </w:t>
      </w:r>
      <w:r w:rsidR="006C577F" w:rsidRPr="006C577F">
        <w:rPr>
          <w:rStyle w:val="libFootnotenumChar"/>
          <w:rtl/>
        </w:rPr>
        <w:t>(6)</w:t>
      </w:r>
      <w:r w:rsidRPr="005B567D">
        <w:rPr>
          <w:rStyle w:val="libFootnotenumChar"/>
          <w:rtl/>
        </w:rPr>
        <w:t xml:space="preserve"> </w:t>
      </w:r>
      <w:r w:rsidRPr="00C9040A">
        <w:rPr>
          <w:rtl/>
          <w:lang w:bidi="fa-IR"/>
        </w:rPr>
        <w:t xml:space="preserve">وَخُذْ مِنْهَا مَا شِئْتَ مِنْ غَيْرِ أَنْ تُنْقَصَ </w:t>
      </w:r>
      <w:r w:rsidR="006C577F" w:rsidRPr="006C577F">
        <w:rPr>
          <w:rStyle w:val="libFootnotenumChar"/>
          <w:rtl/>
        </w:rPr>
        <w:t>(7)</w:t>
      </w:r>
      <w:r w:rsidRPr="00C9040A">
        <w:rPr>
          <w:rtl/>
          <w:lang w:bidi="fa-IR"/>
        </w:rPr>
        <w:t xml:space="preserve"> شَيْئاً عِنْدِي.</w:t>
      </w:r>
    </w:p>
    <w:p w:rsidR="008A74EB" w:rsidRPr="00C9040A" w:rsidRDefault="008A74EB" w:rsidP="008A74EB">
      <w:pPr>
        <w:pStyle w:val="libNormal"/>
        <w:rPr>
          <w:rtl/>
          <w:lang w:bidi="fa-IR"/>
        </w:rPr>
      </w:pPr>
      <w:r w:rsidRPr="00C9040A">
        <w:rPr>
          <w:rtl/>
          <w:lang w:bidi="fa-IR"/>
        </w:rPr>
        <w:t xml:space="preserve">فَقَالَ رَسُولُ اللهِ </w:t>
      </w:r>
      <w:r w:rsidR="004A4E41" w:rsidRPr="004A4E41">
        <w:rPr>
          <w:rStyle w:val="libAlaemChar"/>
          <w:rtl/>
        </w:rPr>
        <w:t>صلى‌الله‌عليه‌وآله</w:t>
      </w:r>
      <w:r w:rsidRPr="00C9040A">
        <w:rPr>
          <w:rtl/>
          <w:lang w:bidi="fa-IR"/>
        </w:rPr>
        <w:t xml:space="preserve"> : الدُّنْيَا دَارُ مَنْ </w:t>
      </w:r>
      <w:r w:rsidR="006C577F" w:rsidRPr="006C577F">
        <w:rPr>
          <w:rStyle w:val="libFootnotenumChar"/>
          <w:rtl/>
        </w:rPr>
        <w:t>(8)</w:t>
      </w:r>
      <w:r w:rsidRPr="00C9040A">
        <w:rPr>
          <w:rtl/>
          <w:lang w:bidi="fa-IR"/>
        </w:rPr>
        <w:t xml:space="preserve"> لَادَارَ لَهُ </w:t>
      </w:r>
      <w:r w:rsidR="006C577F" w:rsidRPr="006C577F">
        <w:rPr>
          <w:rStyle w:val="libFootnotenumChar"/>
          <w:rtl/>
        </w:rPr>
        <w:t>(9)</w:t>
      </w:r>
      <w:r w:rsidRPr="00C9040A">
        <w:rPr>
          <w:rtl/>
          <w:lang w:bidi="fa-IR"/>
        </w:rPr>
        <w:t xml:space="preserve"> ، وَلَهَا </w:t>
      </w:r>
      <w:r w:rsidR="006C577F" w:rsidRPr="006C577F">
        <w:rPr>
          <w:rStyle w:val="libFootnotenumChar"/>
          <w:rtl/>
        </w:rPr>
        <w:t>(10)</w:t>
      </w:r>
      <w:r w:rsidR="00AA5FDB">
        <w:rPr>
          <w:rFonts w:hint="cs"/>
          <w:rtl/>
          <w:lang w:bidi="fa-IR"/>
        </w:rPr>
        <w:t>...................</w:t>
      </w:r>
      <w:r w:rsidR="00AA5FDB">
        <w:rPr>
          <w:rFonts w:hint="cs"/>
          <w:rtl/>
          <w:lang w:bidi="fa-IR"/>
        </w:rPr>
        <w:tab/>
      </w:r>
    </w:p>
    <w:p w:rsidR="008A74EB" w:rsidRPr="00C9040A" w:rsidRDefault="008A74EB" w:rsidP="008A74EB">
      <w:pPr>
        <w:pStyle w:val="libLine"/>
        <w:rPr>
          <w:rtl/>
          <w:lang w:bidi="fa-IR"/>
        </w:rPr>
      </w:pPr>
      <w:r w:rsidRPr="00C9040A">
        <w:rPr>
          <w:rtl/>
          <w:lang w:bidi="fa-IR"/>
        </w:rPr>
        <w:t>__________________</w:t>
      </w:r>
    </w:p>
    <w:p w:rsidR="008A74EB" w:rsidRPr="00C9040A" w:rsidRDefault="00C04967" w:rsidP="004A4E41">
      <w:pPr>
        <w:pStyle w:val="libFootnote0"/>
        <w:rPr>
          <w:rtl/>
          <w:lang w:bidi="fa-IR"/>
        </w:rPr>
      </w:pPr>
      <w:r>
        <w:rPr>
          <w:rFonts w:hint="cs"/>
          <w:rtl/>
        </w:rPr>
        <w:t xml:space="preserve">= </w:t>
      </w:r>
      <w:r w:rsidR="008A74EB" w:rsidRPr="00323A39">
        <w:rPr>
          <w:rtl/>
        </w:rPr>
        <w:t xml:space="preserve">الرقم 963 و 964 ؛ </w:t>
      </w:r>
      <w:r w:rsidR="008A74EB" w:rsidRPr="00993B55">
        <w:rPr>
          <w:rStyle w:val="libFootnoteBoldChar"/>
          <w:rtl/>
        </w:rPr>
        <w:t>رجال الطوسي</w:t>
      </w:r>
      <w:r w:rsidR="008A74EB" w:rsidRPr="00323A39">
        <w:rPr>
          <w:rtl/>
        </w:rPr>
        <w:t xml:space="preserve"> ، ص 297 ، الرقم 4358.</w:t>
      </w:r>
    </w:p>
    <w:p w:rsidR="008A74EB" w:rsidRPr="004A4E41" w:rsidRDefault="008A74EB" w:rsidP="004A4E41">
      <w:pPr>
        <w:pStyle w:val="libFootnote0"/>
        <w:rPr>
          <w:rStyle w:val="libFootnote0Char"/>
          <w:rtl/>
        </w:rPr>
      </w:pPr>
      <w:r w:rsidRPr="00323A39">
        <w:rPr>
          <w:rtl/>
        </w:rPr>
        <w:t xml:space="preserve">فعليه ، الظاهر زيادة « الخثعمي » كما أشرنا إليه. والمراد من محمّد بن يحيى هذا ، هو محمّد بن يحيى الخزّاز ؛ فقد وردت رواية محمّد بن يحيى الخزّاز عن طلحة بن زيد في </w:t>
      </w:r>
      <w:r w:rsidRPr="0034021D">
        <w:rPr>
          <w:rStyle w:val="libFootnoteBoldChar"/>
          <w:rtl/>
        </w:rPr>
        <w:t>الأمالي للصدوق</w:t>
      </w:r>
      <w:r w:rsidRPr="00323A39">
        <w:rPr>
          <w:rtl/>
        </w:rPr>
        <w:t xml:space="preserve"> ، ص 42 ، المجلس العاشر ، ح 8 ؛ </w:t>
      </w:r>
      <w:r w:rsidRPr="00993B55">
        <w:rPr>
          <w:rStyle w:val="libFootnoteBoldChar"/>
          <w:rtl/>
        </w:rPr>
        <w:t>علل الشرائع</w:t>
      </w:r>
      <w:r w:rsidRPr="00323A39">
        <w:rPr>
          <w:rtl/>
        </w:rPr>
        <w:t xml:space="preserve"> ، ص 320 ، ح 1 ؛ ص 530 ، ح 3 ؛ </w:t>
      </w:r>
      <w:r w:rsidRPr="00993B55">
        <w:rPr>
          <w:rStyle w:val="libFootnoteBoldChar"/>
          <w:rtl/>
        </w:rPr>
        <w:t>الخصال</w:t>
      </w:r>
      <w:r w:rsidRPr="00323A39">
        <w:rPr>
          <w:rtl/>
        </w:rPr>
        <w:t xml:space="preserve"> ، ص 242 ، ح 93 ؛ </w:t>
      </w:r>
      <w:r w:rsidRPr="00993B55">
        <w:rPr>
          <w:rStyle w:val="libFootnoteBoldChar"/>
          <w:rtl/>
        </w:rPr>
        <w:t>ثواب الأعمال</w:t>
      </w:r>
      <w:r w:rsidRPr="00323A39">
        <w:rPr>
          <w:rtl/>
        </w:rPr>
        <w:t xml:space="preserve"> ، ص 270 ، ح 7 ؛ كما روى أحمد بن محمّد بن عيسى ، عن محمّد بن يحيى الخزّاز ، عن طلحة بن زيد في طريق الصدوق إلى طلحة بن زيد. راجع : </w:t>
      </w:r>
      <w:r w:rsidRPr="00993B55">
        <w:rPr>
          <w:rStyle w:val="libFootnoteBoldChar"/>
          <w:rtl/>
        </w:rPr>
        <w:t>الفقيه</w:t>
      </w:r>
      <w:r w:rsidRPr="00323A39">
        <w:rPr>
          <w:rtl/>
        </w:rPr>
        <w:t xml:space="preserve"> ، ج 4 ، ص 480.</w:t>
      </w:r>
    </w:p>
    <w:tbl>
      <w:tblPr>
        <w:tblStyle w:val="TableGrid"/>
        <w:bidiVisual/>
        <w:tblW w:w="0" w:type="auto"/>
        <w:tblLook w:val="04A0" w:firstRow="1" w:lastRow="0" w:firstColumn="1" w:lastColumn="0" w:noHBand="0" w:noVBand="1"/>
      </w:tblPr>
      <w:tblGrid>
        <w:gridCol w:w="4006"/>
        <w:gridCol w:w="4006"/>
      </w:tblGrid>
      <w:tr w:rsidR="00940BEC" w:rsidTr="00940BEC">
        <w:tc>
          <w:tcPr>
            <w:tcW w:w="4006" w:type="dxa"/>
          </w:tcPr>
          <w:p w:rsidR="00940BEC" w:rsidRDefault="00940BEC" w:rsidP="004A4E41">
            <w:pPr>
              <w:pStyle w:val="libFootnote0"/>
              <w:rPr>
                <w:rtl/>
              </w:rPr>
            </w:pPr>
            <w:r>
              <w:rPr>
                <w:rtl/>
              </w:rPr>
              <w:t xml:space="preserve">(1). </w:t>
            </w:r>
            <w:r w:rsidRPr="00C9040A">
              <w:rPr>
                <w:rtl/>
              </w:rPr>
              <w:t xml:space="preserve">في شرح المازندراني </w:t>
            </w:r>
            <w:r>
              <w:rPr>
                <w:rtl/>
              </w:rPr>
              <w:t>: -</w:t>
            </w:r>
            <w:r w:rsidRPr="00C9040A">
              <w:rPr>
                <w:rtl/>
              </w:rPr>
              <w:t xml:space="preserve"> « فيها »</w:t>
            </w:r>
            <w:r>
              <w:rPr>
                <w:rtl/>
              </w:rPr>
              <w:t>.</w:t>
            </w:r>
          </w:p>
        </w:tc>
        <w:tc>
          <w:tcPr>
            <w:tcW w:w="4006" w:type="dxa"/>
          </w:tcPr>
          <w:p w:rsidR="00940BEC" w:rsidRDefault="00940BEC" w:rsidP="004A4E41">
            <w:pPr>
              <w:pStyle w:val="libFootnote0"/>
              <w:rPr>
                <w:rtl/>
              </w:rPr>
            </w:pPr>
            <w:r>
              <w:rPr>
                <w:rtl/>
              </w:rPr>
              <w:t xml:space="preserve">(2). </w:t>
            </w:r>
            <w:r w:rsidRPr="00C9040A">
              <w:rPr>
                <w:rtl/>
              </w:rPr>
              <w:t>في « ص » : « خائفاً جائعاً »</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w:t>
      </w:r>
      <w:r w:rsidR="008A74EB" w:rsidRPr="00993B55">
        <w:rPr>
          <w:rStyle w:val="libFootnoteBoldChar"/>
          <w:rtl/>
        </w:rPr>
        <w:t>الوافي</w:t>
      </w:r>
      <w:r w:rsidR="008A74EB" w:rsidRPr="00C9040A">
        <w:rPr>
          <w:rtl/>
        </w:rPr>
        <w:t xml:space="preserve"> ، ج 4 ، ص 390 ، ح 2171 ؛ </w:t>
      </w:r>
      <w:r w:rsidR="008A74EB" w:rsidRPr="00993B55">
        <w:rPr>
          <w:rStyle w:val="libFootnoteBoldChar"/>
          <w:rtl/>
        </w:rPr>
        <w:t>البحار</w:t>
      </w:r>
      <w:r w:rsidR="008A74EB" w:rsidRPr="00C9040A">
        <w:rPr>
          <w:rtl/>
        </w:rPr>
        <w:t xml:space="preserve"> ، ج 16 ، ص 266 ، ح 66 ؛ وج 73 ، ص 53 ، ح 25.</w:t>
      </w:r>
    </w:p>
    <w:p w:rsidR="008A74EB" w:rsidRPr="00C9040A" w:rsidRDefault="006C577F" w:rsidP="004A4E41">
      <w:pPr>
        <w:pStyle w:val="libFootnote0"/>
        <w:rPr>
          <w:rtl/>
          <w:lang w:bidi="fa-IR"/>
        </w:rPr>
      </w:pPr>
      <w:r>
        <w:rPr>
          <w:rtl/>
        </w:rPr>
        <w:t>(4).</w:t>
      </w:r>
      <w:r w:rsidR="008A74EB" w:rsidRPr="00C9040A">
        <w:rPr>
          <w:rtl/>
        </w:rPr>
        <w:t xml:space="preserve"> في « ب » والبحار : « أرض الدنيا »</w:t>
      </w:r>
      <w:r w:rsidR="008A74EB">
        <w:rPr>
          <w:rtl/>
        </w:rPr>
        <w:t>.</w:t>
      </w:r>
      <w:r w:rsidR="008A74EB" w:rsidRPr="00C9040A">
        <w:rPr>
          <w:rtl/>
        </w:rPr>
        <w:t xml:space="preserve"> وفي حاشية « ج » : « الدنيا » بدل « الأرض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ب » </w:t>
      </w:r>
      <w:r w:rsidR="008A74EB">
        <w:rPr>
          <w:rtl/>
        </w:rPr>
        <w:t xml:space="preserve">: </w:t>
      </w:r>
      <w:r w:rsidR="0084262C">
        <w:rPr>
          <w:rtl/>
        </w:rPr>
        <w:t>-</w:t>
      </w:r>
      <w:r w:rsidR="008A74EB" w:rsidRPr="00C9040A">
        <w:rPr>
          <w:rtl/>
        </w:rPr>
        <w:t xml:space="preserve"> « فقال</w:t>
      </w:r>
      <w:r w:rsidR="008A74EB">
        <w:rPr>
          <w:rtl/>
        </w:rPr>
        <w:t xml:space="preserve"> </w:t>
      </w:r>
      <w:r w:rsidR="0084262C">
        <w:rPr>
          <w:rtl/>
        </w:rPr>
        <w:t>-</w:t>
      </w:r>
      <w:r w:rsidR="008A74EB">
        <w:rPr>
          <w:rtl/>
        </w:rPr>
        <w:t xml:space="preserve"> </w:t>
      </w:r>
      <w:r w:rsidR="008A74EB" w:rsidRPr="00C9040A">
        <w:rPr>
          <w:rtl/>
        </w:rPr>
        <w:t>إلى</w:t>
      </w:r>
      <w:r w:rsidR="008A74EB">
        <w:rPr>
          <w:rtl/>
        </w:rPr>
        <w:t xml:space="preserve"> </w:t>
      </w:r>
      <w:r w:rsidR="0084262C">
        <w:rPr>
          <w:rtl/>
        </w:rPr>
        <w:t>-</w:t>
      </w:r>
      <w:r w:rsidR="008A74EB">
        <w:rPr>
          <w:rtl/>
        </w:rPr>
        <w:t xml:space="preserve"> </w:t>
      </w:r>
      <w:r w:rsidR="008A74EB" w:rsidRPr="00C9040A">
        <w:rPr>
          <w:rtl/>
        </w:rPr>
        <w:t>الأرض »</w:t>
      </w:r>
      <w:r w:rsidR="008A74EB">
        <w:rPr>
          <w:rtl/>
        </w:rPr>
        <w:t>.</w:t>
      </w:r>
      <w:r w:rsidR="008A74EB" w:rsidRPr="00C9040A">
        <w:rPr>
          <w:rtl/>
        </w:rPr>
        <w:t xml:space="preserve"> وفي « ج ، ض » : « الدنيا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حاشية « ف » : « افتتح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ز » والبحار : « أن ينقص »</w:t>
      </w:r>
      <w:r w:rsidR="008A74EB">
        <w:rPr>
          <w:rtl/>
        </w:rPr>
        <w:t>.</w:t>
      </w:r>
      <w:r w:rsidR="008A74EB" w:rsidRPr="00C9040A">
        <w:rPr>
          <w:rtl/>
        </w:rPr>
        <w:t xml:space="preserve"> وفي « بر » : « أن ينتقص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 من غير أن تنقص ، على بناء المجهول</w:t>
      </w:r>
      <w:r w:rsidR="008A74EB">
        <w:rPr>
          <w:rtl/>
        </w:rPr>
        <w:t xml:space="preserve"> ..</w:t>
      </w:r>
      <w:r w:rsidR="008A74EB" w:rsidRPr="00C9040A">
        <w:rPr>
          <w:rtl/>
        </w:rPr>
        <w:t>. ويمكن أن يقرأ على بناء المعلوم ، فالمستتر راجع إلى المفاتيح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 ب » : « لمن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w:t>
      </w:r>
      <w:r w:rsidR="008A74EB" w:rsidRPr="00993B55">
        <w:rPr>
          <w:rStyle w:val="libFootnoteBoldChar"/>
          <w:rtl/>
        </w:rPr>
        <w:t>الوافي</w:t>
      </w:r>
      <w:r w:rsidR="008A74EB" w:rsidRPr="00C9040A">
        <w:rPr>
          <w:rtl/>
        </w:rPr>
        <w:t xml:space="preserve"> : « لعلّ المراد : أنّ الدنيا دار من لا دار له غيرها ، يعني من ليس له في الآخرة نصيب ، فإنّ من كان داره الآخرة لايطمئنّ إلى الدنيا ولا يتّخذها داراً ولايقرّ فيها قراراً. أو المراد أنّ من اتّخذ الدنيا داراً فلا دار له ؛ لأنّها لاتصلح للاستقرار وليست بدار »</w:t>
      </w:r>
      <w:r w:rsidR="008A74EB">
        <w:rPr>
          <w:rtl/>
        </w:rPr>
        <w:t>.</w:t>
      </w:r>
      <w:r w:rsidR="00246F17">
        <w:rPr>
          <w:rFonts w:hint="cs"/>
          <w:rtl/>
        </w:rPr>
        <w:t xml:space="preserve">                                   </w:t>
      </w:r>
      <w:r>
        <w:rPr>
          <w:rtl/>
        </w:rPr>
        <w:t>(10).</w:t>
      </w:r>
      <w:r w:rsidR="008A74EB" w:rsidRPr="00C9040A">
        <w:rPr>
          <w:rtl/>
        </w:rPr>
        <w:t xml:space="preserve"> في « ف » : « ومالها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يَجْمَعُ </w:t>
      </w:r>
      <w:r w:rsidR="006C577F" w:rsidRPr="006C577F">
        <w:rPr>
          <w:rStyle w:val="libFootnotenumChar"/>
          <w:rtl/>
        </w:rPr>
        <w:t>(1)</w:t>
      </w:r>
      <w:r w:rsidRPr="00C9040A">
        <w:rPr>
          <w:rtl/>
          <w:lang w:bidi="fa-IR"/>
        </w:rPr>
        <w:t xml:space="preserve"> مَنْ لَاعَقْلَ لَهُ.</w:t>
      </w:r>
    </w:p>
    <w:p w:rsidR="008A74EB" w:rsidRPr="00C9040A" w:rsidRDefault="008A74EB" w:rsidP="008A74EB">
      <w:pPr>
        <w:pStyle w:val="libNormal"/>
        <w:rPr>
          <w:rtl/>
          <w:lang w:bidi="fa-IR"/>
        </w:rPr>
      </w:pPr>
      <w:r w:rsidRPr="00C9040A">
        <w:rPr>
          <w:rtl/>
          <w:lang w:bidi="fa-IR"/>
        </w:rPr>
        <w:t xml:space="preserve">فَقَالَ الْمَلَكُ : وَالَّذِي بَعَثَكَ بِالْحَقِّ نَبِيّاً </w:t>
      </w:r>
      <w:r w:rsidR="006C577F" w:rsidRPr="006C577F">
        <w:rPr>
          <w:rStyle w:val="libFootnotenumChar"/>
          <w:rtl/>
        </w:rPr>
        <w:t>(2)</w:t>
      </w:r>
      <w:r w:rsidRPr="00C9040A">
        <w:rPr>
          <w:rtl/>
          <w:lang w:bidi="fa-IR"/>
        </w:rPr>
        <w:t xml:space="preserve"> ، لَقَدْ سَمِعْتُ هذَا الْكَلَامَ مِنْ مَلَكٍ يَقُولُهُ فِي السَّمَاءِ الرَّابِعَةِ حِينَ أُعْطِيتُ الْمَفَاتِيحَ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A42ADF">
        <w:rPr>
          <w:rtl/>
        </w:rPr>
        <w:t>1901</w:t>
      </w:r>
      <w:r w:rsidRPr="00261CB0">
        <w:rPr>
          <w:rStyle w:val="libBold2Char"/>
          <w:rtl/>
        </w:rPr>
        <w:t xml:space="preserve"> / 9.</w:t>
      </w:r>
      <w:r w:rsidRPr="00C9040A">
        <w:rPr>
          <w:rtl/>
          <w:lang w:bidi="fa-IR"/>
        </w:rPr>
        <w:t xml:space="preserve"> عَلِيُّ بْنُ إِبْرَاهِيمَ ، عَنْ أَبِيهِ ، عَنِ ابْنِ أَبِي عُمَيْرٍ ، عَنْ جَمِيلِ بْنِ دَرَّاجٍ :</w:t>
      </w:r>
    </w:p>
    <w:p w:rsidR="008A74EB" w:rsidRPr="00C9040A" w:rsidRDefault="008A74EB" w:rsidP="00020839">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مَرَّ رَسُولُ اللهِ </w:t>
      </w:r>
      <w:r w:rsidR="004A4E41" w:rsidRPr="004A4E41">
        <w:rPr>
          <w:rStyle w:val="libAlaemChar"/>
          <w:rtl/>
        </w:rPr>
        <w:t>صلى‌الله‌عليه‌وآله</w:t>
      </w:r>
      <w:r w:rsidRPr="00C9040A">
        <w:rPr>
          <w:rtl/>
          <w:lang w:bidi="fa-IR"/>
        </w:rPr>
        <w:t xml:space="preserve"> بِجَدْيٍ </w:t>
      </w:r>
      <w:r w:rsidR="006C577F" w:rsidRPr="006C577F">
        <w:rPr>
          <w:rStyle w:val="libFootnotenumChar"/>
          <w:rtl/>
        </w:rPr>
        <w:t>(4)</w:t>
      </w:r>
      <w:r w:rsidRPr="00C9040A">
        <w:rPr>
          <w:rtl/>
          <w:lang w:bidi="fa-IR"/>
        </w:rPr>
        <w:t xml:space="preserve"> أَسَكَّ </w:t>
      </w:r>
      <w:r w:rsidR="006C577F" w:rsidRPr="006C577F">
        <w:rPr>
          <w:rStyle w:val="libFootnotenumChar"/>
          <w:rtl/>
        </w:rPr>
        <w:t>(5)</w:t>
      </w:r>
      <w:r w:rsidRPr="00C9040A">
        <w:rPr>
          <w:rtl/>
          <w:lang w:bidi="fa-IR"/>
        </w:rPr>
        <w:t xml:space="preserve"> ، مُلْقًى عَلى مَزْبَلَةٍ مَيْتاً ، فَقَالَ لِأَصْحَابِهِ : كَمْ يُسَاوِي هذَا</w:t>
      </w:r>
      <w:r>
        <w:rPr>
          <w:rtl/>
          <w:lang w:bidi="fa-IR"/>
        </w:rPr>
        <w:t>؟</w:t>
      </w:r>
      <w:r w:rsidRPr="00C9040A">
        <w:rPr>
          <w:rtl/>
          <w:lang w:bidi="fa-IR"/>
        </w:rPr>
        <w:t xml:space="preserve"> فَقَالُوا : لَعَلَّهُ لَوْ كَانَ حَيّاً لَمْ يُسَاوِ دِرْهَماً ، فَقَالَ النَّبِيُّ </w:t>
      </w:r>
      <w:r w:rsidR="004A4E41" w:rsidRPr="004A4E41">
        <w:rPr>
          <w:rStyle w:val="libAlaemChar"/>
          <w:rtl/>
        </w:rPr>
        <w:t>صلى‌الله‌عليه‌وآله</w:t>
      </w:r>
      <w:r w:rsidRPr="00C9040A">
        <w:rPr>
          <w:rtl/>
          <w:lang w:bidi="fa-IR"/>
        </w:rPr>
        <w:t xml:space="preserve"> : وَالَّذِي نَفْسِي بِيَدِهِ ، لَلدُّنْيَا </w:t>
      </w:r>
      <w:r w:rsidR="006C577F" w:rsidRPr="006C577F">
        <w:rPr>
          <w:rStyle w:val="libFootnotenumChar"/>
          <w:rtl/>
        </w:rPr>
        <w:t>(6)</w:t>
      </w:r>
      <w:r w:rsidRPr="005B567D">
        <w:rPr>
          <w:rStyle w:val="libFootnotenumChar"/>
          <w:rtl/>
        </w:rPr>
        <w:t xml:space="preserve"> </w:t>
      </w:r>
      <w:r w:rsidRPr="00C9040A">
        <w:rPr>
          <w:rtl/>
          <w:lang w:bidi="fa-IR"/>
        </w:rPr>
        <w:t xml:space="preserve">أَهْوَنُ </w:t>
      </w:r>
      <w:r w:rsidR="006C577F" w:rsidRPr="006C577F">
        <w:rPr>
          <w:rStyle w:val="libFootnotenumChar"/>
          <w:rtl/>
        </w:rPr>
        <w:t>(7)</w:t>
      </w:r>
      <w:r w:rsidRPr="00C9040A">
        <w:rPr>
          <w:rtl/>
          <w:lang w:bidi="fa-IR"/>
        </w:rPr>
        <w:t xml:space="preserve"> عَلَى اللهِ مِنْ هذَا الْجَدْيِ عَلى أَهْلِهِ »</w:t>
      </w:r>
      <w:r>
        <w:rPr>
          <w:rtl/>
          <w:lang w:bidi="fa-IR"/>
        </w:rPr>
        <w:t>.</w:t>
      </w:r>
      <w:r w:rsidRPr="00C9040A">
        <w:rPr>
          <w:rtl/>
          <w:lang w:bidi="fa-IR"/>
        </w:rPr>
        <w:t xml:space="preserve"> </w:t>
      </w:r>
      <w:r w:rsidR="006C577F" w:rsidRPr="006C577F">
        <w:rPr>
          <w:rStyle w:val="libFootnotenumChar"/>
          <w:rtl/>
        </w:rPr>
        <w:t>(8)</w:t>
      </w:r>
    </w:p>
    <w:p w:rsidR="008A74EB" w:rsidRPr="00C9040A" w:rsidRDefault="008A74EB" w:rsidP="008A74EB">
      <w:pPr>
        <w:pStyle w:val="libNormal"/>
        <w:rPr>
          <w:rtl/>
          <w:lang w:bidi="fa-IR"/>
        </w:rPr>
      </w:pPr>
      <w:r w:rsidRPr="00A42ADF">
        <w:rPr>
          <w:rtl/>
        </w:rPr>
        <w:t>1902</w:t>
      </w:r>
      <w:r w:rsidRPr="00261CB0">
        <w:rPr>
          <w:rStyle w:val="libBold2Char"/>
          <w:rtl/>
        </w:rPr>
        <w:t xml:space="preserve"> / 10.</w:t>
      </w:r>
      <w:r w:rsidRPr="00C9040A">
        <w:rPr>
          <w:rtl/>
          <w:lang w:bidi="fa-IR"/>
        </w:rPr>
        <w:t xml:space="preserve"> عَلِيُّ بْنُ إِبْرَاهِيمَ ، عَنْ عَلِيِّ بْنِ مُحَمَّدٍ الْقَاسَانِيِّ ، عَمَّنْ ذَكَرَهُ ، عَنْ عَبْدِ اللهِ بْنِ الْقَاسِمِ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إِذَا أَرَادَ اللهُ بِعَبْدٍ خَيْراً زَهَّدَهُ فِي الدُّنْيَا ، وَفَقَّهَهُ فِي الدِّينِ ، وَبَصَّرَهُ عُيُوبَهَا ؛ وَمَنْ أُوتِيَهُنَّ فَقَدْ أُوتِيَ </w:t>
      </w:r>
      <w:r w:rsidR="006C577F" w:rsidRPr="006C577F">
        <w:rPr>
          <w:rStyle w:val="libFootnotenumChar"/>
          <w:rtl/>
        </w:rPr>
        <w:t>(9)</w:t>
      </w:r>
      <w:r w:rsidRPr="00C9040A">
        <w:rPr>
          <w:rtl/>
          <w:lang w:bidi="fa-IR"/>
        </w:rPr>
        <w:t xml:space="preserve"> خَيْرَ الدُّنْيَا وَالْآخِرَةِ »</w:t>
      </w:r>
      <w:r>
        <w:rPr>
          <w:rtl/>
          <w:lang w:bidi="fa-IR"/>
        </w:rPr>
        <w:t>.</w:t>
      </w:r>
      <w:r w:rsidRPr="00C9040A">
        <w:rPr>
          <w:rtl/>
          <w:lang w:bidi="fa-IR"/>
        </w:rPr>
        <w:t xml:space="preserve"> وَقَالَ : « لَمْ يَطْلُبْ أَحَدٌ الْحَقَّ بِبَابٍ أَفْضَلَ مِنَ الزُّهْدِ فِي الدُّنْيَا ، وَهُوَ ضِدٌّ لِمَا طَلَبَ أَعْدَاءُ الْحَقِّ »</w:t>
      </w:r>
      <w:r>
        <w:rPr>
          <w:rtl/>
          <w:lang w:bidi="fa-IR"/>
        </w:rPr>
        <w:t>.</w:t>
      </w:r>
    </w:p>
    <w:p w:rsidR="008A74EB" w:rsidRPr="00C9040A" w:rsidRDefault="008A74EB" w:rsidP="008A74EB">
      <w:pPr>
        <w:pStyle w:val="libNormal"/>
        <w:rPr>
          <w:rtl/>
          <w:lang w:bidi="fa-IR"/>
        </w:rPr>
      </w:pPr>
      <w:r w:rsidRPr="00C9040A">
        <w:rPr>
          <w:rtl/>
          <w:lang w:bidi="fa-IR"/>
        </w:rPr>
        <w:t xml:space="preserve">قُلْتُ : جُعِلْتُ فِدَاكَ ، مِمَّا ذَا </w:t>
      </w:r>
      <w:r w:rsidR="006C577F" w:rsidRPr="006C577F">
        <w:rPr>
          <w:rStyle w:val="libFootnotenumChar"/>
          <w:rtl/>
        </w:rPr>
        <w:t>(10)</w:t>
      </w:r>
      <w:r>
        <w:rPr>
          <w:rtl/>
          <w:lang w:bidi="fa-IR"/>
        </w:rPr>
        <w:t>؟</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w:t>
      </w:r>
      <w:r w:rsidR="008A74EB" w:rsidRPr="00993B55">
        <w:rPr>
          <w:rStyle w:val="libFootnoteBoldChar"/>
          <w:rtl/>
        </w:rPr>
        <w:t>مرآة العقول</w:t>
      </w:r>
      <w:r w:rsidR="008A74EB" w:rsidRPr="00C9040A">
        <w:rPr>
          <w:rtl/>
        </w:rPr>
        <w:t xml:space="preserve"> : « وربّما يقرأ : يجمع ، على بناء الإفعال من العزم والاهتمام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ب ، ض ، بر ، بس ، بف » والبحار </w:t>
      </w:r>
      <w:r w:rsidR="008A74EB">
        <w:rPr>
          <w:rtl/>
        </w:rPr>
        <w:t xml:space="preserve">: </w:t>
      </w:r>
      <w:r w:rsidR="0084262C">
        <w:rPr>
          <w:rtl/>
        </w:rPr>
        <w:t>-</w:t>
      </w:r>
      <w:r w:rsidR="008A74EB" w:rsidRPr="00C9040A">
        <w:rPr>
          <w:rtl/>
        </w:rPr>
        <w:t xml:space="preserve"> « نبيّاً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w:t>
      </w:r>
      <w:r w:rsidR="008A74EB" w:rsidRPr="00993B55">
        <w:rPr>
          <w:rStyle w:val="libFootnoteBoldChar"/>
          <w:rtl/>
        </w:rPr>
        <w:t>الوافي</w:t>
      </w:r>
      <w:r w:rsidR="008A74EB" w:rsidRPr="00C9040A">
        <w:rPr>
          <w:rtl/>
        </w:rPr>
        <w:t xml:space="preserve"> ، ج 4 ، ص 390 ، ح 2173 ؛ البحار ، ج 16 ، ص 266 ، ح 67 ؛ وج 73 ، ص 54 ، ح 26.</w:t>
      </w:r>
    </w:p>
    <w:p w:rsidR="008A74EB" w:rsidRPr="00C9040A" w:rsidRDefault="006C577F" w:rsidP="004A4E41">
      <w:pPr>
        <w:pStyle w:val="libFootnote0"/>
        <w:rPr>
          <w:rtl/>
          <w:lang w:bidi="fa-IR"/>
        </w:rPr>
      </w:pPr>
      <w:r>
        <w:rPr>
          <w:rtl/>
        </w:rPr>
        <w:t>(4).</w:t>
      </w:r>
      <w:r w:rsidR="008A74EB" w:rsidRPr="00C9040A">
        <w:rPr>
          <w:rtl/>
        </w:rPr>
        <w:t xml:space="preserve"> « الجَدْي » : هو الذَّكر من أولاد المعز ، والا</w:t>
      </w:r>
      <w:r w:rsidR="00020839">
        <w:rPr>
          <w:rFonts w:hint="cs"/>
          <w:rtl/>
        </w:rPr>
        <w:t>ُ</w:t>
      </w:r>
      <w:r w:rsidR="008A74EB" w:rsidRPr="00C9040A">
        <w:rPr>
          <w:rtl/>
        </w:rPr>
        <w:t>نثى عَناق. وقيّده بعضهم بكونه في السنة الا</w:t>
      </w:r>
      <w:r w:rsidR="00020839">
        <w:rPr>
          <w:rFonts w:hint="cs"/>
          <w:rtl/>
        </w:rPr>
        <w:t>ُ</w:t>
      </w:r>
      <w:r w:rsidR="008A74EB" w:rsidRPr="00C9040A">
        <w:rPr>
          <w:rtl/>
        </w:rPr>
        <w:t xml:space="preserve">ولى. </w:t>
      </w:r>
      <w:r w:rsidR="008A74EB" w:rsidRPr="00993B55">
        <w:rPr>
          <w:rStyle w:val="libFootnoteBoldChar"/>
          <w:rtl/>
        </w:rPr>
        <w:t>المصباح المنير</w:t>
      </w:r>
      <w:r w:rsidR="008A74EB" w:rsidRPr="00C9040A">
        <w:rPr>
          <w:rtl/>
        </w:rPr>
        <w:t xml:space="preserve"> ، ص 93 ( جدى )</w:t>
      </w:r>
      <w:r w:rsidR="008A74EB">
        <w:rPr>
          <w:rtl/>
        </w:rPr>
        <w:t>.</w:t>
      </w:r>
    </w:p>
    <w:p w:rsidR="008A74EB" w:rsidRPr="004A4E41" w:rsidRDefault="006C577F" w:rsidP="004A4E41">
      <w:pPr>
        <w:pStyle w:val="libFootnote0"/>
        <w:rPr>
          <w:rStyle w:val="libFootnote0Char"/>
          <w:rtl/>
        </w:rPr>
      </w:pPr>
      <w:r>
        <w:rPr>
          <w:rtl/>
        </w:rPr>
        <w:t>(5).</w:t>
      </w:r>
      <w:r w:rsidR="008A74EB" w:rsidRPr="00C9040A">
        <w:rPr>
          <w:rtl/>
        </w:rPr>
        <w:t xml:space="preserve"> « أسكّ » : مصطلَم الا</w:t>
      </w:r>
      <w:r w:rsidR="00020839">
        <w:rPr>
          <w:rFonts w:hint="cs"/>
          <w:rtl/>
        </w:rPr>
        <w:t>ُ</w:t>
      </w:r>
      <w:r w:rsidR="008A74EB" w:rsidRPr="00C9040A">
        <w:rPr>
          <w:rtl/>
        </w:rPr>
        <w:t xml:space="preserve">ذنين مقطوعهما. </w:t>
      </w:r>
      <w:r w:rsidR="008A74EB" w:rsidRPr="00993B55">
        <w:rPr>
          <w:rStyle w:val="libFootnoteBoldChar"/>
          <w:rtl/>
        </w:rPr>
        <w:t>النهاية</w:t>
      </w:r>
      <w:r w:rsidR="008A74EB" w:rsidRPr="00C9040A">
        <w:rPr>
          <w:rtl/>
        </w:rPr>
        <w:t xml:space="preserve"> ، ج 2 ، ص 384 ( سكك )</w:t>
      </w:r>
      <w:r w:rsidR="008A74EB">
        <w:rPr>
          <w:rtl/>
        </w:rPr>
        <w:t>.</w:t>
      </w:r>
    </w:p>
    <w:tbl>
      <w:tblPr>
        <w:tblStyle w:val="TableGrid"/>
        <w:bidiVisual/>
        <w:tblW w:w="0" w:type="auto"/>
        <w:tblLook w:val="04A0" w:firstRow="1" w:lastRow="0" w:firstColumn="1" w:lastColumn="0" w:noHBand="0" w:noVBand="1"/>
      </w:tblPr>
      <w:tblGrid>
        <w:gridCol w:w="4006"/>
        <w:gridCol w:w="4006"/>
      </w:tblGrid>
      <w:tr w:rsidR="00020839" w:rsidTr="00020839">
        <w:tc>
          <w:tcPr>
            <w:tcW w:w="4006" w:type="dxa"/>
          </w:tcPr>
          <w:p w:rsidR="00020839" w:rsidRDefault="00020839" w:rsidP="004A4E41">
            <w:pPr>
              <w:pStyle w:val="libFootnote0"/>
              <w:rPr>
                <w:rtl/>
                <w:lang w:bidi="fa-IR"/>
              </w:rPr>
            </w:pPr>
            <w:r>
              <w:rPr>
                <w:rtl/>
              </w:rPr>
              <w:t xml:space="preserve">(6). </w:t>
            </w:r>
            <w:r w:rsidRPr="00C9040A">
              <w:rPr>
                <w:rtl/>
              </w:rPr>
              <w:t>في « ز ، بر » : « الدنيا » بدون اللام.</w:t>
            </w:r>
          </w:p>
        </w:tc>
        <w:tc>
          <w:tcPr>
            <w:tcW w:w="4006" w:type="dxa"/>
          </w:tcPr>
          <w:p w:rsidR="00020839" w:rsidRDefault="00020839" w:rsidP="004A4E41">
            <w:pPr>
              <w:pStyle w:val="libFootnote0"/>
              <w:rPr>
                <w:rtl/>
                <w:lang w:bidi="fa-IR"/>
              </w:rPr>
            </w:pPr>
            <w:r>
              <w:rPr>
                <w:rtl/>
              </w:rPr>
              <w:t>(7).</w:t>
            </w:r>
            <w:r w:rsidRPr="00C9040A">
              <w:rPr>
                <w:rtl/>
              </w:rPr>
              <w:t xml:space="preserve"> في « ف » : « أهوى »</w:t>
            </w:r>
            <w:r>
              <w:rPr>
                <w:rtl/>
              </w:rPr>
              <w:t>.</w:t>
            </w:r>
          </w:p>
        </w:tc>
      </w:tr>
    </w:tbl>
    <w:p w:rsidR="008A74EB" w:rsidRPr="00C9040A" w:rsidRDefault="006C577F" w:rsidP="004A4E41">
      <w:pPr>
        <w:pStyle w:val="libFootnote0"/>
        <w:rPr>
          <w:rtl/>
          <w:lang w:bidi="fa-IR"/>
        </w:rPr>
      </w:pPr>
      <w:r>
        <w:rPr>
          <w:rtl/>
        </w:rPr>
        <w:t>(8).</w:t>
      </w:r>
      <w:r w:rsidR="008A74EB" w:rsidRPr="00C9040A">
        <w:rPr>
          <w:rtl/>
        </w:rPr>
        <w:t xml:space="preserve"> </w:t>
      </w:r>
      <w:r w:rsidR="008A74EB" w:rsidRPr="00993B55">
        <w:rPr>
          <w:rStyle w:val="libFootnoteBoldChar"/>
          <w:rtl/>
        </w:rPr>
        <w:t>الزهد</w:t>
      </w:r>
      <w:r w:rsidR="008A74EB" w:rsidRPr="00C9040A">
        <w:rPr>
          <w:rtl/>
        </w:rPr>
        <w:t xml:space="preserve"> ، ص 117 ، ح 134 ، بسند آخر عن أبي عبد الله ، عن أبيه </w:t>
      </w:r>
      <w:r w:rsidR="00117575" w:rsidRPr="00117575">
        <w:rPr>
          <w:rStyle w:val="libFootnoteAlaemChar"/>
          <w:rtl/>
        </w:rPr>
        <w:t>عليهما‌السلام</w:t>
      </w:r>
      <w:r w:rsidR="008A74EB" w:rsidRPr="00C9040A">
        <w:rPr>
          <w:rtl/>
        </w:rPr>
        <w:t xml:space="preserve"> عن جابر ، قال : « مرّ رسول الله </w:t>
      </w:r>
      <w:r w:rsidR="004A4E41" w:rsidRPr="0034021D">
        <w:rPr>
          <w:rStyle w:val="libFootnoteAlaemChar"/>
          <w:rtl/>
        </w:rPr>
        <w:t>صلى‌الله‌عليه‌وآله</w:t>
      </w:r>
      <w:r w:rsidR="008A74EB">
        <w:rPr>
          <w:rtl/>
        </w:rPr>
        <w:t xml:space="preserve"> ..</w:t>
      </w:r>
      <w:r w:rsidR="008A74EB" w:rsidRPr="00C9040A">
        <w:rPr>
          <w:rtl/>
        </w:rPr>
        <w:t>. » مع اختلاف يسير</w:t>
      </w:r>
      <w:r w:rsidR="001961C3">
        <w:rPr>
          <w:rFonts w:hint="cs"/>
          <w:rtl/>
        </w:rPr>
        <w:t>.</w:t>
      </w:r>
      <w:r w:rsidR="008A74EB" w:rsidRPr="00993B55">
        <w:rPr>
          <w:rStyle w:val="libFootnoteBoldChar"/>
          <w:rtl/>
        </w:rPr>
        <w:t>الوافي</w:t>
      </w:r>
      <w:r w:rsidR="008A74EB" w:rsidRPr="00C9040A">
        <w:rPr>
          <w:rtl/>
        </w:rPr>
        <w:t xml:space="preserve"> ، ج 4 ، ص 391 ، ح 2174 ؛ </w:t>
      </w:r>
      <w:r w:rsidR="008A74EB" w:rsidRPr="00993B55">
        <w:rPr>
          <w:rStyle w:val="libFootnoteBoldChar"/>
          <w:rtl/>
        </w:rPr>
        <w:t>البحار</w:t>
      </w:r>
      <w:r w:rsidR="008A74EB" w:rsidRPr="00C9040A">
        <w:rPr>
          <w:rtl/>
        </w:rPr>
        <w:t xml:space="preserve"> ، ج 73 ، ص 55 ، ح 27.</w:t>
      </w:r>
    </w:p>
    <w:p w:rsidR="008A74EB" w:rsidRPr="00C9040A" w:rsidRDefault="006C577F" w:rsidP="004A4E41">
      <w:pPr>
        <w:pStyle w:val="libFootnote0"/>
        <w:rPr>
          <w:rtl/>
          <w:lang w:bidi="fa-IR"/>
        </w:rPr>
      </w:pPr>
      <w:r>
        <w:rPr>
          <w:rtl/>
        </w:rPr>
        <w:t>(9).</w:t>
      </w:r>
      <w:r w:rsidR="008A74EB" w:rsidRPr="00C9040A">
        <w:rPr>
          <w:rtl/>
        </w:rPr>
        <w:t xml:space="preserve"> في « ف » : + « خيراً كثيراً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w:t>
      </w:r>
      <w:r w:rsidR="008A74EB" w:rsidRPr="00993B55">
        <w:rPr>
          <w:rStyle w:val="libFootnoteBoldChar"/>
          <w:rtl/>
        </w:rPr>
        <w:t>الوافي</w:t>
      </w:r>
      <w:r w:rsidR="008A74EB" w:rsidRPr="00C9040A">
        <w:rPr>
          <w:rtl/>
        </w:rPr>
        <w:t xml:space="preserve"> : « ممّا ذا ، أي ممّا ذا طلب أعداء الحقّ مطلوبهم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قَالَ : « مِنَ الرّ</w:t>
      </w:r>
      <w:r>
        <w:rPr>
          <w:rtl/>
          <w:lang w:bidi="fa-IR"/>
        </w:rPr>
        <w:t>َغْبَةِ فِيهَا » وَقَالَ : « أَ</w:t>
      </w:r>
      <w:r w:rsidRPr="00C9040A">
        <w:rPr>
          <w:rtl/>
          <w:lang w:bidi="fa-IR"/>
        </w:rPr>
        <w:t xml:space="preserve">لَا </w:t>
      </w:r>
      <w:r w:rsidR="006C577F" w:rsidRPr="006C577F">
        <w:rPr>
          <w:rStyle w:val="libFootnotenumChar"/>
          <w:rtl/>
        </w:rPr>
        <w:t>(1)</w:t>
      </w:r>
      <w:r w:rsidRPr="00C9040A">
        <w:rPr>
          <w:rtl/>
          <w:lang w:bidi="fa-IR"/>
        </w:rPr>
        <w:t xml:space="preserve"> مِنْ صَبَّارٍ كَرِيمٍ ، فَإِنَّمَا </w:t>
      </w:r>
      <w:r w:rsidR="006C577F" w:rsidRPr="006C577F">
        <w:rPr>
          <w:rStyle w:val="libFootnotenumChar"/>
          <w:rtl/>
        </w:rPr>
        <w:t>(2)</w:t>
      </w:r>
      <w:r w:rsidRPr="00C9040A">
        <w:rPr>
          <w:rtl/>
          <w:lang w:bidi="fa-IR"/>
        </w:rPr>
        <w:t xml:space="preserve"> هِيَ أَيَّامٌ قَلَائِلُ ، أَلَا إِنَّهُ حَرَامٌ عَلَيْكُمْ أَنْ تَجِدُوا طَعْمَ الْإِيمَانِ حَتّى تَزْهَدُوا فِي الدُّنْيَا »</w:t>
      </w:r>
      <w:r>
        <w:rPr>
          <w:rtl/>
          <w:lang w:bidi="fa-IR"/>
        </w:rPr>
        <w:t>.</w:t>
      </w:r>
    </w:p>
    <w:p w:rsidR="008A74EB" w:rsidRPr="00C9040A" w:rsidRDefault="008A74EB" w:rsidP="001961C3">
      <w:pPr>
        <w:pStyle w:val="libNormal"/>
        <w:rPr>
          <w:rtl/>
          <w:lang w:bidi="fa-IR"/>
        </w:rPr>
      </w:pPr>
      <w:r w:rsidRPr="00C9040A">
        <w:rPr>
          <w:rtl/>
          <w:lang w:bidi="fa-IR"/>
        </w:rPr>
        <w:t xml:space="preserve">قَالَ </w:t>
      </w:r>
      <w:r w:rsidR="006C577F" w:rsidRPr="006C577F">
        <w:rPr>
          <w:rStyle w:val="libFootnotenumChar"/>
          <w:rtl/>
        </w:rPr>
        <w:t>(3)</w:t>
      </w:r>
      <w:r w:rsidRPr="00C9040A">
        <w:rPr>
          <w:rtl/>
          <w:lang w:bidi="fa-IR"/>
        </w:rPr>
        <w:t xml:space="preserve"> : وَسَمِعْتُ أَبَا عَبْدِ اللهِ </w:t>
      </w:r>
      <w:r w:rsidRPr="0003660B">
        <w:rPr>
          <w:rStyle w:val="libAlaemChar"/>
          <w:rtl/>
        </w:rPr>
        <w:t>عليه‌السلام</w:t>
      </w:r>
      <w:r w:rsidRPr="00C9040A">
        <w:rPr>
          <w:rtl/>
          <w:lang w:bidi="fa-IR"/>
        </w:rPr>
        <w:t xml:space="preserve"> يَقُولُ : « إِذَا تَخَلَّى </w:t>
      </w:r>
      <w:r w:rsidR="006C577F" w:rsidRPr="006C577F">
        <w:rPr>
          <w:rStyle w:val="libFootnotenumChar"/>
          <w:rtl/>
        </w:rPr>
        <w:t>(4)</w:t>
      </w:r>
      <w:r w:rsidRPr="00C9040A">
        <w:rPr>
          <w:rtl/>
          <w:lang w:bidi="fa-IR"/>
        </w:rPr>
        <w:t xml:space="preserve"> الْمُؤْمِنُ مِنَ الدُّنْيَا سَمَا </w:t>
      </w:r>
      <w:r w:rsidR="006C577F" w:rsidRPr="006C577F">
        <w:rPr>
          <w:rStyle w:val="libFootnotenumChar"/>
          <w:rtl/>
        </w:rPr>
        <w:t>(5)</w:t>
      </w:r>
      <w:r w:rsidRPr="00C9040A">
        <w:rPr>
          <w:rtl/>
          <w:lang w:bidi="fa-IR"/>
        </w:rPr>
        <w:t xml:space="preserve"> ، وَوَجَدَ حَلَاوَةَ حُبِّ اللهِ ، وَكَانَ عِنْدَ أَهْلِ الدُّنْيَا كَأَنَّهُ قَدْ خُولِطَ </w:t>
      </w:r>
      <w:r w:rsidR="006C577F" w:rsidRPr="006C577F">
        <w:rPr>
          <w:rStyle w:val="libFootnotenumChar"/>
          <w:rtl/>
        </w:rPr>
        <w:t>(6)</w:t>
      </w:r>
      <w:r w:rsidR="001961C3" w:rsidRPr="00C9040A">
        <w:rPr>
          <w:rtl/>
          <w:lang w:bidi="fa-IR"/>
        </w:rPr>
        <w:t xml:space="preserve"> </w:t>
      </w:r>
      <w:r w:rsidRPr="00C9040A">
        <w:rPr>
          <w:rtl/>
          <w:lang w:bidi="fa-IR"/>
        </w:rPr>
        <w:t xml:space="preserve">، وَإِنَّمَا خَالَطَ الْقَوْمَ حَلَاوَةُ حُبِّ اللهِ </w:t>
      </w:r>
      <w:r w:rsidR="006C577F" w:rsidRPr="006C577F">
        <w:rPr>
          <w:rStyle w:val="libFootnotenumChar"/>
          <w:rtl/>
        </w:rPr>
        <w:t>(7)</w:t>
      </w:r>
      <w:r w:rsidRPr="00C9040A">
        <w:rPr>
          <w:rtl/>
          <w:lang w:bidi="fa-IR"/>
        </w:rPr>
        <w:t xml:space="preserve"> ، فَلَمْ يَشْتَغِلُوا </w:t>
      </w:r>
      <w:r w:rsidR="006C577F" w:rsidRPr="006C577F">
        <w:rPr>
          <w:rStyle w:val="libFootnotenumChar"/>
          <w:rtl/>
        </w:rPr>
        <w:t>(8)</w:t>
      </w:r>
      <w:r w:rsidRPr="00C9040A">
        <w:rPr>
          <w:rtl/>
          <w:lang w:bidi="fa-IR"/>
        </w:rPr>
        <w:t xml:space="preserve"> بِغَيْرِهِ »</w:t>
      </w:r>
      <w:r>
        <w:rPr>
          <w:rtl/>
          <w:lang w:bidi="fa-IR"/>
        </w:rPr>
        <w:t>.</w:t>
      </w:r>
    </w:p>
    <w:p w:rsidR="008A74EB" w:rsidRPr="00C9040A" w:rsidRDefault="008A74EB" w:rsidP="008A74EB">
      <w:pPr>
        <w:pStyle w:val="libNormal"/>
        <w:rPr>
          <w:rtl/>
          <w:lang w:bidi="fa-IR"/>
        </w:rPr>
      </w:pPr>
      <w:r w:rsidRPr="00C9040A">
        <w:rPr>
          <w:rtl/>
          <w:lang w:bidi="fa-IR"/>
        </w:rPr>
        <w:t xml:space="preserve">قَالَ </w:t>
      </w:r>
      <w:r w:rsidR="006C577F" w:rsidRPr="006C577F">
        <w:rPr>
          <w:rStyle w:val="libFootnotenumChar"/>
          <w:rtl/>
        </w:rPr>
        <w:t>(9)</w:t>
      </w:r>
      <w:r w:rsidRPr="00C9040A">
        <w:rPr>
          <w:rtl/>
          <w:lang w:bidi="fa-IR"/>
        </w:rPr>
        <w:t xml:space="preserve"> : وَسَمِعْتُهُ يَقُولُ : « إِنَّ الْقَلْبَ إِذَا صَفَا ضَاقَتْ بِهِ الْأَرْضُ حَتّى يَسْمُوَ »</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Normal"/>
        <w:rPr>
          <w:rtl/>
          <w:lang w:bidi="fa-IR"/>
        </w:rPr>
      </w:pPr>
      <w:r w:rsidRPr="00A42ADF">
        <w:rPr>
          <w:rtl/>
        </w:rPr>
        <w:t>1903</w:t>
      </w:r>
      <w:r w:rsidRPr="00261CB0">
        <w:rPr>
          <w:rStyle w:val="libBold2Char"/>
          <w:rtl/>
        </w:rPr>
        <w:t xml:space="preserve"> / 11.</w:t>
      </w:r>
      <w:r w:rsidRPr="00C9040A">
        <w:rPr>
          <w:rtl/>
          <w:lang w:bidi="fa-IR"/>
        </w:rPr>
        <w:t xml:space="preserve"> عَلِيٌّ </w:t>
      </w:r>
      <w:r w:rsidR="006C577F" w:rsidRPr="006C577F">
        <w:rPr>
          <w:rStyle w:val="libFootnotenumChar"/>
          <w:rtl/>
        </w:rPr>
        <w:t>(11)</w:t>
      </w:r>
      <w:r w:rsidRPr="00C9040A">
        <w:rPr>
          <w:rtl/>
          <w:lang w:bidi="fa-IR"/>
        </w:rPr>
        <w:t xml:space="preserve"> ، عَنْ عَلِيِّ بْنِ مُحَمَّدٍ‌</w:t>
      </w:r>
      <w:r w:rsidR="001961C3">
        <w:rPr>
          <w:rFonts w:hint="cs"/>
          <w:rtl/>
          <w:lang w:bidi="fa-IR"/>
        </w:rPr>
        <w:t>....................................</w:t>
      </w:r>
      <w:r w:rsidR="001961C3">
        <w:rPr>
          <w:rFonts w:hint="cs"/>
          <w:rtl/>
          <w:lang w:bidi="fa-IR"/>
        </w:rPr>
        <w:tab/>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الهمزة في « ألا » للاستفهام ، </w:t>
      </w:r>
      <w:r w:rsidR="008A74EB">
        <w:rPr>
          <w:rtl/>
        </w:rPr>
        <w:t>و «</w:t>
      </w:r>
      <w:r w:rsidR="008A74EB" w:rsidRPr="00C9040A">
        <w:rPr>
          <w:rtl/>
        </w:rPr>
        <w:t xml:space="preserve"> لا » للنفي ، </w:t>
      </w:r>
      <w:r w:rsidR="008A74EB">
        <w:rPr>
          <w:rtl/>
        </w:rPr>
        <w:t>و «</w:t>
      </w:r>
      <w:r w:rsidR="008A74EB" w:rsidRPr="00C9040A">
        <w:rPr>
          <w:rtl/>
        </w:rPr>
        <w:t xml:space="preserve"> من » زائدة لعموم النفي. والمعنى : ألا يوجد صبّار كريم النفس‌يصبر عن</w:t>
      </w:r>
      <w:r w:rsidR="0038794C">
        <w:rPr>
          <w:rtl/>
        </w:rPr>
        <w:t xml:space="preserve"> الدنيا ويزهد فيها. أو هي « إل</w:t>
      </w:r>
      <w:r w:rsidR="0038794C">
        <w:rPr>
          <w:rFonts w:hint="cs"/>
          <w:rtl/>
        </w:rPr>
        <w:t>ّ</w:t>
      </w:r>
      <w:r w:rsidR="0038794C">
        <w:rPr>
          <w:rtl/>
        </w:rPr>
        <w:t>ا</w:t>
      </w:r>
      <w:r w:rsidR="008A74EB" w:rsidRPr="00C9040A">
        <w:rPr>
          <w:rtl/>
        </w:rPr>
        <w:t xml:space="preserve"> » بالتشديد ، استثناء من ال</w:t>
      </w:r>
      <w:r w:rsidR="0038794C">
        <w:rPr>
          <w:rtl/>
        </w:rPr>
        <w:t>رغبة فيها ، أي إل</w:t>
      </w:r>
      <w:r w:rsidR="0038794C">
        <w:rPr>
          <w:rFonts w:hint="cs"/>
          <w:rtl/>
        </w:rPr>
        <w:t>ّ</w:t>
      </w:r>
      <w:r w:rsidR="0038794C">
        <w:rPr>
          <w:rtl/>
        </w:rPr>
        <w:t>ا</w:t>
      </w:r>
      <w:r w:rsidR="008A74EB" w:rsidRPr="00C9040A">
        <w:rPr>
          <w:rtl/>
        </w:rPr>
        <w:t xml:space="preserve">من صبّار كريم فإنّها لا تضرّه ؛ لأنّه يطلبها من طرق الحلال ويصبر عن الحرام ، أو لأنّه يزوي نفسه عنها ويزويها عن نفسه. الأوّل هو الأظهر عند المجلسي ، والثاني هو مختار المازندراني والفيض ، </w:t>
      </w:r>
      <w:r w:rsidR="0038794C">
        <w:rPr>
          <w:rtl/>
        </w:rPr>
        <w:t>إل</w:t>
      </w:r>
      <w:r w:rsidR="0038794C">
        <w:rPr>
          <w:rFonts w:hint="cs"/>
          <w:rtl/>
        </w:rPr>
        <w:t>ّ</w:t>
      </w:r>
      <w:r w:rsidR="0038794C">
        <w:rPr>
          <w:rtl/>
        </w:rPr>
        <w:t>ا</w:t>
      </w:r>
      <w:r w:rsidR="008A74EB">
        <w:rPr>
          <w:rtl/>
        </w:rPr>
        <w:t xml:space="preserve"> أنّ</w:t>
      </w:r>
      <w:r w:rsidR="008A74EB" w:rsidRPr="00C9040A">
        <w:rPr>
          <w:rtl/>
        </w:rPr>
        <w:t xml:space="preserve"> الفيض احتمل الأوّل أيضاً. راجع : </w:t>
      </w:r>
      <w:r w:rsidR="008A74EB" w:rsidRPr="00993B55">
        <w:rPr>
          <w:rStyle w:val="libFootnoteBoldChar"/>
          <w:rtl/>
        </w:rPr>
        <w:t>شرح المازندراني</w:t>
      </w:r>
      <w:r w:rsidR="008A74EB" w:rsidRPr="00C9040A">
        <w:rPr>
          <w:rtl/>
        </w:rPr>
        <w:t xml:space="preserve"> ، ج 8 ، ص 360 ؛ </w:t>
      </w:r>
      <w:r w:rsidR="008A74EB" w:rsidRPr="00993B55">
        <w:rPr>
          <w:rStyle w:val="libFootnoteBoldChar"/>
          <w:rtl/>
        </w:rPr>
        <w:t>الوافي</w:t>
      </w:r>
      <w:r w:rsidR="008A74EB" w:rsidRPr="00C9040A">
        <w:rPr>
          <w:rtl/>
        </w:rPr>
        <w:t xml:space="preserve"> ، ج 4 ، ص 392 ؛ </w:t>
      </w:r>
      <w:r w:rsidR="008A74EB" w:rsidRPr="00993B55">
        <w:rPr>
          <w:rStyle w:val="libFootnoteBoldChar"/>
          <w:rtl/>
        </w:rPr>
        <w:t>مرآة العقول</w:t>
      </w:r>
      <w:r w:rsidR="008A74EB" w:rsidRPr="00C9040A">
        <w:rPr>
          <w:rtl/>
        </w:rPr>
        <w:t xml:space="preserve"> ، ج 8 ، ص 276.</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الوافي والبحار : « وإنّما »</w:t>
      </w:r>
      <w:r w:rsidR="008A74EB">
        <w:rPr>
          <w:rtl/>
        </w:rPr>
        <w:t>.</w:t>
      </w:r>
      <w:r w:rsidR="008A74EB" w:rsidRPr="00C9040A">
        <w:rPr>
          <w:rtl/>
        </w:rPr>
        <w:t xml:space="preserve"> وفي الوافي : « فإنّما هي أيّام قلائل ، هو ترغيب في الزهد وتسهيل لتحصيله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الضمير المستتر في « قال » راجع إلى عبد الله بن القاسم المذكور في أصل السند. هذا ، وبذلك يعلم مرجع‌الضميرين في « قال وسمعته يقول » الآتية.</w:t>
      </w:r>
      <w:r w:rsidR="00862B29">
        <w:rPr>
          <w:rFonts w:hint="cs"/>
          <w:rtl/>
        </w:rPr>
        <w:t xml:space="preserve">                            </w:t>
      </w:r>
      <w:r>
        <w:rPr>
          <w:rtl/>
        </w:rPr>
        <w:t>(4).</w:t>
      </w:r>
      <w:r w:rsidR="008A74EB" w:rsidRPr="00C9040A">
        <w:rPr>
          <w:rtl/>
        </w:rPr>
        <w:t xml:space="preserve"> في « ف » : « يخلّى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 سما » : علا وارتفع ، من السموّ بمعنى العلوّ والارتفاع. راجع : </w:t>
      </w:r>
      <w:r w:rsidR="008A74EB" w:rsidRPr="00993B55">
        <w:rPr>
          <w:rStyle w:val="libFootnoteBoldChar"/>
          <w:rtl/>
        </w:rPr>
        <w:t>الصحاح</w:t>
      </w:r>
      <w:r w:rsidR="008A74EB" w:rsidRPr="00C9040A">
        <w:rPr>
          <w:rtl/>
        </w:rPr>
        <w:t xml:space="preserve"> ، ج 6 ، ص 2382 ؛ </w:t>
      </w:r>
      <w:r w:rsidR="008A74EB" w:rsidRPr="00993B55">
        <w:rPr>
          <w:rStyle w:val="libFootnoteBoldChar"/>
          <w:rtl/>
        </w:rPr>
        <w:t>النهاية</w:t>
      </w:r>
      <w:r w:rsidR="008A74EB" w:rsidRPr="00C9040A">
        <w:rPr>
          <w:rtl/>
        </w:rPr>
        <w:t xml:space="preserve"> ، ج 2 ، ص 405 ( سما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خولط فلان في عقله مخالطة : إذا اختلّ عقلُه. </w:t>
      </w:r>
      <w:r w:rsidR="008A74EB" w:rsidRPr="00993B55">
        <w:rPr>
          <w:rStyle w:val="libFootnoteBoldChar"/>
          <w:rtl/>
        </w:rPr>
        <w:t>النهاية</w:t>
      </w:r>
      <w:r w:rsidR="008A74EB" w:rsidRPr="00C9040A">
        <w:rPr>
          <w:rtl/>
        </w:rPr>
        <w:t xml:space="preserve"> ، ج 2 ، ص 64 ( خلط )</w:t>
      </w:r>
      <w:r w:rsidR="008A74EB">
        <w:rPr>
          <w:rtl/>
        </w:rPr>
        <w:t>.</w:t>
      </w:r>
    </w:p>
    <w:p w:rsidR="008A74EB" w:rsidRPr="004A4E41" w:rsidRDefault="006C577F" w:rsidP="004A4E41">
      <w:pPr>
        <w:pStyle w:val="libFootnote0"/>
        <w:rPr>
          <w:rStyle w:val="libFootnote0Char"/>
          <w:rtl/>
        </w:rPr>
      </w:pPr>
      <w:r>
        <w:rPr>
          <w:rtl/>
        </w:rPr>
        <w:t>(7).</w:t>
      </w:r>
      <w:r w:rsidR="008A74EB" w:rsidRPr="00C9040A">
        <w:rPr>
          <w:rtl/>
        </w:rPr>
        <w:t xml:space="preserve"> في الوسائل </w:t>
      </w:r>
      <w:r w:rsidR="008A74EB">
        <w:rPr>
          <w:rtl/>
        </w:rPr>
        <w:t xml:space="preserve">: </w:t>
      </w:r>
      <w:r w:rsidR="0084262C">
        <w:rPr>
          <w:rtl/>
        </w:rPr>
        <w:t>-</w:t>
      </w:r>
      <w:r w:rsidR="008A74EB" w:rsidRPr="00C9040A">
        <w:rPr>
          <w:rtl/>
        </w:rPr>
        <w:t xml:space="preserve"> « وكان عند أهل الدنيا</w:t>
      </w:r>
      <w:r w:rsidR="008A74EB">
        <w:rPr>
          <w:rtl/>
        </w:rPr>
        <w:t xml:space="preserve"> </w:t>
      </w:r>
      <w:r w:rsidR="0084262C">
        <w:rPr>
          <w:rtl/>
        </w:rPr>
        <w:t>-</w:t>
      </w:r>
      <w:r w:rsidR="008A74EB">
        <w:rPr>
          <w:rtl/>
        </w:rPr>
        <w:t xml:space="preserve"> </w:t>
      </w:r>
      <w:r w:rsidR="008A74EB" w:rsidRPr="00C9040A">
        <w:rPr>
          <w:rtl/>
        </w:rPr>
        <w:t>إلى</w:t>
      </w:r>
      <w:r w:rsidR="008A74EB">
        <w:rPr>
          <w:rtl/>
        </w:rPr>
        <w:t xml:space="preserve"> </w:t>
      </w:r>
      <w:r w:rsidR="0084262C">
        <w:rPr>
          <w:rtl/>
        </w:rPr>
        <w:t>-</w:t>
      </w:r>
      <w:r w:rsidR="008A74EB">
        <w:rPr>
          <w:rtl/>
        </w:rPr>
        <w:t xml:space="preserve"> </w:t>
      </w:r>
      <w:r w:rsidR="008A74EB" w:rsidRPr="00C9040A">
        <w:rPr>
          <w:rtl/>
        </w:rPr>
        <w:t>حبّ الله »</w:t>
      </w:r>
      <w:r w:rsidR="008A74EB">
        <w:rPr>
          <w:rtl/>
        </w:rPr>
        <w:t>.</w:t>
      </w:r>
    </w:p>
    <w:tbl>
      <w:tblPr>
        <w:tblStyle w:val="TableGrid"/>
        <w:bidiVisual/>
        <w:tblW w:w="0" w:type="auto"/>
        <w:tblLook w:val="04A0" w:firstRow="1" w:lastRow="0" w:firstColumn="1" w:lastColumn="0" w:noHBand="0" w:noVBand="1"/>
      </w:tblPr>
      <w:tblGrid>
        <w:gridCol w:w="4006"/>
        <w:gridCol w:w="4006"/>
      </w:tblGrid>
      <w:tr w:rsidR="00862B29" w:rsidTr="00862B29">
        <w:tc>
          <w:tcPr>
            <w:tcW w:w="4006" w:type="dxa"/>
          </w:tcPr>
          <w:p w:rsidR="00862B29" w:rsidRDefault="00862B29" w:rsidP="004A4E41">
            <w:pPr>
              <w:pStyle w:val="libFootnote0"/>
              <w:rPr>
                <w:rtl/>
              </w:rPr>
            </w:pPr>
            <w:r>
              <w:rPr>
                <w:rtl/>
              </w:rPr>
              <w:t>(8).</w:t>
            </w:r>
            <w:r w:rsidRPr="00C9040A">
              <w:rPr>
                <w:rtl/>
              </w:rPr>
              <w:t xml:space="preserve"> في « ب ، ص » : « فلم يشغلوا »</w:t>
            </w:r>
            <w:r>
              <w:rPr>
                <w:rtl/>
              </w:rPr>
              <w:t>.</w:t>
            </w:r>
          </w:p>
        </w:tc>
        <w:tc>
          <w:tcPr>
            <w:tcW w:w="4006" w:type="dxa"/>
          </w:tcPr>
          <w:p w:rsidR="00862B29" w:rsidRDefault="00862B29" w:rsidP="004A4E41">
            <w:pPr>
              <w:pStyle w:val="libFootnote0"/>
              <w:rPr>
                <w:rtl/>
              </w:rPr>
            </w:pPr>
            <w:r>
              <w:rPr>
                <w:rtl/>
              </w:rPr>
              <w:t>(9).</w:t>
            </w:r>
            <w:r w:rsidRPr="00C9040A">
              <w:rPr>
                <w:rtl/>
              </w:rPr>
              <w:t xml:space="preserve"> في « د » : « وقال »</w:t>
            </w:r>
            <w:r>
              <w:rPr>
                <w:rtl/>
              </w:rPr>
              <w:t>.</w:t>
            </w:r>
          </w:p>
        </w:tc>
      </w:tr>
    </w:tbl>
    <w:p w:rsidR="008A74EB" w:rsidRPr="00C9040A" w:rsidRDefault="006C577F" w:rsidP="004A4E41">
      <w:pPr>
        <w:pStyle w:val="libFootnote0"/>
        <w:rPr>
          <w:rtl/>
          <w:lang w:bidi="fa-IR"/>
        </w:rPr>
      </w:pPr>
      <w:r>
        <w:rPr>
          <w:rtl/>
        </w:rPr>
        <w:t>(10).</w:t>
      </w:r>
      <w:r w:rsidR="008A74EB" w:rsidRPr="00C9040A">
        <w:rPr>
          <w:rtl/>
        </w:rPr>
        <w:t xml:space="preserve"> </w:t>
      </w:r>
      <w:r w:rsidR="008A74EB" w:rsidRPr="00993B55">
        <w:rPr>
          <w:rStyle w:val="libFootnoteBoldChar"/>
          <w:rtl/>
        </w:rPr>
        <w:t>الكافي</w:t>
      </w:r>
      <w:r w:rsidR="008A74EB" w:rsidRPr="00C9040A">
        <w:rPr>
          <w:rtl/>
        </w:rPr>
        <w:t xml:space="preserve"> ، كتاب فضل العلم ، باب صفة العلم وفضله وفضل العلماء ، ح 49 ، بسند آخر ؛ </w:t>
      </w:r>
      <w:r w:rsidR="008A74EB" w:rsidRPr="0034021D">
        <w:rPr>
          <w:rStyle w:val="libFootnoteBoldChar"/>
          <w:rtl/>
        </w:rPr>
        <w:t>الأمالي للمفيد</w:t>
      </w:r>
      <w:r w:rsidR="008A74EB" w:rsidRPr="00C9040A">
        <w:rPr>
          <w:rtl/>
        </w:rPr>
        <w:t xml:space="preserve"> ، ص 157 ، المجلس 19 ، ح 9 ، بسند آخر عن أبي عبد الله ، عن آبائه </w:t>
      </w:r>
      <w:r w:rsidR="00117575" w:rsidRPr="00117575">
        <w:rPr>
          <w:rStyle w:val="libFootnoteAlaemChar"/>
          <w:rtl/>
        </w:rPr>
        <w:t>عليهم‌السلام</w:t>
      </w:r>
      <w:r w:rsidR="008A74EB" w:rsidRPr="00C9040A">
        <w:rPr>
          <w:rtl/>
        </w:rPr>
        <w:t xml:space="preserve"> عن رسول الله </w:t>
      </w:r>
      <w:r w:rsidR="004A4E41" w:rsidRPr="0034021D">
        <w:rPr>
          <w:rStyle w:val="libFootnoteAlaemChar"/>
          <w:rtl/>
        </w:rPr>
        <w:t>صلى‌الله‌عليه‌وآله</w:t>
      </w:r>
      <w:r w:rsidR="008A74EB" w:rsidRPr="00C9040A">
        <w:rPr>
          <w:rtl/>
        </w:rPr>
        <w:t xml:space="preserve"> ، وتمام الرواية فيهما : « إذا أراد الله بعبد خيراً فقّهه في الدين »</w:t>
      </w:r>
      <w:r w:rsidR="008A74EB">
        <w:rPr>
          <w:rtl/>
        </w:rPr>
        <w:t>.</w:t>
      </w:r>
      <w:r w:rsidR="008A74EB" w:rsidRPr="00C9040A">
        <w:rPr>
          <w:rtl/>
        </w:rPr>
        <w:t xml:space="preserve"> </w:t>
      </w:r>
      <w:r w:rsidR="008A74EB" w:rsidRPr="00993B55">
        <w:rPr>
          <w:rStyle w:val="libFootnoteBoldChar"/>
          <w:rtl/>
        </w:rPr>
        <w:t>الأمالي</w:t>
      </w:r>
      <w:r w:rsidR="008A74EB" w:rsidRPr="00C9040A">
        <w:rPr>
          <w:rtl/>
        </w:rPr>
        <w:t xml:space="preserve"> للطوسي ، ص 531 ، المجلس 19 ، ح 1 ، بسند آخر عن أبي ذرّ ، عن رسول الله </w:t>
      </w:r>
      <w:r w:rsidR="004A4E41" w:rsidRPr="0034021D">
        <w:rPr>
          <w:rStyle w:val="libFootnoteAlaemChar"/>
          <w:rtl/>
        </w:rPr>
        <w:t>صلى‌الله‌عليه‌وآله</w:t>
      </w:r>
      <w:r w:rsidR="008A74EB" w:rsidRPr="00C9040A">
        <w:rPr>
          <w:rtl/>
        </w:rPr>
        <w:t xml:space="preserve"> ، إلى قوله : « وبصّره عيوبها » مع اختلاف يسير</w:t>
      </w:r>
      <w:r w:rsidR="00173FCB">
        <w:rPr>
          <w:rFonts w:hint="cs"/>
          <w:rtl/>
        </w:rPr>
        <w:t>.</w:t>
      </w:r>
      <w:r w:rsidR="008A74EB" w:rsidRPr="00993B55">
        <w:rPr>
          <w:rStyle w:val="libFootnoteBoldChar"/>
          <w:rtl/>
        </w:rPr>
        <w:t>الوافي</w:t>
      </w:r>
      <w:r w:rsidR="008A74EB" w:rsidRPr="00C9040A">
        <w:rPr>
          <w:rtl/>
        </w:rPr>
        <w:t xml:space="preserve"> ، ج 4 ، ص 391 ، ح 2175 ؛ </w:t>
      </w:r>
      <w:r w:rsidR="008A74EB" w:rsidRPr="00993B55">
        <w:rPr>
          <w:rStyle w:val="libFootnoteBoldChar"/>
          <w:rtl/>
        </w:rPr>
        <w:t>الوسائل</w:t>
      </w:r>
      <w:r w:rsidR="008A74EB" w:rsidRPr="00C9040A">
        <w:rPr>
          <w:rtl/>
        </w:rPr>
        <w:t xml:space="preserve"> ، ج 16 ، ص 13 ، ح 20834 ؛ </w:t>
      </w:r>
      <w:r w:rsidR="008A74EB" w:rsidRPr="00993B55">
        <w:rPr>
          <w:rStyle w:val="libFootnoteBoldChar"/>
          <w:rtl/>
        </w:rPr>
        <w:t>البحار</w:t>
      </w:r>
      <w:r w:rsidR="008A74EB" w:rsidRPr="00C9040A">
        <w:rPr>
          <w:rtl/>
        </w:rPr>
        <w:t xml:space="preserve"> ، ج 73 ، ص 55 ، ح 28.</w:t>
      </w:r>
    </w:p>
    <w:p w:rsidR="008A74EB" w:rsidRPr="00C9040A" w:rsidRDefault="006C577F" w:rsidP="004A4E41">
      <w:pPr>
        <w:pStyle w:val="libFootnote0"/>
        <w:rPr>
          <w:rtl/>
          <w:lang w:bidi="fa-IR"/>
        </w:rPr>
      </w:pPr>
      <w:r>
        <w:rPr>
          <w:rtl/>
        </w:rPr>
        <w:t>(11).</w:t>
      </w:r>
      <w:r w:rsidR="008A74EB" w:rsidRPr="00C9040A">
        <w:rPr>
          <w:rtl/>
        </w:rPr>
        <w:t xml:space="preserve"> هكذا في « ب ، ج د ، ز ، ص ، ض ، بر ، بس ، بف »</w:t>
      </w:r>
      <w:r w:rsidR="008A74EB">
        <w:rPr>
          <w:rtl/>
        </w:rPr>
        <w:t>.</w:t>
      </w:r>
      <w:r w:rsidR="008A74EB" w:rsidRPr="00C9040A">
        <w:rPr>
          <w:rtl/>
        </w:rPr>
        <w:t xml:space="preserve"> وفي « ف » : + « بن إبراهيم » وفي « جر » : « عنه » بدل « عليّ »</w:t>
      </w:r>
      <w:r w:rsidR="008A74EB">
        <w:rPr>
          <w:rtl/>
        </w:rPr>
        <w:t>.</w:t>
      </w:r>
      <w:r w:rsidR="008A74EB" w:rsidRPr="00C9040A">
        <w:rPr>
          <w:rtl/>
        </w:rPr>
        <w:t xml:space="preserve"> </w:t>
      </w:r>
      <w:r w:rsidR="00173FCB">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الْقَاسَانِيِّ </w:t>
      </w:r>
      <w:r w:rsidR="006C577F" w:rsidRPr="006C577F">
        <w:rPr>
          <w:rStyle w:val="libFootnotenumChar"/>
          <w:rtl/>
        </w:rPr>
        <w:t>(1)</w:t>
      </w:r>
      <w:r w:rsidRPr="00C9040A">
        <w:rPr>
          <w:rtl/>
          <w:lang w:bidi="fa-IR"/>
        </w:rPr>
        <w:t xml:space="preserve"> ، عَنِ الْقَاسِمِ بْنِ مُحَمَّدٍ ، عَنْ سُلَيْمَانَ بْنِ دَاوُدَ الْمِنْقَرِيِّ ، عَنْ عَبْدِ الرَّزَّاقِ بْنِ هَمَّامٍ ، عَنْ مَعْمَرِ بْنِ رَاشِدٍ ، عَنِ الزُّهْرِيِّ </w:t>
      </w:r>
      <w:r w:rsidR="006C577F" w:rsidRPr="006C577F">
        <w:rPr>
          <w:rStyle w:val="libFootnotenumChar"/>
          <w:rtl/>
        </w:rPr>
        <w:t>(2)</w:t>
      </w:r>
      <w:r w:rsidRPr="00C9040A">
        <w:rPr>
          <w:rtl/>
          <w:lang w:bidi="fa-IR"/>
        </w:rPr>
        <w:t xml:space="preserve"> مُحَمَّدِ بْنِ مُسْلِمِ </w:t>
      </w:r>
      <w:r w:rsidR="006C577F" w:rsidRPr="006C577F">
        <w:rPr>
          <w:rStyle w:val="libFootnotenumChar"/>
          <w:rtl/>
        </w:rPr>
        <w:t>(3)</w:t>
      </w:r>
      <w:r w:rsidRPr="00C9040A">
        <w:rPr>
          <w:rtl/>
          <w:lang w:bidi="fa-IR"/>
        </w:rPr>
        <w:t xml:space="preserve"> بْنِ شِهَابٍ ، قَالَ :</w:t>
      </w:r>
    </w:p>
    <w:p w:rsidR="008A74EB" w:rsidRPr="00C9040A" w:rsidRDefault="008A74EB" w:rsidP="008A74EB">
      <w:pPr>
        <w:pStyle w:val="libNormal"/>
        <w:rPr>
          <w:rtl/>
          <w:lang w:bidi="fa-IR"/>
        </w:rPr>
      </w:pPr>
      <w:r w:rsidRPr="00C9040A">
        <w:rPr>
          <w:rtl/>
          <w:lang w:bidi="fa-IR"/>
        </w:rPr>
        <w:t xml:space="preserve">سُئِلَ عَلِيُّ بْنُ الْحُسَيْنِ </w:t>
      </w:r>
      <w:r w:rsidRPr="0003660B">
        <w:rPr>
          <w:rStyle w:val="libAlaemChar"/>
          <w:rtl/>
        </w:rPr>
        <w:t>عليهما‌السلام</w:t>
      </w:r>
      <w:r w:rsidRPr="00C9040A">
        <w:rPr>
          <w:rtl/>
          <w:lang w:bidi="fa-IR"/>
        </w:rPr>
        <w:t xml:space="preserve"> : أَيُّ الْأَعْمَالِ </w:t>
      </w:r>
      <w:r w:rsidR="006C577F" w:rsidRPr="006C577F">
        <w:rPr>
          <w:rStyle w:val="libFootnotenumChar"/>
          <w:rtl/>
        </w:rPr>
        <w:t>(4)</w:t>
      </w:r>
      <w:r w:rsidRPr="00C9040A">
        <w:rPr>
          <w:rtl/>
          <w:lang w:bidi="fa-IR"/>
        </w:rPr>
        <w:t xml:space="preserve"> أَفْضَلُ عِنْدَ اللهِ عَزَّ وَجَلَّ</w:t>
      </w:r>
      <w:r>
        <w:rPr>
          <w:rtl/>
          <w:lang w:bidi="fa-IR"/>
        </w:rPr>
        <w:t>؟</w:t>
      </w:r>
    </w:p>
    <w:p w:rsidR="008A74EB" w:rsidRPr="00C9040A" w:rsidRDefault="008A74EB" w:rsidP="008A74EB">
      <w:pPr>
        <w:pStyle w:val="libNormal"/>
        <w:rPr>
          <w:rtl/>
          <w:lang w:bidi="fa-IR"/>
        </w:rPr>
      </w:pPr>
      <w:r w:rsidRPr="00C9040A">
        <w:rPr>
          <w:rtl/>
          <w:lang w:bidi="fa-IR"/>
        </w:rPr>
        <w:t xml:space="preserve">فَقَالَ </w:t>
      </w:r>
      <w:r w:rsidR="006C577F" w:rsidRPr="006C577F">
        <w:rPr>
          <w:rStyle w:val="libFootnotenumChar"/>
          <w:rtl/>
        </w:rPr>
        <w:t>(5)</w:t>
      </w:r>
      <w:r w:rsidRPr="00C9040A">
        <w:rPr>
          <w:rtl/>
          <w:lang w:bidi="fa-IR"/>
        </w:rPr>
        <w:t xml:space="preserve"> : « مَا مِنْ عَمَلٍ بَعْدَ مَعْرِفَةِ اللهِ</w:t>
      </w:r>
      <w:r>
        <w:rPr>
          <w:rtl/>
          <w:lang w:bidi="fa-IR"/>
        </w:rPr>
        <w:t xml:space="preserve"> </w:t>
      </w:r>
      <w:r w:rsidR="0084262C">
        <w:rPr>
          <w:rtl/>
          <w:lang w:bidi="fa-IR"/>
        </w:rPr>
        <w:t>-</w:t>
      </w:r>
      <w:r>
        <w:rPr>
          <w:rtl/>
          <w:lang w:bidi="fa-IR"/>
        </w:rPr>
        <w:t xml:space="preserve"> </w:t>
      </w:r>
      <w:r w:rsidRPr="00C9040A">
        <w:rPr>
          <w:rtl/>
          <w:lang w:bidi="fa-IR"/>
        </w:rPr>
        <w:t>جَلَّ وَعَزَّ</w:t>
      </w:r>
      <w:r>
        <w:rPr>
          <w:rtl/>
          <w:lang w:bidi="fa-IR"/>
        </w:rPr>
        <w:t xml:space="preserve"> </w:t>
      </w:r>
      <w:r w:rsidR="0084262C">
        <w:rPr>
          <w:rtl/>
          <w:lang w:bidi="fa-IR"/>
        </w:rPr>
        <w:t>-</w:t>
      </w:r>
      <w:r>
        <w:rPr>
          <w:rtl/>
          <w:lang w:bidi="fa-IR"/>
        </w:rPr>
        <w:t xml:space="preserve"> </w:t>
      </w:r>
      <w:r w:rsidRPr="00C9040A">
        <w:rPr>
          <w:rtl/>
          <w:lang w:bidi="fa-IR"/>
        </w:rPr>
        <w:t>وَ</w:t>
      </w:r>
      <w:r>
        <w:rPr>
          <w:rFonts w:hint="cs"/>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 xml:space="preserve">مَعْرِفَةِ رَسُولِهِ </w:t>
      </w:r>
      <w:r w:rsidR="006C577F" w:rsidRPr="006C577F">
        <w:rPr>
          <w:rStyle w:val="libFootnotenumChar"/>
          <w:rtl/>
        </w:rPr>
        <w:t>(7)</w:t>
      </w:r>
      <w:r w:rsidRPr="00C9040A">
        <w:rPr>
          <w:rtl/>
          <w:lang w:bidi="fa-IR"/>
        </w:rPr>
        <w:t xml:space="preserve"> </w:t>
      </w:r>
      <w:r w:rsidR="004A4E41" w:rsidRPr="004A4E41">
        <w:rPr>
          <w:rStyle w:val="libAlaemChar"/>
          <w:rtl/>
        </w:rPr>
        <w:t>صلى‌الله‌عليه‌وآله</w:t>
      </w:r>
      <w:r w:rsidRPr="00C9040A">
        <w:rPr>
          <w:rtl/>
          <w:lang w:bidi="fa-IR"/>
        </w:rPr>
        <w:t xml:space="preserve"> أَفْضَلَ مِنْ بُغْضِ الدُّنْيَا ، وَإِنَّ </w:t>
      </w:r>
      <w:r w:rsidR="006C577F" w:rsidRPr="006C577F">
        <w:rPr>
          <w:rStyle w:val="libFootnotenumChar"/>
          <w:rtl/>
        </w:rPr>
        <w:t>(8)</w:t>
      </w:r>
      <w:r w:rsidRPr="00C9040A">
        <w:rPr>
          <w:rtl/>
          <w:lang w:bidi="fa-IR"/>
        </w:rPr>
        <w:t xml:space="preserve"> لِذلِكَ لَشُعَباً </w:t>
      </w:r>
      <w:r w:rsidR="006C577F" w:rsidRPr="006C577F">
        <w:rPr>
          <w:rStyle w:val="libFootnotenumChar"/>
          <w:rtl/>
        </w:rPr>
        <w:t>(9)</w:t>
      </w:r>
      <w:r w:rsidRPr="00C9040A">
        <w:rPr>
          <w:rtl/>
          <w:lang w:bidi="fa-IR"/>
        </w:rPr>
        <w:t xml:space="preserve"> كَثِيرَةً ، وَلِلْمَعَاصِي شُعَباً </w:t>
      </w:r>
      <w:r w:rsidR="006C577F" w:rsidRPr="006C577F">
        <w:rPr>
          <w:rStyle w:val="libFootnotenumChar"/>
          <w:rtl/>
        </w:rPr>
        <w:t>(10)</w:t>
      </w:r>
      <w:r w:rsidRPr="00C9040A">
        <w:rPr>
          <w:rtl/>
          <w:lang w:bidi="fa-IR"/>
        </w:rPr>
        <w:t xml:space="preserve"> ، فَأَوَّلُ مَا عُصِيَ اللهُ بِهِ الْكِبْرُ ، وَهِيَ </w:t>
      </w:r>
      <w:r w:rsidR="006C577F" w:rsidRPr="006C577F">
        <w:rPr>
          <w:rStyle w:val="libFootnotenumChar"/>
          <w:rtl/>
        </w:rPr>
        <w:t>(11)</w:t>
      </w:r>
      <w:r w:rsidRPr="00C9040A">
        <w:rPr>
          <w:rtl/>
          <w:lang w:bidi="fa-IR"/>
        </w:rPr>
        <w:t xml:space="preserve"> مَعْصِيَةُ إِبْلِيسَ حِينَ </w:t>
      </w:r>
      <w:r w:rsidR="006C577F" w:rsidRPr="006C577F">
        <w:rPr>
          <w:rStyle w:val="libFootnotenumChar"/>
          <w:rtl/>
        </w:rPr>
        <w:t>(12)</w:t>
      </w:r>
      <w:r w:rsidRPr="00C9040A">
        <w:rPr>
          <w:rtl/>
          <w:lang w:bidi="fa-IR"/>
        </w:rPr>
        <w:t xml:space="preserve"> أَبى وَاسْتَكْبَرَ وَكَانَ مِنَ الْكَافِرِينَ.</w:t>
      </w:r>
    </w:p>
    <w:p w:rsidR="008A74EB" w:rsidRPr="00C9040A" w:rsidRDefault="008A74EB" w:rsidP="008A74EB">
      <w:pPr>
        <w:pStyle w:val="libLine"/>
        <w:rPr>
          <w:rtl/>
          <w:lang w:bidi="fa-IR"/>
        </w:rPr>
      </w:pPr>
      <w:r w:rsidRPr="00C9040A">
        <w:rPr>
          <w:rtl/>
          <w:lang w:bidi="fa-IR"/>
        </w:rPr>
        <w:t>__________________</w:t>
      </w:r>
    </w:p>
    <w:p w:rsidR="008A74EB" w:rsidRPr="00C9040A" w:rsidRDefault="00F41E91" w:rsidP="004A4E41">
      <w:pPr>
        <w:pStyle w:val="libFootnote0"/>
        <w:rPr>
          <w:rtl/>
          <w:lang w:bidi="fa-IR"/>
        </w:rPr>
      </w:pPr>
      <w:r>
        <w:rPr>
          <w:rFonts w:hint="cs"/>
          <w:rtl/>
          <w:lang w:bidi="fa-IR"/>
        </w:rPr>
        <w:t xml:space="preserve">= </w:t>
      </w:r>
      <w:r w:rsidR="008A74EB" w:rsidRPr="00C9040A">
        <w:rPr>
          <w:rtl/>
        </w:rPr>
        <w:t>وفي المطبوع والبحار : + « [ عن أبيه ] »</w:t>
      </w:r>
      <w:r w:rsidR="008A74EB">
        <w:rPr>
          <w:rtl/>
        </w:rPr>
        <w:t>.</w:t>
      </w:r>
      <w:r w:rsidR="008A74EB" w:rsidRPr="00C9040A">
        <w:rPr>
          <w:rtl/>
        </w:rPr>
        <w:t xml:space="preserve"> وهو سهو ؛ فقد روى عليّ [ بن إبراهيم ] عن أبيه وعليّ بن محمّد [ القاساني ] عن القاسم بن محمّد ، عن سليمان بن داود [ المنقري ] في أسنادٍ عديدة. راجع : </w:t>
      </w:r>
      <w:r w:rsidR="008A74EB" w:rsidRPr="00993B55">
        <w:rPr>
          <w:rStyle w:val="libFootnoteBoldChar"/>
          <w:rtl/>
        </w:rPr>
        <w:t xml:space="preserve">معجم رجال الحديث </w:t>
      </w:r>
      <w:r w:rsidR="008A74EB" w:rsidRPr="00C9040A">
        <w:rPr>
          <w:rtl/>
        </w:rPr>
        <w:t>، ج 14 ، ص 359</w:t>
      </w:r>
      <w:r w:rsidR="008A74EB">
        <w:rPr>
          <w:rtl/>
        </w:rPr>
        <w:t xml:space="preserve"> </w:t>
      </w:r>
      <w:r w:rsidR="0084262C">
        <w:rPr>
          <w:rtl/>
        </w:rPr>
        <w:t>-</w:t>
      </w:r>
      <w:r w:rsidR="008A74EB">
        <w:rPr>
          <w:rtl/>
        </w:rPr>
        <w:t xml:space="preserve"> </w:t>
      </w:r>
      <w:r w:rsidR="008A74EB" w:rsidRPr="00C9040A">
        <w:rPr>
          <w:rtl/>
        </w:rPr>
        <w:t>361 ؛ وص 365.</w:t>
      </w:r>
    </w:p>
    <w:p w:rsidR="008A74EB" w:rsidRDefault="008A74EB" w:rsidP="004A4E41">
      <w:pPr>
        <w:pStyle w:val="libFootnote0"/>
        <w:rPr>
          <w:rtl/>
        </w:rPr>
      </w:pPr>
      <w:r w:rsidRPr="00323A39">
        <w:rPr>
          <w:rtl/>
        </w:rPr>
        <w:t xml:space="preserve">يؤيّد ذلك ورودُ الخبر في </w:t>
      </w:r>
      <w:r w:rsidRPr="00993B55">
        <w:rPr>
          <w:rStyle w:val="libFootnoteBoldChar"/>
          <w:rtl/>
        </w:rPr>
        <w:t>الكافي</w:t>
      </w:r>
      <w:r w:rsidRPr="00323A39">
        <w:rPr>
          <w:rtl/>
        </w:rPr>
        <w:t xml:space="preserve"> ، ح 2593 ، عن عليّ بن إبراهيم ، عن أبيه وعليّ بن محمّد جميعاً عن القاسم بن محمّد ، عن سليمان المنقري ، عن عبدالرّزاق بن همّام ، عن معمر بن راشد ، عن الزهري محمّد بن مسلم بن عبيدالله.</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بس » : « القاشاني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ب ، ج ، ز ، بر ، بف ، جر » : + « عن »</w:t>
      </w:r>
      <w:r w:rsidR="008A74EB">
        <w:rPr>
          <w:rtl/>
        </w:rPr>
        <w:t>.</w:t>
      </w:r>
      <w:r w:rsidR="008A74EB" w:rsidRPr="00C9040A">
        <w:rPr>
          <w:rtl/>
        </w:rPr>
        <w:t xml:space="preserve"> وهو سهو ؛ فإنّ الزهري هذا ، هو محمّد بن مسلم بن عبيد الله بن عبد الله بن شهاب الزهري ، روى عن عليّ بن الحسين بن عليّ بن أبي طالب </w:t>
      </w:r>
      <w:r w:rsidR="00117575" w:rsidRPr="00117575">
        <w:rPr>
          <w:rStyle w:val="libFootnoteAlaemChar"/>
          <w:rtl/>
        </w:rPr>
        <w:t>عليه‌السلام</w:t>
      </w:r>
      <w:r w:rsidR="008A74EB" w:rsidRPr="00C9040A">
        <w:rPr>
          <w:rtl/>
        </w:rPr>
        <w:t xml:space="preserve"> ، وروى عنه مَعْمَر بن راشد الأزْدي. راجع : </w:t>
      </w:r>
      <w:r w:rsidR="008A74EB" w:rsidRPr="00993B55">
        <w:rPr>
          <w:rStyle w:val="libFootnoteBoldChar"/>
          <w:rtl/>
        </w:rPr>
        <w:t>تهذيب الكمال</w:t>
      </w:r>
      <w:r w:rsidR="008A74EB" w:rsidRPr="00C9040A">
        <w:rPr>
          <w:rtl/>
        </w:rPr>
        <w:t xml:space="preserve"> ، ج 26 ، ص 419 ، الرقم 5606 ؛ وج 28 ، ص 303 ، الرقم 6104.</w:t>
      </w:r>
    </w:p>
    <w:p w:rsidR="008A74EB" w:rsidRPr="00C9040A" w:rsidRDefault="006C577F" w:rsidP="004A4E41">
      <w:pPr>
        <w:pStyle w:val="libFootnote0"/>
        <w:rPr>
          <w:rtl/>
          <w:lang w:bidi="fa-IR"/>
        </w:rPr>
      </w:pPr>
      <w:r>
        <w:rPr>
          <w:rtl/>
        </w:rPr>
        <w:t>(3).</w:t>
      </w:r>
      <w:r w:rsidR="008A74EB" w:rsidRPr="00C9040A">
        <w:rPr>
          <w:rtl/>
        </w:rPr>
        <w:t xml:space="preserve"> في « ب ، د » : + « عن عبيد الله »</w:t>
      </w:r>
      <w:r w:rsidR="008A74EB">
        <w:rPr>
          <w:rtl/>
        </w:rPr>
        <w:t>.</w:t>
      </w:r>
      <w:r w:rsidR="008A74EB" w:rsidRPr="00C9040A">
        <w:rPr>
          <w:rtl/>
        </w:rPr>
        <w:t xml:space="preserve"> وفي « ف » : + « عن »</w:t>
      </w:r>
      <w:r w:rsidR="008A74EB">
        <w:rPr>
          <w:rtl/>
        </w:rPr>
        <w:t>.</w:t>
      </w:r>
      <w:r w:rsidR="008A74EB" w:rsidRPr="00C9040A">
        <w:rPr>
          <w:rtl/>
        </w:rPr>
        <w:t xml:space="preserve"> وفي « بف » : + « بن عبيد الله »</w:t>
      </w:r>
      <w:r w:rsidR="008A74EB">
        <w:rPr>
          <w:rtl/>
        </w:rPr>
        <w:t>.</w:t>
      </w:r>
      <w:r w:rsidR="008A74EB" w:rsidRPr="00C9040A">
        <w:rPr>
          <w:rtl/>
        </w:rPr>
        <w:t xml:space="preserve"> وفي الوافي </w:t>
      </w:r>
      <w:r w:rsidR="008A74EB">
        <w:rPr>
          <w:rtl/>
        </w:rPr>
        <w:t xml:space="preserve">: </w:t>
      </w:r>
      <w:r w:rsidR="0084262C">
        <w:rPr>
          <w:rtl/>
        </w:rPr>
        <w:t>-</w:t>
      </w:r>
      <w:r w:rsidR="008A74EB" w:rsidRPr="00C9040A">
        <w:rPr>
          <w:rtl/>
        </w:rPr>
        <w:t xml:space="preserve"> « محمّد بن مسلم بن شهاب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حاشية « ف » : « العمل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الكافي ، ح 2593 : « قال »</w:t>
      </w:r>
      <w:r w:rsidR="008A74EB">
        <w:rPr>
          <w:rtl/>
        </w:rPr>
        <w:t>.</w:t>
      </w:r>
    </w:p>
    <w:p w:rsidR="008A74EB" w:rsidRPr="004A4E41" w:rsidRDefault="006C577F" w:rsidP="004A4E41">
      <w:pPr>
        <w:pStyle w:val="libFootnote0"/>
        <w:rPr>
          <w:rStyle w:val="libFootnote0Char"/>
          <w:rtl/>
        </w:rPr>
      </w:pPr>
      <w:r>
        <w:rPr>
          <w:rtl/>
        </w:rPr>
        <w:t>(6).</w:t>
      </w:r>
      <w:r w:rsidR="008A74EB">
        <w:rPr>
          <w:rtl/>
        </w:rPr>
        <w:t xml:space="preserve"> </w:t>
      </w:r>
      <w:r w:rsidR="008A74EB" w:rsidRPr="00C9040A">
        <w:rPr>
          <w:rtl/>
        </w:rPr>
        <w:t>في « ف » : « وبعد »</w:t>
      </w:r>
      <w:r w:rsidR="008A74EB">
        <w:rPr>
          <w:rtl/>
        </w:rPr>
        <w:t>.</w:t>
      </w:r>
    </w:p>
    <w:tbl>
      <w:tblPr>
        <w:tblStyle w:val="TableGrid"/>
        <w:bidiVisual/>
        <w:tblW w:w="0" w:type="auto"/>
        <w:tblLook w:val="04A0" w:firstRow="1" w:lastRow="0" w:firstColumn="1" w:lastColumn="0" w:noHBand="0" w:noVBand="1"/>
      </w:tblPr>
      <w:tblGrid>
        <w:gridCol w:w="4006"/>
        <w:gridCol w:w="4006"/>
      </w:tblGrid>
      <w:tr w:rsidR="00F41E91" w:rsidTr="00F41E91">
        <w:tc>
          <w:tcPr>
            <w:tcW w:w="4006" w:type="dxa"/>
          </w:tcPr>
          <w:p w:rsidR="00F41E91" w:rsidRDefault="00F41E91" w:rsidP="004A4E41">
            <w:pPr>
              <w:pStyle w:val="libFootnote0"/>
              <w:rPr>
                <w:rtl/>
              </w:rPr>
            </w:pPr>
            <w:r>
              <w:rPr>
                <w:rtl/>
              </w:rPr>
              <w:t>(7).</w:t>
            </w:r>
            <w:r w:rsidRPr="00C9040A">
              <w:rPr>
                <w:rtl/>
              </w:rPr>
              <w:t xml:space="preserve"> في « ج </w:t>
            </w:r>
            <w:r w:rsidR="00504A4C">
              <w:rPr>
                <w:rtl/>
              </w:rPr>
              <w:t>، ز ، ص ، ض ، ف » : « رسول الله</w:t>
            </w:r>
            <w:r w:rsidRPr="00C9040A">
              <w:rPr>
                <w:rtl/>
              </w:rPr>
              <w:t>»</w:t>
            </w:r>
            <w:r>
              <w:rPr>
                <w:rtl/>
              </w:rPr>
              <w:t>.</w:t>
            </w:r>
          </w:p>
        </w:tc>
        <w:tc>
          <w:tcPr>
            <w:tcW w:w="4006" w:type="dxa"/>
          </w:tcPr>
          <w:p w:rsidR="00F41E91" w:rsidRDefault="00F41E91" w:rsidP="004A4E41">
            <w:pPr>
              <w:pStyle w:val="libFootnote0"/>
              <w:rPr>
                <w:rtl/>
              </w:rPr>
            </w:pPr>
            <w:r>
              <w:rPr>
                <w:rtl/>
              </w:rPr>
              <w:t>(8).</w:t>
            </w:r>
            <w:r w:rsidRPr="00C9040A">
              <w:rPr>
                <w:rtl/>
              </w:rPr>
              <w:t xml:space="preserve"> في الكافي ، ح 2593 : « فإنّ »</w:t>
            </w:r>
            <w:r>
              <w:rPr>
                <w:rtl/>
              </w:rPr>
              <w:t>.</w:t>
            </w:r>
          </w:p>
        </w:tc>
      </w:tr>
    </w:tbl>
    <w:p w:rsidR="008A74EB" w:rsidRPr="00C9040A" w:rsidRDefault="006C577F" w:rsidP="004A4E41">
      <w:pPr>
        <w:pStyle w:val="libFootnote0"/>
        <w:rPr>
          <w:rtl/>
          <w:lang w:bidi="fa-IR"/>
        </w:rPr>
      </w:pPr>
      <w:r>
        <w:rPr>
          <w:rtl/>
        </w:rPr>
        <w:t>(9).</w:t>
      </w:r>
      <w:r w:rsidR="008A74EB" w:rsidRPr="00C9040A">
        <w:rPr>
          <w:rtl/>
        </w:rPr>
        <w:t xml:space="preserve"> في « ض » : « شعباً »</w:t>
      </w:r>
      <w:r w:rsidR="008A74EB">
        <w:rPr>
          <w:rtl/>
        </w:rPr>
        <w:t>.</w:t>
      </w:r>
      <w:r w:rsidR="008A74EB" w:rsidRPr="00C9040A">
        <w:rPr>
          <w:rtl/>
        </w:rPr>
        <w:t xml:space="preserve"> وفي المرآة : « وأنّ لذلك ، أي لبغض الدنيا لشعباً ، أي من الصفات الحسنة والأعمال الصالحة. وهي ضدّ شعب المعاصي ، كالتواضع مع الكبر ، والقنوع مع الحرص ، والرضا بما آتاه الله مع الحسد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 ف » : « والمعاصي شعب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في « ج ، ض » : « وهو »</w:t>
      </w:r>
      <w:r w:rsidR="008A74EB">
        <w:rPr>
          <w:rtl/>
        </w:rPr>
        <w:t>.</w:t>
      </w:r>
      <w:r w:rsidR="008A74EB" w:rsidRPr="00C9040A">
        <w:rPr>
          <w:rtl/>
        </w:rPr>
        <w:t xml:space="preserve"> وفي الكافي ، ح 2593 </w:t>
      </w:r>
      <w:r w:rsidR="008A74EB">
        <w:rPr>
          <w:rtl/>
        </w:rPr>
        <w:t xml:space="preserve">: </w:t>
      </w:r>
      <w:r w:rsidR="0084262C">
        <w:rPr>
          <w:rtl/>
        </w:rPr>
        <w:t>-</w:t>
      </w:r>
      <w:r w:rsidR="008A74EB" w:rsidRPr="00C9040A">
        <w:rPr>
          <w:rtl/>
        </w:rPr>
        <w:t xml:space="preserve"> « وهي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في حاشية « ف » : « حيث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030766">
      <w:pPr>
        <w:pStyle w:val="libNormal"/>
        <w:rPr>
          <w:rtl/>
          <w:lang w:bidi="fa-IR"/>
        </w:rPr>
      </w:pPr>
      <w:r w:rsidRPr="00C9040A">
        <w:rPr>
          <w:rtl/>
          <w:lang w:bidi="fa-IR"/>
        </w:rPr>
        <w:t xml:space="preserve">وَالْحِرْصُ </w:t>
      </w:r>
      <w:r w:rsidR="006C577F" w:rsidRPr="006C577F">
        <w:rPr>
          <w:rStyle w:val="libFootnotenumChar"/>
          <w:rtl/>
        </w:rPr>
        <w:t>(1)</w:t>
      </w:r>
      <w:r w:rsidRPr="00C9040A">
        <w:rPr>
          <w:rtl/>
          <w:lang w:bidi="fa-IR"/>
        </w:rPr>
        <w:t xml:space="preserve"> ، وَهِيَ </w:t>
      </w:r>
      <w:r w:rsidR="006C577F" w:rsidRPr="006C577F">
        <w:rPr>
          <w:rStyle w:val="libFootnotenumChar"/>
          <w:rtl/>
        </w:rPr>
        <w:t>(2)</w:t>
      </w:r>
      <w:r w:rsidRPr="00C9040A">
        <w:rPr>
          <w:rtl/>
          <w:lang w:bidi="fa-IR"/>
        </w:rPr>
        <w:t xml:space="preserve"> مَعْصِيَةُ آدَمَ وَحَوَّاءَ حِينَ </w:t>
      </w:r>
      <w:r w:rsidR="006C577F" w:rsidRPr="006C577F">
        <w:rPr>
          <w:rStyle w:val="libFootnotenumChar"/>
          <w:rtl/>
        </w:rPr>
        <w:t>(3)</w:t>
      </w:r>
      <w:r w:rsidRPr="00C9040A">
        <w:rPr>
          <w:rtl/>
          <w:lang w:bidi="fa-IR"/>
        </w:rPr>
        <w:t xml:space="preserve"> قَالَ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لَهُمَا : </w:t>
      </w:r>
      <w:r w:rsidRPr="0003660B">
        <w:rPr>
          <w:rStyle w:val="libAlaemChar"/>
          <w:rtl/>
        </w:rPr>
        <w:t>(</w:t>
      </w:r>
      <w:r w:rsidRPr="006A2246">
        <w:rPr>
          <w:rStyle w:val="libAieChar"/>
          <w:rtl/>
        </w:rPr>
        <w:t xml:space="preserve"> فَكُلا مِنْ حَيْثُ شِئْتُما وَلا تَقْرَبا هذِهِ الشَّجَرَةَ فَتَكُونا مِنَ الظّالِمِينَ </w:t>
      </w:r>
      <w:r w:rsidRPr="0003660B">
        <w:rPr>
          <w:rStyle w:val="libAlaemChar"/>
          <w:rtl/>
        </w:rPr>
        <w:t>)</w:t>
      </w:r>
      <w:r w:rsidRPr="00C9040A">
        <w:rPr>
          <w:rtl/>
          <w:lang w:bidi="fa-IR"/>
        </w:rPr>
        <w:t xml:space="preserve"> </w:t>
      </w:r>
      <w:r w:rsidR="006C577F" w:rsidRPr="006C577F">
        <w:rPr>
          <w:rStyle w:val="libFootnotenumChar"/>
          <w:rtl/>
        </w:rPr>
        <w:t>(4)</w:t>
      </w:r>
      <w:r w:rsidRPr="00C9040A">
        <w:rPr>
          <w:rtl/>
          <w:lang w:bidi="fa-IR"/>
        </w:rPr>
        <w:t xml:space="preserve"> فَأَخَذَا مَا لَاحَاجَةَ بِهِمَا </w:t>
      </w:r>
      <w:r w:rsidR="006C577F" w:rsidRPr="006C577F">
        <w:rPr>
          <w:rStyle w:val="libFootnotenumChar"/>
          <w:rtl/>
        </w:rPr>
        <w:t>(5)</w:t>
      </w:r>
      <w:r w:rsidRPr="00C9040A">
        <w:rPr>
          <w:rtl/>
          <w:lang w:bidi="fa-IR"/>
        </w:rPr>
        <w:t xml:space="preserve"> إِلَيْهِ ، فَدَخَلَ ذلِكَ </w:t>
      </w:r>
      <w:r w:rsidR="006C577F" w:rsidRPr="006C577F">
        <w:rPr>
          <w:rStyle w:val="libFootnotenumChar"/>
          <w:rtl/>
        </w:rPr>
        <w:t>(6)</w:t>
      </w:r>
      <w:r w:rsidR="00030766" w:rsidRPr="00C9040A">
        <w:rPr>
          <w:rtl/>
          <w:lang w:bidi="fa-IR"/>
        </w:rPr>
        <w:t xml:space="preserve"> </w:t>
      </w:r>
      <w:r w:rsidRPr="00C9040A">
        <w:rPr>
          <w:rtl/>
          <w:lang w:bidi="fa-IR"/>
        </w:rPr>
        <w:t xml:space="preserve">عَلى ذُرِّيَّتِهِمَا إِلى يَوْمِ الْقِيَامَةِ ، وَذلِكَ أَنَّ أَكْثَرَ مَا يَطْلُبُ </w:t>
      </w:r>
      <w:r w:rsidR="006C577F" w:rsidRPr="006C577F">
        <w:rPr>
          <w:rStyle w:val="libFootnotenumChar"/>
          <w:rtl/>
        </w:rPr>
        <w:t>(7)</w:t>
      </w:r>
      <w:r w:rsidRPr="00C9040A">
        <w:rPr>
          <w:rtl/>
          <w:lang w:bidi="fa-IR"/>
        </w:rPr>
        <w:t xml:space="preserve"> ابْنُ آدَمَ مَا لَا حَاجَةَ بِهِ إِلَيْهِ.</w:t>
      </w:r>
    </w:p>
    <w:p w:rsidR="008A74EB" w:rsidRPr="00C9040A" w:rsidRDefault="008A74EB" w:rsidP="008A74EB">
      <w:pPr>
        <w:pStyle w:val="libNormal"/>
        <w:rPr>
          <w:rtl/>
          <w:lang w:bidi="fa-IR"/>
        </w:rPr>
      </w:pPr>
      <w:r w:rsidRPr="00C9040A">
        <w:rPr>
          <w:rtl/>
          <w:lang w:bidi="fa-IR"/>
        </w:rPr>
        <w:t>ثُمَّ الْحَسَدُ ، وَهِيَ مَعْصِيَةُ ابْنِ آدَمَ حَيْثُ حَسَدَ أَخَاهُ ، فَقَتَلَهُ ، فَتَشَعَّبَ مِنْ ذلِكَ حُبُّ النِّسَاءِ ، وَحُبُّ الدُّنْيَا ، وَحُبُّ الرِّئَاسَةِ ، وَحُبُّ الرَّاحَةِ ، وَحُبُّ الْكَلَامِ ، وَحُبُّ الْعُلُوِّ وَ</w:t>
      </w:r>
      <w:r>
        <w:rPr>
          <w:rFonts w:hint="cs"/>
          <w:rtl/>
          <w:lang w:bidi="fa-IR"/>
        </w:rPr>
        <w:t xml:space="preserve"> </w:t>
      </w:r>
      <w:r w:rsidR="006C577F" w:rsidRPr="006C577F">
        <w:rPr>
          <w:rStyle w:val="libFootnotenumChar"/>
          <w:rtl/>
        </w:rPr>
        <w:t>(8)</w:t>
      </w:r>
      <w:r w:rsidRPr="00C9040A">
        <w:rPr>
          <w:rtl/>
          <w:lang w:bidi="fa-IR"/>
        </w:rPr>
        <w:t xml:space="preserve"> الثَّرْوَةِ ، فَصِرْنَ سَبْعَ خِصَالٍ ، فَاجْتَمَعْنَ كُلُّهُنَّ فِي حُبِّ الدُّنْيَا ، فَقَالَ الْأَنْبِيَاءُ وَالْعُلَمَاءُ بَعْدَ مَعْرِفَةِ ذلِكَ : حُبُّ الدُّنْيَا رَأْسُ كُلِّ خَطِيئَةٍ ؛ وَالدُّنْيَا دُنْيَاءَانِ : دُنْيَا بَلَاغٍ </w:t>
      </w:r>
      <w:r w:rsidR="006C577F" w:rsidRPr="006C577F">
        <w:rPr>
          <w:rStyle w:val="libFootnotenumChar"/>
          <w:rtl/>
        </w:rPr>
        <w:t>(9)</w:t>
      </w:r>
      <w:r w:rsidRPr="00C9040A">
        <w:rPr>
          <w:rtl/>
          <w:lang w:bidi="fa-IR"/>
        </w:rPr>
        <w:t xml:space="preserve"> ،</w:t>
      </w:r>
      <w:r>
        <w:rPr>
          <w:rFonts w:hint="cs"/>
          <w:rtl/>
          <w:lang w:bidi="fa-IR"/>
        </w:rPr>
        <w:t xml:space="preserve"> </w:t>
      </w:r>
      <w:r w:rsidRPr="00C9040A">
        <w:rPr>
          <w:rtl/>
          <w:lang w:bidi="fa-IR"/>
        </w:rPr>
        <w:t>وَدُنْيَا مَلْعُونَةٍ »</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Normal"/>
        <w:rPr>
          <w:rtl/>
          <w:lang w:bidi="fa-IR"/>
        </w:rPr>
      </w:pPr>
      <w:r w:rsidRPr="00A42ADF">
        <w:rPr>
          <w:rtl/>
        </w:rPr>
        <w:t>1904</w:t>
      </w:r>
      <w:r w:rsidRPr="00261CB0">
        <w:rPr>
          <w:rStyle w:val="libBold2Char"/>
          <w:rtl/>
        </w:rPr>
        <w:t xml:space="preserve"> / 12.</w:t>
      </w:r>
      <w:r w:rsidRPr="00C9040A">
        <w:rPr>
          <w:rtl/>
          <w:lang w:bidi="fa-IR"/>
        </w:rPr>
        <w:t xml:space="preserve"> عَلِيُّ بْنُ إِبْرَاهِيمَ ، عَنْ أَبِيهِ ، عَنِ ابْنِ أَبِي عُمَيْرٍ ، عَنِ ابْنِ بُكَيْرٍ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إِنَّ فِي طَلَبِ الدُّنْيَا إِضْرَاراً بِالْآخِرَةِ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ب ، بس » وحاشية « د ، بر » والكافي ، ح 2593 والوافي ، ح 3238 : « ثمّ الحرص » بدل « والحرص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ب » : « وهو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حاشية « ف » : « حيث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الأعراف </w:t>
      </w:r>
      <w:r w:rsidR="00030766">
        <w:rPr>
          <w:rtl/>
        </w:rPr>
        <w:t>(7)</w:t>
      </w:r>
      <w:r w:rsidR="008A74EB" w:rsidRPr="00C9040A">
        <w:rPr>
          <w:rtl/>
        </w:rPr>
        <w:t xml:space="preserve"> : 19.</w:t>
      </w:r>
    </w:p>
    <w:p w:rsidR="008A74EB" w:rsidRPr="00C9040A" w:rsidRDefault="006C577F" w:rsidP="004A4E41">
      <w:pPr>
        <w:pStyle w:val="libFootnote0"/>
        <w:rPr>
          <w:rtl/>
          <w:lang w:bidi="fa-IR"/>
        </w:rPr>
      </w:pPr>
      <w:r>
        <w:rPr>
          <w:rtl/>
        </w:rPr>
        <w:t>(5).</w:t>
      </w:r>
      <w:r w:rsidR="008A74EB" w:rsidRPr="00C9040A">
        <w:rPr>
          <w:rtl/>
        </w:rPr>
        <w:t xml:space="preserve"> في حاشية « ف » : « لهما »</w:t>
      </w:r>
      <w:r w:rsidR="008A74EB">
        <w:rPr>
          <w:rtl/>
        </w:rPr>
        <w:t>.</w:t>
      </w:r>
    </w:p>
    <w:p w:rsidR="008A74EB" w:rsidRPr="004A4E41" w:rsidRDefault="006C577F" w:rsidP="004A4E41">
      <w:pPr>
        <w:pStyle w:val="libFootnote0"/>
        <w:rPr>
          <w:rStyle w:val="libFootnote0Char"/>
          <w:rtl/>
        </w:rPr>
      </w:pPr>
      <w:r>
        <w:rPr>
          <w:rtl/>
        </w:rPr>
        <w:t>(6).</w:t>
      </w:r>
      <w:r w:rsidR="008A74EB">
        <w:rPr>
          <w:rtl/>
        </w:rPr>
        <w:t xml:space="preserve"> </w:t>
      </w:r>
      <w:r w:rsidR="008A74EB" w:rsidRPr="00C9040A">
        <w:rPr>
          <w:rtl/>
        </w:rPr>
        <w:t xml:space="preserve">في </w:t>
      </w:r>
      <w:r w:rsidR="008A74EB" w:rsidRPr="00993B55">
        <w:rPr>
          <w:rStyle w:val="libFootnoteBoldChar"/>
          <w:rtl/>
        </w:rPr>
        <w:t>المرآة</w:t>
      </w:r>
      <w:r w:rsidR="008A74EB" w:rsidRPr="00C9040A">
        <w:rPr>
          <w:rtl/>
        </w:rPr>
        <w:t xml:space="preserve"> : « فدخل ذلك ، أي الحرص ، أو أخذ ما لاحاجة به إليه »</w:t>
      </w:r>
      <w:r w:rsidR="008A74EB">
        <w:rPr>
          <w:rtl/>
        </w:rPr>
        <w:t>.</w:t>
      </w:r>
    </w:p>
    <w:tbl>
      <w:tblPr>
        <w:tblStyle w:val="TableGrid"/>
        <w:bidiVisual/>
        <w:tblW w:w="0" w:type="auto"/>
        <w:tblLook w:val="04A0" w:firstRow="1" w:lastRow="0" w:firstColumn="1" w:lastColumn="0" w:noHBand="0" w:noVBand="1"/>
      </w:tblPr>
      <w:tblGrid>
        <w:gridCol w:w="4006"/>
        <w:gridCol w:w="4006"/>
      </w:tblGrid>
      <w:tr w:rsidR="00030766" w:rsidTr="00030766">
        <w:tc>
          <w:tcPr>
            <w:tcW w:w="4006" w:type="dxa"/>
          </w:tcPr>
          <w:p w:rsidR="00030766" w:rsidRDefault="00030766" w:rsidP="004A4E41">
            <w:pPr>
              <w:pStyle w:val="libFootnote0"/>
              <w:rPr>
                <w:rtl/>
              </w:rPr>
            </w:pPr>
            <w:r>
              <w:rPr>
                <w:rtl/>
              </w:rPr>
              <w:t>(7).</w:t>
            </w:r>
            <w:r w:rsidRPr="00C9040A">
              <w:rPr>
                <w:rtl/>
              </w:rPr>
              <w:t xml:space="preserve"> في « ف » : + « به »</w:t>
            </w:r>
            <w:r>
              <w:rPr>
                <w:rtl/>
              </w:rPr>
              <w:t>.</w:t>
            </w:r>
          </w:p>
        </w:tc>
        <w:tc>
          <w:tcPr>
            <w:tcW w:w="4006" w:type="dxa"/>
          </w:tcPr>
          <w:p w:rsidR="00030766" w:rsidRDefault="00030766" w:rsidP="004A4E41">
            <w:pPr>
              <w:pStyle w:val="libFootnote0"/>
              <w:rPr>
                <w:rtl/>
              </w:rPr>
            </w:pPr>
            <w:r>
              <w:rPr>
                <w:rtl/>
              </w:rPr>
              <w:t>(8).</w:t>
            </w:r>
            <w:r w:rsidRPr="00C9040A">
              <w:rPr>
                <w:rtl/>
              </w:rPr>
              <w:t xml:space="preserve"> في « ج » ومرآة العقول والبحار : « وحبّ »</w:t>
            </w:r>
            <w:r>
              <w:rPr>
                <w:rtl/>
              </w:rPr>
              <w:t>.</w:t>
            </w:r>
          </w:p>
        </w:tc>
      </w:tr>
    </w:tbl>
    <w:p w:rsidR="008A74EB" w:rsidRPr="00C9040A" w:rsidRDefault="006C577F" w:rsidP="004A4E41">
      <w:pPr>
        <w:pStyle w:val="libFootnote0"/>
        <w:rPr>
          <w:rtl/>
          <w:lang w:bidi="fa-IR"/>
        </w:rPr>
      </w:pPr>
      <w:r>
        <w:rPr>
          <w:rtl/>
        </w:rPr>
        <w:t>(9).</w:t>
      </w:r>
      <w:r w:rsidR="008A74EB" w:rsidRPr="00C9040A">
        <w:rPr>
          <w:rtl/>
        </w:rPr>
        <w:t xml:space="preserve"> في </w:t>
      </w:r>
      <w:r w:rsidR="008A74EB" w:rsidRPr="00993B55">
        <w:rPr>
          <w:rStyle w:val="libFootnoteBoldChar"/>
          <w:rtl/>
        </w:rPr>
        <w:t>المرآة</w:t>
      </w:r>
      <w:r w:rsidR="008A74EB" w:rsidRPr="00C9040A">
        <w:rPr>
          <w:rtl/>
        </w:rPr>
        <w:t xml:space="preserve"> : « دنيا بلاغ ، أي تبلغ به إلى الآخرة ويحصل بها مرضاة الربّ تعالى ، أو تكون بقدر الضرورةوالكفاف ؛ فالزائد عليها ملعونة ، أي ملعون صاحبها ، فالإسناد على المجاز ؛ أو هي ملعونة ، أي بعيدة من الله ومن الخير والسعادة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w:t>
      </w:r>
      <w:r w:rsidR="008A74EB" w:rsidRPr="00993B55">
        <w:rPr>
          <w:rStyle w:val="libFootnoteBoldChar"/>
          <w:rtl/>
        </w:rPr>
        <w:t>الكافي</w:t>
      </w:r>
      <w:r w:rsidR="008A74EB" w:rsidRPr="00C9040A">
        <w:rPr>
          <w:rtl/>
        </w:rPr>
        <w:t xml:space="preserve"> ، كتاب الإيمان والكفر ، باب حبّ الدنيا والحرص عليها ، ح 2593 ، عن عليّ بن إبراهيم ، عن أبيه وعليّ بن محمّد جميعاً ، عن القاسم بن محمّد. </w:t>
      </w:r>
      <w:r w:rsidR="008A74EB" w:rsidRPr="00993B55">
        <w:rPr>
          <w:rStyle w:val="libFootnoteBoldChar"/>
          <w:rtl/>
        </w:rPr>
        <w:t>الخصال</w:t>
      </w:r>
      <w:r w:rsidR="008A74EB" w:rsidRPr="00C9040A">
        <w:rPr>
          <w:rtl/>
        </w:rPr>
        <w:t xml:space="preserve"> ، ص 25 ، باب الواحد ، ح 87 ، بسند آخر عن أبي عبد الله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مصباح الشريعة</w:t>
      </w:r>
      <w:r w:rsidR="008A74EB" w:rsidRPr="00C9040A">
        <w:rPr>
          <w:rtl/>
        </w:rPr>
        <w:t xml:space="preserve"> ، ص 137 ، الباب 64 ، عن رسول الله </w:t>
      </w:r>
      <w:r w:rsidR="004A4E41" w:rsidRPr="0034021D">
        <w:rPr>
          <w:rStyle w:val="libFootnoteAlaemChar"/>
          <w:rtl/>
        </w:rPr>
        <w:t>صلى‌الله‌عليه‌وآله</w:t>
      </w:r>
      <w:r w:rsidR="008A74EB" w:rsidRPr="00C9040A">
        <w:rPr>
          <w:rtl/>
        </w:rPr>
        <w:t xml:space="preserve"> ، وتمام الرواية فيهما : « حبّ الدنيا رأس كلّ خطيئة »</w:t>
      </w:r>
      <w:r w:rsidR="00030766">
        <w:rPr>
          <w:rFonts w:hint="cs"/>
          <w:rtl/>
        </w:rPr>
        <w:t>.</w:t>
      </w:r>
      <w:r w:rsidR="008A74EB" w:rsidRPr="00993B55">
        <w:rPr>
          <w:rStyle w:val="libFootnoteBoldChar"/>
          <w:rtl/>
        </w:rPr>
        <w:t>الوافي</w:t>
      </w:r>
      <w:r w:rsidR="008A74EB" w:rsidRPr="00C9040A">
        <w:rPr>
          <w:rtl/>
        </w:rPr>
        <w:t xml:space="preserve"> ، ج 4 ، ص 392 ، ح 2176 ؛ وج 5 ، ص 892 ، ح 3238 ؛ </w:t>
      </w:r>
      <w:r w:rsidR="008A74EB" w:rsidRPr="00993B55">
        <w:rPr>
          <w:rStyle w:val="libFootnoteBoldChar"/>
          <w:rtl/>
        </w:rPr>
        <w:t>البحار</w:t>
      </w:r>
      <w:r w:rsidR="008A74EB" w:rsidRPr="00C9040A">
        <w:rPr>
          <w:rtl/>
        </w:rPr>
        <w:t xml:space="preserve"> ، ج 73 ، ص 59 ، ح 29.</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وَفِي طَلَبِ الْآخِرَةِ إِضْرَاراً بِالدُّنْيَا ، فَأَضِرُّوا بِالدُّنْيَا ؛ فَإِنَّهَا أَحَقُّ </w:t>
      </w:r>
      <w:r w:rsidR="006C577F" w:rsidRPr="006C577F">
        <w:rPr>
          <w:rStyle w:val="libFootnotenumChar"/>
          <w:rtl/>
        </w:rPr>
        <w:t>(1)</w:t>
      </w:r>
      <w:r w:rsidRPr="00C9040A">
        <w:rPr>
          <w:rtl/>
          <w:lang w:bidi="fa-IR"/>
        </w:rPr>
        <w:t xml:space="preserve"> بِالْإِضْرَارِ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A42ADF">
        <w:rPr>
          <w:rtl/>
        </w:rPr>
        <w:t>1905</w:t>
      </w:r>
      <w:r w:rsidRPr="00261CB0">
        <w:rPr>
          <w:rStyle w:val="libBold2Char"/>
          <w:rtl/>
        </w:rPr>
        <w:t xml:space="preserve"> / 13.</w:t>
      </w:r>
      <w:r w:rsidRPr="00C9040A">
        <w:rPr>
          <w:rtl/>
          <w:lang w:bidi="fa-IR"/>
        </w:rPr>
        <w:t xml:space="preserve"> مُحَمَّدُ بْنُ يَحْيى ، عَنْ أَحْمَدَ بْنِ مُحَمَّدِ بْنِ عِيسى ، عَنْ عَلِيِّ بْنِ الْحَكَمِ ، عَنْ أَبِي أَيُّوبَ الْخَرَّازِ </w:t>
      </w:r>
      <w:r w:rsidR="006C577F" w:rsidRPr="006C577F">
        <w:rPr>
          <w:rStyle w:val="libFootnotenumChar"/>
          <w:rtl/>
        </w:rPr>
        <w:t>(3)</w:t>
      </w:r>
      <w:r w:rsidRPr="00C9040A">
        <w:rPr>
          <w:rtl/>
          <w:lang w:bidi="fa-IR"/>
        </w:rPr>
        <w:t xml:space="preserve"> ، عَنْ أَبِي عُبَيْدَةَ الْحَذَّاءِ ، قَالَ :</w:t>
      </w:r>
    </w:p>
    <w:p w:rsidR="008A74EB" w:rsidRPr="00C9040A" w:rsidRDefault="008A74EB" w:rsidP="008A74EB">
      <w:pPr>
        <w:pStyle w:val="libNormal"/>
        <w:rPr>
          <w:rtl/>
          <w:lang w:bidi="fa-IR"/>
        </w:rPr>
      </w:pPr>
      <w:r w:rsidRPr="00C9040A">
        <w:rPr>
          <w:rtl/>
          <w:lang w:bidi="fa-IR"/>
        </w:rPr>
        <w:t xml:space="preserve">قُلْتُ لِأَبِي جَعْفَرٍ </w:t>
      </w:r>
      <w:r w:rsidRPr="0003660B">
        <w:rPr>
          <w:rStyle w:val="libAlaemChar"/>
          <w:rtl/>
        </w:rPr>
        <w:t>عليه‌السلام</w:t>
      </w:r>
      <w:r w:rsidRPr="00C9040A">
        <w:rPr>
          <w:rtl/>
          <w:lang w:bidi="fa-IR"/>
        </w:rPr>
        <w:t xml:space="preserve"> : حَدِّثْنِي بِمَا </w:t>
      </w:r>
      <w:r w:rsidR="006C577F" w:rsidRPr="006C577F">
        <w:rPr>
          <w:rStyle w:val="libFootnotenumChar"/>
          <w:rtl/>
        </w:rPr>
        <w:t>(4)</w:t>
      </w:r>
      <w:r w:rsidRPr="00C9040A">
        <w:rPr>
          <w:rtl/>
          <w:lang w:bidi="fa-IR"/>
        </w:rPr>
        <w:t xml:space="preserve"> أَنْتَفِعُ بِهِ.</w:t>
      </w:r>
    </w:p>
    <w:p w:rsidR="008A74EB" w:rsidRPr="00C9040A" w:rsidRDefault="008A74EB" w:rsidP="009B4F93">
      <w:pPr>
        <w:pStyle w:val="libNormal"/>
        <w:rPr>
          <w:rtl/>
          <w:lang w:bidi="fa-IR"/>
        </w:rPr>
      </w:pPr>
      <w:r w:rsidRPr="00C9040A">
        <w:rPr>
          <w:rtl/>
          <w:lang w:bidi="fa-IR"/>
        </w:rPr>
        <w:t xml:space="preserve">فَقَالَ </w:t>
      </w:r>
      <w:r w:rsidR="006C577F" w:rsidRPr="006C577F">
        <w:rPr>
          <w:rStyle w:val="libFootnotenumChar"/>
          <w:rtl/>
        </w:rPr>
        <w:t>(5)</w:t>
      </w:r>
      <w:r w:rsidRPr="00C9040A">
        <w:rPr>
          <w:rtl/>
          <w:lang w:bidi="fa-IR"/>
        </w:rPr>
        <w:t xml:space="preserve"> : « يَا أَبَا عُبَيْدَةَ ، أَكْثِرْ ذِكْرَ الْمَوْتِ ؛ فَإِنَّهُ لَمْ يُكْثِرْ إِنْسَانٌ ذِكْرَ الْمَوْتِ </w:t>
      </w:r>
      <w:r w:rsidR="006C577F" w:rsidRPr="006C577F">
        <w:rPr>
          <w:rStyle w:val="libFootnotenumChar"/>
          <w:rtl/>
        </w:rPr>
        <w:t>(6)</w:t>
      </w:r>
      <w:r w:rsidR="009B4F93" w:rsidRPr="00C9040A">
        <w:rPr>
          <w:rtl/>
          <w:lang w:bidi="fa-IR"/>
        </w:rPr>
        <w:t xml:space="preserve"> </w:t>
      </w:r>
      <w:r w:rsidR="009B4F93">
        <w:rPr>
          <w:rtl/>
          <w:lang w:bidi="fa-IR"/>
        </w:rPr>
        <w:t>إِل</w:t>
      </w:r>
      <w:r w:rsidR="009B4F93">
        <w:rPr>
          <w:rFonts w:hint="cs"/>
          <w:rtl/>
          <w:lang w:bidi="fa-IR"/>
        </w:rPr>
        <w:t>َّ</w:t>
      </w:r>
      <w:r w:rsidR="009B4F93">
        <w:rPr>
          <w:rtl/>
          <w:lang w:bidi="fa-IR"/>
        </w:rPr>
        <w:t>ا</w:t>
      </w:r>
      <w:r w:rsidRPr="00C9040A">
        <w:rPr>
          <w:rtl/>
          <w:lang w:bidi="fa-IR"/>
        </w:rPr>
        <w:t xml:space="preserve"> زَهِدَ فِي الدُّنْيَا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A42ADF">
        <w:rPr>
          <w:rtl/>
        </w:rPr>
        <w:t>1906</w:t>
      </w:r>
      <w:r w:rsidRPr="00261CB0">
        <w:rPr>
          <w:rStyle w:val="libBold2Char"/>
          <w:rtl/>
        </w:rPr>
        <w:t xml:space="preserve"> / 14.</w:t>
      </w:r>
      <w:r w:rsidRPr="00C9040A">
        <w:rPr>
          <w:rtl/>
          <w:lang w:bidi="fa-IR"/>
        </w:rPr>
        <w:t xml:space="preserve"> عَنْهُ </w:t>
      </w:r>
      <w:r w:rsidR="006C577F" w:rsidRPr="006C577F">
        <w:rPr>
          <w:rStyle w:val="libFootnotenumChar"/>
          <w:rtl/>
        </w:rPr>
        <w:t>(8)</w:t>
      </w:r>
      <w:r w:rsidRPr="00C9040A">
        <w:rPr>
          <w:rtl/>
          <w:lang w:bidi="fa-IR"/>
        </w:rPr>
        <w:t xml:space="preserve"> ، عَنْ عَلِيِّ بْنِ الْحَكَمِ ، عَنِ الْحَكَمِ بْنِ أَيْمَنَ ، عَنْ </w:t>
      </w:r>
      <w:r w:rsidR="0034021D">
        <w:rPr>
          <w:rtl/>
          <w:lang w:bidi="fa-IR"/>
        </w:rPr>
        <w:t>دَاوُدَ الْأَبْزَارِيِّ ، قَالَ</w:t>
      </w:r>
      <w:r w:rsidRPr="00C9040A">
        <w:rPr>
          <w:rtl/>
          <w:lang w:bidi="fa-IR"/>
        </w:rPr>
        <w:t>:</w:t>
      </w:r>
    </w:p>
    <w:p w:rsidR="008A74EB" w:rsidRPr="00C9040A" w:rsidRDefault="008A74EB" w:rsidP="008A74EB">
      <w:pPr>
        <w:pStyle w:val="libNormal"/>
        <w:rPr>
          <w:rtl/>
          <w:lang w:bidi="fa-IR"/>
        </w:rPr>
      </w:pPr>
      <w:r w:rsidRPr="00C9040A">
        <w:rPr>
          <w:rtl/>
          <w:lang w:bidi="fa-IR"/>
        </w:rPr>
        <w:t xml:space="preserve">قَالَ أَبُو جَعْفَرٍ </w:t>
      </w:r>
      <w:r w:rsidRPr="0003660B">
        <w:rPr>
          <w:rStyle w:val="libAlaemChar"/>
          <w:rtl/>
        </w:rPr>
        <w:t>عليه‌السلام</w:t>
      </w:r>
      <w:r w:rsidRPr="00C9040A">
        <w:rPr>
          <w:rtl/>
          <w:lang w:bidi="fa-IR"/>
        </w:rPr>
        <w:t xml:space="preserve"> : « مَلَكٌ يُنَادِي </w:t>
      </w:r>
      <w:r w:rsidR="006C577F" w:rsidRPr="006C577F">
        <w:rPr>
          <w:rStyle w:val="libFootnotenumChar"/>
          <w:rtl/>
        </w:rPr>
        <w:t>(9)</w:t>
      </w:r>
      <w:r w:rsidRPr="00C9040A">
        <w:rPr>
          <w:rtl/>
          <w:lang w:bidi="fa-IR"/>
        </w:rPr>
        <w:t xml:space="preserve"> كُلَّ يَوْمٍ : ابْنَ آدَمَ ، لِدْ لِلْمَوْتِ ، وَاجْمَعْ لِلْفَنَاءِ ، وَابْنِ لِلْخَرَابِ »</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هكذا في « ج ، د ، ز ، ص ، ض ، ف ، بر ، بس ، بف » والوافي والوسائل. وفي « ب » والمطبوع : « أولى »</w:t>
      </w:r>
      <w:r w:rsidR="008A74EB">
        <w:rPr>
          <w:rtl/>
        </w:rPr>
        <w:t>.</w:t>
      </w:r>
      <w:r w:rsidR="008A74EB" w:rsidRPr="00C9040A">
        <w:rPr>
          <w:rtl/>
        </w:rPr>
        <w:t xml:space="preserve"> وفي المرآة : « ويؤمي إلى أنّ المذموم من الدنيا ما يضرّ بأمر الآخرة ، فأمّا ما لايضرّ به كقدر الحاجة في البقاء والتعيّش فليس بمذموم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الوافي</w:t>
      </w:r>
      <w:r w:rsidR="008A74EB" w:rsidRPr="00C9040A">
        <w:rPr>
          <w:rtl/>
        </w:rPr>
        <w:t xml:space="preserve"> ، ج 4 ، ص 392 ، ح 2177 ؛ </w:t>
      </w:r>
      <w:r w:rsidR="008A74EB" w:rsidRPr="00993B55">
        <w:rPr>
          <w:rStyle w:val="libFootnoteBoldChar"/>
          <w:rtl/>
        </w:rPr>
        <w:t>البحار</w:t>
      </w:r>
      <w:r w:rsidR="008A74EB" w:rsidRPr="00C9040A">
        <w:rPr>
          <w:rtl/>
        </w:rPr>
        <w:t xml:space="preserve"> ، ج 73 ، ص 61 ، ح 30.</w:t>
      </w:r>
    </w:p>
    <w:p w:rsidR="008A74EB" w:rsidRPr="00C9040A" w:rsidRDefault="006C577F" w:rsidP="004A4E41">
      <w:pPr>
        <w:pStyle w:val="libFootnote0"/>
        <w:rPr>
          <w:rtl/>
          <w:lang w:bidi="fa-IR"/>
        </w:rPr>
      </w:pPr>
      <w:r>
        <w:rPr>
          <w:rtl/>
        </w:rPr>
        <w:t>(3).</w:t>
      </w:r>
      <w:r w:rsidR="008A74EB" w:rsidRPr="00C9040A">
        <w:rPr>
          <w:rtl/>
        </w:rPr>
        <w:t xml:space="preserve"> هكذا في « ج ، ز ، ص ، ض ، بس ، بف ، جر »</w:t>
      </w:r>
      <w:r w:rsidR="008A74EB">
        <w:rPr>
          <w:rtl/>
        </w:rPr>
        <w:t>.</w:t>
      </w:r>
      <w:r w:rsidR="008A74EB" w:rsidRPr="00C9040A">
        <w:rPr>
          <w:rtl/>
        </w:rPr>
        <w:t xml:space="preserve"> وفي « ب ، د ، بر » والمطبوع : « الخزّاز »</w:t>
      </w:r>
      <w:r w:rsidR="008A74EB">
        <w:rPr>
          <w:rtl/>
        </w:rPr>
        <w:t>.</w:t>
      </w:r>
      <w:r w:rsidR="008A74EB" w:rsidRPr="00C9040A">
        <w:rPr>
          <w:rtl/>
        </w:rPr>
        <w:t xml:space="preserve"> وتقدّم في </w:t>
      </w:r>
      <w:r w:rsidR="008A74EB" w:rsidRPr="00993B55">
        <w:rPr>
          <w:rStyle w:val="libFootnoteBoldChar"/>
          <w:rtl/>
        </w:rPr>
        <w:t>الكافي</w:t>
      </w:r>
      <w:r w:rsidR="008A74EB" w:rsidRPr="00C9040A">
        <w:rPr>
          <w:rtl/>
        </w:rPr>
        <w:t xml:space="preserve"> ، ذيل ح 75 ، أنّ الصواب في لقب أبي أيّوب هذا ، هو الخرّاز.</w:t>
      </w:r>
    </w:p>
    <w:p w:rsidR="008A74EB" w:rsidRPr="00C9040A" w:rsidRDefault="006C577F" w:rsidP="004A4E41">
      <w:pPr>
        <w:pStyle w:val="libFootnote0"/>
        <w:rPr>
          <w:rtl/>
          <w:lang w:bidi="fa-IR"/>
        </w:rPr>
      </w:pPr>
      <w:r>
        <w:rPr>
          <w:rtl/>
        </w:rPr>
        <w:t>(4).</w:t>
      </w:r>
      <w:r w:rsidR="008A74EB" w:rsidRPr="00C9040A">
        <w:rPr>
          <w:rtl/>
        </w:rPr>
        <w:t xml:space="preserve"> في الكافي ، ح 4757 : « ما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بر » : « قال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الكافي ، ح 4757 : « ذكره إنسان » بدل « إنسان ذكر الموت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الكافي</w:t>
      </w:r>
      <w:r w:rsidR="008A74EB" w:rsidRPr="00C9040A">
        <w:rPr>
          <w:rtl/>
        </w:rPr>
        <w:t xml:space="preserve"> ، كتاب الجنائز ، باب النوادر ، ح 4757 ، عن عليّ بن إبراهيم ، عن أبيه ، عن ابن أبي عمير ، عن أيّوب ، عن أبي عبيدة ؛ </w:t>
      </w:r>
      <w:r w:rsidR="008A74EB" w:rsidRPr="00993B55">
        <w:rPr>
          <w:rStyle w:val="libFootnoteBoldChar"/>
          <w:rtl/>
        </w:rPr>
        <w:t>الزهد</w:t>
      </w:r>
      <w:r w:rsidR="008A74EB" w:rsidRPr="00C9040A">
        <w:rPr>
          <w:rtl/>
        </w:rPr>
        <w:t xml:space="preserve"> ، ص 149 ، ح 214 ، عن ابن أبي عمير ، عن أبي أيّوب</w:t>
      </w:r>
      <w:r w:rsidR="00E42EFA">
        <w:rPr>
          <w:rFonts w:hint="cs"/>
          <w:rtl/>
        </w:rPr>
        <w:t>.</w:t>
      </w:r>
      <w:r w:rsidR="008A74EB" w:rsidRPr="00993B55">
        <w:rPr>
          <w:rStyle w:val="libFootnoteBoldChar"/>
          <w:rtl/>
        </w:rPr>
        <w:t>الوافي</w:t>
      </w:r>
      <w:r w:rsidR="008A74EB" w:rsidRPr="00C9040A">
        <w:rPr>
          <w:rtl/>
        </w:rPr>
        <w:t xml:space="preserve"> ، ج 4 ، ص 393 ، ح 2178 ؛ </w:t>
      </w:r>
      <w:r w:rsidR="008A74EB" w:rsidRPr="00993B55">
        <w:rPr>
          <w:rStyle w:val="libFootnoteBoldChar"/>
          <w:rtl/>
        </w:rPr>
        <w:t>الوسائل</w:t>
      </w:r>
      <w:r w:rsidR="008A74EB" w:rsidRPr="00C9040A">
        <w:rPr>
          <w:rtl/>
        </w:rPr>
        <w:t xml:space="preserve"> ، ج 2 ، ص 434 ، ح 2568 ؛ </w:t>
      </w:r>
      <w:r w:rsidR="008A74EB" w:rsidRPr="00993B55">
        <w:rPr>
          <w:rStyle w:val="libFootnoteBoldChar"/>
          <w:rtl/>
        </w:rPr>
        <w:t>البحار</w:t>
      </w:r>
      <w:r w:rsidR="008A74EB" w:rsidRPr="00C9040A">
        <w:rPr>
          <w:rtl/>
        </w:rPr>
        <w:t xml:space="preserve"> ، ج 73 ، ص 64 ، ح 31.</w:t>
      </w:r>
    </w:p>
    <w:p w:rsidR="008A74EB" w:rsidRPr="00C9040A" w:rsidRDefault="006C577F" w:rsidP="004A4E41">
      <w:pPr>
        <w:pStyle w:val="libFootnote0"/>
        <w:rPr>
          <w:rtl/>
          <w:lang w:bidi="fa-IR"/>
        </w:rPr>
      </w:pPr>
      <w:r>
        <w:rPr>
          <w:rtl/>
        </w:rPr>
        <w:t>(8).</w:t>
      </w:r>
      <w:r w:rsidR="008A74EB" w:rsidRPr="00C9040A">
        <w:rPr>
          <w:rtl/>
        </w:rPr>
        <w:t xml:space="preserve"> الضمير راجع إلى أحمد بن محمّد بن عيسى المذكور في السند السابق.</w:t>
      </w:r>
    </w:p>
    <w:p w:rsidR="008A74EB" w:rsidRPr="00C9040A" w:rsidRDefault="006C577F" w:rsidP="004A4E41">
      <w:pPr>
        <w:pStyle w:val="libFootnote0"/>
        <w:rPr>
          <w:rtl/>
          <w:lang w:bidi="fa-IR"/>
        </w:rPr>
      </w:pPr>
      <w:r>
        <w:rPr>
          <w:rtl/>
        </w:rPr>
        <w:t>(9).</w:t>
      </w:r>
      <w:r w:rsidR="008A74EB" w:rsidRPr="00C9040A">
        <w:rPr>
          <w:rtl/>
        </w:rPr>
        <w:t xml:space="preserve"> في « د » والوافي : + « في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w:t>
      </w:r>
      <w:r w:rsidR="008A74EB" w:rsidRPr="00993B55">
        <w:rPr>
          <w:rStyle w:val="libFootnoteBoldChar"/>
          <w:rtl/>
        </w:rPr>
        <w:t>الكافي</w:t>
      </w:r>
      <w:r w:rsidR="008A74EB" w:rsidRPr="00C9040A">
        <w:rPr>
          <w:rtl/>
        </w:rPr>
        <w:t xml:space="preserve"> ، كتاب الجنائز ، باب النوادر ، ح 4758 ، عن عليّ بن إبراهيم ، عن أبيه ، عن ابن أبي عمير ، عن الحكم بن أيمن ؛ </w:t>
      </w:r>
      <w:r w:rsidR="008A74EB" w:rsidRPr="00993B55">
        <w:rPr>
          <w:rStyle w:val="libFootnoteBoldChar"/>
          <w:rtl/>
        </w:rPr>
        <w:t>الزهد</w:t>
      </w:r>
      <w:r w:rsidR="008A74EB" w:rsidRPr="00C9040A">
        <w:rPr>
          <w:rtl/>
        </w:rPr>
        <w:t xml:space="preserve"> ، ص 148 ، ح 213 ، عن محمّد بن أبي عمير ، عن الحكم بن أيمن. </w:t>
      </w:r>
      <w:r w:rsidR="008A74EB" w:rsidRPr="00993B55">
        <w:rPr>
          <w:rStyle w:val="libFootnoteBoldChar"/>
          <w:rtl/>
        </w:rPr>
        <w:t>قرب الإسناد</w:t>
      </w:r>
      <w:r w:rsidR="008A74EB" w:rsidRPr="00C9040A">
        <w:rPr>
          <w:rtl/>
        </w:rPr>
        <w:t xml:space="preserve"> ، ص 39 ، ح 125 ، بسند آخر عن أبي عبد الله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الاختصاص</w:t>
      </w:r>
      <w:r w:rsidR="008A74EB" w:rsidRPr="00C9040A">
        <w:rPr>
          <w:rtl/>
        </w:rPr>
        <w:t xml:space="preserve"> ، ص 234 ، مرسلاً عن أبي عبد الله </w:t>
      </w:r>
      <w:r w:rsidR="00117575" w:rsidRPr="00117575">
        <w:rPr>
          <w:rStyle w:val="libFootnoteAlaemChar"/>
          <w:rtl/>
        </w:rPr>
        <w:t>عليه‌السلام</w:t>
      </w:r>
      <w:r w:rsidR="008A74EB" w:rsidRPr="00C9040A">
        <w:rPr>
          <w:rtl/>
        </w:rPr>
        <w:t xml:space="preserve"> ، وفيهما مع اختلاف </w:t>
      </w:r>
      <w:r w:rsidR="00E42EFA">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184992">
        <w:rPr>
          <w:rtl/>
        </w:rPr>
        <w:t>1907</w:t>
      </w:r>
      <w:r w:rsidRPr="00261CB0">
        <w:rPr>
          <w:rStyle w:val="libBold2Char"/>
          <w:rtl/>
        </w:rPr>
        <w:t xml:space="preserve"> / 15.</w:t>
      </w:r>
      <w:r w:rsidRPr="00C9040A">
        <w:rPr>
          <w:rtl/>
          <w:lang w:bidi="fa-IR"/>
        </w:rPr>
        <w:t xml:space="preserve"> عَنْهُ </w:t>
      </w:r>
      <w:r w:rsidR="006C577F" w:rsidRPr="006C577F">
        <w:rPr>
          <w:rStyle w:val="libFootnotenumChar"/>
          <w:rtl/>
        </w:rPr>
        <w:t>(1)</w:t>
      </w:r>
      <w:r w:rsidRPr="00C9040A">
        <w:rPr>
          <w:rtl/>
          <w:lang w:bidi="fa-IR"/>
        </w:rPr>
        <w:t xml:space="preserve"> ، عَنْ عَلِيِّ بْنِ الْحَكَمِ ، عَنْ عُمَرَ بْنِ أَبَانٍ ، عَنْ أَبِي حَمْزَةَ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قَالَ عَلِيُّ بْنُ الْحُسَيْنِ صَلَوَاتُ اللهِ عَلَيْهِمَا : إِنَّ الدُّنْيَا قَدِ ارْتَحَلَتْ مُدْبِرَةً ، وَإِنَّ الْآخِرَةَ قَدِ ارْتَحَلَتْ مُقْبِلَةً ، وَلِكُلِّ وَاحِدَةٍ مِنْهُمَا بَنُونَ ؛ فَكُونُوا مِنْ أَبْنَاءِ الْآخِرَةِ ، وَلَا تَكُونُوا مِنْ أَبْنَاءِ الدُّنْيَا.</w:t>
      </w:r>
    </w:p>
    <w:p w:rsidR="008A74EB" w:rsidRPr="00C9040A" w:rsidRDefault="008A74EB" w:rsidP="008A74EB">
      <w:pPr>
        <w:pStyle w:val="libNormal"/>
        <w:rPr>
          <w:rtl/>
          <w:lang w:bidi="fa-IR"/>
        </w:rPr>
      </w:pPr>
      <w:r w:rsidRPr="00C9040A">
        <w:rPr>
          <w:rtl/>
          <w:lang w:bidi="fa-IR"/>
        </w:rPr>
        <w:t xml:space="preserve">أَلَا وَكُونُوا مِنَ الزَّاهِدِينَ فِي الدُّنْيَا ، الرَّاغِبِينَ </w:t>
      </w:r>
      <w:r w:rsidR="006C577F" w:rsidRPr="006C577F">
        <w:rPr>
          <w:rStyle w:val="libFootnotenumChar"/>
          <w:rtl/>
        </w:rPr>
        <w:t>(2)</w:t>
      </w:r>
      <w:r w:rsidRPr="00C9040A">
        <w:rPr>
          <w:rtl/>
          <w:lang w:bidi="fa-IR"/>
        </w:rPr>
        <w:t xml:space="preserve"> فِي الْآخِرَةِ.</w:t>
      </w:r>
    </w:p>
    <w:p w:rsidR="008A74EB" w:rsidRPr="00C9040A" w:rsidRDefault="008A74EB" w:rsidP="008A74EB">
      <w:pPr>
        <w:pStyle w:val="libNormal"/>
        <w:rPr>
          <w:rtl/>
          <w:lang w:bidi="fa-IR"/>
        </w:rPr>
      </w:pPr>
      <w:r w:rsidRPr="00C9040A">
        <w:rPr>
          <w:rtl/>
          <w:lang w:bidi="fa-IR"/>
        </w:rPr>
        <w:t xml:space="preserve">أَلَا إِنَّ الزَّاهِدِينَ فِي الدُّنْيَا اتَّخَذُوا الْأَرْضَ بِسَاطاً ، وَالتُّرَابَ فِرَاشاً ، وَالْمَاءَ طِيباً ، وَقُرِّضُوا مِنَ الدُّنْيَا تَقْرِيضاً </w:t>
      </w:r>
      <w:r w:rsidR="006C577F" w:rsidRPr="006C577F">
        <w:rPr>
          <w:rStyle w:val="libFootnotenumChar"/>
          <w:rtl/>
        </w:rPr>
        <w:t>(3)</w:t>
      </w:r>
      <w:r w:rsidR="00861FB5" w:rsidRPr="00861FB5">
        <w:rPr>
          <w:rFonts w:hint="cs"/>
          <w:rtl/>
        </w:rPr>
        <w:t>.</w:t>
      </w:r>
    </w:p>
    <w:p w:rsidR="008A74EB" w:rsidRPr="00C9040A" w:rsidRDefault="008A74EB" w:rsidP="008A74EB">
      <w:pPr>
        <w:pStyle w:val="libNormal"/>
        <w:rPr>
          <w:rtl/>
          <w:lang w:bidi="fa-IR"/>
        </w:rPr>
      </w:pPr>
      <w:r w:rsidRPr="00C9040A">
        <w:rPr>
          <w:rtl/>
          <w:lang w:bidi="fa-IR"/>
        </w:rPr>
        <w:t xml:space="preserve">أَلَا وَمَنِ اشْتَاقَ إِلَى الْجَنَّةِ سَلَا </w:t>
      </w:r>
      <w:r w:rsidR="006C577F" w:rsidRPr="006C577F">
        <w:rPr>
          <w:rStyle w:val="libFootnotenumChar"/>
          <w:rtl/>
        </w:rPr>
        <w:t>(4)</w:t>
      </w:r>
      <w:r w:rsidRPr="00C9040A">
        <w:rPr>
          <w:rtl/>
          <w:lang w:bidi="fa-IR"/>
        </w:rPr>
        <w:t xml:space="preserve"> عَنِ الشَّهَوَاتِ ، وَمَنْ أَشْفَقَ مِنَ النَّارِ رَجَعَ عَنِ الْمُحَرَّمَاتِ </w:t>
      </w:r>
      <w:r w:rsidR="006C577F" w:rsidRPr="006C577F">
        <w:rPr>
          <w:rStyle w:val="libFootnotenumChar"/>
          <w:rtl/>
        </w:rPr>
        <w:t>(5)</w:t>
      </w:r>
      <w:r w:rsidRPr="00C9040A">
        <w:rPr>
          <w:rtl/>
          <w:lang w:bidi="fa-IR"/>
        </w:rPr>
        <w:t xml:space="preserve"> ، وَمَنْ زَهِدَ فِي الدُّنْيَا هَانَتْ عَلَيْهِ الْمَصَائِبُ.</w:t>
      </w:r>
    </w:p>
    <w:p w:rsidR="008A74EB" w:rsidRPr="00C9040A" w:rsidRDefault="008A74EB" w:rsidP="008A74EB">
      <w:pPr>
        <w:pStyle w:val="libNormal"/>
        <w:rPr>
          <w:rtl/>
          <w:lang w:bidi="fa-IR"/>
        </w:rPr>
      </w:pPr>
      <w:r w:rsidRPr="00C9040A">
        <w:rPr>
          <w:rtl/>
          <w:lang w:bidi="fa-IR"/>
        </w:rPr>
        <w:t xml:space="preserve">أَلَا إِنَّ لِلّهِ عِبَاداً كَمَنْ رَأى أَهْلَ الْجَنَّةِ فِي الْجَنَّةِ مُخَلَّدِينَ </w:t>
      </w:r>
      <w:r w:rsidR="006C577F" w:rsidRPr="006C577F">
        <w:rPr>
          <w:rStyle w:val="libFootnotenumChar"/>
          <w:rtl/>
        </w:rPr>
        <w:t>(6)</w:t>
      </w:r>
      <w:r w:rsidRPr="005B567D">
        <w:rPr>
          <w:rStyle w:val="libFootnotenumChar"/>
          <w:rtl/>
        </w:rPr>
        <w:t xml:space="preserve"> </w:t>
      </w:r>
      <w:r w:rsidRPr="00C9040A">
        <w:rPr>
          <w:rtl/>
          <w:lang w:bidi="fa-IR"/>
        </w:rPr>
        <w:t xml:space="preserve">، وَكَمَنْ رَأى أَهْلَ النَّارِ فِي النَّارِ مُعَذَّبِينَ ، شُرُورُهُمْ مَأْمُونَةٌ ، وَقُلُوبُهُمْ مَحْزُونَةٌ ؛ أَنْفُسُهُمْ </w:t>
      </w:r>
      <w:r w:rsidR="006C577F" w:rsidRPr="006C577F">
        <w:rPr>
          <w:rStyle w:val="libFootnotenumChar"/>
          <w:rtl/>
        </w:rPr>
        <w:t>(7)</w:t>
      </w:r>
      <w:r w:rsidRPr="00C9040A">
        <w:rPr>
          <w:rtl/>
          <w:lang w:bidi="fa-IR"/>
        </w:rPr>
        <w:t xml:space="preserve"> عَفِيفَةٌ ، وَحَوَائِجُهُمْ خَفِيفَةٌ </w:t>
      </w:r>
      <w:r w:rsidR="006C577F" w:rsidRPr="006C577F">
        <w:rPr>
          <w:rStyle w:val="libFootnotenumChar"/>
          <w:rtl/>
        </w:rPr>
        <w:t>(8)</w:t>
      </w:r>
      <w:r w:rsidRPr="00C9040A">
        <w:rPr>
          <w:rtl/>
          <w:lang w:bidi="fa-IR"/>
        </w:rPr>
        <w:t xml:space="preserve"> ؛ صَبَرُوا </w:t>
      </w:r>
      <w:r w:rsidR="006C577F" w:rsidRPr="006C577F">
        <w:rPr>
          <w:rStyle w:val="libFootnotenumChar"/>
          <w:rtl/>
        </w:rPr>
        <w:t>(9)</w:t>
      </w:r>
      <w:r w:rsidRPr="00C9040A">
        <w:rPr>
          <w:rtl/>
          <w:lang w:bidi="fa-IR"/>
        </w:rPr>
        <w:t xml:space="preserve"> أَيَّاماً قَلِيلَةً ، فَصَارُوا بِعُقْبى رَاحَةٍ طَوِيلَةٍ.</w:t>
      </w:r>
    </w:p>
    <w:p w:rsidR="008A74EB" w:rsidRPr="00C9040A" w:rsidRDefault="008A74EB" w:rsidP="008A74EB">
      <w:pPr>
        <w:pStyle w:val="libNormal"/>
        <w:rPr>
          <w:rtl/>
          <w:lang w:bidi="fa-IR"/>
        </w:rPr>
      </w:pPr>
      <w:r w:rsidRPr="00C9040A">
        <w:rPr>
          <w:rtl/>
          <w:lang w:bidi="fa-IR"/>
        </w:rPr>
        <w:t xml:space="preserve">أَمَّا اللَّيْلَ فَصَافُّونَ </w:t>
      </w:r>
      <w:r w:rsidR="006C577F" w:rsidRPr="006C577F">
        <w:rPr>
          <w:rStyle w:val="libFootnotenumChar"/>
          <w:rtl/>
        </w:rPr>
        <w:t>(10)</w:t>
      </w:r>
      <w:r w:rsidRPr="00C9040A">
        <w:rPr>
          <w:rtl/>
          <w:lang w:bidi="fa-IR"/>
        </w:rPr>
        <w:t xml:space="preserve"> أَقْدَامَهُمْ ، تَجْرِي دُمُوعُهُمْ عَلى خُدُودِهِمْ ، وَهُمْ‌</w:t>
      </w:r>
      <w:r w:rsidR="00861FB5">
        <w:rPr>
          <w:rFonts w:hint="cs"/>
          <w:rtl/>
          <w:lang w:bidi="fa-IR"/>
        </w:rPr>
        <w:t>.............</w:t>
      </w:r>
      <w:r w:rsidR="00861FB5">
        <w:rPr>
          <w:rFonts w:hint="cs"/>
          <w:rtl/>
          <w:lang w:bidi="fa-IR"/>
        </w:rPr>
        <w:tab/>
      </w:r>
    </w:p>
    <w:p w:rsidR="008A74EB" w:rsidRPr="00C9040A" w:rsidRDefault="008A74EB" w:rsidP="008A74EB">
      <w:pPr>
        <w:pStyle w:val="libLine"/>
        <w:rPr>
          <w:rtl/>
          <w:lang w:bidi="fa-IR"/>
        </w:rPr>
      </w:pPr>
      <w:r w:rsidRPr="00C9040A">
        <w:rPr>
          <w:rtl/>
          <w:lang w:bidi="fa-IR"/>
        </w:rPr>
        <w:t>__________________</w:t>
      </w:r>
    </w:p>
    <w:p w:rsidR="008A74EB" w:rsidRPr="004A4E41" w:rsidRDefault="00C25638" w:rsidP="004A4E41">
      <w:pPr>
        <w:pStyle w:val="libFootnote0"/>
        <w:rPr>
          <w:rStyle w:val="libFootnote0Char"/>
          <w:rtl/>
        </w:rPr>
      </w:pPr>
      <w:r>
        <w:rPr>
          <w:rFonts w:hint="cs"/>
          <w:rtl/>
        </w:rPr>
        <w:t xml:space="preserve">= </w:t>
      </w:r>
      <w:r w:rsidR="008A74EB" w:rsidRPr="00C9040A">
        <w:rPr>
          <w:rtl/>
        </w:rPr>
        <w:t xml:space="preserve">يسير وزيادة في أوّله. وفي </w:t>
      </w:r>
      <w:r w:rsidR="008A74EB" w:rsidRPr="00993B55">
        <w:rPr>
          <w:rStyle w:val="libFootnoteBoldChar"/>
          <w:rtl/>
        </w:rPr>
        <w:t>نهج البلاغة</w:t>
      </w:r>
      <w:r w:rsidR="008A74EB" w:rsidRPr="00C9040A">
        <w:rPr>
          <w:rtl/>
        </w:rPr>
        <w:t xml:space="preserve"> ، ص 493 ، الحكمة 132 ؛ و</w:t>
      </w:r>
      <w:r w:rsidR="008A74EB" w:rsidRPr="00993B55">
        <w:rPr>
          <w:rStyle w:val="libFootnoteBoldChar"/>
          <w:rtl/>
        </w:rPr>
        <w:t>خصائص الأئمّة</w:t>
      </w:r>
      <w:r w:rsidR="008A74EB" w:rsidRPr="00C9040A">
        <w:rPr>
          <w:rtl/>
        </w:rPr>
        <w:t xml:space="preserve"> </w:t>
      </w:r>
      <w:r w:rsidR="00117575" w:rsidRPr="00117575">
        <w:rPr>
          <w:rStyle w:val="libFootnoteAlaemChar"/>
          <w:rtl/>
        </w:rPr>
        <w:t>عليهم‌السلام</w:t>
      </w:r>
      <w:r w:rsidR="008A74EB" w:rsidRPr="00C9040A">
        <w:rPr>
          <w:rtl/>
        </w:rPr>
        <w:t xml:space="preserve"> ، ص 103 ، مرسلاًعن عليّ </w:t>
      </w:r>
      <w:r w:rsidR="00117575" w:rsidRPr="00117575">
        <w:rPr>
          <w:rStyle w:val="libFootnoteAlaemChar"/>
          <w:rtl/>
        </w:rPr>
        <w:t xml:space="preserve">عليه‌السلام </w:t>
      </w:r>
      <w:r w:rsidR="008A74EB" w:rsidRPr="00C9040A">
        <w:rPr>
          <w:rtl/>
        </w:rPr>
        <w:t xml:space="preserve"> ، مع اختلاف يسير </w:t>
      </w:r>
      <w:r w:rsidR="008A74EB" w:rsidRPr="00993B55">
        <w:rPr>
          <w:rStyle w:val="libFootnoteBoldChar"/>
          <w:rtl/>
        </w:rPr>
        <w:t>الوافي</w:t>
      </w:r>
      <w:r w:rsidR="008A74EB" w:rsidRPr="00C9040A">
        <w:rPr>
          <w:rtl/>
        </w:rPr>
        <w:t xml:space="preserve"> ، ج 4 ، ص 393 ، ح 2179 ؛ </w:t>
      </w:r>
      <w:r w:rsidR="008A74EB" w:rsidRPr="00993B55">
        <w:rPr>
          <w:rStyle w:val="libFootnoteBoldChar"/>
          <w:rtl/>
        </w:rPr>
        <w:t>البحار</w:t>
      </w:r>
      <w:r w:rsidR="008A74EB" w:rsidRPr="00C9040A">
        <w:rPr>
          <w:rtl/>
        </w:rPr>
        <w:t xml:space="preserve"> ، ج 73 ، ص 64 ، ح 32.</w:t>
      </w:r>
    </w:p>
    <w:tbl>
      <w:tblPr>
        <w:tblStyle w:val="TableGrid"/>
        <w:bidiVisual/>
        <w:tblW w:w="0" w:type="auto"/>
        <w:tblLook w:val="04A0" w:firstRow="1" w:lastRow="0" w:firstColumn="1" w:lastColumn="0" w:noHBand="0" w:noVBand="1"/>
      </w:tblPr>
      <w:tblGrid>
        <w:gridCol w:w="4006"/>
        <w:gridCol w:w="4006"/>
      </w:tblGrid>
      <w:tr w:rsidR="000E3555" w:rsidTr="000E3555">
        <w:tc>
          <w:tcPr>
            <w:tcW w:w="4006" w:type="dxa"/>
          </w:tcPr>
          <w:p w:rsidR="000E3555" w:rsidRDefault="000E3555" w:rsidP="004A4E41">
            <w:pPr>
              <w:pStyle w:val="libFootnote0"/>
              <w:rPr>
                <w:rtl/>
              </w:rPr>
            </w:pPr>
            <w:r>
              <w:rPr>
                <w:rtl/>
              </w:rPr>
              <w:t xml:space="preserve">(1). </w:t>
            </w:r>
            <w:r w:rsidRPr="00C9040A">
              <w:rPr>
                <w:rtl/>
              </w:rPr>
              <w:t>الضمير راجع إلى أحمد بن محمّد بن عيسى.</w:t>
            </w:r>
          </w:p>
        </w:tc>
        <w:tc>
          <w:tcPr>
            <w:tcW w:w="4006" w:type="dxa"/>
          </w:tcPr>
          <w:p w:rsidR="000E3555" w:rsidRDefault="000E3555" w:rsidP="004A4E41">
            <w:pPr>
              <w:pStyle w:val="libFootnote0"/>
              <w:rPr>
                <w:rtl/>
              </w:rPr>
            </w:pPr>
            <w:r>
              <w:rPr>
                <w:rtl/>
              </w:rPr>
              <w:t xml:space="preserve">(2). </w:t>
            </w:r>
            <w:r w:rsidRPr="00C9040A">
              <w:rPr>
                <w:rtl/>
              </w:rPr>
              <w:t>في « ف » : « والراغبين »</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في حاشية « بف » : « قرضاً »</w:t>
      </w:r>
      <w:r w:rsidR="008A74EB">
        <w:rPr>
          <w:rtl/>
        </w:rPr>
        <w:t>.</w:t>
      </w:r>
      <w:r w:rsidR="008A74EB" w:rsidRPr="00C9040A">
        <w:rPr>
          <w:rtl/>
        </w:rPr>
        <w:t xml:space="preserve"> وفي </w:t>
      </w:r>
      <w:r w:rsidR="008A74EB" w:rsidRPr="00993B55">
        <w:rPr>
          <w:rStyle w:val="libFootnoteBoldChar"/>
          <w:rtl/>
        </w:rPr>
        <w:t>الوافي</w:t>
      </w:r>
      <w:r w:rsidR="008A74EB" w:rsidRPr="00C9040A">
        <w:rPr>
          <w:rtl/>
        </w:rPr>
        <w:t xml:space="preserve"> : « القرض : القطع ، أي قطعوا أنفسهم من الدنيا تقطيعاً بإقلاع قلوبهم عنها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سلوتُ عنه سُلُوّاً : صبرت ، وسلاه وعنه : نَسِيَه. والاسم : السَّلوة ، ويضمّ. </w:t>
      </w:r>
      <w:r w:rsidR="008A74EB" w:rsidRPr="00993B55">
        <w:rPr>
          <w:rStyle w:val="libFootnoteBoldChar"/>
          <w:rtl/>
        </w:rPr>
        <w:t>المصباح المنير</w:t>
      </w:r>
      <w:r w:rsidR="008A74EB" w:rsidRPr="00C9040A">
        <w:rPr>
          <w:rtl/>
        </w:rPr>
        <w:t xml:space="preserve"> ، ص 287 ؛ </w:t>
      </w:r>
      <w:r w:rsidR="008A74EB" w:rsidRPr="00993B55">
        <w:rPr>
          <w:rStyle w:val="libFootnoteBoldChar"/>
          <w:rtl/>
        </w:rPr>
        <w:t>القاموس‌المحيط</w:t>
      </w:r>
      <w:r w:rsidR="008A74EB" w:rsidRPr="00C9040A">
        <w:rPr>
          <w:rtl/>
        </w:rPr>
        <w:t xml:space="preserve"> ، ج 2 ، ص 1700 ( سلو )</w:t>
      </w:r>
      <w:r w:rsidR="008A74EB">
        <w:rPr>
          <w:rtl/>
        </w:rPr>
        <w:t>.</w:t>
      </w:r>
      <w:r w:rsidR="004350B1">
        <w:rPr>
          <w:rFonts w:hint="cs"/>
          <w:rtl/>
        </w:rPr>
        <w:t xml:space="preserve">         </w:t>
      </w:r>
      <w:r w:rsidR="000221A3">
        <w:rPr>
          <w:rFonts w:hint="cs"/>
          <w:rtl/>
        </w:rPr>
        <w:t xml:space="preserve"> </w:t>
      </w:r>
      <w:r w:rsidR="004350B1">
        <w:rPr>
          <w:rFonts w:hint="cs"/>
          <w:rtl/>
        </w:rPr>
        <w:t xml:space="preserve">   </w:t>
      </w:r>
      <w:r>
        <w:rPr>
          <w:rtl/>
        </w:rPr>
        <w:t>(5).</w:t>
      </w:r>
      <w:r w:rsidR="008A74EB" w:rsidRPr="00C9040A">
        <w:rPr>
          <w:rtl/>
        </w:rPr>
        <w:t xml:space="preserve"> في حاشية « بر » والوافي : « الحرمات »</w:t>
      </w:r>
      <w:r w:rsidR="008A74EB">
        <w:rPr>
          <w:rtl/>
        </w:rPr>
        <w:t>.</w:t>
      </w:r>
    </w:p>
    <w:p w:rsidR="008A74EB" w:rsidRPr="004A4E41" w:rsidRDefault="006C577F" w:rsidP="004A4E41">
      <w:pPr>
        <w:pStyle w:val="libFootnote0"/>
        <w:rPr>
          <w:rStyle w:val="libFootnote0Char"/>
          <w:rtl/>
        </w:rPr>
      </w:pPr>
      <w:r>
        <w:rPr>
          <w:rtl/>
        </w:rPr>
        <w:t>(6).</w:t>
      </w:r>
      <w:r w:rsidR="008A74EB">
        <w:rPr>
          <w:rtl/>
        </w:rPr>
        <w:t xml:space="preserve"> </w:t>
      </w:r>
      <w:r w:rsidR="008A74EB" w:rsidRPr="00C9040A">
        <w:rPr>
          <w:rtl/>
        </w:rPr>
        <w:t xml:space="preserve">في </w:t>
      </w:r>
      <w:r w:rsidR="008A74EB" w:rsidRPr="00993B55">
        <w:rPr>
          <w:rStyle w:val="libFootnoteBoldChar"/>
          <w:rtl/>
        </w:rPr>
        <w:t>مرآة العقول</w:t>
      </w:r>
      <w:r w:rsidR="008A74EB" w:rsidRPr="00C9040A">
        <w:rPr>
          <w:rtl/>
        </w:rPr>
        <w:t xml:space="preserve"> : « ومن الأفاضل من قرأ : مخلدين ، على بناء الفاعل من الإفعال من قولهم : أخلد إليه ، أي مال. ولا يخفى بعده »</w:t>
      </w:r>
      <w:r w:rsidR="008A74EB">
        <w:rPr>
          <w:rtl/>
        </w:rPr>
        <w:t>.</w:t>
      </w:r>
      <w:r w:rsidR="004350B1">
        <w:rPr>
          <w:rFonts w:hint="cs"/>
          <w:rtl/>
        </w:rPr>
        <w:t xml:space="preserve">                                   </w:t>
      </w:r>
      <w:r w:rsidR="000221A3">
        <w:rPr>
          <w:rFonts w:hint="cs"/>
          <w:rtl/>
        </w:rPr>
        <w:t xml:space="preserve"> </w:t>
      </w:r>
      <w:r w:rsidR="004350B1">
        <w:rPr>
          <w:rFonts w:hint="cs"/>
          <w:rtl/>
        </w:rPr>
        <w:t xml:space="preserve">    </w:t>
      </w:r>
      <w:r>
        <w:rPr>
          <w:rtl/>
        </w:rPr>
        <w:t>(7).</w:t>
      </w:r>
      <w:r w:rsidR="008A74EB" w:rsidRPr="00C9040A">
        <w:rPr>
          <w:rtl/>
        </w:rPr>
        <w:t xml:space="preserve"> في « ف ، بف » : « وأنفسهم »</w:t>
      </w:r>
      <w:r w:rsidR="008A74EB">
        <w:rPr>
          <w:rtl/>
        </w:rPr>
        <w:t>.</w:t>
      </w:r>
    </w:p>
    <w:tbl>
      <w:tblPr>
        <w:tblStyle w:val="TableGrid"/>
        <w:bidiVisual/>
        <w:tblW w:w="0" w:type="auto"/>
        <w:tblLook w:val="04A0" w:firstRow="1" w:lastRow="0" w:firstColumn="1" w:lastColumn="0" w:noHBand="0" w:noVBand="1"/>
      </w:tblPr>
      <w:tblGrid>
        <w:gridCol w:w="4006"/>
        <w:gridCol w:w="4006"/>
      </w:tblGrid>
      <w:tr w:rsidR="000221A3" w:rsidTr="000221A3">
        <w:tc>
          <w:tcPr>
            <w:tcW w:w="4006" w:type="dxa"/>
          </w:tcPr>
          <w:p w:rsidR="000221A3" w:rsidRDefault="000221A3" w:rsidP="004A4E41">
            <w:pPr>
              <w:pStyle w:val="libFootnote0"/>
              <w:rPr>
                <w:rtl/>
              </w:rPr>
            </w:pPr>
            <w:r>
              <w:rPr>
                <w:rtl/>
              </w:rPr>
              <w:t>(8).</w:t>
            </w:r>
            <w:r w:rsidRPr="00C9040A">
              <w:rPr>
                <w:rtl/>
              </w:rPr>
              <w:t xml:space="preserve"> في « ز » : « مقضيّة »</w:t>
            </w:r>
            <w:r>
              <w:rPr>
                <w:rtl/>
              </w:rPr>
              <w:t>.</w:t>
            </w:r>
          </w:p>
        </w:tc>
        <w:tc>
          <w:tcPr>
            <w:tcW w:w="4006" w:type="dxa"/>
          </w:tcPr>
          <w:p w:rsidR="000221A3" w:rsidRDefault="000221A3" w:rsidP="004A4E41">
            <w:pPr>
              <w:pStyle w:val="libFootnote0"/>
              <w:rPr>
                <w:rtl/>
              </w:rPr>
            </w:pPr>
            <w:r>
              <w:rPr>
                <w:rtl/>
              </w:rPr>
              <w:t>(9).</w:t>
            </w:r>
            <w:r w:rsidRPr="00C9040A">
              <w:rPr>
                <w:rtl/>
              </w:rPr>
              <w:t xml:space="preserve"> في « ف » : « صبّروا » بالتشديد.</w:t>
            </w:r>
          </w:p>
        </w:tc>
      </w:tr>
    </w:tbl>
    <w:p w:rsidR="008A74EB" w:rsidRPr="00C9040A" w:rsidRDefault="006C577F" w:rsidP="004A4E41">
      <w:pPr>
        <w:pStyle w:val="libFootnote0"/>
        <w:rPr>
          <w:rtl/>
          <w:lang w:bidi="fa-IR"/>
        </w:rPr>
      </w:pPr>
      <w:r>
        <w:rPr>
          <w:rtl/>
        </w:rPr>
        <w:t>(10).</w:t>
      </w:r>
      <w:r w:rsidR="008A74EB" w:rsidRPr="00C9040A">
        <w:rPr>
          <w:rtl/>
        </w:rPr>
        <w:t xml:space="preserve"> في الوافي : « فصافّوا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يَجْأَرُونَ </w:t>
      </w:r>
      <w:r w:rsidR="006C577F" w:rsidRPr="006C577F">
        <w:rPr>
          <w:rStyle w:val="libFootnotenumChar"/>
          <w:rtl/>
        </w:rPr>
        <w:t>(1)</w:t>
      </w:r>
      <w:r w:rsidRPr="00C9040A">
        <w:rPr>
          <w:rtl/>
          <w:lang w:bidi="fa-IR"/>
        </w:rPr>
        <w:t xml:space="preserve"> إِلى رَبِّهِمْ ، يَسْعَوْنَ فِي فَكَاكِ رِقَابِهِمْ.</w:t>
      </w:r>
    </w:p>
    <w:p w:rsidR="008A74EB" w:rsidRPr="00C9040A" w:rsidRDefault="008A74EB" w:rsidP="005811DD">
      <w:pPr>
        <w:pStyle w:val="libNormal"/>
        <w:rPr>
          <w:rtl/>
          <w:lang w:bidi="fa-IR"/>
        </w:rPr>
      </w:pPr>
      <w:r w:rsidRPr="00C9040A">
        <w:rPr>
          <w:rtl/>
          <w:lang w:bidi="fa-IR"/>
        </w:rPr>
        <w:t xml:space="preserve">وَأَمَّا النَّهَارَ </w:t>
      </w:r>
      <w:r w:rsidR="006C577F" w:rsidRPr="006C577F">
        <w:rPr>
          <w:rStyle w:val="libFootnotenumChar"/>
          <w:rtl/>
        </w:rPr>
        <w:t>(2)</w:t>
      </w:r>
      <w:r w:rsidRPr="00C9040A">
        <w:rPr>
          <w:rtl/>
          <w:lang w:bidi="fa-IR"/>
        </w:rPr>
        <w:t xml:space="preserve"> فَحُلَمَاءُ </w:t>
      </w:r>
      <w:r w:rsidR="006C577F" w:rsidRPr="006C577F">
        <w:rPr>
          <w:rStyle w:val="libFootnotenumChar"/>
          <w:rtl/>
        </w:rPr>
        <w:t>(3)</w:t>
      </w:r>
      <w:r w:rsidRPr="00C9040A">
        <w:rPr>
          <w:rtl/>
          <w:lang w:bidi="fa-IR"/>
        </w:rPr>
        <w:t xml:space="preserve"> ، عُلَمَاءُ ، بَرَرَةٌ ، أَتْقِيَاءُ ، كَأَنَّهُمْ الْقِدَاحُ </w:t>
      </w:r>
      <w:r w:rsidR="006C577F" w:rsidRPr="006C577F">
        <w:rPr>
          <w:rStyle w:val="libFootnotenumChar"/>
          <w:rtl/>
        </w:rPr>
        <w:t>(4)</w:t>
      </w:r>
      <w:r w:rsidRPr="00C9040A">
        <w:rPr>
          <w:rtl/>
          <w:lang w:bidi="fa-IR"/>
        </w:rPr>
        <w:t xml:space="preserve"> قَدْ بَرَاهُمُ </w:t>
      </w:r>
      <w:r w:rsidR="006C577F" w:rsidRPr="006C577F">
        <w:rPr>
          <w:rStyle w:val="libFootnotenumChar"/>
          <w:rtl/>
        </w:rPr>
        <w:t>(5)</w:t>
      </w:r>
      <w:r w:rsidRPr="00C9040A">
        <w:rPr>
          <w:rtl/>
          <w:lang w:bidi="fa-IR"/>
        </w:rPr>
        <w:t xml:space="preserve"> الْخَوْفُ مِنَ الْعِبَادَةِ ، يَنْظُرُ إِلَيْهِمُ النَّاظِرُ ، فَيَقُولُ : مَرْضى </w:t>
      </w:r>
      <w:r w:rsidR="006C577F" w:rsidRPr="006C577F">
        <w:rPr>
          <w:rStyle w:val="libFootnotenumChar"/>
          <w:rtl/>
        </w:rPr>
        <w:t>(6)</w:t>
      </w:r>
      <w:r w:rsidR="005811DD">
        <w:rPr>
          <w:rtl/>
          <w:lang w:bidi="fa-IR"/>
        </w:rPr>
        <w:t xml:space="preserve"> </w:t>
      </w:r>
      <w:r w:rsidR="0084262C">
        <w:rPr>
          <w:rtl/>
          <w:lang w:bidi="fa-IR"/>
        </w:rPr>
        <w:t>-</w:t>
      </w:r>
      <w:r>
        <w:rPr>
          <w:rtl/>
          <w:lang w:bidi="fa-IR"/>
        </w:rPr>
        <w:t xml:space="preserve"> </w:t>
      </w:r>
      <w:r w:rsidRPr="00C9040A">
        <w:rPr>
          <w:rtl/>
          <w:lang w:bidi="fa-IR"/>
        </w:rPr>
        <w:t xml:space="preserve">وَمَا بِالْقَوْمِ مِنْ </w:t>
      </w:r>
      <w:r w:rsidR="006C577F" w:rsidRPr="006C577F">
        <w:rPr>
          <w:rStyle w:val="libFootnotenumChar"/>
          <w:rtl/>
        </w:rPr>
        <w:t>(7)</w:t>
      </w:r>
      <w:r w:rsidRPr="00C9040A">
        <w:rPr>
          <w:rtl/>
          <w:lang w:bidi="fa-IR"/>
        </w:rPr>
        <w:t xml:space="preserve"> مَرَضٍ</w:t>
      </w:r>
      <w:r>
        <w:rPr>
          <w:rtl/>
          <w:lang w:bidi="fa-IR"/>
        </w:rPr>
        <w:t xml:space="preserve"> </w:t>
      </w:r>
      <w:r w:rsidR="0084262C">
        <w:rPr>
          <w:rtl/>
          <w:lang w:bidi="fa-IR"/>
        </w:rPr>
        <w:t>-</w:t>
      </w:r>
      <w:r>
        <w:rPr>
          <w:rtl/>
          <w:lang w:bidi="fa-IR"/>
        </w:rPr>
        <w:t xml:space="preserve"> </w:t>
      </w:r>
      <w:r w:rsidRPr="00C9040A">
        <w:rPr>
          <w:rtl/>
          <w:lang w:bidi="fa-IR"/>
        </w:rPr>
        <w:t xml:space="preserve">أَمْ </w:t>
      </w:r>
      <w:r w:rsidR="006C577F" w:rsidRPr="006C577F">
        <w:rPr>
          <w:rStyle w:val="libFootnotenumChar"/>
          <w:rtl/>
        </w:rPr>
        <w:t>(8)</w:t>
      </w:r>
      <w:r w:rsidRPr="00C9040A">
        <w:rPr>
          <w:rtl/>
          <w:lang w:bidi="fa-IR"/>
        </w:rPr>
        <w:t xml:space="preserve"> خُولِطُوا فَقَدْ خَالَطَ الْقَوْمَ أَمْرٌ عَظِيمٌ مِنْ ذِكْرِ النَّارِ وَمَا فِيهَا »</w:t>
      </w:r>
      <w:r>
        <w:rPr>
          <w:rtl/>
          <w:lang w:bidi="fa-IR"/>
        </w:rPr>
        <w:t>.</w:t>
      </w:r>
      <w:r w:rsidRPr="00C9040A">
        <w:rPr>
          <w:rtl/>
          <w:lang w:bidi="fa-IR"/>
        </w:rPr>
        <w:t xml:space="preserve"> </w:t>
      </w:r>
      <w:r w:rsidR="006C577F" w:rsidRPr="006C577F">
        <w:rPr>
          <w:rStyle w:val="libFootnotenumChar"/>
          <w:rtl/>
        </w:rPr>
        <w:t>(9)</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جأر القوم إلى الله جُؤاراً : وهو أن يرفعوا أصواتهم إلى الله متضرّعين. </w:t>
      </w:r>
      <w:r w:rsidR="008A74EB" w:rsidRPr="00993B55">
        <w:rPr>
          <w:rStyle w:val="libFootnoteBoldChar"/>
          <w:rtl/>
        </w:rPr>
        <w:t>ترتيب كتاب العين</w:t>
      </w:r>
      <w:r w:rsidR="008A74EB" w:rsidRPr="00C9040A">
        <w:rPr>
          <w:rtl/>
        </w:rPr>
        <w:t xml:space="preserve"> ، ج 1 ، ص 256 ( جأر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w:t>
      </w:r>
      <w:r w:rsidR="008A74EB" w:rsidRPr="00993B55">
        <w:rPr>
          <w:rStyle w:val="libFootnoteBoldChar"/>
          <w:rtl/>
        </w:rPr>
        <w:t>شرح المازندراني</w:t>
      </w:r>
      <w:r w:rsidR="008A74EB" w:rsidRPr="00C9040A">
        <w:rPr>
          <w:rtl/>
        </w:rPr>
        <w:t xml:space="preserve"> ، ج 8 ، ص 391 : « أمّا النهار ، عطف على أمّا الليل ، وكلاهما يجوز فيه الرفع على الابتداءوالنصب على الظرفيّة »</w:t>
      </w:r>
      <w:r w:rsidR="008A74EB">
        <w:rPr>
          <w:rtl/>
        </w:rPr>
        <w:t>.</w:t>
      </w:r>
      <w:r w:rsidR="009E23A8">
        <w:rPr>
          <w:rFonts w:hint="cs"/>
          <w:rtl/>
        </w:rPr>
        <w:t xml:space="preserve">                                  </w:t>
      </w:r>
      <w:r>
        <w:rPr>
          <w:rtl/>
        </w:rPr>
        <w:t>(3).</w:t>
      </w:r>
      <w:r w:rsidR="008A74EB" w:rsidRPr="00C9040A">
        <w:rPr>
          <w:rtl/>
        </w:rPr>
        <w:t xml:space="preserve"> في البحار : « فحكماء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 القِداح » : جمع القِدْح ، وهو السهم الذي يُرمى به عن القَوس. يقال للسهم أوّل ما يقطع : قِطْع ، ثمّ يُنْحت ويبرى فيسمّى : بَرْياً ، ثمّ يقوّم فيسمّى : قِدحاً ، ثمّ يُراش ويركّب نصلُه فيسمّى : سهماً. وفي </w:t>
      </w:r>
      <w:r w:rsidR="008A74EB" w:rsidRPr="00993B55">
        <w:rPr>
          <w:rStyle w:val="libFootnoteBoldChar"/>
          <w:rtl/>
        </w:rPr>
        <w:t>الوافي</w:t>
      </w:r>
      <w:r w:rsidR="008A74EB" w:rsidRPr="00C9040A">
        <w:rPr>
          <w:rtl/>
        </w:rPr>
        <w:t xml:space="preserve"> : « شبّههم في نحافة أبدانهم بالأسهم ، ثمّ ذكر ما يستعمل في السهم ، أغني البري ، وهو النحت من العبادة ، أي من كثرتها ، إن تعلّق بقوله : كأنّهم القداح ؛ أو من قلّتها ، إنّ تعلّق بالخوف »</w:t>
      </w:r>
      <w:r w:rsidR="008A74EB">
        <w:rPr>
          <w:rtl/>
        </w:rPr>
        <w:t>.</w:t>
      </w:r>
      <w:r w:rsidR="008A74EB" w:rsidRPr="00C9040A">
        <w:rPr>
          <w:rtl/>
        </w:rPr>
        <w:t xml:space="preserve"> وراجع : </w:t>
      </w:r>
      <w:r w:rsidR="008A74EB" w:rsidRPr="00993B55">
        <w:rPr>
          <w:rStyle w:val="libFootnoteBoldChar"/>
          <w:rtl/>
        </w:rPr>
        <w:t>النهاية</w:t>
      </w:r>
      <w:r w:rsidR="008A74EB" w:rsidRPr="00C9040A">
        <w:rPr>
          <w:rtl/>
        </w:rPr>
        <w:t xml:space="preserve"> ، ج 4 ، ص 20 ( قدح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بر » والوافي : « برأهم »</w:t>
      </w:r>
      <w:r w:rsidR="008A74EB">
        <w:rPr>
          <w:rtl/>
        </w:rPr>
        <w:t>.</w:t>
      </w:r>
      <w:r w:rsidR="008A74EB" w:rsidRPr="00C9040A">
        <w:rPr>
          <w:rtl/>
        </w:rPr>
        <w:t xml:space="preserve"> وبرى السهم يبريه بَرياً : نحته. </w:t>
      </w:r>
      <w:r w:rsidR="008A74EB" w:rsidRPr="00993B55">
        <w:rPr>
          <w:rStyle w:val="libFootnoteBoldChar"/>
          <w:rtl/>
        </w:rPr>
        <w:t>القاموس المحيط</w:t>
      </w:r>
      <w:r w:rsidR="008A74EB" w:rsidRPr="00C9040A">
        <w:rPr>
          <w:rtl/>
        </w:rPr>
        <w:t xml:space="preserve"> ، ج 2 ، ص 1658 ( برى )</w:t>
      </w:r>
      <w:r w:rsidR="008A74EB">
        <w:rPr>
          <w:rtl/>
        </w:rPr>
        <w:t>.</w:t>
      </w:r>
    </w:p>
    <w:p w:rsidR="008A74EB" w:rsidRPr="004A4E41" w:rsidRDefault="006C577F" w:rsidP="004A4E41">
      <w:pPr>
        <w:pStyle w:val="libFootnote0"/>
        <w:rPr>
          <w:rStyle w:val="libFootnote0Char"/>
          <w:rtl/>
        </w:rPr>
      </w:pPr>
      <w:r>
        <w:rPr>
          <w:rtl/>
        </w:rPr>
        <w:t>(6).</w:t>
      </w:r>
      <w:r w:rsidR="008A74EB">
        <w:rPr>
          <w:rtl/>
        </w:rPr>
        <w:t xml:space="preserve"> </w:t>
      </w:r>
      <w:r w:rsidR="008A74EB" w:rsidRPr="00C9040A">
        <w:rPr>
          <w:rtl/>
        </w:rPr>
        <w:t xml:space="preserve">في </w:t>
      </w:r>
      <w:r w:rsidR="008A74EB" w:rsidRPr="00993B55">
        <w:rPr>
          <w:rStyle w:val="libFootnoteBoldChar"/>
          <w:rtl/>
        </w:rPr>
        <w:t>مرآة العقول</w:t>
      </w:r>
      <w:r w:rsidR="008A74EB" w:rsidRPr="00C9040A">
        <w:rPr>
          <w:rtl/>
        </w:rPr>
        <w:t xml:space="preserve"> ، ج 8 ، ص 290 : « يحتمل أن يكون قوله : مرضى ، على الاستفهام. وقوله : أم خولطوا ، معادلاًله من كلام الناظر ، فاعترض جوابه </w:t>
      </w:r>
      <w:r w:rsidR="00117575" w:rsidRPr="00117575">
        <w:rPr>
          <w:rStyle w:val="libFootnoteAlaemChar"/>
          <w:rtl/>
        </w:rPr>
        <w:t>عليه‌السلام</w:t>
      </w:r>
      <w:r w:rsidR="008A74EB" w:rsidRPr="00C9040A">
        <w:rPr>
          <w:rtl/>
        </w:rPr>
        <w:t xml:space="preserve"> بين أجزاء كلامه. والحاصل : أنّهم ل</w:t>
      </w:r>
      <w:r w:rsidR="009E23A8">
        <w:rPr>
          <w:rFonts w:hint="cs"/>
          <w:rtl/>
        </w:rPr>
        <w:t>ـ</w:t>
      </w:r>
      <w:r w:rsidR="008A74EB" w:rsidRPr="00C9040A">
        <w:rPr>
          <w:rtl/>
        </w:rPr>
        <w:t xml:space="preserve">مّا كانوا لشدّة اشتغالهم بحبّ الله وعبادته ، واعتزالهم عن عامّة الخلق ، ومباينة أطوارهم لأطوارهم وأقوالهم لأقوالهم ، ويسمعون منهم ما هو فوق إدراكهم وعقولهم ، فتارة ينسبونهم إلى المرض الجسماني ، وتارة إلى المرض الروحاني وهو الجنون واختلاط العقل بما يفسده ، فأجاب </w:t>
      </w:r>
      <w:r w:rsidR="00117575" w:rsidRPr="00117575">
        <w:rPr>
          <w:rStyle w:val="libFootnoteAlaemChar"/>
          <w:rtl/>
        </w:rPr>
        <w:t>عليه‌السلام</w:t>
      </w:r>
      <w:r w:rsidR="008A74EB" w:rsidRPr="00C9040A">
        <w:rPr>
          <w:rtl/>
        </w:rPr>
        <w:t xml:space="preserve"> عن الأوّل بالنفي المطلق ، وعن الثاني بأنّ المخالطة متحقّقة لكن لا بما يفسد العقل ، بل بما يكمله من خوف النار ، وحبّ الملك الغفّار »</w:t>
      </w:r>
      <w:r w:rsidR="008A74EB">
        <w:rPr>
          <w:rtl/>
        </w:rPr>
        <w:t>.</w:t>
      </w:r>
    </w:p>
    <w:tbl>
      <w:tblPr>
        <w:tblStyle w:val="TableGrid"/>
        <w:bidiVisual/>
        <w:tblW w:w="0" w:type="auto"/>
        <w:tblLook w:val="04A0" w:firstRow="1" w:lastRow="0" w:firstColumn="1" w:lastColumn="0" w:noHBand="0" w:noVBand="1"/>
      </w:tblPr>
      <w:tblGrid>
        <w:gridCol w:w="4006"/>
        <w:gridCol w:w="4006"/>
      </w:tblGrid>
      <w:tr w:rsidR="009E23A8" w:rsidTr="009E23A8">
        <w:tc>
          <w:tcPr>
            <w:tcW w:w="4006" w:type="dxa"/>
          </w:tcPr>
          <w:p w:rsidR="009E23A8" w:rsidRDefault="009E23A8" w:rsidP="004A4E41">
            <w:pPr>
              <w:pStyle w:val="libFootnote0"/>
              <w:rPr>
                <w:rtl/>
              </w:rPr>
            </w:pPr>
            <w:r>
              <w:rPr>
                <w:rtl/>
              </w:rPr>
              <w:t>(7).</w:t>
            </w:r>
            <w:r w:rsidRPr="00C9040A">
              <w:rPr>
                <w:rtl/>
              </w:rPr>
              <w:t xml:space="preserve"> في « ز » </w:t>
            </w:r>
            <w:r>
              <w:rPr>
                <w:rtl/>
              </w:rPr>
              <w:t>: -</w:t>
            </w:r>
            <w:r w:rsidRPr="00C9040A">
              <w:rPr>
                <w:rtl/>
              </w:rPr>
              <w:t xml:space="preserve"> « من »</w:t>
            </w:r>
            <w:r>
              <w:rPr>
                <w:rtl/>
              </w:rPr>
              <w:t>.</w:t>
            </w:r>
          </w:p>
        </w:tc>
        <w:tc>
          <w:tcPr>
            <w:tcW w:w="4006" w:type="dxa"/>
          </w:tcPr>
          <w:p w:rsidR="009E23A8" w:rsidRDefault="009E23A8" w:rsidP="004A4E41">
            <w:pPr>
              <w:pStyle w:val="libFootnote0"/>
              <w:rPr>
                <w:rtl/>
              </w:rPr>
            </w:pPr>
            <w:r>
              <w:rPr>
                <w:rtl/>
              </w:rPr>
              <w:t>(8).</w:t>
            </w:r>
            <w:r w:rsidRPr="00C9040A">
              <w:rPr>
                <w:rtl/>
              </w:rPr>
              <w:t xml:space="preserve"> في « ز » </w:t>
            </w:r>
            <w:r>
              <w:rPr>
                <w:rtl/>
              </w:rPr>
              <w:t>: -</w:t>
            </w:r>
            <w:r w:rsidRPr="00C9040A">
              <w:rPr>
                <w:rtl/>
              </w:rPr>
              <w:t xml:space="preserve"> « أم »</w:t>
            </w:r>
            <w:r>
              <w:rPr>
                <w:rtl/>
              </w:rPr>
              <w:t>. وفي « بس ، بف »:«لم</w:t>
            </w:r>
            <w:r w:rsidRPr="00C9040A">
              <w:rPr>
                <w:rtl/>
              </w:rPr>
              <w:t>»</w:t>
            </w:r>
            <w:r>
              <w:rPr>
                <w:rtl/>
              </w:rPr>
              <w:t>.</w:t>
            </w:r>
          </w:p>
        </w:tc>
      </w:tr>
    </w:tbl>
    <w:p w:rsidR="008A74EB" w:rsidRPr="00C9040A" w:rsidRDefault="006C577F" w:rsidP="004A4E41">
      <w:pPr>
        <w:pStyle w:val="libFootnote0"/>
        <w:rPr>
          <w:rtl/>
          <w:lang w:bidi="fa-IR"/>
        </w:rPr>
      </w:pPr>
      <w:r>
        <w:rPr>
          <w:rtl/>
        </w:rPr>
        <w:t>(9).</w:t>
      </w:r>
      <w:r w:rsidR="008A74EB" w:rsidRPr="00C9040A">
        <w:rPr>
          <w:rtl/>
        </w:rPr>
        <w:t xml:space="preserve"> </w:t>
      </w:r>
      <w:r w:rsidR="008A74EB" w:rsidRPr="00993B55">
        <w:rPr>
          <w:rStyle w:val="libFootnoteBoldChar"/>
          <w:rtl/>
        </w:rPr>
        <w:t>تحف العقول</w:t>
      </w:r>
      <w:r w:rsidR="008A74EB" w:rsidRPr="00C9040A">
        <w:rPr>
          <w:rtl/>
        </w:rPr>
        <w:t xml:space="preserve"> ، ص 281 ، عن عليّ بن الحسين </w:t>
      </w:r>
      <w:r w:rsidR="00117575" w:rsidRPr="00117575">
        <w:rPr>
          <w:rStyle w:val="libFootnoteAlaemChar"/>
          <w:rtl/>
        </w:rPr>
        <w:t xml:space="preserve">عليه‌السلام </w:t>
      </w:r>
      <w:r w:rsidR="008A74EB" w:rsidRPr="00C9040A">
        <w:rPr>
          <w:rtl/>
        </w:rPr>
        <w:t xml:space="preserve"> ؛ </w:t>
      </w:r>
      <w:r w:rsidR="008A74EB" w:rsidRPr="00993B55">
        <w:rPr>
          <w:rStyle w:val="libFootnoteBoldChar"/>
          <w:rtl/>
        </w:rPr>
        <w:t>فقه الرضا</w:t>
      </w:r>
      <w:r w:rsidR="008A74EB" w:rsidRPr="00C9040A">
        <w:rPr>
          <w:rtl/>
        </w:rPr>
        <w:t xml:space="preserve"> </w:t>
      </w:r>
      <w:r w:rsidR="00117575" w:rsidRPr="00117575">
        <w:rPr>
          <w:rStyle w:val="libFootnoteAlaemChar"/>
          <w:rtl/>
        </w:rPr>
        <w:t>عليه‌السلام</w:t>
      </w:r>
      <w:r w:rsidR="008A74EB" w:rsidRPr="00C9040A">
        <w:rPr>
          <w:rtl/>
        </w:rPr>
        <w:t xml:space="preserve"> ، ص 370 ، وفيهما مع اختلاف يسير. </w:t>
      </w:r>
      <w:r w:rsidR="008A74EB" w:rsidRPr="00993B55">
        <w:rPr>
          <w:rStyle w:val="libFootnoteBoldChar"/>
          <w:rtl/>
        </w:rPr>
        <w:t>صفات الشيعة</w:t>
      </w:r>
      <w:r w:rsidR="008A74EB" w:rsidRPr="00C9040A">
        <w:rPr>
          <w:rtl/>
        </w:rPr>
        <w:t xml:space="preserve"> ، ص 18 ، ضمن الحديث الطويل 35 ، [ خطبة همّام ] بسند آخر عن أمير المؤمنين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نهج البلاغة</w:t>
      </w:r>
      <w:r w:rsidR="008A74EB" w:rsidRPr="00C9040A">
        <w:rPr>
          <w:rtl/>
        </w:rPr>
        <w:t xml:space="preserve"> ، ص 303 ، الخطبة 193 ، [ خطبة همّام ] عن أمير المؤمنين </w:t>
      </w:r>
      <w:r w:rsidR="00117575" w:rsidRPr="00117575">
        <w:rPr>
          <w:rStyle w:val="libFootnoteAlaemChar"/>
          <w:rtl/>
        </w:rPr>
        <w:t>عليه‌السلام</w:t>
      </w:r>
      <w:r w:rsidR="008A74EB" w:rsidRPr="00C9040A">
        <w:rPr>
          <w:rtl/>
        </w:rPr>
        <w:t xml:space="preserve"> ، وفيهما من قوله : « ألا إنّ لله‌عباداً كمن رأى أهل الجنّة في الجنّة » مع اختلاف. وورد إلى قوله : « فكونوا من أبناء الآخرة ولا تكونوا من أبناء الدنيا » مع اختلاف يسير في هذه المصادر : </w:t>
      </w:r>
      <w:r w:rsidR="008A74EB" w:rsidRPr="00993B55">
        <w:rPr>
          <w:rStyle w:val="libFootnoteBoldChar"/>
          <w:rtl/>
        </w:rPr>
        <w:t>كتاب سليم بن قيس</w:t>
      </w:r>
      <w:r w:rsidR="008A74EB" w:rsidRPr="00C9040A">
        <w:rPr>
          <w:rtl/>
        </w:rPr>
        <w:t xml:space="preserve"> ، ص 718 ، ضمن الحديث الطويل 18 ، عن أمير المؤمنين </w:t>
      </w:r>
      <w:r w:rsidR="00117575" w:rsidRPr="00117575">
        <w:rPr>
          <w:rStyle w:val="libFootnoteAlaemChar"/>
          <w:rtl/>
        </w:rPr>
        <w:t>عليه‌السلام</w:t>
      </w:r>
      <w:r w:rsidR="008A74EB" w:rsidRPr="00C9040A">
        <w:rPr>
          <w:rtl/>
        </w:rPr>
        <w:t xml:space="preserve"> ؛ </w:t>
      </w:r>
      <w:r w:rsidR="008A74EB" w:rsidRPr="00993B55">
        <w:rPr>
          <w:rStyle w:val="libFootnoteBoldChar"/>
          <w:rtl/>
        </w:rPr>
        <w:t>الكافي</w:t>
      </w:r>
      <w:r w:rsidR="008A74EB" w:rsidRPr="00C9040A">
        <w:rPr>
          <w:rtl/>
        </w:rPr>
        <w:t xml:space="preserve"> ، كتاب الروضة ، ضمن الحديث الطويل 14836 ، بسنده عن سليم بن قيس ، عنه </w:t>
      </w:r>
      <w:r w:rsidR="00117575" w:rsidRPr="00117575">
        <w:rPr>
          <w:rStyle w:val="libFootnoteAlaemChar"/>
          <w:rtl/>
        </w:rPr>
        <w:t>عليه‌السلام</w:t>
      </w:r>
      <w:r w:rsidR="008A74EB" w:rsidRPr="00C9040A">
        <w:rPr>
          <w:rtl/>
        </w:rPr>
        <w:t xml:space="preserve"> ؛ </w:t>
      </w:r>
      <w:r w:rsidR="008A74EB" w:rsidRPr="00993B55">
        <w:rPr>
          <w:rStyle w:val="libFootnoteBoldChar"/>
          <w:rtl/>
        </w:rPr>
        <w:t>الخصال</w:t>
      </w:r>
      <w:r w:rsidR="008A74EB" w:rsidRPr="00C9040A">
        <w:rPr>
          <w:rtl/>
        </w:rPr>
        <w:t xml:space="preserve"> ، ص 51 ، باب الاثنين ، ح 62 ؛ وص 52 ، نفس الباب ، ح 64 ، وفيهما بسند آخر عن رسول الله </w:t>
      </w:r>
      <w:r w:rsidR="004A4E41" w:rsidRPr="0034021D">
        <w:rPr>
          <w:rStyle w:val="libFootnoteAlaemChar"/>
          <w:rtl/>
        </w:rPr>
        <w:t>صلى‌الله‌عليه‌وآله</w:t>
      </w:r>
      <w:r w:rsidR="008A74EB" w:rsidRPr="00C9040A">
        <w:rPr>
          <w:rtl/>
        </w:rPr>
        <w:t xml:space="preserve"> ، مع زيادة في أوّله </w:t>
      </w:r>
      <w:r w:rsidR="00871E87">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184992">
        <w:rPr>
          <w:rtl/>
        </w:rPr>
        <w:t>1908</w:t>
      </w:r>
      <w:r w:rsidRPr="00261CB0">
        <w:rPr>
          <w:rStyle w:val="libBold2Char"/>
          <w:rtl/>
        </w:rPr>
        <w:t xml:space="preserve"> / 16.</w:t>
      </w:r>
      <w:r w:rsidRPr="00C9040A">
        <w:rPr>
          <w:rtl/>
          <w:lang w:bidi="fa-IR"/>
        </w:rPr>
        <w:t xml:space="preserve"> عَنْهُ </w:t>
      </w:r>
      <w:r w:rsidR="006C577F" w:rsidRPr="006C577F">
        <w:rPr>
          <w:rStyle w:val="libFootnotenumChar"/>
          <w:rtl/>
        </w:rPr>
        <w:t>(1)</w:t>
      </w:r>
      <w:r w:rsidRPr="00C9040A">
        <w:rPr>
          <w:rtl/>
          <w:lang w:bidi="fa-IR"/>
        </w:rPr>
        <w:t xml:space="preserve"> ، عَنْ عَلِيِّ بْنِ الْحَكَمِ ، عَنْ أَبِي عَبْدِ اللهِ الْمُؤْمِنِ ، عَنْ جَابِرٍ ، قَالَ :</w:t>
      </w:r>
    </w:p>
    <w:p w:rsidR="008A74EB" w:rsidRPr="00C9040A" w:rsidRDefault="008A74EB" w:rsidP="008A74EB">
      <w:pPr>
        <w:pStyle w:val="libNormal"/>
        <w:rPr>
          <w:rtl/>
          <w:lang w:bidi="fa-IR"/>
        </w:rPr>
      </w:pPr>
      <w:r w:rsidRPr="00C9040A">
        <w:rPr>
          <w:rtl/>
          <w:lang w:bidi="fa-IR"/>
        </w:rPr>
        <w:t xml:space="preserve">دَخَلْتُ عَلى أَبِي جَعْفَرٍ </w:t>
      </w:r>
      <w:r w:rsidRPr="0003660B">
        <w:rPr>
          <w:rStyle w:val="libAlaemChar"/>
          <w:rtl/>
        </w:rPr>
        <w:t>عليه‌السلام</w:t>
      </w:r>
      <w:r w:rsidRPr="00C9040A">
        <w:rPr>
          <w:rtl/>
          <w:lang w:bidi="fa-IR"/>
        </w:rPr>
        <w:t xml:space="preserve"> ، فَقَالَ </w:t>
      </w:r>
      <w:r w:rsidR="006C577F" w:rsidRPr="006C577F">
        <w:rPr>
          <w:rStyle w:val="libFootnotenumChar"/>
          <w:rtl/>
        </w:rPr>
        <w:t>(2)</w:t>
      </w:r>
      <w:r w:rsidRPr="00C9040A">
        <w:rPr>
          <w:rtl/>
          <w:lang w:bidi="fa-IR"/>
        </w:rPr>
        <w:t xml:space="preserve"> : « يَا جَابِرُ ، وَاللهِ إِنِّي لَمَحْزُونٌ ، وَ</w:t>
      </w:r>
      <w:r>
        <w:rPr>
          <w:rFonts w:hint="cs"/>
          <w:rtl/>
          <w:lang w:bidi="fa-IR"/>
        </w:rPr>
        <w:t xml:space="preserve"> </w:t>
      </w:r>
      <w:r w:rsidR="006C577F" w:rsidRPr="006C577F">
        <w:rPr>
          <w:rStyle w:val="libFootnotenumChar"/>
          <w:rtl/>
        </w:rPr>
        <w:t>(3)</w:t>
      </w:r>
      <w:r w:rsidRPr="00C9040A">
        <w:rPr>
          <w:rtl/>
          <w:lang w:bidi="fa-IR"/>
        </w:rPr>
        <w:t xml:space="preserve"> إِنِّي لَمَشْغُولُ الْقَلْبِ »</w:t>
      </w:r>
      <w:r>
        <w:rPr>
          <w:rtl/>
          <w:lang w:bidi="fa-IR"/>
        </w:rPr>
        <w:t>.</w:t>
      </w:r>
    </w:p>
    <w:p w:rsidR="008A74EB" w:rsidRPr="00C9040A" w:rsidRDefault="008A74EB" w:rsidP="008A74EB">
      <w:pPr>
        <w:pStyle w:val="libNormal"/>
        <w:rPr>
          <w:rtl/>
          <w:lang w:bidi="fa-IR"/>
        </w:rPr>
      </w:pPr>
      <w:r w:rsidRPr="00C9040A">
        <w:rPr>
          <w:rtl/>
          <w:lang w:bidi="fa-IR"/>
        </w:rPr>
        <w:t xml:space="preserve">قُلْتُ : جُعِلْتُ فِدَاكَ ، وَمَا شُغُلُكَ </w:t>
      </w:r>
      <w:r w:rsidR="006C577F" w:rsidRPr="006C577F">
        <w:rPr>
          <w:rStyle w:val="libFootnotenumChar"/>
          <w:rtl/>
        </w:rPr>
        <w:t>(4)</w:t>
      </w:r>
      <w:r>
        <w:rPr>
          <w:rtl/>
          <w:lang w:bidi="fa-IR"/>
        </w:rPr>
        <w:t>؟</w:t>
      </w:r>
      <w:r w:rsidRPr="00C9040A">
        <w:rPr>
          <w:rtl/>
          <w:lang w:bidi="fa-IR"/>
        </w:rPr>
        <w:t xml:space="preserve"> وَمَا حُزْنُ قَلْبِكَ</w:t>
      </w:r>
      <w:r>
        <w:rPr>
          <w:rtl/>
          <w:lang w:bidi="fa-IR"/>
        </w:rPr>
        <w:t>؟</w:t>
      </w:r>
    </w:p>
    <w:p w:rsidR="008A74EB" w:rsidRPr="00C9040A" w:rsidRDefault="008A74EB" w:rsidP="00032399">
      <w:pPr>
        <w:pStyle w:val="libNormal"/>
        <w:rPr>
          <w:rtl/>
          <w:lang w:bidi="fa-IR"/>
        </w:rPr>
      </w:pPr>
      <w:r w:rsidRPr="00C9040A">
        <w:rPr>
          <w:rtl/>
          <w:lang w:bidi="fa-IR"/>
        </w:rPr>
        <w:t xml:space="preserve">فَقَالَ : « يَا جَابِرُ ، إِنَّهُ مَنْ دَخَلَ قَلْبَهُ صَافِي خَالِصِ </w:t>
      </w:r>
      <w:r w:rsidR="006C577F" w:rsidRPr="006C577F">
        <w:rPr>
          <w:rStyle w:val="libFootnotenumChar"/>
          <w:rtl/>
        </w:rPr>
        <w:t>(5)</w:t>
      </w:r>
      <w:r w:rsidRPr="00C9040A">
        <w:rPr>
          <w:rtl/>
          <w:lang w:bidi="fa-IR"/>
        </w:rPr>
        <w:t xml:space="preserve"> دِينِ اللهِ ، شَغَلَ قَلْبَهُ عَمَّا سِوَاهُ ؛ يَا جَابِرُ ، مَا الدُّنْيَا</w:t>
      </w:r>
      <w:r>
        <w:rPr>
          <w:rtl/>
          <w:lang w:bidi="fa-IR"/>
        </w:rPr>
        <w:t>؟</w:t>
      </w:r>
      <w:r w:rsidRPr="00C9040A">
        <w:rPr>
          <w:rtl/>
          <w:lang w:bidi="fa-IR"/>
        </w:rPr>
        <w:t xml:space="preserve"> وَمَا عَسى أَنْ تَكُونَ الدُّنْيَا</w:t>
      </w:r>
      <w:r>
        <w:rPr>
          <w:rtl/>
          <w:lang w:bidi="fa-IR"/>
        </w:rPr>
        <w:t>؟</w:t>
      </w:r>
      <w:r w:rsidR="00032399">
        <w:rPr>
          <w:rtl/>
          <w:lang w:bidi="fa-IR"/>
        </w:rPr>
        <w:t xml:space="preserve"> هَلْ هِيَ إِل</w:t>
      </w:r>
      <w:r w:rsidR="00032399">
        <w:rPr>
          <w:rFonts w:hint="cs"/>
          <w:rtl/>
          <w:lang w:bidi="fa-IR"/>
        </w:rPr>
        <w:t>َّ</w:t>
      </w:r>
      <w:r w:rsidR="00032399">
        <w:rPr>
          <w:rtl/>
          <w:lang w:bidi="fa-IR"/>
        </w:rPr>
        <w:t>ا</w:t>
      </w:r>
      <w:r w:rsidRPr="00C9040A">
        <w:rPr>
          <w:rtl/>
          <w:lang w:bidi="fa-IR"/>
        </w:rPr>
        <w:t xml:space="preserve"> طَعَامٌ أَكَلْتَهُ </w:t>
      </w:r>
      <w:r w:rsidR="006C577F" w:rsidRPr="006C577F">
        <w:rPr>
          <w:rStyle w:val="libFootnotenumChar"/>
          <w:rtl/>
        </w:rPr>
        <w:t>(6)</w:t>
      </w:r>
      <w:r w:rsidR="00032399" w:rsidRPr="00C9040A">
        <w:rPr>
          <w:rtl/>
          <w:lang w:bidi="fa-IR"/>
        </w:rPr>
        <w:t xml:space="preserve"> </w:t>
      </w:r>
      <w:r w:rsidRPr="00C9040A">
        <w:rPr>
          <w:rtl/>
          <w:lang w:bidi="fa-IR"/>
        </w:rPr>
        <w:t>، أَوْ ثَوْبٌ لَبِسْتَهُ ، أَوِ امْرَأَةٌ أَصَبْتَهَا</w:t>
      </w:r>
      <w:r>
        <w:rPr>
          <w:rtl/>
          <w:lang w:bidi="fa-IR"/>
        </w:rPr>
        <w:t>؟</w:t>
      </w:r>
    </w:p>
    <w:p w:rsidR="008A74EB" w:rsidRPr="00C9040A" w:rsidRDefault="008A74EB" w:rsidP="008A74EB">
      <w:pPr>
        <w:pStyle w:val="libNormal"/>
        <w:rPr>
          <w:rtl/>
          <w:lang w:bidi="fa-IR"/>
        </w:rPr>
      </w:pPr>
      <w:r w:rsidRPr="00C9040A">
        <w:rPr>
          <w:rtl/>
          <w:lang w:bidi="fa-IR"/>
        </w:rPr>
        <w:t xml:space="preserve">يَا جَابِرُ </w:t>
      </w:r>
      <w:r w:rsidR="006C577F" w:rsidRPr="006C577F">
        <w:rPr>
          <w:rStyle w:val="libFootnotenumChar"/>
          <w:rtl/>
        </w:rPr>
        <w:t>(7)</w:t>
      </w:r>
      <w:r w:rsidRPr="00C9040A">
        <w:rPr>
          <w:rtl/>
          <w:lang w:bidi="fa-IR"/>
        </w:rPr>
        <w:t xml:space="preserve"> ، إِنَّ الْمُؤْمِنِينَ لَمْ يَطْمَئِنُّوا إِلَى الدُّنْيَا بِبَقَائِهِمْ فِيهَا ، وَلَمْ يَأْمَنُوا قُدُومَهُمُ الْآخِرَةَ.</w:t>
      </w:r>
    </w:p>
    <w:p w:rsidR="008A74EB" w:rsidRPr="00C9040A" w:rsidRDefault="008A74EB" w:rsidP="00995959">
      <w:pPr>
        <w:pStyle w:val="libNormal"/>
        <w:rPr>
          <w:rtl/>
          <w:lang w:bidi="fa-IR"/>
        </w:rPr>
      </w:pPr>
      <w:r w:rsidRPr="00C9040A">
        <w:rPr>
          <w:rtl/>
          <w:lang w:bidi="fa-IR"/>
        </w:rPr>
        <w:t xml:space="preserve">يَا جَابِرُ ، الْآخِرَةُ دَارُ قَرَارٍ </w:t>
      </w:r>
      <w:r w:rsidR="006C577F" w:rsidRPr="006C577F">
        <w:rPr>
          <w:rStyle w:val="libFootnotenumChar"/>
          <w:rtl/>
        </w:rPr>
        <w:t>(8)</w:t>
      </w:r>
      <w:r w:rsidRPr="00C9040A">
        <w:rPr>
          <w:rtl/>
          <w:lang w:bidi="fa-IR"/>
        </w:rPr>
        <w:t xml:space="preserve"> ، وَالدُّنْيَا دَارُ فَنَاءٍ وَزَوَالٍ ، وَلكِنْ أَهْلُ الدُّنْيَا أَهْلُ غَفْلَةٍ ، وَكَأَنَّ الْمُؤْمِنِينَ </w:t>
      </w:r>
      <w:r w:rsidR="006C577F" w:rsidRPr="006C577F">
        <w:rPr>
          <w:rStyle w:val="libFootnotenumChar"/>
          <w:rtl/>
        </w:rPr>
        <w:t>(9)</w:t>
      </w:r>
      <w:r w:rsidRPr="00C9040A">
        <w:rPr>
          <w:rtl/>
          <w:lang w:bidi="fa-IR"/>
        </w:rPr>
        <w:t xml:space="preserve"> هُمُ الْفُقَهَاءُ ، أَهْلُ فِكْرَةٍ وَعِبْرَةٍ ، لَمْ يُصِمَّهُمْ عَنْ ذِكْرِ اللهِ</w:t>
      </w:r>
      <w:r>
        <w:rPr>
          <w:rtl/>
          <w:lang w:bidi="fa-IR"/>
        </w:rPr>
        <w:t xml:space="preserve"> </w:t>
      </w:r>
      <w:r w:rsidR="0084262C">
        <w:rPr>
          <w:rtl/>
          <w:lang w:bidi="fa-IR"/>
        </w:rPr>
        <w:t>-</w:t>
      </w:r>
      <w:r>
        <w:rPr>
          <w:rtl/>
          <w:lang w:bidi="fa-IR"/>
        </w:rPr>
        <w:t xml:space="preserve"> </w:t>
      </w:r>
      <w:r w:rsidRPr="00C9040A">
        <w:rPr>
          <w:rtl/>
          <w:lang w:bidi="fa-IR"/>
        </w:rPr>
        <w:t>جَلَّ اسْمُهُ</w:t>
      </w:r>
      <w:r>
        <w:rPr>
          <w:rtl/>
          <w:lang w:bidi="fa-IR"/>
        </w:rPr>
        <w:t xml:space="preserve"> </w:t>
      </w:r>
      <w:r w:rsidR="0084262C">
        <w:rPr>
          <w:rtl/>
          <w:lang w:bidi="fa-IR"/>
        </w:rPr>
        <w:t>-</w:t>
      </w:r>
      <w:r>
        <w:rPr>
          <w:rtl/>
          <w:lang w:bidi="fa-IR"/>
        </w:rPr>
        <w:t xml:space="preserve"> </w:t>
      </w:r>
      <w:r w:rsidRPr="00C9040A">
        <w:rPr>
          <w:rtl/>
          <w:lang w:bidi="fa-IR"/>
        </w:rPr>
        <w:t xml:space="preserve">مَا سَمِعُوا بِآذَانِهِمْ ، وَلَمْ يُعْمِهِمْ عَنْ ذِكْرِ اللهِ مَا رَأَوْا مِنَ الزِّينَةِ بِأَعْيُنِهِمْ </w:t>
      </w:r>
      <w:r w:rsidR="006C577F" w:rsidRPr="006C577F">
        <w:rPr>
          <w:rStyle w:val="libFootnotenumChar"/>
          <w:rtl/>
        </w:rPr>
        <w:t>(10)</w:t>
      </w:r>
      <w:r w:rsidRPr="00C9040A">
        <w:rPr>
          <w:rtl/>
          <w:lang w:bidi="fa-IR"/>
        </w:rPr>
        <w:t xml:space="preserve"> ، فَفَازُوا بِثَوَابِ‌</w:t>
      </w:r>
    </w:p>
    <w:p w:rsidR="008A74EB" w:rsidRPr="00C9040A" w:rsidRDefault="008A74EB" w:rsidP="008A74EB">
      <w:pPr>
        <w:pStyle w:val="libLine"/>
        <w:rPr>
          <w:rtl/>
          <w:lang w:bidi="fa-IR"/>
        </w:rPr>
      </w:pPr>
      <w:r w:rsidRPr="00C9040A">
        <w:rPr>
          <w:rtl/>
          <w:lang w:bidi="fa-IR"/>
        </w:rPr>
        <w:t>__________________</w:t>
      </w:r>
    </w:p>
    <w:p w:rsidR="008A74EB" w:rsidRPr="00C9040A" w:rsidRDefault="00995959" w:rsidP="004A4E41">
      <w:pPr>
        <w:pStyle w:val="libFootnote0"/>
        <w:rPr>
          <w:rtl/>
          <w:lang w:bidi="fa-IR"/>
        </w:rPr>
      </w:pPr>
      <w:r>
        <w:rPr>
          <w:rFonts w:hint="cs"/>
          <w:rtl/>
        </w:rPr>
        <w:t xml:space="preserve">= </w:t>
      </w:r>
      <w:r w:rsidR="008A74EB" w:rsidRPr="00C9040A">
        <w:rPr>
          <w:rtl/>
        </w:rPr>
        <w:t xml:space="preserve">وآخره. وفي </w:t>
      </w:r>
      <w:r w:rsidR="008A74EB" w:rsidRPr="00993B55">
        <w:rPr>
          <w:rStyle w:val="libFootnoteBoldChar"/>
          <w:rtl/>
        </w:rPr>
        <w:t>الإرشاد</w:t>
      </w:r>
      <w:r w:rsidR="008A74EB" w:rsidRPr="00C9040A">
        <w:rPr>
          <w:rtl/>
        </w:rPr>
        <w:t xml:space="preserve"> ، ج 1 ، ص 236 ، ضمن </w:t>
      </w:r>
      <w:r w:rsidR="008A74EB" w:rsidRPr="00995959">
        <w:rPr>
          <w:rStyle w:val="libFootnoteBoldChar"/>
          <w:rtl/>
        </w:rPr>
        <w:t>الحديث الطويل</w:t>
      </w:r>
      <w:r w:rsidR="008A74EB" w:rsidRPr="00C9040A">
        <w:rPr>
          <w:rtl/>
        </w:rPr>
        <w:t xml:space="preserve"> ؛ </w:t>
      </w:r>
      <w:r w:rsidR="008A74EB" w:rsidRPr="00995959">
        <w:rPr>
          <w:rStyle w:val="libFootnoteBoldChar"/>
          <w:rtl/>
        </w:rPr>
        <w:t>و</w:t>
      </w:r>
      <w:r w:rsidR="008A74EB" w:rsidRPr="0034021D">
        <w:rPr>
          <w:rStyle w:val="libFootnoteBoldChar"/>
          <w:rtl/>
        </w:rPr>
        <w:t>الأمالي للمفيد</w:t>
      </w:r>
      <w:r w:rsidR="008A74EB" w:rsidRPr="00C9040A">
        <w:rPr>
          <w:rtl/>
        </w:rPr>
        <w:t xml:space="preserve"> ، ص 92 ، المجلس 11 ، ح 1 ؛ وص 207 ، المجلس 23 ، ح 41 ؛ وص 345 ، المجلس 41 ، ح 1 ؛ </w:t>
      </w:r>
      <w:r w:rsidR="008A74EB" w:rsidRPr="00AC2E2F">
        <w:rPr>
          <w:rStyle w:val="libFootnoteBoldChar"/>
          <w:rtl/>
        </w:rPr>
        <w:t>والأمالي للطوسي</w:t>
      </w:r>
      <w:r w:rsidR="008A74EB" w:rsidRPr="00C9040A">
        <w:rPr>
          <w:rtl/>
        </w:rPr>
        <w:t xml:space="preserve"> ، ص 117 ، المجلس 4 ، ح 37 ؛ وص 231 ، المجلس 9 ، ح 1 ، بسند آخر عن أمير المؤمنين </w:t>
      </w:r>
      <w:r w:rsidR="00117575" w:rsidRPr="00117575">
        <w:rPr>
          <w:rStyle w:val="libFootnoteAlaemChar"/>
          <w:rtl/>
        </w:rPr>
        <w:t>عليه‌السلام</w:t>
      </w:r>
      <w:r w:rsidR="008A74EB" w:rsidRPr="00C9040A">
        <w:rPr>
          <w:rtl/>
        </w:rPr>
        <w:t xml:space="preserve"> ، مع زيادة في أوّله وآخره. </w:t>
      </w:r>
      <w:r w:rsidR="008A74EB" w:rsidRPr="00993B55">
        <w:rPr>
          <w:rStyle w:val="libFootnoteBoldChar"/>
          <w:rtl/>
        </w:rPr>
        <w:t>خصائص الأئمّة</w:t>
      </w:r>
      <w:r w:rsidR="008A74EB" w:rsidRPr="00C9040A">
        <w:rPr>
          <w:rtl/>
        </w:rPr>
        <w:t xml:space="preserve"> </w:t>
      </w:r>
      <w:r w:rsidR="00117575" w:rsidRPr="00117575">
        <w:rPr>
          <w:rStyle w:val="libFootnoteAlaemChar"/>
          <w:rtl/>
        </w:rPr>
        <w:t>عليهم‌السلام</w:t>
      </w:r>
      <w:r w:rsidR="008A74EB" w:rsidRPr="00C9040A">
        <w:rPr>
          <w:rtl/>
        </w:rPr>
        <w:t xml:space="preserve"> ، ص 96 ، مرسلاً عن ابن عبّاس ، عن أمير المؤمنين </w:t>
      </w:r>
      <w:r w:rsidR="00117575" w:rsidRPr="00117575">
        <w:rPr>
          <w:rStyle w:val="libFootnoteAlaemChar"/>
          <w:rtl/>
        </w:rPr>
        <w:t>عليه‌السلام</w:t>
      </w:r>
      <w:r w:rsidR="008A74EB" w:rsidRPr="00C9040A">
        <w:rPr>
          <w:rtl/>
        </w:rPr>
        <w:t xml:space="preserve"> ، مع زيادة في أوّله وآخره </w:t>
      </w:r>
      <w:r>
        <w:rPr>
          <w:rFonts w:hint="cs"/>
          <w:rtl/>
        </w:rPr>
        <w:t>.</w:t>
      </w:r>
      <w:r w:rsidR="008A74EB" w:rsidRPr="00993B55">
        <w:rPr>
          <w:rStyle w:val="libFootnoteBoldChar"/>
          <w:rtl/>
        </w:rPr>
        <w:t>الوافي</w:t>
      </w:r>
      <w:r w:rsidR="008A74EB" w:rsidRPr="00C9040A">
        <w:rPr>
          <w:rtl/>
        </w:rPr>
        <w:t xml:space="preserve"> ، ج 4 ، ص 394 ، ح 2181 ؛ </w:t>
      </w:r>
      <w:r w:rsidR="008A74EB" w:rsidRPr="00993B55">
        <w:rPr>
          <w:rStyle w:val="libFootnoteBoldChar"/>
          <w:rtl/>
        </w:rPr>
        <w:t>البحار</w:t>
      </w:r>
      <w:r w:rsidR="008A74EB" w:rsidRPr="00C9040A">
        <w:rPr>
          <w:rtl/>
        </w:rPr>
        <w:t xml:space="preserve"> ، ج 73 ، ص 43 ، ح 18.</w:t>
      </w:r>
    </w:p>
    <w:p w:rsidR="008A74EB" w:rsidRPr="004A4E41" w:rsidRDefault="006C577F" w:rsidP="004A4E41">
      <w:pPr>
        <w:pStyle w:val="libFootnote0"/>
        <w:rPr>
          <w:rStyle w:val="libFootnote0Char"/>
          <w:rtl/>
        </w:rPr>
      </w:pPr>
      <w:r>
        <w:rPr>
          <w:rtl/>
        </w:rPr>
        <w:t>(1).</w:t>
      </w:r>
      <w:r w:rsidR="008A74EB">
        <w:rPr>
          <w:rtl/>
        </w:rPr>
        <w:t xml:space="preserve"> </w:t>
      </w:r>
      <w:r w:rsidR="008A74EB" w:rsidRPr="00C9040A">
        <w:rPr>
          <w:rtl/>
        </w:rPr>
        <w:t>الضمير راجع إلى أحمد بن محمّد بن عيسى.</w:t>
      </w:r>
    </w:p>
    <w:tbl>
      <w:tblPr>
        <w:tblStyle w:val="TableGrid"/>
        <w:bidiVisual/>
        <w:tblW w:w="0" w:type="auto"/>
        <w:tblLook w:val="04A0" w:firstRow="1" w:lastRow="0" w:firstColumn="1" w:lastColumn="0" w:noHBand="0" w:noVBand="1"/>
      </w:tblPr>
      <w:tblGrid>
        <w:gridCol w:w="4006"/>
        <w:gridCol w:w="4006"/>
      </w:tblGrid>
      <w:tr w:rsidR="00995959" w:rsidTr="00995959">
        <w:tc>
          <w:tcPr>
            <w:tcW w:w="4006" w:type="dxa"/>
          </w:tcPr>
          <w:p w:rsidR="00995959" w:rsidRDefault="00995959" w:rsidP="004A4E41">
            <w:pPr>
              <w:pStyle w:val="libFootnote0"/>
              <w:rPr>
                <w:rtl/>
              </w:rPr>
            </w:pPr>
            <w:r>
              <w:rPr>
                <w:rtl/>
              </w:rPr>
              <w:t xml:space="preserve">(2). </w:t>
            </w:r>
            <w:r w:rsidRPr="00C9040A">
              <w:rPr>
                <w:rtl/>
              </w:rPr>
              <w:t>في « بس » : + « والله »</w:t>
            </w:r>
            <w:r>
              <w:rPr>
                <w:rtl/>
              </w:rPr>
              <w:t>.</w:t>
            </w:r>
          </w:p>
        </w:tc>
        <w:tc>
          <w:tcPr>
            <w:tcW w:w="4006" w:type="dxa"/>
          </w:tcPr>
          <w:p w:rsidR="00995959" w:rsidRDefault="00995959" w:rsidP="004A4E41">
            <w:pPr>
              <w:pStyle w:val="libFootnote0"/>
              <w:rPr>
                <w:rtl/>
              </w:rPr>
            </w:pPr>
            <w:r>
              <w:rPr>
                <w:rtl/>
              </w:rPr>
              <w:t>(3).</w:t>
            </w:r>
            <w:r w:rsidRPr="00C9040A">
              <w:rPr>
                <w:rtl/>
              </w:rPr>
              <w:t xml:space="preserve"> في « ض » </w:t>
            </w:r>
            <w:r>
              <w:rPr>
                <w:rtl/>
              </w:rPr>
              <w:t>: -</w:t>
            </w:r>
            <w:r w:rsidRPr="00C9040A">
              <w:rPr>
                <w:rtl/>
              </w:rPr>
              <w:t xml:space="preserve"> « </w:t>
            </w:r>
            <w:r>
              <w:rPr>
                <w:rtl/>
              </w:rPr>
              <w:t>و ».</w:t>
            </w:r>
          </w:p>
        </w:tc>
      </w:tr>
    </w:tbl>
    <w:p w:rsidR="008A74EB" w:rsidRPr="00C9040A" w:rsidRDefault="006C577F" w:rsidP="004A4E41">
      <w:pPr>
        <w:pStyle w:val="libFootnote0"/>
        <w:rPr>
          <w:rtl/>
          <w:lang w:bidi="fa-IR"/>
        </w:rPr>
      </w:pPr>
      <w:r>
        <w:rPr>
          <w:rtl/>
        </w:rPr>
        <w:t>(4).</w:t>
      </w:r>
      <w:r w:rsidR="008A74EB" w:rsidRPr="00C9040A">
        <w:rPr>
          <w:rtl/>
        </w:rPr>
        <w:t xml:space="preserve"> في « ص » : « شَغَلَك » على بناء الماضي. وهكذا يجوز في « حزن »</w:t>
      </w:r>
      <w:r w:rsidR="008A74EB">
        <w:rPr>
          <w:rtl/>
        </w:rPr>
        <w:t>.</w:t>
      </w:r>
      <w:r w:rsidR="008A74EB" w:rsidRPr="00C9040A">
        <w:rPr>
          <w:rtl/>
        </w:rPr>
        <w:t xml:space="preserve"> وفي « ض » : « شغل قلبك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ص » : + « في »</w:t>
      </w:r>
      <w:r w:rsidR="008A74EB">
        <w:rPr>
          <w:rtl/>
        </w:rPr>
        <w:t>.</w:t>
      </w:r>
    </w:p>
    <w:p w:rsidR="008A74EB" w:rsidRPr="004A4E41" w:rsidRDefault="006C577F" w:rsidP="004A4E41">
      <w:pPr>
        <w:pStyle w:val="libFootnote0"/>
        <w:rPr>
          <w:rStyle w:val="libFootnote0Char"/>
          <w:rtl/>
        </w:rPr>
      </w:pPr>
      <w:r>
        <w:rPr>
          <w:rtl/>
        </w:rPr>
        <w:t>(6).</w:t>
      </w:r>
      <w:r w:rsidR="008A74EB">
        <w:rPr>
          <w:rtl/>
        </w:rPr>
        <w:t xml:space="preserve"> </w:t>
      </w:r>
      <w:r w:rsidR="008A74EB" w:rsidRPr="00C9040A">
        <w:rPr>
          <w:rtl/>
        </w:rPr>
        <w:t xml:space="preserve">في </w:t>
      </w:r>
      <w:r w:rsidR="008A74EB" w:rsidRPr="00993B55">
        <w:rPr>
          <w:rStyle w:val="libFootnoteBoldChar"/>
          <w:rtl/>
        </w:rPr>
        <w:t>مرآة العقول</w:t>
      </w:r>
      <w:r w:rsidR="008A74EB" w:rsidRPr="00C9040A">
        <w:rPr>
          <w:rtl/>
        </w:rPr>
        <w:t xml:space="preserve"> : « أكلته ، وا</w:t>
      </w:r>
      <w:r w:rsidR="00995959">
        <w:rPr>
          <w:rFonts w:hint="cs"/>
          <w:rtl/>
        </w:rPr>
        <w:t>ُ</w:t>
      </w:r>
      <w:r w:rsidR="008A74EB" w:rsidRPr="00C9040A">
        <w:rPr>
          <w:rtl/>
        </w:rPr>
        <w:t>ختاها على صيغة الخطاب ، ويحتمل التكلّم »</w:t>
      </w:r>
      <w:r w:rsidR="008A74EB">
        <w:rPr>
          <w:rtl/>
        </w:rPr>
        <w:t>.</w:t>
      </w:r>
    </w:p>
    <w:tbl>
      <w:tblPr>
        <w:tblStyle w:val="TableGrid"/>
        <w:bidiVisual/>
        <w:tblW w:w="0" w:type="auto"/>
        <w:tblLook w:val="04A0" w:firstRow="1" w:lastRow="0" w:firstColumn="1" w:lastColumn="0" w:noHBand="0" w:noVBand="1"/>
      </w:tblPr>
      <w:tblGrid>
        <w:gridCol w:w="4006"/>
        <w:gridCol w:w="4006"/>
      </w:tblGrid>
      <w:tr w:rsidR="00995959" w:rsidTr="00995959">
        <w:tc>
          <w:tcPr>
            <w:tcW w:w="4006" w:type="dxa"/>
          </w:tcPr>
          <w:p w:rsidR="00995959" w:rsidRDefault="00995959" w:rsidP="004A4E41">
            <w:pPr>
              <w:pStyle w:val="libFootnote0"/>
              <w:rPr>
                <w:rtl/>
              </w:rPr>
            </w:pPr>
            <w:r>
              <w:rPr>
                <w:rtl/>
              </w:rPr>
              <w:t>(7).</w:t>
            </w:r>
            <w:r w:rsidRPr="00C9040A">
              <w:rPr>
                <w:rtl/>
              </w:rPr>
              <w:t xml:space="preserve"> في « بر » : + « ألا »</w:t>
            </w:r>
            <w:r>
              <w:rPr>
                <w:rtl/>
              </w:rPr>
              <w:t>.</w:t>
            </w:r>
          </w:p>
        </w:tc>
        <w:tc>
          <w:tcPr>
            <w:tcW w:w="4006" w:type="dxa"/>
          </w:tcPr>
          <w:p w:rsidR="00995959" w:rsidRDefault="00995959" w:rsidP="004A4E41">
            <w:pPr>
              <w:pStyle w:val="libFootnote0"/>
              <w:rPr>
                <w:rtl/>
              </w:rPr>
            </w:pPr>
            <w:r>
              <w:rPr>
                <w:rtl/>
              </w:rPr>
              <w:t>(8). في «ج ، ض ، ف ، بر ، بس ، بف»: «القرار</w:t>
            </w:r>
            <w:r w:rsidRPr="00C9040A">
              <w:rPr>
                <w:rtl/>
              </w:rPr>
              <w:t>»</w:t>
            </w:r>
            <w:r>
              <w:rPr>
                <w:rtl/>
              </w:rPr>
              <w:t>.</w:t>
            </w:r>
          </w:p>
        </w:tc>
      </w:tr>
      <w:tr w:rsidR="00995959" w:rsidTr="00995959">
        <w:tc>
          <w:tcPr>
            <w:tcW w:w="4006" w:type="dxa"/>
          </w:tcPr>
          <w:p w:rsidR="00995959" w:rsidRDefault="00995959" w:rsidP="004A4E41">
            <w:pPr>
              <w:pStyle w:val="libFootnote0"/>
              <w:rPr>
                <w:rtl/>
              </w:rPr>
            </w:pPr>
            <w:r>
              <w:rPr>
                <w:rtl/>
              </w:rPr>
              <w:t>(9).</w:t>
            </w:r>
            <w:r w:rsidRPr="00C9040A">
              <w:rPr>
                <w:rtl/>
              </w:rPr>
              <w:t xml:space="preserve"> في « ج ، ص » : « وكان المؤمنون »</w:t>
            </w:r>
            <w:r>
              <w:rPr>
                <w:rtl/>
              </w:rPr>
              <w:t>.</w:t>
            </w:r>
          </w:p>
        </w:tc>
        <w:tc>
          <w:tcPr>
            <w:tcW w:w="4006" w:type="dxa"/>
          </w:tcPr>
          <w:p w:rsidR="00995959" w:rsidRDefault="00995959" w:rsidP="004A4E41">
            <w:pPr>
              <w:pStyle w:val="libFootnote0"/>
              <w:rPr>
                <w:rtl/>
              </w:rPr>
            </w:pPr>
            <w:r>
              <w:rPr>
                <w:rtl/>
              </w:rPr>
              <w:t>(10).</w:t>
            </w:r>
            <w:r w:rsidRPr="00C9040A">
              <w:rPr>
                <w:rtl/>
              </w:rPr>
              <w:t xml:space="preserve"> في البحار </w:t>
            </w:r>
            <w:r>
              <w:rPr>
                <w:rtl/>
              </w:rPr>
              <w:t>: -</w:t>
            </w:r>
            <w:r w:rsidRPr="00C9040A">
              <w:rPr>
                <w:rtl/>
              </w:rPr>
              <w:t xml:space="preserve"> « بأعينهم »</w:t>
            </w:r>
            <w:r>
              <w:rPr>
                <w:rtl/>
              </w:rPr>
              <w:t>.</w:t>
            </w:r>
          </w:p>
        </w:tc>
      </w:tr>
    </w:tbl>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الْآخِرَةِ كَمَا فَازُوا بِذلِكَ الْعِلْمِ.</w:t>
      </w:r>
    </w:p>
    <w:p w:rsidR="008A74EB" w:rsidRPr="00C9040A" w:rsidRDefault="008A74EB" w:rsidP="008A74EB">
      <w:pPr>
        <w:pStyle w:val="libNormal"/>
        <w:rPr>
          <w:rtl/>
          <w:lang w:bidi="fa-IR"/>
        </w:rPr>
      </w:pPr>
      <w:r w:rsidRPr="00C9040A">
        <w:rPr>
          <w:rtl/>
          <w:lang w:bidi="fa-IR"/>
        </w:rPr>
        <w:t xml:space="preserve">وَاعْلَمْ يَا جَابِرُ ، أَنَّ أَهْلَ التَّقْوى أَيْسَرُ </w:t>
      </w:r>
      <w:r w:rsidR="006C577F" w:rsidRPr="006C577F">
        <w:rPr>
          <w:rStyle w:val="libFootnotenumChar"/>
          <w:rtl/>
        </w:rPr>
        <w:t>(1)</w:t>
      </w:r>
      <w:r w:rsidRPr="00C9040A">
        <w:rPr>
          <w:rtl/>
          <w:lang w:bidi="fa-IR"/>
        </w:rPr>
        <w:t xml:space="preserve"> أَهْلِ الدُّنْيَا مَؤُونَةً ، وَأَكْثَرُهُمْ لَكَ مَعُونَةً ، تَذْكُرُ </w:t>
      </w:r>
      <w:r w:rsidR="006C577F" w:rsidRPr="006C577F">
        <w:rPr>
          <w:rStyle w:val="libFootnotenumChar"/>
          <w:rtl/>
        </w:rPr>
        <w:t>(2)</w:t>
      </w:r>
      <w:r w:rsidRPr="00C9040A">
        <w:rPr>
          <w:rtl/>
          <w:lang w:bidi="fa-IR"/>
        </w:rPr>
        <w:t xml:space="preserve"> فَيُعِينُونَكَ ، وَإِنْ نَسِيتَ ذَكَّرُوكَ ، قَوَّالُونَ بِأَمْرِ اللهِ ، قَوَّامُونَ </w:t>
      </w:r>
      <w:r w:rsidR="006C577F" w:rsidRPr="006C577F">
        <w:rPr>
          <w:rStyle w:val="libFootnotenumChar"/>
          <w:rtl/>
        </w:rPr>
        <w:t>(3)</w:t>
      </w:r>
      <w:r w:rsidRPr="00C9040A">
        <w:rPr>
          <w:rtl/>
          <w:lang w:bidi="fa-IR"/>
        </w:rPr>
        <w:t xml:space="preserve"> عَلى أَمْرِ اللهِ ، قَطَعُوا مَحَبَّتَهُمْ بِمَحَبَّةِ رَبِّهِمْ ، وَوَحَشُوا الدُّنْيَا لِطَاعَةِ </w:t>
      </w:r>
      <w:r w:rsidR="006C577F" w:rsidRPr="006C577F">
        <w:rPr>
          <w:rStyle w:val="libFootnotenumChar"/>
          <w:rtl/>
        </w:rPr>
        <w:t>(4)</w:t>
      </w:r>
      <w:r w:rsidRPr="00C9040A">
        <w:rPr>
          <w:rtl/>
          <w:lang w:bidi="fa-IR"/>
        </w:rPr>
        <w:t xml:space="preserve"> مَلِيكِهِمْ ، وَنَظَرُوا إِلَى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وَإِلى مَحَبَّتِهِ بِقُلُوبِهِمْ ، وَعَلِمُوا أَنَّ ذلِكَ هُوَ الْمَنْظُورُ إِلَيْهِ لِعَظِيمِ </w:t>
      </w:r>
      <w:r w:rsidR="006C577F" w:rsidRPr="006C577F">
        <w:rPr>
          <w:rStyle w:val="libFootnotenumChar"/>
          <w:rtl/>
        </w:rPr>
        <w:t>(5)</w:t>
      </w:r>
      <w:r w:rsidRPr="00C9040A">
        <w:rPr>
          <w:rtl/>
          <w:lang w:bidi="fa-IR"/>
        </w:rPr>
        <w:t xml:space="preserve"> شَأْنِهِ ، فَأَنْزِلِ الدُّنْيَا كَمَنْزِلٍ نَزَلْتَهُ ثُمَّ ارْتَحَلْتَ عَنْهُ ، أَوْ كَمَالٍ </w:t>
      </w:r>
      <w:r w:rsidR="006C577F" w:rsidRPr="006C577F">
        <w:rPr>
          <w:rStyle w:val="libFootnotenumChar"/>
          <w:rtl/>
        </w:rPr>
        <w:t>(6)</w:t>
      </w:r>
      <w:r w:rsidRPr="005B567D">
        <w:rPr>
          <w:rStyle w:val="libFootnotenumChar"/>
          <w:rtl/>
        </w:rPr>
        <w:t xml:space="preserve"> </w:t>
      </w:r>
      <w:r w:rsidRPr="00C9040A">
        <w:rPr>
          <w:rtl/>
          <w:lang w:bidi="fa-IR"/>
        </w:rPr>
        <w:t xml:space="preserve">وَجَدْتَهُ فِي مَنَامِكَ ، فَاسْتَيْقَظْتَ </w:t>
      </w:r>
      <w:r w:rsidR="006C577F" w:rsidRPr="006C577F">
        <w:rPr>
          <w:rStyle w:val="libFootnotenumChar"/>
          <w:rtl/>
        </w:rPr>
        <w:t>(7)</w:t>
      </w:r>
      <w:r w:rsidRPr="00C9040A">
        <w:rPr>
          <w:rtl/>
          <w:lang w:bidi="fa-IR"/>
        </w:rPr>
        <w:t xml:space="preserve"> وَلَيْسَ مَعَكَ مِنْهُ </w:t>
      </w:r>
      <w:r w:rsidR="006C577F" w:rsidRPr="006C577F">
        <w:rPr>
          <w:rStyle w:val="libFootnotenumChar"/>
          <w:rtl/>
        </w:rPr>
        <w:t>(8)</w:t>
      </w:r>
      <w:r w:rsidRPr="00C9040A">
        <w:rPr>
          <w:rtl/>
          <w:lang w:bidi="fa-IR"/>
        </w:rPr>
        <w:t xml:space="preserve"> شَيْ‌ءٌ ، إِنِّي إِنَّمَا ضَرَبْتُ لَكَ </w:t>
      </w:r>
      <w:r w:rsidR="006C577F" w:rsidRPr="006C577F">
        <w:rPr>
          <w:rStyle w:val="libFootnotenumChar"/>
          <w:rtl/>
        </w:rPr>
        <w:t>(9)</w:t>
      </w:r>
      <w:r w:rsidRPr="00C9040A">
        <w:rPr>
          <w:rtl/>
          <w:lang w:bidi="fa-IR"/>
        </w:rPr>
        <w:t xml:space="preserve"> هذَا مَثَلاً ؛ لِأَنَّهَا عِنْدَ أَهْلِ اللُّبِّ وَالْعِلْمِ بِاللهِ كَفَيْ‌ءِ الظِّلَالِ.</w:t>
      </w:r>
    </w:p>
    <w:p w:rsidR="008A74EB" w:rsidRPr="00C9040A" w:rsidRDefault="008A74EB" w:rsidP="008A74EB">
      <w:pPr>
        <w:pStyle w:val="libNormal"/>
        <w:rPr>
          <w:rtl/>
          <w:lang w:bidi="fa-IR"/>
        </w:rPr>
      </w:pPr>
      <w:r w:rsidRPr="00C9040A">
        <w:rPr>
          <w:rtl/>
          <w:lang w:bidi="fa-IR"/>
        </w:rPr>
        <w:t>يَا جَابِرُ ، فَاحْفَظْ مَا اسْتَرْعَاكَ اللهُ</w:t>
      </w:r>
      <w:r>
        <w:rPr>
          <w:rtl/>
          <w:lang w:bidi="fa-IR"/>
        </w:rPr>
        <w:t xml:space="preserve"> </w:t>
      </w:r>
      <w:r w:rsidR="0084262C">
        <w:rPr>
          <w:rtl/>
          <w:lang w:bidi="fa-IR"/>
        </w:rPr>
        <w:t>-</w:t>
      </w:r>
      <w:r>
        <w:rPr>
          <w:rtl/>
          <w:lang w:bidi="fa-IR"/>
        </w:rPr>
        <w:t xml:space="preserve"> </w:t>
      </w:r>
      <w:r w:rsidRPr="00C9040A">
        <w:rPr>
          <w:rtl/>
          <w:lang w:bidi="fa-IR"/>
        </w:rPr>
        <w:t>جَلَّ وَعَزَّ</w:t>
      </w:r>
      <w:r>
        <w:rPr>
          <w:rtl/>
          <w:lang w:bidi="fa-IR"/>
        </w:rPr>
        <w:t xml:space="preserve"> </w:t>
      </w:r>
      <w:r w:rsidR="0084262C">
        <w:rPr>
          <w:rtl/>
          <w:lang w:bidi="fa-IR"/>
        </w:rPr>
        <w:t>-</w:t>
      </w:r>
      <w:r>
        <w:rPr>
          <w:rtl/>
          <w:lang w:bidi="fa-IR"/>
        </w:rPr>
        <w:t xml:space="preserve"> </w:t>
      </w:r>
      <w:r w:rsidRPr="00C9040A">
        <w:rPr>
          <w:rtl/>
          <w:lang w:bidi="fa-IR"/>
        </w:rPr>
        <w:t>مِنْ دِينِهِ وَحِكْمَتِهِ ، وَلَا تَسْأَل</w:t>
      </w:r>
      <w:r w:rsidR="008812EC">
        <w:rPr>
          <w:rtl/>
          <w:lang w:bidi="fa-IR"/>
        </w:rPr>
        <w:t>َنَّ عَمَّا لَكَ عِنْدَهُ إِل</w:t>
      </w:r>
      <w:r w:rsidR="008812EC">
        <w:rPr>
          <w:rFonts w:hint="cs"/>
          <w:rtl/>
          <w:lang w:bidi="fa-IR"/>
        </w:rPr>
        <w:t>َّ</w:t>
      </w:r>
      <w:r w:rsidR="008812EC">
        <w:rPr>
          <w:rtl/>
          <w:lang w:bidi="fa-IR"/>
        </w:rPr>
        <w:t>ا</w:t>
      </w:r>
      <w:r w:rsidRPr="00C9040A">
        <w:rPr>
          <w:rtl/>
          <w:lang w:bidi="fa-IR"/>
        </w:rPr>
        <w:t xml:space="preserve"> مَا لَهُ عِنْدَ نَفْسِكَ ، فَإِنْ تَكُنِ الدُّنْيَا عَلى </w:t>
      </w:r>
      <w:r w:rsidR="006C577F" w:rsidRPr="006C577F">
        <w:rPr>
          <w:rStyle w:val="libFootnotenumChar"/>
          <w:rtl/>
        </w:rPr>
        <w:t>(10)</w:t>
      </w:r>
      <w:r w:rsidRPr="00C9040A">
        <w:rPr>
          <w:rtl/>
          <w:lang w:bidi="fa-IR"/>
        </w:rPr>
        <w:t xml:space="preserve"> غَيْرِ </w:t>
      </w:r>
      <w:r w:rsidR="006C577F" w:rsidRPr="006C577F">
        <w:rPr>
          <w:rStyle w:val="libFootnotenumChar"/>
          <w:rtl/>
        </w:rPr>
        <w:t>(11)</w:t>
      </w:r>
      <w:r w:rsidRPr="00C9040A">
        <w:rPr>
          <w:rtl/>
          <w:lang w:bidi="fa-IR"/>
        </w:rPr>
        <w:t xml:space="preserve"> مَا وَصَفْتُ لَكَ ، فَتَحَوَّلْ إِلى دَارِ الْمُسْتَعْتَبِ </w:t>
      </w:r>
      <w:r w:rsidR="006C577F" w:rsidRPr="006C577F">
        <w:rPr>
          <w:rStyle w:val="libFootnotenumChar"/>
          <w:rtl/>
        </w:rPr>
        <w:t>(12)</w:t>
      </w:r>
      <w:r w:rsidRPr="00C9040A">
        <w:rPr>
          <w:rtl/>
          <w:lang w:bidi="fa-IR"/>
        </w:rPr>
        <w:t xml:space="preserve"> ، فَلَعَمْرِي لَرُبَّ حَرِيصٍ عَلى أَمْرٍ قَدْ شَقِيَ بِهِ حِينَ أَتَاهُ ، وَلَرُبَّ كَارِهٍ لِأَمْرٍ قَدْ سَعِدَ بِهِ حِينَ أَتَاهُ ، وَذلِكَ قَوْلُ اللهِ عَزَّ وَجَلَّ : </w:t>
      </w:r>
      <w:r w:rsidRPr="0003660B">
        <w:rPr>
          <w:rStyle w:val="libAlaemChar"/>
          <w:rtl/>
        </w:rPr>
        <w:t>(</w:t>
      </w:r>
      <w:r w:rsidRPr="006A2246">
        <w:rPr>
          <w:rStyle w:val="libAieChar"/>
          <w:rtl/>
        </w:rPr>
        <w:t xml:space="preserve"> وَلِيُمَحِّصَ اللهُ الَّذِينَ آمَنُوا وَيَمْحَقَ</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8812EC" w:rsidTr="008812EC">
        <w:tc>
          <w:tcPr>
            <w:tcW w:w="4006" w:type="dxa"/>
          </w:tcPr>
          <w:p w:rsidR="008812EC" w:rsidRDefault="008812EC" w:rsidP="004A4E41">
            <w:pPr>
              <w:pStyle w:val="libFootnote0"/>
              <w:rPr>
                <w:rtl/>
              </w:rPr>
            </w:pPr>
            <w:r>
              <w:rPr>
                <w:rtl/>
              </w:rPr>
              <w:t xml:space="preserve">(1). </w:t>
            </w:r>
            <w:r w:rsidRPr="00C9040A">
              <w:rPr>
                <w:rtl/>
              </w:rPr>
              <w:t>في « بر » : + « من »</w:t>
            </w:r>
            <w:r>
              <w:rPr>
                <w:rtl/>
              </w:rPr>
              <w:t>.</w:t>
            </w:r>
          </w:p>
        </w:tc>
        <w:tc>
          <w:tcPr>
            <w:tcW w:w="4006" w:type="dxa"/>
          </w:tcPr>
          <w:p w:rsidR="008812EC" w:rsidRDefault="008812EC" w:rsidP="004A4E41">
            <w:pPr>
              <w:pStyle w:val="libFootnote0"/>
              <w:rPr>
                <w:rtl/>
              </w:rPr>
            </w:pPr>
            <w:r>
              <w:rPr>
                <w:rtl/>
              </w:rPr>
              <w:t>(2). في «ج ، ص» : «تذكّر</w:t>
            </w:r>
            <w:r w:rsidRPr="00C9040A">
              <w:rPr>
                <w:rtl/>
              </w:rPr>
              <w:t>» بحذف إحدى التاءين.</w:t>
            </w:r>
          </w:p>
        </w:tc>
      </w:tr>
      <w:tr w:rsidR="008812EC" w:rsidTr="008812EC">
        <w:tc>
          <w:tcPr>
            <w:tcW w:w="4006" w:type="dxa"/>
          </w:tcPr>
          <w:p w:rsidR="008812EC" w:rsidRDefault="008812EC" w:rsidP="004A4E41">
            <w:pPr>
              <w:pStyle w:val="libFootnote0"/>
              <w:rPr>
                <w:rtl/>
              </w:rPr>
            </w:pPr>
            <w:r>
              <w:rPr>
                <w:rtl/>
              </w:rPr>
              <w:t>(3).</w:t>
            </w:r>
            <w:r w:rsidRPr="00C9040A">
              <w:rPr>
                <w:rtl/>
              </w:rPr>
              <w:t xml:space="preserve"> في « ف » </w:t>
            </w:r>
            <w:r>
              <w:rPr>
                <w:rtl/>
              </w:rPr>
              <w:t>: -</w:t>
            </w:r>
            <w:r w:rsidRPr="00C9040A">
              <w:rPr>
                <w:rtl/>
              </w:rPr>
              <w:t xml:space="preserve"> « قوّامون »</w:t>
            </w:r>
            <w:r>
              <w:rPr>
                <w:rtl/>
              </w:rPr>
              <w:t>.</w:t>
            </w:r>
          </w:p>
        </w:tc>
        <w:tc>
          <w:tcPr>
            <w:tcW w:w="4006" w:type="dxa"/>
          </w:tcPr>
          <w:p w:rsidR="008812EC" w:rsidRDefault="008812EC" w:rsidP="004A4E41">
            <w:pPr>
              <w:pStyle w:val="libFootnote0"/>
              <w:rPr>
                <w:rtl/>
              </w:rPr>
            </w:pPr>
            <w:r>
              <w:rPr>
                <w:rtl/>
              </w:rPr>
              <w:t>(4).</w:t>
            </w:r>
            <w:r w:rsidRPr="00C9040A">
              <w:rPr>
                <w:rtl/>
              </w:rPr>
              <w:t xml:space="preserve"> في « د » : « بطاعة »</w:t>
            </w:r>
            <w:r>
              <w:rPr>
                <w:rtl/>
              </w:rPr>
              <w:t>.</w:t>
            </w:r>
          </w:p>
        </w:tc>
      </w:tr>
      <w:tr w:rsidR="008812EC" w:rsidTr="008812EC">
        <w:tc>
          <w:tcPr>
            <w:tcW w:w="4006" w:type="dxa"/>
          </w:tcPr>
          <w:p w:rsidR="008812EC" w:rsidRDefault="008812EC" w:rsidP="004A4E41">
            <w:pPr>
              <w:pStyle w:val="libFootnote0"/>
              <w:rPr>
                <w:rtl/>
              </w:rPr>
            </w:pPr>
            <w:r>
              <w:rPr>
                <w:rtl/>
              </w:rPr>
              <w:t>(5).</w:t>
            </w:r>
            <w:r w:rsidRPr="00C9040A">
              <w:rPr>
                <w:rtl/>
              </w:rPr>
              <w:t xml:space="preserve"> في « ب » : « عظم »</w:t>
            </w:r>
            <w:r>
              <w:rPr>
                <w:rtl/>
              </w:rPr>
              <w:t>.</w:t>
            </w:r>
          </w:p>
        </w:tc>
        <w:tc>
          <w:tcPr>
            <w:tcW w:w="4006" w:type="dxa"/>
          </w:tcPr>
          <w:p w:rsidR="008812EC" w:rsidRDefault="008812EC" w:rsidP="004A4E41">
            <w:pPr>
              <w:pStyle w:val="libFootnote0"/>
              <w:rPr>
                <w:rtl/>
              </w:rPr>
            </w:pPr>
            <w:r>
              <w:rPr>
                <w:rtl/>
              </w:rPr>
              <w:t xml:space="preserve">(6). </w:t>
            </w:r>
            <w:r w:rsidRPr="00C9040A">
              <w:rPr>
                <w:rtl/>
              </w:rPr>
              <w:t xml:space="preserve">الكاف جارّة. وفي </w:t>
            </w:r>
            <w:r w:rsidRPr="008812EC">
              <w:rPr>
                <w:rStyle w:val="libFootnoteBoldChar"/>
                <w:rtl/>
              </w:rPr>
              <w:t>مرآة العقول</w:t>
            </w:r>
            <w:r w:rsidRPr="00C9040A">
              <w:rPr>
                <w:rtl/>
              </w:rPr>
              <w:t xml:space="preserve"> : « كما »</w:t>
            </w:r>
            <w:r>
              <w:rPr>
                <w:rtl/>
              </w:rPr>
              <w:t>.</w:t>
            </w:r>
          </w:p>
        </w:tc>
      </w:tr>
      <w:tr w:rsidR="008812EC" w:rsidTr="008812EC">
        <w:tc>
          <w:tcPr>
            <w:tcW w:w="4006" w:type="dxa"/>
          </w:tcPr>
          <w:p w:rsidR="008812EC" w:rsidRDefault="008812EC" w:rsidP="004A4E41">
            <w:pPr>
              <w:pStyle w:val="libFootnote0"/>
              <w:rPr>
                <w:rtl/>
              </w:rPr>
            </w:pPr>
            <w:r>
              <w:rPr>
                <w:rtl/>
              </w:rPr>
              <w:t>(7).</w:t>
            </w:r>
            <w:r w:rsidRPr="00C9040A">
              <w:rPr>
                <w:rtl/>
              </w:rPr>
              <w:t xml:space="preserve"> في البحار : « واستيقظت »</w:t>
            </w:r>
            <w:r>
              <w:rPr>
                <w:rtl/>
              </w:rPr>
              <w:t>.</w:t>
            </w:r>
          </w:p>
        </w:tc>
        <w:tc>
          <w:tcPr>
            <w:tcW w:w="4006" w:type="dxa"/>
          </w:tcPr>
          <w:p w:rsidR="008812EC" w:rsidRDefault="008812EC" w:rsidP="004A4E41">
            <w:pPr>
              <w:pStyle w:val="libFootnote0"/>
              <w:rPr>
                <w:rtl/>
              </w:rPr>
            </w:pPr>
            <w:r>
              <w:rPr>
                <w:rtl/>
              </w:rPr>
              <w:t>(8).</w:t>
            </w:r>
            <w:r w:rsidRPr="00C9040A">
              <w:rPr>
                <w:rtl/>
              </w:rPr>
              <w:t xml:space="preserve"> في « ص » </w:t>
            </w:r>
            <w:r>
              <w:rPr>
                <w:rtl/>
              </w:rPr>
              <w:t>: -</w:t>
            </w:r>
            <w:r w:rsidRPr="00C9040A">
              <w:rPr>
                <w:rtl/>
              </w:rPr>
              <w:t xml:space="preserve"> « منه »</w:t>
            </w:r>
            <w:r>
              <w:rPr>
                <w:rtl/>
              </w:rPr>
              <w:t>.</w:t>
            </w:r>
          </w:p>
        </w:tc>
      </w:tr>
      <w:tr w:rsidR="008812EC" w:rsidTr="008812EC">
        <w:tc>
          <w:tcPr>
            <w:tcW w:w="4006" w:type="dxa"/>
          </w:tcPr>
          <w:p w:rsidR="008812EC" w:rsidRDefault="008812EC" w:rsidP="004A4E41">
            <w:pPr>
              <w:pStyle w:val="libFootnote0"/>
              <w:rPr>
                <w:rtl/>
              </w:rPr>
            </w:pPr>
            <w:r>
              <w:rPr>
                <w:rtl/>
              </w:rPr>
              <w:t>(9).</w:t>
            </w:r>
            <w:r w:rsidRPr="00C9040A">
              <w:rPr>
                <w:rtl/>
              </w:rPr>
              <w:t xml:space="preserve"> في « ز » </w:t>
            </w:r>
            <w:r>
              <w:rPr>
                <w:rtl/>
              </w:rPr>
              <w:t>: -</w:t>
            </w:r>
            <w:r w:rsidRPr="00C9040A">
              <w:rPr>
                <w:rtl/>
              </w:rPr>
              <w:t xml:space="preserve"> « لك »</w:t>
            </w:r>
            <w:r>
              <w:rPr>
                <w:rtl/>
              </w:rPr>
              <w:t>.</w:t>
            </w:r>
          </w:p>
        </w:tc>
        <w:tc>
          <w:tcPr>
            <w:tcW w:w="4006" w:type="dxa"/>
          </w:tcPr>
          <w:p w:rsidR="008812EC" w:rsidRDefault="008812EC" w:rsidP="004A4E41">
            <w:pPr>
              <w:pStyle w:val="libFootnote0"/>
              <w:rPr>
                <w:rtl/>
              </w:rPr>
            </w:pPr>
            <w:r>
              <w:rPr>
                <w:rtl/>
              </w:rPr>
              <w:t>(10).</w:t>
            </w:r>
            <w:r w:rsidRPr="00C9040A">
              <w:rPr>
                <w:rtl/>
              </w:rPr>
              <w:t xml:space="preserve"> في « ب » </w:t>
            </w:r>
            <w:r>
              <w:rPr>
                <w:rtl/>
              </w:rPr>
              <w:t>: -</w:t>
            </w:r>
            <w:r w:rsidRPr="00C9040A">
              <w:rPr>
                <w:rtl/>
              </w:rPr>
              <w:t xml:space="preserve"> « على »</w:t>
            </w:r>
            <w:r>
              <w:rPr>
                <w:rtl/>
              </w:rPr>
              <w:t>.</w:t>
            </w:r>
          </w:p>
        </w:tc>
      </w:tr>
    </w:tbl>
    <w:p w:rsidR="008A74EB" w:rsidRPr="00C9040A" w:rsidRDefault="006C577F" w:rsidP="004A4E41">
      <w:pPr>
        <w:pStyle w:val="libFootnote0"/>
        <w:rPr>
          <w:rtl/>
          <w:lang w:bidi="fa-IR"/>
        </w:rPr>
      </w:pPr>
      <w:r>
        <w:rPr>
          <w:rtl/>
        </w:rPr>
        <w:t>(11).</w:t>
      </w:r>
      <w:r w:rsidR="008A74EB" w:rsidRPr="00C9040A">
        <w:rPr>
          <w:rtl/>
        </w:rPr>
        <w:t xml:space="preserve"> في « ز ، ص » </w:t>
      </w:r>
      <w:r w:rsidR="008A74EB">
        <w:rPr>
          <w:rtl/>
        </w:rPr>
        <w:t xml:space="preserve">: </w:t>
      </w:r>
      <w:r w:rsidR="0084262C">
        <w:rPr>
          <w:rtl/>
        </w:rPr>
        <w:t>-</w:t>
      </w:r>
      <w:r w:rsidR="008A74EB" w:rsidRPr="00C9040A">
        <w:rPr>
          <w:rtl/>
        </w:rPr>
        <w:t xml:space="preserve"> « غير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في </w:t>
      </w:r>
      <w:r w:rsidR="008A74EB" w:rsidRPr="00993B55">
        <w:rPr>
          <w:rStyle w:val="libFootnoteBoldChar"/>
          <w:rtl/>
        </w:rPr>
        <w:t>الوافي</w:t>
      </w:r>
      <w:r w:rsidR="008A74EB" w:rsidRPr="00C9040A">
        <w:rPr>
          <w:rtl/>
        </w:rPr>
        <w:t xml:space="preserve"> : « لعلّ المراد بقوله : « ولا تسألنّ عمّا لك عنده » أنّك لاتحتاج إلى أحد تسأله عن ثوابك عند الله ، إذ</w:t>
      </w:r>
      <w:r w:rsidR="008812EC">
        <w:rPr>
          <w:rFonts w:hint="cs"/>
          <w:rtl/>
        </w:rPr>
        <w:t xml:space="preserve"> </w:t>
      </w:r>
      <w:r w:rsidR="008812EC">
        <w:rPr>
          <w:rtl/>
        </w:rPr>
        <w:t>ليس ذلك إل</w:t>
      </w:r>
      <w:r w:rsidR="008812EC">
        <w:rPr>
          <w:rFonts w:hint="cs"/>
          <w:rtl/>
        </w:rPr>
        <w:t>ّ</w:t>
      </w:r>
      <w:r w:rsidR="008812EC">
        <w:rPr>
          <w:rtl/>
        </w:rPr>
        <w:t>ا</w:t>
      </w:r>
      <w:r w:rsidR="008812EC">
        <w:rPr>
          <w:rFonts w:hint="cs"/>
          <w:rtl/>
        </w:rPr>
        <w:t xml:space="preserve"> </w:t>
      </w:r>
      <w:r w:rsidR="008A74EB" w:rsidRPr="00C9040A">
        <w:rPr>
          <w:rtl/>
        </w:rPr>
        <w:t xml:space="preserve">بقدر ماله عند نفسك ، أعني بقدر رعايتك دينه وحكمته ، فاجعله المسؤول وتعرَّف ذلك منه. أو المراد : لاتسأل عن ذاك ، بل سل عن هذا ، فإنّك إنّما تفوز بذلك بقدر رعايتك هذا. ثمّ قال </w:t>
      </w:r>
      <w:r w:rsidR="00117575" w:rsidRPr="00117575">
        <w:rPr>
          <w:rStyle w:val="libFootnoteAlaemChar"/>
          <w:rtl/>
        </w:rPr>
        <w:t>عليه‌السلام</w:t>
      </w:r>
      <w:r w:rsidR="008A74EB" w:rsidRPr="00C9040A">
        <w:rPr>
          <w:rtl/>
        </w:rPr>
        <w:t xml:space="preserve"> : « فإن تكن الدنيا عندك على غير ما وصفت لك » فتكون تطمئنّ إليها ، فعليك أن تتحوّل فيها إلى دار ترضى فيها ربّك ، يعني أن تكون في الدنيا ببدنك وفي الآخرة بروحك تسعى في فكاك رقبتك وتحصيل رضا ربّك عنك حتّى يأتيك الموت. وهذا الحديث ممّا ذكره الحسن بن عليّ بن شعبة في </w:t>
      </w:r>
      <w:r w:rsidR="008A74EB" w:rsidRPr="00993B55">
        <w:rPr>
          <w:rStyle w:val="libFootnoteBoldChar"/>
          <w:rtl/>
        </w:rPr>
        <w:t>تحف العقول</w:t>
      </w:r>
      <w:r w:rsidR="008A74EB" w:rsidRPr="00C9040A">
        <w:rPr>
          <w:rtl/>
        </w:rPr>
        <w:t xml:space="preserve"> ولم يذكر فيه لفظة « غير » وعلى هذا فلا حاجة إلى التكلّف في معناه »</w:t>
      </w:r>
      <w:r w:rsidR="008A74EB">
        <w:rPr>
          <w:rtl/>
        </w:rPr>
        <w:t>.</w:t>
      </w:r>
      <w:r w:rsidR="008A74EB" w:rsidRPr="00C9040A">
        <w:rPr>
          <w:rtl/>
        </w:rPr>
        <w:t xml:space="preserve"> وذكر في </w:t>
      </w:r>
      <w:r w:rsidR="008A74EB" w:rsidRPr="00993B55">
        <w:rPr>
          <w:rStyle w:val="libFootnoteBoldChar"/>
          <w:rtl/>
        </w:rPr>
        <w:t>مرآة العقول</w:t>
      </w:r>
      <w:r w:rsidR="008A74EB" w:rsidRPr="00C9040A">
        <w:rPr>
          <w:rtl/>
        </w:rPr>
        <w:t xml:space="preserve"> ، ج 8 ، ص 295</w:t>
      </w:r>
      <w:r w:rsidR="008A74EB">
        <w:rPr>
          <w:rtl/>
        </w:rPr>
        <w:t xml:space="preserve"> </w:t>
      </w:r>
      <w:r w:rsidR="0084262C">
        <w:rPr>
          <w:rtl/>
        </w:rPr>
        <w:t>-</w:t>
      </w:r>
      <w:r w:rsidR="008A74EB">
        <w:rPr>
          <w:rtl/>
        </w:rPr>
        <w:t xml:space="preserve"> </w:t>
      </w:r>
      <w:r w:rsidR="008A74EB" w:rsidRPr="00C9040A">
        <w:rPr>
          <w:rtl/>
        </w:rPr>
        <w:t xml:space="preserve">296 لقوله </w:t>
      </w:r>
      <w:r w:rsidR="00117575" w:rsidRPr="00117575">
        <w:rPr>
          <w:rStyle w:val="libFootnoteAlaemChar"/>
          <w:rtl/>
        </w:rPr>
        <w:t>عليه‌السلام</w:t>
      </w:r>
      <w:r w:rsidR="008A74EB" w:rsidRPr="00C9040A">
        <w:rPr>
          <w:rtl/>
        </w:rPr>
        <w:t xml:space="preserve"> : « فإن تكن » وجوهاً ، ومن أراد التفصيل فليراجع.</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6A2246">
        <w:rPr>
          <w:rStyle w:val="libAieChar"/>
          <w:rtl/>
        </w:rPr>
        <w:t xml:space="preserve">الْكافِرِينَ </w:t>
      </w:r>
      <w:r w:rsidRPr="0003660B">
        <w:rPr>
          <w:rStyle w:val="libAlaemChar"/>
          <w:rtl/>
        </w:rPr>
        <w:t>)</w:t>
      </w:r>
      <w:r w:rsidRPr="00C9040A">
        <w:rPr>
          <w:rtl/>
          <w:lang w:bidi="fa-IR"/>
        </w:rPr>
        <w:t xml:space="preserve"> </w:t>
      </w:r>
      <w:r w:rsidR="006C577F" w:rsidRPr="006C577F">
        <w:rPr>
          <w:rStyle w:val="libFootnotenumChar"/>
          <w:rtl/>
        </w:rPr>
        <w:t>(1)</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D14695">
        <w:rPr>
          <w:rtl/>
        </w:rPr>
        <w:t>1909</w:t>
      </w:r>
      <w:r w:rsidRPr="00261CB0">
        <w:rPr>
          <w:rStyle w:val="libBold2Char"/>
          <w:rtl/>
        </w:rPr>
        <w:t xml:space="preserve"> / 17.</w:t>
      </w:r>
      <w:r w:rsidRPr="00C9040A">
        <w:rPr>
          <w:rtl/>
          <w:lang w:bidi="fa-IR"/>
        </w:rPr>
        <w:t xml:space="preserve"> عَنْهُ </w:t>
      </w:r>
      <w:r w:rsidR="006C577F" w:rsidRPr="006C577F">
        <w:rPr>
          <w:rStyle w:val="libFootnotenumChar"/>
          <w:rtl/>
        </w:rPr>
        <w:t>(3)</w:t>
      </w:r>
      <w:r w:rsidRPr="00C9040A">
        <w:rPr>
          <w:rtl/>
          <w:lang w:bidi="fa-IR"/>
        </w:rPr>
        <w:t xml:space="preserve"> ، عَنْ عَلِيِّ بْنِ الْحَكَمِ ، عَنْ مُوسَى بْنِ بَكْرٍ :</w:t>
      </w:r>
    </w:p>
    <w:p w:rsidR="008A74EB" w:rsidRPr="00C9040A" w:rsidRDefault="008A74EB" w:rsidP="008A74EB">
      <w:pPr>
        <w:pStyle w:val="libNormal"/>
        <w:rPr>
          <w:rtl/>
          <w:lang w:bidi="fa-IR"/>
        </w:rPr>
      </w:pPr>
      <w:r w:rsidRPr="00C9040A">
        <w:rPr>
          <w:rtl/>
          <w:lang w:bidi="fa-IR"/>
        </w:rPr>
        <w:t xml:space="preserve">عَنْ أَبِي إِبْرَاهِيمَ </w:t>
      </w:r>
      <w:r w:rsidRPr="0003660B">
        <w:rPr>
          <w:rStyle w:val="libAlaemChar"/>
          <w:rtl/>
        </w:rPr>
        <w:t>عليه‌السلام</w:t>
      </w:r>
      <w:r w:rsidRPr="00C9040A">
        <w:rPr>
          <w:rtl/>
          <w:lang w:bidi="fa-IR"/>
        </w:rPr>
        <w:t xml:space="preserve"> ، قَالَ : « قَالَ أَبُو ذَرٍّ رَحِمَهُ اللهُ : جَزَى اللهُ الدُّنْيَا عَنِّي مَذَمَّةً بَعْدَ رَغِيفَيْنِ مِنَ الشَّعِيرِ : أَتَغَدّى </w:t>
      </w:r>
      <w:r w:rsidR="006C577F" w:rsidRPr="006C577F">
        <w:rPr>
          <w:rStyle w:val="libFootnotenumChar"/>
          <w:rtl/>
        </w:rPr>
        <w:t>(4)</w:t>
      </w:r>
      <w:r w:rsidRPr="00C9040A">
        <w:rPr>
          <w:rtl/>
          <w:lang w:bidi="fa-IR"/>
        </w:rPr>
        <w:t xml:space="preserve"> بِأَحَدِهِمَا ، وَأَتَعَشّى بِالْآخَرِ ، وَبَعْدَ شَمْلَتَيِ الصُّوفِ </w:t>
      </w:r>
      <w:r w:rsidR="006C577F" w:rsidRPr="006C577F">
        <w:rPr>
          <w:rStyle w:val="libFootnotenumChar"/>
          <w:rtl/>
        </w:rPr>
        <w:t>(5)</w:t>
      </w:r>
      <w:r w:rsidRPr="00C9040A">
        <w:rPr>
          <w:rtl/>
          <w:lang w:bidi="fa-IR"/>
        </w:rPr>
        <w:t xml:space="preserve"> : أَتَّزِرُ بِإِحْدَاهُمَا ، وَأَتَرَدّى </w:t>
      </w:r>
      <w:r w:rsidR="006C577F" w:rsidRPr="006C577F">
        <w:rPr>
          <w:rStyle w:val="libFootnotenumChar"/>
          <w:rtl/>
        </w:rPr>
        <w:t>(6)</w:t>
      </w:r>
      <w:r w:rsidRPr="005B567D">
        <w:rPr>
          <w:rStyle w:val="libFootnotenumChar"/>
          <w:rtl/>
        </w:rPr>
        <w:t xml:space="preserve"> </w:t>
      </w:r>
      <w:r w:rsidRPr="00C9040A">
        <w:rPr>
          <w:rtl/>
          <w:lang w:bidi="fa-IR"/>
        </w:rPr>
        <w:t>بِالْأُخْرى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D14695">
        <w:rPr>
          <w:rtl/>
        </w:rPr>
        <w:t>1910</w:t>
      </w:r>
      <w:r w:rsidRPr="00261CB0">
        <w:rPr>
          <w:rStyle w:val="libBold2Char"/>
          <w:rtl/>
        </w:rPr>
        <w:t xml:space="preserve"> / 18.</w:t>
      </w:r>
      <w:r w:rsidRPr="00C9040A">
        <w:rPr>
          <w:rtl/>
          <w:lang w:bidi="fa-IR"/>
        </w:rPr>
        <w:t xml:space="preserve"> وَعَنْهُ </w:t>
      </w:r>
      <w:r w:rsidR="006C577F" w:rsidRPr="006C577F">
        <w:rPr>
          <w:rStyle w:val="libFootnotenumChar"/>
          <w:rtl/>
        </w:rPr>
        <w:t>(8)</w:t>
      </w:r>
      <w:r w:rsidRPr="00C9040A">
        <w:rPr>
          <w:rtl/>
          <w:lang w:bidi="fa-IR"/>
        </w:rPr>
        <w:t xml:space="preserve"> ، عَنْ عَلِيِّ بْنِ الْحَكَمِ ، عَنِ الْمُثَنّى ، عَنْ أَبِي بَصِيرٍ :</w:t>
      </w:r>
    </w:p>
    <w:p w:rsidR="008A74EB" w:rsidRPr="00C9040A" w:rsidRDefault="008A74EB" w:rsidP="008A74EB">
      <w:pPr>
        <w:pStyle w:val="libNormal"/>
        <w:rPr>
          <w:rtl/>
          <w:lang w:bidi="fa-IR"/>
        </w:rPr>
      </w:pPr>
      <w:r w:rsidRPr="00C9040A">
        <w:rPr>
          <w:rtl/>
          <w:lang w:bidi="fa-IR"/>
        </w:rPr>
        <w:t xml:space="preserve">عَنْ أَبِي عَبْدِ اللهِ </w:t>
      </w:r>
      <w:r w:rsidR="006C577F" w:rsidRPr="006C577F">
        <w:rPr>
          <w:rStyle w:val="libFootnotenumChar"/>
          <w:rtl/>
        </w:rPr>
        <w:t>(9)</w:t>
      </w:r>
      <w:r w:rsidRPr="00C9040A">
        <w:rPr>
          <w:rtl/>
          <w:lang w:bidi="fa-IR"/>
        </w:rPr>
        <w:t xml:space="preserve"> </w:t>
      </w:r>
      <w:r w:rsidRPr="0003660B">
        <w:rPr>
          <w:rStyle w:val="libAlaemChar"/>
          <w:rtl/>
        </w:rPr>
        <w:t>عليه‌السلام</w:t>
      </w:r>
      <w:r w:rsidRPr="00C9040A">
        <w:rPr>
          <w:rtl/>
          <w:lang w:bidi="fa-IR"/>
        </w:rPr>
        <w:t xml:space="preserve"> ، قَالَ : « كَانَ أَبُو ذَرٍّ</w:t>
      </w:r>
      <w:r>
        <w:rPr>
          <w:rtl/>
          <w:lang w:bidi="fa-IR"/>
        </w:rPr>
        <w:t xml:space="preserve"> </w:t>
      </w:r>
      <w:r w:rsidR="0084262C">
        <w:rPr>
          <w:rtl/>
          <w:lang w:bidi="fa-IR"/>
        </w:rPr>
        <w:t>-</w:t>
      </w:r>
      <w:r>
        <w:rPr>
          <w:rtl/>
          <w:lang w:bidi="fa-IR"/>
        </w:rPr>
        <w:t xml:space="preserve"> </w:t>
      </w:r>
      <w:r w:rsidRPr="00C9040A">
        <w:rPr>
          <w:rtl/>
          <w:lang w:bidi="fa-IR"/>
        </w:rPr>
        <w:t xml:space="preserve">رَضِيَ اللهُ عَنْهُ </w:t>
      </w:r>
      <w:r w:rsidR="006C577F" w:rsidRPr="006C577F">
        <w:rPr>
          <w:rStyle w:val="libFootnotenumChar"/>
          <w:rtl/>
        </w:rPr>
        <w:t>(10)</w:t>
      </w:r>
      <w:r>
        <w:rPr>
          <w:rtl/>
          <w:lang w:bidi="fa-IR"/>
        </w:rPr>
        <w:t xml:space="preserve"> </w:t>
      </w:r>
      <w:r w:rsidR="0084262C">
        <w:rPr>
          <w:rtl/>
          <w:lang w:bidi="fa-IR"/>
        </w:rPr>
        <w:t>-</w:t>
      </w:r>
      <w:r>
        <w:rPr>
          <w:rtl/>
          <w:lang w:bidi="fa-IR"/>
        </w:rPr>
        <w:t xml:space="preserve"> </w:t>
      </w:r>
      <w:r w:rsidRPr="00C9040A">
        <w:rPr>
          <w:rtl/>
          <w:lang w:bidi="fa-IR"/>
        </w:rPr>
        <w:t xml:space="preserve">يَقُولُ فِي خُطْبَتِهِ : يَا مُبْتَغِيَ الْعِلْمِ ، كَأَنَّ شَيْئاً </w:t>
      </w:r>
      <w:r w:rsidR="006C577F" w:rsidRPr="006C577F">
        <w:rPr>
          <w:rStyle w:val="libFootnotenumChar"/>
          <w:rtl/>
        </w:rPr>
        <w:t>(11)</w:t>
      </w:r>
      <w:r w:rsidRPr="00C9040A">
        <w:rPr>
          <w:rtl/>
          <w:lang w:bidi="fa-IR"/>
        </w:rPr>
        <w:t xml:space="preserve"> مِنَ الدُّنْ</w:t>
      </w:r>
      <w:r w:rsidR="008812EC">
        <w:rPr>
          <w:rtl/>
          <w:lang w:bidi="fa-IR"/>
        </w:rPr>
        <w:t>يَا لَمْ يَكُنْ شَيْئاً ، إِل</w:t>
      </w:r>
      <w:r w:rsidR="008812EC">
        <w:rPr>
          <w:rFonts w:hint="cs"/>
          <w:rtl/>
          <w:lang w:bidi="fa-IR"/>
        </w:rPr>
        <w:t>َّ</w:t>
      </w:r>
      <w:r w:rsidR="008812EC">
        <w:rPr>
          <w:rtl/>
          <w:lang w:bidi="fa-IR"/>
        </w:rPr>
        <w:t>ا</w:t>
      </w:r>
      <w:r w:rsidRPr="00C9040A">
        <w:rPr>
          <w:rtl/>
          <w:lang w:bidi="fa-IR"/>
        </w:rPr>
        <w:t>‌</w:t>
      </w:r>
      <w:r w:rsidR="00465F38">
        <w:rPr>
          <w:rFonts w:hint="cs"/>
          <w:rtl/>
          <w:lang w:bidi="fa-IR"/>
        </w:rPr>
        <w:t>.....................</w:t>
      </w:r>
      <w:r w:rsidR="008812EC">
        <w:rPr>
          <w:rFonts w:hint="cs"/>
          <w:rtl/>
          <w:lang w:bidi="fa-IR"/>
        </w:rPr>
        <w:t>......</w:t>
      </w:r>
      <w:r w:rsidR="008812EC">
        <w:rPr>
          <w:rFonts w:hint="cs"/>
          <w:rtl/>
          <w:lang w:bidi="fa-IR"/>
        </w:rPr>
        <w:tab/>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آل عمران </w:t>
      </w:r>
      <w:r w:rsidR="00465F38">
        <w:rPr>
          <w:rtl/>
        </w:rPr>
        <w:t>(3)</w:t>
      </w:r>
      <w:r w:rsidR="008A74EB" w:rsidRPr="00C9040A">
        <w:rPr>
          <w:rtl/>
        </w:rPr>
        <w:t xml:space="preserve"> : 141.</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تحف العقول</w:t>
      </w:r>
      <w:r w:rsidR="008A74EB" w:rsidRPr="00C9040A">
        <w:rPr>
          <w:rtl/>
        </w:rPr>
        <w:t xml:space="preserve"> ، ص 377 ، عن سفيان الثوري ، عن أبي عبد الله </w:t>
      </w:r>
      <w:r w:rsidR="00117575" w:rsidRPr="00117575">
        <w:rPr>
          <w:rStyle w:val="libFootnoteAlaemChar"/>
          <w:rtl/>
        </w:rPr>
        <w:t>عليه‌السلام</w:t>
      </w:r>
      <w:r w:rsidR="008A74EB" w:rsidRPr="00C9040A">
        <w:rPr>
          <w:rtl/>
        </w:rPr>
        <w:t xml:space="preserve"> ، مع اختلاف يسير </w:t>
      </w:r>
      <w:r w:rsidR="00465F38">
        <w:rPr>
          <w:rFonts w:hint="cs"/>
          <w:rtl/>
        </w:rPr>
        <w:t>.</w:t>
      </w:r>
      <w:r w:rsidR="008A74EB" w:rsidRPr="00993B55">
        <w:rPr>
          <w:rStyle w:val="libFootnoteBoldChar"/>
          <w:rtl/>
        </w:rPr>
        <w:t>الوافي</w:t>
      </w:r>
      <w:r w:rsidR="008A74EB" w:rsidRPr="00C9040A">
        <w:rPr>
          <w:rtl/>
        </w:rPr>
        <w:t xml:space="preserve"> ، ج 4 ، ص 395 ، ح 2182 ؛ </w:t>
      </w:r>
      <w:r w:rsidR="008A74EB" w:rsidRPr="00993B55">
        <w:rPr>
          <w:rStyle w:val="libFootnoteBoldChar"/>
          <w:rtl/>
        </w:rPr>
        <w:t>البحار</w:t>
      </w:r>
      <w:r w:rsidR="008A74EB" w:rsidRPr="00C9040A">
        <w:rPr>
          <w:rtl/>
        </w:rPr>
        <w:t xml:space="preserve"> ، ج 73 ، ص 36 ، ح 17.</w:t>
      </w:r>
    </w:p>
    <w:p w:rsidR="008A74EB" w:rsidRPr="00C9040A" w:rsidRDefault="006C577F" w:rsidP="004A4E41">
      <w:pPr>
        <w:pStyle w:val="libFootnote0"/>
        <w:rPr>
          <w:rtl/>
          <w:lang w:bidi="fa-IR"/>
        </w:rPr>
      </w:pPr>
      <w:r>
        <w:rPr>
          <w:rtl/>
        </w:rPr>
        <w:t>(3).</w:t>
      </w:r>
      <w:r w:rsidR="008A74EB" w:rsidRPr="00C9040A">
        <w:rPr>
          <w:rtl/>
        </w:rPr>
        <w:t xml:space="preserve"> الضمير راجع إلى أحمد بن محمّد بن عيسى المذكور في سند الحديث 13.</w:t>
      </w:r>
    </w:p>
    <w:p w:rsidR="008A74EB" w:rsidRPr="00C9040A" w:rsidRDefault="006C577F" w:rsidP="004A4E41">
      <w:pPr>
        <w:pStyle w:val="libFootnote0"/>
        <w:rPr>
          <w:rtl/>
          <w:lang w:bidi="fa-IR"/>
        </w:rPr>
      </w:pPr>
      <w:r>
        <w:rPr>
          <w:rtl/>
        </w:rPr>
        <w:t>(4).</w:t>
      </w:r>
      <w:r w:rsidR="008A74EB" w:rsidRPr="00C9040A">
        <w:rPr>
          <w:rtl/>
        </w:rPr>
        <w:t xml:space="preserve"> في « ب ، ف » : « أتغذّى » بالمعجمتين.</w:t>
      </w:r>
    </w:p>
    <w:p w:rsidR="008A74EB" w:rsidRPr="00C9040A" w:rsidRDefault="006C577F" w:rsidP="004A4E41">
      <w:pPr>
        <w:pStyle w:val="libFootnote0"/>
        <w:rPr>
          <w:rtl/>
          <w:lang w:bidi="fa-IR"/>
        </w:rPr>
      </w:pPr>
      <w:r>
        <w:rPr>
          <w:rtl/>
        </w:rPr>
        <w:t>(5).</w:t>
      </w:r>
      <w:r w:rsidR="008A74EB" w:rsidRPr="00C9040A">
        <w:rPr>
          <w:rtl/>
        </w:rPr>
        <w:t xml:space="preserve"> في « ص ، ض » : « شملتين من »</w:t>
      </w:r>
      <w:r w:rsidR="008A74EB">
        <w:rPr>
          <w:rtl/>
        </w:rPr>
        <w:t>.</w:t>
      </w:r>
      <w:r w:rsidR="008A74EB" w:rsidRPr="00C9040A">
        <w:rPr>
          <w:rtl/>
        </w:rPr>
        <w:t xml:space="preserve"> وفي حاشية « ض » : « شملتي صوف »</w:t>
      </w:r>
      <w:r w:rsidR="008A74EB">
        <w:rPr>
          <w:rtl/>
        </w:rPr>
        <w:t>.</w:t>
      </w:r>
      <w:r w:rsidR="008A74EB" w:rsidRPr="00C9040A">
        <w:rPr>
          <w:rtl/>
        </w:rPr>
        <w:t xml:space="preserve"> </w:t>
      </w:r>
      <w:r w:rsidR="008A74EB">
        <w:rPr>
          <w:rtl/>
        </w:rPr>
        <w:t>و «</w:t>
      </w:r>
      <w:r w:rsidR="008A74EB" w:rsidRPr="00C9040A">
        <w:rPr>
          <w:rtl/>
        </w:rPr>
        <w:t xml:space="preserve"> الشَّملة » : كساء صغير يُؤتَزر به. </w:t>
      </w:r>
      <w:r w:rsidR="008A74EB" w:rsidRPr="00993B55">
        <w:rPr>
          <w:rStyle w:val="libFootnoteBoldChar"/>
          <w:rtl/>
        </w:rPr>
        <w:t>المصباح المنير</w:t>
      </w:r>
      <w:r w:rsidR="008A74EB" w:rsidRPr="00C9040A">
        <w:rPr>
          <w:rtl/>
        </w:rPr>
        <w:t xml:space="preserve"> ، ص 323 ( شمل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ب ، ج ، بر » وحاشية « ف » والبحار والأمالي : « أرتدي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الأمال</w:t>
      </w:r>
      <w:r w:rsidR="008A74EB" w:rsidRPr="00465F38">
        <w:rPr>
          <w:rStyle w:val="libFootnoteBoldChar"/>
          <w:rtl/>
        </w:rPr>
        <w:t xml:space="preserve">ي للطوسي </w:t>
      </w:r>
      <w:r w:rsidR="008A74EB" w:rsidRPr="00C9040A">
        <w:rPr>
          <w:rtl/>
        </w:rPr>
        <w:t xml:space="preserve">، ص 702 ، المجلس 40 ، ح 5 ، عن موسى بن بكر ، عن </w:t>
      </w:r>
      <w:r w:rsidR="008A74EB" w:rsidRPr="00465F38">
        <w:rPr>
          <w:rStyle w:val="libFootnoteBoldChar"/>
          <w:rtl/>
        </w:rPr>
        <w:t>العبد الصالح</w:t>
      </w:r>
      <w:r w:rsidR="008A74EB" w:rsidRPr="00C9040A">
        <w:rPr>
          <w:rtl/>
        </w:rPr>
        <w:t xml:space="preserve"> </w:t>
      </w:r>
      <w:r w:rsidR="00117575" w:rsidRPr="00117575">
        <w:rPr>
          <w:rStyle w:val="libFootnoteAlaemChar"/>
          <w:rtl/>
        </w:rPr>
        <w:t>عليه‌السلام</w:t>
      </w:r>
      <w:r w:rsidR="008A74EB" w:rsidRPr="00C9040A">
        <w:rPr>
          <w:rtl/>
        </w:rPr>
        <w:t xml:space="preserve"> ، عن أبي ذرّ </w:t>
      </w:r>
      <w:r w:rsidR="00465F38">
        <w:rPr>
          <w:rFonts w:hint="cs"/>
          <w:rtl/>
        </w:rPr>
        <w:t>.</w:t>
      </w:r>
      <w:r w:rsidR="008A74EB" w:rsidRPr="00993B55">
        <w:rPr>
          <w:rStyle w:val="libFootnoteBoldChar"/>
          <w:rtl/>
        </w:rPr>
        <w:t>الوافي</w:t>
      </w:r>
      <w:r w:rsidR="008A74EB" w:rsidRPr="00C9040A">
        <w:rPr>
          <w:rtl/>
        </w:rPr>
        <w:t xml:space="preserve"> ، ج 4 ، ص 396 ، ح 2183 ؛ </w:t>
      </w:r>
      <w:r w:rsidR="008A74EB" w:rsidRPr="00993B55">
        <w:rPr>
          <w:rStyle w:val="libFootnoteBoldChar"/>
          <w:rtl/>
        </w:rPr>
        <w:t>البحار</w:t>
      </w:r>
      <w:r w:rsidR="008A74EB" w:rsidRPr="00C9040A">
        <w:rPr>
          <w:rtl/>
        </w:rPr>
        <w:t xml:space="preserve"> ، ج 22 ، ص 401 ، ح 10 ؛ وج 73 ، ص 64 ، ح 33.</w:t>
      </w:r>
    </w:p>
    <w:p w:rsidR="008A74EB" w:rsidRPr="00C9040A" w:rsidRDefault="006C577F" w:rsidP="004A4E41">
      <w:pPr>
        <w:pStyle w:val="libFootnote0"/>
        <w:rPr>
          <w:rtl/>
          <w:lang w:bidi="fa-IR"/>
        </w:rPr>
      </w:pPr>
      <w:r>
        <w:rPr>
          <w:rtl/>
        </w:rPr>
        <w:t>(8).</w:t>
      </w:r>
      <w:r w:rsidR="008A74EB" w:rsidRPr="00C9040A">
        <w:rPr>
          <w:rtl/>
        </w:rPr>
        <w:t xml:space="preserve"> الضمير راجع إلى أحمد بن محمّد بن عيسى المذكور في سند الحديث 13.</w:t>
      </w:r>
    </w:p>
    <w:p w:rsidR="008A74EB" w:rsidRPr="00C9040A" w:rsidRDefault="006C577F" w:rsidP="004A4E41">
      <w:pPr>
        <w:pStyle w:val="libFootnote0"/>
        <w:rPr>
          <w:rtl/>
          <w:lang w:bidi="fa-IR"/>
        </w:rPr>
      </w:pPr>
      <w:r>
        <w:rPr>
          <w:rtl/>
        </w:rPr>
        <w:t>(9).</w:t>
      </w:r>
      <w:r w:rsidR="008A74EB" w:rsidRPr="00C9040A">
        <w:rPr>
          <w:rtl/>
        </w:rPr>
        <w:t xml:space="preserve"> الخبر رواه البرقي في </w:t>
      </w:r>
      <w:r w:rsidR="008A74EB" w:rsidRPr="00993B55">
        <w:rPr>
          <w:rStyle w:val="libFootnoteBoldChar"/>
          <w:rtl/>
        </w:rPr>
        <w:t>المحاسن</w:t>
      </w:r>
      <w:r w:rsidR="008A74EB" w:rsidRPr="00C9040A">
        <w:rPr>
          <w:rtl/>
        </w:rPr>
        <w:t xml:space="preserve"> ، ص 228 ، ح 160</w:t>
      </w:r>
      <w:r w:rsidR="008A74EB">
        <w:rPr>
          <w:rtl/>
        </w:rPr>
        <w:t xml:space="preserve"> </w:t>
      </w:r>
      <w:r w:rsidR="0084262C">
        <w:rPr>
          <w:rtl/>
        </w:rPr>
        <w:t>-</w:t>
      </w:r>
      <w:r w:rsidR="008A74EB">
        <w:rPr>
          <w:rtl/>
        </w:rPr>
        <w:t xml:space="preserve"> </w:t>
      </w:r>
      <w:r w:rsidR="008A74EB" w:rsidRPr="00C9040A">
        <w:rPr>
          <w:rtl/>
        </w:rPr>
        <w:t>باختلاف في بعض الأجزاء</w:t>
      </w:r>
      <w:r w:rsidR="008A74EB">
        <w:rPr>
          <w:rtl/>
        </w:rPr>
        <w:t xml:space="preserve"> </w:t>
      </w:r>
      <w:r w:rsidR="0084262C">
        <w:rPr>
          <w:rtl/>
        </w:rPr>
        <w:t>-</w:t>
      </w:r>
      <w:r w:rsidR="008A74EB">
        <w:rPr>
          <w:rtl/>
        </w:rPr>
        <w:t xml:space="preserve"> </w:t>
      </w:r>
      <w:r w:rsidR="008A74EB" w:rsidRPr="00C9040A">
        <w:rPr>
          <w:rtl/>
        </w:rPr>
        <w:t xml:space="preserve">بسنده عن مثنّى بن الوليد ، عن أبي بصير ، قال : سمعت أبا جعفر </w:t>
      </w:r>
      <w:r w:rsidR="00117575" w:rsidRPr="00117575">
        <w:rPr>
          <w:rStyle w:val="libFootnoteAlaemChar"/>
          <w:rtl/>
        </w:rPr>
        <w:t>عليه‌السلام</w:t>
      </w:r>
      <w:r w:rsidR="008A74EB" w:rsidRPr="00C9040A">
        <w:rPr>
          <w:rtl/>
        </w:rPr>
        <w:t xml:space="preserve"> يقول. والشيخ المفيد أيضاً أورد الخبر أكثر تفصيلاً في </w:t>
      </w:r>
      <w:r w:rsidR="008A74EB" w:rsidRPr="00993B55">
        <w:rPr>
          <w:rStyle w:val="libFootnoteBoldChar"/>
          <w:rtl/>
        </w:rPr>
        <w:t>الأمالي</w:t>
      </w:r>
      <w:r w:rsidR="008A74EB" w:rsidRPr="00C9040A">
        <w:rPr>
          <w:rtl/>
        </w:rPr>
        <w:t xml:space="preserve"> ، ص 179 ، المجلس 23 ، ح 1 ، بسنده عن عاصم ، عن أبي بصير ، عن أبي جعفر محمّد بن عليّ الباقر </w:t>
      </w:r>
      <w:r w:rsidR="00117575" w:rsidRPr="00117575">
        <w:rPr>
          <w:rStyle w:val="libFootnoteAlaemChar"/>
          <w:rtl/>
        </w:rPr>
        <w:t xml:space="preserve">عليه‌السلام </w:t>
      </w:r>
      <w:r w:rsidR="008A74EB" w:rsidRPr="00C9040A">
        <w:rPr>
          <w:rtl/>
        </w:rPr>
        <w:t>.</w:t>
      </w:r>
    </w:p>
    <w:p w:rsidR="008A74EB" w:rsidRPr="004A4E41" w:rsidRDefault="008A74EB" w:rsidP="004A4E41">
      <w:pPr>
        <w:pStyle w:val="libFootnote0"/>
        <w:rPr>
          <w:rStyle w:val="libFootnote0Char"/>
          <w:rtl/>
        </w:rPr>
      </w:pPr>
      <w:r w:rsidRPr="00323A39">
        <w:rPr>
          <w:rtl/>
        </w:rPr>
        <w:t xml:space="preserve">والظاهر أنّ الصواب في ما نحن فيه « أبي جعفر </w:t>
      </w:r>
      <w:r w:rsidR="00117575" w:rsidRPr="00117575">
        <w:rPr>
          <w:rStyle w:val="libFootnoteAlaemChar"/>
          <w:rtl/>
        </w:rPr>
        <w:t xml:space="preserve">عليه‌السلام </w:t>
      </w:r>
      <w:r w:rsidRPr="00323A39">
        <w:rPr>
          <w:rtl/>
        </w:rPr>
        <w:t xml:space="preserve"> » ؛ يؤيّد ذلك ما تقدّم في ح 1829 ، من رواية مثنّى ، عن أبي بصير ، عن أبي جعفر </w:t>
      </w:r>
      <w:r w:rsidR="00117575" w:rsidRPr="00117575">
        <w:rPr>
          <w:rStyle w:val="libFootnoteAlaemChar"/>
          <w:rtl/>
        </w:rPr>
        <w:t>عليه‌السلام</w:t>
      </w:r>
      <w:r w:rsidRPr="00323A39">
        <w:rPr>
          <w:rtl/>
        </w:rPr>
        <w:t xml:space="preserve"> بعض أجزاء الخبر المفصّل.</w:t>
      </w:r>
    </w:p>
    <w:tbl>
      <w:tblPr>
        <w:tblStyle w:val="TableGrid"/>
        <w:bidiVisual/>
        <w:tblW w:w="0" w:type="auto"/>
        <w:tblLook w:val="04A0" w:firstRow="1" w:lastRow="0" w:firstColumn="1" w:lastColumn="0" w:noHBand="0" w:noVBand="1"/>
      </w:tblPr>
      <w:tblGrid>
        <w:gridCol w:w="4006"/>
        <w:gridCol w:w="4006"/>
      </w:tblGrid>
      <w:tr w:rsidR="00465F38" w:rsidTr="00465F38">
        <w:tc>
          <w:tcPr>
            <w:tcW w:w="4006" w:type="dxa"/>
          </w:tcPr>
          <w:p w:rsidR="00465F38" w:rsidRDefault="00465F38" w:rsidP="004A4E41">
            <w:pPr>
              <w:pStyle w:val="libFootnote0"/>
              <w:rPr>
                <w:rtl/>
              </w:rPr>
            </w:pPr>
            <w:r>
              <w:rPr>
                <w:rtl/>
              </w:rPr>
              <w:t>(10).</w:t>
            </w:r>
            <w:r w:rsidRPr="00C9040A">
              <w:rPr>
                <w:rtl/>
              </w:rPr>
              <w:t xml:space="preserve"> في « ض ، ف » : « </w:t>
            </w:r>
            <w:r w:rsidR="00117575" w:rsidRPr="00117575">
              <w:rPr>
                <w:rStyle w:val="libFootnoteAlaemChar"/>
                <w:rtl/>
              </w:rPr>
              <w:t>رحمه‌الله</w:t>
            </w:r>
            <w:r w:rsidRPr="00C9040A">
              <w:rPr>
                <w:rtl/>
              </w:rPr>
              <w:t xml:space="preserve"> »</w:t>
            </w:r>
            <w:r>
              <w:rPr>
                <w:rtl/>
              </w:rPr>
              <w:t>.</w:t>
            </w:r>
          </w:p>
        </w:tc>
        <w:tc>
          <w:tcPr>
            <w:tcW w:w="4006" w:type="dxa"/>
          </w:tcPr>
          <w:p w:rsidR="00465F38" w:rsidRDefault="00465F38" w:rsidP="004A4E41">
            <w:pPr>
              <w:pStyle w:val="libFootnote0"/>
              <w:rPr>
                <w:rtl/>
              </w:rPr>
            </w:pPr>
            <w:r>
              <w:rPr>
                <w:rtl/>
              </w:rPr>
              <w:t>(11).</w:t>
            </w:r>
            <w:r w:rsidRPr="00C9040A">
              <w:rPr>
                <w:rtl/>
              </w:rPr>
              <w:t xml:space="preserve"> في « ج ، ف » : « كان شي‌ء »</w:t>
            </w:r>
            <w:r>
              <w:rPr>
                <w:rtl/>
              </w:rPr>
              <w:t>.</w:t>
            </w:r>
          </w:p>
        </w:tc>
      </w:tr>
    </w:tbl>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مَا </w:t>
      </w:r>
      <w:r w:rsidR="006C577F" w:rsidRPr="006C577F">
        <w:rPr>
          <w:rStyle w:val="libFootnotenumChar"/>
          <w:rtl/>
        </w:rPr>
        <w:t>(1)</w:t>
      </w:r>
      <w:r w:rsidRPr="00C9040A">
        <w:rPr>
          <w:rtl/>
          <w:lang w:bidi="fa-IR"/>
        </w:rPr>
        <w:t xml:space="preserve"> يَنْفَعُ خَي</w:t>
      </w:r>
      <w:r w:rsidR="00465F38">
        <w:rPr>
          <w:rtl/>
          <w:lang w:bidi="fa-IR"/>
        </w:rPr>
        <w:t>ْرُهُ وَيَضُرُّ شَرُّهُ ، إِل</w:t>
      </w:r>
      <w:r w:rsidR="00465F38">
        <w:rPr>
          <w:rFonts w:hint="cs"/>
          <w:rtl/>
          <w:lang w:bidi="fa-IR"/>
        </w:rPr>
        <w:t>َّ</w:t>
      </w:r>
      <w:r w:rsidR="00465F38">
        <w:rPr>
          <w:rtl/>
          <w:lang w:bidi="fa-IR"/>
        </w:rPr>
        <w:t>ا</w:t>
      </w:r>
      <w:r w:rsidRPr="00C9040A">
        <w:rPr>
          <w:rtl/>
          <w:lang w:bidi="fa-IR"/>
        </w:rPr>
        <w:t xml:space="preserve"> مَنْ رَحِمَ اللهُ.</w:t>
      </w:r>
    </w:p>
    <w:p w:rsidR="008A74EB" w:rsidRPr="00C9040A" w:rsidRDefault="008A74EB" w:rsidP="008A74EB">
      <w:pPr>
        <w:pStyle w:val="libNormal"/>
        <w:rPr>
          <w:rtl/>
          <w:lang w:bidi="fa-IR"/>
        </w:rPr>
      </w:pPr>
      <w:r w:rsidRPr="00C9040A">
        <w:rPr>
          <w:rtl/>
          <w:lang w:bidi="fa-IR"/>
        </w:rPr>
        <w:t xml:space="preserve">يَا مُبْتَغِيَ الْعِلْمِ ، لَايَشْغَلْكَ أَهْلٌ وَلَا مَالٌ عَنْ نَفْسِكَ ، أَنْتَ يَوْمَ تُفَارِقُهُمْ كَضَيْفٍ بِتَّ فِيهِمْ ، ثُمَّ غَدَوْتَ عَنْهُمْ </w:t>
      </w:r>
      <w:r w:rsidR="006C577F" w:rsidRPr="006C577F">
        <w:rPr>
          <w:rStyle w:val="libFootnotenumChar"/>
          <w:rtl/>
        </w:rPr>
        <w:t>(2)</w:t>
      </w:r>
      <w:r w:rsidRPr="00C9040A">
        <w:rPr>
          <w:rtl/>
          <w:lang w:bidi="fa-IR"/>
        </w:rPr>
        <w:t xml:space="preserve"> إِلى غَيْرِهِمْ ، وَالدُّنْيَا وَالْآخِرَةُ كَمَنْزِلٍ تَحَوَّلْتَ مِنْهُ </w:t>
      </w:r>
      <w:r w:rsidR="006C577F" w:rsidRPr="006C577F">
        <w:rPr>
          <w:rStyle w:val="libFootnotenumChar"/>
          <w:rtl/>
        </w:rPr>
        <w:t>(3)</w:t>
      </w:r>
      <w:r w:rsidRPr="00C9040A">
        <w:rPr>
          <w:rtl/>
          <w:lang w:bidi="fa-IR"/>
        </w:rPr>
        <w:t xml:space="preserve"> إِلى غَيْرِهِ ، وَمَا بَي</w:t>
      </w:r>
      <w:r w:rsidR="00465F38">
        <w:rPr>
          <w:rtl/>
          <w:lang w:bidi="fa-IR"/>
        </w:rPr>
        <w:t>ْنَ الْمَوْتِ وَالْبَعْثِ إِل</w:t>
      </w:r>
      <w:r w:rsidR="00465F38">
        <w:rPr>
          <w:rFonts w:hint="cs"/>
          <w:rtl/>
          <w:lang w:bidi="fa-IR"/>
        </w:rPr>
        <w:t>َّ</w:t>
      </w:r>
      <w:r w:rsidR="00465F38">
        <w:rPr>
          <w:rtl/>
          <w:lang w:bidi="fa-IR"/>
        </w:rPr>
        <w:t>ا</w:t>
      </w:r>
      <w:r w:rsidRPr="00C9040A">
        <w:rPr>
          <w:rtl/>
          <w:lang w:bidi="fa-IR"/>
        </w:rPr>
        <w:t xml:space="preserve"> كَنَوْمَةٍ نِمْتَهَا ، ثُمَّ اسْتَيْقَظْتَ مِنْهَا.</w:t>
      </w:r>
    </w:p>
    <w:p w:rsidR="008A74EB" w:rsidRPr="00C9040A" w:rsidRDefault="008A74EB" w:rsidP="008A74EB">
      <w:pPr>
        <w:pStyle w:val="libNormal"/>
        <w:rPr>
          <w:rtl/>
          <w:lang w:bidi="fa-IR"/>
        </w:rPr>
      </w:pPr>
      <w:r w:rsidRPr="00C9040A">
        <w:rPr>
          <w:rtl/>
          <w:lang w:bidi="fa-IR"/>
        </w:rPr>
        <w:t xml:space="preserve">يَا مُبْتَغِيَ الْعِلْمِ ، قَدِّمْ لِمَقَامِكَ بَيْنَ يَدَيِ اللهِ عَزَّ وَجَلَّ ؛ فَإِنَّكَ مُثَابٌ </w:t>
      </w:r>
      <w:r w:rsidR="006C577F" w:rsidRPr="006C577F">
        <w:rPr>
          <w:rStyle w:val="libFootnotenumChar"/>
          <w:rtl/>
        </w:rPr>
        <w:t>(4)</w:t>
      </w:r>
      <w:r w:rsidRPr="00C9040A">
        <w:rPr>
          <w:rtl/>
          <w:lang w:bidi="fa-IR"/>
        </w:rPr>
        <w:t xml:space="preserve"> بِعَمَلِكَ ، كَمَا تَدِينُ تُدَانُ يَا مُبْتَغِيَ الْعِلْمِ </w:t>
      </w:r>
      <w:r w:rsidR="006C577F" w:rsidRPr="006C577F">
        <w:rPr>
          <w:rStyle w:val="libFootnotenumChar"/>
          <w:rtl/>
        </w:rPr>
        <w:t>(5)</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Normal"/>
        <w:rPr>
          <w:rtl/>
          <w:lang w:bidi="fa-IR"/>
        </w:rPr>
      </w:pPr>
      <w:r w:rsidRPr="00D14695">
        <w:rPr>
          <w:rtl/>
        </w:rPr>
        <w:t>1911</w:t>
      </w:r>
      <w:r w:rsidRPr="00261CB0">
        <w:rPr>
          <w:rStyle w:val="libBold2Char"/>
          <w:rtl/>
        </w:rPr>
        <w:t xml:space="preserve"> / 19.</w:t>
      </w:r>
      <w:r w:rsidRPr="00C9040A">
        <w:rPr>
          <w:rtl/>
          <w:lang w:bidi="fa-IR"/>
        </w:rPr>
        <w:t xml:space="preserve"> عِدَّةٌ مِنْ أَصْحَابِنَا ، عَنْ أَحْمَدَ بْنِ مُحَمَّدِ بْنِ خَالِدٍ ، عَنِ الْقَاسِمِ بْنِ يَحْيى ، عَنْ جَدِّهِ الْحَسَنِ بْنِ رَاشِدٍ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مَا لِي وَلِلدُّنْيَا </w:t>
      </w:r>
      <w:r w:rsidR="006C577F" w:rsidRPr="006C577F">
        <w:rPr>
          <w:rStyle w:val="libFootnotenumChar"/>
          <w:rtl/>
        </w:rPr>
        <w:t>(7)</w:t>
      </w:r>
      <w:r w:rsidRPr="00C9040A">
        <w:rPr>
          <w:rtl/>
          <w:lang w:bidi="fa-IR"/>
        </w:rPr>
        <w:t xml:space="preserve"> ، إِنَّمَا مَثَلِي وَمَثَلُهَا‌</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w:t>
      </w:r>
      <w:r w:rsidR="008A74EB" w:rsidRPr="0034021D">
        <w:rPr>
          <w:rStyle w:val="libFootnoteBoldChar"/>
          <w:rtl/>
        </w:rPr>
        <w:t>الأمالي للمفيد</w:t>
      </w:r>
      <w:r w:rsidR="008A74EB" w:rsidRPr="00C9040A">
        <w:rPr>
          <w:rtl/>
        </w:rPr>
        <w:t xml:space="preserve"> : « عملاً » بدل « ما »</w:t>
      </w:r>
      <w:r w:rsidR="008A74EB">
        <w:rPr>
          <w:rtl/>
        </w:rPr>
        <w:t>.</w:t>
      </w:r>
      <w:r w:rsidR="008A74EB" w:rsidRPr="00C9040A">
        <w:rPr>
          <w:rtl/>
        </w:rPr>
        <w:t xml:space="preserve"> وقيل : « ألا » حرف تنبيه ، </w:t>
      </w:r>
      <w:r w:rsidR="008A74EB">
        <w:rPr>
          <w:rtl/>
        </w:rPr>
        <w:t>و «</w:t>
      </w:r>
      <w:r w:rsidR="008A74EB" w:rsidRPr="00C9040A">
        <w:rPr>
          <w:rtl/>
        </w:rPr>
        <w:t xml:space="preserve"> ما » نافية ، والضميران راجعان إلى « شيئاً » ، والجملة بيان لما قبلها. كذا في </w:t>
      </w:r>
      <w:r w:rsidR="008A74EB" w:rsidRPr="009C20CA">
        <w:rPr>
          <w:rStyle w:val="libFootnoteBoldChar"/>
          <w:rtl/>
        </w:rPr>
        <w:t>شرح المازندراني والوافي</w:t>
      </w:r>
      <w:r w:rsidR="008A74EB" w:rsidRPr="00C9040A">
        <w:rPr>
          <w:rtl/>
        </w:rPr>
        <w:t xml:space="preserve">. وهذا أحد الوجوه الخمسة التي ذكرها في </w:t>
      </w:r>
      <w:r w:rsidR="008A74EB" w:rsidRPr="00993B55">
        <w:rPr>
          <w:rStyle w:val="libFootnoteBoldChar"/>
          <w:rtl/>
        </w:rPr>
        <w:t>مرآة العقول</w:t>
      </w:r>
      <w:r w:rsidR="008A74EB" w:rsidRPr="00C9040A">
        <w:rPr>
          <w:rtl/>
        </w:rPr>
        <w:t>.</w:t>
      </w:r>
      <w:r w:rsidR="009C20CA">
        <w:rPr>
          <w:rFonts w:hint="cs"/>
          <w:rtl/>
        </w:rPr>
        <w:t xml:space="preserve">                                          </w:t>
      </w:r>
      <w:r>
        <w:rPr>
          <w:rtl/>
        </w:rPr>
        <w:t>(2).</w:t>
      </w:r>
      <w:r w:rsidR="008A74EB">
        <w:rPr>
          <w:rtl/>
        </w:rPr>
        <w:t xml:space="preserve"> </w:t>
      </w:r>
      <w:r w:rsidR="008A74EB" w:rsidRPr="00C9040A">
        <w:rPr>
          <w:rtl/>
        </w:rPr>
        <w:t xml:space="preserve">في </w:t>
      </w:r>
      <w:r w:rsidR="008A74EB" w:rsidRPr="0034021D">
        <w:rPr>
          <w:rStyle w:val="libFootnoteBoldChar"/>
          <w:rtl/>
        </w:rPr>
        <w:t>الأمالي للمفيد</w:t>
      </w:r>
      <w:r w:rsidR="008A74EB" w:rsidRPr="00C9040A">
        <w:rPr>
          <w:rtl/>
        </w:rPr>
        <w:t xml:space="preserve"> : « من عندهم » بدل « عنهم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حاشية « ض » : « عنه »</w:t>
      </w:r>
      <w:r w:rsidR="008A74EB">
        <w:rPr>
          <w:rtl/>
        </w:rPr>
        <w:t>.</w:t>
      </w:r>
      <w:r w:rsidR="008A74EB" w:rsidRPr="00C9040A">
        <w:rPr>
          <w:rtl/>
        </w:rPr>
        <w:t xml:space="preserve"> وفي </w:t>
      </w:r>
      <w:r w:rsidR="008A74EB" w:rsidRPr="0034021D">
        <w:rPr>
          <w:rStyle w:val="libFootnoteBoldChar"/>
          <w:rtl/>
        </w:rPr>
        <w:t>الأمالي للمفيد</w:t>
      </w:r>
      <w:r w:rsidR="008A74EB" w:rsidRPr="00C9040A">
        <w:rPr>
          <w:rtl/>
        </w:rPr>
        <w:t xml:space="preserve"> : « نزلته ثمّ عدلت عنه » بدل « تحوّلت منه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حاشية « ف » : « تثاب »</w:t>
      </w:r>
      <w:r w:rsidR="008A74EB">
        <w:rPr>
          <w:rtl/>
        </w:rPr>
        <w:t>.</w:t>
      </w:r>
      <w:r w:rsidR="008A74EB" w:rsidRPr="00C9040A">
        <w:rPr>
          <w:rtl/>
        </w:rPr>
        <w:t xml:space="preserve"> وفي </w:t>
      </w:r>
      <w:r w:rsidR="008A74EB" w:rsidRPr="0034021D">
        <w:rPr>
          <w:rStyle w:val="libFootnoteBoldChar"/>
          <w:rtl/>
        </w:rPr>
        <w:t>الأمالي للمفيد</w:t>
      </w:r>
      <w:r w:rsidR="008A74EB" w:rsidRPr="00C9040A">
        <w:rPr>
          <w:rtl/>
        </w:rPr>
        <w:t xml:space="preserve"> : « مرتهن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w:t>
      </w:r>
      <w:r w:rsidR="008A74EB" w:rsidRPr="00993B55">
        <w:rPr>
          <w:rStyle w:val="libFootnoteBoldChar"/>
          <w:rtl/>
        </w:rPr>
        <w:t>مرآة العقول</w:t>
      </w:r>
      <w:r w:rsidR="008A74EB" w:rsidRPr="00C9040A">
        <w:rPr>
          <w:rtl/>
        </w:rPr>
        <w:t xml:space="preserve"> ، ج 8 ، ص 301 : « يا مبتغي العلم ، قيل : هذا افتتاح كلام آخر تركه المصنّف ، وإنّما ذكر ليعلم أنّ ما ذكره ليس جميع الخطبة ، كما مرّ بعضه في باب الصمت ، [ ح 1829 ] ؛ حيث قال </w:t>
      </w:r>
      <w:r w:rsidR="00117575" w:rsidRPr="00117575">
        <w:rPr>
          <w:rStyle w:val="libFootnoteAlaemChar"/>
          <w:rtl/>
        </w:rPr>
        <w:t>رضي‌الله‌عنه</w:t>
      </w:r>
      <w:r w:rsidR="008A74EB" w:rsidRPr="00C9040A">
        <w:rPr>
          <w:rtl/>
        </w:rPr>
        <w:t xml:space="preserve"> : يا مبتغي العلم ، إنّ هذا اللسان مفتاح الخير ، إلخ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34021D">
        <w:rPr>
          <w:rStyle w:val="libFootnoteBoldChar"/>
          <w:rtl/>
        </w:rPr>
        <w:t>الأمالي للمفيد</w:t>
      </w:r>
      <w:r w:rsidR="008A74EB" w:rsidRPr="00C9040A">
        <w:rPr>
          <w:rtl/>
        </w:rPr>
        <w:t xml:space="preserve"> ، ص 179 ، المجلس 23 ، صدر </w:t>
      </w:r>
      <w:r w:rsidR="008A74EB" w:rsidRPr="009C20CA">
        <w:rPr>
          <w:rStyle w:val="libFootnoteBoldChar"/>
          <w:rtl/>
        </w:rPr>
        <w:t>الحديث الطويل</w:t>
      </w:r>
      <w:r w:rsidR="008A74EB" w:rsidRPr="00C9040A">
        <w:rPr>
          <w:rtl/>
        </w:rPr>
        <w:t xml:space="preserve"> 1 ؛ </w:t>
      </w:r>
      <w:r w:rsidR="008A74EB" w:rsidRPr="00993B55">
        <w:rPr>
          <w:rStyle w:val="libFootnoteBoldChar"/>
          <w:rtl/>
        </w:rPr>
        <w:t>الأم</w:t>
      </w:r>
      <w:r w:rsidR="008A74EB" w:rsidRPr="009C20CA">
        <w:rPr>
          <w:rStyle w:val="libFootnoteBoldChar"/>
          <w:rtl/>
        </w:rPr>
        <w:t>الي للطوسي</w:t>
      </w:r>
      <w:r w:rsidR="008A74EB" w:rsidRPr="00C9040A">
        <w:rPr>
          <w:rtl/>
        </w:rPr>
        <w:t xml:space="preserve"> ، ص 543 ، المجلس 20 ، ذيل الحديث الطويل 2 ، وفيهما بسند آخر عن أبي بصير ، عن أبي جعفر </w:t>
      </w:r>
      <w:r w:rsidR="00117575" w:rsidRPr="00117575">
        <w:rPr>
          <w:rStyle w:val="libFootnoteAlaemChar"/>
          <w:rtl/>
        </w:rPr>
        <w:t xml:space="preserve">عليه‌السلام </w:t>
      </w:r>
      <w:r w:rsidR="008A74EB" w:rsidRPr="00C9040A">
        <w:rPr>
          <w:rtl/>
        </w:rPr>
        <w:t xml:space="preserve"> ؛ </w:t>
      </w:r>
      <w:r w:rsidR="008A74EB" w:rsidRPr="00993B55">
        <w:rPr>
          <w:rStyle w:val="libFootnoteBoldChar"/>
          <w:rtl/>
        </w:rPr>
        <w:t>المحاسن</w:t>
      </w:r>
      <w:r w:rsidR="008A74EB" w:rsidRPr="00C9040A">
        <w:rPr>
          <w:rtl/>
        </w:rPr>
        <w:t xml:space="preserve"> ، ص 228 ، </w:t>
      </w:r>
      <w:r w:rsidR="008A74EB" w:rsidRPr="009C20CA">
        <w:rPr>
          <w:rStyle w:val="libFootnoteBoldChar"/>
          <w:rtl/>
        </w:rPr>
        <w:t>كتاب مصابيح الظلم</w:t>
      </w:r>
      <w:r w:rsidR="008A74EB" w:rsidRPr="00C9040A">
        <w:rPr>
          <w:rtl/>
        </w:rPr>
        <w:t xml:space="preserve"> ، ح 160 ، عن الوشّاء ، عن مثنّى بن الوليد ، عن أبي بصير ، عن أبي جعفر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الأمالي</w:t>
      </w:r>
      <w:r w:rsidR="008A74EB" w:rsidRPr="00C9040A">
        <w:rPr>
          <w:rtl/>
        </w:rPr>
        <w:t xml:space="preserve"> </w:t>
      </w:r>
      <w:r w:rsidR="008A74EB" w:rsidRPr="009C20CA">
        <w:rPr>
          <w:rStyle w:val="libFootnoteBoldChar"/>
          <w:rtl/>
        </w:rPr>
        <w:t>للطوسي</w:t>
      </w:r>
      <w:r w:rsidR="008A74EB" w:rsidRPr="00C9040A">
        <w:rPr>
          <w:rtl/>
        </w:rPr>
        <w:t xml:space="preserve"> ، ص 543 ، المجلس 20 ، ح 1 ، بسند آخر عن أبي عبد الله ، عن أبيه </w:t>
      </w:r>
      <w:r w:rsidR="00117575" w:rsidRPr="00117575">
        <w:rPr>
          <w:rStyle w:val="libFootnoteAlaemChar"/>
          <w:rtl/>
        </w:rPr>
        <w:t>عليهما‌السلام</w:t>
      </w:r>
      <w:r w:rsidR="008A74EB" w:rsidRPr="00C9040A">
        <w:rPr>
          <w:rtl/>
        </w:rPr>
        <w:t xml:space="preserve"> ، وفيهما من قوله : « يا مبتغي العلم لا يشغلك أهل ولا مال » ، إلى قوله : « ثم استيقظت منها » ، مع زيادة في آخره ، وفي كلّها مع اختلاف يسير </w:t>
      </w:r>
      <w:r w:rsidR="009C20CA">
        <w:rPr>
          <w:rFonts w:hint="cs"/>
          <w:rtl/>
        </w:rPr>
        <w:t>.</w:t>
      </w:r>
      <w:r w:rsidR="008A74EB" w:rsidRPr="00993B55">
        <w:rPr>
          <w:rStyle w:val="libFootnoteBoldChar"/>
          <w:rtl/>
        </w:rPr>
        <w:t>الوافي</w:t>
      </w:r>
      <w:r w:rsidR="008A74EB" w:rsidRPr="00C9040A">
        <w:rPr>
          <w:rtl/>
        </w:rPr>
        <w:t xml:space="preserve"> ، ج 4 ، ص 397 ، ح 2184 ؛ </w:t>
      </w:r>
      <w:r w:rsidR="008A74EB" w:rsidRPr="00993B55">
        <w:rPr>
          <w:rStyle w:val="libFootnoteBoldChar"/>
          <w:rtl/>
        </w:rPr>
        <w:t>البحار</w:t>
      </w:r>
      <w:r w:rsidR="008A74EB" w:rsidRPr="00C9040A">
        <w:rPr>
          <w:rtl/>
        </w:rPr>
        <w:t xml:space="preserve"> ، ج 22 ، ص 401 ، ح 11 ؛ وج 73 ، ص 65 ، ح 34.</w:t>
      </w:r>
    </w:p>
    <w:p w:rsidR="008A74EB" w:rsidRPr="00C9040A" w:rsidRDefault="006C577F" w:rsidP="004A4E41">
      <w:pPr>
        <w:pStyle w:val="libFootnote0"/>
        <w:rPr>
          <w:rtl/>
          <w:lang w:bidi="fa-IR"/>
        </w:rPr>
      </w:pPr>
      <w:r>
        <w:rPr>
          <w:rtl/>
        </w:rPr>
        <w:t>(7).</w:t>
      </w:r>
      <w:r w:rsidR="008A74EB" w:rsidRPr="00C9040A">
        <w:rPr>
          <w:rtl/>
        </w:rPr>
        <w:t xml:space="preserve"> في « ض ، بر » وحاشية « بف » وشرح المازندراني والوافي ومرآة العقول والبحار : + « وما أنا والدنيا »</w:t>
      </w:r>
      <w:r w:rsidR="008A74EB">
        <w:rPr>
          <w:rtl/>
        </w:rPr>
        <w:t>.</w:t>
      </w:r>
      <w:r w:rsidR="008A74EB" w:rsidRPr="00C9040A">
        <w:rPr>
          <w:rtl/>
        </w:rPr>
        <w:t xml:space="preserve"> وفي‌هامش المطبوع عن بعض النسخ : « ما أنا والدنيا »</w:t>
      </w:r>
      <w:r w:rsidR="008A74EB">
        <w:rPr>
          <w:rtl/>
        </w:rPr>
        <w:t>.</w:t>
      </w:r>
      <w:r w:rsidR="008A74EB" w:rsidRPr="00C9040A">
        <w:rPr>
          <w:rtl/>
        </w:rPr>
        <w:t xml:space="preserve"> وفي البحار : « الدنيا » بدل « للدنيا »</w:t>
      </w:r>
      <w:r w:rsidR="008A74EB">
        <w:rPr>
          <w:rtl/>
        </w:rPr>
        <w:t>.</w:t>
      </w:r>
      <w:r w:rsidR="008A74EB" w:rsidRPr="00C9040A">
        <w:rPr>
          <w:rtl/>
        </w:rPr>
        <w:t xml:space="preserve"> قال في </w:t>
      </w:r>
      <w:r w:rsidR="008A74EB" w:rsidRPr="00993B55">
        <w:rPr>
          <w:rStyle w:val="libFootnoteBoldChar"/>
          <w:rtl/>
        </w:rPr>
        <w:t>المرآة</w:t>
      </w:r>
      <w:r w:rsidR="008A74EB" w:rsidRPr="00C9040A">
        <w:rPr>
          <w:rtl/>
        </w:rPr>
        <w:t xml:space="preserve"> : « مالي </w:t>
      </w:r>
      <w:r w:rsidR="009C20CA">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كَمَثَلِ الرَّاكِبِ </w:t>
      </w:r>
      <w:r w:rsidR="006C577F" w:rsidRPr="006C577F">
        <w:rPr>
          <w:rStyle w:val="libFootnotenumChar"/>
          <w:rtl/>
        </w:rPr>
        <w:t>(1)</w:t>
      </w:r>
      <w:r w:rsidRPr="00C9040A">
        <w:rPr>
          <w:rtl/>
          <w:lang w:bidi="fa-IR"/>
        </w:rPr>
        <w:t xml:space="preserve"> ، رُفِعَتْ لَهُ شَجَرَةٌ فِي يَوْمٍ صَائِفٍ </w:t>
      </w:r>
      <w:r w:rsidR="006C577F" w:rsidRPr="006C577F">
        <w:rPr>
          <w:rStyle w:val="libFootnotenumChar"/>
          <w:rtl/>
        </w:rPr>
        <w:t>(2)</w:t>
      </w:r>
      <w:r w:rsidRPr="00C9040A">
        <w:rPr>
          <w:rtl/>
          <w:lang w:bidi="fa-IR"/>
        </w:rPr>
        <w:t xml:space="preserve"> ، فَقَالَ </w:t>
      </w:r>
      <w:r w:rsidR="006C577F" w:rsidRPr="006C577F">
        <w:rPr>
          <w:rStyle w:val="libFootnotenumChar"/>
          <w:rtl/>
        </w:rPr>
        <w:t>(3)</w:t>
      </w:r>
      <w:r w:rsidRPr="00C9040A">
        <w:rPr>
          <w:rtl/>
          <w:lang w:bidi="fa-IR"/>
        </w:rPr>
        <w:t xml:space="preserve"> تَحْتَهَا ، ثُمَّ رَاحَ وَتَرَكَهَا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D14695">
        <w:rPr>
          <w:rtl/>
        </w:rPr>
        <w:t>1912</w:t>
      </w:r>
      <w:r w:rsidRPr="00261CB0">
        <w:rPr>
          <w:rStyle w:val="libBold2Char"/>
          <w:rtl/>
        </w:rPr>
        <w:t xml:space="preserve"> / 20.</w:t>
      </w:r>
      <w:r w:rsidRPr="00C9040A">
        <w:rPr>
          <w:rtl/>
          <w:lang w:bidi="fa-IR"/>
        </w:rPr>
        <w:t xml:space="preserve"> عَلِيُّ بْنُ إِبْرَاهِيمَ ، عَنْ مُحَمَّدِ بْنِ عِيسى ، عَنْ يَحْيَى بْنِ عُقْبَةَ الْأَزْدِيِّ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قَالَ أَبُو جَعْفَرٍ </w:t>
      </w:r>
      <w:r w:rsidRPr="0003660B">
        <w:rPr>
          <w:rStyle w:val="libAlaemChar"/>
          <w:rtl/>
        </w:rPr>
        <w:t>عليه‌السلام</w:t>
      </w:r>
      <w:r w:rsidRPr="00C9040A">
        <w:rPr>
          <w:rtl/>
          <w:lang w:bidi="fa-IR"/>
        </w:rPr>
        <w:t xml:space="preserve"> : « مَثَلُ الْحَرِيصِ عَلَى الدُّنْيَا كَمَثَلِ </w:t>
      </w:r>
      <w:r w:rsidR="006C577F" w:rsidRPr="006C577F">
        <w:rPr>
          <w:rStyle w:val="libFootnotenumChar"/>
          <w:rtl/>
        </w:rPr>
        <w:t>(5)</w:t>
      </w:r>
      <w:r w:rsidRPr="00C9040A">
        <w:rPr>
          <w:rtl/>
          <w:lang w:bidi="fa-IR"/>
        </w:rPr>
        <w:t xml:space="preserve"> دُودَةِ الْقَزِّ ، كُلَّمَا ازْدَادَتْ </w:t>
      </w:r>
      <w:r w:rsidR="006C577F" w:rsidRPr="006C577F">
        <w:rPr>
          <w:rStyle w:val="libFootnotenumChar"/>
          <w:rtl/>
        </w:rPr>
        <w:t>(6)</w:t>
      </w:r>
      <w:r w:rsidRPr="005B567D">
        <w:rPr>
          <w:rStyle w:val="libFootnotenumChar"/>
          <w:rtl/>
        </w:rPr>
        <w:t xml:space="preserve"> </w:t>
      </w:r>
      <w:r w:rsidRPr="00C9040A">
        <w:rPr>
          <w:rtl/>
          <w:lang w:bidi="fa-IR"/>
        </w:rPr>
        <w:t>عَلى نَفْسِهَا لَفّاً ، كَانَ أَبْعَدَ لَهَا مِنَ الْخُرُوجِ حَتّى تَمُوتَ غَمّاً »</w:t>
      </w:r>
      <w:r>
        <w:rPr>
          <w:rtl/>
          <w:lang w:bidi="fa-IR"/>
        </w:rPr>
        <w:t>.</w:t>
      </w:r>
    </w:p>
    <w:p w:rsidR="008A74EB" w:rsidRPr="00C9040A" w:rsidRDefault="008A74EB" w:rsidP="008A74EB">
      <w:pPr>
        <w:pStyle w:val="libNormal"/>
        <w:rPr>
          <w:rtl/>
          <w:lang w:bidi="fa-IR"/>
        </w:rPr>
      </w:pPr>
      <w:r w:rsidRPr="00C9040A">
        <w:rPr>
          <w:rtl/>
          <w:lang w:bidi="fa-IR"/>
        </w:rPr>
        <w:t>قَالَ : وَ</w:t>
      </w:r>
      <w:r>
        <w:rPr>
          <w:rFonts w:hint="cs"/>
          <w:rtl/>
          <w:lang w:bidi="fa-IR"/>
        </w:rPr>
        <w:t xml:space="preserve"> </w:t>
      </w:r>
      <w:r w:rsidR="006C577F" w:rsidRPr="006C577F">
        <w:rPr>
          <w:rStyle w:val="libFootnotenumChar"/>
          <w:rtl/>
        </w:rPr>
        <w:t>(7)</w:t>
      </w:r>
      <w:r w:rsidRPr="00C9040A">
        <w:rPr>
          <w:rtl/>
          <w:lang w:bidi="fa-IR"/>
        </w:rPr>
        <w:t xml:space="preserve"> قَالَ أَبُو عَبْدِ اللهِ </w:t>
      </w:r>
      <w:r w:rsidR="006C577F" w:rsidRPr="006C577F">
        <w:rPr>
          <w:rStyle w:val="libFootnotenumChar"/>
          <w:rtl/>
        </w:rPr>
        <w:t>(8)</w:t>
      </w:r>
      <w:r w:rsidRPr="00C9040A">
        <w:rPr>
          <w:rtl/>
          <w:lang w:bidi="fa-IR"/>
        </w:rPr>
        <w:t xml:space="preserve"> </w:t>
      </w:r>
      <w:r w:rsidRPr="0003660B">
        <w:rPr>
          <w:rStyle w:val="libAlaemChar"/>
          <w:rtl/>
        </w:rPr>
        <w:t>عليه‌السلام</w:t>
      </w:r>
      <w:r w:rsidRPr="00C9040A">
        <w:rPr>
          <w:rtl/>
          <w:lang w:bidi="fa-IR"/>
        </w:rPr>
        <w:t xml:space="preserve"> : « كَانَ فِيمَا وَعَظَ بِهِ لُقْمَانُ ابْنَهُ </w:t>
      </w:r>
      <w:r w:rsidR="006C577F" w:rsidRPr="006C577F">
        <w:rPr>
          <w:rStyle w:val="libFootnotenumChar"/>
          <w:rtl/>
        </w:rPr>
        <w:t>(9)</w:t>
      </w:r>
      <w:r w:rsidRPr="00C9040A">
        <w:rPr>
          <w:rtl/>
          <w:lang w:bidi="fa-IR"/>
        </w:rPr>
        <w:t xml:space="preserve"> : يَا بُنَيَّ ، إِنَّ النَّاسَ قَدْ جَمَعُوا قَبْلَكَ لِأَوْلَادِهِمْ ، فَلَمْ يَبْقَ </w:t>
      </w:r>
      <w:r w:rsidR="006C577F" w:rsidRPr="006C577F">
        <w:rPr>
          <w:rStyle w:val="libFootnotenumChar"/>
          <w:rtl/>
        </w:rPr>
        <w:t>(10)</w:t>
      </w:r>
      <w:r w:rsidRPr="00C9040A">
        <w:rPr>
          <w:rtl/>
          <w:lang w:bidi="fa-IR"/>
        </w:rPr>
        <w:t xml:space="preserve"> مَا جَمَعُوا </w:t>
      </w:r>
      <w:r w:rsidR="006C577F" w:rsidRPr="006C577F">
        <w:rPr>
          <w:rStyle w:val="libFootnotenumChar"/>
          <w:rtl/>
        </w:rPr>
        <w:t>(11)</w:t>
      </w:r>
      <w:r w:rsidRPr="00C9040A">
        <w:rPr>
          <w:rtl/>
          <w:lang w:bidi="fa-IR"/>
        </w:rPr>
        <w:t xml:space="preserve"> ، وَلَمْ يَبْقَ مَنْ جَمَعُوا لَهُ </w:t>
      </w:r>
      <w:r w:rsidR="006C577F" w:rsidRPr="006C577F">
        <w:rPr>
          <w:rStyle w:val="libFootnotenumChar"/>
          <w:rtl/>
        </w:rPr>
        <w:t>(12)</w:t>
      </w:r>
      <w:r w:rsidRPr="00C9040A">
        <w:rPr>
          <w:rtl/>
          <w:lang w:bidi="fa-IR"/>
        </w:rPr>
        <w:t xml:space="preserve"> ، وَإِنَّمَا أَنْتَ عَبْدٌ مُسْتَأْجَرٌ </w:t>
      </w:r>
      <w:r w:rsidRPr="005B567D">
        <w:rPr>
          <w:rStyle w:val="libFootnotenumChar"/>
          <w:rtl/>
        </w:rPr>
        <w:t>(13)</w:t>
      </w:r>
      <w:r w:rsidRPr="00C9040A">
        <w:rPr>
          <w:rtl/>
          <w:lang w:bidi="fa-IR"/>
        </w:rPr>
        <w:t xml:space="preserve"> قَدْ أُمِرْتَ بِعَمَلٍ ، وَوُعِدْتَ عَلَيْهِ أَجْراً ، فَأَوْفِ عَمَلَكَ ، وَاسْتَوْفِ أَجْرَكَ ، وَلَا تَكُنْ فِي هذِهِ الدُّنْيَا بِمَنْزِلَةِ شَاةٍ وَقَعَتْ </w:t>
      </w:r>
      <w:r w:rsidRPr="005B567D">
        <w:rPr>
          <w:rStyle w:val="libFootnotenumChar"/>
          <w:rtl/>
        </w:rPr>
        <w:t>(14)</w:t>
      </w:r>
      <w:r w:rsidRPr="00C9040A">
        <w:rPr>
          <w:rtl/>
          <w:lang w:bidi="fa-IR"/>
        </w:rPr>
        <w:t xml:space="preserve"> فِي زَرْعٍ أَخْضَرَ ، فَأَكَلَتْ حَتّى سَمِنَتْ </w:t>
      </w:r>
      <w:r w:rsidRPr="005B567D">
        <w:rPr>
          <w:rStyle w:val="libFootnotenumChar"/>
          <w:rtl/>
        </w:rPr>
        <w:t>(15)</w:t>
      </w:r>
      <w:r w:rsidRPr="00C9040A">
        <w:rPr>
          <w:rtl/>
          <w:lang w:bidi="fa-IR"/>
        </w:rPr>
        <w:t xml:space="preserve"> ، فَكَانَ حَتْفُهَا </w:t>
      </w:r>
      <w:r w:rsidRPr="005B567D">
        <w:rPr>
          <w:rStyle w:val="libFootnotenumChar"/>
          <w:rtl/>
        </w:rPr>
        <w:t>(16)</w:t>
      </w:r>
      <w:r w:rsidRPr="00C9040A">
        <w:rPr>
          <w:rtl/>
          <w:lang w:bidi="fa-IR"/>
        </w:rPr>
        <w:t xml:space="preserve"> عِنْدَ سِمَنِهَا ، وَلكِنِ اجْعَلِ الدُّنْيَا بِمَنْزِلَةِ قَنْطَرَةٍ </w:t>
      </w:r>
      <w:r w:rsidRPr="005B567D">
        <w:rPr>
          <w:rStyle w:val="libFootnotenumChar"/>
          <w:rtl/>
        </w:rPr>
        <w:t>(17)</w:t>
      </w:r>
      <w:r w:rsidRPr="00C9040A">
        <w:rPr>
          <w:rtl/>
          <w:lang w:bidi="fa-IR"/>
        </w:rPr>
        <w:t xml:space="preserve"> عَلى نَهَرٍ‌</w:t>
      </w:r>
    </w:p>
    <w:p w:rsidR="008A74EB" w:rsidRPr="00C9040A" w:rsidRDefault="008A74EB" w:rsidP="008A74EB">
      <w:pPr>
        <w:pStyle w:val="libLine"/>
        <w:rPr>
          <w:rtl/>
          <w:lang w:bidi="fa-IR"/>
        </w:rPr>
      </w:pPr>
      <w:r w:rsidRPr="00C9040A">
        <w:rPr>
          <w:rtl/>
          <w:lang w:bidi="fa-IR"/>
        </w:rPr>
        <w:t>__________________</w:t>
      </w:r>
    </w:p>
    <w:p w:rsidR="008A74EB" w:rsidRPr="00C9040A" w:rsidRDefault="009C20CA" w:rsidP="004A4E41">
      <w:pPr>
        <w:pStyle w:val="libFootnote0"/>
        <w:rPr>
          <w:rtl/>
          <w:lang w:bidi="fa-IR"/>
        </w:rPr>
      </w:pPr>
      <w:r>
        <w:rPr>
          <w:rFonts w:hint="cs"/>
          <w:rtl/>
        </w:rPr>
        <w:t xml:space="preserve">= </w:t>
      </w:r>
      <w:r w:rsidR="008A74EB" w:rsidRPr="00C9040A">
        <w:rPr>
          <w:rtl/>
        </w:rPr>
        <w:t>وللدنيا ، أي أيّ شغل لي مع الدنيا</w:t>
      </w:r>
      <w:r w:rsidR="008A74EB">
        <w:rPr>
          <w:rtl/>
        </w:rPr>
        <w:t>؟</w:t>
      </w:r>
      <w:r w:rsidR="008A74EB" w:rsidRPr="00C9040A">
        <w:rPr>
          <w:rtl/>
        </w:rPr>
        <w:t xml:space="preserve"> وقيل : « ما » نافية ، أي مالي محبّة مع الدنيا. أو للاستفهام ، أي أيّ محبّة لي معها حتّى أرغب فيها</w:t>
      </w:r>
      <w:r w:rsidR="008A74EB">
        <w:rPr>
          <w:rtl/>
        </w:rPr>
        <w:t>؟</w:t>
      </w:r>
      <w:r w:rsidR="008A74EB" w:rsidRPr="00C9040A">
        <w:rPr>
          <w:rtl/>
        </w:rPr>
        <w:t xml:space="preserve"> ذكره الطيبي في شرح بعض رواياتهم »</w:t>
      </w:r>
      <w:r w:rsidR="008A74EB">
        <w:rPr>
          <w:rtl/>
        </w:rPr>
        <w:t>.</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د ، ص ف ، بر ، بس ، بف » والبحار : « راكب »</w:t>
      </w:r>
      <w:r w:rsidR="008A74EB">
        <w:rPr>
          <w:rtl/>
        </w:rPr>
        <w:t>.</w:t>
      </w:r>
      <w:r w:rsidR="008A74EB" w:rsidRPr="00C9040A">
        <w:rPr>
          <w:rtl/>
        </w:rPr>
        <w:t xml:space="preserve"> وفي الوسائل : « كراكب » بدل « ومثلها كمثل الراكب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حاشية « ض » : « في الصيف »</w:t>
      </w:r>
      <w:r w:rsidR="008A74EB">
        <w:rPr>
          <w:rtl/>
        </w:rPr>
        <w:t>.</w:t>
      </w:r>
      <w:r w:rsidR="008A74EB" w:rsidRPr="00C9040A">
        <w:rPr>
          <w:rtl/>
        </w:rPr>
        <w:t xml:space="preserve"> </w:t>
      </w:r>
      <w:r w:rsidR="008A74EB">
        <w:rPr>
          <w:rtl/>
        </w:rPr>
        <w:t>و «</w:t>
      </w:r>
      <w:r w:rsidR="008A74EB" w:rsidRPr="00C9040A">
        <w:rPr>
          <w:rtl/>
        </w:rPr>
        <w:t xml:space="preserve"> يوم صائف » : يوم حارّ.</w:t>
      </w:r>
    </w:p>
    <w:p w:rsidR="008A74EB" w:rsidRPr="00C9040A" w:rsidRDefault="006C577F" w:rsidP="004A4E41">
      <w:pPr>
        <w:pStyle w:val="libFootnote0"/>
        <w:rPr>
          <w:rtl/>
          <w:lang w:bidi="fa-IR"/>
        </w:rPr>
      </w:pPr>
      <w:r>
        <w:rPr>
          <w:rtl/>
        </w:rPr>
        <w:t>(3).</w:t>
      </w:r>
      <w:r w:rsidR="008A74EB" w:rsidRPr="00C9040A">
        <w:rPr>
          <w:rtl/>
        </w:rPr>
        <w:t xml:space="preserve"> في حاشية « ج ، ص » : « فقعد »</w:t>
      </w:r>
      <w:r w:rsidR="008A74EB">
        <w:rPr>
          <w:rtl/>
        </w:rPr>
        <w:t>.</w:t>
      </w:r>
      <w:r w:rsidR="008A74EB" w:rsidRPr="00C9040A">
        <w:rPr>
          <w:rtl/>
        </w:rPr>
        <w:t xml:space="preserve"> وقال يقيل قَيْلاً وقَيلولةً : نام نصف النهار. </w:t>
      </w:r>
      <w:r w:rsidR="008A74EB" w:rsidRPr="00993B55">
        <w:rPr>
          <w:rStyle w:val="libFootnoteBoldChar"/>
          <w:rtl/>
        </w:rPr>
        <w:t>المصباح المنير</w:t>
      </w:r>
      <w:r w:rsidR="008A74EB" w:rsidRPr="00C9040A">
        <w:rPr>
          <w:rtl/>
        </w:rPr>
        <w:t xml:space="preserve"> ، ص 521 ( قيل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الوافي</w:t>
      </w:r>
      <w:r w:rsidR="008A74EB" w:rsidRPr="00C9040A">
        <w:rPr>
          <w:rtl/>
        </w:rPr>
        <w:t xml:space="preserve"> ، ج 4 ، ص 397 ، ح 2185 ؛ </w:t>
      </w:r>
      <w:r w:rsidR="008A74EB" w:rsidRPr="00993B55">
        <w:rPr>
          <w:rStyle w:val="libFootnoteBoldChar"/>
          <w:rtl/>
        </w:rPr>
        <w:t>الوسائل</w:t>
      </w:r>
      <w:r w:rsidR="008A74EB" w:rsidRPr="00C9040A">
        <w:rPr>
          <w:rtl/>
        </w:rPr>
        <w:t xml:space="preserve"> ، ج 16 ، ص 17 ، ح 20843 ؛ </w:t>
      </w:r>
      <w:r w:rsidR="008A74EB" w:rsidRPr="00993B55">
        <w:rPr>
          <w:rStyle w:val="libFootnoteBoldChar"/>
          <w:rtl/>
        </w:rPr>
        <w:t>البحار</w:t>
      </w:r>
      <w:r w:rsidR="008A74EB" w:rsidRPr="00C9040A">
        <w:rPr>
          <w:rtl/>
        </w:rPr>
        <w:t xml:space="preserve"> ، ج 73 ، ص 67 ، ح 35.</w:t>
      </w:r>
    </w:p>
    <w:p w:rsidR="008A74EB" w:rsidRPr="00C9040A" w:rsidRDefault="006C577F" w:rsidP="004A4E41">
      <w:pPr>
        <w:pStyle w:val="libFootnote0"/>
        <w:rPr>
          <w:rtl/>
          <w:lang w:bidi="fa-IR"/>
        </w:rPr>
      </w:pPr>
      <w:r>
        <w:rPr>
          <w:rtl/>
        </w:rPr>
        <w:t>(5).</w:t>
      </w:r>
      <w:r w:rsidR="008A74EB" w:rsidRPr="00C9040A">
        <w:rPr>
          <w:rtl/>
        </w:rPr>
        <w:t xml:space="preserve"> في الكافي ، ح 2592 : « مثل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البحار ، ص 23 والكافي ، ح 2592 : + « من القزّ »</w:t>
      </w:r>
      <w:r w:rsidR="008A74EB">
        <w:rPr>
          <w:rtl/>
        </w:rPr>
        <w:t>.</w:t>
      </w:r>
    </w:p>
    <w:p w:rsidR="008A74EB" w:rsidRPr="004A4E41" w:rsidRDefault="006C577F" w:rsidP="004A4E41">
      <w:pPr>
        <w:pStyle w:val="libFootnote0"/>
        <w:rPr>
          <w:rStyle w:val="libFootnote0Char"/>
          <w:rtl/>
        </w:rPr>
      </w:pPr>
      <w:r>
        <w:rPr>
          <w:rtl/>
        </w:rPr>
        <w:t>(7).</w:t>
      </w:r>
      <w:r w:rsidR="008A74EB" w:rsidRPr="00C9040A">
        <w:rPr>
          <w:rtl/>
        </w:rPr>
        <w:t xml:space="preserve"> في « ز ، ص » </w:t>
      </w:r>
      <w:r w:rsidR="008A74EB">
        <w:rPr>
          <w:rtl/>
        </w:rPr>
        <w:t xml:space="preserve">: </w:t>
      </w:r>
      <w:r w:rsidR="0084262C">
        <w:rPr>
          <w:rtl/>
        </w:rPr>
        <w:t>-</w:t>
      </w:r>
      <w:r w:rsidR="008A74EB" w:rsidRPr="00C9040A">
        <w:rPr>
          <w:rtl/>
        </w:rPr>
        <w:t xml:space="preserve"> « </w:t>
      </w:r>
      <w:r w:rsidR="008A74EB">
        <w:rPr>
          <w:rtl/>
        </w:rPr>
        <w:t>و ».</w:t>
      </w:r>
    </w:p>
    <w:tbl>
      <w:tblPr>
        <w:tblStyle w:val="TableGrid"/>
        <w:bidiVisual/>
        <w:tblW w:w="0" w:type="auto"/>
        <w:tblLook w:val="04A0" w:firstRow="1" w:lastRow="0" w:firstColumn="1" w:lastColumn="0" w:noHBand="0" w:noVBand="1"/>
      </w:tblPr>
      <w:tblGrid>
        <w:gridCol w:w="4006"/>
        <w:gridCol w:w="4006"/>
      </w:tblGrid>
      <w:tr w:rsidR="00BA0C68" w:rsidTr="00BA0C68">
        <w:tc>
          <w:tcPr>
            <w:tcW w:w="4006" w:type="dxa"/>
          </w:tcPr>
          <w:p w:rsidR="00BA0C68" w:rsidRDefault="00BA0C68" w:rsidP="004A4E41">
            <w:pPr>
              <w:pStyle w:val="libFootnote0"/>
              <w:rPr>
                <w:rtl/>
              </w:rPr>
            </w:pPr>
            <w:r>
              <w:rPr>
                <w:rtl/>
              </w:rPr>
              <w:t>(8).</w:t>
            </w:r>
            <w:r w:rsidRPr="00C9040A">
              <w:rPr>
                <w:rtl/>
              </w:rPr>
              <w:t xml:space="preserve"> في « ف » : « أبو جعفر »</w:t>
            </w:r>
            <w:r>
              <w:rPr>
                <w:rtl/>
              </w:rPr>
              <w:t>.</w:t>
            </w:r>
          </w:p>
        </w:tc>
        <w:tc>
          <w:tcPr>
            <w:tcW w:w="4006" w:type="dxa"/>
          </w:tcPr>
          <w:p w:rsidR="00BA0C68" w:rsidRDefault="00BA0C68" w:rsidP="004A4E41">
            <w:pPr>
              <w:pStyle w:val="libFootnote0"/>
              <w:rPr>
                <w:rtl/>
              </w:rPr>
            </w:pPr>
            <w:r>
              <w:rPr>
                <w:rtl/>
              </w:rPr>
              <w:t>(9).</w:t>
            </w:r>
            <w:r w:rsidRPr="00C9040A">
              <w:rPr>
                <w:rtl/>
              </w:rPr>
              <w:t xml:space="preserve"> في « ص » : « لابنه »</w:t>
            </w:r>
            <w:r>
              <w:rPr>
                <w:rtl/>
              </w:rPr>
              <w:t>.</w:t>
            </w:r>
          </w:p>
        </w:tc>
      </w:tr>
    </w:tbl>
    <w:p w:rsidR="008A74EB" w:rsidRPr="00C9040A" w:rsidRDefault="006C577F" w:rsidP="004A4E41">
      <w:pPr>
        <w:pStyle w:val="libFootnote0"/>
        <w:rPr>
          <w:rtl/>
          <w:lang w:bidi="fa-IR"/>
        </w:rPr>
      </w:pPr>
      <w:r>
        <w:rPr>
          <w:rtl/>
        </w:rPr>
        <w:t>(10).</w:t>
      </w:r>
      <w:r w:rsidR="008A74EB" w:rsidRPr="00C9040A">
        <w:rPr>
          <w:rtl/>
        </w:rPr>
        <w:t xml:space="preserve"> في « ز » : « فلم يبقوا »</w:t>
      </w:r>
      <w:r w:rsidR="008A74EB">
        <w:rPr>
          <w:rtl/>
        </w:rPr>
        <w:t>.</w:t>
      </w:r>
    </w:p>
    <w:p w:rsidR="008A74EB" w:rsidRPr="004A4E41" w:rsidRDefault="006C577F" w:rsidP="004A4E41">
      <w:pPr>
        <w:pStyle w:val="libFootnote0"/>
        <w:rPr>
          <w:rStyle w:val="libFootnote0Char"/>
          <w:rtl/>
        </w:rPr>
      </w:pPr>
      <w:r>
        <w:rPr>
          <w:rtl/>
        </w:rPr>
        <w:t>(11).</w:t>
      </w:r>
      <w:r w:rsidR="008A74EB" w:rsidRPr="00C9040A">
        <w:rPr>
          <w:rtl/>
        </w:rPr>
        <w:t xml:space="preserve"> في « ج ، د ، ز » : + « له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 في بعض النسخ : ما جمعوا له ، وكأنّه زيد « له » من النسّاخ »</w:t>
      </w:r>
      <w:r w:rsidR="008A74EB">
        <w:rPr>
          <w:rtl/>
        </w:rPr>
        <w:t>.</w:t>
      </w:r>
      <w:r w:rsidR="008A74EB" w:rsidRPr="00C9040A">
        <w:rPr>
          <w:rtl/>
        </w:rPr>
        <w:t xml:space="preserve"> ثمّ ذكر معنى العبارة على تقديره.</w:t>
      </w:r>
      <w:r w:rsidR="00BA0C68">
        <w:rPr>
          <w:rFonts w:hint="cs"/>
          <w:rtl/>
        </w:rPr>
        <w:t xml:space="preserve">                   </w:t>
      </w:r>
      <w:r>
        <w:rPr>
          <w:rtl/>
        </w:rPr>
        <w:t>(12).</w:t>
      </w:r>
      <w:r w:rsidR="008A74EB" w:rsidRPr="00C9040A">
        <w:rPr>
          <w:rtl/>
        </w:rPr>
        <w:t xml:space="preserve"> في « ز ، ض » </w:t>
      </w:r>
      <w:r w:rsidR="008A74EB">
        <w:rPr>
          <w:rtl/>
        </w:rPr>
        <w:t xml:space="preserve">: </w:t>
      </w:r>
      <w:r w:rsidR="0084262C">
        <w:rPr>
          <w:rtl/>
        </w:rPr>
        <w:t>-</w:t>
      </w:r>
      <w:r w:rsidR="008A74EB" w:rsidRPr="00C9040A">
        <w:rPr>
          <w:rtl/>
        </w:rPr>
        <w:t xml:space="preserve"> « ولم يبق من جمعوا له »</w:t>
      </w:r>
      <w:r w:rsidR="008A74EB">
        <w:rPr>
          <w:rtl/>
        </w:rPr>
        <w:t>.</w:t>
      </w:r>
    </w:p>
    <w:tbl>
      <w:tblPr>
        <w:tblStyle w:val="TableGrid"/>
        <w:bidiVisual/>
        <w:tblW w:w="0" w:type="auto"/>
        <w:tblLook w:val="04A0" w:firstRow="1" w:lastRow="0" w:firstColumn="1" w:lastColumn="0" w:noHBand="0" w:noVBand="1"/>
      </w:tblPr>
      <w:tblGrid>
        <w:gridCol w:w="4006"/>
        <w:gridCol w:w="4006"/>
      </w:tblGrid>
      <w:tr w:rsidR="00BA0C68" w:rsidTr="00BA0C68">
        <w:tc>
          <w:tcPr>
            <w:tcW w:w="4006" w:type="dxa"/>
          </w:tcPr>
          <w:p w:rsidR="00BA0C68" w:rsidRDefault="00BA0C68" w:rsidP="004A4E41">
            <w:pPr>
              <w:pStyle w:val="libFootnote0"/>
              <w:rPr>
                <w:rtl/>
              </w:rPr>
            </w:pPr>
            <w:r>
              <w:rPr>
                <w:rtl/>
              </w:rPr>
              <w:t>(13)</w:t>
            </w:r>
            <w:r w:rsidRPr="00C9040A">
              <w:rPr>
                <w:rtl/>
              </w:rPr>
              <w:t xml:space="preserve"> في حاشية « ف » : « مستأمر »</w:t>
            </w:r>
            <w:r>
              <w:rPr>
                <w:rtl/>
              </w:rPr>
              <w:t>.</w:t>
            </w:r>
          </w:p>
        </w:tc>
        <w:tc>
          <w:tcPr>
            <w:tcW w:w="4006" w:type="dxa"/>
          </w:tcPr>
          <w:p w:rsidR="00BA0C68" w:rsidRDefault="00BA0C68" w:rsidP="004A4E41">
            <w:pPr>
              <w:pStyle w:val="libFootnote0"/>
              <w:rPr>
                <w:rtl/>
              </w:rPr>
            </w:pPr>
            <w:r>
              <w:rPr>
                <w:rtl/>
              </w:rPr>
              <w:t>(14)</w:t>
            </w:r>
            <w:r w:rsidRPr="00C9040A">
              <w:rPr>
                <w:rtl/>
              </w:rPr>
              <w:t xml:space="preserve"> في « ز » : « وقفت »</w:t>
            </w:r>
            <w:r>
              <w:rPr>
                <w:rtl/>
              </w:rPr>
              <w:t>.</w:t>
            </w:r>
          </w:p>
        </w:tc>
      </w:tr>
    </w:tbl>
    <w:p w:rsidR="008A74EB" w:rsidRPr="00C9040A" w:rsidRDefault="008A74EB" w:rsidP="004A4E41">
      <w:pPr>
        <w:pStyle w:val="libFootnote0"/>
        <w:rPr>
          <w:rtl/>
          <w:lang w:bidi="fa-IR"/>
        </w:rPr>
      </w:pPr>
      <w:r>
        <w:rPr>
          <w:rtl/>
        </w:rPr>
        <w:t>(15)</w:t>
      </w:r>
      <w:r w:rsidRPr="00C9040A">
        <w:rPr>
          <w:rtl/>
        </w:rPr>
        <w:t xml:space="preserve"> هكذا في « ب ، د ، ز ، ص ، بر ، بس ، بف » والبحار. وفي « ج ، ض ، ف » والمطبوع : « سمن »</w:t>
      </w:r>
      <w:r>
        <w:rPr>
          <w:rtl/>
        </w:rPr>
        <w:t>.</w:t>
      </w:r>
    </w:p>
    <w:p w:rsidR="008A74EB" w:rsidRPr="00C9040A" w:rsidRDefault="008A74EB" w:rsidP="004A4E41">
      <w:pPr>
        <w:pStyle w:val="libFootnote0"/>
        <w:rPr>
          <w:rtl/>
          <w:lang w:bidi="fa-IR"/>
        </w:rPr>
      </w:pPr>
      <w:r>
        <w:rPr>
          <w:rtl/>
        </w:rPr>
        <w:t>(16)</w:t>
      </w:r>
      <w:r w:rsidRPr="00C9040A">
        <w:rPr>
          <w:rtl/>
        </w:rPr>
        <w:t xml:space="preserve"> في حاشية « ض » : « هلاكها »</w:t>
      </w:r>
      <w:r>
        <w:rPr>
          <w:rtl/>
        </w:rPr>
        <w:t>.</w:t>
      </w:r>
      <w:r w:rsidRPr="00C9040A">
        <w:rPr>
          <w:rtl/>
        </w:rPr>
        <w:t xml:space="preserve"> والحتف : الهلاك.</w:t>
      </w:r>
    </w:p>
    <w:p w:rsidR="008A74EB" w:rsidRPr="00C9040A" w:rsidRDefault="008A74EB" w:rsidP="004A4E41">
      <w:pPr>
        <w:pStyle w:val="libFootnote0"/>
        <w:rPr>
          <w:rtl/>
          <w:lang w:bidi="fa-IR"/>
        </w:rPr>
      </w:pPr>
      <w:r>
        <w:rPr>
          <w:rtl/>
        </w:rPr>
        <w:t>(17)</w:t>
      </w:r>
      <w:r w:rsidRPr="00C9040A">
        <w:rPr>
          <w:rtl/>
        </w:rPr>
        <w:t xml:space="preserve"> « القَنْطرة » : الجِسْر. </w:t>
      </w:r>
      <w:r w:rsidRPr="00993B55">
        <w:rPr>
          <w:rStyle w:val="libFootnoteBoldChar"/>
          <w:rtl/>
        </w:rPr>
        <w:t>القاموس المحيط</w:t>
      </w:r>
      <w:r w:rsidRPr="00C9040A">
        <w:rPr>
          <w:rtl/>
        </w:rPr>
        <w:t xml:space="preserve"> ، ج 1 ، ص 649 ( قنطر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جُزْتَ عَلَيْهَا وَتَرَكْتَهَا ، وَلَمْ تَرْجِعْ إِلَيْهَا </w:t>
      </w:r>
      <w:r w:rsidR="006C577F" w:rsidRPr="006C577F">
        <w:rPr>
          <w:rStyle w:val="libFootnotenumChar"/>
          <w:rtl/>
        </w:rPr>
        <w:t>(1)</w:t>
      </w:r>
      <w:r w:rsidRPr="00C9040A">
        <w:rPr>
          <w:rtl/>
          <w:lang w:bidi="fa-IR"/>
        </w:rPr>
        <w:t xml:space="preserve"> آخِرَ الدَّهْرِ ، أَخْرِبْهَا وَلَا تَعْمُرْهَا </w:t>
      </w:r>
      <w:r w:rsidR="006C577F" w:rsidRPr="006C577F">
        <w:rPr>
          <w:rStyle w:val="libFootnotenumChar"/>
          <w:rtl/>
        </w:rPr>
        <w:t>(2)</w:t>
      </w:r>
      <w:r w:rsidRPr="00C9040A">
        <w:rPr>
          <w:rtl/>
          <w:lang w:bidi="fa-IR"/>
        </w:rPr>
        <w:t xml:space="preserve"> ؛ فَإِنَّكَ لَمْ تُؤْمَرْ </w:t>
      </w:r>
      <w:r w:rsidR="006C577F" w:rsidRPr="006C577F">
        <w:rPr>
          <w:rStyle w:val="libFootnotenumChar"/>
          <w:rtl/>
        </w:rPr>
        <w:t>(3)</w:t>
      </w:r>
      <w:r w:rsidRPr="00C9040A">
        <w:rPr>
          <w:rtl/>
          <w:lang w:bidi="fa-IR"/>
        </w:rPr>
        <w:t xml:space="preserve"> بِعِمَارَتِهَا.</w:t>
      </w:r>
    </w:p>
    <w:p w:rsidR="008A74EB" w:rsidRPr="00C9040A" w:rsidRDefault="008A74EB" w:rsidP="008A74EB">
      <w:pPr>
        <w:pStyle w:val="libNormal"/>
        <w:rPr>
          <w:rtl/>
          <w:lang w:bidi="fa-IR"/>
        </w:rPr>
      </w:pPr>
      <w:r w:rsidRPr="00C9040A">
        <w:rPr>
          <w:rtl/>
          <w:lang w:bidi="fa-IR"/>
        </w:rPr>
        <w:t>وَاعْلَمْ أَنَّكَ سَتُسْأَلُ غَداً إِذَا وَقَفْتَ بَيْنَ يَدَيِ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عَنْ أَرْبَعٍ : شَبَابِكَ فِيمَا أَبْلَيْتَهُ</w:t>
      </w:r>
      <w:r>
        <w:rPr>
          <w:rtl/>
          <w:lang w:bidi="fa-IR"/>
        </w:rPr>
        <w:t>؟</w:t>
      </w:r>
      <w:r w:rsidRPr="00C9040A">
        <w:rPr>
          <w:rtl/>
          <w:lang w:bidi="fa-IR"/>
        </w:rPr>
        <w:t xml:space="preserve"> وَعُمُرِكَ فِيمَا أَفْنَيْتَهُ</w:t>
      </w:r>
      <w:r>
        <w:rPr>
          <w:rtl/>
          <w:lang w:bidi="fa-IR"/>
        </w:rPr>
        <w:t>؟</w:t>
      </w:r>
      <w:r w:rsidRPr="00C9040A">
        <w:rPr>
          <w:rtl/>
          <w:lang w:bidi="fa-IR"/>
        </w:rPr>
        <w:t xml:space="preserve"> وَمَالِكَ مِمَّا اكْتَسَبْتَهُ </w:t>
      </w:r>
      <w:r w:rsidR="006C577F" w:rsidRPr="006C577F">
        <w:rPr>
          <w:rStyle w:val="libFootnotenumChar"/>
          <w:rtl/>
        </w:rPr>
        <w:t>(4)</w:t>
      </w:r>
      <w:r w:rsidRPr="00C9040A">
        <w:rPr>
          <w:rtl/>
          <w:lang w:bidi="fa-IR"/>
        </w:rPr>
        <w:t xml:space="preserve"> وَفِيمَا أَنْفَقْتَهُ</w:t>
      </w:r>
      <w:r>
        <w:rPr>
          <w:rtl/>
          <w:lang w:bidi="fa-IR"/>
        </w:rPr>
        <w:t>؟</w:t>
      </w:r>
      <w:r w:rsidRPr="00C9040A">
        <w:rPr>
          <w:rtl/>
          <w:lang w:bidi="fa-IR"/>
        </w:rPr>
        <w:t xml:space="preserve"> فَتَأَهَّبْ لِذلِكَ ، وَأَعِدَّ لَهُ جَوَاباً ، وَلَا تَأْسَ </w:t>
      </w:r>
      <w:r w:rsidR="006C577F" w:rsidRPr="006C577F">
        <w:rPr>
          <w:rStyle w:val="libFootnotenumChar"/>
          <w:rtl/>
        </w:rPr>
        <w:t>(5)</w:t>
      </w:r>
      <w:r w:rsidRPr="00C9040A">
        <w:rPr>
          <w:rtl/>
          <w:lang w:bidi="fa-IR"/>
        </w:rPr>
        <w:t xml:space="preserve"> عَلى مَا فَاتَكَ مِنَ الدُّنْيَا ؛ فَإِنَّ قَلِيلَ الدُّنْيَا لَايَدُومُ بَقَاؤُهُ ، وَكَثِيرَهَا لَا يُؤْمَنُ بَلَاؤُهُ ، فَخُذْ حِذْرَكَ ، وَجِدَّ فِي أَمْرِكَ ، وَاكْشِفِ الْغِطَاءَ عَنْ وَجْهِكَ ، وَتَعَرَّضْ لِمَعْرُوفِ رَبِّكَ ، وَجَدِّدِ التَّوْبَةَ فِي قَلْبِكَ ، وَاكْمُشْ </w:t>
      </w:r>
      <w:r w:rsidR="006C577F" w:rsidRPr="006C577F">
        <w:rPr>
          <w:rStyle w:val="libFootnotenumChar"/>
          <w:rtl/>
        </w:rPr>
        <w:t>(6)</w:t>
      </w:r>
      <w:r w:rsidRPr="005B567D">
        <w:rPr>
          <w:rStyle w:val="libFootnotenumChar"/>
          <w:rtl/>
        </w:rPr>
        <w:t xml:space="preserve"> </w:t>
      </w:r>
      <w:r w:rsidRPr="00C9040A">
        <w:rPr>
          <w:rtl/>
          <w:lang w:bidi="fa-IR"/>
        </w:rPr>
        <w:t xml:space="preserve">فِي فَرَاغِكَ ، قَبْلَ أَنْ يُقْصَدَ قَصْدُكَ </w:t>
      </w:r>
      <w:r w:rsidR="006C577F" w:rsidRPr="006C577F">
        <w:rPr>
          <w:rStyle w:val="libFootnotenumChar"/>
          <w:rtl/>
        </w:rPr>
        <w:t>(7)</w:t>
      </w:r>
      <w:r w:rsidRPr="00C9040A">
        <w:rPr>
          <w:rtl/>
          <w:lang w:bidi="fa-IR"/>
        </w:rPr>
        <w:t xml:space="preserve"> ، وَيُقْضى قَضَاؤُكَ ، وَيُحَالَ بَيْنَكَ وَبَيْنَ مَا تُرِيدُ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Normal"/>
        <w:rPr>
          <w:rtl/>
          <w:lang w:bidi="fa-IR"/>
        </w:rPr>
      </w:pPr>
      <w:r w:rsidRPr="00D14695">
        <w:rPr>
          <w:rtl/>
        </w:rPr>
        <w:t>1913</w:t>
      </w:r>
      <w:r w:rsidRPr="00261CB0">
        <w:rPr>
          <w:rStyle w:val="libBold2Char"/>
          <w:rtl/>
        </w:rPr>
        <w:t xml:space="preserve"> / 21.</w:t>
      </w:r>
      <w:r w:rsidRPr="00C9040A">
        <w:rPr>
          <w:rtl/>
          <w:lang w:bidi="fa-IR"/>
        </w:rPr>
        <w:t xml:space="preserve"> عَلِيُّ بْنُ إِبْرَاهِيمَ ، عَنْ أَبِيهِ ، عَنِ ابْنِ مَحْبُوبٍ ، عَنْ بَعْضِ أَصْحَابِهِ ، عَنِ ابْنِ أَبِي يَعْفُورٍ ، قَالَ :</w:t>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 « فِيمَا نَاجَى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بِهِ </w:t>
      </w:r>
      <w:r w:rsidR="006C577F" w:rsidRPr="006C577F">
        <w:rPr>
          <w:rStyle w:val="libFootnotenumChar"/>
          <w:rtl/>
        </w:rPr>
        <w:t>(9)</w:t>
      </w:r>
      <w:r w:rsidRPr="00C9040A">
        <w:rPr>
          <w:rtl/>
          <w:lang w:bidi="fa-IR"/>
        </w:rPr>
        <w:t xml:space="preserve"> مُوسى </w:t>
      </w:r>
      <w:r w:rsidRPr="0003660B">
        <w:rPr>
          <w:rStyle w:val="libAlaemChar"/>
          <w:rtl/>
        </w:rPr>
        <w:t>عليه‌السلام</w:t>
      </w:r>
      <w:r w:rsidRPr="00C9040A">
        <w:rPr>
          <w:rtl/>
          <w:lang w:bidi="fa-IR"/>
        </w:rPr>
        <w:t xml:space="preserve"> : يَا مُوسى ، لَاتَرْكَنْ إِلَى الدُّنْيَا رُكُونَ الظَّالِمِينَ ، وَرُكُونَ مَنِ اتَّخَذَهَا أَباً وَأُمّاً.</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ف » : + « إلى »</w:t>
      </w:r>
      <w:r w:rsidR="008A74EB">
        <w:rPr>
          <w:rtl/>
        </w:rPr>
        <w:t>.</w:t>
      </w:r>
    </w:p>
    <w:p w:rsidR="008A74EB" w:rsidRPr="004A4E41" w:rsidRDefault="006C577F" w:rsidP="004A4E41">
      <w:pPr>
        <w:pStyle w:val="libFootnote0"/>
        <w:rPr>
          <w:rStyle w:val="libFootnote0Char"/>
          <w:rtl/>
        </w:rPr>
      </w:pPr>
      <w:r>
        <w:rPr>
          <w:rtl/>
        </w:rPr>
        <w:t>(2).</w:t>
      </w:r>
      <w:r w:rsidR="008A74EB">
        <w:rPr>
          <w:rtl/>
        </w:rPr>
        <w:t xml:space="preserve"> </w:t>
      </w:r>
      <w:r w:rsidR="008A74EB" w:rsidRPr="00C9040A">
        <w:rPr>
          <w:rtl/>
        </w:rPr>
        <w:t xml:space="preserve">في « ف » : « لا تعمّرها » على بناء التفعيل. </w:t>
      </w:r>
      <w:r w:rsidR="008A74EB">
        <w:rPr>
          <w:rtl/>
        </w:rPr>
        <w:t>و «</w:t>
      </w:r>
      <w:r w:rsidR="008A74EB" w:rsidRPr="00C9040A">
        <w:rPr>
          <w:rtl/>
        </w:rPr>
        <w:t xml:space="preserve"> أخربها » أي دعها خراباً بترك ما لاتحتاج إليه من المطاعم والمشارب والملابس والمناكح والمساكن ، والاقتصار على القدر الضروري في كلّ منها. كذا في </w:t>
      </w:r>
      <w:r w:rsidR="008A74EB" w:rsidRPr="00993B55">
        <w:rPr>
          <w:rStyle w:val="libFootnoteBoldChar"/>
          <w:rtl/>
        </w:rPr>
        <w:t>المرآة</w:t>
      </w:r>
      <w:r w:rsidR="008A74EB" w:rsidRPr="00C9040A">
        <w:rPr>
          <w:rtl/>
        </w:rPr>
        <w:t>.</w:t>
      </w:r>
    </w:p>
    <w:tbl>
      <w:tblPr>
        <w:tblStyle w:val="TableGrid"/>
        <w:bidiVisual/>
        <w:tblW w:w="0" w:type="auto"/>
        <w:tblLook w:val="04A0" w:firstRow="1" w:lastRow="0" w:firstColumn="1" w:lastColumn="0" w:noHBand="0" w:noVBand="1"/>
      </w:tblPr>
      <w:tblGrid>
        <w:gridCol w:w="4006"/>
        <w:gridCol w:w="4006"/>
      </w:tblGrid>
      <w:tr w:rsidR="008B12B5" w:rsidTr="008B12B5">
        <w:tc>
          <w:tcPr>
            <w:tcW w:w="4006" w:type="dxa"/>
          </w:tcPr>
          <w:p w:rsidR="008B12B5" w:rsidRDefault="008B12B5" w:rsidP="004A4E41">
            <w:pPr>
              <w:pStyle w:val="libFootnote0"/>
              <w:rPr>
                <w:rtl/>
              </w:rPr>
            </w:pPr>
            <w:r>
              <w:rPr>
                <w:rtl/>
              </w:rPr>
              <w:t>(3).</w:t>
            </w:r>
            <w:r w:rsidRPr="00C9040A">
              <w:rPr>
                <w:rtl/>
              </w:rPr>
              <w:t xml:space="preserve"> في « ز » : « لم تؤمن »</w:t>
            </w:r>
            <w:r>
              <w:rPr>
                <w:rtl/>
              </w:rPr>
              <w:t>.</w:t>
            </w:r>
          </w:p>
        </w:tc>
        <w:tc>
          <w:tcPr>
            <w:tcW w:w="4006" w:type="dxa"/>
          </w:tcPr>
          <w:p w:rsidR="008B12B5" w:rsidRDefault="008B12B5" w:rsidP="004A4E41">
            <w:pPr>
              <w:pStyle w:val="libFootnote0"/>
              <w:rPr>
                <w:rtl/>
              </w:rPr>
            </w:pPr>
            <w:r>
              <w:rPr>
                <w:rtl/>
              </w:rPr>
              <w:t>(4).</w:t>
            </w:r>
            <w:r w:rsidRPr="00C9040A">
              <w:rPr>
                <w:rtl/>
              </w:rPr>
              <w:t xml:space="preserve"> في « ف » : « اكسبته »</w:t>
            </w:r>
            <w:r>
              <w:rPr>
                <w:rtl/>
              </w:rPr>
              <w:t>.</w:t>
            </w:r>
          </w:p>
        </w:tc>
      </w:tr>
    </w:tbl>
    <w:p w:rsidR="008A74EB" w:rsidRPr="00C9040A" w:rsidRDefault="006C577F" w:rsidP="004A4E41">
      <w:pPr>
        <w:pStyle w:val="libFootnote0"/>
        <w:rPr>
          <w:rtl/>
          <w:lang w:bidi="fa-IR"/>
        </w:rPr>
      </w:pPr>
      <w:r>
        <w:rPr>
          <w:rtl/>
        </w:rPr>
        <w:t>(5).</w:t>
      </w:r>
      <w:r w:rsidR="008A74EB" w:rsidRPr="00C9040A">
        <w:rPr>
          <w:rtl/>
        </w:rPr>
        <w:t xml:space="preserve"> « الأسى » : الحزن. وحقيقته : اتّباع الفائت بالغمّ. </w:t>
      </w:r>
      <w:r w:rsidR="008A74EB" w:rsidRPr="00993B55">
        <w:rPr>
          <w:rStyle w:val="libFootnoteBoldChar"/>
          <w:rtl/>
        </w:rPr>
        <w:t>المفردات</w:t>
      </w:r>
      <w:r w:rsidR="008A74EB" w:rsidRPr="00C9040A">
        <w:rPr>
          <w:rtl/>
        </w:rPr>
        <w:t xml:space="preserve"> للراغب ، ص 77 ( أسا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 اكمش » أي اسرع وعجّل. راجع : </w:t>
      </w:r>
      <w:r w:rsidR="008A74EB" w:rsidRPr="00993B55">
        <w:rPr>
          <w:rStyle w:val="libFootnoteBoldChar"/>
          <w:rtl/>
        </w:rPr>
        <w:t>لسان العرب</w:t>
      </w:r>
      <w:r w:rsidR="008A74EB" w:rsidRPr="00C9040A">
        <w:rPr>
          <w:rtl/>
        </w:rPr>
        <w:t xml:space="preserve"> ، ج 6 ، ص 343 ( كمش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w:t>
      </w:r>
      <w:r w:rsidR="008A74EB" w:rsidRPr="00993B55">
        <w:rPr>
          <w:rStyle w:val="libFootnoteBoldChar"/>
          <w:rtl/>
        </w:rPr>
        <w:t>المرآة</w:t>
      </w:r>
      <w:r w:rsidR="008A74EB" w:rsidRPr="00C9040A">
        <w:rPr>
          <w:rtl/>
        </w:rPr>
        <w:t xml:space="preserve"> : « قصدك ، أي نحوك ، كناية عن توجّه ملك الموت إليه لقبض روحه ، أو توجّه الأمراض والبلايا من الله إليه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w:t>
      </w:r>
      <w:r w:rsidR="008A74EB" w:rsidRPr="00993B55">
        <w:rPr>
          <w:rStyle w:val="libFootnoteBoldChar"/>
          <w:rtl/>
        </w:rPr>
        <w:t>الكافي</w:t>
      </w:r>
      <w:r w:rsidR="008A74EB" w:rsidRPr="00C9040A">
        <w:rPr>
          <w:rtl/>
        </w:rPr>
        <w:t xml:space="preserve"> ، كتاب الإيمان والكفر ، باب حبّ الدنيا والحرص عليها ، ح 2592 ، إلى قوله : « حتّى تموت غمّاً » مع زيادة في آخره </w:t>
      </w:r>
      <w:r w:rsidR="00862F0F">
        <w:rPr>
          <w:rFonts w:hint="cs"/>
          <w:rtl/>
        </w:rPr>
        <w:t>.</w:t>
      </w:r>
      <w:r w:rsidR="008A74EB" w:rsidRPr="00993B55">
        <w:rPr>
          <w:rStyle w:val="libFootnoteBoldChar"/>
          <w:rtl/>
        </w:rPr>
        <w:t>الوافي</w:t>
      </w:r>
      <w:r w:rsidR="008A74EB" w:rsidRPr="00C9040A">
        <w:rPr>
          <w:rtl/>
        </w:rPr>
        <w:t xml:space="preserve"> ، ج 4 ، ص 398 ، ح 2186 ؛ وج 5 ، ص 891 ، ح 3236 ؛ وفي </w:t>
      </w:r>
      <w:r w:rsidR="008A74EB" w:rsidRPr="00993B55">
        <w:rPr>
          <w:rStyle w:val="libFootnoteBoldChar"/>
          <w:rtl/>
        </w:rPr>
        <w:t>البحار</w:t>
      </w:r>
      <w:r w:rsidR="008A74EB" w:rsidRPr="00C9040A">
        <w:rPr>
          <w:rtl/>
        </w:rPr>
        <w:t xml:space="preserve"> ، ج 73 ، ص 23 ، ح 13 ؛ </w:t>
      </w:r>
      <w:r w:rsidR="008A74EB" w:rsidRPr="00993B55">
        <w:rPr>
          <w:rStyle w:val="libFootnoteBoldChar"/>
          <w:rtl/>
        </w:rPr>
        <w:t>وفيه</w:t>
      </w:r>
      <w:r w:rsidR="008A74EB" w:rsidRPr="00C9040A">
        <w:rPr>
          <w:rtl/>
        </w:rPr>
        <w:t xml:space="preserve"> ، ص 68 ، ح 36 ، إلى قوله : « أبعد لها من الخروج حتّى تموت غمّاً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ز » </w:t>
      </w:r>
      <w:r w:rsidR="008A74EB">
        <w:rPr>
          <w:rtl/>
        </w:rPr>
        <w:t xml:space="preserve">: </w:t>
      </w:r>
      <w:r w:rsidR="0084262C">
        <w:rPr>
          <w:rtl/>
        </w:rPr>
        <w:t>-</w:t>
      </w:r>
      <w:r w:rsidR="008A74EB" w:rsidRPr="00C9040A">
        <w:rPr>
          <w:rtl/>
        </w:rPr>
        <w:t xml:space="preserve"> « به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يَا مُوسى ، لَوْ وَكَلْتُكَ إِلى نَفْسِكَ لِتَنْظُرَ لَهَا </w:t>
      </w:r>
      <w:r w:rsidR="006C577F" w:rsidRPr="006C577F">
        <w:rPr>
          <w:rStyle w:val="libFootnotenumChar"/>
          <w:rtl/>
        </w:rPr>
        <w:t>(1)</w:t>
      </w:r>
      <w:r w:rsidRPr="00C9040A">
        <w:rPr>
          <w:rtl/>
          <w:lang w:bidi="fa-IR"/>
        </w:rPr>
        <w:t xml:space="preserve"> ، إِذاً لَغَلَبَ </w:t>
      </w:r>
      <w:r w:rsidR="006C577F" w:rsidRPr="006C577F">
        <w:rPr>
          <w:rStyle w:val="libFootnotenumChar"/>
          <w:rtl/>
        </w:rPr>
        <w:t>(2)</w:t>
      </w:r>
      <w:r w:rsidRPr="00C9040A">
        <w:rPr>
          <w:rtl/>
          <w:lang w:bidi="fa-IR"/>
        </w:rPr>
        <w:t xml:space="preserve"> عَلَيْكَ حُبُّ الدُّنْيَا وَزَهْرَتُهَا.</w:t>
      </w:r>
    </w:p>
    <w:p w:rsidR="008A74EB" w:rsidRPr="00C9040A" w:rsidRDefault="008A74EB" w:rsidP="008A74EB">
      <w:pPr>
        <w:pStyle w:val="libNormal"/>
        <w:rPr>
          <w:rtl/>
          <w:lang w:bidi="fa-IR"/>
        </w:rPr>
      </w:pPr>
      <w:r w:rsidRPr="00C9040A">
        <w:rPr>
          <w:rtl/>
          <w:lang w:bidi="fa-IR"/>
        </w:rPr>
        <w:t xml:space="preserve">يَا مُوسى ، نَافِسْ </w:t>
      </w:r>
      <w:r w:rsidR="006C577F" w:rsidRPr="006C577F">
        <w:rPr>
          <w:rStyle w:val="libFootnotenumChar"/>
          <w:rtl/>
        </w:rPr>
        <w:t>(3)</w:t>
      </w:r>
      <w:r w:rsidRPr="00C9040A">
        <w:rPr>
          <w:rtl/>
          <w:lang w:bidi="fa-IR"/>
        </w:rPr>
        <w:t xml:space="preserve"> فِي الْخَيْرِ أَهْلَهُ </w:t>
      </w:r>
      <w:r w:rsidR="006C577F" w:rsidRPr="006C577F">
        <w:rPr>
          <w:rStyle w:val="libFootnotenumChar"/>
          <w:rtl/>
        </w:rPr>
        <w:t>(4)</w:t>
      </w:r>
      <w:r w:rsidRPr="00C9040A">
        <w:rPr>
          <w:rtl/>
          <w:lang w:bidi="fa-IR"/>
        </w:rPr>
        <w:t xml:space="preserve"> ، وَاسْتَبِقْهُمْ </w:t>
      </w:r>
      <w:r w:rsidR="006C577F" w:rsidRPr="006C577F">
        <w:rPr>
          <w:rStyle w:val="libFootnotenumChar"/>
          <w:rtl/>
        </w:rPr>
        <w:t>(5)</w:t>
      </w:r>
      <w:r w:rsidRPr="00C9040A">
        <w:rPr>
          <w:rtl/>
          <w:lang w:bidi="fa-IR"/>
        </w:rPr>
        <w:t xml:space="preserve"> إِلَيْهِ ؛ فَإِنَّ الْخَيْرَ كَاسْمِهِ </w:t>
      </w:r>
      <w:r w:rsidR="006C577F" w:rsidRPr="006C577F">
        <w:rPr>
          <w:rStyle w:val="libFootnotenumChar"/>
          <w:rtl/>
        </w:rPr>
        <w:t>(6)</w:t>
      </w:r>
      <w:r w:rsidRPr="005B567D">
        <w:rPr>
          <w:rStyle w:val="libFootnotenumChar"/>
          <w:rtl/>
        </w:rPr>
        <w:t xml:space="preserve"> </w:t>
      </w:r>
      <w:r w:rsidRPr="00C9040A">
        <w:rPr>
          <w:rtl/>
          <w:lang w:bidi="fa-IR"/>
        </w:rPr>
        <w:t xml:space="preserve">، وَاتْرُكْ مِنَ الدُّنْيَا مَا بِكَ الْغِنى عَنْهُ ، وَلَا تَنْظُرْ </w:t>
      </w:r>
      <w:r w:rsidR="006C577F" w:rsidRPr="006C577F">
        <w:rPr>
          <w:rStyle w:val="libFootnotenumChar"/>
          <w:rtl/>
        </w:rPr>
        <w:t>(7)</w:t>
      </w:r>
      <w:r w:rsidRPr="00C9040A">
        <w:rPr>
          <w:rtl/>
          <w:lang w:bidi="fa-IR"/>
        </w:rPr>
        <w:t xml:space="preserve"> عَيْنُكَ إِلى كُلِّ مَفْتُونٍ بِهَا وَ</w:t>
      </w:r>
      <w:r>
        <w:rPr>
          <w:rFonts w:hint="cs"/>
          <w:rtl/>
          <w:lang w:bidi="fa-IR"/>
        </w:rPr>
        <w:t xml:space="preserve"> </w:t>
      </w:r>
      <w:r w:rsidR="006C577F" w:rsidRPr="006C577F">
        <w:rPr>
          <w:rStyle w:val="libFootnotenumChar"/>
          <w:rtl/>
        </w:rPr>
        <w:t>(8)</w:t>
      </w:r>
      <w:r w:rsidRPr="00C9040A">
        <w:rPr>
          <w:rtl/>
          <w:lang w:bidi="fa-IR"/>
        </w:rPr>
        <w:t xml:space="preserve"> مُوكَلٍ </w:t>
      </w:r>
      <w:r w:rsidR="006C577F" w:rsidRPr="006C577F">
        <w:rPr>
          <w:rStyle w:val="libFootnotenumChar"/>
          <w:rtl/>
        </w:rPr>
        <w:t>(9)</w:t>
      </w:r>
      <w:r w:rsidRPr="00C9040A">
        <w:rPr>
          <w:rtl/>
          <w:lang w:bidi="fa-IR"/>
        </w:rPr>
        <w:t xml:space="preserve"> إِلى نَفْسِهِ.</w:t>
      </w:r>
    </w:p>
    <w:p w:rsidR="008A74EB" w:rsidRPr="00C9040A" w:rsidRDefault="008A74EB" w:rsidP="008A74EB">
      <w:pPr>
        <w:pStyle w:val="libNormal"/>
        <w:rPr>
          <w:rtl/>
          <w:lang w:bidi="fa-IR"/>
        </w:rPr>
      </w:pPr>
      <w:r w:rsidRPr="00C9040A">
        <w:rPr>
          <w:rtl/>
          <w:lang w:bidi="fa-IR"/>
        </w:rPr>
        <w:t xml:space="preserve">وَاعْلَمْ أَنَّ كُلَّ فِتْنَةٍ بَدْؤُهَا حُبُّ الدُّنْيَا ، وَلَا تَغْبِطْ أَحَداً بِكَثْرَةِ الْمَالِ ؛ فَإِنَّ مَعَ كَثْرَةِ الْمَالِ تَكْثُرُ </w:t>
      </w:r>
      <w:r w:rsidR="006C577F" w:rsidRPr="006C577F">
        <w:rPr>
          <w:rStyle w:val="libFootnotenumChar"/>
          <w:rtl/>
        </w:rPr>
        <w:t>(10)</w:t>
      </w:r>
      <w:r w:rsidRPr="00C9040A">
        <w:rPr>
          <w:rtl/>
          <w:lang w:bidi="fa-IR"/>
        </w:rPr>
        <w:t xml:space="preserve"> الذُّنُوبُ لِوَاجِبِ الْحُقُوقِ </w:t>
      </w:r>
      <w:r w:rsidR="006C577F" w:rsidRPr="006C577F">
        <w:rPr>
          <w:rStyle w:val="libFootnotenumChar"/>
          <w:rtl/>
        </w:rPr>
        <w:t>(11)</w:t>
      </w:r>
      <w:r w:rsidRPr="00C9040A">
        <w:rPr>
          <w:rtl/>
          <w:lang w:bidi="fa-IR"/>
        </w:rPr>
        <w:t xml:space="preserve"> ، وَلَا تَغْبِطَنَّ </w:t>
      </w:r>
      <w:r w:rsidR="006C577F" w:rsidRPr="006C577F">
        <w:rPr>
          <w:rStyle w:val="libFootnotenumChar"/>
          <w:rtl/>
        </w:rPr>
        <w:t>(12)</w:t>
      </w:r>
      <w:r w:rsidRPr="00C9040A">
        <w:rPr>
          <w:rtl/>
          <w:lang w:bidi="fa-IR"/>
        </w:rPr>
        <w:t xml:space="preserve"> أَحَداً بِرِضَى النَّاسِ عَنْهُ حَتّى تَعْلَمَ أَنَّ اللهَ رَاضٍ عَنْهُ </w:t>
      </w:r>
      <w:r w:rsidRPr="005B567D">
        <w:rPr>
          <w:rStyle w:val="libFootnotenumChar"/>
          <w:rtl/>
        </w:rPr>
        <w:t>(13)</w:t>
      </w:r>
      <w:r w:rsidRPr="00C9040A">
        <w:rPr>
          <w:rtl/>
          <w:lang w:bidi="fa-IR"/>
        </w:rPr>
        <w:t xml:space="preserve"> ، وَلَا تَغْبِطَنَّ مَخْلُوقاً </w:t>
      </w:r>
      <w:r w:rsidRPr="005B567D">
        <w:rPr>
          <w:rStyle w:val="libFootnotenumChar"/>
          <w:rtl/>
        </w:rPr>
        <w:t>(14)</w:t>
      </w:r>
      <w:r w:rsidRPr="00C9040A">
        <w:rPr>
          <w:rtl/>
          <w:lang w:bidi="fa-IR"/>
        </w:rPr>
        <w:t xml:space="preserve"> بِطَاعَةِ النَّاسِ لَهُ ؛ فَإِنَّ طَاعَةَ النَّاسِ لَهُ وَاتِّبَاعَهُمْ إِيَّاهُ عَلى غَيْرِ الْحَقِّ هَلَاكٌ لَهُ وَلِمَنِ اتَّبَعَهُ </w:t>
      </w:r>
      <w:r w:rsidRPr="005B567D">
        <w:rPr>
          <w:rStyle w:val="libFootnotenumChar"/>
          <w:rtl/>
        </w:rPr>
        <w:t>(15)</w:t>
      </w:r>
      <w:r w:rsidRPr="00C9040A">
        <w:rPr>
          <w:rtl/>
          <w:lang w:bidi="fa-IR"/>
        </w:rPr>
        <w:t xml:space="preserve"> »</w:t>
      </w:r>
      <w:r>
        <w:rPr>
          <w:rtl/>
          <w:lang w:bidi="fa-IR"/>
        </w:rPr>
        <w:t>.</w:t>
      </w:r>
      <w:r w:rsidRPr="00C9040A">
        <w:rPr>
          <w:rtl/>
          <w:lang w:bidi="fa-IR"/>
        </w:rPr>
        <w:t xml:space="preserve"> </w:t>
      </w:r>
      <w:r w:rsidRPr="005B567D">
        <w:rPr>
          <w:rStyle w:val="libFootnotenumChar"/>
          <w:rtl/>
        </w:rPr>
        <w:t>(16)</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862F0F" w:rsidTr="00862F0F">
        <w:tc>
          <w:tcPr>
            <w:tcW w:w="4006" w:type="dxa"/>
          </w:tcPr>
          <w:p w:rsidR="00862F0F" w:rsidRDefault="00862F0F" w:rsidP="004A4E41">
            <w:pPr>
              <w:pStyle w:val="libFootnote0"/>
              <w:rPr>
                <w:rtl/>
              </w:rPr>
            </w:pPr>
            <w:r>
              <w:rPr>
                <w:rtl/>
              </w:rPr>
              <w:t xml:space="preserve">(1). </w:t>
            </w:r>
            <w:r w:rsidRPr="00C9040A">
              <w:rPr>
                <w:rtl/>
              </w:rPr>
              <w:t>في « ز » والبحار : « عليها »</w:t>
            </w:r>
            <w:r>
              <w:rPr>
                <w:rtl/>
              </w:rPr>
              <w:t>.</w:t>
            </w:r>
          </w:p>
        </w:tc>
        <w:tc>
          <w:tcPr>
            <w:tcW w:w="4006" w:type="dxa"/>
          </w:tcPr>
          <w:p w:rsidR="00862F0F" w:rsidRDefault="00862F0F" w:rsidP="004A4E41">
            <w:pPr>
              <w:pStyle w:val="libFootnote0"/>
              <w:rPr>
                <w:rtl/>
              </w:rPr>
            </w:pPr>
            <w:r>
              <w:rPr>
                <w:rtl/>
              </w:rPr>
              <w:t xml:space="preserve">(2). </w:t>
            </w:r>
            <w:r w:rsidRPr="00C9040A">
              <w:rPr>
                <w:rtl/>
              </w:rPr>
              <w:t>في حاشية « ض » : « لغلبك »</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 نافس في الخير أهله » ، أي سابقهم فيه ، والمنافسة : الرغبة في الشي‌ء على وجه المباراة في الكرم ، والمباراة : المسابقة. راجع : </w:t>
      </w:r>
      <w:r w:rsidR="008A74EB" w:rsidRPr="00993B55">
        <w:rPr>
          <w:rStyle w:val="libFootnoteBoldChar"/>
          <w:rtl/>
        </w:rPr>
        <w:t>الصحاح</w:t>
      </w:r>
      <w:r w:rsidR="008A74EB" w:rsidRPr="00C9040A">
        <w:rPr>
          <w:rtl/>
        </w:rPr>
        <w:t xml:space="preserve"> ، ج 3 ، ص 985 ؛ </w:t>
      </w:r>
      <w:r w:rsidR="008A74EB" w:rsidRPr="00993B55">
        <w:rPr>
          <w:rStyle w:val="libFootnoteBoldChar"/>
          <w:rtl/>
        </w:rPr>
        <w:t>لسان العرب</w:t>
      </w:r>
      <w:r w:rsidR="008A74EB" w:rsidRPr="00C9040A">
        <w:rPr>
          <w:rtl/>
        </w:rPr>
        <w:t xml:space="preserve"> ، ج 6 ، ص 238 ( نفس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البحار </w:t>
      </w:r>
      <w:r w:rsidR="008A74EB">
        <w:rPr>
          <w:rtl/>
        </w:rPr>
        <w:t xml:space="preserve">: </w:t>
      </w:r>
      <w:r w:rsidR="0084262C">
        <w:rPr>
          <w:rtl/>
        </w:rPr>
        <w:t>-</w:t>
      </w:r>
      <w:r w:rsidR="008A74EB" w:rsidRPr="00C9040A">
        <w:rPr>
          <w:rtl/>
        </w:rPr>
        <w:t xml:space="preserve"> « أهله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ب ، ف ، بر ، بس ، بف » والوافي والبحار : « واسبقهم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w:t>
      </w:r>
      <w:r w:rsidR="008A74EB" w:rsidRPr="00993B55">
        <w:rPr>
          <w:rStyle w:val="libFootnoteBoldChar"/>
          <w:rtl/>
        </w:rPr>
        <w:t>الوافي</w:t>
      </w:r>
      <w:r w:rsidR="008A74EB" w:rsidRPr="00C9040A">
        <w:rPr>
          <w:rtl/>
        </w:rPr>
        <w:t xml:space="preserve"> : « كاسمه ؛ يعني أنّ الخير خير كلّه كما أنّ اسمه خير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قال في </w:t>
      </w:r>
      <w:r w:rsidR="008A74EB" w:rsidRPr="00993B55">
        <w:rPr>
          <w:rStyle w:val="libFootnoteBoldChar"/>
          <w:rtl/>
        </w:rPr>
        <w:t>مرآة العقول</w:t>
      </w:r>
      <w:r w:rsidR="008A74EB" w:rsidRPr="00C9040A">
        <w:rPr>
          <w:rtl/>
        </w:rPr>
        <w:t xml:space="preserve"> : « ولا تنظر ، على بناء المجرّد. عينك ، بالرفع أو بالنصب بنزع الخافض ، أي بعينك. وربّما يقرأ : تُنظر ، على بناء الإفعال ، أي لاتجعلها ناظرة إلى كلّ مفتون بها ، أي مبتلى مخدوع بها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 ز ، ص » </w:t>
      </w:r>
      <w:r w:rsidR="008A74EB">
        <w:rPr>
          <w:rtl/>
        </w:rPr>
        <w:t xml:space="preserve">: </w:t>
      </w:r>
      <w:r w:rsidR="0084262C">
        <w:rPr>
          <w:rtl/>
        </w:rPr>
        <w:t>-</w:t>
      </w:r>
      <w:r w:rsidR="008A74EB" w:rsidRPr="00C9040A">
        <w:rPr>
          <w:rtl/>
        </w:rPr>
        <w:t xml:space="preserve"> « </w:t>
      </w:r>
      <w:r w:rsidR="008A74EB">
        <w:rPr>
          <w:rtl/>
        </w:rPr>
        <w:t>و ».</w:t>
      </w:r>
    </w:p>
    <w:p w:rsidR="008A74EB" w:rsidRPr="00C9040A" w:rsidRDefault="006C577F" w:rsidP="004A4E41">
      <w:pPr>
        <w:pStyle w:val="libFootnote0"/>
        <w:rPr>
          <w:rtl/>
          <w:lang w:bidi="fa-IR"/>
        </w:rPr>
      </w:pPr>
      <w:r>
        <w:rPr>
          <w:rtl/>
        </w:rPr>
        <w:t>(9).</w:t>
      </w:r>
      <w:r w:rsidR="008A74EB" w:rsidRPr="00C9040A">
        <w:rPr>
          <w:rtl/>
        </w:rPr>
        <w:t xml:space="preserve"> في « ب ، ج » : « موكّل » بالتشديد. وفي </w:t>
      </w:r>
      <w:r w:rsidR="008A74EB" w:rsidRPr="00993B55">
        <w:rPr>
          <w:rStyle w:val="libFootnoteBoldChar"/>
          <w:rtl/>
        </w:rPr>
        <w:t>مرآة العقول</w:t>
      </w:r>
      <w:r w:rsidR="008A74EB" w:rsidRPr="00C9040A">
        <w:rPr>
          <w:rtl/>
        </w:rPr>
        <w:t xml:space="preserve"> : « المتبادر أنّه على بناء المفعول ، لكن كأنّ الظاهر حينئذٍ : وموكول ؛ إذ لم يأت « أوكله » فيما عندنا من كتب اللغة ، لكن كثير من الأبنية المتداولة كذلك. ويمكن أن يقرأ على بناء الفاعل من الإيكال بمعنى الاعتماد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 ز » : « كثرة »</w:t>
      </w:r>
      <w:r w:rsidR="008A74EB">
        <w:rPr>
          <w:rtl/>
        </w:rPr>
        <w:t>.</w:t>
      </w:r>
      <w:r w:rsidR="008A74EB" w:rsidRPr="00C9040A">
        <w:rPr>
          <w:rtl/>
        </w:rPr>
        <w:t xml:space="preserve"> وقال في </w:t>
      </w:r>
      <w:r w:rsidR="008A74EB" w:rsidRPr="00993B55">
        <w:rPr>
          <w:rStyle w:val="libFootnoteBoldChar"/>
          <w:rtl/>
        </w:rPr>
        <w:t>مرآة العقول</w:t>
      </w:r>
      <w:r w:rsidR="008A74EB" w:rsidRPr="00C9040A">
        <w:rPr>
          <w:rtl/>
        </w:rPr>
        <w:t xml:space="preserve"> : « تكثر الذنوب ، بصيغة المضارع من باب حسن ، أو مصدر باب</w:t>
      </w:r>
      <w:r w:rsidR="00862F0F">
        <w:rPr>
          <w:rFonts w:hint="cs"/>
          <w:rtl/>
        </w:rPr>
        <w:t xml:space="preserve"> </w:t>
      </w:r>
      <w:r w:rsidR="008A74EB" w:rsidRPr="00C9040A">
        <w:rPr>
          <w:rtl/>
        </w:rPr>
        <w:t>‌التفعّل »</w:t>
      </w:r>
      <w:r w:rsidR="008A74EB">
        <w:rPr>
          <w:rtl/>
        </w:rPr>
        <w:t>.</w:t>
      </w:r>
      <w:r w:rsidR="008A74EB" w:rsidRPr="00C9040A">
        <w:rPr>
          <w:rtl/>
        </w:rPr>
        <w:t xml:space="preserve"> والأنسب هو الأخير ؛ لأنّه اسم « إنّ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في حاشية « ض » : « الحقّ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 الغِبْطَة » : أن تتمنَّى مثل حال المغبوطِ من غيرِ أن تريد زوالَها عنه ، وليس بحسد. </w:t>
      </w:r>
      <w:r w:rsidR="008A74EB" w:rsidRPr="00993B55">
        <w:rPr>
          <w:rStyle w:val="libFootnoteBoldChar"/>
          <w:rtl/>
        </w:rPr>
        <w:t>الصحاح</w:t>
      </w:r>
      <w:r w:rsidR="008A74EB" w:rsidRPr="00C9040A">
        <w:rPr>
          <w:rtl/>
        </w:rPr>
        <w:t xml:space="preserve"> ، ج 3 ، ص 1146 ( غبط )</w:t>
      </w:r>
      <w:r w:rsidR="008A74EB">
        <w:rPr>
          <w:rtl/>
        </w:rPr>
        <w:t>.</w:t>
      </w:r>
      <w:r w:rsidR="000272BD">
        <w:rPr>
          <w:rFonts w:hint="cs"/>
          <w:rtl/>
        </w:rPr>
        <w:t xml:space="preserve">                                        </w:t>
      </w:r>
      <w:r w:rsidR="008A74EB">
        <w:rPr>
          <w:rtl/>
        </w:rPr>
        <w:t>(13)</w:t>
      </w:r>
      <w:r w:rsidR="008A74EB" w:rsidRPr="00C9040A">
        <w:rPr>
          <w:rtl/>
        </w:rPr>
        <w:t xml:space="preserve"> في « ج » </w:t>
      </w:r>
      <w:r w:rsidR="008A74EB">
        <w:rPr>
          <w:rtl/>
        </w:rPr>
        <w:t xml:space="preserve">: </w:t>
      </w:r>
      <w:r w:rsidR="0084262C">
        <w:rPr>
          <w:rtl/>
        </w:rPr>
        <w:t>-</w:t>
      </w:r>
      <w:r w:rsidR="008A74EB" w:rsidRPr="00C9040A">
        <w:rPr>
          <w:rtl/>
        </w:rPr>
        <w:t xml:space="preserve"> « عنه »</w:t>
      </w:r>
      <w:r w:rsidR="008A74EB">
        <w:rPr>
          <w:rtl/>
        </w:rPr>
        <w:t>.</w:t>
      </w:r>
    </w:p>
    <w:p w:rsidR="008A74EB" w:rsidRPr="00C9040A" w:rsidRDefault="008A74EB" w:rsidP="004A4E41">
      <w:pPr>
        <w:pStyle w:val="libFootnote0"/>
        <w:rPr>
          <w:rtl/>
          <w:lang w:bidi="fa-IR"/>
        </w:rPr>
      </w:pPr>
      <w:r>
        <w:rPr>
          <w:rtl/>
        </w:rPr>
        <w:t>(14)</w:t>
      </w:r>
      <w:r w:rsidRPr="00C9040A">
        <w:rPr>
          <w:rtl/>
        </w:rPr>
        <w:t xml:space="preserve"> في « ج » وحاشية « ض ، ف ، بر » والبحار : « أحداً »</w:t>
      </w:r>
      <w:r>
        <w:rPr>
          <w:rtl/>
        </w:rPr>
        <w:t>.</w:t>
      </w:r>
    </w:p>
    <w:p w:rsidR="008A74EB" w:rsidRPr="00C9040A" w:rsidRDefault="008A74EB" w:rsidP="004A4E41">
      <w:pPr>
        <w:pStyle w:val="libFootnote0"/>
        <w:rPr>
          <w:rtl/>
          <w:lang w:bidi="fa-IR"/>
        </w:rPr>
      </w:pPr>
      <w:r>
        <w:rPr>
          <w:rtl/>
        </w:rPr>
        <w:t>(15)</w:t>
      </w:r>
      <w:r w:rsidRPr="00C9040A">
        <w:rPr>
          <w:rtl/>
        </w:rPr>
        <w:t xml:space="preserve"> في « بر » : « تبعه »</w:t>
      </w:r>
      <w:r>
        <w:rPr>
          <w:rtl/>
        </w:rPr>
        <w:t>.</w:t>
      </w:r>
    </w:p>
    <w:p w:rsidR="008A74EB" w:rsidRPr="00C9040A" w:rsidRDefault="008A74EB" w:rsidP="004A4E41">
      <w:pPr>
        <w:pStyle w:val="libFootnote0"/>
        <w:rPr>
          <w:rtl/>
          <w:lang w:bidi="fa-IR"/>
        </w:rPr>
      </w:pPr>
      <w:r>
        <w:rPr>
          <w:rtl/>
        </w:rPr>
        <w:t>(16)</w:t>
      </w:r>
      <w:r w:rsidRPr="00C9040A">
        <w:rPr>
          <w:rtl/>
        </w:rPr>
        <w:t xml:space="preserve"> </w:t>
      </w:r>
      <w:r w:rsidRPr="00993B55">
        <w:rPr>
          <w:rStyle w:val="libFootnoteBoldChar"/>
          <w:rtl/>
        </w:rPr>
        <w:t>الكافي</w:t>
      </w:r>
      <w:r w:rsidRPr="00C9040A">
        <w:rPr>
          <w:rtl/>
        </w:rPr>
        <w:t xml:space="preserve"> ، كتاب الروضة ، ضمن الحديث الطويل 14823 ، بسنده عن علي</w:t>
      </w:r>
      <w:r w:rsidR="000272BD">
        <w:rPr>
          <w:rtl/>
        </w:rPr>
        <w:t>ّ بن عيسى رفعه ، من دون الإسناد</w:t>
      </w:r>
      <w:r w:rsidR="000272BD">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D14695">
        <w:rPr>
          <w:rtl/>
        </w:rPr>
        <w:t>1914</w:t>
      </w:r>
      <w:r w:rsidRPr="00261CB0">
        <w:rPr>
          <w:rStyle w:val="libBold2Char"/>
          <w:rtl/>
        </w:rPr>
        <w:t xml:space="preserve"> / 22.</w:t>
      </w:r>
      <w:r w:rsidRPr="00C9040A">
        <w:rPr>
          <w:rtl/>
          <w:lang w:bidi="fa-IR"/>
        </w:rPr>
        <w:t xml:space="preserve"> عَلِيُّ بْنُ إِبْرَاهِيمَ ، عَنْ أَبِيهِ ، عَنْ عَبْدِ اللهِ بْنِ الْمُغِيرَةِ ، عَنْ غِيَاثِ بْنِ إِبْرَاهِيمَ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إِنَّ فِي كِتَابِ عَلِيٍّ صَلَوَاتُ اللهِ عَلَيْهِ : إِنَّمَا مَثَلُ الدُّنْيَا كَمَثَلِ الْحَيَّةِ ، مَا أَلْيَنَ مَسَّهَا </w:t>
      </w:r>
      <w:r w:rsidR="006C577F" w:rsidRPr="006C577F">
        <w:rPr>
          <w:rStyle w:val="libFootnotenumChar"/>
          <w:rtl/>
        </w:rPr>
        <w:t>(1)</w:t>
      </w:r>
      <w:r w:rsidRPr="00C9040A">
        <w:rPr>
          <w:rtl/>
          <w:lang w:bidi="fa-IR"/>
        </w:rPr>
        <w:t xml:space="preserve"> وَفِي جَوْفِهَا السَّمُّ النَّاقِعُ </w:t>
      </w:r>
      <w:r w:rsidR="006C577F" w:rsidRPr="006C577F">
        <w:rPr>
          <w:rStyle w:val="libFootnotenumChar"/>
          <w:rtl/>
        </w:rPr>
        <w:t>(2)</w:t>
      </w:r>
      <w:r w:rsidRPr="00C9040A">
        <w:rPr>
          <w:rtl/>
          <w:lang w:bidi="fa-IR"/>
        </w:rPr>
        <w:t xml:space="preserve"> ، يَحْذَرُهَا الرَّجُلُ الْعَاقِلُ ، وَيَهْوِي إِلَيْهَا الصَّبِيُّ الْجَاهِلُ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D14695">
        <w:rPr>
          <w:rtl/>
        </w:rPr>
        <w:t>1915</w:t>
      </w:r>
      <w:r w:rsidRPr="00261CB0">
        <w:rPr>
          <w:rStyle w:val="libBold2Char"/>
          <w:rtl/>
        </w:rPr>
        <w:t xml:space="preserve"> / 23.</w:t>
      </w:r>
      <w:r w:rsidRPr="00C9040A">
        <w:rPr>
          <w:rtl/>
          <w:lang w:bidi="fa-IR"/>
        </w:rPr>
        <w:t xml:space="preserve"> عَلِيُّ بْنُ إِبْرَاهِيمَ ، عَنْ مُحَمَّدِ بْنِ عِيسى ، عَنْ يُونُسَ ، عَنْ أَبِي جَمِيلَةَ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كَتَبَ أَمِيرُ الْمُؤْمِنِينَ </w:t>
      </w:r>
      <w:r w:rsidRPr="0003660B">
        <w:rPr>
          <w:rStyle w:val="libAlaemChar"/>
          <w:rtl/>
        </w:rPr>
        <w:t>عليه‌السلام</w:t>
      </w:r>
      <w:r w:rsidRPr="00C9040A">
        <w:rPr>
          <w:rtl/>
          <w:lang w:bidi="fa-IR"/>
        </w:rPr>
        <w:t xml:space="preserve"> إِلى بَعْضِ أَصْحَابِهِ يَعِظُهُ </w:t>
      </w:r>
      <w:r w:rsidR="006C577F" w:rsidRPr="006C577F">
        <w:rPr>
          <w:rStyle w:val="libFootnotenumChar"/>
          <w:rtl/>
        </w:rPr>
        <w:t>(4)</w:t>
      </w:r>
      <w:r w:rsidRPr="00C9040A">
        <w:rPr>
          <w:rtl/>
          <w:lang w:bidi="fa-IR"/>
        </w:rPr>
        <w:t xml:space="preserve"> : أُوصِيكَ وَنَفْسِي بِتَقْوى </w:t>
      </w:r>
      <w:r w:rsidR="006C577F" w:rsidRPr="006C577F">
        <w:rPr>
          <w:rStyle w:val="libFootnotenumChar"/>
          <w:rtl/>
        </w:rPr>
        <w:t>(5)</w:t>
      </w:r>
      <w:r w:rsidRPr="00C9040A">
        <w:rPr>
          <w:rtl/>
          <w:lang w:bidi="fa-IR"/>
        </w:rPr>
        <w:t xml:space="preserve"> مَنْ لَاتَحِلُّ </w:t>
      </w:r>
      <w:r w:rsidR="006C577F" w:rsidRPr="006C577F">
        <w:rPr>
          <w:rStyle w:val="libFootnotenumChar"/>
          <w:rtl/>
        </w:rPr>
        <w:t>(6)</w:t>
      </w:r>
      <w:r w:rsidRPr="005B567D">
        <w:rPr>
          <w:rStyle w:val="libFootnotenumChar"/>
          <w:rtl/>
        </w:rPr>
        <w:t xml:space="preserve"> </w:t>
      </w:r>
      <w:r w:rsidRPr="00C9040A">
        <w:rPr>
          <w:rtl/>
          <w:lang w:bidi="fa-IR"/>
        </w:rPr>
        <w:t>مَعْصِيَتُهُ ، وَلَا يُرْجى</w:t>
      </w:r>
      <w:r w:rsidR="000272BD">
        <w:rPr>
          <w:rtl/>
          <w:lang w:bidi="fa-IR"/>
        </w:rPr>
        <w:t xml:space="preserve"> غَيْرُهُ ، وَلَا الْغِنى إِل</w:t>
      </w:r>
      <w:r w:rsidR="000272BD">
        <w:rPr>
          <w:rFonts w:hint="cs"/>
          <w:rtl/>
          <w:lang w:bidi="fa-IR"/>
        </w:rPr>
        <w:t>َّ</w:t>
      </w:r>
      <w:r w:rsidR="000272BD">
        <w:rPr>
          <w:rtl/>
          <w:lang w:bidi="fa-IR"/>
        </w:rPr>
        <w:t>ا</w:t>
      </w:r>
      <w:r w:rsidRPr="00C9040A">
        <w:rPr>
          <w:rtl/>
          <w:lang w:bidi="fa-IR"/>
        </w:rPr>
        <w:t xml:space="preserve"> بِهِ ؛ فَإِنَّ مَنِ اتَّقَى اللهَ ، جَلَّ وَعَزَّ وَقَوِيَ </w:t>
      </w:r>
      <w:r w:rsidR="006C577F" w:rsidRPr="006C577F">
        <w:rPr>
          <w:rStyle w:val="libFootnotenumChar"/>
          <w:rtl/>
        </w:rPr>
        <w:t>(7)</w:t>
      </w:r>
      <w:r w:rsidRPr="00C9040A">
        <w:rPr>
          <w:rtl/>
          <w:lang w:bidi="fa-IR"/>
        </w:rPr>
        <w:t xml:space="preserve"> وَشَبِعَ </w:t>
      </w:r>
      <w:r w:rsidR="006C577F" w:rsidRPr="006C577F">
        <w:rPr>
          <w:rStyle w:val="libFootnotenumChar"/>
          <w:rtl/>
        </w:rPr>
        <w:t>(8)</w:t>
      </w:r>
      <w:r w:rsidRPr="00C9040A">
        <w:rPr>
          <w:rtl/>
          <w:lang w:bidi="fa-IR"/>
        </w:rPr>
        <w:t xml:space="preserve"> وَرَوِيَ وَرُفِعَ عَقْلُهُ عَنْ أَهْلِ الدُّنْيَا ، فَبَدَنُهُ مَعَ </w:t>
      </w:r>
      <w:r w:rsidR="006C577F" w:rsidRPr="006C577F">
        <w:rPr>
          <w:rStyle w:val="libFootnotenumChar"/>
          <w:rtl/>
        </w:rPr>
        <w:t>(9)</w:t>
      </w:r>
      <w:r w:rsidRPr="00C9040A">
        <w:rPr>
          <w:rtl/>
          <w:lang w:bidi="fa-IR"/>
        </w:rPr>
        <w:t xml:space="preserve"> أَهْلِ الدُّنْيَا ، وَقَلْبُهُ وَعَقْلُهُ مُعَايِنُ </w:t>
      </w:r>
      <w:r w:rsidR="006C577F" w:rsidRPr="006C577F">
        <w:rPr>
          <w:rStyle w:val="libFootnotenumChar"/>
          <w:rtl/>
        </w:rPr>
        <w:t>(10)</w:t>
      </w:r>
      <w:r w:rsidRPr="00C9040A">
        <w:rPr>
          <w:rtl/>
          <w:lang w:bidi="fa-IR"/>
        </w:rPr>
        <w:t xml:space="preserve"> الْآخِرَةِ ، فَأَطْفَأَ بِضَوْءِ </w:t>
      </w:r>
      <w:r w:rsidR="006C577F" w:rsidRPr="006C577F">
        <w:rPr>
          <w:rStyle w:val="libFootnotenumChar"/>
          <w:rtl/>
        </w:rPr>
        <w:t>(11)</w:t>
      </w:r>
      <w:r w:rsidRPr="00C9040A">
        <w:rPr>
          <w:rtl/>
          <w:lang w:bidi="fa-IR"/>
        </w:rPr>
        <w:t xml:space="preserve"> قَلْبِهِ مَا أَبْصَرَتْ عَيْنَاهُ مِنْ حُبِّ </w:t>
      </w:r>
      <w:r w:rsidR="006C577F" w:rsidRPr="006C577F">
        <w:rPr>
          <w:rStyle w:val="libFootnotenumChar"/>
          <w:rtl/>
        </w:rPr>
        <w:t>(12)</w:t>
      </w:r>
      <w:r w:rsidRPr="00C9040A">
        <w:rPr>
          <w:rtl/>
          <w:lang w:bidi="fa-IR"/>
        </w:rPr>
        <w:t xml:space="preserve"> الدُّنْيَا ، فَقَذَّرَ حَرَامَهَا ، وَجَانَبَ شُبُهَاتِهَا ، وَأَضَرَّ </w:t>
      </w:r>
      <w:r w:rsidRPr="005B567D">
        <w:rPr>
          <w:rStyle w:val="libFootnotenumChar"/>
          <w:rtl/>
        </w:rPr>
        <w:t>(13)</w:t>
      </w:r>
      <w:r>
        <w:rPr>
          <w:rtl/>
          <w:lang w:bidi="fa-IR"/>
        </w:rPr>
        <w:t xml:space="preserve"> </w:t>
      </w:r>
      <w:r w:rsidR="0084262C">
        <w:rPr>
          <w:rtl/>
          <w:lang w:bidi="fa-IR"/>
        </w:rPr>
        <w:t>-</w:t>
      </w:r>
      <w:r>
        <w:rPr>
          <w:rtl/>
          <w:lang w:bidi="fa-IR"/>
        </w:rPr>
        <w:t xml:space="preserve"> </w:t>
      </w:r>
      <w:r w:rsidRPr="00C9040A">
        <w:rPr>
          <w:rtl/>
          <w:lang w:bidi="fa-IR"/>
        </w:rPr>
        <w:t>وَاللهِ</w:t>
      </w:r>
      <w:r>
        <w:rPr>
          <w:rtl/>
          <w:lang w:bidi="fa-IR"/>
        </w:rPr>
        <w:t xml:space="preserve"> </w:t>
      </w:r>
      <w:r w:rsidR="0084262C">
        <w:rPr>
          <w:rtl/>
          <w:lang w:bidi="fa-IR"/>
        </w:rPr>
        <w:t>-</w:t>
      </w:r>
      <w:r>
        <w:rPr>
          <w:rtl/>
          <w:lang w:bidi="fa-IR"/>
        </w:rPr>
        <w:t xml:space="preserve"> </w:t>
      </w:r>
      <w:r w:rsidR="000272BD">
        <w:rPr>
          <w:rtl/>
          <w:lang w:bidi="fa-IR"/>
        </w:rPr>
        <w:t>بِالْحَلَالِ الصَّافِي إِل</w:t>
      </w:r>
      <w:r w:rsidR="000272BD">
        <w:rPr>
          <w:rFonts w:hint="cs"/>
          <w:rtl/>
          <w:lang w:bidi="fa-IR"/>
        </w:rPr>
        <w:t>َّ</w:t>
      </w:r>
      <w:r w:rsidR="000272BD">
        <w:rPr>
          <w:rtl/>
          <w:lang w:bidi="fa-IR"/>
        </w:rPr>
        <w:t>ا</w:t>
      </w:r>
      <w:r w:rsidRPr="00C9040A">
        <w:rPr>
          <w:rtl/>
          <w:lang w:bidi="fa-IR"/>
        </w:rPr>
        <w:t xml:space="preserve"> مَا لَابُدَّ لَهُ مِنْ‌</w:t>
      </w:r>
    </w:p>
    <w:p w:rsidR="008A74EB" w:rsidRPr="00C9040A" w:rsidRDefault="008A74EB" w:rsidP="008A74EB">
      <w:pPr>
        <w:pStyle w:val="libLine"/>
        <w:rPr>
          <w:rtl/>
          <w:lang w:bidi="fa-IR"/>
        </w:rPr>
      </w:pPr>
      <w:r w:rsidRPr="00C9040A">
        <w:rPr>
          <w:rtl/>
          <w:lang w:bidi="fa-IR"/>
        </w:rPr>
        <w:t>__________________</w:t>
      </w:r>
    </w:p>
    <w:p w:rsidR="008A74EB" w:rsidRPr="00C9040A" w:rsidRDefault="000272BD" w:rsidP="004A4E41">
      <w:pPr>
        <w:pStyle w:val="libFootnote0"/>
        <w:rPr>
          <w:rtl/>
          <w:lang w:bidi="fa-IR"/>
        </w:rPr>
      </w:pPr>
      <w:r>
        <w:rPr>
          <w:rFonts w:hint="cs"/>
          <w:rtl/>
        </w:rPr>
        <w:t>=</w:t>
      </w:r>
      <w:r w:rsidR="008A74EB" w:rsidRPr="00C9040A">
        <w:rPr>
          <w:rtl/>
        </w:rPr>
        <w:t xml:space="preserve">إلى المعصوم </w:t>
      </w:r>
      <w:r w:rsidR="00117575" w:rsidRPr="00117575">
        <w:rPr>
          <w:rStyle w:val="libFootnoteAlaemChar"/>
          <w:rtl/>
        </w:rPr>
        <w:t>عليه‌السلام</w:t>
      </w:r>
      <w:r w:rsidR="008A74EB" w:rsidRPr="00C9040A">
        <w:rPr>
          <w:rtl/>
        </w:rPr>
        <w:t xml:space="preserve"> </w:t>
      </w:r>
      <w:r w:rsidR="008A74EB" w:rsidRPr="00993B55">
        <w:rPr>
          <w:rStyle w:val="libFootnoteBoldChar"/>
          <w:rtl/>
        </w:rPr>
        <w:t>الوافي</w:t>
      </w:r>
      <w:r w:rsidR="008A74EB" w:rsidRPr="00C9040A">
        <w:rPr>
          <w:rtl/>
        </w:rPr>
        <w:t xml:space="preserve"> ، ج 4 ، ص 398 ، ح 2187 ؛ </w:t>
      </w:r>
      <w:r w:rsidR="008A74EB" w:rsidRPr="00993B55">
        <w:rPr>
          <w:rStyle w:val="libFootnoteBoldChar"/>
          <w:rtl/>
        </w:rPr>
        <w:t>البحار</w:t>
      </w:r>
      <w:r w:rsidR="008A74EB" w:rsidRPr="00C9040A">
        <w:rPr>
          <w:rtl/>
        </w:rPr>
        <w:t xml:space="preserve"> ، ج 73 ، ص 73 ، ح 37.</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ز » : « لمسها »</w:t>
      </w:r>
      <w:r w:rsidR="008A74EB">
        <w:rPr>
          <w:rtl/>
        </w:rPr>
        <w:t>.</w:t>
      </w:r>
      <w:r w:rsidR="008A74EB" w:rsidRPr="00C9040A">
        <w:rPr>
          <w:rtl/>
        </w:rPr>
        <w:t xml:space="preserve"> وفي حاشية « ج » : « متنها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 سمّ ناقع » ، أي بالغ. وقيل : قاتِل. </w:t>
      </w:r>
      <w:r w:rsidR="008A74EB" w:rsidRPr="00993B55">
        <w:rPr>
          <w:rStyle w:val="libFootnoteBoldChar"/>
          <w:rtl/>
        </w:rPr>
        <w:t>الصحاح</w:t>
      </w:r>
      <w:r w:rsidR="008A74EB" w:rsidRPr="00C9040A">
        <w:rPr>
          <w:rtl/>
        </w:rPr>
        <w:t xml:space="preserve"> ، ج 3 ، ص 1292 ؛ </w:t>
      </w:r>
      <w:r w:rsidR="008A74EB" w:rsidRPr="00993B55">
        <w:rPr>
          <w:rStyle w:val="libFootnoteBoldChar"/>
          <w:rtl/>
        </w:rPr>
        <w:t>مجمع البحرين</w:t>
      </w:r>
      <w:r w:rsidR="008A74EB" w:rsidRPr="00C9040A">
        <w:rPr>
          <w:rtl/>
        </w:rPr>
        <w:t xml:space="preserve"> ، ج 4 ، ص 398 ( نقع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w:t>
      </w:r>
      <w:r w:rsidR="008A74EB" w:rsidRPr="00993B55">
        <w:rPr>
          <w:rStyle w:val="libFootnoteBoldChar"/>
          <w:rtl/>
        </w:rPr>
        <w:t>نهج البلاغة</w:t>
      </w:r>
      <w:r w:rsidR="008A74EB" w:rsidRPr="00C9040A">
        <w:rPr>
          <w:rtl/>
        </w:rPr>
        <w:t xml:space="preserve"> ، ص 489 ، الحكمة 119 ؛ </w:t>
      </w:r>
      <w:r w:rsidR="008A74EB" w:rsidRPr="00993B55">
        <w:rPr>
          <w:rStyle w:val="libFootnoteBoldChar"/>
          <w:rtl/>
        </w:rPr>
        <w:t>تحف العقول</w:t>
      </w:r>
      <w:r w:rsidR="008A74EB" w:rsidRPr="00C9040A">
        <w:rPr>
          <w:rtl/>
        </w:rPr>
        <w:t xml:space="preserve"> ، ص 395 ، ضمن الحديث الطويل ، عن الكاظم </w:t>
      </w:r>
      <w:r w:rsidR="00117575" w:rsidRPr="00117575">
        <w:rPr>
          <w:rStyle w:val="libFootnoteAlaemChar"/>
          <w:rtl/>
        </w:rPr>
        <w:t>عليه‌السلام</w:t>
      </w:r>
      <w:r w:rsidR="008A74EB" w:rsidRPr="00C9040A">
        <w:rPr>
          <w:rtl/>
        </w:rPr>
        <w:t xml:space="preserve"> ، وفيهما مع اختلاف يسير </w:t>
      </w:r>
      <w:r w:rsidR="000272BD">
        <w:rPr>
          <w:rFonts w:hint="cs"/>
          <w:rtl/>
        </w:rPr>
        <w:t>.</w:t>
      </w:r>
      <w:r w:rsidR="008A74EB" w:rsidRPr="00993B55">
        <w:rPr>
          <w:rStyle w:val="libFootnoteBoldChar"/>
          <w:rtl/>
        </w:rPr>
        <w:t>الوافي</w:t>
      </w:r>
      <w:r w:rsidR="008A74EB" w:rsidRPr="00C9040A">
        <w:rPr>
          <w:rtl/>
        </w:rPr>
        <w:t xml:space="preserve"> ، ج 4 ، ص 399 ، ح 2188 ؛ </w:t>
      </w:r>
      <w:r w:rsidR="008A74EB" w:rsidRPr="00993B55">
        <w:rPr>
          <w:rStyle w:val="libFootnoteBoldChar"/>
          <w:rtl/>
        </w:rPr>
        <w:t>الوسائل</w:t>
      </w:r>
      <w:r w:rsidR="008A74EB" w:rsidRPr="00C9040A">
        <w:rPr>
          <w:rtl/>
        </w:rPr>
        <w:t xml:space="preserve"> ، ج 16 ، ص 17 ، ح 20845.</w:t>
      </w:r>
    </w:p>
    <w:p w:rsidR="008A74EB" w:rsidRPr="00C9040A" w:rsidRDefault="006C577F" w:rsidP="004A4E41">
      <w:pPr>
        <w:pStyle w:val="libFootnote0"/>
        <w:rPr>
          <w:rtl/>
          <w:lang w:bidi="fa-IR"/>
        </w:rPr>
      </w:pPr>
      <w:r>
        <w:rPr>
          <w:rtl/>
        </w:rPr>
        <w:t>(4).</w:t>
      </w:r>
      <w:r w:rsidR="008A74EB" w:rsidRPr="00C9040A">
        <w:rPr>
          <w:rtl/>
        </w:rPr>
        <w:t xml:space="preserve"> في « ف » </w:t>
      </w:r>
      <w:r w:rsidR="008A74EB">
        <w:rPr>
          <w:rtl/>
        </w:rPr>
        <w:t xml:space="preserve">: </w:t>
      </w:r>
      <w:r w:rsidR="0084262C">
        <w:rPr>
          <w:rtl/>
        </w:rPr>
        <w:t>-</w:t>
      </w:r>
      <w:r w:rsidR="008A74EB" w:rsidRPr="00C9040A">
        <w:rPr>
          <w:rtl/>
        </w:rPr>
        <w:t xml:space="preserve"> « يعظه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ز ، ص بر ، بس ، بف » وشرح المازندراني والوافي : + « الله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د ، ز ، بر ، بف » والوافي : « لا يحلّ »</w:t>
      </w:r>
      <w:r w:rsidR="008A74EB">
        <w:rPr>
          <w:rtl/>
        </w:rPr>
        <w:t>.</w:t>
      </w:r>
    </w:p>
    <w:p w:rsidR="008A74EB" w:rsidRPr="004A4E41" w:rsidRDefault="006C577F" w:rsidP="004A4E41">
      <w:pPr>
        <w:pStyle w:val="libFootnote0"/>
        <w:rPr>
          <w:rStyle w:val="libFootnote0Char"/>
          <w:rtl/>
        </w:rPr>
      </w:pPr>
      <w:r>
        <w:rPr>
          <w:rtl/>
        </w:rPr>
        <w:t>(7).</w:t>
      </w:r>
      <w:r w:rsidR="008A74EB" w:rsidRPr="00C9040A">
        <w:rPr>
          <w:rtl/>
        </w:rPr>
        <w:t xml:space="preserve"> في « ب ، ز ، ض ، ف ، بر ، بف » : « عزّ وجلّ قوي »</w:t>
      </w:r>
      <w:r w:rsidR="008A74EB">
        <w:rPr>
          <w:rtl/>
        </w:rPr>
        <w:t>.</w:t>
      </w:r>
      <w:r w:rsidR="008A74EB" w:rsidRPr="00C9040A">
        <w:rPr>
          <w:rtl/>
        </w:rPr>
        <w:t xml:space="preserve"> وعليه فقوله : « عزّ وجلّ » معترض بين الشرط والجزاء. وفي « ج ، بس » وشرح المازندراني والوافي ومرآة العقول والبحار : « عزّ وقوي » بدل « جلّ وعزّ وقوي »</w:t>
      </w:r>
      <w:r w:rsidR="008A74EB">
        <w:rPr>
          <w:rtl/>
        </w:rPr>
        <w:t>.</w:t>
      </w:r>
    </w:p>
    <w:tbl>
      <w:tblPr>
        <w:tblStyle w:val="TableGrid"/>
        <w:bidiVisual/>
        <w:tblW w:w="0" w:type="auto"/>
        <w:tblLook w:val="04A0" w:firstRow="1" w:lastRow="0" w:firstColumn="1" w:lastColumn="0" w:noHBand="0" w:noVBand="1"/>
      </w:tblPr>
      <w:tblGrid>
        <w:gridCol w:w="4006"/>
        <w:gridCol w:w="4006"/>
      </w:tblGrid>
      <w:tr w:rsidR="007B031F" w:rsidTr="007B031F">
        <w:tc>
          <w:tcPr>
            <w:tcW w:w="4006" w:type="dxa"/>
          </w:tcPr>
          <w:p w:rsidR="007B031F" w:rsidRDefault="007B031F" w:rsidP="004A4E41">
            <w:pPr>
              <w:pStyle w:val="libFootnote0"/>
              <w:rPr>
                <w:rtl/>
              </w:rPr>
            </w:pPr>
            <w:r>
              <w:rPr>
                <w:rtl/>
              </w:rPr>
              <w:t>(8).</w:t>
            </w:r>
            <w:r w:rsidRPr="00C9040A">
              <w:rPr>
                <w:rtl/>
              </w:rPr>
              <w:t xml:space="preserve"> في « ز » </w:t>
            </w:r>
            <w:r>
              <w:rPr>
                <w:rtl/>
              </w:rPr>
              <w:t>: -</w:t>
            </w:r>
            <w:r w:rsidRPr="00C9040A">
              <w:rPr>
                <w:rtl/>
              </w:rPr>
              <w:t xml:space="preserve"> « وشبع »</w:t>
            </w:r>
            <w:r>
              <w:rPr>
                <w:rtl/>
              </w:rPr>
              <w:t>.</w:t>
            </w:r>
          </w:p>
        </w:tc>
        <w:tc>
          <w:tcPr>
            <w:tcW w:w="4006" w:type="dxa"/>
          </w:tcPr>
          <w:p w:rsidR="007B031F" w:rsidRDefault="007B031F" w:rsidP="004A4E41">
            <w:pPr>
              <w:pStyle w:val="libFootnote0"/>
              <w:rPr>
                <w:rtl/>
              </w:rPr>
            </w:pPr>
            <w:r>
              <w:rPr>
                <w:rtl/>
              </w:rPr>
              <w:t>(9).</w:t>
            </w:r>
            <w:r w:rsidRPr="00C9040A">
              <w:rPr>
                <w:rtl/>
              </w:rPr>
              <w:t xml:space="preserve"> في « ب » : « من »</w:t>
            </w:r>
            <w:r>
              <w:rPr>
                <w:rtl/>
              </w:rPr>
              <w:t>.</w:t>
            </w:r>
          </w:p>
        </w:tc>
      </w:tr>
      <w:tr w:rsidR="007B031F" w:rsidTr="007B031F">
        <w:tc>
          <w:tcPr>
            <w:tcW w:w="4006" w:type="dxa"/>
          </w:tcPr>
          <w:p w:rsidR="007B031F" w:rsidRDefault="007B031F" w:rsidP="004A4E41">
            <w:pPr>
              <w:pStyle w:val="libFootnote0"/>
              <w:rPr>
                <w:rtl/>
              </w:rPr>
            </w:pPr>
            <w:r>
              <w:rPr>
                <w:rtl/>
              </w:rPr>
              <w:t>(10).</w:t>
            </w:r>
            <w:r w:rsidRPr="00C9040A">
              <w:rPr>
                <w:rtl/>
              </w:rPr>
              <w:t xml:space="preserve"> في « ف » : « مغاير »</w:t>
            </w:r>
            <w:r>
              <w:rPr>
                <w:rtl/>
              </w:rPr>
              <w:t>.</w:t>
            </w:r>
          </w:p>
        </w:tc>
        <w:tc>
          <w:tcPr>
            <w:tcW w:w="4006" w:type="dxa"/>
          </w:tcPr>
          <w:p w:rsidR="007B031F" w:rsidRDefault="007B031F" w:rsidP="004A4E41">
            <w:pPr>
              <w:pStyle w:val="libFootnote0"/>
              <w:rPr>
                <w:rtl/>
              </w:rPr>
            </w:pPr>
            <w:r>
              <w:rPr>
                <w:rtl/>
              </w:rPr>
              <w:t>(11).</w:t>
            </w:r>
            <w:r w:rsidRPr="00C9040A">
              <w:rPr>
                <w:rtl/>
              </w:rPr>
              <w:t xml:space="preserve"> في حاشية « بف » : « بنور »</w:t>
            </w:r>
            <w:r>
              <w:rPr>
                <w:rtl/>
              </w:rPr>
              <w:t>.</w:t>
            </w:r>
          </w:p>
        </w:tc>
      </w:tr>
    </w:tbl>
    <w:p w:rsidR="008A74EB" w:rsidRPr="00C9040A" w:rsidRDefault="006C577F" w:rsidP="004A4E41">
      <w:pPr>
        <w:pStyle w:val="libFootnote0"/>
        <w:rPr>
          <w:rtl/>
          <w:lang w:bidi="fa-IR"/>
        </w:rPr>
      </w:pPr>
      <w:r>
        <w:rPr>
          <w:rtl/>
        </w:rPr>
        <w:t>(12).</w:t>
      </w:r>
      <w:r w:rsidR="008A74EB" w:rsidRPr="00C9040A">
        <w:rPr>
          <w:rtl/>
        </w:rPr>
        <w:t xml:space="preserve"> قرأ الفيض : « حِبّ » بكسر الحاء ، بمعنى المحبوب. وهو المحتمل عند المجلسي.</w:t>
      </w:r>
    </w:p>
    <w:p w:rsidR="008A74EB" w:rsidRPr="00C9040A" w:rsidRDefault="008A74EB" w:rsidP="004A4E41">
      <w:pPr>
        <w:pStyle w:val="libFootnote0"/>
        <w:rPr>
          <w:rtl/>
          <w:lang w:bidi="fa-IR"/>
        </w:rPr>
      </w:pPr>
      <w:r>
        <w:rPr>
          <w:rtl/>
        </w:rPr>
        <w:t>(13)</w:t>
      </w:r>
      <w:r w:rsidRPr="00C9040A">
        <w:rPr>
          <w:rtl/>
        </w:rPr>
        <w:t xml:space="preserve"> قال في </w:t>
      </w:r>
      <w:r w:rsidRPr="00993B55">
        <w:rPr>
          <w:rStyle w:val="libFootnoteBoldChar"/>
          <w:rtl/>
        </w:rPr>
        <w:t>مرآة العقول</w:t>
      </w:r>
      <w:r w:rsidRPr="00C9040A">
        <w:rPr>
          <w:rtl/>
        </w:rPr>
        <w:t xml:space="preserve"> : « وأضرّ ، على بناء المعلوم ، كناية عن تركه</w:t>
      </w:r>
      <w:r>
        <w:rPr>
          <w:rtl/>
        </w:rPr>
        <w:t xml:space="preserve"> ..</w:t>
      </w:r>
      <w:r w:rsidRPr="00C9040A">
        <w:rPr>
          <w:rtl/>
        </w:rPr>
        <w:t>. أو على بناء المجهول ، أي يعدّ نفسه‌</w:t>
      </w:r>
      <w:r w:rsidR="007B031F">
        <w:rPr>
          <w:rFonts w:hint="cs"/>
          <w:rtl/>
        </w:rPr>
        <w:t xml:space="preserve"> </w:t>
      </w:r>
      <w:r w:rsidRPr="00C9040A">
        <w:rPr>
          <w:rtl/>
        </w:rPr>
        <w:t>متضرّرة ، أو يتضرّر به لعلوّ حاله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كِسْرَةٍ </w:t>
      </w:r>
      <w:r w:rsidR="006C577F" w:rsidRPr="006C577F">
        <w:rPr>
          <w:rStyle w:val="libFootnotenumChar"/>
          <w:rtl/>
        </w:rPr>
        <w:t>(1)</w:t>
      </w:r>
      <w:r w:rsidRPr="00C9040A">
        <w:rPr>
          <w:rtl/>
          <w:lang w:bidi="fa-IR"/>
        </w:rPr>
        <w:t xml:space="preserve"> مِنْهُ </w:t>
      </w:r>
      <w:r w:rsidR="006C577F" w:rsidRPr="006C577F">
        <w:rPr>
          <w:rStyle w:val="libFootnotenumChar"/>
          <w:rtl/>
        </w:rPr>
        <w:t>(2)</w:t>
      </w:r>
      <w:r w:rsidRPr="00C9040A">
        <w:rPr>
          <w:rtl/>
          <w:lang w:bidi="fa-IR"/>
        </w:rPr>
        <w:t xml:space="preserve"> يَشُدُّ بِهَا صُلْبَهُ </w:t>
      </w:r>
      <w:r w:rsidR="006C577F" w:rsidRPr="006C577F">
        <w:rPr>
          <w:rStyle w:val="libFootnotenumChar"/>
          <w:rtl/>
        </w:rPr>
        <w:t>(3)</w:t>
      </w:r>
      <w:r w:rsidRPr="00C9040A">
        <w:rPr>
          <w:rtl/>
          <w:lang w:bidi="fa-IR"/>
        </w:rPr>
        <w:t xml:space="preserve"> ، وَثَوْبٍ يُوَارِي </w:t>
      </w:r>
      <w:r w:rsidR="006C577F" w:rsidRPr="006C577F">
        <w:rPr>
          <w:rStyle w:val="libFootnotenumChar"/>
          <w:rtl/>
        </w:rPr>
        <w:t>(4)</w:t>
      </w:r>
      <w:r w:rsidRPr="00C9040A">
        <w:rPr>
          <w:rtl/>
          <w:lang w:bidi="fa-IR"/>
        </w:rPr>
        <w:t xml:space="preserve"> بِهِ عَوْرَتَهُ مِنْ أَغْلَظِ مَا يَجِدُ </w:t>
      </w:r>
      <w:r w:rsidR="006C577F" w:rsidRPr="006C577F">
        <w:rPr>
          <w:rStyle w:val="libFootnotenumChar"/>
          <w:rtl/>
        </w:rPr>
        <w:t>(5)</w:t>
      </w:r>
      <w:r w:rsidRPr="00C9040A">
        <w:rPr>
          <w:rtl/>
          <w:lang w:bidi="fa-IR"/>
        </w:rPr>
        <w:t xml:space="preserve"> وَأَخْشَنِهِ ، وَلَمْ يَكُنْ لَهُ فِيمَا لَابُدَّ لَهُ </w:t>
      </w:r>
      <w:r w:rsidR="006C577F" w:rsidRPr="006C577F">
        <w:rPr>
          <w:rStyle w:val="libFootnotenumChar"/>
          <w:rtl/>
        </w:rPr>
        <w:t>(6)</w:t>
      </w:r>
      <w:r w:rsidRPr="005B567D">
        <w:rPr>
          <w:rStyle w:val="libFootnotenumChar"/>
          <w:rtl/>
        </w:rPr>
        <w:t xml:space="preserve"> </w:t>
      </w:r>
      <w:r w:rsidRPr="00C9040A">
        <w:rPr>
          <w:rtl/>
          <w:lang w:bidi="fa-IR"/>
        </w:rPr>
        <w:t xml:space="preserve">مِنْهُ ثِقَةٌ وَلَا رَجَاءٌ ، فَوَقَعَتْ ثِقَتُهُ وَرَجَاؤُهُ عَلى خَالِقِ الْأَشْيَاءِ ، فَجَدَّ وَاجْتَهَدَ وَأَتْعَبَ بَدَنَهُ </w:t>
      </w:r>
      <w:r w:rsidR="006C577F" w:rsidRPr="006C577F">
        <w:rPr>
          <w:rStyle w:val="libFootnotenumChar"/>
          <w:rtl/>
        </w:rPr>
        <w:t>(7)</w:t>
      </w:r>
      <w:r w:rsidRPr="00C9040A">
        <w:rPr>
          <w:rtl/>
          <w:lang w:bidi="fa-IR"/>
        </w:rPr>
        <w:t xml:space="preserve"> حَتّى بَدَتِ الْأَضْلَاعُ ، وَغَارَتِ الْعَيْنَانِ ، فَأَبْدَلَ </w:t>
      </w:r>
      <w:r w:rsidR="006C577F" w:rsidRPr="006C577F">
        <w:rPr>
          <w:rStyle w:val="libFootnotenumChar"/>
          <w:rtl/>
        </w:rPr>
        <w:t>(8)</w:t>
      </w:r>
      <w:r w:rsidRPr="00C9040A">
        <w:rPr>
          <w:rtl/>
          <w:lang w:bidi="fa-IR"/>
        </w:rPr>
        <w:t xml:space="preserve"> اللهُ لَهُ </w:t>
      </w:r>
      <w:r w:rsidR="006C577F" w:rsidRPr="006C577F">
        <w:rPr>
          <w:rStyle w:val="libFootnotenumChar"/>
          <w:rtl/>
        </w:rPr>
        <w:t>(9)</w:t>
      </w:r>
      <w:r w:rsidRPr="00C9040A">
        <w:rPr>
          <w:rtl/>
          <w:lang w:bidi="fa-IR"/>
        </w:rPr>
        <w:t xml:space="preserve"> مِنْ ذلِكَ قُوَّةً فِي بَدَنِهِ وَشِدَّةً فِي عَقْلِهِ ، وَمَا ذُخِرَ لَهُ فِي الْآخِرَةِ أَكْثَرُ ، فَارْفُضِ الدُّنْيَا ؛ فَإِنَّ حُبَّ الدُّنْيَا يُعْمِي وَيُصِمُّ </w:t>
      </w:r>
      <w:r w:rsidR="006C577F" w:rsidRPr="006C577F">
        <w:rPr>
          <w:rStyle w:val="libFootnotenumChar"/>
          <w:rtl/>
        </w:rPr>
        <w:t>(10)</w:t>
      </w:r>
      <w:r w:rsidRPr="00C9040A">
        <w:rPr>
          <w:rtl/>
          <w:lang w:bidi="fa-IR"/>
        </w:rPr>
        <w:t xml:space="preserve"> وَيُبْكِمُ </w:t>
      </w:r>
      <w:r w:rsidR="006C577F" w:rsidRPr="006C577F">
        <w:rPr>
          <w:rStyle w:val="libFootnotenumChar"/>
          <w:rtl/>
        </w:rPr>
        <w:t>(11)</w:t>
      </w:r>
      <w:r w:rsidRPr="00C9040A">
        <w:rPr>
          <w:rtl/>
          <w:lang w:bidi="fa-IR"/>
        </w:rPr>
        <w:t xml:space="preserve"> وَيُذِلُّ الرِّقَابَ ؛ فَتَدَارَكْ مَا بَقِيَ مِنْ عُمُرِكَ ، وَلَا تَقُلْ‌</w:t>
      </w:r>
    </w:p>
    <w:p w:rsidR="008A74EB" w:rsidRPr="00C9040A" w:rsidRDefault="008A74EB" w:rsidP="008A74EB">
      <w:pPr>
        <w:pStyle w:val="libNormal"/>
        <w:rPr>
          <w:rtl/>
          <w:lang w:bidi="fa-IR"/>
        </w:rPr>
      </w:pPr>
      <w:r w:rsidRPr="00C9040A">
        <w:rPr>
          <w:rtl/>
          <w:lang w:bidi="fa-IR"/>
        </w:rPr>
        <w:t xml:space="preserve">غَداً أَوْ </w:t>
      </w:r>
      <w:r w:rsidR="006C577F" w:rsidRPr="006C577F">
        <w:rPr>
          <w:rStyle w:val="libFootnotenumChar"/>
          <w:rtl/>
        </w:rPr>
        <w:t>(12)</w:t>
      </w:r>
      <w:r w:rsidRPr="00C9040A">
        <w:rPr>
          <w:rtl/>
          <w:lang w:bidi="fa-IR"/>
        </w:rPr>
        <w:t xml:space="preserve"> بَعْدَ غَدٍ ؛ فَإِنَّمَا هَلَكَ مَنْ كَانَ قَبْلَكَ </w:t>
      </w:r>
      <w:r w:rsidRPr="005B567D">
        <w:rPr>
          <w:rStyle w:val="libFootnotenumChar"/>
          <w:rtl/>
        </w:rPr>
        <w:t>(13)</w:t>
      </w:r>
      <w:r w:rsidRPr="00C9040A">
        <w:rPr>
          <w:rtl/>
          <w:lang w:bidi="fa-IR"/>
        </w:rPr>
        <w:t xml:space="preserve"> بِإِقَامَتِهِمْ عَلَى الْأَمَانِيِّ وَالتَّسْوِيفِ حَتّى </w:t>
      </w:r>
      <w:r w:rsidRPr="005B567D">
        <w:rPr>
          <w:rStyle w:val="libFootnotenumChar"/>
          <w:rtl/>
        </w:rPr>
        <w:t>(14)</w:t>
      </w:r>
      <w:r w:rsidRPr="00C9040A">
        <w:rPr>
          <w:rtl/>
          <w:lang w:bidi="fa-IR"/>
        </w:rPr>
        <w:t xml:space="preserve"> أَتَاهُمْ أَمْرُ اللهِ بَغْتَةً وَهُمْ غَافِلُونَ ، فَنُقِلُوا عَلى أَعْوَادِهِمْ </w:t>
      </w:r>
      <w:r w:rsidRPr="005B567D">
        <w:rPr>
          <w:rStyle w:val="libFootnotenumChar"/>
          <w:rtl/>
        </w:rPr>
        <w:t>(15)</w:t>
      </w:r>
      <w:r w:rsidRPr="00C9040A">
        <w:rPr>
          <w:rtl/>
          <w:lang w:bidi="fa-IR"/>
        </w:rPr>
        <w:t xml:space="preserve"> إِلى قُبُورِهِمُ الْمُظْلِمَةِ الضَّيِّقَةِ وَقَدْ أَسْلَمَهُمُ </w:t>
      </w:r>
      <w:r w:rsidRPr="005B567D">
        <w:rPr>
          <w:rStyle w:val="libFootnotenumChar"/>
          <w:rtl/>
        </w:rPr>
        <w:t>(16)</w:t>
      </w:r>
      <w:r w:rsidRPr="00C9040A">
        <w:rPr>
          <w:rtl/>
          <w:lang w:bidi="fa-IR"/>
        </w:rPr>
        <w:t xml:space="preserve"> الْأَوْلَادُ وَالْأَهْلُونَ ، فَانْقَطِعْ إِلَى اللهِ بِقَلْبٍ مُنِيبٍ مِنْ رَفْضِ الدُّنْيَا‌</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ف » : « كسوة »</w:t>
      </w:r>
      <w:r w:rsidR="008A74EB">
        <w:rPr>
          <w:rtl/>
        </w:rPr>
        <w:t>.</w:t>
      </w:r>
      <w:r w:rsidR="008A74EB" w:rsidRPr="00C9040A">
        <w:rPr>
          <w:rtl/>
        </w:rPr>
        <w:t xml:space="preserve"> </w:t>
      </w:r>
      <w:r w:rsidR="008A74EB">
        <w:rPr>
          <w:rtl/>
        </w:rPr>
        <w:t>و «</w:t>
      </w:r>
      <w:r w:rsidR="008A74EB" w:rsidRPr="00C9040A">
        <w:rPr>
          <w:rtl/>
        </w:rPr>
        <w:t xml:space="preserve"> الكِسْرَة » : القطعة من الشي‌ء المكسور. ومنه : الكسرة من الخُبْز. </w:t>
      </w:r>
      <w:r w:rsidR="008A74EB" w:rsidRPr="00993B55">
        <w:rPr>
          <w:rStyle w:val="libFootnoteBoldChar"/>
          <w:rtl/>
        </w:rPr>
        <w:t>المصباح المنير</w:t>
      </w:r>
      <w:r w:rsidR="008A74EB" w:rsidRPr="00C9040A">
        <w:rPr>
          <w:rtl/>
        </w:rPr>
        <w:t xml:space="preserve"> ، ص 533 ( كسر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ب ، ج ، ض » : « ما لابدّ له منه من كسرة »</w:t>
      </w:r>
      <w:r w:rsidR="008A74EB">
        <w:rPr>
          <w:rtl/>
        </w:rPr>
        <w:t>.</w:t>
      </w:r>
      <w:r w:rsidR="008A74EB" w:rsidRPr="00C9040A">
        <w:rPr>
          <w:rtl/>
        </w:rPr>
        <w:t xml:space="preserve"> وفي « ص ، بر » : « ما لابدّ منه له من كسرة »</w:t>
      </w:r>
      <w:r w:rsidR="008A74EB">
        <w:rPr>
          <w:rtl/>
        </w:rPr>
        <w:t>.</w:t>
      </w:r>
      <w:r w:rsidR="008A74EB" w:rsidRPr="00C9040A">
        <w:rPr>
          <w:rtl/>
        </w:rPr>
        <w:t xml:space="preserve"> وفي البحار : « ما لابدّ منه من كسرة » كلّها بدل « ما لابدّ له من كسرة منه »</w:t>
      </w:r>
      <w:r w:rsidR="008A74EB">
        <w:rPr>
          <w:rtl/>
        </w:rPr>
        <w:t>.</w:t>
      </w:r>
      <w:r w:rsidR="008A74EB" w:rsidRPr="00C9040A">
        <w:rPr>
          <w:rtl/>
        </w:rPr>
        <w:t xml:space="preserve"> وفي « ز ، بس ، بف » وشرح المازندراني والوافي </w:t>
      </w:r>
      <w:r w:rsidR="008A74EB">
        <w:rPr>
          <w:rtl/>
        </w:rPr>
        <w:t xml:space="preserve">: </w:t>
      </w:r>
      <w:r w:rsidR="0084262C">
        <w:rPr>
          <w:rtl/>
        </w:rPr>
        <w:t>-</w:t>
      </w:r>
      <w:r w:rsidR="008A74EB" w:rsidRPr="00C9040A">
        <w:rPr>
          <w:rtl/>
        </w:rPr>
        <w:t xml:space="preserve"> « منه »</w:t>
      </w:r>
      <w:r w:rsidR="008A74EB">
        <w:rPr>
          <w:rtl/>
        </w:rPr>
        <w:t>.</w:t>
      </w:r>
      <w:r w:rsidR="008A74EB" w:rsidRPr="00C9040A">
        <w:rPr>
          <w:rtl/>
        </w:rPr>
        <w:t xml:space="preserve"> وفي المطبوع : « [ منه ]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ف » : « أصلبة »</w:t>
      </w:r>
      <w:r w:rsidR="008A74EB">
        <w:rPr>
          <w:rtl/>
        </w:rPr>
        <w:t>.</w:t>
      </w:r>
      <w:r w:rsidR="008A74EB" w:rsidRPr="00C9040A">
        <w:rPr>
          <w:rtl/>
        </w:rPr>
        <w:t xml:space="preserve"> </w:t>
      </w:r>
      <w:r w:rsidR="008A74EB">
        <w:rPr>
          <w:rtl/>
        </w:rPr>
        <w:t>و «</w:t>
      </w:r>
      <w:r w:rsidR="008A74EB" w:rsidRPr="00C9040A">
        <w:rPr>
          <w:rtl/>
        </w:rPr>
        <w:t xml:space="preserve"> الصُلب » من الظَّهر ، وكلّ شي‌ء من الظَّهر فيه فَقارٌ فذلك الصُّلْب. </w:t>
      </w:r>
      <w:r w:rsidR="008A74EB" w:rsidRPr="00993B55">
        <w:rPr>
          <w:rStyle w:val="libFootnoteBoldChar"/>
          <w:rtl/>
        </w:rPr>
        <w:t>الصحاح</w:t>
      </w:r>
      <w:r w:rsidR="008A74EB" w:rsidRPr="00C9040A">
        <w:rPr>
          <w:rtl/>
        </w:rPr>
        <w:t xml:space="preserve"> ، ج 1 ، ص 163 ( صلب )</w:t>
      </w:r>
      <w:r w:rsidR="008A74EB">
        <w:rPr>
          <w:rtl/>
        </w:rPr>
        <w:t>.</w:t>
      </w:r>
    </w:p>
    <w:p w:rsidR="008A74EB" w:rsidRPr="004A4E41" w:rsidRDefault="006C577F" w:rsidP="004A4E41">
      <w:pPr>
        <w:pStyle w:val="libFootnote0"/>
        <w:rPr>
          <w:rStyle w:val="libFootnote0Char"/>
          <w:rtl/>
        </w:rPr>
      </w:pPr>
      <w:r>
        <w:rPr>
          <w:rtl/>
        </w:rPr>
        <w:t>(4).</w:t>
      </w:r>
      <w:r w:rsidR="008A74EB" w:rsidRPr="00C9040A">
        <w:rPr>
          <w:rtl/>
        </w:rPr>
        <w:t xml:space="preserve"> في « ض » : « تواري »</w:t>
      </w:r>
      <w:r w:rsidR="008A74EB">
        <w:rPr>
          <w:rtl/>
        </w:rPr>
        <w:t>.</w:t>
      </w:r>
    </w:p>
    <w:tbl>
      <w:tblPr>
        <w:tblStyle w:val="TableGrid"/>
        <w:bidiVisual/>
        <w:tblW w:w="0" w:type="auto"/>
        <w:tblLook w:val="04A0" w:firstRow="1" w:lastRow="0" w:firstColumn="1" w:lastColumn="0" w:noHBand="0" w:noVBand="1"/>
      </w:tblPr>
      <w:tblGrid>
        <w:gridCol w:w="4006"/>
        <w:gridCol w:w="4006"/>
      </w:tblGrid>
      <w:tr w:rsidR="00030B21" w:rsidTr="00030B21">
        <w:tc>
          <w:tcPr>
            <w:tcW w:w="4006" w:type="dxa"/>
          </w:tcPr>
          <w:p w:rsidR="00030B21" w:rsidRDefault="00030B21" w:rsidP="004A4E41">
            <w:pPr>
              <w:pStyle w:val="libFootnote0"/>
              <w:rPr>
                <w:rtl/>
              </w:rPr>
            </w:pPr>
            <w:r>
              <w:rPr>
                <w:rtl/>
              </w:rPr>
              <w:t>(5).</w:t>
            </w:r>
            <w:r w:rsidRPr="00C9040A">
              <w:rPr>
                <w:rtl/>
              </w:rPr>
              <w:t xml:space="preserve"> في « ب » : « يجده »</w:t>
            </w:r>
            <w:r>
              <w:rPr>
                <w:rtl/>
              </w:rPr>
              <w:t>.</w:t>
            </w:r>
          </w:p>
        </w:tc>
        <w:tc>
          <w:tcPr>
            <w:tcW w:w="4006" w:type="dxa"/>
          </w:tcPr>
          <w:p w:rsidR="00030B21" w:rsidRDefault="00030B21" w:rsidP="004A4E41">
            <w:pPr>
              <w:pStyle w:val="libFootnote0"/>
              <w:rPr>
                <w:rtl/>
              </w:rPr>
            </w:pPr>
            <w:r>
              <w:rPr>
                <w:rtl/>
              </w:rPr>
              <w:t xml:space="preserve">(6). </w:t>
            </w:r>
            <w:r w:rsidRPr="00C9040A">
              <w:rPr>
                <w:rtl/>
              </w:rPr>
              <w:t xml:space="preserve">في « ض » والبحار </w:t>
            </w:r>
            <w:r>
              <w:rPr>
                <w:rtl/>
              </w:rPr>
              <w:t>: -</w:t>
            </w:r>
            <w:r w:rsidRPr="00C9040A">
              <w:rPr>
                <w:rtl/>
              </w:rPr>
              <w:t xml:space="preserve"> « له »</w:t>
            </w:r>
            <w:r>
              <w:rPr>
                <w:rtl/>
              </w:rPr>
              <w:t>.</w:t>
            </w:r>
          </w:p>
        </w:tc>
      </w:tr>
      <w:tr w:rsidR="00030B21" w:rsidTr="00030B21">
        <w:tc>
          <w:tcPr>
            <w:tcW w:w="4006" w:type="dxa"/>
          </w:tcPr>
          <w:p w:rsidR="00030B21" w:rsidRDefault="00030B21" w:rsidP="004A4E41">
            <w:pPr>
              <w:pStyle w:val="libFootnote0"/>
              <w:rPr>
                <w:rtl/>
              </w:rPr>
            </w:pPr>
            <w:r>
              <w:rPr>
                <w:rtl/>
              </w:rPr>
              <w:t>(7).</w:t>
            </w:r>
            <w:r w:rsidRPr="00C9040A">
              <w:rPr>
                <w:rtl/>
              </w:rPr>
              <w:t xml:space="preserve"> في « ز ، بس » </w:t>
            </w:r>
            <w:r>
              <w:rPr>
                <w:rtl/>
              </w:rPr>
              <w:t>: -</w:t>
            </w:r>
            <w:r w:rsidRPr="00C9040A">
              <w:rPr>
                <w:rtl/>
              </w:rPr>
              <w:t xml:space="preserve"> « وأتعب بدنه »</w:t>
            </w:r>
            <w:r>
              <w:rPr>
                <w:rtl/>
              </w:rPr>
              <w:t>.</w:t>
            </w:r>
          </w:p>
        </w:tc>
        <w:tc>
          <w:tcPr>
            <w:tcW w:w="4006" w:type="dxa"/>
          </w:tcPr>
          <w:p w:rsidR="00030B21" w:rsidRDefault="00030B21" w:rsidP="004A4E41">
            <w:pPr>
              <w:pStyle w:val="libFootnote0"/>
              <w:rPr>
                <w:rtl/>
              </w:rPr>
            </w:pPr>
            <w:r>
              <w:rPr>
                <w:rtl/>
              </w:rPr>
              <w:t>(8).</w:t>
            </w:r>
            <w:r w:rsidRPr="00C9040A">
              <w:rPr>
                <w:rtl/>
              </w:rPr>
              <w:t xml:space="preserve"> في « ض » وحاشية « بف » : « فأبدأ »</w:t>
            </w:r>
            <w:r>
              <w:rPr>
                <w:rtl/>
              </w:rPr>
              <w:t>.</w:t>
            </w:r>
          </w:p>
        </w:tc>
      </w:tr>
    </w:tbl>
    <w:p w:rsidR="008A74EB" w:rsidRPr="00C9040A" w:rsidRDefault="006C577F" w:rsidP="004A4E41">
      <w:pPr>
        <w:pStyle w:val="libFootnote0"/>
        <w:rPr>
          <w:rtl/>
          <w:lang w:bidi="fa-IR"/>
        </w:rPr>
      </w:pPr>
      <w:r>
        <w:rPr>
          <w:rtl/>
        </w:rPr>
        <w:t>(9).</w:t>
      </w:r>
      <w:r w:rsidR="008A74EB" w:rsidRPr="00C9040A">
        <w:rPr>
          <w:rtl/>
        </w:rPr>
        <w:t xml:space="preserve"> في « ز » </w:t>
      </w:r>
      <w:r w:rsidR="008A74EB">
        <w:rPr>
          <w:rtl/>
        </w:rPr>
        <w:t xml:space="preserve">: </w:t>
      </w:r>
      <w:r w:rsidR="0084262C">
        <w:rPr>
          <w:rtl/>
        </w:rPr>
        <w:t>-</w:t>
      </w:r>
      <w:r w:rsidR="008A74EB" w:rsidRPr="00C9040A">
        <w:rPr>
          <w:rtl/>
        </w:rPr>
        <w:t xml:space="preserve"> « له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 الصَّمم » : انسداد الاذُن وثقل السَّمع. </w:t>
      </w:r>
      <w:r w:rsidR="008A74EB" w:rsidRPr="00993B55">
        <w:rPr>
          <w:rStyle w:val="libFootnoteBoldChar"/>
          <w:rtl/>
        </w:rPr>
        <w:t>القاموس المحيط</w:t>
      </w:r>
      <w:r w:rsidR="008A74EB" w:rsidRPr="00C9040A">
        <w:rPr>
          <w:rtl/>
        </w:rPr>
        <w:t xml:space="preserve"> ، ج 2 ، ص 1488 ( صمم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 الأبكم » : الأخرس الذي لا يتكلّم ، وإذا امتنع الرجل من الكلام جهلاً أو تعمّداً فقد بَكِمَ عنه. </w:t>
      </w:r>
      <w:r w:rsidR="008A74EB" w:rsidRPr="00993B55">
        <w:rPr>
          <w:rStyle w:val="libFootnoteBoldChar"/>
          <w:rtl/>
        </w:rPr>
        <w:t>ترتيب كتاب العين</w:t>
      </w:r>
      <w:r w:rsidR="008A74EB" w:rsidRPr="00C9040A">
        <w:rPr>
          <w:rtl/>
        </w:rPr>
        <w:t xml:space="preserve"> ، ج 1 ، ص 186 ( بكم )</w:t>
      </w:r>
      <w:r w:rsidR="008A74EB">
        <w:rPr>
          <w:rtl/>
        </w:rPr>
        <w:t>.</w:t>
      </w:r>
    </w:p>
    <w:p w:rsidR="008A74EB" w:rsidRPr="004A4E41" w:rsidRDefault="006C577F" w:rsidP="004A4E41">
      <w:pPr>
        <w:pStyle w:val="libFootnote0"/>
        <w:rPr>
          <w:rStyle w:val="libFootnote0Char"/>
          <w:rtl/>
        </w:rPr>
      </w:pPr>
      <w:r>
        <w:rPr>
          <w:rtl/>
        </w:rPr>
        <w:t>(12).</w:t>
      </w:r>
      <w:r w:rsidR="008A74EB" w:rsidRPr="00C9040A">
        <w:rPr>
          <w:rtl/>
        </w:rPr>
        <w:t xml:space="preserve"> في « ب ، ز ، ص ، ض ، بس » وشرح المازندراني والوافي والبحار : « </w:t>
      </w:r>
      <w:r w:rsidR="008A74EB">
        <w:rPr>
          <w:rtl/>
        </w:rPr>
        <w:t>و »</w:t>
      </w:r>
      <w:r w:rsidR="008A74EB" w:rsidRPr="00C9040A">
        <w:rPr>
          <w:rtl/>
        </w:rPr>
        <w:t xml:space="preserve"> بدل « أو »</w:t>
      </w:r>
      <w:r w:rsidR="008A74EB">
        <w:rPr>
          <w:rtl/>
        </w:rPr>
        <w:t>.</w:t>
      </w:r>
    </w:p>
    <w:tbl>
      <w:tblPr>
        <w:tblStyle w:val="TableGrid"/>
        <w:bidiVisual/>
        <w:tblW w:w="0" w:type="auto"/>
        <w:tblLook w:val="04A0" w:firstRow="1" w:lastRow="0" w:firstColumn="1" w:lastColumn="0" w:noHBand="0" w:noVBand="1"/>
      </w:tblPr>
      <w:tblGrid>
        <w:gridCol w:w="4006"/>
        <w:gridCol w:w="4006"/>
      </w:tblGrid>
      <w:tr w:rsidR="00030B21" w:rsidTr="00030B21">
        <w:tc>
          <w:tcPr>
            <w:tcW w:w="4006" w:type="dxa"/>
          </w:tcPr>
          <w:p w:rsidR="00030B21" w:rsidRDefault="00030B21" w:rsidP="004A4E41">
            <w:pPr>
              <w:pStyle w:val="libFootnote0"/>
              <w:rPr>
                <w:rtl/>
              </w:rPr>
            </w:pPr>
            <w:r>
              <w:rPr>
                <w:rtl/>
              </w:rPr>
              <w:t>(13)</w:t>
            </w:r>
            <w:r w:rsidRPr="00C9040A">
              <w:rPr>
                <w:rtl/>
              </w:rPr>
              <w:t xml:space="preserve"> في حاشية « د » : « قبلكم »</w:t>
            </w:r>
            <w:r>
              <w:rPr>
                <w:rtl/>
              </w:rPr>
              <w:t>.</w:t>
            </w:r>
          </w:p>
        </w:tc>
        <w:tc>
          <w:tcPr>
            <w:tcW w:w="4006" w:type="dxa"/>
          </w:tcPr>
          <w:p w:rsidR="00030B21" w:rsidRDefault="00030B21" w:rsidP="004A4E41">
            <w:pPr>
              <w:pStyle w:val="libFootnote0"/>
              <w:rPr>
                <w:rtl/>
              </w:rPr>
            </w:pPr>
            <w:r>
              <w:rPr>
                <w:rtl/>
              </w:rPr>
              <w:t>(14)</w:t>
            </w:r>
            <w:r w:rsidRPr="00C9040A">
              <w:rPr>
                <w:rtl/>
              </w:rPr>
              <w:t xml:space="preserve"> في « ز » : « من حيث » بدل « حتّى »</w:t>
            </w:r>
            <w:r>
              <w:rPr>
                <w:rtl/>
              </w:rPr>
              <w:t>.</w:t>
            </w:r>
          </w:p>
        </w:tc>
      </w:tr>
    </w:tbl>
    <w:p w:rsidR="008A74EB" w:rsidRPr="00C9040A" w:rsidRDefault="008A74EB" w:rsidP="004A4E41">
      <w:pPr>
        <w:pStyle w:val="libFootnote0"/>
        <w:rPr>
          <w:rtl/>
          <w:lang w:bidi="fa-IR"/>
        </w:rPr>
      </w:pPr>
      <w:r>
        <w:rPr>
          <w:rtl/>
        </w:rPr>
        <w:t>(15)</w:t>
      </w:r>
      <w:r w:rsidRPr="00C9040A">
        <w:rPr>
          <w:rtl/>
        </w:rPr>
        <w:t xml:space="preserve"> في </w:t>
      </w:r>
      <w:r w:rsidRPr="00993B55">
        <w:rPr>
          <w:rStyle w:val="libFootnoteBoldChar"/>
          <w:rtl/>
        </w:rPr>
        <w:t>الوافي</w:t>
      </w:r>
      <w:r w:rsidRPr="00C9040A">
        <w:rPr>
          <w:rtl/>
        </w:rPr>
        <w:t xml:space="preserve"> : « الأعواد ، جمع عود ، والمراد بها ما يحمل عليه الموتى إلى قبورهم »</w:t>
      </w:r>
      <w:r>
        <w:rPr>
          <w:rtl/>
        </w:rPr>
        <w:t>.</w:t>
      </w:r>
    </w:p>
    <w:p w:rsidR="008A74EB" w:rsidRPr="00C9040A" w:rsidRDefault="008A74EB" w:rsidP="004A4E41">
      <w:pPr>
        <w:pStyle w:val="libFootnote0"/>
        <w:rPr>
          <w:rtl/>
          <w:lang w:bidi="fa-IR"/>
        </w:rPr>
      </w:pPr>
      <w:r>
        <w:rPr>
          <w:rtl/>
        </w:rPr>
        <w:t>(16)</w:t>
      </w:r>
      <w:r w:rsidRPr="00C9040A">
        <w:rPr>
          <w:rtl/>
        </w:rPr>
        <w:t xml:space="preserve"> « أسلمهم » : خذلهم ، أو تركهم. راجع : </w:t>
      </w:r>
      <w:r w:rsidRPr="00993B55">
        <w:rPr>
          <w:rStyle w:val="libFootnoteBoldChar"/>
          <w:rtl/>
        </w:rPr>
        <w:t>لسان العرب</w:t>
      </w:r>
      <w:r w:rsidRPr="00C9040A">
        <w:rPr>
          <w:rtl/>
        </w:rPr>
        <w:t xml:space="preserve"> ، ج 12 ، ص 294</w:t>
      </w:r>
      <w:r>
        <w:rPr>
          <w:rtl/>
        </w:rPr>
        <w:t xml:space="preserve"> </w:t>
      </w:r>
      <w:r w:rsidR="0084262C">
        <w:rPr>
          <w:rtl/>
        </w:rPr>
        <w:t>-</w:t>
      </w:r>
      <w:r>
        <w:rPr>
          <w:rtl/>
        </w:rPr>
        <w:t xml:space="preserve"> </w:t>
      </w:r>
      <w:r w:rsidRPr="00C9040A">
        <w:rPr>
          <w:rtl/>
        </w:rPr>
        <w:t>295 ( سلم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وَعَزْمٍ لَيْسَ فِيهِ انْكِسَارٌ وَلَا انْخِزَالٌ </w:t>
      </w:r>
      <w:r w:rsidR="006C577F" w:rsidRPr="006C577F">
        <w:rPr>
          <w:rStyle w:val="libFootnotenumChar"/>
          <w:rtl/>
        </w:rPr>
        <w:t>(1)</w:t>
      </w:r>
      <w:r w:rsidRPr="00C9040A">
        <w:rPr>
          <w:rtl/>
          <w:lang w:bidi="fa-IR"/>
        </w:rPr>
        <w:t xml:space="preserve"> ؛ أَعَانَنَا اللهُ </w:t>
      </w:r>
      <w:r w:rsidR="006C577F" w:rsidRPr="006C577F">
        <w:rPr>
          <w:rStyle w:val="libFootnotenumChar"/>
          <w:rtl/>
        </w:rPr>
        <w:t>(2)</w:t>
      </w:r>
      <w:r w:rsidRPr="00C9040A">
        <w:rPr>
          <w:rtl/>
          <w:lang w:bidi="fa-IR"/>
        </w:rPr>
        <w:t xml:space="preserve"> وَإِيَّاكَ عَلى طَاعَتِهِ ، وَوَفَّقَنَا اللهُ </w:t>
      </w:r>
      <w:r w:rsidR="006C577F" w:rsidRPr="006C577F">
        <w:rPr>
          <w:rStyle w:val="libFootnotenumChar"/>
          <w:rtl/>
        </w:rPr>
        <w:t>(3)</w:t>
      </w:r>
      <w:r w:rsidRPr="00C9040A">
        <w:rPr>
          <w:rtl/>
          <w:lang w:bidi="fa-IR"/>
        </w:rPr>
        <w:t xml:space="preserve"> وَإِيَّاكَ لِمَرْضَاتِهِ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4B2EF8">
        <w:rPr>
          <w:rtl/>
        </w:rPr>
        <w:t>1916</w:t>
      </w:r>
      <w:r w:rsidRPr="00261CB0">
        <w:rPr>
          <w:rStyle w:val="libBold2Char"/>
          <w:rtl/>
        </w:rPr>
        <w:t xml:space="preserve"> / 24.</w:t>
      </w:r>
      <w:r w:rsidRPr="00C9040A">
        <w:rPr>
          <w:rtl/>
          <w:lang w:bidi="fa-IR"/>
        </w:rPr>
        <w:t xml:space="preserve"> عَلِيُّ بْنُ إِبْرَاهِيمَ ، عَنْ أَبِيهِ ، عَنْ عَبْدِ اللهِ بْنِ الْمُغِيرَةِ وَغَيْرِهِ ، عَنْ طَلْحَةَ بْنِ زَيْدٍ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مَثَلُ </w:t>
      </w:r>
      <w:r w:rsidR="006C577F" w:rsidRPr="006C577F">
        <w:rPr>
          <w:rStyle w:val="libFootnotenumChar"/>
          <w:rtl/>
        </w:rPr>
        <w:t>(5)</w:t>
      </w:r>
      <w:r w:rsidRPr="00C9040A">
        <w:rPr>
          <w:rtl/>
          <w:lang w:bidi="fa-IR"/>
        </w:rPr>
        <w:t xml:space="preserve"> الدُّنْيَا كَمَثَلِ مَاءِ الْبَحْرِ </w:t>
      </w:r>
      <w:r w:rsidR="006C577F" w:rsidRPr="006C577F">
        <w:rPr>
          <w:rStyle w:val="libFootnotenumChar"/>
          <w:rtl/>
        </w:rPr>
        <w:t>(6)</w:t>
      </w:r>
      <w:r w:rsidRPr="005B567D">
        <w:rPr>
          <w:rStyle w:val="libFootnotenumChar"/>
          <w:rtl/>
        </w:rPr>
        <w:t xml:space="preserve"> </w:t>
      </w:r>
      <w:r w:rsidRPr="00C9040A">
        <w:rPr>
          <w:rtl/>
          <w:lang w:bidi="fa-IR"/>
        </w:rPr>
        <w:t xml:space="preserve">، كُلَّمَا شَرِبَ </w:t>
      </w:r>
      <w:r w:rsidR="006C577F" w:rsidRPr="006C577F">
        <w:rPr>
          <w:rStyle w:val="libFootnotenumChar"/>
          <w:rtl/>
        </w:rPr>
        <w:t>(7)</w:t>
      </w:r>
      <w:r w:rsidRPr="00C9040A">
        <w:rPr>
          <w:rtl/>
          <w:lang w:bidi="fa-IR"/>
        </w:rPr>
        <w:t xml:space="preserve"> مِنْهُ الْعَطْشَانُ ازْدَادَ عَطَشاً حَتّى </w:t>
      </w:r>
      <w:r w:rsidR="006C577F" w:rsidRPr="006C577F">
        <w:rPr>
          <w:rStyle w:val="libFootnotenumChar"/>
          <w:rtl/>
        </w:rPr>
        <w:t>(8)</w:t>
      </w:r>
      <w:r w:rsidRPr="00C9040A">
        <w:rPr>
          <w:rtl/>
          <w:lang w:bidi="fa-IR"/>
        </w:rPr>
        <w:t xml:space="preserve"> يَقْتُلَهُ »</w:t>
      </w:r>
      <w:r>
        <w:rPr>
          <w:rtl/>
          <w:lang w:bidi="fa-IR"/>
        </w:rPr>
        <w:t>.</w:t>
      </w:r>
      <w:r w:rsidRPr="00C9040A">
        <w:rPr>
          <w:rtl/>
          <w:lang w:bidi="fa-IR"/>
        </w:rPr>
        <w:t xml:space="preserve"> </w:t>
      </w:r>
      <w:r w:rsidR="006C577F" w:rsidRPr="006C577F">
        <w:rPr>
          <w:rStyle w:val="libFootnotenumChar"/>
          <w:rtl/>
        </w:rPr>
        <w:t>(9)</w:t>
      </w:r>
      <w:r w:rsidRPr="00C9040A">
        <w:rPr>
          <w:rtl/>
          <w:lang w:bidi="fa-IR"/>
        </w:rPr>
        <w:t xml:space="preserve"> ‌</w:t>
      </w:r>
    </w:p>
    <w:p w:rsidR="008A74EB" w:rsidRPr="00C9040A" w:rsidRDefault="008A74EB" w:rsidP="008A74EB">
      <w:pPr>
        <w:pStyle w:val="libNormal"/>
        <w:rPr>
          <w:rtl/>
          <w:lang w:bidi="fa-IR"/>
        </w:rPr>
      </w:pPr>
      <w:r w:rsidRPr="004B2EF8">
        <w:rPr>
          <w:rtl/>
        </w:rPr>
        <w:t>1917</w:t>
      </w:r>
      <w:r w:rsidRPr="00261CB0">
        <w:rPr>
          <w:rStyle w:val="libBold2Char"/>
          <w:rtl/>
        </w:rPr>
        <w:t xml:space="preserve"> / 25.</w:t>
      </w:r>
      <w:r w:rsidRPr="00C9040A">
        <w:rPr>
          <w:rtl/>
          <w:lang w:bidi="fa-IR"/>
        </w:rPr>
        <w:t xml:space="preserve"> الْحُسَيْنُ بْنُ مُحَمَّدٍ ، عَنْ مُعَلَّى بْنِ مُحَمَّدٍ ، عَنِ الْوَشَّاءِ ، قَالَ :</w:t>
      </w:r>
    </w:p>
    <w:p w:rsidR="008A74EB" w:rsidRPr="00C9040A" w:rsidRDefault="008A74EB" w:rsidP="002D0A10">
      <w:pPr>
        <w:pStyle w:val="libNormal"/>
        <w:rPr>
          <w:rtl/>
          <w:lang w:bidi="fa-IR"/>
        </w:rPr>
      </w:pPr>
      <w:r w:rsidRPr="00C9040A">
        <w:rPr>
          <w:rtl/>
          <w:lang w:bidi="fa-IR"/>
        </w:rPr>
        <w:t xml:space="preserve">سَمِعْتُ الرِّضَا </w:t>
      </w:r>
      <w:r w:rsidRPr="0003660B">
        <w:rPr>
          <w:rStyle w:val="libAlaemChar"/>
          <w:rtl/>
        </w:rPr>
        <w:t>عليه‌السلام</w:t>
      </w:r>
      <w:r w:rsidRPr="00C9040A">
        <w:rPr>
          <w:rtl/>
          <w:lang w:bidi="fa-IR"/>
        </w:rPr>
        <w:t xml:space="preserve"> يَقُولُ : « قَالَ عِيسَى بْنُ مَرْيَمَ</w:t>
      </w:r>
      <w:r>
        <w:rPr>
          <w:rtl/>
          <w:lang w:bidi="fa-IR"/>
        </w:rPr>
        <w:t xml:space="preserve"> </w:t>
      </w:r>
      <w:r w:rsidR="0084262C">
        <w:rPr>
          <w:rtl/>
          <w:lang w:bidi="fa-IR"/>
        </w:rPr>
        <w:t>-</w:t>
      </w:r>
      <w:r>
        <w:rPr>
          <w:rtl/>
          <w:lang w:bidi="fa-IR"/>
        </w:rPr>
        <w:t xml:space="preserve"> </w:t>
      </w:r>
      <w:r w:rsidRPr="00C9040A">
        <w:rPr>
          <w:rtl/>
          <w:lang w:bidi="fa-IR"/>
        </w:rPr>
        <w:t>صَلَوَاتُ اللهِ عَلَيْهِ</w:t>
      </w:r>
      <w:r>
        <w:rPr>
          <w:rtl/>
          <w:lang w:bidi="fa-IR"/>
        </w:rPr>
        <w:t xml:space="preserve"> </w:t>
      </w:r>
      <w:r w:rsidR="0084262C">
        <w:rPr>
          <w:rtl/>
          <w:lang w:bidi="fa-IR"/>
        </w:rPr>
        <w:t>-</w:t>
      </w:r>
      <w:r>
        <w:rPr>
          <w:rtl/>
          <w:lang w:bidi="fa-IR"/>
        </w:rPr>
        <w:t xml:space="preserve"> </w:t>
      </w:r>
      <w:r w:rsidRPr="00C9040A">
        <w:rPr>
          <w:rtl/>
          <w:lang w:bidi="fa-IR"/>
        </w:rPr>
        <w:t xml:space="preserve">لِلْحَوَارِيِّينَ : يَا بَنِي إِسْرَائِيلَ ، لَاتَأْسَوْا عَلى مَا فَاتَكُمْ مِنَ الدُّنْيَا ، كَمَا لَايَأْسى أَهْلُ الدُّنْيَا عَلى مَا فَاتَهُمْ مِنْ دِينِهِمْ </w:t>
      </w:r>
      <w:r w:rsidR="006C577F" w:rsidRPr="006C577F">
        <w:rPr>
          <w:rStyle w:val="libFootnotenumChar"/>
          <w:rtl/>
        </w:rPr>
        <w:t>(10)</w:t>
      </w:r>
      <w:r w:rsidRPr="00C9040A">
        <w:rPr>
          <w:rtl/>
          <w:lang w:bidi="fa-IR"/>
        </w:rPr>
        <w:t xml:space="preserve"> إِذَا أَصَابُوا دُنْيَاهُمْ »</w:t>
      </w:r>
      <w:r>
        <w:rPr>
          <w:rtl/>
          <w:lang w:bidi="fa-IR"/>
        </w:rPr>
        <w:t>.</w:t>
      </w:r>
      <w:r w:rsidRPr="00C9040A">
        <w:rPr>
          <w:rtl/>
          <w:lang w:bidi="fa-IR"/>
        </w:rPr>
        <w:t xml:space="preserve"> </w:t>
      </w:r>
      <w:r w:rsidR="006C577F" w:rsidRPr="006C577F">
        <w:rPr>
          <w:rStyle w:val="libFootnotenumChar"/>
          <w:rtl/>
        </w:rPr>
        <w:t>(11)</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الخزل والتخزّل والانخزال : مشية في تثاقل ، وتخزّل السحاب كأنّه يتراجع تثاقلاً. </w:t>
      </w:r>
      <w:r w:rsidR="008A74EB" w:rsidRPr="00993B55">
        <w:rPr>
          <w:rStyle w:val="libFootnoteBoldChar"/>
          <w:rtl/>
        </w:rPr>
        <w:t>القاموس المحيط</w:t>
      </w:r>
      <w:r w:rsidR="008A74EB" w:rsidRPr="00C9040A">
        <w:rPr>
          <w:rtl/>
        </w:rPr>
        <w:t xml:space="preserve"> ، ج 2 ، ص 1312 ( خزل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ف » </w:t>
      </w:r>
      <w:r w:rsidR="008A74EB">
        <w:rPr>
          <w:rtl/>
        </w:rPr>
        <w:t xml:space="preserve">: </w:t>
      </w:r>
      <w:r w:rsidR="0084262C">
        <w:rPr>
          <w:rtl/>
        </w:rPr>
        <w:t>-</w:t>
      </w:r>
      <w:r w:rsidR="008A74EB" w:rsidRPr="00C9040A">
        <w:rPr>
          <w:rtl/>
        </w:rPr>
        <w:t xml:space="preserve"> « الله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ف ، بر » والوافي </w:t>
      </w:r>
      <w:r w:rsidR="008A74EB">
        <w:rPr>
          <w:rtl/>
        </w:rPr>
        <w:t xml:space="preserve">: </w:t>
      </w:r>
      <w:r w:rsidR="0084262C">
        <w:rPr>
          <w:rtl/>
        </w:rPr>
        <w:t>-</w:t>
      </w:r>
      <w:r w:rsidR="008A74EB" w:rsidRPr="00C9040A">
        <w:rPr>
          <w:rtl/>
        </w:rPr>
        <w:t xml:space="preserve"> « الله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الوافي</w:t>
      </w:r>
      <w:r w:rsidR="008A74EB" w:rsidRPr="00C9040A">
        <w:rPr>
          <w:rtl/>
        </w:rPr>
        <w:t xml:space="preserve"> ، ج 4 ، ص 399 ، ح 2189 ؛ </w:t>
      </w:r>
      <w:r w:rsidR="008A74EB" w:rsidRPr="00993B55">
        <w:rPr>
          <w:rStyle w:val="libFootnoteBoldChar"/>
          <w:rtl/>
        </w:rPr>
        <w:t>البحار</w:t>
      </w:r>
      <w:r w:rsidR="008A74EB" w:rsidRPr="00C9040A">
        <w:rPr>
          <w:rtl/>
        </w:rPr>
        <w:t xml:space="preserve"> ، ج 73 ، ص 75 ، ح 39.</w:t>
      </w:r>
    </w:p>
    <w:p w:rsidR="008A74EB" w:rsidRPr="00C9040A" w:rsidRDefault="006C577F" w:rsidP="004A4E41">
      <w:pPr>
        <w:pStyle w:val="libFootnote0"/>
        <w:rPr>
          <w:rtl/>
          <w:lang w:bidi="fa-IR"/>
        </w:rPr>
      </w:pPr>
      <w:r>
        <w:rPr>
          <w:rtl/>
        </w:rPr>
        <w:t>(5).</w:t>
      </w:r>
      <w:r w:rsidR="008A74EB" w:rsidRPr="00C9040A">
        <w:rPr>
          <w:rtl/>
        </w:rPr>
        <w:t xml:space="preserve"> في « بس » : + « إنّما مثل »</w:t>
      </w:r>
      <w:r w:rsidR="008A74EB">
        <w:rPr>
          <w:rtl/>
        </w:rPr>
        <w:t>.</w:t>
      </w:r>
    </w:p>
    <w:p w:rsidR="008A74EB" w:rsidRPr="004A4E41" w:rsidRDefault="006C577F" w:rsidP="004A4E41">
      <w:pPr>
        <w:pStyle w:val="libFootnote0"/>
        <w:rPr>
          <w:rStyle w:val="libFootnote0Char"/>
          <w:rtl/>
        </w:rPr>
      </w:pPr>
      <w:r>
        <w:rPr>
          <w:rtl/>
        </w:rPr>
        <w:t>(6).</w:t>
      </w:r>
      <w:r w:rsidR="008A74EB">
        <w:rPr>
          <w:rtl/>
        </w:rPr>
        <w:t xml:space="preserve"> </w:t>
      </w:r>
      <w:r w:rsidR="008A74EB" w:rsidRPr="00C9040A">
        <w:rPr>
          <w:rtl/>
        </w:rPr>
        <w:t>في الزهد : « البحر المالح » بدل « ماء البحر »</w:t>
      </w:r>
      <w:r w:rsidR="008A74EB">
        <w:rPr>
          <w:rtl/>
        </w:rPr>
        <w:t>.</w:t>
      </w:r>
    </w:p>
    <w:tbl>
      <w:tblPr>
        <w:tblStyle w:val="TableGrid"/>
        <w:bidiVisual/>
        <w:tblW w:w="0" w:type="auto"/>
        <w:tblLook w:val="04A0" w:firstRow="1" w:lastRow="0" w:firstColumn="1" w:lastColumn="0" w:noHBand="0" w:noVBand="1"/>
      </w:tblPr>
      <w:tblGrid>
        <w:gridCol w:w="4006"/>
        <w:gridCol w:w="4006"/>
      </w:tblGrid>
      <w:tr w:rsidR="0095721A" w:rsidTr="0095721A">
        <w:tc>
          <w:tcPr>
            <w:tcW w:w="4006" w:type="dxa"/>
          </w:tcPr>
          <w:p w:rsidR="0095721A" w:rsidRDefault="0095721A" w:rsidP="004A4E41">
            <w:pPr>
              <w:pStyle w:val="libFootnote0"/>
              <w:rPr>
                <w:rtl/>
              </w:rPr>
            </w:pPr>
            <w:r>
              <w:rPr>
                <w:rtl/>
              </w:rPr>
              <w:t>(7).</w:t>
            </w:r>
            <w:r w:rsidRPr="00C9040A">
              <w:rPr>
                <w:rtl/>
              </w:rPr>
              <w:t xml:space="preserve"> في « ف » : « ا</w:t>
            </w:r>
            <w:r>
              <w:rPr>
                <w:rFonts w:hint="cs"/>
                <w:rtl/>
              </w:rPr>
              <w:t>ُ</w:t>
            </w:r>
            <w:r w:rsidRPr="00C9040A">
              <w:rPr>
                <w:rtl/>
              </w:rPr>
              <w:t>شْرب »</w:t>
            </w:r>
            <w:r>
              <w:rPr>
                <w:rtl/>
              </w:rPr>
              <w:t>.</w:t>
            </w:r>
          </w:p>
        </w:tc>
        <w:tc>
          <w:tcPr>
            <w:tcW w:w="4006" w:type="dxa"/>
          </w:tcPr>
          <w:p w:rsidR="0095721A" w:rsidRDefault="0095721A" w:rsidP="004A4E41">
            <w:pPr>
              <w:pStyle w:val="libFootnote0"/>
              <w:rPr>
                <w:rtl/>
              </w:rPr>
            </w:pPr>
            <w:r>
              <w:rPr>
                <w:rtl/>
              </w:rPr>
              <w:t>(8).</w:t>
            </w:r>
            <w:r w:rsidRPr="00C9040A">
              <w:rPr>
                <w:rtl/>
              </w:rPr>
              <w:t xml:space="preserve"> في « ف » </w:t>
            </w:r>
            <w:r>
              <w:rPr>
                <w:rtl/>
              </w:rPr>
              <w:t>: -</w:t>
            </w:r>
            <w:r w:rsidRPr="00C9040A">
              <w:rPr>
                <w:rtl/>
              </w:rPr>
              <w:t xml:space="preserve"> « حتّى »</w:t>
            </w:r>
            <w:r>
              <w:rPr>
                <w:rtl/>
              </w:rPr>
              <w:t>.</w:t>
            </w:r>
          </w:p>
        </w:tc>
      </w:tr>
    </w:tbl>
    <w:p w:rsidR="008A74EB" w:rsidRPr="00C9040A" w:rsidRDefault="006C577F" w:rsidP="004A4E41">
      <w:pPr>
        <w:pStyle w:val="libFootnote0"/>
        <w:rPr>
          <w:rtl/>
          <w:lang w:bidi="fa-IR"/>
        </w:rPr>
      </w:pPr>
      <w:r>
        <w:rPr>
          <w:rtl/>
        </w:rPr>
        <w:t>(9).</w:t>
      </w:r>
      <w:r w:rsidR="008A74EB" w:rsidRPr="00C9040A">
        <w:rPr>
          <w:rtl/>
        </w:rPr>
        <w:t xml:space="preserve"> </w:t>
      </w:r>
      <w:r w:rsidR="008A74EB" w:rsidRPr="00993B55">
        <w:rPr>
          <w:rStyle w:val="libFootnoteBoldChar"/>
          <w:rtl/>
        </w:rPr>
        <w:t>الزهد</w:t>
      </w:r>
      <w:r w:rsidR="008A74EB" w:rsidRPr="00C9040A">
        <w:rPr>
          <w:rtl/>
        </w:rPr>
        <w:t xml:space="preserve"> ، ص 116 ، ح 132 ، عن عبدالله بن المغيرة ، عن طلحة بن زيد ، مع زيادة في أوّله. </w:t>
      </w:r>
      <w:r w:rsidR="008A74EB" w:rsidRPr="00993B55">
        <w:rPr>
          <w:rStyle w:val="libFootnoteBoldChar"/>
          <w:rtl/>
        </w:rPr>
        <w:t>تحف العقول</w:t>
      </w:r>
      <w:r w:rsidR="008A74EB" w:rsidRPr="00C9040A">
        <w:rPr>
          <w:rtl/>
        </w:rPr>
        <w:t xml:space="preserve"> ، ص 395 ، ضمن الحديث الطويل ، عن الكاظم </w:t>
      </w:r>
      <w:r w:rsidR="00117575" w:rsidRPr="00117575">
        <w:rPr>
          <w:rStyle w:val="libFootnoteAlaemChar"/>
          <w:rtl/>
        </w:rPr>
        <w:t>عليه‌السلام</w:t>
      </w:r>
      <w:r w:rsidR="008A74EB" w:rsidRPr="00C9040A">
        <w:rPr>
          <w:rtl/>
        </w:rPr>
        <w:t xml:space="preserve"> </w:t>
      </w:r>
      <w:r w:rsidR="0095721A">
        <w:rPr>
          <w:rFonts w:hint="cs"/>
          <w:rtl/>
        </w:rPr>
        <w:t>.</w:t>
      </w:r>
      <w:r w:rsidR="008A74EB" w:rsidRPr="00993B55">
        <w:rPr>
          <w:rStyle w:val="libFootnoteBoldChar"/>
          <w:rtl/>
        </w:rPr>
        <w:t>الوافي</w:t>
      </w:r>
      <w:r w:rsidR="008A74EB" w:rsidRPr="00C9040A">
        <w:rPr>
          <w:rtl/>
        </w:rPr>
        <w:t xml:space="preserve"> ، ج 4 ، ص 400 ، ح 2190 ؛ </w:t>
      </w:r>
      <w:r w:rsidR="008A74EB" w:rsidRPr="00993B55">
        <w:rPr>
          <w:rStyle w:val="libFootnoteBoldChar"/>
          <w:rtl/>
        </w:rPr>
        <w:t>البحار</w:t>
      </w:r>
      <w:r w:rsidR="008A74EB" w:rsidRPr="00C9040A">
        <w:rPr>
          <w:rtl/>
        </w:rPr>
        <w:t xml:space="preserve"> ، ج 73 ، ص 79 ، ح 40.</w:t>
      </w:r>
    </w:p>
    <w:p w:rsidR="008A74EB" w:rsidRPr="00C9040A" w:rsidRDefault="006C577F" w:rsidP="004A4E41">
      <w:pPr>
        <w:pStyle w:val="libFootnote0"/>
        <w:rPr>
          <w:rtl/>
          <w:lang w:bidi="fa-IR"/>
        </w:rPr>
      </w:pPr>
      <w:r>
        <w:rPr>
          <w:rtl/>
        </w:rPr>
        <w:t>(10).</w:t>
      </w:r>
      <w:r w:rsidR="008A74EB" w:rsidRPr="00C9040A">
        <w:rPr>
          <w:rtl/>
        </w:rPr>
        <w:t xml:space="preserve"> في الزهد : « آخرتهم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w:t>
      </w:r>
      <w:r w:rsidR="008A74EB" w:rsidRPr="00993B55">
        <w:rPr>
          <w:rStyle w:val="libFootnoteBoldChar"/>
          <w:rtl/>
        </w:rPr>
        <w:t>الزهد</w:t>
      </w:r>
      <w:r w:rsidR="008A74EB" w:rsidRPr="00C9040A">
        <w:rPr>
          <w:rtl/>
        </w:rPr>
        <w:t xml:space="preserve"> ، ص 119 ، ح 140 ، عن الحسن بن عليّ ، عن أبي الحسن </w:t>
      </w:r>
      <w:r w:rsidR="00117575" w:rsidRPr="00117575">
        <w:rPr>
          <w:rStyle w:val="libFootnoteAlaemChar"/>
          <w:rtl/>
        </w:rPr>
        <w:t>عليه‌السلام</w:t>
      </w:r>
      <w:r w:rsidR="008A74EB" w:rsidRPr="00C9040A">
        <w:rPr>
          <w:rtl/>
        </w:rPr>
        <w:t xml:space="preserve">. </w:t>
      </w:r>
      <w:r w:rsidR="008A74EB" w:rsidRPr="0034021D">
        <w:rPr>
          <w:rStyle w:val="libFootnoteBoldChar"/>
          <w:rtl/>
        </w:rPr>
        <w:t>الأمالي للصدوق</w:t>
      </w:r>
      <w:r w:rsidR="008A74EB" w:rsidRPr="00C9040A">
        <w:rPr>
          <w:rtl/>
        </w:rPr>
        <w:t xml:space="preserve"> ، ص 496 ، المجلس 75 ، ح 2 ، بسنده عن الحسن بن عليّ ، عن أبي الحسن </w:t>
      </w:r>
      <w:r w:rsidR="00117575" w:rsidRPr="00117575">
        <w:rPr>
          <w:rStyle w:val="libFootnoteAlaemChar"/>
          <w:rtl/>
        </w:rPr>
        <w:t>عليه‌السلام</w:t>
      </w:r>
      <w:r w:rsidR="008A74EB" w:rsidRPr="004A4E41">
        <w:rPr>
          <w:rtl/>
        </w:rPr>
        <w:t xml:space="preserve"> </w:t>
      </w:r>
      <w:r w:rsidR="008A74EB" w:rsidRPr="00C9040A">
        <w:rPr>
          <w:rtl/>
        </w:rPr>
        <w:t xml:space="preserve">، مع اختلاف يسير </w:t>
      </w:r>
      <w:r w:rsidR="00F65C1F">
        <w:rPr>
          <w:rFonts w:hint="cs"/>
          <w:rtl/>
        </w:rPr>
        <w:t>.</w:t>
      </w:r>
      <w:r w:rsidR="008A74EB" w:rsidRPr="00993B55">
        <w:rPr>
          <w:rStyle w:val="libFootnoteBoldChar"/>
          <w:rtl/>
        </w:rPr>
        <w:t>الوافي</w:t>
      </w:r>
      <w:r w:rsidR="008A74EB" w:rsidRPr="00C9040A">
        <w:rPr>
          <w:rtl/>
        </w:rPr>
        <w:t xml:space="preserve"> ، ج 4 ، ص 401 ، ح 2191 ؛ </w:t>
      </w:r>
      <w:r w:rsidR="008A74EB" w:rsidRPr="00993B55">
        <w:rPr>
          <w:rStyle w:val="libFootnoteBoldChar"/>
          <w:rtl/>
        </w:rPr>
        <w:t>البحار</w:t>
      </w:r>
      <w:r w:rsidR="008A74EB" w:rsidRPr="00C9040A">
        <w:rPr>
          <w:rtl/>
        </w:rPr>
        <w:t xml:space="preserve"> ، ج 73 ، ص 80 ، ح 41.</w:t>
      </w:r>
    </w:p>
    <w:p w:rsidR="004B7F34" w:rsidRDefault="004B7F34" w:rsidP="004B7F34">
      <w:pPr>
        <w:pStyle w:val="libNormal"/>
        <w:rPr>
          <w:rtl/>
          <w:lang w:bidi="fa-IR"/>
        </w:rPr>
      </w:pPr>
      <w:r>
        <w:rPr>
          <w:rtl/>
          <w:lang w:bidi="fa-IR"/>
        </w:rPr>
        <w:br w:type="page"/>
      </w:r>
    </w:p>
    <w:p w:rsidR="008A74EB" w:rsidRPr="00C9040A" w:rsidRDefault="008A74EB" w:rsidP="008A74EB">
      <w:pPr>
        <w:pStyle w:val="Heading2Center"/>
        <w:rPr>
          <w:rtl/>
          <w:lang w:bidi="fa-IR"/>
        </w:rPr>
      </w:pPr>
      <w:bookmarkStart w:id="196" w:name="_Toc343795653"/>
      <w:bookmarkStart w:id="197" w:name="_Toc459810777"/>
      <w:bookmarkStart w:id="198" w:name="_Toc35348683"/>
      <w:r w:rsidRPr="00C9040A">
        <w:rPr>
          <w:rtl/>
          <w:lang w:bidi="fa-IR"/>
        </w:rPr>
        <w:t>62</w:t>
      </w:r>
      <w:r>
        <w:rPr>
          <w:rtl/>
          <w:lang w:bidi="fa-IR"/>
        </w:rPr>
        <w:t xml:space="preserve"> </w:t>
      </w:r>
      <w:r w:rsidR="0084262C">
        <w:rPr>
          <w:rtl/>
          <w:lang w:bidi="fa-IR"/>
        </w:rPr>
        <w:t>-</w:t>
      </w:r>
      <w:r>
        <w:rPr>
          <w:rtl/>
          <w:lang w:bidi="fa-IR"/>
        </w:rPr>
        <w:t xml:space="preserve"> </w:t>
      </w:r>
      <w:r w:rsidRPr="00C9040A">
        <w:rPr>
          <w:rtl/>
          <w:lang w:bidi="fa-IR"/>
        </w:rPr>
        <w:t xml:space="preserve">بَابٌ </w:t>
      </w:r>
      <w:r w:rsidR="006C577F" w:rsidRPr="006C577F">
        <w:rPr>
          <w:rStyle w:val="libFootnotenumChar"/>
          <w:rtl/>
        </w:rPr>
        <w:t>(1)</w:t>
      </w:r>
      <w:r w:rsidRPr="00C9040A">
        <w:rPr>
          <w:rtl/>
          <w:lang w:bidi="fa-IR"/>
        </w:rPr>
        <w:t xml:space="preserve"> ‌</w:t>
      </w:r>
      <w:bookmarkEnd w:id="196"/>
      <w:bookmarkEnd w:id="197"/>
      <w:bookmarkEnd w:id="198"/>
    </w:p>
    <w:p w:rsidR="008A74EB" w:rsidRPr="00C9040A" w:rsidRDefault="008A74EB" w:rsidP="008A74EB">
      <w:pPr>
        <w:pStyle w:val="libNormal"/>
        <w:rPr>
          <w:rtl/>
          <w:lang w:bidi="fa-IR"/>
        </w:rPr>
      </w:pPr>
      <w:r w:rsidRPr="004B2EF8">
        <w:rPr>
          <w:rtl/>
        </w:rPr>
        <w:t>1918</w:t>
      </w:r>
      <w:r w:rsidRPr="00261CB0">
        <w:rPr>
          <w:rStyle w:val="libBold2Char"/>
          <w:rtl/>
        </w:rPr>
        <w:t xml:space="preserve"> / 1.</w:t>
      </w:r>
      <w:r w:rsidRPr="00C9040A">
        <w:rPr>
          <w:rtl/>
          <w:lang w:bidi="fa-IR"/>
        </w:rPr>
        <w:t xml:space="preserve"> الْحُسَيْنُ بْنُ مُحَمَّدٍ الْأَشْعَرِيُّ ، عَنْ مُعَلَّى بْنِ مُحَمَّدٍ ، عَنِ الْحَسَنِ بْنِ عَلِيٍّ الْوَشَّاءِ ، عَنْ عَاصِمِ بْنِ حُمَيْدٍ ، عَنْ أَبِي عُبَيْدَةَ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إِنَّ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يَقُولُ : وَعِزَّتِي وَجَلَالِي </w:t>
      </w:r>
      <w:r w:rsidR="006C577F" w:rsidRPr="006C577F">
        <w:rPr>
          <w:rStyle w:val="libFootnotenumChar"/>
          <w:rtl/>
        </w:rPr>
        <w:t>(2)</w:t>
      </w:r>
      <w:r w:rsidRPr="00C9040A">
        <w:rPr>
          <w:rtl/>
          <w:lang w:bidi="fa-IR"/>
        </w:rPr>
        <w:t xml:space="preserve"> وَعَظَمَتِي وَعُلُوِّي </w:t>
      </w:r>
      <w:r w:rsidR="006C577F" w:rsidRPr="006C577F">
        <w:rPr>
          <w:rStyle w:val="libFootnotenumChar"/>
          <w:rtl/>
        </w:rPr>
        <w:t>(3)</w:t>
      </w:r>
      <w:r w:rsidRPr="00C9040A">
        <w:rPr>
          <w:rtl/>
          <w:lang w:bidi="fa-IR"/>
        </w:rPr>
        <w:t xml:space="preserve"> وَارْتِفَاعِ مَكَانِي ، لَايُؤْثِرُ عَبْدٌ </w:t>
      </w:r>
      <w:r w:rsidR="006C577F" w:rsidRPr="006C577F">
        <w:rPr>
          <w:rStyle w:val="libFootnotenumChar"/>
          <w:rtl/>
        </w:rPr>
        <w:t>(4)</w:t>
      </w:r>
      <w:r w:rsidRPr="00C9040A">
        <w:rPr>
          <w:rtl/>
          <w:lang w:bidi="fa-IR"/>
        </w:rPr>
        <w:t xml:space="preserve"> ه</w:t>
      </w:r>
      <w:r w:rsidR="00971CF8">
        <w:rPr>
          <w:rtl/>
          <w:lang w:bidi="fa-IR"/>
        </w:rPr>
        <w:t>َوَايَ عَلى هَوى نَفْسِهِ إِل</w:t>
      </w:r>
      <w:r w:rsidR="00971CF8">
        <w:rPr>
          <w:rFonts w:hint="cs"/>
          <w:rtl/>
          <w:lang w:bidi="fa-IR"/>
        </w:rPr>
        <w:t>َّ</w:t>
      </w:r>
      <w:r w:rsidR="00971CF8">
        <w:rPr>
          <w:rtl/>
          <w:lang w:bidi="fa-IR"/>
        </w:rPr>
        <w:t>ا</w:t>
      </w:r>
      <w:r w:rsidRPr="00C9040A">
        <w:rPr>
          <w:rtl/>
          <w:lang w:bidi="fa-IR"/>
        </w:rPr>
        <w:t xml:space="preserve"> </w:t>
      </w:r>
      <w:r w:rsidR="006C577F" w:rsidRPr="006C577F">
        <w:rPr>
          <w:rStyle w:val="libFootnotenumChar"/>
          <w:rtl/>
        </w:rPr>
        <w:t>(5)</w:t>
      </w:r>
      <w:r w:rsidRPr="00C9040A">
        <w:rPr>
          <w:rtl/>
          <w:lang w:bidi="fa-IR"/>
        </w:rPr>
        <w:t xml:space="preserve"> كَفَفْتُ عَلَيْهِ </w:t>
      </w:r>
      <w:r w:rsidR="006C577F" w:rsidRPr="006C577F">
        <w:rPr>
          <w:rStyle w:val="libFootnotenumChar"/>
          <w:rtl/>
        </w:rPr>
        <w:t>(6)</w:t>
      </w:r>
      <w:r w:rsidRPr="005B567D">
        <w:rPr>
          <w:rStyle w:val="libFootnotenumChar"/>
          <w:rtl/>
        </w:rPr>
        <w:t xml:space="preserve"> </w:t>
      </w:r>
      <w:r w:rsidRPr="00C9040A">
        <w:rPr>
          <w:rtl/>
          <w:lang w:bidi="fa-IR"/>
        </w:rPr>
        <w:t xml:space="preserve">ضَيْعَتَهُ </w:t>
      </w:r>
      <w:r w:rsidR="006C577F" w:rsidRPr="006C577F">
        <w:rPr>
          <w:rStyle w:val="libFootnotenumChar"/>
          <w:rtl/>
        </w:rPr>
        <w:t>(7)</w:t>
      </w:r>
      <w:r w:rsidRPr="00C9040A">
        <w:rPr>
          <w:rtl/>
          <w:lang w:bidi="fa-IR"/>
        </w:rPr>
        <w:t xml:space="preserve"> ، وَضَمَّنْتُ </w:t>
      </w:r>
      <w:r w:rsidR="006C577F" w:rsidRPr="006C577F">
        <w:rPr>
          <w:rStyle w:val="libFootnotenumChar"/>
          <w:rtl/>
        </w:rPr>
        <w:t>(8)</w:t>
      </w:r>
      <w:r w:rsidRPr="00C9040A">
        <w:rPr>
          <w:rtl/>
          <w:lang w:bidi="fa-IR"/>
        </w:rPr>
        <w:t xml:space="preserve"> السَّمَاوَاتِ وَالْأَرْضَ رِزْقَهُ </w:t>
      </w:r>
      <w:r w:rsidR="006C577F" w:rsidRPr="006C577F">
        <w:rPr>
          <w:rStyle w:val="libFootnotenumChar"/>
          <w:rtl/>
        </w:rPr>
        <w:t>(9)</w:t>
      </w:r>
      <w:r w:rsidRPr="00C9040A">
        <w:rPr>
          <w:rtl/>
          <w:lang w:bidi="fa-IR"/>
        </w:rPr>
        <w:t xml:space="preserve"> ، وَكُنْتُ لَهُ مِنْ وَرَاءِ تِجَارَةِ كُلِّ تَاجِرٍ </w:t>
      </w:r>
      <w:r w:rsidR="006C577F" w:rsidRPr="006C577F">
        <w:rPr>
          <w:rStyle w:val="libFootnotenumChar"/>
          <w:rtl/>
        </w:rPr>
        <w:t>(10)</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(11)</w:t>
      </w:r>
      <w:r w:rsidRPr="00C9040A">
        <w:rPr>
          <w:rtl/>
          <w:lang w:bidi="fa-IR"/>
        </w:rPr>
        <w:t xml:space="preserve"> ‌</w:t>
      </w:r>
    </w:p>
    <w:p w:rsidR="008A74EB" w:rsidRPr="00C9040A" w:rsidRDefault="008A74EB" w:rsidP="008A74EB">
      <w:pPr>
        <w:pStyle w:val="libNormal"/>
        <w:rPr>
          <w:rtl/>
          <w:lang w:bidi="fa-IR"/>
        </w:rPr>
      </w:pPr>
      <w:r w:rsidRPr="004B2EF8">
        <w:rPr>
          <w:rtl/>
        </w:rPr>
        <w:t>1919</w:t>
      </w:r>
      <w:r w:rsidRPr="00261CB0">
        <w:rPr>
          <w:rStyle w:val="libBold2Char"/>
          <w:rtl/>
        </w:rPr>
        <w:t xml:space="preserve"> / 2.</w:t>
      </w:r>
      <w:r w:rsidRPr="00C9040A">
        <w:rPr>
          <w:rtl/>
          <w:lang w:bidi="fa-IR"/>
        </w:rPr>
        <w:t xml:space="preserve"> مُحَمَّدُ بْنُ يَحْيى ، عَنْ أَحْمَدَ بْنِ مُحَمَّدٍ ، عَنِ ابْنِ مَحْبُوبٍ ، عَنِ الْعَلَاءِ بْنِ رَزِينٍ ، عَنِ ابْنِ سِنَانٍ </w:t>
      </w:r>
      <w:r w:rsidR="006C577F" w:rsidRPr="006C577F">
        <w:rPr>
          <w:rStyle w:val="libFootnotenumChar"/>
          <w:rtl/>
        </w:rPr>
        <w:t>(12)</w:t>
      </w:r>
      <w:r w:rsidRPr="00C9040A">
        <w:rPr>
          <w:rtl/>
          <w:lang w:bidi="fa-IR"/>
        </w:rPr>
        <w:t xml:space="preserve"> ، عَنْ أَبِي حَمْزَةَ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w:t>
      </w:r>
      <w:r w:rsidR="008A74EB" w:rsidRPr="00993B55">
        <w:rPr>
          <w:rStyle w:val="libFootnoteBoldChar"/>
          <w:rtl/>
        </w:rPr>
        <w:t>مرآة العقول</w:t>
      </w:r>
      <w:r w:rsidR="008A74EB" w:rsidRPr="00C9040A">
        <w:rPr>
          <w:rtl/>
        </w:rPr>
        <w:t xml:space="preserve"> ، ج 8 ، ص 316 : « إنّما لم يعنون هذا الباب لأنّه قريب من الباب الأوّل ، فكأنّه داخل في عنوانه ؛ لأنّه فيه المنع عن إيثار هوى الأنفس وشهواتها على رضا ال</w:t>
      </w:r>
      <w:r w:rsidR="00971CF8">
        <w:rPr>
          <w:rtl/>
        </w:rPr>
        <w:t>له تعالى ، وليس هذا الإيثار إل</w:t>
      </w:r>
      <w:r w:rsidR="00971CF8">
        <w:rPr>
          <w:rFonts w:hint="cs"/>
          <w:rtl/>
        </w:rPr>
        <w:t>ّ</w:t>
      </w:r>
      <w:r w:rsidR="00971CF8">
        <w:rPr>
          <w:rtl/>
        </w:rPr>
        <w:t>الحبّ الدنيا وشهواتها ، لكن لم</w:t>
      </w:r>
      <w:r w:rsidR="00971CF8">
        <w:rPr>
          <w:rFonts w:hint="cs"/>
          <w:rtl/>
        </w:rPr>
        <w:t>ــّ</w:t>
      </w:r>
      <w:r w:rsidR="008A74EB" w:rsidRPr="00C9040A">
        <w:rPr>
          <w:rtl/>
        </w:rPr>
        <w:t>ا لم تذكر في الخبرين ذكر الدنيا صريحاً أفرد لهما باباً وألحقه بالباب السابق »</w:t>
      </w:r>
      <w:r w:rsidR="008A74EB">
        <w:rPr>
          <w:rtl/>
        </w:rPr>
        <w:t>.</w:t>
      </w:r>
    </w:p>
    <w:p w:rsidR="008A74EB" w:rsidRPr="004A4E41" w:rsidRDefault="006C577F" w:rsidP="004A4E41">
      <w:pPr>
        <w:pStyle w:val="libFootnote0"/>
        <w:rPr>
          <w:rStyle w:val="libFootnote0Char"/>
          <w:rtl/>
        </w:rPr>
      </w:pPr>
      <w:r>
        <w:rPr>
          <w:rtl/>
        </w:rPr>
        <w:t>(2).</w:t>
      </w:r>
      <w:r w:rsidR="008A74EB">
        <w:rPr>
          <w:rtl/>
        </w:rPr>
        <w:t xml:space="preserve"> </w:t>
      </w:r>
      <w:r w:rsidR="008A74EB" w:rsidRPr="00C9040A">
        <w:rPr>
          <w:rtl/>
        </w:rPr>
        <w:t xml:space="preserve">في « د ، ز ، ص ، ف ، بر ، بس ، بف » والوافي والوسائل </w:t>
      </w:r>
      <w:r w:rsidR="008A74EB">
        <w:rPr>
          <w:rtl/>
        </w:rPr>
        <w:t xml:space="preserve">: </w:t>
      </w:r>
      <w:r w:rsidR="0084262C">
        <w:rPr>
          <w:rtl/>
        </w:rPr>
        <w:t>-</w:t>
      </w:r>
      <w:r w:rsidR="008A74EB" w:rsidRPr="00C9040A">
        <w:rPr>
          <w:rtl/>
        </w:rPr>
        <w:t xml:space="preserve"> « وجلالي »</w:t>
      </w:r>
      <w:r w:rsidR="008A74EB">
        <w:rPr>
          <w:rtl/>
        </w:rPr>
        <w:t>.</w:t>
      </w:r>
    </w:p>
    <w:tbl>
      <w:tblPr>
        <w:tblStyle w:val="TableGrid"/>
        <w:bidiVisual/>
        <w:tblW w:w="0" w:type="auto"/>
        <w:tblLook w:val="04A0" w:firstRow="1" w:lastRow="0" w:firstColumn="1" w:lastColumn="0" w:noHBand="0" w:noVBand="1"/>
      </w:tblPr>
      <w:tblGrid>
        <w:gridCol w:w="4006"/>
        <w:gridCol w:w="4006"/>
      </w:tblGrid>
      <w:tr w:rsidR="00971CF8" w:rsidTr="00971CF8">
        <w:tc>
          <w:tcPr>
            <w:tcW w:w="4006" w:type="dxa"/>
          </w:tcPr>
          <w:p w:rsidR="00971CF8" w:rsidRDefault="00971CF8" w:rsidP="004A4E41">
            <w:pPr>
              <w:pStyle w:val="libFootnote0"/>
              <w:rPr>
                <w:rtl/>
              </w:rPr>
            </w:pPr>
            <w:r>
              <w:rPr>
                <w:rtl/>
              </w:rPr>
              <w:t>(3).</w:t>
            </w:r>
            <w:r w:rsidRPr="00C9040A">
              <w:rPr>
                <w:rtl/>
              </w:rPr>
              <w:t xml:space="preserve"> في حاشية « ض » : « وعلوّ ارتفاعي »</w:t>
            </w:r>
            <w:r>
              <w:rPr>
                <w:rtl/>
              </w:rPr>
              <w:t>.</w:t>
            </w:r>
          </w:p>
        </w:tc>
        <w:tc>
          <w:tcPr>
            <w:tcW w:w="4006" w:type="dxa"/>
          </w:tcPr>
          <w:p w:rsidR="00971CF8" w:rsidRDefault="00971CF8" w:rsidP="004A4E41">
            <w:pPr>
              <w:pStyle w:val="libFootnote0"/>
              <w:rPr>
                <w:rtl/>
              </w:rPr>
            </w:pPr>
            <w:r>
              <w:rPr>
                <w:rtl/>
              </w:rPr>
              <w:t>(4).</w:t>
            </w:r>
            <w:r w:rsidRPr="00C9040A">
              <w:rPr>
                <w:rtl/>
              </w:rPr>
              <w:t xml:space="preserve"> في « ض » : + « مؤمن »</w:t>
            </w:r>
            <w:r>
              <w:rPr>
                <w:rtl/>
              </w:rPr>
              <w:t>.</w:t>
            </w:r>
          </w:p>
        </w:tc>
      </w:tr>
    </w:tbl>
    <w:p w:rsidR="008A74EB" w:rsidRPr="00C9040A" w:rsidRDefault="006C577F" w:rsidP="004A4E41">
      <w:pPr>
        <w:pStyle w:val="libFootnote0"/>
        <w:rPr>
          <w:rtl/>
          <w:lang w:bidi="fa-IR"/>
        </w:rPr>
      </w:pPr>
      <w:r>
        <w:rPr>
          <w:rtl/>
        </w:rPr>
        <w:t>(5).</w:t>
      </w:r>
      <w:r w:rsidR="008A74EB" w:rsidRPr="00C9040A">
        <w:rPr>
          <w:rtl/>
        </w:rPr>
        <w:t xml:space="preserve"> في الخصال : + « جعلتُ غناه في نفسه وهمّه في آخرته </w:t>
      </w:r>
      <w:r w:rsidR="008A74EB">
        <w:rPr>
          <w:rtl/>
        </w:rPr>
        <w:t>و ».</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حاشية « د » والخصال : « عنه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بف » : « صنيعته »</w:t>
      </w:r>
      <w:r w:rsidR="008A74EB">
        <w:rPr>
          <w:rtl/>
        </w:rPr>
        <w:t>.</w:t>
      </w:r>
      <w:r w:rsidR="008A74EB" w:rsidRPr="00C9040A">
        <w:rPr>
          <w:rtl/>
        </w:rPr>
        <w:t xml:space="preserve"> ويكفّ عنه ضَيْعتَه : أي يجمع عليه معيشته ويضمّها إليه. </w:t>
      </w:r>
      <w:r w:rsidR="008A74EB" w:rsidRPr="00993B55">
        <w:rPr>
          <w:rStyle w:val="libFootnoteBoldChar"/>
          <w:rtl/>
        </w:rPr>
        <w:t>النهاية</w:t>
      </w:r>
      <w:r w:rsidR="008A74EB" w:rsidRPr="00C9040A">
        <w:rPr>
          <w:rtl/>
        </w:rPr>
        <w:t xml:space="preserve"> ، ج 4 ، ص 190 ( كفف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يجوز في « ضمنت » تخفيف الميم ، أي يقرأ بصيغة الغائب على بناء المجرّد ورفع السماوات والأرض. واستبعده المجلسي.</w:t>
      </w:r>
      <w:r w:rsidR="00971CF8">
        <w:rPr>
          <w:rFonts w:hint="cs"/>
          <w:rtl/>
        </w:rPr>
        <w:t xml:space="preserve">                                                     </w:t>
      </w:r>
      <w:r>
        <w:rPr>
          <w:rtl/>
        </w:rPr>
        <w:t>(9).</w:t>
      </w:r>
      <w:r w:rsidR="008A74EB" w:rsidRPr="00C9040A">
        <w:rPr>
          <w:rtl/>
        </w:rPr>
        <w:t xml:space="preserve"> في « بر » : « برزقه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w:t>
      </w:r>
      <w:r w:rsidR="008A74EB" w:rsidRPr="00993B55">
        <w:rPr>
          <w:rStyle w:val="libFootnoteBoldChar"/>
          <w:rtl/>
        </w:rPr>
        <w:t>المرآة</w:t>
      </w:r>
      <w:r w:rsidR="008A74EB" w:rsidRPr="00C9040A">
        <w:rPr>
          <w:rtl/>
        </w:rPr>
        <w:t xml:space="preserve"> : « أي كنت له عوضاً من تجارة كلّ تاجر ، فإنّ كلّ تاجر يتّجر لمنفعة دنيويّة أو ا</w:t>
      </w:r>
      <w:r w:rsidR="00971CF8">
        <w:rPr>
          <w:rFonts w:hint="cs"/>
          <w:rtl/>
        </w:rPr>
        <w:t>ُ</w:t>
      </w:r>
      <w:r w:rsidR="00971CF8">
        <w:rPr>
          <w:rtl/>
        </w:rPr>
        <w:t>خرويّة ، ولم</w:t>
      </w:r>
      <w:r w:rsidR="00971CF8">
        <w:rPr>
          <w:rFonts w:hint="cs"/>
          <w:rtl/>
        </w:rPr>
        <w:t>ـّ</w:t>
      </w:r>
      <w:r w:rsidR="008A74EB" w:rsidRPr="00C9040A">
        <w:rPr>
          <w:rtl/>
        </w:rPr>
        <w:t>ا أعرض عن جميع ذلك كنت أنا ربح تجارته. وهذا معنى رفيع دقيق خطر بالبال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w:t>
      </w:r>
      <w:r w:rsidR="008A74EB" w:rsidRPr="00993B55">
        <w:rPr>
          <w:rStyle w:val="libFootnoteBoldChar"/>
          <w:rtl/>
        </w:rPr>
        <w:t>الخصال</w:t>
      </w:r>
      <w:r w:rsidR="008A74EB" w:rsidRPr="00C9040A">
        <w:rPr>
          <w:rtl/>
        </w:rPr>
        <w:t xml:space="preserve"> ، ص 3 ، باب الواحد ، ح 5 ، بسند آخر عن الحسن بن عليّ بن فضّال ، عن عاصم بن حميد ، عن أبي عبيدة الحذّاء ، مع اختلاف يسير </w:t>
      </w:r>
      <w:r w:rsidR="00971CF8">
        <w:rPr>
          <w:rFonts w:hint="cs"/>
          <w:rtl/>
        </w:rPr>
        <w:t>.</w:t>
      </w:r>
      <w:r w:rsidR="008A74EB" w:rsidRPr="00993B55">
        <w:rPr>
          <w:rStyle w:val="libFootnoteBoldChar"/>
          <w:rtl/>
        </w:rPr>
        <w:t>الوافي</w:t>
      </w:r>
      <w:r w:rsidR="008A74EB" w:rsidRPr="00C9040A">
        <w:rPr>
          <w:rtl/>
        </w:rPr>
        <w:t xml:space="preserve"> ، ج 5 ، ص 902 ، ح 3254 ؛ </w:t>
      </w:r>
      <w:r w:rsidR="008A74EB" w:rsidRPr="00993B55">
        <w:rPr>
          <w:rStyle w:val="libFootnoteBoldChar"/>
          <w:rtl/>
        </w:rPr>
        <w:t>الوسائل</w:t>
      </w:r>
      <w:r w:rsidR="008A74EB" w:rsidRPr="00C9040A">
        <w:rPr>
          <w:rtl/>
        </w:rPr>
        <w:t xml:space="preserve"> ، ج 15 ، ص 278 ، ح 20509 ؛ </w:t>
      </w:r>
      <w:r w:rsidR="008A74EB" w:rsidRPr="00993B55">
        <w:rPr>
          <w:rStyle w:val="libFootnoteBoldChar"/>
          <w:rtl/>
        </w:rPr>
        <w:t>البحار</w:t>
      </w:r>
      <w:r w:rsidR="008A74EB" w:rsidRPr="00C9040A">
        <w:rPr>
          <w:rtl/>
        </w:rPr>
        <w:t xml:space="preserve"> ، ج 70 ، ص 79 ، ح 15.</w:t>
      </w:r>
    </w:p>
    <w:p w:rsidR="008A74EB" w:rsidRPr="00C9040A" w:rsidRDefault="006C577F" w:rsidP="004A4E41">
      <w:pPr>
        <w:pStyle w:val="libFootnote0"/>
        <w:rPr>
          <w:rtl/>
          <w:lang w:bidi="fa-IR"/>
        </w:rPr>
      </w:pPr>
      <w:r>
        <w:rPr>
          <w:rtl/>
        </w:rPr>
        <w:t>(12).</w:t>
      </w:r>
      <w:r w:rsidR="008A74EB" w:rsidRPr="00C9040A">
        <w:rPr>
          <w:rtl/>
        </w:rPr>
        <w:t xml:space="preserve"> المراد من ابن سنان في رواة أبي حمزة هو عبد الله بن سنان ، و</w:t>
      </w:r>
      <w:r w:rsidR="00971CF8">
        <w:rPr>
          <w:rtl/>
        </w:rPr>
        <w:t>روى محمّد بن يحيى عن أحمد بن</w:t>
      </w:r>
      <w:r w:rsidR="00971CF8">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عَنْ أَبِي جَعْفَرٍ </w:t>
      </w:r>
      <w:r w:rsidR="006C577F" w:rsidRPr="006C577F">
        <w:rPr>
          <w:rStyle w:val="libFootnotenumChar"/>
          <w:rtl/>
        </w:rPr>
        <w:t>(1)</w:t>
      </w:r>
      <w:r w:rsidRPr="00C9040A">
        <w:rPr>
          <w:rtl/>
          <w:lang w:bidi="fa-IR"/>
        </w:rPr>
        <w:t xml:space="preserve"> </w:t>
      </w:r>
      <w:r w:rsidRPr="0003660B">
        <w:rPr>
          <w:rStyle w:val="libAlaemChar"/>
          <w:rtl/>
        </w:rPr>
        <w:t>عليه‌السلام</w:t>
      </w:r>
      <w:r w:rsidRPr="00C9040A">
        <w:rPr>
          <w:rtl/>
          <w:lang w:bidi="fa-IR"/>
        </w:rPr>
        <w:t xml:space="preserve"> ، قَالَ : « قَالَ اللهُ عَزَّ وَجَلَّ : وَعِزَّتِي وَجَلَالِي وَعَظَمَتِي وَبَهَائِي وَعُلُوِّ ارْتِفَاعِي لَايُؤْثِرُ عَبْدٌ مُؤْمِنٌ </w:t>
      </w:r>
      <w:r w:rsidR="006C577F" w:rsidRPr="006C577F">
        <w:rPr>
          <w:rStyle w:val="libFootnotenumChar"/>
          <w:rtl/>
        </w:rPr>
        <w:t>(2)</w:t>
      </w:r>
      <w:r w:rsidRPr="00C9040A">
        <w:rPr>
          <w:rtl/>
          <w:lang w:bidi="fa-IR"/>
        </w:rPr>
        <w:t xml:space="preserve"> هَوَايَ عَلى هَوَاهُ فِي شَيْ‌ءٍ مِنْ أَمْرِ الدّ</w:t>
      </w:r>
      <w:r w:rsidR="000222BA">
        <w:rPr>
          <w:rtl/>
          <w:lang w:bidi="fa-IR"/>
        </w:rPr>
        <w:t>ُنْيَا إِل</w:t>
      </w:r>
      <w:r w:rsidR="000222BA">
        <w:rPr>
          <w:rFonts w:hint="cs"/>
          <w:rtl/>
          <w:lang w:bidi="fa-IR"/>
        </w:rPr>
        <w:t>َّ</w:t>
      </w:r>
      <w:r w:rsidR="000222BA">
        <w:rPr>
          <w:rtl/>
          <w:lang w:bidi="fa-IR"/>
        </w:rPr>
        <w:t>ا</w:t>
      </w:r>
      <w:r w:rsidRPr="00C9040A">
        <w:rPr>
          <w:rtl/>
          <w:lang w:bidi="fa-IR"/>
        </w:rPr>
        <w:t xml:space="preserve"> جَعَلْتُ غِنَاهُ فِي نَفْسِهِ ، وَهِمَّتَهُ </w:t>
      </w:r>
      <w:r w:rsidR="006C577F" w:rsidRPr="006C577F">
        <w:rPr>
          <w:rStyle w:val="libFootnotenumChar"/>
          <w:rtl/>
        </w:rPr>
        <w:t>(3)</w:t>
      </w:r>
      <w:r w:rsidRPr="00C9040A">
        <w:rPr>
          <w:rtl/>
          <w:lang w:bidi="fa-IR"/>
        </w:rPr>
        <w:t xml:space="preserve"> فِي آخِرَتِهِ ، وَضَمَّنْتُ السَّمَاوَاتِ وَالْأَرْضَ رِزْقَهُ ، وَكُنْتُ لَهُ مِنْ وَرَاءِ تِجَارَةِ كُلِّ تَاجِرٍ »</w:t>
      </w:r>
      <w:r>
        <w:rPr>
          <w:rtl/>
          <w:lang w:bidi="fa-IR"/>
        </w:rPr>
        <w:t>.</w:t>
      </w:r>
      <w:r w:rsidRPr="00C9040A">
        <w:rPr>
          <w:rtl/>
          <w:lang w:bidi="fa-IR"/>
        </w:rPr>
        <w:t xml:space="preserve"> </w:t>
      </w:r>
      <w:r w:rsidR="006C577F" w:rsidRPr="006C577F">
        <w:rPr>
          <w:rStyle w:val="libFootnotenumChar"/>
          <w:rtl/>
        </w:rPr>
        <w:t>(4)</w:t>
      </w:r>
    </w:p>
    <w:p w:rsidR="008A74EB" w:rsidRPr="00C9040A" w:rsidRDefault="008A74EB" w:rsidP="008A74EB">
      <w:pPr>
        <w:pStyle w:val="Heading2Center"/>
        <w:rPr>
          <w:rtl/>
          <w:lang w:bidi="fa-IR"/>
        </w:rPr>
      </w:pPr>
      <w:bookmarkStart w:id="199" w:name="_Toc343795654"/>
      <w:bookmarkStart w:id="200" w:name="_Toc459810778"/>
      <w:bookmarkStart w:id="201" w:name="_Toc35348684"/>
      <w:r w:rsidRPr="00C9040A">
        <w:rPr>
          <w:rtl/>
          <w:lang w:bidi="fa-IR"/>
        </w:rPr>
        <w:t>63</w:t>
      </w:r>
      <w:r>
        <w:rPr>
          <w:rtl/>
          <w:lang w:bidi="fa-IR"/>
        </w:rPr>
        <w:t xml:space="preserve"> </w:t>
      </w:r>
      <w:r w:rsidR="0084262C">
        <w:rPr>
          <w:rtl/>
          <w:lang w:bidi="fa-IR"/>
        </w:rPr>
        <w:t>-</w:t>
      </w:r>
      <w:r>
        <w:rPr>
          <w:rtl/>
          <w:lang w:bidi="fa-IR"/>
        </w:rPr>
        <w:t xml:space="preserve"> </w:t>
      </w:r>
      <w:r w:rsidRPr="00C9040A">
        <w:rPr>
          <w:rtl/>
          <w:lang w:bidi="fa-IR"/>
        </w:rPr>
        <w:t>بَابُ الْقَنَاعَةِ‌</w:t>
      </w:r>
      <w:bookmarkEnd w:id="199"/>
      <w:bookmarkEnd w:id="200"/>
      <w:bookmarkEnd w:id="201"/>
    </w:p>
    <w:p w:rsidR="008A74EB" w:rsidRPr="00C9040A" w:rsidRDefault="008A74EB" w:rsidP="008A74EB">
      <w:pPr>
        <w:pStyle w:val="libNormal"/>
        <w:rPr>
          <w:rtl/>
          <w:lang w:bidi="fa-IR"/>
        </w:rPr>
      </w:pPr>
      <w:r w:rsidRPr="004B2EF8">
        <w:rPr>
          <w:rtl/>
        </w:rPr>
        <w:t>1920</w:t>
      </w:r>
      <w:r w:rsidRPr="00261CB0">
        <w:rPr>
          <w:rStyle w:val="libBold2Char"/>
          <w:rtl/>
        </w:rPr>
        <w:t xml:space="preserve"> / 1.</w:t>
      </w:r>
      <w:r w:rsidRPr="00C9040A">
        <w:rPr>
          <w:rtl/>
          <w:lang w:bidi="fa-IR"/>
        </w:rPr>
        <w:t xml:space="preserve"> مُحَمَّدُ بْنُ يَحْيى ، عَنْ أَحْمَدَ بْنِ مُحَمَّدِ بْنِ عِيسى ، عَنْ مُحَمَّدِ بْنِ سِنَانٍ ، عَنْ عَمَّارِ بْنِ مَرْوَانَ ، عَنْ زَيْدٍ الشَّحَّامِ ، عَنْ عَمْرِو بْنِ هِلَالٍ ، قَالَ :</w:t>
      </w:r>
    </w:p>
    <w:p w:rsidR="008A74EB" w:rsidRPr="00C9040A" w:rsidRDefault="008A74EB" w:rsidP="008A74EB">
      <w:pPr>
        <w:pStyle w:val="libLine"/>
        <w:rPr>
          <w:rtl/>
          <w:lang w:bidi="fa-IR"/>
        </w:rPr>
      </w:pPr>
      <w:r w:rsidRPr="00C9040A">
        <w:rPr>
          <w:rtl/>
          <w:lang w:bidi="fa-IR"/>
        </w:rPr>
        <w:t>__________________</w:t>
      </w:r>
    </w:p>
    <w:p w:rsidR="008A74EB" w:rsidRPr="00C9040A" w:rsidRDefault="000222BA" w:rsidP="004A4E41">
      <w:pPr>
        <w:pStyle w:val="libFootnote0"/>
        <w:rPr>
          <w:rtl/>
          <w:lang w:bidi="fa-IR"/>
        </w:rPr>
      </w:pPr>
      <w:r>
        <w:rPr>
          <w:rFonts w:hint="cs"/>
          <w:rtl/>
        </w:rPr>
        <w:t xml:space="preserve">= </w:t>
      </w:r>
      <w:r w:rsidR="008A74EB" w:rsidRPr="00C9040A">
        <w:rPr>
          <w:rtl/>
        </w:rPr>
        <w:t xml:space="preserve">محمّد [ بن عيسى ] عن [ الحسن ] بن محبوب ، عن عبد الله بن سنان ، عن أبي حمزة في عددٍ من الأسناد ، منها ما ورد في </w:t>
      </w:r>
      <w:r w:rsidR="008A74EB" w:rsidRPr="00993B55">
        <w:rPr>
          <w:rStyle w:val="libFootnoteBoldChar"/>
          <w:rtl/>
        </w:rPr>
        <w:t>الكافي</w:t>
      </w:r>
      <w:r w:rsidR="008A74EB" w:rsidRPr="00C9040A">
        <w:rPr>
          <w:rtl/>
        </w:rPr>
        <w:t xml:space="preserve"> ، ح 1821 </w:t>
      </w:r>
      <w:r w:rsidR="008A74EB">
        <w:rPr>
          <w:rtl/>
        </w:rPr>
        <w:t>و 2</w:t>
      </w:r>
      <w:r w:rsidR="008A74EB" w:rsidRPr="00C9040A">
        <w:rPr>
          <w:rtl/>
        </w:rPr>
        <w:t xml:space="preserve">334 </w:t>
      </w:r>
      <w:r w:rsidR="008A74EB">
        <w:rPr>
          <w:rtl/>
        </w:rPr>
        <w:t>و 3</w:t>
      </w:r>
      <w:r w:rsidR="008A74EB" w:rsidRPr="00C9040A">
        <w:rPr>
          <w:rtl/>
        </w:rPr>
        <w:t xml:space="preserve">188 </w:t>
      </w:r>
      <w:r w:rsidR="008A74EB">
        <w:rPr>
          <w:rtl/>
        </w:rPr>
        <w:t>و 3</w:t>
      </w:r>
      <w:r w:rsidR="008A74EB" w:rsidRPr="00C9040A">
        <w:rPr>
          <w:rtl/>
        </w:rPr>
        <w:t xml:space="preserve">192. وراجع : </w:t>
      </w:r>
      <w:r w:rsidR="008A74EB" w:rsidRPr="00993B55">
        <w:rPr>
          <w:rStyle w:val="libFootnoteBoldChar"/>
          <w:rtl/>
        </w:rPr>
        <w:t>معجم رجال الحديث</w:t>
      </w:r>
      <w:r w:rsidR="008A74EB" w:rsidRPr="00C9040A">
        <w:rPr>
          <w:rtl/>
        </w:rPr>
        <w:t xml:space="preserve"> ، ج 21 ، ص 132 ، الرقم 14190 ؛ وص 135 ، الرقم 14192. ولم نجد رواية العلاء بن رزين عن عبد الله بن سنان في غير هذا المورد. والعلاء وابن سنان كلاهما من مشايخ الحسن بن محبوب وروى هو عنهما في كثيرٍ من الأسناد. راجع : </w:t>
      </w:r>
      <w:r w:rsidR="008A74EB" w:rsidRPr="00993B55">
        <w:rPr>
          <w:rStyle w:val="libFootnoteBoldChar"/>
          <w:rtl/>
        </w:rPr>
        <w:t>معجم رجال الحديث</w:t>
      </w:r>
      <w:r w:rsidR="008A74EB" w:rsidRPr="00C9040A">
        <w:rPr>
          <w:rtl/>
        </w:rPr>
        <w:t xml:space="preserve"> ، ج 5 ، ص 354</w:t>
      </w:r>
      <w:r w:rsidR="008A74EB">
        <w:rPr>
          <w:rtl/>
        </w:rPr>
        <w:t xml:space="preserve"> </w:t>
      </w:r>
      <w:r w:rsidR="0084262C">
        <w:rPr>
          <w:rtl/>
        </w:rPr>
        <w:t>-</w:t>
      </w:r>
      <w:r w:rsidR="008A74EB">
        <w:rPr>
          <w:rtl/>
        </w:rPr>
        <w:t xml:space="preserve"> </w:t>
      </w:r>
      <w:r w:rsidR="008A74EB" w:rsidRPr="00C9040A">
        <w:rPr>
          <w:rtl/>
        </w:rPr>
        <w:t>358 ؛ وج 23 ، ص 264</w:t>
      </w:r>
      <w:r w:rsidR="008A74EB">
        <w:rPr>
          <w:rtl/>
        </w:rPr>
        <w:t xml:space="preserve"> </w:t>
      </w:r>
      <w:r w:rsidR="0084262C">
        <w:rPr>
          <w:rtl/>
        </w:rPr>
        <w:t>-</w:t>
      </w:r>
      <w:r w:rsidR="008A74EB">
        <w:rPr>
          <w:rtl/>
        </w:rPr>
        <w:t xml:space="preserve"> </w:t>
      </w:r>
      <w:r w:rsidR="008A74EB" w:rsidRPr="00C9040A">
        <w:rPr>
          <w:rtl/>
        </w:rPr>
        <w:t>266 ؛ وص 267</w:t>
      </w:r>
      <w:r w:rsidR="008A74EB">
        <w:rPr>
          <w:rtl/>
        </w:rPr>
        <w:t xml:space="preserve"> </w:t>
      </w:r>
      <w:r w:rsidR="0084262C">
        <w:rPr>
          <w:rtl/>
        </w:rPr>
        <w:t>-</w:t>
      </w:r>
      <w:r w:rsidR="008A74EB">
        <w:rPr>
          <w:rtl/>
        </w:rPr>
        <w:t xml:space="preserve"> </w:t>
      </w:r>
      <w:r w:rsidR="008A74EB" w:rsidRPr="00C9040A">
        <w:rPr>
          <w:rtl/>
        </w:rPr>
        <w:t>269.</w:t>
      </w:r>
    </w:p>
    <w:p w:rsidR="008A74EB" w:rsidRPr="00C9040A" w:rsidRDefault="008A74EB" w:rsidP="004A4E41">
      <w:pPr>
        <w:pStyle w:val="libFootnote0"/>
        <w:rPr>
          <w:rtl/>
          <w:lang w:bidi="fa-IR"/>
        </w:rPr>
      </w:pPr>
      <w:r w:rsidRPr="0082575F">
        <w:rPr>
          <w:rtl/>
        </w:rPr>
        <w:t>والظاهر وقوع خلل في سندنا هذا. والمحتمل قويّاً أنّ ابن سنان معطوف على العلاء بن رزين ، وأنّ الصواب في السند هو : « العلاء بن رزين وابن سنان عن أبي حمزة »</w:t>
      </w:r>
      <w:r>
        <w:rPr>
          <w:rtl/>
        </w:rPr>
        <w:t>.</w:t>
      </w:r>
    </w:p>
    <w:p w:rsidR="008A74EB" w:rsidRPr="004A4E41" w:rsidRDefault="008A74EB" w:rsidP="004A4E41">
      <w:pPr>
        <w:pStyle w:val="libFootnote0"/>
        <w:rPr>
          <w:rStyle w:val="libFootnote0Char"/>
          <w:rtl/>
        </w:rPr>
      </w:pPr>
      <w:r w:rsidRPr="00323A39">
        <w:rPr>
          <w:rtl/>
        </w:rPr>
        <w:t xml:space="preserve">ويؤيّد ذلك ما ورد في بعض الأسناد من رواية العلاء بن رزين عن أبي حمزة مباشرة. راجع : </w:t>
      </w:r>
      <w:r w:rsidRPr="00993B55">
        <w:rPr>
          <w:rStyle w:val="libFootnoteBoldChar"/>
          <w:rtl/>
        </w:rPr>
        <w:t>المختار</w:t>
      </w:r>
      <w:r w:rsidRPr="004B2EF8">
        <w:rPr>
          <w:rtl/>
        </w:rPr>
        <w:t xml:space="preserve"> من كتاب علاء بن رزين المطبوع</w:t>
      </w:r>
      <w:r w:rsidRPr="00323A39">
        <w:rPr>
          <w:rtl/>
        </w:rPr>
        <w:t xml:space="preserve"> ضمن </w:t>
      </w:r>
      <w:r w:rsidRPr="000222BA">
        <w:rPr>
          <w:rStyle w:val="libFootnoteBoldChar"/>
          <w:rtl/>
        </w:rPr>
        <w:t>ا</w:t>
      </w:r>
      <w:r w:rsidR="000222BA" w:rsidRPr="000222BA">
        <w:rPr>
          <w:rStyle w:val="libFootnoteBoldChar"/>
          <w:rFonts w:hint="cs"/>
          <w:rtl/>
        </w:rPr>
        <w:t>ل</w:t>
      </w:r>
      <w:r w:rsidR="000222BA" w:rsidRPr="000222BA">
        <w:rPr>
          <w:rStyle w:val="libFootnoteBoldChar"/>
          <w:rtl/>
        </w:rPr>
        <w:t>أ</w:t>
      </w:r>
      <w:r w:rsidRPr="000222BA">
        <w:rPr>
          <w:rStyle w:val="libFootnoteBoldChar"/>
          <w:rtl/>
        </w:rPr>
        <w:t>صو</w:t>
      </w:r>
      <w:r w:rsidRPr="00993B55">
        <w:rPr>
          <w:rStyle w:val="libFootnoteBoldChar"/>
          <w:rtl/>
        </w:rPr>
        <w:t>ل الستّة عشر</w:t>
      </w:r>
      <w:r w:rsidRPr="00323A39">
        <w:rPr>
          <w:rtl/>
        </w:rPr>
        <w:t xml:space="preserve"> ، ص 362 ، ح 617 ؛ وص 363 ، ح 618 ؛ وص 364 ، ح 624 و 625 ؛ </w:t>
      </w:r>
      <w:r w:rsidRPr="00993B55">
        <w:rPr>
          <w:rStyle w:val="libFootnoteBoldChar"/>
          <w:rtl/>
        </w:rPr>
        <w:t>الخصال</w:t>
      </w:r>
      <w:r w:rsidRPr="00323A39">
        <w:rPr>
          <w:rtl/>
        </w:rPr>
        <w:t xml:space="preserve"> ، ص 277 ، ح 21.</w:t>
      </w:r>
    </w:p>
    <w:tbl>
      <w:tblPr>
        <w:tblStyle w:val="TableGrid"/>
        <w:bidiVisual/>
        <w:tblW w:w="0" w:type="auto"/>
        <w:tblLook w:val="04A0" w:firstRow="1" w:lastRow="0" w:firstColumn="1" w:lastColumn="0" w:noHBand="0" w:noVBand="1"/>
      </w:tblPr>
      <w:tblGrid>
        <w:gridCol w:w="4006"/>
        <w:gridCol w:w="4006"/>
      </w:tblGrid>
      <w:tr w:rsidR="000222BA" w:rsidTr="000222BA">
        <w:tc>
          <w:tcPr>
            <w:tcW w:w="4006" w:type="dxa"/>
          </w:tcPr>
          <w:p w:rsidR="000222BA" w:rsidRDefault="000222BA" w:rsidP="004A4E41">
            <w:pPr>
              <w:pStyle w:val="libFootnote0"/>
              <w:rPr>
                <w:rtl/>
              </w:rPr>
            </w:pPr>
            <w:r>
              <w:rPr>
                <w:rtl/>
              </w:rPr>
              <w:t xml:space="preserve">(1). </w:t>
            </w:r>
            <w:r w:rsidRPr="00C9040A">
              <w:rPr>
                <w:rtl/>
              </w:rPr>
              <w:t>في « ج » : « أبي عبد الله »</w:t>
            </w:r>
            <w:r>
              <w:rPr>
                <w:rtl/>
              </w:rPr>
              <w:t>.</w:t>
            </w:r>
          </w:p>
        </w:tc>
        <w:tc>
          <w:tcPr>
            <w:tcW w:w="4006" w:type="dxa"/>
          </w:tcPr>
          <w:p w:rsidR="000222BA" w:rsidRDefault="000222BA" w:rsidP="004A4E41">
            <w:pPr>
              <w:pStyle w:val="libFootnote0"/>
              <w:rPr>
                <w:rtl/>
              </w:rPr>
            </w:pPr>
            <w:r>
              <w:rPr>
                <w:rtl/>
              </w:rPr>
              <w:t xml:space="preserve">(2). </w:t>
            </w:r>
            <w:r w:rsidRPr="00C9040A">
              <w:rPr>
                <w:rtl/>
              </w:rPr>
              <w:t>في«ب»والمحاسن والزهد</w:t>
            </w:r>
            <w:r>
              <w:rPr>
                <w:rtl/>
              </w:rPr>
              <w:t>:-</w:t>
            </w:r>
            <w:r w:rsidRPr="00C9040A">
              <w:rPr>
                <w:rtl/>
              </w:rPr>
              <w:t>«</w:t>
            </w:r>
            <w:r>
              <w:rPr>
                <w:rtl/>
              </w:rPr>
              <w:t>مؤمن</w:t>
            </w:r>
            <w:r w:rsidRPr="00C9040A">
              <w:rPr>
                <w:rtl/>
              </w:rPr>
              <w:t>»</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في « بر » والزهد : « وهمّه »</w:t>
      </w:r>
      <w:r w:rsidR="008A74EB">
        <w:rPr>
          <w:rtl/>
        </w:rPr>
        <w:t>.</w:t>
      </w:r>
    </w:p>
    <w:p w:rsidR="008A74EB" w:rsidRPr="00C9040A" w:rsidRDefault="006C577F" w:rsidP="0034021D">
      <w:pPr>
        <w:pStyle w:val="libFootnote0"/>
        <w:rPr>
          <w:rtl/>
          <w:lang w:bidi="fa-IR"/>
        </w:rPr>
      </w:pPr>
      <w:r>
        <w:rPr>
          <w:rtl/>
        </w:rPr>
        <w:t>(4).</w:t>
      </w:r>
      <w:r w:rsidR="008A74EB" w:rsidRPr="00C9040A">
        <w:rPr>
          <w:rtl/>
        </w:rPr>
        <w:t xml:space="preserve"> </w:t>
      </w:r>
      <w:r w:rsidR="008A74EB" w:rsidRPr="00993B55">
        <w:rPr>
          <w:rStyle w:val="libFootnoteBoldChar"/>
          <w:rtl/>
        </w:rPr>
        <w:t>المحاسن</w:t>
      </w:r>
      <w:r w:rsidR="008A74EB" w:rsidRPr="00C9040A">
        <w:rPr>
          <w:rtl/>
        </w:rPr>
        <w:t xml:space="preserve"> ، ص 28 ، كتاب ثواب الأعمال ، ح 1 ، عن ابن بنت إلياس ، عن عبد الله بن سنان ، عن الثمالي ، عن أبي جعفر </w:t>
      </w:r>
      <w:r w:rsidR="00117575" w:rsidRPr="00117575">
        <w:rPr>
          <w:rStyle w:val="libFootnoteAlaemChar"/>
          <w:rtl/>
        </w:rPr>
        <w:t>عليه‌السلام</w:t>
      </w:r>
      <w:r w:rsidR="008A74EB" w:rsidRPr="00C9040A">
        <w:rPr>
          <w:rtl/>
        </w:rPr>
        <w:t xml:space="preserve"> عن رسول الله </w:t>
      </w:r>
      <w:r w:rsidR="004A4E41" w:rsidRPr="0034021D">
        <w:rPr>
          <w:rStyle w:val="libFootnoteAlaemChar"/>
          <w:rtl/>
        </w:rPr>
        <w:t>صلى‌الله‌عليه‌وآله</w:t>
      </w:r>
      <w:r w:rsidR="008A74EB" w:rsidRPr="00C9040A">
        <w:rPr>
          <w:rtl/>
        </w:rPr>
        <w:t xml:space="preserve"> ؛ </w:t>
      </w:r>
      <w:r w:rsidR="008A74EB" w:rsidRPr="00993B55">
        <w:rPr>
          <w:rStyle w:val="libFootnoteBoldChar"/>
          <w:rtl/>
        </w:rPr>
        <w:t>الزهد</w:t>
      </w:r>
      <w:r w:rsidR="008A74EB" w:rsidRPr="00C9040A">
        <w:rPr>
          <w:rtl/>
        </w:rPr>
        <w:t xml:space="preserve"> ، ص 86 ، ح 57 ، عن النضر ، عن ابن سنان ؛ </w:t>
      </w:r>
      <w:r w:rsidR="008A74EB" w:rsidRPr="00993B55">
        <w:rPr>
          <w:rStyle w:val="libFootnoteBoldChar"/>
          <w:rtl/>
        </w:rPr>
        <w:t>الكافي</w:t>
      </w:r>
      <w:r w:rsidR="008A74EB" w:rsidRPr="00C9040A">
        <w:rPr>
          <w:rtl/>
        </w:rPr>
        <w:t xml:space="preserve"> ، كتاب الإيمان والكفر ، باب اتّباع الهوى ، ح 2674 ، بسند آخر عن أبي حمزة ، عن أبي جعفر </w:t>
      </w:r>
      <w:r w:rsidR="00117575" w:rsidRPr="00117575">
        <w:rPr>
          <w:rStyle w:val="libFootnoteAlaemChar"/>
          <w:rtl/>
        </w:rPr>
        <w:t>عليه‌السلام</w:t>
      </w:r>
      <w:r w:rsidR="008A74EB" w:rsidRPr="00C9040A">
        <w:rPr>
          <w:rtl/>
        </w:rPr>
        <w:t xml:space="preserve"> عن رسول الله </w:t>
      </w:r>
      <w:r w:rsidR="004A4E41" w:rsidRPr="0034021D">
        <w:rPr>
          <w:rStyle w:val="libFootnoteAlaemChar"/>
          <w:rtl/>
        </w:rPr>
        <w:t>صلى‌الله‌عليه‌وآله</w:t>
      </w:r>
      <w:r w:rsidR="008A74EB" w:rsidRPr="00C9040A">
        <w:rPr>
          <w:rtl/>
        </w:rPr>
        <w:t xml:space="preserve"> ؛ </w:t>
      </w:r>
      <w:r w:rsidR="008A74EB" w:rsidRPr="00993B55">
        <w:rPr>
          <w:rStyle w:val="libFootnoteBoldChar"/>
          <w:rtl/>
        </w:rPr>
        <w:t>ثواب الأعمال</w:t>
      </w:r>
      <w:r w:rsidR="008A74EB" w:rsidRPr="00C9040A">
        <w:rPr>
          <w:rtl/>
        </w:rPr>
        <w:t xml:space="preserve"> ، ص 201 ، ح 1 ، بسنده عن أبي حمزة الثمالي ، عن زين العابدين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فقه الرضا</w:t>
      </w:r>
      <w:r w:rsidR="008A74EB" w:rsidRPr="00C9040A">
        <w:rPr>
          <w:rtl/>
        </w:rPr>
        <w:t xml:space="preserve"> </w:t>
      </w:r>
      <w:r w:rsidR="00117575" w:rsidRPr="00117575">
        <w:rPr>
          <w:rStyle w:val="libFootnoteAlaemChar"/>
          <w:rtl/>
        </w:rPr>
        <w:t xml:space="preserve">عليه‌السلام </w:t>
      </w:r>
      <w:r w:rsidR="008A74EB" w:rsidRPr="00C9040A">
        <w:rPr>
          <w:rtl/>
        </w:rPr>
        <w:t xml:space="preserve">، ص 359 ؛ </w:t>
      </w:r>
      <w:r w:rsidR="008A74EB" w:rsidRPr="00993B55">
        <w:rPr>
          <w:rStyle w:val="libFootnoteBoldChar"/>
          <w:rtl/>
        </w:rPr>
        <w:t>تحف العقول</w:t>
      </w:r>
      <w:r w:rsidR="008A74EB" w:rsidRPr="00C9040A">
        <w:rPr>
          <w:rtl/>
        </w:rPr>
        <w:t xml:space="preserve"> ، ص 395 ، عن موسى بن جعفر </w:t>
      </w:r>
      <w:r w:rsidR="00117575" w:rsidRPr="00117575">
        <w:rPr>
          <w:rStyle w:val="libFootnoteAlaemChar"/>
          <w:rtl/>
        </w:rPr>
        <w:t xml:space="preserve">عليه‌السلام </w:t>
      </w:r>
      <w:r w:rsidR="008A74EB" w:rsidRPr="00C9040A">
        <w:rPr>
          <w:rtl/>
        </w:rPr>
        <w:t xml:space="preserve">، وفي كلّها مع اختلاف يسير وزيادة </w:t>
      </w:r>
      <w:r w:rsidR="00560282">
        <w:rPr>
          <w:rFonts w:hint="cs"/>
          <w:rtl/>
        </w:rPr>
        <w:t>.</w:t>
      </w:r>
      <w:r w:rsidR="008A74EB" w:rsidRPr="00993B55">
        <w:rPr>
          <w:rStyle w:val="libFootnoteBoldChar"/>
          <w:rtl/>
        </w:rPr>
        <w:t>الوافي</w:t>
      </w:r>
      <w:r w:rsidR="008A74EB" w:rsidRPr="00C9040A">
        <w:rPr>
          <w:rtl/>
        </w:rPr>
        <w:t xml:space="preserve"> ، ج 4 ، ص 401 ، ح 2192 ؛ </w:t>
      </w:r>
      <w:r w:rsidR="008A74EB" w:rsidRPr="00993B55">
        <w:rPr>
          <w:rStyle w:val="libFootnoteBoldChar"/>
          <w:rtl/>
        </w:rPr>
        <w:t>الوسائل</w:t>
      </w:r>
      <w:r w:rsidR="008A74EB" w:rsidRPr="00C9040A">
        <w:rPr>
          <w:rtl/>
        </w:rPr>
        <w:t xml:space="preserve"> ، ج 15 ، ص 279 ، ح 20510.</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قَالَ أَبُو جَعْفَرٍ </w:t>
      </w:r>
      <w:r w:rsidRPr="0003660B">
        <w:rPr>
          <w:rStyle w:val="libAlaemChar"/>
          <w:rtl/>
        </w:rPr>
        <w:t>عليه‌السلام</w:t>
      </w:r>
      <w:r w:rsidRPr="00C9040A">
        <w:rPr>
          <w:rtl/>
          <w:lang w:bidi="fa-IR"/>
        </w:rPr>
        <w:t xml:space="preserve"> : « إِيَّاكَ أَنْ تُطْمِحَ </w:t>
      </w:r>
      <w:r w:rsidR="006C577F" w:rsidRPr="006C577F">
        <w:rPr>
          <w:rStyle w:val="libFootnotenumChar"/>
          <w:rtl/>
        </w:rPr>
        <w:t>(1)</w:t>
      </w:r>
      <w:r w:rsidRPr="00C9040A">
        <w:rPr>
          <w:rtl/>
          <w:lang w:bidi="fa-IR"/>
        </w:rPr>
        <w:t xml:space="preserve"> بَصَرَكَ </w:t>
      </w:r>
      <w:r w:rsidR="006C577F" w:rsidRPr="006C577F">
        <w:rPr>
          <w:rStyle w:val="libFootnotenumChar"/>
          <w:rtl/>
        </w:rPr>
        <w:t>(2)</w:t>
      </w:r>
      <w:r w:rsidRPr="00C9040A">
        <w:rPr>
          <w:rtl/>
          <w:lang w:bidi="fa-IR"/>
        </w:rPr>
        <w:t xml:space="preserve"> إِلى مَنْ هُوَ فَوْقَكَ ، فَكَفى بِمَا قَالَ اللهُ </w:t>
      </w:r>
      <w:r w:rsidR="0084262C">
        <w:rPr>
          <w:rtl/>
          <w:lang w:bidi="fa-IR"/>
        </w:rPr>
        <w:t>-</w:t>
      </w:r>
      <w:r w:rsidRPr="00C9040A">
        <w:rPr>
          <w:rtl/>
          <w:lang w:bidi="fa-IR"/>
        </w:rPr>
        <w:t xml:space="preserve"> عَزَّ وَجَلَّ</w:t>
      </w:r>
      <w:r>
        <w:rPr>
          <w:rtl/>
          <w:lang w:bidi="fa-IR"/>
        </w:rPr>
        <w:t xml:space="preserve"> </w:t>
      </w:r>
      <w:r w:rsidR="0084262C">
        <w:rPr>
          <w:rtl/>
          <w:lang w:bidi="fa-IR"/>
        </w:rPr>
        <w:t>-</w:t>
      </w:r>
      <w:r>
        <w:rPr>
          <w:rtl/>
          <w:lang w:bidi="fa-IR"/>
        </w:rPr>
        <w:t xml:space="preserve"> </w:t>
      </w:r>
      <w:r w:rsidRPr="00C9040A">
        <w:rPr>
          <w:rtl/>
          <w:lang w:bidi="fa-IR"/>
        </w:rPr>
        <w:t xml:space="preserve">لِنَبِيِّهِ </w:t>
      </w:r>
      <w:r w:rsidR="004A4E41" w:rsidRPr="004A4E41">
        <w:rPr>
          <w:rStyle w:val="libAlaemChar"/>
          <w:rtl/>
        </w:rPr>
        <w:t>صلى‌الله‌عليه‌وآله</w:t>
      </w:r>
      <w:r w:rsidRPr="00C9040A">
        <w:rPr>
          <w:rtl/>
          <w:lang w:bidi="fa-IR"/>
        </w:rPr>
        <w:t xml:space="preserve"> </w:t>
      </w:r>
      <w:r w:rsidR="006C577F" w:rsidRPr="006C577F">
        <w:rPr>
          <w:rStyle w:val="libFootnotenumChar"/>
          <w:rtl/>
        </w:rPr>
        <w:t>(3)</w:t>
      </w:r>
      <w:r w:rsidRPr="00C9040A">
        <w:rPr>
          <w:rtl/>
          <w:lang w:bidi="fa-IR"/>
        </w:rPr>
        <w:t xml:space="preserve"> : </w:t>
      </w:r>
      <w:r w:rsidRPr="0003660B">
        <w:rPr>
          <w:rStyle w:val="libAlaemChar"/>
          <w:rtl/>
        </w:rPr>
        <w:t>(</w:t>
      </w:r>
      <w:r w:rsidRPr="006A2246">
        <w:rPr>
          <w:rStyle w:val="libAieChar"/>
          <w:rtl/>
        </w:rPr>
        <w:t xml:space="preserve"> فَلا</w:t>
      </w:r>
      <w:r w:rsidRPr="00C9040A">
        <w:rPr>
          <w:rtl/>
          <w:lang w:bidi="fa-IR"/>
        </w:rPr>
        <w:t xml:space="preserve"> </w:t>
      </w:r>
      <w:r w:rsidR="006C577F" w:rsidRPr="006C577F">
        <w:rPr>
          <w:rStyle w:val="libFootnotenumChar"/>
          <w:rtl/>
        </w:rPr>
        <w:t>(4)</w:t>
      </w:r>
      <w:r w:rsidRPr="006A2246">
        <w:rPr>
          <w:rStyle w:val="libAieChar"/>
          <w:rtl/>
        </w:rPr>
        <w:t xml:space="preserve"> تُعْجِبْكَ أَمْوالُهُمْ وَلا أَوْلادُهُمْ </w:t>
      </w:r>
      <w:r w:rsidRPr="0003660B">
        <w:rPr>
          <w:rStyle w:val="libAlaemChar"/>
          <w:rtl/>
        </w:rPr>
        <w:t>)</w:t>
      </w:r>
      <w:r w:rsidRPr="00C9040A">
        <w:rPr>
          <w:rtl/>
          <w:lang w:bidi="fa-IR"/>
        </w:rPr>
        <w:t xml:space="preserve"> </w:t>
      </w:r>
      <w:r w:rsidR="006C577F" w:rsidRPr="006C577F">
        <w:rPr>
          <w:rStyle w:val="libFootnotenumChar"/>
          <w:rtl/>
        </w:rPr>
        <w:t>(5)</w:t>
      </w:r>
      <w:r w:rsidRPr="00C9040A">
        <w:rPr>
          <w:rtl/>
          <w:lang w:bidi="fa-IR"/>
        </w:rPr>
        <w:t xml:space="preserve"> وَقَالَ </w:t>
      </w:r>
      <w:r w:rsidR="006C577F" w:rsidRPr="006C577F">
        <w:rPr>
          <w:rStyle w:val="libFootnotenumChar"/>
          <w:rtl/>
        </w:rPr>
        <w:t>(6)</w:t>
      </w:r>
      <w:r w:rsidRPr="005B567D">
        <w:rPr>
          <w:rStyle w:val="libFootnotenumChar"/>
          <w:rtl/>
        </w:rPr>
        <w:t xml:space="preserve"> </w:t>
      </w:r>
      <w:r w:rsidRPr="00C9040A">
        <w:rPr>
          <w:rtl/>
          <w:lang w:bidi="fa-IR"/>
        </w:rPr>
        <w:t xml:space="preserve">: </w:t>
      </w:r>
      <w:r w:rsidRPr="0003660B">
        <w:rPr>
          <w:rStyle w:val="libAlaemChar"/>
          <w:rtl/>
        </w:rPr>
        <w:t>(</w:t>
      </w:r>
      <w:r w:rsidRPr="006A2246">
        <w:rPr>
          <w:rStyle w:val="libAieChar"/>
          <w:rtl/>
        </w:rPr>
        <w:t xml:space="preserve"> وَلا تَمُدَّنَّ عَيْنَيْكَ إِلى ما مَتَّعْنا بِهِ أَزْواجاً مِنْهُمْ زَهْرَةَ الْحَياةِ الدُّنْيا </w:t>
      </w:r>
      <w:r w:rsidRPr="0003660B">
        <w:rPr>
          <w:rStyle w:val="libAlaemChar"/>
          <w:rtl/>
        </w:rPr>
        <w:t>)</w:t>
      </w:r>
      <w:r w:rsidRPr="00C9040A">
        <w:rPr>
          <w:rtl/>
          <w:lang w:bidi="fa-IR"/>
        </w:rPr>
        <w:t xml:space="preserve"> </w:t>
      </w:r>
      <w:r w:rsidR="006C577F" w:rsidRPr="006C577F">
        <w:rPr>
          <w:rStyle w:val="libFootnotenumChar"/>
          <w:rtl/>
        </w:rPr>
        <w:t>(7)</w:t>
      </w:r>
      <w:r w:rsidRPr="00C9040A">
        <w:rPr>
          <w:rtl/>
          <w:lang w:bidi="fa-IR"/>
        </w:rPr>
        <w:t xml:space="preserve"> فَإِنْ دَخَلَكَ مِنْ ذلِكَ </w:t>
      </w:r>
      <w:r w:rsidR="006C577F" w:rsidRPr="006C577F">
        <w:rPr>
          <w:rStyle w:val="libFootnotenumChar"/>
          <w:rtl/>
        </w:rPr>
        <w:t>(8)</w:t>
      </w:r>
      <w:r w:rsidRPr="00C9040A">
        <w:rPr>
          <w:rtl/>
          <w:lang w:bidi="fa-IR"/>
        </w:rPr>
        <w:t xml:space="preserve"> شَيْ‌ءٌ </w:t>
      </w:r>
      <w:r w:rsidR="006C577F" w:rsidRPr="006C577F">
        <w:rPr>
          <w:rStyle w:val="libFootnotenumChar"/>
          <w:rtl/>
        </w:rPr>
        <w:t>(9)</w:t>
      </w:r>
      <w:r w:rsidRPr="00C9040A">
        <w:rPr>
          <w:rtl/>
          <w:lang w:bidi="fa-IR"/>
        </w:rPr>
        <w:t xml:space="preserve"> ، فَاذْكُرْ عَيْشَ </w:t>
      </w:r>
      <w:r w:rsidR="006C577F" w:rsidRPr="006C577F">
        <w:rPr>
          <w:rStyle w:val="libFootnotenumChar"/>
          <w:rtl/>
        </w:rPr>
        <w:t>(10)</w:t>
      </w:r>
      <w:r w:rsidRPr="00C9040A">
        <w:rPr>
          <w:rtl/>
          <w:lang w:bidi="fa-IR"/>
        </w:rPr>
        <w:t xml:space="preserve"> رَسُولِ اللهِ </w:t>
      </w:r>
      <w:r w:rsidR="004A4E41" w:rsidRPr="004A4E41">
        <w:rPr>
          <w:rStyle w:val="libAlaemChar"/>
          <w:rtl/>
        </w:rPr>
        <w:t>صلى‌الله‌عليه‌وآله</w:t>
      </w:r>
      <w:r w:rsidRPr="00C9040A">
        <w:rPr>
          <w:rtl/>
          <w:lang w:bidi="fa-IR"/>
        </w:rPr>
        <w:t xml:space="preserve"> ؛ فَإِنَّمَا كَانَ </w:t>
      </w:r>
      <w:r w:rsidR="006C577F" w:rsidRPr="006C577F">
        <w:rPr>
          <w:rStyle w:val="libFootnotenumChar"/>
          <w:rtl/>
        </w:rPr>
        <w:t>(11)</w:t>
      </w:r>
      <w:r w:rsidRPr="00C9040A">
        <w:rPr>
          <w:rtl/>
          <w:lang w:bidi="fa-IR"/>
        </w:rPr>
        <w:t xml:space="preserve"> قُوتُهُ الشَّعِيرَ ، وَحَلْوَاهُ التَّمْرَ ، وَوَقُودُهُ السَّعَفَ </w:t>
      </w:r>
      <w:r w:rsidR="006C577F" w:rsidRPr="006C577F">
        <w:rPr>
          <w:rStyle w:val="libFootnotenumChar"/>
          <w:rtl/>
        </w:rPr>
        <w:t>(12)</w:t>
      </w:r>
      <w:r w:rsidRPr="00C9040A">
        <w:rPr>
          <w:rtl/>
          <w:lang w:bidi="fa-IR"/>
        </w:rPr>
        <w:t xml:space="preserve"> إِذَا </w:t>
      </w:r>
      <w:r w:rsidRPr="005B567D">
        <w:rPr>
          <w:rStyle w:val="libFootnotenumChar"/>
          <w:rtl/>
        </w:rPr>
        <w:t>(13)</w:t>
      </w:r>
      <w:r w:rsidRPr="00C9040A">
        <w:rPr>
          <w:rtl/>
          <w:lang w:bidi="fa-IR"/>
        </w:rPr>
        <w:t xml:space="preserve"> وَجَدَهُ »</w:t>
      </w:r>
      <w:r>
        <w:rPr>
          <w:rtl/>
          <w:lang w:bidi="fa-IR"/>
        </w:rPr>
        <w:t>.</w:t>
      </w:r>
      <w:r w:rsidRPr="00C9040A">
        <w:rPr>
          <w:rtl/>
          <w:lang w:bidi="fa-IR"/>
        </w:rPr>
        <w:t xml:space="preserve"> </w:t>
      </w:r>
      <w:r w:rsidRPr="005B567D">
        <w:rPr>
          <w:rStyle w:val="libFootnotenumChar"/>
          <w:rtl/>
        </w:rPr>
        <w:t>(14)</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ز » : « أن يطمح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ج 8 ، ص 320 : « أن تطمح بصرك</w:t>
      </w:r>
      <w:r w:rsidR="008A74EB">
        <w:rPr>
          <w:rtl/>
        </w:rPr>
        <w:t xml:space="preserve"> ..</w:t>
      </w:r>
      <w:r w:rsidR="008A74EB" w:rsidRPr="00C9040A">
        <w:rPr>
          <w:rtl/>
        </w:rPr>
        <w:t>. يحتمل أن يكون على بناء المجرّدورفع البصر »</w:t>
      </w:r>
      <w:r w:rsidR="008A74EB">
        <w:rPr>
          <w:rtl/>
        </w:rPr>
        <w:t>.</w:t>
      </w:r>
      <w:r w:rsidR="008A74EB" w:rsidRPr="00C9040A">
        <w:rPr>
          <w:rtl/>
        </w:rPr>
        <w:t xml:space="preserve"> وطمح ببصره نحو الشي‌ء يطمح طموحاً : استشرف له. </w:t>
      </w:r>
      <w:r w:rsidR="008A74EB" w:rsidRPr="00993B55">
        <w:rPr>
          <w:rStyle w:val="libFootnoteBoldChar"/>
          <w:rtl/>
        </w:rPr>
        <w:t>المصباح المنير</w:t>
      </w:r>
      <w:r w:rsidR="008A74EB" w:rsidRPr="00C9040A">
        <w:rPr>
          <w:rtl/>
        </w:rPr>
        <w:t xml:space="preserve"> ، ص 378 ( طمح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بس » والزهد </w:t>
      </w:r>
      <w:r w:rsidR="008A74EB">
        <w:rPr>
          <w:rtl/>
        </w:rPr>
        <w:t xml:space="preserve">: </w:t>
      </w:r>
      <w:r w:rsidR="0084262C">
        <w:rPr>
          <w:rtl/>
        </w:rPr>
        <w:t>-</w:t>
      </w:r>
      <w:r w:rsidR="008A74EB" w:rsidRPr="00C9040A">
        <w:rPr>
          <w:rtl/>
        </w:rPr>
        <w:t xml:space="preserve"> « بصرك »</w:t>
      </w:r>
      <w:r w:rsidR="008A74EB">
        <w:rPr>
          <w:rtl/>
        </w:rPr>
        <w:t>.</w:t>
      </w:r>
      <w:r w:rsidR="008A74EB" w:rsidRPr="00C9040A">
        <w:rPr>
          <w:rtl/>
        </w:rPr>
        <w:t xml:space="preserve"> وفي الكافي ، ح 15004 : « نفسك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الوسائل </w:t>
      </w:r>
      <w:r w:rsidR="008A74EB">
        <w:rPr>
          <w:rtl/>
        </w:rPr>
        <w:t xml:space="preserve">: </w:t>
      </w:r>
      <w:r w:rsidR="0084262C">
        <w:rPr>
          <w:rtl/>
        </w:rPr>
        <w:t>-</w:t>
      </w:r>
      <w:r w:rsidR="008A74EB" w:rsidRPr="00C9040A">
        <w:rPr>
          <w:rtl/>
        </w:rPr>
        <w:t xml:space="preserve"> « لنبيّه </w:t>
      </w:r>
      <w:r w:rsidR="004A4E41" w:rsidRPr="0034021D">
        <w:rPr>
          <w:rStyle w:val="libFootnoteAlaemChar"/>
          <w:rtl/>
        </w:rPr>
        <w:t>صلى‌الله‌عليه‌وآله</w:t>
      </w:r>
      <w:r w:rsidR="008A74EB" w:rsidRPr="00C9040A">
        <w:rPr>
          <w:rtl/>
        </w:rPr>
        <w:t xml:space="preserve"> »</w:t>
      </w:r>
      <w:r w:rsidR="008A74EB">
        <w:rPr>
          <w:rtl/>
        </w:rPr>
        <w:t>.</w:t>
      </w:r>
    </w:p>
    <w:p w:rsidR="008A74EB" w:rsidRPr="004A4E41" w:rsidRDefault="006C577F" w:rsidP="004A4E41">
      <w:pPr>
        <w:pStyle w:val="libFootnote0"/>
        <w:rPr>
          <w:rStyle w:val="libFootnote0Char"/>
          <w:rtl/>
        </w:rPr>
      </w:pPr>
      <w:r>
        <w:rPr>
          <w:rtl/>
        </w:rPr>
        <w:t>(4).</w:t>
      </w:r>
      <w:r w:rsidR="008A74EB" w:rsidRPr="00C9040A">
        <w:rPr>
          <w:rtl/>
        </w:rPr>
        <w:t xml:space="preserve"> هكذا في القرآن. وفي جميع النسخ والمطبوع : « ولا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 كذا في النسخ التي عندنا ، والظاهر : « فلا » ؛ إذ الآية في سورة التوبة في موضعين</w:t>
      </w:r>
      <w:r w:rsidR="008A74EB">
        <w:rPr>
          <w:rtl/>
        </w:rPr>
        <w:t xml:space="preserve"> ..</w:t>
      </w:r>
      <w:r w:rsidR="008A74EB" w:rsidRPr="00C9040A">
        <w:rPr>
          <w:rtl/>
        </w:rPr>
        <w:t>. وما ذكر هنا لا يوافق شيئاً منهما ، وإن احتمل أن يكون نقلاً بالمعنى إشارة إلى الآيتين معاً »</w:t>
      </w:r>
      <w:r w:rsidR="008A74EB">
        <w:rPr>
          <w:rtl/>
        </w:rPr>
        <w:t>.</w:t>
      </w:r>
    </w:p>
    <w:tbl>
      <w:tblPr>
        <w:tblStyle w:val="TableGrid"/>
        <w:bidiVisual/>
        <w:tblW w:w="0" w:type="auto"/>
        <w:tblLook w:val="04A0" w:firstRow="1" w:lastRow="0" w:firstColumn="1" w:lastColumn="0" w:noHBand="0" w:noVBand="1"/>
      </w:tblPr>
      <w:tblGrid>
        <w:gridCol w:w="4006"/>
        <w:gridCol w:w="4006"/>
      </w:tblGrid>
      <w:tr w:rsidR="005A1446" w:rsidTr="005A1446">
        <w:tc>
          <w:tcPr>
            <w:tcW w:w="4006" w:type="dxa"/>
          </w:tcPr>
          <w:p w:rsidR="005A1446" w:rsidRDefault="005A1446" w:rsidP="004A4E41">
            <w:pPr>
              <w:pStyle w:val="libFootnote0"/>
              <w:rPr>
                <w:rtl/>
              </w:rPr>
            </w:pPr>
            <w:r>
              <w:rPr>
                <w:rtl/>
              </w:rPr>
              <w:t>(5).</w:t>
            </w:r>
            <w:r w:rsidRPr="00C9040A">
              <w:rPr>
                <w:rtl/>
              </w:rPr>
              <w:t xml:space="preserve"> التوبة </w:t>
            </w:r>
            <w:r>
              <w:rPr>
                <w:rtl/>
              </w:rPr>
              <w:t>(9).</w:t>
            </w:r>
            <w:r w:rsidRPr="00C9040A">
              <w:rPr>
                <w:rtl/>
              </w:rPr>
              <w:t xml:space="preserve"> : 55.</w:t>
            </w:r>
          </w:p>
        </w:tc>
        <w:tc>
          <w:tcPr>
            <w:tcW w:w="4006" w:type="dxa"/>
          </w:tcPr>
          <w:p w:rsidR="005A1446" w:rsidRDefault="005A1446" w:rsidP="004A4E41">
            <w:pPr>
              <w:pStyle w:val="libFootnote0"/>
              <w:rPr>
                <w:rtl/>
              </w:rPr>
            </w:pPr>
            <w:r>
              <w:rPr>
                <w:rtl/>
              </w:rPr>
              <w:t xml:space="preserve">(6). </w:t>
            </w:r>
            <w:r w:rsidRPr="00C9040A">
              <w:rPr>
                <w:rtl/>
              </w:rPr>
              <w:t>في الكافي،ح15004:+«الله عزّوجلّ لرسوله»</w:t>
            </w:r>
            <w:r>
              <w:rPr>
                <w:rtl/>
              </w:rPr>
              <w:t>.</w:t>
            </w:r>
          </w:p>
        </w:tc>
      </w:tr>
    </w:tbl>
    <w:p w:rsidR="008A74EB" w:rsidRPr="00C9040A" w:rsidRDefault="006C577F" w:rsidP="004A4E41">
      <w:pPr>
        <w:pStyle w:val="libFootnote0"/>
        <w:rPr>
          <w:rtl/>
          <w:lang w:bidi="fa-IR"/>
        </w:rPr>
      </w:pPr>
      <w:r>
        <w:rPr>
          <w:rtl/>
        </w:rPr>
        <w:t>(7).</w:t>
      </w:r>
      <w:r w:rsidR="008A74EB" w:rsidRPr="00C9040A">
        <w:rPr>
          <w:rtl/>
        </w:rPr>
        <w:t xml:space="preserve"> طه (20) : 131.</w:t>
      </w:r>
    </w:p>
    <w:p w:rsidR="008A74EB" w:rsidRPr="00C9040A" w:rsidRDefault="006C577F" w:rsidP="004A4E41">
      <w:pPr>
        <w:pStyle w:val="libFootnote0"/>
        <w:rPr>
          <w:rtl/>
          <w:lang w:bidi="fa-IR"/>
        </w:rPr>
      </w:pPr>
      <w:r>
        <w:rPr>
          <w:rtl/>
        </w:rPr>
        <w:t>(8).</w:t>
      </w:r>
      <w:r w:rsidR="008A74EB" w:rsidRPr="00C9040A">
        <w:rPr>
          <w:rtl/>
        </w:rPr>
        <w:t xml:space="preserve"> في الوسائل </w:t>
      </w:r>
      <w:r w:rsidR="008A74EB">
        <w:rPr>
          <w:rtl/>
        </w:rPr>
        <w:t xml:space="preserve">: </w:t>
      </w:r>
      <w:r w:rsidR="0084262C">
        <w:rPr>
          <w:rtl/>
        </w:rPr>
        <w:t>-</w:t>
      </w:r>
      <w:r w:rsidR="008A74EB" w:rsidRPr="00C9040A">
        <w:rPr>
          <w:rtl/>
        </w:rPr>
        <w:t xml:space="preserve"> « من ذلك »</w:t>
      </w:r>
      <w:r w:rsidR="008A74EB">
        <w:rPr>
          <w:rtl/>
        </w:rPr>
        <w:t>.</w:t>
      </w:r>
    </w:p>
    <w:p w:rsidR="008A74EB" w:rsidRPr="004A4E41" w:rsidRDefault="006C577F" w:rsidP="004A4E41">
      <w:pPr>
        <w:pStyle w:val="libFootnote0"/>
        <w:rPr>
          <w:rStyle w:val="libFootnote0Char"/>
          <w:rtl/>
        </w:rPr>
      </w:pPr>
      <w:r>
        <w:rPr>
          <w:rtl/>
        </w:rPr>
        <w:t>(9).</w:t>
      </w:r>
      <w:r w:rsidR="008A74EB" w:rsidRPr="00C9040A">
        <w:rPr>
          <w:rtl/>
        </w:rPr>
        <w:t xml:space="preserve"> في الكافي ، ح 15004 والزهد : « فإن خفت شيئاً من ذلك » بدل « فإن دخلك من ذلك شي‌ء »</w:t>
      </w:r>
      <w:r w:rsidR="008A74EB">
        <w:rPr>
          <w:rtl/>
        </w:rPr>
        <w:t>.</w:t>
      </w:r>
    </w:p>
    <w:tbl>
      <w:tblPr>
        <w:tblStyle w:val="TableGrid"/>
        <w:bidiVisual/>
        <w:tblW w:w="0" w:type="auto"/>
        <w:tblLook w:val="04A0" w:firstRow="1" w:lastRow="0" w:firstColumn="1" w:lastColumn="0" w:noHBand="0" w:noVBand="1"/>
      </w:tblPr>
      <w:tblGrid>
        <w:gridCol w:w="4006"/>
        <w:gridCol w:w="4006"/>
      </w:tblGrid>
      <w:tr w:rsidR="005A1446" w:rsidTr="005A1446">
        <w:tc>
          <w:tcPr>
            <w:tcW w:w="4006" w:type="dxa"/>
          </w:tcPr>
          <w:p w:rsidR="005A1446" w:rsidRDefault="005A1446" w:rsidP="004A4E41">
            <w:pPr>
              <w:pStyle w:val="libFootnote0"/>
              <w:rPr>
                <w:rtl/>
                <w:lang w:bidi="fa-IR"/>
              </w:rPr>
            </w:pPr>
            <w:r>
              <w:rPr>
                <w:rtl/>
              </w:rPr>
              <w:t>(10).</w:t>
            </w:r>
            <w:r w:rsidRPr="00C9040A">
              <w:rPr>
                <w:rtl/>
              </w:rPr>
              <w:t xml:space="preserve"> في حاشية«ف»:«فتذكّر تعيّش»</w:t>
            </w:r>
            <w:r>
              <w:rPr>
                <w:rtl/>
              </w:rPr>
              <w:t>.</w:t>
            </w:r>
          </w:p>
        </w:tc>
        <w:tc>
          <w:tcPr>
            <w:tcW w:w="4006" w:type="dxa"/>
          </w:tcPr>
          <w:p w:rsidR="005A1446" w:rsidRDefault="005A1446" w:rsidP="004A4E41">
            <w:pPr>
              <w:pStyle w:val="libFootnote0"/>
              <w:rPr>
                <w:rtl/>
                <w:lang w:bidi="fa-IR"/>
              </w:rPr>
            </w:pPr>
            <w:r>
              <w:rPr>
                <w:rtl/>
              </w:rPr>
              <w:t>(11).</w:t>
            </w:r>
            <w:r w:rsidRPr="00C9040A">
              <w:rPr>
                <w:rtl/>
              </w:rPr>
              <w:t xml:space="preserve"> في مرآة العقول </w:t>
            </w:r>
            <w:r>
              <w:rPr>
                <w:rtl/>
              </w:rPr>
              <w:t>: -</w:t>
            </w:r>
            <w:r w:rsidRPr="00C9040A">
              <w:rPr>
                <w:rtl/>
              </w:rPr>
              <w:t xml:space="preserve"> « كان »</w:t>
            </w:r>
            <w:r>
              <w:rPr>
                <w:rtl/>
              </w:rPr>
              <w:t>.</w:t>
            </w:r>
          </w:p>
        </w:tc>
      </w:tr>
    </w:tbl>
    <w:p w:rsidR="008A74EB" w:rsidRPr="00C9040A" w:rsidRDefault="006C577F" w:rsidP="004A4E41">
      <w:pPr>
        <w:pStyle w:val="libFootnote0"/>
        <w:rPr>
          <w:rtl/>
          <w:lang w:bidi="fa-IR"/>
        </w:rPr>
      </w:pPr>
      <w:r>
        <w:rPr>
          <w:rtl/>
        </w:rPr>
        <w:t>(12).</w:t>
      </w:r>
      <w:r w:rsidR="008A74EB" w:rsidRPr="00C9040A">
        <w:rPr>
          <w:rtl/>
        </w:rPr>
        <w:t xml:space="preserve"> السَّعَف : أغصان النخل ، وأكثر ما يقال إذا يبست ، وإذا كانت رطبة فهي الشطبة ، هذا ما دامت بالخوص ، فإذا زال الخوص عنها قيل : جريدة ؛ أو السعف : الورق ، والواحدة : سَعَفة. وكلاهما يمكن أن يراد هنا. راجع : </w:t>
      </w:r>
      <w:r w:rsidR="008A74EB" w:rsidRPr="00993B55">
        <w:rPr>
          <w:rStyle w:val="libFootnoteBoldChar"/>
          <w:rtl/>
        </w:rPr>
        <w:t>لسان العرب</w:t>
      </w:r>
      <w:r w:rsidR="008A74EB" w:rsidRPr="00C9040A">
        <w:rPr>
          <w:rtl/>
        </w:rPr>
        <w:t xml:space="preserve"> ، ج 9 ، ص 151 ؛ </w:t>
      </w:r>
      <w:r w:rsidR="008A74EB" w:rsidRPr="00993B55">
        <w:rPr>
          <w:rStyle w:val="libFootnoteBoldChar"/>
          <w:rtl/>
        </w:rPr>
        <w:t>المصباح المنير</w:t>
      </w:r>
      <w:r w:rsidR="008A74EB" w:rsidRPr="00C9040A">
        <w:rPr>
          <w:rtl/>
        </w:rPr>
        <w:t xml:space="preserve"> ، ص 277 ( سعف )</w:t>
      </w:r>
      <w:r w:rsidR="008A74EB">
        <w:rPr>
          <w:rtl/>
        </w:rPr>
        <w:t>.</w:t>
      </w:r>
    </w:p>
    <w:p w:rsidR="008A74EB" w:rsidRPr="00C9040A" w:rsidRDefault="008A74EB" w:rsidP="004A4E41">
      <w:pPr>
        <w:pStyle w:val="libFootnote0"/>
        <w:rPr>
          <w:rtl/>
          <w:lang w:bidi="fa-IR"/>
        </w:rPr>
      </w:pPr>
      <w:r>
        <w:rPr>
          <w:rtl/>
        </w:rPr>
        <w:t>(13)</w:t>
      </w:r>
      <w:r w:rsidRPr="00C9040A">
        <w:rPr>
          <w:rtl/>
        </w:rPr>
        <w:t xml:space="preserve"> في مرآة العقول : « إن »</w:t>
      </w:r>
      <w:r>
        <w:rPr>
          <w:rtl/>
        </w:rPr>
        <w:t>.</w:t>
      </w:r>
    </w:p>
    <w:p w:rsidR="008A74EB" w:rsidRPr="00C9040A" w:rsidRDefault="008A74EB" w:rsidP="004A4E41">
      <w:pPr>
        <w:pStyle w:val="libFootnote0"/>
        <w:rPr>
          <w:rtl/>
          <w:lang w:bidi="fa-IR"/>
        </w:rPr>
      </w:pPr>
      <w:r>
        <w:rPr>
          <w:rtl/>
        </w:rPr>
        <w:t>(14)</w:t>
      </w:r>
      <w:r w:rsidRPr="00C9040A">
        <w:rPr>
          <w:rtl/>
        </w:rPr>
        <w:t xml:space="preserve"> </w:t>
      </w:r>
      <w:r w:rsidRPr="00993B55">
        <w:rPr>
          <w:rStyle w:val="libFootnoteBoldChar"/>
          <w:rtl/>
        </w:rPr>
        <w:t>الكافي</w:t>
      </w:r>
      <w:r w:rsidRPr="00C9040A">
        <w:rPr>
          <w:rtl/>
        </w:rPr>
        <w:t xml:space="preserve"> ، كتاب الروضة ، ح 15004 ؛ و</w:t>
      </w:r>
      <w:r w:rsidRPr="00993B55">
        <w:rPr>
          <w:rStyle w:val="libFootnoteBoldChar"/>
          <w:rtl/>
        </w:rPr>
        <w:t>الزهد</w:t>
      </w:r>
      <w:r w:rsidRPr="00C9040A">
        <w:rPr>
          <w:rtl/>
        </w:rPr>
        <w:t xml:space="preserve"> ، ص 72 ، ح 24 ، بسنده عن زيد الشحّام ، عن عمرو بن سعيد بن هلال ، عن أبي عبد الله </w:t>
      </w:r>
      <w:r w:rsidR="00117575" w:rsidRPr="00117575">
        <w:rPr>
          <w:rStyle w:val="libFootnoteAlaemChar"/>
          <w:rtl/>
        </w:rPr>
        <w:t xml:space="preserve">عليه‌السلام </w:t>
      </w:r>
      <w:r w:rsidRPr="00C9040A">
        <w:rPr>
          <w:rtl/>
        </w:rPr>
        <w:t xml:space="preserve">. وفي </w:t>
      </w:r>
      <w:r w:rsidRPr="0034021D">
        <w:rPr>
          <w:rStyle w:val="libFootnoteBoldChar"/>
          <w:rtl/>
        </w:rPr>
        <w:t>الأمالي للمفيد</w:t>
      </w:r>
      <w:r w:rsidRPr="00C9040A">
        <w:rPr>
          <w:rtl/>
        </w:rPr>
        <w:t xml:space="preserve"> ، ص 194 ، المجلس 23 ، ح 35 ؛ </w:t>
      </w:r>
      <w:r w:rsidRPr="00AC2E2F">
        <w:rPr>
          <w:rStyle w:val="libFootnoteBoldChar"/>
          <w:rtl/>
        </w:rPr>
        <w:t>والأمالي للطوسي</w:t>
      </w:r>
      <w:r w:rsidRPr="00C9040A">
        <w:rPr>
          <w:rtl/>
        </w:rPr>
        <w:t xml:space="preserve"> ، ص 681 ، المجلس 38 ، ح 1 ، بسندهما عن عمرو بن سعيد بن هلال ، عن أبي عبد الله </w:t>
      </w:r>
      <w:r w:rsidR="00117575" w:rsidRPr="00117575">
        <w:rPr>
          <w:rStyle w:val="libFootnoteAlaemChar"/>
          <w:rtl/>
        </w:rPr>
        <w:t>عليه‌السلام</w:t>
      </w:r>
      <w:r w:rsidRPr="00C9040A">
        <w:rPr>
          <w:rtl/>
        </w:rPr>
        <w:t xml:space="preserve"> ، وفي كلّها مع اختلاف يسير وزيادة في أوّله وآخره. </w:t>
      </w:r>
      <w:r w:rsidRPr="00993B55">
        <w:rPr>
          <w:rStyle w:val="libFootnoteBoldChar"/>
          <w:rtl/>
        </w:rPr>
        <w:t>وفيه</w:t>
      </w:r>
      <w:r w:rsidRPr="00C9040A">
        <w:rPr>
          <w:rtl/>
        </w:rPr>
        <w:t xml:space="preserve"> ، ص 663 ، المجلس 35 ، ح 27 ، بسند آخر عن أبي عبد الله </w:t>
      </w:r>
      <w:r w:rsidR="00117575" w:rsidRPr="00117575">
        <w:rPr>
          <w:rStyle w:val="libFootnoteAlaemChar"/>
          <w:rtl/>
        </w:rPr>
        <w:t>عليه‌السلام</w:t>
      </w:r>
      <w:r w:rsidRPr="00C9040A">
        <w:rPr>
          <w:rtl/>
        </w:rPr>
        <w:t xml:space="preserve"> ، وتمام الرواية فيه : « كان طعام رسول الله </w:t>
      </w:r>
      <w:r w:rsidR="004A4E41" w:rsidRPr="0034021D">
        <w:rPr>
          <w:rStyle w:val="libFootnoteAlaemChar"/>
          <w:rtl/>
        </w:rPr>
        <w:t>صلى‌الله‌عليه‌وآله</w:t>
      </w:r>
      <w:r w:rsidRPr="00C9040A">
        <w:rPr>
          <w:rtl/>
        </w:rPr>
        <w:t xml:space="preserve"> الشعير إذا وجده ، وحلواه التمر ، ووقوده السعف » ، مع زيادة في أوّله. </w:t>
      </w:r>
      <w:r w:rsidRPr="00993B55">
        <w:rPr>
          <w:rStyle w:val="libFootnoteBoldChar"/>
          <w:rtl/>
        </w:rPr>
        <w:t>فقه الرضا</w:t>
      </w:r>
      <w:r w:rsidRPr="00C9040A">
        <w:rPr>
          <w:rtl/>
        </w:rPr>
        <w:t xml:space="preserve"> </w:t>
      </w:r>
      <w:r w:rsidR="00117575" w:rsidRPr="00117575">
        <w:rPr>
          <w:rStyle w:val="libFootnoteAlaemChar"/>
          <w:rtl/>
        </w:rPr>
        <w:t xml:space="preserve">عليه‌السلام </w:t>
      </w:r>
      <w:r w:rsidRPr="00C9040A">
        <w:rPr>
          <w:rtl/>
        </w:rPr>
        <w:t xml:space="preserve">، ص 365 ، وتمام الرواية فيه : « إن دخل نفسك شي‌ء من القناعة فاذكر معاش رسول الله </w:t>
      </w:r>
      <w:r w:rsidR="004A4E41" w:rsidRPr="0034021D">
        <w:rPr>
          <w:rStyle w:val="libFootnoteAlaemChar"/>
          <w:rtl/>
        </w:rPr>
        <w:t>صلى‌الله‌عليه‌وآله</w:t>
      </w:r>
      <w:r w:rsidRPr="00C9040A">
        <w:rPr>
          <w:rtl/>
        </w:rPr>
        <w:t xml:space="preserve"> » </w:t>
      </w:r>
      <w:r w:rsidR="008935A1">
        <w:rPr>
          <w:rFonts w:hint="cs"/>
          <w:rtl/>
        </w:rPr>
        <w:t>.</w:t>
      </w:r>
      <w:r w:rsidRPr="00993B55">
        <w:rPr>
          <w:rStyle w:val="libFootnoteBoldChar"/>
          <w:rtl/>
        </w:rPr>
        <w:t>الوافي</w:t>
      </w:r>
      <w:r w:rsidRPr="00C9040A">
        <w:rPr>
          <w:rtl/>
        </w:rPr>
        <w:t xml:space="preserve"> ، ج 4 ، ص 405 ، ح 2201 ؛ </w:t>
      </w:r>
      <w:r w:rsidRPr="00993B55">
        <w:rPr>
          <w:rStyle w:val="libFootnoteBoldChar"/>
          <w:rtl/>
        </w:rPr>
        <w:t>الوسائل</w:t>
      </w:r>
      <w:r w:rsidRPr="00C9040A">
        <w:rPr>
          <w:rtl/>
        </w:rPr>
        <w:t xml:space="preserve"> ، ج 21 ، ص 530 ، ح 27773 ؛ </w:t>
      </w:r>
      <w:r w:rsidRPr="00993B55">
        <w:rPr>
          <w:rStyle w:val="libFootnoteBoldChar"/>
          <w:rtl/>
        </w:rPr>
        <w:t>البحار</w:t>
      </w:r>
      <w:r w:rsidRPr="00C9040A">
        <w:rPr>
          <w:rtl/>
        </w:rPr>
        <w:t xml:space="preserve"> ، ج 73 ، ص 172 ، ح 13.</w:t>
      </w:r>
    </w:p>
    <w:p w:rsidR="004B7F34" w:rsidRDefault="004B7F34" w:rsidP="004B7F34">
      <w:pPr>
        <w:pStyle w:val="libNormal"/>
        <w:rPr>
          <w:rtl/>
          <w:lang w:bidi="fa-IR"/>
        </w:rPr>
      </w:pPr>
      <w:r>
        <w:rPr>
          <w:rtl/>
          <w:lang w:bidi="fa-IR"/>
        </w:rPr>
        <w:br w:type="page"/>
      </w:r>
    </w:p>
    <w:p w:rsidR="000A5256" w:rsidRDefault="008A74EB" w:rsidP="000A5256">
      <w:pPr>
        <w:pStyle w:val="libNormal"/>
        <w:rPr>
          <w:rtl/>
          <w:lang w:bidi="fa-IR"/>
        </w:rPr>
      </w:pPr>
      <w:r w:rsidRPr="004B2EF8">
        <w:rPr>
          <w:rtl/>
        </w:rPr>
        <w:t>1921</w:t>
      </w:r>
      <w:r w:rsidRPr="00261CB0">
        <w:rPr>
          <w:rStyle w:val="libBold2Char"/>
          <w:rtl/>
        </w:rPr>
        <w:t xml:space="preserve"> / 2.</w:t>
      </w:r>
      <w:r w:rsidRPr="00C9040A">
        <w:rPr>
          <w:rtl/>
          <w:lang w:bidi="fa-IR"/>
        </w:rPr>
        <w:t xml:space="preserve"> الْحُسَيْنُ بْنُ مُحَمَّدِ بْنِ عَامِرٍ ، عَنْ مُعَلَّى بْنِ مُحَمَّدٍ ؛</w:t>
      </w:r>
    </w:p>
    <w:p w:rsidR="008A74EB" w:rsidRPr="00C9040A" w:rsidRDefault="008A74EB" w:rsidP="000A5256">
      <w:pPr>
        <w:pStyle w:val="libNormal"/>
        <w:rPr>
          <w:rtl/>
          <w:lang w:bidi="fa-IR"/>
        </w:rPr>
      </w:pPr>
      <w:r w:rsidRPr="00C9040A">
        <w:rPr>
          <w:rtl/>
          <w:lang w:bidi="fa-IR"/>
        </w:rPr>
        <w:t xml:space="preserve">وَعَلِيُّ بْنُ مُحَمَّدٍ </w:t>
      </w:r>
      <w:r w:rsidR="006C577F" w:rsidRPr="006C577F">
        <w:rPr>
          <w:rStyle w:val="libFootnotenumChar"/>
          <w:rtl/>
        </w:rPr>
        <w:t>(1)</w:t>
      </w:r>
      <w:r w:rsidRPr="00C9040A">
        <w:rPr>
          <w:rtl/>
          <w:lang w:bidi="fa-IR"/>
        </w:rPr>
        <w:t xml:space="preserve"> ، عَنْ صَالِحِ بْنِ أَبِي حَمَّادٍ جَمِيعاً ، عَنِ الْوَشَّاءِ ، عَنْ أَحْمَدَ بْنِ عَائِذٍ ، عَنْ أَبِي خَدِيجَةَ</w:t>
      </w:r>
      <w:r>
        <w:rPr>
          <w:rtl/>
          <w:lang w:bidi="fa-IR"/>
        </w:rPr>
        <w:t xml:space="preserve"> </w:t>
      </w:r>
      <w:r w:rsidR="0084262C">
        <w:rPr>
          <w:rtl/>
          <w:lang w:bidi="fa-IR"/>
        </w:rPr>
        <w:t>-</w:t>
      </w:r>
      <w:r>
        <w:rPr>
          <w:rtl/>
          <w:lang w:bidi="fa-IR"/>
        </w:rPr>
        <w:t xml:space="preserve"> </w:t>
      </w:r>
      <w:r w:rsidRPr="00C9040A">
        <w:rPr>
          <w:rtl/>
          <w:lang w:bidi="fa-IR"/>
        </w:rPr>
        <w:t xml:space="preserve">سَالِمِ بْنِ مُكْرَمٍ </w:t>
      </w:r>
      <w:r w:rsidR="0084262C">
        <w:rPr>
          <w:rtl/>
          <w:lang w:bidi="fa-IR"/>
        </w:rPr>
        <w:t>-</w:t>
      </w:r>
      <w:r>
        <w:rPr>
          <w:rtl/>
          <w:lang w:bidi="fa-IR"/>
        </w:rPr>
        <w:t xml:space="preserve">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مَنْ سَأَلَنَا أَعْطَيْنَاهُ ، وَمَنِ اسْتَغْنى أَغْنَاهُ اللهُ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4B2EF8">
        <w:rPr>
          <w:rtl/>
        </w:rPr>
        <w:t>1922</w:t>
      </w:r>
      <w:r w:rsidRPr="00261CB0">
        <w:rPr>
          <w:rStyle w:val="libBold2Char"/>
          <w:rtl/>
        </w:rPr>
        <w:t xml:space="preserve"> / 3.</w:t>
      </w:r>
      <w:r w:rsidRPr="00C9040A">
        <w:rPr>
          <w:rtl/>
          <w:lang w:bidi="fa-IR"/>
        </w:rPr>
        <w:t xml:space="preserve"> مُحَمَّدُ بْنُ يَحْيى ، عَنْ أَحْمَدَ بْنِ مُحَمَّدِ بْنِ عِيسى ، عَنِ الْحَسَنِ بْنِ مَحْبُوبٍ ، عَنِ الْهَيْثَمِ بْنِ وَاقِدٍ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مَنْ رَضِيَ مِنَ اللهِ بِالْيَسِيرِ مِنَ الْمَعَاشِ </w:t>
      </w:r>
      <w:r w:rsidR="006C577F" w:rsidRPr="006C577F">
        <w:rPr>
          <w:rStyle w:val="libFootnotenumChar"/>
          <w:rtl/>
        </w:rPr>
        <w:t>(3)</w:t>
      </w:r>
      <w:r w:rsidRPr="00C9040A">
        <w:rPr>
          <w:rtl/>
          <w:lang w:bidi="fa-IR"/>
        </w:rPr>
        <w:t xml:space="preserve"> ، رَضِيَ اللهُ مِنْهُ </w:t>
      </w:r>
      <w:r w:rsidR="006C577F" w:rsidRPr="006C577F">
        <w:rPr>
          <w:rStyle w:val="libFootnotenumChar"/>
          <w:rtl/>
        </w:rPr>
        <w:t>(4)</w:t>
      </w:r>
      <w:r w:rsidRPr="00C9040A">
        <w:rPr>
          <w:rtl/>
          <w:lang w:bidi="fa-IR"/>
        </w:rPr>
        <w:t xml:space="preserve"> بِالْيَسِيرِ </w:t>
      </w:r>
      <w:r w:rsidR="006C577F" w:rsidRPr="006C577F">
        <w:rPr>
          <w:rStyle w:val="libFootnotenumChar"/>
          <w:rtl/>
        </w:rPr>
        <w:t>(5)</w:t>
      </w:r>
      <w:r w:rsidRPr="00C9040A">
        <w:rPr>
          <w:rtl/>
          <w:lang w:bidi="fa-IR"/>
        </w:rPr>
        <w:t xml:space="preserve"> مِنَ الْعَمَلِ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هكذا في النسخ والطبعة القديمة من الكافي والوسائل. وفي المطبوع </w:t>
      </w:r>
      <w:r w:rsidR="008A74EB">
        <w:rPr>
          <w:rtl/>
        </w:rPr>
        <w:t xml:space="preserve">: </w:t>
      </w:r>
      <w:r w:rsidR="0084262C">
        <w:rPr>
          <w:rtl/>
        </w:rPr>
        <w:t>-</w:t>
      </w:r>
      <w:r w:rsidR="008A74EB" w:rsidRPr="00C9040A">
        <w:rPr>
          <w:rtl/>
        </w:rPr>
        <w:t xml:space="preserve"> « وعليّ بن محمّد »</w:t>
      </w:r>
      <w:r w:rsidR="008A74EB">
        <w:rPr>
          <w:rtl/>
        </w:rPr>
        <w:t>.</w:t>
      </w:r>
      <w:r w:rsidR="008A74EB" w:rsidRPr="00C9040A">
        <w:rPr>
          <w:rtl/>
        </w:rPr>
        <w:t xml:space="preserve"> والصواب ما</w:t>
      </w:r>
      <w:r w:rsidR="008A74EB">
        <w:rPr>
          <w:rFonts w:hint="cs"/>
          <w:rtl/>
        </w:rPr>
        <w:t xml:space="preserve"> </w:t>
      </w:r>
      <w:r w:rsidR="008A74EB" w:rsidRPr="00C9040A">
        <w:rPr>
          <w:rtl/>
        </w:rPr>
        <w:t xml:space="preserve">أثبتناه ؛ فقد روى المصنّف عن شيخه عليّ بن محمّد ، عن صالح بن أبي حمّاد في كثيرٍ من الأسناد. راجع : </w:t>
      </w:r>
      <w:r w:rsidR="008A74EB" w:rsidRPr="00993B55">
        <w:rPr>
          <w:rStyle w:val="libFootnoteBoldChar"/>
          <w:rtl/>
        </w:rPr>
        <w:t>معجم رجال الحديث</w:t>
      </w:r>
      <w:r w:rsidR="008A74EB" w:rsidRPr="00C9040A">
        <w:rPr>
          <w:rtl/>
        </w:rPr>
        <w:t xml:space="preserve"> ، ج 12 ، ص 331</w:t>
      </w:r>
      <w:r w:rsidR="008A74EB">
        <w:rPr>
          <w:rtl/>
        </w:rPr>
        <w:t xml:space="preserve"> </w:t>
      </w:r>
      <w:r w:rsidR="0084262C">
        <w:rPr>
          <w:rtl/>
        </w:rPr>
        <w:t>-</w:t>
      </w:r>
      <w:r w:rsidR="008A74EB">
        <w:rPr>
          <w:rtl/>
        </w:rPr>
        <w:t xml:space="preserve"> </w:t>
      </w:r>
      <w:r w:rsidR="008A74EB" w:rsidRPr="00C9040A">
        <w:rPr>
          <w:rtl/>
        </w:rPr>
        <w:t>332. فعليه في السند تحويل بعطف « عليّ بن محمّد ، عن صالح بن أبي حمّاد » على « الحسين بن محمّد بن عامر ، عن معلّى بن محمّد » ، ويروي عن الوشّاء ، معلّى بن محمّد وصالح بن أبي حمّاد معاً.</w:t>
      </w:r>
    </w:p>
    <w:p w:rsidR="008A74EB" w:rsidRPr="00C9040A" w:rsidRDefault="008A74EB" w:rsidP="004A4E41">
      <w:pPr>
        <w:pStyle w:val="libFootnote0"/>
        <w:rPr>
          <w:rtl/>
          <w:lang w:bidi="fa-IR"/>
        </w:rPr>
      </w:pPr>
      <w:r w:rsidRPr="00323A39">
        <w:rPr>
          <w:rtl/>
        </w:rPr>
        <w:t xml:space="preserve">يؤكّد ذلك مضافاً إلى وجود لفظة « جميعاً » في السند الدالّ على تعدّد الراوي عن الوشّاء ، ما ورد في </w:t>
      </w:r>
      <w:r w:rsidRPr="00993B55">
        <w:rPr>
          <w:rStyle w:val="libFootnoteBoldChar"/>
          <w:rtl/>
        </w:rPr>
        <w:t>الكافي</w:t>
      </w:r>
      <w:r w:rsidRPr="00323A39">
        <w:rPr>
          <w:rtl/>
        </w:rPr>
        <w:t xml:space="preserve"> ، ح 2023 و 2541 و 2687 و 12695 ، من رواية الحسين بن محمّد ، عن معلّى بن محمّد وعليّ بن محمّد ، عن صالح بن أبي حمّاد جميعاً عن الوشّاء ، عن أحمد بن عائذ ، عن أبي خديجة [ سالم بن مكرم ].</w:t>
      </w:r>
    </w:p>
    <w:p w:rsidR="008A74EB" w:rsidRPr="00C9040A" w:rsidRDefault="008A74EB" w:rsidP="004A4E41">
      <w:pPr>
        <w:pStyle w:val="libFootnote0"/>
        <w:rPr>
          <w:rtl/>
          <w:lang w:bidi="fa-IR"/>
        </w:rPr>
      </w:pPr>
      <w:r w:rsidRPr="0082575F">
        <w:rPr>
          <w:rtl/>
        </w:rPr>
        <w:t>هذا ، ويظهر وجه سقوط « وعليّ بن محمّد » من المطبوع ؛ من الشباهة الكثيرة بين معلّى بن محمّد وعليّ بن محمّد في الكتابة الموجب لجواز النظر من أحدهما إلى الآخر ، كما أشرنا إليه غير مرّةٍ.</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فقه الرضا</w:t>
      </w:r>
      <w:r w:rsidR="008A74EB" w:rsidRPr="00C9040A">
        <w:rPr>
          <w:rtl/>
        </w:rPr>
        <w:t xml:space="preserve"> </w:t>
      </w:r>
      <w:r w:rsidR="00117575" w:rsidRPr="00117575">
        <w:rPr>
          <w:rStyle w:val="libFootnoteAlaemChar"/>
          <w:rtl/>
        </w:rPr>
        <w:t>عليه‌السلام</w:t>
      </w:r>
      <w:r w:rsidR="008A74EB" w:rsidRPr="00C9040A">
        <w:rPr>
          <w:rtl/>
        </w:rPr>
        <w:t xml:space="preserve"> ، ص 365</w:t>
      </w:r>
      <w:r w:rsidR="003E159E">
        <w:rPr>
          <w:rFonts w:hint="cs"/>
          <w:rtl/>
        </w:rPr>
        <w:t>.</w:t>
      </w:r>
      <w:r w:rsidR="008A74EB" w:rsidRPr="00993B55">
        <w:rPr>
          <w:rStyle w:val="libFootnoteBoldChar"/>
          <w:rtl/>
        </w:rPr>
        <w:t>الوافي</w:t>
      </w:r>
      <w:r w:rsidR="008A74EB" w:rsidRPr="00C9040A">
        <w:rPr>
          <w:rtl/>
        </w:rPr>
        <w:t xml:space="preserve"> ، ج 4 ، ص 410 ، ح 2211 ؛ </w:t>
      </w:r>
      <w:r w:rsidR="008A74EB" w:rsidRPr="00993B55">
        <w:rPr>
          <w:rStyle w:val="libFootnoteBoldChar"/>
          <w:rtl/>
        </w:rPr>
        <w:t>الوسائل</w:t>
      </w:r>
      <w:r w:rsidR="008A74EB" w:rsidRPr="00C9040A">
        <w:rPr>
          <w:rtl/>
        </w:rPr>
        <w:t xml:space="preserve"> ، ج 21 ، ص 530 ، ذيل ح 27774 ؛ </w:t>
      </w:r>
      <w:r w:rsidR="008A74EB" w:rsidRPr="00993B55">
        <w:rPr>
          <w:rStyle w:val="libFootnoteBoldChar"/>
          <w:rtl/>
        </w:rPr>
        <w:t>البحار</w:t>
      </w:r>
      <w:r w:rsidR="008A74EB" w:rsidRPr="00C9040A">
        <w:rPr>
          <w:rtl/>
        </w:rPr>
        <w:t xml:space="preserve"> ، ج 73 ، ص 174 ، ح 14.</w:t>
      </w:r>
    </w:p>
    <w:p w:rsidR="008A74EB" w:rsidRPr="00C9040A" w:rsidRDefault="006C577F" w:rsidP="004A4E41">
      <w:pPr>
        <w:pStyle w:val="libFootnote0"/>
        <w:rPr>
          <w:rtl/>
          <w:lang w:bidi="fa-IR"/>
        </w:rPr>
      </w:pPr>
      <w:r>
        <w:rPr>
          <w:rtl/>
        </w:rPr>
        <w:t>(3).</w:t>
      </w:r>
      <w:r w:rsidR="008A74EB" w:rsidRPr="00C9040A">
        <w:rPr>
          <w:rtl/>
        </w:rPr>
        <w:t xml:space="preserve"> في « ض » وفقه الرضا والخصال والمعاني وتحف العقول : « الرزق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ز ، ض ، ف » : « عنه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فقه الرضا والخصال وتحف العقول ، ص 60 : « بالقليل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الفقيه</w:t>
      </w:r>
      <w:r w:rsidR="008A74EB" w:rsidRPr="00C9040A">
        <w:rPr>
          <w:rtl/>
        </w:rPr>
        <w:t xml:space="preserve"> ، ج 4 ، ص 410 ، ح 5890 ، بإسناده عن الحسن بن محبوب. </w:t>
      </w:r>
      <w:r w:rsidR="008A74EB" w:rsidRPr="00993B55">
        <w:rPr>
          <w:rStyle w:val="libFootnoteBoldChar"/>
          <w:rtl/>
        </w:rPr>
        <w:t>الأمالي</w:t>
      </w:r>
      <w:r w:rsidR="004850DD">
        <w:rPr>
          <w:rtl/>
        </w:rPr>
        <w:t xml:space="preserve"> </w:t>
      </w:r>
      <w:r w:rsidR="004850DD" w:rsidRPr="0034021D">
        <w:rPr>
          <w:rStyle w:val="libFootnoteBoldChar"/>
          <w:rtl/>
        </w:rPr>
        <w:t>للطوسي</w:t>
      </w:r>
      <w:r w:rsidR="004850DD">
        <w:rPr>
          <w:rtl/>
        </w:rPr>
        <w:t xml:space="preserve"> ، ص 721 ، المجلس 43 ،</w:t>
      </w:r>
      <w:r w:rsidR="004850DD">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4B2EF8">
        <w:rPr>
          <w:rtl/>
        </w:rPr>
        <w:t>1923</w:t>
      </w:r>
      <w:r w:rsidRPr="00261CB0">
        <w:rPr>
          <w:rStyle w:val="libBold2Char"/>
          <w:rtl/>
        </w:rPr>
        <w:t xml:space="preserve"> / 4.</w:t>
      </w:r>
      <w:r w:rsidRPr="00C9040A">
        <w:rPr>
          <w:rtl/>
          <w:lang w:bidi="fa-IR"/>
        </w:rPr>
        <w:t xml:space="preserve"> عِدَّةٌ مِنْ أَصْحَابِنَا ، عَنْ أَحْمَدَ بْنِ أَبِي عَبْدِ اللهِ ، عَنْ أَبِيهِ ، عَنْ عَبْدِ اللهِ بْنِ الْقَاسِمِ ، عَنْ عَمْرِو بْنِ أَبِي الْمِقْدَامِ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مَكْتُوبٌ فِي التَّوْرَاةِ : ابْنَ آدَمَ ، كُنْ كَيْفَ شِئْتَ ؛ كَمَا تَدِينُ تُدَانُ ، مَنْ رَضِيَ مِنَ اللهِ بِالْقَلِيلِ مِنَ الرِّزْقِ ، قَبِلَ اللهُ مِنْهُ الْيَسِيرَ </w:t>
      </w:r>
      <w:r w:rsidR="006C577F" w:rsidRPr="006C577F">
        <w:rPr>
          <w:rStyle w:val="libFootnotenumChar"/>
          <w:rtl/>
        </w:rPr>
        <w:t>(1)</w:t>
      </w:r>
      <w:r w:rsidRPr="00C9040A">
        <w:rPr>
          <w:rtl/>
          <w:lang w:bidi="fa-IR"/>
        </w:rPr>
        <w:t xml:space="preserve"> مِنَ الْعَمَلِ </w:t>
      </w:r>
      <w:r w:rsidR="006C577F" w:rsidRPr="006C577F">
        <w:rPr>
          <w:rStyle w:val="libFootnotenumChar"/>
          <w:rtl/>
        </w:rPr>
        <w:t>(2)</w:t>
      </w:r>
      <w:r w:rsidRPr="00C9040A">
        <w:rPr>
          <w:rtl/>
          <w:lang w:bidi="fa-IR"/>
        </w:rPr>
        <w:t xml:space="preserve"> ؛ وَمَنْ رَضِيَ </w:t>
      </w:r>
      <w:r w:rsidR="006C577F" w:rsidRPr="006C577F">
        <w:rPr>
          <w:rStyle w:val="libFootnotenumChar"/>
          <w:rtl/>
        </w:rPr>
        <w:t>(3)</w:t>
      </w:r>
      <w:r w:rsidRPr="00C9040A">
        <w:rPr>
          <w:rtl/>
          <w:lang w:bidi="fa-IR"/>
        </w:rPr>
        <w:t xml:space="preserve"> بِالْيَسِيرِ مِنَ الْحَلَالِ ، خَفَّتْ </w:t>
      </w:r>
      <w:r w:rsidR="006C577F" w:rsidRPr="006C577F">
        <w:rPr>
          <w:rStyle w:val="libFootnotenumChar"/>
          <w:rtl/>
        </w:rPr>
        <w:t>(4)</w:t>
      </w:r>
      <w:r w:rsidRPr="00C9040A">
        <w:rPr>
          <w:rtl/>
          <w:lang w:bidi="fa-IR"/>
        </w:rPr>
        <w:t xml:space="preserve"> مَؤُونَتُهُ ، وَزَكَتْ مَكْسَبَتُهُ </w:t>
      </w:r>
      <w:r w:rsidR="006C577F" w:rsidRPr="006C577F">
        <w:rPr>
          <w:rStyle w:val="libFootnotenumChar"/>
          <w:rtl/>
        </w:rPr>
        <w:t>(5)</w:t>
      </w:r>
      <w:r w:rsidRPr="00C9040A">
        <w:rPr>
          <w:rtl/>
          <w:lang w:bidi="fa-IR"/>
        </w:rPr>
        <w:t xml:space="preserve"> ، وَخَرَجَ </w:t>
      </w:r>
      <w:r w:rsidR="006C577F" w:rsidRPr="006C577F">
        <w:rPr>
          <w:rStyle w:val="libFootnotenumChar"/>
          <w:rtl/>
        </w:rPr>
        <w:t>(6)</w:t>
      </w:r>
      <w:r w:rsidRPr="005B567D">
        <w:rPr>
          <w:rStyle w:val="libFootnotenumChar"/>
          <w:rtl/>
        </w:rPr>
        <w:t xml:space="preserve"> </w:t>
      </w:r>
      <w:r w:rsidRPr="00C9040A">
        <w:rPr>
          <w:rtl/>
          <w:lang w:bidi="fa-IR"/>
        </w:rPr>
        <w:t xml:space="preserve">مِنْ حَدِّ الْفُجُورِ </w:t>
      </w:r>
      <w:r w:rsidR="006C577F" w:rsidRPr="006C577F">
        <w:rPr>
          <w:rStyle w:val="libFootnotenumChar"/>
          <w:rtl/>
        </w:rPr>
        <w:t>(7)</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Normal"/>
        <w:rPr>
          <w:rtl/>
          <w:lang w:bidi="fa-IR"/>
        </w:rPr>
      </w:pPr>
      <w:r w:rsidRPr="004B2EF8">
        <w:rPr>
          <w:rtl/>
        </w:rPr>
        <w:t>1924</w:t>
      </w:r>
      <w:r w:rsidRPr="00261CB0">
        <w:rPr>
          <w:rStyle w:val="libBold2Char"/>
          <w:rtl/>
        </w:rPr>
        <w:t xml:space="preserve"> / 5.</w:t>
      </w:r>
      <w:r w:rsidRPr="00C9040A">
        <w:rPr>
          <w:rtl/>
          <w:lang w:bidi="fa-IR"/>
        </w:rPr>
        <w:t xml:space="preserve"> عَلِيُّ بْنُ إِبْرَاهِيمَ ، عَنْ مُحَمَّدِ بْنِ عِيسى ، عَنْ مُحَمَّدِ بْنِ عَرَفَةَ :</w:t>
      </w:r>
    </w:p>
    <w:p w:rsidR="008A74EB" w:rsidRPr="00C9040A" w:rsidRDefault="008A74EB" w:rsidP="008A74EB">
      <w:pPr>
        <w:pStyle w:val="libNormal"/>
        <w:rPr>
          <w:rtl/>
          <w:lang w:bidi="fa-IR"/>
        </w:rPr>
      </w:pPr>
      <w:r w:rsidRPr="00C9040A">
        <w:rPr>
          <w:rtl/>
          <w:lang w:bidi="fa-IR"/>
        </w:rPr>
        <w:t xml:space="preserve">عَنْ أَبِي الْحَسَنِ الرِّضَا </w:t>
      </w:r>
      <w:r w:rsidRPr="0003660B">
        <w:rPr>
          <w:rStyle w:val="libAlaemChar"/>
          <w:rtl/>
        </w:rPr>
        <w:t>عليه‌السلام</w:t>
      </w:r>
      <w:r w:rsidRPr="00C9040A">
        <w:rPr>
          <w:rtl/>
          <w:lang w:bidi="fa-IR"/>
        </w:rPr>
        <w:t xml:space="preserve"> ، قَالَ : « مَنْ لَمْ </w:t>
      </w:r>
      <w:r w:rsidR="004850DD">
        <w:rPr>
          <w:rtl/>
          <w:lang w:bidi="fa-IR"/>
        </w:rPr>
        <w:t>يُقْنِعْهُ مِنَ الرِّزْقِ إِل</w:t>
      </w:r>
      <w:r w:rsidR="004850DD">
        <w:rPr>
          <w:rFonts w:hint="cs"/>
          <w:rtl/>
          <w:lang w:bidi="fa-IR"/>
        </w:rPr>
        <w:t>َّ</w:t>
      </w:r>
      <w:r w:rsidR="004850DD">
        <w:rPr>
          <w:rtl/>
          <w:lang w:bidi="fa-IR"/>
        </w:rPr>
        <w:t>ا</w:t>
      </w:r>
      <w:r w:rsidRPr="00C9040A">
        <w:rPr>
          <w:rtl/>
          <w:lang w:bidi="fa-IR"/>
        </w:rPr>
        <w:t xml:space="preserve"> الْكَثِيرُ ، لَم</w:t>
      </w:r>
      <w:r w:rsidR="004850DD">
        <w:rPr>
          <w:rtl/>
          <w:lang w:bidi="fa-IR"/>
        </w:rPr>
        <w:t>ْ يَكْفِهِ مِنَ الْعَمَلِ إِل</w:t>
      </w:r>
      <w:r w:rsidR="004850DD">
        <w:rPr>
          <w:rFonts w:hint="cs"/>
          <w:rtl/>
          <w:lang w:bidi="fa-IR"/>
        </w:rPr>
        <w:t>َّ</w:t>
      </w:r>
      <w:r w:rsidR="004850DD">
        <w:rPr>
          <w:rtl/>
          <w:lang w:bidi="fa-IR"/>
        </w:rPr>
        <w:t>ا</w:t>
      </w:r>
      <w:r w:rsidRPr="00C9040A">
        <w:rPr>
          <w:rtl/>
          <w:lang w:bidi="fa-IR"/>
        </w:rPr>
        <w:t xml:space="preserve"> الْكَثِيرُ ؛ وَمَنْ كَفَاهُ مِنَ الرِّزْقِ الْقَلِيلُ ، فَإِنَّهُ يَكْفِيهِ مِنَ الْعَمَلِ الْقَلِيلُ »</w:t>
      </w:r>
      <w:r>
        <w:rPr>
          <w:rtl/>
          <w:lang w:bidi="fa-IR"/>
        </w:rPr>
        <w:t>.</w:t>
      </w:r>
      <w:r w:rsidRPr="00C9040A">
        <w:rPr>
          <w:rtl/>
          <w:lang w:bidi="fa-IR"/>
        </w:rPr>
        <w:t xml:space="preserve"> </w:t>
      </w:r>
      <w:r w:rsidR="006C577F" w:rsidRPr="006C577F">
        <w:rPr>
          <w:rStyle w:val="libFootnotenumChar"/>
          <w:rtl/>
        </w:rPr>
        <w:t>(9)</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4A4E41" w:rsidRDefault="004850DD" w:rsidP="004A4E41">
      <w:pPr>
        <w:pStyle w:val="libFootnote0"/>
        <w:rPr>
          <w:rStyle w:val="libFootnote0Char"/>
          <w:rtl/>
        </w:rPr>
      </w:pPr>
      <w:r>
        <w:rPr>
          <w:rFonts w:hint="cs"/>
          <w:rtl/>
        </w:rPr>
        <w:t>=</w:t>
      </w:r>
      <w:r w:rsidR="008A74EB" w:rsidRPr="00C9040A">
        <w:rPr>
          <w:rtl/>
        </w:rPr>
        <w:t xml:space="preserve">ح 5 ، بسند آخر ؛ </w:t>
      </w:r>
      <w:r w:rsidR="008A74EB" w:rsidRPr="00993B55">
        <w:rPr>
          <w:rStyle w:val="libFootnoteBoldChar"/>
          <w:rtl/>
        </w:rPr>
        <w:t>الخصال</w:t>
      </w:r>
      <w:r w:rsidR="008A74EB" w:rsidRPr="00C9040A">
        <w:rPr>
          <w:rtl/>
        </w:rPr>
        <w:t xml:space="preserve"> ، ص 616 ، أبواب المائة فما فوقه ، ضمن الحديث الطويل 10 ، بسند آخر عن أبي عبد الله ، عن آبائه ، عن أمير المؤمنين </w:t>
      </w:r>
      <w:r w:rsidR="00117575" w:rsidRPr="00117575">
        <w:rPr>
          <w:rStyle w:val="libFootnoteAlaemChar"/>
          <w:rtl/>
        </w:rPr>
        <w:t>عليهم‌السلام</w:t>
      </w:r>
      <w:r w:rsidR="008A74EB" w:rsidRPr="00C9040A">
        <w:rPr>
          <w:rtl/>
        </w:rPr>
        <w:t xml:space="preserve"> ؛ </w:t>
      </w:r>
      <w:r w:rsidR="008A74EB" w:rsidRPr="00993B55">
        <w:rPr>
          <w:rStyle w:val="libFootnoteBoldChar"/>
          <w:rtl/>
        </w:rPr>
        <w:t>معاني الأخبار</w:t>
      </w:r>
      <w:r w:rsidR="008A74EB" w:rsidRPr="00C9040A">
        <w:rPr>
          <w:rtl/>
        </w:rPr>
        <w:t xml:space="preserve"> ، ص 260 ، ح 1 ، بسند آخر ، وفيه : « سألت أبا عبد الله </w:t>
      </w:r>
      <w:r w:rsidR="00117575" w:rsidRPr="00117575">
        <w:rPr>
          <w:rStyle w:val="libFootnoteAlaemChar"/>
          <w:rtl/>
        </w:rPr>
        <w:t>عليه‌السلام</w:t>
      </w:r>
      <w:r w:rsidR="008A74EB" w:rsidRPr="00C9040A">
        <w:rPr>
          <w:rtl/>
        </w:rPr>
        <w:t xml:space="preserve"> عن معنى الحديث من رضي</w:t>
      </w:r>
      <w:r w:rsidR="008A74EB">
        <w:rPr>
          <w:rtl/>
        </w:rPr>
        <w:t xml:space="preserve"> ..</w:t>
      </w:r>
      <w:r w:rsidR="008A74EB" w:rsidRPr="00C9040A">
        <w:rPr>
          <w:rtl/>
        </w:rPr>
        <w:t>. قال : يطيعه في بعض ويعصيه في بعض »</w:t>
      </w:r>
      <w:r w:rsidR="008A74EB">
        <w:rPr>
          <w:rtl/>
        </w:rPr>
        <w:t>.</w:t>
      </w:r>
      <w:r w:rsidR="008A74EB" w:rsidRPr="00C9040A">
        <w:rPr>
          <w:rtl/>
        </w:rPr>
        <w:t xml:space="preserve"> </w:t>
      </w:r>
      <w:r w:rsidR="008A74EB" w:rsidRPr="00993B55">
        <w:rPr>
          <w:rStyle w:val="libFootnoteBoldChar"/>
          <w:rtl/>
        </w:rPr>
        <w:t>فقه الرضا</w:t>
      </w:r>
      <w:r w:rsidR="008A74EB" w:rsidRPr="00C9040A">
        <w:rPr>
          <w:rtl/>
        </w:rPr>
        <w:t xml:space="preserve"> </w:t>
      </w:r>
      <w:r w:rsidR="00117575" w:rsidRPr="00117575">
        <w:rPr>
          <w:rStyle w:val="libFootnoteAlaemChar"/>
          <w:rtl/>
        </w:rPr>
        <w:t>عليه‌السلام</w:t>
      </w:r>
      <w:r w:rsidR="008A74EB" w:rsidRPr="00C9040A">
        <w:rPr>
          <w:rtl/>
        </w:rPr>
        <w:t xml:space="preserve"> ، ص 365 ؛ </w:t>
      </w:r>
      <w:r w:rsidR="008A74EB" w:rsidRPr="00993B55">
        <w:rPr>
          <w:rStyle w:val="libFootnoteBoldChar"/>
          <w:rtl/>
        </w:rPr>
        <w:t>تحف العقول</w:t>
      </w:r>
      <w:r w:rsidR="008A74EB" w:rsidRPr="00C9040A">
        <w:rPr>
          <w:rtl/>
        </w:rPr>
        <w:t xml:space="preserve"> ، ص 57 ، وص 60 ، عن رسول الله </w:t>
      </w:r>
      <w:r w:rsidR="004A4E41" w:rsidRPr="0034021D">
        <w:rPr>
          <w:rStyle w:val="libFootnoteAlaemChar"/>
          <w:rtl/>
        </w:rPr>
        <w:t>صلى‌الله‌عليه‌وآله</w:t>
      </w:r>
      <w:r w:rsidR="008A74EB" w:rsidRPr="00C9040A">
        <w:rPr>
          <w:rtl/>
        </w:rPr>
        <w:t xml:space="preserve"> ؛ </w:t>
      </w:r>
      <w:r w:rsidR="008A74EB" w:rsidRPr="00993B55">
        <w:rPr>
          <w:rStyle w:val="libFootnoteBoldChar"/>
          <w:rtl/>
        </w:rPr>
        <w:t>وفيه</w:t>
      </w:r>
      <w:r w:rsidR="008A74EB" w:rsidRPr="00C9040A">
        <w:rPr>
          <w:rtl/>
        </w:rPr>
        <w:t xml:space="preserve"> ، ص 107 ، ضمن الحديث الطويل ، عن أمير المؤمنين </w:t>
      </w:r>
      <w:r w:rsidR="00117575" w:rsidRPr="00117575">
        <w:rPr>
          <w:rStyle w:val="libFootnoteAlaemChar"/>
          <w:rtl/>
        </w:rPr>
        <w:t>عليه‌السلام</w:t>
      </w:r>
      <w:r w:rsidR="008A74EB" w:rsidRPr="00C9040A">
        <w:rPr>
          <w:rtl/>
        </w:rPr>
        <w:t xml:space="preserve"> ، وفي كلّ المصادر مع زيادة في أوّله وآخره</w:t>
      </w:r>
      <w:r>
        <w:rPr>
          <w:rFonts w:hint="cs"/>
          <w:rtl/>
        </w:rPr>
        <w:t>.</w:t>
      </w:r>
      <w:r w:rsidR="008A74EB" w:rsidRPr="00993B55">
        <w:rPr>
          <w:rStyle w:val="libFootnoteBoldChar"/>
          <w:rtl/>
        </w:rPr>
        <w:t>الوافي</w:t>
      </w:r>
      <w:r w:rsidR="008A74EB" w:rsidRPr="00C9040A">
        <w:rPr>
          <w:rtl/>
        </w:rPr>
        <w:t xml:space="preserve"> ، ج 4 ، ص 405 ، ح 2202 ؛ </w:t>
      </w:r>
      <w:r w:rsidR="008A74EB" w:rsidRPr="00993B55">
        <w:rPr>
          <w:rStyle w:val="libFootnoteBoldChar"/>
          <w:rtl/>
        </w:rPr>
        <w:t>الوسائل</w:t>
      </w:r>
      <w:r w:rsidR="008A74EB" w:rsidRPr="00C9040A">
        <w:rPr>
          <w:rtl/>
        </w:rPr>
        <w:t xml:space="preserve"> ، ج 21 ، ص 530 ، ح 27772 ؛ </w:t>
      </w:r>
      <w:r w:rsidR="008A74EB" w:rsidRPr="00993B55">
        <w:rPr>
          <w:rStyle w:val="libFootnoteBoldChar"/>
          <w:rtl/>
        </w:rPr>
        <w:t>البحار</w:t>
      </w:r>
      <w:r w:rsidR="008A74EB" w:rsidRPr="00C9040A">
        <w:rPr>
          <w:rtl/>
        </w:rPr>
        <w:t xml:space="preserve"> ، ج 73 ، ص 175 ، ح 15.</w:t>
      </w:r>
    </w:p>
    <w:tbl>
      <w:tblPr>
        <w:tblStyle w:val="TableGrid"/>
        <w:bidiVisual/>
        <w:tblW w:w="0" w:type="auto"/>
        <w:tblLook w:val="04A0" w:firstRow="1" w:lastRow="0" w:firstColumn="1" w:lastColumn="0" w:noHBand="0" w:noVBand="1"/>
      </w:tblPr>
      <w:tblGrid>
        <w:gridCol w:w="4006"/>
        <w:gridCol w:w="4006"/>
      </w:tblGrid>
      <w:tr w:rsidR="004850DD" w:rsidTr="004850DD">
        <w:tc>
          <w:tcPr>
            <w:tcW w:w="4006" w:type="dxa"/>
          </w:tcPr>
          <w:p w:rsidR="004850DD" w:rsidRDefault="004850DD" w:rsidP="004A4E41">
            <w:pPr>
              <w:pStyle w:val="libFootnote0"/>
              <w:rPr>
                <w:rtl/>
              </w:rPr>
            </w:pPr>
            <w:r>
              <w:rPr>
                <w:rtl/>
              </w:rPr>
              <w:t xml:space="preserve">(1). </w:t>
            </w:r>
            <w:r w:rsidRPr="00C9040A">
              <w:rPr>
                <w:rtl/>
              </w:rPr>
              <w:t>في الوسائل : « القليل »</w:t>
            </w:r>
            <w:r>
              <w:rPr>
                <w:rtl/>
              </w:rPr>
              <w:t>.</w:t>
            </w:r>
          </w:p>
        </w:tc>
        <w:tc>
          <w:tcPr>
            <w:tcW w:w="4006" w:type="dxa"/>
          </w:tcPr>
          <w:p w:rsidR="004850DD" w:rsidRDefault="004850DD" w:rsidP="004A4E41">
            <w:pPr>
              <w:pStyle w:val="libFootnote0"/>
              <w:rPr>
                <w:rtl/>
              </w:rPr>
            </w:pPr>
            <w:r>
              <w:rPr>
                <w:rtl/>
              </w:rPr>
              <w:t xml:space="preserve">(2). </w:t>
            </w:r>
            <w:r w:rsidRPr="00C9040A">
              <w:rPr>
                <w:rtl/>
              </w:rPr>
              <w:t xml:space="preserve">في « ف » </w:t>
            </w:r>
            <w:r>
              <w:rPr>
                <w:rtl/>
              </w:rPr>
              <w:t>: -</w:t>
            </w:r>
            <w:r w:rsidRPr="00C9040A">
              <w:rPr>
                <w:rtl/>
              </w:rPr>
              <w:t xml:space="preserve"> « من العمل »</w:t>
            </w:r>
            <w:r>
              <w:rPr>
                <w:rtl/>
              </w:rPr>
              <w:t>.</w:t>
            </w:r>
          </w:p>
        </w:tc>
      </w:tr>
      <w:tr w:rsidR="004850DD" w:rsidTr="004850DD">
        <w:tc>
          <w:tcPr>
            <w:tcW w:w="4006" w:type="dxa"/>
          </w:tcPr>
          <w:p w:rsidR="004850DD" w:rsidRDefault="004850DD" w:rsidP="004A4E41">
            <w:pPr>
              <w:pStyle w:val="libFootnote0"/>
              <w:rPr>
                <w:rtl/>
              </w:rPr>
            </w:pPr>
            <w:r>
              <w:rPr>
                <w:rtl/>
              </w:rPr>
              <w:t>(3).</w:t>
            </w:r>
            <w:r w:rsidRPr="00C9040A">
              <w:rPr>
                <w:rtl/>
              </w:rPr>
              <w:t xml:space="preserve"> في حاشية « ج » : + « من الله »</w:t>
            </w:r>
            <w:r>
              <w:rPr>
                <w:rtl/>
              </w:rPr>
              <w:t>.</w:t>
            </w:r>
          </w:p>
        </w:tc>
        <w:tc>
          <w:tcPr>
            <w:tcW w:w="4006" w:type="dxa"/>
          </w:tcPr>
          <w:p w:rsidR="004850DD" w:rsidRDefault="004850DD" w:rsidP="004A4E41">
            <w:pPr>
              <w:pStyle w:val="libFootnote0"/>
              <w:rPr>
                <w:rtl/>
              </w:rPr>
            </w:pPr>
            <w:r>
              <w:rPr>
                <w:rtl/>
              </w:rPr>
              <w:t>(4).</w:t>
            </w:r>
            <w:r w:rsidRPr="00C9040A">
              <w:rPr>
                <w:rtl/>
              </w:rPr>
              <w:t xml:space="preserve"> في « ز » : « خفّفت »</w:t>
            </w:r>
            <w:r>
              <w:rPr>
                <w:rtl/>
              </w:rPr>
              <w:t>.</w:t>
            </w:r>
          </w:p>
        </w:tc>
      </w:tr>
    </w:tbl>
    <w:p w:rsidR="008A74EB" w:rsidRPr="00C9040A" w:rsidRDefault="006C577F" w:rsidP="004A4E41">
      <w:pPr>
        <w:pStyle w:val="libFootnote0"/>
        <w:rPr>
          <w:rtl/>
          <w:lang w:bidi="fa-IR"/>
        </w:rPr>
      </w:pPr>
      <w:r>
        <w:rPr>
          <w:rtl/>
        </w:rPr>
        <w:t>(5).</w:t>
      </w:r>
      <w:r w:rsidR="008A74EB" w:rsidRPr="00C9040A">
        <w:rPr>
          <w:rtl/>
        </w:rPr>
        <w:t xml:space="preserve"> في « ب ، ج ، بس » ومرآة العقول : « مكسبه »</w:t>
      </w:r>
      <w:r w:rsidR="008A74EB">
        <w:rPr>
          <w:rtl/>
        </w:rPr>
        <w:t>.</w:t>
      </w:r>
      <w:r w:rsidR="008A74EB" w:rsidRPr="00C9040A">
        <w:rPr>
          <w:rtl/>
        </w:rPr>
        <w:t xml:space="preserve"> وفي حاشية « ف » : « مكتسبه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ف » : + « به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w:t>
      </w:r>
      <w:r w:rsidR="008A74EB" w:rsidRPr="00993B55">
        <w:rPr>
          <w:rStyle w:val="libFootnoteBoldChar"/>
          <w:rtl/>
        </w:rPr>
        <w:t>تحف العقول</w:t>
      </w:r>
      <w:r w:rsidR="008A74EB" w:rsidRPr="00C9040A">
        <w:rPr>
          <w:rtl/>
        </w:rPr>
        <w:t xml:space="preserve"> ، ص 377 : « العجز »</w:t>
      </w:r>
      <w:r w:rsidR="008A74EB">
        <w:rPr>
          <w:rtl/>
        </w:rPr>
        <w:t>.</w:t>
      </w:r>
      <w:r w:rsidR="008A74EB" w:rsidRPr="00C9040A">
        <w:rPr>
          <w:rtl/>
        </w:rPr>
        <w:t xml:space="preserve"> </w:t>
      </w:r>
      <w:r w:rsidR="008A74EB">
        <w:rPr>
          <w:rtl/>
        </w:rPr>
        <w:t>و «</w:t>
      </w:r>
      <w:r w:rsidR="008A74EB" w:rsidRPr="00C9040A">
        <w:rPr>
          <w:rtl/>
        </w:rPr>
        <w:t xml:space="preserve"> الفجور » : الريبة والانبعاث في المعاصي. </w:t>
      </w:r>
      <w:r w:rsidR="008A74EB" w:rsidRPr="00993B55">
        <w:rPr>
          <w:rStyle w:val="libFootnoteBoldChar"/>
          <w:rtl/>
        </w:rPr>
        <w:t>ترتيب كتاب العين</w:t>
      </w:r>
      <w:r w:rsidR="008A74EB" w:rsidRPr="00C9040A">
        <w:rPr>
          <w:rtl/>
        </w:rPr>
        <w:t xml:space="preserve"> ، ج 3 ، ص 1373 ؛ </w:t>
      </w:r>
      <w:r w:rsidR="008A74EB" w:rsidRPr="00993B55">
        <w:rPr>
          <w:rStyle w:val="libFootnoteBoldChar"/>
          <w:rtl/>
        </w:rPr>
        <w:t>القاموس المحيط</w:t>
      </w:r>
      <w:r w:rsidR="008A74EB" w:rsidRPr="00C9040A">
        <w:rPr>
          <w:rtl/>
        </w:rPr>
        <w:t xml:space="preserve"> ، ج 1 ، ص 634 ( فجر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w:t>
      </w:r>
      <w:r w:rsidR="008A74EB" w:rsidRPr="00993B55">
        <w:rPr>
          <w:rStyle w:val="libFootnoteBoldChar"/>
          <w:rtl/>
        </w:rPr>
        <w:t>الكافي</w:t>
      </w:r>
      <w:r w:rsidR="008A74EB" w:rsidRPr="00C9040A">
        <w:rPr>
          <w:rtl/>
        </w:rPr>
        <w:t xml:space="preserve"> ، كتاب الروضة ، ح 15361 ، بسند آخر عن الرضا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تحف العقول</w:t>
      </w:r>
      <w:r w:rsidR="008A74EB" w:rsidRPr="00C9040A">
        <w:rPr>
          <w:rtl/>
        </w:rPr>
        <w:t xml:space="preserve"> ، ص 448 ، عن الرضا </w:t>
      </w:r>
      <w:r w:rsidR="00117575" w:rsidRPr="00117575">
        <w:rPr>
          <w:rStyle w:val="libFootnoteAlaemChar"/>
          <w:rtl/>
        </w:rPr>
        <w:t>عليه‌السلام</w:t>
      </w:r>
      <w:r w:rsidR="008A74EB" w:rsidRPr="00C9040A">
        <w:rPr>
          <w:rtl/>
        </w:rPr>
        <w:t xml:space="preserve"> ، وفيهما مع اختلاف وزيادة ؛ </w:t>
      </w:r>
      <w:r w:rsidR="008A74EB" w:rsidRPr="00993B55">
        <w:rPr>
          <w:rStyle w:val="libFootnoteBoldChar"/>
          <w:rtl/>
        </w:rPr>
        <w:t>وفيه</w:t>
      </w:r>
      <w:r w:rsidR="008A74EB" w:rsidRPr="00C9040A">
        <w:rPr>
          <w:rtl/>
        </w:rPr>
        <w:t xml:space="preserve"> ، ص 377 ، من قوله : « من رضي من الله بالقليل »</w:t>
      </w:r>
      <w:r w:rsidR="004850DD">
        <w:rPr>
          <w:rFonts w:hint="cs"/>
          <w:rtl/>
        </w:rPr>
        <w:t>.</w:t>
      </w:r>
      <w:r w:rsidR="008A74EB" w:rsidRPr="00993B55">
        <w:rPr>
          <w:rStyle w:val="libFootnoteBoldChar"/>
          <w:rtl/>
        </w:rPr>
        <w:t>الوافي</w:t>
      </w:r>
      <w:r w:rsidR="008A74EB" w:rsidRPr="00C9040A">
        <w:rPr>
          <w:rtl/>
        </w:rPr>
        <w:t xml:space="preserve"> ، ج 4 ، ص 405 ، ح 2203 ؛ </w:t>
      </w:r>
      <w:r w:rsidR="008A74EB" w:rsidRPr="00993B55">
        <w:rPr>
          <w:rStyle w:val="libFootnoteBoldChar"/>
          <w:rtl/>
        </w:rPr>
        <w:t>الوسائل</w:t>
      </w:r>
      <w:r w:rsidR="008A74EB" w:rsidRPr="00C9040A">
        <w:rPr>
          <w:rtl/>
        </w:rPr>
        <w:t xml:space="preserve"> ، ج 21 ، ص 531 ، ح 27777 ؛ </w:t>
      </w:r>
      <w:r w:rsidR="008A74EB" w:rsidRPr="00993B55">
        <w:rPr>
          <w:rStyle w:val="libFootnoteBoldChar"/>
          <w:rtl/>
        </w:rPr>
        <w:t>البحار</w:t>
      </w:r>
      <w:r w:rsidR="008A74EB" w:rsidRPr="00C9040A">
        <w:rPr>
          <w:rtl/>
        </w:rPr>
        <w:t xml:space="preserve"> ، ج 73 ، ص 175 ، ح 16.</w:t>
      </w:r>
    </w:p>
    <w:p w:rsidR="008A74EB" w:rsidRPr="00C9040A" w:rsidRDefault="006C577F" w:rsidP="004A4E41">
      <w:pPr>
        <w:pStyle w:val="libFootnote0"/>
        <w:rPr>
          <w:rtl/>
          <w:lang w:bidi="fa-IR"/>
        </w:rPr>
      </w:pPr>
      <w:r>
        <w:rPr>
          <w:rtl/>
        </w:rPr>
        <w:t>(9).</w:t>
      </w:r>
      <w:r w:rsidR="008A74EB" w:rsidRPr="00C9040A">
        <w:rPr>
          <w:rtl/>
        </w:rPr>
        <w:t xml:space="preserve"> </w:t>
      </w:r>
      <w:r w:rsidR="008A74EB" w:rsidRPr="00993B55">
        <w:rPr>
          <w:rStyle w:val="libFootnoteBoldChar"/>
          <w:rtl/>
        </w:rPr>
        <w:t>الوافي</w:t>
      </w:r>
      <w:r w:rsidR="008A74EB" w:rsidRPr="00C9040A">
        <w:rPr>
          <w:rtl/>
        </w:rPr>
        <w:t xml:space="preserve"> ، ج 4 ، ص 406 ، ح 2204 ؛ </w:t>
      </w:r>
      <w:r w:rsidR="008A74EB" w:rsidRPr="00993B55">
        <w:rPr>
          <w:rStyle w:val="libFootnoteBoldChar"/>
          <w:rtl/>
        </w:rPr>
        <w:t>الوسائل</w:t>
      </w:r>
      <w:r w:rsidR="008A74EB" w:rsidRPr="00C9040A">
        <w:rPr>
          <w:rtl/>
        </w:rPr>
        <w:t xml:space="preserve"> ، ج 21 ، ص 531 ، ح 27776 ؛ </w:t>
      </w:r>
      <w:r w:rsidR="008A74EB" w:rsidRPr="00993B55">
        <w:rPr>
          <w:rStyle w:val="libFootnoteBoldChar"/>
          <w:rtl/>
        </w:rPr>
        <w:t>البحار</w:t>
      </w:r>
      <w:r w:rsidR="008A74EB" w:rsidRPr="00C9040A">
        <w:rPr>
          <w:rtl/>
        </w:rPr>
        <w:t xml:space="preserve"> ، ج 73 ، ص 176 ، ح 17.</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4B2EF8">
        <w:rPr>
          <w:rtl/>
        </w:rPr>
        <w:t>1925</w:t>
      </w:r>
      <w:r w:rsidRPr="00261CB0">
        <w:rPr>
          <w:rStyle w:val="libBold2Char"/>
          <w:rtl/>
        </w:rPr>
        <w:t xml:space="preserve"> / 6.</w:t>
      </w:r>
      <w:r w:rsidRPr="00C9040A">
        <w:rPr>
          <w:rtl/>
          <w:lang w:bidi="fa-IR"/>
        </w:rPr>
        <w:t xml:space="preserve"> عَلِيُّ بْنُ إِبْرَاهِيمَ ، عَنْ أَبِيهِ ، عَنِ ابْنِ أَبِي عُمَيْرٍ ، عَنْ هِشَامِ بْنِ سَالِمٍ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كَانَ أَمِيرُ الْمُؤْمِنِينَ</w:t>
      </w:r>
      <w:r>
        <w:rPr>
          <w:rtl/>
          <w:lang w:bidi="fa-IR"/>
        </w:rPr>
        <w:t xml:space="preserve"> </w:t>
      </w:r>
      <w:r w:rsidR="0084262C">
        <w:rPr>
          <w:rtl/>
          <w:lang w:bidi="fa-IR"/>
        </w:rPr>
        <w:t>-</w:t>
      </w:r>
      <w:r>
        <w:rPr>
          <w:rtl/>
          <w:lang w:bidi="fa-IR"/>
        </w:rPr>
        <w:t xml:space="preserve"> </w:t>
      </w:r>
      <w:r w:rsidRPr="00C9040A">
        <w:rPr>
          <w:rtl/>
          <w:lang w:bidi="fa-IR"/>
        </w:rPr>
        <w:t>صَلَوَاتُ اللهِ عَلَيْهِ</w:t>
      </w:r>
      <w:r>
        <w:rPr>
          <w:rtl/>
          <w:lang w:bidi="fa-IR"/>
        </w:rPr>
        <w:t xml:space="preserve"> </w:t>
      </w:r>
      <w:r w:rsidR="0084262C">
        <w:rPr>
          <w:rtl/>
          <w:lang w:bidi="fa-IR"/>
        </w:rPr>
        <w:t>-</w:t>
      </w:r>
      <w:r>
        <w:rPr>
          <w:rtl/>
          <w:lang w:bidi="fa-IR"/>
        </w:rPr>
        <w:t xml:space="preserve"> </w:t>
      </w:r>
      <w:r w:rsidRPr="00C9040A">
        <w:rPr>
          <w:rtl/>
          <w:lang w:bidi="fa-IR"/>
        </w:rPr>
        <w:t xml:space="preserve">يَقُولُ : ابْنَ </w:t>
      </w:r>
      <w:r w:rsidR="006C577F" w:rsidRPr="006C577F">
        <w:rPr>
          <w:rStyle w:val="libFootnotenumChar"/>
          <w:rtl/>
        </w:rPr>
        <w:t>(1)</w:t>
      </w:r>
      <w:r w:rsidRPr="00C9040A">
        <w:rPr>
          <w:rtl/>
          <w:lang w:bidi="fa-IR"/>
        </w:rPr>
        <w:t xml:space="preserve"> آدَمَ ، إِنْ كُنْتَ تُرِيدُ مِنَ الدُّنْيَا مَا يَكْفِيكَ ، فَإِنَّ أَيْسَرَ مَا فِيهَا يَكْفِيكَ ؛ وَإِنْ كُنْتَ إِنَّمَا </w:t>
      </w:r>
      <w:r w:rsidR="006C577F" w:rsidRPr="006C577F">
        <w:rPr>
          <w:rStyle w:val="libFootnotenumChar"/>
          <w:rtl/>
        </w:rPr>
        <w:t>(2)</w:t>
      </w:r>
      <w:r w:rsidRPr="00C9040A">
        <w:rPr>
          <w:rtl/>
          <w:lang w:bidi="fa-IR"/>
        </w:rPr>
        <w:t xml:space="preserve"> تُرِيدُ مَا لَايَكْفِيكَ ، فَإِنَّ كُلَّ مَا فِيهَا لَايَكْفِيكَ »</w:t>
      </w:r>
      <w:r>
        <w:rPr>
          <w:rtl/>
          <w:lang w:bidi="fa-IR"/>
        </w:rPr>
        <w:t>.</w:t>
      </w:r>
      <w:r w:rsidRPr="00C9040A">
        <w:rPr>
          <w:rtl/>
          <w:lang w:bidi="fa-IR"/>
        </w:rPr>
        <w:t xml:space="preserve"> </w:t>
      </w:r>
      <w:r w:rsidR="006C577F" w:rsidRPr="006C577F">
        <w:rPr>
          <w:rStyle w:val="libFootnotenumChar"/>
          <w:rtl/>
        </w:rPr>
        <w:t>(3)</w:t>
      </w:r>
    </w:p>
    <w:p w:rsidR="008A74EB" w:rsidRPr="00C9040A" w:rsidRDefault="008A74EB" w:rsidP="008A74EB">
      <w:pPr>
        <w:pStyle w:val="libNormal"/>
        <w:rPr>
          <w:rtl/>
          <w:lang w:bidi="fa-IR"/>
        </w:rPr>
      </w:pPr>
      <w:r w:rsidRPr="004B2EF8">
        <w:rPr>
          <w:rtl/>
        </w:rPr>
        <w:t>1926</w:t>
      </w:r>
      <w:r w:rsidRPr="00261CB0">
        <w:rPr>
          <w:rStyle w:val="libBold2Char"/>
          <w:rtl/>
        </w:rPr>
        <w:t xml:space="preserve"> / 7.</w:t>
      </w:r>
      <w:r w:rsidRPr="00C9040A">
        <w:rPr>
          <w:rtl/>
          <w:lang w:bidi="fa-IR"/>
        </w:rPr>
        <w:t xml:space="preserve"> مُحَمَّدُ بْنُ يَحْيى ، عَنْ مُحَمَّدِ بْنِ الْحُسَيْنِ ، عَنْ عَبْدِ الرَّحْمنِ </w:t>
      </w:r>
      <w:r w:rsidR="006C577F" w:rsidRPr="006C577F">
        <w:rPr>
          <w:rStyle w:val="libFootnotenumChar"/>
          <w:rtl/>
        </w:rPr>
        <w:t>(4)</w:t>
      </w:r>
      <w:r w:rsidRPr="00C9040A">
        <w:rPr>
          <w:rtl/>
          <w:lang w:bidi="fa-IR"/>
        </w:rPr>
        <w:t xml:space="preserve"> بْنِ مُحَمَّدٍ الْأَسَدِيِّ ، عَنْ سَالِمِ بْنِ مُكْرَمٍ :</w:t>
      </w:r>
    </w:p>
    <w:p w:rsidR="008A74EB" w:rsidRPr="00C9040A" w:rsidRDefault="008A74EB" w:rsidP="00B03927">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اشْتَدَّتْ حَالُ رَجُلٍ مِنْ أَصْحَابِ النَّبِيِّ </w:t>
      </w:r>
      <w:r w:rsidR="004A4E41" w:rsidRPr="004A4E41">
        <w:rPr>
          <w:rStyle w:val="libAlaemChar"/>
          <w:rtl/>
        </w:rPr>
        <w:t>صلى‌الله‌عليه‌وآله</w:t>
      </w:r>
      <w:r w:rsidR="00B03927" w:rsidRPr="00C9040A">
        <w:rPr>
          <w:rtl/>
          <w:lang w:bidi="fa-IR"/>
        </w:rPr>
        <w:t xml:space="preserve"> </w:t>
      </w:r>
      <w:r w:rsidRPr="00C9040A">
        <w:rPr>
          <w:rtl/>
          <w:lang w:bidi="fa-IR"/>
        </w:rPr>
        <w:t xml:space="preserve">، فَقَالَتْ لَهُ امْرَأَتُهُ : لَوْ </w:t>
      </w:r>
      <w:r w:rsidR="006C577F" w:rsidRPr="006C577F">
        <w:rPr>
          <w:rStyle w:val="libFootnotenumChar"/>
          <w:rtl/>
        </w:rPr>
        <w:t>(5)</w:t>
      </w:r>
      <w:r w:rsidRPr="00C9040A">
        <w:rPr>
          <w:rtl/>
          <w:lang w:bidi="fa-IR"/>
        </w:rPr>
        <w:t xml:space="preserve"> أَتَيْتَ رَسُولَ اللهِ </w:t>
      </w:r>
      <w:r w:rsidR="004A4E41" w:rsidRPr="004A4E41">
        <w:rPr>
          <w:rStyle w:val="libAlaemChar"/>
          <w:rtl/>
        </w:rPr>
        <w:t>صلى‌الله‌عليه‌وآله</w:t>
      </w:r>
      <w:r w:rsidR="00B03927" w:rsidRPr="00C9040A">
        <w:rPr>
          <w:rtl/>
          <w:lang w:bidi="fa-IR"/>
        </w:rPr>
        <w:t xml:space="preserve"> </w:t>
      </w:r>
      <w:r w:rsidRPr="00C9040A">
        <w:rPr>
          <w:rtl/>
          <w:lang w:bidi="fa-IR"/>
        </w:rPr>
        <w:t xml:space="preserve">فَسَأَلْتَهُ ، فَجَاءَ إِلَى النَّبِيِّ </w:t>
      </w:r>
      <w:r w:rsidR="004A4E41" w:rsidRPr="004A4E41">
        <w:rPr>
          <w:rStyle w:val="libAlaemChar"/>
          <w:rtl/>
        </w:rPr>
        <w:t>صلى‌الله‌عليه‌وآله</w:t>
      </w:r>
      <w:r w:rsidR="00B03927" w:rsidRPr="00C9040A">
        <w:rPr>
          <w:rtl/>
          <w:lang w:bidi="fa-IR"/>
        </w:rPr>
        <w:t xml:space="preserve"> </w:t>
      </w:r>
      <w:r w:rsidRPr="00C9040A">
        <w:rPr>
          <w:rtl/>
          <w:lang w:bidi="fa-IR"/>
        </w:rPr>
        <w:t xml:space="preserve">، فَلَمَّا رَآهُ النَّبِيُّ </w:t>
      </w:r>
      <w:r w:rsidR="004A4E41" w:rsidRPr="004A4E41">
        <w:rPr>
          <w:rStyle w:val="libAlaemChar"/>
          <w:rtl/>
        </w:rPr>
        <w:t>صلى‌الله‌عليه‌وآله</w:t>
      </w:r>
      <w:r w:rsidR="00B03927" w:rsidRPr="00C9040A">
        <w:rPr>
          <w:rtl/>
          <w:lang w:bidi="fa-IR"/>
        </w:rPr>
        <w:t xml:space="preserve"> </w:t>
      </w:r>
      <w:r w:rsidRPr="00C9040A">
        <w:rPr>
          <w:rtl/>
          <w:lang w:bidi="fa-IR"/>
        </w:rPr>
        <w:t>، قَالَ :</w:t>
      </w:r>
      <w:r>
        <w:rPr>
          <w:rFonts w:hint="cs"/>
          <w:rtl/>
          <w:lang w:bidi="fa-IR"/>
        </w:rPr>
        <w:t xml:space="preserve"> </w:t>
      </w:r>
      <w:r w:rsidRPr="00C9040A">
        <w:rPr>
          <w:rtl/>
          <w:lang w:bidi="fa-IR"/>
        </w:rPr>
        <w:t xml:space="preserve">مَنْ سَأَلَنَا أَعْطَيْنَاهُ ، وَمَنِ اسْتَغْنى أَغْنَاهُ اللهُ ، فَقَالَ الرَّجُلُ : مَا يَعْنِي غَيْرِي ، فَرَجَعَ </w:t>
      </w:r>
      <w:r w:rsidR="006C577F" w:rsidRPr="006C577F">
        <w:rPr>
          <w:rStyle w:val="libFootnotenumChar"/>
          <w:rtl/>
        </w:rPr>
        <w:t>(6)</w:t>
      </w:r>
      <w:r w:rsidRPr="005B567D">
        <w:rPr>
          <w:rStyle w:val="libFootnotenumChar"/>
          <w:rtl/>
        </w:rPr>
        <w:t xml:space="preserve"> </w:t>
      </w:r>
      <w:r w:rsidRPr="00C9040A">
        <w:rPr>
          <w:rtl/>
          <w:lang w:bidi="fa-IR"/>
        </w:rPr>
        <w:t xml:space="preserve">إِلَى امْرَأَتِهِ ، فَأَعْلَمَهَا ، فَقَالَتْ </w:t>
      </w:r>
      <w:r w:rsidR="006C577F" w:rsidRPr="006C577F">
        <w:rPr>
          <w:rStyle w:val="libFootnotenumChar"/>
          <w:rtl/>
        </w:rPr>
        <w:t>(7)</w:t>
      </w:r>
      <w:r w:rsidRPr="00C9040A">
        <w:rPr>
          <w:rtl/>
          <w:lang w:bidi="fa-IR"/>
        </w:rPr>
        <w:t xml:space="preserve"> : إِنَّ رَسُولَ اللهِ </w:t>
      </w:r>
      <w:r w:rsidR="004A4E41" w:rsidRPr="004A4E41">
        <w:rPr>
          <w:rStyle w:val="libAlaemChar"/>
          <w:rtl/>
        </w:rPr>
        <w:t>صلى‌الله‌عليه‌وآله</w:t>
      </w:r>
      <w:r w:rsidR="00B03927" w:rsidRPr="00C9040A">
        <w:rPr>
          <w:rtl/>
          <w:lang w:bidi="fa-IR"/>
        </w:rPr>
        <w:t xml:space="preserve"> </w:t>
      </w:r>
      <w:r w:rsidRPr="00C9040A">
        <w:rPr>
          <w:rtl/>
          <w:lang w:bidi="fa-IR"/>
        </w:rPr>
        <w:t xml:space="preserve">بَشَرٌ ، فَأَعْلِمْهُ ، فَأَتَاهُ ، فَلَمَّا رَآهُ رَسُولُ اللهِ </w:t>
      </w:r>
      <w:r w:rsidR="004A4E41" w:rsidRPr="004A4E41">
        <w:rPr>
          <w:rStyle w:val="libAlaemChar"/>
          <w:rtl/>
        </w:rPr>
        <w:t>صلى‌الله‌عليه‌وآله</w:t>
      </w:r>
      <w:r w:rsidR="00B03927" w:rsidRPr="00C9040A">
        <w:rPr>
          <w:rtl/>
          <w:lang w:bidi="fa-IR"/>
        </w:rPr>
        <w:t xml:space="preserve"> </w:t>
      </w:r>
      <w:r w:rsidRPr="00C9040A">
        <w:rPr>
          <w:rtl/>
          <w:lang w:bidi="fa-IR"/>
        </w:rPr>
        <w:t xml:space="preserve">، قَالَ : مَنْ سَأَلَنَا أَعْطَيْنَاهُ ، وَمَنِ اسْتَغْنى أَغْنَاهُ اللهُ ، حَتّى فَعَلَ الرَّجُلُ ذلِكَ ثَلَاثاً ، ثُمَّ ذَهَبَ الرَّجُلُ ، فَاسْتَعَارَ مِعْوَلاً </w:t>
      </w:r>
      <w:r w:rsidR="006C577F" w:rsidRPr="006C577F">
        <w:rPr>
          <w:rStyle w:val="libFootnotenumChar"/>
          <w:rtl/>
        </w:rPr>
        <w:t>(8)</w:t>
      </w:r>
      <w:r w:rsidRPr="00C9040A">
        <w:rPr>
          <w:rtl/>
          <w:lang w:bidi="fa-IR"/>
        </w:rPr>
        <w:t xml:space="preserve"> ، ثُمَّ أَتَى الْجَبَلَ ، فَصَعِدَهُ فَقَطَعَ حَطَباً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ص ، ف ، بر ، بف » والوافي : « يا ابن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ف » ومرآة العقول والوسائل </w:t>
      </w:r>
      <w:r w:rsidR="008A74EB">
        <w:rPr>
          <w:rtl/>
        </w:rPr>
        <w:t xml:space="preserve">: </w:t>
      </w:r>
      <w:r w:rsidR="0084262C">
        <w:rPr>
          <w:rtl/>
        </w:rPr>
        <w:t>-</w:t>
      </w:r>
      <w:r w:rsidR="008A74EB" w:rsidRPr="00C9040A">
        <w:rPr>
          <w:rtl/>
        </w:rPr>
        <w:t xml:space="preserve"> « إنّما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w:t>
      </w:r>
      <w:r w:rsidR="008A74EB" w:rsidRPr="00993B55">
        <w:rPr>
          <w:rStyle w:val="libFootnoteBoldChar"/>
          <w:rtl/>
        </w:rPr>
        <w:t>الوافي</w:t>
      </w:r>
      <w:r w:rsidR="008A74EB" w:rsidRPr="00C9040A">
        <w:rPr>
          <w:rtl/>
        </w:rPr>
        <w:t xml:space="preserve"> ، ج 4 ، ص 406 ، ح 2205 ؛ </w:t>
      </w:r>
      <w:r w:rsidR="008A74EB" w:rsidRPr="00993B55">
        <w:rPr>
          <w:rStyle w:val="libFootnoteBoldChar"/>
          <w:rtl/>
        </w:rPr>
        <w:t>الوسائل</w:t>
      </w:r>
      <w:r w:rsidR="008A74EB" w:rsidRPr="00C9040A">
        <w:rPr>
          <w:rtl/>
        </w:rPr>
        <w:t xml:space="preserve"> ، ج 21 ، ص 531 ، ح 27775 ؛ </w:t>
      </w:r>
      <w:r w:rsidR="008A74EB" w:rsidRPr="00993B55">
        <w:rPr>
          <w:rStyle w:val="libFootnoteBoldChar"/>
          <w:rtl/>
        </w:rPr>
        <w:t>البحار</w:t>
      </w:r>
      <w:r w:rsidR="008A74EB" w:rsidRPr="00C9040A">
        <w:rPr>
          <w:rtl/>
        </w:rPr>
        <w:t xml:space="preserve"> ، ج 73 ، ص 176 ، ح 18.</w:t>
      </w:r>
    </w:p>
    <w:p w:rsidR="008A74EB" w:rsidRPr="00C9040A" w:rsidRDefault="006C577F" w:rsidP="004A4E41">
      <w:pPr>
        <w:pStyle w:val="libFootnote0"/>
        <w:rPr>
          <w:rtl/>
          <w:lang w:bidi="fa-IR"/>
        </w:rPr>
      </w:pPr>
      <w:r>
        <w:rPr>
          <w:rtl/>
        </w:rPr>
        <w:t>(4).</w:t>
      </w:r>
      <w:r w:rsidR="008A74EB" w:rsidRPr="00C9040A">
        <w:rPr>
          <w:rtl/>
        </w:rPr>
        <w:t xml:space="preserve"> في « ض » : « عبد الله »</w:t>
      </w:r>
      <w:r w:rsidR="008A74EB">
        <w:rPr>
          <w:rtl/>
        </w:rPr>
        <w:t>.</w:t>
      </w:r>
      <w:r w:rsidR="008A74EB" w:rsidRPr="00C9040A">
        <w:rPr>
          <w:rtl/>
        </w:rPr>
        <w:t xml:space="preserve"> وربّما يتوهّم كونه عبد الله بن محمّد الحجّال الأسدي الذي روى عنه محمّد بن الحسين‌بعناوينه المختلفة. لكنّ الظاهر عدم صحّة هذه النسخة ، وعبد الرحمن هذا ، هو عبد الرحمن بن محمّد بن أبي هاشم ، الذي روى محمّد بن الحسين عنه بعنوان عبد الرحمن بن أبي هاشم البزّاز كتاب سالم بن مكرم. راجع : </w:t>
      </w:r>
      <w:r w:rsidR="008A74EB" w:rsidRPr="00993B55">
        <w:rPr>
          <w:rStyle w:val="libFootnoteBoldChar"/>
          <w:rtl/>
        </w:rPr>
        <w:t>رجال النجاشي</w:t>
      </w:r>
      <w:r w:rsidR="008A74EB" w:rsidRPr="00C9040A">
        <w:rPr>
          <w:rtl/>
        </w:rPr>
        <w:t xml:space="preserve"> ، ص 236 ، الرقم 623 ؛ </w:t>
      </w:r>
      <w:r w:rsidR="008A74EB" w:rsidRPr="0034021D">
        <w:rPr>
          <w:rStyle w:val="libFootnoteBoldChar"/>
          <w:rtl/>
        </w:rPr>
        <w:t>الفهرست للطوسي</w:t>
      </w:r>
      <w:r w:rsidR="008A74EB" w:rsidRPr="00C9040A">
        <w:rPr>
          <w:rtl/>
        </w:rPr>
        <w:t xml:space="preserve"> ، ص 226 ، الرقم 337.</w:t>
      </w:r>
    </w:p>
    <w:p w:rsidR="008A74EB" w:rsidRPr="004A4E41" w:rsidRDefault="008A74EB" w:rsidP="004A4E41">
      <w:pPr>
        <w:pStyle w:val="libFootnote0"/>
        <w:rPr>
          <w:rStyle w:val="libFootnote0Char"/>
          <w:rtl/>
        </w:rPr>
      </w:pPr>
      <w:r w:rsidRPr="00323A39">
        <w:rPr>
          <w:rtl/>
        </w:rPr>
        <w:t xml:space="preserve">يؤيّد ذلك مضافاً إلى عدم ثبوت رواية الحجّال </w:t>
      </w:r>
      <w:r w:rsidR="0084262C" w:rsidRPr="00323A39">
        <w:rPr>
          <w:rtl/>
        </w:rPr>
        <w:t>-</w:t>
      </w:r>
      <w:r w:rsidRPr="00323A39">
        <w:rPr>
          <w:rtl/>
        </w:rPr>
        <w:t xml:space="preserve"> بعناوينه المختلفة </w:t>
      </w:r>
      <w:r w:rsidR="0084262C" w:rsidRPr="00323A39">
        <w:rPr>
          <w:rtl/>
        </w:rPr>
        <w:t>-</w:t>
      </w:r>
      <w:r w:rsidRPr="00323A39">
        <w:rPr>
          <w:rtl/>
        </w:rPr>
        <w:t xml:space="preserve"> عن سالم بن مكرم </w:t>
      </w:r>
      <w:r w:rsidR="0084262C" w:rsidRPr="00323A39">
        <w:rPr>
          <w:rtl/>
        </w:rPr>
        <w:t>-</w:t>
      </w:r>
      <w:r w:rsidRPr="00323A39">
        <w:rPr>
          <w:rtl/>
        </w:rPr>
        <w:t xml:space="preserve"> بعناوينه المختلفة </w:t>
      </w:r>
      <w:r w:rsidR="0084262C" w:rsidRPr="00323A39">
        <w:rPr>
          <w:rtl/>
        </w:rPr>
        <w:t>-</w:t>
      </w:r>
      <w:r w:rsidRPr="00323A39">
        <w:rPr>
          <w:rtl/>
        </w:rPr>
        <w:t xml:space="preserve"> في موضع ، ما ورد في </w:t>
      </w:r>
      <w:r w:rsidRPr="00993B55">
        <w:rPr>
          <w:rStyle w:val="libFootnoteBoldChar"/>
          <w:rtl/>
        </w:rPr>
        <w:t>الكافي</w:t>
      </w:r>
      <w:r w:rsidRPr="00323A39">
        <w:rPr>
          <w:rtl/>
        </w:rPr>
        <w:t xml:space="preserve"> ، ح 8321 من رواية محمّد بن يحيى ، عن محمّد بن الحسين ، عن عبد الرحمن بن محمّد ، عن أبي خديجة. وأبو خديجة كنية سالم بن مكرم.</w:t>
      </w:r>
    </w:p>
    <w:tbl>
      <w:tblPr>
        <w:tblStyle w:val="TableGrid"/>
        <w:bidiVisual/>
        <w:tblW w:w="0" w:type="auto"/>
        <w:tblLook w:val="04A0" w:firstRow="1" w:lastRow="0" w:firstColumn="1" w:lastColumn="0" w:noHBand="0" w:noVBand="1"/>
      </w:tblPr>
      <w:tblGrid>
        <w:gridCol w:w="4006"/>
        <w:gridCol w:w="4006"/>
      </w:tblGrid>
      <w:tr w:rsidR="00B03927" w:rsidTr="00B03927">
        <w:tc>
          <w:tcPr>
            <w:tcW w:w="4006" w:type="dxa"/>
          </w:tcPr>
          <w:p w:rsidR="00B03927" w:rsidRDefault="00B03927" w:rsidP="004A4E41">
            <w:pPr>
              <w:pStyle w:val="libFootnote0"/>
              <w:rPr>
                <w:rtl/>
              </w:rPr>
            </w:pPr>
            <w:r>
              <w:rPr>
                <w:rtl/>
              </w:rPr>
              <w:t>(5).</w:t>
            </w:r>
            <w:r w:rsidRPr="00C9040A">
              <w:rPr>
                <w:rtl/>
              </w:rPr>
              <w:t xml:space="preserve"> « لو » للتمنّي.</w:t>
            </w:r>
          </w:p>
        </w:tc>
        <w:tc>
          <w:tcPr>
            <w:tcW w:w="4006" w:type="dxa"/>
          </w:tcPr>
          <w:p w:rsidR="00B03927" w:rsidRDefault="00B03927" w:rsidP="004A4E41">
            <w:pPr>
              <w:pStyle w:val="libFootnote0"/>
              <w:rPr>
                <w:rtl/>
              </w:rPr>
            </w:pPr>
            <w:r>
              <w:rPr>
                <w:rtl/>
              </w:rPr>
              <w:t xml:space="preserve">(6). </w:t>
            </w:r>
            <w:r w:rsidRPr="00C9040A">
              <w:rPr>
                <w:rtl/>
              </w:rPr>
              <w:t>في«ب»:+«الرجل»</w:t>
            </w:r>
            <w:r>
              <w:rPr>
                <w:rtl/>
              </w:rPr>
              <w:t>.</w:t>
            </w:r>
            <w:r w:rsidRPr="00C9040A">
              <w:rPr>
                <w:rtl/>
              </w:rPr>
              <w:t>وفي«ز»:«فراح»</w:t>
            </w:r>
            <w:r>
              <w:rPr>
                <w:rtl/>
              </w:rPr>
              <w:t>.</w:t>
            </w:r>
          </w:p>
        </w:tc>
      </w:tr>
      <w:tr w:rsidR="00B03927" w:rsidTr="00B03927">
        <w:tc>
          <w:tcPr>
            <w:tcW w:w="4006" w:type="dxa"/>
          </w:tcPr>
          <w:p w:rsidR="00B03927" w:rsidRDefault="00B03927" w:rsidP="004A4E41">
            <w:pPr>
              <w:pStyle w:val="libFootnote0"/>
              <w:rPr>
                <w:rtl/>
              </w:rPr>
            </w:pPr>
            <w:r>
              <w:rPr>
                <w:rtl/>
              </w:rPr>
              <w:t>(7).</w:t>
            </w:r>
            <w:r w:rsidRPr="00C9040A">
              <w:rPr>
                <w:rtl/>
              </w:rPr>
              <w:t xml:space="preserve"> في « ض » : + « امرأته »</w:t>
            </w:r>
            <w:r>
              <w:rPr>
                <w:rtl/>
              </w:rPr>
              <w:t>.</w:t>
            </w:r>
          </w:p>
        </w:tc>
        <w:tc>
          <w:tcPr>
            <w:tcW w:w="4006" w:type="dxa"/>
          </w:tcPr>
          <w:p w:rsidR="00B03927" w:rsidRDefault="00B03927" w:rsidP="004A4E41">
            <w:pPr>
              <w:pStyle w:val="libFootnote0"/>
              <w:rPr>
                <w:rtl/>
              </w:rPr>
            </w:pPr>
            <w:r>
              <w:rPr>
                <w:rtl/>
              </w:rPr>
              <w:t>(8).</w:t>
            </w:r>
            <w:r w:rsidRPr="00C9040A">
              <w:rPr>
                <w:rtl/>
              </w:rPr>
              <w:t xml:space="preserve"> « المِعْوَل » : حديدة ينقربها الجبال.</w:t>
            </w:r>
          </w:p>
        </w:tc>
      </w:tr>
    </w:tbl>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ثُمَّ جَاءَ بِهِ ، فَبَاعَهُ بِنِصْفِ مُدٍّ </w:t>
      </w:r>
      <w:r w:rsidR="006C577F" w:rsidRPr="006C577F">
        <w:rPr>
          <w:rStyle w:val="libFootnotenumChar"/>
          <w:rtl/>
        </w:rPr>
        <w:t>(1)</w:t>
      </w:r>
      <w:r w:rsidRPr="00C9040A">
        <w:rPr>
          <w:rtl/>
          <w:lang w:bidi="fa-IR"/>
        </w:rPr>
        <w:t xml:space="preserve"> مِنْ دَقِيقٍ ، فَرَجَعَ بِهِ ، فَأَكَلَهُ ، ثُمَّ ذَهَبَ مِنَ الْغَدِ ، فَجَاءَ بِأَكْثَرَ مِنْ ذلِكَ ، فَبَاعَهُ ، فَلَمْ يَزَلْ يَعْمَلُ وَيَجْمَعُ حَتَّى اشْتَرى مِعْوَلاً ، ثُمَّ جَمَعَ حَتَّى اشْتَرى بَكْرَيْنِ </w:t>
      </w:r>
      <w:r w:rsidR="006C577F" w:rsidRPr="006C577F">
        <w:rPr>
          <w:rStyle w:val="libFootnotenumChar"/>
          <w:rtl/>
        </w:rPr>
        <w:t>(2)</w:t>
      </w:r>
      <w:r w:rsidRPr="00C9040A">
        <w:rPr>
          <w:rtl/>
          <w:lang w:bidi="fa-IR"/>
        </w:rPr>
        <w:t xml:space="preserve"> وَغُلَاماً ، ثُمَّ أَثْرى </w:t>
      </w:r>
      <w:r w:rsidR="006C577F" w:rsidRPr="006C577F">
        <w:rPr>
          <w:rStyle w:val="libFootnotenumChar"/>
          <w:rtl/>
        </w:rPr>
        <w:t>(3)</w:t>
      </w:r>
      <w:r w:rsidRPr="00C9040A">
        <w:rPr>
          <w:rtl/>
          <w:lang w:bidi="fa-IR"/>
        </w:rPr>
        <w:t xml:space="preserve"> حَتّى أَيْسَرَ ، فَجَاءَ إِلَى </w:t>
      </w:r>
      <w:r w:rsidR="006C577F" w:rsidRPr="006C577F">
        <w:rPr>
          <w:rStyle w:val="libFootnotenumChar"/>
          <w:rtl/>
        </w:rPr>
        <w:t>(4)</w:t>
      </w:r>
      <w:r w:rsidRPr="00C9040A">
        <w:rPr>
          <w:rtl/>
          <w:lang w:bidi="fa-IR"/>
        </w:rPr>
        <w:t xml:space="preserve"> النَّبِيِّ </w:t>
      </w:r>
      <w:r w:rsidR="004A4E41" w:rsidRPr="004A4E41">
        <w:rPr>
          <w:rStyle w:val="libAlaemChar"/>
          <w:rtl/>
        </w:rPr>
        <w:t>صلى‌الله‌عليه‌وآله</w:t>
      </w:r>
      <w:r w:rsidRPr="00C9040A">
        <w:rPr>
          <w:rtl/>
          <w:lang w:bidi="fa-IR"/>
        </w:rPr>
        <w:t xml:space="preserve"> ، فَأَعْلَمَهُ كَيْفَ جَاءَ يَسْأَلُهُ </w:t>
      </w:r>
      <w:r w:rsidR="006C577F" w:rsidRPr="006C577F">
        <w:rPr>
          <w:rStyle w:val="libFootnotenumChar"/>
          <w:rtl/>
        </w:rPr>
        <w:t>(5)</w:t>
      </w:r>
      <w:r w:rsidRPr="00C9040A">
        <w:rPr>
          <w:rtl/>
          <w:lang w:bidi="fa-IR"/>
        </w:rPr>
        <w:t xml:space="preserve"> ، وَكَيْفَ سَمِعَ النَّبِيَّ </w:t>
      </w:r>
      <w:r w:rsidR="004A4E41" w:rsidRPr="004A4E41">
        <w:rPr>
          <w:rStyle w:val="libAlaemChar"/>
          <w:rtl/>
        </w:rPr>
        <w:t>صلى‌الله‌عليه‌وآله</w:t>
      </w:r>
      <w:r w:rsidRPr="00C9040A">
        <w:rPr>
          <w:rtl/>
          <w:lang w:bidi="fa-IR"/>
        </w:rPr>
        <w:t xml:space="preserve"> ، فَقَالَ النَّبِيُّ </w:t>
      </w:r>
      <w:r w:rsidR="004A4E41" w:rsidRPr="004A4E41">
        <w:rPr>
          <w:rStyle w:val="libAlaemChar"/>
          <w:rtl/>
        </w:rPr>
        <w:t>صلى‌الله‌عليه‌وآله</w:t>
      </w:r>
      <w:r w:rsidRPr="00C9040A">
        <w:rPr>
          <w:rtl/>
          <w:lang w:bidi="fa-IR"/>
        </w:rPr>
        <w:t xml:space="preserve"> : قُلْتُ لَكَ : مَنْ سَأَلَنَا أَعْطَيْنَاهُ ، وَمَنِ اسْتَغْنى أَغْنَاهُ اللهُ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Normal"/>
        <w:rPr>
          <w:rtl/>
          <w:lang w:bidi="fa-IR"/>
        </w:rPr>
      </w:pPr>
      <w:r w:rsidRPr="004B2EF8">
        <w:rPr>
          <w:rtl/>
        </w:rPr>
        <w:t>1927</w:t>
      </w:r>
      <w:r w:rsidRPr="00261CB0">
        <w:rPr>
          <w:rStyle w:val="libBold2Char"/>
          <w:rtl/>
        </w:rPr>
        <w:t xml:space="preserve"> / 8.</w:t>
      </w:r>
      <w:r w:rsidRPr="00C9040A">
        <w:rPr>
          <w:rtl/>
          <w:lang w:bidi="fa-IR"/>
        </w:rPr>
        <w:t xml:space="preserve"> عِدَّةٌ مِنْ أَصْحَابِنَا ، عَنْ أَحْمَدَ بْنِ مُحَمَّدِ بْنِ خَالِدٍ ، عَنْ عَلِيِّ بْنِ الْحَكَمِ ، عَنِ الْحُسَيْنِ بْنِ الْفُرَاتِ ، عَنْ عَمْرِو بْنِ شِمْرٍ ، عَنْ جَابِرٍ :</w:t>
      </w:r>
    </w:p>
    <w:p w:rsidR="008A74EB" w:rsidRPr="00C9040A" w:rsidRDefault="008A74EB" w:rsidP="008A74EB">
      <w:pPr>
        <w:pStyle w:val="libNormal"/>
        <w:rPr>
          <w:rtl/>
          <w:lang w:bidi="fa-IR"/>
        </w:rPr>
      </w:pPr>
      <w:r w:rsidRPr="00C9040A">
        <w:rPr>
          <w:rtl/>
          <w:lang w:bidi="fa-IR"/>
        </w:rPr>
        <w:t xml:space="preserve">عَنْ أَبِي جَعْفَرٍ </w:t>
      </w:r>
      <w:r w:rsidR="006C577F" w:rsidRPr="006C577F">
        <w:rPr>
          <w:rStyle w:val="libFootnotenumChar"/>
          <w:rtl/>
        </w:rPr>
        <w:t>(7)</w:t>
      </w:r>
      <w:r w:rsidRPr="00C9040A">
        <w:rPr>
          <w:rtl/>
          <w:lang w:bidi="fa-IR"/>
        </w:rPr>
        <w:t xml:space="preserve">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مَنْ أَرَادَ أَنْ يَكُونَ أَغْنَى النَّاسِ ، فَلْيَكُنْ بِمَا فِي يَدِ </w:t>
      </w:r>
      <w:r w:rsidR="006C577F" w:rsidRPr="006C577F">
        <w:rPr>
          <w:rStyle w:val="libFootnotenumChar"/>
          <w:rtl/>
        </w:rPr>
        <w:t>(8)</w:t>
      </w:r>
      <w:r w:rsidRPr="00C9040A">
        <w:rPr>
          <w:rtl/>
          <w:lang w:bidi="fa-IR"/>
        </w:rPr>
        <w:t xml:space="preserve"> اللهِ أَوْثَقَ مِنْهُ بِمَا فِي يَدِ </w:t>
      </w:r>
      <w:r w:rsidR="006C577F" w:rsidRPr="006C577F">
        <w:rPr>
          <w:rStyle w:val="libFootnotenumChar"/>
          <w:rtl/>
        </w:rPr>
        <w:t>(9)</w:t>
      </w:r>
      <w:r w:rsidRPr="00C9040A">
        <w:rPr>
          <w:rtl/>
          <w:lang w:bidi="fa-IR"/>
        </w:rPr>
        <w:t xml:space="preserve"> غَيْرِهِ »</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Normal"/>
        <w:rPr>
          <w:rtl/>
          <w:lang w:bidi="fa-IR"/>
        </w:rPr>
      </w:pPr>
      <w:r w:rsidRPr="004B2EF8">
        <w:rPr>
          <w:rtl/>
        </w:rPr>
        <w:t>1928</w:t>
      </w:r>
      <w:r w:rsidRPr="00261CB0">
        <w:rPr>
          <w:rStyle w:val="libBold2Char"/>
          <w:rtl/>
        </w:rPr>
        <w:t xml:space="preserve"> / 9.</w:t>
      </w:r>
      <w:r w:rsidRPr="00C9040A">
        <w:rPr>
          <w:rtl/>
          <w:lang w:bidi="fa-IR"/>
        </w:rPr>
        <w:t xml:space="preserve"> عَنْهُ </w:t>
      </w:r>
      <w:r w:rsidR="006C577F" w:rsidRPr="006C577F">
        <w:rPr>
          <w:rStyle w:val="libFootnotenumChar"/>
          <w:rtl/>
        </w:rPr>
        <w:t>(11)</w:t>
      </w:r>
      <w:r w:rsidRPr="00C9040A">
        <w:rPr>
          <w:rtl/>
          <w:lang w:bidi="fa-IR"/>
        </w:rPr>
        <w:t xml:space="preserve"> ، عَنِ ابْنِ فَضَّالٍ ، عَنْ عَاصِمِ بْنِ حُمَيْدٍ ، عَنْ أَبِي حَمْزَةَ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ب » : « منّ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البَكر » : الفتيّ من الإبل. والا</w:t>
      </w:r>
      <w:r w:rsidR="00B03927">
        <w:rPr>
          <w:rFonts w:hint="cs"/>
          <w:rtl/>
        </w:rPr>
        <w:t>ُ</w:t>
      </w:r>
      <w:r w:rsidR="008A74EB" w:rsidRPr="00C9040A">
        <w:rPr>
          <w:rtl/>
        </w:rPr>
        <w:t xml:space="preserve">نثى : بَكرة. والجمع : بِكار. </w:t>
      </w:r>
      <w:r w:rsidR="008A74EB" w:rsidRPr="00993B55">
        <w:rPr>
          <w:rStyle w:val="libFootnoteBoldChar"/>
          <w:rtl/>
        </w:rPr>
        <w:t>الصحاح</w:t>
      </w:r>
      <w:r w:rsidR="008A74EB" w:rsidRPr="00C9040A">
        <w:rPr>
          <w:rtl/>
        </w:rPr>
        <w:t xml:space="preserve"> ، ج 2 ، ص 595 ( بكر )</w:t>
      </w:r>
      <w:r w:rsidR="008A74EB">
        <w:rPr>
          <w:rtl/>
        </w:rPr>
        <w:t>.</w:t>
      </w:r>
    </w:p>
    <w:p w:rsidR="008A74EB" w:rsidRPr="004A4E41" w:rsidRDefault="006C577F" w:rsidP="004A4E41">
      <w:pPr>
        <w:pStyle w:val="libFootnote0"/>
        <w:rPr>
          <w:rStyle w:val="libFootnote0Char"/>
          <w:rtl/>
        </w:rPr>
      </w:pPr>
      <w:r>
        <w:rPr>
          <w:rtl/>
        </w:rPr>
        <w:t>(3).</w:t>
      </w:r>
      <w:r w:rsidR="008A74EB" w:rsidRPr="00C9040A">
        <w:rPr>
          <w:rtl/>
        </w:rPr>
        <w:t xml:space="preserve"> « أثرى » من الثروة ، أي كثر ماله. </w:t>
      </w:r>
      <w:r w:rsidR="008A74EB" w:rsidRPr="00993B55">
        <w:rPr>
          <w:rStyle w:val="libFootnoteBoldChar"/>
          <w:rtl/>
        </w:rPr>
        <w:t>لسان العرب</w:t>
      </w:r>
      <w:r w:rsidR="008A74EB" w:rsidRPr="00C9040A">
        <w:rPr>
          <w:rtl/>
        </w:rPr>
        <w:t xml:space="preserve"> ، ج 14 ، ص 111 ( ثرا )</w:t>
      </w:r>
      <w:r w:rsidR="008A74EB">
        <w:rPr>
          <w:rtl/>
        </w:rPr>
        <w:t>.</w:t>
      </w:r>
    </w:p>
    <w:tbl>
      <w:tblPr>
        <w:tblStyle w:val="TableGrid"/>
        <w:bidiVisual/>
        <w:tblW w:w="0" w:type="auto"/>
        <w:tblLook w:val="04A0" w:firstRow="1" w:lastRow="0" w:firstColumn="1" w:lastColumn="0" w:noHBand="0" w:noVBand="1"/>
      </w:tblPr>
      <w:tblGrid>
        <w:gridCol w:w="4006"/>
        <w:gridCol w:w="4006"/>
      </w:tblGrid>
      <w:tr w:rsidR="00B03927" w:rsidTr="00B03927">
        <w:tc>
          <w:tcPr>
            <w:tcW w:w="4006" w:type="dxa"/>
          </w:tcPr>
          <w:p w:rsidR="00B03927" w:rsidRDefault="00B03927" w:rsidP="004A4E41">
            <w:pPr>
              <w:pStyle w:val="libFootnote0"/>
              <w:rPr>
                <w:rtl/>
              </w:rPr>
            </w:pPr>
            <w:r>
              <w:rPr>
                <w:rtl/>
              </w:rPr>
              <w:t>(4).</w:t>
            </w:r>
            <w:r w:rsidRPr="00C9040A">
              <w:rPr>
                <w:rtl/>
              </w:rPr>
              <w:t xml:space="preserve"> في « ب » </w:t>
            </w:r>
            <w:r>
              <w:rPr>
                <w:rtl/>
              </w:rPr>
              <w:t>: -</w:t>
            </w:r>
            <w:r w:rsidRPr="00C9040A">
              <w:rPr>
                <w:rtl/>
              </w:rPr>
              <w:t xml:space="preserve"> « إلى »</w:t>
            </w:r>
            <w:r>
              <w:rPr>
                <w:rtl/>
              </w:rPr>
              <w:t>.</w:t>
            </w:r>
          </w:p>
        </w:tc>
        <w:tc>
          <w:tcPr>
            <w:tcW w:w="4006" w:type="dxa"/>
          </w:tcPr>
          <w:p w:rsidR="00B03927" w:rsidRDefault="00B03927" w:rsidP="004A4E41">
            <w:pPr>
              <w:pStyle w:val="libFootnote0"/>
              <w:rPr>
                <w:rtl/>
              </w:rPr>
            </w:pPr>
            <w:r>
              <w:rPr>
                <w:rtl/>
              </w:rPr>
              <w:t>(5).</w:t>
            </w:r>
            <w:r w:rsidRPr="00C9040A">
              <w:rPr>
                <w:rtl/>
              </w:rPr>
              <w:t xml:space="preserve"> في « ف » </w:t>
            </w:r>
            <w:r>
              <w:rPr>
                <w:rtl/>
              </w:rPr>
              <w:t>: -</w:t>
            </w:r>
            <w:r w:rsidRPr="00C9040A">
              <w:rPr>
                <w:rtl/>
              </w:rPr>
              <w:t xml:space="preserve"> « يسأله »</w:t>
            </w:r>
            <w:r>
              <w:rPr>
                <w:rtl/>
              </w:rPr>
              <w:t>.</w:t>
            </w:r>
          </w:p>
        </w:tc>
      </w:tr>
    </w:tbl>
    <w:p w:rsidR="008A74EB" w:rsidRPr="004A4E41" w:rsidRDefault="006C577F" w:rsidP="004A4E41">
      <w:pPr>
        <w:pStyle w:val="libFootnote0"/>
        <w:rPr>
          <w:rStyle w:val="libFootnote0Char"/>
          <w:rtl/>
        </w:rPr>
      </w:pPr>
      <w:r>
        <w:rPr>
          <w:rtl/>
        </w:rPr>
        <w:t>(6).</w:t>
      </w:r>
      <w:r w:rsidR="008A74EB">
        <w:rPr>
          <w:rtl/>
        </w:rPr>
        <w:t xml:space="preserve"> </w:t>
      </w:r>
      <w:r w:rsidR="008A74EB" w:rsidRPr="00993B55">
        <w:rPr>
          <w:rStyle w:val="libFootnoteBoldChar"/>
          <w:rtl/>
        </w:rPr>
        <w:t>فقه الرضا</w:t>
      </w:r>
      <w:r w:rsidR="008A74EB" w:rsidRPr="00C9040A">
        <w:rPr>
          <w:rtl/>
        </w:rPr>
        <w:t xml:space="preserve"> </w:t>
      </w:r>
      <w:r w:rsidR="00117575" w:rsidRPr="00117575">
        <w:rPr>
          <w:rStyle w:val="libFootnoteAlaemChar"/>
          <w:rtl/>
        </w:rPr>
        <w:t>عليه‌السلام</w:t>
      </w:r>
      <w:r w:rsidR="008A74EB" w:rsidRPr="00C9040A">
        <w:rPr>
          <w:rtl/>
        </w:rPr>
        <w:t xml:space="preserve"> ، ص 365 ، مع اختلاف يسير </w:t>
      </w:r>
      <w:r w:rsidR="00E96C86">
        <w:rPr>
          <w:rFonts w:hint="cs"/>
          <w:rtl/>
        </w:rPr>
        <w:t>.</w:t>
      </w:r>
      <w:r w:rsidR="008A74EB" w:rsidRPr="00993B55">
        <w:rPr>
          <w:rStyle w:val="libFootnoteBoldChar"/>
          <w:rtl/>
        </w:rPr>
        <w:t>الوافي</w:t>
      </w:r>
      <w:r w:rsidR="008A74EB" w:rsidRPr="00C9040A">
        <w:rPr>
          <w:rtl/>
        </w:rPr>
        <w:t xml:space="preserve"> ، ج 4 ، ص 409 ، ح 2210 ؛ </w:t>
      </w:r>
      <w:r w:rsidR="008A74EB" w:rsidRPr="00993B55">
        <w:rPr>
          <w:rStyle w:val="libFootnoteBoldChar"/>
          <w:rtl/>
        </w:rPr>
        <w:t>البحار</w:t>
      </w:r>
      <w:r w:rsidR="008A74EB" w:rsidRPr="00C9040A">
        <w:rPr>
          <w:rtl/>
        </w:rPr>
        <w:t xml:space="preserve"> ، ج 22 ، ص 128 ، ح 102 ؛ وج 73 ، ص 177 ، ح 19.</w:t>
      </w:r>
      <w:r w:rsidR="00BC4567">
        <w:rPr>
          <w:rFonts w:hint="cs"/>
          <w:rtl/>
        </w:rPr>
        <w:t xml:space="preserve">    </w:t>
      </w:r>
      <w:r>
        <w:rPr>
          <w:rtl/>
        </w:rPr>
        <w:t>(7).</w:t>
      </w:r>
      <w:r w:rsidR="008A74EB" w:rsidRPr="00C9040A">
        <w:rPr>
          <w:rtl/>
        </w:rPr>
        <w:t xml:space="preserve"> في « ب » : « أبي عبد الله »</w:t>
      </w:r>
      <w:r w:rsidR="008A74EB">
        <w:rPr>
          <w:rtl/>
        </w:rPr>
        <w:t>.</w:t>
      </w:r>
    </w:p>
    <w:tbl>
      <w:tblPr>
        <w:tblStyle w:val="TableGrid"/>
        <w:bidiVisual/>
        <w:tblW w:w="0" w:type="auto"/>
        <w:tblLook w:val="04A0" w:firstRow="1" w:lastRow="0" w:firstColumn="1" w:lastColumn="0" w:noHBand="0" w:noVBand="1"/>
      </w:tblPr>
      <w:tblGrid>
        <w:gridCol w:w="4006"/>
        <w:gridCol w:w="4006"/>
      </w:tblGrid>
      <w:tr w:rsidR="00BC4567" w:rsidTr="00BC4567">
        <w:tc>
          <w:tcPr>
            <w:tcW w:w="4006" w:type="dxa"/>
          </w:tcPr>
          <w:p w:rsidR="00BC4567" w:rsidRDefault="00BC4567" w:rsidP="004A4E41">
            <w:pPr>
              <w:pStyle w:val="libFootnote0"/>
              <w:rPr>
                <w:rtl/>
              </w:rPr>
            </w:pPr>
            <w:r>
              <w:rPr>
                <w:rtl/>
              </w:rPr>
              <w:t>(8).</w:t>
            </w:r>
            <w:r w:rsidRPr="00C9040A">
              <w:rPr>
                <w:rtl/>
              </w:rPr>
              <w:t xml:space="preserve"> في«ز، ص ض،ف»:«</w:t>
            </w:r>
            <w:r>
              <w:rPr>
                <w:rtl/>
              </w:rPr>
              <w:t>يدي</w:t>
            </w:r>
            <w:r w:rsidRPr="00C9040A">
              <w:rPr>
                <w:rtl/>
              </w:rPr>
              <w:t>»</w:t>
            </w:r>
            <w:r>
              <w:rPr>
                <w:rtl/>
              </w:rPr>
              <w:t>.</w:t>
            </w:r>
          </w:p>
        </w:tc>
        <w:tc>
          <w:tcPr>
            <w:tcW w:w="4006" w:type="dxa"/>
          </w:tcPr>
          <w:p w:rsidR="00BC4567" w:rsidRDefault="00BC4567" w:rsidP="004A4E41">
            <w:pPr>
              <w:pStyle w:val="libFootnote0"/>
              <w:rPr>
                <w:rtl/>
              </w:rPr>
            </w:pPr>
            <w:r>
              <w:rPr>
                <w:rtl/>
              </w:rPr>
              <w:t>(9).</w:t>
            </w:r>
            <w:r w:rsidRPr="00C9040A">
              <w:rPr>
                <w:rtl/>
              </w:rPr>
              <w:t xml:space="preserve"> في « ف ، بر » : « يدي »</w:t>
            </w:r>
            <w:r>
              <w:rPr>
                <w:rtl/>
              </w:rPr>
              <w:t>.</w:t>
            </w:r>
          </w:p>
        </w:tc>
      </w:tr>
    </w:tbl>
    <w:p w:rsidR="008A74EB" w:rsidRPr="00C9040A" w:rsidRDefault="006C577F" w:rsidP="00117575">
      <w:pPr>
        <w:pStyle w:val="libFootnote0"/>
        <w:rPr>
          <w:rtl/>
          <w:lang w:bidi="fa-IR"/>
        </w:rPr>
      </w:pPr>
      <w:r>
        <w:rPr>
          <w:rtl/>
        </w:rPr>
        <w:t>(10).</w:t>
      </w:r>
      <w:r w:rsidR="008A74EB" w:rsidRPr="00C9040A">
        <w:rPr>
          <w:rtl/>
        </w:rPr>
        <w:t xml:space="preserve"> </w:t>
      </w:r>
      <w:r w:rsidR="008A74EB" w:rsidRPr="00993B55">
        <w:rPr>
          <w:rStyle w:val="libFootnoteBoldChar"/>
          <w:rtl/>
        </w:rPr>
        <w:t>الفقيه</w:t>
      </w:r>
      <w:r w:rsidR="008A74EB" w:rsidRPr="00C9040A">
        <w:rPr>
          <w:rtl/>
        </w:rPr>
        <w:t xml:space="preserve"> ، ج 4 ، ص 400 ، ح 5858 ؛ و</w:t>
      </w:r>
      <w:r w:rsidR="008A74EB" w:rsidRPr="0034021D">
        <w:rPr>
          <w:rStyle w:val="libFootnoteBoldChar"/>
          <w:rtl/>
        </w:rPr>
        <w:t>الأمالي للصدوق</w:t>
      </w:r>
      <w:r w:rsidR="008A74EB" w:rsidRPr="00C9040A">
        <w:rPr>
          <w:rtl/>
        </w:rPr>
        <w:t xml:space="preserve"> ، ص 305 ، المجلس 50 ، ح 11 ؛ و</w:t>
      </w:r>
      <w:r w:rsidR="008A74EB" w:rsidRPr="00993B55">
        <w:rPr>
          <w:rStyle w:val="libFootnoteBoldChar"/>
          <w:rtl/>
        </w:rPr>
        <w:t>معاني الأخبار</w:t>
      </w:r>
      <w:r w:rsidR="008A74EB" w:rsidRPr="00C9040A">
        <w:rPr>
          <w:rtl/>
        </w:rPr>
        <w:t xml:space="preserve"> ، ص 196 ، ح 2 ، بسند آخر عن أبي عبد الله ، عن آبائه </w:t>
      </w:r>
      <w:r w:rsidR="00117575" w:rsidRPr="00117575">
        <w:rPr>
          <w:rStyle w:val="libFootnoteAlaemChar"/>
          <w:rtl/>
        </w:rPr>
        <w:t>عليهم‌السلام</w:t>
      </w:r>
      <w:r w:rsidR="008A74EB" w:rsidRPr="00C9040A">
        <w:rPr>
          <w:rtl/>
        </w:rPr>
        <w:t xml:space="preserve"> عن رسول الله </w:t>
      </w:r>
      <w:r w:rsidR="004A4E41" w:rsidRPr="0034021D">
        <w:rPr>
          <w:rStyle w:val="libFootnoteAlaemChar"/>
          <w:rtl/>
        </w:rPr>
        <w:t>صلى‌الله‌عليه‌وآله</w:t>
      </w:r>
      <w:r w:rsidR="008A74EB" w:rsidRPr="00C9040A">
        <w:rPr>
          <w:rtl/>
        </w:rPr>
        <w:t xml:space="preserve">. </w:t>
      </w:r>
      <w:r w:rsidR="008A74EB" w:rsidRPr="00993B55">
        <w:rPr>
          <w:rStyle w:val="libFootnoteBoldChar"/>
          <w:rtl/>
        </w:rPr>
        <w:t>تحف العقول</w:t>
      </w:r>
      <w:r w:rsidR="008A74EB" w:rsidRPr="00C9040A">
        <w:rPr>
          <w:rtl/>
        </w:rPr>
        <w:t xml:space="preserve"> ، ص 27 ، عن رسول الله </w:t>
      </w:r>
      <w:r w:rsidR="004A4E41" w:rsidRPr="0034021D">
        <w:rPr>
          <w:rStyle w:val="libFootnoteAlaemChar"/>
          <w:rtl/>
        </w:rPr>
        <w:t>صلى‌الله‌عليه‌وآله</w:t>
      </w:r>
      <w:r w:rsidR="008A74EB" w:rsidRPr="00C9040A">
        <w:rPr>
          <w:rtl/>
        </w:rPr>
        <w:t xml:space="preserve"> ، وفي كلّها مع زيادة في أوّله وآخره ؛ </w:t>
      </w:r>
      <w:r w:rsidR="008A74EB" w:rsidRPr="00993B55">
        <w:rPr>
          <w:rStyle w:val="libFootnoteBoldChar"/>
          <w:rtl/>
        </w:rPr>
        <w:t>فقه الرضا</w:t>
      </w:r>
      <w:r w:rsidR="008A74EB" w:rsidRPr="00C9040A">
        <w:rPr>
          <w:rtl/>
        </w:rPr>
        <w:t xml:space="preserve"> </w:t>
      </w:r>
      <w:r w:rsidR="00117575" w:rsidRPr="00117575">
        <w:rPr>
          <w:rStyle w:val="libFootnoteAlaemChar"/>
          <w:rtl/>
        </w:rPr>
        <w:t>عليه‌السلام</w:t>
      </w:r>
      <w:r w:rsidR="008A74EB" w:rsidRPr="00C9040A">
        <w:rPr>
          <w:rtl/>
        </w:rPr>
        <w:t xml:space="preserve"> ، ص 364 ، وفي كلّها مع اختلاف يسير. راجع : </w:t>
      </w:r>
      <w:r w:rsidR="008A74EB" w:rsidRPr="0034021D">
        <w:rPr>
          <w:rStyle w:val="libFootnoteBoldChar"/>
          <w:rtl/>
        </w:rPr>
        <w:t>الأمالي للمفيد</w:t>
      </w:r>
      <w:r w:rsidR="008A74EB" w:rsidRPr="00C9040A">
        <w:rPr>
          <w:rtl/>
        </w:rPr>
        <w:t xml:space="preserve"> ، ص 350 ، المجلس 42 ، ح 1 ؛ </w:t>
      </w:r>
      <w:r w:rsidR="008A74EB" w:rsidRPr="00AC2E2F">
        <w:rPr>
          <w:rStyle w:val="libFootnoteBoldChar"/>
          <w:rtl/>
        </w:rPr>
        <w:t>والأمالي للطوسي</w:t>
      </w:r>
      <w:r w:rsidR="008A74EB" w:rsidRPr="00C9040A">
        <w:rPr>
          <w:rtl/>
        </w:rPr>
        <w:t xml:space="preserve"> ، ص 120 ، المجلس 4 ، ح 187 ؛ و</w:t>
      </w:r>
      <w:r w:rsidR="008A74EB" w:rsidRPr="00993B55">
        <w:rPr>
          <w:rStyle w:val="libFootnoteBoldChar"/>
          <w:rtl/>
        </w:rPr>
        <w:t>فقه الرضا</w:t>
      </w:r>
      <w:r w:rsidR="008A74EB" w:rsidRPr="00C9040A">
        <w:rPr>
          <w:rtl/>
        </w:rPr>
        <w:t xml:space="preserve"> </w:t>
      </w:r>
      <w:r w:rsidR="00117575" w:rsidRPr="00117575">
        <w:rPr>
          <w:rStyle w:val="libFootnoteAlaemChar"/>
          <w:rtl/>
        </w:rPr>
        <w:t>عليه‌السلام</w:t>
      </w:r>
      <w:r w:rsidR="008A74EB" w:rsidRPr="00C9040A">
        <w:rPr>
          <w:rtl/>
        </w:rPr>
        <w:t xml:space="preserve"> ، ص 364 </w:t>
      </w:r>
      <w:r w:rsidR="00117575">
        <w:rPr>
          <w:rFonts w:hint="cs"/>
          <w:rtl/>
        </w:rPr>
        <w:t>.</w:t>
      </w:r>
      <w:r w:rsidR="008A74EB" w:rsidRPr="00993B55">
        <w:rPr>
          <w:rStyle w:val="libFootnoteBoldChar"/>
          <w:rtl/>
        </w:rPr>
        <w:t>الوافي</w:t>
      </w:r>
      <w:r w:rsidR="008A74EB" w:rsidRPr="00C9040A">
        <w:rPr>
          <w:rtl/>
        </w:rPr>
        <w:t xml:space="preserve"> ، ج 4 ، ص 410 ، ح 2212 ؛ </w:t>
      </w:r>
      <w:r w:rsidR="008A74EB" w:rsidRPr="00993B55">
        <w:rPr>
          <w:rStyle w:val="libFootnoteBoldChar"/>
          <w:rtl/>
        </w:rPr>
        <w:t>الوسائل</w:t>
      </w:r>
      <w:r w:rsidR="008A74EB" w:rsidRPr="00C9040A">
        <w:rPr>
          <w:rtl/>
        </w:rPr>
        <w:t xml:space="preserve"> ، ج 21 ، ص 531 ، ح 27778 ؛ </w:t>
      </w:r>
      <w:r w:rsidR="008A74EB" w:rsidRPr="00993B55">
        <w:rPr>
          <w:rStyle w:val="libFootnoteBoldChar"/>
          <w:rtl/>
        </w:rPr>
        <w:t>البحار</w:t>
      </w:r>
      <w:r w:rsidR="008A74EB" w:rsidRPr="00C9040A">
        <w:rPr>
          <w:rtl/>
        </w:rPr>
        <w:t xml:space="preserve"> ، ج 73 ، ص 177 ، ح 20.</w:t>
      </w:r>
    </w:p>
    <w:p w:rsidR="008A74EB" w:rsidRPr="00C9040A" w:rsidRDefault="006C577F" w:rsidP="004A4E41">
      <w:pPr>
        <w:pStyle w:val="libFootnote0"/>
        <w:rPr>
          <w:rtl/>
          <w:lang w:bidi="fa-IR"/>
        </w:rPr>
      </w:pPr>
      <w:r>
        <w:rPr>
          <w:rtl/>
        </w:rPr>
        <w:t>(11).</w:t>
      </w:r>
      <w:r w:rsidR="008A74EB" w:rsidRPr="00C9040A">
        <w:rPr>
          <w:rtl/>
        </w:rPr>
        <w:t xml:space="preserve"> الضمير راجع إلى أحمد بن محمّد بن خالد المذكور في السند السابق ؛ </w:t>
      </w:r>
      <w:r w:rsidR="00117575">
        <w:rPr>
          <w:rtl/>
        </w:rPr>
        <w:t>فقد روى أحمد بن محمّد بن خالد ،</w:t>
      </w:r>
      <w:r w:rsidR="00117575">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عَنْ أَبِي جَعْفَرٍ أَوْ </w:t>
      </w:r>
      <w:r w:rsidR="006C577F" w:rsidRPr="006C577F">
        <w:rPr>
          <w:rStyle w:val="libFootnotenumChar"/>
          <w:rtl/>
        </w:rPr>
        <w:t>(1)</w:t>
      </w:r>
      <w:r w:rsidRPr="00C9040A">
        <w:rPr>
          <w:rtl/>
          <w:lang w:bidi="fa-IR"/>
        </w:rPr>
        <w:t xml:space="preserve"> أَبِي عَبْدِ اللهِ </w:t>
      </w:r>
      <w:r w:rsidRPr="0003660B">
        <w:rPr>
          <w:rStyle w:val="libAlaemChar"/>
          <w:rtl/>
        </w:rPr>
        <w:t>عليهما‌السلام</w:t>
      </w:r>
      <w:r w:rsidRPr="00C9040A">
        <w:rPr>
          <w:rtl/>
          <w:lang w:bidi="fa-IR"/>
        </w:rPr>
        <w:t xml:space="preserve"> ، قَالَ : « مَنْ قَنِعَ بِمَا رَزَقَهُ اللهُ</w:t>
      </w:r>
      <w:r w:rsidR="00117575">
        <w:rPr>
          <w:rtl/>
          <w:lang w:bidi="fa-IR"/>
        </w:rPr>
        <w:t xml:space="preserve"> ، فَهُوَ مِنْ أَغْنَى النَّاسِ</w:t>
      </w:r>
      <w:r w:rsidRPr="00C9040A">
        <w:rPr>
          <w:rtl/>
          <w:lang w:bidi="fa-IR"/>
        </w:rPr>
        <w:t>»</w:t>
      </w:r>
      <w:r>
        <w:rPr>
          <w:rtl/>
          <w:lang w:bidi="fa-IR"/>
        </w:rPr>
        <w:t>.</w:t>
      </w:r>
      <w:r w:rsidR="006C577F" w:rsidRPr="006C577F">
        <w:rPr>
          <w:rStyle w:val="libFootnotenumChar"/>
          <w:rtl/>
        </w:rPr>
        <w:t>(2)</w:t>
      </w:r>
      <w:r w:rsidRPr="00C9040A">
        <w:rPr>
          <w:rtl/>
          <w:lang w:bidi="fa-IR"/>
        </w:rPr>
        <w:t>‌</w:t>
      </w:r>
    </w:p>
    <w:p w:rsidR="008A74EB" w:rsidRPr="00C9040A" w:rsidRDefault="008A74EB" w:rsidP="008A74EB">
      <w:pPr>
        <w:pStyle w:val="libNormal"/>
        <w:rPr>
          <w:rtl/>
          <w:lang w:bidi="fa-IR"/>
        </w:rPr>
      </w:pPr>
      <w:r w:rsidRPr="00A67311">
        <w:rPr>
          <w:rtl/>
        </w:rPr>
        <w:t>1929</w:t>
      </w:r>
      <w:r w:rsidRPr="00261CB0">
        <w:rPr>
          <w:rStyle w:val="libBold2Char"/>
          <w:rtl/>
        </w:rPr>
        <w:t xml:space="preserve"> / 10.</w:t>
      </w:r>
      <w:r w:rsidRPr="00C9040A">
        <w:rPr>
          <w:rtl/>
          <w:lang w:bidi="fa-IR"/>
        </w:rPr>
        <w:t xml:space="preserve"> عَنْهُ ، عَنِ ابْنِ فَضَّالٍ ، عَنِ ابْنِ بُكَيْرٍ ، عَنْ حَمْزَةَ بْنِ حُمْرَانَ ، قَالَ :</w:t>
      </w:r>
    </w:p>
    <w:p w:rsidR="008A74EB" w:rsidRPr="00C9040A" w:rsidRDefault="008A74EB" w:rsidP="008A74EB">
      <w:pPr>
        <w:pStyle w:val="libNormal"/>
        <w:rPr>
          <w:rtl/>
          <w:lang w:bidi="fa-IR"/>
        </w:rPr>
      </w:pPr>
      <w:r w:rsidRPr="00C9040A">
        <w:rPr>
          <w:rtl/>
          <w:lang w:bidi="fa-IR"/>
        </w:rPr>
        <w:t xml:space="preserve">شَكَا رَجُلٌ إِلى أَبِي عَبْدِ اللهِ </w:t>
      </w:r>
      <w:r w:rsidRPr="0003660B">
        <w:rPr>
          <w:rStyle w:val="libAlaemChar"/>
          <w:rtl/>
        </w:rPr>
        <w:t>عليه‌السلام</w:t>
      </w:r>
      <w:r w:rsidRPr="00C9040A">
        <w:rPr>
          <w:rtl/>
          <w:lang w:bidi="fa-IR"/>
        </w:rPr>
        <w:t xml:space="preserve"> أَنَّهُ يَطْلُبُ فَيُصِيبُ وَلَا يَقْنَعُ ، وَتُنَازِعُهُ نَفْسُهُ إِلى مَا هُوَ أَكْثَرُ مِنْهُ</w:t>
      </w:r>
      <w:r>
        <w:rPr>
          <w:rtl/>
          <w:lang w:bidi="fa-IR"/>
        </w:rPr>
        <w:t>؟</w:t>
      </w:r>
      <w:r w:rsidRPr="00C9040A">
        <w:rPr>
          <w:rtl/>
          <w:lang w:bidi="fa-IR"/>
        </w:rPr>
        <w:t xml:space="preserve"> وَقَالَ : عَلِّمْنِي شَيْئاً أَنْتَفِعُ بِهِ.</w:t>
      </w:r>
    </w:p>
    <w:p w:rsidR="008A74EB" w:rsidRPr="00C9040A" w:rsidRDefault="008A74EB" w:rsidP="008A74EB">
      <w:pPr>
        <w:pStyle w:val="libNormal"/>
        <w:rPr>
          <w:rtl/>
          <w:lang w:bidi="fa-IR"/>
        </w:rPr>
      </w:pPr>
      <w:r w:rsidRPr="00C9040A">
        <w:rPr>
          <w:rtl/>
          <w:lang w:bidi="fa-IR"/>
        </w:rPr>
        <w:t xml:space="preserve">فَقَالَ أَبُو عَبْدِ اللهِ </w:t>
      </w:r>
      <w:r w:rsidRPr="0003660B">
        <w:rPr>
          <w:rStyle w:val="libAlaemChar"/>
          <w:rtl/>
        </w:rPr>
        <w:t>عليه‌السلام</w:t>
      </w:r>
      <w:r w:rsidRPr="00C9040A">
        <w:rPr>
          <w:rtl/>
          <w:lang w:bidi="fa-IR"/>
        </w:rPr>
        <w:t xml:space="preserve"> </w:t>
      </w:r>
      <w:r w:rsidR="006C577F" w:rsidRPr="006C577F">
        <w:rPr>
          <w:rStyle w:val="libFootnotenumChar"/>
          <w:rtl/>
        </w:rPr>
        <w:t>(3)</w:t>
      </w:r>
      <w:r w:rsidRPr="00C9040A">
        <w:rPr>
          <w:rtl/>
          <w:lang w:bidi="fa-IR"/>
        </w:rPr>
        <w:t xml:space="preserve"> : « إِنْ كَانَ مَا يَكْفِيكَ يُغْنِيكَ ، فَأَدْنى مَا فِيهَا يُغْنِيكَ ؛ وَإِنْ كَانَ مَا يَكْفِيكَ لَايُغْنِيكَ ، فَكُلُّ مَا فِيهَا لَايُغْنِيكَ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A67311">
        <w:rPr>
          <w:rtl/>
        </w:rPr>
        <w:t>1930</w:t>
      </w:r>
      <w:r w:rsidRPr="00261CB0">
        <w:rPr>
          <w:rStyle w:val="libBold2Char"/>
          <w:rtl/>
        </w:rPr>
        <w:t xml:space="preserve"> / 11.</w:t>
      </w:r>
      <w:r w:rsidRPr="00C9040A">
        <w:rPr>
          <w:rtl/>
          <w:lang w:bidi="fa-IR"/>
        </w:rPr>
        <w:t xml:space="preserve"> عَنْهُ </w:t>
      </w:r>
      <w:r w:rsidR="006C577F" w:rsidRPr="006C577F">
        <w:rPr>
          <w:rStyle w:val="libFootnotenumChar"/>
          <w:rtl/>
        </w:rPr>
        <w:t>(5)</w:t>
      </w:r>
      <w:r w:rsidRPr="00C9040A">
        <w:rPr>
          <w:rtl/>
          <w:lang w:bidi="fa-IR"/>
        </w:rPr>
        <w:t xml:space="preserve"> ، عَنْ عِدَّةٍ مِنْ أَصْحَابِنَا ، عَنْ حَنَانِ بْنِ سَدِيرٍ رَفَعَهُ ، قَالَ :</w:t>
      </w:r>
    </w:p>
    <w:p w:rsidR="008A74EB" w:rsidRPr="00C9040A" w:rsidRDefault="008A74EB" w:rsidP="008A74EB">
      <w:pPr>
        <w:pStyle w:val="libLine"/>
        <w:rPr>
          <w:rtl/>
          <w:lang w:bidi="fa-IR"/>
        </w:rPr>
      </w:pPr>
      <w:r w:rsidRPr="00C9040A">
        <w:rPr>
          <w:rtl/>
          <w:lang w:bidi="fa-IR"/>
        </w:rPr>
        <w:t>__________________</w:t>
      </w:r>
    </w:p>
    <w:p w:rsidR="008A74EB" w:rsidRPr="00C9040A" w:rsidRDefault="00F9393C" w:rsidP="004A4E41">
      <w:pPr>
        <w:pStyle w:val="libFootnote0"/>
        <w:rPr>
          <w:rtl/>
          <w:lang w:bidi="fa-IR"/>
        </w:rPr>
      </w:pPr>
      <w:r>
        <w:rPr>
          <w:rFonts w:hint="cs"/>
          <w:rtl/>
        </w:rPr>
        <w:t xml:space="preserve">= </w:t>
      </w:r>
      <w:r w:rsidR="008A74EB" w:rsidRPr="00C9040A">
        <w:rPr>
          <w:rtl/>
        </w:rPr>
        <w:t xml:space="preserve">عن ابن فضّال في كثيرٍ من الأسناد. راجع : </w:t>
      </w:r>
      <w:r w:rsidR="008A74EB" w:rsidRPr="00993B55">
        <w:rPr>
          <w:rStyle w:val="libFootnoteBoldChar"/>
          <w:rtl/>
        </w:rPr>
        <w:t>معجم رجال الحديث</w:t>
      </w:r>
      <w:r w:rsidR="008A74EB" w:rsidRPr="00C9040A">
        <w:rPr>
          <w:rtl/>
        </w:rPr>
        <w:t xml:space="preserve"> ، ج 2 ، ص 395 ؛ وص 631</w:t>
      </w:r>
      <w:r w:rsidR="008A74EB">
        <w:rPr>
          <w:rtl/>
        </w:rPr>
        <w:t xml:space="preserve"> </w:t>
      </w:r>
      <w:r w:rsidR="0084262C">
        <w:rPr>
          <w:rtl/>
        </w:rPr>
        <w:t>-</w:t>
      </w:r>
      <w:r w:rsidR="008A74EB">
        <w:rPr>
          <w:rtl/>
        </w:rPr>
        <w:t xml:space="preserve"> </w:t>
      </w:r>
      <w:r w:rsidR="008A74EB" w:rsidRPr="00C9040A">
        <w:rPr>
          <w:rtl/>
        </w:rPr>
        <w:t>632. فظهر أنّ مرجع الضمير في هذا السند والسند الآتي واحدٌ.</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ب » وحاشية « بر » : « </w:t>
      </w:r>
      <w:r w:rsidR="008A74EB">
        <w:rPr>
          <w:rtl/>
        </w:rPr>
        <w:t>و ».</w:t>
      </w:r>
      <w:r w:rsidR="008A74EB" w:rsidRPr="00C9040A">
        <w:rPr>
          <w:rtl/>
        </w:rPr>
        <w:t xml:space="preserve"> وفي « ف » : + « عن »</w:t>
      </w:r>
      <w:r w:rsidR="008A74EB">
        <w:rPr>
          <w:rtl/>
        </w:rPr>
        <w:t>.</w:t>
      </w:r>
    </w:p>
    <w:p w:rsidR="008A74EB" w:rsidRPr="00C9040A" w:rsidRDefault="006C577F" w:rsidP="00F9393C">
      <w:pPr>
        <w:pStyle w:val="libFootnote0"/>
        <w:rPr>
          <w:rtl/>
          <w:lang w:bidi="fa-IR"/>
        </w:rPr>
      </w:pPr>
      <w:r>
        <w:rPr>
          <w:rtl/>
        </w:rPr>
        <w:t>(2).</w:t>
      </w:r>
      <w:r w:rsidR="008A74EB">
        <w:rPr>
          <w:rtl/>
        </w:rPr>
        <w:t xml:space="preserve"> </w:t>
      </w:r>
      <w:r w:rsidR="008A74EB" w:rsidRPr="00993B55">
        <w:rPr>
          <w:rStyle w:val="libFootnoteBoldChar"/>
          <w:rtl/>
        </w:rPr>
        <w:t>الزهد</w:t>
      </w:r>
      <w:r w:rsidR="008A74EB" w:rsidRPr="00C9040A">
        <w:rPr>
          <w:rtl/>
        </w:rPr>
        <w:t xml:space="preserve"> ، ص 79 ، ح 41 ؛ </w:t>
      </w:r>
      <w:r w:rsidR="008A74EB" w:rsidRPr="00F9393C">
        <w:rPr>
          <w:rStyle w:val="libFootnoteBoldChar"/>
          <w:rtl/>
        </w:rPr>
        <w:t>و</w:t>
      </w:r>
      <w:r w:rsidR="008A74EB" w:rsidRPr="0034021D">
        <w:rPr>
          <w:rStyle w:val="libFootnoteBoldChar"/>
          <w:rtl/>
        </w:rPr>
        <w:t>الأمالي للمفيد</w:t>
      </w:r>
      <w:r w:rsidR="008A74EB" w:rsidRPr="00C9040A">
        <w:rPr>
          <w:rtl/>
        </w:rPr>
        <w:t xml:space="preserve"> ، ص 184 ، المجلس 23 ، ح 9 ، بسند آخر عن أبي حمزة ، عن عليّ بن الحسين </w:t>
      </w:r>
      <w:r w:rsidR="00117575" w:rsidRPr="00117575">
        <w:rPr>
          <w:rStyle w:val="libFootnoteAlaemChar"/>
          <w:rtl/>
        </w:rPr>
        <w:t xml:space="preserve">عليه‌السلام </w:t>
      </w:r>
      <w:r w:rsidR="008A74EB" w:rsidRPr="00C9040A">
        <w:rPr>
          <w:rtl/>
        </w:rPr>
        <w:t xml:space="preserve">، مع زيادة في أوّله. وفي </w:t>
      </w:r>
      <w:r w:rsidR="008A74EB" w:rsidRPr="00993B55">
        <w:rPr>
          <w:rStyle w:val="libFootnoteBoldChar"/>
          <w:rtl/>
        </w:rPr>
        <w:t>الفقيه</w:t>
      </w:r>
      <w:r w:rsidR="008A74EB" w:rsidRPr="00C9040A">
        <w:rPr>
          <w:rtl/>
        </w:rPr>
        <w:t xml:space="preserve"> ، ج 4 ، ص 358 ، ضمن الحديث الطويل 5765 ؛ و</w:t>
      </w:r>
      <w:r w:rsidR="008A74EB" w:rsidRPr="00993B55">
        <w:rPr>
          <w:rStyle w:val="libFootnoteBoldChar"/>
          <w:rtl/>
        </w:rPr>
        <w:t xml:space="preserve">الخصال </w:t>
      </w:r>
      <w:r w:rsidR="008A74EB" w:rsidRPr="00C9040A">
        <w:rPr>
          <w:rtl/>
        </w:rPr>
        <w:t xml:space="preserve">، ص 125 ، باب الثلاثة ، ضمن الحديث الطويل 122 ، بسند آخر عن أبي عبد الله ، عن آبائه </w:t>
      </w:r>
      <w:r w:rsidR="00117575" w:rsidRPr="00117575">
        <w:rPr>
          <w:rStyle w:val="libFootnoteAlaemChar"/>
          <w:rtl/>
        </w:rPr>
        <w:t>عليهم‌السلام</w:t>
      </w:r>
      <w:r w:rsidR="008A74EB" w:rsidRPr="00C9040A">
        <w:rPr>
          <w:rtl/>
        </w:rPr>
        <w:t xml:space="preserve"> عن النبيّ </w:t>
      </w:r>
      <w:r w:rsidR="004A4E41" w:rsidRPr="0034021D">
        <w:rPr>
          <w:rStyle w:val="libFootnoteAlaemChar"/>
          <w:rtl/>
        </w:rPr>
        <w:t>صلى‌الله‌عليه‌وآله</w:t>
      </w:r>
      <w:r w:rsidR="008A74EB" w:rsidRPr="00C9040A">
        <w:rPr>
          <w:rtl/>
        </w:rPr>
        <w:t xml:space="preserve">. </w:t>
      </w:r>
      <w:r w:rsidR="008A74EB" w:rsidRPr="00993B55">
        <w:rPr>
          <w:rStyle w:val="libFootnoteBoldChar"/>
          <w:rtl/>
        </w:rPr>
        <w:t>الأمالي</w:t>
      </w:r>
      <w:r w:rsidR="008A74EB" w:rsidRPr="00F9393C">
        <w:rPr>
          <w:rStyle w:val="libFootnoteBoldChar"/>
          <w:rtl/>
        </w:rPr>
        <w:t xml:space="preserve"> للطوسي</w:t>
      </w:r>
      <w:r w:rsidR="008A74EB" w:rsidRPr="00C9040A">
        <w:rPr>
          <w:rtl/>
        </w:rPr>
        <w:t xml:space="preserve"> ، ص 535 ، المجلس 19 ، ضمن الحديث الطويل 1 ، بسند آخر عن أبي ذرّ ، عن رسول الله </w:t>
      </w:r>
      <w:r w:rsidR="004A4E41" w:rsidRPr="0034021D">
        <w:rPr>
          <w:rStyle w:val="libFootnoteAlaemChar"/>
          <w:rtl/>
        </w:rPr>
        <w:t>صلى‌الله‌عليه‌وآله</w:t>
      </w:r>
      <w:r w:rsidR="008A74EB" w:rsidRPr="00C9040A">
        <w:rPr>
          <w:rtl/>
        </w:rPr>
        <w:t xml:space="preserve"> ؛ </w:t>
      </w:r>
      <w:r w:rsidR="008A74EB" w:rsidRPr="0034021D">
        <w:rPr>
          <w:rStyle w:val="libFootnoteBoldChar"/>
          <w:rtl/>
        </w:rPr>
        <w:t>الأمالي للصدوق</w:t>
      </w:r>
      <w:r w:rsidR="008A74EB" w:rsidRPr="00C9040A">
        <w:rPr>
          <w:rtl/>
        </w:rPr>
        <w:t xml:space="preserve"> ، ص 201 ، المجلس 36 ، ح 13 ، بسند آخر عن أبي عبد الله ، عن آبائه </w:t>
      </w:r>
      <w:r w:rsidR="00117575" w:rsidRPr="00117575">
        <w:rPr>
          <w:rStyle w:val="libFootnoteAlaemChar"/>
          <w:rtl/>
        </w:rPr>
        <w:t>عليهم‌السلام</w:t>
      </w:r>
      <w:r w:rsidR="008A74EB" w:rsidRPr="00C9040A">
        <w:rPr>
          <w:rtl/>
        </w:rPr>
        <w:t xml:space="preserve"> عن النبيّ </w:t>
      </w:r>
      <w:r w:rsidR="004A4E41" w:rsidRPr="0034021D">
        <w:rPr>
          <w:rStyle w:val="libFootnoteAlaemChar"/>
          <w:rtl/>
        </w:rPr>
        <w:t>صلى‌الله‌عليه‌وآله</w:t>
      </w:r>
      <w:r w:rsidR="008A74EB" w:rsidRPr="00C9040A">
        <w:rPr>
          <w:rtl/>
        </w:rPr>
        <w:t xml:space="preserve"> ، وفيه : « وارض بقسم الله تكن أغنى الناس » مع زيادة في أوّله وآخره. </w:t>
      </w:r>
      <w:r w:rsidR="008A74EB" w:rsidRPr="00993B55">
        <w:rPr>
          <w:rStyle w:val="libFootnoteBoldChar"/>
          <w:rtl/>
        </w:rPr>
        <w:t>تحف العقول</w:t>
      </w:r>
      <w:r w:rsidR="008A74EB" w:rsidRPr="00C9040A">
        <w:rPr>
          <w:rtl/>
        </w:rPr>
        <w:t xml:space="preserve"> ، ص 6 ، ضمن الحديث الطويل ، عن رسول الله </w:t>
      </w:r>
      <w:r w:rsidR="004A4E41" w:rsidRPr="0034021D">
        <w:rPr>
          <w:rStyle w:val="libFootnoteAlaemChar"/>
          <w:rtl/>
        </w:rPr>
        <w:t>صلى‌الله‌عليه‌وآله</w:t>
      </w:r>
      <w:r w:rsidR="008A74EB" w:rsidRPr="00C9040A">
        <w:rPr>
          <w:rtl/>
        </w:rPr>
        <w:t xml:space="preserve"> ؛ </w:t>
      </w:r>
      <w:r w:rsidR="008A74EB" w:rsidRPr="00993B55">
        <w:rPr>
          <w:rStyle w:val="libFootnoteBoldChar"/>
          <w:rtl/>
        </w:rPr>
        <w:t>وفيه</w:t>
      </w:r>
      <w:r w:rsidR="008A74EB" w:rsidRPr="00C9040A">
        <w:rPr>
          <w:rtl/>
        </w:rPr>
        <w:t xml:space="preserve"> ، ص 278 ، عن عليّ بن الحسين </w:t>
      </w:r>
      <w:r w:rsidR="00117575" w:rsidRPr="00117575">
        <w:rPr>
          <w:rStyle w:val="libFootnoteAlaemChar"/>
          <w:rtl/>
        </w:rPr>
        <w:t xml:space="preserve">عليه‌السلام </w:t>
      </w:r>
      <w:r w:rsidR="00F9393C">
        <w:rPr>
          <w:rFonts w:hint="cs"/>
          <w:rtl/>
        </w:rPr>
        <w:t>.</w:t>
      </w:r>
      <w:r w:rsidR="008A74EB" w:rsidRPr="00993B55">
        <w:rPr>
          <w:rStyle w:val="libFootnoteBoldChar"/>
          <w:rtl/>
        </w:rPr>
        <w:t>الوافي</w:t>
      </w:r>
      <w:r w:rsidR="008A74EB" w:rsidRPr="00C9040A">
        <w:rPr>
          <w:rtl/>
        </w:rPr>
        <w:t xml:space="preserve"> ، ج 4 ، ص 408 ، ح 2207 ؛ </w:t>
      </w:r>
      <w:r w:rsidR="008A74EB" w:rsidRPr="00993B55">
        <w:rPr>
          <w:rStyle w:val="libFootnoteBoldChar"/>
          <w:rtl/>
        </w:rPr>
        <w:t>الوسائل</w:t>
      </w:r>
      <w:r w:rsidR="008A74EB" w:rsidRPr="00C9040A">
        <w:rPr>
          <w:rtl/>
        </w:rPr>
        <w:t xml:space="preserve"> ، ج 21 ، ص 531 ، ح 27779 ؛ </w:t>
      </w:r>
      <w:r w:rsidR="008A74EB" w:rsidRPr="00993B55">
        <w:rPr>
          <w:rStyle w:val="libFootnoteBoldChar"/>
          <w:rtl/>
        </w:rPr>
        <w:t>البحار</w:t>
      </w:r>
      <w:r w:rsidR="008A74EB" w:rsidRPr="00C9040A">
        <w:rPr>
          <w:rtl/>
        </w:rPr>
        <w:t xml:space="preserve"> ، ج 73 ، ص 178 ، ح 21.</w:t>
      </w:r>
    </w:p>
    <w:p w:rsidR="008A74EB" w:rsidRPr="00C9040A" w:rsidRDefault="006C577F" w:rsidP="004A4E41">
      <w:pPr>
        <w:pStyle w:val="libFootnote0"/>
        <w:rPr>
          <w:rtl/>
          <w:lang w:bidi="fa-IR"/>
        </w:rPr>
      </w:pPr>
      <w:r>
        <w:rPr>
          <w:rtl/>
        </w:rPr>
        <w:t>(3).</w:t>
      </w:r>
      <w:r w:rsidR="008A74EB" w:rsidRPr="00C9040A">
        <w:rPr>
          <w:rtl/>
        </w:rPr>
        <w:t xml:space="preserve"> في « ف » : + « له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تحف العقول</w:t>
      </w:r>
      <w:r w:rsidR="008A74EB" w:rsidRPr="00C9040A">
        <w:rPr>
          <w:rtl/>
        </w:rPr>
        <w:t xml:space="preserve"> ، ص 387 ، ضمن الحديث الطويل ، عن موسى بن جعفر </w:t>
      </w:r>
      <w:r w:rsidR="00117575" w:rsidRPr="00117575">
        <w:rPr>
          <w:rStyle w:val="libFootnoteAlaemChar"/>
          <w:rtl/>
        </w:rPr>
        <w:t>عليه‌السلام</w:t>
      </w:r>
      <w:r w:rsidR="008A74EB" w:rsidRPr="00C9040A">
        <w:rPr>
          <w:rtl/>
        </w:rPr>
        <w:t xml:space="preserve"> ، من قوله : « إن كان ما يكفيك يغنيك » مع اختلاف يسير </w:t>
      </w:r>
      <w:r w:rsidR="00F9393C">
        <w:rPr>
          <w:rFonts w:hint="cs"/>
          <w:rtl/>
        </w:rPr>
        <w:t>.</w:t>
      </w:r>
      <w:r w:rsidR="008A74EB" w:rsidRPr="00993B55">
        <w:rPr>
          <w:rStyle w:val="libFootnoteBoldChar"/>
          <w:rtl/>
        </w:rPr>
        <w:t>الوافي</w:t>
      </w:r>
      <w:r w:rsidR="008A74EB" w:rsidRPr="00C9040A">
        <w:rPr>
          <w:rtl/>
        </w:rPr>
        <w:t xml:space="preserve"> ، ج 4 ، ص 408 ، ح 2208 ؛</w:t>
      </w:r>
      <w:r w:rsidR="008A74EB">
        <w:rPr>
          <w:rFonts w:hint="cs"/>
          <w:rtl/>
        </w:rPr>
        <w:t xml:space="preserve"> </w:t>
      </w:r>
      <w:r w:rsidR="008A74EB" w:rsidRPr="00993B55">
        <w:rPr>
          <w:rStyle w:val="libFootnoteBoldChar"/>
          <w:rtl/>
        </w:rPr>
        <w:t>البحار</w:t>
      </w:r>
      <w:r w:rsidR="008A74EB" w:rsidRPr="00323A39">
        <w:rPr>
          <w:rtl/>
        </w:rPr>
        <w:t xml:space="preserve"> ، ج 73 ، ص 178 ، ح 22.</w:t>
      </w:r>
    </w:p>
    <w:p w:rsidR="008A74EB" w:rsidRPr="00C9040A" w:rsidRDefault="006C577F" w:rsidP="004A4E41">
      <w:pPr>
        <w:pStyle w:val="libFootnote0"/>
        <w:rPr>
          <w:rtl/>
          <w:lang w:bidi="fa-IR"/>
        </w:rPr>
      </w:pPr>
      <w:r>
        <w:rPr>
          <w:rtl/>
        </w:rPr>
        <w:t>(5).</w:t>
      </w:r>
      <w:r w:rsidR="008A74EB" w:rsidRPr="00C9040A">
        <w:rPr>
          <w:rtl/>
        </w:rPr>
        <w:t xml:space="preserve"> في « ب ، ف » وحاشية « بر ، بف » : « وعنه »</w:t>
      </w:r>
      <w:r w:rsidR="008A74EB">
        <w:rPr>
          <w:rtl/>
        </w:rPr>
        <w:t>.</w:t>
      </w:r>
      <w:r w:rsidR="008A74EB" w:rsidRPr="00C9040A">
        <w:rPr>
          <w:rtl/>
        </w:rPr>
        <w:t xml:space="preserve"> ثمّ إنّ الضمير راجع إلى أحمد بن محمّد بن خالد ؛ فقد روى هو عن عدّة من أصحابنا عن حنان [ بن سدير ] في </w:t>
      </w:r>
      <w:r w:rsidR="008A74EB" w:rsidRPr="00993B55">
        <w:rPr>
          <w:rStyle w:val="libFootnoteBoldChar"/>
          <w:rtl/>
        </w:rPr>
        <w:t>المحاسن</w:t>
      </w:r>
      <w:r w:rsidR="008A74EB" w:rsidRPr="00C9040A">
        <w:rPr>
          <w:rtl/>
        </w:rPr>
        <w:t xml:space="preserve"> ، ص 507 ، ح 252 ؛ وص 524 ، ح 748 ؛ وص 538 ، ح 816 ؛ وص 580 ، ح 52.</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قَالَ أَمِيرُ الْمُؤْمِنِينَ </w:t>
      </w:r>
      <w:r w:rsidRPr="0003660B">
        <w:rPr>
          <w:rStyle w:val="libAlaemChar"/>
          <w:rtl/>
        </w:rPr>
        <w:t>عليه‌السلام</w:t>
      </w:r>
      <w:r w:rsidRPr="00C9040A">
        <w:rPr>
          <w:rtl/>
          <w:lang w:bidi="fa-IR"/>
        </w:rPr>
        <w:t xml:space="preserve"> : « مَنْ رَضِيَ مِنَ الدُّنْيَا </w:t>
      </w:r>
      <w:r w:rsidR="006C577F" w:rsidRPr="006C577F">
        <w:rPr>
          <w:rStyle w:val="libFootnotenumChar"/>
          <w:rtl/>
        </w:rPr>
        <w:t>(1)</w:t>
      </w:r>
      <w:r w:rsidRPr="00C9040A">
        <w:rPr>
          <w:rtl/>
          <w:lang w:bidi="fa-IR"/>
        </w:rPr>
        <w:t xml:space="preserve"> بِمَا يُجْزِيهِ </w:t>
      </w:r>
      <w:r w:rsidR="006C577F" w:rsidRPr="006C577F">
        <w:rPr>
          <w:rStyle w:val="libFootnotenumChar"/>
          <w:rtl/>
        </w:rPr>
        <w:t>(2)</w:t>
      </w:r>
      <w:r w:rsidRPr="00C9040A">
        <w:rPr>
          <w:rtl/>
          <w:lang w:bidi="fa-IR"/>
        </w:rPr>
        <w:t xml:space="preserve"> ، كَانَ أَيْسَرُ مَا فِيهَا يَكْفِيهِ ؛ وَمَنْ لَمْ يَرْضَ مِنَ الدُّنْيَا بِمَا يُجْزِيهِ ، لَمْ يَكُنْ فِيهَا </w:t>
      </w:r>
      <w:r w:rsidR="006C577F" w:rsidRPr="006C577F">
        <w:rPr>
          <w:rStyle w:val="libFootnotenumChar"/>
          <w:rtl/>
        </w:rPr>
        <w:t>(3)</w:t>
      </w:r>
      <w:r w:rsidRPr="00C9040A">
        <w:rPr>
          <w:rtl/>
          <w:lang w:bidi="fa-IR"/>
        </w:rPr>
        <w:t xml:space="preserve"> شَيْ‌ءٌ </w:t>
      </w:r>
      <w:r w:rsidR="006C577F" w:rsidRPr="006C577F">
        <w:rPr>
          <w:rStyle w:val="libFootnotenumChar"/>
          <w:rtl/>
        </w:rPr>
        <w:t>(4)</w:t>
      </w:r>
      <w:r w:rsidRPr="00C9040A">
        <w:rPr>
          <w:rtl/>
          <w:lang w:bidi="fa-IR"/>
        </w:rPr>
        <w:t xml:space="preserve"> يَكْفِيهِ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Heading2Center"/>
        <w:rPr>
          <w:rtl/>
          <w:lang w:bidi="fa-IR"/>
        </w:rPr>
      </w:pPr>
      <w:bookmarkStart w:id="202" w:name="_Toc343795655"/>
      <w:bookmarkStart w:id="203" w:name="_Toc459810779"/>
      <w:bookmarkStart w:id="204" w:name="_Toc35348685"/>
      <w:r w:rsidRPr="00C9040A">
        <w:rPr>
          <w:rtl/>
          <w:lang w:bidi="fa-IR"/>
        </w:rPr>
        <w:t>64</w:t>
      </w:r>
      <w:r>
        <w:rPr>
          <w:rtl/>
          <w:lang w:bidi="fa-IR"/>
        </w:rPr>
        <w:t xml:space="preserve"> </w:t>
      </w:r>
      <w:r w:rsidR="0084262C">
        <w:rPr>
          <w:rtl/>
          <w:lang w:bidi="fa-IR"/>
        </w:rPr>
        <w:t>-</w:t>
      </w:r>
      <w:r>
        <w:rPr>
          <w:rtl/>
          <w:lang w:bidi="fa-IR"/>
        </w:rPr>
        <w:t xml:space="preserve"> </w:t>
      </w:r>
      <w:r w:rsidRPr="00C9040A">
        <w:rPr>
          <w:rtl/>
          <w:lang w:bidi="fa-IR"/>
        </w:rPr>
        <w:t xml:space="preserve">بَابُ الْكَفَافِ </w:t>
      </w:r>
      <w:r w:rsidR="006C577F" w:rsidRPr="006C577F">
        <w:rPr>
          <w:rStyle w:val="libFootnotenumChar"/>
          <w:rtl/>
        </w:rPr>
        <w:t>(6)</w:t>
      </w:r>
      <w:r w:rsidRPr="005B567D">
        <w:rPr>
          <w:rStyle w:val="libFootnotenumChar"/>
          <w:rtl/>
        </w:rPr>
        <w:t xml:space="preserve"> </w:t>
      </w:r>
      <w:r w:rsidRPr="00C9040A">
        <w:rPr>
          <w:rtl/>
          <w:lang w:bidi="fa-IR"/>
        </w:rPr>
        <w:t>‌</w:t>
      </w:r>
      <w:bookmarkEnd w:id="202"/>
      <w:bookmarkEnd w:id="203"/>
      <w:bookmarkEnd w:id="204"/>
    </w:p>
    <w:p w:rsidR="008A74EB" w:rsidRPr="00C9040A" w:rsidRDefault="008A74EB" w:rsidP="008A74EB">
      <w:pPr>
        <w:pStyle w:val="libNormal"/>
        <w:rPr>
          <w:rtl/>
          <w:lang w:bidi="fa-IR"/>
        </w:rPr>
      </w:pPr>
      <w:r w:rsidRPr="00A67311">
        <w:rPr>
          <w:rtl/>
        </w:rPr>
        <w:t>1931</w:t>
      </w:r>
      <w:r w:rsidRPr="00261CB0">
        <w:rPr>
          <w:rStyle w:val="libBold2Char"/>
          <w:rtl/>
        </w:rPr>
        <w:t xml:space="preserve"> / 1.</w:t>
      </w:r>
      <w:r w:rsidRPr="00C9040A">
        <w:rPr>
          <w:rtl/>
          <w:lang w:bidi="fa-IR"/>
        </w:rPr>
        <w:t xml:space="preserve"> عَلِيُّ بْنُ إِبْرَاهِيمَ ، عَنْ أَبِيهِ ، عَنْ غَيْرِ وَاحِدٍ ، عَنْ عَاصِمِ بْنِ حُمَيْدٍ ، عَنْ أَبِي عُبَيْدَةَ الْحَذَّاءِ ، قَالَ :</w:t>
      </w:r>
    </w:p>
    <w:p w:rsidR="008A74EB" w:rsidRPr="00C9040A" w:rsidRDefault="008A74EB" w:rsidP="008A74EB">
      <w:pPr>
        <w:pStyle w:val="libNormal"/>
        <w:rPr>
          <w:rtl/>
          <w:lang w:bidi="fa-IR"/>
        </w:rPr>
      </w:pPr>
      <w:r w:rsidRPr="00C9040A">
        <w:rPr>
          <w:rtl/>
          <w:lang w:bidi="fa-IR"/>
        </w:rPr>
        <w:t xml:space="preserve">سَمِعْتُ أَبَا جَعْفَرٍ </w:t>
      </w:r>
      <w:r w:rsidR="006C577F" w:rsidRPr="006C577F">
        <w:rPr>
          <w:rStyle w:val="libFootnotenumChar"/>
          <w:rtl/>
        </w:rPr>
        <w:t>(7)</w:t>
      </w:r>
      <w:r w:rsidRPr="00C9040A">
        <w:rPr>
          <w:rtl/>
          <w:lang w:bidi="fa-IR"/>
        </w:rPr>
        <w:t xml:space="preserve"> </w:t>
      </w:r>
      <w:r w:rsidRPr="0003660B">
        <w:rPr>
          <w:rStyle w:val="libAlaemChar"/>
          <w:rtl/>
        </w:rPr>
        <w:t>عليه‌السلام</w:t>
      </w:r>
      <w:r w:rsidRPr="00C9040A">
        <w:rPr>
          <w:rtl/>
          <w:lang w:bidi="fa-IR"/>
        </w:rPr>
        <w:t xml:space="preserve"> يَقُولُ : « قَالَ رَسُولُ اللهِ </w:t>
      </w:r>
      <w:r w:rsidR="004A4E41" w:rsidRPr="004A4E41">
        <w:rPr>
          <w:rStyle w:val="libAlaemChar"/>
          <w:rtl/>
        </w:rPr>
        <w:t>صلى‌الله‌عليه‌وآله</w:t>
      </w:r>
      <w:r w:rsidRPr="00C9040A">
        <w:rPr>
          <w:rtl/>
          <w:lang w:bidi="fa-IR"/>
        </w:rPr>
        <w:t xml:space="preserve"> : قَالَ اللهُ عَزَّ وَجَلَّ : إِنَّ مِنْ أَغْبَطِ </w:t>
      </w:r>
      <w:r w:rsidR="006C577F" w:rsidRPr="006C577F">
        <w:rPr>
          <w:rStyle w:val="libFootnotenumChar"/>
          <w:rtl/>
        </w:rPr>
        <w:t>(8)</w:t>
      </w:r>
      <w:r w:rsidRPr="00C9040A">
        <w:rPr>
          <w:rtl/>
          <w:lang w:bidi="fa-IR"/>
        </w:rPr>
        <w:t xml:space="preserve"> أَوْلِيَائِي عِنْدِي رَجُلاً خَفِيفَ </w:t>
      </w:r>
      <w:r w:rsidR="006C577F" w:rsidRPr="006C577F">
        <w:rPr>
          <w:rStyle w:val="libFootnotenumChar"/>
          <w:rtl/>
        </w:rPr>
        <w:t>(9)</w:t>
      </w:r>
      <w:r w:rsidRPr="00C9040A">
        <w:rPr>
          <w:rtl/>
          <w:lang w:bidi="fa-IR"/>
        </w:rPr>
        <w:t xml:space="preserve"> الْحَالِ </w:t>
      </w:r>
      <w:r w:rsidR="006C577F" w:rsidRPr="006C577F">
        <w:rPr>
          <w:rStyle w:val="libFootnotenumChar"/>
          <w:rtl/>
        </w:rPr>
        <w:t>(10)</w:t>
      </w:r>
      <w:r w:rsidRPr="00C9040A">
        <w:rPr>
          <w:rtl/>
          <w:lang w:bidi="fa-IR"/>
        </w:rPr>
        <w:t xml:space="preserve"> ، ذَا حَظٍّ مِنْ صَلَاةٍ ، أَحْسَنَ عِبَادَةَ رَبِّهِ بِالْغَيْبِ </w:t>
      </w:r>
      <w:r w:rsidR="006C577F" w:rsidRPr="006C577F">
        <w:rPr>
          <w:rStyle w:val="libFootnotenumChar"/>
          <w:rtl/>
        </w:rPr>
        <w:t>(11)</w:t>
      </w:r>
      <w:r w:rsidRPr="00C9040A">
        <w:rPr>
          <w:rtl/>
          <w:lang w:bidi="fa-IR"/>
        </w:rPr>
        <w:t xml:space="preserve"> ، وَكَانَ غَامِضاً </w:t>
      </w:r>
      <w:r w:rsidR="006C577F" w:rsidRPr="006C577F">
        <w:rPr>
          <w:rStyle w:val="libFootnotenumChar"/>
          <w:rtl/>
        </w:rPr>
        <w:t>(12)</w:t>
      </w:r>
      <w:r w:rsidRPr="00C9040A">
        <w:rPr>
          <w:rtl/>
          <w:lang w:bidi="fa-IR"/>
        </w:rPr>
        <w:t xml:space="preserve"> فِي النَّاسِ ، جُعِلَ رِزْقُهُ كَفَافاً ، فَصَبَرَ </w:t>
      </w:r>
      <w:r w:rsidRPr="005B567D">
        <w:rPr>
          <w:rStyle w:val="libFootnotenumChar"/>
          <w:rtl/>
        </w:rPr>
        <w:t>(13)</w:t>
      </w:r>
      <w:r w:rsidRPr="00C9040A">
        <w:rPr>
          <w:rtl/>
          <w:lang w:bidi="fa-IR"/>
        </w:rPr>
        <w:t xml:space="preserve"> عَلَيْهِ ، عُجِّلَتْ </w:t>
      </w:r>
      <w:r w:rsidRPr="005B567D">
        <w:rPr>
          <w:rStyle w:val="libFootnotenumChar"/>
          <w:rtl/>
        </w:rPr>
        <w:t>(14)</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ز » : « بالدنيا »</w:t>
      </w:r>
      <w:r w:rsidR="008A74EB">
        <w:rPr>
          <w:rtl/>
        </w:rPr>
        <w:t>.</w:t>
      </w:r>
    </w:p>
    <w:p w:rsidR="008A74EB" w:rsidRPr="00C9040A" w:rsidRDefault="006C577F" w:rsidP="00F9393C">
      <w:pPr>
        <w:pStyle w:val="libFootnote0"/>
        <w:rPr>
          <w:rtl/>
          <w:lang w:bidi="fa-IR"/>
        </w:rPr>
      </w:pPr>
      <w:r>
        <w:rPr>
          <w:rtl/>
        </w:rPr>
        <w:t>(2).</w:t>
      </w:r>
      <w:r w:rsidR="008A74EB">
        <w:rPr>
          <w:rtl/>
        </w:rPr>
        <w:t xml:space="preserve"> </w:t>
      </w:r>
      <w:r w:rsidR="008A74EB" w:rsidRPr="00C9040A">
        <w:rPr>
          <w:rtl/>
        </w:rPr>
        <w:t>أجزأني الشي‌ءُ</w:t>
      </w:r>
      <w:r w:rsidR="008A74EB">
        <w:rPr>
          <w:rtl/>
        </w:rPr>
        <w:t xml:space="preserve"> </w:t>
      </w:r>
      <w:r w:rsidR="0084262C">
        <w:rPr>
          <w:rtl/>
        </w:rPr>
        <w:t>-</w:t>
      </w:r>
      <w:r w:rsidR="008A74EB">
        <w:rPr>
          <w:rtl/>
        </w:rPr>
        <w:t xml:space="preserve"> </w:t>
      </w:r>
      <w:r w:rsidR="008A74EB" w:rsidRPr="00C9040A">
        <w:rPr>
          <w:rtl/>
        </w:rPr>
        <w:t>مهموز</w:t>
      </w:r>
      <w:r w:rsidR="008A74EB">
        <w:rPr>
          <w:rtl/>
        </w:rPr>
        <w:t xml:space="preserve"> </w:t>
      </w:r>
      <w:r w:rsidR="0084262C">
        <w:rPr>
          <w:rtl/>
        </w:rPr>
        <w:t>-</w:t>
      </w:r>
      <w:r w:rsidR="008A74EB">
        <w:rPr>
          <w:rtl/>
        </w:rPr>
        <w:t xml:space="preserve"> </w:t>
      </w:r>
      <w:r w:rsidR="008A74EB" w:rsidRPr="00C9040A">
        <w:rPr>
          <w:rtl/>
        </w:rPr>
        <w:t xml:space="preserve">: أي كفاني. وهذا الشي‌ء يُجزئ عن هذا ، يُهمز ويليّن. </w:t>
      </w:r>
      <w:r w:rsidR="008A74EB" w:rsidRPr="00993B55">
        <w:rPr>
          <w:rStyle w:val="libFootnoteBoldChar"/>
          <w:rtl/>
        </w:rPr>
        <w:t>ترتيب كتاب العين</w:t>
      </w:r>
      <w:r w:rsidR="008A74EB" w:rsidRPr="00C9040A">
        <w:rPr>
          <w:rtl/>
        </w:rPr>
        <w:t xml:space="preserve"> ، ج 1 ، ص 285 ( جزأ )</w:t>
      </w:r>
      <w:r w:rsidR="008A74EB">
        <w:rPr>
          <w:rtl/>
        </w:rPr>
        <w:t>.</w:t>
      </w:r>
      <w:r w:rsidR="00F9393C">
        <w:rPr>
          <w:rFonts w:hint="cs"/>
          <w:rtl/>
        </w:rPr>
        <w:t xml:space="preserve">                                        </w:t>
      </w:r>
      <w:r>
        <w:rPr>
          <w:rtl/>
        </w:rPr>
        <w:t>(3).</w:t>
      </w:r>
      <w:r w:rsidR="008A74EB" w:rsidRPr="00C9040A">
        <w:rPr>
          <w:rtl/>
        </w:rPr>
        <w:t xml:space="preserve"> في « ف » </w:t>
      </w:r>
      <w:r w:rsidR="008A74EB">
        <w:rPr>
          <w:rtl/>
        </w:rPr>
        <w:t xml:space="preserve">: </w:t>
      </w:r>
      <w:r w:rsidR="0084262C">
        <w:rPr>
          <w:rtl/>
        </w:rPr>
        <w:t>-</w:t>
      </w:r>
      <w:r w:rsidR="008A74EB" w:rsidRPr="00C9040A">
        <w:rPr>
          <w:rtl/>
        </w:rPr>
        <w:t xml:space="preserve"> « فيها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البحار وفقه الرضا : « شي‌ء منها » بدل « فيها شي‌ء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الفقيه</w:t>
      </w:r>
      <w:r w:rsidR="008A74EB" w:rsidRPr="00C9040A">
        <w:rPr>
          <w:rtl/>
        </w:rPr>
        <w:t xml:space="preserve"> ، ج 4 ، ص 418 ، ح 5910 ، مرسلاً ؛ </w:t>
      </w:r>
      <w:r w:rsidR="008A74EB" w:rsidRPr="00993B55">
        <w:rPr>
          <w:rStyle w:val="libFootnoteBoldChar"/>
          <w:rtl/>
        </w:rPr>
        <w:t>تحف العقول</w:t>
      </w:r>
      <w:r w:rsidR="008A74EB" w:rsidRPr="00C9040A">
        <w:rPr>
          <w:rtl/>
        </w:rPr>
        <w:t xml:space="preserve"> ، ص 207 ؛ </w:t>
      </w:r>
      <w:r w:rsidR="008A74EB" w:rsidRPr="00993B55">
        <w:rPr>
          <w:rStyle w:val="libFootnoteBoldChar"/>
          <w:rtl/>
        </w:rPr>
        <w:t>فقه الرضا</w:t>
      </w:r>
      <w:r w:rsidR="008A74EB" w:rsidRPr="00C9040A">
        <w:rPr>
          <w:rtl/>
        </w:rPr>
        <w:t xml:space="preserve"> </w:t>
      </w:r>
      <w:r w:rsidR="00117575" w:rsidRPr="00117575">
        <w:rPr>
          <w:rStyle w:val="libFootnoteAlaemChar"/>
          <w:rtl/>
        </w:rPr>
        <w:t>عليه‌السلام</w:t>
      </w:r>
      <w:r w:rsidR="008A74EB" w:rsidRPr="00C9040A">
        <w:rPr>
          <w:rtl/>
        </w:rPr>
        <w:t xml:space="preserve"> ، ص 364 </w:t>
      </w:r>
      <w:r w:rsidR="00F9393C">
        <w:rPr>
          <w:rFonts w:hint="cs"/>
          <w:rtl/>
        </w:rPr>
        <w:t>.</w:t>
      </w:r>
      <w:r w:rsidR="008A74EB" w:rsidRPr="00993B55">
        <w:rPr>
          <w:rStyle w:val="libFootnoteBoldChar"/>
          <w:rtl/>
        </w:rPr>
        <w:t>الوافي</w:t>
      </w:r>
      <w:r w:rsidR="008A74EB" w:rsidRPr="00C9040A">
        <w:rPr>
          <w:rtl/>
        </w:rPr>
        <w:t xml:space="preserve"> ، ج 4 ، ص 409 ، ح 2209 ؛ </w:t>
      </w:r>
      <w:r w:rsidR="008A74EB" w:rsidRPr="00993B55">
        <w:rPr>
          <w:rStyle w:val="libFootnoteBoldChar"/>
          <w:rtl/>
        </w:rPr>
        <w:t>الوسائل</w:t>
      </w:r>
      <w:r w:rsidR="008A74EB" w:rsidRPr="00C9040A">
        <w:rPr>
          <w:rtl/>
        </w:rPr>
        <w:t xml:space="preserve"> ، ج 21 ، ص 532 ، ح 27780 ؛ </w:t>
      </w:r>
      <w:r w:rsidR="008A74EB" w:rsidRPr="00993B55">
        <w:rPr>
          <w:rStyle w:val="libFootnoteBoldChar"/>
          <w:rtl/>
        </w:rPr>
        <w:t>البحار</w:t>
      </w:r>
      <w:r w:rsidR="008A74EB" w:rsidRPr="00C9040A">
        <w:rPr>
          <w:rtl/>
        </w:rPr>
        <w:t xml:space="preserve"> ، ج 73 ، ص 178 ، ح 23.</w:t>
      </w:r>
    </w:p>
    <w:tbl>
      <w:tblPr>
        <w:tblStyle w:val="TableGrid"/>
        <w:bidiVisual/>
        <w:tblW w:w="0" w:type="auto"/>
        <w:tblLook w:val="04A0" w:firstRow="1" w:lastRow="0" w:firstColumn="1" w:lastColumn="0" w:noHBand="0" w:noVBand="1"/>
      </w:tblPr>
      <w:tblGrid>
        <w:gridCol w:w="4006"/>
        <w:gridCol w:w="4006"/>
      </w:tblGrid>
      <w:tr w:rsidR="00F9393C" w:rsidTr="00F9393C">
        <w:tc>
          <w:tcPr>
            <w:tcW w:w="4006" w:type="dxa"/>
          </w:tcPr>
          <w:p w:rsidR="00F9393C" w:rsidRDefault="00F9393C" w:rsidP="004A4E41">
            <w:pPr>
              <w:pStyle w:val="libFootnote0"/>
              <w:rPr>
                <w:rtl/>
              </w:rPr>
            </w:pPr>
            <w:r>
              <w:rPr>
                <w:rtl/>
              </w:rPr>
              <w:t xml:space="preserve">(6). </w:t>
            </w:r>
            <w:r w:rsidRPr="00C9040A">
              <w:rPr>
                <w:rtl/>
              </w:rPr>
              <w:t>في « ف » : + « والعفاف »</w:t>
            </w:r>
            <w:r>
              <w:rPr>
                <w:rtl/>
              </w:rPr>
              <w:t>.</w:t>
            </w:r>
          </w:p>
        </w:tc>
        <w:tc>
          <w:tcPr>
            <w:tcW w:w="4006" w:type="dxa"/>
          </w:tcPr>
          <w:p w:rsidR="00F9393C" w:rsidRDefault="00F9393C" w:rsidP="004A4E41">
            <w:pPr>
              <w:pStyle w:val="libFootnote0"/>
              <w:rPr>
                <w:rtl/>
              </w:rPr>
            </w:pPr>
            <w:r>
              <w:rPr>
                <w:rtl/>
              </w:rPr>
              <w:t>(7).</w:t>
            </w:r>
            <w:r w:rsidRPr="00C9040A">
              <w:rPr>
                <w:rtl/>
              </w:rPr>
              <w:t xml:space="preserve"> في « ب » : « أبا عبد الله »</w:t>
            </w:r>
            <w:r>
              <w:rPr>
                <w:rtl/>
              </w:rPr>
              <w:t>.</w:t>
            </w:r>
          </w:p>
        </w:tc>
      </w:tr>
    </w:tbl>
    <w:p w:rsidR="008A74EB" w:rsidRPr="00C9040A" w:rsidRDefault="006C577F" w:rsidP="004A4E41">
      <w:pPr>
        <w:pStyle w:val="libFootnote0"/>
        <w:rPr>
          <w:rtl/>
          <w:lang w:bidi="fa-IR"/>
        </w:rPr>
      </w:pPr>
      <w:r>
        <w:rPr>
          <w:rtl/>
        </w:rPr>
        <w:t>(8).</w:t>
      </w:r>
      <w:r w:rsidR="008A74EB" w:rsidRPr="00C9040A">
        <w:rPr>
          <w:rtl/>
        </w:rPr>
        <w:t xml:space="preserve"> « الغِبْطَة » : حُسن الحال والمسَرَّة. </w:t>
      </w:r>
      <w:r w:rsidR="008A74EB" w:rsidRPr="00993B55">
        <w:rPr>
          <w:rStyle w:val="libFootnoteBoldChar"/>
          <w:rtl/>
        </w:rPr>
        <w:t>القاموس المحيط</w:t>
      </w:r>
      <w:r w:rsidR="008A74EB" w:rsidRPr="00C9040A">
        <w:rPr>
          <w:rtl/>
        </w:rPr>
        <w:t xml:space="preserve"> ، ج 1 ، ص 916 ( غبط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شرح المازندراني والوافي ومرآة العقول عن بعض النسخ : « حفيف » بالمهملة ، أي سوء العيش وقلّة المال.</w:t>
      </w:r>
    </w:p>
    <w:p w:rsidR="008A74EB" w:rsidRPr="00C9040A" w:rsidRDefault="006C577F" w:rsidP="00F9393C">
      <w:pPr>
        <w:pStyle w:val="libFootnote0"/>
        <w:rPr>
          <w:rtl/>
          <w:lang w:bidi="fa-IR"/>
        </w:rPr>
      </w:pPr>
      <w:r>
        <w:rPr>
          <w:rtl/>
        </w:rPr>
        <w:t>(10).</w:t>
      </w:r>
      <w:r w:rsidR="008A74EB" w:rsidRPr="00C9040A">
        <w:rPr>
          <w:rtl/>
        </w:rPr>
        <w:t xml:space="preserve"> في تحف العقول : « الحاذ »</w:t>
      </w:r>
      <w:r w:rsidR="008A74EB">
        <w:rPr>
          <w:rtl/>
        </w:rPr>
        <w:t>.</w:t>
      </w:r>
      <w:r w:rsidR="008A74EB" w:rsidRPr="00C9040A">
        <w:rPr>
          <w:rtl/>
        </w:rPr>
        <w:t xml:space="preserve"> وفي </w:t>
      </w:r>
      <w:r w:rsidR="008A74EB" w:rsidRPr="00993B55">
        <w:rPr>
          <w:rStyle w:val="libFootnoteBoldChar"/>
          <w:rtl/>
        </w:rPr>
        <w:t>الصحاح</w:t>
      </w:r>
      <w:r w:rsidR="008A74EB" w:rsidRPr="00C9040A">
        <w:rPr>
          <w:rtl/>
        </w:rPr>
        <w:t xml:space="preserve"> ، ج 2 ، ص 563 ( حوذ ) : « وفي الحديث : مؤمن خفيف الحاذّ. أي خفيف الظَّهر »</w:t>
      </w:r>
      <w:r w:rsidR="008A74EB">
        <w:rPr>
          <w:rtl/>
        </w:rPr>
        <w:t>.</w:t>
      </w:r>
      <w:r w:rsidR="00F9393C">
        <w:rPr>
          <w:rFonts w:hint="cs"/>
          <w:rtl/>
        </w:rPr>
        <w:t xml:space="preserve">                               </w:t>
      </w:r>
      <w:r w:rsidR="00F9393C">
        <w:rPr>
          <w:rtl/>
        </w:rPr>
        <w:t>(11).</w:t>
      </w:r>
      <w:r w:rsidR="00F9393C" w:rsidRPr="00C9040A">
        <w:rPr>
          <w:rtl/>
        </w:rPr>
        <w:t xml:space="preserve"> في تحف العقول : « في الغيب »</w:t>
      </w:r>
      <w:r w:rsidR="00F9393C">
        <w:rPr>
          <w:rtl/>
        </w:rPr>
        <w:t>.</w:t>
      </w:r>
    </w:p>
    <w:p w:rsidR="008A74EB" w:rsidRPr="00C9040A" w:rsidRDefault="006C577F" w:rsidP="004A4E41">
      <w:pPr>
        <w:pStyle w:val="libFootnote0"/>
        <w:rPr>
          <w:rtl/>
          <w:lang w:bidi="fa-IR"/>
        </w:rPr>
      </w:pPr>
      <w:r>
        <w:rPr>
          <w:rtl/>
        </w:rPr>
        <w:t>(12).</w:t>
      </w:r>
      <w:r w:rsidR="008A74EB" w:rsidRPr="00C9040A">
        <w:rPr>
          <w:rtl/>
        </w:rPr>
        <w:t xml:space="preserve"> « غامضاً » ، أي مغموراً غير مشهور. </w:t>
      </w:r>
      <w:r w:rsidR="008A74EB" w:rsidRPr="00993B55">
        <w:rPr>
          <w:rStyle w:val="libFootnoteBoldChar"/>
          <w:rtl/>
        </w:rPr>
        <w:t>النهاية</w:t>
      </w:r>
      <w:r w:rsidR="008A74EB" w:rsidRPr="00C9040A">
        <w:rPr>
          <w:rtl/>
        </w:rPr>
        <w:t xml:space="preserve"> ، ج 3 ، ص 387 ( غمض )</w:t>
      </w:r>
      <w:r w:rsidR="008A74EB">
        <w:rPr>
          <w:rtl/>
        </w:rPr>
        <w:t>.</w:t>
      </w:r>
    </w:p>
    <w:p w:rsidR="008A74EB" w:rsidRPr="00C9040A" w:rsidRDefault="008A74EB" w:rsidP="004A4E41">
      <w:pPr>
        <w:pStyle w:val="libFootnote0"/>
        <w:rPr>
          <w:rtl/>
          <w:lang w:bidi="fa-IR"/>
        </w:rPr>
      </w:pPr>
      <w:r>
        <w:rPr>
          <w:rtl/>
        </w:rPr>
        <w:t>(13)</w:t>
      </w:r>
      <w:r w:rsidRPr="00C9040A">
        <w:rPr>
          <w:rtl/>
        </w:rPr>
        <w:t xml:space="preserve"> في « ف » : « تصبّر » بهيئة الماضي من التفعّل.</w:t>
      </w:r>
    </w:p>
    <w:p w:rsidR="008A74EB" w:rsidRPr="00C9040A" w:rsidRDefault="008A74EB" w:rsidP="004A4E41">
      <w:pPr>
        <w:pStyle w:val="libFootnote0"/>
        <w:rPr>
          <w:rtl/>
          <w:lang w:bidi="fa-IR"/>
        </w:rPr>
      </w:pPr>
      <w:r>
        <w:rPr>
          <w:rtl/>
        </w:rPr>
        <w:t>(14)</w:t>
      </w:r>
      <w:r w:rsidRPr="00C9040A">
        <w:rPr>
          <w:rtl/>
        </w:rPr>
        <w:t xml:space="preserve"> في « ص » : « عَجِلت » بالتخفيف. يجوز فيه المبنيّ للفاعل وسكون التاء أو ضمّها وسكون اللام. وفي </w:t>
      </w:r>
      <w:r w:rsidRPr="00993B55">
        <w:rPr>
          <w:rStyle w:val="libFootnoteBoldChar"/>
          <w:rtl/>
        </w:rPr>
        <w:t>الوافي</w:t>
      </w:r>
      <w:r w:rsidRPr="00C9040A">
        <w:rPr>
          <w:rtl/>
        </w:rPr>
        <w:t xml:space="preserve"> : « كأنّ المراد بعجلة منيّته زهده في مشتهيات الدنيا وعدم افتقاره إلى شي‌ء منها</w:t>
      </w:r>
      <w:r w:rsidR="00F9393C">
        <w:rPr>
          <w:rtl/>
        </w:rPr>
        <w:t xml:space="preserve"> كأنّه ميّت ، وقد ورد في الحديث</w:t>
      </w:r>
      <w:r w:rsidR="00F9393C">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مَنِيَّتُهُ </w:t>
      </w:r>
      <w:r w:rsidR="006C577F" w:rsidRPr="006C577F">
        <w:rPr>
          <w:rStyle w:val="libFootnotenumChar"/>
          <w:rtl/>
        </w:rPr>
        <w:t>(1)</w:t>
      </w:r>
      <w:r w:rsidRPr="00C9040A">
        <w:rPr>
          <w:rtl/>
          <w:lang w:bidi="fa-IR"/>
        </w:rPr>
        <w:t xml:space="preserve"> ، فَقَلَّ تُرَاثُهُ </w:t>
      </w:r>
      <w:r w:rsidR="006C577F" w:rsidRPr="006C577F">
        <w:rPr>
          <w:rStyle w:val="libFootnotenumChar"/>
          <w:rtl/>
        </w:rPr>
        <w:t>(2)</w:t>
      </w:r>
      <w:r w:rsidRPr="00C9040A">
        <w:rPr>
          <w:rtl/>
          <w:lang w:bidi="fa-IR"/>
        </w:rPr>
        <w:t xml:space="preserve"> ، وَقَلَّ </w:t>
      </w:r>
      <w:r w:rsidR="006C577F" w:rsidRPr="006C577F">
        <w:rPr>
          <w:rStyle w:val="libFootnotenumChar"/>
          <w:rtl/>
        </w:rPr>
        <w:t>(3)</w:t>
      </w:r>
      <w:r w:rsidRPr="00C9040A">
        <w:rPr>
          <w:rtl/>
          <w:lang w:bidi="fa-IR"/>
        </w:rPr>
        <w:t xml:space="preserve"> بَوَاكِيهِ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A67311">
        <w:rPr>
          <w:rtl/>
        </w:rPr>
        <w:t>1932</w:t>
      </w:r>
      <w:r w:rsidRPr="00261CB0">
        <w:rPr>
          <w:rStyle w:val="libBold2Char"/>
          <w:rtl/>
        </w:rPr>
        <w:t xml:space="preserve"> / 2.</w:t>
      </w:r>
      <w:r w:rsidRPr="00C9040A">
        <w:rPr>
          <w:rtl/>
          <w:lang w:bidi="fa-IR"/>
        </w:rPr>
        <w:t xml:space="preserve"> عَلِيُّ بْنُ إِبْرَاهِيمَ ، عَنْ أَبِيهِ ، عَنِ النَّوْفَلِيِّ ، عَنِ السَّكُونِيِّ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طُوبى لِمَنْ أَسْلَمَ </w:t>
      </w:r>
      <w:r w:rsidR="006C577F" w:rsidRPr="006C577F">
        <w:rPr>
          <w:rStyle w:val="libFootnotenumChar"/>
          <w:rtl/>
        </w:rPr>
        <w:t>(5)</w:t>
      </w:r>
      <w:r w:rsidRPr="00C9040A">
        <w:rPr>
          <w:rtl/>
          <w:lang w:bidi="fa-IR"/>
        </w:rPr>
        <w:t xml:space="preserve"> ، وَكَانَ عَيْشُهُ كَفَافاً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Normal"/>
        <w:rPr>
          <w:rtl/>
          <w:lang w:bidi="fa-IR"/>
        </w:rPr>
      </w:pPr>
      <w:r w:rsidRPr="00A67311">
        <w:rPr>
          <w:rtl/>
        </w:rPr>
        <w:t>1933</w:t>
      </w:r>
      <w:r w:rsidRPr="00261CB0">
        <w:rPr>
          <w:rStyle w:val="libBold2Char"/>
          <w:rtl/>
        </w:rPr>
        <w:t xml:space="preserve"> / 3.</w:t>
      </w:r>
      <w:r w:rsidRPr="00C9040A">
        <w:rPr>
          <w:rtl/>
          <w:lang w:bidi="fa-IR"/>
        </w:rPr>
        <w:t xml:space="preserve"> النَّوْفَلِيُّ </w:t>
      </w:r>
      <w:r w:rsidR="006C577F" w:rsidRPr="006C577F">
        <w:rPr>
          <w:rStyle w:val="libFootnotenumChar"/>
          <w:rtl/>
        </w:rPr>
        <w:t>(7)</w:t>
      </w:r>
      <w:r w:rsidRPr="00C9040A">
        <w:rPr>
          <w:rtl/>
          <w:lang w:bidi="fa-IR"/>
        </w:rPr>
        <w:t xml:space="preserve"> ، عَنِ السَّكُونِيِّ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الل</w:t>
      </w:r>
      <w:r w:rsidR="00F9393C">
        <w:rPr>
          <w:rFonts w:hint="cs"/>
          <w:rtl/>
          <w:lang w:bidi="fa-IR"/>
        </w:rPr>
        <w:t>َّ</w:t>
      </w:r>
      <w:r w:rsidRPr="00C9040A">
        <w:rPr>
          <w:rtl/>
          <w:lang w:bidi="fa-IR"/>
        </w:rPr>
        <w:t xml:space="preserve">هُمَّ ارْزُقْ مُحَمَّداً وَآلَ مُحَمَّدٍ وَمَنْ أَحَبَّ مُحَمَّداً وَآلَ مُحَمَّدٍ الْعَفَافَ وَالْكَفَافَ ، وَارْزُقْ مَنْ أَبْغَضَ مُحَمَّداً وَآلَ مُحَمَّدٍ </w:t>
      </w:r>
      <w:r w:rsidR="006C577F" w:rsidRPr="006C577F">
        <w:rPr>
          <w:rStyle w:val="libFootnotenumChar"/>
          <w:rtl/>
        </w:rPr>
        <w:t>(8)</w:t>
      </w:r>
      <w:r w:rsidRPr="00C9040A">
        <w:rPr>
          <w:rtl/>
          <w:lang w:bidi="fa-IR"/>
        </w:rPr>
        <w:t xml:space="preserve"> الْمَالَ وَالْوَلَدَ</w:t>
      </w:r>
      <w:r w:rsidR="006C577F" w:rsidRPr="006C577F">
        <w:rPr>
          <w:rStyle w:val="libFootnotenumChar"/>
          <w:rtl/>
        </w:rPr>
        <w:t>(9)</w:t>
      </w:r>
      <w:r w:rsidRPr="00C9040A">
        <w:rPr>
          <w:rtl/>
          <w:lang w:bidi="fa-IR"/>
        </w:rPr>
        <w:t>»</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F9393C" w:rsidP="004A4E41">
      <w:pPr>
        <w:pStyle w:val="libFootnote0"/>
        <w:rPr>
          <w:rtl/>
          <w:lang w:bidi="fa-IR"/>
        </w:rPr>
      </w:pPr>
      <w:r>
        <w:rPr>
          <w:rFonts w:hint="cs"/>
          <w:rtl/>
        </w:rPr>
        <w:t xml:space="preserve">= </w:t>
      </w:r>
      <w:r w:rsidR="008A74EB" w:rsidRPr="00C9040A">
        <w:rPr>
          <w:rtl/>
        </w:rPr>
        <w:t>المشهور : « موتوا قبل أن تموتوا »</w:t>
      </w:r>
      <w:r w:rsidR="008A74EB">
        <w:rPr>
          <w:rtl/>
        </w:rPr>
        <w:t>.</w:t>
      </w:r>
      <w:r w:rsidR="008A74EB" w:rsidRPr="00C9040A">
        <w:rPr>
          <w:rtl/>
        </w:rPr>
        <w:t xml:space="preserve"> أو المراد أنّه مهما قرب موته قلّ تراثه وقلّت بواكيه لانسلاخه متدرّجاً عن أمواله وأولاده »</w:t>
      </w:r>
      <w:r w:rsidR="008A74EB">
        <w:rPr>
          <w:rtl/>
        </w:rPr>
        <w:t>.</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حاشية « ف » : « ميتته »</w:t>
      </w:r>
      <w:r w:rsidR="008A74EB">
        <w:rPr>
          <w:rtl/>
        </w:rPr>
        <w:t>.</w:t>
      </w:r>
      <w:r w:rsidR="008A74EB" w:rsidRPr="00C9040A">
        <w:rPr>
          <w:rtl/>
        </w:rPr>
        <w:t xml:space="preserve"> وفي تحف العقول : « ومات » بدل « عجّلت منيّته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حاشية « ض » : « ميراثه »</w:t>
      </w:r>
      <w:r w:rsidR="008A74EB">
        <w:rPr>
          <w:rtl/>
        </w:rPr>
        <w:t>.</w:t>
      </w:r>
      <w:r w:rsidR="008A74EB" w:rsidRPr="00C9040A">
        <w:rPr>
          <w:rtl/>
        </w:rPr>
        <w:t xml:space="preserve"> </w:t>
      </w:r>
      <w:r w:rsidR="008A74EB">
        <w:rPr>
          <w:rtl/>
        </w:rPr>
        <w:t>و «</w:t>
      </w:r>
      <w:r w:rsidR="008A74EB" w:rsidRPr="00C9040A">
        <w:rPr>
          <w:rtl/>
        </w:rPr>
        <w:t xml:space="preserve"> التُراث » : ما يخلّفه الرجل لورثته. والتاء فيه بدل الواو. </w:t>
      </w:r>
      <w:r w:rsidR="008A74EB" w:rsidRPr="00993B55">
        <w:rPr>
          <w:rStyle w:val="libFootnoteBoldChar"/>
          <w:rtl/>
        </w:rPr>
        <w:t>النهاية</w:t>
      </w:r>
      <w:r w:rsidR="008A74EB" w:rsidRPr="00C9040A">
        <w:rPr>
          <w:rtl/>
        </w:rPr>
        <w:t xml:space="preserve"> ، ج 1 ، ص 186 ( ترث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هكذا في « ب ، ج ، د ، ز ، ص ، بف » وتحف العقول. وفي سائر النسخ والمطبوع : « وقلّت »</w:t>
      </w:r>
      <w:r w:rsidR="008A74EB">
        <w:rPr>
          <w:rtl/>
        </w:rPr>
        <w:t>.</w:t>
      </w:r>
      <w:r w:rsidR="008A74EB" w:rsidRPr="00C9040A">
        <w:rPr>
          <w:rtl/>
        </w:rPr>
        <w:t xml:space="preserve"> وما أثبتناه في المتن هو الصحيح ، كقوله تعالى : </w:t>
      </w:r>
      <w:r w:rsidR="008A74EB" w:rsidRPr="00F9393C">
        <w:rPr>
          <w:rStyle w:val="libFootnoteAlaemChar"/>
          <w:rtl/>
        </w:rPr>
        <w:t>(</w:t>
      </w:r>
      <w:r w:rsidR="008A74EB" w:rsidRPr="00883DD5">
        <w:rPr>
          <w:rStyle w:val="libFootnoteAieChar"/>
          <w:rFonts w:hint="cs"/>
          <w:rtl/>
        </w:rPr>
        <w:t xml:space="preserve"> </w:t>
      </w:r>
      <w:r w:rsidR="008A74EB" w:rsidRPr="00883DD5">
        <w:rPr>
          <w:rStyle w:val="libFootnoteAieChar"/>
          <w:rtl/>
        </w:rPr>
        <w:t>قالَ نِسْوَةٌ</w:t>
      </w:r>
      <w:r w:rsidR="008A74EB" w:rsidRPr="00883DD5">
        <w:rPr>
          <w:rStyle w:val="libFootnoteAieChar"/>
          <w:rFonts w:hint="cs"/>
          <w:rtl/>
        </w:rPr>
        <w:t xml:space="preserve"> </w:t>
      </w:r>
      <w:r w:rsidR="008A74EB" w:rsidRPr="00F9393C">
        <w:rPr>
          <w:rStyle w:val="libFootnoteAlaemChar"/>
          <w:rtl/>
        </w:rPr>
        <w:t>)</w:t>
      </w:r>
      <w:r w:rsidR="008A74EB" w:rsidRPr="00C9040A">
        <w:rPr>
          <w:rtl/>
        </w:rPr>
        <w:t>.</w:t>
      </w:r>
    </w:p>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تحف العقول</w:t>
      </w:r>
      <w:r w:rsidR="008A74EB" w:rsidRPr="00C9040A">
        <w:rPr>
          <w:rtl/>
        </w:rPr>
        <w:t xml:space="preserve"> ، ص 38 ، عن النبيّ </w:t>
      </w:r>
      <w:r w:rsidR="004A4E41" w:rsidRPr="00DE2616">
        <w:rPr>
          <w:rStyle w:val="libFootnoteAlaemChar"/>
          <w:rtl/>
        </w:rPr>
        <w:t>صلى‌الله‌عليه‌وآله</w:t>
      </w:r>
      <w:r w:rsidR="008A74EB" w:rsidRPr="00C9040A">
        <w:rPr>
          <w:rtl/>
        </w:rPr>
        <w:t xml:space="preserve"> ، مع اختلاف يسير </w:t>
      </w:r>
      <w:r w:rsidR="00F9393C">
        <w:rPr>
          <w:rFonts w:hint="cs"/>
          <w:rtl/>
        </w:rPr>
        <w:t>.</w:t>
      </w:r>
      <w:r w:rsidR="008A74EB" w:rsidRPr="00993B55">
        <w:rPr>
          <w:rStyle w:val="libFootnoteBoldChar"/>
          <w:rtl/>
        </w:rPr>
        <w:t>الوافي</w:t>
      </w:r>
      <w:r w:rsidR="008A74EB" w:rsidRPr="00C9040A">
        <w:rPr>
          <w:rtl/>
        </w:rPr>
        <w:t xml:space="preserve"> ، ج 4 ، ص 411 ، ح 2213 ؛ </w:t>
      </w:r>
      <w:r w:rsidR="008A74EB" w:rsidRPr="00993B55">
        <w:rPr>
          <w:rStyle w:val="libFootnoteBoldChar"/>
          <w:rtl/>
        </w:rPr>
        <w:t>الوسائل</w:t>
      </w:r>
      <w:r w:rsidR="008A74EB" w:rsidRPr="00C9040A">
        <w:rPr>
          <w:rtl/>
        </w:rPr>
        <w:t xml:space="preserve"> ، ج 1 ، ص 78 ، ح 176 ؛ </w:t>
      </w:r>
      <w:r w:rsidR="008A74EB" w:rsidRPr="00993B55">
        <w:rPr>
          <w:rStyle w:val="libFootnoteBoldChar"/>
          <w:rtl/>
        </w:rPr>
        <w:t>البحار</w:t>
      </w:r>
      <w:r w:rsidR="008A74EB" w:rsidRPr="00C9040A">
        <w:rPr>
          <w:rtl/>
        </w:rPr>
        <w:t xml:space="preserve"> ، ج 72 ، ص 57 ، ح 1.</w:t>
      </w:r>
    </w:p>
    <w:p w:rsidR="008A74EB" w:rsidRPr="00C9040A" w:rsidRDefault="006C577F" w:rsidP="004A4E41">
      <w:pPr>
        <w:pStyle w:val="libFootnote0"/>
        <w:rPr>
          <w:rtl/>
          <w:lang w:bidi="fa-IR"/>
        </w:rPr>
      </w:pPr>
      <w:r>
        <w:rPr>
          <w:rtl/>
        </w:rPr>
        <w:t>(5).</w:t>
      </w:r>
      <w:r w:rsidR="008A74EB" w:rsidRPr="00C9040A">
        <w:rPr>
          <w:rtl/>
        </w:rPr>
        <w:t xml:space="preserve"> في فقه الرضا : « آمن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فقه الرضا</w:t>
      </w:r>
      <w:r w:rsidR="008A74EB" w:rsidRPr="00C9040A">
        <w:rPr>
          <w:rtl/>
        </w:rPr>
        <w:t xml:space="preserve"> </w:t>
      </w:r>
      <w:r w:rsidR="00117575" w:rsidRPr="00117575">
        <w:rPr>
          <w:rStyle w:val="libFootnoteAlaemChar"/>
          <w:rtl/>
        </w:rPr>
        <w:t>عليه‌السلام</w:t>
      </w:r>
      <w:r w:rsidR="008A74EB" w:rsidRPr="00C9040A">
        <w:rPr>
          <w:rtl/>
        </w:rPr>
        <w:t xml:space="preserve"> ، ص 366 </w:t>
      </w:r>
      <w:r w:rsidR="008A74EB" w:rsidRPr="00993B55">
        <w:rPr>
          <w:rStyle w:val="libFootnoteBoldChar"/>
          <w:rtl/>
        </w:rPr>
        <w:t>الوافي</w:t>
      </w:r>
      <w:r w:rsidR="008A74EB" w:rsidRPr="00C9040A">
        <w:rPr>
          <w:rtl/>
        </w:rPr>
        <w:t xml:space="preserve"> ، ج 4 ، ص 412 ، ح 2215 ؛ </w:t>
      </w:r>
      <w:r w:rsidR="008A74EB" w:rsidRPr="00993B55">
        <w:rPr>
          <w:rStyle w:val="libFootnoteBoldChar"/>
          <w:rtl/>
        </w:rPr>
        <w:t>الوسائل</w:t>
      </w:r>
      <w:r w:rsidR="008A74EB" w:rsidRPr="00C9040A">
        <w:rPr>
          <w:rtl/>
        </w:rPr>
        <w:t xml:space="preserve"> ، ج 21 ، ص 533 ، ح 27782 ؛ </w:t>
      </w:r>
      <w:r w:rsidR="008A74EB" w:rsidRPr="00993B55">
        <w:rPr>
          <w:rStyle w:val="libFootnoteBoldChar"/>
          <w:rtl/>
        </w:rPr>
        <w:t>البحار</w:t>
      </w:r>
      <w:r w:rsidR="008A74EB" w:rsidRPr="00C9040A">
        <w:rPr>
          <w:rtl/>
        </w:rPr>
        <w:t xml:space="preserve"> ، ج 72 ، ص 59 ، ح 2.</w:t>
      </w:r>
    </w:p>
    <w:p w:rsidR="008A74EB" w:rsidRPr="00C9040A" w:rsidRDefault="006C577F" w:rsidP="004A4E41">
      <w:pPr>
        <w:pStyle w:val="libFootnote0"/>
        <w:rPr>
          <w:rtl/>
          <w:lang w:bidi="fa-IR"/>
        </w:rPr>
      </w:pPr>
      <w:r>
        <w:rPr>
          <w:rtl/>
        </w:rPr>
        <w:t>(7).</w:t>
      </w:r>
      <w:r w:rsidR="008A74EB" w:rsidRPr="00C9040A">
        <w:rPr>
          <w:rtl/>
        </w:rPr>
        <w:t xml:space="preserve"> السند معلّق على سابقه. ويروي عن النوفلي ، عليّ بن إبراهيم عن أبيه.</w:t>
      </w:r>
    </w:p>
    <w:p w:rsidR="008A74EB" w:rsidRPr="00C9040A" w:rsidRDefault="006C577F" w:rsidP="004A4E41">
      <w:pPr>
        <w:pStyle w:val="libFootnote0"/>
        <w:rPr>
          <w:rtl/>
          <w:lang w:bidi="fa-IR"/>
        </w:rPr>
      </w:pPr>
      <w:r>
        <w:rPr>
          <w:rtl/>
        </w:rPr>
        <w:t>(8).</w:t>
      </w:r>
      <w:r w:rsidR="008A74EB" w:rsidRPr="00C9040A">
        <w:rPr>
          <w:rtl/>
        </w:rPr>
        <w:t xml:space="preserve"> في الجعفريّات : + « كثرة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w:t>
      </w:r>
      <w:r w:rsidR="008A74EB" w:rsidRPr="00993B55">
        <w:rPr>
          <w:rStyle w:val="libFootnoteBoldChar"/>
          <w:rtl/>
        </w:rPr>
        <w:t>الوافي</w:t>
      </w:r>
      <w:r w:rsidR="008A74EB" w:rsidRPr="00C9040A">
        <w:rPr>
          <w:rtl/>
        </w:rPr>
        <w:t xml:space="preserve"> : « ذلك لأنّ المال والولد فتنة لمن افتتن بهما ، وربما يكون الولد عدوّاً ؛ قال الله تعالى : </w:t>
      </w:r>
      <w:r w:rsidR="008A74EB" w:rsidRPr="00DE2616">
        <w:rPr>
          <w:rStyle w:val="libFootnoteAlaemChar"/>
          <w:rtl/>
        </w:rPr>
        <w:t>(</w:t>
      </w:r>
      <w:r w:rsidR="008A74EB" w:rsidRPr="00883DD5">
        <w:rPr>
          <w:rStyle w:val="libFootnoteAieChar"/>
          <w:rFonts w:hint="cs"/>
          <w:rtl/>
        </w:rPr>
        <w:t xml:space="preserve"> </w:t>
      </w:r>
      <w:r w:rsidR="008A74EB" w:rsidRPr="00883DD5">
        <w:rPr>
          <w:rStyle w:val="libFootnoteAieChar"/>
          <w:rtl/>
        </w:rPr>
        <w:t>أَنَّما أَمْوالُكُمْ وَأَوْلادُكُمْ فِتْنَةٌ</w:t>
      </w:r>
      <w:r w:rsidR="008A74EB" w:rsidRPr="00883DD5">
        <w:rPr>
          <w:rStyle w:val="libFootnoteAieChar"/>
          <w:rFonts w:hint="cs"/>
          <w:rtl/>
        </w:rPr>
        <w:t xml:space="preserve"> </w:t>
      </w:r>
      <w:r w:rsidR="008A74EB" w:rsidRPr="00DE2616">
        <w:rPr>
          <w:rStyle w:val="libFootnoteAlaemChar"/>
          <w:rtl/>
        </w:rPr>
        <w:t>)</w:t>
      </w:r>
      <w:r w:rsidR="008A74EB" w:rsidRPr="00C9040A">
        <w:rPr>
          <w:rtl/>
        </w:rPr>
        <w:t xml:space="preserve"> [ الأنفال </w:t>
      </w:r>
      <w:r w:rsidR="00F9393C">
        <w:rPr>
          <w:rtl/>
        </w:rPr>
        <w:t>(8)</w:t>
      </w:r>
      <w:r w:rsidR="008A74EB" w:rsidRPr="00C9040A">
        <w:rPr>
          <w:rtl/>
        </w:rPr>
        <w:t xml:space="preserve"> : 28 ؛ التغابن (64) : 15 ] وقال عزّوجلّ : </w:t>
      </w:r>
      <w:r w:rsidR="008A74EB" w:rsidRPr="00DE2616">
        <w:rPr>
          <w:rStyle w:val="libFootnoteAlaemChar"/>
          <w:rtl/>
        </w:rPr>
        <w:t>(</w:t>
      </w:r>
      <w:r w:rsidR="008A74EB" w:rsidRPr="00883DD5">
        <w:rPr>
          <w:rStyle w:val="libFootnoteAieChar"/>
          <w:rFonts w:hint="cs"/>
          <w:rtl/>
        </w:rPr>
        <w:t xml:space="preserve"> </w:t>
      </w:r>
      <w:r w:rsidR="008A74EB" w:rsidRPr="00883DD5">
        <w:rPr>
          <w:rStyle w:val="libFootnoteAieChar"/>
          <w:rtl/>
        </w:rPr>
        <w:t>إِنَّ مِنْ أَزْواجِكُمْ وَأَوْلادِكُمْ عَدُوًّا لَكُمْ</w:t>
      </w:r>
      <w:r w:rsidR="008A74EB" w:rsidRPr="00883DD5">
        <w:rPr>
          <w:rStyle w:val="libFootnoteAieChar"/>
          <w:rFonts w:hint="cs"/>
          <w:rtl/>
        </w:rPr>
        <w:t xml:space="preserve"> </w:t>
      </w:r>
      <w:r w:rsidR="008A74EB" w:rsidRPr="00DE2616">
        <w:rPr>
          <w:rStyle w:val="libFootnoteAlaemChar"/>
          <w:rtl/>
        </w:rPr>
        <w:t>)</w:t>
      </w:r>
      <w:r w:rsidR="008A74EB" w:rsidRPr="00C9040A">
        <w:rPr>
          <w:rtl/>
        </w:rPr>
        <w:t xml:space="preserve"> [ التغابن (64) : 14 ] وقال الله تعالى : </w:t>
      </w:r>
      <w:r w:rsidR="008A74EB" w:rsidRPr="00DE2616">
        <w:rPr>
          <w:rStyle w:val="libFootnoteAlaemChar"/>
          <w:rtl/>
        </w:rPr>
        <w:t>(</w:t>
      </w:r>
      <w:r w:rsidR="008A74EB" w:rsidRPr="00883DD5">
        <w:rPr>
          <w:rStyle w:val="libFootnoteAieChar"/>
          <w:rFonts w:hint="cs"/>
          <w:rtl/>
        </w:rPr>
        <w:t xml:space="preserve"> </w:t>
      </w:r>
      <w:r w:rsidR="00F9393C">
        <w:rPr>
          <w:rStyle w:val="libFootnoteAieChar"/>
          <w:rtl/>
        </w:rPr>
        <w:t>ال</w:t>
      </w:r>
      <w:r w:rsidR="00F9393C">
        <w:rPr>
          <w:rStyle w:val="libFootnoteAieChar"/>
          <w:rFonts w:hint="cs"/>
          <w:rtl/>
        </w:rPr>
        <w:t>ْ</w:t>
      </w:r>
      <w:r w:rsidR="008A74EB" w:rsidRPr="00883DD5">
        <w:rPr>
          <w:rStyle w:val="libFootnoteAieChar"/>
          <w:rtl/>
        </w:rPr>
        <w:t>م</w:t>
      </w:r>
      <w:r w:rsidR="00F9393C">
        <w:rPr>
          <w:rStyle w:val="libFootnoteAieChar"/>
          <w:rFonts w:hint="cs"/>
          <w:rtl/>
        </w:rPr>
        <w:t>َ</w:t>
      </w:r>
      <w:r w:rsidR="008A74EB" w:rsidRPr="00883DD5">
        <w:rPr>
          <w:rStyle w:val="libFootnoteAieChar"/>
          <w:rtl/>
        </w:rPr>
        <w:t>الُ وَالْبَنُونَ زِينَةُ الْحَي</w:t>
      </w:r>
      <w:r w:rsidR="00F9393C">
        <w:rPr>
          <w:rStyle w:val="libFootnoteAieChar"/>
          <w:rFonts w:hint="cs"/>
          <w:rtl/>
        </w:rPr>
        <w:t>َ</w:t>
      </w:r>
      <w:r w:rsidR="008A74EB" w:rsidRPr="00883DD5">
        <w:rPr>
          <w:rStyle w:val="libFootnoteAieChar"/>
          <w:rtl/>
        </w:rPr>
        <w:t>اةِ الدُّنْي</w:t>
      </w:r>
      <w:r w:rsidR="00F9393C">
        <w:rPr>
          <w:rStyle w:val="libFootnoteAieChar"/>
          <w:rFonts w:hint="cs"/>
          <w:rtl/>
        </w:rPr>
        <w:t>َ</w:t>
      </w:r>
      <w:r w:rsidR="008A74EB" w:rsidRPr="00883DD5">
        <w:rPr>
          <w:rStyle w:val="libFootnoteAieChar"/>
          <w:rtl/>
        </w:rPr>
        <w:t>ا وَالْب</w:t>
      </w:r>
      <w:r w:rsidR="00F9393C">
        <w:rPr>
          <w:rStyle w:val="libFootnoteAieChar"/>
          <w:rFonts w:hint="cs"/>
          <w:rtl/>
        </w:rPr>
        <w:t>َ</w:t>
      </w:r>
      <w:r w:rsidR="008A74EB" w:rsidRPr="00883DD5">
        <w:rPr>
          <w:rStyle w:val="libFootnoteAieChar"/>
          <w:rtl/>
        </w:rPr>
        <w:t>اقِياتُ الصّ</w:t>
      </w:r>
      <w:r w:rsidR="00F9393C">
        <w:rPr>
          <w:rStyle w:val="libFootnoteAieChar"/>
          <w:rFonts w:hint="cs"/>
          <w:rtl/>
        </w:rPr>
        <w:t>َ</w:t>
      </w:r>
      <w:r w:rsidR="008A74EB" w:rsidRPr="00883DD5">
        <w:rPr>
          <w:rStyle w:val="libFootnoteAieChar"/>
          <w:rtl/>
        </w:rPr>
        <w:t>الِح</w:t>
      </w:r>
      <w:r w:rsidR="00F9393C">
        <w:rPr>
          <w:rStyle w:val="libFootnoteAieChar"/>
          <w:rFonts w:hint="cs"/>
          <w:rtl/>
        </w:rPr>
        <w:t>َ</w:t>
      </w:r>
      <w:r w:rsidR="008A74EB" w:rsidRPr="00883DD5">
        <w:rPr>
          <w:rStyle w:val="libFootnoteAieChar"/>
          <w:rtl/>
        </w:rPr>
        <w:t>اتُ خَيْرٌ عِنْدَ رَبِّكَ ثَو</w:t>
      </w:r>
      <w:r w:rsidR="00F9393C">
        <w:rPr>
          <w:rStyle w:val="libFootnoteAieChar"/>
          <w:rFonts w:hint="cs"/>
          <w:rtl/>
        </w:rPr>
        <w:t>َ</w:t>
      </w:r>
      <w:r w:rsidR="008A74EB" w:rsidRPr="00883DD5">
        <w:rPr>
          <w:rStyle w:val="libFootnoteAieChar"/>
          <w:rtl/>
        </w:rPr>
        <w:t>اباً وَخَيْرٌ أَمَلاً</w:t>
      </w:r>
      <w:r w:rsidR="008A74EB" w:rsidRPr="00883DD5">
        <w:rPr>
          <w:rStyle w:val="libFootnoteAieChar"/>
          <w:rFonts w:hint="cs"/>
          <w:rtl/>
        </w:rPr>
        <w:t xml:space="preserve"> </w:t>
      </w:r>
      <w:r w:rsidR="008A74EB" w:rsidRPr="00DE2616">
        <w:rPr>
          <w:rStyle w:val="libFootnoteAlaemChar"/>
          <w:rtl/>
        </w:rPr>
        <w:t>)</w:t>
      </w:r>
      <w:r w:rsidR="008A74EB" w:rsidRPr="00C9040A">
        <w:rPr>
          <w:rtl/>
        </w:rPr>
        <w:t xml:space="preserve"> [ الكهف (18) : 46 ]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w:t>
      </w:r>
      <w:r w:rsidR="008A74EB" w:rsidRPr="00993B55">
        <w:rPr>
          <w:rStyle w:val="libFootnoteBoldChar"/>
          <w:rtl/>
        </w:rPr>
        <w:t>الجعفريّات</w:t>
      </w:r>
      <w:r w:rsidR="008A74EB" w:rsidRPr="00C9040A">
        <w:rPr>
          <w:rtl/>
        </w:rPr>
        <w:t xml:space="preserve"> ، ص 183 ، بسنده عن أبي عبد الله ، عن آبائه </w:t>
      </w:r>
      <w:r w:rsidR="00117575" w:rsidRPr="00117575">
        <w:rPr>
          <w:rStyle w:val="libFootnoteAlaemChar"/>
          <w:rtl/>
        </w:rPr>
        <w:t>عليهم‌السلام</w:t>
      </w:r>
      <w:r w:rsidR="008A74EB" w:rsidRPr="00C9040A">
        <w:rPr>
          <w:rtl/>
        </w:rPr>
        <w:t xml:space="preserve"> عن رسول الله </w:t>
      </w:r>
      <w:r w:rsidR="004A4E41" w:rsidRPr="00F9393C">
        <w:rPr>
          <w:rStyle w:val="libFootnoteAlaemChar"/>
          <w:rtl/>
        </w:rPr>
        <w:t>صلى‌الله‌عليه‌وآله</w:t>
      </w:r>
      <w:r w:rsidR="008A74EB" w:rsidRPr="00C9040A">
        <w:rPr>
          <w:rtl/>
        </w:rPr>
        <w:t xml:space="preserve">. </w:t>
      </w:r>
      <w:r w:rsidR="008A74EB" w:rsidRPr="00993B55">
        <w:rPr>
          <w:rStyle w:val="libFootnoteBoldChar"/>
          <w:rtl/>
        </w:rPr>
        <w:t>فقه الرضا</w:t>
      </w:r>
      <w:r w:rsidR="008A74EB" w:rsidRPr="00C9040A">
        <w:rPr>
          <w:rtl/>
        </w:rPr>
        <w:t xml:space="preserve"> </w:t>
      </w:r>
      <w:r w:rsidR="00117575" w:rsidRPr="00117575">
        <w:rPr>
          <w:rStyle w:val="libFootnoteAlaemChar"/>
          <w:rtl/>
        </w:rPr>
        <w:t xml:space="preserve">عليه‌السلام </w:t>
      </w:r>
      <w:r w:rsidR="008A74EB" w:rsidRPr="00C9040A">
        <w:rPr>
          <w:rtl/>
        </w:rPr>
        <w:t xml:space="preserve">، ص 366 ، </w:t>
      </w:r>
      <w:r w:rsidR="00F9393C">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F33010">
        <w:rPr>
          <w:rtl/>
        </w:rPr>
        <w:t>1934</w:t>
      </w:r>
      <w:r w:rsidRPr="00261CB0">
        <w:rPr>
          <w:rStyle w:val="libBold2Char"/>
          <w:rtl/>
        </w:rPr>
        <w:t xml:space="preserve"> / 4.</w:t>
      </w:r>
      <w:r w:rsidRPr="00C9040A">
        <w:rPr>
          <w:rtl/>
          <w:lang w:bidi="fa-IR"/>
        </w:rPr>
        <w:t xml:space="preserve"> عِدَّةٌ مِنْ أَصْحَابِنَا ، عَنْ أَحْمَدَ بْنِ مُحَمَّدِ بْنِ خَالِدٍ ، عَنْ يَعْقُوبَ بْنِ يَزِيدَ ، عَنْ إِبْرَاهِيمَ بْنِ مُحَمَّدٍ النَّوْفَلِيِّ :</w:t>
      </w:r>
    </w:p>
    <w:p w:rsidR="008A74EB" w:rsidRPr="00C9040A" w:rsidRDefault="008A74EB" w:rsidP="008A74EB">
      <w:pPr>
        <w:pStyle w:val="libNormal"/>
        <w:rPr>
          <w:rtl/>
          <w:lang w:bidi="fa-IR"/>
        </w:rPr>
      </w:pPr>
      <w:r w:rsidRPr="00C9040A">
        <w:rPr>
          <w:rtl/>
          <w:lang w:bidi="fa-IR"/>
        </w:rPr>
        <w:t xml:space="preserve">رَفَعَهُ إِلى عَلِيِّ بْنِ الْحُسَيْنِ صَلَوَاتُ اللهِ عَلَيْهِمَا ، قَالَ : « مَرَّ رَسُولُ اللهِ </w:t>
      </w:r>
      <w:r w:rsidR="004A4E41" w:rsidRPr="004A4E41">
        <w:rPr>
          <w:rStyle w:val="libAlaemChar"/>
          <w:rtl/>
        </w:rPr>
        <w:t>صلى‌الله‌عليه‌وآله</w:t>
      </w:r>
      <w:r w:rsidRPr="00C9040A">
        <w:rPr>
          <w:rtl/>
          <w:lang w:bidi="fa-IR"/>
        </w:rPr>
        <w:t xml:space="preserve"> بِرَاعِي إِبِلٍ ، فَبَعَثَ يَسْتَسْقِيهِ ، فَقَالَ : أَمَّا مَا فِي ضُرُوعِهَا فَصَبُوحُ </w:t>
      </w:r>
      <w:r w:rsidR="006C577F" w:rsidRPr="006C577F">
        <w:rPr>
          <w:rStyle w:val="libFootnotenumChar"/>
          <w:rtl/>
        </w:rPr>
        <w:t>(1)</w:t>
      </w:r>
      <w:r w:rsidRPr="00C9040A">
        <w:rPr>
          <w:rtl/>
          <w:lang w:bidi="fa-IR"/>
        </w:rPr>
        <w:t xml:space="preserve"> الْحَيِّ ، وَأَمَّا مَا </w:t>
      </w:r>
      <w:r w:rsidR="006C577F" w:rsidRPr="006C577F">
        <w:rPr>
          <w:rStyle w:val="libFootnotenumChar"/>
          <w:rtl/>
        </w:rPr>
        <w:t>(2)</w:t>
      </w:r>
      <w:r w:rsidRPr="00C9040A">
        <w:rPr>
          <w:rtl/>
          <w:lang w:bidi="fa-IR"/>
        </w:rPr>
        <w:t xml:space="preserve"> فِي آنِيَتِنَا </w:t>
      </w:r>
      <w:r w:rsidR="006C577F" w:rsidRPr="006C577F">
        <w:rPr>
          <w:rStyle w:val="libFootnotenumChar"/>
          <w:rtl/>
        </w:rPr>
        <w:t>(3)</w:t>
      </w:r>
      <w:r w:rsidRPr="00C9040A">
        <w:rPr>
          <w:rtl/>
          <w:lang w:bidi="fa-IR"/>
        </w:rPr>
        <w:t xml:space="preserve"> فَغَبُوقُهُمْ </w:t>
      </w:r>
      <w:r w:rsidR="006C577F" w:rsidRPr="006C577F">
        <w:rPr>
          <w:rStyle w:val="libFootnotenumChar"/>
          <w:rtl/>
        </w:rPr>
        <w:t>(4)</w:t>
      </w:r>
      <w:r w:rsidRPr="00C9040A">
        <w:rPr>
          <w:rtl/>
          <w:lang w:bidi="fa-IR"/>
        </w:rPr>
        <w:t xml:space="preserve"> ، فَقَالَ </w:t>
      </w:r>
      <w:r w:rsidR="006C577F" w:rsidRPr="006C577F">
        <w:rPr>
          <w:rStyle w:val="libFootnotenumChar"/>
          <w:rtl/>
        </w:rPr>
        <w:t>(5)</w:t>
      </w:r>
      <w:r w:rsidRPr="00C9040A">
        <w:rPr>
          <w:rtl/>
          <w:lang w:bidi="fa-IR"/>
        </w:rPr>
        <w:t xml:space="preserve"> رَسُولُ اللهِ </w:t>
      </w:r>
      <w:r w:rsidR="004A4E41" w:rsidRPr="004A4E41">
        <w:rPr>
          <w:rStyle w:val="libAlaemChar"/>
          <w:rtl/>
        </w:rPr>
        <w:t>صلى‌الله‌عليه‌وآله</w:t>
      </w:r>
      <w:r w:rsidRPr="00C9040A">
        <w:rPr>
          <w:rtl/>
          <w:lang w:bidi="fa-IR"/>
        </w:rPr>
        <w:t xml:space="preserve"> : الل</w:t>
      </w:r>
      <w:r w:rsidR="00596039">
        <w:rPr>
          <w:rFonts w:hint="cs"/>
          <w:rtl/>
          <w:lang w:bidi="fa-IR"/>
        </w:rPr>
        <w:t>َّ</w:t>
      </w:r>
      <w:r w:rsidRPr="00C9040A">
        <w:rPr>
          <w:rtl/>
          <w:lang w:bidi="fa-IR"/>
        </w:rPr>
        <w:t>هُمَّ أَكْثِرْ مَالَهُ وَوُلْدَهُ.</w:t>
      </w:r>
    </w:p>
    <w:p w:rsidR="008A74EB" w:rsidRPr="00C9040A" w:rsidRDefault="008A74EB" w:rsidP="008A74EB">
      <w:pPr>
        <w:pStyle w:val="libNormal"/>
        <w:rPr>
          <w:rtl/>
          <w:lang w:bidi="fa-IR"/>
        </w:rPr>
      </w:pPr>
      <w:r w:rsidRPr="00C9040A">
        <w:rPr>
          <w:rtl/>
          <w:lang w:bidi="fa-IR"/>
        </w:rPr>
        <w:t xml:space="preserve">ثُمَّ مَرَّ بِرَاعِي غَنَمٍ ، فَبَعَثَ إِلَيْهِ يَسْتَسْقِيهِ ، فَحَلَبَ لَهُ </w:t>
      </w:r>
      <w:r w:rsidR="006C577F" w:rsidRPr="006C577F">
        <w:rPr>
          <w:rStyle w:val="libFootnotenumChar"/>
          <w:rtl/>
        </w:rPr>
        <w:t>(6)</w:t>
      </w:r>
      <w:r w:rsidRPr="005B567D">
        <w:rPr>
          <w:rStyle w:val="libFootnotenumChar"/>
          <w:rtl/>
        </w:rPr>
        <w:t xml:space="preserve"> </w:t>
      </w:r>
      <w:r w:rsidRPr="00C9040A">
        <w:rPr>
          <w:rtl/>
          <w:lang w:bidi="fa-IR"/>
        </w:rPr>
        <w:t xml:space="preserve">مَا فِي ضُرُوعِهَا ، وَأَكْفَأَ </w:t>
      </w:r>
      <w:r w:rsidR="006C577F" w:rsidRPr="006C577F">
        <w:rPr>
          <w:rStyle w:val="libFootnotenumChar"/>
          <w:rtl/>
        </w:rPr>
        <w:t>(7)</w:t>
      </w:r>
      <w:r w:rsidRPr="00C9040A">
        <w:rPr>
          <w:rtl/>
          <w:lang w:bidi="fa-IR"/>
        </w:rPr>
        <w:t xml:space="preserve"> مَا فِي إِنَائِهِ فِي إِنَاءِ رَسُولِ اللهِ </w:t>
      </w:r>
      <w:r w:rsidR="004A4E41" w:rsidRPr="004A4E41">
        <w:rPr>
          <w:rStyle w:val="libAlaemChar"/>
          <w:rtl/>
        </w:rPr>
        <w:t>صلى‌الله‌عليه‌وآله</w:t>
      </w:r>
      <w:r w:rsidRPr="00C9040A">
        <w:rPr>
          <w:rtl/>
          <w:lang w:bidi="fa-IR"/>
        </w:rPr>
        <w:t xml:space="preserve"> ، وَبَعَثَ إِلَيْهِ بِشَاةٍ ، وَقَالَ : هذَا مَا عِنْدَنَا ، وَإِنْ أَحْبَبْتَ أَنْ نَزِيدَكَ زِدْنَاكَ </w:t>
      </w:r>
      <w:r w:rsidR="006C577F" w:rsidRPr="006C577F">
        <w:rPr>
          <w:rStyle w:val="libFootnotenumChar"/>
          <w:rtl/>
        </w:rPr>
        <w:t>(8)</w:t>
      </w:r>
      <w:r>
        <w:rPr>
          <w:rtl/>
          <w:lang w:bidi="fa-IR"/>
        </w:rPr>
        <w:t>؟</w:t>
      </w:r>
      <w:r w:rsidRPr="00C9040A">
        <w:rPr>
          <w:rtl/>
          <w:lang w:bidi="fa-IR"/>
        </w:rPr>
        <w:t xml:space="preserve"> » قَالَ : « فَقَالَ رَسُولُ اللهِ </w:t>
      </w:r>
      <w:r w:rsidR="004A4E41" w:rsidRPr="004A4E41">
        <w:rPr>
          <w:rStyle w:val="libAlaemChar"/>
          <w:rtl/>
        </w:rPr>
        <w:t>صلى‌الله‌عليه‌وآله</w:t>
      </w:r>
      <w:r w:rsidRPr="00C9040A">
        <w:rPr>
          <w:rtl/>
          <w:lang w:bidi="fa-IR"/>
        </w:rPr>
        <w:t xml:space="preserve"> : الل</w:t>
      </w:r>
      <w:r w:rsidR="00596039">
        <w:rPr>
          <w:rFonts w:hint="cs"/>
          <w:rtl/>
          <w:lang w:bidi="fa-IR"/>
        </w:rPr>
        <w:t>َّ</w:t>
      </w:r>
      <w:r w:rsidRPr="00C9040A">
        <w:rPr>
          <w:rtl/>
          <w:lang w:bidi="fa-IR"/>
        </w:rPr>
        <w:t>هُمَّ ارْزُقْهُ الْكَفَافَ.</w:t>
      </w:r>
    </w:p>
    <w:p w:rsidR="008A74EB" w:rsidRPr="00C9040A" w:rsidRDefault="008A74EB" w:rsidP="008A74EB">
      <w:pPr>
        <w:pStyle w:val="libNormal"/>
        <w:rPr>
          <w:rtl/>
          <w:lang w:bidi="fa-IR"/>
        </w:rPr>
      </w:pPr>
      <w:r w:rsidRPr="00C9040A">
        <w:rPr>
          <w:rtl/>
          <w:lang w:bidi="fa-IR"/>
        </w:rPr>
        <w:t xml:space="preserve">فَقَالَ لَهُ بَعْضُ أَصْحَابِهِ : يَا رَسُولَ اللهِ ، دَعَوْتَ لِلَّذِي رَدَّكَ بِدُعَاءٍ عَامَّتُنَا نُحِبُّهُ ، وَدَعَوْتَ لِلَّذِي أَسْعَفَكَ </w:t>
      </w:r>
      <w:r w:rsidR="006C577F" w:rsidRPr="006C577F">
        <w:rPr>
          <w:rStyle w:val="libFootnotenumChar"/>
          <w:rtl/>
        </w:rPr>
        <w:t>(9)</w:t>
      </w:r>
      <w:r w:rsidRPr="00C9040A">
        <w:rPr>
          <w:rtl/>
          <w:lang w:bidi="fa-IR"/>
        </w:rPr>
        <w:t xml:space="preserve"> بِحَاجَتِكَ بِدُعَاءٍ </w:t>
      </w:r>
      <w:r w:rsidR="006C577F" w:rsidRPr="006C577F">
        <w:rPr>
          <w:rStyle w:val="libFootnotenumChar"/>
          <w:rtl/>
        </w:rPr>
        <w:t>(10)</w:t>
      </w:r>
      <w:r w:rsidRPr="00C9040A">
        <w:rPr>
          <w:rtl/>
          <w:lang w:bidi="fa-IR"/>
        </w:rPr>
        <w:t xml:space="preserve"> كُلُّنَا نَكْرَهُهُ </w:t>
      </w:r>
      <w:r w:rsidR="006C577F" w:rsidRPr="006C577F">
        <w:rPr>
          <w:rStyle w:val="libFootnotenumChar"/>
          <w:rtl/>
        </w:rPr>
        <w:t>(11)</w:t>
      </w:r>
      <w:r>
        <w:rPr>
          <w:rtl/>
          <w:lang w:bidi="fa-IR"/>
        </w:rPr>
        <w:t>؟</w:t>
      </w:r>
    </w:p>
    <w:p w:rsidR="008A74EB" w:rsidRPr="00C9040A" w:rsidRDefault="008A74EB" w:rsidP="008A74EB">
      <w:pPr>
        <w:pStyle w:val="libNormal"/>
        <w:rPr>
          <w:rtl/>
          <w:lang w:bidi="fa-IR"/>
        </w:rPr>
      </w:pPr>
      <w:r w:rsidRPr="00C9040A">
        <w:rPr>
          <w:rtl/>
          <w:lang w:bidi="fa-IR"/>
        </w:rPr>
        <w:t xml:space="preserve">فَقَالَ رَسُولُ اللهِ </w:t>
      </w:r>
      <w:r w:rsidR="004A4E41" w:rsidRPr="004A4E41">
        <w:rPr>
          <w:rStyle w:val="libAlaemChar"/>
          <w:rtl/>
        </w:rPr>
        <w:t>صلى‌الله‌عليه‌وآله</w:t>
      </w:r>
      <w:r w:rsidRPr="00C9040A">
        <w:rPr>
          <w:rtl/>
          <w:lang w:bidi="fa-IR"/>
        </w:rPr>
        <w:t xml:space="preserve"> : إِنَّ مَا قَلَّ وَكَفى خَيْرٌ مِمَّا كَثُرَ وَأَلْهى </w:t>
      </w:r>
      <w:r w:rsidR="006C577F" w:rsidRPr="006C577F">
        <w:rPr>
          <w:rStyle w:val="libFootnotenumChar"/>
          <w:rtl/>
        </w:rPr>
        <w:t>(12)</w:t>
      </w:r>
      <w:r w:rsidRPr="00C9040A">
        <w:rPr>
          <w:rtl/>
          <w:lang w:bidi="fa-IR"/>
        </w:rPr>
        <w:t xml:space="preserve"> ، الل</w:t>
      </w:r>
      <w:r w:rsidR="00596039">
        <w:rPr>
          <w:rFonts w:hint="cs"/>
          <w:rtl/>
          <w:lang w:bidi="fa-IR"/>
        </w:rPr>
        <w:t>َّ</w:t>
      </w:r>
      <w:r w:rsidRPr="00C9040A">
        <w:rPr>
          <w:rtl/>
          <w:lang w:bidi="fa-IR"/>
        </w:rPr>
        <w:t>هُمَّ ارْزُقْ مُحَمَّداً وَآلَ مُحَمَّدٍ الْكَفَافَ »</w:t>
      </w:r>
      <w:r>
        <w:rPr>
          <w:rtl/>
          <w:lang w:bidi="fa-IR"/>
        </w:rPr>
        <w:t>.</w:t>
      </w:r>
      <w:r w:rsidRPr="00C9040A">
        <w:rPr>
          <w:rtl/>
          <w:lang w:bidi="fa-IR"/>
        </w:rPr>
        <w:t xml:space="preserve"> </w:t>
      </w:r>
      <w:r w:rsidRPr="005B567D">
        <w:rPr>
          <w:rStyle w:val="libFootnotenumChar"/>
          <w:rtl/>
        </w:rPr>
        <w:t>(13)</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596039" w:rsidP="004A4E41">
      <w:pPr>
        <w:pStyle w:val="libFootnote0"/>
        <w:rPr>
          <w:rtl/>
          <w:lang w:bidi="fa-IR"/>
        </w:rPr>
      </w:pPr>
      <w:r>
        <w:rPr>
          <w:rFonts w:hint="cs"/>
          <w:rtl/>
        </w:rPr>
        <w:t xml:space="preserve">= </w:t>
      </w:r>
      <w:r w:rsidR="008A74EB" w:rsidRPr="00C9040A">
        <w:rPr>
          <w:rtl/>
        </w:rPr>
        <w:t xml:space="preserve">مع اختلاف يسير </w:t>
      </w:r>
      <w:r>
        <w:rPr>
          <w:rFonts w:hint="cs"/>
          <w:rtl/>
        </w:rPr>
        <w:t>.</w:t>
      </w:r>
      <w:r w:rsidR="008A74EB" w:rsidRPr="00993B55">
        <w:rPr>
          <w:rStyle w:val="libFootnoteBoldChar"/>
          <w:rtl/>
        </w:rPr>
        <w:t>الوافي</w:t>
      </w:r>
      <w:r w:rsidR="008A74EB" w:rsidRPr="00C9040A">
        <w:rPr>
          <w:rtl/>
        </w:rPr>
        <w:t xml:space="preserve"> ، ج 4 ، ص 412 ، ح 2216 ؛ </w:t>
      </w:r>
      <w:r w:rsidR="008A74EB" w:rsidRPr="00993B55">
        <w:rPr>
          <w:rStyle w:val="libFootnoteBoldChar"/>
          <w:rtl/>
        </w:rPr>
        <w:t>الوسائل</w:t>
      </w:r>
      <w:r w:rsidR="008A74EB" w:rsidRPr="00C9040A">
        <w:rPr>
          <w:rtl/>
        </w:rPr>
        <w:t xml:space="preserve"> ، ج 21 ، ص 533 ، ح 27783 ؛ </w:t>
      </w:r>
      <w:r w:rsidR="008A74EB" w:rsidRPr="00993B55">
        <w:rPr>
          <w:rStyle w:val="libFootnoteBoldChar"/>
          <w:rtl/>
        </w:rPr>
        <w:t>البحار</w:t>
      </w:r>
      <w:r w:rsidR="008A74EB" w:rsidRPr="00C9040A">
        <w:rPr>
          <w:rtl/>
        </w:rPr>
        <w:t xml:space="preserve"> ، ج 72 ، ص 59 ، ح 3.</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 الصَّبُوح » : الشرب بالغداة ، وهو خلاف الغَبوق. </w:t>
      </w:r>
      <w:r w:rsidR="008A74EB" w:rsidRPr="00993B55">
        <w:rPr>
          <w:rStyle w:val="libFootnoteBoldChar"/>
          <w:rtl/>
        </w:rPr>
        <w:t>الصحاح</w:t>
      </w:r>
      <w:r w:rsidR="008A74EB" w:rsidRPr="00C9040A">
        <w:rPr>
          <w:rtl/>
        </w:rPr>
        <w:t xml:space="preserve"> ، ج 1 ، ص 380 ( صبح )</w:t>
      </w:r>
      <w:r w:rsidR="008A74EB">
        <w:rPr>
          <w:rtl/>
        </w:rPr>
        <w:t>.</w:t>
      </w:r>
    </w:p>
    <w:tbl>
      <w:tblPr>
        <w:tblStyle w:val="TableGrid"/>
        <w:bidiVisual/>
        <w:tblW w:w="0" w:type="auto"/>
        <w:tblLook w:val="04A0" w:firstRow="1" w:lastRow="0" w:firstColumn="1" w:lastColumn="0" w:noHBand="0" w:noVBand="1"/>
      </w:tblPr>
      <w:tblGrid>
        <w:gridCol w:w="4006"/>
        <w:gridCol w:w="4006"/>
      </w:tblGrid>
      <w:tr w:rsidR="00596039" w:rsidTr="00596039">
        <w:tc>
          <w:tcPr>
            <w:tcW w:w="4006" w:type="dxa"/>
          </w:tcPr>
          <w:p w:rsidR="00596039" w:rsidRDefault="00596039" w:rsidP="004A4E41">
            <w:pPr>
              <w:pStyle w:val="libFootnote0"/>
              <w:rPr>
                <w:rtl/>
              </w:rPr>
            </w:pPr>
            <w:r>
              <w:rPr>
                <w:rtl/>
              </w:rPr>
              <w:t xml:space="preserve">(2). </w:t>
            </w:r>
            <w:r w:rsidRPr="00C9040A">
              <w:rPr>
                <w:rtl/>
              </w:rPr>
              <w:t xml:space="preserve">في شرح المازندراني </w:t>
            </w:r>
            <w:r>
              <w:rPr>
                <w:rtl/>
              </w:rPr>
              <w:t>: -</w:t>
            </w:r>
            <w:r w:rsidRPr="00C9040A">
              <w:rPr>
                <w:rtl/>
              </w:rPr>
              <w:t xml:space="preserve"> « ما »</w:t>
            </w:r>
            <w:r>
              <w:rPr>
                <w:rtl/>
              </w:rPr>
              <w:t>.</w:t>
            </w:r>
          </w:p>
        </w:tc>
        <w:tc>
          <w:tcPr>
            <w:tcW w:w="4006" w:type="dxa"/>
          </w:tcPr>
          <w:p w:rsidR="00596039" w:rsidRDefault="00596039" w:rsidP="004A4E41">
            <w:pPr>
              <w:pStyle w:val="libFootnote0"/>
              <w:rPr>
                <w:rtl/>
              </w:rPr>
            </w:pPr>
            <w:r>
              <w:rPr>
                <w:rtl/>
              </w:rPr>
              <w:t>(3). في «بس » : «</w:t>
            </w:r>
            <w:r w:rsidRPr="00C9040A">
              <w:rPr>
                <w:rtl/>
              </w:rPr>
              <w:t>أبياتنا »</w:t>
            </w:r>
            <w:r>
              <w:rPr>
                <w:rtl/>
              </w:rPr>
              <w:t>. وفي البحار : «</w:t>
            </w:r>
            <w:r w:rsidRPr="00C9040A">
              <w:rPr>
                <w:rtl/>
              </w:rPr>
              <w:t>آنيتها »</w:t>
            </w:r>
            <w:r>
              <w:rPr>
                <w:rtl/>
              </w:rPr>
              <w:t>.</w:t>
            </w:r>
          </w:p>
        </w:tc>
      </w:tr>
    </w:tbl>
    <w:p w:rsidR="008A74EB" w:rsidRPr="00C9040A" w:rsidRDefault="006C577F" w:rsidP="004A4E41">
      <w:pPr>
        <w:pStyle w:val="libFootnote0"/>
        <w:rPr>
          <w:rtl/>
          <w:lang w:bidi="fa-IR"/>
        </w:rPr>
      </w:pPr>
      <w:r>
        <w:rPr>
          <w:rtl/>
        </w:rPr>
        <w:t>(4).</w:t>
      </w:r>
      <w:r w:rsidR="008A74EB" w:rsidRPr="00C9040A">
        <w:rPr>
          <w:rtl/>
        </w:rPr>
        <w:t xml:space="preserve"> « الغَبُوق » : ما يُشرب بالعشيّ. </w:t>
      </w:r>
      <w:r w:rsidR="008A74EB" w:rsidRPr="00993B55">
        <w:rPr>
          <w:rStyle w:val="libFootnoteBoldChar"/>
          <w:rtl/>
        </w:rPr>
        <w:t>القاموس المحيط</w:t>
      </w:r>
      <w:r w:rsidR="008A74EB" w:rsidRPr="00C9040A">
        <w:rPr>
          <w:rtl/>
        </w:rPr>
        <w:t xml:space="preserve"> ، ج 2 ، ص 1212 ( غبق )</w:t>
      </w:r>
      <w:r w:rsidR="008A74EB">
        <w:rPr>
          <w:rtl/>
        </w:rPr>
        <w:t>.</w:t>
      </w:r>
    </w:p>
    <w:tbl>
      <w:tblPr>
        <w:tblStyle w:val="TableGrid"/>
        <w:bidiVisual/>
        <w:tblW w:w="0" w:type="auto"/>
        <w:tblLook w:val="04A0" w:firstRow="1" w:lastRow="0" w:firstColumn="1" w:lastColumn="0" w:noHBand="0" w:noVBand="1"/>
      </w:tblPr>
      <w:tblGrid>
        <w:gridCol w:w="4006"/>
        <w:gridCol w:w="4006"/>
      </w:tblGrid>
      <w:tr w:rsidR="00596039" w:rsidTr="00596039">
        <w:tc>
          <w:tcPr>
            <w:tcW w:w="4006" w:type="dxa"/>
          </w:tcPr>
          <w:p w:rsidR="00596039" w:rsidRDefault="00596039" w:rsidP="004A4E41">
            <w:pPr>
              <w:pStyle w:val="libFootnote0"/>
              <w:rPr>
                <w:rtl/>
              </w:rPr>
            </w:pPr>
            <w:r>
              <w:rPr>
                <w:rtl/>
              </w:rPr>
              <w:t>(5).</w:t>
            </w:r>
            <w:r w:rsidRPr="00C9040A">
              <w:rPr>
                <w:rtl/>
              </w:rPr>
              <w:t xml:space="preserve"> في « ف » : + « له »</w:t>
            </w:r>
            <w:r>
              <w:rPr>
                <w:rtl/>
              </w:rPr>
              <w:t>.</w:t>
            </w:r>
          </w:p>
        </w:tc>
        <w:tc>
          <w:tcPr>
            <w:tcW w:w="4006" w:type="dxa"/>
          </w:tcPr>
          <w:p w:rsidR="00596039" w:rsidRDefault="00596039" w:rsidP="004A4E41">
            <w:pPr>
              <w:pStyle w:val="libFootnote0"/>
              <w:rPr>
                <w:rtl/>
              </w:rPr>
            </w:pPr>
            <w:r>
              <w:rPr>
                <w:rtl/>
              </w:rPr>
              <w:t xml:space="preserve">(6). </w:t>
            </w:r>
            <w:r w:rsidRPr="00C9040A">
              <w:rPr>
                <w:rtl/>
              </w:rPr>
              <w:t xml:space="preserve">في « ب » </w:t>
            </w:r>
            <w:r>
              <w:rPr>
                <w:rtl/>
              </w:rPr>
              <w:t>: -</w:t>
            </w:r>
            <w:r w:rsidRPr="00C9040A">
              <w:rPr>
                <w:rtl/>
              </w:rPr>
              <w:t xml:space="preserve"> « له »</w:t>
            </w:r>
            <w:r>
              <w:rPr>
                <w:rtl/>
              </w:rPr>
              <w:t>.</w:t>
            </w:r>
          </w:p>
        </w:tc>
      </w:tr>
    </w:tbl>
    <w:p w:rsidR="008A74EB" w:rsidRPr="00C9040A" w:rsidRDefault="006C577F" w:rsidP="00596039">
      <w:pPr>
        <w:pStyle w:val="libFootnote0"/>
        <w:rPr>
          <w:rtl/>
          <w:lang w:bidi="fa-IR"/>
        </w:rPr>
      </w:pPr>
      <w:r>
        <w:rPr>
          <w:rtl/>
        </w:rPr>
        <w:t>(7).</w:t>
      </w:r>
      <w:r w:rsidR="008A74EB" w:rsidRPr="00C9040A">
        <w:rPr>
          <w:rtl/>
        </w:rPr>
        <w:t xml:space="preserve"> في « ب ، ج ، بس » : « وأكفى » وهو من تخفيف الهمزة. </w:t>
      </w:r>
      <w:r w:rsidR="008A74EB">
        <w:rPr>
          <w:rtl/>
        </w:rPr>
        <w:t>و «</w:t>
      </w:r>
      <w:r w:rsidR="008A74EB" w:rsidRPr="00C9040A">
        <w:rPr>
          <w:rtl/>
        </w:rPr>
        <w:t xml:space="preserve"> أكفأ » أي قلب وكبّ. راجع : </w:t>
      </w:r>
      <w:r w:rsidR="008A74EB" w:rsidRPr="00993B55">
        <w:rPr>
          <w:rStyle w:val="libFootnoteBoldChar"/>
          <w:rtl/>
        </w:rPr>
        <w:t>لسان العرب</w:t>
      </w:r>
      <w:r w:rsidR="008A74EB" w:rsidRPr="00C9040A">
        <w:rPr>
          <w:rtl/>
        </w:rPr>
        <w:t xml:space="preserve"> ، ج 1 ، ص 140 ( كفأ )</w:t>
      </w:r>
      <w:r w:rsidR="008A74EB">
        <w:rPr>
          <w:rtl/>
        </w:rPr>
        <w:t>.</w:t>
      </w:r>
      <w:r w:rsidR="00596039">
        <w:rPr>
          <w:rFonts w:hint="cs"/>
          <w:rtl/>
        </w:rPr>
        <w:t xml:space="preserve">                        </w:t>
      </w:r>
      <w:r w:rsidR="00DE2616">
        <w:rPr>
          <w:rFonts w:hint="cs"/>
          <w:rtl/>
        </w:rPr>
        <w:t xml:space="preserve">    </w:t>
      </w:r>
      <w:r w:rsidR="00596039">
        <w:rPr>
          <w:rFonts w:hint="cs"/>
          <w:rtl/>
        </w:rPr>
        <w:t xml:space="preserve">    </w:t>
      </w:r>
      <w:r>
        <w:rPr>
          <w:rtl/>
        </w:rPr>
        <w:t>(8).</w:t>
      </w:r>
      <w:r w:rsidR="008A74EB" w:rsidRPr="00C9040A">
        <w:rPr>
          <w:rtl/>
        </w:rPr>
        <w:t xml:space="preserve"> في « ف » : « نزيدك »</w:t>
      </w:r>
      <w:r w:rsidR="008A74EB">
        <w:rPr>
          <w:rtl/>
        </w:rPr>
        <w:t>.</w:t>
      </w:r>
    </w:p>
    <w:p w:rsidR="008A74EB" w:rsidRPr="00C9040A" w:rsidRDefault="006C577F" w:rsidP="004A4E41">
      <w:pPr>
        <w:pStyle w:val="libFootnote0"/>
        <w:rPr>
          <w:rtl/>
          <w:lang w:bidi="fa-IR"/>
        </w:rPr>
      </w:pPr>
      <w:r>
        <w:rPr>
          <w:rtl/>
        </w:rPr>
        <w:t>(9).</w:t>
      </w:r>
      <w:r w:rsidR="00596039">
        <w:rPr>
          <w:rtl/>
        </w:rPr>
        <w:t xml:space="preserve"> الإسعاف: الإعانة وقضاء الحاجة. راجع</w:t>
      </w:r>
      <w:r w:rsidR="008A74EB" w:rsidRPr="00C9040A">
        <w:rPr>
          <w:rtl/>
        </w:rPr>
        <w:t xml:space="preserve">: </w:t>
      </w:r>
      <w:r w:rsidR="008A74EB" w:rsidRPr="00993B55">
        <w:rPr>
          <w:rStyle w:val="libFootnoteBoldChar"/>
          <w:rtl/>
        </w:rPr>
        <w:t>الصحاح</w:t>
      </w:r>
      <w:r w:rsidR="008A74EB" w:rsidRPr="00C9040A">
        <w:rPr>
          <w:rtl/>
        </w:rPr>
        <w:t xml:space="preserve"> ، ج 4 ، ص 1374 ؛ </w:t>
      </w:r>
      <w:r w:rsidR="008A74EB" w:rsidRPr="00993B55">
        <w:rPr>
          <w:rStyle w:val="libFootnoteBoldChar"/>
          <w:rtl/>
        </w:rPr>
        <w:t>النهاية</w:t>
      </w:r>
      <w:r w:rsidR="00596039">
        <w:rPr>
          <w:rtl/>
        </w:rPr>
        <w:t xml:space="preserve"> ، ج 2، ص 368 (سعف</w:t>
      </w:r>
      <w:r w:rsidR="008A74EB" w:rsidRPr="00C9040A">
        <w:rPr>
          <w:rtl/>
        </w:rPr>
        <w:t>)</w:t>
      </w:r>
      <w:r w:rsidR="008A74EB">
        <w:rPr>
          <w:rtl/>
        </w:rPr>
        <w:t>.</w:t>
      </w:r>
    </w:p>
    <w:tbl>
      <w:tblPr>
        <w:tblStyle w:val="TableGrid"/>
        <w:bidiVisual/>
        <w:tblW w:w="0" w:type="auto"/>
        <w:tblLook w:val="04A0" w:firstRow="1" w:lastRow="0" w:firstColumn="1" w:lastColumn="0" w:noHBand="0" w:noVBand="1"/>
      </w:tblPr>
      <w:tblGrid>
        <w:gridCol w:w="4006"/>
        <w:gridCol w:w="4006"/>
      </w:tblGrid>
      <w:tr w:rsidR="00596039" w:rsidTr="00596039">
        <w:tc>
          <w:tcPr>
            <w:tcW w:w="4006" w:type="dxa"/>
          </w:tcPr>
          <w:p w:rsidR="00596039" w:rsidRDefault="00596039" w:rsidP="004A4E41">
            <w:pPr>
              <w:pStyle w:val="libFootnote0"/>
              <w:rPr>
                <w:rtl/>
                <w:lang w:bidi="fa-IR"/>
              </w:rPr>
            </w:pPr>
            <w:r>
              <w:rPr>
                <w:rtl/>
              </w:rPr>
              <w:t>(10).</w:t>
            </w:r>
            <w:r w:rsidRPr="00C9040A">
              <w:rPr>
                <w:rtl/>
              </w:rPr>
              <w:t xml:space="preserve"> في الوافي : « دعاءً »</w:t>
            </w:r>
            <w:r>
              <w:rPr>
                <w:rtl/>
              </w:rPr>
              <w:t>.</w:t>
            </w:r>
          </w:p>
        </w:tc>
        <w:tc>
          <w:tcPr>
            <w:tcW w:w="4006" w:type="dxa"/>
          </w:tcPr>
          <w:p w:rsidR="00596039" w:rsidRDefault="00596039" w:rsidP="004A4E41">
            <w:pPr>
              <w:pStyle w:val="libFootnote0"/>
              <w:rPr>
                <w:rtl/>
                <w:lang w:bidi="fa-IR"/>
              </w:rPr>
            </w:pPr>
            <w:r>
              <w:rPr>
                <w:rtl/>
              </w:rPr>
              <w:t>(11).</w:t>
            </w:r>
            <w:r w:rsidRPr="00C9040A">
              <w:rPr>
                <w:rtl/>
              </w:rPr>
              <w:t xml:space="preserve"> في « ب » : « نكره » بحذف المفعول.</w:t>
            </w:r>
          </w:p>
        </w:tc>
      </w:tr>
    </w:tbl>
    <w:p w:rsidR="008A74EB" w:rsidRPr="00C9040A" w:rsidRDefault="006C577F" w:rsidP="004A4E41">
      <w:pPr>
        <w:pStyle w:val="libFootnote0"/>
        <w:rPr>
          <w:rtl/>
          <w:lang w:bidi="fa-IR"/>
        </w:rPr>
      </w:pPr>
      <w:r>
        <w:rPr>
          <w:rtl/>
        </w:rPr>
        <w:t>(12).</w:t>
      </w:r>
      <w:r w:rsidR="008A74EB" w:rsidRPr="00C9040A">
        <w:rPr>
          <w:rtl/>
        </w:rPr>
        <w:t xml:space="preserve"> « ألهى » ، أي شغل ، والمراد : شغل عن الله تعالى وعن عبادته. راجع : </w:t>
      </w:r>
      <w:r w:rsidR="008A74EB" w:rsidRPr="00993B55">
        <w:rPr>
          <w:rStyle w:val="libFootnoteBoldChar"/>
          <w:rtl/>
        </w:rPr>
        <w:t>النهاية</w:t>
      </w:r>
      <w:r w:rsidR="008A74EB" w:rsidRPr="00C9040A">
        <w:rPr>
          <w:rtl/>
        </w:rPr>
        <w:t xml:space="preserve"> ، ج 4 ، ص 282 ( لها )</w:t>
      </w:r>
      <w:r w:rsidR="008A74EB">
        <w:rPr>
          <w:rtl/>
        </w:rPr>
        <w:t>.</w:t>
      </w:r>
    </w:p>
    <w:p w:rsidR="008A74EB" w:rsidRPr="00C9040A" w:rsidRDefault="008A74EB" w:rsidP="004A4E41">
      <w:pPr>
        <w:pStyle w:val="libFootnote0"/>
        <w:rPr>
          <w:rtl/>
          <w:lang w:bidi="fa-IR"/>
        </w:rPr>
      </w:pPr>
      <w:r>
        <w:rPr>
          <w:rtl/>
        </w:rPr>
        <w:t>(13)</w:t>
      </w:r>
      <w:r w:rsidRPr="00C9040A">
        <w:rPr>
          <w:rtl/>
        </w:rPr>
        <w:t xml:space="preserve"> </w:t>
      </w:r>
      <w:r w:rsidRPr="0034021D">
        <w:rPr>
          <w:rStyle w:val="libFootnoteBoldChar"/>
          <w:rtl/>
        </w:rPr>
        <w:t>الأمالي للصدوق</w:t>
      </w:r>
      <w:r w:rsidRPr="00C9040A">
        <w:rPr>
          <w:rtl/>
        </w:rPr>
        <w:t xml:space="preserve"> ، ص 487 ، المجلس 74 ، ضمن الحديث الطويل 1 ، بسند آخر عن أبي عبد الله </w:t>
      </w:r>
      <w:r w:rsidR="00117575" w:rsidRPr="00117575">
        <w:rPr>
          <w:rStyle w:val="libFootnoteAlaemChar"/>
          <w:rtl/>
        </w:rPr>
        <w:t>عليه‌السلام</w:t>
      </w:r>
      <w:r w:rsidRPr="00C9040A">
        <w:rPr>
          <w:rtl/>
        </w:rPr>
        <w:t xml:space="preserve"> عن </w:t>
      </w:r>
      <w:r w:rsidR="00596039">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F33010">
        <w:rPr>
          <w:rtl/>
        </w:rPr>
        <w:t>1935</w:t>
      </w:r>
      <w:r w:rsidRPr="00261CB0">
        <w:rPr>
          <w:rStyle w:val="libBold2Char"/>
          <w:rtl/>
        </w:rPr>
        <w:t xml:space="preserve"> / 5.</w:t>
      </w:r>
      <w:r w:rsidRPr="00C9040A">
        <w:rPr>
          <w:rtl/>
          <w:lang w:bidi="fa-IR"/>
        </w:rPr>
        <w:t xml:space="preserve"> عَنْهُ </w:t>
      </w:r>
      <w:r w:rsidR="006C577F" w:rsidRPr="006C577F">
        <w:rPr>
          <w:rStyle w:val="libFootnotenumChar"/>
          <w:rtl/>
        </w:rPr>
        <w:t>(1)</w:t>
      </w:r>
      <w:r w:rsidRPr="00C9040A">
        <w:rPr>
          <w:rtl/>
          <w:lang w:bidi="fa-IR"/>
        </w:rPr>
        <w:t xml:space="preserve"> ، عَنْ أَبِيهِ ، عَنْ أَبِي الْبَخْتَرِيِّ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يَقُولُ : يَحْزَنُ </w:t>
      </w:r>
      <w:r w:rsidR="006C577F" w:rsidRPr="006C577F">
        <w:rPr>
          <w:rStyle w:val="libFootnotenumChar"/>
          <w:rtl/>
        </w:rPr>
        <w:t>(2)</w:t>
      </w:r>
      <w:r w:rsidRPr="00C9040A">
        <w:rPr>
          <w:rtl/>
          <w:lang w:bidi="fa-IR"/>
        </w:rPr>
        <w:t xml:space="preserve"> عَبْدِيَ الْمُؤْمِنُ إِنْ </w:t>
      </w:r>
      <w:r w:rsidR="006C577F" w:rsidRPr="006C577F">
        <w:rPr>
          <w:rStyle w:val="libFootnotenumChar"/>
          <w:rtl/>
        </w:rPr>
        <w:t>(3)</w:t>
      </w:r>
      <w:r w:rsidRPr="00C9040A">
        <w:rPr>
          <w:rtl/>
          <w:lang w:bidi="fa-IR"/>
        </w:rPr>
        <w:t xml:space="preserve"> قَتَّرْتُ عَلَيْهِ </w:t>
      </w:r>
      <w:r w:rsidR="006C577F" w:rsidRPr="006C577F">
        <w:rPr>
          <w:rStyle w:val="libFootnotenumChar"/>
          <w:rtl/>
        </w:rPr>
        <w:t>(4)</w:t>
      </w:r>
      <w:r w:rsidRPr="00C9040A">
        <w:rPr>
          <w:rtl/>
          <w:lang w:bidi="fa-IR"/>
        </w:rPr>
        <w:t xml:space="preserve"> ، وَذلِكَ أَقْرَبُ لَهُ مِنِّي ، وَيَفْرَحُ </w:t>
      </w:r>
      <w:r w:rsidR="006C577F" w:rsidRPr="006C577F">
        <w:rPr>
          <w:rStyle w:val="libFootnotenumChar"/>
          <w:rtl/>
        </w:rPr>
        <w:t>(5)</w:t>
      </w:r>
      <w:r w:rsidRPr="00C9040A">
        <w:rPr>
          <w:rtl/>
          <w:lang w:bidi="fa-IR"/>
        </w:rPr>
        <w:t xml:space="preserve"> عَبْدِيَ الْمُؤْمِنُ إِنْ </w:t>
      </w:r>
      <w:r w:rsidR="006C577F" w:rsidRPr="006C577F">
        <w:rPr>
          <w:rStyle w:val="libFootnotenumChar"/>
          <w:rtl/>
        </w:rPr>
        <w:t>(6)</w:t>
      </w:r>
      <w:r w:rsidRPr="005B567D">
        <w:rPr>
          <w:rStyle w:val="libFootnotenumChar"/>
          <w:rtl/>
        </w:rPr>
        <w:t xml:space="preserve"> </w:t>
      </w:r>
      <w:r w:rsidRPr="00C9040A">
        <w:rPr>
          <w:rtl/>
          <w:lang w:bidi="fa-IR"/>
        </w:rPr>
        <w:t xml:space="preserve">وَسَّعْتُ </w:t>
      </w:r>
      <w:r w:rsidR="006C577F" w:rsidRPr="006C577F">
        <w:rPr>
          <w:rStyle w:val="libFootnotenumChar"/>
          <w:rtl/>
        </w:rPr>
        <w:t>(7)</w:t>
      </w:r>
      <w:r w:rsidRPr="00C9040A">
        <w:rPr>
          <w:rtl/>
          <w:lang w:bidi="fa-IR"/>
        </w:rPr>
        <w:t xml:space="preserve"> عَلَيْهِ ، وَذلِكَ أَبْعَدُ لَهُ مِنِّي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Normal"/>
        <w:rPr>
          <w:rtl/>
          <w:lang w:bidi="fa-IR"/>
        </w:rPr>
      </w:pPr>
      <w:r w:rsidRPr="00F33010">
        <w:rPr>
          <w:rtl/>
        </w:rPr>
        <w:t>1936</w:t>
      </w:r>
      <w:r w:rsidRPr="00261CB0">
        <w:rPr>
          <w:rStyle w:val="libBold2Char"/>
          <w:rtl/>
        </w:rPr>
        <w:t xml:space="preserve"> / 6.</w:t>
      </w:r>
      <w:r w:rsidRPr="00C9040A">
        <w:rPr>
          <w:rtl/>
          <w:lang w:bidi="fa-IR"/>
        </w:rPr>
        <w:t xml:space="preserve"> الْحُسَيْنُ بْنُ مُحَمَّدٍ ، عَنْ أَحْمَدَ بْنِ إِسْحَاقَ ، عَنْ بَكْرِ بْنِ مُحَمَّدٍ الْأَزْدِيِّ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w:t>
      </w:r>
      <w:r w:rsidR="006C577F" w:rsidRPr="006C577F">
        <w:rPr>
          <w:rStyle w:val="libFootnotenumChar"/>
          <w:rtl/>
        </w:rPr>
        <w:t>(9)</w:t>
      </w:r>
      <w:r w:rsidRPr="00C9040A">
        <w:rPr>
          <w:rtl/>
          <w:lang w:bidi="fa-IR"/>
        </w:rPr>
        <w:t xml:space="preserve"> : قَالَ اللهُ عَزَّ وَجَلَّ : إِنَّ مِنْ أَغْبَطِ‌</w:t>
      </w:r>
    </w:p>
    <w:p w:rsidR="008A74EB" w:rsidRPr="00C9040A" w:rsidRDefault="008A74EB" w:rsidP="008A74EB">
      <w:pPr>
        <w:pStyle w:val="libLine"/>
        <w:rPr>
          <w:rtl/>
          <w:lang w:bidi="fa-IR"/>
        </w:rPr>
      </w:pPr>
      <w:r w:rsidRPr="00C9040A">
        <w:rPr>
          <w:rtl/>
          <w:lang w:bidi="fa-IR"/>
        </w:rPr>
        <w:t>__________________</w:t>
      </w:r>
    </w:p>
    <w:p w:rsidR="008A74EB" w:rsidRPr="00C9040A" w:rsidRDefault="00596039" w:rsidP="004A4E41">
      <w:pPr>
        <w:pStyle w:val="libFootnote0"/>
        <w:rPr>
          <w:rtl/>
          <w:lang w:bidi="fa-IR"/>
        </w:rPr>
      </w:pPr>
      <w:r>
        <w:rPr>
          <w:rFonts w:hint="cs"/>
          <w:rtl/>
        </w:rPr>
        <w:t xml:space="preserve">= </w:t>
      </w:r>
      <w:r w:rsidR="008A74EB" w:rsidRPr="00C9040A">
        <w:rPr>
          <w:rtl/>
        </w:rPr>
        <w:t xml:space="preserve">النبيّ </w:t>
      </w:r>
      <w:r w:rsidR="004A4E41" w:rsidRPr="00DE2616">
        <w:rPr>
          <w:rStyle w:val="libFootnoteAlaemChar"/>
          <w:rtl/>
        </w:rPr>
        <w:t>صلى‌الله‌عليه‌وآله</w:t>
      </w:r>
      <w:r w:rsidR="008A74EB" w:rsidRPr="00C9040A">
        <w:rPr>
          <w:rtl/>
        </w:rPr>
        <w:t xml:space="preserve"> ؛ </w:t>
      </w:r>
      <w:r w:rsidR="008A74EB" w:rsidRPr="00993B55">
        <w:rPr>
          <w:rStyle w:val="libFootnoteBoldChar"/>
          <w:rtl/>
        </w:rPr>
        <w:t>الزهد</w:t>
      </w:r>
      <w:r w:rsidR="008A74EB" w:rsidRPr="00C9040A">
        <w:rPr>
          <w:rtl/>
        </w:rPr>
        <w:t xml:space="preserve"> ، ص 107 ، ضمن ح 112 ، بسند آخر عن أبي جعفر </w:t>
      </w:r>
      <w:r w:rsidR="00117575" w:rsidRPr="00117575">
        <w:rPr>
          <w:rStyle w:val="libFootnoteAlaemChar"/>
          <w:rtl/>
        </w:rPr>
        <w:t>عليه‌السلام</w:t>
      </w:r>
      <w:r w:rsidR="008A74EB" w:rsidRPr="00C9040A">
        <w:rPr>
          <w:rtl/>
        </w:rPr>
        <w:t xml:space="preserve"> ، عن أبي ذرّ. وفي </w:t>
      </w:r>
      <w:r w:rsidR="008A74EB" w:rsidRPr="00993B55">
        <w:rPr>
          <w:rStyle w:val="libFootnoteBoldChar"/>
          <w:rtl/>
        </w:rPr>
        <w:t>الفقيه</w:t>
      </w:r>
      <w:r w:rsidR="008A74EB" w:rsidRPr="00C9040A">
        <w:rPr>
          <w:rtl/>
        </w:rPr>
        <w:t xml:space="preserve"> ، ج 4 ، ص 376 ، ح 5764 ؛ و</w:t>
      </w:r>
      <w:r w:rsidR="008A74EB" w:rsidRPr="00993B55">
        <w:rPr>
          <w:rStyle w:val="libFootnoteBoldChar"/>
          <w:rtl/>
        </w:rPr>
        <w:t>تفسير القمّي</w:t>
      </w:r>
      <w:r w:rsidR="008A74EB" w:rsidRPr="00C9040A">
        <w:rPr>
          <w:rtl/>
        </w:rPr>
        <w:t xml:space="preserve"> ، ج 1 ، ص 290 ، ضمن الحديث الطويل ؛ </w:t>
      </w:r>
      <w:r w:rsidR="008A74EB" w:rsidRPr="00596039">
        <w:rPr>
          <w:rStyle w:val="libFootnoteBoldChar"/>
          <w:rtl/>
        </w:rPr>
        <w:t>وا</w:t>
      </w:r>
      <w:r w:rsidR="008A74EB" w:rsidRPr="00993B55">
        <w:rPr>
          <w:rStyle w:val="libFootnoteBoldChar"/>
          <w:rtl/>
        </w:rPr>
        <w:t>لاختصاص</w:t>
      </w:r>
      <w:r w:rsidR="008A74EB" w:rsidRPr="00C9040A">
        <w:rPr>
          <w:rtl/>
        </w:rPr>
        <w:t xml:space="preserve"> ، ص 342 ، ضمن الحديث الطويل ، مرسلاً عن النبيّ </w:t>
      </w:r>
      <w:r w:rsidR="004A4E41" w:rsidRPr="00DE2616">
        <w:rPr>
          <w:rStyle w:val="libFootnoteAlaemChar"/>
          <w:rtl/>
        </w:rPr>
        <w:t>صلى‌الله‌عليه‌وآله</w:t>
      </w:r>
      <w:r w:rsidR="008A74EB" w:rsidRPr="00C9040A">
        <w:rPr>
          <w:rtl/>
        </w:rPr>
        <w:t xml:space="preserve">. </w:t>
      </w:r>
      <w:r w:rsidR="008A74EB" w:rsidRPr="00993B55">
        <w:rPr>
          <w:rStyle w:val="libFootnoteBoldChar"/>
          <w:rtl/>
        </w:rPr>
        <w:t>وفيه</w:t>
      </w:r>
      <w:r w:rsidR="008A74EB" w:rsidRPr="00C9040A">
        <w:rPr>
          <w:rtl/>
        </w:rPr>
        <w:t xml:space="preserve"> ، ص 234 ؛ و</w:t>
      </w:r>
      <w:r w:rsidR="008A74EB" w:rsidRPr="00993B55">
        <w:rPr>
          <w:rStyle w:val="libFootnoteBoldChar"/>
          <w:rtl/>
        </w:rPr>
        <w:t>قرب الإسناد</w:t>
      </w:r>
      <w:r w:rsidR="008A74EB" w:rsidRPr="00C9040A">
        <w:rPr>
          <w:rtl/>
        </w:rPr>
        <w:t xml:space="preserve"> ، ص 39 ، ح 125 ، بسند آخر عن أبي عبد الله </w:t>
      </w:r>
      <w:r w:rsidR="00117575" w:rsidRPr="00117575">
        <w:rPr>
          <w:rStyle w:val="libFootnoteAlaemChar"/>
          <w:rtl/>
        </w:rPr>
        <w:t>عليه‌السلام</w:t>
      </w:r>
      <w:r w:rsidR="008A74EB" w:rsidRPr="00C9040A">
        <w:rPr>
          <w:rtl/>
        </w:rPr>
        <w:t xml:space="preserve"> ، مع زيادة في أوّله وآخره ؛ </w:t>
      </w:r>
      <w:r w:rsidR="008A74EB" w:rsidRPr="00993B55">
        <w:rPr>
          <w:rStyle w:val="libFootnoteBoldChar"/>
          <w:rtl/>
        </w:rPr>
        <w:t>فقه الرضا</w:t>
      </w:r>
      <w:r w:rsidR="008A74EB" w:rsidRPr="00C9040A">
        <w:rPr>
          <w:rtl/>
        </w:rPr>
        <w:t xml:space="preserve"> </w:t>
      </w:r>
      <w:r w:rsidR="00117575" w:rsidRPr="00117575">
        <w:rPr>
          <w:rStyle w:val="libFootnoteAlaemChar"/>
          <w:rtl/>
        </w:rPr>
        <w:t>عليه‌السلام</w:t>
      </w:r>
      <w:r w:rsidR="008A74EB" w:rsidRPr="00C9040A">
        <w:rPr>
          <w:rtl/>
        </w:rPr>
        <w:t xml:space="preserve"> ، ص 366 ، عن أبي ذرّ ، مع زيادة في أوّله ، والموجود منه في كلّ المصادر هذه الفقرة : « إنّ ما قلّ وكفى خير ممّا كثر وألهى » مع اختلاف يسير </w:t>
      </w:r>
      <w:r w:rsidR="00EE1BF8">
        <w:rPr>
          <w:rFonts w:hint="cs"/>
          <w:rtl/>
        </w:rPr>
        <w:t>.</w:t>
      </w:r>
      <w:r w:rsidR="008A74EB" w:rsidRPr="00993B55">
        <w:rPr>
          <w:rStyle w:val="libFootnoteBoldChar"/>
          <w:rtl/>
        </w:rPr>
        <w:t>الوافي</w:t>
      </w:r>
      <w:r w:rsidR="008A74EB" w:rsidRPr="00C9040A">
        <w:rPr>
          <w:rtl/>
        </w:rPr>
        <w:t xml:space="preserve"> ، ج 4 ، ص 412 ، ح 2217 ؛ </w:t>
      </w:r>
      <w:r w:rsidR="008A74EB" w:rsidRPr="00993B55">
        <w:rPr>
          <w:rStyle w:val="libFootnoteBoldChar"/>
          <w:rtl/>
        </w:rPr>
        <w:t>البحار</w:t>
      </w:r>
      <w:r w:rsidR="008A74EB" w:rsidRPr="00C9040A">
        <w:rPr>
          <w:rtl/>
        </w:rPr>
        <w:t xml:space="preserve"> ، ج 72 ، ص 61 ، ح 4.</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الضمير راجع إلى أحمد بن محمّد بن خالد المذكور في السند السابق ؛ فإنّ أبا البختري هذا ، هو وَهْب بن وَهْب القرشي ، روى عنه أحمد بن محمّد بن خالد بتوسّط أبيه في الطرق والأسناد. راجع : </w:t>
      </w:r>
      <w:r w:rsidR="008A74EB" w:rsidRPr="00993B55">
        <w:rPr>
          <w:rStyle w:val="libFootnoteBoldChar"/>
          <w:rtl/>
        </w:rPr>
        <w:t>الفقيه</w:t>
      </w:r>
      <w:r w:rsidR="008A74EB" w:rsidRPr="00C9040A">
        <w:rPr>
          <w:rtl/>
        </w:rPr>
        <w:t xml:space="preserve"> ، ج 4 ، ص 478 ؛ </w:t>
      </w:r>
      <w:r w:rsidR="008A74EB" w:rsidRPr="00993B55">
        <w:rPr>
          <w:rStyle w:val="libFootnoteBoldChar"/>
          <w:rtl/>
        </w:rPr>
        <w:t>معجم رجال الحديث</w:t>
      </w:r>
      <w:r w:rsidR="008A74EB" w:rsidRPr="00C9040A">
        <w:rPr>
          <w:rtl/>
        </w:rPr>
        <w:t xml:space="preserve"> ، ج 16 ، ص 354 ؛ وص 364 ، ج 21 ؛ وص 404 ؛ وص 410</w:t>
      </w:r>
      <w:r w:rsidR="008A74EB">
        <w:rPr>
          <w:rtl/>
        </w:rPr>
        <w:t xml:space="preserve"> </w:t>
      </w:r>
      <w:r w:rsidR="0084262C">
        <w:rPr>
          <w:rtl/>
        </w:rPr>
        <w:t>-</w:t>
      </w:r>
      <w:r w:rsidR="008A74EB">
        <w:rPr>
          <w:rtl/>
        </w:rPr>
        <w:t xml:space="preserve"> </w:t>
      </w:r>
      <w:r w:rsidR="008A74EB" w:rsidRPr="00C9040A">
        <w:rPr>
          <w:rtl/>
        </w:rPr>
        <w:t>411.</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ض » : « يُحزن » بهيئة الإفعال. وقال في </w:t>
      </w:r>
      <w:r w:rsidR="008A74EB" w:rsidRPr="00993B55">
        <w:rPr>
          <w:rStyle w:val="libFootnoteBoldChar"/>
          <w:rtl/>
        </w:rPr>
        <w:t>مرآة العقول</w:t>
      </w:r>
      <w:r w:rsidR="008A74EB" w:rsidRPr="00C9040A">
        <w:rPr>
          <w:rtl/>
        </w:rPr>
        <w:t xml:space="preserve"> ، ج 8 ، ص 331 : « حزن كفرح لازم ، وحزن كنصرمتعدّ</w:t>
      </w:r>
      <w:r w:rsidR="008A74EB">
        <w:rPr>
          <w:rtl/>
        </w:rPr>
        <w:t xml:space="preserve"> ..</w:t>
      </w:r>
      <w:r w:rsidR="008A74EB" w:rsidRPr="00C9040A">
        <w:rPr>
          <w:rtl/>
        </w:rPr>
        <w:t>. وهنا يحتمل الوجهين بأن يكون : يَحْزَنُ بفتح الزاي ، وعبدي فاعله ، وإن بالكسر حرف شرط ، أو يَحْزُنُ بالضمّ ، وعبدي مفعوله ، وأن بالفتح مصدريّة في محلّ الفاعل. والتقتير : التضييق. وكذا قوله : يفرح ، يحتمل بناء المجرّد ورفع عبدي ، وكسر إن ، أو بناء التفعيل ، ونصب عبدي ، وفتح أن ، واللام في « له » في الموضعين للتعدية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ص » : « أن » بفتح الهمزة ، والمأوّل به فاعل يحزن.</w:t>
      </w:r>
    </w:p>
    <w:tbl>
      <w:tblPr>
        <w:tblStyle w:val="TableGrid"/>
        <w:bidiVisual/>
        <w:tblW w:w="0" w:type="auto"/>
        <w:tblLook w:val="04A0" w:firstRow="1" w:lastRow="0" w:firstColumn="1" w:lastColumn="0" w:noHBand="0" w:noVBand="1"/>
      </w:tblPr>
      <w:tblGrid>
        <w:gridCol w:w="4006"/>
        <w:gridCol w:w="4006"/>
      </w:tblGrid>
      <w:tr w:rsidR="00EE1BF8" w:rsidTr="00EE1BF8">
        <w:tc>
          <w:tcPr>
            <w:tcW w:w="4006" w:type="dxa"/>
          </w:tcPr>
          <w:p w:rsidR="00EE1BF8" w:rsidRDefault="00EE1BF8" w:rsidP="004A4E41">
            <w:pPr>
              <w:pStyle w:val="libFootnote0"/>
              <w:rPr>
                <w:rtl/>
              </w:rPr>
            </w:pPr>
            <w:r>
              <w:rPr>
                <w:rtl/>
              </w:rPr>
              <w:t>(4).</w:t>
            </w:r>
            <w:r w:rsidRPr="00C9040A">
              <w:rPr>
                <w:rtl/>
              </w:rPr>
              <w:t xml:space="preserve"> في « ف » : + « رزقه »</w:t>
            </w:r>
            <w:r>
              <w:rPr>
                <w:rtl/>
              </w:rPr>
              <w:t>.</w:t>
            </w:r>
          </w:p>
        </w:tc>
        <w:tc>
          <w:tcPr>
            <w:tcW w:w="4006" w:type="dxa"/>
          </w:tcPr>
          <w:p w:rsidR="00EE1BF8" w:rsidRDefault="00EE1BF8" w:rsidP="004A4E41">
            <w:pPr>
              <w:pStyle w:val="libFootnote0"/>
              <w:rPr>
                <w:rtl/>
              </w:rPr>
            </w:pPr>
            <w:r>
              <w:rPr>
                <w:rtl/>
              </w:rPr>
              <w:t>(5).</w:t>
            </w:r>
            <w:r w:rsidRPr="00C9040A">
              <w:rPr>
                <w:rtl/>
              </w:rPr>
              <w:t xml:space="preserve"> في « ص » : « ويفرّح » بالتشديد.</w:t>
            </w:r>
          </w:p>
        </w:tc>
      </w:tr>
    </w:tbl>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ص » : « أن » بفتح الهمزة.</w:t>
      </w:r>
    </w:p>
    <w:p w:rsidR="008A74EB" w:rsidRPr="00C9040A" w:rsidRDefault="006C577F" w:rsidP="004A4E41">
      <w:pPr>
        <w:pStyle w:val="libFootnote0"/>
        <w:rPr>
          <w:rtl/>
          <w:lang w:bidi="fa-IR"/>
        </w:rPr>
      </w:pPr>
      <w:r>
        <w:rPr>
          <w:rtl/>
        </w:rPr>
        <w:t>(7).</w:t>
      </w:r>
      <w:r w:rsidR="008A74EB" w:rsidRPr="00C9040A">
        <w:rPr>
          <w:rtl/>
        </w:rPr>
        <w:t xml:space="preserve"> في </w:t>
      </w:r>
      <w:r w:rsidR="008A74EB" w:rsidRPr="00993B55">
        <w:rPr>
          <w:rStyle w:val="libFootnoteBoldChar"/>
          <w:rtl/>
        </w:rPr>
        <w:t>شرح المازندراني</w:t>
      </w:r>
      <w:r w:rsidR="008A74EB" w:rsidRPr="00C9040A">
        <w:rPr>
          <w:rtl/>
        </w:rPr>
        <w:t xml:space="preserve"> : « قوله : إن وسعت ، بالتخفيف أو التشديد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w:t>
      </w:r>
      <w:r w:rsidR="008A74EB" w:rsidRPr="00993B55">
        <w:rPr>
          <w:rStyle w:val="libFootnoteBoldChar"/>
          <w:rtl/>
        </w:rPr>
        <w:t>تحف العقول</w:t>
      </w:r>
      <w:r w:rsidR="008A74EB" w:rsidRPr="00C9040A">
        <w:rPr>
          <w:rtl/>
        </w:rPr>
        <w:t xml:space="preserve"> ، ص 513 ، مع اختلاف يسير </w:t>
      </w:r>
      <w:r w:rsidR="00EE1BF8">
        <w:rPr>
          <w:rFonts w:hint="cs"/>
          <w:rtl/>
        </w:rPr>
        <w:t>.</w:t>
      </w:r>
      <w:r w:rsidR="008A74EB" w:rsidRPr="00993B55">
        <w:rPr>
          <w:rStyle w:val="libFootnoteBoldChar"/>
          <w:rtl/>
        </w:rPr>
        <w:t>الوافي</w:t>
      </w:r>
      <w:r w:rsidR="008A74EB" w:rsidRPr="00C9040A">
        <w:rPr>
          <w:rtl/>
        </w:rPr>
        <w:t xml:space="preserve"> ، ج 4 ، ص 413 ، ح 2218 ؛ </w:t>
      </w:r>
      <w:r w:rsidR="008A74EB" w:rsidRPr="00993B55">
        <w:rPr>
          <w:rStyle w:val="libFootnoteBoldChar"/>
          <w:rtl/>
        </w:rPr>
        <w:t>الوسائل</w:t>
      </w:r>
      <w:r w:rsidR="008A74EB" w:rsidRPr="00C9040A">
        <w:rPr>
          <w:rtl/>
        </w:rPr>
        <w:t xml:space="preserve"> ، ج 21 ، ص 533 ، ح 27784 ؛ </w:t>
      </w:r>
      <w:r w:rsidR="008A74EB" w:rsidRPr="00993B55">
        <w:rPr>
          <w:rStyle w:val="libFootnoteBoldChar"/>
          <w:rtl/>
        </w:rPr>
        <w:t>البحار</w:t>
      </w:r>
      <w:r w:rsidR="008A74EB" w:rsidRPr="00C9040A">
        <w:rPr>
          <w:rtl/>
        </w:rPr>
        <w:t xml:space="preserve"> ، ج 72 ، ص 61 ، ح 5.</w:t>
      </w:r>
    </w:p>
    <w:p w:rsidR="008A74EB" w:rsidRPr="00C9040A" w:rsidRDefault="006C577F" w:rsidP="004A4E41">
      <w:pPr>
        <w:pStyle w:val="libFootnote0"/>
        <w:rPr>
          <w:rtl/>
          <w:lang w:bidi="fa-IR"/>
        </w:rPr>
      </w:pPr>
      <w:r>
        <w:rPr>
          <w:rtl/>
        </w:rPr>
        <w:t>(9).</w:t>
      </w:r>
      <w:r w:rsidR="008A74EB" w:rsidRPr="00C9040A">
        <w:rPr>
          <w:rtl/>
        </w:rPr>
        <w:t xml:space="preserve"> في « د ، ز ، ص ، ض ، ف ، بر ، بس ، بف ، جر » والوافي والوسائل والبحار </w:t>
      </w:r>
      <w:r w:rsidR="008A74EB">
        <w:rPr>
          <w:rtl/>
        </w:rPr>
        <w:t xml:space="preserve">: </w:t>
      </w:r>
      <w:r w:rsidR="0084262C">
        <w:rPr>
          <w:rtl/>
        </w:rPr>
        <w:t>-</w:t>
      </w:r>
      <w:r w:rsidR="008A74EB" w:rsidRPr="00C9040A">
        <w:rPr>
          <w:rtl/>
        </w:rPr>
        <w:t xml:space="preserve"> « قال رسول الله </w:t>
      </w:r>
      <w:r w:rsidR="004A4E41" w:rsidRPr="00DE2616">
        <w:rPr>
          <w:rStyle w:val="libFootnoteAlaemChar"/>
          <w:rtl/>
        </w:rPr>
        <w:t>صلى‌الله‌عليه‌وآله</w:t>
      </w:r>
      <w:r w:rsidR="008A74EB" w:rsidRPr="00C9040A">
        <w:rPr>
          <w:rtl/>
        </w:rPr>
        <w:t xml:space="preserve">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أَوْلِيَائِي عِنْدِي </w:t>
      </w:r>
      <w:r w:rsidR="006C577F" w:rsidRPr="006C577F">
        <w:rPr>
          <w:rStyle w:val="libFootnotenumChar"/>
          <w:rtl/>
        </w:rPr>
        <w:t>(1)</w:t>
      </w:r>
      <w:r w:rsidRPr="00C9040A">
        <w:rPr>
          <w:rtl/>
          <w:lang w:bidi="fa-IR"/>
        </w:rPr>
        <w:t xml:space="preserve"> عَبْداً مُؤْمِناً ، ذَا حَظٍّ مِنْ صَلَاحٍ ، أَحْسَنَ </w:t>
      </w:r>
      <w:r w:rsidR="006C577F" w:rsidRPr="006C577F">
        <w:rPr>
          <w:rStyle w:val="libFootnotenumChar"/>
          <w:rtl/>
        </w:rPr>
        <w:t>(2)</w:t>
      </w:r>
      <w:r w:rsidRPr="00C9040A">
        <w:rPr>
          <w:rtl/>
          <w:lang w:bidi="fa-IR"/>
        </w:rPr>
        <w:t xml:space="preserve"> عِبَادَةَ رَبِّهِ ، وَعَبَدَ اللهَ فِي السَّرِيرَةِ ، وَكَانَ غَامِضاً فِي النَّاسِ ، فَلَمْ يُشَرْ إِلَيْهِ بِالْأَصَابِعِ ، وَكَانَ رِزْقُهُ كَفَافاً ، فَصَبَرَ عَلَيْهِ ، فَعَجَّلَتْ </w:t>
      </w:r>
      <w:r w:rsidR="006C577F" w:rsidRPr="006C577F">
        <w:rPr>
          <w:rStyle w:val="libFootnotenumChar"/>
          <w:rtl/>
        </w:rPr>
        <w:t>(3)</w:t>
      </w:r>
      <w:r w:rsidRPr="00C9040A">
        <w:rPr>
          <w:rtl/>
          <w:lang w:bidi="fa-IR"/>
        </w:rPr>
        <w:t xml:space="preserve"> بِهِ الْمَنِيَّةُ </w:t>
      </w:r>
      <w:r w:rsidR="006C577F" w:rsidRPr="006C577F">
        <w:rPr>
          <w:rStyle w:val="libFootnotenumChar"/>
          <w:rtl/>
        </w:rPr>
        <w:t>(4)</w:t>
      </w:r>
      <w:r w:rsidRPr="00C9040A">
        <w:rPr>
          <w:rtl/>
          <w:lang w:bidi="fa-IR"/>
        </w:rPr>
        <w:t xml:space="preserve"> ، فَقَلَّ تُرَاثُهُ ، وَقَلَّتْ بَوَاكِيهِ </w:t>
      </w:r>
      <w:r w:rsidR="006C577F" w:rsidRPr="006C577F">
        <w:rPr>
          <w:rStyle w:val="libFootnotenumChar"/>
          <w:rtl/>
        </w:rPr>
        <w:t>(5)</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Heading2Center"/>
        <w:rPr>
          <w:rtl/>
          <w:lang w:bidi="fa-IR"/>
        </w:rPr>
      </w:pPr>
      <w:bookmarkStart w:id="205" w:name="_Toc343795656"/>
      <w:bookmarkStart w:id="206" w:name="_Toc459810780"/>
      <w:bookmarkStart w:id="207" w:name="_Toc35348686"/>
      <w:r w:rsidRPr="00C9040A">
        <w:rPr>
          <w:rtl/>
          <w:lang w:bidi="fa-IR"/>
        </w:rPr>
        <w:t>65</w:t>
      </w:r>
      <w:r>
        <w:rPr>
          <w:rtl/>
          <w:lang w:bidi="fa-IR"/>
        </w:rPr>
        <w:t xml:space="preserve"> </w:t>
      </w:r>
      <w:r w:rsidR="0084262C">
        <w:rPr>
          <w:rtl/>
          <w:lang w:bidi="fa-IR"/>
        </w:rPr>
        <w:t>-</w:t>
      </w:r>
      <w:r>
        <w:rPr>
          <w:rtl/>
          <w:lang w:bidi="fa-IR"/>
        </w:rPr>
        <w:t xml:space="preserve"> </w:t>
      </w:r>
      <w:r w:rsidRPr="00C9040A">
        <w:rPr>
          <w:rtl/>
          <w:lang w:bidi="fa-IR"/>
        </w:rPr>
        <w:t xml:space="preserve">بَابُ </w:t>
      </w:r>
      <w:r w:rsidR="006C577F" w:rsidRPr="006C577F">
        <w:rPr>
          <w:rStyle w:val="libFootnotenumChar"/>
          <w:rtl/>
        </w:rPr>
        <w:t>(7)</w:t>
      </w:r>
      <w:r>
        <w:rPr>
          <w:rtl/>
        </w:rPr>
        <w:t xml:space="preserve"> </w:t>
      </w:r>
      <w:r w:rsidRPr="00C9040A">
        <w:rPr>
          <w:rtl/>
          <w:lang w:bidi="fa-IR"/>
        </w:rPr>
        <w:t>تَعْجِيلِ فِعْلِ الْخَيْرِ‌</w:t>
      </w:r>
      <w:bookmarkEnd w:id="205"/>
      <w:bookmarkEnd w:id="206"/>
      <w:bookmarkEnd w:id="207"/>
    </w:p>
    <w:p w:rsidR="008A74EB" w:rsidRPr="00C9040A" w:rsidRDefault="008A74EB" w:rsidP="008A74EB">
      <w:pPr>
        <w:pStyle w:val="libNormal"/>
        <w:rPr>
          <w:rtl/>
          <w:lang w:bidi="fa-IR"/>
        </w:rPr>
      </w:pPr>
      <w:r w:rsidRPr="00F33010">
        <w:rPr>
          <w:rtl/>
        </w:rPr>
        <w:t>1937</w:t>
      </w:r>
      <w:r w:rsidRPr="00261CB0">
        <w:rPr>
          <w:rStyle w:val="libBold2Char"/>
          <w:rtl/>
        </w:rPr>
        <w:t xml:space="preserve"> / 1.</w:t>
      </w:r>
      <w:r w:rsidRPr="00C9040A">
        <w:rPr>
          <w:rtl/>
          <w:lang w:bidi="fa-IR"/>
        </w:rPr>
        <w:t xml:space="preserve"> مُحَمَّدُ بْنُ يَحْيى ، عَنْ أَحْمَدَ بْنِ مُحَمَّدِ بْنِ عِيسى ، عَنْ عَلِيِّ بْنِ النُّعْمَانِ ، قَالَ : حَدَّثَنِي حَمْزَةُ بْنُ حُمْرَانَ ، قَالَ :</w:t>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 « إِذَا هَمَّ أَحَدُكُمْ بِخَيْرٍ فَلَا يُؤَخِّرْهُ ، فَإِنَّ الْعَبْدَ رُبَّمَا صَلَّى الصَّلَاةَ أَوْ </w:t>
      </w:r>
      <w:r w:rsidR="006C577F" w:rsidRPr="006C577F">
        <w:rPr>
          <w:rStyle w:val="libFootnotenumChar"/>
          <w:rtl/>
        </w:rPr>
        <w:t>(8)</w:t>
      </w:r>
      <w:r w:rsidRPr="00C9040A">
        <w:rPr>
          <w:rtl/>
          <w:lang w:bidi="fa-IR"/>
        </w:rPr>
        <w:t xml:space="preserve"> صَامَ الْيَوْمَ </w:t>
      </w:r>
      <w:r w:rsidR="006C577F" w:rsidRPr="006C577F">
        <w:rPr>
          <w:rStyle w:val="libFootnotenumChar"/>
          <w:rtl/>
        </w:rPr>
        <w:t>(9)</w:t>
      </w:r>
      <w:r w:rsidRPr="00C9040A">
        <w:rPr>
          <w:rtl/>
          <w:lang w:bidi="fa-IR"/>
        </w:rPr>
        <w:t xml:space="preserve"> ، فَيُقَالُ لَهُ : اعْمَلْ مَا شِئْتَ بَعْدَهَا ، فَقَدْ غَفَرَ اللهُ </w:t>
      </w:r>
      <w:r w:rsidR="006C577F" w:rsidRPr="006C577F">
        <w:rPr>
          <w:rStyle w:val="libFootnotenumChar"/>
          <w:rtl/>
        </w:rPr>
        <w:t>(10)</w:t>
      </w:r>
      <w:r w:rsidRPr="00C9040A">
        <w:rPr>
          <w:rtl/>
          <w:lang w:bidi="fa-IR"/>
        </w:rPr>
        <w:t xml:space="preserve"> لَكَ »</w:t>
      </w:r>
      <w:r>
        <w:rPr>
          <w:rtl/>
          <w:lang w:bidi="fa-IR"/>
        </w:rPr>
        <w:t>.</w:t>
      </w:r>
      <w:r w:rsidRPr="00C9040A">
        <w:rPr>
          <w:rtl/>
          <w:lang w:bidi="fa-IR"/>
        </w:rPr>
        <w:t xml:space="preserve"> </w:t>
      </w:r>
      <w:r w:rsidR="006C577F" w:rsidRPr="006C577F">
        <w:rPr>
          <w:rStyle w:val="libFootnotenumChar"/>
          <w:rtl/>
        </w:rPr>
        <w:t>(11)</w:t>
      </w:r>
      <w:r w:rsidRPr="00C9040A">
        <w:rPr>
          <w:rtl/>
          <w:lang w:bidi="fa-IR"/>
        </w:rPr>
        <w:t xml:space="preserve"> ‌</w:t>
      </w:r>
    </w:p>
    <w:p w:rsidR="008A74EB" w:rsidRPr="00C9040A" w:rsidRDefault="008A74EB" w:rsidP="008A74EB">
      <w:pPr>
        <w:pStyle w:val="libNormal"/>
        <w:rPr>
          <w:rtl/>
          <w:lang w:bidi="fa-IR"/>
        </w:rPr>
      </w:pPr>
      <w:r w:rsidRPr="00F33010">
        <w:rPr>
          <w:rtl/>
        </w:rPr>
        <w:t>1938</w:t>
      </w:r>
      <w:r w:rsidRPr="00261CB0">
        <w:rPr>
          <w:rStyle w:val="libBold2Char"/>
          <w:rtl/>
        </w:rPr>
        <w:t xml:space="preserve"> / 2.</w:t>
      </w:r>
      <w:r w:rsidRPr="00C9040A">
        <w:rPr>
          <w:rtl/>
          <w:lang w:bidi="fa-IR"/>
        </w:rPr>
        <w:t xml:space="preserve"> عَنْهُ </w:t>
      </w:r>
      <w:r w:rsidR="006C577F" w:rsidRPr="006C577F">
        <w:rPr>
          <w:rStyle w:val="libFootnotenumChar"/>
          <w:rtl/>
        </w:rPr>
        <w:t>(12)</w:t>
      </w:r>
      <w:r w:rsidRPr="00C9040A">
        <w:rPr>
          <w:rtl/>
          <w:lang w:bidi="fa-IR"/>
        </w:rPr>
        <w:t xml:space="preserve"> ، عَنْ عَلِيِّ بْنِ الْحَكَمِ ، عَنْ أَبِي جَمِيلَةَ ، قَالَ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بف » </w:t>
      </w:r>
      <w:r w:rsidR="008A74EB">
        <w:rPr>
          <w:rtl/>
        </w:rPr>
        <w:t xml:space="preserve">: </w:t>
      </w:r>
      <w:r w:rsidR="0084262C">
        <w:rPr>
          <w:rtl/>
        </w:rPr>
        <w:t>-</w:t>
      </w:r>
      <w:r w:rsidR="008A74EB" w:rsidRPr="00C9040A">
        <w:rPr>
          <w:rtl/>
        </w:rPr>
        <w:t xml:space="preserve"> « عندي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قرب الإسناد : « وأحسن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يجوز فيه البناء للفاعل والمفعول بصيغة المتكلّم.</w:t>
      </w:r>
    </w:p>
    <w:tbl>
      <w:tblPr>
        <w:tblStyle w:val="TableGrid"/>
        <w:bidiVisual/>
        <w:tblW w:w="0" w:type="auto"/>
        <w:tblLook w:val="04A0" w:firstRow="1" w:lastRow="0" w:firstColumn="1" w:lastColumn="0" w:noHBand="0" w:noVBand="1"/>
      </w:tblPr>
      <w:tblGrid>
        <w:gridCol w:w="4006"/>
        <w:gridCol w:w="4006"/>
      </w:tblGrid>
      <w:tr w:rsidR="00EE1BF8" w:rsidTr="00EE1BF8">
        <w:tc>
          <w:tcPr>
            <w:tcW w:w="4006" w:type="dxa"/>
          </w:tcPr>
          <w:p w:rsidR="00EE1BF8" w:rsidRDefault="00EE1BF8" w:rsidP="004A4E41">
            <w:pPr>
              <w:pStyle w:val="libFootnote0"/>
              <w:rPr>
                <w:rtl/>
              </w:rPr>
            </w:pPr>
            <w:r>
              <w:rPr>
                <w:rtl/>
              </w:rPr>
              <w:t>(4).</w:t>
            </w:r>
            <w:r w:rsidRPr="00C9040A">
              <w:rPr>
                <w:rtl/>
              </w:rPr>
              <w:t xml:space="preserve"> في حاشية « ف » : « الميتة »</w:t>
            </w:r>
            <w:r>
              <w:rPr>
                <w:rtl/>
              </w:rPr>
              <w:t>.</w:t>
            </w:r>
          </w:p>
        </w:tc>
        <w:tc>
          <w:tcPr>
            <w:tcW w:w="4006" w:type="dxa"/>
          </w:tcPr>
          <w:p w:rsidR="00EE1BF8" w:rsidRDefault="00EE1BF8" w:rsidP="004A4E41">
            <w:pPr>
              <w:pStyle w:val="libFootnote0"/>
              <w:rPr>
                <w:rtl/>
              </w:rPr>
            </w:pPr>
            <w:r>
              <w:rPr>
                <w:rtl/>
              </w:rPr>
              <w:t>(5).</w:t>
            </w:r>
            <w:r w:rsidRPr="00C9040A">
              <w:rPr>
                <w:rtl/>
              </w:rPr>
              <w:t xml:space="preserve"> في قرب الإسناد : + « ثلاثاً »</w:t>
            </w:r>
            <w:r>
              <w:rPr>
                <w:rtl/>
              </w:rPr>
              <w:t>.</w:t>
            </w:r>
          </w:p>
        </w:tc>
      </w:tr>
    </w:tbl>
    <w:p w:rsidR="008A74EB" w:rsidRPr="00C9040A" w:rsidRDefault="006C577F" w:rsidP="00EE1BF8">
      <w:pPr>
        <w:pStyle w:val="libFootnote0"/>
        <w:rPr>
          <w:rtl/>
          <w:lang w:bidi="fa-IR"/>
        </w:rPr>
      </w:pPr>
      <w:r>
        <w:rPr>
          <w:rtl/>
        </w:rPr>
        <w:t>(6).</w:t>
      </w:r>
      <w:r w:rsidR="008A74EB">
        <w:rPr>
          <w:rtl/>
        </w:rPr>
        <w:t xml:space="preserve"> </w:t>
      </w:r>
      <w:r w:rsidR="008A74EB" w:rsidRPr="00993B55">
        <w:rPr>
          <w:rStyle w:val="libFootnoteBoldChar"/>
          <w:rtl/>
        </w:rPr>
        <w:t>قرب الإسناد</w:t>
      </w:r>
      <w:r w:rsidR="008A74EB" w:rsidRPr="00C9040A">
        <w:rPr>
          <w:rtl/>
        </w:rPr>
        <w:t xml:space="preserve"> ، ص 40 ، ح 129 ، عن أحمد بن إسحاق بن سعد ، عن بكر بن محمّد. وراجع : ح 1 من هذا الباب ومصادره </w:t>
      </w:r>
      <w:r w:rsidR="00EE1BF8">
        <w:rPr>
          <w:rFonts w:hint="cs"/>
          <w:rtl/>
        </w:rPr>
        <w:t>.</w:t>
      </w:r>
      <w:r w:rsidR="008A74EB" w:rsidRPr="00993B55">
        <w:rPr>
          <w:rStyle w:val="libFootnoteBoldChar"/>
          <w:rtl/>
        </w:rPr>
        <w:t>الوافي</w:t>
      </w:r>
      <w:r w:rsidR="008A74EB" w:rsidRPr="00C9040A">
        <w:rPr>
          <w:rtl/>
        </w:rPr>
        <w:t xml:space="preserve"> ، ج 4 ، ص 411 ، ح 2214 ؛ </w:t>
      </w:r>
      <w:r w:rsidR="008A74EB" w:rsidRPr="00993B55">
        <w:rPr>
          <w:rStyle w:val="libFootnoteBoldChar"/>
          <w:rtl/>
        </w:rPr>
        <w:t>الوسائل</w:t>
      </w:r>
      <w:r w:rsidR="008A74EB" w:rsidRPr="00C9040A">
        <w:rPr>
          <w:rtl/>
        </w:rPr>
        <w:t xml:space="preserve"> ، ج 1 ، ص 77 ، ح 173 ؛ وج 21 ، ص 532 ، ح 27781 ؛ </w:t>
      </w:r>
      <w:r w:rsidR="008A74EB" w:rsidRPr="00993B55">
        <w:rPr>
          <w:rStyle w:val="libFootnoteBoldChar"/>
          <w:rtl/>
        </w:rPr>
        <w:t>البحار</w:t>
      </w:r>
      <w:r w:rsidR="008A74EB" w:rsidRPr="00C9040A">
        <w:rPr>
          <w:rtl/>
        </w:rPr>
        <w:t xml:space="preserve"> ، ج 72 ، ص 62 ، ح 6.</w:t>
      </w:r>
      <w:r w:rsidR="00EE1BF8">
        <w:rPr>
          <w:rFonts w:hint="cs"/>
          <w:rtl/>
        </w:rPr>
        <w:t xml:space="preserve">   </w:t>
      </w:r>
      <w:r>
        <w:rPr>
          <w:rtl/>
        </w:rPr>
        <w:t>(7).</w:t>
      </w:r>
      <w:r w:rsidR="008A74EB" w:rsidRPr="00C9040A">
        <w:rPr>
          <w:rtl/>
        </w:rPr>
        <w:t xml:space="preserve"> في « ص ، ض ، ف » : + « فضل »</w:t>
      </w:r>
      <w:r w:rsidR="008A74EB">
        <w:rPr>
          <w:rtl/>
        </w:rPr>
        <w:t>.</w:t>
      </w:r>
    </w:p>
    <w:tbl>
      <w:tblPr>
        <w:tblStyle w:val="TableGrid"/>
        <w:bidiVisual/>
        <w:tblW w:w="0" w:type="auto"/>
        <w:tblLook w:val="04A0" w:firstRow="1" w:lastRow="0" w:firstColumn="1" w:lastColumn="0" w:noHBand="0" w:noVBand="1"/>
      </w:tblPr>
      <w:tblGrid>
        <w:gridCol w:w="4006"/>
        <w:gridCol w:w="4006"/>
      </w:tblGrid>
      <w:tr w:rsidR="00EE1BF8" w:rsidTr="00EE1BF8">
        <w:tc>
          <w:tcPr>
            <w:tcW w:w="4006" w:type="dxa"/>
          </w:tcPr>
          <w:p w:rsidR="00EE1BF8" w:rsidRDefault="00EE1BF8" w:rsidP="004A4E41">
            <w:pPr>
              <w:pStyle w:val="libFootnote0"/>
              <w:rPr>
                <w:rtl/>
              </w:rPr>
            </w:pPr>
            <w:r>
              <w:rPr>
                <w:rtl/>
              </w:rPr>
              <w:t>(8).</w:t>
            </w:r>
            <w:r w:rsidRPr="00C9040A">
              <w:rPr>
                <w:rtl/>
              </w:rPr>
              <w:t xml:space="preserve"> في « ز » : « أم »</w:t>
            </w:r>
            <w:r>
              <w:rPr>
                <w:rtl/>
              </w:rPr>
              <w:t>.</w:t>
            </w:r>
            <w:r w:rsidRPr="00C9040A">
              <w:rPr>
                <w:rtl/>
              </w:rPr>
              <w:t xml:space="preserve"> وفي الأمالي : « </w:t>
            </w:r>
            <w:r>
              <w:rPr>
                <w:rtl/>
              </w:rPr>
              <w:t>و ».</w:t>
            </w:r>
          </w:p>
        </w:tc>
        <w:tc>
          <w:tcPr>
            <w:tcW w:w="4006" w:type="dxa"/>
          </w:tcPr>
          <w:p w:rsidR="00EE1BF8" w:rsidRDefault="00EE1BF8" w:rsidP="004A4E41">
            <w:pPr>
              <w:pStyle w:val="libFootnote0"/>
              <w:rPr>
                <w:rtl/>
              </w:rPr>
            </w:pPr>
            <w:r>
              <w:rPr>
                <w:rtl/>
              </w:rPr>
              <w:t>(9).</w:t>
            </w:r>
            <w:r w:rsidR="007C2153">
              <w:rPr>
                <w:rtl/>
              </w:rPr>
              <w:t xml:space="preserve"> في«ب ،ص ،بف» والوافي ومرآة العقول</w:t>
            </w:r>
            <w:r w:rsidR="007C2153">
              <w:rPr>
                <w:rFonts w:hint="cs"/>
                <w:rtl/>
              </w:rPr>
              <w:t xml:space="preserve"> </w:t>
            </w:r>
            <w:r w:rsidR="007C2153">
              <w:rPr>
                <w:rtl/>
              </w:rPr>
              <w:t>:«الصوم</w:t>
            </w:r>
            <w:r w:rsidRPr="00C9040A">
              <w:rPr>
                <w:rtl/>
              </w:rPr>
              <w:t>»</w:t>
            </w:r>
            <w:r>
              <w:rPr>
                <w:rtl/>
              </w:rPr>
              <w:t>.</w:t>
            </w:r>
          </w:p>
        </w:tc>
      </w:tr>
    </w:tbl>
    <w:p w:rsidR="008A74EB" w:rsidRPr="00C9040A" w:rsidRDefault="006C577F" w:rsidP="004A4E41">
      <w:pPr>
        <w:pStyle w:val="libFootnote0"/>
        <w:rPr>
          <w:rtl/>
          <w:lang w:bidi="fa-IR"/>
        </w:rPr>
      </w:pPr>
      <w:r>
        <w:rPr>
          <w:rtl/>
        </w:rPr>
        <w:t>(10).</w:t>
      </w:r>
      <w:r w:rsidR="008A74EB" w:rsidRPr="00C9040A">
        <w:rPr>
          <w:rtl/>
        </w:rPr>
        <w:t xml:space="preserve"> في « ج ، د ، ص ، ض ، ف ، بر ، بس ، بف » والوافي والوسائل </w:t>
      </w:r>
      <w:r w:rsidR="008A74EB">
        <w:rPr>
          <w:rtl/>
        </w:rPr>
        <w:t xml:space="preserve">: </w:t>
      </w:r>
      <w:r w:rsidR="0084262C">
        <w:rPr>
          <w:rtl/>
        </w:rPr>
        <w:t>-</w:t>
      </w:r>
      <w:r w:rsidR="008A74EB" w:rsidRPr="00C9040A">
        <w:rPr>
          <w:rtl/>
        </w:rPr>
        <w:t xml:space="preserve"> « الله »</w:t>
      </w:r>
      <w:r w:rsidR="008A74EB">
        <w:rPr>
          <w:rtl/>
        </w:rPr>
        <w:t>.</w:t>
      </w:r>
      <w:r w:rsidR="008A74EB" w:rsidRPr="00C9040A">
        <w:rPr>
          <w:rtl/>
        </w:rPr>
        <w:t xml:space="preserve"> وفي </w:t>
      </w:r>
      <w:r w:rsidR="008A74EB" w:rsidRPr="00993B55">
        <w:rPr>
          <w:rStyle w:val="libFootnoteBoldChar"/>
          <w:rtl/>
        </w:rPr>
        <w:t>الوافي</w:t>
      </w:r>
      <w:r w:rsidR="008A74EB" w:rsidRPr="00C9040A">
        <w:rPr>
          <w:rtl/>
        </w:rPr>
        <w:t xml:space="preserve"> : « يعني أنّ العبادة التي توجب المغفرة التامّة مستورة على العبد ، لا يدري أيّها هي ، فكلّما همّ بعبادة فعليه إمضاؤها قبل أن تفوته ، فلعلّها تكون هي تلك العبادة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w:t>
      </w:r>
      <w:r w:rsidR="008A74EB" w:rsidRPr="0034021D">
        <w:rPr>
          <w:rStyle w:val="libFootnoteBoldChar"/>
          <w:rtl/>
        </w:rPr>
        <w:t>الأمالي للمفيد</w:t>
      </w:r>
      <w:r w:rsidR="008A74EB" w:rsidRPr="00C9040A">
        <w:rPr>
          <w:rtl/>
        </w:rPr>
        <w:t xml:space="preserve"> ، ص 205 ، المجلس 23 ، ح 37 ، بسند آخر عن عليّ بن النعمان </w:t>
      </w:r>
      <w:r w:rsidR="007C2153">
        <w:rPr>
          <w:rFonts w:hint="cs"/>
          <w:rtl/>
        </w:rPr>
        <w:t>.</w:t>
      </w:r>
      <w:r w:rsidR="008A74EB" w:rsidRPr="00993B55">
        <w:rPr>
          <w:rStyle w:val="libFootnoteBoldChar"/>
          <w:rtl/>
        </w:rPr>
        <w:t>الوافي</w:t>
      </w:r>
      <w:r w:rsidR="008A74EB" w:rsidRPr="00C9040A">
        <w:rPr>
          <w:rtl/>
        </w:rPr>
        <w:t xml:space="preserve"> ، ج 4 ، ص 379 ، ح 2151 ؛ </w:t>
      </w:r>
      <w:r w:rsidR="008A74EB" w:rsidRPr="00993B55">
        <w:rPr>
          <w:rStyle w:val="libFootnoteBoldChar"/>
          <w:rtl/>
        </w:rPr>
        <w:t>الوسائل</w:t>
      </w:r>
      <w:r w:rsidR="008A74EB" w:rsidRPr="00C9040A">
        <w:rPr>
          <w:rtl/>
        </w:rPr>
        <w:t xml:space="preserve"> ، ج 1 ، ص 111 ، ح 273 ؛ </w:t>
      </w:r>
      <w:r w:rsidR="008A74EB" w:rsidRPr="00993B55">
        <w:rPr>
          <w:rStyle w:val="libFootnoteBoldChar"/>
          <w:rtl/>
        </w:rPr>
        <w:t>البحار</w:t>
      </w:r>
      <w:r w:rsidR="008A74EB" w:rsidRPr="00C9040A">
        <w:rPr>
          <w:rtl/>
        </w:rPr>
        <w:t xml:space="preserve"> ، ج 71 ، ص 220 ، ح 30.</w:t>
      </w:r>
    </w:p>
    <w:p w:rsidR="008A74EB" w:rsidRPr="00C9040A" w:rsidRDefault="006C577F" w:rsidP="004A4E41">
      <w:pPr>
        <w:pStyle w:val="libFootnote0"/>
        <w:rPr>
          <w:rtl/>
          <w:lang w:bidi="fa-IR"/>
        </w:rPr>
      </w:pPr>
      <w:r>
        <w:rPr>
          <w:rtl/>
        </w:rPr>
        <w:t>(12).</w:t>
      </w:r>
      <w:r w:rsidR="008A74EB" w:rsidRPr="00C9040A">
        <w:rPr>
          <w:rtl/>
        </w:rPr>
        <w:t xml:space="preserve"> الضمير راجع إلى أحمد بن محمّد بن عيسى المذكور في السند السابق.</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افْتَتِحُوا نَهَارَكُمْ بِخَيْرٍ ، وَأَمْلُوا عَلى حَفَظَتِكُمْ فِي أَوَّلِهِ خَيْراً </w:t>
      </w:r>
      <w:r w:rsidR="006C577F" w:rsidRPr="006C577F">
        <w:rPr>
          <w:rStyle w:val="libFootnotenumChar"/>
          <w:rtl/>
        </w:rPr>
        <w:t>(1)</w:t>
      </w:r>
      <w:r w:rsidRPr="00C9040A">
        <w:rPr>
          <w:rtl/>
          <w:lang w:bidi="fa-IR"/>
        </w:rPr>
        <w:t xml:space="preserve"> ، وَفِي آخِرِهِ خَيْراً ؛ يُغْفَرْ لَكُمْ مَا بَيْنَ ذلِكَ إِنْ شَاءَ اللهُ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F33010">
        <w:rPr>
          <w:rtl/>
        </w:rPr>
        <w:t>1939</w:t>
      </w:r>
      <w:r w:rsidRPr="00261CB0">
        <w:rPr>
          <w:rStyle w:val="libBold2Char"/>
          <w:rtl/>
        </w:rPr>
        <w:t xml:space="preserve"> / 3.</w:t>
      </w:r>
      <w:r w:rsidRPr="00C9040A">
        <w:rPr>
          <w:rtl/>
          <w:lang w:bidi="fa-IR"/>
        </w:rPr>
        <w:t xml:space="preserve"> عَنْهُ </w:t>
      </w:r>
      <w:r w:rsidR="006C577F" w:rsidRPr="006C577F">
        <w:rPr>
          <w:rStyle w:val="libFootnotenumChar"/>
          <w:rtl/>
        </w:rPr>
        <w:t>(3)</w:t>
      </w:r>
      <w:r w:rsidRPr="00C9040A">
        <w:rPr>
          <w:rtl/>
          <w:lang w:bidi="fa-IR"/>
        </w:rPr>
        <w:t xml:space="preserve"> ، عَنِ ابْنِ أَبِي عُمَيْرٍ ، عَنْ مُرَازِمِ بْنِ حَكِيمٍ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كَانَ أَبِي يَقُولُ : إِذَا هَمَمْتَ بِخَيْرٍ فَبَادِرْ ، فَإِنَّكَ لَاتَدْرِي مَا يَحْدُثُ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F33010">
        <w:rPr>
          <w:rtl/>
        </w:rPr>
        <w:t>1940</w:t>
      </w:r>
      <w:r w:rsidRPr="00261CB0">
        <w:rPr>
          <w:rStyle w:val="libBold2Char"/>
          <w:rtl/>
        </w:rPr>
        <w:t xml:space="preserve"> / 4.</w:t>
      </w:r>
      <w:r w:rsidRPr="00C9040A">
        <w:rPr>
          <w:rtl/>
          <w:lang w:bidi="fa-IR"/>
        </w:rPr>
        <w:t xml:space="preserve"> عَلِيُّ بْنُ إِبْرَاهِيمَ ، عَنْ أَبِيهِ ، عَنِ ابْنِ أَبِي عُمَيْرٍ ، عَنِ ابْنِ أُذَيْنَةَ ، عَنْ زُرَارَةَ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إِنَّ اللهَ يُحِبُّ مِنَ الْخَيْرِ مَا يُعَجَّلُ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F33010">
        <w:rPr>
          <w:rtl/>
        </w:rPr>
        <w:t>1941</w:t>
      </w:r>
      <w:r w:rsidRPr="00261CB0">
        <w:rPr>
          <w:rStyle w:val="libBold2Char"/>
          <w:rtl/>
        </w:rPr>
        <w:t xml:space="preserve"> / 5.</w:t>
      </w:r>
      <w:r w:rsidRPr="00C9040A">
        <w:rPr>
          <w:rtl/>
          <w:lang w:bidi="fa-IR"/>
        </w:rPr>
        <w:t xml:space="preserve"> عِدَّةٌ مِنْ أَصْحَابِنَا ، عَنْ أَحْمَدَ بْنِ مُحَمَّدِ بْنِ خَالِدٍ ، عَنْ عَلِيِّ بْنِ الْحَكَمِ ، عَنْ أَبَانِ بْنِ عُثْمَانَ ، عَنْ بَشِيرِ </w:t>
      </w:r>
      <w:r w:rsidR="006C577F" w:rsidRPr="006C577F">
        <w:rPr>
          <w:rStyle w:val="libFootnotenumChar"/>
          <w:rtl/>
        </w:rPr>
        <w:t>(6)</w:t>
      </w:r>
      <w:r w:rsidRPr="005B567D">
        <w:rPr>
          <w:rStyle w:val="libFootnotenumChar"/>
          <w:rtl/>
        </w:rPr>
        <w:t xml:space="preserve"> </w:t>
      </w:r>
      <w:r w:rsidRPr="00C9040A">
        <w:rPr>
          <w:rtl/>
          <w:lang w:bidi="fa-IR"/>
        </w:rPr>
        <w:t>بْنِ‌</w:t>
      </w:r>
      <w:r w:rsidR="007C2153">
        <w:rPr>
          <w:rFonts w:hint="cs"/>
          <w:rtl/>
          <w:lang w:bidi="fa-IR"/>
        </w:rPr>
        <w:t>................................................</w:t>
      </w:r>
      <w:r w:rsidR="007C2153">
        <w:rPr>
          <w:rFonts w:hint="cs"/>
          <w:rtl/>
          <w:lang w:bidi="fa-IR"/>
        </w:rPr>
        <w:tab/>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البحار </w:t>
      </w:r>
      <w:r w:rsidR="008A74EB">
        <w:rPr>
          <w:rtl/>
        </w:rPr>
        <w:t xml:space="preserve">: </w:t>
      </w:r>
      <w:r w:rsidR="0084262C">
        <w:rPr>
          <w:rtl/>
        </w:rPr>
        <w:t>-</w:t>
      </w:r>
      <w:r w:rsidR="008A74EB" w:rsidRPr="00C9040A">
        <w:rPr>
          <w:rtl/>
        </w:rPr>
        <w:t xml:space="preserve"> « خيراً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الوافي</w:t>
      </w:r>
      <w:r w:rsidR="008A74EB" w:rsidRPr="00C9040A">
        <w:rPr>
          <w:rtl/>
        </w:rPr>
        <w:t xml:space="preserve"> ، ج 4 ، ص 382 ، ح 2158 ؛ </w:t>
      </w:r>
      <w:r w:rsidR="008A74EB" w:rsidRPr="00993B55">
        <w:rPr>
          <w:rStyle w:val="libFootnoteBoldChar"/>
          <w:rtl/>
        </w:rPr>
        <w:t>الوسائل</w:t>
      </w:r>
      <w:r w:rsidR="008A74EB" w:rsidRPr="00C9040A">
        <w:rPr>
          <w:rtl/>
        </w:rPr>
        <w:t xml:space="preserve"> ، ج 1 ، ص 112 ، ح 276 ؛ </w:t>
      </w:r>
      <w:r w:rsidR="008A74EB" w:rsidRPr="00993B55">
        <w:rPr>
          <w:rStyle w:val="libFootnoteBoldChar"/>
          <w:rtl/>
        </w:rPr>
        <w:t>البحار</w:t>
      </w:r>
      <w:r w:rsidR="008A74EB" w:rsidRPr="00C9040A">
        <w:rPr>
          <w:rtl/>
        </w:rPr>
        <w:t xml:space="preserve"> ، ج 71 ، ص 221 ، ح 31.</w:t>
      </w:r>
    </w:p>
    <w:p w:rsidR="008A74EB" w:rsidRPr="00C9040A" w:rsidRDefault="006C577F" w:rsidP="004A4E41">
      <w:pPr>
        <w:pStyle w:val="libFootnote0"/>
        <w:rPr>
          <w:rtl/>
          <w:lang w:bidi="fa-IR"/>
        </w:rPr>
      </w:pPr>
      <w:r>
        <w:rPr>
          <w:rtl/>
        </w:rPr>
        <w:t>(3).</w:t>
      </w:r>
      <w:r w:rsidR="008A74EB" w:rsidRPr="00C9040A">
        <w:rPr>
          <w:rtl/>
        </w:rPr>
        <w:t xml:space="preserve"> الضمير راجع إلى أحمد بن محمّد بن عيسى.</w:t>
      </w:r>
    </w:p>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الوافي</w:t>
      </w:r>
      <w:r w:rsidR="008A74EB" w:rsidRPr="00C9040A">
        <w:rPr>
          <w:rtl/>
        </w:rPr>
        <w:t xml:space="preserve"> ، ج 4 ، ص 379 ، ح 2150 ؛ </w:t>
      </w:r>
      <w:r w:rsidR="008A74EB" w:rsidRPr="00993B55">
        <w:rPr>
          <w:rStyle w:val="libFootnoteBoldChar"/>
          <w:rtl/>
        </w:rPr>
        <w:t>الوسائل</w:t>
      </w:r>
      <w:r w:rsidR="008A74EB" w:rsidRPr="00C9040A">
        <w:rPr>
          <w:rtl/>
        </w:rPr>
        <w:t xml:space="preserve"> ، ج 1 ، ص 111 ، ح 274 ؛ </w:t>
      </w:r>
      <w:r w:rsidR="008A74EB" w:rsidRPr="00993B55">
        <w:rPr>
          <w:rStyle w:val="libFootnoteBoldChar"/>
          <w:rtl/>
        </w:rPr>
        <w:t>البحار</w:t>
      </w:r>
      <w:r w:rsidR="008A74EB" w:rsidRPr="00C9040A">
        <w:rPr>
          <w:rtl/>
        </w:rPr>
        <w:t xml:space="preserve"> ، ج 71 ، ص 222 ، ح 32.</w:t>
      </w:r>
    </w:p>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الكافي</w:t>
      </w:r>
      <w:r w:rsidR="008A74EB" w:rsidRPr="00C9040A">
        <w:rPr>
          <w:rtl/>
        </w:rPr>
        <w:t xml:space="preserve"> ، كتاب الصلاة ، باب المواقيت أوّلها وآخرها وأفضلها ، ح 4828. وفي </w:t>
      </w:r>
      <w:r w:rsidR="008A74EB" w:rsidRPr="00993B55">
        <w:rPr>
          <w:rStyle w:val="libFootnoteBoldChar"/>
          <w:rtl/>
        </w:rPr>
        <w:t>التهذيب</w:t>
      </w:r>
      <w:r w:rsidR="008A74EB" w:rsidRPr="00C9040A">
        <w:rPr>
          <w:rtl/>
        </w:rPr>
        <w:t xml:space="preserve"> ، ج 2 ، ص 40 ، ح 127 ، معلّقاً عن الحسين بن سعيد ، عن ابن أبي عمير ، وفيهما مع زيادة في أوّله </w:t>
      </w:r>
      <w:r w:rsidR="007C2153">
        <w:rPr>
          <w:rFonts w:hint="cs"/>
          <w:rtl/>
        </w:rPr>
        <w:t>.</w:t>
      </w:r>
      <w:r w:rsidR="008A74EB" w:rsidRPr="00993B55">
        <w:rPr>
          <w:rStyle w:val="libFootnoteBoldChar"/>
          <w:rtl/>
        </w:rPr>
        <w:t>الوافي</w:t>
      </w:r>
      <w:r w:rsidR="008A74EB" w:rsidRPr="00C9040A">
        <w:rPr>
          <w:rtl/>
        </w:rPr>
        <w:t xml:space="preserve"> ، ج 4 ، ص 379 ، ح 2149 ؛ </w:t>
      </w:r>
      <w:r w:rsidR="008A74EB" w:rsidRPr="00993B55">
        <w:rPr>
          <w:rStyle w:val="libFootnoteBoldChar"/>
          <w:rtl/>
        </w:rPr>
        <w:t>الوسائل</w:t>
      </w:r>
      <w:r w:rsidR="008A74EB" w:rsidRPr="00C9040A">
        <w:rPr>
          <w:rtl/>
        </w:rPr>
        <w:t xml:space="preserve"> ، ج 1 ، ص 112 ، ح 277 ؛ </w:t>
      </w:r>
      <w:r w:rsidR="008A74EB" w:rsidRPr="00993B55">
        <w:rPr>
          <w:rStyle w:val="libFootnoteBoldChar"/>
          <w:rtl/>
        </w:rPr>
        <w:t>البحار</w:t>
      </w:r>
      <w:r w:rsidR="008A74EB" w:rsidRPr="00C9040A">
        <w:rPr>
          <w:rtl/>
        </w:rPr>
        <w:t xml:space="preserve"> ، ج 71 ، ص 222 ، ح 33.</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ض ، بر » والبحار : « بشر »</w:t>
      </w:r>
      <w:r w:rsidR="008A74EB">
        <w:rPr>
          <w:rtl/>
        </w:rPr>
        <w:t>.</w:t>
      </w:r>
      <w:r w:rsidR="008A74EB" w:rsidRPr="00C9040A">
        <w:rPr>
          <w:rtl/>
        </w:rPr>
        <w:t xml:space="preserve"> وفي « بف » : « بسر »</w:t>
      </w:r>
      <w:r w:rsidR="008A74EB">
        <w:rPr>
          <w:rtl/>
        </w:rPr>
        <w:t>.</w:t>
      </w:r>
    </w:p>
    <w:p w:rsidR="008A74EB" w:rsidRPr="00C9040A" w:rsidRDefault="008A74EB" w:rsidP="004A4E41">
      <w:pPr>
        <w:pStyle w:val="libFootnote0"/>
        <w:rPr>
          <w:rtl/>
          <w:lang w:bidi="fa-IR"/>
        </w:rPr>
      </w:pPr>
      <w:r w:rsidRPr="00323A39">
        <w:rPr>
          <w:rtl/>
        </w:rPr>
        <w:t xml:space="preserve">وربّما يتوهّم أنّ الصواب في ما نحن فيه هو « بشر » ، وهو بشر بن يسار العجلي الذي ذكره الشيخ الطوسي في رجاله ، ص 168 ، الرقم 1957 من أصحاب أبي عبد الله </w:t>
      </w:r>
      <w:r w:rsidR="00117575" w:rsidRPr="00117575">
        <w:rPr>
          <w:rStyle w:val="libFootnoteAlaemChar"/>
          <w:rtl/>
        </w:rPr>
        <w:t xml:space="preserve">عليه‌السلام </w:t>
      </w:r>
      <w:r w:rsidRPr="00323A39">
        <w:rPr>
          <w:rtl/>
        </w:rPr>
        <w:t xml:space="preserve"> ، لكنّ الخبر رواه الصدوق في </w:t>
      </w:r>
      <w:r w:rsidRPr="00993B55">
        <w:rPr>
          <w:rStyle w:val="libFootnoteBoldChar"/>
          <w:rtl/>
        </w:rPr>
        <w:t>الأمالي</w:t>
      </w:r>
      <w:r w:rsidRPr="00323A39">
        <w:rPr>
          <w:rtl/>
        </w:rPr>
        <w:t xml:space="preserve"> ، ص 300 ، المجلس 58 ، ح 11 ، بسنده عن أحمد بن أبي عبد الله ، عن عليّ بن الحكم ، عن أبان بن عثمان ، عن بشّار بن يسار ، عن الصادق جعفر بن محمّد </w:t>
      </w:r>
      <w:r w:rsidR="00117575" w:rsidRPr="00117575">
        <w:rPr>
          <w:rStyle w:val="libFootnoteAlaemChar"/>
          <w:rtl/>
        </w:rPr>
        <w:t xml:space="preserve">عليه‌السلام </w:t>
      </w:r>
      <w:r w:rsidRPr="00323A39">
        <w:rPr>
          <w:rtl/>
        </w:rPr>
        <w:t>.</w:t>
      </w:r>
    </w:p>
    <w:p w:rsidR="008A74EB" w:rsidRPr="00C9040A" w:rsidRDefault="008A74EB" w:rsidP="004A4E41">
      <w:pPr>
        <w:pStyle w:val="libFootnote0"/>
        <w:rPr>
          <w:rtl/>
          <w:lang w:bidi="fa-IR"/>
        </w:rPr>
      </w:pPr>
      <w:r w:rsidRPr="00323A39">
        <w:rPr>
          <w:rtl/>
        </w:rPr>
        <w:t xml:space="preserve">هذا ، وقد ترجم النجاشي لبشّار بن يسار الضُبَعيّ أخو سعيد ، مولى بني ضُبَيْعَة بن عِجل وعدّه من أصحاب أبي عبد الله </w:t>
      </w:r>
      <w:r w:rsidR="00117575" w:rsidRPr="00117575">
        <w:rPr>
          <w:rStyle w:val="libFootnoteAlaemChar"/>
          <w:rtl/>
        </w:rPr>
        <w:t>عليه‌السلام</w:t>
      </w:r>
      <w:r w:rsidRPr="00323A39">
        <w:rPr>
          <w:rtl/>
        </w:rPr>
        <w:t xml:space="preserve"> ، والظاهر اتّحاد بشار هذا مع بشار بن يسار العجلي الذي ذكره الشيخ في أصحاب أبي عبد الله </w:t>
      </w:r>
      <w:r w:rsidR="00117575" w:rsidRPr="00117575">
        <w:rPr>
          <w:rStyle w:val="libFootnoteAlaemChar"/>
          <w:rtl/>
        </w:rPr>
        <w:t xml:space="preserve">عليه‌السلام </w:t>
      </w:r>
      <w:r w:rsidRPr="00323A39">
        <w:rPr>
          <w:rtl/>
        </w:rPr>
        <w:t xml:space="preserve">. راجع : </w:t>
      </w:r>
      <w:r w:rsidRPr="00993B55">
        <w:rPr>
          <w:rStyle w:val="libFootnoteBoldChar"/>
          <w:rtl/>
        </w:rPr>
        <w:t>رجال النجاشي</w:t>
      </w:r>
      <w:r w:rsidRPr="00323A39">
        <w:rPr>
          <w:rtl/>
        </w:rPr>
        <w:t xml:space="preserve"> ، ص 113 ، الرقم 290 ؛ </w:t>
      </w:r>
      <w:r w:rsidRPr="00993B55">
        <w:rPr>
          <w:rStyle w:val="libFootnoteBoldChar"/>
          <w:rtl/>
        </w:rPr>
        <w:t>رجال الطوسي</w:t>
      </w:r>
      <w:r w:rsidRPr="00323A39">
        <w:rPr>
          <w:rtl/>
        </w:rPr>
        <w:t xml:space="preserve"> ، ص 169 ، الرقم 1971.</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يَسَارٍ </w:t>
      </w:r>
      <w:r w:rsidR="006C577F" w:rsidRPr="006C577F">
        <w:rPr>
          <w:rStyle w:val="libFootnotenumChar"/>
          <w:rtl/>
        </w:rPr>
        <w:t>(1)</w:t>
      </w:r>
      <w:r w:rsidRPr="00C9040A">
        <w:rPr>
          <w:rtl/>
          <w:lang w:bidi="fa-IR"/>
        </w:rPr>
        <w:t xml:space="preserve">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إِذَا أَرَدْتَ شَيْئاً مِنَ الْخَيْرِ فَلَا تُؤَخِّرْهُ ، فَإِنَّ الْعَبْدَ يَصُومُ الْيَوْمَ الْحَارَّ يُرِيدُ </w:t>
      </w:r>
      <w:r w:rsidR="006C577F" w:rsidRPr="006C577F">
        <w:rPr>
          <w:rStyle w:val="libFootnotenumChar"/>
          <w:rtl/>
        </w:rPr>
        <w:t>(2)</w:t>
      </w:r>
      <w:r w:rsidRPr="00C9040A">
        <w:rPr>
          <w:rtl/>
          <w:lang w:bidi="fa-IR"/>
        </w:rPr>
        <w:t xml:space="preserve"> مَا عِنْدَ اللهِ ، فَيُعْتِقُهُ اللهُ بِهِ مِنَ النَّارِ ، وَلَا تَسْتَقِلَّ </w:t>
      </w:r>
      <w:r w:rsidR="006C577F" w:rsidRPr="006C577F">
        <w:rPr>
          <w:rStyle w:val="libFootnotenumChar"/>
          <w:rtl/>
        </w:rPr>
        <w:t>(3)</w:t>
      </w:r>
      <w:r w:rsidRPr="00C9040A">
        <w:rPr>
          <w:rtl/>
          <w:lang w:bidi="fa-IR"/>
        </w:rPr>
        <w:t xml:space="preserve"> مَا يُتَقَرَّبُ </w:t>
      </w:r>
      <w:r w:rsidR="006C577F" w:rsidRPr="006C577F">
        <w:rPr>
          <w:rStyle w:val="libFootnotenumChar"/>
          <w:rtl/>
        </w:rPr>
        <w:t>(4)</w:t>
      </w:r>
      <w:r w:rsidRPr="00C9040A">
        <w:rPr>
          <w:rtl/>
          <w:lang w:bidi="fa-IR"/>
        </w:rPr>
        <w:t xml:space="preserve"> بِهِ إِلَى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وَلَوْ شِقَّ </w:t>
      </w:r>
      <w:r w:rsidR="006C577F" w:rsidRPr="006C577F">
        <w:rPr>
          <w:rStyle w:val="libFootnotenumChar"/>
          <w:rtl/>
        </w:rPr>
        <w:t>(5)</w:t>
      </w:r>
      <w:r w:rsidRPr="00C9040A">
        <w:rPr>
          <w:rtl/>
          <w:lang w:bidi="fa-IR"/>
        </w:rPr>
        <w:t xml:space="preserve"> تَمْرَةٍ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Normal"/>
        <w:rPr>
          <w:rtl/>
          <w:lang w:bidi="fa-IR"/>
        </w:rPr>
      </w:pPr>
      <w:r w:rsidRPr="00F33010">
        <w:rPr>
          <w:rtl/>
        </w:rPr>
        <w:t>1942</w:t>
      </w:r>
      <w:r w:rsidRPr="00261CB0">
        <w:rPr>
          <w:rStyle w:val="libBold2Char"/>
          <w:rtl/>
        </w:rPr>
        <w:t xml:space="preserve"> / 6.</w:t>
      </w:r>
      <w:r w:rsidRPr="00C9040A">
        <w:rPr>
          <w:rtl/>
          <w:lang w:bidi="fa-IR"/>
        </w:rPr>
        <w:t xml:space="preserve"> عَنْهُ </w:t>
      </w:r>
      <w:r w:rsidR="006C577F" w:rsidRPr="006C577F">
        <w:rPr>
          <w:rStyle w:val="libFootnotenumChar"/>
          <w:rtl/>
        </w:rPr>
        <w:t>(7)</w:t>
      </w:r>
      <w:r w:rsidRPr="00C9040A">
        <w:rPr>
          <w:rtl/>
          <w:lang w:bidi="fa-IR"/>
        </w:rPr>
        <w:t xml:space="preserve"> ، عَنِ ابْنِ فَضَّالٍ ، عَنِ ابْنِ بُكَيْرٍ ، عَنْ بَعْضِ أَصْحَابِنَا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مَنْ هَمَّ بِخَيْرٍ فَلْيُعَجِّلْهُ </w:t>
      </w:r>
      <w:r w:rsidR="006C577F" w:rsidRPr="006C577F">
        <w:rPr>
          <w:rStyle w:val="libFootnotenumChar"/>
          <w:rtl/>
        </w:rPr>
        <w:t>(8)</w:t>
      </w:r>
      <w:r w:rsidRPr="00C9040A">
        <w:rPr>
          <w:rtl/>
          <w:lang w:bidi="fa-IR"/>
        </w:rPr>
        <w:t xml:space="preserve"> وَلَا يُؤَخِّرْهُ ، فَإِنَّ الْعَبْدَ رُبَّمَا عَمِلَ الْعَمَلَ ، فَيَقُولُ اللهُ تَبَارَكَ وَتَعَالى : قَدْ غَفَرْتُ لَكَ ، وَلَا أَكْتُبُ عَلَيْكَ شَيْئاً أَبَداً ؛ وَمَنْ هَمَّ بِسَيِّئَةٍ فَلَا يَعْمَلْهَا ، فَإِنَّهُ رُبَّمَا عَمِلَ الْعَبْدُ السَّيِّئَةَ ، فَيَرَاهُ الرَّبُّ </w:t>
      </w:r>
      <w:r w:rsidR="006C577F" w:rsidRPr="006C577F">
        <w:rPr>
          <w:rStyle w:val="libFootnotenumChar"/>
          <w:rtl/>
        </w:rPr>
        <w:t>(9)</w:t>
      </w:r>
      <w:r w:rsidRPr="00C9040A">
        <w:rPr>
          <w:rtl/>
          <w:lang w:bidi="fa-IR"/>
        </w:rPr>
        <w:t xml:space="preserve"> سُبْحَانَهُ ، فَيَقُولُ :</w:t>
      </w:r>
    </w:p>
    <w:p w:rsidR="008A74EB" w:rsidRPr="00C9040A" w:rsidRDefault="008A74EB" w:rsidP="008A74EB">
      <w:pPr>
        <w:pStyle w:val="libLine"/>
        <w:rPr>
          <w:rtl/>
          <w:lang w:bidi="fa-IR"/>
        </w:rPr>
      </w:pPr>
      <w:r w:rsidRPr="00C9040A">
        <w:rPr>
          <w:rtl/>
          <w:lang w:bidi="fa-IR"/>
        </w:rPr>
        <w:t>__________________</w:t>
      </w:r>
    </w:p>
    <w:p w:rsidR="008A74EB" w:rsidRPr="00C9040A" w:rsidRDefault="00BC072C" w:rsidP="004A4E41">
      <w:pPr>
        <w:pStyle w:val="libFootnote0"/>
        <w:rPr>
          <w:rtl/>
          <w:lang w:bidi="fa-IR"/>
        </w:rPr>
      </w:pPr>
      <w:r>
        <w:rPr>
          <w:rFonts w:hint="cs"/>
          <w:rtl/>
        </w:rPr>
        <w:t xml:space="preserve">= </w:t>
      </w:r>
      <w:r w:rsidR="008A74EB" w:rsidRPr="00323A39">
        <w:rPr>
          <w:rtl/>
        </w:rPr>
        <w:t>ثمّ إنّه عنون الكشّي في رجاله ، ص 411 ، الرقم 773 بشّار بن بشّار ، وقال : « حدّثني محمّد بن مسعود ، قال : سألت عليّ بن الحسن عن بشّار بن بشّار الذي يروي عنه أبان بن عثمان؟ قال : هو خير من أبان وليس به بأس ».</w:t>
      </w:r>
      <w:r w:rsidR="008A74EB" w:rsidRPr="00323A39">
        <w:rPr>
          <w:rFonts w:hint="cs"/>
          <w:rtl/>
        </w:rPr>
        <w:t xml:space="preserve"> </w:t>
      </w:r>
      <w:r w:rsidR="008A74EB" w:rsidRPr="00323A39">
        <w:rPr>
          <w:rtl/>
        </w:rPr>
        <w:t xml:space="preserve">فتحصّل ممّا ذكر أنّه لا يحصل الاطمئنان بصحّة « بشر » في ما نحن فيه ، بل المظنون قويّاً أنّ الصواب هو « بشّار » كما في </w:t>
      </w:r>
      <w:r w:rsidR="008A74EB" w:rsidRPr="0034021D">
        <w:rPr>
          <w:rStyle w:val="libFootnoteBoldChar"/>
          <w:rtl/>
        </w:rPr>
        <w:t>الأمالي للصدوق</w:t>
      </w:r>
      <w:r w:rsidR="008A74EB" w:rsidRPr="00323A39">
        <w:rPr>
          <w:rtl/>
        </w:rPr>
        <w:t xml:space="preserve"> ، وأنّ احتمال حذف الألف في « بشر » </w:t>
      </w:r>
      <w:r w:rsidR="0084262C" w:rsidRPr="00323A39">
        <w:rPr>
          <w:rtl/>
        </w:rPr>
        <w:t>-</w:t>
      </w:r>
      <w:r w:rsidR="008A74EB" w:rsidRPr="00323A39">
        <w:rPr>
          <w:rtl/>
        </w:rPr>
        <w:t xml:space="preserve"> كما كان مرسوماً في قديم الأيّام </w:t>
      </w:r>
      <w:r w:rsidR="0084262C" w:rsidRPr="00323A39">
        <w:rPr>
          <w:rtl/>
        </w:rPr>
        <w:t>-</w:t>
      </w:r>
      <w:r w:rsidR="008A74EB" w:rsidRPr="00323A39">
        <w:rPr>
          <w:rtl/>
        </w:rPr>
        <w:t xml:space="preserve"> غير منفيّ ، فتأمّل.</w:t>
      </w:r>
    </w:p>
    <w:tbl>
      <w:tblPr>
        <w:tblStyle w:val="TableGrid"/>
        <w:bidiVisual/>
        <w:tblW w:w="0" w:type="auto"/>
        <w:tblLook w:val="04A0" w:firstRow="1" w:lastRow="0" w:firstColumn="1" w:lastColumn="0" w:noHBand="0" w:noVBand="1"/>
      </w:tblPr>
      <w:tblGrid>
        <w:gridCol w:w="4006"/>
        <w:gridCol w:w="4006"/>
      </w:tblGrid>
      <w:tr w:rsidR="00BC072C" w:rsidTr="00BC072C">
        <w:tc>
          <w:tcPr>
            <w:tcW w:w="4006" w:type="dxa"/>
          </w:tcPr>
          <w:p w:rsidR="00BC072C" w:rsidRDefault="00BC072C" w:rsidP="004A4E41">
            <w:pPr>
              <w:pStyle w:val="libFootnote0"/>
              <w:rPr>
                <w:rtl/>
              </w:rPr>
            </w:pPr>
            <w:r>
              <w:rPr>
                <w:rtl/>
              </w:rPr>
              <w:t xml:space="preserve">(1). </w:t>
            </w:r>
            <w:r w:rsidRPr="00C9040A">
              <w:rPr>
                <w:rtl/>
              </w:rPr>
              <w:t>في « ب » : « بشار »</w:t>
            </w:r>
            <w:r>
              <w:rPr>
                <w:rtl/>
              </w:rPr>
              <w:t>.</w:t>
            </w:r>
          </w:p>
        </w:tc>
        <w:tc>
          <w:tcPr>
            <w:tcW w:w="4006" w:type="dxa"/>
          </w:tcPr>
          <w:p w:rsidR="00BC072C" w:rsidRDefault="00BC072C" w:rsidP="004A4E41">
            <w:pPr>
              <w:pStyle w:val="libFootnote0"/>
              <w:rPr>
                <w:rtl/>
              </w:rPr>
            </w:pPr>
            <w:r>
              <w:rPr>
                <w:rtl/>
              </w:rPr>
              <w:t xml:space="preserve">(2). </w:t>
            </w:r>
            <w:r w:rsidRPr="00C9040A">
              <w:rPr>
                <w:rtl/>
              </w:rPr>
              <w:t>في « بف » والأمالي : + « به »</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في « ب ، ج ، ز ، بر ، بس ، بف » والبحار : « ولا يستقلّ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ص ، ض ، ف » : « تتقرّب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ب ، ز ، ص ، ض ، ف ، بس » ومرآة العقول والبحار : « بشقّ »</w:t>
      </w:r>
      <w:r w:rsidR="008A74EB">
        <w:rPr>
          <w:rtl/>
        </w:rPr>
        <w:t>.</w:t>
      </w:r>
      <w:r w:rsidR="008A74EB" w:rsidRPr="00C9040A">
        <w:rPr>
          <w:rtl/>
        </w:rPr>
        <w:t xml:space="preserve"> وفي </w:t>
      </w:r>
      <w:r w:rsidR="008A74EB" w:rsidRPr="00993B55">
        <w:rPr>
          <w:rStyle w:val="libFootnoteBoldChar"/>
          <w:rtl/>
        </w:rPr>
        <w:t>الوافي</w:t>
      </w:r>
      <w:r w:rsidR="008A74EB" w:rsidRPr="00C9040A">
        <w:rPr>
          <w:rtl/>
        </w:rPr>
        <w:t xml:space="preserve"> : « النهي عن الاستقلال إنّما هو قبل الفعل لئلاّ يمنعه عن الإتيان به ، وأمّا بعد ما أتى به فلا ينبغي أن يستكثر عمله فيصير معجباً به. وقوله : ولو شقّ تمرة ، يعني التصدّق به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34021D">
        <w:rPr>
          <w:rStyle w:val="libFootnoteBoldChar"/>
          <w:rtl/>
        </w:rPr>
        <w:t>الأمالي للصدوق</w:t>
      </w:r>
      <w:r w:rsidR="008A74EB" w:rsidRPr="00C9040A">
        <w:rPr>
          <w:rtl/>
        </w:rPr>
        <w:t xml:space="preserve"> ، ص 366 ، المجلس 58 ، ح 11 ، عن عليّ بن أحمد بن عبد الله البرقي ، عن أبيه ، عن جدّه أحمد بن أبي عبد الله ، عن عليّ بن حكم ، إلى قوله : « فيعتقه الله به من النار » ، مع زيادة في آخره </w:t>
      </w:r>
      <w:r w:rsidR="00BC072C">
        <w:rPr>
          <w:rFonts w:hint="cs"/>
          <w:rtl/>
        </w:rPr>
        <w:t>.</w:t>
      </w:r>
      <w:r w:rsidR="008A74EB" w:rsidRPr="00993B55">
        <w:rPr>
          <w:rStyle w:val="libFootnoteBoldChar"/>
          <w:rtl/>
        </w:rPr>
        <w:t>الوافي</w:t>
      </w:r>
      <w:r w:rsidR="008A74EB" w:rsidRPr="00C9040A">
        <w:rPr>
          <w:rtl/>
        </w:rPr>
        <w:t xml:space="preserve"> ، ج 4 ، ص 380 ، ح 2152 ؛ </w:t>
      </w:r>
      <w:r w:rsidR="008A74EB" w:rsidRPr="00993B55">
        <w:rPr>
          <w:rStyle w:val="libFootnoteBoldChar"/>
          <w:rtl/>
        </w:rPr>
        <w:t>الوسائل</w:t>
      </w:r>
      <w:r w:rsidR="008A74EB" w:rsidRPr="00C9040A">
        <w:rPr>
          <w:rtl/>
        </w:rPr>
        <w:t xml:space="preserve"> ، ج 1 ، ص 112 ، ح 279 ، إلى قوله : « فيعتقه الله به من النار » ؛ </w:t>
      </w:r>
      <w:r w:rsidR="008A74EB" w:rsidRPr="00993B55">
        <w:rPr>
          <w:rStyle w:val="libFootnoteBoldChar"/>
          <w:rtl/>
        </w:rPr>
        <w:t>البحار</w:t>
      </w:r>
      <w:r w:rsidR="008A74EB" w:rsidRPr="00C9040A">
        <w:rPr>
          <w:rtl/>
        </w:rPr>
        <w:t xml:space="preserve"> ، ج 71 ، ص 222 ، ح 34.</w:t>
      </w:r>
    </w:p>
    <w:p w:rsidR="008A74EB" w:rsidRPr="00C9040A" w:rsidRDefault="006C577F" w:rsidP="004A4E41">
      <w:pPr>
        <w:pStyle w:val="libFootnote0"/>
        <w:rPr>
          <w:rtl/>
          <w:lang w:bidi="fa-IR"/>
        </w:rPr>
      </w:pPr>
      <w:r>
        <w:rPr>
          <w:rtl/>
        </w:rPr>
        <w:t>(7).</w:t>
      </w:r>
      <w:r w:rsidR="008A74EB" w:rsidRPr="00C9040A">
        <w:rPr>
          <w:rtl/>
        </w:rPr>
        <w:t xml:space="preserve"> الضمير راجع إلى أحمد بن محمّد بن خالد المذكور في السند السابق.</w:t>
      </w:r>
    </w:p>
    <w:p w:rsidR="008A74EB" w:rsidRPr="00C9040A" w:rsidRDefault="006C577F" w:rsidP="004A4E41">
      <w:pPr>
        <w:pStyle w:val="libFootnote0"/>
        <w:rPr>
          <w:rtl/>
          <w:lang w:bidi="fa-IR"/>
        </w:rPr>
      </w:pPr>
      <w:r>
        <w:rPr>
          <w:rtl/>
        </w:rPr>
        <w:t>(8).</w:t>
      </w:r>
      <w:r w:rsidR="008A74EB" w:rsidRPr="00C9040A">
        <w:rPr>
          <w:rtl/>
        </w:rPr>
        <w:t xml:space="preserve"> في « ج » : « فليُعْجِله » بهيئة الإفعال.</w:t>
      </w:r>
    </w:p>
    <w:p w:rsidR="008A74EB" w:rsidRPr="00C9040A" w:rsidRDefault="006C577F" w:rsidP="004A4E41">
      <w:pPr>
        <w:pStyle w:val="libFootnote0"/>
        <w:rPr>
          <w:rtl/>
          <w:lang w:bidi="fa-IR"/>
        </w:rPr>
      </w:pPr>
      <w:r>
        <w:rPr>
          <w:rtl/>
        </w:rPr>
        <w:t>(9).</w:t>
      </w:r>
      <w:r w:rsidR="008A74EB" w:rsidRPr="00C9040A">
        <w:rPr>
          <w:rtl/>
        </w:rPr>
        <w:t xml:space="preserve"> هكذا في « ج ، ز ، ص ، ض ، ف ، بر ، بس ، بف » والوافي والوسائل والبحار والكافي ، ح 2427 والمحاسن. وفي سائر النسخ والمطبوع : « الله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لَا </w:t>
      </w:r>
      <w:r w:rsidR="006C577F" w:rsidRPr="006C577F">
        <w:rPr>
          <w:rStyle w:val="libFootnotenumChar"/>
          <w:rtl/>
        </w:rPr>
        <w:t>(1)</w:t>
      </w:r>
      <w:r w:rsidRPr="00C9040A">
        <w:rPr>
          <w:rtl/>
          <w:lang w:bidi="fa-IR"/>
        </w:rPr>
        <w:t xml:space="preserve"> وَعِزَّتِي وَجَلَالِي ، لَا</w:t>
      </w:r>
      <w:r>
        <w:rPr>
          <w:rFonts w:hint="cs"/>
          <w:rtl/>
          <w:lang w:bidi="fa-IR"/>
        </w:rPr>
        <w:t xml:space="preserve"> </w:t>
      </w:r>
      <w:r w:rsidRPr="00C9040A">
        <w:rPr>
          <w:rtl/>
          <w:lang w:bidi="fa-IR"/>
        </w:rPr>
        <w:t>أَغْفِرُ لَكَ بَعْدَهَا أَبَداً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F33010">
        <w:rPr>
          <w:rtl/>
        </w:rPr>
        <w:t>1943</w:t>
      </w:r>
      <w:r w:rsidRPr="00261CB0">
        <w:rPr>
          <w:rStyle w:val="libBold2Char"/>
          <w:rtl/>
        </w:rPr>
        <w:t xml:space="preserve"> / 7.</w:t>
      </w:r>
      <w:r w:rsidRPr="00C9040A">
        <w:rPr>
          <w:rtl/>
          <w:lang w:bidi="fa-IR"/>
        </w:rPr>
        <w:t xml:space="preserve"> عَلِيٌّ </w:t>
      </w:r>
      <w:r w:rsidR="006C577F" w:rsidRPr="006C577F">
        <w:rPr>
          <w:rStyle w:val="libFootnotenumChar"/>
          <w:rtl/>
        </w:rPr>
        <w:t>(3)</w:t>
      </w:r>
      <w:r w:rsidRPr="00C9040A">
        <w:rPr>
          <w:rtl/>
          <w:lang w:bidi="fa-IR"/>
        </w:rPr>
        <w:t xml:space="preserve"> ، عَنْ أَبِيهِ ، عَنِ ابْنِ أَبِي عُمَيْرٍ ، عَنْ هِشَامِ بْنِ سَالِمٍ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إِذَا هَمَمْتَ بِشَيْ‌ءٍ مِنَ الْخَيْرِ فَلَا تُؤَخِّرْهُ ، فَإِنَّ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رُبَّمَا اطَّلَعَ </w:t>
      </w:r>
      <w:r w:rsidR="006C577F" w:rsidRPr="006C577F">
        <w:rPr>
          <w:rStyle w:val="libFootnotenumChar"/>
          <w:rtl/>
        </w:rPr>
        <w:t>(4)</w:t>
      </w:r>
      <w:r w:rsidRPr="00C9040A">
        <w:rPr>
          <w:rtl/>
          <w:lang w:bidi="fa-IR"/>
        </w:rPr>
        <w:t xml:space="preserve"> عَلَى الْعَبْدِ وَهُوَ عَلى شَيْ‌ءٍ مِنَ الطَّاعَةِ ، فَيَقُولُ : وَعِزَّتِي وَجَلَالِي </w:t>
      </w:r>
      <w:r w:rsidR="006C577F" w:rsidRPr="006C577F">
        <w:rPr>
          <w:rStyle w:val="libFootnotenumChar"/>
          <w:rtl/>
        </w:rPr>
        <w:t>(5)</w:t>
      </w:r>
      <w:r w:rsidRPr="00C9040A">
        <w:rPr>
          <w:rtl/>
          <w:lang w:bidi="fa-IR"/>
        </w:rPr>
        <w:t xml:space="preserve"> ، لَا أُعَذِّبُكَ بَعْدَهَا أَبَداً ؛ وَإِذَا هَمَمْتَ بِسَيِّئَةٍ فَلَا تَعْمَلْهَا ، فَإِنَّهُ رُبَّمَا اطَّلَعَ اللهُ عَلَى الْعَبْدِ وَهُوَ عَلى شَيْ‌ءٍ مِنَ الْمَعْصِيَةِ ، فَيَقُولُ : وَعِزَّتِي وَجَلَالِي ، لَا</w:t>
      </w:r>
      <w:r>
        <w:rPr>
          <w:rFonts w:hint="cs"/>
          <w:rtl/>
          <w:lang w:bidi="fa-IR"/>
        </w:rPr>
        <w:t xml:space="preserve"> </w:t>
      </w:r>
      <w:r w:rsidRPr="00C9040A">
        <w:rPr>
          <w:rtl/>
          <w:lang w:bidi="fa-IR"/>
        </w:rPr>
        <w:t xml:space="preserve">أَغْفِرُ لَكَ بَعْدَهَا </w:t>
      </w:r>
      <w:r w:rsidR="006C577F" w:rsidRPr="006C577F">
        <w:rPr>
          <w:rStyle w:val="libFootnotenumChar"/>
          <w:rtl/>
        </w:rPr>
        <w:t>(6)</w:t>
      </w:r>
      <w:r w:rsidRPr="005B567D">
        <w:rPr>
          <w:rStyle w:val="libFootnotenumChar"/>
          <w:rtl/>
        </w:rPr>
        <w:t xml:space="preserve"> </w:t>
      </w:r>
      <w:r w:rsidRPr="00C9040A">
        <w:rPr>
          <w:rtl/>
          <w:lang w:bidi="fa-IR"/>
        </w:rPr>
        <w:t>أَبَداً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F33010">
        <w:rPr>
          <w:rtl/>
        </w:rPr>
        <w:t>1944</w:t>
      </w:r>
      <w:r w:rsidRPr="00261CB0">
        <w:rPr>
          <w:rStyle w:val="libBold2Char"/>
          <w:rtl/>
        </w:rPr>
        <w:t xml:space="preserve"> / 8.</w:t>
      </w:r>
      <w:r w:rsidRPr="00C9040A">
        <w:rPr>
          <w:rtl/>
          <w:lang w:bidi="fa-IR"/>
        </w:rPr>
        <w:t xml:space="preserve"> أَبُو عَلِيٍّ الْأَشْعَرِيُّ ، عَنْ مُحَمَّدِ بْنِ عَبْدِ الْجَبَّارِ ، عَنِ ابْنِ فَضَّالٍ ، عَنْ أَبِي جَمِيلَةَ ، عَنْ مُحَمَّدِ بْنِ حُمْرَانَ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إِذَا هَمَّ أَحَدُكُمْ بِخَيْرٍ أَوْ صِلَةٍ ، فَإِنَّ عَنْ يَمِينِهِ وَشِمَالِهِ </w:t>
      </w:r>
      <w:r w:rsidR="006C577F" w:rsidRPr="006C577F">
        <w:rPr>
          <w:rStyle w:val="libFootnotenumChar"/>
          <w:rtl/>
        </w:rPr>
        <w:t>(8)</w:t>
      </w:r>
      <w:r w:rsidRPr="00C9040A">
        <w:rPr>
          <w:rtl/>
          <w:lang w:bidi="fa-IR"/>
        </w:rPr>
        <w:t xml:space="preserve"> شَيْطَانَيْنِ ، فَلْيُبَادِرْ ، لَايَكُفَّاهُ </w:t>
      </w:r>
      <w:r w:rsidR="006C577F" w:rsidRPr="006C577F">
        <w:rPr>
          <w:rStyle w:val="libFootnotenumChar"/>
          <w:rtl/>
        </w:rPr>
        <w:t>(9)</w:t>
      </w:r>
      <w:r w:rsidRPr="00C9040A">
        <w:rPr>
          <w:rtl/>
          <w:lang w:bidi="fa-IR"/>
        </w:rPr>
        <w:t xml:space="preserve"> عَنْ ذلِكَ »</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Normal"/>
        <w:rPr>
          <w:rtl/>
          <w:lang w:bidi="fa-IR"/>
        </w:rPr>
      </w:pPr>
      <w:r w:rsidRPr="00F33010">
        <w:rPr>
          <w:rtl/>
        </w:rPr>
        <w:t>1945</w:t>
      </w:r>
      <w:r w:rsidRPr="00261CB0">
        <w:rPr>
          <w:rStyle w:val="libBold2Char"/>
          <w:rtl/>
        </w:rPr>
        <w:t xml:space="preserve"> / 9.</w:t>
      </w:r>
      <w:r w:rsidRPr="00C9040A">
        <w:rPr>
          <w:rtl/>
          <w:lang w:bidi="fa-IR"/>
        </w:rPr>
        <w:t xml:space="preserve"> مُحَمَّدُ بْنُ يَحْيى ، عَنْ أَحْمَدَ بْنِ مُحَمَّدٍ ، عَنْ مُحَمَّدِ بْنِ سِنَانٍ ، عَنْ‌</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الكافي ، ح 2427 ، والمحاسن </w:t>
      </w:r>
      <w:r w:rsidR="008A74EB">
        <w:rPr>
          <w:rtl/>
        </w:rPr>
        <w:t xml:space="preserve">: </w:t>
      </w:r>
      <w:r w:rsidR="0084262C">
        <w:rPr>
          <w:rtl/>
        </w:rPr>
        <w:t>-</w:t>
      </w:r>
      <w:r w:rsidR="008A74EB" w:rsidRPr="00C9040A">
        <w:rPr>
          <w:rtl/>
        </w:rPr>
        <w:t xml:space="preserve"> « لا »</w:t>
      </w:r>
      <w:r w:rsidR="008A74EB">
        <w:rPr>
          <w:rtl/>
        </w:rPr>
        <w:t>.</w:t>
      </w:r>
    </w:p>
    <w:p w:rsidR="008A74EB" w:rsidRPr="00C9040A" w:rsidRDefault="006C577F" w:rsidP="00D20794">
      <w:pPr>
        <w:pStyle w:val="libFootnote0"/>
        <w:rPr>
          <w:rtl/>
          <w:lang w:bidi="fa-IR"/>
        </w:rPr>
      </w:pPr>
      <w:r>
        <w:rPr>
          <w:rtl/>
        </w:rPr>
        <w:t>(2).</w:t>
      </w:r>
      <w:r w:rsidR="008A74EB">
        <w:rPr>
          <w:rtl/>
        </w:rPr>
        <w:t xml:space="preserve"> </w:t>
      </w:r>
      <w:r w:rsidR="008A74EB" w:rsidRPr="00993B55">
        <w:rPr>
          <w:rStyle w:val="libFootnoteBoldChar"/>
          <w:rtl/>
        </w:rPr>
        <w:t>المحاسن</w:t>
      </w:r>
      <w:r w:rsidR="008A74EB" w:rsidRPr="00C9040A">
        <w:rPr>
          <w:rtl/>
        </w:rPr>
        <w:t xml:space="preserve"> ، ص 117 ، كتاب عقاب الأعمال ، ح 124 ، عن أبيه ، عن الحسن بن عليّ بن فضّال. وفي </w:t>
      </w:r>
      <w:r w:rsidR="008A74EB" w:rsidRPr="00993B55">
        <w:rPr>
          <w:rStyle w:val="libFootnoteBoldChar"/>
          <w:rtl/>
        </w:rPr>
        <w:t>الكافي</w:t>
      </w:r>
      <w:r w:rsidR="008A74EB" w:rsidRPr="00C9040A">
        <w:rPr>
          <w:rtl/>
        </w:rPr>
        <w:t xml:space="preserve"> ، كتاب الإيمان والكفر ، باب الذنوب ، ح 2427 ، عن أبي عليّ الأشعري ، عن محمّد بن عبد الجبّار ، عن ابن فضّال ، عن ابن بكير ، عن أبي عبد الله </w:t>
      </w:r>
      <w:r w:rsidR="00117575" w:rsidRPr="00117575">
        <w:rPr>
          <w:rStyle w:val="libFootnoteAlaemChar"/>
          <w:rtl/>
        </w:rPr>
        <w:t>عليه‌السلام</w:t>
      </w:r>
      <w:r w:rsidR="008A74EB" w:rsidRPr="00C9040A">
        <w:rPr>
          <w:rtl/>
        </w:rPr>
        <w:t xml:space="preserve"> ؛ </w:t>
      </w:r>
      <w:r w:rsidR="008A74EB" w:rsidRPr="00993B55">
        <w:rPr>
          <w:rStyle w:val="libFootnoteBoldChar"/>
          <w:rtl/>
        </w:rPr>
        <w:t>ثواب الأعمال</w:t>
      </w:r>
      <w:r w:rsidR="008A74EB" w:rsidRPr="00C9040A">
        <w:rPr>
          <w:rtl/>
        </w:rPr>
        <w:t xml:space="preserve"> ، ص 288 ، ح 1 ، بسنده عن أحمد بن محمّد ، عن الحسن بن عليّ بن فضّال ، مع اختلاف يسير ، وفي كلّها من قوله : « من همّ بالسيّئة فلا يعملها » </w:t>
      </w:r>
      <w:r w:rsidR="00D20794">
        <w:rPr>
          <w:rFonts w:hint="cs"/>
          <w:rtl/>
        </w:rPr>
        <w:t>.</w:t>
      </w:r>
      <w:r w:rsidR="008A74EB" w:rsidRPr="00993B55">
        <w:rPr>
          <w:rStyle w:val="libFootnoteBoldChar"/>
          <w:rtl/>
        </w:rPr>
        <w:t>الوافي</w:t>
      </w:r>
      <w:r w:rsidR="008A74EB" w:rsidRPr="00C9040A">
        <w:rPr>
          <w:rtl/>
        </w:rPr>
        <w:t xml:space="preserve"> ، ج 4 ، ص 380 ، ح 2153 ؛ </w:t>
      </w:r>
      <w:r w:rsidR="008A74EB" w:rsidRPr="00993B55">
        <w:rPr>
          <w:rStyle w:val="libFootnoteBoldChar"/>
          <w:rtl/>
        </w:rPr>
        <w:t>الوسائل</w:t>
      </w:r>
      <w:r w:rsidR="008A74EB" w:rsidRPr="00C9040A">
        <w:rPr>
          <w:rtl/>
        </w:rPr>
        <w:t xml:space="preserve"> ، ج 1 ، ص 113 ، ح 280 ؛ </w:t>
      </w:r>
      <w:r w:rsidR="008A74EB" w:rsidRPr="00993B55">
        <w:rPr>
          <w:rStyle w:val="libFootnoteBoldChar"/>
          <w:rtl/>
        </w:rPr>
        <w:t>البحار</w:t>
      </w:r>
      <w:r w:rsidR="008A74EB" w:rsidRPr="00C9040A">
        <w:rPr>
          <w:rtl/>
        </w:rPr>
        <w:t xml:space="preserve"> ، ج 71 ، ص 223 ، ح 35.</w:t>
      </w:r>
    </w:p>
    <w:p w:rsidR="008A74EB" w:rsidRPr="00C9040A" w:rsidRDefault="006C577F" w:rsidP="004A4E41">
      <w:pPr>
        <w:pStyle w:val="libFootnote0"/>
        <w:rPr>
          <w:rtl/>
          <w:lang w:bidi="fa-IR"/>
        </w:rPr>
      </w:pPr>
      <w:r>
        <w:rPr>
          <w:rtl/>
        </w:rPr>
        <w:t>(3).</w:t>
      </w:r>
      <w:r w:rsidR="008A74EB" w:rsidRPr="00C9040A">
        <w:rPr>
          <w:rtl/>
        </w:rPr>
        <w:t xml:space="preserve"> في « ج ، ز ، ض » وحاشية « د » : + « بن إبراهيم »</w:t>
      </w:r>
      <w:r w:rsidR="008A74EB">
        <w:rPr>
          <w:rtl/>
        </w:rPr>
        <w:t>.</w:t>
      </w:r>
      <w:r w:rsidR="008A74EB" w:rsidRPr="00C9040A">
        <w:rPr>
          <w:rtl/>
        </w:rPr>
        <w:t xml:space="preserve"> وفي « جر » : « عنه » بدل « عليّ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يجوز فيه وما يأتي الإفعال والافتعال كلاهما. وظاهر النسخ أيضاً مختلف ، ففي « ز ، ف » من الافتعال. وفي‌غيرهما من الإفعال. وهما بمعنى الإشراف والعلم.</w:t>
      </w:r>
    </w:p>
    <w:tbl>
      <w:tblPr>
        <w:tblStyle w:val="TableGrid"/>
        <w:bidiVisual/>
        <w:tblW w:w="0" w:type="auto"/>
        <w:tblLook w:val="04A0" w:firstRow="1" w:lastRow="0" w:firstColumn="1" w:lastColumn="0" w:noHBand="0" w:noVBand="1"/>
      </w:tblPr>
      <w:tblGrid>
        <w:gridCol w:w="4006"/>
        <w:gridCol w:w="4006"/>
      </w:tblGrid>
      <w:tr w:rsidR="001954F2" w:rsidTr="001954F2">
        <w:tc>
          <w:tcPr>
            <w:tcW w:w="4006" w:type="dxa"/>
          </w:tcPr>
          <w:p w:rsidR="001954F2" w:rsidRDefault="001954F2" w:rsidP="004A4E41">
            <w:pPr>
              <w:pStyle w:val="libFootnote0"/>
              <w:rPr>
                <w:rtl/>
              </w:rPr>
            </w:pPr>
            <w:r>
              <w:rPr>
                <w:rtl/>
              </w:rPr>
              <w:t>(5).</w:t>
            </w:r>
            <w:r w:rsidRPr="00C9040A">
              <w:rPr>
                <w:rtl/>
              </w:rPr>
              <w:t xml:space="preserve"> في « بر ، بس » </w:t>
            </w:r>
            <w:r>
              <w:rPr>
                <w:rtl/>
              </w:rPr>
              <w:t>: -</w:t>
            </w:r>
            <w:r w:rsidRPr="00C9040A">
              <w:rPr>
                <w:rtl/>
              </w:rPr>
              <w:t xml:space="preserve"> « وجلالي »</w:t>
            </w:r>
            <w:r>
              <w:rPr>
                <w:rtl/>
              </w:rPr>
              <w:t>.</w:t>
            </w:r>
          </w:p>
        </w:tc>
        <w:tc>
          <w:tcPr>
            <w:tcW w:w="4006" w:type="dxa"/>
          </w:tcPr>
          <w:p w:rsidR="001954F2" w:rsidRDefault="001954F2" w:rsidP="004A4E41">
            <w:pPr>
              <w:pStyle w:val="libFootnote0"/>
              <w:rPr>
                <w:rtl/>
              </w:rPr>
            </w:pPr>
            <w:r>
              <w:rPr>
                <w:rtl/>
              </w:rPr>
              <w:t xml:space="preserve">(6). </w:t>
            </w:r>
            <w:r w:rsidRPr="00C9040A">
              <w:rPr>
                <w:rtl/>
              </w:rPr>
              <w:t>في « ض » : « بعده »</w:t>
            </w:r>
            <w:r>
              <w:rPr>
                <w:rtl/>
              </w:rPr>
              <w:t>.</w:t>
            </w:r>
          </w:p>
        </w:tc>
      </w:tr>
    </w:tbl>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الوافي</w:t>
      </w:r>
      <w:r w:rsidR="008A74EB" w:rsidRPr="00C9040A">
        <w:rPr>
          <w:rtl/>
        </w:rPr>
        <w:t xml:space="preserve"> ، ج 4 ، ص 380 ، ح 2154 ؛ </w:t>
      </w:r>
      <w:r w:rsidR="008A74EB" w:rsidRPr="00993B55">
        <w:rPr>
          <w:rStyle w:val="libFootnoteBoldChar"/>
          <w:rtl/>
        </w:rPr>
        <w:t>الوسائل</w:t>
      </w:r>
      <w:r w:rsidR="008A74EB" w:rsidRPr="00C9040A">
        <w:rPr>
          <w:rtl/>
        </w:rPr>
        <w:t xml:space="preserve"> ، ج 1 ، ص 112 ، ح 278 ؛ </w:t>
      </w:r>
      <w:r w:rsidR="008A74EB" w:rsidRPr="00993B55">
        <w:rPr>
          <w:rStyle w:val="libFootnoteBoldChar"/>
          <w:rtl/>
        </w:rPr>
        <w:t>البحار</w:t>
      </w:r>
      <w:r w:rsidR="008A74EB" w:rsidRPr="00C9040A">
        <w:rPr>
          <w:rtl/>
        </w:rPr>
        <w:t xml:space="preserve"> ، ج 71 ، ص 223 ، ح 36.</w:t>
      </w:r>
    </w:p>
    <w:tbl>
      <w:tblPr>
        <w:tblStyle w:val="TableGrid"/>
        <w:bidiVisual/>
        <w:tblW w:w="0" w:type="auto"/>
        <w:tblLook w:val="04A0" w:firstRow="1" w:lastRow="0" w:firstColumn="1" w:lastColumn="0" w:noHBand="0" w:noVBand="1"/>
      </w:tblPr>
      <w:tblGrid>
        <w:gridCol w:w="4006"/>
        <w:gridCol w:w="4006"/>
      </w:tblGrid>
      <w:tr w:rsidR="001954F2" w:rsidTr="001954F2">
        <w:tc>
          <w:tcPr>
            <w:tcW w:w="4006" w:type="dxa"/>
          </w:tcPr>
          <w:p w:rsidR="001954F2" w:rsidRDefault="001954F2" w:rsidP="004A4E41">
            <w:pPr>
              <w:pStyle w:val="libFootnote0"/>
              <w:rPr>
                <w:rtl/>
              </w:rPr>
            </w:pPr>
            <w:r>
              <w:rPr>
                <w:rtl/>
              </w:rPr>
              <w:t>(8).</w:t>
            </w:r>
            <w:r w:rsidRPr="00C9040A">
              <w:rPr>
                <w:rtl/>
              </w:rPr>
              <w:t xml:space="preserve"> في « ف » : « وعن شماله »</w:t>
            </w:r>
            <w:r>
              <w:rPr>
                <w:rtl/>
              </w:rPr>
              <w:t>.</w:t>
            </w:r>
          </w:p>
        </w:tc>
        <w:tc>
          <w:tcPr>
            <w:tcW w:w="4006" w:type="dxa"/>
          </w:tcPr>
          <w:p w:rsidR="001954F2" w:rsidRDefault="001954F2" w:rsidP="004A4E41">
            <w:pPr>
              <w:pStyle w:val="libFootnote0"/>
              <w:rPr>
                <w:rtl/>
              </w:rPr>
            </w:pPr>
            <w:r>
              <w:rPr>
                <w:rtl/>
              </w:rPr>
              <w:t>(9). في الوافي : « لئل</w:t>
            </w:r>
            <w:r>
              <w:rPr>
                <w:rFonts w:hint="cs"/>
                <w:rtl/>
              </w:rPr>
              <w:t>ّ</w:t>
            </w:r>
            <w:r>
              <w:rPr>
                <w:rtl/>
              </w:rPr>
              <w:t>ا</w:t>
            </w:r>
            <w:r w:rsidRPr="00C9040A">
              <w:rPr>
                <w:rtl/>
              </w:rPr>
              <w:t xml:space="preserve"> يكفّاه »</w:t>
            </w:r>
            <w:r>
              <w:rPr>
                <w:rtl/>
              </w:rPr>
              <w:t>.</w:t>
            </w:r>
          </w:p>
        </w:tc>
      </w:tr>
    </w:tbl>
    <w:p w:rsidR="008A74EB" w:rsidRPr="00C9040A" w:rsidRDefault="006C577F" w:rsidP="004A4E41">
      <w:pPr>
        <w:pStyle w:val="libFootnote0"/>
        <w:rPr>
          <w:rtl/>
          <w:lang w:bidi="fa-IR"/>
        </w:rPr>
      </w:pPr>
      <w:r>
        <w:rPr>
          <w:rtl/>
        </w:rPr>
        <w:t>(10).</w:t>
      </w:r>
      <w:r w:rsidR="008A74EB" w:rsidRPr="00C9040A">
        <w:rPr>
          <w:rtl/>
        </w:rPr>
        <w:t xml:space="preserve"> </w:t>
      </w:r>
      <w:r w:rsidR="008A74EB" w:rsidRPr="00993B55">
        <w:rPr>
          <w:rStyle w:val="libFootnoteBoldChar"/>
          <w:rtl/>
        </w:rPr>
        <w:t>الوافي</w:t>
      </w:r>
      <w:r w:rsidR="008A74EB" w:rsidRPr="00C9040A">
        <w:rPr>
          <w:rtl/>
        </w:rPr>
        <w:t xml:space="preserve"> ، ج 4 ، ص 381 ، ح 2155 ؛ </w:t>
      </w:r>
      <w:r w:rsidR="008A74EB" w:rsidRPr="00993B55">
        <w:rPr>
          <w:rStyle w:val="libFootnoteBoldChar"/>
          <w:rtl/>
        </w:rPr>
        <w:t>الوسائل</w:t>
      </w:r>
      <w:r w:rsidR="008A74EB" w:rsidRPr="00C9040A">
        <w:rPr>
          <w:rtl/>
        </w:rPr>
        <w:t xml:space="preserve"> ، ج 1 ، ص 113 ، ح 281 ؛ </w:t>
      </w:r>
      <w:r w:rsidR="008A74EB" w:rsidRPr="00993B55">
        <w:rPr>
          <w:rStyle w:val="libFootnoteBoldChar"/>
          <w:rtl/>
        </w:rPr>
        <w:t>البحار</w:t>
      </w:r>
      <w:r w:rsidR="008A74EB" w:rsidRPr="00C9040A">
        <w:rPr>
          <w:rtl/>
        </w:rPr>
        <w:t xml:space="preserve"> ، ج 71 ، ص 224 ، ح 37.</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أَبِي الْجَارُودِ ، قَالَ :</w:t>
      </w:r>
    </w:p>
    <w:p w:rsidR="008A74EB" w:rsidRPr="00C9040A" w:rsidRDefault="008A74EB" w:rsidP="008A74EB">
      <w:pPr>
        <w:pStyle w:val="libNormal"/>
        <w:rPr>
          <w:rtl/>
          <w:lang w:bidi="fa-IR"/>
        </w:rPr>
      </w:pPr>
      <w:r w:rsidRPr="00C9040A">
        <w:rPr>
          <w:rtl/>
          <w:lang w:bidi="fa-IR"/>
        </w:rPr>
        <w:t xml:space="preserve">سَمِعْتُ أَبَا جَعْفَرٍ </w:t>
      </w:r>
      <w:r w:rsidRPr="0003660B">
        <w:rPr>
          <w:rStyle w:val="libAlaemChar"/>
          <w:rtl/>
        </w:rPr>
        <w:t>عليه‌السلام</w:t>
      </w:r>
      <w:r w:rsidRPr="00C9040A">
        <w:rPr>
          <w:rtl/>
          <w:lang w:bidi="fa-IR"/>
        </w:rPr>
        <w:t xml:space="preserve"> يَقُولُ : « مَنْ هَمَّ بِشَيْ‌ءٍ مِنَ الْخَيْرِ فَلْيُعَجِّلْهُ </w:t>
      </w:r>
      <w:r w:rsidR="006C577F" w:rsidRPr="006C577F">
        <w:rPr>
          <w:rStyle w:val="libFootnotenumChar"/>
          <w:rtl/>
        </w:rPr>
        <w:t>(1)</w:t>
      </w:r>
      <w:r w:rsidRPr="00C9040A">
        <w:rPr>
          <w:rtl/>
          <w:lang w:bidi="fa-IR"/>
        </w:rPr>
        <w:t xml:space="preserve"> ، فَإِنَّ كُلَّ شَيْ‌ءٍ فِيهِ تَأْخِيرٌ </w:t>
      </w:r>
      <w:r w:rsidR="006C577F" w:rsidRPr="006C577F">
        <w:rPr>
          <w:rStyle w:val="libFootnotenumChar"/>
          <w:rtl/>
        </w:rPr>
        <w:t>(2)</w:t>
      </w:r>
      <w:r w:rsidRPr="00C9040A">
        <w:rPr>
          <w:rtl/>
          <w:lang w:bidi="fa-IR"/>
        </w:rPr>
        <w:t xml:space="preserve"> ، فَإِنَّ لِلشَّيْطَانِ فِيهِ نَظْرَةً </w:t>
      </w:r>
      <w:r w:rsidR="006C577F" w:rsidRPr="006C577F">
        <w:rPr>
          <w:rStyle w:val="libFootnotenumChar"/>
          <w:rtl/>
        </w:rPr>
        <w:t>(3)</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59295A">
        <w:rPr>
          <w:rtl/>
        </w:rPr>
        <w:t>1946</w:t>
      </w:r>
      <w:r w:rsidRPr="00261CB0">
        <w:rPr>
          <w:rStyle w:val="libBold2Char"/>
          <w:rtl/>
        </w:rPr>
        <w:t xml:space="preserve"> / 10.</w:t>
      </w:r>
      <w:r w:rsidRPr="00C9040A">
        <w:rPr>
          <w:rtl/>
          <w:lang w:bidi="fa-IR"/>
        </w:rPr>
        <w:t xml:space="preserve"> مُحَمَّدُ بْنُ يَحْيى ، عَنْ مُحَمَّدِ بْنِ الْحُسَيْنِ ، عَنْ عَلِيِّ بْنِ أَسْبَاطٍ ، عَنِ الْعَلَاءِ ، عَنْ مُحَمَّدِ بْنِ مُسْلِمٍ ، قَالَ :</w:t>
      </w:r>
    </w:p>
    <w:p w:rsidR="008A74EB" w:rsidRPr="00C9040A" w:rsidRDefault="008A74EB" w:rsidP="008A74EB">
      <w:pPr>
        <w:pStyle w:val="libNormal"/>
        <w:rPr>
          <w:rtl/>
          <w:lang w:bidi="fa-IR"/>
        </w:rPr>
      </w:pPr>
      <w:r w:rsidRPr="00C9040A">
        <w:rPr>
          <w:rtl/>
          <w:lang w:bidi="fa-IR"/>
        </w:rPr>
        <w:t xml:space="preserve">سَمِعْتُ أَبَا جَعْفَرٍ </w:t>
      </w:r>
      <w:r w:rsidRPr="0003660B">
        <w:rPr>
          <w:rStyle w:val="libAlaemChar"/>
          <w:rtl/>
        </w:rPr>
        <w:t>عليه‌السلام</w:t>
      </w:r>
      <w:r w:rsidRPr="00C9040A">
        <w:rPr>
          <w:rtl/>
          <w:lang w:bidi="fa-IR"/>
        </w:rPr>
        <w:t xml:space="preserve"> يَقُولُ : « إِنَّ اللهَ ثَقَّلَ الْخَيْرَ عَلى أَهْلِ الدُّنْيَا كَثِقْلِهِ </w:t>
      </w:r>
      <w:r w:rsidR="006C577F" w:rsidRPr="006C577F">
        <w:rPr>
          <w:rStyle w:val="libFootnotenumChar"/>
          <w:rtl/>
        </w:rPr>
        <w:t>(5)</w:t>
      </w:r>
      <w:r w:rsidRPr="00C9040A">
        <w:rPr>
          <w:rtl/>
          <w:lang w:bidi="fa-IR"/>
        </w:rPr>
        <w:t xml:space="preserve"> فِي مَوَازِينِهِمْ يَوْمَ الْقِيَامَةِ ، وَإِنَّ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خَفَّفَ الشَّرَّ عَلى أَهْلِ الدُّنْيَا كَخِفَّتِهِ فِي مَو</w:t>
      </w:r>
      <w:r w:rsidR="00DE2616">
        <w:rPr>
          <w:rtl/>
          <w:lang w:bidi="fa-IR"/>
        </w:rPr>
        <w:t>َازِينِهِمْ يَوْمَ الْقِيَامَةِ</w:t>
      </w:r>
      <w:r w:rsidRPr="00C9040A">
        <w:rPr>
          <w:rtl/>
          <w:lang w:bidi="fa-IR"/>
        </w:rPr>
        <w:t>»</w:t>
      </w:r>
      <w:r>
        <w:rPr>
          <w:rtl/>
          <w:lang w:bidi="fa-IR"/>
        </w:rPr>
        <w:t>.</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Heading2Center"/>
        <w:rPr>
          <w:rtl/>
          <w:lang w:bidi="fa-IR"/>
        </w:rPr>
      </w:pPr>
      <w:bookmarkStart w:id="208" w:name="_Toc343795657"/>
      <w:bookmarkStart w:id="209" w:name="_Toc459810781"/>
      <w:bookmarkStart w:id="210" w:name="_Toc35348687"/>
      <w:r w:rsidRPr="00C9040A">
        <w:rPr>
          <w:rtl/>
          <w:lang w:bidi="fa-IR"/>
        </w:rPr>
        <w:t>66</w:t>
      </w:r>
      <w:r>
        <w:rPr>
          <w:rtl/>
          <w:lang w:bidi="fa-IR"/>
        </w:rPr>
        <w:t xml:space="preserve"> </w:t>
      </w:r>
      <w:r w:rsidR="0084262C">
        <w:rPr>
          <w:rtl/>
          <w:lang w:bidi="fa-IR"/>
        </w:rPr>
        <w:t>-</w:t>
      </w:r>
      <w:r>
        <w:rPr>
          <w:rtl/>
          <w:lang w:bidi="fa-IR"/>
        </w:rPr>
        <w:t xml:space="preserve"> </w:t>
      </w:r>
      <w:r w:rsidRPr="00C9040A">
        <w:rPr>
          <w:rtl/>
          <w:lang w:bidi="fa-IR"/>
        </w:rPr>
        <w:t>بَابُ الْإِنْصَافِ وَالْعَدْلِ‌</w:t>
      </w:r>
      <w:bookmarkEnd w:id="208"/>
      <w:bookmarkEnd w:id="209"/>
      <w:bookmarkEnd w:id="210"/>
    </w:p>
    <w:p w:rsidR="008A74EB" w:rsidRPr="00C9040A" w:rsidRDefault="008A74EB" w:rsidP="008A74EB">
      <w:pPr>
        <w:pStyle w:val="libNormal"/>
        <w:rPr>
          <w:rtl/>
          <w:lang w:bidi="fa-IR"/>
        </w:rPr>
      </w:pPr>
      <w:r w:rsidRPr="0059295A">
        <w:rPr>
          <w:rtl/>
        </w:rPr>
        <w:t>1947</w:t>
      </w:r>
      <w:r w:rsidRPr="00261CB0">
        <w:rPr>
          <w:rStyle w:val="libBold2Char"/>
          <w:rtl/>
        </w:rPr>
        <w:t xml:space="preserve"> / 1.</w:t>
      </w:r>
      <w:r w:rsidRPr="00C9040A">
        <w:rPr>
          <w:rtl/>
          <w:lang w:bidi="fa-IR"/>
        </w:rPr>
        <w:t xml:space="preserve"> مُحَمَّدُ بْنُ يَحْيى ، عَنْ أَحْمَدَ بْنِ مُحَمَّدِ بْنِ عِيسى ، عَنْ عَلِيِّ بْنِ الْحَكَمِ ، عَنِ الْحَسَنِ بْنِ حَمْزَةَ </w:t>
      </w:r>
      <w:r w:rsidR="006C577F" w:rsidRPr="006C577F">
        <w:rPr>
          <w:rStyle w:val="libFootnotenumChar"/>
          <w:rtl/>
        </w:rPr>
        <w:t>(7)</w:t>
      </w:r>
      <w:r w:rsidRPr="00C9040A">
        <w:rPr>
          <w:rtl/>
          <w:lang w:bidi="fa-IR"/>
        </w:rPr>
        <w:t xml:space="preserve"> ، عَنْ جَدِّهِ ، عَنْ </w:t>
      </w:r>
      <w:r w:rsidR="006C577F" w:rsidRPr="006C577F">
        <w:rPr>
          <w:rStyle w:val="libFootnotenumChar"/>
          <w:rtl/>
        </w:rPr>
        <w:t>(8)</w:t>
      </w:r>
      <w:r w:rsidRPr="00C9040A">
        <w:rPr>
          <w:rtl/>
          <w:lang w:bidi="fa-IR"/>
        </w:rPr>
        <w:t xml:space="preserve"> أَبِي حَمْزَةَ الثُّمَالِيِّ :</w:t>
      </w:r>
    </w:p>
    <w:p w:rsidR="008A74EB" w:rsidRPr="00C9040A" w:rsidRDefault="008A74EB" w:rsidP="008A74EB">
      <w:pPr>
        <w:pStyle w:val="libNormal"/>
        <w:rPr>
          <w:rtl/>
          <w:lang w:bidi="fa-IR"/>
        </w:rPr>
      </w:pPr>
      <w:r w:rsidRPr="00C9040A">
        <w:rPr>
          <w:rtl/>
          <w:lang w:bidi="fa-IR"/>
        </w:rPr>
        <w:t xml:space="preserve">عَنْ عَلِيِّ بْنِ الْحُسَيْنِ صَلَوَاتُ اللهِ عَلَيْهِمَا ، قَالَ : « كَانَ رَسُولُ اللهِ </w:t>
      </w:r>
      <w:r w:rsidR="004A4E41" w:rsidRPr="004A4E41">
        <w:rPr>
          <w:rStyle w:val="libAlaemChar"/>
          <w:rtl/>
        </w:rPr>
        <w:t>صلى‌الله‌عليه‌وآله</w:t>
      </w:r>
      <w:r w:rsidRPr="00C9040A">
        <w:rPr>
          <w:rtl/>
          <w:lang w:bidi="fa-IR"/>
        </w:rPr>
        <w:t xml:space="preserve"> يَقُولُ فِي‌</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ج » : « فليعجله » بهيئة الإفعال. وفي « ص ، بر ، بف » : « فليعمله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حاشية « ض » : « تأخّر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 نظرة » إمّا بسكون الظاء ، أي فكرة لإحداث حيلة يكفّ بها العبد عن الإتيان بالخير. أو بكسرها بمعنى التأخير ، أي مهلة يتفكّر فيها لذلك. أو بالتحريك بمعنى الحكم ، أو بمعنى الفكر ، أو بمعنى الانتظار. والكلّ مناسب. راجع : </w:t>
      </w:r>
      <w:r w:rsidR="008A74EB" w:rsidRPr="00993B55">
        <w:rPr>
          <w:rStyle w:val="libFootnoteBoldChar"/>
          <w:rtl/>
        </w:rPr>
        <w:t>شرح المازندراني</w:t>
      </w:r>
      <w:r w:rsidR="008A74EB" w:rsidRPr="00C9040A">
        <w:rPr>
          <w:rtl/>
        </w:rPr>
        <w:t xml:space="preserve"> ، ج 8 ، ص 393 ؛ </w:t>
      </w:r>
      <w:r w:rsidR="008A74EB" w:rsidRPr="00993B55">
        <w:rPr>
          <w:rStyle w:val="libFootnoteBoldChar"/>
          <w:rtl/>
        </w:rPr>
        <w:t>الوافي</w:t>
      </w:r>
      <w:r w:rsidR="008A74EB" w:rsidRPr="00C9040A">
        <w:rPr>
          <w:rtl/>
        </w:rPr>
        <w:t xml:space="preserve"> ، ج 4 ، ص 381 ؛ </w:t>
      </w:r>
      <w:r w:rsidR="008A74EB" w:rsidRPr="00993B55">
        <w:rPr>
          <w:rStyle w:val="libFootnoteBoldChar"/>
          <w:rtl/>
        </w:rPr>
        <w:t>مرآة العقول</w:t>
      </w:r>
      <w:r w:rsidR="008A74EB" w:rsidRPr="00C9040A">
        <w:rPr>
          <w:rtl/>
        </w:rPr>
        <w:t xml:space="preserve"> ، ج 8 ، ص 337.</w:t>
      </w:r>
    </w:p>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الوافي</w:t>
      </w:r>
      <w:r w:rsidR="008A74EB" w:rsidRPr="00C9040A">
        <w:rPr>
          <w:rtl/>
        </w:rPr>
        <w:t xml:space="preserve"> ، ج 4 ، ص 381 ، ح 2156 ؛ </w:t>
      </w:r>
      <w:r w:rsidR="008A74EB" w:rsidRPr="00993B55">
        <w:rPr>
          <w:rStyle w:val="libFootnoteBoldChar"/>
          <w:rtl/>
        </w:rPr>
        <w:t>الوسائل</w:t>
      </w:r>
      <w:r w:rsidR="008A74EB" w:rsidRPr="00C9040A">
        <w:rPr>
          <w:rtl/>
        </w:rPr>
        <w:t xml:space="preserve"> ، ج 1 ، ص 113 ، ح 282 ؛ </w:t>
      </w:r>
      <w:r w:rsidR="008A74EB" w:rsidRPr="00993B55">
        <w:rPr>
          <w:rStyle w:val="libFootnoteBoldChar"/>
          <w:rtl/>
        </w:rPr>
        <w:t>البحار</w:t>
      </w:r>
      <w:r w:rsidR="008A74EB" w:rsidRPr="00C9040A">
        <w:rPr>
          <w:rtl/>
        </w:rPr>
        <w:t xml:space="preserve"> ، ج 71 ، ص 225 ، ح 38.</w:t>
      </w:r>
    </w:p>
    <w:p w:rsidR="008A74EB" w:rsidRPr="00C9040A" w:rsidRDefault="006C577F" w:rsidP="004A4E41">
      <w:pPr>
        <w:pStyle w:val="libFootnote0"/>
        <w:rPr>
          <w:rtl/>
          <w:lang w:bidi="fa-IR"/>
        </w:rPr>
      </w:pPr>
      <w:r>
        <w:rPr>
          <w:rtl/>
        </w:rPr>
        <w:t>(5).</w:t>
      </w:r>
      <w:r w:rsidR="008A74EB" w:rsidRPr="00C9040A">
        <w:rPr>
          <w:rtl/>
        </w:rPr>
        <w:t xml:space="preserve"> في « ب » : « كثقلته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الوافي</w:t>
      </w:r>
      <w:r w:rsidR="008A74EB" w:rsidRPr="00C9040A">
        <w:rPr>
          <w:rtl/>
        </w:rPr>
        <w:t xml:space="preserve"> ، ج 4 ، ص 381 ، ح 2157 ؛ </w:t>
      </w:r>
      <w:r w:rsidR="008A74EB" w:rsidRPr="00993B55">
        <w:rPr>
          <w:rStyle w:val="libFootnoteBoldChar"/>
          <w:rtl/>
        </w:rPr>
        <w:t>الوسائل</w:t>
      </w:r>
      <w:r w:rsidR="008A74EB" w:rsidRPr="00C9040A">
        <w:rPr>
          <w:rtl/>
        </w:rPr>
        <w:t xml:space="preserve"> ، ج 1 ، ص 111 ، ح 275 ؛ </w:t>
      </w:r>
      <w:r w:rsidR="008A74EB" w:rsidRPr="00993B55">
        <w:rPr>
          <w:rStyle w:val="libFootnoteBoldChar"/>
          <w:rtl/>
        </w:rPr>
        <w:t>البحار</w:t>
      </w:r>
      <w:r w:rsidR="008A74EB" w:rsidRPr="00C9040A">
        <w:rPr>
          <w:rtl/>
        </w:rPr>
        <w:t xml:space="preserve"> ، ج 71 ، ص 225 ، ح 39.</w:t>
      </w:r>
    </w:p>
    <w:p w:rsidR="008A74EB" w:rsidRPr="00C9040A" w:rsidRDefault="006C577F" w:rsidP="004A4E41">
      <w:pPr>
        <w:pStyle w:val="libFootnote0"/>
        <w:rPr>
          <w:rtl/>
          <w:lang w:bidi="fa-IR"/>
        </w:rPr>
      </w:pPr>
      <w:r>
        <w:rPr>
          <w:rtl/>
        </w:rPr>
        <w:t>(7).</w:t>
      </w:r>
      <w:r w:rsidR="008A74EB" w:rsidRPr="00C9040A">
        <w:rPr>
          <w:rtl/>
        </w:rPr>
        <w:t xml:space="preserve"> في « ج » والبحار : « الحسن بن أبي حمزة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 ب ، ز ، ص » والبحار </w:t>
      </w:r>
      <w:r w:rsidR="008A74EB">
        <w:rPr>
          <w:rtl/>
        </w:rPr>
        <w:t xml:space="preserve">: </w:t>
      </w:r>
      <w:r w:rsidR="0084262C">
        <w:rPr>
          <w:rtl/>
        </w:rPr>
        <w:t>-</w:t>
      </w:r>
      <w:r w:rsidR="008A74EB" w:rsidRPr="00C9040A">
        <w:rPr>
          <w:rtl/>
        </w:rPr>
        <w:t xml:space="preserve"> « عن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آخِرِ خُطْبَتِهِ : طُوبى لِمَنْ طَابَ خُلُقُهُ </w:t>
      </w:r>
      <w:r w:rsidR="006C577F" w:rsidRPr="006C577F">
        <w:rPr>
          <w:rStyle w:val="libFootnotenumChar"/>
          <w:rtl/>
        </w:rPr>
        <w:t>(1)</w:t>
      </w:r>
      <w:r w:rsidRPr="00C9040A">
        <w:rPr>
          <w:rtl/>
          <w:lang w:bidi="fa-IR"/>
        </w:rPr>
        <w:t xml:space="preserve"> ، وَطَهُرَتْ سَجِيَّتُهُ </w:t>
      </w:r>
      <w:r w:rsidR="006C577F" w:rsidRPr="006C577F">
        <w:rPr>
          <w:rStyle w:val="libFootnotenumChar"/>
          <w:rtl/>
        </w:rPr>
        <w:t>(2)</w:t>
      </w:r>
      <w:r w:rsidRPr="00C9040A">
        <w:rPr>
          <w:rtl/>
          <w:lang w:bidi="fa-IR"/>
        </w:rPr>
        <w:t xml:space="preserve"> ، وَصَلَحَتْ سَرِيرَتُهُ ، وَحَسُنَتْ عَلَانِيَتُهُ ، وَأَنْفَقَ الْفَضْلَ مِنْ مَالِهِ ، وَأَمْسَكَ الْفَضْلَ مِنْ قَوْلِهِ ، وَأَنْصَفَ النَّاسَ مِنْ نَفْسِهِ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59295A">
        <w:rPr>
          <w:rtl/>
        </w:rPr>
        <w:t>1948</w:t>
      </w:r>
      <w:r w:rsidRPr="00261CB0">
        <w:rPr>
          <w:rStyle w:val="libBold2Char"/>
          <w:rtl/>
        </w:rPr>
        <w:t xml:space="preserve"> / 2.</w:t>
      </w:r>
      <w:r w:rsidRPr="00C9040A">
        <w:rPr>
          <w:rtl/>
          <w:lang w:bidi="fa-IR"/>
        </w:rPr>
        <w:t xml:space="preserve"> عَنْهُ </w:t>
      </w:r>
      <w:r w:rsidR="006C577F" w:rsidRPr="006C577F">
        <w:rPr>
          <w:rStyle w:val="libFootnotenumChar"/>
          <w:rtl/>
        </w:rPr>
        <w:t>(4)</w:t>
      </w:r>
      <w:r w:rsidRPr="00C9040A">
        <w:rPr>
          <w:rtl/>
          <w:lang w:bidi="fa-IR"/>
        </w:rPr>
        <w:t xml:space="preserve"> ، عَنْ مُحَمَّدِ بْنِ سِنَانٍ ، عَنْ مُعَاوِيَةَ بْنِ وَهْبٍ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مَنْ يَضْمَنُ لِي </w:t>
      </w:r>
      <w:r w:rsidR="006C577F" w:rsidRPr="006C577F">
        <w:rPr>
          <w:rStyle w:val="libFootnotenumChar"/>
          <w:rtl/>
        </w:rPr>
        <w:t>(5)</w:t>
      </w:r>
      <w:r w:rsidRPr="00C9040A">
        <w:rPr>
          <w:rtl/>
          <w:lang w:bidi="fa-IR"/>
        </w:rPr>
        <w:t xml:space="preserve"> أَرْبَعَةً </w:t>
      </w:r>
      <w:r w:rsidR="006C577F" w:rsidRPr="006C577F">
        <w:rPr>
          <w:rStyle w:val="libFootnotenumChar"/>
          <w:rtl/>
        </w:rPr>
        <w:t>(6)</w:t>
      </w:r>
      <w:r w:rsidRPr="005B567D">
        <w:rPr>
          <w:rStyle w:val="libFootnotenumChar"/>
          <w:rtl/>
        </w:rPr>
        <w:t xml:space="preserve"> </w:t>
      </w:r>
      <w:r w:rsidRPr="00C9040A">
        <w:rPr>
          <w:rtl/>
          <w:lang w:bidi="fa-IR"/>
        </w:rPr>
        <w:t>بِأَرْبَعَةِ أَبْيَاتٍ فِي الْجَنَّةِ</w:t>
      </w:r>
      <w:r>
        <w:rPr>
          <w:rtl/>
          <w:lang w:bidi="fa-IR"/>
        </w:rPr>
        <w:t>؟</w:t>
      </w:r>
      <w:r w:rsidRPr="00C9040A">
        <w:rPr>
          <w:rtl/>
          <w:lang w:bidi="fa-IR"/>
        </w:rPr>
        <w:t xml:space="preserve"> : أَنْفِقْ وَلَا تَخَفْ فَقْراً ، وَأَفْشِ السَّلَامَ فِي </w:t>
      </w:r>
      <w:r w:rsidR="006C577F" w:rsidRPr="006C577F">
        <w:rPr>
          <w:rStyle w:val="libFootnotenumChar"/>
          <w:rtl/>
        </w:rPr>
        <w:t>(7)</w:t>
      </w:r>
      <w:r w:rsidRPr="00C9040A">
        <w:rPr>
          <w:rtl/>
          <w:lang w:bidi="fa-IR"/>
        </w:rPr>
        <w:t xml:space="preserve"> الْعَالَمِ </w:t>
      </w:r>
      <w:r w:rsidR="006C577F" w:rsidRPr="006C577F">
        <w:rPr>
          <w:rStyle w:val="libFootnotenumChar"/>
          <w:rtl/>
        </w:rPr>
        <w:t>(8)</w:t>
      </w:r>
      <w:r w:rsidRPr="00C9040A">
        <w:rPr>
          <w:rtl/>
          <w:lang w:bidi="fa-IR"/>
        </w:rPr>
        <w:t xml:space="preserve"> ، وَاتْرُكِ الْمِرَاءَ وَإِنْ كُنْتَ مُحِقّاً ، وَأَنْصِفِ النَّاسَ مِنْ نَفْسِكَ »</w:t>
      </w:r>
      <w:r>
        <w:rPr>
          <w:rtl/>
          <w:lang w:bidi="fa-IR"/>
        </w:rPr>
        <w:t>.</w:t>
      </w:r>
      <w:r w:rsidRPr="00C9040A">
        <w:rPr>
          <w:rtl/>
          <w:lang w:bidi="fa-IR"/>
        </w:rPr>
        <w:t xml:space="preserve"> </w:t>
      </w:r>
      <w:r w:rsidR="006C577F" w:rsidRPr="006C577F">
        <w:rPr>
          <w:rStyle w:val="libFootnotenumChar"/>
          <w:rtl/>
        </w:rPr>
        <w:t>(9)</w:t>
      </w:r>
      <w:r w:rsidRPr="00C9040A">
        <w:rPr>
          <w:rtl/>
          <w:lang w:bidi="fa-IR"/>
        </w:rPr>
        <w:t xml:space="preserve"> ‌</w:t>
      </w:r>
    </w:p>
    <w:p w:rsidR="008A74EB" w:rsidRPr="00C9040A" w:rsidRDefault="008A74EB" w:rsidP="008A74EB">
      <w:pPr>
        <w:pStyle w:val="libNormal"/>
        <w:rPr>
          <w:rtl/>
          <w:lang w:bidi="fa-IR"/>
        </w:rPr>
      </w:pPr>
      <w:r w:rsidRPr="0059295A">
        <w:rPr>
          <w:rtl/>
        </w:rPr>
        <w:t>1949</w:t>
      </w:r>
      <w:r w:rsidRPr="00261CB0">
        <w:rPr>
          <w:rStyle w:val="libBold2Char"/>
          <w:rtl/>
        </w:rPr>
        <w:t xml:space="preserve"> / 3.</w:t>
      </w:r>
      <w:r w:rsidRPr="00C9040A">
        <w:rPr>
          <w:rtl/>
          <w:lang w:bidi="fa-IR"/>
        </w:rPr>
        <w:t xml:space="preserve"> عَنْهُ </w:t>
      </w:r>
      <w:r w:rsidR="006C577F" w:rsidRPr="006C577F">
        <w:rPr>
          <w:rStyle w:val="libFootnotenumChar"/>
          <w:rtl/>
        </w:rPr>
        <w:t>(10)</w:t>
      </w:r>
      <w:r w:rsidRPr="00C9040A">
        <w:rPr>
          <w:rtl/>
          <w:lang w:bidi="fa-IR"/>
        </w:rPr>
        <w:t xml:space="preserve"> ، عَنِ الْحَسَنِ بْنِ عَلِيِّ بْنِ فَضَّالٍ ، عَنْ عَلِيِّ بْنِ عُقْبَةَ ، عَنْ جَارُودٍ‌</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w:t>
      </w:r>
      <w:r w:rsidR="008A74EB" w:rsidRPr="00993B55">
        <w:rPr>
          <w:rStyle w:val="libFootnoteBoldChar"/>
          <w:rtl/>
        </w:rPr>
        <w:t>مرآة العقول</w:t>
      </w:r>
      <w:r w:rsidR="008A74EB" w:rsidRPr="00C9040A">
        <w:rPr>
          <w:rtl/>
        </w:rPr>
        <w:t xml:space="preserve"> ، ج 8 ، ص 340 : « خلقه ، بضمّ الخاء ، أي تخلّق بالأخلاق الحسنة. ويحتمل الفتح أيضاً ، أي‌يكون مخلوقاً من طينة حسنة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 السَّجيّة » : الخُلُق والطبيعة. </w:t>
      </w:r>
      <w:r w:rsidR="008A74EB" w:rsidRPr="00993B55">
        <w:rPr>
          <w:rStyle w:val="libFootnoteBoldChar"/>
          <w:rtl/>
        </w:rPr>
        <w:t>الصحاح</w:t>
      </w:r>
      <w:r w:rsidR="008A74EB" w:rsidRPr="00C9040A">
        <w:rPr>
          <w:rtl/>
        </w:rPr>
        <w:t xml:space="preserve"> ، ج 6 ، ص 2372 ( سجا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w:t>
      </w:r>
      <w:r w:rsidR="008A74EB" w:rsidRPr="00993B55">
        <w:rPr>
          <w:rStyle w:val="libFootnoteBoldChar"/>
          <w:rtl/>
        </w:rPr>
        <w:t>الأمالي</w:t>
      </w:r>
      <w:r w:rsidR="008A74EB" w:rsidRPr="00C9040A">
        <w:rPr>
          <w:rtl/>
        </w:rPr>
        <w:t xml:space="preserve"> للطوسي ، ص 537 ، المجلس 19 ، ضمن الحديث الطويل 1 ، بسند آخر عن أبي‌ذرّ ، عن رسول الله </w:t>
      </w:r>
      <w:r w:rsidR="004A4E41" w:rsidRPr="00DE2616">
        <w:rPr>
          <w:rStyle w:val="libFootnoteAlaemChar"/>
          <w:rtl/>
        </w:rPr>
        <w:t>صلى‌الله‌عليه‌وآله</w:t>
      </w:r>
      <w:r w:rsidR="008A74EB" w:rsidRPr="00C9040A">
        <w:rPr>
          <w:rtl/>
        </w:rPr>
        <w:t xml:space="preserve">. </w:t>
      </w:r>
      <w:r w:rsidR="008A74EB" w:rsidRPr="00993B55">
        <w:rPr>
          <w:rStyle w:val="libFootnoteBoldChar"/>
          <w:rtl/>
        </w:rPr>
        <w:t>تحف العقول</w:t>
      </w:r>
      <w:r w:rsidR="008A74EB" w:rsidRPr="00C9040A">
        <w:rPr>
          <w:rtl/>
        </w:rPr>
        <w:t xml:space="preserve"> ، ص 30 ، عن رسول الله </w:t>
      </w:r>
      <w:r w:rsidR="004A4E41" w:rsidRPr="00DE2616">
        <w:rPr>
          <w:rStyle w:val="libFootnoteAlaemChar"/>
          <w:rtl/>
        </w:rPr>
        <w:t>صلى‌الله‌عليه‌وآله</w:t>
      </w:r>
      <w:r w:rsidR="008A74EB" w:rsidRPr="00C9040A">
        <w:rPr>
          <w:rtl/>
        </w:rPr>
        <w:t xml:space="preserve"> ؛ </w:t>
      </w:r>
      <w:r w:rsidR="008A74EB" w:rsidRPr="00993B55">
        <w:rPr>
          <w:rStyle w:val="libFootnoteBoldChar"/>
          <w:rtl/>
        </w:rPr>
        <w:t>نهج البلاغة</w:t>
      </w:r>
      <w:r w:rsidR="008A74EB" w:rsidRPr="00C9040A">
        <w:rPr>
          <w:rtl/>
        </w:rPr>
        <w:t xml:space="preserve"> ، ص 490 ، الحكمة 123. وفي </w:t>
      </w:r>
      <w:r w:rsidR="008A74EB" w:rsidRPr="00993B55">
        <w:rPr>
          <w:rStyle w:val="libFootnoteBoldChar"/>
          <w:rtl/>
        </w:rPr>
        <w:t>تفسير القمّي</w:t>
      </w:r>
      <w:r w:rsidR="008A74EB" w:rsidRPr="00C9040A">
        <w:rPr>
          <w:rtl/>
        </w:rPr>
        <w:t xml:space="preserve"> ، ج 2 ، ص 70 ؛ و</w:t>
      </w:r>
      <w:r w:rsidR="008A74EB" w:rsidRPr="00993B55">
        <w:rPr>
          <w:rStyle w:val="libFootnoteBoldChar"/>
          <w:rtl/>
        </w:rPr>
        <w:t>خصائص الأئمّة</w:t>
      </w:r>
      <w:r w:rsidR="008A74EB" w:rsidRPr="00C9040A">
        <w:rPr>
          <w:rtl/>
        </w:rPr>
        <w:t xml:space="preserve"> </w:t>
      </w:r>
      <w:r w:rsidR="00117575" w:rsidRPr="00117575">
        <w:rPr>
          <w:rStyle w:val="libFootnoteAlaemChar"/>
          <w:rtl/>
        </w:rPr>
        <w:t>عليهم‌السلام</w:t>
      </w:r>
      <w:r w:rsidR="008A74EB" w:rsidRPr="00C9040A">
        <w:rPr>
          <w:rtl/>
        </w:rPr>
        <w:t xml:space="preserve"> ، ص 99 ، مرسلاً عن أميرالمؤمنين </w:t>
      </w:r>
      <w:r w:rsidR="00117575" w:rsidRPr="00117575">
        <w:rPr>
          <w:rStyle w:val="libFootnoteAlaemChar"/>
          <w:rtl/>
        </w:rPr>
        <w:t>عليه‌السلام</w:t>
      </w:r>
      <w:r w:rsidR="008A74EB" w:rsidRPr="00C9040A">
        <w:rPr>
          <w:rtl/>
        </w:rPr>
        <w:t xml:space="preserve"> ، وفي كلّ المصادر مع اختلاف وزيادة. وفي </w:t>
      </w:r>
      <w:r w:rsidR="008A74EB" w:rsidRPr="00993B55">
        <w:rPr>
          <w:rStyle w:val="libFootnoteBoldChar"/>
          <w:rtl/>
        </w:rPr>
        <w:t>الاختصاص</w:t>
      </w:r>
      <w:r w:rsidR="008A74EB" w:rsidRPr="00C9040A">
        <w:rPr>
          <w:rtl/>
        </w:rPr>
        <w:t xml:space="preserve"> ، ص 228 ، مرسلاً عن رسول الله </w:t>
      </w:r>
      <w:r w:rsidR="004A4E41" w:rsidRPr="00DE2616">
        <w:rPr>
          <w:rStyle w:val="libFootnoteAlaemChar"/>
          <w:rtl/>
        </w:rPr>
        <w:t>صلى‌الله‌عليه‌وآله</w:t>
      </w:r>
      <w:r w:rsidR="008A74EB" w:rsidRPr="00C9040A">
        <w:rPr>
          <w:rtl/>
        </w:rPr>
        <w:t xml:space="preserve"> ، مع اختلاف يسير </w:t>
      </w:r>
      <w:r w:rsidR="00AB492E">
        <w:rPr>
          <w:rFonts w:hint="cs"/>
          <w:rtl/>
        </w:rPr>
        <w:t>.</w:t>
      </w:r>
      <w:r w:rsidR="008A74EB" w:rsidRPr="00993B55">
        <w:rPr>
          <w:rStyle w:val="libFootnoteBoldChar"/>
          <w:rtl/>
        </w:rPr>
        <w:t>الوافي</w:t>
      </w:r>
      <w:r w:rsidR="008A74EB" w:rsidRPr="00C9040A">
        <w:rPr>
          <w:rtl/>
        </w:rPr>
        <w:t xml:space="preserve"> ، ج 4 ، ص 473 ، ح 2377 ؛ </w:t>
      </w:r>
      <w:r w:rsidR="008A74EB" w:rsidRPr="00993B55">
        <w:rPr>
          <w:rStyle w:val="libFootnoteBoldChar"/>
          <w:rtl/>
        </w:rPr>
        <w:t>الوسائل</w:t>
      </w:r>
      <w:r w:rsidR="008A74EB" w:rsidRPr="00C9040A">
        <w:rPr>
          <w:rtl/>
        </w:rPr>
        <w:t xml:space="preserve"> ، ج 15 ، ص 284 ، ح 20528 ؛ </w:t>
      </w:r>
      <w:r w:rsidR="008A74EB" w:rsidRPr="00993B55">
        <w:rPr>
          <w:rStyle w:val="libFootnoteBoldChar"/>
          <w:rtl/>
        </w:rPr>
        <w:t>البحار</w:t>
      </w:r>
      <w:r w:rsidR="008A74EB" w:rsidRPr="00C9040A">
        <w:rPr>
          <w:rtl/>
        </w:rPr>
        <w:t xml:space="preserve"> ، ج 75 ، ص 29 ، ح 22.</w:t>
      </w:r>
    </w:p>
    <w:p w:rsidR="008A74EB" w:rsidRPr="00C9040A" w:rsidRDefault="006C577F" w:rsidP="004A4E41">
      <w:pPr>
        <w:pStyle w:val="libFootnote0"/>
        <w:rPr>
          <w:rtl/>
          <w:lang w:bidi="fa-IR"/>
        </w:rPr>
      </w:pPr>
      <w:r>
        <w:rPr>
          <w:rtl/>
        </w:rPr>
        <w:t>(4).</w:t>
      </w:r>
      <w:r w:rsidR="008A74EB" w:rsidRPr="00C9040A">
        <w:rPr>
          <w:rtl/>
        </w:rPr>
        <w:t xml:space="preserve"> الضمير راجع إلى أحمد بن محمّد بن عيسى المذكور في السند السابق.</w:t>
      </w:r>
    </w:p>
    <w:tbl>
      <w:tblPr>
        <w:tblStyle w:val="TableGrid"/>
        <w:bidiVisual/>
        <w:tblW w:w="0" w:type="auto"/>
        <w:tblLook w:val="04A0" w:firstRow="1" w:lastRow="0" w:firstColumn="1" w:lastColumn="0" w:noHBand="0" w:noVBand="1"/>
      </w:tblPr>
      <w:tblGrid>
        <w:gridCol w:w="4006"/>
        <w:gridCol w:w="4006"/>
      </w:tblGrid>
      <w:tr w:rsidR="00F20C0A" w:rsidTr="00F20C0A">
        <w:tc>
          <w:tcPr>
            <w:tcW w:w="4006" w:type="dxa"/>
          </w:tcPr>
          <w:p w:rsidR="00F20C0A" w:rsidRDefault="00F20C0A" w:rsidP="004A4E41">
            <w:pPr>
              <w:pStyle w:val="libFootnote0"/>
              <w:rPr>
                <w:rtl/>
              </w:rPr>
            </w:pPr>
            <w:r>
              <w:rPr>
                <w:rtl/>
              </w:rPr>
              <w:t>(5).</w:t>
            </w:r>
            <w:r w:rsidRPr="00C9040A">
              <w:rPr>
                <w:rtl/>
              </w:rPr>
              <w:t xml:space="preserve"> في الكافي ، ح 6170 </w:t>
            </w:r>
            <w:r>
              <w:rPr>
                <w:rtl/>
              </w:rPr>
              <w:t>: -</w:t>
            </w:r>
            <w:r w:rsidRPr="00C9040A">
              <w:rPr>
                <w:rtl/>
              </w:rPr>
              <w:t xml:space="preserve"> « لي »</w:t>
            </w:r>
            <w:r>
              <w:rPr>
                <w:rtl/>
              </w:rPr>
              <w:t>.</w:t>
            </w:r>
          </w:p>
        </w:tc>
        <w:tc>
          <w:tcPr>
            <w:tcW w:w="4006" w:type="dxa"/>
          </w:tcPr>
          <w:p w:rsidR="00F20C0A" w:rsidRDefault="00F20C0A" w:rsidP="004A4E41">
            <w:pPr>
              <w:pStyle w:val="libFootnote0"/>
              <w:rPr>
                <w:rtl/>
              </w:rPr>
            </w:pPr>
            <w:r>
              <w:rPr>
                <w:rtl/>
              </w:rPr>
              <w:t xml:space="preserve">(6). </w:t>
            </w:r>
            <w:r w:rsidRPr="00C9040A">
              <w:rPr>
                <w:rtl/>
              </w:rPr>
              <w:t>في المحاسن : + « أضمن له »</w:t>
            </w:r>
            <w:r>
              <w:rPr>
                <w:rtl/>
              </w:rPr>
              <w:t>.</w:t>
            </w:r>
          </w:p>
        </w:tc>
      </w:tr>
      <w:tr w:rsidR="00F20C0A" w:rsidTr="00F20C0A">
        <w:tc>
          <w:tcPr>
            <w:tcW w:w="4006" w:type="dxa"/>
          </w:tcPr>
          <w:p w:rsidR="00F20C0A" w:rsidRDefault="00F20C0A" w:rsidP="004A4E41">
            <w:pPr>
              <w:pStyle w:val="libFootnote0"/>
              <w:rPr>
                <w:rtl/>
              </w:rPr>
            </w:pPr>
            <w:r>
              <w:rPr>
                <w:rtl/>
              </w:rPr>
              <w:t>(7).</w:t>
            </w:r>
            <w:r w:rsidRPr="00C9040A">
              <w:rPr>
                <w:rtl/>
              </w:rPr>
              <w:t xml:space="preserve"> في « ج » : « بين »</w:t>
            </w:r>
            <w:r>
              <w:rPr>
                <w:rtl/>
              </w:rPr>
              <w:t>.</w:t>
            </w:r>
          </w:p>
        </w:tc>
        <w:tc>
          <w:tcPr>
            <w:tcW w:w="4006" w:type="dxa"/>
          </w:tcPr>
          <w:p w:rsidR="00F20C0A" w:rsidRDefault="00F20C0A" w:rsidP="004A4E41">
            <w:pPr>
              <w:pStyle w:val="libFootnote0"/>
              <w:rPr>
                <w:rtl/>
              </w:rPr>
            </w:pPr>
            <w:r>
              <w:rPr>
                <w:rtl/>
              </w:rPr>
              <w:t>(8).</w:t>
            </w:r>
            <w:r w:rsidRPr="00C9040A">
              <w:rPr>
                <w:rtl/>
              </w:rPr>
              <w:t xml:space="preserve"> في«ب»:«للعالم»بدل«في العالم»</w:t>
            </w:r>
            <w:r>
              <w:rPr>
                <w:rtl/>
              </w:rPr>
              <w:t>.</w:t>
            </w:r>
          </w:p>
        </w:tc>
      </w:tr>
    </w:tbl>
    <w:p w:rsidR="008A74EB" w:rsidRPr="00C9040A" w:rsidRDefault="006C577F" w:rsidP="004A4E41">
      <w:pPr>
        <w:pStyle w:val="libFootnote0"/>
        <w:rPr>
          <w:rtl/>
          <w:lang w:bidi="fa-IR"/>
        </w:rPr>
      </w:pPr>
      <w:r>
        <w:rPr>
          <w:rtl/>
        </w:rPr>
        <w:t>(9).</w:t>
      </w:r>
      <w:r w:rsidR="008A74EB" w:rsidRPr="00C9040A">
        <w:rPr>
          <w:rtl/>
        </w:rPr>
        <w:t xml:space="preserve"> </w:t>
      </w:r>
      <w:r w:rsidR="008A74EB" w:rsidRPr="00993B55">
        <w:rPr>
          <w:rStyle w:val="libFootnoteBoldChar"/>
          <w:rtl/>
        </w:rPr>
        <w:t>الكافي</w:t>
      </w:r>
      <w:r w:rsidR="008A74EB" w:rsidRPr="00C9040A">
        <w:rPr>
          <w:rtl/>
        </w:rPr>
        <w:t xml:space="preserve"> ، كتاب الزكاة ، باب الإنفاق ، ح 6170 ، عن محمّد بن يحيى ، عن أحمد بن محمّد ، عن محمّد بن سنان. وفي </w:t>
      </w:r>
      <w:r w:rsidR="008A74EB" w:rsidRPr="00993B55">
        <w:rPr>
          <w:rStyle w:val="libFootnoteBoldChar"/>
          <w:rtl/>
        </w:rPr>
        <w:t>المحاسن</w:t>
      </w:r>
      <w:r w:rsidR="008A74EB" w:rsidRPr="00C9040A">
        <w:rPr>
          <w:rtl/>
        </w:rPr>
        <w:t xml:space="preserve"> ، ص 8 ، كتاب القرائن ، ح 22 ؛ و</w:t>
      </w:r>
      <w:r w:rsidR="008A74EB" w:rsidRPr="00993B55">
        <w:rPr>
          <w:rStyle w:val="libFootnoteBoldChar"/>
          <w:rtl/>
        </w:rPr>
        <w:t>الزهد</w:t>
      </w:r>
      <w:r w:rsidR="008A74EB" w:rsidRPr="00C9040A">
        <w:rPr>
          <w:rtl/>
        </w:rPr>
        <w:t xml:space="preserve"> ، ص 64 ، ح 3 ، عن محمّد بن سنان ، عن معاوية بن وهب ، عن أبي عبدالله </w:t>
      </w:r>
      <w:r w:rsidR="00117575" w:rsidRPr="00117575">
        <w:rPr>
          <w:rStyle w:val="libFootnoteAlaemChar"/>
          <w:rtl/>
        </w:rPr>
        <w:t>عليه‌السلام</w:t>
      </w:r>
      <w:r w:rsidR="008A74EB" w:rsidRPr="00C9040A">
        <w:rPr>
          <w:rtl/>
        </w:rPr>
        <w:t xml:space="preserve"> عن رسول الله </w:t>
      </w:r>
      <w:r w:rsidR="004A4E41" w:rsidRPr="00F20C0A">
        <w:rPr>
          <w:rStyle w:val="libFootnoteAlaemChar"/>
          <w:rtl/>
        </w:rPr>
        <w:t>صلى‌الله‌عليه‌وآله</w:t>
      </w:r>
      <w:r w:rsidR="008A74EB" w:rsidRPr="00C9040A">
        <w:rPr>
          <w:rtl/>
        </w:rPr>
        <w:t xml:space="preserve"> ، مع زيادة ؛ </w:t>
      </w:r>
      <w:r w:rsidR="008A74EB" w:rsidRPr="00993B55">
        <w:rPr>
          <w:rStyle w:val="libFootnoteBoldChar"/>
          <w:rtl/>
        </w:rPr>
        <w:t>الخصال</w:t>
      </w:r>
      <w:r w:rsidR="008A74EB" w:rsidRPr="00C9040A">
        <w:rPr>
          <w:rtl/>
        </w:rPr>
        <w:t xml:space="preserve"> ، ص 223 ، باب الأربعة ، ح 52 ، عن محمّد بن موسى بن المتوكّل ، عن محمّد بن يحيى العطّار ، عن محمّد بن أحمد ، عن محمّد بن سنان. </w:t>
      </w:r>
      <w:r w:rsidR="008A74EB" w:rsidRPr="00993B55">
        <w:rPr>
          <w:rStyle w:val="libFootnoteBoldChar"/>
          <w:rtl/>
        </w:rPr>
        <w:t>الفقيه</w:t>
      </w:r>
      <w:r w:rsidR="008A74EB" w:rsidRPr="00C9040A">
        <w:rPr>
          <w:rtl/>
        </w:rPr>
        <w:t xml:space="preserve"> ، ج 2 ، ص 62 ، ح 1711 ، مرسلاً. راجع : </w:t>
      </w:r>
      <w:r w:rsidR="008A74EB" w:rsidRPr="00993B55">
        <w:rPr>
          <w:rStyle w:val="libFootnoteBoldChar"/>
          <w:rtl/>
        </w:rPr>
        <w:t>التوحيد</w:t>
      </w:r>
      <w:r w:rsidR="008A74EB" w:rsidRPr="00C9040A">
        <w:rPr>
          <w:rtl/>
        </w:rPr>
        <w:t xml:space="preserve"> ، ص 461 ، ح 34 ؛ و</w:t>
      </w:r>
      <w:r w:rsidR="008A74EB" w:rsidRPr="00993B55">
        <w:rPr>
          <w:rStyle w:val="libFootnoteBoldChar"/>
          <w:rtl/>
        </w:rPr>
        <w:t>الخصال</w:t>
      </w:r>
      <w:r w:rsidR="008A74EB" w:rsidRPr="00C9040A">
        <w:rPr>
          <w:rtl/>
        </w:rPr>
        <w:t xml:space="preserve"> ، ص 144 ، باب الثلاثة ، ح 170 </w:t>
      </w:r>
      <w:r w:rsidR="00F20C0A">
        <w:rPr>
          <w:rFonts w:hint="cs"/>
          <w:rtl/>
        </w:rPr>
        <w:t>.</w:t>
      </w:r>
      <w:r w:rsidR="008A74EB" w:rsidRPr="00993B55">
        <w:rPr>
          <w:rStyle w:val="libFootnoteBoldChar"/>
          <w:rtl/>
        </w:rPr>
        <w:t>الوافي</w:t>
      </w:r>
      <w:r w:rsidR="008A74EB" w:rsidRPr="00C9040A">
        <w:rPr>
          <w:rtl/>
        </w:rPr>
        <w:t xml:space="preserve"> ، ج 4 ، ص 473 ، ح 2378 ؛ </w:t>
      </w:r>
      <w:r w:rsidR="008A74EB" w:rsidRPr="00993B55">
        <w:rPr>
          <w:rStyle w:val="libFootnoteBoldChar"/>
          <w:rtl/>
        </w:rPr>
        <w:t>الوسائل</w:t>
      </w:r>
      <w:r w:rsidR="008A74EB" w:rsidRPr="00C9040A">
        <w:rPr>
          <w:rtl/>
        </w:rPr>
        <w:t xml:space="preserve"> ، ج 15 ، ص 284 ، ح 20529 ؛ </w:t>
      </w:r>
      <w:r w:rsidR="008A74EB" w:rsidRPr="00993B55">
        <w:rPr>
          <w:rStyle w:val="libFootnoteBoldChar"/>
          <w:rtl/>
        </w:rPr>
        <w:t>البحار</w:t>
      </w:r>
      <w:r w:rsidR="008A74EB" w:rsidRPr="00C9040A">
        <w:rPr>
          <w:rtl/>
        </w:rPr>
        <w:t xml:space="preserve"> ، ج 75 ، ص 30 ، ح 23.</w:t>
      </w:r>
    </w:p>
    <w:p w:rsidR="008A74EB" w:rsidRPr="00C9040A" w:rsidRDefault="006C577F" w:rsidP="004A4E41">
      <w:pPr>
        <w:pStyle w:val="libFootnote0"/>
        <w:rPr>
          <w:rtl/>
          <w:lang w:bidi="fa-IR"/>
        </w:rPr>
      </w:pPr>
      <w:r>
        <w:rPr>
          <w:rtl/>
        </w:rPr>
        <w:t>(10).</w:t>
      </w:r>
      <w:r w:rsidR="008A74EB" w:rsidRPr="00C9040A">
        <w:rPr>
          <w:rtl/>
        </w:rPr>
        <w:t xml:space="preserve"> الضمير راجع إلى أحمد بن محمّد بن عيسى.</w:t>
      </w:r>
    </w:p>
    <w:p w:rsidR="008A74EB" w:rsidRPr="00C9040A" w:rsidRDefault="008A74EB" w:rsidP="00F20C0A">
      <w:pPr>
        <w:pStyle w:val="libFootnote0"/>
        <w:rPr>
          <w:rtl/>
          <w:lang w:bidi="fa-IR"/>
        </w:rPr>
      </w:pPr>
      <w:r w:rsidRPr="0082575F">
        <w:rPr>
          <w:rtl/>
        </w:rPr>
        <w:t xml:space="preserve">هذا ، وفي « ص ، بر ، بف » </w:t>
      </w:r>
      <w:r>
        <w:rPr>
          <w:rtl/>
        </w:rPr>
        <w:t xml:space="preserve">: </w:t>
      </w:r>
      <w:r w:rsidR="0084262C">
        <w:rPr>
          <w:rtl/>
        </w:rPr>
        <w:t>-</w:t>
      </w:r>
      <w:r w:rsidRPr="0082575F">
        <w:rPr>
          <w:rtl/>
        </w:rPr>
        <w:t xml:space="preserve"> « عنه »</w:t>
      </w:r>
      <w:r>
        <w:rPr>
          <w:rtl/>
        </w:rPr>
        <w:t>.</w:t>
      </w:r>
      <w:r w:rsidRPr="0082575F">
        <w:rPr>
          <w:rtl/>
        </w:rPr>
        <w:t xml:space="preserve"> ووقوع التعليق في السند على كلا الاحتمالين ممّا لا يخفى.</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أَبِي الْمُنْذِرِ </w:t>
      </w:r>
      <w:r w:rsidR="006C577F" w:rsidRPr="006C577F">
        <w:rPr>
          <w:rStyle w:val="libFootnotenumChar"/>
          <w:rtl/>
        </w:rPr>
        <w:t>(1)</w:t>
      </w:r>
      <w:r w:rsidRPr="00C9040A">
        <w:rPr>
          <w:rtl/>
          <w:lang w:bidi="fa-IR"/>
        </w:rPr>
        <w:t xml:space="preserve"> ، قَالَ :</w:t>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 « سَيِّدُ </w:t>
      </w:r>
      <w:r w:rsidR="006C577F" w:rsidRPr="006C577F">
        <w:rPr>
          <w:rStyle w:val="libFootnotenumChar"/>
          <w:rtl/>
        </w:rPr>
        <w:t>(2)</w:t>
      </w:r>
      <w:r w:rsidRPr="00C9040A">
        <w:rPr>
          <w:rtl/>
          <w:lang w:bidi="fa-IR"/>
        </w:rPr>
        <w:t xml:space="preserve"> الْأَعْمَالِ ثَلَاثَةٌ : إِنْصَافُ </w:t>
      </w:r>
      <w:r w:rsidR="006C577F" w:rsidRPr="006C577F">
        <w:rPr>
          <w:rStyle w:val="libFootnotenumChar"/>
          <w:rtl/>
        </w:rPr>
        <w:t>(3)</w:t>
      </w:r>
      <w:r w:rsidRPr="00C9040A">
        <w:rPr>
          <w:rtl/>
          <w:lang w:bidi="fa-IR"/>
        </w:rPr>
        <w:t xml:space="preserve"> النَّاسِ مِنْ نَفْسِكَ حَتّى لَاتَرْضى بِشَيْ‌ءٍ </w:t>
      </w:r>
      <w:r w:rsidR="006C577F" w:rsidRPr="006C577F">
        <w:rPr>
          <w:rStyle w:val="libFootnotenumChar"/>
          <w:rtl/>
        </w:rPr>
        <w:t>(4)</w:t>
      </w:r>
      <w:r w:rsidR="00857858">
        <w:rPr>
          <w:rtl/>
          <w:lang w:bidi="fa-IR"/>
        </w:rPr>
        <w:t xml:space="preserve"> إِل</w:t>
      </w:r>
      <w:r w:rsidR="00857858">
        <w:rPr>
          <w:rFonts w:hint="cs"/>
          <w:rtl/>
          <w:lang w:bidi="fa-IR"/>
        </w:rPr>
        <w:t>َّ</w:t>
      </w:r>
      <w:r w:rsidR="00857858">
        <w:rPr>
          <w:rtl/>
          <w:lang w:bidi="fa-IR"/>
        </w:rPr>
        <w:t>ا</w:t>
      </w:r>
      <w:r w:rsidRPr="00C9040A">
        <w:rPr>
          <w:rtl/>
          <w:lang w:bidi="fa-IR"/>
        </w:rPr>
        <w:t xml:space="preserve"> رَضِيتَ لَهُمْ </w:t>
      </w:r>
      <w:r w:rsidR="006C577F" w:rsidRPr="006C577F">
        <w:rPr>
          <w:rStyle w:val="libFootnotenumChar"/>
          <w:rtl/>
        </w:rPr>
        <w:t>(5)</w:t>
      </w:r>
      <w:r w:rsidRPr="00C9040A">
        <w:rPr>
          <w:rtl/>
          <w:lang w:bidi="fa-IR"/>
        </w:rPr>
        <w:t xml:space="preserve"> مِثْلَهُ </w:t>
      </w:r>
      <w:r w:rsidR="006C577F" w:rsidRPr="006C577F">
        <w:rPr>
          <w:rStyle w:val="libFootnotenumChar"/>
          <w:rtl/>
        </w:rPr>
        <w:t>(6)</w:t>
      </w:r>
      <w:r w:rsidRPr="005B567D">
        <w:rPr>
          <w:rStyle w:val="libFootnotenumChar"/>
          <w:rtl/>
        </w:rPr>
        <w:t xml:space="preserve"> </w:t>
      </w:r>
      <w:r w:rsidRPr="00C9040A">
        <w:rPr>
          <w:rtl/>
          <w:lang w:bidi="fa-IR"/>
        </w:rPr>
        <w:t xml:space="preserve">، وَمُوَاسَاتُكَ </w:t>
      </w:r>
      <w:r w:rsidR="006C577F" w:rsidRPr="006C577F">
        <w:rPr>
          <w:rStyle w:val="libFootnotenumChar"/>
          <w:rtl/>
        </w:rPr>
        <w:t>(7)</w:t>
      </w:r>
      <w:r w:rsidRPr="00C9040A">
        <w:rPr>
          <w:rtl/>
          <w:lang w:bidi="fa-IR"/>
        </w:rPr>
        <w:t xml:space="preserve"> الْأَخَ فِي الْمَالِ ، وَذِكْرُ اللهِ عَلى كُلِّ حَالٍ ؛ لَيْسَ </w:t>
      </w:r>
      <w:r w:rsidR="006C577F" w:rsidRPr="006C577F">
        <w:rPr>
          <w:rStyle w:val="libFootnotenumChar"/>
          <w:rtl/>
        </w:rPr>
        <w:t>(8)</w:t>
      </w:r>
      <w:r w:rsidRPr="00C9040A">
        <w:rPr>
          <w:rtl/>
          <w:lang w:bidi="fa-IR"/>
        </w:rPr>
        <w:t xml:space="preserve"> سُبْحَانَ اللهِ ، وَالْحَمْدُ لِلّهِ ، وَلَا إِل</w:t>
      </w:r>
      <w:r w:rsidR="00857858">
        <w:rPr>
          <w:rtl/>
          <w:lang w:bidi="fa-IR"/>
        </w:rPr>
        <w:t>هَ إِل</w:t>
      </w:r>
      <w:r w:rsidR="00857858">
        <w:rPr>
          <w:rFonts w:hint="cs"/>
          <w:rtl/>
          <w:lang w:bidi="fa-IR"/>
        </w:rPr>
        <w:t>َّ</w:t>
      </w:r>
      <w:r w:rsidR="00857858">
        <w:rPr>
          <w:rtl/>
          <w:lang w:bidi="fa-IR"/>
        </w:rPr>
        <w:t>ا</w:t>
      </w:r>
      <w:r w:rsidRPr="00C9040A">
        <w:rPr>
          <w:rtl/>
          <w:lang w:bidi="fa-IR"/>
        </w:rPr>
        <w:t xml:space="preserve"> اللهُ ، وَاللهُ أَكْبَرُ </w:t>
      </w:r>
      <w:r w:rsidR="006C577F" w:rsidRPr="006C577F">
        <w:rPr>
          <w:rStyle w:val="libFootnotenumChar"/>
          <w:rtl/>
        </w:rPr>
        <w:t>(9)</w:t>
      </w:r>
      <w:r w:rsidRPr="00C9040A">
        <w:rPr>
          <w:rtl/>
          <w:lang w:bidi="fa-IR"/>
        </w:rPr>
        <w:t xml:space="preserve"> فَقَطْ ، وَلكِنْ إِذَا وَرَدَ عَلَيْكَ شَيْ‌ءٌ أَمَرَ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بِهِ ، أَخَذْتَ بِهِ ، وَإِذَا </w:t>
      </w:r>
      <w:r w:rsidR="006C577F" w:rsidRPr="006C577F">
        <w:rPr>
          <w:rStyle w:val="libFootnotenumChar"/>
          <w:rtl/>
        </w:rPr>
        <w:t>(10)</w:t>
      </w:r>
      <w:r w:rsidRPr="00C9040A">
        <w:rPr>
          <w:rtl/>
          <w:lang w:bidi="fa-IR"/>
        </w:rPr>
        <w:t xml:space="preserve"> وَرَدَ عَلَيْكَ شَيْ‌ءٌ نَهَى </w:t>
      </w:r>
      <w:r w:rsidR="006C577F" w:rsidRPr="006C577F">
        <w:rPr>
          <w:rStyle w:val="libFootnotenumChar"/>
          <w:rtl/>
        </w:rPr>
        <w:t>(11)</w:t>
      </w:r>
      <w:r w:rsidRPr="00C9040A">
        <w:rPr>
          <w:rtl/>
          <w:lang w:bidi="fa-IR"/>
        </w:rPr>
        <w:t xml:space="preserve">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عَنْهُ ، تَرَكْتَهُ »</w:t>
      </w:r>
      <w:r>
        <w:rPr>
          <w:rtl/>
          <w:lang w:bidi="fa-IR"/>
        </w:rPr>
        <w:t>.</w:t>
      </w:r>
      <w:r w:rsidRPr="00C9040A">
        <w:rPr>
          <w:rtl/>
          <w:lang w:bidi="fa-IR"/>
        </w:rPr>
        <w:t xml:space="preserve"> </w:t>
      </w:r>
      <w:r w:rsidR="006C577F" w:rsidRPr="006C577F">
        <w:rPr>
          <w:rStyle w:val="libFootnotenumChar"/>
          <w:rtl/>
        </w:rPr>
        <w:t>(12)</w:t>
      </w:r>
      <w:r w:rsidRPr="00C9040A">
        <w:rPr>
          <w:rtl/>
          <w:lang w:bidi="fa-IR"/>
        </w:rPr>
        <w:t xml:space="preserve"> ‌</w:t>
      </w:r>
    </w:p>
    <w:p w:rsidR="008A74EB" w:rsidRPr="00C9040A" w:rsidRDefault="008A74EB" w:rsidP="008A74EB">
      <w:pPr>
        <w:pStyle w:val="libNormal"/>
        <w:rPr>
          <w:rtl/>
          <w:lang w:bidi="fa-IR"/>
        </w:rPr>
      </w:pPr>
      <w:r w:rsidRPr="0059295A">
        <w:rPr>
          <w:rtl/>
        </w:rPr>
        <w:t>1950</w:t>
      </w:r>
      <w:r w:rsidRPr="00261CB0">
        <w:rPr>
          <w:rStyle w:val="libBold2Char"/>
          <w:rtl/>
        </w:rPr>
        <w:t xml:space="preserve"> / 4.</w:t>
      </w:r>
      <w:r w:rsidRPr="00C9040A">
        <w:rPr>
          <w:rtl/>
          <w:lang w:bidi="fa-IR"/>
        </w:rPr>
        <w:t xml:space="preserve"> عِدَّةٌ مِنْ أَصْحَابِنَا ، عَنْ أَحْمَدَ بْنِ مُحَمَّدِ بْنِ خَالِدٍ ، عَنْ إِبْرَاهِيمَ بْنِ مُحَمَّدٍ‌</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ص » : « جارود بن المنذر »</w:t>
      </w:r>
      <w:r w:rsidR="008A74EB">
        <w:rPr>
          <w:rtl/>
        </w:rPr>
        <w:t>.</w:t>
      </w:r>
      <w:r w:rsidR="008A74EB" w:rsidRPr="00C9040A">
        <w:rPr>
          <w:rtl/>
        </w:rPr>
        <w:t xml:space="preserve"> وجارود هذا ، هو جارود بن المنذر أبو المنذر الكندي. راجع : </w:t>
      </w:r>
      <w:r w:rsidR="008A74EB" w:rsidRPr="00993B55">
        <w:rPr>
          <w:rStyle w:val="libFootnoteBoldChar"/>
          <w:rtl/>
        </w:rPr>
        <w:t>رجال النجاشي</w:t>
      </w:r>
      <w:r w:rsidR="008A74EB" w:rsidRPr="00C9040A">
        <w:rPr>
          <w:rtl/>
        </w:rPr>
        <w:t xml:space="preserve"> ، ص 130 ، الرقم 334.</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الخصال والمعاني و</w:t>
      </w:r>
      <w:r w:rsidR="008A74EB" w:rsidRPr="0034021D">
        <w:rPr>
          <w:rStyle w:val="libFootnoteBoldChar"/>
          <w:rtl/>
        </w:rPr>
        <w:t>الأمالي للمفيد</w:t>
      </w:r>
      <w:r w:rsidR="008A74EB" w:rsidRPr="00C9040A">
        <w:rPr>
          <w:rtl/>
        </w:rPr>
        <w:t xml:space="preserve"> والطوسي : « أشدّ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w:t>
      </w:r>
      <w:r w:rsidR="008A74EB" w:rsidRPr="0034021D">
        <w:rPr>
          <w:rStyle w:val="libFootnoteBoldChar"/>
          <w:rtl/>
        </w:rPr>
        <w:t>الأمالي للمفيد</w:t>
      </w:r>
      <w:r w:rsidR="008A74EB" w:rsidRPr="00C9040A">
        <w:rPr>
          <w:rtl/>
        </w:rPr>
        <w:t xml:space="preserve"> : « إنصافك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شرح المازندراني : + « لنفسك »</w:t>
      </w:r>
      <w:r w:rsidR="008A74EB">
        <w:rPr>
          <w:rtl/>
        </w:rPr>
        <w:t>.</w:t>
      </w:r>
      <w:r w:rsidR="008A74EB" w:rsidRPr="00C9040A">
        <w:rPr>
          <w:rtl/>
        </w:rPr>
        <w:t xml:space="preserve"> وفي الخصال والمعاني : « لا ترضى لها منهم بشي‌ءٍ »</w:t>
      </w:r>
      <w:r w:rsidR="008A74EB">
        <w:rPr>
          <w:rtl/>
        </w:rPr>
        <w:t>.</w:t>
      </w:r>
      <w:r w:rsidR="008A74EB" w:rsidRPr="00C9040A">
        <w:rPr>
          <w:rtl/>
        </w:rPr>
        <w:t xml:space="preserve"> وفي الأمالي‌للمفيد : « لا ترضى لها بشي‌ء منهم »</w:t>
      </w:r>
      <w:r w:rsidR="008A74EB">
        <w:rPr>
          <w:rtl/>
        </w:rPr>
        <w:t>.</w:t>
      </w:r>
      <w:r w:rsidR="008A74EB" w:rsidRPr="00C9040A">
        <w:rPr>
          <w:rtl/>
        </w:rPr>
        <w:t xml:space="preserve"> وفي </w:t>
      </w:r>
      <w:r w:rsidR="008A74EB" w:rsidRPr="00DE2616">
        <w:rPr>
          <w:rStyle w:val="libFootnoteBoldChar"/>
          <w:rtl/>
        </w:rPr>
        <w:t>الأمالي للطوسي</w:t>
      </w:r>
      <w:r w:rsidR="008A74EB" w:rsidRPr="00C9040A">
        <w:rPr>
          <w:rtl/>
        </w:rPr>
        <w:t xml:space="preserve"> : « لا ترضى لها بشي‌ء » كلّها بدل « لا ترضى بشي‌ء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الخصال ومعاني و</w:t>
      </w:r>
      <w:r w:rsidR="008A74EB" w:rsidRPr="0034021D">
        <w:rPr>
          <w:rStyle w:val="libFootnoteBoldChar"/>
          <w:rtl/>
        </w:rPr>
        <w:t>الأمالي للمفيد</w:t>
      </w:r>
      <w:r w:rsidR="008A74EB" w:rsidRPr="00C9040A">
        <w:rPr>
          <w:rtl/>
        </w:rPr>
        <w:t xml:space="preserve"> : + « منها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الوافي والخصال والمعاني </w:t>
      </w:r>
      <w:r w:rsidR="008A74EB" w:rsidRPr="00AC2E2F">
        <w:rPr>
          <w:rStyle w:val="libFootnoteBoldChar"/>
          <w:rtl/>
        </w:rPr>
        <w:t>والأمالي للطوسي</w:t>
      </w:r>
      <w:r w:rsidR="008A74EB" w:rsidRPr="00C9040A">
        <w:rPr>
          <w:rtl/>
        </w:rPr>
        <w:t xml:space="preserve"> : « بمثله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الأصل في الكلمة هو الهمزة ، والمواساة لغة في المؤاساة.</w:t>
      </w:r>
    </w:p>
    <w:p w:rsidR="008A74EB" w:rsidRPr="00C9040A" w:rsidRDefault="006C577F" w:rsidP="004A4E41">
      <w:pPr>
        <w:pStyle w:val="libFootnote0"/>
        <w:rPr>
          <w:rtl/>
          <w:lang w:bidi="fa-IR"/>
        </w:rPr>
      </w:pPr>
      <w:r>
        <w:rPr>
          <w:rtl/>
        </w:rPr>
        <w:t>(8).</w:t>
      </w:r>
      <w:r w:rsidR="008A74EB" w:rsidRPr="00C9040A">
        <w:rPr>
          <w:rtl/>
        </w:rPr>
        <w:t xml:space="preserve"> في « ف » : + « وليس هو »</w:t>
      </w:r>
      <w:r w:rsidR="008A74EB">
        <w:rPr>
          <w:rtl/>
        </w:rPr>
        <w:t>.</w:t>
      </w:r>
      <w:r w:rsidR="008A74EB" w:rsidRPr="00C9040A">
        <w:rPr>
          <w:rtl/>
        </w:rPr>
        <w:t xml:space="preserve"> وفي </w:t>
      </w:r>
      <w:r w:rsidR="008A74EB" w:rsidRPr="0034021D">
        <w:rPr>
          <w:rStyle w:val="libFootnoteBoldChar"/>
          <w:rtl/>
        </w:rPr>
        <w:t>الأمالي للمفيد</w:t>
      </w:r>
      <w:r w:rsidR="008A74EB" w:rsidRPr="00C9040A">
        <w:rPr>
          <w:rtl/>
        </w:rPr>
        <w:t xml:space="preserve"> : + « أن تقول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ب ، ج ز ، ص ، بر ، بس ، بف » والبحار </w:t>
      </w:r>
      <w:r w:rsidR="008A74EB" w:rsidRPr="00AC2E2F">
        <w:rPr>
          <w:rStyle w:val="libFootnoteBoldChar"/>
          <w:rtl/>
        </w:rPr>
        <w:t>والأمالي للطوسي</w:t>
      </w:r>
      <w:r w:rsidR="008A74EB" w:rsidRPr="00C9040A">
        <w:rPr>
          <w:rtl/>
        </w:rPr>
        <w:t xml:space="preserve"> </w:t>
      </w:r>
      <w:r w:rsidR="008A74EB">
        <w:rPr>
          <w:rtl/>
        </w:rPr>
        <w:t xml:space="preserve">: </w:t>
      </w:r>
      <w:r w:rsidR="0084262C">
        <w:rPr>
          <w:rtl/>
        </w:rPr>
        <w:t>-</w:t>
      </w:r>
      <w:r w:rsidR="008A74EB" w:rsidRPr="00C9040A">
        <w:rPr>
          <w:rtl/>
        </w:rPr>
        <w:t xml:space="preserve"> « والله أكبر »</w:t>
      </w:r>
      <w:r w:rsidR="008A74EB">
        <w:rPr>
          <w:rtl/>
        </w:rPr>
        <w:t>.</w:t>
      </w:r>
    </w:p>
    <w:p w:rsidR="008A74EB" w:rsidRPr="00C9040A" w:rsidRDefault="006C577F" w:rsidP="006B0F8B">
      <w:pPr>
        <w:pStyle w:val="libFootnote0"/>
        <w:rPr>
          <w:rtl/>
          <w:lang w:bidi="fa-IR"/>
        </w:rPr>
      </w:pPr>
      <w:r>
        <w:rPr>
          <w:rtl/>
        </w:rPr>
        <w:t>(10).</w:t>
      </w:r>
      <w:r w:rsidR="008A74EB" w:rsidRPr="00C9040A">
        <w:rPr>
          <w:rtl/>
        </w:rPr>
        <w:t xml:space="preserve"> هكذا في « ز ، ض ، ف ، بر ، بس ، بف » والوافي والبحار والخصال والمعاني </w:t>
      </w:r>
      <w:r w:rsidR="008A74EB" w:rsidRPr="00AC2E2F">
        <w:rPr>
          <w:rStyle w:val="libFootnoteBoldChar"/>
          <w:rtl/>
        </w:rPr>
        <w:t>والأمالي للطوسي</w:t>
      </w:r>
      <w:r w:rsidR="008A74EB" w:rsidRPr="00C9040A">
        <w:rPr>
          <w:rtl/>
        </w:rPr>
        <w:t>.</w:t>
      </w:r>
      <w:r w:rsidR="00DE2616">
        <w:rPr>
          <w:rtl/>
        </w:rPr>
        <w:t xml:space="preserve"> وفي « ب</w:t>
      </w:r>
      <w:r w:rsidR="008A74EB" w:rsidRPr="00C9040A">
        <w:rPr>
          <w:rtl/>
        </w:rPr>
        <w:t>» : « وإن »</w:t>
      </w:r>
      <w:r w:rsidR="008A74EB">
        <w:rPr>
          <w:rtl/>
        </w:rPr>
        <w:t>.</w:t>
      </w:r>
      <w:r w:rsidR="008A74EB" w:rsidRPr="00C9040A">
        <w:rPr>
          <w:rtl/>
        </w:rPr>
        <w:t xml:space="preserve"> وفي سائر النسخ والمطبوع : « أو إذا »</w:t>
      </w:r>
      <w:r w:rsidR="008A74EB">
        <w:rPr>
          <w:rtl/>
        </w:rPr>
        <w:t>.</w:t>
      </w:r>
      <w:r w:rsidR="006B0F8B">
        <w:rPr>
          <w:rFonts w:hint="cs"/>
          <w:rtl/>
        </w:rPr>
        <w:t xml:space="preserve">              </w:t>
      </w:r>
      <w:r>
        <w:rPr>
          <w:rtl/>
        </w:rPr>
        <w:t>(11).</w:t>
      </w:r>
      <w:r w:rsidR="008A74EB" w:rsidRPr="00C9040A">
        <w:rPr>
          <w:rtl/>
        </w:rPr>
        <w:t xml:space="preserve"> في الأمالي للطوسي : « نهاك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w:t>
      </w:r>
      <w:r w:rsidR="008A74EB" w:rsidRPr="00993B55">
        <w:rPr>
          <w:rStyle w:val="libFootnoteBoldChar"/>
          <w:rtl/>
        </w:rPr>
        <w:t>الخصال</w:t>
      </w:r>
      <w:r w:rsidR="008A74EB" w:rsidRPr="00C9040A">
        <w:rPr>
          <w:rtl/>
        </w:rPr>
        <w:t xml:space="preserve"> ، ص 131 ، باب الثلاثة ، ح 139 ؛ و</w:t>
      </w:r>
      <w:r w:rsidR="008A74EB" w:rsidRPr="00993B55">
        <w:rPr>
          <w:rStyle w:val="libFootnoteBoldChar"/>
          <w:rtl/>
        </w:rPr>
        <w:t>معاني الأخبار</w:t>
      </w:r>
      <w:r w:rsidR="008A74EB" w:rsidRPr="00C9040A">
        <w:rPr>
          <w:rtl/>
        </w:rPr>
        <w:t xml:space="preserve"> ، ص 193 ، ح 4 ، بسند آخر عن أحمد بن محمّد ، عن الحسن بن عليّ بن فضّال. وفي </w:t>
      </w:r>
      <w:r w:rsidR="008A74EB" w:rsidRPr="0034021D">
        <w:rPr>
          <w:rStyle w:val="libFootnoteBoldChar"/>
          <w:rtl/>
        </w:rPr>
        <w:t>الأمالي للمفيد</w:t>
      </w:r>
      <w:r w:rsidR="008A74EB" w:rsidRPr="00C9040A">
        <w:rPr>
          <w:rtl/>
        </w:rPr>
        <w:t xml:space="preserve"> ، ص 193 ، المجلس 23 ، ح 23 ؛ </w:t>
      </w:r>
      <w:r w:rsidR="008A74EB" w:rsidRPr="00AC2E2F">
        <w:rPr>
          <w:rStyle w:val="libFootnoteBoldChar"/>
          <w:rtl/>
        </w:rPr>
        <w:t>والأمالي للطوسي</w:t>
      </w:r>
      <w:r w:rsidR="008A74EB" w:rsidRPr="00C9040A">
        <w:rPr>
          <w:rtl/>
        </w:rPr>
        <w:t xml:space="preserve"> ، ص 680 ، المجلس 37 ، ح 25 ، بسند آخر عن الحسن بن عليّ بن فضّال. </w:t>
      </w:r>
      <w:r w:rsidR="008A74EB" w:rsidRPr="00993B55">
        <w:rPr>
          <w:rStyle w:val="libFootnoteBoldChar"/>
          <w:rtl/>
        </w:rPr>
        <w:t>الكافي</w:t>
      </w:r>
      <w:r w:rsidR="008A74EB" w:rsidRPr="00C9040A">
        <w:rPr>
          <w:rtl/>
        </w:rPr>
        <w:t xml:space="preserve"> ، كتاب الإيمان والكفر ، باب حقّ المؤمن على أخيه وأداء حقّه ، ح 2058 ، بسند آخر. </w:t>
      </w:r>
      <w:r w:rsidR="008A74EB" w:rsidRPr="00993B55">
        <w:rPr>
          <w:rStyle w:val="libFootnoteBoldChar"/>
          <w:rtl/>
        </w:rPr>
        <w:t>الفقيه</w:t>
      </w:r>
      <w:r w:rsidR="008A74EB" w:rsidRPr="00C9040A">
        <w:rPr>
          <w:rtl/>
        </w:rPr>
        <w:t xml:space="preserve"> ، ج 4 ، ص 358 ، ح 5762 ، بسند آخر عن أبي عبد الله ، عن آبائه </w:t>
      </w:r>
      <w:r w:rsidR="00117575" w:rsidRPr="00117575">
        <w:rPr>
          <w:rStyle w:val="libFootnoteAlaemChar"/>
          <w:rtl/>
        </w:rPr>
        <w:t>عليهم‌السلام</w:t>
      </w:r>
      <w:r w:rsidR="008A74EB" w:rsidRPr="00C9040A">
        <w:rPr>
          <w:rtl/>
        </w:rPr>
        <w:t xml:space="preserve"> عن النبيّ </w:t>
      </w:r>
      <w:r w:rsidR="004A4E41" w:rsidRPr="00DE2616">
        <w:rPr>
          <w:rStyle w:val="libFootnoteAlaemChar"/>
          <w:rtl/>
        </w:rPr>
        <w:t>صلى‌الله‌عليه‌وآله</w:t>
      </w:r>
      <w:r w:rsidR="008A74EB" w:rsidRPr="00C9040A">
        <w:rPr>
          <w:rtl/>
        </w:rPr>
        <w:t xml:space="preserve"> ، ضمن وصيّته لعليّ </w:t>
      </w:r>
      <w:r w:rsidR="00117575" w:rsidRPr="00117575">
        <w:rPr>
          <w:rStyle w:val="libFootnoteAlaemChar"/>
          <w:rtl/>
        </w:rPr>
        <w:t>عليه‌السلام</w:t>
      </w:r>
      <w:r w:rsidR="008A74EB" w:rsidRPr="00C9040A">
        <w:rPr>
          <w:rtl/>
        </w:rPr>
        <w:t xml:space="preserve"> ، وفيهما مع اختلاف يسير. وراجع : ح 8 من هذا الباب ومصادره </w:t>
      </w:r>
      <w:r w:rsidR="006B0F8B">
        <w:rPr>
          <w:rFonts w:hint="cs"/>
          <w:rtl/>
        </w:rPr>
        <w:t>.</w:t>
      </w:r>
      <w:r w:rsidR="008A74EB" w:rsidRPr="00993B55">
        <w:rPr>
          <w:rStyle w:val="libFootnoteBoldChar"/>
          <w:rtl/>
        </w:rPr>
        <w:t>الوافي</w:t>
      </w:r>
      <w:r w:rsidR="008A74EB" w:rsidRPr="00C9040A">
        <w:rPr>
          <w:rtl/>
        </w:rPr>
        <w:t xml:space="preserve"> ، ج 4 ، ص 475 ، ح 2385 ؛ </w:t>
      </w:r>
      <w:r w:rsidR="008A74EB" w:rsidRPr="00993B55">
        <w:rPr>
          <w:rStyle w:val="libFootnoteBoldChar"/>
          <w:rtl/>
        </w:rPr>
        <w:t>الوسائل</w:t>
      </w:r>
      <w:r w:rsidR="008A74EB" w:rsidRPr="00C9040A">
        <w:rPr>
          <w:rtl/>
        </w:rPr>
        <w:t xml:space="preserve"> ، ج 15 ، ص 255 ، ذيل ح 20437 ؛ </w:t>
      </w:r>
      <w:r w:rsidR="008A74EB" w:rsidRPr="00993B55">
        <w:rPr>
          <w:rStyle w:val="libFootnoteBoldChar"/>
          <w:rtl/>
        </w:rPr>
        <w:t>البحار</w:t>
      </w:r>
      <w:r w:rsidR="008A74EB" w:rsidRPr="00C9040A">
        <w:rPr>
          <w:rtl/>
        </w:rPr>
        <w:t xml:space="preserve"> ، ج 75 ، ص 31 ، ح 24.</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الثَّقَفِيِّ ، عَنْ عَلِيِّ بْنِ الْمُعَلّى </w:t>
      </w:r>
      <w:r w:rsidR="006C577F" w:rsidRPr="006C577F">
        <w:rPr>
          <w:rStyle w:val="libFootnotenumChar"/>
          <w:rtl/>
        </w:rPr>
        <w:t>(1)</w:t>
      </w:r>
      <w:r w:rsidRPr="00C9040A">
        <w:rPr>
          <w:rtl/>
          <w:lang w:bidi="fa-IR"/>
        </w:rPr>
        <w:t xml:space="preserve"> ، عَنْ يَحْيَى بْنِ أَحْمَدَ ، عَنْ أَبِي مُحَمَّدٍ الْمِيثَمِيِّ ، عَنْ رُومِيِّ بْنِ زُرَارَةَ ، عَنْ أَبِيهِ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قَالَ أَمِيرُ الْمُؤْمِنِينَ </w:t>
      </w:r>
      <w:r w:rsidRPr="0003660B">
        <w:rPr>
          <w:rStyle w:val="libAlaemChar"/>
          <w:rtl/>
        </w:rPr>
        <w:t>عليه‌السلام</w:t>
      </w:r>
      <w:r w:rsidRPr="00C9040A">
        <w:rPr>
          <w:rtl/>
          <w:lang w:bidi="fa-IR"/>
        </w:rPr>
        <w:t xml:space="preserve"> فِي كَلَامٍ لَهُ : أَلَا إِنَّهُ مَنْ يُنْصِفِ النَّاسَ مِنْ نَفْسِهِ ، لَمْ يَزِدْ</w:t>
      </w:r>
      <w:r w:rsidR="006B0F8B">
        <w:rPr>
          <w:rtl/>
          <w:lang w:bidi="fa-IR"/>
        </w:rPr>
        <w:t>هُ اللهُ إِل</w:t>
      </w:r>
      <w:r w:rsidR="006B0F8B">
        <w:rPr>
          <w:rFonts w:hint="cs"/>
          <w:rtl/>
          <w:lang w:bidi="fa-IR"/>
        </w:rPr>
        <w:t>َّ</w:t>
      </w:r>
      <w:r w:rsidR="006B0F8B">
        <w:rPr>
          <w:rtl/>
          <w:lang w:bidi="fa-IR"/>
        </w:rPr>
        <w:t>ا</w:t>
      </w:r>
      <w:r w:rsidRPr="00C9040A">
        <w:rPr>
          <w:rtl/>
          <w:lang w:bidi="fa-IR"/>
        </w:rPr>
        <w:t xml:space="preserve"> عِزّاً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59295A">
        <w:rPr>
          <w:rtl/>
        </w:rPr>
        <w:t>1951</w:t>
      </w:r>
      <w:r w:rsidRPr="00261CB0">
        <w:rPr>
          <w:rStyle w:val="libBold2Char"/>
          <w:rtl/>
        </w:rPr>
        <w:t xml:space="preserve"> / 5.</w:t>
      </w:r>
      <w:r w:rsidRPr="00C9040A">
        <w:rPr>
          <w:rtl/>
          <w:lang w:bidi="fa-IR"/>
        </w:rPr>
        <w:t xml:space="preserve"> عَنْهُ </w:t>
      </w:r>
      <w:r w:rsidR="006C577F" w:rsidRPr="006C577F">
        <w:rPr>
          <w:rStyle w:val="libFootnotenumChar"/>
          <w:rtl/>
        </w:rPr>
        <w:t>(3)</w:t>
      </w:r>
      <w:r w:rsidRPr="00C9040A">
        <w:rPr>
          <w:rtl/>
          <w:lang w:bidi="fa-IR"/>
        </w:rPr>
        <w:t xml:space="preserve"> ، عَنْ عُثْمَانَ بْنِ عِيسى ، عَنْ عَبْدِاللهِ بْنِ مُسْكَانَ</w:t>
      </w:r>
      <w:r w:rsidR="00DE2616">
        <w:rPr>
          <w:rtl/>
          <w:lang w:bidi="fa-IR"/>
        </w:rPr>
        <w:t xml:space="preserve"> ، عَنْ مُحَمَّدِ بْنِ مُسْلِمٍ</w:t>
      </w:r>
      <w:r w:rsidRPr="00C9040A">
        <w:rPr>
          <w:rtl/>
          <w:lang w:bidi="fa-IR"/>
        </w:rPr>
        <w:t>:</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ثَلَاثَةٌ هُمْ أَقْرَبُ الْخَلْقِ إِلَى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يَوْمَ الْقِيَامَةِ حَتّى يَفْرُغَ </w:t>
      </w:r>
      <w:r w:rsidR="006C577F" w:rsidRPr="006C577F">
        <w:rPr>
          <w:rStyle w:val="libFootnotenumChar"/>
          <w:rtl/>
        </w:rPr>
        <w:t>(4)</w:t>
      </w:r>
      <w:r w:rsidRPr="00C9040A">
        <w:rPr>
          <w:rtl/>
          <w:lang w:bidi="fa-IR"/>
        </w:rPr>
        <w:t xml:space="preserve"> مِنَ الْحِسَابِ : رَجُلٌ لَمْ تَدْعُهُ قُدْرَةٌ </w:t>
      </w:r>
      <w:r w:rsidR="006C577F" w:rsidRPr="006C577F">
        <w:rPr>
          <w:rStyle w:val="libFootnotenumChar"/>
          <w:rtl/>
        </w:rPr>
        <w:t>(5)</w:t>
      </w:r>
      <w:r w:rsidRPr="00C9040A">
        <w:rPr>
          <w:rtl/>
          <w:lang w:bidi="fa-IR"/>
        </w:rPr>
        <w:t xml:space="preserve"> فِي حَالِ غَضَبِهِ إِلى أَنْ يَحِيفَ </w:t>
      </w:r>
      <w:r w:rsidR="006C577F" w:rsidRPr="006C577F">
        <w:rPr>
          <w:rStyle w:val="libFootnotenumChar"/>
          <w:rtl/>
        </w:rPr>
        <w:t>(6)</w:t>
      </w:r>
      <w:r w:rsidRPr="005B567D">
        <w:rPr>
          <w:rStyle w:val="libFootnotenumChar"/>
          <w:rtl/>
        </w:rPr>
        <w:t xml:space="preserve"> </w:t>
      </w:r>
      <w:r w:rsidRPr="00C9040A">
        <w:rPr>
          <w:rtl/>
          <w:lang w:bidi="fa-IR"/>
        </w:rPr>
        <w:t xml:space="preserve">عَلى مَنْ تَحْتَ يَدِهِ ؛ وَرَجُلٌ مَشى بَيْنَ اثْنَيْنِ ، فَلَمْ يَمِلْ مَعَ أَحَدِهِمَا عَلَى الْآخَرِ بِشَعِيرَةٍ ؛ وَرَجُلٌ قَالَ بِالْحَقِّ </w:t>
      </w:r>
      <w:r w:rsidR="006C577F" w:rsidRPr="006C577F">
        <w:rPr>
          <w:rStyle w:val="libFootnotenumChar"/>
          <w:rtl/>
        </w:rPr>
        <w:t>(7)</w:t>
      </w:r>
      <w:r w:rsidRPr="00C9040A">
        <w:rPr>
          <w:rtl/>
          <w:lang w:bidi="fa-IR"/>
        </w:rPr>
        <w:t xml:space="preserve"> فِيمَا لَهُ وَعَلَيْهِ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Normal"/>
        <w:rPr>
          <w:rtl/>
          <w:lang w:bidi="fa-IR"/>
        </w:rPr>
      </w:pPr>
      <w:r w:rsidRPr="0059295A">
        <w:rPr>
          <w:rtl/>
        </w:rPr>
        <w:t>1952</w:t>
      </w:r>
      <w:r w:rsidRPr="00261CB0">
        <w:rPr>
          <w:rStyle w:val="libBold2Char"/>
          <w:rtl/>
        </w:rPr>
        <w:t xml:space="preserve"> / 6.</w:t>
      </w:r>
      <w:r w:rsidRPr="00C9040A">
        <w:rPr>
          <w:rtl/>
          <w:lang w:bidi="fa-IR"/>
        </w:rPr>
        <w:t xml:space="preserve"> عَنْهُ </w:t>
      </w:r>
      <w:r w:rsidR="006C577F" w:rsidRPr="006C577F">
        <w:rPr>
          <w:rStyle w:val="libFootnotenumChar"/>
          <w:rtl/>
        </w:rPr>
        <w:t>(9)</w:t>
      </w:r>
      <w:r w:rsidRPr="00C9040A">
        <w:rPr>
          <w:rtl/>
          <w:lang w:bidi="fa-IR"/>
        </w:rPr>
        <w:t xml:space="preserve"> ، عَنْ أَبِيهِ ، عَنِ النَّضْرِ بْنِ سُوَيْدٍ ، عَنْ هِشَامِ بْنِ سَالِمٍ ، عَنْ زُرَارَةَ ، عَنِ‌</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حاشية « بر ، بف » وحاشية المطبوع : « عبد الله بن المعلّى »</w:t>
      </w:r>
      <w:r w:rsidR="008A74EB">
        <w:rPr>
          <w:rtl/>
        </w:rPr>
        <w:t>.</w:t>
      </w:r>
      <w:r w:rsidR="008A74EB" w:rsidRPr="00C9040A">
        <w:rPr>
          <w:rtl/>
        </w:rPr>
        <w:t xml:space="preserve"> وفي بحار الأنوار </w:t>
      </w:r>
      <w:r w:rsidR="008A74EB">
        <w:rPr>
          <w:rtl/>
        </w:rPr>
        <w:t xml:space="preserve">: </w:t>
      </w:r>
      <w:r w:rsidR="0084262C">
        <w:rPr>
          <w:rtl/>
        </w:rPr>
        <w:t>-</w:t>
      </w:r>
      <w:r w:rsidR="008A74EB" w:rsidRPr="00C9040A">
        <w:rPr>
          <w:rtl/>
        </w:rPr>
        <w:t xml:space="preserve"> « عليّ بن »</w:t>
      </w:r>
      <w:r w:rsidR="008A74EB">
        <w:rPr>
          <w:rtl/>
        </w:rPr>
        <w:t>.</w:t>
      </w:r>
    </w:p>
    <w:p w:rsidR="008A74EB" w:rsidRPr="00C9040A" w:rsidRDefault="008A74EB" w:rsidP="008A74EB">
      <w:pPr>
        <w:pStyle w:val="libNormal"/>
        <w:rPr>
          <w:rtl/>
          <w:lang w:bidi="fa-IR"/>
        </w:rPr>
      </w:pPr>
      <w:r w:rsidRPr="00323A39">
        <w:rPr>
          <w:rStyle w:val="libFootnote0Char"/>
          <w:rtl/>
        </w:rPr>
        <w:t xml:space="preserve">والظاهر صحّة « عليّ بن المعلّى » ؛ فقد روى إبراهيم بن محمّد الثقفي عن عليّ بن المعلّى في بعض الأسناد. راجع : </w:t>
      </w:r>
      <w:r w:rsidRPr="00993B55">
        <w:rPr>
          <w:rStyle w:val="libFootnoteBoldChar"/>
          <w:rtl/>
        </w:rPr>
        <w:t>معجم رجال الحديث</w:t>
      </w:r>
      <w:r w:rsidRPr="00323A39">
        <w:rPr>
          <w:rStyle w:val="libFootnote0Char"/>
          <w:rtl/>
        </w:rPr>
        <w:t xml:space="preserve"> ، ج 1 ، ص 287 ، الرقم 279 ؛ </w:t>
      </w:r>
      <w:r w:rsidRPr="00993B55">
        <w:rPr>
          <w:rStyle w:val="libFootnoteBoldChar"/>
          <w:rtl/>
        </w:rPr>
        <w:t>ثواب الأعمال</w:t>
      </w:r>
      <w:r w:rsidRPr="00323A39">
        <w:rPr>
          <w:rStyle w:val="libFootnote0Char"/>
          <w:rtl/>
        </w:rPr>
        <w:t xml:space="preserve"> ، ص 32 ، ح 1 ؛ </w:t>
      </w:r>
      <w:r w:rsidRPr="00993B55">
        <w:rPr>
          <w:rStyle w:val="libFootnoteBoldChar"/>
          <w:rtl/>
        </w:rPr>
        <w:t>علل الشرائع</w:t>
      </w:r>
      <w:r w:rsidRPr="00323A39">
        <w:rPr>
          <w:rStyle w:val="libFootnote0Char"/>
          <w:rtl/>
        </w:rPr>
        <w:t xml:space="preserve"> ، ص 465 ، ح 15.</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الوافي</w:t>
      </w:r>
      <w:r w:rsidR="008A74EB" w:rsidRPr="00C9040A">
        <w:rPr>
          <w:rtl/>
        </w:rPr>
        <w:t xml:space="preserve"> ، ج 4 ، ص 473 ، ح 2379 ؛ </w:t>
      </w:r>
      <w:r w:rsidR="008A74EB" w:rsidRPr="00993B55">
        <w:rPr>
          <w:rStyle w:val="libFootnoteBoldChar"/>
          <w:rtl/>
        </w:rPr>
        <w:t>الوسائل</w:t>
      </w:r>
      <w:r w:rsidR="008A74EB" w:rsidRPr="00C9040A">
        <w:rPr>
          <w:rtl/>
        </w:rPr>
        <w:t xml:space="preserve"> ، ج 15 ، ص 283 ، ح 20525 ؛ </w:t>
      </w:r>
      <w:r w:rsidR="008A74EB" w:rsidRPr="00993B55">
        <w:rPr>
          <w:rStyle w:val="libFootnoteBoldChar"/>
          <w:rtl/>
        </w:rPr>
        <w:t>البحار</w:t>
      </w:r>
      <w:r w:rsidR="008A74EB" w:rsidRPr="00C9040A">
        <w:rPr>
          <w:rtl/>
        </w:rPr>
        <w:t xml:space="preserve"> ، ج 75 ، ص 33 ، ح 25.</w:t>
      </w:r>
    </w:p>
    <w:p w:rsidR="008A74EB" w:rsidRPr="00C9040A" w:rsidRDefault="006C577F" w:rsidP="004A4E41">
      <w:pPr>
        <w:pStyle w:val="libFootnote0"/>
        <w:rPr>
          <w:rtl/>
          <w:lang w:bidi="fa-IR"/>
        </w:rPr>
      </w:pPr>
      <w:r>
        <w:rPr>
          <w:rtl/>
        </w:rPr>
        <w:t>(3).</w:t>
      </w:r>
      <w:r w:rsidR="008A74EB" w:rsidRPr="00C9040A">
        <w:rPr>
          <w:rtl/>
        </w:rPr>
        <w:t xml:space="preserve"> الضمير راجع إلى أحمد بن محمّد بن خالد المذكور في السند السابق.</w:t>
      </w:r>
    </w:p>
    <w:p w:rsidR="008A74EB" w:rsidRPr="00C9040A" w:rsidRDefault="006C577F" w:rsidP="004A4E41">
      <w:pPr>
        <w:pStyle w:val="libFootnote0"/>
        <w:rPr>
          <w:rtl/>
          <w:lang w:bidi="fa-IR"/>
        </w:rPr>
      </w:pPr>
      <w:r>
        <w:rPr>
          <w:rtl/>
        </w:rPr>
        <w:t>(4).</w:t>
      </w:r>
      <w:r w:rsidR="008A74EB" w:rsidRPr="00C9040A">
        <w:rPr>
          <w:rtl/>
        </w:rPr>
        <w:t xml:space="preserve"> في الخصال : + « الناس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ج 8 ، ص 344 : « وقوله : حتّى يفرغ ، إمّا على بناء المعلوم‌والمستتر راجع إلى الله ، أو على بناء المجهول والظرف نائب الفاعل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الوافي والخصال : « قدرته »</w:t>
      </w:r>
      <w:r w:rsidR="008A74EB">
        <w:rPr>
          <w:rtl/>
        </w:rPr>
        <w:t>.</w:t>
      </w:r>
    </w:p>
    <w:p w:rsidR="008A74EB" w:rsidRPr="00C9040A" w:rsidRDefault="006C577F" w:rsidP="00D340B6">
      <w:pPr>
        <w:pStyle w:val="libFootnote0"/>
        <w:rPr>
          <w:rtl/>
          <w:lang w:bidi="fa-IR"/>
        </w:rPr>
      </w:pPr>
      <w:r>
        <w:rPr>
          <w:rtl/>
        </w:rPr>
        <w:t>(6).</w:t>
      </w:r>
      <w:r w:rsidR="008A74EB">
        <w:rPr>
          <w:rtl/>
        </w:rPr>
        <w:t xml:space="preserve"> </w:t>
      </w:r>
      <w:r w:rsidR="008A74EB" w:rsidRPr="00C9040A">
        <w:rPr>
          <w:rtl/>
        </w:rPr>
        <w:t xml:space="preserve">حاف يحيف حَيْفاً : جار وظلم ، وسواء كان حاكماً أو غير حاكم فهو حائف ، وجمعه : حافَة. </w:t>
      </w:r>
      <w:r w:rsidR="008A74EB" w:rsidRPr="00993B55">
        <w:rPr>
          <w:rStyle w:val="libFootnoteBoldChar"/>
          <w:rtl/>
        </w:rPr>
        <w:t>المصباح المنير</w:t>
      </w:r>
      <w:r w:rsidR="008A74EB" w:rsidRPr="00C9040A">
        <w:rPr>
          <w:rtl/>
        </w:rPr>
        <w:t xml:space="preserve"> ، ص 159 ( حيف )</w:t>
      </w:r>
      <w:r w:rsidR="008A74EB">
        <w:rPr>
          <w:rtl/>
        </w:rPr>
        <w:t>.</w:t>
      </w:r>
      <w:r w:rsidR="00D340B6">
        <w:rPr>
          <w:rFonts w:hint="cs"/>
          <w:rtl/>
        </w:rPr>
        <w:t xml:space="preserve">                                </w:t>
      </w:r>
      <w:r>
        <w:rPr>
          <w:rtl/>
        </w:rPr>
        <w:t>(7).</w:t>
      </w:r>
      <w:r w:rsidR="008A74EB" w:rsidRPr="00C9040A">
        <w:rPr>
          <w:rtl/>
        </w:rPr>
        <w:t xml:space="preserve"> في الأمالي : « الحقّ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w:t>
      </w:r>
      <w:r w:rsidR="008A74EB" w:rsidRPr="0034021D">
        <w:rPr>
          <w:rStyle w:val="libFootnoteBoldChar"/>
          <w:rtl/>
        </w:rPr>
        <w:t>الأمالي للصدوق</w:t>
      </w:r>
      <w:r w:rsidR="008A74EB" w:rsidRPr="00C9040A">
        <w:rPr>
          <w:rtl/>
        </w:rPr>
        <w:t xml:space="preserve"> ، ص 358 ، المجلس 57 ، ح 6 ؛ و</w:t>
      </w:r>
      <w:r w:rsidR="008A74EB" w:rsidRPr="00993B55">
        <w:rPr>
          <w:rStyle w:val="libFootnoteBoldChar"/>
          <w:rtl/>
        </w:rPr>
        <w:t xml:space="preserve">الخصال </w:t>
      </w:r>
      <w:r w:rsidR="008A74EB" w:rsidRPr="00C9040A">
        <w:rPr>
          <w:rtl/>
        </w:rPr>
        <w:t xml:space="preserve">، ص 81 ، باب الثلاثة ، ح 5 ، بسند آخر عن أحمد بن محمّد بن خالد ، عن عثمان بن عيسى </w:t>
      </w:r>
      <w:r w:rsidR="00D340B6">
        <w:rPr>
          <w:rFonts w:hint="cs"/>
          <w:rtl/>
        </w:rPr>
        <w:t>.</w:t>
      </w:r>
      <w:r w:rsidR="008A74EB" w:rsidRPr="00993B55">
        <w:rPr>
          <w:rStyle w:val="libFootnoteBoldChar"/>
          <w:rtl/>
        </w:rPr>
        <w:t>الوافي</w:t>
      </w:r>
      <w:r w:rsidR="008A74EB" w:rsidRPr="00C9040A">
        <w:rPr>
          <w:rtl/>
        </w:rPr>
        <w:t xml:space="preserve"> ، ج 4 ، ص 477 ، ح 2390 ؛ </w:t>
      </w:r>
      <w:r w:rsidR="008A74EB" w:rsidRPr="00993B55">
        <w:rPr>
          <w:rStyle w:val="libFootnoteBoldChar"/>
          <w:rtl/>
        </w:rPr>
        <w:t>البحار</w:t>
      </w:r>
      <w:r w:rsidR="008A74EB" w:rsidRPr="00C9040A">
        <w:rPr>
          <w:rtl/>
        </w:rPr>
        <w:t xml:space="preserve"> ، ج 75 ، ص 33 ، ح 26.</w:t>
      </w:r>
    </w:p>
    <w:p w:rsidR="008A74EB" w:rsidRPr="00C9040A" w:rsidRDefault="006C577F" w:rsidP="004A4E41">
      <w:pPr>
        <w:pStyle w:val="libFootnote0"/>
        <w:rPr>
          <w:rtl/>
          <w:lang w:bidi="fa-IR"/>
        </w:rPr>
      </w:pPr>
      <w:r>
        <w:rPr>
          <w:rtl/>
        </w:rPr>
        <w:t>(9).</w:t>
      </w:r>
      <w:r w:rsidR="008A74EB" w:rsidRPr="00C9040A">
        <w:rPr>
          <w:rtl/>
        </w:rPr>
        <w:t xml:space="preserve"> الضمير راجع إلى أحمد بن محمّد بن خالد المذكور في ح 1950 ؛ فقد روى هو عن أبيه عن النضر بن سويدفي عدّة من الأسناد. راجع : </w:t>
      </w:r>
      <w:r w:rsidR="008A74EB" w:rsidRPr="00993B55">
        <w:rPr>
          <w:rStyle w:val="libFootnoteBoldChar"/>
          <w:rtl/>
        </w:rPr>
        <w:t>معجم رجال الحديث</w:t>
      </w:r>
      <w:r w:rsidR="008A74EB" w:rsidRPr="00C9040A">
        <w:rPr>
          <w:rtl/>
        </w:rPr>
        <w:t xml:space="preserve"> ، ج 16 ، ص 363 </w:t>
      </w:r>
      <w:r w:rsidR="008A74EB">
        <w:rPr>
          <w:rtl/>
        </w:rPr>
        <w:t>و 3</w:t>
      </w:r>
      <w:r w:rsidR="008A74EB" w:rsidRPr="00C9040A">
        <w:rPr>
          <w:rtl/>
        </w:rPr>
        <w:t>69.</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الْحَسَنِ الْبَزَّازِ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w:t>
      </w:r>
      <w:r>
        <w:rPr>
          <w:rtl/>
          <w:lang w:bidi="fa-IR"/>
        </w:rPr>
        <w:t>، قَالَ فِي حَدِيثٍ لَهُ : « أَ</w:t>
      </w:r>
      <w:r w:rsidRPr="00C9040A">
        <w:rPr>
          <w:rtl/>
          <w:lang w:bidi="fa-IR"/>
        </w:rPr>
        <w:t>لَا</w:t>
      </w:r>
      <w:r>
        <w:rPr>
          <w:rFonts w:hint="cs"/>
          <w:rtl/>
          <w:lang w:bidi="fa-IR"/>
        </w:rPr>
        <w:t xml:space="preserve"> </w:t>
      </w:r>
      <w:r w:rsidRPr="00C9040A">
        <w:rPr>
          <w:rtl/>
          <w:lang w:bidi="fa-IR"/>
        </w:rPr>
        <w:t>أُخْبِرُكُمْ بِأَشَدِّ مَا فَرَضَ اللهُ عَلى خَلْقِهِ</w:t>
      </w:r>
      <w:r>
        <w:rPr>
          <w:rtl/>
          <w:lang w:bidi="fa-IR"/>
        </w:rPr>
        <w:t>؟</w:t>
      </w:r>
      <w:r w:rsidRPr="00C9040A">
        <w:rPr>
          <w:rtl/>
          <w:lang w:bidi="fa-IR"/>
        </w:rPr>
        <w:t xml:space="preserve"> » فَذَكَرَ ثَلَاثَةَ أَشْيَاءَ ، أَوَّلُهَا : « إِنْصَافُ النَّاسِ مِنْ </w:t>
      </w:r>
      <w:r w:rsidR="006C577F" w:rsidRPr="006C577F">
        <w:rPr>
          <w:rStyle w:val="libFootnotenumChar"/>
          <w:rtl/>
        </w:rPr>
        <w:t>(1)</w:t>
      </w:r>
      <w:r w:rsidRPr="00C9040A">
        <w:rPr>
          <w:rtl/>
          <w:lang w:bidi="fa-IR"/>
        </w:rPr>
        <w:t xml:space="preserve"> نَفْسِكَ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59295A">
        <w:rPr>
          <w:rtl/>
        </w:rPr>
        <w:t>1953</w:t>
      </w:r>
      <w:r w:rsidRPr="00261CB0">
        <w:rPr>
          <w:rStyle w:val="libBold2Char"/>
          <w:rtl/>
        </w:rPr>
        <w:t xml:space="preserve"> / 7.</w:t>
      </w:r>
      <w:r w:rsidRPr="00C9040A">
        <w:rPr>
          <w:rtl/>
          <w:lang w:bidi="fa-IR"/>
        </w:rPr>
        <w:t xml:space="preserve"> عَلِيُّ بْنُ إِبْرَاهِيمَ ، عَنْ أَبِيهِ ، عَنِ النَّوْفَلِيِّ ، عَنِ السَّكُونِيِّ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سَيِّدُ الْأَعْمَالِ </w:t>
      </w:r>
      <w:r w:rsidR="006C577F" w:rsidRPr="006C577F">
        <w:rPr>
          <w:rStyle w:val="libFootnotenumChar"/>
          <w:rtl/>
        </w:rPr>
        <w:t>(3)</w:t>
      </w:r>
      <w:r w:rsidRPr="00C9040A">
        <w:rPr>
          <w:rtl/>
          <w:lang w:bidi="fa-IR"/>
        </w:rPr>
        <w:t xml:space="preserve"> إِنْصَافُ النَّاسِ مِنْ </w:t>
      </w:r>
      <w:r w:rsidR="006C577F" w:rsidRPr="006C577F">
        <w:rPr>
          <w:rStyle w:val="libFootnotenumChar"/>
          <w:rtl/>
        </w:rPr>
        <w:t>(4)</w:t>
      </w:r>
      <w:r w:rsidRPr="00C9040A">
        <w:rPr>
          <w:rtl/>
          <w:lang w:bidi="fa-IR"/>
        </w:rPr>
        <w:t xml:space="preserve"> نَفْسِكَ ، وَمُؤَاسَاةُ </w:t>
      </w:r>
      <w:r w:rsidR="006C577F" w:rsidRPr="006C577F">
        <w:rPr>
          <w:rStyle w:val="libFootnotenumChar"/>
          <w:rtl/>
        </w:rPr>
        <w:t>(5)</w:t>
      </w:r>
      <w:r w:rsidRPr="00C9040A">
        <w:rPr>
          <w:rtl/>
          <w:lang w:bidi="fa-IR"/>
        </w:rPr>
        <w:t xml:space="preserve"> الْأَخِ فِي اللهِ ، وَذِكْرُ اللهِ عَلى كُلِّ حَالٍ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Normal"/>
        <w:rPr>
          <w:rtl/>
          <w:lang w:bidi="fa-IR"/>
        </w:rPr>
      </w:pPr>
      <w:r w:rsidRPr="0059295A">
        <w:rPr>
          <w:rtl/>
        </w:rPr>
        <w:t>1954</w:t>
      </w:r>
      <w:r w:rsidRPr="00261CB0">
        <w:rPr>
          <w:rStyle w:val="libBold2Char"/>
          <w:rtl/>
        </w:rPr>
        <w:t xml:space="preserve"> / 8.</w:t>
      </w:r>
      <w:r w:rsidRPr="00C9040A">
        <w:rPr>
          <w:rtl/>
          <w:lang w:bidi="fa-IR"/>
        </w:rPr>
        <w:t xml:space="preserve"> عَلِيٌّ ، عَنْ أَبِيهِ ، عَنِ ابْنِ مَحْبُوبٍ ، عَنْ هِشَامِ بْنِ سَالِمٍ ، عَنْ زُرَارَةَ ، عَنِ الْحَسَنِ الْبَزَّازِ ، قَالَ :</w:t>
      </w:r>
    </w:p>
    <w:p w:rsidR="008A74EB" w:rsidRPr="00C9040A" w:rsidRDefault="008A74EB" w:rsidP="008A74EB">
      <w:pPr>
        <w:pStyle w:val="libNormal"/>
        <w:rPr>
          <w:rtl/>
          <w:lang w:bidi="fa-IR"/>
        </w:rPr>
      </w:pPr>
      <w:r w:rsidRPr="00C9040A">
        <w:rPr>
          <w:rtl/>
          <w:lang w:bidi="fa-IR"/>
        </w:rPr>
        <w:t xml:space="preserve">قَالَ لِي </w:t>
      </w:r>
      <w:r w:rsidR="006C577F" w:rsidRPr="006C577F">
        <w:rPr>
          <w:rStyle w:val="libFootnotenumChar"/>
          <w:rtl/>
        </w:rPr>
        <w:t>(7)</w:t>
      </w:r>
      <w:r w:rsidRPr="00C9040A">
        <w:rPr>
          <w:rtl/>
          <w:lang w:bidi="fa-IR"/>
        </w:rPr>
        <w:t xml:space="preserve"> أَبُو عَبْدِ اللهِ </w:t>
      </w:r>
      <w:r w:rsidRPr="0003660B">
        <w:rPr>
          <w:rStyle w:val="libAlaemChar"/>
          <w:rtl/>
        </w:rPr>
        <w:t>عليه‌السلام</w:t>
      </w:r>
      <w:r>
        <w:rPr>
          <w:rtl/>
          <w:lang w:bidi="fa-IR"/>
        </w:rPr>
        <w:t xml:space="preserve"> : « أَ</w:t>
      </w:r>
      <w:r w:rsidRPr="00C9040A">
        <w:rPr>
          <w:rtl/>
          <w:lang w:bidi="fa-IR"/>
        </w:rPr>
        <w:t>لَا</w:t>
      </w:r>
      <w:r>
        <w:rPr>
          <w:rFonts w:hint="cs"/>
          <w:rtl/>
          <w:lang w:bidi="fa-IR"/>
        </w:rPr>
        <w:t xml:space="preserve"> </w:t>
      </w:r>
      <w:r w:rsidRPr="00C9040A">
        <w:rPr>
          <w:rtl/>
          <w:lang w:bidi="fa-IR"/>
        </w:rPr>
        <w:t xml:space="preserve">أُخْبِرُكَ بِأَشَدِّ مَا فَرَضَ اللهُ عَلى خَلْقِهِ </w:t>
      </w:r>
      <w:r w:rsidR="006C577F" w:rsidRPr="006C577F">
        <w:rPr>
          <w:rStyle w:val="libFootnotenumChar"/>
          <w:rtl/>
        </w:rPr>
        <w:t>(8)</w:t>
      </w:r>
      <w:r>
        <w:rPr>
          <w:rtl/>
          <w:lang w:bidi="fa-IR"/>
        </w:rPr>
        <w:t>؟</w:t>
      </w:r>
      <w:r w:rsidRPr="00C9040A">
        <w:rPr>
          <w:rtl/>
          <w:lang w:bidi="fa-IR"/>
        </w:rPr>
        <w:t xml:space="preserve"> » قُلْتُ : بَلى ، قَالَ : « إِنْصَافُ النَّاسِ مِنْ نَفْسِكَ ، وَمُؤَاسَاتُكَ أَخَاكَ ، وَذِكْرُ اللهِ فِي كُلِّ مَوْطِنٍ ؛ أَمَا </w:t>
      </w:r>
      <w:r w:rsidR="006C577F" w:rsidRPr="006C577F">
        <w:rPr>
          <w:rStyle w:val="libFootnotenumChar"/>
          <w:rtl/>
        </w:rPr>
        <w:t>(9)</w:t>
      </w:r>
      <w:r w:rsidRPr="00C9040A">
        <w:rPr>
          <w:rtl/>
          <w:lang w:bidi="fa-IR"/>
        </w:rPr>
        <w:t xml:space="preserve"> إِنِّي لَا‌</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ف » : « عن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الوافي</w:t>
      </w:r>
      <w:r w:rsidR="008A74EB" w:rsidRPr="00C9040A">
        <w:rPr>
          <w:rtl/>
        </w:rPr>
        <w:t xml:space="preserve"> ، ج 4 ، ص 473 ، ح 2380 ؛ </w:t>
      </w:r>
      <w:r w:rsidR="008A74EB" w:rsidRPr="00993B55">
        <w:rPr>
          <w:rStyle w:val="libFootnoteBoldChar"/>
          <w:rtl/>
        </w:rPr>
        <w:t>البحار</w:t>
      </w:r>
      <w:r w:rsidR="008A74EB" w:rsidRPr="00C9040A">
        <w:rPr>
          <w:rtl/>
        </w:rPr>
        <w:t xml:space="preserve"> ، ج 75 ، ص 34 ، ح 27.</w:t>
      </w:r>
    </w:p>
    <w:p w:rsidR="008A74EB" w:rsidRPr="00C9040A" w:rsidRDefault="006C577F" w:rsidP="004A4E41">
      <w:pPr>
        <w:pStyle w:val="libFootnote0"/>
        <w:rPr>
          <w:rtl/>
          <w:lang w:bidi="fa-IR"/>
        </w:rPr>
      </w:pPr>
      <w:r>
        <w:rPr>
          <w:rtl/>
        </w:rPr>
        <w:t>(3).</w:t>
      </w:r>
      <w:r w:rsidR="008A74EB" w:rsidRPr="00C9040A">
        <w:rPr>
          <w:rtl/>
        </w:rPr>
        <w:t xml:space="preserve"> في الجعفريّات : + « ثلاث »</w:t>
      </w:r>
      <w:r w:rsidR="008A74EB">
        <w:rPr>
          <w:rtl/>
        </w:rPr>
        <w:t>.</w:t>
      </w:r>
      <w:r w:rsidR="008A74EB" w:rsidRPr="00C9040A">
        <w:rPr>
          <w:rtl/>
        </w:rPr>
        <w:t xml:space="preserve"> وفي الخصال وتحف العقول : + « ثلاث خصال »</w:t>
      </w:r>
      <w:r w:rsidR="008A74EB">
        <w:rPr>
          <w:rtl/>
        </w:rPr>
        <w:t>.</w:t>
      </w:r>
      <w:r w:rsidR="008A74EB" w:rsidRPr="00C9040A">
        <w:rPr>
          <w:rtl/>
        </w:rPr>
        <w:t xml:space="preserve"> وفي الأمالي : + « ثلاثة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ف » : « عن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w:t>
      </w:r>
      <w:r w:rsidR="008A74EB" w:rsidRPr="00993B55">
        <w:rPr>
          <w:rStyle w:val="libFootnoteBoldChar"/>
          <w:rtl/>
        </w:rPr>
        <w:t>الوافي</w:t>
      </w:r>
      <w:r w:rsidR="008A74EB" w:rsidRPr="00C9040A">
        <w:rPr>
          <w:rtl/>
        </w:rPr>
        <w:t xml:space="preserve"> : « المؤاساة</w:t>
      </w:r>
      <w:r w:rsidR="008A74EB">
        <w:rPr>
          <w:rtl/>
        </w:rPr>
        <w:t xml:space="preserve"> </w:t>
      </w:r>
      <w:r w:rsidR="0084262C">
        <w:rPr>
          <w:rtl/>
        </w:rPr>
        <w:t>-</w:t>
      </w:r>
      <w:r w:rsidR="008A74EB">
        <w:rPr>
          <w:rtl/>
        </w:rPr>
        <w:t xml:space="preserve"> </w:t>
      </w:r>
      <w:r w:rsidR="008A74EB" w:rsidRPr="00C9040A">
        <w:rPr>
          <w:rtl/>
        </w:rPr>
        <w:t>بالهمزة</w:t>
      </w:r>
      <w:r w:rsidR="008A74EB">
        <w:rPr>
          <w:rtl/>
        </w:rPr>
        <w:t xml:space="preserve"> </w:t>
      </w:r>
      <w:r w:rsidR="0084262C">
        <w:rPr>
          <w:rtl/>
        </w:rPr>
        <w:t>-</w:t>
      </w:r>
      <w:r w:rsidR="008A74EB">
        <w:rPr>
          <w:rtl/>
        </w:rPr>
        <w:t xml:space="preserve"> </w:t>
      </w:r>
      <w:r w:rsidR="008A74EB" w:rsidRPr="00C9040A">
        <w:rPr>
          <w:rtl/>
        </w:rPr>
        <w:t>بين الإخوان عبارة عن إعطاء النصرة بالنفس والمال وغيرهما في كلّ ما يحتاج إلى النصرة فيه ، يقال : آسيته بمالي مؤاساة ، أي جعلته شريكي فيه على سويّة. وبالواو لغة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الجعفريّات</w:t>
      </w:r>
      <w:r w:rsidR="008A74EB" w:rsidRPr="00C9040A">
        <w:rPr>
          <w:rtl/>
        </w:rPr>
        <w:t xml:space="preserve"> ، ص 215 ؛ وص 230 ؛ </w:t>
      </w:r>
      <w:r w:rsidR="008A74EB" w:rsidRPr="00AC2E2F">
        <w:rPr>
          <w:rStyle w:val="libFootnoteBoldChar"/>
          <w:rtl/>
        </w:rPr>
        <w:t>والأمالي للطوسي</w:t>
      </w:r>
      <w:r w:rsidR="008A74EB" w:rsidRPr="00C9040A">
        <w:rPr>
          <w:rtl/>
        </w:rPr>
        <w:t xml:space="preserve"> ، ص 577 ، المجلس 32 ، ح 6 ، بسند آخر عن أبي عبد الله ، عن آبائه </w:t>
      </w:r>
      <w:r w:rsidR="00117575" w:rsidRPr="00117575">
        <w:rPr>
          <w:rStyle w:val="libFootnoteAlaemChar"/>
          <w:rtl/>
        </w:rPr>
        <w:t>عليهم‌السلام</w:t>
      </w:r>
      <w:r w:rsidR="008A74EB" w:rsidRPr="00C9040A">
        <w:rPr>
          <w:rtl/>
        </w:rPr>
        <w:t xml:space="preserve"> عن رسول الله </w:t>
      </w:r>
      <w:r w:rsidR="004A4E41" w:rsidRPr="00DE2616">
        <w:rPr>
          <w:rStyle w:val="libFootnoteAlaemChar"/>
          <w:rtl/>
        </w:rPr>
        <w:t>صلى‌الله‌عليه‌وآله</w:t>
      </w:r>
      <w:r w:rsidR="008A74EB" w:rsidRPr="00C9040A">
        <w:rPr>
          <w:rtl/>
        </w:rPr>
        <w:t xml:space="preserve"> ؛ </w:t>
      </w:r>
      <w:r w:rsidR="008A74EB" w:rsidRPr="00993B55">
        <w:rPr>
          <w:rStyle w:val="libFootnoteBoldChar"/>
          <w:rtl/>
        </w:rPr>
        <w:t>الخصال</w:t>
      </w:r>
      <w:r w:rsidR="008A74EB" w:rsidRPr="00C9040A">
        <w:rPr>
          <w:rtl/>
        </w:rPr>
        <w:t xml:space="preserve"> ، ص 124 ، باب الثلاثة ، ضمن ح 121 ، بسند آخر عن يونس بن عبد الرحمن رفعه إلى أبي عبد الله ، عن رسول الله </w:t>
      </w:r>
      <w:r w:rsidR="004A4E41" w:rsidRPr="00DE2616">
        <w:rPr>
          <w:rStyle w:val="libFootnoteAlaemChar"/>
          <w:rtl/>
        </w:rPr>
        <w:t>صلى‌الله‌عليه‌وآله</w:t>
      </w:r>
      <w:r w:rsidR="008A74EB" w:rsidRPr="00C9040A">
        <w:rPr>
          <w:rtl/>
        </w:rPr>
        <w:t xml:space="preserve">. </w:t>
      </w:r>
      <w:r w:rsidR="008A74EB" w:rsidRPr="00993B55">
        <w:rPr>
          <w:rStyle w:val="libFootnoteBoldChar"/>
          <w:rtl/>
        </w:rPr>
        <w:t>الإرشاد</w:t>
      </w:r>
      <w:r w:rsidR="008A74EB" w:rsidRPr="00C9040A">
        <w:rPr>
          <w:rtl/>
        </w:rPr>
        <w:t xml:space="preserve"> ، ج 2 ، ص 167 ، مرسلاً عن أبي جعفر ، عن آبائه </w:t>
      </w:r>
      <w:r w:rsidR="00117575" w:rsidRPr="00117575">
        <w:rPr>
          <w:rStyle w:val="libFootnoteAlaemChar"/>
          <w:rtl/>
        </w:rPr>
        <w:t>عليهم‌السلام</w:t>
      </w:r>
      <w:r w:rsidR="008A74EB" w:rsidRPr="00C9040A">
        <w:rPr>
          <w:rtl/>
        </w:rPr>
        <w:t xml:space="preserve"> عن رسول الله </w:t>
      </w:r>
      <w:r w:rsidR="004A4E41" w:rsidRPr="00DE2616">
        <w:rPr>
          <w:rStyle w:val="libFootnoteAlaemChar"/>
          <w:rtl/>
        </w:rPr>
        <w:t>صلى‌الله‌عليه‌وآله</w:t>
      </w:r>
      <w:r w:rsidR="008A74EB" w:rsidRPr="00C9040A">
        <w:rPr>
          <w:rtl/>
        </w:rPr>
        <w:t xml:space="preserve"> ؛ </w:t>
      </w:r>
      <w:r w:rsidR="008A74EB" w:rsidRPr="00993B55">
        <w:rPr>
          <w:rStyle w:val="libFootnoteBoldChar"/>
          <w:rtl/>
        </w:rPr>
        <w:t>تحف العقول</w:t>
      </w:r>
      <w:r w:rsidR="008A74EB" w:rsidRPr="00C9040A">
        <w:rPr>
          <w:rtl/>
        </w:rPr>
        <w:t xml:space="preserve"> ، ص 6 ، عن رسول الله </w:t>
      </w:r>
      <w:r w:rsidR="004A4E41" w:rsidRPr="00DE2616">
        <w:rPr>
          <w:rStyle w:val="libFootnoteAlaemChar"/>
          <w:rtl/>
        </w:rPr>
        <w:t>صلى‌الله‌عليه‌وآله</w:t>
      </w:r>
      <w:r w:rsidR="008A74EB" w:rsidRPr="00C9040A">
        <w:rPr>
          <w:rtl/>
        </w:rPr>
        <w:t xml:space="preserve"> ، وفي كلّها مع اختلاف يسير </w:t>
      </w:r>
      <w:r w:rsidR="00BC0948">
        <w:rPr>
          <w:rFonts w:hint="cs"/>
          <w:rtl/>
        </w:rPr>
        <w:t>.</w:t>
      </w:r>
      <w:r w:rsidR="008A74EB" w:rsidRPr="00993B55">
        <w:rPr>
          <w:rStyle w:val="libFootnoteBoldChar"/>
          <w:rtl/>
        </w:rPr>
        <w:t>الوافي</w:t>
      </w:r>
      <w:r w:rsidR="008A74EB" w:rsidRPr="00C9040A">
        <w:rPr>
          <w:rtl/>
        </w:rPr>
        <w:t xml:space="preserve"> ، ج 4 ، ص 474 ، ح 2381 ؛ </w:t>
      </w:r>
      <w:r w:rsidR="008A74EB" w:rsidRPr="00993B55">
        <w:rPr>
          <w:rStyle w:val="libFootnoteBoldChar"/>
          <w:rtl/>
        </w:rPr>
        <w:t>الوسائل</w:t>
      </w:r>
      <w:r w:rsidR="008A74EB" w:rsidRPr="00C9040A">
        <w:rPr>
          <w:rtl/>
        </w:rPr>
        <w:t xml:space="preserve"> ، ج 15 ، ص 283 ، ح 20524 ؛ </w:t>
      </w:r>
      <w:r w:rsidR="008A74EB" w:rsidRPr="00993B55">
        <w:rPr>
          <w:rStyle w:val="libFootnoteBoldChar"/>
          <w:rtl/>
        </w:rPr>
        <w:t>البحار</w:t>
      </w:r>
      <w:r w:rsidR="008A74EB" w:rsidRPr="00C9040A">
        <w:rPr>
          <w:rtl/>
        </w:rPr>
        <w:t xml:space="preserve"> ، ج 75 ، ص 34 ، ح 28.</w:t>
      </w:r>
    </w:p>
    <w:p w:rsidR="008A74EB" w:rsidRPr="00C9040A" w:rsidRDefault="006C577F" w:rsidP="004A4E41">
      <w:pPr>
        <w:pStyle w:val="libFootnote0"/>
        <w:rPr>
          <w:rtl/>
          <w:lang w:bidi="fa-IR"/>
        </w:rPr>
      </w:pPr>
      <w:r>
        <w:rPr>
          <w:rtl/>
        </w:rPr>
        <w:t>(7).</w:t>
      </w:r>
      <w:r w:rsidR="008A74EB" w:rsidRPr="00C9040A">
        <w:rPr>
          <w:rtl/>
        </w:rPr>
        <w:t xml:space="preserve"> في « ز ، ف » </w:t>
      </w:r>
      <w:r w:rsidR="008A74EB">
        <w:rPr>
          <w:rtl/>
        </w:rPr>
        <w:t xml:space="preserve">: </w:t>
      </w:r>
      <w:r w:rsidR="0084262C">
        <w:rPr>
          <w:rtl/>
        </w:rPr>
        <w:t>-</w:t>
      </w:r>
      <w:r w:rsidR="008A74EB" w:rsidRPr="00C9040A">
        <w:rPr>
          <w:rtl/>
        </w:rPr>
        <w:t xml:space="preserve"> « لي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هكذا في « ج ، ص ف ، بر » والوافي. وفي سائر النسخ والمطبوع : + « ثلاث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 ليس « ثلاث » في بعض النسخ ، وهو أظهر. وعلى تقديره بدل أو عطف بيان للأشدّ ، أو خبر مبتدأ محذوف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ز » : « ألا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أَقُولُ : سُبْحَانَ اللهِ ، وَالْحَ</w:t>
      </w:r>
      <w:r w:rsidR="000A2999">
        <w:rPr>
          <w:rtl/>
          <w:lang w:bidi="fa-IR"/>
        </w:rPr>
        <w:t>مْدُ لِلّهِ ، وَلَا إِلهَ إِل</w:t>
      </w:r>
      <w:r w:rsidR="000A2999">
        <w:rPr>
          <w:rFonts w:hint="cs"/>
          <w:rtl/>
          <w:lang w:bidi="fa-IR"/>
        </w:rPr>
        <w:t>َّ</w:t>
      </w:r>
      <w:r w:rsidR="000A2999">
        <w:rPr>
          <w:rtl/>
          <w:lang w:bidi="fa-IR"/>
        </w:rPr>
        <w:t>ا</w:t>
      </w:r>
      <w:r w:rsidRPr="00C9040A">
        <w:rPr>
          <w:rtl/>
          <w:lang w:bidi="fa-IR"/>
        </w:rPr>
        <w:t xml:space="preserve"> اللهُ ، وَاللهُ أَكْبَرُ ، وَإِنْ كَانَ هذَا مِنْ ذَاكَ </w:t>
      </w:r>
      <w:r w:rsidR="006C577F" w:rsidRPr="006C577F">
        <w:rPr>
          <w:rStyle w:val="libFootnotenumChar"/>
          <w:rtl/>
        </w:rPr>
        <w:t>(1)</w:t>
      </w:r>
      <w:r w:rsidRPr="00C9040A">
        <w:rPr>
          <w:rtl/>
          <w:lang w:bidi="fa-IR"/>
        </w:rPr>
        <w:t xml:space="preserve"> ، وَلكِنْ ذِكْرُ اللهِ</w:t>
      </w:r>
      <w:r>
        <w:rPr>
          <w:rtl/>
          <w:lang w:bidi="fa-IR"/>
        </w:rPr>
        <w:t xml:space="preserve"> </w:t>
      </w:r>
      <w:r w:rsidR="0084262C">
        <w:rPr>
          <w:rtl/>
          <w:lang w:bidi="fa-IR"/>
        </w:rPr>
        <w:t>-</w:t>
      </w:r>
      <w:r>
        <w:rPr>
          <w:rtl/>
          <w:lang w:bidi="fa-IR"/>
        </w:rPr>
        <w:t xml:space="preserve"> </w:t>
      </w:r>
      <w:r w:rsidRPr="00C9040A">
        <w:rPr>
          <w:rtl/>
          <w:lang w:bidi="fa-IR"/>
        </w:rPr>
        <w:t>جَلَّ وَعَزَّ</w:t>
      </w:r>
      <w:r>
        <w:rPr>
          <w:rtl/>
          <w:lang w:bidi="fa-IR"/>
        </w:rPr>
        <w:t xml:space="preserve"> </w:t>
      </w:r>
      <w:r w:rsidR="0084262C">
        <w:rPr>
          <w:rtl/>
          <w:lang w:bidi="fa-IR"/>
        </w:rPr>
        <w:t>-</w:t>
      </w:r>
      <w:r>
        <w:rPr>
          <w:rtl/>
          <w:lang w:bidi="fa-IR"/>
        </w:rPr>
        <w:t xml:space="preserve"> </w:t>
      </w:r>
      <w:r w:rsidRPr="00C9040A">
        <w:rPr>
          <w:rtl/>
          <w:lang w:bidi="fa-IR"/>
        </w:rPr>
        <w:t xml:space="preserve">فِي كُلِّ مَوْطِنٍ إِذَا هَجَمْتَ </w:t>
      </w:r>
      <w:r w:rsidR="006C577F" w:rsidRPr="006C577F">
        <w:rPr>
          <w:rStyle w:val="libFootnotenumChar"/>
          <w:rtl/>
        </w:rPr>
        <w:t>(2)</w:t>
      </w:r>
      <w:r w:rsidRPr="00C9040A">
        <w:rPr>
          <w:rtl/>
          <w:lang w:bidi="fa-IR"/>
        </w:rPr>
        <w:t xml:space="preserve"> عَلى طَاعَةٍ </w:t>
      </w:r>
      <w:r w:rsidR="006C577F" w:rsidRPr="006C577F">
        <w:rPr>
          <w:rStyle w:val="libFootnotenumChar"/>
          <w:rtl/>
        </w:rPr>
        <w:t>(3)</w:t>
      </w:r>
      <w:r w:rsidRPr="00C9040A">
        <w:rPr>
          <w:rtl/>
          <w:lang w:bidi="fa-IR"/>
        </w:rPr>
        <w:t xml:space="preserve"> ، أَوْ عَلى </w:t>
      </w:r>
      <w:r w:rsidR="006C577F" w:rsidRPr="006C577F">
        <w:rPr>
          <w:rStyle w:val="libFootnotenumChar"/>
          <w:rtl/>
        </w:rPr>
        <w:t>(4)</w:t>
      </w:r>
      <w:r w:rsidRPr="00C9040A">
        <w:rPr>
          <w:rtl/>
          <w:lang w:bidi="fa-IR"/>
        </w:rPr>
        <w:t xml:space="preserve"> مَعْصِيَةٍ </w:t>
      </w:r>
      <w:r w:rsidR="006C577F" w:rsidRPr="006C577F">
        <w:rPr>
          <w:rStyle w:val="libFootnotenumChar"/>
          <w:rtl/>
        </w:rPr>
        <w:t>(5)</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(6)</w:t>
      </w:r>
      <w:r w:rsidRPr="00C9040A">
        <w:rPr>
          <w:rtl/>
          <w:lang w:bidi="fa-IR"/>
        </w:rPr>
        <w:t>‌</w:t>
      </w:r>
    </w:p>
    <w:p w:rsidR="008A74EB" w:rsidRPr="00C9040A" w:rsidRDefault="008A74EB" w:rsidP="008A74EB">
      <w:pPr>
        <w:pStyle w:val="libNormal"/>
        <w:rPr>
          <w:rtl/>
          <w:lang w:bidi="fa-IR"/>
        </w:rPr>
      </w:pPr>
      <w:r w:rsidRPr="0059295A">
        <w:rPr>
          <w:rtl/>
        </w:rPr>
        <w:t>1955</w:t>
      </w:r>
      <w:r w:rsidRPr="00261CB0">
        <w:rPr>
          <w:rStyle w:val="libBold2Char"/>
          <w:rtl/>
        </w:rPr>
        <w:t xml:space="preserve"> / 9.</w:t>
      </w:r>
      <w:r w:rsidRPr="00C9040A">
        <w:rPr>
          <w:rtl/>
          <w:lang w:bidi="fa-IR"/>
        </w:rPr>
        <w:t xml:space="preserve"> ابْنُ مَحْبُوبٍ </w:t>
      </w:r>
      <w:r w:rsidR="006C577F" w:rsidRPr="006C577F">
        <w:rPr>
          <w:rStyle w:val="libFootnotenumChar"/>
          <w:rtl/>
        </w:rPr>
        <w:t>(7)</w:t>
      </w:r>
      <w:r w:rsidRPr="00C9040A">
        <w:rPr>
          <w:rtl/>
          <w:lang w:bidi="fa-IR"/>
        </w:rPr>
        <w:t xml:space="preserve"> ، عَنْ أَبِي أُسَامَةَ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مَا ابْتُلِيَ الْمُؤْمِنُ بِشَيْ‌ءٍ أَشَدَّ عَلَيْهِ مِنْ خِصَالٍ ثَلَاثٍ يُحْرَمُهَا </w:t>
      </w:r>
      <w:r w:rsidR="006C577F" w:rsidRPr="006C577F">
        <w:rPr>
          <w:rStyle w:val="libFootnotenumChar"/>
          <w:rtl/>
        </w:rPr>
        <w:t>(8)</w:t>
      </w:r>
      <w:r w:rsidRPr="00C9040A">
        <w:rPr>
          <w:rtl/>
          <w:lang w:bidi="fa-IR"/>
        </w:rPr>
        <w:t xml:space="preserve"> »</w:t>
      </w:r>
      <w:r>
        <w:rPr>
          <w:rtl/>
          <w:lang w:bidi="fa-IR"/>
        </w:rPr>
        <w:t>.</w:t>
      </w:r>
    </w:p>
    <w:p w:rsidR="008A74EB" w:rsidRPr="00C9040A" w:rsidRDefault="008A74EB" w:rsidP="008A74EB">
      <w:pPr>
        <w:pStyle w:val="libNormal"/>
        <w:rPr>
          <w:rtl/>
          <w:lang w:bidi="fa-IR"/>
        </w:rPr>
      </w:pPr>
      <w:r w:rsidRPr="00C9040A">
        <w:rPr>
          <w:rtl/>
          <w:lang w:bidi="fa-IR"/>
        </w:rPr>
        <w:t>قِيلَ : وَمَا هُنَّ</w:t>
      </w:r>
      <w:r>
        <w:rPr>
          <w:rtl/>
          <w:lang w:bidi="fa-IR"/>
        </w:rPr>
        <w:t>؟</w:t>
      </w:r>
    </w:p>
    <w:p w:rsidR="008A74EB" w:rsidRPr="00C9040A" w:rsidRDefault="008A74EB" w:rsidP="008A74EB">
      <w:pPr>
        <w:pStyle w:val="libNormal"/>
        <w:rPr>
          <w:rtl/>
          <w:lang w:bidi="fa-IR"/>
        </w:rPr>
      </w:pPr>
      <w:r w:rsidRPr="00C9040A">
        <w:rPr>
          <w:rtl/>
          <w:lang w:bidi="fa-IR"/>
        </w:rPr>
        <w:t xml:space="preserve">قَالَ : « الْمُؤَاسَاةُ </w:t>
      </w:r>
      <w:r w:rsidR="006C577F" w:rsidRPr="006C577F">
        <w:rPr>
          <w:rStyle w:val="libFootnotenumChar"/>
          <w:rtl/>
        </w:rPr>
        <w:t>(9)</w:t>
      </w:r>
      <w:r w:rsidRPr="00C9040A">
        <w:rPr>
          <w:rtl/>
          <w:lang w:bidi="fa-IR"/>
        </w:rPr>
        <w:t xml:space="preserve"> فِي ذَاتِ يَدِهِ </w:t>
      </w:r>
      <w:r w:rsidR="006C577F" w:rsidRPr="006C577F">
        <w:rPr>
          <w:rStyle w:val="libFootnotenumChar"/>
          <w:rtl/>
        </w:rPr>
        <w:t>(10)</w:t>
      </w:r>
      <w:r w:rsidRPr="00C9040A">
        <w:rPr>
          <w:rtl/>
          <w:lang w:bidi="fa-IR"/>
        </w:rPr>
        <w:t xml:space="preserve"> ، وَالْإِنْصَافُ مِنْ نَفْسِهِ ، وَذِكْرُ اللهِ كَثِيراً ؛ أَمَا إِنِّي لَا</w:t>
      </w:r>
      <w:r>
        <w:rPr>
          <w:rFonts w:hint="cs"/>
          <w:rtl/>
          <w:lang w:bidi="fa-IR"/>
        </w:rPr>
        <w:t xml:space="preserve"> </w:t>
      </w:r>
      <w:r w:rsidRPr="00C9040A">
        <w:rPr>
          <w:rtl/>
          <w:lang w:bidi="fa-IR"/>
        </w:rPr>
        <w:t xml:space="preserve">أَقُولُ </w:t>
      </w:r>
      <w:r w:rsidR="006C577F" w:rsidRPr="006C577F">
        <w:rPr>
          <w:rStyle w:val="libFootnotenumChar"/>
          <w:rtl/>
        </w:rPr>
        <w:t>(11)</w:t>
      </w:r>
      <w:r w:rsidRPr="00C9040A">
        <w:rPr>
          <w:rtl/>
          <w:lang w:bidi="fa-IR"/>
        </w:rPr>
        <w:t xml:space="preserve"> : « سُبْحَانَ اللهِ ، وَالْحَ</w:t>
      </w:r>
      <w:r w:rsidR="000A2999">
        <w:rPr>
          <w:rtl/>
          <w:lang w:bidi="fa-IR"/>
        </w:rPr>
        <w:t>مْدُ لِلّهِ ، وَلَا إِلهَ إِل</w:t>
      </w:r>
      <w:r w:rsidR="000A2999">
        <w:rPr>
          <w:rFonts w:hint="cs"/>
          <w:rtl/>
          <w:lang w:bidi="fa-IR"/>
        </w:rPr>
        <w:t>َّ</w:t>
      </w:r>
      <w:r w:rsidR="000A2999">
        <w:rPr>
          <w:rtl/>
          <w:lang w:bidi="fa-IR"/>
        </w:rPr>
        <w:t>ا</w:t>
      </w:r>
      <w:r w:rsidRPr="00C9040A">
        <w:rPr>
          <w:rtl/>
          <w:lang w:bidi="fa-IR"/>
        </w:rPr>
        <w:t xml:space="preserve"> اللهُ </w:t>
      </w:r>
      <w:r w:rsidR="006C577F" w:rsidRPr="006C577F">
        <w:rPr>
          <w:rStyle w:val="libFootnotenumChar"/>
          <w:rtl/>
        </w:rPr>
        <w:t>(12)</w:t>
      </w:r>
      <w:r w:rsidRPr="00C9040A">
        <w:rPr>
          <w:rtl/>
          <w:lang w:bidi="fa-IR"/>
        </w:rPr>
        <w:t xml:space="preserve"> » ، وَلكِنْ ذِكْرُ اللهِ عِنْدَ‌</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ز ، ف » : « ذلك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ج » وحاشية « ف » والوافي : « هممت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 إذا هجمت ، على بناء المعلوم أو المجهول</w:t>
      </w:r>
      <w:r w:rsidR="008A74EB">
        <w:rPr>
          <w:rtl/>
        </w:rPr>
        <w:t xml:space="preserve"> ..</w:t>
      </w:r>
      <w:r w:rsidR="008A74EB" w:rsidRPr="00C9040A">
        <w:rPr>
          <w:rtl/>
        </w:rPr>
        <w:t>. وفي بعض النسخ : إذا هممتَ. والأوّل أكثر وأظهر »</w:t>
      </w:r>
      <w:r w:rsidR="008A74EB">
        <w:rPr>
          <w:rtl/>
        </w:rPr>
        <w:t>.</w:t>
      </w:r>
    </w:p>
    <w:tbl>
      <w:tblPr>
        <w:tblStyle w:val="TableGrid"/>
        <w:bidiVisual/>
        <w:tblW w:w="0" w:type="auto"/>
        <w:tblLook w:val="04A0" w:firstRow="1" w:lastRow="0" w:firstColumn="1" w:lastColumn="0" w:noHBand="0" w:noVBand="1"/>
      </w:tblPr>
      <w:tblGrid>
        <w:gridCol w:w="4006"/>
        <w:gridCol w:w="4006"/>
      </w:tblGrid>
      <w:tr w:rsidR="000A2999" w:rsidTr="000A2999">
        <w:tc>
          <w:tcPr>
            <w:tcW w:w="4006" w:type="dxa"/>
          </w:tcPr>
          <w:p w:rsidR="000A2999" w:rsidRDefault="000A2999" w:rsidP="004A4E41">
            <w:pPr>
              <w:pStyle w:val="libFootnote0"/>
              <w:rPr>
                <w:rtl/>
              </w:rPr>
            </w:pPr>
            <w:r>
              <w:rPr>
                <w:rtl/>
              </w:rPr>
              <w:t>(3).</w:t>
            </w:r>
            <w:r w:rsidRPr="00C9040A">
              <w:rPr>
                <w:rtl/>
              </w:rPr>
              <w:t xml:space="preserve"> في « ب ، ف » : « طاعته »</w:t>
            </w:r>
            <w:r>
              <w:rPr>
                <w:rtl/>
              </w:rPr>
              <w:t>.</w:t>
            </w:r>
          </w:p>
        </w:tc>
        <w:tc>
          <w:tcPr>
            <w:tcW w:w="4006" w:type="dxa"/>
          </w:tcPr>
          <w:p w:rsidR="000A2999" w:rsidRDefault="000A2999" w:rsidP="004A4E41">
            <w:pPr>
              <w:pStyle w:val="libFootnote0"/>
              <w:rPr>
                <w:rtl/>
              </w:rPr>
            </w:pPr>
            <w:r>
              <w:rPr>
                <w:rtl/>
              </w:rPr>
              <w:t>(4).</w:t>
            </w:r>
            <w:r w:rsidRPr="00C9040A">
              <w:rPr>
                <w:rtl/>
              </w:rPr>
              <w:t xml:space="preserve"> في « ز ، ص ، ف » </w:t>
            </w:r>
            <w:r>
              <w:rPr>
                <w:rtl/>
              </w:rPr>
              <w:t>: -</w:t>
            </w:r>
            <w:r w:rsidRPr="00C9040A">
              <w:rPr>
                <w:rtl/>
              </w:rPr>
              <w:t xml:space="preserve"> « على »</w:t>
            </w:r>
            <w:r>
              <w:rPr>
                <w:rtl/>
              </w:rPr>
              <w:t>.</w:t>
            </w:r>
          </w:p>
        </w:tc>
      </w:tr>
    </w:tbl>
    <w:p w:rsidR="008A74EB" w:rsidRPr="00C9040A" w:rsidRDefault="006C577F" w:rsidP="004A4E41">
      <w:pPr>
        <w:pStyle w:val="libFootnote0"/>
        <w:rPr>
          <w:rtl/>
          <w:lang w:bidi="fa-IR"/>
        </w:rPr>
      </w:pPr>
      <w:r>
        <w:rPr>
          <w:rtl/>
        </w:rPr>
        <w:t>(5).</w:t>
      </w:r>
      <w:r w:rsidR="008A74EB" w:rsidRPr="00C9040A">
        <w:rPr>
          <w:rtl/>
        </w:rPr>
        <w:t xml:space="preserve"> في « ب ، ف » : « معصيته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معاني الأخبار</w:t>
      </w:r>
      <w:r w:rsidR="008A74EB" w:rsidRPr="00C9040A">
        <w:rPr>
          <w:rtl/>
        </w:rPr>
        <w:t xml:space="preserve"> ، ص 192 ، ح 3 ؛ و</w:t>
      </w:r>
      <w:r w:rsidR="008A74EB" w:rsidRPr="0034021D">
        <w:rPr>
          <w:rStyle w:val="libFootnoteBoldChar"/>
          <w:rtl/>
        </w:rPr>
        <w:t>الأمالي للمفيد</w:t>
      </w:r>
      <w:r w:rsidR="008A74EB" w:rsidRPr="00C9040A">
        <w:rPr>
          <w:rtl/>
        </w:rPr>
        <w:t xml:space="preserve"> ، ص 88 ، المجلس 10 ، ح 4 ، بسند آخر عن الحسن بن محبوب ، مع اختلاف يسير ؛ وفي </w:t>
      </w:r>
      <w:r w:rsidR="008A74EB" w:rsidRPr="0034021D">
        <w:rPr>
          <w:rStyle w:val="libFootnoteBoldChar"/>
          <w:rtl/>
        </w:rPr>
        <w:t>الأمالي للمفيد</w:t>
      </w:r>
      <w:r w:rsidR="008A74EB" w:rsidRPr="00C9040A">
        <w:rPr>
          <w:rtl/>
        </w:rPr>
        <w:t xml:space="preserve"> ، ص 317 ، المجلس 38 ، ح 1 ؛ </w:t>
      </w:r>
      <w:r w:rsidR="008A74EB" w:rsidRPr="00AC2E2F">
        <w:rPr>
          <w:rStyle w:val="libFootnoteBoldChar"/>
          <w:rtl/>
        </w:rPr>
        <w:t>والأمالي للطوسي</w:t>
      </w:r>
      <w:r w:rsidR="008A74EB" w:rsidRPr="00C9040A">
        <w:rPr>
          <w:rtl/>
        </w:rPr>
        <w:t xml:space="preserve"> ، ص 88 ، المجلس 3 ، ح 44 ؛ وص 665 ، المجلس 35 ، ح 37 ، بسند آخر عن هشام بن سالم ، عن أبي عبيدة الحذّاء ، عن أبي عبد الله </w:t>
      </w:r>
      <w:r w:rsidR="00117575" w:rsidRPr="00117575">
        <w:rPr>
          <w:rStyle w:val="libFootnoteAlaemChar"/>
          <w:rtl/>
        </w:rPr>
        <w:t>عليه‌السلام</w:t>
      </w:r>
      <w:r w:rsidR="008A74EB" w:rsidRPr="00C9040A">
        <w:rPr>
          <w:rtl/>
        </w:rPr>
        <w:t xml:space="preserve"> ، مع اختلاف. </w:t>
      </w:r>
      <w:r w:rsidR="008A74EB" w:rsidRPr="00993B55">
        <w:rPr>
          <w:rStyle w:val="libFootnoteBoldChar"/>
          <w:rtl/>
        </w:rPr>
        <w:t>الكافي</w:t>
      </w:r>
      <w:r w:rsidR="008A74EB" w:rsidRPr="00C9040A">
        <w:rPr>
          <w:rtl/>
        </w:rPr>
        <w:t xml:space="preserve"> ، كتاب الإيمان والكفر ، باب حقّ المؤمن على أخيه وأداء حقّه ، ح 2058 ، بسند آخر ، مع اختلاف يسير. راجع : </w:t>
      </w:r>
      <w:r w:rsidR="008A74EB" w:rsidRPr="00993B55">
        <w:rPr>
          <w:rStyle w:val="libFootnoteBoldChar"/>
          <w:rtl/>
        </w:rPr>
        <w:t>الكافي</w:t>
      </w:r>
      <w:r w:rsidR="008A74EB" w:rsidRPr="00C9040A">
        <w:rPr>
          <w:rtl/>
        </w:rPr>
        <w:t xml:space="preserve"> ، باب اجتناب المحارم ، ح 1654 ؛ </w:t>
      </w:r>
      <w:r w:rsidR="008A74EB" w:rsidRPr="00993B55">
        <w:rPr>
          <w:rStyle w:val="libFootnoteBoldChar"/>
          <w:rtl/>
        </w:rPr>
        <w:t>الفقيه</w:t>
      </w:r>
      <w:r w:rsidR="008A74EB" w:rsidRPr="00C9040A">
        <w:rPr>
          <w:rtl/>
        </w:rPr>
        <w:t xml:space="preserve"> ، ج 4 ، ص 358 ، ح 5762 ؛ و</w:t>
      </w:r>
      <w:r w:rsidR="008A74EB" w:rsidRPr="00993B55">
        <w:rPr>
          <w:rStyle w:val="libFootnoteBoldChar"/>
          <w:rtl/>
        </w:rPr>
        <w:t>الخصال</w:t>
      </w:r>
      <w:r w:rsidR="008A74EB" w:rsidRPr="00C9040A">
        <w:rPr>
          <w:rtl/>
        </w:rPr>
        <w:t xml:space="preserve"> ، ص 133 ، باب الثلاثة ، ح 142 </w:t>
      </w:r>
      <w:r w:rsidR="00DE6C67">
        <w:rPr>
          <w:rFonts w:hint="cs"/>
          <w:rtl/>
        </w:rPr>
        <w:t>.</w:t>
      </w:r>
      <w:r w:rsidR="008A74EB" w:rsidRPr="00993B55">
        <w:rPr>
          <w:rStyle w:val="libFootnoteBoldChar"/>
          <w:rtl/>
        </w:rPr>
        <w:t>الوافي</w:t>
      </w:r>
      <w:r w:rsidR="008A74EB" w:rsidRPr="00C9040A">
        <w:rPr>
          <w:rtl/>
        </w:rPr>
        <w:t xml:space="preserve"> ، ج 4 ، ص 474 ، ح 2383 ؛ </w:t>
      </w:r>
      <w:r w:rsidR="008A74EB" w:rsidRPr="00993B55">
        <w:rPr>
          <w:rStyle w:val="libFootnoteBoldChar"/>
          <w:rtl/>
        </w:rPr>
        <w:t>الوسائل</w:t>
      </w:r>
      <w:r w:rsidR="008A74EB" w:rsidRPr="00C9040A">
        <w:rPr>
          <w:rtl/>
        </w:rPr>
        <w:t xml:space="preserve"> ، ج 15 ، ص 255 ، ذيل ح 20437 ؛ </w:t>
      </w:r>
      <w:r w:rsidR="008A74EB" w:rsidRPr="00993B55">
        <w:rPr>
          <w:rStyle w:val="libFootnoteBoldChar"/>
          <w:rtl/>
        </w:rPr>
        <w:t>البحار</w:t>
      </w:r>
      <w:r w:rsidR="008A74EB" w:rsidRPr="00C9040A">
        <w:rPr>
          <w:rtl/>
        </w:rPr>
        <w:t xml:space="preserve"> ، ج 75 ، ص 34 ، ح 29.</w:t>
      </w:r>
    </w:p>
    <w:p w:rsidR="008A74EB" w:rsidRPr="00C9040A" w:rsidRDefault="006C577F" w:rsidP="004A4E41">
      <w:pPr>
        <w:pStyle w:val="libFootnote0"/>
        <w:rPr>
          <w:rtl/>
          <w:lang w:bidi="fa-IR"/>
        </w:rPr>
      </w:pPr>
      <w:r>
        <w:rPr>
          <w:rtl/>
        </w:rPr>
        <w:t>(7).</w:t>
      </w:r>
      <w:r w:rsidR="008A74EB" w:rsidRPr="00C9040A">
        <w:rPr>
          <w:rtl/>
        </w:rPr>
        <w:t xml:space="preserve"> السند معلّق على سابقه. ويروي عن ابن محبوب ، عليّ ، عن أبيه.</w:t>
      </w:r>
    </w:p>
    <w:p w:rsidR="008A74EB" w:rsidRPr="00C9040A" w:rsidRDefault="006C577F" w:rsidP="004A4E41">
      <w:pPr>
        <w:pStyle w:val="libFootnote0"/>
        <w:rPr>
          <w:rtl/>
          <w:lang w:bidi="fa-IR"/>
        </w:rPr>
      </w:pPr>
      <w:r>
        <w:rPr>
          <w:rtl/>
        </w:rPr>
        <w:t>(8).</w:t>
      </w:r>
      <w:r w:rsidR="008A74EB" w:rsidRPr="00C9040A">
        <w:rPr>
          <w:rtl/>
        </w:rPr>
        <w:t xml:space="preserve"> قرأها المازندراني على بناء المعلوم ، وردّه المجلسي حيث قال : « ومن قرأ على بناء المعلوم من قولهم : حَرُمْتُهُ إذا امتنعت فعله ، فقد أخطأ واشتبه عليه ما في كتب اللغة »</w:t>
      </w:r>
      <w:r w:rsidR="008A74EB">
        <w:rPr>
          <w:rtl/>
        </w:rPr>
        <w:t>.</w:t>
      </w:r>
    </w:p>
    <w:tbl>
      <w:tblPr>
        <w:tblStyle w:val="TableGrid"/>
        <w:bidiVisual/>
        <w:tblW w:w="0" w:type="auto"/>
        <w:tblLook w:val="04A0" w:firstRow="1" w:lastRow="0" w:firstColumn="1" w:lastColumn="0" w:noHBand="0" w:noVBand="1"/>
      </w:tblPr>
      <w:tblGrid>
        <w:gridCol w:w="4006"/>
        <w:gridCol w:w="4006"/>
      </w:tblGrid>
      <w:tr w:rsidR="00A86CDD" w:rsidTr="00A86CDD">
        <w:tc>
          <w:tcPr>
            <w:tcW w:w="4006" w:type="dxa"/>
          </w:tcPr>
          <w:p w:rsidR="00A86CDD" w:rsidRDefault="00A86CDD" w:rsidP="004A4E41">
            <w:pPr>
              <w:pStyle w:val="libFootnote0"/>
              <w:rPr>
                <w:rtl/>
              </w:rPr>
            </w:pPr>
            <w:r>
              <w:rPr>
                <w:rtl/>
              </w:rPr>
              <w:t>(9).</w:t>
            </w:r>
            <w:r w:rsidRPr="00C9040A">
              <w:rPr>
                <w:rtl/>
              </w:rPr>
              <w:t xml:space="preserve"> في « ب » : « المساواة »</w:t>
            </w:r>
            <w:r>
              <w:rPr>
                <w:rtl/>
              </w:rPr>
              <w:t>.</w:t>
            </w:r>
          </w:p>
        </w:tc>
        <w:tc>
          <w:tcPr>
            <w:tcW w:w="4006" w:type="dxa"/>
          </w:tcPr>
          <w:p w:rsidR="00A86CDD" w:rsidRDefault="00A86CDD" w:rsidP="004A4E41">
            <w:pPr>
              <w:pStyle w:val="libFootnote0"/>
              <w:rPr>
                <w:rtl/>
              </w:rPr>
            </w:pPr>
            <w:r>
              <w:rPr>
                <w:rtl/>
              </w:rPr>
              <w:t>(10).</w:t>
            </w:r>
            <w:r w:rsidRPr="00C9040A">
              <w:rPr>
                <w:rtl/>
              </w:rPr>
              <w:t xml:space="preserve"> في الخصال : + « بالله »</w:t>
            </w:r>
            <w:r>
              <w:rPr>
                <w:rtl/>
              </w:rPr>
              <w:t>.</w:t>
            </w:r>
          </w:p>
        </w:tc>
      </w:tr>
    </w:tbl>
    <w:p w:rsidR="008A74EB" w:rsidRPr="00C9040A" w:rsidRDefault="006C577F" w:rsidP="004A4E41">
      <w:pPr>
        <w:pStyle w:val="libFootnote0"/>
        <w:rPr>
          <w:rtl/>
          <w:lang w:bidi="fa-IR"/>
        </w:rPr>
      </w:pPr>
      <w:r>
        <w:rPr>
          <w:rtl/>
        </w:rPr>
        <w:t>(11).</w:t>
      </w:r>
      <w:r w:rsidR="008A74EB" w:rsidRPr="00C9040A">
        <w:rPr>
          <w:rtl/>
        </w:rPr>
        <w:t xml:space="preserve"> في الخصال والمعاني : + « لكم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في « ج ، ض ، بر ، بس ، بف » والوافي والتمحيص والتحف </w:t>
      </w:r>
      <w:r w:rsidR="008A74EB">
        <w:rPr>
          <w:rtl/>
        </w:rPr>
        <w:t xml:space="preserve">: </w:t>
      </w:r>
      <w:r w:rsidR="0084262C">
        <w:rPr>
          <w:rtl/>
        </w:rPr>
        <w:t>-</w:t>
      </w:r>
      <w:r w:rsidR="008A74EB" w:rsidRPr="00C9040A">
        <w:rPr>
          <w:rtl/>
        </w:rPr>
        <w:t xml:space="preserve"> « ولا إله </w:t>
      </w:r>
      <w:r w:rsidR="002B4FD3">
        <w:rPr>
          <w:rtl/>
        </w:rPr>
        <w:t>إل</w:t>
      </w:r>
      <w:r w:rsidR="002B4FD3">
        <w:rPr>
          <w:rFonts w:hint="cs"/>
          <w:rtl/>
        </w:rPr>
        <w:t>ّ</w:t>
      </w:r>
      <w:r w:rsidR="002B4FD3">
        <w:rPr>
          <w:rtl/>
        </w:rPr>
        <w:t>ا</w:t>
      </w:r>
      <w:r w:rsidR="008A74EB">
        <w:rPr>
          <w:rtl/>
        </w:rPr>
        <w:t xml:space="preserve"> الله</w:t>
      </w:r>
      <w:r w:rsidR="008A74EB" w:rsidRPr="00C9040A">
        <w:rPr>
          <w:rtl/>
        </w:rPr>
        <w:t xml:space="preserve"> »</w:t>
      </w:r>
      <w:r w:rsidR="008A74EB">
        <w:rPr>
          <w:rtl/>
        </w:rPr>
        <w:t>.</w:t>
      </w:r>
      <w:r w:rsidR="008A74EB" w:rsidRPr="00C9040A">
        <w:rPr>
          <w:rtl/>
        </w:rPr>
        <w:t xml:space="preserve"> وفي « ز ، ص » والوسائل </w:t>
      </w:r>
      <w:r w:rsidR="001C4C96">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مَا أَحَلَّ </w:t>
      </w:r>
      <w:r w:rsidR="006C577F" w:rsidRPr="006C577F">
        <w:rPr>
          <w:rStyle w:val="libFootnotenumChar"/>
          <w:rtl/>
        </w:rPr>
        <w:t>(1)</w:t>
      </w:r>
      <w:r w:rsidRPr="00C9040A">
        <w:rPr>
          <w:rtl/>
          <w:lang w:bidi="fa-IR"/>
        </w:rPr>
        <w:t xml:space="preserve"> لَهُ ، وَذِكْرُ اللهِ عِنْدَ مَا حَرَّمَ </w:t>
      </w:r>
      <w:r w:rsidR="006C577F" w:rsidRPr="006C577F">
        <w:rPr>
          <w:rStyle w:val="libFootnotenumChar"/>
          <w:rtl/>
        </w:rPr>
        <w:t>(2)</w:t>
      </w:r>
      <w:r w:rsidRPr="00C9040A">
        <w:rPr>
          <w:rtl/>
          <w:lang w:bidi="fa-IR"/>
        </w:rPr>
        <w:t xml:space="preserve"> عَلَيْهِ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59295A">
        <w:rPr>
          <w:rtl/>
        </w:rPr>
        <w:t>1956</w:t>
      </w:r>
      <w:r w:rsidRPr="00261CB0">
        <w:rPr>
          <w:rStyle w:val="libBold2Char"/>
          <w:rtl/>
        </w:rPr>
        <w:t xml:space="preserve"> / 10.</w:t>
      </w:r>
      <w:r w:rsidRPr="00C9040A">
        <w:rPr>
          <w:rtl/>
          <w:lang w:bidi="fa-IR"/>
        </w:rPr>
        <w:t xml:space="preserve"> عِدَّةٌ مِنْ أَصْحَابِنَا ، عَنْ أَحْمَدَ بْنِ أَبِي عَبْدِ اللهِ ، عَنْ يَحْيَى بْنِ إِبْرَاهِيمَ بْنِ أَبِي الْبِلَادِ ، عَنْ أَبِيهِ ، عَنْ جَدِّهِ أَبِي الْبِلَادِ </w:t>
      </w:r>
      <w:r w:rsidR="006C577F" w:rsidRPr="006C577F">
        <w:rPr>
          <w:rStyle w:val="libFootnotenumChar"/>
          <w:rtl/>
        </w:rPr>
        <w:t>(4)</w:t>
      </w:r>
      <w:r w:rsidRPr="00C9040A">
        <w:rPr>
          <w:rtl/>
          <w:lang w:bidi="fa-IR"/>
        </w:rPr>
        <w:t xml:space="preserve"> رَفَعَهُ ، قَالَ :</w:t>
      </w:r>
    </w:p>
    <w:p w:rsidR="008A74EB" w:rsidRPr="00C9040A" w:rsidRDefault="008A74EB" w:rsidP="008A74EB">
      <w:pPr>
        <w:pStyle w:val="libNormal"/>
        <w:rPr>
          <w:rtl/>
          <w:lang w:bidi="fa-IR"/>
        </w:rPr>
      </w:pPr>
      <w:r w:rsidRPr="00C9040A">
        <w:rPr>
          <w:rtl/>
          <w:lang w:bidi="fa-IR"/>
        </w:rPr>
        <w:t xml:space="preserve">جَاءَ أَعْرَابِيٌّ إِلَى النَّبِيِّ </w:t>
      </w:r>
      <w:r w:rsidR="004A4E41" w:rsidRPr="004A4E41">
        <w:rPr>
          <w:rStyle w:val="libAlaemChar"/>
          <w:rtl/>
        </w:rPr>
        <w:t>صلى‌الله‌عليه‌وآله</w:t>
      </w:r>
      <w:r w:rsidRPr="00C9040A">
        <w:rPr>
          <w:rtl/>
          <w:lang w:bidi="fa-IR"/>
        </w:rPr>
        <w:t xml:space="preserve"> وَهُوَ يُرِيدُ بَعْضَ غَزَوَاتِهِ ، فَأَخَذَ بِغَرْزِ </w:t>
      </w:r>
      <w:r w:rsidR="006C577F" w:rsidRPr="006C577F">
        <w:rPr>
          <w:rStyle w:val="libFootnotenumChar"/>
          <w:rtl/>
        </w:rPr>
        <w:t>(5)</w:t>
      </w:r>
      <w:r w:rsidRPr="00C9040A">
        <w:rPr>
          <w:rtl/>
          <w:lang w:bidi="fa-IR"/>
        </w:rPr>
        <w:t xml:space="preserve"> رَاحِلَتِهِ ، فَقَالَ :</w:t>
      </w:r>
      <w:r>
        <w:rPr>
          <w:rFonts w:hint="cs"/>
          <w:rtl/>
          <w:lang w:bidi="fa-IR"/>
        </w:rPr>
        <w:t xml:space="preserve"> </w:t>
      </w:r>
      <w:r w:rsidRPr="00C9040A">
        <w:rPr>
          <w:rtl/>
          <w:lang w:bidi="fa-IR"/>
        </w:rPr>
        <w:t xml:space="preserve">يَا رَسُولَ اللهِ ، عَلِّمْنِي عَمَلاً أَدْخُلُ بِهِ الْجَنَّةَ ، فَقَالَ : « مَا أَحْبَبْتَ أَنْ يَأْتِيَهُ </w:t>
      </w:r>
      <w:r w:rsidR="006C577F" w:rsidRPr="006C577F">
        <w:rPr>
          <w:rStyle w:val="libFootnotenumChar"/>
          <w:rtl/>
        </w:rPr>
        <w:t>(6)</w:t>
      </w:r>
      <w:r w:rsidRPr="005B567D">
        <w:rPr>
          <w:rStyle w:val="libFootnotenumChar"/>
          <w:rtl/>
        </w:rPr>
        <w:t xml:space="preserve"> </w:t>
      </w:r>
      <w:r w:rsidRPr="00C9040A">
        <w:rPr>
          <w:rtl/>
          <w:lang w:bidi="fa-IR"/>
        </w:rPr>
        <w:t>النَّاسُ إِلَيْكَ ، فَأْتِهِ إِلَيْهِمْ ؛ وَمَا كَرِهْتَ أَنْ يَأْتِيَهُ النَّاسُ إِلَيْكَ ، فَلَا تَأْتِهِ إِلَيْهِمْ ، خَلِّ سَبِيلَ الرَّاحِلَةِ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59295A">
        <w:rPr>
          <w:rtl/>
        </w:rPr>
        <w:t>1957</w:t>
      </w:r>
      <w:r w:rsidRPr="00261CB0">
        <w:rPr>
          <w:rStyle w:val="libBold2Char"/>
          <w:rtl/>
        </w:rPr>
        <w:t xml:space="preserve"> / 11.</w:t>
      </w:r>
      <w:r w:rsidRPr="00C9040A">
        <w:rPr>
          <w:rtl/>
          <w:lang w:bidi="fa-IR"/>
        </w:rPr>
        <w:t xml:space="preserve"> أَبُو عَلِيٍّ الْأَشْعَرِيُّ ، عَنِ الْحَسَنِ بْنِ عَلِيٍّ الْكُوفِيِّ ، عَنْ عُبَيْسِ بْنِ هِشَامٍ ، عَنْ عَبْدِ الْكَرِيمِ ، عَنِ الْحَلَبِيِّ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الْعَدْلُ أَحْلى مِنَ الْمَاءِ يُصِيبُهُ الظَّمْآنُ ؛ مَا أَوْسَعَ الْعَدْلَ‌</w:t>
      </w:r>
    </w:p>
    <w:p w:rsidR="008A74EB" w:rsidRPr="00C9040A" w:rsidRDefault="008A74EB" w:rsidP="008A74EB">
      <w:pPr>
        <w:pStyle w:val="libLine"/>
        <w:rPr>
          <w:rtl/>
          <w:lang w:bidi="fa-IR"/>
        </w:rPr>
      </w:pPr>
      <w:r w:rsidRPr="00C9040A">
        <w:rPr>
          <w:rtl/>
          <w:lang w:bidi="fa-IR"/>
        </w:rPr>
        <w:t>__________________</w:t>
      </w:r>
    </w:p>
    <w:p w:rsidR="008A74EB" w:rsidRPr="00C9040A" w:rsidRDefault="00D70010" w:rsidP="004A4E41">
      <w:pPr>
        <w:pStyle w:val="libFootnote0"/>
        <w:rPr>
          <w:rtl/>
          <w:lang w:bidi="fa-IR"/>
        </w:rPr>
      </w:pPr>
      <w:r>
        <w:rPr>
          <w:rFonts w:hint="cs"/>
          <w:rtl/>
        </w:rPr>
        <w:t xml:space="preserve">= </w:t>
      </w:r>
      <w:r w:rsidR="008A74EB" w:rsidRPr="00C9040A">
        <w:rPr>
          <w:rtl/>
        </w:rPr>
        <w:t>والخصال والمعاني : + « والله أكبر »</w:t>
      </w:r>
      <w:r w:rsidR="008A74EB">
        <w:rPr>
          <w:rtl/>
        </w:rPr>
        <w:t>.</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ص » : « ا</w:t>
      </w:r>
      <w:r w:rsidR="00D70010">
        <w:rPr>
          <w:rFonts w:hint="cs"/>
          <w:rtl/>
        </w:rPr>
        <w:t>ُ</w:t>
      </w:r>
      <w:r w:rsidR="008A74EB" w:rsidRPr="00C9040A">
        <w:rPr>
          <w:rtl/>
        </w:rPr>
        <w:t>حلّ » على بناء المفعول. وفي « ف » : + « الله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ص » : « حُرّم » على بناء المفعول.</w:t>
      </w:r>
    </w:p>
    <w:p w:rsidR="008A74EB" w:rsidRPr="00C9040A" w:rsidRDefault="006C577F" w:rsidP="004A4E41">
      <w:pPr>
        <w:pStyle w:val="libFootnote0"/>
        <w:rPr>
          <w:rtl/>
          <w:lang w:bidi="fa-IR"/>
        </w:rPr>
      </w:pPr>
      <w:r>
        <w:rPr>
          <w:rtl/>
        </w:rPr>
        <w:t>(3).</w:t>
      </w:r>
      <w:r w:rsidR="008A74EB" w:rsidRPr="00C9040A">
        <w:rPr>
          <w:rtl/>
        </w:rPr>
        <w:t xml:space="preserve"> </w:t>
      </w:r>
      <w:r w:rsidR="008A74EB" w:rsidRPr="00993B55">
        <w:rPr>
          <w:rStyle w:val="libFootnoteBoldChar"/>
          <w:rtl/>
        </w:rPr>
        <w:t>الخصال</w:t>
      </w:r>
      <w:r w:rsidR="008A74EB" w:rsidRPr="00C9040A">
        <w:rPr>
          <w:rtl/>
        </w:rPr>
        <w:t xml:space="preserve"> ، ص 128 ، باب الثلاثة ، ح 130 ؛ و</w:t>
      </w:r>
      <w:r w:rsidR="008A74EB" w:rsidRPr="00993B55">
        <w:rPr>
          <w:rStyle w:val="libFootnoteBoldChar"/>
          <w:rtl/>
        </w:rPr>
        <w:t>معاني الأخبار</w:t>
      </w:r>
      <w:r w:rsidR="008A74EB" w:rsidRPr="00C9040A">
        <w:rPr>
          <w:rtl/>
        </w:rPr>
        <w:t xml:space="preserve"> ، ص 192 ، ح 1 ، بسند آخر عن أحمد بن محمّد ، عن الحسن بن محبوب. </w:t>
      </w:r>
      <w:r w:rsidR="008A74EB" w:rsidRPr="00993B55">
        <w:rPr>
          <w:rStyle w:val="libFootnoteBoldChar"/>
          <w:rtl/>
        </w:rPr>
        <w:t>التمحيص</w:t>
      </w:r>
      <w:r w:rsidR="008A74EB" w:rsidRPr="00C9040A">
        <w:rPr>
          <w:rtl/>
        </w:rPr>
        <w:t xml:space="preserve"> ، ص 67 ، ح 157 ، مرسلاً عن أبي جعفر ، عن أميرالمؤمنين </w:t>
      </w:r>
      <w:r w:rsidR="00117575" w:rsidRPr="00117575">
        <w:rPr>
          <w:rStyle w:val="libFootnoteAlaemChar"/>
          <w:rtl/>
        </w:rPr>
        <w:t>عليهما‌السلام</w:t>
      </w:r>
      <w:r w:rsidR="008A74EB" w:rsidRPr="00C9040A">
        <w:rPr>
          <w:rtl/>
        </w:rPr>
        <w:t xml:space="preserve">. </w:t>
      </w:r>
      <w:r w:rsidR="008A74EB" w:rsidRPr="00993B55">
        <w:rPr>
          <w:rStyle w:val="libFootnoteBoldChar"/>
          <w:rtl/>
        </w:rPr>
        <w:t>تحف العقول</w:t>
      </w:r>
      <w:r w:rsidR="008A74EB" w:rsidRPr="00C9040A">
        <w:rPr>
          <w:rtl/>
        </w:rPr>
        <w:t xml:space="preserve"> ، ص 207 ، عن أمير المؤمنين </w:t>
      </w:r>
      <w:r w:rsidR="00117575" w:rsidRPr="00117575">
        <w:rPr>
          <w:rStyle w:val="libFootnoteAlaemChar"/>
          <w:rtl/>
        </w:rPr>
        <w:t xml:space="preserve">عليه‌السلام </w:t>
      </w:r>
      <w:r w:rsidR="008A74EB" w:rsidRPr="00C9040A">
        <w:rPr>
          <w:rtl/>
        </w:rPr>
        <w:t xml:space="preserve"> ، وفيهما مع اختلاف يسير </w:t>
      </w:r>
      <w:r w:rsidR="00EF5037">
        <w:rPr>
          <w:rFonts w:hint="cs"/>
          <w:rtl/>
        </w:rPr>
        <w:t>.</w:t>
      </w:r>
      <w:r w:rsidR="008A74EB" w:rsidRPr="00993B55">
        <w:rPr>
          <w:rStyle w:val="libFootnoteBoldChar"/>
          <w:rtl/>
        </w:rPr>
        <w:t>الوافي</w:t>
      </w:r>
      <w:r w:rsidR="008A74EB" w:rsidRPr="00C9040A">
        <w:rPr>
          <w:rtl/>
        </w:rPr>
        <w:t xml:space="preserve"> ، ج 4 ، ص 475 ، ح 2384 ؛ </w:t>
      </w:r>
      <w:r w:rsidR="008A74EB" w:rsidRPr="00993B55">
        <w:rPr>
          <w:rStyle w:val="libFootnoteBoldChar"/>
          <w:rtl/>
        </w:rPr>
        <w:t>الوسائل</w:t>
      </w:r>
      <w:r w:rsidR="008A74EB" w:rsidRPr="00C9040A">
        <w:rPr>
          <w:rtl/>
        </w:rPr>
        <w:t xml:space="preserve"> ، ج 15 ، ص 255 ، ذيل ح 20435 ؛ </w:t>
      </w:r>
      <w:r w:rsidR="008A74EB" w:rsidRPr="00993B55">
        <w:rPr>
          <w:rStyle w:val="libFootnoteBoldChar"/>
          <w:rtl/>
        </w:rPr>
        <w:t>البحار</w:t>
      </w:r>
      <w:r w:rsidR="008A74EB" w:rsidRPr="00C9040A">
        <w:rPr>
          <w:rtl/>
        </w:rPr>
        <w:t xml:space="preserve"> ، ج 75 ، ص 35 ، ح 30.</w:t>
      </w:r>
    </w:p>
    <w:p w:rsidR="008A74EB" w:rsidRPr="00C9040A" w:rsidRDefault="006C577F" w:rsidP="004A4E41">
      <w:pPr>
        <w:pStyle w:val="libFootnote0"/>
        <w:rPr>
          <w:rtl/>
          <w:lang w:bidi="fa-IR"/>
        </w:rPr>
      </w:pPr>
      <w:r>
        <w:rPr>
          <w:rtl/>
        </w:rPr>
        <w:t>(4).</w:t>
      </w:r>
      <w:r w:rsidR="008A74EB" w:rsidRPr="00C9040A">
        <w:rPr>
          <w:rtl/>
        </w:rPr>
        <w:t xml:space="preserve"> في البحار </w:t>
      </w:r>
      <w:r w:rsidR="008A74EB">
        <w:rPr>
          <w:rtl/>
        </w:rPr>
        <w:t xml:space="preserve">: </w:t>
      </w:r>
      <w:r w:rsidR="0084262C">
        <w:rPr>
          <w:rtl/>
        </w:rPr>
        <w:t>-</w:t>
      </w:r>
      <w:r w:rsidR="008A74EB" w:rsidRPr="00C9040A">
        <w:rPr>
          <w:rtl/>
        </w:rPr>
        <w:t xml:space="preserve"> « عن أبيه ، عن جدّه أبي البلاد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 الغَرْز » : رِكاب كُور الجَمل إذا كان من جِلد أو خشب. وقيل : هو الكور مطلقاً ، مثل الركاب للسرج. </w:t>
      </w:r>
      <w:r w:rsidR="008A74EB" w:rsidRPr="00993B55">
        <w:rPr>
          <w:rStyle w:val="libFootnoteBoldChar"/>
          <w:rtl/>
        </w:rPr>
        <w:t>النهاية</w:t>
      </w:r>
      <w:r w:rsidR="008A74EB" w:rsidRPr="00C9040A">
        <w:rPr>
          <w:rtl/>
        </w:rPr>
        <w:t xml:space="preserve"> ، ج 3 ، ص 359 ( غرز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 ف » : « أن تأتيه » في الموضعين وفي </w:t>
      </w:r>
      <w:r w:rsidR="008A74EB" w:rsidRPr="00993B55">
        <w:rPr>
          <w:rStyle w:val="libFootnoteBoldChar"/>
          <w:rtl/>
        </w:rPr>
        <w:t>مرآة العقول</w:t>
      </w:r>
      <w:r w:rsidR="008A74EB" w:rsidRPr="00C9040A">
        <w:rPr>
          <w:rtl/>
        </w:rPr>
        <w:t xml:space="preserve"> : « أن يأتيه</w:t>
      </w:r>
      <w:r w:rsidR="008A74EB">
        <w:rPr>
          <w:rtl/>
        </w:rPr>
        <w:t xml:space="preserve"> ..</w:t>
      </w:r>
      <w:r w:rsidR="008A74EB" w:rsidRPr="00C9040A">
        <w:rPr>
          <w:rtl/>
        </w:rPr>
        <w:t>. يمكن أن يقرأ على بناء التفعيل من قولهم : أتّيت الماء تأتية ، أي سهّلت سبيله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الزهد</w:t>
      </w:r>
      <w:r w:rsidR="008A74EB" w:rsidRPr="00C9040A">
        <w:rPr>
          <w:rtl/>
        </w:rPr>
        <w:t xml:space="preserve"> ، ص 81 ، ح 46 ، عن إبراهيم بن أبي البلاد ، عن أبيه ، عن بعض أصحابه رفع إلى النبيّ </w:t>
      </w:r>
      <w:r w:rsidR="004A4E41" w:rsidRPr="00EF5037">
        <w:rPr>
          <w:rStyle w:val="libFootnoteAlaemChar"/>
          <w:rtl/>
        </w:rPr>
        <w:t>صلى‌الله‌عليه‌وآله</w:t>
      </w:r>
      <w:r w:rsidR="008A74EB" w:rsidRPr="00C9040A">
        <w:rPr>
          <w:rtl/>
        </w:rPr>
        <w:t xml:space="preserve"> </w:t>
      </w:r>
      <w:r w:rsidR="00EF5037">
        <w:rPr>
          <w:rFonts w:hint="cs"/>
          <w:rtl/>
        </w:rPr>
        <w:t>.</w:t>
      </w:r>
      <w:r w:rsidR="008A74EB" w:rsidRPr="00993B55">
        <w:rPr>
          <w:rStyle w:val="libFootnoteBoldChar"/>
          <w:rtl/>
        </w:rPr>
        <w:t>الوافي</w:t>
      </w:r>
      <w:r w:rsidR="008A74EB" w:rsidRPr="00C9040A">
        <w:rPr>
          <w:rtl/>
        </w:rPr>
        <w:t xml:space="preserve"> ، ج 4 ، ص 476 ، ح 2386 ؛ </w:t>
      </w:r>
      <w:r w:rsidR="008A74EB" w:rsidRPr="00993B55">
        <w:rPr>
          <w:rStyle w:val="libFootnoteBoldChar"/>
          <w:rtl/>
        </w:rPr>
        <w:t>البحار</w:t>
      </w:r>
      <w:r w:rsidR="008A74EB" w:rsidRPr="00C9040A">
        <w:rPr>
          <w:rtl/>
        </w:rPr>
        <w:t xml:space="preserve"> ، ج 75 ، ص 36 ، ح 31.</w:t>
      </w:r>
    </w:p>
    <w:p w:rsidR="004B7F34" w:rsidRDefault="004B7F34" w:rsidP="004B7F34">
      <w:pPr>
        <w:pStyle w:val="libNormal"/>
        <w:rPr>
          <w:rtl/>
          <w:lang w:bidi="fa-IR"/>
        </w:rPr>
      </w:pPr>
      <w:r>
        <w:rPr>
          <w:rtl/>
          <w:lang w:bidi="fa-IR"/>
        </w:rPr>
        <w:br w:type="page"/>
      </w:r>
    </w:p>
    <w:p w:rsidR="008A74EB" w:rsidRPr="00C9040A" w:rsidRDefault="008A74EB" w:rsidP="00722C1C">
      <w:pPr>
        <w:pStyle w:val="libNormal0"/>
        <w:rPr>
          <w:rtl/>
          <w:lang w:bidi="fa-IR"/>
        </w:rPr>
      </w:pPr>
      <w:r w:rsidRPr="00C9040A">
        <w:rPr>
          <w:rtl/>
          <w:lang w:bidi="fa-IR"/>
        </w:rPr>
        <w:t xml:space="preserve">إِذَا عُدِلَ فِيهِ </w:t>
      </w:r>
      <w:r w:rsidR="006C577F" w:rsidRPr="006C577F">
        <w:rPr>
          <w:rStyle w:val="libFootnotenumChar"/>
          <w:rtl/>
        </w:rPr>
        <w:t>(1)</w:t>
      </w:r>
      <w:r w:rsidRPr="00C9040A">
        <w:rPr>
          <w:rtl/>
          <w:lang w:bidi="fa-IR"/>
        </w:rPr>
        <w:t xml:space="preserve"> وَإِنْ قَلَّ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59295A">
        <w:rPr>
          <w:rtl/>
        </w:rPr>
        <w:t>1958</w:t>
      </w:r>
      <w:r w:rsidRPr="00261CB0">
        <w:rPr>
          <w:rStyle w:val="libBold2Char"/>
          <w:rtl/>
        </w:rPr>
        <w:t xml:space="preserve"> / 12.</w:t>
      </w:r>
      <w:r w:rsidRPr="00C9040A">
        <w:rPr>
          <w:rtl/>
          <w:lang w:bidi="fa-IR"/>
        </w:rPr>
        <w:t xml:space="preserve"> عَلِيُّ بْنُ إِبْرَاهِيمَ ، عَنْ أَبِيهِ ، عَنِ ابْنِ مَحْبُوبٍ ، عَنْ بَعْضِ أَصْحَابِهِ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مَنْ أَنْصَفَ النَّاسَ مِنْ نَفْسِهِ ، رُضِيَ بِهِ </w:t>
      </w:r>
      <w:r w:rsidR="006C577F" w:rsidRPr="006C577F">
        <w:rPr>
          <w:rStyle w:val="libFootnotenumChar"/>
          <w:rtl/>
        </w:rPr>
        <w:t>(3)</w:t>
      </w:r>
      <w:r w:rsidRPr="00C9040A">
        <w:rPr>
          <w:rtl/>
          <w:lang w:bidi="fa-IR"/>
        </w:rPr>
        <w:t xml:space="preserve"> حَكَماً لِغَيْرِهِ »</w:t>
      </w:r>
      <w:r>
        <w:rPr>
          <w:rtl/>
          <w:lang w:bidi="fa-IR"/>
        </w:rPr>
        <w:t>.</w:t>
      </w:r>
      <w:r w:rsidR="006C577F" w:rsidRPr="006C577F">
        <w:rPr>
          <w:rStyle w:val="libFootnotenumChar"/>
          <w:rtl/>
        </w:rPr>
        <w:t>(4)</w:t>
      </w:r>
      <w:r w:rsidRPr="00C9040A">
        <w:rPr>
          <w:rtl/>
          <w:lang w:bidi="fa-IR"/>
        </w:rPr>
        <w:t>‌</w:t>
      </w:r>
    </w:p>
    <w:p w:rsidR="008A74EB" w:rsidRPr="00C9040A" w:rsidRDefault="008A74EB" w:rsidP="008A74EB">
      <w:pPr>
        <w:pStyle w:val="libNormal"/>
        <w:rPr>
          <w:rtl/>
          <w:lang w:bidi="fa-IR"/>
        </w:rPr>
      </w:pPr>
      <w:r w:rsidRPr="0059295A">
        <w:rPr>
          <w:rtl/>
        </w:rPr>
        <w:t>1959</w:t>
      </w:r>
      <w:r w:rsidRPr="00261CB0">
        <w:rPr>
          <w:rStyle w:val="libBold2Char"/>
          <w:rtl/>
        </w:rPr>
        <w:t xml:space="preserve"> / 13.</w:t>
      </w:r>
      <w:r w:rsidRPr="00C9040A">
        <w:rPr>
          <w:rtl/>
          <w:lang w:bidi="fa-IR"/>
        </w:rPr>
        <w:t xml:space="preserve"> مُحَمَّدُ بْنُ يَحْيى ، عَنْ أَحْمَدَ بْنِ مُحَمَّدِ بْنِ عِيسى ، عَنْ مُحَمَّدِ بْنِ سِنَانٍ ، عَنْ يُوسُفَ </w:t>
      </w:r>
      <w:r w:rsidR="006C577F" w:rsidRPr="006C577F">
        <w:rPr>
          <w:rStyle w:val="libFootnotenumChar"/>
          <w:rtl/>
        </w:rPr>
        <w:t>(5)</w:t>
      </w:r>
      <w:r w:rsidRPr="00C9040A">
        <w:rPr>
          <w:rtl/>
          <w:lang w:bidi="fa-IR"/>
        </w:rPr>
        <w:t xml:space="preserve"> بْنِ عِمْرَانَ بْنِ مِيثَمٍ ، عَنْ يَعْقُوبَ بْنِ شُعَيْبٍ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أَوْحَى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إِلى آدَمَ </w:t>
      </w:r>
      <w:r w:rsidRPr="0003660B">
        <w:rPr>
          <w:rStyle w:val="libAlaemChar"/>
          <w:rtl/>
        </w:rPr>
        <w:t>عليه‌السلام</w:t>
      </w:r>
      <w:r w:rsidRPr="00C9040A">
        <w:rPr>
          <w:rtl/>
          <w:lang w:bidi="fa-IR"/>
        </w:rPr>
        <w:t xml:space="preserve"> : أَنِّي سَأَجْمَعُ لَكَ الْكَلَامَ فِي أَرْبَعِ كَلِمَاتٍ.</w:t>
      </w:r>
    </w:p>
    <w:p w:rsidR="008A74EB" w:rsidRPr="00C9040A" w:rsidRDefault="008A74EB" w:rsidP="008A74EB">
      <w:pPr>
        <w:pStyle w:val="libNormal"/>
        <w:rPr>
          <w:rtl/>
          <w:lang w:bidi="fa-IR"/>
        </w:rPr>
      </w:pPr>
      <w:r w:rsidRPr="00C9040A">
        <w:rPr>
          <w:rtl/>
          <w:lang w:bidi="fa-IR"/>
        </w:rPr>
        <w:t>قَالَ : يَا رَبِّ ، وَمَا هُنَّ</w:t>
      </w:r>
      <w:r>
        <w:rPr>
          <w:rtl/>
          <w:lang w:bidi="fa-IR"/>
        </w:rPr>
        <w:t>؟</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w:t>
      </w:r>
      <w:r w:rsidR="008A74EB" w:rsidRPr="00993B55">
        <w:rPr>
          <w:rStyle w:val="libFootnoteBoldChar"/>
          <w:rtl/>
        </w:rPr>
        <w:t>مرآة العقول</w:t>
      </w:r>
      <w:r w:rsidR="008A74EB" w:rsidRPr="00C9040A">
        <w:rPr>
          <w:rtl/>
        </w:rPr>
        <w:t xml:space="preserve"> ، ج 8 ، ص 348 : « وقوله </w:t>
      </w:r>
      <w:r w:rsidR="00117575" w:rsidRPr="00117575">
        <w:rPr>
          <w:rStyle w:val="libFootnoteAlaemChar"/>
          <w:rtl/>
        </w:rPr>
        <w:t>عليه‌السلام</w:t>
      </w:r>
      <w:r w:rsidR="008A74EB" w:rsidRPr="00C9040A">
        <w:rPr>
          <w:rtl/>
        </w:rPr>
        <w:t xml:space="preserve"> : إذا عدل فيه ، يحتمل وجوهاً : الأوّل : أن يكون الضمير راجعاً إلى الأمر ، أي ما أوسع العدل إذا عدل في أمر وإن قلّ ذلك الأمر</w:t>
      </w:r>
      <w:r w:rsidR="008A74EB">
        <w:rPr>
          <w:rtl/>
        </w:rPr>
        <w:t xml:space="preserve"> ....</w:t>
      </w:r>
      <w:r w:rsidR="008A74EB" w:rsidRPr="00C9040A">
        <w:rPr>
          <w:rtl/>
        </w:rPr>
        <w:t xml:space="preserve"> الرابع : ما قيل : إنّ « عُدّل » على المجهول من بناء التفعيل. والمراد جريانه في جميع الوقائع لا أن يعدل إذا لم يتعلّق به غرض ، فالتعديل رعاية التعادل والتساوي. وعلى التقادير يحتمل أن يكون المراد بقوله : « وإن قلّ » بيان قلّة العدل بين الناس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الاختصاص</w:t>
      </w:r>
      <w:r w:rsidR="008A74EB" w:rsidRPr="00C9040A">
        <w:rPr>
          <w:rtl/>
        </w:rPr>
        <w:t xml:space="preserve"> ، ص 261 ، عن محمّد بن الحسين ، عن عيسى بن هشام </w:t>
      </w:r>
      <w:r w:rsidR="00722C1C">
        <w:rPr>
          <w:rFonts w:hint="cs"/>
          <w:rtl/>
        </w:rPr>
        <w:t>.</w:t>
      </w:r>
      <w:r w:rsidR="008A74EB" w:rsidRPr="00993B55">
        <w:rPr>
          <w:rStyle w:val="libFootnoteBoldChar"/>
          <w:rtl/>
        </w:rPr>
        <w:t>الوافي</w:t>
      </w:r>
      <w:r w:rsidR="008A74EB" w:rsidRPr="00C9040A">
        <w:rPr>
          <w:rtl/>
        </w:rPr>
        <w:t xml:space="preserve"> ، ج 4 ، ص 478 ، ح 2393.</w:t>
      </w:r>
    </w:p>
    <w:p w:rsidR="008A74EB" w:rsidRPr="00C9040A" w:rsidRDefault="006C577F" w:rsidP="004A4E41">
      <w:pPr>
        <w:pStyle w:val="libFootnote0"/>
        <w:rPr>
          <w:rtl/>
          <w:lang w:bidi="fa-IR"/>
        </w:rPr>
      </w:pPr>
      <w:r>
        <w:rPr>
          <w:rtl/>
        </w:rPr>
        <w:t>(3).</w:t>
      </w:r>
      <w:r w:rsidR="008A74EB" w:rsidRPr="00C9040A">
        <w:rPr>
          <w:rtl/>
        </w:rPr>
        <w:t xml:space="preserve"> في </w:t>
      </w:r>
      <w:r w:rsidR="008A74EB" w:rsidRPr="00993B55">
        <w:rPr>
          <w:rStyle w:val="libFootnoteBoldChar"/>
          <w:rtl/>
        </w:rPr>
        <w:t>مرآة العقول</w:t>
      </w:r>
      <w:r w:rsidR="008A74EB" w:rsidRPr="00C9040A">
        <w:rPr>
          <w:rtl/>
        </w:rPr>
        <w:t xml:space="preserve"> : « رضي به ، على بناء المجهول ، وحَكَماً</w:t>
      </w:r>
      <w:r w:rsidR="008A74EB">
        <w:rPr>
          <w:rtl/>
        </w:rPr>
        <w:t xml:space="preserve"> </w:t>
      </w:r>
      <w:r w:rsidR="0084262C">
        <w:rPr>
          <w:rtl/>
        </w:rPr>
        <w:t>-</w:t>
      </w:r>
      <w:r w:rsidR="008A74EB">
        <w:rPr>
          <w:rtl/>
        </w:rPr>
        <w:t xml:space="preserve"> </w:t>
      </w:r>
      <w:r w:rsidR="008A74EB" w:rsidRPr="00C9040A">
        <w:rPr>
          <w:rtl/>
        </w:rPr>
        <w:t>بالتحريك</w:t>
      </w:r>
      <w:r w:rsidR="008A74EB">
        <w:rPr>
          <w:rtl/>
        </w:rPr>
        <w:t xml:space="preserve"> </w:t>
      </w:r>
      <w:r w:rsidR="0084262C">
        <w:rPr>
          <w:rtl/>
        </w:rPr>
        <w:t>-</w:t>
      </w:r>
      <w:r w:rsidR="008A74EB">
        <w:rPr>
          <w:rtl/>
        </w:rPr>
        <w:t xml:space="preserve"> </w:t>
      </w:r>
      <w:r w:rsidR="008A74EB" w:rsidRPr="00C9040A">
        <w:rPr>
          <w:rtl/>
        </w:rPr>
        <w:t>تميز أو حال عن ضمير « به »</w:t>
      </w:r>
      <w:r w:rsidR="008A74EB">
        <w:rPr>
          <w:rtl/>
        </w:rPr>
        <w:t>.</w:t>
      </w:r>
      <w:r w:rsidR="008A74EB" w:rsidRPr="00C9040A">
        <w:rPr>
          <w:rtl/>
        </w:rPr>
        <w:t xml:space="preserve"> والمعنى أنّه يجب أن يكون الحاكم بين الناس من أنصف الناس من نفسه. ويمكن أن يقرأ على بناء المعلوم. أي من أنصف الناس من نفسه لم يحتج إلى حاكم ، بل رضي أن تكون نفسه حكماً بينه وبين غيره. والأوّل أظهر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الخصال</w:t>
      </w:r>
      <w:r w:rsidR="008A74EB" w:rsidRPr="00C9040A">
        <w:rPr>
          <w:rtl/>
        </w:rPr>
        <w:t xml:space="preserve"> ، ص 8 ، باب الواحد ، ح 24 ، بسند آخر ، عن الحسن بن محبوب. </w:t>
      </w:r>
      <w:r w:rsidR="008A74EB" w:rsidRPr="00993B55">
        <w:rPr>
          <w:rStyle w:val="libFootnoteBoldChar"/>
          <w:rtl/>
        </w:rPr>
        <w:t>الفقيه</w:t>
      </w:r>
      <w:r w:rsidR="008A74EB" w:rsidRPr="00C9040A">
        <w:rPr>
          <w:rtl/>
        </w:rPr>
        <w:t xml:space="preserve"> ، ج 3 ، ص 13 ، ح 3237 ، مرسلاً ؛ </w:t>
      </w:r>
      <w:r w:rsidR="008A74EB" w:rsidRPr="00993B55">
        <w:rPr>
          <w:rStyle w:val="libFootnoteBoldChar"/>
          <w:rtl/>
        </w:rPr>
        <w:t>تحف العقول</w:t>
      </w:r>
      <w:r w:rsidR="008A74EB" w:rsidRPr="00C9040A">
        <w:rPr>
          <w:rtl/>
        </w:rPr>
        <w:t xml:space="preserve"> ، ص 357 </w:t>
      </w:r>
      <w:r w:rsidR="00722C1C">
        <w:rPr>
          <w:rFonts w:hint="cs"/>
          <w:rtl/>
        </w:rPr>
        <w:t>.</w:t>
      </w:r>
      <w:r w:rsidR="008A74EB" w:rsidRPr="00993B55">
        <w:rPr>
          <w:rStyle w:val="libFootnoteBoldChar"/>
          <w:rtl/>
        </w:rPr>
        <w:t>الوافي</w:t>
      </w:r>
      <w:r w:rsidR="008A74EB" w:rsidRPr="00C9040A">
        <w:rPr>
          <w:rtl/>
        </w:rPr>
        <w:t xml:space="preserve"> ، ج 4 ، ص 476 ، ح 2387 ؛ </w:t>
      </w:r>
      <w:r w:rsidR="008A74EB" w:rsidRPr="00993B55">
        <w:rPr>
          <w:rStyle w:val="libFootnoteBoldChar"/>
          <w:rtl/>
        </w:rPr>
        <w:t>الوسائل</w:t>
      </w:r>
      <w:r w:rsidR="008A74EB" w:rsidRPr="00C9040A">
        <w:rPr>
          <w:rtl/>
        </w:rPr>
        <w:t xml:space="preserve"> ، ج 15 ، ص 283 ، ح 20523 ؛ </w:t>
      </w:r>
      <w:r w:rsidR="008A74EB" w:rsidRPr="00993B55">
        <w:rPr>
          <w:rStyle w:val="libFootnoteBoldChar"/>
          <w:rtl/>
        </w:rPr>
        <w:t>البحار</w:t>
      </w:r>
      <w:r w:rsidR="008A74EB" w:rsidRPr="00C9040A">
        <w:rPr>
          <w:rtl/>
        </w:rPr>
        <w:t xml:space="preserve"> ، ج 75 ، ص 37 ، ح 34.</w:t>
      </w:r>
    </w:p>
    <w:p w:rsidR="008A74EB" w:rsidRPr="00C9040A" w:rsidRDefault="006C577F" w:rsidP="004A4E41">
      <w:pPr>
        <w:pStyle w:val="libFootnote0"/>
        <w:rPr>
          <w:rtl/>
          <w:lang w:bidi="fa-IR"/>
        </w:rPr>
      </w:pPr>
      <w:r>
        <w:rPr>
          <w:rtl/>
        </w:rPr>
        <w:t>(5).</w:t>
      </w:r>
      <w:r w:rsidR="008A74EB" w:rsidRPr="00C9040A">
        <w:rPr>
          <w:rtl/>
        </w:rPr>
        <w:t xml:space="preserve"> في حاشية « بر ، بف » : « يونس »</w:t>
      </w:r>
      <w:r w:rsidR="008A74EB">
        <w:rPr>
          <w:rtl/>
        </w:rPr>
        <w:t>.</w:t>
      </w:r>
      <w:r w:rsidR="008A74EB" w:rsidRPr="00C9040A">
        <w:rPr>
          <w:rtl/>
        </w:rPr>
        <w:t xml:space="preserve"> ويأتي في </w:t>
      </w:r>
      <w:r w:rsidR="008A74EB" w:rsidRPr="00993B55">
        <w:rPr>
          <w:rStyle w:val="libFootnoteBoldChar"/>
          <w:rtl/>
        </w:rPr>
        <w:t>الكافي</w:t>
      </w:r>
      <w:r w:rsidR="008A74EB" w:rsidRPr="00C9040A">
        <w:rPr>
          <w:rtl/>
        </w:rPr>
        <w:t xml:space="preserve"> ، ح 6934 رواية النضر بن شعيب عن يونس بن عمران بن ميثم. لكنّ الخبر رواه الحسين بن سعيد في كتابه </w:t>
      </w:r>
      <w:r w:rsidR="008A74EB" w:rsidRPr="00993B55">
        <w:rPr>
          <w:rStyle w:val="libFootnoteBoldChar"/>
          <w:rtl/>
        </w:rPr>
        <w:t>الزهد</w:t>
      </w:r>
      <w:r w:rsidR="008A74EB" w:rsidRPr="00C9040A">
        <w:rPr>
          <w:rtl/>
        </w:rPr>
        <w:t xml:space="preserve"> ، ص 83 ، ح 51 عن محمّد بن سنان ، عن يوسف بن عمران ، عن يعقوب بن شعيب ، قال : سمعت أبا عبد الله </w:t>
      </w:r>
      <w:r w:rsidR="00117575" w:rsidRPr="00117575">
        <w:rPr>
          <w:rStyle w:val="libFootnoteAlaemChar"/>
          <w:rtl/>
        </w:rPr>
        <w:t>عليه‌السلام</w:t>
      </w:r>
      <w:r w:rsidR="008A74EB" w:rsidRPr="00C9040A">
        <w:rPr>
          <w:rtl/>
        </w:rPr>
        <w:t xml:space="preserve"> يقول ؛ كما وردت رواية يوسف بن عمران الميثمي عن ميثم في </w:t>
      </w:r>
      <w:r w:rsidR="008A74EB" w:rsidRPr="00993B55">
        <w:rPr>
          <w:rStyle w:val="libFootnoteBoldChar"/>
          <w:rtl/>
        </w:rPr>
        <w:t>رجال الكشّي</w:t>
      </w:r>
      <w:r w:rsidR="008A74EB" w:rsidRPr="00C9040A">
        <w:rPr>
          <w:rtl/>
        </w:rPr>
        <w:t xml:space="preserve"> ، ص 83 ، الرقم 139 ، والظاهر اتّحاده مع يوسف بن عمران بن ميثم هذا.</w:t>
      </w:r>
    </w:p>
    <w:p w:rsidR="008A74EB" w:rsidRPr="00C9040A" w:rsidRDefault="008A74EB" w:rsidP="004A4E41">
      <w:pPr>
        <w:pStyle w:val="libFootnote0"/>
        <w:rPr>
          <w:rtl/>
          <w:lang w:bidi="fa-IR"/>
        </w:rPr>
      </w:pPr>
      <w:r w:rsidRPr="00323A39">
        <w:rPr>
          <w:rtl/>
        </w:rPr>
        <w:t xml:space="preserve">ثمّ إنّ الخبر أورده الصدوق في </w:t>
      </w:r>
      <w:r w:rsidRPr="00993B55">
        <w:rPr>
          <w:rStyle w:val="libFootnoteBoldChar"/>
          <w:rtl/>
        </w:rPr>
        <w:t>الخصال</w:t>
      </w:r>
      <w:r w:rsidRPr="00323A39">
        <w:rPr>
          <w:rtl/>
        </w:rPr>
        <w:t xml:space="preserve"> ، ص 243 ، ح 98 بسنده عن محمّد بن سنان ، عن يوسف بن عمران ، عن ميثم بن يعقوب بن شعيب. ووقوع التحريف فيه لا يخفى ؛ فإنّ يعقوب بن شعيب هذا ، هو يعقوب بن شعيب بن ميثم التمّار الراوي عن أبي عبد الله </w:t>
      </w:r>
      <w:r w:rsidR="00117575" w:rsidRPr="00117575">
        <w:rPr>
          <w:rStyle w:val="libFootnoteAlaemChar"/>
          <w:rtl/>
        </w:rPr>
        <w:t xml:space="preserve">عليه‌السلام </w:t>
      </w:r>
      <w:r w:rsidRPr="00323A39">
        <w:rPr>
          <w:rtl/>
        </w:rPr>
        <w:t xml:space="preserve">. راجع : </w:t>
      </w:r>
      <w:r w:rsidRPr="00993B55">
        <w:rPr>
          <w:rStyle w:val="libFootnoteBoldChar"/>
          <w:rtl/>
        </w:rPr>
        <w:t>رجال النجاشي</w:t>
      </w:r>
      <w:r w:rsidRPr="00323A39">
        <w:rPr>
          <w:rtl/>
        </w:rPr>
        <w:t xml:space="preserve"> ، ص 450 ، الرقم 1216.</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قَالَ : وَاحِدَةٌ لِي ، وَوَاحِدَةٌ لَكَ ، وَوَاحِدَةٌ فِيمَا بَيْنِي وَبَيْنَكَ ، وَوَاحِدَةٌ فِيمَا بَيْنَكَ وَبَيْنَ النَّاسِ.</w:t>
      </w:r>
    </w:p>
    <w:p w:rsidR="008A74EB" w:rsidRPr="00C9040A" w:rsidRDefault="008A74EB" w:rsidP="00722C1C">
      <w:pPr>
        <w:pStyle w:val="libNormal"/>
        <w:rPr>
          <w:rtl/>
          <w:lang w:bidi="fa-IR"/>
        </w:rPr>
      </w:pPr>
      <w:r w:rsidRPr="00C9040A">
        <w:rPr>
          <w:rtl/>
          <w:lang w:bidi="fa-IR"/>
        </w:rPr>
        <w:t xml:space="preserve">قَالَ : يَا رَبِّ بَيِّنْهُنَّ لِي </w:t>
      </w:r>
      <w:r w:rsidR="006C577F" w:rsidRPr="006C577F">
        <w:rPr>
          <w:rStyle w:val="libFootnotenumChar"/>
          <w:rtl/>
        </w:rPr>
        <w:t>(1)</w:t>
      </w:r>
      <w:r w:rsidRPr="00C9040A">
        <w:rPr>
          <w:rtl/>
          <w:lang w:bidi="fa-IR"/>
        </w:rPr>
        <w:t xml:space="preserve"> حَتّى أَعْلَمَهُنَّ </w:t>
      </w:r>
      <w:r w:rsidR="006C577F" w:rsidRPr="006C577F">
        <w:rPr>
          <w:rStyle w:val="libFootnotenumChar"/>
          <w:rtl/>
        </w:rPr>
        <w:t>(2)</w:t>
      </w:r>
      <w:r w:rsidR="00722C1C" w:rsidRPr="00722C1C">
        <w:rPr>
          <w:rFonts w:hint="cs"/>
          <w:rtl/>
        </w:rPr>
        <w:t>.</w:t>
      </w:r>
    </w:p>
    <w:p w:rsidR="008A74EB" w:rsidRPr="00C9040A" w:rsidRDefault="008A74EB" w:rsidP="008A74EB">
      <w:pPr>
        <w:pStyle w:val="libNormal"/>
        <w:rPr>
          <w:rtl/>
          <w:lang w:bidi="fa-IR"/>
        </w:rPr>
      </w:pPr>
      <w:r w:rsidRPr="00C9040A">
        <w:rPr>
          <w:rtl/>
          <w:lang w:bidi="fa-IR"/>
        </w:rPr>
        <w:t xml:space="preserve">قَالَ : أَمَّا الَّتِي لِي ، فَتَعْبُدُنِي لَاتُشْرِكُ بِي شَيْئاً ؛ وَأَمَّا الَّتِي لَكَ ، فَأَجْزِيكَ بِعَمَلِكَ أَحْوَجَ مَا تَكُونُ إِلَيْهِ ؛ وَأَمَّا الَّتِي بَيْنِي وَبَيْنَكَ ، فَعَلَيْكَ الدُّعَاءُ </w:t>
      </w:r>
      <w:r w:rsidR="006C577F" w:rsidRPr="006C577F">
        <w:rPr>
          <w:rStyle w:val="libFootnotenumChar"/>
          <w:rtl/>
        </w:rPr>
        <w:t>(3)</w:t>
      </w:r>
      <w:r w:rsidRPr="00C9040A">
        <w:rPr>
          <w:rtl/>
          <w:lang w:bidi="fa-IR"/>
        </w:rPr>
        <w:t xml:space="preserve"> وَعَلَيَّ الْإِجَابَةُ ؛ وَأَمَّا الَّتِي بَيْنَكَ وَبَيْنَ النَّاسِ ، فَتَرْضى لِلنَّاسِ </w:t>
      </w:r>
      <w:r w:rsidR="006C577F" w:rsidRPr="006C577F">
        <w:rPr>
          <w:rStyle w:val="libFootnotenumChar"/>
          <w:rtl/>
        </w:rPr>
        <w:t>(4)</w:t>
      </w:r>
      <w:r w:rsidRPr="00C9040A">
        <w:rPr>
          <w:rtl/>
          <w:lang w:bidi="fa-IR"/>
        </w:rPr>
        <w:t xml:space="preserve"> مَا تَرْضى </w:t>
      </w:r>
      <w:r w:rsidR="006C577F" w:rsidRPr="006C577F">
        <w:rPr>
          <w:rStyle w:val="libFootnotenumChar"/>
          <w:rtl/>
        </w:rPr>
        <w:t>(5)</w:t>
      </w:r>
      <w:r w:rsidRPr="00C9040A">
        <w:rPr>
          <w:rtl/>
          <w:lang w:bidi="fa-IR"/>
        </w:rPr>
        <w:t xml:space="preserve"> لِنَفْسِكَ ، وَتَكْرَهُ لَهُمْ مَا تَكْرَهُ لِنَفْسِكَ »</w:t>
      </w:r>
      <w:r>
        <w:rPr>
          <w:rtl/>
          <w:lang w:bidi="fa-IR"/>
        </w:rPr>
        <w:t>.</w:t>
      </w:r>
      <w:r w:rsidRPr="00C9040A">
        <w:rPr>
          <w:rtl/>
          <w:lang w:bidi="fa-IR"/>
        </w:rPr>
        <w:t xml:space="preserve"> </w:t>
      </w:r>
      <w:r w:rsidR="006C577F" w:rsidRPr="006C577F">
        <w:rPr>
          <w:rStyle w:val="libFootnotenumChar"/>
          <w:rtl/>
        </w:rPr>
        <w:t>(6)</w:t>
      </w:r>
    </w:p>
    <w:p w:rsidR="008A74EB" w:rsidRPr="00C9040A" w:rsidRDefault="008A74EB" w:rsidP="008A74EB">
      <w:pPr>
        <w:pStyle w:val="libNormal"/>
        <w:rPr>
          <w:rtl/>
          <w:lang w:bidi="fa-IR"/>
        </w:rPr>
      </w:pPr>
      <w:r w:rsidRPr="0059295A">
        <w:rPr>
          <w:rtl/>
        </w:rPr>
        <w:t>1960</w:t>
      </w:r>
      <w:r w:rsidRPr="00261CB0">
        <w:rPr>
          <w:rStyle w:val="libBold2Char"/>
          <w:rtl/>
        </w:rPr>
        <w:t xml:space="preserve"> / 14.</w:t>
      </w:r>
      <w:r w:rsidRPr="00C9040A">
        <w:rPr>
          <w:rtl/>
          <w:lang w:bidi="fa-IR"/>
        </w:rPr>
        <w:t xml:space="preserve"> أَبُو عَلِيٍّ الْأَشْعَرِيُّ ، عَنْ مُحَمَّدِ بْنِ عَبْدِ الْجَبَّارِ ، عَنِ ابْنِ فَضَّالٍ ، عَنْ غَالِبِ بْنِ عُثْمَانَ ، عَنْ رَوْحٍ ابْنِ أُخْتِ الْمُعَلّى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اتَّقُوا اللهَ وَاعْدِلُوا ، فَإِنَّكُمْ تَعِيبُونَ عَلى قَوْمٍ لَا يَعْدِلُونَ »</w:t>
      </w:r>
      <w:r>
        <w:rPr>
          <w:rtl/>
          <w:lang w:bidi="fa-IR"/>
        </w:rPr>
        <w:t>.</w:t>
      </w:r>
      <w:r w:rsidR="006C577F" w:rsidRPr="006C577F">
        <w:rPr>
          <w:rStyle w:val="libFootnotenumChar"/>
          <w:rtl/>
        </w:rPr>
        <w:t>(7)</w:t>
      </w:r>
    </w:p>
    <w:p w:rsidR="008A74EB" w:rsidRPr="00C9040A" w:rsidRDefault="008A74EB" w:rsidP="008A74EB">
      <w:pPr>
        <w:pStyle w:val="libNormal"/>
        <w:rPr>
          <w:rtl/>
          <w:lang w:bidi="fa-IR"/>
        </w:rPr>
      </w:pPr>
      <w:r w:rsidRPr="0059295A">
        <w:rPr>
          <w:rtl/>
        </w:rPr>
        <w:t>1961</w:t>
      </w:r>
      <w:r w:rsidRPr="00261CB0">
        <w:rPr>
          <w:rStyle w:val="libBold2Char"/>
          <w:rtl/>
        </w:rPr>
        <w:t xml:space="preserve"> / 15.</w:t>
      </w:r>
      <w:r w:rsidRPr="00C9040A">
        <w:rPr>
          <w:rtl/>
          <w:lang w:bidi="fa-IR"/>
        </w:rPr>
        <w:t xml:space="preserve"> عَنْهُ </w:t>
      </w:r>
      <w:r w:rsidR="006C577F" w:rsidRPr="006C577F">
        <w:rPr>
          <w:rStyle w:val="libFootnotenumChar"/>
          <w:rtl/>
        </w:rPr>
        <w:t>(8)</w:t>
      </w:r>
      <w:r w:rsidRPr="00C9040A">
        <w:rPr>
          <w:rtl/>
          <w:lang w:bidi="fa-IR"/>
        </w:rPr>
        <w:t xml:space="preserve"> ، عَنِ ابْنِ مَحْبُوبٍ ، عَنْ مُعَاوِيَةَ بْنِ وَهْبٍ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د » </w:t>
      </w:r>
      <w:r w:rsidR="008A74EB">
        <w:rPr>
          <w:rtl/>
        </w:rPr>
        <w:t xml:space="preserve">: </w:t>
      </w:r>
      <w:r w:rsidR="0084262C">
        <w:rPr>
          <w:rtl/>
        </w:rPr>
        <w:t>-</w:t>
      </w:r>
      <w:r w:rsidR="008A74EB" w:rsidRPr="00C9040A">
        <w:rPr>
          <w:rtl/>
        </w:rPr>
        <w:t xml:space="preserve"> « لي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الزهد : « أعمل بهنّ »</w:t>
      </w:r>
      <w:r w:rsidR="008A74EB">
        <w:rPr>
          <w:rtl/>
        </w:rPr>
        <w:t>.</w:t>
      </w:r>
    </w:p>
    <w:p w:rsidR="008A74EB" w:rsidRPr="00C9040A" w:rsidRDefault="006C577F" w:rsidP="00722C1C">
      <w:pPr>
        <w:pStyle w:val="libFootnote0"/>
        <w:rPr>
          <w:rtl/>
          <w:lang w:bidi="fa-IR"/>
        </w:rPr>
      </w:pPr>
      <w:r>
        <w:rPr>
          <w:rtl/>
        </w:rPr>
        <w:t>(3).</w:t>
      </w:r>
      <w:r w:rsidR="008A74EB" w:rsidRPr="00C9040A">
        <w:rPr>
          <w:rtl/>
        </w:rPr>
        <w:t xml:space="preserve"> في </w:t>
      </w:r>
      <w:r w:rsidR="008A74EB" w:rsidRPr="00993B55">
        <w:rPr>
          <w:rStyle w:val="libFootnoteBoldChar"/>
          <w:rtl/>
        </w:rPr>
        <w:t>مرآة العقول</w:t>
      </w:r>
      <w:r w:rsidR="008A74EB" w:rsidRPr="00C9040A">
        <w:rPr>
          <w:rtl/>
        </w:rPr>
        <w:t xml:space="preserve"> : « قوله : فعليك الدعاء ، كأنّ « الدعاء » مبتدأ ، </w:t>
      </w:r>
      <w:r w:rsidR="008A74EB">
        <w:rPr>
          <w:rtl/>
        </w:rPr>
        <w:t>و «</w:t>
      </w:r>
      <w:r w:rsidR="008A74EB" w:rsidRPr="00C9040A">
        <w:rPr>
          <w:rtl/>
        </w:rPr>
        <w:t xml:space="preserve"> عليك » خبره. وكذا : عليّ الإجابة. ويحتمل أن‌يكون بتقدير : عليك بالدعاء »</w:t>
      </w:r>
      <w:r w:rsidR="008A74EB">
        <w:rPr>
          <w:rtl/>
        </w:rPr>
        <w:t>.</w:t>
      </w:r>
      <w:r w:rsidR="00722C1C">
        <w:rPr>
          <w:rFonts w:hint="cs"/>
          <w:rtl/>
        </w:rPr>
        <w:t xml:space="preserve">                    </w:t>
      </w:r>
      <w:r>
        <w:rPr>
          <w:rtl/>
        </w:rPr>
        <w:t>(4).</w:t>
      </w:r>
      <w:r w:rsidR="008A74EB" w:rsidRPr="00C9040A">
        <w:rPr>
          <w:rtl/>
        </w:rPr>
        <w:t xml:space="preserve"> في « ف » : « الناسَ » منصوب بنزع الخافض.</w:t>
      </w:r>
    </w:p>
    <w:p w:rsidR="008A74EB" w:rsidRPr="00C9040A" w:rsidRDefault="006C577F" w:rsidP="004A4E41">
      <w:pPr>
        <w:pStyle w:val="libFootnote0"/>
        <w:rPr>
          <w:rtl/>
          <w:lang w:bidi="fa-IR"/>
        </w:rPr>
      </w:pPr>
      <w:r>
        <w:rPr>
          <w:rtl/>
        </w:rPr>
        <w:t>(5).</w:t>
      </w:r>
      <w:r w:rsidR="008A74EB" w:rsidRPr="00C9040A">
        <w:rPr>
          <w:rtl/>
        </w:rPr>
        <w:t xml:space="preserve"> في « ز » : + « به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الزهد</w:t>
      </w:r>
      <w:r w:rsidR="008A74EB" w:rsidRPr="00C9040A">
        <w:rPr>
          <w:rtl/>
        </w:rPr>
        <w:t xml:space="preserve"> ، ص 83 ، ح 51 ، عن محمّد بن سنان ؛ </w:t>
      </w:r>
      <w:r w:rsidR="008A74EB" w:rsidRPr="00993B55">
        <w:rPr>
          <w:rStyle w:val="libFootnoteBoldChar"/>
          <w:rtl/>
        </w:rPr>
        <w:t>الخصال</w:t>
      </w:r>
      <w:r w:rsidR="008A74EB" w:rsidRPr="00C9040A">
        <w:rPr>
          <w:rtl/>
        </w:rPr>
        <w:t xml:space="preserve"> ، ص 243 ، باب الأربعة ، ح 98 ، بسنده عن محمّد بن سنان ، عن يوسف بن عمران ، عن ميثم بن يعقوب بن شعيب ( وفيه تصحيف ) ، ولم يرد فيهما : « وتكره لهم ما تكره لنفسك »</w:t>
      </w:r>
      <w:r w:rsidR="008A74EB">
        <w:rPr>
          <w:rtl/>
        </w:rPr>
        <w:t>.</w:t>
      </w:r>
      <w:r w:rsidR="008A74EB" w:rsidRPr="00C9040A">
        <w:rPr>
          <w:rtl/>
        </w:rPr>
        <w:t xml:space="preserve"> وفي </w:t>
      </w:r>
      <w:r w:rsidR="008A74EB" w:rsidRPr="0034021D">
        <w:rPr>
          <w:rStyle w:val="libFootnoteBoldChar"/>
          <w:rtl/>
        </w:rPr>
        <w:t>الأمالي للصدوق</w:t>
      </w:r>
      <w:r w:rsidR="008A74EB" w:rsidRPr="00C9040A">
        <w:rPr>
          <w:rtl/>
        </w:rPr>
        <w:t xml:space="preserve"> ، ص 608 ، المجلس 89 ، ح 1 ؛ و</w:t>
      </w:r>
      <w:r w:rsidR="008A74EB" w:rsidRPr="00993B55">
        <w:rPr>
          <w:rStyle w:val="libFootnoteBoldChar"/>
          <w:rtl/>
        </w:rPr>
        <w:t>معاني الأخبار</w:t>
      </w:r>
      <w:r w:rsidR="008A74EB" w:rsidRPr="00C9040A">
        <w:rPr>
          <w:rtl/>
        </w:rPr>
        <w:t xml:space="preserve"> ، ص 137 ، ح 1 ، بسند آخر عن أبي جعفر </w:t>
      </w:r>
      <w:r w:rsidR="00117575" w:rsidRPr="00117575">
        <w:rPr>
          <w:rStyle w:val="libFootnoteAlaemChar"/>
          <w:rtl/>
        </w:rPr>
        <w:t>عليه‌السلام</w:t>
      </w:r>
      <w:r w:rsidR="008A74EB" w:rsidRPr="00C9040A">
        <w:rPr>
          <w:rtl/>
        </w:rPr>
        <w:t xml:space="preserve"> ؛ </w:t>
      </w:r>
      <w:r w:rsidR="008A74EB" w:rsidRPr="00993B55">
        <w:rPr>
          <w:rStyle w:val="libFootnoteBoldChar"/>
          <w:rtl/>
        </w:rPr>
        <w:t>الخصال</w:t>
      </w:r>
      <w:r w:rsidR="008A74EB" w:rsidRPr="00C9040A">
        <w:rPr>
          <w:rtl/>
        </w:rPr>
        <w:t xml:space="preserve"> ، ص 244 ، باب الأربعة ، ح 99 ، بسند آخر عن رسول الله </w:t>
      </w:r>
      <w:r w:rsidR="004A4E41" w:rsidRPr="00DE2616">
        <w:rPr>
          <w:rStyle w:val="libFootnoteAlaemChar"/>
          <w:rtl/>
        </w:rPr>
        <w:t>صلى‌الله‌عليه‌وآله</w:t>
      </w:r>
      <w:r w:rsidR="008A74EB" w:rsidRPr="00C9040A">
        <w:rPr>
          <w:rtl/>
        </w:rPr>
        <w:t xml:space="preserve">. </w:t>
      </w:r>
      <w:r w:rsidR="008A74EB" w:rsidRPr="00993B55">
        <w:rPr>
          <w:rStyle w:val="libFootnoteBoldChar"/>
          <w:rtl/>
        </w:rPr>
        <w:t>فقه الرضا</w:t>
      </w:r>
      <w:r w:rsidR="008A74EB" w:rsidRPr="00C9040A">
        <w:rPr>
          <w:rtl/>
        </w:rPr>
        <w:t xml:space="preserve"> </w:t>
      </w:r>
      <w:r w:rsidR="00117575" w:rsidRPr="00117575">
        <w:rPr>
          <w:rStyle w:val="libFootnoteAlaemChar"/>
          <w:rtl/>
        </w:rPr>
        <w:t>عليه‌السلام</w:t>
      </w:r>
      <w:r w:rsidR="008A74EB" w:rsidRPr="00C9040A">
        <w:rPr>
          <w:rtl/>
        </w:rPr>
        <w:t xml:space="preserve"> ، ص 353 </w:t>
      </w:r>
      <w:r w:rsidR="00594209">
        <w:rPr>
          <w:rFonts w:hint="cs"/>
          <w:rtl/>
        </w:rPr>
        <w:t>.</w:t>
      </w:r>
      <w:r w:rsidR="008A74EB" w:rsidRPr="00993B55">
        <w:rPr>
          <w:rStyle w:val="libFootnoteBoldChar"/>
          <w:rtl/>
        </w:rPr>
        <w:t>الوافي</w:t>
      </w:r>
      <w:r w:rsidR="008A74EB" w:rsidRPr="00C9040A">
        <w:rPr>
          <w:rtl/>
        </w:rPr>
        <w:t xml:space="preserve"> ، ج 4 ، ص 476 ، ح 2388 ؛ </w:t>
      </w:r>
      <w:r w:rsidR="008A74EB" w:rsidRPr="00993B55">
        <w:rPr>
          <w:rStyle w:val="libFootnoteBoldChar"/>
          <w:rtl/>
        </w:rPr>
        <w:t>الوسائل</w:t>
      </w:r>
      <w:r w:rsidR="008A74EB" w:rsidRPr="00C9040A">
        <w:rPr>
          <w:rtl/>
        </w:rPr>
        <w:t xml:space="preserve"> ، ج 15 ، ص 287 ، ح 20537 ؛ </w:t>
      </w:r>
      <w:r w:rsidR="008A74EB" w:rsidRPr="00993B55">
        <w:rPr>
          <w:rStyle w:val="libFootnoteBoldChar"/>
          <w:rtl/>
        </w:rPr>
        <w:t>البحار</w:t>
      </w:r>
      <w:r w:rsidR="008A74EB" w:rsidRPr="00C9040A">
        <w:rPr>
          <w:rtl/>
        </w:rPr>
        <w:t xml:space="preserve"> ، ج 75 ، ص 38 ، ح 35.</w:t>
      </w:r>
    </w:p>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الوافي</w:t>
      </w:r>
      <w:r w:rsidR="008A74EB" w:rsidRPr="00C9040A">
        <w:rPr>
          <w:rtl/>
        </w:rPr>
        <w:t xml:space="preserve"> ، ج 4 ، ص 478 ، ح 2392 ؛ </w:t>
      </w:r>
      <w:r w:rsidR="008A74EB" w:rsidRPr="00993B55">
        <w:rPr>
          <w:rStyle w:val="libFootnoteBoldChar"/>
          <w:rtl/>
        </w:rPr>
        <w:t>الوسائل</w:t>
      </w:r>
      <w:r w:rsidR="008A74EB" w:rsidRPr="00C9040A">
        <w:rPr>
          <w:rtl/>
        </w:rPr>
        <w:t xml:space="preserve"> ، ج 15 ، ص 293 ، ح 20549 ؛ </w:t>
      </w:r>
      <w:r w:rsidR="008A74EB" w:rsidRPr="00993B55">
        <w:rPr>
          <w:rStyle w:val="libFootnoteBoldChar"/>
          <w:rtl/>
        </w:rPr>
        <w:t>البحار</w:t>
      </w:r>
      <w:r w:rsidR="008A74EB" w:rsidRPr="00C9040A">
        <w:rPr>
          <w:rtl/>
        </w:rPr>
        <w:t xml:space="preserve"> ، ج 75 ، ص 38 ، ح 36.</w:t>
      </w:r>
    </w:p>
    <w:p w:rsidR="008A74EB" w:rsidRPr="00777208" w:rsidRDefault="006C577F" w:rsidP="004A4E41">
      <w:pPr>
        <w:pStyle w:val="libFootnote0"/>
        <w:rPr>
          <w:rtl/>
        </w:rPr>
      </w:pPr>
      <w:r>
        <w:rPr>
          <w:rtl/>
        </w:rPr>
        <w:t>(8).</w:t>
      </w:r>
      <w:r w:rsidR="008A74EB" w:rsidRPr="00777208">
        <w:rPr>
          <w:rtl/>
        </w:rPr>
        <w:t xml:space="preserve"> في </w:t>
      </w:r>
      <w:r w:rsidR="008A74EB" w:rsidRPr="00993B55">
        <w:rPr>
          <w:rStyle w:val="libFootnoteBoldChar"/>
          <w:rtl/>
        </w:rPr>
        <w:t>مرآة العقول</w:t>
      </w:r>
      <w:r w:rsidR="008A74EB" w:rsidRPr="00777208">
        <w:rPr>
          <w:rtl/>
        </w:rPr>
        <w:t xml:space="preserve"> : « الظاهر رجوع ضمير « عنه » إلى أحمد بن محمّد بن عيسى في الخبر السابق ، وغفل عن </w:t>
      </w:r>
      <w:r w:rsidR="00594209">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الْعَدْلُ أَحْلى مِنَ الشَّهْدِ ، وَأَلْيَنُ مِنَ الزُّبْدِ ، وَأَطْيَبُ رِيحاً مِنَ الْمِسْكِ »</w:t>
      </w:r>
      <w:r>
        <w:rPr>
          <w:rtl/>
          <w:lang w:bidi="fa-IR"/>
        </w:rPr>
        <w:t>.</w:t>
      </w:r>
      <w:r w:rsidRPr="00C9040A">
        <w:rPr>
          <w:rtl/>
          <w:lang w:bidi="fa-IR"/>
        </w:rPr>
        <w:t xml:space="preserve"> </w:t>
      </w:r>
      <w:r w:rsidR="006C577F" w:rsidRPr="006C577F">
        <w:rPr>
          <w:rStyle w:val="libFootnotenumChar"/>
          <w:rtl/>
        </w:rPr>
        <w:t>(1)</w:t>
      </w:r>
      <w:r w:rsidRPr="00C9040A">
        <w:rPr>
          <w:rtl/>
          <w:lang w:bidi="fa-IR"/>
        </w:rPr>
        <w:t xml:space="preserve"> ‌</w:t>
      </w:r>
    </w:p>
    <w:p w:rsidR="008A74EB" w:rsidRPr="00C9040A" w:rsidRDefault="008A74EB" w:rsidP="008A74EB">
      <w:pPr>
        <w:pStyle w:val="libNormal"/>
        <w:rPr>
          <w:rtl/>
          <w:lang w:bidi="fa-IR"/>
        </w:rPr>
      </w:pPr>
      <w:r w:rsidRPr="003F7886">
        <w:rPr>
          <w:rtl/>
        </w:rPr>
        <w:t>1962</w:t>
      </w:r>
      <w:r w:rsidRPr="00261CB0">
        <w:rPr>
          <w:rStyle w:val="libBold2Char"/>
          <w:rtl/>
        </w:rPr>
        <w:t xml:space="preserve"> / 16.</w:t>
      </w:r>
      <w:r w:rsidRPr="00C9040A">
        <w:rPr>
          <w:rtl/>
          <w:lang w:bidi="fa-IR"/>
        </w:rPr>
        <w:t xml:space="preserve"> عِدَّةٌ مِنْ أَصْحَابِنَا ، عَنْ أَحْمَدَ بْنِ مُحَمَّدِ بْنِ خَالِدٍ ، عَنْ إِسْمَاعِيلَ بْنِ مِهْرَانَ ، عَنْ عُثْمَانَ بْنِ جَبَلَةَ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ثَلَاثُ خِصَالٍ مَنْ كُنَّ فِيهِ أَوْ وَاحِدَةٌ مِنْهُنَّ ، كَانَ فِي ظِلِّ عَر</w:t>
      </w:r>
      <w:r w:rsidR="00594209">
        <w:rPr>
          <w:rtl/>
          <w:lang w:bidi="fa-IR"/>
        </w:rPr>
        <w:t>ْشِ اللهِ يَوْمَ لَاظِلَّ إِل</w:t>
      </w:r>
      <w:r w:rsidR="00594209">
        <w:rPr>
          <w:rFonts w:hint="cs"/>
          <w:rtl/>
          <w:lang w:bidi="fa-IR"/>
        </w:rPr>
        <w:t>َّ</w:t>
      </w:r>
      <w:r w:rsidR="00594209">
        <w:rPr>
          <w:rtl/>
          <w:lang w:bidi="fa-IR"/>
        </w:rPr>
        <w:t>ا</w:t>
      </w:r>
      <w:r w:rsidRPr="00C9040A">
        <w:rPr>
          <w:rtl/>
          <w:lang w:bidi="fa-IR"/>
        </w:rPr>
        <w:t xml:space="preserve"> ظِلُّهُ : رَجُلٌ أَعْطَى النَّاسَ مِنْ نَفْسِهِ‌</w:t>
      </w:r>
    </w:p>
    <w:p w:rsidR="008A74EB" w:rsidRPr="00C9040A" w:rsidRDefault="008A74EB" w:rsidP="008A74EB">
      <w:pPr>
        <w:pStyle w:val="libLine"/>
        <w:rPr>
          <w:rtl/>
          <w:lang w:bidi="fa-IR"/>
        </w:rPr>
      </w:pPr>
      <w:r w:rsidRPr="00C9040A">
        <w:rPr>
          <w:rtl/>
          <w:lang w:bidi="fa-IR"/>
        </w:rPr>
        <w:t>__________________</w:t>
      </w:r>
    </w:p>
    <w:p w:rsidR="008A74EB" w:rsidRPr="00C9040A" w:rsidRDefault="00594209" w:rsidP="004A4E41">
      <w:pPr>
        <w:pStyle w:val="libFootnote0"/>
        <w:rPr>
          <w:rtl/>
          <w:lang w:bidi="fa-IR"/>
        </w:rPr>
      </w:pPr>
      <w:r>
        <w:rPr>
          <w:rFonts w:hint="cs"/>
          <w:rtl/>
        </w:rPr>
        <w:t xml:space="preserve">= </w:t>
      </w:r>
      <w:r w:rsidR="008A74EB" w:rsidRPr="00C9040A">
        <w:rPr>
          <w:rtl/>
        </w:rPr>
        <w:t>توسّط خبر آخر كما لا يخفى على المتتبّع ، ويحتمل عوده إلى إبراهيم بن هاشم ؛ لروايته سابقاً عن ابن محبوب. ويمكن عوده إلى محمّد بن عبد الجبّار. والأوّل أظهر ، كما لا يخفى على المتتبّع »</w:t>
      </w:r>
      <w:r w:rsidR="008A74EB">
        <w:rPr>
          <w:rtl/>
        </w:rPr>
        <w:t>.</w:t>
      </w:r>
    </w:p>
    <w:p w:rsidR="008A74EB" w:rsidRPr="00C9040A" w:rsidRDefault="008A74EB" w:rsidP="004A4E41">
      <w:pPr>
        <w:pStyle w:val="libFootnote0"/>
        <w:rPr>
          <w:rtl/>
          <w:lang w:bidi="fa-IR"/>
        </w:rPr>
      </w:pPr>
      <w:r w:rsidRPr="00323A39">
        <w:rPr>
          <w:rtl/>
        </w:rPr>
        <w:t xml:space="preserve">هذا ، وقد أرجع الشيخ الحرّ الضمير إلى محمّد بن عبد الجبّار في </w:t>
      </w:r>
      <w:r w:rsidRPr="00993B55">
        <w:rPr>
          <w:rStyle w:val="libFootnoteBoldChar"/>
          <w:rtl/>
        </w:rPr>
        <w:t>الوسائل</w:t>
      </w:r>
      <w:r w:rsidRPr="00323A39">
        <w:rPr>
          <w:rtl/>
        </w:rPr>
        <w:t xml:space="preserve"> ، ح 20551. والظاهر أنّ الضمير راجع إلى أحمد بن محمّد بن عيسى كما استظهره المجلسي </w:t>
      </w:r>
      <w:r w:rsidR="00117575" w:rsidRPr="00117575">
        <w:rPr>
          <w:rStyle w:val="libFootnoteAlaemChar"/>
          <w:rtl/>
        </w:rPr>
        <w:t>قدس‌سره</w:t>
      </w:r>
      <w:r w:rsidRPr="00323A39">
        <w:rPr>
          <w:rtl/>
        </w:rPr>
        <w:t xml:space="preserve"> ؛ فإنّا لم نجد رواية محمّد </w:t>
      </w:r>
      <w:r w:rsidR="00594209">
        <w:rPr>
          <w:rtl/>
        </w:rPr>
        <w:t>بن عبد الجبّار عن ابن محبوب إل</w:t>
      </w:r>
      <w:r w:rsidR="00594209">
        <w:rPr>
          <w:rFonts w:hint="cs"/>
          <w:rtl/>
        </w:rPr>
        <w:t>ّ</w:t>
      </w:r>
      <w:r w:rsidR="00594209">
        <w:rPr>
          <w:rtl/>
        </w:rPr>
        <w:t>ا</w:t>
      </w:r>
      <w:r w:rsidR="00594209">
        <w:rPr>
          <w:rFonts w:hint="cs"/>
          <w:rtl/>
        </w:rPr>
        <w:t xml:space="preserve"> </w:t>
      </w:r>
      <w:r w:rsidRPr="00323A39">
        <w:rPr>
          <w:rtl/>
        </w:rPr>
        <w:t xml:space="preserve">في خبرين : أحدهما في </w:t>
      </w:r>
      <w:r w:rsidRPr="00993B55">
        <w:rPr>
          <w:rStyle w:val="libFootnoteBoldChar"/>
          <w:rtl/>
        </w:rPr>
        <w:t>الكافي</w:t>
      </w:r>
      <w:r w:rsidRPr="00323A39">
        <w:rPr>
          <w:rtl/>
        </w:rPr>
        <w:t xml:space="preserve"> ، ح 1592 ، والآخر في </w:t>
      </w:r>
      <w:r w:rsidRPr="0034021D">
        <w:rPr>
          <w:rStyle w:val="libFootnoteBoldChar"/>
          <w:rtl/>
        </w:rPr>
        <w:t>الأمالي للمفيد</w:t>
      </w:r>
      <w:r w:rsidRPr="00594209">
        <w:rPr>
          <w:rStyle w:val="libFootnoteBoldChar"/>
          <w:rtl/>
        </w:rPr>
        <w:t xml:space="preserve"> </w:t>
      </w:r>
      <w:r w:rsidRPr="00323A39">
        <w:rPr>
          <w:rtl/>
        </w:rPr>
        <w:t xml:space="preserve">، ص 299 ، ح 9 ، وكلا السندين ينتهيان إلى أبي حمزة الثمالي ، قبل المعصوم. فيستبعد جدّاً رجوع الضمير إلى محمّد بن عبد الجبّار ، مضافاً إلى أنّ رجوع الضمير إليه في أسناد </w:t>
      </w:r>
      <w:r w:rsidRPr="00993B55">
        <w:rPr>
          <w:rStyle w:val="libFootnoteBoldChar"/>
          <w:rtl/>
        </w:rPr>
        <w:t>الكافي</w:t>
      </w:r>
      <w:r w:rsidRPr="00323A39">
        <w:rPr>
          <w:rtl/>
        </w:rPr>
        <w:t xml:space="preserve"> في غاية النُدرة.</w:t>
      </w:r>
    </w:p>
    <w:p w:rsidR="008A74EB" w:rsidRDefault="008A74EB" w:rsidP="004A4E41">
      <w:pPr>
        <w:pStyle w:val="libFootnote0"/>
        <w:rPr>
          <w:rtl/>
        </w:rPr>
      </w:pPr>
      <w:r w:rsidRPr="00323A39">
        <w:rPr>
          <w:rtl/>
        </w:rPr>
        <w:t xml:space="preserve">وأمّا احتمال رجوع الضمير إلى إبراهيم بن هاشم والد عليّ بن إبراهيم في ح 1958 ، فإنّه وإن لم يكن غير منفيّ ، لكنّه لم يثبت وقوع هذه الظاهرة في أسناد </w:t>
      </w:r>
      <w:r w:rsidRPr="00993B55">
        <w:rPr>
          <w:rStyle w:val="libFootnoteBoldChar"/>
          <w:rtl/>
        </w:rPr>
        <w:t>الكافي</w:t>
      </w:r>
      <w:r w:rsidRPr="00323A39">
        <w:rPr>
          <w:rtl/>
        </w:rPr>
        <w:t xml:space="preserve"> ، كما يأتي في ح 3530 ، ويبعّده وقوع الفصل الكثير بين الضمير ومرجعه.</w:t>
      </w:r>
    </w:p>
    <w:p w:rsidR="008A74EB" w:rsidRPr="00C9040A" w:rsidRDefault="006C577F" w:rsidP="004A4E41">
      <w:pPr>
        <w:pStyle w:val="libFootnote0"/>
        <w:rPr>
          <w:rtl/>
          <w:lang w:bidi="fa-IR"/>
        </w:rPr>
      </w:pPr>
      <w:r>
        <w:rPr>
          <w:rtl/>
        </w:rPr>
        <w:t>(1).</w:t>
      </w:r>
      <w:r w:rsidR="008A74EB">
        <w:rPr>
          <w:rtl/>
        </w:rPr>
        <w:t xml:space="preserve"> </w:t>
      </w:r>
      <w:r w:rsidR="008A74EB" w:rsidRPr="00993B55">
        <w:rPr>
          <w:rStyle w:val="libFootnoteBoldChar"/>
          <w:rtl/>
        </w:rPr>
        <w:t>الاختصاص</w:t>
      </w:r>
      <w:r w:rsidR="008A74EB" w:rsidRPr="00C9040A">
        <w:rPr>
          <w:rtl/>
        </w:rPr>
        <w:t xml:space="preserve"> ، ص 262 ، عن ابن محبوب </w:t>
      </w:r>
      <w:r w:rsidR="00594209">
        <w:rPr>
          <w:rFonts w:hint="cs"/>
          <w:rtl/>
        </w:rPr>
        <w:t>.</w:t>
      </w:r>
      <w:r w:rsidR="008A74EB" w:rsidRPr="00993B55">
        <w:rPr>
          <w:rStyle w:val="libFootnoteBoldChar"/>
          <w:rtl/>
        </w:rPr>
        <w:t>الوافي</w:t>
      </w:r>
      <w:r w:rsidR="008A74EB" w:rsidRPr="00C9040A">
        <w:rPr>
          <w:rtl/>
        </w:rPr>
        <w:t xml:space="preserve"> ، ج 4 ، ص 478 ، ح 2394 ؛ </w:t>
      </w:r>
      <w:r w:rsidR="008A74EB" w:rsidRPr="00993B55">
        <w:rPr>
          <w:rStyle w:val="libFootnoteBoldChar"/>
          <w:rtl/>
        </w:rPr>
        <w:t>الوسائل</w:t>
      </w:r>
      <w:r w:rsidR="008A74EB" w:rsidRPr="00C9040A">
        <w:rPr>
          <w:rtl/>
        </w:rPr>
        <w:t xml:space="preserve"> ، ج 15 ، ص 294 ، ح 20551 ؛ </w:t>
      </w:r>
      <w:r w:rsidR="008A74EB" w:rsidRPr="00993B55">
        <w:rPr>
          <w:rStyle w:val="libFootnoteBoldChar"/>
          <w:rtl/>
        </w:rPr>
        <w:t>البحار</w:t>
      </w:r>
      <w:r w:rsidR="008A74EB" w:rsidRPr="00C9040A">
        <w:rPr>
          <w:rtl/>
        </w:rPr>
        <w:t xml:space="preserve"> ، ج 75 ، ص 39 ، ح 37.</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الخبر رواه الصدوق في </w:t>
      </w:r>
      <w:r w:rsidR="008A74EB" w:rsidRPr="00993B55">
        <w:rPr>
          <w:rStyle w:val="libFootnoteBoldChar"/>
          <w:rtl/>
        </w:rPr>
        <w:t>الخصال</w:t>
      </w:r>
      <w:r w:rsidR="008A74EB" w:rsidRPr="00C9040A">
        <w:rPr>
          <w:rtl/>
        </w:rPr>
        <w:t xml:space="preserve"> ، ص 80 ، ح 3 بسنده عن أحمد بن محمّد بن خالد ، عن إسماعيل بن مهران ، عن عثمان بن جبلة ، عن أبي حمزة الثمالي ، عن أبي جعفر </w:t>
      </w:r>
      <w:r w:rsidR="00117575" w:rsidRPr="00117575">
        <w:rPr>
          <w:rStyle w:val="libFootnoteAlaemChar"/>
          <w:rtl/>
        </w:rPr>
        <w:t xml:space="preserve">عليه‌السلام </w:t>
      </w:r>
      <w:r w:rsidR="008A74EB" w:rsidRPr="00C9040A">
        <w:rPr>
          <w:rtl/>
        </w:rPr>
        <w:t>.</w:t>
      </w:r>
    </w:p>
    <w:p w:rsidR="008A74EB" w:rsidRPr="00C9040A" w:rsidRDefault="008A74EB" w:rsidP="004A4E41">
      <w:pPr>
        <w:pStyle w:val="libFootnote0"/>
        <w:rPr>
          <w:rtl/>
          <w:lang w:bidi="fa-IR"/>
        </w:rPr>
      </w:pPr>
      <w:r w:rsidRPr="00323A39">
        <w:rPr>
          <w:rtl/>
        </w:rPr>
        <w:t xml:space="preserve">والظاهر صحّة ما في </w:t>
      </w:r>
      <w:r w:rsidRPr="00993B55">
        <w:rPr>
          <w:rStyle w:val="libFootnoteBoldChar"/>
          <w:rtl/>
        </w:rPr>
        <w:t>الخصال</w:t>
      </w:r>
      <w:r w:rsidRPr="00323A39">
        <w:rPr>
          <w:rtl/>
        </w:rPr>
        <w:t xml:space="preserve"> ؛ فإنّه مضافاً إلى عدم ملاءمة ما ورد في </w:t>
      </w:r>
      <w:r w:rsidRPr="00993B55">
        <w:rPr>
          <w:rStyle w:val="libFootnoteBoldChar"/>
          <w:rtl/>
        </w:rPr>
        <w:t>الكافي</w:t>
      </w:r>
      <w:r w:rsidRPr="00323A39">
        <w:rPr>
          <w:rtl/>
        </w:rPr>
        <w:t xml:space="preserve"> لطبقة إسماعيل بن مهران المعدود من أصحاب أبي الحسن الرضا </w:t>
      </w:r>
      <w:r w:rsidR="00117575" w:rsidRPr="00117575">
        <w:rPr>
          <w:rStyle w:val="libFootnoteAlaemChar"/>
          <w:rtl/>
        </w:rPr>
        <w:t>عليه‌السلام</w:t>
      </w:r>
      <w:r w:rsidRPr="00323A39">
        <w:rPr>
          <w:rtl/>
        </w:rPr>
        <w:t xml:space="preserve"> </w:t>
      </w:r>
      <w:r w:rsidR="0084262C" w:rsidRPr="00323A39">
        <w:rPr>
          <w:rtl/>
        </w:rPr>
        <w:t>-</w:t>
      </w:r>
      <w:r w:rsidRPr="00323A39">
        <w:rPr>
          <w:rtl/>
        </w:rPr>
        <w:t xml:space="preserve"> كما في </w:t>
      </w:r>
      <w:r w:rsidRPr="00993B55">
        <w:rPr>
          <w:rStyle w:val="libFootnoteBoldChar"/>
          <w:rtl/>
        </w:rPr>
        <w:t>رجال البرقي</w:t>
      </w:r>
      <w:r w:rsidRPr="00323A39">
        <w:rPr>
          <w:rtl/>
        </w:rPr>
        <w:t xml:space="preserve"> ، ص 55 ، و</w:t>
      </w:r>
      <w:r w:rsidRPr="00993B55">
        <w:rPr>
          <w:rStyle w:val="libFootnoteBoldChar"/>
          <w:rtl/>
        </w:rPr>
        <w:t>رجال الطوسي</w:t>
      </w:r>
      <w:r w:rsidRPr="00323A39">
        <w:rPr>
          <w:rtl/>
        </w:rPr>
        <w:t xml:space="preserve"> ، ص 352 ، الرقم 5208 </w:t>
      </w:r>
      <w:r w:rsidR="0084262C" w:rsidRPr="00323A39">
        <w:rPr>
          <w:rtl/>
        </w:rPr>
        <w:t>-</w:t>
      </w:r>
      <w:r w:rsidRPr="00323A39">
        <w:rPr>
          <w:rtl/>
        </w:rPr>
        <w:t xml:space="preserve"> فيبعد روايته عن أبي جعفر المراد به محمّد بن عليّ الباقر </w:t>
      </w:r>
      <w:r w:rsidR="00117575" w:rsidRPr="00117575">
        <w:rPr>
          <w:rStyle w:val="libFootnoteAlaemChar"/>
          <w:rtl/>
        </w:rPr>
        <w:t>عليه‌السلام</w:t>
      </w:r>
      <w:r w:rsidRPr="00323A39">
        <w:rPr>
          <w:rtl/>
        </w:rPr>
        <w:t xml:space="preserve"> بواسطة واحدةٍ ، روى عثمان بن جبلة عن أبي عبد الله </w:t>
      </w:r>
      <w:r w:rsidR="00117575" w:rsidRPr="00117575">
        <w:rPr>
          <w:rStyle w:val="libFootnoteAlaemChar"/>
          <w:rtl/>
        </w:rPr>
        <w:t xml:space="preserve">عليه‌السلام </w:t>
      </w:r>
      <w:r w:rsidRPr="00323A39">
        <w:rPr>
          <w:rtl/>
        </w:rPr>
        <w:t xml:space="preserve">مع الواسطة فروايته عن أبي جعفر </w:t>
      </w:r>
      <w:r w:rsidR="00117575" w:rsidRPr="00117575">
        <w:rPr>
          <w:rStyle w:val="libFootnoteAlaemChar"/>
          <w:rtl/>
        </w:rPr>
        <w:t>عليه‌السلام</w:t>
      </w:r>
      <w:r w:rsidRPr="00323A39">
        <w:rPr>
          <w:rtl/>
        </w:rPr>
        <w:t xml:space="preserve"> مباشرةً بعيدة. راجع : </w:t>
      </w:r>
      <w:r w:rsidRPr="00993B55">
        <w:rPr>
          <w:rStyle w:val="libFootnoteBoldChar"/>
          <w:rtl/>
        </w:rPr>
        <w:t>بصائر الدرجات</w:t>
      </w:r>
      <w:r w:rsidRPr="00323A39">
        <w:rPr>
          <w:rtl/>
        </w:rPr>
        <w:t xml:space="preserve"> ، ص 22 ، ح 10 ، وص 507 ، ح 8 ؛ </w:t>
      </w:r>
      <w:r w:rsidRPr="00993B55">
        <w:rPr>
          <w:rStyle w:val="libFootnoteBoldChar"/>
          <w:rtl/>
        </w:rPr>
        <w:t>معاني الأخبار</w:t>
      </w:r>
      <w:r w:rsidRPr="00323A39">
        <w:rPr>
          <w:rtl/>
        </w:rPr>
        <w:t xml:space="preserve"> ، ص 403 ، ح 71 ؛ </w:t>
      </w:r>
      <w:r w:rsidRPr="00993B55">
        <w:rPr>
          <w:rStyle w:val="libFootnoteBoldChar"/>
          <w:rtl/>
        </w:rPr>
        <w:t>الغيب</w:t>
      </w:r>
      <w:r w:rsidRPr="00594209">
        <w:rPr>
          <w:rStyle w:val="libFootnoteBoldChar"/>
          <w:rtl/>
        </w:rPr>
        <w:t>ة للطوسي</w:t>
      </w:r>
      <w:r w:rsidRPr="00323A39">
        <w:rPr>
          <w:rtl/>
        </w:rPr>
        <w:t xml:space="preserve"> ، ص 405.</w:t>
      </w:r>
    </w:p>
    <w:p w:rsidR="008A74EB" w:rsidRPr="00C9040A" w:rsidRDefault="008A74EB" w:rsidP="008A74EB">
      <w:pPr>
        <w:pStyle w:val="libNormal"/>
        <w:rPr>
          <w:rtl/>
          <w:lang w:bidi="fa-IR"/>
        </w:rPr>
      </w:pPr>
      <w:r w:rsidRPr="00323A39">
        <w:rPr>
          <w:rStyle w:val="libFootnote0Char"/>
          <w:rtl/>
        </w:rPr>
        <w:t xml:space="preserve">هذا ، والمظنون قويّاً في وجه سقوط « عن أبي حمزة [ الثمالي ] » من سند </w:t>
      </w:r>
      <w:r w:rsidRPr="00993B55">
        <w:rPr>
          <w:rStyle w:val="libFootnoteBoldChar"/>
          <w:rtl/>
        </w:rPr>
        <w:t>الكافي</w:t>
      </w:r>
      <w:r w:rsidRPr="00323A39">
        <w:rPr>
          <w:rStyle w:val="libFootnote0Char"/>
          <w:rtl/>
        </w:rPr>
        <w:t xml:space="preserve"> ، هو جواز نظر الناسخ من لفظة « أبي » في « أبي حمزة » إلى « أبي » في « أبي جعفر » المورث للسقط.</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مَا هُوَ سَائِلُهُمْ ؛ وَرَجُلٌ لَمْ يُقَدِّمْ رِجْلاً وَلَمْ يُؤَخِّرْ رِجْلاً حَتّى يَعْلَمَ أَنَّ </w:t>
      </w:r>
      <w:r w:rsidR="006C577F" w:rsidRPr="006C577F">
        <w:rPr>
          <w:rStyle w:val="libFootnotenumChar"/>
          <w:rtl/>
        </w:rPr>
        <w:t>(1)</w:t>
      </w:r>
      <w:r w:rsidRPr="00C9040A">
        <w:rPr>
          <w:rtl/>
          <w:lang w:bidi="fa-IR"/>
        </w:rPr>
        <w:t xml:space="preserve"> ذلِكَ لِلّهِ رِضًا ؛ وَرَجُلٌ لَمْ يَعِبْ أَخَاهُ الْمُسْلِمَ بِعَيْبٍ حَتّى يَنْفِيَ ذلِكَ الْعَيْبَ عَنْ نَفْسِهِ ؛ فَإِنَّهُ لَايَنْفِي مِنْهَا </w:t>
      </w:r>
      <w:r w:rsidR="006C577F" w:rsidRPr="006C577F">
        <w:rPr>
          <w:rStyle w:val="libFootnotenumChar"/>
          <w:rtl/>
        </w:rPr>
        <w:t>(2)</w:t>
      </w:r>
      <w:r w:rsidR="00CF0F79">
        <w:rPr>
          <w:rtl/>
          <w:lang w:bidi="fa-IR"/>
        </w:rPr>
        <w:t xml:space="preserve"> عَيْباً إِل</w:t>
      </w:r>
      <w:r w:rsidR="00CF0F79">
        <w:rPr>
          <w:rFonts w:hint="cs"/>
          <w:rtl/>
          <w:lang w:bidi="fa-IR"/>
        </w:rPr>
        <w:t>َّ</w:t>
      </w:r>
      <w:r w:rsidR="00CF0F79">
        <w:rPr>
          <w:rtl/>
          <w:lang w:bidi="fa-IR"/>
        </w:rPr>
        <w:t>ا</w:t>
      </w:r>
      <w:r w:rsidRPr="00C9040A">
        <w:rPr>
          <w:rtl/>
          <w:lang w:bidi="fa-IR"/>
        </w:rPr>
        <w:t xml:space="preserve"> بَدَا لَهُ عَيْبٌ ، وَكَفى بِالْمَرْءِ شُغُلاً بِنَفْسِهِ عَنِ النَّاسِ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3F7886">
        <w:rPr>
          <w:rtl/>
        </w:rPr>
        <w:t>1963</w:t>
      </w:r>
      <w:r w:rsidRPr="00261CB0">
        <w:rPr>
          <w:rStyle w:val="libBold2Char"/>
          <w:rtl/>
        </w:rPr>
        <w:t xml:space="preserve"> / 17.</w:t>
      </w:r>
      <w:r w:rsidRPr="00C9040A">
        <w:rPr>
          <w:rtl/>
          <w:lang w:bidi="fa-IR"/>
        </w:rPr>
        <w:t xml:space="preserve"> عَنْهُ </w:t>
      </w:r>
      <w:r w:rsidR="006C577F" w:rsidRPr="006C577F">
        <w:rPr>
          <w:rStyle w:val="libFootnotenumChar"/>
          <w:rtl/>
        </w:rPr>
        <w:t>(4)</w:t>
      </w:r>
      <w:r w:rsidRPr="00C9040A">
        <w:rPr>
          <w:rtl/>
          <w:lang w:bidi="fa-IR"/>
        </w:rPr>
        <w:t xml:space="preserve"> ، عَنْ عَبْدِ الرَّحْمنِ بْنِ حَمَّادٍ الْكُوفِيِّ ، عَنْ عَبْدِ اللهِ بْنِ إِبْرَاهِيمَ الْغِفَارِيِّ ، عَنْ جَعْفَرِ بْنِ إِبْرَاهِيمَ الْجَعْفَرِيِّ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مَنْ وَاسَى </w:t>
      </w:r>
      <w:r w:rsidR="006C577F" w:rsidRPr="006C577F">
        <w:rPr>
          <w:rStyle w:val="libFootnotenumChar"/>
          <w:rtl/>
        </w:rPr>
        <w:t>(5)</w:t>
      </w:r>
      <w:r w:rsidRPr="00C9040A">
        <w:rPr>
          <w:rtl/>
          <w:lang w:bidi="fa-IR"/>
        </w:rPr>
        <w:t xml:space="preserve"> الْفَقِيرَ مِنْ مَالِهِ </w:t>
      </w:r>
      <w:r w:rsidR="006C577F" w:rsidRPr="006C577F">
        <w:rPr>
          <w:rStyle w:val="libFootnotenumChar"/>
          <w:rtl/>
        </w:rPr>
        <w:t>(6)</w:t>
      </w:r>
      <w:r w:rsidRPr="005B567D">
        <w:rPr>
          <w:rStyle w:val="libFootnotenumChar"/>
          <w:rtl/>
        </w:rPr>
        <w:t xml:space="preserve"> </w:t>
      </w:r>
      <w:r w:rsidRPr="00C9040A">
        <w:rPr>
          <w:rtl/>
          <w:lang w:bidi="fa-IR"/>
        </w:rPr>
        <w:t>، وَأَنْصَفَ النَّاسَ مِنْ نَفْسِهِ ، فَذلِكَ الْمُؤْمِنُ حَقّاً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3F7886">
        <w:rPr>
          <w:rtl/>
        </w:rPr>
        <w:t>1964</w:t>
      </w:r>
      <w:r w:rsidRPr="00261CB0">
        <w:rPr>
          <w:rStyle w:val="libBold2Char"/>
          <w:rtl/>
        </w:rPr>
        <w:t xml:space="preserve"> / 18.</w:t>
      </w:r>
      <w:r w:rsidRPr="00C9040A">
        <w:rPr>
          <w:rtl/>
          <w:lang w:bidi="fa-IR"/>
        </w:rPr>
        <w:t xml:space="preserve"> مُحَمَّدُ بْنُ يَحْيى ، عَنْ أَحْمَدَ بْنِ مُحَمَّدٍ ، عَنْ مُحَمَّدِ بْنِ سِنَانٍ ، عَنْ خَالِدِ بْنِ نَافِعٍ بَيَّاعِ السَّابِرِيِّ ، عَنْ يُوسُفَ الْبَزَّازِ </w:t>
      </w:r>
      <w:r w:rsidR="006C577F" w:rsidRPr="006C577F">
        <w:rPr>
          <w:rStyle w:val="libFootnotenumChar"/>
          <w:rtl/>
        </w:rPr>
        <w:t>(8)</w:t>
      </w:r>
      <w:r w:rsidRPr="00C9040A">
        <w:rPr>
          <w:rtl/>
          <w:lang w:bidi="fa-IR"/>
        </w:rPr>
        <w:t xml:space="preserve"> ، قَالَ :</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CF0F79" w:rsidTr="00CF0F79">
        <w:tc>
          <w:tcPr>
            <w:tcW w:w="4006" w:type="dxa"/>
          </w:tcPr>
          <w:p w:rsidR="00CF0F79" w:rsidRDefault="00CF0F79" w:rsidP="004A4E41">
            <w:pPr>
              <w:pStyle w:val="libFootnote0"/>
              <w:rPr>
                <w:rtl/>
              </w:rPr>
            </w:pPr>
            <w:r>
              <w:rPr>
                <w:rtl/>
              </w:rPr>
              <w:t xml:space="preserve">(1). </w:t>
            </w:r>
            <w:r w:rsidRPr="00C9040A">
              <w:rPr>
                <w:rtl/>
              </w:rPr>
              <w:t xml:space="preserve">في « ف » </w:t>
            </w:r>
            <w:r>
              <w:rPr>
                <w:rtl/>
              </w:rPr>
              <w:t>: -</w:t>
            </w:r>
            <w:r w:rsidRPr="00C9040A">
              <w:rPr>
                <w:rtl/>
              </w:rPr>
              <w:t xml:space="preserve"> « أنّ »</w:t>
            </w:r>
            <w:r>
              <w:rPr>
                <w:rtl/>
              </w:rPr>
              <w:t>.</w:t>
            </w:r>
          </w:p>
        </w:tc>
        <w:tc>
          <w:tcPr>
            <w:tcW w:w="4006" w:type="dxa"/>
          </w:tcPr>
          <w:p w:rsidR="00CF0F79" w:rsidRDefault="00CF0F79" w:rsidP="004A4E41">
            <w:pPr>
              <w:pStyle w:val="libFootnote0"/>
              <w:rPr>
                <w:rtl/>
              </w:rPr>
            </w:pPr>
            <w:r>
              <w:rPr>
                <w:rtl/>
              </w:rPr>
              <w:t xml:space="preserve">(2). </w:t>
            </w:r>
            <w:r w:rsidRPr="00C9040A">
              <w:rPr>
                <w:rtl/>
              </w:rPr>
              <w:t>في « ج » : « منه »</w:t>
            </w:r>
            <w:r>
              <w:rPr>
                <w:rtl/>
              </w:rPr>
              <w:t>.</w:t>
            </w:r>
            <w:r w:rsidRPr="00C9040A">
              <w:rPr>
                <w:rtl/>
              </w:rPr>
              <w:t xml:space="preserve"> والنفس ممّا يذكّر ويؤنّث.</w:t>
            </w:r>
          </w:p>
        </w:tc>
      </w:tr>
    </w:tbl>
    <w:p w:rsidR="008A74EB" w:rsidRPr="00C9040A" w:rsidRDefault="006C577F" w:rsidP="004A4E41">
      <w:pPr>
        <w:pStyle w:val="libFootnote0"/>
        <w:rPr>
          <w:rtl/>
          <w:lang w:bidi="fa-IR"/>
        </w:rPr>
      </w:pPr>
      <w:r>
        <w:rPr>
          <w:rtl/>
        </w:rPr>
        <w:t>(3).</w:t>
      </w:r>
      <w:r w:rsidR="008A74EB" w:rsidRPr="00C9040A">
        <w:rPr>
          <w:rtl/>
        </w:rPr>
        <w:t xml:space="preserve"> </w:t>
      </w:r>
      <w:r w:rsidR="008A74EB" w:rsidRPr="00993B55">
        <w:rPr>
          <w:rStyle w:val="libFootnoteBoldChar"/>
          <w:rtl/>
        </w:rPr>
        <w:t>الخصال</w:t>
      </w:r>
      <w:r w:rsidR="008A74EB" w:rsidRPr="00C9040A">
        <w:rPr>
          <w:rtl/>
        </w:rPr>
        <w:t xml:space="preserve"> ، ص 80 ، باب الثلاثة ، ح 3 ، بسنده عن محمّد بن أحمد بن عليّ بن الصلت ، عن أحمد بن محمّد بن خالد ، عن إسماعيل بن مهران ، عن عثمان بن جبلة ، عن أبي حمزة الثمالي ، عن أبي جعفر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المحاسن</w:t>
      </w:r>
      <w:r w:rsidR="008A74EB" w:rsidRPr="00C9040A">
        <w:rPr>
          <w:rtl/>
        </w:rPr>
        <w:t xml:space="preserve"> ، ص 4 ، كتاب القرائن ، ح 8 ، بسند آخر عن أبي عبد الله </w:t>
      </w:r>
      <w:r w:rsidR="00117575" w:rsidRPr="00117575">
        <w:rPr>
          <w:rStyle w:val="libFootnoteAlaemChar"/>
          <w:rtl/>
        </w:rPr>
        <w:t xml:space="preserve">عليه‌السلام </w:t>
      </w:r>
      <w:r w:rsidR="008A74EB" w:rsidRPr="00C9040A">
        <w:rPr>
          <w:rtl/>
        </w:rPr>
        <w:t xml:space="preserve"> ؛ </w:t>
      </w:r>
      <w:r w:rsidR="008A74EB" w:rsidRPr="00993B55">
        <w:rPr>
          <w:rStyle w:val="libFootnoteBoldChar"/>
          <w:rtl/>
        </w:rPr>
        <w:t>الخصال</w:t>
      </w:r>
      <w:r w:rsidR="008A74EB" w:rsidRPr="00C9040A">
        <w:rPr>
          <w:rtl/>
        </w:rPr>
        <w:t xml:space="preserve"> ، ص 81 ، باب الثلاثة ، ح 4 ، بسند آخر عن أبي عبد الله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تحف العقول</w:t>
      </w:r>
      <w:r w:rsidR="008A74EB" w:rsidRPr="00C9040A">
        <w:rPr>
          <w:rtl/>
        </w:rPr>
        <w:t xml:space="preserve"> ، ص 282 ، عن السجّاد </w:t>
      </w:r>
      <w:r w:rsidR="00117575" w:rsidRPr="00117575">
        <w:rPr>
          <w:rStyle w:val="libFootnoteAlaemChar"/>
          <w:rtl/>
        </w:rPr>
        <w:t xml:space="preserve">عليه‌السلام </w:t>
      </w:r>
      <w:r w:rsidR="008A74EB" w:rsidRPr="00C9040A">
        <w:rPr>
          <w:rtl/>
        </w:rPr>
        <w:t xml:space="preserve"> ، وفيهما من دون الإسناد إلى الرسول </w:t>
      </w:r>
      <w:r w:rsidR="004A4E41" w:rsidRPr="00DE2616">
        <w:rPr>
          <w:rStyle w:val="libFootnoteAlaemChar"/>
          <w:rtl/>
        </w:rPr>
        <w:t>صلى‌الله‌عليه‌وآله</w:t>
      </w:r>
      <w:r w:rsidR="008A74EB" w:rsidRPr="00C9040A">
        <w:rPr>
          <w:rtl/>
        </w:rPr>
        <w:t xml:space="preserve"> ، وفي كلّها مع اختلاف يسير. مصادقة الإخوان ، ص 76 ، ح 2 ، مرسلاً عن داود بن فرقد ، عن أبي عبد الله </w:t>
      </w:r>
      <w:r w:rsidR="00117575" w:rsidRPr="00117575">
        <w:rPr>
          <w:rStyle w:val="libFootnoteAlaemChar"/>
          <w:rtl/>
        </w:rPr>
        <w:t xml:space="preserve">عليه‌السلام </w:t>
      </w:r>
      <w:r w:rsidR="008A74EB" w:rsidRPr="00C9040A">
        <w:rPr>
          <w:rtl/>
        </w:rPr>
        <w:t xml:space="preserve"> ، من دون الإسناد إلى رسول الله </w:t>
      </w:r>
      <w:r w:rsidR="004A4E41" w:rsidRPr="00DE2616">
        <w:rPr>
          <w:rStyle w:val="libFootnoteAlaemChar"/>
          <w:rtl/>
        </w:rPr>
        <w:t>صلى‌الله‌عليه‌وآله</w:t>
      </w:r>
      <w:r w:rsidR="008A74EB" w:rsidRPr="00C9040A">
        <w:rPr>
          <w:rtl/>
        </w:rPr>
        <w:t xml:space="preserve"> </w:t>
      </w:r>
      <w:r w:rsidR="00CF0F79">
        <w:rPr>
          <w:rFonts w:hint="cs"/>
          <w:rtl/>
        </w:rPr>
        <w:t>.</w:t>
      </w:r>
      <w:r w:rsidR="008A74EB" w:rsidRPr="00993B55">
        <w:rPr>
          <w:rStyle w:val="libFootnoteBoldChar"/>
          <w:rtl/>
        </w:rPr>
        <w:t>الوافي</w:t>
      </w:r>
      <w:r w:rsidR="008A74EB" w:rsidRPr="00C9040A">
        <w:rPr>
          <w:rtl/>
        </w:rPr>
        <w:t xml:space="preserve"> ، ج 4 ، ص 477 ، ح 2389 ؛ </w:t>
      </w:r>
      <w:r w:rsidR="008A74EB" w:rsidRPr="00993B55">
        <w:rPr>
          <w:rStyle w:val="libFootnoteBoldChar"/>
          <w:rtl/>
        </w:rPr>
        <w:t>الوسائل</w:t>
      </w:r>
      <w:r w:rsidR="008A74EB" w:rsidRPr="00C9040A">
        <w:rPr>
          <w:rtl/>
        </w:rPr>
        <w:t xml:space="preserve"> ، ج 15 ، ص 288 ، ح 20538 ؛ </w:t>
      </w:r>
      <w:r w:rsidR="008A74EB" w:rsidRPr="00993B55">
        <w:rPr>
          <w:rStyle w:val="libFootnoteBoldChar"/>
          <w:rtl/>
        </w:rPr>
        <w:t>البحار</w:t>
      </w:r>
      <w:r w:rsidR="008A74EB" w:rsidRPr="00C9040A">
        <w:rPr>
          <w:rtl/>
        </w:rPr>
        <w:t xml:space="preserve"> ، ج 75 ، ص 39 ، ح 38.</w:t>
      </w:r>
    </w:p>
    <w:p w:rsidR="008A74EB" w:rsidRPr="00C9040A" w:rsidRDefault="006C577F" w:rsidP="004A4E41">
      <w:pPr>
        <w:pStyle w:val="libFootnote0"/>
        <w:rPr>
          <w:rtl/>
          <w:lang w:bidi="fa-IR"/>
        </w:rPr>
      </w:pPr>
      <w:r>
        <w:rPr>
          <w:rtl/>
        </w:rPr>
        <w:t>(4).</w:t>
      </w:r>
      <w:r w:rsidR="008A74EB" w:rsidRPr="00C9040A">
        <w:rPr>
          <w:rtl/>
        </w:rPr>
        <w:t xml:space="preserve"> الضمير راجع إلى أحمد بن محمّد بن خالد المذكور في السند السابق ؛ فقد روى أحمد بن محمّد هذا عن‌عبد الرحمن بن حمّاد في بعض الأسناد. ا</w:t>
      </w:r>
      <w:r w:rsidR="00CF0F79">
        <w:rPr>
          <w:rFonts w:hint="cs"/>
          <w:rtl/>
        </w:rPr>
        <w:t>ُ</w:t>
      </w:r>
      <w:r w:rsidR="008A74EB" w:rsidRPr="00C9040A">
        <w:rPr>
          <w:rtl/>
        </w:rPr>
        <w:t xml:space="preserve">نظر على سبيل المثال : </w:t>
      </w:r>
      <w:r w:rsidR="008A74EB" w:rsidRPr="00993B55">
        <w:rPr>
          <w:rStyle w:val="libFootnoteBoldChar"/>
          <w:rtl/>
        </w:rPr>
        <w:t>الكافي</w:t>
      </w:r>
      <w:r w:rsidR="008A74EB" w:rsidRPr="00C9040A">
        <w:rPr>
          <w:rtl/>
        </w:rPr>
        <w:t xml:space="preserve"> ، ح 3301 </w:t>
      </w:r>
      <w:r w:rsidR="008A74EB">
        <w:rPr>
          <w:rtl/>
        </w:rPr>
        <w:t>و 6</w:t>
      </w:r>
      <w:r w:rsidR="008A74EB" w:rsidRPr="00C9040A">
        <w:rPr>
          <w:rtl/>
        </w:rPr>
        <w:t xml:space="preserve">016 </w:t>
      </w:r>
      <w:r w:rsidR="008A74EB">
        <w:rPr>
          <w:rtl/>
        </w:rPr>
        <w:t>و 8</w:t>
      </w:r>
      <w:r w:rsidR="008A74EB" w:rsidRPr="00C9040A">
        <w:rPr>
          <w:rtl/>
        </w:rPr>
        <w:t xml:space="preserve">398 </w:t>
      </w:r>
      <w:r w:rsidR="008A74EB">
        <w:rPr>
          <w:rtl/>
        </w:rPr>
        <w:t>و 8</w:t>
      </w:r>
      <w:r w:rsidR="008A74EB" w:rsidRPr="00C9040A">
        <w:rPr>
          <w:rtl/>
        </w:rPr>
        <w:t xml:space="preserve">751 ؛ </w:t>
      </w:r>
      <w:r w:rsidR="008A74EB" w:rsidRPr="00993B55">
        <w:rPr>
          <w:rStyle w:val="libFootnoteBoldChar"/>
          <w:rtl/>
        </w:rPr>
        <w:t>المحاسن</w:t>
      </w:r>
      <w:r w:rsidR="008A74EB" w:rsidRPr="00C9040A">
        <w:rPr>
          <w:rtl/>
        </w:rPr>
        <w:t xml:space="preserve"> ، ص 6 ، ح 17 ؛ وص 11 ، ح 23 ؛ وص 138 ، ح 24 ؛ وص 361 ، ح 89.</w:t>
      </w:r>
    </w:p>
    <w:p w:rsidR="008A74EB" w:rsidRPr="00C9040A" w:rsidRDefault="006C577F" w:rsidP="00CF0F79">
      <w:pPr>
        <w:pStyle w:val="libFootnote0"/>
        <w:rPr>
          <w:rtl/>
          <w:lang w:bidi="fa-IR"/>
        </w:rPr>
      </w:pPr>
      <w:r>
        <w:rPr>
          <w:rtl/>
        </w:rPr>
        <w:t>(5).</w:t>
      </w:r>
      <w:r w:rsidR="008A74EB" w:rsidRPr="00C9040A">
        <w:rPr>
          <w:rtl/>
        </w:rPr>
        <w:t xml:space="preserve"> « المواساة » : المشاركة والمساهمة في المعاش والرِّزق ، وأصلها الهمزة فقلبت واواً تخفيفاً. </w:t>
      </w:r>
      <w:r w:rsidR="008A74EB" w:rsidRPr="00993B55">
        <w:rPr>
          <w:rStyle w:val="libFootnoteBoldChar"/>
          <w:rtl/>
        </w:rPr>
        <w:t>النهاية</w:t>
      </w:r>
      <w:r w:rsidR="008A74EB" w:rsidRPr="00C9040A">
        <w:rPr>
          <w:rtl/>
        </w:rPr>
        <w:t xml:space="preserve"> ، ج 1 ، ص 50 ( أسا )</w:t>
      </w:r>
      <w:r w:rsidR="008A74EB">
        <w:rPr>
          <w:rtl/>
        </w:rPr>
        <w:t>.</w:t>
      </w:r>
      <w:r w:rsidR="00CF0F79">
        <w:rPr>
          <w:rFonts w:hint="cs"/>
          <w:rtl/>
        </w:rPr>
        <w:t xml:space="preserve">                                                 </w:t>
      </w:r>
      <w:r>
        <w:rPr>
          <w:rtl/>
        </w:rPr>
        <w:t>(6).</w:t>
      </w:r>
      <w:r w:rsidR="008A74EB">
        <w:rPr>
          <w:rtl/>
        </w:rPr>
        <w:t xml:space="preserve"> </w:t>
      </w:r>
      <w:r w:rsidR="008A74EB" w:rsidRPr="00C9040A">
        <w:rPr>
          <w:rtl/>
        </w:rPr>
        <w:t xml:space="preserve">في الخصال </w:t>
      </w:r>
      <w:r w:rsidR="008A74EB">
        <w:rPr>
          <w:rtl/>
        </w:rPr>
        <w:t xml:space="preserve">: </w:t>
      </w:r>
      <w:r w:rsidR="0084262C">
        <w:rPr>
          <w:rtl/>
        </w:rPr>
        <w:t>-</w:t>
      </w:r>
      <w:r w:rsidR="008A74EB" w:rsidRPr="00C9040A">
        <w:rPr>
          <w:rtl/>
        </w:rPr>
        <w:t xml:space="preserve"> « من ماله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الخصال</w:t>
      </w:r>
      <w:r w:rsidR="008A74EB" w:rsidRPr="00C9040A">
        <w:rPr>
          <w:rtl/>
        </w:rPr>
        <w:t xml:space="preserve"> ، ص 47 ، باب الاثنين ، ح 48 ، بسنده ، عن أحمد بن أبي عبد الله ، عن عبدالرحمن بن حمّاد الكوفي ، عن عبدالله بن محمّد الغفّاري ، عن جعفر بن إبراهيم الجعفري ، عن جعفر بن محمّد ، عن أبيه </w:t>
      </w:r>
      <w:r w:rsidR="00117575" w:rsidRPr="00117575">
        <w:rPr>
          <w:rStyle w:val="libFootnoteAlaemChar"/>
          <w:rtl/>
        </w:rPr>
        <w:t>عليهما‌السلام</w:t>
      </w:r>
      <w:r w:rsidR="008A74EB" w:rsidRPr="00C9040A">
        <w:rPr>
          <w:rtl/>
        </w:rPr>
        <w:t xml:space="preserve"> عن رسول الله </w:t>
      </w:r>
      <w:r w:rsidR="004A4E41" w:rsidRPr="00DE2616">
        <w:rPr>
          <w:rStyle w:val="libFootnoteAlaemChar"/>
          <w:rtl/>
        </w:rPr>
        <w:t>صلى‌الله‌عليه‌وآله</w:t>
      </w:r>
      <w:r w:rsidR="008A74EB" w:rsidRPr="00C9040A">
        <w:rPr>
          <w:rtl/>
        </w:rPr>
        <w:t xml:space="preserve"> </w:t>
      </w:r>
      <w:r w:rsidR="00CF0F79">
        <w:rPr>
          <w:rFonts w:hint="cs"/>
          <w:rtl/>
        </w:rPr>
        <w:t>.</w:t>
      </w:r>
      <w:r w:rsidR="008A74EB" w:rsidRPr="00993B55">
        <w:rPr>
          <w:rStyle w:val="libFootnoteBoldChar"/>
          <w:rtl/>
        </w:rPr>
        <w:t>الوافي</w:t>
      </w:r>
      <w:r w:rsidR="008A74EB" w:rsidRPr="00C9040A">
        <w:rPr>
          <w:rtl/>
        </w:rPr>
        <w:t xml:space="preserve"> ، ج 4 ، ص 474 ، ح 2382 ؛ </w:t>
      </w:r>
      <w:r w:rsidR="008A74EB" w:rsidRPr="00993B55">
        <w:rPr>
          <w:rStyle w:val="libFootnoteBoldChar"/>
          <w:rtl/>
        </w:rPr>
        <w:t>الوسائل</w:t>
      </w:r>
      <w:r w:rsidR="008A74EB" w:rsidRPr="00C9040A">
        <w:rPr>
          <w:rtl/>
        </w:rPr>
        <w:t xml:space="preserve"> ، ج 15 ، ص 284 ، ح 20527 ؛ </w:t>
      </w:r>
      <w:r w:rsidR="008A74EB" w:rsidRPr="00993B55">
        <w:rPr>
          <w:rStyle w:val="libFootnoteBoldChar"/>
          <w:rtl/>
        </w:rPr>
        <w:t>البحار</w:t>
      </w:r>
      <w:r w:rsidR="008A74EB" w:rsidRPr="00C9040A">
        <w:rPr>
          <w:rtl/>
        </w:rPr>
        <w:t xml:space="preserve"> ، ج 75 ، ص 40 ، ح 39.</w:t>
      </w:r>
    </w:p>
    <w:p w:rsidR="008A74EB" w:rsidRPr="00C9040A" w:rsidRDefault="006C577F" w:rsidP="004A4E41">
      <w:pPr>
        <w:pStyle w:val="libFootnote0"/>
        <w:rPr>
          <w:rtl/>
          <w:lang w:bidi="fa-IR"/>
        </w:rPr>
      </w:pPr>
      <w:r>
        <w:rPr>
          <w:rtl/>
        </w:rPr>
        <w:t>(8).</w:t>
      </w:r>
      <w:r w:rsidR="008A74EB" w:rsidRPr="00C9040A">
        <w:rPr>
          <w:rtl/>
        </w:rPr>
        <w:t xml:space="preserve"> في « ب ، ج » : « البزّار »</w:t>
      </w:r>
      <w:r w:rsidR="008A74EB">
        <w:rPr>
          <w:rtl/>
        </w:rPr>
        <w:t>.</w:t>
      </w:r>
      <w:r w:rsidR="008A74EB" w:rsidRPr="00C9040A">
        <w:rPr>
          <w:rtl/>
        </w:rPr>
        <w:t xml:space="preserve"> والبزّار اسم لمن يخرج الدهن من البَزْر أو يبيعه. راجع : </w:t>
      </w:r>
      <w:r w:rsidR="008A74EB" w:rsidRPr="00993B55">
        <w:rPr>
          <w:rStyle w:val="libFootnoteBoldChar"/>
          <w:rtl/>
        </w:rPr>
        <w:t>الأنساب</w:t>
      </w:r>
      <w:r w:rsidR="008A74EB" w:rsidRPr="00C9040A">
        <w:rPr>
          <w:rtl/>
        </w:rPr>
        <w:t xml:space="preserve"> </w:t>
      </w:r>
      <w:r w:rsidR="008A74EB" w:rsidRPr="00CF0F79">
        <w:rPr>
          <w:rStyle w:val="libFootnoteBoldChar"/>
          <w:rtl/>
        </w:rPr>
        <w:t>للسمعاني</w:t>
      </w:r>
      <w:r w:rsidR="00CF0F79">
        <w:rPr>
          <w:rtl/>
        </w:rPr>
        <w:t xml:space="preserve"> ،</w:t>
      </w:r>
      <w:r w:rsidR="00CF0F79">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 « مَا تَدَارَأَ </w:t>
      </w:r>
      <w:r w:rsidR="006C577F" w:rsidRPr="006C577F">
        <w:rPr>
          <w:rStyle w:val="libFootnotenumChar"/>
          <w:rtl/>
        </w:rPr>
        <w:t>(1)</w:t>
      </w:r>
      <w:r w:rsidRPr="00C9040A">
        <w:rPr>
          <w:rtl/>
          <w:lang w:bidi="fa-IR"/>
        </w:rPr>
        <w:t xml:space="preserve"> اثْنَانِ فِي أَمْرٍ قَطُّ ، فَأَعْطى أَحَدُهُمَا النَّصَفَ </w:t>
      </w:r>
      <w:r w:rsidR="006C577F" w:rsidRPr="006C577F">
        <w:rPr>
          <w:rStyle w:val="libFootnotenumChar"/>
          <w:rtl/>
        </w:rPr>
        <w:t>(2)</w:t>
      </w:r>
      <w:r w:rsidRPr="00C9040A">
        <w:rPr>
          <w:rtl/>
          <w:lang w:bidi="fa-IR"/>
        </w:rPr>
        <w:t xml:space="preserve"> صَاحِبَهُ</w:t>
      </w:r>
      <w:r w:rsidR="00CF0F79">
        <w:rPr>
          <w:rtl/>
          <w:lang w:bidi="fa-IR"/>
        </w:rPr>
        <w:t xml:space="preserve"> فَلَمْ يَقْبَلْ مِنْهُ ، إِل</w:t>
      </w:r>
      <w:r w:rsidR="00CF0F79">
        <w:rPr>
          <w:rFonts w:hint="cs"/>
          <w:rtl/>
          <w:lang w:bidi="fa-IR"/>
        </w:rPr>
        <w:t>َّ</w:t>
      </w:r>
      <w:r w:rsidR="00CF0F79">
        <w:rPr>
          <w:rtl/>
          <w:lang w:bidi="fa-IR"/>
        </w:rPr>
        <w:t>ا</w:t>
      </w:r>
      <w:r w:rsidRPr="00C9040A">
        <w:rPr>
          <w:rtl/>
          <w:lang w:bidi="fa-IR"/>
        </w:rPr>
        <w:t xml:space="preserve"> أُدِيلَ </w:t>
      </w:r>
      <w:r w:rsidR="006C577F" w:rsidRPr="006C577F">
        <w:rPr>
          <w:rStyle w:val="libFootnotenumChar"/>
          <w:rtl/>
        </w:rPr>
        <w:t>(3)</w:t>
      </w:r>
      <w:r w:rsidRPr="00C9040A">
        <w:rPr>
          <w:rtl/>
          <w:lang w:bidi="fa-IR"/>
        </w:rPr>
        <w:t xml:space="preserve"> مِنْهُ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3F7886">
        <w:rPr>
          <w:rtl/>
        </w:rPr>
        <w:t>1965</w:t>
      </w:r>
      <w:r w:rsidRPr="00261CB0">
        <w:rPr>
          <w:rStyle w:val="libBold2Char"/>
          <w:rtl/>
        </w:rPr>
        <w:t xml:space="preserve"> / 19.</w:t>
      </w:r>
      <w:r w:rsidRPr="00C9040A">
        <w:rPr>
          <w:rtl/>
          <w:lang w:bidi="fa-IR"/>
        </w:rPr>
        <w:t xml:space="preserve"> مُحَمَّدُ بْنُ يَحْيى ، عَنْ أَحْمَدَ بْنِ مُحَمَّدٍ ، عَنِ ابْنِ مَحْبُوبٍ ، عَنْ أَبِي أَيُّوبَ ، عَنْ مُحَمَّدِ بْنِ قَيْسٍ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إِنَّ لِلّ</w:t>
      </w:r>
      <w:r w:rsidR="00CF0F79">
        <w:rPr>
          <w:rtl/>
          <w:lang w:bidi="fa-IR"/>
        </w:rPr>
        <w:t>هِ جَنَّةً لَايَدْخُلُهَا إِل</w:t>
      </w:r>
      <w:r w:rsidR="00CF0F79">
        <w:rPr>
          <w:rFonts w:hint="cs"/>
          <w:rtl/>
          <w:lang w:bidi="fa-IR"/>
        </w:rPr>
        <w:t>َّ</w:t>
      </w:r>
      <w:r w:rsidR="00CF0F79">
        <w:rPr>
          <w:rtl/>
          <w:lang w:bidi="fa-IR"/>
        </w:rPr>
        <w:t>ا</w:t>
      </w:r>
      <w:r w:rsidRPr="00C9040A">
        <w:rPr>
          <w:rtl/>
          <w:lang w:bidi="fa-IR"/>
        </w:rPr>
        <w:t xml:space="preserve"> ثَلَاثَةٌ ، أَحَدُهُمْ مَنْ حَكَمَ فِي نَفْسِهِ </w:t>
      </w:r>
      <w:r w:rsidR="006C577F" w:rsidRPr="006C577F">
        <w:rPr>
          <w:rStyle w:val="libFootnotenumChar"/>
          <w:rtl/>
        </w:rPr>
        <w:t>(5)</w:t>
      </w:r>
      <w:r w:rsidRPr="00C9040A">
        <w:rPr>
          <w:rtl/>
          <w:lang w:bidi="fa-IR"/>
        </w:rPr>
        <w:t xml:space="preserve"> بِالْحَقِّ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Normal"/>
        <w:rPr>
          <w:rtl/>
          <w:lang w:bidi="fa-IR"/>
        </w:rPr>
      </w:pPr>
      <w:r w:rsidRPr="003F7886">
        <w:rPr>
          <w:rtl/>
        </w:rPr>
        <w:t>1966</w:t>
      </w:r>
      <w:r w:rsidRPr="00261CB0">
        <w:rPr>
          <w:rStyle w:val="libBold2Char"/>
          <w:rtl/>
        </w:rPr>
        <w:t xml:space="preserve"> / 20.</w:t>
      </w:r>
      <w:r w:rsidRPr="00C9040A">
        <w:rPr>
          <w:rtl/>
          <w:lang w:bidi="fa-IR"/>
        </w:rPr>
        <w:t xml:space="preserve"> عَلِيُّ بْنُ إِبْرَاهِيمَ ، عَنْ أَبِيهِ ، عَنِ ابْنِ أَبِي عُمَيْرٍ ، عَنْ حَمَّادٍ ، عَنِ الْحَلَبِيِّ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الْعَدْلُ أَحْلى مِنَ الْمَاءِ يُصِيبُهُ الظَّمْآنُ ؛ مَا أَوْسَعَ الْعَدْلَ إِذَا عُدِلَ فِيهِ وَإِنْ قَلَّ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CF0F79" w:rsidP="004A4E41">
      <w:pPr>
        <w:pStyle w:val="libFootnote0"/>
        <w:rPr>
          <w:rtl/>
          <w:lang w:bidi="fa-IR"/>
        </w:rPr>
      </w:pPr>
      <w:r>
        <w:rPr>
          <w:rFonts w:hint="cs"/>
          <w:rtl/>
        </w:rPr>
        <w:t xml:space="preserve">= </w:t>
      </w:r>
      <w:r w:rsidR="008A74EB" w:rsidRPr="00C9040A">
        <w:rPr>
          <w:rtl/>
        </w:rPr>
        <w:t xml:space="preserve">ج 1 ، ص 336 ؛ </w:t>
      </w:r>
      <w:r w:rsidR="008A74EB" w:rsidRPr="00993B55">
        <w:rPr>
          <w:rStyle w:val="libFootnoteBoldChar"/>
          <w:rtl/>
        </w:rPr>
        <w:t>توضيح المشتبه</w:t>
      </w:r>
      <w:r w:rsidR="008A74EB" w:rsidRPr="00C9040A">
        <w:rPr>
          <w:rtl/>
        </w:rPr>
        <w:t xml:space="preserve"> ، ج 1 ، ص 484.</w:t>
      </w:r>
    </w:p>
    <w:p w:rsidR="008A74EB" w:rsidRDefault="008A74EB" w:rsidP="004A4E41">
      <w:pPr>
        <w:pStyle w:val="libFootnote0"/>
        <w:rPr>
          <w:rtl/>
        </w:rPr>
      </w:pPr>
      <w:r w:rsidRPr="00323A39">
        <w:rPr>
          <w:rtl/>
        </w:rPr>
        <w:t xml:space="preserve">هذا ، والمذكور في </w:t>
      </w:r>
      <w:r w:rsidRPr="00993B55">
        <w:rPr>
          <w:rStyle w:val="libFootnoteBoldChar"/>
          <w:rtl/>
        </w:rPr>
        <w:t>رجال البرقي</w:t>
      </w:r>
      <w:r w:rsidRPr="00323A39">
        <w:rPr>
          <w:rtl/>
        </w:rPr>
        <w:t xml:space="preserve"> ، ص 29 ؛ و</w:t>
      </w:r>
      <w:r w:rsidRPr="00993B55">
        <w:rPr>
          <w:rStyle w:val="libFootnoteBoldChar"/>
          <w:rtl/>
        </w:rPr>
        <w:t>رجال الطوسي</w:t>
      </w:r>
      <w:r w:rsidRPr="00323A39">
        <w:rPr>
          <w:rtl/>
        </w:rPr>
        <w:t xml:space="preserve"> ، ص 324 ، الرقم 4841 هو يوسف البزّاز.</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بر » : « تدارى » وهو من تخفيف الهمزة. </w:t>
      </w:r>
      <w:r w:rsidR="008A74EB">
        <w:rPr>
          <w:rtl/>
        </w:rPr>
        <w:t>و «</w:t>
      </w:r>
      <w:r w:rsidR="008A74EB" w:rsidRPr="00C9040A">
        <w:rPr>
          <w:rtl/>
        </w:rPr>
        <w:t xml:space="preserve"> الدَّرء » : الدفع ، وتقول : تدارأتم ، أي اختلفتم. </w:t>
      </w:r>
      <w:r w:rsidR="008A74EB" w:rsidRPr="00993B55">
        <w:rPr>
          <w:rStyle w:val="libFootnoteBoldChar"/>
          <w:rtl/>
        </w:rPr>
        <w:t>الصحاح</w:t>
      </w:r>
      <w:r w:rsidR="008A74EB" w:rsidRPr="00C9040A">
        <w:rPr>
          <w:rtl/>
        </w:rPr>
        <w:t xml:space="preserve"> ، ج 1 ، ص 48 ( درأ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 النَّصَف » : اسم الإنصاف. وتفسيره : أن تعطيه من نفسِك النصف ، أي تعطي من نفسك ما يستحقّ من الحقّ كما تأخذه. </w:t>
      </w:r>
      <w:r w:rsidR="008A74EB" w:rsidRPr="00993B55">
        <w:rPr>
          <w:rStyle w:val="libFootnoteBoldChar"/>
          <w:rtl/>
        </w:rPr>
        <w:t>ترتيب كتاب العين</w:t>
      </w:r>
      <w:r w:rsidR="008A74EB" w:rsidRPr="00C9040A">
        <w:rPr>
          <w:rtl/>
        </w:rPr>
        <w:t xml:space="preserve"> ، ج 3 ، ص 1800 ( نصف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أدال الله بني فلان من عدوّهم : جعل الكَرَّة لهم عليهم. والإدالة : النُّصرة والغلبة. </w:t>
      </w:r>
      <w:r w:rsidR="008A74EB" w:rsidRPr="00993B55">
        <w:rPr>
          <w:rStyle w:val="libFootnoteBoldChar"/>
          <w:rtl/>
        </w:rPr>
        <w:t>أساس البلاغة</w:t>
      </w:r>
      <w:r w:rsidR="008A74EB" w:rsidRPr="00C9040A">
        <w:rPr>
          <w:rtl/>
        </w:rPr>
        <w:t xml:space="preserve"> ، ص 139 ؛ </w:t>
      </w:r>
      <w:r w:rsidR="008A74EB" w:rsidRPr="00993B55">
        <w:rPr>
          <w:rStyle w:val="libFootnoteBoldChar"/>
          <w:rtl/>
        </w:rPr>
        <w:t>مجمع البحرين</w:t>
      </w:r>
      <w:r w:rsidR="008A74EB" w:rsidRPr="00C9040A">
        <w:rPr>
          <w:rtl/>
        </w:rPr>
        <w:t xml:space="preserve"> ، ج 5 ، ص 374 ( دول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الوافي</w:t>
      </w:r>
      <w:r w:rsidR="008A74EB" w:rsidRPr="00C9040A">
        <w:rPr>
          <w:rtl/>
        </w:rPr>
        <w:t xml:space="preserve"> ، ج 4 ، ص 478 ، ح 2395 ؛ </w:t>
      </w:r>
      <w:r w:rsidR="008A74EB" w:rsidRPr="00993B55">
        <w:rPr>
          <w:rStyle w:val="libFootnoteBoldChar"/>
          <w:rtl/>
        </w:rPr>
        <w:t>الوسائل</w:t>
      </w:r>
      <w:r w:rsidR="008A74EB" w:rsidRPr="00C9040A">
        <w:rPr>
          <w:rtl/>
        </w:rPr>
        <w:t xml:space="preserve"> ، ج 15 ، ص 284 ، ح 20530 ؛ </w:t>
      </w:r>
      <w:r w:rsidR="008A74EB" w:rsidRPr="00993B55">
        <w:rPr>
          <w:rStyle w:val="libFootnoteBoldChar"/>
          <w:rtl/>
        </w:rPr>
        <w:t>البحار</w:t>
      </w:r>
      <w:r w:rsidR="008A74EB" w:rsidRPr="00C9040A">
        <w:rPr>
          <w:rtl/>
        </w:rPr>
        <w:t xml:space="preserve"> ، ج 75 ، ص 40 ، ح 40.</w:t>
      </w:r>
    </w:p>
    <w:p w:rsidR="008A74EB" w:rsidRPr="00C9040A" w:rsidRDefault="006C577F" w:rsidP="004A4E41">
      <w:pPr>
        <w:pStyle w:val="libFootnote0"/>
        <w:rPr>
          <w:rtl/>
          <w:lang w:bidi="fa-IR"/>
        </w:rPr>
      </w:pPr>
      <w:r>
        <w:rPr>
          <w:rtl/>
        </w:rPr>
        <w:t>(5).</w:t>
      </w:r>
      <w:r w:rsidR="008A74EB" w:rsidRPr="00C9040A">
        <w:rPr>
          <w:rtl/>
        </w:rPr>
        <w:t xml:space="preserve"> في حاشية « د ، بر » والكافي ، ح 2086 : « على نفسه »</w:t>
      </w:r>
      <w:r w:rsidR="008A74EB">
        <w:rPr>
          <w:rtl/>
        </w:rPr>
        <w:t>.</w:t>
      </w:r>
      <w:r w:rsidR="008A74EB" w:rsidRPr="00C9040A">
        <w:rPr>
          <w:rtl/>
        </w:rPr>
        <w:t xml:space="preserve"> وفي « ف » : « في تقيّة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الكافي</w:t>
      </w:r>
      <w:r w:rsidR="008A74EB" w:rsidRPr="00C9040A">
        <w:rPr>
          <w:rtl/>
        </w:rPr>
        <w:t xml:space="preserve"> ، كتاب الإيمان والكفر ، باب زيارة الإخوان ، ح 2086 ، عن محمّد بن يحيى ، عن أحمد بن محمّد وعدّة من أصحابنا ، عن سهل بن زياد جميعاً عن ابن محبوب. </w:t>
      </w:r>
      <w:r w:rsidR="008A74EB" w:rsidRPr="00993B55">
        <w:rPr>
          <w:rStyle w:val="libFootnoteBoldChar"/>
          <w:rtl/>
        </w:rPr>
        <w:t>الخصال</w:t>
      </w:r>
      <w:r w:rsidR="008A74EB" w:rsidRPr="00C9040A">
        <w:rPr>
          <w:rtl/>
        </w:rPr>
        <w:t xml:space="preserve"> ، ص 131 ، باب الثلاثة ، ح 136 ، بسنده عن أحمد بن محمّد بن عيسى ، عن الحسن بن محبوب. </w:t>
      </w:r>
      <w:r w:rsidR="008A74EB" w:rsidRPr="00993B55">
        <w:rPr>
          <w:rStyle w:val="libFootnoteBoldChar"/>
          <w:rtl/>
        </w:rPr>
        <w:t>المؤمن</w:t>
      </w:r>
      <w:r w:rsidR="008A74EB" w:rsidRPr="00C9040A">
        <w:rPr>
          <w:rtl/>
        </w:rPr>
        <w:t xml:space="preserve"> ، ص 60 ، ح 155 ، عن أبي جعفر </w:t>
      </w:r>
      <w:r w:rsidR="00117575" w:rsidRPr="00117575">
        <w:rPr>
          <w:rStyle w:val="libFootnoteAlaemChar"/>
          <w:rtl/>
        </w:rPr>
        <w:t>عليه‌السلام</w:t>
      </w:r>
      <w:r w:rsidR="008A74EB" w:rsidRPr="00C9040A">
        <w:rPr>
          <w:rtl/>
        </w:rPr>
        <w:t xml:space="preserve"> ، وفي كلّها مع زيادة في آخره </w:t>
      </w:r>
      <w:r w:rsidR="00CF0F79">
        <w:rPr>
          <w:rFonts w:hint="cs"/>
          <w:rtl/>
        </w:rPr>
        <w:t>.</w:t>
      </w:r>
      <w:r w:rsidR="008A74EB" w:rsidRPr="00993B55">
        <w:rPr>
          <w:rStyle w:val="libFootnoteBoldChar"/>
          <w:rtl/>
        </w:rPr>
        <w:t>الوافي</w:t>
      </w:r>
      <w:r w:rsidR="008A74EB" w:rsidRPr="00C9040A">
        <w:rPr>
          <w:rtl/>
        </w:rPr>
        <w:t xml:space="preserve"> ، ج 4 ، ص 477 ، ح 2391 ؛ </w:t>
      </w:r>
      <w:r w:rsidR="008A74EB" w:rsidRPr="00993B55">
        <w:rPr>
          <w:rStyle w:val="libFootnoteBoldChar"/>
          <w:rtl/>
        </w:rPr>
        <w:t>الوسائل</w:t>
      </w:r>
      <w:r w:rsidR="008A74EB" w:rsidRPr="00C9040A">
        <w:rPr>
          <w:rtl/>
        </w:rPr>
        <w:t xml:space="preserve"> ، ج 15 ، ص 285 ، ح 20531 ؛ </w:t>
      </w:r>
      <w:r w:rsidR="008A74EB" w:rsidRPr="00993B55">
        <w:rPr>
          <w:rStyle w:val="libFootnoteBoldChar"/>
          <w:rtl/>
        </w:rPr>
        <w:t>البحار</w:t>
      </w:r>
      <w:r w:rsidR="008A74EB" w:rsidRPr="00C9040A">
        <w:rPr>
          <w:rtl/>
        </w:rPr>
        <w:t xml:space="preserve"> ، ج 75 ، ص 41 ، ح 41.</w:t>
      </w:r>
    </w:p>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الوافي</w:t>
      </w:r>
      <w:r w:rsidR="008A74EB" w:rsidRPr="00C9040A">
        <w:rPr>
          <w:rtl/>
        </w:rPr>
        <w:t xml:space="preserve"> ، ج 4 ، ص 478 ، ح 2393 ؛ </w:t>
      </w:r>
      <w:r w:rsidR="008A74EB" w:rsidRPr="00993B55">
        <w:rPr>
          <w:rStyle w:val="libFootnoteBoldChar"/>
          <w:rtl/>
        </w:rPr>
        <w:t>الوسائل</w:t>
      </w:r>
      <w:r w:rsidR="008A74EB" w:rsidRPr="00C9040A">
        <w:rPr>
          <w:rtl/>
        </w:rPr>
        <w:t xml:space="preserve"> ، ج 15 ، ص 293 ، ذيل ح 20550 ؛ </w:t>
      </w:r>
      <w:r w:rsidR="008A74EB" w:rsidRPr="00993B55">
        <w:rPr>
          <w:rStyle w:val="libFootnoteBoldChar"/>
          <w:rtl/>
        </w:rPr>
        <w:t>البحار</w:t>
      </w:r>
      <w:r w:rsidR="008A74EB" w:rsidRPr="00C9040A">
        <w:rPr>
          <w:rtl/>
        </w:rPr>
        <w:t xml:space="preserve"> ، ج 75 ، ص 36 ، ح 33.</w:t>
      </w:r>
    </w:p>
    <w:p w:rsidR="004B7F34" w:rsidRDefault="004B7F34" w:rsidP="004B7F34">
      <w:pPr>
        <w:pStyle w:val="libNormal"/>
        <w:rPr>
          <w:rtl/>
          <w:lang w:bidi="fa-IR"/>
        </w:rPr>
      </w:pPr>
      <w:r>
        <w:rPr>
          <w:rtl/>
          <w:lang w:bidi="fa-IR"/>
        </w:rPr>
        <w:br w:type="page"/>
      </w:r>
    </w:p>
    <w:p w:rsidR="008A74EB" w:rsidRPr="00C9040A" w:rsidRDefault="008A74EB" w:rsidP="008A74EB">
      <w:pPr>
        <w:pStyle w:val="Heading2Center"/>
        <w:rPr>
          <w:rtl/>
          <w:lang w:bidi="fa-IR"/>
        </w:rPr>
      </w:pPr>
      <w:bookmarkStart w:id="211" w:name="_Toc343795658"/>
      <w:bookmarkStart w:id="212" w:name="_Toc459810782"/>
      <w:bookmarkStart w:id="213" w:name="_Toc35348688"/>
      <w:r w:rsidRPr="00C9040A">
        <w:rPr>
          <w:rtl/>
          <w:lang w:bidi="fa-IR"/>
        </w:rPr>
        <w:t>67</w:t>
      </w:r>
      <w:r>
        <w:rPr>
          <w:rtl/>
          <w:lang w:bidi="fa-IR"/>
        </w:rPr>
        <w:t xml:space="preserve"> </w:t>
      </w:r>
      <w:r w:rsidR="0084262C">
        <w:rPr>
          <w:rtl/>
          <w:lang w:bidi="fa-IR"/>
        </w:rPr>
        <w:t>-</w:t>
      </w:r>
      <w:r>
        <w:rPr>
          <w:rtl/>
          <w:lang w:bidi="fa-IR"/>
        </w:rPr>
        <w:t xml:space="preserve"> </w:t>
      </w:r>
      <w:r w:rsidRPr="00C9040A">
        <w:rPr>
          <w:rtl/>
          <w:lang w:bidi="fa-IR"/>
        </w:rPr>
        <w:t xml:space="preserve">بَابُ </w:t>
      </w:r>
      <w:r w:rsidRPr="00B37A53">
        <w:rPr>
          <w:rtl/>
        </w:rPr>
        <w:t>الِاسْتِغْنَاءِ</w:t>
      </w:r>
      <w:r w:rsidRPr="00C9040A">
        <w:rPr>
          <w:rtl/>
          <w:lang w:bidi="fa-IR"/>
        </w:rPr>
        <w:t xml:space="preserve"> عَنِ النَّاسِ‌</w:t>
      </w:r>
      <w:bookmarkEnd w:id="211"/>
      <w:bookmarkEnd w:id="212"/>
      <w:bookmarkEnd w:id="213"/>
    </w:p>
    <w:p w:rsidR="008A74EB" w:rsidRPr="00C9040A" w:rsidRDefault="008A74EB" w:rsidP="008A74EB">
      <w:pPr>
        <w:pStyle w:val="libNormal"/>
        <w:rPr>
          <w:rtl/>
          <w:lang w:bidi="fa-IR"/>
        </w:rPr>
      </w:pPr>
      <w:r w:rsidRPr="003F7886">
        <w:rPr>
          <w:rtl/>
        </w:rPr>
        <w:t>1967</w:t>
      </w:r>
      <w:r w:rsidRPr="00261CB0">
        <w:rPr>
          <w:rStyle w:val="libBold2Char"/>
          <w:rtl/>
        </w:rPr>
        <w:t xml:space="preserve"> / 1.</w:t>
      </w:r>
      <w:r w:rsidRPr="00C9040A">
        <w:rPr>
          <w:rtl/>
          <w:lang w:bidi="fa-IR"/>
        </w:rPr>
        <w:t xml:space="preserve"> مُحَمَّدُ بْنُ يَحْيى ، عَنْ أَحْمَدَ بْنِ مُحَمَّدِ بْنِ عِيسى ، عَنِ الْحَسَنِ بْنِ مَحْبُوبٍ ، عَنْ عَبْدِ اللهِ بْنِ سِنَانٍ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شَرَفُ الْمُؤْمِنِ قِيَامُ اللَّيْلِ </w:t>
      </w:r>
      <w:r w:rsidR="006C577F" w:rsidRPr="006C577F">
        <w:rPr>
          <w:rStyle w:val="libFootnotenumChar"/>
          <w:rtl/>
        </w:rPr>
        <w:t>(1)</w:t>
      </w:r>
      <w:r w:rsidRPr="00C9040A">
        <w:rPr>
          <w:rtl/>
          <w:lang w:bidi="fa-IR"/>
        </w:rPr>
        <w:t xml:space="preserve"> ، وَعِزُّهُ اسْتِغْنَاؤُهُ عَنِ النَّاسِ »</w:t>
      </w:r>
      <w:r>
        <w:rPr>
          <w:rtl/>
          <w:lang w:bidi="fa-IR"/>
        </w:rPr>
        <w:t>.</w:t>
      </w:r>
      <w:r w:rsidR="006C577F" w:rsidRPr="006C577F">
        <w:rPr>
          <w:rStyle w:val="libFootnotenumChar"/>
          <w:rtl/>
        </w:rPr>
        <w:t>(2)</w:t>
      </w:r>
      <w:r w:rsidRPr="00C9040A">
        <w:rPr>
          <w:rtl/>
          <w:lang w:bidi="fa-IR"/>
        </w:rPr>
        <w:t>‌</w:t>
      </w:r>
    </w:p>
    <w:p w:rsidR="008A74EB" w:rsidRPr="00C9040A" w:rsidRDefault="008A74EB" w:rsidP="008A74EB">
      <w:pPr>
        <w:pStyle w:val="libNormal"/>
        <w:rPr>
          <w:rtl/>
          <w:lang w:bidi="fa-IR"/>
        </w:rPr>
      </w:pPr>
      <w:r w:rsidRPr="003F7886">
        <w:rPr>
          <w:rtl/>
        </w:rPr>
        <w:t>1968</w:t>
      </w:r>
      <w:r w:rsidRPr="00261CB0">
        <w:rPr>
          <w:rStyle w:val="libBold2Char"/>
          <w:rtl/>
        </w:rPr>
        <w:t xml:space="preserve"> / 2.</w:t>
      </w:r>
      <w:r w:rsidRPr="00C9040A">
        <w:rPr>
          <w:rtl/>
          <w:lang w:bidi="fa-IR"/>
        </w:rPr>
        <w:t xml:space="preserve"> عَلِيُّ بْنُ إِبْرَاهِيمَ ، عَنْ أَبِيهِ وَعَلِيِّ بْنُ مُحَمَّدٍ الْقَاسَانِيِّ </w:t>
      </w:r>
      <w:r w:rsidR="006C577F" w:rsidRPr="006C577F">
        <w:rPr>
          <w:rStyle w:val="libFootnotenumChar"/>
          <w:rtl/>
        </w:rPr>
        <w:t>(3)</w:t>
      </w:r>
      <w:r w:rsidRPr="00C9040A">
        <w:rPr>
          <w:rtl/>
          <w:lang w:bidi="fa-IR"/>
        </w:rPr>
        <w:t xml:space="preserve"> جَمِيعاً ، عَنِ الْقَاسِمِ بْنِ مُحَمَّدٍ ، عَنْ سُلَيْمَانَ بْنِ دَاوُدَ الْمِنْقَرِيِّ ، عَنْ حَفْصِ بْنِ غِيَاثٍ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إِذَا أَرَادَ أَحَدُكُمْ أَنْ لَ</w:t>
      </w:r>
      <w:r w:rsidR="00395C35">
        <w:rPr>
          <w:rtl/>
          <w:lang w:bidi="fa-IR"/>
        </w:rPr>
        <w:t>ايَسْأَلَ رَبَّهُ شَيْئاً إِل</w:t>
      </w:r>
      <w:r w:rsidR="00395C35">
        <w:rPr>
          <w:rFonts w:hint="cs"/>
          <w:rtl/>
          <w:lang w:bidi="fa-IR"/>
        </w:rPr>
        <w:t>َّ</w:t>
      </w:r>
      <w:r w:rsidR="00395C35">
        <w:rPr>
          <w:rtl/>
          <w:lang w:bidi="fa-IR"/>
        </w:rPr>
        <w:t>ا</w:t>
      </w:r>
      <w:r w:rsidRPr="00C9040A">
        <w:rPr>
          <w:rtl/>
          <w:lang w:bidi="fa-IR"/>
        </w:rPr>
        <w:t xml:space="preserve"> أَعْطَاهُ ، فَلْيَيْأَسْ </w:t>
      </w:r>
      <w:r w:rsidR="006C577F" w:rsidRPr="006C577F">
        <w:rPr>
          <w:rStyle w:val="libFootnotenumChar"/>
          <w:rtl/>
        </w:rPr>
        <w:t>(4)</w:t>
      </w:r>
      <w:r w:rsidRPr="00C9040A">
        <w:rPr>
          <w:rtl/>
          <w:lang w:bidi="fa-IR"/>
        </w:rPr>
        <w:t xml:space="preserve"> مِنَ النَّاسِ كُلِّهِمْ ، وَلَا يَكُونُ </w:t>
      </w:r>
      <w:r w:rsidR="006C577F" w:rsidRPr="006C577F">
        <w:rPr>
          <w:rStyle w:val="libFootnotenumChar"/>
          <w:rtl/>
        </w:rPr>
        <w:t>(5)</w:t>
      </w:r>
      <w:r w:rsidR="00395C35">
        <w:rPr>
          <w:rtl/>
          <w:lang w:bidi="fa-IR"/>
        </w:rPr>
        <w:t xml:space="preserve"> لَهُ رَجَاءٌ إِل</w:t>
      </w:r>
      <w:r w:rsidR="00395C35">
        <w:rPr>
          <w:rFonts w:hint="cs"/>
          <w:rtl/>
          <w:lang w:bidi="fa-IR"/>
        </w:rPr>
        <w:t>َّا</w:t>
      </w:r>
      <w:r w:rsidRPr="00C9040A">
        <w:rPr>
          <w:rtl/>
          <w:lang w:bidi="fa-IR"/>
        </w:rPr>
        <w:t xml:space="preserve"> </w:t>
      </w:r>
      <w:r w:rsidR="006C577F" w:rsidRPr="006C577F">
        <w:rPr>
          <w:rStyle w:val="libFootnotenumChar"/>
          <w:rtl/>
        </w:rPr>
        <w:t>(6)</w:t>
      </w:r>
      <w:r w:rsidRPr="00395C35">
        <w:rPr>
          <w:rtl/>
        </w:rPr>
        <w:t xml:space="preserve"> </w:t>
      </w:r>
      <w:r w:rsidRPr="00C9040A">
        <w:rPr>
          <w:rtl/>
          <w:lang w:bidi="fa-IR"/>
        </w:rPr>
        <w:t>عِنْدَ اللهِ ، فَإِذَا عَلِمَ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ذلِكَ مِنْ قَلْبِهِ ، لَمْ يَسْأَلِ </w:t>
      </w:r>
      <w:r w:rsidR="006C577F" w:rsidRPr="006C577F">
        <w:rPr>
          <w:rStyle w:val="libFootnotenumChar"/>
          <w:rtl/>
        </w:rPr>
        <w:t>(7)</w:t>
      </w:r>
      <w:r w:rsidR="00395C35">
        <w:rPr>
          <w:rtl/>
          <w:lang w:bidi="fa-IR"/>
        </w:rPr>
        <w:t xml:space="preserve"> اللهَ شَيْئاً إِل</w:t>
      </w:r>
      <w:r w:rsidR="00395C35">
        <w:rPr>
          <w:rFonts w:hint="cs"/>
          <w:rtl/>
          <w:lang w:bidi="fa-IR"/>
        </w:rPr>
        <w:t>َّ</w:t>
      </w:r>
      <w:r w:rsidR="00395C35">
        <w:rPr>
          <w:rtl/>
          <w:lang w:bidi="fa-IR"/>
        </w:rPr>
        <w:t>ا</w:t>
      </w:r>
      <w:r w:rsidR="00395C35">
        <w:rPr>
          <w:rFonts w:hint="cs"/>
          <w:rtl/>
          <w:lang w:bidi="fa-IR"/>
        </w:rPr>
        <w:t>.......................................................</w:t>
      </w:r>
      <w:r w:rsidR="00395C35">
        <w:rPr>
          <w:rFonts w:hint="cs"/>
          <w:rtl/>
          <w:lang w:bidi="fa-IR"/>
        </w:rPr>
        <w:tab/>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الوسائل : « بالليل »</w:t>
      </w:r>
      <w:r w:rsidR="008A74EB">
        <w:rPr>
          <w:rtl/>
        </w:rPr>
        <w:t>.</w:t>
      </w:r>
    </w:p>
    <w:p w:rsidR="008A74EB" w:rsidRPr="00C9040A" w:rsidRDefault="006C577F" w:rsidP="00395C35">
      <w:pPr>
        <w:pStyle w:val="libFootnote0"/>
        <w:rPr>
          <w:rtl/>
          <w:lang w:bidi="fa-IR"/>
        </w:rPr>
      </w:pPr>
      <w:r>
        <w:rPr>
          <w:rtl/>
        </w:rPr>
        <w:t>(2).</w:t>
      </w:r>
      <w:r w:rsidR="008A74EB">
        <w:rPr>
          <w:rtl/>
        </w:rPr>
        <w:t xml:space="preserve"> </w:t>
      </w:r>
      <w:r w:rsidR="008A74EB" w:rsidRPr="00993B55">
        <w:rPr>
          <w:rStyle w:val="libFootnoteBoldChar"/>
          <w:rtl/>
        </w:rPr>
        <w:t>الكافي</w:t>
      </w:r>
      <w:r w:rsidR="008A74EB" w:rsidRPr="00C9040A">
        <w:rPr>
          <w:rtl/>
        </w:rPr>
        <w:t xml:space="preserve"> ، كتاب الصلاة ، باب النوادر ، ذيل ح 5697 ؛ </w:t>
      </w:r>
      <w:r w:rsidR="008A74EB" w:rsidRPr="00395C35">
        <w:rPr>
          <w:rStyle w:val="libFootnoteBoldChar"/>
          <w:rtl/>
        </w:rPr>
        <w:t>وال</w:t>
      </w:r>
      <w:r w:rsidR="008A74EB" w:rsidRPr="00993B55">
        <w:rPr>
          <w:rStyle w:val="libFootnoteBoldChar"/>
          <w:rtl/>
        </w:rPr>
        <w:t>تهذيب</w:t>
      </w:r>
      <w:r w:rsidR="008A74EB" w:rsidRPr="00C9040A">
        <w:rPr>
          <w:rtl/>
        </w:rPr>
        <w:t xml:space="preserve"> ، ج 2 ، ص 120 ، ذيل ح 451 ؛ </w:t>
      </w:r>
      <w:r w:rsidR="008A74EB" w:rsidRPr="00395C35">
        <w:rPr>
          <w:rStyle w:val="libFootnoteBoldChar"/>
          <w:rtl/>
        </w:rPr>
        <w:t>وثوا</w:t>
      </w:r>
      <w:r w:rsidR="008A74EB" w:rsidRPr="00993B55">
        <w:rPr>
          <w:rStyle w:val="libFootnoteBoldChar"/>
          <w:rtl/>
        </w:rPr>
        <w:t>ب الأعمال</w:t>
      </w:r>
      <w:r w:rsidR="008A74EB" w:rsidRPr="00C9040A">
        <w:rPr>
          <w:rtl/>
        </w:rPr>
        <w:t xml:space="preserve"> ، ص 163 ، ح 1 ؛ و</w:t>
      </w:r>
      <w:r w:rsidR="008A74EB" w:rsidRPr="00993B55">
        <w:rPr>
          <w:rStyle w:val="libFootnoteBoldChar"/>
          <w:rtl/>
        </w:rPr>
        <w:t>الخصال</w:t>
      </w:r>
      <w:r w:rsidR="008A74EB" w:rsidRPr="00C9040A">
        <w:rPr>
          <w:rtl/>
        </w:rPr>
        <w:t xml:space="preserve"> ، ص 6 ، باب الواحد ، ذيل ح 18 ، بسند آخر عن عبدالله بن سنان. </w:t>
      </w:r>
      <w:r w:rsidR="008A74EB" w:rsidRPr="00993B55">
        <w:rPr>
          <w:rStyle w:val="libFootnoteBoldChar"/>
          <w:rtl/>
        </w:rPr>
        <w:t>الزهد</w:t>
      </w:r>
      <w:r w:rsidR="008A74EB" w:rsidRPr="00C9040A">
        <w:rPr>
          <w:rtl/>
        </w:rPr>
        <w:t xml:space="preserve"> ، ص 150 ، ذيل ح 218 ، عن ابن أبي عمير ، عن ابن سنان ، عن أبي عبدالله </w:t>
      </w:r>
      <w:r w:rsidR="00395C35" w:rsidRPr="00117575">
        <w:rPr>
          <w:rStyle w:val="libFootnoteAlaemChar"/>
          <w:rtl/>
        </w:rPr>
        <w:t xml:space="preserve">عليه‌السلام </w:t>
      </w:r>
      <w:r w:rsidR="008A74EB" w:rsidRPr="00C9040A">
        <w:rPr>
          <w:rtl/>
        </w:rPr>
        <w:t xml:space="preserve">، حكايةً عن جبرئيل في كلامه مع النبيّ </w:t>
      </w:r>
      <w:r w:rsidR="004A4E41" w:rsidRPr="00DE2616">
        <w:rPr>
          <w:rStyle w:val="libFootnoteAlaemChar"/>
          <w:rtl/>
        </w:rPr>
        <w:t>صلى‌الله‌عليه‌وآله</w:t>
      </w:r>
      <w:r w:rsidR="008A74EB" w:rsidRPr="00C9040A">
        <w:rPr>
          <w:rtl/>
        </w:rPr>
        <w:t xml:space="preserve">. وفي </w:t>
      </w:r>
      <w:r w:rsidR="008A74EB" w:rsidRPr="0034021D">
        <w:rPr>
          <w:rStyle w:val="libFootnoteBoldChar"/>
          <w:rtl/>
        </w:rPr>
        <w:t>الأمالي للصدوق</w:t>
      </w:r>
      <w:r w:rsidR="008A74EB" w:rsidRPr="00C9040A">
        <w:rPr>
          <w:rtl/>
        </w:rPr>
        <w:t xml:space="preserve"> ، ص 233 ، المجلس 41 ، ذيل ح 5 ؛ و</w:t>
      </w:r>
      <w:r w:rsidR="008A74EB" w:rsidRPr="00993B55">
        <w:rPr>
          <w:rStyle w:val="libFootnoteBoldChar"/>
          <w:rtl/>
        </w:rPr>
        <w:t>الخصال</w:t>
      </w:r>
      <w:r w:rsidR="008A74EB" w:rsidRPr="00C9040A">
        <w:rPr>
          <w:rtl/>
        </w:rPr>
        <w:t xml:space="preserve"> ، ص 7 ، باب الواحد ، ذيل ح 19 ؛ و</w:t>
      </w:r>
      <w:r w:rsidR="008A74EB" w:rsidRPr="00993B55">
        <w:rPr>
          <w:rStyle w:val="libFootnoteBoldChar"/>
          <w:rtl/>
        </w:rPr>
        <w:t>معاني الأخبار</w:t>
      </w:r>
      <w:r w:rsidR="008A74EB" w:rsidRPr="00C9040A">
        <w:rPr>
          <w:rtl/>
        </w:rPr>
        <w:t xml:space="preserve"> ، ص 178 ، ذيل ح 2 ، بسند آخر من دون الإسناد إلى المعصوم </w:t>
      </w:r>
      <w:r w:rsidR="00117575" w:rsidRPr="00117575">
        <w:rPr>
          <w:rStyle w:val="libFootnoteAlaemChar"/>
          <w:rtl/>
        </w:rPr>
        <w:t>عليه‌السلام</w:t>
      </w:r>
      <w:r w:rsidR="008A74EB" w:rsidRPr="00C9040A">
        <w:rPr>
          <w:rtl/>
        </w:rPr>
        <w:t xml:space="preserve"> حكايةً عن جبرئيل في كلامه مع النبيّ </w:t>
      </w:r>
      <w:r w:rsidR="004A4E41" w:rsidRPr="00DE2616">
        <w:rPr>
          <w:rStyle w:val="libFootnoteAlaemChar"/>
          <w:rtl/>
        </w:rPr>
        <w:t>صلى‌الله‌عليه‌وآله</w:t>
      </w:r>
      <w:r w:rsidR="008A74EB" w:rsidRPr="00C9040A">
        <w:rPr>
          <w:rtl/>
        </w:rPr>
        <w:t xml:space="preserve">. وفي </w:t>
      </w:r>
      <w:r w:rsidR="008A74EB" w:rsidRPr="00993B55">
        <w:rPr>
          <w:rStyle w:val="libFootnoteBoldChar"/>
          <w:rtl/>
        </w:rPr>
        <w:t>الفقيه</w:t>
      </w:r>
      <w:r w:rsidR="008A74EB" w:rsidRPr="00C9040A">
        <w:rPr>
          <w:rtl/>
        </w:rPr>
        <w:t xml:space="preserve"> ، ج 1 ، ص 471 ، ذيل ح 1360 ؛ وج 4 ، ص 399 ، ذيل ح 5856 ، هكذا : « نزل جبرئيل على النبيّ </w:t>
      </w:r>
      <w:r w:rsidR="004A4E41" w:rsidRPr="00DE2616">
        <w:rPr>
          <w:rStyle w:val="libFootnoteAlaemChar"/>
          <w:rtl/>
        </w:rPr>
        <w:t>صلى‌الله‌عليه‌وآله</w:t>
      </w:r>
      <w:r w:rsidR="008A74EB" w:rsidRPr="00C9040A">
        <w:rPr>
          <w:rtl/>
        </w:rPr>
        <w:t xml:space="preserve"> فقال له</w:t>
      </w:r>
      <w:r w:rsidR="008A74EB">
        <w:rPr>
          <w:rtl/>
        </w:rPr>
        <w:t xml:space="preserve"> ..</w:t>
      </w:r>
      <w:r w:rsidR="008A74EB" w:rsidRPr="00C9040A">
        <w:rPr>
          <w:rtl/>
        </w:rPr>
        <w:t xml:space="preserve">. » ؛ </w:t>
      </w:r>
      <w:r w:rsidR="008A74EB" w:rsidRPr="00993B55">
        <w:rPr>
          <w:rStyle w:val="libFootnoteBoldChar"/>
          <w:rtl/>
        </w:rPr>
        <w:t>فقه الرضا</w:t>
      </w:r>
      <w:r w:rsidR="008A74EB" w:rsidRPr="00C9040A">
        <w:rPr>
          <w:rtl/>
        </w:rPr>
        <w:t xml:space="preserve"> </w:t>
      </w:r>
      <w:r w:rsidR="00117575" w:rsidRPr="00117575">
        <w:rPr>
          <w:rStyle w:val="libFootnoteAlaemChar"/>
          <w:rtl/>
        </w:rPr>
        <w:t>عليه‌السلام</w:t>
      </w:r>
      <w:r w:rsidR="008A74EB" w:rsidRPr="00C9040A">
        <w:rPr>
          <w:rtl/>
        </w:rPr>
        <w:t xml:space="preserve"> ، ص 367 ، وفي كلّ المصادر مع اختلاف يسير </w:t>
      </w:r>
      <w:r w:rsidR="00395C35">
        <w:rPr>
          <w:rFonts w:hint="cs"/>
          <w:rtl/>
        </w:rPr>
        <w:t>.</w:t>
      </w:r>
      <w:r w:rsidR="008A74EB" w:rsidRPr="00993B55">
        <w:rPr>
          <w:rStyle w:val="libFootnoteBoldChar"/>
          <w:rtl/>
        </w:rPr>
        <w:t>الوافي</w:t>
      </w:r>
      <w:r w:rsidR="008A74EB" w:rsidRPr="00C9040A">
        <w:rPr>
          <w:rtl/>
        </w:rPr>
        <w:t xml:space="preserve"> ، ج 4 ، ص 415 ، ح 2219 ؛ </w:t>
      </w:r>
      <w:r w:rsidR="008A74EB" w:rsidRPr="00993B55">
        <w:rPr>
          <w:rStyle w:val="libFootnoteBoldChar"/>
          <w:rtl/>
        </w:rPr>
        <w:t>الوسائل</w:t>
      </w:r>
      <w:r w:rsidR="008A74EB" w:rsidRPr="00C9040A">
        <w:rPr>
          <w:rtl/>
        </w:rPr>
        <w:t xml:space="preserve"> ، ج 9 ، ص 448 ، ح 12466 ؛ </w:t>
      </w:r>
      <w:r w:rsidR="008A74EB" w:rsidRPr="00993B55">
        <w:rPr>
          <w:rStyle w:val="libFootnoteBoldChar"/>
          <w:rtl/>
        </w:rPr>
        <w:t>البحار</w:t>
      </w:r>
      <w:r w:rsidR="008A74EB" w:rsidRPr="00C9040A">
        <w:rPr>
          <w:rtl/>
        </w:rPr>
        <w:t xml:space="preserve"> ، ج 75 ، ص 109 ، ح 14.</w:t>
      </w:r>
    </w:p>
    <w:p w:rsidR="008A74EB" w:rsidRPr="00C9040A" w:rsidRDefault="006C577F" w:rsidP="004A4E41">
      <w:pPr>
        <w:pStyle w:val="libFootnote0"/>
        <w:rPr>
          <w:rtl/>
          <w:lang w:bidi="fa-IR"/>
        </w:rPr>
      </w:pPr>
      <w:r>
        <w:rPr>
          <w:rtl/>
        </w:rPr>
        <w:t>(3).</w:t>
      </w:r>
      <w:r w:rsidR="008A74EB" w:rsidRPr="00C9040A">
        <w:rPr>
          <w:rtl/>
        </w:rPr>
        <w:t xml:space="preserve"> في « بس » : « القاشاني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ب ، ج د ، ص ، ف » والوافي : « فليأيس »</w:t>
      </w:r>
      <w:r w:rsidR="008A74EB">
        <w:rPr>
          <w:rtl/>
        </w:rPr>
        <w:t>.</w:t>
      </w:r>
      <w:r w:rsidR="008A74EB" w:rsidRPr="00C9040A">
        <w:rPr>
          <w:rtl/>
        </w:rPr>
        <w:t xml:space="preserve"> من أيس يأيس. وهو إمّا لغة مستقلّة ، وإمّا مقلوب من يئس.</w:t>
      </w:r>
    </w:p>
    <w:p w:rsidR="008A74EB" w:rsidRPr="00C9040A" w:rsidRDefault="006C577F" w:rsidP="004A4E41">
      <w:pPr>
        <w:pStyle w:val="libFootnote0"/>
        <w:rPr>
          <w:rtl/>
          <w:lang w:bidi="fa-IR"/>
        </w:rPr>
      </w:pPr>
      <w:r>
        <w:rPr>
          <w:rtl/>
        </w:rPr>
        <w:t>(5).</w:t>
      </w:r>
      <w:r w:rsidR="008A74EB" w:rsidRPr="00C9040A">
        <w:rPr>
          <w:rtl/>
        </w:rPr>
        <w:t xml:space="preserve"> الجملة إمّا حاليّة ، أو من عطف الخبر على الإنشاء.</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الوافي والوسائل و</w:t>
      </w:r>
      <w:r w:rsidR="008A74EB" w:rsidRPr="0034021D">
        <w:rPr>
          <w:rStyle w:val="libFootnoteBoldChar"/>
          <w:rtl/>
        </w:rPr>
        <w:t>الأمالي للمفيد</w:t>
      </w:r>
      <w:r w:rsidR="008A74EB" w:rsidRPr="00C9040A">
        <w:rPr>
          <w:rtl/>
        </w:rPr>
        <w:t xml:space="preserve"> ، ص 274 </w:t>
      </w:r>
      <w:r w:rsidR="008A74EB" w:rsidRPr="00AC2E2F">
        <w:rPr>
          <w:rStyle w:val="libFootnoteBoldChar"/>
          <w:rtl/>
        </w:rPr>
        <w:t>والأمالي للطوسي</w:t>
      </w:r>
      <w:r w:rsidR="008A74EB" w:rsidRPr="00C9040A">
        <w:rPr>
          <w:rtl/>
        </w:rPr>
        <w:t xml:space="preserve"> ، ص 36 : + « من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الوافي والكافي ، ح 14923 ومصباح الشريعة و</w:t>
      </w:r>
      <w:r w:rsidR="008A74EB" w:rsidRPr="0034021D">
        <w:rPr>
          <w:rStyle w:val="libFootnoteBoldChar"/>
          <w:rtl/>
        </w:rPr>
        <w:t>الأمالي للمفيد</w:t>
      </w:r>
      <w:r w:rsidR="008A74EB" w:rsidRPr="00C9040A">
        <w:rPr>
          <w:rtl/>
        </w:rPr>
        <w:t xml:space="preserve"> ، ص 329 : « لم يسأله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أَعْطَاهُ »</w:t>
      </w:r>
      <w:r>
        <w:rPr>
          <w:rtl/>
          <w:lang w:bidi="fa-IR"/>
        </w:rPr>
        <w:t>.</w:t>
      </w:r>
      <w:r w:rsidRPr="00C9040A">
        <w:rPr>
          <w:rtl/>
          <w:lang w:bidi="fa-IR"/>
        </w:rPr>
        <w:t xml:space="preserve"> </w:t>
      </w:r>
      <w:r w:rsidR="006C577F" w:rsidRPr="006C577F">
        <w:rPr>
          <w:rStyle w:val="libFootnotenumChar"/>
          <w:rtl/>
        </w:rPr>
        <w:t>(1)</w:t>
      </w:r>
      <w:r w:rsidRPr="00C9040A">
        <w:rPr>
          <w:rtl/>
          <w:lang w:bidi="fa-IR"/>
        </w:rPr>
        <w:t xml:space="preserve"> ‌</w:t>
      </w:r>
    </w:p>
    <w:p w:rsidR="008A74EB" w:rsidRPr="00C9040A" w:rsidRDefault="008A74EB" w:rsidP="008A74EB">
      <w:pPr>
        <w:pStyle w:val="libNormal"/>
        <w:rPr>
          <w:rtl/>
          <w:lang w:bidi="fa-IR"/>
        </w:rPr>
      </w:pPr>
      <w:r w:rsidRPr="003F7886">
        <w:rPr>
          <w:rtl/>
        </w:rPr>
        <w:t>1969</w:t>
      </w:r>
      <w:r w:rsidRPr="00261CB0">
        <w:rPr>
          <w:rStyle w:val="libBold2Char"/>
          <w:rtl/>
        </w:rPr>
        <w:t xml:space="preserve"> / 3.</w:t>
      </w:r>
      <w:r w:rsidRPr="00C9040A">
        <w:rPr>
          <w:rtl/>
          <w:lang w:bidi="fa-IR"/>
        </w:rPr>
        <w:t xml:space="preserve"> وَبِهذَا الْإِسْنَادِ ، عَنِ الْمِنْقَرِيِّ ، عَنْ عَبْدِ الرَّزَّاقِ ، عَنْ مَعْمَرٍ ، عَنِ الزُّهْرِيِّ :</w:t>
      </w:r>
    </w:p>
    <w:p w:rsidR="008A74EB" w:rsidRPr="00C9040A" w:rsidRDefault="008A74EB" w:rsidP="008A74EB">
      <w:pPr>
        <w:pStyle w:val="libNormal"/>
        <w:rPr>
          <w:rtl/>
          <w:lang w:bidi="fa-IR"/>
        </w:rPr>
      </w:pPr>
      <w:r w:rsidRPr="00C9040A">
        <w:rPr>
          <w:rtl/>
          <w:lang w:bidi="fa-IR"/>
        </w:rPr>
        <w:t>عَنْ عَلِيِّ بْنِ الْحُسَيْنِ صَلَوَاتُ اللهِ عَلَيْهِمَا ، قَالَ : « رَأَيْتُ الْخَيْرَ كُلَّهُ قَدِ اجْتَمَعَ فِي قَطْعِ الطَّمَعِ عَمَّا فِي أَيْدِي النَّاسِ ، وَمَنْ لَمْ يَرْجُ النَّاسَ فِي شَيْ‌ءٍ ، وَرَدَّ أَمْرَهُ إِلَى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فِي جَمِيعِ أُمُورِهِ ، اسْتَجَابَ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لَهُ فِي كُلِّ شَيْ‌ءٍ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3F7886">
        <w:rPr>
          <w:rtl/>
        </w:rPr>
        <w:t>1970</w:t>
      </w:r>
      <w:r w:rsidRPr="00261CB0">
        <w:rPr>
          <w:rStyle w:val="libBold2Char"/>
          <w:rtl/>
        </w:rPr>
        <w:t xml:space="preserve"> / 4.</w:t>
      </w:r>
      <w:r w:rsidRPr="00C9040A">
        <w:rPr>
          <w:rtl/>
          <w:lang w:bidi="fa-IR"/>
        </w:rPr>
        <w:t xml:space="preserve"> مُحَمَّدُ بْنُ يَحْيى ، عَنْ أَحْمَدَ بْنِ مُحَمَّدٍ ، عَنْ عَلِيِّ بْنِ الْحَكَمِ ، عَنِ الْحُسَيْنِ بْنِ أَبِي الْعَلَاءِ ، عَنْ عَبْدِ الْأَعْلَى بْنِ أَعْيَنَ ، قَالَ :</w:t>
      </w:r>
    </w:p>
    <w:p w:rsidR="008A74EB" w:rsidRPr="00C9040A" w:rsidRDefault="008A74EB" w:rsidP="00395C35">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 « طَلَبُ الْحَوَائِجِ إِلَى النَّاسِ اسْتِلَابٌ </w:t>
      </w:r>
      <w:r w:rsidR="006C577F" w:rsidRPr="006C577F">
        <w:rPr>
          <w:rStyle w:val="libFootnotenumChar"/>
          <w:rtl/>
        </w:rPr>
        <w:t>(3)</w:t>
      </w:r>
      <w:r w:rsidRPr="00C9040A">
        <w:rPr>
          <w:rtl/>
          <w:lang w:bidi="fa-IR"/>
        </w:rPr>
        <w:t xml:space="preserve"> لِلْعِزِّ ،</w:t>
      </w:r>
      <w:r w:rsidR="00395C35">
        <w:rPr>
          <w:rFonts w:hint="cs"/>
          <w:rtl/>
          <w:lang w:bidi="fa-IR"/>
        </w:rPr>
        <w:t xml:space="preserve"> </w:t>
      </w:r>
      <w:r w:rsidRPr="00C9040A">
        <w:rPr>
          <w:rtl/>
          <w:lang w:bidi="fa-IR"/>
        </w:rPr>
        <w:t>وَ</w:t>
      </w:r>
      <w:r>
        <w:rPr>
          <w:rFonts w:hint="cs"/>
          <w:rtl/>
          <w:lang w:bidi="fa-IR"/>
        </w:rPr>
        <w:t xml:space="preserve"> </w:t>
      </w:r>
      <w:r w:rsidR="006C577F" w:rsidRPr="006C577F">
        <w:rPr>
          <w:rStyle w:val="libFootnotenumChar"/>
          <w:rtl/>
        </w:rPr>
        <w:t>(4)</w:t>
      </w:r>
      <w:r w:rsidRPr="00C9040A">
        <w:rPr>
          <w:rtl/>
          <w:lang w:bidi="fa-IR"/>
        </w:rPr>
        <w:t xml:space="preserve"> مَذْهَبَةٌ </w:t>
      </w:r>
      <w:r w:rsidR="006C577F" w:rsidRPr="006C577F">
        <w:rPr>
          <w:rStyle w:val="libFootnotenumChar"/>
          <w:rtl/>
        </w:rPr>
        <w:t>(5)</w:t>
      </w:r>
      <w:r w:rsidRPr="00C9040A">
        <w:rPr>
          <w:rtl/>
          <w:lang w:bidi="fa-IR"/>
        </w:rPr>
        <w:t xml:space="preserve"> لِلْحَيَاءِ ؛ وَالْيَأْسُ مِمَّا </w:t>
      </w:r>
      <w:r w:rsidR="006C577F" w:rsidRPr="006C577F">
        <w:rPr>
          <w:rStyle w:val="libFootnotenumChar"/>
          <w:rtl/>
        </w:rPr>
        <w:t>(6)</w:t>
      </w:r>
      <w:r w:rsidRPr="005B567D">
        <w:rPr>
          <w:rStyle w:val="libFootnotenumChar"/>
          <w:rtl/>
        </w:rPr>
        <w:t xml:space="preserve"> </w:t>
      </w:r>
      <w:r w:rsidRPr="00C9040A">
        <w:rPr>
          <w:rtl/>
          <w:lang w:bidi="fa-IR"/>
        </w:rPr>
        <w:t xml:space="preserve">فِي أَيْدِي النَّاسِ عِزٌّ لِلْمُؤْمِنِ </w:t>
      </w:r>
      <w:r w:rsidR="006C577F" w:rsidRPr="006C577F">
        <w:rPr>
          <w:rStyle w:val="libFootnotenumChar"/>
          <w:rtl/>
        </w:rPr>
        <w:t>(7)</w:t>
      </w:r>
      <w:r w:rsidRPr="00C9040A">
        <w:rPr>
          <w:rtl/>
          <w:lang w:bidi="fa-IR"/>
        </w:rPr>
        <w:t xml:space="preserve"> فِي دِينِهِ ، وَالطَّمَعُ هُوَ‌</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993B55">
        <w:rPr>
          <w:rStyle w:val="libFootnoteBoldChar"/>
          <w:rtl/>
        </w:rPr>
        <w:t>الكافي</w:t>
      </w:r>
      <w:r w:rsidR="008A74EB" w:rsidRPr="00C9040A">
        <w:rPr>
          <w:rtl/>
        </w:rPr>
        <w:t xml:space="preserve"> ، كتاب الروضة ، ح 14923. وفي </w:t>
      </w:r>
      <w:r w:rsidR="008A74EB" w:rsidRPr="0034021D">
        <w:rPr>
          <w:rStyle w:val="libFootnoteBoldChar"/>
          <w:rtl/>
        </w:rPr>
        <w:t>الأمالي للمفيد</w:t>
      </w:r>
      <w:r w:rsidR="008A74EB" w:rsidRPr="00C9040A">
        <w:rPr>
          <w:rtl/>
        </w:rPr>
        <w:t xml:space="preserve"> ، ص 274 ، المجلس 33 ، ح 1 ؛ وص 329 ، المجلس 39 ، ح 1 ، بسند آخر عن عليّ بن محمّد القاشاني ، عن الإصفهاني ، عن سليمان بن داود المنقري ، عن حفص بن غياث ؛ </w:t>
      </w:r>
      <w:r w:rsidR="008A74EB" w:rsidRPr="00395C35">
        <w:rPr>
          <w:rStyle w:val="libFootnoteBoldChar"/>
          <w:rtl/>
        </w:rPr>
        <w:t>الأمالي للطوسي</w:t>
      </w:r>
      <w:r w:rsidR="008A74EB" w:rsidRPr="00C9040A">
        <w:rPr>
          <w:rtl/>
        </w:rPr>
        <w:t xml:space="preserve"> ، ص 36 ، المجلس 2 ، ح 38 ، بسند آخر عن عليّ بن محمّد القاشاني ، عن سليمان بن داود المنقري ، عن حفص بن غياث ؛ </w:t>
      </w:r>
      <w:r w:rsidR="008A74EB" w:rsidRPr="00993B55">
        <w:rPr>
          <w:rStyle w:val="libFootnoteBoldChar"/>
          <w:rtl/>
        </w:rPr>
        <w:t>وفيه</w:t>
      </w:r>
      <w:r w:rsidR="008A74EB" w:rsidRPr="00C9040A">
        <w:rPr>
          <w:rtl/>
        </w:rPr>
        <w:t xml:space="preserve"> ، ص 110 ، المجلس 4 ، ح 23 ، بسند آخر عن عليّ بن محمّد القاساني ، عن حفص بن غياث. </w:t>
      </w:r>
      <w:r w:rsidR="008A74EB" w:rsidRPr="00993B55">
        <w:rPr>
          <w:rStyle w:val="libFootnoteBoldChar"/>
          <w:rtl/>
        </w:rPr>
        <w:t>مصباح الشريعة</w:t>
      </w:r>
      <w:r w:rsidR="008A74EB" w:rsidRPr="00C9040A">
        <w:rPr>
          <w:rtl/>
        </w:rPr>
        <w:t xml:space="preserve"> ، ص 132 ، الباب 62 ، مع اختلاف يسير ، وفي كلّها مع زيادة في آخره ؛ </w:t>
      </w:r>
      <w:r w:rsidR="008A74EB" w:rsidRPr="00993B55">
        <w:rPr>
          <w:rStyle w:val="libFootnoteBoldChar"/>
          <w:rtl/>
        </w:rPr>
        <w:t>فقه الرضا</w:t>
      </w:r>
      <w:r w:rsidR="008A74EB" w:rsidRPr="00C9040A">
        <w:rPr>
          <w:rtl/>
        </w:rPr>
        <w:t xml:space="preserve"> </w:t>
      </w:r>
      <w:r w:rsidR="00117575" w:rsidRPr="00117575">
        <w:rPr>
          <w:rStyle w:val="libFootnoteAlaemChar"/>
          <w:rtl/>
        </w:rPr>
        <w:t>عليه‌السلام</w:t>
      </w:r>
      <w:r w:rsidR="008A74EB" w:rsidRPr="00C9040A">
        <w:rPr>
          <w:rtl/>
        </w:rPr>
        <w:t xml:space="preserve"> ، ص 367 ، إل</w:t>
      </w:r>
      <w:r w:rsidR="0067328C">
        <w:rPr>
          <w:rtl/>
        </w:rPr>
        <w:t>ى قوله : « ولا يكون له رجاء إل</w:t>
      </w:r>
      <w:r w:rsidR="0067328C">
        <w:rPr>
          <w:rFonts w:hint="cs"/>
          <w:rtl/>
        </w:rPr>
        <w:t>ّ</w:t>
      </w:r>
      <w:r w:rsidR="0067328C">
        <w:rPr>
          <w:rtl/>
        </w:rPr>
        <w:t>ا</w:t>
      </w:r>
      <w:r w:rsidR="0067328C">
        <w:rPr>
          <w:rFonts w:hint="cs"/>
          <w:rtl/>
        </w:rPr>
        <w:t xml:space="preserve"> </w:t>
      </w:r>
      <w:r w:rsidR="008A74EB" w:rsidRPr="00C9040A">
        <w:rPr>
          <w:rtl/>
        </w:rPr>
        <w:t xml:space="preserve">عندالله » مع اختلاف يسير </w:t>
      </w:r>
      <w:r w:rsidR="0067328C">
        <w:rPr>
          <w:rFonts w:hint="cs"/>
          <w:rtl/>
        </w:rPr>
        <w:t>.</w:t>
      </w:r>
      <w:r w:rsidR="008A74EB" w:rsidRPr="00993B55">
        <w:rPr>
          <w:rStyle w:val="libFootnoteBoldChar"/>
          <w:rtl/>
        </w:rPr>
        <w:t>الوافي</w:t>
      </w:r>
      <w:r w:rsidR="008A74EB" w:rsidRPr="00C9040A">
        <w:rPr>
          <w:rtl/>
        </w:rPr>
        <w:t xml:space="preserve"> ، ج 4 ، ص 415 ، ح 2221 ؛ </w:t>
      </w:r>
      <w:r w:rsidR="008A74EB" w:rsidRPr="00993B55">
        <w:rPr>
          <w:rStyle w:val="libFootnoteBoldChar"/>
          <w:rtl/>
        </w:rPr>
        <w:t>الوسائل</w:t>
      </w:r>
      <w:r w:rsidR="008A74EB" w:rsidRPr="00C9040A">
        <w:rPr>
          <w:rtl/>
        </w:rPr>
        <w:t xml:space="preserve"> ، ج 7 ، ص 142 ، ح 8953 ؛ وج 9 ، ص 448 ، ح 12468 ؛ </w:t>
      </w:r>
      <w:r w:rsidR="008A74EB" w:rsidRPr="00993B55">
        <w:rPr>
          <w:rStyle w:val="libFootnoteBoldChar"/>
          <w:rtl/>
        </w:rPr>
        <w:t>البحار</w:t>
      </w:r>
      <w:r w:rsidR="008A74EB" w:rsidRPr="00C9040A">
        <w:rPr>
          <w:rtl/>
        </w:rPr>
        <w:t xml:space="preserve"> ، ج 75 ، ص 109 ، ح 15.</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الكافي</w:t>
      </w:r>
      <w:r w:rsidR="008A74EB" w:rsidRPr="00C9040A">
        <w:rPr>
          <w:rtl/>
        </w:rPr>
        <w:t xml:space="preserve"> ، كتاب الإيمان والكفر ، باب الطمع ، ح 2605 ، إلى قوله : « عمّا في أيدى الناس » </w:t>
      </w:r>
      <w:r w:rsidR="0067328C">
        <w:rPr>
          <w:rFonts w:hint="cs"/>
          <w:rtl/>
        </w:rPr>
        <w:t>.</w:t>
      </w:r>
      <w:r w:rsidR="008A74EB" w:rsidRPr="00993B55">
        <w:rPr>
          <w:rStyle w:val="libFootnoteBoldChar"/>
          <w:rtl/>
        </w:rPr>
        <w:t>الوافي</w:t>
      </w:r>
      <w:r w:rsidR="008A74EB" w:rsidRPr="00C9040A">
        <w:rPr>
          <w:rtl/>
        </w:rPr>
        <w:t xml:space="preserve"> ، ج 4 ، ص 415 ، ح 2222 ؛ </w:t>
      </w:r>
      <w:r w:rsidR="008A74EB" w:rsidRPr="00993B55">
        <w:rPr>
          <w:rStyle w:val="libFootnoteBoldChar"/>
          <w:rtl/>
        </w:rPr>
        <w:t>الوسائل</w:t>
      </w:r>
      <w:r w:rsidR="008A74EB" w:rsidRPr="00C9040A">
        <w:rPr>
          <w:rtl/>
        </w:rPr>
        <w:t xml:space="preserve"> ، ج 9 ، ص 449 ، ح 12469 ؛ </w:t>
      </w:r>
      <w:r w:rsidR="008A74EB" w:rsidRPr="00993B55">
        <w:rPr>
          <w:rStyle w:val="libFootnoteBoldChar"/>
          <w:rtl/>
        </w:rPr>
        <w:t>البحار</w:t>
      </w:r>
      <w:r w:rsidR="008A74EB" w:rsidRPr="00C9040A">
        <w:rPr>
          <w:rtl/>
        </w:rPr>
        <w:t xml:space="preserve"> ، ج 75 ، ص 110 ، ح 16.</w:t>
      </w:r>
    </w:p>
    <w:p w:rsidR="008A74EB" w:rsidRPr="00C9040A" w:rsidRDefault="006C577F" w:rsidP="004A4E41">
      <w:pPr>
        <w:pStyle w:val="libFootnote0"/>
        <w:rPr>
          <w:rtl/>
          <w:lang w:bidi="fa-IR"/>
        </w:rPr>
      </w:pPr>
      <w:r>
        <w:rPr>
          <w:rtl/>
        </w:rPr>
        <w:t>(3).</w:t>
      </w:r>
      <w:r w:rsidR="008A74EB" w:rsidRPr="00C9040A">
        <w:rPr>
          <w:rtl/>
        </w:rPr>
        <w:t xml:space="preserve"> في الوسائل : « استسلاب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ج ، ز ، ص بس ، بف » والوافي </w:t>
      </w:r>
      <w:r w:rsidR="008A74EB">
        <w:rPr>
          <w:rtl/>
        </w:rPr>
        <w:t xml:space="preserve">: </w:t>
      </w:r>
      <w:r w:rsidR="0084262C">
        <w:rPr>
          <w:rtl/>
        </w:rPr>
        <w:t>-</w:t>
      </w:r>
      <w:r w:rsidR="008A74EB" w:rsidRPr="00C9040A">
        <w:rPr>
          <w:rtl/>
        </w:rPr>
        <w:t xml:space="preserve"> « </w:t>
      </w:r>
      <w:r w:rsidR="008A74EB">
        <w:rPr>
          <w:rtl/>
        </w:rPr>
        <w:t>و ».</w:t>
      </w:r>
    </w:p>
    <w:p w:rsidR="008A74EB" w:rsidRPr="00C9040A" w:rsidRDefault="006C577F" w:rsidP="0067328C">
      <w:pPr>
        <w:pStyle w:val="libFootnote0"/>
        <w:rPr>
          <w:rtl/>
          <w:lang w:bidi="fa-IR"/>
        </w:rPr>
      </w:pPr>
      <w:r>
        <w:rPr>
          <w:rtl/>
        </w:rPr>
        <w:t>(5).</w:t>
      </w:r>
      <w:r w:rsidR="008A74EB" w:rsidRPr="00C9040A">
        <w:rPr>
          <w:rtl/>
        </w:rPr>
        <w:t xml:space="preserve"> في « ص » : « مُذهبة » بهيئة اسم الفاعل. قال في </w:t>
      </w:r>
      <w:r w:rsidR="008A74EB" w:rsidRPr="00993B55">
        <w:rPr>
          <w:rStyle w:val="libFootnoteBoldChar"/>
          <w:rtl/>
        </w:rPr>
        <w:t>مرآة العقول</w:t>
      </w:r>
      <w:r w:rsidR="008A74EB" w:rsidRPr="00C9040A">
        <w:rPr>
          <w:rtl/>
        </w:rPr>
        <w:t xml:space="preserve"> ، ج 8 ، ص 354 : « المذهبة إمّا بالفتح مصدراً ميميّاً ، والحمل على المبالغة. أو هو بمعنى اسم الفاعل. أو اسم المكان ، أي مظنّة لذهاب الحياء. أو بالكسر ، أي آلة لذهابه »</w:t>
      </w:r>
      <w:r w:rsidR="008A74EB">
        <w:rPr>
          <w:rtl/>
        </w:rPr>
        <w:t>.</w:t>
      </w:r>
      <w:r w:rsidR="0067328C">
        <w:rPr>
          <w:rFonts w:hint="cs"/>
          <w:rtl/>
        </w:rPr>
        <w:t xml:space="preserve">                                             </w:t>
      </w:r>
      <w:r>
        <w:rPr>
          <w:rtl/>
        </w:rPr>
        <w:t>(6).</w:t>
      </w:r>
      <w:r w:rsidR="008A74EB">
        <w:rPr>
          <w:rtl/>
        </w:rPr>
        <w:t xml:space="preserve"> </w:t>
      </w:r>
      <w:r w:rsidR="008A74EB" w:rsidRPr="00C9040A">
        <w:rPr>
          <w:rtl/>
        </w:rPr>
        <w:t>في « ف » : « عمّا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بس » وحاشية « بف » : « المؤمن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الْفَقْرُ الْحَاضِرُ »</w:t>
      </w:r>
      <w:r>
        <w:rPr>
          <w:rtl/>
          <w:lang w:bidi="fa-IR"/>
        </w:rPr>
        <w:t>.</w:t>
      </w:r>
      <w:r w:rsidRPr="00C9040A">
        <w:rPr>
          <w:rtl/>
          <w:lang w:bidi="fa-IR"/>
        </w:rPr>
        <w:t xml:space="preserve"> </w:t>
      </w:r>
      <w:r w:rsidR="006C577F" w:rsidRPr="006C577F">
        <w:rPr>
          <w:rStyle w:val="libFootnotenumChar"/>
          <w:rtl/>
        </w:rPr>
        <w:t>(1)</w:t>
      </w:r>
      <w:r w:rsidRPr="00C9040A">
        <w:rPr>
          <w:rtl/>
          <w:lang w:bidi="fa-IR"/>
        </w:rPr>
        <w:t xml:space="preserve"> ‌</w:t>
      </w:r>
    </w:p>
    <w:p w:rsidR="008A74EB" w:rsidRPr="00C9040A" w:rsidRDefault="008A74EB" w:rsidP="008A74EB">
      <w:pPr>
        <w:pStyle w:val="libNormal"/>
        <w:rPr>
          <w:rtl/>
          <w:lang w:bidi="fa-IR"/>
        </w:rPr>
      </w:pPr>
      <w:r w:rsidRPr="003F7886">
        <w:rPr>
          <w:rtl/>
        </w:rPr>
        <w:t>1971</w:t>
      </w:r>
      <w:r w:rsidRPr="00261CB0">
        <w:rPr>
          <w:rStyle w:val="libBold2Char"/>
          <w:rtl/>
        </w:rPr>
        <w:t xml:space="preserve"> / 5.</w:t>
      </w:r>
      <w:r w:rsidRPr="00C9040A">
        <w:rPr>
          <w:rtl/>
          <w:lang w:bidi="fa-IR"/>
        </w:rPr>
        <w:t xml:space="preserve"> عِدَّةٌ مِنْ أَصْحَابِنَا ، عَنْ أَحْمَدَ بْنِ مُحَمَّدِ بْنِ خَالِدٍ ، عَنْ أَحْمَدَ بْنِ مُحَمَّدِ بْنِ </w:t>
      </w:r>
      <w:r w:rsidR="006C577F" w:rsidRPr="006C577F">
        <w:rPr>
          <w:rStyle w:val="libFootnotenumChar"/>
          <w:rtl/>
        </w:rPr>
        <w:t>(2)</w:t>
      </w:r>
      <w:r w:rsidRPr="00C9040A">
        <w:rPr>
          <w:rtl/>
          <w:lang w:bidi="fa-IR"/>
        </w:rPr>
        <w:t xml:space="preserve"> أَبِي نَصْرٍ ، قَالَ :</w:t>
      </w:r>
    </w:p>
    <w:p w:rsidR="008A74EB" w:rsidRPr="00C9040A" w:rsidRDefault="008A74EB" w:rsidP="008A74EB">
      <w:pPr>
        <w:pStyle w:val="libNormal"/>
        <w:rPr>
          <w:rtl/>
          <w:lang w:bidi="fa-IR"/>
        </w:rPr>
      </w:pPr>
      <w:r w:rsidRPr="00C9040A">
        <w:rPr>
          <w:rtl/>
          <w:lang w:bidi="fa-IR"/>
        </w:rPr>
        <w:t xml:space="preserve">قُلْتُ لِأَبِي الْحَسَنِ الرِّضَا </w:t>
      </w:r>
      <w:r w:rsidRPr="0003660B">
        <w:rPr>
          <w:rStyle w:val="libAlaemChar"/>
          <w:rtl/>
        </w:rPr>
        <w:t>عليه‌السلام</w:t>
      </w:r>
      <w:r w:rsidRPr="00C9040A">
        <w:rPr>
          <w:rtl/>
          <w:lang w:bidi="fa-IR"/>
        </w:rPr>
        <w:t xml:space="preserve"> : جُعِلْتُ فِدَاكَ ، اكْتُبْ لِي إِلى إِسْمَاعِيلَ بْنِ دَاوُدَ الْكَاتِبِ لَعَلِّي أُصِيبُ مِنْهُ </w:t>
      </w:r>
      <w:r w:rsidR="006C577F" w:rsidRPr="006C577F">
        <w:rPr>
          <w:rStyle w:val="libFootnotenumChar"/>
          <w:rtl/>
        </w:rPr>
        <w:t>(3)</w:t>
      </w:r>
    </w:p>
    <w:p w:rsidR="008A74EB" w:rsidRPr="00C9040A" w:rsidRDefault="008A74EB" w:rsidP="008A74EB">
      <w:pPr>
        <w:pStyle w:val="libNormal"/>
        <w:rPr>
          <w:rtl/>
          <w:lang w:bidi="fa-IR"/>
        </w:rPr>
      </w:pPr>
      <w:r w:rsidRPr="00C9040A">
        <w:rPr>
          <w:rtl/>
          <w:lang w:bidi="fa-IR"/>
        </w:rPr>
        <w:t xml:space="preserve">قَالَ </w:t>
      </w:r>
      <w:r w:rsidR="006C577F" w:rsidRPr="006C577F">
        <w:rPr>
          <w:rStyle w:val="libFootnotenumChar"/>
          <w:rtl/>
        </w:rPr>
        <w:t>(4)</w:t>
      </w:r>
      <w:r w:rsidRPr="00C9040A">
        <w:rPr>
          <w:rtl/>
          <w:lang w:bidi="fa-IR"/>
        </w:rPr>
        <w:t xml:space="preserve"> : « أَنَا أَضَنُّ </w:t>
      </w:r>
      <w:r w:rsidR="006C577F" w:rsidRPr="006C577F">
        <w:rPr>
          <w:rStyle w:val="libFootnotenumChar"/>
          <w:rtl/>
        </w:rPr>
        <w:t>(5)</w:t>
      </w:r>
      <w:r w:rsidRPr="00C9040A">
        <w:rPr>
          <w:rtl/>
          <w:lang w:bidi="fa-IR"/>
        </w:rPr>
        <w:t xml:space="preserve"> بِكَ أَنْ تَطْلُبَ مِثْلَ هذَا وَشِبْهَهُ ، وَلكِنْ عَوِّلْ عَلى </w:t>
      </w:r>
      <w:r w:rsidR="006C577F" w:rsidRPr="006C577F">
        <w:rPr>
          <w:rStyle w:val="libFootnotenumChar"/>
          <w:rtl/>
        </w:rPr>
        <w:t>(6)</w:t>
      </w:r>
      <w:r w:rsidRPr="005B567D">
        <w:rPr>
          <w:rStyle w:val="libFootnotenumChar"/>
          <w:rtl/>
        </w:rPr>
        <w:t xml:space="preserve"> </w:t>
      </w:r>
      <w:r w:rsidRPr="00C9040A">
        <w:rPr>
          <w:rtl/>
          <w:lang w:bidi="fa-IR"/>
        </w:rPr>
        <w:t>مَالِي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3F7886">
        <w:rPr>
          <w:rtl/>
        </w:rPr>
        <w:t>1972</w:t>
      </w:r>
      <w:r w:rsidRPr="00261CB0">
        <w:rPr>
          <w:rStyle w:val="libBold2Char"/>
          <w:rtl/>
        </w:rPr>
        <w:t xml:space="preserve"> / 6.</w:t>
      </w:r>
      <w:r w:rsidRPr="00C9040A">
        <w:rPr>
          <w:rtl/>
          <w:lang w:bidi="fa-IR"/>
        </w:rPr>
        <w:t xml:space="preserve"> عَنْهُ </w:t>
      </w:r>
      <w:r w:rsidR="006C577F" w:rsidRPr="006C577F">
        <w:rPr>
          <w:rStyle w:val="libFootnotenumChar"/>
          <w:rtl/>
        </w:rPr>
        <w:t>(8)</w:t>
      </w:r>
      <w:r w:rsidRPr="00C9040A">
        <w:rPr>
          <w:rtl/>
          <w:lang w:bidi="fa-IR"/>
        </w:rPr>
        <w:t xml:space="preserve"> ، عَنْ أَبِيهِ ، عَنْ حَمَّادِ بْنِ عِيسى ، عَنْ مُعَاوِيَةَ بْنِ عَمَّارٍ ، عَنْ نَجْمِ بْنِ حُطَيْمٍ </w:t>
      </w:r>
      <w:r w:rsidR="006C577F" w:rsidRPr="006C577F">
        <w:rPr>
          <w:rStyle w:val="libFootnotenumChar"/>
          <w:rtl/>
        </w:rPr>
        <w:t>(9)</w:t>
      </w:r>
      <w:r w:rsidRPr="00C9040A">
        <w:rPr>
          <w:rtl/>
          <w:lang w:bidi="fa-IR"/>
        </w:rPr>
        <w:t xml:space="preserve"> الْغَنَوِيِّ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993B55">
        <w:rPr>
          <w:rStyle w:val="libFootnoteBoldChar"/>
          <w:rtl/>
        </w:rPr>
        <w:t>تحف العقول</w:t>
      </w:r>
      <w:r w:rsidR="008A74EB" w:rsidRPr="00C9040A">
        <w:rPr>
          <w:rtl/>
        </w:rPr>
        <w:t xml:space="preserve"> ، ص 279 ، عن عليّ بن الحسين </w:t>
      </w:r>
      <w:r w:rsidR="00117575" w:rsidRPr="00117575">
        <w:rPr>
          <w:rStyle w:val="libFootnoteAlaemChar"/>
          <w:rtl/>
        </w:rPr>
        <w:t>عليه‌السلام</w:t>
      </w:r>
      <w:r w:rsidR="008A74EB" w:rsidRPr="00C9040A">
        <w:rPr>
          <w:rtl/>
        </w:rPr>
        <w:t xml:space="preserve"> ، مع اختلاف </w:t>
      </w:r>
      <w:r w:rsidR="008A74EB" w:rsidRPr="00993B55">
        <w:rPr>
          <w:rStyle w:val="libFootnoteBoldChar"/>
          <w:rtl/>
        </w:rPr>
        <w:t>الوافي</w:t>
      </w:r>
      <w:r w:rsidR="008A74EB" w:rsidRPr="00C9040A">
        <w:rPr>
          <w:rtl/>
        </w:rPr>
        <w:t xml:space="preserve"> ، ج 4 ، ص 416 ، ح 2223 ؛ </w:t>
      </w:r>
      <w:r w:rsidR="008A74EB" w:rsidRPr="00993B55">
        <w:rPr>
          <w:rStyle w:val="libFootnoteBoldChar"/>
          <w:rtl/>
        </w:rPr>
        <w:t>الوسائل</w:t>
      </w:r>
      <w:r w:rsidR="008A74EB" w:rsidRPr="00C9040A">
        <w:rPr>
          <w:rtl/>
        </w:rPr>
        <w:t xml:space="preserve"> ، ج 9 ، ص 449 ، ح 12470 ؛ </w:t>
      </w:r>
      <w:r w:rsidR="008A74EB" w:rsidRPr="00993B55">
        <w:rPr>
          <w:rStyle w:val="libFootnoteBoldChar"/>
          <w:rtl/>
        </w:rPr>
        <w:t>البحار</w:t>
      </w:r>
      <w:r w:rsidR="008A74EB" w:rsidRPr="00C9040A">
        <w:rPr>
          <w:rtl/>
        </w:rPr>
        <w:t xml:space="preserve"> ، ج 75 ، ص 110 ، ح 17.</w:t>
      </w:r>
    </w:p>
    <w:tbl>
      <w:tblPr>
        <w:tblStyle w:val="TableGrid"/>
        <w:bidiVisual/>
        <w:tblW w:w="0" w:type="auto"/>
        <w:tblLook w:val="04A0" w:firstRow="1" w:lastRow="0" w:firstColumn="1" w:lastColumn="0" w:noHBand="0" w:noVBand="1"/>
      </w:tblPr>
      <w:tblGrid>
        <w:gridCol w:w="4006"/>
        <w:gridCol w:w="4006"/>
      </w:tblGrid>
      <w:tr w:rsidR="00C076B2" w:rsidTr="00C076B2">
        <w:tc>
          <w:tcPr>
            <w:tcW w:w="4006" w:type="dxa"/>
          </w:tcPr>
          <w:p w:rsidR="00C076B2" w:rsidRDefault="00C076B2" w:rsidP="004A4E41">
            <w:pPr>
              <w:pStyle w:val="libFootnote0"/>
              <w:rPr>
                <w:rtl/>
              </w:rPr>
            </w:pPr>
            <w:r>
              <w:rPr>
                <w:rtl/>
              </w:rPr>
              <w:t xml:space="preserve">(2). </w:t>
            </w:r>
            <w:r w:rsidRPr="00C9040A">
              <w:rPr>
                <w:rtl/>
              </w:rPr>
              <w:t xml:space="preserve">في « ب » </w:t>
            </w:r>
            <w:r>
              <w:rPr>
                <w:rtl/>
              </w:rPr>
              <w:t>: -</w:t>
            </w:r>
            <w:r w:rsidRPr="00C9040A">
              <w:rPr>
                <w:rtl/>
              </w:rPr>
              <w:t xml:space="preserve"> « محمّد بن »</w:t>
            </w:r>
            <w:r>
              <w:rPr>
                <w:rtl/>
              </w:rPr>
              <w:t>.</w:t>
            </w:r>
          </w:p>
        </w:tc>
        <w:tc>
          <w:tcPr>
            <w:tcW w:w="4006" w:type="dxa"/>
          </w:tcPr>
          <w:p w:rsidR="00C076B2" w:rsidRDefault="00C076B2" w:rsidP="004A4E41">
            <w:pPr>
              <w:pStyle w:val="libFootnote0"/>
              <w:rPr>
                <w:rtl/>
              </w:rPr>
            </w:pPr>
            <w:r>
              <w:rPr>
                <w:rtl/>
              </w:rPr>
              <w:t>(3).</w:t>
            </w:r>
            <w:r w:rsidRPr="00C9040A">
              <w:rPr>
                <w:rtl/>
              </w:rPr>
              <w:t xml:space="preserve"> في«ب،ج</w:t>
            </w:r>
            <w:r>
              <w:rPr>
                <w:rFonts w:hint="cs"/>
                <w:rtl/>
              </w:rPr>
              <w:t xml:space="preserve"> </w:t>
            </w:r>
            <w:r w:rsidRPr="00C9040A">
              <w:rPr>
                <w:rtl/>
              </w:rPr>
              <w:t>د،ص،ض،بس»والوافي:+«</w:t>
            </w:r>
            <w:r>
              <w:rPr>
                <w:rtl/>
              </w:rPr>
              <w:t>شيئاً</w:t>
            </w:r>
            <w:r w:rsidRPr="00C9040A">
              <w:rPr>
                <w:rtl/>
              </w:rPr>
              <w:t>»</w:t>
            </w:r>
            <w:r>
              <w:rPr>
                <w:rtl/>
              </w:rPr>
              <w:t>.</w:t>
            </w:r>
          </w:p>
        </w:tc>
      </w:tr>
    </w:tbl>
    <w:p w:rsidR="008A74EB" w:rsidRPr="00C9040A" w:rsidRDefault="006C577F" w:rsidP="004A4E41">
      <w:pPr>
        <w:pStyle w:val="libFootnote0"/>
        <w:rPr>
          <w:rtl/>
          <w:lang w:bidi="fa-IR"/>
        </w:rPr>
      </w:pPr>
      <w:r>
        <w:rPr>
          <w:rtl/>
        </w:rPr>
        <w:t>(4).</w:t>
      </w:r>
      <w:r w:rsidR="008A74EB" w:rsidRPr="00C9040A">
        <w:rPr>
          <w:rtl/>
        </w:rPr>
        <w:t xml:space="preserve"> في « ب » : + « إذا »</w:t>
      </w:r>
      <w:r w:rsidR="008A74EB">
        <w:rPr>
          <w:rtl/>
        </w:rPr>
        <w:t>.</w:t>
      </w:r>
    </w:p>
    <w:p w:rsidR="008A74EB" w:rsidRPr="00C9040A" w:rsidRDefault="006C577F" w:rsidP="003A197A">
      <w:pPr>
        <w:pStyle w:val="libFootnote0"/>
        <w:rPr>
          <w:rtl/>
          <w:lang w:bidi="fa-IR"/>
        </w:rPr>
      </w:pPr>
      <w:r>
        <w:rPr>
          <w:rtl/>
        </w:rPr>
        <w:t>(5).</w:t>
      </w:r>
      <w:r w:rsidR="008A74EB" w:rsidRPr="00C9040A">
        <w:rPr>
          <w:rtl/>
        </w:rPr>
        <w:t xml:space="preserve"> في حاشية « بر » : « أعزّ »</w:t>
      </w:r>
      <w:r w:rsidR="008A74EB">
        <w:rPr>
          <w:rtl/>
        </w:rPr>
        <w:t>.</w:t>
      </w:r>
      <w:r w:rsidR="008A74EB" w:rsidRPr="00C9040A">
        <w:rPr>
          <w:rtl/>
        </w:rPr>
        <w:t xml:space="preserve"> </w:t>
      </w:r>
      <w:r w:rsidR="008A74EB">
        <w:rPr>
          <w:rtl/>
        </w:rPr>
        <w:t>و «</w:t>
      </w:r>
      <w:r w:rsidR="008A74EB" w:rsidRPr="00C9040A">
        <w:rPr>
          <w:rtl/>
        </w:rPr>
        <w:t xml:space="preserve"> الضَّنّ » : هو ما يختصّه ويضنّ به ، أي يبخل به لمكانته منه وموقعه عنده. </w:t>
      </w:r>
      <w:r w:rsidR="008A74EB" w:rsidRPr="00993B55">
        <w:rPr>
          <w:rStyle w:val="libFootnoteBoldChar"/>
          <w:rtl/>
        </w:rPr>
        <w:t xml:space="preserve">مجمع البحرين </w:t>
      </w:r>
      <w:r w:rsidR="008A74EB" w:rsidRPr="00C9040A">
        <w:rPr>
          <w:rtl/>
        </w:rPr>
        <w:t>، ج 6 ، ص 275 ( ضنن )</w:t>
      </w:r>
      <w:r w:rsidR="008A74EB">
        <w:rPr>
          <w:rtl/>
        </w:rPr>
        <w:t>.</w:t>
      </w:r>
      <w:r w:rsidR="003A197A">
        <w:rPr>
          <w:rFonts w:hint="cs"/>
          <w:rtl/>
        </w:rPr>
        <w:t xml:space="preserve">            </w:t>
      </w:r>
      <w:r>
        <w:rPr>
          <w:rtl/>
        </w:rPr>
        <w:t>(6).</w:t>
      </w:r>
      <w:r w:rsidR="008A74EB">
        <w:rPr>
          <w:rtl/>
        </w:rPr>
        <w:t xml:space="preserve"> </w:t>
      </w:r>
      <w:r w:rsidR="008A74EB" w:rsidRPr="00C9040A">
        <w:rPr>
          <w:rtl/>
        </w:rPr>
        <w:t>في « بر » : « إلى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الوافي</w:t>
      </w:r>
      <w:r w:rsidR="008A74EB" w:rsidRPr="00C9040A">
        <w:rPr>
          <w:rtl/>
        </w:rPr>
        <w:t xml:space="preserve"> ، ج 4 ، ص 416 ، ح 2224 ؛ </w:t>
      </w:r>
      <w:r w:rsidR="008A74EB" w:rsidRPr="00993B55">
        <w:rPr>
          <w:rStyle w:val="libFootnoteBoldChar"/>
          <w:rtl/>
        </w:rPr>
        <w:t>الوسائل</w:t>
      </w:r>
      <w:r w:rsidR="008A74EB" w:rsidRPr="00C9040A">
        <w:rPr>
          <w:rtl/>
        </w:rPr>
        <w:t xml:space="preserve"> ، ج 4 ، ص 449 ، ح 12471 ؛ </w:t>
      </w:r>
      <w:r w:rsidR="008A74EB" w:rsidRPr="00993B55">
        <w:rPr>
          <w:rStyle w:val="libFootnoteBoldChar"/>
          <w:rtl/>
        </w:rPr>
        <w:t>البحار</w:t>
      </w:r>
      <w:r w:rsidR="008A74EB" w:rsidRPr="00C9040A">
        <w:rPr>
          <w:rtl/>
        </w:rPr>
        <w:t xml:space="preserve"> ، ج 75 ، ص 111 ، ح 18.</w:t>
      </w:r>
    </w:p>
    <w:p w:rsidR="008A74EB" w:rsidRPr="00C9040A" w:rsidRDefault="006C577F" w:rsidP="004A4E41">
      <w:pPr>
        <w:pStyle w:val="libFootnote0"/>
        <w:rPr>
          <w:rtl/>
          <w:lang w:bidi="fa-IR"/>
        </w:rPr>
      </w:pPr>
      <w:r>
        <w:rPr>
          <w:rtl/>
        </w:rPr>
        <w:t>(8).</w:t>
      </w:r>
      <w:r w:rsidR="008A74EB" w:rsidRPr="00C9040A">
        <w:rPr>
          <w:rtl/>
        </w:rPr>
        <w:t xml:space="preserve"> الضمير راجع إلى أحمد بن محمّد بن خالد المذكور في السند السابق ؛ فقد روى هو عن أبيه ، عن حمّاد بن‌عيسى كتبه</w:t>
      </w:r>
      <w:r w:rsidR="008A74EB">
        <w:rPr>
          <w:rtl/>
        </w:rPr>
        <w:t xml:space="preserve"> </w:t>
      </w:r>
      <w:r w:rsidR="0084262C">
        <w:rPr>
          <w:rtl/>
        </w:rPr>
        <w:t>-</w:t>
      </w:r>
      <w:r w:rsidR="008A74EB">
        <w:rPr>
          <w:rtl/>
        </w:rPr>
        <w:t xml:space="preserve"> </w:t>
      </w:r>
      <w:r w:rsidR="008A74EB" w:rsidRPr="00C9040A">
        <w:rPr>
          <w:rtl/>
        </w:rPr>
        <w:t xml:space="preserve">كما في </w:t>
      </w:r>
      <w:r w:rsidR="008A74EB" w:rsidRPr="0034021D">
        <w:rPr>
          <w:rStyle w:val="libFootnoteBoldChar"/>
          <w:rtl/>
        </w:rPr>
        <w:t>الفهرست للطوسي</w:t>
      </w:r>
      <w:r w:rsidR="008A74EB" w:rsidRPr="00C9040A">
        <w:rPr>
          <w:rtl/>
        </w:rPr>
        <w:t xml:space="preserve"> ، ص 156 ، الرقم 241</w:t>
      </w:r>
      <w:r w:rsidR="008A74EB">
        <w:rPr>
          <w:rtl/>
        </w:rPr>
        <w:t xml:space="preserve"> </w:t>
      </w:r>
      <w:r w:rsidR="0084262C">
        <w:rPr>
          <w:rtl/>
        </w:rPr>
        <w:t>-</w:t>
      </w:r>
      <w:r w:rsidR="008A74EB">
        <w:rPr>
          <w:rtl/>
        </w:rPr>
        <w:t xml:space="preserve"> </w:t>
      </w:r>
      <w:r w:rsidR="008A74EB" w:rsidRPr="00C9040A">
        <w:rPr>
          <w:rtl/>
        </w:rPr>
        <w:t>وأكثر من الرواية عنه بتوسّط أبيه في المحاسن. ا</w:t>
      </w:r>
      <w:r w:rsidR="003A197A">
        <w:rPr>
          <w:rFonts w:hint="cs"/>
          <w:rtl/>
        </w:rPr>
        <w:t>ُ</w:t>
      </w:r>
      <w:r w:rsidR="008A74EB" w:rsidRPr="00C9040A">
        <w:rPr>
          <w:rtl/>
        </w:rPr>
        <w:t xml:space="preserve">نظر على سبيل المثال : </w:t>
      </w:r>
      <w:r w:rsidR="008A74EB" w:rsidRPr="00993B55">
        <w:rPr>
          <w:rStyle w:val="libFootnoteBoldChar"/>
          <w:rtl/>
        </w:rPr>
        <w:t>المحاسن</w:t>
      </w:r>
      <w:r w:rsidR="008A74EB" w:rsidRPr="00C9040A">
        <w:rPr>
          <w:rtl/>
        </w:rPr>
        <w:t xml:space="preserve"> ، ص 67 ، ح 125 </w:t>
      </w:r>
      <w:r w:rsidR="008A74EB">
        <w:rPr>
          <w:rtl/>
        </w:rPr>
        <w:t>و 1</w:t>
      </w:r>
      <w:r w:rsidR="008A74EB" w:rsidRPr="00C9040A">
        <w:rPr>
          <w:rtl/>
        </w:rPr>
        <w:t xml:space="preserve">26 ؛ وص 132 ، ح 6 ؛ وص 133 ، ح 9 ؛ وص 334 ، ح 102 ؛ وص 337 ، ح 115 </w:t>
      </w:r>
      <w:r w:rsidR="008A74EB">
        <w:rPr>
          <w:rtl/>
        </w:rPr>
        <w:t>و 1</w:t>
      </w:r>
      <w:r w:rsidR="008A74EB" w:rsidRPr="00C9040A">
        <w:rPr>
          <w:rtl/>
        </w:rPr>
        <w:t>17 ؛ وص 340 ، ح 129.</w:t>
      </w:r>
    </w:p>
    <w:p w:rsidR="008A74EB" w:rsidRPr="00C9040A" w:rsidRDefault="006C577F" w:rsidP="004A4E41">
      <w:pPr>
        <w:pStyle w:val="libFootnote0"/>
        <w:rPr>
          <w:rtl/>
          <w:lang w:bidi="fa-IR"/>
        </w:rPr>
      </w:pPr>
      <w:r>
        <w:rPr>
          <w:rtl/>
        </w:rPr>
        <w:t>(9).</w:t>
      </w:r>
      <w:r w:rsidR="008A74EB" w:rsidRPr="00C9040A">
        <w:rPr>
          <w:rtl/>
        </w:rPr>
        <w:t xml:space="preserve"> في « ص ، ض ، بر » : « خطيم »</w:t>
      </w:r>
      <w:r w:rsidR="008A74EB">
        <w:rPr>
          <w:rtl/>
        </w:rPr>
        <w:t>.</w:t>
      </w:r>
      <w:r w:rsidR="008A74EB" w:rsidRPr="00C9040A">
        <w:rPr>
          <w:rtl/>
        </w:rPr>
        <w:t xml:space="preserve"> وقد ذكر البرقي في رجاله ، ص 15 نجم بن حَطيم الغَنَوي في أصحاب أبي جعفر الباقر </w:t>
      </w:r>
      <w:r w:rsidR="00117575" w:rsidRPr="00117575">
        <w:rPr>
          <w:rStyle w:val="libFootnoteAlaemChar"/>
          <w:rtl/>
        </w:rPr>
        <w:t xml:space="preserve">عليه‌السلام </w:t>
      </w:r>
      <w:r w:rsidR="008A74EB" w:rsidRPr="00C9040A">
        <w:rPr>
          <w:rtl/>
        </w:rPr>
        <w:t>. والشيخ الطوسي ذكر في رجاله ، ص 147 ، الرقم 1631 نجم بن حَطِيم. ثمّ قال : « وقيل : أبو حطيم ( ابن خطيم</w:t>
      </w:r>
      <w:r w:rsidR="008A74EB">
        <w:rPr>
          <w:rtl/>
        </w:rPr>
        <w:t xml:space="preserve"> </w:t>
      </w:r>
      <w:r w:rsidR="0084262C">
        <w:rPr>
          <w:rtl/>
        </w:rPr>
        <w:t>-</w:t>
      </w:r>
      <w:r w:rsidR="008A74EB">
        <w:rPr>
          <w:rtl/>
        </w:rPr>
        <w:t xml:space="preserve"> </w:t>
      </w:r>
      <w:r w:rsidR="008A74EB" w:rsidRPr="00C9040A">
        <w:rPr>
          <w:rtl/>
        </w:rPr>
        <w:t>خ ل ) العبدي.</w:t>
      </w:r>
    </w:p>
    <w:p w:rsidR="008A74EB" w:rsidRPr="00C9040A" w:rsidRDefault="008A74EB" w:rsidP="004A4E41">
      <w:pPr>
        <w:pStyle w:val="libFootnote0"/>
        <w:rPr>
          <w:rtl/>
          <w:lang w:bidi="fa-IR"/>
        </w:rPr>
      </w:pPr>
      <w:r w:rsidRPr="00323A39">
        <w:rPr>
          <w:rtl/>
        </w:rPr>
        <w:t xml:space="preserve">وقال ابن ماكولا في </w:t>
      </w:r>
      <w:r w:rsidRPr="00993B55">
        <w:rPr>
          <w:rStyle w:val="libFootnoteBoldChar"/>
          <w:rtl/>
        </w:rPr>
        <w:t>الإكمال</w:t>
      </w:r>
      <w:r w:rsidRPr="00323A39">
        <w:rPr>
          <w:rtl/>
        </w:rPr>
        <w:t xml:space="preserve"> ، ج 3 ، ص 168 : « نجم بن الخَطِيم العجلي أبو عليّ ، يروي عن أبي جعفر محمّد بن عليّ ، روى عنه حصين بن مخارق ».</w:t>
      </w:r>
    </w:p>
    <w:p w:rsidR="008A74EB" w:rsidRPr="00C9040A" w:rsidRDefault="008A74EB" w:rsidP="004A4E41">
      <w:pPr>
        <w:pStyle w:val="libFootnote0"/>
        <w:rPr>
          <w:rtl/>
          <w:lang w:bidi="fa-IR"/>
        </w:rPr>
      </w:pPr>
      <w:r w:rsidRPr="00323A39">
        <w:rPr>
          <w:rtl/>
        </w:rPr>
        <w:t xml:space="preserve">وقال ابن حبّان في كتابه </w:t>
      </w:r>
      <w:r w:rsidRPr="00993B55">
        <w:rPr>
          <w:rStyle w:val="libFootnoteBoldChar"/>
          <w:rtl/>
        </w:rPr>
        <w:t>الثقات</w:t>
      </w:r>
      <w:r w:rsidRPr="00323A39">
        <w:rPr>
          <w:rtl/>
        </w:rPr>
        <w:t xml:space="preserve"> ، ج 9 ، ص 220 : « نجم بن حطيم ، يروي عن سدير الضبى ( الصيرفي </w:t>
      </w:r>
      <w:r w:rsidR="0084262C" w:rsidRPr="00323A39">
        <w:rPr>
          <w:rtl/>
        </w:rPr>
        <w:t>-</w:t>
      </w:r>
      <w:r w:rsidRPr="00323A39">
        <w:rPr>
          <w:rtl/>
        </w:rPr>
        <w:t xml:space="preserve"> خ ل ) ، روى عنه حميد بن المثنّى ».</w:t>
      </w:r>
    </w:p>
    <w:p w:rsidR="004B7F34" w:rsidRDefault="004B7F34" w:rsidP="004B7F34">
      <w:pPr>
        <w:pStyle w:val="libNormal"/>
        <w:rPr>
          <w:rtl/>
          <w:lang w:bidi="fa-IR"/>
        </w:rPr>
      </w:pPr>
      <w:r>
        <w:rPr>
          <w:rtl/>
          <w:lang w:bidi="fa-IR"/>
        </w:rPr>
        <w:br w:type="page"/>
      </w:r>
    </w:p>
    <w:p w:rsidR="008A74EB"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الْيَأْسُ مِمَّا فِي أَيْدِي النَّاسِ عِز</w:t>
      </w:r>
      <w:r>
        <w:rPr>
          <w:rtl/>
          <w:lang w:bidi="fa-IR"/>
        </w:rPr>
        <w:t>ُّ الْمُؤْمِنِ فِي دِينِهِ ؛ أَ</w:t>
      </w:r>
      <w:r w:rsidRPr="00C9040A">
        <w:rPr>
          <w:rtl/>
          <w:lang w:bidi="fa-IR"/>
        </w:rPr>
        <w:t xml:space="preserve">وَمَا </w:t>
      </w:r>
      <w:r w:rsidR="006C577F" w:rsidRPr="006C577F">
        <w:rPr>
          <w:rStyle w:val="libFootnotenumChar"/>
          <w:rtl/>
        </w:rPr>
        <w:t>(1)</w:t>
      </w:r>
      <w:r w:rsidRPr="00C9040A">
        <w:rPr>
          <w:rtl/>
          <w:lang w:bidi="fa-IR"/>
        </w:rPr>
        <w:t xml:space="preserve"> سَمِعْتَ قَوْلَ حَاتِمٍ </w:t>
      </w:r>
      <w:r w:rsidR="006C577F" w:rsidRPr="006C577F">
        <w:rPr>
          <w:rStyle w:val="libFootnotenumChar"/>
          <w:rtl/>
        </w:rPr>
        <w:t>(2)</w:t>
      </w:r>
      <w:r w:rsidRPr="00C9040A">
        <w:rPr>
          <w:rtl/>
          <w:lang w:bidi="fa-IR"/>
        </w:rPr>
        <w:t xml:space="preserve"> :</w:t>
      </w:r>
    </w:p>
    <w:tbl>
      <w:tblPr>
        <w:tblStyle w:val="TableGrid"/>
        <w:bidiVisual/>
        <w:tblW w:w="4562" w:type="pct"/>
        <w:tblInd w:w="384" w:type="dxa"/>
        <w:tblLook w:val="01E0" w:firstRow="1" w:lastRow="1" w:firstColumn="1" w:lastColumn="1" w:noHBand="0" w:noVBand="0"/>
      </w:tblPr>
      <w:tblGrid>
        <w:gridCol w:w="3532"/>
        <w:gridCol w:w="272"/>
        <w:gridCol w:w="3506"/>
      </w:tblGrid>
      <w:tr w:rsidR="00451F46" w:rsidTr="00405827">
        <w:trPr>
          <w:trHeight w:val="350"/>
        </w:trPr>
        <w:tc>
          <w:tcPr>
            <w:tcW w:w="3920" w:type="dxa"/>
            <w:shd w:val="clear" w:color="auto" w:fill="auto"/>
          </w:tcPr>
          <w:p w:rsidR="00451F46" w:rsidRDefault="00451F46" w:rsidP="00405827">
            <w:pPr>
              <w:pStyle w:val="libPoem"/>
            </w:pPr>
            <w:r w:rsidRPr="00C9040A">
              <w:rPr>
                <w:rtl/>
                <w:lang w:bidi="fa-IR"/>
              </w:rPr>
              <w:t>إِذَا مَا عَزَمْتَ الْيَأْسَ أَلْفَيْتَهُ الْغِنى</w:t>
            </w:r>
            <w:r w:rsidRPr="00725071">
              <w:rPr>
                <w:rStyle w:val="libPoemTiniChar0"/>
                <w:rtl/>
              </w:rPr>
              <w:br/>
              <w:t> </w:t>
            </w:r>
          </w:p>
        </w:tc>
        <w:tc>
          <w:tcPr>
            <w:tcW w:w="279" w:type="dxa"/>
            <w:shd w:val="clear" w:color="auto" w:fill="auto"/>
          </w:tcPr>
          <w:p w:rsidR="00451F46" w:rsidRDefault="00451F46" w:rsidP="00405827">
            <w:pPr>
              <w:pStyle w:val="libPoem"/>
              <w:rPr>
                <w:rtl/>
              </w:rPr>
            </w:pPr>
          </w:p>
        </w:tc>
        <w:tc>
          <w:tcPr>
            <w:tcW w:w="3881" w:type="dxa"/>
            <w:shd w:val="clear" w:color="auto" w:fill="auto"/>
          </w:tcPr>
          <w:p w:rsidR="00451F46" w:rsidRDefault="00451F46" w:rsidP="00405827">
            <w:pPr>
              <w:pStyle w:val="libPoem"/>
            </w:pPr>
            <w:r w:rsidRPr="00C9040A">
              <w:rPr>
                <w:rtl/>
                <w:lang w:bidi="fa-IR"/>
              </w:rPr>
              <w:t>إِذَا عَرَّفْتَهُ النَّفْسَ وَالطَّمَعُ الْفَقْرُ</w:t>
            </w:r>
            <w:r>
              <w:rPr>
                <w:rFonts w:hint="cs"/>
                <w:rtl/>
                <w:lang w:bidi="fa-IR"/>
              </w:rPr>
              <w:t xml:space="preserve"> </w:t>
            </w:r>
            <w:r w:rsidRPr="006C577F">
              <w:rPr>
                <w:rStyle w:val="libFootnotenumChar"/>
                <w:rtl/>
              </w:rPr>
              <w:t>(3)</w:t>
            </w:r>
            <w:r w:rsidRPr="00C9040A">
              <w:rPr>
                <w:rtl/>
                <w:lang w:bidi="fa-IR"/>
              </w:rPr>
              <w:t xml:space="preserve"> »</w:t>
            </w:r>
            <w:r>
              <w:rPr>
                <w:rtl/>
                <w:lang w:bidi="fa-IR"/>
              </w:rPr>
              <w:t>.</w:t>
            </w:r>
            <w:r w:rsidRPr="00C9040A">
              <w:rPr>
                <w:rtl/>
                <w:lang w:bidi="fa-IR"/>
              </w:rPr>
              <w:t xml:space="preserve"> </w:t>
            </w:r>
            <w:r w:rsidRPr="006C577F">
              <w:rPr>
                <w:rStyle w:val="libFootnotenumChar"/>
                <w:rtl/>
              </w:rPr>
              <w:t>(4)</w:t>
            </w:r>
            <w:r w:rsidRPr="00725071">
              <w:rPr>
                <w:rStyle w:val="libPoemTiniChar0"/>
                <w:rtl/>
              </w:rPr>
              <w:br/>
              <w:t> </w:t>
            </w:r>
          </w:p>
        </w:tc>
      </w:tr>
    </w:tbl>
    <w:p w:rsidR="008A74EB" w:rsidRPr="00C9040A" w:rsidRDefault="008A74EB" w:rsidP="008A74EB">
      <w:pPr>
        <w:pStyle w:val="libNormal"/>
        <w:rPr>
          <w:rtl/>
          <w:lang w:bidi="fa-IR"/>
        </w:rPr>
      </w:pPr>
      <w:r w:rsidRPr="003F7886">
        <w:rPr>
          <w:rtl/>
        </w:rPr>
        <w:t>1973</w:t>
      </w:r>
      <w:r w:rsidRPr="00261CB0">
        <w:rPr>
          <w:rStyle w:val="libBold2Char"/>
          <w:rtl/>
        </w:rPr>
        <w:t xml:space="preserve"> / 7.</w:t>
      </w:r>
      <w:r w:rsidRPr="00C9040A">
        <w:rPr>
          <w:rtl/>
          <w:lang w:bidi="fa-IR"/>
        </w:rPr>
        <w:t xml:space="preserve"> مُحَمَّدُ بْنُ يَحْيى ، عَنْ أَحْمَدَ بْنِ مُحَمَّدِ بْنِ عِيسى ، عَنْ مُحَمَّدِ بْنِ سِنَانٍ ، عَنْ عَمَّارٍ السَّابَاطِيِّ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كَانَ أَمِيرُ الْمُؤْمِنِينَ</w:t>
      </w:r>
      <w:r>
        <w:rPr>
          <w:rtl/>
          <w:lang w:bidi="fa-IR"/>
        </w:rPr>
        <w:t xml:space="preserve"> </w:t>
      </w:r>
      <w:r w:rsidR="0084262C">
        <w:rPr>
          <w:rtl/>
          <w:lang w:bidi="fa-IR"/>
        </w:rPr>
        <w:t>-</w:t>
      </w:r>
      <w:r>
        <w:rPr>
          <w:rtl/>
          <w:lang w:bidi="fa-IR"/>
        </w:rPr>
        <w:t xml:space="preserve"> </w:t>
      </w:r>
      <w:r w:rsidRPr="00C9040A">
        <w:rPr>
          <w:rtl/>
          <w:lang w:bidi="fa-IR"/>
        </w:rPr>
        <w:t>صَلَوَاتُ اللهِ عَلَيْهِ</w:t>
      </w:r>
      <w:r>
        <w:rPr>
          <w:rtl/>
          <w:lang w:bidi="fa-IR"/>
        </w:rPr>
        <w:t xml:space="preserve"> </w:t>
      </w:r>
      <w:r w:rsidR="0084262C">
        <w:rPr>
          <w:rtl/>
          <w:lang w:bidi="fa-IR"/>
        </w:rPr>
        <w:t>-</w:t>
      </w:r>
      <w:r>
        <w:rPr>
          <w:rtl/>
          <w:lang w:bidi="fa-IR"/>
        </w:rPr>
        <w:t xml:space="preserve"> </w:t>
      </w:r>
      <w:r w:rsidRPr="00C9040A">
        <w:rPr>
          <w:rtl/>
          <w:lang w:bidi="fa-IR"/>
        </w:rPr>
        <w:t>يَقُولُ :</w:t>
      </w:r>
    </w:p>
    <w:p w:rsidR="008A74EB" w:rsidRPr="00C9040A" w:rsidRDefault="008A74EB" w:rsidP="008A74EB">
      <w:pPr>
        <w:pStyle w:val="libNormal"/>
        <w:rPr>
          <w:rtl/>
          <w:lang w:bidi="fa-IR"/>
        </w:rPr>
      </w:pPr>
      <w:r w:rsidRPr="00C9040A">
        <w:rPr>
          <w:rtl/>
          <w:lang w:bidi="fa-IR"/>
        </w:rPr>
        <w:t xml:space="preserve">لِيَجْتَمِعْ فِي قَلْبِكَ الِافْتِقَارُ إِلَى النَّاسِ وَالِاسْتِغْنَاءُ عَنْهُمْ </w:t>
      </w:r>
      <w:r w:rsidR="006C577F" w:rsidRPr="006C577F">
        <w:rPr>
          <w:rStyle w:val="libFootnotenumChar"/>
          <w:rtl/>
        </w:rPr>
        <w:t>(5)</w:t>
      </w:r>
      <w:r w:rsidRPr="00C9040A">
        <w:rPr>
          <w:rtl/>
          <w:lang w:bidi="fa-IR"/>
        </w:rPr>
        <w:t xml:space="preserve"> ؛ فَيَكُونَ افْتِقَارُكَ‌</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بر » : « أما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هو حاتم بن عبدالله بن سعد الحشرج الطائي القحطاني ، أبو عَديّ ، فارس شاعر جواد جاهلي ، يضرب المثل بجوده وسخائه ، كان من أهل نجد وزار الشام ، فتزوّج مارية بنت حجر الغسّانيّة ، ومات في عوارض ، وهو جبل في بلاد الطيئ ، قال ياقوت : وقبر حاتم عليه. وشعر حاتم كثير ، ضاع معظمه ، وبقي منه ديوان صغير مطبوع. وأرّخوا وفاته في السنة الثامنة بعد مولد النبيّ </w:t>
      </w:r>
      <w:r w:rsidR="004A4E41" w:rsidRPr="0081040D">
        <w:rPr>
          <w:rStyle w:val="libFootnoteAlaemChar"/>
          <w:rtl/>
        </w:rPr>
        <w:t>صلى‌الله‌عليه‌وآله</w:t>
      </w:r>
      <w:r w:rsidR="008A74EB" w:rsidRPr="00C9040A">
        <w:rPr>
          <w:rtl/>
        </w:rPr>
        <w:t xml:space="preserve"> ، أي نحو سنة 46 قبل الهجرة. </w:t>
      </w:r>
      <w:r w:rsidR="008A74EB" w:rsidRPr="00993B55">
        <w:rPr>
          <w:rStyle w:val="libFootnoteBoldChar"/>
          <w:rtl/>
        </w:rPr>
        <w:t>الأعلام</w:t>
      </w:r>
      <w:r w:rsidR="008A74EB" w:rsidRPr="00C9040A">
        <w:rPr>
          <w:rtl/>
        </w:rPr>
        <w:t xml:space="preserve"> للزركلي ، ج 2 ، ص 151.</w:t>
      </w:r>
    </w:p>
    <w:p w:rsidR="008A74EB" w:rsidRPr="00C9040A" w:rsidRDefault="006C577F" w:rsidP="004A4E41">
      <w:pPr>
        <w:pStyle w:val="libFootnote0"/>
        <w:rPr>
          <w:rtl/>
          <w:lang w:bidi="fa-IR"/>
        </w:rPr>
      </w:pPr>
      <w:r>
        <w:rPr>
          <w:rtl/>
        </w:rPr>
        <w:t>(3).</w:t>
      </w:r>
      <w:r w:rsidR="008A74EB" w:rsidRPr="00C9040A">
        <w:rPr>
          <w:rtl/>
        </w:rPr>
        <w:t xml:space="preserve"> قال في </w:t>
      </w:r>
      <w:r w:rsidR="008A74EB" w:rsidRPr="00993B55">
        <w:rPr>
          <w:rStyle w:val="libFootnoteBoldChar"/>
          <w:rtl/>
        </w:rPr>
        <w:t>مرآة العقول</w:t>
      </w:r>
      <w:r w:rsidR="008A74EB" w:rsidRPr="00C9040A">
        <w:rPr>
          <w:rtl/>
        </w:rPr>
        <w:t xml:space="preserve"> ، ج 8 ، ص 356 : « ذكر شعر حاتم ليس للاستشهاد ، بل للشهرة والدلالة على أنّ هذا ممّا يحكم به عقل جميع الناس حتّى الكفّار. « إذا ما عزمت اليأس » كلمة « ما » زائدة ، أي إذا عزمت على اليأس عن الناس. « ألفيته » أي وجدته « الغنا إذا عرّفته » بصيغة الخطاب من باب التفعيل ونصب النفس ، أو بصيغة الغيبة ورفع النفس. والطمع مرفوع بالابتدائيّة ، والفقر بالخبريّة »</w:t>
      </w:r>
      <w:r w:rsidR="008A74EB">
        <w:rPr>
          <w:rtl/>
        </w:rPr>
        <w:t>.</w:t>
      </w:r>
      <w:r w:rsidR="008A74EB" w:rsidRPr="00C9040A">
        <w:rPr>
          <w:rtl/>
        </w:rPr>
        <w:t xml:space="preserve"> وتمثّل أيضاً بهذا ، الإمام الصادق </w:t>
      </w:r>
      <w:r w:rsidR="00117575" w:rsidRPr="00117575">
        <w:rPr>
          <w:rStyle w:val="libFootnoteAlaemChar"/>
          <w:rtl/>
        </w:rPr>
        <w:t>عليه‌السلام</w:t>
      </w:r>
      <w:r w:rsidR="008A74EB" w:rsidRPr="00C9040A">
        <w:rPr>
          <w:rtl/>
        </w:rPr>
        <w:t xml:space="preserve"> في حديث آخر في </w:t>
      </w:r>
      <w:r w:rsidR="008A74EB" w:rsidRPr="00993B55">
        <w:rPr>
          <w:rStyle w:val="libFootnoteBoldChar"/>
          <w:rtl/>
        </w:rPr>
        <w:t>الكافي</w:t>
      </w:r>
      <w:r w:rsidR="008A74EB" w:rsidRPr="00C9040A">
        <w:rPr>
          <w:rtl/>
        </w:rPr>
        <w:t xml:space="preserve"> ، كتاب </w:t>
      </w:r>
      <w:r w:rsidR="008A74EB" w:rsidRPr="00993B55">
        <w:rPr>
          <w:rStyle w:val="libFootnoteBoldChar"/>
          <w:rtl/>
        </w:rPr>
        <w:t>الزكاة</w:t>
      </w:r>
      <w:r w:rsidR="008A74EB" w:rsidRPr="00C9040A">
        <w:rPr>
          <w:rtl/>
        </w:rPr>
        <w:t xml:space="preserve"> ، باب كراهية المسألة ، ح 6083 ، وفيه : « إذا ما عرفت » بدل « إذا ما عزمت »</w:t>
      </w:r>
      <w:r w:rsidR="008A74EB">
        <w:rPr>
          <w:rtl/>
        </w:rPr>
        <w:t>.</w:t>
      </w:r>
    </w:p>
    <w:p w:rsidR="008A74EB" w:rsidRPr="00C9040A" w:rsidRDefault="006C577F" w:rsidP="0081040D">
      <w:pPr>
        <w:pStyle w:val="libFootnote0"/>
        <w:rPr>
          <w:rtl/>
          <w:lang w:bidi="fa-IR"/>
        </w:rPr>
      </w:pPr>
      <w:r>
        <w:rPr>
          <w:rtl/>
        </w:rPr>
        <w:t>(4).</w:t>
      </w:r>
      <w:r w:rsidR="008A74EB" w:rsidRPr="00C9040A">
        <w:rPr>
          <w:rtl/>
        </w:rPr>
        <w:t xml:space="preserve"> </w:t>
      </w:r>
      <w:r w:rsidR="008A74EB" w:rsidRPr="00993B55">
        <w:rPr>
          <w:rStyle w:val="libFootnoteBoldChar"/>
          <w:rtl/>
        </w:rPr>
        <w:t>فقه الرضا</w:t>
      </w:r>
      <w:r w:rsidR="008A74EB" w:rsidRPr="00C9040A">
        <w:rPr>
          <w:rtl/>
        </w:rPr>
        <w:t xml:space="preserve"> </w:t>
      </w:r>
      <w:r w:rsidR="00117575" w:rsidRPr="00117575">
        <w:rPr>
          <w:rStyle w:val="libFootnoteAlaemChar"/>
          <w:rtl/>
        </w:rPr>
        <w:t>عليه‌السلام</w:t>
      </w:r>
      <w:r w:rsidR="008A74EB" w:rsidRPr="00C9040A">
        <w:rPr>
          <w:rtl/>
        </w:rPr>
        <w:t xml:space="preserve"> ، ص 367 ، إلى قوله : « عزّ المؤمن في دينه » مع زيادة في آخره</w:t>
      </w:r>
      <w:r w:rsidR="0081040D">
        <w:rPr>
          <w:rFonts w:hint="cs"/>
          <w:rtl/>
        </w:rPr>
        <w:t>.</w:t>
      </w:r>
      <w:r w:rsidR="008A74EB" w:rsidRPr="00993B55">
        <w:rPr>
          <w:rStyle w:val="libFootnoteBoldChar"/>
          <w:rtl/>
        </w:rPr>
        <w:t>الوافي</w:t>
      </w:r>
      <w:r w:rsidR="008A74EB" w:rsidRPr="00C9040A">
        <w:rPr>
          <w:rtl/>
        </w:rPr>
        <w:t xml:space="preserve"> ، ج 4 ، ص 416 ، ح 2225 ؛ </w:t>
      </w:r>
      <w:r w:rsidR="008A74EB" w:rsidRPr="00993B55">
        <w:rPr>
          <w:rStyle w:val="libFootnoteBoldChar"/>
          <w:rtl/>
        </w:rPr>
        <w:t>الوسائل</w:t>
      </w:r>
      <w:r w:rsidR="008A74EB" w:rsidRPr="00C9040A">
        <w:rPr>
          <w:rtl/>
        </w:rPr>
        <w:t xml:space="preserve"> ، ج 9 ، ص 444 ، ح 12472 ؛ </w:t>
      </w:r>
      <w:r w:rsidR="008A74EB" w:rsidRPr="00993B55">
        <w:rPr>
          <w:rStyle w:val="libFootnoteBoldChar"/>
          <w:rtl/>
        </w:rPr>
        <w:t>البحار</w:t>
      </w:r>
      <w:r w:rsidR="008A74EB" w:rsidRPr="00C9040A">
        <w:rPr>
          <w:rtl/>
        </w:rPr>
        <w:t xml:space="preserve"> ، ج 75 ، ص 112 ، ح 19.</w:t>
      </w:r>
    </w:p>
    <w:p w:rsidR="008A74EB" w:rsidRPr="00C9040A" w:rsidRDefault="006C577F" w:rsidP="004A4E41">
      <w:pPr>
        <w:pStyle w:val="libFootnote0"/>
        <w:rPr>
          <w:rtl/>
          <w:lang w:bidi="fa-IR"/>
        </w:rPr>
      </w:pPr>
      <w:r>
        <w:rPr>
          <w:rtl/>
        </w:rPr>
        <w:t>(5).</w:t>
      </w:r>
      <w:r w:rsidR="008A74EB" w:rsidRPr="00C9040A">
        <w:rPr>
          <w:rtl/>
        </w:rPr>
        <w:t xml:space="preserve"> في </w:t>
      </w:r>
      <w:r w:rsidR="008A74EB" w:rsidRPr="00993B55">
        <w:rPr>
          <w:rStyle w:val="libFootnoteBoldChar"/>
          <w:rtl/>
        </w:rPr>
        <w:t>مرآة العقول</w:t>
      </w:r>
      <w:r w:rsidR="008A74EB" w:rsidRPr="00C9040A">
        <w:rPr>
          <w:rtl/>
        </w:rPr>
        <w:t xml:space="preserve"> : « ليجتمع في قلبك الافتقار إلى الناس والاستغناء عنهم ، أي العزم عليهما بأن تعاملهم ظاهراًمعاملة من يفتقر إليهم في لين الكلام وحسن البشر ، وأن تعاملهم من جهة ا</w:t>
      </w:r>
      <w:r w:rsidR="00630459">
        <w:rPr>
          <w:rFonts w:hint="cs"/>
          <w:rtl/>
        </w:rPr>
        <w:t>ُ</w:t>
      </w:r>
      <w:r w:rsidR="008A74EB" w:rsidRPr="00C9040A">
        <w:rPr>
          <w:rtl/>
        </w:rPr>
        <w:t>خرى معاملة من يستغني عنهم بأن تنزّه عرضك من التدنّس بالسؤال عنهم ، وتبقي عزّك بعدم التذلّل عندهم للأطماع الباطلة. أو يجتمع في قلبك اعتقادان : اعتقادك بأنّك مفتقر إليهم للمعاشرة ، لأن الإنسان مدنيّ بالطبع يحتاج بعضهم إلى بعض في التعيّش والبقاء ؛ واعتقادك بأنّك مستغن عنهم غير محتاج إلى سؤالهم ، لأنّ الله تعالى ضمن أرزاق العباد ، وهو مسبّب الأسباب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إِلَيْهِمْ فِي لِينِ كَلَامِكَ وَحُسْنِ بِشْرِكَ ، وَيَكُونَ اسْتِغْنَاؤُكَ عَنْهُمْ فِي نَزَاهَةِ عِرْضِكَ وَبَقَاءِ عِزِّكَ »</w:t>
      </w:r>
      <w:r>
        <w:rPr>
          <w:rtl/>
          <w:lang w:bidi="fa-IR"/>
        </w:rPr>
        <w:t>.</w:t>
      </w:r>
      <w:r w:rsidRPr="00C9040A">
        <w:rPr>
          <w:rtl/>
          <w:lang w:bidi="fa-IR"/>
        </w:rPr>
        <w:t xml:space="preserve"> </w:t>
      </w:r>
      <w:r w:rsidR="006C577F" w:rsidRPr="006C577F">
        <w:rPr>
          <w:rStyle w:val="libFootnotenumChar"/>
          <w:rtl/>
        </w:rPr>
        <w:t>(1)</w:t>
      </w:r>
      <w:r w:rsidRPr="00C9040A">
        <w:rPr>
          <w:rtl/>
          <w:lang w:bidi="fa-IR"/>
        </w:rPr>
        <w:t xml:space="preserve"> ‌</w:t>
      </w:r>
    </w:p>
    <w:p w:rsidR="008A74EB" w:rsidRPr="00C9040A" w:rsidRDefault="00630459" w:rsidP="008A74EB">
      <w:pPr>
        <w:pStyle w:val="libNormal"/>
        <w:rPr>
          <w:rtl/>
          <w:lang w:bidi="fa-IR"/>
        </w:rPr>
      </w:pPr>
      <w:r>
        <w:rPr>
          <w:rFonts w:hint="cs"/>
          <w:rtl/>
          <w:lang w:bidi="fa-IR"/>
        </w:rPr>
        <w:t xml:space="preserve">* </w:t>
      </w:r>
      <w:r w:rsidR="008A74EB" w:rsidRPr="00C9040A">
        <w:rPr>
          <w:rtl/>
          <w:lang w:bidi="fa-IR"/>
        </w:rPr>
        <w:t xml:space="preserve">عَلِيُّ بْنُ إِبْرَاهِيمَ ، عَنْ أَبِيهِ ، عَنْ عَلِيِّ بْنِ مَعْبَدٍ ، قَالَ : حَدَّثَنِي عَلِيُّ </w:t>
      </w:r>
      <w:r w:rsidR="006C577F" w:rsidRPr="006C577F">
        <w:rPr>
          <w:rStyle w:val="libFootnotenumChar"/>
          <w:rtl/>
        </w:rPr>
        <w:t>(2)</w:t>
      </w:r>
      <w:r w:rsidR="008A74EB" w:rsidRPr="00C9040A">
        <w:rPr>
          <w:rtl/>
          <w:lang w:bidi="fa-IR"/>
        </w:rPr>
        <w:t xml:space="preserve"> بْنُ عُمَرَ ، عَنْ يَحْيَى بْنِ عِمْرَانَ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كَانَ أَمِيرُ الْمُؤْمِنِينَ</w:t>
      </w:r>
      <w:r>
        <w:rPr>
          <w:rtl/>
          <w:lang w:bidi="fa-IR"/>
        </w:rPr>
        <w:t xml:space="preserve"> </w:t>
      </w:r>
      <w:r w:rsidR="0084262C">
        <w:rPr>
          <w:rtl/>
          <w:lang w:bidi="fa-IR"/>
        </w:rPr>
        <w:t>-</w:t>
      </w:r>
      <w:r>
        <w:rPr>
          <w:rtl/>
          <w:lang w:bidi="fa-IR"/>
        </w:rPr>
        <w:t xml:space="preserve"> </w:t>
      </w:r>
      <w:r w:rsidRPr="00C9040A">
        <w:rPr>
          <w:rtl/>
          <w:lang w:bidi="fa-IR"/>
        </w:rPr>
        <w:t>صَلَوَاتُ اللهِ عَلَيْهِ</w:t>
      </w:r>
      <w:r>
        <w:rPr>
          <w:rtl/>
          <w:lang w:bidi="fa-IR"/>
        </w:rPr>
        <w:t xml:space="preserve"> </w:t>
      </w:r>
      <w:r w:rsidR="0084262C">
        <w:rPr>
          <w:rtl/>
          <w:lang w:bidi="fa-IR"/>
        </w:rPr>
        <w:t>-</w:t>
      </w:r>
      <w:r>
        <w:rPr>
          <w:rtl/>
          <w:lang w:bidi="fa-IR"/>
        </w:rPr>
        <w:t xml:space="preserve"> </w:t>
      </w:r>
      <w:r w:rsidRPr="00C9040A">
        <w:rPr>
          <w:rtl/>
          <w:lang w:bidi="fa-IR"/>
        </w:rPr>
        <w:t xml:space="preserve">يَقُولُ » </w:t>
      </w:r>
      <w:r w:rsidR="006C577F" w:rsidRPr="006C577F">
        <w:rPr>
          <w:rStyle w:val="libFootnotenumChar"/>
          <w:rtl/>
        </w:rPr>
        <w:t>(3)</w:t>
      </w:r>
      <w:r w:rsidRPr="00C9040A">
        <w:rPr>
          <w:rtl/>
          <w:lang w:bidi="fa-IR"/>
        </w:rPr>
        <w:t xml:space="preserve"> ثُمَّ ذَكَرَ مِثْلَهُ.</w:t>
      </w:r>
    </w:p>
    <w:p w:rsidR="008A74EB" w:rsidRPr="00C9040A" w:rsidRDefault="008A74EB" w:rsidP="008A74EB">
      <w:pPr>
        <w:pStyle w:val="Heading2Center"/>
        <w:rPr>
          <w:rtl/>
          <w:lang w:bidi="fa-IR"/>
        </w:rPr>
      </w:pPr>
      <w:bookmarkStart w:id="214" w:name="_Toc343795659"/>
      <w:bookmarkStart w:id="215" w:name="_Toc459810783"/>
      <w:bookmarkStart w:id="216" w:name="_Toc35348689"/>
      <w:r w:rsidRPr="00C9040A">
        <w:rPr>
          <w:rtl/>
          <w:lang w:bidi="fa-IR"/>
        </w:rPr>
        <w:t>68</w:t>
      </w:r>
      <w:r>
        <w:rPr>
          <w:rtl/>
          <w:lang w:bidi="fa-IR"/>
        </w:rPr>
        <w:t xml:space="preserve"> </w:t>
      </w:r>
      <w:r w:rsidR="0084262C">
        <w:rPr>
          <w:rtl/>
          <w:lang w:bidi="fa-IR"/>
        </w:rPr>
        <w:t>-</w:t>
      </w:r>
      <w:r>
        <w:rPr>
          <w:rtl/>
          <w:lang w:bidi="fa-IR"/>
        </w:rPr>
        <w:t xml:space="preserve"> </w:t>
      </w:r>
      <w:r w:rsidRPr="00C9040A">
        <w:rPr>
          <w:rtl/>
          <w:lang w:bidi="fa-IR"/>
        </w:rPr>
        <w:t>بَابُ صِلَةِ الرَّحِمِ‌</w:t>
      </w:r>
      <w:bookmarkEnd w:id="214"/>
      <w:bookmarkEnd w:id="215"/>
      <w:bookmarkEnd w:id="216"/>
    </w:p>
    <w:p w:rsidR="008A74EB" w:rsidRPr="00C9040A" w:rsidRDefault="008A74EB" w:rsidP="008A74EB">
      <w:pPr>
        <w:pStyle w:val="libNormal"/>
        <w:rPr>
          <w:rtl/>
          <w:lang w:bidi="fa-IR"/>
        </w:rPr>
      </w:pPr>
      <w:r w:rsidRPr="00E16C02">
        <w:rPr>
          <w:rtl/>
        </w:rPr>
        <w:t>1974</w:t>
      </w:r>
      <w:r w:rsidRPr="00261CB0">
        <w:rPr>
          <w:rStyle w:val="libBold2Char"/>
          <w:rtl/>
        </w:rPr>
        <w:t xml:space="preserve"> / 1.</w:t>
      </w:r>
      <w:r w:rsidRPr="00C9040A">
        <w:rPr>
          <w:rtl/>
          <w:lang w:bidi="fa-IR"/>
        </w:rPr>
        <w:t xml:space="preserve"> عَلِيُّ بْنُ إِبْرَاهِيمَ ، عَنْ أَبِيهِ ، عَنِ ابْنِ أَبِي عُمَيْرٍ ، عَنْ جَمِيلِ بْنِ دَرَّاجٍ ، قَالَ :</w:t>
      </w:r>
    </w:p>
    <w:p w:rsidR="008A74EB" w:rsidRPr="00C9040A" w:rsidRDefault="008A74EB" w:rsidP="008A74EB">
      <w:pPr>
        <w:pStyle w:val="libNormal"/>
        <w:rPr>
          <w:rtl/>
          <w:lang w:bidi="fa-IR"/>
        </w:rPr>
      </w:pPr>
      <w:r w:rsidRPr="00C9040A">
        <w:rPr>
          <w:rtl/>
          <w:lang w:bidi="fa-IR"/>
        </w:rPr>
        <w:t xml:space="preserve">سَأَلْتُ أَبَا عَبْدِ اللهِ </w:t>
      </w:r>
      <w:r w:rsidRPr="0003660B">
        <w:rPr>
          <w:rStyle w:val="libAlaemChar"/>
          <w:rtl/>
        </w:rPr>
        <w:t>عليه‌السلام</w:t>
      </w:r>
      <w:r w:rsidRPr="00C9040A">
        <w:rPr>
          <w:rtl/>
          <w:lang w:bidi="fa-IR"/>
        </w:rPr>
        <w:t xml:space="preserve"> عَنْ قَوْلِ اللهِ جَلَّ ذِكْرُهُ : </w:t>
      </w:r>
      <w:r w:rsidRPr="0003660B">
        <w:rPr>
          <w:rStyle w:val="libAlaemChar"/>
          <w:rtl/>
        </w:rPr>
        <w:t>(</w:t>
      </w:r>
      <w:r w:rsidRPr="006A2246">
        <w:rPr>
          <w:rStyle w:val="libAieChar"/>
          <w:rtl/>
        </w:rPr>
        <w:t xml:space="preserve"> وَاتَّقُوا اللهَ الَّذِي تَسائَلُونَ بِهِ وَالْأَرْحامَ إِنَّ اللهَ كانَ عَلَيْكُمْ رَقِيباً </w:t>
      </w:r>
      <w:r w:rsidRPr="0003660B">
        <w:rPr>
          <w:rStyle w:val="libAlaemChar"/>
          <w:rtl/>
        </w:rPr>
        <w:t>)</w:t>
      </w:r>
      <w:r w:rsidRPr="00C9040A">
        <w:rPr>
          <w:rtl/>
          <w:lang w:bidi="fa-IR"/>
        </w:rPr>
        <w:t xml:space="preserve"> </w:t>
      </w:r>
      <w:r w:rsidR="006C577F" w:rsidRPr="006C577F">
        <w:rPr>
          <w:rStyle w:val="libFootnotenumChar"/>
          <w:rtl/>
        </w:rPr>
        <w:t>(4)</w:t>
      </w:r>
      <w:r w:rsidRPr="00C9040A">
        <w:rPr>
          <w:rtl/>
          <w:lang w:bidi="fa-IR"/>
        </w:rPr>
        <w:t xml:space="preserve"> قَالَ : فَقَالَ : « هِيَ أَرْحَامُ النَّاسِ ، إِنَّ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أَمَرَ بِصِلَتِهَا‌</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993B55">
        <w:rPr>
          <w:rStyle w:val="libFootnoteBoldChar"/>
          <w:rtl/>
        </w:rPr>
        <w:t>الوافي</w:t>
      </w:r>
      <w:r w:rsidR="008A74EB" w:rsidRPr="00C9040A">
        <w:rPr>
          <w:rtl/>
        </w:rPr>
        <w:t xml:space="preserve"> ، ج 4 ، ص 416 ، ح 2226 ؛ </w:t>
      </w:r>
      <w:r w:rsidR="008A74EB" w:rsidRPr="00993B55">
        <w:rPr>
          <w:rStyle w:val="libFootnoteBoldChar"/>
          <w:rtl/>
        </w:rPr>
        <w:t>الوسائل</w:t>
      </w:r>
      <w:r w:rsidR="008A74EB" w:rsidRPr="00C9040A">
        <w:rPr>
          <w:rtl/>
        </w:rPr>
        <w:t xml:space="preserve"> ، ج 9 ، ص 448 ، ح 12467 ؛ </w:t>
      </w:r>
      <w:r w:rsidR="008A74EB" w:rsidRPr="00993B55">
        <w:rPr>
          <w:rStyle w:val="libFootnoteBoldChar"/>
          <w:rtl/>
        </w:rPr>
        <w:t>البحار</w:t>
      </w:r>
      <w:r w:rsidR="008A74EB" w:rsidRPr="00C9040A">
        <w:rPr>
          <w:rtl/>
        </w:rPr>
        <w:t xml:space="preserve"> ، ج 75 ، ص 112 ، ح 20.</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ز » </w:t>
      </w:r>
      <w:r w:rsidR="008A74EB">
        <w:rPr>
          <w:rtl/>
        </w:rPr>
        <w:t xml:space="preserve">: </w:t>
      </w:r>
      <w:r w:rsidR="0084262C">
        <w:rPr>
          <w:rtl/>
        </w:rPr>
        <w:t>-</w:t>
      </w:r>
      <w:r w:rsidR="008A74EB" w:rsidRPr="00C9040A">
        <w:rPr>
          <w:rtl/>
        </w:rPr>
        <w:t xml:space="preserve"> « عليّ »</w:t>
      </w:r>
      <w:r w:rsidR="008A74EB">
        <w:rPr>
          <w:rtl/>
        </w:rPr>
        <w:t>.</w:t>
      </w:r>
    </w:p>
    <w:p w:rsidR="008A74EB" w:rsidRPr="00C9040A" w:rsidRDefault="008A74EB" w:rsidP="004A4E41">
      <w:pPr>
        <w:pStyle w:val="libFootnote0"/>
        <w:rPr>
          <w:rtl/>
          <w:lang w:bidi="fa-IR"/>
        </w:rPr>
      </w:pPr>
      <w:r w:rsidRPr="00323A39">
        <w:rPr>
          <w:rtl/>
        </w:rPr>
        <w:t xml:space="preserve">والخبر رواه الصدوق في </w:t>
      </w:r>
      <w:r w:rsidRPr="00993B55">
        <w:rPr>
          <w:rStyle w:val="libFootnoteBoldChar"/>
          <w:rtl/>
        </w:rPr>
        <w:t>معاني الأخبار</w:t>
      </w:r>
      <w:r w:rsidRPr="00323A39">
        <w:rPr>
          <w:rtl/>
        </w:rPr>
        <w:t xml:space="preserve"> ، ص 267 ، ح 1 ، بسنده عن إبراهيم بن هاشم ، عن عليّ بن معبد ، قال : أخبرني أحمد بن عمر ، عن يحيى بن عمران. ولا يبعد صحّته ؛ فقد روى الكليني في </w:t>
      </w:r>
      <w:r w:rsidRPr="00993B55">
        <w:rPr>
          <w:rStyle w:val="libFootnoteBoldChar"/>
          <w:rtl/>
        </w:rPr>
        <w:t>الكافي</w:t>
      </w:r>
      <w:r w:rsidRPr="00323A39">
        <w:rPr>
          <w:rtl/>
        </w:rPr>
        <w:t xml:space="preserve"> ، ح 34 ، بسنده عن أحمد بن عمر الحلبي ، عن يحيى بن عمران ، عن أبي عبد الله </w:t>
      </w:r>
      <w:r w:rsidR="00117575" w:rsidRPr="00117575">
        <w:rPr>
          <w:rStyle w:val="libFootnoteAlaemChar"/>
          <w:rtl/>
        </w:rPr>
        <w:t>عليه‌السلام</w:t>
      </w:r>
      <w:r w:rsidRPr="00323A39">
        <w:rPr>
          <w:rtl/>
        </w:rPr>
        <w:t xml:space="preserve"> ، قال : كان أمير المؤمنين </w:t>
      </w:r>
      <w:r w:rsidR="00117575" w:rsidRPr="00117575">
        <w:rPr>
          <w:rStyle w:val="libFootnoteAlaemChar"/>
          <w:rtl/>
        </w:rPr>
        <w:t xml:space="preserve">عليه‌السلام </w:t>
      </w:r>
      <w:r w:rsidRPr="00323A39">
        <w:rPr>
          <w:rtl/>
        </w:rPr>
        <w:t>يقول ، وقد ذكر خبراً آخر.</w:t>
      </w:r>
    </w:p>
    <w:p w:rsidR="008A74EB" w:rsidRPr="00C9040A" w:rsidRDefault="008A74EB" w:rsidP="004A4E41">
      <w:pPr>
        <w:pStyle w:val="libFootnote0"/>
        <w:rPr>
          <w:rtl/>
          <w:lang w:bidi="fa-IR"/>
        </w:rPr>
      </w:pPr>
      <w:r w:rsidRPr="00323A39">
        <w:rPr>
          <w:rtl/>
        </w:rPr>
        <w:t>هذا ، و</w:t>
      </w:r>
      <w:r w:rsidR="00630459">
        <w:rPr>
          <w:rtl/>
        </w:rPr>
        <w:t>قد وردت رواية أحمد بن عمر الحل</w:t>
      </w:r>
      <w:r w:rsidR="00630459">
        <w:rPr>
          <w:rFonts w:hint="cs"/>
          <w:rtl/>
        </w:rPr>
        <w:t>ّ</w:t>
      </w:r>
      <w:r w:rsidR="00630459">
        <w:rPr>
          <w:rtl/>
        </w:rPr>
        <w:t>ا</w:t>
      </w:r>
      <w:r w:rsidRPr="00323A39">
        <w:rPr>
          <w:rtl/>
        </w:rPr>
        <w:t xml:space="preserve">ل عن يحيى بن عمران الحلبي عن أبي عبد الله </w:t>
      </w:r>
      <w:r w:rsidR="00117575" w:rsidRPr="00117575">
        <w:rPr>
          <w:rStyle w:val="libFootnoteAlaemChar"/>
          <w:rtl/>
        </w:rPr>
        <w:t>عليه‌السلام</w:t>
      </w:r>
      <w:r w:rsidRPr="00323A39">
        <w:rPr>
          <w:rtl/>
        </w:rPr>
        <w:t xml:space="preserve"> في </w:t>
      </w:r>
      <w:r w:rsidRPr="00993B55">
        <w:rPr>
          <w:rStyle w:val="libFootnoteBoldChar"/>
          <w:rtl/>
        </w:rPr>
        <w:t>الخصال</w:t>
      </w:r>
      <w:r w:rsidRPr="00323A39">
        <w:rPr>
          <w:rtl/>
        </w:rPr>
        <w:t xml:space="preserve"> ، ص 348 ، ح 22 ، وص 434 ، ح 20.</w:t>
      </w:r>
    </w:p>
    <w:p w:rsidR="008A74EB" w:rsidRPr="00C9040A" w:rsidRDefault="00630459" w:rsidP="004A4E41">
      <w:pPr>
        <w:pStyle w:val="libFootnote0"/>
        <w:rPr>
          <w:rtl/>
          <w:lang w:bidi="fa-IR"/>
        </w:rPr>
      </w:pPr>
      <w:r>
        <w:rPr>
          <w:rtl/>
        </w:rPr>
        <w:t>ثمّ إنّ أحمد بن عمر الحل</w:t>
      </w:r>
      <w:r>
        <w:rPr>
          <w:rFonts w:hint="cs"/>
          <w:rtl/>
        </w:rPr>
        <w:t>ّ</w:t>
      </w:r>
      <w:r>
        <w:rPr>
          <w:rtl/>
        </w:rPr>
        <w:t>ا</w:t>
      </w:r>
      <w:r w:rsidR="008A74EB" w:rsidRPr="00323A39">
        <w:rPr>
          <w:rtl/>
        </w:rPr>
        <w:t xml:space="preserve">ل وأحمد بن عمر الحلبي ، كلاهما مذكوران في كتب الرجال. راجع : </w:t>
      </w:r>
      <w:r w:rsidR="008A74EB" w:rsidRPr="00993B55">
        <w:rPr>
          <w:rStyle w:val="libFootnoteBoldChar"/>
          <w:rtl/>
        </w:rPr>
        <w:t>رجال النجاشي</w:t>
      </w:r>
      <w:r w:rsidR="008A74EB" w:rsidRPr="00323A39">
        <w:rPr>
          <w:rtl/>
        </w:rPr>
        <w:t xml:space="preserve"> ، ص 98 ، الرقم 245 ؛ وص 99 ، الرقم 248. وعليّ بن عمر هذا مجهول لم نعرفه.</w:t>
      </w:r>
    </w:p>
    <w:p w:rsidR="008A74EB" w:rsidRPr="00C9040A" w:rsidRDefault="006C577F" w:rsidP="004A4E41">
      <w:pPr>
        <w:pStyle w:val="libFootnote0"/>
        <w:rPr>
          <w:rtl/>
          <w:lang w:bidi="fa-IR"/>
        </w:rPr>
      </w:pPr>
      <w:r>
        <w:rPr>
          <w:rtl/>
        </w:rPr>
        <w:t>(3).</w:t>
      </w:r>
      <w:r w:rsidR="008A74EB" w:rsidRPr="00C9040A">
        <w:rPr>
          <w:rtl/>
        </w:rPr>
        <w:t xml:space="preserve"> </w:t>
      </w:r>
      <w:r w:rsidR="008A74EB" w:rsidRPr="00993B55">
        <w:rPr>
          <w:rStyle w:val="libFootnoteBoldChar"/>
          <w:rtl/>
        </w:rPr>
        <w:t>معاني الأخبار</w:t>
      </w:r>
      <w:r w:rsidR="008A74EB" w:rsidRPr="00C9040A">
        <w:rPr>
          <w:rtl/>
        </w:rPr>
        <w:t xml:space="preserve"> ، ص 267 ، ح 1 ، بسنده عن إبراهيم بن هاشم ، عن عليّ بن معبد ، عن أحمد بن عمر ، عن يحيى‌بن عمران ، عن أبي عبد الله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تحف العقول</w:t>
      </w:r>
      <w:r w:rsidR="008A74EB" w:rsidRPr="00C9040A">
        <w:rPr>
          <w:rtl/>
        </w:rPr>
        <w:t xml:space="preserve"> ، ص 204 ، عن أمير المؤمنين </w:t>
      </w:r>
      <w:r w:rsidR="00117575" w:rsidRPr="00117575">
        <w:rPr>
          <w:rStyle w:val="libFootnoteAlaemChar"/>
          <w:rtl/>
        </w:rPr>
        <w:t xml:space="preserve">عليه‌السلام </w:t>
      </w:r>
      <w:r w:rsidR="00F801F9">
        <w:rPr>
          <w:rFonts w:hint="cs"/>
          <w:rtl/>
        </w:rPr>
        <w:t>.</w:t>
      </w:r>
      <w:r w:rsidR="008A74EB" w:rsidRPr="00993B55">
        <w:rPr>
          <w:rStyle w:val="libFootnoteBoldChar"/>
          <w:rtl/>
        </w:rPr>
        <w:t>الوافي</w:t>
      </w:r>
      <w:r w:rsidR="008A74EB" w:rsidRPr="00C9040A">
        <w:rPr>
          <w:rtl/>
        </w:rPr>
        <w:t xml:space="preserve"> ، ج 4 ، ص 416 ، ح 2227 ؛ </w:t>
      </w:r>
      <w:r w:rsidR="008A74EB" w:rsidRPr="00993B55">
        <w:rPr>
          <w:rStyle w:val="libFootnoteBoldChar"/>
          <w:rtl/>
        </w:rPr>
        <w:t>الوسائل</w:t>
      </w:r>
      <w:r w:rsidR="008A74EB" w:rsidRPr="00C9040A">
        <w:rPr>
          <w:rtl/>
        </w:rPr>
        <w:t xml:space="preserve"> ، ج 9 ، ص 448 ، ذيل ح 12467 ؛ </w:t>
      </w:r>
      <w:r w:rsidR="008A74EB" w:rsidRPr="00993B55">
        <w:rPr>
          <w:rStyle w:val="libFootnoteBoldChar"/>
          <w:rtl/>
        </w:rPr>
        <w:t>البحار</w:t>
      </w:r>
      <w:r w:rsidR="008A74EB" w:rsidRPr="00C9040A">
        <w:rPr>
          <w:rtl/>
        </w:rPr>
        <w:t xml:space="preserve"> ، ج 75 ، ص 112 ، ذيل ح 20.</w:t>
      </w:r>
    </w:p>
    <w:p w:rsidR="008A74EB" w:rsidRPr="00C9040A" w:rsidRDefault="006C577F" w:rsidP="004A4E41">
      <w:pPr>
        <w:pStyle w:val="libFootnote0"/>
        <w:rPr>
          <w:rtl/>
          <w:lang w:bidi="fa-IR"/>
        </w:rPr>
      </w:pPr>
      <w:r>
        <w:rPr>
          <w:rtl/>
        </w:rPr>
        <w:t>(4).</w:t>
      </w:r>
      <w:r w:rsidR="008A74EB" w:rsidRPr="00C9040A">
        <w:rPr>
          <w:rtl/>
        </w:rPr>
        <w:t xml:space="preserve"> النساء </w:t>
      </w:r>
      <w:r>
        <w:rPr>
          <w:rtl/>
        </w:rPr>
        <w:t>(4).</w:t>
      </w:r>
      <w:r w:rsidR="008A74EB" w:rsidRPr="00C9040A">
        <w:rPr>
          <w:rtl/>
        </w:rPr>
        <w:t xml:space="preserve"> : 1.</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Pr>
          <w:rtl/>
          <w:lang w:bidi="fa-IR"/>
        </w:rPr>
        <w:t>وَعَظَّمَهَا ؛ أَ</w:t>
      </w:r>
      <w:r w:rsidRPr="00C9040A">
        <w:rPr>
          <w:rtl/>
          <w:lang w:bidi="fa-IR"/>
        </w:rPr>
        <w:t xml:space="preserve">لَاتَرى أَنَّهُ جَعَلَهَا مِنْهُ </w:t>
      </w:r>
      <w:r w:rsidR="006C577F" w:rsidRPr="006C577F">
        <w:rPr>
          <w:rStyle w:val="libFootnotenumChar"/>
          <w:rtl/>
        </w:rPr>
        <w:t>(1)</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E16C02">
        <w:rPr>
          <w:rtl/>
        </w:rPr>
        <w:t>1975</w:t>
      </w:r>
      <w:r w:rsidRPr="00261CB0">
        <w:rPr>
          <w:rStyle w:val="libBold2Char"/>
          <w:rtl/>
        </w:rPr>
        <w:t xml:space="preserve"> / 2.</w:t>
      </w:r>
      <w:r w:rsidRPr="00C9040A">
        <w:rPr>
          <w:rtl/>
          <w:lang w:bidi="fa-IR"/>
        </w:rPr>
        <w:t xml:space="preserve"> مُحَمَّدُ بْنُ يَحْيى ، عَنْ أَحْمَدَ بْنِ مُحَمَّدِ بْنِ عِيسى ، عَنْ عَلِيِّ بْنِ النُّعْمَانِ ، عَنْ إِسْحَاقَ بْنِ عَمَّارٍ ، قَالَ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C9040A">
        <w:rPr>
          <w:rtl/>
          <w:lang w:bidi="fa-IR"/>
        </w:rPr>
        <w:t xml:space="preserve">بَلَغَنِي عَنْ أَبِي عَبْدِ اللهِ </w:t>
      </w:r>
      <w:r w:rsidRPr="0003660B">
        <w:rPr>
          <w:rStyle w:val="libAlaemChar"/>
          <w:rtl/>
        </w:rPr>
        <w:t>عليه‌السلام</w:t>
      </w:r>
      <w:r w:rsidRPr="00C9040A">
        <w:rPr>
          <w:rtl/>
          <w:lang w:bidi="fa-IR"/>
        </w:rPr>
        <w:t xml:space="preserve"> </w:t>
      </w:r>
      <w:r w:rsidR="006C577F" w:rsidRPr="006C577F">
        <w:rPr>
          <w:rStyle w:val="libFootnotenumChar"/>
          <w:rtl/>
        </w:rPr>
        <w:t>(4)</w:t>
      </w:r>
      <w:r w:rsidRPr="00C9040A">
        <w:rPr>
          <w:rtl/>
          <w:lang w:bidi="fa-IR"/>
        </w:rPr>
        <w:t xml:space="preserve"> أَنَّ رَجُلاً أَتَى النَّبِيَّ </w:t>
      </w:r>
      <w:r w:rsidR="004A4E41" w:rsidRPr="004A4E41">
        <w:rPr>
          <w:rStyle w:val="libAlaemChar"/>
          <w:rtl/>
        </w:rPr>
        <w:t>صلى‌الله‌عليه‌وآله</w:t>
      </w:r>
      <w:r w:rsidRPr="00C9040A">
        <w:rPr>
          <w:rtl/>
          <w:lang w:bidi="fa-IR"/>
        </w:rPr>
        <w:t xml:space="preserve"> ، فَقَالَ : يَا رَسُولَ اللهِ </w:t>
      </w:r>
      <w:r w:rsidR="006C577F" w:rsidRPr="006C577F">
        <w:rPr>
          <w:rStyle w:val="libFootnotenumChar"/>
          <w:rtl/>
        </w:rPr>
        <w:t>(5)</w:t>
      </w:r>
      <w:r w:rsidR="00F801F9">
        <w:rPr>
          <w:rtl/>
          <w:lang w:bidi="fa-IR"/>
        </w:rPr>
        <w:t xml:space="preserve"> ، أَهْلُ بَيْتِي أَبَوْا إِل</w:t>
      </w:r>
      <w:r w:rsidR="00F801F9">
        <w:rPr>
          <w:rFonts w:hint="cs"/>
          <w:rtl/>
          <w:lang w:bidi="fa-IR"/>
        </w:rPr>
        <w:t>َّ</w:t>
      </w:r>
      <w:r w:rsidR="00F801F9">
        <w:rPr>
          <w:rtl/>
          <w:lang w:bidi="fa-IR"/>
        </w:rPr>
        <w:t>ا</w:t>
      </w:r>
      <w:r w:rsidRPr="00C9040A">
        <w:rPr>
          <w:rtl/>
          <w:lang w:bidi="fa-IR"/>
        </w:rPr>
        <w:t xml:space="preserve"> تَوَثُّباً </w:t>
      </w:r>
      <w:r w:rsidR="006C577F" w:rsidRPr="006C577F">
        <w:rPr>
          <w:rStyle w:val="libFootnotenumChar"/>
          <w:rtl/>
        </w:rPr>
        <w:t>(6)</w:t>
      </w:r>
      <w:r w:rsidRPr="005B567D">
        <w:rPr>
          <w:rStyle w:val="libFootnotenumChar"/>
          <w:rtl/>
        </w:rPr>
        <w:t xml:space="preserve"> </w:t>
      </w:r>
      <w:r w:rsidRPr="00C9040A">
        <w:rPr>
          <w:rtl/>
          <w:lang w:bidi="fa-IR"/>
        </w:rPr>
        <w:t xml:space="preserve">عَلَيَّ وَقَطِيعَةً لِي وَشَتِيمَةً </w:t>
      </w:r>
      <w:r w:rsidR="006C577F" w:rsidRPr="006C577F">
        <w:rPr>
          <w:rStyle w:val="libFootnotenumChar"/>
          <w:rtl/>
        </w:rPr>
        <w:t>(7)</w:t>
      </w:r>
      <w:r w:rsidRPr="00C9040A">
        <w:rPr>
          <w:rtl/>
          <w:lang w:bidi="fa-IR"/>
        </w:rPr>
        <w:t xml:space="preserve"> ، فَأَرْفُضُهُمْ</w:t>
      </w:r>
      <w:r>
        <w:rPr>
          <w:rtl/>
          <w:lang w:bidi="fa-IR"/>
        </w:rPr>
        <w:t>؟</w:t>
      </w:r>
      <w:r w:rsidRPr="00C9040A">
        <w:rPr>
          <w:rtl/>
          <w:lang w:bidi="fa-IR"/>
        </w:rPr>
        <w:t xml:space="preserve"> قَالَ : « إِذاً يَرْفُضَكُمُ اللهُ جَمِيعاً »</w:t>
      </w:r>
      <w:r>
        <w:rPr>
          <w:rtl/>
          <w:lang w:bidi="fa-IR"/>
        </w:rPr>
        <w:t>.</w:t>
      </w:r>
      <w:r w:rsidRPr="00C9040A">
        <w:rPr>
          <w:rtl/>
          <w:lang w:bidi="fa-IR"/>
        </w:rPr>
        <w:t xml:space="preserve"> قَالَ : فَكَيْفَ أَصْنَعُ</w:t>
      </w:r>
      <w:r>
        <w:rPr>
          <w:rtl/>
          <w:lang w:bidi="fa-IR"/>
        </w:rPr>
        <w:t>؟</w:t>
      </w:r>
      <w:r w:rsidRPr="00C9040A">
        <w:rPr>
          <w:rtl/>
          <w:lang w:bidi="fa-IR"/>
        </w:rPr>
        <w:t xml:space="preserve"> قَالَ : « تَصِلُ مَنْ قَطَعَكَ ، وَتُعْطِي مَنْ حَرَمَكَ ، وَتَعْفُو عَمَّنْ ظَلَمَكَ ؛ فَإِنَّكَ إِذَا فَعَلْتَ ذلِكَ كَانَ لَكَ مِنَ اللهِ </w:t>
      </w:r>
      <w:r w:rsidR="006C577F" w:rsidRPr="006C577F">
        <w:rPr>
          <w:rStyle w:val="libFootnotenumChar"/>
          <w:rtl/>
        </w:rPr>
        <w:t>(8)</w:t>
      </w:r>
      <w:r w:rsidRPr="00C9040A">
        <w:rPr>
          <w:rtl/>
          <w:lang w:bidi="fa-IR"/>
        </w:rPr>
        <w:t xml:space="preserve"> عَلَيْهِمْ ظَهِيرٌ »</w:t>
      </w:r>
      <w:r>
        <w:rPr>
          <w:rtl/>
          <w:lang w:bidi="fa-IR"/>
        </w:rPr>
        <w:t>.</w:t>
      </w:r>
      <w:r w:rsidRPr="00C9040A">
        <w:rPr>
          <w:rtl/>
          <w:lang w:bidi="fa-IR"/>
        </w:rPr>
        <w:t xml:space="preserve"> </w:t>
      </w:r>
      <w:r w:rsidR="006C577F" w:rsidRPr="006C577F">
        <w:rPr>
          <w:rStyle w:val="libFootnotenumChar"/>
          <w:rtl/>
        </w:rPr>
        <w:t>(9)</w:t>
      </w:r>
      <w:r w:rsidRPr="00C9040A">
        <w:rPr>
          <w:rtl/>
          <w:lang w:bidi="fa-IR"/>
        </w:rPr>
        <w:t xml:space="preserve"> ‌</w:t>
      </w:r>
    </w:p>
    <w:p w:rsidR="008A74EB" w:rsidRPr="00C9040A" w:rsidRDefault="008A74EB" w:rsidP="008A74EB">
      <w:pPr>
        <w:pStyle w:val="libNormal"/>
        <w:rPr>
          <w:rtl/>
          <w:lang w:bidi="fa-IR"/>
        </w:rPr>
      </w:pPr>
      <w:r w:rsidRPr="00E16C02">
        <w:rPr>
          <w:rtl/>
        </w:rPr>
        <w:t>1976</w:t>
      </w:r>
      <w:r w:rsidRPr="00261CB0">
        <w:rPr>
          <w:rStyle w:val="libBold2Char"/>
          <w:rtl/>
        </w:rPr>
        <w:t xml:space="preserve"> / 3.</w:t>
      </w:r>
      <w:r w:rsidRPr="00C9040A">
        <w:rPr>
          <w:rtl/>
          <w:lang w:bidi="fa-IR"/>
        </w:rPr>
        <w:t xml:space="preserve"> وَعَنْهُ ، عَنْ أَحْمَدَ بْنِ مُحَمَّدِ بْنِ عِيسى ، عَنْ أَحْمَدَ بْنِ مُحَمَّدِ بْنِ أَبِي نَصْرٍ ، عَنْ مُحَمَّدِ بْنِ عَبْدِ اللهِ </w:t>
      </w:r>
      <w:r w:rsidR="006C577F" w:rsidRPr="006C577F">
        <w:rPr>
          <w:rStyle w:val="libFootnotenumChar"/>
          <w:rtl/>
        </w:rPr>
        <w:t>(10)</w:t>
      </w:r>
      <w:r w:rsidRPr="00C9040A">
        <w:rPr>
          <w:rtl/>
          <w:lang w:bidi="fa-IR"/>
        </w:rPr>
        <w:t xml:space="preserve"> ، قَالَ :</w:t>
      </w:r>
    </w:p>
    <w:p w:rsidR="008A74EB" w:rsidRPr="00C9040A" w:rsidRDefault="008A74EB" w:rsidP="00F801F9">
      <w:pPr>
        <w:pStyle w:val="libNormal"/>
        <w:rPr>
          <w:rtl/>
          <w:lang w:bidi="fa-IR"/>
        </w:rPr>
      </w:pPr>
      <w:r w:rsidRPr="00C9040A">
        <w:rPr>
          <w:rtl/>
          <w:lang w:bidi="fa-IR"/>
        </w:rPr>
        <w:t xml:space="preserve">قَالَ أَبُو الْحَسَنِ الرِّضَا </w:t>
      </w:r>
      <w:r w:rsidRPr="0003660B">
        <w:rPr>
          <w:rStyle w:val="libAlaemChar"/>
          <w:rtl/>
        </w:rPr>
        <w:t>عليه‌السلام</w:t>
      </w:r>
      <w:r w:rsidRPr="00C9040A">
        <w:rPr>
          <w:rtl/>
          <w:lang w:bidi="fa-IR"/>
        </w:rPr>
        <w:t xml:space="preserve"> : « يَكُونُ الرَّجُلُ يَصِلُ رَحِمَهُ ، فَيَكُونُ قَدْ بَقِيَ مِنْ عُمُرِهِ ثَلَاثُ سِنِينَ ، فَيُصَيِّرُهَا </w:t>
      </w:r>
      <w:r w:rsidR="006C577F" w:rsidRPr="006C577F">
        <w:rPr>
          <w:rStyle w:val="libFootnotenumChar"/>
          <w:rtl/>
        </w:rPr>
        <w:t>(11)</w:t>
      </w:r>
      <w:r w:rsidRPr="00C9040A">
        <w:rPr>
          <w:rtl/>
          <w:lang w:bidi="fa-IR"/>
        </w:rPr>
        <w:t xml:space="preserve"> اللهُ ثَلَاثِينَ سَنَةً ، وَيَفْعَلُ اللهُ‌</w:t>
      </w:r>
      <w:r w:rsidR="00F801F9">
        <w:rPr>
          <w:rFonts w:hint="cs"/>
          <w:rtl/>
          <w:lang w:bidi="fa-IR"/>
        </w:rPr>
        <w:t>.................................</w:t>
      </w:r>
      <w:r w:rsidR="00F801F9">
        <w:rPr>
          <w:rFonts w:hint="cs"/>
          <w:rtl/>
          <w:lang w:bidi="fa-IR"/>
        </w:rPr>
        <w:tab/>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تفسير العيّاشي والزهد : « معه »</w:t>
      </w:r>
      <w:r w:rsidR="008A74EB">
        <w:rPr>
          <w:rtl/>
        </w:rPr>
        <w:t>.</w:t>
      </w:r>
      <w:r w:rsidR="008A74EB" w:rsidRPr="00C9040A">
        <w:rPr>
          <w:rtl/>
        </w:rPr>
        <w:t xml:space="preserve"> وفي الوافي : « جعلها منه ، أي قرنها باسمه في الأمر بالتقوى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ج 8 ، ص 359 : « وربّما يقرأ : مُنّة ، بضمّ الميم وتشديد النون ، أي جعلها قوّة وسبباً لحصول المطالب. أو بالكسر والتشديد ، أي أنعم بهما على الخلائق. ولا يخفى ما فيهما من التعسّف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الزهد</w:t>
      </w:r>
      <w:r w:rsidR="008A74EB" w:rsidRPr="00C9040A">
        <w:rPr>
          <w:rtl/>
        </w:rPr>
        <w:t xml:space="preserve"> ، ص 106 ، ح 108 ، عن محمّد بن أبي عمير. </w:t>
      </w:r>
      <w:r w:rsidR="008A74EB" w:rsidRPr="00993B55">
        <w:rPr>
          <w:rStyle w:val="libFootnoteBoldChar"/>
          <w:rtl/>
        </w:rPr>
        <w:t>تفسير العيّاشي</w:t>
      </w:r>
      <w:r w:rsidR="008A74EB" w:rsidRPr="00C9040A">
        <w:rPr>
          <w:rtl/>
        </w:rPr>
        <w:t xml:space="preserve"> ، ج 1 ، ص 217 ، ح 10 ، عن جميل بن درّاج ؛ </w:t>
      </w:r>
      <w:r w:rsidR="008A74EB" w:rsidRPr="00993B55">
        <w:rPr>
          <w:rStyle w:val="libFootnoteBoldChar"/>
          <w:rtl/>
        </w:rPr>
        <w:t>وفيه</w:t>
      </w:r>
      <w:r w:rsidR="008A74EB" w:rsidRPr="00C9040A">
        <w:rPr>
          <w:rtl/>
        </w:rPr>
        <w:t xml:space="preserve"> ، ح 9 ، عن عمر بن حنظلة ، عنه </w:t>
      </w:r>
      <w:r w:rsidR="00117575" w:rsidRPr="00117575">
        <w:rPr>
          <w:rStyle w:val="libFootnoteAlaemChar"/>
          <w:rtl/>
        </w:rPr>
        <w:t>عليه‌السلام</w:t>
      </w:r>
      <w:r w:rsidR="008A74EB" w:rsidRPr="00C9040A">
        <w:rPr>
          <w:rtl/>
        </w:rPr>
        <w:t xml:space="preserve"> ، وفي كلّها مع اختلاف يسير </w:t>
      </w:r>
      <w:r w:rsidR="00F801F9">
        <w:rPr>
          <w:rFonts w:hint="cs"/>
          <w:rtl/>
        </w:rPr>
        <w:t>.</w:t>
      </w:r>
      <w:r w:rsidR="008A74EB" w:rsidRPr="00993B55">
        <w:rPr>
          <w:rStyle w:val="libFootnoteBoldChar"/>
          <w:rtl/>
        </w:rPr>
        <w:t>الوافي</w:t>
      </w:r>
      <w:r w:rsidR="008A74EB" w:rsidRPr="00C9040A">
        <w:rPr>
          <w:rtl/>
        </w:rPr>
        <w:t xml:space="preserve"> ، ج 5 ، ص 503 ، ح 2435 ؛ </w:t>
      </w:r>
      <w:r w:rsidR="008A74EB" w:rsidRPr="00993B55">
        <w:rPr>
          <w:rStyle w:val="libFootnoteBoldChar"/>
          <w:rtl/>
        </w:rPr>
        <w:t>الوسائل</w:t>
      </w:r>
      <w:r w:rsidR="008A74EB" w:rsidRPr="00C9040A">
        <w:rPr>
          <w:rtl/>
        </w:rPr>
        <w:t xml:space="preserve"> ، ج 21 ، ص 533 ، ح 27785 ؛ </w:t>
      </w:r>
      <w:r w:rsidR="008A74EB" w:rsidRPr="00993B55">
        <w:rPr>
          <w:rStyle w:val="libFootnoteBoldChar"/>
          <w:rtl/>
        </w:rPr>
        <w:t>البحار</w:t>
      </w:r>
      <w:r w:rsidR="008A74EB" w:rsidRPr="00C9040A">
        <w:rPr>
          <w:rtl/>
        </w:rPr>
        <w:t xml:space="preserve"> ، ج 74 ، ص 116 ، ح 76.</w:t>
      </w:r>
    </w:p>
    <w:p w:rsidR="008A74EB" w:rsidRPr="00C9040A" w:rsidRDefault="006C577F" w:rsidP="004A4E41">
      <w:pPr>
        <w:pStyle w:val="libFootnote0"/>
        <w:rPr>
          <w:rtl/>
          <w:lang w:bidi="fa-IR"/>
        </w:rPr>
      </w:pPr>
      <w:r>
        <w:rPr>
          <w:rtl/>
        </w:rPr>
        <w:t>(3).</w:t>
      </w:r>
      <w:r w:rsidR="008A74EB" w:rsidRPr="00C9040A">
        <w:rPr>
          <w:rtl/>
        </w:rPr>
        <w:t xml:space="preserve"> هكذا في « ص ، بر ، بف » والوافي. وفي سائر النسخ والمطبوع : + « قال »</w:t>
      </w:r>
      <w:r w:rsidR="008A74EB">
        <w:rPr>
          <w:rtl/>
        </w:rPr>
        <w:t>.</w:t>
      </w:r>
    </w:p>
    <w:tbl>
      <w:tblPr>
        <w:tblStyle w:val="TableGrid"/>
        <w:bidiVisual/>
        <w:tblW w:w="0" w:type="auto"/>
        <w:tblLook w:val="04A0" w:firstRow="1" w:lastRow="0" w:firstColumn="1" w:lastColumn="0" w:noHBand="0" w:noVBand="1"/>
      </w:tblPr>
      <w:tblGrid>
        <w:gridCol w:w="4006"/>
        <w:gridCol w:w="4006"/>
      </w:tblGrid>
      <w:tr w:rsidR="00F801F9" w:rsidTr="00F801F9">
        <w:tc>
          <w:tcPr>
            <w:tcW w:w="4006" w:type="dxa"/>
          </w:tcPr>
          <w:p w:rsidR="00F801F9" w:rsidRDefault="00F801F9" w:rsidP="004A4E41">
            <w:pPr>
              <w:pStyle w:val="libFootnote0"/>
              <w:rPr>
                <w:rtl/>
              </w:rPr>
            </w:pPr>
            <w:r>
              <w:rPr>
                <w:rtl/>
              </w:rPr>
              <w:t>(4).</w:t>
            </w:r>
            <w:r w:rsidRPr="00C9040A">
              <w:rPr>
                <w:rtl/>
              </w:rPr>
              <w:t xml:space="preserve"> في « ف » : + « أنّه قال »</w:t>
            </w:r>
            <w:r>
              <w:rPr>
                <w:rtl/>
              </w:rPr>
              <w:t>.</w:t>
            </w:r>
          </w:p>
        </w:tc>
        <w:tc>
          <w:tcPr>
            <w:tcW w:w="4006" w:type="dxa"/>
          </w:tcPr>
          <w:p w:rsidR="00F801F9" w:rsidRDefault="00F801F9" w:rsidP="004A4E41">
            <w:pPr>
              <w:pStyle w:val="libFootnote0"/>
              <w:rPr>
                <w:rtl/>
              </w:rPr>
            </w:pPr>
            <w:r>
              <w:rPr>
                <w:rtl/>
              </w:rPr>
              <w:t>(5).</w:t>
            </w:r>
            <w:r w:rsidRPr="00C9040A">
              <w:rPr>
                <w:rtl/>
              </w:rPr>
              <w:t xml:space="preserve"> في الوسائل : + « إنّ »</w:t>
            </w:r>
            <w:r>
              <w:rPr>
                <w:rtl/>
              </w:rPr>
              <w:t>.</w:t>
            </w:r>
          </w:p>
        </w:tc>
      </w:tr>
    </w:tbl>
    <w:p w:rsidR="008A74EB" w:rsidRDefault="006C577F" w:rsidP="004A4E41">
      <w:pPr>
        <w:pStyle w:val="libFootnote0"/>
        <w:rPr>
          <w:rtl/>
        </w:rPr>
      </w:pPr>
      <w:r>
        <w:rPr>
          <w:rtl/>
        </w:rPr>
        <w:t>(6).</w:t>
      </w:r>
      <w:r w:rsidR="008A74EB">
        <w:rPr>
          <w:rtl/>
        </w:rPr>
        <w:t xml:space="preserve"> </w:t>
      </w:r>
      <w:r w:rsidR="008A74EB" w:rsidRPr="00C9040A">
        <w:rPr>
          <w:rtl/>
        </w:rPr>
        <w:t xml:space="preserve">التوثّب : الاستيلاء على الشي‌ء ظلماً. راجع : </w:t>
      </w:r>
      <w:r w:rsidR="008A74EB" w:rsidRPr="00993B55">
        <w:rPr>
          <w:rStyle w:val="libFootnoteBoldChar"/>
          <w:rtl/>
        </w:rPr>
        <w:t>الصحاح</w:t>
      </w:r>
      <w:r w:rsidR="008A74EB" w:rsidRPr="00C9040A">
        <w:rPr>
          <w:rtl/>
        </w:rPr>
        <w:t xml:space="preserve"> ، ج 1 ، ص 231 ؛ </w:t>
      </w:r>
      <w:r w:rsidR="008A74EB" w:rsidRPr="00993B55">
        <w:rPr>
          <w:rStyle w:val="libFootnoteBoldChar"/>
          <w:rtl/>
        </w:rPr>
        <w:t>النهاية</w:t>
      </w:r>
      <w:r w:rsidR="008A74EB" w:rsidRPr="00C9040A">
        <w:rPr>
          <w:rtl/>
        </w:rPr>
        <w:t xml:space="preserve"> ، ج 5 ، ص 150 ( وثب )</w:t>
      </w:r>
      <w:r w:rsidR="008A74EB">
        <w:rPr>
          <w:rtl/>
        </w:rPr>
        <w:t>.</w:t>
      </w:r>
    </w:p>
    <w:tbl>
      <w:tblPr>
        <w:tblStyle w:val="TableGrid"/>
        <w:bidiVisual/>
        <w:tblW w:w="0" w:type="auto"/>
        <w:tblLook w:val="04A0" w:firstRow="1" w:lastRow="0" w:firstColumn="1" w:lastColumn="0" w:noHBand="0" w:noVBand="1"/>
      </w:tblPr>
      <w:tblGrid>
        <w:gridCol w:w="4006"/>
        <w:gridCol w:w="4006"/>
      </w:tblGrid>
      <w:tr w:rsidR="00F801F9" w:rsidTr="00F801F9">
        <w:tc>
          <w:tcPr>
            <w:tcW w:w="4006" w:type="dxa"/>
          </w:tcPr>
          <w:p w:rsidR="00F801F9" w:rsidRDefault="00F801F9" w:rsidP="00F801F9">
            <w:pPr>
              <w:pStyle w:val="libFootnote0"/>
              <w:rPr>
                <w:rtl/>
              </w:rPr>
            </w:pPr>
            <w:r>
              <w:rPr>
                <w:rtl/>
              </w:rPr>
              <w:t>(7).</w:t>
            </w:r>
            <w:r w:rsidRPr="00C9040A">
              <w:rPr>
                <w:rtl/>
              </w:rPr>
              <w:t xml:space="preserve"> في الوسائل </w:t>
            </w:r>
            <w:r>
              <w:rPr>
                <w:rtl/>
              </w:rPr>
              <w:t>: -</w:t>
            </w:r>
            <w:r w:rsidRPr="00C9040A">
              <w:rPr>
                <w:rtl/>
              </w:rPr>
              <w:t xml:space="preserve"> « وشتيمة »</w:t>
            </w:r>
            <w:r>
              <w:rPr>
                <w:rtl/>
              </w:rPr>
              <w:t>.</w:t>
            </w:r>
          </w:p>
        </w:tc>
        <w:tc>
          <w:tcPr>
            <w:tcW w:w="4006" w:type="dxa"/>
          </w:tcPr>
          <w:p w:rsidR="00F801F9" w:rsidRDefault="00F801F9" w:rsidP="00F801F9">
            <w:pPr>
              <w:pStyle w:val="libFootnote0"/>
              <w:rPr>
                <w:rtl/>
              </w:rPr>
            </w:pPr>
            <w:r>
              <w:rPr>
                <w:rtl/>
              </w:rPr>
              <w:t>(8).</w:t>
            </w:r>
            <w:r w:rsidRPr="00C9040A">
              <w:rPr>
                <w:rtl/>
              </w:rPr>
              <w:t xml:space="preserve"> في « ب » : « من الله لك »</w:t>
            </w:r>
            <w:r>
              <w:rPr>
                <w:rtl/>
              </w:rPr>
              <w:t>.</w:t>
            </w:r>
          </w:p>
        </w:tc>
      </w:tr>
    </w:tbl>
    <w:p w:rsidR="008A74EB" w:rsidRPr="00C9040A" w:rsidRDefault="006C577F" w:rsidP="00C4732C">
      <w:pPr>
        <w:pStyle w:val="libFootnote0"/>
        <w:rPr>
          <w:rtl/>
          <w:lang w:bidi="fa-IR"/>
        </w:rPr>
      </w:pPr>
      <w:r>
        <w:rPr>
          <w:rtl/>
        </w:rPr>
        <w:t>(9).</w:t>
      </w:r>
      <w:r w:rsidR="008A74EB" w:rsidRPr="00C9040A">
        <w:rPr>
          <w:rtl/>
        </w:rPr>
        <w:t xml:space="preserve"> </w:t>
      </w:r>
      <w:r w:rsidR="008A74EB" w:rsidRPr="00993B55">
        <w:rPr>
          <w:rStyle w:val="libFootnoteBoldChar"/>
          <w:rtl/>
        </w:rPr>
        <w:t>الوافي</w:t>
      </w:r>
      <w:r w:rsidR="008A74EB" w:rsidRPr="00C9040A">
        <w:rPr>
          <w:rtl/>
        </w:rPr>
        <w:t xml:space="preserve"> ، ج 5 ، ص 509 ، ح 2459 ؛ </w:t>
      </w:r>
      <w:r w:rsidR="008A74EB" w:rsidRPr="00993B55">
        <w:rPr>
          <w:rStyle w:val="libFootnoteBoldChar"/>
          <w:rtl/>
        </w:rPr>
        <w:t>الوسائل</w:t>
      </w:r>
      <w:r w:rsidR="008A74EB" w:rsidRPr="00C9040A">
        <w:rPr>
          <w:rtl/>
        </w:rPr>
        <w:t xml:space="preserve"> ، ج 21 ، ص 538 ، ح 27800 ؛ </w:t>
      </w:r>
      <w:r w:rsidR="008A74EB" w:rsidRPr="00993B55">
        <w:rPr>
          <w:rStyle w:val="libFootnoteBoldChar"/>
          <w:rtl/>
        </w:rPr>
        <w:t>البحار</w:t>
      </w:r>
      <w:r w:rsidR="008A74EB" w:rsidRPr="00C9040A">
        <w:rPr>
          <w:rtl/>
        </w:rPr>
        <w:t xml:space="preserve"> ، ج 74 ، ص 113 ، ح 72.</w:t>
      </w:r>
    </w:p>
    <w:p w:rsidR="008A74EB" w:rsidRPr="00C9040A" w:rsidRDefault="006C577F" w:rsidP="004A4E41">
      <w:pPr>
        <w:pStyle w:val="libFootnote0"/>
        <w:rPr>
          <w:rtl/>
          <w:lang w:bidi="fa-IR"/>
        </w:rPr>
      </w:pPr>
      <w:r>
        <w:rPr>
          <w:rtl/>
        </w:rPr>
        <w:t>(10).</w:t>
      </w:r>
      <w:r w:rsidR="008A74EB" w:rsidRPr="00C9040A">
        <w:rPr>
          <w:rtl/>
        </w:rPr>
        <w:t xml:space="preserve"> هكذا في « ب » والطبعة القديمة وحاشية « بر »</w:t>
      </w:r>
      <w:r w:rsidR="008A74EB">
        <w:rPr>
          <w:rtl/>
        </w:rPr>
        <w:t>.</w:t>
      </w:r>
      <w:r w:rsidR="008A74EB" w:rsidRPr="00C9040A">
        <w:rPr>
          <w:rtl/>
        </w:rPr>
        <w:t xml:space="preserve"> وفي سائر النسخ والمطبوع : « محمّد بن عبيد الله »</w:t>
      </w:r>
      <w:r w:rsidR="008A74EB">
        <w:rPr>
          <w:rtl/>
        </w:rPr>
        <w:t>.</w:t>
      </w:r>
      <w:r w:rsidR="008A74EB" w:rsidRPr="00C9040A">
        <w:rPr>
          <w:rtl/>
        </w:rPr>
        <w:t xml:space="preserve"> والصواب ما أثبتناه ، وتقدّم وجهه في </w:t>
      </w:r>
      <w:r w:rsidR="008A74EB" w:rsidRPr="00993B55">
        <w:rPr>
          <w:rStyle w:val="libFootnoteBoldChar"/>
          <w:rtl/>
        </w:rPr>
        <w:t>الكافي</w:t>
      </w:r>
      <w:r w:rsidR="008A74EB" w:rsidRPr="00C9040A">
        <w:rPr>
          <w:rtl/>
        </w:rPr>
        <w:t xml:space="preserve"> ، ذيل ح 1811.</w:t>
      </w:r>
    </w:p>
    <w:p w:rsidR="008A74EB" w:rsidRPr="00C9040A" w:rsidRDefault="006C577F" w:rsidP="004A4E41">
      <w:pPr>
        <w:pStyle w:val="libFootnote0"/>
        <w:rPr>
          <w:rtl/>
          <w:lang w:bidi="fa-IR"/>
        </w:rPr>
      </w:pPr>
      <w:r>
        <w:rPr>
          <w:rtl/>
        </w:rPr>
        <w:t>(11).</w:t>
      </w:r>
      <w:r w:rsidR="008A74EB" w:rsidRPr="00C9040A">
        <w:rPr>
          <w:rtl/>
        </w:rPr>
        <w:t xml:space="preserve"> في شرح المازندراني : « فيصيّره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مَا يَشَاءُ »</w:t>
      </w:r>
      <w:r>
        <w:rPr>
          <w:rtl/>
          <w:lang w:bidi="fa-IR"/>
        </w:rPr>
        <w:t>.</w:t>
      </w:r>
      <w:r w:rsidRPr="00C9040A">
        <w:rPr>
          <w:rtl/>
          <w:lang w:bidi="fa-IR"/>
        </w:rPr>
        <w:t xml:space="preserve"> </w:t>
      </w:r>
      <w:r w:rsidR="006C577F" w:rsidRPr="006C577F">
        <w:rPr>
          <w:rStyle w:val="libFootnotenumChar"/>
          <w:rtl/>
        </w:rPr>
        <w:t>(1)</w:t>
      </w:r>
      <w:r w:rsidRPr="00C9040A">
        <w:rPr>
          <w:rtl/>
          <w:lang w:bidi="fa-IR"/>
        </w:rPr>
        <w:t xml:space="preserve"> ‌</w:t>
      </w:r>
    </w:p>
    <w:p w:rsidR="008A74EB" w:rsidRPr="00C9040A" w:rsidRDefault="008A74EB" w:rsidP="008A74EB">
      <w:pPr>
        <w:pStyle w:val="libNormal"/>
        <w:rPr>
          <w:rtl/>
          <w:lang w:bidi="fa-IR"/>
        </w:rPr>
      </w:pPr>
      <w:r w:rsidRPr="00170903">
        <w:rPr>
          <w:rtl/>
        </w:rPr>
        <w:t>1977</w:t>
      </w:r>
      <w:r w:rsidRPr="00261CB0">
        <w:rPr>
          <w:rStyle w:val="libBold2Char"/>
          <w:rtl/>
        </w:rPr>
        <w:t xml:space="preserve"> / 4.</w:t>
      </w:r>
      <w:r w:rsidRPr="00C9040A">
        <w:rPr>
          <w:rtl/>
          <w:lang w:bidi="fa-IR"/>
        </w:rPr>
        <w:t xml:space="preserve"> وَعَنْهُ </w:t>
      </w:r>
      <w:r w:rsidR="006C577F" w:rsidRPr="006C577F">
        <w:rPr>
          <w:rStyle w:val="libFootnotenumChar"/>
          <w:rtl/>
        </w:rPr>
        <w:t>(2)</w:t>
      </w:r>
      <w:r w:rsidRPr="00C9040A">
        <w:rPr>
          <w:rtl/>
          <w:lang w:bidi="fa-IR"/>
        </w:rPr>
        <w:t xml:space="preserve"> ، عَنْ عَلِيِّ بْنِ الْحَكَمِ ، عَنْ خَطَّابٍ الْأَعْوَرِ ، عَنْ أَبِي حَمْزَةَ ، قَالَ :</w:t>
      </w:r>
    </w:p>
    <w:p w:rsidR="008A74EB" w:rsidRPr="00C9040A" w:rsidRDefault="008A74EB" w:rsidP="008A74EB">
      <w:pPr>
        <w:pStyle w:val="libNormal"/>
        <w:rPr>
          <w:rtl/>
          <w:lang w:bidi="fa-IR"/>
        </w:rPr>
      </w:pPr>
      <w:r w:rsidRPr="00C9040A">
        <w:rPr>
          <w:rtl/>
          <w:lang w:bidi="fa-IR"/>
        </w:rPr>
        <w:t xml:space="preserve">قَالَ أَبُو جَعْفَرٍ </w:t>
      </w:r>
      <w:r w:rsidRPr="0003660B">
        <w:rPr>
          <w:rStyle w:val="libAlaemChar"/>
          <w:rtl/>
        </w:rPr>
        <w:t>عليه‌السلام</w:t>
      </w:r>
      <w:r w:rsidRPr="00C9040A">
        <w:rPr>
          <w:rtl/>
          <w:lang w:bidi="fa-IR"/>
        </w:rPr>
        <w:t xml:space="preserve"> : « صِلَةُ الْأَرْحَامِ تُزَكِّي </w:t>
      </w:r>
      <w:r w:rsidR="006C577F" w:rsidRPr="006C577F">
        <w:rPr>
          <w:rStyle w:val="libFootnotenumChar"/>
          <w:rtl/>
        </w:rPr>
        <w:t>(3)</w:t>
      </w:r>
      <w:r w:rsidRPr="00C9040A">
        <w:rPr>
          <w:rtl/>
          <w:lang w:bidi="fa-IR"/>
        </w:rPr>
        <w:t xml:space="preserve"> الْأَعْمَالَ ، وَتُنْمِي الْأَمْوَالَ ، وَتَدْفَعُ الْبَلْوى ، وَتُيَسِّرُ الْحِسَابَ ، وَتُنْسِئُ </w:t>
      </w:r>
      <w:r w:rsidR="006C577F" w:rsidRPr="006C577F">
        <w:rPr>
          <w:rStyle w:val="libFootnotenumChar"/>
          <w:rtl/>
        </w:rPr>
        <w:t>(4)</w:t>
      </w:r>
      <w:r w:rsidRPr="00C9040A">
        <w:rPr>
          <w:rtl/>
          <w:lang w:bidi="fa-IR"/>
        </w:rPr>
        <w:t xml:space="preserve"> فِي </w:t>
      </w:r>
      <w:r w:rsidR="006C577F" w:rsidRPr="006C577F">
        <w:rPr>
          <w:rStyle w:val="libFootnotenumChar"/>
          <w:rtl/>
        </w:rPr>
        <w:t>(5)</w:t>
      </w:r>
      <w:r w:rsidRPr="00C9040A">
        <w:rPr>
          <w:rtl/>
          <w:lang w:bidi="fa-IR"/>
        </w:rPr>
        <w:t xml:space="preserve"> الْأَجَلِ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Normal"/>
        <w:rPr>
          <w:rtl/>
          <w:lang w:bidi="fa-IR"/>
        </w:rPr>
      </w:pPr>
      <w:r w:rsidRPr="00170903">
        <w:rPr>
          <w:rtl/>
        </w:rPr>
        <w:t>1978</w:t>
      </w:r>
      <w:r w:rsidRPr="00261CB0">
        <w:rPr>
          <w:rStyle w:val="libBold2Char"/>
          <w:rtl/>
        </w:rPr>
        <w:t xml:space="preserve"> / 5.</w:t>
      </w:r>
      <w:r w:rsidRPr="00C9040A">
        <w:rPr>
          <w:rtl/>
          <w:lang w:bidi="fa-IR"/>
        </w:rPr>
        <w:t xml:space="preserve"> عَنْهُ </w:t>
      </w:r>
      <w:r w:rsidR="006C577F" w:rsidRPr="006C577F">
        <w:rPr>
          <w:rStyle w:val="libFootnotenumChar"/>
          <w:rtl/>
        </w:rPr>
        <w:t>(7)</w:t>
      </w:r>
      <w:r w:rsidRPr="00C9040A">
        <w:rPr>
          <w:rtl/>
          <w:lang w:bidi="fa-IR"/>
        </w:rPr>
        <w:t xml:space="preserve"> ، عَنِ الْحَسَنِ بْنِ مَحْبُوبٍ ، عَنْ عَمْرِو بْنِ أَبِي الْمِقْدَامِ ، عَنْ جَابِرٍ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أُوصِي الشَّاهِدَ مِنْ أُمَّتِي وَالْغَائِبَ مِنْهُمْ وَمَنْ فِي أَصْلَابِ الرِّجَالِ وَأَرْحَامِ النِّسَاءِ إِلى يَوْمِ الْقِيَامَةِ أَنْ يَصِلَ الرَّحِمَ وَإِنْ كَانَتْ </w:t>
      </w:r>
      <w:r w:rsidR="006C577F" w:rsidRPr="006C577F">
        <w:rPr>
          <w:rStyle w:val="libFootnotenumChar"/>
          <w:rtl/>
        </w:rPr>
        <w:t>(8)</w:t>
      </w:r>
      <w:r w:rsidRPr="00C9040A">
        <w:rPr>
          <w:rtl/>
          <w:lang w:bidi="fa-IR"/>
        </w:rPr>
        <w:t xml:space="preserve"> مِنْهُ عَلى مَسِيرَةِ سَنَةٍ ؛ فَإِنَّ ذلِكَ مِنَ الدِّينِ »</w:t>
      </w:r>
      <w:r>
        <w:rPr>
          <w:rtl/>
          <w:lang w:bidi="fa-IR"/>
        </w:rPr>
        <w:t>.</w:t>
      </w:r>
      <w:r w:rsidRPr="00C9040A">
        <w:rPr>
          <w:rtl/>
          <w:lang w:bidi="fa-IR"/>
        </w:rPr>
        <w:t xml:space="preserve"> </w:t>
      </w:r>
      <w:r w:rsidR="006C577F" w:rsidRPr="006C577F">
        <w:rPr>
          <w:rStyle w:val="libFootnotenumChar"/>
          <w:rtl/>
        </w:rPr>
        <w:t>(9)</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C4732C">
      <w:pPr>
        <w:pStyle w:val="libFootnote0"/>
        <w:rPr>
          <w:rtl/>
          <w:lang w:bidi="fa-IR"/>
        </w:rPr>
      </w:pPr>
      <w:r>
        <w:rPr>
          <w:rtl/>
        </w:rPr>
        <w:t>(1).</w:t>
      </w:r>
      <w:r w:rsidR="008A74EB">
        <w:rPr>
          <w:rtl/>
        </w:rPr>
        <w:t xml:space="preserve"> </w:t>
      </w:r>
      <w:r w:rsidR="008A74EB" w:rsidRPr="00993B55">
        <w:rPr>
          <w:rStyle w:val="libFootnoteBoldChar"/>
          <w:rtl/>
        </w:rPr>
        <w:t>قرب الإسناد</w:t>
      </w:r>
      <w:r w:rsidR="008A74EB" w:rsidRPr="00C9040A">
        <w:rPr>
          <w:rtl/>
        </w:rPr>
        <w:t xml:space="preserve"> ، ص 355 ، ح 1271 ، عن أحمد بن محمّد ، عن أحمد بن محمّد بن أبي نصر ، عن الرضا ، عن أبي عبدالله </w:t>
      </w:r>
      <w:r w:rsidR="00117575" w:rsidRPr="00117575">
        <w:rPr>
          <w:rStyle w:val="libFootnoteAlaemChar"/>
          <w:rtl/>
        </w:rPr>
        <w:t>عليهما‌السلام</w:t>
      </w:r>
      <w:r w:rsidR="008A74EB" w:rsidRPr="00C9040A">
        <w:rPr>
          <w:rtl/>
        </w:rPr>
        <w:t xml:space="preserve"> ، مع زيادة في آخره. </w:t>
      </w:r>
      <w:r w:rsidR="008A74EB" w:rsidRPr="00993B55">
        <w:rPr>
          <w:rStyle w:val="libFootnoteBoldChar"/>
          <w:rtl/>
        </w:rPr>
        <w:t>الأمالي</w:t>
      </w:r>
      <w:r w:rsidR="008A74EB" w:rsidRPr="00C9040A">
        <w:rPr>
          <w:rtl/>
        </w:rPr>
        <w:t xml:space="preserve"> للطوسي ، ص 480 ، المجلس 17 ، ح 18 ، بسند آخر عن أبي عبدالله ، عن آبائه </w:t>
      </w:r>
      <w:r w:rsidR="00117575" w:rsidRPr="00117575">
        <w:rPr>
          <w:rStyle w:val="libFootnoteAlaemChar"/>
          <w:rtl/>
        </w:rPr>
        <w:t>عليهم‌السلام</w:t>
      </w:r>
      <w:r w:rsidR="008A74EB" w:rsidRPr="00C9040A">
        <w:rPr>
          <w:rtl/>
        </w:rPr>
        <w:t xml:space="preserve"> عن رسول الله </w:t>
      </w:r>
      <w:r w:rsidR="004A4E41" w:rsidRPr="00C4732C">
        <w:rPr>
          <w:rStyle w:val="libFootnoteAlaemChar"/>
          <w:rtl/>
        </w:rPr>
        <w:t>صلى‌الله‌عليه‌وآله</w:t>
      </w:r>
      <w:r w:rsidR="008A74EB" w:rsidRPr="00C9040A">
        <w:rPr>
          <w:rtl/>
        </w:rPr>
        <w:t xml:space="preserve"> ، إلى قوله : « ثلاثين سنة »</w:t>
      </w:r>
      <w:r w:rsidR="008A74EB">
        <w:rPr>
          <w:rtl/>
        </w:rPr>
        <w:t>.</w:t>
      </w:r>
      <w:r w:rsidR="008A74EB" w:rsidRPr="00C9040A">
        <w:rPr>
          <w:rtl/>
        </w:rPr>
        <w:t xml:space="preserve"> </w:t>
      </w:r>
      <w:r w:rsidR="008A74EB" w:rsidRPr="00993B55">
        <w:rPr>
          <w:rStyle w:val="libFootnoteBoldChar"/>
          <w:rtl/>
        </w:rPr>
        <w:t>تفسير العيّاشي</w:t>
      </w:r>
      <w:r w:rsidR="008A74EB" w:rsidRPr="00C9040A">
        <w:rPr>
          <w:rtl/>
        </w:rPr>
        <w:t xml:space="preserve"> ، ج 2 ، ص 220 ، عن الحسين بن زيد بن عليّ ، عن جعفر بن محمّد ، عن أبيه </w:t>
      </w:r>
      <w:r w:rsidR="00117575" w:rsidRPr="00117575">
        <w:rPr>
          <w:rStyle w:val="libFootnoteAlaemChar"/>
          <w:rtl/>
        </w:rPr>
        <w:t>عليهما‌السلام</w:t>
      </w:r>
      <w:r w:rsidR="008A74EB" w:rsidRPr="00C9040A">
        <w:rPr>
          <w:rtl/>
        </w:rPr>
        <w:t xml:space="preserve"> عن رسول الله </w:t>
      </w:r>
      <w:r w:rsidR="00C4732C" w:rsidRPr="00C4732C">
        <w:rPr>
          <w:rStyle w:val="libFootnoteAlaemChar"/>
          <w:rtl/>
        </w:rPr>
        <w:t>صلى‌الله‌عليه‌وآله</w:t>
      </w:r>
      <w:r w:rsidR="00C4732C" w:rsidRPr="00C9040A">
        <w:rPr>
          <w:rtl/>
        </w:rPr>
        <w:t xml:space="preserve"> </w:t>
      </w:r>
      <w:r w:rsidR="008A74EB" w:rsidRPr="00C9040A">
        <w:rPr>
          <w:rtl/>
        </w:rPr>
        <w:t xml:space="preserve">، وفيهما مع زيادة في أوّله وآخره ، وفي كلّها مع اختلاف يسير </w:t>
      </w:r>
      <w:r w:rsidR="00CB50D5">
        <w:rPr>
          <w:rFonts w:hint="cs"/>
          <w:rtl/>
        </w:rPr>
        <w:t>.</w:t>
      </w:r>
      <w:r w:rsidR="008A74EB" w:rsidRPr="00993B55">
        <w:rPr>
          <w:rStyle w:val="libFootnoteBoldChar"/>
          <w:rtl/>
        </w:rPr>
        <w:t>الوافي</w:t>
      </w:r>
      <w:r w:rsidR="008A74EB" w:rsidRPr="00C9040A">
        <w:rPr>
          <w:rtl/>
        </w:rPr>
        <w:t xml:space="preserve"> ، ج 5 ، ص 509 ، ح 2458 ؛ </w:t>
      </w:r>
      <w:r w:rsidR="008A74EB" w:rsidRPr="00993B55">
        <w:rPr>
          <w:rStyle w:val="libFootnoteBoldChar"/>
          <w:rtl/>
        </w:rPr>
        <w:t>الوسائل</w:t>
      </w:r>
      <w:r w:rsidR="008A74EB" w:rsidRPr="00C9040A">
        <w:rPr>
          <w:rtl/>
        </w:rPr>
        <w:t xml:space="preserve"> ، ج 21 ، ص 534 ، ح 27786 ؛ </w:t>
      </w:r>
      <w:r w:rsidR="008A74EB" w:rsidRPr="00993B55">
        <w:rPr>
          <w:rStyle w:val="libFootnoteBoldChar"/>
          <w:rtl/>
        </w:rPr>
        <w:t>البحار</w:t>
      </w:r>
      <w:r w:rsidR="008A74EB" w:rsidRPr="00C9040A">
        <w:rPr>
          <w:rtl/>
        </w:rPr>
        <w:t xml:space="preserve"> ، ج 74 ، ص 108 ، ح 70.</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الضمير راجع إلى أحمد بن محمّد بن عيسى المذكور في السند السابق.</w:t>
      </w:r>
    </w:p>
    <w:p w:rsidR="008A74EB" w:rsidRPr="00C9040A" w:rsidRDefault="006C577F" w:rsidP="004A4E41">
      <w:pPr>
        <w:pStyle w:val="libFootnote0"/>
        <w:rPr>
          <w:rtl/>
          <w:lang w:bidi="fa-IR"/>
        </w:rPr>
      </w:pPr>
      <w:r>
        <w:rPr>
          <w:rtl/>
        </w:rPr>
        <w:t>(3).</w:t>
      </w:r>
      <w:r w:rsidR="008A74EB" w:rsidRPr="00C9040A">
        <w:rPr>
          <w:rtl/>
        </w:rPr>
        <w:t xml:space="preserve"> في « ب » : « تزكي » على بناء الإفعال. وفي </w:t>
      </w:r>
      <w:r w:rsidR="008A74EB" w:rsidRPr="00993B55">
        <w:rPr>
          <w:rStyle w:val="libFootnoteBoldChar"/>
          <w:rtl/>
        </w:rPr>
        <w:t>شرح المازندراني</w:t>
      </w:r>
      <w:r w:rsidR="008A74EB" w:rsidRPr="00C9040A">
        <w:rPr>
          <w:rtl/>
        </w:rPr>
        <w:t xml:space="preserve"> ، ج 9 ، ص 7 : « تزكي ، مضارع من باب الإفعال أوالتفعيل ، أي تجعلها نامية ، أو طاهرة من النقص أو الردّ وإن كان فيها نقص ما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 النَّسْ‌ء » : التأخير. يقال : نسأت الشي‌ءَ نَسأً ، وأنسأته إنساءً : إذا أخّرته. ويكون في العمر والدَّين. </w:t>
      </w:r>
      <w:r w:rsidR="008A74EB" w:rsidRPr="00CB50D5">
        <w:rPr>
          <w:rStyle w:val="libFootnoteBoldChar"/>
          <w:rtl/>
        </w:rPr>
        <w:t>النهاية</w:t>
      </w:r>
      <w:r w:rsidR="008A74EB" w:rsidRPr="00C9040A">
        <w:rPr>
          <w:rtl/>
        </w:rPr>
        <w:t xml:space="preserve"> ، ج 5 ، ص 44 ( نسأ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بر » </w:t>
      </w:r>
      <w:r w:rsidR="008A74EB">
        <w:rPr>
          <w:rtl/>
        </w:rPr>
        <w:t xml:space="preserve">: </w:t>
      </w:r>
      <w:r w:rsidR="0084262C">
        <w:rPr>
          <w:rtl/>
        </w:rPr>
        <w:t>-</w:t>
      </w:r>
      <w:r w:rsidR="008A74EB" w:rsidRPr="00C9040A">
        <w:rPr>
          <w:rtl/>
        </w:rPr>
        <w:t xml:space="preserve"> « في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راجع : حديث 2006 ومصادره </w:t>
      </w:r>
      <w:r w:rsidR="00CB50D5">
        <w:rPr>
          <w:rFonts w:hint="cs"/>
          <w:rtl/>
        </w:rPr>
        <w:t>.</w:t>
      </w:r>
      <w:r w:rsidR="008A74EB" w:rsidRPr="00993B55">
        <w:rPr>
          <w:rStyle w:val="libFootnoteBoldChar"/>
          <w:rtl/>
        </w:rPr>
        <w:t>الوافي</w:t>
      </w:r>
      <w:r w:rsidR="008A74EB" w:rsidRPr="00C9040A">
        <w:rPr>
          <w:rtl/>
        </w:rPr>
        <w:t xml:space="preserve"> ، ج 5 ، ص 508 ، ح 2451 ؛ </w:t>
      </w:r>
      <w:r w:rsidR="008A74EB" w:rsidRPr="00993B55">
        <w:rPr>
          <w:rStyle w:val="libFootnoteBoldChar"/>
          <w:rtl/>
        </w:rPr>
        <w:t>الوسائل</w:t>
      </w:r>
      <w:r w:rsidR="008A74EB" w:rsidRPr="00C9040A">
        <w:rPr>
          <w:rtl/>
        </w:rPr>
        <w:t xml:space="preserve"> ، ج 21 ، ص 534 ، ح 27787 ؛ </w:t>
      </w:r>
      <w:r w:rsidR="008A74EB" w:rsidRPr="00993B55">
        <w:rPr>
          <w:rStyle w:val="libFootnoteBoldChar"/>
          <w:rtl/>
        </w:rPr>
        <w:t>البحار</w:t>
      </w:r>
      <w:r w:rsidR="008A74EB" w:rsidRPr="00C9040A">
        <w:rPr>
          <w:rtl/>
        </w:rPr>
        <w:t xml:space="preserve"> ، ج 74 ، ص 111 ، ح 71.</w:t>
      </w:r>
    </w:p>
    <w:p w:rsidR="008A74EB" w:rsidRPr="00C9040A" w:rsidRDefault="006C577F" w:rsidP="004A4E41">
      <w:pPr>
        <w:pStyle w:val="libFootnote0"/>
        <w:rPr>
          <w:rtl/>
          <w:lang w:bidi="fa-IR"/>
        </w:rPr>
      </w:pPr>
      <w:r>
        <w:rPr>
          <w:rtl/>
        </w:rPr>
        <w:t>(7).</w:t>
      </w:r>
      <w:r w:rsidR="008A74EB" w:rsidRPr="00C9040A">
        <w:rPr>
          <w:rtl/>
        </w:rPr>
        <w:t xml:space="preserve"> هكذا في النسخ التي قوبلت. وفي المطبوع : « وعنه »</w:t>
      </w:r>
      <w:r w:rsidR="008A74EB">
        <w:rPr>
          <w:rtl/>
        </w:rPr>
        <w:t>.</w:t>
      </w:r>
      <w:r w:rsidR="008A74EB" w:rsidRPr="00C9040A">
        <w:rPr>
          <w:rtl/>
        </w:rPr>
        <w:t xml:space="preserve"> والضمير راجع إلى أحمد بن محمّد بن عيسى.</w:t>
      </w:r>
    </w:p>
    <w:p w:rsidR="008A74EB" w:rsidRPr="00C9040A" w:rsidRDefault="006C577F" w:rsidP="004A4E41">
      <w:pPr>
        <w:pStyle w:val="libFootnote0"/>
        <w:rPr>
          <w:rtl/>
          <w:lang w:bidi="fa-IR"/>
        </w:rPr>
      </w:pPr>
      <w:r>
        <w:rPr>
          <w:rtl/>
        </w:rPr>
        <w:t>(8).</w:t>
      </w:r>
      <w:r w:rsidR="008A74EB" w:rsidRPr="00C9040A">
        <w:rPr>
          <w:rtl/>
        </w:rPr>
        <w:t xml:space="preserve"> في « ج ، ض » : « ولو كان »</w:t>
      </w:r>
      <w:r w:rsidR="008A74EB">
        <w:rPr>
          <w:rtl/>
        </w:rPr>
        <w:t>.</w:t>
      </w:r>
      <w:r w:rsidR="008A74EB" w:rsidRPr="00C9040A">
        <w:rPr>
          <w:rtl/>
        </w:rPr>
        <w:t xml:space="preserve"> وفي « ص » وشرح المازندراني والوافي : « وكان »</w:t>
      </w:r>
      <w:r w:rsidR="008A74EB">
        <w:rPr>
          <w:rtl/>
        </w:rPr>
        <w:t>.</w:t>
      </w:r>
      <w:r w:rsidR="008A74EB" w:rsidRPr="00C9040A">
        <w:rPr>
          <w:rtl/>
        </w:rPr>
        <w:t xml:space="preserve"> قال المازندراني : « وفي بعض النسخ : ولو كانت منه ، بالتأنيث ، وكلاهما جائز ؛ لأنّ الرحم يذكّر ويؤنّث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w:t>
      </w:r>
      <w:r w:rsidR="008A74EB" w:rsidRPr="00993B55">
        <w:rPr>
          <w:rStyle w:val="libFootnoteBoldChar"/>
          <w:rtl/>
        </w:rPr>
        <w:t>الوافي</w:t>
      </w:r>
      <w:r w:rsidR="008A74EB" w:rsidRPr="00C9040A">
        <w:rPr>
          <w:rtl/>
        </w:rPr>
        <w:t xml:space="preserve"> ، ج 5 ، ص 503 ، ح 2436 ؛ </w:t>
      </w:r>
      <w:r w:rsidR="008A74EB" w:rsidRPr="00993B55">
        <w:rPr>
          <w:rStyle w:val="libFootnoteBoldChar"/>
          <w:rtl/>
        </w:rPr>
        <w:t>البحار</w:t>
      </w:r>
      <w:r w:rsidR="008A74EB" w:rsidRPr="00C9040A">
        <w:rPr>
          <w:rtl/>
        </w:rPr>
        <w:t xml:space="preserve"> ، ج 74 ، ص 114 ، ح 73.</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170903">
        <w:rPr>
          <w:rtl/>
        </w:rPr>
        <w:t>1979</w:t>
      </w:r>
      <w:r w:rsidRPr="00261CB0">
        <w:rPr>
          <w:rStyle w:val="libBold2Char"/>
          <w:rtl/>
        </w:rPr>
        <w:t xml:space="preserve"> / 6.</w:t>
      </w:r>
      <w:r w:rsidRPr="00C9040A">
        <w:rPr>
          <w:rtl/>
          <w:lang w:bidi="fa-IR"/>
        </w:rPr>
        <w:t xml:space="preserve"> وَعَنْهُ </w:t>
      </w:r>
      <w:r w:rsidR="006C577F" w:rsidRPr="006C577F">
        <w:rPr>
          <w:rStyle w:val="libFootnotenumChar"/>
          <w:rtl/>
        </w:rPr>
        <w:t>(1)</w:t>
      </w:r>
      <w:r w:rsidRPr="00C9040A">
        <w:rPr>
          <w:rtl/>
          <w:lang w:bidi="fa-IR"/>
        </w:rPr>
        <w:t xml:space="preserve"> ، عَنْ عَلِيِّ بْنِ الْحَكَمِ ، عَنْ حَفْصٍ ، عَنْ أَبِي حَمْزَةَ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صِلَةُ الْأَرْحَامِ تُحَسِّنُ </w:t>
      </w:r>
      <w:r w:rsidR="006C577F" w:rsidRPr="006C577F">
        <w:rPr>
          <w:rStyle w:val="libFootnotenumChar"/>
          <w:rtl/>
        </w:rPr>
        <w:t>(2)</w:t>
      </w:r>
      <w:r w:rsidRPr="00C9040A">
        <w:rPr>
          <w:rtl/>
          <w:lang w:bidi="fa-IR"/>
        </w:rPr>
        <w:t xml:space="preserve"> الْخُلُقَ ، وَتُسَمِّحُ الْكَفَّ ، وَتُطَيِّبُ النَّفْسَ </w:t>
      </w:r>
      <w:r w:rsidR="006C577F" w:rsidRPr="006C577F">
        <w:rPr>
          <w:rStyle w:val="libFootnotenumChar"/>
          <w:rtl/>
        </w:rPr>
        <w:t>(3)</w:t>
      </w:r>
      <w:r w:rsidRPr="00C9040A">
        <w:rPr>
          <w:rtl/>
          <w:lang w:bidi="fa-IR"/>
        </w:rPr>
        <w:t xml:space="preserve"> ، وَتَزِيدُ فِي الرِّزْقِ ، وَتُنْسِئُ فِي </w:t>
      </w:r>
      <w:r w:rsidR="006C577F" w:rsidRPr="006C577F">
        <w:rPr>
          <w:rStyle w:val="libFootnotenumChar"/>
          <w:rtl/>
        </w:rPr>
        <w:t>(4)</w:t>
      </w:r>
      <w:r w:rsidRPr="00C9040A">
        <w:rPr>
          <w:rtl/>
          <w:lang w:bidi="fa-IR"/>
        </w:rPr>
        <w:t xml:space="preserve"> الْأَجَلِ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170903">
        <w:rPr>
          <w:rtl/>
        </w:rPr>
        <w:t>1980</w:t>
      </w:r>
      <w:r w:rsidRPr="00261CB0">
        <w:rPr>
          <w:rStyle w:val="libBold2Char"/>
          <w:rtl/>
        </w:rPr>
        <w:t xml:space="preserve"> / 7.</w:t>
      </w:r>
      <w:r w:rsidRPr="00C9040A">
        <w:rPr>
          <w:rtl/>
          <w:lang w:bidi="fa-IR"/>
        </w:rPr>
        <w:t xml:space="preserve"> الْحُسَيْنُ بْنُ مُحَمَّدٍ ، عَنْ مُعَلَّى بْنِ مُحَمَّدٍ ، عَنِ الْحَسَنِ بْنِ عَلِيٍّ الْوَشَّاءِ ، عَنْ عَلِيِّ بْنِ أَبِي حَمْزَةَ ، عَنْ أَبِي بَصِيرٍ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سَمِعْتُهُ يَقُولُ : « إِنَّ الرَّحِمَ مُعَلَّقَةٌ بِالْعَرْشِ تَقُولُ </w:t>
      </w:r>
      <w:r w:rsidR="006C577F" w:rsidRPr="006C577F">
        <w:rPr>
          <w:rStyle w:val="libFootnotenumChar"/>
          <w:rtl/>
        </w:rPr>
        <w:t>(6)</w:t>
      </w:r>
      <w:r w:rsidRPr="005B567D">
        <w:rPr>
          <w:rStyle w:val="libFootnotenumChar"/>
          <w:rtl/>
        </w:rPr>
        <w:t xml:space="preserve"> </w:t>
      </w:r>
      <w:r w:rsidRPr="00C9040A">
        <w:rPr>
          <w:rtl/>
          <w:lang w:bidi="fa-IR"/>
        </w:rPr>
        <w:t>: الل</w:t>
      </w:r>
      <w:r w:rsidR="00405827">
        <w:rPr>
          <w:rFonts w:hint="cs"/>
          <w:rtl/>
          <w:lang w:bidi="fa-IR"/>
        </w:rPr>
        <w:t>ّ</w:t>
      </w:r>
      <w:r w:rsidRPr="00C9040A">
        <w:rPr>
          <w:rtl/>
          <w:lang w:bidi="fa-IR"/>
        </w:rPr>
        <w:t xml:space="preserve">هُمَّ صِلْ مَنْ وَصَلَنِي ، وَاقْطَعْ مَنْ قَطَعَنِي </w:t>
      </w:r>
      <w:r w:rsidR="006C577F" w:rsidRPr="006C577F">
        <w:rPr>
          <w:rStyle w:val="libFootnotenumChar"/>
          <w:rtl/>
        </w:rPr>
        <w:t>(7)</w:t>
      </w:r>
      <w:r w:rsidRPr="00C9040A">
        <w:rPr>
          <w:rtl/>
          <w:lang w:bidi="fa-IR"/>
        </w:rPr>
        <w:t xml:space="preserve"> ، وَهِيَ رَحِمُ آلِ مُحَمَّدٍ ، وَهُوَ </w:t>
      </w:r>
      <w:r w:rsidR="006C577F" w:rsidRPr="006C577F">
        <w:rPr>
          <w:rStyle w:val="libFootnotenumChar"/>
          <w:rtl/>
        </w:rPr>
        <w:t>(8)</w:t>
      </w:r>
      <w:r w:rsidRPr="00C9040A">
        <w:rPr>
          <w:rtl/>
          <w:lang w:bidi="fa-IR"/>
        </w:rPr>
        <w:t xml:space="preserve"> قَوْلُ اللهِ عَزَّ وَجَلَّ :</w:t>
      </w:r>
      <w:r>
        <w:rPr>
          <w:rFonts w:hint="cs"/>
          <w:rtl/>
          <w:lang w:bidi="fa-IR"/>
        </w:rPr>
        <w:t xml:space="preserve"> </w:t>
      </w:r>
      <w:r w:rsidRPr="0003660B">
        <w:rPr>
          <w:rStyle w:val="libAlaemChar"/>
          <w:rtl/>
        </w:rPr>
        <w:t>(</w:t>
      </w:r>
      <w:r w:rsidRPr="006A2246">
        <w:rPr>
          <w:rStyle w:val="libAieChar"/>
          <w:rtl/>
        </w:rPr>
        <w:t xml:space="preserve"> الَّذِينَ يَصِلُونَ ما أَمَرَ اللهُ بِهِ أَنْ يُوصَلَ </w:t>
      </w:r>
      <w:r w:rsidRPr="0003660B">
        <w:rPr>
          <w:rStyle w:val="libAlaemChar"/>
          <w:rtl/>
        </w:rPr>
        <w:t>)</w:t>
      </w:r>
      <w:r w:rsidRPr="00C9040A">
        <w:rPr>
          <w:rtl/>
          <w:lang w:bidi="fa-IR"/>
        </w:rPr>
        <w:t xml:space="preserve"> </w:t>
      </w:r>
      <w:r w:rsidR="006C577F" w:rsidRPr="006C577F">
        <w:rPr>
          <w:rStyle w:val="libFootnotenumChar"/>
          <w:rtl/>
        </w:rPr>
        <w:t>(9)</w:t>
      </w:r>
      <w:r w:rsidRPr="00C9040A">
        <w:rPr>
          <w:rtl/>
          <w:lang w:bidi="fa-IR"/>
        </w:rPr>
        <w:t xml:space="preserve"> وَرَحِمُ كُلِّ ذِي رَحِمٍ »</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الضمير راجع إلى أحمد بن محمّد بن عيسى.</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يجوز فيه وفي « تسمح » </w:t>
      </w:r>
      <w:r w:rsidR="008A74EB">
        <w:rPr>
          <w:rtl/>
        </w:rPr>
        <w:t>و «</w:t>
      </w:r>
      <w:r w:rsidR="008A74EB" w:rsidRPr="00C9040A">
        <w:rPr>
          <w:rtl/>
        </w:rPr>
        <w:t xml:space="preserve"> تطيب » الإفعال أيضاً. والنسخ مختلفة.</w:t>
      </w:r>
    </w:p>
    <w:p w:rsidR="008A74EB" w:rsidRPr="00C9040A" w:rsidRDefault="006C577F" w:rsidP="004A4E41">
      <w:pPr>
        <w:pStyle w:val="libFootnote0"/>
        <w:rPr>
          <w:rtl/>
          <w:lang w:bidi="fa-IR"/>
        </w:rPr>
      </w:pPr>
      <w:r>
        <w:rPr>
          <w:rtl/>
        </w:rPr>
        <w:t>(3).</w:t>
      </w:r>
      <w:r w:rsidR="008A74EB" w:rsidRPr="00C9040A">
        <w:rPr>
          <w:rtl/>
        </w:rPr>
        <w:t xml:space="preserve"> في </w:t>
      </w:r>
      <w:r w:rsidR="008A74EB" w:rsidRPr="00993B55">
        <w:rPr>
          <w:rStyle w:val="libFootnoteBoldChar"/>
          <w:rtl/>
        </w:rPr>
        <w:t>مرآة العقول</w:t>
      </w:r>
      <w:r w:rsidR="008A74EB" w:rsidRPr="00C9040A">
        <w:rPr>
          <w:rtl/>
        </w:rPr>
        <w:t xml:space="preserve"> ، ج 8 ، ص 366 : « السماحة : الجود ، ونسبتها إلى الكفّ على المجاز لصدورها منها غالباً. « وتطيّب النفس » أي تجعلها سمحة بالبذل والعفو والإحسان ، يقال : طابت نفسه بالشي‌ء : إذا سمحت به من غير كراهة ولا غضب ؛ أو تطهّرها من الحقد والحسد وسائر الصفات الذميمة ، فإنّه كثيراً ما يستعمل الطيّب بمعنى الطاهر ؛ أو يجعل باله فارغاً عن الهموم والغموم والتفكّر في دفع الأعادي ، فإنّها ترفع العداوة بينه وبين أقاربه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بر » </w:t>
      </w:r>
      <w:r w:rsidR="008A74EB">
        <w:rPr>
          <w:rtl/>
        </w:rPr>
        <w:t xml:space="preserve">: </w:t>
      </w:r>
      <w:r w:rsidR="0084262C">
        <w:rPr>
          <w:rtl/>
        </w:rPr>
        <w:t>-</w:t>
      </w:r>
      <w:r w:rsidR="008A74EB" w:rsidRPr="00C9040A">
        <w:rPr>
          <w:rtl/>
        </w:rPr>
        <w:t xml:space="preserve"> « في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الوافي</w:t>
      </w:r>
      <w:r w:rsidR="008A74EB" w:rsidRPr="00C9040A">
        <w:rPr>
          <w:rtl/>
        </w:rPr>
        <w:t xml:space="preserve"> ، ج 5 ، ص 507 ، ح 2449 ؛ </w:t>
      </w:r>
      <w:r w:rsidR="008A74EB" w:rsidRPr="00993B55">
        <w:rPr>
          <w:rStyle w:val="libFootnoteBoldChar"/>
          <w:rtl/>
        </w:rPr>
        <w:t>الوسائل</w:t>
      </w:r>
      <w:r w:rsidR="008A74EB" w:rsidRPr="00C9040A">
        <w:rPr>
          <w:rtl/>
        </w:rPr>
        <w:t xml:space="preserve"> ، ج 21 ، ص 534 ، ح 27788 ؛ </w:t>
      </w:r>
      <w:r w:rsidR="008A74EB" w:rsidRPr="00993B55">
        <w:rPr>
          <w:rStyle w:val="libFootnoteBoldChar"/>
          <w:rtl/>
        </w:rPr>
        <w:t>البحار</w:t>
      </w:r>
      <w:r w:rsidR="008A74EB" w:rsidRPr="00C9040A">
        <w:rPr>
          <w:rtl/>
        </w:rPr>
        <w:t xml:space="preserve"> ، ج 74 ، ص 114 ، ح 74.</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ض ، ف » والبحار : « يقول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w:t>
      </w:r>
      <w:r w:rsidR="008A74EB" w:rsidRPr="00993B55">
        <w:rPr>
          <w:rStyle w:val="libFootnoteBoldChar"/>
          <w:rtl/>
        </w:rPr>
        <w:t>الوافي</w:t>
      </w:r>
      <w:r w:rsidR="008A74EB" w:rsidRPr="00C9040A">
        <w:rPr>
          <w:rtl/>
        </w:rPr>
        <w:t xml:space="preserve"> : « تمثيل للمعقول بالمحسوس وإثبات لحقّ الرحم على أبلغ وجه. وتعلّقها بالعرش كناية عن‌مطالبة حقّها بمشهد من الله. ومعنى ما تدعو به : كن له كما كان لي ، وافعل به ما فعل بي من الإحسان والإساءة »</w:t>
      </w:r>
      <w:r w:rsidR="008A74EB">
        <w:rPr>
          <w:rtl/>
        </w:rPr>
        <w:t>.</w:t>
      </w:r>
    </w:p>
    <w:tbl>
      <w:tblPr>
        <w:tblStyle w:val="TableGrid"/>
        <w:bidiVisual/>
        <w:tblW w:w="0" w:type="auto"/>
        <w:tblLook w:val="04A0" w:firstRow="1" w:lastRow="0" w:firstColumn="1" w:lastColumn="0" w:noHBand="0" w:noVBand="1"/>
      </w:tblPr>
      <w:tblGrid>
        <w:gridCol w:w="4006"/>
        <w:gridCol w:w="4006"/>
      </w:tblGrid>
      <w:tr w:rsidR="008E2A07" w:rsidTr="008E2A07">
        <w:tc>
          <w:tcPr>
            <w:tcW w:w="4006" w:type="dxa"/>
          </w:tcPr>
          <w:p w:rsidR="008E2A07" w:rsidRDefault="008E2A07" w:rsidP="004A4E41">
            <w:pPr>
              <w:pStyle w:val="libFootnote0"/>
              <w:rPr>
                <w:rtl/>
              </w:rPr>
            </w:pPr>
            <w:r>
              <w:rPr>
                <w:rtl/>
              </w:rPr>
              <w:t>(8).</w:t>
            </w:r>
            <w:r w:rsidRPr="00C9040A">
              <w:rPr>
                <w:rtl/>
              </w:rPr>
              <w:t xml:space="preserve"> في « ض » : « وهي »</w:t>
            </w:r>
            <w:r>
              <w:rPr>
                <w:rtl/>
              </w:rPr>
              <w:t>.</w:t>
            </w:r>
          </w:p>
        </w:tc>
        <w:tc>
          <w:tcPr>
            <w:tcW w:w="4006" w:type="dxa"/>
          </w:tcPr>
          <w:p w:rsidR="008E2A07" w:rsidRDefault="008E2A07" w:rsidP="004A4E41">
            <w:pPr>
              <w:pStyle w:val="libFootnote0"/>
              <w:rPr>
                <w:rtl/>
              </w:rPr>
            </w:pPr>
            <w:r>
              <w:rPr>
                <w:rtl/>
              </w:rPr>
              <w:t>(9).</w:t>
            </w:r>
            <w:r w:rsidRPr="00C9040A">
              <w:rPr>
                <w:rtl/>
              </w:rPr>
              <w:t xml:space="preserve"> الرعد (13) : 21.</w:t>
            </w:r>
          </w:p>
        </w:tc>
      </w:tr>
    </w:tbl>
    <w:p w:rsidR="008A74EB" w:rsidRPr="00C9040A" w:rsidRDefault="006C577F" w:rsidP="0086218A">
      <w:pPr>
        <w:pStyle w:val="libFootnote0"/>
        <w:rPr>
          <w:rtl/>
          <w:lang w:bidi="fa-IR"/>
        </w:rPr>
      </w:pPr>
      <w:r>
        <w:rPr>
          <w:rtl/>
        </w:rPr>
        <w:t>(10).</w:t>
      </w:r>
      <w:r w:rsidR="008A74EB" w:rsidRPr="00C9040A">
        <w:rPr>
          <w:rtl/>
        </w:rPr>
        <w:t xml:space="preserve"> </w:t>
      </w:r>
      <w:r w:rsidR="008A74EB" w:rsidRPr="00993B55">
        <w:rPr>
          <w:rStyle w:val="libFootnoteBoldChar"/>
          <w:rtl/>
        </w:rPr>
        <w:t>الكافي</w:t>
      </w:r>
      <w:r w:rsidR="008A74EB" w:rsidRPr="00C9040A">
        <w:rPr>
          <w:rtl/>
        </w:rPr>
        <w:t xml:space="preserve"> ، كتاب الإيمان والكفر ، باب صلة الرحم ، ح 1999 ، بسند آخر عن الرضا </w:t>
      </w:r>
      <w:r w:rsidR="00117575" w:rsidRPr="00117575">
        <w:rPr>
          <w:rStyle w:val="libFootnoteAlaemChar"/>
          <w:rtl/>
        </w:rPr>
        <w:t>عليه‌السلام</w:t>
      </w:r>
      <w:r w:rsidR="008A74EB" w:rsidRPr="00C9040A">
        <w:rPr>
          <w:rtl/>
        </w:rPr>
        <w:t xml:space="preserve"> ؛ </w:t>
      </w:r>
      <w:r w:rsidR="008A74EB" w:rsidRPr="00993B55">
        <w:rPr>
          <w:rStyle w:val="libFootnoteBoldChar"/>
          <w:rtl/>
        </w:rPr>
        <w:t>تفسير القمّي</w:t>
      </w:r>
      <w:r w:rsidR="008A74EB" w:rsidRPr="00C9040A">
        <w:rPr>
          <w:rtl/>
        </w:rPr>
        <w:t xml:space="preserve"> ، ج 1 ، ص 363 ، بسند آخر عن أبي الحسن </w:t>
      </w:r>
      <w:r w:rsidR="00117575" w:rsidRPr="00117575">
        <w:rPr>
          <w:rStyle w:val="libFootnoteAlaemChar"/>
          <w:rtl/>
        </w:rPr>
        <w:t>عليه‌السلام</w:t>
      </w:r>
      <w:r w:rsidR="008A74EB" w:rsidRPr="00C9040A">
        <w:rPr>
          <w:rtl/>
        </w:rPr>
        <w:t xml:space="preserve"> ؛ </w:t>
      </w:r>
      <w:r w:rsidR="008A74EB" w:rsidRPr="00993B55">
        <w:rPr>
          <w:rStyle w:val="libFootnoteBoldChar"/>
          <w:rtl/>
        </w:rPr>
        <w:t>الزهد</w:t>
      </w:r>
      <w:r w:rsidR="008A74EB" w:rsidRPr="00C9040A">
        <w:rPr>
          <w:rtl/>
        </w:rPr>
        <w:t xml:space="preserve"> ، ص 102 ، ح 100 ، بسنده عن أبي بصير ، إلى قوله : « وهي رحم آل محمّد » مع زيادة في آخره. </w:t>
      </w:r>
      <w:r w:rsidR="008A74EB" w:rsidRPr="00993B55">
        <w:rPr>
          <w:rStyle w:val="libFootnoteBoldChar"/>
          <w:rtl/>
        </w:rPr>
        <w:t>تفسير العيّاشي</w:t>
      </w:r>
      <w:r w:rsidR="008A74EB" w:rsidRPr="00C9040A">
        <w:rPr>
          <w:rtl/>
        </w:rPr>
        <w:t xml:space="preserve"> ، ج 2 ، ص 208 ، ح 27 ، عن العلاء بن فضيل ، عن أبي عبدالله </w:t>
      </w:r>
      <w:r w:rsidR="00117575" w:rsidRPr="00117575">
        <w:rPr>
          <w:rStyle w:val="libFootnoteAlaemChar"/>
          <w:rtl/>
        </w:rPr>
        <w:t>عليه‌السلام</w:t>
      </w:r>
      <w:r w:rsidR="008A74EB" w:rsidRPr="00C9040A">
        <w:rPr>
          <w:rtl/>
        </w:rPr>
        <w:t xml:space="preserve"> ؛ </w:t>
      </w:r>
      <w:r w:rsidR="008A74EB" w:rsidRPr="00993B55">
        <w:rPr>
          <w:rStyle w:val="libFootnoteBoldChar"/>
          <w:rtl/>
        </w:rPr>
        <w:t>وفيه</w:t>
      </w:r>
      <w:r w:rsidR="008A74EB" w:rsidRPr="00C9040A">
        <w:rPr>
          <w:rtl/>
        </w:rPr>
        <w:t xml:space="preserve"> ، ح 29 ، عن محمّد بن فضل ، عن العبد الصالح </w:t>
      </w:r>
      <w:r w:rsidR="00117575" w:rsidRPr="00117575">
        <w:rPr>
          <w:rStyle w:val="libFootnoteAlaemChar"/>
          <w:rtl/>
        </w:rPr>
        <w:t>عليه‌السلام</w:t>
      </w:r>
      <w:r w:rsidR="008A74EB" w:rsidRPr="00C9040A">
        <w:rPr>
          <w:rtl/>
        </w:rPr>
        <w:t xml:space="preserve"> ، وفي كلّها مع اختلاف يسير. وراجع : </w:t>
      </w:r>
      <w:r w:rsidR="008A74EB" w:rsidRPr="00993B55">
        <w:rPr>
          <w:rStyle w:val="libFootnoteBoldChar"/>
          <w:rtl/>
        </w:rPr>
        <w:t>تفسير فرات</w:t>
      </w:r>
      <w:r w:rsidR="008A74EB" w:rsidRPr="00C9040A">
        <w:rPr>
          <w:rtl/>
        </w:rPr>
        <w:t xml:space="preserve"> ، ص 101 ، ح 88</w:t>
      </w:r>
      <w:r w:rsidR="0086218A">
        <w:rPr>
          <w:rFonts w:hint="cs"/>
          <w:rtl/>
        </w:rPr>
        <w:t>.</w:t>
      </w:r>
      <w:r w:rsidR="008A74EB" w:rsidRPr="00993B55">
        <w:rPr>
          <w:rStyle w:val="libFootnoteBoldChar"/>
          <w:rtl/>
        </w:rPr>
        <w:t>الوافي</w:t>
      </w:r>
      <w:r w:rsidR="008A74EB" w:rsidRPr="00C9040A">
        <w:rPr>
          <w:rtl/>
        </w:rPr>
        <w:t xml:space="preserve"> ، ج 5 ، ص 504 ، ح 2437 ؛ </w:t>
      </w:r>
      <w:r w:rsidR="008A74EB" w:rsidRPr="00993B55">
        <w:rPr>
          <w:rStyle w:val="libFootnoteBoldChar"/>
          <w:rtl/>
        </w:rPr>
        <w:t>الوسائل</w:t>
      </w:r>
      <w:r w:rsidR="008A74EB" w:rsidRPr="00C9040A">
        <w:rPr>
          <w:rtl/>
        </w:rPr>
        <w:t xml:space="preserve"> ، ج 21 ، ص 534 ، ح 27790 ؛ </w:t>
      </w:r>
      <w:r w:rsidR="008A74EB" w:rsidRPr="00993B55">
        <w:rPr>
          <w:rStyle w:val="libFootnoteBoldChar"/>
          <w:rtl/>
        </w:rPr>
        <w:t>البحار</w:t>
      </w:r>
      <w:r w:rsidR="008A74EB" w:rsidRPr="00C9040A">
        <w:rPr>
          <w:rtl/>
        </w:rPr>
        <w:t xml:space="preserve"> ، ج 74 ، ص 115 ، ح 75.</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170903">
        <w:rPr>
          <w:rtl/>
        </w:rPr>
        <w:t>1981</w:t>
      </w:r>
      <w:r w:rsidRPr="00261CB0">
        <w:rPr>
          <w:rStyle w:val="libBold2Char"/>
          <w:rtl/>
        </w:rPr>
        <w:t xml:space="preserve"> / 8.</w:t>
      </w:r>
      <w:r w:rsidRPr="00C9040A">
        <w:rPr>
          <w:rtl/>
          <w:lang w:bidi="fa-IR"/>
        </w:rPr>
        <w:t xml:space="preserve"> مُحَمَّدُ بْنُ يَحْيى ، عَنْ أَحْمَدَ بْنِ مُحَمَّدٍ ، عَنِ ابْنِ مَحْبُوبٍ ، عَنْ مَالِكِ بْنِ عَطِيَّةَ ، عَنْ يُونُسَ بْنِ عَمَّارٍ </w:t>
      </w:r>
      <w:r w:rsidR="006C577F" w:rsidRPr="006C577F">
        <w:rPr>
          <w:rStyle w:val="libFootnotenumChar"/>
          <w:rtl/>
        </w:rPr>
        <w:t>(1)</w:t>
      </w:r>
      <w:r w:rsidRPr="00C9040A">
        <w:rPr>
          <w:rtl/>
          <w:lang w:bidi="fa-IR"/>
        </w:rPr>
        <w:t xml:space="preserve">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أَوَّلُ نَاطِقٍ مِنَ الْجَوَارِحِ يَوْمَ الْقِيَامَةِ الرَّحِمُ تَقُولُ </w:t>
      </w:r>
      <w:r w:rsidR="006C577F" w:rsidRPr="006C577F">
        <w:rPr>
          <w:rStyle w:val="libFootnotenumChar"/>
          <w:rtl/>
        </w:rPr>
        <w:t>(2)</w:t>
      </w:r>
      <w:r w:rsidRPr="00C9040A">
        <w:rPr>
          <w:rtl/>
          <w:lang w:bidi="fa-IR"/>
        </w:rPr>
        <w:t xml:space="preserve"> : يَا رَبِّ مَنْ وَصَلَنِي فِي الدُّنْيَا ، فَصِلِ الْيَوْمَ مَا بَيْنَكَ وَبَيْنَهُ ؛ وَمَنْ قَطَعَنِي فِي الدُّنْيَا ، فَاقْطَعِ الْيَوْمَ مَا بَيْنَكَ وَبَيْنَهُ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170903">
        <w:rPr>
          <w:rtl/>
        </w:rPr>
        <w:t>1982</w:t>
      </w:r>
      <w:r w:rsidRPr="00261CB0">
        <w:rPr>
          <w:rStyle w:val="libBold2Char"/>
          <w:rtl/>
        </w:rPr>
        <w:t xml:space="preserve"> / 9.</w:t>
      </w:r>
      <w:r w:rsidRPr="00C9040A">
        <w:rPr>
          <w:rtl/>
          <w:lang w:bidi="fa-IR"/>
        </w:rPr>
        <w:t xml:space="preserve"> عَنْهُ </w:t>
      </w:r>
      <w:r w:rsidR="006C577F" w:rsidRPr="006C577F">
        <w:rPr>
          <w:rStyle w:val="libFootnotenumChar"/>
          <w:rtl/>
        </w:rPr>
        <w:t>(4)</w:t>
      </w:r>
      <w:r w:rsidRPr="00C9040A">
        <w:rPr>
          <w:rtl/>
          <w:lang w:bidi="fa-IR"/>
        </w:rPr>
        <w:t xml:space="preserve"> ، عَنْ أَحْمَدَ بْنِ مُحَمَّدِ بْنِ أَبِي نَصْرٍ :</w:t>
      </w:r>
    </w:p>
    <w:p w:rsidR="008A74EB" w:rsidRPr="00C9040A" w:rsidRDefault="008A74EB" w:rsidP="00A16BE2">
      <w:pPr>
        <w:pStyle w:val="libNormal"/>
        <w:rPr>
          <w:rtl/>
          <w:lang w:bidi="fa-IR"/>
        </w:rPr>
      </w:pPr>
      <w:r w:rsidRPr="00C9040A">
        <w:rPr>
          <w:rtl/>
          <w:lang w:bidi="fa-IR"/>
        </w:rPr>
        <w:t xml:space="preserve">عَنْ أَبِي الْحَسَنِ الرِّضَا </w:t>
      </w:r>
      <w:r w:rsidRPr="0003660B">
        <w:rPr>
          <w:rStyle w:val="libAlaemChar"/>
          <w:rtl/>
        </w:rPr>
        <w:t>عليه‌السلام</w:t>
      </w:r>
      <w:r w:rsidRPr="00C9040A">
        <w:rPr>
          <w:rtl/>
          <w:lang w:bidi="fa-IR"/>
        </w:rPr>
        <w:t xml:space="preserve"> ، قَالَ : « قَالَ أَبُو عَبْدِ اللهِ </w:t>
      </w:r>
      <w:r w:rsidRPr="0003660B">
        <w:rPr>
          <w:rStyle w:val="libAlaemChar"/>
          <w:rtl/>
        </w:rPr>
        <w:t>عليه‌السلام</w:t>
      </w:r>
      <w:r w:rsidRPr="00C9040A">
        <w:rPr>
          <w:rtl/>
          <w:lang w:bidi="fa-IR"/>
        </w:rPr>
        <w:t xml:space="preserve"> : صِلْ رَحِمَكَ وَلَوْ بِشَرْبَةٍ مِنْ مَاءٍ </w:t>
      </w:r>
      <w:r w:rsidR="006C577F" w:rsidRPr="006C577F">
        <w:rPr>
          <w:rStyle w:val="libFootnotenumChar"/>
          <w:rtl/>
        </w:rPr>
        <w:t>(5)</w:t>
      </w:r>
      <w:r w:rsidRPr="00C9040A">
        <w:rPr>
          <w:rtl/>
          <w:lang w:bidi="fa-IR"/>
        </w:rPr>
        <w:t xml:space="preserve"> ، وَأَفْضَلُ مَا تُوصَلُ </w:t>
      </w:r>
      <w:r w:rsidR="006C577F" w:rsidRPr="006C577F">
        <w:rPr>
          <w:rStyle w:val="libFootnotenumChar"/>
          <w:rtl/>
        </w:rPr>
        <w:t>(6)</w:t>
      </w:r>
      <w:r w:rsidRPr="005B567D">
        <w:rPr>
          <w:rStyle w:val="libFootnotenumChar"/>
          <w:rtl/>
        </w:rPr>
        <w:t xml:space="preserve"> </w:t>
      </w:r>
      <w:r w:rsidRPr="00C9040A">
        <w:rPr>
          <w:rtl/>
          <w:lang w:bidi="fa-IR"/>
        </w:rPr>
        <w:t xml:space="preserve">بِهِ الرَّحِمُ كَفُّ الْأَذى عَنْهَا ، وَصِلَةُ الرَّحِمِ مَنْسَأَةٌ </w:t>
      </w:r>
      <w:r w:rsidR="006C577F" w:rsidRPr="006C577F">
        <w:rPr>
          <w:rStyle w:val="libFootnotenumChar"/>
          <w:rtl/>
        </w:rPr>
        <w:t>(7)</w:t>
      </w:r>
      <w:r w:rsidRPr="00C9040A">
        <w:rPr>
          <w:rtl/>
          <w:lang w:bidi="fa-IR"/>
        </w:rPr>
        <w:t xml:space="preserve"> فِي الْأَجَلِ </w:t>
      </w:r>
      <w:r w:rsidR="006C577F" w:rsidRPr="006C577F">
        <w:rPr>
          <w:rStyle w:val="libFootnotenumChar"/>
          <w:rtl/>
        </w:rPr>
        <w:t>(8)</w:t>
      </w:r>
      <w:r w:rsidRPr="00C9040A">
        <w:rPr>
          <w:rtl/>
          <w:lang w:bidi="fa-IR"/>
        </w:rPr>
        <w:t xml:space="preserve"> ، مَحْبَبَةٌ </w:t>
      </w:r>
      <w:r w:rsidR="006C577F" w:rsidRPr="006C577F">
        <w:rPr>
          <w:rStyle w:val="libFootnotenumChar"/>
          <w:rtl/>
        </w:rPr>
        <w:t>(9)</w:t>
      </w:r>
      <w:r w:rsidRPr="00C9040A">
        <w:rPr>
          <w:rtl/>
          <w:lang w:bidi="fa-IR"/>
        </w:rPr>
        <w:t xml:space="preserve"> فِي‌</w:t>
      </w:r>
      <w:r w:rsidR="00C35AB9">
        <w:rPr>
          <w:rFonts w:hint="cs"/>
          <w:rtl/>
          <w:lang w:bidi="fa-IR"/>
        </w:rPr>
        <w:t>.........</w:t>
      </w:r>
      <w:r w:rsidR="00A16BE2">
        <w:rPr>
          <w:rFonts w:hint="cs"/>
          <w:rtl/>
          <w:lang w:bidi="fa-IR"/>
        </w:rPr>
        <w:t>.............................................................</w:t>
      </w:r>
      <w:r w:rsidR="00C35AB9">
        <w:rPr>
          <w:rFonts w:hint="cs"/>
          <w:rtl/>
          <w:lang w:bidi="fa-IR"/>
        </w:rPr>
        <w:t>.</w:t>
      </w:r>
      <w:r w:rsidR="00A16BE2">
        <w:rPr>
          <w:rFonts w:hint="cs"/>
          <w:rtl/>
          <w:lang w:bidi="fa-IR"/>
        </w:rPr>
        <w:tab/>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ورد الخبر في </w:t>
      </w:r>
      <w:r w:rsidR="008A74EB" w:rsidRPr="00993B55">
        <w:rPr>
          <w:rStyle w:val="libFootnoteBoldChar"/>
          <w:rtl/>
        </w:rPr>
        <w:t>الزهد</w:t>
      </w:r>
      <w:r w:rsidR="008A74EB" w:rsidRPr="00C9040A">
        <w:rPr>
          <w:rtl/>
        </w:rPr>
        <w:t xml:space="preserve"> للحسين بن سعيد ، ص 102 ، ح 99 ، عن الحسن بن محبوب ، عن مالك بن عطيّة ، عن يونس بن عفّان. ولم نجد ذكراً ليونس بن عفّان في غير سند هذا الخبر ، وقد روى مالك بن عطيّة ، عن يونس بن عمّار في </w:t>
      </w:r>
      <w:r w:rsidR="008A74EB" w:rsidRPr="00993B55">
        <w:rPr>
          <w:rStyle w:val="libFootnoteBoldChar"/>
          <w:rtl/>
        </w:rPr>
        <w:t>الكافي</w:t>
      </w:r>
      <w:r w:rsidR="008A74EB" w:rsidRPr="00C9040A">
        <w:rPr>
          <w:rtl/>
        </w:rPr>
        <w:t xml:space="preserve"> ، ح 2381 </w:t>
      </w:r>
      <w:r w:rsidR="008A74EB">
        <w:rPr>
          <w:rtl/>
        </w:rPr>
        <w:t>و 3</w:t>
      </w:r>
      <w:r w:rsidR="008A74EB" w:rsidRPr="00C9040A">
        <w:rPr>
          <w:rtl/>
        </w:rPr>
        <w:t xml:space="preserve">252 </w:t>
      </w:r>
      <w:r w:rsidR="008A74EB">
        <w:rPr>
          <w:rtl/>
        </w:rPr>
        <w:t>و 3</w:t>
      </w:r>
      <w:r w:rsidR="008A74EB" w:rsidRPr="00C9040A">
        <w:rPr>
          <w:rtl/>
        </w:rPr>
        <w:t>484.</w:t>
      </w:r>
    </w:p>
    <w:p w:rsidR="008A74EB" w:rsidRPr="00C9040A" w:rsidRDefault="008A74EB" w:rsidP="008A74EB">
      <w:pPr>
        <w:pStyle w:val="libNormal"/>
        <w:rPr>
          <w:rtl/>
          <w:lang w:bidi="fa-IR"/>
        </w:rPr>
      </w:pPr>
      <w:r w:rsidRPr="00323A39">
        <w:rPr>
          <w:rStyle w:val="libFootnote0Char"/>
          <w:rtl/>
        </w:rPr>
        <w:t xml:space="preserve">والظاهر أنّ ما ورد في </w:t>
      </w:r>
      <w:r w:rsidRPr="00993B55">
        <w:rPr>
          <w:rStyle w:val="libFootnoteBoldChar"/>
          <w:rtl/>
        </w:rPr>
        <w:t>الزهد</w:t>
      </w:r>
      <w:r w:rsidRPr="00323A39">
        <w:rPr>
          <w:rStyle w:val="libFootnote0Char"/>
          <w:rtl/>
        </w:rPr>
        <w:t xml:space="preserve"> محرّف ، والمراد من يونس هو يونس بن عمّار الصيرفي المذكور في أصحاب أبي عبدالله </w:t>
      </w:r>
      <w:r w:rsidRPr="0003660B">
        <w:rPr>
          <w:rStyle w:val="libAlaemChar"/>
          <w:rtl/>
        </w:rPr>
        <w:t>عليه‌السلام</w:t>
      </w:r>
      <w:r w:rsidRPr="00323A39">
        <w:rPr>
          <w:rStyle w:val="libFootnote0Char"/>
          <w:rtl/>
        </w:rPr>
        <w:t xml:space="preserve">. راجع : </w:t>
      </w:r>
      <w:r w:rsidRPr="00993B55">
        <w:rPr>
          <w:rStyle w:val="libFootnoteBoldChar"/>
          <w:rtl/>
        </w:rPr>
        <w:t>رجال البرقي</w:t>
      </w:r>
      <w:r w:rsidRPr="00323A39">
        <w:rPr>
          <w:rStyle w:val="libFootnote0Char"/>
          <w:rtl/>
        </w:rPr>
        <w:t xml:space="preserve"> ، ص 29 ؛ </w:t>
      </w:r>
      <w:r w:rsidRPr="00993B55">
        <w:rPr>
          <w:rStyle w:val="libFootnoteBoldChar"/>
          <w:rtl/>
        </w:rPr>
        <w:t>رجال الطوسي</w:t>
      </w:r>
      <w:r w:rsidRPr="00323A39">
        <w:rPr>
          <w:rStyle w:val="libFootnote0Char"/>
          <w:rtl/>
        </w:rPr>
        <w:t xml:space="preserve"> ، ص 324 ، الرقم 4851.</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ب ، ض ، ف ، بر ، بف » : « يقول »</w:t>
      </w:r>
      <w:r w:rsidR="008A74EB">
        <w:rPr>
          <w:rtl/>
        </w:rPr>
        <w:t>.</w:t>
      </w:r>
    </w:p>
    <w:p w:rsidR="008A74EB" w:rsidRPr="00C9040A" w:rsidRDefault="006C577F" w:rsidP="00A16BE2">
      <w:pPr>
        <w:pStyle w:val="libFootnote0"/>
        <w:rPr>
          <w:rtl/>
          <w:lang w:bidi="fa-IR"/>
        </w:rPr>
      </w:pPr>
      <w:r>
        <w:rPr>
          <w:rtl/>
        </w:rPr>
        <w:t>(3).</w:t>
      </w:r>
      <w:r w:rsidR="008A74EB" w:rsidRPr="00C9040A">
        <w:rPr>
          <w:rtl/>
        </w:rPr>
        <w:t xml:space="preserve"> </w:t>
      </w:r>
      <w:r w:rsidR="008A74EB" w:rsidRPr="00993B55">
        <w:rPr>
          <w:rStyle w:val="libFootnoteBoldChar"/>
          <w:rtl/>
        </w:rPr>
        <w:t>الزهد</w:t>
      </w:r>
      <w:r w:rsidR="008A74EB" w:rsidRPr="00C9040A">
        <w:rPr>
          <w:rtl/>
        </w:rPr>
        <w:t xml:space="preserve"> ، ص 102 ، ح 99 ، عن الحسن بن محبوب ، عن مالك بن عطيّة ، عن يونس بن عفّان ، عن أبي عبد الله </w:t>
      </w:r>
      <w:r w:rsidR="00117575" w:rsidRPr="00117575">
        <w:rPr>
          <w:rStyle w:val="libFootnoteAlaemChar"/>
          <w:rtl/>
        </w:rPr>
        <w:t xml:space="preserve">عليه‌السلام </w:t>
      </w:r>
      <w:r w:rsidR="00A16BE2" w:rsidRPr="00A16BE2">
        <w:rPr>
          <w:rFonts w:hint="cs"/>
          <w:rtl/>
        </w:rPr>
        <w:t>.</w:t>
      </w:r>
      <w:r w:rsidR="008A74EB" w:rsidRPr="00993B55">
        <w:rPr>
          <w:rStyle w:val="libFootnoteBoldChar"/>
          <w:rtl/>
        </w:rPr>
        <w:t>الوافي</w:t>
      </w:r>
      <w:r w:rsidR="008A74EB" w:rsidRPr="00C9040A">
        <w:rPr>
          <w:rtl/>
        </w:rPr>
        <w:t xml:space="preserve"> ، ج 5 ، ص 504 ، ح 2438 ؛ </w:t>
      </w:r>
      <w:r w:rsidR="008A74EB" w:rsidRPr="00993B55">
        <w:rPr>
          <w:rStyle w:val="libFootnoteBoldChar"/>
          <w:rtl/>
        </w:rPr>
        <w:t>الوسائل</w:t>
      </w:r>
      <w:r w:rsidR="008A74EB" w:rsidRPr="00C9040A">
        <w:rPr>
          <w:rtl/>
        </w:rPr>
        <w:t xml:space="preserve"> ، ج 21 ، ص 534 ، ح 27789 ؛ </w:t>
      </w:r>
      <w:r w:rsidR="008A74EB" w:rsidRPr="00993B55">
        <w:rPr>
          <w:rStyle w:val="libFootnoteBoldChar"/>
          <w:rtl/>
        </w:rPr>
        <w:t>البحار</w:t>
      </w:r>
      <w:r w:rsidR="008A74EB" w:rsidRPr="00C9040A">
        <w:rPr>
          <w:rtl/>
        </w:rPr>
        <w:t xml:space="preserve"> ، ج 74 ، ص 117 ، ح 77.</w:t>
      </w:r>
    </w:p>
    <w:p w:rsidR="008A74EB" w:rsidRPr="00C9040A" w:rsidRDefault="006C577F" w:rsidP="004A4E41">
      <w:pPr>
        <w:pStyle w:val="libFootnote0"/>
        <w:rPr>
          <w:rtl/>
          <w:lang w:bidi="fa-IR"/>
        </w:rPr>
      </w:pPr>
      <w:r>
        <w:rPr>
          <w:rtl/>
        </w:rPr>
        <w:t>(4).</w:t>
      </w:r>
      <w:r w:rsidR="008A74EB" w:rsidRPr="00C9040A">
        <w:rPr>
          <w:rtl/>
        </w:rPr>
        <w:t xml:space="preserve"> الضمير راجع إلى أحمد بن محمّد المذكور في السند السابق.</w:t>
      </w:r>
    </w:p>
    <w:p w:rsidR="008A74EB" w:rsidRPr="00C9040A" w:rsidRDefault="006C577F" w:rsidP="004A4E41">
      <w:pPr>
        <w:pStyle w:val="libFootnote0"/>
        <w:rPr>
          <w:rtl/>
          <w:lang w:bidi="fa-IR"/>
        </w:rPr>
      </w:pPr>
      <w:r>
        <w:rPr>
          <w:rtl/>
        </w:rPr>
        <w:t>(5).</w:t>
      </w:r>
      <w:r w:rsidR="008A74EB" w:rsidRPr="00C9040A">
        <w:rPr>
          <w:rtl/>
        </w:rPr>
        <w:t xml:space="preserve"> في « ز » : « من الماء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ب ، د ، ز ، ف ، بر ، بس ، بف » والوافي : « ما يوصل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 منسأة » : مفعلة من النَّسْ‌ء ، والنس‌ء : التأخير. راجع : </w:t>
      </w:r>
      <w:r w:rsidR="008A74EB" w:rsidRPr="00993B55">
        <w:rPr>
          <w:rStyle w:val="libFootnoteBoldChar"/>
          <w:rtl/>
        </w:rPr>
        <w:t>النهاية</w:t>
      </w:r>
      <w:r w:rsidR="008A74EB" w:rsidRPr="00C9040A">
        <w:rPr>
          <w:rtl/>
        </w:rPr>
        <w:t xml:space="preserve"> ، ج 5 ، ص 44 ( نسأ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قرب الإسناد : + « مثراة في المال </w:t>
      </w:r>
      <w:r w:rsidR="008A74EB">
        <w:rPr>
          <w:rtl/>
        </w:rPr>
        <w:t>و ».</w:t>
      </w:r>
    </w:p>
    <w:p w:rsidR="008A74EB" w:rsidRPr="00C9040A" w:rsidRDefault="006C577F" w:rsidP="004A4E41">
      <w:pPr>
        <w:pStyle w:val="libFootnote0"/>
        <w:rPr>
          <w:rtl/>
          <w:lang w:bidi="fa-IR"/>
        </w:rPr>
      </w:pPr>
      <w:r>
        <w:rPr>
          <w:rtl/>
        </w:rPr>
        <w:t>(9).</w:t>
      </w:r>
      <w:r w:rsidR="008A74EB" w:rsidRPr="00C9040A">
        <w:rPr>
          <w:rtl/>
        </w:rPr>
        <w:t xml:space="preserve"> في « ب ، ج ، د ، ز ، ص ، ض ، ف ، بر ، بس ، بف » والوافي والوسائل وقرب الإسناد : « محبّة »</w:t>
      </w:r>
      <w:r w:rsidR="008A74EB">
        <w:rPr>
          <w:rtl/>
        </w:rPr>
        <w:t>.</w:t>
      </w:r>
      <w:r w:rsidR="008A74EB" w:rsidRPr="00C9040A">
        <w:rPr>
          <w:rtl/>
        </w:rPr>
        <w:t xml:space="preserve"> وفي شرح المازندراني : « ومحببة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 محبّة ، في بعض النسخ على </w:t>
      </w:r>
      <w:r w:rsidR="00A16BE2">
        <w:rPr>
          <w:rtl/>
        </w:rPr>
        <w:t>صيغة اسم الفاعل من باب التفعيل.</w:t>
      </w:r>
      <w:r w:rsidR="00A16BE2">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الْأَهْلِ »</w:t>
      </w:r>
      <w:r>
        <w:rPr>
          <w:rtl/>
          <w:lang w:bidi="fa-IR"/>
        </w:rPr>
        <w:t>.</w:t>
      </w:r>
      <w:r w:rsidRPr="00C9040A">
        <w:rPr>
          <w:rtl/>
          <w:lang w:bidi="fa-IR"/>
        </w:rPr>
        <w:t xml:space="preserve"> </w:t>
      </w:r>
      <w:r w:rsidR="006C577F" w:rsidRPr="006C577F">
        <w:rPr>
          <w:rStyle w:val="libFootnotenumChar"/>
          <w:rtl/>
        </w:rPr>
        <w:t>(1)</w:t>
      </w:r>
      <w:r w:rsidRPr="00C9040A">
        <w:rPr>
          <w:rtl/>
          <w:lang w:bidi="fa-IR"/>
        </w:rPr>
        <w:t xml:space="preserve"> ‌</w:t>
      </w:r>
    </w:p>
    <w:p w:rsidR="008A74EB" w:rsidRPr="00C9040A" w:rsidRDefault="008A74EB" w:rsidP="008A74EB">
      <w:pPr>
        <w:pStyle w:val="libNormal"/>
        <w:rPr>
          <w:rtl/>
          <w:lang w:bidi="fa-IR"/>
        </w:rPr>
      </w:pPr>
      <w:r w:rsidRPr="00170903">
        <w:rPr>
          <w:rtl/>
        </w:rPr>
        <w:t>1983</w:t>
      </w:r>
      <w:r w:rsidRPr="00261CB0">
        <w:rPr>
          <w:rStyle w:val="libBold2Char"/>
          <w:rtl/>
        </w:rPr>
        <w:t xml:space="preserve"> / 10.</w:t>
      </w:r>
      <w:r w:rsidRPr="00C9040A">
        <w:rPr>
          <w:rtl/>
          <w:lang w:bidi="fa-IR"/>
        </w:rPr>
        <w:t xml:space="preserve"> عَلِيُّ بْنُ إِبْرَاهِيمَ ، عَنْ أَبِيهِ ، عَنْ حَمَّادِ بْنِ عِيسى ، عَنْ حَرِيزِ بْنِ عَبْدِ اللهِ ، عَنِ الْفُضَيْلِ </w:t>
      </w:r>
      <w:r w:rsidR="006C577F" w:rsidRPr="006C577F">
        <w:rPr>
          <w:rStyle w:val="libFootnotenumChar"/>
          <w:rtl/>
        </w:rPr>
        <w:t>(2)</w:t>
      </w:r>
      <w:r w:rsidRPr="00C9040A">
        <w:rPr>
          <w:rtl/>
          <w:lang w:bidi="fa-IR"/>
        </w:rPr>
        <w:t xml:space="preserve"> بْنِ يَسَارٍ ، قَالَ :</w:t>
      </w:r>
    </w:p>
    <w:p w:rsidR="008A74EB" w:rsidRPr="00C9040A" w:rsidRDefault="008A74EB" w:rsidP="008A74EB">
      <w:pPr>
        <w:pStyle w:val="libNormal"/>
        <w:rPr>
          <w:rtl/>
          <w:lang w:bidi="fa-IR"/>
        </w:rPr>
      </w:pPr>
      <w:r w:rsidRPr="00C9040A">
        <w:rPr>
          <w:rtl/>
          <w:lang w:bidi="fa-IR"/>
        </w:rPr>
        <w:t xml:space="preserve">قَالَ أَبُو جَعْفَرٍ </w:t>
      </w:r>
      <w:r w:rsidRPr="0003660B">
        <w:rPr>
          <w:rStyle w:val="libAlaemChar"/>
          <w:rtl/>
        </w:rPr>
        <w:t>عليه‌السلام</w:t>
      </w:r>
      <w:r w:rsidRPr="00C9040A">
        <w:rPr>
          <w:rtl/>
          <w:lang w:bidi="fa-IR"/>
        </w:rPr>
        <w:t xml:space="preserve"> : « إِنَّ الرَّحِمَ مُعَلَّقَةٌ </w:t>
      </w:r>
      <w:r w:rsidR="006C577F" w:rsidRPr="006C577F">
        <w:rPr>
          <w:rStyle w:val="libFootnotenumChar"/>
          <w:rtl/>
        </w:rPr>
        <w:t>(3)</w:t>
      </w:r>
      <w:r w:rsidRPr="00C9040A">
        <w:rPr>
          <w:rtl/>
          <w:lang w:bidi="fa-IR"/>
        </w:rPr>
        <w:t xml:space="preserve"> يَوْمَ الْقِيَامَةِ بِالْعَرْشِ تَقُولُ </w:t>
      </w:r>
      <w:r w:rsidR="006C577F" w:rsidRPr="006C577F">
        <w:rPr>
          <w:rStyle w:val="libFootnotenumChar"/>
          <w:rtl/>
        </w:rPr>
        <w:t>(4)</w:t>
      </w:r>
      <w:r w:rsidRPr="00C9040A">
        <w:rPr>
          <w:rtl/>
          <w:lang w:bidi="fa-IR"/>
        </w:rPr>
        <w:t xml:space="preserve"> : الل</w:t>
      </w:r>
      <w:r w:rsidR="0040072C">
        <w:rPr>
          <w:rFonts w:hint="cs"/>
          <w:rtl/>
          <w:lang w:bidi="fa-IR"/>
        </w:rPr>
        <w:t>ّ</w:t>
      </w:r>
      <w:r w:rsidRPr="00C9040A">
        <w:rPr>
          <w:rtl/>
          <w:lang w:bidi="fa-IR"/>
        </w:rPr>
        <w:t>هُمَّ صِلْ مَنْ وَصَلَنِي ، وَاقْطَعْ مَنْ قَطَعَنِي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170903">
        <w:rPr>
          <w:rtl/>
        </w:rPr>
        <w:t>1984</w:t>
      </w:r>
      <w:r w:rsidRPr="00261CB0">
        <w:rPr>
          <w:rStyle w:val="libBold2Char"/>
          <w:rtl/>
        </w:rPr>
        <w:t xml:space="preserve"> / 11.</w:t>
      </w:r>
      <w:r w:rsidRPr="00C9040A">
        <w:rPr>
          <w:rtl/>
          <w:lang w:bidi="fa-IR"/>
        </w:rPr>
        <w:t xml:space="preserve"> مُحَمَّدُ بْنُ يَحْيى ، عَنْ أَحْمَدَ بْنِ مُحَمَّدِ بْنِ عِيسى ، عَنْ مُحَمَّدِ بْنِ إِسْمَاعِيلَ بْنِ بَزِيعٍ ، عَنْ حَنَانِ بْنِ سَدِيرٍ ، عَنْ أَبِيهِ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قَالَ أَبُو ذَرٍّ رَضِيَ اللهُ عَنْهُ </w:t>
      </w:r>
      <w:r w:rsidR="006C577F" w:rsidRPr="006C577F">
        <w:rPr>
          <w:rStyle w:val="libFootnotenumChar"/>
          <w:rtl/>
        </w:rPr>
        <w:t>(6)</w:t>
      </w:r>
      <w:r w:rsidRPr="005B567D">
        <w:rPr>
          <w:rStyle w:val="libFootnotenumChar"/>
          <w:rtl/>
        </w:rPr>
        <w:t xml:space="preserve"> </w:t>
      </w:r>
      <w:r w:rsidRPr="00C9040A">
        <w:rPr>
          <w:rtl/>
          <w:lang w:bidi="fa-IR"/>
        </w:rPr>
        <w:t xml:space="preserve">: سَمِعْتُ رَسُولَ اللهِ </w:t>
      </w:r>
      <w:r w:rsidR="004A4E41" w:rsidRPr="004A4E41">
        <w:rPr>
          <w:rStyle w:val="libAlaemChar"/>
          <w:rtl/>
        </w:rPr>
        <w:t>صلى‌الله‌عليه‌وآله</w:t>
      </w:r>
      <w:r w:rsidRPr="00C9040A">
        <w:rPr>
          <w:rtl/>
          <w:lang w:bidi="fa-IR"/>
        </w:rPr>
        <w:t xml:space="preserve"> يَقُولُ :</w:t>
      </w:r>
      <w:r>
        <w:rPr>
          <w:rFonts w:hint="cs"/>
          <w:rtl/>
          <w:lang w:bidi="fa-IR"/>
        </w:rPr>
        <w:t xml:space="preserve"> </w:t>
      </w:r>
      <w:r w:rsidRPr="00C9040A">
        <w:rPr>
          <w:rtl/>
          <w:lang w:bidi="fa-IR"/>
        </w:rPr>
        <w:t xml:space="preserve">حَافَتَا </w:t>
      </w:r>
      <w:r w:rsidR="006C577F" w:rsidRPr="006C577F">
        <w:rPr>
          <w:rStyle w:val="libFootnotenumChar"/>
          <w:rtl/>
        </w:rPr>
        <w:t>(7)</w:t>
      </w:r>
      <w:r w:rsidRPr="00C9040A">
        <w:rPr>
          <w:rtl/>
          <w:lang w:bidi="fa-IR"/>
        </w:rPr>
        <w:t xml:space="preserve"> الصِّرَاطِ يَوْمَ الْقِيَامَةِ الرَّحِمُ وَالْأَمَانَةُ ، فَإِذَا مَرَّ الْوَصُولُ لِلرَّحِمِ الْمُؤَدِّي لِلْأَمَانَةِ ، نَفَذَ إِلَى الْجَنَّةِ ، وَإِذَا مَرَّ الْخَائِنُ لِلْأَمَانَةِ الْقَطُوعُ لِلرَّحِمِ ، لَمْ يَنْفَعْهُ مَعَهُمَا </w:t>
      </w:r>
      <w:r w:rsidR="006C577F" w:rsidRPr="006C577F">
        <w:rPr>
          <w:rStyle w:val="libFootnotenumChar"/>
          <w:rtl/>
        </w:rPr>
        <w:t>(8)</w:t>
      </w:r>
      <w:r w:rsidRPr="00C9040A">
        <w:rPr>
          <w:rtl/>
          <w:lang w:bidi="fa-IR"/>
        </w:rPr>
        <w:t xml:space="preserve"> عَمَلٌ ،</w:t>
      </w:r>
    </w:p>
    <w:p w:rsidR="008A74EB" w:rsidRPr="00C9040A" w:rsidRDefault="008A74EB" w:rsidP="008A74EB">
      <w:pPr>
        <w:pStyle w:val="libLine"/>
        <w:rPr>
          <w:rtl/>
          <w:lang w:bidi="fa-IR"/>
        </w:rPr>
      </w:pPr>
      <w:r w:rsidRPr="00C9040A">
        <w:rPr>
          <w:rtl/>
          <w:lang w:bidi="fa-IR"/>
        </w:rPr>
        <w:t>__________________</w:t>
      </w:r>
    </w:p>
    <w:p w:rsidR="008A74EB" w:rsidRPr="00C9040A" w:rsidRDefault="001626A3" w:rsidP="004A4E41">
      <w:pPr>
        <w:pStyle w:val="libFootnote0"/>
        <w:rPr>
          <w:rtl/>
          <w:lang w:bidi="fa-IR"/>
        </w:rPr>
      </w:pPr>
      <w:r>
        <w:rPr>
          <w:rFonts w:hint="cs"/>
          <w:rtl/>
        </w:rPr>
        <w:t xml:space="preserve">= </w:t>
      </w:r>
      <w:r w:rsidR="008A74EB" w:rsidRPr="00C9040A">
        <w:rPr>
          <w:rtl/>
        </w:rPr>
        <w:t>وفي بعضها بفتح الميم على بناء المجرّد. إمّا على المصدر على المبالغة ، أي سبب لمحبّة الأهل. أو اسم المكان ، أي مظنّة كثرة المحبّة ؛ لأنّ الإنسان عبيد الإحسان »</w:t>
      </w:r>
      <w:r w:rsidR="008A74EB">
        <w:rPr>
          <w:rtl/>
        </w:rPr>
        <w:t>.</w:t>
      </w:r>
    </w:p>
    <w:p w:rsidR="008A74EB" w:rsidRPr="00C9040A" w:rsidRDefault="006C577F" w:rsidP="00CC4974">
      <w:pPr>
        <w:pStyle w:val="libFootnote0"/>
        <w:rPr>
          <w:rtl/>
          <w:lang w:bidi="fa-IR"/>
        </w:rPr>
      </w:pPr>
      <w:r>
        <w:rPr>
          <w:rtl/>
        </w:rPr>
        <w:t>(1).</w:t>
      </w:r>
      <w:r w:rsidR="008A74EB">
        <w:rPr>
          <w:rtl/>
        </w:rPr>
        <w:t xml:space="preserve"> </w:t>
      </w:r>
      <w:r w:rsidR="008A74EB" w:rsidRPr="00993B55">
        <w:rPr>
          <w:rStyle w:val="libFootnoteBoldChar"/>
          <w:rtl/>
        </w:rPr>
        <w:t>قرب الإسناد</w:t>
      </w:r>
      <w:r w:rsidR="008A74EB" w:rsidRPr="00C9040A">
        <w:rPr>
          <w:rtl/>
        </w:rPr>
        <w:t xml:space="preserve"> ، ص 355 ، ح 1272 ، عن أحمد بن محمّد ، عن أحمد بن محمّد بن أبي نصر ، عن الرضا ، عن أبي عبدالله </w:t>
      </w:r>
      <w:r w:rsidR="00117575" w:rsidRPr="00117575">
        <w:rPr>
          <w:rStyle w:val="libFootnoteAlaemChar"/>
          <w:rtl/>
        </w:rPr>
        <w:t>عليهما‌السلام</w:t>
      </w:r>
      <w:r w:rsidR="008A74EB" w:rsidRPr="00C9040A">
        <w:rPr>
          <w:rtl/>
        </w:rPr>
        <w:t xml:space="preserve"> ، مع اختلاف يسير. وفي </w:t>
      </w:r>
      <w:r w:rsidR="008A74EB" w:rsidRPr="00993B55">
        <w:rPr>
          <w:rStyle w:val="libFootnoteBoldChar"/>
          <w:rtl/>
        </w:rPr>
        <w:t>الكافي</w:t>
      </w:r>
      <w:r w:rsidR="008A74EB" w:rsidRPr="00C9040A">
        <w:rPr>
          <w:rtl/>
        </w:rPr>
        <w:t xml:space="preserve"> ، كتاب الإيمان والكفر ، باب إجلال الكبير ، ح 2041 ، بسند آخر عن أبي عبدالله </w:t>
      </w:r>
      <w:r w:rsidR="00117575" w:rsidRPr="00117575">
        <w:rPr>
          <w:rStyle w:val="libFootnoteAlaemChar"/>
          <w:rtl/>
        </w:rPr>
        <w:t>عليه‌السلام</w:t>
      </w:r>
      <w:r w:rsidR="008A74EB" w:rsidRPr="00C9040A">
        <w:rPr>
          <w:rtl/>
        </w:rPr>
        <w:t xml:space="preserve"> ، وتمام الرواية : « عظّموا كباركم وصلوا أرحامكم ، وليس تصلونهم بشي‌ء أفضل من كفّ الأذى عنهم »</w:t>
      </w:r>
      <w:r w:rsidR="008A74EB">
        <w:rPr>
          <w:rtl/>
        </w:rPr>
        <w:t>.</w:t>
      </w:r>
      <w:r w:rsidR="008A74EB" w:rsidRPr="00C9040A">
        <w:rPr>
          <w:rtl/>
        </w:rPr>
        <w:t xml:space="preserve"> </w:t>
      </w:r>
      <w:r w:rsidR="008A74EB" w:rsidRPr="00993B55">
        <w:rPr>
          <w:rStyle w:val="libFootnoteBoldChar"/>
          <w:rtl/>
        </w:rPr>
        <w:t>تحف العقول</w:t>
      </w:r>
      <w:r w:rsidR="008A74EB" w:rsidRPr="00C9040A">
        <w:rPr>
          <w:rtl/>
        </w:rPr>
        <w:t xml:space="preserve"> ، ص 445 ، عن الرضا </w:t>
      </w:r>
      <w:r w:rsidR="00117575" w:rsidRPr="00117575">
        <w:rPr>
          <w:rStyle w:val="libFootnoteAlaemChar"/>
          <w:rtl/>
        </w:rPr>
        <w:t>عليه‌السلام</w:t>
      </w:r>
      <w:r w:rsidR="008A74EB" w:rsidRPr="00C9040A">
        <w:rPr>
          <w:rtl/>
        </w:rPr>
        <w:t xml:space="preserve"> ، من دون الإسناد إلى أبي عبد الله </w:t>
      </w:r>
      <w:r w:rsidR="00117575" w:rsidRPr="00117575">
        <w:rPr>
          <w:rStyle w:val="libFootnoteAlaemChar"/>
          <w:rtl/>
        </w:rPr>
        <w:t xml:space="preserve">عليه‌السلام </w:t>
      </w:r>
      <w:r w:rsidR="008A74EB" w:rsidRPr="00C9040A">
        <w:rPr>
          <w:rtl/>
        </w:rPr>
        <w:t xml:space="preserve">، إلى قوله : « كفّ الأذى عنها » ، مع زيادة الآية : </w:t>
      </w:r>
      <w:r w:rsidR="008A74EB" w:rsidRPr="00DE2616">
        <w:rPr>
          <w:rStyle w:val="libFootnoteAlaemChar"/>
          <w:rtl/>
        </w:rPr>
        <w:t>(</w:t>
      </w:r>
      <w:r w:rsidR="008A74EB" w:rsidRPr="00883DD5">
        <w:rPr>
          <w:rStyle w:val="libFootnoteAieChar"/>
          <w:rFonts w:hint="cs"/>
          <w:rtl/>
        </w:rPr>
        <w:t xml:space="preserve"> </w:t>
      </w:r>
      <w:r w:rsidR="008A74EB" w:rsidRPr="00883DD5">
        <w:rPr>
          <w:rStyle w:val="libFootnoteAieChar"/>
          <w:rtl/>
        </w:rPr>
        <w:t>ل</w:t>
      </w:r>
      <w:r w:rsidR="001626A3">
        <w:rPr>
          <w:rStyle w:val="libFootnoteAieChar"/>
          <w:rFonts w:hint="cs"/>
          <w:rtl/>
        </w:rPr>
        <w:t>َ</w:t>
      </w:r>
      <w:r w:rsidR="008A74EB" w:rsidRPr="00883DD5">
        <w:rPr>
          <w:rStyle w:val="libFootnoteAieChar"/>
          <w:rtl/>
        </w:rPr>
        <w:t>ا تُبْطِلُوا صَدَق</w:t>
      </w:r>
      <w:r w:rsidR="001626A3">
        <w:rPr>
          <w:rStyle w:val="libFootnoteAieChar"/>
          <w:rFonts w:hint="cs"/>
          <w:rtl/>
        </w:rPr>
        <w:t>َ</w:t>
      </w:r>
      <w:r w:rsidR="008A74EB" w:rsidRPr="00883DD5">
        <w:rPr>
          <w:rStyle w:val="libFootnoteAieChar"/>
          <w:rtl/>
        </w:rPr>
        <w:t>اتِكُمْ بِالْمَنِّ وَالْأَذ</w:t>
      </w:r>
      <w:r w:rsidR="001626A3">
        <w:rPr>
          <w:rStyle w:val="libFootnoteAieChar"/>
          <w:rFonts w:hint="cs"/>
          <w:rtl/>
        </w:rPr>
        <w:t>َ</w:t>
      </w:r>
      <w:r w:rsidR="008A74EB" w:rsidRPr="00883DD5">
        <w:rPr>
          <w:rStyle w:val="libFootnoteAieChar"/>
          <w:rtl/>
        </w:rPr>
        <w:t>ى</w:t>
      </w:r>
      <w:r w:rsidR="008A74EB" w:rsidRPr="00883DD5">
        <w:rPr>
          <w:rStyle w:val="libFootnoteAieChar"/>
          <w:rFonts w:hint="cs"/>
          <w:rtl/>
        </w:rPr>
        <w:t xml:space="preserve"> </w:t>
      </w:r>
      <w:r w:rsidR="008A74EB" w:rsidRPr="00DE2616">
        <w:rPr>
          <w:rStyle w:val="libFootnoteAlaemChar"/>
          <w:rtl/>
        </w:rPr>
        <w:t>)</w:t>
      </w:r>
      <w:r w:rsidR="008A74EB" w:rsidRPr="00C9040A">
        <w:rPr>
          <w:rtl/>
        </w:rPr>
        <w:t xml:space="preserve"> [ البقرة </w:t>
      </w:r>
      <w:r>
        <w:rPr>
          <w:rtl/>
        </w:rPr>
        <w:t>(2).</w:t>
      </w:r>
      <w:r w:rsidR="008A74EB" w:rsidRPr="00C9040A">
        <w:rPr>
          <w:rtl/>
        </w:rPr>
        <w:t xml:space="preserve"> : 264 ]</w:t>
      </w:r>
      <w:r w:rsidR="00CC4974">
        <w:rPr>
          <w:rFonts w:hint="cs"/>
          <w:rtl/>
        </w:rPr>
        <w:t>.</w:t>
      </w:r>
      <w:r w:rsidR="008A74EB" w:rsidRPr="00993B55">
        <w:rPr>
          <w:rStyle w:val="libFootnoteBoldChar"/>
          <w:rtl/>
        </w:rPr>
        <w:t>الوافي</w:t>
      </w:r>
      <w:r w:rsidR="008A74EB" w:rsidRPr="00C9040A">
        <w:rPr>
          <w:rtl/>
        </w:rPr>
        <w:t xml:space="preserve"> ، ج 5 ، ص 506 ، ح 2445 ؛ </w:t>
      </w:r>
      <w:r w:rsidR="008A74EB" w:rsidRPr="00993B55">
        <w:rPr>
          <w:rStyle w:val="libFootnoteBoldChar"/>
          <w:rtl/>
        </w:rPr>
        <w:t>الوسائل</w:t>
      </w:r>
      <w:r w:rsidR="008A74EB" w:rsidRPr="00C9040A">
        <w:rPr>
          <w:rtl/>
        </w:rPr>
        <w:t xml:space="preserve"> ، ج 21 ، ص 539 ، ح 27802 ؛ </w:t>
      </w:r>
      <w:r w:rsidR="008A74EB" w:rsidRPr="00993B55">
        <w:rPr>
          <w:rStyle w:val="libFootnoteBoldChar"/>
          <w:rtl/>
        </w:rPr>
        <w:t>البحار</w:t>
      </w:r>
      <w:r w:rsidR="008A74EB" w:rsidRPr="00C9040A">
        <w:rPr>
          <w:rtl/>
        </w:rPr>
        <w:t xml:space="preserve"> ، ج 74 ، ص 117 ، ح 78.</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هكذا في النسخ والوسائل والطبعة القديمة. وفي المطبوع : « فضيل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ب ، د ، ز ، ص ، ض ، بر ، بس ، بف » والوسائل : « متعلّقة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ب ، ض ، بر » والبحار : « يقول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الوافي</w:t>
      </w:r>
      <w:r w:rsidR="008A74EB" w:rsidRPr="00C9040A">
        <w:rPr>
          <w:rtl/>
        </w:rPr>
        <w:t xml:space="preserve"> ، ج 5 ، ص 504 ، ح 2439 ؛ </w:t>
      </w:r>
      <w:r w:rsidR="008A74EB" w:rsidRPr="00993B55">
        <w:rPr>
          <w:rStyle w:val="libFootnoteBoldChar"/>
          <w:rtl/>
        </w:rPr>
        <w:t>الوسائل</w:t>
      </w:r>
      <w:r w:rsidR="008A74EB" w:rsidRPr="00C9040A">
        <w:rPr>
          <w:rtl/>
        </w:rPr>
        <w:t xml:space="preserve"> ، ج 21 ، ص 534 ، ح 27791 ؛ </w:t>
      </w:r>
      <w:r w:rsidR="008A74EB" w:rsidRPr="00993B55">
        <w:rPr>
          <w:rStyle w:val="libFootnoteBoldChar"/>
          <w:rtl/>
        </w:rPr>
        <w:t>البحار</w:t>
      </w:r>
      <w:r w:rsidR="008A74EB" w:rsidRPr="00C9040A">
        <w:rPr>
          <w:rtl/>
        </w:rPr>
        <w:t xml:space="preserve"> ، ج 74 ، ص 117 ، ح 79.</w:t>
      </w:r>
    </w:p>
    <w:p w:rsidR="008A74EB" w:rsidRPr="00C9040A" w:rsidRDefault="006C577F" w:rsidP="003F2863">
      <w:pPr>
        <w:pStyle w:val="libFootnote0"/>
        <w:rPr>
          <w:rtl/>
          <w:lang w:bidi="fa-IR"/>
        </w:rPr>
      </w:pPr>
      <w:r>
        <w:rPr>
          <w:rtl/>
        </w:rPr>
        <w:t>(6).</w:t>
      </w:r>
      <w:r w:rsidR="008A74EB">
        <w:rPr>
          <w:rtl/>
        </w:rPr>
        <w:t xml:space="preserve"> </w:t>
      </w:r>
      <w:r w:rsidR="008A74EB" w:rsidRPr="00C9040A">
        <w:rPr>
          <w:rtl/>
        </w:rPr>
        <w:t xml:space="preserve">في « ض » : « </w:t>
      </w:r>
      <w:r w:rsidR="003F2863">
        <w:rPr>
          <w:rFonts w:hint="cs"/>
          <w:rtl/>
        </w:rPr>
        <w:t>رحمه الله</w:t>
      </w:r>
      <w:r w:rsidR="008A74EB" w:rsidRPr="00C9040A">
        <w:rPr>
          <w:rtl/>
        </w:rPr>
        <w:t>»</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أي جانباه. والحافة : ناحية الموضع وجانبه. </w:t>
      </w:r>
      <w:r w:rsidR="008A74EB" w:rsidRPr="00993B55">
        <w:rPr>
          <w:rStyle w:val="libFootnoteBoldChar"/>
          <w:rtl/>
        </w:rPr>
        <w:t>النهاية</w:t>
      </w:r>
      <w:r w:rsidR="008A74EB" w:rsidRPr="00C9040A">
        <w:rPr>
          <w:rtl/>
        </w:rPr>
        <w:t xml:space="preserve"> ، ج 1 ، ص 462 ( حوف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 بف » والوافي : « لم ينفعهما معه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وَتَكَفَّأَ </w:t>
      </w:r>
      <w:r w:rsidR="006C577F" w:rsidRPr="006C577F">
        <w:rPr>
          <w:rStyle w:val="libFootnotenumChar"/>
          <w:rtl/>
        </w:rPr>
        <w:t>(1)</w:t>
      </w:r>
      <w:r w:rsidRPr="00C9040A">
        <w:rPr>
          <w:rtl/>
          <w:lang w:bidi="fa-IR"/>
        </w:rPr>
        <w:t xml:space="preserve"> بِهِ الصِّرَاطُ فِي النَّارِ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49668C">
        <w:rPr>
          <w:rtl/>
        </w:rPr>
        <w:t>1985</w:t>
      </w:r>
      <w:r w:rsidRPr="00261CB0">
        <w:rPr>
          <w:rStyle w:val="libBold2Char"/>
          <w:rtl/>
        </w:rPr>
        <w:t xml:space="preserve"> / 12.</w:t>
      </w:r>
      <w:r w:rsidRPr="00C9040A">
        <w:rPr>
          <w:rtl/>
          <w:lang w:bidi="fa-IR"/>
        </w:rPr>
        <w:t xml:space="preserve"> عِدَّةٌ مِنْ أَصْحَابِنَا ، عَنْ أَحْمَدَ بْنِ مُحَمَّدِ بْنِ خَالِدٍ ، عَنْ أَبِيهِ ، عَنِ ابْنِ أَبِي عُمَيْرٍ ، عَنْ حَفْصِ بْنِ قُرْطٍ ، عَنْ أَبِي حَمْزَةَ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صِلَةُ الْأَرْحَامِ </w:t>
      </w:r>
      <w:r w:rsidR="006C577F" w:rsidRPr="006C577F">
        <w:rPr>
          <w:rStyle w:val="libFootnotenumChar"/>
          <w:rtl/>
        </w:rPr>
        <w:t>(3)</w:t>
      </w:r>
      <w:r w:rsidRPr="00C9040A">
        <w:rPr>
          <w:rtl/>
          <w:lang w:bidi="fa-IR"/>
        </w:rPr>
        <w:t xml:space="preserve"> تُحَسِّنُ </w:t>
      </w:r>
      <w:r w:rsidR="006C577F" w:rsidRPr="006C577F">
        <w:rPr>
          <w:rStyle w:val="libFootnotenumChar"/>
          <w:rtl/>
        </w:rPr>
        <w:t>(4)</w:t>
      </w:r>
      <w:r w:rsidRPr="00C9040A">
        <w:rPr>
          <w:rtl/>
          <w:lang w:bidi="fa-IR"/>
        </w:rPr>
        <w:t xml:space="preserve"> الْخُلُقَ ، وَتُسَمِّحُ الْكَفَّ ، وَتُطَيِّبُ النَّفْسَ ، وَتَزِيدُ فِي الرِّزْقِ ، وَتُنْسِئُ فِي </w:t>
      </w:r>
      <w:r w:rsidR="006C577F" w:rsidRPr="006C577F">
        <w:rPr>
          <w:rStyle w:val="libFootnotenumChar"/>
          <w:rtl/>
        </w:rPr>
        <w:t>(5)</w:t>
      </w:r>
      <w:r w:rsidRPr="00C9040A">
        <w:rPr>
          <w:rtl/>
          <w:lang w:bidi="fa-IR"/>
        </w:rPr>
        <w:t xml:space="preserve"> الْأَجَلِ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Normal"/>
        <w:rPr>
          <w:rtl/>
          <w:lang w:bidi="fa-IR"/>
        </w:rPr>
      </w:pPr>
      <w:r w:rsidRPr="0049668C">
        <w:rPr>
          <w:rtl/>
        </w:rPr>
        <w:t>1986</w:t>
      </w:r>
      <w:r w:rsidRPr="00261CB0">
        <w:rPr>
          <w:rStyle w:val="libBold2Char"/>
          <w:rtl/>
        </w:rPr>
        <w:t xml:space="preserve"> / 13.</w:t>
      </w:r>
      <w:r w:rsidRPr="00C9040A">
        <w:rPr>
          <w:rtl/>
          <w:lang w:bidi="fa-IR"/>
        </w:rPr>
        <w:t xml:space="preserve"> عَنْهُ </w:t>
      </w:r>
      <w:r w:rsidR="006C577F" w:rsidRPr="006C577F">
        <w:rPr>
          <w:rStyle w:val="libFootnotenumChar"/>
          <w:rtl/>
        </w:rPr>
        <w:t>(7)</w:t>
      </w:r>
      <w:r w:rsidRPr="00C9040A">
        <w:rPr>
          <w:rtl/>
          <w:lang w:bidi="fa-IR"/>
        </w:rPr>
        <w:t xml:space="preserve"> ، عَنْ عُثْمَانَ بْنِ عِيسى ، عَنْ خَطَّابٍ الْأَعْوَرِ ، عَنْ أَبِي حَمْزَةَ ، قَالَ :</w:t>
      </w:r>
    </w:p>
    <w:p w:rsidR="008A74EB" w:rsidRPr="00C9040A" w:rsidRDefault="008A74EB" w:rsidP="008A74EB">
      <w:pPr>
        <w:pStyle w:val="libNormal"/>
        <w:rPr>
          <w:rtl/>
          <w:lang w:bidi="fa-IR"/>
        </w:rPr>
      </w:pPr>
      <w:r w:rsidRPr="00C9040A">
        <w:rPr>
          <w:rtl/>
          <w:lang w:bidi="fa-IR"/>
        </w:rPr>
        <w:t xml:space="preserve">قَالَ أَبُو جَعْفَرٍ </w:t>
      </w:r>
      <w:r w:rsidRPr="0003660B">
        <w:rPr>
          <w:rStyle w:val="libAlaemChar"/>
          <w:rtl/>
        </w:rPr>
        <w:t>عليه‌السلام</w:t>
      </w:r>
      <w:r w:rsidRPr="00C9040A">
        <w:rPr>
          <w:rtl/>
          <w:lang w:bidi="fa-IR"/>
        </w:rPr>
        <w:t xml:space="preserve"> : « صِلَةُ الْأَرْحَامِ تُزَكِّي الْأَعْمَالَ ، وَتَدْفَعُ الْبَلْوى ، وَتُنْمِي الْأَمْوَالَ </w:t>
      </w:r>
      <w:r w:rsidR="006C577F" w:rsidRPr="006C577F">
        <w:rPr>
          <w:rStyle w:val="libFootnotenumChar"/>
          <w:rtl/>
        </w:rPr>
        <w:t>(8)</w:t>
      </w:r>
      <w:r w:rsidRPr="00C9040A">
        <w:rPr>
          <w:rtl/>
          <w:lang w:bidi="fa-IR"/>
        </w:rPr>
        <w:t xml:space="preserve"> ، وَتُنْسِئُ لَهُ فِي عُمُرِهِ ، وَتُوَسِّعُ </w:t>
      </w:r>
      <w:r w:rsidR="006C577F" w:rsidRPr="006C577F">
        <w:rPr>
          <w:rStyle w:val="libFootnotenumChar"/>
          <w:rtl/>
        </w:rPr>
        <w:t>(9)</w:t>
      </w:r>
      <w:r w:rsidRPr="00C9040A">
        <w:rPr>
          <w:rtl/>
          <w:lang w:bidi="fa-IR"/>
        </w:rPr>
        <w:t xml:space="preserve"> فِي رِزْقِهِ ، وَتُحَبِّبُ </w:t>
      </w:r>
      <w:r w:rsidR="006C577F" w:rsidRPr="006C577F">
        <w:rPr>
          <w:rStyle w:val="libFootnotenumChar"/>
          <w:rtl/>
        </w:rPr>
        <w:t>(10)</w:t>
      </w:r>
      <w:r w:rsidRPr="00C9040A">
        <w:rPr>
          <w:rtl/>
          <w:lang w:bidi="fa-IR"/>
        </w:rPr>
        <w:t xml:space="preserve"> فِي أَهْلِ بَيْتِهِ ؛ فَلْيَتَّقِ اللهَ ، وَلْيَصِلْ رَحِمَهُ »</w:t>
      </w:r>
      <w:r>
        <w:rPr>
          <w:rtl/>
          <w:lang w:bidi="fa-IR"/>
        </w:rPr>
        <w:t>.</w:t>
      </w:r>
      <w:r w:rsidRPr="00C9040A">
        <w:rPr>
          <w:rtl/>
          <w:lang w:bidi="fa-IR"/>
        </w:rPr>
        <w:t xml:space="preserve"> </w:t>
      </w:r>
      <w:r w:rsidR="006C577F" w:rsidRPr="006C577F">
        <w:rPr>
          <w:rStyle w:val="libFootnotenumChar"/>
          <w:rtl/>
        </w:rPr>
        <w:t>(11)</w:t>
      </w:r>
      <w:r w:rsidRPr="00C9040A">
        <w:rPr>
          <w:rtl/>
          <w:lang w:bidi="fa-IR"/>
        </w:rPr>
        <w:t xml:space="preserve"> ‌</w:t>
      </w:r>
    </w:p>
    <w:p w:rsidR="008A74EB" w:rsidRPr="00C9040A" w:rsidRDefault="008A74EB" w:rsidP="008A74EB">
      <w:pPr>
        <w:pStyle w:val="libNormal"/>
        <w:rPr>
          <w:rtl/>
          <w:lang w:bidi="fa-IR"/>
        </w:rPr>
      </w:pPr>
      <w:r w:rsidRPr="0049668C">
        <w:rPr>
          <w:rtl/>
        </w:rPr>
        <w:t>1987</w:t>
      </w:r>
      <w:r w:rsidRPr="00261CB0">
        <w:rPr>
          <w:rStyle w:val="libBold2Char"/>
          <w:rtl/>
        </w:rPr>
        <w:t xml:space="preserve"> / 14.</w:t>
      </w:r>
      <w:r w:rsidRPr="00C9040A">
        <w:rPr>
          <w:rtl/>
          <w:lang w:bidi="fa-IR"/>
        </w:rPr>
        <w:t xml:space="preserve"> عَلِيُّ بْنُ إِبْرَاهِيمَ ، عَنْ أَبِيهِ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ب ، ف » : « وتكفأ »</w:t>
      </w:r>
      <w:r w:rsidR="008A74EB">
        <w:rPr>
          <w:rtl/>
        </w:rPr>
        <w:t>.</w:t>
      </w:r>
      <w:r w:rsidR="008A74EB" w:rsidRPr="00C9040A">
        <w:rPr>
          <w:rtl/>
        </w:rPr>
        <w:t xml:space="preserve"> </w:t>
      </w:r>
      <w:r w:rsidR="008A74EB">
        <w:rPr>
          <w:rtl/>
        </w:rPr>
        <w:t>و «</w:t>
      </w:r>
      <w:r w:rsidR="008A74EB" w:rsidRPr="00C9040A">
        <w:rPr>
          <w:rtl/>
        </w:rPr>
        <w:t xml:space="preserve"> تكفّأ » أي تقلّب ، وكفّأت الإناء : كببته وقلّبته. راجع : </w:t>
      </w:r>
      <w:r w:rsidR="008A74EB" w:rsidRPr="00993B55">
        <w:rPr>
          <w:rStyle w:val="libFootnoteBoldChar"/>
          <w:rtl/>
        </w:rPr>
        <w:t>لسان العرب</w:t>
      </w:r>
      <w:r w:rsidR="008A74EB" w:rsidRPr="00C9040A">
        <w:rPr>
          <w:rtl/>
        </w:rPr>
        <w:t xml:space="preserve"> ، ج 1 ، ص 140 ( كفأ )</w:t>
      </w:r>
      <w:r w:rsidR="008A74EB">
        <w:rPr>
          <w:rtl/>
        </w:rPr>
        <w:t>.</w:t>
      </w:r>
    </w:p>
    <w:p w:rsidR="008A74EB" w:rsidRPr="00C9040A" w:rsidRDefault="006C577F" w:rsidP="003F2863">
      <w:pPr>
        <w:pStyle w:val="libFootnote0"/>
        <w:rPr>
          <w:rtl/>
          <w:lang w:bidi="fa-IR"/>
        </w:rPr>
      </w:pPr>
      <w:r>
        <w:rPr>
          <w:rtl/>
        </w:rPr>
        <w:t>(2).</w:t>
      </w:r>
      <w:r w:rsidR="008A74EB">
        <w:rPr>
          <w:rtl/>
        </w:rPr>
        <w:t xml:space="preserve"> </w:t>
      </w:r>
      <w:r w:rsidR="008A74EB" w:rsidRPr="00993B55">
        <w:rPr>
          <w:rStyle w:val="libFootnoteBoldChar"/>
          <w:rtl/>
        </w:rPr>
        <w:t>الزهد</w:t>
      </w:r>
      <w:r w:rsidR="008A74EB" w:rsidRPr="00C9040A">
        <w:rPr>
          <w:rtl/>
        </w:rPr>
        <w:t xml:space="preserve"> ، ص 107 ، ح 112 ، عن حنان ، عن أبيه ، وفيه : « على حافتي الصراط يوم القيامة الرحم والأمانة ، فإذا مرّ عليه الوصول للرّحم والمؤدّي للأمانة لم يكتفا به في النار » مع زيادة في أوّله</w:t>
      </w:r>
      <w:r w:rsidR="003F2863">
        <w:rPr>
          <w:rFonts w:hint="cs"/>
          <w:rtl/>
        </w:rPr>
        <w:t>.</w:t>
      </w:r>
      <w:r w:rsidR="008A74EB" w:rsidRPr="00993B55">
        <w:rPr>
          <w:rStyle w:val="libFootnoteBoldChar"/>
          <w:rtl/>
        </w:rPr>
        <w:t>الوافي</w:t>
      </w:r>
      <w:r w:rsidR="008A74EB" w:rsidRPr="00C9040A">
        <w:rPr>
          <w:rtl/>
        </w:rPr>
        <w:t xml:space="preserve"> ، ج 5 ، ص 506 ، ح 2444 ؛ </w:t>
      </w:r>
      <w:r w:rsidR="008A74EB" w:rsidRPr="00993B55">
        <w:rPr>
          <w:rStyle w:val="libFootnoteBoldChar"/>
          <w:rtl/>
        </w:rPr>
        <w:t>الوسائل</w:t>
      </w:r>
      <w:r w:rsidR="008A74EB" w:rsidRPr="00C9040A">
        <w:rPr>
          <w:rtl/>
        </w:rPr>
        <w:t xml:space="preserve"> ، ج 19 ، ص 68 ، ح 24169 ؛ </w:t>
      </w:r>
      <w:r w:rsidR="008A74EB" w:rsidRPr="00993B55">
        <w:rPr>
          <w:rStyle w:val="libFootnoteBoldChar"/>
          <w:rtl/>
        </w:rPr>
        <w:t>البحار</w:t>
      </w:r>
      <w:r w:rsidR="008A74EB" w:rsidRPr="00C9040A">
        <w:rPr>
          <w:rtl/>
        </w:rPr>
        <w:t xml:space="preserve"> ، ج 8 ، ص 67 ، ح 9 ؛ وج 74 ، ص 117 ، ح 80.</w:t>
      </w:r>
    </w:p>
    <w:p w:rsidR="008A74EB" w:rsidRPr="00C9040A" w:rsidRDefault="006C577F" w:rsidP="004A4E41">
      <w:pPr>
        <w:pStyle w:val="libFootnote0"/>
        <w:rPr>
          <w:rtl/>
          <w:lang w:bidi="fa-IR"/>
        </w:rPr>
      </w:pPr>
      <w:r>
        <w:rPr>
          <w:rtl/>
        </w:rPr>
        <w:t>(3).</w:t>
      </w:r>
      <w:r w:rsidR="008A74EB" w:rsidRPr="00C9040A">
        <w:rPr>
          <w:rtl/>
        </w:rPr>
        <w:t xml:space="preserve"> في « ز ، ض ، ف ، بر ، بس ، بف » : « الرحم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يجوز فيه وفي « تسمح » </w:t>
      </w:r>
      <w:r w:rsidR="008A74EB">
        <w:rPr>
          <w:rtl/>
        </w:rPr>
        <w:t>و «</w:t>
      </w:r>
      <w:r w:rsidR="008A74EB" w:rsidRPr="00C9040A">
        <w:rPr>
          <w:rtl/>
        </w:rPr>
        <w:t xml:space="preserve"> تطيب » الإفعال والتفعيل.</w:t>
      </w:r>
    </w:p>
    <w:p w:rsidR="008A74EB" w:rsidRPr="00C9040A" w:rsidRDefault="006C577F" w:rsidP="004A4E41">
      <w:pPr>
        <w:pStyle w:val="libFootnote0"/>
        <w:rPr>
          <w:rtl/>
          <w:lang w:bidi="fa-IR"/>
        </w:rPr>
      </w:pPr>
      <w:r>
        <w:rPr>
          <w:rtl/>
        </w:rPr>
        <w:t>(5).</w:t>
      </w:r>
      <w:r w:rsidR="008A74EB" w:rsidRPr="00C9040A">
        <w:rPr>
          <w:rtl/>
        </w:rPr>
        <w:t xml:space="preserve"> في « ز ، بر » وحاشية « بف » </w:t>
      </w:r>
      <w:r w:rsidR="008A74EB">
        <w:rPr>
          <w:rtl/>
        </w:rPr>
        <w:t xml:space="preserve">: </w:t>
      </w:r>
      <w:r w:rsidR="0084262C">
        <w:rPr>
          <w:rtl/>
        </w:rPr>
        <w:t>-</w:t>
      </w:r>
      <w:r w:rsidR="008A74EB" w:rsidRPr="00C9040A">
        <w:rPr>
          <w:rtl/>
        </w:rPr>
        <w:t xml:space="preserve"> « في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الوافي</w:t>
      </w:r>
      <w:r w:rsidR="008A74EB" w:rsidRPr="00C9040A">
        <w:rPr>
          <w:rtl/>
        </w:rPr>
        <w:t xml:space="preserve"> ، ج 5 ، ص 507 ، ح 2448 ؛ </w:t>
      </w:r>
      <w:r w:rsidR="008A74EB" w:rsidRPr="00993B55">
        <w:rPr>
          <w:rStyle w:val="libFootnoteBoldChar"/>
          <w:rtl/>
        </w:rPr>
        <w:t>الوسائل</w:t>
      </w:r>
      <w:r w:rsidR="008A74EB" w:rsidRPr="00C9040A">
        <w:rPr>
          <w:rtl/>
        </w:rPr>
        <w:t xml:space="preserve"> ، ج 21 ، ص 535 ، ح 27793.</w:t>
      </w:r>
    </w:p>
    <w:p w:rsidR="008A74EB" w:rsidRPr="00C9040A" w:rsidRDefault="006C577F" w:rsidP="004A4E41">
      <w:pPr>
        <w:pStyle w:val="libFootnote0"/>
        <w:rPr>
          <w:rtl/>
          <w:lang w:bidi="fa-IR"/>
        </w:rPr>
      </w:pPr>
      <w:r>
        <w:rPr>
          <w:rtl/>
        </w:rPr>
        <w:t>(7).</w:t>
      </w:r>
      <w:r w:rsidR="008A74EB" w:rsidRPr="00C9040A">
        <w:rPr>
          <w:rtl/>
        </w:rPr>
        <w:t xml:space="preserve"> الضمير راجع إلى أحمد بن محمّد بن خالد المذكور في السند السابق.</w:t>
      </w:r>
    </w:p>
    <w:p w:rsidR="008A74EB" w:rsidRPr="00C9040A" w:rsidRDefault="006C577F" w:rsidP="004A4E41">
      <w:pPr>
        <w:pStyle w:val="libFootnote0"/>
        <w:rPr>
          <w:rtl/>
          <w:lang w:bidi="fa-IR"/>
        </w:rPr>
      </w:pPr>
      <w:r>
        <w:rPr>
          <w:rtl/>
        </w:rPr>
        <w:t>(8).</w:t>
      </w:r>
      <w:r w:rsidR="008A74EB" w:rsidRPr="00C9040A">
        <w:rPr>
          <w:rtl/>
        </w:rPr>
        <w:t xml:space="preserve"> في « ض » : « المال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حاشية « بر » : + « له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 ف » : « وتحبّ » على بناء الإفعال.</w:t>
      </w:r>
    </w:p>
    <w:p w:rsidR="008A74EB" w:rsidRPr="00C9040A" w:rsidRDefault="006C577F" w:rsidP="004A4E41">
      <w:pPr>
        <w:pStyle w:val="libFootnote0"/>
        <w:rPr>
          <w:rtl/>
          <w:lang w:bidi="fa-IR"/>
        </w:rPr>
      </w:pPr>
      <w:r>
        <w:rPr>
          <w:rtl/>
        </w:rPr>
        <w:t>(11).</w:t>
      </w:r>
      <w:r w:rsidR="008A74EB" w:rsidRPr="00C9040A">
        <w:rPr>
          <w:rtl/>
        </w:rPr>
        <w:t xml:space="preserve"> </w:t>
      </w:r>
      <w:r w:rsidR="008A74EB" w:rsidRPr="00993B55">
        <w:rPr>
          <w:rStyle w:val="libFootnoteBoldChar"/>
          <w:rtl/>
        </w:rPr>
        <w:t>تحف العقول</w:t>
      </w:r>
      <w:r w:rsidR="008A74EB" w:rsidRPr="00C9040A">
        <w:rPr>
          <w:rtl/>
        </w:rPr>
        <w:t xml:space="preserve"> ، ص 299 ، وتمام الرواية فيه : « صلة الأرحام تزكّي الأعمال ، وتنمي الأموال ، وتدفع البلوى ، وتيسّر الحساب ، وتنسئ في الأجل » </w:t>
      </w:r>
      <w:r w:rsidR="0010728F">
        <w:rPr>
          <w:rFonts w:hint="cs"/>
          <w:rtl/>
        </w:rPr>
        <w:t>.</w:t>
      </w:r>
      <w:r w:rsidR="008A74EB" w:rsidRPr="00993B55">
        <w:rPr>
          <w:rStyle w:val="libFootnoteBoldChar"/>
          <w:rtl/>
        </w:rPr>
        <w:t>الوافي</w:t>
      </w:r>
      <w:r w:rsidR="008A74EB" w:rsidRPr="00C9040A">
        <w:rPr>
          <w:rtl/>
        </w:rPr>
        <w:t xml:space="preserve"> ، ج 5 ، ص 508 ، ح 2452 ؛ </w:t>
      </w:r>
      <w:r w:rsidR="008A74EB" w:rsidRPr="00993B55">
        <w:rPr>
          <w:rStyle w:val="libFootnoteBoldChar"/>
          <w:rtl/>
        </w:rPr>
        <w:t>الوسائل</w:t>
      </w:r>
      <w:r w:rsidR="008A74EB" w:rsidRPr="00C9040A">
        <w:rPr>
          <w:rtl/>
        </w:rPr>
        <w:t xml:space="preserve"> ، ج 21 ، ص 535 ، ح 27794 ؛ </w:t>
      </w:r>
      <w:r w:rsidR="008A74EB" w:rsidRPr="00993B55">
        <w:rPr>
          <w:rStyle w:val="libFootnoteBoldChar"/>
          <w:rtl/>
        </w:rPr>
        <w:t>البحار</w:t>
      </w:r>
      <w:r w:rsidR="008A74EB" w:rsidRPr="00C9040A">
        <w:rPr>
          <w:rtl/>
        </w:rPr>
        <w:t xml:space="preserve"> ، ج 74 ، ص 118 ، ح 81.</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وَمُحَمَّدُ بْنُ إِسْمَاعِيلَ ، عَنِ الْفَضْلِ بْنِ شَاذَانَ جَمِيعاً </w:t>
      </w:r>
      <w:r w:rsidR="006C577F" w:rsidRPr="006C577F">
        <w:rPr>
          <w:rStyle w:val="libFootnotenumChar"/>
          <w:rtl/>
        </w:rPr>
        <w:t>(1)</w:t>
      </w:r>
      <w:r w:rsidRPr="00C9040A">
        <w:rPr>
          <w:rtl/>
          <w:lang w:bidi="fa-IR"/>
        </w:rPr>
        <w:t xml:space="preserve"> ، عَنِ ابْنِ أَبِي عُمَيْرٍ ، عَنْ إِبْرَاهِيمَ بْنِ عَبْدِ الْحَمِيدِ ، عَنِ الْحَكَمِ الْحَنَّاطِ </w:t>
      </w:r>
      <w:r w:rsidR="006C577F" w:rsidRPr="006C577F">
        <w:rPr>
          <w:rStyle w:val="libFootnotenumChar"/>
          <w:rtl/>
        </w:rPr>
        <w:t>(2)</w:t>
      </w:r>
      <w:r w:rsidRPr="00C9040A">
        <w:rPr>
          <w:rtl/>
          <w:lang w:bidi="fa-IR"/>
        </w:rPr>
        <w:t xml:space="preserve">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صِلَةُ الرَّحِمِ وَحُسْنُ الْجِوَارِ يَعْمُرَانِ </w:t>
      </w:r>
      <w:r w:rsidR="006C577F" w:rsidRPr="006C577F">
        <w:rPr>
          <w:rStyle w:val="libFootnotenumChar"/>
          <w:rtl/>
        </w:rPr>
        <w:t>(3)</w:t>
      </w:r>
      <w:r w:rsidRPr="00C9040A">
        <w:rPr>
          <w:rtl/>
          <w:lang w:bidi="fa-IR"/>
        </w:rPr>
        <w:t xml:space="preserve"> الدِّيَارَ ، وَيَزِيدَانِ فِي الْأَعْمَارِ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49668C">
        <w:rPr>
          <w:rtl/>
        </w:rPr>
        <w:t>1988</w:t>
      </w:r>
      <w:r w:rsidRPr="00261CB0">
        <w:rPr>
          <w:rStyle w:val="libBold2Char"/>
          <w:rtl/>
        </w:rPr>
        <w:t xml:space="preserve"> / 15.</w:t>
      </w:r>
      <w:r w:rsidRPr="00C9040A">
        <w:rPr>
          <w:rtl/>
          <w:lang w:bidi="fa-IR"/>
        </w:rPr>
        <w:t xml:space="preserve"> عِدَّةٌ مِنْ أَصْحَابِنَا ، عَنْ سَهْلِ بْنِ زِيَادٍ ، عَنْ جَعْفَرِ بْنِ مُحَمَّدٍ الْأَشْعَرِيِّ ، عَنْ عَبْدِ اللهِ بْنِ مَيْمُونٍ الْقَدَّاحِ ، عَنْ أَبِي عُبَيْدَةَ الْحَذَّاءِ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إِنَّ أَعْجَلَ الْخَيْرِ ثَوَاباً صِلَةُ الرَّحِمِ »</w:t>
      </w:r>
      <w:r>
        <w:rPr>
          <w:rtl/>
          <w:lang w:bidi="fa-IR"/>
        </w:rPr>
        <w:t>.</w:t>
      </w:r>
      <w:r w:rsidRPr="00C9040A">
        <w:rPr>
          <w:rtl/>
          <w:lang w:bidi="fa-IR"/>
        </w:rPr>
        <w:t xml:space="preserve"> </w:t>
      </w:r>
      <w:r w:rsidR="006C577F" w:rsidRPr="006C577F">
        <w:rPr>
          <w:rStyle w:val="libFootnotenumChar"/>
          <w:rtl/>
        </w:rPr>
        <w:t>(5)</w:t>
      </w:r>
      <w:r w:rsidRPr="00C9040A">
        <w:rPr>
          <w:rtl/>
          <w:lang w:bidi="fa-IR"/>
        </w:rPr>
        <w:t>‌</w:t>
      </w:r>
    </w:p>
    <w:p w:rsidR="008A74EB" w:rsidRPr="00C9040A" w:rsidRDefault="008A74EB" w:rsidP="008A74EB">
      <w:pPr>
        <w:pStyle w:val="libNormal"/>
        <w:rPr>
          <w:rtl/>
          <w:lang w:bidi="fa-IR"/>
        </w:rPr>
      </w:pPr>
      <w:r w:rsidRPr="0049668C">
        <w:rPr>
          <w:rtl/>
        </w:rPr>
        <w:t>1989</w:t>
      </w:r>
      <w:r w:rsidRPr="00261CB0">
        <w:rPr>
          <w:rStyle w:val="libBold2Char"/>
          <w:rtl/>
        </w:rPr>
        <w:t xml:space="preserve"> / 16.</w:t>
      </w:r>
      <w:r w:rsidRPr="00C9040A">
        <w:rPr>
          <w:rtl/>
          <w:lang w:bidi="fa-IR"/>
        </w:rPr>
        <w:t xml:space="preserve"> عَلِيُّ بْنُ إِبْرَاهِيمَ ، عَنْ أَبِيهِ ، عَنِ النَّوْفَلِيِّ ، عَنِ السَّكُونِيِّ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مَنْ سَرَّهُ النَّسَاءُ </w:t>
      </w:r>
      <w:r w:rsidR="006C577F" w:rsidRPr="006C577F">
        <w:rPr>
          <w:rStyle w:val="libFootnotenumChar"/>
          <w:rtl/>
        </w:rPr>
        <w:t>(6)</w:t>
      </w:r>
      <w:r w:rsidRPr="005B567D">
        <w:rPr>
          <w:rStyle w:val="libFootnotenumChar"/>
          <w:rtl/>
        </w:rPr>
        <w:t xml:space="preserve"> </w:t>
      </w:r>
      <w:r w:rsidRPr="00C9040A">
        <w:rPr>
          <w:rtl/>
          <w:lang w:bidi="fa-IR"/>
        </w:rPr>
        <w:t>فِي الْأَجَلِ وَالزِّيَادَةُ فِي الرِّزْقِ ، فَلْيَصِلْ رَحِمَهُ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الوسائل </w:t>
      </w:r>
      <w:r w:rsidR="008A74EB">
        <w:rPr>
          <w:rtl/>
        </w:rPr>
        <w:t xml:space="preserve">: </w:t>
      </w:r>
      <w:r w:rsidR="0084262C">
        <w:rPr>
          <w:rtl/>
        </w:rPr>
        <w:t>-</w:t>
      </w:r>
      <w:r w:rsidR="008A74EB" w:rsidRPr="00C9040A">
        <w:rPr>
          <w:rtl/>
        </w:rPr>
        <w:t xml:space="preserve"> « ومحمّد بن إسماعيل ، عن الفضل بن شاذان جميعاً »</w:t>
      </w:r>
      <w:r w:rsidR="008A74EB">
        <w:rPr>
          <w:rtl/>
        </w:rPr>
        <w:t>.</w:t>
      </w:r>
    </w:p>
    <w:p w:rsidR="008A74EB" w:rsidRPr="00C9040A" w:rsidRDefault="006C577F" w:rsidP="00CF2B26">
      <w:pPr>
        <w:pStyle w:val="libFootnote0"/>
        <w:rPr>
          <w:rtl/>
          <w:lang w:bidi="fa-IR"/>
        </w:rPr>
      </w:pPr>
      <w:r>
        <w:rPr>
          <w:rtl/>
        </w:rPr>
        <w:t>(2).</w:t>
      </w:r>
      <w:r w:rsidR="008A74EB">
        <w:rPr>
          <w:rtl/>
        </w:rPr>
        <w:t xml:space="preserve"> </w:t>
      </w:r>
      <w:r w:rsidR="008A74EB" w:rsidRPr="00C9040A">
        <w:rPr>
          <w:rtl/>
        </w:rPr>
        <w:t>في « ف ، بس » وحاشية « ص » : « الخيّاط »</w:t>
      </w:r>
      <w:r w:rsidR="008A74EB">
        <w:rPr>
          <w:rtl/>
        </w:rPr>
        <w:t>.</w:t>
      </w:r>
      <w:r w:rsidR="008A74EB" w:rsidRPr="00C9040A">
        <w:rPr>
          <w:rtl/>
        </w:rPr>
        <w:t xml:space="preserve"> والظاهر أنّه هو حكم بن أيمن الذي وصفه النجاشي بالحنّاط ، ووصفه البرقي والطوسي بالخيّاط. راجع : </w:t>
      </w:r>
      <w:r w:rsidR="008A74EB" w:rsidRPr="00993B55">
        <w:rPr>
          <w:rStyle w:val="libFootnoteBoldChar"/>
          <w:rtl/>
        </w:rPr>
        <w:t>رجال النجاشي</w:t>
      </w:r>
      <w:r w:rsidR="008A74EB" w:rsidRPr="00C9040A">
        <w:rPr>
          <w:rtl/>
        </w:rPr>
        <w:t xml:space="preserve"> ، ص 137 ، الرقم 354 ؛ </w:t>
      </w:r>
      <w:r w:rsidR="008A74EB" w:rsidRPr="00993B55">
        <w:rPr>
          <w:rStyle w:val="libFootnoteBoldChar"/>
          <w:rtl/>
        </w:rPr>
        <w:t>رجال البرقي</w:t>
      </w:r>
      <w:r w:rsidR="008A74EB" w:rsidRPr="00C9040A">
        <w:rPr>
          <w:rtl/>
        </w:rPr>
        <w:t xml:space="preserve"> ، ص 38 ؛ </w:t>
      </w:r>
      <w:r w:rsidR="008A74EB" w:rsidRPr="00993B55">
        <w:rPr>
          <w:rStyle w:val="libFootnoteBoldChar"/>
          <w:rtl/>
        </w:rPr>
        <w:t>رجال الطوسي</w:t>
      </w:r>
      <w:r w:rsidR="008A74EB" w:rsidRPr="00C9040A">
        <w:rPr>
          <w:rtl/>
        </w:rPr>
        <w:t xml:space="preserve"> ، ص 185 ، الرقم 2250.</w:t>
      </w:r>
      <w:r w:rsidR="00CF2B26">
        <w:rPr>
          <w:rFonts w:hint="cs"/>
          <w:rtl/>
        </w:rPr>
        <w:t xml:space="preserve">                        </w:t>
      </w:r>
      <w:r>
        <w:rPr>
          <w:rtl/>
        </w:rPr>
        <w:t>(3).</w:t>
      </w:r>
      <w:r w:rsidR="008A74EB" w:rsidRPr="00C9040A">
        <w:rPr>
          <w:rtl/>
        </w:rPr>
        <w:t>في«ف»:«يعمّران»على بناء التفعيل.</w:t>
      </w:r>
    </w:p>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الكافي</w:t>
      </w:r>
      <w:r w:rsidR="008A74EB" w:rsidRPr="00C9040A">
        <w:rPr>
          <w:rtl/>
        </w:rPr>
        <w:t xml:space="preserve"> ، كتاب العشرة ، باب حقّ الجوار ، ح 3763 ، بسند آخر عن إبراهيم بن عبد الحميد ، عن الحكم الخيّاط ، وتمام الرواية : « حسن الجوار يعمر الديار ويزيد في الأعمار »</w:t>
      </w:r>
      <w:r w:rsidR="008A74EB">
        <w:rPr>
          <w:rtl/>
        </w:rPr>
        <w:t>.</w:t>
      </w:r>
      <w:r w:rsidR="008A74EB" w:rsidRPr="00C9040A">
        <w:rPr>
          <w:rtl/>
        </w:rPr>
        <w:t xml:space="preserve"> </w:t>
      </w:r>
      <w:r w:rsidR="008A74EB" w:rsidRPr="00993B55">
        <w:rPr>
          <w:rStyle w:val="libFootnoteBoldChar"/>
          <w:rtl/>
        </w:rPr>
        <w:t>وفيه</w:t>
      </w:r>
      <w:r w:rsidR="008A74EB" w:rsidRPr="00C9040A">
        <w:rPr>
          <w:rtl/>
        </w:rPr>
        <w:t xml:space="preserve"> ، ح 3762 ، بسند آخر وتمام الرواية : « حسن الجوار زيادة في الأعمار وعمارة الديار » ؛ </w:t>
      </w:r>
      <w:r w:rsidR="008A74EB" w:rsidRPr="00993B55">
        <w:rPr>
          <w:rStyle w:val="libFootnoteBoldChar"/>
          <w:rtl/>
        </w:rPr>
        <w:t>وفيه</w:t>
      </w:r>
      <w:r w:rsidR="008A74EB" w:rsidRPr="00C9040A">
        <w:rPr>
          <w:rtl/>
        </w:rPr>
        <w:t xml:space="preserve"> ، ح 3765 ، بسند آخر عن أبي عبدالله </w:t>
      </w:r>
      <w:r w:rsidR="00117575" w:rsidRPr="00117575">
        <w:rPr>
          <w:rStyle w:val="libFootnoteAlaemChar"/>
          <w:rtl/>
        </w:rPr>
        <w:t xml:space="preserve">عليه‌السلام </w:t>
      </w:r>
      <w:r w:rsidR="008A74EB" w:rsidRPr="00C9040A">
        <w:rPr>
          <w:rtl/>
        </w:rPr>
        <w:t xml:space="preserve"> عن رسول الله </w:t>
      </w:r>
      <w:r w:rsidR="004A4E41" w:rsidRPr="00BD67AE">
        <w:rPr>
          <w:rStyle w:val="libFootnoteAlaemChar"/>
          <w:rtl/>
        </w:rPr>
        <w:t>صلى‌الله‌عليه‌وآله</w:t>
      </w:r>
      <w:r w:rsidR="008A74EB" w:rsidRPr="00C9040A">
        <w:rPr>
          <w:rtl/>
        </w:rPr>
        <w:t xml:space="preserve"> ، وتمام الرواية : « حسن الجوار يعمر الديار وينسي في الأعمار »</w:t>
      </w:r>
      <w:r w:rsidR="008A74EB">
        <w:rPr>
          <w:rtl/>
        </w:rPr>
        <w:t>.</w:t>
      </w:r>
      <w:r w:rsidR="008A74EB" w:rsidRPr="00C9040A">
        <w:rPr>
          <w:rtl/>
        </w:rPr>
        <w:t xml:space="preserve"> </w:t>
      </w:r>
      <w:r w:rsidR="008A74EB" w:rsidRPr="00993B55">
        <w:rPr>
          <w:rStyle w:val="libFootnoteBoldChar"/>
          <w:rtl/>
        </w:rPr>
        <w:t>صحيفة الرضا</w:t>
      </w:r>
      <w:r w:rsidR="008A74EB" w:rsidRPr="00C9040A">
        <w:rPr>
          <w:rtl/>
        </w:rPr>
        <w:t xml:space="preserve"> </w:t>
      </w:r>
      <w:r w:rsidR="00117575" w:rsidRPr="00117575">
        <w:rPr>
          <w:rStyle w:val="libFootnoteAlaemChar"/>
          <w:rtl/>
        </w:rPr>
        <w:t xml:space="preserve">عليه‌السلام </w:t>
      </w:r>
      <w:r w:rsidR="008A74EB" w:rsidRPr="00C9040A">
        <w:rPr>
          <w:rtl/>
        </w:rPr>
        <w:t xml:space="preserve"> ، ص 85 ، ح 196 ، بسند آخر عن الرضا ، عن آبائه ، عن محمّد بن عليّ </w:t>
      </w:r>
      <w:r w:rsidR="00117575" w:rsidRPr="00117575">
        <w:rPr>
          <w:rStyle w:val="libFootnoteAlaemChar"/>
          <w:rtl/>
        </w:rPr>
        <w:t>عليهم‌السلام</w:t>
      </w:r>
      <w:r w:rsidR="008A74EB" w:rsidRPr="00C9040A">
        <w:rPr>
          <w:rtl/>
        </w:rPr>
        <w:t xml:space="preserve"> ، وتمام الرواية فيه : « صلة الأرحام وحسن الجوار زيادة في الأموال » </w:t>
      </w:r>
      <w:r w:rsidR="00BD67AE">
        <w:rPr>
          <w:rFonts w:hint="cs"/>
          <w:rtl/>
        </w:rPr>
        <w:t>.</w:t>
      </w:r>
      <w:r w:rsidR="008A74EB" w:rsidRPr="00993B55">
        <w:rPr>
          <w:rStyle w:val="libFootnoteBoldChar"/>
          <w:rtl/>
        </w:rPr>
        <w:t>الوافي</w:t>
      </w:r>
      <w:r w:rsidR="008A74EB" w:rsidRPr="00C9040A">
        <w:rPr>
          <w:rtl/>
        </w:rPr>
        <w:t xml:space="preserve"> ، ج 5 ، ص 508 ، ح 2453 ؛ </w:t>
      </w:r>
      <w:r w:rsidR="008A74EB" w:rsidRPr="00993B55">
        <w:rPr>
          <w:rStyle w:val="libFootnoteBoldChar"/>
          <w:rtl/>
        </w:rPr>
        <w:t>الوسائل</w:t>
      </w:r>
      <w:r w:rsidR="008A74EB" w:rsidRPr="00C9040A">
        <w:rPr>
          <w:rtl/>
        </w:rPr>
        <w:t xml:space="preserve"> ، ج 21 ، ص 535 ، ح 27794 ؛ </w:t>
      </w:r>
      <w:r w:rsidR="008A74EB" w:rsidRPr="00993B55">
        <w:rPr>
          <w:rStyle w:val="libFootnoteBoldChar"/>
          <w:rtl/>
        </w:rPr>
        <w:t>البحار</w:t>
      </w:r>
      <w:r w:rsidR="008A74EB" w:rsidRPr="00C9040A">
        <w:rPr>
          <w:rtl/>
        </w:rPr>
        <w:t xml:space="preserve"> ، ج 74 ، ص 120 ، ح 82.</w:t>
      </w:r>
    </w:p>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الوافي</w:t>
      </w:r>
      <w:r w:rsidR="008A74EB" w:rsidRPr="00C9040A">
        <w:rPr>
          <w:rtl/>
        </w:rPr>
        <w:t xml:space="preserve"> ، ج 5 ، ص 508 ، ح 2454 ؛ </w:t>
      </w:r>
      <w:r w:rsidR="008A74EB" w:rsidRPr="00993B55">
        <w:rPr>
          <w:rStyle w:val="libFootnoteBoldChar"/>
          <w:rtl/>
        </w:rPr>
        <w:t>الوسائل</w:t>
      </w:r>
      <w:r w:rsidR="008A74EB" w:rsidRPr="00C9040A">
        <w:rPr>
          <w:rtl/>
        </w:rPr>
        <w:t xml:space="preserve"> ، ج 21 ، ص 535 ، ح 27795 ؛ </w:t>
      </w:r>
      <w:r w:rsidR="008A74EB" w:rsidRPr="00993B55">
        <w:rPr>
          <w:rStyle w:val="libFootnoteBoldChar"/>
          <w:rtl/>
        </w:rPr>
        <w:t>البحار</w:t>
      </w:r>
      <w:r w:rsidR="008A74EB" w:rsidRPr="00C9040A">
        <w:rPr>
          <w:rtl/>
        </w:rPr>
        <w:t xml:space="preserve"> ، ج 74 ، ص 121 ، ح 83.</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 النَسْ‌ء » : التأخير. يقال : نسأت الشي‌ء نَسأً وأنسأته إنساءً : إذا أخّرته. </w:t>
      </w:r>
      <w:r w:rsidR="008A74EB">
        <w:rPr>
          <w:rtl/>
        </w:rPr>
        <w:t>و «</w:t>
      </w:r>
      <w:r w:rsidR="008A74EB" w:rsidRPr="00C9040A">
        <w:rPr>
          <w:rtl/>
        </w:rPr>
        <w:t xml:space="preserve"> النَّساء » الاسم. ويكون في العمروالدَّين. </w:t>
      </w:r>
      <w:r w:rsidR="008A74EB" w:rsidRPr="00993B55">
        <w:rPr>
          <w:rStyle w:val="libFootnoteBoldChar"/>
          <w:rtl/>
        </w:rPr>
        <w:t>النهاية</w:t>
      </w:r>
      <w:r w:rsidR="008A74EB" w:rsidRPr="00C9040A">
        <w:rPr>
          <w:rtl/>
        </w:rPr>
        <w:t xml:space="preserve"> ، ج 5 ، ص 44 ( نسأ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الزهد</w:t>
      </w:r>
      <w:r w:rsidR="008A74EB" w:rsidRPr="00C9040A">
        <w:rPr>
          <w:rtl/>
        </w:rPr>
        <w:t xml:space="preserve"> ، ص 105 ، ح 107 ، بسند آخر عن النبيّ </w:t>
      </w:r>
      <w:r w:rsidR="004A4E41" w:rsidRPr="000E04FA">
        <w:rPr>
          <w:rStyle w:val="libFootnoteAlaemChar"/>
          <w:rtl/>
        </w:rPr>
        <w:t>صلى‌الله‌عليه‌وآله</w:t>
      </w:r>
      <w:r w:rsidR="008A74EB" w:rsidRPr="00C9040A">
        <w:rPr>
          <w:rtl/>
        </w:rPr>
        <w:t xml:space="preserve"> ، مع زيادة ؛ </w:t>
      </w:r>
      <w:r w:rsidR="008A74EB" w:rsidRPr="00993B55">
        <w:rPr>
          <w:rStyle w:val="libFootnoteBoldChar"/>
          <w:rtl/>
        </w:rPr>
        <w:t>الخصال</w:t>
      </w:r>
      <w:r w:rsidR="000E04FA">
        <w:rPr>
          <w:rtl/>
        </w:rPr>
        <w:t xml:space="preserve"> ، ص 32 ، باب الواحد ، ح 112 ،</w:t>
      </w:r>
      <w:r w:rsidR="000E04FA">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49668C">
        <w:rPr>
          <w:rtl/>
        </w:rPr>
        <w:t>1990</w:t>
      </w:r>
      <w:r w:rsidRPr="00261CB0">
        <w:rPr>
          <w:rStyle w:val="libBold2Char"/>
          <w:rtl/>
        </w:rPr>
        <w:t xml:space="preserve"> / 17.</w:t>
      </w:r>
      <w:r w:rsidRPr="00C9040A">
        <w:rPr>
          <w:rtl/>
          <w:lang w:bidi="fa-IR"/>
        </w:rPr>
        <w:t xml:space="preserve"> عَلِيُّ بْنُ إِبْرَاهِيمَ ، عَنْ أَبِيهِ ، عَنْ صَفْوَانَ بْنِ يَحْيى ، عَنْ إِسْحَاقَ بْنِ عَمَّارٍ ، قَالَ :</w:t>
      </w:r>
    </w:p>
    <w:p w:rsidR="00FC2B4A" w:rsidRDefault="008A74EB" w:rsidP="00FC2B4A">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مَا نَعْلَمُ شَيْئاً يَزِيدُ</w:t>
      </w:r>
      <w:r w:rsidR="000858BB">
        <w:rPr>
          <w:rtl/>
          <w:lang w:bidi="fa-IR"/>
        </w:rPr>
        <w:t xml:space="preserve"> فِي الْعُمُرِ إِل</w:t>
      </w:r>
      <w:r w:rsidR="000858BB">
        <w:rPr>
          <w:rFonts w:hint="cs"/>
          <w:rtl/>
          <w:lang w:bidi="fa-IR"/>
        </w:rPr>
        <w:t>َّ</w:t>
      </w:r>
      <w:r w:rsidR="000858BB">
        <w:rPr>
          <w:rtl/>
          <w:lang w:bidi="fa-IR"/>
        </w:rPr>
        <w:t>ا</w:t>
      </w:r>
      <w:r w:rsidRPr="00C9040A">
        <w:rPr>
          <w:rtl/>
          <w:lang w:bidi="fa-IR"/>
        </w:rPr>
        <w:t xml:space="preserve"> صِلَةَ الرَّحِمِ ، حَتّى إِنَّ الرَّجُلَ يَكُونُ أَجَلُهُ ثَلَاثَ سِنِينَ ، فَيَكُونُ وَصُولاً لِلرَّحِمِ </w:t>
      </w:r>
      <w:r w:rsidR="006C577F" w:rsidRPr="006C577F">
        <w:rPr>
          <w:rStyle w:val="libFootnotenumChar"/>
          <w:rtl/>
        </w:rPr>
        <w:t>(1)</w:t>
      </w:r>
      <w:r w:rsidRPr="00C9040A">
        <w:rPr>
          <w:rtl/>
          <w:lang w:bidi="fa-IR"/>
        </w:rPr>
        <w:t xml:space="preserve"> ، فَيَزِيدُ اللهُ فِي عُمُرِهِ ثَلَاثِينَ سَنَةً ، فَيَجْعَلُهَا </w:t>
      </w:r>
      <w:r w:rsidR="006C577F" w:rsidRPr="006C577F">
        <w:rPr>
          <w:rStyle w:val="libFootnotenumChar"/>
          <w:rtl/>
        </w:rPr>
        <w:t>(2)</w:t>
      </w:r>
      <w:r w:rsidRPr="00C9040A">
        <w:rPr>
          <w:rtl/>
          <w:lang w:bidi="fa-IR"/>
        </w:rPr>
        <w:t xml:space="preserve"> ثَلَاثاً وَثَلَاثِينَ سَنَةً ، وَيَكُونُ أَجَلُهُ ثَلَاثاً وَثَلَاثِينَ سَنَةً ، فَيَكُونُ قَاطِعاً لِلرَّحِمِ </w:t>
      </w:r>
      <w:r w:rsidR="006C577F" w:rsidRPr="006C577F">
        <w:rPr>
          <w:rStyle w:val="libFootnotenumChar"/>
          <w:rtl/>
        </w:rPr>
        <w:t>(3)</w:t>
      </w:r>
      <w:r w:rsidRPr="00C9040A">
        <w:rPr>
          <w:rtl/>
          <w:lang w:bidi="fa-IR"/>
        </w:rPr>
        <w:t xml:space="preserve"> ، فَيَنْقُصُهُ اللهُ ثَلَاثِينَ سَنَةً ، وَيَجْعَلُ أَجَلَهُ إِلى ثَلَاثِ سِنِينَ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FC2B4A" w:rsidP="00FC2B4A">
      <w:pPr>
        <w:rPr>
          <w:rtl/>
          <w:lang w:bidi="fa-IR"/>
        </w:rPr>
      </w:pPr>
      <w:r>
        <w:rPr>
          <w:rFonts w:hint="cs"/>
          <w:rtl/>
          <w:lang w:bidi="fa-IR"/>
        </w:rPr>
        <w:t xml:space="preserve">* </w:t>
      </w:r>
      <w:r w:rsidR="008A74EB" w:rsidRPr="00C9040A">
        <w:rPr>
          <w:rtl/>
          <w:lang w:bidi="fa-IR"/>
        </w:rPr>
        <w:t xml:space="preserve">الْحُسَيْنُ بْنُ مُحَمَّدٍ ، عَنْ مُعَلَّى بْنِ مُحَمَّدٍ ، عَنِ الْحَسَنِ بْنِ عَلِيٍّ الْوَشَّاءِ ، عَنْ أَبِي الْحَسَنِ الرِّضَا </w:t>
      </w:r>
      <w:r w:rsidR="008A74EB" w:rsidRPr="0003660B">
        <w:rPr>
          <w:rStyle w:val="libAlaemChar"/>
          <w:rtl/>
        </w:rPr>
        <w:t>عليه‌السلام</w:t>
      </w:r>
      <w:r w:rsidR="008A74EB" w:rsidRPr="00C9040A">
        <w:rPr>
          <w:rtl/>
          <w:lang w:bidi="fa-IR"/>
        </w:rPr>
        <w:t xml:space="preserve"> ، مِثْلَهُ. </w:t>
      </w:r>
      <w:r w:rsidR="006C577F" w:rsidRPr="006C577F">
        <w:rPr>
          <w:rStyle w:val="libFootnotenumChar"/>
          <w:rtl/>
        </w:rPr>
        <w:t>(5)</w:t>
      </w:r>
      <w:r w:rsidR="008A74EB" w:rsidRPr="00C9040A">
        <w:rPr>
          <w:rtl/>
          <w:lang w:bidi="fa-IR"/>
        </w:rPr>
        <w:t xml:space="preserve"> </w:t>
      </w:r>
    </w:p>
    <w:p w:rsidR="008A74EB" w:rsidRPr="00C9040A" w:rsidRDefault="008A74EB" w:rsidP="008A74EB">
      <w:pPr>
        <w:pStyle w:val="libNormal"/>
        <w:rPr>
          <w:rtl/>
          <w:lang w:bidi="fa-IR"/>
        </w:rPr>
      </w:pPr>
      <w:r w:rsidRPr="0049668C">
        <w:rPr>
          <w:rtl/>
        </w:rPr>
        <w:t>1991</w:t>
      </w:r>
      <w:r w:rsidRPr="00261CB0">
        <w:rPr>
          <w:rStyle w:val="libBold2Char"/>
          <w:rtl/>
        </w:rPr>
        <w:t xml:space="preserve"> / 18.</w:t>
      </w:r>
      <w:r w:rsidRPr="00C9040A">
        <w:rPr>
          <w:rtl/>
          <w:lang w:bidi="fa-IR"/>
        </w:rPr>
        <w:t xml:space="preserve"> عَلِيُّ بْنُ إِبْرَاهِيمَ ، عَنْ أَبِيهِ ، عَنْ بَعْضِ أَصْحَابِهِ ، عَنْ عَمْرِو بْنِ شِمْرٍ ، عَنْ جَابِرٍ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لَمَّا خَرَجَ أَمِيرُ الْمُؤْمِنِينَ </w:t>
      </w:r>
      <w:r w:rsidRPr="0003660B">
        <w:rPr>
          <w:rStyle w:val="libAlaemChar"/>
          <w:rtl/>
        </w:rPr>
        <w:t>عليه‌السلام</w:t>
      </w:r>
      <w:r w:rsidRPr="00C9040A">
        <w:rPr>
          <w:rtl/>
          <w:lang w:bidi="fa-IR"/>
        </w:rPr>
        <w:t xml:space="preserve"> يُرِيدُ الْبَصْرَةَ نَزَلَ بِالرَّبَذَةِ </w:t>
      </w:r>
      <w:r w:rsidR="006C577F" w:rsidRPr="006C577F">
        <w:rPr>
          <w:rStyle w:val="libFootnotenumChar"/>
          <w:rtl/>
        </w:rPr>
        <w:t>(6)</w:t>
      </w:r>
      <w:r w:rsidRPr="005B567D">
        <w:rPr>
          <w:rStyle w:val="libFootnotenumChar"/>
          <w:rtl/>
        </w:rPr>
        <w:t xml:space="preserve"> </w:t>
      </w:r>
      <w:r w:rsidRPr="00C9040A">
        <w:rPr>
          <w:rtl/>
          <w:lang w:bidi="fa-IR"/>
        </w:rPr>
        <w:t xml:space="preserve">، فَأَتَاهُ رَجُلٌ مِنْ مُحَارِبٍ </w:t>
      </w:r>
      <w:r w:rsidR="006C577F" w:rsidRPr="006C577F">
        <w:rPr>
          <w:rStyle w:val="libFootnotenumChar"/>
          <w:rtl/>
        </w:rPr>
        <w:t>(7)</w:t>
      </w:r>
      <w:r w:rsidRPr="00C9040A">
        <w:rPr>
          <w:rtl/>
          <w:lang w:bidi="fa-IR"/>
        </w:rPr>
        <w:t xml:space="preserve"> ، فَقَالَ : يَا أَمِيرَ الْمُؤْمِنِينَ ، إِنِّي تَحَمَّلْتُ فِي‌</w:t>
      </w:r>
    </w:p>
    <w:p w:rsidR="008A74EB" w:rsidRPr="00C9040A" w:rsidRDefault="008A74EB" w:rsidP="008A74EB">
      <w:pPr>
        <w:pStyle w:val="libLine"/>
        <w:rPr>
          <w:rtl/>
          <w:lang w:bidi="fa-IR"/>
        </w:rPr>
      </w:pPr>
      <w:r w:rsidRPr="00C9040A">
        <w:rPr>
          <w:rtl/>
          <w:lang w:bidi="fa-IR"/>
        </w:rPr>
        <w:t>__________________</w:t>
      </w:r>
    </w:p>
    <w:p w:rsidR="008A74EB" w:rsidRPr="00C9040A" w:rsidRDefault="00FC2B4A" w:rsidP="004A4E41">
      <w:pPr>
        <w:pStyle w:val="libFootnote0"/>
        <w:rPr>
          <w:rtl/>
          <w:lang w:bidi="fa-IR"/>
        </w:rPr>
      </w:pPr>
      <w:r>
        <w:rPr>
          <w:rFonts w:hint="cs"/>
          <w:rtl/>
        </w:rPr>
        <w:t xml:space="preserve">= </w:t>
      </w:r>
      <w:r w:rsidR="008A74EB" w:rsidRPr="00C9040A">
        <w:rPr>
          <w:rtl/>
        </w:rPr>
        <w:t xml:space="preserve">بسند آخر عن النبيّ </w:t>
      </w:r>
      <w:r w:rsidR="004A4E41" w:rsidRPr="00FC2B4A">
        <w:rPr>
          <w:rStyle w:val="libFootnoteAlaemChar"/>
          <w:rtl/>
        </w:rPr>
        <w:t>صلى‌الله‌عليه‌وآله</w:t>
      </w:r>
      <w:r w:rsidR="008A74EB" w:rsidRPr="00C9040A">
        <w:rPr>
          <w:rtl/>
        </w:rPr>
        <w:t xml:space="preserve"> ؛ </w:t>
      </w:r>
      <w:r w:rsidR="008A74EB" w:rsidRPr="00993B55">
        <w:rPr>
          <w:rStyle w:val="libFootnoteBoldChar"/>
          <w:rtl/>
        </w:rPr>
        <w:t>عيون الأخبار</w:t>
      </w:r>
      <w:r w:rsidR="008A74EB" w:rsidRPr="00C9040A">
        <w:rPr>
          <w:rtl/>
        </w:rPr>
        <w:t xml:space="preserve"> ، ج 2 ، ص 44 ، ص 157 ، بسند آخر عن الرضا ، عن آبائه ، عن الحسين بن عليّ </w:t>
      </w:r>
      <w:r w:rsidR="00117575" w:rsidRPr="00117575">
        <w:rPr>
          <w:rStyle w:val="libFootnoteAlaemChar"/>
          <w:rtl/>
        </w:rPr>
        <w:t>عليهم‌السلام</w:t>
      </w:r>
      <w:r w:rsidR="008A74EB" w:rsidRPr="00C9040A">
        <w:rPr>
          <w:rtl/>
        </w:rPr>
        <w:t xml:space="preserve"> ، من دون الإسناد إلى النبيّ </w:t>
      </w:r>
      <w:r w:rsidR="004A4E41" w:rsidRPr="00FC2B4A">
        <w:rPr>
          <w:rStyle w:val="libFootnoteAlaemChar"/>
          <w:rtl/>
        </w:rPr>
        <w:t>صلى‌الله‌عليه‌وآله</w:t>
      </w:r>
      <w:r w:rsidR="008A74EB" w:rsidRPr="00C9040A">
        <w:rPr>
          <w:rtl/>
        </w:rPr>
        <w:t xml:space="preserve"> ، وفي كلّها مع اختلاف يسير </w:t>
      </w:r>
      <w:r>
        <w:rPr>
          <w:rFonts w:hint="cs"/>
          <w:rtl/>
        </w:rPr>
        <w:t>.</w:t>
      </w:r>
      <w:r w:rsidR="008A74EB" w:rsidRPr="00993B55">
        <w:rPr>
          <w:rStyle w:val="libFootnoteBoldChar"/>
          <w:rtl/>
        </w:rPr>
        <w:t>الوافي</w:t>
      </w:r>
      <w:r w:rsidR="008A74EB" w:rsidRPr="00C9040A">
        <w:rPr>
          <w:rtl/>
        </w:rPr>
        <w:t xml:space="preserve"> ، ج 5 ، ص 508 ، ح 2455 ؛ </w:t>
      </w:r>
      <w:r w:rsidR="008A74EB" w:rsidRPr="00993B55">
        <w:rPr>
          <w:rStyle w:val="libFootnoteBoldChar"/>
          <w:rtl/>
        </w:rPr>
        <w:t>البحار</w:t>
      </w:r>
      <w:r w:rsidR="008A74EB" w:rsidRPr="00C9040A">
        <w:rPr>
          <w:rtl/>
        </w:rPr>
        <w:t xml:space="preserve"> ، ج 74 ، ص 121 ، ح 84.</w:t>
      </w:r>
    </w:p>
    <w:tbl>
      <w:tblPr>
        <w:tblStyle w:val="TableGrid"/>
        <w:bidiVisual/>
        <w:tblW w:w="0" w:type="auto"/>
        <w:tblLook w:val="04A0" w:firstRow="1" w:lastRow="0" w:firstColumn="1" w:lastColumn="0" w:noHBand="0" w:noVBand="1"/>
      </w:tblPr>
      <w:tblGrid>
        <w:gridCol w:w="4006"/>
        <w:gridCol w:w="4006"/>
      </w:tblGrid>
      <w:tr w:rsidR="004E5B41" w:rsidTr="004E5B41">
        <w:tc>
          <w:tcPr>
            <w:tcW w:w="4006" w:type="dxa"/>
          </w:tcPr>
          <w:p w:rsidR="004E5B41" w:rsidRDefault="004E5B41" w:rsidP="004A4E41">
            <w:pPr>
              <w:pStyle w:val="libFootnote0"/>
              <w:rPr>
                <w:rtl/>
                <w:lang w:bidi="fa-IR"/>
              </w:rPr>
            </w:pPr>
            <w:r>
              <w:rPr>
                <w:rtl/>
              </w:rPr>
              <w:t xml:space="preserve">(1). </w:t>
            </w:r>
            <w:r w:rsidRPr="00C9040A">
              <w:rPr>
                <w:rtl/>
              </w:rPr>
              <w:t>في « ز » : « في الرحم »</w:t>
            </w:r>
            <w:r>
              <w:rPr>
                <w:rtl/>
              </w:rPr>
              <w:t>.</w:t>
            </w:r>
          </w:p>
        </w:tc>
        <w:tc>
          <w:tcPr>
            <w:tcW w:w="4006" w:type="dxa"/>
          </w:tcPr>
          <w:p w:rsidR="004E5B41" w:rsidRDefault="004E5B41" w:rsidP="004A4E41">
            <w:pPr>
              <w:pStyle w:val="libFootnote0"/>
              <w:rPr>
                <w:rtl/>
                <w:lang w:bidi="fa-IR"/>
              </w:rPr>
            </w:pPr>
            <w:r>
              <w:rPr>
                <w:rtl/>
              </w:rPr>
              <w:t xml:space="preserve">(2). </w:t>
            </w:r>
            <w:r w:rsidRPr="00C9040A">
              <w:rPr>
                <w:rtl/>
              </w:rPr>
              <w:t>في « ب » : + « الله »</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في « ز » : « لرحمه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الوافي</w:t>
      </w:r>
      <w:r w:rsidR="008A74EB" w:rsidRPr="00C9040A">
        <w:rPr>
          <w:rtl/>
        </w:rPr>
        <w:t xml:space="preserve"> ، ج 5 ، ص 509 ، ح 2456 ؛ </w:t>
      </w:r>
      <w:r w:rsidR="008A74EB" w:rsidRPr="00993B55">
        <w:rPr>
          <w:rStyle w:val="libFootnoteBoldChar"/>
          <w:rtl/>
        </w:rPr>
        <w:t>الوسائل</w:t>
      </w:r>
      <w:r w:rsidR="008A74EB" w:rsidRPr="00C9040A">
        <w:rPr>
          <w:rtl/>
        </w:rPr>
        <w:t xml:space="preserve"> ، ج 21 ، ص 536 ، ح 27796 ؛ </w:t>
      </w:r>
      <w:r w:rsidR="008A74EB" w:rsidRPr="00993B55">
        <w:rPr>
          <w:rStyle w:val="libFootnoteBoldChar"/>
          <w:rtl/>
        </w:rPr>
        <w:t>البحار</w:t>
      </w:r>
      <w:r w:rsidR="008A74EB" w:rsidRPr="00C9040A">
        <w:rPr>
          <w:rtl/>
        </w:rPr>
        <w:t xml:space="preserve"> ، ج 74 ، ص 121 ، ح 85.</w:t>
      </w:r>
    </w:p>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الزهد</w:t>
      </w:r>
      <w:r w:rsidR="008A74EB" w:rsidRPr="00C9040A">
        <w:rPr>
          <w:rtl/>
        </w:rPr>
        <w:t xml:space="preserve"> ، ص 108 ، ح 115 ، عن الحسن بن عليّ ، عن أبي الحسن </w:t>
      </w:r>
      <w:r w:rsidR="00117575" w:rsidRPr="00117575">
        <w:rPr>
          <w:rStyle w:val="libFootnoteAlaemChar"/>
          <w:rtl/>
        </w:rPr>
        <w:t>عليه‌السلام</w:t>
      </w:r>
      <w:r w:rsidR="008A74EB" w:rsidRPr="00C9040A">
        <w:rPr>
          <w:rtl/>
        </w:rPr>
        <w:t xml:space="preserve"> ، من قوله : « إنّ الرجل يكون أجله ثلاث سنين » مع اختلاف يسير </w:t>
      </w:r>
      <w:r w:rsidR="004E5B41">
        <w:rPr>
          <w:rFonts w:hint="cs"/>
          <w:rtl/>
        </w:rPr>
        <w:t>.</w:t>
      </w:r>
      <w:r w:rsidR="008A74EB" w:rsidRPr="00993B55">
        <w:rPr>
          <w:rStyle w:val="libFootnoteBoldChar"/>
          <w:rtl/>
        </w:rPr>
        <w:t>الوافي</w:t>
      </w:r>
      <w:r w:rsidR="008A74EB" w:rsidRPr="00C9040A">
        <w:rPr>
          <w:rtl/>
        </w:rPr>
        <w:t xml:space="preserve"> ، ج 5 ، ص 509 ، ح 2457 ؛ </w:t>
      </w:r>
      <w:r w:rsidR="008A74EB" w:rsidRPr="00993B55">
        <w:rPr>
          <w:rStyle w:val="libFootnoteBoldChar"/>
          <w:rtl/>
        </w:rPr>
        <w:t>الوسائل</w:t>
      </w:r>
      <w:r w:rsidR="008A74EB" w:rsidRPr="00C9040A">
        <w:rPr>
          <w:rtl/>
        </w:rPr>
        <w:t xml:space="preserve"> ، ج 21 ، ص 536 ، ذيل ح 27796 ؛ </w:t>
      </w:r>
      <w:r w:rsidR="008A74EB" w:rsidRPr="00993B55">
        <w:rPr>
          <w:rStyle w:val="libFootnoteBoldChar"/>
          <w:rtl/>
        </w:rPr>
        <w:t>البحار</w:t>
      </w:r>
      <w:r w:rsidR="008A74EB" w:rsidRPr="00C9040A">
        <w:rPr>
          <w:rtl/>
        </w:rPr>
        <w:t xml:space="preserve"> ، ج 74 ، ص 121 ، ذيل ح 85.</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الرَّبَذَة » : من قرى المدينة على ثلاثة أيّام ، قريبة من ذات عِرق على طريق الحجاز إذا رحلتَ من فيد تريد</w:t>
      </w:r>
      <w:r w:rsidR="004E5B41">
        <w:rPr>
          <w:rFonts w:hint="cs"/>
          <w:rtl/>
        </w:rPr>
        <w:t xml:space="preserve"> </w:t>
      </w:r>
      <w:r w:rsidR="008A74EB" w:rsidRPr="00C9040A">
        <w:rPr>
          <w:rtl/>
        </w:rPr>
        <w:t xml:space="preserve">مكّة. </w:t>
      </w:r>
      <w:r w:rsidR="008A74EB" w:rsidRPr="00993B55">
        <w:rPr>
          <w:rStyle w:val="libFootnoteBoldChar"/>
          <w:rtl/>
        </w:rPr>
        <w:t>معجم البلدان</w:t>
      </w:r>
      <w:r w:rsidR="008A74EB" w:rsidRPr="00C9040A">
        <w:rPr>
          <w:rtl/>
        </w:rPr>
        <w:t xml:space="preserve"> ، ج 3 ، ص 44 ( ربذة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 محارب » : قبيلة من فِهر. </w:t>
      </w:r>
      <w:r w:rsidR="008A74EB" w:rsidRPr="00993B55">
        <w:rPr>
          <w:rStyle w:val="libFootnoteBoldChar"/>
          <w:rtl/>
        </w:rPr>
        <w:t>الصحاح</w:t>
      </w:r>
      <w:r w:rsidR="008A74EB" w:rsidRPr="00C9040A">
        <w:rPr>
          <w:rtl/>
        </w:rPr>
        <w:t xml:space="preserve"> ، ج 1 ، ص 109 ( حرب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قَوْمِي حَمَالَةً </w:t>
      </w:r>
      <w:r w:rsidR="006C577F" w:rsidRPr="006C577F">
        <w:rPr>
          <w:rStyle w:val="libFootnotenumChar"/>
          <w:rtl/>
        </w:rPr>
        <w:t>(1)</w:t>
      </w:r>
      <w:r w:rsidRPr="00C9040A">
        <w:rPr>
          <w:rtl/>
          <w:lang w:bidi="fa-IR"/>
        </w:rPr>
        <w:t xml:space="preserve"> ، وَإِنِّي سَأَلْتُ فِي طَوَائِفَ مِنْهُمُ الْمُؤَاسَاةَ </w:t>
      </w:r>
      <w:r w:rsidR="006C577F" w:rsidRPr="006C577F">
        <w:rPr>
          <w:rStyle w:val="libFootnotenumChar"/>
          <w:rtl/>
        </w:rPr>
        <w:t>(2)</w:t>
      </w:r>
      <w:r w:rsidRPr="00C9040A">
        <w:rPr>
          <w:rtl/>
          <w:lang w:bidi="fa-IR"/>
        </w:rPr>
        <w:t xml:space="preserve"> وَالْمَعُونَةَ ، فَسَبَقَتْ إِلَيَّ أَلْسِنَتُهُمْ بِالنَّكَدِ </w:t>
      </w:r>
      <w:r w:rsidR="006C577F" w:rsidRPr="006C577F">
        <w:rPr>
          <w:rStyle w:val="libFootnotenumChar"/>
          <w:rtl/>
        </w:rPr>
        <w:t>(3)</w:t>
      </w:r>
      <w:r w:rsidRPr="00C9040A">
        <w:rPr>
          <w:rtl/>
          <w:lang w:bidi="fa-IR"/>
        </w:rPr>
        <w:t xml:space="preserve"> ، فَمُرْهُمْ يَا أَمِيرَ الْمُؤْمِنِينَ بِمَعُونَتِي ، وَحُثَّهُمْ عَلى مُؤَاسَاتِي ، فَقَالَ :</w:t>
      </w:r>
      <w:r>
        <w:rPr>
          <w:rFonts w:hint="cs"/>
          <w:rtl/>
          <w:lang w:bidi="fa-IR"/>
        </w:rPr>
        <w:t xml:space="preserve"> </w:t>
      </w:r>
      <w:r w:rsidRPr="00C9040A">
        <w:rPr>
          <w:rtl/>
          <w:lang w:bidi="fa-IR"/>
        </w:rPr>
        <w:t>أَيْنَ هُمْ</w:t>
      </w:r>
      <w:r>
        <w:rPr>
          <w:rtl/>
          <w:lang w:bidi="fa-IR"/>
        </w:rPr>
        <w:t>؟</w:t>
      </w:r>
      <w:r w:rsidRPr="00C9040A">
        <w:rPr>
          <w:rtl/>
          <w:lang w:bidi="fa-IR"/>
        </w:rPr>
        <w:t xml:space="preserve"> فَقَالَ : هؤُلَاءِ فَرِيقٌ مِنْهُمْ حَيْثُ تَرى »</w:t>
      </w:r>
      <w:r>
        <w:rPr>
          <w:rtl/>
          <w:lang w:bidi="fa-IR"/>
        </w:rPr>
        <w:t>.</w:t>
      </w:r>
    </w:p>
    <w:p w:rsidR="008A74EB" w:rsidRPr="00C9040A" w:rsidRDefault="008A74EB" w:rsidP="008A74EB">
      <w:pPr>
        <w:pStyle w:val="libNormal"/>
        <w:rPr>
          <w:rtl/>
          <w:lang w:bidi="fa-IR"/>
        </w:rPr>
      </w:pPr>
      <w:r w:rsidRPr="00C9040A">
        <w:rPr>
          <w:rtl/>
          <w:lang w:bidi="fa-IR"/>
        </w:rPr>
        <w:t xml:space="preserve">قَالَ : « فَنَصَّ </w:t>
      </w:r>
      <w:r w:rsidR="006C577F" w:rsidRPr="006C577F">
        <w:rPr>
          <w:rStyle w:val="libFootnotenumChar"/>
          <w:rtl/>
        </w:rPr>
        <w:t>(4)</w:t>
      </w:r>
      <w:r w:rsidRPr="00C9040A">
        <w:rPr>
          <w:rtl/>
          <w:lang w:bidi="fa-IR"/>
        </w:rPr>
        <w:t xml:space="preserve"> رَاحِلَتَهُ فَادَّلَفَتْ </w:t>
      </w:r>
      <w:r w:rsidR="006C577F" w:rsidRPr="006C577F">
        <w:rPr>
          <w:rStyle w:val="libFootnotenumChar"/>
          <w:rtl/>
        </w:rPr>
        <w:t>(5)</w:t>
      </w:r>
      <w:r w:rsidRPr="00C9040A">
        <w:rPr>
          <w:rtl/>
          <w:lang w:bidi="fa-IR"/>
        </w:rPr>
        <w:t xml:space="preserve"> كَأَنَّهَا ظَلِيمٌ </w:t>
      </w:r>
      <w:r w:rsidR="006C577F" w:rsidRPr="006C577F">
        <w:rPr>
          <w:rStyle w:val="libFootnotenumChar"/>
          <w:rtl/>
        </w:rPr>
        <w:t>(6)</w:t>
      </w:r>
      <w:r w:rsidRPr="005B567D">
        <w:rPr>
          <w:rStyle w:val="libFootnotenumChar"/>
          <w:rtl/>
        </w:rPr>
        <w:t xml:space="preserve"> </w:t>
      </w:r>
      <w:r w:rsidRPr="00C9040A">
        <w:rPr>
          <w:rtl/>
          <w:lang w:bidi="fa-IR"/>
        </w:rPr>
        <w:t xml:space="preserve">، فَدَلَفَ </w:t>
      </w:r>
      <w:r w:rsidR="006C577F" w:rsidRPr="006C577F">
        <w:rPr>
          <w:rStyle w:val="libFootnotenumChar"/>
          <w:rtl/>
        </w:rPr>
        <w:t>(7)</w:t>
      </w:r>
      <w:r w:rsidRPr="00C9040A">
        <w:rPr>
          <w:rtl/>
          <w:lang w:bidi="fa-IR"/>
        </w:rPr>
        <w:t xml:space="preserve"> بَعْضُ أَصْحَابِهِ فِي طَلَبِهَا ، فَلَأْياً بِلَأْيٍ </w:t>
      </w:r>
      <w:r w:rsidR="006C577F" w:rsidRPr="006C577F">
        <w:rPr>
          <w:rStyle w:val="libFootnotenumChar"/>
          <w:rtl/>
        </w:rPr>
        <w:t>(8)</w:t>
      </w:r>
      <w:r w:rsidRPr="00C9040A">
        <w:rPr>
          <w:rtl/>
          <w:lang w:bidi="fa-IR"/>
        </w:rPr>
        <w:t xml:space="preserve"> مَا لُحِقَتْ </w:t>
      </w:r>
      <w:r w:rsidR="006C577F" w:rsidRPr="006C577F">
        <w:rPr>
          <w:rStyle w:val="libFootnotenumChar"/>
          <w:rtl/>
        </w:rPr>
        <w:t>(9)</w:t>
      </w:r>
      <w:r w:rsidRPr="00C9040A">
        <w:rPr>
          <w:rtl/>
          <w:lang w:bidi="fa-IR"/>
        </w:rPr>
        <w:t xml:space="preserve"> ، فَانْتَهى إِلَى الْقَوْمِ ، فَسَلَّمَ عَلَيْهِمْ ، وَسَأَلَهُمْ مَا يَمْنَعُهُمْ </w:t>
      </w:r>
      <w:r w:rsidR="006C577F" w:rsidRPr="006C577F">
        <w:rPr>
          <w:rStyle w:val="libFootnotenumChar"/>
          <w:rtl/>
        </w:rPr>
        <w:t>(10)</w:t>
      </w:r>
      <w:r w:rsidRPr="00C9040A">
        <w:rPr>
          <w:rtl/>
          <w:lang w:bidi="fa-IR"/>
        </w:rPr>
        <w:t xml:space="preserve"> مِنْ مُوَاسَاةِ صَاحِبِهِمْ ، فَشَكَوْهُ وَشَكَاهُمْ ، فَقَالَ أَمِيرُ الْمُؤْمِنِينَ </w:t>
      </w:r>
      <w:r w:rsidRPr="0003660B">
        <w:rPr>
          <w:rStyle w:val="libAlaemChar"/>
          <w:rtl/>
        </w:rPr>
        <w:t>عليه‌السلام</w:t>
      </w:r>
      <w:r w:rsidRPr="00C9040A">
        <w:rPr>
          <w:rtl/>
          <w:lang w:bidi="fa-IR"/>
        </w:rPr>
        <w:t xml:space="preserve"> : وَصَلَ امْرُؤٌ عَشِيرَتَهُ </w:t>
      </w:r>
      <w:r w:rsidR="006C577F" w:rsidRPr="006C577F">
        <w:rPr>
          <w:rStyle w:val="libFootnotenumChar"/>
          <w:rtl/>
        </w:rPr>
        <w:t>(11)</w:t>
      </w:r>
      <w:r w:rsidRPr="00C9040A">
        <w:rPr>
          <w:rtl/>
          <w:lang w:bidi="fa-IR"/>
        </w:rPr>
        <w:t xml:space="preserve"> ؛ فَإِنَّهُمْ‌</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 الحمالة » : ما يتحمّله الإنسان عن غيره من دية أو غرامة ، والتحمّل أن يتحمّلها عن نفسه. </w:t>
      </w:r>
      <w:r w:rsidR="008A74EB" w:rsidRPr="00993B55">
        <w:rPr>
          <w:rStyle w:val="libFootnoteBoldChar"/>
          <w:rtl/>
        </w:rPr>
        <w:t>النهاية</w:t>
      </w:r>
      <w:r w:rsidR="008A74EB" w:rsidRPr="00C9040A">
        <w:rPr>
          <w:rtl/>
        </w:rPr>
        <w:t xml:space="preserve"> ، ج 1 ، ص 442 ( حمل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يجوز في الكلمة : « المواساة » وهو من تخفيف الهمزة.</w:t>
      </w:r>
    </w:p>
    <w:p w:rsidR="008A74EB" w:rsidRPr="00C9040A" w:rsidRDefault="006C577F" w:rsidP="004A4E41">
      <w:pPr>
        <w:pStyle w:val="libFootnote0"/>
        <w:rPr>
          <w:rtl/>
          <w:lang w:bidi="fa-IR"/>
        </w:rPr>
      </w:pPr>
      <w:r>
        <w:rPr>
          <w:rtl/>
        </w:rPr>
        <w:t>(3).</w:t>
      </w:r>
      <w:r w:rsidR="008A74EB" w:rsidRPr="00C9040A">
        <w:rPr>
          <w:rtl/>
        </w:rPr>
        <w:t xml:space="preserve"> « النَّكَد » : كلّ شي‌ء جرّ على صاحبه شرّاً. </w:t>
      </w:r>
      <w:r w:rsidR="008A74EB" w:rsidRPr="00993B55">
        <w:rPr>
          <w:rStyle w:val="libFootnoteBoldChar"/>
          <w:rtl/>
        </w:rPr>
        <w:t>ترتيب كتاب العين</w:t>
      </w:r>
      <w:r w:rsidR="008A74EB" w:rsidRPr="00C9040A">
        <w:rPr>
          <w:rtl/>
        </w:rPr>
        <w:t xml:space="preserve"> ، ج 3 ، ص 1838 ( نكد )</w:t>
      </w:r>
      <w:r w:rsidR="008A74EB">
        <w:rPr>
          <w:rtl/>
        </w:rPr>
        <w:t>.</w:t>
      </w:r>
      <w:r w:rsidR="008A74EB" w:rsidRPr="00C9040A">
        <w:rPr>
          <w:rtl/>
        </w:rPr>
        <w:t xml:space="preserve"> والمراد : بالقبيح والشرّ.</w:t>
      </w:r>
    </w:p>
    <w:p w:rsidR="008A74EB" w:rsidRPr="00C9040A" w:rsidRDefault="006C577F" w:rsidP="004A4E41">
      <w:pPr>
        <w:pStyle w:val="libFootnote0"/>
        <w:rPr>
          <w:rtl/>
          <w:lang w:bidi="fa-IR"/>
        </w:rPr>
      </w:pPr>
      <w:r>
        <w:rPr>
          <w:rtl/>
        </w:rPr>
        <w:t>(4).</w:t>
      </w:r>
      <w:r w:rsidR="008A74EB" w:rsidRPr="00C9040A">
        <w:rPr>
          <w:rtl/>
        </w:rPr>
        <w:t xml:space="preserve"> يقال : نصَّ راحلته : إذا استخرج ما عندها من السير. ونصّ كلّ شي‌ء : منتهاه. وقال الأصمعي : النصّ : السيرالشديد حتّى يستخرج أقصى ما عندها. </w:t>
      </w:r>
      <w:r w:rsidR="008A74EB" w:rsidRPr="00993B55">
        <w:rPr>
          <w:rStyle w:val="libFootnoteBoldChar"/>
          <w:rtl/>
        </w:rPr>
        <w:t>مجمع البحرين</w:t>
      </w:r>
      <w:r w:rsidR="008A74EB" w:rsidRPr="00C9040A">
        <w:rPr>
          <w:rtl/>
        </w:rPr>
        <w:t xml:space="preserve"> ، ج 4 ، ص 185 ؛ </w:t>
      </w:r>
      <w:r w:rsidR="008A74EB" w:rsidRPr="00993B55">
        <w:rPr>
          <w:rStyle w:val="libFootnoteBoldChar"/>
          <w:rtl/>
        </w:rPr>
        <w:t>الصحاح</w:t>
      </w:r>
      <w:r w:rsidR="008A74EB" w:rsidRPr="00C9040A">
        <w:rPr>
          <w:rtl/>
        </w:rPr>
        <w:t xml:space="preserve"> ، ج 3 ، ص 1058 ( نصص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 فادّلفت » ، على هيئة الافتعال ، ويجوز التفعّل ، أي مشت مشي المقيّد وفوق الدبيب ، كأنّها الذَّكَر من النعام ؛ من الدليف ، وهو المشي فوق الدبيب. أو مشت وقاربت الخَطْو وأسرعت ؛ من الدليف بمعنى المشي مع تقارب الخطو والإسراع ، كأنّه الوَخَدان ، وهو نوع من سير الإبل ، وهو أن تسرع وتوسّع الخطو ، أو ترمي قوائمه كمشي النعام. أو المعنى : ركضت وتقدّمت ؛ من الدَّلْف ، وهو التقدّم. راجع : </w:t>
      </w:r>
      <w:r w:rsidR="008A74EB" w:rsidRPr="00993B55">
        <w:rPr>
          <w:rStyle w:val="libFootnoteBoldChar"/>
          <w:rtl/>
        </w:rPr>
        <w:t>لسان العرب</w:t>
      </w:r>
      <w:r w:rsidR="008A74EB" w:rsidRPr="00C9040A">
        <w:rPr>
          <w:rtl/>
        </w:rPr>
        <w:t xml:space="preserve"> ، ج 9 ، ص 106 ؛ </w:t>
      </w:r>
      <w:r w:rsidR="008A74EB" w:rsidRPr="00993B55">
        <w:rPr>
          <w:rStyle w:val="libFootnoteBoldChar"/>
          <w:rtl/>
        </w:rPr>
        <w:t>القاموس المحيط</w:t>
      </w:r>
      <w:r w:rsidR="008A74EB" w:rsidRPr="00C9040A">
        <w:rPr>
          <w:rtl/>
        </w:rPr>
        <w:t xml:space="preserve"> ، ج 2 ، ص 1081 ( دلف ) ؛ </w:t>
      </w:r>
      <w:r w:rsidR="008A74EB" w:rsidRPr="00993B55">
        <w:rPr>
          <w:rStyle w:val="libFootnoteBoldChar"/>
          <w:rtl/>
        </w:rPr>
        <w:t>شرح المازندراني</w:t>
      </w:r>
      <w:r w:rsidR="008A74EB" w:rsidRPr="00C9040A">
        <w:rPr>
          <w:rtl/>
        </w:rPr>
        <w:t xml:space="preserve"> ، ج 9 ، ص 12 ؛ </w:t>
      </w:r>
      <w:r w:rsidR="008A74EB" w:rsidRPr="00993B55">
        <w:rPr>
          <w:rStyle w:val="libFootnoteBoldChar"/>
          <w:rtl/>
        </w:rPr>
        <w:t>الوافي</w:t>
      </w:r>
      <w:r w:rsidR="008A74EB" w:rsidRPr="00C9040A">
        <w:rPr>
          <w:rtl/>
        </w:rPr>
        <w:t xml:space="preserve"> ، ج 5 ، ص 511 ؛ </w:t>
      </w:r>
      <w:r w:rsidR="008A74EB" w:rsidRPr="00993B55">
        <w:rPr>
          <w:rStyle w:val="libFootnoteBoldChar"/>
          <w:rtl/>
        </w:rPr>
        <w:t>مرآة العقول</w:t>
      </w:r>
      <w:r w:rsidR="008A74EB" w:rsidRPr="00C9040A">
        <w:rPr>
          <w:rtl/>
        </w:rPr>
        <w:t xml:space="preserve"> ، ج 8 ، ص 374 ؛ </w:t>
      </w:r>
      <w:r w:rsidR="008A74EB" w:rsidRPr="00993B55">
        <w:rPr>
          <w:rStyle w:val="libFootnoteBoldChar"/>
          <w:rtl/>
        </w:rPr>
        <w:t>البحار</w:t>
      </w:r>
      <w:r w:rsidR="008A74EB" w:rsidRPr="00C9040A">
        <w:rPr>
          <w:rtl/>
        </w:rPr>
        <w:t xml:space="preserve"> ، ج 32 ، ص 133 ، ذيل الحديث 106.</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 الظليم » : الذكر من النعام. </w:t>
      </w:r>
      <w:r w:rsidR="008A74EB" w:rsidRPr="00993B55">
        <w:rPr>
          <w:rStyle w:val="libFootnoteBoldChar"/>
          <w:rtl/>
        </w:rPr>
        <w:t>الصحاح</w:t>
      </w:r>
      <w:r w:rsidR="008A74EB" w:rsidRPr="00C9040A">
        <w:rPr>
          <w:rtl/>
        </w:rPr>
        <w:t xml:space="preserve"> ، ج 5 ، ص 1978 ( ظلم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هكذا في « ب ، ز ، ص ، ف ، بر ، بف » وشرح المازندراني والوافي. وفي بعض النسخ والمطبوع : « فأدلف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 بر ، بس » : « فلَأيا » بصيغة التثنية. يقال : فعل ذلك بعد لأي ، أي بعد شدّة وإبطاء. </w:t>
      </w:r>
      <w:r w:rsidR="008A74EB" w:rsidRPr="00993B55">
        <w:rPr>
          <w:rStyle w:val="libFootnoteBoldChar"/>
          <w:rtl/>
        </w:rPr>
        <w:t>الصحاح</w:t>
      </w:r>
      <w:r w:rsidR="008A74EB" w:rsidRPr="00C9040A">
        <w:rPr>
          <w:rtl/>
        </w:rPr>
        <w:t xml:space="preserve"> ، ج 6 ، ص 2478 ( لأى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مقتضى المقام كون « ما » نافيةً ، أي ما لُحقت راحلتُه </w:t>
      </w:r>
      <w:r w:rsidR="00117575" w:rsidRPr="00117575">
        <w:rPr>
          <w:rStyle w:val="libFootnoteAlaemChar"/>
          <w:rtl/>
        </w:rPr>
        <w:t xml:space="preserve">عليه‌السلام </w:t>
      </w:r>
      <w:r w:rsidR="008A74EB" w:rsidRPr="00C9040A">
        <w:rPr>
          <w:rtl/>
        </w:rPr>
        <w:t xml:space="preserve">مع سعي ذلك البعض واجتهاده. وفي </w:t>
      </w:r>
      <w:r w:rsidR="008A74EB" w:rsidRPr="00993B55">
        <w:rPr>
          <w:rStyle w:val="libFootnoteBoldChar"/>
          <w:rtl/>
        </w:rPr>
        <w:t>الوافي</w:t>
      </w:r>
      <w:r w:rsidR="008A74EB" w:rsidRPr="00C9040A">
        <w:rPr>
          <w:rtl/>
        </w:rPr>
        <w:t xml:space="preserve"> : </w:t>
      </w:r>
      <w:r w:rsidR="008A74EB">
        <w:rPr>
          <w:rtl/>
        </w:rPr>
        <w:t>و «</w:t>
      </w:r>
      <w:r w:rsidR="008A74EB" w:rsidRPr="00C9040A">
        <w:rPr>
          <w:rtl/>
        </w:rPr>
        <w:t xml:space="preserve"> ما » مصدريّة ؛ يعني فأبطأ </w:t>
      </w:r>
      <w:r w:rsidR="00117575" w:rsidRPr="00117575">
        <w:rPr>
          <w:rStyle w:val="libFootnoteAlaemChar"/>
          <w:rtl/>
        </w:rPr>
        <w:t xml:space="preserve">عليه‌السلام </w:t>
      </w:r>
      <w:r w:rsidR="008A74EB" w:rsidRPr="00C9040A">
        <w:rPr>
          <w:rtl/>
        </w:rPr>
        <w:t xml:space="preserve">واحتبس بسبب إبطاء لحوق القوم. وذكر في </w:t>
      </w:r>
      <w:r w:rsidR="008A74EB" w:rsidRPr="00993B55">
        <w:rPr>
          <w:rStyle w:val="libFootnoteBoldChar"/>
          <w:rtl/>
        </w:rPr>
        <w:t>مرآة العقول</w:t>
      </w:r>
      <w:r w:rsidR="008A74EB" w:rsidRPr="00C9040A">
        <w:rPr>
          <w:rtl/>
        </w:rPr>
        <w:t xml:space="preserve"> ، لقوله </w:t>
      </w:r>
      <w:r w:rsidR="00117575" w:rsidRPr="00117575">
        <w:rPr>
          <w:rStyle w:val="libFootnoteAlaemChar"/>
          <w:rtl/>
        </w:rPr>
        <w:t>عليه‌السلام</w:t>
      </w:r>
      <w:r w:rsidR="008A74EB" w:rsidRPr="00C9040A">
        <w:rPr>
          <w:rtl/>
        </w:rPr>
        <w:t xml:space="preserve"> : « فلَأياً بلأي ما لحقت » وجوهاً من المعنى ، فقرأ على بعض الوجوه : لحقت ، بصيغة المعلوم.</w:t>
      </w:r>
    </w:p>
    <w:p w:rsidR="008A74EB" w:rsidRPr="00C9040A" w:rsidRDefault="006C577F" w:rsidP="004A4E41">
      <w:pPr>
        <w:pStyle w:val="libFootnote0"/>
        <w:rPr>
          <w:rtl/>
          <w:lang w:bidi="fa-IR"/>
        </w:rPr>
      </w:pPr>
      <w:r>
        <w:rPr>
          <w:rtl/>
        </w:rPr>
        <w:t>(10).</w:t>
      </w:r>
      <w:r w:rsidR="008A74EB" w:rsidRPr="00C9040A">
        <w:rPr>
          <w:rtl/>
        </w:rPr>
        <w:t xml:space="preserve"> في </w:t>
      </w:r>
      <w:r w:rsidR="008A74EB" w:rsidRPr="00993B55">
        <w:rPr>
          <w:rStyle w:val="libFootnoteBoldChar"/>
          <w:rtl/>
        </w:rPr>
        <w:t>مرآة العقول</w:t>
      </w:r>
      <w:r w:rsidR="008A74EB" w:rsidRPr="00C9040A">
        <w:rPr>
          <w:rtl/>
        </w:rPr>
        <w:t xml:space="preserve"> : « قوله </w:t>
      </w:r>
      <w:r w:rsidR="00117575" w:rsidRPr="00117575">
        <w:rPr>
          <w:rStyle w:val="libFootnoteAlaemChar"/>
          <w:rtl/>
        </w:rPr>
        <w:t>عليه‌السلام</w:t>
      </w:r>
      <w:r w:rsidR="008A74EB" w:rsidRPr="00C9040A">
        <w:rPr>
          <w:rtl/>
        </w:rPr>
        <w:t xml:space="preserve"> : وسألهم ما يمنعهم. « ما » استفهاميّة ، وضمير الغائب في « يمنعهم » </w:t>
      </w:r>
      <w:r w:rsidR="008A74EB">
        <w:rPr>
          <w:rtl/>
        </w:rPr>
        <w:t>و «</w:t>
      </w:r>
      <w:r w:rsidR="008A74EB" w:rsidRPr="00C9040A">
        <w:rPr>
          <w:rtl/>
        </w:rPr>
        <w:t xml:space="preserve"> صاحبهم » لتغليب زمان الحكاية على زمان المحكيّ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في </w:t>
      </w:r>
      <w:r w:rsidR="008A74EB" w:rsidRPr="00993B55">
        <w:rPr>
          <w:rStyle w:val="libFootnoteBoldChar"/>
          <w:rtl/>
        </w:rPr>
        <w:t>المرآة</w:t>
      </w:r>
      <w:r w:rsidR="008A74EB" w:rsidRPr="00C9040A">
        <w:rPr>
          <w:rtl/>
        </w:rPr>
        <w:t xml:space="preserve"> : « وصل امرؤ ، أمرٌ في صورة الخبر. وكذا قوله : وصلت ال</w:t>
      </w:r>
      <w:r w:rsidR="0050390B">
        <w:rPr>
          <w:rtl/>
        </w:rPr>
        <w:t>عشيرة. والنكرة هنا للعموم نحوها</w:t>
      </w:r>
      <w:r w:rsidR="0050390B">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أَوْلى بِبِرِّهِ وَذَاتِ يَدِهِ ، وَوَصَلَتِ الْعَشِيرَةُ أَخَاهَا إِنْ عَثَرَ بِهِ دَهْرٌ وَأَدْبَرَتْ عَنْهُ دُنْيَا </w:t>
      </w:r>
      <w:r w:rsidR="006C577F" w:rsidRPr="006C577F">
        <w:rPr>
          <w:rStyle w:val="libFootnotenumChar"/>
          <w:rtl/>
        </w:rPr>
        <w:t>(1)</w:t>
      </w:r>
      <w:r w:rsidRPr="00C9040A">
        <w:rPr>
          <w:rtl/>
          <w:lang w:bidi="fa-IR"/>
        </w:rPr>
        <w:t xml:space="preserve"> ؛ فَإِنَّ الْمُتَوَاصِلِينَ الْمُتَبَاذِلِينَ مَأْجُورُونَ ، وَإِنَّ الْمُتَقَاطِعِينَ الْمُتَدَابِرِينَ مَوْزُورُونَ »</w:t>
      </w:r>
      <w:r>
        <w:rPr>
          <w:rtl/>
          <w:lang w:bidi="fa-IR"/>
        </w:rPr>
        <w:t>.</w:t>
      </w:r>
    </w:p>
    <w:p w:rsidR="008A74EB" w:rsidRPr="00C9040A" w:rsidRDefault="008A74EB" w:rsidP="008A74EB">
      <w:pPr>
        <w:pStyle w:val="libNormal"/>
        <w:rPr>
          <w:rtl/>
          <w:lang w:bidi="fa-IR"/>
        </w:rPr>
      </w:pPr>
      <w:r w:rsidRPr="00C9040A">
        <w:rPr>
          <w:rtl/>
          <w:lang w:bidi="fa-IR"/>
        </w:rPr>
        <w:t xml:space="preserve">قَالَ : « ثُمَّ </w:t>
      </w:r>
      <w:r w:rsidR="006C577F" w:rsidRPr="006C577F">
        <w:rPr>
          <w:rStyle w:val="libFootnotenumChar"/>
          <w:rtl/>
        </w:rPr>
        <w:t>(2)</w:t>
      </w:r>
      <w:r w:rsidRPr="00C9040A">
        <w:rPr>
          <w:rtl/>
          <w:lang w:bidi="fa-IR"/>
        </w:rPr>
        <w:t xml:space="preserve"> بَعَثَ رَاحِلَتَهُ ، وَقَالَ : حَلْ </w:t>
      </w:r>
      <w:r w:rsidR="006C577F" w:rsidRPr="006C577F">
        <w:rPr>
          <w:rStyle w:val="libFootnotenumChar"/>
          <w:rtl/>
        </w:rPr>
        <w:t>(3)</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(4)</w:t>
      </w:r>
    </w:p>
    <w:p w:rsidR="008A74EB" w:rsidRPr="00C9040A" w:rsidRDefault="008A74EB" w:rsidP="008A74EB">
      <w:pPr>
        <w:pStyle w:val="libNormal"/>
        <w:rPr>
          <w:rtl/>
          <w:lang w:bidi="fa-IR"/>
        </w:rPr>
      </w:pPr>
      <w:r w:rsidRPr="00665727">
        <w:rPr>
          <w:rtl/>
        </w:rPr>
        <w:t>1992</w:t>
      </w:r>
      <w:r w:rsidRPr="00261CB0">
        <w:rPr>
          <w:rStyle w:val="libBold2Char"/>
          <w:rtl/>
        </w:rPr>
        <w:t xml:space="preserve"> / 19.</w:t>
      </w:r>
      <w:r w:rsidRPr="00C9040A">
        <w:rPr>
          <w:rtl/>
          <w:lang w:bidi="fa-IR"/>
        </w:rPr>
        <w:t xml:space="preserve"> مُحَمَّدُ بْنُ يَحْيى ، عَنْ أَحْمَدَ بْنِ مُحَمَّدِ بْنِ عِيسى ، عَنْ عُثْمَانَ بْنِ عِيسى ، عَنْ يَحْيى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أَمِيرُ الْمُؤْمِنِينَ </w:t>
      </w:r>
      <w:r w:rsidRPr="0003660B">
        <w:rPr>
          <w:rStyle w:val="libAlaemChar"/>
          <w:rtl/>
        </w:rPr>
        <w:t>عليه‌السلام</w:t>
      </w:r>
      <w:r w:rsidRPr="00C9040A">
        <w:rPr>
          <w:rtl/>
          <w:lang w:bidi="fa-IR"/>
        </w:rPr>
        <w:t xml:space="preserve"> : لَنْ يَرْغَبَ الْمَرْءُ عَنْ </w:t>
      </w:r>
      <w:r w:rsidR="006C577F" w:rsidRPr="006C577F">
        <w:rPr>
          <w:rStyle w:val="libFootnotenumChar"/>
          <w:rtl/>
        </w:rPr>
        <w:t>(5)</w:t>
      </w:r>
      <w:r w:rsidRPr="00C9040A">
        <w:rPr>
          <w:rtl/>
          <w:lang w:bidi="fa-IR"/>
        </w:rPr>
        <w:t xml:space="preserve"> عَشِيرَتِهِ وَإِنْ كَانَ ذَا مَالٍ وَوَلَدٍ ، وَعَنْ مَوَدَّتِهِمْ وَكَرَامَتِهِمْ وَدِفَاعِهِمْ بِأَيْدِيهِمْ وَأَلْسِنَتِهِمْ ، هُمْ أَشَدُّ النَّاسِ حِيطَةً </w:t>
      </w:r>
      <w:r w:rsidR="006C577F" w:rsidRPr="006C577F">
        <w:rPr>
          <w:rStyle w:val="libFootnotenumChar"/>
          <w:rtl/>
        </w:rPr>
        <w:t>(6)</w:t>
      </w:r>
      <w:r w:rsidRPr="005B567D">
        <w:rPr>
          <w:rStyle w:val="libFootnotenumChar"/>
          <w:rtl/>
        </w:rPr>
        <w:t xml:space="preserve"> </w:t>
      </w:r>
      <w:r w:rsidRPr="00C9040A">
        <w:rPr>
          <w:rtl/>
          <w:lang w:bidi="fa-IR"/>
        </w:rPr>
        <w:t xml:space="preserve">مِنْ وَرَائِهِ وَأَعْطَفُهُمْ عَلَيْهِ وَأَلَمُّهُمْ لِشَعَثِهِ </w:t>
      </w:r>
      <w:r w:rsidR="006C577F" w:rsidRPr="006C577F">
        <w:rPr>
          <w:rStyle w:val="libFootnotenumChar"/>
          <w:rtl/>
        </w:rPr>
        <w:t>(7)</w:t>
      </w:r>
      <w:r w:rsidRPr="00C9040A">
        <w:rPr>
          <w:rtl/>
          <w:lang w:bidi="fa-IR"/>
        </w:rPr>
        <w:t xml:space="preserve"> إِنْ أَصَابَتْهُ مُصِيبَةٌ أَوْ نَزَلَ بِهِ بَعْضُ مَكَارِهِ الْأُمُورِ ؛ وَمَنْ يَقْبِضْ يَدَهُ عَنْ عَشِيرَتِهِ ، فَإِنَّمَا يَقْبِضُ عَنْهُمْ يَداً وَاحِدَةً ، وَيُقْبَضُ </w:t>
      </w:r>
      <w:r w:rsidR="006C577F" w:rsidRPr="006C577F">
        <w:rPr>
          <w:rStyle w:val="libFootnotenumChar"/>
          <w:rtl/>
        </w:rPr>
        <w:t>(8)</w:t>
      </w:r>
      <w:r w:rsidRPr="00C9040A">
        <w:rPr>
          <w:rtl/>
          <w:lang w:bidi="fa-IR"/>
        </w:rPr>
        <w:t xml:space="preserve"> عَنْهُ مِنْهُمْ </w:t>
      </w:r>
      <w:r w:rsidR="006C577F" w:rsidRPr="006C577F">
        <w:rPr>
          <w:rStyle w:val="libFootnotenumChar"/>
          <w:rtl/>
        </w:rPr>
        <w:t>(9)</w:t>
      </w:r>
      <w:r w:rsidRPr="00C9040A">
        <w:rPr>
          <w:rtl/>
          <w:lang w:bidi="fa-IR"/>
        </w:rPr>
        <w:t xml:space="preserve"> أَيْدٍ كَثِيرَةٌ ؛ وَمَنْ يُلِنْ </w:t>
      </w:r>
      <w:r w:rsidR="006C577F" w:rsidRPr="006C577F">
        <w:rPr>
          <w:rStyle w:val="libFootnotenumChar"/>
          <w:rtl/>
        </w:rPr>
        <w:t>(10)</w:t>
      </w:r>
      <w:r w:rsidRPr="00C9040A">
        <w:rPr>
          <w:rtl/>
          <w:lang w:bidi="fa-IR"/>
        </w:rPr>
        <w:t xml:space="preserve"> حَاشِيَتَهُ ، يَعْرِفْ صَدِيقُهُ مِنْهُ الْمَوَدَّةَ ؛ وَمَنْ‌</w:t>
      </w:r>
    </w:p>
    <w:p w:rsidR="008A74EB" w:rsidRPr="00C9040A" w:rsidRDefault="008A74EB" w:rsidP="008A74EB">
      <w:pPr>
        <w:pStyle w:val="libLine"/>
        <w:rPr>
          <w:rtl/>
          <w:lang w:bidi="fa-IR"/>
        </w:rPr>
      </w:pPr>
      <w:r w:rsidRPr="00C9040A">
        <w:rPr>
          <w:rtl/>
          <w:lang w:bidi="fa-IR"/>
        </w:rPr>
        <w:t>__________________</w:t>
      </w:r>
    </w:p>
    <w:p w:rsidR="008A74EB" w:rsidRPr="00C9040A" w:rsidRDefault="00084388" w:rsidP="004A4E41">
      <w:pPr>
        <w:pStyle w:val="libFootnote0"/>
        <w:rPr>
          <w:rtl/>
          <w:lang w:bidi="fa-IR"/>
        </w:rPr>
      </w:pPr>
      <w:r>
        <w:rPr>
          <w:rFonts w:hint="cs"/>
          <w:rtl/>
        </w:rPr>
        <w:t xml:space="preserve">= </w:t>
      </w:r>
      <w:r w:rsidR="008A74EB" w:rsidRPr="00C9040A">
        <w:rPr>
          <w:rtl/>
        </w:rPr>
        <w:t>في قولهم : أنجز حرّ ما وعد »</w:t>
      </w:r>
      <w:r w:rsidR="008A74EB">
        <w:rPr>
          <w:rtl/>
        </w:rPr>
        <w:t>.</w:t>
      </w:r>
    </w:p>
    <w:tbl>
      <w:tblPr>
        <w:tblStyle w:val="TableGrid"/>
        <w:bidiVisual/>
        <w:tblW w:w="0" w:type="auto"/>
        <w:tblLook w:val="04A0" w:firstRow="1" w:lastRow="0" w:firstColumn="1" w:lastColumn="0" w:noHBand="0" w:noVBand="1"/>
      </w:tblPr>
      <w:tblGrid>
        <w:gridCol w:w="4006"/>
        <w:gridCol w:w="4006"/>
      </w:tblGrid>
      <w:tr w:rsidR="00084388" w:rsidTr="00084388">
        <w:tc>
          <w:tcPr>
            <w:tcW w:w="4006" w:type="dxa"/>
          </w:tcPr>
          <w:p w:rsidR="00084388" w:rsidRDefault="00084388" w:rsidP="004A4E41">
            <w:pPr>
              <w:pStyle w:val="libFootnote0"/>
              <w:rPr>
                <w:rtl/>
                <w:lang w:bidi="fa-IR"/>
              </w:rPr>
            </w:pPr>
            <w:r>
              <w:rPr>
                <w:rtl/>
              </w:rPr>
              <w:t xml:space="preserve">(1). </w:t>
            </w:r>
            <w:r w:rsidRPr="00C9040A">
              <w:rPr>
                <w:rtl/>
              </w:rPr>
              <w:t>في « ز » : « دنياه »</w:t>
            </w:r>
            <w:r>
              <w:rPr>
                <w:rtl/>
              </w:rPr>
              <w:t>.</w:t>
            </w:r>
          </w:p>
        </w:tc>
        <w:tc>
          <w:tcPr>
            <w:tcW w:w="4006" w:type="dxa"/>
          </w:tcPr>
          <w:p w:rsidR="00084388" w:rsidRDefault="00084388" w:rsidP="004A4E41">
            <w:pPr>
              <w:pStyle w:val="libFootnote0"/>
              <w:rPr>
                <w:rtl/>
                <w:lang w:bidi="fa-IR"/>
              </w:rPr>
            </w:pPr>
            <w:r>
              <w:rPr>
                <w:rtl/>
              </w:rPr>
              <w:t xml:space="preserve">(2). </w:t>
            </w:r>
            <w:r w:rsidRPr="00C9040A">
              <w:rPr>
                <w:rtl/>
              </w:rPr>
              <w:t>في « بر ، بف » : « ثمّ قال »</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في « ب ، ج ، ز ، ص ، بر ، بس ، بف » وحاشية « ض ، ف » : « خلّ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ج 8 ، ص 376 : « في أكثر النسخ بالحاء المهملة ، وفي </w:t>
      </w:r>
      <w:r w:rsidR="008A74EB" w:rsidRPr="00993B55">
        <w:rPr>
          <w:rStyle w:val="libFootnoteBoldChar"/>
          <w:rtl/>
        </w:rPr>
        <w:t>القاموس</w:t>
      </w:r>
      <w:r w:rsidR="008A74EB" w:rsidRPr="00C9040A">
        <w:rPr>
          <w:rtl/>
        </w:rPr>
        <w:t xml:space="preserve"> : حلحلهم : أزالهم عن مواضعهم وحرّكهم فتحلحلوا ، والإبل قال لها : حلٍ حلٍ منوّنين ، أو حَلْ مسكّنة. وفي </w:t>
      </w:r>
      <w:r w:rsidR="008A74EB" w:rsidRPr="00993B55">
        <w:rPr>
          <w:rStyle w:val="libFootnoteBoldChar"/>
          <w:rtl/>
        </w:rPr>
        <w:t>النهاية</w:t>
      </w:r>
      <w:r w:rsidR="008A74EB" w:rsidRPr="00C9040A">
        <w:rPr>
          <w:rtl/>
        </w:rPr>
        <w:t xml:space="preserve"> : حل : زجرٌ للناقة إذا حثثتها على السير. وقيل : هو بالتشديد ، أي حلّ العذاب على أهل البصرة ؛ لأنّه كان متوجّهاً إليهم. ولا يخفى ما فيه. وفي بعض النسخ بالخاء المعجمة : أي خلّ سبيل الراحلة ، كأنّ السائل كان آخذاً بغرز راحلته ، وهو المسموع عن المشايخ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الوافي</w:t>
      </w:r>
      <w:r w:rsidR="008A74EB" w:rsidRPr="00C9040A">
        <w:rPr>
          <w:rtl/>
        </w:rPr>
        <w:t xml:space="preserve"> ، ج 5 ، ص 510 ، ح 2460 ؛ </w:t>
      </w:r>
      <w:r w:rsidR="008A74EB" w:rsidRPr="00993B55">
        <w:rPr>
          <w:rStyle w:val="libFootnoteBoldChar"/>
          <w:rtl/>
        </w:rPr>
        <w:t>البحار</w:t>
      </w:r>
      <w:r w:rsidR="008A74EB" w:rsidRPr="00C9040A">
        <w:rPr>
          <w:rtl/>
        </w:rPr>
        <w:t xml:space="preserve"> ، ج 32 ، ص 132 ، ح 106 ؛ وج 74 ، ص 105 ، ح 69.</w:t>
      </w:r>
    </w:p>
    <w:p w:rsidR="008A74EB" w:rsidRPr="00C9040A" w:rsidRDefault="006C577F" w:rsidP="004A4E41">
      <w:pPr>
        <w:pStyle w:val="libFootnote0"/>
        <w:rPr>
          <w:rtl/>
          <w:lang w:bidi="fa-IR"/>
        </w:rPr>
      </w:pPr>
      <w:r>
        <w:rPr>
          <w:rtl/>
        </w:rPr>
        <w:t>(5).</w:t>
      </w:r>
      <w:r w:rsidR="008A74EB" w:rsidRPr="00C9040A">
        <w:rPr>
          <w:rtl/>
        </w:rPr>
        <w:t xml:space="preserve"> في « بس » : « من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w:t>
      </w:r>
      <w:r w:rsidR="008A74EB" w:rsidRPr="00993B55">
        <w:rPr>
          <w:rStyle w:val="libFootnoteBoldChar"/>
          <w:rtl/>
        </w:rPr>
        <w:t>مرآة العقول</w:t>
      </w:r>
      <w:r w:rsidR="008A74EB" w:rsidRPr="00C9040A">
        <w:rPr>
          <w:rtl/>
        </w:rPr>
        <w:t xml:space="preserve"> : « حيطة ، أي حفظاً</w:t>
      </w:r>
      <w:r w:rsidR="008A74EB">
        <w:rPr>
          <w:rtl/>
        </w:rPr>
        <w:t xml:space="preserve"> ..</w:t>
      </w:r>
      <w:r w:rsidR="008A74EB" w:rsidRPr="00C9040A">
        <w:rPr>
          <w:rtl/>
        </w:rPr>
        <w:t>. وهذا إذا كان حيطة بالكسر كما في بعض نسخ النهج ، وفي أكثرها : حيّطة ، كبيّنة ، بفتح الباء وكسر الياء المشدّدة ، وهي التحنّن »</w:t>
      </w:r>
      <w:r w:rsidR="008A74EB">
        <w:rPr>
          <w:rtl/>
        </w:rPr>
        <w:t>.</w:t>
      </w:r>
    </w:p>
    <w:p w:rsidR="008A74EB" w:rsidRPr="00C9040A" w:rsidRDefault="006C577F" w:rsidP="008D10B2">
      <w:pPr>
        <w:pStyle w:val="libFootnote0"/>
        <w:rPr>
          <w:rtl/>
          <w:lang w:bidi="fa-IR"/>
        </w:rPr>
      </w:pPr>
      <w:r>
        <w:rPr>
          <w:rtl/>
        </w:rPr>
        <w:t>(7).</w:t>
      </w:r>
      <w:r w:rsidR="008A74EB" w:rsidRPr="00C9040A">
        <w:rPr>
          <w:rtl/>
        </w:rPr>
        <w:t xml:space="preserve"> « الشَّعَث » : الانتشار والتفرّق كما يتشعّب رأسُ السواك ، وفي الدعاء : « لمّ الله شعثكم » ، أي جمع أمركم. </w:t>
      </w:r>
      <w:r w:rsidR="008A74EB" w:rsidRPr="00993B55">
        <w:rPr>
          <w:rStyle w:val="libFootnoteBoldChar"/>
          <w:rtl/>
        </w:rPr>
        <w:t>المصباح المنير</w:t>
      </w:r>
      <w:r w:rsidR="008A74EB" w:rsidRPr="00C9040A">
        <w:rPr>
          <w:rtl/>
        </w:rPr>
        <w:t xml:space="preserve"> ، ص 314 ( شعث )</w:t>
      </w:r>
      <w:r w:rsidR="008A74EB">
        <w:rPr>
          <w:rtl/>
        </w:rPr>
        <w:t>.</w:t>
      </w:r>
      <w:r w:rsidR="008D10B2">
        <w:rPr>
          <w:rFonts w:hint="cs"/>
          <w:rtl/>
        </w:rPr>
        <w:t xml:space="preserve">              </w:t>
      </w:r>
      <w:r>
        <w:rPr>
          <w:rtl/>
        </w:rPr>
        <w:t>(8).</w:t>
      </w:r>
      <w:r w:rsidR="008A74EB" w:rsidRPr="00C9040A">
        <w:rPr>
          <w:rtl/>
        </w:rPr>
        <w:t xml:space="preserve"> في « ف ، بر » : « وتقبض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ف » </w:t>
      </w:r>
      <w:r w:rsidR="008A74EB">
        <w:rPr>
          <w:rtl/>
        </w:rPr>
        <w:t xml:space="preserve">: </w:t>
      </w:r>
      <w:r w:rsidR="0084262C">
        <w:rPr>
          <w:rtl/>
        </w:rPr>
        <w:t>-</w:t>
      </w:r>
      <w:r w:rsidR="008A74EB" w:rsidRPr="00C9040A">
        <w:rPr>
          <w:rtl/>
        </w:rPr>
        <w:t xml:space="preserve"> « منهم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 ب ، ز ، ف ، بس » : « تلن »</w:t>
      </w:r>
      <w:r w:rsidR="008A74EB">
        <w:rPr>
          <w:rtl/>
        </w:rPr>
        <w:t>.</w:t>
      </w:r>
      <w:r w:rsidR="008A74EB" w:rsidRPr="00C9040A">
        <w:rPr>
          <w:rtl/>
        </w:rPr>
        <w:t xml:space="preserve"> وفي « بر ، بف » : « يليّن » بالتشديد. وفي </w:t>
      </w:r>
      <w:r w:rsidR="008A74EB" w:rsidRPr="00993B55">
        <w:rPr>
          <w:rStyle w:val="libFootnoteBoldChar"/>
          <w:rtl/>
        </w:rPr>
        <w:t>مرآة العقول</w:t>
      </w:r>
      <w:r w:rsidR="008A74EB" w:rsidRPr="00C9040A">
        <w:rPr>
          <w:rtl/>
        </w:rPr>
        <w:t xml:space="preserve"> : « قيل : يلن ، إمّا بصيغة</w:t>
      </w:r>
      <w:r w:rsidR="008D10B2">
        <w:rPr>
          <w:rFonts w:hint="cs"/>
          <w:rtl/>
        </w:rPr>
        <w:t xml:space="preserve"> =</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بَسَطَ يَدَهُ بِالْمَعْرُوفِ إِذَا وَجَدَهُ ، يُخْلِفِ اللهُ لَهُ </w:t>
      </w:r>
      <w:r w:rsidR="006C577F" w:rsidRPr="006C577F">
        <w:rPr>
          <w:rStyle w:val="libFootnotenumChar"/>
          <w:rtl/>
        </w:rPr>
        <w:t>(1)</w:t>
      </w:r>
      <w:r w:rsidRPr="00C9040A">
        <w:rPr>
          <w:rtl/>
          <w:lang w:bidi="fa-IR"/>
        </w:rPr>
        <w:t xml:space="preserve"> مَا أَنْفَقَ فِي دُنْيَاهُ ، وَيُضَاعِفْ لَهُ فِي آخِرَتِهِ ؛ وَلِسَانُ الصِّدْقِ لِلْمَرْءِ يَجْعَلُهُ اللهُ فِي النَّاسِ خَيْراً </w:t>
      </w:r>
      <w:r w:rsidR="006C577F" w:rsidRPr="006C577F">
        <w:rPr>
          <w:rStyle w:val="libFootnotenumChar"/>
          <w:rtl/>
        </w:rPr>
        <w:t>(2)</w:t>
      </w:r>
      <w:r w:rsidRPr="00C9040A">
        <w:rPr>
          <w:rtl/>
          <w:lang w:bidi="fa-IR"/>
        </w:rPr>
        <w:t xml:space="preserve"> مِنَ الْمَالِ يَأْكُلُهُ وَيُوَرِّثُهُ </w:t>
      </w:r>
      <w:r w:rsidR="006C577F" w:rsidRPr="006C577F">
        <w:rPr>
          <w:rStyle w:val="libFootnotenumChar"/>
          <w:rtl/>
        </w:rPr>
        <w:t>(3)</w:t>
      </w:r>
      <w:r w:rsidRPr="00C9040A">
        <w:rPr>
          <w:rtl/>
          <w:lang w:bidi="fa-IR"/>
        </w:rPr>
        <w:t xml:space="preserve"> ، لَا يَزْدَادَنَّ </w:t>
      </w:r>
      <w:r w:rsidR="006C577F" w:rsidRPr="006C577F">
        <w:rPr>
          <w:rStyle w:val="libFootnotenumChar"/>
          <w:rtl/>
        </w:rPr>
        <w:t>(4)</w:t>
      </w:r>
      <w:r w:rsidRPr="00C9040A">
        <w:rPr>
          <w:rtl/>
          <w:lang w:bidi="fa-IR"/>
        </w:rPr>
        <w:t xml:space="preserve"> أَحَدُكُمْ كِبْراً وَعِظَماً فِي نَفْسِهِ وَنَأْياً عَنْ </w:t>
      </w:r>
      <w:r w:rsidR="006C577F" w:rsidRPr="006C577F">
        <w:rPr>
          <w:rStyle w:val="libFootnotenumChar"/>
          <w:rtl/>
        </w:rPr>
        <w:t>(5)</w:t>
      </w:r>
      <w:r w:rsidRPr="00C9040A">
        <w:rPr>
          <w:rtl/>
          <w:lang w:bidi="fa-IR"/>
        </w:rPr>
        <w:t xml:space="preserve"> عَشِيرَتِهِ إِنْ كَانَ </w:t>
      </w:r>
      <w:r w:rsidR="006C577F" w:rsidRPr="006C577F">
        <w:rPr>
          <w:rStyle w:val="libFootnotenumChar"/>
          <w:rtl/>
        </w:rPr>
        <w:t>(6)</w:t>
      </w:r>
      <w:r w:rsidRPr="005B567D">
        <w:rPr>
          <w:rStyle w:val="libFootnotenumChar"/>
          <w:rtl/>
        </w:rPr>
        <w:t xml:space="preserve"> </w:t>
      </w:r>
      <w:r w:rsidRPr="00C9040A">
        <w:rPr>
          <w:rtl/>
          <w:lang w:bidi="fa-IR"/>
        </w:rPr>
        <w:t xml:space="preserve">مُوسِراً فِي الْمَالِ ، وَلَا يَزْدَادَنَّ أَحَدُكُمْ فِي أَخِيهِ زُهْداً وَلَا مِنْهُ بُعْداً إِذَا </w:t>
      </w:r>
      <w:r w:rsidR="006C577F" w:rsidRPr="006C577F">
        <w:rPr>
          <w:rStyle w:val="libFootnotenumChar"/>
          <w:rtl/>
        </w:rPr>
        <w:t>(7)</w:t>
      </w:r>
      <w:r w:rsidRPr="00C9040A">
        <w:rPr>
          <w:rtl/>
          <w:lang w:bidi="fa-IR"/>
        </w:rPr>
        <w:t xml:space="preserve"> لَمْ يَرَ مِنْهُ مُرُوَّةً وَكَانَ مُعْوِزاً </w:t>
      </w:r>
      <w:r w:rsidR="006C577F" w:rsidRPr="006C577F">
        <w:rPr>
          <w:rStyle w:val="libFootnotenumChar"/>
          <w:rtl/>
        </w:rPr>
        <w:t>(8)</w:t>
      </w:r>
      <w:r w:rsidRPr="00C9040A">
        <w:rPr>
          <w:rtl/>
          <w:lang w:bidi="fa-IR"/>
        </w:rPr>
        <w:t xml:space="preserve"> فِي الْمَالِ ، وَلَا يَغْفُلُ </w:t>
      </w:r>
      <w:r w:rsidR="006C577F" w:rsidRPr="006C577F">
        <w:rPr>
          <w:rStyle w:val="libFootnotenumChar"/>
          <w:rtl/>
        </w:rPr>
        <w:t>(9)</w:t>
      </w:r>
      <w:r w:rsidRPr="00C9040A">
        <w:rPr>
          <w:rtl/>
          <w:lang w:bidi="fa-IR"/>
        </w:rPr>
        <w:t xml:space="preserve"> أَحَدُكُمْ عَنِ الْقَرَابَةِ بِهَا الْخَصَاصَةُ </w:t>
      </w:r>
      <w:r w:rsidR="006C577F" w:rsidRPr="006C577F">
        <w:rPr>
          <w:rStyle w:val="libFootnotenumChar"/>
          <w:rtl/>
        </w:rPr>
        <w:t>(10)</w:t>
      </w:r>
      <w:r w:rsidRPr="00C9040A">
        <w:rPr>
          <w:rtl/>
          <w:lang w:bidi="fa-IR"/>
        </w:rPr>
        <w:t xml:space="preserve"> أَنْ يَسُدَّهَا بِمَا لَايَنْفَعُهُ إِنْ أَمْسَكَهُ ، وَلَا يَضُرُّهُ إِنِ اسْتَهْلَكَهُ »</w:t>
      </w:r>
      <w:r>
        <w:rPr>
          <w:rtl/>
          <w:lang w:bidi="fa-IR"/>
        </w:rPr>
        <w:t>.</w:t>
      </w:r>
      <w:r w:rsidRPr="00C9040A">
        <w:rPr>
          <w:rtl/>
          <w:lang w:bidi="fa-IR"/>
        </w:rPr>
        <w:t xml:space="preserve"> </w:t>
      </w:r>
      <w:r w:rsidR="006C577F" w:rsidRPr="006C577F">
        <w:rPr>
          <w:rStyle w:val="libFootnotenumChar"/>
          <w:rtl/>
        </w:rPr>
        <w:t>(11)</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8D10B2" w:rsidP="004A4E41">
      <w:pPr>
        <w:pStyle w:val="libFootnote0"/>
        <w:rPr>
          <w:rtl/>
          <w:lang w:bidi="fa-IR"/>
        </w:rPr>
      </w:pPr>
      <w:r>
        <w:rPr>
          <w:rFonts w:hint="cs"/>
          <w:rtl/>
        </w:rPr>
        <w:t xml:space="preserve">= </w:t>
      </w:r>
      <w:r w:rsidR="008A74EB" w:rsidRPr="00C9040A">
        <w:rPr>
          <w:rtl/>
        </w:rPr>
        <w:t>المعلوم من باب ضرب أو باب الإفعال</w:t>
      </w:r>
      <w:r w:rsidR="008A74EB">
        <w:rPr>
          <w:rtl/>
        </w:rPr>
        <w:t xml:space="preserve"> ..</w:t>
      </w:r>
      <w:r w:rsidR="008A74EB" w:rsidRPr="00C9040A">
        <w:rPr>
          <w:rtl/>
        </w:rPr>
        <w:t>. وأقول : الظاهر أنّه من باب الإفعال »</w:t>
      </w:r>
      <w:r w:rsidR="008A74EB">
        <w:rPr>
          <w:rtl/>
        </w:rPr>
        <w:t>.</w:t>
      </w:r>
      <w:r w:rsidR="008A74EB" w:rsidRPr="00C9040A">
        <w:rPr>
          <w:rtl/>
        </w:rPr>
        <w:t xml:space="preserve"> </w:t>
      </w:r>
      <w:r w:rsidR="008A74EB">
        <w:rPr>
          <w:rtl/>
        </w:rPr>
        <w:t>و «</w:t>
      </w:r>
      <w:r w:rsidR="008A74EB" w:rsidRPr="00C9040A">
        <w:rPr>
          <w:rtl/>
        </w:rPr>
        <w:t xml:space="preserve"> اللَّيْن » : ضدّ الخشونة. ومن المجاز : قوم لَيْنون وأليناء جمع ليِّن. وألانَ لهم جناحه. </w:t>
      </w:r>
      <w:r w:rsidR="008A74EB" w:rsidRPr="00993B55">
        <w:rPr>
          <w:rStyle w:val="libFootnoteBoldChar"/>
          <w:rtl/>
        </w:rPr>
        <w:t>الصحاح</w:t>
      </w:r>
      <w:r w:rsidR="008A74EB" w:rsidRPr="00C9040A">
        <w:rPr>
          <w:rtl/>
        </w:rPr>
        <w:t xml:space="preserve"> ، ج 6 ، ص 2198 ؛ </w:t>
      </w:r>
      <w:r w:rsidR="008A74EB" w:rsidRPr="00993B55">
        <w:rPr>
          <w:rStyle w:val="libFootnoteBoldChar"/>
          <w:rtl/>
        </w:rPr>
        <w:t>أساس البلاغة</w:t>
      </w:r>
      <w:r w:rsidR="008A74EB" w:rsidRPr="00C9040A">
        <w:rPr>
          <w:rtl/>
        </w:rPr>
        <w:t xml:space="preserve"> ، ص 419 ( لين )</w:t>
      </w:r>
      <w:r w:rsidR="008A74EB">
        <w:rPr>
          <w:rtl/>
        </w:rPr>
        <w:t>.</w:t>
      </w:r>
      <w:r w:rsidR="008A74EB" w:rsidRPr="00C9040A">
        <w:rPr>
          <w:rtl/>
        </w:rPr>
        <w:t xml:space="preserve"> والمراد : حسن الصحبة والمعاشرة والملاطفة واللين مع العشيرة وغيرهم ، كما في </w:t>
      </w:r>
      <w:r w:rsidR="008A74EB" w:rsidRPr="00993B55">
        <w:rPr>
          <w:rStyle w:val="libFootnoteBoldChar"/>
          <w:rtl/>
        </w:rPr>
        <w:t>شرح المازندراني</w:t>
      </w:r>
      <w:r w:rsidR="008A74EB" w:rsidRPr="00C9040A">
        <w:rPr>
          <w:rtl/>
        </w:rPr>
        <w:t xml:space="preserve"> و</w:t>
      </w:r>
      <w:r w:rsidR="008A74EB" w:rsidRPr="00993B55">
        <w:rPr>
          <w:rStyle w:val="libFootnoteBoldChar"/>
          <w:rtl/>
        </w:rPr>
        <w:t>مرآة العقول</w:t>
      </w:r>
      <w:r w:rsidR="008A74EB" w:rsidRPr="00C9040A">
        <w:rPr>
          <w:rtl/>
        </w:rPr>
        <w:t>.</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بف » </w:t>
      </w:r>
      <w:r w:rsidR="008A74EB">
        <w:rPr>
          <w:rtl/>
        </w:rPr>
        <w:t xml:space="preserve">: </w:t>
      </w:r>
      <w:r w:rsidR="0084262C">
        <w:rPr>
          <w:rtl/>
        </w:rPr>
        <w:t>-</w:t>
      </w:r>
      <w:r w:rsidR="008A74EB" w:rsidRPr="00C9040A">
        <w:rPr>
          <w:rtl/>
        </w:rPr>
        <w:t xml:space="preserve"> « له »</w:t>
      </w:r>
      <w:r w:rsidR="008A74EB">
        <w:rPr>
          <w:rtl/>
        </w:rPr>
        <w:t>.</w:t>
      </w:r>
    </w:p>
    <w:p w:rsidR="008A74EB" w:rsidRPr="00C9040A" w:rsidRDefault="006C577F" w:rsidP="008D10B2">
      <w:pPr>
        <w:pStyle w:val="libFootnote0"/>
        <w:rPr>
          <w:rtl/>
          <w:lang w:bidi="fa-IR"/>
        </w:rPr>
      </w:pPr>
      <w:r>
        <w:rPr>
          <w:rtl/>
        </w:rPr>
        <w:t>(2).</w:t>
      </w:r>
      <w:r w:rsidR="008A74EB">
        <w:rPr>
          <w:rtl/>
        </w:rPr>
        <w:t xml:space="preserve"> </w:t>
      </w:r>
      <w:r w:rsidR="008A74EB" w:rsidRPr="00C9040A">
        <w:rPr>
          <w:rtl/>
        </w:rPr>
        <w:t xml:space="preserve">قرأ المجلسي في </w:t>
      </w:r>
      <w:r w:rsidR="008A74EB" w:rsidRPr="00993B55">
        <w:rPr>
          <w:rStyle w:val="libFootnoteBoldChar"/>
          <w:rtl/>
        </w:rPr>
        <w:t>مرآة العقول</w:t>
      </w:r>
      <w:r w:rsidR="008A74EB" w:rsidRPr="00C9040A">
        <w:rPr>
          <w:rtl/>
        </w:rPr>
        <w:t xml:space="preserve"> : خير</w:t>
      </w:r>
      <w:r w:rsidR="008A74EB">
        <w:rPr>
          <w:rtl/>
        </w:rPr>
        <w:t xml:space="preserve"> </w:t>
      </w:r>
      <w:r w:rsidR="0084262C">
        <w:rPr>
          <w:rtl/>
        </w:rPr>
        <w:t>-</w:t>
      </w:r>
      <w:r w:rsidR="008A74EB">
        <w:rPr>
          <w:rtl/>
        </w:rPr>
        <w:t xml:space="preserve"> </w:t>
      </w:r>
      <w:r w:rsidR="008A74EB" w:rsidRPr="00C9040A">
        <w:rPr>
          <w:rtl/>
        </w:rPr>
        <w:t>بالرفع</w:t>
      </w:r>
      <w:r w:rsidR="008A74EB">
        <w:rPr>
          <w:rtl/>
        </w:rPr>
        <w:t xml:space="preserve"> </w:t>
      </w:r>
      <w:r w:rsidR="0084262C">
        <w:rPr>
          <w:rtl/>
        </w:rPr>
        <w:t>-</w:t>
      </w:r>
      <w:r w:rsidR="008A74EB">
        <w:rPr>
          <w:rtl/>
        </w:rPr>
        <w:t xml:space="preserve"> </w:t>
      </w:r>
      <w:r w:rsidR="008A74EB" w:rsidRPr="00C9040A">
        <w:rPr>
          <w:rtl/>
        </w:rPr>
        <w:t>ثمّ قال : « وفي بعض النسخ : خيراً ، بالنصب فيحتمل نصب « لسان » من قبيل ما ا</w:t>
      </w:r>
      <w:r w:rsidR="008D10B2">
        <w:rPr>
          <w:rFonts w:hint="cs"/>
          <w:rtl/>
        </w:rPr>
        <w:t>ُ</w:t>
      </w:r>
      <w:r w:rsidR="008A74EB" w:rsidRPr="00C9040A">
        <w:rPr>
          <w:rtl/>
        </w:rPr>
        <w:t xml:space="preserve">ضمر عامله على شريطة التفسير ، ورفعه بالابتداء </w:t>
      </w:r>
      <w:r w:rsidR="008A74EB">
        <w:rPr>
          <w:rtl/>
        </w:rPr>
        <w:t>و «</w:t>
      </w:r>
      <w:r w:rsidR="008A74EB" w:rsidRPr="00C9040A">
        <w:rPr>
          <w:rtl/>
        </w:rPr>
        <w:t xml:space="preserve"> يجعله » خبره ، </w:t>
      </w:r>
      <w:r w:rsidR="008A74EB">
        <w:rPr>
          <w:rtl/>
        </w:rPr>
        <w:t>و «</w:t>
      </w:r>
      <w:r w:rsidR="008A74EB" w:rsidRPr="00C9040A">
        <w:rPr>
          <w:rtl/>
        </w:rPr>
        <w:t xml:space="preserve"> خيراً » مفعول ثان ليجعله »</w:t>
      </w:r>
      <w:r w:rsidR="008A74EB">
        <w:rPr>
          <w:rtl/>
        </w:rPr>
        <w:t>.</w:t>
      </w:r>
      <w:r w:rsidR="008D10B2">
        <w:rPr>
          <w:rFonts w:hint="cs"/>
          <w:rtl/>
        </w:rPr>
        <w:t xml:space="preserve">                                               </w:t>
      </w:r>
      <w:r>
        <w:rPr>
          <w:rtl/>
        </w:rPr>
        <w:t>(3).</w:t>
      </w:r>
      <w:r w:rsidR="008A74EB" w:rsidRPr="00C9040A">
        <w:rPr>
          <w:rtl/>
        </w:rPr>
        <w:t xml:space="preserve"> في « ب » : « يؤثره »</w:t>
      </w:r>
      <w:r w:rsidR="008A74EB">
        <w:rPr>
          <w:rtl/>
        </w:rPr>
        <w:t>.</w:t>
      </w:r>
    </w:p>
    <w:p w:rsidR="008A74EB" w:rsidRPr="00C9040A" w:rsidRDefault="006C577F" w:rsidP="008D10B2">
      <w:pPr>
        <w:pStyle w:val="libFootnote0"/>
        <w:rPr>
          <w:rtl/>
          <w:lang w:bidi="fa-IR"/>
        </w:rPr>
      </w:pPr>
      <w:r>
        <w:rPr>
          <w:rtl/>
        </w:rPr>
        <w:t>(4).</w:t>
      </w:r>
      <w:r w:rsidR="008A74EB" w:rsidRPr="00C9040A">
        <w:rPr>
          <w:rtl/>
        </w:rPr>
        <w:t xml:space="preserve"> في الوافي : « ولا يزدادنّ »</w:t>
      </w:r>
      <w:r w:rsidR="008A74EB">
        <w:rPr>
          <w:rtl/>
        </w:rPr>
        <w:t>.</w:t>
      </w:r>
      <w:r w:rsidR="008A74EB" w:rsidRPr="00C9040A">
        <w:rPr>
          <w:rtl/>
        </w:rPr>
        <w:t xml:space="preserve"> </w:t>
      </w:r>
      <w:r w:rsidR="008A74EB">
        <w:rPr>
          <w:rtl/>
        </w:rPr>
        <w:t>و «</w:t>
      </w:r>
      <w:r w:rsidR="008A74EB" w:rsidRPr="00C9040A">
        <w:rPr>
          <w:rtl/>
        </w:rPr>
        <w:t xml:space="preserve"> ازداد » لازم ومتعدّ. وكلاهما محتمل هنا. وعلى التعدّي فأحدكم مفعوله ، وأن‌كان</w:t>
      </w:r>
      <w:r w:rsidR="008A74EB">
        <w:rPr>
          <w:rtl/>
        </w:rPr>
        <w:t xml:space="preserve"> </w:t>
      </w:r>
      <w:r w:rsidR="0084262C">
        <w:rPr>
          <w:rtl/>
        </w:rPr>
        <w:t>-</w:t>
      </w:r>
      <w:r w:rsidR="008A74EB">
        <w:rPr>
          <w:rtl/>
        </w:rPr>
        <w:t xml:space="preserve"> </w:t>
      </w:r>
      <w:r w:rsidR="008A74EB" w:rsidRPr="00C9040A">
        <w:rPr>
          <w:rtl/>
        </w:rPr>
        <w:t>بفتح الهمزة</w:t>
      </w:r>
      <w:r w:rsidR="008A74EB">
        <w:rPr>
          <w:rtl/>
        </w:rPr>
        <w:t xml:space="preserve"> </w:t>
      </w:r>
      <w:r w:rsidR="0084262C">
        <w:rPr>
          <w:rtl/>
        </w:rPr>
        <w:t>-</w:t>
      </w:r>
      <w:r w:rsidR="008A74EB">
        <w:rPr>
          <w:rtl/>
        </w:rPr>
        <w:t xml:space="preserve"> </w:t>
      </w:r>
      <w:r w:rsidR="008A74EB" w:rsidRPr="00C9040A">
        <w:rPr>
          <w:rtl/>
        </w:rPr>
        <w:t>فاعله.</w:t>
      </w:r>
      <w:r w:rsidR="008D10B2">
        <w:rPr>
          <w:rFonts w:hint="cs"/>
          <w:rtl/>
        </w:rPr>
        <w:t xml:space="preserve">                         </w:t>
      </w:r>
      <w:r>
        <w:rPr>
          <w:rtl/>
        </w:rPr>
        <w:t>(5).</w:t>
      </w:r>
      <w:r w:rsidR="008A74EB" w:rsidRPr="00C9040A">
        <w:rPr>
          <w:rtl/>
        </w:rPr>
        <w:t xml:space="preserve"> في « ز » : « في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قال في </w:t>
      </w:r>
      <w:r w:rsidR="008A74EB" w:rsidRPr="00993B55">
        <w:rPr>
          <w:rStyle w:val="libFootnoteBoldChar"/>
          <w:rtl/>
        </w:rPr>
        <w:t>مرآة العقول</w:t>
      </w:r>
      <w:r w:rsidR="008A74EB" w:rsidRPr="00C9040A">
        <w:rPr>
          <w:rtl/>
        </w:rPr>
        <w:t xml:space="preserve"> : « أن كان ، بفتح الهمزة ، أي من أن ، أو بكسرها حرف شرط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ج » : « إذ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 المعوز » ، على بناء الفاعل بمعنى المفتقر الذي لا شي‌ء له ، أو على بناء المفعول ، بمعنى القليل المال. راجع : </w:t>
      </w:r>
      <w:r w:rsidR="008A74EB" w:rsidRPr="00993B55">
        <w:rPr>
          <w:rStyle w:val="libFootnoteBoldChar"/>
          <w:rtl/>
        </w:rPr>
        <w:t>شرح المازندراني</w:t>
      </w:r>
      <w:r w:rsidR="008A74EB" w:rsidRPr="00C9040A">
        <w:rPr>
          <w:rtl/>
        </w:rPr>
        <w:t xml:space="preserve"> ، ج 9 ، ص 14 ؛ </w:t>
      </w:r>
      <w:r w:rsidR="008A74EB" w:rsidRPr="00993B55">
        <w:rPr>
          <w:rStyle w:val="libFootnoteBoldChar"/>
          <w:rtl/>
        </w:rPr>
        <w:t>مرآة العقول</w:t>
      </w:r>
      <w:r w:rsidR="008A74EB" w:rsidRPr="00C9040A">
        <w:rPr>
          <w:rtl/>
        </w:rPr>
        <w:t xml:space="preserve"> ، ج 8 ، ص 379.</w:t>
      </w:r>
    </w:p>
    <w:p w:rsidR="008A74EB" w:rsidRPr="00C9040A" w:rsidRDefault="006C577F" w:rsidP="004A4E41">
      <w:pPr>
        <w:pStyle w:val="libFootnote0"/>
        <w:rPr>
          <w:rtl/>
          <w:lang w:bidi="fa-IR"/>
        </w:rPr>
      </w:pPr>
      <w:r>
        <w:rPr>
          <w:rtl/>
        </w:rPr>
        <w:t>(9).</w:t>
      </w:r>
      <w:r w:rsidR="008A74EB" w:rsidRPr="00C9040A">
        <w:rPr>
          <w:rtl/>
        </w:rPr>
        <w:t xml:space="preserve"> في « ب ، ج ، ز ، ص ، ف ، بس ، بف » والوافي : « لايغفل » بدون الواو. وفي « ف » : « ألا يعقل » بدل « ولايغفل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 الخصاصة » : الفقر والحاجة. </w:t>
      </w:r>
      <w:r w:rsidR="008A74EB" w:rsidRPr="00993B55">
        <w:rPr>
          <w:rStyle w:val="libFootnoteBoldChar"/>
          <w:rtl/>
        </w:rPr>
        <w:t>المصباح المنير</w:t>
      </w:r>
      <w:r w:rsidR="008A74EB" w:rsidRPr="00C9040A">
        <w:rPr>
          <w:rtl/>
        </w:rPr>
        <w:t xml:space="preserve"> ، ص 171 ( خصص )</w:t>
      </w:r>
      <w:r w:rsidR="008A74EB">
        <w:rPr>
          <w:rtl/>
        </w:rPr>
        <w:t>.</w:t>
      </w:r>
    </w:p>
    <w:p w:rsidR="008A74EB" w:rsidRPr="00C9040A" w:rsidRDefault="006C577F" w:rsidP="00A005BC">
      <w:pPr>
        <w:pStyle w:val="libFootnote0"/>
        <w:rPr>
          <w:rtl/>
          <w:lang w:bidi="fa-IR"/>
        </w:rPr>
      </w:pPr>
      <w:r>
        <w:rPr>
          <w:rtl/>
        </w:rPr>
        <w:t>(11).</w:t>
      </w:r>
      <w:r w:rsidR="008A74EB" w:rsidRPr="00C9040A">
        <w:rPr>
          <w:rtl/>
        </w:rPr>
        <w:t xml:space="preserve"> </w:t>
      </w:r>
      <w:r w:rsidR="008A74EB" w:rsidRPr="00993B55">
        <w:rPr>
          <w:rStyle w:val="libFootnoteBoldChar"/>
          <w:rtl/>
        </w:rPr>
        <w:t>الكافي</w:t>
      </w:r>
      <w:r w:rsidR="008A74EB" w:rsidRPr="00C9040A">
        <w:rPr>
          <w:rtl/>
        </w:rPr>
        <w:t xml:space="preserve"> ، كتاب الزكاة ، باب الإنفاق ، ح 6164 ، وفيه « عن بعض من حدّثه » بدل « عن يحيى » ، وتمام الرواية فيه : « ومن يبسط يده بالمعروف إذا وجده يخلف الله له ما أنفق في دنياه ، ويضاعف له في آخرته »</w:t>
      </w:r>
      <w:r w:rsidR="008A74EB">
        <w:rPr>
          <w:rtl/>
        </w:rPr>
        <w:t>.</w:t>
      </w:r>
      <w:r w:rsidR="008A74EB" w:rsidRPr="00C9040A">
        <w:rPr>
          <w:rtl/>
        </w:rPr>
        <w:t xml:space="preserve"> </w:t>
      </w:r>
      <w:r w:rsidR="008A74EB" w:rsidRPr="00993B55">
        <w:rPr>
          <w:rStyle w:val="libFootnoteBoldChar"/>
          <w:rtl/>
        </w:rPr>
        <w:t>الزهد</w:t>
      </w:r>
      <w:r w:rsidR="008A74EB" w:rsidRPr="00C9040A">
        <w:rPr>
          <w:rtl/>
        </w:rPr>
        <w:t xml:space="preserve"> ، ص 103 ، ح 101 ، بسند آخر عن أمير المؤمنين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نهج البلاغة</w:t>
      </w:r>
      <w:r w:rsidR="008A74EB" w:rsidRPr="00C9040A">
        <w:rPr>
          <w:rtl/>
        </w:rPr>
        <w:t xml:space="preserve"> ، ص 65 ، ذيل الخطبة 23 ، وفيهما مع اختلاف يسير. راجع : </w:t>
      </w:r>
      <w:r w:rsidR="008A74EB" w:rsidRPr="00993B55">
        <w:rPr>
          <w:rStyle w:val="libFootnoteBoldChar"/>
          <w:rtl/>
        </w:rPr>
        <w:t>الكافي</w:t>
      </w:r>
      <w:r w:rsidR="008A74EB" w:rsidRPr="00C9040A">
        <w:rPr>
          <w:rtl/>
        </w:rPr>
        <w:t xml:space="preserve"> ، كتاب العشرة ، باب التعحبّب إلى الناس</w:t>
      </w:r>
      <w:r w:rsidR="008A74EB">
        <w:rPr>
          <w:rtl/>
        </w:rPr>
        <w:t xml:space="preserve"> ..</w:t>
      </w:r>
      <w:r w:rsidR="008A74EB" w:rsidRPr="00C9040A">
        <w:rPr>
          <w:rtl/>
        </w:rPr>
        <w:t xml:space="preserve">. ، ح 3630 </w:t>
      </w:r>
      <w:r w:rsidR="00A005BC">
        <w:rPr>
          <w:rFonts w:hint="cs"/>
          <w:rtl/>
        </w:rPr>
        <w:t>.</w:t>
      </w:r>
      <w:r w:rsidR="008A74EB" w:rsidRPr="00993B55">
        <w:rPr>
          <w:rStyle w:val="libFootnoteBoldChar"/>
          <w:rtl/>
        </w:rPr>
        <w:t>الوافي</w:t>
      </w:r>
      <w:r w:rsidR="008A74EB" w:rsidRPr="00C9040A">
        <w:rPr>
          <w:rtl/>
        </w:rPr>
        <w:t xml:space="preserve"> ، ج 5 ، ص 511 ، ح 2461 ؛ </w:t>
      </w:r>
      <w:r w:rsidR="008A74EB" w:rsidRPr="00993B55">
        <w:rPr>
          <w:rStyle w:val="libFootnoteBoldChar"/>
          <w:rtl/>
        </w:rPr>
        <w:t>البحار</w:t>
      </w:r>
      <w:r w:rsidR="008A74EB" w:rsidRPr="00C9040A">
        <w:rPr>
          <w:rtl/>
        </w:rPr>
        <w:t xml:space="preserve"> ، ج 74 ، ص 121 ، ح 86.</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946E41">
        <w:rPr>
          <w:rtl/>
        </w:rPr>
        <w:t>1993</w:t>
      </w:r>
      <w:r w:rsidRPr="00261CB0">
        <w:rPr>
          <w:rStyle w:val="libBold2Char"/>
          <w:rtl/>
        </w:rPr>
        <w:t xml:space="preserve"> / 20.</w:t>
      </w:r>
      <w:r w:rsidRPr="00C9040A">
        <w:rPr>
          <w:rtl/>
          <w:lang w:bidi="fa-IR"/>
        </w:rPr>
        <w:t xml:space="preserve"> عِدَّةٌ مِنْ أَصْحَابِنَا ، عَنْ أَحْمَدَ بْنِ أَبِي عَبْدِ اللهِ ، عَنْ عُثْمَانَ بْنِ عِيسى ، عَنْ سُلَيْمَانَ بْنِ هِلَالٍ ، قَالَ :</w:t>
      </w:r>
    </w:p>
    <w:p w:rsidR="008A74EB" w:rsidRPr="00C9040A" w:rsidRDefault="008A74EB" w:rsidP="008A74EB">
      <w:pPr>
        <w:pStyle w:val="libNormal"/>
        <w:rPr>
          <w:rtl/>
          <w:lang w:bidi="fa-IR"/>
        </w:rPr>
      </w:pPr>
      <w:r w:rsidRPr="00C9040A">
        <w:rPr>
          <w:rtl/>
          <w:lang w:bidi="fa-IR"/>
        </w:rPr>
        <w:t xml:space="preserve">قُلْتُ لِأَبِي عَبْدِ اللهِ </w:t>
      </w:r>
      <w:r w:rsidRPr="0003660B">
        <w:rPr>
          <w:rStyle w:val="libAlaemChar"/>
          <w:rtl/>
        </w:rPr>
        <w:t>عليه‌السلام</w:t>
      </w:r>
      <w:r w:rsidRPr="00C9040A">
        <w:rPr>
          <w:rtl/>
          <w:lang w:bidi="fa-IR"/>
        </w:rPr>
        <w:t xml:space="preserve"> : إِنَّ آلَ فُلَانٍ يَبَرُّ </w:t>
      </w:r>
      <w:r w:rsidR="006C577F" w:rsidRPr="006C577F">
        <w:rPr>
          <w:rStyle w:val="libFootnotenumChar"/>
          <w:rtl/>
        </w:rPr>
        <w:t>(1)</w:t>
      </w:r>
      <w:r w:rsidRPr="00C9040A">
        <w:rPr>
          <w:rtl/>
          <w:lang w:bidi="fa-IR"/>
        </w:rPr>
        <w:t xml:space="preserve"> بَعْضُهُمْ بَعْضاً وَيَتَوَاصَلُونَ ، فَقَالَ : « إِذاً تَنْمِي </w:t>
      </w:r>
      <w:r w:rsidR="006C577F" w:rsidRPr="006C577F">
        <w:rPr>
          <w:rStyle w:val="libFootnotenumChar"/>
          <w:rtl/>
        </w:rPr>
        <w:t>(2)</w:t>
      </w:r>
      <w:r w:rsidRPr="00C9040A">
        <w:rPr>
          <w:rtl/>
          <w:lang w:bidi="fa-IR"/>
        </w:rPr>
        <w:t xml:space="preserve"> أَمْوَالُهُمْ وَيَنْمُونَ ، فَلَا يَزَالُونَ فِي ذلِكَ حَتّى يَتَقَاطَعُوا </w:t>
      </w:r>
      <w:r w:rsidR="006C577F" w:rsidRPr="006C577F">
        <w:rPr>
          <w:rStyle w:val="libFootnotenumChar"/>
          <w:rtl/>
        </w:rPr>
        <w:t>(3)</w:t>
      </w:r>
      <w:r w:rsidRPr="00C9040A">
        <w:rPr>
          <w:rtl/>
          <w:lang w:bidi="fa-IR"/>
        </w:rPr>
        <w:t xml:space="preserve"> ، فَإِذَا </w:t>
      </w:r>
      <w:r w:rsidR="006C577F" w:rsidRPr="006C577F">
        <w:rPr>
          <w:rStyle w:val="libFootnotenumChar"/>
          <w:rtl/>
        </w:rPr>
        <w:t>(4)</w:t>
      </w:r>
      <w:r w:rsidRPr="00C9040A">
        <w:rPr>
          <w:rtl/>
          <w:lang w:bidi="fa-IR"/>
        </w:rPr>
        <w:t xml:space="preserve"> فَعَلُوا </w:t>
      </w:r>
      <w:r w:rsidR="006C577F" w:rsidRPr="006C577F">
        <w:rPr>
          <w:rStyle w:val="libFootnotenumChar"/>
          <w:rtl/>
        </w:rPr>
        <w:t>(5)</w:t>
      </w:r>
      <w:r w:rsidRPr="00C9040A">
        <w:rPr>
          <w:rtl/>
          <w:lang w:bidi="fa-IR"/>
        </w:rPr>
        <w:t xml:space="preserve"> ذلِكَ انْقَشَعَ </w:t>
      </w:r>
      <w:r w:rsidR="006C577F" w:rsidRPr="006C577F">
        <w:rPr>
          <w:rStyle w:val="libFootnotenumChar"/>
          <w:rtl/>
        </w:rPr>
        <w:t>(6)</w:t>
      </w:r>
      <w:r w:rsidRPr="005B567D">
        <w:rPr>
          <w:rStyle w:val="libFootnotenumChar"/>
          <w:rtl/>
        </w:rPr>
        <w:t xml:space="preserve"> </w:t>
      </w:r>
      <w:r w:rsidRPr="00C9040A">
        <w:rPr>
          <w:rtl/>
          <w:lang w:bidi="fa-IR"/>
        </w:rPr>
        <w:t>عَنْهُمْ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946E41">
        <w:rPr>
          <w:rtl/>
        </w:rPr>
        <w:t>1994</w:t>
      </w:r>
      <w:r w:rsidRPr="00261CB0">
        <w:rPr>
          <w:rStyle w:val="libBold2Char"/>
          <w:rtl/>
        </w:rPr>
        <w:t xml:space="preserve"> / 21.</w:t>
      </w:r>
      <w:r w:rsidRPr="00C9040A">
        <w:rPr>
          <w:rtl/>
          <w:lang w:bidi="fa-IR"/>
        </w:rPr>
        <w:t xml:space="preserve"> عَنْهُ </w:t>
      </w:r>
      <w:r w:rsidR="006C577F" w:rsidRPr="006C577F">
        <w:rPr>
          <w:rStyle w:val="libFootnotenumChar"/>
          <w:rtl/>
        </w:rPr>
        <w:t>(8)</w:t>
      </w:r>
      <w:r w:rsidRPr="00C9040A">
        <w:rPr>
          <w:rtl/>
          <w:lang w:bidi="fa-IR"/>
        </w:rPr>
        <w:t xml:space="preserve"> ، عَنْ غَيْرِ وَاحِدٍ ، عَنْ زِيَادٍ الْقَنْدِيِّ ، عَنْ عَبْدِ اللهِ بْنِ سِنَانٍ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إِنَّ الْقَوْمَ لَيَكُونُونَ فَجَرَةً وَلَا يَكُونُونَ بَرَرَةً ، فَيَصِلُونَ أَرْحَامَهُمْ ، فَتَنْمِي </w:t>
      </w:r>
      <w:r w:rsidR="006C577F" w:rsidRPr="006C577F">
        <w:rPr>
          <w:rStyle w:val="libFootnotenumChar"/>
          <w:rtl/>
        </w:rPr>
        <w:t>(9)</w:t>
      </w:r>
      <w:r w:rsidRPr="00C9040A">
        <w:rPr>
          <w:rtl/>
          <w:lang w:bidi="fa-IR"/>
        </w:rPr>
        <w:t xml:space="preserve"> أَمْوَالُهُمْ ، وَتَطُولُ </w:t>
      </w:r>
      <w:r w:rsidR="006C577F" w:rsidRPr="006C577F">
        <w:rPr>
          <w:rStyle w:val="libFootnotenumChar"/>
          <w:rtl/>
        </w:rPr>
        <w:t>(10)</w:t>
      </w:r>
      <w:r w:rsidRPr="00C9040A">
        <w:rPr>
          <w:rtl/>
          <w:lang w:bidi="fa-IR"/>
        </w:rPr>
        <w:t xml:space="preserve"> أَعْمَارُهُمْ ، فَكَيْفَ إِ</w:t>
      </w:r>
      <w:r w:rsidR="00DE2616">
        <w:rPr>
          <w:rtl/>
          <w:lang w:bidi="fa-IR"/>
        </w:rPr>
        <w:t>ذَا كَانُوا أَبْرَاراً بَرَرَةً</w:t>
      </w:r>
      <w:r w:rsidRPr="00C9040A">
        <w:rPr>
          <w:rtl/>
          <w:lang w:bidi="fa-IR"/>
        </w:rPr>
        <w:t>»</w:t>
      </w:r>
      <w:r>
        <w:rPr>
          <w:rtl/>
          <w:lang w:bidi="fa-IR"/>
        </w:rPr>
        <w:t>.</w:t>
      </w:r>
      <w:r w:rsidRPr="00C9040A">
        <w:rPr>
          <w:rtl/>
          <w:lang w:bidi="fa-IR"/>
        </w:rPr>
        <w:t xml:space="preserve"> </w:t>
      </w:r>
      <w:r w:rsidR="006C577F" w:rsidRPr="006C577F">
        <w:rPr>
          <w:rStyle w:val="libFootnotenumChar"/>
          <w:rtl/>
        </w:rPr>
        <w:t>(11)</w:t>
      </w:r>
      <w:r w:rsidRPr="00C9040A">
        <w:rPr>
          <w:rtl/>
          <w:lang w:bidi="fa-IR"/>
        </w:rPr>
        <w:t xml:space="preserve"> ‌</w:t>
      </w:r>
    </w:p>
    <w:p w:rsidR="008A74EB" w:rsidRPr="00C9040A" w:rsidRDefault="008A74EB" w:rsidP="008A74EB">
      <w:pPr>
        <w:pStyle w:val="libNormal"/>
        <w:rPr>
          <w:rtl/>
          <w:lang w:bidi="fa-IR"/>
        </w:rPr>
      </w:pPr>
      <w:r w:rsidRPr="00946E41">
        <w:rPr>
          <w:rtl/>
        </w:rPr>
        <w:t>1995</w:t>
      </w:r>
      <w:r w:rsidRPr="00261CB0">
        <w:rPr>
          <w:rStyle w:val="libBold2Char"/>
          <w:rtl/>
        </w:rPr>
        <w:t xml:space="preserve"> / 22.</w:t>
      </w:r>
      <w:r w:rsidRPr="00C9040A">
        <w:rPr>
          <w:rtl/>
          <w:lang w:bidi="fa-IR"/>
        </w:rPr>
        <w:t xml:space="preserve"> وَعَنْهُ </w:t>
      </w:r>
      <w:r w:rsidR="006C577F" w:rsidRPr="006C577F">
        <w:rPr>
          <w:rStyle w:val="libFootnotenumChar"/>
          <w:rtl/>
        </w:rPr>
        <w:t>(12)</w:t>
      </w:r>
      <w:r w:rsidRPr="00C9040A">
        <w:rPr>
          <w:rtl/>
          <w:lang w:bidi="fa-IR"/>
        </w:rPr>
        <w:t xml:space="preserve"> ، عَنِ الْقَاسِمِ بْنِ يَحْيى ، عَنْ جَدِّهِ الْحَسَنِ بْنِ رَاشِدٍ ، عَنْ أَبِي بَصِيرٍ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بس » : « تبرّ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ف » : « تنمو »</w:t>
      </w:r>
      <w:r w:rsidR="008A74EB">
        <w:rPr>
          <w:rtl/>
        </w:rPr>
        <w:t>.</w:t>
      </w:r>
      <w:r w:rsidR="008A74EB" w:rsidRPr="00C9040A">
        <w:rPr>
          <w:rtl/>
        </w:rPr>
        <w:t xml:space="preserve"> وفي مرآة العقول : « تنمي أموالهم ، على بناء الفاعل ، أو المفعول. وكذا « ينمون » يحتملهما »</w:t>
      </w:r>
      <w:r w:rsidR="008A74EB">
        <w:rPr>
          <w:rtl/>
        </w:rPr>
        <w:t>.</w:t>
      </w:r>
    </w:p>
    <w:tbl>
      <w:tblPr>
        <w:tblStyle w:val="TableGrid"/>
        <w:bidiVisual/>
        <w:tblW w:w="0" w:type="auto"/>
        <w:tblLook w:val="04A0" w:firstRow="1" w:lastRow="0" w:firstColumn="1" w:lastColumn="0" w:noHBand="0" w:noVBand="1"/>
      </w:tblPr>
      <w:tblGrid>
        <w:gridCol w:w="4006"/>
        <w:gridCol w:w="4006"/>
      </w:tblGrid>
      <w:tr w:rsidR="00226B8B" w:rsidTr="00226B8B">
        <w:tc>
          <w:tcPr>
            <w:tcW w:w="4006" w:type="dxa"/>
          </w:tcPr>
          <w:p w:rsidR="00226B8B" w:rsidRDefault="00226B8B" w:rsidP="004A4E41">
            <w:pPr>
              <w:pStyle w:val="libFootnote0"/>
              <w:rPr>
                <w:rtl/>
              </w:rPr>
            </w:pPr>
            <w:r>
              <w:rPr>
                <w:rtl/>
              </w:rPr>
              <w:t>(3).</w:t>
            </w:r>
            <w:r w:rsidRPr="00C9040A">
              <w:rPr>
                <w:rtl/>
              </w:rPr>
              <w:t xml:space="preserve"> في البحار : « يتقاطعون »</w:t>
            </w:r>
            <w:r>
              <w:rPr>
                <w:rtl/>
              </w:rPr>
              <w:t>.</w:t>
            </w:r>
          </w:p>
        </w:tc>
        <w:tc>
          <w:tcPr>
            <w:tcW w:w="4006" w:type="dxa"/>
          </w:tcPr>
          <w:p w:rsidR="00226B8B" w:rsidRDefault="00226B8B" w:rsidP="004A4E41">
            <w:pPr>
              <w:pStyle w:val="libFootnote0"/>
              <w:rPr>
                <w:rtl/>
              </w:rPr>
            </w:pPr>
            <w:r>
              <w:rPr>
                <w:rtl/>
              </w:rPr>
              <w:t>(4).</w:t>
            </w:r>
            <w:r w:rsidRPr="00C9040A">
              <w:rPr>
                <w:rtl/>
              </w:rPr>
              <w:t xml:space="preserve"> في « ب » : « فإذ »</w:t>
            </w:r>
            <w:r>
              <w:rPr>
                <w:rtl/>
              </w:rPr>
              <w:t>.</w:t>
            </w:r>
          </w:p>
        </w:tc>
      </w:tr>
    </w:tbl>
    <w:p w:rsidR="008A74EB" w:rsidRPr="00C9040A" w:rsidRDefault="006C577F" w:rsidP="004A4E41">
      <w:pPr>
        <w:pStyle w:val="libFootnote0"/>
        <w:rPr>
          <w:rtl/>
          <w:lang w:bidi="fa-IR"/>
        </w:rPr>
      </w:pPr>
      <w:r>
        <w:rPr>
          <w:rtl/>
        </w:rPr>
        <w:t>(5).</w:t>
      </w:r>
      <w:r w:rsidR="008A74EB" w:rsidRPr="00C9040A">
        <w:rPr>
          <w:rtl/>
        </w:rPr>
        <w:t xml:space="preserve"> في « ز ، ص » : « قطعوا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 انقشع » ، أي انكشف ، والمراد : انكشف وزال عنهم نموّ الأموال والأنفس. راجع : </w:t>
      </w:r>
      <w:r w:rsidR="008A74EB" w:rsidRPr="00993B55">
        <w:rPr>
          <w:rStyle w:val="libFootnoteBoldChar"/>
          <w:rtl/>
        </w:rPr>
        <w:t>المصباح المنير</w:t>
      </w:r>
      <w:r w:rsidR="008A74EB" w:rsidRPr="00C9040A">
        <w:rPr>
          <w:rtl/>
        </w:rPr>
        <w:t xml:space="preserve"> ، ص 503 ( قشع )</w:t>
      </w:r>
      <w:r w:rsidR="008A74EB">
        <w:rPr>
          <w:rtl/>
        </w:rPr>
        <w:t>.</w:t>
      </w:r>
      <w:r w:rsidR="008A74EB" w:rsidRPr="00C9040A">
        <w:rPr>
          <w:rtl/>
        </w:rPr>
        <w:t xml:space="preserve"> وفي « ب ، بر » : « انقشعت »</w:t>
      </w:r>
      <w:r w:rsidR="008A74EB">
        <w:rPr>
          <w:rtl/>
        </w:rPr>
        <w:t>.</w:t>
      </w:r>
      <w:r w:rsidR="008A74EB" w:rsidRPr="00C9040A">
        <w:rPr>
          <w:rtl/>
        </w:rPr>
        <w:t xml:space="preserve"> وفي « ز ، ص » : « انقطع »</w:t>
      </w:r>
      <w:r w:rsidR="008A74EB">
        <w:rPr>
          <w:rtl/>
        </w:rPr>
        <w:t>.</w:t>
      </w:r>
      <w:r w:rsidR="008A74EB" w:rsidRPr="00C9040A">
        <w:rPr>
          <w:rtl/>
        </w:rPr>
        <w:t xml:space="preserve"> وفي حاشية « ج ، د ، بس » : « انقشعت</w:t>
      </w:r>
      <w:r w:rsidR="008A74EB">
        <w:rPr>
          <w:rtl/>
        </w:rPr>
        <w:t xml:space="preserve"> </w:t>
      </w:r>
      <w:r w:rsidR="0084262C">
        <w:rPr>
          <w:rtl/>
        </w:rPr>
        <w:t>-</w:t>
      </w:r>
      <w:r w:rsidR="008A74EB">
        <w:rPr>
          <w:rtl/>
        </w:rPr>
        <w:t xml:space="preserve"> </w:t>
      </w:r>
      <w:r w:rsidR="008A74EB" w:rsidRPr="00C9040A">
        <w:rPr>
          <w:rtl/>
        </w:rPr>
        <w:t>انقطعت »</w:t>
      </w:r>
      <w:r w:rsidR="008A74EB">
        <w:rPr>
          <w:rtl/>
        </w:rPr>
        <w:t>.</w:t>
      </w:r>
      <w:r w:rsidR="008A74EB" w:rsidRPr="00C9040A">
        <w:rPr>
          <w:rtl/>
        </w:rPr>
        <w:t xml:space="preserve"> وفي حاشية « ص » : « انقشع</w:t>
      </w:r>
      <w:r w:rsidR="008A74EB">
        <w:rPr>
          <w:rtl/>
        </w:rPr>
        <w:t xml:space="preserve"> </w:t>
      </w:r>
      <w:r w:rsidR="0084262C">
        <w:rPr>
          <w:rtl/>
        </w:rPr>
        <w:t>-</w:t>
      </w:r>
      <w:r w:rsidR="008A74EB">
        <w:rPr>
          <w:rtl/>
        </w:rPr>
        <w:t xml:space="preserve"> </w:t>
      </w:r>
      <w:r w:rsidR="008A74EB" w:rsidRPr="00C9040A">
        <w:rPr>
          <w:rtl/>
        </w:rPr>
        <w:t>انقطعت »</w:t>
      </w:r>
      <w:r w:rsidR="008A74EB">
        <w:rPr>
          <w:rtl/>
        </w:rPr>
        <w:t>.</w:t>
      </w:r>
      <w:r w:rsidR="008A74EB" w:rsidRPr="00C9040A">
        <w:rPr>
          <w:rtl/>
        </w:rPr>
        <w:t xml:space="preserve"> وفي الزهد : « انكسر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الزهد</w:t>
      </w:r>
      <w:r w:rsidR="008A74EB" w:rsidRPr="00C9040A">
        <w:rPr>
          <w:rtl/>
        </w:rPr>
        <w:t xml:space="preserve"> ، ص 104 ، ح 103 ، عن القاسم ، عن عبدالصمد بن هلال ، عن رجل من أصحابنا ، عن أبي عبد الله </w:t>
      </w:r>
      <w:r w:rsidR="00117575" w:rsidRPr="00117575">
        <w:rPr>
          <w:rStyle w:val="libFootnoteAlaemChar"/>
          <w:rtl/>
        </w:rPr>
        <w:t>عليه‌السلام</w:t>
      </w:r>
      <w:r w:rsidR="008A74EB" w:rsidRPr="00C9040A">
        <w:rPr>
          <w:rtl/>
        </w:rPr>
        <w:t xml:space="preserve"> ، مع اختلاف يسير </w:t>
      </w:r>
      <w:r w:rsidR="00226B8B">
        <w:rPr>
          <w:rFonts w:hint="cs"/>
          <w:rtl/>
        </w:rPr>
        <w:t>.</w:t>
      </w:r>
      <w:r w:rsidR="008A74EB" w:rsidRPr="00993B55">
        <w:rPr>
          <w:rStyle w:val="libFootnoteBoldChar"/>
          <w:rtl/>
        </w:rPr>
        <w:t>الوافي</w:t>
      </w:r>
      <w:r w:rsidR="008A74EB" w:rsidRPr="00C9040A">
        <w:rPr>
          <w:rtl/>
        </w:rPr>
        <w:t xml:space="preserve"> ، ج 5 ، ص 512 ، ح 2462 ؛ </w:t>
      </w:r>
      <w:r w:rsidR="008A74EB" w:rsidRPr="00993B55">
        <w:rPr>
          <w:rStyle w:val="libFootnoteBoldChar"/>
          <w:rtl/>
        </w:rPr>
        <w:t>البحار</w:t>
      </w:r>
      <w:r w:rsidR="008A74EB" w:rsidRPr="00C9040A">
        <w:rPr>
          <w:rtl/>
        </w:rPr>
        <w:t xml:space="preserve"> ، ج 74 ، ص 125 ، ح 87.</w:t>
      </w:r>
    </w:p>
    <w:p w:rsidR="008A74EB" w:rsidRPr="00C9040A" w:rsidRDefault="006C577F" w:rsidP="004A4E41">
      <w:pPr>
        <w:pStyle w:val="libFootnote0"/>
        <w:rPr>
          <w:rtl/>
          <w:lang w:bidi="fa-IR"/>
        </w:rPr>
      </w:pPr>
      <w:r>
        <w:rPr>
          <w:rtl/>
        </w:rPr>
        <w:t>(8).</w:t>
      </w:r>
      <w:r w:rsidR="008A74EB" w:rsidRPr="00C9040A">
        <w:rPr>
          <w:rtl/>
        </w:rPr>
        <w:t xml:space="preserve"> الضمير راجع إلى أحمد بن أبي عبد الله المذكور في السند السابق.</w:t>
      </w:r>
    </w:p>
    <w:p w:rsidR="008A74EB" w:rsidRPr="00C9040A" w:rsidRDefault="006C577F" w:rsidP="004A4E41">
      <w:pPr>
        <w:pStyle w:val="libFootnote0"/>
        <w:rPr>
          <w:rtl/>
          <w:lang w:bidi="fa-IR"/>
        </w:rPr>
      </w:pPr>
      <w:r>
        <w:rPr>
          <w:rtl/>
        </w:rPr>
        <w:t>(9).</w:t>
      </w:r>
      <w:r w:rsidR="008A74EB" w:rsidRPr="00C9040A">
        <w:rPr>
          <w:rtl/>
        </w:rPr>
        <w:t xml:space="preserve"> في « ب » : « فتنمو »</w:t>
      </w:r>
      <w:r w:rsidR="008A74EB">
        <w:rPr>
          <w:rtl/>
        </w:rPr>
        <w:t>.</w:t>
      </w:r>
      <w:r w:rsidR="008A74EB" w:rsidRPr="00C9040A">
        <w:rPr>
          <w:rtl/>
        </w:rPr>
        <w:t xml:space="preserve"> ويمكن قراءته على صيغة المعلوم من الإفعال. والضمير المستتر راجع إلى صلة الرحم.</w:t>
      </w:r>
    </w:p>
    <w:p w:rsidR="008A74EB" w:rsidRPr="00C9040A" w:rsidRDefault="006C577F" w:rsidP="004A4E41">
      <w:pPr>
        <w:pStyle w:val="libFootnote0"/>
        <w:rPr>
          <w:rtl/>
          <w:lang w:bidi="fa-IR"/>
        </w:rPr>
      </w:pPr>
      <w:r>
        <w:rPr>
          <w:rtl/>
        </w:rPr>
        <w:t>(10).</w:t>
      </w:r>
      <w:r w:rsidR="008A74EB" w:rsidRPr="00C9040A">
        <w:rPr>
          <w:rtl/>
        </w:rPr>
        <w:t xml:space="preserve"> في « ص » : « وتطوّل » على صيغة المعلوم أو المجهول من التفعيل.</w:t>
      </w:r>
    </w:p>
    <w:p w:rsidR="008A74EB" w:rsidRPr="00C9040A" w:rsidRDefault="006C577F" w:rsidP="004A4E41">
      <w:pPr>
        <w:pStyle w:val="libFootnote0"/>
        <w:rPr>
          <w:rtl/>
          <w:lang w:bidi="fa-IR"/>
        </w:rPr>
      </w:pPr>
      <w:r>
        <w:rPr>
          <w:rtl/>
        </w:rPr>
        <w:t>(11).</w:t>
      </w:r>
      <w:r w:rsidR="008A74EB" w:rsidRPr="00C9040A">
        <w:rPr>
          <w:rtl/>
        </w:rPr>
        <w:t xml:space="preserve"> </w:t>
      </w:r>
      <w:r w:rsidR="008A74EB" w:rsidRPr="00993B55">
        <w:rPr>
          <w:rStyle w:val="libFootnoteBoldChar"/>
          <w:rtl/>
        </w:rPr>
        <w:t>الوافي</w:t>
      </w:r>
      <w:r w:rsidR="008A74EB" w:rsidRPr="00C9040A">
        <w:rPr>
          <w:rtl/>
        </w:rPr>
        <w:t xml:space="preserve"> ، ج 5 ، ص 512 ، ح 2463 ؛ </w:t>
      </w:r>
      <w:r w:rsidR="008A74EB" w:rsidRPr="00993B55">
        <w:rPr>
          <w:rStyle w:val="libFootnoteBoldChar"/>
          <w:rtl/>
        </w:rPr>
        <w:t>البحار</w:t>
      </w:r>
      <w:r w:rsidR="008A74EB" w:rsidRPr="00C9040A">
        <w:rPr>
          <w:rtl/>
        </w:rPr>
        <w:t xml:space="preserve"> ، ج 74 ، ص 125 ، ح 88.</w:t>
      </w:r>
    </w:p>
    <w:p w:rsidR="008A74EB" w:rsidRPr="00C9040A" w:rsidRDefault="006C577F" w:rsidP="004A4E41">
      <w:pPr>
        <w:pStyle w:val="libFootnote0"/>
        <w:rPr>
          <w:rtl/>
          <w:lang w:bidi="fa-IR"/>
        </w:rPr>
      </w:pPr>
      <w:r>
        <w:rPr>
          <w:rtl/>
        </w:rPr>
        <w:t>(12).</w:t>
      </w:r>
      <w:r w:rsidR="008A74EB" w:rsidRPr="00C9040A">
        <w:rPr>
          <w:rtl/>
        </w:rPr>
        <w:t xml:space="preserve"> الضمير راجع إلى أحمد بن أبي عبد الله ؛ فقد روى أحمد هذا عن القاسم بن يحيى في بعض الأسناد. راجع : </w:t>
      </w:r>
      <w:r w:rsidR="008A74EB" w:rsidRPr="00993B55">
        <w:rPr>
          <w:rStyle w:val="libFootnoteBoldChar"/>
          <w:rtl/>
        </w:rPr>
        <w:t>معجم رجال الحديث</w:t>
      </w:r>
      <w:r w:rsidR="008A74EB" w:rsidRPr="00C9040A">
        <w:rPr>
          <w:rtl/>
        </w:rPr>
        <w:t xml:space="preserve"> ، ج 14 ، ص 368</w:t>
      </w:r>
      <w:r w:rsidR="008A74EB">
        <w:rPr>
          <w:rtl/>
        </w:rPr>
        <w:t xml:space="preserve"> </w:t>
      </w:r>
      <w:r w:rsidR="0084262C">
        <w:rPr>
          <w:rtl/>
        </w:rPr>
        <w:t>-</w:t>
      </w:r>
      <w:r w:rsidR="008A74EB">
        <w:rPr>
          <w:rtl/>
        </w:rPr>
        <w:t xml:space="preserve"> </w:t>
      </w:r>
      <w:r w:rsidR="008A74EB" w:rsidRPr="00C9040A">
        <w:rPr>
          <w:rtl/>
        </w:rPr>
        <w:t>370.</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أَمِيرُ الْمُؤْمِنِينَ </w:t>
      </w:r>
      <w:r w:rsidRPr="0003660B">
        <w:rPr>
          <w:rStyle w:val="libAlaemChar"/>
          <w:rtl/>
        </w:rPr>
        <w:t>عليه‌السلام</w:t>
      </w:r>
      <w:r w:rsidRPr="00C9040A">
        <w:rPr>
          <w:rtl/>
          <w:lang w:bidi="fa-IR"/>
        </w:rPr>
        <w:t xml:space="preserve"> : صِلُوا أَرْحَامَكُمْ وَلَوْ بِالتَّسْلِيمِ </w:t>
      </w:r>
      <w:r w:rsidR="006C577F" w:rsidRPr="006C577F">
        <w:rPr>
          <w:rStyle w:val="libFootnotenumChar"/>
          <w:rtl/>
        </w:rPr>
        <w:t>(1)</w:t>
      </w:r>
      <w:r w:rsidRPr="00C9040A">
        <w:rPr>
          <w:rtl/>
          <w:lang w:bidi="fa-IR"/>
        </w:rPr>
        <w:t xml:space="preserve"> ، يَقُولُ اللهُ تَبَارَكَ‌وَتَعَالى : </w:t>
      </w:r>
      <w:r w:rsidRPr="0003660B">
        <w:rPr>
          <w:rStyle w:val="libAlaemChar"/>
          <w:rtl/>
        </w:rPr>
        <w:t>(</w:t>
      </w:r>
      <w:r w:rsidRPr="006A2246">
        <w:rPr>
          <w:rStyle w:val="libAieChar"/>
          <w:rtl/>
        </w:rPr>
        <w:t xml:space="preserve"> وَاتَّقُوا اللهَ الَّذِي تَسائَلُونَ بِهِ وَالْأَرْحامَ إِنَّ اللهَ كانَ عَلَيْكُمْ رَقِيباً </w:t>
      </w:r>
      <w:r w:rsidRPr="0003660B">
        <w:rPr>
          <w:rStyle w:val="libAlaemChar"/>
          <w:rtl/>
        </w:rPr>
        <w:t>)</w:t>
      </w:r>
      <w:r w:rsidRPr="00C9040A">
        <w:rPr>
          <w:rtl/>
          <w:lang w:bidi="fa-IR"/>
        </w:rPr>
        <w:t xml:space="preserve"> </w:t>
      </w:r>
      <w:r w:rsidR="006C577F" w:rsidRPr="006C577F">
        <w:rPr>
          <w:rStyle w:val="libFootnotenumChar"/>
          <w:rtl/>
        </w:rPr>
        <w:t>(2)</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946E41">
        <w:rPr>
          <w:rtl/>
        </w:rPr>
        <w:t>1996</w:t>
      </w:r>
      <w:r w:rsidRPr="00261CB0">
        <w:rPr>
          <w:rStyle w:val="libBold2Char"/>
          <w:rtl/>
        </w:rPr>
        <w:t xml:space="preserve"> / 23.</w:t>
      </w:r>
      <w:r w:rsidRPr="00C9040A">
        <w:rPr>
          <w:rtl/>
          <w:lang w:bidi="fa-IR"/>
        </w:rPr>
        <w:t xml:space="preserve"> مُحَمَّدُ بْنُ يَحْيى ، عَنْ أَحْمَدَ بْنِ مُحَمَّدِ بْنِ </w:t>
      </w:r>
      <w:r w:rsidR="006C577F" w:rsidRPr="006C577F">
        <w:rPr>
          <w:rStyle w:val="libFootnotenumChar"/>
          <w:rtl/>
        </w:rPr>
        <w:t>(4)</w:t>
      </w:r>
      <w:r w:rsidRPr="00C9040A">
        <w:rPr>
          <w:rtl/>
          <w:lang w:bidi="fa-IR"/>
        </w:rPr>
        <w:t xml:space="preserve"> عِيسى ، عَنْ عَلِيِّ بْنِ الْحَكَمِ ، عَنْ صَفْوَانَ الْجَمَّالِ ، قَالَ :</w:t>
      </w:r>
    </w:p>
    <w:p w:rsidR="008A74EB" w:rsidRPr="00C9040A" w:rsidRDefault="008A74EB" w:rsidP="008A74EB">
      <w:pPr>
        <w:pStyle w:val="libNormal"/>
        <w:rPr>
          <w:rtl/>
          <w:lang w:bidi="fa-IR"/>
        </w:rPr>
      </w:pPr>
      <w:r w:rsidRPr="00C9040A">
        <w:rPr>
          <w:rtl/>
          <w:lang w:bidi="fa-IR"/>
        </w:rPr>
        <w:t xml:space="preserve">وَقَعَ بَيْنَ أَبِي عَبْدِ اللهِ </w:t>
      </w:r>
      <w:r w:rsidRPr="0003660B">
        <w:rPr>
          <w:rStyle w:val="libAlaemChar"/>
          <w:rtl/>
        </w:rPr>
        <w:t>عليه‌السلام</w:t>
      </w:r>
      <w:r w:rsidRPr="00C9040A">
        <w:rPr>
          <w:rtl/>
          <w:lang w:bidi="fa-IR"/>
        </w:rPr>
        <w:t xml:space="preserve"> وَبَيْنَ عَبْدِ اللهِ بْنِ الْحَسَنِ كَلَامٌ حَتّى وَقَعَتِ الضَّوْضَاءُ </w:t>
      </w:r>
      <w:r w:rsidR="006C577F" w:rsidRPr="006C577F">
        <w:rPr>
          <w:rStyle w:val="libFootnotenumChar"/>
          <w:rtl/>
        </w:rPr>
        <w:t>(5)</w:t>
      </w:r>
      <w:r w:rsidRPr="00C9040A">
        <w:rPr>
          <w:rtl/>
          <w:lang w:bidi="fa-IR"/>
        </w:rPr>
        <w:t xml:space="preserve"> بَيْنَهُمْ ، وَاجْتَمَعَ النَّاسُ ، فَافْتَرَقَا عَشِيَّتَهُمَا بِذلِكَ ، وَغَدَوْتُ فِي حَاجَةٍ ، فَإِذَا </w:t>
      </w:r>
      <w:r w:rsidR="006C577F" w:rsidRPr="006C577F">
        <w:rPr>
          <w:rStyle w:val="libFootnotenumChar"/>
          <w:rtl/>
        </w:rPr>
        <w:t>(6)</w:t>
      </w:r>
      <w:r w:rsidRPr="005B567D">
        <w:rPr>
          <w:rStyle w:val="libFootnotenumChar"/>
          <w:rtl/>
        </w:rPr>
        <w:t xml:space="preserve"> </w:t>
      </w:r>
      <w:r w:rsidRPr="00C9040A">
        <w:rPr>
          <w:rtl/>
          <w:lang w:bidi="fa-IR"/>
        </w:rPr>
        <w:t xml:space="preserve">أَنَا بِأَبِي عَبْدِ اللهِ </w:t>
      </w:r>
      <w:r w:rsidRPr="0003660B">
        <w:rPr>
          <w:rStyle w:val="libAlaemChar"/>
          <w:rtl/>
        </w:rPr>
        <w:t>عليه‌السلام</w:t>
      </w:r>
      <w:r w:rsidRPr="00C9040A">
        <w:rPr>
          <w:rtl/>
          <w:lang w:bidi="fa-IR"/>
        </w:rPr>
        <w:t xml:space="preserve"> عَلى بَابِ عَبْدِ اللهِ بْنِ الْحَسَنِ وَهُوَ يَقُولُ : « يَا جَارِيَةُ </w:t>
      </w:r>
      <w:r w:rsidR="006C577F" w:rsidRPr="006C577F">
        <w:rPr>
          <w:rStyle w:val="libFootnotenumChar"/>
          <w:rtl/>
        </w:rPr>
        <w:t>(7)</w:t>
      </w:r>
      <w:r w:rsidRPr="00C9040A">
        <w:rPr>
          <w:rtl/>
          <w:lang w:bidi="fa-IR"/>
        </w:rPr>
        <w:t xml:space="preserve"> ، قُولِي لِأَبِي مُحَمَّدٍ يَخْرُجْ </w:t>
      </w:r>
      <w:r w:rsidR="006C577F" w:rsidRPr="006C577F">
        <w:rPr>
          <w:rStyle w:val="libFootnotenumChar"/>
          <w:rtl/>
        </w:rPr>
        <w:t>(8)</w:t>
      </w:r>
      <w:r w:rsidRPr="00C9040A">
        <w:rPr>
          <w:rtl/>
          <w:lang w:bidi="fa-IR"/>
        </w:rPr>
        <w:t xml:space="preserve"> »</w:t>
      </w:r>
      <w:r>
        <w:rPr>
          <w:rtl/>
          <w:lang w:bidi="fa-IR"/>
        </w:rPr>
        <w:t>.</w:t>
      </w:r>
      <w:r w:rsidRPr="00C9040A">
        <w:rPr>
          <w:rtl/>
          <w:lang w:bidi="fa-IR"/>
        </w:rPr>
        <w:t xml:space="preserve"> قَالَ : فَخَرَجَ ، فَقَالَ : يَا أَبَا عَبْدِ اللهِ ، مَا بَكَّرَ بِكَ </w:t>
      </w:r>
      <w:r w:rsidR="006C577F" w:rsidRPr="006C577F">
        <w:rPr>
          <w:rStyle w:val="libFootnotenumChar"/>
          <w:rtl/>
        </w:rPr>
        <w:t>(9)</w:t>
      </w:r>
      <w:r>
        <w:rPr>
          <w:rtl/>
          <w:lang w:bidi="fa-IR"/>
        </w:rPr>
        <w:t>؟</w:t>
      </w:r>
      <w:r w:rsidRPr="00C9040A">
        <w:rPr>
          <w:rtl/>
          <w:lang w:bidi="fa-IR"/>
        </w:rPr>
        <w:t xml:space="preserve"> فَقَالَ </w:t>
      </w:r>
      <w:r w:rsidR="006C577F" w:rsidRPr="006C577F">
        <w:rPr>
          <w:rStyle w:val="libFootnotenumChar"/>
          <w:rtl/>
        </w:rPr>
        <w:t>(10)</w:t>
      </w:r>
      <w:r w:rsidRPr="00C9040A">
        <w:rPr>
          <w:rtl/>
          <w:lang w:bidi="fa-IR"/>
        </w:rPr>
        <w:t xml:space="preserve"> : « إِنِّي تَلَوْتُ آيَةً‌</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الخصال وتحف العقول : « بالسلام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النساء </w:t>
      </w:r>
      <w:r>
        <w:rPr>
          <w:rtl/>
        </w:rPr>
        <w:t>(4).</w:t>
      </w:r>
      <w:r w:rsidR="008A74EB" w:rsidRPr="00C9040A">
        <w:rPr>
          <w:rtl/>
        </w:rPr>
        <w:t xml:space="preserve"> : 1.</w:t>
      </w:r>
    </w:p>
    <w:p w:rsidR="008A74EB" w:rsidRPr="00C9040A" w:rsidRDefault="006C577F" w:rsidP="0003318C">
      <w:pPr>
        <w:pStyle w:val="libFootnote0"/>
        <w:rPr>
          <w:rtl/>
          <w:lang w:bidi="fa-IR"/>
        </w:rPr>
      </w:pPr>
      <w:r>
        <w:rPr>
          <w:rtl/>
        </w:rPr>
        <w:t>(3).</w:t>
      </w:r>
      <w:r w:rsidR="008A74EB" w:rsidRPr="00C9040A">
        <w:rPr>
          <w:rtl/>
        </w:rPr>
        <w:t xml:space="preserve"> </w:t>
      </w:r>
      <w:r w:rsidR="008A74EB" w:rsidRPr="00993B55">
        <w:rPr>
          <w:rStyle w:val="libFootnoteBoldChar"/>
          <w:rtl/>
        </w:rPr>
        <w:t>الخصال</w:t>
      </w:r>
      <w:r w:rsidR="008A74EB" w:rsidRPr="00C9040A">
        <w:rPr>
          <w:rtl/>
        </w:rPr>
        <w:t xml:space="preserve"> ، ص 613 ، أبواب المائة فما فوقه ، ضمن الحديث الطويل 10 [ حديث أربعمائة ] ؛ و</w:t>
      </w:r>
      <w:r w:rsidR="008A74EB" w:rsidRPr="00993B55">
        <w:rPr>
          <w:rStyle w:val="libFootnoteBoldChar"/>
          <w:rtl/>
        </w:rPr>
        <w:t>الجعفريّات</w:t>
      </w:r>
      <w:r w:rsidR="008A74EB" w:rsidRPr="00C9040A">
        <w:rPr>
          <w:rtl/>
        </w:rPr>
        <w:t xml:space="preserve"> ، ص 188 ، بسند آخر عن جعفر بن محمّد ، عن آبائه </w:t>
      </w:r>
      <w:r w:rsidR="00117575" w:rsidRPr="00117575">
        <w:rPr>
          <w:rStyle w:val="libFootnoteAlaemChar"/>
          <w:rtl/>
        </w:rPr>
        <w:t>عليهم‌السلام</w:t>
      </w:r>
      <w:r w:rsidR="008A74EB" w:rsidRPr="00C9040A">
        <w:rPr>
          <w:rtl/>
        </w:rPr>
        <w:t xml:space="preserve"> عن رسول الله </w:t>
      </w:r>
      <w:r w:rsidR="004A4E41" w:rsidRPr="0003318C">
        <w:rPr>
          <w:rStyle w:val="libFootnoteAlaemChar"/>
          <w:rtl/>
        </w:rPr>
        <w:t>صلى‌الله‌عليه‌وآله</w:t>
      </w:r>
      <w:r w:rsidR="008A74EB" w:rsidRPr="00C9040A">
        <w:rPr>
          <w:rtl/>
        </w:rPr>
        <w:t xml:space="preserve"> ، وتمام الرواية فيه : « صلوا أرحامكم بالدنيا بالسلام »</w:t>
      </w:r>
      <w:r w:rsidR="008A74EB">
        <w:rPr>
          <w:rtl/>
        </w:rPr>
        <w:t>.</w:t>
      </w:r>
      <w:r w:rsidR="008A74EB" w:rsidRPr="00C9040A">
        <w:rPr>
          <w:rtl/>
        </w:rPr>
        <w:t xml:space="preserve"> </w:t>
      </w:r>
      <w:r w:rsidR="008A74EB" w:rsidRPr="00993B55">
        <w:rPr>
          <w:rStyle w:val="libFootnoteBoldChar"/>
          <w:rtl/>
        </w:rPr>
        <w:t>تحف العقول</w:t>
      </w:r>
      <w:r w:rsidR="008A74EB" w:rsidRPr="00C9040A">
        <w:rPr>
          <w:rtl/>
        </w:rPr>
        <w:t xml:space="preserve"> ، ص 103 ، ضمن الحديث الطويل [ حديث أربعمائة ] ، عن أمير المؤمنين </w:t>
      </w:r>
      <w:r w:rsidR="00117575" w:rsidRPr="00117575">
        <w:rPr>
          <w:rStyle w:val="libFootnoteAlaemChar"/>
          <w:rtl/>
        </w:rPr>
        <w:t xml:space="preserve">عليه‌السلام </w:t>
      </w:r>
      <w:r w:rsidR="008A74EB" w:rsidRPr="00C9040A">
        <w:rPr>
          <w:rtl/>
        </w:rPr>
        <w:t xml:space="preserve"> ؛ </w:t>
      </w:r>
      <w:r w:rsidR="008A74EB" w:rsidRPr="00993B55">
        <w:rPr>
          <w:rStyle w:val="libFootnoteBoldChar"/>
          <w:rtl/>
        </w:rPr>
        <w:t>وفيه</w:t>
      </w:r>
      <w:r w:rsidR="008A74EB" w:rsidRPr="00C9040A">
        <w:rPr>
          <w:rtl/>
        </w:rPr>
        <w:t xml:space="preserve"> ، ص 57 ، عن النبيّ </w:t>
      </w:r>
      <w:r w:rsidR="004A4E41" w:rsidRPr="0003318C">
        <w:rPr>
          <w:rStyle w:val="libFootnoteAlaemChar"/>
          <w:rtl/>
        </w:rPr>
        <w:t>صلى‌الله‌عليه‌وآله</w:t>
      </w:r>
      <w:r w:rsidR="008A74EB" w:rsidRPr="00C9040A">
        <w:rPr>
          <w:rtl/>
        </w:rPr>
        <w:t xml:space="preserve"> ، من دون الإشارة إلى الآية. وراجع : ح 31 من هذا الباب</w:t>
      </w:r>
      <w:r w:rsidR="0003318C">
        <w:rPr>
          <w:rFonts w:hint="cs"/>
          <w:rtl/>
        </w:rPr>
        <w:t>.</w:t>
      </w:r>
      <w:r w:rsidR="008A74EB" w:rsidRPr="00993B55">
        <w:rPr>
          <w:rStyle w:val="libFootnoteBoldChar"/>
          <w:rtl/>
        </w:rPr>
        <w:t>الوافي</w:t>
      </w:r>
      <w:r w:rsidR="008A74EB" w:rsidRPr="00C9040A">
        <w:rPr>
          <w:rtl/>
        </w:rPr>
        <w:t xml:space="preserve"> ، ج 5 ، ص 512 ، ح 2464 ؛ </w:t>
      </w:r>
      <w:r w:rsidR="008A74EB" w:rsidRPr="00993B55">
        <w:rPr>
          <w:rStyle w:val="libFootnoteBoldChar"/>
          <w:rtl/>
        </w:rPr>
        <w:t>الوسائل</w:t>
      </w:r>
      <w:r w:rsidR="008A74EB" w:rsidRPr="00C9040A">
        <w:rPr>
          <w:rtl/>
        </w:rPr>
        <w:t xml:space="preserve"> ، ج 21 ، ص 539 ، ح 27803 ؛ </w:t>
      </w:r>
      <w:r w:rsidR="008A74EB" w:rsidRPr="00993B55">
        <w:rPr>
          <w:rStyle w:val="libFootnoteBoldChar"/>
          <w:rtl/>
        </w:rPr>
        <w:t>البحار</w:t>
      </w:r>
      <w:r w:rsidR="008A74EB" w:rsidRPr="00C9040A">
        <w:rPr>
          <w:rtl/>
        </w:rPr>
        <w:t xml:space="preserve"> ، ج 74 ، ص 126 ، ح 89.</w:t>
      </w:r>
    </w:p>
    <w:p w:rsidR="008A74EB" w:rsidRPr="00C9040A" w:rsidRDefault="006C577F" w:rsidP="004A4E41">
      <w:pPr>
        <w:pStyle w:val="libFootnote0"/>
        <w:rPr>
          <w:rtl/>
          <w:lang w:bidi="fa-IR"/>
        </w:rPr>
      </w:pPr>
      <w:r>
        <w:rPr>
          <w:rtl/>
        </w:rPr>
        <w:t>(4).</w:t>
      </w:r>
      <w:r w:rsidR="008A74EB" w:rsidRPr="00C9040A">
        <w:rPr>
          <w:rtl/>
        </w:rPr>
        <w:t xml:space="preserve"> في « ج » </w:t>
      </w:r>
      <w:r w:rsidR="008A74EB">
        <w:rPr>
          <w:rtl/>
        </w:rPr>
        <w:t xml:space="preserve">: </w:t>
      </w:r>
      <w:r w:rsidR="0084262C">
        <w:rPr>
          <w:rtl/>
        </w:rPr>
        <w:t>-</w:t>
      </w:r>
      <w:r w:rsidR="008A74EB" w:rsidRPr="00C9040A">
        <w:rPr>
          <w:rtl/>
        </w:rPr>
        <w:t xml:space="preserve"> « محمّد بن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قال الجوهري : « الضوضاء : أصوات الناس وجلبتهم » ، وقال ابن الأثير : « الضوضاة : أصوات الناس وغلبتهم ، وهي مصدر »</w:t>
      </w:r>
      <w:r w:rsidR="008A74EB">
        <w:rPr>
          <w:rtl/>
        </w:rPr>
        <w:t>.</w:t>
      </w:r>
      <w:r w:rsidR="008A74EB" w:rsidRPr="00C9040A">
        <w:rPr>
          <w:rtl/>
        </w:rPr>
        <w:t xml:space="preserve"> راجع : </w:t>
      </w:r>
      <w:r w:rsidR="008A74EB" w:rsidRPr="00993B55">
        <w:rPr>
          <w:rStyle w:val="libFootnoteBoldChar"/>
          <w:rtl/>
        </w:rPr>
        <w:t>الصحاح</w:t>
      </w:r>
      <w:r w:rsidR="008A74EB" w:rsidRPr="00C9040A">
        <w:rPr>
          <w:rtl/>
        </w:rPr>
        <w:t xml:space="preserve"> ، ج 6 ، ص 2410 ( ضوا ) ؛ </w:t>
      </w:r>
      <w:r w:rsidR="008A74EB" w:rsidRPr="00993B55">
        <w:rPr>
          <w:rStyle w:val="libFootnoteBoldChar"/>
          <w:rtl/>
        </w:rPr>
        <w:t>النهاية</w:t>
      </w:r>
      <w:r w:rsidR="008A74EB" w:rsidRPr="00C9040A">
        <w:rPr>
          <w:rtl/>
        </w:rPr>
        <w:t xml:space="preserve"> ، ج 3 ، ص 105 ( ضَوْضَو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الوافي : « وإذا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حاشية « ض » : « للجارية »</w:t>
      </w:r>
      <w:r w:rsidR="008A74EB">
        <w:rPr>
          <w:rtl/>
        </w:rPr>
        <w:t>.</w:t>
      </w:r>
    </w:p>
    <w:p w:rsidR="008A74EB" w:rsidRPr="00C9040A" w:rsidRDefault="006C577F" w:rsidP="00F44D53">
      <w:pPr>
        <w:pStyle w:val="libFootnote0"/>
        <w:rPr>
          <w:rtl/>
          <w:lang w:bidi="fa-IR"/>
        </w:rPr>
      </w:pPr>
      <w:r>
        <w:rPr>
          <w:rtl/>
        </w:rPr>
        <w:t>(8).</w:t>
      </w:r>
      <w:r w:rsidR="008A74EB" w:rsidRPr="00C9040A">
        <w:rPr>
          <w:rtl/>
        </w:rPr>
        <w:t xml:space="preserve"> في « ب ، ج ، د ، ض ، بر ، بس ، بف » والبحار </w:t>
      </w:r>
      <w:r w:rsidR="008A74EB">
        <w:rPr>
          <w:rtl/>
        </w:rPr>
        <w:t xml:space="preserve">: </w:t>
      </w:r>
      <w:r w:rsidR="0084262C">
        <w:rPr>
          <w:rtl/>
        </w:rPr>
        <w:t>-</w:t>
      </w:r>
      <w:r w:rsidR="008A74EB" w:rsidRPr="00C9040A">
        <w:rPr>
          <w:rtl/>
        </w:rPr>
        <w:t xml:space="preserve"> « يخرج »</w:t>
      </w:r>
      <w:r w:rsidR="008A74EB">
        <w:rPr>
          <w:rtl/>
        </w:rPr>
        <w:t>.</w:t>
      </w:r>
      <w:r w:rsidR="008A74EB" w:rsidRPr="00C9040A">
        <w:rPr>
          <w:rtl/>
        </w:rPr>
        <w:t xml:space="preserve"> وفي « ف » : « تخرج »</w:t>
      </w:r>
      <w:r w:rsidR="008A74EB">
        <w:rPr>
          <w:rtl/>
        </w:rPr>
        <w:t>.</w:t>
      </w:r>
      <w:r w:rsidR="008A74EB" w:rsidRPr="00C9040A">
        <w:rPr>
          <w:rtl/>
        </w:rPr>
        <w:t xml:space="preserve"> والفعل مجزوم في جواب‌الأمر ، كقوله تعالى في سورة إبراهيم (14) : 31 : </w:t>
      </w:r>
      <w:r w:rsidR="00F44D53" w:rsidRPr="00F44D53">
        <w:rPr>
          <w:rStyle w:val="libFootnoteAlaemChar"/>
          <w:rFonts w:hint="cs"/>
          <w:rtl/>
        </w:rPr>
        <w:t>(</w:t>
      </w:r>
      <w:r w:rsidR="008A74EB" w:rsidRPr="00F44D53">
        <w:rPr>
          <w:rStyle w:val="libFootnoteAieChar"/>
          <w:rtl/>
        </w:rPr>
        <w:t xml:space="preserve"> قُل لّ</w:t>
      </w:r>
      <w:r w:rsidR="00F44D53">
        <w:rPr>
          <w:rStyle w:val="libFootnoteAieChar"/>
          <w:rFonts w:hint="cs"/>
          <w:rtl/>
        </w:rPr>
        <w:t>ِ</w:t>
      </w:r>
      <w:r w:rsidR="008A74EB" w:rsidRPr="00F44D53">
        <w:rPr>
          <w:rStyle w:val="libFootnoteAieChar"/>
          <w:rtl/>
        </w:rPr>
        <w:t>عِبَادِىَ الَّذِينَءَامَنُوا يُقِيمُوا الصَّلَوةَ</w:t>
      </w:r>
      <w:r w:rsidR="008A74EB" w:rsidRPr="00C9040A">
        <w:rPr>
          <w:rtl/>
        </w:rPr>
        <w:t xml:space="preserve"> </w:t>
      </w:r>
      <w:r w:rsidR="00F44D53">
        <w:rPr>
          <w:rStyle w:val="libFootnoteAlaemChar"/>
          <w:rFonts w:hint="cs"/>
          <w:rtl/>
        </w:rPr>
        <w:t>)</w:t>
      </w:r>
      <w:r w:rsidR="008A74EB" w:rsidRPr="00C9040A">
        <w:rPr>
          <w:rtl/>
        </w:rPr>
        <w:t xml:space="preserve"> ، والإسراء (17) : 53 : </w:t>
      </w:r>
      <w:r w:rsidR="00F44D53">
        <w:rPr>
          <w:rStyle w:val="libFootnoteAlaemChar"/>
          <w:rFonts w:hint="cs"/>
          <w:rtl/>
        </w:rPr>
        <w:t>(</w:t>
      </w:r>
      <w:r w:rsidR="008A74EB" w:rsidRPr="00F44D53">
        <w:rPr>
          <w:rStyle w:val="libFootnoteAieChar"/>
          <w:rtl/>
        </w:rPr>
        <w:t xml:space="preserve"> قُل لّ</w:t>
      </w:r>
      <w:r w:rsidR="00B107E2">
        <w:rPr>
          <w:rStyle w:val="libFootnoteAieChar"/>
          <w:rFonts w:hint="cs"/>
          <w:rtl/>
        </w:rPr>
        <w:t>ِ</w:t>
      </w:r>
      <w:r w:rsidR="008A74EB" w:rsidRPr="00F44D53">
        <w:rPr>
          <w:rStyle w:val="libFootnoteAieChar"/>
          <w:rtl/>
        </w:rPr>
        <w:t xml:space="preserve">عِبَادِى يَقُولُوا الَّتِى هِىَ أَحْسَنُ </w:t>
      </w:r>
      <w:r w:rsidR="00F44D53">
        <w:rPr>
          <w:rStyle w:val="libFootnoteAlaemChar"/>
          <w:rFonts w:hint="cs"/>
          <w:rtl/>
        </w:rPr>
        <w:t>)</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د ، ف » وحاشية « ض ، بر » وشرح المازندراني والبحار : « يكربك » من الإكراب ، وهو الإسراع. </w:t>
      </w:r>
      <w:r w:rsidR="008A74EB">
        <w:rPr>
          <w:rtl/>
        </w:rPr>
        <w:t>و «</w:t>
      </w:r>
      <w:r w:rsidR="008A74EB" w:rsidRPr="00C9040A">
        <w:rPr>
          <w:rtl/>
        </w:rPr>
        <w:t xml:space="preserve"> بكّر » من البكور.</w:t>
      </w:r>
    </w:p>
    <w:p w:rsidR="008A74EB" w:rsidRPr="00C9040A" w:rsidRDefault="006C577F" w:rsidP="004A4E41">
      <w:pPr>
        <w:pStyle w:val="libFootnote0"/>
        <w:rPr>
          <w:rtl/>
          <w:lang w:bidi="fa-IR"/>
        </w:rPr>
      </w:pPr>
      <w:r>
        <w:rPr>
          <w:rtl/>
        </w:rPr>
        <w:t>(10).</w:t>
      </w:r>
      <w:r w:rsidR="008A74EB" w:rsidRPr="00C9040A">
        <w:rPr>
          <w:rtl/>
        </w:rPr>
        <w:t xml:space="preserve"> في « ب ، ج ، ز ، ف ، بر » والوافي : « قال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B107E2">
      <w:pPr>
        <w:pStyle w:val="libNormal0"/>
        <w:rPr>
          <w:rtl/>
          <w:lang w:bidi="fa-IR"/>
        </w:rPr>
      </w:pPr>
      <w:r w:rsidRPr="00C9040A">
        <w:rPr>
          <w:rtl/>
          <w:lang w:bidi="fa-IR"/>
        </w:rPr>
        <w:t xml:space="preserve">مِنْ </w:t>
      </w:r>
      <w:r w:rsidR="006C577F" w:rsidRPr="006C577F">
        <w:rPr>
          <w:rStyle w:val="libFootnotenumChar"/>
          <w:rtl/>
        </w:rPr>
        <w:t>(1)</w:t>
      </w:r>
      <w:r w:rsidRPr="00C9040A">
        <w:rPr>
          <w:rtl/>
          <w:lang w:bidi="fa-IR"/>
        </w:rPr>
        <w:t xml:space="preserve"> كِتَابِ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الْبَارِحَةَ ، فَأَقْلَقَتْنِي </w:t>
      </w:r>
      <w:r w:rsidR="006C577F" w:rsidRPr="006C577F">
        <w:rPr>
          <w:rStyle w:val="libFootnotenumChar"/>
          <w:rtl/>
        </w:rPr>
        <w:t>(2)</w:t>
      </w:r>
      <w:r w:rsidRPr="00C9040A">
        <w:rPr>
          <w:rtl/>
          <w:lang w:bidi="fa-IR"/>
        </w:rPr>
        <w:t xml:space="preserve"> »</w:t>
      </w:r>
      <w:r>
        <w:rPr>
          <w:rtl/>
          <w:lang w:bidi="fa-IR"/>
        </w:rPr>
        <w:t>.</w:t>
      </w:r>
      <w:r w:rsidRPr="00C9040A">
        <w:rPr>
          <w:rtl/>
          <w:lang w:bidi="fa-IR"/>
        </w:rPr>
        <w:t xml:space="preserve"> قَالَ : وَمَا هِيَ</w:t>
      </w:r>
      <w:r>
        <w:rPr>
          <w:rtl/>
          <w:lang w:bidi="fa-IR"/>
        </w:rPr>
        <w:t>؟</w:t>
      </w:r>
      <w:r w:rsidRPr="00C9040A">
        <w:rPr>
          <w:rtl/>
          <w:lang w:bidi="fa-IR"/>
        </w:rPr>
        <w:t xml:space="preserve"> قَالَ : « قَوْلُ اللهِ جَلَّ وَعَزَّ ذِكْرُهُ </w:t>
      </w:r>
      <w:r w:rsidR="006C577F" w:rsidRPr="006C577F">
        <w:rPr>
          <w:rStyle w:val="libFootnotenumChar"/>
          <w:rtl/>
        </w:rPr>
        <w:t>(3)</w:t>
      </w:r>
      <w:r w:rsidRPr="00C9040A">
        <w:rPr>
          <w:rtl/>
          <w:lang w:bidi="fa-IR"/>
        </w:rPr>
        <w:t xml:space="preserve"> : </w:t>
      </w:r>
      <w:r w:rsidRPr="0003660B">
        <w:rPr>
          <w:rStyle w:val="libAlaemChar"/>
          <w:rtl/>
        </w:rPr>
        <w:t>(</w:t>
      </w:r>
      <w:r w:rsidRPr="006A2246">
        <w:rPr>
          <w:rStyle w:val="libAieChar"/>
          <w:rtl/>
        </w:rPr>
        <w:t xml:space="preserve"> الَّذِينَ يَصِلُونَ ما أَمَرَ اللهُ بِهِ أَنْ يُوصَلَ وَيَخْشَوْنَ رَبَّهُمْ وَيَخافُونَ سُوءَ الْحِسابِ</w:t>
      </w:r>
      <w:r w:rsidRPr="0003660B">
        <w:rPr>
          <w:rStyle w:val="libAlaemChar"/>
          <w:rtl/>
        </w:rPr>
        <w:t>)</w:t>
      </w:r>
      <w:r w:rsidRPr="00C9040A">
        <w:rPr>
          <w:rtl/>
          <w:lang w:bidi="fa-IR"/>
        </w:rPr>
        <w:t xml:space="preserve"> </w:t>
      </w:r>
      <w:r w:rsidR="006C577F" w:rsidRPr="006C577F">
        <w:rPr>
          <w:rStyle w:val="libFootnotenumChar"/>
          <w:rtl/>
        </w:rPr>
        <w:t>(4)</w:t>
      </w:r>
      <w:r>
        <w:rPr>
          <w:rFonts w:hint="cs"/>
          <w:rtl/>
          <w:lang w:bidi="fa-IR"/>
        </w:rPr>
        <w:t xml:space="preserve"> </w:t>
      </w:r>
      <w:r w:rsidRPr="00C9040A">
        <w:rPr>
          <w:rtl/>
          <w:lang w:bidi="fa-IR"/>
        </w:rPr>
        <w:t xml:space="preserve">فَقَالَ </w:t>
      </w:r>
      <w:r w:rsidR="006C577F" w:rsidRPr="006C577F">
        <w:rPr>
          <w:rStyle w:val="libFootnotenumChar"/>
          <w:rtl/>
        </w:rPr>
        <w:t>(5)</w:t>
      </w:r>
      <w:r w:rsidRPr="00C9040A">
        <w:rPr>
          <w:rtl/>
          <w:lang w:bidi="fa-IR"/>
        </w:rPr>
        <w:t xml:space="preserve"> : صَدَقْتَ لَكَأَنِّي </w:t>
      </w:r>
      <w:r w:rsidR="006C577F" w:rsidRPr="006C577F">
        <w:rPr>
          <w:rStyle w:val="libFootnotenumChar"/>
          <w:rtl/>
        </w:rPr>
        <w:t>(6)</w:t>
      </w:r>
      <w:r w:rsidRPr="005B567D">
        <w:rPr>
          <w:rStyle w:val="libFootnotenumChar"/>
          <w:rtl/>
        </w:rPr>
        <w:t xml:space="preserve"> </w:t>
      </w:r>
      <w:r w:rsidRPr="00C9040A">
        <w:rPr>
          <w:rtl/>
          <w:lang w:bidi="fa-IR"/>
        </w:rPr>
        <w:t xml:space="preserve">لَمْ أَقْرَأْ هذِهِ الْآيَةَ مِنْ كِتَابِ اللهِ قَطُّ </w:t>
      </w:r>
      <w:r w:rsidR="006C577F" w:rsidRPr="006C577F">
        <w:rPr>
          <w:rStyle w:val="libFootnotenumChar"/>
          <w:rtl/>
        </w:rPr>
        <w:t>(7)</w:t>
      </w:r>
      <w:r w:rsidRPr="00C9040A">
        <w:rPr>
          <w:rtl/>
          <w:lang w:bidi="fa-IR"/>
        </w:rPr>
        <w:t xml:space="preserve"> ، فَاعْتَنَقَا وَبَكَيَا </w:t>
      </w:r>
      <w:r w:rsidR="006C577F" w:rsidRPr="006C577F">
        <w:rPr>
          <w:rStyle w:val="libFootnotenumChar"/>
          <w:rtl/>
        </w:rPr>
        <w:t>(8)</w:t>
      </w:r>
      <w:r w:rsidR="00B107E2">
        <w:rPr>
          <w:rFonts w:hint="cs"/>
          <w:rtl/>
          <w:lang w:bidi="fa-IR"/>
        </w:rPr>
        <w:t>.</w:t>
      </w:r>
      <w:r w:rsidR="006C577F" w:rsidRPr="006C577F">
        <w:rPr>
          <w:rStyle w:val="libFootnotenumChar"/>
          <w:rtl/>
        </w:rPr>
        <w:t>(9)</w:t>
      </w:r>
      <w:r w:rsidRPr="00C9040A">
        <w:rPr>
          <w:rtl/>
          <w:lang w:bidi="fa-IR"/>
        </w:rPr>
        <w:t xml:space="preserve"> ‌</w:t>
      </w:r>
    </w:p>
    <w:p w:rsidR="008A74EB" w:rsidRPr="00C9040A" w:rsidRDefault="008A74EB" w:rsidP="008A74EB">
      <w:pPr>
        <w:pStyle w:val="libNormal"/>
        <w:rPr>
          <w:rtl/>
          <w:lang w:bidi="fa-IR"/>
        </w:rPr>
      </w:pPr>
      <w:r w:rsidRPr="00946E41">
        <w:rPr>
          <w:rtl/>
        </w:rPr>
        <w:t>1997</w:t>
      </w:r>
      <w:r w:rsidRPr="00261CB0">
        <w:rPr>
          <w:rStyle w:val="libBold2Char"/>
          <w:rtl/>
        </w:rPr>
        <w:t xml:space="preserve"> / 24.</w:t>
      </w:r>
      <w:r w:rsidRPr="00C9040A">
        <w:rPr>
          <w:rtl/>
          <w:lang w:bidi="fa-IR"/>
        </w:rPr>
        <w:t xml:space="preserve"> وَعَنْهُ </w:t>
      </w:r>
      <w:r w:rsidR="006C577F" w:rsidRPr="006C577F">
        <w:rPr>
          <w:rStyle w:val="libFootnotenumChar"/>
          <w:rtl/>
        </w:rPr>
        <w:t>(10)</w:t>
      </w:r>
      <w:r w:rsidRPr="00C9040A">
        <w:rPr>
          <w:rtl/>
          <w:lang w:bidi="fa-IR"/>
        </w:rPr>
        <w:t xml:space="preserve"> ، عَنْ عَلِيِّ بْنِ الْحَكَمِ ، عَنْ عَبْدِ اللهِ بْنِ سِنَانٍ ، قَالَ :</w:t>
      </w:r>
    </w:p>
    <w:p w:rsidR="008A74EB" w:rsidRPr="00C9040A" w:rsidRDefault="008A74EB" w:rsidP="008A74EB">
      <w:pPr>
        <w:pStyle w:val="libNormal"/>
        <w:rPr>
          <w:rtl/>
          <w:lang w:bidi="fa-IR"/>
        </w:rPr>
      </w:pPr>
      <w:r w:rsidRPr="00C9040A">
        <w:rPr>
          <w:rtl/>
          <w:lang w:bidi="fa-IR"/>
        </w:rPr>
        <w:t xml:space="preserve">قُلْتُ لِأَبِي عَبْدِ اللهِ </w:t>
      </w:r>
      <w:r w:rsidRPr="0003660B">
        <w:rPr>
          <w:rStyle w:val="libAlaemChar"/>
          <w:rtl/>
        </w:rPr>
        <w:t>عليه‌السلام</w:t>
      </w:r>
      <w:r w:rsidRPr="00C9040A">
        <w:rPr>
          <w:rtl/>
          <w:lang w:bidi="fa-IR"/>
        </w:rPr>
        <w:t xml:space="preserve"> : إِنَّ لِيَ ابْنَ عَمٍّ أَصِلُهُ فَيَقْطَعُنِي ، وَأَصِلُهُ فَيَقْطَعُنِي </w:t>
      </w:r>
      <w:r w:rsidR="006C577F" w:rsidRPr="006C577F">
        <w:rPr>
          <w:rStyle w:val="libFootnotenumChar"/>
          <w:rtl/>
        </w:rPr>
        <w:t>(11)</w:t>
      </w:r>
      <w:r w:rsidRPr="00C9040A">
        <w:rPr>
          <w:rtl/>
          <w:lang w:bidi="fa-IR"/>
        </w:rPr>
        <w:t xml:space="preserve"> حَتّى لَقَدْ هَمَمْتُ لِقَطِيعَتِه</w:t>
      </w:r>
      <w:r>
        <w:rPr>
          <w:rtl/>
          <w:lang w:bidi="fa-IR"/>
        </w:rPr>
        <w:t>ِ إِيَّايَ أَنْ أَقْطَعَهُ ، أَ</w:t>
      </w:r>
      <w:r w:rsidRPr="00C9040A">
        <w:rPr>
          <w:rtl/>
          <w:lang w:bidi="fa-IR"/>
        </w:rPr>
        <w:t xml:space="preserve">تَأْذَنُ لِي قَطْعَهُ </w:t>
      </w:r>
      <w:r w:rsidR="006C577F" w:rsidRPr="006C577F">
        <w:rPr>
          <w:rStyle w:val="libFootnotenumChar"/>
          <w:rtl/>
        </w:rPr>
        <w:t>(12)</w:t>
      </w:r>
      <w:r>
        <w:rPr>
          <w:rtl/>
          <w:lang w:bidi="fa-IR"/>
        </w:rPr>
        <w:t>؟</w:t>
      </w:r>
    </w:p>
    <w:p w:rsidR="008A74EB" w:rsidRPr="00C9040A" w:rsidRDefault="008A74EB" w:rsidP="008A74EB">
      <w:pPr>
        <w:pStyle w:val="libNormal"/>
        <w:rPr>
          <w:rtl/>
          <w:lang w:bidi="fa-IR"/>
        </w:rPr>
      </w:pPr>
      <w:r w:rsidRPr="00C9040A">
        <w:rPr>
          <w:rtl/>
          <w:lang w:bidi="fa-IR"/>
        </w:rPr>
        <w:t xml:space="preserve">قَالَ : « إِنَّكَ إِذَا </w:t>
      </w:r>
      <w:r w:rsidRPr="005B567D">
        <w:rPr>
          <w:rStyle w:val="libFootnotenumChar"/>
          <w:rtl/>
        </w:rPr>
        <w:t>(13)</w:t>
      </w:r>
      <w:r w:rsidRPr="00C9040A">
        <w:rPr>
          <w:rtl/>
          <w:lang w:bidi="fa-IR"/>
        </w:rPr>
        <w:t xml:space="preserve"> وَصَلْتَهُ وَقَطَعَكَ ، وَصَلَكُمَا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جَمِيعاً ، وَإِنْ قَطَعْتَهُ وَقَطَعَكَ ، قَطَعَكُمَا اللهُ </w:t>
      </w:r>
      <w:r w:rsidRPr="005B567D">
        <w:rPr>
          <w:rStyle w:val="libFootnotenumChar"/>
          <w:rtl/>
        </w:rPr>
        <w:t>(14)</w:t>
      </w:r>
      <w:r w:rsidRPr="00C9040A">
        <w:rPr>
          <w:rtl/>
          <w:lang w:bidi="fa-IR"/>
        </w:rPr>
        <w:t xml:space="preserve"> »</w:t>
      </w:r>
      <w:r>
        <w:rPr>
          <w:rtl/>
          <w:lang w:bidi="fa-IR"/>
        </w:rPr>
        <w:t>.</w:t>
      </w:r>
      <w:r w:rsidRPr="00C9040A">
        <w:rPr>
          <w:rtl/>
          <w:lang w:bidi="fa-IR"/>
        </w:rPr>
        <w:t xml:space="preserve"> </w:t>
      </w:r>
      <w:r w:rsidRPr="005B567D">
        <w:rPr>
          <w:rStyle w:val="libFootnotenumChar"/>
          <w:rtl/>
        </w:rPr>
        <w:t>(15)</w:t>
      </w:r>
      <w:r w:rsidRPr="00C9040A">
        <w:rPr>
          <w:rtl/>
          <w:lang w:bidi="fa-IR"/>
        </w:rPr>
        <w:t xml:space="preserve"> ‌</w:t>
      </w:r>
    </w:p>
    <w:p w:rsidR="008A74EB" w:rsidRPr="00C9040A" w:rsidRDefault="008A74EB" w:rsidP="008A74EB">
      <w:pPr>
        <w:pStyle w:val="libNormal"/>
        <w:rPr>
          <w:rtl/>
          <w:lang w:bidi="fa-IR"/>
        </w:rPr>
      </w:pPr>
      <w:r w:rsidRPr="00946E41">
        <w:rPr>
          <w:rtl/>
        </w:rPr>
        <w:t>1998</w:t>
      </w:r>
      <w:r w:rsidRPr="00261CB0">
        <w:rPr>
          <w:rStyle w:val="libBold2Char"/>
          <w:rtl/>
        </w:rPr>
        <w:t xml:space="preserve"> / 25.</w:t>
      </w:r>
      <w:r w:rsidRPr="00C9040A">
        <w:rPr>
          <w:rtl/>
          <w:lang w:bidi="fa-IR"/>
        </w:rPr>
        <w:t xml:space="preserve"> عَنْهُ </w:t>
      </w:r>
      <w:r w:rsidRPr="005B567D">
        <w:rPr>
          <w:rStyle w:val="libFootnotenumChar"/>
          <w:rtl/>
        </w:rPr>
        <w:t>(16)</w:t>
      </w:r>
      <w:r w:rsidRPr="00C9040A">
        <w:rPr>
          <w:rtl/>
          <w:lang w:bidi="fa-IR"/>
        </w:rPr>
        <w:t xml:space="preserve"> ، عَنْ عَلِيِّ بْنِ الْحَكَمِ ، عَنْ دَاوُدَ بْنِ فَرْقَدٍ ، قَالَ :</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A1524B" w:rsidTr="00A1524B">
        <w:tc>
          <w:tcPr>
            <w:tcW w:w="4006" w:type="dxa"/>
          </w:tcPr>
          <w:p w:rsidR="00A1524B" w:rsidRDefault="00A1524B" w:rsidP="004A4E41">
            <w:pPr>
              <w:pStyle w:val="libFootnote0"/>
              <w:rPr>
                <w:rtl/>
              </w:rPr>
            </w:pPr>
            <w:r>
              <w:rPr>
                <w:rtl/>
              </w:rPr>
              <w:t xml:space="preserve">(1). </w:t>
            </w:r>
            <w:r w:rsidRPr="00C9040A">
              <w:rPr>
                <w:rtl/>
              </w:rPr>
              <w:t>في « ض » والبحار : « في »</w:t>
            </w:r>
            <w:r>
              <w:rPr>
                <w:rtl/>
              </w:rPr>
              <w:t>.</w:t>
            </w:r>
          </w:p>
        </w:tc>
        <w:tc>
          <w:tcPr>
            <w:tcW w:w="4006" w:type="dxa"/>
          </w:tcPr>
          <w:p w:rsidR="00A1524B" w:rsidRDefault="00A1524B" w:rsidP="004A4E41">
            <w:pPr>
              <w:pStyle w:val="libFootnote0"/>
              <w:rPr>
                <w:rtl/>
              </w:rPr>
            </w:pPr>
            <w:r>
              <w:rPr>
                <w:rtl/>
              </w:rPr>
              <w:t xml:space="preserve">(2). </w:t>
            </w:r>
            <w:r w:rsidRPr="00C9040A">
              <w:rPr>
                <w:rtl/>
              </w:rPr>
              <w:t>في « ف » : « فأوقفتني »</w:t>
            </w:r>
            <w:r>
              <w:rPr>
                <w:rtl/>
              </w:rPr>
              <w:t>.</w:t>
            </w:r>
          </w:p>
        </w:tc>
      </w:tr>
    </w:tbl>
    <w:p w:rsidR="008A74EB" w:rsidRPr="00C9040A" w:rsidRDefault="006C577F" w:rsidP="00A1524B">
      <w:pPr>
        <w:pStyle w:val="libFootnote0"/>
        <w:rPr>
          <w:rtl/>
          <w:lang w:bidi="fa-IR"/>
        </w:rPr>
      </w:pPr>
      <w:r>
        <w:rPr>
          <w:rtl/>
        </w:rPr>
        <w:t>(3).</w:t>
      </w:r>
      <w:r w:rsidR="008A74EB" w:rsidRPr="00C9040A">
        <w:rPr>
          <w:rtl/>
        </w:rPr>
        <w:t xml:space="preserve"> في « ز ، ص ، ف » : « جلّ ذكره »</w:t>
      </w:r>
      <w:r w:rsidR="008A74EB">
        <w:rPr>
          <w:rtl/>
        </w:rPr>
        <w:t>.</w:t>
      </w:r>
      <w:r w:rsidR="008A74EB" w:rsidRPr="00C9040A">
        <w:rPr>
          <w:rtl/>
        </w:rPr>
        <w:t xml:space="preserve"> وفي « ج » : « عزّ وجلّ »</w:t>
      </w:r>
      <w:r w:rsidR="008A74EB">
        <w:rPr>
          <w:rtl/>
        </w:rPr>
        <w:t>.</w:t>
      </w:r>
      <w:r w:rsidR="008A74EB" w:rsidRPr="00C9040A">
        <w:rPr>
          <w:rtl/>
        </w:rPr>
        <w:t xml:space="preserve"> وفي « ض ، بف » : « عزّ وجلّ ذكره »</w:t>
      </w:r>
      <w:r w:rsidR="008A74EB">
        <w:rPr>
          <w:rtl/>
        </w:rPr>
        <w:t>.</w:t>
      </w:r>
      <w:r w:rsidR="008A74EB" w:rsidRPr="00C9040A">
        <w:rPr>
          <w:rtl/>
        </w:rPr>
        <w:t xml:space="preserve"> وفي الوافي : « تعالى »</w:t>
      </w:r>
      <w:r w:rsidR="008A74EB">
        <w:rPr>
          <w:rtl/>
        </w:rPr>
        <w:t>.</w:t>
      </w:r>
      <w:r w:rsidR="00A1524B">
        <w:rPr>
          <w:rFonts w:hint="cs"/>
          <w:rtl/>
        </w:rPr>
        <w:t xml:space="preserve">                                    </w:t>
      </w:r>
      <w:r>
        <w:rPr>
          <w:rtl/>
        </w:rPr>
        <w:t>(4).</w:t>
      </w:r>
      <w:r w:rsidR="008A74EB" w:rsidRPr="00C9040A">
        <w:rPr>
          <w:rtl/>
        </w:rPr>
        <w:t xml:space="preserve"> الرعد (13) : 21.</w:t>
      </w:r>
    </w:p>
    <w:tbl>
      <w:tblPr>
        <w:tblStyle w:val="TableGrid"/>
        <w:bidiVisual/>
        <w:tblW w:w="0" w:type="auto"/>
        <w:tblLook w:val="04A0" w:firstRow="1" w:lastRow="0" w:firstColumn="1" w:lastColumn="0" w:noHBand="0" w:noVBand="1"/>
      </w:tblPr>
      <w:tblGrid>
        <w:gridCol w:w="4006"/>
        <w:gridCol w:w="4006"/>
      </w:tblGrid>
      <w:tr w:rsidR="00A1524B" w:rsidTr="00A1524B">
        <w:tc>
          <w:tcPr>
            <w:tcW w:w="4006" w:type="dxa"/>
          </w:tcPr>
          <w:p w:rsidR="00A1524B" w:rsidRDefault="00A1524B" w:rsidP="004A4E41">
            <w:pPr>
              <w:pStyle w:val="libFootnote0"/>
              <w:rPr>
                <w:rtl/>
              </w:rPr>
            </w:pPr>
            <w:r>
              <w:rPr>
                <w:rtl/>
              </w:rPr>
              <w:t>(5).</w:t>
            </w:r>
            <w:r w:rsidRPr="00C9040A">
              <w:rPr>
                <w:rtl/>
              </w:rPr>
              <w:t xml:space="preserve"> في « بر » والوافي : « قال »</w:t>
            </w:r>
            <w:r>
              <w:rPr>
                <w:rtl/>
              </w:rPr>
              <w:t>.</w:t>
            </w:r>
          </w:p>
        </w:tc>
        <w:tc>
          <w:tcPr>
            <w:tcW w:w="4006" w:type="dxa"/>
          </w:tcPr>
          <w:p w:rsidR="00A1524B" w:rsidRDefault="00A1524B" w:rsidP="004A4E41">
            <w:pPr>
              <w:pStyle w:val="libFootnote0"/>
              <w:rPr>
                <w:rtl/>
              </w:rPr>
            </w:pPr>
            <w:r>
              <w:rPr>
                <w:rtl/>
              </w:rPr>
              <w:t xml:space="preserve">(6). </w:t>
            </w:r>
            <w:r w:rsidRPr="00C9040A">
              <w:rPr>
                <w:rtl/>
              </w:rPr>
              <w:t>في « ب ، ف » : « فكأنّي »</w:t>
            </w:r>
            <w:r>
              <w:rPr>
                <w:rtl/>
              </w:rPr>
              <w:t>.</w:t>
            </w:r>
          </w:p>
        </w:tc>
      </w:tr>
    </w:tbl>
    <w:p w:rsidR="008A74EB" w:rsidRPr="00C9040A" w:rsidRDefault="006C577F" w:rsidP="004A4E41">
      <w:pPr>
        <w:pStyle w:val="libFootnote0"/>
        <w:rPr>
          <w:rtl/>
          <w:lang w:bidi="fa-IR"/>
        </w:rPr>
      </w:pPr>
      <w:r>
        <w:rPr>
          <w:rtl/>
        </w:rPr>
        <w:t>(7).</w:t>
      </w:r>
      <w:r w:rsidR="008A74EB" w:rsidRPr="00C9040A">
        <w:rPr>
          <w:rtl/>
        </w:rPr>
        <w:t xml:space="preserve"> في « بر » والوافي </w:t>
      </w:r>
      <w:r w:rsidR="008A74EB">
        <w:rPr>
          <w:rtl/>
        </w:rPr>
        <w:t xml:space="preserve">: </w:t>
      </w:r>
      <w:r w:rsidR="0084262C">
        <w:rPr>
          <w:rtl/>
        </w:rPr>
        <w:t>-</w:t>
      </w:r>
      <w:r w:rsidR="008A74EB" w:rsidRPr="00C9040A">
        <w:rPr>
          <w:rtl/>
        </w:rPr>
        <w:t xml:space="preserve"> « قطّ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w:t>
      </w:r>
      <w:r w:rsidR="008A74EB" w:rsidRPr="00993B55">
        <w:rPr>
          <w:rStyle w:val="libFootnoteBoldChar"/>
          <w:rtl/>
        </w:rPr>
        <w:t>مرآة العقول</w:t>
      </w:r>
      <w:r w:rsidR="008A74EB" w:rsidRPr="00C9040A">
        <w:rPr>
          <w:rtl/>
        </w:rPr>
        <w:t xml:space="preserve"> : « الظاهر أنّ هذا كان لتنبيه عبدالله وتذكيره بالآية ليرجع ويتوب ، وإ</w:t>
      </w:r>
      <w:r w:rsidR="00A1524B">
        <w:rPr>
          <w:rtl/>
        </w:rPr>
        <w:t>ل</w:t>
      </w:r>
      <w:r w:rsidR="00A1524B">
        <w:rPr>
          <w:rFonts w:hint="cs"/>
          <w:rtl/>
        </w:rPr>
        <w:t>ّ</w:t>
      </w:r>
      <w:r w:rsidR="00A1524B">
        <w:rPr>
          <w:rtl/>
        </w:rPr>
        <w:t>ا</w:t>
      </w:r>
      <w:r w:rsidR="008A74EB" w:rsidRPr="00C9040A">
        <w:rPr>
          <w:rtl/>
        </w:rPr>
        <w:t xml:space="preserve"> فلم يكن ما فعله </w:t>
      </w:r>
      <w:r w:rsidR="00117575" w:rsidRPr="00117575">
        <w:rPr>
          <w:rStyle w:val="libFootnoteAlaemChar"/>
          <w:rtl/>
        </w:rPr>
        <w:t>عليه‌السلام</w:t>
      </w:r>
      <w:r w:rsidR="008A74EB" w:rsidRPr="00C9040A">
        <w:rPr>
          <w:rtl/>
        </w:rPr>
        <w:t xml:space="preserve"> بالنسبة إليه قطعاً للرحم ، بل كان عين الشفقة عليه لينزجر عمّا أراده من الفسق بل الكفر ؛ لأنّه كان يطلب البيعة منه </w:t>
      </w:r>
      <w:r w:rsidR="00117575" w:rsidRPr="00117575">
        <w:rPr>
          <w:rStyle w:val="libFootnoteAlaemChar"/>
          <w:rtl/>
        </w:rPr>
        <w:t>عليه‌السلام</w:t>
      </w:r>
      <w:r w:rsidR="008A74EB" w:rsidRPr="00C9040A">
        <w:rPr>
          <w:rtl/>
        </w:rPr>
        <w:t xml:space="preserve"> لولده الميشوم ، كما مرّ [ ح 938 ] أو شي‌ء آخر مثل ذلك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w:t>
      </w:r>
      <w:r w:rsidR="008A74EB" w:rsidRPr="00993B55">
        <w:rPr>
          <w:rStyle w:val="libFootnoteBoldChar"/>
          <w:rtl/>
        </w:rPr>
        <w:t>تفسير العيّاشي</w:t>
      </w:r>
      <w:r w:rsidR="008A74EB" w:rsidRPr="00C9040A">
        <w:rPr>
          <w:rtl/>
        </w:rPr>
        <w:t xml:space="preserve"> ، ج 2 ، ص 208 ، ح 31 ، عن صفوان بن مهران الجمّال ، مع اختلاف يسير </w:t>
      </w:r>
      <w:r w:rsidR="00A1524B">
        <w:rPr>
          <w:rFonts w:hint="cs"/>
          <w:rtl/>
        </w:rPr>
        <w:t>.</w:t>
      </w:r>
      <w:r w:rsidR="008A74EB" w:rsidRPr="00993B55">
        <w:rPr>
          <w:rStyle w:val="libFootnoteBoldChar"/>
          <w:rtl/>
        </w:rPr>
        <w:t>الوافي</w:t>
      </w:r>
      <w:r w:rsidR="008A74EB" w:rsidRPr="00C9040A">
        <w:rPr>
          <w:rtl/>
        </w:rPr>
        <w:t xml:space="preserve"> ، ج 5 ، ص 513 ، ح 2466 ؛ </w:t>
      </w:r>
      <w:r w:rsidR="008A74EB" w:rsidRPr="00993B55">
        <w:rPr>
          <w:rStyle w:val="libFootnoteBoldChar"/>
          <w:rtl/>
        </w:rPr>
        <w:t>البحار</w:t>
      </w:r>
      <w:r w:rsidR="008A74EB" w:rsidRPr="00C9040A">
        <w:rPr>
          <w:rtl/>
        </w:rPr>
        <w:t xml:space="preserve"> ، ج 47 ، ص 298 ، ح 24 ؛ وج 74 ، ص 126 ، ح 90.</w:t>
      </w:r>
    </w:p>
    <w:p w:rsidR="008A74EB" w:rsidRPr="00C9040A" w:rsidRDefault="006C577F" w:rsidP="004A4E41">
      <w:pPr>
        <w:pStyle w:val="libFootnote0"/>
        <w:rPr>
          <w:rtl/>
          <w:lang w:bidi="fa-IR"/>
        </w:rPr>
      </w:pPr>
      <w:r>
        <w:rPr>
          <w:rtl/>
        </w:rPr>
        <w:t>(10).</w:t>
      </w:r>
      <w:r w:rsidR="008A74EB" w:rsidRPr="00C9040A">
        <w:rPr>
          <w:rtl/>
        </w:rPr>
        <w:t xml:space="preserve"> الضمير راجع إلى أحمد بن محمّد بن عيسى المذكور في السند السابق.</w:t>
      </w:r>
    </w:p>
    <w:p w:rsidR="008A74EB" w:rsidRPr="00C9040A" w:rsidRDefault="006C577F" w:rsidP="004A4E41">
      <w:pPr>
        <w:pStyle w:val="libFootnote0"/>
        <w:rPr>
          <w:rtl/>
          <w:lang w:bidi="fa-IR"/>
        </w:rPr>
      </w:pPr>
      <w:r>
        <w:rPr>
          <w:rtl/>
        </w:rPr>
        <w:t>(11).</w:t>
      </w:r>
      <w:r w:rsidR="008A74EB" w:rsidRPr="00C9040A">
        <w:rPr>
          <w:rtl/>
        </w:rPr>
        <w:t xml:space="preserve"> في الوسائل </w:t>
      </w:r>
      <w:r w:rsidR="008A74EB">
        <w:rPr>
          <w:rtl/>
        </w:rPr>
        <w:t xml:space="preserve">: </w:t>
      </w:r>
      <w:r w:rsidR="0084262C">
        <w:rPr>
          <w:rtl/>
        </w:rPr>
        <w:t>-</w:t>
      </w:r>
      <w:r w:rsidR="008A74EB" w:rsidRPr="00C9040A">
        <w:rPr>
          <w:rtl/>
        </w:rPr>
        <w:t xml:space="preserve"> « وأصله فيقطعني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في « ب ، ج ، ز ، ص ، ض ، ف ، بر ، بس » والوافي والوسائل والبحار </w:t>
      </w:r>
      <w:r w:rsidR="008A74EB">
        <w:rPr>
          <w:rtl/>
        </w:rPr>
        <w:t xml:space="preserve">: </w:t>
      </w:r>
      <w:r w:rsidR="0084262C">
        <w:rPr>
          <w:rtl/>
        </w:rPr>
        <w:t>-</w:t>
      </w:r>
      <w:r w:rsidR="008A74EB" w:rsidRPr="00C9040A">
        <w:rPr>
          <w:rtl/>
        </w:rPr>
        <w:t xml:space="preserve"> « أتأذن لي قطعه »</w:t>
      </w:r>
      <w:r w:rsidR="008A74EB">
        <w:rPr>
          <w:rtl/>
        </w:rPr>
        <w:t>.</w:t>
      </w:r>
    </w:p>
    <w:p w:rsidR="008A74EB" w:rsidRPr="00C9040A" w:rsidRDefault="008A74EB" w:rsidP="004A4E41">
      <w:pPr>
        <w:pStyle w:val="libFootnote0"/>
        <w:rPr>
          <w:rtl/>
          <w:lang w:bidi="fa-IR"/>
        </w:rPr>
      </w:pPr>
      <w:r>
        <w:rPr>
          <w:rtl/>
        </w:rPr>
        <w:t>(13)</w:t>
      </w:r>
      <w:r w:rsidRPr="00C9040A">
        <w:rPr>
          <w:rtl/>
        </w:rPr>
        <w:t xml:space="preserve"> في « ج ، ز ، ص ، ض ، ف ، بر ، بف » والوافي : « إن »</w:t>
      </w:r>
      <w:r>
        <w:rPr>
          <w:rtl/>
        </w:rPr>
        <w:t>.</w:t>
      </w:r>
    </w:p>
    <w:p w:rsidR="008A74EB" w:rsidRPr="00C9040A" w:rsidRDefault="008A74EB" w:rsidP="004A4E41">
      <w:pPr>
        <w:pStyle w:val="libFootnote0"/>
        <w:rPr>
          <w:rtl/>
          <w:lang w:bidi="fa-IR"/>
        </w:rPr>
      </w:pPr>
      <w:r>
        <w:rPr>
          <w:rtl/>
        </w:rPr>
        <w:t>(14)</w:t>
      </w:r>
      <w:r w:rsidRPr="00C9040A">
        <w:rPr>
          <w:rtl/>
        </w:rPr>
        <w:t xml:space="preserve"> في « ز » والوسائل : + « جميعاً »</w:t>
      </w:r>
      <w:r>
        <w:rPr>
          <w:rtl/>
        </w:rPr>
        <w:t>.</w:t>
      </w:r>
    </w:p>
    <w:p w:rsidR="008A74EB" w:rsidRPr="00C9040A" w:rsidRDefault="008A74EB" w:rsidP="004A4E41">
      <w:pPr>
        <w:pStyle w:val="libFootnote0"/>
        <w:rPr>
          <w:rtl/>
          <w:lang w:bidi="fa-IR"/>
        </w:rPr>
      </w:pPr>
      <w:r>
        <w:rPr>
          <w:rtl/>
        </w:rPr>
        <w:t>(15)</w:t>
      </w:r>
      <w:r w:rsidRPr="00C9040A">
        <w:rPr>
          <w:rtl/>
        </w:rPr>
        <w:t xml:space="preserve"> </w:t>
      </w:r>
      <w:r w:rsidRPr="00993B55">
        <w:rPr>
          <w:rStyle w:val="libFootnoteBoldChar"/>
          <w:rtl/>
        </w:rPr>
        <w:t>الوافي</w:t>
      </w:r>
      <w:r w:rsidRPr="00C9040A">
        <w:rPr>
          <w:rtl/>
        </w:rPr>
        <w:t xml:space="preserve"> ، ج 5 ، ص 514 ، ح 2468 ؛ </w:t>
      </w:r>
      <w:r w:rsidRPr="00993B55">
        <w:rPr>
          <w:rStyle w:val="libFootnoteBoldChar"/>
          <w:rtl/>
        </w:rPr>
        <w:t>الوسائل</w:t>
      </w:r>
      <w:r w:rsidRPr="00C9040A">
        <w:rPr>
          <w:rtl/>
        </w:rPr>
        <w:t xml:space="preserve"> ، ج 21 ، ص 538 ، ح 27801 ؛ </w:t>
      </w:r>
      <w:r w:rsidRPr="00993B55">
        <w:rPr>
          <w:rStyle w:val="libFootnoteBoldChar"/>
          <w:rtl/>
        </w:rPr>
        <w:t>البحار</w:t>
      </w:r>
      <w:r w:rsidRPr="00C9040A">
        <w:rPr>
          <w:rtl/>
        </w:rPr>
        <w:t xml:space="preserve"> ، ج 74 ، ص 128 ، ح 91.</w:t>
      </w:r>
    </w:p>
    <w:p w:rsidR="008A74EB" w:rsidRPr="00C9040A" w:rsidRDefault="008A74EB" w:rsidP="004A4E41">
      <w:pPr>
        <w:pStyle w:val="libFootnote0"/>
        <w:rPr>
          <w:rtl/>
          <w:lang w:bidi="fa-IR"/>
        </w:rPr>
      </w:pPr>
      <w:r>
        <w:rPr>
          <w:rtl/>
        </w:rPr>
        <w:t>(16)</w:t>
      </w:r>
      <w:r w:rsidRPr="00C9040A">
        <w:rPr>
          <w:rtl/>
        </w:rPr>
        <w:t xml:space="preserve"> في « ز » </w:t>
      </w:r>
      <w:r>
        <w:rPr>
          <w:rtl/>
        </w:rPr>
        <w:t xml:space="preserve">: </w:t>
      </w:r>
      <w:r w:rsidR="0084262C">
        <w:rPr>
          <w:rtl/>
        </w:rPr>
        <w:t>-</w:t>
      </w:r>
      <w:r w:rsidRPr="00C9040A">
        <w:rPr>
          <w:rtl/>
        </w:rPr>
        <w:t xml:space="preserve"> « عنه »</w:t>
      </w:r>
      <w:r>
        <w:rPr>
          <w:rtl/>
        </w:rPr>
        <w:t>.</w:t>
      </w:r>
      <w:r w:rsidRPr="00C9040A">
        <w:rPr>
          <w:rtl/>
        </w:rPr>
        <w:t xml:space="preserve"> وفي « ف ، بف » : « وعنه »</w:t>
      </w:r>
      <w:r>
        <w:rPr>
          <w:rtl/>
        </w:rPr>
        <w:t>.</w:t>
      </w:r>
      <w:r w:rsidRPr="00C9040A">
        <w:rPr>
          <w:rtl/>
        </w:rPr>
        <w:t xml:space="preserve"> والضمير راجع إلى أحمد بن محمّد بن عيسى.</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قَالَ لِي أَبُو عَبْدِ اللهِ </w:t>
      </w:r>
      <w:r w:rsidRPr="0003660B">
        <w:rPr>
          <w:rStyle w:val="libAlaemChar"/>
          <w:rtl/>
        </w:rPr>
        <w:t>عليه‌السلام</w:t>
      </w:r>
      <w:r w:rsidRPr="00C9040A">
        <w:rPr>
          <w:rtl/>
          <w:lang w:bidi="fa-IR"/>
        </w:rPr>
        <w:t xml:space="preserve"> : « إِنِّي أُحِبُّ أَنْ يَعْلَمَ اللهُ أَنِّي قَدْ أَذْلَلْتُ رَقَبَتِي فِي رَحِمِي ، وَإِنِّي لَأُبَادِرُ أَهْلَ بَيْتِي أَصِلُهُمْ قَبْلَ أَنْ يَسْتَغْنُوا عَنِّي »</w:t>
      </w:r>
      <w:r>
        <w:rPr>
          <w:rtl/>
          <w:lang w:bidi="fa-IR"/>
        </w:rPr>
        <w:t>.</w:t>
      </w:r>
      <w:r w:rsidRPr="00C9040A">
        <w:rPr>
          <w:rtl/>
          <w:lang w:bidi="fa-IR"/>
        </w:rPr>
        <w:t xml:space="preserve"> </w:t>
      </w:r>
      <w:r w:rsidR="006C577F" w:rsidRPr="006C577F">
        <w:rPr>
          <w:rStyle w:val="libFootnotenumChar"/>
          <w:rtl/>
        </w:rPr>
        <w:t>(1)</w:t>
      </w:r>
      <w:r w:rsidRPr="00C9040A">
        <w:rPr>
          <w:rtl/>
          <w:lang w:bidi="fa-IR"/>
        </w:rPr>
        <w:t xml:space="preserve"> ‌</w:t>
      </w:r>
    </w:p>
    <w:p w:rsidR="008A74EB" w:rsidRPr="00C9040A" w:rsidRDefault="008A74EB" w:rsidP="008A74EB">
      <w:pPr>
        <w:pStyle w:val="libNormal"/>
        <w:rPr>
          <w:rtl/>
          <w:lang w:bidi="fa-IR"/>
        </w:rPr>
      </w:pPr>
      <w:r w:rsidRPr="00946E41">
        <w:rPr>
          <w:rtl/>
        </w:rPr>
        <w:t>1999</w:t>
      </w:r>
      <w:r w:rsidRPr="00261CB0">
        <w:rPr>
          <w:rStyle w:val="libBold2Char"/>
          <w:rtl/>
        </w:rPr>
        <w:t xml:space="preserve"> / 26.</w:t>
      </w:r>
      <w:r w:rsidRPr="00C9040A">
        <w:rPr>
          <w:rtl/>
          <w:lang w:bidi="fa-IR"/>
        </w:rPr>
        <w:t xml:space="preserve"> عَنْهُ </w:t>
      </w:r>
      <w:r w:rsidR="006C577F" w:rsidRPr="006C577F">
        <w:rPr>
          <w:rStyle w:val="libFootnotenumChar"/>
          <w:rtl/>
        </w:rPr>
        <w:t>(2)</w:t>
      </w:r>
      <w:r w:rsidRPr="00C9040A">
        <w:rPr>
          <w:rtl/>
          <w:lang w:bidi="fa-IR"/>
        </w:rPr>
        <w:t xml:space="preserve"> ، عَنِ الْوَشَّاءِ ، عَنْ مُحَمَّدِ بْنِ الْفُضَيْلِ </w:t>
      </w:r>
      <w:r w:rsidR="006C577F" w:rsidRPr="006C577F">
        <w:rPr>
          <w:rStyle w:val="libFootnotenumChar"/>
          <w:rtl/>
        </w:rPr>
        <w:t>(3)</w:t>
      </w:r>
      <w:r w:rsidRPr="00C9040A">
        <w:rPr>
          <w:rtl/>
          <w:lang w:bidi="fa-IR"/>
        </w:rPr>
        <w:t xml:space="preserve"> الصَّيْرَفِيِّ ، عَنِ الرِّضَا </w:t>
      </w:r>
      <w:r w:rsidRPr="0003660B">
        <w:rPr>
          <w:rStyle w:val="libAlaemChar"/>
          <w:rtl/>
        </w:rPr>
        <w:t>عليه‌السلام</w:t>
      </w:r>
      <w:r w:rsidRPr="00C9040A">
        <w:rPr>
          <w:rtl/>
          <w:lang w:bidi="fa-IR"/>
        </w:rPr>
        <w:t xml:space="preserve"> ، قَالَ :</w:t>
      </w:r>
    </w:p>
    <w:p w:rsidR="008A74EB" w:rsidRPr="00C9040A" w:rsidRDefault="008A74EB" w:rsidP="006D45D9">
      <w:pPr>
        <w:pStyle w:val="libNormal"/>
        <w:rPr>
          <w:rtl/>
          <w:lang w:bidi="fa-IR"/>
        </w:rPr>
      </w:pPr>
      <w:r w:rsidRPr="00C9040A">
        <w:rPr>
          <w:rtl/>
          <w:lang w:bidi="fa-IR"/>
        </w:rPr>
        <w:t xml:space="preserve">« إِنَّ رَحِمَ آلِ مُحَمَّدٍ الْأَئِمَّةِ </w:t>
      </w:r>
      <w:r w:rsidR="003F1F5E" w:rsidRPr="003F1F5E">
        <w:rPr>
          <w:rStyle w:val="libAlaemChar"/>
          <w:rFonts w:eastAsiaTheme="minorHAnsi"/>
          <w:rtl/>
        </w:rPr>
        <w:t>عليهم‌السلام</w:t>
      </w:r>
      <w:r w:rsidR="003F1F5E" w:rsidRPr="00C9040A">
        <w:rPr>
          <w:rtl/>
          <w:lang w:bidi="fa-IR"/>
        </w:rPr>
        <w:t xml:space="preserve"> </w:t>
      </w:r>
      <w:r w:rsidRPr="00C9040A">
        <w:rPr>
          <w:rtl/>
          <w:lang w:bidi="fa-IR"/>
        </w:rPr>
        <w:t xml:space="preserve">لَمُعَلَّقَةٌ بِالْعَرْشِ تَقُولُ </w:t>
      </w:r>
      <w:r w:rsidR="006C577F" w:rsidRPr="006C577F">
        <w:rPr>
          <w:rStyle w:val="libFootnotenumChar"/>
          <w:rtl/>
        </w:rPr>
        <w:t>(4)</w:t>
      </w:r>
      <w:r w:rsidRPr="00C9040A">
        <w:rPr>
          <w:rtl/>
          <w:lang w:bidi="fa-IR"/>
        </w:rPr>
        <w:t xml:space="preserve"> : اللهُمَّ صِلْ مَنْ وَصَلَنِي ، وَاقْطَعْ مَنْ قَطَعَنِي ، ثُمَّ هِيَ جَارِيَةٌ بَعْدَهَا فِي أَرْحَامِ الْمُؤْمِنِينَ » ثُمَّ تَلَا هذِهِ الْآيَةَ :</w:t>
      </w:r>
      <w:r>
        <w:rPr>
          <w:rFonts w:hint="cs"/>
          <w:rtl/>
          <w:lang w:bidi="fa-IR"/>
        </w:rPr>
        <w:t xml:space="preserve"> </w:t>
      </w:r>
      <w:r w:rsidRPr="0003660B">
        <w:rPr>
          <w:rStyle w:val="libAlaemChar"/>
          <w:rtl/>
        </w:rPr>
        <w:t>(</w:t>
      </w:r>
      <w:r w:rsidRPr="006A2246">
        <w:rPr>
          <w:rStyle w:val="libAieChar"/>
          <w:rtl/>
        </w:rPr>
        <w:t xml:space="preserve"> وَاتَّقُوا اللهَ الَّذِي تَسائَلُونَ بِهِ وَالْأَرْحامَ </w:t>
      </w:r>
      <w:r w:rsidRPr="0003660B">
        <w:rPr>
          <w:rStyle w:val="libAlaemChar"/>
          <w:rtl/>
        </w:rPr>
        <w:t>)</w:t>
      </w:r>
      <w:r w:rsidRPr="00C9040A">
        <w:rPr>
          <w:rtl/>
          <w:lang w:bidi="fa-IR"/>
        </w:rPr>
        <w:t xml:space="preserve"> </w:t>
      </w:r>
      <w:r w:rsidR="006C577F" w:rsidRPr="006C577F">
        <w:rPr>
          <w:rStyle w:val="libFootnotenumChar"/>
          <w:rtl/>
        </w:rPr>
        <w:t>(5)</w:t>
      </w:r>
      <w:r w:rsidR="006D45D9">
        <w:rPr>
          <w:rFonts w:hint="cs"/>
          <w:rtl/>
          <w:lang w:bidi="fa-IR"/>
        </w:rPr>
        <w:t>.</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Normal"/>
        <w:rPr>
          <w:rtl/>
          <w:lang w:bidi="fa-IR"/>
        </w:rPr>
      </w:pPr>
      <w:r w:rsidRPr="00946E41">
        <w:rPr>
          <w:rtl/>
        </w:rPr>
        <w:t>2000</w:t>
      </w:r>
      <w:r w:rsidRPr="00261CB0">
        <w:rPr>
          <w:rStyle w:val="libBold2Char"/>
          <w:rtl/>
        </w:rPr>
        <w:t xml:space="preserve"> / 27.</w:t>
      </w:r>
      <w:r w:rsidRPr="00C9040A">
        <w:rPr>
          <w:rtl/>
          <w:lang w:bidi="fa-IR"/>
        </w:rPr>
        <w:t xml:space="preserve"> عِدَّةٌ مِنْ أَصْحَابِنَا ، عَنْ أَحْمَدَ بْنِ أَبِي عَبْدِ اللهِ ، عَنِ ابْنِ فَضَّالٍ ، عَنِ ابْنِ بُكَيْرٍ ، عَنْ عُمَرَ بْنِ يَزِيدَ ، قَالَ :</w:t>
      </w:r>
    </w:p>
    <w:p w:rsidR="008A74EB" w:rsidRPr="00C9040A" w:rsidRDefault="008A74EB" w:rsidP="008A74EB">
      <w:pPr>
        <w:pStyle w:val="libNormal"/>
        <w:rPr>
          <w:rtl/>
          <w:lang w:bidi="fa-IR"/>
        </w:rPr>
      </w:pPr>
      <w:r w:rsidRPr="00C9040A">
        <w:rPr>
          <w:rtl/>
          <w:lang w:bidi="fa-IR"/>
        </w:rPr>
        <w:t xml:space="preserve">سَأَلْتُ أَبَا عَبْدِ اللهِ </w:t>
      </w:r>
      <w:r w:rsidRPr="0003660B">
        <w:rPr>
          <w:rStyle w:val="libAlaemChar"/>
          <w:rtl/>
        </w:rPr>
        <w:t>عليه‌السلام</w:t>
      </w:r>
      <w:r w:rsidRPr="00C9040A">
        <w:rPr>
          <w:rtl/>
          <w:lang w:bidi="fa-IR"/>
        </w:rPr>
        <w:t xml:space="preserve"> عَنْ قَوْلِ اللهِ عَزَّ وَجَلَّ : </w:t>
      </w:r>
      <w:r w:rsidRPr="0003660B">
        <w:rPr>
          <w:rStyle w:val="libAlaemChar"/>
          <w:rtl/>
        </w:rPr>
        <w:t>(</w:t>
      </w:r>
      <w:r w:rsidRPr="006A2246">
        <w:rPr>
          <w:rStyle w:val="libAieChar"/>
          <w:rtl/>
        </w:rPr>
        <w:t xml:space="preserve"> الَّذِينَ يَصِلُونَ ما أَمَرَ اللهُ بِهِ أَنْ يُوصَلَ </w:t>
      </w:r>
      <w:r w:rsidRPr="0003660B">
        <w:rPr>
          <w:rStyle w:val="libAlaemChar"/>
          <w:rtl/>
        </w:rPr>
        <w:t>)</w:t>
      </w:r>
      <w:r w:rsidRPr="00C9040A">
        <w:rPr>
          <w:rtl/>
          <w:lang w:bidi="fa-IR"/>
        </w:rPr>
        <w:t xml:space="preserve"> </w:t>
      </w:r>
      <w:r w:rsidR="006C577F" w:rsidRPr="006C577F">
        <w:rPr>
          <w:rStyle w:val="libFootnotenumChar"/>
          <w:rtl/>
        </w:rPr>
        <w:t>(7)</w:t>
      </w:r>
      <w:r w:rsidRPr="00C9040A">
        <w:rPr>
          <w:rtl/>
          <w:lang w:bidi="fa-IR"/>
        </w:rPr>
        <w:t xml:space="preserve"> فَقَالَ : « قَرَابَتُكَ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Normal"/>
        <w:rPr>
          <w:rtl/>
          <w:lang w:bidi="fa-IR"/>
        </w:rPr>
      </w:pPr>
      <w:r w:rsidRPr="00946E41">
        <w:rPr>
          <w:rtl/>
        </w:rPr>
        <w:t>2001</w:t>
      </w:r>
      <w:r w:rsidRPr="00261CB0">
        <w:rPr>
          <w:rStyle w:val="libBold2Char"/>
          <w:rtl/>
        </w:rPr>
        <w:t xml:space="preserve"> / 28.</w:t>
      </w:r>
      <w:r w:rsidRPr="00C9040A">
        <w:rPr>
          <w:rtl/>
          <w:lang w:bidi="fa-IR"/>
        </w:rPr>
        <w:t xml:space="preserve"> عَلِيُّ بْنُ إِبْرَاهِيمَ ، عَنْ أَبِيهِ ، عَنِ ابْنِ أَبِي عُمَيْرٍ ، عَنْ حَمَّادِ بْنِ عُثْمَانَ وَ</w:t>
      </w:r>
      <w:r>
        <w:rPr>
          <w:rFonts w:hint="cs"/>
          <w:rtl/>
          <w:lang w:bidi="fa-IR"/>
        </w:rPr>
        <w:t xml:space="preserve"> </w:t>
      </w:r>
      <w:r w:rsidR="006C577F" w:rsidRPr="006C577F">
        <w:rPr>
          <w:rStyle w:val="libFootnotenumChar"/>
          <w:rtl/>
        </w:rPr>
        <w:t>(9)</w:t>
      </w:r>
      <w:r w:rsidRPr="00C9040A">
        <w:rPr>
          <w:rtl/>
          <w:lang w:bidi="fa-IR"/>
        </w:rPr>
        <w:t xml:space="preserve"> هِشَامِ بْنِ الْحَكَمِ وَدُرُسْتَ بْنِ أَبِي مَنْصُورٍ ، عَنْ عُمَرَ بْنِ يَزِيدَ ، قَالَ :</w:t>
      </w:r>
    </w:p>
    <w:p w:rsidR="008A74EB" w:rsidRPr="004B7F34" w:rsidRDefault="008A74EB" w:rsidP="008A74EB">
      <w:pPr>
        <w:pStyle w:val="libNormal"/>
        <w:rPr>
          <w:rtl/>
        </w:rPr>
      </w:pPr>
      <w:r w:rsidRPr="00C9040A">
        <w:rPr>
          <w:rtl/>
          <w:lang w:bidi="fa-IR"/>
        </w:rPr>
        <w:t xml:space="preserve">قُلْتُ لِأَبِي عَبْدِ اللهِ </w:t>
      </w:r>
      <w:r w:rsidR="006C577F" w:rsidRPr="006C577F">
        <w:rPr>
          <w:rStyle w:val="libFootnotenumChar"/>
          <w:rtl/>
        </w:rPr>
        <w:t>(10)</w:t>
      </w:r>
      <w:r w:rsidRPr="00C9040A">
        <w:rPr>
          <w:rtl/>
          <w:lang w:bidi="fa-IR"/>
        </w:rPr>
        <w:t xml:space="preserve"> </w:t>
      </w:r>
      <w:r w:rsidRPr="0003660B">
        <w:rPr>
          <w:rStyle w:val="libAlaemChar"/>
          <w:rtl/>
        </w:rPr>
        <w:t>عليه‌السلام</w:t>
      </w:r>
      <w:r w:rsidRPr="00C9040A">
        <w:rPr>
          <w:rtl/>
          <w:lang w:bidi="fa-IR"/>
        </w:rPr>
        <w:t xml:space="preserve"> : </w:t>
      </w:r>
      <w:r w:rsidRPr="0003660B">
        <w:rPr>
          <w:rStyle w:val="libAlaemChar"/>
          <w:rtl/>
        </w:rPr>
        <w:t>(</w:t>
      </w:r>
      <w:r w:rsidRPr="006A2246">
        <w:rPr>
          <w:rStyle w:val="libAieChar"/>
          <w:rtl/>
        </w:rPr>
        <w:t xml:space="preserve"> الَّذِينَ يَصِلُونَ ما أَمَرَ اللهُ بِهِ أَنْ يُوصَلَ</w:t>
      </w:r>
      <w:r w:rsidRPr="00220709">
        <w:rPr>
          <w:rFonts w:hint="cs"/>
          <w:rtl/>
        </w:rPr>
        <w:t xml:space="preserve"> </w:t>
      </w:r>
      <w:r w:rsidRPr="0003660B">
        <w:rPr>
          <w:rStyle w:val="libAlaemChar"/>
          <w:rFonts w:hint="cs"/>
          <w:rtl/>
        </w:rPr>
        <w:t>)</w:t>
      </w:r>
      <w:r w:rsidRPr="00220709">
        <w:rPr>
          <w:rFonts w:hint="cs"/>
          <w:rtl/>
        </w:rPr>
        <w:t>؟</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993B55">
        <w:rPr>
          <w:rStyle w:val="libFootnoteBoldChar"/>
          <w:rtl/>
        </w:rPr>
        <w:t>الوافي</w:t>
      </w:r>
      <w:r w:rsidR="008A74EB" w:rsidRPr="00C9040A">
        <w:rPr>
          <w:rtl/>
        </w:rPr>
        <w:t xml:space="preserve"> ، ج 5 ، ص 514 ، ح 2467 ؛ </w:t>
      </w:r>
      <w:r w:rsidR="008A74EB" w:rsidRPr="00993B55">
        <w:rPr>
          <w:rStyle w:val="libFootnoteBoldChar"/>
          <w:rtl/>
        </w:rPr>
        <w:t>البحار</w:t>
      </w:r>
      <w:r w:rsidR="008A74EB" w:rsidRPr="00C9040A">
        <w:rPr>
          <w:rtl/>
        </w:rPr>
        <w:t xml:space="preserve"> ، ج 74 ، ص 129 ، ح 92.</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الضمير راجع إلى أحمد بن محمّد بن عيسى.</w:t>
      </w:r>
    </w:p>
    <w:p w:rsidR="008A74EB" w:rsidRPr="00C9040A" w:rsidRDefault="006C577F" w:rsidP="004A4E41">
      <w:pPr>
        <w:pStyle w:val="libFootnote0"/>
        <w:rPr>
          <w:rtl/>
          <w:lang w:bidi="fa-IR"/>
        </w:rPr>
      </w:pPr>
      <w:r>
        <w:rPr>
          <w:rtl/>
        </w:rPr>
        <w:t>(3).</w:t>
      </w:r>
      <w:r w:rsidR="008A74EB" w:rsidRPr="00C9040A">
        <w:rPr>
          <w:rtl/>
        </w:rPr>
        <w:t xml:space="preserve"> هكذا في « ب ، ج ، ز ، ص ، ض ، ف ، بر ، بس ، بف ، جر » والطبعة القديمة. وفي « د » والمطبوع : « فضيل »</w:t>
      </w:r>
      <w:r w:rsidR="008A74EB">
        <w:rPr>
          <w:rtl/>
        </w:rPr>
        <w:t>.</w:t>
      </w:r>
    </w:p>
    <w:tbl>
      <w:tblPr>
        <w:tblStyle w:val="TableGrid"/>
        <w:bidiVisual/>
        <w:tblW w:w="0" w:type="auto"/>
        <w:tblLook w:val="04A0" w:firstRow="1" w:lastRow="0" w:firstColumn="1" w:lastColumn="0" w:noHBand="0" w:noVBand="1"/>
      </w:tblPr>
      <w:tblGrid>
        <w:gridCol w:w="4006"/>
        <w:gridCol w:w="4006"/>
      </w:tblGrid>
      <w:tr w:rsidR="006D45D9" w:rsidTr="006D45D9">
        <w:tc>
          <w:tcPr>
            <w:tcW w:w="4006" w:type="dxa"/>
          </w:tcPr>
          <w:p w:rsidR="006D45D9" w:rsidRDefault="006D45D9" w:rsidP="004A4E41">
            <w:pPr>
              <w:pStyle w:val="libFootnote0"/>
              <w:rPr>
                <w:rtl/>
              </w:rPr>
            </w:pPr>
            <w:r>
              <w:rPr>
                <w:rtl/>
              </w:rPr>
              <w:t>(4).</w:t>
            </w:r>
            <w:r w:rsidRPr="00C9040A">
              <w:rPr>
                <w:rtl/>
              </w:rPr>
              <w:t xml:space="preserve"> في « ب ، بر » : « يقول »</w:t>
            </w:r>
            <w:r>
              <w:rPr>
                <w:rtl/>
              </w:rPr>
              <w:t>.</w:t>
            </w:r>
          </w:p>
        </w:tc>
        <w:tc>
          <w:tcPr>
            <w:tcW w:w="4006" w:type="dxa"/>
          </w:tcPr>
          <w:p w:rsidR="006D45D9" w:rsidRDefault="006D45D9" w:rsidP="004A4E41">
            <w:pPr>
              <w:pStyle w:val="libFootnote0"/>
              <w:rPr>
                <w:rtl/>
              </w:rPr>
            </w:pPr>
            <w:r>
              <w:rPr>
                <w:rtl/>
              </w:rPr>
              <w:t>(5).</w:t>
            </w:r>
            <w:r w:rsidRPr="00C9040A">
              <w:rPr>
                <w:rtl/>
              </w:rPr>
              <w:t xml:space="preserve"> النساء </w:t>
            </w:r>
            <w:r>
              <w:rPr>
                <w:rtl/>
              </w:rPr>
              <w:t>(4).</w:t>
            </w:r>
            <w:r w:rsidRPr="00C9040A">
              <w:rPr>
                <w:rtl/>
              </w:rPr>
              <w:t xml:space="preserve"> : 1.</w:t>
            </w:r>
          </w:p>
        </w:tc>
      </w:tr>
    </w:tbl>
    <w:p w:rsidR="008A74EB" w:rsidRPr="00C9040A" w:rsidRDefault="006C577F" w:rsidP="006D45D9">
      <w:pPr>
        <w:pStyle w:val="libFootnote0"/>
        <w:rPr>
          <w:rtl/>
          <w:lang w:bidi="fa-IR"/>
        </w:rPr>
      </w:pPr>
      <w:r>
        <w:rPr>
          <w:rtl/>
        </w:rPr>
        <w:t>(6).</w:t>
      </w:r>
      <w:r w:rsidR="008A74EB">
        <w:rPr>
          <w:rtl/>
        </w:rPr>
        <w:t xml:space="preserve"> </w:t>
      </w:r>
      <w:r w:rsidR="008A74EB" w:rsidRPr="00C9040A">
        <w:rPr>
          <w:rtl/>
        </w:rPr>
        <w:t>راجع : ح 7 من هذا الباب ومصادره</w:t>
      </w:r>
      <w:r w:rsidR="006D45D9">
        <w:rPr>
          <w:rFonts w:hint="cs"/>
          <w:rtl/>
        </w:rPr>
        <w:t>.</w:t>
      </w:r>
      <w:r w:rsidR="008A74EB" w:rsidRPr="00993B55">
        <w:rPr>
          <w:rStyle w:val="libFootnoteBoldChar"/>
          <w:rtl/>
        </w:rPr>
        <w:t>الوافي</w:t>
      </w:r>
      <w:r w:rsidR="008A74EB" w:rsidRPr="00C9040A">
        <w:rPr>
          <w:rtl/>
        </w:rPr>
        <w:t xml:space="preserve"> ، ج 5 ، ص 505 ، ح 2440 ؛ </w:t>
      </w:r>
      <w:r w:rsidR="008A74EB" w:rsidRPr="00993B55">
        <w:rPr>
          <w:rStyle w:val="libFootnoteBoldChar"/>
          <w:rtl/>
        </w:rPr>
        <w:t>البحار</w:t>
      </w:r>
      <w:r w:rsidR="008A74EB" w:rsidRPr="00C9040A">
        <w:rPr>
          <w:rtl/>
        </w:rPr>
        <w:t xml:space="preserve"> ، ج 74 ، ص 129 ، ح 93.</w:t>
      </w:r>
    </w:p>
    <w:p w:rsidR="008A74EB" w:rsidRPr="00C9040A" w:rsidRDefault="006C577F" w:rsidP="004A4E41">
      <w:pPr>
        <w:pStyle w:val="libFootnote0"/>
        <w:rPr>
          <w:rtl/>
          <w:lang w:bidi="fa-IR"/>
        </w:rPr>
      </w:pPr>
      <w:r>
        <w:rPr>
          <w:rtl/>
        </w:rPr>
        <w:t>(7).</w:t>
      </w:r>
      <w:r w:rsidR="008A74EB" w:rsidRPr="00C9040A">
        <w:rPr>
          <w:rtl/>
        </w:rPr>
        <w:t xml:space="preserve"> الرعد (13) : 21.</w:t>
      </w:r>
    </w:p>
    <w:p w:rsidR="008A74EB" w:rsidRPr="00C9040A" w:rsidRDefault="006C577F" w:rsidP="004A4E41">
      <w:pPr>
        <w:pStyle w:val="libFootnote0"/>
        <w:rPr>
          <w:rtl/>
          <w:lang w:bidi="fa-IR"/>
        </w:rPr>
      </w:pPr>
      <w:r>
        <w:rPr>
          <w:rtl/>
        </w:rPr>
        <w:t>(8).</w:t>
      </w:r>
      <w:r w:rsidR="008A74EB" w:rsidRPr="00C9040A">
        <w:rPr>
          <w:rtl/>
        </w:rPr>
        <w:t xml:space="preserve"> </w:t>
      </w:r>
      <w:r w:rsidR="008A74EB" w:rsidRPr="00993B55">
        <w:rPr>
          <w:rStyle w:val="libFootnoteBoldChar"/>
          <w:rtl/>
        </w:rPr>
        <w:t>الوافي</w:t>
      </w:r>
      <w:r w:rsidR="008A74EB" w:rsidRPr="00C9040A">
        <w:rPr>
          <w:rtl/>
        </w:rPr>
        <w:t xml:space="preserve"> ، ج 5 ، ص 505 ، ح 2441 ؛ </w:t>
      </w:r>
      <w:r w:rsidR="008A74EB" w:rsidRPr="00993B55">
        <w:rPr>
          <w:rStyle w:val="libFootnoteBoldChar"/>
          <w:rtl/>
        </w:rPr>
        <w:t>البحار</w:t>
      </w:r>
      <w:r w:rsidR="008A74EB" w:rsidRPr="00C9040A">
        <w:rPr>
          <w:rtl/>
        </w:rPr>
        <w:t xml:space="preserve"> ، ج 74 ، ص 129 ، ح 94.</w:t>
      </w:r>
    </w:p>
    <w:p w:rsidR="008A74EB" w:rsidRPr="00C9040A" w:rsidRDefault="006C577F" w:rsidP="004A4E41">
      <w:pPr>
        <w:pStyle w:val="libFootnote0"/>
        <w:rPr>
          <w:rtl/>
          <w:lang w:bidi="fa-IR"/>
        </w:rPr>
      </w:pPr>
      <w:r>
        <w:rPr>
          <w:rtl/>
        </w:rPr>
        <w:t>(9).</w:t>
      </w:r>
      <w:r w:rsidR="008A74EB" w:rsidRPr="00C9040A">
        <w:rPr>
          <w:rtl/>
        </w:rPr>
        <w:t xml:space="preserve"> في البحار : « عن » بدل الواو. وهو سهوٌ ؛ فإنّ هشام بن الحكم روى ابن أبي عمير كتابه ، وتكرّرت روايته عنه في الأسناد ، ولم يثبت رواية حمّاد بن عثمان عن هشام بن الحكم. راجع : </w:t>
      </w:r>
      <w:r w:rsidR="008A74EB" w:rsidRPr="00993B55">
        <w:rPr>
          <w:rStyle w:val="libFootnoteBoldChar"/>
          <w:rtl/>
        </w:rPr>
        <w:t>رجال النجاشي</w:t>
      </w:r>
      <w:r w:rsidR="008A74EB" w:rsidRPr="00C9040A">
        <w:rPr>
          <w:rtl/>
        </w:rPr>
        <w:t xml:space="preserve"> ، ص 433 ، الرقم 1164 ؛ </w:t>
      </w:r>
      <w:r w:rsidR="008A74EB" w:rsidRPr="0034021D">
        <w:rPr>
          <w:rStyle w:val="libFootnoteBoldChar"/>
          <w:rtl/>
        </w:rPr>
        <w:t>الفهرست للطوسي</w:t>
      </w:r>
      <w:r w:rsidR="008A74EB" w:rsidRPr="00C9040A">
        <w:rPr>
          <w:rtl/>
        </w:rPr>
        <w:t xml:space="preserve"> ، ص 493 ، الرقم 783 ؛ </w:t>
      </w:r>
      <w:r w:rsidR="008A74EB" w:rsidRPr="00993B55">
        <w:rPr>
          <w:rStyle w:val="libFootnoteBoldChar"/>
          <w:rtl/>
        </w:rPr>
        <w:t>معجم رجال الحديث</w:t>
      </w:r>
      <w:r w:rsidR="008A74EB" w:rsidRPr="00C9040A">
        <w:rPr>
          <w:rtl/>
        </w:rPr>
        <w:t xml:space="preserve"> ، ج 22 ، ص 313</w:t>
      </w:r>
      <w:r w:rsidR="008A74EB">
        <w:rPr>
          <w:rtl/>
        </w:rPr>
        <w:t xml:space="preserve"> </w:t>
      </w:r>
      <w:r w:rsidR="0084262C">
        <w:rPr>
          <w:rtl/>
        </w:rPr>
        <w:t>-</w:t>
      </w:r>
      <w:r w:rsidR="008A74EB">
        <w:rPr>
          <w:rtl/>
        </w:rPr>
        <w:t xml:space="preserve"> </w:t>
      </w:r>
      <w:r w:rsidR="008A74EB" w:rsidRPr="00C9040A">
        <w:rPr>
          <w:rtl/>
        </w:rPr>
        <w:t>315.</w:t>
      </w:r>
    </w:p>
    <w:p w:rsidR="008A74EB" w:rsidRPr="00C9040A" w:rsidRDefault="006C577F" w:rsidP="004A4E41">
      <w:pPr>
        <w:pStyle w:val="libFootnote0"/>
        <w:rPr>
          <w:rtl/>
          <w:lang w:bidi="fa-IR"/>
        </w:rPr>
      </w:pPr>
      <w:r>
        <w:rPr>
          <w:rtl/>
        </w:rPr>
        <w:t>(10).</w:t>
      </w:r>
      <w:r w:rsidR="008A74EB" w:rsidRPr="00C9040A">
        <w:rPr>
          <w:rtl/>
        </w:rPr>
        <w:t xml:space="preserve"> في حاشية « ج » : « سألت أبا عبد الله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قَالَ : « نَزَلَتْ فِي رَحِمِ آلِ مُحَمَّدٍ</w:t>
      </w:r>
      <w:r>
        <w:rPr>
          <w:rtl/>
          <w:lang w:bidi="fa-IR"/>
        </w:rPr>
        <w:t xml:space="preserve"> </w:t>
      </w:r>
      <w:r w:rsidR="0084262C">
        <w:rPr>
          <w:rtl/>
          <w:lang w:bidi="fa-IR"/>
        </w:rPr>
        <w:t>-</w:t>
      </w:r>
      <w:r>
        <w:rPr>
          <w:rtl/>
          <w:lang w:bidi="fa-IR"/>
        </w:rPr>
        <w:t xml:space="preserve"> </w:t>
      </w:r>
      <w:r w:rsidRPr="00C9040A">
        <w:rPr>
          <w:rtl/>
          <w:lang w:bidi="fa-IR"/>
        </w:rPr>
        <w:t xml:space="preserve">عَلَيْهِ وَآلِهِ السَّلَامُ </w:t>
      </w:r>
      <w:r w:rsidR="006C577F" w:rsidRPr="006C577F">
        <w:rPr>
          <w:rStyle w:val="libFootnotenumChar"/>
          <w:rtl/>
        </w:rPr>
        <w:t>(1)</w:t>
      </w:r>
      <w:r>
        <w:rPr>
          <w:rtl/>
          <w:lang w:bidi="fa-IR"/>
        </w:rPr>
        <w:t xml:space="preserve"> </w:t>
      </w:r>
      <w:r w:rsidR="0084262C">
        <w:rPr>
          <w:rtl/>
          <w:lang w:bidi="fa-IR"/>
        </w:rPr>
        <w:t>-</w:t>
      </w:r>
      <w:r>
        <w:rPr>
          <w:rtl/>
          <w:lang w:bidi="fa-IR"/>
        </w:rPr>
        <w:t xml:space="preserve"> </w:t>
      </w:r>
      <w:r w:rsidRPr="00C9040A">
        <w:rPr>
          <w:rtl/>
          <w:lang w:bidi="fa-IR"/>
        </w:rPr>
        <w:t xml:space="preserve">وَقَدْ تَكُونُ </w:t>
      </w:r>
      <w:r w:rsidR="006C577F" w:rsidRPr="006C577F">
        <w:rPr>
          <w:rStyle w:val="libFootnotenumChar"/>
          <w:rtl/>
        </w:rPr>
        <w:t>(2)</w:t>
      </w:r>
      <w:r w:rsidRPr="00C9040A">
        <w:rPr>
          <w:rtl/>
          <w:lang w:bidi="fa-IR"/>
        </w:rPr>
        <w:t xml:space="preserve"> فِي قَرَابَتِكَ »</w:t>
      </w:r>
      <w:r>
        <w:rPr>
          <w:rtl/>
          <w:lang w:bidi="fa-IR"/>
        </w:rPr>
        <w:t>.</w:t>
      </w:r>
      <w:r w:rsidRPr="00C9040A">
        <w:rPr>
          <w:rtl/>
          <w:lang w:bidi="fa-IR"/>
        </w:rPr>
        <w:t xml:space="preserve"> ثُمَّ قَالَ : « فَلَا تَكُونَنَّ </w:t>
      </w:r>
      <w:r w:rsidR="006C577F" w:rsidRPr="006C577F">
        <w:rPr>
          <w:rStyle w:val="libFootnotenumChar"/>
          <w:rtl/>
        </w:rPr>
        <w:t>(3)</w:t>
      </w:r>
      <w:r w:rsidRPr="00C9040A">
        <w:rPr>
          <w:rtl/>
          <w:lang w:bidi="fa-IR"/>
        </w:rPr>
        <w:t xml:space="preserve"> مِمَّنْ يَقُولُ لِلشَّيْ‌ءِ : إِنَّهُ فِي شَيْ‌ءٍ وَاحِدٍ </w:t>
      </w:r>
      <w:r w:rsidR="006C577F" w:rsidRPr="006C577F">
        <w:rPr>
          <w:rStyle w:val="libFootnotenumChar"/>
          <w:rtl/>
        </w:rPr>
        <w:t>(4)</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003846">
        <w:rPr>
          <w:rtl/>
        </w:rPr>
        <w:t>2002</w:t>
      </w:r>
      <w:r w:rsidRPr="00261CB0">
        <w:rPr>
          <w:rStyle w:val="libBold2Char"/>
          <w:rtl/>
        </w:rPr>
        <w:t xml:space="preserve"> / 29.</w:t>
      </w:r>
      <w:r w:rsidRPr="00C9040A">
        <w:rPr>
          <w:rtl/>
          <w:lang w:bidi="fa-IR"/>
        </w:rPr>
        <w:t xml:space="preserve"> عِدَّةٌ مِنْ أَصْحَابِنَا ، عَنْ أَحْمَدَ بْنِ أَبِي عَبْدِ اللهِ ، عَنْ مُحَمَّدِ بْنِ عَلِيٍّ ، عَنْ أَبِي جَمِيلَةَ ، عَنِ الْوَصَّافِيِّ :</w:t>
      </w:r>
    </w:p>
    <w:p w:rsidR="008A74EB" w:rsidRPr="00C9040A" w:rsidRDefault="008A74EB" w:rsidP="008A74EB">
      <w:pPr>
        <w:pStyle w:val="libNormal"/>
        <w:rPr>
          <w:rtl/>
          <w:lang w:bidi="fa-IR"/>
        </w:rPr>
      </w:pPr>
      <w:r w:rsidRPr="00C9040A">
        <w:rPr>
          <w:rtl/>
          <w:lang w:bidi="fa-IR"/>
        </w:rPr>
        <w:t xml:space="preserve">عَنْ عَلِيِّ بْنِ الْحُسَيْنِ </w:t>
      </w:r>
      <w:r w:rsidRPr="0003660B">
        <w:rPr>
          <w:rStyle w:val="libAlaemChar"/>
          <w:rtl/>
        </w:rPr>
        <w:t>عليهما‌السلام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مَنْ سَرَّهُ أَنْ يَمُدَّ اللهُ فِي عُمُرِهِ ، وَأَنْ </w:t>
      </w:r>
      <w:r w:rsidR="006C577F" w:rsidRPr="006C577F">
        <w:rPr>
          <w:rStyle w:val="libFootnotenumChar"/>
          <w:rtl/>
        </w:rPr>
        <w:t>(6)</w:t>
      </w:r>
      <w:r w:rsidRPr="005B567D">
        <w:rPr>
          <w:rStyle w:val="libFootnotenumChar"/>
          <w:rtl/>
        </w:rPr>
        <w:t xml:space="preserve"> </w:t>
      </w:r>
      <w:r w:rsidRPr="00C9040A">
        <w:rPr>
          <w:rtl/>
          <w:lang w:bidi="fa-IR"/>
        </w:rPr>
        <w:t xml:space="preserve">يَبْسُطَ لَهُ </w:t>
      </w:r>
      <w:r w:rsidR="006C577F" w:rsidRPr="006C577F">
        <w:rPr>
          <w:rStyle w:val="libFootnotenumChar"/>
          <w:rtl/>
        </w:rPr>
        <w:t>(7)</w:t>
      </w:r>
      <w:r w:rsidRPr="00C9040A">
        <w:rPr>
          <w:rtl/>
          <w:lang w:bidi="fa-IR"/>
        </w:rPr>
        <w:t xml:space="preserve"> فِي رِزْقِهِ ، فَلْيَصِلْ رَحِمَهُ ؛ فَإِنَّ الرَّحِمَ لَهَا لِسَانٌ يَوْمَ الْقِيَامَةِ ذَلْقٌ </w:t>
      </w:r>
      <w:r w:rsidR="006C577F" w:rsidRPr="006C577F">
        <w:rPr>
          <w:rStyle w:val="libFootnotenumChar"/>
          <w:rtl/>
        </w:rPr>
        <w:t>(8)</w:t>
      </w:r>
      <w:r w:rsidRPr="00C9040A">
        <w:rPr>
          <w:rtl/>
          <w:lang w:bidi="fa-IR"/>
        </w:rPr>
        <w:t xml:space="preserve"> تَقُولُ </w:t>
      </w:r>
      <w:r w:rsidR="006C577F" w:rsidRPr="006C577F">
        <w:rPr>
          <w:rStyle w:val="libFootnotenumChar"/>
          <w:rtl/>
        </w:rPr>
        <w:t>(9)</w:t>
      </w:r>
      <w:r w:rsidRPr="00C9040A">
        <w:rPr>
          <w:rtl/>
          <w:lang w:bidi="fa-IR"/>
        </w:rPr>
        <w:t xml:space="preserve"> : يَا رَبِّ صِلْ مَنْ وَصَلَنِي ، وَاقْطَعْ مَنْ قَطَعَنِي ، فَالرَّجُلُ </w:t>
      </w:r>
      <w:r w:rsidR="006C577F" w:rsidRPr="006C577F">
        <w:rPr>
          <w:rStyle w:val="libFootnotenumChar"/>
          <w:rtl/>
        </w:rPr>
        <w:t>(10)</w:t>
      </w:r>
      <w:r w:rsidRPr="00C9040A">
        <w:rPr>
          <w:rtl/>
          <w:lang w:bidi="fa-IR"/>
        </w:rPr>
        <w:t xml:space="preserve"> لَيُرى </w:t>
      </w:r>
      <w:r w:rsidR="006C577F" w:rsidRPr="006C577F">
        <w:rPr>
          <w:rStyle w:val="libFootnotenumChar"/>
          <w:rtl/>
        </w:rPr>
        <w:t>(11)</w:t>
      </w:r>
      <w:r w:rsidRPr="00C9040A">
        <w:rPr>
          <w:rtl/>
          <w:lang w:bidi="fa-IR"/>
        </w:rPr>
        <w:t xml:space="preserve"> بِسَبِيلِ خَيْرٍ </w:t>
      </w:r>
      <w:r w:rsidR="006C577F" w:rsidRPr="006C577F">
        <w:rPr>
          <w:rStyle w:val="libFootnotenumChar"/>
          <w:rtl/>
        </w:rPr>
        <w:t>(12)</w:t>
      </w:r>
      <w:r w:rsidRPr="00C9040A">
        <w:rPr>
          <w:rtl/>
          <w:lang w:bidi="fa-IR"/>
        </w:rPr>
        <w:t xml:space="preserve"> إِذَا أَتَتْهُ الرَّحِمُ الَّتِي قَطَعَهَا ، فَتَهْوِي بِهِ إِلى </w:t>
      </w:r>
      <w:r w:rsidRPr="005B567D">
        <w:rPr>
          <w:rStyle w:val="libFootnotenumChar"/>
          <w:rtl/>
        </w:rPr>
        <w:t>(13)</w:t>
      </w:r>
      <w:r w:rsidRPr="00C9040A">
        <w:rPr>
          <w:rtl/>
          <w:lang w:bidi="fa-IR"/>
        </w:rPr>
        <w:t xml:space="preserve"> أَسْفَلِ قَعْرٍ فِي </w:t>
      </w:r>
      <w:r w:rsidRPr="005B567D">
        <w:rPr>
          <w:rStyle w:val="libFootnotenumChar"/>
          <w:rtl/>
        </w:rPr>
        <w:t>(14)</w:t>
      </w:r>
      <w:r w:rsidRPr="00C9040A">
        <w:rPr>
          <w:rtl/>
          <w:lang w:bidi="fa-IR"/>
        </w:rPr>
        <w:t xml:space="preserve"> النَّارِ »</w:t>
      </w:r>
      <w:r>
        <w:rPr>
          <w:rtl/>
          <w:lang w:bidi="fa-IR"/>
        </w:rPr>
        <w:t>.</w:t>
      </w:r>
      <w:r w:rsidRPr="00C9040A">
        <w:rPr>
          <w:rtl/>
          <w:lang w:bidi="fa-IR"/>
        </w:rPr>
        <w:t xml:space="preserve"> </w:t>
      </w:r>
      <w:r w:rsidRPr="005B567D">
        <w:rPr>
          <w:rStyle w:val="libFootnotenumChar"/>
          <w:rtl/>
        </w:rPr>
        <w:t>(15)</w:t>
      </w:r>
      <w:r w:rsidRPr="00C9040A">
        <w:rPr>
          <w:rtl/>
          <w:lang w:bidi="fa-IR"/>
        </w:rPr>
        <w:t xml:space="preserve"> ‌</w:t>
      </w:r>
    </w:p>
    <w:p w:rsidR="008A74EB" w:rsidRPr="00C9040A" w:rsidRDefault="008A74EB" w:rsidP="008A74EB">
      <w:pPr>
        <w:pStyle w:val="libNormal"/>
        <w:rPr>
          <w:rtl/>
          <w:lang w:bidi="fa-IR"/>
        </w:rPr>
      </w:pPr>
      <w:r w:rsidRPr="00003846">
        <w:rPr>
          <w:rtl/>
        </w:rPr>
        <w:t>2003</w:t>
      </w:r>
      <w:r w:rsidRPr="00261CB0">
        <w:rPr>
          <w:rStyle w:val="libBold2Char"/>
          <w:rtl/>
        </w:rPr>
        <w:t xml:space="preserve"> / 30.</w:t>
      </w:r>
      <w:r w:rsidRPr="00C9040A">
        <w:rPr>
          <w:rtl/>
          <w:lang w:bidi="fa-IR"/>
        </w:rPr>
        <w:t xml:space="preserve"> عَلِيُّ بْنُ مُحَمَّدٍ ، عَنْ صَالِحِ بْنِ أَبِي حَمَّادٍ ، عَنِ الْحَسَنِ بْنِ عَلِيٍّ ، عَنْ‌</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F3743D">
      <w:pPr>
        <w:pStyle w:val="libFootnote0"/>
        <w:rPr>
          <w:rtl/>
          <w:lang w:bidi="fa-IR"/>
        </w:rPr>
      </w:pPr>
      <w:r>
        <w:rPr>
          <w:rtl/>
        </w:rPr>
        <w:t>(1).</w:t>
      </w:r>
      <w:r w:rsidR="008A74EB">
        <w:rPr>
          <w:rtl/>
        </w:rPr>
        <w:t xml:space="preserve"> </w:t>
      </w:r>
      <w:r w:rsidR="008A74EB" w:rsidRPr="00C9040A">
        <w:rPr>
          <w:rtl/>
        </w:rPr>
        <w:t xml:space="preserve">في « ب ، ج » والوافي : « </w:t>
      </w:r>
      <w:r w:rsidR="00F3743D">
        <w:rPr>
          <w:rFonts w:hint="cs"/>
          <w:rtl/>
        </w:rPr>
        <w:t xml:space="preserve">صلّى الله عليه و آله </w:t>
      </w:r>
      <w:r w:rsidR="008A74EB" w:rsidRPr="00C9040A">
        <w:rPr>
          <w:rtl/>
        </w:rPr>
        <w:t>»</w:t>
      </w:r>
      <w:r w:rsidR="008A74EB">
        <w:rPr>
          <w:rtl/>
        </w:rPr>
        <w:t>.</w:t>
      </w:r>
      <w:r w:rsidR="008A74EB" w:rsidRPr="00C9040A">
        <w:rPr>
          <w:rtl/>
        </w:rPr>
        <w:t xml:space="preserve"> وفي « ز ، ص » : «</w:t>
      </w:r>
      <w:r w:rsidR="00F3743D">
        <w:rPr>
          <w:rFonts w:hint="cs"/>
          <w:rtl/>
        </w:rPr>
        <w:t xml:space="preserve"> عليهم السلام</w:t>
      </w:r>
      <w:r w:rsidR="00F3743D" w:rsidRPr="00C9040A">
        <w:rPr>
          <w:rtl/>
        </w:rPr>
        <w:t xml:space="preserve"> </w:t>
      </w:r>
      <w:r w:rsidR="008A74EB" w:rsidRPr="00C9040A">
        <w:rPr>
          <w:rtl/>
        </w:rPr>
        <w:t>»</w:t>
      </w:r>
      <w:r w:rsidR="008A74EB">
        <w:rPr>
          <w:rtl/>
        </w:rPr>
        <w:t>.</w:t>
      </w:r>
      <w:r w:rsidR="008A74EB" w:rsidRPr="00C9040A">
        <w:rPr>
          <w:rtl/>
        </w:rPr>
        <w:t xml:space="preserve"> وفي « ض » : « عليه </w:t>
      </w:r>
      <w:r w:rsidR="00F3743D">
        <w:rPr>
          <w:rFonts w:hint="cs"/>
          <w:rtl/>
        </w:rPr>
        <w:t>و عليهم السلام</w:t>
      </w:r>
      <w:r w:rsidR="008A74EB" w:rsidRPr="00C9040A">
        <w:rPr>
          <w:rtl/>
        </w:rPr>
        <w:t xml:space="preserve"> »</w:t>
      </w:r>
      <w:r w:rsidR="008A74EB">
        <w:rPr>
          <w:rtl/>
        </w:rPr>
        <w:t>.</w:t>
      </w:r>
      <w:r w:rsidR="008A74EB" w:rsidRPr="00C9040A">
        <w:rPr>
          <w:rtl/>
        </w:rPr>
        <w:t xml:space="preserve"> وفي « ف » : «</w:t>
      </w:r>
      <w:r w:rsidR="00F3743D">
        <w:rPr>
          <w:rFonts w:hint="cs"/>
          <w:rtl/>
        </w:rPr>
        <w:t xml:space="preserve"> صلّى الله عليه و آله</w:t>
      </w:r>
      <w:r w:rsidR="00F3743D" w:rsidRPr="00C9040A">
        <w:rPr>
          <w:rtl/>
        </w:rPr>
        <w:t xml:space="preserve"> </w:t>
      </w:r>
      <w:r w:rsidR="00F3743D">
        <w:rPr>
          <w:rFonts w:hint="cs"/>
          <w:rtl/>
        </w:rPr>
        <w:t xml:space="preserve">و سلّم </w:t>
      </w:r>
      <w:r w:rsidR="008A74EB" w:rsidRPr="00C9040A">
        <w:rPr>
          <w:rtl/>
        </w:rPr>
        <w:t>»</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ج ، ز ، ض ، ف ، بر ، بس ، بف » والبحار : « وقد يكون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ض » : « ولا تكوننّ »</w:t>
      </w:r>
      <w:r w:rsidR="008A74EB">
        <w:rPr>
          <w:rtl/>
        </w:rPr>
        <w:t>.</w:t>
      </w:r>
      <w:r w:rsidR="008A74EB" w:rsidRPr="00C9040A">
        <w:rPr>
          <w:rtl/>
        </w:rPr>
        <w:t xml:space="preserve"> وفي « بس » : « فلا يكوننّ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w:t>
      </w:r>
      <w:r w:rsidR="008A74EB" w:rsidRPr="00993B55">
        <w:rPr>
          <w:rStyle w:val="libFootnoteBoldChar"/>
          <w:rtl/>
        </w:rPr>
        <w:t>الوافي</w:t>
      </w:r>
      <w:r w:rsidR="008A74EB" w:rsidRPr="00C9040A">
        <w:rPr>
          <w:rtl/>
        </w:rPr>
        <w:t xml:space="preserve"> : « يعني إذا نزلت آية في شي‌ء خاصّ ، فلا تخصّص حكمها بذلك الأمر ، بل عمّمه في نظائره »</w:t>
      </w:r>
      <w:r w:rsidR="008A74EB">
        <w:rPr>
          <w:rtl/>
        </w:rPr>
        <w:t>.</w:t>
      </w:r>
    </w:p>
    <w:p w:rsidR="008A74EB" w:rsidRPr="00C9040A" w:rsidRDefault="006C577F" w:rsidP="002057D0">
      <w:pPr>
        <w:pStyle w:val="libFootnote0"/>
        <w:rPr>
          <w:rtl/>
          <w:lang w:bidi="fa-IR"/>
        </w:rPr>
      </w:pPr>
      <w:r>
        <w:rPr>
          <w:rtl/>
        </w:rPr>
        <w:t>(5).</w:t>
      </w:r>
      <w:r w:rsidR="008A74EB" w:rsidRPr="00C9040A">
        <w:rPr>
          <w:rtl/>
        </w:rPr>
        <w:t xml:space="preserve"> راجع : </w:t>
      </w:r>
      <w:r w:rsidR="008A74EB" w:rsidRPr="00993B55">
        <w:rPr>
          <w:rStyle w:val="libFootnoteBoldChar"/>
          <w:rtl/>
        </w:rPr>
        <w:t>تفسير العيّاشي</w:t>
      </w:r>
      <w:r w:rsidR="008A74EB" w:rsidRPr="00C9040A">
        <w:rPr>
          <w:rtl/>
        </w:rPr>
        <w:t xml:space="preserve"> ، ج 2 ، ص 208 ، ح 30 ؛ وص 209 ، ح 33 ؛ وص 209 ، ح 34</w:t>
      </w:r>
      <w:r w:rsidR="00F3743D">
        <w:rPr>
          <w:rFonts w:hint="cs"/>
          <w:rtl/>
        </w:rPr>
        <w:t>.</w:t>
      </w:r>
      <w:r w:rsidR="008A74EB" w:rsidRPr="00993B55">
        <w:rPr>
          <w:rStyle w:val="libFootnoteBoldChar"/>
          <w:rtl/>
        </w:rPr>
        <w:t>الوافي</w:t>
      </w:r>
      <w:r w:rsidR="008A74EB" w:rsidRPr="00C9040A">
        <w:rPr>
          <w:rtl/>
        </w:rPr>
        <w:t xml:space="preserve"> ، ج 5 ، ص 505 ، ح 2442 ؛ </w:t>
      </w:r>
      <w:r w:rsidR="008A74EB" w:rsidRPr="00993B55">
        <w:rPr>
          <w:rStyle w:val="libFootnoteBoldChar"/>
          <w:rtl/>
        </w:rPr>
        <w:t>البحار</w:t>
      </w:r>
      <w:r w:rsidR="008A74EB" w:rsidRPr="00C9040A">
        <w:rPr>
          <w:rtl/>
        </w:rPr>
        <w:t xml:space="preserve"> ، ج 74 ، ص 130 ، ح 95.</w:t>
      </w:r>
      <w:r w:rsidR="002057D0">
        <w:rPr>
          <w:rFonts w:hint="cs"/>
          <w:rtl/>
        </w:rPr>
        <w:t xml:space="preserve">         </w:t>
      </w:r>
      <w:r>
        <w:rPr>
          <w:rtl/>
        </w:rPr>
        <w:t>(6).</w:t>
      </w:r>
      <w:r w:rsidR="008A74EB">
        <w:rPr>
          <w:rtl/>
        </w:rPr>
        <w:t xml:space="preserve"> </w:t>
      </w:r>
      <w:r w:rsidR="008A74EB" w:rsidRPr="00C9040A">
        <w:rPr>
          <w:rtl/>
        </w:rPr>
        <w:t xml:space="preserve">في البحار </w:t>
      </w:r>
      <w:r w:rsidR="008A74EB">
        <w:rPr>
          <w:rtl/>
        </w:rPr>
        <w:t xml:space="preserve">: </w:t>
      </w:r>
      <w:r w:rsidR="0084262C">
        <w:rPr>
          <w:rtl/>
        </w:rPr>
        <w:t>-</w:t>
      </w:r>
      <w:r w:rsidR="008A74EB" w:rsidRPr="00C9040A">
        <w:rPr>
          <w:rtl/>
        </w:rPr>
        <w:t xml:space="preserve"> « أن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الوافي والبحار </w:t>
      </w:r>
      <w:r w:rsidR="008A74EB">
        <w:rPr>
          <w:rtl/>
        </w:rPr>
        <w:t xml:space="preserve">: </w:t>
      </w:r>
      <w:r w:rsidR="0084262C">
        <w:rPr>
          <w:rtl/>
        </w:rPr>
        <w:t>-</w:t>
      </w:r>
      <w:r w:rsidR="008A74EB" w:rsidRPr="00C9040A">
        <w:rPr>
          <w:rtl/>
        </w:rPr>
        <w:t xml:space="preserve"> « له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 ذلق » ، أي فصيح بليغ ، هكذا جاء في الحديث على فُعَل بوزن صُرَد. ويقال : طَلِقٌ ذَلِقٌ ، وطُلُقٌ ذُلُقٌ ، وط</w:t>
      </w:r>
      <w:r w:rsidR="002057D0">
        <w:rPr>
          <w:rtl/>
        </w:rPr>
        <w:t>ليقٌ ذَلِيقٌ. ويراد بالجميع الم</w:t>
      </w:r>
      <w:r w:rsidR="002057D0">
        <w:rPr>
          <w:rFonts w:hint="cs"/>
          <w:rtl/>
        </w:rPr>
        <w:t>ـَ</w:t>
      </w:r>
      <w:r w:rsidR="008A74EB" w:rsidRPr="00C9040A">
        <w:rPr>
          <w:rtl/>
        </w:rPr>
        <w:t xml:space="preserve">ضاء والنَفاذ. وذَلْقُ كلّ شي‌ء حدّه. </w:t>
      </w:r>
      <w:r w:rsidR="008A74EB" w:rsidRPr="00993B55">
        <w:rPr>
          <w:rStyle w:val="libFootnoteBoldChar"/>
          <w:rtl/>
        </w:rPr>
        <w:t>النهاية</w:t>
      </w:r>
      <w:r w:rsidR="008A74EB" w:rsidRPr="00C9040A">
        <w:rPr>
          <w:rtl/>
        </w:rPr>
        <w:t xml:space="preserve"> ، ج 2 ، ص 165 ( ذلق )</w:t>
      </w:r>
      <w:r w:rsidR="008A74EB">
        <w:rPr>
          <w:rtl/>
        </w:rPr>
        <w:t>.</w:t>
      </w:r>
    </w:p>
    <w:tbl>
      <w:tblPr>
        <w:tblStyle w:val="TableGrid"/>
        <w:bidiVisual/>
        <w:tblW w:w="0" w:type="auto"/>
        <w:tblLook w:val="04A0" w:firstRow="1" w:lastRow="0" w:firstColumn="1" w:lastColumn="0" w:noHBand="0" w:noVBand="1"/>
      </w:tblPr>
      <w:tblGrid>
        <w:gridCol w:w="4006"/>
        <w:gridCol w:w="4006"/>
      </w:tblGrid>
      <w:tr w:rsidR="002057D0" w:rsidTr="002057D0">
        <w:tc>
          <w:tcPr>
            <w:tcW w:w="4006" w:type="dxa"/>
          </w:tcPr>
          <w:p w:rsidR="002057D0" w:rsidRDefault="002057D0" w:rsidP="002057D0">
            <w:pPr>
              <w:pStyle w:val="libFootnote0"/>
              <w:rPr>
                <w:rtl/>
              </w:rPr>
            </w:pPr>
            <w:r>
              <w:rPr>
                <w:rtl/>
              </w:rPr>
              <w:t>(9).</w:t>
            </w:r>
            <w:r w:rsidRPr="00C9040A">
              <w:rPr>
                <w:rtl/>
              </w:rPr>
              <w:t xml:space="preserve"> في«ب،ص،ض،ف»والبحار:«يقول»</w:t>
            </w:r>
            <w:r>
              <w:rPr>
                <w:rtl/>
              </w:rPr>
              <w:t>.</w:t>
            </w:r>
          </w:p>
        </w:tc>
        <w:tc>
          <w:tcPr>
            <w:tcW w:w="4006" w:type="dxa"/>
          </w:tcPr>
          <w:p w:rsidR="002057D0" w:rsidRDefault="002057D0" w:rsidP="002057D0">
            <w:pPr>
              <w:pStyle w:val="libFootnote0"/>
              <w:rPr>
                <w:rtl/>
              </w:rPr>
            </w:pPr>
            <w:r>
              <w:rPr>
                <w:rtl/>
              </w:rPr>
              <w:t>(10).</w:t>
            </w:r>
            <w:r w:rsidRPr="00C9040A">
              <w:rPr>
                <w:rtl/>
              </w:rPr>
              <w:t xml:space="preserve"> في</w:t>
            </w:r>
            <w:r>
              <w:rPr>
                <w:rFonts w:hint="cs"/>
                <w:rtl/>
              </w:rPr>
              <w:t xml:space="preserve"> </w:t>
            </w:r>
            <w:r w:rsidRPr="00C9040A">
              <w:rPr>
                <w:rtl/>
              </w:rPr>
              <w:t>البحار:«والرجل»</w:t>
            </w:r>
            <w:r>
              <w:rPr>
                <w:rtl/>
              </w:rPr>
              <w:t>.</w:t>
            </w:r>
          </w:p>
        </w:tc>
      </w:tr>
      <w:tr w:rsidR="002057D0" w:rsidTr="002057D0">
        <w:tc>
          <w:tcPr>
            <w:tcW w:w="4006" w:type="dxa"/>
          </w:tcPr>
          <w:p w:rsidR="002057D0" w:rsidRDefault="002057D0" w:rsidP="002057D0">
            <w:pPr>
              <w:pStyle w:val="libFootnote0"/>
              <w:rPr>
                <w:rtl/>
              </w:rPr>
            </w:pPr>
            <w:r>
              <w:rPr>
                <w:rtl/>
              </w:rPr>
              <w:t>(11).</w:t>
            </w:r>
            <w:r w:rsidRPr="00C9040A">
              <w:rPr>
                <w:rtl/>
              </w:rPr>
              <w:t xml:space="preserve"> في الوافي ومرآة العقول:+«أنّه»</w:t>
            </w:r>
            <w:r>
              <w:rPr>
                <w:rtl/>
              </w:rPr>
              <w:t>.</w:t>
            </w:r>
          </w:p>
        </w:tc>
        <w:tc>
          <w:tcPr>
            <w:tcW w:w="4006" w:type="dxa"/>
          </w:tcPr>
          <w:p w:rsidR="002057D0" w:rsidRDefault="002057D0" w:rsidP="002057D0">
            <w:pPr>
              <w:pStyle w:val="libFootnote0"/>
              <w:rPr>
                <w:rtl/>
              </w:rPr>
            </w:pPr>
            <w:r>
              <w:rPr>
                <w:rtl/>
              </w:rPr>
              <w:t>(12).</w:t>
            </w:r>
            <w:r w:rsidRPr="00C9040A">
              <w:rPr>
                <w:rtl/>
              </w:rPr>
              <w:t xml:space="preserve"> في«ف»:+«حتّى»</w:t>
            </w:r>
            <w:r>
              <w:rPr>
                <w:rtl/>
              </w:rPr>
              <w:t>.</w:t>
            </w:r>
          </w:p>
        </w:tc>
      </w:tr>
      <w:tr w:rsidR="002057D0" w:rsidTr="002057D0">
        <w:tc>
          <w:tcPr>
            <w:tcW w:w="4006" w:type="dxa"/>
          </w:tcPr>
          <w:p w:rsidR="002057D0" w:rsidRDefault="002057D0" w:rsidP="002057D0">
            <w:pPr>
              <w:pStyle w:val="libFootnote0"/>
              <w:rPr>
                <w:rtl/>
              </w:rPr>
            </w:pPr>
            <w:r>
              <w:rPr>
                <w:rtl/>
              </w:rPr>
              <w:t>(13)</w:t>
            </w:r>
            <w:r w:rsidRPr="00C9040A">
              <w:rPr>
                <w:rtl/>
              </w:rPr>
              <w:t xml:space="preserve"> في«ز»:«في»</w:t>
            </w:r>
            <w:r>
              <w:rPr>
                <w:rtl/>
              </w:rPr>
              <w:t>.</w:t>
            </w:r>
          </w:p>
        </w:tc>
        <w:tc>
          <w:tcPr>
            <w:tcW w:w="4006" w:type="dxa"/>
          </w:tcPr>
          <w:p w:rsidR="002057D0" w:rsidRDefault="002057D0" w:rsidP="002057D0">
            <w:pPr>
              <w:pStyle w:val="libFootnote0"/>
              <w:rPr>
                <w:rtl/>
              </w:rPr>
            </w:pPr>
            <w:r>
              <w:rPr>
                <w:rtl/>
              </w:rPr>
              <w:t>(14)</w:t>
            </w:r>
            <w:r w:rsidRPr="00C9040A">
              <w:rPr>
                <w:rtl/>
              </w:rPr>
              <w:t xml:space="preserve"> في«ب»:«من»</w:t>
            </w:r>
            <w:r>
              <w:rPr>
                <w:rtl/>
              </w:rPr>
              <w:t>.</w:t>
            </w:r>
            <w:r w:rsidRPr="00C9040A">
              <w:rPr>
                <w:rtl/>
              </w:rPr>
              <w:t>وفي«ف»</w:t>
            </w:r>
            <w:r>
              <w:rPr>
                <w:rtl/>
              </w:rPr>
              <w:t>:-</w:t>
            </w:r>
            <w:r w:rsidRPr="00C9040A">
              <w:rPr>
                <w:rtl/>
              </w:rPr>
              <w:t>«في»</w:t>
            </w:r>
            <w:r>
              <w:rPr>
                <w:rtl/>
              </w:rPr>
              <w:t>.</w:t>
            </w:r>
          </w:p>
        </w:tc>
      </w:tr>
    </w:tbl>
    <w:p w:rsidR="008A74EB" w:rsidRPr="00C9040A" w:rsidRDefault="008A74EB" w:rsidP="004A4E41">
      <w:pPr>
        <w:pStyle w:val="libFootnote0"/>
        <w:rPr>
          <w:rtl/>
          <w:lang w:bidi="fa-IR"/>
        </w:rPr>
      </w:pPr>
      <w:r>
        <w:rPr>
          <w:rtl/>
        </w:rPr>
        <w:t>(15)</w:t>
      </w:r>
      <w:r w:rsidRPr="00C9040A">
        <w:rPr>
          <w:rtl/>
        </w:rPr>
        <w:t xml:space="preserve"> </w:t>
      </w:r>
      <w:r w:rsidRPr="00993B55">
        <w:rPr>
          <w:rStyle w:val="libFootnoteBoldChar"/>
          <w:rtl/>
        </w:rPr>
        <w:t>الخصال</w:t>
      </w:r>
      <w:r w:rsidRPr="00C9040A">
        <w:rPr>
          <w:rtl/>
        </w:rPr>
        <w:t xml:space="preserve"> ، ص 32 ، باب الواحد ، ح 112 ، بسند آخر عن النبيّ </w:t>
      </w:r>
      <w:r w:rsidR="004A4E41" w:rsidRPr="0060102D">
        <w:rPr>
          <w:rStyle w:val="libFootnoteAlaemChar"/>
          <w:rtl/>
        </w:rPr>
        <w:t>صلى‌الله‌عليه‌وآله</w:t>
      </w:r>
      <w:r w:rsidRPr="00C9040A">
        <w:rPr>
          <w:rtl/>
        </w:rPr>
        <w:t xml:space="preserve"> ؛ </w:t>
      </w:r>
      <w:r w:rsidRPr="00993B55">
        <w:rPr>
          <w:rStyle w:val="libFootnoteBoldChar"/>
          <w:rtl/>
        </w:rPr>
        <w:t>عيون الأخبار</w:t>
      </w:r>
      <w:r w:rsidRPr="00C9040A">
        <w:rPr>
          <w:rtl/>
        </w:rPr>
        <w:t xml:space="preserve"> ، ج 2 ، ص 44 ، ح 157 ، بسند آخر عن الرضا ، عن آبائه ، عن الحسين بن عليّ </w:t>
      </w:r>
      <w:r w:rsidR="00117575" w:rsidRPr="00117575">
        <w:rPr>
          <w:rStyle w:val="libFootnoteAlaemChar"/>
          <w:rtl/>
        </w:rPr>
        <w:t>عليهم‌السلام</w:t>
      </w:r>
      <w:r w:rsidRPr="00C9040A">
        <w:rPr>
          <w:rtl/>
        </w:rPr>
        <w:t xml:space="preserve"> ، من دون الإسناد إلى النبيّ </w:t>
      </w:r>
      <w:r w:rsidR="004A4E41" w:rsidRPr="0060102D">
        <w:rPr>
          <w:rStyle w:val="libFootnoteAlaemChar"/>
          <w:rtl/>
        </w:rPr>
        <w:t>صلى‌الله‌عليه‌وآله</w:t>
      </w:r>
      <w:r w:rsidRPr="00C9040A">
        <w:rPr>
          <w:rtl/>
        </w:rPr>
        <w:t xml:space="preserve"> ، وفيهما مع اختلاف يسير. </w:t>
      </w:r>
      <w:r w:rsidRPr="00993B55">
        <w:rPr>
          <w:rStyle w:val="libFootnoteBoldChar"/>
          <w:rtl/>
        </w:rPr>
        <w:t>الزهد</w:t>
      </w:r>
      <w:r w:rsidRPr="00C9040A">
        <w:rPr>
          <w:rtl/>
        </w:rPr>
        <w:t xml:space="preserve"> ، ص 105 ، ح 107 ، بسند آخر عن النبيّ </w:t>
      </w:r>
      <w:r w:rsidR="004A4E41" w:rsidRPr="0060102D">
        <w:rPr>
          <w:rStyle w:val="libFootnoteAlaemChar"/>
          <w:rtl/>
        </w:rPr>
        <w:t>صلى‌الله‌عليه‌وآله</w:t>
      </w:r>
      <w:r w:rsidRPr="00C9040A">
        <w:rPr>
          <w:rtl/>
        </w:rPr>
        <w:t xml:space="preserve"> ، مع اختلاف وزيادة في أوّله ، وفي كلّها إلى قوله : « فليصل رحمه » </w:t>
      </w:r>
      <w:r w:rsidR="0060102D">
        <w:rPr>
          <w:rFonts w:hint="cs"/>
          <w:rtl/>
        </w:rPr>
        <w:t>.</w:t>
      </w:r>
      <w:r w:rsidRPr="00993B55">
        <w:rPr>
          <w:rStyle w:val="libFootnoteBoldChar"/>
          <w:rtl/>
        </w:rPr>
        <w:t>الوافي</w:t>
      </w:r>
      <w:r w:rsidRPr="00C9040A">
        <w:rPr>
          <w:rtl/>
        </w:rPr>
        <w:t xml:space="preserve"> ، ج 5 ، ص 506 ، ح 2443 ؛ </w:t>
      </w:r>
      <w:r w:rsidRPr="00993B55">
        <w:rPr>
          <w:rStyle w:val="libFootnoteBoldChar"/>
          <w:rtl/>
        </w:rPr>
        <w:t>البحار</w:t>
      </w:r>
      <w:r w:rsidRPr="00C9040A">
        <w:rPr>
          <w:rtl/>
        </w:rPr>
        <w:t xml:space="preserve"> ، ج 74 ، ص 130 ، ح 96.</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صَفْوَانَ ، عَنِ الْجَهْمِ بْنِ حُمَيْدٍ ، قَالَ :</w:t>
      </w:r>
    </w:p>
    <w:p w:rsidR="008A74EB" w:rsidRPr="00C9040A" w:rsidRDefault="008A74EB" w:rsidP="008A74EB">
      <w:pPr>
        <w:pStyle w:val="libNormal"/>
        <w:rPr>
          <w:rtl/>
          <w:lang w:bidi="fa-IR"/>
        </w:rPr>
      </w:pPr>
      <w:r w:rsidRPr="00C9040A">
        <w:rPr>
          <w:rtl/>
          <w:lang w:bidi="fa-IR"/>
        </w:rPr>
        <w:t xml:space="preserve">قُلْتُ لِأَبِي عَبْدِ اللهِ </w:t>
      </w:r>
      <w:r w:rsidRPr="0003660B">
        <w:rPr>
          <w:rStyle w:val="libAlaemChar"/>
          <w:rtl/>
        </w:rPr>
        <w:t>عليه‌السلام</w:t>
      </w:r>
      <w:r w:rsidRPr="00C9040A">
        <w:rPr>
          <w:rtl/>
          <w:lang w:bidi="fa-IR"/>
        </w:rPr>
        <w:t xml:space="preserve"> : تَكُونُ </w:t>
      </w:r>
      <w:r w:rsidR="006C577F" w:rsidRPr="006C577F">
        <w:rPr>
          <w:rStyle w:val="libFootnotenumChar"/>
          <w:rtl/>
        </w:rPr>
        <w:t>(1)</w:t>
      </w:r>
      <w:r w:rsidRPr="00C9040A">
        <w:rPr>
          <w:rtl/>
          <w:lang w:bidi="fa-IR"/>
        </w:rPr>
        <w:t xml:space="preserve"> لِيَ الْقَر</w:t>
      </w:r>
      <w:r>
        <w:rPr>
          <w:rtl/>
          <w:lang w:bidi="fa-IR"/>
        </w:rPr>
        <w:t>َابَةُ عَلى غَيْرِ أَمْرِي ، أَ</w:t>
      </w:r>
      <w:r w:rsidRPr="00C9040A">
        <w:rPr>
          <w:rtl/>
          <w:lang w:bidi="fa-IR"/>
        </w:rPr>
        <w:t>لَهُمْ عَلَيَّ حَقٌّ</w:t>
      </w:r>
      <w:r>
        <w:rPr>
          <w:rtl/>
          <w:lang w:bidi="fa-IR"/>
        </w:rPr>
        <w:t>؟</w:t>
      </w:r>
    </w:p>
    <w:p w:rsidR="008A74EB" w:rsidRPr="00C9040A" w:rsidRDefault="008A74EB" w:rsidP="008A74EB">
      <w:pPr>
        <w:pStyle w:val="libNormal"/>
        <w:rPr>
          <w:rtl/>
          <w:lang w:bidi="fa-IR"/>
        </w:rPr>
      </w:pPr>
      <w:r w:rsidRPr="00C9040A">
        <w:rPr>
          <w:rtl/>
          <w:lang w:bidi="fa-IR"/>
        </w:rPr>
        <w:t xml:space="preserve">قَالَ : « نَعَمْ ، حَقُّ الرَّحِمِ لَايَقْطَعُهُ شَيْ‌ءٌ ، وَإِذَا كَانُوا عَلى أَمْرِكَ كَانَ لَهُمْ </w:t>
      </w:r>
      <w:r w:rsidR="006C577F" w:rsidRPr="006C577F">
        <w:rPr>
          <w:rStyle w:val="libFootnotenumChar"/>
          <w:rtl/>
        </w:rPr>
        <w:t>(2)</w:t>
      </w:r>
      <w:r w:rsidRPr="00C9040A">
        <w:rPr>
          <w:rtl/>
          <w:lang w:bidi="fa-IR"/>
        </w:rPr>
        <w:t xml:space="preserve"> حَقَّانِ : حَقُّ الرَّحِمِ ، وَحَقُّ الْإِسْلَامِ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20239C">
        <w:rPr>
          <w:rtl/>
        </w:rPr>
        <w:t>2004</w:t>
      </w:r>
      <w:r w:rsidRPr="00261CB0">
        <w:rPr>
          <w:rStyle w:val="libBold2Char"/>
          <w:rtl/>
        </w:rPr>
        <w:t xml:space="preserve"> / 31.</w:t>
      </w:r>
      <w:r w:rsidRPr="00C9040A">
        <w:rPr>
          <w:rtl/>
          <w:lang w:bidi="fa-IR"/>
        </w:rPr>
        <w:t xml:space="preserve"> مُحَمَّدُ بْنُ يَحْيى ، عَنْ أَحْمَدَ بْنِ مُحَمَّدٍ ، عَنِ ابْنِ مَحْبُوبٍ ، عَنْ إِسْحَاقَ بْنِ عَمَّارٍ ، قَالَ :</w:t>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 « إِنَّ صِلَةَ الرَّحِمِ وَالْبِرَّ لَيُهَوِّنَانِ الْحِسَابَ ، وَيَعْصِمَانِ مِنَ الذُّنُوبِ ؛ فَصِلُوا أَرْحَامَكُمْ </w:t>
      </w:r>
      <w:r w:rsidR="006C577F" w:rsidRPr="006C577F">
        <w:rPr>
          <w:rStyle w:val="libFootnotenumChar"/>
          <w:rtl/>
        </w:rPr>
        <w:t>(4)</w:t>
      </w:r>
      <w:r w:rsidRPr="00C9040A">
        <w:rPr>
          <w:rtl/>
          <w:lang w:bidi="fa-IR"/>
        </w:rPr>
        <w:t xml:space="preserve"> ، وَبَرُّوا بِإِخْوَانِكُمْ وَلَوْ بِحُسْنِ السَّلَامِ وَرَدِّ الْجَوَابِ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20239C">
        <w:rPr>
          <w:rtl/>
        </w:rPr>
        <w:t>2005</w:t>
      </w:r>
      <w:r w:rsidRPr="00261CB0">
        <w:rPr>
          <w:rStyle w:val="libBold2Char"/>
          <w:rtl/>
        </w:rPr>
        <w:t xml:space="preserve"> / 32.</w:t>
      </w:r>
      <w:r w:rsidRPr="00C9040A">
        <w:rPr>
          <w:rtl/>
          <w:lang w:bidi="fa-IR"/>
        </w:rPr>
        <w:t xml:space="preserve"> عَلِيُّ بْنُ إِبْرَاهِيمَ ، عَنْ مُحَمَّدِ بْنِ عِيسى ، عَنْ يُونُسَ ، عَنْ عَبْدِ الصَّمَدِ بْنِ بَشِيرٍ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صِلَةُ الرَّحِمِ تُهَوِّنُ الْحِسَابَ يَوْمَ الْقِيَامَةِ ، وَهِيَ مَنْسَأَةٌ فِي الْعُمُرِ ، وَتَقِي مَصَارِعَ </w:t>
      </w:r>
      <w:r w:rsidR="006C577F" w:rsidRPr="006C577F">
        <w:rPr>
          <w:rStyle w:val="libFootnotenumChar"/>
          <w:rtl/>
        </w:rPr>
        <w:t>(6)</w:t>
      </w:r>
      <w:r w:rsidRPr="005B567D">
        <w:rPr>
          <w:rStyle w:val="libFootnotenumChar"/>
          <w:rtl/>
        </w:rPr>
        <w:t xml:space="preserve"> </w:t>
      </w:r>
      <w:r w:rsidRPr="00C9040A">
        <w:rPr>
          <w:rtl/>
          <w:lang w:bidi="fa-IR"/>
        </w:rPr>
        <w:t xml:space="preserve">السُّوءِ ؛ وَصَدَقَةُ اللَّيْلِ </w:t>
      </w:r>
      <w:r w:rsidR="006C577F" w:rsidRPr="006C577F">
        <w:rPr>
          <w:rStyle w:val="libFootnotenumChar"/>
          <w:rtl/>
        </w:rPr>
        <w:t>(7)</w:t>
      </w:r>
      <w:r w:rsidRPr="00C9040A">
        <w:rPr>
          <w:rtl/>
          <w:lang w:bidi="fa-IR"/>
        </w:rPr>
        <w:t xml:space="preserve"> تُطْفِئُ غَضَبَ الرَّبِّ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ب ، ز ، ص ، بر ، بس ، بف » والبحار : « يكون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حاشية « ف ، بف » : + « عليك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w:t>
      </w:r>
      <w:r w:rsidR="008A74EB" w:rsidRPr="00993B55">
        <w:rPr>
          <w:rStyle w:val="libFootnoteBoldChar"/>
          <w:rtl/>
        </w:rPr>
        <w:t>الوافي</w:t>
      </w:r>
      <w:r w:rsidR="008A74EB" w:rsidRPr="00C9040A">
        <w:rPr>
          <w:rtl/>
        </w:rPr>
        <w:t xml:space="preserve"> ، ج 5 ، ص 514 ، ح 2469 ؛ </w:t>
      </w:r>
      <w:r w:rsidR="008A74EB" w:rsidRPr="00993B55">
        <w:rPr>
          <w:rStyle w:val="libFootnoteBoldChar"/>
          <w:rtl/>
        </w:rPr>
        <w:t>البحار</w:t>
      </w:r>
      <w:r w:rsidR="008A74EB" w:rsidRPr="00C9040A">
        <w:rPr>
          <w:rtl/>
        </w:rPr>
        <w:t xml:space="preserve"> ، ج 74 ، ص 131 ، ح 97.</w:t>
      </w:r>
    </w:p>
    <w:p w:rsidR="008A74EB" w:rsidRPr="00C9040A" w:rsidRDefault="006C577F" w:rsidP="004A4E41">
      <w:pPr>
        <w:pStyle w:val="libFootnote0"/>
        <w:rPr>
          <w:rtl/>
          <w:lang w:bidi="fa-IR"/>
        </w:rPr>
      </w:pPr>
      <w:r>
        <w:rPr>
          <w:rtl/>
        </w:rPr>
        <w:t>(4).</w:t>
      </w:r>
      <w:r w:rsidR="008A74EB" w:rsidRPr="00C9040A">
        <w:rPr>
          <w:rtl/>
        </w:rPr>
        <w:t xml:space="preserve"> في تحف العقول : « إخوانكم »</w:t>
      </w:r>
      <w:r w:rsidR="008A74EB">
        <w:rPr>
          <w:rtl/>
        </w:rPr>
        <w:t>.</w:t>
      </w:r>
    </w:p>
    <w:p w:rsidR="008A74EB" w:rsidRPr="00C9040A" w:rsidRDefault="006C577F" w:rsidP="0060102D">
      <w:pPr>
        <w:pStyle w:val="libFootnote0"/>
        <w:rPr>
          <w:rtl/>
          <w:lang w:bidi="fa-IR"/>
        </w:rPr>
      </w:pPr>
      <w:r>
        <w:rPr>
          <w:rtl/>
        </w:rPr>
        <w:t>(5).</w:t>
      </w:r>
      <w:r w:rsidR="008A74EB" w:rsidRPr="00C9040A">
        <w:rPr>
          <w:rtl/>
        </w:rPr>
        <w:t xml:space="preserve"> </w:t>
      </w:r>
      <w:r w:rsidR="008A74EB" w:rsidRPr="00993B55">
        <w:rPr>
          <w:rStyle w:val="libFootnoteBoldChar"/>
          <w:rtl/>
        </w:rPr>
        <w:t>تحف العقول</w:t>
      </w:r>
      <w:r w:rsidR="008A74EB" w:rsidRPr="00C9040A">
        <w:rPr>
          <w:rtl/>
        </w:rPr>
        <w:t xml:space="preserve"> ، ص 376</w:t>
      </w:r>
      <w:r w:rsidR="0060102D">
        <w:rPr>
          <w:rFonts w:hint="cs"/>
          <w:rtl/>
        </w:rPr>
        <w:t>.</w:t>
      </w:r>
      <w:r w:rsidR="008A74EB" w:rsidRPr="00C9040A">
        <w:rPr>
          <w:rtl/>
        </w:rPr>
        <w:t xml:space="preserve">الوافي ، ج 5 ، ص 507 ، ح 2446 ؛ </w:t>
      </w:r>
      <w:r w:rsidR="008A74EB" w:rsidRPr="00993B55">
        <w:rPr>
          <w:rStyle w:val="libFootnoteBoldChar"/>
          <w:rtl/>
        </w:rPr>
        <w:t>الوسائل</w:t>
      </w:r>
      <w:r w:rsidR="008A74EB" w:rsidRPr="00C9040A">
        <w:rPr>
          <w:rtl/>
        </w:rPr>
        <w:t xml:space="preserve"> ، ج 21 ، ص 539 ، ح 27804 ؛ </w:t>
      </w:r>
      <w:r w:rsidR="008A74EB" w:rsidRPr="00993B55">
        <w:rPr>
          <w:rStyle w:val="libFootnoteBoldChar"/>
          <w:rtl/>
        </w:rPr>
        <w:t>البحار</w:t>
      </w:r>
      <w:r w:rsidR="008A74EB" w:rsidRPr="00C9040A">
        <w:rPr>
          <w:rtl/>
        </w:rPr>
        <w:t xml:space="preserve"> ، ج 74 ، ص 131 ، ح 98.</w:t>
      </w:r>
    </w:p>
    <w:p w:rsidR="008A74EB" w:rsidRPr="00C9040A" w:rsidRDefault="006C577F" w:rsidP="0060102D">
      <w:pPr>
        <w:pStyle w:val="libFootnote0"/>
        <w:rPr>
          <w:rtl/>
          <w:lang w:bidi="fa-IR"/>
        </w:rPr>
      </w:pPr>
      <w:r>
        <w:rPr>
          <w:rtl/>
        </w:rPr>
        <w:t>(6).</w:t>
      </w:r>
      <w:r w:rsidR="008A74EB">
        <w:rPr>
          <w:rtl/>
        </w:rPr>
        <w:t xml:space="preserve"> </w:t>
      </w:r>
      <w:r w:rsidR="008A74EB" w:rsidRPr="00C9040A">
        <w:rPr>
          <w:rtl/>
        </w:rPr>
        <w:t xml:space="preserve">الصرع : الطرح على الأرض ، ومصارع السوء كناية عن الوقوع في البلايا العظيمة. راجع : </w:t>
      </w:r>
      <w:r w:rsidR="008A74EB" w:rsidRPr="00993B55">
        <w:rPr>
          <w:rStyle w:val="libFootnoteBoldChar"/>
          <w:rtl/>
        </w:rPr>
        <w:t>القاموس المحيط</w:t>
      </w:r>
      <w:r w:rsidR="008A74EB" w:rsidRPr="00C9040A">
        <w:rPr>
          <w:rtl/>
        </w:rPr>
        <w:t xml:space="preserve"> ، ج 2 ، ص 988 ( صرع )</w:t>
      </w:r>
      <w:r w:rsidR="008A74EB">
        <w:rPr>
          <w:rtl/>
        </w:rPr>
        <w:t>.</w:t>
      </w:r>
      <w:r w:rsidR="0060102D">
        <w:rPr>
          <w:rFonts w:hint="cs"/>
          <w:rtl/>
        </w:rPr>
        <w:t xml:space="preserve">                                         </w:t>
      </w:r>
      <w:r>
        <w:rPr>
          <w:rtl/>
        </w:rPr>
        <w:t>(7).</w:t>
      </w:r>
      <w:r w:rsidR="008A74EB" w:rsidRPr="00C9040A">
        <w:rPr>
          <w:rtl/>
        </w:rPr>
        <w:t xml:space="preserve"> في حاشية«ف»:«السرّ»</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w:t>
      </w:r>
      <w:r w:rsidR="008A74EB" w:rsidRPr="00993B55">
        <w:rPr>
          <w:rStyle w:val="libFootnoteBoldChar"/>
          <w:rtl/>
        </w:rPr>
        <w:t>الزهد</w:t>
      </w:r>
      <w:r w:rsidR="008A74EB" w:rsidRPr="00C9040A">
        <w:rPr>
          <w:rtl/>
        </w:rPr>
        <w:t xml:space="preserve"> ، ص 104 ، ح 102 ، عن القاسم ، عن عبد الصمد بن بشير ، عن معاوية ، عن أبي عبد الله </w:t>
      </w:r>
      <w:r w:rsidR="00117575" w:rsidRPr="00117575">
        <w:rPr>
          <w:rStyle w:val="libFootnoteAlaemChar"/>
          <w:rtl/>
        </w:rPr>
        <w:t>عليه‌السلام</w:t>
      </w:r>
      <w:r w:rsidR="008A74EB" w:rsidRPr="00C9040A">
        <w:rPr>
          <w:rtl/>
        </w:rPr>
        <w:t xml:space="preserve"> ، وتمام الرواية : « إنّ صلة الرحم تهوّن الحساب يوم القيامة ، ثمّ قرأ : </w:t>
      </w:r>
      <w:r w:rsidR="008A74EB" w:rsidRPr="0060102D">
        <w:rPr>
          <w:rStyle w:val="libFootnoteAlaemChar"/>
          <w:rtl/>
        </w:rPr>
        <w:t>(</w:t>
      </w:r>
      <w:r w:rsidR="008A74EB" w:rsidRPr="00883DD5">
        <w:rPr>
          <w:rStyle w:val="libFootnoteAieChar"/>
          <w:rFonts w:hint="cs"/>
          <w:rtl/>
        </w:rPr>
        <w:t xml:space="preserve"> </w:t>
      </w:r>
      <w:r w:rsidR="008A74EB" w:rsidRPr="00883DD5">
        <w:rPr>
          <w:rStyle w:val="libFootnoteAieChar"/>
          <w:rtl/>
        </w:rPr>
        <w:t>يَصِلُونَ م</w:t>
      </w:r>
      <w:r w:rsidR="00BC3000">
        <w:rPr>
          <w:rStyle w:val="libFootnoteAieChar"/>
          <w:rFonts w:hint="cs"/>
          <w:rtl/>
        </w:rPr>
        <w:t>َ</w:t>
      </w:r>
      <w:r w:rsidR="008A74EB" w:rsidRPr="00883DD5">
        <w:rPr>
          <w:rStyle w:val="libFootnoteAieChar"/>
          <w:rtl/>
        </w:rPr>
        <w:t>ا أَمَرَ اللهُ بِهِ أَنْ يُوصَلَ ...</w:t>
      </w:r>
      <w:r w:rsidR="008A74EB" w:rsidRPr="00883DD5">
        <w:rPr>
          <w:rStyle w:val="libFootnoteAieChar"/>
          <w:rFonts w:hint="cs"/>
          <w:rtl/>
        </w:rPr>
        <w:t xml:space="preserve"> </w:t>
      </w:r>
      <w:r w:rsidR="008A74EB" w:rsidRPr="0060102D">
        <w:rPr>
          <w:rStyle w:val="libFootnoteAlaemChar"/>
          <w:rtl/>
        </w:rPr>
        <w:t>)</w:t>
      </w:r>
      <w:r w:rsidR="008A74EB" w:rsidRPr="00C9040A">
        <w:rPr>
          <w:rtl/>
        </w:rPr>
        <w:t xml:space="preserve"> [ الرعد (13) : 21 ]</w:t>
      </w:r>
      <w:r w:rsidR="008A74EB">
        <w:rPr>
          <w:rtl/>
        </w:rPr>
        <w:t>.</w:t>
      </w:r>
      <w:r w:rsidR="008A74EB" w:rsidRPr="00C9040A">
        <w:rPr>
          <w:rtl/>
        </w:rPr>
        <w:t xml:space="preserve"> </w:t>
      </w:r>
      <w:r w:rsidR="008A74EB" w:rsidRPr="00993B55">
        <w:rPr>
          <w:rStyle w:val="libFootnoteBoldChar"/>
          <w:rtl/>
        </w:rPr>
        <w:t>الأمالي</w:t>
      </w:r>
      <w:r w:rsidR="008A74EB" w:rsidRPr="00C9040A">
        <w:rPr>
          <w:rtl/>
        </w:rPr>
        <w:t xml:space="preserve"> للطوسي ، ص 480 ، المجلس 17 ، ذيل ح 18 ، بسند آخر عن أبي عبد الله ، عن آبائه </w:t>
      </w:r>
      <w:r w:rsidR="00117575" w:rsidRPr="00117575">
        <w:rPr>
          <w:rStyle w:val="libFootnoteAlaemChar"/>
          <w:rtl/>
        </w:rPr>
        <w:t>عليهم‌السلام</w:t>
      </w:r>
      <w:r w:rsidR="00BC3000">
        <w:rPr>
          <w:rtl/>
        </w:rPr>
        <w:t xml:space="preserve"> عن</w:t>
      </w:r>
      <w:r w:rsidR="00BC3000">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20239C">
        <w:rPr>
          <w:rtl/>
        </w:rPr>
        <w:t>2006</w:t>
      </w:r>
      <w:r w:rsidRPr="00261CB0">
        <w:rPr>
          <w:rStyle w:val="libBold2Char"/>
          <w:rtl/>
        </w:rPr>
        <w:t xml:space="preserve"> / 33.</w:t>
      </w:r>
      <w:r w:rsidRPr="00C9040A">
        <w:rPr>
          <w:rtl/>
          <w:lang w:bidi="fa-IR"/>
        </w:rPr>
        <w:t xml:space="preserve"> عَلِيٌّ ، عَنْ أَبِيهِ ، عَنِ ابْنِ أَبِي عُمَيْرٍ ، عَنْ حُسَيْنِ بْنِ عُثْمَانَ ، عَمَّنْ ذَكَرَهُ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إِنَّ صِلَةَ الرَّحِمِ تُزَكِّي </w:t>
      </w:r>
      <w:r w:rsidR="006C577F" w:rsidRPr="006C577F">
        <w:rPr>
          <w:rStyle w:val="libFootnotenumChar"/>
          <w:rtl/>
        </w:rPr>
        <w:t>(1)</w:t>
      </w:r>
      <w:r w:rsidRPr="00C9040A">
        <w:rPr>
          <w:rtl/>
          <w:lang w:bidi="fa-IR"/>
        </w:rPr>
        <w:t xml:space="preserve"> الْأَعْمَالَ ، وَتُنْمِي الْأَمْوَالَ ، وَتُيَسِّرُ الْحِسَابَ ، وَتَدْفَعُ الْبَلْوى ، وَتَزِيدُ فِي الرِّزْقِ </w:t>
      </w:r>
      <w:r w:rsidR="006C577F" w:rsidRPr="006C577F">
        <w:rPr>
          <w:rStyle w:val="libFootnotenumChar"/>
          <w:rtl/>
        </w:rPr>
        <w:t>(2)</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Heading2Center"/>
        <w:rPr>
          <w:rtl/>
          <w:lang w:bidi="fa-IR"/>
        </w:rPr>
      </w:pPr>
      <w:bookmarkStart w:id="217" w:name="_Toc343795660"/>
      <w:bookmarkStart w:id="218" w:name="_Toc459810784"/>
      <w:bookmarkStart w:id="219" w:name="_Toc35348690"/>
      <w:r w:rsidRPr="00C9040A">
        <w:rPr>
          <w:rtl/>
          <w:lang w:bidi="fa-IR"/>
        </w:rPr>
        <w:t>69</w:t>
      </w:r>
      <w:r>
        <w:rPr>
          <w:rtl/>
          <w:lang w:bidi="fa-IR"/>
        </w:rPr>
        <w:t xml:space="preserve"> </w:t>
      </w:r>
      <w:r w:rsidR="0084262C">
        <w:rPr>
          <w:rtl/>
          <w:lang w:bidi="fa-IR"/>
        </w:rPr>
        <w:t>-</w:t>
      </w:r>
      <w:r>
        <w:rPr>
          <w:rtl/>
          <w:lang w:bidi="fa-IR"/>
        </w:rPr>
        <w:t xml:space="preserve"> </w:t>
      </w:r>
      <w:r w:rsidRPr="00C9040A">
        <w:rPr>
          <w:rtl/>
          <w:lang w:bidi="fa-IR"/>
        </w:rPr>
        <w:t>بَابُ الْبِرِّ بِالْوَالِدَيْنِ‌</w:t>
      </w:r>
      <w:bookmarkEnd w:id="217"/>
      <w:bookmarkEnd w:id="218"/>
      <w:bookmarkEnd w:id="219"/>
    </w:p>
    <w:p w:rsidR="00BC3000" w:rsidRDefault="008A74EB" w:rsidP="00BC3000">
      <w:pPr>
        <w:pStyle w:val="libNormal"/>
        <w:rPr>
          <w:rtl/>
          <w:lang w:bidi="fa-IR"/>
        </w:rPr>
      </w:pPr>
      <w:r w:rsidRPr="0020239C">
        <w:rPr>
          <w:rtl/>
        </w:rPr>
        <w:t>2007</w:t>
      </w:r>
      <w:r w:rsidRPr="00261CB0">
        <w:rPr>
          <w:rStyle w:val="libBold2Char"/>
          <w:rtl/>
        </w:rPr>
        <w:t xml:space="preserve"> / 1.</w:t>
      </w:r>
      <w:r w:rsidRPr="00C9040A">
        <w:rPr>
          <w:rtl/>
          <w:lang w:bidi="fa-IR"/>
        </w:rPr>
        <w:t xml:space="preserve"> مُحَمَّدُ بْنُ يَحْيى ، عَنْ أَحْمَدَ بْنِ مُحَمَّدِ بْنِ عِيسى ؛</w:t>
      </w:r>
    </w:p>
    <w:p w:rsidR="008A74EB" w:rsidRPr="00C9040A" w:rsidRDefault="008A74EB" w:rsidP="00BC3000">
      <w:pPr>
        <w:pStyle w:val="libNormal"/>
        <w:rPr>
          <w:rtl/>
          <w:lang w:bidi="fa-IR"/>
        </w:rPr>
      </w:pPr>
      <w:r w:rsidRPr="00C9040A">
        <w:rPr>
          <w:rtl/>
          <w:lang w:bidi="fa-IR"/>
        </w:rPr>
        <w:t>وَعَلِيُّ بْنُ إِبْرَاهِيمَ ، عَنْ أَبِيهِ جَمِيعاً ، عَنِ الْحَسَنِ بْنِ مَحْبُوبٍ ، عَنْ أ</w:t>
      </w:r>
      <w:r w:rsidR="00BC3000">
        <w:rPr>
          <w:rtl/>
          <w:lang w:bidi="fa-IR"/>
        </w:rPr>
        <w:t>َبِي وَل</w:t>
      </w:r>
      <w:r w:rsidR="00BC3000">
        <w:rPr>
          <w:rFonts w:hint="cs"/>
          <w:rtl/>
          <w:lang w:bidi="fa-IR"/>
        </w:rPr>
        <w:t>َّ</w:t>
      </w:r>
      <w:r w:rsidR="00BC3000">
        <w:rPr>
          <w:rtl/>
          <w:lang w:bidi="fa-IR"/>
        </w:rPr>
        <w:t>ا</w:t>
      </w:r>
      <w:r w:rsidRPr="00C9040A">
        <w:rPr>
          <w:rtl/>
          <w:lang w:bidi="fa-IR"/>
        </w:rPr>
        <w:t>دٍ الْحَنَّاطِ ، قَالَ :</w:t>
      </w:r>
    </w:p>
    <w:p w:rsidR="008A74EB" w:rsidRPr="00C9040A" w:rsidRDefault="008A74EB" w:rsidP="008A74EB">
      <w:pPr>
        <w:pStyle w:val="libNormal"/>
        <w:rPr>
          <w:rtl/>
          <w:lang w:bidi="fa-IR"/>
        </w:rPr>
      </w:pPr>
      <w:r w:rsidRPr="00C9040A">
        <w:rPr>
          <w:rtl/>
          <w:lang w:bidi="fa-IR"/>
        </w:rPr>
        <w:t xml:space="preserve">سَأَلْتُ أَبَا عَبْدِ اللهِ </w:t>
      </w:r>
      <w:r w:rsidRPr="0003660B">
        <w:rPr>
          <w:rStyle w:val="libAlaemChar"/>
          <w:rtl/>
        </w:rPr>
        <w:t>عليه‌السلام</w:t>
      </w:r>
      <w:r w:rsidRPr="00C9040A">
        <w:rPr>
          <w:rtl/>
          <w:lang w:bidi="fa-IR"/>
        </w:rPr>
        <w:t xml:space="preserve"> عَنْ قَوْلِ اللهِ عَزَّ وَجَلَّ : </w:t>
      </w:r>
      <w:r w:rsidRPr="0003660B">
        <w:rPr>
          <w:rStyle w:val="libAlaemChar"/>
          <w:rtl/>
        </w:rPr>
        <w:t>(</w:t>
      </w:r>
      <w:r w:rsidRPr="006A2246">
        <w:rPr>
          <w:rStyle w:val="libAieChar"/>
          <w:rtl/>
        </w:rPr>
        <w:t xml:space="preserve"> وَبِالْوالِدَيْنِ إِحْساناً </w:t>
      </w:r>
      <w:r w:rsidRPr="0003660B">
        <w:rPr>
          <w:rStyle w:val="libAlaemChar"/>
          <w:rtl/>
        </w:rPr>
        <w:t>)</w:t>
      </w:r>
      <w:r w:rsidRPr="00C9040A">
        <w:rPr>
          <w:rtl/>
          <w:lang w:bidi="fa-IR"/>
        </w:rPr>
        <w:t xml:space="preserve"> </w:t>
      </w:r>
      <w:r w:rsidR="006C577F" w:rsidRPr="006C577F">
        <w:rPr>
          <w:rStyle w:val="libFootnotenumChar"/>
          <w:rtl/>
        </w:rPr>
        <w:t>(4)</w:t>
      </w:r>
      <w:r w:rsidRPr="00C9040A">
        <w:rPr>
          <w:rtl/>
          <w:lang w:bidi="fa-IR"/>
        </w:rPr>
        <w:t xml:space="preserve"> : مَا هذَا الْإِحْسَانُ</w:t>
      </w:r>
      <w:r>
        <w:rPr>
          <w:rtl/>
          <w:lang w:bidi="fa-IR"/>
        </w:rPr>
        <w:t>؟</w:t>
      </w:r>
    </w:p>
    <w:p w:rsidR="008A74EB" w:rsidRPr="00C9040A" w:rsidRDefault="008A74EB" w:rsidP="008A74EB">
      <w:pPr>
        <w:pStyle w:val="libNormal"/>
        <w:rPr>
          <w:rtl/>
          <w:lang w:bidi="fa-IR"/>
        </w:rPr>
      </w:pPr>
      <w:r w:rsidRPr="00C9040A">
        <w:rPr>
          <w:rtl/>
          <w:lang w:bidi="fa-IR"/>
        </w:rPr>
        <w:t>فَقَالَ : « الْإِحْسَانُ أَنْ تُحْسِنَ صُحْبَتَهُمَا ، وَأَنْ لَاتُكَلِّفَهُمَا أَنْ يَسْأَلَاكَ شَيْئاً مِمَّا يَحْتَاجَانِ إِلَيْهِ وَإِ</w:t>
      </w:r>
      <w:r>
        <w:rPr>
          <w:rtl/>
          <w:lang w:bidi="fa-IR"/>
        </w:rPr>
        <w:t>نْ كَانَا مُسْتَغْنِيَيْنِ ؛ أَ</w:t>
      </w:r>
      <w:r w:rsidRPr="00C9040A">
        <w:rPr>
          <w:rtl/>
          <w:lang w:bidi="fa-IR"/>
        </w:rPr>
        <w:t xml:space="preserve">لَيْسَ يَقُولُ اللهُ عَزَّ وَجَلَّ : </w:t>
      </w:r>
      <w:r w:rsidRPr="0003660B">
        <w:rPr>
          <w:rStyle w:val="libAlaemChar"/>
          <w:rtl/>
        </w:rPr>
        <w:t>(</w:t>
      </w:r>
      <w:r w:rsidRPr="006A2246">
        <w:rPr>
          <w:rStyle w:val="libAieChar"/>
          <w:rtl/>
        </w:rPr>
        <w:t xml:space="preserve"> لَنْ تَنالُوا الْبِرَّ حَتّى تُنْفِقُوا مِمّا تُحِبُّونَ </w:t>
      </w:r>
      <w:r w:rsidRPr="0003660B">
        <w:rPr>
          <w:rStyle w:val="libAlaemChar"/>
          <w:rtl/>
        </w:rPr>
        <w:t>)</w:t>
      </w:r>
      <w:r w:rsidRPr="00C9040A">
        <w:rPr>
          <w:rtl/>
          <w:lang w:bidi="fa-IR"/>
        </w:rPr>
        <w:t xml:space="preserve"> </w:t>
      </w:r>
      <w:r w:rsidR="006C577F" w:rsidRPr="006C577F">
        <w:rPr>
          <w:rStyle w:val="libFootnotenumChar"/>
          <w:rtl/>
        </w:rPr>
        <w:t>(5)</w:t>
      </w:r>
      <w:r w:rsidRPr="00C9040A">
        <w:rPr>
          <w:rtl/>
          <w:lang w:bidi="fa-IR"/>
        </w:rPr>
        <w:t xml:space="preserve"> »</w:t>
      </w:r>
      <w:r>
        <w:rPr>
          <w:rtl/>
          <w:lang w:bidi="fa-IR"/>
        </w:rPr>
        <w:t>.</w:t>
      </w:r>
    </w:p>
    <w:p w:rsidR="008A74EB" w:rsidRPr="00C9040A" w:rsidRDefault="008A74EB" w:rsidP="008A74EB">
      <w:pPr>
        <w:pStyle w:val="libLine"/>
        <w:rPr>
          <w:rtl/>
          <w:lang w:bidi="fa-IR"/>
        </w:rPr>
      </w:pPr>
      <w:r w:rsidRPr="00C9040A">
        <w:rPr>
          <w:rtl/>
          <w:lang w:bidi="fa-IR"/>
        </w:rPr>
        <w:t>__________________</w:t>
      </w:r>
    </w:p>
    <w:p w:rsidR="008A74EB" w:rsidRPr="00C9040A" w:rsidRDefault="00BC3000" w:rsidP="004A4E41">
      <w:pPr>
        <w:pStyle w:val="libFootnote0"/>
        <w:rPr>
          <w:rtl/>
          <w:lang w:bidi="fa-IR"/>
        </w:rPr>
      </w:pPr>
      <w:r>
        <w:rPr>
          <w:rFonts w:hint="cs"/>
          <w:rtl/>
        </w:rPr>
        <w:t xml:space="preserve">= </w:t>
      </w:r>
      <w:r w:rsidR="008A74EB" w:rsidRPr="00C9040A">
        <w:rPr>
          <w:rtl/>
        </w:rPr>
        <w:t xml:space="preserve">رسول الله </w:t>
      </w:r>
      <w:r w:rsidR="004A4E41" w:rsidRPr="00BC3000">
        <w:rPr>
          <w:rStyle w:val="libFootnoteAlaemChar"/>
          <w:rtl/>
        </w:rPr>
        <w:t>صلى‌الله‌عليه‌وآله</w:t>
      </w:r>
      <w:r w:rsidR="008A74EB" w:rsidRPr="00C9040A">
        <w:rPr>
          <w:rtl/>
        </w:rPr>
        <w:t xml:space="preserve"> ، وتمام الرواية فيه : « صلة الرحم تهوّن الحساب وتقي ميتة السوء »</w:t>
      </w:r>
      <w:r w:rsidR="008A74EB">
        <w:rPr>
          <w:rtl/>
        </w:rPr>
        <w:t>.</w:t>
      </w:r>
      <w:r w:rsidR="008A74EB" w:rsidRPr="00C9040A">
        <w:rPr>
          <w:rtl/>
        </w:rPr>
        <w:t xml:space="preserve"> وراجع : </w:t>
      </w:r>
      <w:r w:rsidR="008A74EB" w:rsidRPr="00993B55">
        <w:rPr>
          <w:rStyle w:val="libFootnoteBoldChar"/>
          <w:rtl/>
        </w:rPr>
        <w:t>الكافي</w:t>
      </w:r>
      <w:r w:rsidR="008A74EB" w:rsidRPr="00C9040A">
        <w:rPr>
          <w:rtl/>
        </w:rPr>
        <w:t xml:space="preserve"> ، كتاب الزكاة ، باب صدقة الليل ، ح 6027 ؛ و</w:t>
      </w:r>
      <w:r w:rsidR="008A74EB" w:rsidRPr="00993B55">
        <w:rPr>
          <w:rStyle w:val="libFootnoteBoldChar"/>
          <w:rtl/>
        </w:rPr>
        <w:t>التهذيب</w:t>
      </w:r>
      <w:r w:rsidR="008A74EB" w:rsidRPr="00C9040A">
        <w:rPr>
          <w:rtl/>
        </w:rPr>
        <w:t xml:space="preserve"> ، ج 4 ، ص 105 ، ح 300 ؛ و</w:t>
      </w:r>
      <w:r w:rsidR="008A74EB" w:rsidRPr="00993B55">
        <w:rPr>
          <w:rStyle w:val="libFootnoteBoldChar"/>
          <w:rtl/>
        </w:rPr>
        <w:t>الزهد</w:t>
      </w:r>
      <w:r w:rsidR="008A74EB" w:rsidRPr="00C9040A">
        <w:rPr>
          <w:rtl/>
        </w:rPr>
        <w:t xml:space="preserve"> ، ص 104 ، ح 104 ؛ و</w:t>
      </w:r>
      <w:r w:rsidR="008A74EB" w:rsidRPr="0034021D">
        <w:rPr>
          <w:rStyle w:val="libFootnoteBoldChar"/>
          <w:rtl/>
        </w:rPr>
        <w:t>الأمالي للصدوق</w:t>
      </w:r>
      <w:r w:rsidR="008A74EB" w:rsidRPr="00C9040A">
        <w:rPr>
          <w:rtl/>
        </w:rPr>
        <w:t xml:space="preserve"> ، ص 367 ، المجلس 58 ، ح 15 ؛ و</w:t>
      </w:r>
      <w:r w:rsidR="008A74EB" w:rsidRPr="00993B55">
        <w:rPr>
          <w:rStyle w:val="libFootnoteBoldChar"/>
          <w:rtl/>
        </w:rPr>
        <w:t>ثواب الأعمال</w:t>
      </w:r>
      <w:r w:rsidR="008A74EB" w:rsidRPr="00C9040A">
        <w:rPr>
          <w:rtl/>
        </w:rPr>
        <w:t xml:space="preserve"> ، ص 172 ، ح 1 ؛ و</w:t>
      </w:r>
      <w:r w:rsidR="008A74EB" w:rsidRPr="00993B55">
        <w:rPr>
          <w:rStyle w:val="libFootnoteBoldChar"/>
          <w:rtl/>
        </w:rPr>
        <w:t>تفسير العيّاشي</w:t>
      </w:r>
      <w:r w:rsidR="008A74EB" w:rsidRPr="00C9040A">
        <w:rPr>
          <w:rtl/>
        </w:rPr>
        <w:t xml:space="preserve"> ، ج 2 ، ص 107 ، ح 114 </w:t>
      </w:r>
      <w:r w:rsidR="00377307">
        <w:rPr>
          <w:rFonts w:hint="cs"/>
          <w:rtl/>
        </w:rPr>
        <w:t>.</w:t>
      </w:r>
      <w:r w:rsidR="008A74EB" w:rsidRPr="00993B55">
        <w:rPr>
          <w:rStyle w:val="libFootnoteBoldChar"/>
          <w:rtl/>
        </w:rPr>
        <w:t>الوافي</w:t>
      </w:r>
      <w:r w:rsidR="008A74EB" w:rsidRPr="00C9040A">
        <w:rPr>
          <w:rtl/>
        </w:rPr>
        <w:t xml:space="preserve"> ، ج 5 ، ص 507 ، ح 2447 ؛ </w:t>
      </w:r>
      <w:r w:rsidR="008A74EB" w:rsidRPr="00993B55">
        <w:rPr>
          <w:rStyle w:val="libFootnoteBoldChar"/>
          <w:rtl/>
        </w:rPr>
        <w:t>البحار</w:t>
      </w:r>
      <w:r w:rsidR="008A74EB" w:rsidRPr="00C9040A">
        <w:rPr>
          <w:rtl/>
        </w:rPr>
        <w:t xml:space="preserve"> ، ج 74 ، ص 132 ، ح 99.</w:t>
      </w:r>
    </w:p>
    <w:tbl>
      <w:tblPr>
        <w:tblStyle w:val="TableGrid"/>
        <w:bidiVisual/>
        <w:tblW w:w="0" w:type="auto"/>
        <w:tblLook w:val="04A0" w:firstRow="1" w:lastRow="0" w:firstColumn="1" w:lastColumn="0" w:noHBand="0" w:noVBand="1"/>
      </w:tblPr>
      <w:tblGrid>
        <w:gridCol w:w="4006"/>
        <w:gridCol w:w="4006"/>
      </w:tblGrid>
      <w:tr w:rsidR="006051ED" w:rsidTr="006051ED">
        <w:tc>
          <w:tcPr>
            <w:tcW w:w="4006" w:type="dxa"/>
          </w:tcPr>
          <w:p w:rsidR="006051ED" w:rsidRDefault="006051ED" w:rsidP="004A4E41">
            <w:pPr>
              <w:pStyle w:val="libFootnote0"/>
              <w:rPr>
                <w:rtl/>
              </w:rPr>
            </w:pPr>
            <w:r>
              <w:rPr>
                <w:rtl/>
              </w:rPr>
              <w:t xml:space="preserve">(1). </w:t>
            </w:r>
            <w:r w:rsidRPr="00C9040A">
              <w:rPr>
                <w:rtl/>
              </w:rPr>
              <w:t>في « بر » : « تزكى » على بناء الإفعال.</w:t>
            </w:r>
          </w:p>
        </w:tc>
        <w:tc>
          <w:tcPr>
            <w:tcW w:w="4006" w:type="dxa"/>
          </w:tcPr>
          <w:p w:rsidR="006051ED" w:rsidRDefault="006051ED" w:rsidP="004A4E41">
            <w:pPr>
              <w:pStyle w:val="libFootnote0"/>
              <w:rPr>
                <w:rtl/>
              </w:rPr>
            </w:pPr>
            <w:r>
              <w:rPr>
                <w:rtl/>
              </w:rPr>
              <w:t xml:space="preserve">(2). </w:t>
            </w:r>
            <w:r w:rsidRPr="00C9040A">
              <w:rPr>
                <w:rtl/>
              </w:rPr>
              <w:t>في الزهد : « في العمر »</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w:t>
      </w:r>
      <w:r w:rsidR="008A74EB" w:rsidRPr="00993B55">
        <w:rPr>
          <w:rStyle w:val="libFootnoteBoldChar"/>
          <w:rtl/>
        </w:rPr>
        <w:t>الزهد</w:t>
      </w:r>
      <w:r w:rsidR="008A74EB" w:rsidRPr="00C9040A">
        <w:rPr>
          <w:rtl/>
        </w:rPr>
        <w:t xml:space="preserve"> ، ص 100 ، ح 92 ، عن ابن أبي عمير ، عن حسين ، عن عثمان ، عمّن ذكره. </w:t>
      </w:r>
      <w:r w:rsidR="008A74EB" w:rsidRPr="00993B55">
        <w:rPr>
          <w:rStyle w:val="libFootnoteBoldChar"/>
          <w:rtl/>
        </w:rPr>
        <w:t>الكافي</w:t>
      </w:r>
      <w:r w:rsidR="008A74EB" w:rsidRPr="00C9040A">
        <w:rPr>
          <w:rtl/>
        </w:rPr>
        <w:t xml:space="preserve"> ، كتاب الإيمان والكفر ، باب صلة الرحم ، ح 1977 ، بسند آخر عن أبي جعفر </w:t>
      </w:r>
      <w:r w:rsidR="00117575" w:rsidRPr="00117575">
        <w:rPr>
          <w:rStyle w:val="libFootnoteAlaemChar"/>
          <w:rtl/>
        </w:rPr>
        <w:t xml:space="preserve">عليه‌السلام </w:t>
      </w:r>
      <w:r w:rsidR="008A74EB" w:rsidRPr="00C9040A">
        <w:rPr>
          <w:rtl/>
        </w:rPr>
        <w:t xml:space="preserve">، وفيهما مع اختلاف يسير. </w:t>
      </w:r>
      <w:r w:rsidR="008A74EB" w:rsidRPr="00993B55">
        <w:rPr>
          <w:rStyle w:val="libFootnoteBoldChar"/>
          <w:rtl/>
        </w:rPr>
        <w:t>تفسير العيّاشي</w:t>
      </w:r>
      <w:r w:rsidR="008A74EB" w:rsidRPr="00C9040A">
        <w:rPr>
          <w:rtl/>
        </w:rPr>
        <w:t xml:space="preserve"> ، ج 2 ، ص 210 ، ح 41 ، عن الحسين بن عثمان. </w:t>
      </w:r>
      <w:r w:rsidR="008A74EB" w:rsidRPr="00993B55">
        <w:rPr>
          <w:rStyle w:val="libFootnoteBoldChar"/>
          <w:rtl/>
        </w:rPr>
        <w:t>تحف العقول</w:t>
      </w:r>
      <w:r w:rsidR="008A74EB" w:rsidRPr="00C9040A">
        <w:rPr>
          <w:rtl/>
        </w:rPr>
        <w:t xml:space="preserve"> ، ص 299 ، عن أبي جعفر </w:t>
      </w:r>
      <w:r w:rsidR="00117575" w:rsidRPr="00117575">
        <w:rPr>
          <w:rStyle w:val="libFootnoteAlaemChar"/>
          <w:rtl/>
        </w:rPr>
        <w:t>عليه‌السلام</w:t>
      </w:r>
      <w:r w:rsidR="008A74EB" w:rsidRPr="00C9040A">
        <w:rPr>
          <w:rtl/>
        </w:rPr>
        <w:t xml:space="preserve"> ، مع اختلاف يسير. راجع : </w:t>
      </w:r>
      <w:r w:rsidR="008A74EB" w:rsidRPr="00993B55">
        <w:rPr>
          <w:rStyle w:val="libFootnoteBoldChar"/>
          <w:rtl/>
        </w:rPr>
        <w:t>صحيفة الرضا</w:t>
      </w:r>
      <w:r w:rsidR="008A74EB" w:rsidRPr="00C9040A">
        <w:rPr>
          <w:rtl/>
        </w:rPr>
        <w:t xml:space="preserve"> </w:t>
      </w:r>
      <w:r w:rsidR="00117575" w:rsidRPr="00117575">
        <w:rPr>
          <w:rStyle w:val="libFootnoteAlaemChar"/>
          <w:rtl/>
        </w:rPr>
        <w:t>عليه‌السلام</w:t>
      </w:r>
      <w:r w:rsidR="008A74EB" w:rsidRPr="00C9040A">
        <w:rPr>
          <w:rtl/>
        </w:rPr>
        <w:t xml:space="preserve"> ، ص 85 ، ح 196 </w:t>
      </w:r>
      <w:r w:rsidR="001E1D45">
        <w:rPr>
          <w:rFonts w:hint="cs"/>
          <w:rtl/>
        </w:rPr>
        <w:t>.</w:t>
      </w:r>
      <w:r w:rsidR="008A74EB" w:rsidRPr="00993B55">
        <w:rPr>
          <w:rStyle w:val="libFootnoteBoldChar"/>
          <w:rtl/>
        </w:rPr>
        <w:t>الوافي</w:t>
      </w:r>
      <w:r w:rsidR="008A74EB" w:rsidRPr="00C9040A">
        <w:rPr>
          <w:rtl/>
        </w:rPr>
        <w:t xml:space="preserve"> ، ج 5 ، ص 507 ، ح 2450 ؛ </w:t>
      </w:r>
      <w:r w:rsidR="008A74EB" w:rsidRPr="00993B55">
        <w:rPr>
          <w:rStyle w:val="libFootnoteBoldChar"/>
          <w:rtl/>
        </w:rPr>
        <w:t>البحار</w:t>
      </w:r>
      <w:r w:rsidR="008A74EB" w:rsidRPr="00C9040A">
        <w:rPr>
          <w:rtl/>
        </w:rPr>
        <w:t xml:space="preserve"> ، ج 74 ، ص 132 ، ح 100.</w:t>
      </w:r>
    </w:p>
    <w:p w:rsidR="008A74EB" w:rsidRPr="00C9040A" w:rsidRDefault="006C577F" w:rsidP="004A4E41">
      <w:pPr>
        <w:pStyle w:val="libFootnote0"/>
        <w:rPr>
          <w:rtl/>
          <w:lang w:bidi="fa-IR"/>
        </w:rPr>
      </w:pPr>
      <w:r>
        <w:rPr>
          <w:rtl/>
        </w:rPr>
        <w:t>(4).</w:t>
      </w:r>
      <w:r w:rsidR="008A74EB" w:rsidRPr="00C9040A">
        <w:rPr>
          <w:rtl/>
        </w:rPr>
        <w:t xml:space="preserve"> البقره </w:t>
      </w:r>
      <w:r w:rsidR="001E1D45">
        <w:rPr>
          <w:rtl/>
        </w:rPr>
        <w:t>(2)</w:t>
      </w:r>
      <w:r w:rsidR="008A74EB" w:rsidRPr="00C9040A">
        <w:rPr>
          <w:rtl/>
        </w:rPr>
        <w:t xml:space="preserve"> : 83 ؛ الإسراء (17) : 23 ومواضع ا</w:t>
      </w:r>
      <w:r w:rsidR="001E1D45">
        <w:rPr>
          <w:rFonts w:hint="cs"/>
          <w:rtl/>
        </w:rPr>
        <w:t>ُ</w:t>
      </w:r>
      <w:r w:rsidR="008A74EB" w:rsidRPr="00C9040A">
        <w:rPr>
          <w:rtl/>
        </w:rPr>
        <w:t>خر.</w:t>
      </w:r>
    </w:p>
    <w:p w:rsidR="008A74EB" w:rsidRPr="00C9040A" w:rsidRDefault="006C577F" w:rsidP="004A4E41">
      <w:pPr>
        <w:pStyle w:val="libFootnote0"/>
        <w:rPr>
          <w:rtl/>
          <w:lang w:bidi="fa-IR"/>
        </w:rPr>
      </w:pPr>
      <w:r>
        <w:rPr>
          <w:rtl/>
        </w:rPr>
        <w:t>(5).</w:t>
      </w:r>
      <w:r w:rsidR="008A74EB" w:rsidRPr="00C9040A">
        <w:rPr>
          <w:rtl/>
        </w:rPr>
        <w:t xml:space="preserve"> آل عمران </w:t>
      </w:r>
      <w:r w:rsidR="001E1D45">
        <w:rPr>
          <w:rtl/>
        </w:rPr>
        <w:t>(3)</w:t>
      </w:r>
      <w:r w:rsidR="008A74EB" w:rsidRPr="00C9040A">
        <w:rPr>
          <w:rtl/>
        </w:rPr>
        <w:t xml:space="preserve"> : 92. وفي </w:t>
      </w:r>
      <w:r w:rsidR="008A74EB" w:rsidRPr="00993B55">
        <w:rPr>
          <w:rStyle w:val="libFootnoteBoldChar"/>
          <w:rtl/>
        </w:rPr>
        <w:t>الوافي</w:t>
      </w:r>
      <w:r w:rsidR="008A74EB" w:rsidRPr="00C9040A">
        <w:rPr>
          <w:rtl/>
        </w:rPr>
        <w:t xml:space="preserve"> : « كأنّ وجه الاستشهاد بالآية الكريمة أنّه على تقدير استغنائهما عنه ، </w:t>
      </w:r>
      <w:r w:rsidR="00293E3B">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قَالَ : ثُمَّ قَالَ أَبُو عَبْدِ اللهِ </w:t>
      </w:r>
      <w:r w:rsidRPr="0003660B">
        <w:rPr>
          <w:rStyle w:val="libAlaemChar"/>
          <w:rtl/>
        </w:rPr>
        <w:t>عليه‌السلام</w:t>
      </w:r>
      <w:r w:rsidRPr="00C9040A">
        <w:rPr>
          <w:rtl/>
          <w:lang w:bidi="fa-IR"/>
        </w:rPr>
        <w:t xml:space="preserve"> : « وَأَمَّا قَوْلُ اللهِ عَزَّ وَجَلَّ </w:t>
      </w:r>
      <w:r w:rsidR="006C577F" w:rsidRPr="006C577F">
        <w:rPr>
          <w:rStyle w:val="libFootnotenumChar"/>
          <w:rtl/>
        </w:rPr>
        <w:t>(1)</w:t>
      </w:r>
      <w:r w:rsidRPr="00C9040A">
        <w:rPr>
          <w:rtl/>
          <w:lang w:bidi="fa-IR"/>
        </w:rPr>
        <w:t xml:space="preserve"> : </w:t>
      </w:r>
      <w:r w:rsidRPr="0003660B">
        <w:rPr>
          <w:rStyle w:val="libAlaemChar"/>
          <w:rtl/>
        </w:rPr>
        <w:t>(</w:t>
      </w:r>
      <w:r w:rsidRPr="006A2246">
        <w:rPr>
          <w:rStyle w:val="libAieChar"/>
          <w:rtl/>
        </w:rPr>
        <w:t xml:space="preserve"> إِمّا يَبْلُغَنَّ عِنْدَكَ الْكِبَرَ أَحَدُهُما أَوْ كِلاهُما فَلا تَقُلْ لَهُما أُفٍّ وَلا تَنْهَرْهُما </w:t>
      </w:r>
      <w:r w:rsidRPr="0003660B">
        <w:rPr>
          <w:rStyle w:val="libAlaemChar"/>
          <w:rtl/>
        </w:rPr>
        <w:t>)</w:t>
      </w:r>
      <w:r w:rsidRPr="00C9040A">
        <w:rPr>
          <w:rtl/>
          <w:lang w:bidi="fa-IR"/>
        </w:rPr>
        <w:t xml:space="preserve"> » قَالَ : « إِنْ أَضْجَرَاكَ فَلَا تَقُلْ لَهُمَا أُفٍّ ، وَلَا تَنْهَرْهُمَا إِنْ ضَرَبَاكَ »</w:t>
      </w:r>
      <w:r>
        <w:rPr>
          <w:rtl/>
          <w:lang w:bidi="fa-IR"/>
        </w:rPr>
        <w:t>.</w:t>
      </w:r>
    </w:p>
    <w:p w:rsidR="008A74EB" w:rsidRPr="00C9040A" w:rsidRDefault="008A74EB" w:rsidP="008A74EB">
      <w:pPr>
        <w:pStyle w:val="libNormal"/>
        <w:rPr>
          <w:rtl/>
          <w:lang w:bidi="fa-IR"/>
        </w:rPr>
      </w:pPr>
      <w:r w:rsidRPr="00C9040A">
        <w:rPr>
          <w:rtl/>
          <w:lang w:bidi="fa-IR"/>
        </w:rPr>
        <w:t xml:space="preserve">قَالَ : « </w:t>
      </w:r>
      <w:r w:rsidRPr="0003660B">
        <w:rPr>
          <w:rStyle w:val="libAlaemChar"/>
          <w:rtl/>
        </w:rPr>
        <w:t>(</w:t>
      </w:r>
      <w:r w:rsidRPr="006A2246">
        <w:rPr>
          <w:rStyle w:val="libAieChar"/>
          <w:rtl/>
        </w:rPr>
        <w:t xml:space="preserve"> وَقُلْ لَهُما قَوْلاً كَرِيماً </w:t>
      </w:r>
      <w:r w:rsidRPr="0003660B">
        <w:rPr>
          <w:rStyle w:val="libAlaemChar"/>
          <w:rtl/>
        </w:rPr>
        <w:t>)</w:t>
      </w:r>
      <w:r w:rsidRPr="00C9040A">
        <w:rPr>
          <w:rtl/>
          <w:lang w:bidi="fa-IR"/>
        </w:rPr>
        <w:t xml:space="preserve"> » قَالَ : « إِنْ </w:t>
      </w:r>
      <w:r w:rsidR="006C577F" w:rsidRPr="006C577F">
        <w:rPr>
          <w:rStyle w:val="libFootnotenumChar"/>
          <w:rtl/>
        </w:rPr>
        <w:t>(2)</w:t>
      </w:r>
      <w:r w:rsidRPr="00C9040A">
        <w:rPr>
          <w:rtl/>
          <w:lang w:bidi="fa-IR"/>
        </w:rPr>
        <w:t xml:space="preserve"> ضَرَبَاكَ فَقُلْ لَهُمَا </w:t>
      </w:r>
      <w:r w:rsidR="006C577F" w:rsidRPr="006C577F">
        <w:rPr>
          <w:rStyle w:val="libFootnotenumChar"/>
          <w:rtl/>
        </w:rPr>
        <w:t>(3)</w:t>
      </w:r>
      <w:r w:rsidRPr="00C9040A">
        <w:rPr>
          <w:rtl/>
          <w:lang w:bidi="fa-IR"/>
        </w:rPr>
        <w:t xml:space="preserve"> : غَفَرَ </w:t>
      </w:r>
      <w:r w:rsidR="006C577F" w:rsidRPr="006C577F">
        <w:rPr>
          <w:rStyle w:val="libFootnotenumChar"/>
          <w:rtl/>
        </w:rPr>
        <w:t>(4)</w:t>
      </w:r>
      <w:r w:rsidRPr="00C9040A">
        <w:rPr>
          <w:rtl/>
          <w:lang w:bidi="fa-IR"/>
        </w:rPr>
        <w:t xml:space="preserve"> اللهُ </w:t>
      </w:r>
      <w:r w:rsidR="006C577F" w:rsidRPr="006C577F">
        <w:rPr>
          <w:rStyle w:val="libFootnotenumChar"/>
          <w:rtl/>
        </w:rPr>
        <w:t>(5)</w:t>
      </w:r>
      <w:r w:rsidRPr="00C9040A">
        <w:rPr>
          <w:rtl/>
          <w:lang w:bidi="fa-IR"/>
        </w:rPr>
        <w:t xml:space="preserve"> لَكُمَا ، فَذلِكَ مِنْكَ قَوْلٌ كَرِيمٌ »</w:t>
      </w:r>
      <w:r>
        <w:rPr>
          <w:rtl/>
          <w:lang w:bidi="fa-IR"/>
        </w:rPr>
        <w:t>.</w:t>
      </w:r>
    </w:p>
    <w:p w:rsidR="008A74EB" w:rsidRPr="00C9040A" w:rsidRDefault="008A74EB" w:rsidP="00CF254B">
      <w:pPr>
        <w:pStyle w:val="libNormal"/>
        <w:rPr>
          <w:rtl/>
          <w:lang w:bidi="fa-IR"/>
        </w:rPr>
      </w:pPr>
      <w:r w:rsidRPr="00C9040A">
        <w:rPr>
          <w:rtl/>
          <w:lang w:bidi="fa-IR"/>
        </w:rPr>
        <w:t xml:space="preserve">قَالَ </w:t>
      </w:r>
      <w:r w:rsidR="006C577F" w:rsidRPr="006C577F">
        <w:rPr>
          <w:rStyle w:val="libFootnotenumChar"/>
          <w:rtl/>
        </w:rPr>
        <w:t>(6)</w:t>
      </w:r>
      <w:r w:rsidR="00CF254B" w:rsidRPr="00C9040A">
        <w:rPr>
          <w:rtl/>
          <w:lang w:bidi="fa-IR"/>
        </w:rPr>
        <w:t xml:space="preserve"> </w:t>
      </w:r>
      <w:r w:rsidRPr="00C9040A">
        <w:rPr>
          <w:rtl/>
          <w:lang w:bidi="fa-IR"/>
        </w:rPr>
        <w:t xml:space="preserve">: « </w:t>
      </w:r>
      <w:r w:rsidRPr="0003660B">
        <w:rPr>
          <w:rStyle w:val="libAlaemChar"/>
          <w:rtl/>
        </w:rPr>
        <w:t>(</w:t>
      </w:r>
      <w:r w:rsidRPr="006A2246">
        <w:rPr>
          <w:rStyle w:val="libAieChar"/>
          <w:rtl/>
        </w:rPr>
        <w:t xml:space="preserve"> وَاخْفِضْ لَهُما جَناحَ الذُّلِّ مِنَ الرَّحْمَةِ </w:t>
      </w:r>
      <w:r w:rsidRPr="0003660B">
        <w:rPr>
          <w:rStyle w:val="libAlaemChar"/>
          <w:rtl/>
        </w:rPr>
        <w:t>)</w:t>
      </w:r>
      <w:r w:rsidRPr="008A71F0">
        <w:rPr>
          <w:rFonts w:hint="cs"/>
          <w:rtl/>
        </w:rPr>
        <w:t xml:space="preserve"> </w:t>
      </w:r>
      <w:r w:rsidR="006C577F" w:rsidRPr="006C577F">
        <w:rPr>
          <w:rStyle w:val="libFootnotenumChar"/>
          <w:rtl/>
        </w:rPr>
        <w:t>(7)</w:t>
      </w:r>
      <w:r w:rsidRPr="00C9040A">
        <w:rPr>
          <w:rtl/>
          <w:lang w:bidi="fa-IR"/>
        </w:rPr>
        <w:t xml:space="preserve"> قَالَ : « لَا تَمْلَأْ </w:t>
      </w:r>
      <w:r w:rsidR="006C577F" w:rsidRPr="006C577F">
        <w:rPr>
          <w:rStyle w:val="libFootnotenumChar"/>
          <w:rtl/>
        </w:rPr>
        <w:t>(8)</w:t>
      </w:r>
      <w:r w:rsidRPr="00C9040A">
        <w:rPr>
          <w:rtl/>
          <w:lang w:bidi="fa-IR"/>
        </w:rPr>
        <w:t xml:space="preserve"> عَيْنَيْكَ </w:t>
      </w:r>
      <w:r w:rsidR="006C577F" w:rsidRPr="006C577F">
        <w:rPr>
          <w:rStyle w:val="libFootnotenumChar"/>
          <w:rtl/>
        </w:rPr>
        <w:t>(9)</w:t>
      </w:r>
      <w:r w:rsidRPr="00C9040A">
        <w:rPr>
          <w:rtl/>
          <w:lang w:bidi="fa-IR"/>
        </w:rPr>
        <w:t xml:space="preserve"> م</w:t>
      </w:r>
      <w:r w:rsidR="000307E4">
        <w:rPr>
          <w:rtl/>
          <w:lang w:bidi="fa-IR"/>
        </w:rPr>
        <w:t>ِنَ النَّظَرِ إِلَيْهِمَا إِل</w:t>
      </w:r>
      <w:r w:rsidR="000307E4">
        <w:rPr>
          <w:rFonts w:hint="cs"/>
          <w:rtl/>
          <w:lang w:bidi="fa-IR"/>
        </w:rPr>
        <w:t>َّ</w:t>
      </w:r>
      <w:r w:rsidR="000307E4">
        <w:rPr>
          <w:rtl/>
          <w:lang w:bidi="fa-IR"/>
        </w:rPr>
        <w:t>ا</w:t>
      </w:r>
      <w:r w:rsidRPr="00C9040A">
        <w:rPr>
          <w:rtl/>
          <w:lang w:bidi="fa-IR"/>
        </w:rPr>
        <w:t xml:space="preserve"> بِرَحْمَةٍ </w:t>
      </w:r>
      <w:r w:rsidR="006C577F" w:rsidRPr="006C577F">
        <w:rPr>
          <w:rStyle w:val="libFootnotenumChar"/>
          <w:rtl/>
        </w:rPr>
        <w:t>(10)</w:t>
      </w:r>
      <w:r w:rsidRPr="00C9040A">
        <w:rPr>
          <w:rtl/>
          <w:lang w:bidi="fa-IR"/>
        </w:rPr>
        <w:t xml:space="preserve"> وَرِقَّةٍ ، وَلَا تَرْفَعْ صَوْتَكَ فَوْقَ أَصْوَاتِهِمَا ، وَلَا يَدَكَ فَوْقَ أَيْدِيهِمَا ، وَلَا تَقَدَّمْ قُدَّامَهُمَا »</w:t>
      </w:r>
      <w:r>
        <w:rPr>
          <w:rtl/>
          <w:lang w:bidi="fa-IR"/>
        </w:rPr>
        <w:t>.</w:t>
      </w:r>
      <w:r w:rsidRPr="00C9040A">
        <w:rPr>
          <w:rtl/>
          <w:lang w:bidi="fa-IR"/>
        </w:rPr>
        <w:t xml:space="preserve"> </w:t>
      </w:r>
      <w:r w:rsidR="006C577F" w:rsidRPr="006C577F">
        <w:rPr>
          <w:rStyle w:val="libFootnotenumChar"/>
          <w:rtl/>
        </w:rPr>
        <w:t>(11)</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20569C" w:rsidP="004A4E41">
      <w:pPr>
        <w:pStyle w:val="libFootnote0"/>
        <w:rPr>
          <w:rtl/>
          <w:lang w:bidi="fa-IR"/>
        </w:rPr>
      </w:pPr>
      <w:r>
        <w:rPr>
          <w:rFonts w:hint="cs"/>
          <w:rtl/>
        </w:rPr>
        <w:t xml:space="preserve">= </w:t>
      </w:r>
      <w:r w:rsidR="008A74EB" w:rsidRPr="00C9040A">
        <w:rPr>
          <w:rtl/>
        </w:rPr>
        <w:t xml:space="preserve">لاضرورة داعية إلى قضاء حاجتهما ، كما أنّه لاضرورة داعية إلى الإنفاق من المحبوب ؛ إذ بالإنفاق من غير المحبوب أيضاً يحصل المطلوب ، </w:t>
      </w:r>
      <w:r w:rsidR="005C0017">
        <w:rPr>
          <w:rtl/>
        </w:rPr>
        <w:t>إل</w:t>
      </w:r>
      <w:r w:rsidR="005C0017">
        <w:rPr>
          <w:rFonts w:hint="cs"/>
          <w:rtl/>
        </w:rPr>
        <w:t>ّ</w:t>
      </w:r>
      <w:r w:rsidR="005C0017">
        <w:rPr>
          <w:rtl/>
        </w:rPr>
        <w:t>ا</w:t>
      </w:r>
      <w:r w:rsidR="008A74EB">
        <w:rPr>
          <w:rtl/>
        </w:rPr>
        <w:t xml:space="preserve"> أنّ</w:t>
      </w:r>
      <w:r w:rsidR="008A74EB" w:rsidRPr="00C9040A">
        <w:rPr>
          <w:rtl/>
        </w:rPr>
        <w:t xml:space="preserve"> ذلك ل</w:t>
      </w:r>
      <w:r w:rsidR="005C0017">
        <w:rPr>
          <w:rFonts w:hint="cs"/>
          <w:rtl/>
        </w:rPr>
        <w:t>ـ</w:t>
      </w:r>
      <w:r w:rsidR="008A74EB" w:rsidRPr="00C9040A">
        <w:rPr>
          <w:rtl/>
        </w:rPr>
        <w:t>مّا كان شاق</w:t>
      </w:r>
      <w:r w:rsidR="005C0017">
        <w:rPr>
          <w:rtl/>
        </w:rPr>
        <w:t>ّاً على النفس فلاينال البرّ إل</w:t>
      </w:r>
      <w:r w:rsidR="005C0017">
        <w:rPr>
          <w:rFonts w:hint="cs"/>
          <w:rtl/>
        </w:rPr>
        <w:t>ّ</w:t>
      </w:r>
      <w:r w:rsidR="005C0017">
        <w:rPr>
          <w:rtl/>
        </w:rPr>
        <w:t>ا</w:t>
      </w:r>
      <w:r w:rsidR="008A74EB" w:rsidRPr="00C9040A">
        <w:rPr>
          <w:rtl/>
        </w:rPr>
        <w:t xml:space="preserve">به </w:t>
      </w:r>
      <w:r w:rsidR="00920A88">
        <w:rPr>
          <w:rtl/>
        </w:rPr>
        <w:t>، فكذلك لاينال برّ الوالدين إل</w:t>
      </w:r>
      <w:r w:rsidR="00920A88">
        <w:rPr>
          <w:rFonts w:hint="cs"/>
          <w:rtl/>
        </w:rPr>
        <w:t>ّ</w:t>
      </w:r>
      <w:r w:rsidR="00920A88">
        <w:rPr>
          <w:rtl/>
        </w:rPr>
        <w:t>ا</w:t>
      </w:r>
      <w:r w:rsidR="008A74EB" w:rsidRPr="00C9040A">
        <w:rPr>
          <w:rtl/>
        </w:rPr>
        <w:t>بالمبادرة إلى قضاء حاجتهما قبل أن يسألاه ، وإن استغنيا عنه فإنّه أشقّ على النفس لاستلزامه التفقّد الدائم.</w:t>
      </w:r>
    </w:p>
    <w:p w:rsidR="008A74EB" w:rsidRDefault="008A74EB" w:rsidP="004A4E41">
      <w:pPr>
        <w:pStyle w:val="libFootnote0"/>
        <w:rPr>
          <w:rtl/>
        </w:rPr>
      </w:pPr>
      <w:r w:rsidRPr="0082575F">
        <w:rPr>
          <w:rtl/>
        </w:rPr>
        <w:t>ووجه آخر : وهو أنّ سرور الوالدين بالمبادرة إلى قضاء حاجتهما أكثر منه بقضائها بعد الطلب ، كما أنّ سرور المنفق عليه بإنفاق المحبوب أكثر منه بإنفاق غيره »</w:t>
      </w:r>
      <w:r>
        <w:rPr>
          <w:rtl/>
        </w:rPr>
        <w:t>.</w:t>
      </w:r>
    </w:p>
    <w:p w:rsidR="008A74EB" w:rsidRPr="00C9040A" w:rsidRDefault="006C577F" w:rsidP="00920A88">
      <w:pPr>
        <w:pStyle w:val="libFootnote0"/>
        <w:rPr>
          <w:rtl/>
          <w:lang w:bidi="fa-IR"/>
        </w:rPr>
      </w:pPr>
      <w:r>
        <w:rPr>
          <w:rtl/>
        </w:rPr>
        <w:t>(1).</w:t>
      </w:r>
      <w:r w:rsidR="008A74EB">
        <w:rPr>
          <w:rtl/>
        </w:rPr>
        <w:t xml:space="preserve"> </w:t>
      </w:r>
      <w:r w:rsidR="008A74EB" w:rsidRPr="00C9040A">
        <w:rPr>
          <w:rtl/>
        </w:rPr>
        <w:t xml:space="preserve">في « ج ، ص » </w:t>
      </w:r>
      <w:r w:rsidR="008A74EB">
        <w:rPr>
          <w:rtl/>
        </w:rPr>
        <w:t xml:space="preserve">: </w:t>
      </w:r>
      <w:r w:rsidR="0084262C">
        <w:rPr>
          <w:rtl/>
        </w:rPr>
        <w:t>-</w:t>
      </w:r>
      <w:r w:rsidR="008A74EB" w:rsidRPr="00C9040A">
        <w:rPr>
          <w:rtl/>
        </w:rPr>
        <w:t xml:space="preserve"> « </w:t>
      </w:r>
      <w:r w:rsidR="00920A88" w:rsidRPr="00920A88">
        <w:rPr>
          <w:rStyle w:val="libFootnoteAlaemChar"/>
          <w:rFonts w:hint="cs"/>
          <w:rtl/>
        </w:rPr>
        <w:t>(</w:t>
      </w:r>
      <w:r w:rsidR="008A74EB" w:rsidRPr="00920A88">
        <w:rPr>
          <w:rStyle w:val="libFootnoteAieChar"/>
          <w:rtl/>
        </w:rPr>
        <w:t xml:space="preserve"> لَن تَنَالُوا </w:t>
      </w:r>
      <w:r w:rsidR="00920A88" w:rsidRPr="00920A88">
        <w:rPr>
          <w:rStyle w:val="libFootnoteAlaemChar"/>
          <w:rFonts w:hint="cs"/>
          <w:rtl/>
        </w:rPr>
        <w:t>)</w:t>
      </w:r>
      <w:r w:rsidR="008A74EB">
        <w:rPr>
          <w:rtl/>
        </w:rPr>
        <w:t xml:space="preserve"> </w:t>
      </w:r>
      <w:r w:rsidR="0084262C">
        <w:rPr>
          <w:rtl/>
        </w:rPr>
        <w:t>-</w:t>
      </w:r>
      <w:r w:rsidR="008A74EB">
        <w:rPr>
          <w:rtl/>
        </w:rPr>
        <w:t xml:space="preserve"> </w:t>
      </w:r>
      <w:r w:rsidR="008A74EB" w:rsidRPr="00C9040A">
        <w:rPr>
          <w:rtl/>
        </w:rPr>
        <w:t>إلى</w:t>
      </w:r>
      <w:r w:rsidR="008A74EB">
        <w:rPr>
          <w:rtl/>
        </w:rPr>
        <w:t xml:space="preserve"> </w:t>
      </w:r>
      <w:r w:rsidR="0084262C">
        <w:rPr>
          <w:rtl/>
        </w:rPr>
        <w:t>-</w:t>
      </w:r>
      <w:r w:rsidR="008A74EB">
        <w:rPr>
          <w:rtl/>
        </w:rPr>
        <w:t xml:space="preserve"> </w:t>
      </w:r>
      <w:r w:rsidR="008A74EB" w:rsidRPr="00C9040A">
        <w:rPr>
          <w:rtl/>
        </w:rPr>
        <w:t>عزّ وجلّ »</w:t>
      </w:r>
      <w:r w:rsidR="008A74EB">
        <w:rPr>
          <w:rtl/>
        </w:rPr>
        <w:t>.</w:t>
      </w:r>
    </w:p>
    <w:tbl>
      <w:tblPr>
        <w:tblStyle w:val="TableGrid"/>
        <w:bidiVisual/>
        <w:tblW w:w="0" w:type="auto"/>
        <w:tblLook w:val="04A0" w:firstRow="1" w:lastRow="0" w:firstColumn="1" w:lastColumn="0" w:noHBand="0" w:noVBand="1"/>
      </w:tblPr>
      <w:tblGrid>
        <w:gridCol w:w="4006"/>
        <w:gridCol w:w="4006"/>
      </w:tblGrid>
      <w:tr w:rsidR="00992A97" w:rsidTr="00992A97">
        <w:tc>
          <w:tcPr>
            <w:tcW w:w="4006" w:type="dxa"/>
          </w:tcPr>
          <w:p w:rsidR="00992A97" w:rsidRDefault="00992A97" w:rsidP="004A4E41">
            <w:pPr>
              <w:pStyle w:val="libFootnote0"/>
              <w:rPr>
                <w:rtl/>
              </w:rPr>
            </w:pPr>
            <w:r>
              <w:rPr>
                <w:rtl/>
              </w:rPr>
              <w:t xml:space="preserve">(2). </w:t>
            </w:r>
            <w:r w:rsidRPr="00C9040A">
              <w:rPr>
                <w:rtl/>
              </w:rPr>
              <w:t>في « ب ، بف » : « فإن »</w:t>
            </w:r>
            <w:r>
              <w:rPr>
                <w:rtl/>
              </w:rPr>
              <w:t>.</w:t>
            </w:r>
          </w:p>
        </w:tc>
        <w:tc>
          <w:tcPr>
            <w:tcW w:w="4006" w:type="dxa"/>
          </w:tcPr>
          <w:p w:rsidR="00992A97" w:rsidRDefault="00992A97" w:rsidP="004A4E41">
            <w:pPr>
              <w:pStyle w:val="libFootnote0"/>
              <w:rPr>
                <w:rtl/>
              </w:rPr>
            </w:pPr>
            <w:r>
              <w:rPr>
                <w:rtl/>
              </w:rPr>
              <w:t>(3).</w:t>
            </w:r>
            <w:r w:rsidRPr="00C9040A">
              <w:rPr>
                <w:rtl/>
              </w:rPr>
              <w:t xml:space="preserve"> في « بس » </w:t>
            </w:r>
            <w:r>
              <w:rPr>
                <w:rtl/>
              </w:rPr>
              <w:t>: -</w:t>
            </w:r>
            <w:r w:rsidRPr="00C9040A">
              <w:rPr>
                <w:rtl/>
              </w:rPr>
              <w:t xml:space="preserve"> « لهما »</w:t>
            </w:r>
            <w:r>
              <w:rPr>
                <w:rtl/>
              </w:rPr>
              <w:t>.</w:t>
            </w:r>
          </w:p>
        </w:tc>
      </w:tr>
      <w:tr w:rsidR="00992A97" w:rsidTr="00992A97">
        <w:tc>
          <w:tcPr>
            <w:tcW w:w="4006" w:type="dxa"/>
          </w:tcPr>
          <w:p w:rsidR="00992A97" w:rsidRDefault="00566F14" w:rsidP="004A4E41">
            <w:pPr>
              <w:pStyle w:val="libFootnote0"/>
              <w:rPr>
                <w:rtl/>
              </w:rPr>
            </w:pPr>
            <w:r>
              <w:rPr>
                <w:rtl/>
              </w:rPr>
              <w:t>(4).</w:t>
            </w:r>
            <w:r w:rsidRPr="00C9040A">
              <w:rPr>
                <w:rtl/>
              </w:rPr>
              <w:t xml:space="preserve"> في « د » : « يغفر »</w:t>
            </w:r>
            <w:r>
              <w:rPr>
                <w:rtl/>
              </w:rPr>
              <w:t>.</w:t>
            </w:r>
          </w:p>
        </w:tc>
        <w:tc>
          <w:tcPr>
            <w:tcW w:w="4006" w:type="dxa"/>
          </w:tcPr>
          <w:p w:rsidR="00992A97" w:rsidRDefault="00566F14" w:rsidP="004A4E41">
            <w:pPr>
              <w:pStyle w:val="libFootnote0"/>
              <w:rPr>
                <w:rtl/>
              </w:rPr>
            </w:pPr>
            <w:r>
              <w:rPr>
                <w:rtl/>
              </w:rPr>
              <w:t>(5).</w:t>
            </w:r>
            <w:r w:rsidRPr="00C9040A">
              <w:rPr>
                <w:rtl/>
              </w:rPr>
              <w:t xml:space="preserve"> في « بس » </w:t>
            </w:r>
            <w:r>
              <w:rPr>
                <w:rtl/>
              </w:rPr>
              <w:t>: -</w:t>
            </w:r>
            <w:r w:rsidRPr="00C9040A">
              <w:rPr>
                <w:rtl/>
              </w:rPr>
              <w:t xml:space="preserve"> « الله »</w:t>
            </w:r>
            <w:r>
              <w:rPr>
                <w:rtl/>
              </w:rPr>
              <w:t>.</w:t>
            </w:r>
          </w:p>
        </w:tc>
      </w:tr>
      <w:tr w:rsidR="00992A97" w:rsidTr="00992A97">
        <w:tc>
          <w:tcPr>
            <w:tcW w:w="4006" w:type="dxa"/>
          </w:tcPr>
          <w:p w:rsidR="00992A97" w:rsidRDefault="00566F14" w:rsidP="004A4E41">
            <w:pPr>
              <w:pStyle w:val="libFootnote0"/>
              <w:rPr>
                <w:rtl/>
              </w:rPr>
            </w:pPr>
            <w:r>
              <w:rPr>
                <w:rtl/>
              </w:rPr>
              <w:t xml:space="preserve">(6). </w:t>
            </w:r>
            <w:r w:rsidRPr="00C9040A">
              <w:rPr>
                <w:rtl/>
              </w:rPr>
              <w:t>في « ج » : « ثمّ قال »</w:t>
            </w:r>
            <w:r>
              <w:rPr>
                <w:rtl/>
              </w:rPr>
              <w:t>.</w:t>
            </w:r>
          </w:p>
        </w:tc>
        <w:tc>
          <w:tcPr>
            <w:tcW w:w="4006" w:type="dxa"/>
          </w:tcPr>
          <w:p w:rsidR="00992A97" w:rsidRDefault="00BF3198" w:rsidP="004A4E41">
            <w:pPr>
              <w:pStyle w:val="libFootnote0"/>
              <w:rPr>
                <w:rtl/>
              </w:rPr>
            </w:pPr>
            <w:r>
              <w:rPr>
                <w:rtl/>
              </w:rPr>
              <w:t>(7).</w:t>
            </w:r>
            <w:r w:rsidRPr="00C9040A">
              <w:rPr>
                <w:rtl/>
              </w:rPr>
              <w:t xml:space="preserve"> الإسراء (17) : 23</w:t>
            </w:r>
            <w:r>
              <w:rPr>
                <w:rtl/>
              </w:rPr>
              <w:t xml:space="preserve"> - </w:t>
            </w:r>
            <w:r w:rsidRPr="00C9040A">
              <w:rPr>
                <w:rtl/>
              </w:rPr>
              <w:t>24.</w:t>
            </w:r>
          </w:p>
        </w:tc>
      </w:tr>
    </w:tbl>
    <w:p w:rsidR="008A74EB" w:rsidRPr="00C9040A" w:rsidRDefault="006C577F" w:rsidP="00600735">
      <w:pPr>
        <w:pStyle w:val="libFootnote0"/>
        <w:rPr>
          <w:rtl/>
          <w:lang w:bidi="fa-IR"/>
        </w:rPr>
      </w:pPr>
      <w:r>
        <w:rPr>
          <w:rtl/>
        </w:rPr>
        <w:t>(8).</w:t>
      </w:r>
      <w:r w:rsidR="008A74EB" w:rsidRPr="00C9040A">
        <w:rPr>
          <w:rtl/>
        </w:rPr>
        <w:t xml:space="preserve"> في « ب ، ج ، ص ، ض ، ف ، بس ، بف » ومرآة العقول والوسائل والبحار : « لا تمل »</w:t>
      </w:r>
      <w:r w:rsidR="008A74EB">
        <w:rPr>
          <w:rtl/>
        </w:rPr>
        <w:t>.</w:t>
      </w:r>
      <w:r w:rsidR="008A74EB" w:rsidRPr="00C9040A">
        <w:rPr>
          <w:rtl/>
        </w:rPr>
        <w:t xml:space="preserve"> وفي </w:t>
      </w:r>
      <w:r w:rsidR="008A74EB" w:rsidRPr="00993B55">
        <w:rPr>
          <w:rStyle w:val="libFootnoteBoldChar"/>
          <w:rtl/>
        </w:rPr>
        <w:t>المرآة</w:t>
      </w:r>
      <w:r w:rsidR="008A74EB" w:rsidRPr="00C9040A">
        <w:rPr>
          <w:rtl/>
        </w:rPr>
        <w:t xml:space="preserve"> : « الظاهر : لا تملأ ، بالهمزة كما في </w:t>
      </w:r>
      <w:r w:rsidR="008A74EB" w:rsidRPr="00993B55">
        <w:rPr>
          <w:rStyle w:val="libFootnoteBoldChar"/>
          <w:rtl/>
        </w:rPr>
        <w:t xml:space="preserve">مجمع البيان </w:t>
      </w:r>
      <w:r w:rsidR="008A74EB" w:rsidRPr="00A06B9C">
        <w:rPr>
          <w:rtl/>
        </w:rPr>
        <w:t>و</w:t>
      </w:r>
      <w:r w:rsidR="008A74EB" w:rsidRPr="00993B55">
        <w:rPr>
          <w:rStyle w:val="libFootnoteBoldChar"/>
          <w:rtl/>
        </w:rPr>
        <w:t>تفسير العيّاشي</w:t>
      </w:r>
      <w:r w:rsidR="008A74EB" w:rsidRPr="00C9040A">
        <w:rPr>
          <w:rtl/>
        </w:rPr>
        <w:t>. وأمّا على ما في نسخ الكتاب [ أي : لاتمل ] فلعلّه ا</w:t>
      </w:r>
      <w:r w:rsidR="00600735">
        <w:rPr>
          <w:rFonts w:hint="cs"/>
          <w:rtl/>
        </w:rPr>
        <w:t>ُ</w:t>
      </w:r>
      <w:r w:rsidR="008A74EB" w:rsidRPr="00C9040A">
        <w:rPr>
          <w:rtl/>
        </w:rPr>
        <w:t xml:space="preserve">بدلت الهمزة حرف علّة ثمّ حذفت بالجازم ، فهو بفتح اللام المخفّفة. </w:t>
      </w:r>
      <w:r w:rsidR="00600735">
        <w:rPr>
          <w:rtl/>
        </w:rPr>
        <w:t>ولعلّ الاستثناء في قوله : « إل</w:t>
      </w:r>
      <w:r w:rsidR="00600735">
        <w:rPr>
          <w:rFonts w:hint="cs"/>
          <w:rtl/>
        </w:rPr>
        <w:t>ّ</w:t>
      </w:r>
      <w:r w:rsidR="00600735">
        <w:rPr>
          <w:rtl/>
        </w:rPr>
        <w:t>ا</w:t>
      </w:r>
      <w:r w:rsidR="008A74EB" w:rsidRPr="00C9040A">
        <w:rPr>
          <w:rtl/>
        </w:rPr>
        <w:t xml:space="preserve"> برحمة » منقطع. والمراد بمل‌ء العينين حدّة النظر</w:t>
      </w:r>
      <w:r w:rsidR="008A74EB">
        <w:rPr>
          <w:rFonts w:hint="cs"/>
          <w:rtl/>
        </w:rPr>
        <w:t xml:space="preserve"> </w:t>
      </w:r>
      <w:r w:rsidR="008A74EB" w:rsidRPr="00323A39">
        <w:rPr>
          <w:rtl/>
        </w:rPr>
        <w:t>».</w:t>
      </w:r>
      <w:r w:rsidR="00600735">
        <w:rPr>
          <w:rFonts w:hint="cs"/>
          <w:rtl/>
        </w:rPr>
        <w:t xml:space="preserve">                              </w:t>
      </w:r>
      <w:r>
        <w:rPr>
          <w:rtl/>
        </w:rPr>
        <w:t>(9).</w:t>
      </w:r>
      <w:r w:rsidR="008A74EB" w:rsidRPr="00C9040A">
        <w:rPr>
          <w:rtl/>
        </w:rPr>
        <w:t xml:space="preserve"> في « بس ، بف » : « عينك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 ف » : + « ورأفة »</w:t>
      </w:r>
      <w:r w:rsidR="008A74EB">
        <w:rPr>
          <w:rtl/>
        </w:rPr>
        <w:t>.</w:t>
      </w:r>
    </w:p>
    <w:p w:rsidR="008A74EB" w:rsidRPr="00C9040A" w:rsidRDefault="006C577F" w:rsidP="00600735">
      <w:pPr>
        <w:pStyle w:val="libFootnote0"/>
        <w:rPr>
          <w:rtl/>
          <w:lang w:bidi="fa-IR"/>
        </w:rPr>
      </w:pPr>
      <w:r>
        <w:rPr>
          <w:rtl/>
        </w:rPr>
        <w:t>(11).</w:t>
      </w:r>
      <w:r w:rsidR="008A74EB" w:rsidRPr="00C9040A">
        <w:rPr>
          <w:rtl/>
        </w:rPr>
        <w:t xml:space="preserve"> </w:t>
      </w:r>
      <w:r w:rsidR="008A74EB" w:rsidRPr="00993B55">
        <w:rPr>
          <w:rStyle w:val="libFootnoteBoldChar"/>
          <w:rtl/>
        </w:rPr>
        <w:t>الفقيه</w:t>
      </w:r>
      <w:r w:rsidR="008A74EB" w:rsidRPr="00C9040A">
        <w:rPr>
          <w:rtl/>
        </w:rPr>
        <w:t xml:space="preserve"> ، ج 4 ، ص 407 ، ح 5883 ، معلّقاً عن الحسن بن محبوب. </w:t>
      </w:r>
      <w:r w:rsidR="008A74EB" w:rsidRPr="00993B55">
        <w:rPr>
          <w:rStyle w:val="libFootnoteBoldChar"/>
          <w:rtl/>
        </w:rPr>
        <w:t>تفسير العيّاشي</w:t>
      </w:r>
      <w:r w:rsidR="008A74EB" w:rsidRPr="00C9040A">
        <w:rPr>
          <w:rtl/>
        </w:rPr>
        <w:t xml:space="preserve"> ، </w:t>
      </w:r>
      <w:r w:rsidR="00600735">
        <w:rPr>
          <w:rtl/>
        </w:rPr>
        <w:t>ج 2 ، ص 285 ، ح 39 ، عن أبي ول</w:t>
      </w:r>
      <w:r w:rsidR="00600735">
        <w:rPr>
          <w:rFonts w:hint="cs"/>
          <w:rtl/>
        </w:rPr>
        <w:t>ّ</w:t>
      </w:r>
      <w:r w:rsidR="00600735">
        <w:rPr>
          <w:rtl/>
        </w:rPr>
        <w:t>ا</w:t>
      </w:r>
      <w:r w:rsidR="008A74EB" w:rsidRPr="00C9040A">
        <w:rPr>
          <w:rtl/>
        </w:rPr>
        <w:t>د الحنّاط ، وفيهما مع اختلاف يسير</w:t>
      </w:r>
      <w:r w:rsidR="00600735">
        <w:rPr>
          <w:rFonts w:hint="cs"/>
          <w:rtl/>
        </w:rPr>
        <w:t>.</w:t>
      </w:r>
      <w:r w:rsidR="008A74EB" w:rsidRPr="00993B55">
        <w:rPr>
          <w:rStyle w:val="libFootnoteBoldChar"/>
          <w:rtl/>
        </w:rPr>
        <w:t>الوافي</w:t>
      </w:r>
      <w:r w:rsidR="008A74EB" w:rsidRPr="00C9040A">
        <w:rPr>
          <w:rtl/>
        </w:rPr>
        <w:t xml:space="preserve"> ، ج 5 ، ص 493 ، ح 2414 ؛ </w:t>
      </w:r>
      <w:r w:rsidR="008A74EB" w:rsidRPr="00993B55">
        <w:rPr>
          <w:rStyle w:val="libFootnoteBoldChar"/>
          <w:rtl/>
        </w:rPr>
        <w:t>الوسائل</w:t>
      </w:r>
      <w:r w:rsidR="008A74EB" w:rsidRPr="00C9040A">
        <w:rPr>
          <w:rtl/>
        </w:rPr>
        <w:t xml:space="preserve"> ، ج 21 ، ص 487 ، ح 27663 ؛ </w:t>
      </w:r>
      <w:r w:rsidR="008A74EB" w:rsidRPr="00993B55">
        <w:rPr>
          <w:rStyle w:val="libFootnoteBoldChar"/>
          <w:rtl/>
        </w:rPr>
        <w:t>البحار</w:t>
      </w:r>
      <w:r w:rsidR="008A74EB" w:rsidRPr="00C9040A">
        <w:rPr>
          <w:rtl/>
        </w:rPr>
        <w:t xml:space="preserve"> ، ج 74 ، ص 39 ، ح 3.</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A06B9C">
        <w:rPr>
          <w:rtl/>
        </w:rPr>
        <w:t>2008</w:t>
      </w:r>
      <w:r w:rsidRPr="00261CB0">
        <w:rPr>
          <w:rStyle w:val="libBold2Char"/>
          <w:rtl/>
        </w:rPr>
        <w:t xml:space="preserve"> / 2.</w:t>
      </w:r>
      <w:r w:rsidRPr="00C9040A">
        <w:rPr>
          <w:rtl/>
          <w:lang w:bidi="fa-IR"/>
        </w:rPr>
        <w:t xml:space="preserve"> ابْنُ مَحْبُوبٍ </w:t>
      </w:r>
      <w:r w:rsidR="006C577F" w:rsidRPr="006C577F">
        <w:rPr>
          <w:rStyle w:val="libFootnotenumChar"/>
          <w:rtl/>
        </w:rPr>
        <w:t>(1)</w:t>
      </w:r>
      <w:r w:rsidRPr="00C9040A">
        <w:rPr>
          <w:rtl/>
          <w:lang w:bidi="fa-IR"/>
        </w:rPr>
        <w:t xml:space="preserve"> ، عَنْ خَالِدِ </w:t>
      </w:r>
      <w:r w:rsidR="006C577F" w:rsidRPr="006C577F">
        <w:rPr>
          <w:rStyle w:val="libFootnotenumChar"/>
          <w:rtl/>
        </w:rPr>
        <w:t>(2)</w:t>
      </w:r>
      <w:r w:rsidRPr="00C9040A">
        <w:rPr>
          <w:rtl/>
          <w:lang w:bidi="fa-IR"/>
        </w:rPr>
        <w:t xml:space="preserve"> بْنِ نَافِعٍ الْبَجَلِيِّ ، عَنْ مُحَمَّدِ بْنِ مَرْوَانَ ، قَالَ :</w:t>
      </w:r>
    </w:p>
    <w:p w:rsidR="008A74EB" w:rsidRPr="00C9040A" w:rsidRDefault="008A74EB" w:rsidP="003839B8">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 « إِنَّ رَجُلاً أَتَى النَّبِيَّ </w:t>
      </w:r>
      <w:r w:rsidR="004A4E41" w:rsidRPr="004A4E41">
        <w:rPr>
          <w:rStyle w:val="libAlaemChar"/>
          <w:rtl/>
        </w:rPr>
        <w:t>صلى‌الله‌عليه‌وآله</w:t>
      </w:r>
      <w:r w:rsidRPr="00C9040A">
        <w:rPr>
          <w:rtl/>
          <w:lang w:bidi="fa-IR"/>
        </w:rPr>
        <w:t xml:space="preserve"> ، فَقَالَ : يَا رَسُولَ اللهِ </w:t>
      </w:r>
      <w:r w:rsidR="006C577F" w:rsidRPr="006C577F">
        <w:rPr>
          <w:rStyle w:val="libFootnotenumChar"/>
          <w:rtl/>
        </w:rPr>
        <w:t>(3)</w:t>
      </w:r>
      <w:r w:rsidRPr="00C9040A">
        <w:rPr>
          <w:rtl/>
          <w:lang w:bidi="fa-IR"/>
        </w:rPr>
        <w:t xml:space="preserve"> ، أَوْصِنِي ، فَقَالَ : لَاتُشْرِكْ بِاللهِ شَيْئاً ، وَإِنْ حُرِّقْتَ </w:t>
      </w:r>
      <w:r w:rsidR="006C577F" w:rsidRPr="006C577F">
        <w:rPr>
          <w:rStyle w:val="libFootnotenumChar"/>
          <w:rtl/>
        </w:rPr>
        <w:t>(4)</w:t>
      </w:r>
      <w:r w:rsidR="00600735">
        <w:rPr>
          <w:rtl/>
          <w:lang w:bidi="fa-IR"/>
        </w:rPr>
        <w:t xml:space="preserve"> بِالنَّارِ وَعُذِّبْتَ إِل</w:t>
      </w:r>
      <w:r w:rsidR="00600735">
        <w:rPr>
          <w:rFonts w:hint="cs"/>
          <w:rtl/>
          <w:lang w:bidi="fa-IR"/>
        </w:rPr>
        <w:t>َّ</w:t>
      </w:r>
      <w:r w:rsidR="00600735">
        <w:rPr>
          <w:rtl/>
          <w:lang w:bidi="fa-IR"/>
        </w:rPr>
        <w:t>ا</w:t>
      </w:r>
      <w:r w:rsidRPr="00C9040A">
        <w:rPr>
          <w:rtl/>
          <w:lang w:bidi="fa-IR"/>
        </w:rPr>
        <w:t xml:space="preserve"> وَقَلْبُكَ </w:t>
      </w:r>
      <w:r w:rsidR="006C577F" w:rsidRPr="006C577F">
        <w:rPr>
          <w:rStyle w:val="libFootnotenumChar"/>
          <w:rtl/>
        </w:rPr>
        <w:t>(5)</w:t>
      </w:r>
      <w:r w:rsidRPr="00C9040A">
        <w:rPr>
          <w:rtl/>
          <w:lang w:bidi="fa-IR"/>
        </w:rPr>
        <w:t xml:space="preserve"> مُطْمَئِنٌّ بِالْإِيمَانِ ، وَ</w:t>
      </w:r>
      <w:r w:rsidR="00600735">
        <w:rPr>
          <w:rFonts w:hint="cs"/>
          <w:rtl/>
          <w:lang w:bidi="fa-IR"/>
        </w:rPr>
        <w:t xml:space="preserve"> </w:t>
      </w:r>
      <w:r w:rsidRPr="00C9040A">
        <w:rPr>
          <w:rtl/>
          <w:lang w:bidi="fa-IR"/>
        </w:rPr>
        <w:t xml:space="preserve">وَالِدَيْكَ فَأَطِعْهُمَا </w:t>
      </w:r>
      <w:r w:rsidR="006C577F" w:rsidRPr="006C577F">
        <w:rPr>
          <w:rStyle w:val="libFootnotenumChar"/>
          <w:rtl/>
        </w:rPr>
        <w:t>(6)</w:t>
      </w:r>
      <w:r w:rsidR="003839B8" w:rsidRPr="00C9040A">
        <w:rPr>
          <w:rtl/>
          <w:lang w:bidi="fa-IR"/>
        </w:rPr>
        <w:t xml:space="preserve"> </w:t>
      </w:r>
      <w:r w:rsidRPr="00C9040A">
        <w:rPr>
          <w:rtl/>
          <w:lang w:bidi="fa-IR"/>
        </w:rPr>
        <w:t xml:space="preserve">وَبَرَّهُمَا حَيَّيْنِ كَانَا أَوْ مَيِّتَيْنِ ، وَإِنْ </w:t>
      </w:r>
      <w:r w:rsidR="006C577F" w:rsidRPr="006C577F">
        <w:rPr>
          <w:rStyle w:val="libFootnotenumChar"/>
          <w:rtl/>
        </w:rPr>
        <w:t>(7)</w:t>
      </w:r>
      <w:r w:rsidRPr="00C9040A">
        <w:rPr>
          <w:rtl/>
          <w:lang w:bidi="fa-IR"/>
        </w:rPr>
        <w:t xml:space="preserve"> أَمَرَاكَ أَنْ تَخْرُجَ مِنْ أَهْلِكَ وَمَالِكَ فَافْعَلْ ، فَإِنَّ ذلِكَ مِنَ الْإِيمَانِ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Normal"/>
        <w:rPr>
          <w:rtl/>
          <w:lang w:bidi="fa-IR"/>
        </w:rPr>
      </w:pPr>
      <w:r w:rsidRPr="00A06B9C">
        <w:rPr>
          <w:rtl/>
        </w:rPr>
        <w:t>2009</w:t>
      </w:r>
      <w:r w:rsidRPr="00261CB0">
        <w:rPr>
          <w:rStyle w:val="libBold2Char"/>
          <w:rtl/>
        </w:rPr>
        <w:t xml:space="preserve"> / 3.</w:t>
      </w:r>
      <w:r w:rsidRPr="00C9040A">
        <w:rPr>
          <w:rtl/>
          <w:lang w:bidi="fa-IR"/>
        </w:rPr>
        <w:t xml:space="preserve"> عَلِيُّ بْنُ إِبْرَاهِيمَ ، عَنْ أَبِيهِ ، عَنِ ابْنِ أَبِي عُمَيْرٍ ، عَنْ سَيْفٍ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يَأْتِي يَوْمَ الْقِيَامَةِ شَيْ‌ءٌ مِثْلُ الْكُبَّةِ </w:t>
      </w:r>
      <w:r w:rsidR="006C577F" w:rsidRPr="006C577F">
        <w:rPr>
          <w:rStyle w:val="libFootnotenumChar"/>
          <w:rtl/>
        </w:rPr>
        <w:t>(9)</w:t>
      </w:r>
      <w:r w:rsidRPr="00C9040A">
        <w:rPr>
          <w:rtl/>
          <w:lang w:bidi="fa-IR"/>
        </w:rPr>
        <w:t xml:space="preserve"> ، فَيَدْفَعُ </w:t>
      </w:r>
      <w:r w:rsidR="006C577F" w:rsidRPr="006C577F">
        <w:rPr>
          <w:rStyle w:val="libFootnotenumChar"/>
          <w:rtl/>
        </w:rPr>
        <w:t>(10)</w:t>
      </w:r>
      <w:r w:rsidRPr="00C9040A">
        <w:rPr>
          <w:rtl/>
          <w:lang w:bidi="fa-IR"/>
        </w:rPr>
        <w:t xml:space="preserve"> فِي ظَهْرِ‌</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ب » : « عن ابن محبوب »</w:t>
      </w:r>
      <w:r w:rsidR="008A74EB">
        <w:rPr>
          <w:rtl/>
        </w:rPr>
        <w:t>.</w:t>
      </w:r>
      <w:r w:rsidR="008A74EB" w:rsidRPr="00C9040A">
        <w:rPr>
          <w:rtl/>
        </w:rPr>
        <w:t xml:space="preserve"> وعلى أيّ تقدير ، السند معلّق على سابقه ، وينسحب إليه كلا الطريقين المتقدّمين إلى الحسن بن محبوب.</w:t>
      </w:r>
    </w:p>
    <w:p w:rsidR="008A74EB" w:rsidRPr="00C9040A" w:rsidRDefault="006C577F" w:rsidP="003839B8">
      <w:pPr>
        <w:pStyle w:val="libFootnote0"/>
        <w:rPr>
          <w:rtl/>
          <w:lang w:bidi="fa-IR"/>
        </w:rPr>
      </w:pPr>
      <w:r>
        <w:rPr>
          <w:rtl/>
        </w:rPr>
        <w:t>(2).</w:t>
      </w:r>
      <w:r w:rsidR="008A74EB">
        <w:rPr>
          <w:rtl/>
        </w:rPr>
        <w:t xml:space="preserve"> </w:t>
      </w:r>
      <w:r w:rsidR="008A74EB" w:rsidRPr="00C9040A">
        <w:rPr>
          <w:rtl/>
        </w:rPr>
        <w:t>في « ز » : « خلاد »</w:t>
      </w:r>
      <w:r w:rsidR="008A74EB">
        <w:rPr>
          <w:rtl/>
        </w:rPr>
        <w:t>.</w:t>
      </w:r>
      <w:r w:rsidR="008A74EB" w:rsidRPr="00C9040A">
        <w:rPr>
          <w:rtl/>
        </w:rPr>
        <w:t xml:space="preserve"> وخالد بن نافع هو المذكور في </w:t>
      </w:r>
      <w:r w:rsidR="008A74EB" w:rsidRPr="00993B55">
        <w:rPr>
          <w:rStyle w:val="libFootnoteBoldChar"/>
          <w:rtl/>
        </w:rPr>
        <w:t>رجال البرقي</w:t>
      </w:r>
      <w:r w:rsidR="008A74EB" w:rsidRPr="00C9040A">
        <w:rPr>
          <w:rtl/>
        </w:rPr>
        <w:t xml:space="preserve"> ، ص 31 ؛ و</w:t>
      </w:r>
      <w:r w:rsidR="008A74EB" w:rsidRPr="00993B55">
        <w:rPr>
          <w:rStyle w:val="libFootnoteBoldChar"/>
          <w:rtl/>
        </w:rPr>
        <w:t>رجال الطوسي</w:t>
      </w:r>
      <w:r w:rsidR="008A74EB" w:rsidRPr="00C9040A">
        <w:rPr>
          <w:rtl/>
        </w:rPr>
        <w:t xml:space="preserve"> ، ص 201 ، الرقم 2554.</w:t>
      </w:r>
      <w:r w:rsidR="003839B8">
        <w:rPr>
          <w:rFonts w:hint="cs"/>
          <w:rtl/>
        </w:rPr>
        <w:t xml:space="preserve">                                              </w:t>
      </w:r>
      <w:r>
        <w:rPr>
          <w:rtl/>
        </w:rPr>
        <w:t>(3).</w:t>
      </w:r>
      <w:r w:rsidR="008A74EB" w:rsidRPr="00C9040A">
        <w:rPr>
          <w:rtl/>
        </w:rPr>
        <w:t xml:space="preserve"> في الوسائل </w:t>
      </w:r>
      <w:r w:rsidR="008A74EB">
        <w:rPr>
          <w:rtl/>
        </w:rPr>
        <w:t xml:space="preserve">: </w:t>
      </w:r>
      <w:r w:rsidR="0084262C">
        <w:rPr>
          <w:rtl/>
        </w:rPr>
        <w:t>-</w:t>
      </w:r>
      <w:r w:rsidR="008A74EB" w:rsidRPr="00C9040A">
        <w:rPr>
          <w:rtl/>
        </w:rPr>
        <w:t xml:space="preserve"> « يا رسول الله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الوسائل : « إن ا</w:t>
      </w:r>
      <w:r w:rsidR="003839B8">
        <w:rPr>
          <w:rFonts w:hint="cs"/>
          <w:rtl/>
        </w:rPr>
        <w:t>ُ</w:t>
      </w:r>
      <w:r w:rsidR="008A74EB" w:rsidRPr="00C9040A">
        <w:rPr>
          <w:rtl/>
        </w:rPr>
        <w:t>حرقت »</w:t>
      </w:r>
      <w:r w:rsidR="008A74EB">
        <w:rPr>
          <w:rtl/>
        </w:rPr>
        <w:t>.</w:t>
      </w:r>
    </w:p>
    <w:p w:rsidR="008A74EB" w:rsidRPr="00C9040A" w:rsidRDefault="006C577F" w:rsidP="002720F3">
      <w:pPr>
        <w:pStyle w:val="libFootnote0"/>
        <w:rPr>
          <w:rtl/>
          <w:lang w:bidi="fa-IR"/>
        </w:rPr>
      </w:pPr>
      <w:r>
        <w:rPr>
          <w:rtl/>
        </w:rPr>
        <w:t>(5).</w:t>
      </w:r>
      <w:r w:rsidR="008A74EB" w:rsidRPr="00C9040A">
        <w:rPr>
          <w:rtl/>
        </w:rPr>
        <w:t xml:space="preserve"> في </w:t>
      </w:r>
      <w:r w:rsidR="008A74EB" w:rsidRPr="00993B55">
        <w:rPr>
          <w:rStyle w:val="libFootnoteBoldChar"/>
          <w:rtl/>
        </w:rPr>
        <w:t>مرآة العقول</w:t>
      </w:r>
      <w:r w:rsidR="008A74EB" w:rsidRPr="00C9040A">
        <w:rPr>
          <w:rtl/>
        </w:rPr>
        <w:t xml:space="preserve"> ، ج 8 ، ص 393 : « لاتشرك بالله شئياً ، أي لا بالقلب ولا باللسان ، أو المراد به الاعتقاد بالشريك ، فعلى </w:t>
      </w:r>
      <w:r w:rsidR="009A5E3A">
        <w:rPr>
          <w:rtl/>
        </w:rPr>
        <w:t>الأوّل الاستثناء متّصل ، أي إل</w:t>
      </w:r>
      <w:r w:rsidR="009A5E3A">
        <w:rPr>
          <w:rFonts w:hint="cs"/>
          <w:rtl/>
        </w:rPr>
        <w:t>ّ</w:t>
      </w:r>
      <w:r w:rsidR="009A5E3A">
        <w:rPr>
          <w:rtl/>
        </w:rPr>
        <w:t>ا</w:t>
      </w:r>
      <w:r w:rsidR="008A74EB">
        <w:rPr>
          <w:rFonts w:hint="cs"/>
          <w:rtl/>
        </w:rPr>
        <w:t xml:space="preserve"> </w:t>
      </w:r>
      <w:r w:rsidR="008A74EB" w:rsidRPr="00C9040A">
        <w:rPr>
          <w:rtl/>
        </w:rPr>
        <w:t>إذا خفت التحريق أو التعذيب ، فتتكلّم بالشرك تقيّة ، وقلبك مطمئنّ بالايمان ، كما قال سبحانه في قصّة عمّار ، حيث ا</w:t>
      </w:r>
      <w:r w:rsidR="009A5E3A">
        <w:rPr>
          <w:rFonts w:hint="cs"/>
          <w:rtl/>
        </w:rPr>
        <w:t>ُ</w:t>
      </w:r>
      <w:r w:rsidR="008A74EB" w:rsidRPr="00C9040A">
        <w:rPr>
          <w:rtl/>
        </w:rPr>
        <w:t xml:space="preserve">كره على الشرك وتكلّم به : </w:t>
      </w:r>
      <w:r w:rsidR="008A74EB" w:rsidRPr="009A5E3A">
        <w:rPr>
          <w:rStyle w:val="libFootnoteAlaemChar"/>
          <w:rtl/>
        </w:rPr>
        <w:t>(</w:t>
      </w:r>
      <w:r w:rsidR="008A74EB" w:rsidRPr="00883DD5">
        <w:rPr>
          <w:rStyle w:val="libFootnoteAieChar"/>
          <w:rFonts w:hint="cs"/>
          <w:rtl/>
        </w:rPr>
        <w:t xml:space="preserve"> </w:t>
      </w:r>
      <w:r w:rsidR="009A5E3A">
        <w:rPr>
          <w:rStyle w:val="libFootnoteAieChar"/>
          <w:rtl/>
        </w:rPr>
        <w:t>إِل</w:t>
      </w:r>
      <w:r w:rsidR="009A5E3A">
        <w:rPr>
          <w:rStyle w:val="libFootnoteAieChar"/>
          <w:rFonts w:hint="cs"/>
          <w:rtl/>
        </w:rPr>
        <w:t>ّ</w:t>
      </w:r>
      <w:r w:rsidR="002720F3">
        <w:rPr>
          <w:rStyle w:val="libFootnoteAieChar"/>
          <w:rFonts w:hint="cs"/>
          <w:rtl/>
        </w:rPr>
        <w:t>َ</w:t>
      </w:r>
      <w:r w:rsidR="009A5E3A">
        <w:rPr>
          <w:rStyle w:val="libFootnoteAieChar"/>
          <w:rtl/>
        </w:rPr>
        <w:t>ا</w:t>
      </w:r>
      <w:r w:rsidR="008A74EB" w:rsidRPr="00883DD5">
        <w:rPr>
          <w:rStyle w:val="libFootnoteAieChar"/>
          <w:rtl/>
        </w:rPr>
        <w:t xml:space="preserve"> مَنْ أُكْرِهَ وَقَلْبُهُ مُطْمَئِنٌّ بِالْإِيم</w:t>
      </w:r>
      <w:r w:rsidR="002720F3">
        <w:rPr>
          <w:rStyle w:val="libFootnoteAieChar"/>
          <w:rFonts w:hint="cs"/>
          <w:rtl/>
        </w:rPr>
        <w:t>َ</w:t>
      </w:r>
      <w:r w:rsidR="008A74EB" w:rsidRPr="00883DD5">
        <w:rPr>
          <w:rStyle w:val="libFootnoteAieChar"/>
          <w:rtl/>
        </w:rPr>
        <w:t>انِ</w:t>
      </w:r>
      <w:r w:rsidR="008A74EB" w:rsidRPr="002720F3">
        <w:rPr>
          <w:rStyle w:val="libFootnoteAlaemChar"/>
          <w:rtl/>
        </w:rPr>
        <w:t>)</w:t>
      </w:r>
      <w:r w:rsidR="008A74EB" w:rsidRPr="00C9040A">
        <w:rPr>
          <w:rtl/>
        </w:rPr>
        <w:t xml:space="preserve"> [ النحل (16) : 106 ) ] »</w:t>
      </w:r>
      <w:r w:rsidR="008A74EB">
        <w:rPr>
          <w:rtl/>
        </w:rPr>
        <w:t>.</w:t>
      </w:r>
      <w:r w:rsidR="002720F3">
        <w:rPr>
          <w:rFonts w:hint="cs"/>
          <w:rtl/>
        </w:rPr>
        <w:t xml:space="preserve">                         </w:t>
      </w:r>
      <w:r>
        <w:rPr>
          <w:rtl/>
        </w:rPr>
        <w:t>(6).</w:t>
      </w:r>
      <w:r w:rsidR="008A74EB">
        <w:rPr>
          <w:rtl/>
        </w:rPr>
        <w:t xml:space="preserve"> </w:t>
      </w:r>
      <w:r w:rsidR="008A74EB" w:rsidRPr="00C9040A">
        <w:rPr>
          <w:rtl/>
        </w:rPr>
        <w:t>في « د ، بر ، بف » : + « ووالديك فأطعهما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ف » : « فإن »</w:t>
      </w:r>
      <w:r w:rsidR="008A74EB">
        <w:rPr>
          <w:rtl/>
        </w:rPr>
        <w:t>.</w:t>
      </w:r>
    </w:p>
    <w:p w:rsidR="008A74EB" w:rsidRPr="00C9040A" w:rsidRDefault="006C577F" w:rsidP="002720F3">
      <w:pPr>
        <w:pStyle w:val="libFootnote0"/>
        <w:rPr>
          <w:rtl/>
          <w:lang w:bidi="fa-IR"/>
        </w:rPr>
      </w:pPr>
      <w:r>
        <w:rPr>
          <w:rtl/>
        </w:rPr>
        <w:t>(8).</w:t>
      </w:r>
      <w:r w:rsidR="008A74EB" w:rsidRPr="00C9040A">
        <w:rPr>
          <w:rtl/>
        </w:rPr>
        <w:t xml:space="preserve"> </w:t>
      </w:r>
      <w:r w:rsidR="008A74EB" w:rsidRPr="00993B55">
        <w:rPr>
          <w:rStyle w:val="libFootnoteBoldChar"/>
          <w:rtl/>
        </w:rPr>
        <w:t>الزهد</w:t>
      </w:r>
      <w:r w:rsidR="008A74EB" w:rsidRPr="00C9040A">
        <w:rPr>
          <w:rtl/>
        </w:rPr>
        <w:t xml:space="preserve"> ، ص 81 ، ح 45 ، بسند آخر عن زيد بن عليّ ، عن آبائه ، عن عليّ </w:t>
      </w:r>
      <w:r w:rsidR="00117575" w:rsidRPr="00117575">
        <w:rPr>
          <w:rStyle w:val="libFootnoteAlaemChar"/>
          <w:rtl/>
        </w:rPr>
        <w:t>عليه‌السلام</w:t>
      </w:r>
      <w:r w:rsidR="008A74EB" w:rsidRPr="00C9040A">
        <w:rPr>
          <w:rtl/>
        </w:rPr>
        <w:t xml:space="preserve"> عن رسول الله </w:t>
      </w:r>
      <w:r w:rsidR="004A4E41" w:rsidRPr="002720F3">
        <w:rPr>
          <w:rStyle w:val="libFootnoteAlaemChar"/>
          <w:rtl/>
        </w:rPr>
        <w:t>صلى‌الله‌عليه‌وآله</w:t>
      </w:r>
      <w:r w:rsidR="008A74EB" w:rsidRPr="00C9040A">
        <w:rPr>
          <w:rtl/>
        </w:rPr>
        <w:t xml:space="preserve"> ، مع اختلاف وزيادة في آخره. </w:t>
      </w:r>
      <w:r w:rsidR="008A74EB" w:rsidRPr="00993B55">
        <w:rPr>
          <w:rStyle w:val="libFootnoteBoldChar"/>
          <w:rtl/>
        </w:rPr>
        <w:t>تحف العقول</w:t>
      </w:r>
      <w:r w:rsidR="008A74EB" w:rsidRPr="00C9040A">
        <w:rPr>
          <w:rtl/>
        </w:rPr>
        <w:t xml:space="preserve"> ، ص 41</w:t>
      </w:r>
      <w:r w:rsidR="002720F3">
        <w:rPr>
          <w:rFonts w:hint="cs"/>
          <w:rtl/>
        </w:rPr>
        <w:t>.</w:t>
      </w:r>
      <w:r w:rsidR="008A74EB" w:rsidRPr="00993B55">
        <w:rPr>
          <w:rStyle w:val="libFootnoteBoldChar"/>
          <w:rtl/>
        </w:rPr>
        <w:t>الوافي</w:t>
      </w:r>
      <w:r w:rsidR="008A74EB" w:rsidRPr="00C9040A">
        <w:rPr>
          <w:rtl/>
        </w:rPr>
        <w:t xml:space="preserve"> ، ج 5 ، ص 494 ، ح 2416 ؛ </w:t>
      </w:r>
      <w:r w:rsidR="008A74EB" w:rsidRPr="00993B55">
        <w:rPr>
          <w:rStyle w:val="libFootnoteBoldChar"/>
          <w:rtl/>
        </w:rPr>
        <w:t>الوسائل</w:t>
      </w:r>
      <w:r w:rsidR="008A74EB" w:rsidRPr="00C9040A">
        <w:rPr>
          <w:rtl/>
        </w:rPr>
        <w:t xml:space="preserve"> ، ج 16 ، ص 226 ، ح 21426 ، إلى قوله : « ووالديك فأطعهما » ؛ وج 21 ، ص 489 ، ح 27666 ؛ </w:t>
      </w:r>
      <w:r w:rsidR="008A74EB" w:rsidRPr="00993B55">
        <w:rPr>
          <w:rStyle w:val="libFootnoteBoldChar"/>
          <w:rtl/>
        </w:rPr>
        <w:t>البحار</w:t>
      </w:r>
      <w:r w:rsidR="008A74EB" w:rsidRPr="00C9040A">
        <w:rPr>
          <w:rtl/>
        </w:rPr>
        <w:t xml:space="preserve"> ، ج 74 ، ص 34 ، ح 2.</w:t>
      </w:r>
    </w:p>
    <w:p w:rsidR="008A74EB" w:rsidRPr="00C9040A" w:rsidRDefault="006C577F" w:rsidP="002720F3">
      <w:pPr>
        <w:pStyle w:val="libFootnote0"/>
        <w:rPr>
          <w:rtl/>
          <w:lang w:bidi="fa-IR"/>
        </w:rPr>
      </w:pPr>
      <w:r>
        <w:rPr>
          <w:rtl/>
        </w:rPr>
        <w:t>(9).</w:t>
      </w:r>
      <w:r w:rsidR="008A74EB" w:rsidRPr="00C9040A">
        <w:rPr>
          <w:rtl/>
        </w:rPr>
        <w:t xml:space="preserve"> في </w:t>
      </w:r>
      <w:r w:rsidR="008A74EB" w:rsidRPr="00993B55">
        <w:rPr>
          <w:rStyle w:val="libFootnoteBoldChar"/>
          <w:rtl/>
        </w:rPr>
        <w:t>مرآة العقول</w:t>
      </w:r>
      <w:r w:rsidR="008A74EB" w:rsidRPr="00C9040A">
        <w:rPr>
          <w:rtl/>
        </w:rPr>
        <w:t xml:space="preserve"> : « مثل الكبّة ، أي الدفعة والصدمة ، أو مثل كبّة الغزل في الصغر ، أو مثل البعير في الكبر ، قال‌الفيروز آبادي : الكُبَّة : الدفعةُ في القتال والجَرْي ، والحملةُ في الحرب ، والزحامُ ، والصدمةُ بين الخيلين ؛ ومن الشتاء : شدّتُه ودفعتُه. والرميُ في الهُوَّة ، وبالضمّ : الجماعةُ ، والجَرَوْهَقُ</w:t>
      </w:r>
      <w:r w:rsidR="008A74EB">
        <w:rPr>
          <w:rtl/>
        </w:rPr>
        <w:t xml:space="preserve"> </w:t>
      </w:r>
      <w:r w:rsidR="0084262C">
        <w:rPr>
          <w:rtl/>
        </w:rPr>
        <w:t>-</w:t>
      </w:r>
      <w:r w:rsidR="008A74EB">
        <w:rPr>
          <w:rtl/>
        </w:rPr>
        <w:t xml:space="preserve"> </w:t>
      </w:r>
      <w:r w:rsidR="008A74EB" w:rsidRPr="00C9040A">
        <w:rPr>
          <w:rtl/>
        </w:rPr>
        <w:t>وهو ما جمع مستديراً كهيئة الكبّة ، فارسيّ معرّب</w:t>
      </w:r>
      <w:r w:rsidR="008A74EB">
        <w:rPr>
          <w:rtl/>
        </w:rPr>
        <w:t xml:space="preserve"> </w:t>
      </w:r>
      <w:r w:rsidR="0084262C">
        <w:rPr>
          <w:rtl/>
        </w:rPr>
        <w:t>-</w:t>
      </w:r>
      <w:r w:rsidR="008A74EB">
        <w:rPr>
          <w:rtl/>
        </w:rPr>
        <w:t xml:space="preserve"> </w:t>
      </w:r>
      <w:r w:rsidR="008A74EB" w:rsidRPr="00C9040A">
        <w:rPr>
          <w:rtl/>
        </w:rPr>
        <w:t>من الغزل ، والإبلُ العظيمة والثقلُ. وقال الجزري : الكبّة ، بالضمّ : الجماعة من الناس وغيرهم ، فيه : وإيّاكم وكبّة السوق ، أي وجماعة السوق ، والكبّة ، بالفتح : شدّة الشي‌ء ومعظمه ، وكبّة النار : صدمتها. وكأنّ فيه تصحيفاً ، ولم أجده في غير هذا الكتاب »</w:t>
      </w:r>
      <w:r w:rsidR="008A74EB">
        <w:rPr>
          <w:rtl/>
        </w:rPr>
        <w:t>.</w:t>
      </w:r>
      <w:r w:rsidR="008A74EB" w:rsidRPr="00C9040A">
        <w:rPr>
          <w:rtl/>
        </w:rPr>
        <w:t xml:space="preserve"> وراجع أيضاً : </w:t>
      </w:r>
      <w:r w:rsidR="008A74EB" w:rsidRPr="00993B55">
        <w:rPr>
          <w:rStyle w:val="libFootnoteBoldChar"/>
          <w:rtl/>
        </w:rPr>
        <w:t>النهاية</w:t>
      </w:r>
      <w:r w:rsidR="008A74EB" w:rsidRPr="00C9040A">
        <w:rPr>
          <w:rtl/>
        </w:rPr>
        <w:t xml:space="preserve"> ، ج 4 ، ص 138 ؛ </w:t>
      </w:r>
      <w:r w:rsidR="008A74EB" w:rsidRPr="00993B55">
        <w:rPr>
          <w:rStyle w:val="libFootnoteBoldChar"/>
          <w:rtl/>
        </w:rPr>
        <w:t>القاموس المحيط</w:t>
      </w:r>
      <w:r w:rsidR="008A74EB" w:rsidRPr="00C9040A">
        <w:rPr>
          <w:rtl/>
        </w:rPr>
        <w:t xml:space="preserve"> ، ج 1 ، ص 218 ( كبب )</w:t>
      </w:r>
      <w:r w:rsidR="008A74EB">
        <w:rPr>
          <w:rtl/>
        </w:rPr>
        <w:t>.</w:t>
      </w:r>
      <w:r w:rsidR="002720F3">
        <w:rPr>
          <w:rFonts w:hint="cs"/>
          <w:rtl/>
        </w:rPr>
        <w:t xml:space="preserve">                                                       </w:t>
      </w:r>
      <w:r>
        <w:rPr>
          <w:rtl/>
        </w:rPr>
        <w:t>(10).</w:t>
      </w:r>
      <w:r w:rsidR="008A74EB" w:rsidRPr="00C9040A">
        <w:rPr>
          <w:rtl/>
        </w:rPr>
        <w:t xml:space="preserve"> في « ف ، بر ، بف » : « فتدفع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الْمُؤْمِنِ ، فَيُدْخِلُهُ </w:t>
      </w:r>
      <w:r w:rsidR="006C577F" w:rsidRPr="006C577F">
        <w:rPr>
          <w:rStyle w:val="libFootnotenumChar"/>
          <w:rtl/>
        </w:rPr>
        <w:t>(1)</w:t>
      </w:r>
      <w:r w:rsidRPr="00C9040A">
        <w:rPr>
          <w:rtl/>
          <w:lang w:bidi="fa-IR"/>
        </w:rPr>
        <w:t xml:space="preserve"> الْجَنَّةَ ، فَيُقَالُ : هذَا الْبِرُّ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A06B9C">
        <w:rPr>
          <w:rtl/>
        </w:rPr>
        <w:t>2010</w:t>
      </w:r>
      <w:r w:rsidRPr="00261CB0">
        <w:rPr>
          <w:rStyle w:val="libBold2Char"/>
          <w:rtl/>
        </w:rPr>
        <w:t xml:space="preserve"> / 4.</w:t>
      </w:r>
      <w:r w:rsidRPr="00C9040A">
        <w:rPr>
          <w:rtl/>
          <w:lang w:bidi="fa-IR"/>
        </w:rPr>
        <w:t xml:space="preserve"> الْحُسَيْنُ بْنُ مُحَمَّدٍ ، عَنْ مُعَلَّى بْنِ مُحَمَّدٍ ، عَنِ الْوَشَّاءِ ، عَنْ مَنْصُورِ بْنِ حَازِمٍ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قُلْتُ </w:t>
      </w:r>
      <w:r w:rsidR="006C577F" w:rsidRPr="006C577F">
        <w:rPr>
          <w:rStyle w:val="libFootnotenumChar"/>
          <w:rtl/>
        </w:rPr>
        <w:t>(3)</w:t>
      </w:r>
      <w:r w:rsidRPr="00C9040A">
        <w:rPr>
          <w:rtl/>
          <w:lang w:bidi="fa-IR"/>
        </w:rPr>
        <w:t xml:space="preserve"> : أَيُّ الْأَعْمَالِ </w:t>
      </w:r>
      <w:r w:rsidR="006C577F" w:rsidRPr="006C577F">
        <w:rPr>
          <w:rStyle w:val="libFootnotenumChar"/>
          <w:rtl/>
        </w:rPr>
        <w:t>(4)</w:t>
      </w:r>
      <w:r w:rsidRPr="00C9040A">
        <w:rPr>
          <w:rtl/>
          <w:lang w:bidi="fa-IR"/>
        </w:rPr>
        <w:t xml:space="preserve"> أَفْضَلُ</w:t>
      </w:r>
      <w:r>
        <w:rPr>
          <w:rtl/>
          <w:lang w:bidi="fa-IR"/>
        </w:rPr>
        <w:t>؟</w:t>
      </w:r>
    </w:p>
    <w:p w:rsidR="008A74EB" w:rsidRPr="00C9040A" w:rsidRDefault="008A74EB" w:rsidP="008A74EB">
      <w:pPr>
        <w:pStyle w:val="libNormal"/>
        <w:rPr>
          <w:rtl/>
          <w:lang w:bidi="fa-IR"/>
        </w:rPr>
      </w:pPr>
      <w:r w:rsidRPr="00C9040A">
        <w:rPr>
          <w:rtl/>
          <w:lang w:bidi="fa-IR"/>
        </w:rPr>
        <w:t>قَالَ : « الصَّلَاةُ لِوَقْتِهَا ، وَبِرُّ الْوَالِدَيْنِ ، وَالْجِهَادُ فِي سَبِيلِ اللهِ عَزَّ وَجَلَّ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A06B9C">
        <w:rPr>
          <w:rtl/>
        </w:rPr>
        <w:t>2011</w:t>
      </w:r>
      <w:r w:rsidRPr="00261CB0">
        <w:rPr>
          <w:rStyle w:val="libBold2Char"/>
          <w:rtl/>
        </w:rPr>
        <w:t xml:space="preserve"> / 5.</w:t>
      </w:r>
      <w:r w:rsidRPr="00C9040A">
        <w:rPr>
          <w:rtl/>
          <w:lang w:bidi="fa-IR"/>
        </w:rPr>
        <w:t xml:space="preserve"> عَلِيُّ بْنُ إِبْرَاهِيمَ ، عَنْ مُحَمَّدِ بْنِ عِيسَى بْنِ عُبَيْدٍ ، عَنْ يُونُسَ بْنِ عَبْدِ الرَّحْمنِ ، عَنْ دُرُسْتَ بْنِ أَبِي مَنْصُورٍ :</w:t>
      </w:r>
    </w:p>
    <w:p w:rsidR="008A74EB" w:rsidRPr="00C9040A" w:rsidRDefault="008A74EB" w:rsidP="008A74EB">
      <w:pPr>
        <w:pStyle w:val="libNormal"/>
        <w:rPr>
          <w:rtl/>
          <w:lang w:bidi="fa-IR"/>
        </w:rPr>
      </w:pPr>
      <w:r w:rsidRPr="00C9040A">
        <w:rPr>
          <w:rtl/>
          <w:lang w:bidi="fa-IR"/>
        </w:rPr>
        <w:t xml:space="preserve">عَنْ أَبِي الْحَسَنِ مُوسى </w:t>
      </w:r>
      <w:r w:rsidRPr="0003660B">
        <w:rPr>
          <w:rStyle w:val="libAlaemChar"/>
          <w:rtl/>
        </w:rPr>
        <w:t>عليه‌السلام</w:t>
      </w:r>
      <w:r w:rsidRPr="00C9040A">
        <w:rPr>
          <w:rtl/>
          <w:lang w:bidi="fa-IR"/>
        </w:rPr>
        <w:t xml:space="preserve"> ، قَالَ : « سَأَلَ رَجُلٌ رَسُولَ اللهِ </w:t>
      </w:r>
      <w:r w:rsidR="004A4E41" w:rsidRPr="004A4E41">
        <w:rPr>
          <w:rStyle w:val="libAlaemChar"/>
          <w:rtl/>
        </w:rPr>
        <w:t>صلى‌الله‌عليه‌وآله</w:t>
      </w:r>
      <w:r w:rsidRPr="00C9040A">
        <w:rPr>
          <w:rtl/>
          <w:lang w:bidi="fa-IR"/>
        </w:rPr>
        <w:t xml:space="preserve"> : مَا حَقُّ الْوَالِدِ عَلى وَلَدِهِ</w:t>
      </w:r>
      <w:r>
        <w:rPr>
          <w:rtl/>
          <w:lang w:bidi="fa-IR"/>
        </w:rPr>
        <w:t>؟</w:t>
      </w:r>
    </w:p>
    <w:p w:rsidR="008A74EB" w:rsidRPr="00C9040A" w:rsidRDefault="008A74EB" w:rsidP="006622AF">
      <w:pPr>
        <w:pStyle w:val="libNormal"/>
        <w:rPr>
          <w:rtl/>
          <w:lang w:bidi="fa-IR"/>
        </w:rPr>
      </w:pPr>
      <w:r w:rsidRPr="00C9040A">
        <w:rPr>
          <w:rtl/>
          <w:lang w:bidi="fa-IR"/>
        </w:rPr>
        <w:t xml:space="preserve">قَالَ : </w:t>
      </w:r>
      <w:r w:rsidR="006C577F" w:rsidRPr="006C577F">
        <w:rPr>
          <w:rStyle w:val="libFootnotenumChar"/>
          <w:rtl/>
        </w:rPr>
        <w:t>(6)</w:t>
      </w:r>
      <w:r w:rsidR="006622AF" w:rsidRPr="00C9040A">
        <w:rPr>
          <w:rtl/>
          <w:lang w:bidi="fa-IR"/>
        </w:rPr>
        <w:t xml:space="preserve"> </w:t>
      </w:r>
      <w:r w:rsidRPr="00C9040A">
        <w:rPr>
          <w:rtl/>
          <w:lang w:bidi="fa-IR"/>
        </w:rPr>
        <w:t xml:space="preserve">لَايُسَمِّيهِ بِاسْمِهِ ، وَلَا يَمْشِي بَيْنَ يَدَيْهِ ، وَلَا يَجْلِسُ قَبْلَهُ ، وَلَا يَسْتَسِبُّ لَهُ </w:t>
      </w:r>
      <w:r w:rsidR="006C577F" w:rsidRPr="006C577F">
        <w:rPr>
          <w:rStyle w:val="libFootnotenumChar"/>
          <w:rtl/>
        </w:rPr>
        <w:t>(7)</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Normal"/>
        <w:rPr>
          <w:rtl/>
          <w:lang w:bidi="fa-IR"/>
        </w:rPr>
      </w:pPr>
      <w:r w:rsidRPr="00A06B9C">
        <w:rPr>
          <w:rtl/>
        </w:rPr>
        <w:t>2012</w:t>
      </w:r>
      <w:r w:rsidRPr="00261CB0">
        <w:rPr>
          <w:rStyle w:val="libBold2Char"/>
          <w:rtl/>
        </w:rPr>
        <w:t xml:space="preserve"> / 6.</w:t>
      </w:r>
      <w:r w:rsidRPr="00C9040A">
        <w:rPr>
          <w:rtl/>
          <w:lang w:bidi="fa-IR"/>
        </w:rPr>
        <w:t xml:space="preserve"> عِدَّةٌ مِنْ أَصْحَابِنَا ، عَنْ أَحْمَدَ بْنِ مُحَمَّدِ بْنِ خَالِدٍ ، عَنْ أَبِيهِ ، عَنْ عَبْدِ اللهِ بْنِ‌</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ف » : « فتدخله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الوافي</w:t>
      </w:r>
      <w:r w:rsidR="008A74EB" w:rsidRPr="00C9040A">
        <w:rPr>
          <w:rtl/>
        </w:rPr>
        <w:t xml:space="preserve"> ، ج 5 ، ص 502 ، ح 2434 ؛ </w:t>
      </w:r>
      <w:r w:rsidR="008A74EB" w:rsidRPr="00993B55">
        <w:rPr>
          <w:rStyle w:val="libFootnoteBoldChar"/>
          <w:rtl/>
        </w:rPr>
        <w:t>البحار</w:t>
      </w:r>
      <w:r w:rsidR="008A74EB" w:rsidRPr="00C9040A">
        <w:rPr>
          <w:rtl/>
        </w:rPr>
        <w:t xml:space="preserve"> ، ج 74 ، ص 44 ، ح 4.</w:t>
      </w:r>
    </w:p>
    <w:tbl>
      <w:tblPr>
        <w:tblStyle w:val="TableGrid"/>
        <w:bidiVisual/>
        <w:tblW w:w="0" w:type="auto"/>
        <w:tblLook w:val="04A0" w:firstRow="1" w:lastRow="0" w:firstColumn="1" w:lastColumn="0" w:noHBand="0" w:noVBand="1"/>
      </w:tblPr>
      <w:tblGrid>
        <w:gridCol w:w="4006"/>
        <w:gridCol w:w="4006"/>
      </w:tblGrid>
      <w:tr w:rsidR="00D065ED" w:rsidTr="00D065ED">
        <w:tc>
          <w:tcPr>
            <w:tcW w:w="4006" w:type="dxa"/>
          </w:tcPr>
          <w:p w:rsidR="00D065ED" w:rsidRDefault="00D065ED" w:rsidP="004A4E41">
            <w:pPr>
              <w:pStyle w:val="libFootnote0"/>
              <w:rPr>
                <w:rtl/>
              </w:rPr>
            </w:pPr>
            <w:r>
              <w:rPr>
                <w:rtl/>
              </w:rPr>
              <w:t>(3).</w:t>
            </w:r>
            <w:r w:rsidRPr="00C9040A">
              <w:rPr>
                <w:rtl/>
              </w:rPr>
              <w:t xml:space="preserve"> في « ف » : + « له »</w:t>
            </w:r>
            <w:r>
              <w:rPr>
                <w:rtl/>
              </w:rPr>
              <w:t>.</w:t>
            </w:r>
          </w:p>
        </w:tc>
        <w:tc>
          <w:tcPr>
            <w:tcW w:w="4006" w:type="dxa"/>
          </w:tcPr>
          <w:p w:rsidR="00D065ED" w:rsidRDefault="00D065ED" w:rsidP="004A4E41">
            <w:pPr>
              <w:pStyle w:val="libFootnote0"/>
              <w:rPr>
                <w:rtl/>
              </w:rPr>
            </w:pPr>
            <w:r>
              <w:rPr>
                <w:rtl/>
              </w:rPr>
              <w:t>(4).</w:t>
            </w:r>
            <w:r w:rsidRPr="00C9040A">
              <w:rPr>
                <w:rtl/>
              </w:rPr>
              <w:t xml:space="preserve"> في حاشية « ف » : « العمل »</w:t>
            </w:r>
            <w:r>
              <w:rPr>
                <w:rtl/>
              </w:rPr>
              <w:t>.</w:t>
            </w:r>
          </w:p>
        </w:tc>
      </w:tr>
    </w:tbl>
    <w:p w:rsidR="008A74EB" w:rsidRPr="00C9040A" w:rsidRDefault="006C577F" w:rsidP="00D065ED">
      <w:pPr>
        <w:pStyle w:val="libFootnote0"/>
        <w:rPr>
          <w:rtl/>
          <w:lang w:bidi="fa-IR"/>
        </w:rPr>
      </w:pPr>
      <w:r>
        <w:rPr>
          <w:rtl/>
        </w:rPr>
        <w:t>(5).</w:t>
      </w:r>
      <w:r w:rsidR="008A74EB" w:rsidRPr="00C9040A">
        <w:rPr>
          <w:rtl/>
        </w:rPr>
        <w:t xml:space="preserve"> </w:t>
      </w:r>
      <w:r w:rsidR="008A74EB" w:rsidRPr="00993B55">
        <w:rPr>
          <w:rStyle w:val="libFootnoteBoldChar"/>
          <w:rtl/>
        </w:rPr>
        <w:t>المحاسن</w:t>
      </w:r>
      <w:r w:rsidR="008A74EB" w:rsidRPr="00C9040A">
        <w:rPr>
          <w:rtl/>
        </w:rPr>
        <w:t xml:space="preserve"> ، ص 292 ، كتاب مصابيح الظلم ، ح 445 ، عن الوشّاء ، عن مثنّى ، عن منصور بن حازم. </w:t>
      </w:r>
      <w:r w:rsidR="008A74EB" w:rsidRPr="00993B55">
        <w:rPr>
          <w:rStyle w:val="libFootnoteBoldChar"/>
          <w:rtl/>
        </w:rPr>
        <w:t>الخصال</w:t>
      </w:r>
      <w:r w:rsidR="008A74EB" w:rsidRPr="00C9040A">
        <w:rPr>
          <w:rtl/>
        </w:rPr>
        <w:t xml:space="preserve"> ، ص 163 ، باب الثلاثة ، ح 213 ، بسند آخر عن رسول الله </w:t>
      </w:r>
      <w:r w:rsidR="004A4E41" w:rsidRPr="00D065ED">
        <w:rPr>
          <w:rStyle w:val="libFootnoteAlaemChar"/>
          <w:rtl/>
        </w:rPr>
        <w:t>صلى‌الله‌عليه‌وآله</w:t>
      </w:r>
      <w:r w:rsidR="008A74EB" w:rsidRPr="00C9040A">
        <w:rPr>
          <w:rtl/>
        </w:rPr>
        <w:t xml:space="preserve"> ، مع اختلاف يسير</w:t>
      </w:r>
      <w:r w:rsidR="00D065ED">
        <w:rPr>
          <w:rFonts w:hint="cs"/>
          <w:rtl/>
        </w:rPr>
        <w:t>.</w:t>
      </w:r>
      <w:r w:rsidR="008A74EB" w:rsidRPr="00993B55">
        <w:rPr>
          <w:rStyle w:val="libFootnoteBoldChar"/>
          <w:rtl/>
        </w:rPr>
        <w:t>الوافي</w:t>
      </w:r>
      <w:r w:rsidR="008A74EB" w:rsidRPr="00C9040A">
        <w:rPr>
          <w:rtl/>
        </w:rPr>
        <w:t xml:space="preserve"> ، ج 5 ، ص 496 ، ح 2419 ؛ </w:t>
      </w:r>
      <w:r w:rsidR="008A74EB" w:rsidRPr="00993B55">
        <w:rPr>
          <w:rStyle w:val="libFootnoteBoldChar"/>
          <w:rtl/>
        </w:rPr>
        <w:t>الوسائل</w:t>
      </w:r>
      <w:r w:rsidR="008A74EB" w:rsidRPr="00C9040A">
        <w:rPr>
          <w:rtl/>
        </w:rPr>
        <w:t xml:space="preserve"> ، ج 21 ، ص 488 ، ح 27664 ؛ </w:t>
      </w:r>
      <w:r w:rsidR="008A74EB" w:rsidRPr="00993B55">
        <w:rPr>
          <w:rStyle w:val="libFootnoteBoldChar"/>
          <w:rtl/>
        </w:rPr>
        <w:t>البحار</w:t>
      </w:r>
      <w:r w:rsidR="008A74EB" w:rsidRPr="00C9040A">
        <w:rPr>
          <w:rtl/>
        </w:rPr>
        <w:t xml:space="preserve"> ، ج 74 ، ص 45 ، ح 5.</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بر ، بف » والوافي ومرآة العقول : + « أن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شرح المازندراني </w:t>
      </w:r>
      <w:r w:rsidR="008A74EB">
        <w:rPr>
          <w:rtl/>
        </w:rPr>
        <w:t xml:space="preserve">: </w:t>
      </w:r>
      <w:r w:rsidR="0084262C">
        <w:rPr>
          <w:rtl/>
        </w:rPr>
        <w:t>-</w:t>
      </w:r>
      <w:r w:rsidR="008A74EB" w:rsidRPr="00C9040A">
        <w:rPr>
          <w:rtl/>
        </w:rPr>
        <w:t xml:space="preserve"> « له »</w:t>
      </w:r>
      <w:r w:rsidR="008A74EB">
        <w:rPr>
          <w:rtl/>
        </w:rPr>
        <w:t>.</w:t>
      </w:r>
      <w:r w:rsidR="008A74EB" w:rsidRPr="00C9040A">
        <w:rPr>
          <w:rtl/>
        </w:rPr>
        <w:t xml:space="preserve"> وفي </w:t>
      </w:r>
      <w:r w:rsidR="008A74EB" w:rsidRPr="00993B55">
        <w:rPr>
          <w:rStyle w:val="libFootnoteBoldChar"/>
          <w:rtl/>
        </w:rPr>
        <w:t>المرآة</w:t>
      </w:r>
      <w:r w:rsidR="008A74EB" w:rsidRPr="00C9040A">
        <w:rPr>
          <w:rtl/>
        </w:rPr>
        <w:t xml:space="preserve"> : « أي لايفعل ما يصير سبباً لسبّ الناس له ، كأن يسبّهم أو أباهم ؛ وقد يسبّ الناس والد من يفعل فعلاً شنيعاً قبيحاً »</w:t>
      </w:r>
      <w:r w:rsidR="008A74EB">
        <w:rPr>
          <w:rtl/>
        </w:rPr>
        <w:t>.</w:t>
      </w:r>
    </w:p>
    <w:p w:rsidR="008A74EB" w:rsidRPr="00C9040A" w:rsidRDefault="006C577F" w:rsidP="00D065ED">
      <w:pPr>
        <w:pStyle w:val="libFootnote0"/>
        <w:rPr>
          <w:rtl/>
          <w:lang w:bidi="fa-IR"/>
        </w:rPr>
      </w:pPr>
      <w:r>
        <w:rPr>
          <w:rtl/>
        </w:rPr>
        <w:t>(8).</w:t>
      </w:r>
      <w:r w:rsidR="008A74EB" w:rsidRPr="00C9040A">
        <w:rPr>
          <w:rtl/>
        </w:rPr>
        <w:t xml:space="preserve"> </w:t>
      </w:r>
      <w:r w:rsidR="008A74EB" w:rsidRPr="00993B55">
        <w:rPr>
          <w:rStyle w:val="libFootnoteBoldChar"/>
          <w:rtl/>
        </w:rPr>
        <w:t>الفقيه</w:t>
      </w:r>
      <w:r w:rsidR="008A74EB" w:rsidRPr="00C9040A">
        <w:rPr>
          <w:rtl/>
        </w:rPr>
        <w:t xml:space="preserve"> ، ج 4 ، ص 371 ، ضمن الحديث الطويل 5762 ، بسند آخر عن أبي عبد الله ، عن آبائه </w:t>
      </w:r>
      <w:r w:rsidR="00117575" w:rsidRPr="00117575">
        <w:rPr>
          <w:rStyle w:val="libFootnoteAlaemChar"/>
          <w:rtl/>
        </w:rPr>
        <w:t>عليهم‌السلام</w:t>
      </w:r>
      <w:r w:rsidR="008A74EB" w:rsidRPr="00C9040A">
        <w:rPr>
          <w:rtl/>
        </w:rPr>
        <w:t xml:space="preserve"> عن النبيّ </w:t>
      </w:r>
      <w:r w:rsidR="004A4E41" w:rsidRPr="00D065ED">
        <w:rPr>
          <w:rStyle w:val="libFootnoteAlaemChar"/>
          <w:rtl/>
        </w:rPr>
        <w:t>صلى‌الله‌عليه‌وآله</w:t>
      </w:r>
      <w:r w:rsidR="008A74EB" w:rsidRPr="00C9040A">
        <w:rPr>
          <w:rtl/>
        </w:rPr>
        <w:t xml:space="preserve"> ، مع اختلاف يسير</w:t>
      </w:r>
      <w:r w:rsidR="00D065ED">
        <w:rPr>
          <w:rFonts w:hint="cs"/>
          <w:rtl/>
        </w:rPr>
        <w:t>.</w:t>
      </w:r>
      <w:r w:rsidR="008A74EB" w:rsidRPr="00993B55">
        <w:rPr>
          <w:rStyle w:val="libFootnoteBoldChar"/>
          <w:rtl/>
        </w:rPr>
        <w:t>الوافي</w:t>
      </w:r>
      <w:r w:rsidR="008A74EB" w:rsidRPr="00C9040A">
        <w:rPr>
          <w:rtl/>
        </w:rPr>
        <w:t xml:space="preserve"> ، ج 5 ، ص 494 ، ح 2415 ؛ </w:t>
      </w:r>
      <w:r w:rsidR="008A74EB" w:rsidRPr="00993B55">
        <w:rPr>
          <w:rStyle w:val="libFootnoteBoldChar"/>
          <w:rtl/>
        </w:rPr>
        <w:t>الوسائل</w:t>
      </w:r>
      <w:r w:rsidR="008A74EB" w:rsidRPr="00C9040A">
        <w:rPr>
          <w:rtl/>
        </w:rPr>
        <w:t xml:space="preserve"> ، ج 21 ، ص 505 ، ح 27705 ؛ </w:t>
      </w:r>
      <w:r w:rsidR="008A74EB" w:rsidRPr="00993B55">
        <w:rPr>
          <w:rStyle w:val="libFootnoteBoldChar"/>
          <w:rtl/>
        </w:rPr>
        <w:t>البحار</w:t>
      </w:r>
      <w:r w:rsidR="008A74EB" w:rsidRPr="00C9040A">
        <w:rPr>
          <w:rtl/>
        </w:rPr>
        <w:t xml:space="preserve"> ، ج 74 ، ص 45 ، ح 6.</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بَحْرٍ ، عَنْ عَبْدِ اللهِ </w:t>
      </w:r>
      <w:r w:rsidR="006C577F" w:rsidRPr="006C577F">
        <w:rPr>
          <w:rStyle w:val="libFootnotenumChar"/>
          <w:rtl/>
        </w:rPr>
        <w:t>(1)</w:t>
      </w:r>
      <w:r w:rsidRPr="00C9040A">
        <w:rPr>
          <w:rtl/>
          <w:lang w:bidi="fa-IR"/>
        </w:rPr>
        <w:t xml:space="preserve"> بْنِ مُسْكَانَ ، عَمَّنْ رَوَاهُ :</w:t>
      </w:r>
    </w:p>
    <w:p w:rsidR="008A74EB" w:rsidRPr="00C9040A" w:rsidRDefault="008A74EB" w:rsidP="00D82E6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قَالَ </w:t>
      </w:r>
      <w:r w:rsidR="006C577F" w:rsidRPr="006C577F">
        <w:rPr>
          <w:rStyle w:val="libFootnotenumChar"/>
          <w:rtl/>
        </w:rPr>
        <w:t>(2)</w:t>
      </w:r>
      <w:r>
        <w:rPr>
          <w:rtl/>
          <w:lang w:bidi="fa-IR"/>
        </w:rPr>
        <w:t xml:space="preserve"> </w:t>
      </w:r>
      <w:r w:rsidR="0084262C">
        <w:rPr>
          <w:rtl/>
          <w:lang w:bidi="fa-IR"/>
        </w:rPr>
        <w:t>-</w:t>
      </w:r>
      <w:r>
        <w:rPr>
          <w:rtl/>
          <w:lang w:bidi="fa-IR"/>
        </w:rPr>
        <w:t xml:space="preserve"> </w:t>
      </w:r>
      <w:r w:rsidRPr="00C9040A">
        <w:rPr>
          <w:rtl/>
          <w:lang w:bidi="fa-IR"/>
        </w:rPr>
        <w:t>وَأَنَا عِنْدَهُ</w:t>
      </w:r>
      <w:r>
        <w:rPr>
          <w:rtl/>
          <w:lang w:bidi="fa-IR"/>
        </w:rPr>
        <w:t xml:space="preserve"> </w:t>
      </w:r>
      <w:r w:rsidR="0084262C">
        <w:rPr>
          <w:rtl/>
          <w:lang w:bidi="fa-IR"/>
        </w:rPr>
        <w:t>-</w:t>
      </w:r>
      <w:r>
        <w:rPr>
          <w:rtl/>
          <w:lang w:bidi="fa-IR"/>
        </w:rPr>
        <w:t xml:space="preserve"> </w:t>
      </w:r>
      <w:r w:rsidRPr="00C9040A">
        <w:rPr>
          <w:rtl/>
          <w:lang w:bidi="fa-IR"/>
        </w:rPr>
        <w:t xml:space="preserve">لِعَبْدِ الْوَاحِدِ الْأَنْصَارِيِّ فِي بِرِّ الْوَالِدَيْنِ فِي قَوْلِ اللهِ عَزَّ وَجَلَّ : </w:t>
      </w:r>
      <w:r w:rsidRPr="0003660B">
        <w:rPr>
          <w:rStyle w:val="libAlaemChar"/>
          <w:rtl/>
        </w:rPr>
        <w:t>(</w:t>
      </w:r>
      <w:r w:rsidRPr="006A2246">
        <w:rPr>
          <w:rStyle w:val="libAieChar"/>
          <w:rtl/>
        </w:rPr>
        <w:t xml:space="preserve"> وَبِالْوالِدَيْنِ إِحْساناً </w:t>
      </w:r>
      <w:r w:rsidRPr="0003660B">
        <w:rPr>
          <w:rStyle w:val="libAlaemChar"/>
          <w:rtl/>
        </w:rPr>
        <w:t>)</w:t>
      </w:r>
      <w:r w:rsidRPr="00C9040A">
        <w:rPr>
          <w:rtl/>
          <w:lang w:bidi="fa-IR"/>
        </w:rPr>
        <w:t xml:space="preserve"> ، فَظَنَنَّا أَنَّهَا </w:t>
      </w:r>
      <w:r w:rsidR="006C577F" w:rsidRPr="006C577F">
        <w:rPr>
          <w:rStyle w:val="libFootnotenumChar"/>
          <w:rtl/>
        </w:rPr>
        <w:t>(3)</w:t>
      </w:r>
      <w:r w:rsidRPr="00C9040A">
        <w:rPr>
          <w:rtl/>
          <w:lang w:bidi="fa-IR"/>
        </w:rPr>
        <w:t xml:space="preserve"> الْآيَةُ الَّتِي </w:t>
      </w:r>
      <w:r w:rsidR="006C577F" w:rsidRPr="006C577F">
        <w:rPr>
          <w:rStyle w:val="libFootnotenumChar"/>
          <w:rtl/>
        </w:rPr>
        <w:t>(4)</w:t>
      </w:r>
      <w:r w:rsidRPr="00C9040A">
        <w:rPr>
          <w:rtl/>
          <w:lang w:bidi="fa-IR"/>
        </w:rPr>
        <w:t xml:space="preserve"> فِي بَنِي إِسْرَائِيلَ : </w:t>
      </w:r>
      <w:r w:rsidRPr="0003660B">
        <w:rPr>
          <w:rStyle w:val="libAlaemChar"/>
          <w:rtl/>
        </w:rPr>
        <w:t>(</w:t>
      </w:r>
      <w:r w:rsidR="00D065ED">
        <w:rPr>
          <w:rStyle w:val="libAieChar"/>
          <w:rtl/>
        </w:rPr>
        <w:t xml:space="preserve"> وَقَضى رَبُّكَ أَل</w:t>
      </w:r>
      <w:r w:rsidR="00D065ED">
        <w:rPr>
          <w:rStyle w:val="libAieChar"/>
          <w:rFonts w:hint="cs"/>
          <w:rtl/>
        </w:rPr>
        <w:t>ّ</w:t>
      </w:r>
      <w:r w:rsidR="00D065ED">
        <w:rPr>
          <w:rStyle w:val="libAieChar"/>
          <w:rtl/>
        </w:rPr>
        <w:t>ا تَعْبُدُوا إِل</w:t>
      </w:r>
      <w:r w:rsidR="00D065ED">
        <w:rPr>
          <w:rStyle w:val="libAieChar"/>
          <w:rFonts w:hint="cs"/>
          <w:rtl/>
        </w:rPr>
        <w:t>ّ</w:t>
      </w:r>
      <w:r w:rsidR="00D065ED">
        <w:rPr>
          <w:rStyle w:val="libAieChar"/>
          <w:rtl/>
        </w:rPr>
        <w:t>ا</w:t>
      </w:r>
      <w:r w:rsidRPr="006A2246">
        <w:rPr>
          <w:rStyle w:val="libAieChar"/>
          <w:rtl/>
        </w:rPr>
        <w:t xml:space="preserve"> إِيّاهُ وَبِالْوالِدَيْنِ إِحْساناً </w:t>
      </w:r>
      <w:r w:rsidRPr="0003660B">
        <w:rPr>
          <w:rStyle w:val="libAlaemChar"/>
          <w:rtl/>
        </w:rPr>
        <w:t>)</w:t>
      </w:r>
      <w:r w:rsidRPr="00C9040A">
        <w:rPr>
          <w:rtl/>
          <w:lang w:bidi="fa-IR"/>
        </w:rPr>
        <w:t xml:space="preserve"> </w:t>
      </w:r>
      <w:r w:rsidR="006C577F" w:rsidRPr="006C577F">
        <w:rPr>
          <w:rStyle w:val="libFootnotenumChar"/>
          <w:rtl/>
        </w:rPr>
        <w:t>(5)</w:t>
      </w:r>
      <w:r w:rsidRPr="00C9040A">
        <w:rPr>
          <w:rtl/>
          <w:lang w:bidi="fa-IR"/>
        </w:rPr>
        <w:t xml:space="preserve"> ، فَلَمَّا كَانَ بَعْدُ سَأَلْتُهُ ، فَقَالَ : « هِيَ الَّتِي فِي‌لُقْمَانَ </w:t>
      </w:r>
      <w:r w:rsidR="006C577F" w:rsidRPr="006C577F">
        <w:rPr>
          <w:rStyle w:val="libFootnotenumChar"/>
          <w:rtl/>
        </w:rPr>
        <w:t>(6)</w:t>
      </w:r>
      <w:r w:rsidR="00D82E6B" w:rsidRPr="00C9040A">
        <w:rPr>
          <w:rtl/>
          <w:lang w:bidi="fa-IR"/>
        </w:rPr>
        <w:t xml:space="preserve"> </w:t>
      </w:r>
      <w:r w:rsidRPr="00C9040A">
        <w:rPr>
          <w:rtl/>
          <w:lang w:bidi="fa-IR"/>
        </w:rPr>
        <w:t xml:space="preserve">: </w:t>
      </w:r>
      <w:r w:rsidRPr="0003660B">
        <w:rPr>
          <w:rStyle w:val="libAlaemChar"/>
          <w:rtl/>
        </w:rPr>
        <w:t>(</w:t>
      </w:r>
      <w:r w:rsidRPr="006A2246">
        <w:rPr>
          <w:rStyle w:val="libAieChar"/>
          <w:rtl/>
        </w:rPr>
        <w:t xml:space="preserve"> وَوَصَّيْنَا الْإِنْسانَ بِوالِدَيْهِ</w:t>
      </w:r>
      <w:r w:rsidRPr="006A2246">
        <w:rPr>
          <w:rStyle w:val="libAieChar"/>
          <w:rFonts w:hint="cs"/>
          <w:rtl/>
        </w:rPr>
        <w:t xml:space="preserve"> </w:t>
      </w:r>
      <w:r w:rsidR="0058112A" w:rsidRPr="0058112A">
        <w:rPr>
          <w:rFonts w:hint="cs"/>
          <w:rtl/>
        </w:rPr>
        <w:t>(</w:t>
      </w:r>
      <w:r w:rsidRPr="006A2246">
        <w:rPr>
          <w:rStyle w:val="libAieChar"/>
          <w:rtl/>
        </w:rPr>
        <w:t>حُسْناً</w:t>
      </w:r>
      <w:r w:rsidR="0058112A" w:rsidRPr="0058112A">
        <w:rPr>
          <w:rFonts w:hint="cs"/>
          <w:rtl/>
        </w:rPr>
        <w:t>)</w:t>
      </w:r>
      <w:r w:rsidRPr="006A2246">
        <w:rPr>
          <w:rStyle w:val="libAieChar"/>
          <w:rtl/>
        </w:rPr>
        <w:t xml:space="preserve"> </w:t>
      </w:r>
      <w:r w:rsidRPr="0003660B">
        <w:rPr>
          <w:rStyle w:val="libAlaemChar"/>
          <w:rtl/>
        </w:rPr>
        <w:t>)</w:t>
      </w:r>
      <w:r w:rsidRPr="00C9040A">
        <w:rPr>
          <w:rtl/>
          <w:lang w:bidi="fa-IR"/>
        </w:rPr>
        <w:t xml:space="preserve"> </w:t>
      </w:r>
      <w:r w:rsidR="006C577F" w:rsidRPr="006C577F">
        <w:rPr>
          <w:rStyle w:val="libFootnotenumChar"/>
          <w:rtl/>
        </w:rPr>
        <w:t>(7)</w:t>
      </w:r>
      <w:r w:rsidRPr="00C9040A">
        <w:rPr>
          <w:rtl/>
          <w:lang w:bidi="fa-IR"/>
        </w:rPr>
        <w:t xml:space="preserve"> ، </w:t>
      </w:r>
      <w:r w:rsidRPr="0003660B">
        <w:rPr>
          <w:rStyle w:val="libAlaemChar"/>
          <w:rtl/>
        </w:rPr>
        <w:t>(</w:t>
      </w:r>
      <w:r w:rsidRPr="006A2246">
        <w:rPr>
          <w:rStyle w:val="libAieChar"/>
          <w:rtl/>
        </w:rPr>
        <w:t xml:space="preserve"> وَإِنْ جاهَداكَ عَلى أَنْ تُشْرِكَ بِي ما لَيْسَ لَكَ بِهِ عِلْمٌ فَلا تُطِعْهُما </w:t>
      </w:r>
      <w:r w:rsidRPr="0003660B">
        <w:rPr>
          <w:rStyle w:val="libAlaemChar"/>
          <w:rtl/>
        </w:rPr>
        <w:t>)</w:t>
      </w:r>
      <w:r w:rsidRPr="00C9040A">
        <w:rPr>
          <w:rtl/>
          <w:lang w:bidi="fa-IR"/>
        </w:rPr>
        <w:t xml:space="preserve"> </w:t>
      </w:r>
      <w:r w:rsidR="006C577F" w:rsidRPr="006C577F">
        <w:rPr>
          <w:rStyle w:val="libFootnotenumChar"/>
          <w:rtl/>
        </w:rPr>
        <w:t>(8)</w:t>
      </w:r>
      <w:r w:rsidRPr="00C9040A">
        <w:rPr>
          <w:rtl/>
          <w:lang w:bidi="fa-IR"/>
        </w:rPr>
        <w:t xml:space="preserve"> »</w:t>
      </w:r>
      <w:r>
        <w:rPr>
          <w:rtl/>
          <w:lang w:bidi="fa-IR"/>
        </w:rPr>
        <w:t>.</w:t>
      </w:r>
      <w:r w:rsidRPr="00C9040A">
        <w:rPr>
          <w:rtl/>
          <w:lang w:bidi="fa-IR"/>
        </w:rPr>
        <w:t xml:space="preserve"> فَقَالَ </w:t>
      </w:r>
      <w:r w:rsidR="006C577F" w:rsidRPr="006C577F">
        <w:rPr>
          <w:rStyle w:val="libFootnotenumChar"/>
          <w:rtl/>
        </w:rPr>
        <w:t>(9)</w:t>
      </w:r>
      <w:r w:rsidRPr="00C9040A">
        <w:rPr>
          <w:rtl/>
          <w:lang w:bidi="fa-IR"/>
        </w:rPr>
        <w:t xml:space="preserve"> </w:t>
      </w:r>
      <w:r w:rsidRPr="0003660B">
        <w:rPr>
          <w:rStyle w:val="libAlaemChar"/>
          <w:rtl/>
        </w:rPr>
        <w:t>عليه‌السلام</w:t>
      </w:r>
      <w:r w:rsidRPr="00C9040A">
        <w:rPr>
          <w:rtl/>
          <w:lang w:bidi="fa-IR"/>
        </w:rPr>
        <w:t xml:space="preserve"> : « إِنَّ ذلِكَ أَعْظَمُ مِنْ </w:t>
      </w:r>
      <w:r w:rsidR="006C577F" w:rsidRPr="006C577F">
        <w:rPr>
          <w:rStyle w:val="libFootnotenumChar"/>
          <w:rtl/>
        </w:rPr>
        <w:t>(10)</w:t>
      </w:r>
      <w:r w:rsidRPr="00C9040A">
        <w:rPr>
          <w:rtl/>
          <w:lang w:bidi="fa-IR"/>
        </w:rPr>
        <w:t xml:space="preserve"> أَنْ‌</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58112A" w:rsidTr="0058112A">
        <w:tc>
          <w:tcPr>
            <w:tcW w:w="4006" w:type="dxa"/>
          </w:tcPr>
          <w:p w:rsidR="0058112A" w:rsidRDefault="0058112A" w:rsidP="004A4E41">
            <w:pPr>
              <w:pStyle w:val="libFootnote0"/>
              <w:rPr>
                <w:rtl/>
              </w:rPr>
            </w:pPr>
            <w:r>
              <w:rPr>
                <w:rtl/>
              </w:rPr>
              <w:t xml:space="preserve">(1). </w:t>
            </w:r>
            <w:r w:rsidRPr="00C9040A">
              <w:rPr>
                <w:rtl/>
              </w:rPr>
              <w:t xml:space="preserve">في « بس » </w:t>
            </w:r>
            <w:r>
              <w:rPr>
                <w:rtl/>
              </w:rPr>
              <w:t>: -</w:t>
            </w:r>
            <w:r w:rsidRPr="00C9040A">
              <w:rPr>
                <w:rtl/>
              </w:rPr>
              <w:t xml:space="preserve"> « عبد الله »</w:t>
            </w:r>
            <w:r>
              <w:rPr>
                <w:rtl/>
              </w:rPr>
              <w:t>.</w:t>
            </w:r>
          </w:p>
        </w:tc>
        <w:tc>
          <w:tcPr>
            <w:tcW w:w="4006" w:type="dxa"/>
          </w:tcPr>
          <w:p w:rsidR="0058112A" w:rsidRDefault="0058112A" w:rsidP="004A4E41">
            <w:pPr>
              <w:pStyle w:val="libFootnote0"/>
              <w:rPr>
                <w:rtl/>
              </w:rPr>
            </w:pPr>
            <w:r>
              <w:rPr>
                <w:rtl/>
              </w:rPr>
              <w:t xml:space="preserve">(2). </w:t>
            </w:r>
            <w:r w:rsidRPr="00C9040A">
              <w:rPr>
                <w:rtl/>
              </w:rPr>
              <w:t xml:space="preserve">في « ف » </w:t>
            </w:r>
            <w:r>
              <w:rPr>
                <w:rtl/>
              </w:rPr>
              <w:t>: -</w:t>
            </w:r>
            <w:r w:rsidRPr="00C9040A">
              <w:rPr>
                <w:rtl/>
              </w:rPr>
              <w:t xml:space="preserve"> « قال »</w:t>
            </w:r>
            <w:r>
              <w:rPr>
                <w:rtl/>
              </w:rPr>
              <w:t>.</w:t>
            </w:r>
          </w:p>
        </w:tc>
      </w:tr>
      <w:tr w:rsidR="0058112A" w:rsidTr="0058112A">
        <w:tc>
          <w:tcPr>
            <w:tcW w:w="4006" w:type="dxa"/>
          </w:tcPr>
          <w:p w:rsidR="0058112A" w:rsidRDefault="0058112A" w:rsidP="004A4E41">
            <w:pPr>
              <w:pStyle w:val="libFootnote0"/>
              <w:rPr>
                <w:rtl/>
              </w:rPr>
            </w:pPr>
            <w:r>
              <w:rPr>
                <w:rtl/>
              </w:rPr>
              <w:t>(3).</w:t>
            </w:r>
            <w:r w:rsidRPr="00C9040A">
              <w:rPr>
                <w:rtl/>
              </w:rPr>
              <w:t xml:space="preserve"> في « ب » : « هذه »</w:t>
            </w:r>
            <w:r>
              <w:rPr>
                <w:rtl/>
              </w:rPr>
              <w:t>.</w:t>
            </w:r>
          </w:p>
        </w:tc>
        <w:tc>
          <w:tcPr>
            <w:tcW w:w="4006" w:type="dxa"/>
          </w:tcPr>
          <w:p w:rsidR="0058112A" w:rsidRDefault="0058112A" w:rsidP="004A4E41">
            <w:pPr>
              <w:pStyle w:val="libFootnote0"/>
              <w:rPr>
                <w:rtl/>
              </w:rPr>
            </w:pPr>
            <w:r>
              <w:rPr>
                <w:rtl/>
              </w:rPr>
              <w:t>(4).</w:t>
            </w:r>
            <w:r w:rsidRPr="00C9040A">
              <w:rPr>
                <w:rtl/>
              </w:rPr>
              <w:t xml:space="preserve"> في « ص ، ف » : « نزلت »</w:t>
            </w:r>
            <w:r>
              <w:rPr>
                <w:rtl/>
              </w:rPr>
              <w:t>.</w:t>
            </w:r>
          </w:p>
        </w:tc>
      </w:tr>
    </w:tbl>
    <w:p w:rsidR="008A74EB" w:rsidRPr="00C9040A" w:rsidRDefault="006C577F" w:rsidP="004A4E41">
      <w:pPr>
        <w:pStyle w:val="libFootnote0"/>
        <w:rPr>
          <w:rtl/>
          <w:lang w:bidi="fa-IR"/>
        </w:rPr>
      </w:pPr>
      <w:r>
        <w:rPr>
          <w:rtl/>
        </w:rPr>
        <w:t>(5).</w:t>
      </w:r>
      <w:r w:rsidR="008A74EB" w:rsidRPr="00C9040A">
        <w:rPr>
          <w:rtl/>
        </w:rPr>
        <w:t xml:space="preserve"> الإسراء (17) : 23. وفي « ب ، ج ، د ، بر ، بس ، بف » والوافي </w:t>
      </w:r>
      <w:r w:rsidR="008A74EB">
        <w:rPr>
          <w:rtl/>
        </w:rPr>
        <w:t xml:space="preserve">: </w:t>
      </w:r>
      <w:r w:rsidR="0084262C">
        <w:rPr>
          <w:rtl/>
        </w:rPr>
        <w:t>-</w:t>
      </w:r>
      <w:r w:rsidR="008A74EB" w:rsidRPr="00C85880">
        <w:rPr>
          <w:rStyle w:val="libFootnoteAlaemChar"/>
          <w:rtl/>
        </w:rPr>
        <w:t>(</w:t>
      </w:r>
      <w:r w:rsidR="008A74EB" w:rsidRPr="00883DD5">
        <w:rPr>
          <w:rStyle w:val="libFootnoteAieChar"/>
          <w:rFonts w:hint="cs"/>
          <w:rtl/>
        </w:rPr>
        <w:t xml:space="preserve"> </w:t>
      </w:r>
      <w:r w:rsidR="008A74EB" w:rsidRPr="00883DD5">
        <w:rPr>
          <w:rStyle w:val="libFootnoteAieChar"/>
          <w:rtl/>
        </w:rPr>
        <w:t>وَبِالْوالِدَيْنِ إِحْس</w:t>
      </w:r>
      <w:r w:rsidR="00C85880">
        <w:rPr>
          <w:rStyle w:val="libFootnoteAieChar"/>
          <w:rFonts w:hint="cs"/>
          <w:rtl/>
        </w:rPr>
        <w:t>َ</w:t>
      </w:r>
      <w:r w:rsidR="008A74EB" w:rsidRPr="00883DD5">
        <w:rPr>
          <w:rStyle w:val="libFootnoteAieChar"/>
          <w:rtl/>
        </w:rPr>
        <w:t>اناً</w:t>
      </w:r>
      <w:r w:rsidR="008A74EB" w:rsidRPr="00883DD5">
        <w:rPr>
          <w:rStyle w:val="libFootnoteAieChar"/>
          <w:rFonts w:hint="cs"/>
          <w:rtl/>
        </w:rPr>
        <w:t xml:space="preserve"> </w:t>
      </w:r>
      <w:r w:rsidR="008A74EB" w:rsidRPr="00C85880">
        <w:rPr>
          <w:rStyle w:val="libFootnoteAlaemChar"/>
          <w:rtl/>
        </w:rPr>
        <w:t>)</w:t>
      </w:r>
      <w:r w:rsidR="008A74EB" w:rsidRPr="00C9040A">
        <w:rPr>
          <w:rtl/>
        </w:rPr>
        <w:t xml:space="preserve">. وفي « ز » </w:t>
      </w:r>
      <w:r w:rsidR="008A74EB">
        <w:rPr>
          <w:rtl/>
        </w:rPr>
        <w:t xml:space="preserve">: </w:t>
      </w:r>
      <w:r w:rsidR="0084262C">
        <w:rPr>
          <w:rtl/>
        </w:rPr>
        <w:t>-</w:t>
      </w:r>
      <w:r w:rsidR="008A74EB" w:rsidRPr="00C9040A">
        <w:rPr>
          <w:rtl/>
        </w:rPr>
        <w:t xml:space="preserve"> « فظننّا</w:t>
      </w:r>
      <w:r w:rsidR="008A74EB">
        <w:rPr>
          <w:rtl/>
        </w:rPr>
        <w:t xml:space="preserve"> </w:t>
      </w:r>
      <w:r w:rsidR="0084262C">
        <w:rPr>
          <w:rtl/>
        </w:rPr>
        <w:t>-</w:t>
      </w:r>
      <w:r w:rsidR="008A74EB">
        <w:rPr>
          <w:rtl/>
        </w:rPr>
        <w:t xml:space="preserve"> </w:t>
      </w:r>
      <w:r w:rsidR="008A74EB" w:rsidRPr="00C9040A">
        <w:rPr>
          <w:rtl/>
        </w:rPr>
        <w:t>إلى</w:t>
      </w:r>
      <w:r w:rsidR="008A74EB">
        <w:rPr>
          <w:rtl/>
        </w:rPr>
        <w:t xml:space="preserve"> </w:t>
      </w:r>
      <w:r w:rsidR="0084262C">
        <w:rPr>
          <w:rtl/>
        </w:rPr>
        <w:t>-</w:t>
      </w:r>
      <w:r w:rsidR="008A74EB">
        <w:rPr>
          <w:rtl/>
        </w:rPr>
        <w:t xml:space="preserve"> </w:t>
      </w:r>
      <w:r w:rsidR="008A74EB" w:rsidRPr="005C57B5">
        <w:rPr>
          <w:rStyle w:val="libFootnoteAlaemChar"/>
          <w:rtl/>
        </w:rPr>
        <w:t>(</w:t>
      </w:r>
      <w:r w:rsidR="008A74EB" w:rsidRPr="00883DD5">
        <w:rPr>
          <w:rStyle w:val="libFootnoteAieChar"/>
          <w:rFonts w:hint="cs"/>
          <w:rtl/>
        </w:rPr>
        <w:t xml:space="preserve"> </w:t>
      </w:r>
      <w:r w:rsidR="008A74EB" w:rsidRPr="00883DD5">
        <w:rPr>
          <w:rStyle w:val="libFootnoteAieChar"/>
          <w:rtl/>
        </w:rPr>
        <w:t>إِحْس</w:t>
      </w:r>
      <w:r w:rsidR="00C85880">
        <w:rPr>
          <w:rStyle w:val="libFootnoteAieChar"/>
          <w:rFonts w:hint="cs"/>
          <w:rtl/>
        </w:rPr>
        <w:t>َ</w:t>
      </w:r>
      <w:r w:rsidR="008A74EB" w:rsidRPr="00883DD5">
        <w:rPr>
          <w:rStyle w:val="libFootnoteAieChar"/>
          <w:rtl/>
        </w:rPr>
        <w:t>اناً</w:t>
      </w:r>
      <w:r w:rsidR="008A74EB" w:rsidRPr="00883DD5">
        <w:rPr>
          <w:rStyle w:val="libFootnoteAieChar"/>
          <w:rFonts w:hint="cs"/>
          <w:rtl/>
        </w:rPr>
        <w:t xml:space="preserve"> </w:t>
      </w:r>
      <w:r w:rsidR="008A74EB" w:rsidRPr="005C57B5">
        <w:rPr>
          <w:rStyle w:val="libFootnoteAlaemChar"/>
          <w:rtl/>
        </w:rPr>
        <w:t>)</w:t>
      </w:r>
      <w:r w:rsidR="008A74EB" w:rsidRPr="00C9040A">
        <w:rPr>
          <w:rtl/>
        </w:rPr>
        <w:t xml:space="preserve">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w:t>
      </w:r>
      <w:r w:rsidR="008A74EB" w:rsidRPr="00993B55">
        <w:rPr>
          <w:rStyle w:val="libFootnoteBoldChar"/>
          <w:rtl/>
        </w:rPr>
        <w:t>المرآة</w:t>
      </w:r>
      <w:r w:rsidR="008A74EB" w:rsidRPr="00C9040A">
        <w:rPr>
          <w:rtl/>
        </w:rPr>
        <w:t xml:space="preserve"> : « هذا الحديث ضعيف ، وهو من الأخبار العويصة الغامضة التي سلك كلّ فريق من الأماثل فيهاوادياً ، فلم يأتوا بعد الرجوع بما يسمن أو يغني من جوع ، وفيه إشكالات لفظيّة ومعنويّة »</w:t>
      </w:r>
      <w:r w:rsidR="008A74EB">
        <w:rPr>
          <w:rtl/>
        </w:rPr>
        <w:t>.</w:t>
      </w:r>
    </w:p>
    <w:p w:rsidR="008A74EB" w:rsidRPr="00C9040A" w:rsidRDefault="008A74EB" w:rsidP="004A4E41">
      <w:pPr>
        <w:pStyle w:val="libFootnote0"/>
        <w:rPr>
          <w:rtl/>
          <w:lang w:bidi="fa-IR"/>
        </w:rPr>
      </w:pPr>
      <w:r w:rsidRPr="0082575F">
        <w:rPr>
          <w:rtl/>
        </w:rPr>
        <w:t>واعلم أنّ هاهنا إشكالين :</w:t>
      </w:r>
    </w:p>
    <w:p w:rsidR="008A74EB" w:rsidRPr="00C9040A" w:rsidRDefault="008A74EB" w:rsidP="004A4E41">
      <w:pPr>
        <w:pStyle w:val="libFootnote0"/>
        <w:rPr>
          <w:rtl/>
          <w:lang w:bidi="fa-IR"/>
        </w:rPr>
      </w:pPr>
      <w:r w:rsidRPr="00323A39">
        <w:rPr>
          <w:rtl/>
        </w:rPr>
        <w:t xml:space="preserve">الأوّل : صرّح الراوي أوّلاً بأنّ الكلام كان في قوله تعالى : </w:t>
      </w:r>
      <w:r w:rsidRPr="00C85880">
        <w:rPr>
          <w:rStyle w:val="libFootnoteAlaemChar"/>
          <w:rtl/>
        </w:rPr>
        <w:t>(</w:t>
      </w:r>
      <w:r w:rsidRPr="00883DD5">
        <w:rPr>
          <w:rStyle w:val="libFootnoteAieChar"/>
          <w:rFonts w:hint="cs"/>
          <w:rtl/>
        </w:rPr>
        <w:t xml:space="preserve"> </w:t>
      </w:r>
      <w:r w:rsidRPr="00883DD5">
        <w:rPr>
          <w:rStyle w:val="libFootnoteAieChar"/>
          <w:rtl/>
        </w:rPr>
        <w:t>وَبِالْوالِدَيْنِ إِحْساناً</w:t>
      </w:r>
      <w:r w:rsidRPr="00883DD5">
        <w:rPr>
          <w:rStyle w:val="libFootnoteAieChar"/>
          <w:rFonts w:hint="cs"/>
          <w:rtl/>
        </w:rPr>
        <w:t xml:space="preserve"> </w:t>
      </w:r>
      <w:r w:rsidRPr="00C85880">
        <w:rPr>
          <w:rStyle w:val="libFootnoteAlaemChar"/>
          <w:rtl/>
        </w:rPr>
        <w:t>)</w:t>
      </w:r>
      <w:r w:rsidRPr="00323A39">
        <w:rPr>
          <w:rtl/>
        </w:rPr>
        <w:t xml:space="preserve"> وجوابه </w:t>
      </w:r>
      <w:r w:rsidR="00117575" w:rsidRPr="00117575">
        <w:rPr>
          <w:rStyle w:val="libFootnoteAlaemChar"/>
          <w:rtl/>
        </w:rPr>
        <w:t>عليه‌السلام</w:t>
      </w:r>
      <w:r w:rsidRPr="00323A39">
        <w:rPr>
          <w:rtl/>
        </w:rPr>
        <w:t xml:space="preserve"> بما لا يوافقه ، ممّا لايكاد يستقيم ظاهراً ؛ لأنّه غير مذكور في سورة لقمان.</w:t>
      </w:r>
    </w:p>
    <w:p w:rsidR="008A74EB" w:rsidRPr="00C9040A" w:rsidRDefault="008A74EB" w:rsidP="004A4E41">
      <w:pPr>
        <w:pStyle w:val="libFootnote0"/>
        <w:rPr>
          <w:rtl/>
          <w:lang w:bidi="fa-IR"/>
        </w:rPr>
      </w:pPr>
      <w:r w:rsidRPr="0082575F">
        <w:rPr>
          <w:rtl/>
        </w:rPr>
        <w:t xml:space="preserve">الثاني : أنّ الآيات الدالّة على فضل برّ الوالدين كثيرة ، وما يناسب المقام منها أربع : الآية 23 من سورة الإسراء (17) ، والآية 8 من سورة العنكبوت (29) ، والآية 14 </w:t>
      </w:r>
      <w:r>
        <w:rPr>
          <w:rtl/>
        </w:rPr>
        <w:t>و 1</w:t>
      </w:r>
      <w:r w:rsidRPr="0082575F">
        <w:rPr>
          <w:rtl/>
        </w:rPr>
        <w:t>5 من سورة لقمان (31) ؛ فأمّا الآية الا</w:t>
      </w:r>
      <w:r w:rsidR="00757016">
        <w:rPr>
          <w:rFonts w:hint="cs"/>
          <w:rtl/>
        </w:rPr>
        <w:t>ُ</w:t>
      </w:r>
      <w:r w:rsidRPr="0082575F">
        <w:rPr>
          <w:rtl/>
        </w:rPr>
        <w:t>ولى في الحديث فهي موافقة لما في المصاحف ، والآية المنسوبة إلى لقمان لاتوافق شيئاً من الآيات المذكورة في لقمان والعنكبوت ، فكيف التوفيق</w:t>
      </w:r>
      <w:r>
        <w:rPr>
          <w:rtl/>
        </w:rPr>
        <w:t>؟</w:t>
      </w:r>
    </w:p>
    <w:p w:rsidR="008A74EB" w:rsidRPr="00C9040A" w:rsidRDefault="008A74EB" w:rsidP="004A4E41">
      <w:pPr>
        <w:pStyle w:val="libFootnote0"/>
        <w:rPr>
          <w:rtl/>
          <w:lang w:bidi="fa-IR"/>
        </w:rPr>
      </w:pPr>
      <w:r w:rsidRPr="00323A39">
        <w:rPr>
          <w:rtl/>
        </w:rPr>
        <w:t>ا</w:t>
      </w:r>
      <w:r w:rsidR="00757016">
        <w:rPr>
          <w:rFonts w:hint="cs"/>
          <w:rtl/>
        </w:rPr>
        <w:t>ُ</w:t>
      </w:r>
      <w:r w:rsidRPr="00323A39">
        <w:rPr>
          <w:rtl/>
        </w:rPr>
        <w:t xml:space="preserve">جيب عن كليهما بأنّ المقصود هو الإشارة إلى الآيات بالنقل بالمعنى ، أو بأنّ ذلك من تغيير الراوي وتصرّفه. وقيل غير ذلك من وجوه الدفع ، يتغيّر على بعضها معنى الكلام وإعراب بعض الكلمات. راجع : </w:t>
      </w:r>
      <w:r w:rsidRPr="00993B55">
        <w:rPr>
          <w:rStyle w:val="libFootnoteBoldChar"/>
          <w:rtl/>
        </w:rPr>
        <w:t>شرح المازندراني</w:t>
      </w:r>
      <w:r w:rsidRPr="00323A39">
        <w:rPr>
          <w:rtl/>
        </w:rPr>
        <w:t xml:space="preserve"> ، ج 9 ، ص 21 </w:t>
      </w:r>
      <w:r w:rsidR="0084262C" w:rsidRPr="00323A39">
        <w:rPr>
          <w:rtl/>
        </w:rPr>
        <w:t>-</w:t>
      </w:r>
      <w:r w:rsidRPr="00323A39">
        <w:rPr>
          <w:rtl/>
        </w:rPr>
        <w:t xml:space="preserve"> 22 ؛ </w:t>
      </w:r>
      <w:r w:rsidRPr="00993B55">
        <w:rPr>
          <w:rStyle w:val="libFootnoteBoldChar"/>
          <w:rtl/>
        </w:rPr>
        <w:t>الوافي</w:t>
      </w:r>
      <w:r w:rsidRPr="00323A39">
        <w:rPr>
          <w:rtl/>
        </w:rPr>
        <w:t xml:space="preserve"> ، ج 5 ، ص 495 ؛ </w:t>
      </w:r>
      <w:r w:rsidRPr="00993B55">
        <w:rPr>
          <w:rStyle w:val="libFootnoteBoldChar"/>
          <w:rtl/>
        </w:rPr>
        <w:t>مرآة العقول</w:t>
      </w:r>
      <w:r w:rsidRPr="00323A39">
        <w:rPr>
          <w:rtl/>
        </w:rPr>
        <w:t xml:space="preserve"> ، ج 8 ، ص 400 </w:t>
      </w:r>
      <w:r w:rsidR="0084262C" w:rsidRPr="00323A39">
        <w:rPr>
          <w:rtl/>
        </w:rPr>
        <w:t>-</w:t>
      </w:r>
      <w:r w:rsidRPr="00323A39">
        <w:rPr>
          <w:rtl/>
        </w:rPr>
        <w:t xml:space="preserve"> 410.</w:t>
      </w:r>
    </w:p>
    <w:p w:rsidR="008A74EB" w:rsidRPr="00C9040A" w:rsidRDefault="006C577F" w:rsidP="004A4E41">
      <w:pPr>
        <w:pStyle w:val="libFootnote0"/>
        <w:rPr>
          <w:rtl/>
          <w:lang w:bidi="fa-IR"/>
        </w:rPr>
      </w:pPr>
      <w:r>
        <w:rPr>
          <w:rtl/>
        </w:rPr>
        <w:t>(7).</w:t>
      </w:r>
      <w:r w:rsidR="008A74EB" w:rsidRPr="00C9040A">
        <w:rPr>
          <w:rtl/>
        </w:rPr>
        <w:t xml:space="preserve"> لقمان (31) : 14. ولفظة « حسناً » ليست في سورة لقمان ، بل في العنكبوت (29) : 8.</w:t>
      </w:r>
    </w:p>
    <w:p w:rsidR="008A74EB" w:rsidRPr="00C9040A" w:rsidRDefault="006C577F" w:rsidP="004A4E41">
      <w:pPr>
        <w:pStyle w:val="libFootnote0"/>
        <w:rPr>
          <w:rtl/>
          <w:lang w:bidi="fa-IR"/>
        </w:rPr>
      </w:pPr>
      <w:r>
        <w:rPr>
          <w:rtl/>
        </w:rPr>
        <w:t>(8).</w:t>
      </w:r>
      <w:r w:rsidR="008A74EB" w:rsidRPr="00C9040A">
        <w:rPr>
          <w:rtl/>
        </w:rPr>
        <w:t xml:space="preserve"> لقمان (31) : 15.</w:t>
      </w:r>
    </w:p>
    <w:p w:rsidR="008A74EB" w:rsidRPr="00C9040A" w:rsidRDefault="006C577F" w:rsidP="004A4E41">
      <w:pPr>
        <w:pStyle w:val="libFootnote0"/>
        <w:rPr>
          <w:rtl/>
          <w:lang w:bidi="fa-IR"/>
        </w:rPr>
      </w:pPr>
      <w:r>
        <w:rPr>
          <w:rtl/>
        </w:rPr>
        <w:t>(9).</w:t>
      </w:r>
      <w:r w:rsidR="008A74EB" w:rsidRPr="00C9040A">
        <w:rPr>
          <w:rtl/>
        </w:rPr>
        <w:t xml:space="preserve"> قائلُ « فقال » هذا والآتي يختلف باختلاف وجوه الدفع ، فهو إمّا الإمام </w:t>
      </w:r>
      <w:r w:rsidR="00117575" w:rsidRPr="00117575">
        <w:rPr>
          <w:rStyle w:val="libFootnoteAlaemChar"/>
          <w:rtl/>
        </w:rPr>
        <w:t>عليه‌السلام</w:t>
      </w:r>
      <w:r w:rsidR="008A74EB" w:rsidRPr="00C9040A">
        <w:rPr>
          <w:rtl/>
        </w:rPr>
        <w:t xml:space="preserve"> ، أو الراوي. وفي الآتي احتمال آخر وهو كون القائل هو الله تعالى. ومقول القول إمّا خبر أو استفهام إنكاريّ.</w:t>
      </w:r>
    </w:p>
    <w:p w:rsidR="008A74EB" w:rsidRPr="00C9040A" w:rsidRDefault="006C577F" w:rsidP="004A4E41">
      <w:pPr>
        <w:pStyle w:val="libFootnote0"/>
        <w:rPr>
          <w:rtl/>
          <w:lang w:bidi="fa-IR"/>
        </w:rPr>
      </w:pPr>
      <w:r>
        <w:rPr>
          <w:rtl/>
        </w:rPr>
        <w:t>(10).</w:t>
      </w:r>
      <w:r w:rsidR="008A74EB" w:rsidRPr="00C9040A">
        <w:rPr>
          <w:rtl/>
        </w:rPr>
        <w:t xml:space="preserve"> في « د ، ز ، ص ، ض ، ف ، بس ، بف » وشرح المازندراني والوافي ومرآة العقول </w:t>
      </w:r>
      <w:r w:rsidR="008A74EB">
        <w:rPr>
          <w:rtl/>
        </w:rPr>
        <w:t xml:space="preserve">: </w:t>
      </w:r>
      <w:r w:rsidR="0084262C">
        <w:rPr>
          <w:rtl/>
        </w:rPr>
        <w:t>-</w:t>
      </w:r>
      <w:r w:rsidR="008A74EB" w:rsidRPr="00C9040A">
        <w:rPr>
          <w:rtl/>
        </w:rPr>
        <w:t xml:space="preserve"> « من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يَأْمُرَ </w:t>
      </w:r>
      <w:r w:rsidR="006C577F" w:rsidRPr="006C577F">
        <w:rPr>
          <w:rStyle w:val="libFootnotenumChar"/>
          <w:rtl/>
        </w:rPr>
        <w:t>(1)</w:t>
      </w:r>
      <w:r w:rsidRPr="00C9040A">
        <w:rPr>
          <w:rtl/>
          <w:lang w:bidi="fa-IR"/>
        </w:rPr>
        <w:t xml:space="preserve"> بِصِلَتِهِمَا وَحَقِّهِمَا عَلى كُلِّ حَالٍ »</w:t>
      </w:r>
      <w:r>
        <w:rPr>
          <w:rtl/>
          <w:lang w:bidi="fa-IR"/>
        </w:rPr>
        <w:t>.</w:t>
      </w:r>
      <w:r w:rsidRPr="0003660B">
        <w:rPr>
          <w:rStyle w:val="libAlaemChar"/>
          <w:rtl/>
        </w:rPr>
        <w:t>(</w:t>
      </w:r>
      <w:r w:rsidRPr="006A2246">
        <w:rPr>
          <w:rStyle w:val="libAieChar"/>
          <w:rtl/>
        </w:rPr>
        <w:t xml:space="preserve"> وَإِنْ جاهَداكَ عَلى أَنْ تُشْرِكَ بِي ما لَيْسَ لَكَ بِهِ عِلْمٌ </w:t>
      </w:r>
      <w:r w:rsidRPr="0003660B">
        <w:rPr>
          <w:rStyle w:val="libAlaemChar"/>
          <w:rtl/>
        </w:rPr>
        <w:t>)</w:t>
      </w:r>
      <w:r w:rsidRPr="00C9040A">
        <w:rPr>
          <w:rtl/>
          <w:lang w:bidi="fa-IR"/>
        </w:rPr>
        <w:t xml:space="preserve"> </w:t>
      </w:r>
      <w:r w:rsidR="006C577F" w:rsidRPr="006C577F">
        <w:rPr>
          <w:rStyle w:val="libFootnotenumChar"/>
          <w:rtl/>
        </w:rPr>
        <w:t>(2)</w:t>
      </w:r>
      <w:r>
        <w:rPr>
          <w:rtl/>
          <w:lang w:bidi="fa-IR"/>
        </w:rPr>
        <w:t>؟</w:t>
      </w:r>
      <w:r w:rsidRPr="00C9040A">
        <w:rPr>
          <w:rtl/>
          <w:lang w:bidi="fa-IR"/>
        </w:rPr>
        <w:t xml:space="preserve"> فَقَالَ : « لَا ، بَلْ يَأْمُرُ </w:t>
      </w:r>
      <w:r w:rsidR="006C577F" w:rsidRPr="006C577F">
        <w:rPr>
          <w:rStyle w:val="libFootnotenumChar"/>
          <w:rtl/>
        </w:rPr>
        <w:t>(3)</w:t>
      </w:r>
      <w:r w:rsidRPr="00C9040A">
        <w:rPr>
          <w:rtl/>
          <w:lang w:bidi="fa-IR"/>
        </w:rPr>
        <w:t xml:space="preserve"> بِصِلَتِهِمَا ، وَإِنْ جَاهَدَاهُ عَلَى الشِّرْكِ مَا زَادَ </w:t>
      </w:r>
      <w:r w:rsidR="006C577F" w:rsidRPr="006C577F">
        <w:rPr>
          <w:rStyle w:val="libFootnotenumChar"/>
          <w:rtl/>
        </w:rPr>
        <w:t>(4)</w:t>
      </w:r>
      <w:r w:rsidRPr="00C9040A">
        <w:rPr>
          <w:rtl/>
          <w:lang w:bidi="fa-IR"/>
        </w:rPr>
        <w:t xml:space="preserve"> حَقَّهُمَا إِلاَّ عِظَماً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757016">
      <w:pPr>
        <w:pStyle w:val="libNormal"/>
        <w:rPr>
          <w:rtl/>
          <w:lang w:bidi="fa-IR"/>
        </w:rPr>
      </w:pPr>
      <w:r w:rsidRPr="00A06B9C">
        <w:rPr>
          <w:rtl/>
        </w:rPr>
        <w:t>2013</w:t>
      </w:r>
      <w:r w:rsidRPr="00261CB0">
        <w:rPr>
          <w:rStyle w:val="libBold2Char"/>
          <w:rtl/>
        </w:rPr>
        <w:t xml:space="preserve"> / 7.</w:t>
      </w:r>
      <w:r w:rsidRPr="00C9040A">
        <w:rPr>
          <w:rtl/>
          <w:lang w:bidi="fa-IR"/>
        </w:rPr>
        <w:t xml:space="preserve"> عَنْهُ </w:t>
      </w:r>
      <w:r w:rsidR="006C577F" w:rsidRPr="006C577F">
        <w:rPr>
          <w:rStyle w:val="libFootnotenumChar"/>
          <w:rtl/>
        </w:rPr>
        <w:t>(6)</w:t>
      </w:r>
      <w:r w:rsidR="00757016" w:rsidRPr="00C9040A">
        <w:rPr>
          <w:rtl/>
          <w:lang w:bidi="fa-IR"/>
        </w:rPr>
        <w:t xml:space="preserve"> </w:t>
      </w:r>
      <w:r w:rsidRPr="00C9040A">
        <w:rPr>
          <w:rtl/>
          <w:lang w:bidi="fa-IR"/>
        </w:rPr>
        <w:t>، عَنْ مُحَمَّدِ بْنِ عَلِيٍّ ، عَنِ الْحَكَمِ بْنِ مِسْكِينٍ ، عَنْ مُحَمَّدِ بْنِ مَرْوَانَ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مَا يَمْنَعُ الرَّجُلَ مِنْكُمْ أَنْ يَبَرَّ وَالِدَيْهِ حَيَّيْنِ وَ</w:t>
      </w:r>
      <w:r>
        <w:rPr>
          <w:rFonts w:hint="cs"/>
          <w:rtl/>
          <w:lang w:bidi="fa-IR"/>
        </w:rPr>
        <w:t xml:space="preserve"> </w:t>
      </w:r>
      <w:r w:rsidR="006C577F" w:rsidRPr="006C577F">
        <w:rPr>
          <w:rStyle w:val="libFootnotenumChar"/>
          <w:rtl/>
        </w:rPr>
        <w:t>(7)</w:t>
      </w:r>
      <w:r w:rsidRPr="00C9040A">
        <w:rPr>
          <w:rtl/>
          <w:lang w:bidi="fa-IR"/>
        </w:rPr>
        <w:t xml:space="preserve"> مَيِّتَيْنِ ، يُصَلِّيَ </w:t>
      </w:r>
      <w:r w:rsidR="006C577F" w:rsidRPr="006C577F">
        <w:rPr>
          <w:rStyle w:val="libFootnotenumChar"/>
          <w:rtl/>
        </w:rPr>
        <w:t>(8)</w:t>
      </w:r>
      <w:r w:rsidRPr="00C9040A">
        <w:rPr>
          <w:rtl/>
          <w:lang w:bidi="fa-IR"/>
        </w:rPr>
        <w:t xml:space="preserve"> عَنْهُمَا ، وَيَتَصَدَّقَ عَنْهُمَا ، وَيَحُجَّ عَنْهُمَا ، وَيَصُومَ عَنْهُمَا ، فَيَكُونَ الَّذِي صَنَعَ لَهُمَا ، وَلَهُ مِثْلُ ذلِكَ ، فَيَزِيدَهُ </w:t>
      </w:r>
      <w:r w:rsidR="006C577F" w:rsidRPr="006C577F">
        <w:rPr>
          <w:rStyle w:val="libFootnotenumChar"/>
          <w:rtl/>
        </w:rPr>
        <w:t>(9)</w:t>
      </w:r>
      <w:r w:rsidRPr="00C9040A">
        <w:rPr>
          <w:rtl/>
          <w:lang w:bidi="fa-IR"/>
        </w:rPr>
        <w:t xml:space="preserve">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بِبِرِّهِ وَصِلَتِهِ </w:t>
      </w:r>
      <w:r w:rsidR="006C577F" w:rsidRPr="006C577F">
        <w:rPr>
          <w:rStyle w:val="libFootnotenumChar"/>
          <w:rtl/>
        </w:rPr>
        <w:t>(10)</w:t>
      </w:r>
      <w:r w:rsidRPr="00C9040A">
        <w:rPr>
          <w:rtl/>
          <w:lang w:bidi="fa-IR"/>
        </w:rPr>
        <w:t xml:space="preserve"> خَيْراً كَثِيراً »</w:t>
      </w:r>
      <w:r>
        <w:rPr>
          <w:rtl/>
          <w:lang w:bidi="fa-IR"/>
        </w:rPr>
        <w:t>.</w:t>
      </w:r>
      <w:r w:rsidRPr="00C9040A">
        <w:rPr>
          <w:rtl/>
          <w:lang w:bidi="fa-IR"/>
        </w:rPr>
        <w:t xml:space="preserve"> </w:t>
      </w:r>
      <w:r w:rsidR="006C577F" w:rsidRPr="006C577F">
        <w:rPr>
          <w:rStyle w:val="libFootnotenumChar"/>
          <w:rtl/>
        </w:rPr>
        <w:t>(11)</w:t>
      </w:r>
      <w:r w:rsidRPr="00C9040A">
        <w:rPr>
          <w:rtl/>
          <w:lang w:bidi="fa-IR"/>
        </w:rPr>
        <w:t xml:space="preserve"> ‌</w:t>
      </w:r>
    </w:p>
    <w:p w:rsidR="008A74EB" w:rsidRPr="00C9040A" w:rsidRDefault="008A74EB" w:rsidP="008A74EB">
      <w:pPr>
        <w:pStyle w:val="libNormal"/>
        <w:rPr>
          <w:rtl/>
          <w:lang w:bidi="fa-IR"/>
        </w:rPr>
      </w:pPr>
      <w:r w:rsidRPr="00A06B9C">
        <w:rPr>
          <w:rtl/>
        </w:rPr>
        <w:t>2014</w:t>
      </w:r>
      <w:r w:rsidRPr="00261CB0">
        <w:rPr>
          <w:rStyle w:val="libBold2Char"/>
          <w:rtl/>
        </w:rPr>
        <w:t xml:space="preserve"> / 8.</w:t>
      </w:r>
      <w:r w:rsidRPr="00C9040A">
        <w:rPr>
          <w:rtl/>
          <w:lang w:bidi="fa-IR"/>
        </w:rPr>
        <w:t xml:space="preserve"> مُحَمَّدُ بْنُ يَحْيى ، عَنْ أَحْمَدَ بْنِ مُحَمَّدِ بْنِ عِ</w:t>
      </w:r>
      <w:r w:rsidR="00757016">
        <w:rPr>
          <w:rtl/>
          <w:lang w:bidi="fa-IR"/>
        </w:rPr>
        <w:t>يسى ، عَنْ مُعَمَّرِ بْنِ خَل</w:t>
      </w:r>
      <w:r w:rsidR="00757016">
        <w:rPr>
          <w:rFonts w:hint="cs"/>
          <w:rtl/>
          <w:lang w:bidi="fa-IR"/>
        </w:rPr>
        <w:t>َّ</w:t>
      </w:r>
      <w:r w:rsidR="00757016">
        <w:rPr>
          <w:rtl/>
          <w:lang w:bidi="fa-IR"/>
        </w:rPr>
        <w:t>ا</w:t>
      </w:r>
      <w:r w:rsidRPr="00C9040A">
        <w:rPr>
          <w:rtl/>
          <w:lang w:bidi="fa-IR"/>
        </w:rPr>
        <w:t>دٍ ، قَالَ :</w:t>
      </w:r>
    </w:p>
    <w:p w:rsidR="008A74EB" w:rsidRPr="00C9040A" w:rsidRDefault="008A74EB" w:rsidP="008A74EB">
      <w:pPr>
        <w:pStyle w:val="libNormal"/>
        <w:rPr>
          <w:rtl/>
          <w:lang w:bidi="fa-IR"/>
        </w:rPr>
      </w:pPr>
      <w:r w:rsidRPr="00C9040A">
        <w:rPr>
          <w:rtl/>
          <w:lang w:bidi="fa-IR"/>
        </w:rPr>
        <w:t xml:space="preserve">قُلْتُ لِأَبِي الْحَسَنِ الرِّضَا </w:t>
      </w:r>
      <w:r w:rsidRPr="0003660B">
        <w:rPr>
          <w:rStyle w:val="libAlaemChar"/>
          <w:rtl/>
        </w:rPr>
        <w:t>عليه‌السلام</w:t>
      </w:r>
      <w:r w:rsidRPr="00C9040A">
        <w:rPr>
          <w:rtl/>
          <w:lang w:bidi="fa-IR"/>
        </w:rPr>
        <w:t xml:space="preserve"> : أَدْعُو لِوَالِدَيَّ إِذَا </w:t>
      </w:r>
      <w:r w:rsidR="006C577F" w:rsidRPr="006C577F">
        <w:rPr>
          <w:rStyle w:val="libFootnotenumChar"/>
          <w:rtl/>
        </w:rPr>
        <w:t>(12)</w:t>
      </w:r>
      <w:r w:rsidRPr="00C9040A">
        <w:rPr>
          <w:rtl/>
          <w:lang w:bidi="fa-IR"/>
        </w:rPr>
        <w:t xml:space="preserve"> كَانَا لَايَعْرِفَانِ الْحَقَّ</w:t>
      </w:r>
      <w:r>
        <w:rPr>
          <w:rtl/>
          <w:lang w:bidi="fa-IR"/>
        </w:rPr>
        <w:t>؟</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ج ، ف ، بر ، بس ، بف » : « أن تأمر »</w:t>
      </w:r>
      <w:r w:rsidR="008A74EB">
        <w:rPr>
          <w:rtl/>
        </w:rPr>
        <w:t>.</w:t>
      </w:r>
    </w:p>
    <w:p w:rsidR="008A74EB" w:rsidRPr="00C9040A" w:rsidRDefault="006C577F" w:rsidP="00462E82">
      <w:pPr>
        <w:pStyle w:val="libFootnote0"/>
        <w:rPr>
          <w:rtl/>
          <w:lang w:bidi="fa-IR"/>
        </w:rPr>
      </w:pPr>
      <w:r>
        <w:rPr>
          <w:rtl/>
        </w:rPr>
        <w:t>(2).</w:t>
      </w:r>
      <w:r w:rsidR="008A74EB">
        <w:rPr>
          <w:rtl/>
        </w:rPr>
        <w:t xml:space="preserve"> </w:t>
      </w:r>
      <w:r w:rsidR="008A74EB" w:rsidRPr="00C9040A">
        <w:rPr>
          <w:rtl/>
        </w:rPr>
        <w:t xml:space="preserve">في « ف » : + </w:t>
      </w:r>
      <w:r w:rsidR="00462E82" w:rsidRPr="00462E82">
        <w:rPr>
          <w:rStyle w:val="libFootnoteAlaemChar"/>
          <w:rFonts w:hint="cs"/>
          <w:rtl/>
        </w:rPr>
        <w:t>(</w:t>
      </w:r>
      <w:r w:rsidR="008A74EB" w:rsidRPr="00462E82">
        <w:rPr>
          <w:rStyle w:val="libFootnoteAieChar"/>
          <w:rtl/>
        </w:rPr>
        <w:t xml:space="preserve"> فَلا تُطِعْهُما </w:t>
      </w:r>
      <w:r w:rsidR="00462E82" w:rsidRPr="00462E82">
        <w:rPr>
          <w:rStyle w:val="libFootnoteAlaemChar"/>
          <w:rFonts w:hint="cs"/>
          <w:rtl/>
        </w:rPr>
        <w:t>)</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ف » : « أمر »</w:t>
      </w:r>
      <w:r w:rsidR="008A74EB">
        <w:rPr>
          <w:rtl/>
        </w:rPr>
        <w:t>.</w:t>
      </w:r>
      <w:r w:rsidR="008A74EB" w:rsidRPr="00C9040A">
        <w:rPr>
          <w:rtl/>
        </w:rPr>
        <w:t xml:space="preserve"> وفي « بس ، بف » : « تأمر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بف » : + « من »</w:t>
      </w:r>
      <w:r w:rsidR="008A74EB">
        <w:rPr>
          <w:rtl/>
        </w:rPr>
        <w:t>.</w:t>
      </w:r>
      <w:r w:rsidR="008A74EB" w:rsidRPr="00C9040A">
        <w:rPr>
          <w:rtl/>
        </w:rPr>
        <w:t xml:space="preserve"> وفي مرآة العقول : « قوله : ما زاد حقّهما ، جملة ا</w:t>
      </w:r>
      <w:r w:rsidR="00A47D86">
        <w:rPr>
          <w:rFonts w:hint="cs"/>
          <w:rtl/>
        </w:rPr>
        <w:t>ُ</w:t>
      </w:r>
      <w:r w:rsidR="008A74EB" w:rsidRPr="00C9040A">
        <w:rPr>
          <w:rtl/>
        </w:rPr>
        <w:t>خرى مؤك</w:t>
      </w:r>
      <w:r w:rsidR="00A47D86">
        <w:rPr>
          <w:rtl/>
        </w:rPr>
        <w:t>ّدة ، أي ما زاد حقّهما بذلك إل</w:t>
      </w:r>
      <w:r w:rsidR="00A47D86">
        <w:rPr>
          <w:rFonts w:hint="cs"/>
          <w:rtl/>
        </w:rPr>
        <w:t>ّ</w:t>
      </w:r>
      <w:r w:rsidR="00A47D86">
        <w:rPr>
          <w:rtl/>
        </w:rPr>
        <w:t>ا</w:t>
      </w:r>
      <w:r w:rsidR="008A74EB" w:rsidRPr="00C9040A">
        <w:rPr>
          <w:rtl/>
        </w:rPr>
        <w:t>عظماً ، برفع « حقّهما » ، أو بنصبه فيكون « زاد » متعد</w:t>
      </w:r>
      <w:r w:rsidR="00E744F5">
        <w:rPr>
          <w:rtl/>
        </w:rPr>
        <w:t>ّياً ، أي لم يزد ذلك حقّهما إل</w:t>
      </w:r>
      <w:r w:rsidR="00E744F5">
        <w:rPr>
          <w:rFonts w:hint="cs"/>
          <w:rtl/>
        </w:rPr>
        <w:t>ّ</w:t>
      </w:r>
      <w:r w:rsidR="00E744F5">
        <w:rPr>
          <w:rtl/>
        </w:rPr>
        <w:t>ا</w:t>
      </w:r>
      <w:r w:rsidR="008A74EB" w:rsidRPr="00C9040A">
        <w:rPr>
          <w:rtl/>
        </w:rPr>
        <w:t xml:space="preserve">عظماً. ويحتمل أن يكون « يأمر » مبتدأ بتقدير أن </w:t>
      </w:r>
      <w:r w:rsidR="008A74EB">
        <w:rPr>
          <w:rtl/>
        </w:rPr>
        <w:t>و «</w:t>
      </w:r>
      <w:r w:rsidR="008A74EB" w:rsidRPr="00C9040A">
        <w:rPr>
          <w:rtl/>
        </w:rPr>
        <w:t xml:space="preserve"> ما زاد » خبره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الوافي</w:t>
      </w:r>
      <w:r w:rsidR="008A74EB" w:rsidRPr="00C9040A">
        <w:rPr>
          <w:rtl/>
        </w:rPr>
        <w:t xml:space="preserve"> ، ج 5 ، ص 495 ، ح 2417 ؛ </w:t>
      </w:r>
      <w:r w:rsidR="008A74EB" w:rsidRPr="00993B55">
        <w:rPr>
          <w:rStyle w:val="libFootnoteBoldChar"/>
          <w:rtl/>
        </w:rPr>
        <w:t>البحار</w:t>
      </w:r>
      <w:r w:rsidR="008A74EB" w:rsidRPr="00C9040A">
        <w:rPr>
          <w:rtl/>
        </w:rPr>
        <w:t xml:space="preserve"> ، ج 74 ، ص 23 ، ح 1.</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الضمير راجع إلى أحمد بن محمّد بن خالد المذكور في السند السابق.</w:t>
      </w:r>
    </w:p>
    <w:p w:rsidR="008A74EB" w:rsidRPr="00C9040A" w:rsidRDefault="006C577F" w:rsidP="004A4E41">
      <w:pPr>
        <w:pStyle w:val="libFootnote0"/>
        <w:rPr>
          <w:rtl/>
          <w:lang w:bidi="fa-IR"/>
        </w:rPr>
      </w:pPr>
      <w:r>
        <w:rPr>
          <w:rtl/>
        </w:rPr>
        <w:t>(7).</w:t>
      </w:r>
      <w:r w:rsidR="008A74EB" w:rsidRPr="00C9040A">
        <w:rPr>
          <w:rtl/>
        </w:rPr>
        <w:t xml:space="preserve"> في « ز » والبحار ، ج 74 : « أو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 بف » : « ويصلّي »</w:t>
      </w:r>
      <w:r w:rsidR="008A74EB">
        <w:rPr>
          <w:rtl/>
        </w:rPr>
        <w:t>.</w:t>
      </w:r>
      <w:r w:rsidR="008A74EB" w:rsidRPr="00C9040A">
        <w:rPr>
          <w:rtl/>
        </w:rPr>
        <w:t xml:space="preserve"> ويجوز فيه وما يليه الرفع والنصب ؛ لأنّه إمّا حال ، أو بدل عن « يبرّ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الوسائل ، ح 10647 : « فيزيد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 ب ، د ، بس ، بف » والوسائل ، ح 27076 ، والبحار : « وصلاته »</w:t>
      </w:r>
      <w:r w:rsidR="008A74EB">
        <w:rPr>
          <w:rtl/>
        </w:rPr>
        <w:t>.</w:t>
      </w:r>
      <w:r w:rsidR="008A74EB" w:rsidRPr="00C9040A">
        <w:rPr>
          <w:rtl/>
        </w:rPr>
        <w:t xml:space="preserve"> وفي « ز ، ص » وحاشية « ض » : « وصَلَواته »</w:t>
      </w:r>
      <w:r w:rsidR="008A74EB">
        <w:rPr>
          <w:rtl/>
        </w:rPr>
        <w:t>.</w:t>
      </w:r>
    </w:p>
    <w:p w:rsidR="008A74EB" w:rsidRPr="00C9040A" w:rsidRDefault="006C577F" w:rsidP="00E744F5">
      <w:pPr>
        <w:pStyle w:val="libFootnote0"/>
        <w:rPr>
          <w:rtl/>
          <w:lang w:bidi="fa-IR"/>
        </w:rPr>
      </w:pPr>
      <w:r>
        <w:rPr>
          <w:rtl/>
        </w:rPr>
        <w:t>(11).</w:t>
      </w:r>
      <w:r w:rsidR="008A74EB" w:rsidRPr="00C9040A">
        <w:rPr>
          <w:rtl/>
        </w:rPr>
        <w:t xml:space="preserve"> </w:t>
      </w:r>
      <w:r w:rsidR="008A74EB" w:rsidRPr="00993B55">
        <w:rPr>
          <w:rStyle w:val="libFootnoteBoldChar"/>
          <w:rtl/>
        </w:rPr>
        <w:t>الوافي</w:t>
      </w:r>
      <w:r w:rsidR="008A74EB" w:rsidRPr="00C9040A">
        <w:rPr>
          <w:rtl/>
        </w:rPr>
        <w:t xml:space="preserve"> ، ج 5 ، ص 496 ، ح 2418 ؛ </w:t>
      </w:r>
      <w:r w:rsidR="008A74EB" w:rsidRPr="00993B55">
        <w:rPr>
          <w:rStyle w:val="libFootnoteBoldChar"/>
          <w:rtl/>
        </w:rPr>
        <w:t>الوسائل</w:t>
      </w:r>
      <w:r w:rsidR="008A74EB" w:rsidRPr="00C9040A">
        <w:rPr>
          <w:rtl/>
        </w:rPr>
        <w:t xml:space="preserve"> ، ج 8 ، ص 276 ، ح 10647 ؛ وج 21 ، ص 505 ، ح 6. 277 ؛ </w:t>
      </w:r>
      <w:r w:rsidR="008A74EB" w:rsidRPr="00993B55">
        <w:rPr>
          <w:rStyle w:val="libFootnoteBoldChar"/>
          <w:rtl/>
        </w:rPr>
        <w:t>البحار</w:t>
      </w:r>
      <w:r w:rsidR="008A74EB" w:rsidRPr="00C9040A">
        <w:rPr>
          <w:rtl/>
        </w:rPr>
        <w:t xml:space="preserve"> ، ج 74 ، ص 46 ، ح 7 ؛ وج 88 ، ص 313.</w:t>
      </w:r>
      <w:r w:rsidR="00785A88">
        <w:rPr>
          <w:rFonts w:hint="cs"/>
          <w:rtl/>
        </w:rPr>
        <w:t xml:space="preserve">          </w:t>
      </w:r>
      <w:r>
        <w:rPr>
          <w:rtl/>
        </w:rPr>
        <w:t>(12).</w:t>
      </w:r>
      <w:r w:rsidR="008A74EB" w:rsidRPr="00C9040A">
        <w:rPr>
          <w:rtl/>
        </w:rPr>
        <w:t xml:space="preserve"> في « بس » : « إن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قَالَ : « ادْعُ لَهُمَا ، وَتَصَدَّقْ عَنْهُمَا ، وَإِنْ كَانَا حَيَّيْنِ لَايَعْرِفَانِ الْحَقَّ فَدَارِهِمَا </w:t>
      </w:r>
      <w:r w:rsidR="006C577F" w:rsidRPr="006C577F">
        <w:rPr>
          <w:rStyle w:val="libFootnotenumChar"/>
          <w:rtl/>
        </w:rPr>
        <w:t>(1)</w:t>
      </w:r>
      <w:r w:rsidRPr="00C9040A">
        <w:rPr>
          <w:rtl/>
          <w:lang w:bidi="fa-IR"/>
        </w:rPr>
        <w:t xml:space="preserve"> ؛ فَإِنَّ رَسُولَ اللهِ </w:t>
      </w:r>
      <w:r w:rsidR="004A4E41" w:rsidRPr="004A4E41">
        <w:rPr>
          <w:rStyle w:val="libAlaemChar"/>
          <w:rtl/>
        </w:rPr>
        <w:t>صلى‌الله‌عليه‌وآله</w:t>
      </w:r>
      <w:r w:rsidRPr="00C9040A">
        <w:rPr>
          <w:rtl/>
          <w:lang w:bidi="fa-IR"/>
        </w:rPr>
        <w:t xml:space="preserve"> قَالَ : إِنَّ اللهَ بَعَثَنِي بِالرَّحْمَةِ ، لَابِالْعُقُوقِ </w:t>
      </w:r>
      <w:r w:rsidR="006C577F" w:rsidRPr="006C577F">
        <w:rPr>
          <w:rStyle w:val="libFootnotenumChar"/>
          <w:rtl/>
        </w:rPr>
        <w:t>(2)</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A06B9C">
        <w:rPr>
          <w:rtl/>
        </w:rPr>
        <w:t>2015</w:t>
      </w:r>
      <w:r w:rsidRPr="00261CB0">
        <w:rPr>
          <w:rStyle w:val="libBold2Char"/>
          <w:rtl/>
        </w:rPr>
        <w:t xml:space="preserve"> / 9.</w:t>
      </w:r>
      <w:r w:rsidRPr="00C9040A">
        <w:rPr>
          <w:rtl/>
          <w:lang w:bidi="fa-IR"/>
        </w:rPr>
        <w:t xml:space="preserve"> عَلِيُّ بْنُ إِبْرَاهِيمَ ، عَنْ أَبِيهِ ، عَنِ ابْنِ أَبِي عُمَيْرٍ ، عَنْ هِشَامِ بْنِ سَالِمٍ :</w:t>
      </w:r>
    </w:p>
    <w:p w:rsidR="008A74EB" w:rsidRPr="00C9040A" w:rsidRDefault="008A74EB" w:rsidP="00D80858">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جَاءَ رَجُلٌ إِلَى النَّبِيِّ </w:t>
      </w:r>
      <w:r w:rsidR="00D80858" w:rsidRPr="004A4E41">
        <w:rPr>
          <w:rStyle w:val="libAlaemChar"/>
          <w:rtl/>
        </w:rPr>
        <w:t>صلى‌الله‌عليه‌وآله</w:t>
      </w:r>
      <w:r w:rsidR="00D80858" w:rsidRPr="00C9040A">
        <w:rPr>
          <w:rtl/>
          <w:lang w:bidi="fa-IR"/>
        </w:rPr>
        <w:t xml:space="preserve"> </w:t>
      </w:r>
      <w:r w:rsidRPr="00C9040A">
        <w:rPr>
          <w:rtl/>
          <w:lang w:bidi="fa-IR"/>
        </w:rPr>
        <w:t>، فَقَالَ : يَا رَسُولَ اللهِ ، مَنْ أَبَرُّ</w:t>
      </w:r>
      <w:r>
        <w:rPr>
          <w:rtl/>
          <w:lang w:bidi="fa-IR"/>
        </w:rPr>
        <w:t>؟</w:t>
      </w:r>
      <w:r w:rsidRPr="00C9040A">
        <w:rPr>
          <w:rtl/>
          <w:lang w:bidi="fa-IR"/>
        </w:rPr>
        <w:t xml:space="preserve"> قَالَ : أُمَّكَ ، قَالَ : ثُمَّ مَنْ</w:t>
      </w:r>
      <w:r>
        <w:rPr>
          <w:rtl/>
          <w:lang w:bidi="fa-IR"/>
        </w:rPr>
        <w:t>؟</w:t>
      </w:r>
      <w:r w:rsidRPr="00C9040A">
        <w:rPr>
          <w:rtl/>
          <w:lang w:bidi="fa-IR"/>
        </w:rPr>
        <w:t xml:space="preserve"> قَالَ : أُمَّكَ ، قَالَ : ثُمَّ مَنْ</w:t>
      </w:r>
      <w:r>
        <w:rPr>
          <w:rtl/>
          <w:lang w:bidi="fa-IR"/>
        </w:rPr>
        <w:t>؟</w:t>
      </w:r>
      <w:r w:rsidRPr="00C9040A">
        <w:rPr>
          <w:rtl/>
          <w:lang w:bidi="fa-IR"/>
        </w:rPr>
        <w:t xml:space="preserve"> قَالَ : أُمَّكَ ، قَالَ : ثُمَّ مَنْ</w:t>
      </w:r>
      <w:r>
        <w:rPr>
          <w:rtl/>
          <w:lang w:bidi="fa-IR"/>
        </w:rPr>
        <w:t>؟</w:t>
      </w:r>
      <w:r w:rsidRPr="00C9040A">
        <w:rPr>
          <w:rtl/>
          <w:lang w:bidi="fa-IR"/>
        </w:rPr>
        <w:t xml:space="preserve"> قَالَ :</w:t>
      </w:r>
      <w:r>
        <w:rPr>
          <w:rFonts w:hint="cs"/>
          <w:rtl/>
          <w:lang w:bidi="fa-IR"/>
        </w:rPr>
        <w:t xml:space="preserve"> </w:t>
      </w:r>
      <w:r w:rsidRPr="00C9040A">
        <w:rPr>
          <w:rtl/>
          <w:lang w:bidi="fa-IR"/>
        </w:rPr>
        <w:t>أَبَاكَ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A06B9C">
        <w:rPr>
          <w:rtl/>
        </w:rPr>
        <w:t>2016</w:t>
      </w:r>
      <w:r w:rsidRPr="00261CB0">
        <w:rPr>
          <w:rStyle w:val="libBold2Char"/>
          <w:rtl/>
        </w:rPr>
        <w:t xml:space="preserve"> / 10.</w:t>
      </w:r>
      <w:r w:rsidRPr="00C9040A">
        <w:rPr>
          <w:rtl/>
          <w:lang w:bidi="fa-IR"/>
        </w:rPr>
        <w:t xml:space="preserve"> أَبُو عَلِيٍّ الْأَشْعَرِيُّ ، عَنْ مُحَمَّدِ بْنِ سَالِمٍ ، عَنْ أَحْمَدَ بْنِ النَّضْرِ ، عَنْ عَمْرِو بْنِ شِمْرٍ ، عَنْ جَابِرٍ :</w:t>
      </w:r>
    </w:p>
    <w:p w:rsidR="008A74EB" w:rsidRPr="00C9040A" w:rsidRDefault="008A74EB" w:rsidP="00BD2F54">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أَتى رَجُلٌ رَسُولَ اللهِ </w:t>
      </w:r>
      <w:r w:rsidR="004A4E41" w:rsidRPr="004A4E41">
        <w:rPr>
          <w:rStyle w:val="libAlaemChar"/>
          <w:rtl/>
        </w:rPr>
        <w:t>صلى‌الله‌عليه‌وآله</w:t>
      </w:r>
      <w:r w:rsidRPr="00C9040A">
        <w:rPr>
          <w:rtl/>
          <w:lang w:bidi="fa-IR"/>
        </w:rPr>
        <w:t xml:space="preserve"> ، فَقَالَ : يَا رَسُولَ اللهِ ، إِنِّي </w:t>
      </w:r>
      <w:r w:rsidR="006C577F" w:rsidRPr="006C577F">
        <w:rPr>
          <w:rStyle w:val="libFootnotenumChar"/>
          <w:rtl/>
        </w:rPr>
        <w:t>(5)</w:t>
      </w:r>
      <w:r w:rsidRPr="00C9040A">
        <w:rPr>
          <w:rtl/>
          <w:lang w:bidi="fa-IR"/>
        </w:rPr>
        <w:t xml:space="preserve"> رَاغِبٌ فِي الْجِهَادِ نَشِيطٌ </w:t>
      </w:r>
      <w:r w:rsidR="006C577F" w:rsidRPr="006C577F">
        <w:rPr>
          <w:rStyle w:val="libFootnotenumChar"/>
          <w:rtl/>
        </w:rPr>
        <w:t>(6)</w:t>
      </w:r>
      <w:r w:rsidR="00BD2F54" w:rsidRPr="00C9040A">
        <w:rPr>
          <w:rtl/>
          <w:lang w:bidi="fa-IR"/>
        </w:rPr>
        <w:t xml:space="preserve"> </w:t>
      </w:r>
      <w:r w:rsidRPr="00C9040A">
        <w:rPr>
          <w:rtl/>
          <w:lang w:bidi="fa-IR"/>
        </w:rPr>
        <w:t>»</w:t>
      </w:r>
      <w:r>
        <w:rPr>
          <w:rtl/>
          <w:lang w:bidi="fa-IR"/>
        </w:rPr>
        <w:t>.</w:t>
      </w:r>
    </w:p>
    <w:p w:rsidR="008A74EB" w:rsidRPr="00C9040A" w:rsidRDefault="008A74EB" w:rsidP="008A74EB">
      <w:pPr>
        <w:pStyle w:val="libNormal"/>
        <w:rPr>
          <w:rtl/>
          <w:lang w:bidi="fa-IR"/>
        </w:rPr>
      </w:pPr>
      <w:r w:rsidRPr="00C9040A">
        <w:rPr>
          <w:rtl/>
          <w:lang w:bidi="fa-IR"/>
        </w:rPr>
        <w:t xml:space="preserve">قَالَ : « فَقَالَ لَهُ النَّبِيُّ </w:t>
      </w:r>
      <w:r w:rsidR="004A4E41" w:rsidRPr="004A4E41">
        <w:rPr>
          <w:rStyle w:val="libAlaemChar"/>
          <w:rtl/>
        </w:rPr>
        <w:t>صلى‌الله‌عليه‌وآله</w:t>
      </w:r>
      <w:r w:rsidRPr="00C9040A">
        <w:rPr>
          <w:rtl/>
          <w:lang w:bidi="fa-IR"/>
        </w:rPr>
        <w:t xml:space="preserve"> : فَجَاهِدْ فِي سَبِيلِ اللهِ ؛ فَإِنَّكَ إِنْ تُقْتَلْ تَكُنْ حَيّاً عِنْدَ اللهِ تُرْزَقُ ، وَإِنْ تَمُتْ فَقَدْ وَقَعَ أَجْرُكَ عَلَى اللهِ ، وَإِنْ رَجَعْتَ ، رَجَعْتَ </w:t>
      </w:r>
      <w:r w:rsidR="006C577F" w:rsidRPr="006C577F">
        <w:rPr>
          <w:rStyle w:val="libFootnotenumChar"/>
          <w:rtl/>
        </w:rPr>
        <w:t>(7)</w:t>
      </w:r>
      <w:r w:rsidRPr="00C9040A">
        <w:rPr>
          <w:rtl/>
          <w:lang w:bidi="fa-IR"/>
        </w:rPr>
        <w:t xml:space="preserve"> مِنَ الذُّنُوبِ كَمَا وُلِدْتَ </w:t>
      </w:r>
      <w:r w:rsidR="006C577F" w:rsidRPr="006C577F">
        <w:rPr>
          <w:rStyle w:val="libFootnotenumChar"/>
          <w:rtl/>
        </w:rPr>
        <w:t>(8)</w:t>
      </w:r>
      <w:r w:rsidR="00A776F2" w:rsidRPr="00A776F2">
        <w:rPr>
          <w:rFonts w:hint="cs"/>
          <w:rtl/>
        </w:rPr>
        <w:t>.</w:t>
      </w:r>
    </w:p>
    <w:p w:rsidR="008A74EB" w:rsidRPr="00C9040A" w:rsidRDefault="008A74EB" w:rsidP="008A74EB">
      <w:pPr>
        <w:pStyle w:val="libNormal"/>
        <w:rPr>
          <w:rtl/>
          <w:lang w:bidi="fa-IR"/>
        </w:rPr>
      </w:pPr>
      <w:r w:rsidRPr="00C9040A">
        <w:rPr>
          <w:rtl/>
          <w:lang w:bidi="fa-IR"/>
        </w:rPr>
        <w:t xml:space="preserve">قَالَ : يَا رَسُولَ اللهِ ، إِنَّ لِي وَالِدَيْنِ كَبِيرَيْنِ يَزْعُمَانِ أَنَّهُمَا يَأْنَسَانِ بِي </w:t>
      </w:r>
      <w:r w:rsidR="006C577F" w:rsidRPr="006C577F">
        <w:rPr>
          <w:rStyle w:val="libFootnotenumChar"/>
          <w:rtl/>
        </w:rPr>
        <w:t>(9)</w:t>
      </w:r>
      <w:r w:rsidRPr="00C9040A">
        <w:rPr>
          <w:rtl/>
          <w:lang w:bidi="fa-IR"/>
        </w:rPr>
        <w:t xml:space="preserve"> وَيَكْرَهَانِ خُرُوجِي.</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A776F2" w:rsidTr="00A776F2">
        <w:tc>
          <w:tcPr>
            <w:tcW w:w="4006" w:type="dxa"/>
          </w:tcPr>
          <w:p w:rsidR="00A776F2" w:rsidRDefault="00A776F2" w:rsidP="004A4E41">
            <w:pPr>
              <w:pStyle w:val="libFootnote0"/>
              <w:rPr>
                <w:rtl/>
              </w:rPr>
            </w:pPr>
            <w:r>
              <w:rPr>
                <w:rtl/>
              </w:rPr>
              <w:t xml:space="preserve">(1). </w:t>
            </w:r>
            <w:r w:rsidRPr="00C9040A">
              <w:rPr>
                <w:rtl/>
              </w:rPr>
              <w:t>في حاشية « ف » : « فداوهما »</w:t>
            </w:r>
            <w:r>
              <w:rPr>
                <w:rtl/>
              </w:rPr>
              <w:t>.</w:t>
            </w:r>
          </w:p>
        </w:tc>
        <w:tc>
          <w:tcPr>
            <w:tcW w:w="4006" w:type="dxa"/>
          </w:tcPr>
          <w:p w:rsidR="00A776F2" w:rsidRDefault="00A776F2" w:rsidP="004A4E41">
            <w:pPr>
              <w:pStyle w:val="libFootnote0"/>
              <w:rPr>
                <w:rtl/>
              </w:rPr>
            </w:pPr>
            <w:r>
              <w:rPr>
                <w:rtl/>
              </w:rPr>
              <w:t xml:space="preserve">(2). </w:t>
            </w:r>
            <w:r w:rsidRPr="00C9040A">
              <w:rPr>
                <w:rtl/>
              </w:rPr>
              <w:t>في « ب » : « بالعقوبة »</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w:t>
      </w:r>
      <w:r w:rsidR="008A74EB" w:rsidRPr="00993B55">
        <w:rPr>
          <w:rStyle w:val="libFootnoteBoldChar"/>
          <w:rtl/>
        </w:rPr>
        <w:t>الوافي</w:t>
      </w:r>
      <w:r w:rsidR="008A74EB" w:rsidRPr="00C9040A">
        <w:rPr>
          <w:rtl/>
        </w:rPr>
        <w:t xml:space="preserve"> ، ج 5 ، ص 498 ، ح 2427 ؛ </w:t>
      </w:r>
      <w:r w:rsidR="008A74EB" w:rsidRPr="00993B55">
        <w:rPr>
          <w:rStyle w:val="libFootnoteBoldChar"/>
          <w:rtl/>
        </w:rPr>
        <w:t>الوسائل</w:t>
      </w:r>
      <w:r w:rsidR="008A74EB" w:rsidRPr="00C9040A">
        <w:rPr>
          <w:rtl/>
        </w:rPr>
        <w:t xml:space="preserve"> ، ج 21 ، ص 490 ، ح 27667 ؛ </w:t>
      </w:r>
      <w:r w:rsidR="008A74EB" w:rsidRPr="00993B55">
        <w:rPr>
          <w:rStyle w:val="libFootnoteBoldChar"/>
          <w:rtl/>
        </w:rPr>
        <w:t>البحار</w:t>
      </w:r>
      <w:r w:rsidR="008A74EB" w:rsidRPr="00C9040A">
        <w:rPr>
          <w:rtl/>
        </w:rPr>
        <w:t xml:space="preserve"> ، ج 74 ، ص 47 ، ح 8.</w:t>
      </w:r>
    </w:p>
    <w:p w:rsidR="008A74EB" w:rsidRPr="00C9040A" w:rsidRDefault="006C577F" w:rsidP="00786C49">
      <w:pPr>
        <w:pStyle w:val="libFootnote0"/>
        <w:rPr>
          <w:rtl/>
          <w:lang w:bidi="fa-IR"/>
        </w:rPr>
      </w:pPr>
      <w:r>
        <w:rPr>
          <w:rtl/>
        </w:rPr>
        <w:t>(4).</w:t>
      </w:r>
      <w:r w:rsidR="008A74EB" w:rsidRPr="00C9040A">
        <w:rPr>
          <w:rtl/>
        </w:rPr>
        <w:t xml:space="preserve"> </w:t>
      </w:r>
      <w:r w:rsidR="008A74EB" w:rsidRPr="00993B55">
        <w:rPr>
          <w:rStyle w:val="libFootnoteBoldChar"/>
          <w:rtl/>
        </w:rPr>
        <w:t>الزهد</w:t>
      </w:r>
      <w:r w:rsidR="008A74EB" w:rsidRPr="00C9040A">
        <w:rPr>
          <w:rtl/>
        </w:rPr>
        <w:t xml:space="preserve"> ، ص 106 ، ح 110 ، عن محمّد بن أبي عمير. راجع : </w:t>
      </w:r>
      <w:r w:rsidR="008A74EB" w:rsidRPr="00993B55">
        <w:rPr>
          <w:rStyle w:val="libFootnoteBoldChar"/>
          <w:rtl/>
        </w:rPr>
        <w:t>الكافي</w:t>
      </w:r>
      <w:r w:rsidR="008A74EB" w:rsidRPr="00C9040A">
        <w:rPr>
          <w:rtl/>
        </w:rPr>
        <w:t xml:space="preserve"> ، كتاب العقيقة ، باب برّ الأولاد ، ح 10616 ؛ و</w:t>
      </w:r>
      <w:r w:rsidR="008A74EB" w:rsidRPr="00993B55">
        <w:rPr>
          <w:rStyle w:val="libFootnoteBoldChar"/>
          <w:rtl/>
        </w:rPr>
        <w:t>التهذيب</w:t>
      </w:r>
      <w:r w:rsidR="008A74EB" w:rsidRPr="00C9040A">
        <w:rPr>
          <w:rtl/>
        </w:rPr>
        <w:t xml:space="preserve"> ، ج 8 ، ص 113 ، ح 388 </w:t>
      </w:r>
      <w:r w:rsidR="00786C49">
        <w:rPr>
          <w:rFonts w:hint="cs"/>
          <w:rtl/>
        </w:rPr>
        <w:t>.</w:t>
      </w:r>
      <w:r w:rsidR="008A74EB" w:rsidRPr="00993B55">
        <w:rPr>
          <w:rStyle w:val="libFootnoteBoldChar"/>
          <w:rtl/>
        </w:rPr>
        <w:t>الوافي</w:t>
      </w:r>
      <w:r w:rsidR="008A74EB" w:rsidRPr="00C9040A">
        <w:rPr>
          <w:rtl/>
        </w:rPr>
        <w:t xml:space="preserve"> ، ج 5 ، ص 497 ، ح 2421 ؛ </w:t>
      </w:r>
      <w:r w:rsidR="008A74EB" w:rsidRPr="00993B55">
        <w:rPr>
          <w:rStyle w:val="libFootnoteBoldChar"/>
          <w:rtl/>
        </w:rPr>
        <w:t>الوسائل</w:t>
      </w:r>
      <w:r w:rsidR="008A74EB" w:rsidRPr="00C9040A">
        <w:rPr>
          <w:rtl/>
        </w:rPr>
        <w:t xml:space="preserve"> ، ج 21 ، ص 491 ، ح 27670 ؛ </w:t>
      </w:r>
      <w:r w:rsidR="008A74EB" w:rsidRPr="00993B55">
        <w:rPr>
          <w:rStyle w:val="libFootnoteBoldChar"/>
          <w:rtl/>
        </w:rPr>
        <w:t>البحار</w:t>
      </w:r>
      <w:r w:rsidR="008A74EB" w:rsidRPr="00C9040A">
        <w:rPr>
          <w:rtl/>
        </w:rPr>
        <w:t xml:space="preserve"> ، ج 74 ، ص 49 ، ح 9.</w:t>
      </w:r>
      <w:r w:rsidR="00786C49">
        <w:rPr>
          <w:rFonts w:hint="cs"/>
          <w:rtl/>
        </w:rPr>
        <w:t xml:space="preserve">          </w:t>
      </w:r>
      <w:r>
        <w:rPr>
          <w:rtl/>
        </w:rPr>
        <w:t>(5).</w:t>
      </w:r>
      <w:r w:rsidR="008A74EB" w:rsidRPr="00C9040A">
        <w:rPr>
          <w:rtl/>
        </w:rPr>
        <w:t xml:space="preserve"> في « ض » : « إنّني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 نشيط » ، أي سريع ، يقال : نشط في عمله ، أي خفّ وأسرع. راجع : </w:t>
      </w:r>
      <w:r w:rsidR="008A74EB" w:rsidRPr="00993B55">
        <w:rPr>
          <w:rStyle w:val="libFootnoteBoldChar"/>
          <w:rtl/>
        </w:rPr>
        <w:t>المصباح المنير</w:t>
      </w:r>
      <w:r w:rsidR="008A74EB" w:rsidRPr="00C9040A">
        <w:rPr>
          <w:rtl/>
        </w:rPr>
        <w:t xml:space="preserve"> ، ص 606 ( نشط )</w:t>
      </w:r>
      <w:r w:rsidR="008A74EB">
        <w:rPr>
          <w:rtl/>
        </w:rPr>
        <w:t>.</w:t>
      </w:r>
    </w:p>
    <w:tbl>
      <w:tblPr>
        <w:tblStyle w:val="TableGrid"/>
        <w:bidiVisual/>
        <w:tblW w:w="0" w:type="auto"/>
        <w:tblLook w:val="04A0" w:firstRow="1" w:lastRow="0" w:firstColumn="1" w:lastColumn="0" w:noHBand="0" w:noVBand="1"/>
      </w:tblPr>
      <w:tblGrid>
        <w:gridCol w:w="4006"/>
        <w:gridCol w:w="4006"/>
      </w:tblGrid>
      <w:tr w:rsidR="00786C49" w:rsidTr="00786C49">
        <w:tc>
          <w:tcPr>
            <w:tcW w:w="4006" w:type="dxa"/>
          </w:tcPr>
          <w:p w:rsidR="00786C49" w:rsidRDefault="00786C49" w:rsidP="004A4E41">
            <w:pPr>
              <w:pStyle w:val="libFootnote0"/>
              <w:rPr>
                <w:rtl/>
              </w:rPr>
            </w:pPr>
            <w:r>
              <w:rPr>
                <w:rtl/>
              </w:rPr>
              <w:t>(7).</w:t>
            </w:r>
            <w:r w:rsidRPr="00C9040A">
              <w:rPr>
                <w:rtl/>
              </w:rPr>
              <w:t xml:space="preserve"> في الأمالي : « خرجت »</w:t>
            </w:r>
            <w:r>
              <w:rPr>
                <w:rtl/>
              </w:rPr>
              <w:t>.</w:t>
            </w:r>
          </w:p>
        </w:tc>
        <w:tc>
          <w:tcPr>
            <w:tcW w:w="4006" w:type="dxa"/>
          </w:tcPr>
          <w:p w:rsidR="00786C49" w:rsidRDefault="00786C49" w:rsidP="004A4E41">
            <w:pPr>
              <w:pStyle w:val="libFootnote0"/>
              <w:rPr>
                <w:rtl/>
              </w:rPr>
            </w:pPr>
            <w:r>
              <w:rPr>
                <w:rtl/>
              </w:rPr>
              <w:t>(8). في «ض ، ف»وحاشية«ز ، ف</w:t>
            </w:r>
            <w:r w:rsidRPr="00C9040A">
              <w:rPr>
                <w:rtl/>
              </w:rPr>
              <w:t>» : + « ا</w:t>
            </w:r>
            <w:r>
              <w:rPr>
                <w:rFonts w:hint="cs"/>
                <w:rtl/>
              </w:rPr>
              <w:t>ُ</w:t>
            </w:r>
            <w:r w:rsidRPr="00C9040A">
              <w:rPr>
                <w:rtl/>
              </w:rPr>
              <w:t>مّك »</w:t>
            </w:r>
            <w:r>
              <w:rPr>
                <w:rtl/>
              </w:rPr>
              <w:t>.</w:t>
            </w:r>
          </w:p>
        </w:tc>
      </w:tr>
    </w:tbl>
    <w:p w:rsidR="008A74EB" w:rsidRPr="00C9040A" w:rsidRDefault="006C577F" w:rsidP="004A4E41">
      <w:pPr>
        <w:pStyle w:val="libFootnote0"/>
        <w:rPr>
          <w:rtl/>
          <w:lang w:bidi="fa-IR"/>
        </w:rPr>
      </w:pPr>
      <w:r>
        <w:rPr>
          <w:rtl/>
        </w:rPr>
        <w:t>(9).</w:t>
      </w:r>
      <w:r w:rsidR="008A74EB" w:rsidRPr="00C9040A">
        <w:rPr>
          <w:rtl/>
        </w:rPr>
        <w:t xml:space="preserve"> في « ب » : « لي » وفي « ف » </w:t>
      </w:r>
      <w:r w:rsidR="008A74EB">
        <w:rPr>
          <w:rtl/>
        </w:rPr>
        <w:t xml:space="preserve">: </w:t>
      </w:r>
      <w:r w:rsidR="0084262C">
        <w:rPr>
          <w:rtl/>
        </w:rPr>
        <w:t>-</w:t>
      </w:r>
      <w:r w:rsidR="008A74EB" w:rsidRPr="00C9040A">
        <w:rPr>
          <w:rtl/>
        </w:rPr>
        <w:t xml:space="preserve"> « بي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فَقَالَ رَسُولُ اللهِ </w:t>
      </w:r>
      <w:r w:rsidR="004A4E41" w:rsidRPr="004A4E41">
        <w:rPr>
          <w:rStyle w:val="libAlaemChar"/>
          <w:rtl/>
        </w:rPr>
        <w:t>صلى‌الله‌عليه‌وآله</w:t>
      </w:r>
      <w:r w:rsidRPr="00C9040A">
        <w:rPr>
          <w:rtl/>
          <w:lang w:bidi="fa-IR"/>
        </w:rPr>
        <w:t xml:space="preserve"> : فَقِرَّ </w:t>
      </w:r>
      <w:r w:rsidR="006C577F" w:rsidRPr="006C577F">
        <w:rPr>
          <w:rStyle w:val="libFootnotenumChar"/>
          <w:rtl/>
        </w:rPr>
        <w:t>(1)</w:t>
      </w:r>
      <w:r w:rsidRPr="00C9040A">
        <w:rPr>
          <w:rtl/>
          <w:lang w:bidi="fa-IR"/>
        </w:rPr>
        <w:t xml:space="preserve"> مَعَ وَالِدَيْكَ ، فَوَ الَّذِي </w:t>
      </w:r>
      <w:r w:rsidR="006C577F" w:rsidRPr="006C577F">
        <w:rPr>
          <w:rStyle w:val="libFootnotenumChar"/>
          <w:rtl/>
        </w:rPr>
        <w:t>(2)</w:t>
      </w:r>
      <w:r w:rsidRPr="00C9040A">
        <w:rPr>
          <w:rtl/>
          <w:lang w:bidi="fa-IR"/>
        </w:rPr>
        <w:t xml:space="preserve"> نَفْسِي بِيَدِهِ ، لَأُنْسُهُمَا بِكَ يَوْماً وَلَيْلَةً خَيْرٌ مِنْ جِهَادِ سَنَةٍ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A06B9C">
        <w:rPr>
          <w:rtl/>
        </w:rPr>
        <w:t>2017</w:t>
      </w:r>
      <w:r w:rsidRPr="00261CB0">
        <w:rPr>
          <w:rStyle w:val="libBold2Char"/>
          <w:rtl/>
        </w:rPr>
        <w:t xml:space="preserve"> / 11.</w:t>
      </w:r>
      <w:r w:rsidRPr="00C9040A">
        <w:rPr>
          <w:rtl/>
          <w:lang w:bidi="fa-IR"/>
        </w:rPr>
        <w:t xml:space="preserve"> عِدَّةٌ مِنْ أَصْحَابِنَا ، عَنْ أَحْمَدَ بْنِ مُحَمَّدِ بْنِ خَالِدٍ </w:t>
      </w:r>
      <w:r w:rsidR="006C577F" w:rsidRPr="006C577F">
        <w:rPr>
          <w:rStyle w:val="libFootnotenumChar"/>
          <w:rtl/>
        </w:rPr>
        <w:t>(4)</w:t>
      </w:r>
      <w:r w:rsidRPr="00C9040A">
        <w:rPr>
          <w:rtl/>
          <w:lang w:bidi="fa-IR"/>
        </w:rPr>
        <w:t xml:space="preserve"> ، عَنْ عَلِيِّ بْنِ الْحَكَمِ ، عَنْ مُعَاوِيَةَ بْنِ وَهْبٍ ، عَنْ زَكَرِيَّا بْنِ إِبْرَاهِيمَ ، قَالَ :</w:t>
      </w:r>
    </w:p>
    <w:p w:rsidR="008A74EB" w:rsidRPr="00C9040A" w:rsidRDefault="008A74EB" w:rsidP="001E6ED2">
      <w:pPr>
        <w:pStyle w:val="libNormal"/>
        <w:rPr>
          <w:rtl/>
          <w:lang w:bidi="fa-IR"/>
        </w:rPr>
      </w:pPr>
      <w:r w:rsidRPr="00C9040A">
        <w:rPr>
          <w:rtl/>
          <w:lang w:bidi="fa-IR"/>
        </w:rPr>
        <w:t xml:space="preserve">كُنْتُ نَصْرَانِيّاً ، فَأَسْلَمْتُ وَحَجَجْتُ ، فَدَخَلْتُ </w:t>
      </w:r>
      <w:r w:rsidR="006C577F" w:rsidRPr="006C577F">
        <w:rPr>
          <w:rStyle w:val="libFootnotenumChar"/>
          <w:rtl/>
        </w:rPr>
        <w:t>(5)</w:t>
      </w:r>
      <w:r w:rsidRPr="00C9040A">
        <w:rPr>
          <w:rtl/>
          <w:lang w:bidi="fa-IR"/>
        </w:rPr>
        <w:t xml:space="preserve"> عَلى أَبِي عَبْدِ اللهِ </w:t>
      </w:r>
      <w:r w:rsidRPr="0003660B">
        <w:rPr>
          <w:rStyle w:val="libAlaemChar"/>
          <w:rtl/>
        </w:rPr>
        <w:t>عليه‌السلام</w:t>
      </w:r>
      <w:r w:rsidRPr="00C9040A">
        <w:rPr>
          <w:rtl/>
          <w:lang w:bidi="fa-IR"/>
        </w:rPr>
        <w:t xml:space="preserve"> ، فَقُلْتُ : إِنِّي كُنْتُ عَلَى النَّصْرَانِيَّةِ وَإِنِّي أَسْلَمْتُ ، فَقَالَ : « وَأَيَّ </w:t>
      </w:r>
      <w:r w:rsidR="006C577F" w:rsidRPr="006C577F">
        <w:rPr>
          <w:rStyle w:val="libFootnotenumChar"/>
          <w:rtl/>
        </w:rPr>
        <w:t>(6)</w:t>
      </w:r>
      <w:r w:rsidR="001E6ED2" w:rsidRPr="00C9040A">
        <w:rPr>
          <w:rtl/>
          <w:lang w:bidi="fa-IR"/>
        </w:rPr>
        <w:t xml:space="preserve"> </w:t>
      </w:r>
      <w:r w:rsidRPr="00C9040A">
        <w:rPr>
          <w:rtl/>
          <w:lang w:bidi="fa-IR"/>
        </w:rPr>
        <w:t>شَيْ‌ءٍ رَأَيْتَ فِي الْإِسْلَامِ</w:t>
      </w:r>
      <w:r>
        <w:rPr>
          <w:rtl/>
          <w:lang w:bidi="fa-IR"/>
        </w:rPr>
        <w:t>؟</w:t>
      </w:r>
      <w:r w:rsidRPr="00C9040A">
        <w:rPr>
          <w:rtl/>
          <w:lang w:bidi="fa-IR"/>
        </w:rPr>
        <w:t xml:space="preserve"> » قُلْتُ : قَوْلَ اللهِ عَزَّ وَجَلَّ : </w:t>
      </w:r>
      <w:r w:rsidRPr="0003660B">
        <w:rPr>
          <w:rStyle w:val="libAlaemChar"/>
          <w:rtl/>
        </w:rPr>
        <w:t>(</w:t>
      </w:r>
      <w:r w:rsidRPr="006A2246">
        <w:rPr>
          <w:rStyle w:val="libAieChar"/>
          <w:rtl/>
        </w:rPr>
        <w:t xml:space="preserve"> ما كُنْتَ تَدْرِي مَا الْكِتابُ وَلَا الْإِيمانُ وَلكِنْ جَعَلْناهُ نُوراً نَهْدِي بِهِ مَنْ نَشاءُ </w:t>
      </w:r>
      <w:r w:rsidRPr="0003660B">
        <w:rPr>
          <w:rStyle w:val="libAlaemChar"/>
          <w:rtl/>
        </w:rPr>
        <w:t>)</w:t>
      </w:r>
      <w:r w:rsidRPr="00C9040A">
        <w:rPr>
          <w:rtl/>
          <w:lang w:bidi="fa-IR"/>
        </w:rPr>
        <w:t xml:space="preserve"> </w:t>
      </w:r>
      <w:r w:rsidR="006C577F" w:rsidRPr="006C577F">
        <w:rPr>
          <w:rStyle w:val="libFootnotenumChar"/>
          <w:rtl/>
        </w:rPr>
        <w:t>(7)</w:t>
      </w:r>
      <w:r w:rsidRPr="00C9040A">
        <w:rPr>
          <w:rtl/>
          <w:lang w:bidi="fa-IR"/>
        </w:rPr>
        <w:t xml:space="preserve"> فَقَالَ : « لَقَدْ </w:t>
      </w:r>
      <w:r w:rsidR="006C577F" w:rsidRPr="006C577F">
        <w:rPr>
          <w:rStyle w:val="libFootnotenumChar"/>
          <w:rtl/>
        </w:rPr>
        <w:t>(8)</w:t>
      </w:r>
      <w:r w:rsidRPr="00C9040A">
        <w:rPr>
          <w:rtl/>
          <w:lang w:bidi="fa-IR"/>
        </w:rPr>
        <w:t xml:space="preserve"> هَدَاكَ اللهُ »</w:t>
      </w:r>
      <w:r>
        <w:rPr>
          <w:rtl/>
          <w:lang w:bidi="fa-IR"/>
        </w:rPr>
        <w:t>.</w:t>
      </w:r>
      <w:r w:rsidRPr="00C9040A">
        <w:rPr>
          <w:rtl/>
          <w:lang w:bidi="fa-IR"/>
        </w:rPr>
        <w:t xml:space="preserve"> ثُمَّ قَالَ : « الل</w:t>
      </w:r>
      <w:r w:rsidR="00432566">
        <w:rPr>
          <w:rFonts w:hint="cs"/>
          <w:rtl/>
          <w:lang w:bidi="fa-IR"/>
        </w:rPr>
        <w:t>َّ</w:t>
      </w:r>
      <w:r w:rsidRPr="00C9040A">
        <w:rPr>
          <w:rtl/>
          <w:lang w:bidi="fa-IR"/>
        </w:rPr>
        <w:t xml:space="preserve">هُمَّ اهْدِهِ </w:t>
      </w:r>
      <w:r w:rsidR="006C577F" w:rsidRPr="006C577F">
        <w:rPr>
          <w:rStyle w:val="libFootnotenumChar"/>
          <w:rtl/>
        </w:rPr>
        <w:t>(9)</w:t>
      </w:r>
      <w:r>
        <w:rPr>
          <w:rtl/>
          <w:lang w:bidi="fa-IR"/>
        </w:rPr>
        <w:t xml:space="preserve"> </w:t>
      </w:r>
      <w:r w:rsidR="0084262C">
        <w:rPr>
          <w:rtl/>
          <w:lang w:bidi="fa-IR"/>
        </w:rPr>
        <w:t>-</w:t>
      </w:r>
      <w:r>
        <w:rPr>
          <w:rtl/>
          <w:lang w:bidi="fa-IR"/>
        </w:rPr>
        <w:t xml:space="preserve"> </w:t>
      </w:r>
      <w:r w:rsidRPr="00C9040A">
        <w:rPr>
          <w:rtl/>
          <w:lang w:bidi="fa-IR"/>
        </w:rPr>
        <w:t>ثَلَاثاً</w:t>
      </w:r>
      <w:r>
        <w:rPr>
          <w:rtl/>
          <w:lang w:bidi="fa-IR"/>
        </w:rPr>
        <w:t xml:space="preserve"> </w:t>
      </w:r>
      <w:r w:rsidR="0084262C">
        <w:rPr>
          <w:rtl/>
          <w:lang w:bidi="fa-IR"/>
        </w:rPr>
        <w:t>-</w:t>
      </w:r>
      <w:r>
        <w:rPr>
          <w:rtl/>
          <w:lang w:bidi="fa-IR"/>
        </w:rPr>
        <w:t xml:space="preserve"> </w:t>
      </w:r>
      <w:r w:rsidRPr="00C9040A">
        <w:rPr>
          <w:rtl/>
          <w:lang w:bidi="fa-IR"/>
        </w:rPr>
        <w:t>سَلْ عَمَّا شِئْتَ يَا بُنَيَّ »</w:t>
      </w:r>
      <w:r>
        <w:rPr>
          <w:rtl/>
          <w:lang w:bidi="fa-IR"/>
        </w:rPr>
        <w:t>.</w:t>
      </w:r>
    </w:p>
    <w:p w:rsidR="008A74EB" w:rsidRPr="00C9040A" w:rsidRDefault="008A74EB" w:rsidP="008A74EB">
      <w:pPr>
        <w:pStyle w:val="libNormal"/>
        <w:rPr>
          <w:rtl/>
          <w:lang w:bidi="fa-IR"/>
        </w:rPr>
      </w:pPr>
      <w:r w:rsidRPr="00C9040A">
        <w:rPr>
          <w:rtl/>
          <w:lang w:bidi="fa-IR"/>
        </w:rPr>
        <w:t xml:space="preserve">فَقُلْتُ : إِنَّ أَبِي وَأُمِّي </w:t>
      </w:r>
      <w:r w:rsidR="006C577F" w:rsidRPr="006C577F">
        <w:rPr>
          <w:rStyle w:val="libFootnotenumChar"/>
          <w:rtl/>
        </w:rPr>
        <w:t>(10)</w:t>
      </w:r>
      <w:r w:rsidRPr="00C9040A">
        <w:rPr>
          <w:rtl/>
          <w:lang w:bidi="fa-IR"/>
        </w:rPr>
        <w:t xml:space="preserve"> عَلَى النَّصْرَانِيَّةِ وَأَهْلَ بَيْتِي ، وَأُمِّي مَكْفُوفَةُ الْبَصَرِ ، فَأَكُونُ مَعَهُمْ ، وَآكُلُ فِي آنِيَتِهِمْ</w:t>
      </w:r>
      <w:r>
        <w:rPr>
          <w:rtl/>
          <w:lang w:bidi="fa-IR"/>
        </w:rPr>
        <w:t>؟</w:t>
      </w:r>
      <w:r w:rsidRPr="00C9040A">
        <w:rPr>
          <w:rtl/>
          <w:lang w:bidi="fa-IR"/>
        </w:rPr>
        <w:t xml:space="preserve"> فَقَالَ </w:t>
      </w:r>
      <w:r w:rsidR="006C577F" w:rsidRPr="006C577F">
        <w:rPr>
          <w:rStyle w:val="libFootnotenumChar"/>
          <w:rtl/>
        </w:rPr>
        <w:t>(11)</w:t>
      </w:r>
      <w:r w:rsidRPr="00C9040A">
        <w:rPr>
          <w:rtl/>
          <w:lang w:bidi="fa-IR"/>
        </w:rPr>
        <w:t xml:space="preserve"> : « يَأْكُلُونَ </w:t>
      </w:r>
      <w:r w:rsidR="006C577F" w:rsidRPr="006C577F">
        <w:rPr>
          <w:rStyle w:val="libFootnotenumChar"/>
          <w:rtl/>
        </w:rPr>
        <w:t>(12)</w:t>
      </w:r>
      <w:r w:rsidRPr="00C9040A">
        <w:rPr>
          <w:rtl/>
          <w:lang w:bidi="fa-IR"/>
        </w:rPr>
        <w:t xml:space="preserve"> لَحْمَ الْخِنْزِيرِ</w:t>
      </w:r>
      <w:r>
        <w:rPr>
          <w:rtl/>
          <w:lang w:bidi="fa-IR"/>
        </w:rPr>
        <w:t>؟</w:t>
      </w:r>
      <w:r w:rsidRPr="00C9040A">
        <w:rPr>
          <w:rtl/>
          <w:lang w:bidi="fa-IR"/>
        </w:rPr>
        <w:t xml:space="preserve"> » فَقُلْتُ </w:t>
      </w:r>
      <w:r w:rsidRPr="005B567D">
        <w:rPr>
          <w:rStyle w:val="libFootnotenumChar"/>
          <w:rtl/>
        </w:rPr>
        <w:t>(13)</w:t>
      </w:r>
      <w:r w:rsidRPr="00C9040A">
        <w:rPr>
          <w:rtl/>
          <w:lang w:bidi="fa-IR"/>
        </w:rPr>
        <w:t xml:space="preserve"> : لَا ، وَلَا يَمَسُّونَهُ ، فَقَالَ : « لَا بَأْسَ ، فَانْظُرْ أُمَّكَ فَبَرَّهَا ، فَإِذَا مَاتَتْ فَلَا تَكِلْهَا إِلى غَيْرِكَ ، كُنْ </w:t>
      </w:r>
      <w:r w:rsidRPr="005B567D">
        <w:rPr>
          <w:rStyle w:val="libFootnotenumChar"/>
          <w:rtl/>
        </w:rPr>
        <w:t>(14)</w:t>
      </w:r>
      <w:r w:rsidRPr="00C9040A">
        <w:rPr>
          <w:rtl/>
          <w:lang w:bidi="fa-IR"/>
        </w:rPr>
        <w:t xml:space="preserve"> أَنْتَ الَّذِي‌</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7B6E93" w:rsidTr="007B6E93">
        <w:tc>
          <w:tcPr>
            <w:tcW w:w="4006" w:type="dxa"/>
          </w:tcPr>
          <w:p w:rsidR="007B6E93" w:rsidRDefault="007B6E93" w:rsidP="004A4E41">
            <w:pPr>
              <w:pStyle w:val="libFootnote0"/>
              <w:rPr>
                <w:rtl/>
              </w:rPr>
            </w:pPr>
            <w:r>
              <w:rPr>
                <w:rtl/>
              </w:rPr>
              <w:t xml:space="preserve">(1). </w:t>
            </w:r>
            <w:r w:rsidRPr="00C9040A">
              <w:rPr>
                <w:rtl/>
              </w:rPr>
              <w:t>في « ض » : « فأقم »</w:t>
            </w:r>
            <w:r>
              <w:rPr>
                <w:rtl/>
              </w:rPr>
              <w:t>.</w:t>
            </w:r>
            <w:r w:rsidRPr="00C9040A">
              <w:rPr>
                <w:rtl/>
              </w:rPr>
              <w:t xml:space="preserve"> وفي الأمالي : « أقم »</w:t>
            </w:r>
            <w:r>
              <w:rPr>
                <w:rtl/>
              </w:rPr>
              <w:t>.</w:t>
            </w:r>
          </w:p>
        </w:tc>
        <w:tc>
          <w:tcPr>
            <w:tcW w:w="4006" w:type="dxa"/>
          </w:tcPr>
          <w:p w:rsidR="007B6E93" w:rsidRDefault="007B6E93" w:rsidP="004A4E41">
            <w:pPr>
              <w:pStyle w:val="libFootnote0"/>
              <w:rPr>
                <w:rtl/>
              </w:rPr>
            </w:pPr>
            <w:r>
              <w:rPr>
                <w:rtl/>
              </w:rPr>
              <w:t xml:space="preserve">(2). </w:t>
            </w:r>
            <w:r w:rsidRPr="00C9040A">
              <w:rPr>
                <w:rtl/>
              </w:rPr>
              <w:t xml:space="preserve">في « ز » : + « بعثني بالحقّ نبيّاً </w:t>
            </w:r>
            <w:r>
              <w:rPr>
                <w:rtl/>
              </w:rPr>
              <w:t>و ».</w:t>
            </w:r>
          </w:p>
        </w:tc>
      </w:tr>
    </w:tbl>
    <w:p w:rsidR="008A74EB" w:rsidRPr="00C9040A" w:rsidRDefault="006C577F" w:rsidP="00F5014A">
      <w:pPr>
        <w:pStyle w:val="libFootnote0"/>
        <w:rPr>
          <w:rtl/>
          <w:lang w:bidi="fa-IR"/>
        </w:rPr>
      </w:pPr>
      <w:r>
        <w:rPr>
          <w:rtl/>
        </w:rPr>
        <w:t>(3).</w:t>
      </w:r>
      <w:r w:rsidR="008A74EB" w:rsidRPr="00C9040A">
        <w:rPr>
          <w:rtl/>
        </w:rPr>
        <w:t xml:space="preserve"> </w:t>
      </w:r>
      <w:r w:rsidR="008A74EB" w:rsidRPr="0034021D">
        <w:rPr>
          <w:rStyle w:val="libFootnoteBoldChar"/>
          <w:rtl/>
        </w:rPr>
        <w:t>الأمالي للصدوق</w:t>
      </w:r>
      <w:r w:rsidR="008A74EB" w:rsidRPr="00C9040A">
        <w:rPr>
          <w:rtl/>
        </w:rPr>
        <w:t xml:space="preserve"> ، ص 461 ، المجلس 70 ، ح 8 ، بسنده عن أحمد بن النضر. </w:t>
      </w:r>
      <w:r w:rsidR="008A74EB" w:rsidRPr="00993B55">
        <w:rPr>
          <w:rStyle w:val="libFootnoteBoldChar"/>
          <w:rtl/>
        </w:rPr>
        <w:t>تفسير العيّاشي</w:t>
      </w:r>
      <w:r w:rsidR="008A74EB" w:rsidRPr="00C9040A">
        <w:rPr>
          <w:rtl/>
        </w:rPr>
        <w:t xml:space="preserve"> ، ج 1 ، ص 206 ، ح 152 ، عن جابر ، عن أبي جعفر </w:t>
      </w:r>
      <w:r w:rsidR="00117575" w:rsidRPr="00117575">
        <w:rPr>
          <w:rStyle w:val="libFootnoteAlaemChar"/>
          <w:rtl/>
        </w:rPr>
        <w:t>عليه‌السلام</w:t>
      </w:r>
      <w:r w:rsidR="008A74EB" w:rsidRPr="00C9040A">
        <w:rPr>
          <w:rtl/>
        </w:rPr>
        <w:t xml:space="preserve"> ، إلى قوله : « وإن رجعت رجعت من الذنوب » مع اختلاف يسير وزيادة في آخره </w:t>
      </w:r>
      <w:r w:rsidR="00F5014A">
        <w:rPr>
          <w:rFonts w:hint="cs"/>
          <w:rtl/>
        </w:rPr>
        <w:t>.</w:t>
      </w:r>
      <w:r w:rsidR="008A74EB" w:rsidRPr="00993B55">
        <w:rPr>
          <w:rStyle w:val="libFootnoteBoldChar"/>
          <w:rtl/>
        </w:rPr>
        <w:t>الوافي</w:t>
      </w:r>
      <w:r w:rsidR="008A74EB" w:rsidRPr="00C9040A">
        <w:rPr>
          <w:rtl/>
        </w:rPr>
        <w:t xml:space="preserve"> ، ج 5 ، ص 497 ، ح 2422 ؛ </w:t>
      </w:r>
      <w:r w:rsidR="008A74EB" w:rsidRPr="00993B55">
        <w:rPr>
          <w:rStyle w:val="libFootnoteBoldChar"/>
          <w:rtl/>
        </w:rPr>
        <w:t>الوسائل</w:t>
      </w:r>
      <w:r w:rsidR="008A74EB" w:rsidRPr="00C9040A">
        <w:rPr>
          <w:rtl/>
        </w:rPr>
        <w:t xml:space="preserve"> ، ج 15 ، ص 20 ، ذيل ح 19929 ؛ </w:t>
      </w:r>
      <w:r w:rsidR="008A74EB" w:rsidRPr="00993B55">
        <w:rPr>
          <w:rStyle w:val="libFootnoteBoldChar"/>
          <w:rtl/>
        </w:rPr>
        <w:t>البحار</w:t>
      </w:r>
      <w:r w:rsidR="008A74EB" w:rsidRPr="00C9040A">
        <w:rPr>
          <w:rtl/>
        </w:rPr>
        <w:t xml:space="preserve"> ، ج 74 ، ص 52 ، ح 10.</w:t>
      </w:r>
      <w:r w:rsidR="00F5014A">
        <w:rPr>
          <w:rFonts w:hint="cs"/>
          <w:rtl/>
        </w:rPr>
        <w:t xml:space="preserve">                  </w:t>
      </w:r>
      <w:r w:rsidR="00151BC5">
        <w:rPr>
          <w:rFonts w:hint="cs"/>
          <w:rtl/>
        </w:rPr>
        <w:t xml:space="preserve"> </w:t>
      </w:r>
      <w:r w:rsidR="00F5014A">
        <w:rPr>
          <w:rFonts w:hint="cs"/>
          <w:rtl/>
        </w:rPr>
        <w:t xml:space="preserve">     </w:t>
      </w:r>
      <w:r>
        <w:rPr>
          <w:rtl/>
        </w:rPr>
        <w:t>(4).</w:t>
      </w:r>
      <w:r w:rsidR="008A74EB" w:rsidRPr="00C9040A">
        <w:rPr>
          <w:rtl/>
        </w:rPr>
        <w:t xml:space="preserve"> في « ز » </w:t>
      </w:r>
      <w:r w:rsidR="008A74EB">
        <w:rPr>
          <w:rtl/>
        </w:rPr>
        <w:t xml:space="preserve">: </w:t>
      </w:r>
      <w:r w:rsidR="0084262C">
        <w:rPr>
          <w:rtl/>
        </w:rPr>
        <w:t>-</w:t>
      </w:r>
      <w:r w:rsidR="008A74EB" w:rsidRPr="00C9040A">
        <w:rPr>
          <w:rtl/>
        </w:rPr>
        <w:t xml:space="preserve"> « بن خالد »</w:t>
      </w:r>
      <w:r w:rsidR="008A74EB">
        <w:rPr>
          <w:rtl/>
        </w:rPr>
        <w:t>.</w:t>
      </w:r>
    </w:p>
    <w:tbl>
      <w:tblPr>
        <w:tblStyle w:val="TableGrid"/>
        <w:bidiVisual/>
        <w:tblW w:w="0" w:type="auto"/>
        <w:tblLook w:val="04A0" w:firstRow="1" w:lastRow="0" w:firstColumn="1" w:lastColumn="0" w:noHBand="0" w:noVBand="1"/>
      </w:tblPr>
      <w:tblGrid>
        <w:gridCol w:w="4006"/>
        <w:gridCol w:w="4006"/>
      </w:tblGrid>
      <w:tr w:rsidR="004975EE" w:rsidTr="004975EE">
        <w:tc>
          <w:tcPr>
            <w:tcW w:w="4006" w:type="dxa"/>
          </w:tcPr>
          <w:p w:rsidR="004975EE" w:rsidRDefault="004975EE" w:rsidP="004A4E41">
            <w:pPr>
              <w:pStyle w:val="libFootnote0"/>
              <w:rPr>
                <w:rtl/>
              </w:rPr>
            </w:pPr>
            <w:r>
              <w:rPr>
                <w:rtl/>
              </w:rPr>
              <w:t>(5).</w:t>
            </w:r>
            <w:r w:rsidRPr="00C9040A">
              <w:rPr>
                <w:rtl/>
              </w:rPr>
              <w:t xml:space="preserve"> في « ب ، ج » : « ودخلت »</w:t>
            </w:r>
            <w:r>
              <w:rPr>
                <w:rtl/>
              </w:rPr>
              <w:t>.</w:t>
            </w:r>
          </w:p>
        </w:tc>
        <w:tc>
          <w:tcPr>
            <w:tcW w:w="4006" w:type="dxa"/>
          </w:tcPr>
          <w:p w:rsidR="004975EE" w:rsidRDefault="004975EE" w:rsidP="004A4E41">
            <w:pPr>
              <w:pStyle w:val="libFootnote0"/>
              <w:rPr>
                <w:rtl/>
              </w:rPr>
            </w:pPr>
            <w:r>
              <w:rPr>
                <w:rtl/>
              </w:rPr>
              <w:t xml:space="preserve">(6). </w:t>
            </w:r>
            <w:r w:rsidRPr="00C9040A">
              <w:rPr>
                <w:rtl/>
              </w:rPr>
              <w:t>في « ب ، ج » : « فأيّ »</w:t>
            </w:r>
            <w:r>
              <w:rPr>
                <w:rtl/>
              </w:rPr>
              <w:t>.</w:t>
            </w:r>
          </w:p>
        </w:tc>
      </w:tr>
    </w:tbl>
    <w:p w:rsidR="008A74EB" w:rsidRPr="00C9040A" w:rsidRDefault="006C577F" w:rsidP="00151BC5">
      <w:pPr>
        <w:pStyle w:val="libFootnote0"/>
        <w:rPr>
          <w:rtl/>
          <w:lang w:bidi="fa-IR"/>
        </w:rPr>
      </w:pPr>
      <w:r>
        <w:rPr>
          <w:rtl/>
        </w:rPr>
        <w:t>(7).</w:t>
      </w:r>
      <w:r w:rsidR="008A74EB" w:rsidRPr="00C9040A">
        <w:rPr>
          <w:rtl/>
        </w:rPr>
        <w:t xml:space="preserve"> الشورى (42) : 52. وفي « بر » ومرآة العقول : + </w:t>
      </w:r>
      <w:r w:rsidR="00151BC5" w:rsidRPr="00151BC5">
        <w:rPr>
          <w:rStyle w:val="libFootnoteAlaemChar"/>
          <w:rFonts w:hint="cs"/>
          <w:rtl/>
        </w:rPr>
        <w:t>(</w:t>
      </w:r>
      <w:r w:rsidR="008A74EB" w:rsidRPr="00151BC5">
        <w:rPr>
          <w:rStyle w:val="libFootnoteAieChar"/>
          <w:rtl/>
        </w:rPr>
        <w:t xml:space="preserve"> مِنْ عِبَادِنَا </w:t>
      </w:r>
      <w:r w:rsidR="00151BC5" w:rsidRPr="00151BC5">
        <w:rPr>
          <w:rStyle w:val="libFootnoteAlaemChar"/>
          <w:rFonts w:hint="cs"/>
          <w:rtl/>
        </w:rPr>
        <w:t>)</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 ف » : « فقد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w:t>
      </w:r>
      <w:r w:rsidR="008A74EB" w:rsidRPr="00993B55">
        <w:rPr>
          <w:rStyle w:val="libFootnoteBoldChar"/>
          <w:rtl/>
        </w:rPr>
        <w:t>المرآة</w:t>
      </w:r>
      <w:r w:rsidR="008A74EB" w:rsidRPr="00C9040A">
        <w:rPr>
          <w:rtl/>
        </w:rPr>
        <w:t xml:space="preserve"> : « إنّه </w:t>
      </w:r>
      <w:r w:rsidR="00117575" w:rsidRPr="00117575">
        <w:rPr>
          <w:rStyle w:val="libFootnoteAlaemChar"/>
          <w:rtl/>
        </w:rPr>
        <w:t>عليه‌السلام</w:t>
      </w:r>
      <w:r w:rsidR="008A74EB" w:rsidRPr="00C9040A">
        <w:rPr>
          <w:rtl/>
        </w:rPr>
        <w:t xml:space="preserve"> ل</w:t>
      </w:r>
      <w:r w:rsidR="002C15F0">
        <w:rPr>
          <w:rFonts w:hint="cs"/>
          <w:rtl/>
        </w:rPr>
        <w:t>ـ</w:t>
      </w:r>
      <w:r w:rsidR="008A74EB" w:rsidRPr="00C9040A">
        <w:rPr>
          <w:rtl/>
        </w:rPr>
        <w:t xml:space="preserve">مّا سأله عن سبب إسلامه ، وقال : وأيّ شي‌ء رأيت في الإسلام من الحجّة والبرهان صار سبباً لإسلامك ، فأجاب بأنّ الله تعالى ألقى الهداية في قلبي وهداني للإسلام ، كما هو مضمون الآية الكريمة ؛ فصدّقه </w:t>
      </w:r>
      <w:r w:rsidR="00117575" w:rsidRPr="00117575">
        <w:rPr>
          <w:rStyle w:val="libFootnoteAlaemChar"/>
          <w:rtl/>
        </w:rPr>
        <w:t>عليه‌السلام</w:t>
      </w:r>
      <w:r w:rsidR="008A74EB" w:rsidRPr="00C9040A">
        <w:rPr>
          <w:rtl/>
        </w:rPr>
        <w:t xml:space="preserve"> وقال : لقد هداك الله ، ثمّ قال : اللهمّ اهده ثلاثاً ، أي زد في هدايته أو ثبّته عليها »</w:t>
      </w:r>
      <w:r w:rsidR="008A74EB">
        <w:rPr>
          <w:rtl/>
        </w:rPr>
        <w:t>.</w:t>
      </w:r>
    </w:p>
    <w:tbl>
      <w:tblPr>
        <w:tblStyle w:val="TableGrid"/>
        <w:bidiVisual/>
        <w:tblW w:w="0" w:type="auto"/>
        <w:tblLook w:val="04A0" w:firstRow="1" w:lastRow="0" w:firstColumn="1" w:lastColumn="0" w:noHBand="0" w:noVBand="1"/>
      </w:tblPr>
      <w:tblGrid>
        <w:gridCol w:w="4006"/>
        <w:gridCol w:w="4006"/>
      </w:tblGrid>
      <w:tr w:rsidR="002C15F0" w:rsidTr="002C15F0">
        <w:tc>
          <w:tcPr>
            <w:tcW w:w="4006" w:type="dxa"/>
          </w:tcPr>
          <w:p w:rsidR="002C15F0" w:rsidRDefault="002C15F0" w:rsidP="004A4E41">
            <w:pPr>
              <w:pStyle w:val="libFootnote0"/>
              <w:rPr>
                <w:rtl/>
              </w:rPr>
            </w:pPr>
            <w:r>
              <w:rPr>
                <w:rtl/>
              </w:rPr>
              <w:t>(10).</w:t>
            </w:r>
            <w:r w:rsidRPr="00C9040A">
              <w:rPr>
                <w:rtl/>
              </w:rPr>
              <w:t xml:space="preserve"> في « ج ، ض » : « ا</w:t>
            </w:r>
            <w:r w:rsidR="00BC01CC">
              <w:rPr>
                <w:rFonts w:hint="cs"/>
                <w:rtl/>
              </w:rPr>
              <w:t>ُ</w:t>
            </w:r>
            <w:r w:rsidRPr="00C9040A">
              <w:rPr>
                <w:rtl/>
              </w:rPr>
              <w:t>مّي وأبي »</w:t>
            </w:r>
            <w:r>
              <w:rPr>
                <w:rtl/>
              </w:rPr>
              <w:t>.</w:t>
            </w:r>
          </w:p>
        </w:tc>
        <w:tc>
          <w:tcPr>
            <w:tcW w:w="4006" w:type="dxa"/>
          </w:tcPr>
          <w:p w:rsidR="002C15F0" w:rsidRDefault="002C15F0" w:rsidP="004A4E41">
            <w:pPr>
              <w:pStyle w:val="libFootnote0"/>
              <w:rPr>
                <w:rtl/>
              </w:rPr>
            </w:pPr>
            <w:r>
              <w:rPr>
                <w:rtl/>
              </w:rPr>
              <w:t>(11).</w:t>
            </w:r>
            <w:r w:rsidRPr="00C9040A">
              <w:rPr>
                <w:rtl/>
              </w:rPr>
              <w:t xml:space="preserve"> في الوسائل : « قال »</w:t>
            </w:r>
            <w:r>
              <w:rPr>
                <w:rtl/>
              </w:rPr>
              <w:t>.</w:t>
            </w:r>
          </w:p>
        </w:tc>
      </w:tr>
      <w:tr w:rsidR="002C15F0" w:rsidTr="002C15F0">
        <w:tc>
          <w:tcPr>
            <w:tcW w:w="4006" w:type="dxa"/>
          </w:tcPr>
          <w:p w:rsidR="002C15F0" w:rsidRDefault="00BC01CC" w:rsidP="004A4E41">
            <w:pPr>
              <w:pStyle w:val="libFootnote0"/>
              <w:rPr>
                <w:rtl/>
              </w:rPr>
            </w:pPr>
            <w:r>
              <w:rPr>
                <w:rtl/>
              </w:rPr>
              <w:t>(12).</w:t>
            </w:r>
            <w:r w:rsidRPr="00C9040A">
              <w:rPr>
                <w:rtl/>
              </w:rPr>
              <w:t xml:space="preserve"> في « ج ، بر ، بس » : « ما يأكلون »</w:t>
            </w:r>
            <w:r>
              <w:rPr>
                <w:rtl/>
              </w:rPr>
              <w:t>.</w:t>
            </w:r>
          </w:p>
        </w:tc>
        <w:tc>
          <w:tcPr>
            <w:tcW w:w="4006" w:type="dxa"/>
          </w:tcPr>
          <w:p w:rsidR="002C15F0" w:rsidRDefault="00BC01CC" w:rsidP="004A4E41">
            <w:pPr>
              <w:pStyle w:val="libFootnote0"/>
              <w:rPr>
                <w:rtl/>
              </w:rPr>
            </w:pPr>
            <w:r>
              <w:rPr>
                <w:rtl/>
              </w:rPr>
              <w:t>(13)</w:t>
            </w:r>
            <w:r w:rsidRPr="00C9040A">
              <w:rPr>
                <w:rtl/>
              </w:rPr>
              <w:t xml:space="preserve"> في « ب » : « قلت »</w:t>
            </w:r>
            <w:r>
              <w:rPr>
                <w:rtl/>
              </w:rPr>
              <w:t>.</w:t>
            </w:r>
          </w:p>
        </w:tc>
      </w:tr>
    </w:tbl>
    <w:p w:rsidR="008A74EB" w:rsidRPr="00C9040A" w:rsidRDefault="008A74EB" w:rsidP="004A4E41">
      <w:pPr>
        <w:pStyle w:val="libFootnote0"/>
        <w:rPr>
          <w:rtl/>
          <w:lang w:bidi="fa-IR"/>
        </w:rPr>
      </w:pPr>
      <w:r>
        <w:rPr>
          <w:rtl/>
        </w:rPr>
        <w:t>(14)</w:t>
      </w:r>
      <w:r w:rsidRPr="00C9040A">
        <w:rPr>
          <w:rtl/>
        </w:rPr>
        <w:t xml:space="preserve"> في « ج ، د » : « كنت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تَقُومُ بِشَأْنِهَا ، وَلَا تُخْبِرَنَّ أَحَداً أَنَّكَ أَتَيْتَنِي حَتّى تَأْتِيَنِي بِمِنى إِنْ شَاءَ اللهُ </w:t>
      </w:r>
      <w:r w:rsidR="006C577F" w:rsidRPr="006C577F">
        <w:rPr>
          <w:rStyle w:val="libFootnotenumChar"/>
          <w:rtl/>
        </w:rPr>
        <w:t>(1)</w:t>
      </w:r>
      <w:r w:rsidRPr="00C9040A">
        <w:rPr>
          <w:rtl/>
          <w:lang w:bidi="fa-IR"/>
        </w:rPr>
        <w:t xml:space="preserve"> »</w:t>
      </w:r>
      <w:r>
        <w:rPr>
          <w:rtl/>
          <w:lang w:bidi="fa-IR"/>
        </w:rPr>
        <w:t>.</w:t>
      </w:r>
    </w:p>
    <w:p w:rsidR="008A74EB" w:rsidRPr="00C9040A" w:rsidRDefault="008A74EB" w:rsidP="008A74EB">
      <w:pPr>
        <w:pStyle w:val="libNormal"/>
        <w:rPr>
          <w:rtl/>
          <w:lang w:bidi="fa-IR"/>
        </w:rPr>
      </w:pPr>
      <w:r w:rsidRPr="00C9040A">
        <w:rPr>
          <w:rtl/>
          <w:lang w:bidi="fa-IR"/>
        </w:rPr>
        <w:t xml:space="preserve">قَالَ : فَأَتَيْتُهُ بِمِنى وَالنَّاسُ حَوْلَهُ كَأَنَّهُ مُعَلِّمُ صِبْيَانٍ هذَا يَسْأَلُهُ ، وَهذَا يَسْأَلُهُ ، فَلَمَّا قَدِمْتُ الْكُوفَةَ أَلْطَفْتُ لِأُمِّي </w:t>
      </w:r>
      <w:r w:rsidR="006C577F" w:rsidRPr="006C577F">
        <w:rPr>
          <w:rStyle w:val="libFootnotenumChar"/>
          <w:rtl/>
        </w:rPr>
        <w:t>(2)</w:t>
      </w:r>
      <w:r w:rsidRPr="00C9040A">
        <w:rPr>
          <w:rtl/>
          <w:lang w:bidi="fa-IR"/>
        </w:rPr>
        <w:t xml:space="preserve"> ، وَكُنْتُ أُطْعِمُهَا ، وَأَفْلِي </w:t>
      </w:r>
      <w:r w:rsidR="006C577F" w:rsidRPr="006C577F">
        <w:rPr>
          <w:rStyle w:val="libFootnotenumChar"/>
          <w:rtl/>
        </w:rPr>
        <w:t>(3)</w:t>
      </w:r>
      <w:r w:rsidRPr="00C9040A">
        <w:rPr>
          <w:rtl/>
          <w:lang w:bidi="fa-IR"/>
        </w:rPr>
        <w:t xml:space="preserve"> ثَوْبَهَا وَرَأْسَهَا ، وَأَخْدُمُهَا ، فَقَالَتْ لِي : يَا بُنَيَّ ، مَا كُنْتَ تَصْنَعُ بِي هذَا وَأَنْتَ عَلى دِينِي</w:t>
      </w:r>
      <w:r>
        <w:rPr>
          <w:rtl/>
          <w:lang w:bidi="fa-IR"/>
        </w:rPr>
        <w:t>؟</w:t>
      </w:r>
      <w:r w:rsidRPr="00C9040A">
        <w:rPr>
          <w:rtl/>
          <w:lang w:bidi="fa-IR"/>
        </w:rPr>
        <w:t xml:space="preserve"> فَمَا الَّذِي أَرى مِنْكَ مُنْذُ هَاجَرْتَ ، فَدَخَلْتَ فِي الْحَنِيفِيَّةِ</w:t>
      </w:r>
      <w:r>
        <w:rPr>
          <w:rtl/>
          <w:lang w:bidi="fa-IR"/>
        </w:rPr>
        <w:t>؟</w:t>
      </w:r>
      <w:r w:rsidRPr="00C9040A">
        <w:rPr>
          <w:rtl/>
          <w:lang w:bidi="fa-IR"/>
        </w:rPr>
        <w:t xml:space="preserve"> فَقُلْتُ : رَجُلٌ مِنْ وُلْدِ نَبِيِّنَا أَمَرَنِي بِهذَا ، فَقَالَتْ : هذَا الرَّجُلُ هُوَ نَبِيٌّ</w:t>
      </w:r>
      <w:r>
        <w:rPr>
          <w:rtl/>
          <w:lang w:bidi="fa-IR"/>
        </w:rPr>
        <w:t>؟</w:t>
      </w:r>
      <w:r w:rsidRPr="00C9040A">
        <w:rPr>
          <w:rtl/>
          <w:lang w:bidi="fa-IR"/>
        </w:rPr>
        <w:t xml:space="preserve"> فَقُلْتُ : لَا ، وَلكِنَّهُ ابْنُ نَبِيٍّ ، فَقَالَتْ : </w:t>
      </w:r>
      <w:r w:rsidR="006C577F" w:rsidRPr="006C577F">
        <w:rPr>
          <w:rStyle w:val="libFootnotenumChar"/>
          <w:rtl/>
        </w:rPr>
        <w:t>(4)</w:t>
      </w:r>
      <w:r w:rsidRPr="00C9040A">
        <w:rPr>
          <w:rtl/>
          <w:lang w:bidi="fa-IR"/>
        </w:rPr>
        <w:t xml:space="preserve"> يَا بُنَيَّ </w:t>
      </w:r>
      <w:r w:rsidR="006C577F" w:rsidRPr="006C577F">
        <w:rPr>
          <w:rStyle w:val="libFootnotenumChar"/>
          <w:rtl/>
        </w:rPr>
        <w:t>(5)</w:t>
      </w:r>
      <w:r w:rsidRPr="00C9040A">
        <w:rPr>
          <w:rtl/>
          <w:lang w:bidi="fa-IR"/>
        </w:rPr>
        <w:t xml:space="preserve"> ، هذَا نَبِيٌّ ؛ إِنَّ هذِهِ </w:t>
      </w:r>
      <w:r w:rsidR="006C577F" w:rsidRPr="006C577F">
        <w:rPr>
          <w:rStyle w:val="libFootnotenumChar"/>
          <w:rtl/>
        </w:rPr>
        <w:t>(6)</w:t>
      </w:r>
      <w:r w:rsidRPr="005B567D">
        <w:rPr>
          <w:rStyle w:val="libFootnotenumChar"/>
          <w:rtl/>
        </w:rPr>
        <w:t xml:space="preserve"> </w:t>
      </w:r>
      <w:r w:rsidRPr="00C9040A">
        <w:rPr>
          <w:rtl/>
          <w:lang w:bidi="fa-IR"/>
        </w:rPr>
        <w:t xml:space="preserve">وَصَايَا الْأَنْبِيَاءِ ، فَقُلْتُ : يَا أُمَّهْ </w:t>
      </w:r>
      <w:r w:rsidR="006C577F" w:rsidRPr="006C577F">
        <w:rPr>
          <w:rStyle w:val="libFootnotenumChar"/>
          <w:rtl/>
        </w:rPr>
        <w:t>(7)</w:t>
      </w:r>
      <w:r w:rsidRPr="00C9040A">
        <w:rPr>
          <w:rtl/>
          <w:lang w:bidi="fa-IR"/>
        </w:rPr>
        <w:t xml:space="preserve"> ، إِنَّهُ لَيْسَ يَكُونُ بَعْدَ نَبِيِّنَا نَبِيٌّ ، وَلكِنَّهُ ابْنُهُ.</w:t>
      </w:r>
    </w:p>
    <w:p w:rsidR="008A74EB" w:rsidRPr="00C9040A" w:rsidRDefault="008A74EB" w:rsidP="005C40F4">
      <w:pPr>
        <w:pStyle w:val="libNormal"/>
        <w:rPr>
          <w:rtl/>
          <w:lang w:bidi="fa-IR"/>
        </w:rPr>
      </w:pPr>
      <w:r w:rsidRPr="00C9040A">
        <w:rPr>
          <w:rtl/>
          <w:lang w:bidi="fa-IR"/>
        </w:rPr>
        <w:t xml:space="preserve">فَقَالَتْ : يَا بُنَيَّ ، دِينُكَ خَيْرُ دِينٍ ، اعْرِضْهُ عَلَيَّ ، فَعَرَضْتُهُ عَلَيْهَا ، فَدَخَلَتْ فِي الْإِسْلَامِ ، وَعَلَّمْتُهَا ، فَصَلَّتِ الظُّهْرَ وَالْعَصْرَ وَالْمَغْرِبَ وَالْعِشَاءَ الْآخِرَةَ </w:t>
      </w:r>
      <w:r w:rsidR="006C577F" w:rsidRPr="006C577F">
        <w:rPr>
          <w:rStyle w:val="libFootnotenumChar"/>
          <w:rtl/>
        </w:rPr>
        <w:t>(8)</w:t>
      </w:r>
      <w:r w:rsidRPr="00C9040A">
        <w:rPr>
          <w:rtl/>
          <w:lang w:bidi="fa-IR"/>
        </w:rPr>
        <w:t xml:space="preserve"> ، ثُمَّ عَرَضَ لَهَا </w:t>
      </w:r>
      <w:r w:rsidR="006C577F" w:rsidRPr="006C577F">
        <w:rPr>
          <w:rStyle w:val="libFootnotenumChar"/>
          <w:rtl/>
        </w:rPr>
        <w:t>(9)</w:t>
      </w:r>
      <w:r w:rsidRPr="00C9040A">
        <w:rPr>
          <w:rtl/>
          <w:lang w:bidi="fa-IR"/>
        </w:rPr>
        <w:t xml:space="preserve"> عَارِضٌ فِي اللَّيْلِ ، فَقَالَتْ : يَا بُنَيَّ ، أَعِدْ عَلَيَّ مَا عَلَّمْتَنِي ، فَأَعَدْتُهُ عَلَيْهَا ، فَأَقَرَّتْ بِهِ وَمَاتَتْ ، فَلَمَّا أَصْبَحَتْ كَانَ الْمُسْلِمُونَ الَّذِينَ غَسَّلُوهَا ، وَكُنْتُ أَنَا الَّذِي صَلَّيْتُ عَلَيْهَا ، وَنَزَلْتُ فِي قَبْرِهَا »</w:t>
      </w:r>
      <w:r>
        <w:rPr>
          <w:rtl/>
          <w:lang w:bidi="fa-IR"/>
        </w:rPr>
        <w:t>.</w:t>
      </w:r>
      <w:r w:rsidRPr="00C9040A">
        <w:rPr>
          <w:rtl/>
          <w:lang w:bidi="fa-IR"/>
        </w:rPr>
        <w:t xml:space="preserve"> </w:t>
      </w:r>
      <w:r w:rsidR="006C577F" w:rsidRPr="006C577F">
        <w:rPr>
          <w:rStyle w:val="libFootnotenumChar"/>
          <w:rtl/>
        </w:rPr>
        <w:t>(10)</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5F7C44">
      <w:pPr>
        <w:pStyle w:val="libFootnote0"/>
        <w:rPr>
          <w:rtl/>
          <w:lang w:bidi="fa-IR"/>
        </w:rPr>
      </w:pPr>
      <w:r>
        <w:rPr>
          <w:rtl/>
        </w:rPr>
        <w:t>(1).</w:t>
      </w:r>
      <w:r w:rsidR="008A74EB">
        <w:rPr>
          <w:rtl/>
        </w:rPr>
        <w:t xml:space="preserve"> </w:t>
      </w:r>
      <w:r w:rsidR="008A74EB" w:rsidRPr="00C9040A">
        <w:rPr>
          <w:rtl/>
        </w:rPr>
        <w:t xml:space="preserve">في </w:t>
      </w:r>
      <w:r w:rsidR="008A74EB" w:rsidRPr="00993B55">
        <w:rPr>
          <w:rStyle w:val="libFootnoteBoldChar"/>
          <w:rtl/>
        </w:rPr>
        <w:t>الوافي</w:t>
      </w:r>
      <w:r w:rsidR="008A74EB" w:rsidRPr="00C9040A">
        <w:rPr>
          <w:rtl/>
        </w:rPr>
        <w:t xml:space="preserve"> : « لعلّه </w:t>
      </w:r>
      <w:r w:rsidR="00117575" w:rsidRPr="00117575">
        <w:rPr>
          <w:rStyle w:val="libFootnoteAlaemChar"/>
          <w:rtl/>
        </w:rPr>
        <w:t>عليه‌السلام</w:t>
      </w:r>
      <w:r w:rsidR="008A74EB" w:rsidRPr="00C9040A">
        <w:rPr>
          <w:rtl/>
        </w:rPr>
        <w:t xml:space="preserve"> إنّما نهاه عن إخباره بإتيانه إليه كيلا يصرفه بعض رؤساء الضلالة عنه </w:t>
      </w:r>
      <w:r w:rsidR="00117575" w:rsidRPr="00117575">
        <w:rPr>
          <w:rStyle w:val="libFootnoteAlaemChar"/>
          <w:rtl/>
        </w:rPr>
        <w:t>عليه‌السلام</w:t>
      </w:r>
      <w:r w:rsidR="008A74EB" w:rsidRPr="00C9040A">
        <w:rPr>
          <w:rtl/>
        </w:rPr>
        <w:t xml:space="preserve"> ويدخله في ضلالته قبل أن يهتدي للحقّ ، ولعلّه إنّما طوى حديث اهتدائه في إتيانه الثاني بمنى كتماناً لأسرارهم ، أو لعدم تعلّق الفرض بذكره »</w:t>
      </w:r>
      <w:r w:rsidR="008A74EB">
        <w:rPr>
          <w:rtl/>
        </w:rPr>
        <w:t>.</w:t>
      </w:r>
      <w:r w:rsidR="005F7C44">
        <w:rPr>
          <w:rFonts w:hint="cs"/>
          <w:rtl/>
        </w:rPr>
        <w:t xml:space="preserve">                                              </w:t>
      </w:r>
      <w:r>
        <w:rPr>
          <w:rtl/>
        </w:rPr>
        <w:t>(2).</w:t>
      </w:r>
      <w:r w:rsidR="008A74EB">
        <w:rPr>
          <w:rtl/>
        </w:rPr>
        <w:t xml:space="preserve"> </w:t>
      </w:r>
      <w:r w:rsidR="008A74EB" w:rsidRPr="00C9040A">
        <w:rPr>
          <w:rtl/>
        </w:rPr>
        <w:t>في الوافي : « لطفت با</w:t>
      </w:r>
      <w:r w:rsidR="005F7C44">
        <w:rPr>
          <w:rFonts w:hint="cs"/>
          <w:rtl/>
        </w:rPr>
        <w:t>ُ</w:t>
      </w:r>
      <w:r w:rsidR="008A74EB" w:rsidRPr="00C9040A">
        <w:rPr>
          <w:rtl/>
        </w:rPr>
        <w:t>مّي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يجوز فيه التفعيل أيضاً. قال في </w:t>
      </w:r>
      <w:r w:rsidR="008A74EB" w:rsidRPr="00993B55">
        <w:rPr>
          <w:rStyle w:val="libFootnoteBoldChar"/>
          <w:rtl/>
        </w:rPr>
        <w:t>القاموس</w:t>
      </w:r>
      <w:r w:rsidR="008A74EB" w:rsidRPr="00C9040A">
        <w:rPr>
          <w:rtl/>
        </w:rPr>
        <w:t xml:space="preserve"> ، ج 2 ، ص 1732 ( فلى ) : « فلاه بالسيف يَفليه كيفلوه ،</w:t>
      </w:r>
      <w:r w:rsidR="005F7C44">
        <w:rPr>
          <w:rtl/>
        </w:rPr>
        <w:t xml:space="preserve"> ورأسه : بحثه عن القَمْل ، كفل</w:t>
      </w:r>
      <w:r w:rsidR="005F7C44">
        <w:rPr>
          <w:rFonts w:hint="cs"/>
          <w:rtl/>
        </w:rPr>
        <w:t>ّ</w:t>
      </w:r>
      <w:r w:rsidR="005F7C44">
        <w:rPr>
          <w:rtl/>
        </w:rPr>
        <w:t>ا</w:t>
      </w:r>
      <w:r w:rsidR="008A74EB" w:rsidRPr="00C9040A">
        <w:rPr>
          <w:rtl/>
        </w:rPr>
        <w:t>ه »</w:t>
      </w:r>
      <w:r w:rsidR="008A74EB">
        <w:rPr>
          <w:rtl/>
        </w:rPr>
        <w:t>.</w:t>
      </w:r>
      <w:r w:rsidR="008A74EB" w:rsidRPr="00C9040A">
        <w:rPr>
          <w:rtl/>
        </w:rPr>
        <w:t xml:space="preserve"> هكذا نقله عنه في </w:t>
      </w:r>
      <w:r w:rsidR="008A74EB" w:rsidRPr="00993B55">
        <w:rPr>
          <w:rStyle w:val="libFootnoteBoldChar"/>
          <w:rtl/>
        </w:rPr>
        <w:t>مرآة العقول</w:t>
      </w:r>
      <w:r w:rsidR="008A74EB" w:rsidRPr="00C9040A">
        <w:rPr>
          <w:rtl/>
        </w:rPr>
        <w:t>. وقرأه المازندراني في شرحه ، من باب رمى.</w:t>
      </w:r>
    </w:p>
    <w:p w:rsidR="008A74EB" w:rsidRPr="00C9040A" w:rsidRDefault="006C577F" w:rsidP="004A4E41">
      <w:pPr>
        <w:pStyle w:val="libFootnote0"/>
        <w:rPr>
          <w:rtl/>
          <w:lang w:bidi="fa-IR"/>
        </w:rPr>
      </w:pPr>
      <w:r>
        <w:rPr>
          <w:rtl/>
        </w:rPr>
        <w:t>(4).</w:t>
      </w:r>
      <w:r w:rsidR="008A74EB" w:rsidRPr="00C9040A">
        <w:rPr>
          <w:rtl/>
        </w:rPr>
        <w:t xml:space="preserve"> في « ص ، ف ، بف » والوافي : + « لا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هكذا في النسخ التي قوبلت والوافي والبحار. وفي المطبوع : + « إنّ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ب » : « هذا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حاشية « بف » : « يا ا</w:t>
      </w:r>
      <w:r w:rsidR="005F7C44">
        <w:rPr>
          <w:rFonts w:hint="cs"/>
          <w:rtl/>
        </w:rPr>
        <w:t>ُ</w:t>
      </w:r>
      <w:r w:rsidR="008A74EB" w:rsidRPr="00C9040A">
        <w:rPr>
          <w:rtl/>
        </w:rPr>
        <w:t>مّاه »</w:t>
      </w:r>
      <w:r w:rsidR="008A74EB">
        <w:rPr>
          <w:rtl/>
        </w:rPr>
        <w:t>.</w:t>
      </w:r>
      <w:r w:rsidR="008A74EB" w:rsidRPr="00C9040A">
        <w:rPr>
          <w:rtl/>
        </w:rPr>
        <w:t xml:space="preserve"> وفي البحار ، ج 47 : « يا ا</w:t>
      </w:r>
      <w:r w:rsidR="005F7C44">
        <w:rPr>
          <w:rFonts w:hint="cs"/>
          <w:rtl/>
        </w:rPr>
        <w:t>ُ</w:t>
      </w:r>
      <w:r w:rsidR="008A74EB" w:rsidRPr="00C9040A">
        <w:rPr>
          <w:rtl/>
        </w:rPr>
        <w:t>مّ »</w:t>
      </w:r>
      <w:r w:rsidR="008A74EB">
        <w:rPr>
          <w:rtl/>
        </w:rPr>
        <w:t>.</w:t>
      </w:r>
    </w:p>
    <w:tbl>
      <w:tblPr>
        <w:tblStyle w:val="TableGrid"/>
        <w:bidiVisual/>
        <w:tblW w:w="0" w:type="auto"/>
        <w:tblLook w:val="04A0" w:firstRow="1" w:lastRow="0" w:firstColumn="1" w:lastColumn="0" w:noHBand="0" w:noVBand="1"/>
      </w:tblPr>
      <w:tblGrid>
        <w:gridCol w:w="4006"/>
        <w:gridCol w:w="4006"/>
      </w:tblGrid>
      <w:tr w:rsidR="007503D0" w:rsidTr="007503D0">
        <w:tc>
          <w:tcPr>
            <w:tcW w:w="4006" w:type="dxa"/>
          </w:tcPr>
          <w:p w:rsidR="007503D0" w:rsidRDefault="007503D0" w:rsidP="004A4E41">
            <w:pPr>
              <w:pStyle w:val="libFootnote0"/>
              <w:rPr>
                <w:rtl/>
                <w:lang w:bidi="fa-IR"/>
              </w:rPr>
            </w:pPr>
            <w:r>
              <w:rPr>
                <w:rtl/>
              </w:rPr>
              <w:t>(8).</w:t>
            </w:r>
            <w:r w:rsidRPr="00C9040A">
              <w:rPr>
                <w:rtl/>
              </w:rPr>
              <w:t xml:space="preserve"> في « ف » : + « والصبح »</w:t>
            </w:r>
            <w:r>
              <w:rPr>
                <w:rtl/>
              </w:rPr>
              <w:t>.</w:t>
            </w:r>
          </w:p>
        </w:tc>
        <w:tc>
          <w:tcPr>
            <w:tcW w:w="4006" w:type="dxa"/>
          </w:tcPr>
          <w:p w:rsidR="007503D0" w:rsidRDefault="007503D0" w:rsidP="004A4E41">
            <w:pPr>
              <w:pStyle w:val="libFootnote0"/>
              <w:rPr>
                <w:rtl/>
                <w:lang w:bidi="fa-IR"/>
              </w:rPr>
            </w:pPr>
            <w:r>
              <w:rPr>
                <w:rtl/>
              </w:rPr>
              <w:t>(9). في «ف»: -</w:t>
            </w:r>
            <w:r w:rsidRPr="00C9040A">
              <w:rPr>
                <w:rtl/>
              </w:rPr>
              <w:t xml:space="preserve"> «</w:t>
            </w:r>
            <w:r>
              <w:rPr>
                <w:rtl/>
              </w:rPr>
              <w:t>لها</w:t>
            </w:r>
            <w:r w:rsidRPr="00C9040A">
              <w:rPr>
                <w:rtl/>
              </w:rPr>
              <w:t>»</w:t>
            </w:r>
            <w:r>
              <w:rPr>
                <w:rtl/>
              </w:rPr>
              <w:t>. وفي البحار، ج 47</w:t>
            </w:r>
            <w:r w:rsidRPr="00C9040A">
              <w:rPr>
                <w:rtl/>
              </w:rPr>
              <w:t>:« بها »</w:t>
            </w:r>
            <w:r>
              <w:rPr>
                <w:rtl/>
              </w:rPr>
              <w:t>.</w:t>
            </w:r>
          </w:p>
        </w:tc>
      </w:tr>
    </w:tbl>
    <w:p w:rsidR="008A74EB" w:rsidRPr="00C9040A" w:rsidRDefault="006C577F" w:rsidP="004A4E41">
      <w:pPr>
        <w:pStyle w:val="libFootnote0"/>
        <w:rPr>
          <w:rtl/>
          <w:lang w:bidi="fa-IR"/>
        </w:rPr>
      </w:pPr>
      <w:r>
        <w:rPr>
          <w:rtl/>
        </w:rPr>
        <w:t>(10).</w:t>
      </w:r>
      <w:r w:rsidR="008A74EB" w:rsidRPr="00C9040A">
        <w:rPr>
          <w:rtl/>
        </w:rPr>
        <w:t xml:space="preserve"> </w:t>
      </w:r>
      <w:r w:rsidR="008A74EB" w:rsidRPr="00993B55">
        <w:rPr>
          <w:rStyle w:val="libFootnoteBoldChar"/>
          <w:rtl/>
        </w:rPr>
        <w:t>الوافي</w:t>
      </w:r>
      <w:r w:rsidR="008A74EB" w:rsidRPr="00C9040A">
        <w:rPr>
          <w:rtl/>
        </w:rPr>
        <w:t xml:space="preserve"> ، ج 5 ، ص 499 ، ح 2428 ؛ وفي </w:t>
      </w:r>
      <w:r w:rsidR="008A74EB" w:rsidRPr="00993B55">
        <w:rPr>
          <w:rStyle w:val="libFootnoteBoldChar"/>
          <w:rtl/>
        </w:rPr>
        <w:t>الوسائل</w:t>
      </w:r>
      <w:r w:rsidR="008A74EB" w:rsidRPr="00C9040A">
        <w:rPr>
          <w:rtl/>
        </w:rPr>
        <w:t xml:space="preserve"> ، ج 21 ، ص 491 ، ح 27671 ، ملخّصاً ؛ </w:t>
      </w:r>
      <w:r w:rsidR="008A74EB" w:rsidRPr="00993B55">
        <w:rPr>
          <w:rStyle w:val="libFootnoteBoldChar"/>
          <w:rtl/>
        </w:rPr>
        <w:t>البحار</w:t>
      </w:r>
      <w:r w:rsidR="008A74EB" w:rsidRPr="00C9040A">
        <w:rPr>
          <w:rtl/>
        </w:rPr>
        <w:t xml:space="preserve"> ، ج 47 ، ص 374 ، ح 97 ؛ وج 74 ، ص 53 ، ح 11.</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E949C5">
        <w:rPr>
          <w:rtl/>
        </w:rPr>
        <w:t>2018</w:t>
      </w:r>
      <w:r w:rsidRPr="00261CB0">
        <w:rPr>
          <w:rStyle w:val="libBold2Char"/>
          <w:rtl/>
        </w:rPr>
        <w:t xml:space="preserve"> / 12.</w:t>
      </w:r>
      <w:r w:rsidRPr="00C9040A">
        <w:rPr>
          <w:rtl/>
          <w:lang w:bidi="fa-IR"/>
        </w:rPr>
        <w:t xml:space="preserve"> مُحَمَّدُ بْنُ يَحْيى ، عَنْ أَحْمَدَ بْنِ مُحَمَّدِ بْنِ عِيسى ، عَنْ عَلِيِّ بْنِ الْحَكَمِ ؛ وَ</w:t>
      </w:r>
      <w:r w:rsidR="00B72C98">
        <w:rPr>
          <w:rFonts w:hint="cs"/>
          <w:rtl/>
          <w:lang w:bidi="fa-IR"/>
        </w:rPr>
        <w:t xml:space="preserve"> </w:t>
      </w:r>
      <w:r w:rsidRPr="00C9040A">
        <w:rPr>
          <w:rtl/>
          <w:lang w:bidi="fa-IR"/>
        </w:rPr>
        <w:t>عِدَّةٌ مِنْ أَصْحَابِنَا ، عَنْ أَحْمَدَ بْنِ أَبِي عَبْدِ اللهِ ، عَنْ إِسْمَاعِيلَ بْنِ مِهْرَانَ جَمِيعاً ، عَنْ سَيْفِ بْنِ عَمِيرَةَ ، عَنْ عَبْدِ اللهِ بْنِ مُسْكَانَ ، عَنْ عَمَّارِ بْنِ حَيَّانَ ، قَالَ :</w:t>
      </w:r>
    </w:p>
    <w:p w:rsidR="008A74EB" w:rsidRPr="00C9040A" w:rsidRDefault="008A74EB" w:rsidP="008A74EB">
      <w:pPr>
        <w:pStyle w:val="libNormal"/>
        <w:rPr>
          <w:rtl/>
          <w:lang w:bidi="fa-IR"/>
        </w:rPr>
      </w:pPr>
      <w:r w:rsidRPr="00C9040A">
        <w:rPr>
          <w:rtl/>
          <w:lang w:bidi="fa-IR"/>
        </w:rPr>
        <w:t xml:space="preserve">خَبَّرْتُ أَبَا عَبْدِ اللهِ </w:t>
      </w:r>
      <w:r w:rsidRPr="0003660B">
        <w:rPr>
          <w:rStyle w:val="libAlaemChar"/>
          <w:rtl/>
        </w:rPr>
        <w:t>عليه‌السلام</w:t>
      </w:r>
      <w:r w:rsidRPr="00C9040A">
        <w:rPr>
          <w:rtl/>
          <w:lang w:bidi="fa-IR"/>
        </w:rPr>
        <w:t xml:space="preserve"> بِبِرِّ إِسْمَاعِيلَ ابْنِي بِي ، فَقَالَ : « لَقَدْ كُنْتُ أُحِبُّهُ وَقَدِ ازْدَدْتُ لَهُ حُبّاً ؛ إِنَّ رَسُولَ اللهِ </w:t>
      </w:r>
      <w:r w:rsidR="004A4E41" w:rsidRPr="004A4E41">
        <w:rPr>
          <w:rStyle w:val="libAlaemChar"/>
          <w:rtl/>
        </w:rPr>
        <w:t>صلى‌الله‌عليه‌وآله</w:t>
      </w:r>
      <w:r w:rsidRPr="00C9040A">
        <w:rPr>
          <w:rtl/>
          <w:lang w:bidi="fa-IR"/>
        </w:rPr>
        <w:t xml:space="preserve"> أَتَتْهُ أُخْتٌ لَهُ مِنَ الرَّضَاعَةِ </w:t>
      </w:r>
      <w:r w:rsidR="006C577F" w:rsidRPr="006C577F">
        <w:rPr>
          <w:rStyle w:val="libFootnotenumChar"/>
          <w:rtl/>
        </w:rPr>
        <w:t>(1)</w:t>
      </w:r>
      <w:r w:rsidRPr="00C9040A">
        <w:rPr>
          <w:rtl/>
          <w:lang w:bidi="fa-IR"/>
        </w:rPr>
        <w:t xml:space="preserve"> ، فَلَمَّا نَظَرَ إِلَيْهَا </w:t>
      </w:r>
      <w:r w:rsidR="006C577F" w:rsidRPr="006C577F">
        <w:rPr>
          <w:rStyle w:val="libFootnotenumChar"/>
          <w:rtl/>
        </w:rPr>
        <w:t>(2)</w:t>
      </w:r>
      <w:r w:rsidRPr="00C9040A">
        <w:rPr>
          <w:rtl/>
          <w:lang w:bidi="fa-IR"/>
        </w:rPr>
        <w:t xml:space="preserve"> سُرَّ بِهَا ، وَبَسَطَ مِلْحَفَتَهُ </w:t>
      </w:r>
      <w:r w:rsidR="006C577F" w:rsidRPr="006C577F">
        <w:rPr>
          <w:rStyle w:val="libFootnotenumChar"/>
          <w:rtl/>
        </w:rPr>
        <w:t>(3)</w:t>
      </w:r>
      <w:r w:rsidRPr="00C9040A">
        <w:rPr>
          <w:rtl/>
          <w:lang w:bidi="fa-IR"/>
        </w:rPr>
        <w:t xml:space="preserve"> لَهَا ، فَأَجْلَسَهَا عَلَيْهَا ، ثُمَّ أَقْبَلَ يُحَدِّثُهَا ، وَيَضْحَكُ فِي وَجْهِهَا.</w:t>
      </w:r>
    </w:p>
    <w:p w:rsidR="008A74EB" w:rsidRPr="00C9040A" w:rsidRDefault="008A74EB" w:rsidP="008A74EB">
      <w:pPr>
        <w:pStyle w:val="libNormal"/>
        <w:rPr>
          <w:rtl/>
          <w:lang w:bidi="fa-IR"/>
        </w:rPr>
      </w:pPr>
      <w:r w:rsidRPr="00C9040A">
        <w:rPr>
          <w:rtl/>
          <w:lang w:bidi="fa-IR"/>
        </w:rPr>
        <w:t xml:space="preserve">ثُمَّ قَامَتْ فَذَهَبَتْ </w:t>
      </w:r>
      <w:r w:rsidR="006C577F" w:rsidRPr="006C577F">
        <w:rPr>
          <w:rStyle w:val="libFootnotenumChar"/>
          <w:rtl/>
        </w:rPr>
        <w:t>(4)</w:t>
      </w:r>
      <w:r w:rsidRPr="00C9040A">
        <w:rPr>
          <w:rtl/>
          <w:lang w:bidi="fa-IR"/>
        </w:rPr>
        <w:t xml:space="preserve"> وَجَاءَ أَخُوهَا ، فَلَمْ يَصْنَعْ بِهِ </w:t>
      </w:r>
      <w:r w:rsidR="006C577F" w:rsidRPr="006C577F">
        <w:rPr>
          <w:rStyle w:val="libFootnotenumChar"/>
          <w:rtl/>
        </w:rPr>
        <w:t>(5)</w:t>
      </w:r>
      <w:r w:rsidRPr="00C9040A">
        <w:rPr>
          <w:rtl/>
          <w:lang w:bidi="fa-IR"/>
        </w:rPr>
        <w:t xml:space="preserve"> مَا صَنَعَ بِهَا ، فَقِيلَ لَهُ : يَا رَسُولَ اللهِ ، صَنَعْتَ بِأُخْتِهِ مَا لَمْ تَصْنَعْ بِهِ وَهُوَ رَجُلٌ </w:t>
      </w:r>
      <w:r w:rsidR="006C577F" w:rsidRPr="006C577F">
        <w:rPr>
          <w:rStyle w:val="libFootnotenumChar"/>
          <w:rtl/>
        </w:rPr>
        <w:t>(6)</w:t>
      </w:r>
      <w:r w:rsidRPr="005B567D">
        <w:rPr>
          <w:rStyle w:val="libFootnotenumChar"/>
          <w:rtl/>
        </w:rPr>
        <w:t>؟</w:t>
      </w:r>
      <w:r w:rsidRPr="00C9040A">
        <w:rPr>
          <w:rtl/>
          <w:lang w:bidi="fa-IR"/>
        </w:rPr>
        <w:t xml:space="preserve"> فَقَالَ : لِأَنَّهَا كَانَتْ أَبَرَّ بِوَالِدَيْهَا </w:t>
      </w:r>
      <w:r w:rsidR="006C577F" w:rsidRPr="006C577F">
        <w:rPr>
          <w:rStyle w:val="libFootnotenumChar"/>
          <w:rtl/>
        </w:rPr>
        <w:t>(7)</w:t>
      </w:r>
      <w:r w:rsidRPr="00C9040A">
        <w:rPr>
          <w:rtl/>
          <w:lang w:bidi="fa-IR"/>
        </w:rPr>
        <w:t xml:space="preserve"> مِنْهُ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Normal"/>
        <w:rPr>
          <w:rtl/>
          <w:lang w:bidi="fa-IR"/>
        </w:rPr>
      </w:pPr>
      <w:r w:rsidRPr="00E949C5">
        <w:rPr>
          <w:rtl/>
        </w:rPr>
        <w:t>2019</w:t>
      </w:r>
      <w:r w:rsidRPr="00261CB0">
        <w:rPr>
          <w:rStyle w:val="libBold2Char"/>
          <w:rtl/>
        </w:rPr>
        <w:t xml:space="preserve"> / 13.</w:t>
      </w:r>
      <w:r w:rsidRPr="00C9040A">
        <w:rPr>
          <w:rtl/>
          <w:lang w:bidi="fa-IR"/>
        </w:rPr>
        <w:t xml:space="preserve"> مُحَمَّدُ بْنُ يَحْيى ، عَنْ أَحْمَدَ بْنِ مُحَمَّدِ بْنِ عِيسى ، عَنْ عَلِيِّ بْنِ الْحَكَمِ ، عَنْ سَيْفِ بْنِ عَمِيرَةَ ، عَنْ عَبْدِ اللهِ بْنِ مُسْكَانَ ، عَنْ إِبْرَاهِيمَ بْنِ شُعَيْبٍ ، قَالَ :</w:t>
      </w:r>
    </w:p>
    <w:p w:rsidR="008A74EB" w:rsidRPr="00C9040A" w:rsidRDefault="008A74EB" w:rsidP="008A74EB">
      <w:pPr>
        <w:pStyle w:val="libNormal"/>
        <w:rPr>
          <w:rtl/>
          <w:lang w:bidi="fa-IR"/>
        </w:rPr>
      </w:pPr>
      <w:r w:rsidRPr="00C9040A">
        <w:rPr>
          <w:rtl/>
          <w:lang w:bidi="fa-IR"/>
        </w:rPr>
        <w:t xml:space="preserve">قُلْتُ لِأَبِي عَبْدِ اللهِ </w:t>
      </w:r>
      <w:r w:rsidRPr="0003660B">
        <w:rPr>
          <w:rStyle w:val="libAlaemChar"/>
          <w:rtl/>
        </w:rPr>
        <w:t>عليه‌السلام</w:t>
      </w:r>
      <w:r w:rsidRPr="00C9040A">
        <w:rPr>
          <w:rtl/>
          <w:lang w:bidi="fa-IR"/>
        </w:rPr>
        <w:t xml:space="preserve"> : إِنَّ أَبِي قَدْ كَبِرَ جِدّاً </w:t>
      </w:r>
      <w:r w:rsidR="006C577F" w:rsidRPr="006C577F">
        <w:rPr>
          <w:rStyle w:val="libFootnotenumChar"/>
          <w:rtl/>
        </w:rPr>
        <w:t>(9)</w:t>
      </w:r>
      <w:r w:rsidRPr="00C9040A">
        <w:rPr>
          <w:rtl/>
          <w:lang w:bidi="fa-IR"/>
        </w:rPr>
        <w:t xml:space="preserve"> وَضَعُفَ ، فَنَحْنُ </w:t>
      </w:r>
      <w:r w:rsidR="006C577F" w:rsidRPr="006C577F">
        <w:rPr>
          <w:rStyle w:val="libFootnotenumChar"/>
          <w:rtl/>
        </w:rPr>
        <w:t>(10)</w:t>
      </w:r>
      <w:r w:rsidRPr="00C9040A">
        <w:rPr>
          <w:rtl/>
          <w:lang w:bidi="fa-IR"/>
        </w:rPr>
        <w:t xml:space="preserve"> نَحْمِلُهُ إِذَا أَرَادَ الْحَاجَةَ</w:t>
      </w:r>
      <w:r>
        <w:rPr>
          <w:rtl/>
          <w:lang w:bidi="fa-IR"/>
        </w:rPr>
        <w:t>؟</w:t>
      </w:r>
    </w:p>
    <w:p w:rsidR="008A74EB" w:rsidRPr="00C9040A" w:rsidRDefault="008A74EB" w:rsidP="008A74EB">
      <w:pPr>
        <w:pStyle w:val="libNormal"/>
        <w:rPr>
          <w:rtl/>
          <w:lang w:bidi="fa-IR"/>
        </w:rPr>
      </w:pPr>
      <w:r w:rsidRPr="00C9040A">
        <w:rPr>
          <w:rtl/>
          <w:lang w:bidi="fa-IR"/>
        </w:rPr>
        <w:t xml:space="preserve">فَقَالَ : « إِنِ اسْتَطَعْتَ أَنْ تَلِيَ ذلِكَ مِنْهُ فَافْعَلْ ، وَلَقِّمْهُ بِيَدِكَ ؛ فَإِنَّهُ جُنَّةٌ </w:t>
      </w:r>
      <w:r w:rsidR="006C577F" w:rsidRPr="006C577F">
        <w:rPr>
          <w:rStyle w:val="libFootnotenumChar"/>
          <w:rtl/>
        </w:rPr>
        <w:t>(11)</w:t>
      </w:r>
      <w:r w:rsidRPr="00C9040A">
        <w:rPr>
          <w:rtl/>
          <w:lang w:bidi="fa-IR"/>
        </w:rPr>
        <w:t xml:space="preserve"> لَكَ‌</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ا</w:t>
      </w:r>
      <w:r w:rsidR="00B72C98">
        <w:rPr>
          <w:rFonts w:hint="cs"/>
          <w:rtl/>
        </w:rPr>
        <w:t>ُ</w:t>
      </w:r>
      <w:r w:rsidR="008A74EB" w:rsidRPr="00C9040A">
        <w:rPr>
          <w:rtl/>
        </w:rPr>
        <w:t xml:space="preserve">خته وأخوه </w:t>
      </w:r>
      <w:r w:rsidR="004A4E41" w:rsidRPr="00B72C98">
        <w:rPr>
          <w:rStyle w:val="libFootnoteAlaemChar"/>
          <w:rtl/>
        </w:rPr>
        <w:t>صلى‌الله‌عليه‌وآله</w:t>
      </w:r>
      <w:r w:rsidR="008A74EB" w:rsidRPr="00C9040A">
        <w:rPr>
          <w:rtl/>
        </w:rPr>
        <w:t xml:space="preserve"> من الرضاعة هما ولدا حليمة السعديّة.</w:t>
      </w:r>
    </w:p>
    <w:tbl>
      <w:tblPr>
        <w:tblStyle w:val="TableGrid"/>
        <w:bidiVisual/>
        <w:tblW w:w="0" w:type="auto"/>
        <w:tblLook w:val="04A0" w:firstRow="1" w:lastRow="0" w:firstColumn="1" w:lastColumn="0" w:noHBand="0" w:noVBand="1"/>
      </w:tblPr>
      <w:tblGrid>
        <w:gridCol w:w="4006"/>
        <w:gridCol w:w="4006"/>
      </w:tblGrid>
      <w:tr w:rsidR="00B72C98" w:rsidTr="00B72C98">
        <w:tc>
          <w:tcPr>
            <w:tcW w:w="4006" w:type="dxa"/>
          </w:tcPr>
          <w:p w:rsidR="00B72C98" w:rsidRDefault="00B72C98" w:rsidP="004A4E41">
            <w:pPr>
              <w:pStyle w:val="libFootnote0"/>
              <w:rPr>
                <w:rtl/>
              </w:rPr>
            </w:pPr>
            <w:r>
              <w:rPr>
                <w:rtl/>
              </w:rPr>
              <w:t xml:space="preserve">(2). </w:t>
            </w:r>
            <w:r w:rsidRPr="00C9040A">
              <w:rPr>
                <w:rtl/>
              </w:rPr>
              <w:t>في « ز » : + « رسول الله »</w:t>
            </w:r>
            <w:r>
              <w:rPr>
                <w:rtl/>
              </w:rPr>
              <w:t>.</w:t>
            </w:r>
          </w:p>
        </w:tc>
        <w:tc>
          <w:tcPr>
            <w:tcW w:w="4006" w:type="dxa"/>
          </w:tcPr>
          <w:p w:rsidR="00B72C98" w:rsidRDefault="00B72C98" w:rsidP="004A4E41">
            <w:pPr>
              <w:pStyle w:val="libFootnote0"/>
              <w:rPr>
                <w:rtl/>
              </w:rPr>
            </w:pPr>
            <w:r>
              <w:rPr>
                <w:rtl/>
              </w:rPr>
              <w:t>(3).</w:t>
            </w:r>
            <w:r w:rsidRPr="00C9040A">
              <w:rPr>
                <w:rtl/>
              </w:rPr>
              <w:t xml:space="preserve"> في الزهد : « ردائه »</w:t>
            </w:r>
            <w:r>
              <w:rPr>
                <w:rtl/>
              </w:rPr>
              <w:t>.</w:t>
            </w:r>
          </w:p>
        </w:tc>
      </w:tr>
    </w:tbl>
    <w:p w:rsidR="008A74EB" w:rsidRPr="00C9040A" w:rsidRDefault="006C577F" w:rsidP="004A4E41">
      <w:pPr>
        <w:pStyle w:val="libFootnote0"/>
        <w:rPr>
          <w:rtl/>
          <w:lang w:bidi="fa-IR"/>
        </w:rPr>
      </w:pPr>
      <w:r>
        <w:rPr>
          <w:rtl/>
        </w:rPr>
        <w:t>(4).</w:t>
      </w:r>
      <w:r w:rsidR="008A74EB" w:rsidRPr="00C9040A">
        <w:rPr>
          <w:rtl/>
        </w:rPr>
        <w:t xml:space="preserve"> هكذا في النسخ التي قوبلت والوافي والوسائل والبحار. وفي المطبوع : « وذهبت »</w:t>
      </w:r>
      <w:r w:rsidR="008A74EB">
        <w:rPr>
          <w:rtl/>
        </w:rPr>
        <w:t>.</w:t>
      </w:r>
    </w:p>
    <w:tbl>
      <w:tblPr>
        <w:tblStyle w:val="TableGrid"/>
        <w:bidiVisual/>
        <w:tblW w:w="0" w:type="auto"/>
        <w:tblLook w:val="04A0" w:firstRow="1" w:lastRow="0" w:firstColumn="1" w:lastColumn="0" w:noHBand="0" w:noVBand="1"/>
      </w:tblPr>
      <w:tblGrid>
        <w:gridCol w:w="4006"/>
        <w:gridCol w:w="4006"/>
      </w:tblGrid>
      <w:tr w:rsidR="008408C7" w:rsidTr="008408C7">
        <w:tc>
          <w:tcPr>
            <w:tcW w:w="4006" w:type="dxa"/>
          </w:tcPr>
          <w:p w:rsidR="008408C7" w:rsidRDefault="008408C7" w:rsidP="004A4E41">
            <w:pPr>
              <w:pStyle w:val="libFootnote0"/>
              <w:rPr>
                <w:rtl/>
                <w:lang w:bidi="fa-IR"/>
              </w:rPr>
            </w:pPr>
            <w:r>
              <w:rPr>
                <w:rtl/>
              </w:rPr>
              <w:t>(5).</w:t>
            </w:r>
            <w:r w:rsidRPr="00C9040A">
              <w:rPr>
                <w:rtl/>
              </w:rPr>
              <w:t xml:space="preserve"> في « ز » : + « شيئاً »</w:t>
            </w:r>
            <w:r>
              <w:rPr>
                <w:rtl/>
              </w:rPr>
              <w:t>.</w:t>
            </w:r>
          </w:p>
        </w:tc>
        <w:tc>
          <w:tcPr>
            <w:tcW w:w="4006" w:type="dxa"/>
          </w:tcPr>
          <w:p w:rsidR="008408C7" w:rsidRDefault="008408C7" w:rsidP="004A4E41">
            <w:pPr>
              <w:pStyle w:val="libFootnote0"/>
              <w:rPr>
                <w:rtl/>
                <w:lang w:bidi="fa-IR"/>
              </w:rPr>
            </w:pPr>
            <w:r>
              <w:rPr>
                <w:rtl/>
              </w:rPr>
              <w:t xml:space="preserve">(6). </w:t>
            </w:r>
            <w:r w:rsidRPr="00C9040A">
              <w:rPr>
                <w:rtl/>
              </w:rPr>
              <w:t xml:space="preserve">في الوسائل </w:t>
            </w:r>
            <w:r>
              <w:rPr>
                <w:rtl/>
              </w:rPr>
              <w:t>: -</w:t>
            </w:r>
            <w:r w:rsidRPr="00C9040A">
              <w:rPr>
                <w:rtl/>
              </w:rPr>
              <w:t xml:space="preserve"> « وهو رجل »</w:t>
            </w:r>
            <w:r>
              <w:rPr>
                <w:rtl/>
              </w:rPr>
              <w:t>.</w:t>
            </w:r>
          </w:p>
        </w:tc>
      </w:tr>
    </w:tbl>
    <w:p w:rsidR="008A74EB" w:rsidRPr="00C9040A" w:rsidRDefault="006C577F" w:rsidP="004A4E41">
      <w:pPr>
        <w:pStyle w:val="libFootnote0"/>
        <w:rPr>
          <w:rtl/>
          <w:lang w:bidi="fa-IR"/>
        </w:rPr>
      </w:pPr>
      <w:r>
        <w:rPr>
          <w:rtl/>
        </w:rPr>
        <w:t>(7).</w:t>
      </w:r>
      <w:r w:rsidR="008A74EB" w:rsidRPr="00C9040A">
        <w:rPr>
          <w:rtl/>
        </w:rPr>
        <w:t xml:space="preserve"> في الزهد : « بأبيها »</w:t>
      </w:r>
      <w:r w:rsidR="008A74EB">
        <w:rPr>
          <w:rtl/>
        </w:rPr>
        <w:t>.</w:t>
      </w:r>
    </w:p>
    <w:p w:rsidR="008A74EB" w:rsidRPr="00C9040A" w:rsidRDefault="006C577F" w:rsidP="009C5743">
      <w:pPr>
        <w:pStyle w:val="libFootnote0"/>
        <w:rPr>
          <w:rtl/>
          <w:lang w:bidi="fa-IR"/>
        </w:rPr>
      </w:pPr>
      <w:r>
        <w:rPr>
          <w:rtl/>
        </w:rPr>
        <w:t>(8).</w:t>
      </w:r>
      <w:r w:rsidR="008A74EB" w:rsidRPr="00C9040A">
        <w:rPr>
          <w:rtl/>
        </w:rPr>
        <w:t xml:space="preserve"> </w:t>
      </w:r>
      <w:r w:rsidR="008A74EB" w:rsidRPr="00993B55">
        <w:rPr>
          <w:rStyle w:val="libFootnoteBoldChar"/>
          <w:rtl/>
        </w:rPr>
        <w:t>الزهد</w:t>
      </w:r>
      <w:r w:rsidR="008A74EB" w:rsidRPr="00C9040A">
        <w:rPr>
          <w:rtl/>
        </w:rPr>
        <w:t xml:space="preserve"> ، ص 100 ، ح 91 ، عن فضالة بن أيّوب ، عن سيف بن عميرة ، وفيه : « أخبرني أبو عبد الله ببرّ ابنه إسماعيل له ، وقال : ولقد كنت ا</w:t>
      </w:r>
      <w:r w:rsidR="009C5743">
        <w:rPr>
          <w:rFonts w:hint="cs"/>
          <w:rtl/>
        </w:rPr>
        <w:t>ُ</w:t>
      </w:r>
      <w:r w:rsidR="008A74EB" w:rsidRPr="00C9040A">
        <w:rPr>
          <w:rtl/>
        </w:rPr>
        <w:t xml:space="preserve">حبّه وقد ازداد إليّ حبّاً ، إنّ رسول الله </w:t>
      </w:r>
      <w:r w:rsidR="004A4E41" w:rsidRPr="009C5743">
        <w:rPr>
          <w:rStyle w:val="libFootnoteAlaemChar"/>
          <w:rtl/>
        </w:rPr>
        <w:t>صلى‌الله‌عليه‌وآله</w:t>
      </w:r>
      <w:r w:rsidR="008A74EB">
        <w:rPr>
          <w:rtl/>
        </w:rPr>
        <w:t xml:space="preserve"> ..</w:t>
      </w:r>
      <w:r w:rsidR="008A74EB" w:rsidRPr="00C9040A">
        <w:rPr>
          <w:rtl/>
        </w:rPr>
        <w:t xml:space="preserve">. » </w:t>
      </w:r>
      <w:r w:rsidR="009C5743">
        <w:rPr>
          <w:rFonts w:hint="cs"/>
          <w:rtl/>
        </w:rPr>
        <w:t>.</w:t>
      </w:r>
      <w:r w:rsidR="008A74EB" w:rsidRPr="00993B55">
        <w:rPr>
          <w:rStyle w:val="libFootnoteBoldChar"/>
          <w:rtl/>
        </w:rPr>
        <w:t>الوافي</w:t>
      </w:r>
      <w:r w:rsidR="008A74EB" w:rsidRPr="00C9040A">
        <w:rPr>
          <w:rtl/>
        </w:rPr>
        <w:t xml:space="preserve"> ، ج 5 ، ص 497 ، ح 2424 ؛ </w:t>
      </w:r>
      <w:r w:rsidR="008A74EB" w:rsidRPr="00993B55">
        <w:rPr>
          <w:rStyle w:val="libFootnoteBoldChar"/>
          <w:rtl/>
        </w:rPr>
        <w:t>الوسائل</w:t>
      </w:r>
      <w:r w:rsidR="008A74EB" w:rsidRPr="00C9040A">
        <w:rPr>
          <w:rtl/>
        </w:rPr>
        <w:t xml:space="preserve"> ، ج 21 ، ص 488 ، ح 27665 ؛ </w:t>
      </w:r>
      <w:r w:rsidR="008A74EB" w:rsidRPr="00993B55">
        <w:rPr>
          <w:rStyle w:val="libFootnoteBoldChar"/>
          <w:rtl/>
        </w:rPr>
        <w:t>البحار</w:t>
      </w:r>
      <w:r w:rsidR="008A74EB" w:rsidRPr="00C9040A">
        <w:rPr>
          <w:rtl/>
        </w:rPr>
        <w:t xml:space="preserve"> ، ج 22 ، ص 266 ، ح 11 ، من قوله : « إنّ رسول الله </w:t>
      </w:r>
      <w:r w:rsidR="004A4E41" w:rsidRPr="00B72C98">
        <w:rPr>
          <w:rStyle w:val="libFootnoteAlaemChar"/>
          <w:rtl/>
        </w:rPr>
        <w:t>صلى‌الله‌عليه‌وآله</w:t>
      </w:r>
      <w:r w:rsidR="008A74EB" w:rsidRPr="00C9040A">
        <w:rPr>
          <w:rtl/>
        </w:rPr>
        <w:t xml:space="preserve"> أتته » ؛ وج 74 ، ص 55 ، ح 12.</w:t>
      </w:r>
      <w:r w:rsidR="009C5743">
        <w:rPr>
          <w:rFonts w:hint="cs"/>
          <w:rtl/>
        </w:rPr>
        <w:t xml:space="preserve">      </w:t>
      </w:r>
      <w:r>
        <w:rPr>
          <w:rtl/>
        </w:rPr>
        <w:t>(9).</w:t>
      </w:r>
      <w:r w:rsidR="008A74EB" w:rsidRPr="00C9040A">
        <w:rPr>
          <w:rtl/>
        </w:rPr>
        <w:t xml:space="preserve"> في حاشية « بر » : « جسداً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 ف » : « ونحن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 الجُنّة » : الدِّرْع ، وكلّ ما وقاك فهو جُنّتك. </w:t>
      </w:r>
      <w:r w:rsidR="008A74EB" w:rsidRPr="00993B55">
        <w:rPr>
          <w:rStyle w:val="libFootnoteBoldChar"/>
          <w:rtl/>
        </w:rPr>
        <w:t>ترتيب كتاب العين</w:t>
      </w:r>
      <w:r w:rsidR="008A74EB" w:rsidRPr="00C9040A">
        <w:rPr>
          <w:rtl/>
        </w:rPr>
        <w:t xml:space="preserve"> ، ج 1 ، ص 324 ( جنّ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غَداً »</w:t>
      </w:r>
      <w:r>
        <w:rPr>
          <w:rtl/>
          <w:lang w:bidi="fa-IR"/>
        </w:rPr>
        <w:t>.</w:t>
      </w:r>
      <w:r w:rsidRPr="00C9040A">
        <w:rPr>
          <w:rtl/>
          <w:lang w:bidi="fa-IR"/>
        </w:rPr>
        <w:t xml:space="preserve"> </w:t>
      </w:r>
      <w:r w:rsidR="006C577F" w:rsidRPr="006C577F">
        <w:rPr>
          <w:rStyle w:val="libFootnotenumChar"/>
          <w:rtl/>
        </w:rPr>
        <w:t>(1)</w:t>
      </w:r>
    </w:p>
    <w:p w:rsidR="008A74EB" w:rsidRPr="00C9040A" w:rsidRDefault="008A74EB" w:rsidP="008A74EB">
      <w:pPr>
        <w:pStyle w:val="libNormal"/>
        <w:rPr>
          <w:rtl/>
          <w:lang w:bidi="fa-IR"/>
        </w:rPr>
      </w:pPr>
      <w:r w:rsidRPr="00E949C5">
        <w:rPr>
          <w:rtl/>
        </w:rPr>
        <w:t>2020</w:t>
      </w:r>
      <w:r w:rsidRPr="00261CB0">
        <w:rPr>
          <w:rStyle w:val="libBold2Char"/>
          <w:rtl/>
        </w:rPr>
        <w:t xml:space="preserve"> / 14.</w:t>
      </w:r>
      <w:r w:rsidRPr="00C9040A">
        <w:rPr>
          <w:rtl/>
          <w:lang w:bidi="fa-IR"/>
        </w:rPr>
        <w:t xml:space="preserve"> عَنْهُ </w:t>
      </w:r>
      <w:r w:rsidR="006C577F" w:rsidRPr="006C577F">
        <w:rPr>
          <w:rStyle w:val="libFootnotenumChar"/>
          <w:rtl/>
        </w:rPr>
        <w:t>(2)</w:t>
      </w:r>
      <w:r w:rsidRPr="00C9040A">
        <w:rPr>
          <w:rtl/>
          <w:lang w:bidi="fa-IR"/>
        </w:rPr>
        <w:t xml:space="preserve"> ، عَنْ عَلِيِّ بْنِ الْحَكَمِ ، عَنْ سَيْفِ بْنِ عَمِيرَةَ ، عَنْ أَبِي الصَّبَّاحِ ، عَنْ جَابِرٍ ، قَالَ :</w:t>
      </w:r>
    </w:p>
    <w:p w:rsidR="008A74EB" w:rsidRPr="00C9040A" w:rsidRDefault="008A74EB" w:rsidP="008A74EB">
      <w:pPr>
        <w:pStyle w:val="libNormal"/>
        <w:rPr>
          <w:rtl/>
          <w:lang w:bidi="fa-IR"/>
        </w:rPr>
      </w:pPr>
      <w:r w:rsidRPr="00C9040A">
        <w:rPr>
          <w:rtl/>
          <w:lang w:bidi="fa-IR"/>
        </w:rPr>
        <w:t xml:space="preserve">سَمِعْتُ رَجُلاً يَقُولُ لِأَبِي عَبْدِ اللهِ </w:t>
      </w:r>
      <w:r w:rsidRPr="0003660B">
        <w:rPr>
          <w:rStyle w:val="libAlaemChar"/>
          <w:rtl/>
        </w:rPr>
        <w:t>عليه‌السلام</w:t>
      </w:r>
      <w:r w:rsidRPr="00C9040A">
        <w:rPr>
          <w:rtl/>
          <w:lang w:bidi="fa-IR"/>
        </w:rPr>
        <w:t xml:space="preserve"> : إِنَّ لِي أَبَوَيْنِ مُخَالِفَيْنِ</w:t>
      </w:r>
      <w:r>
        <w:rPr>
          <w:rtl/>
          <w:lang w:bidi="fa-IR"/>
        </w:rPr>
        <w:t>؟</w:t>
      </w:r>
    </w:p>
    <w:p w:rsidR="008A74EB" w:rsidRPr="00C9040A" w:rsidRDefault="008A74EB" w:rsidP="008A74EB">
      <w:pPr>
        <w:pStyle w:val="libNormal"/>
        <w:rPr>
          <w:rtl/>
          <w:lang w:bidi="fa-IR"/>
        </w:rPr>
      </w:pPr>
      <w:r w:rsidRPr="00C9040A">
        <w:rPr>
          <w:rtl/>
          <w:lang w:bidi="fa-IR"/>
        </w:rPr>
        <w:t xml:space="preserve">فَقَالَ : « بَرَّهُمَا كَمَا تَبَرُّ الْمُسْلِمِينَ </w:t>
      </w:r>
      <w:r w:rsidR="006C577F" w:rsidRPr="006C577F">
        <w:rPr>
          <w:rStyle w:val="libFootnotenumChar"/>
          <w:rtl/>
        </w:rPr>
        <w:t>(3)</w:t>
      </w:r>
      <w:r w:rsidR="00DE1960">
        <w:rPr>
          <w:rtl/>
          <w:lang w:bidi="fa-IR"/>
        </w:rPr>
        <w:t xml:space="preserve"> مِمَّنْ يَتَوَل</w:t>
      </w:r>
      <w:r w:rsidR="00DE1960">
        <w:rPr>
          <w:rFonts w:hint="cs"/>
          <w:rtl/>
          <w:lang w:bidi="fa-IR"/>
        </w:rPr>
        <w:t>َّ</w:t>
      </w:r>
      <w:r w:rsidR="00DE1960">
        <w:rPr>
          <w:rtl/>
          <w:lang w:bidi="fa-IR"/>
        </w:rPr>
        <w:t>ا</w:t>
      </w:r>
      <w:r w:rsidRPr="00C9040A">
        <w:rPr>
          <w:rtl/>
          <w:lang w:bidi="fa-IR"/>
        </w:rPr>
        <w:t xml:space="preserve">نَا </w:t>
      </w:r>
      <w:r w:rsidR="006C577F" w:rsidRPr="006C577F">
        <w:rPr>
          <w:rStyle w:val="libFootnotenumChar"/>
          <w:rtl/>
        </w:rPr>
        <w:t>(4)</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380C81" w:rsidRDefault="008A74EB" w:rsidP="00380C81">
      <w:pPr>
        <w:pStyle w:val="libNormal"/>
        <w:rPr>
          <w:rtl/>
          <w:lang w:bidi="fa-IR"/>
        </w:rPr>
      </w:pPr>
      <w:r w:rsidRPr="00E949C5">
        <w:rPr>
          <w:rtl/>
        </w:rPr>
        <w:t>2021</w:t>
      </w:r>
      <w:r w:rsidRPr="00261CB0">
        <w:rPr>
          <w:rStyle w:val="libBold2Char"/>
          <w:rtl/>
        </w:rPr>
        <w:t xml:space="preserve"> / 15.</w:t>
      </w:r>
      <w:r w:rsidRPr="00C9040A">
        <w:rPr>
          <w:rtl/>
          <w:lang w:bidi="fa-IR"/>
        </w:rPr>
        <w:t xml:space="preserve"> عَلِيُّ بْنُ إِبْرَاهِيمَ ، عَنْ أَبِيهِ ؛</w:t>
      </w:r>
    </w:p>
    <w:p w:rsidR="008A74EB" w:rsidRPr="00C9040A" w:rsidRDefault="008A74EB" w:rsidP="00380C81">
      <w:pPr>
        <w:pStyle w:val="libNormal"/>
        <w:rPr>
          <w:rtl/>
          <w:lang w:bidi="fa-IR"/>
        </w:rPr>
      </w:pPr>
      <w:r w:rsidRPr="00C9040A">
        <w:rPr>
          <w:rtl/>
          <w:lang w:bidi="fa-IR"/>
        </w:rPr>
        <w:t xml:space="preserve">وَمُحَمَّدُ بْنُ يَحْيى ، عَنْ أَحْمَدَ بْنِ مُحَمَّدٍ جَمِيعاً ، عَنِ ابْنِ مَحْبُوبٍ </w:t>
      </w:r>
      <w:r w:rsidR="006C577F" w:rsidRPr="006C577F">
        <w:rPr>
          <w:rStyle w:val="libFootnotenumChar"/>
          <w:rtl/>
        </w:rPr>
        <w:t>(6)</w:t>
      </w:r>
      <w:r w:rsidR="00380C81" w:rsidRPr="00C9040A">
        <w:rPr>
          <w:rtl/>
          <w:lang w:bidi="fa-IR"/>
        </w:rPr>
        <w:t xml:space="preserve"> </w:t>
      </w:r>
      <w:r w:rsidRPr="00C9040A">
        <w:rPr>
          <w:rtl/>
          <w:lang w:bidi="fa-IR"/>
        </w:rPr>
        <w:t>، عَنْ مَالِكِ بْنِ عَطِيَّةَ ، عَنْ عَنْبَسَةَ بْنِ مُصْعَبٍ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ثَلَاثٌ لَمْ يَجْعَلِ </w:t>
      </w:r>
      <w:r w:rsidR="006C577F" w:rsidRPr="006C577F">
        <w:rPr>
          <w:rStyle w:val="libFootnotenumChar"/>
          <w:rtl/>
        </w:rPr>
        <w:t>(7)</w:t>
      </w:r>
      <w:r w:rsidRPr="00C9040A">
        <w:rPr>
          <w:rtl/>
          <w:lang w:bidi="fa-IR"/>
        </w:rPr>
        <w:t xml:space="preserve">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لِأَحَدٍ فِيهِنَّ رُخْصَةً : أَدَاءُ الْأَمَانَةِ إِلَى الْبَرِّ </w:t>
      </w:r>
      <w:r w:rsidR="006C577F" w:rsidRPr="006C577F">
        <w:rPr>
          <w:rStyle w:val="libFootnotenumChar"/>
          <w:rtl/>
        </w:rPr>
        <w:t>(8)</w:t>
      </w:r>
      <w:r w:rsidRPr="00C9040A">
        <w:rPr>
          <w:rtl/>
          <w:lang w:bidi="fa-IR"/>
        </w:rPr>
        <w:t xml:space="preserve"> وَالْفَاجِرِ ، وَالْوَفَاءُ بِالْعَهْدِ </w:t>
      </w:r>
      <w:r w:rsidR="006C577F" w:rsidRPr="006C577F">
        <w:rPr>
          <w:rStyle w:val="libFootnotenumChar"/>
          <w:rtl/>
        </w:rPr>
        <w:t>(9)</w:t>
      </w:r>
      <w:r w:rsidRPr="00C9040A">
        <w:rPr>
          <w:rtl/>
          <w:lang w:bidi="fa-IR"/>
        </w:rPr>
        <w:t xml:space="preserve"> لِلْبَرِّ وَالْفَاجِرِ ، وَبِرُّ الْوَالِدَيْنِ ، بَرَّيْنِ كَانَا أَوْ‌</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8F7AC9">
      <w:pPr>
        <w:pStyle w:val="libFootnote0"/>
        <w:rPr>
          <w:rtl/>
          <w:lang w:bidi="fa-IR"/>
        </w:rPr>
      </w:pPr>
      <w:r>
        <w:rPr>
          <w:rtl/>
        </w:rPr>
        <w:t>(1).</w:t>
      </w:r>
      <w:r w:rsidR="008A74EB">
        <w:rPr>
          <w:rtl/>
        </w:rPr>
        <w:t xml:space="preserve"> </w:t>
      </w:r>
      <w:r w:rsidR="008A74EB" w:rsidRPr="00993B55">
        <w:rPr>
          <w:rStyle w:val="libFootnoteBoldChar"/>
          <w:rtl/>
        </w:rPr>
        <w:t>الزهد</w:t>
      </w:r>
      <w:r w:rsidR="008A74EB" w:rsidRPr="00C9040A">
        <w:rPr>
          <w:rtl/>
        </w:rPr>
        <w:t xml:space="preserve"> ، ص 101 ، ح 94 ، عن فضالة بن أيّوب ، عن سيف بن عميرة ، عن ابن مسكان</w:t>
      </w:r>
      <w:r w:rsidR="008F7AC9">
        <w:rPr>
          <w:rFonts w:hint="cs"/>
          <w:rtl/>
        </w:rPr>
        <w:t>.</w:t>
      </w:r>
      <w:r w:rsidR="008A74EB" w:rsidRPr="00993B55">
        <w:rPr>
          <w:rStyle w:val="libFootnoteBoldChar"/>
          <w:rtl/>
        </w:rPr>
        <w:t>الوافي</w:t>
      </w:r>
      <w:r w:rsidR="008A74EB" w:rsidRPr="00C9040A">
        <w:rPr>
          <w:rtl/>
        </w:rPr>
        <w:t xml:space="preserve"> ، ج 5 ، ص 498 ، ح 2425 ؛ </w:t>
      </w:r>
      <w:r w:rsidR="008A74EB" w:rsidRPr="00993B55">
        <w:rPr>
          <w:rStyle w:val="libFootnoteBoldChar"/>
          <w:rtl/>
        </w:rPr>
        <w:t>الوسائل</w:t>
      </w:r>
      <w:r w:rsidR="008A74EB" w:rsidRPr="00C9040A">
        <w:rPr>
          <w:rtl/>
        </w:rPr>
        <w:t xml:space="preserve"> ، ج 21 ، ص 505 ، ح 27707 ؛ </w:t>
      </w:r>
      <w:r w:rsidR="008A74EB" w:rsidRPr="00993B55">
        <w:rPr>
          <w:rStyle w:val="libFootnoteBoldChar"/>
          <w:rtl/>
        </w:rPr>
        <w:t>البحار</w:t>
      </w:r>
      <w:r w:rsidR="008A74EB" w:rsidRPr="00C9040A">
        <w:rPr>
          <w:rtl/>
        </w:rPr>
        <w:t xml:space="preserve"> ، ج 74 ، ص 56 ، ح 13.</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الضمير راجع إلى أحمد بن محمّد بن عيسى المذكور في السند السابق.</w:t>
      </w:r>
    </w:p>
    <w:p w:rsidR="008A74EB" w:rsidRPr="00C9040A" w:rsidRDefault="006C577F" w:rsidP="004A4E41">
      <w:pPr>
        <w:pStyle w:val="libFootnote0"/>
        <w:rPr>
          <w:rtl/>
          <w:lang w:bidi="fa-IR"/>
        </w:rPr>
      </w:pPr>
      <w:r>
        <w:rPr>
          <w:rtl/>
        </w:rPr>
        <w:t>(3).</w:t>
      </w:r>
      <w:r w:rsidR="008A74EB" w:rsidRPr="00C9040A">
        <w:rPr>
          <w:rtl/>
        </w:rPr>
        <w:t xml:space="preserve"> في </w:t>
      </w:r>
      <w:r w:rsidR="008A74EB" w:rsidRPr="00993B55">
        <w:rPr>
          <w:rStyle w:val="libFootnoteBoldChar"/>
          <w:rtl/>
        </w:rPr>
        <w:t>مرآة العقول</w:t>
      </w:r>
      <w:r w:rsidR="008A74EB" w:rsidRPr="00C9040A">
        <w:rPr>
          <w:rtl/>
        </w:rPr>
        <w:t xml:space="preserve"> ، ج 8 ، ص 427 : « كما تبرّ المسلمين ، بصيغة الجمع ، أي للأجنبيّ المؤمن حقّ الإيمان ، وللوالدين المخالفين حقّ الولادة ، فهما متساويان في الحقّ. ويمكن أن يقرأ بصيغة التثنية ، أي كما تبرّهما لو كانا مسلمين ، فيكون التشبيه في أصل البرّ لا في مقداره ، لكنّه بعيد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ج ، ص ، ف ، بر ، بس ، بف » : « يتوالانا »</w:t>
      </w:r>
      <w:r w:rsidR="008A74EB">
        <w:rPr>
          <w:rtl/>
        </w:rPr>
        <w:t>.</w:t>
      </w:r>
    </w:p>
    <w:p w:rsidR="008A74EB" w:rsidRPr="00C9040A" w:rsidRDefault="006C577F" w:rsidP="008F7AC9">
      <w:pPr>
        <w:pStyle w:val="libFootnote0"/>
        <w:rPr>
          <w:rtl/>
          <w:lang w:bidi="fa-IR"/>
        </w:rPr>
      </w:pPr>
      <w:r>
        <w:rPr>
          <w:rtl/>
        </w:rPr>
        <w:t>(5).</w:t>
      </w:r>
      <w:r w:rsidR="008A74EB" w:rsidRPr="00C9040A">
        <w:rPr>
          <w:rtl/>
        </w:rPr>
        <w:t xml:space="preserve"> </w:t>
      </w:r>
      <w:r w:rsidR="008A74EB" w:rsidRPr="00993B55">
        <w:rPr>
          <w:rStyle w:val="libFootnoteBoldChar"/>
          <w:rtl/>
        </w:rPr>
        <w:t>الزهد</w:t>
      </w:r>
      <w:r w:rsidR="008A74EB" w:rsidRPr="00C9040A">
        <w:rPr>
          <w:rtl/>
        </w:rPr>
        <w:t xml:space="preserve"> ، ص 101 ، ح 96 ، عن فضالة ، عن سيف بن عميرة</w:t>
      </w:r>
      <w:r w:rsidR="008F7AC9">
        <w:rPr>
          <w:rFonts w:hint="cs"/>
          <w:rtl/>
        </w:rPr>
        <w:t>.</w:t>
      </w:r>
      <w:r w:rsidR="008A74EB" w:rsidRPr="00993B55">
        <w:rPr>
          <w:rStyle w:val="libFootnoteBoldChar"/>
          <w:rtl/>
        </w:rPr>
        <w:t>الوافي</w:t>
      </w:r>
      <w:r w:rsidR="008A74EB" w:rsidRPr="00C9040A">
        <w:rPr>
          <w:rtl/>
        </w:rPr>
        <w:t xml:space="preserve"> ، ج 5 ، ص 498 ، ح 2426 ؛ </w:t>
      </w:r>
      <w:r w:rsidR="008A74EB" w:rsidRPr="00993B55">
        <w:rPr>
          <w:rStyle w:val="libFootnoteBoldChar"/>
          <w:rtl/>
        </w:rPr>
        <w:t>الوسائل</w:t>
      </w:r>
      <w:r w:rsidR="008A74EB" w:rsidRPr="00C9040A">
        <w:rPr>
          <w:rtl/>
        </w:rPr>
        <w:t xml:space="preserve"> ، ج 21 ، ص 490 ، ح 27667 ؛ </w:t>
      </w:r>
      <w:r w:rsidR="008A74EB" w:rsidRPr="00993B55">
        <w:rPr>
          <w:rStyle w:val="libFootnoteBoldChar"/>
          <w:rtl/>
        </w:rPr>
        <w:t>البحار</w:t>
      </w:r>
      <w:r w:rsidR="008A74EB" w:rsidRPr="00C9040A">
        <w:rPr>
          <w:rtl/>
        </w:rPr>
        <w:t xml:space="preserve"> ، ج 74 ، ص 56 ، ح 14.</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الوسائل </w:t>
      </w:r>
      <w:r w:rsidR="008A74EB">
        <w:rPr>
          <w:rtl/>
        </w:rPr>
        <w:t xml:space="preserve">: </w:t>
      </w:r>
      <w:r w:rsidR="0084262C">
        <w:rPr>
          <w:rtl/>
        </w:rPr>
        <w:t>-</w:t>
      </w:r>
      <w:r w:rsidR="008A74EB" w:rsidRPr="00C9040A">
        <w:rPr>
          <w:rtl/>
        </w:rPr>
        <w:t xml:space="preserve"> « عن ابن محبوب »</w:t>
      </w:r>
      <w:r w:rsidR="008A74EB">
        <w:rPr>
          <w:rtl/>
        </w:rPr>
        <w:t>.</w:t>
      </w:r>
      <w:r w:rsidR="008A74EB" w:rsidRPr="00C9040A">
        <w:rPr>
          <w:rtl/>
        </w:rPr>
        <w:t xml:space="preserve"> وهو سهو ؛ فقد روى أحمد بن محمّد بن عيسى عن الحسن بن محبوب‌كتاب مالك بن عطيّة. وتكرّرت رواية إبراهيم بن هاشم وأحمد بن محمّد بن عيسى عن الحسن بن محبوب ، عن مالك بن عطيّة في الأسناد. راجع : </w:t>
      </w:r>
      <w:r w:rsidR="008A74EB" w:rsidRPr="0034021D">
        <w:rPr>
          <w:rStyle w:val="libFootnoteBoldChar"/>
          <w:rtl/>
        </w:rPr>
        <w:t>الفهرست للطوسي</w:t>
      </w:r>
      <w:r w:rsidR="008A74EB" w:rsidRPr="00C9040A">
        <w:rPr>
          <w:rtl/>
        </w:rPr>
        <w:t xml:space="preserve"> ، ص 470 ، الرقم 753 ؛ </w:t>
      </w:r>
      <w:r w:rsidR="008A74EB" w:rsidRPr="00993B55">
        <w:rPr>
          <w:rStyle w:val="libFootnoteBoldChar"/>
          <w:rtl/>
        </w:rPr>
        <w:t>معجم رجال الحديث</w:t>
      </w:r>
      <w:r w:rsidR="008A74EB" w:rsidRPr="00C9040A">
        <w:rPr>
          <w:rtl/>
        </w:rPr>
        <w:t xml:space="preserve"> ، ج 5 ، ص 366</w:t>
      </w:r>
      <w:r w:rsidR="008A74EB">
        <w:rPr>
          <w:rtl/>
        </w:rPr>
        <w:t xml:space="preserve"> </w:t>
      </w:r>
      <w:r w:rsidR="0084262C">
        <w:rPr>
          <w:rtl/>
        </w:rPr>
        <w:t>-</w:t>
      </w:r>
      <w:r w:rsidR="008A74EB">
        <w:rPr>
          <w:rtl/>
        </w:rPr>
        <w:t xml:space="preserve"> </w:t>
      </w:r>
      <w:r w:rsidR="008A74EB" w:rsidRPr="00C9040A">
        <w:rPr>
          <w:rtl/>
        </w:rPr>
        <w:t>367 ؛ وص 275</w:t>
      </w:r>
      <w:r w:rsidR="008A74EB">
        <w:rPr>
          <w:rtl/>
        </w:rPr>
        <w:t xml:space="preserve"> </w:t>
      </w:r>
      <w:r w:rsidR="0084262C">
        <w:rPr>
          <w:rtl/>
        </w:rPr>
        <w:t>-</w:t>
      </w:r>
      <w:r w:rsidR="008A74EB">
        <w:rPr>
          <w:rtl/>
        </w:rPr>
        <w:t xml:space="preserve"> </w:t>
      </w:r>
      <w:r w:rsidR="008A74EB" w:rsidRPr="00C9040A">
        <w:rPr>
          <w:rtl/>
        </w:rPr>
        <w:t>276.</w:t>
      </w:r>
    </w:p>
    <w:tbl>
      <w:tblPr>
        <w:tblStyle w:val="TableGrid"/>
        <w:bidiVisual/>
        <w:tblW w:w="0" w:type="auto"/>
        <w:tblLook w:val="04A0" w:firstRow="1" w:lastRow="0" w:firstColumn="1" w:lastColumn="0" w:noHBand="0" w:noVBand="1"/>
      </w:tblPr>
      <w:tblGrid>
        <w:gridCol w:w="4006"/>
        <w:gridCol w:w="4006"/>
      </w:tblGrid>
      <w:tr w:rsidR="008F7AC9" w:rsidTr="008F7AC9">
        <w:tc>
          <w:tcPr>
            <w:tcW w:w="4006" w:type="dxa"/>
          </w:tcPr>
          <w:p w:rsidR="008F7AC9" w:rsidRDefault="008F7AC9" w:rsidP="004A4E41">
            <w:pPr>
              <w:pStyle w:val="libFootnote0"/>
              <w:rPr>
                <w:rtl/>
              </w:rPr>
            </w:pPr>
            <w:r>
              <w:rPr>
                <w:rtl/>
              </w:rPr>
              <w:t>(7).</w:t>
            </w:r>
            <w:r w:rsidRPr="00C9040A">
              <w:rPr>
                <w:rtl/>
              </w:rPr>
              <w:t xml:space="preserve"> في « ف » : « لا يجعل »</w:t>
            </w:r>
            <w:r>
              <w:rPr>
                <w:rtl/>
              </w:rPr>
              <w:t>.</w:t>
            </w:r>
          </w:p>
        </w:tc>
        <w:tc>
          <w:tcPr>
            <w:tcW w:w="4006" w:type="dxa"/>
          </w:tcPr>
          <w:p w:rsidR="008F7AC9" w:rsidRDefault="008F7AC9" w:rsidP="004A4E41">
            <w:pPr>
              <w:pStyle w:val="libFootnote0"/>
              <w:rPr>
                <w:rtl/>
              </w:rPr>
            </w:pPr>
            <w:r>
              <w:rPr>
                <w:rtl/>
              </w:rPr>
              <w:t>(8).</w:t>
            </w:r>
            <w:r w:rsidRPr="00C9040A">
              <w:rPr>
                <w:rtl/>
              </w:rPr>
              <w:t xml:space="preserve"> في حاشية « ف » : « البارّ »</w:t>
            </w:r>
            <w:r>
              <w:rPr>
                <w:rtl/>
              </w:rPr>
              <w:t>.</w:t>
            </w:r>
          </w:p>
        </w:tc>
      </w:tr>
    </w:tbl>
    <w:p w:rsidR="008A74EB" w:rsidRPr="00C9040A" w:rsidRDefault="006C577F" w:rsidP="004A4E41">
      <w:pPr>
        <w:pStyle w:val="libFootnote0"/>
        <w:rPr>
          <w:rtl/>
          <w:lang w:bidi="fa-IR"/>
        </w:rPr>
      </w:pPr>
      <w:r>
        <w:rPr>
          <w:rtl/>
        </w:rPr>
        <w:t>(9).</w:t>
      </w:r>
      <w:r w:rsidR="008A74EB" w:rsidRPr="00C9040A">
        <w:rPr>
          <w:rtl/>
        </w:rPr>
        <w:t xml:space="preserve"> في « ج » : « للعهد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فَاجِرَيْنِ »</w:t>
      </w:r>
      <w:r>
        <w:rPr>
          <w:rtl/>
          <w:lang w:bidi="fa-IR"/>
        </w:rPr>
        <w:t>.</w:t>
      </w:r>
      <w:r w:rsidRPr="00C9040A">
        <w:rPr>
          <w:rtl/>
          <w:lang w:bidi="fa-IR"/>
        </w:rPr>
        <w:t xml:space="preserve"> </w:t>
      </w:r>
      <w:r w:rsidR="006C577F" w:rsidRPr="006C577F">
        <w:rPr>
          <w:rStyle w:val="libFootnotenumChar"/>
          <w:rtl/>
        </w:rPr>
        <w:t>(1)</w:t>
      </w:r>
      <w:r w:rsidRPr="00C9040A">
        <w:rPr>
          <w:rtl/>
          <w:lang w:bidi="fa-IR"/>
        </w:rPr>
        <w:t>‌</w:t>
      </w:r>
    </w:p>
    <w:p w:rsidR="008A74EB" w:rsidRPr="00C9040A" w:rsidRDefault="008A74EB" w:rsidP="008A74EB">
      <w:pPr>
        <w:pStyle w:val="libNormal"/>
        <w:rPr>
          <w:rtl/>
          <w:lang w:bidi="fa-IR"/>
        </w:rPr>
      </w:pPr>
      <w:r w:rsidRPr="00E949C5">
        <w:rPr>
          <w:rtl/>
        </w:rPr>
        <w:t>2022</w:t>
      </w:r>
      <w:r w:rsidRPr="00261CB0">
        <w:rPr>
          <w:rStyle w:val="libBold2Char"/>
          <w:rtl/>
        </w:rPr>
        <w:t xml:space="preserve"> / 16.</w:t>
      </w:r>
      <w:r w:rsidRPr="00C9040A">
        <w:rPr>
          <w:rtl/>
          <w:lang w:bidi="fa-IR"/>
        </w:rPr>
        <w:t xml:space="preserve"> عَلِيُّ بْنُ إِبْرَاهِيمَ </w:t>
      </w:r>
      <w:r w:rsidR="006C577F" w:rsidRPr="006C577F">
        <w:rPr>
          <w:rStyle w:val="libFootnotenumChar"/>
          <w:rtl/>
        </w:rPr>
        <w:t>(2)</w:t>
      </w:r>
      <w:r w:rsidRPr="00C9040A">
        <w:rPr>
          <w:rtl/>
          <w:lang w:bidi="fa-IR"/>
        </w:rPr>
        <w:t xml:space="preserve"> ، عَنْ أَبِيهِ ، عَنِ النَّوْفَلِيِّ ، عَنِ السَّكُونِيِّ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مِنَ السُّنَّةِ وَالْبِرِّ </w:t>
      </w:r>
      <w:r w:rsidR="006C577F" w:rsidRPr="006C577F">
        <w:rPr>
          <w:rStyle w:val="libFootnotenumChar"/>
          <w:rtl/>
        </w:rPr>
        <w:t>(3)</w:t>
      </w:r>
      <w:r w:rsidRPr="00C9040A">
        <w:rPr>
          <w:rtl/>
          <w:lang w:bidi="fa-IR"/>
        </w:rPr>
        <w:t xml:space="preserve"> أَنْ يُكَنَّى </w:t>
      </w:r>
      <w:r w:rsidR="006C577F" w:rsidRPr="006C577F">
        <w:rPr>
          <w:rStyle w:val="libFootnotenumChar"/>
          <w:rtl/>
        </w:rPr>
        <w:t>(4)</w:t>
      </w:r>
      <w:r w:rsidRPr="00C9040A">
        <w:rPr>
          <w:rtl/>
          <w:lang w:bidi="fa-IR"/>
        </w:rPr>
        <w:t xml:space="preserve"> الرَّجُلُ بِاسْمِ أَبِيهِ </w:t>
      </w:r>
      <w:r w:rsidR="006C577F" w:rsidRPr="006C577F">
        <w:rPr>
          <w:rStyle w:val="libFootnotenumChar"/>
          <w:rtl/>
        </w:rPr>
        <w:t>(5)</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(6)</w:t>
      </w:r>
    </w:p>
    <w:p w:rsidR="00077244" w:rsidRDefault="008A74EB" w:rsidP="00077244">
      <w:pPr>
        <w:pStyle w:val="libNormal"/>
        <w:rPr>
          <w:rtl/>
          <w:lang w:bidi="fa-IR"/>
        </w:rPr>
      </w:pPr>
      <w:r w:rsidRPr="00E949C5">
        <w:rPr>
          <w:rtl/>
        </w:rPr>
        <w:t>2023</w:t>
      </w:r>
      <w:r w:rsidRPr="00261CB0">
        <w:rPr>
          <w:rStyle w:val="libBold2Char"/>
          <w:rtl/>
        </w:rPr>
        <w:t xml:space="preserve"> / 17.</w:t>
      </w:r>
      <w:r w:rsidRPr="00C9040A">
        <w:rPr>
          <w:rtl/>
          <w:lang w:bidi="fa-IR"/>
        </w:rPr>
        <w:t xml:space="preserve"> الْحُسَيْنُ بْنُ مُحَمَّدٍ ، عَنْ مُعَلَّى بْنِ مُحَمَّدٍ ؛</w:t>
      </w:r>
    </w:p>
    <w:p w:rsidR="008A74EB" w:rsidRPr="00C9040A" w:rsidRDefault="008A74EB" w:rsidP="00077244">
      <w:pPr>
        <w:pStyle w:val="libNormal"/>
        <w:rPr>
          <w:rtl/>
          <w:lang w:bidi="fa-IR"/>
        </w:rPr>
      </w:pPr>
      <w:r w:rsidRPr="00C9040A">
        <w:rPr>
          <w:rtl/>
          <w:lang w:bidi="fa-IR"/>
        </w:rPr>
        <w:t>وَعَلِيُّ بْنُ مُحَمَّدٍ ، عَنْ صَالِحِ بْنِ أَبِي حَمَّادٍ جَمِيعاً ، عَنِ الْوَشَّاءِ ، عَنْ أَحْمَدَ بْنِ عَائِذٍ ، عَنْ أَبِي خَدِيجَةَ</w:t>
      </w:r>
      <w:r>
        <w:rPr>
          <w:rtl/>
          <w:lang w:bidi="fa-IR"/>
        </w:rPr>
        <w:t xml:space="preserve"> </w:t>
      </w:r>
      <w:r w:rsidR="0084262C">
        <w:rPr>
          <w:rtl/>
          <w:lang w:bidi="fa-IR"/>
        </w:rPr>
        <w:t>-</w:t>
      </w:r>
      <w:r>
        <w:rPr>
          <w:rtl/>
          <w:lang w:bidi="fa-IR"/>
        </w:rPr>
        <w:t xml:space="preserve"> </w:t>
      </w:r>
      <w:r w:rsidRPr="00C9040A">
        <w:rPr>
          <w:rtl/>
          <w:lang w:bidi="fa-IR"/>
        </w:rPr>
        <w:t>سَالِمِ بْنِ مُكْرَمٍ</w:t>
      </w:r>
      <w:r>
        <w:rPr>
          <w:rtl/>
          <w:lang w:bidi="fa-IR"/>
        </w:rPr>
        <w:t xml:space="preserve"> </w:t>
      </w:r>
      <w:r w:rsidR="0084262C">
        <w:rPr>
          <w:rtl/>
          <w:lang w:bidi="fa-IR"/>
        </w:rPr>
        <w:t>-</w:t>
      </w:r>
      <w:r>
        <w:rPr>
          <w:rtl/>
          <w:lang w:bidi="fa-IR"/>
        </w:rPr>
        <w:t xml:space="preserve"> </w:t>
      </w:r>
      <w:r w:rsidRPr="00C9040A">
        <w:rPr>
          <w:rtl/>
          <w:lang w:bidi="fa-IR"/>
        </w:rPr>
        <w:t>عَنْ مُعَلَّى بْنِ خُنَيْسٍ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جَاءَ رَجُلٌ وَسَأَلَ النَّبِيَّ </w:t>
      </w:r>
      <w:r w:rsidR="004A4E41" w:rsidRPr="004A4E41">
        <w:rPr>
          <w:rStyle w:val="libAlaemChar"/>
          <w:rtl/>
        </w:rPr>
        <w:t>صلى‌الله‌عليه‌وآله</w:t>
      </w:r>
      <w:r w:rsidRPr="00C9040A">
        <w:rPr>
          <w:rtl/>
          <w:lang w:bidi="fa-IR"/>
        </w:rPr>
        <w:t xml:space="preserve"> عَنْ بِرِّ الْوَالِدَيْنِ ، فَقَالَ : ابْرَرْ أُمَّكَ ، ابْرَرْ أُمَّكَ ، ابْرَرْ أُمَّكَ </w:t>
      </w:r>
      <w:r w:rsidR="006C577F" w:rsidRPr="006C577F">
        <w:rPr>
          <w:rStyle w:val="libFootnotenumChar"/>
          <w:rtl/>
        </w:rPr>
        <w:t>(7)</w:t>
      </w:r>
      <w:r w:rsidRPr="00C9040A">
        <w:rPr>
          <w:rtl/>
          <w:lang w:bidi="fa-IR"/>
        </w:rPr>
        <w:t xml:space="preserve"> ، ابْرَرْ أَبَاكَ ، ابْرَرْ أَبَاكَ ، ابْرَرْ أَبَاكَ ، وَبَدَأَ بِالْأُمِّ قَبْلَ الْأَبِ »</w:t>
      </w:r>
      <w:r>
        <w:rPr>
          <w:rtl/>
          <w:lang w:bidi="fa-IR"/>
        </w:rPr>
        <w:t>.</w:t>
      </w:r>
      <w:r w:rsidR="006C577F" w:rsidRPr="006C577F">
        <w:rPr>
          <w:rStyle w:val="libFootnotenumChar"/>
          <w:rtl/>
        </w:rPr>
        <w:t>(8)</w:t>
      </w:r>
      <w:r w:rsidRPr="00C9040A">
        <w:rPr>
          <w:rtl/>
          <w:lang w:bidi="fa-IR"/>
        </w:rPr>
        <w:t>‌</w:t>
      </w:r>
    </w:p>
    <w:p w:rsidR="008A74EB" w:rsidRPr="00C9040A" w:rsidRDefault="008A74EB" w:rsidP="008A74EB">
      <w:pPr>
        <w:pStyle w:val="libNormal"/>
        <w:rPr>
          <w:rtl/>
          <w:lang w:bidi="fa-IR"/>
        </w:rPr>
      </w:pPr>
      <w:r w:rsidRPr="00E949C5">
        <w:rPr>
          <w:rtl/>
        </w:rPr>
        <w:t>2024</w:t>
      </w:r>
      <w:r w:rsidRPr="00261CB0">
        <w:rPr>
          <w:rStyle w:val="libBold2Char"/>
          <w:rtl/>
        </w:rPr>
        <w:t xml:space="preserve"> / 18.</w:t>
      </w:r>
      <w:r w:rsidRPr="00C9040A">
        <w:rPr>
          <w:rtl/>
          <w:lang w:bidi="fa-IR"/>
        </w:rPr>
        <w:t xml:space="preserve"> الْوَشَّاءُ </w:t>
      </w:r>
      <w:r w:rsidR="006C577F" w:rsidRPr="006C577F">
        <w:rPr>
          <w:rStyle w:val="libFootnotenumChar"/>
          <w:rtl/>
        </w:rPr>
        <w:t>(9)</w:t>
      </w:r>
      <w:r w:rsidRPr="00C9040A">
        <w:rPr>
          <w:rtl/>
          <w:lang w:bidi="fa-IR"/>
        </w:rPr>
        <w:t xml:space="preserve"> ، عَنْ أَحْمَدَ بْنِ عَائِذٍ ، عَنْ أَبِي خَدِيجَةَ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F22C57">
      <w:pPr>
        <w:pStyle w:val="libFootnote0"/>
        <w:rPr>
          <w:rtl/>
          <w:lang w:bidi="fa-IR"/>
        </w:rPr>
      </w:pPr>
      <w:r>
        <w:rPr>
          <w:rtl/>
        </w:rPr>
        <w:t>(1).</w:t>
      </w:r>
      <w:r w:rsidR="008A74EB">
        <w:rPr>
          <w:rtl/>
        </w:rPr>
        <w:t xml:space="preserve"> </w:t>
      </w:r>
      <w:r w:rsidR="008A74EB" w:rsidRPr="00993B55">
        <w:rPr>
          <w:rStyle w:val="libFootnoteBoldChar"/>
          <w:rtl/>
        </w:rPr>
        <w:t>الخصال</w:t>
      </w:r>
      <w:r w:rsidR="008A74EB" w:rsidRPr="00C9040A">
        <w:rPr>
          <w:rtl/>
        </w:rPr>
        <w:t xml:space="preserve"> ، ص 128 ، باب الثلاثة ، ح 129 ، بسنده عن الحسن بن محبوب</w:t>
      </w:r>
      <w:r w:rsidR="008A74EB">
        <w:rPr>
          <w:rtl/>
        </w:rPr>
        <w:t xml:space="preserve"> ..</w:t>
      </w:r>
      <w:r w:rsidR="008A74EB" w:rsidRPr="00C9040A">
        <w:rPr>
          <w:rtl/>
        </w:rPr>
        <w:t xml:space="preserve">. عن أبي عبد الله </w:t>
      </w:r>
      <w:r w:rsidR="00117575" w:rsidRPr="00F22C57">
        <w:rPr>
          <w:rStyle w:val="libFootnoteAlaemChar"/>
          <w:rtl/>
        </w:rPr>
        <w:t>عليه‌السلام</w:t>
      </w:r>
      <w:r w:rsidR="00117575" w:rsidRPr="00117575">
        <w:rPr>
          <w:rStyle w:val="libFootnoteAlaemChar"/>
          <w:rtl/>
        </w:rPr>
        <w:t xml:space="preserve"> </w:t>
      </w:r>
      <w:r w:rsidR="008A74EB" w:rsidRPr="00C9040A">
        <w:rPr>
          <w:rtl/>
        </w:rPr>
        <w:t xml:space="preserve">. وفي </w:t>
      </w:r>
      <w:r w:rsidR="008A74EB" w:rsidRPr="00993B55">
        <w:rPr>
          <w:rStyle w:val="libFootnoteBoldChar"/>
          <w:rtl/>
        </w:rPr>
        <w:t>الكافي</w:t>
      </w:r>
      <w:r w:rsidR="008A74EB" w:rsidRPr="00C9040A">
        <w:rPr>
          <w:rtl/>
        </w:rPr>
        <w:t xml:space="preserve"> ، كتاب المعيشة ، باب أداء الأمانة ، ح 8614 ؛ و</w:t>
      </w:r>
      <w:r w:rsidR="008A74EB" w:rsidRPr="00993B55">
        <w:rPr>
          <w:rStyle w:val="libFootnoteBoldChar"/>
          <w:rtl/>
        </w:rPr>
        <w:t xml:space="preserve">التهذيب </w:t>
      </w:r>
      <w:r w:rsidR="008A74EB" w:rsidRPr="00C9040A">
        <w:rPr>
          <w:rtl/>
        </w:rPr>
        <w:t xml:space="preserve">، ج 6 ، ص 350 ، ح 988 ؛ </w:t>
      </w:r>
      <w:r w:rsidR="008A74EB" w:rsidRPr="00F22C57">
        <w:rPr>
          <w:rStyle w:val="libFootnoteBoldChar"/>
          <w:rtl/>
        </w:rPr>
        <w:t>والخصال</w:t>
      </w:r>
      <w:r w:rsidR="008A74EB" w:rsidRPr="00C9040A">
        <w:rPr>
          <w:rtl/>
        </w:rPr>
        <w:t xml:space="preserve"> ، ص 123 ، باب الثلاثة ، ح 118 ، بسند آخر ، عن أبي عبد الله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تحف العقول</w:t>
      </w:r>
      <w:r w:rsidR="008A74EB" w:rsidRPr="00C9040A">
        <w:rPr>
          <w:rtl/>
        </w:rPr>
        <w:t xml:space="preserve"> ، ص 367 ، عن أبي عبد الله </w:t>
      </w:r>
      <w:r w:rsidR="00117575" w:rsidRPr="00117575">
        <w:rPr>
          <w:rStyle w:val="libFootnoteAlaemChar"/>
          <w:rtl/>
        </w:rPr>
        <w:t>عليه‌السلام</w:t>
      </w:r>
      <w:r w:rsidR="008A74EB" w:rsidRPr="00C9040A">
        <w:rPr>
          <w:rtl/>
        </w:rPr>
        <w:t xml:space="preserve"> ، وفي كلّها مع اختلاف يسير </w:t>
      </w:r>
      <w:r w:rsidR="00F22C57">
        <w:rPr>
          <w:rFonts w:hint="cs"/>
          <w:rtl/>
        </w:rPr>
        <w:t>.</w:t>
      </w:r>
      <w:r w:rsidR="008A74EB" w:rsidRPr="00993B55">
        <w:rPr>
          <w:rStyle w:val="libFootnoteBoldChar"/>
          <w:rtl/>
        </w:rPr>
        <w:t>الوافي</w:t>
      </w:r>
      <w:r w:rsidR="008A74EB" w:rsidRPr="00C9040A">
        <w:rPr>
          <w:rtl/>
        </w:rPr>
        <w:t xml:space="preserve"> ، ج 5 ، ص 500 ، ح 2429 ؛ </w:t>
      </w:r>
      <w:r w:rsidR="008A74EB" w:rsidRPr="00993B55">
        <w:rPr>
          <w:rStyle w:val="libFootnoteBoldChar"/>
          <w:rtl/>
        </w:rPr>
        <w:t>الوسائل</w:t>
      </w:r>
      <w:r w:rsidR="008A74EB" w:rsidRPr="00C9040A">
        <w:rPr>
          <w:rtl/>
        </w:rPr>
        <w:t xml:space="preserve"> ، ج 21 ، ص 490 ، ح 27669 ؛ </w:t>
      </w:r>
      <w:r w:rsidR="008A74EB" w:rsidRPr="00993B55">
        <w:rPr>
          <w:rStyle w:val="libFootnoteBoldChar"/>
          <w:rtl/>
        </w:rPr>
        <w:t>البحار</w:t>
      </w:r>
      <w:r w:rsidR="008A74EB" w:rsidRPr="00C9040A">
        <w:rPr>
          <w:rtl/>
        </w:rPr>
        <w:t xml:space="preserve"> ، ج 74 ، ص 56 ، ح 15.</w:t>
      </w:r>
      <w:r w:rsidR="00F22C57">
        <w:rPr>
          <w:rFonts w:hint="cs"/>
          <w:rtl/>
        </w:rPr>
        <w:t xml:space="preserve">                     </w:t>
      </w:r>
      <w:r>
        <w:rPr>
          <w:rtl/>
        </w:rPr>
        <w:t>(2).</w:t>
      </w:r>
      <w:r w:rsidR="008A74EB">
        <w:rPr>
          <w:rtl/>
        </w:rPr>
        <w:t xml:space="preserve"> </w:t>
      </w:r>
      <w:r w:rsidR="008A74EB" w:rsidRPr="00C9040A">
        <w:rPr>
          <w:rtl/>
        </w:rPr>
        <w:t xml:space="preserve">في « ج » </w:t>
      </w:r>
      <w:r w:rsidR="008A74EB">
        <w:rPr>
          <w:rtl/>
        </w:rPr>
        <w:t xml:space="preserve">: </w:t>
      </w:r>
      <w:r w:rsidR="0084262C">
        <w:rPr>
          <w:rtl/>
        </w:rPr>
        <w:t>-</w:t>
      </w:r>
      <w:r w:rsidR="008A74EB" w:rsidRPr="00C9040A">
        <w:rPr>
          <w:rtl/>
        </w:rPr>
        <w:t xml:space="preserve"> « بن إبراهيم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بر » </w:t>
      </w:r>
      <w:r w:rsidR="008A74EB">
        <w:rPr>
          <w:rtl/>
        </w:rPr>
        <w:t xml:space="preserve">: </w:t>
      </w:r>
      <w:r w:rsidR="0084262C">
        <w:rPr>
          <w:rtl/>
        </w:rPr>
        <w:t>-</w:t>
      </w:r>
      <w:r w:rsidR="008A74EB" w:rsidRPr="00C9040A">
        <w:rPr>
          <w:rtl/>
        </w:rPr>
        <w:t xml:space="preserve"> « والبرّ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قوله </w:t>
      </w:r>
      <w:r w:rsidR="00117575" w:rsidRPr="00117575">
        <w:rPr>
          <w:rStyle w:val="libFootnoteAlaemChar"/>
          <w:rtl/>
        </w:rPr>
        <w:t>عليه‌السلام</w:t>
      </w:r>
      <w:r w:rsidR="008A74EB" w:rsidRPr="00C9040A">
        <w:rPr>
          <w:rtl/>
        </w:rPr>
        <w:t xml:space="preserve"> : « أن يكنّى » وجوه ثلاثة : الأوّل : أن يقرأ معلوماً. والمعنى : أن يكنّي الرجل ولده باسم أبيه ، أو المراد بالتكنية أعمّ من التسمية. الثاني : أن يقرأ مجهولاً. والمعنى : أن يكنّي المتكلّمُ الرجلَ باسم أبيه أو ابنه على ما في بعض النسخ. وعلى هذا الوجه لا يكون الحديث في برّ الوالدين بل يكون في برّ المؤمن مطلقاً ، </w:t>
      </w:r>
      <w:r w:rsidR="00F22C57">
        <w:rPr>
          <w:rtl/>
        </w:rPr>
        <w:t>إل</w:t>
      </w:r>
      <w:r w:rsidR="00F22C57">
        <w:rPr>
          <w:rFonts w:hint="cs"/>
          <w:rtl/>
        </w:rPr>
        <w:t>ّ</w:t>
      </w:r>
      <w:r w:rsidR="00F22C57">
        <w:rPr>
          <w:rtl/>
        </w:rPr>
        <w:t>ا</w:t>
      </w:r>
      <w:r w:rsidR="008A74EB">
        <w:rPr>
          <w:rtl/>
        </w:rPr>
        <w:t xml:space="preserve"> أن</w:t>
      </w:r>
      <w:r w:rsidR="008A74EB" w:rsidRPr="00C9040A">
        <w:rPr>
          <w:rtl/>
        </w:rPr>
        <w:t xml:space="preserve"> يقال : إنّ برّ الوالدين داخل في عمومه. الثالث : أن يقرأ بصيغة المعلوم. والمعنى يكنّي عن نفسه باسم أبيه. راجع : </w:t>
      </w:r>
      <w:r w:rsidR="008A74EB" w:rsidRPr="00993B55">
        <w:rPr>
          <w:rStyle w:val="libFootnoteBoldChar"/>
          <w:rtl/>
        </w:rPr>
        <w:t>الوافي</w:t>
      </w:r>
      <w:r w:rsidR="008A74EB" w:rsidRPr="00C9040A">
        <w:rPr>
          <w:rtl/>
        </w:rPr>
        <w:t xml:space="preserve"> ، ج 5 ، ص 501</w:t>
      </w:r>
      <w:r w:rsidR="008A74EB">
        <w:rPr>
          <w:rtl/>
        </w:rPr>
        <w:t xml:space="preserve"> </w:t>
      </w:r>
      <w:r w:rsidR="0084262C">
        <w:rPr>
          <w:rtl/>
        </w:rPr>
        <w:t>-</w:t>
      </w:r>
      <w:r w:rsidR="008A74EB">
        <w:rPr>
          <w:rtl/>
        </w:rPr>
        <w:t xml:space="preserve"> </w:t>
      </w:r>
      <w:r w:rsidR="008A74EB" w:rsidRPr="00C9040A">
        <w:rPr>
          <w:rtl/>
        </w:rPr>
        <w:t xml:space="preserve">502 ؛ </w:t>
      </w:r>
      <w:r w:rsidR="008A74EB" w:rsidRPr="00993B55">
        <w:rPr>
          <w:rStyle w:val="libFootnoteBoldChar"/>
          <w:rtl/>
        </w:rPr>
        <w:t>مرآة العقول</w:t>
      </w:r>
      <w:r w:rsidR="008A74EB" w:rsidRPr="00C9040A">
        <w:rPr>
          <w:rtl/>
        </w:rPr>
        <w:t xml:space="preserve"> ، ج 8 ، ص 428.</w:t>
      </w:r>
    </w:p>
    <w:p w:rsidR="008A74EB" w:rsidRPr="00C9040A" w:rsidRDefault="006C577F" w:rsidP="004A4E41">
      <w:pPr>
        <w:pStyle w:val="libFootnote0"/>
        <w:rPr>
          <w:rtl/>
          <w:lang w:bidi="fa-IR"/>
        </w:rPr>
      </w:pPr>
      <w:r>
        <w:rPr>
          <w:rtl/>
        </w:rPr>
        <w:t>(5).</w:t>
      </w:r>
      <w:r w:rsidR="008A74EB" w:rsidRPr="00C9040A">
        <w:rPr>
          <w:rtl/>
        </w:rPr>
        <w:t xml:space="preserve"> في « ب ، بر » وحاشية « ص ، ض » : « ابنه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الجعفريّات</w:t>
      </w:r>
      <w:r w:rsidR="008A74EB" w:rsidRPr="00C9040A">
        <w:rPr>
          <w:rtl/>
        </w:rPr>
        <w:t xml:space="preserve"> ، ص 189 ، بسند آخر عن جعفر بن محمّد ، عن آبائه </w:t>
      </w:r>
      <w:r w:rsidR="00117575" w:rsidRPr="00117575">
        <w:rPr>
          <w:rStyle w:val="libFootnoteAlaemChar"/>
          <w:rtl/>
        </w:rPr>
        <w:t>عليهم‌السلام</w:t>
      </w:r>
      <w:r w:rsidR="008A74EB" w:rsidRPr="00C9040A">
        <w:rPr>
          <w:rtl/>
        </w:rPr>
        <w:t xml:space="preserve"> عن رسول الله </w:t>
      </w:r>
      <w:r w:rsidR="004A4E41" w:rsidRPr="00F22C57">
        <w:rPr>
          <w:rStyle w:val="libFootnoteAlaemChar"/>
          <w:rtl/>
        </w:rPr>
        <w:t>صلى‌الله‌عليه‌وآله</w:t>
      </w:r>
      <w:r w:rsidR="008A74EB" w:rsidRPr="00C9040A">
        <w:rPr>
          <w:rtl/>
        </w:rPr>
        <w:t xml:space="preserve"> </w:t>
      </w:r>
      <w:r w:rsidR="00F22C57">
        <w:rPr>
          <w:rFonts w:hint="cs"/>
          <w:rtl/>
        </w:rPr>
        <w:t>.</w:t>
      </w:r>
      <w:r w:rsidR="008A74EB" w:rsidRPr="00993B55">
        <w:rPr>
          <w:rStyle w:val="libFootnoteBoldChar"/>
          <w:rtl/>
        </w:rPr>
        <w:t>الوافي</w:t>
      </w:r>
      <w:r w:rsidR="008A74EB" w:rsidRPr="00C9040A">
        <w:rPr>
          <w:rtl/>
        </w:rPr>
        <w:t xml:space="preserve"> ، ج 5 ، ص 501 ، ح 2433 ؛ </w:t>
      </w:r>
      <w:r w:rsidR="008A74EB" w:rsidRPr="00993B55">
        <w:rPr>
          <w:rStyle w:val="libFootnoteBoldChar"/>
          <w:rtl/>
        </w:rPr>
        <w:t>الوسائل</w:t>
      </w:r>
      <w:r w:rsidR="008A74EB" w:rsidRPr="00C9040A">
        <w:rPr>
          <w:rtl/>
        </w:rPr>
        <w:t xml:space="preserve"> ، ج 21 ، ص 397 ، ح 27398 ؛ </w:t>
      </w:r>
      <w:r w:rsidR="008A74EB" w:rsidRPr="00993B55">
        <w:rPr>
          <w:rStyle w:val="libFootnoteBoldChar"/>
          <w:rtl/>
        </w:rPr>
        <w:t>البحار</w:t>
      </w:r>
      <w:r w:rsidR="008A74EB" w:rsidRPr="00C9040A">
        <w:rPr>
          <w:rtl/>
        </w:rPr>
        <w:t xml:space="preserve"> ، ج 74 ، ص 57 ، ح 16.</w:t>
      </w:r>
    </w:p>
    <w:p w:rsidR="008A74EB" w:rsidRPr="00C9040A" w:rsidRDefault="006C577F" w:rsidP="004A4E41">
      <w:pPr>
        <w:pStyle w:val="libFootnote0"/>
        <w:rPr>
          <w:rtl/>
          <w:lang w:bidi="fa-IR"/>
        </w:rPr>
      </w:pPr>
      <w:r>
        <w:rPr>
          <w:rtl/>
        </w:rPr>
        <w:t>(7).</w:t>
      </w:r>
      <w:r w:rsidR="008A74EB" w:rsidRPr="00C9040A">
        <w:rPr>
          <w:rtl/>
        </w:rPr>
        <w:t xml:space="preserve"> في « ب » </w:t>
      </w:r>
      <w:r w:rsidR="008A74EB">
        <w:rPr>
          <w:rtl/>
        </w:rPr>
        <w:t xml:space="preserve">: </w:t>
      </w:r>
      <w:r w:rsidR="0084262C">
        <w:rPr>
          <w:rtl/>
        </w:rPr>
        <w:t>-</w:t>
      </w:r>
      <w:r w:rsidR="008A74EB" w:rsidRPr="00C9040A">
        <w:rPr>
          <w:rtl/>
        </w:rPr>
        <w:t xml:space="preserve"> « ابرر ا</w:t>
      </w:r>
      <w:r w:rsidR="00F22C57">
        <w:rPr>
          <w:rFonts w:hint="cs"/>
          <w:rtl/>
        </w:rPr>
        <w:t>ُ</w:t>
      </w:r>
      <w:r w:rsidR="008A74EB" w:rsidRPr="00C9040A">
        <w:rPr>
          <w:rtl/>
        </w:rPr>
        <w:t>مّك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w:t>
      </w:r>
      <w:r w:rsidR="008A74EB" w:rsidRPr="00993B55">
        <w:rPr>
          <w:rStyle w:val="libFootnoteBoldChar"/>
          <w:rtl/>
        </w:rPr>
        <w:t>الوافي</w:t>
      </w:r>
      <w:r w:rsidR="008A74EB" w:rsidRPr="00C9040A">
        <w:rPr>
          <w:rtl/>
        </w:rPr>
        <w:t xml:space="preserve"> ، ج 5 ، ص 496 ، ح 2420 ؛ </w:t>
      </w:r>
      <w:r w:rsidR="008A74EB" w:rsidRPr="00993B55">
        <w:rPr>
          <w:rStyle w:val="libFootnoteBoldChar"/>
          <w:rtl/>
        </w:rPr>
        <w:t>الوسائل</w:t>
      </w:r>
      <w:r w:rsidR="008A74EB" w:rsidRPr="00C9040A">
        <w:rPr>
          <w:rtl/>
        </w:rPr>
        <w:t xml:space="preserve"> ، ج 21 ، ص 491 ، ح 27672 ؛ </w:t>
      </w:r>
      <w:r w:rsidR="008A74EB" w:rsidRPr="00993B55">
        <w:rPr>
          <w:rStyle w:val="libFootnoteBoldChar"/>
          <w:rtl/>
        </w:rPr>
        <w:t>البحار</w:t>
      </w:r>
      <w:r w:rsidR="008A74EB" w:rsidRPr="00C9040A">
        <w:rPr>
          <w:rtl/>
        </w:rPr>
        <w:t xml:space="preserve"> ، ج 74 ، ص 58 ، ح 17.</w:t>
      </w:r>
    </w:p>
    <w:p w:rsidR="008A74EB" w:rsidRPr="00C9040A" w:rsidRDefault="006C577F" w:rsidP="004A4E41">
      <w:pPr>
        <w:pStyle w:val="libFootnote0"/>
        <w:rPr>
          <w:rtl/>
          <w:lang w:bidi="fa-IR"/>
        </w:rPr>
      </w:pPr>
      <w:r>
        <w:rPr>
          <w:rtl/>
        </w:rPr>
        <w:t>(9).</w:t>
      </w:r>
      <w:r w:rsidR="008A74EB" w:rsidRPr="00C9040A">
        <w:rPr>
          <w:rtl/>
        </w:rPr>
        <w:t xml:space="preserve"> السند معلّق على سابقه ، وينسحب إليه كلا الطريقين المتقدّمين إلى الوشّاء.</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عَنْ أَبِي عَبْدِاللهِ </w:t>
      </w:r>
      <w:r w:rsidRPr="0003660B">
        <w:rPr>
          <w:rStyle w:val="libAlaemChar"/>
          <w:rtl/>
        </w:rPr>
        <w:t>عليه‌السلام</w:t>
      </w:r>
      <w:r w:rsidRPr="00C9040A">
        <w:rPr>
          <w:rtl/>
          <w:lang w:bidi="fa-IR"/>
        </w:rPr>
        <w:t xml:space="preserve"> ، قَالَ : « جَاءَ رَجُلٌ إِلَى </w:t>
      </w:r>
      <w:r w:rsidR="006C577F" w:rsidRPr="006C577F">
        <w:rPr>
          <w:rStyle w:val="libFootnotenumChar"/>
          <w:rtl/>
        </w:rPr>
        <w:t>(1)</w:t>
      </w:r>
      <w:r w:rsidRPr="00C9040A">
        <w:rPr>
          <w:rtl/>
          <w:lang w:bidi="fa-IR"/>
        </w:rPr>
        <w:t xml:space="preserve"> النَّبِيِّ </w:t>
      </w:r>
      <w:r w:rsidR="004A4E41" w:rsidRPr="004A4E41">
        <w:rPr>
          <w:rStyle w:val="libAlaemChar"/>
          <w:rtl/>
        </w:rPr>
        <w:t>صلى‌الله‌عليه‌وآله</w:t>
      </w:r>
      <w:r w:rsidRPr="00C9040A">
        <w:rPr>
          <w:rtl/>
          <w:lang w:bidi="fa-IR"/>
        </w:rPr>
        <w:t xml:space="preserve"> ، فَقَالَ : إِنِّي وَلَدْتُ </w:t>
      </w:r>
      <w:r w:rsidR="006C577F" w:rsidRPr="006C577F">
        <w:rPr>
          <w:rStyle w:val="libFootnotenumChar"/>
          <w:rtl/>
        </w:rPr>
        <w:t>(2)</w:t>
      </w:r>
      <w:r w:rsidRPr="00C9040A">
        <w:rPr>
          <w:rtl/>
          <w:lang w:bidi="fa-IR"/>
        </w:rPr>
        <w:t xml:space="preserve"> بِنْتاً وَرَبَّيْتُهَا حَتّى إِذَا بَلَغَتْ ، فَأَلْبَسْتُهَا وَحَلَّيْتُهَا ، ثُمَّ جِئْتُ بِهَا إِلى قَلِيبٍ </w:t>
      </w:r>
      <w:r w:rsidR="006C577F" w:rsidRPr="006C577F">
        <w:rPr>
          <w:rStyle w:val="libFootnotenumChar"/>
          <w:rtl/>
        </w:rPr>
        <w:t>(3)</w:t>
      </w:r>
      <w:r w:rsidRPr="00C9040A">
        <w:rPr>
          <w:rtl/>
          <w:lang w:bidi="fa-IR"/>
        </w:rPr>
        <w:t xml:space="preserve"> ، فَدَفَعْتُهَا فِي </w:t>
      </w:r>
      <w:r w:rsidR="006C577F" w:rsidRPr="006C577F">
        <w:rPr>
          <w:rStyle w:val="libFootnotenumChar"/>
          <w:rtl/>
        </w:rPr>
        <w:t>(4)</w:t>
      </w:r>
      <w:r w:rsidRPr="00C9040A">
        <w:rPr>
          <w:rtl/>
          <w:lang w:bidi="fa-IR"/>
        </w:rPr>
        <w:t xml:space="preserve"> جَوْفِهِ </w:t>
      </w:r>
      <w:r w:rsidR="006C577F" w:rsidRPr="006C577F">
        <w:rPr>
          <w:rStyle w:val="libFootnotenumChar"/>
          <w:rtl/>
        </w:rPr>
        <w:t>(5)</w:t>
      </w:r>
      <w:r w:rsidRPr="00C9040A">
        <w:rPr>
          <w:rtl/>
          <w:lang w:bidi="fa-IR"/>
        </w:rPr>
        <w:t xml:space="preserve"> ، وَكَانَ </w:t>
      </w:r>
      <w:r w:rsidR="006C577F" w:rsidRPr="006C577F">
        <w:rPr>
          <w:rStyle w:val="libFootnotenumChar"/>
          <w:rtl/>
        </w:rPr>
        <w:t>(6)</w:t>
      </w:r>
      <w:r w:rsidRPr="005B567D">
        <w:rPr>
          <w:rStyle w:val="libFootnotenumChar"/>
          <w:rtl/>
        </w:rPr>
        <w:t xml:space="preserve"> </w:t>
      </w:r>
      <w:r w:rsidRPr="00C9040A">
        <w:rPr>
          <w:rtl/>
          <w:lang w:bidi="fa-IR"/>
        </w:rPr>
        <w:t xml:space="preserve">آخِرُ مَا سَمِعْتُ </w:t>
      </w:r>
      <w:r w:rsidR="006C577F" w:rsidRPr="006C577F">
        <w:rPr>
          <w:rStyle w:val="libFootnotenumChar"/>
          <w:rtl/>
        </w:rPr>
        <w:t>(7)</w:t>
      </w:r>
      <w:r w:rsidRPr="00C9040A">
        <w:rPr>
          <w:rtl/>
          <w:lang w:bidi="fa-IR"/>
        </w:rPr>
        <w:t xml:space="preserve"> مِنْهَا وَهِيَ </w:t>
      </w:r>
      <w:r w:rsidR="006C577F" w:rsidRPr="006C577F">
        <w:rPr>
          <w:rStyle w:val="libFootnotenumChar"/>
          <w:rtl/>
        </w:rPr>
        <w:t>(8)</w:t>
      </w:r>
      <w:r w:rsidRPr="00C9040A">
        <w:rPr>
          <w:rtl/>
          <w:lang w:bidi="fa-IR"/>
        </w:rPr>
        <w:t xml:space="preserve"> تَقُولُ : يَا أَبَتَاهْ ؛ فَمَا كَفَّارَةُ ذلِكَ</w:t>
      </w:r>
      <w:r>
        <w:rPr>
          <w:rtl/>
          <w:lang w:bidi="fa-IR"/>
        </w:rPr>
        <w:t>؟</w:t>
      </w:r>
    </w:p>
    <w:p w:rsidR="008A74EB" w:rsidRPr="00C9040A" w:rsidRDefault="008A74EB" w:rsidP="008A74EB">
      <w:pPr>
        <w:pStyle w:val="libNormal"/>
        <w:rPr>
          <w:rtl/>
          <w:lang w:bidi="fa-IR"/>
        </w:rPr>
      </w:pPr>
      <w:r>
        <w:rPr>
          <w:rtl/>
          <w:lang w:bidi="fa-IR"/>
        </w:rPr>
        <w:t>قَالَ : أَ</w:t>
      </w:r>
      <w:r w:rsidRPr="00C9040A">
        <w:rPr>
          <w:rtl/>
          <w:lang w:bidi="fa-IR"/>
        </w:rPr>
        <w:t>لَكَ أُمٌّ حَيَّةٌ</w:t>
      </w:r>
      <w:r>
        <w:rPr>
          <w:rtl/>
          <w:lang w:bidi="fa-IR"/>
        </w:rPr>
        <w:t>؟</w:t>
      </w:r>
      <w:r w:rsidRPr="00C9040A">
        <w:rPr>
          <w:rtl/>
          <w:lang w:bidi="fa-IR"/>
        </w:rPr>
        <w:t xml:space="preserve"> قَالَ : لَا ، قَالَ : فَلَكَ </w:t>
      </w:r>
      <w:r w:rsidR="006C577F" w:rsidRPr="006C577F">
        <w:rPr>
          <w:rStyle w:val="libFootnotenumChar"/>
          <w:rtl/>
        </w:rPr>
        <w:t>(9)</w:t>
      </w:r>
      <w:r w:rsidRPr="00C9040A">
        <w:rPr>
          <w:rtl/>
          <w:lang w:bidi="fa-IR"/>
        </w:rPr>
        <w:t xml:space="preserve"> خَالَةٌ حَيَّةٌ</w:t>
      </w:r>
      <w:r>
        <w:rPr>
          <w:rtl/>
          <w:lang w:bidi="fa-IR"/>
        </w:rPr>
        <w:t>؟</w:t>
      </w:r>
      <w:r w:rsidRPr="00C9040A">
        <w:rPr>
          <w:rtl/>
          <w:lang w:bidi="fa-IR"/>
        </w:rPr>
        <w:t xml:space="preserve"> قَالَ : نَعَمْ ، قَالَ : فَابْرَرْهَا ؛ فَإِنَّهَا بِمَنْزِلَةِ الْأُمِّ ؛ يُكَفِّرْ </w:t>
      </w:r>
      <w:r w:rsidR="006C577F" w:rsidRPr="006C577F">
        <w:rPr>
          <w:rStyle w:val="libFootnotenumChar"/>
          <w:rtl/>
        </w:rPr>
        <w:t>(10)</w:t>
      </w:r>
      <w:r w:rsidRPr="00C9040A">
        <w:rPr>
          <w:rtl/>
          <w:lang w:bidi="fa-IR"/>
        </w:rPr>
        <w:t xml:space="preserve"> عَنْكَ مَا صَنَعْتَ »</w:t>
      </w:r>
      <w:r>
        <w:rPr>
          <w:rtl/>
          <w:lang w:bidi="fa-IR"/>
        </w:rPr>
        <w:t>.</w:t>
      </w:r>
    </w:p>
    <w:p w:rsidR="008A74EB" w:rsidRPr="00C9040A" w:rsidRDefault="008A74EB" w:rsidP="008A74EB">
      <w:pPr>
        <w:pStyle w:val="libNormal"/>
        <w:rPr>
          <w:rtl/>
          <w:lang w:bidi="fa-IR"/>
        </w:rPr>
      </w:pPr>
      <w:r w:rsidRPr="00C9040A">
        <w:rPr>
          <w:rtl/>
          <w:lang w:bidi="fa-IR"/>
        </w:rPr>
        <w:t xml:space="preserve">قَالَ أَبُو خَدِيجَةَ : فَقُلْتُ لِأَبِي عَبْدِ اللهِ </w:t>
      </w:r>
      <w:r w:rsidRPr="0003660B">
        <w:rPr>
          <w:rStyle w:val="libAlaemChar"/>
          <w:rtl/>
        </w:rPr>
        <w:t>عليه‌السلام</w:t>
      </w:r>
      <w:r w:rsidRPr="00C9040A">
        <w:rPr>
          <w:rtl/>
          <w:lang w:bidi="fa-IR"/>
        </w:rPr>
        <w:t xml:space="preserve"> : مَتى كَانَ هذَا</w:t>
      </w:r>
      <w:r>
        <w:rPr>
          <w:rtl/>
          <w:lang w:bidi="fa-IR"/>
        </w:rPr>
        <w:t>؟</w:t>
      </w:r>
    </w:p>
    <w:p w:rsidR="008A74EB" w:rsidRPr="00C9040A" w:rsidRDefault="008A74EB" w:rsidP="008A74EB">
      <w:pPr>
        <w:pStyle w:val="libNormal"/>
        <w:rPr>
          <w:rtl/>
          <w:lang w:bidi="fa-IR"/>
        </w:rPr>
      </w:pPr>
      <w:r w:rsidRPr="00C9040A">
        <w:rPr>
          <w:rtl/>
          <w:lang w:bidi="fa-IR"/>
        </w:rPr>
        <w:t xml:space="preserve">فَقَالَ : « كَانَ فِي الْجَاهِلِيَّةِ ، وَكَانُوا </w:t>
      </w:r>
      <w:r w:rsidR="006C577F" w:rsidRPr="006C577F">
        <w:rPr>
          <w:rStyle w:val="libFootnotenumChar"/>
          <w:rtl/>
        </w:rPr>
        <w:t>(11)</w:t>
      </w:r>
      <w:r w:rsidRPr="00C9040A">
        <w:rPr>
          <w:rtl/>
          <w:lang w:bidi="fa-IR"/>
        </w:rPr>
        <w:t xml:space="preserve"> يَقْتُلُونَ الْبَنَاتِ مَخَافَةَ أَنْ يُسْبَيْنَ </w:t>
      </w:r>
      <w:r w:rsidR="006C577F" w:rsidRPr="006C577F">
        <w:rPr>
          <w:rStyle w:val="libFootnotenumChar"/>
          <w:rtl/>
        </w:rPr>
        <w:t>(12)</w:t>
      </w:r>
      <w:r w:rsidRPr="00C9040A">
        <w:rPr>
          <w:rtl/>
          <w:lang w:bidi="fa-IR"/>
        </w:rPr>
        <w:t xml:space="preserve"> ، فَيَلِدْنَ فِي </w:t>
      </w:r>
      <w:r w:rsidRPr="005B567D">
        <w:rPr>
          <w:rStyle w:val="libFootnotenumChar"/>
          <w:rtl/>
        </w:rPr>
        <w:t>(13)</w:t>
      </w:r>
      <w:r w:rsidRPr="00C9040A">
        <w:rPr>
          <w:rtl/>
          <w:lang w:bidi="fa-IR"/>
        </w:rPr>
        <w:t xml:space="preserve"> قَوْمٍ آخَرِينَ »</w:t>
      </w:r>
      <w:r>
        <w:rPr>
          <w:rtl/>
          <w:lang w:bidi="fa-IR"/>
        </w:rPr>
        <w:t>.</w:t>
      </w:r>
      <w:r w:rsidRPr="00C9040A">
        <w:rPr>
          <w:rtl/>
          <w:lang w:bidi="fa-IR"/>
        </w:rPr>
        <w:t xml:space="preserve"> </w:t>
      </w:r>
      <w:r w:rsidRPr="005B567D">
        <w:rPr>
          <w:rStyle w:val="libFootnotenumChar"/>
          <w:rtl/>
        </w:rPr>
        <w:t>(14)</w:t>
      </w:r>
      <w:r w:rsidRPr="00C9040A">
        <w:rPr>
          <w:rtl/>
          <w:lang w:bidi="fa-IR"/>
        </w:rPr>
        <w:t xml:space="preserve"> ‌</w:t>
      </w:r>
    </w:p>
    <w:p w:rsidR="008A74EB" w:rsidRPr="00C9040A" w:rsidRDefault="008A74EB" w:rsidP="008A74EB">
      <w:pPr>
        <w:pStyle w:val="libNormal"/>
        <w:rPr>
          <w:rtl/>
          <w:lang w:bidi="fa-IR"/>
        </w:rPr>
      </w:pPr>
      <w:r w:rsidRPr="00006568">
        <w:rPr>
          <w:rtl/>
        </w:rPr>
        <w:t>2025</w:t>
      </w:r>
      <w:r w:rsidRPr="00261CB0">
        <w:rPr>
          <w:rStyle w:val="libBold2Char"/>
          <w:rtl/>
        </w:rPr>
        <w:t xml:space="preserve"> / 19.</w:t>
      </w:r>
      <w:r w:rsidRPr="00C9040A">
        <w:rPr>
          <w:rtl/>
          <w:lang w:bidi="fa-IR"/>
        </w:rPr>
        <w:t xml:space="preserve"> مُحَمَّدُ بْنُ يَحْيى ، عَنْ أَحْمَدَ بْنِ مُحَمَّدٍ ، عَنْ مُحَمَّدِ بْنِ إِسْمَاعِيلَ بْنِ بَزِيعٍ ، عَنْ حَنَانِ بْنِ سَدِيرٍ ، عَنْ أَبِيهِ ، قَالَ :</w:t>
      </w:r>
    </w:p>
    <w:p w:rsidR="008A74EB" w:rsidRPr="00C9040A" w:rsidRDefault="008A74EB" w:rsidP="008A74EB">
      <w:pPr>
        <w:pStyle w:val="libNormal"/>
        <w:rPr>
          <w:rtl/>
          <w:lang w:bidi="fa-IR"/>
        </w:rPr>
      </w:pPr>
      <w:r w:rsidRPr="00C9040A">
        <w:rPr>
          <w:rtl/>
          <w:lang w:bidi="fa-IR"/>
        </w:rPr>
        <w:t xml:space="preserve">قُلْتُ لِأَبِي جَعْفَرٍ </w:t>
      </w:r>
      <w:r w:rsidRPr="0003660B">
        <w:rPr>
          <w:rStyle w:val="libAlaemChar"/>
          <w:rtl/>
        </w:rPr>
        <w:t>عليه‌السلام</w:t>
      </w:r>
      <w:r w:rsidRPr="00C9040A">
        <w:rPr>
          <w:rtl/>
          <w:lang w:bidi="fa-IR"/>
        </w:rPr>
        <w:t xml:space="preserve"> : هَلْ يَجْزِي الْوَلَدُ وَالِدَهُ </w:t>
      </w:r>
      <w:r w:rsidRPr="005B567D">
        <w:rPr>
          <w:rStyle w:val="libFootnotenumChar"/>
          <w:rtl/>
        </w:rPr>
        <w:t>(15)</w:t>
      </w:r>
      <w:r>
        <w:rPr>
          <w:rtl/>
          <w:lang w:bidi="fa-IR"/>
        </w:rPr>
        <w:t>؟</w:t>
      </w:r>
    </w:p>
    <w:p w:rsidR="008A74EB" w:rsidRPr="00C9040A" w:rsidRDefault="008A74EB" w:rsidP="008A74EB">
      <w:pPr>
        <w:pStyle w:val="libNormal"/>
        <w:rPr>
          <w:rtl/>
          <w:lang w:bidi="fa-IR"/>
        </w:rPr>
      </w:pPr>
      <w:r w:rsidRPr="00C9040A">
        <w:rPr>
          <w:rtl/>
          <w:lang w:bidi="fa-IR"/>
        </w:rPr>
        <w:t>فَقَالَ : « لَيْسَ لَهُ جَزَاء</w:t>
      </w:r>
      <w:r w:rsidR="006B7220">
        <w:rPr>
          <w:rtl/>
          <w:lang w:bidi="fa-IR"/>
        </w:rPr>
        <w:t>ٌ إِل</w:t>
      </w:r>
      <w:r w:rsidR="006B7220">
        <w:rPr>
          <w:rFonts w:hint="cs"/>
          <w:rtl/>
          <w:lang w:bidi="fa-IR"/>
        </w:rPr>
        <w:t>َّ</w:t>
      </w:r>
      <w:r w:rsidR="006B7220">
        <w:rPr>
          <w:rtl/>
          <w:lang w:bidi="fa-IR"/>
        </w:rPr>
        <w:t>ا</w:t>
      </w:r>
      <w:r w:rsidRPr="00C9040A">
        <w:rPr>
          <w:rtl/>
          <w:lang w:bidi="fa-IR"/>
        </w:rPr>
        <w:t xml:space="preserve"> فِي خَصْلَتَيْنِ : يَكُونُ </w:t>
      </w:r>
      <w:r w:rsidRPr="005B567D">
        <w:rPr>
          <w:rStyle w:val="libFootnotenumChar"/>
          <w:rtl/>
        </w:rPr>
        <w:t>(16)</w:t>
      </w:r>
      <w:r w:rsidRPr="00C9040A">
        <w:rPr>
          <w:rtl/>
          <w:lang w:bidi="fa-IR"/>
        </w:rPr>
        <w:t xml:space="preserve"> الْوَالِدُ مَمْلُوكاً ، فَيَشْتَرِيهِ ابْنُهُ‌</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البحار </w:t>
      </w:r>
      <w:r w:rsidR="008A74EB">
        <w:rPr>
          <w:rtl/>
        </w:rPr>
        <w:t xml:space="preserve">: </w:t>
      </w:r>
      <w:r w:rsidR="0084262C">
        <w:rPr>
          <w:rtl/>
        </w:rPr>
        <w:t>-</w:t>
      </w:r>
      <w:r w:rsidR="008A74EB" w:rsidRPr="00C9040A">
        <w:rPr>
          <w:rtl/>
        </w:rPr>
        <w:t xml:space="preserve"> « إلى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هكذا في النسخ التي قوبلت والوافي والوسائل والبحار. وفي المطبوع : + « قد ولدت »</w:t>
      </w:r>
      <w:r w:rsidR="008A74EB">
        <w:rPr>
          <w:rtl/>
        </w:rPr>
        <w:t>.</w:t>
      </w:r>
      <w:r w:rsidR="006B7220">
        <w:rPr>
          <w:rtl/>
        </w:rPr>
        <w:t xml:space="preserve"> وفي « ض » :+ «</w:t>
      </w:r>
      <w:r w:rsidR="008A74EB" w:rsidRPr="00C9040A">
        <w:rPr>
          <w:rtl/>
        </w:rPr>
        <w:t>لي »</w:t>
      </w:r>
      <w:r w:rsidR="008A74EB">
        <w:rPr>
          <w:rtl/>
        </w:rPr>
        <w:t>.</w:t>
      </w:r>
    </w:p>
    <w:p w:rsidR="008A74EB" w:rsidRPr="00C9040A" w:rsidRDefault="006C577F" w:rsidP="006B7220">
      <w:pPr>
        <w:pStyle w:val="libFootnote0"/>
        <w:rPr>
          <w:rtl/>
          <w:lang w:bidi="fa-IR"/>
        </w:rPr>
      </w:pPr>
      <w:r>
        <w:rPr>
          <w:rtl/>
        </w:rPr>
        <w:t>(3).</w:t>
      </w:r>
      <w:r w:rsidR="008A74EB" w:rsidRPr="00C9040A">
        <w:rPr>
          <w:rtl/>
        </w:rPr>
        <w:t xml:space="preserve"> « القليب » : البئر. وهو مذكّر. قال الأزهري : القليب عند العرب البئر العادية القديمة. </w:t>
      </w:r>
      <w:r w:rsidR="008A74EB" w:rsidRPr="00993B55">
        <w:rPr>
          <w:rStyle w:val="libFootnoteBoldChar"/>
          <w:rtl/>
        </w:rPr>
        <w:t>المصباح المنير</w:t>
      </w:r>
      <w:r w:rsidR="008A74EB" w:rsidRPr="00C9040A">
        <w:rPr>
          <w:rtl/>
        </w:rPr>
        <w:t xml:space="preserve"> ، ص 512 ( قلب )</w:t>
      </w:r>
      <w:r w:rsidR="008A74EB">
        <w:rPr>
          <w:rtl/>
        </w:rPr>
        <w:t>.</w:t>
      </w:r>
      <w:r w:rsidR="006B7220">
        <w:rPr>
          <w:rFonts w:hint="cs"/>
          <w:rtl/>
        </w:rPr>
        <w:t xml:space="preserve">                                              </w:t>
      </w:r>
      <w:r>
        <w:rPr>
          <w:rtl/>
        </w:rPr>
        <w:t>(4).</w:t>
      </w:r>
      <w:r w:rsidR="008A74EB" w:rsidRPr="00C9040A">
        <w:rPr>
          <w:rtl/>
        </w:rPr>
        <w:t xml:space="preserve"> في الوسائل : « إلى »</w:t>
      </w:r>
      <w:r w:rsidR="008A74EB">
        <w:rPr>
          <w:rtl/>
        </w:rPr>
        <w:t>.</w:t>
      </w:r>
    </w:p>
    <w:tbl>
      <w:tblPr>
        <w:tblStyle w:val="TableGrid"/>
        <w:bidiVisual/>
        <w:tblW w:w="0" w:type="auto"/>
        <w:tblLook w:val="04A0" w:firstRow="1" w:lastRow="0" w:firstColumn="1" w:lastColumn="0" w:noHBand="0" w:noVBand="1"/>
      </w:tblPr>
      <w:tblGrid>
        <w:gridCol w:w="4006"/>
        <w:gridCol w:w="4006"/>
      </w:tblGrid>
      <w:tr w:rsidR="006B7220" w:rsidTr="006B7220">
        <w:tc>
          <w:tcPr>
            <w:tcW w:w="4006" w:type="dxa"/>
          </w:tcPr>
          <w:p w:rsidR="006B7220" w:rsidRDefault="006B7220" w:rsidP="004A4E41">
            <w:pPr>
              <w:pStyle w:val="libFootnote0"/>
              <w:rPr>
                <w:rtl/>
              </w:rPr>
            </w:pPr>
            <w:r>
              <w:rPr>
                <w:rtl/>
              </w:rPr>
              <w:t>(5).</w:t>
            </w:r>
            <w:r w:rsidRPr="00C9040A">
              <w:rPr>
                <w:rtl/>
              </w:rPr>
              <w:t xml:space="preserve"> في « بر » : « جوفها »</w:t>
            </w:r>
            <w:r>
              <w:rPr>
                <w:rtl/>
              </w:rPr>
              <w:t>.</w:t>
            </w:r>
          </w:p>
        </w:tc>
        <w:tc>
          <w:tcPr>
            <w:tcW w:w="4006" w:type="dxa"/>
          </w:tcPr>
          <w:p w:rsidR="006B7220" w:rsidRDefault="006B7220" w:rsidP="004A4E41">
            <w:pPr>
              <w:pStyle w:val="libFootnote0"/>
              <w:rPr>
                <w:rtl/>
              </w:rPr>
            </w:pPr>
            <w:r>
              <w:rPr>
                <w:rtl/>
              </w:rPr>
              <w:t xml:space="preserve">(6). </w:t>
            </w:r>
            <w:r w:rsidRPr="00C9040A">
              <w:rPr>
                <w:rtl/>
              </w:rPr>
              <w:t>في الوسائل : « فكان »</w:t>
            </w:r>
            <w:r>
              <w:rPr>
                <w:rtl/>
              </w:rPr>
              <w:t>.</w:t>
            </w:r>
          </w:p>
        </w:tc>
      </w:tr>
      <w:tr w:rsidR="006B7220" w:rsidTr="006B7220">
        <w:tc>
          <w:tcPr>
            <w:tcW w:w="4006" w:type="dxa"/>
          </w:tcPr>
          <w:p w:rsidR="006B7220" w:rsidRDefault="006B7220" w:rsidP="004A4E41">
            <w:pPr>
              <w:pStyle w:val="libFootnote0"/>
              <w:rPr>
                <w:rtl/>
              </w:rPr>
            </w:pPr>
            <w:r>
              <w:rPr>
                <w:rtl/>
              </w:rPr>
              <w:t>(7).</w:t>
            </w:r>
            <w:r w:rsidRPr="00C9040A">
              <w:rPr>
                <w:rtl/>
              </w:rPr>
              <w:t xml:space="preserve"> في « د » : « سمعته »</w:t>
            </w:r>
            <w:r>
              <w:rPr>
                <w:rtl/>
              </w:rPr>
              <w:t>.</w:t>
            </w:r>
          </w:p>
        </w:tc>
        <w:tc>
          <w:tcPr>
            <w:tcW w:w="4006" w:type="dxa"/>
          </w:tcPr>
          <w:p w:rsidR="006B7220" w:rsidRDefault="006B7220" w:rsidP="004A4E41">
            <w:pPr>
              <w:pStyle w:val="libFootnote0"/>
              <w:rPr>
                <w:rtl/>
              </w:rPr>
            </w:pPr>
            <w:r>
              <w:rPr>
                <w:rtl/>
              </w:rPr>
              <w:t>(8).</w:t>
            </w:r>
            <w:r w:rsidRPr="00C9040A">
              <w:rPr>
                <w:rtl/>
              </w:rPr>
              <w:t xml:space="preserve"> في « بر » </w:t>
            </w:r>
            <w:r>
              <w:rPr>
                <w:rtl/>
              </w:rPr>
              <w:t>: -</w:t>
            </w:r>
            <w:r w:rsidRPr="00C9040A">
              <w:rPr>
                <w:rtl/>
              </w:rPr>
              <w:t xml:space="preserve"> « وهي »</w:t>
            </w:r>
            <w:r>
              <w:rPr>
                <w:rtl/>
              </w:rPr>
              <w:t>.</w:t>
            </w:r>
          </w:p>
        </w:tc>
      </w:tr>
      <w:tr w:rsidR="006B7220" w:rsidTr="006B7220">
        <w:tc>
          <w:tcPr>
            <w:tcW w:w="4006" w:type="dxa"/>
          </w:tcPr>
          <w:p w:rsidR="006B7220" w:rsidRDefault="006B7220" w:rsidP="004A4E41">
            <w:pPr>
              <w:pStyle w:val="libFootnote0"/>
              <w:rPr>
                <w:rtl/>
              </w:rPr>
            </w:pPr>
            <w:r>
              <w:rPr>
                <w:rtl/>
              </w:rPr>
              <w:t>(9).</w:t>
            </w:r>
            <w:r w:rsidRPr="00C9040A">
              <w:rPr>
                <w:rtl/>
              </w:rPr>
              <w:t xml:space="preserve"> في « ف » وحاشية « بف » والوافي : « ألك »</w:t>
            </w:r>
            <w:r>
              <w:rPr>
                <w:rtl/>
              </w:rPr>
              <w:t>.</w:t>
            </w:r>
          </w:p>
        </w:tc>
        <w:tc>
          <w:tcPr>
            <w:tcW w:w="4006" w:type="dxa"/>
          </w:tcPr>
          <w:p w:rsidR="006B7220" w:rsidRDefault="006B7220" w:rsidP="004A4E41">
            <w:pPr>
              <w:pStyle w:val="libFootnote0"/>
              <w:rPr>
                <w:rtl/>
              </w:rPr>
            </w:pPr>
            <w:r>
              <w:rPr>
                <w:rtl/>
              </w:rPr>
              <w:t>(10).</w:t>
            </w:r>
            <w:r w:rsidRPr="00C9040A">
              <w:rPr>
                <w:rtl/>
              </w:rPr>
              <w:t xml:space="preserve"> في « ج ، ض ، بس » والبحار : « تكفّر »</w:t>
            </w:r>
            <w:r>
              <w:rPr>
                <w:rtl/>
              </w:rPr>
              <w:t>.</w:t>
            </w:r>
          </w:p>
        </w:tc>
      </w:tr>
      <w:tr w:rsidR="006B7220" w:rsidTr="006B7220">
        <w:tc>
          <w:tcPr>
            <w:tcW w:w="4006" w:type="dxa"/>
          </w:tcPr>
          <w:p w:rsidR="006B7220" w:rsidRDefault="006B7220" w:rsidP="004A4E41">
            <w:pPr>
              <w:pStyle w:val="libFootnote0"/>
              <w:rPr>
                <w:rtl/>
              </w:rPr>
            </w:pPr>
            <w:r>
              <w:rPr>
                <w:rtl/>
              </w:rPr>
              <w:t>(11).</w:t>
            </w:r>
            <w:r w:rsidRPr="00C9040A">
              <w:rPr>
                <w:rtl/>
              </w:rPr>
              <w:t xml:space="preserve"> في « ض » : « فكانوا »</w:t>
            </w:r>
            <w:r>
              <w:rPr>
                <w:rtl/>
              </w:rPr>
              <w:t>.</w:t>
            </w:r>
          </w:p>
        </w:tc>
        <w:tc>
          <w:tcPr>
            <w:tcW w:w="4006" w:type="dxa"/>
          </w:tcPr>
          <w:p w:rsidR="006B7220" w:rsidRDefault="006B7220" w:rsidP="004A4E41">
            <w:pPr>
              <w:pStyle w:val="libFootnote0"/>
              <w:rPr>
                <w:rtl/>
              </w:rPr>
            </w:pPr>
            <w:r>
              <w:rPr>
                <w:rtl/>
              </w:rPr>
              <w:t>(12).</w:t>
            </w:r>
            <w:r w:rsidRPr="00C9040A">
              <w:rPr>
                <w:rtl/>
              </w:rPr>
              <w:t xml:space="preserve"> في « ض » : « أن يُسْبَيْنَنْ »</w:t>
            </w:r>
            <w:r>
              <w:rPr>
                <w:rtl/>
              </w:rPr>
              <w:t>.</w:t>
            </w:r>
          </w:p>
        </w:tc>
      </w:tr>
    </w:tbl>
    <w:p w:rsidR="008A74EB" w:rsidRPr="00C9040A" w:rsidRDefault="008A74EB" w:rsidP="004A4E41">
      <w:pPr>
        <w:pStyle w:val="libFootnote0"/>
        <w:rPr>
          <w:rtl/>
          <w:lang w:bidi="fa-IR"/>
        </w:rPr>
      </w:pPr>
      <w:r>
        <w:rPr>
          <w:rtl/>
        </w:rPr>
        <w:t>(13)</w:t>
      </w:r>
      <w:r w:rsidR="006B7220">
        <w:rPr>
          <w:rFonts w:hint="cs"/>
          <w:rtl/>
        </w:rPr>
        <w:t>.</w:t>
      </w:r>
      <w:r w:rsidRPr="00C9040A">
        <w:rPr>
          <w:rtl/>
        </w:rPr>
        <w:t xml:space="preserve"> في « بر ، بف » : « من »</w:t>
      </w:r>
      <w:r>
        <w:rPr>
          <w:rtl/>
        </w:rPr>
        <w:t>.</w:t>
      </w:r>
    </w:p>
    <w:p w:rsidR="008A74EB" w:rsidRPr="00C9040A" w:rsidRDefault="008A74EB" w:rsidP="006B7220">
      <w:pPr>
        <w:pStyle w:val="libFootnote0"/>
        <w:rPr>
          <w:rtl/>
          <w:lang w:bidi="fa-IR"/>
        </w:rPr>
      </w:pPr>
      <w:r>
        <w:rPr>
          <w:rtl/>
        </w:rPr>
        <w:t>(14)</w:t>
      </w:r>
      <w:r w:rsidR="006B7220">
        <w:rPr>
          <w:rFonts w:hint="cs"/>
          <w:rtl/>
        </w:rPr>
        <w:t>.</w:t>
      </w:r>
      <w:r w:rsidRPr="00C9040A">
        <w:rPr>
          <w:rtl/>
        </w:rPr>
        <w:t xml:space="preserve"> </w:t>
      </w:r>
      <w:r w:rsidRPr="00993B55">
        <w:rPr>
          <w:rStyle w:val="libFootnoteBoldChar"/>
          <w:rtl/>
        </w:rPr>
        <w:t>الوافي</w:t>
      </w:r>
      <w:r w:rsidRPr="00C9040A">
        <w:rPr>
          <w:rtl/>
        </w:rPr>
        <w:t xml:space="preserve"> ، ج 5 ، ص 500 ، ح 2430 ؛ </w:t>
      </w:r>
      <w:r w:rsidRPr="00993B55">
        <w:rPr>
          <w:rStyle w:val="libFootnoteBoldChar"/>
          <w:rtl/>
        </w:rPr>
        <w:t>الوسائل</w:t>
      </w:r>
      <w:r w:rsidRPr="00C9040A">
        <w:rPr>
          <w:rtl/>
        </w:rPr>
        <w:t xml:space="preserve"> ، ج 21 ، ص 499 ، ح 27691 ؛ </w:t>
      </w:r>
      <w:r w:rsidRPr="00993B55">
        <w:rPr>
          <w:rStyle w:val="libFootnoteBoldChar"/>
          <w:rtl/>
        </w:rPr>
        <w:t>البحار</w:t>
      </w:r>
      <w:r w:rsidRPr="00C9040A">
        <w:rPr>
          <w:rtl/>
        </w:rPr>
        <w:t xml:space="preserve"> ، ج 15 ، ص 172 ، ح 99 ؛ وج 74 ، ص 58 ، ح 18.</w:t>
      </w:r>
      <w:r w:rsidR="006B7220">
        <w:rPr>
          <w:rFonts w:hint="cs"/>
          <w:rtl/>
        </w:rPr>
        <w:t xml:space="preserve">         </w:t>
      </w:r>
      <w:r>
        <w:rPr>
          <w:rtl/>
        </w:rPr>
        <w:t>(15)</w:t>
      </w:r>
      <w:r w:rsidR="006B7220">
        <w:rPr>
          <w:rFonts w:hint="cs"/>
          <w:rtl/>
        </w:rPr>
        <w:t>.</w:t>
      </w:r>
      <w:r w:rsidRPr="00C9040A">
        <w:rPr>
          <w:rtl/>
        </w:rPr>
        <w:t xml:space="preserve"> وفي الوسائل : « أباه »</w:t>
      </w:r>
      <w:r>
        <w:rPr>
          <w:rtl/>
        </w:rPr>
        <w:t>.</w:t>
      </w:r>
    </w:p>
    <w:p w:rsidR="008A74EB" w:rsidRPr="00C9040A" w:rsidRDefault="008A74EB" w:rsidP="004A4E41">
      <w:pPr>
        <w:pStyle w:val="libFootnote0"/>
        <w:rPr>
          <w:rtl/>
          <w:lang w:bidi="fa-IR"/>
        </w:rPr>
      </w:pPr>
      <w:r>
        <w:rPr>
          <w:rtl/>
        </w:rPr>
        <w:t>(16)</w:t>
      </w:r>
      <w:r w:rsidR="006B7220">
        <w:rPr>
          <w:rFonts w:hint="cs"/>
          <w:rtl/>
        </w:rPr>
        <w:t>.</w:t>
      </w:r>
      <w:r w:rsidRPr="00C9040A">
        <w:rPr>
          <w:rtl/>
        </w:rPr>
        <w:t xml:space="preserve"> في الأمالي : « أن يكون »</w:t>
      </w:r>
      <w:r>
        <w:rPr>
          <w:rtl/>
        </w:rPr>
        <w:t>.</w:t>
      </w:r>
      <w:r w:rsidRPr="00C9040A">
        <w:rPr>
          <w:rtl/>
        </w:rPr>
        <w:t xml:space="preserve"> وفي </w:t>
      </w:r>
      <w:r w:rsidRPr="006B7220">
        <w:rPr>
          <w:rStyle w:val="libFootnoteBoldChar"/>
          <w:rtl/>
        </w:rPr>
        <w:t>مرآة العقول</w:t>
      </w:r>
      <w:r w:rsidRPr="00C9040A">
        <w:rPr>
          <w:rtl/>
        </w:rPr>
        <w:t xml:space="preserve"> : « ويكون</w:t>
      </w:r>
      <w:r>
        <w:rPr>
          <w:rtl/>
        </w:rPr>
        <w:t xml:space="preserve"> </w:t>
      </w:r>
      <w:r w:rsidR="0084262C">
        <w:rPr>
          <w:rtl/>
        </w:rPr>
        <w:t>-</w:t>
      </w:r>
      <w:r>
        <w:rPr>
          <w:rtl/>
        </w:rPr>
        <w:t xml:space="preserve"> </w:t>
      </w:r>
      <w:r w:rsidRPr="00C9040A">
        <w:rPr>
          <w:rtl/>
        </w:rPr>
        <w:t>في الموضعين</w:t>
      </w:r>
      <w:r>
        <w:rPr>
          <w:rtl/>
        </w:rPr>
        <w:t xml:space="preserve"> </w:t>
      </w:r>
      <w:r w:rsidR="0084262C">
        <w:rPr>
          <w:rtl/>
        </w:rPr>
        <w:t>-</w:t>
      </w:r>
      <w:r>
        <w:rPr>
          <w:rtl/>
        </w:rPr>
        <w:t xml:space="preserve"> </w:t>
      </w:r>
      <w:r w:rsidRPr="00C9040A">
        <w:rPr>
          <w:rtl/>
        </w:rPr>
        <w:t>إمّا مرفوعان بالاستيناف ، أو منصوبان</w:t>
      </w:r>
      <w:r w:rsidR="006B7220">
        <w:rPr>
          <w:rFonts w:hint="cs"/>
          <w:rtl/>
        </w:rPr>
        <w:t xml:space="preserve"> </w:t>
      </w:r>
      <w:r w:rsidRPr="00C9040A">
        <w:rPr>
          <w:rtl/>
        </w:rPr>
        <w:t>‌بتقدير : أن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فَيُعْتِقُهُ ؛ أَوْ </w:t>
      </w:r>
      <w:r w:rsidR="006C577F" w:rsidRPr="006C577F">
        <w:rPr>
          <w:rStyle w:val="libFootnotenumChar"/>
          <w:rtl/>
        </w:rPr>
        <w:t>(1)</w:t>
      </w:r>
      <w:r w:rsidRPr="00C9040A">
        <w:rPr>
          <w:rtl/>
          <w:lang w:bidi="fa-IR"/>
        </w:rPr>
        <w:t xml:space="preserve"> يَكُونُ عَلَيْهِ دَيْنٌ ، فَيَقْضِيهِ عَنْهُ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B37A53">
        <w:rPr>
          <w:rtl/>
        </w:rPr>
        <w:t>2026</w:t>
      </w:r>
      <w:r w:rsidRPr="00261CB0">
        <w:rPr>
          <w:rStyle w:val="libBold2Char"/>
          <w:rtl/>
        </w:rPr>
        <w:t xml:space="preserve"> / 20.</w:t>
      </w:r>
      <w:r w:rsidRPr="00C9040A">
        <w:rPr>
          <w:rtl/>
          <w:lang w:bidi="fa-IR"/>
        </w:rPr>
        <w:t xml:space="preserve"> عَلِيُّ بْنُ إِبْرَاهِيمَ ، عَنْ مُحَمَّدِ بْنِ عِيسى ، عَنْ يُونُسَ بْنِ عَبْدِ الرَّحْمنِ ، عَنْ عَمْرِو بْنِ شِمْرٍ ، عَنْ جَابِرٍ </w:t>
      </w:r>
      <w:r w:rsidR="006C577F" w:rsidRPr="006C577F">
        <w:rPr>
          <w:rStyle w:val="libFootnotenumChar"/>
          <w:rtl/>
        </w:rPr>
        <w:t>(3)</w:t>
      </w:r>
      <w:r w:rsidRPr="00C9040A">
        <w:rPr>
          <w:rtl/>
          <w:lang w:bidi="fa-IR"/>
        </w:rPr>
        <w:t xml:space="preserve"> ، قَالَ :</w:t>
      </w:r>
    </w:p>
    <w:p w:rsidR="008A74EB" w:rsidRPr="00C9040A" w:rsidRDefault="008A74EB" w:rsidP="008A74EB">
      <w:pPr>
        <w:pStyle w:val="libNormal"/>
        <w:rPr>
          <w:rtl/>
          <w:lang w:bidi="fa-IR"/>
        </w:rPr>
      </w:pPr>
      <w:r w:rsidRPr="00C9040A">
        <w:rPr>
          <w:rtl/>
          <w:lang w:bidi="fa-IR"/>
        </w:rPr>
        <w:t xml:space="preserve">« أَتى رَسُولَ اللهِ </w:t>
      </w:r>
      <w:r w:rsidR="004A4E41" w:rsidRPr="004A4E41">
        <w:rPr>
          <w:rStyle w:val="libAlaemChar"/>
          <w:rtl/>
        </w:rPr>
        <w:t>صلى‌الله‌عليه‌وآله</w:t>
      </w:r>
      <w:r w:rsidRPr="00C9040A">
        <w:rPr>
          <w:rtl/>
          <w:lang w:bidi="fa-IR"/>
        </w:rPr>
        <w:t xml:space="preserve"> رَجُلٌ </w:t>
      </w:r>
      <w:r w:rsidR="006C577F" w:rsidRPr="006C577F">
        <w:rPr>
          <w:rStyle w:val="libFootnotenumChar"/>
          <w:rtl/>
        </w:rPr>
        <w:t>(4)</w:t>
      </w:r>
      <w:r w:rsidRPr="00C9040A">
        <w:rPr>
          <w:rtl/>
          <w:lang w:bidi="fa-IR"/>
        </w:rPr>
        <w:t xml:space="preserve"> ، فَقَالَ : إِنِّي رَجُلٌ شَابٌّ نَشِيطٌ ، وَأُحِبُّ الْجِهَادَ ، وَلِي وَالِدَةٌ تَكْرَهُ ذلِكَ</w:t>
      </w:r>
      <w:r>
        <w:rPr>
          <w:rtl/>
          <w:lang w:bidi="fa-IR"/>
        </w:rPr>
        <w:t>؟</w:t>
      </w:r>
    </w:p>
    <w:p w:rsidR="008A74EB" w:rsidRPr="00C9040A" w:rsidRDefault="008A74EB" w:rsidP="008A74EB">
      <w:pPr>
        <w:pStyle w:val="libNormal"/>
        <w:rPr>
          <w:rtl/>
          <w:lang w:bidi="fa-IR"/>
        </w:rPr>
      </w:pPr>
      <w:r w:rsidRPr="00C9040A">
        <w:rPr>
          <w:rtl/>
          <w:lang w:bidi="fa-IR"/>
        </w:rPr>
        <w:t xml:space="preserve">فَقَالَ لَهُ </w:t>
      </w:r>
      <w:r w:rsidR="006C577F" w:rsidRPr="006C577F">
        <w:rPr>
          <w:rStyle w:val="libFootnotenumChar"/>
          <w:rtl/>
        </w:rPr>
        <w:t>(5)</w:t>
      </w:r>
      <w:r w:rsidRPr="00C9040A">
        <w:rPr>
          <w:rtl/>
          <w:lang w:bidi="fa-IR"/>
        </w:rPr>
        <w:t xml:space="preserve"> النَّبِيُّ </w:t>
      </w:r>
      <w:r w:rsidR="006C577F" w:rsidRPr="006C577F">
        <w:rPr>
          <w:rStyle w:val="libFootnotenumChar"/>
          <w:rtl/>
        </w:rPr>
        <w:t>(6)</w:t>
      </w:r>
      <w:r w:rsidRPr="005B567D">
        <w:rPr>
          <w:rStyle w:val="libFootnotenumChar"/>
          <w:rtl/>
        </w:rPr>
        <w:t xml:space="preserve"> </w:t>
      </w:r>
      <w:r w:rsidR="004A4E41" w:rsidRPr="004A4E41">
        <w:rPr>
          <w:rStyle w:val="libAlaemChar"/>
          <w:rtl/>
        </w:rPr>
        <w:t>صلى‌الله‌عليه‌وآله</w:t>
      </w:r>
      <w:r w:rsidRPr="00C9040A">
        <w:rPr>
          <w:rtl/>
          <w:lang w:bidi="fa-IR"/>
        </w:rPr>
        <w:t xml:space="preserve"> : « ارْجِعْ ، فَكُنْ مَعَ وَالِدَتِكَ ؛ فَوَ الَّذِي بَعَثَنِي بِالْحَقِّ نَبِيّاً </w:t>
      </w:r>
      <w:r w:rsidR="006C577F" w:rsidRPr="006C577F">
        <w:rPr>
          <w:rStyle w:val="libFootnotenumChar"/>
          <w:rtl/>
        </w:rPr>
        <w:t>(7)</w:t>
      </w:r>
      <w:r w:rsidRPr="00C9040A">
        <w:rPr>
          <w:rtl/>
          <w:lang w:bidi="fa-IR"/>
        </w:rPr>
        <w:t xml:space="preserve"> ، لَأُنْسُهَا بِكَ لَيْلَةً </w:t>
      </w:r>
      <w:r w:rsidR="006C577F" w:rsidRPr="006C577F">
        <w:rPr>
          <w:rStyle w:val="libFootnotenumChar"/>
          <w:rtl/>
        </w:rPr>
        <w:t>(8)</w:t>
      </w:r>
      <w:r w:rsidRPr="00C9040A">
        <w:rPr>
          <w:rtl/>
          <w:lang w:bidi="fa-IR"/>
        </w:rPr>
        <w:t xml:space="preserve"> خَيْرٌ مِنْ جِهَادِكَ </w:t>
      </w:r>
      <w:r w:rsidR="006C577F" w:rsidRPr="006C577F">
        <w:rPr>
          <w:rStyle w:val="libFootnotenumChar"/>
          <w:rtl/>
        </w:rPr>
        <w:t>(9)</w:t>
      </w:r>
      <w:r w:rsidRPr="00C9040A">
        <w:rPr>
          <w:rtl/>
          <w:lang w:bidi="fa-IR"/>
        </w:rPr>
        <w:t xml:space="preserve"> فِي سَبِيلِ اللهِ سَنَةً </w:t>
      </w:r>
      <w:r w:rsidR="006C577F" w:rsidRPr="006C577F">
        <w:rPr>
          <w:rStyle w:val="libFootnotenumChar"/>
          <w:rtl/>
        </w:rPr>
        <w:t>(10)</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(11)</w:t>
      </w:r>
    </w:p>
    <w:p w:rsidR="008A74EB" w:rsidRPr="00C9040A" w:rsidRDefault="008A74EB" w:rsidP="008A74EB">
      <w:pPr>
        <w:pStyle w:val="libNormal"/>
        <w:rPr>
          <w:rtl/>
          <w:lang w:bidi="fa-IR"/>
        </w:rPr>
      </w:pPr>
      <w:r w:rsidRPr="00B37A53">
        <w:rPr>
          <w:rtl/>
        </w:rPr>
        <w:t>2027</w:t>
      </w:r>
      <w:r w:rsidRPr="00261CB0">
        <w:rPr>
          <w:rStyle w:val="libBold2Char"/>
          <w:rtl/>
        </w:rPr>
        <w:t xml:space="preserve"> / 21.</w:t>
      </w:r>
      <w:r w:rsidRPr="00C9040A">
        <w:rPr>
          <w:rtl/>
          <w:lang w:bidi="fa-IR"/>
        </w:rPr>
        <w:t xml:space="preserve"> الْحُسَيْنُ بْنُ مُحَمَّدٍ ، عَنْ مُعَلَّى بْنِ مُحَمَّدٍ ، عَنِ الْحَسَنِ بْنِ عَلِيٍّ ، عَنْ عَبْدِ اللهِ بْنِ سِنَانٍ ، عَنْ مُحَمَّدِ بْنِ مُسْلِمٍ </w:t>
      </w:r>
      <w:r w:rsidR="006C577F" w:rsidRPr="006C577F">
        <w:rPr>
          <w:rStyle w:val="libFootnotenumChar"/>
          <w:rtl/>
        </w:rPr>
        <w:t>(12)</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ج ، د ، ز ، ف » ومرآة العقول والوسائل : « </w:t>
      </w:r>
      <w:r w:rsidR="008A74EB">
        <w:rPr>
          <w:rtl/>
        </w:rPr>
        <w:t>و »</w:t>
      </w:r>
      <w:r w:rsidR="008A74EB" w:rsidRPr="00C9040A">
        <w:rPr>
          <w:rtl/>
        </w:rPr>
        <w:t xml:space="preserve"> بدل « أو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34021D">
        <w:rPr>
          <w:rStyle w:val="libFootnoteBoldChar"/>
          <w:rtl/>
        </w:rPr>
        <w:t>الأمالي للصدوق</w:t>
      </w:r>
      <w:r w:rsidR="008A74EB" w:rsidRPr="00C9040A">
        <w:rPr>
          <w:rtl/>
        </w:rPr>
        <w:t xml:space="preserve"> ، ص 462 ، المجلس 70 ، ح 9 ، بسنده عن حنان بن سدير </w:t>
      </w:r>
      <w:r w:rsidR="00663B63">
        <w:rPr>
          <w:rFonts w:hint="cs"/>
          <w:rtl/>
        </w:rPr>
        <w:t>.</w:t>
      </w:r>
      <w:r w:rsidR="008A74EB" w:rsidRPr="00993B55">
        <w:rPr>
          <w:rStyle w:val="libFootnoteBoldChar"/>
          <w:rtl/>
        </w:rPr>
        <w:t>الوافي</w:t>
      </w:r>
      <w:r w:rsidR="008A74EB" w:rsidRPr="00C9040A">
        <w:rPr>
          <w:rtl/>
        </w:rPr>
        <w:t xml:space="preserve"> ، ج 5 ، ص 501 ، ح 2431 ؛ </w:t>
      </w:r>
      <w:r w:rsidR="008A74EB" w:rsidRPr="00993B55">
        <w:rPr>
          <w:rStyle w:val="libFootnoteBoldChar"/>
          <w:rtl/>
        </w:rPr>
        <w:t>الوسائل</w:t>
      </w:r>
      <w:r w:rsidR="008A74EB" w:rsidRPr="00C9040A">
        <w:rPr>
          <w:rtl/>
        </w:rPr>
        <w:t xml:space="preserve"> ، ج 21 ، ص 506 ، ح 27709 ؛ </w:t>
      </w:r>
      <w:r w:rsidR="008A74EB" w:rsidRPr="00993B55">
        <w:rPr>
          <w:rStyle w:val="libFootnoteBoldChar"/>
          <w:rtl/>
        </w:rPr>
        <w:t>البحار</w:t>
      </w:r>
      <w:r w:rsidR="008A74EB" w:rsidRPr="00C9040A">
        <w:rPr>
          <w:rtl/>
        </w:rPr>
        <w:t xml:space="preserve"> ، ج 74 ، ص 58 ، ح 19.</w:t>
      </w:r>
    </w:p>
    <w:p w:rsidR="008A74EB" w:rsidRPr="00C9040A" w:rsidRDefault="006C577F" w:rsidP="004A4E41">
      <w:pPr>
        <w:pStyle w:val="libFootnote0"/>
        <w:rPr>
          <w:rtl/>
          <w:lang w:bidi="fa-IR"/>
        </w:rPr>
      </w:pPr>
      <w:r>
        <w:rPr>
          <w:rtl/>
        </w:rPr>
        <w:t>(3).</w:t>
      </w:r>
      <w:r w:rsidR="008A74EB" w:rsidRPr="00C9040A">
        <w:rPr>
          <w:rtl/>
        </w:rPr>
        <w:t xml:space="preserve"> جابر في مشايخ عمرو بن شمر ، هو جابر بن يزيد الجعفي ، وهو من أصحاب أبي جعفر وأبي عبد الله </w:t>
      </w:r>
      <w:r w:rsidR="00117575" w:rsidRPr="00117575">
        <w:rPr>
          <w:rStyle w:val="libFootnoteAlaemChar"/>
          <w:rtl/>
        </w:rPr>
        <w:t>عليهما‌السلام</w:t>
      </w:r>
      <w:r w:rsidR="008A74EB" w:rsidRPr="00C9040A">
        <w:rPr>
          <w:rtl/>
        </w:rPr>
        <w:t xml:space="preserve">. ولا تستقيم روايته عن رسول الله </w:t>
      </w:r>
      <w:r w:rsidR="004A4E41" w:rsidRPr="00663B63">
        <w:rPr>
          <w:rStyle w:val="libFootnoteAlaemChar"/>
          <w:rtl/>
        </w:rPr>
        <w:t>صلى‌الله‌عليه‌وآله</w:t>
      </w:r>
      <w:r w:rsidR="008A74EB" w:rsidRPr="00C9040A">
        <w:rPr>
          <w:rtl/>
        </w:rPr>
        <w:t xml:space="preserve"> مباشرةً ، فالظاهر وقوع خلل في السند من سقط أو إرسال. راجع : </w:t>
      </w:r>
      <w:r w:rsidR="008A74EB" w:rsidRPr="00993B55">
        <w:rPr>
          <w:rStyle w:val="libFootnoteBoldChar"/>
          <w:rtl/>
        </w:rPr>
        <w:t>رجال النجاشي</w:t>
      </w:r>
      <w:r w:rsidR="008A74EB" w:rsidRPr="00C9040A">
        <w:rPr>
          <w:rtl/>
        </w:rPr>
        <w:t xml:space="preserve"> ، ص 128 ، الرقم 332 ؛ </w:t>
      </w:r>
      <w:r w:rsidR="008A74EB" w:rsidRPr="00993B55">
        <w:rPr>
          <w:rStyle w:val="libFootnoteBoldChar"/>
          <w:rtl/>
        </w:rPr>
        <w:t>معجم رجال الحديث</w:t>
      </w:r>
      <w:r w:rsidR="008A74EB" w:rsidRPr="00C9040A">
        <w:rPr>
          <w:rtl/>
        </w:rPr>
        <w:t xml:space="preserve"> ، ج 13 ، ص 108.</w:t>
      </w:r>
    </w:p>
    <w:p w:rsidR="008A74EB" w:rsidRPr="00C9040A" w:rsidRDefault="008A74EB" w:rsidP="004A4E41">
      <w:pPr>
        <w:pStyle w:val="libFootnote0"/>
        <w:rPr>
          <w:rtl/>
          <w:lang w:bidi="fa-IR"/>
        </w:rPr>
      </w:pPr>
      <w:r w:rsidRPr="00323A39">
        <w:rPr>
          <w:rtl/>
        </w:rPr>
        <w:t xml:space="preserve">يؤكّد ذلك ما تقدّم في الحديث 10 من الباب ، من نقل مضمون الخبر مفصّلاً بسند آخر عن عمروبن شمر ، عن جابر ، عن أبي عبدالله </w:t>
      </w:r>
      <w:r w:rsidR="00117575" w:rsidRPr="00117575">
        <w:rPr>
          <w:rStyle w:val="libFootnoteAlaemChar"/>
          <w:rtl/>
        </w:rPr>
        <w:t>عليه‌السلام</w:t>
      </w:r>
      <w:r w:rsidRPr="00323A39">
        <w:rPr>
          <w:rtl/>
        </w:rPr>
        <w:t xml:space="preserve"> قال : أتى رجل رسول الله </w:t>
      </w:r>
      <w:r w:rsidR="004A4E41" w:rsidRPr="005C57B5">
        <w:rPr>
          <w:rStyle w:val="libFootnoteAlaemChar"/>
          <w:rtl/>
        </w:rPr>
        <w:t>صلى‌الله‌عليه‌وآله</w:t>
      </w:r>
      <w:r w:rsidRPr="00323A39">
        <w:rPr>
          <w:rtl/>
        </w:rPr>
        <w:t xml:space="preserve"> الخبر.</w:t>
      </w:r>
    </w:p>
    <w:p w:rsidR="008A74EB" w:rsidRPr="00C9040A" w:rsidRDefault="006C577F" w:rsidP="00663B63">
      <w:pPr>
        <w:pStyle w:val="libFootnote0"/>
        <w:rPr>
          <w:rtl/>
          <w:lang w:bidi="fa-IR"/>
        </w:rPr>
      </w:pPr>
      <w:r>
        <w:rPr>
          <w:rtl/>
        </w:rPr>
        <w:t>(4).</w:t>
      </w:r>
      <w:r w:rsidR="008A74EB" w:rsidRPr="00C9040A">
        <w:rPr>
          <w:rtl/>
        </w:rPr>
        <w:t xml:space="preserve"> هكذا في النسخ التي قوبلت والطبعة الحجريّة والوافي والوسائل والبحار. وفي المطبوع : « أتى رجلٌ‌</w:t>
      </w:r>
      <w:r w:rsidR="00663B63">
        <w:rPr>
          <w:rFonts w:hint="cs"/>
          <w:rtl/>
        </w:rPr>
        <w:t xml:space="preserve"> </w:t>
      </w:r>
      <w:r w:rsidR="008A74EB" w:rsidRPr="00C9040A">
        <w:rPr>
          <w:rtl/>
        </w:rPr>
        <w:t xml:space="preserve">رسول الله </w:t>
      </w:r>
      <w:r w:rsidR="004A4E41" w:rsidRPr="00663B63">
        <w:rPr>
          <w:rStyle w:val="libFootnoteAlaemChar"/>
          <w:rtl/>
        </w:rPr>
        <w:t>صلى‌الله‌عليه‌وآله</w:t>
      </w:r>
      <w:r w:rsidR="008A74EB" w:rsidRPr="00C9040A">
        <w:rPr>
          <w:rtl/>
        </w:rPr>
        <w:t xml:space="preserve"> »</w:t>
      </w:r>
      <w:r w:rsidR="008A74EB">
        <w:rPr>
          <w:rtl/>
        </w:rPr>
        <w:t>.</w:t>
      </w:r>
      <w:r w:rsidR="00663B63">
        <w:rPr>
          <w:rFonts w:hint="cs"/>
          <w:rtl/>
        </w:rPr>
        <w:t xml:space="preserve">                                           </w:t>
      </w:r>
      <w:r>
        <w:rPr>
          <w:rtl/>
        </w:rPr>
        <w:t>(5).</w:t>
      </w:r>
      <w:r w:rsidR="008A74EB" w:rsidRPr="00C9040A">
        <w:rPr>
          <w:rtl/>
        </w:rPr>
        <w:t xml:space="preserve"> في الوسائل </w:t>
      </w:r>
      <w:r w:rsidR="008A74EB">
        <w:rPr>
          <w:rtl/>
        </w:rPr>
        <w:t xml:space="preserve">: </w:t>
      </w:r>
      <w:r w:rsidR="0084262C">
        <w:rPr>
          <w:rtl/>
        </w:rPr>
        <w:t>-</w:t>
      </w:r>
      <w:r w:rsidR="008A74EB" w:rsidRPr="00C9040A">
        <w:rPr>
          <w:rtl/>
        </w:rPr>
        <w:t xml:space="preserve"> « له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 بر ، بف » </w:t>
      </w:r>
      <w:r w:rsidR="008A74EB">
        <w:rPr>
          <w:rtl/>
        </w:rPr>
        <w:t xml:space="preserve">: </w:t>
      </w:r>
      <w:r w:rsidR="0084262C">
        <w:rPr>
          <w:rtl/>
        </w:rPr>
        <w:t>-</w:t>
      </w:r>
      <w:r w:rsidR="008A74EB" w:rsidRPr="00C9040A">
        <w:rPr>
          <w:rtl/>
        </w:rPr>
        <w:t xml:space="preserve"> « النبيّ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ج ، ز ، ض ، ف ، بس » والوافي والوسائل </w:t>
      </w:r>
      <w:r w:rsidR="008A74EB">
        <w:rPr>
          <w:rtl/>
        </w:rPr>
        <w:t xml:space="preserve">: </w:t>
      </w:r>
      <w:r w:rsidR="0084262C">
        <w:rPr>
          <w:rtl/>
        </w:rPr>
        <w:t>-</w:t>
      </w:r>
      <w:r w:rsidR="008A74EB" w:rsidRPr="00C9040A">
        <w:rPr>
          <w:rtl/>
        </w:rPr>
        <w:t xml:space="preserve"> « نبيّاً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 ز » </w:t>
      </w:r>
      <w:r w:rsidR="008A74EB">
        <w:rPr>
          <w:rtl/>
        </w:rPr>
        <w:t xml:space="preserve">: </w:t>
      </w:r>
      <w:r w:rsidR="0084262C">
        <w:rPr>
          <w:rtl/>
        </w:rPr>
        <w:t>-</w:t>
      </w:r>
      <w:r w:rsidR="008A74EB" w:rsidRPr="00C9040A">
        <w:rPr>
          <w:rtl/>
        </w:rPr>
        <w:t xml:space="preserve"> « ليلة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ز ، ص ، ض ، ف ، بر ، بس » والوافي والوسائل : « جهاد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 ز ، ص ، ف » : « سنة في سبيل الله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w:t>
      </w:r>
      <w:r w:rsidR="008A74EB" w:rsidRPr="00993B55">
        <w:rPr>
          <w:rStyle w:val="libFootnoteBoldChar"/>
          <w:rtl/>
        </w:rPr>
        <w:t>الوافي</w:t>
      </w:r>
      <w:r w:rsidR="008A74EB" w:rsidRPr="00C9040A">
        <w:rPr>
          <w:rtl/>
        </w:rPr>
        <w:t xml:space="preserve"> ، ج 5 ، ص 497 ، ح 2423 ؛ </w:t>
      </w:r>
      <w:r w:rsidR="008A74EB" w:rsidRPr="00993B55">
        <w:rPr>
          <w:rStyle w:val="libFootnoteBoldChar"/>
          <w:rtl/>
        </w:rPr>
        <w:t>الوسائل</w:t>
      </w:r>
      <w:r w:rsidR="008A74EB" w:rsidRPr="00C9040A">
        <w:rPr>
          <w:rtl/>
        </w:rPr>
        <w:t xml:space="preserve"> ، ج 15 ، ص 20 ، ح 19930 ؛ </w:t>
      </w:r>
      <w:r w:rsidR="008A74EB" w:rsidRPr="00993B55">
        <w:rPr>
          <w:rStyle w:val="libFootnoteBoldChar"/>
          <w:rtl/>
        </w:rPr>
        <w:t>البحار</w:t>
      </w:r>
      <w:r w:rsidR="008A74EB" w:rsidRPr="00C9040A">
        <w:rPr>
          <w:rtl/>
        </w:rPr>
        <w:t xml:space="preserve"> ، ج 74 ، ص 59 ، ح 20.</w:t>
      </w:r>
    </w:p>
    <w:p w:rsidR="008A74EB" w:rsidRPr="00C9040A" w:rsidRDefault="006C577F" w:rsidP="004A4E41">
      <w:pPr>
        <w:pStyle w:val="libFootnote0"/>
        <w:rPr>
          <w:rtl/>
          <w:lang w:bidi="fa-IR"/>
        </w:rPr>
      </w:pPr>
      <w:r>
        <w:rPr>
          <w:rtl/>
        </w:rPr>
        <w:t>(12).</w:t>
      </w:r>
      <w:r w:rsidR="008A74EB" w:rsidRPr="00C9040A">
        <w:rPr>
          <w:rtl/>
        </w:rPr>
        <w:t xml:space="preserve"> لم يثبت رواية عبدالله بن سنان عن محمّد بن مسلم. والخبر رواه الحسين بن سعيد</w:t>
      </w:r>
      <w:r w:rsidR="008A74EB">
        <w:rPr>
          <w:rtl/>
        </w:rPr>
        <w:t xml:space="preserve"> </w:t>
      </w:r>
      <w:r w:rsidR="0084262C">
        <w:rPr>
          <w:rtl/>
        </w:rPr>
        <w:t>-</w:t>
      </w:r>
      <w:r w:rsidR="008A74EB">
        <w:rPr>
          <w:rtl/>
        </w:rPr>
        <w:t xml:space="preserve"> </w:t>
      </w:r>
      <w:r w:rsidR="008A74EB" w:rsidRPr="00C9040A">
        <w:rPr>
          <w:rtl/>
        </w:rPr>
        <w:t>مع اختلافٍ وزيادةٍ</w:t>
      </w:r>
      <w:r w:rsidR="008A74EB">
        <w:rPr>
          <w:rtl/>
        </w:rPr>
        <w:t xml:space="preserve"> </w:t>
      </w:r>
      <w:r w:rsidR="0084262C">
        <w:rPr>
          <w:rtl/>
        </w:rPr>
        <w:t>-</w:t>
      </w:r>
      <w:r w:rsidR="008A74EB">
        <w:rPr>
          <w:rtl/>
        </w:rPr>
        <w:t xml:space="preserve"> </w:t>
      </w:r>
      <w:r w:rsidR="00663B63">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إِنَّ الْعَبْدَ لَيَكُونُ بَارّاً بِوَالِدَيْهِ فِي حَيَاتِهِمَا ، ثُمَّ يَمُوتَانِ ، فَلَا يَقْضِي عَنْهُمَا دُيُونَهُمَا </w:t>
      </w:r>
      <w:r w:rsidR="006C577F" w:rsidRPr="006C577F">
        <w:rPr>
          <w:rStyle w:val="libFootnotenumChar"/>
          <w:rtl/>
        </w:rPr>
        <w:t>(1)</w:t>
      </w:r>
      <w:r w:rsidRPr="00C9040A">
        <w:rPr>
          <w:rtl/>
          <w:lang w:bidi="fa-IR"/>
        </w:rPr>
        <w:t xml:space="preserve"> وَلَا يَسْتَغْفِرُ لَهُمَا ، فَيَكْتُبُهُ اللهُ عَاقّاً ، وَإِنَّهُ لَيَكُونُ عَاقّاً لَهُمَا </w:t>
      </w:r>
      <w:r w:rsidR="006C577F" w:rsidRPr="006C577F">
        <w:rPr>
          <w:rStyle w:val="libFootnotenumChar"/>
          <w:rtl/>
        </w:rPr>
        <w:t>(2)</w:t>
      </w:r>
      <w:r w:rsidRPr="00C9040A">
        <w:rPr>
          <w:rtl/>
          <w:lang w:bidi="fa-IR"/>
        </w:rPr>
        <w:t xml:space="preserve"> فِي حَيَاتِهِمَا ، غَيْرَ بَارٍّ بِهِمَا ، فَإِذَا مَاتَا قَضى </w:t>
      </w:r>
      <w:r w:rsidR="006C577F" w:rsidRPr="006C577F">
        <w:rPr>
          <w:rStyle w:val="libFootnotenumChar"/>
          <w:rtl/>
        </w:rPr>
        <w:t>(3)</w:t>
      </w:r>
      <w:r w:rsidRPr="00C9040A">
        <w:rPr>
          <w:rtl/>
          <w:lang w:bidi="fa-IR"/>
        </w:rPr>
        <w:t xml:space="preserve"> دَيْنَهُمَا وَاسْتَغْفَرَ </w:t>
      </w:r>
      <w:r w:rsidR="006C577F" w:rsidRPr="006C577F">
        <w:rPr>
          <w:rStyle w:val="libFootnotenumChar"/>
          <w:rtl/>
        </w:rPr>
        <w:t>(4)</w:t>
      </w:r>
      <w:r w:rsidRPr="00C9040A">
        <w:rPr>
          <w:rtl/>
          <w:lang w:bidi="fa-IR"/>
        </w:rPr>
        <w:t xml:space="preserve"> لَهُمَا ، فَيَكْتُبُهُ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بَارّاً </w:t>
      </w:r>
      <w:r w:rsidR="006C577F" w:rsidRPr="006C577F">
        <w:rPr>
          <w:rStyle w:val="libFootnotenumChar"/>
          <w:rtl/>
        </w:rPr>
        <w:t>(5)</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Heading2Center"/>
        <w:rPr>
          <w:rtl/>
          <w:lang w:bidi="fa-IR"/>
        </w:rPr>
      </w:pPr>
      <w:bookmarkStart w:id="220" w:name="_Toc343795661"/>
      <w:bookmarkStart w:id="221" w:name="_Toc459810785"/>
      <w:bookmarkStart w:id="222" w:name="_Toc35348691"/>
      <w:r w:rsidRPr="00C9040A">
        <w:rPr>
          <w:rtl/>
          <w:lang w:bidi="fa-IR"/>
        </w:rPr>
        <w:t>70</w:t>
      </w:r>
      <w:r>
        <w:rPr>
          <w:rtl/>
          <w:lang w:bidi="fa-IR"/>
        </w:rPr>
        <w:t xml:space="preserve"> </w:t>
      </w:r>
      <w:r w:rsidR="0084262C">
        <w:rPr>
          <w:rtl/>
          <w:lang w:bidi="fa-IR"/>
        </w:rPr>
        <w:t>-</w:t>
      </w:r>
      <w:r>
        <w:rPr>
          <w:rtl/>
          <w:lang w:bidi="fa-IR"/>
        </w:rPr>
        <w:t xml:space="preserve"> </w:t>
      </w:r>
      <w:r w:rsidRPr="00C9040A">
        <w:rPr>
          <w:rtl/>
          <w:lang w:bidi="fa-IR"/>
        </w:rPr>
        <w:t xml:space="preserve">بَابُ الِاهْتِمَامِ بِأُمُورِ </w:t>
      </w:r>
      <w:r w:rsidR="006C577F" w:rsidRPr="006C577F">
        <w:rPr>
          <w:rStyle w:val="libFootnotenumChar"/>
          <w:rtl/>
        </w:rPr>
        <w:t>(7)</w:t>
      </w:r>
      <w:r>
        <w:rPr>
          <w:rtl/>
        </w:rPr>
        <w:t xml:space="preserve"> </w:t>
      </w:r>
      <w:r w:rsidRPr="00C9040A">
        <w:rPr>
          <w:rtl/>
          <w:lang w:bidi="fa-IR"/>
        </w:rPr>
        <w:t>الْمُسْلِمِينَ وَالنَّصِيحَةِ لَهُمْ وَنَفْعِهِمْ‌</w:t>
      </w:r>
      <w:bookmarkEnd w:id="220"/>
      <w:bookmarkEnd w:id="221"/>
      <w:bookmarkEnd w:id="222"/>
    </w:p>
    <w:p w:rsidR="008A74EB" w:rsidRPr="00C9040A" w:rsidRDefault="008A74EB" w:rsidP="008A74EB">
      <w:pPr>
        <w:pStyle w:val="libNormal"/>
        <w:rPr>
          <w:rtl/>
          <w:lang w:bidi="fa-IR"/>
        </w:rPr>
      </w:pPr>
      <w:r w:rsidRPr="00B37A53">
        <w:rPr>
          <w:rtl/>
        </w:rPr>
        <w:t>2028</w:t>
      </w:r>
      <w:r w:rsidRPr="00261CB0">
        <w:rPr>
          <w:rStyle w:val="libBold2Char"/>
          <w:rtl/>
        </w:rPr>
        <w:t xml:space="preserve"> / 1.</w:t>
      </w:r>
      <w:r w:rsidRPr="00C9040A">
        <w:rPr>
          <w:rtl/>
          <w:lang w:bidi="fa-IR"/>
        </w:rPr>
        <w:t xml:space="preserve"> عَلِيُّ بْنُ إِبْرَاهِيمَ ، عَنْ أَبِيهِ ، عَنِ النَّوْفَلِيِّ ، عَنِ السَّكُونِيِّ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مَنْ أَصْبَحَ لَايَهْتَمُّ بِأُمُورِ </w:t>
      </w:r>
      <w:r w:rsidR="006C577F" w:rsidRPr="006C577F">
        <w:rPr>
          <w:rStyle w:val="libFootnotenumChar"/>
          <w:rtl/>
        </w:rPr>
        <w:t>(8)</w:t>
      </w:r>
      <w:r w:rsidRPr="00C9040A">
        <w:rPr>
          <w:rtl/>
          <w:lang w:bidi="fa-IR"/>
        </w:rPr>
        <w:t xml:space="preserve"> الْمُسْلِمِينَ فَلَيْسَ بِمُسْلِمٍ »</w:t>
      </w:r>
      <w:r>
        <w:rPr>
          <w:rtl/>
          <w:lang w:bidi="fa-IR"/>
        </w:rPr>
        <w:t>.</w:t>
      </w:r>
      <w:r w:rsidRPr="00C9040A">
        <w:rPr>
          <w:rtl/>
          <w:lang w:bidi="fa-IR"/>
        </w:rPr>
        <w:t xml:space="preserve"> </w:t>
      </w:r>
      <w:r w:rsidR="006C577F" w:rsidRPr="006C577F">
        <w:rPr>
          <w:rStyle w:val="libFootnotenumChar"/>
          <w:rtl/>
        </w:rPr>
        <w:t>(9)</w:t>
      </w:r>
      <w:r w:rsidRPr="00C9040A">
        <w:rPr>
          <w:rtl/>
          <w:lang w:bidi="fa-IR"/>
        </w:rPr>
        <w:t xml:space="preserve"> ‌</w:t>
      </w:r>
    </w:p>
    <w:p w:rsidR="008A74EB" w:rsidRPr="00C9040A" w:rsidRDefault="008A74EB" w:rsidP="008A74EB">
      <w:pPr>
        <w:pStyle w:val="libNormal"/>
        <w:rPr>
          <w:rtl/>
          <w:lang w:bidi="fa-IR"/>
        </w:rPr>
      </w:pPr>
      <w:r w:rsidRPr="00B37A53">
        <w:rPr>
          <w:rtl/>
        </w:rPr>
        <w:t>2029</w:t>
      </w:r>
      <w:r w:rsidRPr="00261CB0">
        <w:rPr>
          <w:rStyle w:val="libBold2Char"/>
          <w:rtl/>
        </w:rPr>
        <w:t xml:space="preserve"> / 2.</w:t>
      </w:r>
      <w:r w:rsidRPr="00C9040A">
        <w:rPr>
          <w:rtl/>
          <w:lang w:bidi="fa-IR"/>
        </w:rPr>
        <w:t xml:space="preserve"> وَبِهذَا الْإِسْنَادِ ، قَالَ :</w:t>
      </w:r>
    </w:p>
    <w:p w:rsidR="008A74EB" w:rsidRPr="00C9040A" w:rsidRDefault="008A74EB" w:rsidP="008A74EB">
      <w:pPr>
        <w:pStyle w:val="libLine"/>
        <w:rPr>
          <w:rtl/>
          <w:lang w:bidi="fa-IR"/>
        </w:rPr>
      </w:pPr>
      <w:r w:rsidRPr="00C9040A">
        <w:rPr>
          <w:rtl/>
          <w:lang w:bidi="fa-IR"/>
        </w:rPr>
        <w:t>__________________</w:t>
      </w:r>
    </w:p>
    <w:p w:rsidR="008A74EB" w:rsidRPr="00C9040A" w:rsidRDefault="00663B63" w:rsidP="004A4E41">
      <w:pPr>
        <w:pStyle w:val="libFootnote0"/>
        <w:rPr>
          <w:rtl/>
          <w:lang w:bidi="fa-IR"/>
        </w:rPr>
      </w:pPr>
      <w:r>
        <w:rPr>
          <w:rFonts w:hint="cs"/>
          <w:rtl/>
        </w:rPr>
        <w:t>=</w:t>
      </w:r>
      <w:r w:rsidR="005C57B5">
        <w:rPr>
          <w:rFonts w:hint="cs"/>
          <w:rtl/>
        </w:rPr>
        <w:t xml:space="preserve"> </w:t>
      </w:r>
      <w:r w:rsidR="008A74EB" w:rsidRPr="00C9040A">
        <w:rPr>
          <w:rtl/>
        </w:rPr>
        <w:t xml:space="preserve">في </w:t>
      </w:r>
      <w:r w:rsidR="008A74EB" w:rsidRPr="00993B55">
        <w:rPr>
          <w:rStyle w:val="libFootnoteBoldChar"/>
          <w:rtl/>
        </w:rPr>
        <w:t>الزهد</w:t>
      </w:r>
      <w:r w:rsidR="008A74EB" w:rsidRPr="00C9040A">
        <w:rPr>
          <w:rtl/>
        </w:rPr>
        <w:t xml:space="preserve"> ، ص 99 ، ح 89 ، عن النضر وفضالة ، عن عبدالله بن سنان ، عن حفص ، عن محمّد بن مسلم. وهو الظاهر ؛ فقد روى [ عبدالله ] بن سنان ، عن حفص [ بن البختري ] ، عن محمّد بن مسلم ، في </w:t>
      </w:r>
      <w:r w:rsidR="008A74EB" w:rsidRPr="00993B55">
        <w:rPr>
          <w:rStyle w:val="libFootnoteBoldChar"/>
          <w:rtl/>
        </w:rPr>
        <w:t>الكافي</w:t>
      </w:r>
      <w:r w:rsidR="008A74EB" w:rsidRPr="00C9040A">
        <w:rPr>
          <w:rtl/>
        </w:rPr>
        <w:t xml:space="preserve"> ، ح 3460 </w:t>
      </w:r>
      <w:r w:rsidR="008A74EB">
        <w:rPr>
          <w:rtl/>
        </w:rPr>
        <w:t>و 4</w:t>
      </w:r>
      <w:r w:rsidR="008A74EB" w:rsidRPr="00C9040A">
        <w:rPr>
          <w:rtl/>
        </w:rPr>
        <w:t xml:space="preserve">532 ؛ </w:t>
      </w:r>
      <w:r w:rsidR="008A74EB" w:rsidRPr="00663B63">
        <w:rPr>
          <w:rStyle w:val="libFootnoteBoldChar"/>
          <w:rtl/>
        </w:rPr>
        <w:t>وال</w:t>
      </w:r>
      <w:r w:rsidR="008A74EB" w:rsidRPr="00993B55">
        <w:rPr>
          <w:rStyle w:val="libFootnoteBoldChar"/>
          <w:rtl/>
        </w:rPr>
        <w:t>تهذيب</w:t>
      </w:r>
      <w:r w:rsidR="008A74EB" w:rsidRPr="00C9040A">
        <w:rPr>
          <w:rtl/>
        </w:rPr>
        <w:t xml:space="preserve"> ، ج 1 ، ص 163 ، ح 467.</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ب ، ج ، د ، ز ، ض ، بر ، بف » والوافي والبحار : « دينهما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الزهد </w:t>
      </w:r>
      <w:r w:rsidR="008A74EB">
        <w:rPr>
          <w:rtl/>
        </w:rPr>
        <w:t xml:space="preserve">: </w:t>
      </w:r>
      <w:r w:rsidR="0084262C">
        <w:rPr>
          <w:rtl/>
        </w:rPr>
        <w:t>-</w:t>
      </w:r>
      <w:r w:rsidR="008A74EB" w:rsidRPr="00C9040A">
        <w:rPr>
          <w:rtl/>
        </w:rPr>
        <w:t xml:space="preserve"> « عاقّاً لهما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حاشية « ف » والزهد : + « عنهما »</w:t>
      </w:r>
      <w:r w:rsidR="008A74EB">
        <w:rPr>
          <w:rtl/>
        </w:rPr>
        <w:t>.</w:t>
      </w:r>
    </w:p>
    <w:tbl>
      <w:tblPr>
        <w:tblStyle w:val="TableGrid"/>
        <w:bidiVisual/>
        <w:tblW w:w="0" w:type="auto"/>
        <w:tblLook w:val="04A0" w:firstRow="1" w:lastRow="0" w:firstColumn="1" w:lastColumn="0" w:noHBand="0" w:noVBand="1"/>
      </w:tblPr>
      <w:tblGrid>
        <w:gridCol w:w="4006"/>
        <w:gridCol w:w="4006"/>
      </w:tblGrid>
      <w:tr w:rsidR="00663B63" w:rsidTr="00663B63">
        <w:tc>
          <w:tcPr>
            <w:tcW w:w="4006" w:type="dxa"/>
          </w:tcPr>
          <w:p w:rsidR="00663B63" w:rsidRDefault="00663B63" w:rsidP="004A4E41">
            <w:pPr>
              <w:pStyle w:val="libFootnote0"/>
              <w:rPr>
                <w:rtl/>
              </w:rPr>
            </w:pPr>
            <w:r>
              <w:rPr>
                <w:rtl/>
              </w:rPr>
              <w:t>(4).</w:t>
            </w:r>
            <w:r w:rsidRPr="00C9040A">
              <w:rPr>
                <w:rtl/>
              </w:rPr>
              <w:t xml:space="preserve"> في « ف » : + « الله »</w:t>
            </w:r>
            <w:r>
              <w:rPr>
                <w:rtl/>
              </w:rPr>
              <w:t>.</w:t>
            </w:r>
          </w:p>
        </w:tc>
        <w:tc>
          <w:tcPr>
            <w:tcW w:w="4006" w:type="dxa"/>
          </w:tcPr>
          <w:p w:rsidR="00663B63" w:rsidRDefault="00663B63" w:rsidP="004A4E41">
            <w:pPr>
              <w:pStyle w:val="libFootnote0"/>
              <w:rPr>
                <w:rtl/>
              </w:rPr>
            </w:pPr>
            <w:r>
              <w:rPr>
                <w:rtl/>
              </w:rPr>
              <w:t>(5).</w:t>
            </w:r>
            <w:r w:rsidRPr="00C9040A">
              <w:rPr>
                <w:rtl/>
              </w:rPr>
              <w:t xml:space="preserve"> في « بف » : + « بهما »</w:t>
            </w:r>
            <w:r>
              <w:rPr>
                <w:rtl/>
              </w:rPr>
              <w:t>.</w:t>
            </w:r>
          </w:p>
        </w:tc>
      </w:tr>
    </w:tbl>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الزهد</w:t>
      </w:r>
      <w:r w:rsidR="008A74EB" w:rsidRPr="00C9040A">
        <w:rPr>
          <w:rtl/>
        </w:rPr>
        <w:t xml:space="preserve"> ، ص 99 ، ح 89 ، عن النضر وفضالة ، عن عبد الله بن سنان ، عن حفص ، عن محمّد بن مسلم ، مع زيادة في آخره </w:t>
      </w:r>
      <w:r w:rsidR="00663B63">
        <w:rPr>
          <w:rFonts w:hint="cs"/>
          <w:rtl/>
        </w:rPr>
        <w:t>.</w:t>
      </w:r>
      <w:r w:rsidR="008A74EB" w:rsidRPr="00993B55">
        <w:rPr>
          <w:rStyle w:val="libFootnoteBoldChar"/>
          <w:rtl/>
        </w:rPr>
        <w:t>الوافي</w:t>
      </w:r>
      <w:r w:rsidR="008A74EB" w:rsidRPr="00C9040A">
        <w:rPr>
          <w:rtl/>
        </w:rPr>
        <w:t xml:space="preserve"> ، ج 5 ، ص 501 ، ح 2432 ؛ </w:t>
      </w:r>
      <w:r w:rsidR="008A74EB" w:rsidRPr="00993B55">
        <w:rPr>
          <w:rStyle w:val="libFootnoteBoldChar"/>
          <w:rtl/>
        </w:rPr>
        <w:t>الوسائل</w:t>
      </w:r>
      <w:r w:rsidR="008A74EB" w:rsidRPr="00C9040A">
        <w:rPr>
          <w:rtl/>
        </w:rPr>
        <w:t xml:space="preserve"> ، ج 21 ، ص 506 ، ح 27708 ؛ </w:t>
      </w:r>
      <w:r w:rsidR="008A74EB" w:rsidRPr="00993B55">
        <w:rPr>
          <w:rStyle w:val="libFootnoteBoldChar"/>
          <w:rtl/>
        </w:rPr>
        <w:t>البحار</w:t>
      </w:r>
      <w:r w:rsidR="008A74EB" w:rsidRPr="00C9040A">
        <w:rPr>
          <w:rtl/>
        </w:rPr>
        <w:t xml:space="preserve"> ، ج 74 ، ص 59 ، ح 21.</w:t>
      </w:r>
    </w:p>
    <w:tbl>
      <w:tblPr>
        <w:tblStyle w:val="TableGrid"/>
        <w:bidiVisual/>
        <w:tblW w:w="0" w:type="auto"/>
        <w:tblLook w:val="04A0" w:firstRow="1" w:lastRow="0" w:firstColumn="1" w:lastColumn="0" w:noHBand="0" w:noVBand="1"/>
      </w:tblPr>
      <w:tblGrid>
        <w:gridCol w:w="4006"/>
        <w:gridCol w:w="4006"/>
      </w:tblGrid>
      <w:tr w:rsidR="00663B63" w:rsidTr="00663B63">
        <w:tc>
          <w:tcPr>
            <w:tcW w:w="4006" w:type="dxa"/>
          </w:tcPr>
          <w:p w:rsidR="00663B63" w:rsidRDefault="00663B63" w:rsidP="004A4E41">
            <w:pPr>
              <w:pStyle w:val="libFootnote0"/>
              <w:rPr>
                <w:rtl/>
              </w:rPr>
            </w:pPr>
            <w:r>
              <w:rPr>
                <w:rtl/>
              </w:rPr>
              <w:t>(7).</w:t>
            </w:r>
            <w:r w:rsidRPr="00C9040A">
              <w:rPr>
                <w:rtl/>
              </w:rPr>
              <w:t xml:space="preserve"> في « ج » : « في ا</w:t>
            </w:r>
            <w:r>
              <w:rPr>
                <w:rFonts w:hint="cs"/>
                <w:rtl/>
              </w:rPr>
              <w:t>ُ</w:t>
            </w:r>
            <w:r w:rsidRPr="00C9040A">
              <w:rPr>
                <w:rtl/>
              </w:rPr>
              <w:t>مور »</w:t>
            </w:r>
            <w:r>
              <w:rPr>
                <w:rtl/>
              </w:rPr>
              <w:t>.</w:t>
            </w:r>
          </w:p>
        </w:tc>
        <w:tc>
          <w:tcPr>
            <w:tcW w:w="4006" w:type="dxa"/>
          </w:tcPr>
          <w:p w:rsidR="00663B63" w:rsidRDefault="00663B63" w:rsidP="004A4E41">
            <w:pPr>
              <w:pStyle w:val="libFootnote0"/>
              <w:rPr>
                <w:rtl/>
              </w:rPr>
            </w:pPr>
            <w:r>
              <w:rPr>
                <w:rtl/>
              </w:rPr>
              <w:t>(8).</w:t>
            </w:r>
            <w:r w:rsidRPr="00C9040A">
              <w:rPr>
                <w:rtl/>
              </w:rPr>
              <w:t xml:space="preserve"> في حاشية « ض » : « بأمر »</w:t>
            </w:r>
            <w:r>
              <w:rPr>
                <w:rtl/>
              </w:rPr>
              <w:t>.</w:t>
            </w:r>
          </w:p>
        </w:tc>
      </w:tr>
    </w:tbl>
    <w:p w:rsidR="008A74EB" w:rsidRPr="00C9040A" w:rsidRDefault="006C577F" w:rsidP="004A4E41">
      <w:pPr>
        <w:pStyle w:val="libFootnote0"/>
        <w:rPr>
          <w:rtl/>
          <w:lang w:bidi="fa-IR"/>
        </w:rPr>
      </w:pPr>
      <w:r>
        <w:rPr>
          <w:rtl/>
        </w:rPr>
        <w:t>(9).</w:t>
      </w:r>
      <w:r w:rsidR="008A74EB" w:rsidRPr="00C9040A">
        <w:rPr>
          <w:rtl/>
        </w:rPr>
        <w:t xml:space="preserve"> </w:t>
      </w:r>
      <w:r w:rsidR="008A74EB" w:rsidRPr="00993B55">
        <w:rPr>
          <w:rStyle w:val="libFootnoteBoldChar"/>
          <w:rtl/>
        </w:rPr>
        <w:t xml:space="preserve">فقه الرضا </w:t>
      </w:r>
      <w:r w:rsidR="00117575" w:rsidRPr="00117575">
        <w:rPr>
          <w:rStyle w:val="libFootnoteAlaemChar"/>
          <w:rtl/>
        </w:rPr>
        <w:t>عليه‌السلام</w:t>
      </w:r>
      <w:r w:rsidR="008A74EB" w:rsidRPr="00C9040A">
        <w:rPr>
          <w:rtl/>
        </w:rPr>
        <w:t xml:space="preserve"> ، ص 369 ؛ </w:t>
      </w:r>
      <w:r w:rsidR="008A74EB" w:rsidRPr="00993B55">
        <w:rPr>
          <w:rStyle w:val="libFootnoteBoldChar"/>
          <w:rtl/>
        </w:rPr>
        <w:t>تحف العقول</w:t>
      </w:r>
      <w:r w:rsidR="008A74EB" w:rsidRPr="00C9040A">
        <w:rPr>
          <w:rtl/>
        </w:rPr>
        <w:t xml:space="preserve"> ، ص 58 ، عن النبيّ </w:t>
      </w:r>
      <w:r w:rsidR="004A4E41" w:rsidRPr="00663B63">
        <w:rPr>
          <w:rStyle w:val="libFootnoteAlaemChar"/>
          <w:rtl/>
        </w:rPr>
        <w:t>صلى‌الله‌عليه‌وآله</w:t>
      </w:r>
      <w:r w:rsidR="008A74EB" w:rsidRPr="00C9040A">
        <w:rPr>
          <w:rtl/>
        </w:rPr>
        <w:t xml:space="preserve"> ، وفيه مع زيادة في أوّله وآخره ، وفيهما مع اختلاف يسير </w:t>
      </w:r>
      <w:r w:rsidR="00663B63">
        <w:rPr>
          <w:rFonts w:hint="cs"/>
          <w:rtl/>
        </w:rPr>
        <w:t>.</w:t>
      </w:r>
      <w:r w:rsidR="008A74EB" w:rsidRPr="00993B55">
        <w:rPr>
          <w:rStyle w:val="libFootnoteBoldChar"/>
          <w:rtl/>
        </w:rPr>
        <w:t>الوافي</w:t>
      </w:r>
      <w:r w:rsidR="008A74EB" w:rsidRPr="00C9040A">
        <w:rPr>
          <w:rtl/>
        </w:rPr>
        <w:t xml:space="preserve"> ، ج 5 ، ص 535 ، ح 2518 ؛ </w:t>
      </w:r>
      <w:r w:rsidR="008A74EB" w:rsidRPr="00993B55">
        <w:rPr>
          <w:rStyle w:val="libFootnoteBoldChar"/>
          <w:rtl/>
        </w:rPr>
        <w:t>الوسائل</w:t>
      </w:r>
      <w:r w:rsidR="008A74EB" w:rsidRPr="00C9040A">
        <w:rPr>
          <w:rtl/>
        </w:rPr>
        <w:t xml:space="preserve"> ، ج 16 ، ص 336 ، ح 21701 ؛ </w:t>
      </w:r>
      <w:r w:rsidR="008A74EB" w:rsidRPr="00993B55">
        <w:rPr>
          <w:rStyle w:val="libFootnoteBoldChar"/>
          <w:rtl/>
        </w:rPr>
        <w:t>البحار</w:t>
      </w:r>
      <w:r w:rsidR="008A74EB" w:rsidRPr="00C9040A">
        <w:rPr>
          <w:rtl/>
        </w:rPr>
        <w:t xml:space="preserve"> ، ج 74 ، ص 337 ، ح 116.</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 قَالَ رَسُولُ اللهِ </w:t>
      </w:r>
      <w:r w:rsidR="004A4E41" w:rsidRPr="004A4E41">
        <w:rPr>
          <w:rStyle w:val="libAlaemChar"/>
          <w:rtl/>
        </w:rPr>
        <w:t>صلى‌الله‌عليه‌وآله</w:t>
      </w:r>
      <w:r w:rsidRPr="00C9040A">
        <w:rPr>
          <w:rtl/>
          <w:lang w:bidi="fa-IR"/>
        </w:rPr>
        <w:t xml:space="preserve"> : أَنْسَكُ </w:t>
      </w:r>
      <w:r w:rsidR="006C577F" w:rsidRPr="006C577F">
        <w:rPr>
          <w:rStyle w:val="libFootnotenumChar"/>
          <w:rtl/>
        </w:rPr>
        <w:t>(1)</w:t>
      </w:r>
      <w:r w:rsidRPr="00C9040A">
        <w:rPr>
          <w:rtl/>
          <w:lang w:bidi="fa-IR"/>
        </w:rPr>
        <w:t xml:space="preserve"> النَّاسِ نُسُكاً أَنْصَحُهُمْ جَيْباً </w:t>
      </w:r>
      <w:r w:rsidR="006C577F" w:rsidRPr="006C577F">
        <w:rPr>
          <w:rStyle w:val="libFootnotenumChar"/>
          <w:rtl/>
        </w:rPr>
        <w:t>(2)</w:t>
      </w:r>
      <w:r w:rsidRPr="00C9040A">
        <w:rPr>
          <w:rtl/>
          <w:lang w:bidi="fa-IR"/>
        </w:rPr>
        <w:t xml:space="preserve"> وَأَسْلَمُهُمْ قَلْباً لِجَمِيعِ </w:t>
      </w:r>
      <w:r w:rsidR="006C577F" w:rsidRPr="006C577F">
        <w:rPr>
          <w:rStyle w:val="libFootnotenumChar"/>
          <w:rtl/>
        </w:rPr>
        <w:t>(3)</w:t>
      </w:r>
      <w:r w:rsidRPr="00C9040A">
        <w:rPr>
          <w:rtl/>
          <w:lang w:bidi="fa-IR"/>
        </w:rPr>
        <w:t xml:space="preserve"> الْمُسْلِمِينَ </w:t>
      </w:r>
      <w:r w:rsidR="006C577F" w:rsidRPr="006C577F">
        <w:rPr>
          <w:rStyle w:val="libFootnotenumChar"/>
          <w:rtl/>
        </w:rPr>
        <w:t>(4)</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B37A53">
        <w:rPr>
          <w:rtl/>
        </w:rPr>
        <w:t>2030</w:t>
      </w:r>
      <w:r w:rsidRPr="00261CB0">
        <w:rPr>
          <w:rStyle w:val="libBold2Char"/>
          <w:rtl/>
        </w:rPr>
        <w:t xml:space="preserve"> / 3.</w:t>
      </w:r>
      <w:r w:rsidRPr="00C9040A">
        <w:rPr>
          <w:rtl/>
          <w:lang w:bidi="fa-IR"/>
        </w:rPr>
        <w:t xml:space="preserve"> عَلِيُّ بْنُ إِبْرَاهِيمَ ، عَنْ عَلِيِّ بْنِ مُحَمَّدٍ الْقَاسَانِيِّ </w:t>
      </w:r>
      <w:r w:rsidR="006C577F" w:rsidRPr="006C577F">
        <w:rPr>
          <w:rStyle w:val="libFootnotenumChar"/>
          <w:rtl/>
        </w:rPr>
        <w:t>(6)</w:t>
      </w:r>
      <w:r w:rsidRPr="005B567D">
        <w:rPr>
          <w:rStyle w:val="libFootnotenumChar"/>
          <w:rtl/>
        </w:rPr>
        <w:t xml:space="preserve"> </w:t>
      </w:r>
      <w:r w:rsidRPr="00C9040A">
        <w:rPr>
          <w:rtl/>
          <w:lang w:bidi="fa-IR"/>
        </w:rPr>
        <w:t xml:space="preserve">، عَنِ الْقَاسِمِ بْنِ مُحَمَّدٍ ، عَنْ سُلَيْمَانَ بْنِ دَاوُدَ الْمِنْقَرِيِّ ، عَنْ سُفْيَانَ بْنِ </w:t>
      </w:r>
      <w:r w:rsidR="006C577F" w:rsidRPr="006C577F">
        <w:rPr>
          <w:rStyle w:val="libFootnotenumChar"/>
          <w:rtl/>
        </w:rPr>
        <w:t>(7)</w:t>
      </w:r>
      <w:r w:rsidRPr="00C9040A">
        <w:rPr>
          <w:rtl/>
          <w:lang w:bidi="fa-IR"/>
        </w:rPr>
        <w:t xml:space="preserve"> عُيَيْنَةَ ، قَالَ :</w:t>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 « عَلَيْكَ بِالنُّصْحِ لِلّهِ فِي خَلْقِهِ ؛ فَلَنْ تَل</w:t>
      </w:r>
      <w:r w:rsidR="00663B63">
        <w:rPr>
          <w:rtl/>
          <w:lang w:bidi="fa-IR"/>
        </w:rPr>
        <w:t>ْقَاهُ بِعَمَلٍ أَفْضَلَ مِنْهُ</w:t>
      </w:r>
      <w:r w:rsidRPr="00C9040A">
        <w:rPr>
          <w:rtl/>
          <w:lang w:bidi="fa-IR"/>
        </w:rPr>
        <w:t>»</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Normal"/>
        <w:rPr>
          <w:rtl/>
          <w:lang w:bidi="fa-IR"/>
        </w:rPr>
      </w:pPr>
      <w:r w:rsidRPr="00B37A53">
        <w:rPr>
          <w:rtl/>
        </w:rPr>
        <w:t>2031</w:t>
      </w:r>
      <w:r w:rsidRPr="00261CB0">
        <w:rPr>
          <w:rStyle w:val="libBold2Char"/>
          <w:rtl/>
        </w:rPr>
        <w:t xml:space="preserve"> / 4.</w:t>
      </w:r>
      <w:r w:rsidRPr="00C9040A">
        <w:rPr>
          <w:rtl/>
          <w:lang w:bidi="fa-IR"/>
        </w:rPr>
        <w:t xml:space="preserve"> مُحَمَّدُ بْنُ يَحْيى ، عَنْ أَحْمَدَ بْنِ مُحَمَّدِ بْنِ عِيسى ، عَنِ ابْنِ مَحْبُوبٍ ، عَنْ مُحَمَّدِ بْنِ الْقَاسِمِ الْهَاشِمِيِّ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مَنْ لَمْ يَهْتَمَّ بِأُمُورِ الْمُسْلِمِينَ فَلَيْسَ بِمُسْلِمٍ »</w:t>
      </w:r>
      <w:r>
        <w:rPr>
          <w:rtl/>
          <w:lang w:bidi="fa-IR"/>
        </w:rPr>
        <w:t>.</w:t>
      </w:r>
      <w:r w:rsidRPr="00C9040A">
        <w:rPr>
          <w:rtl/>
          <w:lang w:bidi="fa-IR"/>
        </w:rPr>
        <w:t xml:space="preserve"> </w:t>
      </w:r>
      <w:r w:rsidR="006C577F" w:rsidRPr="006C577F">
        <w:rPr>
          <w:rStyle w:val="libFootnotenumChar"/>
          <w:rtl/>
        </w:rPr>
        <w:t>(9)</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 النُّسْك » </w:t>
      </w:r>
      <w:r w:rsidR="008A74EB">
        <w:rPr>
          <w:rtl/>
        </w:rPr>
        <w:t>و «</w:t>
      </w:r>
      <w:r w:rsidR="008A74EB" w:rsidRPr="00C9040A">
        <w:rPr>
          <w:rtl/>
        </w:rPr>
        <w:t xml:space="preserve"> النُسُك » : الطاعة والعبادة ، وكلّ ما تُقُرِّبَ به إلى الله تعالى. والناسك : العابد. وسئل ثعلب عن</w:t>
      </w:r>
      <w:r w:rsidR="00663B63">
        <w:rPr>
          <w:rFonts w:hint="cs"/>
          <w:rtl/>
        </w:rPr>
        <w:t xml:space="preserve"> </w:t>
      </w:r>
      <w:r w:rsidR="008A74EB" w:rsidRPr="00C9040A">
        <w:rPr>
          <w:rtl/>
        </w:rPr>
        <w:t>‌الناسك ما هو</w:t>
      </w:r>
      <w:r w:rsidR="008A74EB">
        <w:rPr>
          <w:rtl/>
        </w:rPr>
        <w:t>؟</w:t>
      </w:r>
      <w:r w:rsidR="008A74EB" w:rsidRPr="00C9040A">
        <w:rPr>
          <w:rtl/>
        </w:rPr>
        <w:t xml:space="preserve"> فقال : هو مأخوذ من النَّسيكة ، وهي سَبيكة الفِضّة المصفّاة ، كأنّه صفّى نفسه لله‌</w:t>
      </w:r>
      <w:r w:rsidR="00663B63">
        <w:rPr>
          <w:rFonts w:hint="cs"/>
          <w:rtl/>
        </w:rPr>
        <w:t xml:space="preserve"> </w:t>
      </w:r>
      <w:r w:rsidR="008A74EB" w:rsidRPr="00C9040A">
        <w:rPr>
          <w:rtl/>
        </w:rPr>
        <w:t xml:space="preserve">تعالى. </w:t>
      </w:r>
      <w:r w:rsidR="008A74EB" w:rsidRPr="00993B55">
        <w:rPr>
          <w:rStyle w:val="libFootnoteBoldChar"/>
          <w:rtl/>
        </w:rPr>
        <w:t>النهاية</w:t>
      </w:r>
      <w:r w:rsidR="008A74EB" w:rsidRPr="00C9040A">
        <w:rPr>
          <w:rtl/>
        </w:rPr>
        <w:t>، ج 5 ، ص 48 ( نسك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 الجيب » أي القلب والصدر ؛ ورجل ناصح الجيب ، أي ناصح الصدر والقلب ، أمين لا غشّ فيه. راجع : </w:t>
      </w:r>
      <w:r w:rsidR="008A74EB" w:rsidRPr="00993B55">
        <w:rPr>
          <w:rStyle w:val="libFootnoteBoldChar"/>
          <w:rtl/>
        </w:rPr>
        <w:t>القاموس المحيط</w:t>
      </w:r>
      <w:r w:rsidR="008A74EB" w:rsidRPr="00C9040A">
        <w:rPr>
          <w:rtl/>
        </w:rPr>
        <w:t xml:space="preserve"> ، ج 1 ، ص 144 ( جيب )</w:t>
      </w:r>
      <w:r w:rsidR="008A74EB">
        <w:rPr>
          <w:rtl/>
        </w:rPr>
        <w:t>.</w:t>
      </w:r>
      <w:r w:rsidR="008A74EB" w:rsidRPr="00C9040A">
        <w:rPr>
          <w:rtl/>
        </w:rPr>
        <w:t xml:space="preserve"> وفي الوافي : « في بعض النسخ : أنصحهم حبّاً ، ولعلّ الأوّل</w:t>
      </w:r>
      <w:r w:rsidR="008A74EB">
        <w:rPr>
          <w:rtl/>
        </w:rPr>
        <w:t xml:space="preserve"> </w:t>
      </w:r>
      <w:r w:rsidR="0084262C">
        <w:rPr>
          <w:rtl/>
        </w:rPr>
        <w:t>-</w:t>
      </w:r>
      <w:r w:rsidR="008A74EB">
        <w:rPr>
          <w:rtl/>
        </w:rPr>
        <w:t xml:space="preserve"> </w:t>
      </w:r>
      <w:r w:rsidR="008A74EB" w:rsidRPr="00C9040A">
        <w:rPr>
          <w:rtl/>
        </w:rPr>
        <w:t>أي ما في المتن</w:t>
      </w:r>
      <w:r w:rsidR="008A74EB">
        <w:rPr>
          <w:rtl/>
        </w:rPr>
        <w:t xml:space="preserve"> </w:t>
      </w:r>
      <w:r w:rsidR="0084262C">
        <w:rPr>
          <w:rtl/>
        </w:rPr>
        <w:t>-</w:t>
      </w:r>
      <w:r w:rsidR="008A74EB">
        <w:rPr>
          <w:rtl/>
        </w:rPr>
        <w:t xml:space="preserve"> </w:t>
      </w:r>
      <w:r w:rsidR="008A74EB" w:rsidRPr="00C9040A">
        <w:rPr>
          <w:rtl/>
        </w:rPr>
        <w:t xml:space="preserve">هو الصواب. وأصل النصح الخلوص ، يقال : نصحته ونصحت له. ومعنى نصيحة الله صحّة الاعتقاد في وحدانيّته وإخلاص النيّة في عبادته ، والنصيحة لكتاب الله هو التصديق له والعمل بما فيه ، ونصيحة رسول الله </w:t>
      </w:r>
      <w:r w:rsidR="004A4E41" w:rsidRPr="00663B63">
        <w:rPr>
          <w:rStyle w:val="libFootnoteAlaemChar"/>
          <w:rtl/>
        </w:rPr>
        <w:t>صلى‌الله‌عليه‌وآله</w:t>
      </w:r>
      <w:r w:rsidR="008A74EB" w:rsidRPr="00C9040A">
        <w:rPr>
          <w:rtl/>
        </w:rPr>
        <w:t xml:space="preserve"> التصديق بنبوّته ورسالته والانقياد بما أمر به ونهى عنه ، ونصيحة أئمّة الحقّ صلوات الله عليهم التصديق بإمامتهم ووصايتهم وخلافتهم من عند الله وإطاعتهم فيما أمروا به ونهوا عنه ، ونصيحة عامّة المسلمين إرشادهم إلى مصالحهم »</w:t>
      </w:r>
      <w:r w:rsidR="008A74EB">
        <w:rPr>
          <w:rtl/>
        </w:rPr>
        <w:t>.</w:t>
      </w:r>
      <w:r w:rsidR="008A74EB" w:rsidRPr="00C9040A">
        <w:rPr>
          <w:rtl/>
        </w:rPr>
        <w:t xml:space="preserve"> وفي الجعفريّات : « أفصحهم حساً »</w:t>
      </w:r>
      <w:r w:rsidR="008A74EB">
        <w:rPr>
          <w:rtl/>
        </w:rPr>
        <w:t>.</w:t>
      </w:r>
    </w:p>
    <w:tbl>
      <w:tblPr>
        <w:tblStyle w:val="TableGrid"/>
        <w:bidiVisual/>
        <w:tblW w:w="0" w:type="auto"/>
        <w:tblLook w:val="04A0" w:firstRow="1" w:lastRow="0" w:firstColumn="1" w:lastColumn="0" w:noHBand="0" w:noVBand="1"/>
      </w:tblPr>
      <w:tblGrid>
        <w:gridCol w:w="4006"/>
        <w:gridCol w:w="4006"/>
      </w:tblGrid>
      <w:tr w:rsidR="00663B63" w:rsidTr="00663B63">
        <w:tc>
          <w:tcPr>
            <w:tcW w:w="4006" w:type="dxa"/>
          </w:tcPr>
          <w:p w:rsidR="00663B63" w:rsidRDefault="00663B63" w:rsidP="004A4E41">
            <w:pPr>
              <w:pStyle w:val="libFootnote0"/>
              <w:rPr>
                <w:rtl/>
              </w:rPr>
            </w:pPr>
            <w:r>
              <w:rPr>
                <w:rtl/>
              </w:rPr>
              <w:t>(3).</w:t>
            </w:r>
            <w:r w:rsidRPr="00C9040A">
              <w:rPr>
                <w:rtl/>
              </w:rPr>
              <w:t xml:space="preserve"> في « بر ، بف » : « بجميع »</w:t>
            </w:r>
            <w:r>
              <w:rPr>
                <w:rtl/>
              </w:rPr>
              <w:t>.</w:t>
            </w:r>
          </w:p>
        </w:tc>
        <w:tc>
          <w:tcPr>
            <w:tcW w:w="4006" w:type="dxa"/>
          </w:tcPr>
          <w:p w:rsidR="00663B63" w:rsidRDefault="00663B63" w:rsidP="004A4E41">
            <w:pPr>
              <w:pStyle w:val="libFootnote0"/>
              <w:rPr>
                <w:rtl/>
              </w:rPr>
            </w:pPr>
            <w:r>
              <w:rPr>
                <w:rtl/>
              </w:rPr>
              <w:t>(4).</w:t>
            </w:r>
            <w:r w:rsidRPr="00C9040A">
              <w:rPr>
                <w:rtl/>
              </w:rPr>
              <w:t xml:space="preserve"> سقط هذا الحديث بتمامه من نسخة « ز »</w:t>
            </w:r>
            <w:r>
              <w:rPr>
                <w:rtl/>
              </w:rPr>
              <w:t>.</w:t>
            </w:r>
          </w:p>
        </w:tc>
      </w:tr>
    </w:tbl>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الجعفريّات</w:t>
      </w:r>
      <w:r w:rsidR="008A74EB" w:rsidRPr="00C9040A">
        <w:rPr>
          <w:rtl/>
        </w:rPr>
        <w:t xml:space="preserve"> ، ص 163 ، بسند آخر عن جعفر بن محمّد ، عن آبائه </w:t>
      </w:r>
      <w:r w:rsidR="00117575" w:rsidRPr="00117575">
        <w:rPr>
          <w:rStyle w:val="libFootnoteAlaemChar"/>
          <w:rtl/>
        </w:rPr>
        <w:t>عليهم‌السلام</w:t>
      </w:r>
      <w:r w:rsidR="008A74EB" w:rsidRPr="00C9040A">
        <w:rPr>
          <w:rtl/>
        </w:rPr>
        <w:t xml:space="preserve"> عن رسول الله </w:t>
      </w:r>
      <w:r w:rsidR="004A4E41" w:rsidRPr="00663B63">
        <w:rPr>
          <w:rStyle w:val="libFootnoteAlaemChar"/>
          <w:rtl/>
        </w:rPr>
        <w:t>صلى‌الله‌عليه‌وآله</w:t>
      </w:r>
      <w:r w:rsidR="008A74EB" w:rsidRPr="00C9040A">
        <w:rPr>
          <w:rtl/>
        </w:rPr>
        <w:t xml:space="preserve"> </w:t>
      </w:r>
      <w:r w:rsidR="00663B63">
        <w:rPr>
          <w:rFonts w:hint="cs"/>
          <w:rtl/>
        </w:rPr>
        <w:t>.</w:t>
      </w:r>
      <w:r w:rsidR="008A74EB" w:rsidRPr="00993B55">
        <w:rPr>
          <w:rStyle w:val="libFootnoteBoldChar"/>
          <w:rtl/>
        </w:rPr>
        <w:t>الوافي</w:t>
      </w:r>
      <w:r w:rsidR="008A74EB" w:rsidRPr="00C9040A">
        <w:rPr>
          <w:rtl/>
        </w:rPr>
        <w:t xml:space="preserve"> ، ج 5 ، ص 535 ، ح 2521 ؛ </w:t>
      </w:r>
      <w:r w:rsidR="008A74EB" w:rsidRPr="00993B55">
        <w:rPr>
          <w:rStyle w:val="libFootnoteBoldChar"/>
          <w:rtl/>
        </w:rPr>
        <w:t>الوسائل</w:t>
      </w:r>
      <w:r w:rsidR="008A74EB" w:rsidRPr="00C9040A">
        <w:rPr>
          <w:rtl/>
        </w:rPr>
        <w:t xml:space="preserve"> ، ج 16 ، ص 340 ، ح 21709 ، ؛ </w:t>
      </w:r>
      <w:r w:rsidR="008A74EB" w:rsidRPr="00993B55">
        <w:rPr>
          <w:rStyle w:val="libFootnoteBoldChar"/>
          <w:rtl/>
        </w:rPr>
        <w:t>البحار</w:t>
      </w:r>
      <w:r w:rsidR="008A74EB" w:rsidRPr="00C9040A">
        <w:rPr>
          <w:rtl/>
        </w:rPr>
        <w:t xml:space="preserve"> ، ج 74 ، ص 338 ، ح 117.</w:t>
      </w:r>
    </w:p>
    <w:tbl>
      <w:tblPr>
        <w:tblStyle w:val="TableGrid"/>
        <w:bidiVisual/>
        <w:tblW w:w="0" w:type="auto"/>
        <w:tblLook w:val="04A0" w:firstRow="1" w:lastRow="0" w:firstColumn="1" w:lastColumn="0" w:noHBand="0" w:noVBand="1"/>
      </w:tblPr>
      <w:tblGrid>
        <w:gridCol w:w="4006"/>
        <w:gridCol w:w="4006"/>
      </w:tblGrid>
      <w:tr w:rsidR="00663B63" w:rsidTr="00663B63">
        <w:tc>
          <w:tcPr>
            <w:tcW w:w="4006" w:type="dxa"/>
          </w:tcPr>
          <w:p w:rsidR="00663B63" w:rsidRDefault="00663B63" w:rsidP="004A4E41">
            <w:pPr>
              <w:pStyle w:val="libFootnote0"/>
              <w:rPr>
                <w:rtl/>
              </w:rPr>
            </w:pPr>
            <w:r>
              <w:rPr>
                <w:rtl/>
              </w:rPr>
              <w:t xml:space="preserve">(6). </w:t>
            </w:r>
            <w:r w:rsidRPr="00C9040A">
              <w:rPr>
                <w:rtl/>
              </w:rPr>
              <w:t>في « بس » : « القاشاني »</w:t>
            </w:r>
            <w:r>
              <w:rPr>
                <w:rtl/>
              </w:rPr>
              <w:t>.</w:t>
            </w:r>
          </w:p>
        </w:tc>
        <w:tc>
          <w:tcPr>
            <w:tcW w:w="4006" w:type="dxa"/>
          </w:tcPr>
          <w:p w:rsidR="00663B63" w:rsidRDefault="00663B63" w:rsidP="004A4E41">
            <w:pPr>
              <w:pStyle w:val="libFootnote0"/>
              <w:rPr>
                <w:rtl/>
              </w:rPr>
            </w:pPr>
            <w:r>
              <w:rPr>
                <w:rtl/>
              </w:rPr>
              <w:t>(7).</w:t>
            </w:r>
            <w:r w:rsidRPr="00C9040A">
              <w:rPr>
                <w:rtl/>
              </w:rPr>
              <w:t xml:space="preserve"> لفظة « بن » ساقطة من المطبوع.</w:t>
            </w:r>
          </w:p>
        </w:tc>
      </w:tr>
    </w:tbl>
    <w:p w:rsidR="008A74EB" w:rsidRPr="00C9040A" w:rsidRDefault="006C577F" w:rsidP="004A4E41">
      <w:pPr>
        <w:pStyle w:val="libFootnote0"/>
        <w:rPr>
          <w:rtl/>
          <w:lang w:bidi="fa-IR"/>
        </w:rPr>
      </w:pPr>
      <w:r>
        <w:rPr>
          <w:rtl/>
        </w:rPr>
        <w:t>(8).</w:t>
      </w:r>
      <w:r w:rsidR="008A74EB" w:rsidRPr="00C9040A">
        <w:rPr>
          <w:rtl/>
        </w:rPr>
        <w:t xml:space="preserve"> </w:t>
      </w:r>
      <w:r w:rsidR="008A74EB" w:rsidRPr="00993B55">
        <w:rPr>
          <w:rStyle w:val="libFootnoteBoldChar"/>
          <w:rtl/>
        </w:rPr>
        <w:t>الكافي</w:t>
      </w:r>
      <w:r w:rsidR="008A74EB" w:rsidRPr="00C9040A">
        <w:rPr>
          <w:rtl/>
        </w:rPr>
        <w:t xml:space="preserve"> ، كتاب الإيمان والكفر ، باب نصيحة المؤمن ، ح 2214 ، عن عليّ بن إبراهيم ، عن أبيه ، عن القاسم بن محمّد ، عن المنقري </w:t>
      </w:r>
      <w:r w:rsidR="00663B63">
        <w:rPr>
          <w:rFonts w:hint="cs"/>
          <w:rtl/>
        </w:rPr>
        <w:t>.</w:t>
      </w:r>
      <w:r w:rsidR="008A74EB" w:rsidRPr="00993B55">
        <w:rPr>
          <w:rStyle w:val="libFootnoteBoldChar"/>
          <w:rtl/>
        </w:rPr>
        <w:t>الوافي</w:t>
      </w:r>
      <w:r w:rsidR="008A74EB" w:rsidRPr="00C9040A">
        <w:rPr>
          <w:rtl/>
        </w:rPr>
        <w:t xml:space="preserve"> ، ج 5 ، ص 536 ، ح 2522 ؛ </w:t>
      </w:r>
      <w:r w:rsidR="008A74EB" w:rsidRPr="00993B55">
        <w:rPr>
          <w:rStyle w:val="libFootnoteBoldChar"/>
          <w:rtl/>
        </w:rPr>
        <w:t>البحار</w:t>
      </w:r>
      <w:r w:rsidR="008A74EB" w:rsidRPr="00C9040A">
        <w:rPr>
          <w:rtl/>
        </w:rPr>
        <w:t xml:space="preserve"> ، ج 74 ، ص 338 ، ح 118.</w:t>
      </w:r>
    </w:p>
    <w:p w:rsidR="008A74EB" w:rsidRPr="00C9040A" w:rsidRDefault="006C577F" w:rsidP="004A4E41">
      <w:pPr>
        <w:pStyle w:val="libFootnote0"/>
        <w:rPr>
          <w:rtl/>
          <w:lang w:bidi="fa-IR"/>
        </w:rPr>
      </w:pPr>
      <w:r>
        <w:rPr>
          <w:rtl/>
        </w:rPr>
        <w:t>(9).</w:t>
      </w:r>
      <w:r w:rsidR="008A74EB" w:rsidRPr="00C9040A">
        <w:rPr>
          <w:rtl/>
        </w:rPr>
        <w:t xml:space="preserve"> </w:t>
      </w:r>
      <w:r w:rsidR="008A74EB" w:rsidRPr="00993B55">
        <w:rPr>
          <w:rStyle w:val="libFootnoteBoldChar"/>
          <w:rtl/>
        </w:rPr>
        <w:t>الوافي</w:t>
      </w:r>
      <w:r w:rsidR="008A74EB" w:rsidRPr="00C9040A">
        <w:rPr>
          <w:rtl/>
        </w:rPr>
        <w:t xml:space="preserve"> ، ج 5 ، ص 535 ، ح 2519 ؛ </w:t>
      </w:r>
      <w:r w:rsidR="008A74EB" w:rsidRPr="00993B55">
        <w:rPr>
          <w:rStyle w:val="libFootnoteBoldChar"/>
          <w:rtl/>
        </w:rPr>
        <w:t>الوسائل</w:t>
      </w:r>
      <w:r w:rsidR="008A74EB" w:rsidRPr="00C9040A">
        <w:rPr>
          <w:rtl/>
        </w:rPr>
        <w:t xml:space="preserve"> ، ج 16 ، ص 336 ، ح 21700 ؛ </w:t>
      </w:r>
      <w:r w:rsidR="008A74EB" w:rsidRPr="00993B55">
        <w:rPr>
          <w:rStyle w:val="libFootnoteBoldChar"/>
          <w:rtl/>
        </w:rPr>
        <w:t>البحار</w:t>
      </w:r>
      <w:r w:rsidR="008A74EB" w:rsidRPr="00C9040A">
        <w:rPr>
          <w:rtl/>
        </w:rPr>
        <w:t xml:space="preserve"> ، ج 74 ، ص 338 ، ح 119.</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AB39A9">
        <w:rPr>
          <w:rtl/>
        </w:rPr>
        <w:t>2032</w:t>
      </w:r>
      <w:r w:rsidRPr="00261CB0">
        <w:rPr>
          <w:rStyle w:val="libBold2Char"/>
          <w:rtl/>
        </w:rPr>
        <w:t xml:space="preserve"> / 5.</w:t>
      </w:r>
      <w:r w:rsidRPr="00C9040A">
        <w:rPr>
          <w:rtl/>
          <w:lang w:bidi="fa-IR"/>
        </w:rPr>
        <w:t xml:space="preserve"> عَنْهُ ، عَنْ سَلَمَةَ بْنِ الْخَطَّابِ ، عَنْ سُلَيْمَانَ بْنِ سَمَاعَةَ ، عَنْ عَمِّهِ عَاصِمٍ الْكُوزِيِّ </w:t>
      </w:r>
      <w:r w:rsidR="006C577F" w:rsidRPr="006C577F">
        <w:rPr>
          <w:rStyle w:val="libFootnotenumChar"/>
          <w:rtl/>
        </w:rPr>
        <w:t>(1)</w:t>
      </w:r>
      <w:r w:rsidRPr="00C9040A">
        <w:rPr>
          <w:rtl/>
          <w:lang w:bidi="fa-IR"/>
        </w:rPr>
        <w:t xml:space="preserve">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 أَنَّ النَّبِيَّ </w:t>
      </w:r>
      <w:r w:rsidR="004A4E41" w:rsidRPr="004A4E41">
        <w:rPr>
          <w:rStyle w:val="libAlaemChar"/>
          <w:rtl/>
        </w:rPr>
        <w:t>صلى‌الله‌عليه‌وآله</w:t>
      </w:r>
      <w:r w:rsidRPr="00C9040A">
        <w:rPr>
          <w:rtl/>
          <w:lang w:bidi="fa-IR"/>
        </w:rPr>
        <w:t xml:space="preserve"> قَالَ : مَنْ أَصْبَحَ لَايَهْتَمُّ بِأُمُورِ الْمُسْلِمِينَ فَلَيْسَ مِنْهُمْ </w:t>
      </w:r>
      <w:r w:rsidR="006C577F" w:rsidRPr="006C577F">
        <w:rPr>
          <w:rStyle w:val="libFootnotenumChar"/>
          <w:rtl/>
        </w:rPr>
        <w:t>(2)</w:t>
      </w:r>
      <w:r w:rsidRPr="00C9040A">
        <w:rPr>
          <w:rtl/>
          <w:lang w:bidi="fa-IR"/>
        </w:rPr>
        <w:t xml:space="preserve"> ، وَمَنْ سَمِعَ </w:t>
      </w:r>
      <w:r w:rsidR="006C577F" w:rsidRPr="006C577F">
        <w:rPr>
          <w:rStyle w:val="libFootnotenumChar"/>
          <w:rtl/>
        </w:rPr>
        <w:t>(3)</w:t>
      </w:r>
      <w:r w:rsidRPr="00C9040A">
        <w:rPr>
          <w:rtl/>
          <w:lang w:bidi="fa-IR"/>
        </w:rPr>
        <w:t xml:space="preserve"> رَجُلاً يُنَادِي : يَا لَلْمُسْلِمِينَ </w:t>
      </w:r>
      <w:r w:rsidR="006C577F" w:rsidRPr="006C577F">
        <w:rPr>
          <w:rStyle w:val="libFootnotenumChar"/>
          <w:rtl/>
        </w:rPr>
        <w:t>(4)</w:t>
      </w:r>
      <w:r w:rsidRPr="00C9040A">
        <w:rPr>
          <w:rtl/>
          <w:lang w:bidi="fa-IR"/>
        </w:rPr>
        <w:t xml:space="preserve"> ، فَلَمْ يُجِبْهُ ، فَلَيْسَ بِمُسْلِمٍ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AB39A9">
        <w:rPr>
          <w:rtl/>
        </w:rPr>
        <w:t>2033</w:t>
      </w:r>
      <w:r w:rsidRPr="00261CB0">
        <w:rPr>
          <w:rStyle w:val="libBold2Char"/>
          <w:rtl/>
        </w:rPr>
        <w:t xml:space="preserve"> / 6.</w:t>
      </w:r>
      <w:r w:rsidRPr="00C9040A">
        <w:rPr>
          <w:rtl/>
          <w:lang w:bidi="fa-IR"/>
        </w:rPr>
        <w:t xml:space="preserve"> عَلِيُّ بْنُ إِبْرَاهِيمَ ، عَنْ أَبِيهِ ، عَنِ النَّوْفَلِيِّ ، عَنِ السَّكُونِيِّ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الْخَلْقُ عِيَالُ اللهِ ، فَأَحَبُّ الْخَلْقِ إِلَى اللهِ مَنْ نَفَعَ عِيَالَ اللهِ ، وَأَدْخَلَ عَلى أَهْلِ بَيْتٍ </w:t>
      </w:r>
      <w:r w:rsidR="006C577F" w:rsidRPr="006C577F">
        <w:rPr>
          <w:rStyle w:val="libFootnotenumChar"/>
          <w:rtl/>
        </w:rPr>
        <w:t>(6)</w:t>
      </w:r>
      <w:r w:rsidRPr="005B567D">
        <w:rPr>
          <w:rStyle w:val="libFootnotenumChar"/>
          <w:rtl/>
        </w:rPr>
        <w:t xml:space="preserve"> </w:t>
      </w:r>
      <w:r w:rsidRPr="00C9040A">
        <w:rPr>
          <w:rtl/>
          <w:lang w:bidi="fa-IR"/>
        </w:rPr>
        <w:t>سُرُوراً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AB39A9">
        <w:rPr>
          <w:rtl/>
        </w:rPr>
        <w:t>2034</w:t>
      </w:r>
      <w:r w:rsidRPr="00261CB0">
        <w:rPr>
          <w:rStyle w:val="libBold2Char"/>
          <w:rtl/>
        </w:rPr>
        <w:t xml:space="preserve"> / 7.</w:t>
      </w:r>
      <w:r w:rsidRPr="00C9040A">
        <w:rPr>
          <w:rtl/>
          <w:lang w:bidi="fa-IR"/>
        </w:rPr>
        <w:t xml:space="preserve"> عِدَّةٌ مِنْ أَصْحَابِنَا ، عَنْ أَحْمَدَ بْنِ مُحَمَّدِ بْنِ خَالِدٍ ، عَنْ عَلِيِّ بْنِ الْحَكَمِ ، عَنْ سَيْفِ بْنِ عَمِيرَةَ ، قَالَ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ج ، ض » وحاشية « د ، ص ، بر » : « الكوفي »</w:t>
      </w:r>
      <w:r w:rsidR="008A74EB">
        <w:rPr>
          <w:rtl/>
        </w:rPr>
        <w:t>.</w:t>
      </w:r>
    </w:p>
    <w:p w:rsidR="008A74EB" w:rsidRPr="00C9040A" w:rsidRDefault="008A74EB" w:rsidP="004A4E41">
      <w:pPr>
        <w:pStyle w:val="libFootnote0"/>
        <w:rPr>
          <w:rtl/>
          <w:lang w:bidi="fa-IR"/>
        </w:rPr>
      </w:pPr>
      <w:r w:rsidRPr="00323A39">
        <w:rPr>
          <w:rtl/>
        </w:rPr>
        <w:t xml:space="preserve">والظاهر أنّ عاصماً هذا ، هو عاصم بن سليمان الكُوزي ، وهو من أهل البصرة. يروي كتابه ابن أخيه سليمان بن سماعة. راجع : </w:t>
      </w:r>
      <w:r w:rsidRPr="00993B55">
        <w:rPr>
          <w:rStyle w:val="libFootnoteBoldChar"/>
          <w:rtl/>
        </w:rPr>
        <w:t>رجال النجاشي</w:t>
      </w:r>
      <w:r w:rsidRPr="00323A39">
        <w:rPr>
          <w:rtl/>
        </w:rPr>
        <w:t xml:space="preserve"> ، ص 184 ، الرقم 487 ؛ وص 301 ، الرقم 820 ؛ </w:t>
      </w:r>
      <w:r w:rsidRPr="00993B55">
        <w:rPr>
          <w:rStyle w:val="libFootnoteBoldChar"/>
          <w:rtl/>
        </w:rPr>
        <w:t>رجال الطوسي</w:t>
      </w:r>
      <w:r w:rsidRPr="00323A39">
        <w:rPr>
          <w:rtl/>
        </w:rPr>
        <w:t xml:space="preserve"> ، ص 262 ، الرقم 3742 ؛ </w:t>
      </w:r>
      <w:r w:rsidRPr="00993B55">
        <w:rPr>
          <w:rStyle w:val="libFootnoteBoldChar"/>
          <w:rtl/>
        </w:rPr>
        <w:t>الأنسا</w:t>
      </w:r>
      <w:r w:rsidRPr="00663B63">
        <w:rPr>
          <w:rStyle w:val="libFootnoteBoldChar"/>
          <w:rtl/>
        </w:rPr>
        <w:t>ب للسمعاني</w:t>
      </w:r>
      <w:r w:rsidRPr="00323A39">
        <w:rPr>
          <w:rtl/>
        </w:rPr>
        <w:t xml:space="preserve"> ، ج 5 ، ص 107.</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ز » : « بمسلم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البحار : « من يسمع »</w:t>
      </w:r>
      <w:r w:rsidR="008A74EB">
        <w:rPr>
          <w:rtl/>
        </w:rPr>
        <w:t>.</w:t>
      </w:r>
      <w:r w:rsidR="008A74EB" w:rsidRPr="00C9040A">
        <w:rPr>
          <w:rtl/>
        </w:rPr>
        <w:t xml:space="preserve"> وفي الجعفريّات : « من شهد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د ، ص ، بر ، بس ، بف » : « بالمسلمين » بدل « يا للمسلمين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الجعفريّات</w:t>
      </w:r>
      <w:r w:rsidR="008A74EB" w:rsidRPr="00C9040A">
        <w:rPr>
          <w:rtl/>
        </w:rPr>
        <w:t xml:space="preserve"> ، ص 88 ؛ </w:t>
      </w:r>
      <w:r w:rsidR="008A74EB" w:rsidRPr="00993B55">
        <w:rPr>
          <w:rStyle w:val="libFootnoteBoldChar"/>
          <w:rtl/>
        </w:rPr>
        <w:t>التهذيب</w:t>
      </w:r>
      <w:r w:rsidR="008A74EB" w:rsidRPr="00C9040A">
        <w:rPr>
          <w:rtl/>
        </w:rPr>
        <w:t xml:space="preserve"> ، ج 6 ، ص 175 ، ح 351 من قوله : « من سمع رجلاً » ، وفيهما بسند آخر عن أبي عبد الله ، عن آبائه </w:t>
      </w:r>
      <w:r w:rsidR="00117575" w:rsidRPr="00117575">
        <w:rPr>
          <w:rStyle w:val="libFootnoteAlaemChar"/>
          <w:rtl/>
        </w:rPr>
        <w:t>عليهم‌السلام</w:t>
      </w:r>
      <w:r w:rsidR="008A74EB" w:rsidRPr="00C9040A">
        <w:rPr>
          <w:rtl/>
        </w:rPr>
        <w:t xml:space="preserve"> عن النبيّ </w:t>
      </w:r>
      <w:r w:rsidR="004A4E41" w:rsidRPr="00663B63">
        <w:rPr>
          <w:rStyle w:val="libFootnoteAlaemChar"/>
          <w:rtl/>
        </w:rPr>
        <w:t>صلى‌الله‌عليه‌وآله</w:t>
      </w:r>
      <w:r w:rsidR="008A74EB" w:rsidRPr="00C9040A">
        <w:rPr>
          <w:rtl/>
        </w:rPr>
        <w:t xml:space="preserve">. </w:t>
      </w:r>
      <w:r w:rsidR="008A74EB" w:rsidRPr="00993B55">
        <w:rPr>
          <w:rStyle w:val="libFootnoteBoldChar"/>
          <w:rtl/>
        </w:rPr>
        <w:t>فقه الرضا</w:t>
      </w:r>
      <w:r w:rsidR="008A74EB" w:rsidRPr="00C9040A">
        <w:rPr>
          <w:rtl/>
        </w:rPr>
        <w:t xml:space="preserve"> </w:t>
      </w:r>
      <w:r w:rsidR="00117575" w:rsidRPr="00117575">
        <w:rPr>
          <w:rStyle w:val="libFootnoteAlaemChar"/>
          <w:rtl/>
        </w:rPr>
        <w:t xml:space="preserve">عليه‌السلام </w:t>
      </w:r>
      <w:r w:rsidR="008A74EB" w:rsidRPr="00C9040A">
        <w:rPr>
          <w:rtl/>
        </w:rPr>
        <w:t xml:space="preserve">، ص 369 ، إلى قوله : « فليس منهم » مع اختلاف يسير </w:t>
      </w:r>
      <w:r w:rsidR="00663B63">
        <w:rPr>
          <w:rFonts w:hint="cs"/>
          <w:rtl/>
        </w:rPr>
        <w:t>.</w:t>
      </w:r>
      <w:r w:rsidR="008A74EB" w:rsidRPr="00993B55">
        <w:rPr>
          <w:rStyle w:val="libFootnoteBoldChar"/>
          <w:rtl/>
        </w:rPr>
        <w:t>الوافي</w:t>
      </w:r>
      <w:r w:rsidR="008A74EB" w:rsidRPr="00C9040A">
        <w:rPr>
          <w:rtl/>
        </w:rPr>
        <w:t xml:space="preserve"> ، ج 5 ، ص 535 ، ح 2520 ؛ </w:t>
      </w:r>
      <w:r w:rsidR="008A74EB" w:rsidRPr="00993B55">
        <w:rPr>
          <w:rStyle w:val="libFootnoteBoldChar"/>
          <w:rtl/>
        </w:rPr>
        <w:t>الوسائل</w:t>
      </w:r>
      <w:r w:rsidR="008A74EB" w:rsidRPr="00C9040A">
        <w:rPr>
          <w:rtl/>
        </w:rPr>
        <w:t xml:space="preserve"> ، ج 16 ، ص 337 ، ح 21702 ؛ </w:t>
      </w:r>
      <w:r w:rsidR="008A74EB" w:rsidRPr="00993B55">
        <w:rPr>
          <w:rStyle w:val="libFootnoteBoldChar"/>
          <w:rtl/>
        </w:rPr>
        <w:t>البحار</w:t>
      </w:r>
      <w:r w:rsidR="008A74EB" w:rsidRPr="00C9040A">
        <w:rPr>
          <w:rtl/>
        </w:rPr>
        <w:t xml:space="preserve"> ، ج 74 ، ص 339 ، ح 120.</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ز » : « بيته »</w:t>
      </w:r>
      <w:r w:rsidR="008A74EB">
        <w:rPr>
          <w:rtl/>
        </w:rPr>
        <w:t>.</w:t>
      </w:r>
    </w:p>
    <w:p w:rsidR="008A74EB" w:rsidRPr="00C9040A" w:rsidRDefault="006C577F" w:rsidP="00585173">
      <w:pPr>
        <w:pStyle w:val="libFootnote0"/>
        <w:rPr>
          <w:rtl/>
          <w:lang w:bidi="fa-IR"/>
        </w:rPr>
      </w:pPr>
      <w:r>
        <w:rPr>
          <w:rtl/>
        </w:rPr>
        <w:t>(7).</w:t>
      </w:r>
      <w:r w:rsidR="008A74EB" w:rsidRPr="00C9040A">
        <w:rPr>
          <w:rtl/>
        </w:rPr>
        <w:t xml:space="preserve"> </w:t>
      </w:r>
      <w:r w:rsidR="008A74EB" w:rsidRPr="00993B55">
        <w:rPr>
          <w:rStyle w:val="libFootnoteBoldChar"/>
          <w:rtl/>
        </w:rPr>
        <w:t>الجعفريّات</w:t>
      </w:r>
      <w:r w:rsidR="008A74EB" w:rsidRPr="00C9040A">
        <w:rPr>
          <w:rtl/>
        </w:rPr>
        <w:t xml:space="preserve"> ، ص 193 ، مع زيادة في آخره ؛ </w:t>
      </w:r>
      <w:r w:rsidR="008A74EB" w:rsidRPr="00993B55">
        <w:rPr>
          <w:rStyle w:val="libFootnoteBoldChar"/>
          <w:rtl/>
        </w:rPr>
        <w:t>قرب الإسناد</w:t>
      </w:r>
      <w:r w:rsidR="008A74EB" w:rsidRPr="00C9040A">
        <w:rPr>
          <w:rtl/>
        </w:rPr>
        <w:t xml:space="preserve"> ، ص 120 ، ح 421 ، وفيهما بسند آخر عن جعفر بن محمّد ، عن آبائه </w:t>
      </w:r>
      <w:r w:rsidR="00117575" w:rsidRPr="00117575">
        <w:rPr>
          <w:rStyle w:val="libFootnoteAlaemChar"/>
          <w:rtl/>
        </w:rPr>
        <w:t>عليهم‌السلام</w:t>
      </w:r>
      <w:r w:rsidR="008A74EB" w:rsidRPr="00C9040A">
        <w:rPr>
          <w:rtl/>
        </w:rPr>
        <w:t xml:space="preserve"> عن رسول الله </w:t>
      </w:r>
      <w:r w:rsidR="004A4E41" w:rsidRPr="00663B63">
        <w:rPr>
          <w:rStyle w:val="libFootnoteAlaemChar"/>
          <w:rtl/>
        </w:rPr>
        <w:t>صلى‌الله‌عليه‌وآله</w:t>
      </w:r>
      <w:r w:rsidR="008A74EB" w:rsidRPr="00C9040A">
        <w:rPr>
          <w:rtl/>
        </w:rPr>
        <w:t xml:space="preserve"> هكذا : « الخلق كلّهم عيال الله ، فأحبّهم إلى الله عزّ وجلّ أنفعهم لعياله »</w:t>
      </w:r>
      <w:r w:rsidR="008A74EB">
        <w:rPr>
          <w:rtl/>
        </w:rPr>
        <w:t>.</w:t>
      </w:r>
      <w:r w:rsidR="008A74EB" w:rsidRPr="00C9040A">
        <w:rPr>
          <w:rtl/>
        </w:rPr>
        <w:t xml:space="preserve"> </w:t>
      </w:r>
      <w:r w:rsidR="008A74EB" w:rsidRPr="00993B55">
        <w:rPr>
          <w:rStyle w:val="libFootnoteBoldChar"/>
          <w:rtl/>
        </w:rPr>
        <w:t>فقه الرضا</w:t>
      </w:r>
      <w:r w:rsidR="008A74EB" w:rsidRPr="00C9040A">
        <w:rPr>
          <w:rtl/>
        </w:rPr>
        <w:t xml:space="preserve"> </w:t>
      </w:r>
      <w:r w:rsidR="00117575" w:rsidRPr="00117575">
        <w:rPr>
          <w:rStyle w:val="libFootnoteAlaemChar"/>
          <w:rtl/>
        </w:rPr>
        <w:t>عليه‌السلام</w:t>
      </w:r>
      <w:r w:rsidR="008A74EB" w:rsidRPr="00C9040A">
        <w:rPr>
          <w:rtl/>
        </w:rPr>
        <w:t xml:space="preserve"> ، ص 369 ، وفيه : « الخلق عيال الله ، فأحبّ الخلق إلى الله من أدخل على</w:t>
      </w:r>
      <w:r w:rsidR="00585173">
        <w:rPr>
          <w:rFonts w:hint="cs"/>
          <w:rtl/>
        </w:rPr>
        <w:t xml:space="preserve"> </w:t>
      </w:r>
      <w:r w:rsidR="008A74EB" w:rsidRPr="00C9040A">
        <w:rPr>
          <w:rtl/>
        </w:rPr>
        <w:t xml:space="preserve">أهل بيت مؤمن سروراً ، ومشى مع أخيه في حاجته » </w:t>
      </w:r>
      <w:r w:rsidR="00585173">
        <w:rPr>
          <w:rFonts w:hint="cs"/>
          <w:rtl/>
        </w:rPr>
        <w:t>.</w:t>
      </w:r>
      <w:r w:rsidR="008A74EB" w:rsidRPr="00993B55">
        <w:rPr>
          <w:rStyle w:val="libFootnoteBoldChar"/>
          <w:rtl/>
        </w:rPr>
        <w:t>الوافي</w:t>
      </w:r>
      <w:r w:rsidR="008A74EB" w:rsidRPr="00C9040A">
        <w:rPr>
          <w:rtl/>
        </w:rPr>
        <w:t xml:space="preserve"> ، ج 5 ، ص 536 ، ح 2524 ؛ </w:t>
      </w:r>
      <w:r w:rsidR="008A74EB" w:rsidRPr="00993B55">
        <w:rPr>
          <w:rStyle w:val="libFootnoteBoldChar"/>
          <w:rtl/>
        </w:rPr>
        <w:t>الوسائل</w:t>
      </w:r>
      <w:r w:rsidR="008A74EB" w:rsidRPr="00C9040A">
        <w:rPr>
          <w:rtl/>
        </w:rPr>
        <w:t xml:space="preserve"> ، ج 16 ، ص 341 ، ح 21712 ؛ </w:t>
      </w:r>
      <w:r w:rsidR="008A74EB" w:rsidRPr="00993B55">
        <w:rPr>
          <w:rStyle w:val="libFootnoteBoldChar"/>
          <w:rtl/>
        </w:rPr>
        <w:t>البحار</w:t>
      </w:r>
      <w:r w:rsidR="008A74EB" w:rsidRPr="00C9040A">
        <w:rPr>
          <w:rtl/>
        </w:rPr>
        <w:t xml:space="preserve"> ، ج 74 ، ص 339 ، ح 121.</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حَدَّثَنِي مَنْ سَمِعَ أَبَا عَبْدِ اللهِ </w:t>
      </w:r>
      <w:r w:rsidRPr="0003660B">
        <w:rPr>
          <w:rStyle w:val="libAlaemChar"/>
          <w:rtl/>
        </w:rPr>
        <w:t>عليه‌السلام</w:t>
      </w:r>
      <w:r w:rsidRPr="00C9040A">
        <w:rPr>
          <w:rtl/>
          <w:lang w:bidi="fa-IR"/>
        </w:rPr>
        <w:t xml:space="preserve"> يَقُولُ : « سُئِلَ رَسُولُ اللهِ </w:t>
      </w:r>
      <w:r w:rsidR="004A4E41" w:rsidRPr="004A4E41">
        <w:rPr>
          <w:rStyle w:val="libAlaemChar"/>
          <w:rtl/>
        </w:rPr>
        <w:t>صلى‌الله‌عليه‌وآله</w:t>
      </w:r>
      <w:r w:rsidRPr="00C9040A">
        <w:rPr>
          <w:rtl/>
          <w:lang w:bidi="fa-IR"/>
        </w:rPr>
        <w:t xml:space="preserve"> : مَنْ </w:t>
      </w:r>
      <w:r w:rsidR="006C577F" w:rsidRPr="006C577F">
        <w:rPr>
          <w:rStyle w:val="libFootnotenumChar"/>
          <w:rtl/>
        </w:rPr>
        <w:t>(1)</w:t>
      </w:r>
      <w:r w:rsidRPr="00C9040A">
        <w:rPr>
          <w:rtl/>
          <w:lang w:bidi="fa-IR"/>
        </w:rPr>
        <w:t xml:space="preserve"> أَحَبُّ النَّاسِ إِلَى اللهِ</w:t>
      </w:r>
      <w:r>
        <w:rPr>
          <w:rtl/>
          <w:lang w:bidi="fa-IR"/>
        </w:rPr>
        <w:t>؟</w:t>
      </w:r>
      <w:r w:rsidRPr="00C9040A">
        <w:rPr>
          <w:rtl/>
          <w:lang w:bidi="fa-IR"/>
        </w:rPr>
        <w:t xml:space="preserve"> قَالَ : أَنْفَعُ النَّاسِ لِلنَّاسِ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20147E">
        <w:rPr>
          <w:rtl/>
        </w:rPr>
        <w:t>2035</w:t>
      </w:r>
      <w:r w:rsidRPr="00261CB0">
        <w:rPr>
          <w:rStyle w:val="libBold2Char"/>
          <w:rtl/>
        </w:rPr>
        <w:t xml:space="preserve"> / 8.</w:t>
      </w:r>
      <w:r w:rsidRPr="00C9040A">
        <w:rPr>
          <w:rtl/>
          <w:lang w:bidi="fa-IR"/>
        </w:rPr>
        <w:t xml:space="preserve"> عَنْهُ </w:t>
      </w:r>
      <w:r w:rsidR="006C577F" w:rsidRPr="006C577F">
        <w:rPr>
          <w:rStyle w:val="libFootnotenumChar"/>
          <w:rtl/>
        </w:rPr>
        <w:t>(3)</w:t>
      </w:r>
      <w:r w:rsidRPr="00C9040A">
        <w:rPr>
          <w:rtl/>
          <w:lang w:bidi="fa-IR"/>
        </w:rPr>
        <w:t xml:space="preserve"> ، عَنْ عَلِيِّ بْنِ الْحَكَمِ ، عَنْ مُثَنَّى بْنِ الْوَلِيدِ الْحَنَّاطِ ، عَنْ فِطْرِ </w:t>
      </w:r>
      <w:r w:rsidR="006C577F" w:rsidRPr="006C577F">
        <w:rPr>
          <w:rStyle w:val="libFootnotenumChar"/>
          <w:rtl/>
        </w:rPr>
        <w:t>(4)</w:t>
      </w:r>
      <w:r w:rsidRPr="00C9040A">
        <w:rPr>
          <w:rtl/>
          <w:lang w:bidi="fa-IR"/>
        </w:rPr>
        <w:t xml:space="preserve"> بْنِ خَلِيفَةَ ، عَنْ عُمَرَ بْنِ عَلِيِّ بْنِ الْحُسَيْنِ :</w:t>
      </w:r>
    </w:p>
    <w:p w:rsidR="008A74EB" w:rsidRPr="00C9040A" w:rsidRDefault="008A74EB" w:rsidP="008A74EB">
      <w:pPr>
        <w:pStyle w:val="libNormal"/>
        <w:rPr>
          <w:rtl/>
          <w:lang w:bidi="fa-IR"/>
        </w:rPr>
      </w:pPr>
      <w:r w:rsidRPr="00C9040A">
        <w:rPr>
          <w:rtl/>
          <w:lang w:bidi="fa-IR"/>
        </w:rPr>
        <w:t xml:space="preserve">عَنْ أَبِيهِ صَلَوَاتُ اللهِ عَلَيْهِما ، قَالَ : « قَالَ رَسُولُ اللهِ </w:t>
      </w:r>
      <w:r w:rsidR="004A4E41" w:rsidRPr="004A4E41">
        <w:rPr>
          <w:rStyle w:val="libAlaemChar"/>
          <w:rtl/>
        </w:rPr>
        <w:t>صلى‌الله‌عليه‌وآله</w:t>
      </w:r>
      <w:r w:rsidRPr="00C9040A">
        <w:rPr>
          <w:rtl/>
          <w:lang w:bidi="fa-IR"/>
        </w:rPr>
        <w:t xml:space="preserve"> : مَنْ رَدَّ عَنْ </w:t>
      </w:r>
      <w:r w:rsidR="006C577F" w:rsidRPr="006C577F">
        <w:rPr>
          <w:rStyle w:val="libFootnotenumChar"/>
          <w:rtl/>
        </w:rPr>
        <w:t>(5)</w:t>
      </w:r>
      <w:r w:rsidRPr="00C9040A">
        <w:rPr>
          <w:rtl/>
          <w:lang w:bidi="fa-IR"/>
        </w:rPr>
        <w:t xml:space="preserve"> قَوْمٍ مِنَ الْمُسْلِمِينَ عَادِيَةَ </w:t>
      </w:r>
      <w:r w:rsidR="006C577F" w:rsidRPr="006C577F">
        <w:rPr>
          <w:rStyle w:val="libFootnotenumChar"/>
          <w:rtl/>
        </w:rPr>
        <w:t>(6)</w:t>
      </w:r>
      <w:r w:rsidRPr="005B567D">
        <w:rPr>
          <w:rStyle w:val="libFootnotenumChar"/>
          <w:rtl/>
        </w:rPr>
        <w:t xml:space="preserve"> </w:t>
      </w:r>
      <w:r w:rsidRPr="00C9040A">
        <w:rPr>
          <w:rtl/>
          <w:lang w:bidi="fa-IR"/>
        </w:rPr>
        <w:t xml:space="preserve">مَاءٍ </w:t>
      </w:r>
      <w:r w:rsidR="006C577F" w:rsidRPr="006C577F">
        <w:rPr>
          <w:rStyle w:val="libFootnotenumChar"/>
          <w:rtl/>
        </w:rPr>
        <w:t>(7)</w:t>
      </w:r>
      <w:r w:rsidRPr="00C9040A">
        <w:rPr>
          <w:rtl/>
          <w:lang w:bidi="fa-IR"/>
        </w:rPr>
        <w:t xml:space="preserve"> أَوْ نَارٍ ، وَجَبَتْ لَهُ الْجَنَّةُ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Normal"/>
        <w:rPr>
          <w:rtl/>
          <w:lang w:bidi="fa-IR"/>
        </w:rPr>
      </w:pPr>
      <w:r w:rsidRPr="0020147E">
        <w:rPr>
          <w:rtl/>
        </w:rPr>
        <w:t>2036</w:t>
      </w:r>
      <w:r w:rsidRPr="00261CB0">
        <w:rPr>
          <w:rStyle w:val="libBold2Char"/>
          <w:rtl/>
        </w:rPr>
        <w:t xml:space="preserve"> / 9.</w:t>
      </w:r>
      <w:r w:rsidRPr="00C9040A">
        <w:rPr>
          <w:rtl/>
          <w:lang w:bidi="fa-IR"/>
        </w:rPr>
        <w:t xml:space="preserve"> عَنْهُ </w:t>
      </w:r>
      <w:r w:rsidR="006C577F" w:rsidRPr="006C577F">
        <w:rPr>
          <w:rStyle w:val="libFootnotenumChar"/>
          <w:rtl/>
        </w:rPr>
        <w:t>(9)</w:t>
      </w:r>
      <w:r w:rsidRPr="00C9040A">
        <w:rPr>
          <w:rtl/>
          <w:lang w:bidi="fa-IR"/>
        </w:rPr>
        <w:t xml:space="preserve"> ، عَنِ ابْنِ فَضَّالٍ ، عَنْ ثَعْلَبَةَ بْنِ مَيْمُونٍ ، عَنْ مُعَاوِيَةَ بْنِ عَمَّارٍ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فِي قَوْلِ اللهِ عَزَّ وَجَلَّ : </w:t>
      </w:r>
      <w:r w:rsidRPr="0003660B">
        <w:rPr>
          <w:rStyle w:val="libAlaemChar"/>
          <w:rtl/>
        </w:rPr>
        <w:t>(</w:t>
      </w:r>
      <w:r w:rsidRPr="006A2246">
        <w:rPr>
          <w:rStyle w:val="libAieChar"/>
          <w:rtl/>
        </w:rPr>
        <w:t xml:space="preserve"> وَقُولُوا لِلنّاسِ حُسْناً </w:t>
      </w:r>
      <w:r w:rsidRPr="0003660B">
        <w:rPr>
          <w:rStyle w:val="libAlaemChar"/>
          <w:rtl/>
        </w:rPr>
        <w:t>)</w:t>
      </w:r>
      <w:r w:rsidRPr="00C9040A">
        <w:rPr>
          <w:rtl/>
          <w:lang w:bidi="fa-IR"/>
        </w:rPr>
        <w:t xml:space="preserve"> </w:t>
      </w:r>
      <w:r w:rsidR="006C577F" w:rsidRPr="006C577F">
        <w:rPr>
          <w:rStyle w:val="libFootnotenumChar"/>
          <w:rtl/>
        </w:rPr>
        <w:t>(10)</w:t>
      </w:r>
      <w:r w:rsidRPr="00C9040A">
        <w:rPr>
          <w:rtl/>
          <w:lang w:bidi="fa-IR"/>
        </w:rPr>
        <w:t xml:space="preserve"> قَالَ : « قُولُوا لِلنَّاسِ حُسْناً </w:t>
      </w:r>
      <w:r w:rsidR="006C577F" w:rsidRPr="006C577F">
        <w:rPr>
          <w:rStyle w:val="libFootnotenumChar"/>
          <w:rtl/>
        </w:rPr>
        <w:t>(11)</w:t>
      </w:r>
      <w:r w:rsidR="00C23BD0">
        <w:rPr>
          <w:rtl/>
          <w:lang w:bidi="fa-IR"/>
        </w:rPr>
        <w:t xml:space="preserve"> ، وَلَا تَقُولُوا إِل</w:t>
      </w:r>
      <w:r w:rsidR="00C23BD0">
        <w:rPr>
          <w:rFonts w:hint="cs"/>
          <w:rtl/>
          <w:lang w:bidi="fa-IR"/>
        </w:rPr>
        <w:t>َّ</w:t>
      </w:r>
      <w:r w:rsidR="00C23BD0">
        <w:rPr>
          <w:rtl/>
          <w:lang w:bidi="fa-IR"/>
        </w:rPr>
        <w:t>ا</w:t>
      </w:r>
      <w:r w:rsidRPr="00C9040A">
        <w:rPr>
          <w:rtl/>
          <w:lang w:bidi="fa-IR"/>
        </w:rPr>
        <w:t xml:space="preserve"> خَيْراً حَتّى‌</w:t>
      </w:r>
      <w:r w:rsidR="00C23BD0">
        <w:rPr>
          <w:rFonts w:hint="cs"/>
          <w:rtl/>
          <w:lang w:bidi="fa-IR"/>
        </w:rPr>
        <w:t>............................</w:t>
      </w:r>
      <w:r w:rsidR="00C23BD0">
        <w:rPr>
          <w:rFonts w:hint="cs"/>
          <w:rtl/>
          <w:lang w:bidi="fa-IR"/>
        </w:rPr>
        <w:tab/>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ف » : « عمّن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الوافي</w:t>
      </w:r>
      <w:r w:rsidR="008A74EB" w:rsidRPr="00C9040A">
        <w:rPr>
          <w:rtl/>
        </w:rPr>
        <w:t xml:space="preserve"> ، ج 5 ، ص 537 ، ح 2525 ؛ </w:t>
      </w:r>
      <w:r w:rsidR="008A74EB" w:rsidRPr="00993B55">
        <w:rPr>
          <w:rStyle w:val="libFootnoteBoldChar"/>
          <w:rtl/>
        </w:rPr>
        <w:t>الوسائل</w:t>
      </w:r>
      <w:r w:rsidR="008A74EB" w:rsidRPr="00C9040A">
        <w:rPr>
          <w:rtl/>
        </w:rPr>
        <w:t xml:space="preserve"> ، ج 16 ، ص 341 ، ح 21713 ؛ </w:t>
      </w:r>
      <w:r w:rsidR="008A74EB" w:rsidRPr="00993B55">
        <w:rPr>
          <w:rStyle w:val="libFootnoteBoldChar"/>
          <w:rtl/>
        </w:rPr>
        <w:t>البحار</w:t>
      </w:r>
      <w:r w:rsidR="008A74EB" w:rsidRPr="00C9040A">
        <w:rPr>
          <w:rtl/>
        </w:rPr>
        <w:t xml:space="preserve"> ، ج 74 ، ص 339 ، ح 122.</w:t>
      </w:r>
    </w:p>
    <w:p w:rsidR="008A74EB" w:rsidRPr="00C9040A" w:rsidRDefault="006C577F" w:rsidP="004A4E41">
      <w:pPr>
        <w:pStyle w:val="libFootnote0"/>
        <w:rPr>
          <w:rtl/>
          <w:lang w:bidi="fa-IR"/>
        </w:rPr>
      </w:pPr>
      <w:r>
        <w:rPr>
          <w:rtl/>
        </w:rPr>
        <w:t>(3).</w:t>
      </w:r>
      <w:r w:rsidR="008A74EB" w:rsidRPr="00C9040A">
        <w:rPr>
          <w:rtl/>
        </w:rPr>
        <w:t xml:space="preserve"> الضمير راجع إلى أحمد بن محمّد بن خالد المذكور في السند السابق.</w:t>
      </w:r>
    </w:p>
    <w:p w:rsidR="008A74EB" w:rsidRPr="00C9040A" w:rsidRDefault="006C577F" w:rsidP="004A4E41">
      <w:pPr>
        <w:pStyle w:val="libFootnote0"/>
        <w:rPr>
          <w:rtl/>
          <w:lang w:bidi="fa-IR"/>
        </w:rPr>
      </w:pPr>
      <w:r>
        <w:rPr>
          <w:rtl/>
        </w:rPr>
        <w:t>(4).</w:t>
      </w:r>
      <w:r w:rsidR="008A74EB" w:rsidRPr="00C9040A">
        <w:rPr>
          <w:rtl/>
        </w:rPr>
        <w:t xml:space="preserve"> في « ب ، بس ، بف » : « قطر »</w:t>
      </w:r>
      <w:r w:rsidR="008A74EB">
        <w:rPr>
          <w:rtl/>
        </w:rPr>
        <w:t>.</w:t>
      </w:r>
      <w:r w:rsidR="008A74EB" w:rsidRPr="00C9040A">
        <w:rPr>
          <w:rtl/>
        </w:rPr>
        <w:t xml:space="preserve"> وهو سهو. وفطر هذا ، هو فطر بن خليفة أبو بكر المخزومي. راجع : </w:t>
      </w:r>
      <w:r w:rsidR="008A74EB" w:rsidRPr="00993B55">
        <w:rPr>
          <w:rStyle w:val="libFootnoteBoldChar"/>
          <w:rtl/>
        </w:rPr>
        <w:t>رجال الطوسي</w:t>
      </w:r>
      <w:r w:rsidR="008A74EB" w:rsidRPr="00C9040A">
        <w:rPr>
          <w:rtl/>
        </w:rPr>
        <w:t xml:space="preserve"> ، ص 270 ، الرقم 3891 ؛ </w:t>
      </w:r>
      <w:r w:rsidR="008A74EB" w:rsidRPr="00993B55">
        <w:rPr>
          <w:rStyle w:val="libFootnoteBoldChar"/>
          <w:rtl/>
        </w:rPr>
        <w:t>تهذيب الكمال</w:t>
      </w:r>
      <w:r w:rsidR="008A74EB" w:rsidRPr="00C9040A">
        <w:rPr>
          <w:rtl/>
        </w:rPr>
        <w:t xml:space="preserve"> ، ج 23 ، ص 312 ، الرقم 4773.</w:t>
      </w:r>
    </w:p>
    <w:p w:rsidR="008A74EB" w:rsidRPr="00C9040A" w:rsidRDefault="006C577F" w:rsidP="004A4E41">
      <w:pPr>
        <w:pStyle w:val="libFootnote0"/>
        <w:rPr>
          <w:rtl/>
          <w:lang w:bidi="fa-IR"/>
        </w:rPr>
      </w:pPr>
      <w:r>
        <w:rPr>
          <w:rtl/>
        </w:rPr>
        <w:t>(5).</w:t>
      </w:r>
      <w:r w:rsidR="008A74EB" w:rsidRPr="00C9040A">
        <w:rPr>
          <w:rtl/>
        </w:rPr>
        <w:t xml:space="preserve"> في البحار : « على »</w:t>
      </w:r>
      <w:r w:rsidR="008A74EB">
        <w:rPr>
          <w:rtl/>
        </w:rPr>
        <w:t>.</w:t>
      </w:r>
    </w:p>
    <w:p w:rsidR="008A74EB" w:rsidRPr="00C9040A" w:rsidRDefault="006C577F" w:rsidP="00C23BD0">
      <w:pPr>
        <w:pStyle w:val="libFootnote0"/>
        <w:rPr>
          <w:rtl/>
          <w:lang w:bidi="fa-IR"/>
        </w:rPr>
      </w:pPr>
      <w:r>
        <w:rPr>
          <w:rtl/>
        </w:rPr>
        <w:t>(6).</w:t>
      </w:r>
      <w:r w:rsidR="008A74EB">
        <w:rPr>
          <w:rtl/>
        </w:rPr>
        <w:t xml:space="preserve"> </w:t>
      </w:r>
      <w:r w:rsidR="008A74EB" w:rsidRPr="00C9040A">
        <w:rPr>
          <w:rtl/>
        </w:rPr>
        <w:t xml:space="preserve">رفعت عنك عادية فلان ، أي ظُلْمه وشرّه. </w:t>
      </w:r>
      <w:r w:rsidR="008A74EB" w:rsidRPr="00993B55">
        <w:rPr>
          <w:rStyle w:val="libFootnoteBoldChar"/>
          <w:rtl/>
        </w:rPr>
        <w:t>مجمع البحرين</w:t>
      </w:r>
      <w:r w:rsidR="008A74EB" w:rsidRPr="00C9040A">
        <w:rPr>
          <w:rtl/>
        </w:rPr>
        <w:t xml:space="preserve"> ، ج 1 ، ص 283 ( عدا )</w:t>
      </w:r>
      <w:r w:rsidR="008A74EB">
        <w:rPr>
          <w:rtl/>
        </w:rPr>
        <w:t>.</w:t>
      </w:r>
      <w:r w:rsidR="008A74EB" w:rsidRPr="00C9040A">
        <w:rPr>
          <w:rtl/>
        </w:rPr>
        <w:t xml:space="preserve"> وراجع أيضاً : </w:t>
      </w:r>
      <w:r w:rsidR="008A74EB" w:rsidRPr="00993B55">
        <w:rPr>
          <w:rStyle w:val="libFootnoteBoldChar"/>
          <w:rtl/>
        </w:rPr>
        <w:t>ترتيب كتاب العين</w:t>
      </w:r>
      <w:r w:rsidR="008A74EB" w:rsidRPr="00C9040A">
        <w:rPr>
          <w:rtl/>
        </w:rPr>
        <w:t xml:space="preserve"> ، ج 2 ، ص 1157 ( عدو )</w:t>
      </w:r>
      <w:r w:rsidR="008A74EB">
        <w:rPr>
          <w:rtl/>
        </w:rPr>
        <w:t>.</w:t>
      </w:r>
      <w:r w:rsidR="00C23BD0">
        <w:rPr>
          <w:rFonts w:hint="cs"/>
          <w:rtl/>
        </w:rPr>
        <w:t xml:space="preserve">                </w:t>
      </w:r>
      <w:r>
        <w:rPr>
          <w:rtl/>
        </w:rPr>
        <w:t>(7).</w:t>
      </w:r>
      <w:r w:rsidR="008A74EB" w:rsidRPr="00C9040A">
        <w:rPr>
          <w:rtl/>
        </w:rPr>
        <w:t xml:space="preserve"> في « ص ، بر ، بف » </w:t>
      </w:r>
      <w:r w:rsidR="008A74EB">
        <w:rPr>
          <w:rtl/>
        </w:rPr>
        <w:t xml:space="preserve">: </w:t>
      </w:r>
      <w:r w:rsidR="0084262C">
        <w:rPr>
          <w:rtl/>
        </w:rPr>
        <w:t>-</w:t>
      </w:r>
      <w:r w:rsidR="008A74EB" w:rsidRPr="00C9040A">
        <w:rPr>
          <w:rtl/>
        </w:rPr>
        <w:t xml:space="preserve"> « ماء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w:t>
      </w:r>
      <w:r w:rsidR="008A74EB" w:rsidRPr="00993B55">
        <w:rPr>
          <w:rStyle w:val="libFootnoteBoldChar"/>
          <w:rtl/>
        </w:rPr>
        <w:t>الكافي</w:t>
      </w:r>
      <w:r w:rsidR="008A74EB" w:rsidRPr="00C9040A">
        <w:rPr>
          <w:rtl/>
        </w:rPr>
        <w:t xml:space="preserve"> ، كتاب الجهاد ، باب ( بدون العنوان ) ، ح 8317 ، عن محمّد بن يحيى ، عن أحمد بن محمّد بن عيسى ، عن عليّ بن الحكم ، عن مثنّى ، عن فطر بن خليفة ، عن محمّد بن عليّ بن الحسين ، عن أبيه صلوات الله عليهم ، عن أمير المؤمنين </w:t>
      </w:r>
      <w:r w:rsidR="00117575" w:rsidRPr="00117575">
        <w:rPr>
          <w:rStyle w:val="libFootnoteAlaemChar"/>
          <w:rtl/>
        </w:rPr>
        <w:t xml:space="preserve">عليه‌السلام </w:t>
      </w:r>
      <w:r w:rsidR="008A74EB" w:rsidRPr="00C9040A">
        <w:rPr>
          <w:rtl/>
        </w:rPr>
        <w:t xml:space="preserve"> عن رسول الله </w:t>
      </w:r>
      <w:r w:rsidR="004A4E41" w:rsidRPr="00C23BD0">
        <w:rPr>
          <w:rStyle w:val="libFootnoteAlaemChar"/>
          <w:rtl/>
        </w:rPr>
        <w:t>صلى‌الله‌عليه‌وآله</w:t>
      </w:r>
      <w:r w:rsidR="008A74EB" w:rsidRPr="00C9040A">
        <w:rPr>
          <w:rtl/>
        </w:rPr>
        <w:t xml:space="preserve">. </w:t>
      </w:r>
      <w:r w:rsidR="008A74EB" w:rsidRPr="00993B55">
        <w:rPr>
          <w:rStyle w:val="libFootnoteBoldChar"/>
          <w:rtl/>
        </w:rPr>
        <w:t>قرب الإسناد</w:t>
      </w:r>
      <w:r w:rsidR="008A74EB" w:rsidRPr="00C9040A">
        <w:rPr>
          <w:rtl/>
        </w:rPr>
        <w:t xml:space="preserve"> ، ص 132 ، ح 463 ، بسند آخر عن جعفر بن محمّد ، عن أبيه </w:t>
      </w:r>
      <w:r w:rsidR="00117575" w:rsidRPr="00117575">
        <w:rPr>
          <w:rStyle w:val="libFootnoteAlaemChar"/>
          <w:rtl/>
        </w:rPr>
        <w:t>عليهما‌السلام</w:t>
      </w:r>
      <w:r w:rsidR="008A74EB" w:rsidRPr="00C9040A">
        <w:rPr>
          <w:rtl/>
        </w:rPr>
        <w:t xml:space="preserve"> عن عليّ </w:t>
      </w:r>
      <w:r w:rsidR="00117575" w:rsidRPr="00117575">
        <w:rPr>
          <w:rStyle w:val="libFootnoteAlaemChar"/>
          <w:rtl/>
        </w:rPr>
        <w:t>عليه‌السلام</w:t>
      </w:r>
      <w:r w:rsidR="008A74EB" w:rsidRPr="00C9040A">
        <w:rPr>
          <w:rtl/>
        </w:rPr>
        <w:t xml:space="preserve"> ، من دون الإسناد إلى النبيّ </w:t>
      </w:r>
      <w:r w:rsidR="004A4E41" w:rsidRPr="00C23BD0">
        <w:rPr>
          <w:rStyle w:val="libFootnoteAlaemChar"/>
          <w:rtl/>
        </w:rPr>
        <w:t>صلى‌الله‌عليه‌وآله</w:t>
      </w:r>
      <w:r w:rsidR="008A74EB" w:rsidRPr="00C9040A">
        <w:rPr>
          <w:rtl/>
        </w:rPr>
        <w:t xml:space="preserve"> ، وتمام الرواية فيه : « من ردّ على المسلمين عادية ماء وعادية نار وعادية عدوّ مكابر للمسلمين غفر الله ذنبه » </w:t>
      </w:r>
      <w:r w:rsidR="00C23BD0">
        <w:rPr>
          <w:rFonts w:hint="cs"/>
          <w:rtl/>
        </w:rPr>
        <w:t>.</w:t>
      </w:r>
      <w:r w:rsidR="008A74EB" w:rsidRPr="00993B55">
        <w:rPr>
          <w:rStyle w:val="libFootnoteBoldChar"/>
          <w:rtl/>
        </w:rPr>
        <w:t>الوافي</w:t>
      </w:r>
      <w:r w:rsidR="008A74EB" w:rsidRPr="00C9040A">
        <w:rPr>
          <w:rtl/>
        </w:rPr>
        <w:t xml:space="preserve"> ، ج 5 ، ص 537 ، ح 2526 ؛ </w:t>
      </w:r>
      <w:r w:rsidR="008A74EB" w:rsidRPr="00993B55">
        <w:rPr>
          <w:rStyle w:val="libFootnoteBoldChar"/>
          <w:rtl/>
        </w:rPr>
        <w:t>الوسائل</w:t>
      </w:r>
      <w:r w:rsidR="008A74EB" w:rsidRPr="00C9040A">
        <w:rPr>
          <w:rtl/>
        </w:rPr>
        <w:t xml:space="preserve"> ، ج 15 ، ص 142 ، ح 20172 ؛ </w:t>
      </w:r>
      <w:r w:rsidR="008A74EB" w:rsidRPr="00993B55">
        <w:rPr>
          <w:rStyle w:val="libFootnoteBoldChar"/>
          <w:rtl/>
        </w:rPr>
        <w:t>البحار</w:t>
      </w:r>
      <w:r w:rsidR="008A74EB" w:rsidRPr="00C9040A">
        <w:rPr>
          <w:rtl/>
        </w:rPr>
        <w:t xml:space="preserve"> ، ج 74 ، ص 339 ، ح 123.</w:t>
      </w:r>
    </w:p>
    <w:p w:rsidR="008A74EB" w:rsidRPr="00C9040A" w:rsidRDefault="006C577F" w:rsidP="004A4E41">
      <w:pPr>
        <w:pStyle w:val="libFootnote0"/>
        <w:rPr>
          <w:rtl/>
          <w:lang w:bidi="fa-IR"/>
        </w:rPr>
      </w:pPr>
      <w:r>
        <w:rPr>
          <w:rtl/>
        </w:rPr>
        <w:t>(9).</w:t>
      </w:r>
      <w:r w:rsidR="008A74EB" w:rsidRPr="00C9040A">
        <w:rPr>
          <w:rtl/>
        </w:rPr>
        <w:t xml:space="preserve"> الضمير راجع إلى أحمد بن محمّد بن خالد.</w:t>
      </w:r>
    </w:p>
    <w:p w:rsidR="008A74EB" w:rsidRPr="00C9040A" w:rsidRDefault="006C577F" w:rsidP="004A4E41">
      <w:pPr>
        <w:pStyle w:val="libFootnote0"/>
        <w:rPr>
          <w:rtl/>
          <w:lang w:bidi="fa-IR"/>
        </w:rPr>
      </w:pPr>
      <w:r>
        <w:rPr>
          <w:rtl/>
        </w:rPr>
        <w:t>(10).</w:t>
      </w:r>
      <w:r w:rsidR="008A74EB" w:rsidRPr="00C9040A">
        <w:rPr>
          <w:rtl/>
        </w:rPr>
        <w:t xml:space="preserve"> البقرة </w:t>
      </w:r>
      <w:r w:rsidR="00C23BD0">
        <w:rPr>
          <w:rtl/>
        </w:rPr>
        <w:t>(2)</w:t>
      </w:r>
      <w:r w:rsidR="008A74EB" w:rsidRPr="00C9040A">
        <w:rPr>
          <w:rtl/>
        </w:rPr>
        <w:t xml:space="preserve"> : 83.</w:t>
      </w:r>
    </w:p>
    <w:p w:rsidR="008A74EB" w:rsidRPr="00C9040A" w:rsidRDefault="006C577F" w:rsidP="004A4E41">
      <w:pPr>
        <w:pStyle w:val="libFootnote0"/>
        <w:rPr>
          <w:rtl/>
          <w:lang w:bidi="fa-IR"/>
        </w:rPr>
      </w:pPr>
      <w:r>
        <w:rPr>
          <w:rtl/>
        </w:rPr>
        <w:t>(11).</w:t>
      </w:r>
      <w:r w:rsidR="008A74EB" w:rsidRPr="00C9040A">
        <w:rPr>
          <w:rtl/>
        </w:rPr>
        <w:t xml:space="preserve"> في « ب ، ز ، ص ، ف ، بس » </w:t>
      </w:r>
      <w:r w:rsidR="008A74EB">
        <w:rPr>
          <w:rtl/>
        </w:rPr>
        <w:t xml:space="preserve">: </w:t>
      </w:r>
      <w:r w:rsidR="0084262C">
        <w:rPr>
          <w:rtl/>
        </w:rPr>
        <w:t>-</w:t>
      </w:r>
      <w:r w:rsidR="008A74EB" w:rsidRPr="00C9040A">
        <w:rPr>
          <w:rtl/>
        </w:rPr>
        <w:t xml:space="preserve"> « قال : قولوا للناس حسناً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تَعْلَمُوا مَا هُوَ </w:t>
      </w:r>
      <w:r w:rsidR="006C577F" w:rsidRPr="006C577F">
        <w:rPr>
          <w:rStyle w:val="libFootnotenumChar"/>
          <w:rtl/>
        </w:rPr>
        <w:t>(1)</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20147E">
        <w:rPr>
          <w:rtl/>
        </w:rPr>
        <w:t>2037</w:t>
      </w:r>
      <w:r w:rsidRPr="00261CB0">
        <w:rPr>
          <w:rStyle w:val="libBold2Char"/>
          <w:rtl/>
        </w:rPr>
        <w:t xml:space="preserve"> / 10.</w:t>
      </w:r>
      <w:r w:rsidRPr="00C9040A">
        <w:rPr>
          <w:rtl/>
          <w:lang w:bidi="fa-IR"/>
        </w:rPr>
        <w:t xml:space="preserve"> عَنْهُ </w:t>
      </w:r>
      <w:r w:rsidR="006C577F" w:rsidRPr="006C577F">
        <w:rPr>
          <w:rStyle w:val="libFootnotenumChar"/>
          <w:rtl/>
        </w:rPr>
        <w:t>(3)</w:t>
      </w:r>
      <w:r w:rsidRPr="00C9040A">
        <w:rPr>
          <w:rtl/>
          <w:lang w:bidi="fa-IR"/>
        </w:rPr>
        <w:t xml:space="preserve"> ، عَنِ ابْنِ أَبِي نَجْرَانَ ، عَنْ أَبِي جَمِيلَةَ</w:t>
      </w:r>
      <w:r>
        <w:rPr>
          <w:rtl/>
          <w:lang w:bidi="fa-IR"/>
        </w:rPr>
        <w:t xml:space="preserve"> </w:t>
      </w:r>
      <w:r w:rsidR="0084262C">
        <w:rPr>
          <w:rtl/>
          <w:lang w:bidi="fa-IR"/>
        </w:rPr>
        <w:t>-</w:t>
      </w:r>
      <w:r>
        <w:rPr>
          <w:rtl/>
          <w:lang w:bidi="fa-IR"/>
        </w:rPr>
        <w:t xml:space="preserve"> </w:t>
      </w:r>
      <w:r w:rsidRPr="00C9040A">
        <w:rPr>
          <w:rtl/>
          <w:lang w:bidi="fa-IR"/>
        </w:rPr>
        <w:t>الْمُفَضَّلِ بْنِ صَالِحٍ</w:t>
      </w:r>
      <w:r>
        <w:rPr>
          <w:rtl/>
          <w:lang w:bidi="fa-IR"/>
        </w:rPr>
        <w:t xml:space="preserve"> </w:t>
      </w:r>
      <w:r w:rsidR="0084262C">
        <w:rPr>
          <w:rtl/>
          <w:lang w:bidi="fa-IR"/>
        </w:rPr>
        <w:t>-</w:t>
      </w:r>
      <w:r>
        <w:rPr>
          <w:rtl/>
          <w:lang w:bidi="fa-IR"/>
        </w:rPr>
        <w:t xml:space="preserve"> </w:t>
      </w:r>
      <w:r w:rsidRPr="00C9040A">
        <w:rPr>
          <w:rtl/>
          <w:lang w:bidi="fa-IR"/>
        </w:rPr>
        <w:t>عَنْ جَابِرِ بْنِ يَزِيدَ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فِي قَوْلِ اللهِ عَزَّ وَجَلَّ : </w:t>
      </w:r>
      <w:r w:rsidRPr="0003660B">
        <w:rPr>
          <w:rStyle w:val="libAlaemChar"/>
          <w:rtl/>
        </w:rPr>
        <w:t>(</w:t>
      </w:r>
      <w:r w:rsidRPr="006A2246">
        <w:rPr>
          <w:rStyle w:val="libAieChar"/>
          <w:rtl/>
        </w:rPr>
        <w:t xml:space="preserve"> وَقُولُوا لِلنّاسِ حُسْناً </w:t>
      </w:r>
      <w:r w:rsidRPr="0003660B">
        <w:rPr>
          <w:rStyle w:val="libAlaemChar"/>
          <w:rtl/>
        </w:rPr>
        <w:t>)</w:t>
      </w:r>
      <w:r w:rsidRPr="00C9040A">
        <w:rPr>
          <w:rtl/>
          <w:lang w:bidi="fa-IR"/>
        </w:rPr>
        <w:t xml:space="preserve"> : قَالَ : « قُولُوا لِلنَّاسِ أَحْسَنَ مَا تُحِبُّونَ أَنْ يُقَالَ فِيكُمْ </w:t>
      </w:r>
      <w:r w:rsidR="006C577F" w:rsidRPr="006C577F">
        <w:rPr>
          <w:rStyle w:val="libFootnotenumChar"/>
          <w:rtl/>
        </w:rPr>
        <w:t>(4)</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20147E">
        <w:rPr>
          <w:rtl/>
        </w:rPr>
        <w:t>2038</w:t>
      </w:r>
      <w:r w:rsidRPr="00261CB0">
        <w:rPr>
          <w:rStyle w:val="libBold2Char"/>
          <w:rtl/>
        </w:rPr>
        <w:t xml:space="preserve"> / 11.</w:t>
      </w:r>
      <w:r w:rsidRPr="00C9040A">
        <w:rPr>
          <w:rtl/>
          <w:lang w:bidi="fa-IR"/>
        </w:rPr>
        <w:t xml:space="preserve"> عِدَّةٌ مِنْ أَصْحَابِنَا ، عَنْ سَهْلِ بْنِ زِيَادٍ ، عَنْ يَحْيَى بْنِ الْمُبَارَكِ ، عَنْ عَبْدِ اللهِ بْنِ جَبَلَةَ ، عَنْ رَجُلٍ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w:t>
      </w:r>
      <w:r w:rsidR="006C577F" w:rsidRPr="006C577F">
        <w:rPr>
          <w:rStyle w:val="libFootnotenumChar"/>
          <w:rtl/>
        </w:rPr>
        <w:t>(6)</w:t>
      </w:r>
      <w:r w:rsidRPr="005B567D">
        <w:rPr>
          <w:rStyle w:val="libFootnotenumChar"/>
          <w:rtl/>
        </w:rPr>
        <w:t xml:space="preserve"> </w:t>
      </w:r>
      <w:r w:rsidRPr="00C9040A">
        <w:rPr>
          <w:rtl/>
          <w:lang w:bidi="fa-IR"/>
        </w:rPr>
        <w:t xml:space="preserve">فِي قَوْلِ اللهِ عَزَّ وَجَلَّ : </w:t>
      </w:r>
      <w:r w:rsidRPr="0003660B">
        <w:rPr>
          <w:rStyle w:val="libAlaemChar"/>
          <w:rtl/>
        </w:rPr>
        <w:t>(</w:t>
      </w:r>
      <w:r w:rsidRPr="006A2246">
        <w:rPr>
          <w:rStyle w:val="libAieChar"/>
          <w:rtl/>
        </w:rPr>
        <w:t xml:space="preserve"> وَجَعَلَنِي مُبارَكاً أَيْنَ ما كُنْتُ </w:t>
      </w:r>
      <w:r w:rsidRPr="0003660B">
        <w:rPr>
          <w:rStyle w:val="libAlaemChar"/>
          <w:rtl/>
        </w:rPr>
        <w:t>)</w:t>
      </w:r>
      <w:r w:rsidRPr="00C9040A">
        <w:rPr>
          <w:rtl/>
          <w:lang w:bidi="fa-IR"/>
        </w:rPr>
        <w:t xml:space="preserve"> </w:t>
      </w:r>
      <w:r w:rsidR="006C577F" w:rsidRPr="006C577F">
        <w:rPr>
          <w:rStyle w:val="libFootnotenumChar"/>
          <w:rtl/>
        </w:rPr>
        <w:t>(7)</w:t>
      </w:r>
      <w:r w:rsidRPr="00C9040A">
        <w:rPr>
          <w:rtl/>
          <w:lang w:bidi="fa-IR"/>
        </w:rPr>
        <w:t xml:space="preserve"> قَالَ : « نَفَّاعاً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Heading2Center"/>
        <w:rPr>
          <w:rtl/>
          <w:lang w:bidi="fa-IR"/>
        </w:rPr>
      </w:pPr>
      <w:bookmarkStart w:id="223" w:name="_Toc343795662"/>
      <w:bookmarkStart w:id="224" w:name="_Toc459810786"/>
      <w:bookmarkStart w:id="225" w:name="_Toc35348692"/>
      <w:r w:rsidRPr="00C9040A">
        <w:rPr>
          <w:rtl/>
          <w:lang w:bidi="fa-IR"/>
        </w:rPr>
        <w:t>71</w:t>
      </w:r>
      <w:r>
        <w:rPr>
          <w:rtl/>
          <w:lang w:bidi="fa-IR"/>
        </w:rPr>
        <w:t xml:space="preserve"> </w:t>
      </w:r>
      <w:r w:rsidR="0084262C">
        <w:rPr>
          <w:rtl/>
          <w:lang w:bidi="fa-IR"/>
        </w:rPr>
        <w:t>-</w:t>
      </w:r>
      <w:r>
        <w:rPr>
          <w:rtl/>
          <w:lang w:bidi="fa-IR"/>
        </w:rPr>
        <w:t xml:space="preserve"> </w:t>
      </w:r>
      <w:r w:rsidRPr="00C9040A">
        <w:rPr>
          <w:rtl/>
          <w:lang w:bidi="fa-IR"/>
        </w:rPr>
        <w:t>بَابُ إِجْلَالِ الْكَبِيرِ‌</w:t>
      </w:r>
      <w:bookmarkEnd w:id="223"/>
      <w:bookmarkEnd w:id="224"/>
      <w:bookmarkEnd w:id="225"/>
    </w:p>
    <w:p w:rsidR="008A74EB" w:rsidRPr="00C9040A" w:rsidRDefault="008A74EB" w:rsidP="008A74EB">
      <w:pPr>
        <w:pStyle w:val="libNormal"/>
        <w:rPr>
          <w:rtl/>
          <w:lang w:bidi="fa-IR"/>
        </w:rPr>
      </w:pPr>
      <w:r w:rsidRPr="0020147E">
        <w:rPr>
          <w:rtl/>
        </w:rPr>
        <w:t>2039</w:t>
      </w:r>
      <w:r w:rsidRPr="00261CB0">
        <w:rPr>
          <w:rStyle w:val="libBold2Char"/>
          <w:rtl/>
        </w:rPr>
        <w:t xml:space="preserve"> / 1.</w:t>
      </w:r>
      <w:r w:rsidRPr="00C9040A">
        <w:rPr>
          <w:rtl/>
          <w:lang w:bidi="fa-IR"/>
        </w:rPr>
        <w:t xml:space="preserve"> عَلِيُّ بْنُ إِبْرَاهِيمَ ، عَنْ أَبِيهِ ، عَنِ ابْنِ أَبِي عُمَيْرٍ ، عَنْ بَعْضِ أَصْحَابِهِ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w:t>
      </w:r>
      <w:r w:rsidR="008A74EB" w:rsidRPr="00993B55">
        <w:rPr>
          <w:rStyle w:val="libFootnoteBoldChar"/>
          <w:rtl/>
        </w:rPr>
        <w:t>الوافي</w:t>
      </w:r>
      <w:r w:rsidR="008A74EB" w:rsidRPr="00C9040A">
        <w:rPr>
          <w:rtl/>
        </w:rPr>
        <w:t xml:space="preserve"> : « يعني لاتقولوا لهم إل</w:t>
      </w:r>
      <w:r w:rsidR="00C23BD0">
        <w:rPr>
          <w:rFonts w:hint="cs"/>
          <w:rtl/>
        </w:rPr>
        <w:t>ّ</w:t>
      </w:r>
      <w:r w:rsidR="008A74EB" w:rsidRPr="00C9040A">
        <w:rPr>
          <w:rtl/>
        </w:rPr>
        <w:t xml:space="preserve">اخيراً ما تعلمون فيهم الخير وما لم تعلموا فيهم الخير ، فأمّا إذا علمتم أنّه لاخير فيهم وانكشف لكم عن سوء ضمائرهم بحيث لاتبقى لكم مرية ، فلا عليكم أن لاتقولوا خيراً. </w:t>
      </w:r>
      <w:r w:rsidR="008A74EB">
        <w:rPr>
          <w:rtl/>
        </w:rPr>
        <w:t>و «</w:t>
      </w:r>
      <w:r w:rsidR="008A74EB" w:rsidRPr="00C9040A">
        <w:rPr>
          <w:rtl/>
        </w:rPr>
        <w:t xml:space="preserve"> ما » تحتمل الموصوليّة والاستفهام والنفي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الوافي</w:t>
      </w:r>
      <w:r w:rsidR="008A74EB" w:rsidRPr="00C9040A">
        <w:rPr>
          <w:rtl/>
        </w:rPr>
        <w:t xml:space="preserve"> ، ج 5 ، ص 537 ، ح 2527 ؛ </w:t>
      </w:r>
      <w:r w:rsidR="008A74EB" w:rsidRPr="00993B55">
        <w:rPr>
          <w:rStyle w:val="libFootnoteBoldChar"/>
          <w:rtl/>
        </w:rPr>
        <w:t>الوسائل</w:t>
      </w:r>
      <w:r w:rsidR="008A74EB" w:rsidRPr="00C9040A">
        <w:rPr>
          <w:rtl/>
        </w:rPr>
        <w:t xml:space="preserve"> ، ج 16 ، ص 340 ، ح 21710 ؛ </w:t>
      </w:r>
      <w:r w:rsidR="008A74EB" w:rsidRPr="00993B55">
        <w:rPr>
          <w:rStyle w:val="libFootnoteBoldChar"/>
          <w:rtl/>
        </w:rPr>
        <w:t>البحار</w:t>
      </w:r>
      <w:r w:rsidR="008A74EB" w:rsidRPr="00C9040A">
        <w:rPr>
          <w:rtl/>
        </w:rPr>
        <w:t xml:space="preserve"> ، ج 74 ، ص 340 ، ح 124.</w:t>
      </w:r>
    </w:p>
    <w:p w:rsidR="008A74EB" w:rsidRPr="00C9040A" w:rsidRDefault="006C577F" w:rsidP="004A4E41">
      <w:pPr>
        <w:pStyle w:val="libFootnote0"/>
        <w:rPr>
          <w:rtl/>
          <w:lang w:bidi="fa-IR"/>
        </w:rPr>
      </w:pPr>
      <w:r>
        <w:rPr>
          <w:rtl/>
        </w:rPr>
        <w:t>(3).</w:t>
      </w:r>
      <w:r w:rsidR="008A74EB" w:rsidRPr="00C9040A">
        <w:rPr>
          <w:rtl/>
        </w:rPr>
        <w:t xml:space="preserve"> في « ف » : « وعنه »</w:t>
      </w:r>
      <w:r w:rsidR="008A74EB">
        <w:rPr>
          <w:rtl/>
        </w:rPr>
        <w:t>.</w:t>
      </w:r>
      <w:r w:rsidR="008A74EB" w:rsidRPr="00C9040A">
        <w:rPr>
          <w:rtl/>
        </w:rPr>
        <w:t xml:space="preserve"> والضمير راجع إلى أحمد بن محمّد بن خالد.</w:t>
      </w:r>
    </w:p>
    <w:p w:rsidR="008A74EB" w:rsidRPr="00C9040A" w:rsidRDefault="006C577F" w:rsidP="004A4E41">
      <w:pPr>
        <w:pStyle w:val="libFootnote0"/>
        <w:rPr>
          <w:rtl/>
          <w:lang w:bidi="fa-IR"/>
        </w:rPr>
      </w:pPr>
      <w:r>
        <w:rPr>
          <w:rtl/>
        </w:rPr>
        <w:t>(4).</w:t>
      </w:r>
      <w:r w:rsidR="008A74EB" w:rsidRPr="00C9040A">
        <w:rPr>
          <w:rtl/>
        </w:rPr>
        <w:t xml:space="preserve"> في تفسير العيّاشي والأمالي وتحف العقول : « لكم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w:t>
      </w:r>
      <w:r w:rsidR="008A74EB" w:rsidRPr="0034021D">
        <w:rPr>
          <w:rStyle w:val="libFootnoteBoldChar"/>
          <w:rtl/>
        </w:rPr>
        <w:t>الأمالي للصدوق</w:t>
      </w:r>
      <w:r w:rsidR="008A74EB" w:rsidRPr="00C9040A">
        <w:rPr>
          <w:rtl/>
        </w:rPr>
        <w:t xml:space="preserve"> ، ص 254 ، المجلس 44 ، ح 4 ، عن محمّد بن عليّ ماجيلويه ، عن عمّه محمّد بن أبي القاسم ، عن أحمد بن محمّد بن خالد ، عن عليّ بن الحكم ، عن المفضّل ، عن جابر. </w:t>
      </w:r>
      <w:r w:rsidR="008A74EB" w:rsidRPr="00993B55">
        <w:rPr>
          <w:rStyle w:val="libFootnoteBoldChar"/>
          <w:rtl/>
        </w:rPr>
        <w:t>تفسير العيّاشي</w:t>
      </w:r>
      <w:r w:rsidR="008A74EB" w:rsidRPr="00C9040A">
        <w:rPr>
          <w:rtl/>
        </w:rPr>
        <w:t xml:space="preserve"> ، ج 1 ، ص 48 ، ح 63 ، عن جابر. </w:t>
      </w:r>
      <w:r w:rsidR="008A74EB" w:rsidRPr="00993B55">
        <w:rPr>
          <w:rStyle w:val="libFootnoteBoldChar"/>
          <w:rtl/>
        </w:rPr>
        <w:t>تحف العقول</w:t>
      </w:r>
      <w:r w:rsidR="008A74EB" w:rsidRPr="00C9040A">
        <w:rPr>
          <w:rtl/>
        </w:rPr>
        <w:t xml:space="preserve"> ، ص 300 ، من قوله : « قولوا للناس أحسن » ، وفي كلّها مع زيادة في آخره </w:t>
      </w:r>
      <w:r w:rsidR="002141C7">
        <w:rPr>
          <w:rFonts w:hint="cs"/>
          <w:rtl/>
        </w:rPr>
        <w:t>.</w:t>
      </w:r>
      <w:r w:rsidR="008A74EB" w:rsidRPr="00993B55">
        <w:rPr>
          <w:rStyle w:val="libFootnoteBoldChar"/>
          <w:rtl/>
        </w:rPr>
        <w:t>الوافي</w:t>
      </w:r>
      <w:r w:rsidR="008A74EB" w:rsidRPr="00C9040A">
        <w:rPr>
          <w:rtl/>
        </w:rPr>
        <w:t xml:space="preserve"> ، ج 5 ، ص 537 ، ح 2528 ؛ </w:t>
      </w:r>
      <w:r w:rsidR="008A74EB" w:rsidRPr="00993B55">
        <w:rPr>
          <w:rStyle w:val="libFootnoteBoldChar"/>
          <w:rtl/>
        </w:rPr>
        <w:t>الوسائل</w:t>
      </w:r>
      <w:r w:rsidR="008A74EB" w:rsidRPr="00C9040A">
        <w:rPr>
          <w:rtl/>
        </w:rPr>
        <w:t xml:space="preserve"> ، ج 16 ، ص 341 ، ح 21711 ؛ </w:t>
      </w:r>
      <w:r w:rsidR="008A74EB" w:rsidRPr="00993B55">
        <w:rPr>
          <w:rStyle w:val="libFootnoteBoldChar"/>
          <w:rtl/>
        </w:rPr>
        <w:t>البحار</w:t>
      </w:r>
      <w:r w:rsidR="008A74EB" w:rsidRPr="00C9040A">
        <w:rPr>
          <w:rtl/>
        </w:rPr>
        <w:t xml:space="preserve"> ، ج 74 ، ص 341 ، ح 125.</w:t>
      </w:r>
    </w:p>
    <w:tbl>
      <w:tblPr>
        <w:tblStyle w:val="TableGrid"/>
        <w:bidiVisual/>
        <w:tblW w:w="0" w:type="auto"/>
        <w:tblLook w:val="04A0" w:firstRow="1" w:lastRow="0" w:firstColumn="1" w:lastColumn="0" w:noHBand="0" w:noVBand="1"/>
      </w:tblPr>
      <w:tblGrid>
        <w:gridCol w:w="4006"/>
        <w:gridCol w:w="4006"/>
      </w:tblGrid>
      <w:tr w:rsidR="002141C7" w:rsidTr="002141C7">
        <w:tc>
          <w:tcPr>
            <w:tcW w:w="4006" w:type="dxa"/>
          </w:tcPr>
          <w:p w:rsidR="002141C7" w:rsidRDefault="002141C7" w:rsidP="004A4E41">
            <w:pPr>
              <w:pStyle w:val="libFootnote0"/>
              <w:rPr>
                <w:rtl/>
              </w:rPr>
            </w:pPr>
            <w:r>
              <w:rPr>
                <w:rtl/>
              </w:rPr>
              <w:t xml:space="preserve">(6). </w:t>
            </w:r>
            <w:r w:rsidRPr="00C9040A">
              <w:rPr>
                <w:rtl/>
              </w:rPr>
              <w:t xml:space="preserve">في الوسائل ومعاني الأخبار </w:t>
            </w:r>
            <w:r>
              <w:rPr>
                <w:rtl/>
              </w:rPr>
              <w:t>: -</w:t>
            </w:r>
            <w:r w:rsidRPr="00C9040A">
              <w:rPr>
                <w:rtl/>
              </w:rPr>
              <w:t xml:space="preserve"> « قال »</w:t>
            </w:r>
            <w:r>
              <w:rPr>
                <w:rtl/>
              </w:rPr>
              <w:t>.</w:t>
            </w:r>
          </w:p>
        </w:tc>
        <w:tc>
          <w:tcPr>
            <w:tcW w:w="4006" w:type="dxa"/>
          </w:tcPr>
          <w:p w:rsidR="002141C7" w:rsidRDefault="002141C7" w:rsidP="004A4E41">
            <w:pPr>
              <w:pStyle w:val="libFootnote0"/>
              <w:rPr>
                <w:rtl/>
              </w:rPr>
            </w:pPr>
            <w:r>
              <w:rPr>
                <w:rtl/>
              </w:rPr>
              <w:t>(7).</w:t>
            </w:r>
            <w:r w:rsidRPr="00C9040A">
              <w:rPr>
                <w:rtl/>
              </w:rPr>
              <w:t xml:space="preserve"> مريم (19) : 31.</w:t>
            </w:r>
          </w:p>
        </w:tc>
      </w:tr>
    </w:tbl>
    <w:p w:rsidR="008A74EB" w:rsidRPr="00C9040A" w:rsidRDefault="006C577F" w:rsidP="004A4E41">
      <w:pPr>
        <w:pStyle w:val="libFootnote0"/>
        <w:rPr>
          <w:rtl/>
          <w:lang w:bidi="fa-IR"/>
        </w:rPr>
      </w:pPr>
      <w:r>
        <w:rPr>
          <w:rtl/>
        </w:rPr>
        <w:t>(8).</w:t>
      </w:r>
      <w:r w:rsidR="008A74EB" w:rsidRPr="00C9040A">
        <w:rPr>
          <w:rtl/>
        </w:rPr>
        <w:t xml:space="preserve"> </w:t>
      </w:r>
      <w:r w:rsidR="008A74EB" w:rsidRPr="00993B55">
        <w:rPr>
          <w:rStyle w:val="libFootnoteBoldChar"/>
          <w:rtl/>
        </w:rPr>
        <w:t>تفسير القمّي</w:t>
      </w:r>
      <w:r w:rsidR="008A74EB" w:rsidRPr="00C9040A">
        <w:rPr>
          <w:rtl/>
        </w:rPr>
        <w:t xml:space="preserve"> ، ج 2 ، ص 50 ؛ و</w:t>
      </w:r>
      <w:r w:rsidR="008A74EB" w:rsidRPr="00993B55">
        <w:rPr>
          <w:rStyle w:val="libFootnoteBoldChar"/>
          <w:rtl/>
        </w:rPr>
        <w:t>معاني الأخبار</w:t>
      </w:r>
      <w:r w:rsidR="008A74EB" w:rsidRPr="00C9040A">
        <w:rPr>
          <w:rtl/>
        </w:rPr>
        <w:t xml:space="preserve"> ، ص 212 ، ح 1 ، بسند آخر عن يعقوب بن يزيد ، عن يحيى بن المبارك </w:t>
      </w:r>
      <w:r w:rsidR="002141C7">
        <w:rPr>
          <w:rFonts w:hint="cs"/>
          <w:rtl/>
        </w:rPr>
        <w:t>.</w:t>
      </w:r>
      <w:r w:rsidR="008A74EB" w:rsidRPr="00993B55">
        <w:rPr>
          <w:rStyle w:val="libFootnoteBoldChar"/>
          <w:rtl/>
        </w:rPr>
        <w:t>الوافي</w:t>
      </w:r>
      <w:r w:rsidR="008A74EB" w:rsidRPr="00C9040A">
        <w:rPr>
          <w:rtl/>
        </w:rPr>
        <w:t xml:space="preserve"> ، ج 5 ، ص 538 ، ح 2529 ؛ </w:t>
      </w:r>
      <w:r w:rsidR="008A74EB" w:rsidRPr="00993B55">
        <w:rPr>
          <w:rStyle w:val="libFootnoteBoldChar"/>
          <w:rtl/>
        </w:rPr>
        <w:t>الوسائل</w:t>
      </w:r>
      <w:r w:rsidR="008A74EB" w:rsidRPr="00C9040A">
        <w:rPr>
          <w:rtl/>
        </w:rPr>
        <w:t xml:space="preserve"> ، ج 16 ، ص 342 ، ح 21714 ؛ </w:t>
      </w:r>
      <w:r w:rsidR="008A74EB" w:rsidRPr="00993B55">
        <w:rPr>
          <w:rStyle w:val="libFootnoteBoldChar"/>
          <w:rtl/>
        </w:rPr>
        <w:t>البحار</w:t>
      </w:r>
      <w:r w:rsidR="008A74EB" w:rsidRPr="00C9040A">
        <w:rPr>
          <w:rtl/>
        </w:rPr>
        <w:t xml:space="preserve"> ، ج 74 ، ص 341 ، ح 126.</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مِنْ إِجْلَالِ اللهِ إِجْلَالُ </w:t>
      </w:r>
      <w:r w:rsidR="006C577F" w:rsidRPr="006C577F">
        <w:rPr>
          <w:rStyle w:val="libFootnotenumChar"/>
          <w:rtl/>
        </w:rPr>
        <w:t>(1)</w:t>
      </w:r>
      <w:r w:rsidRPr="00C9040A">
        <w:rPr>
          <w:rtl/>
          <w:lang w:bidi="fa-IR"/>
        </w:rPr>
        <w:t xml:space="preserve"> ذِي الشَّيْبَةِ الْمُسْلِمِ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20147E">
        <w:rPr>
          <w:rtl/>
        </w:rPr>
        <w:t>2040</w:t>
      </w:r>
      <w:r w:rsidRPr="00261CB0">
        <w:rPr>
          <w:rStyle w:val="libBold2Char"/>
          <w:rtl/>
        </w:rPr>
        <w:t xml:space="preserve"> / 2.</w:t>
      </w:r>
      <w:r w:rsidRPr="00C9040A">
        <w:rPr>
          <w:rtl/>
          <w:lang w:bidi="fa-IR"/>
        </w:rPr>
        <w:t xml:space="preserve"> عِدَّةٌ مِنْ أَصْحَابِنَا ، عَنْ أَحْمَدَ بْنِ مُحَمَّدٍ رَفَعَهُ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لَيْسَ مِنَّا مَنْ لَمْ يُوَقِّرْ كَبِيرَنَا </w:t>
      </w:r>
      <w:r w:rsidR="006C577F" w:rsidRPr="006C577F">
        <w:rPr>
          <w:rStyle w:val="libFootnotenumChar"/>
          <w:rtl/>
        </w:rPr>
        <w:t>(3)</w:t>
      </w:r>
      <w:r w:rsidRPr="00C9040A">
        <w:rPr>
          <w:rtl/>
          <w:lang w:bidi="fa-IR"/>
        </w:rPr>
        <w:t xml:space="preserve"> ، وَيَرْحَمْ </w:t>
      </w:r>
      <w:r w:rsidR="006C577F" w:rsidRPr="006C577F">
        <w:rPr>
          <w:rStyle w:val="libFootnotenumChar"/>
          <w:rtl/>
        </w:rPr>
        <w:t>(4)</w:t>
      </w:r>
      <w:r w:rsidRPr="00C9040A">
        <w:rPr>
          <w:rtl/>
          <w:lang w:bidi="fa-IR"/>
        </w:rPr>
        <w:t xml:space="preserve"> صَغِيرَنَا </w:t>
      </w:r>
      <w:r w:rsidR="006C577F" w:rsidRPr="006C577F">
        <w:rPr>
          <w:rStyle w:val="libFootnotenumChar"/>
          <w:rtl/>
        </w:rPr>
        <w:t>(5)</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Normal"/>
        <w:rPr>
          <w:rtl/>
          <w:lang w:bidi="fa-IR"/>
        </w:rPr>
      </w:pPr>
      <w:r w:rsidRPr="0020147E">
        <w:rPr>
          <w:rtl/>
        </w:rPr>
        <w:t>2041</w:t>
      </w:r>
      <w:r w:rsidRPr="00261CB0">
        <w:rPr>
          <w:rStyle w:val="libBold2Char"/>
          <w:rtl/>
        </w:rPr>
        <w:t xml:space="preserve"> / 3.</w:t>
      </w:r>
      <w:r w:rsidRPr="00C9040A">
        <w:rPr>
          <w:rtl/>
          <w:lang w:bidi="fa-IR"/>
        </w:rPr>
        <w:t xml:space="preserve"> عَلِيُّ بْنُ إِبْرَاهِيمَ ، عَنْ أَبِيهِ ، عَنِ ابْنِ أَبِي عُمَيْرٍ ، عَنْ عَبْدِ اللهِ بْنِ أَبَانٍ </w:t>
      </w:r>
      <w:r w:rsidR="006C577F" w:rsidRPr="006C577F">
        <w:rPr>
          <w:rStyle w:val="libFootnotenumChar"/>
          <w:rtl/>
        </w:rPr>
        <w:t>(7)</w:t>
      </w:r>
      <w:r w:rsidRPr="00C9040A">
        <w:rPr>
          <w:rtl/>
          <w:lang w:bidi="fa-IR"/>
        </w:rPr>
        <w:t xml:space="preserve"> ، عَنِ‌</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ز » : + « الكبير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الكافى</w:t>
      </w:r>
      <w:r w:rsidR="008A74EB" w:rsidRPr="00C9040A">
        <w:rPr>
          <w:rtl/>
        </w:rPr>
        <w:t xml:space="preserve"> ، كتاب العشرة ، باب وجوب إجلال ذي الشيبة المسلم ، ح 3706 </w:t>
      </w:r>
      <w:r w:rsidR="008A74EB">
        <w:rPr>
          <w:rtl/>
        </w:rPr>
        <w:t>و 3</w:t>
      </w:r>
      <w:r w:rsidR="008A74EB" w:rsidRPr="00C9040A">
        <w:rPr>
          <w:rtl/>
        </w:rPr>
        <w:t xml:space="preserve">710 </w:t>
      </w:r>
      <w:r w:rsidR="008A74EB">
        <w:rPr>
          <w:rtl/>
        </w:rPr>
        <w:t>و 3</w:t>
      </w:r>
      <w:r w:rsidR="008A74EB" w:rsidRPr="00C9040A">
        <w:rPr>
          <w:rtl/>
        </w:rPr>
        <w:t xml:space="preserve">711 ؛ </w:t>
      </w:r>
      <w:r w:rsidR="008A74EB" w:rsidRPr="00AC2E2F">
        <w:rPr>
          <w:rStyle w:val="libFootnoteBoldChar"/>
          <w:rtl/>
        </w:rPr>
        <w:t>والأمالي للطوسي</w:t>
      </w:r>
      <w:r w:rsidR="008A74EB" w:rsidRPr="00C9040A">
        <w:rPr>
          <w:rtl/>
        </w:rPr>
        <w:t xml:space="preserve"> ، ص 699 ، المجلس 39 ، ح 35 ، بسند آخر عن أبي عبدالله </w:t>
      </w:r>
      <w:r w:rsidR="00117575" w:rsidRPr="00117575">
        <w:rPr>
          <w:rStyle w:val="libFootnoteAlaemChar"/>
          <w:rtl/>
        </w:rPr>
        <w:t xml:space="preserve">عليه‌السلام </w:t>
      </w:r>
      <w:r w:rsidR="008A74EB" w:rsidRPr="00C9040A">
        <w:rPr>
          <w:rtl/>
        </w:rPr>
        <w:t xml:space="preserve"> ، من دون الإسناد إلى النبيّ </w:t>
      </w:r>
      <w:r w:rsidR="004A4E41" w:rsidRPr="002141C7">
        <w:rPr>
          <w:rStyle w:val="libFootnoteAlaemChar"/>
          <w:rtl/>
        </w:rPr>
        <w:t>صلى‌الله‌عليه‌وآله</w:t>
      </w:r>
      <w:r w:rsidR="008A74EB" w:rsidRPr="00C9040A">
        <w:rPr>
          <w:rtl/>
        </w:rPr>
        <w:t xml:space="preserve">. </w:t>
      </w:r>
      <w:r w:rsidR="008A74EB" w:rsidRPr="00993B55">
        <w:rPr>
          <w:rStyle w:val="libFootnoteBoldChar"/>
          <w:rtl/>
        </w:rPr>
        <w:t>وفيه</w:t>
      </w:r>
      <w:r w:rsidR="008A74EB" w:rsidRPr="00C9040A">
        <w:rPr>
          <w:rtl/>
        </w:rPr>
        <w:t xml:space="preserve"> ، ص 311 ، المجلس 11 ، ح 78 ، [ مع زيادة في أوّله ] ؛ وص 535 ، المجلس 19 ، ضمن الحديث الطويل 1 ؛ </w:t>
      </w:r>
      <w:r w:rsidR="008A74EB" w:rsidRPr="0020147E">
        <w:rPr>
          <w:rtl/>
        </w:rPr>
        <w:t>و</w:t>
      </w:r>
      <w:r w:rsidR="008A74EB" w:rsidRPr="00993B55">
        <w:rPr>
          <w:rStyle w:val="libFootnoteBoldChar"/>
          <w:rtl/>
        </w:rPr>
        <w:t>ثواب الأعمال</w:t>
      </w:r>
      <w:r w:rsidR="008A74EB" w:rsidRPr="00C9040A">
        <w:rPr>
          <w:rtl/>
        </w:rPr>
        <w:t xml:space="preserve"> ، ص 224 ، ح 1 [ مع زيادة في أوّله ] ، بسند آخرعن النبيّ </w:t>
      </w:r>
      <w:r w:rsidR="004A4E41" w:rsidRPr="002141C7">
        <w:rPr>
          <w:rStyle w:val="libFootnoteAlaemChar"/>
          <w:rtl/>
        </w:rPr>
        <w:t>صلى‌الله‌عليه‌وآله</w:t>
      </w:r>
      <w:r w:rsidR="008A74EB" w:rsidRPr="00C9040A">
        <w:rPr>
          <w:rtl/>
        </w:rPr>
        <w:t xml:space="preserve">. </w:t>
      </w:r>
      <w:r w:rsidR="008A74EB" w:rsidRPr="00993B55">
        <w:rPr>
          <w:rStyle w:val="libFootnoteBoldChar"/>
          <w:rtl/>
        </w:rPr>
        <w:t>الجعفريّات</w:t>
      </w:r>
      <w:r w:rsidR="008A74EB" w:rsidRPr="00C9040A">
        <w:rPr>
          <w:rtl/>
        </w:rPr>
        <w:t xml:space="preserve"> ، ص 196 ، بسند آخر عن جعفر بن محمّد ، عن آبائه </w:t>
      </w:r>
      <w:r w:rsidR="00117575" w:rsidRPr="00117575">
        <w:rPr>
          <w:rStyle w:val="libFootnoteAlaemChar"/>
          <w:rtl/>
        </w:rPr>
        <w:t>عليهم‌السلام</w:t>
      </w:r>
      <w:r w:rsidR="008A74EB" w:rsidRPr="00C9040A">
        <w:rPr>
          <w:rtl/>
        </w:rPr>
        <w:t xml:space="preserve"> عن رسول الله </w:t>
      </w:r>
      <w:r w:rsidR="004A4E41" w:rsidRPr="002141C7">
        <w:rPr>
          <w:rStyle w:val="libFootnoteAlaemChar"/>
          <w:rtl/>
        </w:rPr>
        <w:t>صلى‌الله‌عليه‌وآله</w:t>
      </w:r>
      <w:r w:rsidR="008A74EB" w:rsidRPr="00C9040A">
        <w:rPr>
          <w:rtl/>
        </w:rPr>
        <w:t xml:space="preserve"> ، مع زيادة في أوّله وآخره ، وفي كلّ المصادر</w:t>
      </w:r>
      <w:r w:rsidR="008A74EB">
        <w:rPr>
          <w:rtl/>
        </w:rPr>
        <w:t xml:space="preserve"> </w:t>
      </w:r>
      <w:r w:rsidR="0084262C">
        <w:rPr>
          <w:rtl/>
        </w:rPr>
        <w:t>-</w:t>
      </w:r>
      <w:r w:rsidR="008A74EB">
        <w:rPr>
          <w:rtl/>
        </w:rPr>
        <w:t xml:space="preserve"> </w:t>
      </w:r>
      <w:r w:rsidR="002141C7" w:rsidRPr="002141C7">
        <w:rPr>
          <w:rtl/>
        </w:rPr>
        <w:t>إل</w:t>
      </w:r>
      <w:r w:rsidR="002141C7">
        <w:rPr>
          <w:rFonts w:hint="cs"/>
          <w:rtl/>
        </w:rPr>
        <w:t>ّ</w:t>
      </w:r>
      <w:r w:rsidR="002141C7" w:rsidRPr="002141C7">
        <w:rPr>
          <w:rtl/>
        </w:rPr>
        <w:t>ا</w:t>
      </w:r>
      <w:r w:rsidR="008A74EB" w:rsidRPr="00993B55">
        <w:rPr>
          <w:rStyle w:val="libFootnoteBoldChar"/>
          <w:rFonts w:hint="cs"/>
          <w:rtl/>
        </w:rPr>
        <w:t xml:space="preserve"> </w:t>
      </w:r>
      <w:r w:rsidR="008A74EB" w:rsidRPr="00993B55">
        <w:rPr>
          <w:rStyle w:val="libFootnoteBoldChar"/>
          <w:rtl/>
        </w:rPr>
        <w:t>الكافي</w:t>
      </w:r>
      <w:r w:rsidR="008A74EB" w:rsidRPr="00C9040A">
        <w:rPr>
          <w:rtl/>
        </w:rPr>
        <w:t xml:space="preserve"> ح 3711</w:t>
      </w:r>
      <w:r w:rsidR="008A74EB">
        <w:rPr>
          <w:rtl/>
        </w:rPr>
        <w:t xml:space="preserve"> </w:t>
      </w:r>
      <w:r w:rsidR="0084262C">
        <w:rPr>
          <w:rtl/>
        </w:rPr>
        <w:t>-</w:t>
      </w:r>
      <w:r w:rsidR="008A74EB">
        <w:rPr>
          <w:rtl/>
        </w:rPr>
        <w:t xml:space="preserve"> </w:t>
      </w:r>
      <w:r w:rsidR="008A74EB" w:rsidRPr="00C9040A">
        <w:rPr>
          <w:rtl/>
        </w:rPr>
        <w:t xml:space="preserve">مع اختلاف يسير </w:t>
      </w:r>
      <w:r w:rsidR="002141C7">
        <w:rPr>
          <w:rFonts w:hint="cs"/>
          <w:rtl/>
        </w:rPr>
        <w:t>.</w:t>
      </w:r>
      <w:r w:rsidR="008A74EB" w:rsidRPr="00993B55">
        <w:rPr>
          <w:rStyle w:val="libFootnoteBoldChar"/>
          <w:rtl/>
        </w:rPr>
        <w:t>الوافي</w:t>
      </w:r>
      <w:r w:rsidR="008A74EB" w:rsidRPr="00C9040A">
        <w:rPr>
          <w:rtl/>
        </w:rPr>
        <w:t xml:space="preserve"> ، ج 5 ، ص 544 ، ح 2544 ؛ </w:t>
      </w:r>
      <w:r w:rsidR="008A74EB" w:rsidRPr="00993B55">
        <w:rPr>
          <w:rStyle w:val="libFootnoteBoldChar"/>
          <w:rtl/>
        </w:rPr>
        <w:t>الوسائل</w:t>
      </w:r>
      <w:r w:rsidR="008A74EB" w:rsidRPr="00C9040A">
        <w:rPr>
          <w:rtl/>
        </w:rPr>
        <w:t xml:space="preserve"> ، ج 12 ، ص 99 ، ح 15747 ؛ </w:t>
      </w:r>
      <w:r w:rsidR="008A74EB" w:rsidRPr="00993B55">
        <w:rPr>
          <w:rStyle w:val="libFootnoteBoldChar"/>
          <w:rtl/>
        </w:rPr>
        <w:t>البحار</w:t>
      </w:r>
      <w:r w:rsidR="008A74EB" w:rsidRPr="00C9040A">
        <w:rPr>
          <w:rtl/>
        </w:rPr>
        <w:t xml:space="preserve"> ، ج 75 ، ص 138 ، ح 2.</w:t>
      </w:r>
    </w:p>
    <w:p w:rsidR="008A74EB" w:rsidRPr="00C9040A" w:rsidRDefault="006C577F" w:rsidP="004A4E41">
      <w:pPr>
        <w:pStyle w:val="libFootnote0"/>
        <w:rPr>
          <w:rtl/>
          <w:lang w:bidi="fa-IR"/>
        </w:rPr>
      </w:pPr>
      <w:r>
        <w:rPr>
          <w:rtl/>
        </w:rPr>
        <w:t>(3).</w:t>
      </w:r>
      <w:r w:rsidR="008A74EB" w:rsidRPr="00C9040A">
        <w:rPr>
          <w:rtl/>
        </w:rPr>
        <w:t xml:space="preserve"> في « ف » : « كبيراً »</w:t>
      </w:r>
      <w:r w:rsidR="008A74EB">
        <w:rPr>
          <w:rtl/>
        </w:rPr>
        <w:t>.</w:t>
      </w:r>
    </w:p>
    <w:tbl>
      <w:tblPr>
        <w:tblStyle w:val="TableGrid"/>
        <w:bidiVisual/>
        <w:tblW w:w="0" w:type="auto"/>
        <w:tblLook w:val="04A0" w:firstRow="1" w:lastRow="0" w:firstColumn="1" w:lastColumn="0" w:noHBand="0" w:noVBand="1"/>
      </w:tblPr>
      <w:tblGrid>
        <w:gridCol w:w="4006"/>
        <w:gridCol w:w="4006"/>
      </w:tblGrid>
      <w:tr w:rsidR="002141C7" w:rsidTr="002141C7">
        <w:tc>
          <w:tcPr>
            <w:tcW w:w="4006" w:type="dxa"/>
          </w:tcPr>
          <w:p w:rsidR="002141C7" w:rsidRDefault="002141C7" w:rsidP="004A4E41">
            <w:pPr>
              <w:pStyle w:val="libFootnote0"/>
              <w:rPr>
                <w:rtl/>
              </w:rPr>
            </w:pPr>
            <w:r>
              <w:rPr>
                <w:rtl/>
              </w:rPr>
              <w:t>(4).</w:t>
            </w:r>
            <w:r w:rsidRPr="00C9040A">
              <w:rPr>
                <w:rtl/>
              </w:rPr>
              <w:t xml:space="preserve"> في حاشية « ف » والوافي : « ولم يرحم »</w:t>
            </w:r>
            <w:r>
              <w:rPr>
                <w:rtl/>
              </w:rPr>
              <w:t>.</w:t>
            </w:r>
          </w:p>
        </w:tc>
        <w:tc>
          <w:tcPr>
            <w:tcW w:w="4006" w:type="dxa"/>
          </w:tcPr>
          <w:p w:rsidR="002141C7" w:rsidRDefault="002141C7" w:rsidP="004A4E41">
            <w:pPr>
              <w:pStyle w:val="libFootnote0"/>
              <w:rPr>
                <w:rtl/>
              </w:rPr>
            </w:pPr>
            <w:r>
              <w:rPr>
                <w:rtl/>
              </w:rPr>
              <w:t>(5).</w:t>
            </w:r>
            <w:r w:rsidRPr="00C9040A">
              <w:rPr>
                <w:rtl/>
              </w:rPr>
              <w:t xml:space="preserve"> في « ف » : « صغيراً »</w:t>
            </w:r>
            <w:r>
              <w:rPr>
                <w:rtl/>
              </w:rPr>
              <w:t>.</w:t>
            </w:r>
          </w:p>
        </w:tc>
      </w:tr>
    </w:tbl>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الجعفريّات</w:t>
      </w:r>
      <w:r w:rsidR="008A74EB" w:rsidRPr="00C9040A">
        <w:rPr>
          <w:rtl/>
        </w:rPr>
        <w:t xml:space="preserve"> ، ص 183 ، بسند آخر عن جعفر بن محمّد ، عن آبائه </w:t>
      </w:r>
      <w:r w:rsidR="00117575" w:rsidRPr="00117575">
        <w:rPr>
          <w:rStyle w:val="libFootnoteAlaemChar"/>
          <w:rtl/>
        </w:rPr>
        <w:t>عليهم‌السلام</w:t>
      </w:r>
      <w:r w:rsidR="008A74EB" w:rsidRPr="00C9040A">
        <w:rPr>
          <w:rtl/>
        </w:rPr>
        <w:t xml:space="preserve"> عن النبيّ </w:t>
      </w:r>
      <w:r w:rsidR="004A4E41" w:rsidRPr="002141C7">
        <w:rPr>
          <w:rStyle w:val="libFootnoteAlaemChar"/>
          <w:rtl/>
        </w:rPr>
        <w:t>صلى‌الله‌عليه‌وآله</w:t>
      </w:r>
      <w:r w:rsidR="008A74EB" w:rsidRPr="00C9040A">
        <w:rPr>
          <w:rtl/>
        </w:rPr>
        <w:t xml:space="preserve"> ، مع زيادة : « ويعرف فضلنا أهل البيت »</w:t>
      </w:r>
      <w:r w:rsidR="008A74EB">
        <w:rPr>
          <w:rtl/>
        </w:rPr>
        <w:t>.</w:t>
      </w:r>
      <w:r w:rsidR="008A74EB" w:rsidRPr="00C9040A">
        <w:rPr>
          <w:rtl/>
        </w:rPr>
        <w:t xml:space="preserve"> </w:t>
      </w:r>
      <w:r w:rsidR="008A74EB" w:rsidRPr="0034021D">
        <w:rPr>
          <w:rStyle w:val="libFootnoteBoldChar"/>
          <w:rtl/>
        </w:rPr>
        <w:t>الأمالي للمفيد</w:t>
      </w:r>
      <w:r w:rsidR="008A74EB" w:rsidRPr="00C9040A">
        <w:rPr>
          <w:rtl/>
        </w:rPr>
        <w:t xml:space="preserve"> ، ص 18 ، المجلس 2 ، ح 6 ، بسند آخر عن النبيّ </w:t>
      </w:r>
      <w:r w:rsidR="004A4E41" w:rsidRPr="002141C7">
        <w:rPr>
          <w:rStyle w:val="libFootnoteAlaemChar"/>
          <w:rtl/>
        </w:rPr>
        <w:t>صلى‌الله‌عليه‌وآله</w:t>
      </w:r>
      <w:r w:rsidR="008A74EB" w:rsidRPr="00C9040A">
        <w:rPr>
          <w:rtl/>
        </w:rPr>
        <w:t xml:space="preserve"> ، مع زيادة : « ويعرف حقّنا » </w:t>
      </w:r>
      <w:r w:rsidR="002141C7">
        <w:rPr>
          <w:rFonts w:hint="cs"/>
          <w:rtl/>
        </w:rPr>
        <w:t>.</w:t>
      </w:r>
      <w:r w:rsidR="008A74EB" w:rsidRPr="00993B55">
        <w:rPr>
          <w:rStyle w:val="libFootnoteBoldChar"/>
          <w:rtl/>
        </w:rPr>
        <w:t>الوافي</w:t>
      </w:r>
      <w:r w:rsidR="008A74EB" w:rsidRPr="00C9040A">
        <w:rPr>
          <w:rtl/>
        </w:rPr>
        <w:t xml:space="preserve"> ، ج 5 ، ص 544 ، ح 2545 ؛ </w:t>
      </w:r>
      <w:r w:rsidR="008A74EB" w:rsidRPr="00993B55">
        <w:rPr>
          <w:rStyle w:val="libFootnoteBoldChar"/>
          <w:rtl/>
        </w:rPr>
        <w:t>الوسائل</w:t>
      </w:r>
      <w:r w:rsidR="008A74EB" w:rsidRPr="00C9040A">
        <w:rPr>
          <w:rtl/>
        </w:rPr>
        <w:t xml:space="preserve"> ، ج 12 ، ص 98 ، ح 15742 ؛ </w:t>
      </w:r>
      <w:r w:rsidR="008A74EB" w:rsidRPr="00993B55">
        <w:rPr>
          <w:rStyle w:val="libFootnoteBoldChar"/>
          <w:rtl/>
        </w:rPr>
        <w:t>البحار</w:t>
      </w:r>
      <w:r w:rsidR="008A74EB" w:rsidRPr="00C9040A">
        <w:rPr>
          <w:rtl/>
        </w:rPr>
        <w:t xml:space="preserve"> ، ج 75 ، ص 138 ، ح 3.</w:t>
      </w:r>
    </w:p>
    <w:p w:rsidR="008A74EB" w:rsidRPr="00C9040A" w:rsidRDefault="006C577F" w:rsidP="004A4E41">
      <w:pPr>
        <w:pStyle w:val="libFootnote0"/>
        <w:rPr>
          <w:rtl/>
          <w:lang w:bidi="fa-IR"/>
        </w:rPr>
      </w:pPr>
      <w:r>
        <w:rPr>
          <w:rtl/>
        </w:rPr>
        <w:t>(7).</w:t>
      </w:r>
      <w:r w:rsidR="008A74EB" w:rsidRPr="00C9040A">
        <w:rPr>
          <w:rtl/>
        </w:rPr>
        <w:t xml:space="preserve"> لم نجد رواية ابن أبي عمير عن عبد الله بن أبان ، ولا رواية عبد الله بن أبان عن الوصّافي في غير سند هذا</w:t>
      </w:r>
      <w:r w:rsidR="008A74EB">
        <w:rPr>
          <w:rFonts w:hint="cs"/>
          <w:rtl/>
        </w:rPr>
        <w:t xml:space="preserve"> </w:t>
      </w:r>
      <w:r w:rsidR="008A74EB" w:rsidRPr="00C9040A">
        <w:rPr>
          <w:rtl/>
        </w:rPr>
        <w:t>الخبر.</w:t>
      </w:r>
    </w:p>
    <w:p w:rsidR="008A74EB" w:rsidRPr="00C9040A" w:rsidRDefault="008A74EB" w:rsidP="004A4E41">
      <w:pPr>
        <w:pStyle w:val="libFootnote0"/>
        <w:rPr>
          <w:rtl/>
          <w:lang w:bidi="fa-IR"/>
        </w:rPr>
      </w:pPr>
      <w:r w:rsidRPr="00323A39">
        <w:rPr>
          <w:rtl/>
        </w:rPr>
        <w:t xml:space="preserve">والخبر أورده الطبرسي في </w:t>
      </w:r>
      <w:r w:rsidRPr="00993B55">
        <w:rPr>
          <w:rStyle w:val="libFootnoteBoldChar"/>
          <w:rtl/>
        </w:rPr>
        <w:t>مشكاة الأنوار</w:t>
      </w:r>
      <w:r w:rsidRPr="00323A39">
        <w:rPr>
          <w:rtl/>
        </w:rPr>
        <w:t xml:space="preserve"> ، ص 295 عن عبد الله بن أبان ، عن الرضا </w:t>
      </w:r>
      <w:r w:rsidR="00117575" w:rsidRPr="00117575">
        <w:rPr>
          <w:rStyle w:val="libFootnoteAlaemChar"/>
          <w:rtl/>
        </w:rPr>
        <w:t>عليه‌السلام</w:t>
      </w:r>
      <w:r w:rsidRPr="00323A39">
        <w:rPr>
          <w:rtl/>
        </w:rPr>
        <w:t xml:space="preserve"> ، قال : « يا عبد الله عظّموا كباركم » الخبر. والظاهر صحّة ما في </w:t>
      </w:r>
      <w:r w:rsidRPr="00993B55">
        <w:rPr>
          <w:rStyle w:val="libFootnoteBoldChar"/>
          <w:rtl/>
        </w:rPr>
        <w:t>مشكاة الأنوار</w:t>
      </w:r>
      <w:r w:rsidRPr="00323A39">
        <w:rPr>
          <w:rtl/>
        </w:rPr>
        <w:t xml:space="preserve"> ، ووقوع التحريف في ما نحن فيه.</w:t>
      </w:r>
    </w:p>
    <w:p w:rsidR="008A74EB" w:rsidRPr="00C9040A" w:rsidRDefault="008A74EB" w:rsidP="004A4E41">
      <w:pPr>
        <w:pStyle w:val="libFootnote0"/>
        <w:rPr>
          <w:rtl/>
          <w:lang w:bidi="fa-IR"/>
        </w:rPr>
      </w:pPr>
      <w:r w:rsidRPr="00323A39">
        <w:rPr>
          <w:rtl/>
        </w:rPr>
        <w:t xml:space="preserve">يؤيّد ذلك ما ورد في </w:t>
      </w:r>
      <w:r w:rsidRPr="00993B55">
        <w:rPr>
          <w:rStyle w:val="libFootnoteBoldChar"/>
          <w:rtl/>
        </w:rPr>
        <w:t>رجال البرقي</w:t>
      </w:r>
      <w:r w:rsidRPr="00323A39">
        <w:rPr>
          <w:rtl/>
        </w:rPr>
        <w:t xml:space="preserve"> ، ص 53 ، و</w:t>
      </w:r>
      <w:r w:rsidRPr="00993B55">
        <w:rPr>
          <w:rStyle w:val="libFootnoteBoldChar"/>
          <w:rtl/>
        </w:rPr>
        <w:t xml:space="preserve">رجال الطوسي </w:t>
      </w:r>
      <w:r w:rsidRPr="00323A39">
        <w:rPr>
          <w:rtl/>
        </w:rPr>
        <w:t xml:space="preserve">، ص 362 ، الرقم 5358 ؛ من عَدِّ عبد الله بن أبان من أصحاب أبي الحسن الرضا </w:t>
      </w:r>
      <w:r w:rsidR="00117575" w:rsidRPr="00117575">
        <w:rPr>
          <w:rStyle w:val="libFootnoteAlaemChar"/>
          <w:rtl/>
        </w:rPr>
        <w:t xml:space="preserve">عليه‌السلام </w:t>
      </w:r>
      <w:r w:rsidRPr="00323A39">
        <w:rPr>
          <w:rtl/>
        </w:rPr>
        <w:t xml:space="preserve">. وكذا ما ورد في </w:t>
      </w:r>
      <w:r w:rsidRPr="00993B55">
        <w:rPr>
          <w:rStyle w:val="libFootnoteBoldChar"/>
          <w:rtl/>
        </w:rPr>
        <w:t>الكافي</w:t>
      </w:r>
      <w:r w:rsidRPr="00323A39">
        <w:rPr>
          <w:rtl/>
        </w:rPr>
        <w:t xml:space="preserve"> ، ح 586 ؛ </w:t>
      </w:r>
      <w:r w:rsidRPr="00993B55">
        <w:rPr>
          <w:rStyle w:val="libFootnoteBoldChar"/>
          <w:rtl/>
        </w:rPr>
        <w:t>التهذيب</w:t>
      </w:r>
      <w:r w:rsidRPr="00323A39">
        <w:rPr>
          <w:rtl/>
        </w:rPr>
        <w:t xml:space="preserve"> ، ج 3 ، ص 325 ، ح 1341 ؛ </w:t>
      </w:r>
      <w:r w:rsidRPr="00993B55">
        <w:rPr>
          <w:rStyle w:val="libFootnoteBoldChar"/>
          <w:rtl/>
        </w:rPr>
        <w:t>بصائر الدرجات</w:t>
      </w:r>
      <w:r w:rsidRPr="00323A39">
        <w:rPr>
          <w:rtl/>
        </w:rPr>
        <w:t xml:space="preserve"> ، ص 429 ، ح 2 ؛ وص 430 ، ح 8 و 9 و 11 ؛ وص 515 ، ح 38 ؛ من رواية عبد الله بن أبان [ الزيّات ] عن أبي الحسن الرضا </w:t>
      </w:r>
      <w:r w:rsidR="00117575" w:rsidRPr="00117575">
        <w:rPr>
          <w:rStyle w:val="libFootnoteAlaemChar"/>
          <w:rtl/>
        </w:rPr>
        <w:t>عليه‌السلام</w:t>
      </w:r>
      <w:r w:rsidRPr="00323A39">
        <w:rPr>
          <w:rtl/>
        </w:rPr>
        <w:t>. والراوي عن عبد الله في بعض تلك المواضع هو محمّد بن عمرو [ الزيّات ].</w:t>
      </w:r>
    </w:p>
    <w:p w:rsidR="008A74EB" w:rsidRPr="00C9040A" w:rsidRDefault="008A74EB" w:rsidP="004A4E41">
      <w:pPr>
        <w:pStyle w:val="libFootnote0"/>
        <w:rPr>
          <w:rtl/>
          <w:lang w:bidi="fa-IR"/>
        </w:rPr>
      </w:pPr>
      <w:r w:rsidRPr="0082575F">
        <w:rPr>
          <w:rtl/>
        </w:rPr>
        <w:t xml:space="preserve">والمحتمل قويّاً أنّ الأصل في ما نحن فيه كان هكذا : « محمّد بن عمرو عن عبد الله بن أبان » ، ثمّ صحّف </w:t>
      </w:r>
      <w:r w:rsidR="002141C7">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الْوَصَّافِيِّ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عَظِّمُوا كِبَارَكُمْ </w:t>
      </w:r>
      <w:r w:rsidR="006C577F" w:rsidRPr="006C577F">
        <w:rPr>
          <w:rStyle w:val="libFootnotenumChar"/>
          <w:rtl/>
        </w:rPr>
        <w:t>(1)</w:t>
      </w:r>
      <w:r w:rsidRPr="00C9040A">
        <w:rPr>
          <w:rtl/>
          <w:lang w:bidi="fa-IR"/>
        </w:rPr>
        <w:t xml:space="preserve"> ، وَصِلُوا أَرْحَامَكُمْ ، وَلَيْسَ تَصِلُونَهُمْ بِشَيْ‌ءٍ أَفْضَلَ مِنْ كَفِّ الْأَذى عَنْهُمْ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Heading2Center"/>
        <w:rPr>
          <w:rtl/>
          <w:lang w:bidi="fa-IR"/>
        </w:rPr>
      </w:pPr>
      <w:bookmarkStart w:id="226" w:name="_Toc343795663"/>
      <w:bookmarkStart w:id="227" w:name="_Toc459810787"/>
      <w:bookmarkStart w:id="228" w:name="_Toc35348693"/>
      <w:r w:rsidRPr="00C9040A">
        <w:rPr>
          <w:rtl/>
          <w:lang w:bidi="fa-IR"/>
        </w:rPr>
        <w:t>72</w:t>
      </w:r>
      <w:r>
        <w:rPr>
          <w:rtl/>
          <w:lang w:bidi="fa-IR"/>
        </w:rPr>
        <w:t xml:space="preserve"> </w:t>
      </w:r>
      <w:r w:rsidR="0084262C">
        <w:rPr>
          <w:rtl/>
          <w:lang w:bidi="fa-IR"/>
        </w:rPr>
        <w:t>-</w:t>
      </w:r>
      <w:r>
        <w:rPr>
          <w:rtl/>
          <w:lang w:bidi="fa-IR"/>
        </w:rPr>
        <w:t xml:space="preserve"> </w:t>
      </w:r>
      <w:r w:rsidRPr="00C9040A">
        <w:rPr>
          <w:rtl/>
          <w:lang w:bidi="fa-IR"/>
        </w:rPr>
        <w:t xml:space="preserve">بَابُ أُخُوَّةِ الْمُؤْمِنِينَ بَعْضِهِمْ لِبَعْضٍ </w:t>
      </w:r>
      <w:r w:rsidR="006C577F" w:rsidRPr="006C577F">
        <w:rPr>
          <w:rStyle w:val="libFootnotenumChar"/>
          <w:rtl/>
        </w:rPr>
        <w:t>(3)</w:t>
      </w:r>
      <w:r w:rsidRPr="00C9040A">
        <w:rPr>
          <w:rtl/>
          <w:lang w:bidi="fa-IR"/>
        </w:rPr>
        <w:t xml:space="preserve"> ‌</w:t>
      </w:r>
      <w:bookmarkEnd w:id="226"/>
      <w:bookmarkEnd w:id="227"/>
      <w:bookmarkEnd w:id="228"/>
    </w:p>
    <w:p w:rsidR="008A74EB" w:rsidRPr="00C9040A" w:rsidRDefault="008A74EB" w:rsidP="008A74EB">
      <w:pPr>
        <w:pStyle w:val="libNormal"/>
        <w:rPr>
          <w:rtl/>
          <w:lang w:bidi="fa-IR"/>
        </w:rPr>
      </w:pPr>
      <w:r w:rsidRPr="00261CB0">
        <w:rPr>
          <w:rStyle w:val="libBold2Char"/>
          <w:rtl/>
        </w:rPr>
        <w:t>2042 / 1.</w:t>
      </w:r>
      <w:r w:rsidRPr="00C9040A">
        <w:rPr>
          <w:rtl/>
          <w:lang w:bidi="fa-IR"/>
        </w:rPr>
        <w:t xml:space="preserve"> عِدَّةٌ مِنْ أَصْحَابِنَا ، عَنْ أَحْمَدَ بْنِ مُحَمَّدِ بْنِ خَالِدٍ ، عَنْ عُثْمَانَ بْنِ عِيسى ، عَنِ الْمُفَضَّلِ بْنِ عُمَرَ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w:t>
      </w:r>
      <w:r w:rsidRPr="0003660B">
        <w:rPr>
          <w:rStyle w:val="libAlaemChar"/>
          <w:rtl/>
        </w:rPr>
        <w:t>(</w:t>
      </w:r>
      <w:r w:rsidRPr="006A2246">
        <w:rPr>
          <w:rStyle w:val="libAieChar"/>
          <w:rtl/>
        </w:rPr>
        <w:t xml:space="preserve"> إِنَّمَا</w:t>
      </w:r>
      <w:r>
        <w:rPr>
          <w:rFonts w:hint="cs"/>
          <w:rtl/>
        </w:rPr>
        <w:t xml:space="preserve"> </w:t>
      </w:r>
      <w:r w:rsidR="006C577F" w:rsidRPr="006C577F">
        <w:rPr>
          <w:rStyle w:val="libFootnotenumChar"/>
          <w:rtl/>
        </w:rPr>
        <w:t>(4)</w:t>
      </w:r>
      <w:r>
        <w:rPr>
          <w:rFonts w:hint="cs"/>
          <w:rtl/>
        </w:rPr>
        <w:t xml:space="preserve"> </w:t>
      </w:r>
      <w:r w:rsidRPr="006A2246">
        <w:rPr>
          <w:rStyle w:val="libAieChar"/>
          <w:rtl/>
        </w:rPr>
        <w:t xml:space="preserve">الْمُؤْمِنُونَ إِخْوَةٌ </w:t>
      </w:r>
      <w:r w:rsidRPr="0003660B">
        <w:rPr>
          <w:rStyle w:val="libAlaemChar"/>
          <w:rtl/>
        </w:rPr>
        <w:t>)</w:t>
      </w:r>
      <w:r w:rsidRPr="00C9040A">
        <w:rPr>
          <w:rtl/>
          <w:lang w:bidi="fa-IR"/>
        </w:rPr>
        <w:t xml:space="preserve"> ، بَنُو أَبٍ وَأُمٍّ </w:t>
      </w:r>
      <w:r w:rsidR="006C577F" w:rsidRPr="006C577F">
        <w:rPr>
          <w:rStyle w:val="libFootnotenumChar"/>
          <w:rtl/>
        </w:rPr>
        <w:t>(5)</w:t>
      </w:r>
      <w:r w:rsidRPr="00C9040A">
        <w:rPr>
          <w:rtl/>
          <w:lang w:bidi="fa-IR"/>
        </w:rPr>
        <w:t xml:space="preserve"> ، وَإِذَا </w:t>
      </w:r>
      <w:r w:rsidR="006C577F" w:rsidRPr="006C577F">
        <w:rPr>
          <w:rStyle w:val="libFootnotenumChar"/>
          <w:rtl/>
        </w:rPr>
        <w:t>(6)</w:t>
      </w:r>
      <w:r w:rsidRPr="005B567D">
        <w:rPr>
          <w:rStyle w:val="libFootnotenumChar"/>
          <w:rtl/>
        </w:rPr>
        <w:t xml:space="preserve"> </w:t>
      </w:r>
      <w:r w:rsidRPr="00C9040A">
        <w:rPr>
          <w:rtl/>
          <w:lang w:bidi="fa-IR"/>
        </w:rPr>
        <w:t xml:space="preserve">ضَرَبَ </w:t>
      </w:r>
      <w:r w:rsidR="006C577F" w:rsidRPr="006C577F">
        <w:rPr>
          <w:rStyle w:val="libFootnotenumChar"/>
          <w:rtl/>
        </w:rPr>
        <w:t>(7)</w:t>
      </w:r>
      <w:r w:rsidRPr="00C9040A">
        <w:rPr>
          <w:rtl/>
          <w:lang w:bidi="fa-IR"/>
        </w:rPr>
        <w:t xml:space="preserve"> عَلى رَجُلٍ‌</w:t>
      </w:r>
    </w:p>
    <w:p w:rsidR="008A74EB" w:rsidRPr="00C9040A" w:rsidRDefault="008A74EB" w:rsidP="008A74EB">
      <w:pPr>
        <w:pStyle w:val="libLine"/>
        <w:rPr>
          <w:rtl/>
          <w:lang w:bidi="fa-IR"/>
        </w:rPr>
      </w:pPr>
      <w:r w:rsidRPr="00C9040A">
        <w:rPr>
          <w:rtl/>
          <w:lang w:bidi="fa-IR"/>
        </w:rPr>
        <w:t>__________________</w:t>
      </w:r>
    </w:p>
    <w:p w:rsidR="008A74EB" w:rsidRPr="00C9040A" w:rsidRDefault="002141C7" w:rsidP="002141C7">
      <w:pPr>
        <w:pStyle w:val="libFootnote0"/>
        <w:rPr>
          <w:rtl/>
          <w:lang w:bidi="fa-IR"/>
        </w:rPr>
      </w:pPr>
      <w:r>
        <w:rPr>
          <w:rFonts w:hint="cs"/>
          <w:rtl/>
        </w:rPr>
        <w:t xml:space="preserve">= </w:t>
      </w:r>
      <w:r w:rsidR="008A74EB" w:rsidRPr="0082575F">
        <w:rPr>
          <w:rtl/>
        </w:rPr>
        <w:t>« محمّد بن عمرو »</w:t>
      </w:r>
      <w:r w:rsidR="008A74EB">
        <w:rPr>
          <w:rtl/>
        </w:rPr>
        <w:t xml:space="preserve"> ب</w:t>
      </w:r>
      <w:r>
        <w:rPr>
          <w:rFonts w:hint="cs"/>
          <w:rtl/>
        </w:rPr>
        <w:t>ـ</w:t>
      </w:r>
      <w:r w:rsidR="008A74EB">
        <w:rPr>
          <w:rtl/>
        </w:rPr>
        <w:t xml:space="preserve"> «</w:t>
      </w:r>
      <w:r w:rsidR="008A74EB" w:rsidRPr="0082575F">
        <w:rPr>
          <w:rtl/>
        </w:rPr>
        <w:t xml:space="preserve"> محمّد بن أبي عمير » ثمّ اختصر العنوان فعبّر عنه بابن أبي عمير فتُلقّي الخبر من أحاديث ابن أبي عمير وأضاف المصنّف إليه أحد طرقه المعروفة إلى أخباره. وهذا النوع من التصحيف كثير في النسخ لا يسع المجال ذكر موارده.</w:t>
      </w:r>
    </w:p>
    <w:p w:rsidR="008A74EB" w:rsidRPr="00C9040A" w:rsidRDefault="008A74EB" w:rsidP="004A4E41">
      <w:pPr>
        <w:pStyle w:val="libFootnote0"/>
        <w:rPr>
          <w:rtl/>
          <w:lang w:bidi="fa-IR"/>
        </w:rPr>
      </w:pPr>
      <w:r w:rsidRPr="0082575F">
        <w:rPr>
          <w:rtl/>
        </w:rPr>
        <w:t>يؤيّد ذلك أنّا لم نجد رواية ابن أبي عمير</w:t>
      </w:r>
      <w:r>
        <w:rPr>
          <w:rtl/>
        </w:rPr>
        <w:t xml:space="preserve"> </w:t>
      </w:r>
      <w:r w:rsidR="0084262C">
        <w:rPr>
          <w:rtl/>
        </w:rPr>
        <w:t>-</w:t>
      </w:r>
      <w:r>
        <w:rPr>
          <w:rtl/>
        </w:rPr>
        <w:t xml:space="preserve"> </w:t>
      </w:r>
      <w:r w:rsidRPr="0082575F">
        <w:rPr>
          <w:rtl/>
        </w:rPr>
        <w:t>بعناوينه المختلفة</w:t>
      </w:r>
      <w:r>
        <w:rPr>
          <w:rtl/>
        </w:rPr>
        <w:t xml:space="preserve"> </w:t>
      </w:r>
      <w:r w:rsidR="0084262C">
        <w:rPr>
          <w:rtl/>
        </w:rPr>
        <w:t>-</w:t>
      </w:r>
      <w:r>
        <w:rPr>
          <w:rtl/>
        </w:rPr>
        <w:t xml:space="preserve"> </w:t>
      </w:r>
      <w:r w:rsidRPr="0082575F">
        <w:rPr>
          <w:rtl/>
        </w:rPr>
        <w:t>عن عبدالله بن أبان في غير سند هذا الخبر.</w:t>
      </w:r>
    </w:p>
    <w:p w:rsidR="008A74EB" w:rsidRDefault="008A74EB" w:rsidP="002141C7">
      <w:pPr>
        <w:pStyle w:val="libFootnote0"/>
        <w:rPr>
          <w:rtl/>
        </w:rPr>
      </w:pPr>
      <w:r w:rsidRPr="00323A39">
        <w:rPr>
          <w:rtl/>
        </w:rPr>
        <w:t xml:space="preserve">ثمّ إنّ تصحيف « الرضا </w:t>
      </w:r>
      <w:r w:rsidR="00117575" w:rsidRPr="00117575">
        <w:rPr>
          <w:rStyle w:val="libFootnoteAlaemChar"/>
          <w:rtl/>
        </w:rPr>
        <w:t>عليه‌السلام</w:t>
      </w:r>
      <w:r w:rsidRPr="00323A39">
        <w:rPr>
          <w:rtl/>
        </w:rPr>
        <w:t xml:space="preserve"> قال : يا عبد الله » ب</w:t>
      </w:r>
      <w:r w:rsidR="002141C7">
        <w:rPr>
          <w:rFonts w:hint="cs"/>
          <w:rtl/>
        </w:rPr>
        <w:t>ـ</w:t>
      </w:r>
      <w:r w:rsidRPr="00323A39">
        <w:rPr>
          <w:rtl/>
        </w:rPr>
        <w:t xml:space="preserve"> « الوصّافي قال : قال أبو عبد الله » ممّا لا معونة له في بعض الخطوط القديمة.</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الوسائل : « كبراءكم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الكافي</w:t>
      </w:r>
      <w:r w:rsidR="008A74EB" w:rsidRPr="00C9040A">
        <w:rPr>
          <w:rtl/>
        </w:rPr>
        <w:t xml:space="preserve"> ، كتاب الإيمان والكفر ، باب صلة الرحم ، ح 1982 ؛ و</w:t>
      </w:r>
      <w:r w:rsidR="008A74EB" w:rsidRPr="00993B55">
        <w:rPr>
          <w:rStyle w:val="libFootnoteBoldChar"/>
          <w:rtl/>
        </w:rPr>
        <w:t>قرب الإسناد</w:t>
      </w:r>
      <w:r w:rsidR="008A74EB" w:rsidRPr="00C9040A">
        <w:rPr>
          <w:rtl/>
        </w:rPr>
        <w:t xml:space="preserve"> ، ص 355 ، ح 1272 ، بسند آخر عن أبي الحسن الرضا ، عن أبي عبد الله </w:t>
      </w:r>
      <w:r w:rsidR="00117575" w:rsidRPr="00117575">
        <w:rPr>
          <w:rStyle w:val="libFootnoteAlaemChar"/>
          <w:rtl/>
        </w:rPr>
        <w:t>عليهما‌السلام</w:t>
      </w:r>
      <w:r w:rsidR="008A74EB" w:rsidRPr="00C9040A">
        <w:rPr>
          <w:rtl/>
        </w:rPr>
        <w:t xml:space="preserve">. </w:t>
      </w:r>
      <w:r w:rsidR="008A74EB" w:rsidRPr="00993B55">
        <w:rPr>
          <w:rStyle w:val="libFootnoteBoldChar"/>
          <w:rtl/>
        </w:rPr>
        <w:t>تحف العقول</w:t>
      </w:r>
      <w:r w:rsidR="008A74EB" w:rsidRPr="00C9040A">
        <w:rPr>
          <w:rtl/>
        </w:rPr>
        <w:t xml:space="preserve"> ، ص 445 ، عن الرضا </w:t>
      </w:r>
      <w:r w:rsidR="00117575" w:rsidRPr="00117575">
        <w:rPr>
          <w:rStyle w:val="libFootnoteAlaemChar"/>
          <w:rtl/>
        </w:rPr>
        <w:t>عليه‌السلام</w:t>
      </w:r>
      <w:r w:rsidR="008A74EB" w:rsidRPr="00C9040A">
        <w:rPr>
          <w:rtl/>
        </w:rPr>
        <w:t xml:space="preserve"> ، وفي كلّها : « أفضل ما توصل به الرحم كفّ الأذى عنها » مع زيادة في أوّله وآخره </w:t>
      </w:r>
      <w:r w:rsidR="008A74EB" w:rsidRPr="00993B55">
        <w:rPr>
          <w:rStyle w:val="libFootnoteBoldChar"/>
          <w:rtl/>
        </w:rPr>
        <w:t>الوافي</w:t>
      </w:r>
      <w:r w:rsidR="008A74EB" w:rsidRPr="00C9040A">
        <w:rPr>
          <w:rtl/>
        </w:rPr>
        <w:t xml:space="preserve"> ، ج 5 ، ص 544 ، ح 2546 ؛ </w:t>
      </w:r>
      <w:r w:rsidR="008A74EB" w:rsidRPr="00993B55">
        <w:rPr>
          <w:rStyle w:val="libFootnoteBoldChar"/>
          <w:rtl/>
        </w:rPr>
        <w:t>الوسائل</w:t>
      </w:r>
      <w:r w:rsidR="008A74EB" w:rsidRPr="00C9040A">
        <w:rPr>
          <w:rtl/>
        </w:rPr>
        <w:t xml:space="preserve"> ، ج 12 ، ص 98 ، ح 15745 ؛ </w:t>
      </w:r>
      <w:r w:rsidR="008A74EB" w:rsidRPr="00993B55">
        <w:rPr>
          <w:rStyle w:val="libFootnoteBoldChar"/>
          <w:rtl/>
        </w:rPr>
        <w:t>وفيه</w:t>
      </w:r>
      <w:r w:rsidR="008A74EB" w:rsidRPr="00C9040A">
        <w:rPr>
          <w:rtl/>
        </w:rPr>
        <w:t xml:space="preserve"> ، ص 99 ، ح 15746 ، من قوله : « وليس تصلونهم » ؛ </w:t>
      </w:r>
      <w:r w:rsidR="008A74EB" w:rsidRPr="00993B55">
        <w:rPr>
          <w:rStyle w:val="libFootnoteBoldChar"/>
          <w:rtl/>
        </w:rPr>
        <w:t>البحار</w:t>
      </w:r>
      <w:r w:rsidR="008A74EB" w:rsidRPr="00C9040A">
        <w:rPr>
          <w:rtl/>
        </w:rPr>
        <w:t xml:space="preserve"> ، ج 75 ، ص 139 ، ح 4.</w:t>
      </w:r>
    </w:p>
    <w:p w:rsidR="008A74EB" w:rsidRPr="00C9040A" w:rsidRDefault="006C577F" w:rsidP="004A4E41">
      <w:pPr>
        <w:pStyle w:val="libFootnote0"/>
        <w:rPr>
          <w:rtl/>
          <w:lang w:bidi="fa-IR"/>
        </w:rPr>
      </w:pPr>
      <w:r>
        <w:rPr>
          <w:rtl/>
        </w:rPr>
        <w:t>(3).</w:t>
      </w:r>
      <w:r w:rsidR="008A74EB" w:rsidRPr="00C9040A">
        <w:rPr>
          <w:rtl/>
        </w:rPr>
        <w:t xml:space="preserve"> في « بر » : « باب أنّ المؤمنين بعضهم لبعض إخوة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المؤمن </w:t>
      </w:r>
      <w:r w:rsidR="008A74EB">
        <w:rPr>
          <w:rtl/>
        </w:rPr>
        <w:t xml:space="preserve">: </w:t>
      </w:r>
      <w:r w:rsidR="0084262C">
        <w:rPr>
          <w:rtl/>
        </w:rPr>
        <w:t>-</w:t>
      </w:r>
      <w:r w:rsidR="008A74EB" w:rsidRPr="00C9040A">
        <w:rPr>
          <w:rtl/>
        </w:rPr>
        <w:t xml:space="preserve"> « إنّما »</w:t>
      </w:r>
      <w:r w:rsidR="008A74EB">
        <w:rPr>
          <w:rtl/>
        </w:rPr>
        <w:t>.</w:t>
      </w:r>
    </w:p>
    <w:p w:rsidR="008A74EB" w:rsidRPr="00C9040A" w:rsidRDefault="006C577F" w:rsidP="002141C7">
      <w:pPr>
        <w:pStyle w:val="libFootnote0"/>
        <w:rPr>
          <w:rtl/>
          <w:lang w:bidi="fa-IR"/>
        </w:rPr>
      </w:pPr>
      <w:r>
        <w:rPr>
          <w:rtl/>
        </w:rPr>
        <w:t>(5).</w:t>
      </w:r>
      <w:r w:rsidR="008A74EB" w:rsidRPr="00C9040A">
        <w:rPr>
          <w:rtl/>
        </w:rPr>
        <w:t xml:space="preserve"> في </w:t>
      </w:r>
      <w:r w:rsidR="008A74EB" w:rsidRPr="00993B55">
        <w:rPr>
          <w:rStyle w:val="libFootnoteBoldChar"/>
          <w:rtl/>
        </w:rPr>
        <w:t>الوافي</w:t>
      </w:r>
      <w:r w:rsidR="008A74EB" w:rsidRPr="00C9040A">
        <w:rPr>
          <w:rtl/>
        </w:rPr>
        <w:t xml:space="preserve"> : « ا</w:t>
      </w:r>
      <w:r w:rsidR="002141C7">
        <w:rPr>
          <w:rFonts w:hint="cs"/>
          <w:rtl/>
        </w:rPr>
        <w:t>ُ</w:t>
      </w:r>
      <w:r w:rsidR="008A74EB" w:rsidRPr="00C9040A">
        <w:rPr>
          <w:rtl/>
        </w:rPr>
        <w:t>ريد بالأب روح الله الّذي نفخ منه في طينة المؤمن ، وبالا</w:t>
      </w:r>
      <w:r w:rsidR="002141C7">
        <w:rPr>
          <w:rFonts w:hint="cs"/>
          <w:rtl/>
        </w:rPr>
        <w:t>ُ</w:t>
      </w:r>
      <w:r w:rsidR="008A74EB" w:rsidRPr="00C9040A">
        <w:rPr>
          <w:rtl/>
        </w:rPr>
        <w:t>مّ الماء العذب والتربة الطيّبة اللذين مضى شرحهما في أوائل هذا الكتاب كما يظهر من الأخبار الآتية ، لا آدم وحوّاء كما يتبادر إلى الأذهان ؛ لعدم اختصاص الانتساب اليهما بالإيمان »</w:t>
      </w:r>
      <w:r w:rsidR="008A74EB">
        <w:rPr>
          <w:rtl/>
        </w:rPr>
        <w:t>.</w:t>
      </w:r>
      <w:r w:rsidR="002141C7">
        <w:rPr>
          <w:rFonts w:hint="cs"/>
          <w:rtl/>
        </w:rPr>
        <w:t xml:space="preserve">                        </w:t>
      </w:r>
      <w:r>
        <w:rPr>
          <w:rtl/>
        </w:rPr>
        <w:t>(6).</w:t>
      </w:r>
      <w:r w:rsidR="008A74EB">
        <w:rPr>
          <w:rtl/>
        </w:rPr>
        <w:t xml:space="preserve"> </w:t>
      </w:r>
      <w:r w:rsidR="008A74EB" w:rsidRPr="00C9040A">
        <w:rPr>
          <w:rtl/>
        </w:rPr>
        <w:t>في المؤمن : « فإذا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 الضَّرَبان » : شدّة الألم الذي يحصل في الباطن. من قولهم : ضَرَب الجُرح ضَرَباناً ، إذا اشتدّ وجعه وهاج </w:t>
      </w:r>
      <w:r w:rsidR="002141C7">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مِنْهُمْ عِرْقٌ ، سَهِرَ لَهُ الْآخَرُونَ »</w:t>
      </w:r>
      <w:r>
        <w:rPr>
          <w:rtl/>
          <w:lang w:bidi="fa-IR"/>
        </w:rPr>
        <w:t>.</w:t>
      </w:r>
      <w:r w:rsidRPr="00C9040A">
        <w:rPr>
          <w:rtl/>
          <w:lang w:bidi="fa-IR"/>
        </w:rPr>
        <w:t xml:space="preserve"> </w:t>
      </w:r>
      <w:r w:rsidR="006C577F" w:rsidRPr="006C577F">
        <w:rPr>
          <w:rStyle w:val="libFootnotenumChar"/>
          <w:rtl/>
        </w:rPr>
        <w:t>(1)</w:t>
      </w:r>
      <w:r w:rsidRPr="00C9040A">
        <w:rPr>
          <w:rtl/>
          <w:lang w:bidi="fa-IR"/>
        </w:rPr>
        <w:t xml:space="preserve"> ‌</w:t>
      </w:r>
    </w:p>
    <w:p w:rsidR="008A74EB" w:rsidRPr="00C9040A" w:rsidRDefault="008A74EB" w:rsidP="008A74EB">
      <w:pPr>
        <w:pStyle w:val="libNormal"/>
        <w:rPr>
          <w:rtl/>
          <w:lang w:bidi="fa-IR"/>
        </w:rPr>
      </w:pPr>
      <w:r w:rsidRPr="0020147E">
        <w:rPr>
          <w:rtl/>
        </w:rPr>
        <w:t>2043</w:t>
      </w:r>
      <w:r w:rsidRPr="00261CB0">
        <w:rPr>
          <w:rStyle w:val="libBold2Char"/>
          <w:rtl/>
        </w:rPr>
        <w:t xml:space="preserve"> / 2.</w:t>
      </w:r>
      <w:r w:rsidRPr="00C9040A">
        <w:rPr>
          <w:rtl/>
          <w:lang w:bidi="fa-IR"/>
        </w:rPr>
        <w:t xml:space="preserve"> عَنْهُ </w:t>
      </w:r>
      <w:r w:rsidR="006C577F" w:rsidRPr="006C577F">
        <w:rPr>
          <w:rStyle w:val="libFootnotenumChar"/>
          <w:rtl/>
        </w:rPr>
        <w:t>(2)</w:t>
      </w:r>
      <w:r w:rsidRPr="00C9040A">
        <w:rPr>
          <w:rtl/>
          <w:lang w:bidi="fa-IR"/>
        </w:rPr>
        <w:t xml:space="preserve"> ، عَنْ أَبِيهِ </w:t>
      </w:r>
      <w:r w:rsidR="006C577F" w:rsidRPr="006C577F">
        <w:rPr>
          <w:rStyle w:val="libFootnotenumChar"/>
          <w:rtl/>
        </w:rPr>
        <w:t>(3)</w:t>
      </w:r>
      <w:r w:rsidRPr="00C9040A">
        <w:rPr>
          <w:rtl/>
          <w:lang w:bidi="fa-IR"/>
        </w:rPr>
        <w:t xml:space="preserve"> ، عَنْ فَضَالَةَ بْنِ أَيُّوبَ ، عَنْ عُمَرَ بْنِ أَبَانٍ ، عَنْ جَابِرٍ الْجُعْفِيِّ ، قَالَ :</w:t>
      </w:r>
    </w:p>
    <w:p w:rsidR="008A74EB" w:rsidRPr="00C9040A" w:rsidRDefault="008A74EB" w:rsidP="008A74EB">
      <w:pPr>
        <w:pStyle w:val="libNormal"/>
        <w:rPr>
          <w:rtl/>
          <w:lang w:bidi="fa-IR"/>
        </w:rPr>
      </w:pPr>
      <w:r w:rsidRPr="00C9040A">
        <w:rPr>
          <w:rtl/>
          <w:lang w:bidi="fa-IR"/>
        </w:rPr>
        <w:t xml:space="preserve">تَقَبَّضْتُ </w:t>
      </w:r>
      <w:r w:rsidR="006C577F" w:rsidRPr="006C577F">
        <w:rPr>
          <w:rStyle w:val="libFootnotenumChar"/>
          <w:rtl/>
        </w:rPr>
        <w:t>(4)</w:t>
      </w:r>
      <w:r w:rsidRPr="00C9040A">
        <w:rPr>
          <w:rtl/>
          <w:lang w:bidi="fa-IR"/>
        </w:rPr>
        <w:t xml:space="preserve"> بَيْنَ يَدَيْ أَبِي جَعْفَرٍ </w:t>
      </w:r>
      <w:r w:rsidRPr="0003660B">
        <w:rPr>
          <w:rStyle w:val="libAlaemChar"/>
          <w:rtl/>
        </w:rPr>
        <w:t>عليه‌السلام</w:t>
      </w:r>
      <w:r w:rsidRPr="00C9040A">
        <w:rPr>
          <w:rtl/>
          <w:lang w:bidi="fa-IR"/>
        </w:rPr>
        <w:t xml:space="preserve"> ، فَقُلْتُ : جُعِلْتُ فِدَاكَ ، رُبَّمَا حَزِنْتُ </w:t>
      </w:r>
      <w:r w:rsidR="006C577F" w:rsidRPr="006C577F">
        <w:rPr>
          <w:rStyle w:val="libFootnotenumChar"/>
          <w:rtl/>
        </w:rPr>
        <w:t>(5)</w:t>
      </w:r>
      <w:r w:rsidRPr="00C9040A">
        <w:rPr>
          <w:rtl/>
          <w:lang w:bidi="fa-IR"/>
        </w:rPr>
        <w:t xml:space="preserve"> مِنْ غَيْرِ فَقَالَ </w:t>
      </w:r>
      <w:r w:rsidR="006C577F" w:rsidRPr="006C577F">
        <w:rPr>
          <w:rStyle w:val="libFootnotenumChar"/>
          <w:rtl/>
        </w:rPr>
        <w:t>(6)</w:t>
      </w:r>
      <w:r w:rsidRPr="005B567D">
        <w:rPr>
          <w:rStyle w:val="libFootnotenumChar"/>
          <w:rtl/>
        </w:rPr>
        <w:t xml:space="preserve"> </w:t>
      </w:r>
      <w:r w:rsidRPr="00C9040A">
        <w:rPr>
          <w:rtl/>
          <w:lang w:bidi="fa-IR"/>
        </w:rPr>
        <w:t xml:space="preserve">: « نَعَمْ </w:t>
      </w:r>
      <w:r w:rsidR="006C577F" w:rsidRPr="006C577F">
        <w:rPr>
          <w:rStyle w:val="libFootnotenumChar"/>
          <w:rtl/>
        </w:rPr>
        <w:t>(7)</w:t>
      </w:r>
      <w:r w:rsidRPr="00C9040A">
        <w:rPr>
          <w:rtl/>
          <w:lang w:bidi="fa-IR"/>
        </w:rPr>
        <w:t xml:space="preserve"> ، يَا جَابِرُ ، إِنَّ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خَلَقَ الْمُؤْمِنِينَ مِنْ طِينَةِ </w:t>
      </w:r>
      <w:r w:rsidR="006C577F" w:rsidRPr="006C577F">
        <w:rPr>
          <w:rStyle w:val="libFootnotenumChar"/>
          <w:rtl/>
        </w:rPr>
        <w:t>(8)</w:t>
      </w:r>
      <w:r w:rsidRPr="00C9040A">
        <w:rPr>
          <w:rtl/>
          <w:lang w:bidi="fa-IR"/>
        </w:rPr>
        <w:t xml:space="preserve"> الْجِنَانِ ، وَأَجْرى فِيهِمْ مِنْ رِيحِ </w:t>
      </w:r>
      <w:r w:rsidR="006C577F" w:rsidRPr="006C577F">
        <w:rPr>
          <w:rStyle w:val="libFootnotenumChar"/>
          <w:rtl/>
        </w:rPr>
        <w:t>(9)</w:t>
      </w:r>
      <w:r w:rsidRPr="00C9040A">
        <w:rPr>
          <w:rtl/>
          <w:lang w:bidi="fa-IR"/>
        </w:rPr>
        <w:t xml:space="preserve"> رُوحِهِ </w:t>
      </w:r>
      <w:r w:rsidR="006C577F" w:rsidRPr="006C577F">
        <w:rPr>
          <w:rStyle w:val="libFootnotenumChar"/>
          <w:rtl/>
        </w:rPr>
        <w:t>(10)</w:t>
      </w:r>
      <w:r w:rsidRPr="00C9040A">
        <w:rPr>
          <w:rtl/>
          <w:lang w:bidi="fa-IR"/>
        </w:rPr>
        <w:t xml:space="preserve"> ، فَلِذلِكَ الْمُؤْمِنُ‌</w:t>
      </w:r>
      <w:r w:rsidR="002141C7">
        <w:rPr>
          <w:rFonts w:hint="cs"/>
          <w:rtl/>
          <w:lang w:bidi="fa-IR"/>
        </w:rPr>
        <w:t>.....................................</w:t>
      </w:r>
      <w:r w:rsidR="002141C7">
        <w:rPr>
          <w:rFonts w:hint="cs"/>
          <w:rtl/>
          <w:lang w:bidi="fa-IR"/>
        </w:rPr>
        <w:tab/>
      </w:r>
    </w:p>
    <w:p w:rsidR="008A74EB" w:rsidRPr="00C9040A" w:rsidRDefault="008A74EB" w:rsidP="008A74EB">
      <w:pPr>
        <w:pStyle w:val="libLine"/>
        <w:rPr>
          <w:rtl/>
          <w:lang w:bidi="fa-IR"/>
        </w:rPr>
      </w:pPr>
      <w:r w:rsidRPr="00C9040A">
        <w:rPr>
          <w:rtl/>
          <w:lang w:bidi="fa-IR"/>
        </w:rPr>
        <w:t>__________________</w:t>
      </w:r>
    </w:p>
    <w:p w:rsidR="008A74EB" w:rsidRPr="00C9040A" w:rsidRDefault="002141C7" w:rsidP="002141C7">
      <w:pPr>
        <w:pStyle w:val="libFootnote0"/>
        <w:rPr>
          <w:rtl/>
          <w:lang w:bidi="fa-IR"/>
        </w:rPr>
      </w:pPr>
      <w:r>
        <w:rPr>
          <w:rFonts w:hint="cs"/>
          <w:rtl/>
        </w:rPr>
        <w:t>=</w:t>
      </w:r>
      <w:r w:rsidR="008A74EB" w:rsidRPr="00C9040A">
        <w:rPr>
          <w:rtl/>
        </w:rPr>
        <w:t xml:space="preserve">ألمه. وضَرَبَ العِرْق : إذا تحرّك بقوّة. </w:t>
      </w:r>
      <w:r w:rsidR="008A74EB" w:rsidRPr="00993B55">
        <w:rPr>
          <w:rStyle w:val="libFootnoteBoldChar"/>
          <w:rtl/>
        </w:rPr>
        <w:t>مجمع البحرين</w:t>
      </w:r>
      <w:r w:rsidR="008A74EB" w:rsidRPr="00C9040A">
        <w:rPr>
          <w:rtl/>
        </w:rPr>
        <w:t xml:space="preserve"> ، ج 2 ، ص 106 ( ضرب )</w:t>
      </w:r>
      <w:r w:rsidR="008A74EB">
        <w:rPr>
          <w:rtl/>
        </w:rPr>
        <w:t>.</w:t>
      </w:r>
      <w:r w:rsidR="008A74EB" w:rsidRPr="00C9040A">
        <w:rPr>
          <w:rtl/>
        </w:rPr>
        <w:t xml:space="preserve"> فضرب العرق حركته بقوّة ، وهذا كناية عن الألم المخصوص أو مطلقاً ، أو المراد هنا المبالغة في قلّة الأذى ، وتعديته هنا</w:t>
      </w:r>
      <w:r w:rsidR="008A74EB">
        <w:rPr>
          <w:rtl/>
        </w:rPr>
        <w:t xml:space="preserve"> ب</w:t>
      </w:r>
      <w:r>
        <w:rPr>
          <w:rFonts w:hint="cs"/>
          <w:rtl/>
        </w:rPr>
        <w:t>ـ</w:t>
      </w:r>
      <w:r w:rsidR="008A74EB">
        <w:rPr>
          <w:rtl/>
        </w:rPr>
        <w:t xml:space="preserve"> «</w:t>
      </w:r>
      <w:r w:rsidR="008A74EB" w:rsidRPr="00C9040A">
        <w:rPr>
          <w:rtl/>
        </w:rPr>
        <w:t xml:space="preserve"> على » لتضمين معنى الغلبة. راجع : </w:t>
      </w:r>
      <w:r w:rsidR="008A74EB" w:rsidRPr="00993B55">
        <w:rPr>
          <w:rStyle w:val="libFootnoteBoldChar"/>
          <w:rtl/>
        </w:rPr>
        <w:t>شرح المازندراني</w:t>
      </w:r>
      <w:r w:rsidR="008A74EB" w:rsidRPr="00C9040A">
        <w:rPr>
          <w:rtl/>
        </w:rPr>
        <w:t xml:space="preserve"> ، ج 9 ، ص 31 ؛ </w:t>
      </w:r>
      <w:r w:rsidR="008A74EB" w:rsidRPr="00993B55">
        <w:rPr>
          <w:rStyle w:val="libFootnoteBoldChar"/>
          <w:rtl/>
        </w:rPr>
        <w:t>مرآة العقول</w:t>
      </w:r>
      <w:r w:rsidR="008A74EB" w:rsidRPr="00C9040A">
        <w:rPr>
          <w:rtl/>
        </w:rPr>
        <w:t xml:space="preserve"> ، ج 9 ، ص 9.</w:t>
      </w:r>
    </w:p>
    <w:p w:rsidR="008A74EB" w:rsidRPr="00C9040A" w:rsidRDefault="006C577F" w:rsidP="002141C7">
      <w:pPr>
        <w:pStyle w:val="libFootnote0"/>
        <w:rPr>
          <w:rtl/>
          <w:lang w:bidi="fa-IR"/>
        </w:rPr>
      </w:pPr>
      <w:r>
        <w:rPr>
          <w:rtl/>
        </w:rPr>
        <w:t>(1).</w:t>
      </w:r>
      <w:r w:rsidR="008A74EB">
        <w:rPr>
          <w:rtl/>
        </w:rPr>
        <w:t xml:space="preserve"> </w:t>
      </w:r>
      <w:r w:rsidR="008A74EB" w:rsidRPr="00993B55">
        <w:rPr>
          <w:rStyle w:val="libFootnoteBoldChar"/>
          <w:rtl/>
        </w:rPr>
        <w:t>المؤمن</w:t>
      </w:r>
      <w:r w:rsidR="008A74EB" w:rsidRPr="00C9040A">
        <w:rPr>
          <w:rtl/>
        </w:rPr>
        <w:t xml:space="preserve"> ، ص 38 ، ح 84 ، عن أبي عبدالله </w:t>
      </w:r>
      <w:r w:rsidR="00117575" w:rsidRPr="00117575">
        <w:rPr>
          <w:rStyle w:val="libFootnoteAlaemChar"/>
          <w:rtl/>
        </w:rPr>
        <w:t xml:space="preserve">عليه‌السلام </w:t>
      </w:r>
      <w:r w:rsidR="002141C7">
        <w:rPr>
          <w:rFonts w:hint="cs"/>
          <w:rtl/>
        </w:rPr>
        <w:t>.</w:t>
      </w:r>
      <w:r w:rsidR="008A74EB" w:rsidRPr="00993B55">
        <w:rPr>
          <w:rStyle w:val="libFootnoteBoldChar"/>
          <w:rtl/>
        </w:rPr>
        <w:t>الوافي</w:t>
      </w:r>
      <w:r w:rsidR="008A74EB" w:rsidRPr="00C9040A">
        <w:rPr>
          <w:rtl/>
        </w:rPr>
        <w:t xml:space="preserve"> ، ج 5 ، ص 551 ، ح 2557 ؛ </w:t>
      </w:r>
      <w:r w:rsidR="008A74EB" w:rsidRPr="00993B55">
        <w:rPr>
          <w:rStyle w:val="libFootnoteBoldChar"/>
          <w:rtl/>
        </w:rPr>
        <w:t>البحار</w:t>
      </w:r>
      <w:r w:rsidR="008A74EB" w:rsidRPr="00C9040A">
        <w:rPr>
          <w:rtl/>
        </w:rPr>
        <w:t xml:space="preserve"> ، ج 74 ، ص 264 ، ح 4.</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الضمير راجع إلى أحمد بن محمّد بن خالد المذكور في السند السابق.</w:t>
      </w:r>
    </w:p>
    <w:p w:rsidR="008A74EB" w:rsidRPr="00C9040A" w:rsidRDefault="006C577F" w:rsidP="004A4E41">
      <w:pPr>
        <w:pStyle w:val="libFootnote0"/>
        <w:rPr>
          <w:rtl/>
          <w:lang w:bidi="fa-IR"/>
        </w:rPr>
      </w:pPr>
      <w:r>
        <w:rPr>
          <w:rtl/>
        </w:rPr>
        <w:t>(3).</w:t>
      </w:r>
      <w:r w:rsidR="008A74EB" w:rsidRPr="00C9040A">
        <w:rPr>
          <w:rtl/>
        </w:rPr>
        <w:t xml:space="preserve"> الخبر أورده المجلسي نقلاً من </w:t>
      </w:r>
      <w:r w:rsidR="008A74EB" w:rsidRPr="00993B55">
        <w:rPr>
          <w:rStyle w:val="libFootnoteBoldChar"/>
          <w:rtl/>
        </w:rPr>
        <w:t>الكافي</w:t>
      </w:r>
      <w:r w:rsidR="008A74EB" w:rsidRPr="00C9040A">
        <w:rPr>
          <w:rtl/>
        </w:rPr>
        <w:t xml:space="preserve"> ، تارةً في </w:t>
      </w:r>
      <w:r w:rsidR="008A74EB" w:rsidRPr="00993B55">
        <w:rPr>
          <w:rStyle w:val="libFootnoteBoldChar"/>
          <w:rtl/>
        </w:rPr>
        <w:t>البحار</w:t>
      </w:r>
      <w:r w:rsidR="008A74EB" w:rsidRPr="00C9040A">
        <w:rPr>
          <w:rtl/>
        </w:rPr>
        <w:t xml:space="preserve"> ، ج 61 ، ص 147 ، ح 24 ، عن العدّة ، عن أحمد بن محمّد البرقي ، عن أبيه ، عن فضالة بن أيّوب ، وا</w:t>
      </w:r>
      <w:r w:rsidR="002141C7">
        <w:rPr>
          <w:rFonts w:hint="cs"/>
          <w:rtl/>
        </w:rPr>
        <w:t>ُ</w:t>
      </w:r>
      <w:r w:rsidR="008A74EB" w:rsidRPr="00C9040A">
        <w:rPr>
          <w:rtl/>
        </w:rPr>
        <w:t>خرى في ج 67 ، ص 75 ، ح 11 ، عن العدّة عن أحمد بن محمّد بن خالد ، عن فضالة ، وثالثةً في ج 74 ، ص 265 ، ح 5 ، عن عليّ ، عن أبيه ، عن فضالة بن أيّوب.</w:t>
      </w:r>
    </w:p>
    <w:p w:rsidR="008A74EB" w:rsidRPr="00C9040A" w:rsidRDefault="008A74EB" w:rsidP="004A4E41">
      <w:pPr>
        <w:pStyle w:val="libFootnote0"/>
        <w:rPr>
          <w:rtl/>
          <w:lang w:bidi="fa-IR"/>
        </w:rPr>
      </w:pPr>
      <w:r w:rsidRPr="00323A39">
        <w:rPr>
          <w:rtl/>
        </w:rPr>
        <w:t>والموضع ال</w:t>
      </w:r>
      <w:r w:rsidR="002141C7">
        <w:rPr>
          <w:rtl/>
        </w:rPr>
        <w:t>ثاني والثالث من البحار مختل</w:t>
      </w:r>
      <w:r w:rsidR="002141C7">
        <w:rPr>
          <w:rFonts w:hint="cs"/>
          <w:rtl/>
        </w:rPr>
        <w:t>ّ</w:t>
      </w:r>
      <w:r w:rsidR="002141C7">
        <w:rPr>
          <w:rtl/>
        </w:rPr>
        <w:t>ا</w:t>
      </w:r>
      <w:r w:rsidRPr="00323A39">
        <w:rPr>
          <w:rtl/>
        </w:rPr>
        <w:t xml:space="preserve">ن ؛ فإنّ الخبر رواه أحمد بن محمّد بن خالد. في </w:t>
      </w:r>
      <w:r w:rsidRPr="00993B55">
        <w:rPr>
          <w:rStyle w:val="libFootnoteBoldChar"/>
          <w:rtl/>
        </w:rPr>
        <w:t>المحاسن</w:t>
      </w:r>
      <w:r w:rsidRPr="00323A39">
        <w:rPr>
          <w:rtl/>
        </w:rPr>
        <w:t xml:space="preserve"> ، ص 133 ، ح 10 </w:t>
      </w:r>
      <w:r w:rsidR="0084262C" w:rsidRPr="00323A39">
        <w:rPr>
          <w:rtl/>
        </w:rPr>
        <w:t>-</w:t>
      </w:r>
      <w:r w:rsidRPr="00323A39">
        <w:rPr>
          <w:rtl/>
        </w:rPr>
        <w:t xml:space="preserve"> مع اختلاف </w:t>
      </w:r>
      <w:r w:rsidR="0084262C" w:rsidRPr="00323A39">
        <w:rPr>
          <w:rtl/>
        </w:rPr>
        <w:t>-</w:t>
      </w:r>
      <w:r w:rsidRPr="00323A39">
        <w:rPr>
          <w:rtl/>
        </w:rPr>
        <w:t xml:space="preserve"> عن أبيه ، عن فضالة بن أيّوب. هذا بالنسبة إلى الموضع الثاني.</w:t>
      </w:r>
    </w:p>
    <w:p w:rsidR="008A74EB" w:rsidRPr="00C9040A" w:rsidRDefault="008A74EB" w:rsidP="004A4E41">
      <w:pPr>
        <w:pStyle w:val="libFootnote0"/>
        <w:rPr>
          <w:rtl/>
          <w:lang w:bidi="fa-IR"/>
        </w:rPr>
      </w:pPr>
      <w:r w:rsidRPr="00323A39">
        <w:rPr>
          <w:rtl/>
        </w:rPr>
        <w:t xml:space="preserve">وأمّا بالنسبة إلى الموضع الثالث ، فإنّ المراد من عليّ الراوي عن أبيه في صدر أسناد </w:t>
      </w:r>
      <w:r w:rsidRPr="00993B55">
        <w:rPr>
          <w:rStyle w:val="libFootnoteBoldChar"/>
          <w:rtl/>
        </w:rPr>
        <w:t>الكافي</w:t>
      </w:r>
      <w:r w:rsidRPr="00323A39">
        <w:rPr>
          <w:rtl/>
        </w:rPr>
        <w:t xml:space="preserve"> ، هو عليّ بن إبراهيم ، ولم نجد رواية إبراهيم بن هاشم </w:t>
      </w:r>
      <w:r w:rsidR="0084262C" w:rsidRPr="00323A39">
        <w:rPr>
          <w:rtl/>
        </w:rPr>
        <w:t>-</w:t>
      </w:r>
      <w:r w:rsidRPr="00323A39">
        <w:rPr>
          <w:rtl/>
        </w:rPr>
        <w:t xml:space="preserve"> والد عليّ </w:t>
      </w:r>
      <w:r w:rsidR="0084262C" w:rsidRPr="00323A39">
        <w:rPr>
          <w:rtl/>
        </w:rPr>
        <w:t>-</w:t>
      </w:r>
      <w:r w:rsidRPr="00323A39">
        <w:rPr>
          <w:rtl/>
        </w:rPr>
        <w:t xml:space="preserve"> عن فضالة بن أيّوب مباشرة في موضع ، بل طبقته تأبى عن ذلك ».</w:t>
      </w:r>
    </w:p>
    <w:p w:rsidR="008A74EB" w:rsidRPr="00C9040A" w:rsidRDefault="006C577F" w:rsidP="004A4E41">
      <w:pPr>
        <w:pStyle w:val="libFootnote0"/>
        <w:rPr>
          <w:rtl/>
          <w:lang w:bidi="fa-IR"/>
        </w:rPr>
      </w:pPr>
      <w:r>
        <w:rPr>
          <w:rtl/>
        </w:rPr>
        <w:t>(4).</w:t>
      </w:r>
      <w:r w:rsidR="008A74EB" w:rsidRPr="00C9040A">
        <w:rPr>
          <w:rtl/>
        </w:rPr>
        <w:t xml:space="preserve"> في </w:t>
      </w:r>
      <w:r w:rsidR="008A74EB" w:rsidRPr="00993B55">
        <w:rPr>
          <w:rStyle w:val="libFootnoteBoldChar"/>
          <w:rtl/>
        </w:rPr>
        <w:t>الوافي</w:t>
      </w:r>
      <w:r w:rsidR="008A74EB" w:rsidRPr="00C9040A">
        <w:rPr>
          <w:rtl/>
        </w:rPr>
        <w:t xml:space="preserve"> : « تقبّضت ، أي حصل لي قبض وحزن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المحاسن : « ثمّ قلت : يا ابن رسول الله أهتمّ » بدل « فقلت : جعلت فداك ربما حزنت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البحار ، ج 67 والمحاسن : « قال »</w:t>
      </w:r>
      <w:r w:rsidR="008A74EB">
        <w:rPr>
          <w:rtl/>
        </w:rPr>
        <w:t>.</w:t>
      </w:r>
    </w:p>
    <w:p w:rsidR="008A74EB" w:rsidRPr="00C9040A" w:rsidRDefault="006C577F" w:rsidP="002141C7">
      <w:pPr>
        <w:pStyle w:val="libFootnote0"/>
        <w:rPr>
          <w:rtl/>
          <w:lang w:bidi="fa-IR"/>
        </w:rPr>
      </w:pPr>
      <w:r>
        <w:rPr>
          <w:rtl/>
        </w:rPr>
        <w:t>(7).</w:t>
      </w:r>
      <w:r w:rsidR="008A74EB" w:rsidRPr="00C9040A">
        <w:rPr>
          <w:rtl/>
        </w:rPr>
        <w:t xml:space="preserve"> في المحاسن : + « يا جابر ، قلت : وممّ ذاك يابن رسول الله</w:t>
      </w:r>
      <w:r w:rsidR="008A74EB">
        <w:rPr>
          <w:rtl/>
        </w:rPr>
        <w:t>؟</w:t>
      </w:r>
      <w:r w:rsidR="008A74EB" w:rsidRPr="00C9040A">
        <w:rPr>
          <w:rtl/>
        </w:rPr>
        <w:t xml:space="preserve"> قال : وما تصنع بذاك</w:t>
      </w:r>
      <w:r w:rsidR="008A74EB">
        <w:rPr>
          <w:rtl/>
        </w:rPr>
        <w:t>؟</w:t>
      </w:r>
      <w:r w:rsidR="008A74EB" w:rsidRPr="00C9040A">
        <w:rPr>
          <w:rtl/>
        </w:rPr>
        <w:t xml:space="preserve"> قلت : ا</w:t>
      </w:r>
      <w:r w:rsidR="002141C7">
        <w:rPr>
          <w:rFonts w:hint="cs"/>
          <w:rtl/>
        </w:rPr>
        <w:t>ُ</w:t>
      </w:r>
      <w:r w:rsidR="008A74EB" w:rsidRPr="00C9040A">
        <w:rPr>
          <w:rtl/>
        </w:rPr>
        <w:t>حبّ أن أعلمه ، فقال »</w:t>
      </w:r>
      <w:r w:rsidR="008A74EB">
        <w:rPr>
          <w:rtl/>
        </w:rPr>
        <w:t>.</w:t>
      </w:r>
      <w:r w:rsidR="002141C7">
        <w:rPr>
          <w:rFonts w:hint="cs"/>
          <w:rtl/>
        </w:rPr>
        <w:t xml:space="preserve">                                              </w:t>
      </w:r>
      <w:r>
        <w:rPr>
          <w:rtl/>
        </w:rPr>
        <w:t>(8).</w:t>
      </w:r>
      <w:r w:rsidR="008A74EB" w:rsidRPr="00C9040A">
        <w:rPr>
          <w:rtl/>
        </w:rPr>
        <w:t xml:space="preserve"> في المؤمن : « طين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بر » : « روح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المؤمن : « سهم من ريح الجنّة روحه » بدل « فيهم من ريح روحه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 يمكن أن يقرأ</w:t>
      </w:r>
      <w:r w:rsidR="008A74EB">
        <w:rPr>
          <w:rtl/>
        </w:rPr>
        <w:t xml:space="preserve"> </w:t>
      </w:r>
      <w:r w:rsidR="0084262C">
        <w:rPr>
          <w:rtl/>
        </w:rPr>
        <w:t>-</w:t>
      </w:r>
      <w:r w:rsidR="008A74EB">
        <w:rPr>
          <w:rtl/>
        </w:rPr>
        <w:t xml:space="preserve"> </w:t>
      </w:r>
      <w:r w:rsidR="008A74EB" w:rsidRPr="00C9040A">
        <w:rPr>
          <w:rtl/>
        </w:rPr>
        <w:t>أي روحه</w:t>
      </w:r>
      <w:r w:rsidR="008A74EB">
        <w:rPr>
          <w:rtl/>
        </w:rPr>
        <w:t xml:space="preserve"> </w:t>
      </w:r>
      <w:r w:rsidR="0084262C">
        <w:rPr>
          <w:rtl/>
        </w:rPr>
        <w:t>-</w:t>
      </w:r>
      <w:r w:rsidR="008A74EB">
        <w:rPr>
          <w:rtl/>
        </w:rPr>
        <w:t xml:space="preserve"> </w:t>
      </w:r>
      <w:r w:rsidR="008A74EB" w:rsidRPr="00C9040A">
        <w:rPr>
          <w:rtl/>
        </w:rPr>
        <w:t>بفتح الراء ، أي من نسيم رحمته ، كما ورد في خبر آخر : وأجرى فيهم من روح رحمته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أَخُو </w:t>
      </w:r>
      <w:r w:rsidR="006C577F" w:rsidRPr="006C577F">
        <w:rPr>
          <w:rStyle w:val="libFootnotenumChar"/>
          <w:rtl/>
        </w:rPr>
        <w:t>(1)</w:t>
      </w:r>
      <w:r w:rsidRPr="00C9040A">
        <w:rPr>
          <w:rtl/>
          <w:lang w:bidi="fa-IR"/>
        </w:rPr>
        <w:t xml:space="preserve"> الْمُؤْمِنِ لِأَبِيهِ وَأُمِّهِ ، فَإِذَا أَصَابَ رُوحاً مِنْ </w:t>
      </w:r>
      <w:r w:rsidR="006C577F" w:rsidRPr="006C577F">
        <w:rPr>
          <w:rStyle w:val="libFootnotenumChar"/>
          <w:rtl/>
        </w:rPr>
        <w:t>(2)</w:t>
      </w:r>
      <w:r w:rsidRPr="00C9040A">
        <w:rPr>
          <w:rtl/>
          <w:lang w:bidi="fa-IR"/>
        </w:rPr>
        <w:t xml:space="preserve"> تِلْكَ الْأَرْوَاحِ فِي بَلَدٍ مِنَ الْبُلْدَانِ حُزْنٌ ، حَزِنَتْ هذِهِ ؛ لِأَنَّهَا مِنْهَا </w:t>
      </w:r>
      <w:r w:rsidR="006C577F" w:rsidRPr="006C577F">
        <w:rPr>
          <w:rStyle w:val="libFootnotenumChar"/>
          <w:rtl/>
        </w:rPr>
        <w:t>(3)</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20147E">
        <w:rPr>
          <w:rtl/>
        </w:rPr>
        <w:t>2044</w:t>
      </w:r>
      <w:r w:rsidRPr="00261CB0">
        <w:rPr>
          <w:rStyle w:val="libBold2Char"/>
          <w:rtl/>
        </w:rPr>
        <w:t xml:space="preserve"> / 3.</w:t>
      </w:r>
      <w:r w:rsidRPr="00C9040A">
        <w:rPr>
          <w:rtl/>
          <w:lang w:bidi="fa-IR"/>
        </w:rPr>
        <w:t xml:space="preserve"> مُحَمَّدُ بْنُ يَحْيى ، عَنْ أَحْمَدَ بْنِ مُحَمَّدِ بْنِ عِيسى ، عَنِ ابْنِ فَضَّالٍ </w:t>
      </w:r>
      <w:r w:rsidR="006C577F" w:rsidRPr="006C577F">
        <w:rPr>
          <w:rStyle w:val="libFootnotenumChar"/>
          <w:rtl/>
        </w:rPr>
        <w:t>(5)</w:t>
      </w:r>
      <w:r w:rsidRPr="00C9040A">
        <w:rPr>
          <w:rtl/>
          <w:lang w:bidi="fa-IR"/>
        </w:rPr>
        <w:t xml:space="preserve"> ، عَنْ عَلِيِّ بْنِ عُقْبَةَ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الْمُؤْمِنُ </w:t>
      </w:r>
      <w:r w:rsidR="006C577F" w:rsidRPr="006C577F">
        <w:rPr>
          <w:rStyle w:val="libFootnotenumChar"/>
          <w:rtl/>
        </w:rPr>
        <w:t>(6)</w:t>
      </w:r>
      <w:r w:rsidRPr="005B567D">
        <w:rPr>
          <w:rStyle w:val="libFootnotenumChar"/>
          <w:rtl/>
        </w:rPr>
        <w:t xml:space="preserve"> </w:t>
      </w:r>
      <w:r w:rsidRPr="00C9040A">
        <w:rPr>
          <w:rtl/>
          <w:lang w:bidi="fa-IR"/>
        </w:rPr>
        <w:t>أَخُو الْمُؤْمِنِ : عَيْنُهُ وَدَلِيلُهُ ، لَايَخُونُهُ ، وَلَا يَظْلِمُهُ ، وَلَا يَغُشُّهُ ، وَلَا يَعِدُهُ عِدَةً فَيُخْلِفَهُ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2141C7" w:rsidRDefault="008A74EB" w:rsidP="002141C7">
      <w:pPr>
        <w:pStyle w:val="libNormal"/>
        <w:rPr>
          <w:rtl/>
          <w:lang w:bidi="fa-IR"/>
        </w:rPr>
      </w:pPr>
      <w:r w:rsidRPr="0020147E">
        <w:rPr>
          <w:rtl/>
        </w:rPr>
        <w:t>2045</w:t>
      </w:r>
      <w:r w:rsidRPr="00261CB0">
        <w:rPr>
          <w:rStyle w:val="libBold2Char"/>
          <w:rtl/>
        </w:rPr>
        <w:t xml:space="preserve"> / 4.</w:t>
      </w:r>
      <w:r w:rsidRPr="00C9040A">
        <w:rPr>
          <w:rtl/>
          <w:lang w:bidi="fa-IR"/>
        </w:rPr>
        <w:t xml:space="preserve"> مُحَمَّدُ بْنُ يَحْيى ، عَنْ أَحْمَدَ بْنِ مُحَمَّدِ بْنِ </w:t>
      </w:r>
      <w:r w:rsidR="006C577F" w:rsidRPr="006C577F">
        <w:rPr>
          <w:rStyle w:val="libFootnotenumChar"/>
          <w:rtl/>
        </w:rPr>
        <w:t>(8)</w:t>
      </w:r>
      <w:r w:rsidRPr="00C9040A">
        <w:rPr>
          <w:rtl/>
          <w:lang w:bidi="fa-IR"/>
        </w:rPr>
        <w:t xml:space="preserve"> عِيسى ؛</w:t>
      </w:r>
    </w:p>
    <w:p w:rsidR="008A74EB" w:rsidRPr="00C9040A" w:rsidRDefault="002141C7" w:rsidP="002141C7">
      <w:pPr>
        <w:pStyle w:val="libNormal"/>
        <w:rPr>
          <w:rtl/>
          <w:lang w:bidi="fa-IR"/>
        </w:rPr>
      </w:pPr>
      <w:r>
        <w:rPr>
          <w:rFonts w:hint="cs"/>
          <w:rtl/>
          <w:lang w:bidi="fa-IR"/>
        </w:rPr>
        <w:t xml:space="preserve">             </w:t>
      </w:r>
      <w:r w:rsidR="008A74EB" w:rsidRPr="00C9040A">
        <w:rPr>
          <w:rtl/>
          <w:lang w:bidi="fa-IR"/>
        </w:rPr>
        <w:t>وَعِدَّةٌ مِنْ أَصْحَابِنَا ، عَنْ سَهْلِ بْنِ زِيَادٍ جَمِيعاً ، عَنِ ابْنِ مَحْبُوبٍ ، عَنْ عَلِيِّ بْنِ رِئَابٍ ، عَنْ أَبِي بَصِيرٍ ، قَالَ :</w:t>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 « الْمُؤْمِنُ أَخُو الْمُؤْمِنِ كَالْجَسَدِ الْوَاحِدِ ، إِنِ اشْتَكى شَيْئاً مِنْهُ وَجَدَ أَلَمَ ذلِكَ فِي سَائِرِ جَسَدِهِ ، وَأَرْوَاحُهُمَا مِنْ رُوحٍ وَاحِدَةٍ ، وَإِنَّ رُوحَ الْمُؤْمِنِ‌</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البحار ، ج 67 : « أخ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المحاسن </w:t>
      </w:r>
      <w:r w:rsidR="008A74EB">
        <w:rPr>
          <w:rtl/>
        </w:rPr>
        <w:t xml:space="preserve">: </w:t>
      </w:r>
      <w:r w:rsidR="0084262C">
        <w:rPr>
          <w:rtl/>
        </w:rPr>
        <w:t>-</w:t>
      </w:r>
      <w:r w:rsidR="008A74EB" w:rsidRPr="00C9040A">
        <w:rPr>
          <w:rtl/>
        </w:rPr>
        <w:t xml:space="preserve"> « روحاً من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المحاسن : « بشي‌ء حزنت عليه الأرواح ؛ لأنّها منه » بدل « حزن حزنت هذه ؛ لأنّها منها »</w:t>
      </w:r>
      <w:r w:rsidR="008A74EB">
        <w:rPr>
          <w:rtl/>
        </w:rPr>
        <w:t>.</w:t>
      </w:r>
      <w:r w:rsidR="008A74EB" w:rsidRPr="00C9040A">
        <w:rPr>
          <w:rtl/>
        </w:rPr>
        <w:t xml:space="preserve"> وفي </w:t>
      </w:r>
      <w:r w:rsidR="008A74EB" w:rsidRPr="00993B55">
        <w:rPr>
          <w:rStyle w:val="libFootnoteBoldChar"/>
          <w:rtl/>
        </w:rPr>
        <w:t>شرح المازندراني</w:t>
      </w:r>
      <w:r w:rsidR="008A74EB" w:rsidRPr="00C9040A">
        <w:rPr>
          <w:rtl/>
        </w:rPr>
        <w:t xml:space="preserve"> : « لايقال : السبب الذي ذكره </w:t>
      </w:r>
      <w:r w:rsidR="00117575" w:rsidRPr="00117575">
        <w:rPr>
          <w:rStyle w:val="libFootnoteAlaemChar"/>
          <w:rtl/>
        </w:rPr>
        <w:t>عليه‌السلام</w:t>
      </w:r>
      <w:r w:rsidR="008A74EB">
        <w:rPr>
          <w:rtl/>
        </w:rPr>
        <w:t xml:space="preserve"> ..</w:t>
      </w:r>
      <w:r w:rsidR="008A74EB" w:rsidRPr="00C9040A">
        <w:rPr>
          <w:rtl/>
        </w:rPr>
        <w:t>. يقتضي أن يكون كلّ مؤمن محزوناً دائماً ؛ إذ لايخلو مؤمن من إصابة حزن قطعاً. لأنّا نقول : يجوز أن يتفاوت ذلك بسبب تفاوت القرب والاتّصال في الشدّة والضعف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المحاسن</w:t>
      </w:r>
      <w:r w:rsidR="008A74EB" w:rsidRPr="00C9040A">
        <w:rPr>
          <w:rtl/>
        </w:rPr>
        <w:t xml:space="preserve"> ، ص 133 ، كتاب الصفوة ، ح 87 ، عن أبيه ، عن فضالة بن أيّوب ؛ </w:t>
      </w:r>
      <w:r w:rsidR="008A74EB" w:rsidRPr="00993B55">
        <w:rPr>
          <w:rStyle w:val="libFootnoteBoldChar"/>
          <w:rtl/>
        </w:rPr>
        <w:t>المؤمن</w:t>
      </w:r>
      <w:r w:rsidR="008A74EB" w:rsidRPr="00C9040A">
        <w:rPr>
          <w:rtl/>
        </w:rPr>
        <w:t xml:space="preserve"> ، ص 38 ، ح 87 ، عن جابر ، عن أبي جعفر </w:t>
      </w:r>
      <w:r w:rsidR="00117575" w:rsidRPr="00117575">
        <w:rPr>
          <w:rStyle w:val="libFootnoteAlaemChar"/>
          <w:rtl/>
        </w:rPr>
        <w:t>عليه‌السلام</w:t>
      </w:r>
      <w:r w:rsidR="008A74EB" w:rsidRPr="00C9040A">
        <w:rPr>
          <w:rtl/>
        </w:rPr>
        <w:t xml:space="preserve"> ، وفيهما مع اختلاف يسير </w:t>
      </w:r>
      <w:r w:rsidR="002141C7">
        <w:rPr>
          <w:rFonts w:hint="cs"/>
          <w:rtl/>
        </w:rPr>
        <w:t>.</w:t>
      </w:r>
      <w:r w:rsidR="008A74EB" w:rsidRPr="00993B55">
        <w:rPr>
          <w:rStyle w:val="libFootnoteBoldChar"/>
          <w:rtl/>
        </w:rPr>
        <w:t>الوافي</w:t>
      </w:r>
      <w:r w:rsidR="008A74EB" w:rsidRPr="00C9040A">
        <w:rPr>
          <w:rtl/>
        </w:rPr>
        <w:t xml:space="preserve"> ، ج 5 ، ص 551 ، ح 2558 ؛ </w:t>
      </w:r>
      <w:r w:rsidR="008A74EB" w:rsidRPr="00993B55">
        <w:rPr>
          <w:rStyle w:val="libFootnoteBoldChar"/>
          <w:rtl/>
        </w:rPr>
        <w:t>البحار</w:t>
      </w:r>
      <w:r w:rsidR="008A74EB" w:rsidRPr="00C9040A">
        <w:rPr>
          <w:rtl/>
        </w:rPr>
        <w:t xml:space="preserve"> ، ج 61 ، ص 147 ، ح 24 ؛ وج 67 ، ص 75 ، ح 11 ؛ وج 74 ، ص 265 ، ح 5.</w:t>
      </w:r>
    </w:p>
    <w:p w:rsidR="008A74EB" w:rsidRPr="00C9040A" w:rsidRDefault="006C577F" w:rsidP="004F6BBC">
      <w:pPr>
        <w:pStyle w:val="libFootnote0"/>
        <w:rPr>
          <w:rtl/>
          <w:lang w:bidi="fa-IR"/>
        </w:rPr>
      </w:pPr>
      <w:r>
        <w:rPr>
          <w:rtl/>
        </w:rPr>
        <w:t>(5).</w:t>
      </w:r>
      <w:r w:rsidR="008A74EB" w:rsidRPr="00C9040A">
        <w:rPr>
          <w:rtl/>
        </w:rPr>
        <w:t xml:space="preserve"> في الوافي والوسائل : + « والحجّال » ، وهذا إشارة إلى ما يأتي في ح 2049 ، من نقل الخبر بنفس السند عن‌الحجّال ، عن علي بن عقبة.</w:t>
      </w:r>
      <w:r w:rsidR="004F6BBC">
        <w:rPr>
          <w:rFonts w:hint="cs"/>
          <w:rtl/>
        </w:rPr>
        <w:t xml:space="preserve">                    </w:t>
      </w:r>
      <w:r w:rsidR="005C57B5">
        <w:rPr>
          <w:rFonts w:hint="cs"/>
          <w:rtl/>
        </w:rPr>
        <w:t xml:space="preserve">                     </w:t>
      </w:r>
      <w:r w:rsidR="004F6BBC">
        <w:rPr>
          <w:rFonts w:hint="cs"/>
          <w:rtl/>
        </w:rPr>
        <w:t xml:space="preserve">     </w:t>
      </w:r>
      <w:r>
        <w:rPr>
          <w:rtl/>
        </w:rPr>
        <w:t>(6).</w:t>
      </w:r>
      <w:r w:rsidR="008A74EB">
        <w:rPr>
          <w:rtl/>
        </w:rPr>
        <w:t xml:space="preserve"> </w:t>
      </w:r>
      <w:r w:rsidR="008A74EB" w:rsidRPr="00C9040A">
        <w:rPr>
          <w:rtl/>
        </w:rPr>
        <w:t>في الوافي : « إنّ المؤمن »</w:t>
      </w:r>
      <w:r w:rsidR="008A74EB">
        <w:rPr>
          <w:rtl/>
        </w:rPr>
        <w:t>.</w:t>
      </w:r>
    </w:p>
    <w:p w:rsidR="008A74EB" w:rsidRPr="00C9040A" w:rsidRDefault="006C577F" w:rsidP="004F6BBC">
      <w:pPr>
        <w:pStyle w:val="libFootnote0"/>
        <w:rPr>
          <w:rtl/>
          <w:lang w:bidi="fa-IR"/>
        </w:rPr>
      </w:pPr>
      <w:r>
        <w:rPr>
          <w:rtl/>
        </w:rPr>
        <w:t>(7).</w:t>
      </w:r>
      <w:r w:rsidR="008A74EB" w:rsidRPr="00C9040A">
        <w:rPr>
          <w:rtl/>
        </w:rPr>
        <w:t xml:space="preserve"> </w:t>
      </w:r>
      <w:r w:rsidR="008A74EB" w:rsidRPr="00993B55">
        <w:rPr>
          <w:rStyle w:val="libFootnoteBoldChar"/>
          <w:rtl/>
        </w:rPr>
        <w:t>مصادقة الإخوان</w:t>
      </w:r>
      <w:r w:rsidR="008A74EB" w:rsidRPr="00C9040A">
        <w:rPr>
          <w:rtl/>
        </w:rPr>
        <w:t xml:space="preserve"> ، ص 48 ، ح 2 ، عن فضيل بن يسار ، عن أبي بصير ، عن أبي عبد الله </w:t>
      </w:r>
      <w:r w:rsidR="00117575" w:rsidRPr="00117575">
        <w:rPr>
          <w:rStyle w:val="libFootnoteAlaemChar"/>
          <w:rtl/>
        </w:rPr>
        <w:t>عليه‌السلام</w:t>
      </w:r>
      <w:r w:rsidR="008A74EB" w:rsidRPr="00C9040A">
        <w:rPr>
          <w:rtl/>
        </w:rPr>
        <w:t xml:space="preserve"> ، مع زيادة. وفي </w:t>
      </w:r>
      <w:r w:rsidR="008A74EB" w:rsidRPr="00993B55">
        <w:rPr>
          <w:rStyle w:val="libFootnoteBoldChar"/>
          <w:rtl/>
        </w:rPr>
        <w:t>المؤمن</w:t>
      </w:r>
      <w:r w:rsidR="008A74EB" w:rsidRPr="00C9040A">
        <w:rPr>
          <w:rtl/>
        </w:rPr>
        <w:t xml:space="preserve"> ، ص 42 ، ح 95 ، عن أبي عبدالله </w:t>
      </w:r>
      <w:r w:rsidR="00117575" w:rsidRPr="00117575">
        <w:rPr>
          <w:rStyle w:val="libFootnoteAlaemChar"/>
          <w:rtl/>
        </w:rPr>
        <w:t>عليه‌السلام</w:t>
      </w:r>
      <w:r w:rsidR="008A74EB" w:rsidRPr="00C9040A">
        <w:rPr>
          <w:rtl/>
        </w:rPr>
        <w:t xml:space="preserve"> ؛ </w:t>
      </w:r>
      <w:r w:rsidR="008A74EB" w:rsidRPr="00993B55">
        <w:rPr>
          <w:rStyle w:val="libFootnoteBoldChar"/>
          <w:rtl/>
        </w:rPr>
        <w:t>الاختصاص</w:t>
      </w:r>
      <w:r w:rsidR="008A74EB" w:rsidRPr="00C9040A">
        <w:rPr>
          <w:rtl/>
        </w:rPr>
        <w:t xml:space="preserve"> ، ص 27 ، مرسلاً ، إلى قوله : « لا يخونه » مع زيادة في آخره ، وفي كلّها مع اختلاف يسير </w:t>
      </w:r>
      <w:r w:rsidR="004F6BBC">
        <w:rPr>
          <w:rFonts w:hint="cs"/>
          <w:rtl/>
        </w:rPr>
        <w:t>.</w:t>
      </w:r>
      <w:r w:rsidR="008A74EB" w:rsidRPr="00993B55">
        <w:rPr>
          <w:rStyle w:val="libFootnoteBoldChar"/>
          <w:rtl/>
        </w:rPr>
        <w:t>الوافي</w:t>
      </w:r>
      <w:r w:rsidR="008A74EB" w:rsidRPr="00C9040A">
        <w:rPr>
          <w:rtl/>
        </w:rPr>
        <w:t xml:space="preserve"> ، ج 5 ، ص 553 ، ح 2563 ؛ </w:t>
      </w:r>
      <w:r w:rsidR="008A74EB" w:rsidRPr="00993B55">
        <w:rPr>
          <w:rStyle w:val="libFootnoteBoldChar"/>
          <w:rtl/>
        </w:rPr>
        <w:t>الوسائل</w:t>
      </w:r>
      <w:r w:rsidR="008A74EB" w:rsidRPr="00C9040A">
        <w:rPr>
          <w:rtl/>
        </w:rPr>
        <w:t xml:space="preserve"> ، ج 12 ، ص 205 ، ح 16096 ؛ </w:t>
      </w:r>
      <w:r w:rsidR="008A74EB" w:rsidRPr="00993B55">
        <w:rPr>
          <w:rStyle w:val="libFootnoteBoldChar"/>
          <w:rtl/>
        </w:rPr>
        <w:t>البحار</w:t>
      </w:r>
      <w:r w:rsidR="008A74EB" w:rsidRPr="00C9040A">
        <w:rPr>
          <w:rtl/>
        </w:rPr>
        <w:t xml:space="preserve"> ، ج 74 ، ص 268 ، ح 7.</w:t>
      </w:r>
      <w:r w:rsidR="004F6BBC">
        <w:rPr>
          <w:rFonts w:hint="cs"/>
          <w:rtl/>
        </w:rPr>
        <w:t xml:space="preserve">              </w:t>
      </w:r>
      <w:r>
        <w:rPr>
          <w:rtl/>
        </w:rPr>
        <w:t>(8).</w:t>
      </w:r>
      <w:r w:rsidR="008A74EB" w:rsidRPr="00C9040A">
        <w:rPr>
          <w:rtl/>
        </w:rPr>
        <w:t xml:space="preserve"> في « بر » </w:t>
      </w:r>
      <w:r w:rsidR="008A74EB">
        <w:rPr>
          <w:rtl/>
        </w:rPr>
        <w:t xml:space="preserve">: </w:t>
      </w:r>
      <w:r w:rsidR="0084262C">
        <w:rPr>
          <w:rtl/>
        </w:rPr>
        <w:t>-</w:t>
      </w:r>
      <w:r w:rsidR="008A74EB" w:rsidRPr="00C9040A">
        <w:rPr>
          <w:rtl/>
        </w:rPr>
        <w:t xml:space="preserve"> « محمّد بن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لَأَشَدُّ اتِّصَالاً بِرُوحِ اللهِ مِنِ اتِّصَالِ شُعَاعِ الشَّمْسِ بِهَا »</w:t>
      </w:r>
      <w:r>
        <w:rPr>
          <w:rtl/>
          <w:lang w:bidi="fa-IR"/>
        </w:rPr>
        <w:t>.</w:t>
      </w:r>
      <w:r w:rsidRPr="00C9040A">
        <w:rPr>
          <w:rtl/>
          <w:lang w:bidi="fa-IR"/>
        </w:rPr>
        <w:t xml:space="preserve"> </w:t>
      </w:r>
      <w:r w:rsidR="006C577F" w:rsidRPr="006C577F">
        <w:rPr>
          <w:rStyle w:val="libFootnotenumChar"/>
          <w:rtl/>
        </w:rPr>
        <w:t>(1)</w:t>
      </w:r>
      <w:r w:rsidRPr="00C9040A">
        <w:rPr>
          <w:rtl/>
          <w:lang w:bidi="fa-IR"/>
        </w:rPr>
        <w:t xml:space="preserve"> ‌</w:t>
      </w:r>
    </w:p>
    <w:p w:rsidR="008A74EB" w:rsidRPr="00C9040A" w:rsidRDefault="008A74EB" w:rsidP="008A74EB">
      <w:pPr>
        <w:pStyle w:val="libNormal"/>
        <w:rPr>
          <w:rtl/>
          <w:lang w:bidi="fa-IR"/>
        </w:rPr>
      </w:pPr>
      <w:r w:rsidRPr="0020147E">
        <w:rPr>
          <w:rtl/>
        </w:rPr>
        <w:t>2046</w:t>
      </w:r>
      <w:r w:rsidRPr="00261CB0">
        <w:rPr>
          <w:rStyle w:val="libBold2Char"/>
          <w:rtl/>
        </w:rPr>
        <w:t xml:space="preserve"> / 5.</w:t>
      </w:r>
      <w:r w:rsidRPr="00C9040A">
        <w:rPr>
          <w:rtl/>
          <w:lang w:bidi="fa-IR"/>
        </w:rPr>
        <w:t xml:space="preserve"> عِدَّةٌ مِنْ أَصْحَابِنَا ، عَنْ سَهْلِ بْنِ زِيَادٍ ، عَنْ عَبْدِ الرَّحْمنِ بْنِ أَبِي نَجْرَانَ ، عَنْ مُثَنًّى الْحَنَّاطِ ، عَنِ الْحَارِثِ بْنِ الْمُغِيرَةِ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الْمُسْلِمُ </w:t>
      </w:r>
      <w:r w:rsidR="006C577F" w:rsidRPr="006C577F">
        <w:rPr>
          <w:rStyle w:val="libFootnotenumChar"/>
          <w:rtl/>
        </w:rPr>
        <w:t>(2)</w:t>
      </w:r>
      <w:r w:rsidRPr="00C9040A">
        <w:rPr>
          <w:rtl/>
          <w:lang w:bidi="fa-IR"/>
        </w:rPr>
        <w:t xml:space="preserve"> أَخُو الْمُسْلِمِ ، هُوَ عَيْنُهُ وَمِرْآتُهُ وَدَلِيلُهُ ، لَايَخُونُهُ ، وَلَا يَخْدَعُهُ ، وَلَا يَظْلِمُهُ ، وَلَا يَكْذِبُهُ </w:t>
      </w:r>
      <w:r w:rsidR="006C577F" w:rsidRPr="006C577F">
        <w:rPr>
          <w:rStyle w:val="libFootnotenumChar"/>
          <w:rtl/>
        </w:rPr>
        <w:t>(3)</w:t>
      </w:r>
      <w:r w:rsidRPr="00C9040A">
        <w:rPr>
          <w:rtl/>
          <w:lang w:bidi="fa-IR"/>
        </w:rPr>
        <w:t xml:space="preserve"> ، وَلَا يَغْتَابُهُ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20147E">
        <w:rPr>
          <w:rtl/>
        </w:rPr>
        <w:t>2047</w:t>
      </w:r>
      <w:r w:rsidRPr="00261CB0">
        <w:rPr>
          <w:rStyle w:val="libBold2Char"/>
          <w:rtl/>
        </w:rPr>
        <w:t xml:space="preserve"> / 6.</w:t>
      </w:r>
      <w:r w:rsidRPr="00C9040A">
        <w:rPr>
          <w:rtl/>
          <w:lang w:bidi="fa-IR"/>
        </w:rPr>
        <w:t xml:space="preserve"> عَلِيُّ بْنُ إِبْرَاهِيمَ ، عَنْ أَبِيهِ ، عَنِ ابْنِ أَبِي‌عُمَيْرٍ ، عَنْ حَفْصِ بْنِ الْبَخْتَرِيِّ ، قَالَ :</w:t>
      </w:r>
    </w:p>
    <w:p w:rsidR="008A74EB" w:rsidRPr="00C9040A" w:rsidRDefault="008A74EB" w:rsidP="008A74EB">
      <w:pPr>
        <w:pStyle w:val="libNormal"/>
        <w:rPr>
          <w:rtl/>
          <w:lang w:bidi="fa-IR"/>
        </w:rPr>
      </w:pPr>
      <w:r w:rsidRPr="00C9040A">
        <w:rPr>
          <w:rtl/>
          <w:lang w:bidi="fa-IR"/>
        </w:rPr>
        <w:t xml:space="preserve">كُنْتُ عِنْدَ أَبِي عَبْدِ اللهِ </w:t>
      </w:r>
      <w:r w:rsidRPr="0003660B">
        <w:rPr>
          <w:rStyle w:val="libAlaemChar"/>
          <w:rtl/>
        </w:rPr>
        <w:t>عليه‌السلام</w:t>
      </w:r>
      <w:r w:rsidRPr="00C9040A">
        <w:rPr>
          <w:rtl/>
          <w:lang w:bidi="fa-IR"/>
        </w:rPr>
        <w:t xml:space="preserve"> وَدَخَلَ عَلَيْهِ رَجُلٌ ، فَقَالَ لِي : « تُحِبُّهُ</w:t>
      </w:r>
      <w:r>
        <w:rPr>
          <w:rtl/>
          <w:lang w:bidi="fa-IR"/>
        </w:rPr>
        <w:t>؟</w:t>
      </w:r>
      <w:r w:rsidRPr="00C9040A">
        <w:rPr>
          <w:rtl/>
          <w:lang w:bidi="fa-IR"/>
        </w:rPr>
        <w:t xml:space="preserve"> » فَقُلْتُ : نَعَمْ </w:t>
      </w:r>
      <w:r w:rsidR="006C577F" w:rsidRPr="006C577F">
        <w:rPr>
          <w:rStyle w:val="libFootnotenumChar"/>
          <w:rtl/>
        </w:rPr>
        <w:t>(5)</w:t>
      </w:r>
      <w:r w:rsidRPr="00C9040A">
        <w:rPr>
          <w:rtl/>
          <w:lang w:bidi="fa-IR"/>
        </w:rPr>
        <w:t xml:space="preserve"> ، فَقَالَ لِي : « وَلِمَ لَاتُحِبُّهُ وَهُوَ أَخُوكَ ، وَشَرِيكُكَ فِي دِينِكَ ، وَعَوْنُكَ عَلى عَدُوِّكَ ، وَرِزْقُهُ عَلى غَيْرِكَ</w:t>
      </w:r>
      <w:r>
        <w:rPr>
          <w:rtl/>
          <w:lang w:bidi="fa-IR"/>
        </w:rPr>
        <w:t>؟</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Normal"/>
        <w:rPr>
          <w:rtl/>
          <w:lang w:bidi="fa-IR"/>
        </w:rPr>
      </w:pPr>
      <w:r w:rsidRPr="0020147E">
        <w:rPr>
          <w:rtl/>
        </w:rPr>
        <w:t>2048</w:t>
      </w:r>
      <w:r w:rsidRPr="00261CB0">
        <w:rPr>
          <w:rStyle w:val="libBold2Char"/>
          <w:rtl/>
        </w:rPr>
        <w:t xml:space="preserve"> / 7.</w:t>
      </w:r>
      <w:r w:rsidRPr="00C9040A">
        <w:rPr>
          <w:rtl/>
          <w:lang w:bidi="fa-IR"/>
        </w:rPr>
        <w:t xml:space="preserve"> أَبُو عَلِيٍّ الْأَشْعَرِيُّ ، عَنِ الْحُسَيْنِ بْنِ الْحَسَنِ ، عَنْ مُحَمَّدِ بْنِ أُورَمَةَ ، عَنْ بَعْضِ أَصْحَابِهِ ، عَنْ مُحَمَّدِ بْنِ الْحُسَيْنِ </w:t>
      </w:r>
      <w:r w:rsidR="006C577F" w:rsidRPr="006C577F">
        <w:rPr>
          <w:rStyle w:val="libFootnotenumChar"/>
          <w:rtl/>
        </w:rPr>
        <w:t>(7)</w:t>
      </w:r>
      <w:r w:rsidRPr="00C9040A">
        <w:rPr>
          <w:rtl/>
          <w:lang w:bidi="fa-IR"/>
        </w:rPr>
        <w:t xml:space="preserve"> ، عَنْ مُحَمَّدِ بْنِ‌</w:t>
      </w:r>
      <w:r w:rsidR="004F6BBC">
        <w:rPr>
          <w:rFonts w:hint="cs"/>
          <w:rtl/>
          <w:lang w:bidi="fa-IR"/>
        </w:rPr>
        <w:t>...............................</w:t>
      </w:r>
      <w:r w:rsidR="004F6BBC">
        <w:rPr>
          <w:rFonts w:hint="cs"/>
          <w:rtl/>
          <w:lang w:bidi="fa-IR"/>
        </w:rPr>
        <w:tab/>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993B55">
        <w:rPr>
          <w:rStyle w:val="libFootnoteBoldChar"/>
          <w:rtl/>
        </w:rPr>
        <w:t>مصادقة الإخوان</w:t>
      </w:r>
      <w:r w:rsidR="008A74EB" w:rsidRPr="00C9040A">
        <w:rPr>
          <w:rtl/>
        </w:rPr>
        <w:t xml:space="preserve"> ، ص 48 ، ح 2 ، عن فضيل بن يسار ، عن أبي بصير ، مع زيادة. وفي </w:t>
      </w:r>
      <w:r w:rsidR="008A74EB" w:rsidRPr="00993B55">
        <w:rPr>
          <w:rStyle w:val="libFootnoteBoldChar"/>
          <w:rtl/>
        </w:rPr>
        <w:t>المؤمن</w:t>
      </w:r>
      <w:r w:rsidR="008A74EB" w:rsidRPr="00C9040A">
        <w:rPr>
          <w:rtl/>
        </w:rPr>
        <w:t xml:space="preserve"> ، ص 38 ، ح 86 ، عن أبي عبدالله </w:t>
      </w:r>
      <w:r w:rsidR="00117575" w:rsidRPr="00117575">
        <w:rPr>
          <w:rStyle w:val="libFootnoteAlaemChar"/>
          <w:rtl/>
        </w:rPr>
        <w:t>عليه‌السلام</w:t>
      </w:r>
      <w:r w:rsidR="008A74EB" w:rsidRPr="00C9040A">
        <w:rPr>
          <w:rtl/>
        </w:rPr>
        <w:t xml:space="preserve"> ؛ </w:t>
      </w:r>
      <w:r w:rsidR="008A74EB" w:rsidRPr="00993B55">
        <w:rPr>
          <w:rStyle w:val="libFootnoteBoldChar"/>
          <w:rtl/>
        </w:rPr>
        <w:t>وفيه</w:t>
      </w:r>
      <w:r w:rsidR="008A74EB" w:rsidRPr="00C9040A">
        <w:rPr>
          <w:rtl/>
        </w:rPr>
        <w:t xml:space="preserve"> ، ص 38 ، ح 85 ، عن أحدهما </w:t>
      </w:r>
      <w:r w:rsidR="00117575" w:rsidRPr="00117575">
        <w:rPr>
          <w:rStyle w:val="libFootnoteAlaemChar"/>
          <w:rtl/>
        </w:rPr>
        <w:t>عليهما‌السلام</w:t>
      </w:r>
      <w:r w:rsidR="008A74EB" w:rsidRPr="00C9040A">
        <w:rPr>
          <w:rtl/>
        </w:rPr>
        <w:t xml:space="preserve"> ، إلى قوله : « في سائر جسده » ، مع اختلاف يسير </w:t>
      </w:r>
      <w:r w:rsidR="004F6BBC">
        <w:rPr>
          <w:rFonts w:hint="cs"/>
          <w:rtl/>
        </w:rPr>
        <w:t>.</w:t>
      </w:r>
      <w:r w:rsidR="008A74EB" w:rsidRPr="00993B55">
        <w:rPr>
          <w:rStyle w:val="libFootnoteBoldChar"/>
          <w:rtl/>
        </w:rPr>
        <w:t>الوافي</w:t>
      </w:r>
      <w:r w:rsidR="008A74EB" w:rsidRPr="00C9040A">
        <w:rPr>
          <w:rtl/>
        </w:rPr>
        <w:t xml:space="preserve"> ، ج 5 ، ص 552 ، ح 2559 ؛ </w:t>
      </w:r>
      <w:r w:rsidR="008A74EB" w:rsidRPr="00993B55">
        <w:rPr>
          <w:rStyle w:val="libFootnoteBoldChar"/>
          <w:rtl/>
        </w:rPr>
        <w:t>البحار</w:t>
      </w:r>
      <w:r w:rsidR="008A74EB" w:rsidRPr="00C9040A">
        <w:rPr>
          <w:rtl/>
        </w:rPr>
        <w:t xml:space="preserve"> ، ج 61 ، ص 148 ، ح 25 ؛ وج 74 ، ص 268 ، ح 8.</w:t>
      </w:r>
    </w:p>
    <w:tbl>
      <w:tblPr>
        <w:tblStyle w:val="TableGrid"/>
        <w:bidiVisual/>
        <w:tblW w:w="0" w:type="auto"/>
        <w:tblLook w:val="04A0" w:firstRow="1" w:lastRow="0" w:firstColumn="1" w:lastColumn="0" w:noHBand="0" w:noVBand="1"/>
      </w:tblPr>
      <w:tblGrid>
        <w:gridCol w:w="4006"/>
        <w:gridCol w:w="4006"/>
      </w:tblGrid>
      <w:tr w:rsidR="004F6BBC" w:rsidTr="004F6BBC">
        <w:tc>
          <w:tcPr>
            <w:tcW w:w="4006" w:type="dxa"/>
          </w:tcPr>
          <w:p w:rsidR="004F6BBC" w:rsidRDefault="004F6BBC" w:rsidP="004A4E41">
            <w:pPr>
              <w:pStyle w:val="libFootnote0"/>
              <w:rPr>
                <w:rtl/>
              </w:rPr>
            </w:pPr>
            <w:r>
              <w:rPr>
                <w:rtl/>
              </w:rPr>
              <w:t xml:space="preserve">(2). </w:t>
            </w:r>
            <w:r w:rsidRPr="00C9040A">
              <w:rPr>
                <w:rtl/>
              </w:rPr>
              <w:t xml:space="preserve">في « ج ، ص » </w:t>
            </w:r>
            <w:r>
              <w:rPr>
                <w:rtl/>
              </w:rPr>
              <w:t>: -</w:t>
            </w:r>
            <w:r w:rsidRPr="00C9040A">
              <w:rPr>
                <w:rtl/>
              </w:rPr>
              <w:t xml:space="preserve"> « المسلم »</w:t>
            </w:r>
            <w:r>
              <w:rPr>
                <w:rtl/>
              </w:rPr>
              <w:t>.</w:t>
            </w:r>
          </w:p>
        </w:tc>
        <w:tc>
          <w:tcPr>
            <w:tcW w:w="4006" w:type="dxa"/>
          </w:tcPr>
          <w:p w:rsidR="004F6BBC" w:rsidRDefault="004F6BBC" w:rsidP="004A4E41">
            <w:pPr>
              <w:pStyle w:val="libFootnote0"/>
              <w:rPr>
                <w:rtl/>
              </w:rPr>
            </w:pPr>
            <w:r>
              <w:rPr>
                <w:rtl/>
              </w:rPr>
              <w:t>(3).</w:t>
            </w:r>
            <w:r w:rsidRPr="00C9040A">
              <w:rPr>
                <w:rtl/>
              </w:rPr>
              <w:t xml:space="preserve"> يجوز فيه بناء الإفعال والتفعيل أيضاً.</w:t>
            </w:r>
          </w:p>
        </w:tc>
      </w:tr>
    </w:tbl>
    <w:p w:rsidR="008A74EB" w:rsidRPr="00C9040A" w:rsidRDefault="006C577F" w:rsidP="005C57B5">
      <w:pPr>
        <w:pStyle w:val="libFootnote0"/>
        <w:rPr>
          <w:rtl/>
          <w:lang w:bidi="fa-IR"/>
        </w:rPr>
      </w:pPr>
      <w:r>
        <w:rPr>
          <w:rtl/>
        </w:rPr>
        <w:t>(4).</w:t>
      </w:r>
      <w:r w:rsidR="008A74EB" w:rsidRPr="00C9040A">
        <w:rPr>
          <w:rtl/>
        </w:rPr>
        <w:t xml:space="preserve"> </w:t>
      </w:r>
      <w:r w:rsidR="008A74EB" w:rsidRPr="00993B55">
        <w:rPr>
          <w:rStyle w:val="libFootnoteBoldChar"/>
          <w:rtl/>
        </w:rPr>
        <w:t>الكافي</w:t>
      </w:r>
      <w:r w:rsidR="008A74EB" w:rsidRPr="00C9040A">
        <w:rPr>
          <w:rtl/>
        </w:rPr>
        <w:t xml:space="preserve"> ، كتاب الإيمان والكفر ، باب حقّ المؤمن على أخيه وأداء حقّه ، ح 2070 ، بسند آخر ، مع زيادة في آخره ؛ </w:t>
      </w:r>
      <w:r w:rsidR="008A74EB" w:rsidRPr="00993B55">
        <w:rPr>
          <w:rStyle w:val="libFootnoteBoldChar"/>
          <w:rtl/>
        </w:rPr>
        <w:t>وفيه</w:t>
      </w:r>
      <w:r w:rsidR="008A74EB" w:rsidRPr="00C9040A">
        <w:rPr>
          <w:rtl/>
        </w:rPr>
        <w:t xml:space="preserve"> ، كتاب الزكاة ، باب النوادر ، ح 6194 ، بسند آخر ، مع زيادة في أوّله وآخره. وفي </w:t>
      </w:r>
      <w:r w:rsidR="008A74EB" w:rsidRPr="00993B55">
        <w:rPr>
          <w:rStyle w:val="libFootnoteBoldChar"/>
          <w:rtl/>
        </w:rPr>
        <w:t>المؤمن</w:t>
      </w:r>
      <w:r w:rsidR="008A74EB" w:rsidRPr="00C9040A">
        <w:rPr>
          <w:rtl/>
        </w:rPr>
        <w:t xml:space="preserve"> ، ص 43 ، ح 98 ، عن أبي عبد الله </w:t>
      </w:r>
      <w:r w:rsidR="00117575" w:rsidRPr="00117575">
        <w:rPr>
          <w:rStyle w:val="libFootnoteAlaemChar"/>
          <w:rtl/>
        </w:rPr>
        <w:t>عليه‌السلام</w:t>
      </w:r>
      <w:r w:rsidR="008A74EB" w:rsidRPr="00C9040A">
        <w:rPr>
          <w:rtl/>
        </w:rPr>
        <w:t xml:space="preserve"> عن النبيّ </w:t>
      </w:r>
      <w:r w:rsidR="005C57B5" w:rsidRPr="002141C7">
        <w:rPr>
          <w:rStyle w:val="libFootnoteAlaemChar"/>
          <w:rtl/>
        </w:rPr>
        <w:t>صلى‌الله‌عليه‌وآله</w:t>
      </w:r>
      <w:r w:rsidR="005C57B5" w:rsidRPr="00C9040A">
        <w:rPr>
          <w:rtl/>
        </w:rPr>
        <w:t xml:space="preserve"> </w:t>
      </w:r>
      <w:r w:rsidR="008A74EB" w:rsidRPr="00C9040A">
        <w:rPr>
          <w:rtl/>
        </w:rPr>
        <w:t xml:space="preserve">؛ </w:t>
      </w:r>
      <w:r w:rsidR="008A74EB" w:rsidRPr="00993B55">
        <w:rPr>
          <w:rStyle w:val="libFootnoteBoldChar"/>
          <w:rtl/>
        </w:rPr>
        <w:t>وفيه</w:t>
      </w:r>
      <w:r w:rsidR="008A74EB" w:rsidRPr="00C9040A">
        <w:rPr>
          <w:rtl/>
        </w:rPr>
        <w:t xml:space="preserve"> ، ص 43 ، ح 101 ، عن سماعة ، عن أبي عبد الله </w:t>
      </w:r>
      <w:r w:rsidR="00117575" w:rsidRPr="00117575">
        <w:rPr>
          <w:rStyle w:val="libFootnoteAlaemChar"/>
          <w:rtl/>
        </w:rPr>
        <w:t>عليه‌السلام</w:t>
      </w:r>
      <w:r w:rsidR="008A74EB" w:rsidRPr="00C9040A">
        <w:rPr>
          <w:rtl/>
        </w:rPr>
        <w:t xml:space="preserve"> ، مع زيادة في أوّله وآخره ؛ </w:t>
      </w:r>
      <w:r w:rsidR="008A74EB" w:rsidRPr="00993B55">
        <w:rPr>
          <w:rStyle w:val="libFootnoteBoldChar"/>
          <w:rtl/>
        </w:rPr>
        <w:t>وفيه</w:t>
      </w:r>
      <w:r w:rsidR="008A74EB" w:rsidRPr="00C9040A">
        <w:rPr>
          <w:rtl/>
        </w:rPr>
        <w:t xml:space="preserve"> ، ص 45 ، ح 105 ، عن أبي عبدالله </w:t>
      </w:r>
      <w:r w:rsidR="00117575" w:rsidRPr="00117575">
        <w:rPr>
          <w:rStyle w:val="libFootnoteAlaemChar"/>
          <w:rtl/>
        </w:rPr>
        <w:t>عليه‌السلام</w:t>
      </w:r>
      <w:r w:rsidR="008A74EB" w:rsidRPr="00C9040A">
        <w:rPr>
          <w:rtl/>
        </w:rPr>
        <w:t xml:space="preserve"> ، مع زيادة في آخره ، وفي كلّها مع اختلاف </w:t>
      </w:r>
      <w:r w:rsidR="004F6BBC">
        <w:rPr>
          <w:rFonts w:hint="cs"/>
          <w:rtl/>
        </w:rPr>
        <w:t>.</w:t>
      </w:r>
      <w:r w:rsidR="008A74EB" w:rsidRPr="00993B55">
        <w:rPr>
          <w:rStyle w:val="libFootnoteBoldChar"/>
          <w:rtl/>
        </w:rPr>
        <w:t>الوافي</w:t>
      </w:r>
      <w:r w:rsidR="008A74EB" w:rsidRPr="00C9040A">
        <w:rPr>
          <w:rtl/>
        </w:rPr>
        <w:t xml:space="preserve"> ، ج 5 ، ص 554 ، ح 2564 ؛ </w:t>
      </w:r>
      <w:r w:rsidR="008A74EB" w:rsidRPr="00993B55">
        <w:rPr>
          <w:rStyle w:val="libFootnoteBoldChar"/>
          <w:rtl/>
        </w:rPr>
        <w:t>الوسائل</w:t>
      </w:r>
      <w:r w:rsidR="008A74EB" w:rsidRPr="00C9040A">
        <w:rPr>
          <w:rtl/>
        </w:rPr>
        <w:t xml:space="preserve"> ، ج 12 ، ص 204 ، ح 16094 ؛ </w:t>
      </w:r>
      <w:r w:rsidR="008A74EB" w:rsidRPr="00993B55">
        <w:rPr>
          <w:rStyle w:val="libFootnoteBoldChar"/>
          <w:rtl/>
        </w:rPr>
        <w:t>وفيه</w:t>
      </w:r>
      <w:r w:rsidR="008A74EB" w:rsidRPr="00C9040A">
        <w:rPr>
          <w:rtl/>
        </w:rPr>
        <w:t xml:space="preserve"> ، ص 279 ، ح 16302 ؛ </w:t>
      </w:r>
      <w:r w:rsidR="008A74EB" w:rsidRPr="00993B55">
        <w:rPr>
          <w:rStyle w:val="libFootnoteBoldChar"/>
          <w:rtl/>
        </w:rPr>
        <w:t>البحار</w:t>
      </w:r>
      <w:r w:rsidR="008A74EB" w:rsidRPr="00C9040A">
        <w:rPr>
          <w:rtl/>
        </w:rPr>
        <w:t xml:space="preserve"> ، ج 74 ، ص 273 ، ح 14.</w:t>
      </w:r>
    </w:p>
    <w:p w:rsidR="008A74EB" w:rsidRPr="00C9040A" w:rsidRDefault="006C577F" w:rsidP="004A4E41">
      <w:pPr>
        <w:pStyle w:val="libFootnote0"/>
        <w:rPr>
          <w:rtl/>
          <w:lang w:bidi="fa-IR"/>
        </w:rPr>
      </w:pPr>
      <w:r>
        <w:rPr>
          <w:rtl/>
        </w:rPr>
        <w:t>(5).</w:t>
      </w:r>
      <w:r w:rsidR="008A74EB" w:rsidRPr="00C9040A">
        <w:rPr>
          <w:rtl/>
        </w:rPr>
        <w:t xml:space="preserve"> استظهر في حاشية « ف » كونه : « لا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الوافي</w:t>
      </w:r>
      <w:r w:rsidR="008A74EB" w:rsidRPr="00C9040A">
        <w:rPr>
          <w:rtl/>
        </w:rPr>
        <w:t xml:space="preserve"> ، ج 5 ، ص 554 ، ح 2565 ؛ </w:t>
      </w:r>
      <w:r w:rsidR="008A74EB" w:rsidRPr="00993B55">
        <w:rPr>
          <w:rStyle w:val="libFootnoteBoldChar"/>
          <w:rtl/>
        </w:rPr>
        <w:t>البحار</w:t>
      </w:r>
      <w:r w:rsidR="008A74EB" w:rsidRPr="00C9040A">
        <w:rPr>
          <w:rtl/>
        </w:rPr>
        <w:t xml:space="preserve"> ، ج 74 ، ص 271 ، ح 10.</w:t>
      </w:r>
    </w:p>
    <w:p w:rsidR="008A74EB" w:rsidRPr="00C9040A" w:rsidRDefault="006C577F" w:rsidP="004A4E41">
      <w:pPr>
        <w:pStyle w:val="libFootnote0"/>
        <w:rPr>
          <w:rtl/>
          <w:lang w:bidi="fa-IR"/>
        </w:rPr>
      </w:pPr>
      <w:r>
        <w:rPr>
          <w:rtl/>
        </w:rPr>
        <w:t>(7).</w:t>
      </w:r>
      <w:r w:rsidR="008A74EB" w:rsidRPr="00C9040A">
        <w:rPr>
          <w:rtl/>
        </w:rPr>
        <w:t xml:space="preserve"> اجتمع محمّد بن الحسين</w:t>
      </w:r>
      <w:r w:rsidR="008A74EB">
        <w:rPr>
          <w:rtl/>
        </w:rPr>
        <w:t xml:space="preserve"> </w:t>
      </w:r>
      <w:r w:rsidR="0084262C">
        <w:rPr>
          <w:rtl/>
        </w:rPr>
        <w:t>-</w:t>
      </w:r>
      <w:r w:rsidR="008A74EB">
        <w:rPr>
          <w:rtl/>
        </w:rPr>
        <w:t xml:space="preserve"> </w:t>
      </w:r>
      <w:r w:rsidR="008A74EB" w:rsidRPr="00C9040A">
        <w:rPr>
          <w:rtl/>
        </w:rPr>
        <w:t xml:space="preserve">وهو ابن أبي الخطّاب الراوي لكتاب محمّد بن الفضيل كما في </w:t>
      </w:r>
      <w:r w:rsidR="008A74EB" w:rsidRPr="00993B55">
        <w:rPr>
          <w:rStyle w:val="libFootnoteBoldChar"/>
          <w:rtl/>
        </w:rPr>
        <w:t>رجال النجاشي</w:t>
      </w:r>
      <w:r w:rsidR="008A74EB" w:rsidRPr="00C9040A">
        <w:rPr>
          <w:rtl/>
        </w:rPr>
        <w:t xml:space="preserve"> ، ص 367 ، الرقم 995</w:t>
      </w:r>
      <w:r w:rsidR="008A74EB">
        <w:rPr>
          <w:rtl/>
        </w:rPr>
        <w:t xml:space="preserve"> </w:t>
      </w:r>
      <w:r w:rsidR="0084262C">
        <w:rPr>
          <w:rtl/>
        </w:rPr>
        <w:t>-</w:t>
      </w:r>
      <w:r w:rsidR="008A74EB">
        <w:rPr>
          <w:rtl/>
        </w:rPr>
        <w:t xml:space="preserve"> </w:t>
      </w:r>
      <w:r w:rsidR="008A74EB" w:rsidRPr="00C9040A">
        <w:rPr>
          <w:rtl/>
        </w:rPr>
        <w:t>مع أبي عليّ الأشعري</w:t>
      </w:r>
      <w:r w:rsidR="008A74EB">
        <w:rPr>
          <w:rtl/>
        </w:rPr>
        <w:t xml:space="preserve"> </w:t>
      </w:r>
      <w:r w:rsidR="0084262C">
        <w:rPr>
          <w:rtl/>
        </w:rPr>
        <w:t>-</w:t>
      </w:r>
      <w:r w:rsidR="008A74EB">
        <w:rPr>
          <w:rtl/>
        </w:rPr>
        <w:t xml:space="preserve"> </w:t>
      </w:r>
      <w:r w:rsidR="008A74EB" w:rsidRPr="00C9040A">
        <w:rPr>
          <w:rtl/>
        </w:rPr>
        <w:t>وهو أحمد بن إدريس</w:t>
      </w:r>
      <w:r w:rsidR="008A74EB">
        <w:rPr>
          <w:rtl/>
        </w:rPr>
        <w:t xml:space="preserve"> </w:t>
      </w:r>
      <w:r w:rsidR="0084262C">
        <w:rPr>
          <w:rtl/>
        </w:rPr>
        <w:t>-</w:t>
      </w:r>
      <w:r w:rsidR="008A74EB">
        <w:rPr>
          <w:rtl/>
        </w:rPr>
        <w:t xml:space="preserve"> </w:t>
      </w:r>
      <w:r w:rsidR="008A74EB" w:rsidRPr="00C9040A">
        <w:rPr>
          <w:rtl/>
        </w:rPr>
        <w:t xml:space="preserve">في أسناد قليلة جدّاً ، والواسطة بينهما </w:t>
      </w:r>
      <w:r w:rsidR="004F6BBC">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الْفُضَيْلِ </w:t>
      </w:r>
      <w:r w:rsidR="006C577F" w:rsidRPr="006C577F">
        <w:rPr>
          <w:rStyle w:val="libFootnotenumChar"/>
          <w:rtl/>
        </w:rPr>
        <w:t>(1)</w:t>
      </w:r>
      <w:r w:rsidRPr="00C9040A">
        <w:rPr>
          <w:rtl/>
          <w:lang w:bidi="fa-IR"/>
        </w:rPr>
        <w:t xml:space="preserve"> ، عَنْ أَبِي حَمْزَةَ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سَمِعْتُهُ يَقُولُ : « الْمُؤْمِنُ أَخُو الْمُؤْمِنِ لِأَبِيهِ وَأُمِّهِ ؛ لِأَنَّ اللهَ </w:t>
      </w:r>
      <w:r w:rsidR="0084262C">
        <w:rPr>
          <w:rtl/>
          <w:lang w:bidi="fa-IR"/>
        </w:rPr>
        <w:t>-</w:t>
      </w:r>
      <w:r w:rsidRPr="00C9040A">
        <w:rPr>
          <w:rtl/>
          <w:lang w:bidi="fa-IR"/>
        </w:rPr>
        <w:t xml:space="preserve"> عَزَّ وَجَلَّ</w:t>
      </w:r>
      <w:r>
        <w:rPr>
          <w:rtl/>
          <w:lang w:bidi="fa-IR"/>
        </w:rPr>
        <w:t xml:space="preserve"> </w:t>
      </w:r>
      <w:r w:rsidR="0084262C">
        <w:rPr>
          <w:rtl/>
          <w:lang w:bidi="fa-IR"/>
        </w:rPr>
        <w:t>-</w:t>
      </w:r>
      <w:r>
        <w:rPr>
          <w:rtl/>
          <w:lang w:bidi="fa-IR"/>
        </w:rPr>
        <w:t xml:space="preserve"> </w:t>
      </w:r>
      <w:r w:rsidRPr="00C9040A">
        <w:rPr>
          <w:rtl/>
          <w:lang w:bidi="fa-IR"/>
        </w:rPr>
        <w:t xml:space="preserve">خَلَقَ الْمُؤْمِنِينَ مِنْ طِينَةِ </w:t>
      </w:r>
      <w:r w:rsidR="006C577F" w:rsidRPr="006C577F">
        <w:rPr>
          <w:rStyle w:val="libFootnotenumChar"/>
          <w:rtl/>
        </w:rPr>
        <w:t>(2)</w:t>
      </w:r>
      <w:r w:rsidRPr="00C9040A">
        <w:rPr>
          <w:rtl/>
          <w:lang w:bidi="fa-IR"/>
        </w:rPr>
        <w:t xml:space="preserve"> الْجِنَانِ ، وَأَجْرى فِي صُوَرِهِمْ </w:t>
      </w:r>
      <w:r w:rsidR="006C577F" w:rsidRPr="006C577F">
        <w:rPr>
          <w:rStyle w:val="libFootnotenumChar"/>
          <w:rtl/>
        </w:rPr>
        <w:t>(3)</w:t>
      </w:r>
      <w:r w:rsidRPr="00C9040A">
        <w:rPr>
          <w:rtl/>
          <w:lang w:bidi="fa-IR"/>
        </w:rPr>
        <w:t xml:space="preserve"> مِنْ </w:t>
      </w:r>
      <w:r w:rsidR="006C577F" w:rsidRPr="006C577F">
        <w:rPr>
          <w:rStyle w:val="libFootnotenumChar"/>
          <w:rtl/>
        </w:rPr>
        <w:t>(4)</w:t>
      </w:r>
      <w:r w:rsidRPr="00C9040A">
        <w:rPr>
          <w:rtl/>
          <w:lang w:bidi="fa-IR"/>
        </w:rPr>
        <w:t xml:space="preserve"> رِيحِ الْجَنَّةِ </w:t>
      </w:r>
      <w:r w:rsidR="006C577F" w:rsidRPr="006C577F">
        <w:rPr>
          <w:rStyle w:val="libFootnotenumChar"/>
          <w:rtl/>
        </w:rPr>
        <w:t>(5)</w:t>
      </w:r>
      <w:r w:rsidRPr="00C9040A">
        <w:rPr>
          <w:rtl/>
          <w:lang w:bidi="fa-IR"/>
        </w:rPr>
        <w:t xml:space="preserve"> ، فَلِذلِكَ هُمْ </w:t>
      </w:r>
      <w:r w:rsidR="006C577F" w:rsidRPr="006C577F">
        <w:rPr>
          <w:rStyle w:val="libFootnotenumChar"/>
          <w:rtl/>
        </w:rPr>
        <w:t>(6)</w:t>
      </w:r>
      <w:r w:rsidRPr="005B567D">
        <w:rPr>
          <w:rStyle w:val="libFootnotenumChar"/>
          <w:rtl/>
        </w:rPr>
        <w:t xml:space="preserve"> </w:t>
      </w:r>
      <w:r w:rsidRPr="00C9040A">
        <w:rPr>
          <w:rtl/>
          <w:lang w:bidi="fa-IR"/>
        </w:rPr>
        <w:t>إِخْوَةٌ لِأَبٍ وَأُمٍّ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CB44ED">
        <w:rPr>
          <w:rtl/>
        </w:rPr>
        <w:t>2049</w:t>
      </w:r>
      <w:r w:rsidRPr="00261CB0">
        <w:rPr>
          <w:rStyle w:val="libBold2Char"/>
          <w:rtl/>
        </w:rPr>
        <w:t xml:space="preserve"> / 8.</w:t>
      </w:r>
      <w:r w:rsidRPr="00C9040A">
        <w:rPr>
          <w:rtl/>
          <w:lang w:bidi="fa-IR"/>
        </w:rPr>
        <w:t xml:space="preserve"> مُحَمَّدُ بْنُ يَحْيى ، عَنْ أَحْمَدَ بْنِ مُحَمَّدِ بْنِ عِيسى ، عَنِ الْحَجَّالِ ، عَنْ عَلِيِّ بْنِ عُقْبَةَ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إِنَّ الْمُؤْمِنَ أَخُو الْمُؤْمِنِ : عَيْنُهُ وَدَلِيلُهُ ، لَايَخُونُهُ ، وَلَا يَظْلِمُهُ ، وَلَا يَغُشُّهُ ، وَلَا يَعِدُهُ عِدَةً فَيُخْلِفَهُ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4F6BBC" w:rsidP="004A4E41">
      <w:pPr>
        <w:pStyle w:val="libFootnote0"/>
        <w:rPr>
          <w:rtl/>
          <w:lang w:bidi="fa-IR"/>
        </w:rPr>
      </w:pPr>
      <w:r>
        <w:rPr>
          <w:rFonts w:hint="cs"/>
          <w:rtl/>
        </w:rPr>
        <w:t>=</w:t>
      </w:r>
      <w:r w:rsidR="005C57B5">
        <w:rPr>
          <w:rFonts w:hint="cs"/>
          <w:rtl/>
        </w:rPr>
        <w:t xml:space="preserve"> </w:t>
      </w:r>
      <w:r w:rsidR="008A74EB" w:rsidRPr="00C9040A">
        <w:rPr>
          <w:rtl/>
        </w:rPr>
        <w:t xml:space="preserve">واحدة. راجع : </w:t>
      </w:r>
      <w:r w:rsidR="008A74EB" w:rsidRPr="00993B55">
        <w:rPr>
          <w:rStyle w:val="libFootnoteBoldChar"/>
          <w:rtl/>
        </w:rPr>
        <w:t>الكافي</w:t>
      </w:r>
      <w:r w:rsidR="008A74EB" w:rsidRPr="00C9040A">
        <w:rPr>
          <w:rtl/>
        </w:rPr>
        <w:t xml:space="preserve"> ، ح 523 </w:t>
      </w:r>
      <w:r w:rsidR="008A74EB">
        <w:rPr>
          <w:rtl/>
        </w:rPr>
        <w:t>و 4</w:t>
      </w:r>
      <w:r w:rsidR="008A74EB" w:rsidRPr="00C9040A">
        <w:rPr>
          <w:rtl/>
        </w:rPr>
        <w:t xml:space="preserve">832 </w:t>
      </w:r>
      <w:r w:rsidR="008A74EB">
        <w:rPr>
          <w:rtl/>
        </w:rPr>
        <w:t>و 1</w:t>
      </w:r>
      <w:r w:rsidR="008A74EB" w:rsidRPr="00C9040A">
        <w:rPr>
          <w:rtl/>
        </w:rPr>
        <w:t xml:space="preserve">4661 ؛ </w:t>
      </w:r>
      <w:r w:rsidR="008A74EB" w:rsidRPr="00993B55">
        <w:rPr>
          <w:rStyle w:val="libFootnoteBoldChar"/>
          <w:rtl/>
        </w:rPr>
        <w:t>التهذيب</w:t>
      </w:r>
      <w:r w:rsidR="008A74EB" w:rsidRPr="00C9040A">
        <w:rPr>
          <w:rtl/>
        </w:rPr>
        <w:t xml:space="preserve"> ، ج 1 ، ص 138 ، ح 386 ، وص 238 ، ح 690.</w:t>
      </w:r>
    </w:p>
    <w:p w:rsidR="008A74EB" w:rsidRPr="00C9040A" w:rsidRDefault="008A74EB" w:rsidP="004A4E41">
      <w:pPr>
        <w:pStyle w:val="libFootnote0"/>
        <w:rPr>
          <w:rtl/>
          <w:lang w:bidi="fa-IR"/>
        </w:rPr>
      </w:pPr>
      <w:r w:rsidRPr="00323A39">
        <w:rPr>
          <w:rtl/>
        </w:rPr>
        <w:t xml:space="preserve">فعليه رواية أبي عليّ الأشعري عن محمّد بن الحسين بوسائط ثلاث بعيدة جدّاً ، يؤيّد ذلك أنّ المصنّف يروي عن محمّد بن الحسين [ بن أبي الخطّاب ] في أسناد كثيرة جدّاً بتوسّط شيخه محمّد بن يحيى. راجع : </w:t>
      </w:r>
      <w:r w:rsidRPr="00993B55">
        <w:rPr>
          <w:rStyle w:val="libFootnoteBoldChar"/>
          <w:rtl/>
        </w:rPr>
        <w:t>معجم رجال الحديث</w:t>
      </w:r>
      <w:r w:rsidRPr="00323A39">
        <w:rPr>
          <w:rtl/>
        </w:rPr>
        <w:t xml:space="preserve"> ، ج 18 ، ص 7 </w:t>
      </w:r>
      <w:r w:rsidR="0084262C" w:rsidRPr="00323A39">
        <w:rPr>
          <w:rtl/>
        </w:rPr>
        <w:t>-</w:t>
      </w:r>
      <w:r w:rsidRPr="00323A39">
        <w:rPr>
          <w:rtl/>
        </w:rPr>
        <w:t xml:space="preserve"> 8.</w:t>
      </w:r>
    </w:p>
    <w:p w:rsidR="008A74EB" w:rsidRPr="00C9040A" w:rsidRDefault="008A74EB" w:rsidP="004A4E41">
      <w:pPr>
        <w:pStyle w:val="libFootnote0"/>
        <w:rPr>
          <w:rtl/>
          <w:lang w:bidi="fa-IR"/>
        </w:rPr>
      </w:pPr>
      <w:r w:rsidRPr="00323A39">
        <w:rPr>
          <w:rtl/>
        </w:rPr>
        <w:t>أضف إلى ذلك أنّ مشايخ محمّد بن ا</w:t>
      </w:r>
      <w:r w:rsidR="000817DD">
        <w:rPr>
          <w:rFonts w:hint="cs"/>
          <w:rtl/>
        </w:rPr>
        <w:t>ُ</w:t>
      </w:r>
      <w:r w:rsidRPr="00323A39">
        <w:rPr>
          <w:rtl/>
        </w:rPr>
        <w:t>ورمة ، متقدّمون طبقةً على محمّد بن الحسين ، بل الظاهر أنّ لابن ا</w:t>
      </w:r>
      <w:r w:rsidR="000817DD">
        <w:rPr>
          <w:rFonts w:hint="cs"/>
          <w:rtl/>
        </w:rPr>
        <w:t>ُ</w:t>
      </w:r>
      <w:r w:rsidRPr="00323A39">
        <w:rPr>
          <w:rtl/>
        </w:rPr>
        <w:t xml:space="preserve">ورمة نفسه نوع تقدّم على محمّد بن الحسين ، كما يعلم من المعلومات الواردة حوله. راجع : </w:t>
      </w:r>
      <w:r w:rsidRPr="00993B55">
        <w:rPr>
          <w:rStyle w:val="libFootnoteBoldChar"/>
          <w:rtl/>
        </w:rPr>
        <w:t>معجم رجال الحديث</w:t>
      </w:r>
      <w:r w:rsidRPr="00323A39">
        <w:rPr>
          <w:rtl/>
        </w:rPr>
        <w:t xml:space="preserve"> ، ج 15 ، ص 115 </w:t>
      </w:r>
      <w:r w:rsidR="0084262C" w:rsidRPr="00323A39">
        <w:rPr>
          <w:rtl/>
        </w:rPr>
        <w:t>-</w:t>
      </w:r>
      <w:r w:rsidRPr="00323A39">
        <w:rPr>
          <w:rtl/>
        </w:rPr>
        <w:t xml:space="preserve"> 119.</w:t>
      </w:r>
    </w:p>
    <w:p w:rsidR="008A74EB" w:rsidRPr="00C9040A" w:rsidRDefault="008A74EB" w:rsidP="004A4E41">
      <w:pPr>
        <w:pStyle w:val="libFootnote0"/>
        <w:rPr>
          <w:rtl/>
          <w:lang w:bidi="fa-IR"/>
        </w:rPr>
      </w:pPr>
      <w:r w:rsidRPr="0082575F">
        <w:rPr>
          <w:rtl/>
        </w:rPr>
        <w:t>فعليه رواية ابن ا</w:t>
      </w:r>
      <w:r w:rsidR="000817DD">
        <w:rPr>
          <w:rFonts w:hint="cs"/>
          <w:rtl/>
        </w:rPr>
        <w:t>ُ</w:t>
      </w:r>
      <w:r w:rsidRPr="0082575F">
        <w:rPr>
          <w:rtl/>
        </w:rPr>
        <w:t>ورمة أيضاً عن محمّد بن الحسين بواسطة واحدة بعيدة.</w:t>
      </w:r>
    </w:p>
    <w:p w:rsidR="008A74EB" w:rsidRDefault="008A74EB" w:rsidP="004A4E41">
      <w:pPr>
        <w:pStyle w:val="libFootnote0"/>
        <w:rPr>
          <w:rtl/>
        </w:rPr>
      </w:pPr>
      <w:r w:rsidRPr="0082575F">
        <w:rPr>
          <w:rtl/>
        </w:rPr>
        <w:t>والحاصل أنّ وقوع الخلل في السند ممّا لا ريب فيه ، وأمّا كيفيّة وقوعه ، وما هو الصواب في السند ، فلم نجد له جواباً مُقْنِعاً.</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هكذا في النسخ التي قوبلت والطبعة القديمة والبحار. وفي المطبوع : « فضيل »</w:t>
      </w:r>
      <w:r w:rsidR="008A74EB">
        <w:rPr>
          <w:rtl/>
        </w:rPr>
        <w:t>.</w:t>
      </w:r>
    </w:p>
    <w:tbl>
      <w:tblPr>
        <w:tblStyle w:val="TableGrid"/>
        <w:bidiVisual/>
        <w:tblW w:w="0" w:type="auto"/>
        <w:tblLook w:val="04A0" w:firstRow="1" w:lastRow="0" w:firstColumn="1" w:lastColumn="0" w:noHBand="0" w:noVBand="1"/>
      </w:tblPr>
      <w:tblGrid>
        <w:gridCol w:w="4006"/>
        <w:gridCol w:w="4006"/>
      </w:tblGrid>
      <w:tr w:rsidR="000817DD" w:rsidTr="000817DD">
        <w:tc>
          <w:tcPr>
            <w:tcW w:w="4006" w:type="dxa"/>
          </w:tcPr>
          <w:p w:rsidR="000817DD" w:rsidRDefault="000817DD" w:rsidP="004A4E41">
            <w:pPr>
              <w:pStyle w:val="libFootnote0"/>
              <w:rPr>
                <w:rtl/>
              </w:rPr>
            </w:pPr>
            <w:r>
              <w:rPr>
                <w:rtl/>
              </w:rPr>
              <w:t xml:space="preserve">(2). </w:t>
            </w:r>
            <w:r w:rsidRPr="00C9040A">
              <w:rPr>
                <w:rtl/>
              </w:rPr>
              <w:t>في المؤمن : « طين »</w:t>
            </w:r>
            <w:r>
              <w:rPr>
                <w:rtl/>
              </w:rPr>
              <w:t>.</w:t>
            </w:r>
          </w:p>
        </w:tc>
        <w:tc>
          <w:tcPr>
            <w:tcW w:w="4006" w:type="dxa"/>
          </w:tcPr>
          <w:p w:rsidR="000817DD" w:rsidRDefault="000817DD" w:rsidP="004A4E41">
            <w:pPr>
              <w:pStyle w:val="libFootnote0"/>
              <w:rPr>
                <w:rtl/>
              </w:rPr>
            </w:pPr>
            <w:r>
              <w:rPr>
                <w:rtl/>
              </w:rPr>
              <w:t>(3). في «بر » وحاشية «ض » والبحار : «</w:t>
            </w:r>
            <w:r w:rsidRPr="00C9040A">
              <w:rPr>
                <w:rtl/>
              </w:rPr>
              <w:t>روحهم »</w:t>
            </w:r>
            <w:r>
              <w:rPr>
                <w:rtl/>
              </w:rPr>
              <w:t>.</w:t>
            </w:r>
          </w:p>
        </w:tc>
      </w:tr>
    </w:tbl>
    <w:p w:rsidR="008A74EB" w:rsidRPr="00C9040A" w:rsidRDefault="006C577F" w:rsidP="004A4E41">
      <w:pPr>
        <w:pStyle w:val="libFootnote0"/>
        <w:rPr>
          <w:rtl/>
          <w:lang w:bidi="fa-IR"/>
        </w:rPr>
      </w:pPr>
      <w:r>
        <w:rPr>
          <w:rtl/>
        </w:rPr>
        <w:t>(4).</w:t>
      </w:r>
      <w:r w:rsidR="008A74EB" w:rsidRPr="00C9040A">
        <w:rPr>
          <w:rtl/>
        </w:rPr>
        <w:t xml:space="preserve"> في « ف » </w:t>
      </w:r>
      <w:r w:rsidR="008A74EB">
        <w:rPr>
          <w:rtl/>
        </w:rPr>
        <w:t xml:space="preserve">: </w:t>
      </w:r>
      <w:r w:rsidR="0084262C">
        <w:rPr>
          <w:rtl/>
        </w:rPr>
        <w:t>-</w:t>
      </w:r>
      <w:r w:rsidR="008A74EB" w:rsidRPr="00C9040A">
        <w:rPr>
          <w:rtl/>
        </w:rPr>
        <w:t xml:space="preserve"> « من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المحاسن : « أجرى فيهم من روح رحمته » بدل « أجرى في صورهم من روح الجنّة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 ف » </w:t>
      </w:r>
      <w:r w:rsidR="008A74EB">
        <w:rPr>
          <w:rtl/>
        </w:rPr>
        <w:t xml:space="preserve">: </w:t>
      </w:r>
      <w:r w:rsidR="0084262C">
        <w:rPr>
          <w:rtl/>
        </w:rPr>
        <w:t>-</w:t>
      </w:r>
      <w:r w:rsidR="008A74EB" w:rsidRPr="00C9040A">
        <w:rPr>
          <w:rtl/>
        </w:rPr>
        <w:t xml:space="preserve"> « هم »</w:t>
      </w:r>
      <w:r w:rsidR="008A74EB">
        <w:rPr>
          <w:rtl/>
        </w:rPr>
        <w:t>.</w:t>
      </w:r>
    </w:p>
    <w:p w:rsidR="008A74EB" w:rsidRPr="00C9040A" w:rsidRDefault="006C577F" w:rsidP="000817DD">
      <w:pPr>
        <w:pStyle w:val="libFootnote0"/>
        <w:rPr>
          <w:rtl/>
          <w:lang w:bidi="fa-IR"/>
        </w:rPr>
      </w:pPr>
      <w:r>
        <w:rPr>
          <w:rtl/>
        </w:rPr>
        <w:t>(7).</w:t>
      </w:r>
      <w:r w:rsidR="008A74EB" w:rsidRPr="00C9040A">
        <w:rPr>
          <w:rtl/>
        </w:rPr>
        <w:t xml:space="preserve"> </w:t>
      </w:r>
      <w:r w:rsidR="008A74EB" w:rsidRPr="00993B55">
        <w:rPr>
          <w:rStyle w:val="libFootnoteBoldChar"/>
          <w:rtl/>
        </w:rPr>
        <w:t>المحاسن</w:t>
      </w:r>
      <w:r w:rsidR="008A74EB" w:rsidRPr="00C9040A">
        <w:rPr>
          <w:rtl/>
        </w:rPr>
        <w:t xml:space="preserve"> ، ص 134 ، </w:t>
      </w:r>
      <w:r w:rsidR="008A74EB" w:rsidRPr="000817DD">
        <w:rPr>
          <w:rStyle w:val="libFootnoteBoldChar"/>
          <w:rtl/>
        </w:rPr>
        <w:t>كتاب الصفوة</w:t>
      </w:r>
      <w:r w:rsidR="008A74EB" w:rsidRPr="00C9040A">
        <w:rPr>
          <w:rtl/>
        </w:rPr>
        <w:t xml:space="preserve"> ، ح 12 ، بسنده عن محمّد بن الفضيل ، مع اختلاف يسير. وفي </w:t>
      </w:r>
      <w:r w:rsidR="008A74EB" w:rsidRPr="00993B55">
        <w:rPr>
          <w:rStyle w:val="libFootnoteBoldChar"/>
          <w:rtl/>
        </w:rPr>
        <w:t>المؤمن</w:t>
      </w:r>
      <w:r w:rsidR="008A74EB" w:rsidRPr="00C9040A">
        <w:rPr>
          <w:rtl/>
        </w:rPr>
        <w:t xml:space="preserve"> ، ص 39 ، ح 88 ، عن أبي جعفر </w:t>
      </w:r>
      <w:r w:rsidR="00117575" w:rsidRPr="00117575">
        <w:rPr>
          <w:rStyle w:val="libFootnoteAlaemChar"/>
          <w:rtl/>
        </w:rPr>
        <w:t xml:space="preserve">عليه‌السلام </w:t>
      </w:r>
      <w:r w:rsidR="000817DD">
        <w:rPr>
          <w:rFonts w:hint="cs"/>
          <w:rtl/>
        </w:rPr>
        <w:t>.</w:t>
      </w:r>
      <w:r w:rsidR="008A74EB" w:rsidRPr="00993B55">
        <w:rPr>
          <w:rStyle w:val="libFootnoteBoldChar"/>
          <w:rtl/>
        </w:rPr>
        <w:t>الوافي</w:t>
      </w:r>
      <w:r w:rsidR="008A74EB" w:rsidRPr="00C9040A">
        <w:rPr>
          <w:rtl/>
        </w:rPr>
        <w:t xml:space="preserve"> ، ج 5 ، ص 552 ، ح 2560 ؛ </w:t>
      </w:r>
      <w:r w:rsidR="008A74EB" w:rsidRPr="00993B55">
        <w:rPr>
          <w:rStyle w:val="libFootnoteBoldChar"/>
          <w:rtl/>
        </w:rPr>
        <w:t>البحار</w:t>
      </w:r>
      <w:r w:rsidR="008A74EB" w:rsidRPr="00C9040A">
        <w:rPr>
          <w:rtl/>
        </w:rPr>
        <w:t xml:space="preserve"> ، ج 74 ، ص 271 ، ح 11.</w:t>
      </w:r>
    </w:p>
    <w:p w:rsidR="008A74EB" w:rsidRPr="00C9040A" w:rsidRDefault="006C577F" w:rsidP="004A4E41">
      <w:pPr>
        <w:pStyle w:val="libFootnote0"/>
        <w:rPr>
          <w:rtl/>
          <w:lang w:bidi="fa-IR"/>
        </w:rPr>
      </w:pPr>
      <w:r>
        <w:rPr>
          <w:rtl/>
        </w:rPr>
        <w:t>(8).</w:t>
      </w:r>
      <w:r w:rsidR="008A74EB" w:rsidRPr="00C9040A">
        <w:rPr>
          <w:rtl/>
        </w:rPr>
        <w:t xml:space="preserve"> راجع : ح 3 من هذا الباب ومصادره.</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B44ED">
        <w:rPr>
          <w:rtl/>
        </w:rPr>
        <w:t>2050</w:t>
      </w:r>
      <w:r w:rsidRPr="00261CB0">
        <w:rPr>
          <w:rStyle w:val="libBold2Char"/>
          <w:rtl/>
        </w:rPr>
        <w:t xml:space="preserve"> / 9.</w:t>
      </w:r>
      <w:r w:rsidRPr="00C9040A">
        <w:rPr>
          <w:rtl/>
          <w:lang w:bidi="fa-IR"/>
        </w:rPr>
        <w:t xml:space="preserve"> أَحْمَدُ بْنُ مُحَمَّدِ بْنِ عِيسى </w:t>
      </w:r>
      <w:r w:rsidR="006C577F" w:rsidRPr="006C577F">
        <w:rPr>
          <w:rStyle w:val="libFootnotenumChar"/>
          <w:rtl/>
        </w:rPr>
        <w:t>(1)</w:t>
      </w:r>
      <w:r w:rsidRPr="00C9040A">
        <w:rPr>
          <w:rtl/>
          <w:lang w:bidi="fa-IR"/>
        </w:rPr>
        <w:t xml:space="preserve"> ، عَنْ أَحْمَدَ بْنِ عَبْدِ اللهِ </w:t>
      </w:r>
      <w:r w:rsidR="006C577F" w:rsidRPr="006C577F">
        <w:rPr>
          <w:rStyle w:val="libFootnotenumChar"/>
          <w:rtl/>
        </w:rPr>
        <w:t>(2)</w:t>
      </w:r>
      <w:r w:rsidR="000817DD">
        <w:rPr>
          <w:rtl/>
          <w:lang w:bidi="fa-IR"/>
        </w:rPr>
        <w:t xml:space="preserve"> ، عَنْ رَجُلٍ ، عَنْ جَمِيلٍ</w:t>
      </w:r>
      <w:r w:rsidRPr="00C9040A">
        <w:rPr>
          <w:rtl/>
          <w:lang w:bidi="fa-IR"/>
        </w:rPr>
        <w:t>:</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w:t>
      </w:r>
      <w:r w:rsidR="006C577F" w:rsidRPr="006C577F">
        <w:rPr>
          <w:rStyle w:val="libFootnotenumChar"/>
          <w:rtl/>
        </w:rPr>
        <w:t>(3)</w:t>
      </w:r>
      <w:r w:rsidRPr="00C9040A">
        <w:rPr>
          <w:rtl/>
          <w:lang w:bidi="fa-IR"/>
        </w:rPr>
        <w:t xml:space="preserve"> ، قَالَ : سَمِعْتُهُ يَقُولُ : « الْمُؤْمِنُونَ خَدَمٌ بَعْضُهُمْ لِبَعْضٍ </w:t>
      </w:r>
      <w:r w:rsidR="006C577F" w:rsidRPr="006C577F">
        <w:rPr>
          <w:rStyle w:val="libFootnotenumChar"/>
          <w:rtl/>
        </w:rPr>
        <w:t>(4)</w:t>
      </w:r>
      <w:r w:rsidRPr="00C9040A">
        <w:rPr>
          <w:rtl/>
          <w:lang w:bidi="fa-IR"/>
        </w:rPr>
        <w:t xml:space="preserve"> »</w:t>
      </w:r>
      <w:r>
        <w:rPr>
          <w:rtl/>
          <w:lang w:bidi="fa-IR"/>
        </w:rPr>
        <w:t>.</w:t>
      </w:r>
      <w:r w:rsidRPr="00C9040A">
        <w:rPr>
          <w:rtl/>
          <w:lang w:bidi="fa-IR"/>
        </w:rPr>
        <w:t xml:space="preserve"> قُلْتُ :</w:t>
      </w:r>
      <w:r>
        <w:rPr>
          <w:rFonts w:hint="cs"/>
          <w:rtl/>
          <w:lang w:bidi="fa-IR"/>
        </w:rPr>
        <w:t xml:space="preserve"> </w:t>
      </w:r>
      <w:r w:rsidRPr="00C9040A">
        <w:rPr>
          <w:rtl/>
          <w:lang w:bidi="fa-IR"/>
        </w:rPr>
        <w:t>وَكَيْفَ يَكُونُونَ خَدَماً بَعْضُهُمْ لِبَعْضٍ</w:t>
      </w:r>
      <w:r>
        <w:rPr>
          <w:rtl/>
          <w:lang w:bidi="fa-IR"/>
        </w:rPr>
        <w:t>؟</w:t>
      </w:r>
      <w:r w:rsidRPr="00C9040A">
        <w:rPr>
          <w:rtl/>
          <w:lang w:bidi="fa-IR"/>
        </w:rPr>
        <w:t xml:space="preserve"> قَالَ </w:t>
      </w:r>
      <w:r w:rsidR="006C577F" w:rsidRPr="006C577F">
        <w:rPr>
          <w:rStyle w:val="libFootnotenumChar"/>
          <w:rtl/>
        </w:rPr>
        <w:t>(5)</w:t>
      </w:r>
      <w:r w:rsidRPr="00C9040A">
        <w:rPr>
          <w:rtl/>
          <w:lang w:bidi="fa-IR"/>
        </w:rPr>
        <w:t xml:space="preserve"> : « يُفِيدُ بَعْضُهُمْ بَعْضاً </w:t>
      </w:r>
      <w:r w:rsidR="006C577F" w:rsidRPr="006C577F">
        <w:rPr>
          <w:rStyle w:val="libFootnotenumChar"/>
          <w:rtl/>
        </w:rPr>
        <w:t>(6)</w:t>
      </w:r>
      <w:r w:rsidRPr="005B567D">
        <w:rPr>
          <w:rStyle w:val="libFootnotenumChar"/>
          <w:rtl/>
        </w:rPr>
        <w:t xml:space="preserve"> </w:t>
      </w:r>
      <w:r w:rsidRPr="00C9040A">
        <w:rPr>
          <w:rtl/>
          <w:lang w:bidi="fa-IR"/>
        </w:rPr>
        <w:t xml:space="preserve">» ، الْحَدِيثَ. </w:t>
      </w:r>
      <w:r w:rsidR="006C577F" w:rsidRPr="006C577F">
        <w:rPr>
          <w:rStyle w:val="libFootnotenumChar"/>
          <w:rtl/>
        </w:rPr>
        <w:t>(7)</w:t>
      </w:r>
      <w:r w:rsidRPr="00C9040A">
        <w:rPr>
          <w:rtl/>
          <w:lang w:bidi="fa-IR"/>
        </w:rPr>
        <w:t xml:space="preserve"> ‌</w:t>
      </w:r>
    </w:p>
    <w:p w:rsidR="000817DD" w:rsidRDefault="008A74EB" w:rsidP="000817DD">
      <w:pPr>
        <w:pStyle w:val="libNormal"/>
        <w:rPr>
          <w:rtl/>
          <w:lang w:bidi="fa-IR"/>
        </w:rPr>
      </w:pPr>
      <w:r w:rsidRPr="00CB44ED">
        <w:rPr>
          <w:rtl/>
        </w:rPr>
        <w:t>2051</w:t>
      </w:r>
      <w:r w:rsidRPr="00261CB0">
        <w:rPr>
          <w:rStyle w:val="libBold2Char"/>
          <w:rtl/>
        </w:rPr>
        <w:t xml:space="preserve"> / 10.</w:t>
      </w:r>
      <w:r w:rsidRPr="00C9040A">
        <w:rPr>
          <w:rtl/>
          <w:lang w:bidi="fa-IR"/>
        </w:rPr>
        <w:t xml:space="preserve"> عَلِيُّ بْنُ إِبْرَاهِيمَ ، عَنْ أَبِيهِ ؛</w:t>
      </w:r>
    </w:p>
    <w:p w:rsidR="008A74EB" w:rsidRPr="00C9040A" w:rsidRDefault="000817DD" w:rsidP="000817DD">
      <w:pPr>
        <w:pStyle w:val="libNormal"/>
        <w:rPr>
          <w:rtl/>
          <w:lang w:bidi="fa-IR"/>
        </w:rPr>
      </w:pPr>
      <w:r>
        <w:rPr>
          <w:rFonts w:hint="cs"/>
          <w:rtl/>
          <w:lang w:bidi="fa-IR"/>
        </w:rPr>
        <w:t xml:space="preserve">               </w:t>
      </w:r>
      <w:r w:rsidR="008A74EB" w:rsidRPr="00C9040A">
        <w:rPr>
          <w:rtl/>
          <w:lang w:bidi="fa-IR"/>
        </w:rPr>
        <w:t xml:space="preserve">وَمُحَمَّدُ بْنُ يَحْيى ، عَنْ أَحْمَدَ بْنِ مُحَمَّدِ بْنِ عِيسى جَمِيعاً ، عَنِ ابْنِ أَبِي عُمَيْرٍ ، عَنْ إِسْمَاعِيلَ الْبَصْرِيِّ </w:t>
      </w:r>
      <w:r w:rsidR="006C577F" w:rsidRPr="006C577F">
        <w:rPr>
          <w:rStyle w:val="libFootnotenumChar"/>
          <w:rtl/>
        </w:rPr>
        <w:t>(8)</w:t>
      </w:r>
      <w:r w:rsidR="008A74EB" w:rsidRPr="00C9040A">
        <w:rPr>
          <w:rtl/>
          <w:lang w:bidi="fa-IR"/>
        </w:rPr>
        <w:t xml:space="preserve"> ، عَنِ الْفُضَيْلِ </w:t>
      </w:r>
      <w:r w:rsidR="006C577F" w:rsidRPr="006C577F">
        <w:rPr>
          <w:rStyle w:val="libFootnotenumChar"/>
          <w:rtl/>
        </w:rPr>
        <w:t>(9)</w:t>
      </w:r>
      <w:r w:rsidR="008A74EB" w:rsidRPr="00C9040A">
        <w:rPr>
          <w:rtl/>
          <w:lang w:bidi="fa-IR"/>
        </w:rPr>
        <w:t xml:space="preserve"> بْنِ يَسَارٍ ، قَالَ :</w:t>
      </w:r>
    </w:p>
    <w:p w:rsidR="008A74EB" w:rsidRPr="00C9040A" w:rsidRDefault="008A74EB" w:rsidP="008A74EB">
      <w:pPr>
        <w:pStyle w:val="libNormal"/>
        <w:rPr>
          <w:rtl/>
          <w:lang w:bidi="fa-IR"/>
        </w:rPr>
      </w:pPr>
      <w:r w:rsidRPr="00C9040A">
        <w:rPr>
          <w:rtl/>
          <w:lang w:bidi="fa-IR"/>
        </w:rPr>
        <w:t xml:space="preserve">سَمِعْتُ أَبَا جَعْفَرٍ </w:t>
      </w:r>
      <w:r w:rsidRPr="0003660B">
        <w:rPr>
          <w:rStyle w:val="libAlaemChar"/>
          <w:rtl/>
        </w:rPr>
        <w:t>عليه‌السلام</w:t>
      </w:r>
      <w:r w:rsidRPr="00C9040A">
        <w:rPr>
          <w:rtl/>
          <w:lang w:bidi="fa-IR"/>
        </w:rPr>
        <w:t xml:space="preserve"> يَقُولُ : « إِنَّ نَفَراً مِنَ الْمُسْلِمِينَ خَرَجُوا إِلى سَفَرٍ لَهُمْ </w:t>
      </w:r>
      <w:r w:rsidR="006C577F" w:rsidRPr="006C577F">
        <w:rPr>
          <w:rStyle w:val="libFootnotenumChar"/>
          <w:rtl/>
        </w:rPr>
        <w:t>(10)</w:t>
      </w:r>
      <w:r w:rsidRPr="00C9040A">
        <w:rPr>
          <w:rtl/>
          <w:lang w:bidi="fa-IR"/>
        </w:rPr>
        <w:t xml:space="preserve"> ، فَضَلُّوا </w:t>
      </w:r>
      <w:r w:rsidR="006C577F" w:rsidRPr="006C577F">
        <w:rPr>
          <w:rStyle w:val="libFootnotenumChar"/>
          <w:rtl/>
        </w:rPr>
        <w:t>(11)</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السند معلّق على سابقه. ويروي عن أحمد بن محمّد بن عيسى ، محمّد بن يحيى.</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هكذا في « ب ، د ، ص ، ض ، بر ، بس ، بف ، جر » والطبعة الحجريّة. وفي « ز ، ج » والطبعة القديمة والوسائل : « أحمد بن محمّد بن عبد الله »</w:t>
      </w:r>
      <w:r w:rsidR="008A74EB">
        <w:rPr>
          <w:rtl/>
        </w:rPr>
        <w:t>.</w:t>
      </w:r>
      <w:r w:rsidR="008A74EB" w:rsidRPr="00C9040A">
        <w:rPr>
          <w:rtl/>
        </w:rPr>
        <w:t xml:space="preserve"> وفي المطبوع : « أحمد بن أبي عبد الله »</w:t>
      </w:r>
      <w:r w:rsidR="008A74EB">
        <w:rPr>
          <w:rtl/>
        </w:rPr>
        <w:t>.</w:t>
      </w:r>
      <w:r w:rsidR="008A74EB" w:rsidRPr="00C9040A">
        <w:rPr>
          <w:rtl/>
        </w:rPr>
        <w:t xml:space="preserve"> وهو سهو لا محالة ؛ فإنّه لم يُعهد رواية أحمد بن محمّد بن عيسى عن أحمد بن أبي عبد الله ، وهو أحمد بن محمّد بن خالد.</w:t>
      </w:r>
    </w:p>
    <w:p w:rsidR="008A74EB" w:rsidRPr="00C9040A" w:rsidRDefault="006C577F" w:rsidP="000817DD">
      <w:pPr>
        <w:pStyle w:val="libFootnote0"/>
        <w:rPr>
          <w:rtl/>
          <w:lang w:bidi="fa-IR"/>
        </w:rPr>
      </w:pPr>
      <w:r>
        <w:rPr>
          <w:rtl/>
        </w:rPr>
        <w:t>(3).</w:t>
      </w:r>
      <w:r w:rsidR="008A74EB" w:rsidRPr="00C9040A">
        <w:rPr>
          <w:rtl/>
        </w:rPr>
        <w:t xml:space="preserve"> في « ف » </w:t>
      </w:r>
      <w:r w:rsidR="008A74EB">
        <w:rPr>
          <w:rtl/>
        </w:rPr>
        <w:t xml:space="preserve">: </w:t>
      </w:r>
      <w:r w:rsidR="0084262C">
        <w:rPr>
          <w:rtl/>
        </w:rPr>
        <w:t>-</w:t>
      </w:r>
      <w:r w:rsidR="008A74EB" w:rsidRPr="00C9040A">
        <w:rPr>
          <w:rtl/>
        </w:rPr>
        <w:t xml:space="preserve"> « قال : إنّ المؤمن أخو المومن » في الحديث 8 ، إلى قوله : « عن جميل ، عن أبي عبدالله </w:t>
      </w:r>
      <w:r w:rsidR="00117575" w:rsidRPr="00117575">
        <w:rPr>
          <w:rStyle w:val="libFootnoteAlaemChar"/>
          <w:rtl/>
        </w:rPr>
        <w:t>عليه‌السلام</w:t>
      </w:r>
      <w:r w:rsidR="008A74EB" w:rsidRPr="00C9040A">
        <w:rPr>
          <w:rtl/>
        </w:rPr>
        <w:t>» في هذا</w:t>
      </w:r>
      <w:r w:rsidR="008A74EB">
        <w:rPr>
          <w:rFonts w:hint="cs"/>
          <w:rtl/>
        </w:rPr>
        <w:t xml:space="preserve"> </w:t>
      </w:r>
      <w:r w:rsidR="008A74EB" w:rsidRPr="00C9040A">
        <w:rPr>
          <w:rtl/>
        </w:rPr>
        <w:t>الحديث.</w:t>
      </w:r>
      <w:r w:rsidR="000817DD">
        <w:rPr>
          <w:rFonts w:hint="cs"/>
          <w:rtl/>
        </w:rPr>
        <w:t xml:space="preserve">                            </w:t>
      </w:r>
      <w:r>
        <w:rPr>
          <w:rtl/>
        </w:rPr>
        <w:t>(4).</w:t>
      </w:r>
      <w:r w:rsidR="008A74EB" w:rsidRPr="00C9040A">
        <w:rPr>
          <w:rtl/>
        </w:rPr>
        <w:t xml:space="preserve"> في البحار : « لبعضهم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الوسائل : « فقال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ب » : « لبعض »</w:t>
      </w:r>
      <w:r w:rsidR="008A74EB">
        <w:rPr>
          <w:rtl/>
        </w:rPr>
        <w:t>.</w:t>
      </w:r>
      <w:r w:rsidR="008A74EB" w:rsidRPr="00C9040A">
        <w:rPr>
          <w:rtl/>
        </w:rPr>
        <w:t xml:space="preserve"> وفي </w:t>
      </w:r>
      <w:r w:rsidR="008A74EB" w:rsidRPr="00993B55">
        <w:rPr>
          <w:rStyle w:val="libFootnoteBoldChar"/>
          <w:rtl/>
        </w:rPr>
        <w:t>شرح المازندراني</w:t>
      </w:r>
      <w:r w:rsidR="008A74EB" w:rsidRPr="00C9040A">
        <w:rPr>
          <w:rtl/>
        </w:rPr>
        <w:t xml:space="preserve"> ، ج 9 ، ص 34 : « والظاهر أنّ الحديث مفعول « يفيد » ، ففيه إشارة إلى بعض أنواع الإكرام وهو تعليم الحديث ونشر علوم الدين » ، واستبعده المجلسي حيث قال في </w:t>
      </w:r>
      <w:r w:rsidR="008A74EB" w:rsidRPr="00993B55">
        <w:rPr>
          <w:rStyle w:val="libFootnoteBoldChar"/>
          <w:rtl/>
        </w:rPr>
        <w:t>مرآة العقول</w:t>
      </w:r>
      <w:r w:rsidR="008A74EB" w:rsidRPr="00C9040A">
        <w:rPr>
          <w:rtl/>
        </w:rPr>
        <w:t xml:space="preserve"> ، ج 9 ، ص 15 : « وقوله : الحديث ، أي إلى تمام الحديث ، إشارة إلى أنّه لم يذكر تمام الخبر. وفهم أكثر من نظر فيه أنّ « الحديث » مفعول « يفيد » فيكون حثّاً على رواية الحديث ، وهو بعيد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مصادقة الإخوان</w:t>
      </w:r>
      <w:r w:rsidR="008A74EB" w:rsidRPr="00C9040A">
        <w:rPr>
          <w:rtl/>
        </w:rPr>
        <w:t xml:space="preserve"> ، ص 48 ، ح 1 ، مرسلاً </w:t>
      </w:r>
      <w:r w:rsidR="000817DD">
        <w:rPr>
          <w:rFonts w:hint="cs"/>
          <w:rtl/>
        </w:rPr>
        <w:t>.</w:t>
      </w:r>
      <w:r w:rsidR="008A74EB" w:rsidRPr="00993B55">
        <w:rPr>
          <w:rStyle w:val="libFootnoteBoldChar"/>
          <w:rtl/>
        </w:rPr>
        <w:t>الوافي</w:t>
      </w:r>
      <w:r w:rsidR="008A74EB" w:rsidRPr="00C9040A">
        <w:rPr>
          <w:rtl/>
        </w:rPr>
        <w:t xml:space="preserve"> ، ج 5 ، ص 555 ، ح 2567 ؛ </w:t>
      </w:r>
      <w:r w:rsidR="008A74EB" w:rsidRPr="00993B55">
        <w:rPr>
          <w:rStyle w:val="libFootnoteBoldChar"/>
          <w:rtl/>
        </w:rPr>
        <w:t>الوسائل</w:t>
      </w:r>
      <w:r w:rsidR="008A74EB" w:rsidRPr="00C9040A">
        <w:rPr>
          <w:rtl/>
        </w:rPr>
        <w:t xml:space="preserve"> ، ج 27 ، ص 87 ، ح 33282 ؛ </w:t>
      </w:r>
      <w:r w:rsidR="008A74EB" w:rsidRPr="00993B55">
        <w:rPr>
          <w:rStyle w:val="libFootnoteBoldChar"/>
          <w:rtl/>
        </w:rPr>
        <w:t>البحار</w:t>
      </w:r>
      <w:r w:rsidR="008A74EB" w:rsidRPr="00C9040A">
        <w:rPr>
          <w:rtl/>
        </w:rPr>
        <w:t xml:space="preserve"> ، ج 74 ، ص 271 ، ح 12.</w:t>
      </w:r>
    </w:p>
    <w:p w:rsidR="008A74EB" w:rsidRPr="00C9040A" w:rsidRDefault="006C577F" w:rsidP="004A4E41">
      <w:pPr>
        <w:pStyle w:val="libFootnote0"/>
        <w:rPr>
          <w:rtl/>
          <w:lang w:bidi="fa-IR"/>
        </w:rPr>
      </w:pPr>
      <w:r>
        <w:rPr>
          <w:rtl/>
        </w:rPr>
        <w:t>(8).</w:t>
      </w:r>
      <w:r w:rsidR="008A74EB" w:rsidRPr="00C9040A">
        <w:rPr>
          <w:rtl/>
        </w:rPr>
        <w:t xml:space="preserve"> وردت رواية ابن أبي عمير عن أبي إسماعيل البصري عن الفضيل بن يسار في </w:t>
      </w:r>
      <w:r w:rsidR="008A74EB" w:rsidRPr="00993B55">
        <w:rPr>
          <w:rStyle w:val="libFootnoteBoldChar"/>
          <w:rtl/>
        </w:rPr>
        <w:t>الكافي</w:t>
      </w:r>
      <w:r w:rsidR="008A74EB" w:rsidRPr="00C9040A">
        <w:rPr>
          <w:rtl/>
        </w:rPr>
        <w:t xml:space="preserve"> ، ح 1774 </w:t>
      </w:r>
      <w:r w:rsidR="008A74EB">
        <w:rPr>
          <w:rtl/>
        </w:rPr>
        <w:t>و 1</w:t>
      </w:r>
      <w:r w:rsidR="008A74EB" w:rsidRPr="00C9040A">
        <w:rPr>
          <w:rtl/>
        </w:rPr>
        <w:t xml:space="preserve">1568 ؛ وقد ترجم الشيخ الطوسي لأبي إسماعيل البصري في </w:t>
      </w:r>
      <w:r w:rsidR="008A74EB" w:rsidRPr="00993B55">
        <w:rPr>
          <w:rStyle w:val="libFootnoteBoldChar"/>
          <w:rtl/>
        </w:rPr>
        <w:t>الفهرست</w:t>
      </w:r>
      <w:r w:rsidR="008A74EB" w:rsidRPr="00C9040A">
        <w:rPr>
          <w:rtl/>
        </w:rPr>
        <w:t xml:space="preserve"> ، ص 532 الرقم 859 ، ونسب إليه كتاباً رواه عنه ابن أبي عمير. فلا يبعد أن يكون الصواب في العنوان « أبي إسماعيل البصري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هكذا في النسخ التي قوبلت والطبعة القديمة. وفي المطبوع : « فضيل »</w:t>
      </w:r>
      <w:r w:rsidR="008A74EB">
        <w:rPr>
          <w:rtl/>
        </w:rPr>
        <w:t>.</w:t>
      </w:r>
    </w:p>
    <w:tbl>
      <w:tblPr>
        <w:tblStyle w:val="TableGrid"/>
        <w:bidiVisual/>
        <w:tblW w:w="0" w:type="auto"/>
        <w:tblLook w:val="04A0" w:firstRow="1" w:lastRow="0" w:firstColumn="1" w:lastColumn="0" w:noHBand="0" w:noVBand="1"/>
      </w:tblPr>
      <w:tblGrid>
        <w:gridCol w:w="4006"/>
        <w:gridCol w:w="4006"/>
      </w:tblGrid>
      <w:tr w:rsidR="000817DD" w:rsidTr="000817DD">
        <w:tc>
          <w:tcPr>
            <w:tcW w:w="4006" w:type="dxa"/>
          </w:tcPr>
          <w:p w:rsidR="000817DD" w:rsidRDefault="000817DD" w:rsidP="004A4E41">
            <w:pPr>
              <w:pStyle w:val="libFootnote0"/>
              <w:rPr>
                <w:rtl/>
              </w:rPr>
            </w:pPr>
            <w:r>
              <w:rPr>
                <w:rtl/>
              </w:rPr>
              <w:t>(10).</w:t>
            </w:r>
            <w:r w:rsidRPr="00C9040A">
              <w:rPr>
                <w:rtl/>
              </w:rPr>
              <w:t xml:space="preserve"> في البحار ، ج 63 </w:t>
            </w:r>
            <w:r>
              <w:rPr>
                <w:rtl/>
              </w:rPr>
              <w:t>: -</w:t>
            </w:r>
            <w:r w:rsidRPr="00C9040A">
              <w:rPr>
                <w:rtl/>
              </w:rPr>
              <w:t xml:space="preserve"> « لهم »</w:t>
            </w:r>
            <w:r>
              <w:rPr>
                <w:rtl/>
              </w:rPr>
              <w:t>.</w:t>
            </w:r>
          </w:p>
        </w:tc>
        <w:tc>
          <w:tcPr>
            <w:tcW w:w="4006" w:type="dxa"/>
          </w:tcPr>
          <w:p w:rsidR="000817DD" w:rsidRDefault="000817DD" w:rsidP="004A4E41">
            <w:pPr>
              <w:pStyle w:val="libFootnote0"/>
              <w:rPr>
                <w:rtl/>
              </w:rPr>
            </w:pPr>
            <w:r>
              <w:rPr>
                <w:rtl/>
              </w:rPr>
              <w:t>(11).</w:t>
            </w:r>
            <w:r w:rsidRPr="00C9040A">
              <w:rPr>
                <w:rtl/>
              </w:rPr>
              <w:t xml:space="preserve"> في المؤمن : « فأضلّوا »</w:t>
            </w:r>
            <w:r>
              <w:rPr>
                <w:rtl/>
              </w:rPr>
              <w:t>.</w:t>
            </w:r>
          </w:p>
        </w:tc>
      </w:tr>
    </w:tbl>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الطَّرِيقَ ، فَأَصَابَهُمْ عَطَشٌ شَدِيدٌ ، فَتَكَفَّنُوا </w:t>
      </w:r>
      <w:r w:rsidR="006C577F" w:rsidRPr="006C577F">
        <w:rPr>
          <w:rStyle w:val="libFootnotenumChar"/>
          <w:rtl/>
        </w:rPr>
        <w:t>(1)</w:t>
      </w:r>
      <w:r w:rsidRPr="00C9040A">
        <w:rPr>
          <w:rtl/>
          <w:lang w:bidi="fa-IR"/>
        </w:rPr>
        <w:t xml:space="preserve"> وَلَزِمُوا أُصُولَ الشَّجَرِ ، فَجَاءَهُمْ شَيْخٌ وَ</w:t>
      </w:r>
      <w:r>
        <w:rPr>
          <w:rFonts w:hint="cs"/>
          <w:rtl/>
          <w:lang w:bidi="fa-IR"/>
        </w:rPr>
        <w:t xml:space="preserve"> </w:t>
      </w:r>
      <w:r w:rsidR="006C577F" w:rsidRPr="006C577F">
        <w:rPr>
          <w:rStyle w:val="libFootnotenumChar"/>
          <w:rtl/>
        </w:rPr>
        <w:t>(2)</w:t>
      </w:r>
      <w:r w:rsidRPr="00C9040A">
        <w:rPr>
          <w:rtl/>
          <w:lang w:bidi="fa-IR"/>
        </w:rPr>
        <w:t xml:space="preserve"> عَلَيْهِ ثِيَابٌ بِيضٌ </w:t>
      </w:r>
      <w:r w:rsidR="006C577F" w:rsidRPr="006C577F">
        <w:rPr>
          <w:rStyle w:val="libFootnotenumChar"/>
          <w:rtl/>
        </w:rPr>
        <w:t>(3)</w:t>
      </w:r>
      <w:r w:rsidRPr="00C9040A">
        <w:rPr>
          <w:rtl/>
          <w:lang w:bidi="fa-IR"/>
        </w:rPr>
        <w:t xml:space="preserve"> ، فَقَالَ : قُومُوا ، فَلَا بَأْسَ عَلَيْكُمْ ، فَهذَا الْمَاءُ ، فَقَامُوا وَشَرِبُوا </w:t>
      </w:r>
      <w:r w:rsidR="006C577F" w:rsidRPr="006C577F">
        <w:rPr>
          <w:rStyle w:val="libFootnotenumChar"/>
          <w:rtl/>
        </w:rPr>
        <w:t>(4)</w:t>
      </w:r>
      <w:r w:rsidRPr="00C9040A">
        <w:rPr>
          <w:rtl/>
          <w:lang w:bidi="fa-IR"/>
        </w:rPr>
        <w:t xml:space="preserve"> وَارْتَوَوْا </w:t>
      </w:r>
      <w:r w:rsidR="006C577F" w:rsidRPr="006C577F">
        <w:rPr>
          <w:rStyle w:val="libFootnotenumChar"/>
          <w:rtl/>
        </w:rPr>
        <w:t>(5)</w:t>
      </w:r>
      <w:r w:rsidRPr="00C9040A">
        <w:rPr>
          <w:rtl/>
          <w:lang w:bidi="fa-IR"/>
        </w:rPr>
        <w:t xml:space="preserve"> ، فَقَالُوا : مَنْ أَنْتَ يَرْحَمُكَ اللهُ</w:t>
      </w:r>
      <w:r>
        <w:rPr>
          <w:rtl/>
          <w:lang w:bidi="fa-IR"/>
        </w:rPr>
        <w:t>؟</w:t>
      </w:r>
      <w:r w:rsidRPr="00C9040A">
        <w:rPr>
          <w:rtl/>
          <w:lang w:bidi="fa-IR"/>
        </w:rPr>
        <w:t xml:space="preserve"> فَقَالَ : أَنَا مِنَ الْجِنِّ الَّذِينَ بَايَعُوا رَسُولَ اللهِ </w:t>
      </w:r>
      <w:r w:rsidR="004A4E41" w:rsidRPr="004A4E41">
        <w:rPr>
          <w:rStyle w:val="libAlaemChar"/>
          <w:rtl/>
        </w:rPr>
        <w:t>صلى‌الله‌عليه‌وآله</w:t>
      </w:r>
      <w:r w:rsidRPr="00C9040A">
        <w:rPr>
          <w:rtl/>
          <w:lang w:bidi="fa-IR"/>
        </w:rPr>
        <w:t xml:space="preserve"> ، إِنِّي سَمِعْتُ رَسُولَ اللهِ </w:t>
      </w:r>
      <w:r w:rsidR="004A4E41" w:rsidRPr="004A4E41">
        <w:rPr>
          <w:rStyle w:val="libAlaemChar"/>
          <w:rtl/>
        </w:rPr>
        <w:t>صلى‌الله‌عليه‌وآله</w:t>
      </w:r>
      <w:r w:rsidRPr="00C9040A">
        <w:rPr>
          <w:rtl/>
          <w:lang w:bidi="fa-IR"/>
        </w:rPr>
        <w:t xml:space="preserve"> يَقُولُ : الْمُؤْمِنُ أَخُو الْمُؤْمِنِ عَيْنُهُ وَدَلِيلُهُ ، فَلَمْ تَكُونُوا تَضَيَّعُوا بِحَضْرَتِي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957EE" w:rsidRDefault="008A74EB" w:rsidP="008957EE">
      <w:pPr>
        <w:pStyle w:val="libNormal"/>
        <w:rPr>
          <w:rtl/>
          <w:lang w:bidi="fa-IR"/>
        </w:rPr>
      </w:pPr>
      <w:r w:rsidRPr="00CB44ED">
        <w:rPr>
          <w:rtl/>
        </w:rPr>
        <w:t>2052</w:t>
      </w:r>
      <w:r w:rsidRPr="00261CB0">
        <w:rPr>
          <w:rStyle w:val="libBold2Char"/>
          <w:rtl/>
        </w:rPr>
        <w:t xml:space="preserve"> / 11.</w:t>
      </w:r>
      <w:r w:rsidRPr="00C9040A">
        <w:rPr>
          <w:rtl/>
          <w:lang w:bidi="fa-IR"/>
        </w:rPr>
        <w:t xml:space="preserve"> عَلِيُّ بْنُ إِبْرَاهِيمَ ، عَنْ أَبِيهِ ؛</w:t>
      </w:r>
    </w:p>
    <w:p w:rsidR="008A74EB" w:rsidRPr="00C9040A" w:rsidRDefault="008957EE" w:rsidP="008957EE">
      <w:pPr>
        <w:pStyle w:val="libNormal"/>
        <w:rPr>
          <w:rtl/>
          <w:lang w:bidi="fa-IR"/>
        </w:rPr>
      </w:pPr>
      <w:r>
        <w:rPr>
          <w:rFonts w:hint="cs"/>
          <w:rtl/>
          <w:lang w:bidi="fa-IR"/>
        </w:rPr>
        <w:t xml:space="preserve">               </w:t>
      </w:r>
      <w:r w:rsidR="008A74EB" w:rsidRPr="00C9040A">
        <w:rPr>
          <w:rtl/>
          <w:lang w:bidi="fa-IR"/>
        </w:rPr>
        <w:t xml:space="preserve">وَمُحَمَّدُ بْنُ إِسْمَاعِيلَ ، عَنِ الْفَضْلِ بْنِ شَاذَانَ جَمِيعاً ، عَنْ حَمَّادِ بْنِ عِيسى ، عَنْ رِبْعِيٍّ ، عَنِ الْفُضَيْلِ </w:t>
      </w:r>
      <w:r w:rsidR="006C577F" w:rsidRPr="006C577F">
        <w:rPr>
          <w:rStyle w:val="libFootnotenumChar"/>
          <w:rtl/>
        </w:rPr>
        <w:t>(7)</w:t>
      </w:r>
      <w:r w:rsidR="008A74EB" w:rsidRPr="00C9040A">
        <w:rPr>
          <w:rtl/>
          <w:lang w:bidi="fa-IR"/>
        </w:rPr>
        <w:t xml:space="preserve"> بْنِ يَسَارٍ ، قَالَ :</w:t>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 « الْمُسْلِمُ أَخُو الْمُسْلِمِ ؛ لَايَظْلِمُهُ ، وَلَا يَخْذُلُهُ </w:t>
      </w:r>
      <w:r w:rsidR="006C577F" w:rsidRPr="006C577F">
        <w:rPr>
          <w:rStyle w:val="libFootnotenumChar"/>
          <w:rtl/>
        </w:rPr>
        <w:t>(8)</w:t>
      </w:r>
      <w:r w:rsidRPr="00C9040A">
        <w:rPr>
          <w:rtl/>
          <w:lang w:bidi="fa-IR"/>
        </w:rPr>
        <w:t xml:space="preserve"> ، وَلَا يَغْتَابُهُ ، وَلَا يَخُونُهُ </w:t>
      </w:r>
      <w:r w:rsidR="006C577F" w:rsidRPr="006C577F">
        <w:rPr>
          <w:rStyle w:val="libFootnotenumChar"/>
          <w:rtl/>
        </w:rPr>
        <w:t>(9)</w:t>
      </w:r>
      <w:r w:rsidRPr="00C9040A">
        <w:rPr>
          <w:rtl/>
          <w:lang w:bidi="fa-IR"/>
        </w:rPr>
        <w:t xml:space="preserve"> ، وَلَا يَحْرِمُهُ </w:t>
      </w:r>
      <w:r w:rsidR="006C577F" w:rsidRPr="006C577F">
        <w:rPr>
          <w:rStyle w:val="libFootnotenumChar"/>
          <w:rtl/>
        </w:rPr>
        <w:t>(10)</w:t>
      </w:r>
      <w:r w:rsidRPr="00C9040A">
        <w:rPr>
          <w:rtl/>
          <w:lang w:bidi="fa-IR"/>
        </w:rPr>
        <w:t xml:space="preserve"> »</w:t>
      </w:r>
      <w:r>
        <w:rPr>
          <w:rtl/>
          <w:lang w:bidi="fa-IR"/>
        </w:rPr>
        <w:t>.</w:t>
      </w:r>
    </w:p>
    <w:p w:rsidR="008A74EB" w:rsidRPr="00C9040A" w:rsidRDefault="008A74EB" w:rsidP="008A74EB">
      <w:pPr>
        <w:pStyle w:val="libNormal"/>
        <w:rPr>
          <w:rtl/>
          <w:lang w:bidi="fa-IR"/>
        </w:rPr>
      </w:pPr>
      <w:r w:rsidRPr="00C9040A">
        <w:rPr>
          <w:rtl/>
          <w:lang w:bidi="fa-IR"/>
        </w:rPr>
        <w:t xml:space="preserve">قَالَ رِبْعِيٌّ </w:t>
      </w:r>
      <w:r w:rsidR="006C577F" w:rsidRPr="006C577F">
        <w:rPr>
          <w:rStyle w:val="libFootnotenumChar"/>
          <w:rtl/>
        </w:rPr>
        <w:t>(11)</w:t>
      </w:r>
      <w:r w:rsidRPr="00C9040A">
        <w:rPr>
          <w:rtl/>
          <w:lang w:bidi="fa-IR"/>
        </w:rPr>
        <w:t xml:space="preserve"> : فَسَأَلَنِي رَجُلٌ مِنْ أَصْحَابِنَا بِالْمَدِينَةِ ، فَقَالَ </w:t>
      </w:r>
      <w:r w:rsidR="006C577F" w:rsidRPr="006C577F">
        <w:rPr>
          <w:rStyle w:val="libFootnotenumChar"/>
          <w:rtl/>
        </w:rPr>
        <w:t>(12)</w:t>
      </w:r>
      <w:r w:rsidRPr="00C9040A">
        <w:rPr>
          <w:rtl/>
          <w:lang w:bidi="fa-IR"/>
        </w:rPr>
        <w:t xml:space="preserve"> : سَمِعْتَ الْفُضَيْلَ </w:t>
      </w:r>
      <w:r w:rsidRPr="005B567D">
        <w:rPr>
          <w:rStyle w:val="libFootnotenumChar"/>
          <w:rtl/>
        </w:rPr>
        <w:t>(13)</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ص » وحاشية « ج ، د » والوافي : « فتكنّفوا »</w:t>
      </w:r>
      <w:r w:rsidR="008A74EB">
        <w:rPr>
          <w:rtl/>
        </w:rPr>
        <w:t>.</w:t>
      </w:r>
      <w:r w:rsidR="008A74EB" w:rsidRPr="00C9040A">
        <w:rPr>
          <w:rtl/>
        </w:rPr>
        <w:t xml:space="preserve"> وفي المؤمن : « فتيمّموا »</w:t>
      </w:r>
      <w:r w:rsidR="008A74EB">
        <w:rPr>
          <w:rtl/>
        </w:rPr>
        <w:t>.</w:t>
      </w:r>
      <w:r w:rsidR="008A74EB" w:rsidRPr="00C9040A">
        <w:rPr>
          <w:rtl/>
        </w:rPr>
        <w:t xml:space="preserve"> وقال في </w:t>
      </w:r>
      <w:r w:rsidR="008A74EB" w:rsidRPr="00993B55">
        <w:rPr>
          <w:rStyle w:val="libFootnoteBoldChar"/>
          <w:rtl/>
        </w:rPr>
        <w:t>الوافي</w:t>
      </w:r>
      <w:r w:rsidR="008A74EB" w:rsidRPr="00C9040A">
        <w:rPr>
          <w:rtl/>
        </w:rPr>
        <w:t xml:space="preserve"> : « فتكنّفوا : أحاطواواجتمعوا. وفي بعض النسخ بتقديم الفاء على النون ، أي لبسوا أكفانهم وتهيّأوا للموت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ض » والبحار والمؤمن </w:t>
      </w:r>
      <w:r w:rsidR="008A74EB">
        <w:rPr>
          <w:rtl/>
        </w:rPr>
        <w:t xml:space="preserve">: </w:t>
      </w:r>
      <w:r w:rsidR="0084262C">
        <w:rPr>
          <w:rtl/>
        </w:rPr>
        <w:t>-</w:t>
      </w:r>
      <w:r w:rsidR="008A74EB" w:rsidRPr="00C9040A">
        <w:rPr>
          <w:rtl/>
        </w:rPr>
        <w:t xml:space="preserve"> « </w:t>
      </w:r>
      <w:r w:rsidR="008A74EB">
        <w:rPr>
          <w:rtl/>
        </w:rPr>
        <w:t>و ».</w:t>
      </w:r>
    </w:p>
    <w:p w:rsidR="008A74EB" w:rsidRPr="00C9040A" w:rsidRDefault="006C577F" w:rsidP="004A4E41">
      <w:pPr>
        <w:pStyle w:val="libFootnote0"/>
        <w:rPr>
          <w:rtl/>
          <w:lang w:bidi="fa-IR"/>
        </w:rPr>
      </w:pPr>
      <w:r>
        <w:rPr>
          <w:rtl/>
        </w:rPr>
        <w:t>(3).</w:t>
      </w:r>
      <w:r w:rsidR="008A74EB" w:rsidRPr="00C9040A">
        <w:rPr>
          <w:rtl/>
        </w:rPr>
        <w:t xml:space="preserve"> في « د ، بس ، بف » وحاشية « ض ، بر » والبحار ، ج 74 : « بياض »</w:t>
      </w:r>
      <w:r w:rsidR="008A74EB">
        <w:rPr>
          <w:rtl/>
        </w:rPr>
        <w:t>.</w:t>
      </w:r>
    </w:p>
    <w:tbl>
      <w:tblPr>
        <w:tblStyle w:val="TableGrid"/>
        <w:bidiVisual/>
        <w:tblW w:w="0" w:type="auto"/>
        <w:tblLook w:val="04A0" w:firstRow="1" w:lastRow="0" w:firstColumn="1" w:lastColumn="0" w:noHBand="0" w:noVBand="1"/>
      </w:tblPr>
      <w:tblGrid>
        <w:gridCol w:w="4006"/>
        <w:gridCol w:w="4006"/>
      </w:tblGrid>
      <w:tr w:rsidR="008957EE" w:rsidTr="008957EE">
        <w:tc>
          <w:tcPr>
            <w:tcW w:w="4006" w:type="dxa"/>
          </w:tcPr>
          <w:p w:rsidR="008957EE" w:rsidRDefault="008957EE" w:rsidP="004A4E41">
            <w:pPr>
              <w:pStyle w:val="libFootnote0"/>
              <w:rPr>
                <w:rtl/>
              </w:rPr>
            </w:pPr>
            <w:r>
              <w:rPr>
                <w:rtl/>
              </w:rPr>
              <w:t>(4). في «ب ، ض ، ف ، بس ، بف» : «</w:t>
            </w:r>
            <w:r w:rsidRPr="00C9040A">
              <w:rPr>
                <w:rtl/>
              </w:rPr>
              <w:t>فشربوا »</w:t>
            </w:r>
            <w:r>
              <w:rPr>
                <w:rtl/>
              </w:rPr>
              <w:t>.</w:t>
            </w:r>
          </w:p>
        </w:tc>
        <w:tc>
          <w:tcPr>
            <w:tcW w:w="4006" w:type="dxa"/>
          </w:tcPr>
          <w:p w:rsidR="008957EE" w:rsidRDefault="008957EE" w:rsidP="004A4E41">
            <w:pPr>
              <w:pStyle w:val="libFootnote0"/>
              <w:rPr>
                <w:rtl/>
              </w:rPr>
            </w:pPr>
            <w:r>
              <w:rPr>
                <w:rtl/>
              </w:rPr>
              <w:t>(5).</w:t>
            </w:r>
            <w:r w:rsidRPr="00C9040A">
              <w:rPr>
                <w:rtl/>
              </w:rPr>
              <w:t xml:space="preserve"> في المؤمن : « فا</w:t>
            </w:r>
            <w:r>
              <w:rPr>
                <w:rFonts w:hint="cs"/>
                <w:rtl/>
              </w:rPr>
              <w:t>ُ</w:t>
            </w:r>
            <w:r w:rsidRPr="00C9040A">
              <w:rPr>
                <w:rtl/>
              </w:rPr>
              <w:t>رووا »</w:t>
            </w:r>
            <w:r>
              <w:rPr>
                <w:rtl/>
              </w:rPr>
              <w:t>.</w:t>
            </w:r>
          </w:p>
        </w:tc>
      </w:tr>
    </w:tbl>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المؤمن</w:t>
      </w:r>
      <w:r w:rsidR="008A74EB" w:rsidRPr="00C9040A">
        <w:rPr>
          <w:rtl/>
        </w:rPr>
        <w:t xml:space="preserve"> ، ص 43 ، ح 100 ، عن أبي جعفر </w:t>
      </w:r>
      <w:r w:rsidR="00117575" w:rsidRPr="00117575">
        <w:rPr>
          <w:rStyle w:val="libFootnoteAlaemChar"/>
          <w:rtl/>
        </w:rPr>
        <w:t>عليه‌السلام</w:t>
      </w:r>
      <w:r w:rsidR="008A74EB" w:rsidRPr="00C9040A">
        <w:rPr>
          <w:rtl/>
        </w:rPr>
        <w:t xml:space="preserve"> ، مع اختلاف يسير </w:t>
      </w:r>
      <w:r w:rsidR="008957EE">
        <w:rPr>
          <w:rFonts w:hint="cs"/>
          <w:rtl/>
        </w:rPr>
        <w:t>.</w:t>
      </w:r>
      <w:r w:rsidR="008A74EB" w:rsidRPr="00993B55">
        <w:rPr>
          <w:rStyle w:val="libFootnoteBoldChar"/>
          <w:rtl/>
        </w:rPr>
        <w:t>الوافي</w:t>
      </w:r>
      <w:r w:rsidR="008A74EB" w:rsidRPr="00C9040A">
        <w:rPr>
          <w:rtl/>
        </w:rPr>
        <w:t xml:space="preserve"> ، ج 5 ، ص 554 ، ح 2566 ؛ </w:t>
      </w:r>
      <w:r w:rsidR="008A74EB" w:rsidRPr="00993B55">
        <w:rPr>
          <w:rStyle w:val="libFootnoteBoldChar"/>
          <w:rtl/>
        </w:rPr>
        <w:t>البحار</w:t>
      </w:r>
      <w:r w:rsidR="008A74EB" w:rsidRPr="00C9040A">
        <w:rPr>
          <w:rtl/>
        </w:rPr>
        <w:t xml:space="preserve"> ، ج 63 ، ص 71 ، ح 15 ؛ وج 74 ، ص 272 ، ح 13.</w:t>
      </w:r>
    </w:p>
    <w:p w:rsidR="008A74EB" w:rsidRPr="00C9040A" w:rsidRDefault="006C577F" w:rsidP="004A4E41">
      <w:pPr>
        <w:pStyle w:val="libFootnote0"/>
        <w:rPr>
          <w:rtl/>
          <w:lang w:bidi="fa-IR"/>
        </w:rPr>
      </w:pPr>
      <w:r>
        <w:rPr>
          <w:rtl/>
        </w:rPr>
        <w:t>(7).</w:t>
      </w:r>
      <w:r w:rsidR="008A74EB" w:rsidRPr="00C9040A">
        <w:rPr>
          <w:rtl/>
        </w:rPr>
        <w:t xml:space="preserve"> هكذا في النسخ التي قوبلت والطبعة القديمة والوسائل. وفي المطبوع : « فضيل »</w:t>
      </w:r>
      <w:r w:rsidR="008A74EB">
        <w:rPr>
          <w:rtl/>
        </w:rPr>
        <w:t>.</w:t>
      </w:r>
    </w:p>
    <w:tbl>
      <w:tblPr>
        <w:tblStyle w:val="TableGrid"/>
        <w:bidiVisual/>
        <w:tblW w:w="0" w:type="auto"/>
        <w:tblLook w:val="04A0" w:firstRow="1" w:lastRow="0" w:firstColumn="1" w:lastColumn="0" w:noHBand="0" w:noVBand="1"/>
      </w:tblPr>
      <w:tblGrid>
        <w:gridCol w:w="4006"/>
        <w:gridCol w:w="4006"/>
      </w:tblGrid>
      <w:tr w:rsidR="008957EE" w:rsidTr="008957EE">
        <w:tc>
          <w:tcPr>
            <w:tcW w:w="4006" w:type="dxa"/>
          </w:tcPr>
          <w:p w:rsidR="008957EE" w:rsidRDefault="008957EE" w:rsidP="004A4E41">
            <w:pPr>
              <w:pStyle w:val="libFootnote0"/>
              <w:rPr>
                <w:rtl/>
              </w:rPr>
            </w:pPr>
            <w:r>
              <w:rPr>
                <w:rtl/>
              </w:rPr>
              <w:t>(8).</w:t>
            </w:r>
            <w:r w:rsidRPr="00C9040A">
              <w:rPr>
                <w:rtl/>
              </w:rPr>
              <w:t xml:space="preserve"> في « ف » : « ولا يحزنه »</w:t>
            </w:r>
            <w:r>
              <w:rPr>
                <w:rtl/>
              </w:rPr>
              <w:t>.</w:t>
            </w:r>
          </w:p>
        </w:tc>
        <w:tc>
          <w:tcPr>
            <w:tcW w:w="4006" w:type="dxa"/>
          </w:tcPr>
          <w:p w:rsidR="008957EE" w:rsidRDefault="008957EE" w:rsidP="004A4E41">
            <w:pPr>
              <w:pStyle w:val="libFootnote0"/>
              <w:rPr>
                <w:rtl/>
              </w:rPr>
            </w:pPr>
            <w:r>
              <w:rPr>
                <w:rtl/>
              </w:rPr>
              <w:t>(9).</w:t>
            </w:r>
            <w:r w:rsidRPr="00C9040A">
              <w:rPr>
                <w:rtl/>
              </w:rPr>
              <w:t xml:space="preserve"> في حاشية « ض » : « ولا يحزنه »</w:t>
            </w:r>
            <w:r>
              <w:rPr>
                <w:rtl/>
              </w:rPr>
              <w:t>.</w:t>
            </w:r>
          </w:p>
        </w:tc>
      </w:tr>
    </w:tbl>
    <w:p w:rsidR="008A74EB" w:rsidRPr="00C9040A" w:rsidRDefault="006C577F" w:rsidP="008957EE">
      <w:pPr>
        <w:pStyle w:val="libFootnote0"/>
        <w:rPr>
          <w:rtl/>
          <w:lang w:bidi="fa-IR"/>
        </w:rPr>
      </w:pPr>
      <w:r>
        <w:rPr>
          <w:rtl/>
        </w:rPr>
        <w:t>(10).</w:t>
      </w:r>
      <w:r w:rsidR="008A74EB" w:rsidRPr="00C9040A">
        <w:rPr>
          <w:rtl/>
        </w:rPr>
        <w:t xml:space="preserve"> في « ب ، د ، ز ، ص ، ف ، بح ، بر ، بس ، بف » والوافي والوسائل </w:t>
      </w:r>
      <w:r w:rsidR="008A74EB">
        <w:rPr>
          <w:rtl/>
        </w:rPr>
        <w:t xml:space="preserve">: </w:t>
      </w:r>
      <w:r w:rsidR="0084262C">
        <w:rPr>
          <w:rtl/>
        </w:rPr>
        <w:t>-</w:t>
      </w:r>
      <w:r w:rsidR="008A74EB" w:rsidRPr="00C9040A">
        <w:rPr>
          <w:rtl/>
        </w:rPr>
        <w:t xml:space="preserve"> « ولا يغتابه ، ولا يخونه ، ولا يحرمه »</w:t>
      </w:r>
      <w:r w:rsidR="008A74EB">
        <w:rPr>
          <w:rtl/>
        </w:rPr>
        <w:t>.</w:t>
      </w:r>
      <w:r w:rsidR="008A74EB" w:rsidRPr="00C9040A">
        <w:rPr>
          <w:rtl/>
        </w:rPr>
        <w:t xml:space="preserve"> وفي « ج » : « ولا يحرمه ، ولا يخونه ، ولا يغتابه »</w:t>
      </w:r>
      <w:r w:rsidR="008A74EB">
        <w:rPr>
          <w:rtl/>
        </w:rPr>
        <w:t>.</w:t>
      </w:r>
      <w:r w:rsidR="008A74EB" w:rsidRPr="00C9040A">
        <w:rPr>
          <w:rtl/>
        </w:rPr>
        <w:t xml:space="preserve"> وفي « جه » </w:t>
      </w:r>
      <w:r w:rsidR="008A74EB">
        <w:rPr>
          <w:rtl/>
        </w:rPr>
        <w:t xml:space="preserve">: </w:t>
      </w:r>
      <w:r w:rsidR="0084262C">
        <w:rPr>
          <w:rtl/>
        </w:rPr>
        <w:t>-</w:t>
      </w:r>
      <w:r w:rsidR="008A74EB" w:rsidRPr="00C9040A">
        <w:rPr>
          <w:rtl/>
        </w:rPr>
        <w:t xml:space="preserve"> « ولايخونه ولايحرمه »</w:t>
      </w:r>
      <w:r w:rsidR="008A74EB">
        <w:rPr>
          <w:rtl/>
        </w:rPr>
        <w:t>.</w:t>
      </w:r>
      <w:r w:rsidR="008A74EB" w:rsidRPr="00C9040A">
        <w:rPr>
          <w:rtl/>
        </w:rPr>
        <w:t xml:space="preserve"> وفي « ض ، بج ، بع ، جس ، جم » والبحار كما في المتن.</w:t>
      </w:r>
      <w:r w:rsidR="008957EE">
        <w:rPr>
          <w:rFonts w:hint="cs"/>
          <w:rtl/>
        </w:rPr>
        <w:t xml:space="preserve">           </w:t>
      </w:r>
      <w:r>
        <w:rPr>
          <w:rtl/>
        </w:rPr>
        <w:t>(11).</w:t>
      </w:r>
      <w:r w:rsidR="008A74EB" w:rsidRPr="00C9040A">
        <w:rPr>
          <w:rtl/>
        </w:rPr>
        <w:t xml:space="preserve"> معلّق على صدر السند وينسحب إليه كلا الطريقين.</w:t>
      </w:r>
    </w:p>
    <w:p w:rsidR="008A74EB" w:rsidRPr="00C9040A" w:rsidRDefault="006C577F" w:rsidP="004A4E41">
      <w:pPr>
        <w:pStyle w:val="libFootnote0"/>
        <w:rPr>
          <w:rtl/>
          <w:lang w:bidi="fa-IR"/>
        </w:rPr>
      </w:pPr>
      <w:r>
        <w:rPr>
          <w:rtl/>
        </w:rPr>
        <w:t>(12).</w:t>
      </w:r>
      <w:r w:rsidR="008A74EB" w:rsidRPr="00C9040A">
        <w:rPr>
          <w:rtl/>
        </w:rPr>
        <w:t xml:space="preserve"> في « ب ، ج ، ز ، بر » والوافي ومرآة العقول والبحار : « قال »</w:t>
      </w:r>
      <w:r w:rsidR="008A74EB">
        <w:rPr>
          <w:rtl/>
        </w:rPr>
        <w:t>.</w:t>
      </w:r>
    </w:p>
    <w:p w:rsidR="008A74EB" w:rsidRPr="00C9040A" w:rsidRDefault="008A74EB" w:rsidP="004A4E41">
      <w:pPr>
        <w:pStyle w:val="libFootnote0"/>
        <w:rPr>
          <w:rtl/>
          <w:lang w:bidi="fa-IR"/>
        </w:rPr>
      </w:pPr>
      <w:r>
        <w:rPr>
          <w:rtl/>
        </w:rPr>
        <w:t>(13)</w:t>
      </w:r>
      <w:r w:rsidRPr="00C9040A">
        <w:rPr>
          <w:rtl/>
        </w:rPr>
        <w:t xml:space="preserve"> هكذا في النسخ التي قوبلت والطبعة القديمة والوافي ومرآة العقول. وفي المطبوع : « فضيل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يَقُولُ ذلِكَ</w:t>
      </w:r>
      <w:r>
        <w:rPr>
          <w:rtl/>
          <w:lang w:bidi="fa-IR"/>
        </w:rPr>
        <w:t>؟</w:t>
      </w:r>
      <w:r w:rsidRPr="00C9040A">
        <w:rPr>
          <w:rtl/>
          <w:lang w:bidi="fa-IR"/>
        </w:rPr>
        <w:t xml:space="preserve"> قَالَ : فَقُلْتُ لَهُ : نَعَمْ ، فَقَالَ : فَإِنِّي </w:t>
      </w:r>
      <w:r w:rsidR="006C577F" w:rsidRPr="006C577F">
        <w:rPr>
          <w:rStyle w:val="libFootnotenumChar"/>
          <w:rtl/>
        </w:rPr>
        <w:t>(1)</w:t>
      </w:r>
      <w:r w:rsidRPr="00C9040A">
        <w:rPr>
          <w:rtl/>
          <w:lang w:bidi="fa-IR"/>
        </w:rPr>
        <w:t xml:space="preserve"> سَمِعْتُ أَبَا عَبْدِ اللهِ </w:t>
      </w:r>
      <w:r w:rsidRPr="0003660B">
        <w:rPr>
          <w:rStyle w:val="libAlaemChar"/>
          <w:rtl/>
        </w:rPr>
        <w:t>عليه‌السلام</w:t>
      </w:r>
      <w:r w:rsidRPr="00C9040A">
        <w:rPr>
          <w:rtl/>
          <w:lang w:bidi="fa-IR"/>
        </w:rPr>
        <w:t xml:space="preserve"> </w:t>
      </w:r>
      <w:r w:rsidR="006C577F" w:rsidRPr="006C577F">
        <w:rPr>
          <w:rStyle w:val="libFootnotenumChar"/>
          <w:rtl/>
        </w:rPr>
        <w:t>(2)</w:t>
      </w:r>
      <w:r w:rsidRPr="00C9040A">
        <w:rPr>
          <w:rtl/>
          <w:lang w:bidi="fa-IR"/>
        </w:rPr>
        <w:t xml:space="preserve"> يَقُولُ : « الْمُسْلِمُ أَخُو الْمُسْلِمِ ؛ لَايَظْلِمُهُ </w:t>
      </w:r>
      <w:r w:rsidR="006C577F" w:rsidRPr="006C577F">
        <w:rPr>
          <w:rStyle w:val="libFootnotenumChar"/>
          <w:rtl/>
        </w:rPr>
        <w:t>(3)</w:t>
      </w:r>
      <w:r w:rsidRPr="00C9040A">
        <w:rPr>
          <w:rtl/>
          <w:lang w:bidi="fa-IR"/>
        </w:rPr>
        <w:t xml:space="preserve"> ، وَلَا يَغُشُّهُ ، وَلَا يَخْذُلُهُ ، وَلَا يَغْتَابُهُ ، وَلَا يَخُونُهُ ، وَلَا يَحْرِمُهُ</w:t>
      </w:r>
      <w:r w:rsidR="006C577F" w:rsidRPr="006C577F">
        <w:rPr>
          <w:rStyle w:val="libFootnotenumChar"/>
          <w:rtl/>
        </w:rPr>
        <w:t>(4)</w:t>
      </w:r>
      <w:r w:rsidRPr="00C9040A">
        <w:rPr>
          <w:rtl/>
          <w:lang w:bidi="fa-IR"/>
        </w:rPr>
        <w:t>»</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Heading2Center"/>
        <w:rPr>
          <w:rtl/>
          <w:lang w:bidi="fa-IR"/>
        </w:rPr>
      </w:pPr>
      <w:bookmarkStart w:id="229" w:name="_Toc343795664"/>
      <w:bookmarkStart w:id="230" w:name="_Toc459810788"/>
      <w:bookmarkStart w:id="231" w:name="_Toc35348694"/>
      <w:r w:rsidRPr="00C9040A">
        <w:rPr>
          <w:rtl/>
          <w:lang w:bidi="fa-IR"/>
        </w:rPr>
        <w:t>73</w:t>
      </w:r>
      <w:r>
        <w:rPr>
          <w:rtl/>
          <w:lang w:bidi="fa-IR"/>
        </w:rPr>
        <w:t xml:space="preserve"> </w:t>
      </w:r>
      <w:r w:rsidR="0084262C">
        <w:rPr>
          <w:rtl/>
          <w:lang w:bidi="fa-IR"/>
        </w:rPr>
        <w:t>-</w:t>
      </w:r>
      <w:r>
        <w:rPr>
          <w:rtl/>
          <w:lang w:bidi="fa-IR"/>
        </w:rPr>
        <w:t xml:space="preserve"> </w:t>
      </w:r>
      <w:r w:rsidRPr="00C9040A">
        <w:rPr>
          <w:rtl/>
          <w:lang w:bidi="fa-IR"/>
        </w:rPr>
        <w:t xml:space="preserve">بَابٌ فِيمَا يُوجِبُ الْحَقَّ لِمَنِ انْتَحَلَ الْإِيمَانَ وَيَنْقُضُهُ </w:t>
      </w:r>
      <w:r w:rsidR="006C577F" w:rsidRPr="006C577F">
        <w:rPr>
          <w:rStyle w:val="libFootnotenumChar"/>
          <w:rtl/>
        </w:rPr>
        <w:t>(6)</w:t>
      </w:r>
      <w:r w:rsidRPr="005B567D">
        <w:rPr>
          <w:rStyle w:val="libFootnotenumChar"/>
          <w:rtl/>
        </w:rPr>
        <w:t xml:space="preserve"> </w:t>
      </w:r>
      <w:r w:rsidRPr="00C9040A">
        <w:rPr>
          <w:rtl/>
          <w:lang w:bidi="fa-IR"/>
        </w:rPr>
        <w:t>‌</w:t>
      </w:r>
      <w:bookmarkEnd w:id="229"/>
      <w:bookmarkEnd w:id="230"/>
      <w:bookmarkEnd w:id="231"/>
    </w:p>
    <w:p w:rsidR="008A74EB" w:rsidRPr="00C9040A" w:rsidRDefault="008A74EB" w:rsidP="008A74EB">
      <w:pPr>
        <w:pStyle w:val="libNormal"/>
        <w:rPr>
          <w:rtl/>
          <w:lang w:bidi="fa-IR"/>
        </w:rPr>
      </w:pPr>
      <w:r w:rsidRPr="00CB44ED">
        <w:rPr>
          <w:rtl/>
        </w:rPr>
        <w:t>2053</w:t>
      </w:r>
      <w:r w:rsidRPr="00261CB0">
        <w:rPr>
          <w:rStyle w:val="libBold2Char"/>
          <w:rtl/>
        </w:rPr>
        <w:t xml:space="preserve"> / 1.</w:t>
      </w:r>
      <w:r w:rsidRPr="00C9040A">
        <w:rPr>
          <w:rtl/>
          <w:lang w:bidi="fa-IR"/>
        </w:rPr>
        <w:t xml:space="preserve"> عَلِيُّ بْنُ إِبْرَاهِيمَ ، عَنْ هَارُونَ بْنِ مُسْلِمٍ ، عَنْ مَسْعَدَةَ بْنِ صَدَقَةَ ، قَالَ :</w:t>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w:t>
      </w:r>
      <w:r>
        <w:rPr>
          <w:rtl/>
          <w:lang w:bidi="fa-IR"/>
        </w:rPr>
        <w:t xml:space="preserve"> </w:t>
      </w:r>
      <w:r w:rsidR="0084262C">
        <w:rPr>
          <w:rtl/>
          <w:lang w:bidi="fa-IR"/>
        </w:rPr>
        <w:t>-</w:t>
      </w:r>
      <w:r>
        <w:rPr>
          <w:rtl/>
          <w:lang w:bidi="fa-IR"/>
        </w:rPr>
        <w:t xml:space="preserve"> </w:t>
      </w:r>
      <w:r w:rsidRPr="00C9040A">
        <w:rPr>
          <w:rtl/>
          <w:lang w:bidi="fa-IR"/>
        </w:rPr>
        <w:t xml:space="preserve">وَسُئِلَ </w:t>
      </w:r>
      <w:r w:rsidR="006C577F" w:rsidRPr="006C577F">
        <w:rPr>
          <w:rStyle w:val="libFootnotenumChar"/>
          <w:rtl/>
        </w:rPr>
        <w:t>(7)</w:t>
      </w:r>
      <w:r w:rsidRPr="00C9040A">
        <w:rPr>
          <w:rtl/>
          <w:lang w:bidi="fa-IR"/>
        </w:rPr>
        <w:t xml:space="preserve"> عَنْ إِيمَانِ مَنْ يَلْزَمُنَا حَقُّهُ وَأُخُوَّتُهُ : كَيْفَ هُوَ</w:t>
      </w:r>
      <w:r>
        <w:rPr>
          <w:rtl/>
          <w:lang w:bidi="fa-IR"/>
        </w:rPr>
        <w:t>؟</w:t>
      </w:r>
      <w:r w:rsidRPr="00C9040A">
        <w:rPr>
          <w:rtl/>
          <w:lang w:bidi="fa-IR"/>
        </w:rPr>
        <w:t xml:space="preserve"> وَبِمَا يَثْبُتُ</w:t>
      </w:r>
      <w:r>
        <w:rPr>
          <w:rtl/>
          <w:lang w:bidi="fa-IR"/>
        </w:rPr>
        <w:t>؟</w:t>
      </w:r>
      <w:r w:rsidRPr="00C9040A">
        <w:rPr>
          <w:rtl/>
          <w:lang w:bidi="fa-IR"/>
        </w:rPr>
        <w:t xml:space="preserve"> وَبِمَا يَبْطُلُ</w:t>
      </w:r>
      <w:r>
        <w:rPr>
          <w:rtl/>
          <w:lang w:bidi="fa-IR"/>
        </w:rPr>
        <w:t>؟</w:t>
      </w:r>
      <w:r w:rsidRPr="00C9040A">
        <w:rPr>
          <w:rtl/>
          <w:lang w:bidi="fa-IR"/>
        </w:rPr>
        <w:t xml:space="preserve"> فَقَالَ </w:t>
      </w:r>
      <w:r w:rsidRPr="0003660B">
        <w:rPr>
          <w:rStyle w:val="libAlaemChar"/>
          <w:rtl/>
        </w:rPr>
        <w:t>عليه‌السلام</w:t>
      </w:r>
      <w:r>
        <w:rPr>
          <w:rtl/>
          <w:lang w:bidi="fa-IR"/>
        </w:rPr>
        <w:t xml:space="preserve"> </w:t>
      </w:r>
      <w:r w:rsidR="0084262C">
        <w:rPr>
          <w:rtl/>
          <w:lang w:bidi="fa-IR"/>
        </w:rPr>
        <w:t>-</w:t>
      </w:r>
      <w:r>
        <w:rPr>
          <w:rtl/>
          <w:lang w:bidi="fa-IR"/>
        </w:rPr>
        <w:t xml:space="preserve"> </w:t>
      </w:r>
      <w:r w:rsidRPr="00C9040A">
        <w:rPr>
          <w:rtl/>
          <w:lang w:bidi="fa-IR"/>
        </w:rPr>
        <w:t xml:space="preserve">: « إِنَّ الْإِيمَانَ قَدْ يُتَّخَذُ </w:t>
      </w:r>
      <w:r w:rsidR="006C577F" w:rsidRPr="006C577F">
        <w:rPr>
          <w:rStyle w:val="libFootnotenumChar"/>
          <w:rtl/>
        </w:rPr>
        <w:t>(8)</w:t>
      </w:r>
      <w:r w:rsidRPr="00C9040A">
        <w:rPr>
          <w:rtl/>
          <w:lang w:bidi="fa-IR"/>
        </w:rPr>
        <w:t xml:space="preserve"> عَلى وَجْهَيْنِ : أَمَّا أَحَدُهُمَا </w:t>
      </w:r>
      <w:r w:rsidR="006C577F" w:rsidRPr="006C577F">
        <w:rPr>
          <w:rStyle w:val="libFootnotenumChar"/>
          <w:rtl/>
        </w:rPr>
        <w:t>(9)</w:t>
      </w:r>
      <w:r w:rsidRPr="00C9040A">
        <w:rPr>
          <w:rtl/>
          <w:lang w:bidi="fa-IR"/>
        </w:rPr>
        <w:t xml:space="preserve"> ، فَهُوَ الَّذِي يَظْهَرُ </w:t>
      </w:r>
      <w:r w:rsidR="006C577F" w:rsidRPr="006C577F">
        <w:rPr>
          <w:rStyle w:val="libFootnotenumChar"/>
          <w:rtl/>
        </w:rPr>
        <w:t>(10)</w:t>
      </w:r>
      <w:r w:rsidRPr="00C9040A">
        <w:rPr>
          <w:rtl/>
          <w:lang w:bidi="fa-IR"/>
        </w:rPr>
        <w:t xml:space="preserve"> لَكَ </w:t>
      </w:r>
      <w:r w:rsidR="006C577F" w:rsidRPr="006C577F">
        <w:rPr>
          <w:rStyle w:val="libFootnotenumChar"/>
          <w:rtl/>
        </w:rPr>
        <w:t>(11)</w:t>
      </w:r>
      <w:r w:rsidRPr="00C9040A">
        <w:rPr>
          <w:rtl/>
          <w:lang w:bidi="fa-IR"/>
        </w:rPr>
        <w:t xml:space="preserve"> مِنْ صَاحِبِكَ ، فَإِذَا ظَهَرَ لَكَ مِنْهُ مِثْلُ الَّذِي تَقُولُ بِهِ أَنْتَ ، حَقَّتْ وَ</w:t>
      </w:r>
      <w:r w:rsidR="008957EE">
        <w:rPr>
          <w:rtl/>
          <w:lang w:bidi="fa-IR"/>
        </w:rPr>
        <w:t>لَايَتُهُ وَأُخُوَّتُهُ ، إِل</w:t>
      </w:r>
      <w:r w:rsidR="008957EE">
        <w:rPr>
          <w:rFonts w:hint="cs"/>
          <w:rtl/>
          <w:lang w:bidi="fa-IR"/>
        </w:rPr>
        <w:t>َّ</w:t>
      </w:r>
      <w:r w:rsidR="008957EE">
        <w:rPr>
          <w:rtl/>
          <w:lang w:bidi="fa-IR"/>
        </w:rPr>
        <w:t>ا</w:t>
      </w:r>
      <w:r w:rsidRPr="00C9040A">
        <w:rPr>
          <w:rtl/>
          <w:lang w:bidi="fa-IR"/>
        </w:rPr>
        <w:t xml:space="preserve"> أَنْ يَجِي‌ءَ مِنْهُ نَقْضٌ </w:t>
      </w:r>
      <w:r w:rsidR="006C577F" w:rsidRPr="006C577F">
        <w:rPr>
          <w:rStyle w:val="libFootnotenumChar"/>
          <w:rtl/>
        </w:rPr>
        <w:t>(12)</w:t>
      </w:r>
      <w:r w:rsidRPr="00C9040A">
        <w:rPr>
          <w:rtl/>
          <w:lang w:bidi="fa-IR"/>
        </w:rPr>
        <w:t xml:space="preserve"> لِلَّذِي وَصَفَ مِنْ نَفْسِهِ وَأَظْهَرَهُ لَكَ </w:t>
      </w:r>
      <w:r w:rsidRPr="005B567D">
        <w:rPr>
          <w:rStyle w:val="libFootnotenumChar"/>
          <w:rtl/>
        </w:rPr>
        <w:t>(13)</w:t>
      </w:r>
      <w:r w:rsidRPr="00C9040A">
        <w:rPr>
          <w:rtl/>
          <w:lang w:bidi="fa-IR"/>
        </w:rPr>
        <w:t xml:space="preserve"> ، فَإِنْ جَاءَ مِنْهُ مَا تَسْتَدِلُّ </w:t>
      </w:r>
      <w:r w:rsidRPr="005B567D">
        <w:rPr>
          <w:rStyle w:val="libFootnotenumChar"/>
          <w:rtl/>
        </w:rPr>
        <w:t>(14)</w:t>
      </w:r>
      <w:r w:rsidRPr="00C9040A">
        <w:rPr>
          <w:rtl/>
          <w:lang w:bidi="fa-IR"/>
        </w:rPr>
        <w:t xml:space="preserve"> بِهِ عَلى نَقْضِ </w:t>
      </w:r>
      <w:r w:rsidRPr="005B567D">
        <w:rPr>
          <w:rStyle w:val="libFootnotenumChar"/>
          <w:rtl/>
        </w:rPr>
        <w:t>(15)</w:t>
      </w:r>
      <w:r w:rsidRPr="00C9040A">
        <w:rPr>
          <w:rtl/>
          <w:lang w:bidi="fa-IR"/>
        </w:rPr>
        <w:t xml:space="preserve"> الَّذِي أَظْهَرَ لَكَ </w:t>
      </w:r>
      <w:r w:rsidRPr="005B567D">
        <w:rPr>
          <w:rStyle w:val="libFootnotenumChar"/>
          <w:rtl/>
        </w:rPr>
        <w:t>(16)</w:t>
      </w:r>
      <w:r w:rsidRPr="00C9040A">
        <w:rPr>
          <w:rtl/>
          <w:lang w:bidi="fa-IR"/>
        </w:rPr>
        <w:t xml:space="preserve"> ، خَرَجَ </w:t>
      </w:r>
      <w:r w:rsidRPr="005B567D">
        <w:rPr>
          <w:rStyle w:val="libFootnotenumChar"/>
          <w:rtl/>
        </w:rPr>
        <w:t>(17)</w:t>
      </w:r>
      <w:r w:rsidRPr="00C9040A">
        <w:rPr>
          <w:rtl/>
          <w:lang w:bidi="fa-IR"/>
        </w:rPr>
        <w:t xml:space="preserve"> عِنْدَكَ مِمَّا‌</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8957EE" w:rsidTr="008957EE">
        <w:tc>
          <w:tcPr>
            <w:tcW w:w="4006" w:type="dxa"/>
          </w:tcPr>
          <w:p w:rsidR="008957EE" w:rsidRDefault="008957EE" w:rsidP="004A4E41">
            <w:pPr>
              <w:pStyle w:val="libFootnote0"/>
              <w:rPr>
                <w:rtl/>
              </w:rPr>
            </w:pPr>
            <w:r>
              <w:rPr>
                <w:rtl/>
              </w:rPr>
              <w:t xml:space="preserve">(1). </w:t>
            </w:r>
            <w:r w:rsidRPr="00C9040A">
              <w:rPr>
                <w:rtl/>
              </w:rPr>
              <w:t>في « ز » ومرآة العقول : « إنّي »</w:t>
            </w:r>
            <w:r>
              <w:rPr>
                <w:rtl/>
              </w:rPr>
              <w:t>.</w:t>
            </w:r>
          </w:p>
        </w:tc>
        <w:tc>
          <w:tcPr>
            <w:tcW w:w="4006" w:type="dxa"/>
          </w:tcPr>
          <w:p w:rsidR="008957EE" w:rsidRDefault="008957EE" w:rsidP="004A4E41">
            <w:pPr>
              <w:pStyle w:val="libFootnote0"/>
              <w:rPr>
                <w:rtl/>
              </w:rPr>
            </w:pPr>
            <w:r>
              <w:rPr>
                <w:rtl/>
              </w:rPr>
              <w:t xml:space="preserve">(2). </w:t>
            </w:r>
            <w:r w:rsidRPr="00C9040A">
              <w:rPr>
                <w:rtl/>
              </w:rPr>
              <w:t xml:space="preserve">في « ز » : « رسول الله </w:t>
            </w:r>
            <w:r w:rsidRPr="008957EE">
              <w:rPr>
                <w:rStyle w:val="libFootnoteAlaemChar"/>
                <w:rtl/>
              </w:rPr>
              <w:t>صلى‌الله‌عليه‌وآله</w:t>
            </w:r>
            <w:r w:rsidRPr="00C9040A">
              <w:rPr>
                <w:rtl/>
              </w:rPr>
              <w:t xml:space="preserve"> »</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في </w:t>
      </w:r>
      <w:r w:rsidR="008A74EB" w:rsidRPr="00993B55">
        <w:rPr>
          <w:rStyle w:val="libFootnoteBoldChar"/>
          <w:rtl/>
        </w:rPr>
        <w:t>مرآة العقول</w:t>
      </w:r>
      <w:r w:rsidR="008A74EB" w:rsidRPr="00C9040A">
        <w:rPr>
          <w:rtl/>
        </w:rPr>
        <w:t xml:space="preserve"> : « وربّما يقرأ : ولا يظلّمه ، على بناء التفعيل ، أي لا ينسبه إلى الظلم ، وهو تكلّف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w:t>
      </w:r>
      <w:r w:rsidR="008A74EB" w:rsidRPr="00E633F5">
        <w:rPr>
          <w:rtl/>
        </w:rPr>
        <w:t>الوافي</w:t>
      </w:r>
      <w:r w:rsidR="008A74EB" w:rsidRPr="00C9040A">
        <w:rPr>
          <w:rtl/>
        </w:rPr>
        <w:t xml:space="preserve"> : « ولا يخونه ، ولا يخذله ، ولا يغتابه ، ولا يحرمه » بدل « ولا يخذله</w:t>
      </w:r>
      <w:r w:rsidR="008A74EB">
        <w:rPr>
          <w:rtl/>
        </w:rPr>
        <w:t xml:space="preserve"> </w:t>
      </w:r>
      <w:r w:rsidR="0084262C">
        <w:rPr>
          <w:rtl/>
        </w:rPr>
        <w:t>-</w:t>
      </w:r>
      <w:r w:rsidR="008A74EB">
        <w:rPr>
          <w:rtl/>
        </w:rPr>
        <w:t xml:space="preserve"> </w:t>
      </w:r>
      <w:r w:rsidR="008A74EB" w:rsidRPr="00C9040A">
        <w:rPr>
          <w:rtl/>
        </w:rPr>
        <w:t>إلى</w:t>
      </w:r>
      <w:r w:rsidR="008A74EB">
        <w:rPr>
          <w:rtl/>
        </w:rPr>
        <w:t xml:space="preserve"> </w:t>
      </w:r>
      <w:r w:rsidR="0084262C">
        <w:rPr>
          <w:rtl/>
        </w:rPr>
        <w:t>-</w:t>
      </w:r>
      <w:r w:rsidR="008A74EB">
        <w:rPr>
          <w:rtl/>
        </w:rPr>
        <w:t xml:space="preserve"> </w:t>
      </w:r>
      <w:r w:rsidR="008A74EB" w:rsidRPr="00C9040A">
        <w:rPr>
          <w:rtl/>
        </w:rPr>
        <w:t>ولا يحرمه »</w:t>
      </w:r>
      <w:r w:rsidR="008A74EB">
        <w:rPr>
          <w:rtl/>
        </w:rPr>
        <w:t>.</w:t>
      </w:r>
      <w:r w:rsidR="008A74EB" w:rsidRPr="00C9040A">
        <w:rPr>
          <w:rtl/>
        </w:rPr>
        <w:t xml:space="preserve"> وفي الوسائل : « ولا يخذله ، ولا يغتابه ، ولا يغشّه ، ولا يحرمه » بدل « ولا يغشّه</w:t>
      </w:r>
      <w:r w:rsidR="008A74EB">
        <w:rPr>
          <w:rtl/>
        </w:rPr>
        <w:t xml:space="preserve"> </w:t>
      </w:r>
      <w:r w:rsidR="0084262C">
        <w:rPr>
          <w:rtl/>
        </w:rPr>
        <w:t>-</w:t>
      </w:r>
      <w:r w:rsidR="008A74EB">
        <w:rPr>
          <w:rtl/>
        </w:rPr>
        <w:t xml:space="preserve"> </w:t>
      </w:r>
      <w:r w:rsidR="008A74EB" w:rsidRPr="00C9040A">
        <w:rPr>
          <w:rtl/>
        </w:rPr>
        <w:t>إلى</w:t>
      </w:r>
      <w:r w:rsidR="008A74EB">
        <w:rPr>
          <w:rtl/>
        </w:rPr>
        <w:t xml:space="preserve"> </w:t>
      </w:r>
      <w:r w:rsidR="0084262C">
        <w:rPr>
          <w:rtl/>
        </w:rPr>
        <w:t>-</w:t>
      </w:r>
      <w:r w:rsidR="008A74EB">
        <w:rPr>
          <w:rtl/>
        </w:rPr>
        <w:t xml:space="preserve"> </w:t>
      </w:r>
      <w:r w:rsidR="008A74EB" w:rsidRPr="00C9040A">
        <w:rPr>
          <w:rtl/>
        </w:rPr>
        <w:t>ولا يحرمه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راجع : ح 5 من هذا الباب ومصادره </w:t>
      </w:r>
      <w:r w:rsidR="008957EE">
        <w:rPr>
          <w:rFonts w:hint="cs"/>
          <w:rtl/>
        </w:rPr>
        <w:t>.</w:t>
      </w:r>
      <w:r w:rsidR="008A74EB" w:rsidRPr="00993B55">
        <w:rPr>
          <w:rStyle w:val="libFootnoteBoldChar"/>
          <w:rtl/>
        </w:rPr>
        <w:t>الوافي</w:t>
      </w:r>
      <w:r w:rsidR="008A74EB" w:rsidRPr="00C9040A">
        <w:rPr>
          <w:rtl/>
        </w:rPr>
        <w:t xml:space="preserve"> ، ج 5 ، ص 553 ، ح 2562 ؛ </w:t>
      </w:r>
      <w:r w:rsidR="008A74EB" w:rsidRPr="00993B55">
        <w:rPr>
          <w:rStyle w:val="libFootnoteBoldChar"/>
          <w:rtl/>
        </w:rPr>
        <w:t>الوسائل</w:t>
      </w:r>
      <w:r w:rsidR="008A74EB" w:rsidRPr="00C9040A">
        <w:rPr>
          <w:rtl/>
        </w:rPr>
        <w:t xml:space="preserve"> ، ج 12 ، ص 279 ، ح 16303 </w:t>
      </w:r>
      <w:r w:rsidR="008A74EB">
        <w:rPr>
          <w:rtl/>
        </w:rPr>
        <w:t>و 1</w:t>
      </w:r>
      <w:r w:rsidR="008A74EB" w:rsidRPr="00C9040A">
        <w:rPr>
          <w:rtl/>
        </w:rPr>
        <w:t xml:space="preserve">6304 ؛ </w:t>
      </w:r>
      <w:r w:rsidR="008A74EB" w:rsidRPr="00993B55">
        <w:rPr>
          <w:rStyle w:val="libFootnoteBoldChar"/>
          <w:rtl/>
        </w:rPr>
        <w:t>البحار</w:t>
      </w:r>
      <w:r w:rsidR="008A74EB" w:rsidRPr="00C9040A">
        <w:rPr>
          <w:rtl/>
        </w:rPr>
        <w:t xml:space="preserve"> ، ج 74 ، ص 273 ، ح 14.</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ص ، ف ، بف » : « وينقصه »</w:t>
      </w:r>
      <w:r w:rsidR="008A74EB">
        <w:rPr>
          <w:rtl/>
        </w:rPr>
        <w:t>.</w:t>
      </w:r>
      <w:r w:rsidR="008A74EB" w:rsidRPr="00C9040A">
        <w:rPr>
          <w:rtl/>
        </w:rPr>
        <w:t xml:space="preserve"> وفي « بس » : « وتنقصه » ، كلاهما بالصاد المهملة.</w:t>
      </w:r>
    </w:p>
    <w:tbl>
      <w:tblPr>
        <w:tblStyle w:val="TableGrid"/>
        <w:bidiVisual/>
        <w:tblW w:w="0" w:type="auto"/>
        <w:tblLook w:val="04A0" w:firstRow="1" w:lastRow="0" w:firstColumn="1" w:lastColumn="0" w:noHBand="0" w:noVBand="1"/>
      </w:tblPr>
      <w:tblGrid>
        <w:gridCol w:w="4006"/>
        <w:gridCol w:w="4006"/>
      </w:tblGrid>
      <w:tr w:rsidR="008957EE" w:rsidTr="008957EE">
        <w:tc>
          <w:tcPr>
            <w:tcW w:w="4006" w:type="dxa"/>
          </w:tcPr>
          <w:p w:rsidR="008957EE" w:rsidRDefault="008957EE" w:rsidP="004A4E41">
            <w:pPr>
              <w:pStyle w:val="libFootnote0"/>
              <w:rPr>
                <w:rtl/>
              </w:rPr>
            </w:pPr>
            <w:r>
              <w:rPr>
                <w:rtl/>
              </w:rPr>
              <w:t>(7).</w:t>
            </w:r>
            <w:r w:rsidRPr="00C9040A">
              <w:rPr>
                <w:rtl/>
              </w:rPr>
              <w:t xml:space="preserve"> في « بس » : « ويسأل »</w:t>
            </w:r>
            <w:r>
              <w:rPr>
                <w:rtl/>
              </w:rPr>
              <w:t>.</w:t>
            </w:r>
          </w:p>
        </w:tc>
        <w:tc>
          <w:tcPr>
            <w:tcW w:w="4006" w:type="dxa"/>
          </w:tcPr>
          <w:p w:rsidR="008957EE" w:rsidRDefault="008957EE" w:rsidP="004A4E41">
            <w:pPr>
              <w:pStyle w:val="libFootnote0"/>
              <w:rPr>
                <w:rtl/>
              </w:rPr>
            </w:pPr>
            <w:r>
              <w:rPr>
                <w:rtl/>
              </w:rPr>
              <w:t>(8).</w:t>
            </w:r>
            <w:r w:rsidRPr="00C9040A">
              <w:rPr>
                <w:rtl/>
              </w:rPr>
              <w:t xml:space="preserve"> في « ز » : « قد يتّجه »</w:t>
            </w:r>
            <w:r>
              <w:rPr>
                <w:rtl/>
              </w:rPr>
              <w:t>.</w:t>
            </w:r>
          </w:p>
        </w:tc>
      </w:tr>
    </w:tbl>
    <w:p w:rsidR="008A74EB" w:rsidRPr="00C9040A" w:rsidRDefault="006C577F" w:rsidP="004A4E41">
      <w:pPr>
        <w:pStyle w:val="libFootnote0"/>
        <w:rPr>
          <w:rtl/>
          <w:lang w:bidi="fa-IR"/>
        </w:rPr>
      </w:pPr>
      <w:r>
        <w:rPr>
          <w:rtl/>
        </w:rPr>
        <w:t>(9).</w:t>
      </w:r>
      <w:r w:rsidR="008A74EB" w:rsidRPr="00C9040A">
        <w:rPr>
          <w:rtl/>
        </w:rPr>
        <w:t xml:space="preserve"> في </w:t>
      </w:r>
      <w:r w:rsidR="008A74EB" w:rsidRPr="00993B55">
        <w:rPr>
          <w:rStyle w:val="libFootnoteBoldChar"/>
          <w:rtl/>
        </w:rPr>
        <w:t>الوافي</w:t>
      </w:r>
      <w:r w:rsidR="008A74EB" w:rsidRPr="00C9040A">
        <w:rPr>
          <w:rtl/>
        </w:rPr>
        <w:t xml:space="preserve"> : « إنّما اكتفى بذكر أحد الوجهين عن الآخر ؛ لأنّ الآخر كان معلوماً ، وهو ما يعرف بالصحبة</w:t>
      </w:r>
      <w:r w:rsidR="008957EE">
        <w:rPr>
          <w:rFonts w:hint="cs"/>
          <w:rtl/>
        </w:rPr>
        <w:t xml:space="preserve"> </w:t>
      </w:r>
      <w:r w:rsidR="008A74EB" w:rsidRPr="00C9040A">
        <w:rPr>
          <w:rtl/>
        </w:rPr>
        <w:t>المتأكّدة والمعاشرة المتكرّرة الموجبة لليقين. وإنّها ذكر الفرد الأخفى وهو ما يظهر منه بدون ذلك »</w:t>
      </w:r>
      <w:r w:rsidR="008A74EB">
        <w:rPr>
          <w:rtl/>
        </w:rPr>
        <w:t>.</w:t>
      </w:r>
    </w:p>
    <w:tbl>
      <w:tblPr>
        <w:tblStyle w:val="TableGrid"/>
        <w:bidiVisual/>
        <w:tblW w:w="0" w:type="auto"/>
        <w:tblLook w:val="04A0" w:firstRow="1" w:lastRow="0" w:firstColumn="1" w:lastColumn="0" w:noHBand="0" w:noVBand="1"/>
      </w:tblPr>
      <w:tblGrid>
        <w:gridCol w:w="4006"/>
        <w:gridCol w:w="4006"/>
      </w:tblGrid>
      <w:tr w:rsidR="008957EE" w:rsidTr="008957EE">
        <w:tc>
          <w:tcPr>
            <w:tcW w:w="4006" w:type="dxa"/>
          </w:tcPr>
          <w:p w:rsidR="008957EE" w:rsidRDefault="008957EE" w:rsidP="004A4E41">
            <w:pPr>
              <w:pStyle w:val="libFootnote0"/>
              <w:rPr>
                <w:rtl/>
              </w:rPr>
            </w:pPr>
            <w:r>
              <w:rPr>
                <w:rtl/>
              </w:rPr>
              <w:t>(10).</w:t>
            </w:r>
            <w:r w:rsidRPr="00C9040A">
              <w:rPr>
                <w:rtl/>
              </w:rPr>
              <w:t xml:space="preserve"> في « ج » : « ظهر »</w:t>
            </w:r>
            <w:r>
              <w:rPr>
                <w:rtl/>
              </w:rPr>
              <w:t>.</w:t>
            </w:r>
          </w:p>
        </w:tc>
        <w:tc>
          <w:tcPr>
            <w:tcW w:w="4006" w:type="dxa"/>
          </w:tcPr>
          <w:p w:rsidR="008957EE" w:rsidRDefault="008957EE" w:rsidP="004A4E41">
            <w:pPr>
              <w:pStyle w:val="libFootnote0"/>
              <w:rPr>
                <w:rtl/>
              </w:rPr>
            </w:pPr>
            <w:r>
              <w:rPr>
                <w:rtl/>
              </w:rPr>
              <w:t>(11).</w:t>
            </w:r>
            <w:r w:rsidRPr="00C9040A">
              <w:rPr>
                <w:rtl/>
              </w:rPr>
              <w:t xml:space="preserve"> في « ص » : « بك »</w:t>
            </w:r>
            <w:r>
              <w:rPr>
                <w:rtl/>
              </w:rPr>
              <w:t>.</w:t>
            </w:r>
          </w:p>
        </w:tc>
      </w:tr>
      <w:tr w:rsidR="008957EE" w:rsidTr="008957EE">
        <w:tc>
          <w:tcPr>
            <w:tcW w:w="4006" w:type="dxa"/>
          </w:tcPr>
          <w:p w:rsidR="008957EE" w:rsidRDefault="008957EE" w:rsidP="004A4E41">
            <w:pPr>
              <w:pStyle w:val="libFootnote0"/>
              <w:rPr>
                <w:rtl/>
              </w:rPr>
            </w:pPr>
            <w:r>
              <w:rPr>
                <w:rtl/>
              </w:rPr>
              <w:t>(12). في «ز ، ص ، ف» :</w:t>
            </w:r>
            <w:r w:rsidRPr="00C9040A">
              <w:rPr>
                <w:rtl/>
              </w:rPr>
              <w:t>« نقص » بالصاد المهملة.</w:t>
            </w:r>
          </w:p>
        </w:tc>
        <w:tc>
          <w:tcPr>
            <w:tcW w:w="4006" w:type="dxa"/>
          </w:tcPr>
          <w:p w:rsidR="008957EE" w:rsidRDefault="008957EE" w:rsidP="004A4E41">
            <w:pPr>
              <w:pStyle w:val="libFootnote0"/>
              <w:rPr>
                <w:rtl/>
              </w:rPr>
            </w:pPr>
            <w:r>
              <w:rPr>
                <w:rtl/>
              </w:rPr>
              <w:t>(13)</w:t>
            </w:r>
            <w:r w:rsidRPr="00C9040A">
              <w:rPr>
                <w:rtl/>
              </w:rPr>
              <w:t xml:space="preserve"> في « ف » : « وأظهر لك »</w:t>
            </w:r>
            <w:r>
              <w:rPr>
                <w:rtl/>
              </w:rPr>
              <w:t>.</w:t>
            </w:r>
          </w:p>
        </w:tc>
      </w:tr>
      <w:tr w:rsidR="008957EE" w:rsidTr="008957EE">
        <w:tc>
          <w:tcPr>
            <w:tcW w:w="4006" w:type="dxa"/>
          </w:tcPr>
          <w:p w:rsidR="008957EE" w:rsidRDefault="008957EE" w:rsidP="004A4E41">
            <w:pPr>
              <w:pStyle w:val="libFootnote0"/>
              <w:rPr>
                <w:rtl/>
              </w:rPr>
            </w:pPr>
            <w:r>
              <w:rPr>
                <w:rtl/>
              </w:rPr>
              <w:t>(14)</w:t>
            </w:r>
            <w:r w:rsidRPr="00C9040A">
              <w:rPr>
                <w:rtl/>
              </w:rPr>
              <w:t xml:space="preserve"> في « ص » : « يستدلّ »</w:t>
            </w:r>
            <w:r>
              <w:rPr>
                <w:rtl/>
              </w:rPr>
              <w:t>.</w:t>
            </w:r>
          </w:p>
        </w:tc>
        <w:tc>
          <w:tcPr>
            <w:tcW w:w="4006" w:type="dxa"/>
          </w:tcPr>
          <w:p w:rsidR="008957EE" w:rsidRDefault="008957EE" w:rsidP="004A4E41">
            <w:pPr>
              <w:pStyle w:val="libFootnote0"/>
              <w:rPr>
                <w:rtl/>
              </w:rPr>
            </w:pPr>
            <w:r>
              <w:rPr>
                <w:rtl/>
              </w:rPr>
              <w:t>(15) في «ص ، ف ، بف» : «نقص</w:t>
            </w:r>
            <w:r w:rsidRPr="00C9040A">
              <w:rPr>
                <w:rtl/>
              </w:rPr>
              <w:t>» بالصاد المهملة.</w:t>
            </w:r>
          </w:p>
        </w:tc>
      </w:tr>
    </w:tbl>
    <w:p w:rsidR="008A74EB" w:rsidRPr="00C9040A" w:rsidRDefault="008A74EB" w:rsidP="004A4E41">
      <w:pPr>
        <w:pStyle w:val="libFootnote0"/>
        <w:rPr>
          <w:rtl/>
          <w:lang w:bidi="fa-IR"/>
        </w:rPr>
      </w:pPr>
      <w:r>
        <w:rPr>
          <w:rtl/>
        </w:rPr>
        <w:t>(16)</w:t>
      </w:r>
      <w:r w:rsidRPr="00C9040A">
        <w:rPr>
          <w:rtl/>
        </w:rPr>
        <w:t xml:space="preserve"> في « ف » : « ظهر لك »</w:t>
      </w:r>
      <w:r>
        <w:rPr>
          <w:rtl/>
        </w:rPr>
        <w:t>.</w:t>
      </w:r>
      <w:r w:rsidRPr="00C9040A">
        <w:rPr>
          <w:rtl/>
        </w:rPr>
        <w:t xml:space="preserve"> وفي « بف » : « أظهره لك »</w:t>
      </w:r>
      <w:r>
        <w:rPr>
          <w:rtl/>
        </w:rPr>
        <w:t>.</w:t>
      </w:r>
    </w:p>
    <w:p w:rsidR="008A74EB" w:rsidRPr="00C9040A" w:rsidRDefault="008A74EB" w:rsidP="004A4E41">
      <w:pPr>
        <w:pStyle w:val="libFootnote0"/>
        <w:rPr>
          <w:rtl/>
          <w:lang w:bidi="fa-IR"/>
        </w:rPr>
      </w:pPr>
      <w:r>
        <w:rPr>
          <w:rtl/>
        </w:rPr>
        <w:t>(17)</w:t>
      </w:r>
      <w:r w:rsidRPr="00C9040A">
        <w:rPr>
          <w:rtl/>
        </w:rPr>
        <w:t xml:space="preserve"> في « ج ، ض ، ف » وحاشية « د ، بر » : « لكن خرج »</w:t>
      </w:r>
      <w:r>
        <w:rPr>
          <w:rtl/>
        </w:rPr>
        <w:t>.</w:t>
      </w:r>
      <w:r w:rsidRPr="00C9040A">
        <w:rPr>
          <w:rtl/>
        </w:rPr>
        <w:t xml:space="preserve"> وفي « ز » : « وخرج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وَصَفَ لَكَ وَأَظْهَرَ </w:t>
      </w:r>
      <w:r w:rsidR="006C577F" w:rsidRPr="006C577F">
        <w:rPr>
          <w:rStyle w:val="libFootnotenumChar"/>
          <w:rtl/>
        </w:rPr>
        <w:t>(1)</w:t>
      </w:r>
      <w:r w:rsidRPr="00C9040A">
        <w:rPr>
          <w:rtl/>
          <w:lang w:bidi="fa-IR"/>
        </w:rPr>
        <w:t xml:space="preserve"> ، وَكَانَ </w:t>
      </w:r>
      <w:r w:rsidR="006C577F" w:rsidRPr="006C577F">
        <w:rPr>
          <w:rStyle w:val="libFootnotenumChar"/>
          <w:rtl/>
        </w:rPr>
        <w:t>(2)</w:t>
      </w:r>
      <w:r w:rsidRPr="00C9040A">
        <w:rPr>
          <w:rtl/>
          <w:lang w:bidi="fa-IR"/>
        </w:rPr>
        <w:t xml:space="preserve"> لِمَا </w:t>
      </w:r>
      <w:r w:rsidR="006C577F" w:rsidRPr="006C577F">
        <w:rPr>
          <w:rStyle w:val="libFootnotenumChar"/>
          <w:rtl/>
        </w:rPr>
        <w:t>(3)</w:t>
      </w:r>
      <w:r w:rsidRPr="00C9040A">
        <w:rPr>
          <w:rtl/>
          <w:lang w:bidi="fa-IR"/>
        </w:rPr>
        <w:t xml:space="preserve"> أَظْهَرَ لَكَ نَاقِضاً </w:t>
      </w:r>
      <w:r w:rsidR="006C577F" w:rsidRPr="006C577F">
        <w:rPr>
          <w:rStyle w:val="libFootnotenumChar"/>
          <w:rtl/>
        </w:rPr>
        <w:t>(4)</w:t>
      </w:r>
      <w:r w:rsidR="008957EE">
        <w:rPr>
          <w:rtl/>
          <w:lang w:bidi="fa-IR"/>
        </w:rPr>
        <w:t xml:space="preserve"> ، إِل</w:t>
      </w:r>
      <w:r w:rsidR="008957EE">
        <w:rPr>
          <w:rFonts w:hint="cs"/>
          <w:rtl/>
          <w:lang w:bidi="fa-IR"/>
        </w:rPr>
        <w:t>َّ</w:t>
      </w:r>
      <w:r w:rsidR="008957EE">
        <w:rPr>
          <w:rtl/>
          <w:lang w:bidi="fa-IR"/>
        </w:rPr>
        <w:t>ا</w:t>
      </w:r>
      <w:r w:rsidRPr="00C9040A">
        <w:rPr>
          <w:rtl/>
          <w:lang w:bidi="fa-IR"/>
        </w:rPr>
        <w:t xml:space="preserve"> أَنْ يَدَّعِيَ أَنَّهُ إِنَّمَا عَمِلَ ذلِكَ تَقِيَّةً ، وَمَعَ ذلِكَ يُنْظَرُ فِيهِ ، فَإِنْ كَانَ لَيْسَ مِمَّا يُمْكِنُ أَنْ تَكُونَ </w:t>
      </w:r>
      <w:r w:rsidR="006C577F" w:rsidRPr="006C577F">
        <w:rPr>
          <w:rStyle w:val="libFootnotenumChar"/>
          <w:rtl/>
        </w:rPr>
        <w:t>(5)</w:t>
      </w:r>
      <w:r w:rsidRPr="00C9040A">
        <w:rPr>
          <w:rtl/>
          <w:lang w:bidi="fa-IR"/>
        </w:rPr>
        <w:t xml:space="preserve"> التَّقِيَّةُ فِي مِثْلِهِ ، لَمْ يُقْبَلْ </w:t>
      </w:r>
      <w:r w:rsidR="006C577F" w:rsidRPr="006C577F">
        <w:rPr>
          <w:rStyle w:val="libFootnotenumChar"/>
          <w:rtl/>
        </w:rPr>
        <w:t>(6)</w:t>
      </w:r>
      <w:r w:rsidRPr="005B567D">
        <w:rPr>
          <w:rStyle w:val="libFootnotenumChar"/>
          <w:rtl/>
        </w:rPr>
        <w:t xml:space="preserve"> </w:t>
      </w:r>
      <w:r w:rsidRPr="00C9040A">
        <w:rPr>
          <w:rtl/>
          <w:lang w:bidi="fa-IR"/>
        </w:rPr>
        <w:t xml:space="preserve">مِنْهُ ذلِكَ ؛ لِأَنَّ لِلتَّقِيَّةِ مَوَاضِعَ ، مَنْ أَزَالَهَا عَنْ مَوَاضِعِهَا لَمْ تَسْتَقِمْ </w:t>
      </w:r>
      <w:r w:rsidR="006C577F" w:rsidRPr="006C577F">
        <w:rPr>
          <w:rStyle w:val="libFootnotenumChar"/>
          <w:rtl/>
        </w:rPr>
        <w:t>(7)</w:t>
      </w:r>
      <w:r w:rsidRPr="00C9040A">
        <w:rPr>
          <w:rtl/>
          <w:lang w:bidi="fa-IR"/>
        </w:rPr>
        <w:t xml:space="preserve"> لَهُ.</w:t>
      </w:r>
    </w:p>
    <w:p w:rsidR="008A74EB" w:rsidRPr="00C9040A" w:rsidRDefault="008A74EB" w:rsidP="008A74EB">
      <w:pPr>
        <w:pStyle w:val="libNormal"/>
        <w:rPr>
          <w:rtl/>
          <w:lang w:bidi="fa-IR"/>
        </w:rPr>
      </w:pPr>
      <w:r w:rsidRPr="00C9040A">
        <w:rPr>
          <w:rtl/>
          <w:lang w:bidi="fa-IR"/>
        </w:rPr>
        <w:t xml:space="preserve">وَتَفْسِيرُ مَا يُتَّقى مِثْلُ أَنْ يَكُونَ </w:t>
      </w:r>
      <w:r w:rsidR="006C577F" w:rsidRPr="006C577F">
        <w:rPr>
          <w:rStyle w:val="libFootnotenumChar"/>
          <w:rtl/>
        </w:rPr>
        <w:t>(8)</w:t>
      </w:r>
      <w:r w:rsidRPr="00C9040A">
        <w:rPr>
          <w:rtl/>
          <w:lang w:bidi="fa-IR"/>
        </w:rPr>
        <w:t xml:space="preserve"> قَوْمُ </w:t>
      </w:r>
      <w:r w:rsidR="006C577F" w:rsidRPr="006C577F">
        <w:rPr>
          <w:rStyle w:val="libFootnotenumChar"/>
          <w:rtl/>
        </w:rPr>
        <w:t>(9)</w:t>
      </w:r>
      <w:r w:rsidRPr="00C9040A">
        <w:rPr>
          <w:rtl/>
          <w:lang w:bidi="fa-IR"/>
        </w:rPr>
        <w:t xml:space="preserve"> سَوْءٍ ، ظَاهِرُ </w:t>
      </w:r>
      <w:r w:rsidR="006C577F" w:rsidRPr="006C577F">
        <w:rPr>
          <w:rStyle w:val="libFootnotenumChar"/>
          <w:rtl/>
        </w:rPr>
        <w:t>(10)</w:t>
      </w:r>
      <w:r w:rsidRPr="00C9040A">
        <w:rPr>
          <w:rtl/>
          <w:lang w:bidi="fa-IR"/>
        </w:rPr>
        <w:t xml:space="preserve"> حُكْمِهِمْ وَفِعْلِهِمْ عَلى غَيْرِ حُكْمِ الْحَقِّ وَفِعْلِهِ ، فَكُلُّ </w:t>
      </w:r>
      <w:r w:rsidR="006C577F" w:rsidRPr="006C577F">
        <w:rPr>
          <w:rStyle w:val="libFootnotenumChar"/>
          <w:rtl/>
        </w:rPr>
        <w:t>(11)</w:t>
      </w:r>
      <w:r w:rsidRPr="00C9040A">
        <w:rPr>
          <w:rtl/>
          <w:lang w:bidi="fa-IR"/>
        </w:rPr>
        <w:t xml:space="preserve"> شَيْ‌ءٍ يَعْمَلُ الْمُؤْمِنُ بَيْنَهُمْ لِمَكَانِ التَّقِيَّةِ</w:t>
      </w:r>
      <w:r>
        <w:rPr>
          <w:rtl/>
          <w:lang w:bidi="fa-IR"/>
        </w:rPr>
        <w:t xml:space="preserve"> </w:t>
      </w:r>
      <w:r w:rsidR="0084262C">
        <w:rPr>
          <w:rtl/>
          <w:lang w:bidi="fa-IR"/>
        </w:rPr>
        <w:t>-</w:t>
      </w:r>
      <w:r>
        <w:rPr>
          <w:rtl/>
          <w:lang w:bidi="fa-IR"/>
        </w:rPr>
        <w:t xml:space="preserve"> </w:t>
      </w:r>
      <w:r w:rsidRPr="00C9040A">
        <w:rPr>
          <w:rtl/>
          <w:lang w:bidi="fa-IR"/>
        </w:rPr>
        <w:t>مِمَّا لَايُؤَدِّي إِلَى الْفَسَادِ فِي الدِّينِ</w:t>
      </w:r>
      <w:r>
        <w:rPr>
          <w:rtl/>
          <w:lang w:bidi="fa-IR"/>
        </w:rPr>
        <w:t xml:space="preserve"> </w:t>
      </w:r>
      <w:r w:rsidR="0084262C">
        <w:rPr>
          <w:rtl/>
          <w:lang w:bidi="fa-IR"/>
        </w:rPr>
        <w:t>-</w:t>
      </w:r>
      <w:r>
        <w:rPr>
          <w:rtl/>
          <w:lang w:bidi="fa-IR"/>
        </w:rPr>
        <w:t xml:space="preserve"> </w:t>
      </w:r>
      <w:r w:rsidRPr="00C9040A">
        <w:rPr>
          <w:rtl/>
          <w:lang w:bidi="fa-IR"/>
        </w:rPr>
        <w:t>فَإِنَّهُ جَائِزٌ »</w:t>
      </w:r>
      <w:r>
        <w:rPr>
          <w:rtl/>
          <w:lang w:bidi="fa-IR"/>
        </w:rPr>
        <w:t>.</w:t>
      </w:r>
      <w:r w:rsidRPr="00C9040A">
        <w:rPr>
          <w:rtl/>
          <w:lang w:bidi="fa-IR"/>
        </w:rPr>
        <w:t xml:space="preserve"> </w:t>
      </w:r>
      <w:r w:rsidR="006C577F" w:rsidRPr="006C577F">
        <w:rPr>
          <w:rStyle w:val="libFootnotenumChar"/>
          <w:rtl/>
        </w:rPr>
        <w:t>(12)</w:t>
      </w:r>
    </w:p>
    <w:p w:rsidR="008A74EB" w:rsidRPr="00C9040A" w:rsidRDefault="008A74EB" w:rsidP="008A74EB">
      <w:pPr>
        <w:pStyle w:val="Heading2Center"/>
        <w:rPr>
          <w:rtl/>
          <w:lang w:bidi="fa-IR"/>
        </w:rPr>
      </w:pPr>
      <w:bookmarkStart w:id="232" w:name="_Toc343795665"/>
      <w:bookmarkStart w:id="233" w:name="_Toc459810789"/>
      <w:bookmarkStart w:id="234" w:name="_Toc35348695"/>
      <w:r w:rsidRPr="00C9040A">
        <w:rPr>
          <w:rtl/>
          <w:lang w:bidi="fa-IR"/>
        </w:rPr>
        <w:t>74</w:t>
      </w:r>
      <w:r>
        <w:rPr>
          <w:rtl/>
          <w:lang w:bidi="fa-IR"/>
        </w:rPr>
        <w:t xml:space="preserve"> </w:t>
      </w:r>
      <w:r w:rsidR="0084262C">
        <w:rPr>
          <w:rtl/>
          <w:lang w:bidi="fa-IR"/>
        </w:rPr>
        <w:t>-</w:t>
      </w:r>
      <w:r>
        <w:rPr>
          <w:rtl/>
          <w:lang w:bidi="fa-IR"/>
        </w:rPr>
        <w:t xml:space="preserve"> </w:t>
      </w:r>
      <w:r w:rsidRPr="00C9040A">
        <w:rPr>
          <w:rtl/>
          <w:lang w:bidi="fa-IR"/>
        </w:rPr>
        <w:t xml:space="preserve">بَابٌ فِي أَنَّ التَّوَاخِيَ لَمْ يَقَعْ عَلَى الدِّينِ وَإِنَّمَا هُوَ التَّعَارُفُ </w:t>
      </w:r>
      <w:r w:rsidRPr="005B567D">
        <w:rPr>
          <w:rStyle w:val="libFootnotenumChar"/>
          <w:rtl/>
        </w:rPr>
        <w:t>(13)</w:t>
      </w:r>
      <w:r w:rsidRPr="00C9040A">
        <w:rPr>
          <w:rtl/>
          <w:lang w:bidi="fa-IR"/>
        </w:rPr>
        <w:t xml:space="preserve"> ‌</w:t>
      </w:r>
      <w:bookmarkEnd w:id="232"/>
      <w:bookmarkEnd w:id="233"/>
      <w:bookmarkEnd w:id="234"/>
    </w:p>
    <w:p w:rsidR="008A74EB" w:rsidRPr="00C9040A" w:rsidRDefault="008A74EB" w:rsidP="008A74EB">
      <w:pPr>
        <w:pStyle w:val="libNormal"/>
        <w:rPr>
          <w:rtl/>
          <w:lang w:bidi="fa-IR"/>
        </w:rPr>
      </w:pPr>
      <w:r w:rsidRPr="00CB44ED">
        <w:rPr>
          <w:rtl/>
        </w:rPr>
        <w:t>2054</w:t>
      </w:r>
      <w:r w:rsidRPr="00261CB0">
        <w:rPr>
          <w:rStyle w:val="libBold2Char"/>
          <w:rtl/>
        </w:rPr>
        <w:t xml:space="preserve"> / 1.</w:t>
      </w:r>
      <w:r w:rsidRPr="00C9040A">
        <w:rPr>
          <w:rtl/>
          <w:lang w:bidi="fa-IR"/>
        </w:rPr>
        <w:t xml:space="preserve"> مُحَمَّدُ بْنُ يَحْيى ، عَنْ أَحْمَدَ بْنِ مُحَمَّدِ بْنِ عِيسى ، عَنْ مُحَمَّدِ بْنِ سِنَانٍ ، عَنْ حَمْزَةَ بْنِ مُحَمَّدٍ الطَّيَّارِ ، عَنْ أَبِيهِ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لَمْ تَتَوَاخَوْا عَلى هذَا الْأَمْرِ ، وَ</w:t>
      </w:r>
      <w:r>
        <w:rPr>
          <w:rFonts w:hint="cs"/>
          <w:rtl/>
          <w:lang w:bidi="fa-IR"/>
        </w:rPr>
        <w:t xml:space="preserve"> </w:t>
      </w:r>
      <w:r w:rsidRPr="005B567D">
        <w:rPr>
          <w:rStyle w:val="libFootnotenumChar"/>
          <w:rtl/>
        </w:rPr>
        <w:t>(14)</w:t>
      </w:r>
      <w:r w:rsidRPr="00C9040A">
        <w:rPr>
          <w:rtl/>
          <w:lang w:bidi="fa-IR"/>
        </w:rPr>
        <w:t xml:space="preserve"> إِنَّمَا </w:t>
      </w:r>
      <w:r w:rsidRPr="005B567D">
        <w:rPr>
          <w:rStyle w:val="libFootnotenumChar"/>
          <w:rtl/>
        </w:rPr>
        <w:t>(15)</w:t>
      </w:r>
      <w:r w:rsidRPr="00C9040A">
        <w:rPr>
          <w:rtl/>
          <w:lang w:bidi="fa-IR"/>
        </w:rPr>
        <w:t xml:space="preserve"> تَعَارَفْتُمْ‌</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436405" w:rsidTr="00436405">
        <w:tc>
          <w:tcPr>
            <w:tcW w:w="4006" w:type="dxa"/>
          </w:tcPr>
          <w:p w:rsidR="00436405" w:rsidRDefault="00436405" w:rsidP="004A4E41">
            <w:pPr>
              <w:pStyle w:val="libFootnote0"/>
              <w:rPr>
                <w:rtl/>
              </w:rPr>
            </w:pPr>
            <w:r>
              <w:rPr>
                <w:rtl/>
              </w:rPr>
              <w:t xml:space="preserve">(1). </w:t>
            </w:r>
            <w:r w:rsidRPr="00C9040A">
              <w:rPr>
                <w:rtl/>
              </w:rPr>
              <w:t>في « ب ، ص ، بر » : « وأظهره »</w:t>
            </w:r>
            <w:r>
              <w:rPr>
                <w:rtl/>
              </w:rPr>
              <w:t>.</w:t>
            </w:r>
          </w:p>
        </w:tc>
        <w:tc>
          <w:tcPr>
            <w:tcW w:w="4006" w:type="dxa"/>
          </w:tcPr>
          <w:p w:rsidR="00436405" w:rsidRDefault="00436405" w:rsidP="004A4E41">
            <w:pPr>
              <w:pStyle w:val="libFootnote0"/>
              <w:rPr>
                <w:rtl/>
              </w:rPr>
            </w:pPr>
            <w:r>
              <w:rPr>
                <w:rtl/>
              </w:rPr>
              <w:t xml:space="preserve">(2). </w:t>
            </w:r>
            <w:r w:rsidRPr="00C9040A">
              <w:rPr>
                <w:rtl/>
              </w:rPr>
              <w:t>في « ص » : « فكان »</w:t>
            </w:r>
            <w:r>
              <w:rPr>
                <w:rtl/>
              </w:rPr>
              <w:t>.</w:t>
            </w:r>
          </w:p>
        </w:tc>
      </w:tr>
      <w:tr w:rsidR="00436405" w:rsidTr="00436405">
        <w:tc>
          <w:tcPr>
            <w:tcW w:w="4006" w:type="dxa"/>
          </w:tcPr>
          <w:p w:rsidR="00436405" w:rsidRDefault="00436405" w:rsidP="004A4E41">
            <w:pPr>
              <w:pStyle w:val="libFootnote0"/>
              <w:rPr>
                <w:rtl/>
              </w:rPr>
            </w:pPr>
            <w:r>
              <w:rPr>
                <w:rtl/>
              </w:rPr>
              <w:t>(3).</w:t>
            </w:r>
            <w:r w:rsidRPr="00C9040A">
              <w:rPr>
                <w:rtl/>
              </w:rPr>
              <w:t xml:space="preserve"> في « ض » : « كما »</w:t>
            </w:r>
            <w:r>
              <w:rPr>
                <w:rtl/>
              </w:rPr>
              <w:t>.</w:t>
            </w:r>
          </w:p>
        </w:tc>
        <w:tc>
          <w:tcPr>
            <w:tcW w:w="4006" w:type="dxa"/>
          </w:tcPr>
          <w:p w:rsidR="00436405" w:rsidRDefault="00436405" w:rsidP="004A4E41">
            <w:pPr>
              <w:pStyle w:val="libFootnote0"/>
              <w:rPr>
                <w:rtl/>
              </w:rPr>
            </w:pPr>
            <w:r>
              <w:rPr>
                <w:rtl/>
              </w:rPr>
              <w:t>(4).</w:t>
            </w:r>
            <w:r w:rsidRPr="00C9040A">
              <w:rPr>
                <w:rtl/>
              </w:rPr>
              <w:t xml:space="preserve"> في « ص ، ف » : « ناقصاً » بالصاد المهملة.</w:t>
            </w:r>
          </w:p>
        </w:tc>
      </w:tr>
      <w:tr w:rsidR="00436405" w:rsidTr="00436405">
        <w:tc>
          <w:tcPr>
            <w:tcW w:w="4006" w:type="dxa"/>
          </w:tcPr>
          <w:p w:rsidR="00436405" w:rsidRDefault="00436405" w:rsidP="004A4E41">
            <w:pPr>
              <w:pStyle w:val="libFootnote0"/>
              <w:rPr>
                <w:rtl/>
              </w:rPr>
            </w:pPr>
            <w:r>
              <w:rPr>
                <w:rtl/>
              </w:rPr>
              <w:t>(5). في «ج ، د ، ز ،ص ،ض ، ف» : «أن يكون</w:t>
            </w:r>
            <w:r w:rsidRPr="00C9040A">
              <w:rPr>
                <w:rtl/>
              </w:rPr>
              <w:t>»</w:t>
            </w:r>
            <w:r>
              <w:rPr>
                <w:rtl/>
              </w:rPr>
              <w:t>.</w:t>
            </w:r>
          </w:p>
        </w:tc>
        <w:tc>
          <w:tcPr>
            <w:tcW w:w="4006" w:type="dxa"/>
          </w:tcPr>
          <w:p w:rsidR="00436405" w:rsidRDefault="00436405" w:rsidP="004A4E41">
            <w:pPr>
              <w:pStyle w:val="libFootnote0"/>
              <w:rPr>
                <w:rtl/>
              </w:rPr>
            </w:pPr>
            <w:r>
              <w:rPr>
                <w:rtl/>
              </w:rPr>
              <w:t xml:space="preserve">(6). </w:t>
            </w:r>
            <w:r w:rsidRPr="00C9040A">
              <w:rPr>
                <w:rtl/>
              </w:rPr>
              <w:t>في الوافي : « لم تقبل »</w:t>
            </w:r>
            <w:r>
              <w:rPr>
                <w:rtl/>
              </w:rPr>
              <w:t>.</w:t>
            </w:r>
          </w:p>
        </w:tc>
      </w:tr>
    </w:tbl>
    <w:p w:rsidR="008A74EB" w:rsidRPr="00C9040A" w:rsidRDefault="006C577F" w:rsidP="004A4E41">
      <w:pPr>
        <w:pStyle w:val="libFootnote0"/>
        <w:rPr>
          <w:rtl/>
          <w:lang w:bidi="fa-IR"/>
        </w:rPr>
      </w:pPr>
      <w:r>
        <w:rPr>
          <w:rtl/>
        </w:rPr>
        <w:t>(7).</w:t>
      </w:r>
      <w:r w:rsidR="008A74EB" w:rsidRPr="00C9040A">
        <w:rPr>
          <w:rtl/>
        </w:rPr>
        <w:t xml:space="preserve"> في « ب ، ج ، ض ، بس » : « لم يستقم »</w:t>
      </w:r>
      <w:r w:rsidR="008A74EB">
        <w:rPr>
          <w:rtl/>
        </w:rPr>
        <w:t>.</w:t>
      </w:r>
    </w:p>
    <w:p w:rsidR="008A74EB" w:rsidRPr="00C9040A" w:rsidRDefault="006C577F" w:rsidP="00436405">
      <w:pPr>
        <w:pStyle w:val="libFootnote0"/>
        <w:rPr>
          <w:rtl/>
          <w:lang w:bidi="fa-IR"/>
        </w:rPr>
      </w:pPr>
      <w:r>
        <w:rPr>
          <w:rtl/>
        </w:rPr>
        <w:t>(8).</w:t>
      </w:r>
      <w:r w:rsidR="008A74EB" w:rsidRPr="00C9040A">
        <w:rPr>
          <w:rtl/>
        </w:rPr>
        <w:t xml:space="preserve"> في « ج ، د ، ز ، ص ، ض ، ف ، بر ، بس ، بف » والوافي </w:t>
      </w:r>
      <w:r w:rsidR="008A74EB">
        <w:rPr>
          <w:rtl/>
        </w:rPr>
        <w:t xml:space="preserve">: </w:t>
      </w:r>
      <w:r w:rsidR="0084262C">
        <w:rPr>
          <w:rtl/>
        </w:rPr>
        <w:t>-</w:t>
      </w:r>
      <w:r w:rsidR="008A74EB" w:rsidRPr="00C9040A">
        <w:rPr>
          <w:rtl/>
        </w:rPr>
        <w:t xml:space="preserve"> « أن يكون »</w:t>
      </w:r>
      <w:r w:rsidR="008A74EB">
        <w:rPr>
          <w:rtl/>
        </w:rPr>
        <w:t>.</w:t>
      </w:r>
      <w:r w:rsidR="008A74EB" w:rsidRPr="00C9040A">
        <w:rPr>
          <w:rtl/>
        </w:rPr>
        <w:t xml:space="preserve"> وفي « ب » والوسائل والبحار كما في‌المتن.</w:t>
      </w:r>
      <w:r w:rsidR="00436405">
        <w:rPr>
          <w:rFonts w:hint="cs"/>
          <w:rtl/>
        </w:rPr>
        <w:t xml:space="preserve">                                          </w:t>
      </w:r>
      <w:r>
        <w:rPr>
          <w:rtl/>
        </w:rPr>
        <w:t>(9).</w:t>
      </w:r>
      <w:r w:rsidR="008A74EB" w:rsidRPr="00C9040A">
        <w:rPr>
          <w:rtl/>
        </w:rPr>
        <w:t xml:space="preserve"> في « ج » : + « به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قال في </w:t>
      </w:r>
      <w:r w:rsidR="008A74EB" w:rsidRPr="00993B55">
        <w:rPr>
          <w:rStyle w:val="libFootnoteBoldChar"/>
          <w:rtl/>
        </w:rPr>
        <w:t>مرآة العقول</w:t>
      </w:r>
      <w:r w:rsidR="008A74EB" w:rsidRPr="00C9040A">
        <w:rPr>
          <w:rtl/>
        </w:rPr>
        <w:t xml:space="preserve"> ، ج 9 ، ص 19 : « ظاهر ، صفة « السوء » ، وجملة « حكمهم » إلخ صفة للقوم ، أو « ظاهر » صفة القوم ؛ لكونه بحسب اللفظ مفرداً ، أي قوم غالبين ، </w:t>
      </w:r>
      <w:r w:rsidR="008A74EB">
        <w:rPr>
          <w:rtl/>
        </w:rPr>
        <w:t>و «</w:t>
      </w:r>
      <w:r w:rsidR="008A74EB" w:rsidRPr="00C9040A">
        <w:rPr>
          <w:rtl/>
        </w:rPr>
        <w:t xml:space="preserve"> حكمهم » إلخ جملة ا</w:t>
      </w:r>
      <w:r w:rsidR="00436405">
        <w:rPr>
          <w:rFonts w:hint="cs"/>
          <w:rtl/>
        </w:rPr>
        <w:t>ُ</w:t>
      </w:r>
      <w:r w:rsidR="008A74EB" w:rsidRPr="00C9040A">
        <w:rPr>
          <w:rtl/>
        </w:rPr>
        <w:t xml:space="preserve">خرى كما مرّ ، أو « حكمهم » فاعل « ظاهر » ، أي قوم سوء كون حكمهم وفعلهم على غير الحقّ ظاهراً ، أو « ظاهر » مرفوع مضاف إلى « حكمهم » ، وهو مبتدأ ، </w:t>
      </w:r>
      <w:r w:rsidR="008A74EB">
        <w:rPr>
          <w:rtl/>
        </w:rPr>
        <w:t>و «</w:t>
      </w:r>
      <w:r w:rsidR="008A74EB" w:rsidRPr="00C9040A">
        <w:rPr>
          <w:rtl/>
        </w:rPr>
        <w:t xml:space="preserve"> على غيره » خبره ، والجملة صفة القوم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في « ص » : « وكلّ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w:t>
      </w:r>
      <w:r w:rsidR="008A74EB" w:rsidRPr="00993B55">
        <w:rPr>
          <w:rStyle w:val="libFootnoteBoldChar"/>
          <w:rtl/>
        </w:rPr>
        <w:t>الوافي</w:t>
      </w:r>
      <w:r w:rsidR="008A74EB" w:rsidRPr="00C9040A">
        <w:rPr>
          <w:rtl/>
        </w:rPr>
        <w:t xml:space="preserve"> ، ج 5 ، ص 567 ، ح 2586 ؛ </w:t>
      </w:r>
      <w:r w:rsidR="008A74EB" w:rsidRPr="00993B55">
        <w:rPr>
          <w:rStyle w:val="libFootnoteBoldChar"/>
          <w:rtl/>
        </w:rPr>
        <w:t>الوسائل</w:t>
      </w:r>
      <w:r w:rsidR="008A74EB" w:rsidRPr="00C9040A">
        <w:rPr>
          <w:rtl/>
        </w:rPr>
        <w:t xml:space="preserve"> ، ج 16 ، ص 216 ، ح 21397 ؛ </w:t>
      </w:r>
      <w:r w:rsidR="008A74EB" w:rsidRPr="00993B55">
        <w:rPr>
          <w:rStyle w:val="libFootnoteBoldChar"/>
          <w:rtl/>
        </w:rPr>
        <w:t>البحار</w:t>
      </w:r>
      <w:r w:rsidR="008A74EB" w:rsidRPr="00C9040A">
        <w:rPr>
          <w:rtl/>
        </w:rPr>
        <w:t xml:space="preserve"> ، ج 72 ، ص 128 ، ح 15.</w:t>
      </w:r>
    </w:p>
    <w:p w:rsidR="008A74EB" w:rsidRPr="00C9040A" w:rsidRDefault="008A74EB" w:rsidP="004A4E41">
      <w:pPr>
        <w:pStyle w:val="libFootnote0"/>
        <w:rPr>
          <w:rtl/>
          <w:lang w:bidi="fa-IR"/>
        </w:rPr>
      </w:pPr>
      <w:r>
        <w:rPr>
          <w:rtl/>
        </w:rPr>
        <w:t>(13)</w:t>
      </w:r>
      <w:r w:rsidRPr="00C9040A">
        <w:rPr>
          <w:rtl/>
        </w:rPr>
        <w:t xml:space="preserve"> في « ض ، بر ، بف » : « إنّما وقع على التعارف »</w:t>
      </w:r>
      <w:r>
        <w:rPr>
          <w:rtl/>
        </w:rPr>
        <w:t>.</w:t>
      </w:r>
      <w:r w:rsidRPr="00C9040A">
        <w:rPr>
          <w:rtl/>
        </w:rPr>
        <w:t xml:space="preserve"> وفي « ف » : « إنّما هو وقع على التعارف »</w:t>
      </w:r>
      <w:r>
        <w:rPr>
          <w:rtl/>
        </w:rPr>
        <w:t>.</w:t>
      </w:r>
    </w:p>
    <w:tbl>
      <w:tblPr>
        <w:tblStyle w:val="TableGrid"/>
        <w:bidiVisual/>
        <w:tblW w:w="0" w:type="auto"/>
        <w:tblLook w:val="04A0" w:firstRow="1" w:lastRow="0" w:firstColumn="1" w:lastColumn="0" w:noHBand="0" w:noVBand="1"/>
      </w:tblPr>
      <w:tblGrid>
        <w:gridCol w:w="4006"/>
        <w:gridCol w:w="4006"/>
      </w:tblGrid>
      <w:tr w:rsidR="007A64D1" w:rsidTr="007A64D1">
        <w:tc>
          <w:tcPr>
            <w:tcW w:w="4006" w:type="dxa"/>
          </w:tcPr>
          <w:p w:rsidR="007A64D1" w:rsidRDefault="007A64D1" w:rsidP="004A4E41">
            <w:pPr>
              <w:pStyle w:val="libFootnote0"/>
              <w:rPr>
                <w:rtl/>
              </w:rPr>
            </w:pPr>
            <w:r>
              <w:rPr>
                <w:rtl/>
              </w:rPr>
              <w:t>(14)</w:t>
            </w:r>
            <w:r w:rsidRPr="00C9040A">
              <w:rPr>
                <w:rtl/>
              </w:rPr>
              <w:t xml:space="preserve"> في « ب ، بس » </w:t>
            </w:r>
            <w:r>
              <w:rPr>
                <w:rtl/>
              </w:rPr>
              <w:t>: -</w:t>
            </w:r>
            <w:r w:rsidRPr="00C9040A">
              <w:rPr>
                <w:rtl/>
              </w:rPr>
              <w:t xml:space="preserve"> « </w:t>
            </w:r>
            <w:r>
              <w:rPr>
                <w:rtl/>
              </w:rPr>
              <w:t>و ».</w:t>
            </w:r>
          </w:p>
        </w:tc>
        <w:tc>
          <w:tcPr>
            <w:tcW w:w="4006" w:type="dxa"/>
          </w:tcPr>
          <w:p w:rsidR="007A64D1" w:rsidRDefault="007A64D1" w:rsidP="004A4E41">
            <w:pPr>
              <w:pStyle w:val="libFootnote0"/>
              <w:rPr>
                <w:rtl/>
              </w:rPr>
            </w:pPr>
            <w:r>
              <w:rPr>
                <w:rtl/>
              </w:rPr>
              <w:t>(15)</w:t>
            </w:r>
            <w:r w:rsidRPr="00C9040A">
              <w:rPr>
                <w:rtl/>
              </w:rPr>
              <w:t xml:space="preserve"> في « ز ، ص ، بس » : « لكن »</w:t>
            </w:r>
            <w:r>
              <w:rPr>
                <w:rtl/>
              </w:rPr>
              <w:t>.</w:t>
            </w:r>
          </w:p>
        </w:tc>
      </w:tr>
    </w:tbl>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عَلَيْهِ </w:t>
      </w:r>
      <w:r w:rsidR="006C577F" w:rsidRPr="006C577F">
        <w:rPr>
          <w:rStyle w:val="libFootnotenumChar"/>
          <w:rtl/>
        </w:rPr>
        <w:t>(1)</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CB44ED">
        <w:rPr>
          <w:rtl/>
        </w:rPr>
        <w:t>2055</w:t>
      </w:r>
      <w:r w:rsidRPr="00261CB0">
        <w:rPr>
          <w:rStyle w:val="libBold2Char"/>
          <w:rtl/>
        </w:rPr>
        <w:t xml:space="preserve"> / 2.</w:t>
      </w:r>
      <w:r w:rsidRPr="00C9040A">
        <w:rPr>
          <w:rtl/>
          <w:lang w:bidi="fa-IR"/>
        </w:rPr>
        <w:t xml:space="preserve"> عَنْهُ ، عَنْ أَحْمَدَ بْنِ مُحَمَّدٍ ، عَنْ عُثْمَانَ بْنِ عِيسى ، عَنِ ابْنِ مُسْكَانَ وَسَمَاعَةَ جَمِيعاً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لَمْ تَتَوَاخَوْا عَلى هذَا الْأَمْرِ ، وَ</w:t>
      </w:r>
      <w:r>
        <w:rPr>
          <w:rFonts w:hint="cs"/>
          <w:rtl/>
          <w:lang w:bidi="fa-IR"/>
        </w:rPr>
        <w:t xml:space="preserve"> </w:t>
      </w:r>
      <w:r w:rsidR="006C577F" w:rsidRPr="006C577F">
        <w:rPr>
          <w:rStyle w:val="libFootnotenumChar"/>
          <w:rtl/>
        </w:rPr>
        <w:t>(3)</w:t>
      </w:r>
      <w:r w:rsidRPr="00C9040A">
        <w:rPr>
          <w:rtl/>
          <w:lang w:bidi="fa-IR"/>
        </w:rPr>
        <w:t xml:space="preserve"> إِنَّمَا تَعَارَفْتُمْ عَلَيْهِ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Heading2Center"/>
        <w:rPr>
          <w:rtl/>
          <w:lang w:bidi="fa-IR"/>
        </w:rPr>
      </w:pPr>
      <w:bookmarkStart w:id="235" w:name="_Toc343795666"/>
      <w:bookmarkStart w:id="236" w:name="_Toc459810790"/>
      <w:bookmarkStart w:id="237" w:name="_Toc35348696"/>
      <w:r w:rsidRPr="00C9040A">
        <w:rPr>
          <w:rtl/>
          <w:lang w:bidi="fa-IR"/>
        </w:rPr>
        <w:t>75</w:t>
      </w:r>
      <w:r>
        <w:rPr>
          <w:rtl/>
          <w:lang w:bidi="fa-IR"/>
        </w:rPr>
        <w:t xml:space="preserve"> </w:t>
      </w:r>
      <w:r w:rsidR="0084262C">
        <w:rPr>
          <w:rtl/>
          <w:lang w:bidi="fa-IR"/>
        </w:rPr>
        <w:t>-</w:t>
      </w:r>
      <w:r>
        <w:rPr>
          <w:rtl/>
          <w:lang w:bidi="fa-IR"/>
        </w:rPr>
        <w:t xml:space="preserve"> </w:t>
      </w:r>
      <w:r w:rsidRPr="00C9040A">
        <w:rPr>
          <w:rtl/>
          <w:lang w:bidi="fa-IR"/>
        </w:rPr>
        <w:t>بَابُ حَقِّ الْمُؤْمِنِ عَلى أَخِيهِ وَأَدَاءِ حَقِّهِ‌</w:t>
      </w:r>
      <w:bookmarkEnd w:id="235"/>
      <w:bookmarkEnd w:id="236"/>
      <w:bookmarkEnd w:id="237"/>
    </w:p>
    <w:p w:rsidR="008A74EB" w:rsidRPr="00C9040A" w:rsidRDefault="008A74EB" w:rsidP="008A74EB">
      <w:pPr>
        <w:pStyle w:val="libNormal"/>
        <w:rPr>
          <w:rtl/>
          <w:lang w:bidi="fa-IR"/>
        </w:rPr>
      </w:pPr>
      <w:r w:rsidRPr="00CB44ED">
        <w:rPr>
          <w:rtl/>
        </w:rPr>
        <w:t>2056</w:t>
      </w:r>
      <w:r w:rsidRPr="00261CB0">
        <w:rPr>
          <w:rStyle w:val="libBold2Char"/>
          <w:rtl/>
        </w:rPr>
        <w:t xml:space="preserve"> / 1.</w:t>
      </w:r>
      <w:r w:rsidRPr="00C9040A">
        <w:rPr>
          <w:rtl/>
          <w:lang w:bidi="fa-IR"/>
        </w:rPr>
        <w:t xml:space="preserve"> مُحَمَّدُ بْنُ يَحْيى ، عَنْ أَحْمَدَ بْنِ مُحَمَّدِ بْنِ عِيسى ، عَنْ عَلِيِّ بْنِ الْحَكَمِ ، عَنْ سَيْفِ بْنِ عَمِيرَةَ ، عَنْ عَمْرِو بْنِ شِمْرٍ ، عَنْ جَابِرٍ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مِنْ حَقِّ الْمُؤْمِنِ عَلى أَخِيهِ الْمُؤْمِنِ أَنْ يُشْبِعَ جَوْعَتَهُ ، وَيُوَارِيَ عَوْرَتَهُ ، وَيُفَرِّجَ عَنْهُ كُرْبَتَهُ ، وَيَقْضِيَ دَيْنَهُ ، فَإِذَا </w:t>
      </w:r>
      <w:r w:rsidR="006C577F" w:rsidRPr="006C577F">
        <w:rPr>
          <w:rStyle w:val="libFootnotenumChar"/>
          <w:rtl/>
        </w:rPr>
        <w:t>(5)</w:t>
      </w:r>
      <w:r w:rsidRPr="00C9040A">
        <w:rPr>
          <w:rtl/>
          <w:lang w:bidi="fa-IR"/>
        </w:rPr>
        <w:t xml:space="preserve"> مَاتَ خَلَفَهُ </w:t>
      </w:r>
      <w:r w:rsidR="006C577F" w:rsidRPr="006C577F">
        <w:rPr>
          <w:rStyle w:val="libFootnotenumChar"/>
          <w:rtl/>
        </w:rPr>
        <w:t>(6)</w:t>
      </w:r>
      <w:r w:rsidR="00380013" w:rsidRPr="00380013">
        <w:rPr>
          <w:rFonts w:hint="cs"/>
          <w:rtl/>
        </w:rPr>
        <w:t xml:space="preserve"> </w:t>
      </w:r>
      <w:r w:rsidRPr="00C9040A">
        <w:rPr>
          <w:rtl/>
          <w:lang w:bidi="fa-IR"/>
        </w:rPr>
        <w:t>فِي أَهْلِهِ وَوُلْدِهِ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CB44ED">
        <w:rPr>
          <w:rtl/>
        </w:rPr>
        <w:t>2057</w:t>
      </w:r>
      <w:r w:rsidRPr="00261CB0">
        <w:rPr>
          <w:rStyle w:val="libBold2Char"/>
          <w:rtl/>
        </w:rPr>
        <w:t xml:space="preserve"> / 2.</w:t>
      </w:r>
      <w:r w:rsidRPr="00C9040A">
        <w:rPr>
          <w:rtl/>
          <w:lang w:bidi="fa-IR"/>
        </w:rPr>
        <w:t xml:space="preserve"> عَنْهُ </w:t>
      </w:r>
      <w:r w:rsidR="006C577F" w:rsidRPr="006C577F">
        <w:rPr>
          <w:rStyle w:val="libFootnotenumChar"/>
          <w:rtl/>
        </w:rPr>
        <w:t>(8)</w:t>
      </w:r>
      <w:r w:rsidRPr="00C9040A">
        <w:rPr>
          <w:rtl/>
          <w:lang w:bidi="fa-IR"/>
        </w:rPr>
        <w:t xml:space="preserve"> ، عَنْ عَلِيِّ بْنِ الْحَكَمِ ، عَنْ عَبْدِ اللهِ بْنِ بُكَيْرٍ الْهَجَرِيِّ ، عَنْ مُعَلَّى بْنِ خُنَيْسٍ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w:t>
      </w:r>
      <w:r w:rsidR="008A74EB" w:rsidRPr="00993B55">
        <w:rPr>
          <w:rStyle w:val="libFootnoteBoldChar"/>
          <w:rtl/>
        </w:rPr>
        <w:t>شرح المازندراني</w:t>
      </w:r>
      <w:r w:rsidR="008A74EB" w:rsidRPr="00C9040A">
        <w:rPr>
          <w:rtl/>
        </w:rPr>
        <w:t xml:space="preserve"> ، ج 8 ، ص 36 : « لعلّ المراد أنّ المؤاخاة على هذا الأمر والا</w:t>
      </w:r>
      <w:r w:rsidR="000B138E">
        <w:rPr>
          <w:rFonts w:hint="cs"/>
          <w:rtl/>
        </w:rPr>
        <w:t>ُ</w:t>
      </w:r>
      <w:r w:rsidR="008A74EB" w:rsidRPr="00C9040A">
        <w:rPr>
          <w:rtl/>
        </w:rPr>
        <w:t>خوّة في الدين كانت ثابتة بينكم في عالم الأرواح ، ولم تقع في هذا اليوم وهذه الدار ، وإنّما الواقع في هذه الدار هو التعارف على هذا الأمر الكاشف عن الا</w:t>
      </w:r>
      <w:r w:rsidR="00B6038B">
        <w:rPr>
          <w:rFonts w:hint="cs"/>
          <w:rtl/>
        </w:rPr>
        <w:t>ُ</w:t>
      </w:r>
      <w:r w:rsidR="008A74EB" w:rsidRPr="00C9040A">
        <w:rPr>
          <w:rtl/>
        </w:rPr>
        <w:t xml:space="preserve">خوّة في ذلك العالم. ويؤيّده قوله </w:t>
      </w:r>
      <w:r w:rsidR="004A4E41" w:rsidRPr="000B138E">
        <w:rPr>
          <w:rStyle w:val="libFootnoteAlaemChar"/>
          <w:rtl/>
        </w:rPr>
        <w:t>صلى‌الله‌عليه‌وآله</w:t>
      </w:r>
      <w:r w:rsidR="008A74EB" w:rsidRPr="00C9040A">
        <w:rPr>
          <w:rtl/>
        </w:rPr>
        <w:t xml:space="preserve"> : « الأرواح جنود مجنّدة ، ما تعارف منها ائتلف ، وما تخالف منها اختلف » قيل : معناه أنّ الأرواح خلقت مجتمعة على قسمين : مؤتلفة ومختلفة ، كالجنود التي يقابل بعضها بعضاً ، ثمّ فرّقت في الأجساد ، فإذا كان الائتلاف والمؤاخاة أوّلاً كان التعارف والتآلف بعد الاستقرار في البدن ، وإذا كان التناكر والتخالف هناك كان التنافر والتناكر هنا »</w:t>
      </w:r>
      <w:r w:rsidR="008A74EB">
        <w:rPr>
          <w:rtl/>
        </w:rPr>
        <w:t>.</w:t>
      </w:r>
      <w:r w:rsidR="008A74EB" w:rsidRPr="00C9040A">
        <w:rPr>
          <w:rtl/>
        </w:rPr>
        <w:t xml:space="preserve"> وذكر في </w:t>
      </w:r>
      <w:r w:rsidR="008A74EB" w:rsidRPr="00993B55">
        <w:rPr>
          <w:rStyle w:val="libFootnoteBoldChar"/>
          <w:rtl/>
        </w:rPr>
        <w:t>الوافي</w:t>
      </w:r>
      <w:r w:rsidR="008A74EB" w:rsidRPr="00C9040A">
        <w:rPr>
          <w:rtl/>
        </w:rPr>
        <w:t xml:space="preserve"> احتمالاً آخر ، ومن أراد التفصيل فليراجع.</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الوافي</w:t>
      </w:r>
      <w:r w:rsidR="008A74EB" w:rsidRPr="00C9040A">
        <w:rPr>
          <w:rtl/>
        </w:rPr>
        <w:t xml:space="preserve"> ، ج 5 ، ص 568 ، ح 2587 ؛ </w:t>
      </w:r>
      <w:r w:rsidR="008A74EB" w:rsidRPr="00993B55">
        <w:rPr>
          <w:rStyle w:val="libFootnoteBoldChar"/>
          <w:rtl/>
        </w:rPr>
        <w:t>البحار</w:t>
      </w:r>
      <w:r w:rsidR="008A74EB" w:rsidRPr="00C9040A">
        <w:rPr>
          <w:rtl/>
        </w:rPr>
        <w:t xml:space="preserve"> ، ج 68 ، ص 204 ، ح 10.</w:t>
      </w:r>
    </w:p>
    <w:tbl>
      <w:tblPr>
        <w:tblStyle w:val="TableGrid"/>
        <w:bidiVisual/>
        <w:tblW w:w="0" w:type="auto"/>
        <w:tblLook w:val="04A0" w:firstRow="1" w:lastRow="0" w:firstColumn="1" w:lastColumn="0" w:noHBand="0" w:noVBand="1"/>
      </w:tblPr>
      <w:tblGrid>
        <w:gridCol w:w="4006"/>
        <w:gridCol w:w="4006"/>
      </w:tblGrid>
      <w:tr w:rsidR="00B6038B" w:rsidTr="00B6038B">
        <w:tc>
          <w:tcPr>
            <w:tcW w:w="4006" w:type="dxa"/>
          </w:tcPr>
          <w:p w:rsidR="00B6038B" w:rsidRDefault="00B6038B" w:rsidP="004A4E41">
            <w:pPr>
              <w:pStyle w:val="libFootnote0"/>
              <w:rPr>
                <w:rtl/>
              </w:rPr>
            </w:pPr>
            <w:r>
              <w:rPr>
                <w:rtl/>
              </w:rPr>
              <w:t>(3).</w:t>
            </w:r>
            <w:r w:rsidRPr="00C9040A">
              <w:rPr>
                <w:rtl/>
              </w:rPr>
              <w:t xml:space="preserve"> في « ج ، ف » </w:t>
            </w:r>
            <w:r>
              <w:rPr>
                <w:rtl/>
              </w:rPr>
              <w:t>: -</w:t>
            </w:r>
            <w:r w:rsidRPr="00C9040A">
              <w:rPr>
                <w:rtl/>
              </w:rPr>
              <w:t xml:space="preserve"> « </w:t>
            </w:r>
            <w:r>
              <w:rPr>
                <w:rtl/>
              </w:rPr>
              <w:t>و ».</w:t>
            </w:r>
          </w:p>
        </w:tc>
        <w:tc>
          <w:tcPr>
            <w:tcW w:w="4006" w:type="dxa"/>
          </w:tcPr>
          <w:p w:rsidR="00B6038B" w:rsidRDefault="00B6038B" w:rsidP="004A4E41">
            <w:pPr>
              <w:pStyle w:val="libFootnote0"/>
              <w:rPr>
                <w:rtl/>
              </w:rPr>
            </w:pPr>
            <w:r>
              <w:rPr>
                <w:rtl/>
              </w:rPr>
              <w:t>(4).</w:t>
            </w:r>
            <w:r w:rsidRPr="00C9040A">
              <w:rPr>
                <w:rtl/>
              </w:rPr>
              <w:t xml:space="preserve"> </w:t>
            </w:r>
            <w:r w:rsidRPr="00993B55">
              <w:rPr>
                <w:rStyle w:val="libFootnoteBoldChar"/>
                <w:rtl/>
              </w:rPr>
              <w:t>الوافي</w:t>
            </w:r>
            <w:r w:rsidRPr="00C9040A">
              <w:rPr>
                <w:rtl/>
              </w:rPr>
              <w:t xml:space="preserve"> ، ج 5 ، ص 568 ، ح 2588.</w:t>
            </w:r>
          </w:p>
        </w:tc>
      </w:tr>
    </w:tbl>
    <w:p w:rsidR="008A74EB" w:rsidRPr="00C9040A" w:rsidRDefault="006C577F" w:rsidP="004A4E41">
      <w:pPr>
        <w:pStyle w:val="libFootnote0"/>
        <w:rPr>
          <w:rtl/>
          <w:lang w:bidi="fa-IR"/>
        </w:rPr>
      </w:pPr>
      <w:r>
        <w:rPr>
          <w:rtl/>
        </w:rPr>
        <w:t>(5).</w:t>
      </w:r>
      <w:r w:rsidR="008A74EB" w:rsidRPr="00C9040A">
        <w:rPr>
          <w:rtl/>
        </w:rPr>
        <w:t xml:space="preserve"> في « ض » : « وإذا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يقال : خلفتُ الرجلَ في أهله : إذا أقمتَ بعده فيهم ، وقمتَ عنه بما كان يفعله. </w:t>
      </w:r>
      <w:r w:rsidR="008A74EB" w:rsidRPr="00993B55">
        <w:rPr>
          <w:rStyle w:val="libFootnoteBoldChar"/>
          <w:rtl/>
        </w:rPr>
        <w:t>النهاية</w:t>
      </w:r>
      <w:r w:rsidR="008A74EB" w:rsidRPr="00C9040A">
        <w:rPr>
          <w:rtl/>
        </w:rPr>
        <w:t xml:space="preserve"> ، ج 2 ، ص 66 ( خلف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الوافي</w:t>
      </w:r>
      <w:r w:rsidR="008A74EB" w:rsidRPr="00C9040A">
        <w:rPr>
          <w:rtl/>
        </w:rPr>
        <w:t xml:space="preserve"> ، ج 5 ، ص 557 ، ح 2569 ؛ </w:t>
      </w:r>
      <w:r w:rsidR="008A74EB" w:rsidRPr="00993B55">
        <w:rPr>
          <w:rStyle w:val="libFootnoteBoldChar"/>
          <w:rtl/>
        </w:rPr>
        <w:t>الوسائل</w:t>
      </w:r>
      <w:r w:rsidR="008A74EB" w:rsidRPr="00C9040A">
        <w:rPr>
          <w:rtl/>
        </w:rPr>
        <w:t xml:space="preserve"> ، ج 12 ، ص 204 ، ح 16095 ؛ </w:t>
      </w:r>
      <w:r w:rsidR="008A74EB" w:rsidRPr="00993B55">
        <w:rPr>
          <w:rStyle w:val="libFootnoteBoldChar"/>
          <w:rtl/>
        </w:rPr>
        <w:t>البحار</w:t>
      </w:r>
      <w:r w:rsidR="008A74EB" w:rsidRPr="00C9040A">
        <w:rPr>
          <w:rtl/>
        </w:rPr>
        <w:t xml:space="preserve"> ، ج 74 ، ص 237 ، ح 39.</w:t>
      </w:r>
    </w:p>
    <w:p w:rsidR="008A74EB" w:rsidRPr="00C9040A" w:rsidRDefault="006C577F" w:rsidP="004A4E41">
      <w:pPr>
        <w:pStyle w:val="libFootnote0"/>
        <w:rPr>
          <w:rtl/>
          <w:lang w:bidi="fa-IR"/>
        </w:rPr>
      </w:pPr>
      <w:r>
        <w:rPr>
          <w:rtl/>
        </w:rPr>
        <w:t>(8).</w:t>
      </w:r>
      <w:r w:rsidR="008A74EB" w:rsidRPr="00C9040A">
        <w:rPr>
          <w:rtl/>
        </w:rPr>
        <w:t xml:space="preserve"> الضمير راجع إلى أحمد بن محمّد بن عيسى المذكور في السند السابق.</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قُلْتُ لَهُ : مَا حَقُّ الْمُسْلِمِ عَلَى الْمُسْلِمِ</w:t>
      </w:r>
      <w:r>
        <w:rPr>
          <w:rtl/>
          <w:lang w:bidi="fa-IR"/>
        </w:rPr>
        <w:t>؟</w:t>
      </w:r>
    </w:p>
    <w:p w:rsidR="008A74EB" w:rsidRPr="00C9040A" w:rsidRDefault="008A74EB" w:rsidP="008A74EB">
      <w:pPr>
        <w:pStyle w:val="libNormal"/>
        <w:rPr>
          <w:rtl/>
          <w:lang w:bidi="fa-IR"/>
        </w:rPr>
      </w:pPr>
      <w:r w:rsidRPr="00C9040A">
        <w:rPr>
          <w:rtl/>
          <w:lang w:bidi="fa-IR"/>
        </w:rPr>
        <w:t xml:space="preserve">قَالَ : « لَهُ سَبْعُ حُقُوقٍ وَاجِبَاتٍ </w:t>
      </w:r>
      <w:r w:rsidR="006C577F" w:rsidRPr="006C577F">
        <w:rPr>
          <w:rStyle w:val="libFootnotenumChar"/>
          <w:rtl/>
        </w:rPr>
        <w:t>(1)</w:t>
      </w:r>
      <w:r w:rsidRPr="00C9040A">
        <w:rPr>
          <w:rtl/>
          <w:lang w:bidi="fa-IR"/>
        </w:rPr>
        <w:t xml:space="preserve"> مَا مِنْهُنَّ </w:t>
      </w:r>
      <w:r w:rsidR="006C577F" w:rsidRPr="006C577F">
        <w:rPr>
          <w:rStyle w:val="libFootnotenumChar"/>
          <w:rtl/>
        </w:rPr>
        <w:t>(2)</w:t>
      </w:r>
      <w:r w:rsidR="00103239">
        <w:rPr>
          <w:rtl/>
          <w:lang w:bidi="fa-IR"/>
        </w:rPr>
        <w:t xml:space="preserve"> حَقٌّ إِل</w:t>
      </w:r>
      <w:r w:rsidR="00103239">
        <w:rPr>
          <w:rFonts w:hint="cs"/>
          <w:rtl/>
          <w:lang w:bidi="fa-IR"/>
        </w:rPr>
        <w:t>َّ</w:t>
      </w:r>
      <w:r w:rsidR="00103239">
        <w:rPr>
          <w:rtl/>
          <w:lang w:bidi="fa-IR"/>
        </w:rPr>
        <w:t>ا</w:t>
      </w:r>
      <w:r w:rsidRPr="00C9040A">
        <w:rPr>
          <w:rtl/>
          <w:lang w:bidi="fa-IR"/>
        </w:rPr>
        <w:t xml:space="preserve"> وَهُوَ عَلَيْهِ وَاجِبٌ ، إِنْ ضَيَّعَ مِنْهَا شَيْئاً </w:t>
      </w:r>
      <w:r w:rsidR="006C577F" w:rsidRPr="006C577F">
        <w:rPr>
          <w:rStyle w:val="libFootnotenumChar"/>
          <w:rtl/>
        </w:rPr>
        <w:t>(3)</w:t>
      </w:r>
      <w:r w:rsidRPr="00C9040A">
        <w:rPr>
          <w:rtl/>
          <w:lang w:bidi="fa-IR"/>
        </w:rPr>
        <w:t xml:space="preserve"> خَرَجَ مِنْ وَلَايَةِ </w:t>
      </w:r>
      <w:r w:rsidR="006C577F" w:rsidRPr="006C577F">
        <w:rPr>
          <w:rStyle w:val="libFootnotenumChar"/>
          <w:rtl/>
        </w:rPr>
        <w:t>(4)</w:t>
      </w:r>
      <w:r w:rsidRPr="00C9040A">
        <w:rPr>
          <w:rtl/>
          <w:lang w:bidi="fa-IR"/>
        </w:rPr>
        <w:t xml:space="preserve"> اللهِ وَطَاعَتِهِ ، وَلَمْ يَكُنْ لِلّهِ فِيهِ مِنْ </w:t>
      </w:r>
      <w:r w:rsidR="006C577F" w:rsidRPr="006C577F">
        <w:rPr>
          <w:rStyle w:val="libFootnotenumChar"/>
          <w:rtl/>
        </w:rPr>
        <w:t>(5)</w:t>
      </w:r>
      <w:r w:rsidRPr="00C9040A">
        <w:rPr>
          <w:rtl/>
          <w:lang w:bidi="fa-IR"/>
        </w:rPr>
        <w:t xml:space="preserve"> نَصِيبٍ »</w:t>
      </w:r>
      <w:r>
        <w:rPr>
          <w:rtl/>
          <w:lang w:bidi="fa-IR"/>
        </w:rPr>
        <w:t>.</w:t>
      </w:r>
    </w:p>
    <w:p w:rsidR="008A74EB" w:rsidRPr="00C9040A" w:rsidRDefault="008A74EB" w:rsidP="008A74EB">
      <w:pPr>
        <w:pStyle w:val="libNormal"/>
        <w:rPr>
          <w:rtl/>
          <w:lang w:bidi="fa-IR"/>
        </w:rPr>
      </w:pPr>
      <w:r w:rsidRPr="00C9040A">
        <w:rPr>
          <w:rtl/>
          <w:lang w:bidi="fa-IR"/>
        </w:rPr>
        <w:t>قُلْتُ لَهُ : جُعِلْتُ فِدَاكَ ، وَمَا هِيَ</w:t>
      </w:r>
      <w:r>
        <w:rPr>
          <w:rtl/>
          <w:lang w:bidi="fa-IR"/>
        </w:rPr>
        <w:t>؟</w:t>
      </w:r>
    </w:p>
    <w:p w:rsidR="008A74EB" w:rsidRPr="00C9040A" w:rsidRDefault="008A74EB" w:rsidP="008A74EB">
      <w:pPr>
        <w:pStyle w:val="libNormal"/>
        <w:rPr>
          <w:rtl/>
          <w:lang w:bidi="fa-IR"/>
        </w:rPr>
      </w:pPr>
      <w:r w:rsidRPr="00C9040A">
        <w:rPr>
          <w:rtl/>
          <w:lang w:bidi="fa-IR"/>
        </w:rPr>
        <w:t>قَالَ : « يَا مُعَلّى ، إِنِّي عَلَيْكَ شَفِيقٌ ، أَخَافُ أَنْ تُضَيِّعَ وَلَا تَحْفَظَ ، وَتَعْلَمَ وَلَا تَعْمَلَ »</w:t>
      </w:r>
      <w:r>
        <w:rPr>
          <w:rtl/>
          <w:lang w:bidi="fa-IR"/>
        </w:rPr>
        <w:t>.</w:t>
      </w:r>
    </w:p>
    <w:p w:rsidR="008A74EB" w:rsidRPr="00C9040A" w:rsidRDefault="008A74EB" w:rsidP="00103239">
      <w:pPr>
        <w:pStyle w:val="libNormal"/>
        <w:rPr>
          <w:rtl/>
          <w:lang w:bidi="fa-IR"/>
        </w:rPr>
      </w:pPr>
      <w:r w:rsidRPr="00C9040A">
        <w:rPr>
          <w:rtl/>
          <w:lang w:bidi="fa-IR"/>
        </w:rPr>
        <w:t xml:space="preserve">قَالَ </w:t>
      </w:r>
      <w:r w:rsidR="006C577F" w:rsidRPr="006C577F">
        <w:rPr>
          <w:rStyle w:val="libFootnotenumChar"/>
          <w:rtl/>
        </w:rPr>
        <w:t>(6)</w:t>
      </w:r>
      <w:r w:rsidR="00103239" w:rsidRPr="00C9040A">
        <w:rPr>
          <w:rtl/>
          <w:lang w:bidi="fa-IR"/>
        </w:rPr>
        <w:t xml:space="preserve"> </w:t>
      </w:r>
      <w:r w:rsidRPr="00C9040A">
        <w:rPr>
          <w:rtl/>
          <w:lang w:bidi="fa-IR"/>
        </w:rPr>
        <w:t xml:space="preserve">: قُلْتُ لَهُ </w:t>
      </w:r>
      <w:r w:rsidR="006C577F" w:rsidRPr="006C577F">
        <w:rPr>
          <w:rStyle w:val="libFootnotenumChar"/>
          <w:rtl/>
        </w:rPr>
        <w:t>(7)</w:t>
      </w:r>
      <w:r w:rsidR="00AD5195">
        <w:rPr>
          <w:rtl/>
          <w:lang w:bidi="fa-IR"/>
        </w:rPr>
        <w:t xml:space="preserve"> : لَاقُوَّةَ إِل</w:t>
      </w:r>
      <w:r w:rsidR="00AD5195">
        <w:rPr>
          <w:rFonts w:hint="cs"/>
          <w:rtl/>
          <w:lang w:bidi="fa-IR"/>
        </w:rPr>
        <w:t>َّ</w:t>
      </w:r>
      <w:r w:rsidR="00AD5195">
        <w:rPr>
          <w:rtl/>
          <w:lang w:bidi="fa-IR"/>
        </w:rPr>
        <w:t>ا</w:t>
      </w:r>
      <w:r w:rsidRPr="00C9040A">
        <w:rPr>
          <w:rtl/>
          <w:lang w:bidi="fa-IR"/>
        </w:rPr>
        <w:t xml:space="preserve"> بِاللهِ.</w:t>
      </w:r>
    </w:p>
    <w:p w:rsidR="008A74EB" w:rsidRPr="00C9040A" w:rsidRDefault="008A74EB" w:rsidP="008A74EB">
      <w:pPr>
        <w:pStyle w:val="libNormal"/>
        <w:rPr>
          <w:rtl/>
          <w:lang w:bidi="fa-IR"/>
        </w:rPr>
      </w:pPr>
      <w:r w:rsidRPr="00C9040A">
        <w:rPr>
          <w:rtl/>
          <w:lang w:bidi="fa-IR"/>
        </w:rPr>
        <w:t>قَالَ : « أَيْسَرُ حَقٍّ مِنْهَا أَنْ تُحِبَّ لَهُ مَا تُحِبُّ لِنَفْسِكَ ، وَتَكْرَهَ لَهُ مَا تَكْرَهُ لِنَفْسِكَ.</w:t>
      </w:r>
    </w:p>
    <w:p w:rsidR="008A74EB" w:rsidRPr="00C9040A" w:rsidRDefault="008A74EB" w:rsidP="008A74EB">
      <w:pPr>
        <w:pStyle w:val="libNormal"/>
        <w:rPr>
          <w:rtl/>
          <w:lang w:bidi="fa-IR"/>
        </w:rPr>
      </w:pPr>
      <w:r w:rsidRPr="00C9040A">
        <w:rPr>
          <w:rtl/>
          <w:lang w:bidi="fa-IR"/>
        </w:rPr>
        <w:t xml:space="preserve">وَالْحَقُّ الثَّانِي : أَنْ تَجْتَنِبَ </w:t>
      </w:r>
      <w:r w:rsidR="006C577F" w:rsidRPr="006C577F">
        <w:rPr>
          <w:rStyle w:val="libFootnotenumChar"/>
          <w:rtl/>
        </w:rPr>
        <w:t>(8)</w:t>
      </w:r>
      <w:r w:rsidRPr="00C9040A">
        <w:rPr>
          <w:rtl/>
          <w:lang w:bidi="fa-IR"/>
        </w:rPr>
        <w:t xml:space="preserve"> سَخَطَهُ ، وَتَتَّبِعَ </w:t>
      </w:r>
      <w:r w:rsidR="006C577F" w:rsidRPr="006C577F">
        <w:rPr>
          <w:rStyle w:val="libFootnotenumChar"/>
          <w:rtl/>
        </w:rPr>
        <w:t>(9)</w:t>
      </w:r>
      <w:r w:rsidRPr="00C9040A">
        <w:rPr>
          <w:rtl/>
          <w:lang w:bidi="fa-IR"/>
        </w:rPr>
        <w:t xml:space="preserve"> مَرْضَاتَهُ ، وَتُطِيعَ أَمْرَهُ.</w:t>
      </w:r>
    </w:p>
    <w:p w:rsidR="008A74EB" w:rsidRPr="00C9040A" w:rsidRDefault="008A74EB" w:rsidP="008A74EB">
      <w:pPr>
        <w:pStyle w:val="libNormal"/>
        <w:rPr>
          <w:rtl/>
          <w:lang w:bidi="fa-IR"/>
        </w:rPr>
      </w:pPr>
      <w:r w:rsidRPr="00C9040A">
        <w:rPr>
          <w:rtl/>
          <w:lang w:bidi="fa-IR"/>
        </w:rPr>
        <w:t xml:space="preserve">وَالْحَقُّ الثَّالِثُ : أَنْ تُعِينَهُ بِنَفْسِكَ وَمَالِكَ </w:t>
      </w:r>
      <w:r w:rsidR="006C577F" w:rsidRPr="006C577F">
        <w:rPr>
          <w:rStyle w:val="libFootnotenumChar"/>
          <w:rtl/>
        </w:rPr>
        <w:t>(10)</w:t>
      </w:r>
      <w:r w:rsidRPr="00C9040A">
        <w:rPr>
          <w:rtl/>
          <w:lang w:bidi="fa-IR"/>
        </w:rPr>
        <w:t xml:space="preserve"> وَلِسَانِكَ وَيَدِكَ وَرِجْلِكَ.</w:t>
      </w:r>
    </w:p>
    <w:p w:rsidR="008A74EB" w:rsidRPr="00C9040A" w:rsidRDefault="008A74EB" w:rsidP="008A74EB">
      <w:pPr>
        <w:pStyle w:val="libNormal"/>
        <w:rPr>
          <w:rtl/>
          <w:lang w:bidi="fa-IR"/>
        </w:rPr>
      </w:pPr>
      <w:r w:rsidRPr="00C9040A">
        <w:rPr>
          <w:rtl/>
          <w:lang w:bidi="fa-IR"/>
        </w:rPr>
        <w:t xml:space="preserve">وَالْحَقُّ الرَّابِعُ : أَنْ تَكُونَ عَيْنَهُ وَدَلِيلَهُ وَمِرْآتَهُ </w:t>
      </w:r>
      <w:r w:rsidR="006C577F" w:rsidRPr="006C577F">
        <w:rPr>
          <w:rStyle w:val="libFootnotenumChar"/>
          <w:rtl/>
        </w:rPr>
        <w:t>(11)</w:t>
      </w:r>
      <w:r w:rsidR="00956259" w:rsidRPr="00956259">
        <w:rPr>
          <w:rFonts w:hint="cs"/>
          <w:rtl/>
        </w:rPr>
        <w:t>.</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w:t>
      </w:r>
      <w:r w:rsidR="008A74EB" w:rsidRPr="00993B55">
        <w:rPr>
          <w:rStyle w:val="libFootnoteBoldChar"/>
          <w:rtl/>
        </w:rPr>
        <w:t>مرآة العقول</w:t>
      </w:r>
      <w:r w:rsidR="008A74EB" w:rsidRPr="00C9040A">
        <w:rPr>
          <w:rtl/>
        </w:rPr>
        <w:t xml:space="preserve"> : « واجبات ، بالجرّ صفة للحقوق. وقيل : أو بالرفع خبر للسبع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المصادقة : « منها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ز ، ص » وحاشية « بر ، بس ، بف » : « حقّاً »</w:t>
      </w:r>
      <w:r w:rsidR="008A74EB">
        <w:rPr>
          <w:rtl/>
        </w:rPr>
        <w:t>.</w:t>
      </w:r>
    </w:p>
    <w:p w:rsidR="008A74EB" w:rsidRPr="00C9040A" w:rsidRDefault="006C577F" w:rsidP="00D11ED0">
      <w:pPr>
        <w:pStyle w:val="libFootnote0"/>
        <w:rPr>
          <w:rtl/>
          <w:lang w:bidi="fa-IR"/>
        </w:rPr>
      </w:pPr>
      <w:r>
        <w:rPr>
          <w:rtl/>
        </w:rPr>
        <w:t>(4).</w:t>
      </w:r>
      <w:r w:rsidR="008A74EB" w:rsidRPr="00C9040A">
        <w:rPr>
          <w:rtl/>
        </w:rPr>
        <w:t xml:space="preserve"> في المصادقة : « ولاء »</w:t>
      </w:r>
      <w:r w:rsidR="008A74EB">
        <w:rPr>
          <w:rtl/>
        </w:rPr>
        <w:t>.</w:t>
      </w:r>
      <w:r w:rsidR="008A74EB" w:rsidRPr="00C9040A">
        <w:rPr>
          <w:rtl/>
        </w:rPr>
        <w:t xml:space="preserve"> </w:t>
      </w:r>
      <w:r w:rsidR="008A74EB">
        <w:rPr>
          <w:rtl/>
        </w:rPr>
        <w:t>و «</w:t>
      </w:r>
      <w:r w:rsidR="008A74EB" w:rsidRPr="00C9040A">
        <w:rPr>
          <w:rtl/>
        </w:rPr>
        <w:t xml:space="preserve"> الوَلْي » : القرب والدنوّ ، </w:t>
      </w:r>
      <w:r w:rsidR="008A74EB">
        <w:rPr>
          <w:rtl/>
        </w:rPr>
        <w:t>و «</w:t>
      </w:r>
      <w:r w:rsidR="008A74EB" w:rsidRPr="00C9040A">
        <w:rPr>
          <w:rtl/>
        </w:rPr>
        <w:t xml:space="preserve"> الوليّ » : الاسم منه ، والمحبّ والصديق والنصير. وولي الشي‌ءَ وعليه وِلايةً ووَلايةً. </w:t>
      </w:r>
      <w:r w:rsidR="008A74EB" w:rsidRPr="00993B55">
        <w:rPr>
          <w:rStyle w:val="libFootnoteBoldChar"/>
          <w:rtl/>
        </w:rPr>
        <w:t>القاموس المحيط</w:t>
      </w:r>
      <w:r w:rsidR="008A74EB" w:rsidRPr="00C9040A">
        <w:rPr>
          <w:rtl/>
        </w:rPr>
        <w:t xml:space="preserve"> ، ج 2 ، ص 1760 ( ولى )</w:t>
      </w:r>
      <w:r w:rsidR="008A74EB">
        <w:rPr>
          <w:rtl/>
        </w:rPr>
        <w:t>.</w:t>
      </w:r>
      <w:r w:rsidR="008A74EB" w:rsidRPr="00C9040A">
        <w:rPr>
          <w:rtl/>
        </w:rPr>
        <w:t xml:space="preserve"> </w:t>
      </w:r>
      <w:r w:rsidR="008A74EB">
        <w:rPr>
          <w:rtl/>
        </w:rPr>
        <w:t>و «</w:t>
      </w:r>
      <w:r w:rsidR="008A74EB" w:rsidRPr="00C9040A">
        <w:rPr>
          <w:rtl/>
        </w:rPr>
        <w:t xml:space="preserve"> خرج من ولاية الله » ، أي خرج عن محبّته سبحانه أو نصرته. ذكره في </w:t>
      </w:r>
      <w:r w:rsidR="008A74EB" w:rsidRPr="00993B55">
        <w:rPr>
          <w:rStyle w:val="libFootnoteBoldChar"/>
          <w:rtl/>
        </w:rPr>
        <w:t>مرآة العقول</w:t>
      </w:r>
      <w:r w:rsidR="008A74EB" w:rsidRPr="00C9040A">
        <w:rPr>
          <w:rtl/>
        </w:rPr>
        <w:t xml:space="preserve"> ، ثمّ قال : « وحمل جميع على المبالغة وأنّه ليس من خلّص أولياء الله » وهو إجمال جواب عن إشكال وارد هاهنا ، ذكره المازندراني في شرحه ، وهو أنّ المؤ</w:t>
      </w:r>
      <w:r w:rsidR="009A09AA">
        <w:rPr>
          <w:rtl/>
        </w:rPr>
        <w:t>من لا يخرج عن حقيقة الإيمان إل</w:t>
      </w:r>
      <w:r w:rsidR="00C0704C">
        <w:rPr>
          <w:rFonts w:hint="cs"/>
          <w:rtl/>
        </w:rPr>
        <w:t>ّ</w:t>
      </w:r>
      <w:r w:rsidR="009A09AA">
        <w:rPr>
          <w:rtl/>
        </w:rPr>
        <w:t>ا</w:t>
      </w:r>
      <w:r w:rsidR="008A74EB" w:rsidRPr="00C9040A">
        <w:rPr>
          <w:rtl/>
        </w:rPr>
        <w:t>بالكفر ، لا بترك الأخلاق المذكورة ؛ فإنّها ليست بواجبة بل هي من الآداب المرغّبة فيها ، فلابدّ من تأويل ظاهر الكلام وصرفه عن ظاهره ، فنقول : لعلّ المراد بالوجوب التأكّد والمبالغة ، أو وجوب الإقرار بأنّ تلك الا</w:t>
      </w:r>
      <w:r w:rsidR="00D11ED0">
        <w:rPr>
          <w:rFonts w:hint="cs"/>
          <w:rtl/>
        </w:rPr>
        <w:t>ُ</w:t>
      </w:r>
      <w:r w:rsidR="008A74EB" w:rsidRPr="00C9040A">
        <w:rPr>
          <w:rtl/>
        </w:rPr>
        <w:t>مور من حقوق الإخوة ، وبالولاية الولاية الكاملة برعاية تلك الحقوق ، وبالنصيب النصيب الكامل الذي في خلّص أولياء الله تعالى.</w:t>
      </w:r>
      <w:r w:rsidR="00D11ED0">
        <w:rPr>
          <w:rFonts w:hint="cs"/>
          <w:rtl/>
        </w:rPr>
        <w:t xml:space="preserve">                                                       </w:t>
      </w:r>
      <w:r>
        <w:rPr>
          <w:rtl/>
        </w:rPr>
        <w:t>(5).</w:t>
      </w:r>
      <w:r w:rsidR="008A74EB" w:rsidRPr="00C9040A">
        <w:rPr>
          <w:rtl/>
        </w:rPr>
        <w:t xml:space="preserve"> في الوسائل ، ح 16097 والمصادقة </w:t>
      </w:r>
      <w:r w:rsidR="008A74EB">
        <w:rPr>
          <w:rtl/>
        </w:rPr>
        <w:t xml:space="preserve">: </w:t>
      </w:r>
      <w:r w:rsidR="0084262C">
        <w:rPr>
          <w:rtl/>
        </w:rPr>
        <w:t>-</w:t>
      </w:r>
      <w:r w:rsidR="008A74EB" w:rsidRPr="00C9040A">
        <w:rPr>
          <w:rtl/>
        </w:rPr>
        <w:t xml:space="preserve"> « من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الوسائل ، ح 16097 والمصادقة </w:t>
      </w:r>
      <w:r w:rsidR="008A74EB">
        <w:rPr>
          <w:rtl/>
        </w:rPr>
        <w:t xml:space="preserve">: </w:t>
      </w:r>
      <w:r w:rsidR="0084262C">
        <w:rPr>
          <w:rtl/>
        </w:rPr>
        <w:t>-</w:t>
      </w:r>
      <w:r w:rsidR="008A74EB" w:rsidRPr="00C9040A">
        <w:rPr>
          <w:rtl/>
        </w:rPr>
        <w:t xml:space="preserve"> « قال »</w:t>
      </w:r>
      <w:r w:rsidR="008A74EB">
        <w:rPr>
          <w:rtl/>
        </w:rPr>
        <w:t>.</w:t>
      </w:r>
    </w:p>
    <w:tbl>
      <w:tblPr>
        <w:tblStyle w:val="TableGrid"/>
        <w:bidiVisual/>
        <w:tblW w:w="0" w:type="auto"/>
        <w:tblLook w:val="04A0" w:firstRow="1" w:lastRow="0" w:firstColumn="1" w:lastColumn="0" w:noHBand="0" w:noVBand="1"/>
      </w:tblPr>
      <w:tblGrid>
        <w:gridCol w:w="4006"/>
        <w:gridCol w:w="4006"/>
      </w:tblGrid>
      <w:tr w:rsidR="00895036" w:rsidTr="00895036">
        <w:tc>
          <w:tcPr>
            <w:tcW w:w="4006" w:type="dxa"/>
          </w:tcPr>
          <w:p w:rsidR="00895036" w:rsidRDefault="00895036" w:rsidP="004A4E41">
            <w:pPr>
              <w:pStyle w:val="libFootnote0"/>
              <w:rPr>
                <w:rtl/>
              </w:rPr>
            </w:pPr>
            <w:r>
              <w:rPr>
                <w:rtl/>
              </w:rPr>
              <w:t>(7).</w:t>
            </w:r>
            <w:r w:rsidRPr="00C9040A">
              <w:rPr>
                <w:rtl/>
              </w:rPr>
              <w:t xml:space="preserve"> في الوسائل ، ح 16097 </w:t>
            </w:r>
            <w:r>
              <w:rPr>
                <w:rtl/>
              </w:rPr>
              <w:t>: -</w:t>
            </w:r>
            <w:r w:rsidRPr="00C9040A">
              <w:rPr>
                <w:rtl/>
              </w:rPr>
              <w:t xml:space="preserve"> « له »</w:t>
            </w:r>
            <w:r>
              <w:rPr>
                <w:rtl/>
              </w:rPr>
              <w:t>.</w:t>
            </w:r>
          </w:p>
        </w:tc>
        <w:tc>
          <w:tcPr>
            <w:tcW w:w="4006" w:type="dxa"/>
          </w:tcPr>
          <w:p w:rsidR="00895036" w:rsidRDefault="00895036" w:rsidP="004A4E41">
            <w:pPr>
              <w:pStyle w:val="libFootnote0"/>
              <w:rPr>
                <w:rtl/>
              </w:rPr>
            </w:pPr>
            <w:r>
              <w:rPr>
                <w:rtl/>
              </w:rPr>
              <w:t>(8).</w:t>
            </w:r>
            <w:r w:rsidRPr="00C9040A">
              <w:rPr>
                <w:rtl/>
              </w:rPr>
              <w:t xml:space="preserve"> في « ض » : « تجنب »</w:t>
            </w:r>
            <w:r>
              <w:rPr>
                <w:rtl/>
              </w:rPr>
              <w:t>.</w:t>
            </w:r>
          </w:p>
        </w:tc>
      </w:tr>
      <w:tr w:rsidR="00895036" w:rsidTr="00895036">
        <w:tc>
          <w:tcPr>
            <w:tcW w:w="4006" w:type="dxa"/>
          </w:tcPr>
          <w:p w:rsidR="00895036" w:rsidRDefault="00895036" w:rsidP="004A4E41">
            <w:pPr>
              <w:pStyle w:val="libFootnote0"/>
              <w:rPr>
                <w:rtl/>
              </w:rPr>
            </w:pPr>
            <w:r>
              <w:rPr>
                <w:rtl/>
              </w:rPr>
              <w:t>(9).</w:t>
            </w:r>
            <w:r w:rsidRPr="00C9040A">
              <w:rPr>
                <w:rtl/>
              </w:rPr>
              <w:t xml:space="preserve"> في حاشية « ب » : + « تحصيل »</w:t>
            </w:r>
            <w:r>
              <w:rPr>
                <w:rtl/>
              </w:rPr>
              <w:t>.</w:t>
            </w:r>
          </w:p>
        </w:tc>
        <w:tc>
          <w:tcPr>
            <w:tcW w:w="4006" w:type="dxa"/>
          </w:tcPr>
          <w:p w:rsidR="00895036" w:rsidRDefault="00895036" w:rsidP="004A4E41">
            <w:pPr>
              <w:pStyle w:val="libFootnote0"/>
              <w:rPr>
                <w:rtl/>
              </w:rPr>
            </w:pPr>
            <w:r>
              <w:rPr>
                <w:rtl/>
              </w:rPr>
              <w:t>(10).</w:t>
            </w:r>
            <w:r w:rsidRPr="00C9040A">
              <w:rPr>
                <w:rtl/>
              </w:rPr>
              <w:t xml:space="preserve"> في مرآة العقول : « وبمالك »</w:t>
            </w:r>
            <w:r>
              <w:rPr>
                <w:rtl/>
              </w:rPr>
              <w:t>.</w:t>
            </w:r>
          </w:p>
        </w:tc>
      </w:tr>
    </w:tbl>
    <w:p w:rsidR="008A74EB" w:rsidRPr="00C9040A" w:rsidRDefault="006C577F" w:rsidP="004A4E41">
      <w:pPr>
        <w:pStyle w:val="libFootnote0"/>
        <w:rPr>
          <w:rtl/>
          <w:lang w:bidi="fa-IR"/>
        </w:rPr>
      </w:pPr>
      <w:r>
        <w:rPr>
          <w:rtl/>
        </w:rPr>
        <w:t>(11).</w:t>
      </w:r>
      <w:r w:rsidR="008A74EB" w:rsidRPr="00C9040A">
        <w:rPr>
          <w:rtl/>
        </w:rPr>
        <w:t xml:space="preserve"> في المصادقة : + « وقميصه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وَالْحَقُّ الْخَامِسُ : أَنْ </w:t>
      </w:r>
      <w:r w:rsidR="006C577F" w:rsidRPr="006C577F">
        <w:rPr>
          <w:rStyle w:val="libFootnotenumChar"/>
          <w:rtl/>
        </w:rPr>
        <w:t>(1)</w:t>
      </w:r>
      <w:r w:rsidRPr="00C9040A">
        <w:rPr>
          <w:rtl/>
          <w:lang w:bidi="fa-IR"/>
        </w:rPr>
        <w:t xml:space="preserve"> لَاتَشْبَعَ وَيَجُوعُ ، وَلَا </w:t>
      </w:r>
      <w:r w:rsidR="006C577F" w:rsidRPr="006C577F">
        <w:rPr>
          <w:rStyle w:val="libFootnotenumChar"/>
          <w:rtl/>
        </w:rPr>
        <w:t>(2)</w:t>
      </w:r>
      <w:r w:rsidRPr="00C9040A">
        <w:rPr>
          <w:rtl/>
          <w:lang w:bidi="fa-IR"/>
        </w:rPr>
        <w:t xml:space="preserve"> تَرْوى وَيَظْمَأُ ، وَلَا تَلْبَسَ وَيَعْرى.</w:t>
      </w:r>
    </w:p>
    <w:p w:rsidR="008A74EB" w:rsidRPr="00C9040A" w:rsidRDefault="008A74EB" w:rsidP="00944FF2">
      <w:pPr>
        <w:pStyle w:val="libNormal"/>
        <w:rPr>
          <w:rtl/>
          <w:lang w:bidi="fa-IR"/>
        </w:rPr>
      </w:pPr>
      <w:r w:rsidRPr="00C9040A">
        <w:rPr>
          <w:rtl/>
          <w:lang w:bidi="fa-IR"/>
        </w:rPr>
        <w:t xml:space="preserve">وَالْحَقُّ السَّادِسُ : أَنْ </w:t>
      </w:r>
      <w:r w:rsidR="006C577F" w:rsidRPr="006C577F">
        <w:rPr>
          <w:rStyle w:val="libFootnotenumChar"/>
          <w:rtl/>
        </w:rPr>
        <w:t>(3)</w:t>
      </w:r>
      <w:r w:rsidRPr="00C9040A">
        <w:rPr>
          <w:rtl/>
          <w:lang w:bidi="fa-IR"/>
        </w:rPr>
        <w:t xml:space="preserve"> يَكُونَ </w:t>
      </w:r>
      <w:r w:rsidR="006C577F" w:rsidRPr="006C577F">
        <w:rPr>
          <w:rStyle w:val="libFootnotenumChar"/>
          <w:rtl/>
        </w:rPr>
        <w:t>(4)</w:t>
      </w:r>
      <w:r w:rsidRPr="00C9040A">
        <w:rPr>
          <w:rtl/>
          <w:lang w:bidi="fa-IR"/>
        </w:rPr>
        <w:t xml:space="preserve"> لَكَ خَادِمٌ وَلَيْسَ لِأَخِيكَ خَادِمٌ ، فَوَاجِبٌ أَنْ تَبْعَثَ خَادِمَكَ ، فَيَغْسِلَ </w:t>
      </w:r>
      <w:r w:rsidR="006C577F" w:rsidRPr="006C577F">
        <w:rPr>
          <w:rStyle w:val="libFootnotenumChar"/>
          <w:rtl/>
        </w:rPr>
        <w:t>(5)</w:t>
      </w:r>
      <w:r w:rsidRPr="00C9040A">
        <w:rPr>
          <w:rtl/>
          <w:lang w:bidi="fa-IR"/>
        </w:rPr>
        <w:t xml:space="preserve"> ثِيَابَهُ ، وَيَصْنَعَ </w:t>
      </w:r>
      <w:r w:rsidR="006C577F" w:rsidRPr="006C577F">
        <w:rPr>
          <w:rStyle w:val="libFootnotenumChar"/>
          <w:rtl/>
        </w:rPr>
        <w:t>(6)</w:t>
      </w:r>
      <w:r w:rsidR="00944FF2" w:rsidRPr="00C9040A">
        <w:rPr>
          <w:rtl/>
          <w:lang w:bidi="fa-IR"/>
        </w:rPr>
        <w:t xml:space="preserve"> </w:t>
      </w:r>
      <w:r w:rsidRPr="00C9040A">
        <w:rPr>
          <w:rtl/>
          <w:lang w:bidi="fa-IR"/>
        </w:rPr>
        <w:t xml:space="preserve">طَعَامَهُ ، وَيُمَهِّدَ </w:t>
      </w:r>
      <w:r w:rsidR="006C577F" w:rsidRPr="006C577F">
        <w:rPr>
          <w:rStyle w:val="libFootnotenumChar"/>
          <w:rtl/>
        </w:rPr>
        <w:t>(7)</w:t>
      </w:r>
      <w:r w:rsidRPr="00C9040A">
        <w:rPr>
          <w:rtl/>
          <w:lang w:bidi="fa-IR"/>
        </w:rPr>
        <w:t xml:space="preserve"> فِرَاشَهُ.</w:t>
      </w:r>
    </w:p>
    <w:p w:rsidR="008A74EB" w:rsidRPr="00C9040A" w:rsidRDefault="008A74EB" w:rsidP="008A74EB">
      <w:pPr>
        <w:pStyle w:val="libNormal"/>
        <w:rPr>
          <w:rtl/>
          <w:lang w:bidi="fa-IR"/>
        </w:rPr>
      </w:pPr>
      <w:r w:rsidRPr="00C9040A">
        <w:rPr>
          <w:rtl/>
          <w:lang w:bidi="fa-IR"/>
        </w:rPr>
        <w:t xml:space="preserve">وَالْحَقُّ السَّابِعُ : أَنْ تُبِرَّ </w:t>
      </w:r>
      <w:r w:rsidR="006C577F" w:rsidRPr="006C577F">
        <w:rPr>
          <w:rStyle w:val="libFootnotenumChar"/>
          <w:rtl/>
        </w:rPr>
        <w:t>(8)</w:t>
      </w:r>
      <w:r w:rsidRPr="00C9040A">
        <w:rPr>
          <w:rtl/>
          <w:lang w:bidi="fa-IR"/>
        </w:rPr>
        <w:t xml:space="preserve"> قَسَمَهُ </w:t>
      </w:r>
      <w:r w:rsidR="006C577F" w:rsidRPr="006C577F">
        <w:rPr>
          <w:rStyle w:val="libFootnotenumChar"/>
          <w:rtl/>
        </w:rPr>
        <w:t>(9)</w:t>
      </w:r>
      <w:r w:rsidRPr="00C9040A">
        <w:rPr>
          <w:rtl/>
          <w:lang w:bidi="fa-IR"/>
        </w:rPr>
        <w:t xml:space="preserve"> ، وَتُجِيبَ دَعْوَتَهُ ، وَتَعُودَ مَرِيضَهُ </w:t>
      </w:r>
      <w:r w:rsidR="006C577F" w:rsidRPr="006C577F">
        <w:rPr>
          <w:rStyle w:val="libFootnotenumChar"/>
          <w:rtl/>
        </w:rPr>
        <w:t>(10)</w:t>
      </w:r>
      <w:r w:rsidRPr="00C9040A">
        <w:rPr>
          <w:rtl/>
          <w:lang w:bidi="fa-IR"/>
        </w:rPr>
        <w:t xml:space="preserve"> ، وَتَشْهَدَ جَنَازَتَهُ ، وَإِذَا عَلِمْتَ أَنَّ لَهُ حَاجَةً ، تُبَادِرُهُ إِلى قَضَائِهَا ، وَلَا تُلْجِئُهُ </w:t>
      </w:r>
      <w:r w:rsidR="006C577F" w:rsidRPr="006C577F">
        <w:rPr>
          <w:rStyle w:val="libFootnotenumChar"/>
          <w:rtl/>
        </w:rPr>
        <w:t>(11)</w:t>
      </w:r>
      <w:r w:rsidRPr="00C9040A">
        <w:rPr>
          <w:rtl/>
          <w:lang w:bidi="fa-IR"/>
        </w:rPr>
        <w:t xml:space="preserve"> أَنْ يَسْأَلَكَهَا ، وَلكِنْ </w:t>
      </w:r>
      <w:r w:rsidR="006C577F" w:rsidRPr="006C577F">
        <w:rPr>
          <w:rStyle w:val="libFootnotenumChar"/>
          <w:rtl/>
        </w:rPr>
        <w:t>(12)</w:t>
      </w:r>
      <w:r w:rsidRPr="00C9040A">
        <w:rPr>
          <w:rtl/>
          <w:lang w:bidi="fa-IR"/>
        </w:rPr>
        <w:t xml:space="preserve"> تُبَادِرُهُ </w:t>
      </w:r>
      <w:r w:rsidRPr="005B567D">
        <w:rPr>
          <w:rStyle w:val="libFootnotenumChar"/>
          <w:rtl/>
        </w:rPr>
        <w:t>(13)</w:t>
      </w:r>
      <w:r w:rsidRPr="00C9040A">
        <w:rPr>
          <w:rtl/>
          <w:lang w:bidi="fa-IR"/>
        </w:rPr>
        <w:t xml:space="preserve"> مُبَادَرَةً ، فَإِذَا فَعَلْتَ ذلِكَ ، وَصَلْتَ وَلَايَتَكَ بِوَلَايَتِهِ ، وَوَلَايَتَهُ بِوَلَايَتِكَ »</w:t>
      </w:r>
      <w:r>
        <w:rPr>
          <w:rtl/>
          <w:lang w:bidi="fa-IR"/>
        </w:rPr>
        <w:t>.</w:t>
      </w:r>
      <w:r w:rsidRPr="00C9040A">
        <w:rPr>
          <w:rtl/>
          <w:lang w:bidi="fa-IR"/>
        </w:rPr>
        <w:t xml:space="preserve"> </w:t>
      </w:r>
      <w:r w:rsidRPr="005B567D">
        <w:rPr>
          <w:rStyle w:val="libFootnotenumChar"/>
          <w:rtl/>
        </w:rPr>
        <w:t>(14)</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ج ، د ، ز ، ص ، ض ، ف ، بر ، بف » والبحار والمصادقة </w:t>
      </w:r>
      <w:r w:rsidR="008A74EB">
        <w:rPr>
          <w:rtl/>
        </w:rPr>
        <w:t xml:space="preserve">: </w:t>
      </w:r>
      <w:r w:rsidR="0084262C">
        <w:rPr>
          <w:rtl/>
        </w:rPr>
        <w:t>-</w:t>
      </w:r>
      <w:r w:rsidR="008A74EB" w:rsidRPr="00C9040A">
        <w:rPr>
          <w:rtl/>
        </w:rPr>
        <w:t xml:space="preserve"> « أن »</w:t>
      </w:r>
      <w:r w:rsidR="008A74EB">
        <w:rPr>
          <w:rtl/>
        </w:rPr>
        <w:t>.</w:t>
      </w:r>
      <w:r w:rsidR="008A74EB" w:rsidRPr="00C9040A">
        <w:rPr>
          <w:rtl/>
        </w:rPr>
        <w:t xml:space="preserve"> وفي « ب ، بس » والوسائل والخصال والأمالي كما في المتن.</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بر » </w:t>
      </w:r>
      <w:r w:rsidR="008A74EB">
        <w:rPr>
          <w:rtl/>
        </w:rPr>
        <w:t xml:space="preserve">: </w:t>
      </w:r>
      <w:r w:rsidR="0084262C">
        <w:rPr>
          <w:rtl/>
        </w:rPr>
        <w:t>-</w:t>
      </w:r>
      <w:r w:rsidR="008A74EB" w:rsidRPr="00C9040A">
        <w:rPr>
          <w:rtl/>
        </w:rPr>
        <w:t xml:space="preserve"> « لا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المصادقة : + « لا تكون لك امرأة ، وليس لأخيك امرأة </w:t>
      </w:r>
      <w:r w:rsidR="008A74EB">
        <w:rPr>
          <w:rtl/>
        </w:rPr>
        <w:t>و ».</w:t>
      </w:r>
    </w:p>
    <w:p w:rsidR="008A74EB" w:rsidRPr="00C9040A" w:rsidRDefault="006C577F" w:rsidP="004A4E41">
      <w:pPr>
        <w:pStyle w:val="libFootnote0"/>
        <w:rPr>
          <w:rtl/>
          <w:lang w:bidi="fa-IR"/>
        </w:rPr>
      </w:pPr>
      <w:r>
        <w:rPr>
          <w:rtl/>
        </w:rPr>
        <w:t>(4).</w:t>
      </w:r>
      <w:r w:rsidR="008A74EB" w:rsidRPr="00C9040A">
        <w:rPr>
          <w:rtl/>
        </w:rPr>
        <w:t xml:space="preserve"> في شرح المازندراني : « تكون »</w:t>
      </w:r>
      <w:r w:rsidR="008A74EB">
        <w:rPr>
          <w:rtl/>
        </w:rPr>
        <w:t>.</w:t>
      </w:r>
    </w:p>
    <w:p w:rsidR="008A74EB" w:rsidRPr="00C9040A" w:rsidRDefault="006C577F" w:rsidP="00944FF2">
      <w:pPr>
        <w:pStyle w:val="libFootnote0"/>
        <w:rPr>
          <w:rtl/>
          <w:lang w:bidi="fa-IR"/>
        </w:rPr>
      </w:pPr>
      <w:r>
        <w:rPr>
          <w:rtl/>
        </w:rPr>
        <w:t>(5).</w:t>
      </w:r>
      <w:r w:rsidR="008A74EB" w:rsidRPr="00C9040A">
        <w:rPr>
          <w:rtl/>
        </w:rPr>
        <w:t xml:space="preserve"> في الوافي والوسائل : « فتغسل »</w:t>
      </w:r>
      <w:r w:rsidR="008A74EB">
        <w:rPr>
          <w:rtl/>
        </w:rPr>
        <w:t>.</w:t>
      </w:r>
      <w:r w:rsidR="008A74EB" w:rsidRPr="00C9040A">
        <w:rPr>
          <w:rtl/>
        </w:rPr>
        <w:t xml:space="preserve"> وفي البحار : « ويغسل »</w:t>
      </w:r>
      <w:r w:rsidR="008A74EB">
        <w:rPr>
          <w:rtl/>
        </w:rPr>
        <w:t>.</w:t>
      </w:r>
      <w:r w:rsidR="008A74EB" w:rsidRPr="00C9040A">
        <w:rPr>
          <w:rtl/>
        </w:rPr>
        <w:t xml:space="preserve"> ويجوز فيه التجريد وعلى بناء التفعيل ، والنسخ أيضاً مختلفة.</w:t>
      </w:r>
      <w:r w:rsidR="00944FF2">
        <w:rPr>
          <w:rFonts w:hint="cs"/>
          <w:rtl/>
        </w:rPr>
        <w:t xml:space="preserve">                                                   </w:t>
      </w:r>
      <w:r>
        <w:rPr>
          <w:rtl/>
        </w:rPr>
        <w:t>(6).</w:t>
      </w:r>
      <w:r w:rsidR="008A74EB">
        <w:rPr>
          <w:rtl/>
        </w:rPr>
        <w:t xml:space="preserve"> </w:t>
      </w:r>
      <w:r w:rsidR="008A74EB" w:rsidRPr="00C9040A">
        <w:rPr>
          <w:rtl/>
        </w:rPr>
        <w:t>في « بس » : « وتصنع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بس » والوافي والوسائل : « وتمهّد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يجوز فيه على بناء المجرّد والإفعال.</w:t>
      </w:r>
    </w:p>
    <w:p w:rsidR="008A74EB" w:rsidRPr="00C9040A" w:rsidRDefault="006C577F" w:rsidP="004A4E41">
      <w:pPr>
        <w:pStyle w:val="libFootnote0"/>
        <w:rPr>
          <w:rtl/>
          <w:lang w:bidi="fa-IR"/>
        </w:rPr>
      </w:pPr>
      <w:r>
        <w:rPr>
          <w:rtl/>
        </w:rPr>
        <w:t>(9).</w:t>
      </w:r>
      <w:r w:rsidR="008A74EB" w:rsidRPr="00C9040A">
        <w:rPr>
          <w:rtl/>
        </w:rPr>
        <w:t xml:space="preserve"> في « ص » : « قِسْمه » بالفتح والكسر في أوّله. وفي </w:t>
      </w:r>
      <w:r w:rsidR="008A74EB" w:rsidRPr="00993B55">
        <w:rPr>
          <w:rStyle w:val="libFootnoteBoldChar"/>
          <w:rtl/>
        </w:rPr>
        <w:t>الوافي</w:t>
      </w:r>
      <w:r w:rsidR="008A74EB" w:rsidRPr="00C9040A">
        <w:rPr>
          <w:rtl/>
        </w:rPr>
        <w:t xml:space="preserve"> : « برّ القسم وإبراره : إمضاؤه على الصدق »</w:t>
      </w:r>
      <w:r w:rsidR="008A74EB">
        <w:rPr>
          <w:rtl/>
        </w:rPr>
        <w:t>.</w:t>
      </w:r>
      <w:r w:rsidR="008A74EB" w:rsidRPr="00C9040A">
        <w:rPr>
          <w:rtl/>
        </w:rPr>
        <w:t xml:space="preserve"> وفي </w:t>
      </w:r>
      <w:r w:rsidR="008A74EB" w:rsidRPr="00993B55">
        <w:rPr>
          <w:rStyle w:val="libFootnoteBoldChar"/>
          <w:rtl/>
        </w:rPr>
        <w:t>شرح المازندراني</w:t>
      </w:r>
      <w:r w:rsidR="008A74EB" w:rsidRPr="00C9040A">
        <w:rPr>
          <w:rtl/>
        </w:rPr>
        <w:t xml:space="preserve"> : « أصل البرّ الإحسان ، ثمّ استعمل في القبول ، يقال : بَرَّ الله عمله ، إذا قبله ، كأنّه أحسن إلى عمله بأن يقبله ولم يردّه. وقبول قَسَمه وإن لم يكن واجباً شرعاً ، لكنّه مؤكّد لئلاّ يكسر قلبه ويضيع حقّه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الوافي : « مرضته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في حاشية « ج » وشرح المازندراني والوسائل والمصادقة : + « إلى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في « ف » </w:t>
      </w:r>
      <w:r w:rsidR="008A74EB">
        <w:rPr>
          <w:rtl/>
        </w:rPr>
        <w:t xml:space="preserve">: </w:t>
      </w:r>
      <w:r w:rsidR="0084262C">
        <w:rPr>
          <w:rtl/>
        </w:rPr>
        <w:t>-</w:t>
      </w:r>
      <w:r w:rsidR="008A74EB" w:rsidRPr="00C9040A">
        <w:rPr>
          <w:rtl/>
        </w:rPr>
        <w:t xml:space="preserve"> « لكن »</w:t>
      </w:r>
      <w:r w:rsidR="008A74EB">
        <w:rPr>
          <w:rtl/>
        </w:rPr>
        <w:t>.</w:t>
      </w:r>
    </w:p>
    <w:p w:rsidR="008A74EB" w:rsidRPr="00C9040A" w:rsidRDefault="008A74EB" w:rsidP="004A4E41">
      <w:pPr>
        <w:pStyle w:val="libFootnote0"/>
        <w:rPr>
          <w:rtl/>
          <w:lang w:bidi="fa-IR"/>
        </w:rPr>
      </w:pPr>
      <w:r>
        <w:rPr>
          <w:rtl/>
        </w:rPr>
        <w:t>(13)</w:t>
      </w:r>
      <w:r w:rsidRPr="00C9040A">
        <w:rPr>
          <w:rtl/>
        </w:rPr>
        <w:t xml:space="preserve"> في المصادقة : « بادره »</w:t>
      </w:r>
      <w:r>
        <w:rPr>
          <w:rtl/>
        </w:rPr>
        <w:t>.</w:t>
      </w:r>
    </w:p>
    <w:p w:rsidR="008A74EB" w:rsidRPr="00C9040A" w:rsidRDefault="008A74EB" w:rsidP="00F15628">
      <w:pPr>
        <w:pStyle w:val="libFootnote0"/>
        <w:rPr>
          <w:rtl/>
          <w:lang w:bidi="fa-IR"/>
        </w:rPr>
      </w:pPr>
      <w:r>
        <w:rPr>
          <w:rtl/>
        </w:rPr>
        <w:t>(14)</w:t>
      </w:r>
      <w:r w:rsidRPr="00C9040A">
        <w:rPr>
          <w:rtl/>
        </w:rPr>
        <w:t xml:space="preserve"> </w:t>
      </w:r>
      <w:r w:rsidRPr="00993B55">
        <w:rPr>
          <w:rStyle w:val="libFootnoteBoldChar"/>
          <w:rtl/>
        </w:rPr>
        <w:t>الخصال</w:t>
      </w:r>
      <w:r w:rsidRPr="00C9040A">
        <w:rPr>
          <w:rtl/>
        </w:rPr>
        <w:t xml:space="preserve"> ، ص 350 ، باب السبعة ، ح 26 ؛ </w:t>
      </w:r>
      <w:r w:rsidRPr="00AC2E2F">
        <w:rPr>
          <w:rStyle w:val="libFootnoteBoldChar"/>
          <w:rtl/>
        </w:rPr>
        <w:t>والأمالي للطوسي</w:t>
      </w:r>
      <w:r w:rsidRPr="00C9040A">
        <w:rPr>
          <w:rtl/>
        </w:rPr>
        <w:t xml:space="preserve"> ، ص 98 ، المجلس 4 ، ح 3 ، بسند آخر عن معلّى بن خنيس. وفي </w:t>
      </w:r>
      <w:r w:rsidRPr="00993B55">
        <w:rPr>
          <w:rStyle w:val="libFootnoteBoldChar"/>
          <w:rtl/>
        </w:rPr>
        <w:t>الاختصاص</w:t>
      </w:r>
      <w:r w:rsidRPr="00C9040A">
        <w:rPr>
          <w:rtl/>
        </w:rPr>
        <w:t xml:space="preserve"> ، ص 28 ؛ و</w:t>
      </w:r>
      <w:r w:rsidRPr="00993B55">
        <w:rPr>
          <w:rStyle w:val="libFootnoteBoldChar"/>
          <w:rtl/>
        </w:rPr>
        <w:t>المؤمن</w:t>
      </w:r>
      <w:r w:rsidRPr="00C9040A">
        <w:rPr>
          <w:rtl/>
        </w:rPr>
        <w:t xml:space="preserve"> ، ص 40 ، ح 93 ، عن معلّى بن خنيس ، وفي كلّها مع اختلاف يسير. </w:t>
      </w:r>
      <w:r w:rsidRPr="00993B55">
        <w:rPr>
          <w:rStyle w:val="libFootnoteBoldChar"/>
          <w:rtl/>
        </w:rPr>
        <w:t>مصادقة الإخوان</w:t>
      </w:r>
      <w:r w:rsidRPr="00C9040A">
        <w:rPr>
          <w:rtl/>
        </w:rPr>
        <w:t xml:space="preserve"> ، ص 40 ، ح 4 ، مرسلاً</w:t>
      </w:r>
      <w:r w:rsidR="00F15628">
        <w:rPr>
          <w:rFonts w:hint="cs"/>
          <w:rtl/>
        </w:rPr>
        <w:t>.</w:t>
      </w:r>
      <w:r w:rsidRPr="00993B55">
        <w:rPr>
          <w:rStyle w:val="libFootnoteBoldChar"/>
          <w:rtl/>
        </w:rPr>
        <w:t>الوافي</w:t>
      </w:r>
      <w:r w:rsidRPr="00C9040A">
        <w:rPr>
          <w:rtl/>
        </w:rPr>
        <w:t xml:space="preserve"> ، ج 5 ، ص 557 ، ح 2570 ؛ </w:t>
      </w:r>
      <w:r w:rsidRPr="00993B55">
        <w:rPr>
          <w:rStyle w:val="libFootnoteBoldChar"/>
          <w:rtl/>
        </w:rPr>
        <w:t>الوسائل</w:t>
      </w:r>
      <w:r w:rsidRPr="00C9040A">
        <w:rPr>
          <w:rtl/>
        </w:rPr>
        <w:t xml:space="preserve"> ، ج 12 ، ص 205 ، ح 16097 ؛ وج 19 ، ص 217 ، ح 24458 ، إلى قو</w:t>
      </w:r>
      <w:r w:rsidR="005C57B5">
        <w:rPr>
          <w:rtl/>
        </w:rPr>
        <w:t>له : « ويصنع طعامه ويمهّد فراشه</w:t>
      </w:r>
      <w:r w:rsidRPr="00C9040A">
        <w:rPr>
          <w:rtl/>
        </w:rPr>
        <w:t xml:space="preserve">» ؛ </w:t>
      </w:r>
      <w:r w:rsidRPr="00993B55">
        <w:rPr>
          <w:rStyle w:val="libFootnoteBoldChar"/>
          <w:rtl/>
        </w:rPr>
        <w:t>البحار</w:t>
      </w:r>
      <w:r w:rsidRPr="00C9040A">
        <w:rPr>
          <w:rtl/>
        </w:rPr>
        <w:t xml:space="preserve"> ، ج 74 ، ص 238 ، ح 40.</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B44ED">
        <w:rPr>
          <w:rtl/>
        </w:rPr>
        <w:t>2058</w:t>
      </w:r>
      <w:r w:rsidRPr="00261CB0">
        <w:rPr>
          <w:rStyle w:val="libBold2Char"/>
          <w:rtl/>
        </w:rPr>
        <w:t xml:space="preserve"> / 3.</w:t>
      </w:r>
      <w:r w:rsidRPr="00C9040A">
        <w:rPr>
          <w:rtl/>
          <w:lang w:bidi="fa-IR"/>
        </w:rPr>
        <w:t xml:space="preserve"> عَنْهُ </w:t>
      </w:r>
      <w:r w:rsidR="006C577F" w:rsidRPr="006C577F">
        <w:rPr>
          <w:rStyle w:val="libFootnotenumChar"/>
          <w:rtl/>
        </w:rPr>
        <w:t>(1)</w:t>
      </w:r>
      <w:r w:rsidRPr="00C9040A">
        <w:rPr>
          <w:rtl/>
          <w:lang w:bidi="fa-IR"/>
        </w:rPr>
        <w:t xml:space="preserve"> ، عَنْ أَحْمَدَ بْنِ مُحَمَّدِ بْنِ عِيسى ، عَنْ عَلِيِّ بْنِ سَيْفٍ ، عَنْ أَبِيهِ سَيْفٍ ، عَنْ عَبْدِ الْأَعْلَى بْنِ أَعْيَنَ ، قَالَ :</w:t>
      </w:r>
    </w:p>
    <w:p w:rsidR="008A74EB" w:rsidRPr="00C9040A" w:rsidRDefault="008A74EB" w:rsidP="00F15628">
      <w:pPr>
        <w:pStyle w:val="libNormal"/>
        <w:rPr>
          <w:rtl/>
          <w:lang w:bidi="fa-IR"/>
        </w:rPr>
      </w:pPr>
      <w:r w:rsidRPr="00C9040A">
        <w:rPr>
          <w:rtl/>
          <w:lang w:bidi="fa-IR"/>
        </w:rPr>
        <w:t xml:space="preserve">كَتَبَ أَصْحَابُنَا </w:t>
      </w:r>
      <w:r w:rsidR="006C577F" w:rsidRPr="006C577F">
        <w:rPr>
          <w:rStyle w:val="libFootnotenumChar"/>
          <w:rtl/>
        </w:rPr>
        <w:t>(2)</w:t>
      </w:r>
      <w:r w:rsidRPr="00C9040A">
        <w:rPr>
          <w:rtl/>
          <w:lang w:bidi="fa-IR"/>
        </w:rPr>
        <w:t xml:space="preserve"> يَسْأَلُونَ أَبَا عَبْدِ اللهِ </w:t>
      </w:r>
      <w:r w:rsidRPr="0003660B">
        <w:rPr>
          <w:rStyle w:val="libAlaemChar"/>
          <w:rtl/>
        </w:rPr>
        <w:t>عليه‌السلام</w:t>
      </w:r>
      <w:r w:rsidRPr="00C9040A">
        <w:rPr>
          <w:rtl/>
          <w:lang w:bidi="fa-IR"/>
        </w:rPr>
        <w:t xml:space="preserve"> عَنْ أَشْيَاءَ ، وَأَمَرُونِي </w:t>
      </w:r>
      <w:r w:rsidR="006C577F" w:rsidRPr="006C577F">
        <w:rPr>
          <w:rStyle w:val="libFootnotenumChar"/>
          <w:rtl/>
        </w:rPr>
        <w:t>(3)</w:t>
      </w:r>
      <w:r w:rsidRPr="00C9040A">
        <w:rPr>
          <w:rtl/>
          <w:lang w:bidi="fa-IR"/>
        </w:rPr>
        <w:t xml:space="preserve"> أَنْ أَسْأَلَهُ عَنْ حَقِّ الْمُسْلِمِ </w:t>
      </w:r>
      <w:r w:rsidR="006C577F" w:rsidRPr="006C577F">
        <w:rPr>
          <w:rStyle w:val="libFootnotenumChar"/>
          <w:rtl/>
        </w:rPr>
        <w:t>(4)</w:t>
      </w:r>
      <w:r w:rsidRPr="00C9040A">
        <w:rPr>
          <w:rtl/>
          <w:lang w:bidi="fa-IR"/>
        </w:rPr>
        <w:t xml:space="preserve"> عَلى أَخِيهِ ، فَسَأَلْتُهُ ، فَلَمْ يُجِبْنِي ، فَلَمَّا جِئْتُ لِأُوَدِّعَهُ ، قُلْتُ </w:t>
      </w:r>
      <w:r w:rsidR="006C577F" w:rsidRPr="006C577F">
        <w:rPr>
          <w:rStyle w:val="libFootnotenumChar"/>
          <w:rtl/>
        </w:rPr>
        <w:t>(5)</w:t>
      </w:r>
      <w:r w:rsidRPr="00C9040A">
        <w:rPr>
          <w:rtl/>
          <w:lang w:bidi="fa-IR"/>
        </w:rPr>
        <w:t xml:space="preserve"> : سَأَلْتُكَ </w:t>
      </w:r>
      <w:r w:rsidR="006C577F" w:rsidRPr="006C577F">
        <w:rPr>
          <w:rStyle w:val="libFootnotenumChar"/>
          <w:rtl/>
        </w:rPr>
        <w:t>(6)</w:t>
      </w:r>
      <w:r w:rsidR="00F15628" w:rsidRPr="00C9040A">
        <w:rPr>
          <w:rtl/>
          <w:lang w:bidi="fa-IR"/>
        </w:rPr>
        <w:t xml:space="preserve"> </w:t>
      </w:r>
      <w:r w:rsidRPr="00C9040A">
        <w:rPr>
          <w:rtl/>
          <w:lang w:bidi="fa-IR"/>
        </w:rPr>
        <w:t>فَلَمْ تُجِبْنِي</w:t>
      </w:r>
      <w:r>
        <w:rPr>
          <w:rtl/>
          <w:lang w:bidi="fa-IR"/>
        </w:rPr>
        <w:t>؟</w:t>
      </w:r>
    </w:p>
    <w:p w:rsidR="008A74EB" w:rsidRPr="00C9040A" w:rsidRDefault="008A74EB" w:rsidP="008A74EB">
      <w:pPr>
        <w:pStyle w:val="libNormal"/>
        <w:rPr>
          <w:rtl/>
          <w:lang w:bidi="fa-IR"/>
        </w:rPr>
      </w:pPr>
      <w:r w:rsidRPr="00C9040A">
        <w:rPr>
          <w:rtl/>
          <w:lang w:bidi="fa-IR"/>
        </w:rPr>
        <w:t xml:space="preserve">فَقَالَ : « إِنِّي أَخَافُ أَنْ تَكْفُرُوا ؛ إِنَّ مِنْ أَشَدِّ مَا افْتَرَضَ اللهُ عَلى خَلْقِهِ ثَلَاثاً </w:t>
      </w:r>
      <w:r w:rsidR="006C577F" w:rsidRPr="006C577F">
        <w:rPr>
          <w:rStyle w:val="libFootnotenumChar"/>
          <w:rtl/>
        </w:rPr>
        <w:t>(7)</w:t>
      </w:r>
      <w:r w:rsidRPr="00C9040A">
        <w:rPr>
          <w:rtl/>
          <w:lang w:bidi="fa-IR"/>
        </w:rPr>
        <w:t xml:space="preserve"> : إِنْصَافَ الْمَرْءِ </w:t>
      </w:r>
      <w:r w:rsidR="006C577F" w:rsidRPr="006C577F">
        <w:rPr>
          <w:rStyle w:val="libFootnotenumChar"/>
          <w:rtl/>
        </w:rPr>
        <w:t>(8)</w:t>
      </w:r>
      <w:r w:rsidRPr="00C9040A">
        <w:rPr>
          <w:rtl/>
          <w:lang w:bidi="fa-IR"/>
        </w:rPr>
        <w:t xml:space="preserve"> مِنْ نَفْسِهِ حَتّى لَايَرْضى لِأَخِيهِ </w:t>
      </w:r>
      <w:r w:rsidR="006C577F" w:rsidRPr="006C577F">
        <w:rPr>
          <w:rStyle w:val="libFootnotenumChar"/>
          <w:rtl/>
        </w:rPr>
        <w:t>(9)</w:t>
      </w:r>
      <w:r w:rsidR="00F15628">
        <w:rPr>
          <w:rtl/>
          <w:lang w:bidi="fa-IR"/>
        </w:rPr>
        <w:t xml:space="preserve"> مِنْ نَفْسِهِ إِل</w:t>
      </w:r>
      <w:r w:rsidR="00F15628">
        <w:rPr>
          <w:rFonts w:hint="cs"/>
          <w:rtl/>
          <w:lang w:bidi="fa-IR"/>
        </w:rPr>
        <w:t>َّ</w:t>
      </w:r>
      <w:r w:rsidR="00F15628">
        <w:rPr>
          <w:rtl/>
          <w:lang w:bidi="fa-IR"/>
        </w:rPr>
        <w:t>ا</w:t>
      </w:r>
      <w:r w:rsidRPr="00C9040A">
        <w:rPr>
          <w:rtl/>
          <w:lang w:bidi="fa-IR"/>
        </w:rPr>
        <w:t xml:space="preserve"> بِمَا </w:t>
      </w:r>
      <w:r w:rsidR="006C577F" w:rsidRPr="006C577F">
        <w:rPr>
          <w:rStyle w:val="libFootnotenumChar"/>
          <w:rtl/>
        </w:rPr>
        <w:t>(10)</w:t>
      </w:r>
      <w:r w:rsidRPr="00C9040A">
        <w:rPr>
          <w:rtl/>
          <w:lang w:bidi="fa-IR"/>
        </w:rPr>
        <w:t xml:space="preserve"> يَرْضى لِنَفْسِهِ مِنْهُ </w:t>
      </w:r>
      <w:r w:rsidR="006C577F" w:rsidRPr="006C577F">
        <w:rPr>
          <w:rStyle w:val="libFootnotenumChar"/>
          <w:rtl/>
        </w:rPr>
        <w:t>(11)</w:t>
      </w:r>
      <w:r w:rsidRPr="00C9040A">
        <w:rPr>
          <w:rtl/>
          <w:lang w:bidi="fa-IR"/>
        </w:rPr>
        <w:t xml:space="preserve"> ، وَمُؤَاسَاةَ </w:t>
      </w:r>
      <w:r w:rsidR="006C577F" w:rsidRPr="006C577F">
        <w:rPr>
          <w:rStyle w:val="libFootnotenumChar"/>
          <w:rtl/>
        </w:rPr>
        <w:t>(12)</w:t>
      </w:r>
      <w:r w:rsidRPr="00C9040A">
        <w:rPr>
          <w:rtl/>
          <w:lang w:bidi="fa-IR"/>
        </w:rPr>
        <w:t xml:space="preserve"> الْأَخِ فِي الْمَالِ ، وَذِكْرَ اللهِ عَلى كُلِّ حَالٍ ، لَيْسَ سُبْحَانَ </w:t>
      </w:r>
      <w:r w:rsidRPr="005B567D">
        <w:rPr>
          <w:rStyle w:val="libFootnotenumChar"/>
          <w:rtl/>
        </w:rPr>
        <w:t>(13)</w:t>
      </w:r>
      <w:r w:rsidRPr="00C9040A">
        <w:rPr>
          <w:rtl/>
          <w:lang w:bidi="fa-IR"/>
        </w:rPr>
        <w:t xml:space="preserve"> اللهِ ، وَالْحَمْدُ لِلّهِ </w:t>
      </w:r>
      <w:r w:rsidRPr="005B567D">
        <w:rPr>
          <w:rStyle w:val="libFootnotenumChar"/>
          <w:rtl/>
        </w:rPr>
        <w:t>(14)</w:t>
      </w:r>
      <w:r w:rsidRPr="00C9040A">
        <w:rPr>
          <w:rtl/>
          <w:lang w:bidi="fa-IR"/>
        </w:rPr>
        <w:t xml:space="preserve"> ، وَلكِنْ عِنْدَ </w:t>
      </w:r>
      <w:r w:rsidRPr="005B567D">
        <w:rPr>
          <w:rStyle w:val="libFootnotenumChar"/>
          <w:rtl/>
        </w:rPr>
        <w:t>(15)</w:t>
      </w:r>
      <w:r w:rsidRPr="00C9040A">
        <w:rPr>
          <w:rtl/>
          <w:lang w:bidi="fa-IR"/>
        </w:rPr>
        <w:t xml:space="preserve"> مَا حَرَّمَ اللهُ عَلَيْهِ ، فَيَدَعُهُ »</w:t>
      </w:r>
      <w:r>
        <w:rPr>
          <w:rtl/>
          <w:lang w:bidi="fa-IR"/>
        </w:rPr>
        <w:t>.</w:t>
      </w:r>
      <w:r w:rsidRPr="00C9040A">
        <w:rPr>
          <w:rtl/>
          <w:lang w:bidi="fa-IR"/>
        </w:rPr>
        <w:t xml:space="preserve"> </w:t>
      </w:r>
      <w:r w:rsidRPr="005B567D">
        <w:rPr>
          <w:rStyle w:val="libFootnotenumChar"/>
          <w:rtl/>
        </w:rPr>
        <w:t>(16)</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الضمير راجع إلى محمّد بن يحيى المذكور في سند الحديث 1.</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هكذا في « ج ، د ، ص ، ض ، بر ، بس ، بف » وحاشية « ز » والطبعة الحجريّة والوافي والبحار. وفي « ب ، ز ، ف » والمطبوع : « بعض أصحابنا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حاشية « بر » : « فأمروني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ز ، ض » وحاشية « د ، بر » : « المؤمن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هكذا في « ب ، ص ، بر ، بف » والوافي. وفي سائر النسخ والمطبوع : « فقلت »</w:t>
      </w:r>
      <w:r w:rsidR="008A74EB">
        <w:rPr>
          <w:rtl/>
        </w:rPr>
        <w:t>.</w:t>
      </w:r>
    </w:p>
    <w:tbl>
      <w:tblPr>
        <w:tblStyle w:val="TableGrid"/>
        <w:bidiVisual/>
        <w:tblW w:w="0" w:type="auto"/>
        <w:tblLook w:val="04A0" w:firstRow="1" w:lastRow="0" w:firstColumn="1" w:lastColumn="0" w:noHBand="0" w:noVBand="1"/>
      </w:tblPr>
      <w:tblGrid>
        <w:gridCol w:w="4006"/>
        <w:gridCol w:w="4006"/>
      </w:tblGrid>
      <w:tr w:rsidR="00F15628" w:rsidTr="00F15628">
        <w:tc>
          <w:tcPr>
            <w:tcW w:w="4006" w:type="dxa"/>
          </w:tcPr>
          <w:p w:rsidR="00F15628" w:rsidRDefault="006769FD" w:rsidP="004A4E41">
            <w:pPr>
              <w:pStyle w:val="libFootnote0"/>
              <w:rPr>
                <w:rtl/>
              </w:rPr>
            </w:pPr>
            <w:r>
              <w:rPr>
                <w:rtl/>
              </w:rPr>
              <w:t xml:space="preserve">(6). </w:t>
            </w:r>
            <w:r w:rsidRPr="00C9040A">
              <w:rPr>
                <w:rtl/>
              </w:rPr>
              <w:t>في المصادقة : « سألتكم »</w:t>
            </w:r>
            <w:r>
              <w:rPr>
                <w:rtl/>
              </w:rPr>
              <w:t>.</w:t>
            </w:r>
          </w:p>
        </w:tc>
        <w:tc>
          <w:tcPr>
            <w:tcW w:w="4006" w:type="dxa"/>
          </w:tcPr>
          <w:p w:rsidR="00F15628" w:rsidRDefault="006769FD" w:rsidP="004A4E41">
            <w:pPr>
              <w:pStyle w:val="libFootnote0"/>
              <w:rPr>
                <w:rtl/>
              </w:rPr>
            </w:pPr>
            <w:r>
              <w:rPr>
                <w:rtl/>
              </w:rPr>
              <w:t>(7).</w:t>
            </w:r>
            <w:r w:rsidRPr="00C9040A">
              <w:rPr>
                <w:rtl/>
              </w:rPr>
              <w:t xml:space="preserve"> في المصادقة : « ثلاث خصال »</w:t>
            </w:r>
            <w:r>
              <w:rPr>
                <w:rtl/>
              </w:rPr>
              <w:t>.</w:t>
            </w:r>
          </w:p>
        </w:tc>
      </w:tr>
    </w:tbl>
    <w:p w:rsidR="008A74EB" w:rsidRPr="00C9040A" w:rsidRDefault="006C577F" w:rsidP="004A4E41">
      <w:pPr>
        <w:pStyle w:val="libFootnote0"/>
        <w:rPr>
          <w:rtl/>
          <w:lang w:bidi="fa-IR"/>
        </w:rPr>
      </w:pPr>
      <w:r>
        <w:rPr>
          <w:rtl/>
        </w:rPr>
        <w:t>(8).</w:t>
      </w:r>
      <w:r w:rsidR="008A74EB" w:rsidRPr="00C9040A">
        <w:rPr>
          <w:rtl/>
        </w:rPr>
        <w:t xml:space="preserve"> في « بر ، بس » والوسائل والمصادقة : « المؤمن »</w:t>
      </w:r>
      <w:r w:rsidR="008A74EB">
        <w:rPr>
          <w:rtl/>
        </w:rPr>
        <w:t>.</w:t>
      </w:r>
    </w:p>
    <w:tbl>
      <w:tblPr>
        <w:tblStyle w:val="TableGrid"/>
        <w:bidiVisual/>
        <w:tblW w:w="0" w:type="auto"/>
        <w:tblLook w:val="04A0" w:firstRow="1" w:lastRow="0" w:firstColumn="1" w:lastColumn="0" w:noHBand="0" w:noVBand="1"/>
      </w:tblPr>
      <w:tblGrid>
        <w:gridCol w:w="4006"/>
        <w:gridCol w:w="4006"/>
      </w:tblGrid>
      <w:tr w:rsidR="00900631" w:rsidTr="00900631">
        <w:tc>
          <w:tcPr>
            <w:tcW w:w="4006" w:type="dxa"/>
          </w:tcPr>
          <w:p w:rsidR="00900631" w:rsidRDefault="00900631" w:rsidP="004A4E41">
            <w:pPr>
              <w:pStyle w:val="libFootnote0"/>
              <w:rPr>
                <w:rtl/>
                <w:lang w:bidi="fa-IR"/>
              </w:rPr>
            </w:pPr>
            <w:r>
              <w:rPr>
                <w:rtl/>
              </w:rPr>
              <w:t>(9).</w:t>
            </w:r>
            <w:r w:rsidRPr="00C9040A">
              <w:rPr>
                <w:rtl/>
              </w:rPr>
              <w:t xml:space="preserve"> في « بف » </w:t>
            </w:r>
            <w:r>
              <w:rPr>
                <w:rtl/>
              </w:rPr>
              <w:t>: -</w:t>
            </w:r>
            <w:r w:rsidRPr="00C9040A">
              <w:rPr>
                <w:rtl/>
              </w:rPr>
              <w:t xml:space="preserve"> « لأخيه »</w:t>
            </w:r>
            <w:r>
              <w:rPr>
                <w:rtl/>
              </w:rPr>
              <w:t>.</w:t>
            </w:r>
          </w:p>
        </w:tc>
        <w:tc>
          <w:tcPr>
            <w:tcW w:w="4006" w:type="dxa"/>
          </w:tcPr>
          <w:p w:rsidR="00900631" w:rsidRDefault="00900631" w:rsidP="004A4E41">
            <w:pPr>
              <w:pStyle w:val="libFootnote0"/>
              <w:rPr>
                <w:rtl/>
                <w:lang w:bidi="fa-IR"/>
              </w:rPr>
            </w:pPr>
            <w:r>
              <w:rPr>
                <w:rtl/>
              </w:rPr>
              <w:t>(10).</w:t>
            </w:r>
            <w:r w:rsidRPr="00C9040A">
              <w:rPr>
                <w:rtl/>
              </w:rPr>
              <w:t xml:space="preserve"> في المصادقة : « ما »</w:t>
            </w:r>
            <w:r>
              <w:rPr>
                <w:rtl/>
              </w:rPr>
              <w:t>.</w:t>
            </w:r>
          </w:p>
        </w:tc>
      </w:tr>
    </w:tbl>
    <w:p w:rsidR="008A74EB" w:rsidRPr="00C9040A" w:rsidRDefault="006C577F" w:rsidP="004A4E41">
      <w:pPr>
        <w:pStyle w:val="libFootnote0"/>
        <w:rPr>
          <w:rtl/>
          <w:lang w:bidi="fa-IR"/>
        </w:rPr>
      </w:pPr>
      <w:r>
        <w:rPr>
          <w:rtl/>
        </w:rPr>
        <w:t>(11).</w:t>
      </w:r>
      <w:r w:rsidR="008A74EB" w:rsidRPr="00C9040A">
        <w:rPr>
          <w:rtl/>
        </w:rPr>
        <w:t xml:space="preserve"> في المصادقة </w:t>
      </w:r>
      <w:r w:rsidR="008A74EB">
        <w:rPr>
          <w:rtl/>
        </w:rPr>
        <w:t xml:space="preserve">: </w:t>
      </w:r>
      <w:r w:rsidR="0084262C">
        <w:rPr>
          <w:rtl/>
        </w:rPr>
        <w:t>-</w:t>
      </w:r>
      <w:r w:rsidR="008A74EB" w:rsidRPr="00C9040A">
        <w:rPr>
          <w:rtl/>
        </w:rPr>
        <w:t xml:space="preserve"> « منه »</w:t>
      </w:r>
      <w:r w:rsidR="008A74EB">
        <w:rPr>
          <w:rtl/>
        </w:rPr>
        <w:t>.</w:t>
      </w:r>
    </w:p>
    <w:p w:rsidR="008A74EB" w:rsidRPr="00C9040A" w:rsidRDefault="006C577F" w:rsidP="00A36C76">
      <w:pPr>
        <w:pStyle w:val="libFootnote0"/>
        <w:rPr>
          <w:rtl/>
          <w:lang w:bidi="fa-IR"/>
        </w:rPr>
      </w:pPr>
      <w:r>
        <w:rPr>
          <w:rtl/>
        </w:rPr>
        <w:t>(12).</w:t>
      </w:r>
      <w:r w:rsidR="008A74EB" w:rsidRPr="00C9040A">
        <w:rPr>
          <w:rtl/>
        </w:rPr>
        <w:t xml:space="preserve"> « المواساة » : المشاركة والمساهمة في المعاش والرزق. وأصلها الهمزة فقلبت واواً تخفيفاً. </w:t>
      </w:r>
      <w:r w:rsidR="008A74EB" w:rsidRPr="00993B55">
        <w:rPr>
          <w:rStyle w:val="libFootnoteBoldChar"/>
          <w:rtl/>
        </w:rPr>
        <w:t>النهاية</w:t>
      </w:r>
      <w:r w:rsidR="008A74EB" w:rsidRPr="00C9040A">
        <w:rPr>
          <w:rtl/>
        </w:rPr>
        <w:t xml:space="preserve"> ، ج 1 ، ص 50 ( أسا )</w:t>
      </w:r>
      <w:r w:rsidR="008A74EB">
        <w:rPr>
          <w:rtl/>
        </w:rPr>
        <w:t>.</w:t>
      </w:r>
      <w:r w:rsidR="00A36C76">
        <w:rPr>
          <w:rFonts w:hint="cs"/>
          <w:rtl/>
        </w:rPr>
        <w:t xml:space="preserve">                                                       </w:t>
      </w:r>
      <w:r w:rsidR="008A74EB">
        <w:rPr>
          <w:rtl/>
        </w:rPr>
        <w:t>(13)</w:t>
      </w:r>
      <w:r w:rsidR="008A74EB" w:rsidRPr="00C9040A">
        <w:rPr>
          <w:rtl/>
        </w:rPr>
        <w:t xml:space="preserve"> في « بر » : « بسبحان »</w:t>
      </w:r>
      <w:r w:rsidR="008A74EB">
        <w:rPr>
          <w:rtl/>
        </w:rPr>
        <w:t>.</w:t>
      </w:r>
    </w:p>
    <w:p w:rsidR="008A74EB" w:rsidRPr="00C9040A" w:rsidRDefault="008A74EB" w:rsidP="004A4E41">
      <w:pPr>
        <w:pStyle w:val="libFootnote0"/>
        <w:rPr>
          <w:rtl/>
          <w:lang w:bidi="fa-IR"/>
        </w:rPr>
      </w:pPr>
      <w:r>
        <w:rPr>
          <w:rtl/>
        </w:rPr>
        <w:t>(14)</w:t>
      </w:r>
      <w:r w:rsidRPr="00C9040A">
        <w:rPr>
          <w:rtl/>
        </w:rPr>
        <w:t xml:space="preserve"> في « ف » : + « ولا إله </w:t>
      </w:r>
      <w:r w:rsidR="00AE7C40">
        <w:rPr>
          <w:rtl/>
        </w:rPr>
        <w:t>إل</w:t>
      </w:r>
      <w:r w:rsidR="00AE7C40">
        <w:rPr>
          <w:rFonts w:hint="cs"/>
          <w:rtl/>
        </w:rPr>
        <w:t>ّ</w:t>
      </w:r>
      <w:r w:rsidR="00AE7C40">
        <w:rPr>
          <w:rtl/>
        </w:rPr>
        <w:t>ا</w:t>
      </w:r>
      <w:r>
        <w:rPr>
          <w:rtl/>
        </w:rPr>
        <w:t xml:space="preserve"> الله</w:t>
      </w:r>
      <w:r w:rsidRPr="00C9040A">
        <w:rPr>
          <w:rtl/>
        </w:rPr>
        <w:t xml:space="preserve"> والله أكبر »</w:t>
      </w:r>
      <w:r>
        <w:rPr>
          <w:rtl/>
        </w:rPr>
        <w:t>.</w:t>
      </w:r>
      <w:r w:rsidRPr="00C9040A">
        <w:rPr>
          <w:rtl/>
        </w:rPr>
        <w:t xml:space="preserve"> وفي المصادقة : + « ولا إله </w:t>
      </w:r>
      <w:r w:rsidR="00AE7C40">
        <w:rPr>
          <w:rtl/>
        </w:rPr>
        <w:t>إل</w:t>
      </w:r>
      <w:r w:rsidR="00AE7C40">
        <w:rPr>
          <w:rFonts w:hint="cs"/>
          <w:rtl/>
        </w:rPr>
        <w:t>ّ</w:t>
      </w:r>
      <w:r w:rsidR="00AE7C40">
        <w:rPr>
          <w:rtl/>
        </w:rPr>
        <w:t>ا</w:t>
      </w:r>
      <w:r>
        <w:rPr>
          <w:rtl/>
        </w:rPr>
        <w:t xml:space="preserve"> الله</w:t>
      </w:r>
      <w:r w:rsidRPr="00C9040A">
        <w:rPr>
          <w:rtl/>
        </w:rPr>
        <w:t xml:space="preserve"> »</w:t>
      </w:r>
      <w:r>
        <w:rPr>
          <w:rtl/>
        </w:rPr>
        <w:t>.</w:t>
      </w:r>
    </w:p>
    <w:p w:rsidR="008A74EB" w:rsidRPr="00C9040A" w:rsidRDefault="008A74EB" w:rsidP="004A4E41">
      <w:pPr>
        <w:pStyle w:val="libFootnote0"/>
        <w:rPr>
          <w:rtl/>
          <w:lang w:bidi="fa-IR"/>
        </w:rPr>
      </w:pPr>
      <w:r>
        <w:rPr>
          <w:rtl/>
        </w:rPr>
        <w:t>(15)</w:t>
      </w:r>
      <w:r w:rsidRPr="00C9040A">
        <w:rPr>
          <w:rtl/>
        </w:rPr>
        <w:t xml:space="preserve"> في « ف » </w:t>
      </w:r>
      <w:r>
        <w:rPr>
          <w:rtl/>
        </w:rPr>
        <w:t xml:space="preserve">: </w:t>
      </w:r>
      <w:r w:rsidR="0084262C">
        <w:rPr>
          <w:rtl/>
        </w:rPr>
        <w:t>-</w:t>
      </w:r>
      <w:r w:rsidRPr="00C9040A">
        <w:rPr>
          <w:rtl/>
        </w:rPr>
        <w:t xml:space="preserve"> « عند »</w:t>
      </w:r>
      <w:r>
        <w:rPr>
          <w:rtl/>
        </w:rPr>
        <w:t>.</w:t>
      </w:r>
    </w:p>
    <w:p w:rsidR="008A74EB" w:rsidRPr="00C9040A" w:rsidRDefault="008A74EB" w:rsidP="00094F71">
      <w:pPr>
        <w:pStyle w:val="libFootnote0"/>
        <w:rPr>
          <w:rtl/>
          <w:lang w:bidi="fa-IR"/>
        </w:rPr>
      </w:pPr>
      <w:r>
        <w:rPr>
          <w:rtl/>
        </w:rPr>
        <w:t>(16)</w:t>
      </w:r>
      <w:r w:rsidRPr="00C9040A">
        <w:rPr>
          <w:rtl/>
        </w:rPr>
        <w:t xml:space="preserve"> </w:t>
      </w:r>
      <w:r w:rsidRPr="00993B55">
        <w:rPr>
          <w:rStyle w:val="libFootnoteBoldChar"/>
          <w:rtl/>
        </w:rPr>
        <w:t>مصادقة الإخوان</w:t>
      </w:r>
      <w:r w:rsidRPr="00C9040A">
        <w:rPr>
          <w:rtl/>
        </w:rPr>
        <w:t xml:space="preserve"> ، ص 40 ، مرسلاً عن ابن أعين. وراجع : </w:t>
      </w:r>
      <w:r w:rsidRPr="00993B55">
        <w:rPr>
          <w:rStyle w:val="libFootnoteBoldChar"/>
          <w:rtl/>
        </w:rPr>
        <w:t>الكافي</w:t>
      </w:r>
      <w:r w:rsidRPr="00C9040A">
        <w:rPr>
          <w:rtl/>
        </w:rPr>
        <w:t xml:space="preserve"> ، كتاب الإيمان والكفر ، باب الإنصاف والعدل ، ح 1949 </w:t>
      </w:r>
      <w:r>
        <w:rPr>
          <w:rtl/>
        </w:rPr>
        <w:t>و 1</w:t>
      </w:r>
      <w:r w:rsidRPr="00C9040A">
        <w:rPr>
          <w:rtl/>
        </w:rPr>
        <w:t xml:space="preserve">953 </w:t>
      </w:r>
      <w:r>
        <w:rPr>
          <w:rtl/>
        </w:rPr>
        <w:t>و 1</w:t>
      </w:r>
      <w:r w:rsidRPr="00C9040A">
        <w:rPr>
          <w:rtl/>
        </w:rPr>
        <w:t>954 ومصادرها</w:t>
      </w:r>
      <w:r w:rsidR="00094F71">
        <w:rPr>
          <w:rFonts w:hint="cs"/>
          <w:rtl/>
        </w:rPr>
        <w:t>.</w:t>
      </w:r>
      <w:r w:rsidRPr="00993B55">
        <w:rPr>
          <w:rStyle w:val="libFootnoteBoldChar"/>
          <w:rtl/>
        </w:rPr>
        <w:t>الوافي</w:t>
      </w:r>
      <w:r w:rsidRPr="00C9040A">
        <w:rPr>
          <w:rtl/>
        </w:rPr>
        <w:t xml:space="preserve"> ، ج 5 ، ص 559 ، ح 2573 ؛ </w:t>
      </w:r>
      <w:r w:rsidRPr="00993B55">
        <w:rPr>
          <w:rStyle w:val="libFootnoteBoldChar"/>
          <w:rtl/>
        </w:rPr>
        <w:t>الوسائل</w:t>
      </w:r>
      <w:r w:rsidRPr="00C9040A">
        <w:rPr>
          <w:rtl/>
        </w:rPr>
        <w:t xml:space="preserve"> ، ج 9 ، ص 427 ، ح 12402 ؛ </w:t>
      </w:r>
      <w:r w:rsidRPr="00993B55">
        <w:rPr>
          <w:rStyle w:val="libFootnoteBoldChar"/>
          <w:rtl/>
        </w:rPr>
        <w:t>البحار</w:t>
      </w:r>
      <w:r w:rsidRPr="00C9040A">
        <w:rPr>
          <w:rtl/>
        </w:rPr>
        <w:t xml:space="preserve"> ، ج 74 ، ص 242 ، ح 41.</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B44ED">
        <w:rPr>
          <w:rtl/>
        </w:rPr>
        <w:t>2059</w:t>
      </w:r>
      <w:r w:rsidRPr="00261CB0">
        <w:rPr>
          <w:rStyle w:val="libBold2Char"/>
          <w:rtl/>
        </w:rPr>
        <w:t xml:space="preserve"> / 4.</w:t>
      </w:r>
      <w:r w:rsidRPr="00C9040A">
        <w:rPr>
          <w:rtl/>
          <w:lang w:bidi="fa-IR"/>
        </w:rPr>
        <w:t xml:space="preserve"> عَنْهُ </w:t>
      </w:r>
      <w:r w:rsidR="006C577F" w:rsidRPr="006C577F">
        <w:rPr>
          <w:rStyle w:val="libFootnotenumChar"/>
          <w:rtl/>
        </w:rPr>
        <w:t>(1)</w:t>
      </w:r>
      <w:r w:rsidRPr="00C9040A">
        <w:rPr>
          <w:rtl/>
          <w:lang w:bidi="fa-IR"/>
        </w:rPr>
        <w:t xml:space="preserve"> ، عَنْ أَحْمَدَ بْنِ مُحَمَّدٍ ، عَنِ الْحَسَنِ بْنِ مَحْبُوبٍ ، عَنْ جَمِيلٍ ، عَنْ مُرَازِمٍ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مَا عُبِدَ اللهُ </w:t>
      </w:r>
      <w:r w:rsidR="006C577F" w:rsidRPr="006C577F">
        <w:rPr>
          <w:rStyle w:val="libFootnotenumChar"/>
          <w:rtl/>
        </w:rPr>
        <w:t>(2)</w:t>
      </w:r>
      <w:r w:rsidRPr="00C9040A">
        <w:rPr>
          <w:rtl/>
          <w:lang w:bidi="fa-IR"/>
        </w:rPr>
        <w:t xml:space="preserve"> بِشَيْ‌ءٍ أَفْضَلَ مِنْ أَدَاءِ حَقِّ الْمُؤْمِنِ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CB44ED">
        <w:rPr>
          <w:rtl/>
        </w:rPr>
        <w:t>2060</w:t>
      </w:r>
      <w:r w:rsidRPr="00261CB0">
        <w:rPr>
          <w:rStyle w:val="libBold2Char"/>
          <w:rtl/>
        </w:rPr>
        <w:t xml:space="preserve"> / 5.</w:t>
      </w:r>
      <w:r w:rsidRPr="00C9040A">
        <w:rPr>
          <w:rtl/>
          <w:lang w:bidi="fa-IR"/>
        </w:rPr>
        <w:t xml:space="preserve"> عَلِيُّ بْنُ إِبْرَاهِيمَ ، عَنْ أَبِيهِ ، عَنْ حَمَّادِ بْنِ عِيسى ، عَنْ إِبْرَاهِيمَ بْنِ </w:t>
      </w:r>
      <w:r w:rsidR="00094F71">
        <w:rPr>
          <w:rtl/>
          <w:lang w:bidi="fa-IR"/>
        </w:rPr>
        <w:t>عُمَرَ الْيَمَانِيِّ</w:t>
      </w:r>
      <w:r w:rsidRPr="00C9040A">
        <w:rPr>
          <w:rtl/>
          <w:lang w:bidi="fa-IR"/>
        </w:rPr>
        <w:t>:</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حَقُّ الْمُسْلِمِ عَلَى </w:t>
      </w:r>
      <w:r w:rsidR="006C577F" w:rsidRPr="006C577F">
        <w:rPr>
          <w:rStyle w:val="libFootnotenumChar"/>
          <w:rtl/>
        </w:rPr>
        <w:t>(4)</w:t>
      </w:r>
      <w:r w:rsidRPr="00C9040A">
        <w:rPr>
          <w:rtl/>
          <w:lang w:bidi="fa-IR"/>
        </w:rPr>
        <w:t xml:space="preserve"> الْمُسْلِمِ أَنْ لَايَشْبَعَ وَيَجُوعُ أَخُوهُ ، وَلَا يَرْوى وَيَعْطَشُ أَخُوهُ ، وَلَا يَكْتَسِيَ </w:t>
      </w:r>
      <w:r w:rsidR="006C577F" w:rsidRPr="006C577F">
        <w:rPr>
          <w:rStyle w:val="libFootnotenumChar"/>
          <w:rtl/>
        </w:rPr>
        <w:t>(5)</w:t>
      </w:r>
      <w:r w:rsidRPr="00C9040A">
        <w:rPr>
          <w:rtl/>
          <w:lang w:bidi="fa-IR"/>
        </w:rPr>
        <w:t xml:space="preserve"> وَيَعْرى أَخُوهُ ، فَمَا أَعْظَمَ حَقَّ الْمُسْلِمِ عَلى أَخِيهِ الْمُسْلِمِ</w:t>
      </w:r>
      <w:r>
        <w:rPr>
          <w:rtl/>
          <w:lang w:bidi="fa-IR"/>
        </w:rPr>
        <w:t>!</w:t>
      </w:r>
      <w:r w:rsidRPr="00C9040A">
        <w:rPr>
          <w:rtl/>
          <w:lang w:bidi="fa-IR"/>
        </w:rPr>
        <w:t>»</w:t>
      </w:r>
      <w:r>
        <w:rPr>
          <w:rtl/>
          <w:lang w:bidi="fa-IR"/>
        </w:rPr>
        <w:t>.</w:t>
      </w:r>
    </w:p>
    <w:p w:rsidR="008A74EB" w:rsidRPr="00C9040A" w:rsidRDefault="008A74EB" w:rsidP="008A74EB">
      <w:pPr>
        <w:pStyle w:val="libNormal"/>
        <w:rPr>
          <w:rtl/>
          <w:lang w:bidi="fa-IR"/>
        </w:rPr>
      </w:pPr>
      <w:r w:rsidRPr="00C9040A">
        <w:rPr>
          <w:rtl/>
          <w:lang w:bidi="fa-IR"/>
        </w:rPr>
        <w:t xml:space="preserve">وَقَالَ : « أَحِبَّ لِأَخِيكَ الْمُسْلِمِ مَا تُحِبُّ </w:t>
      </w:r>
      <w:r w:rsidR="006C577F" w:rsidRPr="006C577F">
        <w:rPr>
          <w:rStyle w:val="libFootnotenumChar"/>
          <w:rtl/>
        </w:rPr>
        <w:t>(6)</w:t>
      </w:r>
      <w:r w:rsidRPr="005B567D">
        <w:rPr>
          <w:rStyle w:val="libFootnotenumChar"/>
          <w:rtl/>
        </w:rPr>
        <w:t xml:space="preserve"> </w:t>
      </w:r>
      <w:r w:rsidRPr="00C9040A">
        <w:rPr>
          <w:rtl/>
          <w:lang w:bidi="fa-IR"/>
        </w:rPr>
        <w:t xml:space="preserve">لِنَفْسِكَ ؛ وَإِذَا </w:t>
      </w:r>
      <w:r w:rsidR="006C577F" w:rsidRPr="006C577F">
        <w:rPr>
          <w:rStyle w:val="libFootnotenumChar"/>
          <w:rtl/>
        </w:rPr>
        <w:t>(7)</w:t>
      </w:r>
      <w:r w:rsidRPr="00C9040A">
        <w:rPr>
          <w:rtl/>
          <w:lang w:bidi="fa-IR"/>
        </w:rPr>
        <w:t xml:space="preserve"> احْتَجْتَ فَسَلْهُ </w:t>
      </w:r>
      <w:r w:rsidR="006C577F" w:rsidRPr="006C577F">
        <w:rPr>
          <w:rStyle w:val="libFootnotenumChar"/>
          <w:rtl/>
        </w:rPr>
        <w:t>(8)</w:t>
      </w:r>
      <w:r w:rsidRPr="00C9040A">
        <w:rPr>
          <w:rtl/>
          <w:lang w:bidi="fa-IR"/>
        </w:rPr>
        <w:t xml:space="preserve"> ، وَإِنْ سَأَلَكَ فَأَعْطِهِ ، لَاتَمَلَّهُ </w:t>
      </w:r>
      <w:r w:rsidR="006C577F" w:rsidRPr="006C577F">
        <w:rPr>
          <w:rStyle w:val="libFootnotenumChar"/>
          <w:rtl/>
        </w:rPr>
        <w:t>(9)</w:t>
      </w:r>
      <w:r w:rsidRPr="00C9040A">
        <w:rPr>
          <w:rtl/>
          <w:lang w:bidi="fa-IR"/>
        </w:rPr>
        <w:t xml:space="preserve"> خَيْراً ،</w:t>
      </w:r>
      <w:r w:rsidR="00094F71">
        <w:rPr>
          <w:rFonts w:hint="cs"/>
          <w:rtl/>
          <w:lang w:bidi="fa-IR"/>
        </w:rPr>
        <w:t>...................................................</w:t>
      </w:r>
      <w:r w:rsidR="00094F71">
        <w:rPr>
          <w:rFonts w:hint="cs"/>
          <w:rtl/>
          <w:lang w:bidi="fa-IR"/>
        </w:rPr>
        <w:tab/>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الضمير راجع إلى محمّد بن يحيى المذكور في سند الحديث 1.</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المؤمن ، ص 42 : « والله ما عبدالله »</w:t>
      </w:r>
      <w:r w:rsidR="008A74EB">
        <w:rPr>
          <w:rtl/>
        </w:rPr>
        <w:t>.</w:t>
      </w:r>
    </w:p>
    <w:p w:rsidR="008A74EB" w:rsidRPr="00C9040A" w:rsidRDefault="006C577F" w:rsidP="005306F3">
      <w:pPr>
        <w:pStyle w:val="libFootnote0"/>
        <w:rPr>
          <w:rtl/>
          <w:lang w:bidi="fa-IR"/>
        </w:rPr>
      </w:pPr>
      <w:r>
        <w:rPr>
          <w:rtl/>
        </w:rPr>
        <w:t>(3).</w:t>
      </w:r>
      <w:r w:rsidR="008A74EB" w:rsidRPr="00C9040A">
        <w:rPr>
          <w:rtl/>
        </w:rPr>
        <w:t xml:space="preserve"> </w:t>
      </w:r>
      <w:r w:rsidR="008A74EB" w:rsidRPr="00993B55">
        <w:rPr>
          <w:rStyle w:val="libFootnoteBoldChar"/>
          <w:rtl/>
        </w:rPr>
        <w:t>المؤمن</w:t>
      </w:r>
      <w:r w:rsidR="008A74EB" w:rsidRPr="00C9040A">
        <w:rPr>
          <w:rtl/>
        </w:rPr>
        <w:t xml:space="preserve"> ، ص 42 ، ح 95 ، مع زيادة في آخره ؛ </w:t>
      </w:r>
      <w:r w:rsidR="008A74EB" w:rsidRPr="00993B55">
        <w:rPr>
          <w:rStyle w:val="libFootnoteBoldChar"/>
          <w:rtl/>
        </w:rPr>
        <w:t>وفيه</w:t>
      </w:r>
      <w:r w:rsidR="008A74EB" w:rsidRPr="00C9040A">
        <w:rPr>
          <w:rtl/>
        </w:rPr>
        <w:t xml:space="preserve"> ، ص 43 ، ح 97 ، كلاهما عن أبي عبدالله </w:t>
      </w:r>
      <w:r w:rsidR="00117575" w:rsidRPr="00117575">
        <w:rPr>
          <w:rStyle w:val="libFootnoteAlaemChar"/>
          <w:rtl/>
        </w:rPr>
        <w:t>عليه‌السلام</w:t>
      </w:r>
      <w:r w:rsidR="008A74EB" w:rsidRPr="00C9040A">
        <w:rPr>
          <w:rtl/>
        </w:rPr>
        <w:t xml:space="preserve"> ؛ </w:t>
      </w:r>
      <w:r w:rsidR="008A74EB" w:rsidRPr="00993B55">
        <w:rPr>
          <w:rStyle w:val="libFootnoteBoldChar"/>
          <w:rtl/>
        </w:rPr>
        <w:t>الاختصاص</w:t>
      </w:r>
      <w:r w:rsidR="008A74EB" w:rsidRPr="00C9040A">
        <w:rPr>
          <w:rtl/>
        </w:rPr>
        <w:t xml:space="preserve"> ، ص 28 ، مرسلاً</w:t>
      </w:r>
      <w:r w:rsidR="005306F3">
        <w:rPr>
          <w:rFonts w:hint="cs"/>
          <w:rtl/>
        </w:rPr>
        <w:t>.</w:t>
      </w:r>
      <w:r w:rsidR="008A74EB" w:rsidRPr="00993B55">
        <w:rPr>
          <w:rStyle w:val="libFootnoteBoldChar"/>
          <w:rtl/>
        </w:rPr>
        <w:t>الوافي</w:t>
      </w:r>
      <w:r w:rsidR="008A74EB" w:rsidRPr="00C9040A">
        <w:rPr>
          <w:rtl/>
        </w:rPr>
        <w:t xml:space="preserve"> ، ج 5 ، ص 565 ، ح 2585 ؛ </w:t>
      </w:r>
      <w:r w:rsidR="008A74EB" w:rsidRPr="00993B55">
        <w:rPr>
          <w:rStyle w:val="libFootnoteBoldChar"/>
          <w:rtl/>
        </w:rPr>
        <w:t>الوسائل</w:t>
      </w:r>
      <w:r w:rsidR="008A74EB" w:rsidRPr="00C9040A">
        <w:rPr>
          <w:rtl/>
        </w:rPr>
        <w:t xml:space="preserve"> ، ج 12 ، ص 203 ، ح 16091 ؛ </w:t>
      </w:r>
      <w:r w:rsidR="008A74EB" w:rsidRPr="00993B55">
        <w:rPr>
          <w:rStyle w:val="libFootnoteBoldChar"/>
          <w:rtl/>
        </w:rPr>
        <w:t>البحار</w:t>
      </w:r>
      <w:r w:rsidR="008A74EB" w:rsidRPr="00C9040A">
        <w:rPr>
          <w:rtl/>
        </w:rPr>
        <w:t xml:space="preserve"> ، ج 74 ، ص 243 ، ح 42.</w:t>
      </w:r>
      <w:r w:rsidR="005306F3">
        <w:rPr>
          <w:rFonts w:hint="cs"/>
          <w:rtl/>
        </w:rPr>
        <w:t xml:space="preserve">                       </w:t>
      </w:r>
      <w:r>
        <w:rPr>
          <w:rtl/>
        </w:rPr>
        <w:t>(4).</w:t>
      </w:r>
      <w:r w:rsidR="008A74EB" w:rsidRPr="00C9040A">
        <w:rPr>
          <w:rtl/>
        </w:rPr>
        <w:t xml:space="preserve"> في « بر » : + « أخيه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ف » والاختصاص : « ولا يكسي »</w:t>
      </w:r>
      <w:r w:rsidR="008A74EB">
        <w:rPr>
          <w:rtl/>
        </w:rPr>
        <w:t>.</w:t>
      </w:r>
      <w:r w:rsidR="008A74EB" w:rsidRPr="00C9040A">
        <w:rPr>
          <w:rtl/>
        </w:rPr>
        <w:t xml:space="preserve"> وفي حاشية « د » : « لا يلبس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ض ، بر » : « تحبّه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ب » : « فإن »</w:t>
      </w:r>
      <w:r w:rsidR="008A74EB">
        <w:rPr>
          <w:rtl/>
        </w:rPr>
        <w:t>.</w:t>
      </w:r>
      <w:r w:rsidR="008A74EB" w:rsidRPr="00C9040A">
        <w:rPr>
          <w:rtl/>
        </w:rPr>
        <w:t xml:space="preserve"> وفي « ز ، ف ، بر ، بس ، بف » والوافي والوسائل : « وإن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 ز ، ض ، ف ، بف » وحاشية « ج » : « فاسأله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ف » : + « لك »</w:t>
      </w:r>
      <w:r w:rsidR="008A74EB">
        <w:rPr>
          <w:rtl/>
        </w:rPr>
        <w:t>.</w:t>
      </w:r>
      <w:r w:rsidR="008A74EB" w:rsidRPr="00C9040A">
        <w:rPr>
          <w:rtl/>
        </w:rPr>
        <w:t xml:space="preserve"> وفي الاختصاص : « لا يملّه »</w:t>
      </w:r>
      <w:r w:rsidR="008A74EB">
        <w:rPr>
          <w:rtl/>
        </w:rPr>
        <w:t>.</w:t>
      </w:r>
      <w:r w:rsidR="008A74EB" w:rsidRPr="00C9040A">
        <w:rPr>
          <w:rtl/>
        </w:rPr>
        <w:t xml:space="preserve"> ويجوز فيه وما يأتي النهي والنفي. مَلِلْتُه ، ومنه : مَلَلاً ومَلالةًوملالاً : سَئِمتُه ، كاستمللته. وأملّني وأملّ عليّ : شقّ عليّ. </w:t>
      </w:r>
      <w:r w:rsidR="008A74EB" w:rsidRPr="00993B55">
        <w:rPr>
          <w:rStyle w:val="libFootnoteBoldChar"/>
          <w:rtl/>
        </w:rPr>
        <w:t>القاموس المحيط</w:t>
      </w:r>
      <w:r w:rsidR="008A74EB" w:rsidRPr="00C9040A">
        <w:rPr>
          <w:rtl/>
        </w:rPr>
        <w:t xml:space="preserve"> ، ج 2 ، ص 1397 ؛ </w:t>
      </w:r>
      <w:r w:rsidR="008A74EB" w:rsidRPr="00993B55">
        <w:rPr>
          <w:rStyle w:val="libFootnoteBoldChar"/>
          <w:rtl/>
        </w:rPr>
        <w:t>أساس البلاغة</w:t>
      </w:r>
      <w:r w:rsidR="008A74EB" w:rsidRPr="00C9040A">
        <w:rPr>
          <w:rtl/>
        </w:rPr>
        <w:t xml:space="preserve"> ، ص 437 ( ملل )</w:t>
      </w:r>
      <w:r w:rsidR="008A74EB">
        <w:rPr>
          <w:rtl/>
        </w:rPr>
        <w:t>.</w:t>
      </w:r>
      <w:r w:rsidR="008A74EB" w:rsidRPr="00C9040A">
        <w:rPr>
          <w:rtl/>
        </w:rPr>
        <w:t xml:space="preserve"> وقال في </w:t>
      </w:r>
      <w:r w:rsidR="008A74EB" w:rsidRPr="00993B55">
        <w:rPr>
          <w:rStyle w:val="libFootnoteBoldChar"/>
          <w:rtl/>
        </w:rPr>
        <w:t>الوافي</w:t>
      </w:r>
      <w:r w:rsidR="008A74EB" w:rsidRPr="00C9040A">
        <w:rPr>
          <w:rtl/>
        </w:rPr>
        <w:t xml:space="preserve"> : « لعلّ المراد بقوله : لا تملّه خيراً ولا يملّ لك : لا تسأمه من جهة إكثارك الخير له ، ولا يسأم هو من جهة إكثاره الخير لك »</w:t>
      </w:r>
      <w:r w:rsidR="008A74EB">
        <w:rPr>
          <w:rtl/>
        </w:rPr>
        <w:t>.</w:t>
      </w:r>
    </w:p>
    <w:p w:rsidR="008A74EB" w:rsidRPr="00C9040A" w:rsidRDefault="008A74EB" w:rsidP="004A4E41">
      <w:pPr>
        <w:pStyle w:val="libFootnote0"/>
        <w:rPr>
          <w:rtl/>
          <w:lang w:bidi="fa-IR"/>
        </w:rPr>
      </w:pPr>
      <w:r w:rsidRPr="0082575F">
        <w:rPr>
          <w:rtl/>
        </w:rPr>
        <w:t xml:space="preserve">ثمّ إنّ المازندراني جعل الفعلين من الإملاء بمعنى التأخير والإمهال ، وأمّا الإملال فبعيد عنده. وعكس هذا </w:t>
      </w:r>
      <w:r w:rsidR="005306F3">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64E38">
      <w:pPr>
        <w:pStyle w:val="libNormal0"/>
        <w:rPr>
          <w:rtl/>
          <w:lang w:bidi="fa-IR"/>
        </w:rPr>
      </w:pPr>
      <w:r w:rsidRPr="00C9040A">
        <w:rPr>
          <w:rtl/>
          <w:lang w:bidi="fa-IR"/>
        </w:rPr>
        <w:t xml:space="preserve">وَلَا يَمَلَّهُ </w:t>
      </w:r>
      <w:r w:rsidR="006C577F" w:rsidRPr="006C577F">
        <w:rPr>
          <w:rStyle w:val="libFootnotenumChar"/>
          <w:rtl/>
        </w:rPr>
        <w:t>(1)</w:t>
      </w:r>
      <w:r w:rsidRPr="00C9040A">
        <w:rPr>
          <w:rtl/>
          <w:lang w:bidi="fa-IR"/>
        </w:rPr>
        <w:t xml:space="preserve"> لَكَ ، كُنْ لَهُ ظَهْراً </w:t>
      </w:r>
      <w:r w:rsidR="006C577F" w:rsidRPr="006C577F">
        <w:rPr>
          <w:rStyle w:val="libFootnotenumChar"/>
          <w:rtl/>
        </w:rPr>
        <w:t>(2)</w:t>
      </w:r>
      <w:r w:rsidRPr="00C9040A">
        <w:rPr>
          <w:rtl/>
          <w:lang w:bidi="fa-IR"/>
        </w:rPr>
        <w:t xml:space="preserve"> ؛ فَإِنَّهُ لَكَ ظَهْرٌ ؛ إِذَا </w:t>
      </w:r>
      <w:r w:rsidR="006C577F" w:rsidRPr="006C577F">
        <w:rPr>
          <w:rStyle w:val="libFootnotenumChar"/>
          <w:rtl/>
        </w:rPr>
        <w:t>(3)</w:t>
      </w:r>
      <w:r w:rsidRPr="00C9040A">
        <w:rPr>
          <w:rtl/>
          <w:lang w:bidi="fa-IR"/>
        </w:rPr>
        <w:t xml:space="preserve"> غَابَ </w:t>
      </w:r>
      <w:r w:rsidR="006C577F" w:rsidRPr="006C577F">
        <w:rPr>
          <w:rStyle w:val="libFootnotenumChar"/>
          <w:rtl/>
        </w:rPr>
        <w:t>(4)</w:t>
      </w:r>
      <w:r w:rsidRPr="00C9040A">
        <w:rPr>
          <w:rtl/>
          <w:lang w:bidi="fa-IR"/>
        </w:rPr>
        <w:t xml:space="preserve"> فَاحْفَظْهُ فِي غَيْبَتِهِ ، وَإِذَا شَهِدَ فَزُرْهُ ، وَأَجِلَّهُ ، وَأَكْرِمْهُ ؛ فَإِنَّهُ مِنْكَ وَأَنْتَ مِنْهُ ، فَإِنْ </w:t>
      </w:r>
      <w:r w:rsidR="006C577F" w:rsidRPr="006C577F">
        <w:rPr>
          <w:rStyle w:val="libFootnotenumChar"/>
          <w:rtl/>
        </w:rPr>
        <w:t>(5)</w:t>
      </w:r>
      <w:r w:rsidRPr="00C9040A">
        <w:rPr>
          <w:rtl/>
          <w:lang w:bidi="fa-IR"/>
        </w:rPr>
        <w:t xml:space="preserve"> كَانَ عَلَيْكَ عَاتِباً فَلَا تُفَارِقْهُ حَتّى تَسِلَّ </w:t>
      </w:r>
      <w:r w:rsidR="006C577F" w:rsidRPr="006C577F">
        <w:rPr>
          <w:rStyle w:val="libFootnotenumChar"/>
          <w:rtl/>
        </w:rPr>
        <w:t>(6)</w:t>
      </w:r>
      <w:r w:rsidR="00864E38" w:rsidRPr="00C9040A">
        <w:rPr>
          <w:rtl/>
          <w:lang w:bidi="fa-IR"/>
        </w:rPr>
        <w:t xml:space="preserve"> </w:t>
      </w:r>
      <w:r w:rsidRPr="00C9040A">
        <w:rPr>
          <w:rtl/>
          <w:lang w:bidi="fa-IR"/>
        </w:rPr>
        <w:t xml:space="preserve">سَخِيمَتَهُ </w:t>
      </w:r>
      <w:r w:rsidR="006C577F" w:rsidRPr="006C577F">
        <w:rPr>
          <w:rStyle w:val="libFootnotenumChar"/>
          <w:rtl/>
        </w:rPr>
        <w:t>(7)</w:t>
      </w:r>
      <w:r w:rsidRPr="00C9040A">
        <w:rPr>
          <w:rtl/>
          <w:lang w:bidi="fa-IR"/>
        </w:rPr>
        <w:t xml:space="preserve"> ، وَإِنْ أَصَابَهُ خَيْرٌ فَاحْمَدِ اللهَ ، وَإِنِ ابْتُلِيَ فَاعْضُدْهُ ، وَإِنْ تُمُحِّلَ لَهُ فَأَعِنْهُ </w:t>
      </w:r>
      <w:r w:rsidR="006C577F" w:rsidRPr="006C577F">
        <w:rPr>
          <w:rStyle w:val="libFootnotenumChar"/>
          <w:rtl/>
        </w:rPr>
        <w:t>(8)</w:t>
      </w:r>
      <w:r w:rsidRPr="00C9040A">
        <w:rPr>
          <w:rtl/>
          <w:lang w:bidi="fa-IR"/>
        </w:rPr>
        <w:t xml:space="preserve"> ، وَإِذَا قَالَ الرَّجُلُ لِأَخِيهِ : أُفٍّ ، انْقَطَعَ مَا بَيْنَهُمَا مِنَ الْوَلَايَةِ ، وَإِذَا قَالَ </w:t>
      </w:r>
      <w:r w:rsidR="006C577F" w:rsidRPr="006C577F">
        <w:rPr>
          <w:rStyle w:val="libFootnotenumChar"/>
          <w:rtl/>
        </w:rPr>
        <w:t>(9)</w:t>
      </w:r>
      <w:r w:rsidRPr="00C9040A">
        <w:rPr>
          <w:rtl/>
          <w:lang w:bidi="fa-IR"/>
        </w:rPr>
        <w:t xml:space="preserve"> : أَنْتَ عَدُوِّي ، كَفَرَ </w:t>
      </w:r>
      <w:r w:rsidR="006C577F" w:rsidRPr="006C577F">
        <w:rPr>
          <w:rStyle w:val="libFootnotenumChar"/>
          <w:rtl/>
        </w:rPr>
        <w:t>(10)</w:t>
      </w:r>
      <w:r w:rsidRPr="00C9040A">
        <w:rPr>
          <w:rtl/>
          <w:lang w:bidi="fa-IR"/>
        </w:rPr>
        <w:t xml:space="preserve"> أَحَدُهُمَا ، فَإِذَا اتَّهَمَهُ انْمَاثَ الْإِيمَانُ فِي قَلْبِهِ كَمَا‌</w:t>
      </w:r>
    </w:p>
    <w:p w:rsidR="008A74EB" w:rsidRPr="00C9040A" w:rsidRDefault="008A74EB" w:rsidP="008A74EB">
      <w:pPr>
        <w:pStyle w:val="libLine"/>
        <w:rPr>
          <w:rtl/>
          <w:lang w:bidi="fa-IR"/>
        </w:rPr>
      </w:pPr>
      <w:r w:rsidRPr="00C9040A">
        <w:rPr>
          <w:rtl/>
          <w:lang w:bidi="fa-IR"/>
        </w:rPr>
        <w:t>__________________</w:t>
      </w:r>
    </w:p>
    <w:p w:rsidR="008A74EB" w:rsidRPr="00C9040A" w:rsidRDefault="00864E38" w:rsidP="005C57B5">
      <w:pPr>
        <w:pStyle w:val="libFootnote0"/>
        <w:rPr>
          <w:rtl/>
          <w:lang w:bidi="fa-IR"/>
        </w:rPr>
      </w:pPr>
      <w:r>
        <w:rPr>
          <w:rFonts w:hint="cs"/>
          <w:rtl/>
        </w:rPr>
        <w:t xml:space="preserve">= </w:t>
      </w:r>
      <w:r w:rsidR="008A74EB" w:rsidRPr="00323A39">
        <w:rPr>
          <w:rtl/>
        </w:rPr>
        <w:t xml:space="preserve">عند المجلسي ، حيث قال : « ولا تملّه خيراً ، هي من باب علم ... ويحتمل النفي والنهي ، والأوّل أوفق بقوله </w:t>
      </w:r>
      <w:r w:rsidR="005C57B5" w:rsidRPr="00117575">
        <w:rPr>
          <w:rStyle w:val="libFootnoteAlaemChar"/>
          <w:rtl/>
        </w:rPr>
        <w:t>عليه‌السلام</w:t>
      </w:r>
      <w:r w:rsidR="008A74EB" w:rsidRPr="00323A39">
        <w:rPr>
          <w:rtl/>
        </w:rPr>
        <w:t xml:space="preserve">: فإنّه لك ظهر ، ولو كان نهياً كان الأنسب : وليكن لك ظهراً ، ويؤيّده أنّ في مجالس الشيخ : « لا تملّه خيراً فإنّه لا يملّك ، وكن له عضداً فإنّه لك عضد » [ </w:t>
      </w:r>
      <w:r w:rsidR="008A74EB" w:rsidRPr="00993B55">
        <w:rPr>
          <w:rStyle w:val="libFootnoteBoldChar"/>
          <w:rtl/>
        </w:rPr>
        <w:t>الأمالي</w:t>
      </w:r>
      <w:r w:rsidR="008A74EB" w:rsidRPr="00323A39">
        <w:rPr>
          <w:rtl/>
        </w:rPr>
        <w:t xml:space="preserve"> ، ص 97 ، ح 2 ]. وقد يقرأ الثاني من باب الإفعال ... وقيل : هما من الإملاء بمعنى التأخير ، أي لا تؤخّره خيراً. ولا يخفى ما فيه ، والأوّل أصوب ». راجع : </w:t>
      </w:r>
      <w:r w:rsidR="008A74EB" w:rsidRPr="00993B55">
        <w:rPr>
          <w:rStyle w:val="libFootnoteBoldChar"/>
          <w:rtl/>
        </w:rPr>
        <w:t>شرح المازندراني</w:t>
      </w:r>
      <w:r w:rsidR="008A74EB" w:rsidRPr="00323A39">
        <w:rPr>
          <w:rtl/>
        </w:rPr>
        <w:t xml:space="preserve"> ، ج 9 ، ص 40 ؛ </w:t>
      </w:r>
      <w:r w:rsidR="008A74EB" w:rsidRPr="00993B55">
        <w:rPr>
          <w:rStyle w:val="libFootnoteBoldChar"/>
          <w:rtl/>
        </w:rPr>
        <w:t>مرآة العقول</w:t>
      </w:r>
      <w:r w:rsidR="008A74EB" w:rsidRPr="00323A39">
        <w:rPr>
          <w:rtl/>
        </w:rPr>
        <w:t xml:space="preserve"> ، ج 9 ، ص 33 </w:t>
      </w:r>
      <w:r w:rsidR="0084262C" w:rsidRPr="00323A39">
        <w:rPr>
          <w:rtl/>
        </w:rPr>
        <w:t>-</w:t>
      </w:r>
      <w:r w:rsidR="008A74EB" w:rsidRPr="00323A39">
        <w:rPr>
          <w:rtl/>
        </w:rPr>
        <w:t xml:space="preserve"> 34.</w:t>
      </w:r>
    </w:p>
    <w:tbl>
      <w:tblPr>
        <w:tblStyle w:val="TableGrid"/>
        <w:bidiVisual/>
        <w:tblW w:w="0" w:type="auto"/>
        <w:tblLook w:val="04A0" w:firstRow="1" w:lastRow="0" w:firstColumn="1" w:lastColumn="0" w:noHBand="0" w:noVBand="1"/>
      </w:tblPr>
      <w:tblGrid>
        <w:gridCol w:w="4006"/>
        <w:gridCol w:w="4006"/>
      </w:tblGrid>
      <w:tr w:rsidR="00F04A33" w:rsidTr="00F04A33">
        <w:tc>
          <w:tcPr>
            <w:tcW w:w="4006" w:type="dxa"/>
          </w:tcPr>
          <w:p w:rsidR="00F04A33" w:rsidRDefault="00F04A33" w:rsidP="004A4E41">
            <w:pPr>
              <w:pStyle w:val="libFootnote0"/>
              <w:rPr>
                <w:rtl/>
                <w:lang w:bidi="fa-IR"/>
              </w:rPr>
            </w:pPr>
            <w:r>
              <w:rPr>
                <w:rtl/>
              </w:rPr>
              <w:t xml:space="preserve">(1). </w:t>
            </w:r>
            <w:r w:rsidRPr="00C9040A">
              <w:rPr>
                <w:rtl/>
              </w:rPr>
              <w:t>في الوافي : « ولا يملّ »</w:t>
            </w:r>
            <w:r>
              <w:rPr>
                <w:rtl/>
              </w:rPr>
              <w:t>.</w:t>
            </w:r>
          </w:p>
        </w:tc>
        <w:tc>
          <w:tcPr>
            <w:tcW w:w="4006" w:type="dxa"/>
          </w:tcPr>
          <w:p w:rsidR="00F04A33" w:rsidRDefault="00F04A33" w:rsidP="004A4E41">
            <w:pPr>
              <w:pStyle w:val="libFootnote0"/>
              <w:rPr>
                <w:rtl/>
                <w:lang w:bidi="fa-IR"/>
              </w:rPr>
            </w:pPr>
            <w:r>
              <w:rPr>
                <w:rtl/>
              </w:rPr>
              <w:t xml:space="preserve">(2). </w:t>
            </w:r>
            <w:r w:rsidRPr="00C9040A">
              <w:rPr>
                <w:rtl/>
              </w:rPr>
              <w:t>في « ب » : « ظهيراً »</w:t>
            </w:r>
            <w:r>
              <w:rPr>
                <w:rtl/>
              </w:rPr>
              <w:t>.</w:t>
            </w:r>
          </w:p>
        </w:tc>
      </w:tr>
      <w:tr w:rsidR="00F04A33" w:rsidTr="00F04A33">
        <w:tc>
          <w:tcPr>
            <w:tcW w:w="4006" w:type="dxa"/>
          </w:tcPr>
          <w:p w:rsidR="00F04A33" w:rsidRDefault="00F04A33" w:rsidP="004A4E41">
            <w:pPr>
              <w:pStyle w:val="libFootnote0"/>
              <w:rPr>
                <w:rtl/>
                <w:lang w:bidi="fa-IR"/>
              </w:rPr>
            </w:pPr>
            <w:r>
              <w:rPr>
                <w:rtl/>
              </w:rPr>
              <w:t>(3).</w:t>
            </w:r>
            <w:r w:rsidRPr="00C9040A">
              <w:rPr>
                <w:rtl/>
              </w:rPr>
              <w:t xml:space="preserve"> في الاختصاص : « فإذا »</w:t>
            </w:r>
            <w:r>
              <w:rPr>
                <w:rtl/>
              </w:rPr>
              <w:t>.</w:t>
            </w:r>
          </w:p>
        </w:tc>
        <w:tc>
          <w:tcPr>
            <w:tcW w:w="4006" w:type="dxa"/>
          </w:tcPr>
          <w:p w:rsidR="00F04A33" w:rsidRDefault="00F04A33" w:rsidP="004A4E41">
            <w:pPr>
              <w:pStyle w:val="libFootnote0"/>
              <w:rPr>
                <w:rtl/>
                <w:lang w:bidi="fa-IR"/>
              </w:rPr>
            </w:pPr>
            <w:r>
              <w:rPr>
                <w:rtl/>
              </w:rPr>
              <w:t>(4).</w:t>
            </w:r>
            <w:r w:rsidRPr="00C9040A">
              <w:rPr>
                <w:rtl/>
              </w:rPr>
              <w:t xml:space="preserve"> في الوافي : + « عنك</w:t>
            </w:r>
            <w:r>
              <w:rPr>
                <w:rtl/>
              </w:rPr>
              <w:t xml:space="preserve"> - </w:t>
            </w:r>
            <w:r w:rsidRPr="00C9040A">
              <w:rPr>
                <w:rtl/>
              </w:rPr>
              <w:t>خ »</w:t>
            </w:r>
            <w:r>
              <w:rPr>
                <w:rtl/>
              </w:rPr>
              <w:t>.</w:t>
            </w:r>
          </w:p>
        </w:tc>
      </w:tr>
    </w:tbl>
    <w:p w:rsidR="008A74EB" w:rsidRPr="00C9040A" w:rsidRDefault="006C577F" w:rsidP="004A4E41">
      <w:pPr>
        <w:pStyle w:val="libFootnote0"/>
        <w:rPr>
          <w:rtl/>
          <w:lang w:bidi="fa-IR"/>
        </w:rPr>
      </w:pPr>
      <w:r>
        <w:rPr>
          <w:rtl/>
        </w:rPr>
        <w:t>(5).</w:t>
      </w:r>
      <w:r w:rsidR="008A74EB" w:rsidRPr="00C9040A">
        <w:rPr>
          <w:rtl/>
        </w:rPr>
        <w:t xml:space="preserve"> في الوسائل والاختصاص : « وإن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هكذا في « ج ، د ، ض ، بر ، بف » والوافي ومرآة العقول والوسائل والبحار. وفي سائر النسخ والمطبوع : « حتّى‌تسأل » وفي </w:t>
      </w:r>
      <w:r w:rsidR="008A74EB" w:rsidRPr="00993B55">
        <w:rPr>
          <w:rStyle w:val="libFootnoteBoldChar"/>
          <w:rtl/>
        </w:rPr>
        <w:t>الوافي</w:t>
      </w:r>
      <w:r w:rsidR="008A74EB" w:rsidRPr="00C9040A">
        <w:rPr>
          <w:rtl/>
        </w:rPr>
        <w:t xml:space="preserve"> : « السلّ : انتزاعك الشي‌ء وإخراجه في رفق. والسخيمة : الحقد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هكذا في « ب ، ج ، د ، ز ، ص ، بر ، بس ، بف » وحاشية « ض » والوافي ومرآة العقول والوسائل والبحار. وفي سائر النسخ والمطبوع : « سميحته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نقل « سميحته » عن بعض النسخ ، ثمّ قال : « أي حتّى تطلب منه السماحة والكرم والعفو. ولم أر مصدره على وزن فعيلة ، </w:t>
      </w:r>
      <w:r w:rsidR="001B3843">
        <w:rPr>
          <w:rtl/>
        </w:rPr>
        <w:t>إل</w:t>
      </w:r>
      <w:r w:rsidR="001B3843">
        <w:rPr>
          <w:rFonts w:hint="cs"/>
          <w:rtl/>
        </w:rPr>
        <w:t>ّ</w:t>
      </w:r>
      <w:r w:rsidR="001B3843">
        <w:rPr>
          <w:rtl/>
        </w:rPr>
        <w:t>ا</w:t>
      </w:r>
      <w:r w:rsidR="008A74EB">
        <w:rPr>
          <w:rtl/>
        </w:rPr>
        <w:t xml:space="preserve"> أن</w:t>
      </w:r>
      <w:r w:rsidR="008A74EB" w:rsidRPr="00C9040A">
        <w:rPr>
          <w:rtl/>
        </w:rPr>
        <w:t xml:space="preserve"> يقرأ على بناء التصغير ، فيكون مصغّر السمع أو السماحة. والظاهر أنّه تصحيف للنسخة الا</w:t>
      </w:r>
      <w:r w:rsidR="00B136F6">
        <w:rPr>
          <w:rFonts w:hint="cs"/>
          <w:rtl/>
        </w:rPr>
        <w:t>ُ</w:t>
      </w:r>
      <w:r w:rsidR="008A74EB" w:rsidRPr="00C9040A">
        <w:rPr>
          <w:rtl/>
        </w:rPr>
        <w:t>ولى »</w:t>
      </w:r>
      <w:r w:rsidR="008A74EB">
        <w:rPr>
          <w:rtl/>
        </w:rPr>
        <w:t>.</w:t>
      </w:r>
      <w:r w:rsidR="008A74EB" w:rsidRPr="00C9040A">
        <w:rPr>
          <w:rtl/>
        </w:rPr>
        <w:t xml:space="preserve"> وفي </w:t>
      </w:r>
      <w:r w:rsidR="008A74EB" w:rsidRPr="00993B55">
        <w:rPr>
          <w:rStyle w:val="libFootnoteBoldChar"/>
          <w:rtl/>
        </w:rPr>
        <w:t>شرح المازندراني</w:t>
      </w:r>
      <w:r w:rsidR="008A74EB" w:rsidRPr="00C9040A">
        <w:rPr>
          <w:rtl/>
        </w:rPr>
        <w:t xml:space="preserve"> : « حتّى تسأل سميحته ، أي جوده بالعفو عن التقصير ومساهلته بالتجاوز لئلاّ يستقرّ في قلبه فيوجب التنافر والتباغض. وفي بعض النسخ « سخيمته » بالخاء المعجمة قبل الياء ، أي حتّى تسأل عن سبب سخيمته ، وهي الحقد والبغض ، فإذا ظهر لك فتداركه حتّى تزول السخيمة عنه فيخلص لك المودّة ، فإن استمرّ فاعذر إليه حتّى يقبل منك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الاختصاص : « وتمحل له وأعنه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 وإذا تمحّل له فأعنه ، أي إذا كاده إنسان واحتال‌لضرره فأعنه على دفعه ، أو إذا احتال له رجل فلا تكله إليه وأعنه أيضاً. وقرأ بعضهم : يمحل بالياء على بناء المجرّد المجهول بالمعنى الأوّل ، وهو أوفق باللغة ، لكن لا تساعده النسخ »</w:t>
      </w:r>
      <w:r w:rsidR="008A74EB">
        <w:rPr>
          <w:rtl/>
        </w:rPr>
        <w:t>.</w:t>
      </w:r>
      <w:r w:rsidR="008A74EB" w:rsidRPr="00C9040A">
        <w:rPr>
          <w:rtl/>
        </w:rPr>
        <w:t xml:space="preserve"> </w:t>
      </w:r>
      <w:r w:rsidR="008A74EB">
        <w:rPr>
          <w:rtl/>
        </w:rPr>
        <w:t>و «</w:t>
      </w:r>
      <w:r w:rsidR="008A74EB" w:rsidRPr="00C9040A">
        <w:rPr>
          <w:rtl/>
        </w:rPr>
        <w:t xml:space="preserve"> ال</w:t>
      </w:r>
      <w:r w:rsidR="00B136F6">
        <w:rPr>
          <w:rFonts w:hint="cs"/>
          <w:rtl/>
        </w:rPr>
        <w:t>ـ</w:t>
      </w:r>
      <w:r w:rsidR="008A74EB" w:rsidRPr="00C9040A">
        <w:rPr>
          <w:rtl/>
        </w:rPr>
        <w:t>مِحال » : من ال</w:t>
      </w:r>
      <w:r w:rsidR="00B136F6">
        <w:rPr>
          <w:rFonts w:hint="cs"/>
          <w:rtl/>
        </w:rPr>
        <w:t>ـ</w:t>
      </w:r>
      <w:r w:rsidR="008A74EB" w:rsidRPr="00C9040A">
        <w:rPr>
          <w:rtl/>
        </w:rPr>
        <w:t xml:space="preserve">مَكيدة ، ورَوْم ذلك بالحِيَل. ومَحَل فلان بفلانٍ : إذا كاده بسِعاية إلى السلطان. </w:t>
      </w:r>
      <w:r w:rsidR="008A74EB" w:rsidRPr="00993B55">
        <w:rPr>
          <w:rStyle w:val="libFootnoteBoldChar"/>
          <w:rtl/>
        </w:rPr>
        <w:t>ترتيب كتاب العين</w:t>
      </w:r>
      <w:r w:rsidR="008A74EB" w:rsidRPr="00C9040A">
        <w:rPr>
          <w:rtl/>
        </w:rPr>
        <w:t xml:space="preserve"> ، ج 3 ، ص 1681 ( محل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الوسائل : + « له »</w:t>
      </w:r>
      <w:r w:rsidR="008A74EB">
        <w:rPr>
          <w:rtl/>
        </w:rPr>
        <w:t>.</w:t>
      </w:r>
      <w:r w:rsidR="008A74EB" w:rsidRPr="00C9040A">
        <w:rPr>
          <w:rtl/>
        </w:rPr>
        <w:t xml:space="preserve"> وفي الاختصاص : + « الرجل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الاختصاص : « فقد كفر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يَنْمَاثُ </w:t>
      </w:r>
      <w:r w:rsidR="006C577F" w:rsidRPr="006C577F">
        <w:rPr>
          <w:rStyle w:val="libFootnotenumChar"/>
          <w:rtl/>
        </w:rPr>
        <w:t>(1)</w:t>
      </w:r>
      <w:r w:rsidRPr="00C9040A">
        <w:rPr>
          <w:rtl/>
          <w:lang w:bidi="fa-IR"/>
        </w:rPr>
        <w:t xml:space="preserve"> الْمِلْحُ فِي الْمَاءِ »</w:t>
      </w:r>
      <w:r>
        <w:rPr>
          <w:rtl/>
          <w:lang w:bidi="fa-IR"/>
        </w:rPr>
        <w:t>.</w:t>
      </w:r>
    </w:p>
    <w:p w:rsidR="008A74EB" w:rsidRPr="00C9040A" w:rsidRDefault="008A74EB" w:rsidP="008A74EB">
      <w:pPr>
        <w:pStyle w:val="libNormal"/>
        <w:rPr>
          <w:rtl/>
          <w:lang w:bidi="fa-IR"/>
        </w:rPr>
      </w:pPr>
      <w:r w:rsidRPr="00C9040A">
        <w:rPr>
          <w:rtl/>
          <w:lang w:bidi="fa-IR"/>
        </w:rPr>
        <w:t xml:space="preserve">وَقَالَ : بَلَغَنِي أَنَّهُ قَالَ </w:t>
      </w:r>
      <w:r w:rsidR="006C577F" w:rsidRPr="006C577F">
        <w:rPr>
          <w:rStyle w:val="libFootnotenumChar"/>
          <w:rtl/>
        </w:rPr>
        <w:t>(2)</w:t>
      </w:r>
      <w:r w:rsidRPr="00C9040A">
        <w:rPr>
          <w:rtl/>
          <w:lang w:bidi="fa-IR"/>
        </w:rPr>
        <w:t xml:space="preserve"> : « إِنَّ الْمُؤْمِنَ لَيَزْهَرُ نُورُهُ لِأَهْلِ السَّمَاءِ كَمَا تَزْهَرُ </w:t>
      </w:r>
      <w:r w:rsidR="006C577F" w:rsidRPr="006C577F">
        <w:rPr>
          <w:rStyle w:val="libFootnotenumChar"/>
          <w:rtl/>
        </w:rPr>
        <w:t>(3)</w:t>
      </w:r>
      <w:r w:rsidRPr="00C9040A">
        <w:rPr>
          <w:rtl/>
          <w:lang w:bidi="fa-IR"/>
        </w:rPr>
        <w:t xml:space="preserve"> نُجُومُ السَّمَاءِ لِأَهْلِ الْأَرْضِ »</w:t>
      </w:r>
      <w:r>
        <w:rPr>
          <w:rtl/>
          <w:lang w:bidi="fa-IR"/>
        </w:rPr>
        <w:t>.</w:t>
      </w:r>
    </w:p>
    <w:p w:rsidR="008A74EB" w:rsidRPr="00C9040A" w:rsidRDefault="008A74EB" w:rsidP="008A74EB">
      <w:pPr>
        <w:pStyle w:val="libNormal"/>
        <w:rPr>
          <w:rtl/>
          <w:lang w:bidi="fa-IR"/>
        </w:rPr>
      </w:pPr>
      <w:r w:rsidRPr="00C9040A">
        <w:rPr>
          <w:rtl/>
          <w:lang w:bidi="fa-IR"/>
        </w:rPr>
        <w:t>وَقَالَ : « إِنَّ الْمُؤْمِنَ وَلِيُّ اللهِ ، يُعِينُهُ ، وَيَصْنَعُ لَهُ</w:t>
      </w:r>
      <w:r w:rsidR="004E1A53">
        <w:rPr>
          <w:rtl/>
          <w:lang w:bidi="fa-IR"/>
        </w:rPr>
        <w:t xml:space="preserve"> ، وَلَا يَقُولُ عَلَيْهِ إِل</w:t>
      </w:r>
      <w:r w:rsidR="004E1A53">
        <w:rPr>
          <w:rFonts w:hint="cs"/>
          <w:rtl/>
          <w:lang w:bidi="fa-IR"/>
        </w:rPr>
        <w:t>َّ</w:t>
      </w:r>
      <w:r w:rsidR="004E1A53">
        <w:rPr>
          <w:rtl/>
          <w:lang w:bidi="fa-IR"/>
        </w:rPr>
        <w:t>ا</w:t>
      </w:r>
      <w:r w:rsidRPr="00C9040A">
        <w:rPr>
          <w:rtl/>
          <w:lang w:bidi="fa-IR"/>
        </w:rPr>
        <w:t xml:space="preserve"> الْحَقَّ ، وَلَا يَخَافُ غَيْرَهُ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F432EC">
        <w:rPr>
          <w:rtl/>
        </w:rPr>
        <w:t>2061</w:t>
      </w:r>
      <w:r w:rsidRPr="00261CB0">
        <w:rPr>
          <w:rStyle w:val="libBold2Char"/>
          <w:rtl/>
        </w:rPr>
        <w:t xml:space="preserve"> / 6.</w:t>
      </w:r>
      <w:r w:rsidRPr="00C9040A">
        <w:rPr>
          <w:rtl/>
          <w:lang w:bidi="fa-IR"/>
        </w:rPr>
        <w:t xml:space="preserve"> أَبُو عَلِيٍّ الْأَشْعَرِيُّ ، عَنْ مُحَمَّدِ بْنِ عَبْدِ الْجَبَّارِ ، عَنِ ابْنِ فَضَّالٍ ، عَنْ عَلِيِّ بْنِ عُقْبَةَ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لِلْمُسْلِمِ عَلى أَخِيهِ </w:t>
      </w:r>
      <w:r w:rsidR="006C577F" w:rsidRPr="006C577F">
        <w:rPr>
          <w:rStyle w:val="libFootnotenumChar"/>
          <w:rtl/>
        </w:rPr>
        <w:t>(5)</w:t>
      </w:r>
      <w:r w:rsidRPr="00C9040A">
        <w:rPr>
          <w:rtl/>
          <w:lang w:bidi="fa-IR"/>
        </w:rPr>
        <w:t xml:space="preserve"> الْمُسْلِمِ </w:t>
      </w:r>
      <w:r w:rsidR="006C577F" w:rsidRPr="006C577F">
        <w:rPr>
          <w:rStyle w:val="libFootnotenumChar"/>
          <w:rtl/>
        </w:rPr>
        <w:t>(6)</w:t>
      </w:r>
      <w:r w:rsidRPr="005B567D">
        <w:rPr>
          <w:rStyle w:val="libFootnotenumChar"/>
          <w:rtl/>
        </w:rPr>
        <w:t xml:space="preserve"> </w:t>
      </w:r>
      <w:r w:rsidRPr="00C9040A">
        <w:rPr>
          <w:rtl/>
          <w:lang w:bidi="fa-IR"/>
        </w:rPr>
        <w:t xml:space="preserve">مِنَ الْحَقِّ أَنْ يُسَلِّمَ عَلَيْهِ إِذَا لَقِيَهُ ، وَيَعُودَهُ إِذَا مَرِضَ ، وَيَنْصَحَ لَهُ إِذَا غَابَ </w:t>
      </w:r>
      <w:r w:rsidR="006C577F" w:rsidRPr="006C577F">
        <w:rPr>
          <w:rStyle w:val="libFootnotenumChar"/>
          <w:rtl/>
        </w:rPr>
        <w:t>(7)</w:t>
      </w:r>
      <w:r w:rsidRPr="00C9040A">
        <w:rPr>
          <w:rtl/>
          <w:lang w:bidi="fa-IR"/>
        </w:rPr>
        <w:t xml:space="preserve"> ، وَيُسَمِّتَهُ </w:t>
      </w:r>
      <w:r w:rsidR="006C577F" w:rsidRPr="006C577F">
        <w:rPr>
          <w:rStyle w:val="libFootnotenumChar"/>
          <w:rtl/>
        </w:rPr>
        <w:t>(8)</w:t>
      </w:r>
      <w:r w:rsidRPr="00C9040A">
        <w:rPr>
          <w:rtl/>
          <w:lang w:bidi="fa-IR"/>
        </w:rPr>
        <w:t xml:space="preserve"> إِذَا عَطَسَ ، وَيُجِيبَهُ إِذَا‌</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بر » : « كانمياث »</w:t>
      </w:r>
      <w:r w:rsidR="008A74EB">
        <w:rPr>
          <w:rtl/>
        </w:rPr>
        <w:t>.</w:t>
      </w:r>
      <w:r w:rsidR="008A74EB" w:rsidRPr="00C9040A">
        <w:rPr>
          <w:rtl/>
        </w:rPr>
        <w:t xml:space="preserve"> وماث الشي‌ءُ مَوثاً ويَمِيث مَيثاً</w:t>
      </w:r>
      <w:r w:rsidR="008A74EB">
        <w:rPr>
          <w:rtl/>
        </w:rPr>
        <w:t xml:space="preserve"> </w:t>
      </w:r>
      <w:r w:rsidR="0084262C">
        <w:rPr>
          <w:rtl/>
        </w:rPr>
        <w:t>-</w:t>
      </w:r>
      <w:r w:rsidR="008A74EB">
        <w:rPr>
          <w:rtl/>
        </w:rPr>
        <w:t xml:space="preserve"> </w:t>
      </w:r>
      <w:r w:rsidR="008A74EB" w:rsidRPr="00C9040A">
        <w:rPr>
          <w:rtl/>
        </w:rPr>
        <w:t>لغة</w:t>
      </w:r>
      <w:r w:rsidR="008A74EB">
        <w:rPr>
          <w:rtl/>
        </w:rPr>
        <w:t xml:space="preserve"> </w:t>
      </w:r>
      <w:r w:rsidR="0084262C">
        <w:rPr>
          <w:rtl/>
        </w:rPr>
        <w:t>-</w:t>
      </w:r>
      <w:r w:rsidR="008A74EB">
        <w:rPr>
          <w:rtl/>
        </w:rPr>
        <w:t xml:space="preserve"> </w:t>
      </w:r>
      <w:r w:rsidR="008A74EB" w:rsidRPr="00C9040A">
        <w:rPr>
          <w:rtl/>
        </w:rPr>
        <w:t xml:space="preserve">: ذاب في الماء. </w:t>
      </w:r>
      <w:r w:rsidR="008A74EB" w:rsidRPr="00993B55">
        <w:rPr>
          <w:rStyle w:val="libFootnoteBoldChar"/>
          <w:rtl/>
        </w:rPr>
        <w:t>المصباح المنير</w:t>
      </w:r>
      <w:r w:rsidR="008A74EB" w:rsidRPr="00C9040A">
        <w:rPr>
          <w:rtl/>
        </w:rPr>
        <w:t xml:space="preserve"> ، ص 584 ؛ </w:t>
      </w:r>
      <w:r w:rsidR="008A74EB" w:rsidRPr="00993B55">
        <w:rPr>
          <w:rStyle w:val="libFootnoteBoldChar"/>
          <w:rtl/>
        </w:rPr>
        <w:t>لسان العرب</w:t>
      </w:r>
      <w:r w:rsidR="008A74EB" w:rsidRPr="00C9040A">
        <w:rPr>
          <w:rtl/>
        </w:rPr>
        <w:t xml:space="preserve"> ، ج 2 ، ص 192 ( موث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الاختصاص : + « كذا والله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ز ، ص ، بر ، بف » والاختصاص : « يزهر »</w:t>
      </w:r>
      <w:r w:rsidR="008A74EB">
        <w:rPr>
          <w:rtl/>
        </w:rPr>
        <w:t>.</w:t>
      </w:r>
    </w:p>
    <w:p w:rsidR="008A74EB" w:rsidRPr="00C9040A" w:rsidRDefault="006C577F" w:rsidP="004E1A53">
      <w:pPr>
        <w:pStyle w:val="libFootnote0"/>
        <w:rPr>
          <w:rtl/>
          <w:lang w:bidi="fa-IR"/>
        </w:rPr>
      </w:pPr>
      <w:r>
        <w:rPr>
          <w:rtl/>
        </w:rPr>
        <w:t>(4).</w:t>
      </w:r>
      <w:r w:rsidR="008A74EB" w:rsidRPr="00C9040A">
        <w:rPr>
          <w:rtl/>
        </w:rPr>
        <w:t xml:space="preserve"> </w:t>
      </w:r>
      <w:r w:rsidR="008A74EB" w:rsidRPr="00993B55">
        <w:rPr>
          <w:rStyle w:val="libFootnoteBoldChar"/>
          <w:rtl/>
        </w:rPr>
        <w:t>الكافي</w:t>
      </w:r>
      <w:r w:rsidR="008A74EB" w:rsidRPr="00C9040A">
        <w:rPr>
          <w:rtl/>
        </w:rPr>
        <w:t xml:space="preserve"> ، كتاب الإيمان والكفر ، باب التهمة وسوء الظنّ ، ح 2777 ، وفيه قطعة منه. </w:t>
      </w:r>
      <w:r w:rsidR="008A74EB" w:rsidRPr="00993B55">
        <w:rPr>
          <w:rStyle w:val="libFootnoteBoldChar"/>
          <w:rtl/>
        </w:rPr>
        <w:t>وفيه</w:t>
      </w:r>
      <w:r w:rsidR="008A74EB" w:rsidRPr="00C9040A">
        <w:rPr>
          <w:rtl/>
        </w:rPr>
        <w:t xml:space="preserve"> ، باب السباب ، ح 2775 ، بسند آخر ، قطعة منه ، مع اختلاف يسير وزيادة في آخره. وفي </w:t>
      </w:r>
      <w:r w:rsidR="008A74EB" w:rsidRPr="00993B55">
        <w:rPr>
          <w:rStyle w:val="libFootnoteBoldChar"/>
          <w:rtl/>
        </w:rPr>
        <w:t>الأمالي</w:t>
      </w:r>
      <w:r w:rsidR="008A74EB" w:rsidRPr="00C9040A">
        <w:rPr>
          <w:rtl/>
        </w:rPr>
        <w:t xml:space="preserve"> للطوسي ، ص 97 ، المجلس 4 ، ح 2 ، بسند آخر ، إلى قوله : « فإنّه منك وأنت منه » ؛ </w:t>
      </w:r>
      <w:r w:rsidR="008A74EB" w:rsidRPr="00993B55">
        <w:rPr>
          <w:rStyle w:val="libFootnoteBoldChar"/>
          <w:rtl/>
        </w:rPr>
        <w:t>المؤمن</w:t>
      </w:r>
      <w:r w:rsidR="008A74EB" w:rsidRPr="00C9040A">
        <w:rPr>
          <w:rtl/>
        </w:rPr>
        <w:t xml:space="preserve"> ، ص 42 ، ح 95 ، عن أبي عبدالله </w:t>
      </w:r>
      <w:r w:rsidR="00117575" w:rsidRPr="00117575">
        <w:rPr>
          <w:rStyle w:val="libFootnoteAlaemChar"/>
          <w:rtl/>
        </w:rPr>
        <w:t>عليه‌السلام</w:t>
      </w:r>
      <w:r w:rsidR="008A74EB" w:rsidRPr="00C9040A">
        <w:rPr>
          <w:rtl/>
        </w:rPr>
        <w:t xml:space="preserve"> ، إلى قوله : « وإن تحمل له فأعنه » مع زيادة في أوّله ، وفيهما مع اختلاف يسير ؛ </w:t>
      </w:r>
      <w:r w:rsidR="008A74EB" w:rsidRPr="00993B55">
        <w:rPr>
          <w:rStyle w:val="libFootnoteBoldChar"/>
          <w:rtl/>
        </w:rPr>
        <w:t>الاختصاص</w:t>
      </w:r>
      <w:r w:rsidR="008A74EB" w:rsidRPr="00C9040A">
        <w:rPr>
          <w:rtl/>
        </w:rPr>
        <w:t xml:space="preserve"> ، ص 27 ، مرسلاً</w:t>
      </w:r>
      <w:r w:rsidR="004E1A53">
        <w:rPr>
          <w:rFonts w:hint="cs"/>
          <w:rtl/>
        </w:rPr>
        <w:t>.</w:t>
      </w:r>
      <w:r w:rsidR="008A74EB" w:rsidRPr="00993B55">
        <w:rPr>
          <w:rStyle w:val="libFootnoteBoldChar"/>
          <w:rtl/>
        </w:rPr>
        <w:t>الوافي</w:t>
      </w:r>
      <w:r w:rsidR="008A74EB" w:rsidRPr="00C9040A">
        <w:rPr>
          <w:rtl/>
        </w:rPr>
        <w:t xml:space="preserve"> ، ج 5 ، ص 559 ، ح 2574 ؛ </w:t>
      </w:r>
      <w:r w:rsidR="008A74EB" w:rsidRPr="00993B55">
        <w:rPr>
          <w:rStyle w:val="libFootnoteBoldChar"/>
          <w:rtl/>
        </w:rPr>
        <w:t>الوسائل</w:t>
      </w:r>
      <w:r w:rsidR="008A74EB" w:rsidRPr="00C9040A">
        <w:rPr>
          <w:rtl/>
        </w:rPr>
        <w:t xml:space="preserve"> ، ج 12 ، ص 206 ، ح 16098 ، إلى قوله : « كما ينماث الملح في الماء » ؛ </w:t>
      </w:r>
      <w:r w:rsidR="008A74EB" w:rsidRPr="00993B55">
        <w:rPr>
          <w:rStyle w:val="libFootnoteBoldChar"/>
          <w:rtl/>
        </w:rPr>
        <w:t>البحار</w:t>
      </w:r>
      <w:r w:rsidR="008A74EB" w:rsidRPr="00C9040A">
        <w:rPr>
          <w:rtl/>
        </w:rPr>
        <w:t xml:space="preserve"> ، ج 74 ، ص 243 ، ح 43.</w:t>
      </w:r>
    </w:p>
    <w:p w:rsidR="008A74EB" w:rsidRPr="00C9040A" w:rsidRDefault="006C577F" w:rsidP="004A4E41">
      <w:pPr>
        <w:pStyle w:val="libFootnote0"/>
        <w:rPr>
          <w:rtl/>
          <w:lang w:bidi="fa-IR"/>
        </w:rPr>
      </w:pPr>
      <w:r>
        <w:rPr>
          <w:rtl/>
        </w:rPr>
        <w:t>(5).</w:t>
      </w:r>
      <w:r w:rsidR="008A74EB" w:rsidRPr="00C9040A">
        <w:rPr>
          <w:rtl/>
        </w:rPr>
        <w:t xml:space="preserve"> في الوسائل </w:t>
      </w:r>
      <w:r w:rsidR="008A74EB">
        <w:rPr>
          <w:rtl/>
        </w:rPr>
        <w:t xml:space="preserve">: </w:t>
      </w:r>
      <w:r w:rsidR="0084262C">
        <w:rPr>
          <w:rtl/>
        </w:rPr>
        <w:t>-</w:t>
      </w:r>
      <w:r w:rsidR="008A74EB" w:rsidRPr="00C9040A">
        <w:rPr>
          <w:rtl/>
        </w:rPr>
        <w:t xml:space="preserve"> « أخيه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الكافي ح 3679 والمؤمن </w:t>
      </w:r>
      <w:r w:rsidR="008A74EB">
        <w:rPr>
          <w:rtl/>
        </w:rPr>
        <w:t xml:space="preserve">: </w:t>
      </w:r>
      <w:r w:rsidR="0084262C">
        <w:rPr>
          <w:rtl/>
        </w:rPr>
        <w:t>-</w:t>
      </w:r>
      <w:r w:rsidR="008A74EB" w:rsidRPr="00C9040A">
        <w:rPr>
          <w:rtl/>
        </w:rPr>
        <w:t xml:space="preserve"> « المسلم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ج » : « طاب »</w:t>
      </w:r>
      <w:r w:rsidR="008A74EB">
        <w:rPr>
          <w:rtl/>
        </w:rPr>
        <w:t>.</w:t>
      </w:r>
      <w:r w:rsidR="008A74EB" w:rsidRPr="00C9040A">
        <w:rPr>
          <w:rtl/>
        </w:rPr>
        <w:t xml:space="preserve"> « ونَصَحَ الشي‌ءُ : خَلَصَ. أي يكون خالصاً طالباً لخيره ، دافعاً عنه الغيبة وسائر الشرور. راجع : </w:t>
      </w:r>
      <w:r w:rsidR="008A74EB" w:rsidRPr="00993B55">
        <w:rPr>
          <w:rStyle w:val="libFootnoteBoldChar"/>
          <w:rtl/>
        </w:rPr>
        <w:t>مرآة العقول</w:t>
      </w:r>
      <w:r w:rsidR="008A74EB" w:rsidRPr="00C9040A">
        <w:rPr>
          <w:rtl/>
        </w:rPr>
        <w:t xml:space="preserve"> ، ج 9 ، ص 37 ؛ </w:t>
      </w:r>
      <w:r w:rsidR="008A74EB" w:rsidRPr="00993B55">
        <w:rPr>
          <w:rStyle w:val="libFootnoteBoldChar"/>
          <w:rtl/>
        </w:rPr>
        <w:t>لسان العرب</w:t>
      </w:r>
      <w:r w:rsidR="008A74EB" w:rsidRPr="00C9040A">
        <w:rPr>
          <w:rtl/>
        </w:rPr>
        <w:t xml:space="preserve"> ، ج 2 ، ص 615 ( نصح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 ج » : « ويسمّيه »</w:t>
      </w:r>
      <w:r w:rsidR="008A74EB">
        <w:rPr>
          <w:rtl/>
        </w:rPr>
        <w:t>.</w:t>
      </w:r>
      <w:r w:rsidR="008A74EB" w:rsidRPr="00C9040A">
        <w:rPr>
          <w:rtl/>
        </w:rPr>
        <w:t xml:space="preserve"> </w:t>
      </w:r>
      <w:r w:rsidR="008A74EB">
        <w:rPr>
          <w:rtl/>
        </w:rPr>
        <w:t>و «</w:t>
      </w:r>
      <w:r w:rsidR="008A74EB" w:rsidRPr="00C9040A">
        <w:rPr>
          <w:rtl/>
        </w:rPr>
        <w:t xml:space="preserve"> التسميت » : ذكر الله تعالى على الشي‌ء ، وتسميت العاطس : الدعاء له. والشين المعجمة مثله. وقال ثعلب : المهملة هي الأصل ؛ أخذاً من السَّمْت ، وهو القصد والهُدى والاستقامة. وكلّ داعٍ بخيرٍ فهو مُسمِّت ، أي داعٍ بالعود والبقاء إلى سَمْتِه. </w:t>
      </w:r>
      <w:r w:rsidR="008A74EB" w:rsidRPr="00993B55">
        <w:rPr>
          <w:rStyle w:val="libFootnoteBoldChar"/>
          <w:rtl/>
        </w:rPr>
        <w:t>المصباح المنير</w:t>
      </w:r>
      <w:r w:rsidR="008A74EB" w:rsidRPr="00C9040A">
        <w:rPr>
          <w:rtl/>
        </w:rPr>
        <w:t xml:space="preserve"> ، ص 287 ( سمت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دَعَاهُ ، وَيَتْبَعَهُ </w:t>
      </w:r>
      <w:r w:rsidR="006C577F" w:rsidRPr="006C577F">
        <w:rPr>
          <w:rStyle w:val="libFootnotenumChar"/>
          <w:rtl/>
        </w:rPr>
        <w:t>(1)</w:t>
      </w:r>
      <w:r w:rsidRPr="00C9040A">
        <w:rPr>
          <w:rtl/>
          <w:lang w:bidi="fa-IR"/>
        </w:rPr>
        <w:t xml:space="preserve"> إِذَا مَاتَ »</w:t>
      </w:r>
      <w:r>
        <w:rPr>
          <w:rtl/>
          <w:lang w:bidi="fa-IR"/>
        </w:rPr>
        <w:t>.</w:t>
      </w:r>
    </w:p>
    <w:p w:rsidR="008A74EB" w:rsidRPr="00C9040A" w:rsidRDefault="004E1A53" w:rsidP="008A74EB">
      <w:pPr>
        <w:pStyle w:val="libNormal"/>
        <w:rPr>
          <w:rtl/>
          <w:lang w:bidi="fa-IR"/>
        </w:rPr>
      </w:pPr>
      <w:r>
        <w:rPr>
          <w:rFonts w:hint="cs"/>
          <w:rtl/>
          <w:lang w:bidi="fa-IR"/>
        </w:rPr>
        <w:t xml:space="preserve">* </w:t>
      </w:r>
      <w:r w:rsidR="008A74EB" w:rsidRPr="00C9040A">
        <w:rPr>
          <w:rtl/>
          <w:lang w:bidi="fa-IR"/>
        </w:rPr>
        <w:t xml:space="preserve">عِدَّةٌ مِنْ أَصْحَابِنَا ، عَنْ أَحْمَدَ بْنِ مُحَمَّدِ بْنِ خَالِدٍ ، عَنِ ابْنِ فَضَّالٍ ، عَنْ عَلِيِّ بْنِ عُقْبَةَ ، مِثْلَهُ. </w:t>
      </w:r>
      <w:r w:rsidR="006C577F" w:rsidRPr="006C577F">
        <w:rPr>
          <w:rStyle w:val="libFootnotenumChar"/>
          <w:rtl/>
        </w:rPr>
        <w:t>(2)</w:t>
      </w:r>
      <w:r w:rsidR="008A74EB" w:rsidRPr="00C9040A">
        <w:rPr>
          <w:rtl/>
          <w:lang w:bidi="fa-IR"/>
        </w:rPr>
        <w:t>‌</w:t>
      </w:r>
    </w:p>
    <w:p w:rsidR="008A74EB" w:rsidRPr="00C9040A" w:rsidRDefault="008A74EB" w:rsidP="008A74EB">
      <w:pPr>
        <w:pStyle w:val="libNormal"/>
        <w:rPr>
          <w:rtl/>
          <w:lang w:bidi="fa-IR"/>
        </w:rPr>
      </w:pPr>
      <w:r w:rsidRPr="00F432EC">
        <w:rPr>
          <w:rtl/>
        </w:rPr>
        <w:t>2062</w:t>
      </w:r>
      <w:r w:rsidRPr="00261CB0">
        <w:rPr>
          <w:rStyle w:val="libBold2Char"/>
          <w:rtl/>
        </w:rPr>
        <w:t xml:space="preserve"> / 7.</w:t>
      </w:r>
      <w:r w:rsidRPr="00C9040A">
        <w:rPr>
          <w:rtl/>
          <w:lang w:bidi="fa-IR"/>
        </w:rPr>
        <w:t xml:space="preserve"> عَلِيُّ بْنُ إِبْرَاهِيمَ ، عَنْ أَبِيهِ ، عَنِ ابْنِ أَبِي عُمَيْرٍ ، عَنْ مَنْصُورِ بْنِ يُونُسَ ، عَنْ أَبِي الْمَأْمُونِ الْحَارِثِيِّ ، قَالَ :</w:t>
      </w:r>
    </w:p>
    <w:p w:rsidR="008A74EB" w:rsidRPr="00C9040A" w:rsidRDefault="008A74EB" w:rsidP="008A74EB">
      <w:pPr>
        <w:pStyle w:val="libNormal"/>
        <w:rPr>
          <w:rtl/>
          <w:lang w:bidi="fa-IR"/>
        </w:rPr>
      </w:pPr>
      <w:r w:rsidRPr="00C9040A">
        <w:rPr>
          <w:rtl/>
          <w:lang w:bidi="fa-IR"/>
        </w:rPr>
        <w:t xml:space="preserve">قُلْتُ لِأَبِي عَبْدِ اللهِ </w:t>
      </w:r>
      <w:r w:rsidRPr="0003660B">
        <w:rPr>
          <w:rStyle w:val="libAlaemChar"/>
          <w:rtl/>
        </w:rPr>
        <w:t>عليه‌السلام</w:t>
      </w:r>
      <w:r w:rsidRPr="00C9040A">
        <w:rPr>
          <w:rtl/>
          <w:lang w:bidi="fa-IR"/>
        </w:rPr>
        <w:t xml:space="preserve"> : مَا حَقُّ الْمُؤْمِنِ عَلَى الْمُؤْمِنِ</w:t>
      </w:r>
      <w:r>
        <w:rPr>
          <w:rtl/>
          <w:lang w:bidi="fa-IR"/>
        </w:rPr>
        <w:t>؟</w:t>
      </w:r>
    </w:p>
    <w:p w:rsidR="008A74EB" w:rsidRPr="00C9040A" w:rsidRDefault="008A74EB" w:rsidP="00D37522">
      <w:pPr>
        <w:pStyle w:val="libNormal"/>
        <w:rPr>
          <w:rtl/>
          <w:lang w:bidi="fa-IR"/>
        </w:rPr>
      </w:pPr>
      <w:r w:rsidRPr="00C9040A">
        <w:rPr>
          <w:rtl/>
          <w:lang w:bidi="fa-IR"/>
        </w:rPr>
        <w:t xml:space="preserve">قَالَ : « إِنَّ مِنْ حَقِّ الْمُؤْمِنِ عَلَى الْمُؤْمِنِ الْمَوَدَّةَ لَهُ فِي صَدْرِهِ ، وَالْمُؤَاسَاةَ </w:t>
      </w:r>
      <w:r w:rsidR="006C577F" w:rsidRPr="006C577F">
        <w:rPr>
          <w:rStyle w:val="libFootnotenumChar"/>
          <w:rtl/>
        </w:rPr>
        <w:t>(3)</w:t>
      </w:r>
      <w:r w:rsidRPr="00C9040A">
        <w:rPr>
          <w:rtl/>
          <w:lang w:bidi="fa-IR"/>
        </w:rPr>
        <w:t xml:space="preserve"> لَهُ فِي مَالِهِ ، وَالْخَلَفَ لَهُ فِي أَهْلِهِ ، وَالنُّصْرَةَ لَهُ عَلى مَنْ ظَلَمَهُ ، وَإِنْ </w:t>
      </w:r>
      <w:r w:rsidR="006C577F" w:rsidRPr="006C577F">
        <w:rPr>
          <w:rStyle w:val="libFootnotenumChar"/>
          <w:rtl/>
        </w:rPr>
        <w:t>(4)</w:t>
      </w:r>
      <w:r w:rsidRPr="00C9040A">
        <w:rPr>
          <w:rtl/>
          <w:lang w:bidi="fa-IR"/>
        </w:rPr>
        <w:t xml:space="preserve"> كَانَ نَافِلَةٌ </w:t>
      </w:r>
      <w:r w:rsidR="006C577F" w:rsidRPr="006C577F">
        <w:rPr>
          <w:rStyle w:val="libFootnotenumChar"/>
          <w:rtl/>
        </w:rPr>
        <w:t>(5)</w:t>
      </w:r>
      <w:r w:rsidRPr="00C9040A">
        <w:rPr>
          <w:rtl/>
          <w:lang w:bidi="fa-IR"/>
        </w:rPr>
        <w:t xml:space="preserve"> فِي الْمُسْلِمِينَ وَكَانَ غَائِباً ، أَخَذَ لَهُ بِنَصِيبِهِ ، وَإِذَا </w:t>
      </w:r>
      <w:r w:rsidR="006C577F" w:rsidRPr="006C577F">
        <w:rPr>
          <w:rStyle w:val="libFootnotenumChar"/>
          <w:rtl/>
        </w:rPr>
        <w:t>(6)</w:t>
      </w:r>
      <w:r w:rsidR="00D37522" w:rsidRPr="00C9040A">
        <w:rPr>
          <w:rtl/>
          <w:lang w:bidi="fa-IR"/>
        </w:rPr>
        <w:t xml:space="preserve"> </w:t>
      </w:r>
      <w:r w:rsidRPr="00C9040A">
        <w:rPr>
          <w:rtl/>
          <w:lang w:bidi="fa-IR"/>
        </w:rPr>
        <w:t xml:space="preserve">مَاتَ الزِّيَارَةَ </w:t>
      </w:r>
      <w:r w:rsidR="006C577F" w:rsidRPr="006C577F">
        <w:rPr>
          <w:rStyle w:val="libFootnotenumChar"/>
          <w:rtl/>
        </w:rPr>
        <w:t>(7)</w:t>
      </w:r>
      <w:r w:rsidRPr="00C9040A">
        <w:rPr>
          <w:rtl/>
          <w:lang w:bidi="fa-IR"/>
        </w:rPr>
        <w:t xml:space="preserve"> إِلى قَبْرِهِ ، وَأَنْ لَايَظْلِمَهُ ، وَأَنْ لَايَغُشَّهُ ، وَأَنْ لَايَخُونَهُ ، وَأَنْ لَايَخْذُلَهُ ، وَأَنْ لَايُكَذِّبَهُ </w:t>
      </w:r>
      <w:r w:rsidR="006C577F" w:rsidRPr="006C577F">
        <w:rPr>
          <w:rStyle w:val="libFootnotenumChar"/>
          <w:rtl/>
        </w:rPr>
        <w:t>(8)</w:t>
      </w:r>
      <w:r w:rsidRPr="00C9040A">
        <w:rPr>
          <w:rtl/>
          <w:lang w:bidi="fa-IR"/>
        </w:rPr>
        <w:t xml:space="preserve"> ، وَأَنْ لَايَقُولَ لَهُ : أُفٍّ ، وَإِذَا </w:t>
      </w:r>
      <w:r w:rsidR="006C577F" w:rsidRPr="006C577F">
        <w:rPr>
          <w:rStyle w:val="libFootnotenumChar"/>
          <w:rtl/>
        </w:rPr>
        <w:t>(9)</w:t>
      </w:r>
      <w:r w:rsidRPr="00C9040A">
        <w:rPr>
          <w:rtl/>
          <w:lang w:bidi="fa-IR"/>
        </w:rPr>
        <w:t xml:space="preserve"> قَالَ لَهُ : أُفٍّ ، فَلَيْسَ </w:t>
      </w:r>
      <w:r w:rsidR="006C577F" w:rsidRPr="006C577F">
        <w:rPr>
          <w:rStyle w:val="libFootnotenumChar"/>
          <w:rtl/>
        </w:rPr>
        <w:t>(10)</w:t>
      </w:r>
      <w:r w:rsidRPr="00C9040A">
        <w:rPr>
          <w:rtl/>
          <w:lang w:bidi="fa-IR"/>
        </w:rPr>
        <w:t xml:space="preserve"> بَيْنَهُمَا وَلَايَةٌ ، وَإِذَا قَالَ لَهُ </w:t>
      </w:r>
      <w:r w:rsidR="006C577F" w:rsidRPr="006C577F">
        <w:rPr>
          <w:rStyle w:val="libFootnotenumChar"/>
          <w:rtl/>
        </w:rPr>
        <w:t>(11)</w:t>
      </w:r>
      <w:r w:rsidRPr="00C9040A">
        <w:rPr>
          <w:rtl/>
          <w:lang w:bidi="fa-IR"/>
        </w:rPr>
        <w:t xml:space="preserve"> : أَنْتَ عَدُوِّي ، فَقَدْ كَفَرَ أَحَدُهُمَا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المؤمن : « ويشيّعه »</w:t>
      </w:r>
      <w:r w:rsidR="008A74EB">
        <w:rPr>
          <w:rtl/>
        </w:rPr>
        <w:t>.</w:t>
      </w:r>
    </w:p>
    <w:p w:rsidR="008A74EB" w:rsidRPr="00C9040A" w:rsidRDefault="006C577F" w:rsidP="001332AF">
      <w:pPr>
        <w:pStyle w:val="libFootnote0"/>
        <w:rPr>
          <w:rtl/>
          <w:lang w:bidi="fa-IR"/>
        </w:rPr>
      </w:pPr>
      <w:r>
        <w:rPr>
          <w:rtl/>
        </w:rPr>
        <w:t>(2).</w:t>
      </w:r>
      <w:r w:rsidR="008A74EB">
        <w:rPr>
          <w:rtl/>
        </w:rPr>
        <w:t xml:space="preserve"> </w:t>
      </w:r>
      <w:r w:rsidR="008A74EB" w:rsidRPr="00993B55">
        <w:rPr>
          <w:rStyle w:val="libFootnoteBoldChar"/>
          <w:rtl/>
        </w:rPr>
        <w:t>الكافي</w:t>
      </w:r>
      <w:r w:rsidR="008A74EB" w:rsidRPr="00C9040A">
        <w:rPr>
          <w:rtl/>
        </w:rPr>
        <w:t xml:space="preserve"> ، كتاب الإيمان والكفر ، باب العطاس والتسميت ، ح 3679 ؛ </w:t>
      </w:r>
      <w:r w:rsidR="008A74EB" w:rsidRPr="00993B55">
        <w:rPr>
          <w:rStyle w:val="libFootnoteBoldChar"/>
          <w:rtl/>
        </w:rPr>
        <w:t>وفيه</w:t>
      </w:r>
      <w:r w:rsidR="008A74EB" w:rsidRPr="00C9040A">
        <w:rPr>
          <w:rtl/>
        </w:rPr>
        <w:t xml:space="preserve"> ، كتاب الأطعمة ، باب إجابة دعوة المسلم ، ح 11583 ، وتمام الرواية فيه : « إنّ من حقّ المسلم على المسلم أن يجيبه إذا دعاه » ، وفيهما بسند آخر. </w:t>
      </w:r>
      <w:r w:rsidR="008A74EB" w:rsidRPr="00993B55">
        <w:rPr>
          <w:rStyle w:val="libFootnoteBoldChar"/>
          <w:rtl/>
        </w:rPr>
        <w:t>المؤمن</w:t>
      </w:r>
      <w:r w:rsidR="008A74EB" w:rsidRPr="00C9040A">
        <w:rPr>
          <w:rtl/>
        </w:rPr>
        <w:t xml:space="preserve"> ، ص 45 ، ح 105 ، مع زيادة ؛ </w:t>
      </w:r>
      <w:r w:rsidR="008A74EB" w:rsidRPr="00993B55">
        <w:rPr>
          <w:rStyle w:val="libFootnoteBoldChar"/>
          <w:rtl/>
        </w:rPr>
        <w:t>وفيه</w:t>
      </w:r>
      <w:r w:rsidR="008A74EB" w:rsidRPr="00C9040A">
        <w:rPr>
          <w:rtl/>
        </w:rPr>
        <w:t xml:space="preserve"> ، ص 43 ، ح 99 ، مع اختلاف يسير ، وفيهما عن أبي عبدالله </w:t>
      </w:r>
      <w:r w:rsidR="00117575" w:rsidRPr="00117575">
        <w:rPr>
          <w:rStyle w:val="libFootnoteAlaemChar"/>
          <w:rtl/>
        </w:rPr>
        <w:t>عليه‌السلام</w:t>
      </w:r>
      <w:r w:rsidR="008A74EB" w:rsidRPr="00C9040A">
        <w:rPr>
          <w:rtl/>
        </w:rPr>
        <w:t xml:space="preserve"> ؛ وفي </w:t>
      </w:r>
      <w:r w:rsidR="008A74EB" w:rsidRPr="00993B55">
        <w:rPr>
          <w:rStyle w:val="libFootnoteBoldChar"/>
          <w:rtl/>
        </w:rPr>
        <w:t>الأمالي</w:t>
      </w:r>
      <w:r w:rsidR="008A74EB" w:rsidRPr="005C57B5">
        <w:rPr>
          <w:rStyle w:val="libFootnoteBoldChar"/>
          <w:rtl/>
        </w:rPr>
        <w:t xml:space="preserve"> للطوسي</w:t>
      </w:r>
      <w:r w:rsidR="008A74EB" w:rsidRPr="00C9040A">
        <w:rPr>
          <w:rtl/>
        </w:rPr>
        <w:t xml:space="preserve"> ، ص 478 ، المجلس 17 ، ح 12 ؛ وص 634 ، المجلس 31 ، ح 11 ؛ وص 635 ، المجلس 31 ، ح 12 ؛ و</w:t>
      </w:r>
      <w:r w:rsidR="008A74EB" w:rsidRPr="00993B55">
        <w:rPr>
          <w:rStyle w:val="libFootnoteBoldChar"/>
          <w:rtl/>
        </w:rPr>
        <w:t xml:space="preserve">الاختصاص </w:t>
      </w:r>
      <w:r w:rsidR="008A74EB" w:rsidRPr="00C9040A">
        <w:rPr>
          <w:rtl/>
        </w:rPr>
        <w:t xml:space="preserve">، ص 233 ، مرسلاً عن عليّ </w:t>
      </w:r>
      <w:r w:rsidR="00117575" w:rsidRPr="00117575">
        <w:rPr>
          <w:rStyle w:val="libFootnoteAlaemChar"/>
          <w:rtl/>
        </w:rPr>
        <w:t>عليه‌السلام</w:t>
      </w:r>
      <w:r w:rsidR="008A74EB" w:rsidRPr="00C9040A">
        <w:rPr>
          <w:rtl/>
        </w:rPr>
        <w:t xml:space="preserve"> عن رسول الله </w:t>
      </w:r>
      <w:r w:rsidR="004A4E41" w:rsidRPr="001332AF">
        <w:rPr>
          <w:rStyle w:val="libFootnoteAlaemChar"/>
          <w:rtl/>
        </w:rPr>
        <w:t>صلى‌الله‌عليه‌وآله</w:t>
      </w:r>
      <w:r w:rsidR="008A74EB" w:rsidRPr="00C9040A">
        <w:rPr>
          <w:rtl/>
        </w:rPr>
        <w:t xml:space="preserve"> ، مع اختلاف يسير</w:t>
      </w:r>
      <w:r w:rsidR="001332AF">
        <w:rPr>
          <w:rFonts w:hint="cs"/>
          <w:rtl/>
        </w:rPr>
        <w:t>.</w:t>
      </w:r>
      <w:r w:rsidR="008A74EB" w:rsidRPr="00993B55">
        <w:rPr>
          <w:rStyle w:val="libFootnoteBoldChar"/>
          <w:rtl/>
        </w:rPr>
        <w:t>الوافي</w:t>
      </w:r>
      <w:r w:rsidR="008A74EB" w:rsidRPr="00C9040A">
        <w:rPr>
          <w:rtl/>
        </w:rPr>
        <w:t xml:space="preserve"> ، ج 5 ، ص 560 ، ح 2575 ؛ </w:t>
      </w:r>
      <w:r w:rsidR="008A74EB" w:rsidRPr="00993B55">
        <w:rPr>
          <w:rStyle w:val="libFootnoteBoldChar"/>
          <w:rtl/>
        </w:rPr>
        <w:t>الوسائل</w:t>
      </w:r>
      <w:r w:rsidR="008A74EB" w:rsidRPr="00C9040A">
        <w:rPr>
          <w:rtl/>
        </w:rPr>
        <w:t xml:space="preserve"> ، ج 12 ، ص 207 ، ح 16099 ؛ </w:t>
      </w:r>
      <w:r w:rsidR="008A74EB" w:rsidRPr="00993B55">
        <w:rPr>
          <w:rStyle w:val="libFootnoteBoldChar"/>
          <w:rtl/>
        </w:rPr>
        <w:t>البحار</w:t>
      </w:r>
      <w:r w:rsidR="008A74EB" w:rsidRPr="00C9040A">
        <w:rPr>
          <w:rtl/>
        </w:rPr>
        <w:t xml:space="preserve"> ، ج 74 ، ص 247 ، ح 44.</w:t>
      </w:r>
    </w:p>
    <w:p w:rsidR="008A74EB" w:rsidRPr="00C9040A" w:rsidRDefault="006C577F" w:rsidP="004A4E41">
      <w:pPr>
        <w:pStyle w:val="libFootnote0"/>
        <w:rPr>
          <w:rtl/>
          <w:lang w:bidi="fa-IR"/>
        </w:rPr>
      </w:pPr>
      <w:r>
        <w:rPr>
          <w:rtl/>
        </w:rPr>
        <w:t>(3).</w:t>
      </w:r>
      <w:r w:rsidR="008A74EB" w:rsidRPr="00C9040A">
        <w:rPr>
          <w:rtl/>
        </w:rPr>
        <w:t xml:space="preserve"> في حاشية « ج » : « والمساواة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مرآة العقول : « وإذا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 النافلة » : العَطيّة. </w:t>
      </w:r>
      <w:r w:rsidR="008A74EB" w:rsidRPr="00993B55">
        <w:rPr>
          <w:rStyle w:val="libFootnoteBoldChar"/>
          <w:rtl/>
        </w:rPr>
        <w:t>مجمع البحرين</w:t>
      </w:r>
      <w:r w:rsidR="008A74EB" w:rsidRPr="00C9040A">
        <w:rPr>
          <w:rtl/>
        </w:rPr>
        <w:t xml:space="preserve"> ، ج 5 ، ص 485 ( نفل )</w:t>
      </w:r>
      <w:r w:rsidR="008A74EB">
        <w:rPr>
          <w:rtl/>
        </w:rPr>
        <w:t>.</w:t>
      </w:r>
    </w:p>
    <w:tbl>
      <w:tblPr>
        <w:tblStyle w:val="TableGrid"/>
        <w:bidiVisual/>
        <w:tblW w:w="0" w:type="auto"/>
        <w:tblLook w:val="04A0" w:firstRow="1" w:lastRow="0" w:firstColumn="1" w:lastColumn="0" w:noHBand="0" w:noVBand="1"/>
      </w:tblPr>
      <w:tblGrid>
        <w:gridCol w:w="4006"/>
        <w:gridCol w:w="4006"/>
      </w:tblGrid>
      <w:tr w:rsidR="001332AF" w:rsidTr="001332AF">
        <w:tc>
          <w:tcPr>
            <w:tcW w:w="4006" w:type="dxa"/>
          </w:tcPr>
          <w:p w:rsidR="001332AF" w:rsidRDefault="001332AF" w:rsidP="004A4E41">
            <w:pPr>
              <w:pStyle w:val="libFootnote0"/>
              <w:rPr>
                <w:rtl/>
              </w:rPr>
            </w:pPr>
            <w:r>
              <w:rPr>
                <w:rtl/>
              </w:rPr>
              <w:t xml:space="preserve">(6). </w:t>
            </w:r>
            <w:r w:rsidRPr="00C9040A">
              <w:rPr>
                <w:rtl/>
              </w:rPr>
              <w:t>في « ف » : « فإذا »</w:t>
            </w:r>
            <w:r>
              <w:rPr>
                <w:rtl/>
              </w:rPr>
              <w:t>.</w:t>
            </w:r>
          </w:p>
        </w:tc>
        <w:tc>
          <w:tcPr>
            <w:tcW w:w="4006" w:type="dxa"/>
          </w:tcPr>
          <w:p w:rsidR="001332AF" w:rsidRDefault="001332AF" w:rsidP="004A4E41">
            <w:pPr>
              <w:pStyle w:val="libFootnote0"/>
              <w:rPr>
                <w:rtl/>
              </w:rPr>
            </w:pPr>
            <w:r>
              <w:rPr>
                <w:rtl/>
              </w:rPr>
              <w:t>(7).</w:t>
            </w:r>
            <w:r w:rsidRPr="00C9040A">
              <w:rPr>
                <w:rtl/>
              </w:rPr>
              <w:t xml:space="preserve"> في الوسائل : + « له »</w:t>
            </w:r>
            <w:r>
              <w:rPr>
                <w:rtl/>
              </w:rPr>
              <w:t>.</w:t>
            </w:r>
          </w:p>
        </w:tc>
      </w:tr>
    </w:tbl>
    <w:p w:rsidR="008A74EB" w:rsidRPr="00C9040A" w:rsidRDefault="006C577F" w:rsidP="004A4E41">
      <w:pPr>
        <w:pStyle w:val="libFootnote0"/>
        <w:rPr>
          <w:rtl/>
          <w:lang w:bidi="fa-IR"/>
        </w:rPr>
      </w:pPr>
      <w:r>
        <w:rPr>
          <w:rtl/>
        </w:rPr>
        <w:t>(8).</w:t>
      </w:r>
      <w:r w:rsidR="008A74EB" w:rsidRPr="00C9040A">
        <w:rPr>
          <w:rtl/>
        </w:rPr>
        <w:t xml:space="preserve"> في </w:t>
      </w:r>
      <w:r w:rsidR="008A74EB" w:rsidRPr="00993B55">
        <w:rPr>
          <w:rStyle w:val="libFootnoteBoldChar"/>
          <w:rtl/>
        </w:rPr>
        <w:t>مرآة العقول</w:t>
      </w:r>
      <w:r w:rsidR="008A74EB" w:rsidRPr="00C9040A">
        <w:rPr>
          <w:rtl/>
        </w:rPr>
        <w:t xml:space="preserve"> : « وأن يكذّبه ، بالتشديد. والتخفيف بعيد »</w:t>
      </w:r>
      <w:r w:rsidR="008A74EB">
        <w:rPr>
          <w:rtl/>
        </w:rPr>
        <w:t>.</w:t>
      </w:r>
    </w:p>
    <w:tbl>
      <w:tblPr>
        <w:tblStyle w:val="TableGrid"/>
        <w:bidiVisual/>
        <w:tblW w:w="0" w:type="auto"/>
        <w:tblLook w:val="04A0" w:firstRow="1" w:lastRow="0" w:firstColumn="1" w:lastColumn="0" w:noHBand="0" w:noVBand="1"/>
      </w:tblPr>
      <w:tblGrid>
        <w:gridCol w:w="4006"/>
        <w:gridCol w:w="4006"/>
      </w:tblGrid>
      <w:tr w:rsidR="00B72459" w:rsidTr="00B72459">
        <w:tc>
          <w:tcPr>
            <w:tcW w:w="4006" w:type="dxa"/>
          </w:tcPr>
          <w:p w:rsidR="00B72459" w:rsidRDefault="00B72459" w:rsidP="004A4E41">
            <w:pPr>
              <w:pStyle w:val="libFootnote0"/>
              <w:rPr>
                <w:rtl/>
                <w:lang w:bidi="fa-IR"/>
              </w:rPr>
            </w:pPr>
            <w:r>
              <w:rPr>
                <w:rtl/>
              </w:rPr>
              <w:t>(9).</w:t>
            </w:r>
            <w:r w:rsidRPr="00C9040A">
              <w:rPr>
                <w:rtl/>
              </w:rPr>
              <w:t xml:space="preserve"> في « ب ، ض » : « فإذا »</w:t>
            </w:r>
            <w:r>
              <w:rPr>
                <w:rtl/>
              </w:rPr>
              <w:t>. وفي البحار :«وإن</w:t>
            </w:r>
            <w:r w:rsidRPr="00C9040A">
              <w:rPr>
                <w:rtl/>
              </w:rPr>
              <w:t>»</w:t>
            </w:r>
            <w:r>
              <w:rPr>
                <w:rtl/>
              </w:rPr>
              <w:t>.</w:t>
            </w:r>
          </w:p>
        </w:tc>
        <w:tc>
          <w:tcPr>
            <w:tcW w:w="4006" w:type="dxa"/>
          </w:tcPr>
          <w:p w:rsidR="00B72459" w:rsidRDefault="00B72459" w:rsidP="004A4E41">
            <w:pPr>
              <w:pStyle w:val="libFootnote0"/>
              <w:rPr>
                <w:rtl/>
                <w:lang w:bidi="fa-IR"/>
              </w:rPr>
            </w:pPr>
            <w:r>
              <w:rPr>
                <w:rtl/>
              </w:rPr>
              <w:t>(10).</w:t>
            </w:r>
            <w:r w:rsidRPr="00C9040A">
              <w:rPr>
                <w:rtl/>
              </w:rPr>
              <w:t xml:space="preserve"> في « ز ، ف » : + « يكون »</w:t>
            </w:r>
            <w:r>
              <w:rPr>
                <w:rtl/>
              </w:rPr>
              <w:t>.</w:t>
            </w:r>
          </w:p>
        </w:tc>
      </w:tr>
    </w:tbl>
    <w:p w:rsidR="008A74EB" w:rsidRPr="00C9040A" w:rsidRDefault="006C577F" w:rsidP="004A4E41">
      <w:pPr>
        <w:pStyle w:val="libFootnote0"/>
        <w:rPr>
          <w:rtl/>
          <w:lang w:bidi="fa-IR"/>
        </w:rPr>
      </w:pPr>
      <w:r>
        <w:rPr>
          <w:rtl/>
        </w:rPr>
        <w:t>(11).</w:t>
      </w:r>
      <w:r w:rsidR="008A74EB" w:rsidRPr="00C9040A">
        <w:rPr>
          <w:rtl/>
        </w:rPr>
        <w:t xml:space="preserve"> في « ف » </w:t>
      </w:r>
      <w:r w:rsidR="008A74EB">
        <w:rPr>
          <w:rtl/>
        </w:rPr>
        <w:t xml:space="preserve">: </w:t>
      </w:r>
      <w:r w:rsidR="0084262C">
        <w:rPr>
          <w:rtl/>
        </w:rPr>
        <w:t>-</w:t>
      </w:r>
      <w:r w:rsidR="008A74EB" w:rsidRPr="00C9040A">
        <w:rPr>
          <w:rtl/>
        </w:rPr>
        <w:t xml:space="preserve"> « له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وَإِذَا </w:t>
      </w:r>
      <w:r w:rsidR="006C577F" w:rsidRPr="006C577F">
        <w:rPr>
          <w:rStyle w:val="libFootnotenumChar"/>
          <w:rtl/>
        </w:rPr>
        <w:t>(1)</w:t>
      </w:r>
      <w:r w:rsidRPr="00C9040A">
        <w:rPr>
          <w:rtl/>
          <w:lang w:bidi="fa-IR"/>
        </w:rPr>
        <w:t xml:space="preserve"> اتَّهَمَهُ انْمَاثَ الْإِيمَانُ فِي قَلْبِهِ كَمَا يَنْمَاثُ </w:t>
      </w:r>
      <w:r w:rsidR="006C577F" w:rsidRPr="006C577F">
        <w:rPr>
          <w:rStyle w:val="libFootnotenumChar"/>
          <w:rtl/>
        </w:rPr>
        <w:t>(2)</w:t>
      </w:r>
      <w:r w:rsidRPr="00C9040A">
        <w:rPr>
          <w:rtl/>
          <w:lang w:bidi="fa-IR"/>
        </w:rPr>
        <w:t xml:space="preserve"> الْمِلْحُ فِي الْمَاءِ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F432EC">
        <w:rPr>
          <w:rtl/>
        </w:rPr>
        <w:t>2063</w:t>
      </w:r>
      <w:r w:rsidRPr="00261CB0">
        <w:rPr>
          <w:rStyle w:val="libBold2Char"/>
          <w:rtl/>
        </w:rPr>
        <w:t xml:space="preserve"> / 8.</w:t>
      </w:r>
      <w:r w:rsidRPr="00C9040A">
        <w:rPr>
          <w:rtl/>
          <w:lang w:bidi="fa-IR"/>
        </w:rPr>
        <w:t xml:space="preserve"> مُحَمَّدُ بْنُ يَحْيى ، عَنْ أَحْمَدَ بْنِ مُحَمَّدِ بْنِ عِيسى ، عَنِ ابْنِ أَبِي عُمَيْرٍ ، عَنْ أَبِي عَلِيٍّ صَاحِبِ الْكِلَلِ </w:t>
      </w:r>
      <w:r w:rsidR="006C577F" w:rsidRPr="006C577F">
        <w:rPr>
          <w:rStyle w:val="libFootnotenumChar"/>
          <w:rtl/>
        </w:rPr>
        <w:t>(4)</w:t>
      </w:r>
      <w:r w:rsidRPr="00C9040A">
        <w:rPr>
          <w:rtl/>
          <w:lang w:bidi="fa-IR"/>
        </w:rPr>
        <w:t xml:space="preserve"> ، عَنْ أَبَانِ بْنِ تَغْلِبَ ، قَالَ :</w:t>
      </w:r>
    </w:p>
    <w:p w:rsidR="008A74EB" w:rsidRPr="00C9040A" w:rsidRDefault="008A74EB" w:rsidP="00D34AF5">
      <w:pPr>
        <w:pStyle w:val="libNormal"/>
        <w:rPr>
          <w:rtl/>
          <w:lang w:bidi="fa-IR"/>
        </w:rPr>
      </w:pPr>
      <w:r w:rsidRPr="00C9040A">
        <w:rPr>
          <w:rtl/>
          <w:lang w:bidi="fa-IR"/>
        </w:rPr>
        <w:t xml:space="preserve">كُنْتُ أَطُوفُ مَعَ أَبِي عَبْدِ اللهِ </w:t>
      </w:r>
      <w:r w:rsidRPr="0003660B">
        <w:rPr>
          <w:rStyle w:val="libAlaemChar"/>
          <w:rtl/>
        </w:rPr>
        <w:t>عليه‌السلام</w:t>
      </w:r>
      <w:r w:rsidRPr="00C9040A">
        <w:rPr>
          <w:rtl/>
          <w:lang w:bidi="fa-IR"/>
        </w:rPr>
        <w:t xml:space="preserve"> ، فَعَرَضَ لِي </w:t>
      </w:r>
      <w:r w:rsidR="006C577F" w:rsidRPr="006C577F">
        <w:rPr>
          <w:rStyle w:val="libFootnotenumChar"/>
          <w:rtl/>
        </w:rPr>
        <w:t>(5)</w:t>
      </w:r>
      <w:r w:rsidRPr="00C9040A">
        <w:rPr>
          <w:rtl/>
          <w:lang w:bidi="fa-IR"/>
        </w:rPr>
        <w:t xml:space="preserve"> رَجُلٌ مِنْ أَصْحَابِنَا كَانَ سَأَلَنِي </w:t>
      </w:r>
      <w:r w:rsidR="006C577F" w:rsidRPr="006C577F">
        <w:rPr>
          <w:rStyle w:val="libFootnotenumChar"/>
          <w:rtl/>
        </w:rPr>
        <w:t>(6)</w:t>
      </w:r>
      <w:r w:rsidR="00D34AF5" w:rsidRPr="00C9040A">
        <w:rPr>
          <w:rtl/>
          <w:lang w:bidi="fa-IR"/>
        </w:rPr>
        <w:t xml:space="preserve"> </w:t>
      </w:r>
      <w:r w:rsidRPr="00C9040A">
        <w:rPr>
          <w:rtl/>
          <w:lang w:bidi="fa-IR"/>
        </w:rPr>
        <w:t xml:space="preserve">الذَّهَابَ مَعَهُ فِي حَاجَةٍ ، فَأَشَارَ </w:t>
      </w:r>
      <w:r w:rsidR="006C577F" w:rsidRPr="006C577F">
        <w:rPr>
          <w:rStyle w:val="libFootnotenumChar"/>
          <w:rtl/>
        </w:rPr>
        <w:t>(7)</w:t>
      </w:r>
      <w:r w:rsidRPr="00C9040A">
        <w:rPr>
          <w:rtl/>
          <w:lang w:bidi="fa-IR"/>
        </w:rPr>
        <w:t xml:space="preserve"> إِلَيَّ ، فَكَرِهْتُ </w:t>
      </w:r>
      <w:r w:rsidR="006C577F" w:rsidRPr="006C577F">
        <w:rPr>
          <w:rStyle w:val="libFootnotenumChar"/>
          <w:rtl/>
        </w:rPr>
        <w:t>(8)</w:t>
      </w:r>
      <w:r w:rsidRPr="00C9040A">
        <w:rPr>
          <w:rtl/>
          <w:lang w:bidi="fa-IR"/>
        </w:rPr>
        <w:t xml:space="preserve"> أَنْ أَدَعَ أَبَا عَبْدِ اللهِ </w:t>
      </w:r>
      <w:r w:rsidRPr="0003660B">
        <w:rPr>
          <w:rStyle w:val="libAlaemChar"/>
          <w:rtl/>
        </w:rPr>
        <w:t>عليه‌السلام</w:t>
      </w:r>
      <w:r w:rsidRPr="00C9040A">
        <w:rPr>
          <w:rtl/>
          <w:lang w:bidi="fa-IR"/>
        </w:rPr>
        <w:t xml:space="preserve"> وَأَذْهَبَ إِلَيْهِ </w:t>
      </w:r>
      <w:r w:rsidR="006C577F" w:rsidRPr="006C577F">
        <w:rPr>
          <w:rStyle w:val="libFootnotenumChar"/>
          <w:rtl/>
        </w:rPr>
        <w:t>(9)</w:t>
      </w:r>
      <w:r w:rsidRPr="00C9040A">
        <w:rPr>
          <w:rtl/>
          <w:lang w:bidi="fa-IR"/>
        </w:rPr>
        <w:t xml:space="preserve"> ، فَبَيْنَا </w:t>
      </w:r>
      <w:r w:rsidR="006C577F" w:rsidRPr="006C577F">
        <w:rPr>
          <w:rStyle w:val="libFootnotenumChar"/>
          <w:rtl/>
        </w:rPr>
        <w:t>(10)</w:t>
      </w:r>
      <w:r w:rsidRPr="00C9040A">
        <w:rPr>
          <w:rtl/>
          <w:lang w:bidi="fa-IR"/>
        </w:rPr>
        <w:t xml:space="preserve"> أَنَا أَطُوفُ إِذْ </w:t>
      </w:r>
      <w:r w:rsidR="006C577F" w:rsidRPr="006C577F">
        <w:rPr>
          <w:rStyle w:val="libFootnotenumChar"/>
          <w:rtl/>
        </w:rPr>
        <w:t>(11)</w:t>
      </w:r>
      <w:r w:rsidRPr="00C9040A">
        <w:rPr>
          <w:rtl/>
          <w:lang w:bidi="fa-IR"/>
        </w:rPr>
        <w:t xml:space="preserve"> أَشَارَ إِلَيَّ أَيْضاً </w:t>
      </w:r>
      <w:r w:rsidR="006C577F" w:rsidRPr="006C577F">
        <w:rPr>
          <w:rStyle w:val="libFootnotenumChar"/>
          <w:rtl/>
        </w:rPr>
        <w:t>(12)</w:t>
      </w:r>
      <w:r w:rsidRPr="00C9040A">
        <w:rPr>
          <w:rtl/>
          <w:lang w:bidi="fa-IR"/>
        </w:rPr>
        <w:t xml:space="preserve"> ، فَرَآهُ أَبُو عَبْدِ اللهِ </w:t>
      </w:r>
      <w:r w:rsidRPr="0003660B">
        <w:rPr>
          <w:rStyle w:val="libAlaemChar"/>
          <w:rtl/>
        </w:rPr>
        <w:t>عليه‌السلام</w:t>
      </w:r>
      <w:r w:rsidRPr="00C9040A">
        <w:rPr>
          <w:rtl/>
          <w:lang w:bidi="fa-IR"/>
        </w:rPr>
        <w:t xml:space="preserve"> ، فَقَالَ : « يَا أَبَانُ ، إِيَّاكَ يُرِيدُ هذَا</w:t>
      </w:r>
      <w:r>
        <w:rPr>
          <w:rtl/>
          <w:lang w:bidi="fa-IR"/>
        </w:rPr>
        <w:t>؟</w:t>
      </w:r>
      <w:r w:rsidRPr="00C9040A">
        <w:rPr>
          <w:rtl/>
          <w:lang w:bidi="fa-IR"/>
        </w:rPr>
        <w:t xml:space="preserve"> » قُلْتُ : نَعَمْ ، قَالَ : « فَمَنْ هُوَ</w:t>
      </w:r>
      <w:r>
        <w:rPr>
          <w:rtl/>
          <w:lang w:bidi="fa-IR"/>
        </w:rPr>
        <w:t>؟</w:t>
      </w:r>
      <w:r w:rsidRPr="00C9040A">
        <w:rPr>
          <w:rtl/>
          <w:lang w:bidi="fa-IR"/>
        </w:rPr>
        <w:t xml:space="preserve"> » قُلْتُ </w:t>
      </w:r>
      <w:r w:rsidRPr="005B567D">
        <w:rPr>
          <w:rStyle w:val="libFootnotenumChar"/>
          <w:rtl/>
        </w:rPr>
        <w:t>(13)</w:t>
      </w:r>
      <w:r w:rsidRPr="00C9040A">
        <w:rPr>
          <w:rtl/>
          <w:lang w:bidi="fa-IR"/>
        </w:rPr>
        <w:t xml:space="preserve"> : رَجُلٌ مِنْ أَصْحَابِنَا ، قَالَ : « هُوَ عَلى مِثْلِ مَا </w:t>
      </w:r>
      <w:r w:rsidRPr="005B567D">
        <w:rPr>
          <w:rStyle w:val="libFootnotenumChar"/>
          <w:rtl/>
        </w:rPr>
        <w:t>(14)</w:t>
      </w:r>
      <w:r w:rsidRPr="00C9040A">
        <w:rPr>
          <w:rtl/>
          <w:lang w:bidi="fa-IR"/>
        </w:rPr>
        <w:t xml:space="preserve"> أَنْتَ عَلَيْهِ</w:t>
      </w:r>
      <w:r>
        <w:rPr>
          <w:rtl/>
          <w:lang w:bidi="fa-IR"/>
        </w:rPr>
        <w:t>؟</w:t>
      </w:r>
      <w:r w:rsidRPr="00C9040A">
        <w:rPr>
          <w:rtl/>
          <w:lang w:bidi="fa-IR"/>
        </w:rPr>
        <w:t xml:space="preserve"> » قُلْتُ : نَعَمْ ، قَالَ : « فَاذْهَبْ إِلَيْهِ » قُلْتُ : فَأَقْطَعُ </w:t>
      </w:r>
      <w:r w:rsidRPr="005B567D">
        <w:rPr>
          <w:rStyle w:val="libFootnotenumChar"/>
          <w:rtl/>
        </w:rPr>
        <w:t>(15)</w:t>
      </w:r>
      <w:r w:rsidRPr="00C9040A">
        <w:rPr>
          <w:rtl/>
          <w:lang w:bidi="fa-IR"/>
        </w:rPr>
        <w:t xml:space="preserve"> الطَّوَافَ</w:t>
      </w:r>
      <w:r>
        <w:rPr>
          <w:rtl/>
          <w:lang w:bidi="fa-IR"/>
        </w:rPr>
        <w:t>؟</w:t>
      </w:r>
      <w:r w:rsidRPr="00C9040A">
        <w:rPr>
          <w:rtl/>
          <w:lang w:bidi="fa-IR"/>
        </w:rPr>
        <w:t xml:space="preserve"> قَالَ : « نَعَمْ » قُلْتُ :</w:t>
      </w:r>
      <w:r>
        <w:rPr>
          <w:rFonts w:hint="cs"/>
          <w:rtl/>
          <w:lang w:bidi="fa-IR"/>
        </w:rPr>
        <w:t xml:space="preserve"> </w:t>
      </w:r>
      <w:r w:rsidRPr="00C9040A">
        <w:rPr>
          <w:rtl/>
          <w:lang w:bidi="fa-IR"/>
        </w:rPr>
        <w:t>وَإِنْ كَانَ طَوَافَ الْفَرِيضَةِ</w:t>
      </w:r>
      <w:r>
        <w:rPr>
          <w:rtl/>
          <w:lang w:bidi="fa-IR"/>
        </w:rPr>
        <w:t>؟</w:t>
      </w:r>
      <w:r w:rsidRPr="00C9040A">
        <w:rPr>
          <w:rtl/>
          <w:lang w:bidi="fa-IR"/>
        </w:rPr>
        <w:t xml:space="preserve"> قَالَ : « نَعَمْ »</w:t>
      </w:r>
      <w:r>
        <w:rPr>
          <w:rtl/>
          <w:lang w:bidi="fa-IR"/>
        </w:rPr>
        <w:t>.</w:t>
      </w:r>
    </w:p>
    <w:p w:rsidR="008A74EB" w:rsidRPr="00C9040A" w:rsidRDefault="008A74EB" w:rsidP="008A74EB">
      <w:pPr>
        <w:pStyle w:val="libNormal"/>
        <w:rPr>
          <w:rtl/>
          <w:lang w:bidi="fa-IR"/>
        </w:rPr>
      </w:pPr>
      <w:r w:rsidRPr="00C9040A">
        <w:rPr>
          <w:rtl/>
          <w:lang w:bidi="fa-IR"/>
        </w:rPr>
        <w:t xml:space="preserve">قَالَ : فَذَهَبْتُ مَعَهُ ، ثُمَّ دَخَلْتُ عَلَيْهِ بَعْدُ ، فَسَأَلْتُهُ ، فَقُلْتُ : أَخْبِرْنِي عَنْ حَقِّ الْمُؤْمِنِ عَلَى الْمُؤْمِنِ ، فَقَالَ : « يَا أَبَانُ ، دَعْهُ </w:t>
      </w:r>
      <w:r w:rsidRPr="005B567D">
        <w:rPr>
          <w:rStyle w:val="libFootnotenumChar"/>
          <w:rtl/>
        </w:rPr>
        <w:t>(16)</w:t>
      </w:r>
      <w:r w:rsidR="00361B80">
        <w:rPr>
          <w:rFonts w:hint="cs"/>
          <w:rtl/>
          <w:lang w:bidi="fa-IR"/>
        </w:rPr>
        <w:t>.............................................</w:t>
      </w:r>
      <w:r w:rsidR="00361B80">
        <w:rPr>
          <w:rFonts w:hint="cs"/>
          <w:rtl/>
          <w:lang w:bidi="fa-IR"/>
        </w:rPr>
        <w:tab/>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122922" w:rsidTr="00122922">
        <w:tc>
          <w:tcPr>
            <w:tcW w:w="4006" w:type="dxa"/>
          </w:tcPr>
          <w:p w:rsidR="00122922" w:rsidRDefault="00122922" w:rsidP="004A4E41">
            <w:pPr>
              <w:pStyle w:val="libFootnote0"/>
              <w:rPr>
                <w:rtl/>
              </w:rPr>
            </w:pPr>
            <w:r>
              <w:rPr>
                <w:rtl/>
              </w:rPr>
              <w:t xml:space="preserve">(1). </w:t>
            </w:r>
            <w:r w:rsidRPr="00C9040A">
              <w:rPr>
                <w:rtl/>
              </w:rPr>
              <w:t>في « ض » : « فإذا »</w:t>
            </w:r>
            <w:r>
              <w:rPr>
                <w:rtl/>
              </w:rPr>
              <w:t>.</w:t>
            </w:r>
          </w:p>
        </w:tc>
        <w:tc>
          <w:tcPr>
            <w:tcW w:w="4006" w:type="dxa"/>
          </w:tcPr>
          <w:p w:rsidR="00122922" w:rsidRDefault="00122922" w:rsidP="004A4E41">
            <w:pPr>
              <w:pStyle w:val="libFootnote0"/>
              <w:rPr>
                <w:rtl/>
              </w:rPr>
            </w:pPr>
            <w:r>
              <w:rPr>
                <w:rtl/>
              </w:rPr>
              <w:t xml:space="preserve">(2). </w:t>
            </w:r>
            <w:r w:rsidRPr="00C9040A">
              <w:rPr>
                <w:rtl/>
              </w:rPr>
              <w:t>في « بر » : « كانمياث »</w:t>
            </w:r>
            <w:r>
              <w:rPr>
                <w:rtl/>
              </w:rPr>
              <w:t>.</w:t>
            </w:r>
          </w:p>
        </w:tc>
      </w:tr>
    </w:tbl>
    <w:p w:rsidR="008A74EB" w:rsidRPr="00C9040A" w:rsidRDefault="006C577F" w:rsidP="00852BB4">
      <w:pPr>
        <w:pStyle w:val="libFootnote0"/>
        <w:rPr>
          <w:rtl/>
          <w:lang w:bidi="fa-IR"/>
        </w:rPr>
      </w:pPr>
      <w:r>
        <w:rPr>
          <w:rtl/>
        </w:rPr>
        <w:t>(3).</w:t>
      </w:r>
      <w:r w:rsidR="008A74EB" w:rsidRPr="00C9040A">
        <w:rPr>
          <w:rtl/>
        </w:rPr>
        <w:t xml:space="preserve"> </w:t>
      </w:r>
      <w:r w:rsidR="008A74EB" w:rsidRPr="00993B55">
        <w:rPr>
          <w:rStyle w:val="libFootnoteBoldChar"/>
          <w:rtl/>
        </w:rPr>
        <w:t>الكافي</w:t>
      </w:r>
      <w:r w:rsidR="008A74EB" w:rsidRPr="00C9040A">
        <w:rPr>
          <w:rtl/>
        </w:rPr>
        <w:t xml:space="preserve"> ، كتاب الإيمان والكفر ، باب التهمة وسوء الظنّ ، ح 2777 ، بسند آخر ، من قوله : « وإذا اتّهمه انماث الإيمان »</w:t>
      </w:r>
      <w:r w:rsidR="008A74EB">
        <w:rPr>
          <w:rtl/>
        </w:rPr>
        <w:t>.</w:t>
      </w:r>
      <w:r w:rsidR="008A74EB" w:rsidRPr="00C9040A">
        <w:rPr>
          <w:rtl/>
        </w:rPr>
        <w:t xml:space="preserve"> وفي </w:t>
      </w:r>
      <w:r w:rsidR="008A74EB" w:rsidRPr="00993B55">
        <w:rPr>
          <w:rStyle w:val="libFootnoteBoldChar"/>
          <w:rtl/>
        </w:rPr>
        <w:t>المؤمن</w:t>
      </w:r>
      <w:r w:rsidR="008A74EB" w:rsidRPr="00C9040A">
        <w:rPr>
          <w:rtl/>
        </w:rPr>
        <w:t xml:space="preserve"> ، ص 67 ، ح 175 ، عن أبي عبدالله </w:t>
      </w:r>
      <w:r w:rsidR="00117575" w:rsidRPr="00117575">
        <w:rPr>
          <w:rStyle w:val="libFootnoteAlaemChar"/>
          <w:rtl/>
        </w:rPr>
        <w:t xml:space="preserve">عليه‌السلام </w:t>
      </w:r>
      <w:r w:rsidR="008A74EB" w:rsidRPr="00C9040A">
        <w:rPr>
          <w:rtl/>
        </w:rPr>
        <w:t>، من قوله : « وإذا قال له ا</w:t>
      </w:r>
      <w:r w:rsidR="00852BB4">
        <w:rPr>
          <w:rFonts w:hint="cs"/>
          <w:rtl/>
        </w:rPr>
        <w:t>ُ</w:t>
      </w:r>
      <w:r w:rsidR="008A74EB" w:rsidRPr="00C9040A">
        <w:rPr>
          <w:rtl/>
        </w:rPr>
        <w:t>فّ فليس بينهما » مع اختلاف يسير</w:t>
      </w:r>
      <w:r w:rsidR="00852BB4">
        <w:rPr>
          <w:rFonts w:hint="cs"/>
          <w:rtl/>
        </w:rPr>
        <w:t>.</w:t>
      </w:r>
      <w:r w:rsidR="008A74EB" w:rsidRPr="00993B55">
        <w:rPr>
          <w:rStyle w:val="libFootnoteBoldChar"/>
          <w:rtl/>
        </w:rPr>
        <w:t>الوافي</w:t>
      </w:r>
      <w:r w:rsidR="008A74EB" w:rsidRPr="00C9040A">
        <w:rPr>
          <w:rtl/>
        </w:rPr>
        <w:t xml:space="preserve"> ، ج 5 ، ص 560 ، ح 2576 ؛ </w:t>
      </w:r>
      <w:r w:rsidR="008A74EB" w:rsidRPr="00993B55">
        <w:rPr>
          <w:rStyle w:val="libFootnoteBoldChar"/>
          <w:rtl/>
        </w:rPr>
        <w:t>الوسائل</w:t>
      </w:r>
      <w:r w:rsidR="008A74EB" w:rsidRPr="00C9040A">
        <w:rPr>
          <w:rtl/>
        </w:rPr>
        <w:t xml:space="preserve"> ، ج 12 ، ص 207 ، ح 16100 ؛ </w:t>
      </w:r>
      <w:r w:rsidR="008A74EB" w:rsidRPr="00993B55">
        <w:rPr>
          <w:rStyle w:val="libFootnoteBoldChar"/>
          <w:rtl/>
        </w:rPr>
        <w:t>البحار</w:t>
      </w:r>
      <w:r w:rsidR="008A74EB" w:rsidRPr="00C9040A">
        <w:rPr>
          <w:rtl/>
        </w:rPr>
        <w:t xml:space="preserve"> ، ج 74 ، ص 248 ، ح 45.</w:t>
      </w:r>
    </w:p>
    <w:p w:rsidR="008A74EB" w:rsidRPr="00C9040A" w:rsidRDefault="006C577F" w:rsidP="004A4E41">
      <w:pPr>
        <w:pStyle w:val="libFootnote0"/>
        <w:rPr>
          <w:rtl/>
          <w:lang w:bidi="fa-IR"/>
        </w:rPr>
      </w:pPr>
      <w:r>
        <w:rPr>
          <w:rtl/>
        </w:rPr>
        <w:t>(4).</w:t>
      </w:r>
      <w:r w:rsidR="008A74EB" w:rsidRPr="00C9040A">
        <w:rPr>
          <w:rtl/>
        </w:rPr>
        <w:t xml:space="preserve"> صاحب الكلل ، أي كان يبيعها. والكلل جمع كِلَّة ، وهي الستر الرقيق يخاط كالبيت ، يُتوقّى فيه من البقّ والبعوض. وصوفة حمراء في رأس الهودج. راجع : </w:t>
      </w:r>
      <w:r w:rsidR="008A74EB" w:rsidRPr="00993B55">
        <w:rPr>
          <w:rStyle w:val="libFootnoteBoldChar"/>
          <w:rtl/>
        </w:rPr>
        <w:t>لسان العرب</w:t>
      </w:r>
      <w:r w:rsidR="008A74EB" w:rsidRPr="00C9040A">
        <w:rPr>
          <w:rtl/>
        </w:rPr>
        <w:t xml:space="preserve"> ، ج 11 ، ص 594 ( كلل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د ، ز ، ص ، بس ، بف » وحاشية « ف » : « له »</w:t>
      </w:r>
      <w:r w:rsidR="008A74EB">
        <w:rPr>
          <w:rtl/>
        </w:rPr>
        <w:t>.</w:t>
      </w:r>
    </w:p>
    <w:tbl>
      <w:tblPr>
        <w:tblStyle w:val="TableGrid"/>
        <w:bidiVisual/>
        <w:tblW w:w="0" w:type="auto"/>
        <w:tblLook w:val="04A0" w:firstRow="1" w:lastRow="0" w:firstColumn="1" w:lastColumn="0" w:noHBand="0" w:noVBand="1"/>
      </w:tblPr>
      <w:tblGrid>
        <w:gridCol w:w="4006"/>
        <w:gridCol w:w="4006"/>
      </w:tblGrid>
      <w:tr w:rsidR="00852BB4" w:rsidTr="00852BB4">
        <w:tc>
          <w:tcPr>
            <w:tcW w:w="4006" w:type="dxa"/>
          </w:tcPr>
          <w:p w:rsidR="00852BB4" w:rsidRDefault="00852BB4" w:rsidP="004A4E41">
            <w:pPr>
              <w:pStyle w:val="libFootnote0"/>
              <w:rPr>
                <w:rtl/>
              </w:rPr>
            </w:pPr>
            <w:r>
              <w:rPr>
                <w:rtl/>
              </w:rPr>
              <w:t xml:space="preserve">(6). </w:t>
            </w:r>
            <w:r w:rsidRPr="00C9040A">
              <w:rPr>
                <w:rtl/>
              </w:rPr>
              <w:t>في البحار : « يسألني »</w:t>
            </w:r>
            <w:r>
              <w:rPr>
                <w:rtl/>
              </w:rPr>
              <w:t>.</w:t>
            </w:r>
          </w:p>
        </w:tc>
        <w:tc>
          <w:tcPr>
            <w:tcW w:w="4006" w:type="dxa"/>
          </w:tcPr>
          <w:p w:rsidR="00852BB4" w:rsidRDefault="00852BB4" w:rsidP="004A4E41">
            <w:pPr>
              <w:pStyle w:val="libFootnote0"/>
              <w:rPr>
                <w:rtl/>
              </w:rPr>
            </w:pPr>
            <w:r>
              <w:rPr>
                <w:rtl/>
              </w:rPr>
              <w:t>(7).</w:t>
            </w:r>
            <w:r w:rsidRPr="00C9040A">
              <w:rPr>
                <w:rtl/>
              </w:rPr>
              <w:t xml:space="preserve"> في « بر » : « وأشار »</w:t>
            </w:r>
            <w:r>
              <w:rPr>
                <w:rtl/>
              </w:rPr>
              <w:t>.</w:t>
            </w:r>
          </w:p>
        </w:tc>
      </w:tr>
      <w:tr w:rsidR="00852BB4" w:rsidTr="00852BB4">
        <w:tc>
          <w:tcPr>
            <w:tcW w:w="4006" w:type="dxa"/>
          </w:tcPr>
          <w:p w:rsidR="00852BB4" w:rsidRDefault="00852BB4" w:rsidP="004A4E41">
            <w:pPr>
              <w:pStyle w:val="libFootnote0"/>
              <w:rPr>
                <w:rtl/>
              </w:rPr>
            </w:pPr>
            <w:r>
              <w:rPr>
                <w:rtl/>
              </w:rPr>
              <w:t>(8).</w:t>
            </w:r>
            <w:r w:rsidRPr="00C9040A">
              <w:rPr>
                <w:rtl/>
              </w:rPr>
              <w:t xml:space="preserve"> في المصادقة </w:t>
            </w:r>
            <w:r>
              <w:rPr>
                <w:rtl/>
              </w:rPr>
              <w:t>: -</w:t>
            </w:r>
            <w:r w:rsidRPr="00C9040A">
              <w:rPr>
                <w:rtl/>
              </w:rPr>
              <w:t xml:space="preserve"> « فكرهت »</w:t>
            </w:r>
            <w:r>
              <w:rPr>
                <w:rtl/>
              </w:rPr>
              <w:t>.</w:t>
            </w:r>
          </w:p>
        </w:tc>
        <w:tc>
          <w:tcPr>
            <w:tcW w:w="4006" w:type="dxa"/>
          </w:tcPr>
          <w:p w:rsidR="00852BB4" w:rsidRDefault="00852BB4" w:rsidP="004A4E41">
            <w:pPr>
              <w:pStyle w:val="libFootnote0"/>
              <w:rPr>
                <w:rtl/>
              </w:rPr>
            </w:pPr>
            <w:r>
              <w:rPr>
                <w:rtl/>
              </w:rPr>
              <w:t>(9).</w:t>
            </w:r>
            <w:r w:rsidRPr="00C9040A">
              <w:rPr>
                <w:rtl/>
              </w:rPr>
              <w:t xml:space="preserve"> في الوسائل </w:t>
            </w:r>
            <w:r>
              <w:rPr>
                <w:rtl/>
              </w:rPr>
              <w:t>: -</w:t>
            </w:r>
            <w:r w:rsidRPr="00C9040A">
              <w:rPr>
                <w:rtl/>
              </w:rPr>
              <w:t xml:space="preserve"> « فأشار</w:t>
            </w:r>
            <w:r>
              <w:rPr>
                <w:rtl/>
              </w:rPr>
              <w:t xml:space="preserve"> - </w:t>
            </w:r>
            <w:r w:rsidRPr="00C9040A">
              <w:rPr>
                <w:rtl/>
              </w:rPr>
              <w:t>إلى</w:t>
            </w:r>
            <w:r>
              <w:rPr>
                <w:rtl/>
              </w:rPr>
              <w:t xml:space="preserve"> - </w:t>
            </w:r>
            <w:r w:rsidRPr="00C9040A">
              <w:rPr>
                <w:rtl/>
              </w:rPr>
              <w:t>وأذهب إليه »</w:t>
            </w:r>
            <w:r>
              <w:rPr>
                <w:rtl/>
              </w:rPr>
              <w:t>.</w:t>
            </w:r>
          </w:p>
        </w:tc>
      </w:tr>
      <w:tr w:rsidR="00852BB4" w:rsidTr="00852BB4">
        <w:tc>
          <w:tcPr>
            <w:tcW w:w="4006" w:type="dxa"/>
          </w:tcPr>
          <w:p w:rsidR="00852BB4" w:rsidRDefault="00E94918" w:rsidP="004A4E41">
            <w:pPr>
              <w:pStyle w:val="libFootnote0"/>
              <w:rPr>
                <w:rtl/>
              </w:rPr>
            </w:pPr>
            <w:r>
              <w:rPr>
                <w:rtl/>
              </w:rPr>
              <w:t>(10).</w:t>
            </w:r>
            <w:r w:rsidRPr="00C9040A">
              <w:rPr>
                <w:rtl/>
              </w:rPr>
              <w:t xml:space="preserve"> في الوسائل : « فبينما »</w:t>
            </w:r>
            <w:r>
              <w:rPr>
                <w:rtl/>
              </w:rPr>
              <w:t>.</w:t>
            </w:r>
          </w:p>
        </w:tc>
        <w:tc>
          <w:tcPr>
            <w:tcW w:w="4006" w:type="dxa"/>
          </w:tcPr>
          <w:p w:rsidR="00852BB4" w:rsidRDefault="006320D5" w:rsidP="004A4E41">
            <w:pPr>
              <w:pStyle w:val="libFootnote0"/>
              <w:rPr>
                <w:rtl/>
              </w:rPr>
            </w:pPr>
            <w:r>
              <w:rPr>
                <w:rtl/>
              </w:rPr>
              <w:t>(11).</w:t>
            </w:r>
            <w:r w:rsidRPr="00C9040A">
              <w:rPr>
                <w:rtl/>
              </w:rPr>
              <w:t xml:space="preserve"> في « ب » : « إذا »</w:t>
            </w:r>
            <w:r>
              <w:rPr>
                <w:rtl/>
              </w:rPr>
              <w:t>.</w:t>
            </w:r>
          </w:p>
        </w:tc>
      </w:tr>
      <w:tr w:rsidR="00852BB4" w:rsidTr="00852BB4">
        <w:tc>
          <w:tcPr>
            <w:tcW w:w="4006" w:type="dxa"/>
          </w:tcPr>
          <w:p w:rsidR="00852BB4" w:rsidRDefault="006320D5" w:rsidP="004A4E41">
            <w:pPr>
              <w:pStyle w:val="libFootnote0"/>
              <w:rPr>
                <w:rtl/>
              </w:rPr>
            </w:pPr>
            <w:r>
              <w:rPr>
                <w:rtl/>
              </w:rPr>
              <w:t>(12).</w:t>
            </w:r>
            <w:r w:rsidRPr="00C9040A">
              <w:rPr>
                <w:rtl/>
              </w:rPr>
              <w:t xml:space="preserve"> في الوسائل </w:t>
            </w:r>
            <w:r>
              <w:rPr>
                <w:rtl/>
              </w:rPr>
              <w:t>: -</w:t>
            </w:r>
            <w:r w:rsidRPr="00C9040A">
              <w:rPr>
                <w:rtl/>
              </w:rPr>
              <w:t xml:space="preserve"> « أيضاً »</w:t>
            </w:r>
            <w:r>
              <w:rPr>
                <w:rtl/>
              </w:rPr>
              <w:t>.</w:t>
            </w:r>
          </w:p>
        </w:tc>
        <w:tc>
          <w:tcPr>
            <w:tcW w:w="4006" w:type="dxa"/>
          </w:tcPr>
          <w:p w:rsidR="00852BB4" w:rsidRDefault="006320D5" w:rsidP="004A4E41">
            <w:pPr>
              <w:pStyle w:val="libFootnote0"/>
              <w:rPr>
                <w:rtl/>
              </w:rPr>
            </w:pPr>
            <w:r>
              <w:rPr>
                <w:rtl/>
              </w:rPr>
              <w:t>(13)</w:t>
            </w:r>
            <w:r w:rsidRPr="00C9040A">
              <w:rPr>
                <w:rtl/>
              </w:rPr>
              <w:t xml:space="preserve"> في « ف » : + « هو »</w:t>
            </w:r>
            <w:r>
              <w:rPr>
                <w:rtl/>
              </w:rPr>
              <w:t>.</w:t>
            </w:r>
          </w:p>
        </w:tc>
      </w:tr>
      <w:tr w:rsidR="00852BB4" w:rsidTr="00852BB4">
        <w:tc>
          <w:tcPr>
            <w:tcW w:w="4006" w:type="dxa"/>
          </w:tcPr>
          <w:p w:rsidR="00852BB4" w:rsidRDefault="006320D5" w:rsidP="004A4E41">
            <w:pPr>
              <w:pStyle w:val="libFootnote0"/>
              <w:rPr>
                <w:rtl/>
              </w:rPr>
            </w:pPr>
            <w:r>
              <w:rPr>
                <w:rtl/>
              </w:rPr>
              <w:t>(14)</w:t>
            </w:r>
            <w:r w:rsidRPr="00C9040A">
              <w:rPr>
                <w:rtl/>
              </w:rPr>
              <w:t xml:space="preserve"> في الوسائل : « الذي »</w:t>
            </w:r>
            <w:r>
              <w:rPr>
                <w:rtl/>
              </w:rPr>
              <w:t>.</w:t>
            </w:r>
          </w:p>
        </w:tc>
        <w:tc>
          <w:tcPr>
            <w:tcW w:w="4006" w:type="dxa"/>
          </w:tcPr>
          <w:p w:rsidR="00852BB4" w:rsidRDefault="006320D5" w:rsidP="00C7280C">
            <w:pPr>
              <w:pStyle w:val="libFootnote0"/>
              <w:rPr>
                <w:rtl/>
              </w:rPr>
            </w:pPr>
            <w:r>
              <w:rPr>
                <w:rtl/>
              </w:rPr>
              <w:t>(15)</w:t>
            </w:r>
            <w:r w:rsidRPr="00C9040A">
              <w:rPr>
                <w:rtl/>
              </w:rPr>
              <w:t xml:space="preserve"> في «</w:t>
            </w:r>
            <w:r w:rsidR="00C7280C">
              <w:rPr>
                <w:rtl/>
              </w:rPr>
              <w:t>ز ، ف،بر ، بس ، بف»والوسائل:«وأقطع</w:t>
            </w:r>
            <w:r w:rsidRPr="00C9040A">
              <w:rPr>
                <w:rtl/>
              </w:rPr>
              <w:t>»</w:t>
            </w:r>
            <w:r>
              <w:rPr>
                <w:rtl/>
              </w:rPr>
              <w:t>.</w:t>
            </w:r>
          </w:p>
        </w:tc>
      </w:tr>
    </w:tbl>
    <w:p w:rsidR="008A74EB" w:rsidRPr="00C9040A" w:rsidRDefault="008A74EB" w:rsidP="004A4E41">
      <w:pPr>
        <w:pStyle w:val="libFootnote0"/>
        <w:rPr>
          <w:rtl/>
          <w:lang w:bidi="fa-IR"/>
        </w:rPr>
      </w:pPr>
      <w:r>
        <w:rPr>
          <w:rtl/>
        </w:rPr>
        <w:t>(16)</w:t>
      </w:r>
      <w:r w:rsidRPr="00C9040A">
        <w:rPr>
          <w:rtl/>
        </w:rPr>
        <w:t xml:space="preserve"> في « ب » : + « </w:t>
      </w:r>
      <w:r>
        <w:rPr>
          <w:rtl/>
        </w:rPr>
        <w:t>و ».</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لَاتَرِدْهُ </w:t>
      </w:r>
      <w:r w:rsidR="006C577F" w:rsidRPr="006C577F">
        <w:rPr>
          <w:rStyle w:val="libFootnotenumChar"/>
          <w:rtl/>
        </w:rPr>
        <w:t>(1)</w:t>
      </w:r>
      <w:r w:rsidRPr="00C9040A">
        <w:rPr>
          <w:rtl/>
          <w:lang w:bidi="fa-IR"/>
        </w:rPr>
        <w:t xml:space="preserve"> » قُلْتُ : بَلى جُعِلْتُ فِدَاكَ </w:t>
      </w:r>
      <w:r w:rsidR="006C577F" w:rsidRPr="006C577F">
        <w:rPr>
          <w:rStyle w:val="libFootnotenumChar"/>
          <w:rtl/>
        </w:rPr>
        <w:t>(2)</w:t>
      </w:r>
      <w:r w:rsidRPr="00C9040A">
        <w:rPr>
          <w:rtl/>
          <w:lang w:bidi="fa-IR"/>
        </w:rPr>
        <w:t xml:space="preserve"> ، فَلَمْ أَزَلْ أُرَدِّدُ عَلَيْهِ ، فَقَالَ : « يَا أَبَانُ ، تُقَاسِمُهُ شَطْرَ مَالِكَ »</w:t>
      </w:r>
      <w:r>
        <w:rPr>
          <w:rtl/>
          <w:lang w:bidi="fa-IR"/>
        </w:rPr>
        <w:t>.</w:t>
      </w:r>
      <w:r w:rsidRPr="00C9040A">
        <w:rPr>
          <w:rtl/>
          <w:lang w:bidi="fa-IR"/>
        </w:rPr>
        <w:t xml:space="preserve"> ثُمَّ نَظَرَ إِلَيَّ ، فَرَأى مَا دَخَلَنِي ، فَقَالَ : « يَا أَبَانُ ، أَمَا تَعْلَمُ أَنَّ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قَدْ ذَكَرَ الْمُؤْثِرِينَ عَلى أَنْفُسِهِمْ</w:t>
      </w:r>
      <w:r>
        <w:rPr>
          <w:rtl/>
          <w:lang w:bidi="fa-IR"/>
        </w:rPr>
        <w:t>؟</w:t>
      </w:r>
      <w:r w:rsidRPr="00C9040A">
        <w:rPr>
          <w:rtl/>
          <w:lang w:bidi="fa-IR"/>
        </w:rPr>
        <w:t xml:space="preserve"> » قُلْتُ : بَلى جُعِلْتُ فِدَاكَ ، فَقَالَ : « أَمَّا </w:t>
      </w:r>
      <w:r w:rsidR="006C577F" w:rsidRPr="006C577F">
        <w:rPr>
          <w:rStyle w:val="libFootnotenumChar"/>
          <w:rtl/>
        </w:rPr>
        <w:t>(3)</w:t>
      </w:r>
      <w:r w:rsidRPr="00C9040A">
        <w:rPr>
          <w:rtl/>
          <w:lang w:bidi="fa-IR"/>
        </w:rPr>
        <w:t xml:space="preserve"> إِذَا </w:t>
      </w:r>
      <w:r w:rsidR="006C577F" w:rsidRPr="006C577F">
        <w:rPr>
          <w:rStyle w:val="libFootnotenumChar"/>
          <w:rtl/>
        </w:rPr>
        <w:t>(4)</w:t>
      </w:r>
      <w:r w:rsidRPr="00C9040A">
        <w:rPr>
          <w:rtl/>
          <w:lang w:bidi="fa-IR"/>
        </w:rPr>
        <w:t xml:space="preserve"> أَنْتَ قَاسَمْتَهُ فَلَمْ تُؤْثِرْهُ بَعْدُ ، إِنَّمَا أَنْتَ وَهُوَ سَوَاءٌ </w:t>
      </w:r>
      <w:r w:rsidR="006C577F" w:rsidRPr="006C577F">
        <w:rPr>
          <w:rStyle w:val="libFootnotenumChar"/>
          <w:rtl/>
        </w:rPr>
        <w:t>(5)</w:t>
      </w:r>
      <w:r w:rsidRPr="00C9040A">
        <w:rPr>
          <w:rtl/>
          <w:lang w:bidi="fa-IR"/>
        </w:rPr>
        <w:t xml:space="preserve"> ، إِنَّمَا تُؤْثِرُهُ </w:t>
      </w:r>
      <w:r w:rsidR="006C577F" w:rsidRPr="006C577F">
        <w:rPr>
          <w:rStyle w:val="libFootnotenumChar"/>
          <w:rtl/>
        </w:rPr>
        <w:t>(6)</w:t>
      </w:r>
      <w:r w:rsidRPr="005B567D">
        <w:rPr>
          <w:rStyle w:val="libFootnotenumChar"/>
          <w:rtl/>
        </w:rPr>
        <w:t xml:space="preserve"> </w:t>
      </w:r>
      <w:r w:rsidRPr="00C9040A">
        <w:rPr>
          <w:rtl/>
          <w:lang w:bidi="fa-IR"/>
        </w:rPr>
        <w:t xml:space="preserve">إِذَا </w:t>
      </w:r>
      <w:r w:rsidR="006C577F" w:rsidRPr="006C577F">
        <w:rPr>
          <w:rStyle w:val="libFootnotenumChar"/>
          <w:rtl/>
        </w:rPr>
        <w:t>(7)</w:t>
      </w:r>
      <w:r w:rsidRPr="00C9040A">
        <w:rPr>
          <w:rtl/>
          <w:lang w:bidi="fa-IR"/>
        </w:rPr>
        <w:t xml:space="preserve"> أَنْتَ أَعْطَيْتَهُ </w:t>
      </w:r>
      <w:r w:rsidR="006C577F" w:rsidRPr="006C577F">
        <w:rPr>
          <w:rStyle w:val="libFootnotenumChar"/>
          <w:rtl/>
        </w:rPr>
        <w:t>(8)</w:t>
      </w:r>
      <w:r w:rsidR="005C57B5">
        <w:rPr>
          <w:rtl/>
          <w:lang w:bidi="fa-IR"/>
        </w:rPr>
        <w:t xml:space="preserve"> مِنَ النِّصْفِ الْآخَرِ</w:t>
      </w:r>
      <w:r w:rsidRPr="00C9040A">
        <w:rPr>
          <w:rtl/>
          <w:lang w:bidi="fa-IR"/>
        </w:rPr>
        <w:t>»</w:t>
      </w:r>
      <w:r>
        <w:rPr>
          <w:rtl/>
          <w:lang w:bidi="fa-IR"/>
        </w:rPr>
        <w:t>.</w:t>
      </w:r>
      <w:r w:rsidR="006C577F" w:rsidRPr="006C577F">
        <w:rPr>
          <w:rStyle w:val="libFootnotenumChar"/>
          <w:rtl/>
        </w:rPr>
        <w:t>(9)</w:t>
      </w:r>
    </w:p>
    <w:p w:rsidR="008A74EB" w:rsidRPr="00C9040A" w:rsidRDefault="008A74EB" w:rsidP="008A74EB">
      <w:pPr>
        <w:pStyle w:val="libNormal"/>
        <w:rPr>
          <w:rtl/>
          <w:lang w:bidi="fa-IR"/>
        </w:rPr>
      </w:pPr>
      <w:r w:rsidRPr="00F432EC">
        <w:rPr>
          <w:rtl/>
        </w:rPr>
        <w:t>2064</w:t>
      </w:r>
      <w:r w:rsidRPr="00261CB0">
        <w:rPr>
          <w:rStyle w:val="libBold2Char"/>
          <w:rtl/>
        </w:rPr>
        <w:t xml:space="preserve"> / 9.</w:t>
      </w:r>
      <w:r w:rsidRPr="00C9040A">
        <w:rPr>
          <w:rtl/>
          <w:lang w:bidi="fa-IR"/>
        </w:rPr>
        <w:t xml:space="preserve"> عِدَّةٌ مِنْ أَصْحَابِنَا ، عَنْ أَحْمَدَ بْنِ مُحَمَّدِ بْنِ خَالِدٍ ، عَنْ أَبِيهِ ، عَنْ فَضَالَةَ بْنِ أَيُّوبَ ، عَنْ عُمَرَ بْنِ أَبَانٍ ، عَنْ عِيسَى بْنِ أَبِي مَنْصُورٍ ، قَالَ :</w:t>
      </w:r>
    </w:p>
    <w:p w:rsidR="008A74EB" w:rsidRPr="00C9040A" w:rsidRDefault="008A74EB" w:rsidP="008A74EB">
      <w:pPr>
        <w:pStyle w:val="libNormal"/>
        <w:rPr>
          <w:rtl/>
          <w:lang w:bidi="fa-IR"/>
        </w:rPr>
      </w:pPr>
      <w:r w:rsidRPr="00C9040A">
        <w:rPr>
          <w:rtl/>
          <w:lang w:bidi="fa-IR"/>
        </w:rPr>
        <w:t xml:space="preserve">كُنْتُ عِنْدَ أَبِي عَبْدِ اللهِ </w:t>
      </w:r>
      <w:r w:rsidRPr="0003660B">
        <w:rPr>
          <w:rStyle w:val="libAlaemChar"/>
          <w:rtl/>
        </w:rPr>
        <w:t>عليه‌السلام</w:t>
      </w:r>
      <w:r w:rsidRPr="00C9040A">
        <w:rPr>
          <w:rtl/>
          <w:lang w:bidi="fa-IR"/>
        </w:rPr>
        <w:t xml:space="preserve"> أَنَا وَابْنُ أَبِي يَعْفُورٍ وَعَبْدُ اللهِ بْنُ طَلْحَةَ ، فَقَالَ ابْتِدَاءً مِنْهُ : « يَا ابْنَ أَبِي يَعْفُورٍ ، قَالَ رَسُولُ اللهِ </w:t>
      </w:r>
      <w:r w:rsidR="004A4E41" w:rsidRPr="004A4E41">
        <w:rPr>
          <w:rStyle w:val="libAlaemChar"/>
          <w:rtl/>
        </w:rPr>
        <w:t>صلى‌الله‌عليه‌وآله</w:t>
      </w:r>
      <w:r w:rsidRPr="00C9040A">
        <w:rPr>
          <w:rtl/>
          <w:lang w:bidi="fa-IR"/>
        </w:rPr>
        <w:t xml:space="preserve"> : سِتُّ خِصَالٍ مَنْ كُنَّ فِيهِ ، كَانَ بَيْنَ يَدَيِ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وَعَنْ يَمِينِ اللهِ </w:t>
      </w:r>
      <w:r w:rsidR="006C577F" w:rsidRPr="006C577F">
        <w:rPr>
          <w:rStyle w:val="libFootnotenumChar"/>
          <w:rtl/>
        </w:rPr>
        <w:t>(10)</w:t>
      </w:r>
      <w:r w:rsidRPr="00C9040A">
        <w:rPr>
          <w:rtl/>
          <w:lang w:bidi="fa-IR"/>
        </w:rPr>
        <w:t xml:space="preserve"> »</w:t>
      </w:r>
      <w:r>
        <w:rPr>
          <w:rtl/>
          <w:lang w:bidi="fa-IR"/>
        </w:rPr>
        <w:t>.</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البحار : + « قلت : بلى جعلت فداك ، قال : يا أبان لا ترده »</w:t>
      </w:r>
      <w:r w:rsidR="008A74EB">
        <w:rPr>
          <w:rtl/>
        </w:rPr>
        <w:t>.</w:t>
      </w:r>
      <w:r w:rsidR="008A74EB" w:rsidRPr="00C9040A">
        <w:rPr>
          <w:rtl/>
        </w:rPr>
        <w:t xml:space="preserve"> وفي المصادقة : « لا تريده »</w:t>
      </w:r>
      <w:r w:rsidR="008A74EB">
        <w:rPr>
          <w:rtl/>
        </w:rPr>
        <w:t>.</w:t>
      </w:r>
      <w:r w:rsidR="008A74EB" w:rsidRPr="00C9040A">
        <w:rPr>
          <w:rtl/>
        </w:rPr>
        <w:t xml:space="preserve"> ويجوز كونه من‌الإرادة.</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ب ، ج ، بر » : + « قال : يا أبان ، دعه لا ترده ، قلت : بلى جعلت فداك »</w:t>
      </w:r>
      <w:r w:rsidR="008A74EB">
        <w:rPr>
          <w:rtl/>
        </w:rPr>
        <w:t>.</w:t>
      </w:r>
      <w:r w:rsidR="008A74EB" w:rsidRPr="00C9040A">
        <w:rPr>
          <w:rtl/>
        </w:rPr>
        <w:t xml:space="preserve"> وفي « د ، بس ، بف » والوافي : + « قال : يا أبان ، لا ترده ، قلت : بلى جعلت فداك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ب ، بس ، بف » والوافي والمصادقة </w:t>
      </w:r>
      <w:r w:rsidR="008A74EB">
        <w:rPr>
          <w:rtl/>
        </w:rPr>
        <w:t xml:space="preserve">: </w:t>
      </w:r>
      <w:r w:rsidR="0084262C">
        <w:rPr>
          <w:rtl/>
        </w:rPr>
        <w:t>-</w:t>
      </w:r>
      <w:r w:rsidR="008A74EB" w:rsidRPr="00C9040A">
        <w:rPr>
          <w:rtl/>
        </w:rPr>
        <w:t xml:space="preserve"> « أمّا »</w:t>
      </w:r>
      <w:r w:rsidR="008A74EB">
        <w:rPr>
          <w:rtl/>
        </w:rPr>
        <w:t>.</w:t>
      </w:r>
    </w:p>
    <w:tbl>
      <w:tblPr>
        <w:tblStyle w:val="TableGrid"/>
        <w:bidiVisual/>
        <w:tblW w:w="0" w:type="auto"/>
        <w:tblLook w:val="04A0" w:firstRow="1" w:lastRow="0" w:firstColumn="1" w:lastColumn="0" w:noHBand="0" w:noVBand="1"/>
      </w:tblPr>
      <w:tblGrid>
        <w:gridCol w:w="4006"/>
        <w:gridCol w:w="4006"/>
      </w:tblGrid>
      <w:tr w:rsidR="00151DE8" w:rsidTr="00151DE8">
        <w:tc>
          <w:tcPr>
            <w:tcW w:w="4006" w:type="dxa"/>
          </w:tcPr>
          <w:p w:rsidR="00151DE8" w:rsidRDefault="00151DE8" w:rsidP="004A4E41">
            <w:pPr>
              <w:pStyle w:val="libFootnote0"/>
              <w:rPr>
                <w:rtl/>
              </w:rPr>
            </w:pPr>
            <w:r>
              <w:rPr>
                <w:rtl/>
              </w:rPr>
              <w:t>(4).</w:t>
            </w:r>
            <w:r w:rsidRPr="00C9040A">
              <w:rPr>
                <w:rtl/>
              </w:rPr>
              <w:t xml:space="preserve"> في « ب » : « إذ »</w:t>
            </w:r>
            <w:r>
              <w:rPr>
                <w:rtl/>
              </w:rPr>
              <w:t>.</w:t>
            </w:r>
          </w:p>
        </w:tc>
        <w:tc>
          <w:tcPr>
            <w:tcW w:w="4006" w:type="dxa"/>
          </w:tcPr>
          <w:p w:rsidR="00151DE8" w:rsidRDefault="00151DE8" w:rsidP="004A4E41">
            <w:pPr>
              <w:pStyle w:val="libFootnote0"/>
              <w:rPr>
                <w:rtl/>
              </w:rPr>
            </w:pPr>
            <w:r>
              <w:rPr>
                <w:rtl/>
              </w:rPr>
              <w:t>(5).</w:t>
            </w:r>
            <w:r w:rsidRPr="00C9040A">
              <w:rPr>
                <w:rtl/>
              </w:rPr>
              <w:t xml:space="preserve"> في « ج » </w:t>
            </w:r>
            <w:r>
              <w:rPr>
                <w:rtl/>
              </w:rPr>
              <w:t>: -</w:t>
            </w:r>
            <w:r w:rsidRPr="00C9040A">
              <w:rPr>
                <w:rtl/>
              </w:rPr>
              <w:t xml:space="preserve"> « إنّما أنت وهو سواء »</w:t>
            </w:r>
            <w:r>
              <w:rPr>
                <w:rtl/>
              </w:rPr>
              <w:t>.</w:t>
            </w:r>
          </w:p>
        </w:tc>
      </w:tr>
      <w:tr w:rsidR="00151DE8" w:rsidTr="00151DE8">
        <w:tc>
          <w:tcPr>
            <w:tcW w:w="4006" w:type="dxa"/>
          </w:tcPr>
          <w:p w:rsidR="00151DE8" w:rsidRDefault="00151DE8" w:rsidP="004A4E41">
            <w:pPr>
              <w:pStyle w:val="libFootnote0"/>
              <w:rPr>
                <w:rtl/>
              </w:rPr>
            </w:pPr>
            <w:r>
              <w:rPr>
                <w:rtl/>
              </w:rPr>
              <w:t xml:space="preserve">(6). </w:t>
            </w:r>
            <w:r w:rsidRPr="00C9040A">
              <w:rPr>
                <w:rtl/>
              </w:rPr>
              <w:t>في « ب » : « تؤثر »</w:t>
            </w:r>
            <w:r>
              <w:rPr>
                <w:rtl/>
              </w:rPr>
              <w:t>.</w:t>
            </w:r>
          </w:p>
        </w:tc>
        <w:tc>
          <w:tcPr>
            <w:tcW w:w="4006" w:type="dxa"/>
          </w:tcPr>
          <w:p w:rsidR="00151DE8" w:rsidRDefault="00151DE8" w:rsidP="004A4E41">
            <w:pPr>
              <w:pStyle w:val="libFootnote0"/>
              <w:rPr>
                <w:rtl/>
              </w:rPr>
            </w:pPr>
            <w:r>
              <w:rPr>
                <w:rtl/>
              </w:rPr>
              <w:t>(7).</w:t>
            </w:r>
            <w:r w:rsidRPr="00C9040A">
              <w:rPr>
                <w:rtl/>
              </w:rPr>
              <w:t xml:space="preserve"> في « ب » : « إذ »</w:t>
            </w:r>
            <w:r>
              <w:rPr>
                <w:rtl/>
              </w:rPr>
              <w:t>.</w:t>
            </w:r>
          </w:p>
        </w:tc>
      </w:tr>
    </w:tbl>
    <w:p w:rsidR="008A74EB" w:rsidRPr="00C9040A" w:rsidRDefault="006C577F" w:rsidP="004A4E41">
      <w:pPr>
        <w:pStyle w:val="libFootnote0"/>
        <w:rPr>
          <w:rtl/>
          <w:lang w:bidi="fa-IR"/>
        </w:rPr>
      </w:pPr>
      <w:r>
        <w:rPr>
          <w:rtl/>
        </w:rPr>
        <w:t>(8).</w:t>
      </w:r>
      <w:r w:rsidR="008A74EB" w:rsidRPr="00C9040A">
        <w:rPr>
          <w:rtl/>
        </w:rPr>
        <w:t xml:space="preserve"> في « بر » : « أعطيت »</w:t>
      </w:r>
      <w:r w:rsidR="008A74EB">
        <w:rPr>
          <w:rtl/>
        </w:rPr>
        <w:t>.</w:t>
      </w:r>
    </w:p>
    <w:p w:rsidR="008A74EB" w:rsidRPr="00C9040A" w:rsidRDefault="006C577F" w:rsidP="00034A59">
      <w:pPr>
        <w:pStyle w:val="libFootnote0"/>
        <w:rPr>
          <w:rtl/>
          <w:lang w:bidi="fa-IR"/>
        </w:rPr>
      </w:pPr>
      <w:r>
        <w:rPr>
          <w:rtl/>
        </w:rPr>
        <w:t>(9).</w:t>
      </w:r>
      <w:r w:rsidR="008A74EB" w:rsidRPr="00C9040A">
        <w:rPr>
          <w:rtl/>
        </w:rPr>
        <w:t xml:space="preserve"> </w:t>
      </w:r>
      <w:r w:rsidR="008A74EB" w:rsidRPr="00993B55">
        <w:rPr>
          <w:rStyle w:val="libFootnoteBoldChar"/>
          <w:rtl/>
        </w:rPr>
        <w:t>الكافي</w:t>
      </w:r>
      <w:r w:rsidR="008A74EB" w:rsidRPr="00C9040A">
        <w:rPr>
          <w:rtl/>
        </w:rPr>
        <w:t xml:space="preserve"> ، كتاب الحجّ ، باب الرجل يطوف فتعرض له الحاجة أو العلّة ، ح 7546 ، بسند آخر عن أبي أحمد ، عن أبي عبد الله </w:t>
      </w:r>
      <w:r w:rsidR="00117575" w:rsidRPr="00117575">
        <w:rPr>
          <w:rStyle w:val="libFootnoteAlaemChar"/>
          <w:rtl/>
        </w:rPr>
        <w:t>عليه‌السلام</w:t>
      </w:r>
      <w:r w:rsidR="008A74EB" w:rsidRPr="00C9040A">
        <w:rPr>
          <w:rtl/>
        </w:rPr>
        <w:t xml:space="preserve"> ، مع اختلاف. </w:t>
      </w:r>
      <w:r w:rsidR="008A74EB" w:rsidRPr="00993B55">
        <w:rPr>
          <w:rStyle w:val="libFootnoteBoldChar"/>
          <w:rtl/>
        </w:rPr>
        <w:t>مصادقة الإخوان</w:t>
      </w:r>
      <w:r w:rsidR="008A74EB" w:rsidRPr="00C9040A">
        <w:rPr>
          <w:rtl/>
        </w:rPr>
        <w:t xml:space="preserve"> ، ص 38 ، ح 2 ، مرسلاً عن أبان بن تغلب</w:t>
      </w:r>
      <w:r w:rsidR="00034A59">
        <w:rPr>
          <w:rFonts w:hint="cs"/>
          <w:rtl/>
        </w:rPr>
        <w:t>.</w:t>
      </w:r>
      <w:r w:rsidR="008A74EB" w:rsidRPr="00993B55">
        <w:rPr>
          <w:rStyle w:val="libFootnoteBoldChar"/>
          <w:rtl/>
        </w:rPr>
        <w:t>الوافي</w:t>
      </w:r>
      <w:r w:rsidR="008A74EB" w:rsidRPr="00C9040A">
        <w:rPr>
          <w:rtl/>
        </w:rPr>
        <w:t xml:space="preserve"> ، ج 5 ، ص 561 ، ح 2578 ؛ </w:t>
      </w:r>
      <w:r w:rsidR="008A74EB" w:rsidRPr="00993B55">
        <w:rPr>
          <w:rStyle w:val="libFootnoteBoldChar"/>
          <w:rtl/>
        </w:rPr>
        <w:t>الوسائل</w:t>
      </w:r>
      <w:r w:rsidR="008A74EB" w:rsidRPr="00C9040A">
        <w:rPr>
          <w:rtl/>
        </w:rPr>
        <w:t xml:space="preserve"> ، ج 13 ، ص 383 ، ح 18018 ، إلى قوله : « قال : نعم ، فذهبت معه » ؛ </w:t>
      </w:r>
      <w:r w:rsidR="008A74EB" w:rsidRPr="00993B55">
        <w:rPr>
          <w:rStyle w:val="libFootnoteBoldChar"/>
          <w:rtl/>
        </w:rPr>
        <w:t>البحار</w:t>
      </w:r>
      <w:r w:rsidR="008A74EB" w:rsidRPr="00C9040A">
        <w:rPr>
          <w:rtl/>
        </w:rPr>
        <w:t xml:space="preserve"> ، ج 74 ، ص 248 ، ح 46.</w:t>
      </w:r>
    </w:p>
    <w:p w:rsidR="008A74EB" w:rsidRPr="00C9040A" w:rsidRDefault="006C577F" w:rsidP="004A4E41">
      <w:pPr>
        <w:pStyle w:val="libFootnote0"/>
        <w:rPr>
          <w:rtl/>
          <w:lang w:bidi="fa-IR"/>
        </w:rPr>
      </w:pPr>
      <w:r>
        <w:rPr>
          <w:rtl/>
        </w:rPr>
        <w:t>(10).</w:t>
      </w:r>
      <w:r w:rsidR="008A74EB" w:rsidRPr="00C9040A">
        <w:rPr>
          <w:rtl/>
        </w:rPr>
        <w:t xml:space="preserve"> في </w:t>
      </w:r>
      <w:r w:rsidR="008A74EB" w:rsidRPr="00993B55">
        <w:rPr>
          <w:rStyle w:val="libFootnoteBoldChar"/>
          <w:rtl/>
        </w:rPr>
        <w:t>مرآة العقول</w:t>
      </w:r>
      <w:r w:rsidR="008A74EB" w:rsidRPr="00C9040A">
        <w:rPr>
          <w:rtl/>
        </w:rPr>
        <w:t xml:space="preserve"> ، ج 9 ، ص 42 : « بين يدي الله ، أي قدّام عرشه ، وعن يمين عرشه ؛ أو كناية عن نهاية القرب والمنزلة عنده تعالى. ويحتمل أن يكون الوصفان لجماعة واحدة ، عبّر عنهم في بعض الأحيان بالوصفين وفي بعضها بأحدهما ، وهم أصحاب اليمين. ويحتمل أن يكون الطائفتان كلّ منهما اتّصفوا بالخصال الستّ في الجملة ، لكن بعضهم اتّصفوا بأعلى مراتبها ، فهم أصحاب اليمين ، وبعضهم نقصوا عن تلك المرتبة ، فهم بين </w:t>
      </w:r>
      <w:r w:rsidR="0089341B">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فَقَالَ </w:t>
      </w:r>
      <w:r w:rsidR="006C577F" w:rsidRPr="006C577F">
        <w:rPr>
          <w:rStyle w:val="libFootnotenumChar"/>
          <w:rtl/>
        </w:rPr>
        <w:t>(1)</w:t>
      </w:r>
      <w:r w:rsidRPr="00C9040A">
        <w:rPr>
          <w:rtl/>
          <w:lang w:bidi="fa-IR"/>
        </w:rPr>
        <w:t xml:space="preserve"> ابْنُ أَبِي يَعْفُورٍ : وَمَا هُنَّ </w:t>
      </w:r>
      <w:r w:rsidR="006C577F" w:rsidRPr="006C577F">
        <w:rPr>
          <w:rStyle w:val="libFootnotenumChar"/>
          <w:rtl/>
        </w:rPr>
        <w:t>(2)</w:t>
      </w:r>
      <w:r w:rsidRPr="00C9040A">
        <w:rPr>
          <w:rtl/>
          <w:lang w:bidi="fa-IR"/>
        </w:rPr>
        <w:t xml:space="preserve"> جُعِلْتُ فِدَاكَ</w:t>
      </w:r>
      <w:r>
        <w:rPr>
          <w:rtl/>
          <w:lang w:bidi="fa-IR"/>
        </w:rPr>
        <w:t>؟</w:t>
      </w:r>
    </w:p>
    <w:p w:rsidR="008A74EB" w:rsidRPr="00C9040A" w:rsidRDefault="008A74EB" w:rsidP="008A74EB">
      <w:pPr>
        <w:pStyle w:val="libNormal"/>
        <w:rPr>
          <w:rtl/>
          <w:lang w:bidi="fa-IR"/>
        </w:rPr>
      </w:pPr>
      <w:r w:rsidRPr="00C9040A">
        <w:rPr>
          <w:rtl/>
          <w:lang w:bidi="fa-IR"/>
        </w:rPr>
        <w:t xml:space="preserve">قَالَ : « يُحِبُّ الْمَرْءُ الْمُسْلِمُ لِأَخِيهِ مَا يُحِبُّ لِأَعَزِّ أَهْلِهِ </w:t>
      </w:r>
      <w:r w:rsidR="006C577F" w:rsidRPr="006C577F">
        <w:rPr>
          <w:rStyle w:val="libFootnotenumChar"/>
          <w:rtl/>
        </w:rPr>
        <w:t>(3)</w:t>
      </w:r>
      <w:r w:rsidRPr="00C9040A">
        <w:rPr>
          <w:rtl/>
          <w:lang w:bidi="fa-IR"/>
        </w:rPr>
        <w:t xml:space="preserve"> ، وَيَكْرَهُ الْمَرْءُ الْمُسْلِمُ لِأَخِيهِ </w:t>
      </w:r>
      <w:r w:rsidR="006C577F" w:rsidRPr="006C577F">
        <w:rPr>
          <w:rStyle w:val="libFootnotenumChar"/>
          <w:rtl/>
        </w:rPr>
        <w:t>(4)</w:t>
      </w:r>
      <w:r w:rsidRPr="00C9040A">
        <w:rPr>
          <w:rtl/>
          <w:lang w:bidi="fa-IR"/>
        </w:rPr>
        <w:t xml:space="preserve"> مَا يَكْرَهُ لِأَعَزِّ أَهْلِهِ </w:t>
      </w:r>
      <w:r w:rsidR="006C577F" w:rsidRPr="006C577F">
        <w:rPr>
          <w:rStyle w:val="libFootnotenumChar"/>
          <w:rtl/>
        </w:rPr>
        <w:t>(5)</w:t>
      </w:r>
      <w:r w:rsidRPr="00C9040A">
        <w:rPr>
          <w:rtl/>
          <w:lang w:bidi="fa-IR"/>
        </w:rPr>
        <w:t xml:space="preserve"> ، وَيُنَاصِحُهُ الْوَلَايَةَ »</w:t>
      </w:r>
      <w:r>
        <w:rPr>
          <w:rtl/>
          <w:lang w:bidi="fa-IR"/>
        </w:rPr>
        <w:t>.</w:t>
      </w:r>
    </w:p>
    <w:p w:rsidR="008A74EB" w:rsidRPr="00C9040A" w:rsidRDefault="008A74EB" w:rsidP="008A74EB">
      <w:pPr>
        <w:pStyle w:val="libNormal"/>
        <w:rPr>
          <w:rtl/>
          <w:lang w:bidi="fa-IR"/>
        </w:rPr>
      </w:pPr>
      <w:r w:rsidRPr="00C9040A">
        <w:rPr>
          <w:rtl/>
          <w:lang w:bidi="fa-IR"/>
        </w:rPr>
        <w:t xml:space="preserve">فَبَكَى ابْنُ أَبِي يَعْفُورٍ ، وَقَالَ : كَيْفَ </w:t>
      </w:r>
      <w:r w:rsidR="006C577F" w:rsidRPr="006C577F">
        <w:rPr>
          <w:rStyle w:val="libFootnotenumChar"/>
          <w:rtl/>
        </w:rPr>
        <w:t>(6)</w:t>
      </w:r>
      <w:r w:rsidRPr="005B567D">
        <w:rPr>
          <w:rStyle w:val="libFootnotenumChar"/>
          <w:rtl/>
        </w:rPr>
        <w:t xml:space="preserve"> </w:t>
      </w:r>
      <w:r w:rsidRPr="00C9040A">
        <w:rPr>
          <w:rtl/>
          <w:lang w:bidi="fa-IR"/>
        </w:rPr>
        <w:t>يُنَاصِحُهُ الْوَلَايَةَ</w:t>
      </w:r>
      <w:r>
        <w:rPr>
          <w:rtl/>
          <w:lang w:bidi="fa-IR"/>
        </w:rPr>
        <w:t>؟</w:t>
      </w:r>
    </w:p>
    <w:p w:rsidR="008A74EB" w:rsidRPr="00C9040A" w:rsidRDefault="008A74EB" w:rsidP="008A74EB">
      <w:pPr>
        <w:pStyle w:val="libNormal"/>
        <w:rPr>
          <w:rtl/>
          <w:lang w:bidi="fa-IR"/>
        </w:rPr>
      </w:pPr>
      <w:r w:rsidRPr="00C9040A">
        <w:rPr>
          <w:rtl/>
          <w:lang w:bidi="fa-IR"/>
        </w:rPr>
        <w:t xml:space="preserve">قَالَ : « يَا ابْنَ أَبِي يَعْفُورٍ ، إِذَا كَانَ مِنْهُ بِتِلْكَ الْمَنْزِلَةِ بَثَّهُ </w:t>
      </w:r>
      <w:r w:rsidR="006C577F" w:rsidRPr="006C577F">
        <w:rPr>
          <w:rStyle w:val="libFootnotenumChar"/>
          <w:rtl/>
        </w:rPr>
        <w:t>(7)</w:t>
      </w:r>
      <w:r w:rsidRPr="00C9040A">
        <w:rPr>
          <w:rtl/>
          <w:lang w:bidi="fa-IR"/>
        </w:rPr>
        <w:t xml:space="preserve"> هَمَّهُ </w:t>
      </w:r>
      <w:r w:rsidR="006C577F" w:rsidRPr="006C577F">
        <w:rPr>
          <w:rStyle w:val="libFootnotenumChar"/>
          <w:rtl/>
        </w:rPr>
        <w:t>(8)</w:t>
      </w:r>
      <w:r w:rsidRPr="00C9040A">
        <w:rPr>
          <w:rtl/>
          <w:lang w:bidi="fa-IR"/>
        </w:rPr>
        <w:t xml:space="preserve"> ، فَفَرِحَ لِفَرَحِهِ إِنْ هُوَ فَرِحَ ، وَحَزِنَ لِحُزْنِهِ إِنْ هُوَ حَزِنَ ، وَإِنْ كَانَ عِنْدَهُ مَا يُفَرِّجُ </w:t>
      </w:r>
      <w:r w:rsidR="006C577F" w:rsidRPr="006C577F">
        <w:rPr>
          <w:rStyle w:val="libFootnotenumChar"/>
          <w:rtl/>
        </w:rPr>
        <w:t>(9)</w:t>
      </w:r>
      <w:r w:rsidRPr="00C9040A">
        <w:rPr>
          <w:rtl/>
          <w:lang w:bidi="fa-IR"/>
        </w:rPr>
        <w:t xml:space="preserve"> عَنْهُ فَرَّجَ </w:t>
      </w:r>
      <w:r w:rsidR="006C577F" w:rsidRPr="006C577F">
        <w:rPr>
          <w:rStyle w:val="libFootnotenumChar"/>
          <w:rtl/>
        </w:rPr>
        <w:t>(10)</w:t>
      </w:r>
      <w:r w:rsidR="00212C3F">
        <w:rPr>
          <w:rtl/>
          <w:lang w:bidi="fa-IR"/>
        </w:rPr>
        <w:t xml:space="preserve"> عَنْهُ ، وَإِل</w:t>
      </w:r>
      <w:r w:rsidR="00212C3F">
        <w:rPr>
          <w:rFonts w:hint="cs"/>
          <w:rtl/>
          <w:lang w:bidi="fa-IR"/>
        </w:rPr>
        <w:t>َّ</w:t>
      </w:r>
      <w:r w:rsidR="00212C3F">
        <w:rPr>
          <w:rtl/>
          <w:lang w:bidi="fa-IR"/>
        </w:rPr>
        <w:t>ا</w:t>
      </w:r>
      <w:r w:rsidRPr="00C9040A">
        <w:rPr>
          <w:rtl/>
          <w:lang w:bidi="fa-IR"/>
        </w:rPr>
        <w:t xml:space="preserve"> دَعَا اللهَ </w:t>
      </w:r>
      <w:r w:rsidR="006C577F" w:rsidRPr="006C577F">
        <w:rPr>
          <w:rStyle w:val="libFootnotenumChar"/>
          <w:rtl/>
        </w:rPr>
        <w:t>(11)</w:t>
      </w:r>
      <w:r w:rsidRPr="00C9040A">
        <w:rPr>
          <w:rtl/>
          <w:lang w:bidi="fa-IR"/>
        </w:rPr>
        <w:t xml:space="preserve"> لَهُ »</w:t>
      </w:r>
      <w:r>
        <w:rPr>
          <w:rtl/>
          <w:lang w:bidi="fa-IR"/>
        </w:rPr>
        <w:t>.</w:t>
      </w:r>
    </w:p>
    <w:p w:rsidR="008A74EB" w:rsidRPr="00C9040A" w:rsidRDefault="008A74EB" w:rsidP="008A74EB">
      <w:pPr>
        <w:pStyle w:val="libNormal"/>
        <w:rPr>
          <w:rtl/>
          <w:lang w:bidi="fa-IR"/>
        </w:rPr>
      </w:pPr>
      <w:r w:rsidRPr="00C9040A">
        <w:rPr>
          <w:rtl/>
          <w:lang w:bidi="fa-IR"/>
        </w:rPr>
        <w:t xml:space="preserve">قَالَ : ثُمَّ قَالَ أَبُو عَبْدِ اللهِ </w:t>
      </w:r>
      <w:r w:rsidRPr="0003660B">
        <w:rPr>
          <w:rStyle w:val="libAlaemChar"/>
          <w:rtl/>
        </w:rPr>
        <w:t>عليه‌السلام</w:t>
      </w:r>
      <w:r w:rsidRPr="00C9040A">
        <w:rPr>
          <w:rtl/>
          <w:lang w:bidi="fa-IR"/>
        </w:rPr>
        <w:t xml:space="preserve"> : « ثَلَاثٌ لَكُمْ </w:t>
      </w:r>
      <w:r w:rsidR="006C577F" w:rsidRPr="006C577F">
        <w:rPr>
          <w:rStyle w:val="libFootnotenumChar"/>
          <w:rtl/>
        </w:rPr>
        <w:t>(12)</w:t>
      </w:r>
      <w:r w:rsidRPr="00C9040A">
        <w:rPr>
          <w:rtl/>
          <w:lang w:bidi="fa-IR"/>
        </w:rPr>
        <w:t xml:space="preserve"> ، وَثَلَاثٌ لَنَا : أَنْ تَعْرِفُوا فَضْلَنَا ، وَ</w:t>
      </w:r>
      <w:r>
        <w:rPr>
          <w:rFonts w:hint="cs"/>
          <w:rtl/>
          <w:lang w:bidi="fa-IR"/>
        </w:rPr>
        <w:t xml:space="preserve"> </w:t>
      </w:r>
      <w:r w:rsidRPr="005B567D">
        <w:rPr>
          <w:rStyle w:val="libFootnotenumChar"/>
          <w:rtl/>
        </w:rPr>
        <w:t>(13)</w:t>
      </w:r>
      <w:r w:rsidRPr="00C9040A">
        <w:rPr>
          <w:rtl/>
          <w:lang w:bidi="fa-IR"/>
        </w:rPr>
        <w:t xml:space="preserve"> أَنْ تَطَؤُوا عَقِبَنَا </w:t>
      </w:r>
      <w:r w:rsidRPr="005B567D">
        <w:rPr>
          <w:rStyle w:val="libFootnotenumChar"/>
          <w:rtl/>
        </w:rPr>
        <w:t>(14)</w:t>
      </w:r>
      <w:r w:rsidRPr="00C9040A">
        <w:rPr>
          <w:rtl/>
          <w:lang w:bidi="fa-IR"/>
        </w:rPr>
        <w:t xml:space="preserve"> ، وَأَنْ </w:t>
      </w:r>
      <w:r w:rsidRPr="005B567D">
        <w:rPr>
          <w:rStyle w:val="libFootnotenumChar"/>
          <w:rtl/>
        </w:rPr>
        <w:t>(15)</w:t>
      </w:r>
      <w:r w:rsidRPr="00C9040A">
        <w:rPr>
          <w:rtl/>
          <w:lang w:bidi="fa-IR"/>
        </w:rPr>
        <w:t xml:space="preserve"> تَنْتَظِرُوا </w:t>
      </w:r>
      <w:r w:rsidRPr="005B567D">
        <w:rPr>
          <w:rStyle w:val="libFootnotenumChar"/>
          <w:rtl/>
        </w:rPr>
        <w:t>(16)</w:t>
      </w:r>
      <w:r w:rsidRPr="00C9040A">
        <w:rPr>
          <w:rtl/>
          <w:lang w:bidi="fa-IR"/>
        </w:rPr>
        <w:t xml:space="preserve"> عَاقِبَتَنَا ، فَمَنْ كَانَ هكَذَا ، كَانَ بَيْنَ يَدَيِ اللهِ‌</w:t>
      </w:r>
    </w:p>
    <w:p w:rsidR="008A74EB" w:rsidRPr="00C9040A" w:rsidRDefault="008A74EB" w:rsidP="008A74EB">
      <w:pPr>
        <w:pStyle w:val="libLine"/>
        <w:rPr>
          <w:rtl/>
          <w:lang w:bidi="fa-IR"/>
        </w:rPr>
      </w:pPr>
      <w:r w:rsidRPr="00C9040A">
        <w:rPr>
          <w:rtl/>
          <w:lang w:bidi="fa-IR"/>
        </w:rPr>
        <w:t>__________________</w:t>
      </w:r>
    </w:p>
    <w:p w:rsidR="008A74EB" w:rsidRPr="00C9040A" w:rsidRDefault="00212C3F" w:rsidP="004A4E41">
      <w:pPr>
        <w:pStyle w:val="libFootnote0"/>
        <w:rPr>
          <w:rtl/>
          <w:lang w:bidi="fa-IR"/>
        </w:rPr>
      </w:pPr>
      <w:r>
        <w:rPr>
          <w:rFonts w:hint="cs"/>
          <w:rtl/>
        </w:rPr>
        <w:t xml:space="preserve">= </w:t>
      </w:r>
      <w:r w:rsidR="008A74EB" w:rsidRPr="00C9040A">
        <w:rPr>
          <w:rtl/>
        </w:rPr>
        <w:t xml:space="preserve">يديه ، كما أنّ من يخدم بين يدي الملك أنقص مرتبة وأدنى منزلة ممّن جلس عن يمينه ؛ فالواو في قوله : وعن يمين الله ، للتقسيم. والأوّل أظهر ، لاسيّما في الحديث النبويّ » وراجع أيضاً </w:t>
      </w:r>
      <w:r w:rsidR="008A74EB" w:rsidRPr="00993B55">
        <w:rPr>
          <w:rStyle w:val="libFootnoteBoldChar"/>
          <w:rtl/>
        </w:rPr>
        <w:t>الوافي</w:t>
      </w:r>
      <w:r w:rsidR="008A74EB" w:rsidRPr="00C9040A">
        <w:rPr>
          <w:rtl/>
        </w:rPr>
        <w:t xml:space="preserve"> ، ج 5 ، ص 562.</w:t>
      </w:r>
    </w:p>
    <w:tbl>
      <w:tblPr>
        <w:tblStyle w:val="TableGrid"/>
        <w:bidiVisual/>
        <w:tblW w:w="0" w:type="auto"/>
        <w:tblLook w:val="04A0" w:firstRow="1" w:lastRow="0" w:firstColumn="1" w:lastColumn="0" w:noHBand="0" w:noVBand="1"/>
      </w:tblPr>
      <w:tblGrid>
        <w:gridCol w:w="4006"/>
        <w:gridCol w:w="4006"/>
      </w:tblGrid>
      <w:tr w:rsidR="00DC00F5" w:rsidTr="00DC00F5">
        <w:tc>
          <w:tcPr>
            <w:tcW w:w="4006" w:type="dxa"/>
          </w:tcPr>
          <w:p w:rsidR="00DC00F5" w:rsidRDefault="00DC00F5" w:rsidP="004A4E41">
            <w:pPr>
              <w:pStyle w:val="libFootnote0"/>
              <w:rPr>
                <w:rtl/>
              </w:rPr>
            </w:pPr>
            <w:r>
              <w:rPr>
                <w:rtl/>
              </w:rPr>
              <w:t xml:space="preserve">(1). </w:t>
            </w:r>
            <w:r w:rsidRPr="00C9040A">
              <w:rPr>
                <w:rtl/>
              </w:rPr>
              <w:t>في الوسائل : + « له »</w:t>
            </w:r>
            <w:r>
              <w:rPr>
                <w:rtl/>
              </w:rPr>
              <w:t>.</w:t>
            </w:r>
          </w:p>
        </w:tc>
        <w:tc>
          <w:tcPr>
            <w:tcW w:w="4006" w:type="dxa"/>
          </w:tcPr>
          <w:p w:rsidR="00DC00F5" w:rsidRDefault="00DC00F5" w:rsidP="004A4E41">
            <w:pPr>
              <w:pStyle w:val="libFootnote0"/>
              <w:rPr>
                <w:rtl/>
              </w:rPr>
            </w:pPr>
            <w:r>
              <w:rPr>
                <w:rtl/>
              </w:rPr>
              <w:t xml:space="preserve">(2). </w:t>
            </w:r>
            <w:r w:rsidR="00511B9B">
              <w:rPr>
                <w:rtl/>
              </w:rPr>
              <w:t>في«ب،ج</w:t>
            </w:r>
            <w:r w:rsidRPr="00C9040A">
              <w:rPr>
                <w:rtl/>
              </w:rPr>
              <w:t>،</w:t>
            </w:r>
            <w:r w:rsidR="00511B9B">
              <w:rPr>
                <w:rtl/>
              </w:rPr>
              <w:t>ض،بر»وحاشية«بف»والوافي</w:t>
            </w:r>
            <w:r w:rsidRPr="00C9040A">
              <w:rPr>
                <w:rtl/>
              </w:rPr>
              <w:t>: « هي »</w:t>
            </w:r>
            <w:r>
              <w:rPr>
                <w:rtl/>
              </w:rPr>
              <w:t>.</w:t>
            </w:r>
          </w:p>
        </w:tc>
      </w:tr>
      <w:tr w:rsidR="00DC00F5" w:rsidTr="00DC00F5">
        <w:tc>
          <w:tcPr>
            <w:tcW w:w="4006" w:type="dxa"/>
          </w:tcPr>
          <w:p w:rsidR="00DC00F5" w:rsidRDefault="007777FC" w:rsidP="004A4E41">
            <w:pPr>
              <w:pStyle w:val="libFootnote0"/>
              <w:rPr>
                <w:rtl/>
              </w:rPr>
            </w:pPr>
            <w:r>
              <w:rPr>
                <w:rtl/>
              </w:rPr>
              <w:t>(3).</w:t>
            </w:r>
            <w:r w:rsidRPr="00C9040A">
              <w:rPr>
                <w:rtl/>
              </w:rPr>
              <w:t xml:space="preserve"> في الوافي : + « عليه »</w:t>
            </w:r>
            <w:r>
              <w:rPr>
                <w:rtl/>
              </w:rPr>
              <w:t>.</w:t>
            </w:r>
          </w:p>
        </w:tc>
        <w:tc>
          <w:tcPr>
            <w:tcW w:w="4006" w:type="dxa"/>
          </w:tcPr>
          <w:p w:rsidR="00DC00F5" w:rsidRDefault="007777FC" w:rsidP="004A4E41">
            <w:pPr>
              <w:pStyle w:val="libFootnote0"/>
              <w:rPr>
                <w:rtl/>
              </w:rPr>
            </w:pPr>
            <w:r>
              <w:rPr>
                <w:rtl/>
              </w:rPr>
              <w:t>(4).</w:t>
            </w:r>
            <w:r w:rsidRPr="00C9040A">
              <w:rPr>
                <w:rtl/>
              </w:rPr>
              <w:t xml:space="preserve"> في « ف » </w:t>
            </w:r>
            <w:r>
              <w:rPr>
                <w:rtl/>
              </w:rPr>
              <w:t>: -</w:t>
            </w:r>
            <w:r w:rsidRPr="00C9040A">
              <w:rPr>
                <w:rtl/>
              </w:rPr>
              <w:t xml:space="preserve"> « لأخيه »</w:t>
            </w:r>
            <w:r>
              <w:rPr>
                <w:rtl/>
              </w:rPr>
              <w:t>.</w:t>
            </w:r>
          </w:p>
        </w:tc>
      </w:tr>
      <w:tr w:rsidR="00DC00F5" w:rsidTr="00DC00F5">
        <w:tc>
          <w:tcPr>
            <w:tcW w:w="4006" w:type="dxa"/>
          </w:tcPr>
          <w:p w:rsidR="00DC00F5" w:rsidRDefault="00F05C0D" w:rsidP="004A4E41">
            <w:pPr>
              <w:pStyle w:val="libFootnote0"/>
              <w:rPr>
                <w:rtl/>
              </w:rPr>
            </w:pPr>
            <w:r>
              <w:rPr>
                <w:rtl/>
              </w:rPr>
              <w:t>(5).</w:t>
            </w:r>
            <w:r w:rsidRPr="00C9040A">
              <w:rPr>
                <w:rtl/>
              </w:rPr>
              <w:t xml:space="preserve"> في الوافي : + « عليه »</w:t>
            </w:r>
            <w:r>
              <w:rPr>
                <w:rtl/>
              </w:rPr>
              <w:t>.</w:t>
            </w:r>
          </w:p>
        </w:tc>
        <w:tc>
          <w:tcPr>
            <w:tcW w:w="4006" w:type="dxa"/>
          </w:tcPr>
          <w:p w:rsidR="00DC00F5" w:rsidRDefault="00F05C0D" w:rsidP="004A4E41">
            <w:pPr>
              <w:pStyle w:val="libFootnote0"/>
              <w:rPr>
                <w:rtl/>
              </w:rPr>
            </w:pPr>
            <w:r>
              <w:rPr>
                <w:rtl/>
              </w:rPr>
              <w:t xml:space="preserve">(6). </w:t>
            </w:r>
            <w:r w:rsidRPr="00C9040A">
              <w:rPr>
                <w:rtl/>
              </w:rPr>
              <w:t>في « ب » : « وكيف »</w:t>
            </w:r>
            <w:r>
              <w:rPr>
                <w:rtl/>
              </w:rPr>
              <w:t>.</w:t>
            </w:r>
          </w:p>
        </w:tc>
      </w:tr>
    </w:tbl>
    <w:p w:rsidR="008A74EB" w:rsidRPr="00C9040A" w:rsidRDefault="006C577F" w:rsidP="004A4E41">
      <w:pPr>
        <w:pStyle w:val="libFootnote0"/>
        <w:rPr>
          <w:rtl/>
          <w:lang w:bidi="fa-IR"/>
        </w:rPr>
      </w:pPr>
      <w:r>
        <w:rPr>
          <w:rtl/>
        </w:rPr>
        <w:t>(7).</w:t>
      </w:r>
      <w:r w:rsidR="008A74EB" w:rsidRPr="00C9040A">
        <w:rPr>
          <w:rtl/>
        </w:rPr>
        <w:t xml:space="preserve"> في « بر » : « بثّ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w:t>
      </w:r>
      <w:r w:rsidR="008A74EB" w:rsidRPr="00993B55">
        <w:rPr>
          <w:rStyle w:val="libFootnoteBoldChar"/>
          <w:rtl/>
        </w:rPr>
        <w:t>الوافي</w:t>
      </w:r>
      <w:r w:rsidR="008A74EB" w:rsidRPr="00C9040A">
        <w:rPr>
          <w:rtl/>
        </w:rPr>
        <w:t xml:space="preserve"> : « لعلّ المراد بقوله </w:t>
      </w:r>
      <w:r w:rsidR="00117575" w:rsidRPr="00117575">
        <w:rPr>
          <w:rStyle w:val="libFootnoteAlaemChar"/>
          <w:rtl/>
        </w:rPr>
        <w:t>عليه‌السلام</w:t>
      </w:r>
      <w:r w:rsidR="008A74EB" w:rsidRPr="00C9040A">
        <w:rPr>
          <w:rtl/>
        </w:rPr>
        <w:t xml:space="preserve"> : إذا كان منه بتلك المنزلة : أنّه إذا كانت منزلة أخيه عنده بحيث يحبّ له ما يحبّ لأعزّ أهله عليه ويكره له ما يكره لأعزّ أهله عليه ، بثّه همّه ، أي نشره وأظهره ، فإذا بثّه همّه فرح لفرحه وحزن لحزنه ، وفرّج عنه أو دعا له. وهذا معنى مناصحته الولاية. ويحتمل أن يكون</w:t>
      </w:r>
      <w:r w:rsidR="00B96755">
        <w:rPr>
          <w:rtl/>
        </w:rPr>
        <w:t xml:space="preserve"> المراد بتلك المنزلة صلاحيته لل</w:t>
      </w:r>
      <w:r w:rsidR="008A74EB" w:rsidRPr="00C9040A">
        <w:rPr>
          <w:rtl/>
        </w:rPr>
        <w:t>ا</w:t>
      </w:r>
      <w:r w:rsidR="00B96755">
        <w:rPr>
          <w:rFonts w:hint="cs"/>
          <w:rtl/>
        </w:rPr>
        <w:t>ُ</w:t>
      </w:r>
      <w:r w:rsidR="008A74EB" w:rsidRPr="00C9040A">
        <w:rPr>
          <w:rtl/>
        </w:rPr>
        <w:t>خوّة والولاية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ف » : « يفرح »</w:t>
      </w:r>
      <w:r w:rsidR="008A74EB">
        <w:rPr>
          <w:rtl/>
        </w:rPr>
        <w:t>.</w:t>
      </w:r>
    </w:p>
    <w:tbl>
      <w:tblPr>
        <w:tblStyle w:val="TableGrid"/>
        <w:bidiVisual/>
        <w:tblW w:w="0" w:type="auto"/>
        <w:tblLook w:val="04A0" w:firstRow="1" w:lastRow="0" w:firstColumn="1" w:lastColumn="0" w:noHBand="0" w:noVBand="1"/>
      </w:tblPr>
      <w:tblGrid>
        <w:gridCol w:w="4006"/>
        <w:gridCol w:w="4006"/>
      </w:tblGrid>
      <w:tr w:rsidR="00B96755" w:rsidTr="00B96755">
        <w:tc>
          <w:tcPr>
            <w:tcW w:w="4006" w:type="dxa"/>
          </w:tcPr>
          <w:p w:rsidR="00B96755" w:rsidRDefault="00C25B22" w:rsidP="004A4E41">
            <w:pPr>
              <w:pStyle w:val="libFootnote0"/>
              <w:rPr>
                <w:rtl/>
              </w:rPr>
            </w:pPr>
            <w:r>
              <w:rPr>
                <w:rtl/>
              </w:rPr>
              <w:t>(10).</w:t>
            </w:r>
            <w:r w:rsidRPr="00C9040A">
              <w:rPr>
                <w:rtl/>
              </w:rPr>
              <w:t xml:space="preserve"> في « ف » : « فرح »</w:t>
            </w:r>
            <w:r>
              <w:rPr>
                <w:rtl/>
              </w:rPr>
              <w:t>.</w:t>
            </w:r>
          </w:p>
        </w:tc>
        <w:tc>
          <w:tcPr>
            <w:tcW w:w="4006" w:type="dxa"/>
          </w:tcPr>
          <w:p w:rsidR="00B96755" w:rsidRDefault="00C25B22" w:rsidP="004A4E41">
            <w:pPr>
              <w:pStyle w:val="libFootnote0"/>
              <w:rPr>
                <w:rtl/>
              </w:rPr>
            </w:pPr>
            <w:r>
              <w:rPr>
                <w:rtl/>
              </w:rPr>
              <w:t>(11).</w:t>
            </w:r>
            <w:r w:rsidRPr="00C9040A">
              <w:rPr>
                <w:rtl/>
              </w:rPr>
              <w:t xml:space="preserve"> في الوسائل </w:t>
            </w:r>
            <w:r>
              <w:rPr>
                <w:rtl/>
              </w:rPr>
              <w:t>: -</w:t>
            </w:r>
            <w:r w:rsidRPr="00C9040A">
              <w:rPr>
                <w:rtl/>
              </w:rPr>
              <w:t xml:space="preserve"> « الله »</w:t>
            </w:r>
            <w:r>
              <w:rPr>
                <w:rtl/>
              </w:rPr>
              <w:t>.</w:t>
            </w:r>
          </w:p>
        </w:tc>
      </w:tr>
    </w:tbl>
    <w:p w:rsidR="008A74EB" w:rsidRPr="00C9040A" w:rsidRDefault="006C577F" w:rsidP="004A4E41">
      <w:pPr>
        <w:pStyle w:val="libFootnote0"/>
        <w:rPr>
          <w:rtl/>
          <w:lang w:bidi="fa-IR"/>
        </w:rPr>
      </w:pPr>
      <w:r>
        <w:rPr>
          <w:rtl/>
        </w:rPr>
        <w:t>(12).</w:t>
      </w:r>
      <w:r w:rsidR="008A74EB" w:rsidRPr="00C9040A">
        <w:rPr>
          <w:rtl/>
        </w:rPr>
        <w:t xml:space="preserve"> في </w:t>
      </w:r>
      <w:r w:rsidR="008A74EB" w:rsidRPr="00993B55">
        <w:rPr>
          <w:rStyle w:val="libFootnoteBoldChar"/>
          <w:rtl/>
        </w:rPr>
        <w:t>الوافي</w:t>
      </w:r>
      <w:r w:rsidR="008A74EB" w:rsidRPr="00C9040A">
        <w:rPr>
          <w:rtl/>
        </w:rPr>
        <w:t xml:space="preserve"> : « ثلاث لكم ، يعني هذه الثلاث المذكورات لكم » وهي الحبّ والكراهة والمناصحة.</w:t>
      </w:r>
    </w:p>
    <w:tbl>
      <w:tblPr>
        <w:tblStyle w:val="TableGrid"/>
        <w:bidiVisual/>
        <w:tblW w:w="0" w:type="auto"/>
        <w:tblLook w:val="04A0" w:firstRow="1" w:lastRow="0" w:firstColumn="1" w:lastColumn="0" w:noHBand="0" w:noVBand="1"/>
      </w:tblPr>
      <w:tblGrid>
        <w:gridCol w:w="4006"/>
        <w:gridCol w:w="4006"/>
      </w:tblGrid>
      <w:tr w:rsidR="009C38C0" w:rsidTr="009C38C0">
        <w:tc>
          <w:tcPr>
            <w:tcW w:w="4006" w:type="dxa"/>
          </w:tcPr>
          <w:p w:rsidR="009C38C0" w:rsidRDefault="009C38C0" w:rsidP="004A4E41">
            <w:pPr>
              <w:pStyle w:val="libFootnote0"/>
              <w:rPr>
                <w:rtl/>
              </w:rPr>
            </w:pPr>
            <w:r>
              <w:rPr>
                <w:rtl/>
              </w:rPr>
              <w:t>(13)</w:t>
            </w:r>
            <w:r w:rsidRPr="00C9040A">
              <w:rPr>
                <w:rtl/>
              </w:rPr>
              <w:t xml:space="preserve"> في « ب » : « أو »</w:t>
            </w:r>
            <w:r>
              <w:rPr>
                <w:rtl/>
              </w:rPr>
              <w:t>.</w:t>
            </w:r>
          </w:p>
        </w:tc>
        <w:tc>
          <w:tcPr>
            <w:tcW w:w="4006" w:type="dxa"/>
          </w:tcPr>
          <w:p w:rsidR="009C38C0" w:rsidRDefault="009C38C0" w:rsidP="004A4E41">
            <w:pPr>
              <w:pStyle w:val="libFootnote0"/>
              <w:rPr>
                <w:rtl/>
              </w:rPr>
            </w:pPr>
            <w:r>
              <w:rPr>
                <w:rtl/>
              </w:rPr>
              <w:t>(14)</w:t>
            </w:r>
            <w:r w:rsidRPr="00C9040A">
              <w:rPr>
                <w:rtl/>
              </w:rPr>
              <w:t xml:space="preserve"> في المؤمن : « أعقابنا »</w:t>
            </w:r>
            <w:r>
              <w:rPr>
                <w:rtl/>
              </w:rPr>
              <w:t>.</w:t>
            </w:r>
          </w:p>
        </w:tc>
      </w:tr>
    </w:tbl>
    <w:p w:rsidR="008A74EB" w:rsidRPr="00C9040A" w:rsidRDefault="008A74EB" w:rsidP="004A4E41">
      <w:pPr>
        <w:pStyle w:val="libFootnote0"/>
        <w:rPr>
          <w:rtl/>
          <w:lang w:bidi="fa-IR"/>
        </w:rPr>
      </w:pPr>
      <w:r>
        <w:rPr>
          <w:rtl/>
        </w:rPr>
        <w:t>(15)</w:t>
      </w:r>
      <w:r w:rsidRPr="00C9040A">
        <w:rPr>
          <w:rtl/>
        </w:rPr>
        <w:t xml:space="preserve"> في « بس » </w:t>
      </w:r>
      <w:r>
        <w:rPr>
          <w:rtl/>
        </w:rPr>
        <w:t xml:space="preserve">: </w:t>
      </w:r>
      <w:r w:rsidR="0084262C">
        <w:rPr>
          <w:rtl/>
        </w:rPr>
        <w:t>-</w:t>
      </w:r>
      <w:r w:rsidRPr="00C9040A">
        <w:rPr>
          <w:rtl/>
        </w:rPr>
        <w:t xml:space="preserve"> « أن »</w:t>
      </w:r>
      <w:r>
        <w:rPr>
          <w:rtl/>
        </w:rPr>
        <w:t>.</w:t>
      </w:r>
    </w:p>
    <w:p w:rsidR="008A74EB" w:rsidRPr="00C9040A" w:rsidRDefault="008A74EB" w:rsidP="004A4E41">
      <w:pPr>
        <w:pStyle w:val="libFootnote0"/>
        <w:rPr>
          <w:rtl/>
          <w:lang w:bidi="fa-IR"/>
        </w:rPr>
      </w:pPr>
      <w:r>
        <w:rPr>
          <w:rtl/>
        </w:rPr>
        <w:t>(16)</w:t>
      </w:r>
      <w:r w:rsidRPr="00C9040A">
        <w:rPr>
          <w:rtl/>
        </w:rPr>
        <w:t xml:space="preserve"> في </w:t>
      </w:r>
      <w:r w:rsidRPr="00E633F5">
        <w:rPr>
          <w:rtl/>
        </w:rPr>
        <w:t>المؤمن</w:t>
      </w:r>
      <w:r w:rsidRPr="00C9040A">
        <w:rPr>
          <w:rtl/>
        </w:rPr>
        <w:t xml:space="preserve"> : « وتنظروا » بدل « وأن تنتظروا »</w:t>
      </w:r>
      <w:r>
        <w:rPr>
          <w:rtl/>
        </w:rPr>
        <w:t>.</w:t>
      </w:r>
      <w:r w:rsidRPr="00C9040A">
        <w:rPr>
          <w:rtl/>
        </w:rPr>
        <w:t xml:space="preserve"> وفي </w:t>
      </w:r>
      <w:r w:rsidRPr="00993B55">
        <w:rPr>
          <w:rStyle w:val="libFootnoteBoldChar"/>
          <w:rtl/>
        </w:rPr>
        <w:t>المرآة</w:t>
      </w:r>
      <w:r w:rsidRPr="00C9040A">
        <w:rPr>
          <w:rtl/>
        </w:rPr>
        <w:t xml:space="preserve"> : « وأن تنتظروا عاقبتنا ، أي ظهور قائمنا وعود الدولة إلينا في الدنيا ، أو الأعمّ منها ومن الآخرة ، كما قال تعالى : </w:t>
      </w:r>
      <w:r w:rsidRPr="00104885">
        <w:rPr>
          <w:rStyle w:val="libFootnoteAlaemChar"/>
          <w:rtl/>
        </w:rPr>
        <w:t>(</w:t>
      </w:r>
      <w:r w:rsidRPr="00883DD5">
        <w:rPr>
          <w:rStyle w:val="libFootnoteAieChar"/>
          <w:rFonts w:hint="cs"/>
          <w:rtl/>
        </w:rPr>
        <w:t xml:space="preserve"> </w:t>
      </w:r>
      <w:r w:rsidRPr="00883DD5">
        <w:rPr>
          <w:rStyle w:val="libFootnoteAieChar"/>
          <w:rtl/>
        </w:rPr>
        <w:t>وَا</w:t>
      </w:r>
      <w:r w:rsidR="00104885">
        <w:rPr>
          <w:rStyle w:val="libFootnoteAieChar"/>
          <w:rFonts w:hint="cs"/>
          <w:rtl/>
        </w:rPr>
        <w:t>َ</w:t>
      </w:r>
      <w:r w:rsidRPr="00883DD5">
        <w:rPr>
          <w:rStyle w:val="libFootnoteAieChar"/>
          <w:rtl/>
        </w:rPr>
        <w:t>لْع</w:t>
      </w:r>
      <w:r w:rsidR="00104885">
        <w:rPr>
          <w:rStyle w:val="libFootnoteAieChar"/>
          <w:rFonts w:hint="cs"/>
          <w:rtl/>
        </w:rPr>
        <w:t>َ</w:t>
      </w:r>
      <w:r w:rsidRPr="00883DD5">
        <w:rPr>
          <w:rStyle w:val="libFootnoteAieChar"/>
          <w:rtl/>
        </w:rPr>
        <w:t>اقِبَةُ لِلْمُتَّقِينَ</w:t>
      </w:r>
      <w:r w:rsidRPr="00883DD5">
        <w:rPr>
          <w:rStyle w:val="libFootnoteAieChar"/>
          <w:rFonts w:hint="cs"/>
          <w:rtl/>
        </w:rPr>
        <w:t xml:space="preserve"> </w:t>
      </w:r>
      <w:r w:rsidRPr="00104885">
        <w:rPr>
          <w:rStyle w:val="libFootnoteAlaemChar"/>
          <w:rtl/>
        </w:rPr>
        <w:t>)</w:t>
      </w:r>
      <w:r w:rsidRPr="00C9040A">
        <w:rPr>
          <w:rtl/>
        </w:rPr>
        <w:t xml:space="preserve"> [ الأعراف </w:t>
      </w:r>
      <w:r w:rsidR="006C577F">
        <w:rPr>
          <w:rtl/>
        </w:rPr>
        <w:t>(7).</w:t>
      </w:r>
      <w:r w:rsidRPr="00C9040A">
        <w:rPr>
          <w:rtl/>
        </w:rPr>
        <w:t xml:space="preserve"> : 128 ؛ القصص (28) : 83 ]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عَزَّ وَجَلَّ ، فَيَسْتَضِي‌ءُ بِنُورِهِمْ مَنْ هُوَ أَسْفَلُ مِنْهُمْ ؛ وَأَمَّا الَّذِينَ عَنْ يَمِينِ اللهِ ، فَلَوْ أَنَّهُمْ يَرَاهُمْ مَنْ دُونَهُمْ لَمْ يَهْنِئْهُمُ </w:t>
      </w:r>
      <w:r w:rsidR="006C577F" w:rsidRPr="006C577F">
        <w:rPr>
          <w:rStyle w:val="libFootnotenumChar"/>
          <w:rtl/>
        </w:rPr>
        <w:t>(1)</w:t>
      </w:r>
      <w:r w:rsidRPr="00C9040A">
        <w:rPr>
          <w:rtl/>
          <w:lang w:bidi="fa-IR"/>
        </w:rPr>
        <w:t xml:space="preserve"> الْعَيْشُ مِمَّا يَرَوْنَ مِنْ فَضْلِهِمْ »</w:t>
      </w:r>
      <w:r>
        <w:rPr>
          <w:rtl/>
          <w:lang w:bidi="fa-IR"/>
        </w:rPr>
        <w:t>.</w:t>
      </w:r>
    </w:p>
    <w:p w:rsidR="008A74EB" w:rsidRPr="00C9040A" w:rsidRDefault="008A74EB" w:rsidP="008A74EB">
      <w:pPr>
        <w:pStyle w:val="libNormal"/>
        <w:rPr>
          <w:rtl/>
          <w:lang w:bidi="fa-IR"/>
        </w:rPr>
      </w:pPr>
      <w:r w:rsidRPr="00C9040A">
        <w:rPr>
          <w:rtl/>
          <w:lang w:bidi="fa-IR"/>
        </w:rPr>
        <w:t>فَقَالَ ابْنُ أَبِي يَعْفُورٍ : وَ</w:t>
      </w:r>
      <w:r>
        <w:rPr>
          <w:rFonts w:hint="cs"/>
          <w:rtl/>
          <w:lang w:bidi="fa-IR"/>
        </w:rPr>
        <w:t xml:space="preserve"> </w:t>
      </w:r>
      <w:r w:rsidR="006C577F" w:rsidRPr="006C577F">
        <w:rPr>
          <w:rStyle w:val="libFootnotenumChar"/>
          <w:rtl/>
        </w:rPr>
        <w:t>(2)</w:t>
      </w:r>
      <w:r w:rsidRPr="00C9040A">
        <w:rPr>
          <w:rtl/>
          <w:lang w:bidi="fa-IR"/>
        </w:rPr>
        <w:t xml:space="preserve"> مَا لَهُمْ لَايَرَوْنَ وَهُمْ عَنْ يَمِينِ اللهِ</w:t>
      </w:r>
      <w:r>
        <w:rPr>
          <w:rtl/>
          <w:lang w:bidi="fa-IR"/>
        </w:rPr>
        <w:t>؟</w:t>
      </w:r>
    </w:p>
    <w:p w:rsidR="008A74EB" w:rsidRPr="00C9040A" w:rsidRDefault="008A74EB" w:rsidP="0017223E">
      <w:pPr>
        <w:pStyle w:val="libNormal"/>
        <w:rPr>
          <w:rtl/>
          <w:lang w:bidi="fa-IR"/>
        </w:rPr>
      </w:pPr>
      <w:r w:rsidRPr="00C9040A">
        <w:rPr>
          <w:rtl/>
          <w:lang w:bidi="fa-IR"/>
        </w:rPr>
        <w:t xml:space="preserve">فَقَالَ : « يَا ابْنَ أَبِي يَعْفُورٍ ، إِنَّهُمْ مَحْجُوبُونَ </w:t>
      </w:r>
      <w:r w:rsidR="006C577F" w:rsidRPr="006C577F">
        <w:rPr>
          <w:rStyle w:val="libFootnotenumChar"/>
          <w:rtl/>
        </w:rPr>
        <w:t>(3)</w:t>
      </w:r>
      <w:r>
        <w:rPr>
          <w:rtl/>
          <w:lang w:bidi="fa-IR"/>
        </w:rPr>
        <w:t xml:space="preserve"> بِنُورِ اللهِ ، أَ</w:t>
      </w:r>
      <w:r w:rsidRPr="00C9040A">
        <w:rPr>
          <w:rtl/>
          <w:lang w:bidi="fa-IR"/>
        </w:rPr>
        <w:t xml:space="preserve">مَا بَلَغَكَ الْحَدِيثُ أَنَّ رَسُولَ‌اللهِ </w:t>
      </w:r>
      <w:r w:rsidR="004A4E41" w:rsidRPr="004A4E41">
        <w:rPr>
          <w:rStyle w:val="libAlaemChar"/>
          <w:rtl/>
        </w:rPr>
        <w:t>صلى‌الله‌عليه‌وآله</w:t>
      </w:r>
      <w:r w:rsidRPr="00C9040A">
        <w:rPr>
          <w:rtl/>
          <w:lang w:bidi="fa-IR"/>
        </w:rPr>
        <w:t xml:space="preserve"> كَانَ يَقُولُ : إِنَّ لِلّهِ خَلْقاً عَنْ يَمِينِ الْعَرْشِ بَيْنَ يَدَيِ </w:t>
      </w:r>
      <w:r w:rsidR="006C577F" w:rsidRPr="006C577F">
        <w:rPr>
          <w:rStyle w:val="libFootnotenumChar"/>
          <w:rtl/>
        </w:rPr>
        <w:t>(4)</w:t>
      </w:r>
      <w:r w:rsidRPr="00C9040A">
        <w:rPr>
          <w:rtl/>
          <w:lang w:bidi="fa-IR"/>
        </w:rPr>
        <w:t xml:space="preserve"> اللهِ وَعَنْ يَمِينِ اللهِ </w:t>
      </w:r>
      <w:r w:rsidR="006C577F" w:rsidRPr="006C577F">
        <w:rPr>
          <w:rStyle w:val="libFootnotenumChar"/>
          <w:rtl/>
        </w:rPr>
        <w:t>(5)</w:t>
      </w:r>
      <w:r w:rsidRPr="00C9040A">
        <w:rPr>
          <w:rtl/>
          <w:lang w:bidi="fa-IR"/>
        </w:rPr>
        <w:t xml:space="preserve"> ، وُجُوهُهُمْ أَبْيَضُ مِنَ الثَّلْجِ ، وَأَضْوَأُ مِنَ الشَّمْسِ الضَّاحِيَةِ ، يَسْأَلُ السَّائِلُ : مَا</w:t>
      </w:r>
      <w:r w:rsidR="0017223E" w:rsidRPr="00C9040A">
        <w:rPr>
          <w:rtl/>
          <w:lang w:bidi="fa-IR"/>
        </w:rPr>
        <w:t xml:space="preserve"> </w:t>
      </w:r>
      <w:r w:rsidR="006C577F" w:rsidRPr="006C577F">
        <w:rPr>
          <w:rStyle w:val="libFootnotenumChar"/>
          <w:rtl/>
        </w:rPr>
        <w:t>(6)</w:t>
      </w:r>
      <w:r w:rsidR="0017223E" w:rsidRPr="00C9040A">
        <w:rPr>
          <w:rtl/>
          <w:lang w:bidi="fa-IR"/>
        </w:rPr>
        <w:t xml:space="preserve"> </w:t>
      </w:r>
      <w:r w:rsidRPr="00C9040A">
        <w:rPr>
          <w:rtl/>
          <w:lang w:bidi="fa-IR"/>
        </w:rPr>
        <w:t>هؤُلَاءِ</w:t>
      </w:r>
      <w:r>
        <w:rPr>
          <w:rtl/>
          <w:lang w:bidi="fa-IR"/>
        </w:rPr>
        <w:t>؟</w:t>
      </w:r>
      <w:r w:rsidRPr="00C9040A">
        <w:rPr>
          <w:rtl/>
          <w:lang w:bidi="fa-IR"/>
        </w:rPr>
        <w:t xml:space="preserve"> فَيُقَالُ </w:t>
      </w:r>
      <w:r w:rsidR="006C577F" w:rsidRPr="006C577F">
        <w:rPr>
          <w:rStyle w:val="libFootnotenumChar"/>
          <w:rtl/>
        </w:rPr>
        <w:t>(7)</w:t>
      </w:r>
      <w:r w:rsidRPr="00C9040A">
        <w:rPr>
          <w:rtl/>
          <w:lang w:bidi="fa-IR"/>
        </w:rPr>
        <w:t xml:space="preserve"> : هؤُلَاءِ الَّذِينَ تَحَابُّوا </w:t>
      </w:r>
      <w:r w:rsidR="006C577F" w:rsidRPr="006C577F">
        <w:rPr>
          <w:rStyle w:val="libFootnotenumChar"/>
          <w:rtl/>
        </w:rPr>
        <w:t>(8)</w:t>
      </w:r>
      <w:r w:rsidRPr="00C9040A">
        <w:rPr>
          <w:rtl/>
          <w:lang w:bidi="fa-IR"/>
        </w:rPr>
        <w:t xml:space="preserve"> فِي جَلَالِ </w:t>
      </w:r>
      <w:r w:rsidR="006C577F" w:rsidRPr="006C577F">
        <w:rPr>
          <w:rStyle w:val="libFootnotenumChar"/>
          <w:rtl/>
        </w:rPr>
        <w:t>(9)</w:t>
      </w:r>
      <w:r w:rsidRPr="00C9040A">
        <w:rPr>
          <w:rtl/>
          <w:lang w:bidi="fa-IR"/>
        </w:rPr>
        <w:t xml:space="preserve"> اللهِ »</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Normal"/>
        <w:rPr>
          <w:rtl/>
          <w:lang w:bidi="fa-IR"/>
        </w:rPr>
      </w:pPr>
      <w:r w:rsidRPr="003B6C3D">
        <w:rPr>
          <w:rtl/>
        </w:rPr>
        <w:t>2065</w:t>
      </w:r>
      <w:r w:rsidRPr="00261CB0">
        <w:rPr>
          <w:rStyle w:val="libBold2Char"/>
          <w:rtl/>
        </w:rPr>
        <w:t xml:space="preserve"> / 10.</w:t>
      </w:r>
      <w:r w:rsidRPr="00C9040A">
        <w:rPr>
          <w:rtl/>
          <w:lang w:bidi="fa-IR"/>
        </w:rPr>
        <w:t xml:space="preserve"> عَنْهُ </w:t>
      </w:r>
      <w:r w:rsidR="006C577F" w:rsidRPr="006C577F">
        <w:rPr>
          <w:rStyle w:val="libFootnotenumChar"/>
          <w:rtl/>
        </w:rPr>
        <w:t>(11)</w:t>
      </w:r>
      <w:r w:rsidRPr="00C9040A">
        <w:rPr>
          <w:rtl/>
          <w:lang w:bidi="fa-IR"/>
        </w:rPr>
        <w:t xml:space="preserve"> ، عَنْ عُثْمَانَ بْنِ عِيسى ، عَنْ مُحَمَّدِ بْنِ عَجْلَانَ ، قَالَ :</w:t>
      </w:r>
    </w:p>
    <w:p w:rsidR="008A74EB" w:rsidRPr="00C9040A" w:rsidRDefault="008A74EB" w:rsidP="008A74EB">
      <w:pPr>
        <w:pStyle w:val="libNormal"/>
        <w:rPr>
          <w:rtl/>
          <w:lang w:bidi="fa-IR"/>
        </w:rPr>
      </w:pPr>
      <w:r w:rsidRPr="00C9040A">
        <w:rPr>
          <w:rtl/>
          <w:lang w:bidi="fa-IR"/>
        </w:rPr>
        <w:t xml:space="preserve">كُنْتُ عِنْدَ أَبِي عَبْدِ اللهِ </w:t>
      </w:r>
      <w:r w:rsidRPr="0003660B">
        <w:rPr>
          <w:rStyle w:val="libAlaemChar"/>
          <w:rtl/>
        </w:rPr>
        <w:t>عليه‌السلام</w:t>
      </w:r>
      <w:r w:rsidRPr="00C9040A">
        <w:rPr>
          <w:rtl/>
          <w:lang w:bidi="fa-IR"/>
        </w:rPr>
        <w:t xml:space="preserve"> ، فَدَخَلَ رَجُلٌ ، فَسَلَّمَ ، فَسَأَلَهُ </w:t>
      </w:r>
      <w:r w:rsidRPr="0003660B">
        <w:rPr>
          <w:rStyle w:val="libAlaemChar"/>
          <w:rtl/>
        </w:rPr>
        <w:t>عليه‌السلام</w:t>
      </w:r>
      <w:r w:rsidRPr="00C9040A">
        <w:rPr>
          <w:rtl/>
          <w:lang w:bidi="fa-IR"/>
        </w:rPr>
        <w:t xml:space="preserve"> : « كَيْفَ مَنْ خَلَّفْتَ مِنْ إِخْوَانِكَ</w:t>
      </w:r>
      <w:r>
        <w:rPr>
          <w:rtl/>
          <w:lang w:bidi="fa-IR"/>
        </w:rPr>
        <w:t>؟</w:t>
      </w:r>
      <w:r w:rsidRPr="00C9040A">
        <w:rPr>
          <w:rtl/>
          <w:lang w:bidi="fa-IR"/>
        </w:rPr>
        <w:t xml:space="preserve"> » قَالَ : فَأَحْسَنَ الثَّنَاءَ ، وَزَكّى وَأَطْرى </w:t>
      </w:r>
      <w:r w:rsidR="006C577F" w:rsidRPr="006C577F">
        <w:rPr>
          <w:rStyle w:val="libFootnotenumChar"/>
          <w:rtl/>
        </w:rPr>
        <w:t>(12)</w:t>
      </w:r>
      <w:r w:rsidRPr="00C9040A">
        <w:rPr>
          <w:rtl/>
          <w:lang w:bidi="fa-IR"/>
        </w:rPr>
        <w:t xml:space="preserve"> ، فَقَالَ لَهُ : « كَيْفَ عِيَادَةُ أَغْنِيَائِهِمْ‌</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ض » : « لا يَهْنِهم »</w:t>
      </w:r>
      <w:r w:rsidR="008A74EB">
        <w:rPr>
          <w:rtl/>
        </w:rPr>
        <w:t>.</w:t>
      </w:r>
      <w:r w:rsidR="008A74EB" w:rsidRPr="00C9040A">
        <w:rPr>
          <w:rtl/>
        </w:rPr>
        <w:t xml:space="preserve"> وفي « ف ، بر » : « لم يَهْنِهِم »</w:t>
      </w:r>
      <w:r w:rsidR="008A74EB">
        <w:rPr>
          <w:rtl/>
        </w:rPr>
        <w:t>.</w:t>
      </w:r>
      <w:r w:rsidR="008A74EB" w:rsidRPr="00C9040A">
        <w:rPr>
          <w:rtl/>
        </w:rPr>
        <w:t xml:space="preserve"> وأصله : يَهْنِئُ ، قلبت الهمزة ياءً ثمّ حذفت الياء بالجزم فصار : لم يَهْنِ. وفي « بس » : « لم يمسّهم »</w:t>
      </w:r>
      <w:r w:rsidR="008A74EB">
        <w:rPr>
          <w:rtl/>
        </w:rPr>
        <w:t>.</w:t>
      </w:r>
    </w:p>
    <w:tbl>
      <w:tblPr>
        <w:tblStyle w:val="TableGrid"/>
        <w:bidiVisual/>
        <w:tblW w:w="0" w:type="auto"/>
        <w:tblLook w:val="04A0" w:firstRow="1" w:lastRow="0" w:firstColumn="1" w:lastColumn="0" w:noHBand="0" w:noVBand="1"/>
      </w:tblPr>
      <w:tblGrid>
        <w:gridCol w:w="4006"/>
        <w:gridCol w:w="4006"/>
      </w:tblGrid>
      <w:tr w:rsidR="008A2F70" w:rsidTr="008A2F70">
        <w:tc>
          <w:tcPr>
            <w:tcW w:w="4006" w:type="dxa"/>
          </w:tcPr>
          <w:p w:rsidR="008A2F70" w:rsidRDefault="008A2F70" w:rsidP="004A4E41">
            <w:pPr>
              <w:pStyle w:val="libFootnote0"/>
              <w:rPr>
                <w:rtl/>
              </w:rPr>
            </w:pPr>
            <w:r>
              <w:rPr>
                <w:rtl/>
              </w:rPr>
              <w:t xml:space="preserve">(2). </w:t>
            </w:r>
            <w:r w:rsidRPr="00C9040A">
              <w:rPr>
                <w:rtl/>
              </w:rPr>
              <w:t xml:space="preserve">في « ز ، بس ، بف » والوافي </w:t>
            </w:r>
            <w:r>
              <w:rPr>
                <w:rtl/>
              </w:rPr>
              <w:t>: -</w:t>
            </w:r>
            <w:r w:rsidRPr="00C9040A">
              <w:rPr>
                <w:rtl/>
              </w:rPr>
              <w:t xml:space="preserve"> « </w:t>
            </w:r>
            <w:r>
              <w:rPr>
                <w:rtl/>
              </w:rPr>
              <w:t>و ».</w:t>
            </w:r>
          </w:p>
        </w:tc>
        <w:tc>
          <w:tcPr>
            <w:tcW w:w="4006" w:type="dxa"/>
          </w:tcPr>
          <w:p w:rsidR="008A2F70" w:rsidRDefault="008A2F70" w:rsidP="004A4E41">
            <w:pPr>
              <w:pStyle w:val="libFootnote0"/>
              <w:rPr>
                <w:rtl/>
              </w:rPr>
            </w:pPr>
            <w:r>
              <w:rPr>
                <w:rtl/>
              </w:rPr>
              <w:t>(3).</w:t>
            </w:r>
            <w:r w:rsidRPr="00C9040A">
              <w:rPr>
                <w:rtl/>
              </w:rPr>
              <w:t xml:space="preserve"> في « ج » : « محجّبون »</w:t>
            </w:r>
            <w:r>
              <w:rPr>
                <w:rtl/>
              </w:rPr>
              <w:t>.</w:t>
            </w:r>
          </w:p>
        </w:tc>
      </w:tr>
    </w:tbl>
    <w:p w:rsidR="008A74EB" w:rsidRPr="00C9040A" w:rsidRDefault="006C577F" w:rsidP="004A4E41">
      <w:pPr>
        <w:pStyle w:val="libFootnote0"/>
        <w:rPr>
          <w:rtl/>
          <w:lang w:bidi="fa-IR"/>
        </w:rPr>
      </w:pPr>
      <w:r>
        <w:rPr>
          <w:rtl/>
        </w:rPr>
        <w:t>(4).</w:t>
      </w:r>
      <w:r w:rsidR="008A74EB" w:rsidRPr="00C9040A">
        <w:rPr>
          <w:rtl/>
        </w:rPr>
        <w:t xml:space="preserve"> في « ف » </w:t>
      </w:r>
      <w:r w:rsidR="008A74EB">
        <w:rPr>
          <w:rtl/>
        </w:rPr>
        <w:t xml:space="preserve">: </w:t>
      </w:r>
      <w:r w:rsidR="0084262C">
        <w:rPr>
          <w:rtl/>
        </w:rPr>
        <w:t>-</w:t>
      </w:r>
      <w:r w:rsidR="008A74EB" w:rsidRPr="00C9040A">
        <w:rPr>
          <w:rtl/>
        </w:rPr>
        <w:t xml:space="preserve"> « يدي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ب ، ز ، ف ، بس » : + « </w:t>
      </w:r>
      <w:r w:rsidR="008A74EB">
        <w:rPr>
          <w:rtl/>
        </w:rPr>
        <w:t>و ».</w:t>
      </w:r>
      <w:r w:rsidR="008A74EB" w:rsidRPr="00C9040A">
        <w:rPr>
          <w:rtl/>
        </w:rPr>
        <w:t xml:space="preserve"> في الوسائل </w:t>
      </w:r>
      <w:r w:rsidR="008A74EB">
        <w:rPr>
          <w:rtl/>
        </w:rPr>
        <w:t xml:space="preserve">: </w:t>
      </w:r>
      <w:r w:rsidR="0084262C">
        <w:rPr>
          <w:rtl/>
        </w:rPr>
        <w:t>-</w:t>
      </w:r>
      <w:r w:rsidR="008A74EB" w:rsidRPr="00C9040A">
        <w:rPr>
          <w:rtl/>
        </w:rPr>
        <w:t xml:space="preserve"> « وعن يمين الله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المؤمن : « من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ف ، بر » : « فيقول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 ف » : « تحابّون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 وقرأ بعض الأفاضل بتخفيف الباء ، من الحبوة ، والتحابي : أخذ العطاء. أي أخذوا ثوابهم في مكان ستروا فيه بأنوار جلاله. وفيه ما فيه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بر » : « حلال » بالحاء المهملة.</w:t>
      </w:r>
    </w:p>
    <w:p w:rsidR="008A74EB" w:rsidRPr="00C9040A" w:rsidRDefault="006C577F" w:rsidP="004A2D9D">
      <w:pPr>
        <w:pStyle w:val="libFootnote0"/>
        <w:rPr>
          <w:rtl/>
          <w:lang w:bidi="fa-IR"/>
        </w:rPr>
      </w:pPr>
      <w:r>
        <w:rPr>
          <w:rtl/>
        </w:rPr>
        <w:t>(10).</w:t>
      </w:r>
      <w:r w:rsidR="008A74EB" w:rsidRPr="00C9040A">
        <w:rPr>
          <w:rtl/>
        </w:rPr>
        <w:t xml:space="preserve"> </w:t>
      </w:r>
      <w:r w:rsidR="008A74EB" w:rsidRPr="00993B55">
        <w:rPr>
          <w:rStyle w:val="libFootnoteBoldChar"/>
          <w:rtl/>
        </w:rPr>
        <w:t>المحاسن</w:t>
      </w:r>
      <w:r w:rsidR="008A74EB" w:rsidRPr="00C9040A">
        <w:rPr>
          <w:rtl/>
        </w:rPr>
        <w:t xml:space="preserve"> ، ص 9 ، كتاب القرائن ، ح 28 ، بسند آخر عن أمير المؤمنين </w:t>
      </w:r>
      <w:r w:rsidR="00117575" w:rsidRPr="00117575">
        <w:rPr>
          <w:rStyle w:val="libFootnoteAlaemChar"/>
          <w:rtl/>
        </w:rPr>
        <w:t>عليه‌السلام</w:t>
      </w:r>
      <w:r w:rsidR="008A74EB" w:rsidRPr="00C9040A">
        <w:rPr>
          <w:rtl/>
        </w:rPr>
        <w:t xml:space="preserve"> ، وفيه قطعة منه مع اختلاف يسير. </w:t>
      </w:r>
      <w:r w:rsidR="008A74EB" w:rsidRPr="00993B55">
        <w:rPr>
          <w:rStyle w:val="libFootnoteBoldChar"/>
          <w:rtl/>
        </w:rPr>
        <w:t>المؤمن</w:t>
      </w:r>
      <w:r w:rsidR="008A74EB" w:rsidRPr="00C9040A">
        <w:rPr>
          <w:rtl/>
        </w:rPr>
        <w:t xml:space="preserve"> ، ص 41 ، ح 94 ، عن عيسى بن أبي منصور</w:t>
      </w:r>
      <w:r w:rsidR="004A2D9D">
        <w:rPr>
          <w:rFonts w:hint="cs"/>
          <w:rtl/>
        </w:rPr>
        <w:t>.</w:t>
      </w:r>
      <w:r w:rsidR="008A74EB" w:rsidRPr="00993B55">
        <w:rPr>
          <w:rStyle w:val="libFootnoteBoldChar"/>
          <w:rtl/>
        </w:rPr>
        <w:t>الوافي</w:t>
      </w:r>
      <w:r w:rsidR="008A74EB" w:rsidRPr="00C9040A">
        <w:rPr>
          <w:rtl/>
        </w:rPr>
        <w:t xml:space="preserve"> ، ج 5 ، ص 562 ، ح 2579 ؛ </w:t>
      </w:r>
      <w:r w:rsidR="008A74EB" w:rsidRPr="00993B55">
        <w:rPr>
          <w:rStyle w:val="libFootnoteBoldChar"/>
          <w:rtl/>
        </w:rPr>
        <w:t>الوسائل</w:t>
      </w:r>
      <w:r w:rsidR="008A74EB" w:rsidRPr="00C9040A">
        <w:rPr>
          <w:rtl/>
        </w:rPr>
        <w:t xml:space="preserve"> ، ج 12 ، ص 204 ، ح 16093.</w:t>
      </w:r>
    </w:p>
    <w:p w:rsidR="008A74EB" w:rsidRPr="00C9040A" w:rsidRDefault="006C577F" w:rsidP="004A4E41">
      <w:pPr>
        <w:pStyle w:val="libFootnote0"/>
        <w:rPr>
          <w:rtl/>
          <w:lang w:bidi="fa-IR"/>
        </w:rPr>
      </w:pPr>
      <w:r>
        <w:rPr>
          <w:rtl/>
        </w:rPr>
        <w:t>(11).</w:t>
      </w:r>
      <w:r w:rsidR="008A74EB" w:rsidRPr="00C9040A">
        <w:rPr>
          <w:rtl/>
        </w:rPr>
        <w:t xml:space="preserve"> الضمير راجع إلى أحمد بن محمّد بن خالد المذكور في السند السابق.</w:t>
      </w:r>
    </w:p>
    <w:p w:rsidR="008A74EB" w:rsidRPr="00C9040A" w:rsidRDefault="006C577F" w:rsidP="004A4E41">
      <w:pPr>
        <w:pStyle w:val="libFootnote0"/>
        <w:rPr>
          <w:rtl/>
          <w:lang w:bidi="fa-IR"/>
        </w:rPr>
      </w:pPr>
      <w:r>
        <w:rPr>
          <w:rtl/>
        </w:rPr>
        <w:t>(12).</w:t>
      </w:r>
      <w:r w:rsidR="008A74EB" w:rsidRPr="00C9040A">
        <w:rPr>
          <w:rtl/>
        </w:rPr>
        <w:t xml:space="preserve"> الإطراء : مجاوزة الحدّ في المدح. </w:t>
      </w:r>
      <w:r w:rsidR="008A74EB" w:rsidRPr="00993B55">
        <w:rPr>
          <w:rStyle w:val="libFootnoteBoldChar"/>
          <w:rtl/>
        </w:rPr>
        <w:t>لسان العرب</w:t>
      </w:r>
      <w:r w:rsidR="008A74EB" w:rsidRPr="00C9040A">
        <w:rPr>
          <w:rtl/>
        </w:rPr>
        <w:t xml:space="preserve"> ، ج 1 ، ص 274 ( طرأ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234BA2">
      <w:pPr>
        <w:pStyle w:val="libNormal0"/>
        <w:rPr>
          <w:rtl/>
          <w:lang w:bidi="fa-IR"/>
        </w:rPr>
      </w:pPr>
      <w:r w:rsidRPr="00C9040A">
        <w:rPr>
          <w:rtl/>
          <w:lang w:bidi="fa-IR"/>
        </w:rPr>
        <w:t>عَلى فُقَرَائِهِمْ</w:t>
      </w:r>
      <w:r>
        <w:rPr>
          <w:rtl/>
          <w:lang w:bidi="fa-IR"/>
        </w:rPr>
        <w:t>؟</w:t>
      </w:r>
      <w:r w:rsidRPr="00C9040A">
        <w:rPr>
          <w:rtl/>
          <w:lang w:bidi="fa-IR"/>
        </w:rPr>
        <w:t xml:space="preserve"> » فَقَالَ : قَلِيلَةٌ ، قَالَ </w:t>
      </w:r>
      <w:r w:rsidR="006C577F" w:rsidRPr="006C577F">
        <w:rPr>
          <w:rStyle w:val="libFootnotenumChar"/>
          <w:rtl/>
        </w:rPr>
        <w:t>(1)</w:t>
      </w:r>
      <w:r w:rsidRPr="00C9040A">
        <w:rPr>
          <w:rtl/>
          <w:lang w:bidi="fa-IR"/>
        </w:rPr>
        <w:t xml:space="preserve"> : « وَكَيْفَ </w:t>
      </w:r>
      <w:r w:rsidR="006C577F" w:rsidRPr="006C577F">
        <w:rPr>
          <w:rStyle w:val="libFootnotenumChar"/>
          <w:rtl/>
        </w:rPr>
        <w:t>(2)</w:t>
      </w:r>
      <w:r w:rsidRPr="00C9040A">
        <w:rPr>
          <w:rtl/>
          <w:lang w:bidi="fa-IR"/>
        </w:rPr>
        <w:t xml:space="preserve"> مُشَاهَدَةُ أَغْنِيَائِهِمْ لِفُقَرَائِهِمْ</w:t>
      </w:r>
      <w:r>
        <w:rPr>
          <w:rtl/>
          <w:lang w:bidi="fa-IR"/>
        </w:rPr>
        <w:t>؟</w:t>
      </w:r>
      <w:r w:rsidRPr="00C9040A">
        <w:rPr>
          <w:rtl/>
          <w:lang w:bidi="fa-IR"/>
        </w:rPr>
        <w:t xml:space="preserve"> » قَالَ : قَلِيلَةٌ ، قَالَ </w:t>
      </w:r>
      <w:r w:rsidR="006C577F" w:rsidRPr="006C577F">
        <w:rPr>
          <w:rStyle w:val="libFootnotenumChar"/>
          <w:rtl/>
        </w:rPr>
        <w:t>(3)</w:t>
      </w:r>
      <w:r w:rsidRPr="00C9040A">
        <w:rPr>
          <w:rtl/>
          <w:lang w:bidi="fa-IR"/>
        </w:rPr>
        <w:t xml:space="preserve"> : « فَكَيْفَ </w:t>
      </w:r>
      <w:r w:rsidR="006C577F" w:rsidRPr="006C577F">
        <w:rPr>
          <w:rStyle w:val="libFootnotenumChar"/>
          <w:rtl/>
        </w:rPr>
        <w:t>(4)</w:t>
      </w:r>
      <w:r w:rsidRPr="00C9040A">
        <w:rPr>
          <w:rtl/>
          <w:lang w:bidi="fa-IR"/>
        </w:rPr>
        <w:t xml:space="preserve"> صِلَةُ </w:t>
      </w:r>
      <w:r w:rsidR="006C577F" w:rsidRPr="006C577F">
        <w:rPr>
          <w:rStyle w:val="libFootnotenumChar"/>
          <w:rtl/>
        </w:rPr>
        <w:t>(5)</w:t>
      </w:r>
      <w:r w:rsidRPr="00C9040A">
        <w:rPr>
          <w:rtl/>
          <w:lang w:bidi="fa-IR"/>
        </w:rPr>
        <w:t xml:space="preserve"> أَغْنِيَائِهِمْ لِفُقَرَائِهِمْ فِي ذَاتِ </w:t>
      </w:r>
      <w:r w:rsidR="006C577F" w:rsidRPr="006C577F">
        <w:rPr>
          <w:rStyle w:val="libFootnotenumChar"/>
          <w:rtl/>
        </w:rPr>
        <w:t>(6)</w:t>
      </w:r>
      <w:r w:rsidR="00234BA2" w:rsidRPr="00C9040A">
        <w:rPr>
          <w:rtl/>
          <w:lang w:bidi="fa-IR"/>
        </w:rPr>
        <w:t xml:space="preserve"> </w:t>
      </w:r>
      <w:r w:rsidRPr="00C9040A">
        <w:rPr>
          <w:rtl/>
          <w:lang w:bidi="fa-IR"/>
        </w:rPr>
        <w:t xml:space="preserve">أَيْدِيهِمْ </w:t>
      </w:r>
      <w:r w:rsidR="006C577F" w:rsidRPr="006C577F">
        <w:rPr>
          <w:rStyle w:val="libFootnotenumChar"/>
          <w:rtl/>
        </w:rPr>
        <w:t>(7)</w:t>
      </w:r>
      <w:r>
        <w:rPr>
          <w:rtl/>
          <w:lang w:bidi="fa-IR"/>
        </w:rPr>
        <w:t>؟</w:t>
      </w:r>
      <w:r w:rsidRPr="00C9040A">
        <w:rPr>
          <w:rtl/>
          <w:lang w:bidi="fa-IR"/>
        </w:rPr>
        <w:t xml:space="preserve"> » فَقَالَ </w:t>
      </w:r>
      <w:r w:rsidR="006C577F" w:rsidRPr="006C577F">
        <w:rPr>
          <w:rStyle w:val="libFootnotenumChar"/>
          <w:rtl/>
        </w:rPr>
        <w:t>(8)</w:t>
      </w:r>
      <w:r w:rsidRPr="00C9040A">
        <w:rPr>
          <w:rtl/>
          <w:lang w:bidi="fa-IR"/>
        </w:rPr>
        <w:t xml:space="preserve"> : إِنَّكَ لَتَذْكُرُ أَخْلَاقاً قَلَّمَا </w:t>
      </w:r>
      <w:r w:rsidR="006C577F" w:rsidRPr="006C577F">
        <w:rPr>
          <w:rStyle w:val="libFootnotenumChar"/>
          <w:rtl/>
        </w:rPr>
        <w:t>(9)</w:t>
      </w:r>
      <w:r w:rsidRPr="00C9040A">
        <w:rPr>
          <w:rtl/>
          <w:lang w:bidi="fa-IR"/>
        </w:rPr>
        <w:t xml:space="preserve"> هِيَ فِيمَنْ عِنْدَنَا ، قَالَ </w:t>
      </w:r>
      <w:r w:rsidR="006C577F" w:rsidRPr="006C577F">
        <w:rPr>
          <w:rStyle w:val="libFootnotenumChar"/>
          <w:rtl/>
        </w:rPr>
        <w:t>(10)</w:t>
      </w:r>
      <w:r w:rsidRPr="00C9040A">
        <w:rPr>
          <w:rtl/>
          <w:lang w:bidi="fa-IR"/>
        </w:rPr>
        <w:t xml:space="preserve"> : فَقَالَ : « فَكَيْفَ </w:t>
      </w:r>
      <w:r w:rsidR="006C577F" w:rsidRPr="006C577F">
        <w:rPr>
          <w:rStyle w:val="libFootnotenumChar"/>
          <w:rtl/>
        </w:rPr>
        <w:t>(11)</w:t>
      </w:r>
      <w:r w:rsidRPr="00C9040A">
        <w:rPr>
          <w:rtl/>
          <w:lang w:bidi="fa-IR"/>
        </w:rPr>
        <w:t xml:space="preserve"> يَزْعُمُ </w:t>
      </w:r>
      <w:r w:rsidR="006C577F" w:rsidRPr="006C577F">
        <w:rPr>
          <w:rStyle w:val="libFootnotenumChar"/>
          <w:rtl/>
        </w:rPr>
        <w:t>(12)</w:t>
      </w:r>
      <w:r w:rsidRPr="00C9040A">
        <w:rPr>
          <w:rtl/>
          <w:lang w:bidi="fa-IR"/>
        </w:rPr>
        <w:t xml:space="preserve"> هؤُلَاءِ أَنَّهُمْ </w:t>
      </w:r>
      <w:r w:rsidRPr="005B567D">
        <w:rPr>
          <w:rStyle w:val="libFootnotenumChar"/>
          <w:rtl/>
        </w:rPr>
        <w:t>(13)</w:t>
      </w:r>
      <w:r w:rsidRPr="00C9040A">
        <w:rPr>
          <w:rtl/>
          <w:lang w:bidi="fa-IR"/>
        </w:rPr>
        <w:t xml:space="preserve"> شِيعَةٌ</w:t>
      </w:r>
      <w:r>
        <w:rPr>
          <w:rtl/>
          <w:lang w:bidi="fa-IR"/>
        </w:rPr>
        <w:t>؟!</w:t>
      </w:r>
      <w:r w:rsidRPr="00C9040A">
        <w:rPr>
          <w:rtl/>
          <w:lang w:bidi="fa-IR"/>
        </w:rPr>
        <w:t xml:space="preserve"> »</w:t>
      </w:r>
      <w:r>
        <w:rPr>
          <w:rtl/>
          <w:lang w:bidi="fa-IR"/>
        </w:rPr>
        <w:t>.</w:t>
      </w:r>
      <w:r w:rsidRPr="00C9040A">
        <w:rPr>
          <w:rtl/>
          <w:lang w:bidi="fa-IR"/>
        </w:rPr>
        <w:t xml:space="preserve"> </w:t>
      </w:r>
      <w:r w:rsidRPr="005B567D">
        <w:rPr>
          <w:rStyle w:val="libFootnotenumChar"/>
          <w:rtl/>
        </w:rPr>
        <w:t>(14)</w:t>
      </w:r>
      <w:r w:rsidRPr="00C9040A">
        <w:rPr>
          <w:rtl/>
          <w:lang w:bidi="fa-IR"/>
        </w:rPr>
        <w:t xml:space="preserve"> ‌</w:t>
      </w:r>
    </w:p>
    <w:p w:rsidR="008A74EB" w:rsidRPr="00C9040A" w:rsidRDefault="008A74EB" w:rsidP="008A74EB">
      <w:pPr>
        <w:pStyle w:val="libNormal"/>
        <w:rPr>
          <w:rtl/>
          <w:lang w:bidi="fa-IR"/>
        </w:rPr>
      </w:pPr>
      <w:r w:rsidRPr="003B6C3D">
        <w:rPr>
          <w:rtl/>
        </w:rPr>
        <w:t>2066</w:t>
      </w:r>
      <w:r w:rsidRPr="00261CB0">
        <w:rPr>
          <w:rStyle w:val="libBold2Char"/>
          <w:rtl/>
        </w:rPr>
        <w:t xml:space="preserve"> / 11.</w:t>
      </w:r>
      <w:r w:rsidRPr="00C9040A">
        <w:rPr>
          <w:rtl/>
          <w:lang w:bidi="fa-IR"/>
        </w:rPr>
        <w:t xml:space="preserve"> أَبُو عَلِيٍّ الْأَشْعَرِيُّ ، عَنْ مُحَمَّدِ بْنِ سَالِمٍ ، عَنْ أَحْمَدَ بْنِ النَّضْرِ ، عَنْ أَبِي إِسْمَاعِيلَ ، قَالَ :</w:t>
      </w:r>
    </w:p>
    <w:p w:rsidR="008A74EB" w:rsidRPr="00C9040A" w:rsidRDefault="008A74EB" w:rsidP="008A74EB">
      <w:pPr>
        <w:pStyle w:val="libNormal"/>
        <w:rPr>
          <w:rtl/>
          <w:lang w:bidi="fa-IR"/>
        </w:rPr>
      </w:pPr>
      <w:r w:rsidRPr="00C9040A">
        <w:rPr>
          <w:rtl/>
          <w:lang w:bidi="fa-IR"/>
        </w:rPr>
        <w:t xml:space="preserve">قُلْتُ لِأَبِي جَعْفَرٍ </w:t>
      </w:r>
      <w:r w:rsidRPr="0003660B">
        <w:rPr>
          <w:rStyle w:val="libAlaemChar"/>
          <w:rtl/>
        </w:rPr>
        <w:t>عليه‌السلام</w:t>
      </w:r>
      <w:r w:rsidRPr="00C9040A">
        <w:rPr>
          <w:rtl/>
          <w:lang w:bidi="fa-IR"/>
        </w:rPr>
        <w:t xml:space="preserve"> : جُعِلْتُ فِدَاكَ ، إِنَّ الشِّيعَةَ عِنْدَنَا كَثِيرٌ </w:t>
      </w:r>
      <w:r w:rsidRPr="005B567D">
        <w:rPr>
          <w:rStyle w:val="libFootnotenumChar"/>
          <w:rtl/>
        </w:rPr>
        <w:t>(15)</w:t>
      </w:r>
      <w:r w:rsidRPr="00C9040A">
        <w:rPr>
          <w:rtl/>
          <w:lang w:bidi="fa-IR"/>
        </w:rPr>
        <w:t xml:space="preserve"> ، فَقَالَ : « فَهَلْ </w:t>
      </w:r>
      <w:r w:rsidRPr="005B567D">
        <w:rPr>
          <w:rStyle w:val="libFootnotenumChar"/>
          <w:rtl/>
        </w:rPr>
        <w:t>(16)</w:t>
      </w:r>
      <w:r w:rsidRPr="00C9040A">
        <w:rPr>
          <w:rtl/>
          <w:lang w:bidi="fa-IR"/>
        </w:rPr>
        <w:t xml:space="preserve"> يَعْطِفُ الْغَنِيُّ عَلَى الْفَقِيرِ</w:t>
      </w:r>
      <w:r>
        <w:rPr>
          <w:rtl/>
          <w:lang w:bidi="fa-IR"/>
        </w:rPr>
        <w:t>؟</w:t>
      </w:r>
      <w:r w:rsidRPr="00C9040A">
        <w:rPr>
          <w:rtl/>
          <w:lang w:bidi="fa-IR"/>
        </w:rPr>
        <w:t xml:space="preserve"> وَهَلْ </w:t>
      </w:r>
      <w:r w:rsidRPr="005B567D">
        <w:rPr>
          <w:rStyle w:val="libFootnotenumChar"/>
          <w:rtl/>
        </w:rPr>
        <w:t>(17)</w:t>
      </w:r>
      <w:r w:rsidRPr="00C9040A">
        <w:rPr>
          <w:rtl/>
          <w:lang w:bidi="fa-IR"/>
        </w:rPr>
        <w:t xml:space="preserve"> يَتَجَاوَزُ الْمُحْسِنُ عَنِ </w:t>
      </w:r>
      <w:r w:rsidRPr="005B567D">
        <w:rPr>
          <w:rStyle w:val="libFootnotenumChar"/>
          <w:rtl/>
        </w:rPr>
        <w:t>(18)</w:t>
      </w:r>
      <w:r w:rsidRPr="00C9040A">
        <w:rPr>
          <w:rtl/>
          <w:lang w:bidi="fa-IR"/>
        </w:rPr>
        <w:t xml:space="preserve"> الْمُسِي‌ءِ ، وَيَتَوَاسَوْنَ</w:t>
      </w:r>
      <w:r>
        <w:rPr>
          <w:rtl/>
          <w:lang w:bidi="fa-IR"/>
        </w:rPr>
        <w:t>؟</w:t>
      </w:r>
      <w:r w:rsidRPr="00C9040A">
        <w:rPr>
          <w:rtl/>
          <w:lang w:bidi="fa-IR"/>
        </w:rPr>
        <w:t xml:space="preserve"> » فَقُلْتُ </w:t>
      </w:r>
      <w:r w:rsidRPr="005B567D">
        <w:rPr>
          <w:rStyle w:val="libFootnotenumChar"/>
          <w:rtl/>
        </w:rPr>
        <w:t>(19)</w:t>
      </w:r>
      <w:r w:rsidRPr="00C9040A">
        <w:rPr>
          <w:rtl/>
          <w:lang w:bidi="fa-IR"/>
        </w:rPr>
        <w:t>:</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ج ، ض » والبحار : « فقال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ب » والبحار وصفات الشيعة : « كيف » بدون الواو. وفي « ص ، ض ، ف ، بر » والوافي والوسائل : « فكيف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بف » والبحار : « فقال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ج ، بر ، بف » : « وكيف »</w:t>
      </w:r>
      <w:r w:rsidR="008A74EB">
        <w:rPr>
          <w:rtl/>
        </w:rPr>
        <w:t>.</w:t>
      </w:r>
      <w:r w:rsidR="008A74EB" w:rsidRPr="00C9040A">
        <w:rPr>
          <w:rtl/>
        </w:rPr>
        <w:t xml:space="preserve"> وفي « ز ، ف » والبحار : « كيف »</w:t>
      </w:r>
      <w:r w:rsidR="008A74EB">
        <w:rPr>
          <w:rtl/>
        </w:rPr>
        <w:t>.</w:t>
      </w:r>
      <w:r w:rsidR="008A74EB" w:rsidRPr="00C9040A">
        <w:rPr>
          <w:rtl/>
        </w:rPr>
        <w:t xml:space="preserve"> وفي صفات الشيعة </w:t>
      </w:r>
      <w:r w:rsidR="008A74EB">
        <w:rPr>
          <w:rtl/>
        </w:rPr>
        <w:t xml:space="preserve">: </w:t>
      </w:r>
      <w:r w:rsidR="0084262C">
        <w:rPr>
          <w:rtl/>
        </w:rPr>
        <w:t>-</w:t>
      </w:r>
      <w:r w:rsidR="008A74EB" w:rsidRPr="00C9040A">
        <w:rPr>
          <w:rtl/>
        </w:rPr>
        <w:t xml:space="preserve"> « مشاهدة</w:t>
      </w:r>
      <w:r w:rsidR="008A74EB">
        <w:rPr>
          <w:rtl/>
        </w:rPr>
        <w:t xml:space="preserve"> </w:t>
      </w:r>
      <w:r w:rsidR="0084262C">
        <w:rPr>
          <w:rtl/>
        </w:rPr>
        <w:t>-</w:t>
      </w:r>
      <w:r w:rsidR="008A74EB">
        <w:rPr>
          <w:rtl/>
        </w:rPr>
        <w:t xml:space="preserve"> </w:t>
      </w:r>
      <w:r w:rsidR="008A74EB" w:rsidRPr="00C9040A">
        <w:rPr>
          <w:rtl/>
        </w:rPr>
        <w:t>إلى</w:t>
      </w:r>
      <w:r w:rsidR="008A74EB">
        <w:rPr>
          <w:rtl/>
        </w:rPr>
        <w:t xml:space="preserve"> </w:t>
      </w:r>
      <w:r w:rsidR="0084262C">
        <w:rPr>
          <w:rtl/>
        </w:rPr>
        <w:t>-</w:t>
      </w:r>
      <w:r w:rsidR="008A74EB">
        <w:rPr>
          <w:rtl/>
        </w:rPr>
        <w:t xml:space="preserve"> </w:t>
      </w:r>
      <w:r w:rsidR="008A74EB" w:rsidRPr="00C9040A">
        <w:rPr>
          <w:rtl/>
        </w:rPr>
        <w:t>فكيف »</w:t>
      </w:r>
      <w:r w:rsidR="008A74EB">
        <w:rPr>
          <w:rtl/>
        </w:rPr>
        <w:t>.</w:t>
      </w:r>
    </w:p>
    <w:tbl>
      <w:tblPr>
        <w:tblStyle w:val="TableGrid"/>
        <w:bidiVisual/>
        <w:tblW w:w="0" w:type="auto"/>
        <w:tblLook w:val="04A0" w:firstRow="1" w:lastRow="0" w:firstColumn="1" w:lastColumn="0" w:noHBand="0" w:noVBand="1"/>
      </w:tblPr>
      <w:tblGrid>
        <w:gridCol w:w="4006"/>
        <w:gridCol w:w="4006"/>
      </w:tblGrid>
      <w:tr w:rsidR="00526542" w:rsidTr="00526542">
        <w:tc>
          <w:tcPr>
            <w:tcW w:w="4006" w:type="dxa"/>
          </w:tcPr>
          <w:p w:rsidR="00526542" w:rsidRDefault="00526542" w:rsidP="004A4E41">
            <w:pPr>
              <w:pStyle w:val="libFootnote0"/>
              <w:rPr>
                <w:rtl/>
              </w:rPr>
            </w:pPr>
            <w:r>
              <w:rPr>
                <w:rtl/>
              </w:rPr>
              <w:t>(5).</w:t>
            </w:r>
            <w:r w:rsidRPr="00C9040A">
              <w:rPr>
                <w:rtl/>
              </w:rPr>
              <w:t xml:space="preserve"> في صفات الشيعة : « مواصلة »</w:t>
            </w:r>
            <w:r>
              <w:rPr>
                <w:rtl/>
              </w:rPr>
              <w:t>.</w:t>
            </w:r>
          </w:p>
        </w:tc>
        <w:tc>
          <w:tcPr>
            <w:tcW w:w="4006" w:type="dxa"/>
          </w:tcPr>
          <w:p w:rsidR="00526542" w:rsidRDefault="00526542" w:rsidP="004A4E41">
            <w:pPr>
              <w:pStyle w:val="libFootnote0"/>
              <w:rPr>
                <w:rtl/>
              </w:rPr>
            </w:pPr>
            <w:r>
              <w:rPr>
                <w:rtl/>
              </w:rPr>
              <w:t xml:space="preserve">(6). </w:t>
            </w:r>
            <w:r w:rsidRPr="00C9040A">
              <w:rPr>
                <w:rtl/>
              </w:rPr>
              <w:t>في « ف » : « ذوات »</w:t>
            </w:r>
            <w:r>
              <w:rPr>
                <w:rtl/>
              </w:rPr>
              <w:t>.</w:t>
            </w:r>
          </w:p>
        </w:tc>
      </w:tr>
    </w:tbl>
    <w:p w:rsidR="008A74EB" w:rsidRPr="00C9040A" w:rsidRDefault="006C577F" w:rsidP="004A4E41">
      <w:pPr>
        <w:pStyle w:val="libFootnote0"/>
        <w:rPr>
          <w:rtl/>
          <w:lang w:bidi="fa-IR"/>
        </w:rPr>
      </w:pPr>
      <w:r>
        <w:rPr>
          <w:rtl/>
        </w:rPr>
        <w:t>(7).</w:t>
      </w:r>
      <w:r w:rsidR="008A74EB" w:rsidRPr="00C9040A">
        <w:rPr>
          <w:rtl/>
        </w:rPr>
        <w:t xml:space="preserve"> أي أموالهم. يقال : كان خفيف ذات اليد ، أي فقيراً قليلَ المال والحظّ من الدنيا. راجع : </w:t>
      </w:r>
      <w:r w:rsidR="008A74EB" w:rsidRPr="00993B55">
        <w:rPr>
          <w:rStyle w:val="libFootnoteBoldChar"/>
          <w:rtl/>
        </w:rPr>
        <w:t>النهاية</w:t>
      </w:r>
      <w:r w:rsidR="008A74EB" w:rsidRPr="00C9040A">
        <w:rPr>
          <w:rtl/>
        </w:rPr>
        <w:t xml:space="preserve"> ، ج 2 ، ص 54 ( خفف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 ب ، ز ، ص ، ف ، بس ، بف » والوافي والوسائل : « قال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الوسائل وصفات الشيعة : « ما » بدل « قلّما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 بر ، بف » </w:t>
      </w:r>
      <w:r w:rsidR="008A74EB">
        <w:rPr>
          <w:rtl/>
        </w:rPr>
        <w:t xml:space="preserve">: </w:t>
      </w:r>
      <w:r w:rsidR="0084262C">
        <w:rPr>
          <w:rtl/>
        </w:rPr>
        <w:t>-</w:t>
      </w:r>
      <w:r w:rsidR="008A74EB" w:rsidRPr="00C9040A">
        <w:rPr>
          <w:rtl/>
        </w:rPr>
        <w:t xml:space="preserve"> « قال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في البحار : « كيف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هكذا في « ب ، ج ، د ، ز ، ص ، ض ، ف ، بس » والوافي وصفات الشيعة. وفي « بر ، بف » والمطبوع ومرآة العقول : « تزعم »</w:t>
      </w:r>
      <w:r w:rsidR="008A74EB">
        <w:rPr>
          <w:rtl/>
        </w:rPr>
        <w:t>.</w:t>
      </w:r>
    </w:p>
    <w:p w:rsidR="008A74EB" w:rsidRPr="00C9040A" w:rsidRDefault="008A74EB" w:rsidP="004A4E41">
      <w:pPr>
        <w:pStyle w:val="libFootnote0"/>
        <w:rPr>
          <w:rtl/>
          <w:lang w:bidi="fa-IR"/>
        </w:rPr>
      </w:pPr>
      <w:r>
        <w:rPr>
          <w:rtl/>
        </w:rPr>
        <w:t>(13)</w:t>
      </w:r>
      <w:r w:rsidRPr="00C9040A">
        <w:rPr>
          <w:rtl/>
        </w:rPr>
        <w:t xml:space="preserve"> في صفات الشيعة : + « لنا »</w:t>
      </w:r>
      <w:r>
        <w:rPr>
          <w:rtl/>
        </w:rPr>
        <w:t>.</w:t>
      </w:r>
    </w:p>
    <w:p w:rsidR="008A74EB" w:rsidRPr="00C9040A" w:rsidRDefault="008A74EB" w:rsidP="00124126">
      <w:pPr>
        <w:pStyle w:val="libFootnote0"/>
        <w:rPr>
          <w:rtl/>
          <w:lang w:bidi="fa-IR"/>
        </w:rPr>
      </w:pPr>
      <w:r>
        <w:rPr>
          <w:rtl/>
        </w:rPr>
        <w:t>(14)</w:t>
      </w:r>
      <w:r w:rsidRPr="00C9040A">
        <w:rPr>
          <w:rtl/>
        </w:rPr>
        <w:t xml:space="preserve"> </w:t>
      </w:r>
      <w:r w:rsidRPr="00993B55">
        <w:rPr>
          <w:rStyle w:val="libFootnoteBoldChar"/>
          <w:rtl/>
        </w:rPr>
        <w:t>صفات الشيعة</w:t>
      </w:r>
      <w:r w:rsidRPr="00C9040A">
        <w:rPr>
          <w:rtl/>
        </w:rPr>
        <w:t xml:space="preserve"> ، ص 8 ، ح 13 ، بسنده عن محمّد بن عجلان</w:t>
      </w:r>
      <w:r w:rsidR="00124126">
        <w:rPr>
          <w:rFonts w:hint="cs"/>
          <w:rtl/>
        </w:rPr>
        <w:t>.</w:t>
      </w:r>
      <w:r w:rsidRPr="00993B55">
        <w:rPr>
          <w:rStyle w:val="libFootnoteBoldChar"/>
          <w:rtl/>
        </w:rPr>
        <w:t>الوافي</w:t>
      </w:r>
      <w:r w:rsidRPr="00C9040A">
        <w:rPr>
          <w:rtl/>
        </w:rPr>
        <w:t xml:space="preserve"> ، ج 5 ، ص 563 ، ح 2580 ؛ </w:t>
      </w:r>
      <w:r w:rsidRPr="00993B55">
        <w:rPr>
          <w:rStyle w:val="libFootnoteBoldChar"/>
          <w:rtl/>
        </w:rPr>
        <w:t>الوسائل</w:t>
      </w:r>
      <w:r w:rsidRPr="00C9040A">
        <w:rPr>
          <w:rtl/>
        </w:rPr>
        <w:t xml:space="preserve"> ، ج 9 ، ص 428 ، ح 12404 ؛ </w:t>
      </w:r>
      <w:r w:rsidRPr="00993B55">
        <w:rPr>
          <w:rStyle w:val="libFootnoteBoldChar"/>
          <w:rtl/>
        </w:rPr>
        <w:t>البحار</w:t>
      </w:r>
      <w:r w:rsidRPr="00C9040A">
        <w:rPr>
          <w:rtl/>
        </w:rPr>
        <w:t xml:space="preserve"> ، ج 74 ، ص 253 ، ح 48.</w:t>
      </w:r>
    </w:p>
    <w:tbl>
      <w:tblPr>
        <w:tblStyle w:val="TableGrid"/>
        <w:bidiVisual/>
        <w:tblW w:w="0" w:type="auto"/>
        <w:tblLook w:val="04A0" w:firstRow="1" w:lastRow="0" w:firstColumn="1" w:lastColumn="0" w:noHBand="0" w:noVBand="1"/>
      </w:tblPr>
      <w:tblGrid>
        <w:gridCol w:w="4006"/>
        <w:gridCol w:w="4006"/>
      </w:tblGrid>
      <w:tr w:rsidR="00124126" w:rsidTr="00124126">
        <w:tc>
          <w:tcPr>
            <w:tcW w:w="4006" w:type="dxa"/>
          </w:tcPr>
          <w:p w:rsidR="00124126" w:rsidRDefault="00124126" w:rsidP="004A4E41">
            <w:pPr>
              <w:pStyle w:val="libFootnote0"/>
              <w:rPr>
                <w:rtl/>
              </w:rPr>
            </w:pPr>
            <w:r>
              <w:rPr>
                <w:rtl/>
              </w:rPr>
              <w:t>(15)</w:t>
            </w:r>
            <w:r w:rsidRPr="00C9040A">
              <w:rPr>
                <w:rtl/>
              </w:rPr>
              <w:t xml:space="preserve"> في « ف » : « كثيرة »</w:t>
            </w:r>
            <w:r>
              <w:rPr>
                <w:rtl/>
              </w:rPr>
              <w:t>.</w:t>
            </w:r>
          </w:p>
        </w:tc>
        <w:tc>
          <w:tcPr>
            <w:tcW w:w="4006" w:type="dxa"/>
          </w:tcPr>
          <w:p w:rsidR="00124126" w:rsidRDefault="00124126" w:rsidP="004A4E41">
            <w:pPr>
              <w:pStyle w:val="libFootnote0"/>
              <w:rPr>
                <w:rtl/>
              </w:rPr>
            </w:pPr>
            <w:r>
              <w:rPr>
                <w:rtl/>
              </w:rPr>
              <w:t>(16) في «د ، ص ، ض ، ف ، بر»</w:t>
            </w:r>
            <w:r w:rsidRPr="00C9040A">
              <w:rPr>
                <w:rtl/>
              </w:rPr>
              <w:t>والوافي : « هل »</w:t>
            </w:r>
            <w:r>
              <w:rPr>
                <w:rtl/>
              </w:rPr>
              <w:t>.</w:t>
            </w:r>
          </w:p>
        </w:tc>
      </w:tr>
      <w:tr w:rsidR="00124126" w:rsidTr="00124126">
        <w:tc>
          <w:tcPr>
            <w:tcW w:w="4006" w:type="dxa"/>
          </w:tcPr>
          <w:p w:rsidR="00124126" w:rsidRDefault="00910C78" w:rsidP="004A4E41">
            <w:pPr>
              <w:pStyle w:val="libFootnote0"/>
              <w:rPr>
                <w:rtl/>
              </w:rPr>
            </w:pPr>
            <w:r>
              <w:rPr>
                <w:rtl/>
              </w:rPr>
              <w:t>(17)</w:t>
            </w:r>
            <w:r w:rsidRPr="00C9040A">
              <w:rPr>
                <w:rtl/>
              </w:rPr>
              <w:t xml:space="preserve"> في « ز ، ض ، بف » والوافي </w:t>
            </w:r>
            <w:r>
              <w:rPr>
                <w:rtl/>
              </w:rPr>
              <w:t>: -</w:t>
            </w:r>
            <w:r w:rsidRPr="00C9040A">
              <w:rPr>
                <w:rtl/>
              </w:rPr>
              <w:t xml:space="preserve"> « هل »</w:t>
            </w:r>
            <w:r>
              <w:rPr>
                <w:rtl/>
              </w:rPr>
              <w:t>.</w:t>
            </w:r>
          </w:p>
        </w:tc>
        <w:tc>
          <w:tcPr>
            <w:tcW w:w="4006" w:type="dxa"/>
          </w:tcPr>
          <w:p w:rsidR="00124126" w:rsidRDefault="00910C78" w:rsidP="004A4E41">
            <w:pPr>
              <w:pStyle w:val="libFootnote0"/>
              <w:rPr>
                <w:rtl/>
              </w:rPr>
            </w:pPr>
            <w:r>
              <w:rPr>
                <w:rtl/>
              </w:rPr>
              <w:t>(18)</w:t>
            </w:r>
            <w:r w:rsidRPr="00C9040A">
              <w:rPr>
                <w:rtl/>
              </w:rPr>
              <w:t xml:space="preserve"> في « ض ، ف » والبحار : « على »</w:t>
            </w:r>
            <w:r>
              <w:rPr>
                <w:rtl/>
              </w:rPr>
              <w:t>.</w:t>
            </w:r>
          </w:p>
        </w:tc>
      </w:tr>
    </w:tbl>
    <w:p w:rsidR="008A74EB" w:rsidRPr="00C9040A" w:rsidRDefault="008A74EB" w:rsidP="004A4E41">
      <w:pPr>
        <w:pStyle w:val="libFootnote0"/>
        <w:rPr>
          <w:rtl/>
          <w:lang w:bidi="fa-IR"/>
        </w:rPr>
      </w:pPr>
      <w:r>
        <w:rPr>
          <w:rtl/>
        </w:rPr>
        <w:t>(19)</w:t>
      </w:r>
      <w:r w:rsidRPr="00C9040A">
        <w:rPr>
          <w:rtl/>
        </w:rPr>
        <w:t xml:space="preserve"> في « ب ، بر ، بف » والوافي : « قلت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لَا ، فَقَالَ : « لَيْسَ هؤُلَاءِ شِيعَةً ، الشِّيعَةُ مَنْ يَفْعَلُ هذَا »</w:t>
      </w:r>
      <w:r>
        <w:rPr>
          <w:rtl/>
          <w:lang w:bidi="fa-IR"/>
        </w:rPr>
        <w:t>.</w:t>
      </w:r>
      <w:r w:rsidRPr="00C9040A">
        <w:rPr>
          <w:rtl/>
          <w:lang w:bidi="fa-IR"/>
        </w:rPr>
        <w:t xml:space="preserve"> </w:t>
      </w:r>
      <w:r w:rsidR="006C577F" w:rsidRPr="006C577F">
        <w:rPr>
          <w:rStyle w:val="libFootnotenumChar"/>
          <w:rtl/>
        </w:rPr>
        <w:t>(1)</w:t>
      </w:r>
      <w:r w:rsidRPr="00C9040A">
        <w:rPr>
          <w:rtl/>
          <w:lang w:bidi="fa-IR"/>
        </w:rPr>
        <w:t xml:space="preserve"> ‌</w:t>
      </w:r>
    </w:p>
    <w:p w:rsidR="008A74EB" w:rsidRPr="00C9040A" w:rsidRDefault="008A74EB" w:rsidP="008A74EB">
      <w:pPr>
        <w:pStyle w:val="libNormal"/>
        <w:rPr>
          <w:rtl/>
          <w:lang w:bidi="fa-IR"/>
        </w:rPr>
      </w:pPr>
      <w:r w:rsidRPr="003B6C3D">
        <w:rPr>
          <w:rtl/>
        </w:rPr>
        <w:t>2067</w:t>
      </w:r>
      <w:r w:rsidRPr="00261CB0">
        <w:rPr>
          <w:rStyle w:val="libBold2Char"/>
          <w:rtl/>
        </w:rPr>
        <w:t xml:space="preserve"> / 12.</w:t>
      </w:r>
      <w:r w:rsidRPr="00C9040A">
        <w:rPr>
          <w:rtl/>
          <w:lang w:bidi="fa-IR"/>
        </w:rPr>
        <w:t xml:space="preserve"> مُحَمَّدُ بْنُ يَحْيى ، عَنْ أَحْمَدَ بْنِ مُحَمَّدِ بْنِ عِيسى ، عَنْ مُحَمَّدِ بْنِ سِنَانٍ ، عَنِ الْعَلَاءِ بْنِ الْفُضَيْلِ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كَانَ أَبُو جَعْفَرٍ</w:t>
      </w:r>
      <w:r>
        <w:rPr>
          <w:rtl/>
          <w:lang w:bidi="fa-IR"/>
        </w:rPr>
        <w:t xml:space="preserve"> </w:t>
      </w:r>
      <w:r w:rsidR="0084262C">
        <w:rPr>
          <w:rtl/>
          <w:lang w:bidi="fa-IR"/>
        </w:rPr>
        <w:t>-</w:t>
      </w:r>
      <w:r>
        <w:rPr>
          <w:rtl/>
          <w:lang w:bidi="fa-IR"/>
        </w:rPr>
        <w:t xml:space="preserve"> </w:t>
      </w:r>
      <w:r w:rsidRPr="00C9040A">
        <w:rPr>
          <w:rtl/>
          <w:lang w:bidi="fa-IR"/>
        </w:rPr>
        <w:t>صَلَوَاتُ اللهِ عَلَيْهِ</w:t>
      </w:r>
      <w:r>
        <w:rPr>
          <w:rtl/>
          <w:lang w:bidi="fa-IR"/>
        </w:rPr>
        <w:t xml:space="preserve"> </w:t>
      </w:r>
      <w:r w:rsidR="0084262C">
        <w:rPr>
          <w:rtl/>
          <w:lang w:bidi="fa-IR"/>
        </w:rPr>
        <w:t>-</w:t>
      </w:r>
      <w:r>
        <w:rPr>
          <w:rtl/>
          <w:lang w:bidi="fa-IR"/>
        </w:rPr>
        <w:t xml:space="preserve"> </w:t>
      </w:r>
      <w:r w:rsidRPr="00C9040A">
        <w:rPr>
          <w:rtl/>
          <w:lang w:bidi="fa-IR"/>
        </w:rPr>
        <w:t xml:space="preserve">يَقُولُ : عَظِّمُوا أَصْحَابَكُمْ وَوَقِّرُوهُمْ ، وَلَا يَتَجَهَّمُ </w:t>
      </w:r>
      <w:r w:rsidR="006C577F" w:rsidRPr="006C577F">
        <w:rPr>
          <w:rStyle w:val="libFootnotenumChar"/>
          <w:rtl/>
        </w:rPr>
        <w:t>(3)</w:t>
      </w:r>
      <w:r w:rsidRPr="00C9040A">
        <w:rPr>
          <w:rtl/>
          <w:lang w:bidi="fa-IR"/>
        </w:rPr>
        <w:t xml:space="preserve"> بَعْضُكُمْ بَعْضاً </w:t>
      </w:r>
      <w:r w:rsidR="006C577F" w:rsidRPr="006C577F">
        <w:rPr>
          <w:rStyle w:val="libFootnotenumChar"/>
          <w:rtl/>
        </w:rPr>
        <w:t>(4)</w:t>
      </w:r>
      <w:r w:rsidRPr="00C9040A">
        <w:rPr>
          <w:rtl/>
          <w:lang w:bidi="fa-IR"/>
        </w:rPr>
        <w:t xml:space="preserve"> ، وَلَا تَضَارُّوا </w:t>
      </w:r>
      <w:r w:rsidR="006C577F" w:rsidRPr="006C577F">
        <w:rPr>
          <w:rStyle w:val="libFootnotenumChar"/>
          <w:rtl/>
        </w:rPr>
        <w:t>(5)</w:t>
      </w:r>
      <w:r w:rsidRPr="00C9040A">
        <w:rPr>
          <w:rtl/>
          <w:lang w:bidi="fa-IR"/>
        </w:rPr>
        <w:t xml:space="preserve"> وَلَا تَحَاسَدُوا ، وَإِيَّاكُمْ وَالْبُخْلَ ، كُونُوا عِبَادَ اللهِ الْمُخْلَصِينَ </w:t>
      </w:r>
      <w:r w:rsidR="006C577F" w:rsidRPr="006C577F">
        <w:rPr>
          <w:rStyle w:val="libFootnotenumChar"/>
          <w:rtl/>
        </w:rPr>
        <w:t>(6)</w:t>
      </w:r>
      <w:r w:rsidRPr="00C9040A">
        <w:rPr>
          <w:rtl/>
          <w:lang w:bidi="fa-IR"/>
        </w:rPr>
        <w:t>»</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3B6C3D">
        <w:rPr>
          <w:rtl/>
        </w:rPr>
        <w:t>2068</w:t>
      </w:r>
      <w:r w:rsidRPr="00261CB0">
        <w:rPr>
          <w:rStyle w:val="libBold2Char"/>
          <w:rtl/>
        </w:rPr>
        <w:t xml:space="preserve"> / 13.</w:t>
      </w:r>
      <w:r w:rsidRPr="00C9040A">
        <w:rPr>
          <w:rtl/>
          <w:lang w:bidi="fa-IR"/>
        </w:rPr>
        <w:t xml:space="preserve"> أَبُو عَلِيٍّ الْأَشْعَرِيُّ ، عَنْ مُحَمَّدِ بْنِ عَبْدِ الْجَبَّارِ ، عَنِ ابْنِ فَضَّالٍ ، عَنْ عُمَرَ بْنِ أَبَانٍ ، عَنْ سَعِيدِ بْنِ الْحَسَنِ ، قَالَ :</w:t>
      </w:r>
    </w:p>
    <w:p w:rsidR="008A74EB" w:rsidRPr="00C9040A" w:rsidRDefault="008A74EB" w:rsidP="008A74EB">
      <w:pPr>
        <w:pStyle w:val="libNormal"/>
        <w:rPr>
          <w:rtl/>
          <w:lang w:bidi="fa-IR"/>
        </w:rPr>
      </w:pPr>
      <w:r w:rsidRPr="00C9040A">
        <w:rPr>
          <w:rtl/>
          <w:lang w:bidi="fa-IR"/>
        </w:rPr>
        <w:t xml:space="preserve">قَالَ أَبُو جَعْفَرٍ </w:t>
      </w:r>
      <w:r w:rsidRPr="0003660B">
        <w:rPr>
          <w:rStyle w:val="libAlaemChar"/>
          <w:rtl/>
        </w:rPr>
        <w:t>عليه‌السلام</w:t>
      </w:r>
      <w:r>
        <w:rPr>
          <w:rtl/>
          <w:lang w:bidi="fa-IR"/>
        </w:rPr>
        <w:t xml:space="preserve"> : « أَ</w:t>
      </w:r>
      <w:r w:rsidRPr="00C9040A">
        <w:rPr>
          <w:rtl/>
          <w:lang w:bidi="fa-IR"/>
        </w:rPr>
        <w:t>يَجِي‌ءُ أَحَدُكُمْ إِلى أَخِيهِ ، فَيُدْخِلَ يَدَهُ فِي كِيسِهِ ، فَيَأْخُذَ حَاجَتَهُ ، فَلَا يَدْفَعَهُ</w:t>
      </w:r>
      <w:r>
        <w:rPr>
          <w:rtl/>
          <w:lang w:bidi="fa-IR"/>
        </w:rPr>
        <w:t>؟</w:t>
      </w:r>
      <w:r w:rsidRPr="00C9040A">
        <w:rPr>
          <w:rtl/>
          <w:lang w:bidi="fa-IR"/>
        </w:rPr>
        <w:t xml:space="preserve"> » فَقُلْتُ : مَا أَعْرِفُ ذلِكَ فِينَا ، فَقَالَ أَبُو جَعْفَرٍ </w:t>
      </w:r>
      <w:r w:rsidRPr="0003660B">
        <w:rPr>
          <w:rStyle w:val="libAlaemChar"/>
          <w:rtl/>
        </w:rPr>
        <w:t>عليه‌السلام</w:t>
      </w:r>
      <w:r w:rsidRPr="00C9040A">
        <w:rPr>
          <w:rtl/>
          <w:lang w:bidi="fa-IR"/>
        </w:rPr>
        <w:t xml:space="preserve"> : « فَلَا شَيْ‌ءَ إِذاً » قُلْتُ : فَالْهَلَاكُ </w:t>
      </w:r>
      <w:r w:rsidR="006C577F" w:rsidRPr="006C577F">
        <w:rPr>
          <w:rStyle w:val="libFootnotenumChar"/>
          <w:rtl/>
        </w:rPr>
        <w:t>(8)</w:t>
      </w:r>
      <w:r w:rsidRPr="00C9040A">
        <w:rPr>
          <w:rtl/>
          <w:lang w:bidi="fa-IR"/>
        </w:rPr>
        <w:t xml:space="preserve"> إِذاً ، فَقَالَ : « إِنَّ الْقَوْمَ لَمْ يُعْطَوْا أَحْلَامَهُمْ </w:t>
      </w:r>
      <w:r w:rsidR="006C577F" w:rsidRPr="006C577F">
        <w:rPr>
          <w:rStyle w:val="libFootnotenumChar"/>
          <w:rtl/>
        </w:rPr>
        <w:t>(9)</w:t>
      </w:r>
      <w:r w:rsidRPr="00C9040A">
        <w:rPr>
          <w:rtl/>
          <w:lang w:bidi="fa-IR"/>
        </w:rPr>
        <w:t xml:space="preserve"> بَعْدُ »</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993B55">
        <w:rPr>
          <w:rStyle w:val="libFootnoteBoldChar"/>
          <w:rtl/>
        </w:rPr>
        <w:t>الوافي</w:t>
      </w:r>
      <w:r w:rsidR="008A74EB" w:rsidRPr="00C9040A">
        <w:rPr>
          <w:rtl/>
        </w:rPr>
        <w:t xml:space="preserve"> ، ج 5 ، ص 564 ، ح 2581 ؛ </w:t>
      </w:r>
      <w:r w:rsidR="008A74EB" w:rsidRPr="00993B55">
        <w:rPr>
          <w:rStyle w:val="libFootnoteBoldChar"/>
          <w:rtl/>
        </w:rPr>
        <w:t>الوسائل</w:t>
      </w:r>
      <w:r w:rsidR="008A74EB" w:rsidRPr="00C9040A">
        <w:rPr>
          <w:rtl/>
        </w:rPr>
        <w:t xml:space="preserve"> ، ج 9 ، ص 428 ، ح 12405 ؛ </w:t>
      </w:r>
      <w:r w:rsidR="008A74EB" w:rsidRPr="00993B55">
        <w:rPr>
          <w:rStyle w:val="libFootnoteBoldChar"/>
          <w:rtl/>
        </w:rPr>
        <w:t>البحار</w:t>
      </w:r>
      <w:r w:rsidR="008A74EB" w:rsidRPr="00C9040A">
        <w:rPr>
          <w:rtl/>
        </w:rPr>
        <w:t xml:space="preserve"> ، ج 74 ، ص 254 ، ح 49.</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هكذا في « ج ، د ، ز ، ص ، ض ، ف ، بر ، بس ، بف ، جر » والطبعة القديمة. وفي « ب » والمطبوع : « فضيل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بف » : « لا يتهجّم »</w:t>
      </w:r>
      <w:r w:rsidR="008A74EB">
        <w:rPr>
          <w:rtl/>
        </w:rPr>
        <w:t>.</w:t>
      </w:r>
      <w:r w:rsidR="008A74EB" w:rsidRPr="00C9040A">
        <w:rPr>
          <w:rtl/>
        </w:rPr>
        <w:t xml:space="preserve"> ورجل جَهْم الوجه ، أي غليظه. وتجهّمتُ له وتجهّمته ، أي استقبلته بوجه كريه. </w:t>
      </w:r>
      <w:r w:rsidR="008A74EB" w:rsidRPr="00993B55">
        <w:rPr>
          <w:rStyle w:val="libFootnoteBoldChar"/>
          <w:rtl/>
        </w:rPr>
        <w:t>ترتيب كتاب العين</w:t>
      </w:r>
      <w:r w:rsidR="008A74EB" w:rsidRPr="00C9040A">
        <w:rPr>
          <w:rtl/>
        </w:rPr>
        <w:t xml:space="preserve"> ، ج 1 ، ص 327 ؛ </w:t>
      </w:r>
      <w:r w:rsidR="008A74EB" w:rsidRPr="00993B55">
        <w:rPr>
          <w:rStyle w:val="libFootnoteBoldChar"/>
          <w:rtl/>
        </w:rPr>
        <w:t>الصحاح</w:t>
      </w:r>
      <w:r w:rsidR="008A74EB" w:rsidRPr="00C9040A">
        <w:rPr>
          <w:rtl/>
        </w:rPr>
        <w:t xml:space="preserve"> ، ج 5 ، ص 1891 ( جهم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الكافي ، ح 3606 والوافي والوسائل : « على بعض » بدل « بعضاً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أصله : لا تتضارّوا. ويجوز فيه المفاعلة أيضاً كما في « ب »</w:t>
      </w:r>
      <w:r w:rsidR="008A74EB">
        <w:rPr>
          <w:rtl/>
        </w:rPr>
        <w:t>.</w:t>
      </w:r>
      <w:r w:rsidR="008A74EB" w:rsidRPr="00C9040A">
        <w:rPr>
          <w:rtl/>
        </w:rPr>
        <w:t xml:space="preserve"> وكذا قوله : « تحاسدوا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ص » : « المخلِصين » بكسر اللام. وفي الكافي ، ح 3606 : + « الصالحين »</w:t>
      </w:r>
      <w:r w:rsidR="008A74EB">
        <w:rPr>
          <w:rtl/>
        </w:rPr>
        <w:t>.</w:t>
      </w:r>
    </w:p>
    <w:p w:rsidR="008A74EB" w:rsidRPr="00C9040A" w:rsidRDefault="006C577F" w:rsidP="00CE2B77">
      <w:pPr>
        <w:pStyle w:val="libFootnote0"/>
        <w:rPr>
          <w:rtl/>
          <w:lang w:bidi="fa-IR"/>
        </w:rPr>
      </w:pPr>
      <w:r>
        <w:rPr>
          <w:rtl/>
        </w:rPr>
        <w:t>(7).</w:t>
      </w:r>
      <w:r w:rsidR="008A74EB" w:rsidRPr="00C9040A">
        <w:rPr>
          <w:rtl/>
        </w:rPr>
        <w:t xml:space="preserve"> </w:t>
      </w:r>
      <w:r w:rsidR="008A74EB" w:rsidRPr="00993B55">
        <w:rPr>
          <w:rStyle w:val="libFootnoteBoldChar"/>
          <w:rtl/>
        </w:rPr>
        <w:t>الكافي</w:t>
      </w:r>
      <w:r w:rsidR="008A74EB" w:rsidRPr="00C9040A">
        <w:rPr>
          <w:rtl/>
        </w:rPr>
        <w:t xml:space="preserve"> ، كتاب العشرة ، باب حسن المعاشرة ، ح 3606</w:t>
      </w:r>
      <w:r w:rsidR="00CE2B77">
        <w:rPr>
          <w:rFonts w:hint="cs"/>
          <w:rtl/>
        </w:rPr>
        <w:t>.</w:t>
      </w:r>
      <w:r w:rsidR="008A74EB" w:rsidRPr="00993B55">
        <w:rPr>
          <w:rStyle w:val="libFootnoteBoldChar"/>
          <w:rtl/>
        </w:rPr>
        <w:t>الوافي</w:t>
      </w:r>
      <w:r w:rsidR="008A74EB" w:rsidRPr="00C9040A">
        <w:rPr>
          <w:rtl/>
        </w:rPr>
        <w:t xml:space="preserve"> ، ج 5 ، ص 530 ، ح 2510 ؛ </w:t>
      </w:r>
      <w:r w:rsidR="008A74EB" w:rsidRPr="00993B55">
        <w:rPr>
          <w:rStyle w:val="libFootnoteBoldChar"/>
          <w:rtl/>
        </w:rPr>
        <w:t>الوسائل</w:t>
      </w:r>
      <w:r w:rsidR="008A74EB" w:rsidRPr="00C9040A">
        <w:rPr>
          <w:rtl/>
        </w:rPr>
        <w:t xml:space="preserve"> ، ج 12 ، ص 15 ، ح 15519 ؛ </w:t>
      </w:r>
      <w:r w:rsidR="008A74EB" w:rsidRPr="00993B55">
        <w:rPr>
          <w:rStyle w:val="libFootnoteBoldChar"/>
          <w:rtl/>
        </w:rPr>
        <w:t>البحار</w:t>
      </w:r>
      <w:r w:rsidR="008A74EB" w:rsidRPr="00C9040A">
        <w:rPr>
          <w:rtl/>
        </w:rPr>
        <w:t xml:space="preserve"> ، ج 74 ، ص 254 ، ح 50.</w:t>
      </w:r>
    </w:p>
    <w:p w:rsidR="008A74EB" w:rsidRPr="00C9040A" w:rsidRDefault="006C577F" w:rsidP="004A4E41">
      <w:pPr>
        <w:pStyle w:val="libFootnote0"/>
        <w:rPr>
          <w:rtl/>
          <w:lang w:bidi="fa-IR"/>
        </w:rPr>
      </w:pPr>
      <w:r>
        <w:rPr>
          <w:rtl/>
        </w:rPr>
        <w:t>(8).</w:t>
      </w:r>
      <w:r w:rsidR="008A74EB" w:rsidRPr="00C9040A">
        <w:rPr>
          <w:rtl/>
        </w:rPr>
        <w:t xml:space="preserve"> في المؤمن : « فالهلكة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 الحِلم » : الأناة والعقل. وجمعه : أحلام وحُلُوم. ومنه : </w:t>
      </w:r>
      <w:r w:rsidR="008A74EB" w:rsidRPr="00CE2B77">
        <w:rPr>
          <w:rStyle w:val="libFootnoteAlaemChar"/>
          <w:rtl/>
        </w:rPr>
        <w:t>(</w:t>
      </w:r>
      <w:r w:rsidR="008A74EB" w:rsidRPr="00883DD5">
        <w:rPr>
          <w:rStyle w:val="libFootnoteAieChar"/>
          <w:rFonts w:hint="cs"/>
          <w:rtl/>
        </w:rPr>
        <w:t xml:space="preserve"> </w:t>
      </w:r>
      <w:r w:rsidR="008A74EB" w:rsidRPr="00883DD5">
        <w:rPr>
          <w:rStyle w:val="libFootnoteAieChar"/>
          <w:rtl/>
        </w:rPr>
        <w:t>أَمْ تَأْمُرُهُمْ أَحْل</w:t>
      </w:r>
      <w:r w:rsidR="00CE2B77">
        <w:rPr>
          <w:rStyle w:val="libFootnoteAieChar"/>
          <w:rFonts w:hint="cs"/>
          <w:rtl/>
        </w:rPr>
        <w:t>َ</w:t>
      </w:r>
      <w:r w:rsidR="008A74EB" w:rsidRPr="00883DD5">
        <w:rPr>
          <w:rStyle w:val="libFootnoteAieChar"/>
          <w:rtl/>
        </w:rPr>
        <w:t>امُهُمْ بِه</w:t>
      </w:r>
      <w:r w:rsidR="00CE2B77">
        <w:rPr>
          <w:rStyle w:val="libFootnoteAieChar"/>
          <w:rFonts w:hint="cs"/>
          <w:rtl/>
        </w:rPr>
        <w:t>َ</w:t>
      </w:r>
      <w:r w:rsidR="008A74EB" w:rsidRPr="00883DD5">
        <w:rPr>
          <w:rStyle w:val="libFootnoteAieChar"/>
          <w:rtl/>
        </w:rPr>
        <w:t>ذ</w:t>
      </w:r>
      <w:r w:rsidR="00CE2B77">
        <w:rPr>
          <w:rStyle w:val="libFootnoteAieChar"/>
          <w:rFonts w:hint="cs"/>
          <w:rtl/>
        </w:rPr>
        <w:t>َ</w:t>
      </w:r>
      <w:r w:rsidR="008A74EB" w:rsidRPr="00883DD5">
        <w:rPr>
          <w:rStyle w:val="libFootnoteAieChar"/>
          <w:rtl/>
        </w:rPr>
        <w:t>ا</w:t>
      </w:r>
      <w:r w:rsidR="008A74EB" w:rsidRPr="00883DD5">
        <w:rPr>
          <w:rStyle w:val="libFootnoteAieChar"/>
          <w:rFonts w:hint="cs"/>
          <w:rtl/>
        </w:rPr>
        <w:t xml:space="preserve"> </w:t>
      </w:r>
      <w:r w:rsidR="008A74EB" w:rsidRPr="00CE2B77">
        <w:rPr>
          <w:rStyle w:val="libFootnoteAlaemChar"/>
          <w:rtl/>
        </w:rPr>
        <w:t>)</w:t>
      </w:r>
      <w:r w:rsidR="008A74EB" w:rsidRPr="00C9040A">
        <w:rPr>
          <w:rtl/>
        </w:rPr>
        <w:t xml:space="preserve"> [ الطور (52) : 32 ] : والمعنى : لم يكمل عقولهم بعدُ. راجع : </w:t>
      </w:r>
      <w:r w:rsidR="008A74EB" w:rsidRPr="00993B55">
        <w:rPr>
          <w:rStyle w:val="libFootnoteBoldChar"/>
          <w:rtl/>
        </w:rPr>
        <w:t>القاموس المحيط</w:t>
      </w:r>
      <w:r w:rsidR="008A74EB" w:rsidRPr="00C9040A">
        <w:rPr>
          <w:rtl/>
        </w:rPr>
        <w:t xml:space="preserve"> ، ج 2 ، ص 1445 ( حلم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w:t>
      </w:r>
      <w:r w:rsidR="008A74EB" w:rsidRPr="00993B55">
        <w:rPr>
          <w:rStyle w:val="libFootnoteBoldChar"/>
          <w:rtl/>
        </w:rPr>
        <w:t>المؤمن</w:t>
      </w:r>
      <w:r w:rsidR="008A74EB" w:rsidRPr="00C9040A">
        <w:rPr>
          <w:rtl/>
        </w:rPr>
        <w:t xml:space="preserve"> ، ص 44 ، ح 103 ، عن أبي جعفر </w:t>
      </w:r>
      <w:r w:rsidR="00117575" w:rsidRPr="00117575">
        <w:rPr>
          <w:rStyle w:val="libFootnoteAlaemChar"/>
          <w:rtl/>
        </w:rPr>
        <w:t>عليه‌السلام</w:t>
      </w:r>
      <w:r w:rsidR="00CE2B77">
        <w:rPr>
          <w:rStyle w:val="libFootnoteAlaemChar"/>
          <w:rFonts w:hint="cs"/>
          <w:rtl/>
        </w:rPr>
        <w:t>.</w:t>
      </w:r>
      <w:r w:rsidR="008A74EB" w:rsidRPr="00993B55">
        <w:rPr>
          <w:rStyle w:val="libFootnoteBoldChar"/>
          <w:rtl/>
        </w:rPr>
        <w:t>الوافي</w:t>
      </w:r>
      <w:r w:rsidR="008A74EB" w:rsidRPr="00C9040A">
        <w:rPr>
          <w:rtl/>
        </w:rPr>
        <w:t xml:space="preserve"> ، ج 5 ، ص 564 ، ح 2582 ؛ </w:t>
      </w:r>
      <w:r w:rsidR="008A74EB" w:rsidRPr="00993B55">
        <w:rPr>
          <w:rStyle w:val="libFootnoteBoldChar"/>
          <w:rtl/>
        </w:rPr>
        <w:t>الوسائل</w:t>
      </w:r>
      <w:r w:rsidR="008A74EB" w:rsidRPr="00C9040A">
        <w:rPr>
          <w:rtl/>
        </w:rPr>
        <w:t xml:space="preserve"> ، ج 5 ، ص 120 ، ح 6090 ؛ وج 9 ، ص 428 ، ح 12406 ؛ </w:t>
      </w:r>
      <w:r w:rsidR="008A74EB" w:rsidRPr="00993B55">
        <w:rPr>
          <w:rStyle w:val="libFootnoteBoldChar"/>
          <w:rtl/>
        </w:rPr>
        <w:t>البحار</w:t>
      </w:r>
      <w:r w:rsidR="008A74EB" w:rsidRPr="00C9040A">
        <w:rPr>
          <w:rtl/>
        </w:rPr>
        <w:t xml:space="preserve"> ، ج 74 ، ص 254 ، ح 51.</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697CB3">
        <w:rPr>
          <w:rtl/>
        </w:rPr>
        <w:t>2069</w:t>
      </w:r>
      <w:r w:rsidRPr="00261CB0">
        <w:rPr>
          <w:rStyle w:val="libBold2Char"/>
          <w:rtl/>
        </w:rPr>
        <w:t xml:space="preserve"> / 14.</w:t>
      </w:r>
      <w:r w:rsidRPr="00C9040A">
        <w:rPr>
          <w:rtl/>
          <w:lang w:bidi="fa-IR"/>
        </w:rPr>
        <w:t xml:space="preserve"> عَلِيُّ بْنُ إِبْرَاهِيمَ ، عَنِ الْحُسَيْنِ بْنِ الْحَسَنِ ، عَنْ مُحَمَّدِ بْنِ أُورَمَةَ رَفَعَهُ ، عَنْ </w:t>
      </w:r>
      <w:r w:rsidR="006C577F" w:rsidRPr="006C577F">
        <w:rPr>
          <w:rStyle w:val="libFootnotenumChar"/>
          <w:rtl/>
        </w:rPr>
        <w:t>(1)</w:t>
      </w:r>
      <w:r w:rsidRPr="00C9040A">
        <w:rPr>
          <w:rtl/>
          <w:lang w:bidi="fa-IR"/>
        </w:rPr>
        <w:t xml:space="preserve"> مُعَلَّى بْنِ خُنَيْسٍ ، قَالَ :</w:t>
      </w:r>
    </w:p>
    <w:p w:rsidR="008A74EB" w:rsidRPr="00C9040A" w:rsidRDefault="008A74EB" w:rsidP="008A74EB">
      <w:pPr>
        <w:pStyle w:val="libNormal"/>
        <w:rPr>
          <w:rtl/>
          <w:lang w:bidi="fa-IR"/>
        </w:rPr>
      </w:pPr>
      <w:r w:rsidRPr="00C9040A">
        <w:rPr>
          <w:rtl/>
          <w:lang w:bidi="fa-IR"/>
        </w:rPr>
        <w:t xml:space="preserve">سَأَلْتُ أَبَا عَبْدِ اللهِ </w:t>
      </w:r>
      <w:r w:rsidRPr="0003660B">
        <w:rPr>
          <w:rStyle w:val="libAlaemChar"/>
          <w:rtl/>
        </w:rPr>
        <w:t>عليه‌السلام</w:t>
      </w:r>
      <w:r w:rsidRPr="00C9040A">
        <w:rPr>
          <w:rtl/>
          <w:lang w:bidi="fa-IR"/>
        </w:rPr>
        <w:t xml:space="preserve"> عَنْ حَقِّ الْمُؤْمِنِ ، فَقَالَ : « سَبْعُونَ حَقّاً لَا</w:t>
      </w:r>
      <w:r>
        <w:rPr>
          <w:rFonts w:hint="cs"/>
          <w:rtl/>
          <w:lang w:bidi="fa-IR"/>
        </w:rPr>
        <w:t xml:space="preserve"> </w:t>
      </w:r>
      <w:r w:rsidR="00072558">
        <w:rPr>
          <w:rtl/>
          <w:lang w:bidi="fa-IR"/>
        </w:rPr>
        <w:t>أُخْبِرُكَ إِل</w:t>
      </w:r>
      <w:r w:rsidR="00072558">
        <w:rPr>
          <w:rFonts w:hint="cs"/>
          <w:rtl/>
          <w:lang w:bidi="fa-IR"/>
        </w:rPr>
        <w:t>َّ</w:t>
      </w:r>
      <w:r w:rsidR="00072558">
        <w:rPr>
          <w:rtl/>
          <w:lang w:bidi="fa-IR"/>
        </w:rPr>
        <w:t>ا</w:t>
      </w:r>
      <w:r w:rsidRPr="00C9040A">
        <w:rPr>
          <w:rtl/>
          <w:lang w:bidi="fa-IR"/>
        </w:rPr>
        <w:t xml:space="preserve"> بِسَبْعَةٍ ؛ فَإِنِّي عَلَيْكَ مُشْفِقٌ </w:t>
      </w:r>
      <w:r w:rsidR="006C577F" w:rsidRPr="006C577F">
        <w:rPr>
          <w:rStyle w:val="libFootnotenumChar"/>
          <w:rtl/>
        </w:rPr>
        <w:t>(2)</w:t>
      </w:r>
      <w:r w:rsidRPr="00C9040A">
        <w:rPr>
          <w:rtl/>
          <w:lang w:bidi="fa-IR"/>
        </w:rPr>
        <w:t xml:space="preserve"> أَخْشى </w:t>
      </w:r>
      <w:r w:rsidR="006C577F" w:rsidRPr="006C577F">
        <w:rPr>
          <w:rStyle w:val="libFootnotenumChar"/>
          <w:rtl/>
        </w:rPr>
        <w:t>(3)</w:t>
      </w:r>
      <w:r w:rsidR="00072558">
        <w:rPr>
          <w:rtl/>
          <w:lang w:bidi="fa-IR"/>
        </w:rPr>
        <w:t xml:space="preserve"> أَل</w:t>
      </w:r>
      <w:r w:rsidR="00072558">
        <w:rPr>
          <w:rFonts w:hint="cs"/>
          <w:rtl/>
          <w:lang w:bidi="fa-IR"/>
        </w:rPr>
        <w:t>َّ</w:t>
      </w:r>
      <w:r w:rsidR="00072558">
        <w:rPr>
          <w:rtl/>
          <w:lang w:bidi="fa-IR"/>
        </w:rPr>
        <w:t>ا</w:t>
      </w:r>
      <w:r w:rsidRPr="00C9040A">
        <w:rPr>
          <w:rtl/>
          <w:lang w:bidi="fa-IR"/>
        </w:rPr>
        <w:t xml:space="preserve"> تَحْتَمِلَ </w:t>
      </w:r>
      <w:r w:rsidR="006C577F" w:rsidRPr="006C577F">
        <w:rPr>
          <w:rStyle w:val="libFootnotenumChar"/>
          <w:rtl/>
        </w:rPr>
        <w:t>(4)</w:t>
      </w:r>
      <w:r w:rsidRPr="00C9040A">
        <w:rPr>
          <w:rtl/>
          <w:lang w:bidi="fa-IR"/>
        </w:rPr>
        <w:t xml:space="preserve"> »</w:t>
      </w:r>
      <w:r>
        <w:rPr>
          <w:rtl/>
          <w:lang w:bidi="fa-IR"/>
        </w:rPr>
        <w:t>.</w:t>
      </w:r>
    </w:p>
    <w:p w:rsidR="008A74EB" w:rsidRPr="00C9040A" w:rsidRDefault="008A74EB" w:rsidP="008A74EB">
      <w:pPr>
        <w:pStyle w:val="libNormal"/>
        <w:rPr>
          <w:rtl/>
          <w:lang w:bidi="fa-IR"/>
        </w:rPr>
      </w:pPr>
      <w:r w:rsidRPr="00C9040A">
        <w:rPr>
          <w:rtl/>
          <w:lang w:bidi="fa-IR"/>
        </w:rPr>
        <w:t>فَقُلْتُ : بَلى إِنْ شَاءَ اللهُ.</w:t>
      </w:r>
    </w:p>
    <w:p w:rsidR="008A74EB" w:rsidRPr="00C9040A" w:rsidRDefault="008A74EB" w:rsidP="00991559">
      <w:pPr>
        <w:pStyle w:val="libNormal"/>
        <w:rPr>
          <w:rtl/>
          <w:lang w:bidi="fa-IR"/>
        </w:rPr>
      </w:pPr>
      <w:r w:rsidRPr="00C9040A">
        <w:rPr>
          <w:rtl/>
          <w:lang w:bidi="fa-IR"/>
        </w:rPr>
        <w:t>فَقَالَ : « لَا تَشْبَعُ وَ</w:t>
      </w:r>
      <w:r>
        <w:rPr>
          <w:rFonts w:hint="cs"/>
          <w:rtl/>
          <w:lang w:bidi="fa-IR"/>
        </w:rPr>
        <w:t xml:space="preserve"> </w:t>
      </w:r>
      <w:r w:rsidR="006C577F" w:rsidRPr="006C577F">
        <w:rPr>
          <w:rStyle w:val="libFootnotenumChar"/>
          <w:rtl/>
        </w:rPr>
        <w:t>(5)</w:t>
      </w:r>
      <w:r w:rsidRPr="00C9040A">
        <w:rPr>
          <w:rtl/>
          <w:lang w:bidi="fa-IR"/>
        </w:rPr>
        <w:t xml:space="preserve"> يَجُوعُ ، وَلَا تَكْتَسِي </w:t>
      </w:r>
      <w:r w:rsidR="006C577F" w:rsidRPr="006C577F">
        <w:rPr>
          <w:rStyle w:val="libFootnotenumChar"/>
          <w:rtl/>
        </w:rPr>
        <w:t>(6)</w:t>
      </w:r>
      <w:r w:rsidR="00991559" w:rsidRPr="00C9040A">
        <w:rPr>
          <w:rtl/>
          <w:lang w:bidi="fa-IR"/>
        </w:rPr>
        <w:t xml:space="preserve"> </w:t>
      </w:r>
      <w:r w:rsidRPr="00C9040A">
        <w:rPr>
          <w:rtl/>
          <w:lang w:bidi="fa-IR"/>
        </w:rPr>
        <w:t>وَيَعْرى ، وَ</w:t>
      </w:r>
      <w:r>
        <w:rPr>
          <w:rFonts w:hint="cs"/>
          <w:rtl/>
          <w:lang w:bidi="fa-IR"/>
        </w:rPr>
        <w:t xml:space="preserve"> </w:t>
      </w:r>
      <w:r w:rsidR="006C577F" w:rsidRPr="006C577F">
        <w:rPr>
          <w:rStyle w:val="libFootnotenumChar"/>
          <w:rtl/>
        </w:rPr>
        <w:t>(7)</w:t>
      </w:r>
      <w:r w:rsidRPr="00C9040A">
        <w:rPr>
          <w:rtl/>
          <w:lang w:bidi="fa-IR"/>
        </w:rPr>
        <w:t xml:space="preserve"> تَكُونُ دَلِيلَهُ وَقَمِيصَهُ الَّذِي يَلْبَسُهُ </w:t>
      </w:r>
      <w:r w:rsidR="006C577F" w:rsidRPr="006C577F">
        <w:rPr>
          <w:rStyle w:val="libFootnotenumChar"/>
          <w:rtl/>
        </w:rPr>
        <w:t>(8)</w:t>
      </w:r>
      <w:r w:rsidRPr="00C9040A">
        <w:rPr>
          <w:rtl/>
          <w:lang w:bidi="fa-IR"/>
        </w:rPr>
        <w:t xml:space="preserve"> ، وَلِسَانَهُ الَّذِي يَتَكَلَّمُ بِهِ ، وَتُحِبُّ لَهُ مَا تُحِبُّ لِنَفْسِكَ ، وَإِنْ كَانَتْ لَكَ جَارِيَةٌ بَعَثْتَهَا </w:t>
      </w:r>
      <w:r w:rsidR="006C577F" w:rsidRPr="006C577F">
        <w:rPr>
          <w:rStyle w:val="libFootnotenumChar"/>
          <w:rtl/>
        </w:rPr>
        <w:t>(9)</w:t>
      </w:r>
      <w:r w:rsidRPr="00C9040A">
        <w:rPr>
          <w:rtl/>
          <w:lang w:bidi="fa-IR"/>
        </w:rPr>
        <w:t xml:space="preserve"> لِتُمَهِّدَ </w:t>
      </w:r>
      <w:r w:rsidR="006C577F" w:rsidRPr="006C577F">
        <w:rPr>
          <w:rStyle w:val="libFootnotenumChar"/>
          <w:rtl/>
        </w:rPr>
        <w:t>(10)</w:t>
      </w:r>
      <w:r w:rsidRPr="00C9040A">
        <w:rPr>
          <w:rtl/>
          <w:lang w:bidi="fa-IR"/>
        </w:rPr>
        <w:t xml:space="preserve"> فِرَاشَهُ ، وَتَسْعى فِي حَوَائِجِهِ بِاللَّيْلِ وَالنَّهَارِ ، فَإِذَا فَعَلْتَ </w:t>
      </w:r>
      <w:r w:rsidR="006C577F" w:rsidRPr="006C577F">
        <w:rPr>
          <w:rStyle w:val="libFootnotenumChar"/>
          <w:rtl/>
        </w:rPr>
        <w:t>(11)</w:t>
      </w:r>
      <w:r w:rsidRPr="00C9040A">
        <w:rPr>
          <w:rtl/>
          <w:lang w:bidi="fa-IR"/>
        </w:rPr>
        <w:t xml:space="preserve"> ذلِكَ وَصَلْتَ وَلَايَتَكَ بِوَلَايَتِنَا ، وَوَلَايَتَنَا بِوَلَايَةِ اللهِ عَزَّ وَجَلَّ »</w:t>
      </w:r>
      <w:r>
        <w:rPr>
          <w:rtl/>
          <w:lang w:bidi="fa-IR"/>
        </w:rPr>
        <w:t>.</w:t>
      </w:r>
      <w:r w:rsidRPr="00C9040A">
        <w:rPr>
          <w:rtl/>
          <w:lang w:bidi="fa-IR"/>
        </w:rPr>
        <w:t xml:space="preserve"> </w:t>
      </w:r>
      <w:r w:rsidR="006C577F" w:rsidRPr="006C577F">
        <w:rPr>
          <w:rStyle w:val="libFootnotenumChar"/>
          <w:rtl/>
        </w:rPr>
        <w:t>(12)</w:t>
      </w:r>
      <w:r w:rsidRPr="00C9040A">
        <w:rPr>
          <w:rtl/>
          <w:lang w:bidi="fa-IR"/>
        </w:rPr>
        <w:t xml:space="preserve"> ‌</w:t>
      </w:r>
    </w:p>
    <w:p w:rsidR="008A74EB" w:rsidRPr="00C9040A" w:rsidRDefault="008A74EB" w:rsidP="008A74EB">
      <w:pPr>
        <w:pStyle w:val="libNormal"/>
        <w:rPr>
          <w:rtl/>
          <w:lang w:bidi="fa-IR"/>
        </w:rPr>
      </w:pPr>
      <w:r w:rsidRPr="00697CB3">
        <w:rPr>
          <w:rtl/>
        </w:rPr>
        <w:t>2070</w:t>
      </w:r>
      <w:r w:rsidRPr="00261CB0">
        <w:rPr>
          <w:rStyle w:val="libBold2Char"/>
          <w:rtl/>
        </w:rPr>
        <w:t xml:space="preserve"> / 15.</w:t>
      </w:r>
      <w:r w:rsidRPr="00C9040A">
        <w:rPr>
          <w:rtl/>
          <w:lang w:bidi="fa-IR"/>
        </w:rPr>
        <w:t xml:space="preserve"> عِدَّةٌ مِنْ أَصْحَابِنَا ، عَنْ أَحْمَدَ بْنِ مُحَمَّدٍ ، عَنْ عَلِيِّ بْنِ الْحَكَم</w:t>
      </w:r>
      <w:r w:rsidR="007713C6">
        <w:rPr>
          <w:rtl/>
          <w:lang w:bidi="fa-IR"/>
        </w:rPr>
        <w:t>ِ ، عَنْ أَبِي الْمَغْرَاءِ</w:t>
      </w:r>
      <w:r w:rsidRPr="00C9040A">
        <w:rPr>
          <w:rtl/>
          <w:lang w:bidi="fa-IR"/>
        </w:rPr>
        <w:t>:</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الْمُسْلِمُ أَخُو الْمُسْلِمِ ، لَايَظْلِمُهُ ، وَلَا يَخْذُلُهُ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حاشية « بف » : « إلى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بس » : « مشفق عليك »</w:t>
      </w:r>
      <w:r w:rsidR="008A74EB">
        <w:rPr>
          <w:rtl/>
        </w:rPr>
        <w:t>.</w:t>
      </w:r>
      <w:r w:rsidR="008A74EB" w:rsidRPr="00C9040A">
        <w:rPr>
          <w:rtl/>
        </w:rPr>
        <w:t xml:space="preserve"> وفي حاشية « ف » : « شفيق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بس » : « أخاف »</w:t>
      </w:r>
      <w:r w:rsidR="008A74EB">
        <w:rPr>
          <w:rtl/>
        </w:rPr>
        <w:t>.</w:t>
      </w:r>
    </w:p>
    <w:p w:rsidR="008A74EB" w:rsidRPr="00C9040A" w:rsidRDefault="006C577F" w:rsidP="004A4E41">
      <w:pPr>
        <w:pStyle w:val="libFootnote0"/>
        <w:rPr>
          <w:rtl/>
          <w:lang w:bidi="fa-IR"/>
        </w:rPr>
      </w:pPr>
      <w:r>
        <w:rPr>
          <w:rtl/>
        </w:rPr>
        <w:t>(4).</w:t>
      </w:r>
      <w:r w:rsidR="00344733">
        <w:rPr>
          <w:rtl/>
        </w:rPr>
        <w:t xml:space="preserve"> في حاشية « ص ، ض » : « أل</w:t>
      </w:r>
      <w:r w:rsidR="00344733">
        <w:rPr>
          <w:rFonts w:hint="cs"/>
          <w:rtl/>
        </w:rPr>
        <w:t>ّ</w:t>
      </w:r>
      <w:r w:rsidR="00344733">
        <w:rPr>
          <w:rtl/>
        </w:rPr>
        <w:t>ا</w:t>
      </w:r>
      <w:r w:rsidR="008A74EB" w:rsidRPr="00C9040A">
        <w:rPr>
          <w:rtl/>
        </w:rPr>
        <w:t xml:space="preserve"> تحمل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ف » : « وهو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د ، ف ، بف » : « ولا تكسي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ز » </w:t>
      </w:r>
      <w:r w:rsidR="008A74EB">
        <w:rPr>
          <w:rtl/>
        </w:rPr>
        <w:t xml:space="preserve">: </w:t>
      </w:r>
      <w:r w:rsidR="0084262C">
        <w:rPr>
          <w:rtl/>
        </w:rPr>
        <w:t>-</w:t>
      </w:r>
      <w:r w:rsidR="008A74EB" w:rsidRPr="00C9040A">
        <w:rPr>
          <w:rtl/>
        </w:rPr>
        <w:t xml:space="preserve"> « </w:t>
      </w:r>
      <w:r w:rsidR="008A74EB">
        <w:rPr>
          <w:rtl/>
        </w:rPr>
        <w:t>و ».</w:t>
      </w:r>
    </w:p>
    <w:p w:rsidR="008A74EB" w:rsidRPr="00C9040A" w:rsidRDefault="006C577F" w:rsidP="004A4E41">
      <w:pPr>
        <w:pStyle w:val="libFootnote0"/>
        <w:rPr>
          <w:rtl/>
          <w:lang w:bidi="fa-IR"/>
        </w:rPr>
      </w:pPr>
      <w:r>
        <w:rPr>
          <w:rtl/>
        </w:rPr>
        <w:t>(8).</w:t>
      </w:r>
      <w:r w:rsidR="008A74EB" w:rsidRPr="00C9040A">
        <w:rPr>
          <w:rtl/>
        </w:rPr>
        <w:t xml:space="preserve"> في « ف » : « يقمصه »</w:t>
      </w:r>
      <w:r w:rsidR="008A74EB">
        <w:rPr>
          <w:rtl/>
        </w:rPr>
        <w:t>.</w:t>
      </w:r>
      <w:r w:rsidR="008A74EB" w:rsidRPr="00C9040A">
        <w:rPr>
          <w:rtl/>
        </w:rPr>
        <w:t xml:space="preserve"> وفي </w:t>
      </w:r>
      <w:r w:rsidR="008A74EB" w:rsidRPr="00993B55">
        <w:rPr>
          <w:rStyle w:val="libFootnoteBoldChar"/>
          <w:rtl/>
        </w:rPr>
        <w:t>المرآة</w:t>
      </w:r>
      <w:r w:rsidR="008A74EB" w:rsidRPr="00C9040A">
        <w:rPr>
          <w:rtl/>
        </w:rPr>
        <w:t xml:space="preserve"> : « أي تكون محرم أسراره ومختصّاً به غاية الاختصاص ؛ وهذه استعارةشائعة بين العرب والعجم. أو المعنى : تكون ساتر عيوبه. وقيل : تدفع الأذى عنه كما يدفع القميص عنه الحرّ والبرد. وهو بعيد »</w:t>
      </w:r>
      <w:r w:rsidR="008A74EB">
        <w:rPr>
          <w:rtl/>
        </w:rPr>
        <w:t>.</w:t>
      </w:r>
    </w:p>
    <w:tbl>
      <w:tblPr>
        <w:tblStyle w:val="TableGrid"/>
        <w:bidiVisual/>
        <w:tblW w:w="0" w:type="auto"/>
        <w:tblLook w:val="04A0" w:firstRow="1" w:lastRow="0" w:firstColumn="1" w:lastColumn="0" w:noHBand="0" w:noVBand="1"/>
      </w:tblPr>
      <w:tblGrid>
        <w:gridCol w:w="4006"/>
        <w:gridCol w:w="4006"/>
      </w:tblGrid>
      <w:tr w:rsidR="00344733" w:rsidTr="00344733">
        <w:tc>
          <w:tcPr>
            <w:tcW w:w="4006" w:type="dxa"/>
          </w:tcPr>
          <w:p w:rsidR="00344733" w:rsidRDefault="00344733" w:rsidP="004A4E41">
            <w:pPr>
              <w:pStyle w:val="libFootnote0"/>
              <w:rPr>
                <w:rtl/>
              </w:rPr>
            </w:pPr>
            <w:r>
              <w:rPr>
                <w:rtl/>
              </w:rPr>
              <w:t>(9).</w:t>
            </w:r>
            <w:r w:rsidRPr="00C9040A">
              <w:rPr>
                <w:rtl/>
              </w:rPr>
              <w:t xml:space="preserve"> في حاشية « بف » : « تبعثها »</w:t>
            </w:r>
            <w:r>
              <w:rPr>
                <w:rtl/>
              </w:rPr>
              <w:t>.</w:t>
            </w:r>
          </w:p>
        </w:tc>
        <w:tc>
          <w:tcPr>
            <w:tcW w:w="4006" w:type="dxa"/>
          </w:tcPr>
          <w:p w:rsidR="00344733" w:rsidRDefault="00344733" w:rsidP="004A4E41">
            <w:pPr>
              <w:pStyle w:val="libFootnote0"/>
              <w:rPr>
                <w:rtl/>
              </w:rPr>
            </w:pPr>
            <w:r>
              <w:rPr>
                <w:rtl/>
              </w:rPr>
              <w:t>(10).</w:t>
            </w:r>
            <w:r w:rsidRPr="00C9040A">
              <w:rPr>
                <w:rtl/>
              </w:rPr>
              <w:t xml:space="preserve"> في « بف » : + « له »</w:t>
            </w:r>
            <w:r>
              <w:rPr>
                <w:rtl/>
              </w:rPr>
              <w:t>.</w:t>
            </w:r>
          </w:p>
        </w:tc>
      </w:tr>
    </w:tbl>
    <w:p w:rsidR="008A74EB" w:rsidRPr="00C9040A" w:rsidRDefault="006C577F" w:rsidP="004A4E41">
      <w:pPr>
        <w:pStyle w:val="libFootnote0"/>
        <w:rPr>
          <w:rtl/>
          <w:lang w:bidi="fa-IR"/>
        </w:rPr>
      </w:pPr>
      <w:r>
        <w:rPr>
          <w:rtl/>
        </w:rPr>
        <w:t>(11).</w:t>
      </w:r>
      <w:r w:rsidR="008A74EB" w:rsidRPr="00C9040A">
        <w:rPr>
          <w:rtl/>
        </w:rPr>
        <w:t xml:space="preserve"> في « ف » : « جعلت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w:t>
      </w:r>
      <w:r w:rsidR="008A74EB" w:rsidRPr="00993B55">
        <w:rPr>
          <w:rStyle w:val="libFootnoteBoldChar"/>
          <w:rtl/>
        </w:rPr>
        <w:t>الوافي</w:t>
      </w:r>
      <w:r w:rsidR="008A74EB" w:rsidRPr="00C9040A">
        <w:rPr>
          <w:rtl/>
        </w:rPr>
        <w:t xml:space="preserve"> ، ج 5 ، ص 558 ، ح 2572 ؛ </w:t>
      </w:r>
      <w:r w:rsidR="008A74EB" w:rsidRPr="00993B55">
        <w:rPr>
          <w:rStyle w:val="libFootnoteBoldChar"/>
          <w:rtl/>
        </w:rPr>
        <w:t>الوسائل</w:t>
      </w:r>
      <w:r w:rsidR="008A74EB" w:rsidRPr="00C9040A">
        <w:rPr>
          <w:rtl/>
        </w:rPr>
        <w:t xml:space="preserve"> ، ج 12 ، ص 207 ، ح 16101 ؛ </w:t>
      </w:r>
      <w:r w:rsidR="008A74EB" w:rsidRPr="00993B55">
        <w:rPr>
          <w:rStyle w:val="libFootnoteBoldChar"/>
          <w:rtl/>
        </w:rPr>
        <w:t>البحار</w:t>
      </w:r>
      <w:r w:rsidR="008A74EB" w:rsidRPr="00C9040A">
        <w:rPr>
          <w:rtl/>
        </w:rPr>
        <w:t xml:space="preserve"> ، ج 74 ، ص 255 ، ح 52.</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وَلَا يَخُونُهُ ، وَ</w:t>
      </w:r>
      <w:r>
        <w:rPr>
          <w:rFonts w:hint="cs"/>
          <w:rtl/>
          <w:lang w:bidi="fa-IR"/>
        </w:rPr>
        <w:t xml:space="preserve"> </w:t>
      </w:r>
      <w:r w:rsidR="006C577F" w:rsidRPr="006C577F">
        <w:rPr>
          <w:rStyle w:val="libFootnotenumChar"/>
          <w:rtl/>
        </w:rPr>
        <w:t>(1)</w:t>
      </w:r>
      <w:r w:rsidRPr="00C9040A">
        <w:rPr>
          <w:rtl/>
          <w:lang w:bidi="fa-IR"/>
        </w:rPr>
        <w:t xml:space="preserve"> يَحِقُّ </w:t>
      </w:r>
      <w:r w:rsidR="006C577F" w:rsidRPr="006C577F">
        <w:rPr>
          <w:rStyle w:val="libFootnotenumChar"/>
          <w:rtl/>
        </w:rPr>
        <w:t>(2)</w:t>
      </w:r>
      <w:r w:rsidRPr="00C9040A">
        <w:rPr>
          <w:rtl/>
          <w:lang w:bidi="fa-IR"/>
        </w:rPr>
        <w:t xml:space="preserve"> عَلَى الْمُسْلِمِينَ الِاجْتِهَادُ فِي التَّوَاصُلِ </w:t>
      </w:r>
      <w:r w:rsidR="006C577F" w:rsidRPr="006C577F">
        <w:rPr>
          <w:rStyle w:val="libFootnotenumChar"/>
          <w:rtl/>
        </w:rPr>
        <w:t>(3)</w:t>
      </w:r>
      <w:r w:rsidRPr="00C9040A">
        <w:rPr>
          <w:rtl/>
          <w:lang w:bidi="fa-IR"/>
        </w:rPr>
        <w:t xml:space="preserve"> ، وَالتَّعَاوُنُ </w:t>
      </w:r>
      <w:r w:rsidR="006C577F" w:rsidRPr="006C577F">
        <w:rPr>
          <w:rStyle w:val="libFootnotenumChar"/>
          <w:rtl/>
        </w:rPr>
        <w:t>(4)</w:t>
      </w:r>
      <w:r w:rsidRPr="00C9040A">
        <w:rPr>
          <w:rtl/>
          <w:lang w:bidi="fa-IR"/>
        </w:rPr>
        <w:t xml:space="preserve"> عَلَى التَّعَاطُفِ ، وَالْمُؤَاسَاةُ لِأَهْلِ الْحَاجَةِ ، وَتَعَاطُفُ بَعْضِهِمْ عَلى بَعْضٍ حَتّى تَكُونُوا </w:t>
      </w:r>
      <w:r w:rsidR="006C577F" w:rsidRPr="006C577F">
        <w:rPr>
          <w:rStyle w:val="libFootnotenumChar"/>
          <w:rtl/>
        </w:rPr>
        <w:t>(5)</w:t>
      </w:r>
      <w:r>
        <w:rPr>
          <w:rtl/>
          <w:lang w:bidi="fa-IR"/>
        </w:rPr>
        <w:t xml:space="preserve"> </w:t>
      </w:r>
      <w:r w:rsidR="0084262C">
        <w:rPr>
          <w:rtl/>
          <w:lang w:bidi="fa-IR"/>
        </w:rPr>
        <w:t>-</w:t>
      </w:r>
      <w:r>
        <w:rPr>
          <w:rtl/>
          <w:lang w:bidi="fa-IR"/>
        </w:rPr>
        <w:t xml:space="preserve"> </w:t>
      </w:r>
      <w:r w:rsidRPr="00C9040A">
        <w:rPr>
          <w:rtl/>
          <w:lang w:bidi="fa-IR"/>
        </w:rPr>
        <w:t xml:space="preserve">كَمَا أَمَرَكُمُ اللهُ عَزَّ وَجَلَّ : </w:t>
      </w:r>
      <w:r w:rsidRPr="0003660B">
        <w:rPr>
          <w:rStyle w:val="libAlaemChar"/>
          <w:rtl/>
        </w:rPr>
        <w:t>(</w:t>
      </w:r>
      <w:r w:rsidRPr="006A2246">
        <w:rPr>
          <w:rStyle w:val="libAieChar"/>
          <w:rtl/>
        </w:rPr>
        <w:t xml:space="preserve"> رُحَماءُ بَيْنَهُمْ </w:t>
      </w:r>
      <w:r w:rsidRPr="0003660B">
        <w:rPr>
          <w:rStyle w:val="libAlaemChar"/>
          <w:rtl/>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0084262C">
        <w:rPr>
          <w:rtl/>
          <w:lang w:bidi="fa-IR"/>
        </w:rPr>
        <w:t>-</w:t>
      </w:r>
      <w:r>
        <w:rPr>
          <w:rtl/>
          <w:lang w:bidi="fa-IR"/>
        </w:rPr>
        <w:t xml:space="preserve"> </w:t>
      </w:r>
      <w:r w:rsidRPr="00C9040A">
        <w:rPr>
          <w:rtl/>
          <w:lang w:bidi="fa-IR"/>
        </w:rPr>
        <w:t xml:space="preserve">مُتَرَاحِمِينَ ، مُغْتَمِّينَ لِمَا </w:t>
      </w:r>
      <w:r w:rsidR="006C577F" w:rsidRPr="006C577F">
        <w:rPr>
          <w:rStyle w:val="libFootnotenumChar"/>
          <w:rtl/>
        </w:rPr>
        <w:t>(7)</w:t>
      </w:r>
      <w:r w:rsidRPr="00C9040A">
        <w:rPr>
          <w:rtl/>
          <w:lang w:bidi="fa-IR"/>
        </w:rPr>
        <w:t xml:space="preserve"> غَابَ عَنْكُمْ مِنْ </w:t>
      </w:r>
      <w:r w:rsidR="006C577F" w:rsidRPr="006C577F">
        <w:rPr>
          <w:rStyle w:val="libFootnotenumChar"/>
          <w:rtl/>
        </w:rPr>
        <w:t>(8)</w:t>
      </w:r>
      <w:r w:rsidRPr="00C9040A">
        <w:rPr>
          <w:rtl/>
          <w:lang w:bidi="fa-IR"/>
        </w:rPr>
        <w:t xml:space="preserve"> أَمْرِهِمْ ، عَلى مَا مَضى عَلَيْهِ </w:t>
      </w:r>
      <w:r w:rsidR="006C577F" w:rsidRPr="006C577F">
        <w:rPr>
          <w:rStyle w:val="libFootnotenumChar"/>
          <w:rtl/>
        </w:rPr>
        <w:t>(9)</w:t>
      </w:r>
      <w:r w:rsidRPr="00C9040A">
        <w:rPr>
          <w:rtl/>
          <w:lang w:bidi="fa-IR"/>
        </w:rPr>
        <w:t xml:space="preserve"> مَعْشَرُ الْأَنْصَارِ عَلى عَهْدِ رَسُولِ اللهِ </w:t>
      </w:r>
      <w:r w:rsidR="004A4E41" w:rsidRPr="004A4E41">
        <w:rPr>
          <w:rStyle w:val="libAlaemChar"/>
          <w:rtl/>
        </w:rPr>
        <w:t>صلى‌الله‌عليه‌وآله</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Normal"/>
        <w:rPr>
          <w:rtl/>
          <w:lang w:bidi="fa-IR"/>
        </w:rPr>
      </w:pPr>
      <w:r w:rsidRPr="00697CB3">
        <w:rPr>
          <w:rtl/>
        </w:rPr>
        <w:t>2071</w:t>
      </w:r>
      <w:r w:rsidRPr="00261CB0">
        <w:rPr>
          <w:rStyle w:val="libBold2Char"/>
          <w:rtl/>
        </w:rPr>
        <w:t xml:space="preserve"> / 16.</w:t>
      </w:r>
      <w:r w:rsidRPr="00C9040A">
        <w:rPr>
          <w:rtl/>
          <w:lang w:bidi="fa-IR"/>
        </w:rPr>
        <w:t xml:space="preserve"> عَلِيُّ بْنُ إِبْرَاهِيمَ ، عَنْ أَبِيهِ ، عَنِ النَّوْفَلِيِّ ، عَنِ السَّكُونِيِّ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النَّبِيُّ </w:t>
      </w:r>
      <w:r w:rsidR="006C577F" w:rsidRPr="006C577F">
        <w:rPr>
          <w:rStyle w:val="libFootnotenumChar"/>
          <w:rtl/>
        </w:rPr>
        <w:t>(11)</w:t>
      </w:r>
      <w:r w:rsidRPr="00C9040A">
        <w:rPr>
          <w:rtl/>
          <w:lang w:bidi="fa-IR"/>
        </w:rPr>
        <w:t xml:space="preserve"> </w:t>
      </w:r>
      <w:r w:rsidR="004A4E41" w:rsidRPr="004A4E41">
        <w:rPr>
          <w:rStyle w:val="libAlaemChar"/>
          <w:rtl/>
        </w:rPr>
        <w:t>صلى‌الله‌عليه‌وآله</w:t>
      </w:r>
      <w:r w:rsidRPr="00C9040A">
        <w:rPr>
          <w:rtl/>
          <w:lang w:bidi="fa-IR"/>
        </w:rPr>
        <w:t xml:space="preserve"> : حَقٌّ عَلَى الْمُسْلِمِ إِذَا أَرَادَ سَفَراً أَنْ يُعْلِمَ إِخْوَانَهُ ، وَحَقٌّ عَلى إِخْوَانِهِ </w:t>
      </w:r>
      <w:r w:rsidR="006C577F" w:rsidRPr="006C577F">
        <w:rPr>
          <w:rStyle w:val="libFootnotenumChar"/>
          <w:rtl/>
        </w:rPr>
        <w:t>(12)</w:t>
      </w:r>
      <w:r w:rsidRPr="00C9040A">
        <w:rPr>
          <w:rtl/>
          <w:lang w:bidi="fa-IR"/>
        </w:rPr>
        <w:t xml:space="preserve"> إِذَا قَدِمَ أَنْ يَأْتُوهُ »</w:t>
      </w:r>
      <w:r>
        <w:rPr>
          <w:rtl/>
          <w:lang w:bidi="fa-IR"/>
        </w:rPr>
        <w:t>.</w:t>
      </w:r>
      <w:r w:rsidRPr="00C9040A">
        <w:rPr>
          <w:rtl/>
          <w:lang w:bidi="fa-IR"/>
        </w:rPr>
        <w:t xml:space="preserve"> </w:t>
      </w:r>
      <w:r w:rsidRPr="005B567D">
        <w:rPr>
          <w:rStyle w:val="libFootnotenumChar"/>
          <w:rtl/>
        </w:rPr>
        <w:t>(13)</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الكافي ، ح 2075 </w:t>
      </w:r>
      <w:r w:rsidR="008A74EB">
        <w:rPr>
          <w:rtl/>
        </w:rPr>
        <w:t xml:space="preserve">: </w:t>
      </w:r>
      <w:r w:rsidR="0084262C">
        <w:rPr>
          <w:rtl/>
        </w:rPr>
        <w:t>-</w:t>
      </w:r>
      <w:r w:rsidR="008A74EB" w:rsidRPr="00C9040A">
        <w:rPr>
          <w:rtl/>
        </w:rPr>
        <w:t xml:space="preserve"> « المسلم</w:t>
      </w:r>
      <w:r w:rsidR="008A74EB">
        <w:rPr>
          <w:rtl/>
        </w:rPr>
        <w:t xml:space="preserve"> </w:t>
      </w:r>
      <w:r w:rsidR="0084262C">
        <w:rPr>
          <w:rtl/>
        </w:rPr>
        <w:t>-</w:t>
      </w:r>
      <w:r w:rsidR="008A74EB">
        <w:rPr>
          <w:rtl/>
        </w:rPr>
        <w:t xml:space="preserve"> </w:t>
      </w:r>
      <w:r w:rsidR="008A74EB" w:rsidRPr="00C9040A">
        <w:rPr>
          <w:rtl/>
        </w:rPr>
        <w:t>إلى</w:t>
      </w:r>
      <w:r w:rsidR="008A74EB">
        <w:rPr>
          <w:rtl/>
        </w:rPr>
        <w:t xml:space="preserve"> </w:t>
      </w:r>
      <w:r w:rsidR="0084262C">
        <w:rPr>
          <w:rtl/>
        </w:rPr>
        <w:t>-</w:t>
      </w:r>
      <w:r w:rsidR="008A74EB">
        <w:rPr>
          <w:rtl/>
        </w:rPr>
        <w:t xml:space="preserve"> </w:t>
      </w:r>
      <w:r w:rsidR="008A74EB" w:rsidRPr="00C9040A">
        <w:rPr>
          <w:rtl/>
        </w:rPr>
        <w:t xml:space="preserve">ولا يخونه </w:t>
      </w:r>
      <w:r w:rsidR="008A74EB">
        <w:rPr>
          <w:rtl/>
        </w:rPr>
        <w:t>و ».</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بر » : « حقّ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ب » : + « والتعاقد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د ، ز ، ص ، ض ، ف ، بس ، بف » وشرح المازندراني والوسائل : « والتعاقد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ج » : « حتّى يكونوا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هكذا في القرآن : الفتح (48) : 29 </w:t>
      </w:r>
      <w:r w:rsidR="008A74EB">
        <w:rPr>
          <w:rtl/>
        </w:rPr>
        <w:t>و «</w:t>
      </w:r>
      <w:r w:rsidR="008A74EB" w:rsidRPr="00C9040A">
        <w:rPr>
          <w:rtl/>
        </w:rPr>
        <w:t xml:space="preserve"> ز » والكافي ، ح 2075. وفي سائر</w:t>
      </w:r>
      <w:r w:rsidR="00965D72">
        <w:rPr>
          <w:rtl/>
        </w:rPr>
        <w:t xml:space="preserve"> النسخ والمطبوع : « رحماء بينكم</w:t>
      </w:r>
      <w:r w:rsidR="008A74EB" w:rsidRPr="00C9040A">
        <w:rPr>
          <w:rtl/>
        </w:rPr>
        <w:t>»</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ب » : « ل</w:t>
      </w:r>
      <w:r w:rsidR="00965D72">
        <w:rPr>
          <w:rFonts w:hint="cs"/>
          <w:rtl/>
        </w:rPr>
        <w:t>ـ</w:t>
      </w:r>
      <w:r w:rsidR="008A74EB" w:rsidRPr="00C9040A">
        <w:rPr>
          <w:rtl/>
        </w:rPr>
        <w:t>مّا » بالتشديد.</w:t>
      </w:r>
    </w:p>
    <w:p w:rsidR="008A74EB" w:rsidRPr="00C9040A" w:rsidRDefault="006C577F" w:rsidP="004A4E41">
      <w:pPr>
        <w:pStyle w:val="libFootnote0"/>
        <w:rPr>
          <w:rtl/>
          <w:lang w:bidi="fa-IR"/>
        </w:rPr>
      </w:pPr>
      <w:r>
        <w:rPr>
          <w:rtl/>
        </w:rPr>
        <w:t>(8).</w:t>
      </w:r>
      <w:r w:rsidR="008A74EB" w:rsidRPr="00C9040A">
        <w:rPr>
          <w:rtl/>
        </w:rPr>
        <w:t xml:space="preserve"> في « ف » : « عن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ف » </w:t>
      </w:r>
      <w:r w:rsidR="008A74EB">
        <w:rPr>
          <w:rtl/>
        </w:rPr>
        <w:t xml:space="preserve">: </w:t>
      </w:r>
      <w:r w:rsidR="0084262C">
        <w:rPr>
          <w:rtl/>
        </w:rPr>
        <w:t>-</w:t>
      </w:r>
      <w:r w:rsidR="008A74EB" w:rsidRPr="00C9040A">
        <w:rPr>
          <w:rtl/>
        </w:rPr>
        <w:t xml:space="preserve"> « عليه »</w:t>
      </w:r>
      <w:r w:rsidR="008A74EB">
        <w:rPr>
          <w:rtl/>
        </w:rPr>
        <w:t>.</w:t>
      </w:r>
    </w:p>
    <w:p w:rsidR="008A74EB" w:rsidRPr="00C9040A" w:rsidRDefault="006C577F" w:rsidP="00B94DA9">
      <w:pPr>
        <w:pStyle w:val="libFootnote0"/>
        <w:rPr>
          <w:rtl/>
          <w:lang w:bidi="fa-IR"/>
        </w:rPr>
      </w:pPr>
      <w:r>
        <w:rPr>
          <w:rtl/>
        </w:rPr>
        <w:t>(10).</w:t>
      </w:r>
      <w:r w:rsidR="008A74EB" w:rsidRPr="00C9040A">
        <w:rPr>
          <w:rtl/>
        </w:rPr>
        <w:t xml:space="preserve"> </w:t>
      </w:r>
      <w:r w:rsidR="008A74EB" w:rsidRPr="00993B55">
        <w:rPr>
          <w:rStyle w:val="libFootnoteBoldChar"/>
          <w:rtl/>
        </w:rPr>
        <w:t>الكافي</w:t>
      </w:r>
      <w:r w:rsidR="008A74EB" w:rsidRPr="00C9040A">
        <w:rPr>
          <w:rtl/>
        </w:rPr>
        <w:t xml:space="preserve"> ، كتاب الإيمان والكفر ، باب التراحم والتعاطف ، ح 2075 ، عن محمّد بن يحيى ، عن أحمد بن محمّد بن عيسى ، عن عليّ بن الحكم. </w:t>
      </w:r>
      <w:r w:rsidR="008A74EB" w:rsidRPr="00993B55">
        <w:rPr>
          <w:rStyle w:val="libFootnoteBoldChar"/>
          <w:rtl/>
        </w:rPr>
        <w:t>وفيه</w:t>
      </w:r>
      <w:r w:rsidR="008A74EB" w:rsidRPr="00C9040A">
        <w:rPr>
          <w:rtl/>
        </w:rPr>
        <w:t xml:space="preserve"> ، كتاب الزكاة ، باب النوادر ، ح 6194 ، عن عدّة من أصحابنا ، عن أحمد بن محمّد ، عن عثمان بن عيسى ، عن سماعة ، عن أبي عبد الله </w:t>
      </w:r>
      <w:r w:rsidR="00117575" w:rsidRPr="00117575">
        <w:rPr>
          <w:rStyle w:val="libFootnoteAlaemChar"/>
          <w:rtl/>
        </w:rPr>
        <w:t xml:space="preserve">عليه‌السلام </w:t>
      </w:r>
      <w:r w:rsidR="008A74EB" w:rsidRPr="00C9040A">
        <w:rPr>
          <w:rtl/>
        </w:rPr>
        <w:t xml:space="preserve">، إلى قوله : « </w:t>
      </w:r>
      <w:r w:rsidR="008A74EB" w:rsidRPr="00F52B43">
        <w:rPr>
          <w:rStyle w:val="libFootnoteAlaemChar"/>
          <w:rtl/>
        </w:rPr>
        <w:t>(</w:t>
      </w:r>
      <w:r w:rsidR="008A74EB" w:rsidRPr="00883DD5">
        <w:rPr>
          <w:rStyle w:val="libFootnoteAieChar"/>
          <w:rFonts w:hint="cs"/>
          <w:rtl/>
        </w:rPr>
        <w:t xml:space="preserve"> </w:t>
      </w:r>
      <w:r w:rsidR="008A74EB" w:rsidRPr="00883DD5">
        <w:rPr>
          <w:rStyle w:val="libFootnoteAieChar"/>
          <w:rtl/>
        </w:rPr>
        <w:t>رُحَم</w:t>
      </w:r>
      <w:r w:rsidR="00F52B43">
        <w:rPr>
          <w:rStyle w:val="libFootnoteAieChar"/>
          <w:rFonts w:hint="cs"/>
          <w:rtl/>
        </w:rPr>
        <w:t>َ</w:t>
      </w:r>
      <w:r w:rsidR="008A74EB" w:rsidRPr="00883DD5">
        <w:rPr>
          <w:rStyle w:val="libFootnoteAieChar"/>
          <w:rtl/>
        </w:rPr>
        <w:t>اءُ بَيْنَهُمْ</w:t>
      </w:r>
      <w:r w:rsidR="008A74EB" w:rsidRPr="00883DD5">
        <w:rPr>
          <w:rStyle w:val="libFootnoteAieChar"/>
          <w:rFonts w:hint="cs"/>
          <w:rtl/>
        </w:rPr>
        <w:t xml:space="preserve"> </w:t>
      </w:r>
      <w:r w:rsidR="008A74EB" w:rsidRPr="00F52B43">
        <w:rPr>
          <w:rStyle w:val="libFootnoteAlaemChar"/>
          <w:rtl/>
        </w:rPr>
        <w:t>)</w:t>
      </w:r>
      <w:r w:rsidR="008A74EB" w:rsidRPr="00C9040A">
        <w:rPr>
          <w:rtl/>
        </w:rPr>
        <w:t xml:space="preserve"> متراحمين »</w:t>
      </w:r>
      <w:r w:rsidR="008A74EB">
        <w:rPr>
          <w:rtl/>
        </w:rPr>
        <w:t>.</w:t>
      </w:r>
      <w:r w:rsidR="008A74EB" w:rsidRPr="00C9040A">
        <w:rPr>
          <w:rtl/>
        </w:rPr>
        <w:t xml:space="preserve"> </w:t>
      </w:r>
      <w:r w:rsidR="008A74EB" w:rsidRPr="00993B55">
        <w:rPr>
          <w:rStyle w:val="libFootnoteBoldChar"/>
          <w:rtl/>
        </w:rPr>
        <w:t>المؤمن</w:t>
      </w:r>
      <w:r w:rsidR="008A74EB" w:rsidRPr="00C9040A">
        <w:rPr>
          <w:rtl/>
        </w:rPr>
        <w:t xml:space="preserve"> ، ص 43 ، ح 101 ، عن سماعة ، عن أبي عبدالله </w:t>
      </w:r>
      <w:r w:rsidR="00117575" w:rsidRPr="00117575">
        <w:rPr>
          <w:rStyle w:val="libFootnoteAlaemChar"/>
          <w:rtl/>
        </w:rPr>
        <w:t xml:space="preserve">عليه‌السلام </w:t>
      </w:r>
      <w:r w:rsidR="008A74EB" w:rsidRPr="00C9040A">
        <w:rPr>
          <w:rtl/>
        </w:rPr>
        <w:t xml:space="preserve">، وفيهما مع اختلاف يسير وزيادة في أوّله. وراجع : </w:t>
      </w:r>
      <w:r w:rsidR="008A74EB" w:rsidRPr="00993B55">
        <w:rPr>
          <w:rStyle w:val="libFootnoteBoldChar"/>
          <w:rtl/>
        </w:rPr>
        <w:t>الكافي</w:t>
      </w:r>
      <w:r w:rsidR="008A74EB" w:rsidRPr="00C9040A">
        <w:rPr>
          <w:rtl/>
        </w:rPr>
        <w:t xml:space="preserve"> ، كتاب الإيمان والكفر ، باب ا</w:t>
      </w:r>
      <w:r w:rsidR="00B94DA9">
        <w:rPr>
          <w:rFonts w:hint="cs"/>
          <w:rtl/>
        </w:rPr>
        <w:t>ُ</w:t>
      </w:r>
      <w:r w:rsidR="008A74EB" w:rsidRPr="00C9040A">
        <w:rPr>
          <w:rtl/>
        </w:rPr>
        <w:t>خوّة المؤمنين بعضهم لبعض ، ح 2046</w:t>
      </w:r>
      <w:r w:rsidR="00B94DA9">
        <w:rPr>
          <w:rFonts w:hint="cs"/>
          <w:rtl/>
        </w:rPr>
        <w:t>.</w:t>
      </w:r>
      <w:r w:rsidR="008A74EB" w:rsidRPr="00993B55">
        <w:rPr>
          <w:rStyle w:val="libFootnoteBoldChar"/>
          <w:rtl/>
        </w:rPr>
        <w:t>الوافي</w:t>
      </w:r>
      <w:r w:rsidR="008A74EB" w:rsidRPr="00C9040A">
        <w:rPr>
          <w:rtl/>
        </w:rPr>
        <w:t xml:space="preserve"> ، ج 5 ، ص 548 ، ح 2554 ؛ </w:t>
      </w:r>
      <w:r w:rsidR="008A74EB" w:rsidRPr="00993B55">
        <w:rPr>
          <w:rStyle w:val="libFootnoteBoldChar"/>
          <w:rtl/>
        </w:rPr>
        <w:t>الوسائل</w:t>
      </w:r>
      <w:r w:rsidR="008A74EB" w:rsidRPr="00C9040A">
        <w:rPr>
          <w:rtl/>
        </w:rPr>
        <w:t xml:space="preserve"> ، ج 12 ، ص 203 ، ح 16092 ؛ </w:t>
      </w:r>
      <w:r w:rsidR="008A74EB" w:rsidRPr="00993B55">
        <w:rPr>
          <w:rStyle w:val="libFootnoteBoldChar"/>
          <w:rtl/>
        </w:rPr>
        <w:t>البحار</w:t>
      </w:r>
      <w:r w:rsidR="008A74EB" w:rsidRPr="00C9040A">
        <w:rPr>
          <w:rtl/>
        </w:rPr>
        <w:t xml:space="preserve"> ، ج 74 ، ص 256 ، ح 53.</w:t>
      </w:r>
    </w:p>
    <w:p w:rsidR="008A74EB" w:rsidRPr="00C9040A" w:rsidRDefault="006C577F" w:rsidP="004A4E41">
      <w:pPr>
        <w:pStyle w:val="libFootnote0"/>
        <w:rPr>
          <w:rtl/>
          <w:lang w:bidi="fa-IR"/>
        </w:rPr>
      </w:pPr>
      <w:r>
        <w:rPr>
          <w:rtl/>
        </w:rPr>
        <w:t>(11).</w:t>
      </w:r>
      <w:r w:rsidR="008A74EB" w:rsidRPr="00C9040A">
        <w:rPr>
          <w:rtl/>
        </w:rPr>
        <w:t xml:space="preserve"> هكذا في النسخ التي قوبلت والوافي. وفي المطبوع : « رسول الله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في « ف » : + « أنّه »</w:t>
      </w:r>
      <w:r w:rsidR="008A74EB">
        <w:rPr>
          <w:rtl/>
        </w:rPr>
        <w:t>.</w:t>
      </w:r>
    </w:p>
    <w:p w:rsidR="008A74EB" w:rsidRPr="00C9040A" w:rsidRDefault="008A74EB" w:rsidP="00B94DA9">
      <w:pPr>
        <w:pStyle w:val="libFootnote0"/>
        <w:rPr>
          <w:rtl/>
          <w:lang w:bidi="fa-IR"/>
        </w:rPr>
      </w:pPr>
      <w:r>
        <w:rPr>
          <w:rtl/>
        </w:rPr>
        <w:t>(13)</w:t>
      </w:r>
      <w:r w:rsidRPr="00C9040A">
        <w:rPr>
          <w:rtl/>
        </w:rPr>
        <w:t xml:space="preserve"> </w:t>
      </w:r>
      <w:r w:rsidRPr="00993B55">
        <w:rPr>
          <w:rStyle w:val="libFootnoteBoldChar"/>
          <w:rtl/>
        </w:rPr>
        <w:t>الكافي</w:t>
      </w:r>
      <w:r w:rsidRPr="00C9040A">
        <w:rPr>
          <w:rtl/>
        </w:rPr>
        <w:t xml:space="preserve"> ، كتاب الروضة ، ح 14950</w:t>
      </w:r>
      <w:r w:rsidR="00B94DA9">
        <w:rPr>
          <w:rFonts w:hint="cs"/>
          <w:rtl/>
        </w:rPr>
        <w:t>.</w:t>
      </w:r>
      <w:r w:rsidRPr="00993B55">
        <w:rPr>
          <w:rStyle w:val="libFootnoteBoldChar"/>
          <w:rtl/>
        </w:rPr>
        <w:t>الوافي</w:t>
      </w:r>
      <w:r w:rsidRPr="00C9040A">
        <w:rPr>
          <w:rtl/>
        </w:rPr>
        <w:t xml:space="preserve"> ، ج 5 ، ص 565 ، ح 2584 ؛ </w:t>
      </w:r>
      <w:r w:rsidRPr="00993B55">
        <w:rPr>
          <w:rStyle w:val="libFootnoteBoldChar"/>
          <w:rtl/>
        </w:rPr>
        <w:t>الوسائل</w:t>
      </w:r>
      <w:r w:rsidRPr="00C9040A">
        <w:rPr>
          <w:rtl/>
        </w:rPr>
        <w:t xml:space="preserve"> ، ج 11 ، ص 448 ، ح 15227 ؛ </w:t>
      </w:r>
      <w:r w:rsidRPr="00993B55">
        <w:rPr>
          <w:rStyle w:val="libFootnoteBoldChar"/>
          <w:rtl/>
        </w:rPr>
        <w:t>البحار</w:t>
      </w:r>
      <w:r w:rsidRPr="00C9040A">
        <w:rPr>
          <w:rtl/>
        </w:rPr>
        <w:t xml:space="preserve"> ، ج 74 ، ص 257 ، ح 54.</w:t>
      </w:r>
    </w:p>
    <w:p w:rsidR="004B7F34" w:rsidRDefault="004B7F34" w:rsidP="004B7F34">
      <w:pPr>
        <w:pStyle w:val="libNormal"/>
        <w:rPr>
          <w:rtl/>
          <w:lang w:bidi="fa-IR"/>
        </w:rPr>
      </w:pPr>
      <w:r>
        <w:rPr>
          <w:rtl/>
          <w:lang w:bidi="fa-IR"/>
        </w:rPr>
        <w:br w:type="page"/>
      </w:r>
    </w:p>
    <w:p w:rsidR="008A74EB" w:rsidRPr="00C9040A" w:rsidRDefault="008A74EB" w:rsidP="008A74EB">
      <w:pPr>
        <w:pStyle w:val="Heading2Center"/>
        <w:rPr>
          <w:rtl/>
          <w:lang w:bidi="fa-IR"/>
        </w:rPr>
      </w:pPr>
      <w:bookmarkStart w:id="238" w:name="_Toc343795667"/>
      <w:bookmarkStart w:id="239" w:name="_Toc459810791"/>
      <w:bookmarkStart w:id="240" w:name="_Toc35348697"/>
      <w:r w:rsidRPr="00C9040A">
        <w:rPr>
          <w:rtl/>
          <w:lang w:bidi="fa-IR"/>
        </w:rPr>
        <w:t>76</w:t>
      </w:r>
      <w:r>
        <w:rPr>
          <w:rtl/>
          <w:lang w:bidi="fa-IR"/>
        </w:rPr>
        <w:t xml:space="preserve"> </w:t>
      </w:r>
      <w:r w:rsidR="0084262C">
        <w:rPr>
          <w:rtl/>
          <w:lang w:bidi="fa-IR"/>
        </w:rPr>
        <w:t>-</w:t>
      </w:r>
      <w:r>
        <w:rPr>
          <w:rtl/>
          <w:lang w:bidi="fa-IR"/>
        </w:rPr>
        <w:t xml:space="preserve"> </w:t>
      </w:r>
      <w:r w:rsidRPr="00C9040A">
        <w:rPr>
          <w:rtl/>
          <w:lang w:bidi="fa-IR"/>
        </w:rPr>
        <w:t xml:space="preserve">بَابُ التَّرَاحُمِ </w:t>
      </w:r>
      <w:r w:rsidR="006C577F" w:rsidRPr="006C577F">
        <w:rPr>
          <w:rStyle w:val="libFootnotenumChar"/>
          <w:rtl/>
        </w:rPr>
        <w:t>(1)</w:t>
      </w:r>
      <w:r>
        <w:rPr>
          <w:rtl/>
        </w:rPr>
        <w:t xml:space="preserve"> </w:t>
      </w:r>
      <w:r w:rsidRPr="00C9040A">
        <w:rPr>
          <w:rtl/>
          <w:lang w:bidi="fa-IR"/>
        </w:rPr>
        <w:t>وَالتَّعَاطُفِ‌</w:t>
      </w:r>
      <w:bookmarkEnd w:id="238"/>
      <w:bookmarkEnd w:id="239"/>
      <w:bookmarkEnd w:id="240"/>
    </w:p>
    <w:p w:rsidR="008A74EB" w:rsidRPr="00C9040A" w:rsidRDefault="008A74EB" w:rsidP="008A74EB">
      <w:pPr>
        <w:pStyle w:val="libNormal"/>
        <w:rPr>
          <w:rtl/>
          <w:lang w:bidi="fa-IR"/>
        </w:rPr>
      </w:pPr>
      <w:r w:rsidRPr="00697CB3">
        <w:rPr>
          <w:rtl/>
        </w:rPr>
        <w:t>2072</w:t>
      </w:r>
      <w:r w:rsidRPr="00261CB0">
        <w:rPr>
          <w:rStyle w:val="libBold2Char"/>
          <w:rtl/>
        </w:rPr>
        <w:t xml:space="preserve"> / 1.</w:t>
      </w:r>
      <w:r w:rsidRPr="00C9040A">
        <w:rPr>
          <w:rtl/>
          <w:lang w:bidi="fa-IR"/>
        </w:rPr>
        <w:t xml:space="preserve"> عِدَّةٌ مِنْ أَصْحَابِنَا ، عَنْ أَحْمَدَ بْنِ مُحَمَّدِ بْنِ خَالِدٍ ، عَنِ الْحَسَنِ بْنِ مَحْبُوبٍ ، عَنْ شُعَيْبٍ الْعَقَرْقُوفِيِّ ، قَالَ :</w:t>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لِأَصْحَابِهِ </w:t>
      </w:r>
      <w:r w:rsidR="006C577F" w:rsidRPr="006C577F">
        <w:rPr>
          <w:rStyle w:val="libFootnotenumChar"/>
          <w:rtl/>
        </w:rPr>
        <w:t>(2)</w:t>
      </w:r>
      <w:r w:rsidRPr="00C9040A">
        <w:rPr>
          <w:rtl/>
          <w:lang w:bidi="fa-IR"/>
        </w:rPr>
        <w:t xml:space="preserve"> : « اتَّقُوا اللهَ ، وَكُونُوا إِخْوَةً بَرَرَةً ، مُتَحَابِّينَ فِي اللهِ</w:t>
      </w:r>
      <w:r w:rsidR="005C57B5">
        <w:rPr>
          <w:rFonts w:hint="cs"/>
          <w:rtl/>
          <w:lang w:bidi="fa-IR"/>
        </w:rPr>
        <w:t xml:space="preserve"> </w:t>
      </w:r>
      <w:r w:rsidR="006C577F" w:rsidRPr="006C577F">
        <w:rPr>
          <w:rStyle w:val="libFootnotenumChar"/>
          <w:rtl/>
        </w:rPr>
        <w:t>(3)</w:t>
      </w:r>
      <w:r w:rsidRPr="00C9040A">
        <w:rPr>
          <w:rtl/>
          <w:lang w:bidi="fa-IR"/>
        </w:rPr>
        <w:t xml:space="preserve"> ، مُتَوَاصِلِينَ ، مُتَرَاحِمِينَ ، تَزَاوَرُوا ، وَتَلَاقَوْا ، وَتَذَاكَرُوا أَمْرَنَا ، وَأَحْيُوهُ </w:t>
      </w:r>
      <w:r w:rsidR="006C577F" w:rsidRPr="006C577F">
        <w:rPr>
          <w:rStyle w:val="libFootnotenumChar"/>
          <w:rtl/>
        </w:rPr>
        <w:t>(4)</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697CB3">
        <w:rPr>
          <w:rtl/>
        </w:rPr>
        <w:t>2073</w:t>
      </w:r>
      <w:r w:rsidRPr="00261CB0">
        <w:rPr>
          <w:rStyle w:val="libBold2Char"/>
          <w:rtl/>
        </w:rPr>
        <w:t xml:space="preserve"> / 2.</w:t>
      </w:r>
      <w:r w:rsidRPr="00C9040A">
        <w:rPr>
          <w:rtl/>
          <w:lang w:bidi="fa-IR"/>
        </w:rPr>
        <w:t xml:space="preserve"> مُحَمَّدُ بْنُ يَحْيى ، عَنْ أَحْمَدَ بْنِ مُحَمَّدِ بْنِ عِيسى ، عَنْ مُحَمَّدِ بْنِ سِنَانٍ ، عَنْ كُلَيْبٍ الصَّيْدَاوِيِّ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تَوَاصَلُوا ، وَتَبَارُّوا ، وَتَرَاحَمُوا ، وَكُونُوا إِخْوَةً بَرَرَةً كَمَا أَمَرَكُمُ اللهُ عَزَّ وَجَلَّ »</w:t>
      </w:r>
      <w:r>
        <w:rPr>
          <w:rtl/>
          <w:lang w:bidi="fa-IR"/>
        </w:rPr>
        <w:t>.</w:t>
      </w:r>
      <w:r w:rsidRPr="00C9040A">
        <w:rPr>
          <w:rtl/>
          <w:lang w:bidi="fa-IR"/>
        </w:rPr>
        <w:t xml:space="preserve"> </w:t>
      </w:r>
      <w:r w:rsidR="006C577F" w:rsidRPr="006C577F">
        <w:rPr>
          <w:rStyle w:val="libFootnotenumChar"/>
          <w:rtl/>
        </w:rPr>
        <w:t>(6)</w:t>
      </w:r>
    </w:p>
    <w:p w:rsidR="008A74EB" w:rsidRPr="00C9040A" w:rsidRDefault="008A74EB" w:rsidP="008A74EB">
      <w:pPr>
        <w:pStyle w:val="libNormal"/>
        <w:rPr>
          <w:rtl/>
          <w:lang w:bidi="fa-IR"/>
        </w:rPr>
      </w:pPr>
      <w:r w:rsidRPr="00697CB3">
        <w:rPr>
          <w:rtl/>
        </w:rPr>
        <w:t>2074</w:t>
      </w:r>
      <w:r w:rsidRPr="00261CB0">
        <w:rPr>
          <w:rStyle w:val="libBold2Char"/>
          <w:rtl/>
        </w:rPr>
        <w:t xml:space="preserve"> / 3.</w:t>
      </w:r>
      <w:r w:rsidRPr="00C9040A">
        <w:rPr>
          <w:rtl/>
          <w:lang w:bidi="fa-IR"/>
        </w:rPr>
        <w:t xml:space="preserve"> عَنْهُ </w:t>
      </w:r>
      <w:r w:rsidR="006C577F" w:rsidRPr="006C577F">
        <w:rPr>
          <w:rStyle w:val="libFootnotenumChar"/>
          <w:rtl/>
        </w:rPr>
        <w:t>(7)</w:t>
      </w:r>
      <w:r w:rsidRPr="00C9040A">
        <w:rPr>
          <w:rtl/>
          <w:lang w:bidi="fa-IR"/>
        </w:rPr>
        <w:t xml:space="preserve"> ، عَنْ مُحَمَّدِ بْنِ سِنَانٍ ، عَنْ عَبْدِ اللهِ بْنِ يَحْيَى الْكَاهِلِيِّ ، قَالَ :</w:t>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 « تَوَاصَلُوا ، وَتَبَارُّوا ، وَتَرَاحَمُوا ، وَتَعَاطَفُوا </w:t>
      </w:r>
      <w:r w:rsidR="006C577F" w:rsidRPr="006C577F">
        <w:rPr>
          <w:rStyle w:val="libFootnotenumChar"/>
          <w:rtl/>
        </w:rPr>
        <w:t>(8)</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(9)</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بر » : « الترحّم »</w:t>
      </w:r>
      <w:r w:rsidR="008A74EB">
        <w:rPr>
          <w:rtl/>
        </w:rPr>
        <w:t>.</w:t>
      </w:r>
    </w:p>
    <w:tbl>
      <w:tblPr>
        <w:tblStyle w:val="TableGrid"/>
        <w:bidiVisual/>
        <w:tblW w:w="0" w:type="auto"/>
        <w:tblLook w:val="04A0" w:firstRow="1" w:lastRow="0" w:firstColumn="1" w:lastColumn="0" w:noHBand="0" w:noVBand="1"/>
      </w:tblPr>
      <w:tblGrid>
        <w:gridCol w:w="4006"/>
        <w:gridCol w:w="4006"/>
      </w:tblGrid>
      <w:tr w:rsidR="00AA56FE" w:rsidTr="00AA56FE">
        <w:tc>
          <w:tcPr>
            <w:tcW w:w="4006" w:type="dxa"/>
          </w:tcPr>
          <w:p w:rsidR="00AA56FE" w:rsidRDefault="00AA56FE" w:rsidP="004A4E41">
            <w:pPr>
              <w:pStyle w:val="libFootnote0"/>
              <w:rPr>
                <w:rtl/>
              </w:rPr>
            </w:pPr>
            <w:r>
              <w:rPr>
                <w:rtl/>
              </w:rPr>
              <w:t xml:space="preserve">(2). </w:t>
            </w:r>
            <w:r w:rsidRPr="00C9040A">
              <w:rPr>
                <w:rtl/>
              </w:rPr>
              <w:t>في الأمالي والمصادقة : + « وأنا حاضر »</w:t>
            </w:r>
            <w:r>
              <w:rPr>
                <w:rtl/>
              </w:rPr>
              <w:t>.</w:t>
            </w:r>
          </w:p>
        </w:tc>
        <w:tc>
          <w:tcPr>
            <w:tcW w:w="4006" w:type="dxa"/>
          </w:tcPr>
          <w:p w:rsidR="00AA56FE" w:rsidRDefault="00AA56FE" w:rsidP="004A4E41">
            <w:pPr>
              <w:pStyle w:val="libFootnote0"/>
              <w:rPr>
                <w:rtl/>
              </w:rPr>
            </w:pPr>
            <w:r>
              <w:rPr>
                <w:rtl/>
              </w:rPr>
              <w:t>(3).</w:t>
            </w:r>
            <w:r w:rsidRPr="00C9040A">
              <w:rPr>
                <w:rtl/>
              </w:rPr>
              <w:t xml:space="preserve"> في « ف » : + « وكونوا »</w:t>
            </w:r>
            <w:r>
              <w:rPr>
                <w:rtl/>
              </w:rPr>
              <w:t>.</w:t>
            </w:r>
          </w:p>
        </w:tc>
      </w:tr>
    </w:tbl>
    <w:p w:rsidR="008A74EB" w:rsidRPr="00C9040A" w:rsidRDefault="006C577F" w:rsidP="004A4E41">
      <w:pPr>
        <w:pStyle w:val="libFootnote0"/>
        <w:rPr>
          <w:rtl/>
          <w:lang w:bidi="fa-IR"/>
        </w:rPr>
      </w:pPr>
      <w:r>
        <w:rPr>
          <w:rtl/>
        </w:rPr>
        <w:t>(4).</w:t>
      </w:r>
      <w:r w:rsidR="008A74EB" w:rsidRPr="00C9040A">
        <w:rPr>
          <w:rtl/>
        </w:rPr>
        <w:t xml:space="preserve"> في الأمالي : « وأحيوا أمرنا »</w:t>
      </w:r>
      <w:r w:rsidR="008A74EB">
        <w:rPr>
          <w:rtl/>
        </w:rPr>
        <w:t>.</w:t>
      </w:r>
    </w:p>
    <w:p w:rsidR="008A74EB" w:rsidRPr="00C9040A" w:rsidRDefault="006C577F" w:rsidP="00AA56FE">
      <w:pPr>
        <w:pStyle w:val="libFootnote0"/>
        <w:rPr>
          <w:rtl/>
          <w:lang w:bidi="fa-IR"/>
        </w:rPr>
      </w:pPr>
      <w:r>
        <w:rPr>
          <w:rtl/>
        </w:rPr>
        <w:t>(5).</w:t>
      </w:r>
      <w:r w:rsidR="008A74EB" w:rsidRPr="00C9040A">
        <w:rPr>
          <w:rtl/>
        </w:rPr>
        <w:t xml:space="preserve"> </w:t>
      </w:r>
      <w:r w:rsidR="008A74EB" w:rsidRPr="00993B55">
        <w:rPr>
          <w:rStyle w:val="libFootnoteBoldChar"/>
          <w:rtl/>
        </w:rPr>
        <w:t>الأمالي</w:t>
      </w:r>
      <w:r w:rsidR="008A74EB" w:rsidRPr="00C9040A">
        <w:rPr>
          <w:rtl/>
        </w:rPr>
        <w:t xml:space="preserve"> للطوسي ، ص 58 ، المجلس 2 ، ح 56 ، بسنده عن أحمد بن محمّد بن عيسى ، عن الحسن بن محبوب. </w:t>
      </w:r>
      <w:r w:rsidR="008A74EB" w:rsidRPr="00993B55">
        <w:rPr>
          <w:rStyle w:val="libFootnoteBoldChar"/>
          <w:rtl/>
        </w:rPr>
        <w:t>مصادقة الإخوان</w:t>
      </w:r>
      <w:r w:rsidR="008A74EB" w:rsidRPr="00C9040A">
        <w:rPr>
          <w:rtl/>
        </w:rPr>
        <w:t xml:space="preserve"> ، ص 34 ، ح 8 ، مرسلاً عن شعيب العقرقوفي</w:t>
      </w:r>
      <w:r w:rsidR="00AA56FE">
        <w:rPr>
          <w:rFonts w:hint="cs"/>
          <w:rtl/>
        </w:rPr>
        <w:t>.</w:t>
      </w:r>
      <w:r w:rsidR="008A74EB" w:rsidRPr="00993B55">
        <w:rPr>
          <w:rStyle w:val="libFootnoteBoldChar"/>
          <w:rtl/>
        </w:rPr>
        <w:t>الوافي</w:t>
      </w:r>
      <w:r w:rsidR="008A74EB" w:rsidRPr="00C9040A">
        <w:rPr>
          <w:rtl/>
        </w:rPr>
        <w:t xml:space="preserve"> ، ج 5 ، ص 547 ، ح 2550 ؛ </w:t>
      </w:r>
      <w:r w:rsidR="008A74EB" w:rsidRPr="00993B55">
        <w:rPr>
          <w:rStyle w:val="libFootnoteBoldChar"/>
          <w:rtl/>
        </w:rPr>
        <w:t>الوسائل</w:t>
      </w:r>
      <w:r w:rsidR="008A74EB" w:rsidRPr="00C9040A">
        <w:rPr>
          <w:rtl/>
        </w:rPr>
        <w:t xml:space="preserve"> ، ج 12 ، ص 215 ، ح 16118 ؛ </w:t>
      </w:r>
      <w:r w:rsidR="008A74EB" w:rsidRPr="00993B55">
        <w:rPr>
          <w:rStyle w:val="libFootnoteBoldChar"/>
          <w:rtl/>
        </w:rPr>
        <w:t>البحار</w:t>
      </w:r>
      <w:r w:rsidR="008A74EB" w:rsidRPr="00C9040A">
        <w:rPr>
          <w:rtl/>
        </w:rPr>
        <w:t xml:space="preserve"> ، ج 74 ، ص 401 ، ح 45.</w:t>
      </w:r>
    </w:p>
    <w:p w:rsidR="008A74EB" w:rsidRPr="00C9040A" w:rsidRDefault="006C577F" w:rsidP="00AA56FE">
      <w:pPr>
        <w:pStyle w:val="libFootnote0"/>
        <w:rPr>
          <w:rtl/>
          <w:lang w:bidi="fa-IR"/>
        </w:rPr>
      </w:pPr>
      <w:r>
        <w:rPr>
          <w:rtl/>
        </w:rPr>
        <w:t>(6).</w:t>
      </w:r>
      <w:r w:rsidR="008A74EB">
        <w:rPr>
          <w:rtl/>
        </w:rPr>
        <w:t xml:space="preserve"> </w:t>
      </w:r>
      <w:r w:rsidR="008A74EB" w:rsidRPr="00993B55">
        <w:rPr>
          <w:rStyle w:val="libFootnoteBoldChar"/>
          <w:rtl/>
        </w:rPr>
        <w:t>الزهد</w:t>
      </w:r>
      <w:r w:rsidR="008A74EB" w:rsidRPr="00C9040A">
        <w:rPr>
          <w:rtl/>
        </w:rPr>
        <w:t xml:space="preserve"> ، ص 83 ، ح 49 ، عن محمّد بن سنان ، عن كليب الأسدي</w:t>
      </w:r>
      <w:r w:rsidR="00AA56FE">
        <w:rPr>
          <w:rFonts w:hint="cs"/>
          <w:rtl/>
        </w:rPr>
        <w:t>.</w:t>
      </w:r>
      <w:r w:rsidR="008A74EB" w:rsidRPr="00993B55">
        <w:rPr>
          <w:rStyle w:val="libFootnoteBoldChar"/>
          <w:rtl/>
        </w:rPr>
        <w:t>الوافي</w:t>
      </w:r>
      <w:r w:rsidR="008A74EB" w:rsidRPr="00C9040A">
        <w:rPr>
          <w:rtl/>
        </w:rPr>
        <w:t xml:space="preserve"> ، ج 5 ، ص 547 ، ح 2551 ؛ </w:t>
      </w:r>
      <w:r w:rsidR="008A74EB" w:rsidRPr="00993B55">
        <w:rPr>
          <w:rStyle w:val="libFootnoteBoldChar"/>
          <w:rtl/>
        </w:rPr>
        <w:t>الوسائل</w:t>
      </w:r>
      <w:r w:rsidR="008A74EB" w:rsidRPr="00C9040A">
        <w:rPr>
          <w:rtl/>
        </w:rPr>
        <w:t xml:space="preserve"> ، ج 12 ، ص 216 ، ح 16120 ؛ </w:t>
      </w:r>
      <w:r w:rsidR="008A74EB" w:rsidRPr="00993B55">
        <w:rPr>
          <w:rStyle w:val="libFootnoteBoldChar"/>
          <w:rtl/>
        </w:rPr>
        <w:t>البحار</w:t>
      </w:r>
      <w:r w:rsidR="008A74EB" w:rsidRPr="00C9040A">
        <w:rPr>
          <w:rtl/>
        </w:rPr>
        <w:t xml:space="preserve"> ، ج 74 ، ص 401 ، ح 46.</w:t>
      </w:r>
    </w:p>
    <w:p w:rsidR="008A74EB" w:rsidRPr="00C9040A" w:rsidRDefault="006C577F" w:rsidP="004A4E41">
      <w:pPr>
        <w:pStyle w:val="libFootnote0"/>
        <w:rPr>
          <w:rtl/>
          <w:lang w:bidi="fa-IR"/>
        </w:rPr>
      </w:pPr>
      <w:r>
        <w:rPr>
          <w:rtl/>
        </w:rPr>
        <w:t>(7).</w:t>
      </w:r>
      <w:r w:rsidR="008A74EB" w:rsidRPr="00C9040A">
        <w:rPr>
          <w:rtl/>
        </w:rPr>
        <w:t xml:space="preserve"> الضمير راجع إلى أحمد بن محمّد بن عيسى المذكور في السند السابق.</w:t>
      </w:r>
    </w:p>
    <w:p w:rsidR="008A74EB" w:rsidRPr="00C9040A" w:rsidRDefault="006C577F" w:rsidP="004A4E41">
      <w:pPr>
        <w:pStyle w:val="libFootnote0"/>
        <w:rPr>
          <w:rtl/>
          <w:lang w:bidi="fa-IR"/>
        </w:rPr>
      </w:pPr>
      <w:r>
        <w:rPr>
          <w:rtl/>
        </w:rPr>
        <w:t>(8).</w:t>
      </w:r>
      <w:r w:rsidR="008A74EB" w:rsidRPr="00C9040A">
        <w:rPr>
          <w:rtl/>
        </w:rPr>
        <w:t xml:space="preserve"> في الغيبة </w:t>
      </w:r>
      <w:r w:rsidR="008A74EB">
        <w:rPr>
          <w:rtl/>
        </w:rPr>
        <w:t xml:space="preserve">: </w:t>
      </w:r>
      <w:r w:rsidR="0084262C">
        <w:rPr>
          <w:rtl/>
        </w:rPr>
        <w:t>-</w:t>
      </w:r>
      <w:r w:rsidR="008A74EB" w:rsidRPr="00C9040A">
        <w:rPr>
          <w:rtl/>
        </w:rPr>
        <w:t xml:space="preserve"> « وتعاطفوا »</w:t>
      </w:r>
      <w:r w:rsidR="008A74EB">
        <w:rPr>
          <w:rtl/>
        </w:rPr>
        <w:t>.</w:t>
      </w:r>
    </w:p>
    <w:p w:rsidR="008A74EB" w:rsidRPr="00C9040A" w:rsidRDefault="006C577F" w:rsidP="00AA56FE">
      <w:pPr>
        <w:pStyle w:val="libFootnote0"/>
        <w:rPr>
          <w:rtl/>
          <w:lang w:bidi="fa-IR"/>
        </w:rPr>
      </w:pPr>
      <w:r>
        <w:rPr>
          <w:rtl/>
        </w:rPr>
        <w:t>(9).</w:t>
      </w:r>
      <w:r w:rsidR="008A74EB" w:rsidRPr="00C9040A">
        <w:rPr>
          <w:rtl/>
        </w:rPr>
        <w:t xml:space="preserve"> </w:t>
      </w:r>
      <w:r w:rsidR="008A74EB" w:rsidRPr="00993B55">
        <w:rPr>
          <w:rStyle w:val="libFootnoteBoldChar"/>
          <w:rtl/>
        </w:rPr>
        <w:t>الغيبة</w:t>
      </w:r>
      <w:r w:rsidR="008A74EB" w:rsidRPr="00C9040A">
        <w:rPr>
          <w:rtl/>
        </w:rPr>
        <w:t xml:space="preserve"> للنعماني ، ص 150 ، صدر ح 8 ، بسنده عن محمّد بن سنان</w:t>
      </w:r>
      <w:r w:rsidR="00AA56FE">
        <w:rPr>
          <w:rFonts w:hint="cs"/>
          <w:rtl/>
        </w:rPr>
        <w:t>.</w:t>
      </w:r>
      <w:r w:rsidR="008A74EB" w:rsidRPr="00993B55">
        <w:rPr>
          <w:rStyle w:val="libFootnoteBoldChar"/>
          <w:rtl/>
        </w:rPr>
        <w:t>الوافي</w:t>
      </w:r>
      <w:r w:rsidR="008A74EB" w:rsidRPr="00C9040A">
        <w:rPr>
          <w:rtl/>
        </w:rPr>
        <w:t xml:space="preserve"> ، ج 5 ، ص 547 ، ح 2552 ؛ </w:t>
      </w:r>
      <w:r w:rsidR="008A74EB" w:rsidRPr="00993B55">
        <w:rPr>
          <w:rStyle w:val="libFootnoteBoldChar"/>
          <w:rtl/>
        </w:rPr>
        <w:t>الوسائل</w:t>
      </w:r>
      <w:r w:rsidR="008A74EB" w:rsidRPr="00C9040A">
        <w:rPr>
          <w:rtl/>
        </w:rPr>
        <w:t xml:space="preserve"> ، ج 12 ، ص 216 ، ح 16121 ؛ </w:t>
      </w:r>
      <w:r w:rsidR="008A74EB" w:rsidRPr="00993B55">
        <w:rPr>
          <w:rStyle w:val="libFootnoteBoldChar"/>
          <w:rtl/>
        </w:rPr>
        <w:t>البحار</w:t>
      </w:r>
      <w:r w:rsidR="008A74EB" w:rsidRPr="00C9040A">
        <w:rPr>
          <w:rtl/>
        </w:rPr>
        <w:t xml:space="preserve"> ، ج 74 ، ص 401 ، ح 47.</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697CB3">
        <w:rPr>
          <w:rtl/>
        </w:rPr>
        <w:t>2075</w:t>
      </w:r>
      <w:r w:rsidRPr="00261CB0">
        <w:rPr>
          <w:rStyle w:val="libBold2Char"/>
          <w:rtl/>
        </w:rPr>
        <w:t xml:space="preserve"> / 4.</w:t>
      </w:r>
      <w:r w:rsidRPr="00C9040A">
        <w:rPr>
          <w:rtl/>
          <w:lang w:bidi="fa-IR"/>
        </w:rPr>
        <w:t xml:space="preserve"> عَنْهُ </w:t>
      </w:r>
      <w:r w:rsidR="006C577F" w:rsidRPr="006C577F">
        <w:rPr>
          <w:rStyle w:val="libFootnotenumChar"/>
          <w:rtl/>
        </w:rPr>
        <w:t>(1)</w:t>
      </w:r>
      <w:r w:rsidRPr="00C9040A">
        <w:rPr>
          <w:rtl/>
          <w:lang w:bidi="fa-IR"/>
        </w:rPr>
        <w:t xml:space="preserve"> ، عَنْ عَلِيِّ بْنِ الْحَكَمِ ، عَنْ أَبِي الْمَغْرَاءِ :</w:t>
      </w:r>
    </w:p>
    <w:p w:rsidR="008A74EB" w:rsidRPr="00C9040A" w:rsidRDefault="008A74EB" w:rsidP="00AA56FE">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يَحِقُّ </w:t>
      </w:r>
      <w:r w:rsidR="006C577F" w:rsidRPr="006C577F">
        <w:rPr>
          <w:rStyle w:val="libFootnotenumChar"/>
          <w:rtl/>
        </w:rPr>
        <w:t>(2)</w:t>
      </w:r>
      <w:r w:rsidRPr="00C9040A">
        <w:rPr>
          <w:rtl/>
          <w:lang w:bidi="fa-IR"/>
        </w:rPr>
        <w:t xml:space="preserve"> عَلَى الْمُسْلِمِينَ الِاجْتِهَادُ فِي </w:t>
      </w:r>
      <w:r w:rsidR="006C577F" w:rsidRPr="006C577F">
        <w:rPr>
          <w:rStyle w:val="libFootnotenumChar"/>
          <w:rtl/>
        </w:rPr>
        <w:t>(3)</w:t>
      </w:r>
      <w:r w:rsidRPr="00C9040A">
        <w:rPr>
          <w:rtl/>
          <w:lang w:bidi="fa-IR"/>
        </w:rPr>
        <w:t xml:space="preserve"> التَّوَاصُلِ ، وَالتَّعَاوُنُ عَلَى التَّعَاطُفِ ، وَالْمُؤَاسَاةُ </w:t>
      </w:r>
      <w:r w:rsidR="006C577F" w:rsidRPr="006C577F">
        <w:rPr>
          <w:rStyle w:val="libFootnotenumChar"/>
          <w:rtl/>
        </w:rPr>
        <w:t>(4)</w:t>
      </w:r>
      <w:r w:rsidRPr="00C9040A">
        <w:rPr>
          <w:rtl/>
          <w:lang w:bidi="fa-IR"/>
        </w:rPr>
        <w:t xml:space="preserve"> لِأَهْلِ الْحَاجَةِ ، وَتَعَاطُفُ بَعْضِهِمْ عَلى بَعْضٍ حَتّى تَكُونُوا </w:t>
      </w:r>
      <w:r w:rsidR="006C577F" w:rsidRPr="006C577F">
        <w:rPr>
          <w:rStyle w:val="libFootnotenumChar"/>
          <w:rtl/>
        </w:rPr>
        <w:t>(5)</w:t>
      </w:r>
      <w:r>
        <w:rPr>
          <w:rtl/>
          <w:lang w:bidi="fa-IR"/>
        </w:rPr>
        <w:t xml:space="preserve"> </w:t>
      </w:r>
      <w:r w:rsidR="0084262C">
        <w:rPr>
          <w:rtl/>
          <w:lang w:bidi="fa-IR"/>
        </w:rPr>
        <w:t>-</w:t>
      </w:r>
      <w:r>
        <w:rPr>
          <w:rtl/>
          <w:lang w:bidi="fa-IR"/>
        </w:rPr>
        <w:t xml:space="preserve"> </w:t>
      </w:r>
      <w:r w:rsidRPr="00C9040A">
        <w:rPr>
          <w:rtl/>
          <w:lang w:bidi="fa-IR"/>
        </w:rPr>
        <w:t xml:space="preserve">كَمَا أَمَرَكُمُ اللهُ عَزَّ وَجَلَّ : </w:t>
      </w:r>
      <w:r w:rsidRPr="0003660B">
        <w:rPr>
          <w:rStyle w:val="libAlaemChar"/>
          <w:rtl/>
        </w:rPr>
        <w:t>(</w:t>
      </w:r>
      <w:r w:rsidRPr="006A2246">
        <w:rPr>
          <w:rStyle w:val="libAieChar"/>
          <w:rtl/>
        </w:rPr>
        <w:t xml:space="preserve"> رُحَماءُ بَيْنَهُمْ </w:t>
      </w:r>
      <w:r w:rsidRPr="0003660B">
        <w:rPr>
          <w:rStyle w:val="libAlaemChar"/>
          <w:rtl/>
        </w:rPr>
        <w:t>)</w:t>
      </w:r>
      <w:r w:rsidRPr="00C9040A">
        <w:rPr>
          <w:rtl/>
          <w:lang w:bidi="fa-IR"/>
        </w:rPr>
        <w:t xml:space="preserve"> </w:t>
      </w:r>
      <w:r w:rsidR="006C577F" w:rsidRPr="006C577F">
        <w:rPr>
          <w:rStyle w:val="libFootnotenumChar"/>
          <w:rtl/>
        </w:rPr>
        <w:t>(6)</w:t>
      </w:r>
      <w:r w:rsidR="00AA56FE">
        <w:rPr>
          <w:rtl/>
          <w:lang w:bidi="fa-IR"/>
        </w:rPr>
        <w:t xml:space="preserve"> </w:t>
      </w:r>
      <w:r w:rsidR="0084262C">
        <w:rPr>
          <w:rtl/>
          <w:lang w:bidi="fa-IR"/>
        </w:rPr>
        <w:t>-</w:t>
      </w:r>
      <w:r>
        <w:rPr>
          <w:rtl/>
          <w:lang w:bidi="fa-IR"/>
        </w:rPr>
        <w:t xml:space="preserve"> </w:t>
      </w:r>
      <w:r w:rsidRPr="00C9040A">
        <w:rPr>
          <w:rtl/>
          <w:lang w:bidi="fa-IR"/>
        </w:rPr>
        <w:t xml:space="preserve">مُتَرَاحِمِينَ ، مُغْتَمِّينَ لِمَا غَابَ عَنْكُمْ </w:t>
      </w:r>
      <w:r w:rsidR="006C577F" w:rsidRPr="006C577F">
        <w:rPr>
          <w:rStyle w:val="libFootnotenumChar"/>
          <w:rtl/>
        </w:rPr>
        <w:t>(7)</w:t>
      </w:r>
      <w:r w:rsidRPr="00C9040A">
        <w:rPr>
          <w:rtl/>
          <w:lang w:bidi="fa-IR"/>
        </w:rPr>
        <w:t xml:space="preserve"> مِنْ أَمْرِهِمْ ، عَلى مَا مَضى عَلَيْهِ مَعْشَرُ </w:t>
      </w:r>
      <w:r w:rsidR="006C577F" w:rsidRPr="006C577F">
        <w:rPr>
          <w:rStyle w:val="libFootnotenumChar"/>
          <w:rtl/>
        </w:rPr>
        <w:t>(8)</w:t>
      </w:r>
      <w:r w:rsidRPr="00C9040A">
        <w:rPr>
          <w:rtl/>
          <w:lang w:bidi="fa-IR"/>
        </w:rPr>
        <w:t xml:space="preserve"> الْأَنْصَارِ عَلى عَهْدِ رَسُولِ اللهِ </w:t>
      </w:r>
      <w:r w:rsidRPr="0003660B">
        <w:rPr>
          <w:rStyle w:val="libAlaemChar"/>
          <w:rtl/>
        </w:rPr>
        <w:t>عليه‌السلام</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(9)</w:t>
      </w:r>
      <w:r w:rsidRPr="00C9040A">
        <w:rPr>
          <w:rtl/>
          <w:lang w:bidi="fa-IR"/>
        </w:rPr>
        <w:t xml:space="preserve"> ‌</w:t>
      </w:r>
    </w:p>
    <w:p w:rsidR="008A74EB" w:rsidRPr="00C9040A" w:rsidRDefault="008A74EB" w:rsidP="008A74EB">
      <w:pPr>
        <w:pStyle w:val="Heading2Center"/>
        <w:rPr>
          <w:rtl/>
          <w:lang w:bidi="fa-IR"/>
        </w:rPr>
      </w:pPr>
      <w:bookmarkStart w:id="241" w:name="_Toc343795668"/>
      <w:bookmarkStart w:id="242" w:name="_Toc459810792"/>
      <w:bookmarkStart w:id="243" w:name="_Toc35348698"/>
      <w:r w:rsidRPr="00C9040A">
        <w:rPr>
          <w:rtl/>
          <w:lang w:bidi="fa-IR"/>
        </w:rPr>
        <w:t>77</w:t>
      </w:r>
      <w:r>
        <w:rPr>
          <w:rtl/>
          <w:lang w:bidi="fa-IR"/>
        </w:rPr>
        <w:t xml:space="preserve"> </w:t>
      </w:r>
      <w:r w:rsidR="0084262C">
        <w:rPr>
          <w:rtl/>
          <w:lang w:bidi="fa-IR"/>
        </w:rPr>
        <w:t>-</w:t>
      </w:r>
      <w:r>
        <w:rPr>
          <w:rtl/>
          <w:lang w:bidi="fa-IR"/>
        </w:rPr>
        <w:t xml:space="preserve"> </w:t>
      </w:r>
      <w:r w:rsidRPr="00C9040A">
        <w:rPr>
          <w:rtl/>
          <w:lang w:bidi="fa-IR"/>
        </w:rPr>
        <w:t>بَابُ زِيَارَةِ الْإِخْوَانِ‌</w:t>
      </w:r>
      <w:bookmarkEnd w:id="241"/>
      <w:bookmarkEnd w:id="242"/>
      <w:bookmarkEnd w:id="243"/>
    </w:p>
    <w:p w:rsidR="008A74EB" w:rsidRPr="00C9040A" w:rsidRDefault="008A74EB" w:rsidP="008A74EB">
      <w:pPr>
        <w:pStyle w:val="libNormal"/>
        <w:rPr>
          <w:rtl/>
          <w:lang w:bidi="fa-IR"/>
        </w:rPr>
      </w:pPr>
      <w:r w:rsidRPr="00697CB3">
        <w:rPr>
          <w:rtl/>
        </w:rPr>
        <w:t>2076</w:t>
      </w:r>
      <w:r w:rsidRPr="00261CB0">
        <w:rPr>
          <w:rStyle w:val="libBold2Char"/>
          <w:rtl/>
        </w:rPr>
        <w:t xml:space="preserve"> / 1.</w:t>
      </w:r>
      <w:r w:rsidRPr="00C9040A">
        <w:rPr>
          <w:rtl/>
          <w:lang w:bidi="fa-IR"/>
        </w:rPr>
        <w:t xml:space="preserve"> مُحَمَّدُ بْنُ يَحْيى ، عَنْ أَحْمَدَ بْنِ مُحَمَّدِ بْنِ عِيسى ، عَنْ ابْنِ فَضَّالٍ </w:t>
      </w:r>
      <w:r w:rsidR="006C577F" w:rsidRPr="006C577F">
        <w:rPr>
          <w:rStyle w:val="libFootnotenumChar"/>
          <w:rtl/>
        </w:rPr>
        <w:t>(10)</w:t>
      </w:r>
      <w:r w:rsidRPr="00C9040A">
        <w:rPr>
          <w:rtl/>
          <w:lang w:bidi="fa-IR"/>
        </w:rPr>
        <w:t xml:space="preserve"> ، عَنْ عَلِيِّ بْنِ عُقْبَةَ ، عَنْ أَبِي حَمْزَةَ :</w:t>
      </w:r>
    </w:p>
    <w:p w:rsidR="008A74EB" w:rsidRPr="00C9040A" w:rsidRDefault="008A74EB" w:rsidP="008A74EB">
      <w:pPr>
        <w:pStyle w:val="libNormal"/>
        <w:rPr>
          <w:rtl/>
          <w:lang w:bidi="fa-IR"/>
        </w:rPr>
      </w:pPr>
      <w:r w:rsidRPr="00C9040A">
        <w:rPr>
          <w:rtl/>
          <w:lang w:bidi="fa-IR"/>
        </w:rPr>
        <w:t xml:space="preserve">عَنْ أَبِي عَبْدِ اللهِ </w:t>
      </w:r>
      <w:r w:rsidR="006C577F" w:rsidRPr="006C577F">
        <w:rPr>
          <w:rStyle w:val="libFootnotenumChar"/>
          <w:rtl/>
        </w:rPr>
        <w:t>(11)</w:t>
      </w:r>
      <w:r w:rsidRPr="00C9040A">
        <w:rPr>
          <w:rtl/>
          <w:lang w:bidi="fa-IR"/>
        </w:rPr>
        <w:t xml:space="preserve"> </w:t>
      </w:r>
      <w:r w:rsidRPr="0003660B">
        <w:rPr>
          <w:rStyle w:val="libAlaemChar"/>
          <w:rtl/>
        </w:rPr>
        <w:t>عليه‌السلام</w:t>
      </w:r>
      <w:r w:rsidRPr="00C9040A">
        <w:rPr>
          <w:rtl/>
          <w:lang w:bidi="fa-IR"/>
        </w:rPr>
        <w:t xml:space="preserve"> ، قَالَ : « مَنْ زَارَ أَخَاهُ لِلّهِ لَالِغَيْرِهِ الْتِمَاسَ مَوْعِدِ اللهِ وَتَنَجُّزَ مَا عِنْدَ اللهِ ، وَكَّلَ اللهُ </w:t>
      </w:r>
      <w:r w:rsidR="006C577F" w:rsidRPr="006C577F">
        <w:rPr>
          <w:rStyle w:val="libFootnotenumChar"/>
          <w:rtl/>
        </w:rPr>
        <w:t>(12)</w:t>
      </w:r>
      <w:r w:rsidRPr="00C9040A">
        <w:rPr>
          <w:rtl/>
          <w:lang w:bidi="fa-IR"/>
        </w:rPr>
        <w:t xml:space="preserve"> بِهِ سَبْعِينَ أَلْفَ مَلَكٍ يُنَادُونَهُ : أَلَا طِبْتَ وَطَابَتْ لَكَ الْجَنَّةُ »</w:t>
      </w:r>
      <w:r>
        <w:rPr>
          <w:rtl/>
          <w:lang w:bidi="fa-IR"/>
        </w:rPr>
        <w:t>.</w:t>
      </w:r>
      <w:r w:rsidRPr="00C9040A">
        <w:rPr>
          <w:rtl/>
          <w:lang w:bidi="fa-IR"/>
        </w:rPr>
        <w:t xml:space="preserve"> </w:t>
      </w:r>
      <w:r w:rsidRPr="005B567D">
        <w:rPr>
          <w:rStyle w:val="libFootnotenumChar"/>
          <w:rtl/>
        </w:rPr>
        <w:t>(13)</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ف » : « وعنه »</w:t>
      </w:r>
      <w:r w:rsidR="008A74EB">
        <w:rPr>
          <w:rtl/>
        </w:rPr>
        <w:t>.</w:t>
      </w:r>
      <w:r w:rsidR="008A74EB" w:rsidRPr="00C9040A">
        <w:rPr>
          <w:rtl/>
        </w:rPr>
        <w:t xml:space="preserve"> والضمير راجع إلى أحمد بن محمّد بن عيسى.</w:t>
      </w:r>
    </w:p>
    <w:tbl>
      <w:tblPr>
        <w:tblStyle w:val="TableGrid"/>
        <w:bidiVisual/>
        <w:tblW w:w="0" w:type="auto"/>
        <w:tblLook w:val="04A0" w:firstRow="1" w:lastRow="0" w:firstColumn="1" w:lastColumn="0" w:noHBand="0" w:noVBand="1"/>
      </w:tblPr>
      <w:tblGrid>
        <w:gridCol w:w="4006"/>
        <w:gridCol w:w="4006"/>
      </w:tblGrid>
      <w:tr w:rsidR="00AA56FE" w:rsidTr="00AA56FE">
        <w:tc>
          <w:tcPr>
            <w:tcW w:w="4006" w:type="dxa"/>
          </w:tcPr>
          <w:p w:rsidR="00AA56FE" w:rsidRDefault="00AA56FE" w:rsidP="004A4E41">
            <w:pPr>
              <w:pStyle w:val="libFootnote0"/>
              <w:rPr>
                <w:rtl/>
              </w:rPr>
            </w:pPr>
            <w:r>
              <w:rPr>
                <w:rtl/>
              </w:rPr>
              <w:t xml:space="preserve">(2). </w:t>
            </w:r>
            <w:r w:rsidRPr="00C9040A">
              <w:rPr>
                <w:rtl/>
              </w:rPr>
              <w:t>في حاشية « ز » : « لحقّ »</w:t>
            </w:r>
            <w:r>
              <w:rPr>
                <w:rtl/>
              </w:rPr>
              <w:t>.</w:t>
            </w:r>
          </w:p>
        </w:tc>
        <w:tc>
          <w:tcPr>
            <w:tcW w:w="4006" w:type="dxa"/>
          </w:tcPr>
          <w:p w:rsidR="00AA56FE" w:rsidRDefault="00AA56FE" w:rsidP="004A4E41">
            <w:pPr>
              <w:pStyle w:val="libFootnote0"/>
              <w:rPr>
                <w:rtl/>
              </w:rPr>
            </w:pPr>
            <w:r>
              <w:rPr>
                <w:rtl/>
              </w:rPr>
              <w:t>(3).</w:t>
            </w:r>
            <w:r w:rsidRPr="00C9040A">
              <w:rPr>
                <w:rtl/>
              </w:rPr>
              <w:t xml:space="preserve"> في « ف » : « </w:t>
            </w:r>
            <w:r>
              <w:rPr>
                <w:rtl/>
              </w:rPr>
              <w:t>و »</w:t>
            </w:r>
            <w:r w:rsidRPr="00C9040A">
              <w:rPr>
                <w:rtl/>
              </w:rPr>
              <w:t xml:space="preserve"> بدل « في »</w:t>
            </w:r>
            <w:r>
              <w:rPr>
                <w:rtl/>
              </w:rPr>
              <w:t>.</w:t>
            </w:r>
          </w:p>
        </w:tc>
      </w:tr>
    </w:tbl>
    <w:p w:rsidR="008A74EB" w:rsidRPr="00C9040A" w:rsidRDefault="006C577F" w:rsidP="00AA56FE">
      <w:pPr>
        <w:pStyle w:val="libFootnote0"/>
        <w:rPr>
          <w:rtl/>
          <w:lang w:bidi="fa-IR"/>
        </w:rPr>
      </w:pPr>
      <w:r>
        <w:rPr>
          <w:rtl/>
        </w:rPr>
        <w:t>(4).</w:t>
      </w:r>
      <w:r w:rsidR="008A74EB" w:rsidRPr="00C9040A">
        <w:rPr>
          <w:rtl/>
        </w:rPr>
        <w:t xml:space="preserve"> « المواساة » : المشاركة والمساهمة في المعاش والرزق. وأصلها الهمزة ، فقلبت واواً تخفيفاً. </w:t>
      </w:r>
      <w:r w:rsidR="008A74EB" w:rsidRPr="00993B55">
        <w:rPr>
          <w:rStyle w:val="libFootnoteBoldChar"/>
          <w:rtl/>
        </w:rPr>
        <w:t>النهاية</w:t>
      </w:r>
      <w:r w:rsidR="008A74EB" w:rsidRPr="00C9040A">
        <w:rPr>
          <w:rtl/>
        </w:rPr>
        <w:t xml:space="preserve"> ، ج 1 ، ص 50 ( أسا )</w:t>
      </w:r>
      <w:r w:rsidR="008A74EB">
        <w:rPr>
          <w:rtl/>
        </w:rPr>
        <w:t>.</w:t>
      </w:r>
      <w:r w:rsidR="00AA56FE">
        <w:rPr>
          <w:rFonts w:hint="cs"/>
          <w:rtl/>
        </w:rPr>
        <w:t xml:space="preserve">                   </w:t>
      </w:r>
      <w:r w:rsidR="005C57B5">
        <w:rPr>
          <w:rFonts w:hint="cs"/>
          <w:rtl/>
        </w:rPr>
        <w:t xml:space="preserve">                               </w:t>
      </w:r>
      <w:r w:rsidR="00AA56FE">
        <w:rPr>
          <w:rFonts w:hint="cs"/>
          <w:rtl/>
        </w:rPr>
        <w:t xml:space="preserve">     </w:t>
      </w:r>
      <w:r>
        <w:rPr>
          <w:rtl/>
        </w:rPr>
        <w:t>(5).</w:t>
      </w:r>
      <w:r w:rsidR="008A74EB" w:rsidRPr="00C9040A">
        <w:rPr>
          <w:rtl/>
        </w:rPr>
        <w:t xml:space="preserve"> في « ف » : « يكونوا »</w:t>
      </w:r>
      <w:r w:rsidR="008A74EB">
        <w:rPr>
          <w:rtl/>
        </w:rPr>
        <w:t>.</w:t>
      </w:r>
    </w:p>
    <w:tbl>
      <w:tblPr>
        <w:tblStyle w:val="TableGrid"/>
        <w:bidiVisual/>
        <w:tblW w:w="0" w:type="auto"/>
        <w:tblLook w:val="04A0" w:firstRow="1" w:lastRow="0" w:firstColumn="1" w:lastColumn="0" w:noHBand="0" w:noVBand="1"/>
      </w:tblPr>
      <w:tblGrid>
        <w:gridCol w:w="4006"/>
        <w:gridCol w:w="4006"/>
      </w:tblGrid>
      <w:tr w:rsidR="00AA56FE" w:rsidTr="00AA56FE">
        <w:tc>
          <w:tcPr>
            <w:tcW w:w="4006" w:type="dxa"/>
          </w:tcPr>
          <w:p w:rsidR="00AA56FE" w:rsidRDefault="00AA56FE" w:rsidP="004A4E41">
            <w:pPr>
              <w:pStyle w:val="libFootnote0"/>
              <w:rPr>
                <w:rtl/>
              </w:rPr>
            </w:pPr>
            <w:r>
              <w:rPr>
                <w:rtl/>
              </w:rPr>
              <w:t xml:space="preserve">(6). </w:t>
            </w:r>
            <w:r w:rsidRPr="00C9040A">
              <w:rPr>
                <w:rtl/>
              </w:rPr>
              <w:t>الفتح (48) : 29.</w:t>
            </w:r>
          </w:p>
        </w:tc>
        <w:tc>
          <w:tcPr>
            <w:tcW w:w="4006" w:type="dxa"/>
          </w:tcPr>
          <w:p w:rsidR="00AA56FE" w:rsidRDefault="00AA56FE" w:rsidP="004A4E41">
            <w:pPr>
              <w:pStyle w:val="libFootnote0"/>
              <w:rPr>
                <w:rtl/>
              </w:rPr>
            </w:pPr>
            <w:r>
              <w:rPr>
                <w:rtl/>
              </w:rPr>
              <w:t>(7).</w:t>
            </w:r>
            <w:r w:rsidRPr="00C9040A">
              <w:rPr>
                <w:rtl/>
              </w:rPr>
              <w:t xml:space="preserve"> في الوسائل : « عنهم »</w:t>
            </w:r>
            <w:r>
              <w:rPr>
                <w:rtl/>
              </w:rPr>
              <w:t>.</w:t>
            </w:r>
          </w:p>
        </w:tc>
      </w:tr>
    </w:tbl>
    <w:p w:rsidR="008A74EB" w:rsidRPr="00C9040A" w:rsidRDefault="006C577F" w:rsidP="004A4E41">
      <w:pPr>
        <w:pStyle w:val="libFootnote0"/>
        <w:rPr>
          <w:rtl/>
          <w:lang w:bidi="fa-IR"/>
        </w:rPr>
      </w:pPr>
      <w:r>
        <w:rPr>
          <w:rtl/>
        </w:rPr>
        <w:t>(8).</w:t>
      </w:r>
      <w:r w:rsidR="008A74EB" w:rsidRPr="00C9040A">
        <w:rPr>
          <w:rtl/>
        </w:rPr>
        <w:t xml:space="preserve"> في « ج » وحاشية « بر » : « معاشر »</w:t>
      </w:r>
      <w:r w:rsidR="008A74EB">
        <w:rPr>
          <w:rtl/>
        </w:rPr>
        <w:t>.</w:t>
      </w:r>
    </w:p>
    <w:p w:rsidR="008A74EB" w:rsidRPr="00C9040A" w:rsidRDefault="006C577F" w:rsidP="003F10CB">
      <w:pPr>
        <w:pStyle w:val="libFootnote0"/>
        <w:rPr>
          <w:rtl/>
          <w:lang w:bidi="fa-IR"/>
        </w:rPr>
      </w:pPr>
      <w:r>
        <w:rPr>
          <w:rtl/>
        </w:rPr>
        <w:t>(9).</w:t>
      </w:r>
      <w:r w:rsidR="008A74EB" w:rsidRPr="00C9040A">
        <w:rPr>
          <w:rtl/>
        </w:rPr>
        <w:t xml:space="preserve"> راجع : ح 2070 ومصادره</w:t>
      </w:r>
      <w:r w:rsidR="003F10CB">
        <w:rPr>
          <w:rFonts w:hint="cs"/>
          <w:rtl/>
        </w:rPr>
        <w:t>.</w:t>
      </w:r>
      <w:r w:rsidR="008A74EB" w:rsidRPr="00993B55">
        <w:rPr>
          <w:rStyle w:val="libFootnoteBoldChar"/>
          <w:rtl/>
        </w:rPr>
        <w:t>الوافي</w:t>
      </w:r>
      <w:r w:rsidR="008A74EB" w:rsidRPr="00C9040A">
        <w:rPr>
          <w:rtl/>
        </w:rPr>
        <w:t xml:space="preserve"> ، ج 5 ، ص 547 ، ح 2553 ؛ </w:t>
      </w:r>
      <w:r w:rsidR="008A74EB" w:rsidRPr="00993B55">
        <w:rPr>
          <w:rStyle w:val="libFootnoteBoldChar"/>
          <w:rtl/>
        </w:rPr>
        <w:t>الوسائل</w:t>
      </w:r>
      <w:r w:rsidR="008A74EB" w:rsidRPr="00C9040A">
        <w:rPr>
          <w:rtl/>
        </w:rPr>
        <w:t xml:space="preserve"> ، ج 12 ، ص 215 ، ح 16119.</w:t>
      </w:r>
    </w:p>
    <w:p w:rsidR="008A74EB" w:rsidRPr="00C9040A" w:rsidRDefault="006C577F" w:rsidP="004A4E41">
      <w:pPr>
        <w:pStyle w:val="libFootnote0"/>
        <w:rPr>
          <w:rtl/>
          <w:lang w:bidi="fa-IR"/>
        </w:rPr>
      </w:pPr>
      <w:r>
        <w:rPr>
          <w:rtl/>
        </w:rPr>
        <w:t>(10).</w:t>
      </w:r>
      <w:r w:rsidR="008A74EB" w:rsidRPr="00C9040A">
        <w:rPr>
          <w:rtl/>
        </w:rPr>
        <w:t xml:space="preserve"> هكذا في النسخ التي قوبلت والطبعة القديمة. وفي المطبوع : « [ عليّ ] ابن فضّال »</w:t>
      </w:r>
      <w:r w:rsidR="008A74EB">
        <w:rPr>
          <w:rtl/>
        </w:rPr>
        <w:t>.</w:t>
      </w:r>
      <w:r w:rsidR="008A74EB" w:rsidRPr="00C9040A">
        <w:rPr>
          <w:rtl/>
        </w:rPr>
        <w:t xml:space="preserve"> وهو سهو ؛ فإنّ ابن فضّال‌في مشايخ أحمد بن محمّد بن عيسى ، هو الحسن بن عليّ بن فضّال الراوي لكتاب عليّ بن عقبة. راجع : </w:t>
      </w:r>
      <w:r w:rsidR="008A74EB" w:rsidRPr="0034021D">
        <w:rPr>
          <w:rStyle w:val="libFootnoteBoldChar"/>
          <w:rtl/>
        </w:rPr>
        <w:t>الفهرست للطوسي</w:t>
      </w:r>
      <w:r w:rsidR="008A74EB" w:rsidRPr="00C9040A">
        <w:rPr>
          <w:rtl/>
        </w:rPr>
        <w:t xml:space="preserve"> ، ص 269 ، الرقم 385 ؛ </w:t>
      </w:r>
      <w:r w:rsidR="008A74EB" w:rsidRPr="00993B55">
        <w:rPr>
          <w:rStyle w:val="libFootnoteBoldChar"/>
          <w:rtl/>
        </w:rPr>
        <w:t>معجم رجال الحديث</w:t>
      </w:r>
      <w:r w:rsidR="008A74EB" w:rsidRPr="00C9040A">
        <w:rPr>
          <w:rtl/>
        </w:rPr>
        <w:t xml:space="preserve"> ، ج 2 ، ص 665</w:t>
      </w:r>
      <w:r w:rsidR="008A74EB">
        <w:rPr>
          <w:rtl/>
        </w:rPr>
        <w:t xml:space="preserve"> </w:t>
      </w:r>
      <w:r w:rsidR="0084262C">
        <w:rPr>
          <w:rtl/>
        </w:rPr>
        <w:t>-</w:t>
      </w:r>
      <w:r w:rsidR="008A74EB">
        <w:rPr>
          <w:rtl/>
        </w:rPr>
        <w:t xml:space="preserve"> </w:t>
      </w:r>
      <w:r w:rsidR="008A74EB" w:rsidRPr="00C9040A">
        <w:rPr>
          <w:rtl/>
        </w:rPr>
        <w:t>666.</w:t>
      </w:r>
    </w:p>
    <w:tbl>
      <w:tblPr>
        <w:tblStyle w:val="TableGrid"/>
        <w:bidiVisual/>
        <w:tblW w:w="0" w:type="auto"/>
        <w:tblLook w:val="04A0" w:firstRow="1" w:lastRow="0" w:firstColumn="1" w:lastColumn="0" w:noHBand="0" w:noVBand="1"/>
      </w:tblPr>
      <w:tblGrid>
        <w:gridCol w:w="4006"/>
        <w:gridCol w:w="4006"/>
      </w:tblGrid>
      <w:tr w:rsidR="003F10CB" w:rsidTr="003F10CB">
        <w:tc>
          <w:tcPr>
            <w:tcW w:w="4006" w:type="dxa"/>
          </w:tcPr>
          <w:p w:rsidR="003F10CB" w:rsidRDefault="003F10CB" w:rsidP="004A4E41">
            <w:pPr>
              <w:pStyle w:val="libFootnote0"/>
              <w:rPr>
                <w:rtl/>
              </w:rPr>
            </w:pPr>
            <w:r>
              <w:rPr>
                <w:rtl/>
              </w:rPr>
              <w:t>(11).</w:t>
            </w:r>
            <w:r w:rsidRPr="00C9040A">
              <w:rPr>
                <w:rtl/>
              </w:rPr>
              <w:t xml:space="preserve"> في حاشية « بر » : « أبي جعفر »</w:t>
            </w:r>
            <w:r>
              <w:rPr>
                <w:rtl/>
              </w:rPr>
              <w:t>.</w:t>
            </w:r>
          </w:p>
        </w:tc>
        <w:tc>
          <w:tcPr>
            <w:tcW w:w="4006" w:type="dxa"/>
          </w:tcPr>
          <w:p w:rsidR="003F10CB" w:rsidRDefault="003F10CB" w:rsidP="004A4E41">
            <w:pPr>
              <w:pStyle w:val="libFootnote0"/>
              <w:rPr>
                <w:rtl/>
              </w:rPr>
            </w:pPr>
            <w:r>
              <w:rPr>
                <w:rtl/>
              </w:rPr>
              <w:t>(12).</w:t>
            </w:r>
            <w:r w:rsidRPr="00C9040A">
              <w:rPr>
                <w:rtl/>
              </w:rPr>
              <w:t xml:space="preserve"> في « ف » </w:t>
            </w:r>
            <w:r>
              <w:rPr>
                <w:rtl/>
              </w:rPr>
              <w:t>: -</w:t>
            </w:r>
            <w:r w:rsidRPr="00C9040A">
              <w:rPr>
                <w:rtl/>
              </w:rPr>
              <w:t xml:space="preserve"> « الله »</w:t>
            </w:r>
            <w:r>
              <w:rPr>
                <w:rtl/>
              </w:rPr>
              <w:t>.</w:t>
            </w:r>
          </w:p>
        </w:tc>
      </w:tr>
    </w:tbl>
    <w:p w:rsidR="008A74EB" w:rsidRPr="00C9040A" w:rsidRDefault="008A74EB" w:rsidP="006A1E44">
      <w:pPr>
        <w:pStyle w:val="libFootnote0"/>
        <w:rPr>
          <w:rtl/>
          <w:lang w:bidi="fa-IR"/>
        </w:rPr>
      </w:pPr>
      <w:r>
        <w:rPr>
          <w:rtl/>
        </w:rPr>
        <w:t>(13)</w:t>
      </w:r>
      <w:r w:rsidRPr="00C9040A">
        <w:rPr>
          <w:rtl/>
        </w:rPr>
        <w:t xml:space="preserve"> </w:t>
      </w:r>
      <w:r w:rsidRPr="00993B55">
        <w:rPr>
          <w:rStyle w:val="libFootnoteBoldChar"/>
          <w:rtl/>
        </w:rPr>
        <w:t>مصادقة الإخوان</w:t>
      </w:r>
      <w:r w:rsidRPr="00C9040A">
        <w:rPr>
          <w:rtl/>
        </w:rPr>
        <w:t xml:space="preserve"> ، ص 56 ، ح 4 ، مرسلاً عن أبي حمزة الثمالي</w:t>
      </w:r>
      <w:r w:rsidR="006A1E44">
        <w:rPr>
          <w:rFonts w:hint="cs"/>
          <w:rtl/>
        </w:rPr>
        <w:t>.</w:t>
      </w:r>
      <w:r w:rsidRPr="00993B55">
        <w:rPr>
          <w:rStyle w:val="libFootnoteBoldChar"/>
          <w:rtl/>
        </w:rPr>
        <w:t>الوافي</w:t>
      </w:r>
      <w:r w:rsidRPr="00C9040A">
        <w:rPr>
          <w:rtl/>
        </w:rPr>
        <w:t xml:space="preserve"> ، ج 5 ، ص 589 ، ح 2631 ؛ </w:t>
      </w:r>
      <w:r w:rsidRPr="00993B55">
        <w:rPr>
          <w:rStyle w:val="libFootnoteBoldChar"/>
          <w:rtl/>
        </w:rPr>
        <w:t>البحار</w:t>
      </w:r>
      <w:r w:rsidRPr="00C9040A">
        <w:rPr>
          <w:rtl/>
        </w:rPr>
        <w:t xml:space="preserve"> ، ج 74 ، ص 342 ، ح 1.</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A0413D">
        <w:rPr>
          <w:rtl/>
        </w:rPr>
        <w:t>2077</w:t>
      </w:r>
      <w:r w:rsidRPr="00261CB0">
        <w:rPr>
          <w:rStyle w:val="libBold2Char"/>
          <w:rtl/>
        </w:rPr>
        <w:t xml:space="preserve"> / 2.</w:t>
      </w:r>
      <w:r w:rsidRPr="00C9040A">
        <w:rPr>
          <w:rtl/>
          <w:lang w:bidi="fa-IR"/>
        </w:rPr>
        <w:t xml:space="preserve"> عَنْهُ </w:t>
      </w:r>
      <w:r w:rsidR="006C577F" w:rsidRPr="006C577F">
        <w:rPr>
          <w:rStyle w:val="libFootnotenumChar"/>
          <w:rtl/>
        </w:rPr>
        <w:t>(1)</w:t>
      </w:r>
      <w:r w:rsidRPr="00C9040A">
        <w:rPr>
          <w:rtl/>
          <w:lang w:bidi="fa-IR"/>
        </w:rPr>
        <w:t xml:space="preserve"> ، عَنْ عَلِيِّ بْنِ النُّعْمَانِ ، عَنِ ابْنِ مُسْكَانَ ، عَنْ خَيْثَمَةَ ، قَالَ :</w:t>
      </w:r>
    </w:p>
    <w:p w:rsidR="008A74EB" w:rsidRPr="00C9040A" w:rsidRDefault="008A74EB" w:rsidP="008A74EB">
      <w:pPr>
        <w:pStyle w:val="libNormal"/>
        <w:rPr>
          <w:rtl/>
          <w:lang w:bidi="fa-IR"/>
        </w:rPr>
      </w:pPr>
      <w:r w:rsidRPr="00C9040A">
        <w:rPr>
          <w:rtl/>
          <w:lang w:bidi="fa-IR"/>
        </w:rPr>
        <w:t xml:space="preserve">دَخَلْتُ عَلى أَبِي جَعْفَرٍ </w:t>
      </w:r>
      <w:r w:rsidRPr="0003660B">
        <w:rPr>
          <w:rStyle w:val="libAlaemChar"/>
          <w:rtl/>
        </w:rPr>
        <w:t>عليه‌السلام</w:t>
      </w:r>
      <w:r w:rsidRPr="00C9040A">
        <w:rPr>
          <w:rtl/>
          <w:lang w:bidi="fa-IR"/>
        </w:rPr>
        <w:t xml:space="preserve"> أُوَدِّعُهُ </w:t>
      </w:r>
      <w:r w:rsidR="006C577F" w:rsidRPr="006C577F">
        <w:rPr>
          <w:rStyle w:val="libFootnotenumChar"/>
          <w:rtl/>
        </w:rPr>
        <w:t>(2)</w:t>
      </w:r>
      <w:r w:rsidRPr="00C9040A">
        <w:rPr>
          <w:rtl/>
          <w:lang w:bidi="fa-IR"/>
        </w:rPr>
        <w:t xml:space="preserve"> ، فَقَالَ : « يَا خَيْثَمَةُ ، أَبْلِغْ مَنْ تَرى مِنْ مَوَالِينَا السَّلَامَ ، وَأَوْصِهِمْ </w:t>
      </w:r>
      <w:r w:rsidR="006C577F" w:rsidRPr="006C577F">
        <w:rPr>
          <w:rStyle w:val="libFootnotenumChar"/>
          <w:rtl/>
        </w:rPr>
        <w:t>(3)</w:t>
      </w:r>
      <w:r w:rsidRPr="00C9040A">
        <w:rPr>
          <w:rtl/>
          <w:lang w:bidi="fa-IR"/>
        </w:rPr>
        <w:t xml:space="preserve"> بِتَقْوَى اللهِ الْعَظِيمِ ، وَأَنْ يَعُودَ غَنِيُّهُمْ عَلى فَقِيرِهِمْ ، وَقَوِيُّهُمْ عَلى ضَعِيفِهِمْ ، وَأَنْ يَشْهَدَ حَيُّهُمْ جِنَازَةَ مَيِّتِهِمْ ، وَأَنْ يَتَلَاقَوْا فِي بُيُوتِهِمْ ؛ فَإِنَّ لُقِيَّا </w:t>
      </w:r>
      <w:r w:rsidR="006C577F" w:rsidRPr="006C577F">
        <w:rPr>
          <w:rStyle w:val="libFootnotenumChar"/>
          <w:rtl/>
        </w:rPr>
        <w:t>(4)</w:t>
      </w:r>
      <w:r w:rsidRPr="00C9040A">
        <w:rPr>
          <w:rtl/>
          <w:lang w:bidi="fa-IR"/>
        </w:rPr>
        <w:t xml:space="preserve"> بَعْضِهِمْ بَعْضاً </w:t>
      </w:r>
      <w:r w:rsidR="006C577F" w:rsidRPr="006C577F">
        <w:rPr>
          <w:rStyle w:val="libFootnotenumChar"/>
          <w:rtl/>
        </w:rPr>
        <w:t>(5)</w:t>
      </w:r>
      <w:r w:rsidRPr="00C9040A">
        <w:rPr>
          <w:rtl/>
          <w:lang w:bidi="fa-IR"/>
        </w:rPr>
        <w:t xml:space="preserve"> حَيَاةٌ لِأَمْرِنَا ، رَحِمَ اللهُ عَبْداً أَحْيَا أَمْرَنَا ؛ يَا خَيْثَمَةُ ، أَبْلِغْ مَوَالِيَنَا : أَنَّا لَانُغْنِي عَ</w:t>
      </w:r>
      <w:r w:rsidR="006A1E44">
        <w:rPr>
          <w:rtl/>
          <w:lang w:bidi="fa-IR"/>
        </w:rPr>
        <w:t>نْهُمْ مِنَ اللهِ شَيْئاً إِل</w:t>
      </w:r>
      <w:r w:rsidR="006A1E44">
        <w:rPr>
          <w:rFonts w:hint="cs"/>
          <w:rtl/>
          <w:lang w:bidi="fa-IR"/>
        </w:rPr>
        <w:t>َّ</w:t>
      </w:r>
      <w:r w:rsidR="006A1E44">
        <w:rPr>
          <w:rtl/>
          <w:lang w:bidi="fa-IR"/>
        </w:rPr>
        <w:t>ا</w:t>
      </w:r>
      <w:r w:rsidRPr="00C9040A">
        <w:rPr>
          <w:rtl/>
          <w:lang w:bidi="fa-IR"/>
        </w:rPr>
        <w:t xml:space="preserve"> بِعَمَلٍ ، وَأَنَّهُمْ لَنْ يَنَ</w:t>
      </w:r>
      <w:r w:rsidR="006A1E44">
        <w:rPr>
          <w:rtl/>
          <w:lang w:bidi="fa-IR"/>
        </w:rPr>
        <w:t>الُوا وَلَايَتَنَا إِل</w:t>
      </w:r>
      <w:r w:rsidR="006A1E44">
        <w:rPr>
          <w:rFonts w:hint="cs"/>
          <w:rtl/>
          <w:lang w:bidi="fa-IR"/>
        </w:rPr>
        <w:t>َّ</w:t>
      </w:r>
      <w:r w:rsidR="006A1E44">
        <w:rPr>
          <w:rtl/>
          <w:lang w:bidi="fa-IR"/>
        </w:rPr>
        <w:t>ا</w:t>
      </w:r>
      <w:r w:rsidRPr="00C9040A">
        <w:rPr>
          <w:rtl/>
          <w:lang w:bidi="fa-IR"/>
        </w:rPr>
        <w:t xml:space="preserve"> بِالْوَرَعِ ، وَأَنَّ أَشَدَّ النَّاسِ حَسْرَةً يَوْمَ الْقِيَامَةِ مَنْ وَصَفَ </w:t>
      </w:r>
      <w:r w:rsidR="006C577F" w:rsidRPr="006C577F">
        <w:rPr>
          <w:rStyle w:val="libFootnotenumChar"/>
          <w:rtl/>
        </w:rPr>
        <w:t>(6)</w:t>
      </w:r>
      <w:r w:rsidRPr="005B567D">
        <w:rPr>
          <w:rStyle w:val="libFootnotenumChar"/>
          <w:rtl/>
        </w:rPr>
        <w:t xml:space="preserve"> </w:t>
      </w:r>
      <w:r w:rsidRPr="00C9040A">
        <w:rPr>
          <w:rtl/>
          <w:lang w:bidi="fa-IR"/>
        </w:rPr>
        <w:t xml:space="preserve">عَدْلاً ، ثُمَّ خَالَفَهُ </w:t>
      </w:r>
      <w:r w:rsidR="006C577F" w:rsidRPr="006C577F">
        <w:rPr>
          <w:rStyle w:val="libFootnotenumChar"/>
          <w:rtl/>
        </w:rPr>
        <w:t>(7)</w:t>
      </w:r>
      <w:r w:rsidRPr="00C9040A">
        <w:rPr>
          <w:rtl/>
          <w:lang w:bidi="fa-IR"/>
        </w:rPr>
        <w:t xml:space="preserve"> إِلى غَيْرِهِ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6A1E44">
      <w:pPr>
        <w:pStyle w:val="libFootnote0"/>
        <w:rPr>
          <w:rtl/>
          <w:lang w:bidi="fa-IR"/>
        </w:rPr>
      </w:pPr>
      <w:r>
        <w:rPr>
          <w:rtl/>
        </w:rPr>
        <w:t>(1).</w:t>
      </w:r>
      <w:r w:rsidR="008A74EB">
        <w:rPr>
          <w:rtl/>
        </w:rPr>
        <w:t xml:space="preserve"> </w:t>
      </w:r>
      <w:r w:rsidR="008A74EB" w:rsidRPr="00C9040A">
        <w:rPr>
          <w:rtl/>
        </w:rPr>
        <w:t xml:space="preserve">الضمير راجع إلى أحمد بن محمّد بن عيسى المذكور في السند السابق ؛ فقد روى محمّد بن يحيى عن أحمد بن محمّد [ بن عيسى ] عن عليّ بن النعمان في كثير من الأسناد. راجع : </w:t>
      </w:r>
      <w:r w:rsidR="008A74EB" w:rsidRPr="00993B55">
        <w:rPr>
          <w:rStyle w:val="libFootnoteBoldChar"/>
          <w:rtl/>
        </w:rPr>
        <w:t>معجم رجال الحديث</w:t>
      </w:r>
      <w:r w:rsidR="008A74EB" w:rsidRPr="00C9040A">
        <w:rPr>
          <w:rtl/>
        </w:rPr>
        <w:t xml:space="preserve"> ، ج 2 ، ص 550</w:t>
      </w:r>
      <w:r w:rsidR="008A74EB">
        <w:rPr>
          <w:rtl/>
        </w:rPr>
        <w:t xml:space="preserve"> </w:t>
      </w:r>
      <w:r w:rsidR="0084262C">
        <w:rPr>
          <w:rtl/>
        </w:rPr>
        <w:t>-</w:t>
      </w:r>
      <w:r w:rsidR="008A74EB">
        <w:rPr>
          <w:rtl/>
        </w:rPr>
        <w:t xml:space="preserve"> </w:t>
      </w:r>
      <w:r w:rsidR="008A74EB" w:rsidRPr="00C9040A">
        <w:rPr>
          <w:rtl/>
        </w:rPr>
        <w:t>551 وص 688.</w:t>
      </w:r>
      <w:r w:rsidR="006A1E44">
        <w:rPr>
          <w:rFonts w:hint="cs"/>
          <w:rtl/>
        </w:rPr>
        <w:t xml:space="preserve">                                                      </w:t>
      </w:r>
      <w:r>
        <w:rPr>
          <w:rtl/>
        </w:rPr>
        <w:t>(2).</w:t>
      </w:r>
      <w:r w:rsidR="008A74EB">
        <w:rPr>
          <w:rtl/>
        </w:rPr>
        <w:t xml:space="preserve"> </w:t>
      </w:r>
      <w:r w:rsidR="008A74EB" w:rsidRPr="00C9040A">
        <w:rPr>
          <w:rtl/>
        </w:rPr>
        <w:t>في المصادقة : + « وأنا ا</w:t>
      </w:r>
      <w:r w:rsidR="006A1E44">
        <w:rPr>
          <w:rFonts w:hint="cs"/>
          <w:rtl/>
        </w:rPr>
        <w:t>ُ</w:t>
      </w:r>
      <w:r w:rsidR="008A74EB" w:rsidRPr="00C9040A">
        <w:rPr>
          <w:rtl/>
        </w:rPr>
        <w:t>ريد الشخوص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ف » : « وأوص »</w:t>
      </w:r>
      <w:r w:rsidR="008A74EB">
        <w:rPr>
          <w:rtl/>
        </w:rPr>
        <w:t>.</w:t>
      </w:r>
    </w:p>
    <w:p w:rsidR="008A74EB" w:rsidRPr="00C9040A" w:rsidRDefault="006C577F" w:rsidP="006A1E44">
      <w:pPr>
        <w:pStyle w:val="libFootnote0"/>
        <w:rPr>
          <w:rtl/>
          <w:lang w:bidi="fa-IR"/>
        </w:rPr>
      </w:pPr>
      <w:r>
        <w:rPr>
          <w:rtl/>
        </w:rPr>
        <w:t>(4).</w:t>
      </w:r>
      <w:r w:rsidR="008A74EB" w:rsidRPr="00C9040A">
        <w:rPr>
          <w:rtl/>
        </w:rPr>
        <w:t xml:space="preserve"> « لُقيّا » بكسر اللام أو ضمّها وتشديد الياء ، وهو في الأصل على فعول ، مصدر لقيه كرضيه ، أي رآه ؛ كذا قرأه‌الشرّاح. ويجوز فتح اللام وسكون القاف وتخفيف الياء. راجع : </w:t>
      </w:r>
      <w:r w:rsidR="008A74EB" w:rsidRPr="00993B55">
        <w:rPr>
          <w:rStyle w:val="libFootnoteBoldChar"/>
          <w:rtl/>
        </w:rPr>
        <w:t>لسان العرب</w:t>
      </w:r>
      <w:r w:rsidR="008A74EB" w:rsidRPr="00C9040A">
        <w:rPr>
          <w:rtl/>
        </w:rPr>
        <w:t xml:space="preserve"> ، ج 15 ، ص 253 ؛ </w:t>
      </w:r>
      <w:r w:rsidR="008A74EB" w:rsidRPr="00993B55">
        <w:rPr>
          <w:rStyle w:val="libFootnoteBoldChar"/>
          <w:rtl/>
        </w:rPr>
        <w:t>المصباح المنير</w:t>
      </w:r>
      <w:r w:rsidR="008A74EB" w:rsidRPr="00C9040A">
        <w:rPr>
          <w:rtl/>
        </w:rPr>
        <w:t xml:space="preserve"> ، ص 558 ( لقا )</w:t>
      </w:r>
      <w:r w:rsidR="008A74EB">
        <w:rPr>
          <w:rtl/>
        </w:rPr>
        <w:t>.</w:t>
      </w:r>
      <w:r w:rsidR="006A1E44">
        <w:rPr>
          <w:rFonts w:hint="cs"/>
          <w:rtl/>
        </w:rPr>
        <w:t xml:space="preserve">                                      </w:t>
      </w:r>
      <w:r>
        <w:rPr>
          <w:rtl/>
        </w:rPr>
        <w:t>(5).</w:t>
      </w:r>
      <w:r w:rsidR="008A74EB" w:rsidRPr="00C9040A">
        <w:rPr>
          <w:rtl/>
        </w:rPr>
        <w:t xml:space="preserve"> في « ض ، ف » : + « في بيوتهم »</w:t>
      </w:r>
      <w:r w:rsidR="008A74EB">
        <w:rPr>
          <w:rtl/>
        </w:rPr>
        <w:t>.</w:t>
      </w:r>
    </w:p>
    <w:p w:rsidR="008A74EB" w:rsidRPr="00C9040A" w:rsidRDefault="006C577F" w:rsidP="005C57B5">
      <w:pPr>
        <w:pStyle w:val="libFootnote0"/>
        <w:rPr>
          <w:rtl/>
          <w:lang w:bidi="fa-IR"/>
        </w:rPr>
      </w:pPr>
      <w:r>
        <w:rPr>
          <w:rtl/>
        </w:rPr>
        <w:t>(6).</w:t>
      </w:r>
      <w:r w:rsidR="008A74EB">
        <w:rPr>
          <w:rtl/>
        </w:rPr>
        <w:t xml:space="preserve"> </w:t>
      </w:r>
      <w:r w:rsidR="008A74EB" w:rsidRPr="00C9040A">
        <w:rPr>
          <w:rtl/>
        </w:rPr>
        <w:t xml:space="preserve">وصفته وصفاً : نعتُّه بما فيه. ويقال : هو مأخوذ من قولهم : وصف الثوبُ الجِسمَ ؛ إذا أظهر حاله وبيّن هيئته. </w:t>
      </w:r>
      <w:r w:rsidR="008A74EB" w:rsidRPr="00993B55">
        <w:rPr>
          <w:rStyle w:val="libFootnoteBoldChar"/>
          <w:rtl/>
        </w:rPr>
        <w:t>المصباح المنير</w:t>
      </w:r>
      <w:r w:rsidR="008A74EB" w:rsidRPr="00C9040A">
        <w:rPr>
          <w:rtl/>
        </w:rPr>
        <w:t xml:space="preserve"> ، ص 661 ( وصف )</w:t>
      </w:r>
      <w:r w:rsidR="008A74EB">
        <w:rPr>
          <w:rtl/>
        </w:rPr>
        <w:t>.</w:t>
      </w:r>
      <w:r w:rsidR="008A74EB" w:rsidRPr="00C9040A">
        <w:rPr>
          <w:rtl/>
        </w:rPr>
        <w:t xml:space="preserve"> وقال في </w:t>
      </w:r>
      <w:r w:rsidR="008A74EB" w:rsidRPr="00993B55">
        <w:rPr>
          <w:rStyle w:val="libFootnoteBoldChar"/>
          <w:rtl/>
        </w:rPr>
        <w:t>مرآة العقول</w:t>
      </w:r>
      <w:r w:rsidR="008A74EB" w:rsidRPr="00C9040A">
        <w:rPr>
          <w:rtl/>
        </w:rPr>
        <w:t xml:space="preserve"> ، ج 9 ، ص 54 : « قوله </w:t>
      </w:r>
      <w:r w:rsidR="00117575" w:rsidRPr="00117575">
        <w:rPr>
          <w:rStyle w:val="libFootnoteAlaemChar"/>
          <w:rtl/>
        </w:rPr>
        <w:t>عليه‌السلام</w:t>
      </w:r>
      <w:r w:rsidR="008A74EB" w:rsidRPr="00C9040A">
        <w:rPr>
          <w:rtl/>
        </w:rPr>
        <w:t xml:space="preserve"> : وصف عدلاً ، أي أظهر مذهباً حقّاً ولم يعمل بمقتضاه ، كمن أظهر موالاة الأئمّة </w:t>
      </w:r>
      <w:r w:rsidR="00117575" w:rsidRPr="00117575">
        <w:rPr>
          <w:rStyle w:val="libFootnoteAlaemChar"/>
          <w:rtl/>
        </w:rPr>
        <w:t>عليهم‌السلام</w:t>
      </w:r>
      <w:r w:rsidR="008A74EB" w:rsidRPr="00C9040A">
        <w:rPr>
          <w:rtl/>
        </w:rPr>
        <w:t xml:space="preserve"> ولم يتابعهم ، أو وصف عملاً صالحاً للناس ولم يعمل به »</w:t>
      </w:r>
      <w:r w:rsidR="008A74EB">
        <w:rPr>
          <w:rtl/>
        </w:rPr>
        <w:t>.</w:t>
      </w:r>
      <w:r w:rsidR="006A1E44">
        <w:rPr>
          <w:rFonts w:hint="cs"/>
          <w:rtl/>
        </w:rPr>
        <w:t xml:space="preserve">                                                      </w:t>
      </w:r>
      <w:r>
        <w:rPr>
          <w:rtl/>
        </w:rPr>
        <w:t>(7).</w:t>
      </w:r>
      <w:r w:rsidR="008A74EB" w:rsidRPr="00C9040A">
        <w:rPr>
          <w:rtl/>
        </w:rPr>
        <w:t xml:space="preserve"> في « ج » : « خالف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w:t>
      </w:r>
      <w:r w:rsidR="008A74EB" w:rsidRPr="00993B55">
        <w:rPr>
          <w:rStyle w:val="libFootnoteBoldChar"/>
          <w:rtl/>
        </w:rPr>
        <w:t>الكافي</w:t>
      </w:r>
      <w:r w:rsidR="008A74EB" w:rsidRPr="00C9040A">
        <w:rPr>
          <w:rtl/>
        </w:rPr>
        <w:t xml:space="preserve"> ، كتاب الإيمان والكفر ، باب من وصف عدلاً وعمل بغيره ، ح 2518 ، بسند آخر عن خيثمة ؛ </w:t>
      </w:r>
      <w:r w:rsidR="008A74EB" w:rsidRPr="00993B55">
        <w:rPr>
          <w:rStyle w:val="libFootnoteBoldChar"/>
          <w:rtl/>
        </w:rPr>
        <w:t>الأمالي</w:t>
      </w:r>
      <w:r w:rsidR="008A74EB" w:rsidRPr="00C9040A">
        <w:rPr>
          <w:rtl/>
        </w:rPr>
        <w:t xml:space="preserve"> للطوسي ، ص 370 ، المجلس 13 ، ح 47 ، بسند آخر عن الرضا ، عن آبائه ، عن أبي جعفر </w:t>
      </w:r>
      <w:r w:rsidR="00117575" w:rsidRPr="00117575">
        <w:rPr>
          <w:rStyle w:val="libFootnoteAlaemChar"/>
          <w:rtl/>
        </w:rPr>
        <w:t>عليهم‌السلام</w:t>
      </w:r>
      <w:r w:rsidR="008A74EB" w:rsidRPr="00C9040A">
        <w:rPr>
          <w:rtl/>
        </w:rPr>
        <w:t xml:space="preserve"> ، خطاباً لخيثمة ، مع زيادة في آخره ؛ </w:t>
      </w:r>
      <w:r w:rsidR="008A74EB" w:rsidRPr="00993B55">
        <w:rPr>
          <w:rStyle w:val="libFootnoteBoldChar"/>
          <w:rtl/>
        </w:rPr>
        <w:t>وفيه</w:t>
      </w:r>
      <w:r w:rsidR="008A74EB" w:rsidRPr="00C9040A">
        <w:rPr>
          <w:rtl/>
        </w:rPr>
        <w:t xml:space="preserve"> ، ص 679 ، المجلس 37 ، ح 20 ، مع زيادة في أوّله ؛ </w:t>
      </w:r>
      <w:r w:rsidR="008A74EB" w:rsidRPr="00993B55">
        <w:rPr>
          <w:rStyle w:val="libFootnoteBoldChar"/>
          <w:rtl/>
        </w:rPr>
        <w:t>قرب الإسناد</w:t>
      </w:r>
      <w:r w:rsidR="008A74EB" w:rsidRPr="00C9040A">
        <w:rPr>
          <w:rtl/>
        </w:rPr>
        <w:t xml:space="preserve"> ، ص 33 ، ح 106 ، وفيهما بسند آخر عن أبي عبد الله </w:t>
      </w:r>
      <w:r w:rsidR="00117575" w:rsidRPr="00117575">
        <w:rPr>
          <w:rStyle w:val="libFootnoteAlaemChar"/>
          <w:rtl/>
        </w:rPr>
        <w:t>عليه‌السلام</w:t>
      </w:r>
      <w:r w:rsidR="008A74EB" w:rsidRPr="00C9040A">
        <w:rPr>
          <w:rtl/>
        </w:rPr>
        <w:t xml:space="preserve"> ، وفي الأربعة الأخيرة من قوله : « أبلغ موالينا أنّا لا نغني عنهم » مع اختلاف يسير. </w:t>
      </w:r>
      <w:r w:rsidR="008A74EB" w:rsidRPr="00993B55">
        <w:rPr>
          <w:rStyle w:val="libFootnoteBoldChar"/>
          <w:rtl/>
        </w:rPr>
        <w:t>مصادقة الإخوان</w:t>
      </w:r>
      <w:r w:rsidR="008A74EB" w:rsidRPr="00C9040A">
        <w:rPr>
          <w:rtl/>
        </w:rPr>
        <w:t xml:space="preserve"> ، ص 34 ، ح 6 ، مرسلاً عن خثيمة ، عن أبي عبدالله </w:t>
      </w:r>
      <w:r w:rsidR="00117575" w:rsidRPr="00117575">
        <w:rPr>
          <w:rStyle w:val="libFootnoteAlaemChar"/>
          <w:rtl/>
        </w:rPr>
        <w:t xml:space="preserve">عليه‌السلام </w:t>
      </w:r>
      <w:r w:rsidR="008A74EB" w:rsidRPr="00C9040A">
        <w:rPr>
          <w:rtl/>
        </w:rPr>
        <w:t xml:space="preserve">. وورد من قوله : « إنّ أشدّ الناس حسرة » مع اختلاف يسير في هذه المصادر : </w:t>
      </w:r>
      <w:r w:rsidR="008A74EB" w:rsidRPr="00993B55">
        <w:rPr>
          <w:rStyle w:val="libFootnoteBoldChar"/>
          <w:rtl/>
        </w:rPr>
        <w:t>المحاسن</w:t>
      </w:r>
      <w:r w:rsidR="008A74EB" w:rsidRPr="00C9040A">
        <w:rPr>
          <w:rtl/>
        </w:rPr>
        <w:t xml:space="preserve"> ، ص 120 ، كتاب عقاب الأعمال ، ح 134 ، بسند آخر ، مع زيادة في آخره ؛ وفي </w:t>
      </w:r>
      <w:r w:rsidR="008A74EB" w:rsidRPr="00993B55">
        <w:rPr>
          <w:rStyle w:val="libFootnoteBoldChar"/>
          <w:rtl/>
        </w:rPr>
        <w:t>الكافي</w:t>
      </w:r>
      <w:r w:rsidR="008A74EB" w:rsidRPr="00C9040A">
        <w:rPr>
          <w:rtl/>
        </w:rPr>
        <w:t xml:space="preserve"> ، كتاب الإيمان والكفر ، باب من وصف عدلاً وعمل بغيره ، ح 2514 </w:t>
      </w:r>
      <w:r w:rsidR="008A74EB">
        <w:rPr>
          <w:rtl/>
        </w:rPr>
        <w:t>و 2</w:t>
      </w:r>
      <w:r w:rsidR="008A74EB" w:rsidRPr="00C9040A">
        <w:rPr>
          <w:rtl/>
        </w:rPr>
        <w:t xml:space="preserve">515 </w:t>
      </w:r>
      <w:r w:rsidR="008A74EB">
        <w:rPr>
          <w:rtl/>
        </w:rPr>
        <w:t>و 2</w:t>
      </w:r>
      <w:r w:rsidR="008A74EB" w:rsidRPr="00C9040A">
        <w:rPr>
          <w:rtl/>
        </w:rPr>
        <w:t>516 ؛ و</w:t>
      </w:r>
      <w:r w:rsidR="008A74EB" w:rsidRPr="00993B55">
        <w:rPr>
          <w:rStyle w:val="libFootnoteBoldChar"/>
          <w:rtl/>
        </w:rPr>
        <w:t>الزهد</w:t>
      </w:r>
      <w:r w:rsidR="008A74EB" w:rsidRPr="00C9040A">
        <w:rPr>
          <w:rtl/>
        </w:rPr>
        <w:t xml:space="preserve"> ، ص 78 ، ح 39 ؛ </w:t>
      </w:r>
      <w:r w:rsidR="008A74EB" w:rsidRPr="00AC2E2F">
        <w:rPr>
          <w:rStyle w:val="libFootnoteBoldChar"/>
          <w:rtl/>
        </w:rPr>
        <w:t>والأمالي للطوسي</w:t>
      </w:r>
      <w:r w:rsidR="008A74EB" w:rsidRPr="00C9040A">
        <w:rPr>
          <w:rtl/>
        </w:rPr>
        <w:t xml:space="preserve"> ، ص 663 ، المجلس 35 ، ح 30 ، بسند آخر عن </w:t>
      </w:r>
      <w:r w:rsidR="006A1E44">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A62C57">
        <w:rPr>
          <w:rtl/>
        </w:rPr>
        <w:t>2078</w:t>
      </w:r>
      <w:r w:rsidRPr="00261CB0">
        <w:rPr>
          <w:rStyle w:val="libBold2Char"/>
          <w:rtl/>
        </w:rPr>
        <w:t xml:space="preserve"> / 3.</w:t>
      </w:r>
      <w:r w:rsidRPr="00C9040A">
        <w:rPr>
          <w:rtl/>
          <w:lang w:bidi="fa-IR"/>
        </w:rPr>
        <w:t xml:space="preserve"> عَلِيُّ بْنُ إِبْرَاهِيمَ ، عَنْ أَبِيهِ ، عَنْ حَمَّادِ بْنِ عِيسى ، عَنْ إِبْرَاهِيمَ بْنِ عُمَرَ الْيَمَانِيِّ ، عَنْ جَابِرٍ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حَدَّثَنِي جَبْرَئِيلُ </w:t>
      </w:r>
      <w:r w:rsidRPr="0003660B">
        <w:rPr>
          <w:rStyle w:val="libAlaemChar"/>
          <w:rtl/>
        </w:rPr>
        <w:t>عليه‌السلام</w:t>
      </w:r>
      <w:r w:rsidRPr="00C9040A">
        <w:rPr>
          <w:rtl/>
          <w:lang w:bidi="fa-IR"/>
        </w:rPr>
        <w:t xml:space="preserve"> أَنَّ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أَهْبَطَ إِلَى </w:t>
      </w:r>
      <w:r w:rsidR="006C577F" w:rsidRPr="006C577F">
        <w:rPr>
          <w:rStyle w:val="libFootnotenumChar"/>
          <w:rtl/>
        </w:rPr>
        <w:t>(1)</w:t>
      </w:r>
      <w:r w:rsidRPr="00C9040A">
        <w:rPr>
          <w:rtl/>
          <w:lang w:bidi="fa-IR"/>
        </w:rPr>
        <w:t xml:space="preserve"> الْأَرْضِ مَلَكاً ، فَأَقْبَلَ ذلِكَ الْمَلَكُ يَمْشِي حَتّى دُفِعَ </w:t>
      </w:r>
      <w:r w:rsidR="006C577F" w:rsidRPr="006C577F">
        <w:rPr>
          <w:rStyle w:val="libFootnotenumChar"/>
          <w:rtl/>
        </w:rPr>
        <w:t>(2)</w:t>
      </w:r>
      <w:r w:rsidRPr="00C9040A">
        <w:rPr>
          <w:rtl/>
          <w:lang w:bidi="fa-IR"/>
        </w:rPr>
        <w:t xml:space="preserve"> إِلى </w:t>
      </w:r>
      <w:r w:rsidR="006C577F" w:rsidRPr="006C577F">
        <w:rPr>
          <w:rStyle w:val="libFootnotenumChar"/>
          <w:rtl/>
        </w:rPr>
        <w:t>(3)</w:t>
      </w:r>
      <w:r w:rsidRPr="00C9040A">
        <w:rPr>
          <w:rtl/>
          <w:lang w:bidi="fa-IR"/>
        </w:rPr>
        <w:t xml:space="preserve"> بَابٍ عَلَيْهِ </w:t>
      </w:r>
      <w:r w:rsidR="006C577F" w:rsidRPr="006C577F">
        <w:rPr>
          <w:rStyle w:val="libFootnotenumChar"/>
          <w:rtl/>
        </w:rPr>
        <w:t>(4)</w:t>
      </w:r>
      <w:r w:rsidRPr="00C9040A">
        <w:rPr>
          <w:rtl/>
          <w:lang w:bidi="fa-IR"/>
        </w:rPr>
        <w:t xml:space="preserve"> رَجُلٌ يَسْتَأْذِنُ عَلى رَبِّ الدَّارِ ، فَقَالَ لَهُ الْمَلَكُ : مَا حَاجَتُكَ </w:t>
      </w:r>
      <w:r w:rsidR="006C577F" w:rsidRPr="006C577F">
        <w:rPr>
          <w:rStyle w:val="libFootnotenumChar"/>
          <w:rtl/>
        </w:rPr>
        <w:t>(5)</w:t>
      </w:r>
      <w:r w:rsidRPr="00C9040A">
        <w:rPr>
          <w:rtl/>
          <w:lang w:bidi="fa-IR"/>
        </w:rPr>
        <w:t xml:space="preserve"> إِلى رَبِّ هذِهِ الدَّارِ</w:t>
      </w:r>
      <w:r>
        <w:rPr>
          <w:rtl/>
          <w:lang w:bidi="fa-IR"/>
        </w:rPr>
        <w:t>؟</w:t>
      </w:r>
      <w:r w:rsidRPr="00C9040A">
        <w:rPr>
          <w:rtl/>
          <w:lang w:bidi="fa-IR"/>
        </w:rPr>
        <w:t xml:space="preserve"> قَالَ : أَخٌ لِي ، مُسْلِمٌ ، زُرْتُهُ فِي اللهِ </w:t>
      </w:r>
      <w:r w:rsidR="006C577F" w:rsidRPr="006C577F">
        <w:rPr>
          <w:rStyle w:val="libFootnotenumChar"/>
          <w:rtl/>
        </w:rPr>
        <w:t>(6)</w:t>
      </w:r>
      <w:r w:rsidRPr="00C9040A">
        <w:rPr>
          <w:rtl/>
          <w:lang w:bidi="fa-IR"/>
        </w:rPr>
        <w:t>تَبَارَكَ وَتَعَالى.</w:t>
      </w:r>
    </w:p>
    <w:p w:rsidR="008A74EB" w:rsidRPr="00C9040A" w:rsidRDefault="008A74EB" w:rsidP="008A74EB">
      <w:pPr>
        <w:pStyle w:val="libNormal"/>
        <w:rPr>
          <w:rtl/>
          <w:lang w:bidi="fa-IR"/>
        </w:rPr>
      </w:pPr>
      <w:r w:rsidRPr="00C9040A">
        <w:rPr>
          <w:rtl/>
          <w:lang w:bidi="fa-IR"/>
        </w:rPr>
        <w:t xml:space="preserve">قَالَ </w:t>
      </w:r>
      <w:r w:rsidR="006C577F" w:rsidRPr="006C577F">
        <w:rPr>
          <w:rStyle w:val="libFootnotenumChar"/>
          <w:rtl/>
        </w:rPr>
        <w:t>(7)</w:t>
      </w:r>
      <w:r w:rsidRPr="00C9040A">
        <w:rPr>
          <w:rtl/>
          <w:lang w:bidi="fa-IR"/>
        </w:rPr>
        <w:t xml:space="preserve"> لَهُ الْمَلَكُ : م</w:t>
      </w:r>
      <w:r w:rsidR="0035450F">
        <w:rPr>
          <w:rtl/>
          <w:lang w:bidi="fa-IR"/>
        </w:rPr>
        <w:t>َا جَاءَ بِكَ إِل</w:t>
      </w:r>
      <w:r w:rsidR="0035450F">
        <w:rPr>
          <w:rFonts w:hint="cs"/>
          <w:rtl/>
          <w:lang w:bidi="fa-IR"/>
        </w:rPr>
        <w:t>َّ</w:t>
      </w:r>
      <w:r w:rsidR="0035450F">
        <w:rPr>
          <w:rtl/>
          <w:lang w:bidi="fa-IR"/>
        </w:rPr>
        <w:t>ا</w:t>
      </w:r>
      <w:r w:rsidRPr="00C9040A">
        <w:rPr>
          <w:rtl/>
          <w:lang w:bidi="fa-IR"/>
        </w:rPr>
        <w:t xml:space="preserve"> ذَاكَ</w:t>
      </w:r>
      <w:r>
        <w:rPr>
          <w:rtl/>
          <w:lang w:bidi="fa-IR"/>
        </w:rPr>
        <w:t>؟</w:t>
      </w:r>
      <w:r w:rsidRPr="00C9040A">
        <w:rPr>
          <w:rtl/>
          <w:lang w:bidi="fa-IR"/>
        </w:rPr>
        <w:t xml:space="preserve"> فَقَالَ </w:t>
      </w:r>
      <w:r w:rsidR="006C577F" w:rsidRPr="006C577F">
        <w:rPr>
          <w:rStyle w:val="libFootnotenumChar"/>
          <w:rtl/>
        </w:rPr>
        <w:t>(8)</w:t>
      </w:r>
      <w:r w:rsidR="0035450F">
        <w:rPr>
          <w:rtl/>
          <w:lang w:bidi="fa-IR"/>
        </w:rPr>
        <w:t xml:space="preserve"> : مَا جَاءَ بِي إِل</w:t>
      </w:r>
      <w:r w:rsidR="0035450F">
        <w:rPr>
          <w:rFonts w:hint="cs"/>
          <w:rtl/>
          <w:lang w:bidi="fa-IR"/>
        </w:rPr>
        <w:t>َّ</w:t>
      </w:r>
      <w:r w:rsidR="0035450F">
        <w:rPr>
          <w:rtl/>
          <w:lang w:bidi="fa-IR"/>
        </w:rPr>
        <w:t>ا</w:t>
      </w:r>
      <w:r w:rsidRPr="00C9040A">
        <w:rPr>
          <w:rtl/>
          <w:lang w:bidi="fa-IR"/>
        </w:rPr>
        <w:t xml:space="preserve"> ذَاكَ ، فَقَالَ </w:t>
      </w:r>
      <w:r w:rsidR="006C577F" w:rsidRPr="006C577F">
        <w:rPr>
          <w:rStyle w:val="libFootnotenumChar"/>
          <w:rtl/>
        </w:rPr>
        <w:t>(9)</w:t>
      </w:r>
      <w:r w:rsidRPr="00C9040A">
        <w:rPr>
          <w:rtl/>
          <w:lang w:bidi="fa-IR"/>
        </w:rPr>
        <w:t xml:space="preserve"> : إِنِّي </w:t>
      </w:r>
      <w:r w:rsidR="006C577F" w:rsidRPr="006C577F">
        <w:rPr>
          <w:rStyle w:val="libFootnotenumChar"/>
          <w:rtl/>
        </w:rPr>
        <w:t>(10)</w:t>
      </w:r>
      <w:r w:rsidRPr="00C9040A">
        <w:rPr>
          <w:rtl/>
          <w:lang w:bidi="fa-IR"/>
        </w:rPr>
        <w:t xml:space="preserve"> رَسُولُ اللهِ إِلَيْكَ وَهُوَ يُقْرِئُكَ السَّلَامَ ، وَيَقُولُ : وَجَبَتْ لَكَ الْجَنَّةُ </w:t>
      </w:r>
      <w:r w:rsidR="006C577F" w:rsidRPr="006C577F">
        <w:rPr>
          <w:rStyle w:val="libFootnotenumChar"/>
          <w:rtl/>
        </w:rPr>
        <w:t>(11)</w:t>
      </w:r>
      <w:r w:rsidRPr="00C9040A">
        <w:rPr>
          <w:rtl/>
          <w:lang w:bidi="fa-IR"/>
        </w:rPr>
        <w:t xml:space="preserve"> ، وَقَالَ الْمَلَكُ : إِنَّ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يَقُولُ : أَيُّمَا مُسْلِمٍ زَارَ مُسْلِماً ، فَلَيْسَ إِيَّاهُ زَارَ </w:t>
      </w:r>
      <w:r w:rsidR="006C577F" w:rsidRPr="006C577F">
        <w:rPr>
          <w:rStyle w:val="libFootnotenumChar"/>
          <w:rtl/>
        </w:rPr>
        <w:t>(12)</w:t>
      </w:r>
      <w:r w:rsidRPr="00C9040A">
        <w:rPr>
          <w:rtl/>
          <w:lang w:bidi="fa-IR"/>
        </w:rPr>
        <w:t xml:space="preserve"> ، إِيَّايَ زَارَ ، وَثَوَابُهُ عَلَيَّ الْجَنَّةُ »</w:t>
      </w:r>
      <w:r>
        <w:rPr>
          <w:rtl/>
          <w:lang w:bidi="fa-IR"/>
        </w:rPr>
        <w:t>.</w:t>
      </w:r>
      <w:r w:rsidRPr="00C9040A">
        <w:rPr>
          <w:rtl/>
          <w:lang w:bidi="fa-IR"/>
        </w:rPr>
        <w:t xml:space="preserve"> </w:t>
      </w:r>
      <w:r w:rsidRPr="005B567D">
        <w:rPr>
          <w:rStyle w:val="libFootnotenumChar"/>
          <w:rtl/>
        </w:rPr>
        <w:t>(13)</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35450F" w:rsidP="00EF258E">
      <w:pPr>
        <w:pStyle w:val="libFootnote0"/>
        <w:rPr>
          <w:rtl/>
          <w:lang w:bidi="fa-IR"/>
        </w:rPr>
      </w:pPr>
      <w:r>
        <w:rPr>
          <w:rFonts w:hint="cs"/>
          <w:rtl/>
        </w:rPr>
        <w:t xml:space="preserve">= </w:t>
      </w:r>
      <w:r w:rsidR="008A74EB" w:rsidRPr="00C9040A">
        <w:rPr>
          <w:rtl/>
        </w:rPr>
        <w:t xml:space="preserve">أبي عبد الله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تحف العقول</w:t>
      </w:r>
      <w:r w:rsidR="008A74EB" w:rsidRPr="00C9040A">
        <w:rPr>
          <w:rtl/>
        </w:rPr>
        <w:t xml:space="preserve"> ، ص 298 ، عن أبي جعفر </w:t>
      </w:r>
      <w:r w:rsidR="00117575" w:rsidRPr="00117575">
        <w:rPr>
          <w:rStyle w:val="libFootnoteAlaemChar"/>
          <w:rtl/>
        </w:rPr>
        <w:t>عليه‌السلام</w:t>
      </w:r>
      <w:r w:rsidR="008A74EB" w:rsidRPr="00C9040A">
        <w:rPr>
          <w:rtl/>
        </w:rPr>
        <w:t xml:space="preserve"> ؛ </w:t>
      </w:r>
      <w:r w:rsidR="008A74EB" w:rsidRPr="00993B55">
        <w:rPr>
          <w:rStyle w:val="libFootnoteBoldChar"/>
          <w:rtl/>
        </w:rPr>
        <w:t>فقه الرضا</w:t>
      </w:r>
      <w:r w:rsidR="008A74EB" w:rsidRPr="00C9040A">
        <w:rPr>
          <w:rtl/>
        </w:rPr>
        <w:t xml:space="preserve"> </w:t>
      </w:r>
      <w:r w:rsidR="00117575" w:rsidRPr="00117575">
        <w:rPr>
          <w:rStyle w:val="libFootnoteAlaemChar"/>
          <w:rtl/>
        </w:rPr>
        <w:t>عليه‌السلام</w:t>
      </w:r>
      <w:r w:rsidR="008A74EB" w:rsidRPr="00C9040A">
        <w:rPr>
          <w:rtl/>
        </w:rPr>
        <w:t xml:space="preserve"> ، ص 376. وراجع : </w:t>
      </w:r>
      <w:r w:rsidR="008A74EB" w:rsidRPr="00993B55">
        <w:rPr>
          <w:rStyle w:val="libFootnoteBoldChar"/>
          <w:rtl/>
        </w:rPr>
        <w:t>الكافي</w:t>
      </w:r>
      <w:r w:rsidR="008A74EB" w:rsidRPr="00C9040A">
        <w:rPr>
          <w:rtl/>
        </w:rPr>
        <w:t xml:space="preserve"> ، كتاب فضل‌العلم ، باب لزوم‌الحجّة على‌العالم</w:t>
      </w:r>
      <w:r w:rsidR="008A74EB">
        <w:rPr>
          <w:rtl/>
        </w:rPr>
        <w:t xml:space="preserve"> ..</w:t>
      </w:r>
      <w:r w:rsidR="008A74EB" w:rsidRPr="00C9040A">
        <w:rPr>
          <w:rtl/>
        </w:rPr>
        <w:t>. ، ح 127</w:t>
      </w:r>
      <w:r w:rsidR="00EF258E">
        <w:rPr>
          <w:rFonts w:hint="cs"/>
          <w:rtl/>
        </w:rPr>
        <w:t>.</w:t>
      </w:r>
      <w:r w:rsidR="008A74EB" w:rsidRPr="00993B55">
        <w:rPr>
          <w:rStyle w:val="libFootnoteBoldChar"/>
          <w:rtl/>
        </w:rPr>
        <w:t>الوافي</w:t>
      </w:r>
      <w:r w:rsidR="008A74EB" w:rsidRPr="00C9040A">
        <w:rPr>
          <w:rtl/>
        </w:rPr>
        <w:t xml:space="preserve"> ، ج 5 ، ص 549 ، ح 2556 ؛ </w:t>
      </w:r>
      <w:r w:rsidR="008A74EB" w:rsidRPr="00993B55">
        <w:rPr>
          <w:rStyle w:val="libFootnoteBoldChar"/>
          <w:rtl/>
        </w:rPr>
        <w:t>البحار</w:t>
      </w:r>
      <w:r w:rsidR="008A74EB" w:rsidRPr="00C9040A">
        <w:rPr>
          <w:rtl/>
        </w:rPr>
        <w:t xml:space="preserve"> ، ج 74 ، ص 343 ، ح 2.</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ب » : « على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هكذا في « ب ، ج ، د ، ز ، ض ، ف ، بر ، بس ، بف » وحاشية « ص » وشرح المازندراني والوافي ومرآة العقول. وفي « ص » والمطبوع والوسائل والبحار والمؤمن والاختصاص : « وقع »</w:t>
      </w:r>
      <w:r w:rsidR="008A74EB">
        <w:rPr>
          <w:rtl/>
        </w:rPr>
        <w:t>.</w:t>
      </w:r>
      <w:r w:rsidR="008A74EB" w:rsidRPr="00C9040A">
        <w:rPr>
          <w:rtl/>
        </w:rPr>
        <w:t xml:space="preserve"> </w:t>
      </w:r>
      <w:r w:rsidR="008A74EB">
        <w:rPr>
          <w:rtl/>
        </w:rPr>
        <w:t>و «</w:t>
      </w:r>
      <w:r w:rsidR="008A74EB" w:rsidRPr="00C9040A">
        <w:rPr>
          <w:rtl/>
        </w:rPr>
        <w:t xml:space="preserve"> حتّى دفع » ، أي انتهى ، يقال : دُفعت إلى كذا بالبناء للمفعول ، أي انتهيت إليه. راجع : </w:t>
      </w:r>
      <w:r w:rsidR="008A74EB" w:rsidRPr="00993B55">
        <w:rPr>
          <w:rStyle w:val="libFootnoteBoldChar"/>
          <w:rtl/>
        </w:rPr>
        <w:t>المصباح المنير</w:t>
      </w:r>
      <w:r w:rsidR="008A74EB" w:rsidRPr="00C9040A">
        <w:rPr>
          <w:rtl/>
        </w:rPr>
        <w:t xml:space="preserve"> ، ص 196 ( دفع )</w:t>
      </w:r>
      <w:r w:rsidR="008A74EB">
        <w:rPr>
          <w:rtl/>
        </w:rPr>
        <w:t>.</w:t>
      </w:r>
    </w:p>
    <w:tbl>
      <w:tblPr>
        <w:tblStyle w:val="TableGrid"/>
        <w:bidiVisual/>
        <w:tblW w:w="0" w:type="auto"/>
        <w:tblLook w:val="04A0" w:firstRow="1" w:lastRow="0" w:firstColumn="1" w:lastColumn="0" w:noHBand="0" w:noVBand="1"/>
      </w:tblPr>
      <w:tblGrid>
        <w:gridCol w:w="4006"/>
        <w:gridCol w:w="4006"/>
      </w:tblGrid>
      <w:tr w:rsidR="00EF258E" w:rsidTr="00EF258E">
        <w:tc>
          <w:tcPr>
            <w:tcW w:w="4006" w:type="dxa"/>
          </w:tcPr>
          <w:p w:rsidR="00EF258E" w:rsidRDefault="00EF258E" w:rsidP="004A4E41">
            <w:pPr>
              <w:pStyle w:val="libFootnote0"/>
              <w:rPr>
                <w:rtl/>
              </w:rPr>
            </w:pPr>
            <w:r>
              <w:rPr>
                <w:rtl/>
              </w:rPr>
              <w:t>(3).</w:t>
            </w:r>
            <w:r w:rsidRPr="00C9040A">
              <w:rPr>
                <w:rtl/>
              </w:rPr>
              <w:t xml:space="preserve"> في « ب » : « على »</w:t>
            </w:r>
            <w:r>
              <w:rPr>
                <w:rtl/>
              </w:rPr>
              <w:t>.</w:t>
            </w:r>
          </w:p>
        </w:tc>
        <w:tc>
          <w:tcPr>
            <w:tcW w:w="4006" w:type="dxa"/>
          </w:tcPr>
          <w:p w:rsidR="00EF258E" w:rsidRDefault="00EF258E" w:rsidP="004A4E41">
            <w:pPr>
              <w:pStyle w:val="libFootnote0"/>
              <w:rPr>
                <w:rtl/>
              </w:rPr>
            </w:pPr>
            <w:r>
              <w:rPr>
                <w:rtl/>
              </w:rPr>
              <w:t>(4).</w:t>
            </w:r>
            <w:r w:rsidRPr="00C9040A">
              <w:rPr>
                <w:rtl/>
              </w:rPr>
              <w:t xml:space="preserve"> في المؤمن والاختصاص </w:t>
            </w:r>
            <w:r>
              <w:rPr>
                <w:rtl/>
              </w:rPr>
              <w:t>: -</w:t>
            </w:r>
            <w:r w:rsidRPr="00C9040A">
              <w:rPr>
                <w:rtl/>
              </w:rPr>
              <w:t xml:space="preserve"> « عليه »</w:t>
            </w:r>
            <w:r>
              <w:rPr>
                <w:rtl/>
              </w:rPr>
              <w:t>.</w:t>
            </w:r>
          </w:p>
        </w:tc>
      </w:tr>
      <w:tr w:rsidR="00EF258E" w:rsidTr="00EF258E">
        <w:tc>
          <w:tcPr>
            <w:tcW w:w="4006" w:type="dxa"/>
          </w:tcPr>
          <w:p w:rsidR="00EF258E" w:rsidRDefault="00EF258E" w:rsidP="004A4E41">
            <w:pPr>
              <w:pStyle w:val="libFootnote0"/>
              <w:rPr>
                <w:rtl/>
              </w:rPr>
            </w:pPr>
            <w:r>
              <w:rPr>
                <w:rtl/>
              </w:rPr>
              <w:t>(5).</w:t>
            </w:r>
            <w:r w:rsidRPr="00C9040A">
              <w:rPr>
                <w:rtl/>
              </w:rPr>
              <w:t xml:space="preserve"> في حاشية « ص » : « ما جاء بك »</w:t>
            </w:r>
            <w:r>
              <w:rPr>
                <w:rtl/>
              </w:rPr>
              <w:t>.</w:t>
            </w:r>
          </w:p>
        </w:tc>
        <w:tc>
          <w:tcPr>
            <w:tcW w:w="4006" w:type="dxa"/>
          </w:tcPr>
          <w:p w:rsidR="00EF258E" w:rsidRDefault="00EF258E" w:rsidP="004A4E41">
            <w:pPr>
              <w:pStyle w:val="libFootnote0"/>
              <w:rPr>
                <w:rtl/>
              </w:rPr>
            </w:pPr>
            <w:r>
              <w:rPr>
                <w:rtl/>
              </w:rPr>
              <w:t xml:space="preserve">(6). </w:t>
            </w:r>
            <w:r w:rsidRPr="00C9040A">
              <w:rPr>
                <w:rtl/>
              </w:rPr>
              <w:t>في « ب » : « لله »</w:t>
            </w:r>
            <w:r>
              <w:rPr>
                <w:rtl/>
              </w:rPr>
              <w:t>.</w:t>
            </w:r>
          </w:p>
        </w:tc>
      </w:tr>
      <w:tr w:rsidR="00EF258E" w:rsidTr="00EF258E">
        <w:tc>
          <w:tcPr>
            <w:tcW w:w="4006" w:type="dxa"/>
          </w:tcPr>
          <w:p w:rsidR="00EF258E" w:rsidRDefault="00EF258E" w:rsidP="004A4E41">
            <w:pPr>
              <w:pStyle w:val="libFootnote0"/>
              <w:rPr>
                <w:rtl/>
              </w:rPr>
            </w:pPr>
            <w:r>
              <w:rPr>
                <w:rtl/>
              </w:rPr>
              <w:t>(7).</w:t>
            </w:r>
            <w:r w:rsidRPr="00C9040A">
              <w:rPr>
                <w:rtl/>
              </w:rPr>
              <w:t xml:space="preserve"> في « بر ، بف » والوافي : « فقال »</w:t>
            </w:r>
            <w:r>
              <w:rPr>
                <w:rtl/>
              </w:rPr>
              <w:t>.</w:t>
            </w:r>
          </w:p>
        </w:tc>
        <w:tc>
          <w:tcPr>
            <w:tcW w:w="4006" w:type="dxa"/>
          </w:tcPr>
          <w:p w:rsidR="00EF258E" w:rsidRDefault="00EF258E" w:rsidP="004A4E41">
            <w:pPr>
              <w:pStyle w:val="libFootnote0"/>
              <w:rPr>
                <w:rtl/>
              </w:rPr>
            </w:pPr>
            <w:r>
              <w:rPr>
                <w:rtl/>
              </w:rPr>
              <w:t>(8).</w:t>
            </w:r>
            <w:r w:rsidRPr="00C9040A">
              <w:rPr>
                <w:rtl/>
              </w:rPr>
              <w:t xml:space="preserve"> في الوافي : + « له »</w:t>
            </w:r>
            <w:r>
              <w:rPr>
                <w:rtl/>
              </w:rPr>
              <w:t>.</w:t>
            </w:r>
          </w:p>
        </w:tc>
      </w:tr>
    </w:tbl>
    <w:p w:rsidR="008A74EB" w:rsidRPr="00C9040A" w:rsidRDefault="006C577F" w:rsidP="004A4E41">
      <w:pPr>
        <w:pStyle w:val="libFootnote0"/>
        <w:rPr>
          <w:rtl/>
          <w:lang w:bidi="fa-IR"/>
        </w:rPr>
      </w:pPr>
      <w:r>
        <w:rPr>
          <w:rtl/>
        </w:rPr>
        <w:t>(9).</w:t>
      </w:r>
      <w:r w:rsidR="008A74EB" w:rsidRPr="00C9040A">
        <w:rPr>
          <w:rtl/>
        </w:rPr>
        <w:t xml:space="preserve"> في « ج ، د ، ز ، ص ، ض ، ف ، بر » والوافي والبحار والمؤمن والاختصاص : « قال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 ب ، ج ، د ، ز ، ص ، ض ، ف ، بر » والوافي والوسائل والبحار والمؤمن والاختصاص : « فإنّي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في « ص ، ف » : + « قال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في البحار والاختصاص : + « بل »</w:t>
      </w:r>
      <w:r w:rsidR="008A74EB">
        <w:rPr>
          <w:rtl/>
        </w:rPr>
        <w:t>.</w:t>
      </w:r>
      <w:r w:rsidR="008A74EB" w:rsidRPr="00C9040A">
        <w:rPr>
          <w:rtl/>
        </w:rPr>
        <w:t xml:space="preserve"> وفي المؤمن : + « وإنّما »</w:t>
      </w:r>
      <w:r w:rsidR="008A74EB">
        <w:rPr>
          <w:rtl/>
        </w:rPr>
        <w:t>.</w:t>
      </w:r>
    </w:p>
    <w:p w:rsidR="008A74EB" w:rsidRPr="00C9040A" w:rsidRDefault="008A74EB" w:rsidP="00F02184">
      <w:pPr>
        <w:pStyle w:val="libFootnote0"/>
        <w:rPr>
          <w:rtl/>
          <w:lang w:bidi="fa-IR"/>
        </w:rPr>
      </w:pPr>
      <w:r>
        <w:rPr>
          <w:rtl/>
        </w:rPr>
        <w:t>(13)</w:t>
      </w:r>
      <w:r w:rsidRPr="00C9040A">
        <w:rPr>
          <w:rtl/>
        </w:rPr>
        <w:t xml:space="preserve"> </w:t>
      </w:r>
      <w:r w:rsidRPr="0034021D">
        <w:rPr>
          <w:rStyle w:val="libFootnoteBoldChar"/>
          <w:rtl/>
        </w:rPr>
        <w:t>الأمالي للصدوق</w:t>
      </w:r>
      <w:r w:rsidRPr="00C9040A">
        <w:rPr>
          <w:rtl/>
        </w:rPr>
        <w:t xml:space="preserve"> ، ص 199 ، المجلس 36 ، ح 7 ؛ و</w:t>
      </w:r>
      <w:r w:rsidRPr="00993B55">
        <w:rPr>
          <w:rStyle w:val="libFootnoteBoldChar"/>
          <w:rtl/>
        </w:rPr>
        <w:t xml:space="preserve">ثواب الأعمال </w:t>
      </w:r>
      <w:r w:rsidRPr="00C9040A">
        <w:rPr>
          <w:rtl/>
        </w:rPr>
        <w:t xml:space="preserve">، ص 204 ، ح 1 ، بسند آخر عن أبي جعفر </w:t>
      </w:r>
      <w:r w:rsidR="00F02184" w:rsidRPr="00117575">
        <w:rPr>
          <w:rStyle w:val="libFootnoteAlaemChar"/>
          <w:rtl/>
        </w:rPr>
        <w:t xml:space="preserve">عليه‌السلام </w:t>
      </w:r>
      <w:r w:rsidRPr="00C9040A">
        <w:rPr>
          <w:rtl/>
        </w:rPr>
        <w:t xml:space="preserve">، من دون الإسناد إلى النبيّ </w:t>
      </w:r>
      <w:r w:rsidR="004A4E41" w:rsidRPr="00411D58">
        <w:rPr>
          <w:rStyle w:val="libFootnoteAlaemChar"/>
          <w:rtl/>
        </w:rPr>
        <w:t>صلى‌الله‌عليه‌وآله</w:t>
      </w:r>
      <w:r w:rsidRPr="00C9040A">
        <w:rPr>
          <w:rtl/>
        </w:rPr>
        <w:t xml:space="preserve">. </w:t>
      </w:r>
      <w:r w:rsidRPr="00993B55">
        <w:rPr>
          <w:rStyle w:val="libFootnoteBoldChar"/>
          <w:rtl/>
        </w:rPr>
        <w:t>الاختصاص</w:t>
      </w:r>
      <w:r w:rsidRPr="00C9040A">
        <w:rPr>
          <w:rtl/>
        </w:rPr>
        <w:t xml:space="preserve"> ، ص 26 ، مرسلاً عن جابر ، عن أبي جعفر ، عن آبائه </w:t>
      </w:r>
      <w:r w:rsidR="00117575" w:rsidRPr="00117575">
        <w:rPr>
          <w:rStyle w:val="libFootnoteAlaemChar"/>
          <w:rtl/>
        </w:rPr>
        <w:t>عليهم‌السلام</w:t>
      </w:r>
      <w:r w:rsidRPr="00C9040A">
        <w:rPr>
          <w:rtl/>
        </w:rPr>
        <w:t xml:space="preserve"> </w:t>
      </w:r>
      <w:r w:rsidR="0030729F">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A62C57">
        <w:rPr>
          <w:rtl/>
        </w:rPr>
        <w:t>2079</w:t>
      </w:r>
      <w:r w:rsidRPr="00261CB0">
        <w:rPr>
          <w:rStyle w:val="libBold2Char"/>
          <w:rtl/>
        </w:rPr>
        <w:t xml:space="preserve"> / 4.</w:t>
      </w:r>
      <w:r w:rsidRPr="00C9040A">
        <w:rPr>
          <w:rtl/>
          <w:lang w:bidi="fa-IR"/>
        </w:rPr>
        <w:t xml:space="preserve"> عَلِيٌّ ، عَنْ أَبِيهِ ، عَنِ ابْنِ أَبِي عُمَيْرٍ ، عَنْ عَلِيٍّ </w:t>
      </w:r>
      <w:r w:rsidR="006C577F" w:rsidRPr="006C577F">
        <w:rPr>
          <w:rStyle w:val="libFootnotenumChar"/>
          <w:rtl/>
        </w:rPr>
        <w:t>(1)</w:t>
      </w:r>
      <w:r w:rsidRPr="00C9040A">
        <w:rPr>
          <w:rtl/>
          <w:lang w:bidi="fa-IR"/>
        </w:rPr>
        <w:t xml:space="preserve"> النَّهْدِيِّ ، عَنِ الْحُصَيْنِ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مَنْ زَارَ أَخَاهُ فِي اللهِ ، قَالَ اللهُ عَزَّ وَجَلَّ : إِيَّايَ زُرْتَ ، وَثَوَابُكَ عَلَيَّ ، وَلَسْتُ أَرْضى لَكَ ثَوَاباً دُونَ </w:t>
      </w:r>
      <w:r w:rsidR="006C577F" w:rsidRPr="006C577F">
        <w:rPr>
          <w:rStyle w:val="libFootnotenumChar"/>
          <w:rtl/>
        </w:rPr>
        <w:t>(2)</w:t>
      </w:r>
      <w:r w:rsidRPr="00C9040A">
        <w:rPr>
          <w:rtl/>
          <w:lang w:bidi="fa-IR"/>
        </w:rPr>
        <w:t xml:space="preserve"> الْجَنَّةِ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A62C57">
        <w:rPr>
          <w:rtl/>
        </w:rPr>
        <w:t>2080</w:t>
      </w:r>
      <w:r w:rsidRPr="00261CB0">
        <w:rPr>
          <w:rStyle w:val="libBold2Char"/>
          <w:rtl/>
        </w:rPr>
        <w:t xml:space="preserve"> / 5.</w:t>
      </w:r>
      <w:r w:rsidRPr="00C9040A">
        <w:rPr>
          <w:rtl/>
          <w:lang w:bidi="fa-IR"/>
        </w:rPr>
        <w:t xml:space="preserve"> عِدَّةٌ مِنْ أَصْحَابِنَا ، عَنْ أَحْمَدَ بْنِ مُحَمَّدٍ ، عَنْ عَلِيِّ بْنِ الْحَكَمِ ، عَنْ سَيْفِ بْنِ عَمِيرَةَ ، عَنْ يَعْقُوبَ بْنِ شُعَيْبٍ ، قَالَ :</w:t>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 « مَنْ زَارَ أَخَاهُ فِي جَانِبِ الْمِصْرِ </w:t>
      </w:r>
      <w:r w:rsidR="006C577F" w:rsidRPr="006C577F">
        <w:rPr>
          <w:rStyle w:val="libFootnotenumChar"/>
          <w:rtl/>
        </w:rPr>
        <w:t>(4)</w:t>
      </w:r>
      <w:r w:rsidRPr="00C9040A">
        <w:rPr>
          <w:rtl/>
          <w:lang w:bidi="fa-IR"/>
        </w:rPr>
        <w:t xml:space="preserve"> ابْتِغَاءَ وَجْهِ اللهِ ، فَهُوَ زَوْرُهُ </w:t>
      </w:r>
      <w:r w:rsidR="006C577F" w:rsidRPr="006C577F">
        <w:rPr>
          <w:rStyle w:val="libFootnotenumChar"/>
          <w:rtl/>
        </w:rPr>
        <w:t>(5)</w:t>
      </w:r>
      <w:r w:rsidRPr="00C9040A">
        <w:rPr>
          <w:rtl/>
          <w:lang w:bidi="fa-IR"/>
        </w:rPr>
        <w:t xml:space="preserve"> ، وَحَقٌّ عَلَى اللهِ أَنْ يُكْرِمَ زَوْرَهُ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Normal"/>
        <w:rPr>
          <w:rtl/>
          <w:lang w:bidi="fa-IR"/>
        </w:rPr>
      </w:pPr>
      <w:r w:rsidRPr="00A62C57">
        <w:rPr>
          <w:rtl/>
        </w:rPr>
        <w:t>2081</w:t>
      </w:r>
      <w:r w:rsidRPr="00261CB0">
        <w:rPr>
          <w:rStyle w:val="libBold2Char"/>
          <w:rtl/>
        </w:rPr>
        <w:t xml:space="preserve"> / 6.</w:t>
      </w:r>
      <w:r w:rsidRPr="00C9040A">
        <w:rPr>
          <w:rtl/>
          <w:lang w:bidi="fa-IR"/>
        </w:rPr>
        <w:t xml:space="preserve"> عَنْهُ </w:t>
      </w:r>
      <w:r w:rsidR="006C577F" w:rsidRPr="006C577F">
        <w:rPr>
          <w:rStyle w:val="libFootnotenumChar"/>
          <w:rtl/>
        </w:rPr>
        <w:t>(7)</w:t>
      </w:r>
      <w:r w:rsidRPr="00C9040A">
        <w:rPr>
          <w:rtl/>
          <w:lang w:bidi="fa-IR"/>
        </w:rPr>
        <w:t xml:space="preserve"> ، عَنْ عَلِيِّ بْنِ الْحَكَمِ ، عَنْ سَيْفِ بْنِ عَمِيرَةَ ، عَنْ جَابِرٍ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مَنْ زَارَ أَخَاهُ فِي بَيْتِهِ </w:t>
      </w:r>
      <w:r w:rsidR="006C577F" w:rsidRPr="006C577F">
        <w:rPr>
          <w:rStyle w:val="libFootnotenumChar"/>
          <w:rtl/>
        </w:rPr>
        <w:t>(8)</w:t>
      </w:r>
      <w:r w:rsidRPr="00C9040A">
        <w:rPr>
          <w:rtl/>
          <w:lang w:bidi="fa-IR"/>
        </w:rPr>
        <w:t xml:space="preserve"> ، قَالَ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لَهُ : أَنْتَ ضَيْفِي وَزَائِرِي ، عَلَيَّ </w:t>
      </w:r>
      <w:r w:rsidR="006C577F" w:rsidRPr="006C577F">
        <w:rPr>
          <w:rStyle w:val="libFootnotenumChar"/>
          <w:rtl/>
        </w:rPr>
        <w:t>(9)</w:t>
      </w:r>
      <w:r w:rsidRPr="00C9040A">
        <w:rPr>
          <w:rtl/>
          <w:lang w:bidi="fa-IR"/>
        </w:rPr>
        <w:t xml:space="preserve"> قِرَاكَ </w:t>
      </w:r>
      <w:r w:rsidR="006C577F" w:rsidRPr="006C577F">
        <w:rPr>
          <w:rStyle w:val="libFootnotenumChar"/>
          <w:rtl/>
        </w:rPr>
        <w:t>(10)</w:t>
      </w:r>
      <w:r w:rsidRPr="00C9040A">
        <w:rPr>
          <w:rtl/>
          <w:lang w:bidi="fa-IR"/>
        </w:rPr>
        <w:t xml:space="preserve"> ، وَقَدْ أَوْجَبْتُ لَكَ الْجَنَّةَ بِحُبِّكَ إِيَّاهُ »</w:t>
      </w:r>
      <w:r>
        <w:rPr>
          <w:rtl/>
          <w:lang w:bidi="fa-IR"/>
        </w:rPr>
        <w:t>.</w:t>
      </w:r>
      <w:r w:rsidRPr="00C9040A">
        <w:rPr>
          <w:rtl/>
          <w:lang w:bidi="fa-IR"/>
        </w:rPr>
        <w:t xml:space="preserve"> </w:t>
      </w:r>
      <w:r w:rsidR="006C577F" w:rsidRPr="006C577F">
        <w:rPr>
          <w:rStyle w:val="libFootnotenumChar"/>
          <w:rtl/>
        </w:rPr>
        <w:t>(11)</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BA1" w:rsidP="00411D58">
      <w:pPr>
        <w:pStyle w:val="libFootnote0"/>
        <w:rPr>
          <w:rtl/>
          <w:lang w:bidi="fa-IR"/>
        </w:rPr>
      </w:pPr>
      <w:r>
        <w:rPr>
          <w:rFonts w:hint="cs"/>
          <w:rtl/>
          <w:lang w:bidi="fa-IR"/>
        </w:rPr>
        <w:t xml:space="preserve">= </w:t>
      </w:r>
      <w:r w:rsidR="008A74EB" w:rsidRPr="00C9040A">
        <w:rPr>
          <w:rtl/>
        </w:rPr>
        <w:t xml:space="preserve">عن النبيّ </w:t>
      </w:r>
      <w:r w:rsidR="00411D58" w:rsidRPr="006C5BA1">
        <w:rPr>
          <w:rStyle w:val="libFootnoteAlaemChar"/>
          <w:rtl/>
        </w:rPr>
        <w:t>صلى‌الله‌عليه‌وآله</w:t>
      </w:r>
      <w:r w:rsidR="00411D58" w:rsidRPr="00C9040A">
        <w:rPr>
          <w:rtl/>
        </w:rPr>
        <w:t xml:space="preserve"> </w:t>
      </w:r>
      <w:r w:rsidR="008A74EB" w:rsidRPr="00C9040A">
        <w:rPr>
          <w:rtl/>
        </w:rPr>
        <w:t xml:space="preserve">؛ </w:t>
      </w:r>
      <w:r w:rsidR="008A74EB" w:rsidRPr="00993B55">
        <w:rPr>
          <w:rStyle w:val="libFootnoteBoldChar"/>
          <w:rtl/>
        </w:rPr>
        <w:t>المؤمن</w:t>
      </w:r>
      <w:r w:rsidR="008A74EB" w:rsidRPr="00C9040A">
        <w:rPr>
          <w:rtl/>
        </w:rPr>
        <w:t xml:space="preserve"> ، ص 59 ، ح 150 ، عن أبي جعفر ، عن آبائه </w:t>
      </w:r>
      <w:r w:rsidR="00117575" w:rsidRPr="00117575">
        <w:rPr>
          <w:rStyle w:val="libFootnoteAlaemChar"/>
          <w:rtl/>
        </w:rPr>
        <w:t>عليهم‌السلام</w:t>
      </w:r>
      <w:r w:rsidR="008A74EB" w:rsidRPr="00C9040A">
        <w:rPr>
          <w:rtl/>
        </w:rPr>
        <w:t xml:space="preserve"> عن النبيّ </w:t>
      </w:r>
      <w:r w:rsidR="004A4E41" w:rsidRPr="006C5BA1">
        <w:rPr>
          <w:rStyle w:val="libFootnoteAlaemChar"/>
          <w:rtl/>
        </w:rPr>
        <w:t>صلى‌الله‌عليه‌وآله</w:t>
      </w:r>
      <w:r>
        <w:rPr>
          <w:rFonts w:hint="cs"/>
          <w:rtl/>
        </w:rPr>
        <w:t>.</w:t>
      </w:r>
      <w:r w:rsidR="008A74EB" w:rsidRPr="00993B55">
        <w:rPr>
          <w:rStyle w:val="libFootnoteBoldChar"/>
          <w:rtl/>
        </w:rPr>
        <w:t>الوافي</w:t>
      </w:r>
      <w:r w:rsidR="008A74EB" w:rsidRPr="00C9040A">
        <w:rPr>
          <w:rtl/>
        </w:rPr>
        <w:t xml:space="preserve"> ، ج 5 ، ص 590 ، ح 2635 ؛ </w:t>
      </w:r>
      <w:r w:rsidR="008A74EB" w:rsidRPr="00993B55">
        <w:rPr>
          <w:rStyle w:val="libFootnoteBoldChar"/>
          <w:rtl/>
        </w:rPr>
        <w:t>الوسائل</w:t>
      </w:r>
      <w:r w:rsidR="008A74EB" w:rsidRPr="00C9040A">
        <w:rPr>
          <w:rtl/>
        </w:rPr>
        <w:t xml:space="preserve"> ، ج 14 ، ص 583 ، ح 19864 ؛ </w:t>
      </w:r>
      <w:r w:rsidR="008A74EB" w:rsidRPr="00993B55">
        <w:rPr>
          <w:rStyle w:val="libFootnoteBoldChar"/>
          <w:rtl/>
        </w:rPr>
        <w:t>البحار</w:t>
      </w:r>
      <w:r w:rsidR="008A74EB" w:rsidRPr="00C9040A">
        <w:rPr>
          <w:rtl/>
        </w:rPr>
        <w:t xml:space="preserve"> ، ج 74 ، ص 344 ، ح 3.</w:t>
      </w:r>
    </w:p>
    <w:tbl>
      <w:tblPr>
        <w:tblStyle w:val="TableGrid"/>
        <w:bidiVisual/>
        <w:tblW w:w="0" w:type="auto"/>
        <w:tblLook w:val="04A0" w:firstRow="1" w:lastRow="0" w:firstColumn="1" w:lastColumn="0" w:noHBand="0" w:noVBand="1"/>
      </w:tblPr>
      <w:tblGrid>
        <w:gridCol w:w="4006"/>
        <w:gridCol w:w="4006"/>
      </w:tblGrid>
      <w:tr w:rsidR="006C5BA1" w:rsidTr="006C5BA1">
        <w:tc>
          <w:tcPr>
            <w:tcW w:w="4006" w:type="dxa"/>
          </w:tcPr>
          <w:p w:rsidR="006C5BA1" w:rsidRDefault="006C5BA1" w:rsidP="004A4E41">
            <w:pPr>
              <w:pStyle w:val="libFootnote0"/>
              <w:rPr>
                <w:rtl/>
              </w:rPr>
            </w:pPr>
            <w:r>
              <w:rPr>
                <w:rtl/>
              </w:rPr>
              <w:t xml:space="preserve">(1). </w:t>
            </w:r>
            <w:r w:rsidRPr="00C9040A">
              <w:rPr>
                <w:rtl/>
              </w:rPr>
              <w:t>في « ب » والوسائل : + « بن »</w:t>
            </w:r>
            <w:r>
              <w:rPr>
                <w:rtl/>
              </w:rPr>
              <w:t>.</w:t>
            </w:r>
          </w:p>
        </w:tc>
        <w:tc>
          <w:tcPr>
            <w:tcW w:w="4006" w:type="dxa"/>
          </w:tcPr>
          <w:p w:rsidR="006C5BA1" w:rsidRDefault="006C5BA1" w:rsidP="004A4E41">
            <w:pPr>
              <w:pStyle w:val="libFootnote0"/>
              <w:rPr>
                <w:rtl/>
              </w:rPr>
            </w:pPr>
            <w:r>
              <w:rPr>
                <w:rtl/>
              </w:rPr>
              <w:t xml:space="preserve">(2). </w:t>
            </w:r>
            <w:r w:rsidRPr="00C9040A">
              <w:rPr>
                <w:rtl/>
              </w:rPr>
              <w:t>في الوسائل : « بدون »</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w:t>
      </w:r>
      <w:r w:rsidR="008A74EB" w:rsidRPr="00993B55">
        <w:rPr>
          <w:rStyle w:val="libFootnoteBoldChar"/>
          <w:rtl/>
        </w:rPr>
        <w:t>الوافي</w:t>
      </w:r>
      <w:r w:rsidR="008A74EB" w:rsidRPr="00C9040A">
        <w:rPr>
          <w:rtl/>
        </w:rPr>
        <w:t xml:space="preserve"> ، ج 5 ، ص 591 ، ح 2636 ؛ </w:t>
      </w:r>
      <w:r w:rsidR="008A74EB" w:rsidRPr="00993B55">
        <w:rPr>
          <w:rStyle w:val="libFootnoteBoldChar"/>
          <w:rtl/>
        </w:rPr>
        <w:t>الوسائل</w:t>
      </w:r>
      <w:r w:rsidR="008A74EB" w:rsidRPr="00C9040A">
        <w:rPr>
          <w:rtl/>
        </w:rPr>
        <w:t xml:space="preserve"> ، ج 14 ، ص 584 ، ح 19865 ؛ </w:t>
      </w:r>
      <w:r w:rsidR="008A74EB" w:rsidRPr="00993B55">
        <w:rPr>
          <w:rStyle w:val="libFootnoteBoldChar"/>
          <w:rtl/>
        </w:rPr>
        <w:t>البحار</w:t>
      </w:r>
      <w:r w:rsidR="008A74EB" w:rsidRPr="00C9040A">
        <w:rPr>
          <w:rtl/>
        </w:rPr>
        <w:t xml:space="preserve"> ، ج 74 ، ص 345 ، ح 4.</w:t>
      </w:r>
    </w:p>
    <w:p w:rsidR="008A74EB" w:rsidRPr="00C9040A" w:rsidRDefault="006C577F" w:rsidP="004A4E41">
      <w:pPr>
        <w:pStyle w:val="libFootnote0"/>
        <w:rPr>
          <w:rtl/>
          <w:lang w:bidi="fa-IR"/>
        </w:rPr>
      </w:pPr>
      <w:r>
        <w:rPr>
          <w:rtl/>
        </w:rPr>
        <w:t>(4).</w:t>
      </w:r>
      <w:r w:rsidR="008A74EB" w:rsidRPr="00C9040A">
        <w:rPr>
          <w:rtl/>
        </w:rPr>
        <w:t xml:space="preserve"> « المصر » : البلد. وفي جانب المصر ، أي ناحية من البلد ، داخلاً أو خارجاً. وهو كناية عن بعد المسافة بينهما. راجع : </w:t>
      </w:r>
      <w:r w:rsidR="008A74EB" w:rsidRPr="00993B55">
        <w:rPr>
          <w:rStyle w:val="libFootnoteBoldChar"/>
          <w:rtl/>
        </w:rPr>
        <w:t>مرآة العقول</w:t>
      </w:r>
      <w:r w:rsidR="008A74EB" w:rsidRPr="00C9040A">
        <w:rPr>
          <w:rtl/>
        </w:rPr>
        <w:t xml:space="preserve"> ، ج 9 ، ص 55 ؛ </w:t>
      </w:r>
      <w:r w:rsidR="008A74EB" w:rsidRPr="00993B55">
        <w:rPr>
          <w:rStyle w:val="libFootnoteBoldChar"/>
          <w:rtl/>
        </w:rPr>
        <w:t>النهاية</w:t>
      </w:r>
      <w:r w:rsidR="008A74EB" w:rsidRPr="00C9040A">
        <w:rPr>
          <w:rtl/>
        </w:rPr>
        <w:t xml:space="preserve"> ، ج 4 ، ص 336 ( مصر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 الزَّوْر » : الزائر. وهو في الأصل مصدر وضع موضع الاسم ، كصوم ونوم ، بمعنى صائم ونائم. </w:t>
      </w:r>
      <w:r w:rsidR="008A74EB" w:rsidRPr="00993B55">
        <w:rPr>
          <w:rStyle w:val="libFootnoteBoldChar"/>
          <w:rtl/>
        </w:rPr>
        <w:t>النهاية</w:t>
      </w:r>
      <w:r w:rsidR="008A74EB" w:rsidRPr="00C9040A">
        <w:rPr>
          <w:rtl/>
        </w:rPr>
        <w:t xml:space="preserve"> ، ج 2 ، ص 318 ( زور )</w:t>
      </w:r>
      <w:r w:rsidR="008A74EB">
        <w:rPr>
          <w:rtl/>
        </w:rPr>
        <w:t>.</w:t>
      </w:r>
    </w:p>
    <w:p w:rsidR="008A74EB" w:rsidRPr="00C9040A" w:rsidRDefault="006C577F" w:rsidP="00B03D64">
      <w:pPr>
        <w:pStyle w:val="libFootnote0"/>
        <w:rPr>
          <w:rtl/>
          <w:lang w:bidi="fa-IR"/>
        </w:rPr>
      </w:pPr>
      <w:r>
        <w:rPr>
          <w:rtl/>
        </w:rPr>
        <w:t>(6).</w:t>
      </w:r>
      <w:r w:rsidR="008A74EB">
        <w:rPr>
          <w:rtl/>
        </w:rPr>
        <w:t xml:space="preserve"> </w:t>
      </w:r>
      <w:r w:rsidR="008A74EB" w:rsidRPr="00993B55">
        <w:rPr>
          <w:rStyle w:val="libFootnoteBoldChar"/>
          <w:rtl/>
        </w:rPr>
        <w:t>تحف العقول</w:t>
      </w:r>
      <w:r w:rsidR="008A74EB" w:rsidRPr="00C9040A">
        <w:rPr>
          <w:rtl/>
        </w:rPr>
        <w:t xml:space="preserve"> ، ص 6 ، ضمن الحديث الطويل ، عن رسول الله </w:t>
      </w:r>
      <w:r w:rsidR="004A4E41" w:rsidRPr="00B03D64">
        <w:rPr>
          <w:rStyle w:val="libFootnoteAlaemChar"/>
          <w:rtl/>
        </w:rPr>
        <w:t>صلى‌الله‌عليه‌وآله</w:t>
      </w:r>
      <w:r w:rsidR="008A74EB" w:rsidRPr="00C9040A">
        <w:rPr>
          <w:rtl/>
        </w:rPr>
        <w:t xml:space="preserve"> ، مع اختلاف يسير</w:t>
      </w:r>
      <w:r w:rsidR="00B03D64">
        <w:rPr>
          <w:rFonts w:hint="cs"/>
          <w:rtl/>
        </w:rPr>
        <w:t>.</w:t>
      </w:r>
      <w:r w:rsidR="008A74EB" w:rsidRPr="00993B55">
        <w:rPr>
          <w:rStyle w:val="libFootnoteBoldChar"/>
          <w:rtl/>
        </w:rPr>
        <w:t>الوافي</w:t>
      </w:r>
      <w:r w:rsidR="008A74EB" w:rsidRPr="00C9040A">
        <w:rPr>
          <w:rtl/>
        </w:rPr>
        <w:t xml:space="preserve"> ، ج 5 ، ص 591 ، ح 2637 ؛ </w:t>
      </w:r>
      <w:r w:rsidR="008A74EB" w:rsidRPr="00993B55">
        <w:rPr>
          <w:rStyle w:val="libFootnoteBoldChar"/>
          <w:rtl/>
        </w:rPr>
        <w:t>الوسائل</w:t>
      </w:r>
      <w:r w:rsidR="008A74EB" w:rsidRPr="00C9040A">
        <w:rPr>
          <w:rtl/>
        </w:rPr>
        <w:t xml:space="preserve"> ، ج 14 ، ص 581 ، ح 19859 ؛ </w:t>
      </w:r>
      <w:r w:rsidR="008A74EB" w:rsidRPr="00993B55">
        <w:rPr>
          <w:rStyle w:val="libFootnoteBoldChar"/>
          <w:rtl/>
        </w:rPr>
        <w:t>البحار</w:t>
      </w:r>
      <w:r w:rsidR="008A74EB" w:rsidRPr="00C9040A">
        <w:rPr>
          <w:rtl/>
        </w:rPr>
        <w:t xml:space="preserve"> ، ج 74 ، ص 345 ، ح 5.</w:t>
      </w:r>
    </w:p>
    <w:p w:rsidR="008A74EB" w:rsidRPr="00C9040A" w:rsidRDefault="006C577F" w:rsidP="004A4E41">
      <w:pPr>
        <w:pStyle w:val="libFootnote0"/>
        <w:rPr>
          <w:rtl/>
          <w:lang w:bidi="fa-IR"/>
        </w:rPr>
      </w:pPr>
      <w:r>
        <w:rPr>
          <w:rtl/>
        </w:rPr>
        <w:t>(7).</w:t>
      </w:r>
      <w:r w:rsidR="008A74EB" w:rsidRPr="00C9040A">
        <w:rPr>
          <w:rtl/>
        </w:rPr>
        <w:t xml:space="preserve"> الضمير راجع إلى أحمد بن محمّد المذكور في السند السابق.</w:t>
      </w:r>
    </w:p>
    <w:tbl>
      <w:tblPr>
        <w:tblStyle w:val="TableGrid"/>
        <w:bidiVisual/>
        <w:tblW w:w="0" w:type="auto"/>
        <w:tblLook w:val="04A0" w:firstRow="1" w:lastRow="0" w:firstColumn="1" w:lastColumn="0" w:noHBand="0" w:noVBand="1"/>
      </w:tblPr>
      <w:tblGrid>
        <w:gridCol w:w="4006"/>
        <w:gridCol w:w="4006"/>
      </w:tblGrid>
      <w:tr w:rsidR="00B03D64" w:rsidTr="00B03D64">
        <w:tc>
          <w:tcPr>
            <w:tcW w:w="4006" w:type="dxa"/>
          </w:tcPr>
          <w:p w:rsidR="00B03D64" w:rsidRDefault="00B03D64" w:rsidP="004A4E41">
            <w:pPr>
              <w:pStyle w:val="libFootnote0"/>
              <w:rPr>
                <w:rtl/>
              </w:rPr>
            </w:pPr>
            <w:r>
              <w:rPr>
                <w:rtl/>
              </w:rPr>
              <w:t>(8).</w:t>
            </w:r>
            <w:r w:rsidRPr="00C9040A">
              <w:rPr>
                <w:rtl/>
              </w:rPr>
              <w:t xml:space="preserve"> في الوسائل : + « في الله »</w:t>
            </w:r>
            <w:r>
              <w:rPr>
                <w:rtl/>
              </w:rPr>
              <w:t>.</w:t>
            </w:r>
          </w:p>
        </w:tc>
        <w:tc>
          <w:tcPr>
            <w:tcW w:w="4006" w:type="dxa"/>
          </w:tcPr>
          <w:p w:rsidR="00B03D64" w:rsidRDefault="00B03D64" w:rsidP="004A4E41">
            <w:pPr>
              <w:pStyle w:val="libFootnote0"/>
              <w:rPr>
                <w:rtl/>
              </w:rPr>
            </w:pPr>
            <w:r>
              <w:rPr>
                <w:rtl/>
              </w:rPr>
              <w:t>(9).</w:t>
            </w:r>
            <w:r w:rsidRPr="00C9040A">
              <w:rPr>
                <w:rtl/>
              </w:rPr>
              <w:t xml:space="preserve"> في « ض » : « وعليّ »</w:t>
            </w:r>
            <w:r>
              <w:rPr>
                <w:rtl/>
              </w:rPr>
              <w:t>.</w:t>
            </w:r>
          </w:p>
        </w:tc>
      </w:tr>
    </w:tbl>
    <w:p w:rsidR="008A74EB" w:rsidRPr="00C9040A" w:rsidRDefault="006C577F" w:rsidP="004A4E41">
      <w:pPr>
        <w:pStyle w:val="libFootnote0"/>
        <w:rPr>
          <w:rtl/>
          <w:lang w:bidi="fa-IR"/>
        </w:rPr>
      </w:pPr>
      <w:r>
        <w:rPr>
          <w:rtl/>
        </w:rPr>
        <w:t>(10).</w:t>
      </w:r>
      <w:r w:rsidR="008A74EB" w:rsidRPr="00C9040A">
        <w:rPr>
          <w:rtl/>
        </w:rPr>
        <w:t xml:space="preserve"> قَرَى الضيفَ قِرىً</w:t>
      </w:r>
      <w:r w:rsidR="008A74EB">
        <w:rPr>
          <w:rtl/>
        </w:rPr>
        <w:t xml:space="preserve"> </w:t>
      </w:r>
      <w:r w:rsidR="0084262C">
        <w:rPr>
          <w:rtl/>
        </w:rPr>
        <w:t>-</w:t>
      </w:r>
      <w:r w:rsidR="008A74EB">
        <w:rPr>
          <w:rtl/>
        </w:rPr>
        <w:t xml:space="preserve"> </w:t>
      </w:r>
      <w:r w:rsidR="008A74EB" w:rsidRPr="00C9040A">
        <w:rPr>
          <w:rtl/>
        </w:rPr>
        <w:t>بالكسر والقصر ، والفتح والمدّ</w:t>
      </w:r>
      <w:r w:rsidR="008A74EB">
        <w:rPr>
          <w:rtl/>
        </w:rPr>
        <w:t xml:space="preserve"> </w:t>
      </w:r>
      <w:r w:rsidR="0084262C">
        <w:rPr>
          <w:rtl/>
        </w:rPr>
        <w:t>-</w:t>
      </w:r>
      <w:r w:rsidR="008A74EB">
        <w:rPr>
          <w:rtl/>
        </w:rPr>
        <w:t xml:space="preserve"> </w:t>
      </w:r>
      <w:r w:rsidR="008A74EB" w:rsidRPr="00C9040A">
        <w:rPr>
          <w:rtl/>
        </w:rPr>
        <w:t xml:space="preserve">: أضافه ، كاقتراه. </w:t>
      </w:r>
      <w:r w:rsidR="008A74EB" w:rsidRPr="00993B55">
        <w:rPr>
          <w:rStyle w:val="libFootnoteBoldChar"/>
          <w:rtl/>
        </w:rPr>
        <w:t>القاموس المحيط</w:t>
      </w:r>
      <w:r w:rsidR="008A74EB" w:rsidRPr="00C9040A">
        <w:rPr>
          <w:rtl/>
        </w:rPr>
        <w:t xml:space="preserve"> ، ج 2 ، ص 1734 ( قرى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w:t>
      </w:r>
      <w:r w:rsidR="008A74EB" w:rsidRPr="00993B55">
        <w:rPr>
          <w:rStyle w:val="libFootnoteBoldChar"/>
          <w:rtl/>
        </w:rPr>
        <w:t>الوافي</w:t>
      </w:r>
      <w:r w:rsidR="008A74EB" w:rsidRPr="00C9040A">
        <w:rPr>
          <w:rtl/>
        </w:rPr>
        <w:t xml:space="preserve"> ، ج 5 ، ص 591 ، ح 2638 ؛ </w:t>
      </w:r>
      <w:r w:rsidR="008A74EB" w:rsidRPr="00993B55">
        <w:rPr>
          <w:rStyle w:val="libFootnoteBoldChar"/>
          <w:rtl/>
        </w:rPr>
        <w:t>الوسائل</w:t>
      </w:r>
      <w:r w:rsidR="008A74EB" w:rsidRPr="00C9040A">
        <w:rPr>
          <w:rtl/>
        </w:rPr>
        <w:t xml:space="preserve"> ، ج 14 ، ص 584 ، ح 19866 ؛ </w:t>
      </w:r>
      <w:r w:rsidR="008A74EB" w:rsidRPr="00993B55">
        <w:rPr>
          <w:rStyle w:val="libFootnoteBoldChar"/>
          <w:rtl/>
        </w:rPr>
        <w:t>البحار</w:t>
      </w:r>
      <w:r w:rsidR="008A74EB" w:rsidRPr="00C9040A">
        <w:rPr>
          <w:rtl/>
        </w:rPr>
        <w:t xml:space="preserve"> ، ج 74 ، ص 345 ، ح 6.</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A62C57">
        <w:rPr>
          <w:rtl/>
        </w:rPr>
        <w:t>2082</w:t>
      </w:r>
      <w:r w:rsidRPr="00261CB0">
        <w:rPr>
          <w:rStyle w:val="libBold2Char"/>
          <w:rtl/>
        </w:rPr>
        <w:t xml:space="preserve"> / 7.</w:t>
      </w:r>
      <w:r w:rsidRPr="00C9040A">
        <w:rPr>
          <w:rtl/>
          <w:lang w:bidi="fa-IR"/>
        </w:rPr>
        <w:t xml:space="preserve"> عَنْهُ </w:t>
      </w:r>
      <w:r w:rsidR="006C577F" w:rsidRPr="006C577F">
        <w:rPr>
          <w:rStyle w:val="libFootnotenumChar"/>
          <w:rtl/>
        </w:rPr>
        <w:t>(1)</w:t>
      </w:r>
      <w:r w:rsidRPr="00C9040A">
        <w:rPr>
          <w:rtl/>
          <w:lang w:bidi="fa-IR"/>
        </w:rPr>
        <w:t xml:space="preserve"> ، عَنْ عَلِيِّ بْنِ الْحَكَمِ ، عَنْ إِسْحَاقَ بْنِ عَمَّارٍ ، عَنْ أَبِي غُرَّةَ </w:t>
      </w:r>
      <w:r w:rsidR="006C577F" w:rsidRPr="006C577F">
        <w:rPr>
          <w:rStyle w:val="libFootnotenumChar"/>
          <w:rtl/>
        </w:rPr>
        <w:t>(2)</w:t>
      </w:r>
      <w:r w:rsidRPr="00C9040A">
        <w:rPr>
          <w:rtl/>
          <w:lang w:bidi="fa-IR"/>
        </w:rPr>
        <w:t xml:space="preserve"> ، قَالَ :</w:t>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 « مَنْ زَارَ أَخَاهُ فِي اللهِ فِي مَرَضٍ أَوْ صِحَّةٍ لَايَأْتِيهِ خِدَاعاً وَلَا اسْتِبْدَالاً </w:t>
      </w:r>
      <w:r w:rsidR="006C577F" w:rsidRPr="006C577F">
        <w:rPr>
          <w:rStyle w:val="libFootnotenumChar"/>
          <w:rtl/>
        </w:rPr>
        <w:t>(3)</w:t>
      </w:r>
      <w:r w:rsidRPr="00C9040A">
        <w:rPr>
          <w:rtl/>
          <w:lang w:bidi="fa-IR"/>
        </w:rPr>
        <w:t xml:space="preserve"> ، وَكَّلَ اللهُ بِهِ سَبْعِينَ أَلْفَ مَلَكٍ يُنَادُونَ فِي </w:t>
      </w:r>
      <w:r w:rsidR="006C577F" w:rsidRPr="006C577F">
        <w:rPr>
          <w:rStyle w:val="libFootnotenumChar"/>
          <w:rtl/>
        </w:rPr>
        <w:t>(4)</w:t>
      </w:r>
      <w:r w:rsidRPr="00C9040A">
        <w:rPr>
          <w:rtl/>
          <w:lang w:bidi="fa-IR"/>
        </w:rPr>
        <w:t xml:space="preserve"> قَفَاهُ : أَنْ طِبْتَ وَطَابَتْ لَكَ الْجَنَّةُ ، فَأَنْتُمْ زُوَّارُ اللهِ ، وَأَنْتُمْ وَفْدُ الرَّحْمنِ حَتّى يَأْتِيَ‌مَنْزِلَهُ »</w:t>
      </w:r>
      <w:r>
        <w:rPr>
          <w:rtl/>
          <w:lang w:bidi="fa-IR"/>
        </w:rPr>
        <w:t>.</w:t>
      </w:r>
    </w:p>
    <w:p w:rsidR="008A74EB" w:rsidRPr="00C9040A" w:rsidRDefault="008A74EB" w:rsidP="008A74EB">
      <w:pPr>
        <w:pStyle w:val="libNormal"/>
        <w:rPr>
          <w:rtl/>
          <w:lang w:bidi="fa-IR"/>
        </w:rPr>
      </w:pPr>
      <w:r w:rsidRPr="00C9040A">
        <w:rPr>
          <w:rtl/>
          <w:lang w:bidi="fa-IR"/>
        </w:rPr>
        <w:t xml:space="preserve">فَقَالَ لَهُ </w:t>
      </w:r>
      <w:r w:rsidR="006C577F" w:rsidRPr="006C577F">
        <w:rPr>
          <w:rStyle w:val="libFootnotenumChar"/>
          <w:rtl/>
        </w:rPr>
        <w:t>(5)</w:t>
      </w:r>
      <w:r w:rsidRPr="00C9040A">
        <w:rPr>
          <w:rtl/>
          <w:lang w:bidi="fa-IR"/>
        </w:rPr>
        <w:t xml:space="preserve"> بَشِيرٌ </w:t>
      </w:r>
      <w:r w:rsidR="006C577F" w:rsidRPr="006C577F">
        <w:rPr>
          <w:rStyle w:val="libFootnotenumChar"/>
          <w:rtl/>
        </w:rPr>
        <w:t>(6)</w:t>
      </w:r>
      <w:r w:rsidRPr="005B567D">
        <w:rPr>
          <w:rStyle w:val="libFootnotenumChar"/>
          <w:rtl/>
        </w:rPr>
        <w:t xml:space="preserve"> </w:t>
      </w:r>
      <w:r w:rsidRPr="00C9040A">
        <w:rPr>
          <w:rtl/>
          <w:lang w:bidi="fa-IR"/>
        </w:rPr>
        <w:t xml:space="preserve">: جُعِلْتُ فِدَاكَ ، وَإِنْ </w:t>
      </w:r>
      <w:r w:rsidR="006C577F" w:rsidRPr="006C577F">
        <w:rPr>
          <w:rStyle w:val="libFootnotenumChar"/>
          <w:rtl/>
        </w:rPr>
        <w:t>(7)</w:t>
      </w:r>
      <w:r w:rsidRPr="00C9040A">
        <w:rPr>
          <w:rtl/>
          <w:lang w:bidi="fa-IR"/>
        </w:rPr>
        <w:t xml:space="preserve"> كَانَ الْمَكَانُ بَعِيداً</w:t>
      </w:r>
      <w:r>
        <w:rPr>
          <w:rtl/>
          <w:lang w:bidi="fa-IR"/>
        </w:rPr>
        <w:t>؟</w:t>
      </w:r>
    </w:p>
    <w:p w:rsidR="008A74EB" w:rsidRPr="00C9040A" w:rsidRDefault="008A74EB" w:rsidP="008A74EB">
      <w:pPr>
        <w:pStyle w:val="libNormal"/>
        <w:rPr>
          <w:rtl/>
          <w:lang w:bidi="fa-IR"/>
        </w:rPr>
      </w:pPr>
      <w:r w:rsidRPr="00C9040A">
        <w:rPr>
          <w:rtl/>
          <w:lang w:bidi="fa-IR"/>
        </w:rPr>
        <w:t xml:space="preserve">قَالَ </w:t>
      </w:r>
      <w:r w:rsidR="006C577F" w:rsidRPr="006C577F">
        <w:rPr>
          <w:rStyle w:val="libFootnotenumChar"/>
          <w:rtl/>
        </w:rPr>
        <w:t>(8)</w:t>
      </w:r>
      <w:r w:rsidRPr="00C9040A">
        <w:rPr>
          <w:rtl/>
          <w:lang w:bidi="fa-IR"/>
        </w:rPr>
        <w:t xml:space="preserve"> : « نَعَمْ يَا </w:t>
      </w:r>
      <w:r w:rsidR="006C577F" w:rsidRPr="006C577F">
        <w:rPr>
          <w:rStyle w:val="libFootnotenumChar"/>
          <w:rtl/>
        </w:rPr>
        <w:t>(9)</w:t>
      </w:r>
      <w:r w:rsidRPr="00C9040A">
        <w:rPr>
          <w:rtl/>
          <w:lang w:bidi="fa-IR"/>
        </w:rPr>
        <w:t xml:space="preserve"> بَشِيرٌ </w:t>
      </w:r>
      <w:r w:rsidR="006C577F" w:rsidRPr="006C577F">
        <w:rPr>
          <w:rStyle w:val="libFootnotenumChar"/>
          <w:rtl/>
        </w:rPr>
        <w:t>(10)</w:t>
      </w:r>
      <w:r w:rsidRPr="00C9040A">
        <w:rPr>
          <w:rtl/>
          <w:lang w:bidi="fa-IR"/>
        </w:rPr>
        <w:t xml:space="preserve"> ، وَإِنْ كَانَ الْمَكَانُ مَسِيرَةَ سَنَةٍ ؛ فَإِنَّ اللهَ جَوَادٌ </w:t>
      </w:r>
      <w:r w:rsidR="006C577F" w:rsidRPr="006C577F">
        <w:rPr>
          <w:rStyle w:val="libFootnotenumChar"/>
          <w:rtl/>
        </w:rPr>
        <w:t>(11)</w:t>
      </w:r>
      <w:r w:rsidRPr="00C9040A">
        <w:rPr>
          <w:rtl/>
          <w:lang w:bidi="fa-IR"/>
        </w:rPr>
        <w:t xml:space="preserve"> ، وَالْمَلَائِكَةُ كَثِيرَةٌ </w:t>
      </w:r>
      <w:r w:rsidR="006C577F" w:rsidRPr="006C577F">
        <w:rPr>
          <w:rStyle w:val="libFootnotenumChar"/>
          <w:rtl/>
        </w:rPr>
        <w:t>(12)</w:t>
      </w:r>
      <w:r w:rsidRPr="00C9040A">
        <w:rPr>
          <w:rtl/>
          <w:lang w:bidi="fa-IR"/>
        </w:rPr>
        <w:t xml:space="preserve"> يُشَيِّعُونَهُ حَتّى يَرْجِعَ إِلى مَنْزِلِهِ »</w:t>
      </w:r>
      <w:r>
        <w:rPr>
          <w:rtl/>
          <w:lang w:bidi="fa-IR"/>
        </w:rPr>
        <w:t>.</w:t>
      </w:r>
      <w:r w:rsidRPr="00C9040A">
        <w:rPr>
          <w:rtl/>
          <w:lang w:bidi="fa-IR"/>
        </w:rPr>
        <w:t xml:space="preserve"> </w:t>
      </w:r>
      <w:r w:rsidRPr="005B567D">
        <w:rPr>
          <w:rStyle w:val="libFootnotenumChar"/>
          <w:rtl/>
        </w:rPr>
        <w:t>(13)</w:t>
      </w:r>
      <w:r w:rsidRPr="00C9040A">
        <w:rPr>
          <w:rtl/>
          <w:lang w:bidi="fa-IR"/>
        </w:rPr>
        <w:t xml:space="preserve"> ‌</w:t>
      </w:r>
    </w:p>
    <w:p w:rsidR="008A74EB" w:rsidRPr="00C9040A" w:rsidRDefault="008A74EB" w:rsidP="008A74EB">
      <w:pPr>
        <w:pStyle w:val="libNormal"/>
        <w:rPr>
          <w:rtl/>
          <w:lang w:bidi="fa-IR"/>
        </w:rPr>
      </w:pPr>
      <w:r w:rsidRPr="00A62C57">
        <w:rPr>
          <w:rtl/>
        </w:rPr>
        <w:t>2083</w:t>
      </w:r>
      <w:r w:rsidRPr="00261CB0">
        <w:rPr>
          <w:rStyle w:val="libBold2Char"/>
          <w:rtl/>
        </w:rPr>
        <w:t xml:space="preserve"> / 8.</w:t>
      </w:r>
      <w:r w:rsidRPr="00C9040A">
        <w:rPr>
          <w:rtl/>
          <w:lang w:bidi="fa-IR"/>
        </w:rPr>
        <w:t xml:space="preserve"> عَلِيُّ بْنُ إِبْرَاهِيمَ ، عَنْ أَبِيهِ ، عَنِ ابْنِ أَبِي عُمَيْرٍ </w:t>
      </w:r>
      <w:r w:rsidRPr="005B567D">
        <w:rPr>
          <w:rStyle w:val="libFootnotenumChar"/>
          <w:rtl/>
        </w:rPr>
        <w:t>(14)</w:t>
      </w:r>
      <w:r w:rsidRPr="00C9040A">
        <w:rPr>
          <w:rtl/>
          <w:lang w:bidi="fa-IR"/>
        </w:rPr>
        <w:t xml:space="preserve"> ، عَنْ عَلِيِّ بْنِ </w:t>
      </w:r>
      <w:r w:rsidRPr="005B567D">
        <w:rPr>
          <w:rStyle w:val="libFootnotenumChar"/>
          <w:rtl/>
        </w:rPr>
        <w:t>(15)</w:t>
      </w:r>
      <w:r w:rsidRPr="00C9040A">
        <w:rPr>
          <w:rtl/>
          <w:lang w:bidi="fa-IR"/>
        </w:rPr>
        <w:t xml:space="preserve"> النَّهْدِيِّ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مَنْ زَارَ أَخَاهُ </w:t>
      </w:r>
      <w:r w:rsidRPr="005B567D">
        <w:rPr>
          <w:rStyle w:val="libFootnotenumChar"/>
          <w:rtl/>
        </w:rPr>
        <w:t>(16)</w:t>
      </w:r>
      <w:r w:rsidRPr="00C9040A">
        <w:rPr>
          <w:rtl/>
          <w:lang w:bidi="fa-IR"/>
        </w:rPr>
        <w:t xml:space="preserve"> فِي اللهِ وَلِلّهِ ، جَاءَ يَوْمَ الْقِيَامَةِ‌</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ف » : « وعنه »</w:t>
      </w:r>
      <w:r w:rsidR="008A74EB">
        <w:rPr>
          <w:rtl/>
        </w:rPr>
        <w:t>.</w:t>
      </w:r>
      <w:r w:rsidR="008A74EB" w:rsidRPr="00C9040A">
        <w:rPr>
          <w:rtl/>
        </w:rPr>
        <w:t xml:space="preserve"> والضمير راجع إلى أحمد بن محمّد.</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ب ، ض » : « أبي غُزَّة »</w:t>
      </w:r>
      <w:r w:rsidR="008A74EB">
        <w:rPr>
          <w:rtl/>
        </w:rPr>
        <w:t>.</w:t>
      </w:r>
      <w:r w:rsidR="008A74EB" w:rsidRPr="00C9040A">
        <w:rPr>
          <w:rtl/>
        </w:rPr>
        <w:t xml:space="preserve"> وفى « ج ، ز ، بف » : « أبي عزّة »</w:t>
      </w:r>
      <w:r w:rsidR="008A74EB">
        <w:rPr>
          <w:rtl/>
        </w:rPr>
        <w:t>.</w:t>
      </w:r>
    </w:p>
    <w:p w:rsidR="008A74EB" w:rsidRPr="00C9040A" w:rsidRDefault="006C577F" w:rsidP="00B03D64">
      <w:pPr>
        <w:pStyle w:val="libFootnote0"/>
        <w:rPr>
          <w:rtl/>
          <w:lang w:bidi="fa-IR"/>
        </w:rPr>
      </w:pPr>
      <w:r>
        <w:rPr>
          <w:rtl/>
        </w:rPr>
        <w:t>(3).</w:t>
      </w:r>
      <w:r w:rsidR="008A74EB" w:rsidRPr="00C9040A">
        <w:rPr>
          <w:rtl/>
        </w:rPr>
        <w:t xml:space="preserve"> في </w:t>
      </w:r>
      <w:r w:rsidR="008A74EB" w:rsidRPr="00993B55">
        <w:rPr>
          <w:rStyle w:val="libFootnoteBoldChar"/>
          <w:rtl/>
        </w:rPr>
        <w:t>الوافي</w:t>
      </w:r>
      <w:r w:rsidR="008A74EB" w:rsidRPr="00C9040A">
        <w:rPr>
          <w:rtl/>
        </w:rPr>
        <w:t xml:space="preserve"> : « الاستبدال : أن يتّخذ منه بدلاً ، يعني لايأتيه لخداع أو عوض أو غرض دنيوييّن ، بل إنّما يأتيه لله‌وفي الله »</w:t>
      </w:r>
      <w:r w:rsidR="008A74EB">
        <w:rPr>
          <w:rtl/>
        </w:rPr>
        <w:t>.</w:t>
      </w:r>
      <w:r w:rsidR="00B03D64">
        <w:rPr>
          <w:rFonts w:hint="cs"/>
          <w:rtl/>
        </w:rPr>
        <w:t xml:space="preserve">                                                           </w:t>
      </w:r>
      <w:r>
        <w:rPr>
          <w:rtl/>
        </w:rPr>
        <w:t>(4).</w:t>
      </w:r>
      <w:r w:rsidR="008A74EB" w:rsidRPr="00C9040A">
        <w:rPr>
          <w:rtl/>
        </w:rPr>
        <w:t xml:space="preserve"> في « بف » : « من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ض » </w:t>
      </w:r>
      <w:r w:rsidR="008A74EB">
        <w:rPr>
          <w:rtl/>
        </w:rPr>
        <w:t xml:space="preserve">: </w:t>
      </w:r>
      <w:r w:rsidR="0084262C">
        <w:rPr>
          <w:rtl/>
        </w:rPr>
        <w:t>-</w:t>
      </w:r>
      <w:r w:rsidR="008A74EB" w:rsidRPr="00C9040A">
        <w:rPr>
          <w:rtl/>
        </w:rPr>
        <w:t xml:space="preserve"> « له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هكذا في « ب ، د ، ز ، ض ، بر ، بس » وحاشية « بف » والوافي والوسائل. وفي سائر النسخ والمطبوع : « يسير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ج ، ف ، بر ، بس ، بف » وشرح المازندراني والوسائل : « فإن »</w:t>
      </w:r>
      <w:r w:rsidR="008A74EB">
        <w:rPr>
          <w:rtl/>
        </w:rPr>
        <w:t>.</w:t>
      </w:r>
    </w:p>
    <w:tbl>
      <w:tblPr>
        <w:tblStyle w:val="TableGrid"/>
        <w:bidiVisual/>
        <w:tblW w:w="0" w:type="auto"/>
        <w:tblLook w:val="04A0" w:firstRow="1" w:lastRow="0" w:firstColumn="1" w:lastColumn="0" w:noHBand="0" w:noVBand="1"/>
      </w:tblPr>
      <w:tblGrid>
        <w:gridCol w:w="4006"/>
        <w:gridCol w:w="4006"/>
      </w:tblGrid>
      <w:tr w:rsidR="00B03D64" w:rsidTr="00B03D64">
        <w:tc>
          <w:tcPr>
            <w:tcW w:w="4006" w:type="dxa"/>
          </w:tcPr>
          <w:p w:rsidR="00B03D64" w:rsidRDefault="00B03D64" w:rsidP="004A4E41">
            <w:pPr>
              <w:pStyle w:val="libFootnote0"/>
              <w:rPr>
                <w:rtl/>
              </w:rPr>
            </w:pPr>
            <w:r>
              <w:rPr>
                <w:rtl/>
              </w:rPr>
              <w:t>(8).</w:t>
            </w:r>
            <w:r w:rsidRPr="00C9040A">
              <w:rPr>
                <w:rtl/>
              </w:rPr>
              <w:t xml:space="preserve"> في « ض » : « فقال »</w:t>
            </w:r>
            <w:r>
              <w:rPr>
                <w:rtl/>
              </w:rPr>
              <w:t>.</w:t>
            </w:r>
          </w:p>
        </w:tc>
        <w:tc>
          <w:tcPr>
            <w:tcW w:w="4006" w:type="dxa"/>
          </w:tcPr>
          <w:p w:rsidR="00B03D64" w:rsidRDefault="00B03D64" w:rsidP="004A4E41">
            <w:pPr>
              <w:pStyle w:val="libFootnote0"/>
              <w:rPr>
                <w:rtl/>
              </w:rPr>
            </w:pPr>
            <w:r>
              <w:rPr>
                <w:rtl/>
              </w:rPr>
              <w:t>(9).</w:t>
            </w:r>
            <w:r w:rsidRPr="00C9040A">
              <w:rPr>
                <w:rtl/>
              </w:rPr>
              <w:t xml:space="preserve"> في « ف » </w:t>
            </w:r>
            <w:r>
              <w:rPr>
                <w:rtl/>
              </w:rPr>
              <w:t>: -</w:t>
            </w:r>
            <w:r w:rsidRPr="00C9040A">
              <w:rPr>
                <w:rtl/>
              </w:rPr>
              <w:t xml:space="preserve"> « يا »</w:t>
            </w:r>
            <w:r>
              <w:rPr>
                <w:rtl/>
              </w:rPr>
              <w:t>.</w:t>
            </w:r>
          </w:p>
        </w:tc>
      </w:tr>
    </w:tbl>
    <w:p w:rsidR="008A74EB" w:rsidRPr="00C9040A" w:rsidRDefault="006C577F" w:rsidP="004A4E41">
      <w:pPr>
        <w:pStyle w:val="libFootnote0"/>
        <w:rPr>
          <w:rtl/>
          <w:lang w:bidi="fa-IR"/>
        </w:rPr>
      </w:pPr>
      <w:r>
        <w:rPr>
          <w:rtl/>
        </w:rPr>
        <w:t>(10).</w:t>
      </w:r>
      <w:r w:rsidR="008A74EB" w:rsidRPr="00C9040A">
        <w:rPr>
          <w:rtl/>
        </w:rPr>
        <w:t xml:space="preserve"> هكذا في « ب ، د ، ز ، ض ، بر ، بس » وحاشية « بف » والوافي والوسائل. وفي سائر النسخ والمطبوع : « يسير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في حاشية « ج » والوافي : « كريم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في « ج ، د ، ز ، ص ، ض ، ف » والوافي والوسائل : « كثير »</w:t>
      </w:r>
      <w:r w:rsidR="008A74EB">
        <w:rPr>
          <w:rtl/>
        </w:rPr>
        <w:t>.</w:t>
      </w:r>
    </w:p>
    <w:p w:rsidR="008A74EB" w:rsidRPr="00C9040A" w:rsidRDefault="008A74EB" w:rsidP="00B03D64">
      <w:pPr>
        <w:pStyle w:val="libFootnote0"/>
        <w:rPr>
          <w:rtl/>
          <w:lang w:bidi="fa-IR"/>
        </w:rPr>
      </w:pPr>
      <w:r>
        <w:rPr>
          <w:rtl/>
        </w:rPr>
        <w:t>(13)</w:t>
      </w:r>
      <w:r w:rsidRPr="00C9040A">
        <w:rPr>
          <w:rtl/>
        </w:rPr>
        <w:t xml:space="preserve"> </w:t>
      </w:r>
      <w:r w:rsidRPr="00993B55">
        <w:rPr>
          <w:rStyle w:val="libFootnoteBoldChar"/>
          <w:rtl/>
        </w:rPr>
        <w:t>الكافي</w:t>
      </w:r>
      <w:r w:rsidRPr="00C9040A">
        <w:rPr>
          <w:rtl/>
        </w:rPr>
        <w:t xml:space="preserve"> ، كتاب الجنائز ، باب ثواب عيادة المريض ، ح 4281 ، بسند آخر عن أبي جعفر </w:t>
      </w:r>
      <w:r w:rsidR="00117575" w:rsidRPr="00117575">
        <w:rPr>
          <w:rStyle w:val="libFootnoteAlaemChar"/>
          <w:rtl/>
        </w:rPr>
        <w:t>عليه‌السلام</w:t>
      </w:r>
      <w:r w:rsidRPr="00C9040A">
        <w:rPr>
          <w:rtl/>
        </w:rPr>
        <w:t xml:space="preserve"> ، إلى قوله : « وطابت لك الجنّة » مع اختلاف يسير</w:t>
      </w:r>
      <w:r w:rsidR="00B03D64">
        <w:rPr>
          <w:rFonts w:hint="cs"/>
          <w:rtl/>
        </w:rPr>
        <w:t>.</w:t>
      </w:r>
      <w:r w:rsidRPr="00993B55">
        <w:rPr>
          <w:rStyle w:val="libFootnoteBoldChar"/>
          <w:rtl/>
        </w:rPr>
        <w:t>الوافي</w:t>
      </w:r>
      <w:r w:rsidRPr="00C9040A">
        <w:rPr>
          <w:rtl/>
        </w:rPr>
        <w:t xml:space="preserve"> ، ج 5 ، ص 592 ، ح 2639 ؛ </w:t>
      </w:r>
      <w:r w:rsidRPr="00993B55">
        <w:rPr>
          <w:rStyle w:val="libFootnoteBoldChar"/>
          <w:rtl/>
        </w:rPr>
        <w:t>الوسائل</w:t>
      </w:r>
      <w:r w:rsidRPr="00C9040A">
        <w:rPr>
          <w:rtl/>
        </w:rPr>
        <w:t xml:space="preserve"> ، ج 14 ، ص 588 ، ح 19875 ؛ </w:t>
      </w:r>
      <w:r w:rsidRPr="00993B55">
        <w:rPr>
          <w:rStyle w:val="libFootnoteBoldChar"/>
          <w:rtl/>
        </w:rPr>
        <w:t>البحار</w:t>
      </w:r>
      <w:r w:rsidRPr="00C9040A">
        <w:rPr>
          <w:rtl/>
        </w:rPr>
        <w:t xml:space="preserve"> ، ج 74 ، ص 345 ، ح 7.</w:t>
      </w:r>
    </w:p>
    <w:p w:rsidR="008A74EB" w:rsidRPr="00C9040A" w:rsidRDefault="008A74EB" w:rsidP="00B03D64">
      <w:pPr>
        <w:pStyle w:val="libFootnote0"/>
        <w:rPr>
          <w:rtl/>
          <w:lang w:bidi="fa-IR"/>
        </w:rPr>
      </w:pPr>
      <w:r>
        <w:rPr>
          <w:rtl/>
        </w:rPr>
        <w:t>(14)</w:t>
      </w:r>
      <w:r w:rsidRPr="00C9040A">
        <w:rPr>
          <w:rtl/>
        </w:rPr>
        <w:t xml:space="preserve"> في الوسائل </w:t>
      </w:r>
      <w:r>
        <w:rPr>
          <w:rtl/>
        </w:rPr>
        <w:t xml:space="preserve">: </w:t>
      </w:r>
      <w:r w:rsidR="0084262C">
        <w:rPr>
          <w:rtl/>
        </w:rPr>
        <w:t>-</w:t>
      </w:r>
      <w:r w:rsidRPr="00C9040A">
        <w:rPr>
          <w:rtl/>
        </w:rPr>
        <w:t xml:space="preserve"> « عن ابن أبي عمير »</w:t>
      </w:r>
      <w:r>
        <w:rPr>
          <w:rtl/>
        </w:rPr>
        <w:t>.</w:t>
      </w:r>
      <w:r w:rsidRPr="00C9040A">
        <w:rPr>
          <w:rtl/>
        </w:rPr>
        <w:t xml:space="preserve"> وهو سهو ، كما يُعلم ذلك من ملاحظة طبقة عليّ بن النهدي ومن الحديث الرابع في نفس الباب ، فلاحظ.</w:t>
      </w:r>
      <w:r w:rsidR="00B03D64">
        <w:rPr>
          <w:rFonts w:hint="cs"/>
          <w:rtl/>
        </w:rPr>
        <w:t xml:space="preserve">                      </w:t>
      </w:r>
      <w:r>
        <w:rPr>
          <w:rtl/>
        </w:rPr>
        <w:t>(15)</w:t>
      </w:r>
      <w:r w:rsidRPr="00C9040A">
        <w:rPr>
          <w:rtl/>
        </w:rPr>
        <w:t xml:space="preserve"> في البحار </w:t>
      </w:r>
      <w:r>
        <w:rPr>
          <w:rtl/>
        </w:rPr>
        <w:t xml:space="preserve">: </w:t>
      </w:r>
      <w:r w:rsidR="0084262C">
        <w:rPr>
          <w:rtl/>
        </w:rPr>
        <w:t>-</w:t>
      </w:r>
      <w:r w:rsidRPr="00C9040A">
        <w:rPr>
          <w:rtl/>
        </w:rPr>
        <w:t xml:space="preserve"> « بن »</w:t>
      </w:r>
      <w:r>
        <w:rPr>
          <w:rtl/>
        </w:rPr>
        <w:t>.</w:t>
      </w:r>
    </w:p>
    <w:p w:rsidR="008A74EB" w:rsidRPr="00C9040A" w:rsidRDefault="008A74EB" w:rsidP="004A4E41">
      <w:pPr>
        <w:pStyle w:val="libFootnote0"/>
        <w:rPr>
          <w:rtl/>
          <w:lang w:bidi="fa-IR"/>
        </w:rPr>
      </w:pPr>
      <w:r>
        <w:rPr>
          <w:rtl/>
        </w:rPr>
        <w:t>(16)</w:t>
      </w:r>
      <w:r w:rsidRPr="00C9040A">
        <w:rPr>
          <w:rtl/>
        </w:rPr>
        <w:t xml:space="preserve"> في الوسائل : + « المؤمن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يَخْطُرُ </w:t>
      </w:r>
      <w:r w:rsidR="006C577F" w:rsidRPr="006C577F">
        <w:rPr>
          <w:rStyle w:val="libFootnotenumChar"/>
          <w:rtl/>
        </w:rPr>
        <w:t>(1)</w:t>
      </w:r>
      <w:r w:rsidRPr="00C9040A">
        <w:rPr>
          <w:rtl/>
          <w:lang w:bidi="fa-IR"/>
        </w:rPr>
        <w:t xml:space="preserve"> بَيْنَ قَبَاطِيَّ </w:t>
      </w:r>
      <w:r w:rsidR="006C577F" w:rsidRPr="006C577F">
        <w:rPr>
          <w:rStyle w:val="libFootnotenumChar"/>
          <w:rtl/>
        </w:rPr>
        <w:t>(2)</w:t>
      </w:r>
      <w:r w:rsidRPr="00C9040A">
        <w:rPr>
          <w:rtl/>
          <w:lang w:bidi="fa-IR"/>
        </w:rPr>
        <w:t xml:space="preserve"> مِنْ نُورٍ </w:t>
      </w:r>
      <w:r w:rsidR="006C577F" w:rsidRPr="006C577F">
        <w:rPr>
          <w:rStyle w:val="libFootnotenumChar"/>
          <w:rtl/>
        </w:rPr>
        <w:t>(3)</w:t>
      </w:r>
      <w:r w:rsidR="00B03D64">
        <w:rPr>
          <w:rtl/>
          <w:lang w:bidi="fa-IR"/>
        </w:rPr>
        <w:t xml:space="preserve"> ، لَايَمُرُّ بِشَيْ‌ءٍ إِل</w:t>
      </w:r>
      <w:r w:rsidR="00B03D64">
        <w:rPr>
          <w:rFonts w:hint="cs"/>
          <w:rtl/>
          <w:lang w:bidi="fa-IR"/>
        </w:rPr>
        <w:t>َّ</w:t>
      </w:r>
      <w:r w:rsidR="00B03D64">
        <w:rPr>
          <w:rtl/>
          <w:lang w:bidi="fa-IR"/>
        </w:rPr>
        <w:t>ا</w:t>
      </w:r>
      <w:r w:rsidRPr="00C9040A">
        <w:rPr>
          <w:rtl/>
          <w:lang w:bidi="fa-IR"/>
        </w:rPr>
        <w:t xml:space="preserve"> أَضَاءَ لَهُ حَتّى يَقِفَ بَيْنَ يَدَيِ اللهِ عَزَّ وَجَلَّ ، فَيَقُولُ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لَهُ </w:t>
      </w:r>
      <w:r w:rsidR="006C577F" w:rsidRPr="006C577F">
        <w:rPr>
          <w:rStyle w:val="libFootnotenumChar"/>
          <w:rtl/>
        </w:rPr>
        <w:t>(4)</w:t>
      </w:r>
      <w:r w:rsidRPr="00C9040A">
        <w:rPr>
          <w:rtl/>
          <w:lang w:bidi="fa-IR"/>
        </w:rPr>
        <w:t xml:space="preserve"> : مَرْحَباً ، وَإِذَا </w:t>
      </w:r>
      <w:r w:rsidR="006C577F" w:rsidRPr="006C577F">
        <w:rPr>
          <w:rStyle w:val="libFootnotenumChar"/>
          <w:rtl/>
        </w:rPr>
        <w:t>(5)</w:t>
      </w:r>
      <w:r w:rsidRPr="00C9040A">
        <w:rPr>
          <w:rtl/>
          <w:lang w:bidi="fa-IR"/>
        </w:rPr>
        <w:t xml:space="preserve"> قَالَ </w:t>
      </w:r>
      <w:r w:rsidR="006C577F" w:rsidRPr="006C577F">
        <w:rPr>
          <w:rStyle w:val="libFootnotenumChar"/>
          <w:rtl/>
        </w:rPr>
        <w:t>(6)</w:t>
      </w:r>
      <w:r w:rsidRPr="005B567D">
        <w:rPr>
          <w:rStyle w:val="libFootnotenumChar"/>
          <w:rtl/>
        </w:rPr>
        <w:t xml:space="preserve"> </w:t>
      </w:r>
      <w:r w:rsidRPr="00C9040A">
        <w:rPr>
          <w:rtl/>
          <w:lang w:bidi="fa-IR"/>
        </w:rPr>
        <w:t>: مَرْحَباً ، أَجْزَلَ اللهُ</w:t>
      </w:r>
      <w:r>
        <w:rPr>
          <w:rtl/>
          <w:lang w:bidi="fa-IR"/>
        </w:rPr>
        <w:t xml:space="preserve"> </w:t>
      </w:r>
      <w:r w:rsidR="0084262C">
        <w:rPr>
          <w:rtl/>
          <w:lang w:bidi="fa-IR"/>
        </w:rPr>
        <w:t>-</w:t>
      </w:r>
      <w:r>
        <w:rPr>
          <w:rtl/>
          <w:lang w:bidi="fa-IR"/>
        </w:rPr>
        <w:t xml:space="preserve"> </w:t>
      </w:r>
      <w:r w:rsidRPr="00C9040A">
        <w:rPr>
          <w:rtl/>
          <w:lang w:bidi="fa-IR"/>
        </w:rPr>
        <w:t xml:space="preserve">عَزَّ وَجَلَّ </w:t>
      </w:r>
      <w:r w:rsidR="006C577F" w:rsidRPr="006C577F">
        <w:rPr>
          <w:rStyle w:val="libFootnotenumChar"/>
          <w:rtl/>
        </w:rPr>
        <w:t>(7)</w:t>
      </w:r>
      <w:r>
        <w:rPr>
          <w:rtl/>
          <w:lang w:bidi="fa-IR"/>
        </w:rPr>
        <w:t xml:space="preserve"> </w:t>
      </w:r>
      <w:r w:rsidR="0084262C">
        <w:rPr>
          <w:rtl/>
          <w:lang w:bidi="fa-IR"/>
        </w:rPr>
        <w:t>-</w:t>
      </w:r>
      <w:r>
        <w:rPr>
          <w:rtl/>
          <w:lang w:bidi="fa-IR"/>
        </w:rPr>
        <w:t xml:space="preserve"> </w:t>
      </w:r>
      <w:r w:rsidRPr="00C9040A">
        <w:rPr>
          <w:rtl/>
          <w:lang w:bidi="fa-IR"/>
        </w:rPr>
        <w:t>لَهُ الْعَطِيَّةَ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Normal"/>
        <w:rPr>
          <w:rtl/>
          <w:lang w:bidi="fa-IR"/>
        </w:rPr>
      </w:pPr>
      <w:r w:rsidRPr="00A62C57">
        <w:rPr>
          <w:rtl/>
        </w:rPr>
        <w:t>2084</w:t>
      </w:r>
      <w:r w:rsidRPr="00261CB0">
        <w:rPr>
          <w:rStyle w:val="libBold2Char"/>
          <w:rtl/>
        </w:rPr>
        <w:t xml:space="preserve"> / 9.</w:t>
      </w:r>
      <w:r w:rsidRPr="00C9040A">
        <w:rPr>
          <w:rtl/>
          <w:lang w:bidi="fa-IR"/>
        </w:rPr>
        <w:t xml:space="preserve"> مُحَمَّدُ بْنُ يَحْيى ، عَنْ أَحْمَدَ بْنِ مُحَمَّدِ بْنِ </w:t>
      </w:r>
      <w:r w:rsidR="006C577F" w:rsidRPr="006C577F">
        <w:rPr>
          <w:rStyle w:val="libFootnotenumChar"/>
          <w:rtl/>
        </w:rPr>
        <w:t>(9)</w:t>
      </w:r>
      <w:r w:rsidRPr="00C9040A">
        <w:rPr>
          <w:rtl/>
          <w:lang w:bidi="fa-IR"/>
        </w:rPr>
        <w:t xml:space="preserve"> عِيسى ، عَنْ مُحَمَّدِ بْنِ خَالِدٍ وَالْحُسَيْنِ بْنِ سَعِيدٍ ، عَنِ النَّضْرِ بْنِ سُوَيْدٍ ، عَنْ يَحْيَى بْنِ عِمْرَانَ الْحَلَبِيِّ ، عَنْ بَشِيرٍ </w:t>
      </w:r>
      <w:r w:rsidR="006C577F" w:rsidRPr="006C577F">
        <w:rPr>
          <w:rStyle w:val="libFootnotenumChar"/>
          <w:rtl/>
        </w:rPr>
        <w:t>(10)</w:t>
      </w:r>
      <w:r w:rsidRPr="00C9040A">
        <w:rPr>
          <w:rtl/>
          <w:lang w:bidi="fa-IR"/>
        </w:rPr>
        <w:t xml:space="preserve"> ، عَنْ أَبِي حَمْزَةَ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إِنَّ الْعَبْدَ الْمُسْلِمَ إِذَا خَرَجَ مِنْ بَيْتِهِ زَائِراً أَخَاهُ لِلّهِ لَا لِغَيْرِهِ ؛ الْتِمَاسَ وَجْهِ اللهِ </w:t>
      </w:r>
      <w:r w:rsidR="006C577F" w:rsidRPr="006C577F">
        <w:rPr>
          <w:rStyle w:val="libFootnotenumChar"/>
          <w:rtl/>
        </w:rPr>
        <w:t>(11)</w:t>
      </w:r>
      <w:r w:rsidRPr="00C9040A">
        <w:rPr>
          <w:rtl/>
          <w:lang w:bidi="fa-IR"/>
        </w:rPr>
        <w:t xml:space="preserve"> رَغْبَةً فِيمَا عِنْدَهُ ، وَكَّلَ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بِهِ سَبْعِينَ أَلْفَ مَلَكٍ يُنَادُونَهُ مِنْ خَلْفِهِ إِلى أَنْ يَرْجِعَ إِلى مَنْزِلِهِ : أَلَا طِبْتَ ، وَطَابَتْ لَكَ الْجَنَّةُ »</w:t>
      </w:r>
      <w:r>
        <w:rPr>
          <w:rtl/>
          <w:lang w:bidi="fa-IR"/>
        </w:rPr>
        <w:t>.</w:t>
      </w:r>
      <w:r w:rsidRPr="00C9040A">
        <w:rPr>
          <w:rtl/>
          <w:lang w:bidi="fa-IR"/>
        </w:rPr>
        <w:t xml:space="preserve"> </w:t>
      </w:r>
      <w:r w:rsidR="006C577F" w:rsidRPr="006C577F">
        <w:rPr>
          <w:rStyle w:val="libFootnotenumChar"/>
          <w:rtl/>
        </w:rPr>
        <w:t>(12)</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ج ، ف ، بر » وشرح المازندراني والوافي : « يخطو »</w:t>
      </w:r>
      <w:r w:rsidR="008A74EB">
        <w:rPr>
          <w:rtl/>
        </w:rPr>
        <w:t>.</w:t>
      </w:r>
      <w:r w:rsidR="008A74EB" w:rsidRPr="00C9040A">
        <w:rPr>
          <w:rtl/>
        </w:rPr>
        <w:t xml:space="preserve"> وخَطَران الرجل : اهتزازه في المشي وتبختره. ويُخْطِر في مشيه ، أي يتمايل ويمشي مشية ال</w:t>
      </w:r>
      <w:r w:rsidR="00B03D64">
        <w:rPr>
          <w:rFonts w:hint="cs"/>
          <w:rtl/>
        </w:rPr>
        <w:t>ـ</w:t>
      </w:r>
      <w:r w:rsidR="008A74EB" w:rsidRPr="00C9040A">
        <w:rPr>
          <w:rtl/>
        </w:rPr>
        <w:t xml:space="preserve">مُعْجَب بنفسه. </w:t>
      </w:r>
      <w:r w:rsidR="008A74EB">
        <w:rPr>
          <w:rtl/>
        </w:rPr>
        <w:t>و «</w:t>
      </w:r>
      <w:r w:rsidR="008A74EB" w:rsidRPr="00C9040A">
        <w:rPr>
          <w:rtl/>
        </w:rPr>
        <w:t xml:space="preserve"> القباطيّ » : ثياب بيض رقيقة تجلب من مصر ، واحدها : قِبْطي. والمعنى : أنّه يهتزّ بين ثياب بيض رقيقة من نور. </w:t>
      </w:r>
      <w:r w:rsidR="008A74EB" w:rsidRPr="00993B55">
        <w:rPr>
          <w:rStyle w:val="libFootnoteBoldChar"/>
          <w:rtl/>
        </w:rPr>
        <w:t>مجمع البحرين</w:t>
      </w:r>
      <w:r w:rsidR="008A74EB" w:rsidRPr="00C9040A">
        <w:rPr>
          <w:rtl/>
        </w:rPr>
        <w:t xml:space="preserve"> ، ج 3 ، ص 290 ( خطر ) ؛ وج 4 ، ص 266 ( قبط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يجوز فيه فتح القاف وضمّها ، </w:t>
      </w:r>
      <w:r w:rsidR="00B03D64">
        <w:rPr>
          <w:rtl/>
        </w:rPr>
        <w:t>إل</w:t>
      </w:r>
      <w:r w:rsidR="00B03D64">
        <w:rPr>
          <w:rFonts w:hint="cs"/>
          <w:rtl/>
        </w:rPr>
        <w:t>ّ</w:t>
      </w:r>
      <w:r w:rsidR="00B03D64">
        <w:rPr>
          <w:rtl/>
        </w:rPr>
        <w:t>ا</w:t>
      </w:r>
      <w:r w:rsidR="008A74EB">
        <w:rPr>
          <w:rtl/>
        </w:rPr>
        <w:t xml:space="preserve"> أنّه</w:t>
      </w:r>
      <w:r w:rsidR="008A74EB" w:rsidRPr="00C9040A">
        <w:rPr>
          <w:rtl/>
        </w:rPr>
        <w:t xml:space="preserve"> على الأوّل غير مصروف وعلى الثاني مصروف.</w:t>
      </w:r>
    </w:p>
    <w:p w:rsidR="008A74EB" w:rsidRPr="00C9040A" w:rsidRDefault="006C577F" w:rsidP="004A4E41">
      <w:pPr>
        <w:pStyle w:val="libFootnote0"/>
        <w:rPr>
          <w:rtl/>
          <w:lang w:bidi="fa-IR"/>
        </w:rPr>
      </w:pPr>
      <w:r>
        <w:rPr>
          <w:rtl/>
        </w:rPr>
        <w:t>(3).</w:t>
      </w:r>
      <w:r w:rsidR="008A74EB" w:rsidRPr="00C9040A">
        <w:rPr>
          <w:rtl/>
        </w:rPr>
        <w:t xml:space="preserve"> هكذا في النسخ التي قوبلت والوافي والوسائل والبحار والمصادقة. وفي المطبوع : + « </w:t>
      </w:r>
      <w:r w:rsidR="008A74EB">
        <w:rPr>
          <w:rtl/>
        </w:rPr>
        <w:t>و ».</w:t>
      </w:r>
    </w:p>
    <w:tbl>
      <w:tblPr>
        <w:tblStyle w:val="TableGrid"/>
        <w:bidiVisual/>
        <w:tblW w:w="0" w:type="auto"/>
        <w:tblLook w:val="04A0" w:firstRow="1" w:lastRow="0" w:firstColumn="1" w:lastColumn="0" w:noHBand="0" w:noVBand="1"/>
      </w:tblPr>
      <w:tblGrid>
        <w:gridCol w:w="4006"/>
        <w:gridCol w:w="4006"/>
      </w:tblGrid>
      <w:tr w:rsidR="00B03D64" w:rsidTr="00B03D64">
        <w:tc>
          <w:tcPr>
            <w:tcW w:w="4006" w:type="dxa"/>
          </w:tcPr>
          <w:p w:rsidR="00B03D64" w:rsidRDefault="00B03D64" w:rsidP="004A4E41">
            <w:pPr>
              <w:pStyle w:val="libFootnote0"/>
              <w:rPr>
                <w:rtl/>
              </w:rPr>
            </w:pPr>
            <w:r>
              <w:rPr>
                <w:rtl/>
              </w:rPr>
              <w:t>(4).</w:t>
            </w:r>
            <w:r w:rsidRPr="00C9040A">
              <w:rPr>
                <w:rtl/>
              </w:rPr>
              <w:t xml:space="preserve"> في « بف » والبحار </w:t>
            </w:r>
            <w:r>
              <w:rPr>
                <w:rtl/>
              </w:rPr>
              <w:t>: -</w:t>
            </w:r>
            <w:r w:rsidRPr="00C9040A">
              <w:rPr>
                <w:rtl/>
              </w:rPr>
              <w:t xml:space="preserve"> « له »</w:t>
            </w:r>
            <w:r>
              <w:rPr>
                <w:rtl/>
              </w:rPr>
              <w:t>.</w:t>
            </w:r>
          </w:p>
        </w:tc>
        <w:tc>
          <w:tcPr>
            <w:tcW w:w="4006" w:type="dxa"/>
          </w:tcPr>
          <w:p w:rsidR="00B03D64" w:rsidRDefault="00B03D64" w:rsidP="004A4E41">
            <w:pPr>
              <w:pStyle w:val="libFootnote0"/>
              <w:rPr>
                <w:rtl/>
              </w:rPr>
            </w:pPr>
            <w:r>
              <w:rPr>
                <w:rtl/>
              </w:rPr>
              <w:t>(5).</w:t>
            </w:r>
            <w:r w:rsidRPr="00C9040A">
              <w:rPr>
                <w:rtl/>
              </w:rPr>
              <w:t xml:space="preserve"> في الوافي : « فإذا »</w:t>
            </w:r>
            <w:r>
              <w:rPr>
                <w:rtl/>
              </w:rPr>
              <w:t>.</w:t>
            </w:r>
          </w:p>
        </w:tc>
      </w:tr>
    </w:tbl>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د » والمصادقة : + « له »</w:t>
      </w:r>
      <w:r w:rsidR="008A74EB">
        <w:rPr>
          <w:rtl/>
        </w:rPr>
        <w:t>.</w:t>
      </w:r>
      <w:r w:rsidR="008A74EB" w:rsidRPr="00C9040A">
        <w:rPr>
          <w:rtl/>
        </w:rPr>
        <w:t xml:space="preserve"> وفي البحار : « الله له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الوسائل : « قال الله عزّوجلّ : مرحباً أجزل له العطيّة » بدل « قال : مرحباً</w:t>
      </w:r>
      <w:r w:rsidR="008A74EB">
        <w:rPr>
          <w:rtl/>
        </w:rPr>
        <w:t xml:space="preserve"> </w:t>
      </w:r>
      <w:r w:rsidR="0084262C">
        <w:rPr>
          <w:rtl/>
        </w:rPr>
        <w:t>-</w:t>
      </w:r>
      <w:r w:rsidR="008A74EB">
        <w:rPr>
          <w:rtl/>
        </w:rPr>
        <w:t xml:space="preserve"> </w:t>
      </w:r>
      <w:r w:rsidR="008A74EB" w:rsidRPr="00C9040A">
        <w:rPr>
          <w:rtl/>
        </w:rPr>
        <w:t>إلى</w:t>
      </w:r>
      <w:r w:rsidR="008A74EB">
        <w:rPr>
          <w:rtl/>
        </w:rPr>
        <w:t xml:space="preserve"> </w:t>
      </w:r>
      <w:r w:rsidR="0084262C">
        <w:rPr>
          <w:rtl/>
        </w:rPr>
        <w:t>-</w:t>
      </w:r>
      <w:r w:rsidR="008A74EB">
        <w:rPr>
          <w:rtl/>
        </w:rPr>
        <w:t xml:space="preserve"> </w:t>
      </w:r>
      <w:r w:rsidR="008A74EB" w:rsidRPr="00C9040A">
        <w:rPr>
          <w:rtl/>
        </w:rPr>
        <w:t>العطيّة »</w:t>
      </w:r>
      <w:r w:rsidR="008A74EB">
        <w:rPr>
          <w:rtl/>
        </w:rPr>
        <w:t>.</w:t>
      </w:r>
    </w:p>
    <w:p w:rsidR="008A74EB" w:rsidRPr="00C9040A" w:rsidRDefault="006C577F" w:rsidP="00143092">
      <w:pPr>
        <w:pStyle w:val="libFootnote0"/>
        <w:rPr>
          <w:rtl/>
          <w:lang w:bidi="fa-IR"/>
        </w:rPr>
      </w:pPr>
      <w:r>
        <w:rPr>
          <w:rtl/>
        </w:rPr>
        <w:t>(8).</w:t>
      </w:r>
      <w:r w:rsidR="008A74EB" w:rsidRPr="00C9040A">
        <w:rPr>
          <w:rtl/>
        </w:rPr>
        <w:t xml:space="preserve"> </w:t>
      </w:r>
      <w:r w:rsidR="008A74EB" w:rsidRPr="00993B55">
        <w:rPr>
          <w:rStyle w:val="libFootnoteBoldChar"/>
          <w:rtl/>
        </w:rPr>
        <w:t>مصادقة الإخوان</w:t>
      </w:r>
      <w:r w:rsidR="008A74EB" w:rsidRPr="00C9040A">
        <w:rPr>
          <w:rtl/>
        </w:rPr>
        <w:t xml:space="preserve"> ، ص 58 ، ح 7 ، مرسلاً</w:t>
      </w:r>
      <w:r w:rsidR="00143092">
        <w:rPr>
          <w:rFonts w:hint="cs"/>
          <w:rtl/>
        </w:rPr>
        <w:t>.</w:t>
      </w:r>
      <w:r w:rsidR="008A74EB" w:rsidRPr="00993B55">
        <w:rPr>
          <w:rStyle w:val="libFootnoteBoldChar"/>
          <w:rtl/>
        </w:rPr>
        <w:t>الوافي</w:t>
      </w:r>
      <w:r w:rsidR="008A74EB" w:rsidRPr="00C9040A">
        <w:rPr>
          <w:rtl/>
        </w:rPr>
        <w:t xml:space="preserve"> ، ج 5 ، ص 592 ، ح 2640 ؛ </w:t>
      </w:r>
      <w:r w:rsidR="008A74EB" w:rsidRPr="00993B55">
        <w:rPr>
          <w:rStyle w:val="libFootnoteBoldChar"/>
          <w:rtl/>
        </w:rPr>
        <w:t>الوسائل</w:t>
      </w:r>
      <w:r w:rsidR="008A74EB" w:rsidRPr="00C9040A">
        <w:rPr>
          <w:rtl/>
        </w:rPr>
        <w:t xml:space="preserve"> ، ج 14 ، ص 584 ، ح 19867 ؛ </w:t>
      </w:r>
      <w:r w:rsidR="008A74EB" w:rsidRPr="00993B55">
        <w:rPr>
          <w:rStyle w:val="libFootnoteBoldChar"/>
          <w:rtl/>
        </w:rPr>
        <w:t>البحار</w:t>
      </w:r>
      <w:r w:rsidR="008A74EB" w:rsidRPr="00C9040A">
        <w:rPr>
          <w:rtl/>
        </w:rPr>
        <w:t xml:space="preserve"> ، ج 7 ، ص 197 ، ح 68 ؛ وج 74 ، ص 347 ، ح 8.</w:t>
      </w:r>
    </w:p>
    <w:p w:rsidR="008A74EB" w:rsidRPr="00C9040A" w:rsidRDefault="006C577F" w:rsidP="004A4E41">
      <w:pPr>
        <w:pStyle w:val="libFootnote0"/>
        <w:rPr>
          <w:rtl/>
          <w:lang w:bidi="fa-IR"/>
        </w:rPr>
      </w:pPr>
      <w:r>
        <w:rPr>
          <w:rtl/>
        </w:rPr>
        <w:t>(9).</w:t>
      </w:r>
      <w:r w:rsidR="008A74EB" w:rsidRPr="00C9040A">
        <w:rPr>
          <w:rtl/>
        </w:rPr>
        <w:t xml:space="preserve"> في « بر » </w:t>
      </w:r>
      <w:r w:rsidR="008A74EB">
        <w:rPr>
          <w:rtl/>
        </w:rPr>
        <w:t xml:space="preserve">: </w:t>
      </w:r>
      <w:r w:rsidR="0084262C">
        <w:rPr>
          <w:rtl/>
        </w:rPr>
        <w:t>-</w:t>
      </w:r>
      <w:r w:rsidR="008A74EB" w:rsidRPr="00C9040A">
        <w:rPr>
          <w:rtl/>
        </w:rPr>
        <w:t xml:space="preserve"> « محمّد بن »</w:t>
      </w:r>
      <w:r w:rsidR="008A74EB">
        <w:rPr>
          <w:rtl/>
        </w:rPr>
        <w:t>.</w:t>
      </w:r>
    </w:p>
    <w:p w:rsidR="008A74EB" w:rsidRPr="00C9040A" w:rsidRDefault="006C577F" w:rsidP="00143092">
      <w:pPr>
        <w:pStyle w:val="libFootnote0"/>
        <w:rPr>
          <w:rtl/>
          <w:lang w:bidi="fa-IR"/>
        </w:rPr>
      </w:pPr>
      <w:r>
        <w:rPr>
          <w:rtl/>
        </w:rPr>
        <w:t>(10).</w:t>
      </w:r>
      <w:r w:rsidR="008A74EB" w:rsidRPr="00C9040A">
        <w:rPr>
          <w:rtl/>
        </w:rPr>
        <w:t xml:space="preserve"> في « ب ، د ، بف ، جر » وحاشية « ض » : « يسير » وفي البحار </w:t>
      </w:r>
      <w:r w:rsidR="008A74EB">
        <w:rPr>
          <w:rtl/>
        </w:rPr>
        <w:t xml:space="preserve">: </w:t>
      </w:r>
      <w:r w:rsidR="0084262C">
        <w:rPr>
          <w:rtl/>
        </w:rPr>
        <w:t>-</w:t>
      </w:r>
      <w:r w:rsidR="008A74EB" w:rsidRPr="00C9040A">
        <w:rPr>
          <w:rtl/>
        </w:rPr>
        <w:t xml:space="preserve"> « عن بشير »</w:t>
      </w:r>
      <w:r w:rsidR="008A74EB">
        <w:rPr>
          <w:rtl/>
        </w:rPr>
        <w:t>.</w:t>
      </w:r>
      <w:r w:rsidR="008A74EB" w:rsidRPr="00C9040A">
        <w:rPr>
          <w:rtl/>
        </w:rPr>
        <w:t xml:space="preserve"> والظاهر أنّ بشيراً هذا ، هو بشيرالكُناسيّ ؛ فقد روى يحيى الحلبي عن بشير الكناسي في </w:t>
      </w:r>
      <w:r w:rsidR="008A74EB" w:rsidRPr="00993B55">
        <w:rPr>
          <w:rStyle w:val="libFootnoteBoldChar"/>
          <w:rtl/>
        </w:rPr>
        <w:t>الكافي</w:t>
      </w:r>
      <w:r w:rsidR="008A74EB" w:rsidRPr="00C9040A">
        <w:rPr>
          <w:rtl/>
        </w:rPr>
        <w:t xml:space="preserve"> ، ح 1889 ؛ و</w:t>
      </w:r>
      <w:r w:rsidR="008A74EB" w:rsidRPr="00993B55">
        <w:rPr>
          <w:rStyle w:val="libFootnoteBoldChar"/>
          <w:rtl/>
        </w:rPr>
        <w:t xml:space="preserve">المحاسن </w:t>
      </w:r>
      <w:r w:rsidR="008A74EB" w:rsidRPr="00C9040A">
        <w:rPr>
          <w:rtl/>
        </w:rPr>
        <w:t>، ص 162 ، ح 108 ؛ وص 177 ، ح 160 ؛ وص 265 ، ح 344.</w:t>
      </w:r>
      <w:r w:rsidR="00143092">
        <w:rPr>
          <w:rFonts w:hint="cs"/>
          <w:rtl/>
        </w:rPr>
        <w:t xml:space="preserve">                        </w:t>
      </w:r>
      <w:r>
        <w:rPr>
          <w:rtl/>
        </w:rPr>
        <w:t>(11).</w:t>
      </w:r>
      <w:r w:rsidR="008A74EB" w:rsidRPr="00C9040A">
        <w:rPr>
          <w:rtl/>
        </w:rPr>
        <w:t xml:space="preserve"> في المؤمن : + « </w:t>
      </w:r>
      <w:r w:rsidR="008A74EB">
        <w:rPr>
          <w:rtl/>
        </w:rPr>
        <w:t>و ».</w:t>
      </w:r>
    </w:p>
    <w:p w:rsidR="008A74EB" w:rsidRPr="00C9040A" w:rsidRDefault="006C577F" w:rsidP="00143092">
      <w:pPr>
        <w:pStyle w:val="libFootnote0"/>
        <w:rPr>
          <w:rtl/>
          <w:lang w:bidi="fa-IR"/>
        </w:rPr>
      </w:pPr>
      <w:r>
        <w:rPr>
          <w:rtl/>
        </w:rPr>
        <w:t>(12).</w:t>
      </w:r>
      <w:r w:rsidR="008A74EB" w:rsidRPr="00C9040A">
        <w:rPr>
          <w:rtl/>
        </w:rPr>
        <w:t xml:space="preserve"> </w:t>
      </w:r>
      <w:r w:rsidR="008A74EB" w:rsidRPr="00993B55">
        <w:rPr>
          <w:rStyle w:val="libFootnoteBoldChar"/>
          <w:rtl/>
        </w:rPr>
        <w:t>المؤمن</w:t>
      </w:r>
      <w:r w:rsidR="008A74EB" w:rsidRPr="00C9040A">
        <w:rPr>
          <w:rtl/>
        </w:rPr>
        <w:t xml:space="preserve"> ، ص 58 ، ح 148 ، عن أبي جعفر </w:t>
      </w:r>
      <w:r w:rsidR="00117575" w:rsidRPr="00117575">
        <w:rPr>
          <w:rStyle w:val="libFootnoteAlaemChar"/>
          <w:rtl/>
        </w:rPr>
        <w:t>عليه‌السلام</w:t>
      </w:r>
      <w:r w:rsidR="00143092">
        <w:rPr>
          <w:rStyle w:val="libFootnoteAlaemChar"/>
          <w:rFonts w:hint="cs"/>
          <w:rtl/>
        </w:rPr>
        <w:t>.</w:t>
      </w:r>
      <w:r w:rsidR="008A74EB" w:rsidRPr="00993B55">
        <w:rPr>
          <w:rStyle w:val="libFootnoteBoldChar"/>
          <w:rtl/>
        </w:rPr>
        <w:t>الوافي</w:t>
      </w:r>
      <w:r w:rsidR="008A74EB" w:rsidRPr="00C9040A">
        <w:rPr>
          <w:rtl/>
        </w:rPr>
        <w:t xml:space="preserve"> ، ج 5 ، ص 590 ، ح 2633 ؛ </w:t>
      </w:r>
      <w:r w:rsidR="008A74EB" w:rsidRPr="00993B55">
        <w:rPr>
          <w:rStyle w:val="libFootnoteBoldChar"/>
          <w:rtl/>
        </w:rPr>
        <w:t>البحار</w:t>
      </w:r>
      <w:r w:rsidR="008A74EB" w:rsidRPr="00C9040A">
        <w:rPr>
          <w:rtl/>
        </w:rPr>
        <w:t xml:space="preserve"> ، ج 74 ، ص 348 ، ح 9.</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092A2F">
        <w:rPr>
          <w:rtl/>
        </w:rPr>
        <w:t>2085</w:t>
      </w:r>
      <w:r w:rsidRPr="00261CB0">
        <w:rPr>
          <w:rStyle w:val="libBold2Char"/>
          <w:rtl/>
        </w:rPr>
        <w:t xml:space="preserve"> / 10.</w:t>
      </w:r>
      <w:r w:rsidRPr="00C9040A">
        <w:rPr>
          <w:rtl/>
          <w:lang w:bidi="fa-IR"/>
        </w:rPr>
        <w:t xml:space="preserve"> الْحُسَيْنُ بْنُ مُحَمَّدٍ </w:t>
      </w:r>
      <w:r w:rsidR="006C577F" w:rsidRPr="006C577F">
        <w:rPr>
          <w:rStyle w:val="libFootnotenumChar"/>
          <w:rtl/>
        </w:rPr>
        <w:t>(1)</w:t>
      </w:r>
      <w:r w:rsidRPr="00C9040A">
        <w:rPr>
          <w:rtl/>
          <w:lang w:bidi="fa-IR"/>
        </w:rPr>
        <w:t xml:space="preserve"> ، عَنْ أَحْمَدَ بْنِ إِسْحَاقَ ، عَنْ بَكْرِ بْنِ مُحَمَّدٍ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مَا زَارَ مُسْلِمٌ </w:t>
      </w:r>
      <w:r w:rsidR="006C577F" w:rsidRPr="006C577F">
        <w:rPr>
          <w:rStyle w:val="libFootnotenumChar"/>
          <w:rtl/>
        </w:rPr>
        <w:t>(2)</w:t>
      </w:r>
      <w:r w:rsidRPr="00C9040A">
        <w:rPr>
          <w:rtl/>
          <w:lang w:bidi="fa-IR"/>
        </w:rPr>
        <w:t xml:space="preserve"> أَخَاهُ الْمُ</w:t>
      </w:r>
      <w:r w:rsidR="00143092">
        <w:rPr>
          <w:rtl/>
          <w:lang w:bidi="fa-IR"/>
        </w:rPr>
        <w:t>سْلِمَ فِي اللهِ وَلِلّهِ إِل</w:t>
      </w:r>
      <w:r w:rsidR="00143092">
        <w:rPr>
          <w:rFonts w:hint="cs"/>
          <w:rtl/>
          <w:lang w:bidi="fa-IR"/>
        </w:rPr>
        <w:t>َّ</w:t>
      </w:r>
      <w:r w:rsidR="00143092">
        <w:rPr>
          <w:rtl/>
          <w:lang w:bidi="fa-IR"/>
        </w:rPr>
        <w:t>ا</w:t>
      </w:r>
      <w:r w:rsidRPr="00C9040A">
        <w:rPr>
          <w:rtl/>
          <w:lang w:bidi="fa-IR"/>
        </w:rPr>
        <w:t xml:space="preserve"> نَادَاهُ اللهُ عَزَّ وَجَلَّ : أَيُّهَا الزَّائِرُ ، طِبْتَ وَطَابَتْ لَكَ الْجَنَّةُ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143092" w:rsidRDefault="008A74EB" w:rsidP="00143092">
      <w:pPr>
        <w:pStyle w:val="libNormal"/>
        <w:rPr>
          <w:rtl/>
          <w:lang w:bidi="fa-IR"/>
        </w:rPr>
      </w:pPr>
      <w:r w:rsidRPr="00092A2F">
        <w:rPr>
          <w:rtl/>
        </w:rPr>
        <w:t>2086</w:t>
      </w:r>
      <w:r w:rsidRPr="00261CB0">
        <w:rPr>
          <w:rStyle w:val="libBold2Char"/>
          <w:rtl/>
        </w:rPr>
        <w:t xml:space="preserve"> / 11.</w:t>
      </w:r>
      <w:r w:rsidRPr="00C9040A">
        <w:rPr>
          <w:rtl/>
          <w:lang w:bidi="fa-IR"/>
        </w:rPr>
        <w:t xml:space="preserve"> مُحَمَّدُ بْنُ يَحْيى ، عَنْ أَحْمَدَ بْنِ مُحَمَّدٍ ؛</w:t>
      </w:r>
    </w:p>
    <w:p w:rsidR="008A74EB" w:rsidRPr="00C9040A" w:rsidRDefault="008A74EB" w:rsidP="00143092">
      <w:pPr>
        <w:pStyle w:val="libNormal"/>
        <w:rPr>
          <w:rtl/>
          <w:lang w:bidi="fa-IR"/>
        </w:rPr>
      </w:pPr>
      <w:r w:rsidRPr="00C9040A">
        <w:rPr>
          <w:rtl/>
          <w:lang w:bidi="fa-IR"/>
        </w:rPr>
        <w:t xml:space="preserve">وَعِدَّةٌ مِنْ أَصْحَابِنَا ، عَنْ سَهْلِ بْنِ زِيَادٍ جَمِيعاً </w:t>
      </w:r>
      <w:r w:rsidR="006C577F" w:rsidRPr="006C577F">
        <w:rPr>
          <w:rStyle w:val="libFootnotenumChar"/>
          <w:rtl/>
        </w:rPr>
        <w:t>(4)</w:t>
      </w:r>
      <w:r w:rsidRPr="00C9040A">
        <w:rPr>
          <w:rtl/>
          <w:lang w:bidi="fa-IR"/>
        </w:rPr>
        <w:t xml:space="preserve"> ، عَنِ ابْنِ مَحْبُوبٍ ، عَنْ أَبِي أَيُّوبَ ، عَنْ مُحَمَّدِ بْنِ قَيْسٍ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إِنَّ 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00143092">
        <w:rPr>
          <w:rtl/>
          <w:lang w:bidi="fa-IR"/>
        </w:rPr>
        <w:t>جَنَّةً لَايَدْخُلُهَا إِل</w:t>
      </w:r>
      <w:r w:rsidR="00143092">
        <w:rPr>
          <w:rFonts w:hint="cs"/>
          <w:rtl/>
          <w:lang w:bidi="fa-IR"/>
        </w:rPr>
        <w:t>َّ</w:t>
      </w:r>
      <w:r w:rsidR="00143092">
        <w:rPr>
          <w:rtl/>
          <w:lang w:bidi="fa-IR"/>
        </w:rPr>
        <w:t>ا</w:t>
      </w:r>
      <w:r w:rsidRPr="00C9040A">
        <w:rPr>
          <w:rtl/>
          <w:lang w:bidi="fa-IR"/>
        </w:rPr>
        <w:t xml:space="preserve"> ثَلَاثَةٌ : رَجُلٌ </w:t>
      </w:r>
      <w:r w:rsidR="006C577F" w:rsidRPr="006C577F">
        <w:rPr>
          <w:rStyle w:val="libFootnotenumChar"/>
          <w:rtl/>
        </w:rPr>
        <w:t>(5)</w:t>
      </w:r>
      <w:r w:rsidRPr="00C9040A">
        <w:rPr>
          <w:rtl/>
          <w:lang w:bidi="fa-IR"/>
        </w:rPr>
        <w:t xml:space="preserve"> حَكَمَ عَلى </w:t>
      </w:r>
      <w:r w:rsidR="006C577F" w:rsidRPr="006C577F">
        <w:rPr>
          <w:rStyle w:val="libFootnotenumChar"/>
          <w:rtl/>
        </w:rPr>
        <w:t>(6)</w:t>
      </w:r>
      <w:r w:rsidRPr="005B567D">
        <w:rPr>
          <w:rStyle w:val="libFootnotenumChar"/>
          <w:rtl/>
        </w:rPr>
        <w:t xml:space="preserve"> </w:t>
      </w:r>
      <w:r w:rsidRPr="00C9040A">
        <w:rPr>
          <w:rtl/>
          <w:lang w:bidi="fa-IR"/>
        </w:rPr>
        <w:t xml:space="preserve">نَفْسِهِ بِالْحَقِّ ، وَرَجُلٌ زَارَ أَخَاهُ الْمُؤْمِنَ فِي اللهِ ، وَرَجُلٌ آثَرَ </w:t>
      </w:r>
      <w:r w:rsidR="006C577F" w:rsidRPr="006C577F">
        <w:rPr>
          <w:rStyle w:val="libFootnotenumChar"/>
          <w:rtl/>
        </w:rPr>
        <w:t>(7)</w:t>
      </w:r>
      <w:r w:rsidR="00411D58">
        <w:rPr>
          <w:rtl/>
          <w:lang w:bidi="fa-IR"/>
        </w:rPr>
        <w:t xml:space="preserve"> أَخَاهُ الْمُؤْمِنَ فِي اللهِ</w:t>
      </w:r>
      <w:r w:rsidRPr="00C9040A">
        <w:rPr>
          <w:rtl/>
          <w:lang w:bidi="fa-IR"/>
        </w:rPr>
        <w:t>»</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هكذا في « ب ، ج ، د ، ز ، ص ، ض ، بر ، بس ، بف » وحاشية « بف » والطبعة الحجريّة. وفي « بف » : + « عن أحمد بن محمّد »</w:t>
      </w:r>
      <w:r w:rsidR="008A74EB">
        <w:rPr>
          <w:rtl/>
        </w:rPr>
        <w:t>.</w:t>
      </w:r>
      <w:r w:rsidR="008A74EB" w:rsidRPr="00C9040A">
        <w:rPr>
          <w:rtl/>
        </w:rPr>
        <w:t xml:space="preserve"> وفي المطبوع : + « [ عن أحمد بن محمّد ] »</w:t>
      </w:r>
      <w:r w:rsidR="008A74EB">
        <w:rPr>
          <w:rtl/>
        </w:rPr>
        <w:t>.</w:t>
      </w:r>
    </w:p>
    <w:p w:rsidR="008A74EB" w:rsidRPr="00C9040A" w:rsidRDefault="008A74EB" w:rsidP="004A4E41">
      <w:pPr>
        <w:pStyle w:val="libFootnote0"/>
        <w:rPr>
          <w:rtl/>
          <w:lang w:bidi="fa-IR"/>
        </w:rPr>
      </w:pPr>
      <w:r w:rsidRPr="00323A39">
        <w:rPr>
          <w:rtl/>
        </w:rPr>
        <w:t xml:space="preserve">والصواب ما أثبتناه ؛ فقد روى الحسين بن محمّد ، عن أحمد بن إسحاق مباشرة في أسناد عديدة. راجع : </w:t>
      </w:r>
      <w:r w:rsidRPr="00993B55">
        <w:rPr>
          <w:rStyle w:val="libFootnoteBoldChar"/>
          <w:rtl/>
        </w:rPr>
        <w:t>معجم رجال الحديث</w:t>
      </w:r>
      <w:r w:rsidRPr="00323A39">
        <w:rPr>
          <w:rtl/>
        </w:rPr>
        <w:t xml:space="preserve"> ، ج 6 ، ص 339 </w:t>
      </w:r>
      <w:r w:rsidR="0084262C" w:rsidRPr="00323A39">
        <w:rPr>
          <w:rtl/>
        </w:rPr>
        <w:t>-</w:t>
      </w:r>
      <w:r w:rsidRPr="00323A39">
        <w:rPr>
          <w:rtl/>
        </w:rPr>
        <w:t xml:space="preserve"> 340.</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ف » : « المسلم »</w:t>
      </w:r>
      <w:r w:rsidR="008A74EB">
        <w:rPr>
          <w:rtl/>
        </w:rPr>
        <w:t>.</w:t>
      </w:r>
      <w:r w:rsidR="008A74EB">
        <w:rPr>
          <w:rtl/>
        </w:rPr>
        <w:tab/>
      </w:r>
    </w:p>
    <w:p w:rsidR="008A74EB" w:rsidRPr="00C9040A" w:rsidRDefault="006C577F" w:rsidP="00EF63C3">
      <w:pPr>
        <w:pStyle w:val="libFootnote0"/>
        <w:rPr>
          <w:rtl/>
          <w:lang w:bidi="fa-IR"/>
        </w:rPr>
      </w:pPr>
      <w:r>
        <w:rPr>
          <w:rtl/>
        </w:rPr>
        <w:t>(3).</w:t>
      </w:r>
      <w:r w:rsidR="008A74EB" w:rsidRPr="00C9040A">
        <w:rPr>
          <w:rtl/>
        </w:rPr>
        <w:t xml:space="preserve"> </w:t>
      </w:r>
      <w:r w:rsidR="008A74EB" w:rsidRPr="00993B55">
        <w:rPr>
          <w:rStyle w:val="libFootnoteBoldChar"/>
          <w:rtl/>
        </w:rPr>
        <w:t>قرب الإسناد</w:t>
      </w:r>
      <w:r w:rsidR="008A74EB" w:rsidRPr="00C9040A">
        <w:rPr>
          <w:rtl/>
        </w:rPr>
        <w:t xml:space="preserve"> ، ص 36 ، ح 116 ، عن أحمد بن إسحاق بن سعد ؛ </w:t>
      </w:r>
      <w:r w:rsidR="008A74EB" w:rsidRPr="00993B55">
        <w:rPr>
          <w:rStyle w:val="libFootnoteBoldChar"/>
          <w:rtl/>
        </w:rPr>
        <w:t>ثواب الأعمال</w:t>
      </w:r>
      <w:r w:rsidR="008A74EB" w:rsidRPr="00C9040A">
        <w:rPr>
          <w:rtl/>
        </w:rPr>
        <w:t xml:space="preserve"> ، ص 221 ، ح 1 ، بسنده عن أحمد بن إسحاق بن سعد. </w:t>
      </w:r>
      <w:r w:rsidR="008A74EB" w:rsidRPr="00993B55">
        <w:rPr>
          <w:rStyle w:val="libFootnoteBoldChar"/>
          <w:rtl/>
        </w:rPr>
        <w:t>مصادقة الإخوان</w:t>
      </w:r>
      <w:r w:rsidR="008A74EB" w:rsidRPr="00C9040A">
        <w:rPr>
          <w:rtl/>
        </w:rPr>
        <w:t xml:space="preserve"> ، ص 56 ، ح 1 ، مرسلاً عن بكر بن محمّد ؛ </w:t>
      </w:r>
      <w:r w:rsidR="008A74EB" w:rsidRPr="00993B55">
        <w:rPr>
          <w:rStyle w:val="libFootnoteBoldChar"/>
          <w:rtl/>
        </w:rPr>
        <w:t>وفيه</w:t>
      </w:r>
      <w:r w:rsidR="008A74EB" w:rsidRPr="00C9040A">
        <w:rPr>
          <w:rtl/>
        </w:rPr>
        <w:t xml:space="preserve"> ، ص 56 ، ح 5 ، مرسلاً عن أبي حمزة الثمالي ، عن أبي عبد الله </w:t>
      </w:r>
      <w:r w:rsidR="00117575" w:rsidRPr="00117575">
        <w:rPr>
          <w:rStyle w:val="libFootnoteAlaemChar"/>
          <w:rtl/>
        </w:rPr>
        <w:t xml:space="preserve">عليه‌السلام </w:t>
      </w:r>
      <w:r w:rsidR="008A74EB" w:rsidRPr="00C9040A">
        <w:rPr>
          <w:rtl/>
        </w:rPr>
        <w:t xml:space="preserve"> ؛ </w:t>
      </w:r>
      <w:r w:rsidR="008A74EB" w:rsidRPr="00993B55">
        <w:rPr>
          <w:rStyle w:val="libFootnoteBoldChar"/>
          <w:rtl/>
        </w:rPr>
        <w:t>الاختصاص</w:t>
      </w:r>
      <w:r w:rsidR="008A74EB" w:rsidRPr="00C9040A">
        <w:rPr>
          <w:rtl/>
        </w:rPr>
        <w:t xml:space="preserve"> ، ص 188 ، مرسلاً</w:t>
      </w:r>
      <w:r w:rsidR="00EF63C3">
        <w:rPr>
          <w:rFonts w:hint="cs"/>
          <w:rtl/>
        </w:rPr>
        <w:t>.</w:t>
      </w:r>
      <w:r w:rsidR="008A74EB" w:rsidRPr="00993B55">
        <w:rPr>
          <w:rStyle w:val="libFootnoteBoldChar"/>
          <w:rtl/>
        </w:rPr>
        <w:t>الوافي</w:t>
      </w:r>
      <w:r w:rsidR="008A74EB" w:rsidRPr="00C9040A">
        <w:rPr>
          <w:rtl/>
        </w:rPr>
        <w:t xml:space="preserve"> ، ج 5 ، ص 590 ، ح 2634 ؛ </w:t>
      </w:r>
      <w:r w:rsidR="008A74EB" w:rsidRPr="00993B55">
        <w:rPr>
          <w:rStyle w:val="libFootnoteBoldChar"/>
          <w:rtl/>
        </w:rPr>
        <w:t>الوسائل</w:t>
      </w:r>
      <w:r w:rsidR="008A74EB" w:rsidRPr="00C9040A">
        <w:rPr>
          <w:rtl/>
        </w:rPr>
        <w:t xml:space="preserve"> ، ج 14 ، ص 581 ، ح 19860 ؛ </w:t>
      </w:r>
      <w:r w:rsidR="008A74EB" w:rsidRPr="00993B55">
        <w:rPr>
          <w:rStyle w:val="libFootnoteBoldChar"/>
          <w:rtl/>
        </w:rPr>
        <w:t>البحار</w:t>
      </w:r>
      <w:r w:rsidR="008A74EB" w:rsidRPr="00C9040A">
        <w:rPr>
          <w:rtl/>
        </w:rPr>
        <w:t xml:space="preserve"> ، ج 74 ، ص 348 ، ح 10.</w:t>
      </w:r>
    </w:p>
    <w:p w:rsidR="008A74EB" w:rsidRPr="00C9040A" w:rsidRDefault="006C577F" w:rsidP="004A4E41">
      <w:pPr>
        <w:pStyle w:val="libFootnote0"/>
        <w:rPr>
          <w:rtl/>
          <w:lang w:bidi="fa-IR"/>
        </w:rPr>
      </w:pPr>
      <w:r>
        <w:rPr>
          <w:rtl/>
        </w:rPr>
        <w:t>(4).</w:t>
      </w:r>
      <w:r w:rsidR="008A74EB" w:rsidRPr="00C9040A">
        <w:rPr>
          <w:rtl/>
        </w:rPr>
        <w:t xml:space="preserve"> في الكافي ، ح 1965 </w:t>
      </w:r>
      <w:r w:rsidR="008A74EB">
        <w:rPr>
          <w:rtl/>
        </w:rPr>
        <w:t xml:space="preserve">: </w:t>
      </w:r>
      <w:r w:rsidR="0084262C">
        <w:rPr>
          <w:rtl/>
        </w:rPr>
        <w:t>-</w:t>
      </w:r>
      <w:r w:rsidR="008A74EB" w:rsidRPr="00C9040A">
        <w:rPr>
          <w:rtl/>
        </w:rPr>
        <w:t xml:space="preserve"> « وعدّة من أصحابنا ، عن سهل بن زياد جميعاً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الكافي ، ح 1965 : « أحدهم من » بدل « رجل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الكافي ، ح 1965 والمؤمن والخصال : « في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المؤمن : « أبرّ »</w:t>
      </w:r>
      <w:r w:rsidR="008A74EB">
        <w:rPr>
          <w:rtl/>
        </w:rPr>
        <w:t>.</w:t>
      </w:r>
    </w:p>
    <w:p w:rsidR="008A74EB" w:rsidRPr="00C9040A" w:rsidRDefault="006C577F" w:rsidP="00EF63C3">
      <w:pPr>
        <w:pStyle w:val="libFootnote0"/>
        <w:rPr>
          <w:rtl/>
          <w:lang w:bidi="fa-IR"/>
        </w:rPr>
      </w:pPr>
      <w:r>
        <w:rPr>
          <w:rtl/>
        </w:rPr>
        <w:t>(8).</w:t>
      </w:r>
      <w:r w:rsidR="008A74EB" w:rsidRPr="00C9040A">
        <w:rPr>
          <w:rtl/>
        </w:rPr>
        <w:t xml:space="preserve"> </w:t>
      </w:r>
      <w:r w:rsidR="008A74EB" w:rsidRPr="00993B55">
        <w:rPr>
          <w:rStyle w:val="libFootnoteBoldChar"/>
          <w:rtl/>
        </w:rPr>
        <w:t>الكافي</w:t>
      </w:r>
      <w:r w:rsidR="008A74EB" w:rsidRPr="00C9040A">
        <w:rPr>
          <w:rtl/>
        </w:rPr>
        <w:t xml:space="preserve"> ، كتاب الإيمان والكفر ، باب الإنصاف والعدل ، ح 1965 ، إلى قوله : « حكم على نفسه بالحقّ »</w:t>
      </w:r>
      <w:r w:rsidR="008A74EB">
        <w:rPr>
          <w:rtl/>
        </w:rPr>
        <w:t>.</w:t>
      </w:r>
      <w:r w:rsidR="008A74EB" w:rsidRPr="00C9040A">
        <w:rPr>
          <w:rtl/>
        </w:rPr>
        <w:t xml:space="preserve"> وفي </w:t>
      </w:r>
      <w:r w:rsidR="008A74EB" w:rsidRPr="00993B55">
        <w:rPr>
          <w:rStyle w:val="libFootnoteBoldChar"/>
          <w:rtl/>
        </w:rPr>
        <w:t>الخصال</w:t>
      </w:r>
      <w:r w:rsidR="008A74EB" w:rsidRPr="00C9040A">
        <w:rPr>
          <w:rtl/>
        </w:rPr>
        <w:t xml:space="preserve"> ، ص 131 ، باب الثلاثة ، ح 136 ، بسنده عن أحمد بن محمّد بن عيسى ، عن الحسن بن محبوب. </w:t>
      </w:r>
      <w:r w:rsidR="008A74EB" w:rsidRPr="00993B55">
        <w:rPr>
          <w:rStyle w:val="libFootnoteBoldChar"/>
          <w:rtl/>
        </w:rPr>
        <w:t>المؤمن</w:t>
      </w:r>
      <w:r w:rsidR="008A74EB" w:rsidRPr="00C9040A">
        <w:rPr>
          <w:rtl/>
        </w:rPr>
        <w:t xml:space="preserve"> ، ص 60 ، ح 155 ، عن أبي جعفر </w:t>
      </w:r>
      <w:r w:rsidR="00117575" w:rsidRPr="00117575">
        <w:rPr>
          <w:rStyle w:val="libFootnoteAlaemChar"/>
          <w:rtl/>
        </w:rPr>
        <w:t>عليه‌السلام</w:t>
      </w:r>
      <w:r w:rsidR="00EF63C3">
        <w:rPr>
          <w:rStyle w:val="libFootnoteAlaemChar"/>
          <w:rFonts w:hint="cs"/>
          <w:rtl/>
        </w:rPr>
        <w:t>.</w:t>
      </w:r>
      <w:r w:rsidR="008A74EB" w:rsidRPr="00993B55">
        <w:rPr>
          <w:rStyle w:val="libFootnoteBoldChar"/>
          <w:rtl/>
        </w:rPr>
        <w:t>الوافي</w:t>
      </w:r>
      <w:r w:rsidR="008A74EB" w:rsidRPr="00C9040A">
        <w:rPr>
          <w:rtl/>
        </w:rPr>
        <w:t xml:space="preserve"> ، ج 5 ، ص 593 ، ح 2641 ؛ </w:t>
      </w:r>
      <w:r w:rsidR="008A74EB" w:rsidRPr="00993B55">
        <w:rPr>
          <w:rStyle w:val="libFootnoteBoldChar"/>
          <w:rtl/>
        </w:rPr>
        <w:t>الوسائل</w:t>
      </w:r>
      <w:r w:rsidR="008A74EB" w:rsidRPr="00C9040A">
        <w:rPr>
          <w:rtl/>
        </w:rPr>
        <w:t xml:space="preserve"> ، ج 14 ، ص 582 ، ح 19862 ؛ </w:t>
      </w:r>
      <w:r w:rsidR="008A74EB" w:rsidRPr="00993B55">
        <w:rPr>
          <w:rStyle w:val="libFootnoteBoldChar"/>
          <w:rtl/>
        </w:rPr>
        <w:t>البحار</w:t>
      </w:r>
      <w:r w:rsidR="008A74EB" w:rsidRPr="00C9040A">
        <w:rPr>
          <w:rtl/>
        </w:rPr>
        <w:t xml:space="preserve"> ، ج 74 ، ص 348 ، ح 11.</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092A2F">
        <w:rPr>
          <w:rtl/>
        </w:rPr>
        <w:t>2087</w:t>
      </w:r>
      <w:r w:rsidRPr="00261CB0">
        <w:rPr>
          <w:rStyle w:val="libBold2Char"/>
          <w:rtl/>
        </w:rPr>
        <w:t xml:space="preserve"> / 12.</w:t>
      </w:r>
      <w:r w:rsidRPr="00C9040A">
        <w:rPr>
          <w:rtl/>
          <w:lang w:bidi="fa-IR"/>
        </w:rPr>
        <w:t xml:space="preserve"> مُحَمَّدُ بْنُ يَحْيى ، عَنْ مُحَمَّدِ بْنِ الْحُسَيْنِ ، عَنْ مُحَمَّدِ بْنِ إِسْمَاعِيلَ بْنِ بَزِيعٍ ، عَنْ صَالِحِ بْنِ عُقْبَةَ ، عَنْ عَبْدِ اللهِ بْنِ مُحَمَّدٍ الْجُعْفِيِّ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إِنَّ الْمُؤْمِنَ لَيَخْرُجُ إِلى أَخِيهِ يَزُورُهُ </w:t>
      </w:r>
      <w:r w:rsidR="006C577F" w:rsidRPr="006C577F">
        <w:rPr>
          <w:rStyle w:val="libFootnotenumChar"/>
          <w:rtl/>
        </w:rPr>
        <w:t>(1)</w:t>
      </w:r>
      <w:r w:rsidRPr="00C9040A">
        <w:rPr>
          <w:rtl/>
          <w:lang w:bidi="fa-IR"/>
        </w:rPr>
        <w:t xml:space="preserve"> ، فَيُوَكِّلُ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بِهِ مَلَكاً ، فَيَضَعُ جَنَاحاً فِي الْأَرْضِ وَجَنَاحاً فِي السَّمَاءِ يُظِلُّهُ </w:t>
      </w:r>
      <w:r w:rsidR="006C577F" w:rsidRPr="006C577F">
        <w:rPr>
          <w:rStyle w:val="libFootnotenumChar"/>
          <w:rtl/>
        </w:rPr>
        <w:t>(2)</w:t>
      </w:r>
      <w:r w:rsidRPr="00C9040A">
        <w:rPr>
          <w:rtl/>
          <w:lang w:bidi="fa-IR"/>
        </w:rPr>
        <w:t xml:space="preserve"> ، فَإِذَا دَخَلَ إِلى مَنْزِلِهِ نَادَى </w:t>
      </w:r>
      <w:r w:rsidR="006C577F" w:rsidRPr="006C577F">
        <w:rPr>
          <w:rStyle w:val="libFootnotenumChar"/>
          <w:rtl/>
        </w:rPr>
        <w:t>(3)</w:t>
      </w:r>
      <w:r w:rsidRPr="00C9040A">
        <w:rPr>
          <w:rtl/>
          <w:lang w:bidi="fa-IR"/>
        </w:rPr>
        <w:t xml:space="preserve"> الْجَبَّارُ تَبَارَكَ وَتَعَالى : أَيُّهَا الْعَبْدُ الْمُعَظِّمُ لِحَقِّي </w:t>
      </w:r>
      <w:r w:rsidR="006C577F" w:rsidRPr="006C577F">
        <w:rPr>
          <w:rStyle w:val="libFootnotenumChar"/>
          <w:rtl/>
        </w:rPr>
        <w:t>(4)</w:t>
      </w:r>
      <w:r w:rsidRPr="00C9040A">
        <w:rPr>
          <w:rtl/>
          <w:lang w:bidi="fa-IR"/>
        </w:rPr>
        <w:t xml:space="preserve"> ، الْمُتَّبِعُ لآِثَارِ نَبِيِّي ، حَقٌّ </w:t>
      </w:r>
      <w:r w:rsidR="006C577F" w:rsidRPr="006C577F">
        <w:rPr>
          <w:rStyle w:val="libFootnotenumChar"/>
          <w:rtl/>
        </w:rPr>
        <w:t>(5)</w:t>
      </w:r>
      <w:r w:rsidRPr="00C9040A">
        <w:rPr>
          <w:rtl/>
          <w:lang w:bidi="fa-IR"/>
        </w:rPr>
        <w:t xml:space="preserve"> عَلَيَّ إِعْظَامُكَ ؛ سَلْنِي أُعْطِكَ ؛ ادْعُنِي أُجِبْكَ ؛ اسْكُتْ أَبْتَدِئْكَ ، فَإِذَا انْصَرَفَ شَيَّعَهُ الْمَلَكُ يُظِلُّهُ بِجَنَاحِهِ حَتّى يَدْخُلَ </w:t>
      </w:r>
      <w:r w:rsidR="006C577F" w:rsidRPr="006C577F">
        <w:rPr>
          <w:rStyle w:val="libFootnotenumChar"/>
          <w:rtl/>
        </w:rPr>
        <w:t>(6)</w:t>
      </w:r>
      <w:r w:rsidRPr="005B567D">
        <w:rPr>
          <w:rStyle w:val="libFootnotenumChar"/>
          <w:rtl/>
        </w:rPr>
        <w:t xml:space="preserve"> </w:t>
      </w:r>
      <w:r w:rsidRPr="00C9040A">
        <w:rPr>
          <w:rtl/>
          <w:lang w:bidi="fa-IR"/>
        </w:rPr>
        <w:t xml:space="preserve">إِلى مَنْزِلِهِ ، ثُمَّ يُنَادِيهِ تَبَارَكَ وَتَعَالى : أَيُّهَا الْعَبْدُ </w:t>
      </w:r>
      <w:r w:rsidR="006C577F" w:rsidRPr="006C577F">
        <w:rPr>
          <w:rStyle w:val="libFootnotenumChar"/>
          <w:rtl/>
        </w:rPr>
        <w:t>(7)</w:t>
      </w:r>
      <w:r w:rsidRPr="00C9040A">
        <w:rPr>
          <w:rtl/>
          <w:lang w:bidi="fa-IR"/>
        </w:rPr>
        <w:t xml:space="preserve"> الْمُعَظِّمُ لِحَقِّي </w:t>
      </w:r>
      <w:r w:rsidR="006C577F" w:rsidRPr="006C577F">
        <w:rPr>
          <w:rStyle w:val="libFootnotenumChar"/>
          <w:rtl/>
        </w:rPr>
        <w:t>(8)</w:t>
      </w:r>
      <w:r w:rsidRPr="00C9040A">
        <w:rPr>
          <w:rtl/>
          <w:lang w:bidi="fa-IR"/>
        </w:rPr>
        <w:t xml:space="preserve"> ، حَقٌّ عَلَيَّ إِكْرَامُكَ ، قَدْ أَوْجَبْتُ لَكَ جَنَّتِي ، وَشَفَّعْتُكَ فِي عِبَادِي »</w:t>
      </w:r>
      <w:r>
        <w:rPr>
          <w:rtl/>
          <w:lang w:bidi="fa-IR"/>
        </w:rPr>
        <w:t>.</w:t>
      </w:r>
      <w:r w:rsidRPr="00C9040A">
        <w:rPr>
          <w:rtl/>
          <w:lang w:bidi="fa-IR"/>
        </w:rPr>
        <w:t xml:space="preserve"> </w:t>
      </w:r>
      <w:r w:rsidR="006C577F" w:rsidRPr="006C577F">
        <w:rPr>
          <w:rStyle w:val="libFootnotenumChar"/>
          <w:rtl/>
        </w:rPr>
        <w:t>(9)</w:t>
      </w:r>
      <w:r w:rsidRPr="00C9040A">
        <w:rPr>
          <w:rtl/>
          <w:lang w:bidi="fa-IR"/>
        </w:rPr>
        <w:t xml:space="preserve"> ‌</w:t>
      </w:r>
    </w:p>
    <w:p w:rsidR="008A74EB" w:rsidRPr="00C9040A" w:rsidRDefault="008A74EB" w:rsidP="008A74EB">
      <w:pPr>
        <w:pStyle w:val="libNormal"/>
        <w:rPr>
          <w:rtl/>
          <w:lang w:bidi="fa-IR"/>
        </w:rPr>
      </w:pPr>
      <w:r w:rsidRPr="00092A2F">
        <w:rPr>
          <w:rtl/>
        </w:rPr>
        <w:t>2088</w:t>
      </w:r>
      <w:r w:rsidRPr="00261CB0">
        <w:rPr>
          <w:rStyle w:val="libBold2Char"/>
          <w:rtl/>
        </w:rPr>
        <w:t xml:space="preserve"> / 13.</w:t>
      </w:r>
      <w:r w:rsidRPr="00C9040A">
        <w:rPr>
          <w:rtl/>
          <w:lang w:bidi="fa-IR"/>
        </w:rPr>
        <w:t xml:space="preserve"> صَالِحُ بْنُ عُقْبَةَ </w:t>
      </w:r>
      <w:r w:rsidR="006C577F" w:rsidRPr="006C577F">
        <w:rPr>
          <w:rStyle w:val="libFootnotenumChar"/>
          <w:rtl/>
        </w:rPr>
        <w:t>(10)</w:t>
      </w:r>
      <w:r w:rsidRPr="00C9040A">
        <w:rPr>
          <w:rtl/>
          <w:lang w:bidi="fa-IR"/>
        </w:rPr>
        <w:t xml:space="preserve"> ، عَنْ عُقْبَةَ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لَزِيَارَةُ </w:t>
      </w:r>
      <w:r w:rsidR="006C577F" w:rsidRPr="006C577F">
        <w:rPr>
          <w:rStyle w:val="libFootnotenumChar"/>
          <w:rtl/>
        </w:rPr>
        <w:t>(11)</w:t>
      </w:r>
      <w:r w:rsidRPr="00C9040A">
        <w:rPr>
          <w:rtl/>
          <w:lang w:bidi="fa-IR"/>
        </w:rPr>
        <w:t xml:space="preserve"> الْمُؤْمِنِ </w:t>
      </w:r>
      <w:r w:rsidR="006C577F" w:rsidRPr="006C577F">
        <w:rPr>
          <w:rStyle w:val="libFootnotenumChar"/>
          <w:rtl/>
        </w:rPr>
        <w:t>(12)</w:t>
      </w:r>
      <w:r w:rsidRPr="00C9040A">
        <w:rPr>
          <w:rtl/>
          <w:lang w:bidi="fa-IR"/>
        </w:rPr>
        <w:t xml:space="preserve"> فِي اللهِ خَيْرٌ </w:t>
      </w:r>
      <w:r w:rsidRPr="005B567D">
        <w:rPr>
          <w:rStyle w:val="libFootnotenumChar"/>
          <w:rtl/>
        </w:rPr>
        <w:t>(13)</w:t>
      </w:r>
      <w:r w:rsidRPr="00C9040A">
        <w:rPr>
          <w:rtl/>
          <w:lang w:bidi="fa-IR"/>
        </w:rPr>
        <w:t xml:space="preserve"> مِنْ عِتْقِ عَشْرِ رِقَابٍ </w:t>
      </w:r>
      <w:r w:rsidRPr="005B567D">
        <w:rPr>
          <w:rStyle w:val="libFootnotenumChar"/>
          <w:rtl/>
        </w:rPr>
        <w:t>(14)</w:t>
      </w:r>
      <w:r w:rsidRPr="00C9040A">
        <w:rPr>
          <w:rtl/>
          <w:lang w:bidi="fa-IR"/>
        </w:rPr>
        <w:t xml:space="preserve"> مُؤْمِنَاتٍ ، وَمَنْ أَعْتَقَ رَقَبَةً مُؤْمِنَةً وَقى </w:t>
      </w:r>
      <w:r w:rsidRPr="005B567D">
        <w:rPr>
          <w:rStyle w:val="libFootnotenumChar"/>
          <w:rtl/>
        </w:rPr>
        <w:t>(15)</w:t>
      </w:r>
      <w:r w:rsidRPr="00C9040A">
        <w:rPr>
          <w:rtl/>
          <w:lang w:bidi="fa-IR"/>
        </w:rPr>
        <w:t xml:space="preserve"> كُلُّ </w:t>
      </w:r>
      <w:r w:rsidRPr="005B567D">
        <w:rPr>
          <w:rStyle w:val="libFootnotenumChar"/>
          <w:rtl/>
        </w:rPr>
        <w:t>(16)</w:t>
      </w:r>
      <w:r w:rsidRPr="00C9040A">
        <w:rPr>
          <w:rtl/>
          <w:lang w:bidi="fa-IR"/>
        </w:rPr>
        <w:t xml:space="preserve"> عُضْوٍ </w:t>
      </w:r>
      <w:r w:rsidRPr="005B567D">
        <w:rPr>
          <w:rStyle w:val="libFootnotenumChar"/>
          <w:rtl/>
        </w:rPr>
        <w:t>(17)</w:t>
      </w:r>
      <w:r w:rsidR="00411D58">
        <w:rPr>
          <w:rFonts w:hint="cs"/>
          <w:rtl/>
          <w:lang w:bidi="fa-IR"/>
        </w:rPr>
        <w:t>.....................</w:t>
      </w:r>
      <w:r w:rsidR="00411D58">
        <w:rPr>
          <w:rFonts w:hint="cs"/>
          <w:rtl/>
          <w:lang w:bidi="fa-IR"/>
        </w:rPr>
        <w:tab/>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545A65" w:rsidTr="00545A65">
        <w:tc>
          <w:tcPr>
            <w:tcW w:w="4006" w:type="dxa"/>
          </w:tcPr>
          <w:p w:rsidR="00545A65" w:rsidRDefault="00545A65" w:rsidP="004A4E41">
            <w:pPr>
              <w:pStyle w:val="libFootnote0"/>
              <w:rPr>
                <w:rtl/>
              </w:rPr>
            </w:pPr>
            <w:r>
              <w:rPr>
                <w:rtl/>
              </w:rPr>
              <w:t xml:space="preserve">(1). </w:t>
            </w:r>
            <w:r w:rsidRPr="00C9040A">
              <w:rPr>
                <w:rtl/>
              </w:rPr>
              <w:t>في « ب ، بف » والوافي : « ليزوره »</w:t>
            </w:r>
            <w:r>
              <w:rPr>
                <w:rtl/>
              </w:rPr>
              <w:t>.</w:t>
            </w:r>
          </w:p>
        </w:tc>
        <w:tc>
          <w:tcPr>
            <w:tcW w:w="4006" w:type="dxa"/>
          </w:tcPr>
          <w:p w:rsidR="00545A65" w:rsidRDefault="00545A65" w:rsidP="004A4E41">
            <w:pPr>
              <w:pStyle w:val="libFootnote0"/>
              <w:rPr>
                <w:rtl/>
              </w:rPr>
            </w:pPr>
            <w:r>
              <w:rPr>
                <w:rtl/>
              </w:rPr>
              <w:t xml:space="preserve">(2). </w:t>
            </w:r>
            <w:r w:rsidRPr="00C9040A">
              <w:rPr>
                <w:rtl/>
              </w:rPr>
              <w:t>في حاشية « ض » : « يظلّله »</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في « ب » : « ناداه الله »</w:t>
      </w:r>
      <w:r w:rsidR="008A74EB">
        <w:rPr>
          <w:rtl/>
        </w:rPr>
        <w:t>.</w:t>
      </w:r>
      <w:r w:rsidR="008A74EB" w:rsidRPr="00C9040A">
        <w:rPr>
          <w:rtl/>
        </w:rPr>
        <w:t xml:space="preserve"> وفي « ص ، ض ، ف ، بر ، بف » والوافي : « ناداه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حاشية « بر » : + « المبتغي لإرادتي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بر » </w:t>
      </w:r>
      <w:r w:rsidR="008A74EB">
        <w:rPr>
          <w:rtl/>
        </w:rPr>
        <w:t xml:space="preserve">: </w:t>
      </w:r>
      <w:r w:rsidR="0084262C">
        <w:rPr>
          <w:rtl/>
        </w:rPr>
        <w:t>-</w:t>
      </w:r>
      <w:r w:rsidR="008A74EB" w:rsidRPr="00C9040A">
        <w:rPr>
          <w:rtl/>
        </w:rPr>
        <w:t xml:space="preserve"> « حقّ »</w:t>
      </w:r>
      <w:r w:rsidR="008A74EB">
        <w:rPr>
          <w:rtl/>
        </w:rPr>
        <w:t>.</w:t>
      </w:r>
      <w:r w:rsidR="008A74EB" w:rsidRPr="00C9040A">
        <w:rPr>
          <w:rtl/>
        </w:rPr>
        <w:t xml:space="preserve"> ويجوز فيه وفيما يأتي البناء على الماضي أيضاً.</w:t>
      </w:r>
    </w:p>
    <w:tbl>
      <w:tblPr>
        <w:tblStyle w:val="TableGrid"/>
        <w:bidiVisual/>
        <w:tblW w:w="0" w:type="auto"/>
        <w:tblLook w:val="04A0" w:firstRow="1" w:lastRow="0" w:firstColumn="1" w:lastColumn="0" w:noHBand="0" w:noVBand="1"/>
      </w:tblPr>
      <w:tblGrid>
        <w:gridCol w:w="4006"/>
        <w:gridCol w:w="4006"/>
      </w:tblGrid>
      <w:tr w:rsidR="00293711" w:rsidTr="00293711">
        <w:tc>
          <w:tcPr>
            <w:tcW w:w="4006" w:type="dxa"/>
          </w:tcPr>
          <w:p w:rsidR="00293711" w:rsidRDefault="00293711" w:rsidP="004A4E41">
            <w:pPr>
              <w:pStyle w:val="libFootnote0"/>
              <w:rPr>
                <w:rtl/>
              </w:rPr>
            </w:pPr>
            <w:r>
              <w:rPr>
                <w:rtl/>
              </w:rPr>
              <w:t xml:space="preserve">(6). </w:t>
            </w:r>
            <w:r w:rsidRPr="00C9040A">
              <w:rPr>
                <w:rtl/>
              </w:rPr>
              <w:t>في « ب » : « حتّى يدخله »</w:t>
            </w:r>
            <w:r>
              <w:rPr>
                <w:rtl/>
              </w:rPr>
              <w:t>.</w:t>
            </w:r>
          </w:p>
        </w:tc>
        <w:tc>
          <w:tcPr>
            <w:tcW w:w="4006" w:type="dxa"/>
          </w:tcPr>
          <w:p w:rsidR="00293711" w:rsidRDefault="00293711" w:rsidP="004A4E41">
            <w:pPr>
              <w:pStyle w:val="libFootnote0"/>
              <w:rPr>
                <w:rtl/>
              </w:rPr>
            </w:pPr>
            <w:r>
              <w:rPr>
                <w:rtl/>
              </w:rPr>
              <w:t>(7).</w:t>
            </w:r>
            <w:r w:rsidRPr="00C9040A">
              <w:rPr>
                <w:rtl/>
              </w:rPr>
              <w:t xml:space="preserve"> في حاشية « بف » : + « المبتغي لإرادتي »</w:t>
            </w:r>
            <w:r>
              <w:rPr>
                <w:rtl/>
              </w:rPr>
              <w:t>.</w:t>
            </w:r>
          </w:p>
        </w:tc>
      </w:tr>
    </w:tbl>
    <w:p w:rsidR="008A74EB" w:rsidRPr="00C9040A" w:rsidRDefault="006C577F" w:rsidP="004A4E41">
      <w:pPr>
        <w:pStyle w:val="libFootnote0"/>
        <w:rPr>
          <w:rtl/>
          <w:lang w:bidi="fa-IR"/>
        </w:rPr>
      </w:pPr>
      <w:r>
        <w:rPr>
          <w:rtl/>
        </w:rPr>
        <w:t>(8).</w:t>
      </w:r>
      <w:r w:rsidR="008A74EB" w:rsidRPr="00C9040A">
        <w:rPr>
          <w:rtl/>
        </w:rPr>
        <w:t xml:space="preserve"> في « ب » : + « المتّبع لحقّ نبيّه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w:t>
      </w:r>
      <w:r w:rsidR="008A74EB" w:rsidRPr="00993B55">
        <w:rPr>
          <w:rStyle w:val="libFootnoteBoldChar"/>
          <w:rtl/>
        </w:rPr>
        <w:t>الوافي</w:t>
      </w:r>
      <w:r w:rsidR="008A74EB" w:rsidRPr="00C9040A">
        <w:rPr>
          <w:rtl/>
        </w:rPr>
        <w:t xml:space="preserve"> ، ج 5 ، ص 593 ، ح 2642 ؛ </w:t>
      </w:r>
      <w:r w:rsidR="008A74EB" w:rsidRPr="00993B55">
        <w:rPr>
          <w:rStyle w:val="libFootnoteBoldChar"/>
          <w:rtl/>
        </w:rPr>
        <w:t>الوسائل</w:t>
      </w:r>
      <w:r w:rsidR="008A74EB" w:rsidRPr="00C9040A">
        <w:rPr>
          <w:rtl/>
        </w:rPr>
        <w:t xml:space="preserve"> ، ج 14 ، ص 589 ، ح 19877 ؛ </w:t>
      </w:r>
      <w:r w:rsidR="008A74EB" w:rsidRPr="00993B55">
        <w:rPr>
          <w:rStyle w:val="libFootnoteBoldChar"/>
          <w:rtl/>
        </w:rPr>
        <w:t>البحار</w:t>
      </w:r>
      <w:r w:rsidR="008A74EB" w:rsidRPr="00C9040A">
        <w:rPr>
          <w:rtl/>
        </w:rPr>
        <w:t xml:space="preserve"> ، ج 74 ، ص 348 ، ح 12.</w:t>
      </w:r>
    </w:p>
    <w:p w:rsidR="008A74EB" w:rsidRPr="00C9040A" w:rsidRDefault="006C577F" w:rsidP="00746760">
      <w:pPr>
        <w:pStyle w:val="libFootnote0"/>
        <w:rPr>
          <w:rtl/>
          <w:lang w:bidi="fa-IR"/>
        </w:rPr>
      </w:pPr>
      <w:r>
        <w:rPr>
          <w:rtl/>
        </w:rPr>
        <w:t>(10).</w:t>
      </w:r>
      <w:r w:rsidR="008A74EB" w:rsidRPr="00C9040A">
        <w:rPr>
          <w:rtl/>
        </w:rPr>
        <w:t xml:space="preserve"> السند معلّق على سابقه. ويروي عن صالح بن عقبة ، محمّد بن يحيى ، عن محمّد بن الحسين ، عن محمّد بن إسماعيل بن بزيع.</w:t>
      </w:r>
      <w:r w:rsidR="00746760">
        <w:rPr>
          <w:rFonts w:hint="cs"/>
          <w:rtl/>
        </w:rPr>
        <w:t xml:space="preserve">                                              </w:t>
      </w:r>
      <w:r w:rsidR="00B11CE3">
        <w:rPr>
          <w:rFonts w:hint="cs"/>
          <w:rtl/>
        </w:rPr>
        <w:t xml:space="preserve"> </w:t>
      </w:r>
      <w:r w:rsidR="00746760">
        <w:rPr>
          <w:rFonts w:hint="cs"/>
          <w:rtl/>
        </w:rPr>
        <w:t xml:space="preserve"> </w:t>
      </w:r>
      <w:r>
        <w:rPr>
          <w:rtl/>
        </w:rPr>
        <w:t>(11).</w:t>
      </w:r>
      <w:r w:rsidR="008A74EB" w:rsidRPr="00C9040A">
        <w:rPr>
          <w:rtl/>
        </w:rPr>
        <w:t xml:space="preserve"> في « ب » : « زيارة »</w:t>
      </w:r>
      <w:r w:rsidR="008A74EB">
        <w:rPr>
          <w:rtl/>
        </w:rPr>
        <w:t>.</w:t>
      </w:r>
    </w:p>
    <w:tbl>
      <w:tblPr>
        <w:tblStyle w:val="TableGrid"/>
        <w:bidiVisual/>
        <w:tblW w:w="0" w:type="auto"/>
        <w:tblLook w:val="04A0" w:firstRow="1" w:lastRow="0" w:firstColumn="1" w:lastColumn="0" w:noHBand="0" w:noVBand="1"/>
      </w:tblPr>
      <w:tblGrid>
        <w:gridCol w:w="4006"/>
        <w:gridCol w:w="4006"/>
      </w:tblGrid>
      <w:tr w:rsidR="00746760" w:rsidTr="00746760">
        <w:tc>
          <w:tcPr>
            <w:tcW w:w="4006" w:type="dxa"/>
          </w:tcPr>
          <w:p w:rsidR="00746760" w:rsidRDefault="00746760" w:rsidP="004A4E41">
            <w:pPr>
              <w:pStyle w:val="libFootnote0"/>
              <w:rPr>
                <w:rtl/>
              </w:rPr>
            </w:pPr>
            <w:r>
              <w:rPr>
                <w:rtl/>
              </w:rPr>
              <w:t>(12).</w:t>
            </w:r>
            <w:r w:rsidRPr="00C9040A">
              <w:rPr>
                <w:rtl/>
              </w:rPr>
              <w:t xml:space="preserve"> في « ج ، د ، ف ، بر » والبحار : « مؤمن »</w:t>
            </w:r>
            <w:r>
              <w:rPr>
                <w:rtl/>
              </w:rPr>
              <w:t>.</w:t>
            </w:r>
          </w:p>
        </w:tc>
        <w:tc>
          <w:tcPr>
            <w:tcW w:w="4006" w:type="dxa"/>
          </w:tcPr>
          <w:p w:rsidR="00746760" w:rsidRDefault="00746760" w:rsidP="004A4E41">
            <w:pPr>
              <w:pStyle w:val="libFootnote0"/>
              <w:rPr>
                <w:rtl/>
              </w:rPr>
            </w:pPr>
            <w:r>
              <w:rPr>
                <w:rtl/>
              </w:rPr>
              <w:t>(13)</w:t>
            </w:r>
            <w:r w:rsidRPr="00C9040A">
              <w:rPr>
                <w:rtl/>
              </w:rPr>
              <w:t xml:space="preserve"> في « ف » : « لخير »</w:t>
            </w:r>
            <w:r>
              <w:rPr>
                <w:rtl/>
              </w:rPr>
              <w:t>.</w:t>
            </w:r>
          </w:p>
        </w:tc>
      </w:tr>
    </w:tbl>
    <w:p w:rsidR="008A74EB" w:rsidRPr="00C9040A" w:rsidRDefault="008A74EB" w:rsidP="004A4E41">
      <w:pPr>
        <w:pStyle w:val="libFootnote0"/>
        <w:rPr>
          <w:rtl/>
          <w:lang w:bidi="fa-IR"/>
        </w:rPr>
      </w:pPr>
      <w:r>
        <w:rPr>
          <w:rtl/>
        </w:rPr>
        <w:t>(14)</w:t>
      </w:r>
      <w:r w:rsidRPr="00C9040A">
        <w:rPr>
          <w:rtl/>
        </w:rPr>
        <w:t xml:space="preserve"> في « ز ، ص ، ف » : « رقبات »</w:t>
      </w:r>
      <w:r>
        <w:rPr>
          <w:rtl/>
        </w:rPr>
        <w:t>.</w:t>
      </w:r>
    </w:p>
    <w:p w:rsidR="008A74EB" w:rsidRPr="00C9040A" w:rsidRDefault="008A74EB" w:rsidP="004A4E41">
      <w:pPr>
        <w:pStyle w:val="libFootnote0"/>
        <w:rPr>
          <w:rtl/>
          <w:lang w:bidi="fa-IR"/>
        </w:rPr>
      </w:pPr>
      <w:r>
        <w:rPr>
          <w:rtl/>
        </w:rPr>
        <w:t>(15)</w:t>
      </w:r>
      <w:r w:rsidRPr="00C9040A">
        <w:rPr>
          <w:rtl/>
        </w:rPr>
        <w:t xml:space="preserve"> في « ب » والبحار : + « الله عزّ وجلّ »</w:t>
      </w:r>
      <w:r>
        <w:rPr>
          <w:rtl/>
        </w:rPr>
        <w:t>.</w:t>
      </w:r>
      <w:r w:rsidRPr="00C9040A">
        <w:rPr>
          <w:rtl/>
        </w:rPr>
        <w:t xml:space="preserve"> وفي « بر ، بس ، بف » وحاشية « ز » : + « الله »</w:t>
      </w:r>
      <w:r>
        <w:rPr>
          <w:rtl/>
        </w:rPr>
        <w:t>.</w:t>
      </w:r>
    </w:p>
    <w:p w:rsidR="008A74EB" w:rsidRPr="00C9040A" w:rsidRDefault="008A74EB" w:rsidP="004A4E41">
      <w:pPr>
        <w:pStyle w:val="libFootnote0"/>
        <w:rPr>
          <w:rtl/>
          <w:lang w:bidi="fa-IR"/>
        </w:rPr>
      </w:pPr>
      <w:r>
        <w:rPr>
          <w:rtl/>
        </w:rPr>
        <w:t>(16)</w:t>
      </w:r>
      <w:r w:rsidRPr="00C9040A">
        <w:rPr>
          <w:rtl/>
        </w:rPr>
        <w:t xml:space="preserve"> في البحار : « بكلّ »</w:t>
      </w:r>
      <w:r>
        <w:rPr>
          <w:rtl/>
        </w:rPr>
        <w:t>.</w:t>
      </w:r>
    </w:p>
    <w:p w:rsidR="008A74EB" w:rsidRPr="00C9040A" w:rsidRDefault="008A74EB" w:rsidP="004A4E41">
      <w:pPr>
        <w:pStyle w:val="libFootnote0"/>
        <w:rPr>
          <w:rtl/>
          <w:lang w:bidi="fa-IR"/>
        </w:rPr>
      </w:pPr>
      <w:r>
        <w:rPr>
          <w:rtl/>
        </w:rPr>
        <w:t>(17)</w:t>
      </w:r>
      <w:r w:rsidRPr="00C9040A">
        <w:rPr>
          <w:rtl/>
        </w:rPr>
        <w:t xml:space="preserve"> في </w:t>
      </w:r>
      <w:r w:rsidRPr="00993B55">
        <w:rPr>
          <w:rStyle w:val="libFootnoteBoldChar"/>
          <w:rtl/>
        </w:rPr>
        <w:t>مرآة العقول</w:t>
      </w:r>
      <w:r w:rsidRPr="00C9040A">
        <w:rPr>
          <w:rtl/>
        </w:rPr>
        <w:t xml:space="preserve"> ، ج 9 ، ص 60 : « وقي كلّ عضو ، وزيد في بعض النسخ الجلالة في البين ، وكأنّه من </w:t>
      </w:r>
      <w:r w:rsidR="00666FBC">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D401B7">
      <w:pPr>
        <w:pStyle w:val="libNormal0"/>
        <w:rPr>
          <w:rtl/>
          <w:lang w:bidi="fa-IR"/>
        </w:rPr>
      </w:pPr>
      <w:r w:rsidRPr="00C9040A">
        <w:rPr>
          <w:rtl/>
          <w:lang w:bidi="fa-IR"/>
        </w:rPr>
        <w:t xml:space="preserve">عُضْواً </w:t>
      </w:r>
      <w:r w:rsidR="006C577F" w:rsidRPr="006C577F">
        <w:rPr>
          <w:rStyle w:val="libFootnotenumChar"/>
          <w:rtl/>
        </w:rPr>
        <w:t>(1)</w:t>
      </w:r>
      <w:r w:rsidRPr="00C9040A">
        <w:rPr>
          <w:rtl/>
          <w:lang w:bidi="fa-IR"/>
        </w:rPr>
        <w:t xml:space="preserve"> مِنَ النَّارِ حَتّى أَنَّ الْفَرْجَ يَقِي الْفَرْجَ »</w:t>
      </w:r>
      <w:r>
        <w:rPr>
          <w:rtl/>
          <w:lang w:bidi="fa-IR"/>
        </w:rPr>
        <w:t>.</w:t>
      </w:r>
      <w:r w:rsidRPr="00C9040A">
        <w:rPr>
          <w:rtl/>
          <w:lang w:bidi="fa-IR"/>
        </w:rPr>
        <w:t xml:space="preserve"> </w:t>
      </w:r>
      <w:r w:rsidR="006C577F" w:rsidRPr="006C577F">
        <w:rPr>
          <w:rStyle w:val="libFootnotenumChar"/>
          <w:rtl/>
        </w:rPr>
        <w:t>(2)</w:t>
      </w:r>
    </w:p>
    <w:p w:rsidR="008A74EB" w:rsidRPr="00C9040A" w:rsidRDefault="008A74EB" w:rsidP="008A74EB">
      <w:pPr>
        <w:pStyle w:val="libNormal"/>
        <w:rPr>
          <w:rtl/>
          <w:lang w:bidi="fa-IR"/>
        </w:rPr>
      </w:pPr>
      <w:r w:rsidRPr="00092A2F">
        <w:rPr>
          <w:rtl/>
        </w:rPr>
        <w:t>2089</w:t>
      </w:r>
      <w:r w:rsidRPr="00261CB0">
        <w:rPr>
          <w:rStyle w:val="libBold2Char"/>
          <w:rtl/>
        </w:rPr>
        <w:t xml:space="preserve"> / 14.</w:t>
      </w:r>
      <w:r w:rsidRPr="00C9040A">
        <w:rPr>
          <w:rtl/>
          <w:lang w:bidi="fa-IR"/>
        </w:rPr>
        <w:t xml:space="preserve"> صَالِحُ بْنُ عُقْبَةَ </w:t>
      </w:r>
      <w:r w:rsidR="006C577F" w:rsidRPr="006C577F">
        <w:rPr>
          <w:rStyle w:val="libFootnotenumChar"/>
          <w:rtl/>
        </w:rPr>
        <w:t>(3)</w:t>
      </w:r>
      <w:r w:rsidRPr="00C9040A">
        <w:rPr>
          <w:rtl/>
          <w:lang w:bidi="fa-IR"/>
        </w:rPr>
        <w:t xml:space="preserve"> ، عَنْ صَفْوَانَ الْجَمَّالِ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أَيُّمَا ثَلَاثَةِ مُؤْمِنِينَ اجْتَمَعُوا عِنْدَ أَخٍ لَهُمْ ، يَأْمَنُونَ بَوَائِقَهُ </w:t>
      </w:r>
      <w:r w:rsidR="006C577F" w:rsidRPr="006C577F">
        <w:rPr>
          <w:rStyle w:val="libFootnotenumChar"/>
          <w:rtl/>
        </w:rPr>
        <w:t>(4)</w:t>
      </w:r>
      <w:r w:rsidRPr="00C9040A">
        <w:rPr>
          <w:rtl/>
          <w:lang w:bidi="fa-IR"/>
        </w:rPr>
        <w:t xml:space="preserve"> ، وَلَا يَخَافُونَ غَوَائِلَهُ </w:t>
      </w:r>
      <w:r w:rsidR="006C577F" w:rsidRPr="006C577F">
        <w:rPr>
          <w:rStyle w:val="libFootnotenumChar"/>
          <w:rtl/>
        </w:rPr>
        <w:t>(5)</w:t>
      </w:r>
      <w:r w:rsidRPr="00C9040A">
        <w:rPr>
          <w:rtl/>
          <w:lang w:bidi="fa-IR"/>
        </w:rPr>
        <w:t xml:space="preserve"> ، وَيَرْجُونَ مَا عِنْدَهُ ، إِنْ دَعَوُا اللهَ أَجَابَهُمْ ، وَإِنْ سَأَلُوا أَعْطَاهُمْ ، وَإِنِ اسْتَزَادُوا زَادَهُمْ ، وَإِنْ سَكَتُوا ابْتَدَأَهُمْ »</w:t>
      </w:r>
      <w:r>
        <w:rPr>
          <w:rtl/>
          <w:lang w:bidi="fa-IR"/>
        </w:rPr>
        <w:t>.</w:t>
      </w:r>
      <w:r w:rsidRPr="00C9040A">
        <w:rPr>
          <w:rtl/>
          <w:lang w:bidi="fa-IR"/>
        </w:rPr>
        <w:t xml:space="preserve"> </w:t>
      </w:r>
      <w:r w:rsidR="006C577F" w:rsidRPr="006C577F">
        <w:rPr>
          <w:rStyle w:val="libFootnotenumChar"/>
          <w:rtl/>
        </w:rPr>
        <w:t>(6)</w:t>
      </w:r>
      <w:r w:rsidRPr="00C9040A">
        <w:rPr>
          <w:rtl/>
          <w:lang w:bidi="fa-IR"/>
        </w:rPr>
        <w:t>‌</w:t>
      </w:r>
    </w:p>
    <w:p w:rsidR="008A74EB" w:rsidRPr="00C9040A" w:rsidRDefault="008A74EB" w:rsidP="008A74EB">
      <w:pPr>
        <w:pStyle w:val="libNormal"/>
        <w:rPr>
          <w:rtl/>
          <w:lang w:bidi="fa-IR"/>
        </w:rPr>
      </w:pPr>
      <w:r w:rsidRPr="00092A2F">
        <w:rPr>
          <w:rtl/>
        </w:rPr>
        <w:t>2090</w:t>
      </w:r>
      <w:r w:rsidRPr="00261CB0">
        <w:rPr>
          <w:rStyle w:val="libBold2Char"/>
          <w:rtl/>
        </w:rPr>
        <w:t xml:space="preserve"> / 15.</w:t>
      </w:r>
      <w:r w:rsidRPr="00C9040A">
        <w:rPr>
          <w:rtl/>
          <w:lang w:bidi="fa-IR"/>
        </w:rPr>
        <w:t xml:space="preserve"> عَلِيُّ بْنُ إِبْرَاهِيمَ ، عَنْ أَبِيهِ ، عَنِ ابْنِ أَبِي عُمَيْرٍ ، عَنْ أَبِي أَيُّوبَ ، قَالَ : سَمِعْتُ أَبَا حَمْزَةَ يَقُولُ :</w:t>
      </w:r>
    </w:p>
    <w:p w:rsidR="008A74EB" w:rsidRPr="00C9040A" w:rsidRDefault="008A74EB" w:rsidP="008A74EB">
      <w:pPr>
        <w:pStyle w:val="libNormal"/>
        <w:rPr>
          <w:rtl/>
          <w:lang w:bidi="fa-IR"/>
        </w:rPr>
      </w:pPr>
      <w:r w:rsidRPr="00C9040A">
        <w:rPr>
          <w:rtl/>
          <w:lang w:bidi="fa-IR"/>
        </w:rPr>
        <w:t xml:space="preserve">سَمِعْتُ الْعَبْدَ الصَّالِحَ </w:t>
      </w:r>
      <w:r w:rsidRPr="0003660B">
        <w:rPr>
          <w:rStyle w:val="libAlaemChar"/>
          <w:rtl/>
        </w:rPr>
        <w:t>عليه‌السلام</w:t>
      </w:r>
      <w:r w:rsidRPr="00C9040A">
        <w:rPr>
          <w:rtl/>
          <w:lang w:bidi="fa-IR"/>
        </w:rPr>
        <w:t xml:space="preserve"> </w:t>
      </w:r>
      <w:r w:rsidR="006C577F" w:rsidRPr="006C577F">
        <w:rPr>
          <w:rStyle w:val="libFootnotenumChar"/>
          <w:rtl/>
        </w:rPr>
        <w:t>(7)</w:t>
      </w:r>
      <w:r w:rsidRPr="00C9040A">
        <w:rPr>
          <w:rtl/>
          <w:lang w:bidi="fa-IR"/>
        </w:rPr>
        <w:t xml:space="preserve"> يَقُولُ : « مَنْ زَارَ أَخَاهُ الْمُؤْمِنَ لِلّهِ لَالِغَيْرِهِ ، يَطْلُبُ بِهِ ثَوَابَ اللهِ وَتَنَجُّزَ مَا وَعَدَهُ </w:t>
      </w:r>
      <w:r w:rsidR="006C577F" w:rsidRPr="006C577F">
        <w:rPr>
          <w:rStyle w:val="libFootnotenumChar"/>
          <w:rtl/>
        </w:rPr>
        <w:t>(8)</w:t>
      </w:r>
      <w:r w:rsidRPr="00C9040A">
        <w:rPr>
          <w:rtl/>
          <w:lang w:bidi="fa-IR"/>
        </w:rPr>
        <w:t xml:space="preserve"> اللهُ عَزَّ وَجَلَّ ، وَكَّلَ اللهُ </w:t>
      </w:r>
      <w:r w:rsidR="006C577F" w:rsidRPr="006C577F">
        <w:rPr>
          <w:rStyle w:val="libFootnotenumChar"/>
          <w:rtl/>
        </w:rPr>
        <w:t>(9)</w:t>
      </w:r>
      <w:r>
        <w:rPr>
          <w:rtl/>
          <w:lang w:bidi="fa-IR"/>
        </w:rPr>
        <w:t xml:space="preserve"> </w:t>
      </w:r>
      <w:r w:rsidR="0084262C">
        <w:rPr>
          <w:rtl/>
          <w:lang w:bidi="fa-IR"/>
        </w:rPr>
        <w:t>-</w:t>
      </w:r>
      <w:r>
        <w:rPr>
          <w:rtl/>
          <w:lang w:bidi="fa-IR"/>
        </w:rPr>
        <w:t xml:space="preserve"> </w:t>
      </w:r>
      <w:r w:rsidRPr="00C9040A">
        <w:rPr>
          <w:rtl/>
          <w:lang w:bidi="fa-IR"/>
        </w:rPr>
        <w:t xml:space="preserve">عَزَّ وَجَلَّ </w:t>
      </w:r>
      <w:r w:rsidR="0084262C">
        <w:rPr>
          <w:rtl/>
          <w:lang w:bidi="fa-IR"/>
        </w:rPr>
        <w:t>-</w:t>
      </w:r>
      <w:r w:rsidR="00D401B7">
        <w:rPr>
          <w:rFonts w:hint="cs"/>
          <w:rtl/>
          <w:lang w:bidi="fa-IR"/>
        </w:rPr>
        <w:t>..........................</w:t>
      </w:r>
      <w:r w:rsidR="00D401B7">
        <w:rPr>
          <w:rFonts w:hint="cs"/>
          <w:rtl/>
          <w:lang w:bidi="fa-IR"/>
        </w:rPr>
        <w:tab/>
      </w:r>
    </w:p>
    <w:p w:rsidR="008A74EB" w:rsidRPr="00C9040A" w:rsidRDefault="008A74EB" w:rsidP="008A74EB">
      <w:pPr>
        <w:pStyle w:val="libLine"/>
        <w:rPr>
          <w:rtl/>
          <w:lang w:bidi="fa-IR"/>
        </w:rPr>
      </w:pPr>
      <w:r w:rsidRPr="00C9040A">
        <w:rPr>
          <w:rtl/>
          <w:lang w:bidi="fa-IR"/>
        </w:rPr>
        <w:t>__________________</w:t>
      </w:r>
    </w:p>
    <w:p w:rsidR="008A74EB" w:rsidRPr="00C9040A" w:rsidRDefault="00D84231" w:rsidP="004A4E41">
      <w:pPr>
        <w:pStyle w:val="libFootnote0"/>
        <w:rPr>
          <w:rtl/>
          <w:lang w:bidi="fa-IR"/>
        </w:rPr>
      </w:pPr>
      <w:r>
        <w:rPr>
          <w:rFonts w:hint="cs"/>
          <w:rtl/>
        </w:rPr>
        <w:t xml:space="preserve">= </w:t>
      </w:r>
      <w:r w:rsidR="008A74EB" w:rsidRPr="00C9040A">
        <w:rPr>
          <w:rtl/>
        </w:rPr>
        <w:t>تحريف النسّاخ. وفي بعضها : وقي الله بكلّ ، وهو أيضاً صحيح ، لكنّ الأوّل أنسب بهذا الخبر »</w:t>
      </w:r>
      <w:r w:rsidR="008A74EB">
        <w:rPr>
          <w:rtl/>
        </w:rPr>
        <w:t>.</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الوسائل : + « منه »</w:t>
      </w:r>
      <w:r w:rsidR="008A74EB">
        <w:rPr>
          <w:rtl/>
        </w:rPr>
        <w:t>.</w:t>
      </w:r>
    </w:p>
    <w:p w:rsidR="008A74EB" w:rsidRPr="00C9040A" w:rsidRDefault="006C577F" w:rsidP="000A0863">
      <w:pPr>
        <w:pStyle w:val="libFootnote0"/>
        <w:rPr>
          <w:rtl/>
          <w:lang w:bidi="fa-IR"/>
        </w:rPr>
      </w:pPr>
      <w:r>
        <w:rPr>
          <w:rtl/>
        </w:rPr>
        <w:t>(2).</w:t>
      </w:r>
      <w:r w:rsidR="008A74EB">
        <w:rPr>
          <w:rtl/>
        </w:rPr>
        <w:t xml:space="preserve"> </w:t>
      </w:r>
      <w:r w:rsidR="008A74EB" w:rsidRPr="00993B55">
        <w:rPr>
          <w:rStyle w:val="libFootnoteBoldChar"/>
          <w:rtl/>
        </w:rPr>
        <w:t>الكافي</w:t>
      </w:r>
      <w:r w:rsidR="008A74EB" w:rsidRPr="00C9040A">
        <w:rPr>
          <w:rtl/>
        </w:rPr>
        <w:t xml:space="preserve"> ، كتاب العتق والتدبير والكتابة ، ثواب العتق وفضله والرغبة فيه ، ح 11152 ، بسند آخر ، مع زيادة في آخره ؛ </w:t>
      </w:r>
      <w:r w:rsidR="008A74EB" w:rsidRPr="00993B55">
        <w:rPr>
          <w:rStyle w:val="libFootnoteBoldChar"/>
          <w:rtl/>
        </w:rPr>
        <w:t>وفيه</w:t>
      </w:r>
      <w:r w:rsidR="008A74EB" w:rsidRPr="00C9040A">
        <w:rPr>
          <w:rtl/>
        </w:rPr>
        <w:t xml:space="preserve"> ، ح 11153 ، بسند آخر عن أبي جعفر </w:t>
      </w:r>
      <w:r w:rsidR="00117575" w:rsidRPr="00117575">
        <w:rPr>
          <w:rStyle w:val="libFootnoteAlaemChar"/>
          <w:rtl/>
        </w:rPr>
        <w:t xml:space="preserve">عليه‌السلام </w:t>
      </w:r>
      <w:r w:rsidR="008A74EB" w:rsidRPr="00C9040A">
        <w:rPr>
          <w:rtl/>
        </w:rPr>
        <w:t xml:space="preserve">عن النبيّ </w:t>
      </w:r>
      <w:r w:rsidR="004A4E41" w:rsidRPr="000A0863">
        <w:rPr>
          <w:rStyle w:val="libFootnoteAlaemChar"/>
          <w:rtl/>
        </w:rPr>
        <w:t>صلى‌الله‌عليه‌وآله</w:t>
      </w:r>
      <w:r w:rsidR="008A74EB" w:rsidRPr="00C9040A">
        <w:rPr>
          <w:rtl/>
        </w:rPr>
        <w:t xml:space="preserve"> ؛ </w:t>
      </w:r>
      <w:r w:rsidR="008A74EB" w:rsidRPr="00993B55">
        <w:rPr>
          <w:rStyle w:val="libFootnoteBoldChar"/>
          <w:rtl/>
        </w:rPr>
        <w:t>وفيه</w:t>
      </w:r>
      <w:r w:rsidR="008A74EB" w:rsidRPr="00C9040A">
        <w:rPr>
          <w:rtl/>
        </w:rPr>
        <w:t xml:space="preserve"> ، ح 11154 ، بسند آخر عن النبيّ </w:t>
      </w:r>
      <w:r w:rsidR="004A4E41" w:rsidRPr="000A0863">
        <w:rPr>
          <w:rStyle w:val="libFootnoteAlaemChar"/>
          <w:rtl/>
        </w:rPr>
        <w:t>صلى‌الله‌عليه‌وآله</w:t>
      </w:r>
      <w:r w:rsidR="008A74EB" w:rsidRPr="00C9040A">
        <w:rPr>
          <w:rtl/>
        </w:rPr>
        <w:t xml:space="preserve"> ، مع زيادة في آخره ؛ </w:t>
      </w:r>
      <w:r w:rsidR="008A74EB" w:rsidRPr="00993B55">
        <w:rPr>
          <w:rStyle w:val="libFootnoteBoldChar"/>
          <w:rtl/>
        </w:rPr>
        <w:t>التهذيب</w:t>
      </w:r>
      <w:r w:rsidR="008A74EB" w:rsidRPr="00C9040A">
        <w:rPr>
          <w:rtl/>
        </w:rPr>
        <w:t xml:space="preserve"> ، ج 8 ، ص 216 ، ح 769 ، بسند آخر ؛ </w:t>
      </w:r>
      <w:r w:rsidR="008A74EB" w:rsidRPr="00993B55">
        <w:rPr>
          <w:rStyle w:val="libFootnoteBoldChar"/>
          <w:rtl/>
        </w:rPr>
        <w:t>وفيه</w:t>
      </w:r>
      <w:r w:rsidR="008A74EB" w:rsidRPr="00C9040A">
        <w:rPr>
          <w:rtl/>
        </w:rPr>
        <w:t xml:space="preserve"> ، ص 216 ، ح 770 ، بسند آخر عن النبيّ </w:t>
      </w:r>
      <w:r w:rsidR="004A4E41" w:rsidRPr="000A0863">
        <w:rPr>
          <w:rStyle w:val="libFootnoteAlaemChar"/>
          <w:rtl/>
        </w:rPr>
        <w:t>صلى‌الله‌عليه‌وآله</w:t>
      </w:r>
      <w:r w:rsidR="008A74EB" w:rsidRPr="00C9040A">
        <w:rPr>
          <w:rtl/>
        </w:rPr>
        <w:t xml:space="preserve"> ، مع زيادة في آخره ؛ </w:t>
      </w:r>
      <w:r w:rsidR="008A74EB" w:rsidRPr="00993B55">
        <w:rPr>
          <w:rStyle w:val="libFootnoteBoldChar"/>
          <w:rtl/>
        </w:rPr>
        <w:t>الأمالي</w:t>
      </w:r>
      <w:r w:rsidR="008A74EB" w:rsidRPr="00C9040A">
        <w:rPr>
          <w:rtl/>
        </w:rPr>
        <w:t xml:space="preserve"> للطوسي ، ص 390 ، المجلس 14 ، ح 3 ، بسند آخر عن فاطمة </w:t>
      </w:r>
      <w:r w:rsidR="008A74EB" w:rsidRPr="000A0863">
        <w:rPr>
          <w:rStyle w:val="libFootnoteAlaemChar"/>
          <w:rtl/>
        </w:rPr>
        <w:t>عليها‌السلام</w:t>
      </w:r>
      <w:r w:rsidR="008A74EB" w:rsidRPr="00C9040A">
        <w:rPr>
          <w:rtl/>
        </w:rPr>
        <w:t xml:space="preserve"> عن أبيها </w:t>
      </w:r>
      <w:r w:rsidR="004A4E41" w:rsidRPr="000A0863">
        <w:rPr>
          <w:rStyle w:val="libFootnoteAlaemChar"/>
          <w:rtl/>
        </w:rPr>
        <w:t>صلى‌الله‌عليه‌وآله</w:t>
      </w:r>
      <w:r w:rsidR="008A74EB" w:rsidRPr="00C9040A">
        <w:rPr>
          <w:rtl/>
        </w:rPr>
        <w:t xml:space="preserve"> ؛ </w:t>
      </w:r>
      <w:r w:rsidR="008A74EB" w:rsidRPr="00993B55">
        <w:rPr>
          <w:rStyle w:val="libFootnoteBoldChar"/>
          <w:rtl/>
        </w:rPr>
        <w:t>الفقيه</w:t>
      </w:r>
      <w:r w:rsidR="008A74EB" w:rsidRPr="00C9040A">
        <w:rPr>
          <w:rtl/>
        </w:rPr>
        <w:t xml:space="preserve"> ، ج 3 ، ص 113 ، ح 3433 ، مرسلاً عن النبيّ </w:t>
      </w:r>
      <w:r w:rsidR="004A4E41" w:rsidRPr="000A0863">
        <w:rPr>
          <w:rStyle w:val="libFootnoteAlaemChar"/>
          <w:rtl/>
        </w:rPr>
        <w:t>صلى‌الله‌عليه‌وآله</w:t>
      </w:r>
      <w:r w:rsidR="008A74EB" w:rsidRPr="00C9040A">
        <w:rPr>
          <w:rtl/>
        </w:rPr>
        <w:t xml:space="preserve"> ، وفيهما مع زيادة في آخره ، وفي كلّها ورد فقرة : « من أعتق رقبة مؤمنة وقى كلّ عضو عضواً من النار » مع اختلاف</w:t>
      </w:r>
      <w:r w:rsidR="000A0863">
        <w:rPr>
          <w:rFonts w:hint="cs"/>
          <w:rtl/>
        </w:rPr>
        <w:t>.</w:t>
      </w:r>
      <w:r w:rsidR="008A74EB" w:rsidRPr="00993B55">
        <w:rPr>
          <w:rStyle w:val="libFootnoteBoldChar"/>
          <w:rtl/>
        </w:rPr>
        <w:t>الوافي</w:t>
      </w:r>
      <w:r w:rsidR="008A74EB" w:rsidRPr="00C9040A">
        <w:rPr>
          <w:rtl/>
        </w:rPr>
        <w:t xml:space="preserve"> ، ج 5 ، ص 594 ، ح 2644 ؛ </w:t>
      </w:r>
      <w:r w:rsidR="008A74EB" w:rsidRPr="00993B55">
        <w:rPr>
          <w:rStyle w:val="libFootnoteBoldChar"/>
          <w:rtl/>
        </w:rPr>
        <w:t>الوسائل</w:t>
      </w:r>
      <w:r w:rsidR="008A74EB" w:rsidRPr="00C9040A">
        <w:rPr>
          <w:rtl/>
        </w:rPr>
        <w:t xml:space="preserve"> ، ج 14 ، ص 590 ، ح 19880 ؛ </w:t>
      </w:r>
      <w:r w:rsidR="008A74EB" w:rsidRPr="00993B55">
        <w:rPr>
          <w:rStyle w:val="libFootnoteBoldChar"/>
          <w:rtl/>
        </w:rPr>
        <w:t>البحار</w:t>
      </w:r>
      <w:r w:rsidR="008A74EB" w:rsidRPr="00C9040A">
        <w:rPr>
          <w:rtl/>
        </w:rPr>
        <w:t xml:space="preserve"> ، ج 74 ، ص 349 ، ح 13.</w:t>
      </w:r>
    </w:p>
    <w:p w:rsidR="008A74EB" w:rsidRPr="00C9040A" w:rsidRDefault="006C577F" w:rsidP="004A4E41">
      <w:pPr>
        <w:pStyle w:val="libFootnote0"/>
        <w:rPr>
          <w:rtl/>
          <w:lang w:bidi="fa-IR"/>
        </w:rPr>
      </w:pPr>
      <w:r>
        <w:rPr>
          <w:rtl/>
        </w:rPr>
        <w:t>(3).</w:t>
      </w:r>
      <w:r w:rsidR="008A74EB" w:rsidRPr="00C9040A">
        <w:rPr>
          <w:rtl/>
        </w:rPr>
        <w:t xml:space="preserve"> هذا السند أيضاً معلّق كسابقه.</w:t>
      </w:r>
    </w:p>
    <w:p w:rsidR="008A74EB" w:rsidRPr="00C9040A" w:rsidRDefault="006C577F" w:rsidP="004A4E41">
      <w:pPr>
        <w:pStyle w:val="libFootnote0"/>
        <w:rPr>
          <w:rtl/>
          <w:lang w:bidi="fa-IR"/>
        </w:rPr>
      </w:pPr>
      <w:r>
        <w:rPr>
          <w:rtl/>
        </w:rPr>
        <w:t>(4).</w:t>
      </w:r>
      <w:r w:rsidR="008A74EB" w:rsidRPr="00C9040A">
        <w:rPr>
          <w:rtl/>
        </w:rPr>
        <w:t xml:space="preserve"> « البائقة » : النازلة ، وهي الداهية والشَرّ الشديد. وجمعها : بوائق. راجع : </w:t>
      </w:r>
      <w:r w:rsidR="008A74EB" w:rsidRPr="00993B55">
        <w:rPr>
          <w:rStyle w:val="libFootnoteBoldChar"/>
          <w:rtl/>
        </w:rPr>
        <w:t>المصباح المنير</w:t>
      </w:r>
      <w:r w:rsidR="008A74EB" w:rsidRPr="00C9040A">
        <w:rPr>
          <w:rtl/>
        </w:rPr>
        <w:t xml:space="preserve"> ، ص 66 ؛ </w:t>
      </w:r>
      <w:r w:rsidR="008A74EB" w:rsidRPr="00993B55">
        <w:rPr>
          <w:rStyle w:val="libFootnoteBoldChar"/>
          <w:rtl/>
        </w:rPr>
        <w:t>النهاية</w:t>
      </w:r>
      <w:r w:rsidR="008A74EB" w:rsidRPr="00C9040A">
        <w:rPr>
          <w:rtl/>
        </w:rPr>
        <w:t xml:space="preserve"> ، ج 1 ، ص 162 ( بوق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 الغائلة » : الفساد والشرّ. وغائلة العبد : إباقه وفجوره ونحو ذلك. والجمع : الغوائل. وقال الكسائي : الغوائل : الدواهي. </w:t>
      </w:r>
      <w:r w:rsidR="008A74EB" w:rsidRPr="00993B55">
        <w:rPr>
          <w:rStyle w:val="libFootnoteBoldChar"/>
          <w:rtl/>
        </w:rPr>
        <w:t>المصباح المنير</w:t>
      </w:r>
      <w:r w:rsidR="008A74EB" w:rsidRPr="00C9040A">
        <w:rPr>
          <w:rtl/>
        </w:rPr>
        <w:t xml:space="preserve"> ، ص 457 ( غول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الوافي</w:t>
      </w:r>
      <w:r w:rsidR="008A74EB" w:rsidRPr="00C9040A">
        <w:rPr>
          <w:rtl/>
        </w:rPr>
        <w:t xml:space="preserve"> ، ج 5 ، ص 593 ، ح 2643 ؛ </w:t>
      </w:r>
      <w:r w:rsidR="008A74EB" w:rsidRPr="00993B55">
        <w:rPr>
          <w:rStyle w:val="libFootnoteBoldChar"/>
          <w:rtl/>
        </w:rPr>
        <w:t>الوسائل</w:t>
      </w:r>
      <w:r w:rsidR="008A74EB" w:rsidRPr="00C9040A">
        <w:rPr>
          <w:rtl/>
        </w:rPr>
        <w:t xml:space="preserve"> ، ج 14 ، ص 587 ، ح 19873.</w:t>
      </w:r>
    </w:p>
    <w:tbl>
      <w:tblPr>
        <w:tblStyle w:val="TableGrid"/>
        <w:bidiVisual/>
        <w:tblW w:w="0" w:type="auto"/>
        <w:tblLook w:val="04A0" w:firstRow="1" w:lastRow="0" w:firstColumn="1" w:lastColumn="0" w:noHBand="0" w:noVBand="1"/>
      </w:tblPr>
      <w:tblGrid>
        <w:gridCol w:w="4006"/>
        <w:gridCol w:w="4006"/>
      </w:tblGrid>
      <w:tr w:rsidR="000A0863" w:rsidTr="000A0863">
        <w:tc>
          <w:tcPr>
            <w:tcW w:w="4006" w:type="dxa"/>
          </w:tcPr>
          <w:p w:rsidR="000A0863" w:rsidRDefault="000A0863" w:rsidP="004A4E41">
            <w:pPr>
              <w:pStyle w:val="libFootnote0"/>
              <w:rPr>
                <w:rtl/>
              </w:rPr>
            </w:pPr>
            <w:r>
              <w:rPr>
                <w:rtl/>
              </w:rPr>
              <w:t>(7).</w:t>
            </w:r>
            <w:r w:rsidRPr="00C9040A">
              <w:rPr>
                <w:rtl/>
              </w:rPr>
              <w:t xml:space="preserve"> في « ض » : + « وهو »</w:t>
            </w:r>
            <w:r>
              <w:rPr>
                <w:rtl/>
              </w:rPr>
              <w:t>.</w:t>
            </w:r>
          </w:p>
        </w:tc>
        <w:tc>
          <w:tcPr>
            <w:tcW w:w="4006" w:type="dxa"/>
          </w:tcPr>
          <w:p w:rsidR="000A0863" w:rsidRDefault="000A0863" w:rsidP="004A4E41">
            <w:pPr>
              <w:pStyle w:val="libFootnote0"/>
              <w:rPr>
                <w:rtl/>
              </w:rPr>
            </w:pPr>
            <w:r>
              <w:rPr>
                <w:rtl/>
              </w:rPr>
              <w:t>(8).</w:t>
            </w:r>
            <w:r w:rsidRPr="00C9040A">
              <w:rPr>
                <w:rtl/>
              </w:rPr>
              <w:t xml:space="preserve"> في « ب » : « وعد »</w:t>
            </w:r>
            <w:r>
              <w:rPr>
                <w:rtl/>
              </w:rPr>
              <w:t>.</w:t>
            </w:r>
          </w:p>
        </w:tc>
      </w:tr>
    </w:tbl>
    <w:p w:rsidR="008A74EB" w:rsidRPr="00C9040A" w:rsidRDefault="006C577F" w:rsidP="004A4E41">
      <w:pPr>
        <w:pStyle w:val="libFootnote0"/>
        <w:rPr>
          <w:rtl/>
          <w:lang w:bidi="fa-IR"/>
        </w:rPr>
      </w:pPr>
      <w:r>
        <w:rPr>
          <w:rtl/>
        </w:rPr>
        <w:t>(9).</w:t>
      </w:r>
      <w:r w:rsidR="008A74EB" w:rsidRPr="00C9040A">
        <w:rPr>
          <w:rtl/>
        </w:rPr>
        <w:t xml:space="preserve"> هكذا في « ب ، ج ، ز ، ص ، ض ، ف ، بس ، بف » والوسائل والبحار و</w:t>
      </w:r>
      <w:r w:rsidR="00A84E9B">
        <w:rPr>
          <w:rtl/>
        </w:rPr>
        <w:t>المؤمن. وفي « د ، بر » والمطبوع:</w:t>
      </w:r>
      <w:r w:rsidR="0012108D">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بِهِ </w:t>
      </w:r>
      <w:r w:rsidR="006C577F" w:rsidRPr="006C577F">
        <w:rPr>
          <w:rStyle w:val="libFootnotenumChar"/>
          <w:rtl/>
        </w:rPr>
        <w:t>(1)</w:t>
      </w:r>
      <w:r w:rsidRPr="00C9040A">
        <w:rPr>
          <w:rtl/>
          <w:lang w:bidi="fa-IR"/>
        </w:rPr>
        <w:t xml:space="preserve"> سَبْعِينَ أَلْفَ مَلَكٍ مِنْ حِينِ يَخْرُجُ مِنْ مَنْزِلِهِ حَتّى يَعُودَ إِلَيْهِ ، يُنَادُونَهُ : أَلَا طِبْتَ وَطَابَتْ لَكَ الْجَنَّةُ ، تَبَوَّأْتَ </w:t>
      </w:r>
      <w:r w:rsidR="006C577F" w:rsidRPr="006C577F">
        <w:rPr>
          <w:rStyle w:val="libFootnotenumChar"/>
          <w:rtl/>
        </w:rPr>
        <w:t>(2)</w:t>
      </w:r>
      <w:r w:rsidRPr="00C9040A">
        <w:rPr>
          <w:rtl/>
          <w:lang w:bidi="fa-IR"/>
        </w:rPr>
        <w:t xml:space="preserve"> مِنَ الْجَنَّةِ مَنْزِلاً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FF6050">
        <w:rPr>
          <w:rtl/>
        </w:rPr>
        <w:t>2091</w:t>
      </w:r>
      <w:r w:rsidRPr="00261CB0">
        <w:rPr>
          <w:rStyle w:val="libBold2Char"/>
          <w:rtl/>
        </w:rPr>
        <w:t xml:space="preserve"> / 16</w:t>
      </w:r>
      <w:r w:rsidRPr="00C9040A">
        <w:rPr>
          <w:rtl/>
          <w:lang w:bidi="fa-IR"/>
        </w:rPr>
        <w:t xml:space="preserve"> عَلِيُّ بْنُ إِبْرَاهِيمَ ، عَنْ أَبِيهِ ، عَنِ النَّوْفَلِيِّ ، عَنِ السَّكُونِيِّ :</w:t>
      </w:r>
    </w:p>
    <w:p w:rsidR="008A74EB" w:rsidRPr="00C9040A" w:rsidRDefault="008A74EB" w:rsidP="00A84E9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w:t>
      </w:r>
      <w:r w:rsidR="006C577F" w:rsidRPr="006C577F">
        <w:rPr>
          <w:rStyle w:val="libFootnotenumChar"/>
          <w:rtl/>
        </w:rPr>
        <w:t>(4)</w:t>
      </w:r>
      <w:r w:rsidRPr="00C9040A">
        <w:rPr>
          <w:rtl/>
          <w:lang w:bidi="fa-IR"/>
        </w:rPr>
        <w:t xml:space="preserve"> أَمِيرُ الْمُؤْمِنِينَ </w:t>
      </w:r>
      <w:r w:rsidRPr="0003660B">
        <w:rPr>
          <w:rStyle w:val="libAlaemChar"/>
          <w:rtl/>
        </w:rPr>
        <w:t>عليه‌السلام</w:t>
      </w:r>
      <w:r w:rsidRPr="00C9040A">
        <w:rPr>
          <w:rtl/>
          <w:lang w:bidi="fa-IR"/>
        </w:rPr>
        <w:t xml:space="preserve"> </w:t>
      </w:r>
      <w:r w:rsidR="006C577F" w:rsidRPr="006C577F">
        <w:rPr>
          <w:rStyle w:val="libFootnotenumChar"/>
          <w:rtl/>
        </w:rPr>
        <w:t>(5)</w:t>
      </w:r>
      <w:r w:rsidRPr="00C9040A">
        <w:rPr>
          <w:rtl/>
          <w:lang w:bidi="fa-IR"/>
        </w:rPr>
        <w:t xml:space="preserve"> : لِقَاءُ الْإِخْوَانِ مَغْنَمٌ جَسِيمٌ وَإِنْ قَلُّوا </w:t>
      </w:r>
      <w:r w:rsidR="006C577F" w:rsidRPr="006C577F">
        <w:rPr>
          <w:rStyle w:val="libFootnotenumChar"/>
          <w:rtl/>
        </w:rPr>
        <w:t>(6)</w:t>
      </w:r>
      <w:r w:rsidRPr="00C9040A">
        <w:rPr>
          <w:rtl/>
          <w:lang w:bidi="fa-IR"/>
        </w:rPr>
        <w:t>»</w:t>
      </w:r>
      <w:r>
        <w:rPr>
          <w:rtl/>
          <w:lang w:bidi="fa-IR"/>
        </w:rPr>
        <w:t>.</w:t>
      </w:r>
      <w:r w:rsidRPr="00C9040A">
        <w:rPr>
          <w:rtl/>
          <w:lang w:bidi="fa-IR"/>
        </w:rPr>
        <w:t xml:space="preserve"> </w:t>
      </w:r>
      <w:r w:rsidR="006C577F" w:rsidRPr="006C577F">
        <w:rPr>
          <w:rStyle w:val="libFootnotenumChar"/>
          <w:rtl/>
        </w:rPr>
        <w:t>(7)</w:t>
      </w:r>
    </w:p>
    <w:p w:rsidR="008A74EB" w:rsidRPr="00C9040A" w:rsidRDefault="008A74EB" w:rsidP="008A74EB">
      <w:pPr>
        <w:pStyle w:val="Heading2Center"/>
        <w:rPr>
          <w:rtl/>
          <w:lang w:bidi="fa-IR"/>
        </w:rPr>
      </w:pPr>
      <w:bookmarkStart w:id="244" w:name="_Toc343795669"/>
      <w:bookmarkStart w:id="245" w:name="_Toc459810793"/>
      <w:bookmarkStart w:id="246" w:name="_Toc35348699"/>
      <w:r w:rsidRPr="00C9040A">
        <w:rPr>
          <w:rtl/>
          <w:lang w:bidi="fa-IR"/>
        </w:rPr>
        <w:t>78</w:t>
      </w:r>
      <w:r>
        <w:rPr>
          <w:rtl/>
          <w:lang w:bidi="fa-IR"/>
        </w:rPr>
        <w:t xml:space="preserve"> </w:t>
      </w:r>
      <w:r w:rsidR="0084262C">
        <w:rPr>
          <w:rtl/>
          <w:lang w:bidi="fa-IR"/>
        </w:rPr>
        <w:t>-</w:t>
      </w:r>
      <w:r>
        <w:rPr>
          <w:rtl/>
          <w:lang w:bidi="fa-IR"/>
        </w:rPr>
        <w:t xml:space="preserve"> </w:t>
      </w:r>
      <w:r w:rsidRPr="00C9040A">
        <w:rPr>
          <w:rtl/>
          <w:lang w:bidi="fa-IR"/>
        </w:rPr>
        <w:t>بَابُ الْمُصَافَحَةِ‌</w:t>
      </w:r>
      <w:bookmarkEnd w:id="244"/>
      <w:bookmarkEnd w:id="245"/>
      <w:bookmarkEnd w:id="246"/>
    </w:p>
    <w:p w:rsidR="008A74EB" w:rsidRPr="00C9040A" w:rsidRDefault="008A74EB" w:rsidP="008A74EB">
      <w:pPr>
        <w:pStyle w:val="libNormal"/>
        <w:rPr>
          <w:rtl/>
          <w:lang w:bidi="fa-IR"/>
        </w:rPr>
      </w:pPr>
      <w:r w:rsidRPr="00FF6050">
        <w:rPr>
          <w:rtl/>
        </w:rPr>
        <w:t>2092</w:t>
      </w:r>
      <w:r w:rsidRPr="00261CB0">
        <w:rPr>
          <w:rStyle w:val="libBold2Char"/>
          <w:rtl/>
        </w:rPr>
        <w:t xml:space="preserve"> / 1</w:t>
      </w:r>
      <w:r w:rsidRPr="00C9040A">
        <w:rPr>
          <w:rtl/>
          <w:lang w:bidi="fa-IR"/>
        </w:rPr>
        <w:t xml:space="preserve"> عِدَّةٌ مِنْ أَصْحَابِنَا ، عَنْ أَحْمَدَ بْنِ مُحَمَّدٍ ، عَنِ ابْنِ فَضَّالٍ ، عَنْ ثَعْلَبَةَ بْنِ مَيْمُونٍ ، عَنْ يَحْيَى بْنِ زَكَرِيَّا ، عَنْ أَبِي عُبَيْدَةَ ، قَالَ :</w:t>
      </w:r>
    </w:p>
    <w:p w:rsidR="008A74EB" w:rsidRPr="00C9040A" w:rsidRDefault="008A74EB" w:rsidP="008A74EB">
      <w:pPr>
        <w:pStyle w:val="libNormal"/>
        <w:rPr>
          <w:rtl/>
          <w:lang w:bidi="fa-IR"/>
        </w:rPr>
      </w:pPr>
      <w:r w:rsidRPr="00C9040A">
        <w:rPr>
          <w:rtl/>
          <w:lang w:bidi="fa-IR"/>
        </w:rPr>
        <w:t xml:space="preserve">كُنْتُ زَمِيلَ </w:t>
      </w:r>
      <w:r w:rsidR="006C577F" w:rsidRPr="006C577F">
        <w:rPr>
          <w:rStyle w:val="libFootnotenumChar"/>
          <w:rtl/>
        </w:rPr>
        <w:t>(8)</w:t>
      </w:r>
      <w:r w:rsidRPr="00C9040A">
        <w:rPr>
          <w:rtl/>
          <w:lang w:bidi="fa-IR"/>
        </w:rPr>
        <w:t xml:space="preserve"> أَبِي جَعْفَرٍ </w:t>
      </w:r>
      <w:r w:rsidRPr="0003660B">
        <w:rPr>
          <w:rStyle w:val="libAlaemChar"/>
          <w:rtl/>
        </w:rPr>
        <w:t>عليه‌السلام</w:t>
      </w:r>
      <w:r w:rsidRPr="00C9040A">
        <w:rPr>
          <w:rtl/>
          <w:lang w:bidi="fa-IR"/>
        </w:rPr>
        <w:t xml:space="preserve"> ، وَكُنْتُ أَبْدَأُ بِالرُّكُوبِ ، ثُمَّ يَرْكَبُ هُوَ ، فَإِذَا اسْتَوَيْنَا سَلَّمَ ، وَسَاءَلَ مُسَاءَلَةَ رَجُلٍ لَاعَهْدَ لَهُ بِصَاحِبِهِ ، وَصَافَحَ ، قَالَ : وَكَانَ إِذَا نَزَلَ نَزَلَ قَبْلِي ، فَإِذَا اسْتَوَيْتُ أَنَا وَهُوَ عَلَى الْأَرْضِ سَلَّمَ ، وَسَاءَلَ مُسَاءَلَةَ مَنْ لَاعَهْدَ لَهُ بِصَاحِبِهِ ، فَقُلْتُ :</w:t>
      </w:r>
    </w:p>
    <w:p w:rsidR="008A74EB" w:rsidRPr="00C9040A" w:rsidRDefault="008A74EB" w:rsidP="008A74EB">
      <w:pPr>
        <w:pStyle w:val="libLine"/>
        <w:rPr>
          <w:rtl/>
          <w:lang w:bidi="fa-IR"/>
        </w:rPr>
      </w:pPr>
      <w:r w:rsidRPr="00C9040A">
        <w:rPr>
          <w:rtl/>
          <w:lang w:bidi="fa-IR"/>
        </w:rPr>
        <w:t>__________________</w:t>
      </w:r>
    </w:p>
    <w:p w:rsidR="008A74EB" w:rsidRPr="00C9040A" w:rsidRDefault="00A84E9B" w:rsidP="004A4E41">
      <w:pPr>
        <w:pStyle w:val="libFootnote0"/>
        <w:rPr>
          <w:rtl/>
          <w:lang w:bidi="fa-IR"/>
        </w:rPr>
      </w:pPr>
      <w:r>
        <w:rPr>
          <w:rFonts w:hint="cs"/>
          <w:rtl/>
        </w:rPr>
        <w:t xml:space="preserve">= </w:t>
      </w:r>
      <w:r w:rsidR="008A74EB" w:rsidRPr="00C9040A">
        <w:rPr>
          <w:rtl/>
        </w:rPr>
        <w:t>« الله وكّل »</w:t>
      </w:r>
      <w:r w:rsidR="008A74EB">
        <w:rPr>
          <w:rtl/>
        </w:rPr>
        <w:t>.</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ز » : « به عزّ وجلّ »</w:t>
      </w:r>
      <w:r w:rsidR="008A74EB">
        <w:rPr>
          <w:rtl/>
        </w:rPr>
        <w:t>.</w:t>
      </w:r>
      <w:r w:rsidR="008A74EB" w:rsidRPr="00C9040A">
        <w:rPr>
          <w:rtl/>
        </w:rPr>
        <w:t xml:space="preserve"> وفي « ض » : « جلّ وعزّ له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 تبوّأتَ » أي اتّخذتَ ، يقال : تبوّأت منزلاً ، أي اتّخذته. راجع : </w:t>
      </w:r>
      <w:r w:rsidR="008A74EB" w:rsidRPr="00993B55">
        <w:rPr>
          <w:rStyle w:val="libFootnoteBoldChar"/>
          <w:rtl/>
        </w:rPr>
        <w:t>النهاية</w:t>
      </w:r>
      <w:r w:rsidR="008A74EB" w:rsidRPr="00C9040A">
        <w:rPr>
          <w:rtl/>
        </w:rPr>
        <w:t xml:space="preserve"> ، ج 1 ، ص 159 ؛ المصباح المنير ، ص 67 ( بوأ )</w:t>
      </w:r>
      <w:r w:rsidR="008A74EB">
        <w:rPr>
          <w:rtl/>
        </w:rPr>
        <w:t>.</w:t>
      </w:r>
    </w:p>
    <w:p w:rsidR="008A74EB" w:rsidRPr="00C9040A" w:rsidRDefault="006C577F" w:rsidP="00894A08">
      <w:pPr>
        <w:pStyle w:val="libFootnote0"/>
        <w:rPr>
          <w:rtl/>
          <w:lang w:bidi="fa-IR"/>
        </w:rPr>
      </w:pPr>
      <w:r>
        <w:rPr>
          <w:rtl/>
        </w:rPr>
        <w:t>(3).</w:t>
      </w:r>
      <w:r w:rsidR="008A74EB" w:rsidRPr="00C9040A">
        <w:rPr>
          <w:rtl/>
        </w:rPr>
        <w:t xml:space="preserve"> </w:t>
      </w:r>
      <w:r w:rsidR="008A74EB" w:rsidRPr="00993B55">
        <w:rPr>
          <w:rStyle w:val="libFootnoteBoldChar"/>
          <w:rtl/>
        </w:rPr>
        <w:t>المؤمن</w:t>
      </w:r>
      <w:r w:rsidR="008A74EB" w:rsidRPr="00C9040A">
        <w:rPr>
          <w:rtl/>
        </w:rPr>
        <w:t xml:space="preserve"> ، ص 60 ، ح 152 ، عن أبي حمزة</w:t>
      </w:r>
      <w:r w:rsidR="00894A08">
        <w:rPr>
          <w:rFonts w:hint="cs"/>
          <w:rtl/>
        </w:rPr>
        <w:t>.</w:t>
      </w:r>
      <w:r w:rsidR="008A74EB" w:rsidRPr="00993B55">
        <w:rPr>
          <w:rStyle w:val="libFootnoteBoldChar"/>
          <w:rtl/>
        </w:rPr>
        <w:t>الوافي</w:t>
      </w:r>
      <w:r w:rsidR="008A74EB" w:rsidRPr="00C9040A">
        <w:rPr>
          <w:rtl/>
        </w:rPr>
        <w:t xml:space="preserve"> ، ج 5 ، ص 590 ، ح 2632 ؛ </w:t>
      </w:r>
      <w:r w:rsidR="008A74EB" w:rsidRPr="00993B55">
        <w:rPr>
          <w:rStyle w:val="libFootnoteBoldChar"/>
          <w:rtl/>
        </w:rPr>
        <w:t>الوسائل</w:t>
      </w:r>
      <w:r w:rsidR="008A74EB" w:rsidRPr="00C9040A">
        <w:rPr>
          <w:rtl/>
        </w:rPr>
        <w:t xml:space="preserve"> ، ج 14 ، ص 582 ، ح 19861 ؛ </w:t>
      </w:r>
      <w:r w:rsidR="008A74EB" w:rsidRPr="00993B55">
        <w:rPr>
          <w:rStyle w:val="libFootnoteBoldChar"/>
          <w:rtl/>
        </w:rPr>
        <w:t>البحار</w:t>
      </w:r>
      <w:r w:rsidR="008A74EB" w:rsidRPr="00C9040A">
        <w:rPr>
          <w:rtl/>
        </w:rPr>
        <w:t xml:space="preserve"> ، ج 74 ، ص 350 ، ح 15.</w:t>
      </w:r>
      <w:r w:rsidR="00894A08">
        <w:rPr>
          <w:rFonts w:hint="cs"/>
          <w:rtl/>
        </w:rPr>
        <w:t xml:space="preserve">          </w:t>
      </w:r>
      <w:r>
        <w:rPr>
          <w:rtl/>
        </w:rPr>
        <w:t>(4).</w:t>
      </w:r>
      <w:r w:rsidR="008A74EB" w:rsidRPr="00C9040A">
        <w:rPr>
          <w:rtl/>
        </w:rPr>
        <w:t xml:space="preserve"> في « ف » : + « لي »</w:t>
      </w:r>
      <w:r w:rsidR="008A74EB">
        <w:rPr>
          <w:rtl/>
        </w:rPr>
        <w:t>.</w:t>
      </w:r>
    </w:p>
    <w:tbl>
      <w:tblPr>
        <w:tblStyle w:val="TableGrid"/>
        <w:bidiVisual/>
        <w:tblW w:w="0" w:type="auto"/>
        <w:tblLook w:val="04A0" w:firstRow="1" w:lastRow="0" w:firstColumn="1" w:lastColumn="0" w:noHBand="0" w:noVBand="1"/>
      </w:tblPr>
      <w:tblGrid>
        <w:gridCol w:w="4006"/>
        <w:gridCol w:w="4006"/>
      </w:tblGrid>
      <w:tr w:rsidR="00894A08" w:rsidTr="00894A08">
        <w:tc>
          <w:tcPr>
            <w:tcW w:w="4006" w:type="dxa"/>
          </w:tcPr>
          <w:p w:rsidR="00894A08" w:rsidRDefault="00894A08" w:rsidP="004A4E41">
            <w:pPr>
              <w:pStyle w:val="libFootnote0"/>
              <w:rPr>
                <w:rtl/>
              </w:rPr>
            </w:pPr>
            <w:r>
              <w:rPr>
                <w:rtl/>
              </w:rPr>
              <w:t>(5). في «ض»:+</w:t>
            </w:r>
            <w:r w:rsidRPr="00C9040A">
              <w:rPr>
                <w:rtl/>
              </w:rPr>
              <w:t xml:space="preserve">« قال : قال رسول الله </w:t>
            </w:r>
            <w:r w:rsidRPr="00894A08">
              <w:rPr>
                <w:rStyle w:val="libFootnoteAlaemChar"/>
                <w:rtl/>
              </w:rPr>
              <w:t>صلى‌الله‌عليه‌وآله</w:t>
            </w:r>
            <w:r w:rsidRPr="00C9040A">
              <w:rPr>
                <w:rtl/>
              </w:rPr>
              <w:t xml:space="preserve"> »</w:t>
            </w:r>
            <w:r>
              <w:rPr>
                <w:rtl/>
              </w:rPr>
              <w:t>.</w:t>
            </w:r>
          </w:p>
        </w:tc>
        <w:tc>
          <w:tcPr>
            <w:tcW w:w="4006" w:type="dxa"/>
          </w:tcPr>
          <w:p w:rsidR="00894A08" w:rsidRDefault="00894A08" w:rsidP="004A4E41">
            <w:pPr>
              <w:pStyle w:val="libFootnote0"/>
              <w:rPr>
                <w:rtl/>
              </w:rPr>
            </w:pPr>
            <w:r>
              <w:rPr>
                <w:rtl/>
              </w:rPr>
              <w:t xml:space="preserve">(6). </w:t>
            </w:r>
            <w:r w:rsidRPr="00C9040A">
              <w:rPr>
                <w:rtl/>
              </w:rPr>
              <w:t>في حاشية « ف » : « إن قلّ »</w:t>
            </w:r>
            <w:r>
              <w:rPr>
                <w:rtl/>
              </w:rPr>
              <w:t>.</w:t>
            </w:r>
          </w:p>
        </w:tc>
      </w:tr>
    </w:tbl>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مصادقة الإخوان</w:t>
      </w:r>
      <w:r w:rsidR="008A74EB" w:rsidRPr="00C9040A">
        <w:rPr>
          <w:rtl/>
        </w:rPr>
        <w:t xml:space="preserve"> ، ص 34 ، ح 4 ، وفيه : « عن عليّ بن إبراهيم ، عن النوفلي ، عن السكوني ، عن أبي جعفر ، عن آبائه </w:t>
      </w:r>
      <w:r w:rsidR="00117575" w:rsidRPr="00117575">
        <w:rPr>
          <w:rStyle w:val="libFootnoteAlaemChar"/>
          <w:rtl/>
        </w:rPr>
        <w:t>عليهم‌السلام</w:t>
      </w:r>
      <w:r w:rsidR="008A74EB" w:rsidRPr="00C9040A">
        <w:rPr>
          <w:rtl/>
        </w:rPr>
        <w:t xml:space="preserve"> أنّ عليّاً </w:t>
      </w:r>
      <w:r w:rsidR="00117575" w:rsidRPr="00117575">
        <w:rPr>
          <w:rStyle w:val="libFootnoteAlaemChar"/>
          <w:rtl/>
        </w:rPr>
        <w:t>عليه‌السلام</w:t>
      </w:r>
      <w:r w:rsidR="008A74EB" w:rsidRPr="00C9040A">
        <w:rPr>
          <w:rtl/>
        </w:rPr>
        <w:t xml:space="preserve"> ، كان يقول : إنّ لقى الإخوان مغنم جسيم » </w:t>
      </w:r>
      <w:r w:rsidR="003418A6">
        <w:rPr>
          <w:rFonts w:hint="cs"/>
          <w:rtl/>
        </w:rPr>
        <w:t>.</w:t>
      </w:r>
      <w:r w:rsidR="008A74EB" w:rsidRPr="00993B55">
        <w:rPr>
          <w:rStyle w:val="libFootnoteBoldChar"/>
          <w:rtl/>
        </w:rPr>
        <w:t>الوافي</w:t>
      </w:r>
      <w:r w:rsidR="008A74EB" w:rsidRPr="00C9040A">
        <w:rPr>
          <w:rtl/>
        </w:rPr>
        <w:t xml:space="preserve"> ، ج 5 ، ص 594 ، ح 2645 ؛ </w:t>
      </w:r>
      <w:r w:rsidR="008A74EB" w:rsidRPr="00993B55">
        <w:rPr>
          <w:rStyle w:val="libFootnoteBoldChar"/>
          <w:rtl/>
        </w:rPr>
        <w:t>الوسائل</w:t>
      </w:r>
      <w:r w:rsidR="008A74EB" w:rsidRPr="00C9040A">
        <w:rPr>
          <w:rtl/>
        </w:rPr>
        <w:t xml:space="preserve"> ، ج 14 ، ص 586 ، ح 19871 ؛ </w:t>
      </w:r>
      <w:r w:rsidR="008A74EB" w:rsidRPr="00993B55">
        <w:rPr>
          <w:rStyle w:val="libFootnoteBoldChar"/>
          <w:rtl/>
        </w:rPr>
        <w:t>البحار</w:t>
      </w:r>
      <w:r w:rsidR="008A74EB" w:rsidRPr="00C9040A">
        <w:rPr>
          <w:rtl/>
        </w:rPr>
        <w:t xml:space="preserve"> ، ج 74 ، ص 350 ، ح 16.</w:t>
      </w:r>
    </w:p>
    <w:p w:rsidR="008A74EB" w:rsidRPr="00C9040A" w:rsidRDefault="006C577F" w:rsidP="004A4E41">
      <w:pPr>
        <w:pStyle w:val="libFootnote0"/>
        <w:rPr>
          <w:rtl/>
          <w:lang w:bidi="fa-IR"/>
        </w:rPr>
      </w:pPr>
      <w:r>
        <w:rPr>
          <w:rtl/>
        </w:rPr>
        <w:t>(8).</w:t>
      </w:r>
      <w:r w:rsidR="008A74EB" w:rsidRPr="00C9040A">
        <w:rPr>
          <w:rtl/>
        </w:rPr>
        <w:t xml:space="preserve"> « الزميل » : العَديل الذي حِمْله مع حِمْلك على البعير. وقد زاملني : عادلني. والزميل أيضاً : الرفيق في السفر</w:t>
      </w:r>
      <w:r w:rsidR="003418A6">
        <w:rPr>
          <w:rFonts w:hint="cs"/>
          <w:rtl/>
        </w:rPr>
        <w:t xml:space="preserve"> </w:t>
      </w:r>
      <w:r w:rsidR="008A74EB" w:rsidRPr="00C9040A">
        <w:rPr>
          <w:rtl/>
        </w:rPr>
        <w:t>الذي يعينك على ا</w:t>
      </w:r>
      <w:r w:rsidR="003418A6">
        <w:rPr>
          <w:rFonts w:hint="cs"/>
          <w:rtl/>
        </w:rPr>
        <w:t>ُ</w:t>
      </w:r>
      <w:r w:rsidR="008A74EB" w:rsidRPr="00C9040A">
        <w:rPr>
          <w:rtl/>
        </w:rPr>
        <w:t xml:space="preserve">مورك. </w:t>
      </w:r>
      <w:r w:rsidR="008A74EB" w:rsidRPr="00993B55">
        <w:rPr>
          <w:rStyle w:val="libFootnoteBoldChar"/>
          <w:rtl/>
        </w:rPr>
        <w:t>النهاية</w:t>
      </w:r>
      <w:r w:rsidR="008A74EB" w:rsidRPr="00C9040A">
        <w:rPr>
          <w:rtl/>
        </w:rPr>
        <w:t xml:space="preserve"> ، ج 2 ، ص 313 ( زمل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يَا ابْنَ رَسُولِ اللهِ ، إِنَّكَ لَتَفْعَلُ شَيْئاً مَا </w:t>
      </w:r>
      <w:r w:rsidR="006C577F" w:rsidRPr="006C577F">
        <w:rPr>
          <w:rStyle w:val="libFootnotenumChar"/>
          <w:rtl/>
        </w:rPr>
        <w:t>(1)</w:t>
      </w:r>
      <w:r w:rsidRPr="00C9040A">
        <w:rPr>
          <w:rtl/>
          <w:lang w:bidi="fa-IR"/>
        </w:rPr>
        <w:t xml:space="preserve"> يَفْعَلُهُ أَحَدُ </w:t>
      </w:r>
      <w:r w:rsidR="006C577F" w:rsidRPr="006C577F">
        <w:rPr>
          <w:rStyle w:val="libFootnotenumChar"/>
          <w:rtl/>
        </w:rPr>
        <w:t>(2)</w:t>
      </w:r>
      <w:r w:rsidRPr="00C9040A">
        <w:rPr>
          <w:rtl/>
          <w:lang w:bidi="fa-IR"/>
        </w:rPr>
        <w:t xml:space="preserve"> مَنْ قِبَلَنَا ، وَإِنْ فَعَلَ مَرَّةً فَكَثِيرٌ </w:t>
      </w:r>
      <w:r w:rsidR="006C577F" w:rsidRPr="006C577F">
        <w:rPr>
          <w:rStyle w:val="libFootnotenumChar"/>
          <w:rtl/>
        </w:rPr>
        <w:t>(3)</w:t>
      </w:r>
      <w:r>
        <w:rPr>
          <w:rtl/>
          <w:lang w:bidi="fa-IR"/>
        </w:rPr>
        <w:t>؟</w:t>
      </w:r>
    </w:p>
    <w:p w:rsidR="008A74EB" w:rsidRPr="00C9040A" w:rsidRDefault="008A74EB" w:rsidP="008A74EB">
      <w:pPr>
        <w:pStyle w:val="libNormal"/>
        <w:rPr>
          <w:rtl/>
          <w:lang w:bidi="fa-IR"/>
        </w:rPr>
      </w:pPr>
      <w:r>
        <w:rPr>
          <w:rtl/>
          <w:lang w:bidi="fa-IR"/>
        </w:rPr>
        <w:t>فَقَالَ : « أَ</w:t>
      </w:r>
      <w:r w:rsidRPr="00C9040A">
        <w:rPr>
          <w:rtl/>
          <w:lang w:bidi="fa-IR"/>
        </w:rPr>
        <w:t xml:space="preserve">مَا عَلِمْتَ مَا </w:t>
      </w:r>
      <w:r w:rsidR="006C577F" w:rsidRPr="006C577F">
        <w:rPr>
          <w:rStyle w:val="libFootnotenumChar"/>
          <w:rtl/>
        </w:rPr>
        <w:t>(4)</w:t>
      </w:r>
      <w:r w:rsidRPr="00C9040A">
        <w:rPr>
          <w:rtl/>
          <w:lang w:bidi="fa-IR"/>
        </w:rPr>
        <w:t xml:space="preserve"> فِي الْمُصَافَحَةِ ؛ إِنَّ الْمُؤْمِنَيْنِ يَلْتَقِيَانِ </w:t>
      </w:r>
      <w:r w:rsidR="006C577F" w:rsidRPr="006C577F">
        <w:rPr>
          <w:rStyle w:val="libFootnotenumChar"/>
          <w:rtl/>
        </w:rPr>
        <w:t>(5)</w:t>
      </w:r>
      <w:r w:rsidRPr="00C9040A">
        <w:rPr>
          <w:rtl/>
          <w:lang w:bidi="fa-IR"/>
        </w:rPr>
        <w:t xml:space="preserve"> ، فَيُصَافِحُ أَحَدُهُمَا صَاحِبَهُ ، فَلَا تَزَالُ </w:t>
      </w:r>
      <w:r w:rsidR="006C577F" w:rsidRPr="006C577F">
        <w:rPr>
          <w:rStyle w:val="libFootnotenumChar"/>
          <w:rtl/>
        </w:rPr>
        <w:t>(6)</w:t>
      </w:r>
      <w:r w:rsidRPr="005B567D">
        <w:rPr>
          <w:rStyle w:val="libFootnotenumChar"/>
          <w:rtl/>
        </w:rPr>
        <w:t xml:space="preserve"> </w:t>
      </w:r>
      <w:r w:rsidRPr="00C9040A">
        <w:rPr>
          <w:rtl/>
          <w:lang w:bidi="fa-IR"/>
        </w:rPr>
        <w:t xml:space="preserve">الذُّنُوبُ تَتَحَاتُّ </w:t>
      </w:r>
      <w:r w:rsidR="006C577F" w:rsidRPr="006C577F">
        <w:rPr>
          <w:rStyle w:val="libFootnotenumChar"/>
          <w:rtl/>
        </w:rPr>
        <w:t>(7)</w:t>
      </w:r>
      <w:r w:rsidRPr="00C9040A">
        <w:rPr>
          <w:rtl/>
          <w:lang w:bidi="fa-IR"/>
        </w:rPr>
        <w:t xml:space="preserve"> عَنْهُمَا كَمَا يَتَحَاتُّ </w:t>
      </w:r>
      <w:r w:rsidR="006C577F" w:rsidRPr="006C577F">
        <w:rPr>
          <w:rStyle w:val="libFootnotenumChar"/>
          <w:rtl/>
        </w:rPr>
        <w:t>(8)</w:t>
      </w:r>
      <w:r w:rsidRPr="00C9040A">
        <w:rPr>
          <w:rtl/>
          <w:lang w:bidi="fa-IR"/>
        </w:rPr>
        <w:t xml:space="preserve"> الْوَرَقُ عَنِ الشَّجَرِ </w:t>
      </w:r>
      <w:r w:rsidR="006C577F" w:rsidRPr="006C577F">
        <w:rPr>
          <w:rStyle w:val="libFootnotenumChar"/>
          <w:rtl/>
        </w:rPr>
        <w:t>(9)</w:t>
      </w:r>
      <w:r w:rsidRPr="00C9040A">
        <w:rPr>
          <w:rtl/>
          <w:lang w:bidi="fa-IR"/>
        </w:rPr>
        <w:t xml:space="preserve"> ، وَاللهُ يَنْظُرُ إِلَيْهِمَا حَتّى يَفْتَرِقَا </w:t>
      </w:r>
      <w:r w:rsidR="006C577F" w:rsidRPr="006C577F">
        <w:rPr>
          <w:rStyle w:val="libFootnotenumChar"/>
          <w:rtl/>
        </w:rPr>
        <w:t>(10)</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(11)</w:t>
      </w:r>
      <w:r w:rsidRPr="00C9040A">
        <w:rPr>
          <w:rtl/>
          <w:lang w:bidi="fa-IR"/>
        </w:rPr>
        <w:t xml:space="preserve"> ‌</w:t>
      </w:r>
    </w:p>
    <w:p w:rsidR="008A74EB" w:rsidRPr="00C9040A" w:rsidRDefault="008A74EB" w:rsidP="008A74EB">
      <w:pPr>
        <w:pStyle w:val="libNormal"/>
        <w:rPr>
          <w:rtl/>
          <w:lang w:bidi="fa-IR"/>
        </w:rPr>
      </w:pPr>
      <w:r w:rsidRPr="00FF6050">
        <w:rPr>
          <w:rtl/>
        </w:rPr>
        <w:t>2093</w:t>
      </w:r>
      <w:r w:rsidRPr="00261CB0">
        <w:rPr>
          <w:rStyle w:val="libBold2Char"/>
          <w:rtl/>
        </w:rPr>
        <w:t xml:space="preserve"> / 2</w:t>
      </w:r>
      <w:r w:rsidRPr="00C9040A">
        <w:rPr>
          <w:rtl/>
          <w:lang w:bidi="fa-IR"/>
        </w:rPr>
        <w:t xml:space="preserve"> عَنْهُ </w:t>
      </w:r>
      <w:r w:rsidR="006C577F" w:rsidRPr="006C577F">
        <w:rPr>
          <w:rStyle w:val="libFootnotenumChar"/>
          <w:rtl/>
        </w:rPr>
        <w:t>(12)</w:t>
      </w:r>
      <w:r w:rsidRPr="00C9040A">
        <w:rPr>
          <w:rtl/>
          <w:lang w:bidi="fa-IR"/>
        </w:rPr>
        <w:t xml:space="preserve"> ، عَنِ ابْنِ فَضَّالٍ ، عَنْ عَلِيِّ بْنِ عُقْبَةَ ، عَنْ أَبِي خَالِدٍ الْقَمَّاطِ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إِنَّ الْمُؤْمِنَيْنِ إِذَا الْتَقَيَا وَتَصَافَحَا ، أَدْخَلَ اللهُ يَدَهُ بَيْنَ أَيْدِيهِمَا ، فَصَافَحَ أَشَدَّهُمَا حُبّاً لِصَاحِبِهِ »</w:t>
      </w:r>
      <w:r>
        <w:rPr>
          <w:rtl/>
          <w:lang w:bidi="fa-IR"/>
        </w:rPr>
        <w:t>.</w:t>
      </w:r>
      <w:r w:rsidRPr="00C9040A">
        <w:rPr>
          <w:rtl/>
          <w:lang w:bidi="fa-IR"/>
        </w:rPr>
        <w:t xml:space="preserve"> </w:t>
      </w:r>
      <w:r w:rsidRPr="005B567D">
        <w:rPr>
          <w:rStyle w:val="libFootnotenumChar"/>
          <w:rtl/>
        </w:rPr>
        <w:t>(13)</w:t>
      </w:r>
      <w:r w:rsidRPr="00C9040A">
        <w:rPr>
          <w:rtl/>
          <w:lang w:bidi="fa-IR"/>
        </w:rPr>
        <w:t xml:space="preserve"> ‌</w:t>
      </w:r>
    </w:p>
    <w:p w:rsidR="008A74EB" w:rsidRPr="00C9040A" w:rsidRDefault="008A74EB" w:rsidP="008A74EB">
      <w:pPr>
        <w:pStyle w:val="libNormal"/>
        <w:rPr>
          <w:rtl/>
          <w:lang w:bidi="fa-IR"/>
        </w:rPr>
      </w:pPr>
      <w:r w:rsidRPr="00FF6050">
        <w:rPr>
          <w:rtl/>
        </w:rPr>
        <w:t>2094</w:t>
      </w:r>
      <w:r w:rsidRPr="00261CB0">
        <w:rPr>
          <w:rStyle w:val="libBold2Char"/>
          <w:rtl/>
        </w:rPr>
        <w:t xml:space="preserve"> / 3</w:t>
      </w:r>
      <w:r w:rsidRPr="00C9040A">
        <w:rPr>
          <w:rtl/>
          <w:lang w:bidi="fa-IR"/>
        </w:rPr>
        <w:t xml:space="preserve"> ابْنُ فَضَّالٍ </w:t>
      </w:r>
      <w:r w:rsidRPr="005B567D">
        <w:rPr>
          <w:rStyle w:val="libFootnotenumChar"/>
          <w:rtl/>
        </w:rPr>
        <w:t>(14)</w:t>
      </w:r>
      <w:r w:rsidRPr="00C9040A">
        <w:rPr>
          <w:rtl/>
          <w:lang w:bidi="fa-IR"/>
        </w:rPr>
        <w:t xml:space="preserve"> ، عَنْ عَلِيِّ بْنِ عُقْبَةَ ، عَنْ أَيُّوبَ ، عَنِ السَّمَيْدَعِ ، عَنْ مَالِكِ بْنِ أَعْيَنَ الْجُهَنِيِّ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ف » : + « يشاء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ب ، ج ، ز ، ص ، ض ، ف » والوافي والوسائل والبحار </w:t>
      </w:r>
      <w:r w:rsidR="008A74EB">
        <w:rPr>
          <w:rtl/>
        </w:rPr>
        <w:t xml:space="preserve">: </w:t>
      </w:r>
      <w:r w:rsidR="0084262C">
        <w:rPr>
          <w:rtl/>
        </w:rPr>
        <w:t>-</w:t>
      </w:r>
      <w:r w:rsidR="008A74EB" w:rsidRPr="00C9040A">
        <w:rPr>
          <w:rtl/>
        </w:rPr>
        <w:t xml:space="preserve"> « أحد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البحار ، ج 46 : « لكثير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حاشية « ج » : + « نزل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بس » : « يلقيان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د ، ص ، ف ، بر » والبحار : « فما تزال »</w:t>
      </w:r>
      <w:r w:rsidR="008A74EB">
        <w:rPr>
          <w:rtl/>
        </w:rPr>
        <w:t>.</w:t>
      </w:r>
      <w:r w:rsidR="008A74EB" w:rsidRPr="00C9040A">
        <w:rPr>
          <w:rtl/>
        </w:rPr>
        <w:t xml:space="preserve"> وفي الوافي : « فلا يزال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تحاتّت الشجرةُ : تساقَطَ ورقُها. </w:t>
      </w:r>
      <w:r w:rsidR="008A74EB" w:rsidRPr="00993B55">
        <w:rPr>
          <w:rStyle w:val="libFootnoteBoldChar"/>
          <w:rtl/>
        </w:rPr>
        <w:t>المصباح المنير</w:t>
      </w:r>
      <w:r w:rsidR="008A74EB" w:rsidRPr="00C9040A">
        <w:rPr>
          <w:rtl/>
        </w:rPr>
        <w:t xml:space="preserve"> ، ص 120 ( حتت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 ص ، ض ، ف ، بر ، بف » والبحار ، ج 76 : « تتحاتّ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الوافي : « الشجرة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 ز » : « حتّى يتفرّقا »</w:t>
      </w:r>
      <w:r w:rsidR="008A74EB">
        <w:rPr>
          <w:rtl/>
        </w:rPr>
        <w:t>.</w:t>
      </w:r>
      <w:r w:rsidR="008A74EB" w:rsidRPr="00C9040A">
        <w:rPr>
          <w:rtl/>
        </w:rPr>
        <w:t xml:space="preserve"> وفي البحار ، ج 46 : « حتّى يفترقان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w:t>
      </w:r>
      <w:r w:rsidR="008A74EB" w:rsidRPr="00993B55">
        <w:rPr>
          <w:rStyle w:val="libFootnoteBoldChar"/>
          <w:rtl/>
        </w:rPr>
        <w:t>الوافي</w:t>
      </w:r>
      <w:r w:rsidR="008A74EB" w:rsidRPr="00C9040A">
        <w:rPr>
          <w:rtl/>
        </w:rPr>
        <w:t xml:space="preserve"> ، ج 5 ، ص 607 ، ح 2682 ؛ </w:t>
      </w:r>
      <w:r w:rsidR="008A74EB" w:rsidRPr="00993B55">
        <w:rPr>
          <w:rStyle w:val="libFootnoteBoldChar"/>
          <w:rtl/>
        </w:rPr>
        <w:t>الوسائل</w:t>
      </w:r>
      <w:r w:rsidR="008A74EB" w:rsidRPr="00C9040A">
        <w:rPr>
          <w:rtl/>
        </w:rPr>
        <w:t xml:space="preserve"> ، ج 12 ، ص 223 ، ح 16146 ؛ </w:t>
      </w:r>
      <w:r w:rsidR="008A74EB" w:rsidRPr="00993B55">
        <w:rPr>
          <w:rStyle w:val="libFootnoteBoldChar"/>
          <w:rtl/>
        </w:rPr>
        <w:t>البحار</w:t>
      </w:r>
      <w:r w:rsidR="008A74EB" w:rsidRPr="00C9040A">
        <w:rPr>
          <w:rtl/>
        </w:rPr>
        <w:t xml:space="preserve"> ، ج 46 ، ص 302 ، ح 47 ؛ وج 76 ، ص 23 ، ح 11.</w:t>
      </w:r>
    </w:p>
    <w:p w:rsidR="008A74EB" w:rsidRPr="00C9040A" w:rsidRDefault="006C577F" w:rsidP="004A4E41">
      <w:pPr>
        <w:pStyle w:val="libFootnote0"/>
        <w:rPr>
          <w:rtl/>
          <w:lang w:bidi="fa-IR"/>
        </w:rPr>
      </w:pPr>
      <w:r>
        <w:rPr>
          <w:rtl/>
        </w:rPr>
        <w:t>(12).</w:t>
      </w:r>
      <w:r w:rsidR="008A74EB" w:rsidRPr="00C9040A">
        <w:rPr>
          <w:rtl/>
        </w:rPr>
        <w:t xml:space="preserve"> الضمير راجع إلى أحمد بن محمّد المذكور في السند السابق.</w:t>
      </w:r>
    </w:p>
    <w:p w:rsidR="008A74EB" w:rsidRPr="00C9040A" w:rsidRDefault="008A74EB" w:rsidP="003418A6">
      <w:pPr>
        <w:pStyle w:val="libFootnote0"/>
        <w:rPr>
          <w:rtl/>
          <w:lang w:bidi="fa-IR"/>
        </w:rPr>
      </w:pPr>
      <w:r>
        <w:rPr>
          <w:rtl/>
        </w:rPr>
        <w:t>(13)</w:t>
      </w:r>
      <w:r w:rsidRPr="00C9040A">
        <w:rPr>
          <w:rtl/>
        </w:rPr>
        <w:t xml:space="preserve"> </w:t>
      </w:r>
      <w:r w:rsidRPr="00993B55">
        <w:rPr>
          <w:rStyle w:val="libFootnoteBoldChar"/>
          <w:rtl/>
        </w:rPr>
        <w:t>المؤمن</w:t>
      </w:r>
      <w:r w:rsidRPr="00C9040A">
        <w:rPr>
          <w:rtl/>
        </w:rPr>
        <w:t xml:space="preserve"> ، ص 36 ، ح 78 ، عن أبي جعفر </w:t>
      </w:r>
      <w:r w:rsidR="00117575" w:rsidRPr="00117575">
        <w:rPr>
          <w:rStyle w:val="libFootnoteAlaemChar"/>
          <w:rtl/>
        </w:rPr>
        <w:t xml:space="preserve">عليه‌السلام </w:t>
      </w:r>
      <w:r w:rsidR="003418A6">
        <w:rPr>
          <w:rFonts w:hint="cs"/>
          <w:rtl/>
        </w:rPr>
        <w:t>.</w:t>
      </w:r>
      <w:r w:rsidRPr="00993B55">
        <w:rPr>
          <w:rStyle w:val="libFootnoteBoldChar"/>
          <w:rtl/>
        </w:rPr>
        <w:t>الوافي</w:t>
      </w:r>
      <w:r w:rsidRPr="00C9040A">
        <w:rPr>
          <w:rtl/>
        </w:rPr>
        <w:t xml:space="preserve"> ، ج 5 ، ص 608 ، ح 2683 ؛ </w:t>
      </w:r>
      <w:r w:rsidRPr="00993B55">
        <w:rPr>
          <w:rStyle w:val="libFootnoteBoldChar"/>
          <w:rtl/>
        </w:rPr>
        <w:t>الوسائل</w:t>
      </w:r>
      <w:r w:rsidRPr="00C9040A">
        <w:rPr>
          <w:rtl/>
        </w:rPr>
        <w:t xml:space="preserve"> ، ج 12 ، ص 219 ، ح 16132 ؛ </w:t>
      </w:r>
      <w:r w:rsidRPr="00993B55">
        <w:rPr>
          <w:rStyle w:val="libFootnoteBoldChar"/>
          <w:rtl/>
        </w:rPr>
        <w:t>البحار</w:t>
      </w:r>
      <w:r w:rsidRPr="00C9040A">
        <w:rPr>
          <w:rtl/>
        </w:rPr>
        <w:t xml:space="preserve"> ، ج 76 ، ص 24 ، ح 12.</w:t>
      </w:r>
    </w:p>
    <w:p w:rsidR="008A74EB" w:rsidRPr="00C9040A" w:rsidRDefault="008A74EB" w:rsidP="004A4E41">
      <w:pPr>
        <w:pStyle w:val="libFootnote0"/>
        <w:rPr>
          <w:rtl/>
          <w:lang w:bidi="fa-IR"/>
        </w:rPr>
      </w:pPr>
      <w:r>
        <w:rPr>
          <w:rtl/>
        </w:rPr>
        <w:t>(14)</w:t>
      </w:r>
      <w:r w:rsidRPr="00C9040A">
        <w:rPr>
          <w:rtl/>
        </w:rPr>
        <w:t xml:space="preserve"> السند معلّق. ويروي عن ابن فضّال ، عدّة من أصحابنا عن أحمد بن محمّد.</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إِنَّ الْمُؤْمِنَيْنِ إِذَا الْتَقَيَا فَتَصَافَحَا </w:t>
      </w:r>
      <w:r w:rsidR="006C577F" w:rsidRPr="006C577F">
        <w:rPr>
          <w:rStyle w:val="libFootnotenumChar"/>
          <w:rtl/>
        </w:rPr>
        <w:t>(1)</w:t>
      </w:r>
      <w:r w:rsidRPr="00C9040A">
        <w:rPr>
          <w:rtl/>
          <w:lang w:bidi="fa-IR"/>
        </w:rPr>
        <w:t xml:space="preserve"> ، أَدْخَلَ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يَدَهُ بَيْنَ أَيْدِيهِمَا ، وَأَقْبَلَ بِوَجْهِهِ عَلى أَشَدِّهِمَا حُبّاً لِصَاحِبِهِ ، فَإِذَا أَقْبَلَ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بِوَجْهِهِ</w:t>
      </w:r>
      <w:r w:rsidR="006C577F" w:rsidRPr="006C577F">
        <w:rPr>
          <w:rStyle w:val="libFootnotenumChar"/>
          <w:rtl/>
        </w:rPr>
        <w:t>(2)</w:t>
      </w:r>
      <w:r w:rsidRPr="00C9040A">
        <w:rPr>
          <w:rtl/>
          <w:lang w:bidi="fa-IR"/>
        </w:rPr>
        <w:t xml:space="preserve"> عَلَيْهِمَا ، تَحَاتَّتْ عَنْهُمَا الذُّنُوبُ </w:t>
      </w:r>
      <w:r w:rsidR="006C577F" w:rsidRPr="006C577F">
        <w:rPr>
          <w:rStyle w:val="libFootnotenumChar"/>
          <w:rtl/>
        </w:rPr>
        <w:t>(3)</w:t>
      </w:r>
      <w:r w:rsidRPr="00C9040A">
        <w:rPr>
          <w:rtl/>
          <w:lang w:bidi="fa-IR"/>
        </w:rPr>
        <w:t xml:space="preserve"> كَمَا يَتَحَاتُّ </w:t>
      </w:r>
      <w:r w:rsidR="006C577F" w:rsidRPr="006C577F">
        <w:rPr>
          <w:rStyle w:val="libFootnotenumChar"/>
          <w:rtl/>
        </w:rPr>
        <w:t>(4)</w:t>
      </w:r>
      <w:r w:rsidRPr="00C9040A">
        <w:rPr>
          <w:rtl/>
          <w:lang w:bidi="fa-IR"/>
        </w:rPr>
        <w:t xml:space="preserve"> الْوَرَقُ مِنَ </w:t>
      </w:r>
      <w:r w:rsidR="006C577F" w:rsidRPr="006C577F">
        <w:rPr>
          <w:rStyle w:val="libFootnotenumChar"/>
          <w:rtl/>
        </w:rPr>
        <w:t>(5)</w:t>
      </w:r>
      <w:r w:rsidRPr="00C9040A">
        <w:rPr>
          <w:rtl/>
          <w:lang w:bidi="fa-IR"/>
        </w:rPr>
        <w:t xml:space="preserve"> الشَّجَرِ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Normal"/>
        <w:rPr>
          <w:rtl/>
          <w:lang w:bidi="fa-IR"/>
        </w:rPr>
      </w:pPr>
      <w:r w:rsidRPr="00FF6050">
        <w:rPr>
          <w:rtl/>
        </w:rPr>
        <w:t>2095</w:t>
      </w:r>
      <w:r w:rsidRPr="00261CB0">
        <w:rPr>
          <w:rStyle w:val="libBold2Char"/>
          <w:rtl/>
        </w:rPr>
        <w:t xml:space="preserve"> / 4</w:t>
      </w:r>
      <w:r w:rsidRPr="00C9040A">
        <w:rPr>
          <w:rtl/>
          <w:lang w:bidi="fa-IR"/>
        </w:rPr>
        <w:t xml:space="preserve"> عَلِيُّ بْنُ إِبْرَاهِيمَ ، عَنْ أَبِيهِ ، عَنِ ابْنِ أَبِي عُمَيْرٍ ، عَنْ هِشَامِ بْنِ سَالِمٍ ، عَنْ أَبِي عُبَيْدَةَ الْحَذَّاءِ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إِنَّ الْمُؤْمِنَيْنِ إِذَا الْتَقَيَا فَتَصَافَحَا ، أَقْبَلَ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عَلَيْهِمَا بِوَجْهِهِ ، وَتَسَاقَطَتْ </w:t>
      </w:r>
      <w:r w:rsidR="006C577F" w:rsidRPr="006C577F">
        <w:rPr>
          <w:rStyle w:val="libFootnotenumChar"/>
          <w:rtl/>
        </w:rPr>
        <w:t>(7)</w:t>
      </w:r>
      <w:r w:rsidRPr="00C9040A">
        <w:rPr>
          <w:rtl/>
          <w:lang w:bidi="fa-IR"/>
        </w:rPr>
        <w:t xml:space="preserve"> عَنْهُمَا الذُّنُوبُ كَمَا يَتَسَاقَطُ </w:t>
      </w:r>
      <w:r w:rsidR="006C577F" w:rsidRPr="006C577F">
        <w:rPr>
          <w:rStyle w:val="libFootnotenumChar"/>
          <w:rtl/>
        </w:rPr>
        <w:t>(8)</w:t>
      </w:r>
      <w:r w:rsidRPr="00C9040A">
        <w:rPr>
          <w:rtl/>
          <w:lang w:bidi="fa-IR"/>
        </w:rPr>
        <w:t xml:space="preserve"> الْوَرَقُ مِنَ </w:t>
      </w:r>
      <w:r w:rsidR="006C577F" w:rsidRPr="006C577F">
        <w:rPr>
          <w:rStyle w:val="libFootnotenumChar"/>
          <w:rtl/>
        </w:rPr>
        <w:t>(9)</w:t>
      </w:r>
      <w:r w:rsidRPr="00C9040A">
        <w:rPr>
          <w:rtl/>
          <w:lang w:bidi="fa-IR"/>
        </w:rPr>
        <w:t xml:space="preserve"> الشَّجَرِ »</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Normal"/>
        <w:rPr>
          <w:rtl/>
          <w:lang w:bidi="fa-IR"/>
        </w:rPr>
      </w:pPr>
      <w:r w:rsidRPr="00FF6050">
        <w:rPr>
          <w:rtl/>
        </w:rPr>
        <w:t>2096</w:t>
      </w:r>
      <w:r w:rsidRPr="00261CB0">
        <w:rPr>
          <w:rStyle w:val="libBold2Char"/>
          <w:rtl/>
        </w:rPr>
        <w:t xml:space="preserve"> / 5</w:t>
      </w:r>
      <w:r w:rsidRPr="00C9040A">
        <w:rPr>
          <w:rtl/>
          <w:lang w:bidi="fa-IR"/>
        </w:rPr>
        <w:t xml:space="preserve"> عِدَّةٌ مِنْ أَصْحَابِنَا ، عَنْ سَهْلِ بْنِ زِيَادٍ ، عَنْ أَحْمَدَ بْنِ مُحَمَّدِ بْنِ أَبِي نَصْرٍ ، عَنْ صَفْوَانَ الْجَمَّالِ ، عَنْ أَبِي عُبَيْدَةَ الْحَذَّاءِ ، قَالَ :</w:t>
      </w:r>
    </w:p>
    <w:p w:rsidR="008A74EB" w:rsidRPr="00C9040A" w:rsidRDefault="008A74EB" w:rsidP="008A74EB">
      <w:pPr>
        <w:pStyle w:val="libNormal"/>
        <w:rPr>
          <w:rtl/>
          <w:lang w:bidi="fa-IR"/>
        </w:rPr>
      </w:pPr>
      <w:r w:rsidRPr="00C9040A">
        <w:rPr>
          <w:rtl/>
          <w:lang w:bidi="fa-IR"/>
        </w:rPr>
        <w:t xml:space="preserve">زَامَلْتُ أَبَا جَعْفَرٍ </w:t>
      </w:r>
      <w:r w:rsidRPr="0003660B">
        <w:rPr>
          <w:rStyle w:val="libAlaemChar"/>
          <w:rtl/>
        </w:rPr>
        <w:t>عليه‌السلام</w:t>
      </w:r>
      <w:r w:rsidRPr="00C9040A">
        <w:rPr>
          <w:rtl/>
          <w:lang w:bidi="fa-IR"/>
        </w:rPr>
        <w:t xml:space="preserve"> فِي شِقِّ مَحْمِلٍ مِنَ الْمَدِينَةِ إِلى مَكَّةَ ، فَنَزَلَ فِي بَعْضِ الطَّرِيقِ ، فَلَمَّا قَضى حَاجَتَهُ وَعَادَ ، قَالَ </w:t>
      </w:r>
      <w:r w:rsidR="006C577F" w:rsidRPr="006C577F">
        <w:rPr>
          <w:rStyle w:val="libFootnotenumChar"/>
          <w:rtl/>
        </w:rPr>
        <w:t>(11)</w:t>
      </w:r>
      <w:r w:rsidRPr="00C9040A">
        <w:rPr>
          <w:rtl/>
          <w:lang w:bidi="fa-IR"/>
        </w:rPr>
        <w:t xml:space="preserve"> : « هَاكِ </w:t>
      </w:r>
      <w:r w:rsidR="006C577F" w:rsidRPr="006C577F">
        <w:rPr>
          <w:rStyle w:val="libFootnotenumChar"/>
          <w:rtl/>
        </w:rPr>
        <w:t>(12)</w:t>
      </w:r>
      <w:r w:rsidRPr="00C9040A">
        <w:rPr>
          <w:rtl/>
          <w:lang w:bidi="fa-IR"/>
        </w:rPr>
        <w:t xml:space="preserve"> يَدَكَ يَا أَبَا عُبَيْدَةَ » فَنَاوَلْتُهُ يَدِي ، فَغَمَزَهَا </w:t>
      </w:r>
      <w:r w:rsidRPr="005B567D">
        <w:rPr>
          <w:rStyle w:val="libFootnotenumChar"/>
          <w:rtl/>
        </w:rPr>
        <w:t>(13)</w:t>
      </w:r>
      <w:r w:rsidRPr="00C9040A">
        <w:rPr>
          <w:rtl/>
          <w:lang w:bidi="fa-IR"/>
        </w:rPr>
        <w:t xml:space="preserve"> حَتّى وَجَدْتُ الْأَذى فِي أَصَابِعِي ، ثُمَّ قَالَ : « يَا أَبَا عُبَيْدَةَ </w:t>
      </w:r>
      <w:r w:rsidRPr="005B567D">
        <w:rPr>
          <w:rStyle w:val="libFootnotenumChar"/>
          <w:rtl/>
        </w:rPr>
        <w:t>(14)</w:t>
      </w:r>
      <w:r w:rsidRPr="00C9040A">
        <w:rPr>
          <w:rtl/>
          <w:lang w:bidi="fa-IR"/>
        </w:rPr>
        <w:t xml:space="preserve"> ، مَا مِنْ مُسْلِمٍ لَقِيَ أَخَاهُ‌</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ف » : « وتصافحا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مرآة العقول والبحار </w:t>
      </w:r>
      <w:r w:rsidR="008A74EB">
        <w:rPr>
          <w:rtl/>
        </w:rPr>
        <w:t xml:space="preserve">: </w:t>
      </w:r>
      <w:r w:rsidR="0084262C">
        <w:rPr>
          <w:rtl/>
        </w:rPr>
        <w:t>-</w:t>
      </w:r>
      <w:r w:rsidR="008A74EB" w:rsidRPr="00C9040A">
        <w:rPr>
          <w:rtl/>
        </w:rPr>
        <w:t xml:space="preserve"> « بوجهه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حاشية « بف » : « الذنوب عنهما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ب ، بس » : « تحاتّت »</w:t>
      </w:r>
      <w:r w:rsidR="008A74EB">
        <w:rPr>
          <w:rtl/>
        </w:rPr>
        <w:t>.</w:t>
      </w:r>
      <w:r w:rsidR="008A74EB" w:rsidRPr="00C9040A">
        <w:rPr>
          <w:rtl/>
        </w:rPr>
        <w:t xml:space="preserve"> وفي « ف ، بر ، بف » : « تتحاتّ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ز ، بر » وحاشية « بف » والوافي والبحار : « عن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الوافي</w:t>
      </w:r>
      <w:r w:rsidR="008A74EB" w:rsidRPr="00C9040A">
        <w:rPr>
          <w:rtl/>
        </w:rPr>
        <w:t xml:space="preserve"> ، ج 5 ، ص 608 ، ح 2684 ؛ </w:t>
      </w:r>
      <w:r w:rsidR="008A74EB" w:rsidRPr="00993B55">
        <w:rPr>
          <w:rStyle w:val="libFootnoteBoldChar"/>
          <w:rtl/>
        </w:rPr>
        <w:t>الوسائل</w:t>
      </w:r>
      <w:r w:rsidR="008A74EB" w:rsidRPr="00C9040A">
        <w:rPr>
          <w:rtl/>
        </w:rPr>
        <w:t xml:space="preserve"> ، ج 12 ، ص 219 ، ح 16133 ؛ </w:t>
      </w:r>
      <w:r w:rsidR="008A74EB" w:rsidRPr="00993B55">
        <w:rPr>
          <w:rStyle w:val="libFootnoteBoldChar"/>
          <w:rtl/>
        </w:rPr>
        <w:t>البحار</w:t>
      </w:r>
      <w:r w:rsidR="008A74EB" w:rsidRPr="00C9040A">
        <w:rPr>
          <w:rtl/>
        </w:rPr>
        <w:t xml:space="preserve"> ، ج 76 ، ص 24 ، ح 13.</w:t>
      </w:r>
    </w:p>
    <w:tbl>
      <w:tblPr>
        <w:tblStyle w:val="TableGrid"/>
        <w:bidiVisual/>
        <w:tblW w:w="0" w:type="auto"/>
        <w:tblLook w:val="04A0" w:firstRow="1" w:lastRow="0" w:firstColumn="1" w:lastColumn="0" w:noHBand="0" w:noVBand="1"/>
      </w:tblPr>
      <w:tblGrid>
        <w:gridCol w:w="4006"/>
        <w:gridCol w:w="4006"/>
      </w:tblGrid>
      <w:tr w:rsidR="00975874" w:rsidTr="00975874">
        <w:tc>
          <w:tcPr>
            <w:tcW w:w="4006" w:type="dxa"/>
          </w:tcPr>
          <w:p w:rsidR="00975874" w:rsidRDefault="00975874" w:rsidP="004A4E41">
            <w:pPr>
              <w:pStyle w:val="libFootnote0"/>
              <w:rPr>
                <w:rtl/>
              </w:rPr>
            </w:pPr>
            <w:r>
              <w:rPr>
                <w:rtl/>
              </w:rPr>
              <w:t>(7).</w:t>
            </w:r>
            <w:r w:rsidRPr="00C9040A">
              <w:rPr>
                <w:rtl/>
              </w:rPr>
              <w:t xml:space="preserve"> في « ص » : « وتساقط »</w:t>
            </w:r>
            <w:r>
              <w:rPr>
                <w:rtl/>
              </w:rPr>
              <w:t>.</w:t>
            </w:r>
          </w:p>
        </w:tc>
        <w:tc>
          <w:tcPr>
            <w:tcW w:w="4006" w:type="dxa"/>
          </w:tcPr>
          <w:p w:rsidR="00975874" w:rsidRDefault="00975874" w:rsidP="004A4E41">
            <w:pPr>
              <w:pStyle w:val="libFootnote0"/>
              <w:rPr>
                <w:rtl/>
              </w:rPr>
            </w:pPr>
            <w:r>
              <w:rPr>
                <w:rtl/>
              </w:rPr>
              <w:t>(8).</w:t>
            </w:r>
            <w:r w:rsidRPr="00C9040A">
              <w:rPr>
                <w:rtl/>
              </w:rPr>
              <w:t xml:space="preserve"> في « بف » والبحار : « تتساقط »</w:t>
            </w:r>
            <w:r>
              <w:rPr>
                <w:rtl/>
              </w:rPr>
              <w:t>.</w:t>
            </w:r>
          </w:p>
        </w:tc>
      </w:tr>
    </w:tbl>
    <w:p w:rsidR="008A74EB" w:rsidRPr="00C9040A" w:rsidRDefault="006C577F" w:rsidP="004A4E41">
      <w:pPr>
        <w:pStyle w:val="libFootnote0"/>
        <w:rPr>
          <w:rtl/>
          <w:lang w:bidi="fa-IR"/>
        </w:rPr>
      </w:pPr>
      <w:r>
        <w:rPr>
          <w:rtl/>
        </w:rPr>
        <w:t>(9).</w:t>
      </w:r>
      <w:r w:rsidR="008A74EB" w:rsidRPr="00C9040A">
        <w:rPr>
          <w:rtl/>
        </w:rPr>
        <w:t xml:space="preserve"> في « ز ، بر » وحاشية « بف » والبحار : « عن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w:t>
      </w:r>
      <w:r w:rsidR="008A74EB" w:rsidRPr="00993B55">
        <w:rPr>
          <w:rStyle w:val="libFootnoteBoldChar"/>
          <w:rtl/>
        </w:rPr>
        <w:t>الوافي</w:t>
      </w:r>
      <w:r w:rsidR="008A74EB" w:rsidRPr="00C9040A">
        <w:rPr>
          <w:rtl/>
        </w:rPr>
        <w:t xml:space="preserve"> ، ج 5 ، ص 608 ، ح 2685 ؛ </w:t>
      </w:r>
      <w:r w:rsidR="008A74EB" w:rsidRPr="00993B55">
        <w:rPr>
          <w:rStyle w:val="libFootnoteBoldChar"/>
          <w:rtl/>
        </w:rPr>
        <w:t>الوسائل</w:t>
      </w:r>
      <w:r w:rsidR="008A74EB" w:rsidRPr="00C9040A">
        <w:rPr>
          <w:rtl/>
        </w:rPr>
        <w:t xml:space="preserve"> ، ج 12 ، ص 218 ، ح 16128 ؛ </w:t>
      </w:r>
      <w:r w:rsidR="008A74EB" w:rsidRPr="00993B55">
        <w:rPr>
          <w:rStyle w:val="libFootnoteBoldChar"/>
          <w:rtl/>
        </w:rPr>
        <w:t>البحار</w:t>
      </w:r>
      <w:r w:rsidR="008A74EB" w:rsidRPr="00C9040A">
        <w:rPr>
          <w:rtl/>
        </w:rPr>
        <w:t xml:space="preserve"> ، ج 76 ، ص 25 ، ح 14.</w:t>
      </w:r>
    </w:p>
    <w:tbl>
      <w:tblPr>
        <w:tblStyle w:val="TableGrid"/>
        <w:bidiVisual/>
        <w:tblW w:w="0" w:type="auto"/>
        <w:tblLook w:val="04A0" w:firstRow="1" w:lastRow="0" w:firstColumn="1" w:lastColumn="0" w:noHBand="0" w:noVBand="1"/>
      </w:tblPr>
      <w:tblGrid>
        <w:gridCol w:w="4006"/>
        <w:gridCol w:w="4006"/>
      </w:tblGrid>
      <w:tr w:rsidR="00975874" w:rsidTr="00975874">
        <w:tc>
          <w:tcPr>
            <w:tcW w:w="4006" w:type="dxa"/>
          </w:tcPr>
          <w:p w:rsidR="00975874" w:rsidRDefault="00975874" w:rsidP="004A4E41">
            <w:pPr>
              <w:pStyle w:val="libFootnote0"/>
              <w:rPr>
                <w:rtl/>
              </w:rPr>
            </w:pPr>
            <w:r>
              <w:rPr>
                <w:rtl/>
              </w:rPr>
              <w:t>(11). في البحار : «عاد وقال</w:t>
            </w:r>
            <w:r w:rsidRPr="00C9040A">
              <w:rPr>
                <w:rtl/>
              </w:rPr>
              <w:t>» بدل « وعاد ، قال »</w:t>
            </w:r>
            <w:r>
              <w:rPr>
                <w:rtl/>
              </w:rPr>
              <w:t>.</w:t>
            </w:r>
          </w:p>
        </w:tc>
        <w:tc>
          <w:tcPr>
            <w:tcW w:w="4006" w:type="dxa"/>
          </w:tcPr>
          <w:p w:rsidR="00975874" w:rsidRDefault="00975874" w:rsidP="00975874">
            <w:pPr>
              <w:pStyle w:val="libFootnote0"/>
              <w:rPr>
                <w:rtl/>
              </w:rPr>
            </w:pPr>
            <w:r>
              <w:rPr>
                <w:rtl/>
              </w:rPr>
              <w:t>(12). في «ب،ج،د،ز،ص ،ف ،بر» والوافي: «هات</w:t>
            </w:r>
            <w:r w:rsidRPr="00C9040A">
              <w:rPr>
                <w:rtl/>
              </w:rPr>
              <w:t>»</w:t>
            </w:r>
            <w:r>
              <w:rPr>
                <w:rtl/>
              </w:rPr>
              <w:t>.</w:t>
            </w:r>
          </w:p>
        </w:tc>
      </w:tr>
    </w:tbl>
    <w:p w:rsidR="008A74EB" w:rsidRPr="00C9040A" w:rsidRDefault="008A74EB" w:rsidP="004A4E41">
      <w:pPr>
        <w:pStyle w:val="libFootnote0"/>
        <w:rPr>
          <w:rtl/>
          <w:lang w:bidi="fa-IR"/>
        </w:rPr>
      </w:pPr>
      <w:r>
        <w:rPr>
          <w:rtl/>
        </w:rPr>
        <w:t>(13)</w:t>
      </w:r>
      <w:r w:rsidR="00975874">
        <w:rPr>
          <w:rFonts w:hint="cs"/>
          <w:rtl/>
        </w:rPr>
        <w:t>.</w:t>
      </w:r>
      <w:r w:rsidRPr="00C9040A">
        <w:rPr>
          <w:rtl/>
        </w:rPr>
        <w:t xml:space="preserve"> في « بر » : « فغمّزها » بالتشديد. </w:t>
      </w:r>
      <w:r>
        <w:rPr>
          <w:rtl/>
        </w:rPr>
        <w:t>و «</w:t>
      </w:r>
      <w:r w:rsidRPr="00C9040A">
        <w:rPr>
          <w:rtl/>
        </w:rPr>
        <w:t xml:space="preserve"> الغمز » : العَصْر باليد. </w:t>
      </w:r>
      <w:r w:rsidRPr="00993B55">
        <w:rPr>
          <w:rStyle w:val="libFootnoteBoldChar"/>
          <w:rtl/>
        </w:rPr>
        <w:t>ترتيب كتاب العين</w:t>
      </w:r>
      <w:r w:rsidR="00975874">
        <w:rPr>
          <w:rtl/>
        </w:rPr>
        <w:t xml:space="preserve"> ، ج 2 ، ص 1354 (</w:t>
      </w:r>
      <w:r w:rsidRPr="00C9040A">
        <w:rPr>
          <w:rtl/>
        </w:rPr>
        <w:t>غمز )</w:t>
      </w:r>
      <w:r>
        <w:rPr>
          <w:rtl/>
        </w:rPr>
        <w:t>.</w:t>
      </w:r>
    </w:p>
    <w:p w:rsidR="008A74EB" w:rsidRPr="00C9040A" w:rsidRDefault="008A74EB" w:rsidP="004A4E41">
      <w:pPr>
        <w:pStyle w:val="libFootnote0"/>
        <w:rPr>
          <w:rtl/>
          <w:lang w:bidi="fa-IR"/>
        </w:rPr>
      </w:pPr>
      <w:r>
        <w:rPr>
          <w:rtl/>
        </w:rPr>
        <w:t>(14)</w:t>
      </w:r>
      <w:r w:rsidR="00975874">
        <w:rPr>
          <w:rFonts w:hint="cs"/>
          <w:rtl/>
        </w:rPr>
        <w:t>.</w:t>
      </w:r>
      <w:r w:rsidRPr="00C9040A">
        <w:rPr>
          <w:rtl/>
        </w:rPr>
        <w:t xml:space="preserve"> في الوسائل </w:t>
      </w:r>
      <w:r>
        <w:rPr>
          <w:rtl/>
        </w:rPr>
        <w:t xml:space="preserve">: </w:t>
      </w:r>
      <w:r w:rsidR="0084262C">
        <w:rPr>
          <w:rtl/>
        </w:rPr>
        <w:t>-</w:t>
      </w:r>
      <w:r w:rsidRPr="00C9040A">
        <w:rPr>
          <w:rtl/>
        </w:rPr>
        <w:t xml:space="preserve"> « يا أبا عبيدة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الْمُسْلِمَ ، فَصَافَحَهُ ، وَشَبَّكَ أَصَابِعَهُ فِي أَصَابِعِهِ </w:t>
      </w:r>
      <w:r w:rsidR="006C577F" w:rsidRPr="006C577F">
        <w:rPr>
          <w:rStyle w:val="libFootnotenumChar"/>
          <w:rtl/>
        </w:rPr>
        <w:t>(1)</w:t>
      </w:r>
      <w:r w:rsidR="00975874">
        <w:rPr>
          <w:rtl/>
          <w:lang w:bidi="fa-IR"/>
        </w:rPr>
        <w:t xml:space="preserve"> إِل</w:t>
      </w:r>
      <w:r w:rsidR="00975874">
        <w:rPr>
          <w:rFonts w:hint="cs"/>
          <w:rtl/>
          <w:lang w:bidi="fa-IR"/>
        </w:rPr>
        <w:t>َّ</w:t>
      </w:r>
      <w:r w:rsidR="00975874">
        <w:rPr>
          <w:rtl/>
          <w:lang w:bidi="fa-IR"/>
        </w:rPr>
        <w:t>ا</w:t>
      </w:r>
      <w:r w:rsidRPr="00C9040A">
        <w:rPr>
          <w:rtl/>
          <w:lang w:bidi="fa-IR"/>
        </w:rPr>
        <w:t xml:space="preserve"> تَنَاثَرَتْ عَنْهُمَا ذُنُوبُهُمَا كَمَا يَتَنَاثَرُ </w:t>
      </w:r>
      <w:r w:rsidR="006C577F" w:rsidRPr="006C577F">
        <w:rPr>
          <w:rStyle w:val="libFootnotenumChar"/>
          <w:rtl/>
        </w:rPr>
        <w:t>(2)</w:t>
      </w:r>
      <w:r w:rsidRPr="00C9040A">
        <w:rPr>
          <w:rtl/>
          <w:lang w:bidi="fa-IR"/>
        </w:rPr>
        <w:t xml:space="preserve"> الْوَرَقُ مِنَ </w:t>
      </w:r>
      <w:r w:rsidR="006C577F" w:rsidRPr="006C577F">
        <w:rPr>
          <w:rStyle w:val="libFootnotenumChar"/>
          <w:rtl/>
        </w:rPr>
        <w:t>(3)</w:t>
      </w:r>
      <w:r w:rsidRPr="00C9040A">
        <w:rPr>
          <w:rtl/>
          <w:lang w:bidi="fa-IR"/>
        </w:rPr>
        <w:t xml:space="preserve"> الشَّجَرِ فِي الْيَوْمِ الشَّاتِي </w:t>
      </w:r>
      <w:r w:rsidR="006C577F" w:rsidRPr="006C577F">
        <w:rPr>
          <w:rStyle w:val="libFootnotenumChar"/>
          <w:rtl/>
        </w:rPr>
        <w:t>(4)</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9A0D3B">
        <w:rPr>
          <w:rtl/>
        </w:rPr>
        <w:t>2097</w:t>
      </w:r>
      <w:r w:rsidRPr="00261CB0">
        <w:rPr>
          <w:rStyle w:val="libBold2Char"/>
          <w:rtl/>
        </w:rPr>
        <w:t xml:space="preserve"> / 6</w:t>
      </w:r>
      <w:r w:rsidRPr="00C9040A">
        <w:rPr>
          <w:rtl/>
          <w:lang w:bidi="fa-IR"/>
        </w:rPr>
        <w:t xml:space="preserve"> عَلِيُّ بْنُ إِبْرَاهِيمَ ، عَنْ مُحَمَّدِ بْنِ عِيسى ، عَنْ يُونُسَ ، عَنْ يَحْيَى الْحَلَبِيِّ ، عَنْ مَالِكٍ الْجُهَنِيِّ ، قَالَ :</w:t>
      </w:r>
    </w:p>
    <w:p w:rsidR="008A74EB" w:rsidRPr="00C9040A" w:rsidRDefault="008A74EB" w:rsidP="008A74EB">
      <w:pPr>
        <w:pStyle w:val="libNormal"/>
        <w:rPr>
          <w:rtl/>
          <w:lang w:bidi="fa-IR"/>
        </w:rPr>
      </w:pPr>
      <w:r w:rsidRPr="00C9040A">
        <w:rPr>
          <w:rtl/>
          <w:lang w:bidi="fa-IR"/>
        </w:rPr>
        <w:t xml:space="preserve">قَالَ أَبُو جَعْفَرٍ </w:t>
      </w:r>
      <w:r w:rsidRPr="0003660B">
        <w:rPr>
          <w:rStyle w:val="libAlaemChar"/>
          <w:rtl/>
        </w:rPr>
        <w:t>عليه‌السلام</w:t>
      </w:r>
      <w:r w:rsidRPr="00C9040A">
        <w:rPr>
          <w:rtl/>
          <w:lang w:bidi="fa-IR"/>
        </w:rPr>
        <w:t xml:space="preserve"> : « يَا مَالِكُ ، أَنْتُمْ شِيعَتُنَا</w:t>
      </w:r>
      <w:r>
        <w:rPr>
          <w:rtl/>
          <w:lang w:bidi="fa-IR"/>
        </w:rPr>
        <w:t>؟! أَ</w:t>
      </w:r>
      <w:r w:rsidRPr="00C9040A">
        <w:rPr>
          <w:rtl/>
          <w:lang w:bidi="fa-IR"/>
        </w:rPr>
        <w:t xml:space="preserve">لَاتَرى </w:t>
      </w:r>
      <w:r w:rsidR="006C577F" w:rsidRPr="006C577F">
        <w:rPr>
          <w:rStyle w:val="libFootnotenumChar"/>
          <w:rtl/>
        </w:rPr>
        <w:t>(6)</w:t>
      </w:r>
      <w:r w:rsidRPr="005B567D">
        <w:rPr>
          <w:rStyle w:val="libFootnotenumChar"/>
          <w:rtl/>
        </w:rPr>
        <w:t xml:space="preserve"> </w:t>
      </w:r>
      <w:r w:rsidRPr="00C9040A">
        <w:rPr>
          <w:rtl/>
          <w:lang w:bidi="fa-IR"/>
        </w:rPr>
        <w:t xml:space="preserve">أَنَّكَ تُفْرِطُ </w:t>
      </w:r>
      <w:r w:rsidR="006C577F" w:rsidRPr="006C577F">
        <w:rPr>
          <w:rStyle w:val="libFootnotenumChar"/>
          <w:rtl/>
        </w:rPr>
        <w:t>(7)</w:t>
      </w:r>
      <w:r w:rsidRPr="00C9040A">
        <w:rPr>
          <w:rtl/>
          <w:lang w:bidi="fa-IR"/>
        </w:rPr>
        <w:t xml:space="preserve"> فِي أَمْرِنَا ، إِنَّهُ لَا يُقْدَرُ </w:t>
      </w:r>
      <w:r w:rsidR="006C577F" w:rsidRPr="006C577F">
        <w:rPr>
          <w:rStyle w:val="libFootnotenumChar"/>
          <w:rtl/>
        </w:rPr>
        <w:t>(8)</w:t>
      </w:r>
      <w:r w:rsidRPr="00C9040A">
        <w:rPr>
          <w:rtl/>
          <w:lang w:bidi="fa-IR"/>
        </w:rPr>
        <w:t xml:space="preserve"> عَلى صِفَةِ اللهِ ، فَكَمَا لَايُقْدَرُ </w:t>
      </w:r>
      <w:r w:rsidR="006C577F" w:rsidRPr="006C577F">
        <w:rPr>
          <w:rStyle w:val="libFootnotenumChar"/>
          <w:rtl/>
        </w:rPr>
        <w:t>(9)</w:t>
      </w:r>
      <w:r w:rsidRPr="00C9040A">
        <w:rPr>
          <w:rtl/>
          <w:lang w:bidi="fa-IR"/>
        </w:rPr>
        <w:t xml:space="preserve"> عَلى صِفَةِ اللهِ ، كَذلِكَ </w:t>
      </w:r>
      <w:r w:rsidR="006C577F" w:rsidRPr="006C577F">
        <w:rPr>
          <w:rStyle w:val="libFootnotenumChar"/>
          <w:rtl/>
        </w:rPr>
        <w:t>(10)</w:t>
      </w:r>
      <w:r w:rsidRPr="00C9040A">
        <w:rPr>
          <w:rtl/>
          <w:lang w:bidi="fa-IR"/>
        </w:rPr>
        <w:t xml:space="preserve"> لَايُقْدَرُ </w:t>
      </w:r>
      <w:r w:rsidR="006C577F" w:rsidRPr="006C577F">
        <w:rPr>
          <w:rStyle w:val="libFootnotenumChar"/>
          <w:rtl/>
        </w:rPr>
        <w:t>(11)</w:t>
      </w:r>
      <w:r w:rsidRPr="00C9040A">
        <w:rPr>
          <w:rtl/>
          <w:lang w:bidi="fa-IR"/>
        </w:rPr>
        <w:t xml:space="preserve"> عَلى صِفَتِنَا ؛ وَكَمَا لَايُقْدَرُ </w:t>
      </w:r>
      <w:r w:rsidR="006C577F" w:rsidRPr="006C577F">
        <w:rPr>
          <w:rStyle w:val="libFootnotenumChar"/>
          <w:rtl/>
        </w:rPr>
        <w:t>(12)</w:t>
      </w:r>
      <w:r w:rsidRPr="00C9040A">
        <w:rPr>
          <w:rtl/>
          <w:lang w:bidi="fa-IR"/>
        </w:rPr>
        <w:t xml:space="preserve"> عَلى صِفَتِنَا ، كَذلِكَ لَايُقْدَرُ </w:t>
      </w:r>
      <w:r w:rsidRPr="005B567D">
        <w:rPr>
          <w:rStyle w:val="libFootnotenumChar"/>
          <w:rtl/>
        </w:rPr>
        <w:t>(13)</w:t>
      </w:r>
      <w:r w:rsidRPr="00C9040A">
        <w:rPr>
          <w:rtl/>
          <w:lang w:bidi="fa-IR"/>
        </w:rPr>
        <w:t xml:space="preserve"> عَلى صِفَةِ الْمُؤْمِنِ ؛ إِنَّ الْمُؤْمِنَ لَيَلْقَى الْمُؤْمِنَ فَيُصَافِحُهُ ، فَلَا يَزَالُ اللهُ يَنْظُرُ إِلَيْهِمَا وَالذُّنُوبُ تَتَحَاتُّ عَنْ وُجُوهِهِمَا كَمَا يَتَحَاتُّ </w:t>
      </w:r>
      <w:r w:rsidRPr="005B567D">
        <w:rPr>
          <w:rStyle w:val="libFootnotenumChar"/>
          <w:rtl/>
        </w:rPr>
        <w:t>(14)</w:t>
      </w:r>
      <w:r w:rsidRPr="00C9040A">
        <w:rPr>
          <w:rtl/>
          <w:lang w:bidi="fa-IR"/>
        </w:rPr>
        <w:t xml:space="preserve"> الْوَرَقُ مِنَ </w:t>
      </w:r>
      <w:r w:rsidRPr="005B567D">
        <w:rPr>
          <w:rStyle w:val="libFootnotenumChar"/>
          <w:rtl/>
        </w:rPr>
        <w:t>(15)</w:t>
      </w:r>
      <w:r w:rsidRPr="00C9040A">
        <w:rPr>
          <w:rtl/>
          <w:lang w:bidi="fa-IR"/>
        </w:rPr>
        <w:t xml:space="preserve"> الشَّجَرِ حَتّى يَفْتَرِقَا ، فَكَيْفَ يُقْدَرُ </w:t>
      </w:r>
      <w:r w:rsidRPr="005B567D">
        <w:rPr>
          <w:rStyle w:val="libFootnotenumChar"/>
          <w:rtl/>
        </w:rPr>
        <w:t>(16)</w:t>
      </w:r>
      <w:r w:rsidRPr="00C9040A">
        <w:rPr>
          <w:rtl/>
          <w:lang w:bidi="fa-IR"/>
        </w:rPr>
        <w:t xml:space="preserve"> عَلى صِفَةِ مَنْ هُوَ كَذلِكَ »</w:t>
      </w:r>
      <w:r>
        <w:rPr>
          <w:rtl/>
          <w:lang w:bidi="fa-IR"/>
        </w:rPr>
        <w:t>.</w:t>
      </w:r>
      <w:r w:rsidRPr="00C9040A">
        <w:rPr>
          <w:rtl/>
          <w:lang w:bidi="fa-IR"/>
        </w:rPr>
        <w:t xml:space="preserve"> </w:t>
      </w:r>
      <w:r w:rsidRPr="005B567D">
        <w:rPr>
          <w:rStyle w:val="libFootnotenumChar"/>
          <w:rtl/>
        </w:rPr>
        <w:t>(17)</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975874">
      <w:pPr>
        <w:pStyle w:val="libFootnote0"/>
        <w:rPr>
          <w:rtl/>
          <w:lang w:bidi="fa-IR"/>
        </w:rPr>
      </w:pPr>
      <w:r>
        <w:rPr>
          <w:rtl/>
        </w:rPr>
        <w:t>(1).</w:t>
      </w:r>
      <w:r w:rsidR="008A74EB">
        <w:rPr>
          <w:rtl/>
        </w:rPr>
        <w:t xml:space="preserve"> </w:t>
      </w:r>
      <w:r w:rsidR="008A74EB" w:rsidRPr="00C9040A">
        <w:rPr>
          <w:rtl/>
        </w:rPr>
        <w:t xml:space="preserve">في </w:t>
      </w:r>
      <w:r w:rsidR="008A74EB" w:rsidRPr="00993B55">
        <w:rPr>
          <w:rStyle w:val="libFootnoteBoldChar"/>
          <w:rtl/>
        </w:rPr>
        <w:t>المرآة</w:t>
      </w:r>
      <w:r w:rsidR="008A74EB" w:rsidRPr="00C9040A">
        <w:rPr>
          <w:rtl/>
        </w:rPr>
        <w:t xml:space="preserve"> : « كأنّ المراد بالتشبيك هنا أخذ أصابعه بأصابعه ، فإنّهما تشبهان الشبكة ، لا إدخال الأصابع في</w:t>
      </w:r>
      <w:r w:rsidR="00975874">
        <w:rPr>
          <w:rFonts w:hint="cs"/>
          <w:rtl/>
        </w:rPr>
        <w:t xml:space="preserve"> </w:t>
      </w:r>
      <w:r w:rsidR="008A74EB" w:rsidRPr="00C9040A">
        <w:rPr>
          <w:rtl/>
        </w:rPr>
        <w:t>‌الأصابع كما زعم »</w:t>
      </w:r>
      <w:r w:rsidR="008A74EB">
        <w:rPr>
          <w:rtl/>
        </w:rPr>
        <w:t>.</w:t>
      </w:r>
      <w:r w:rsidR="00975874">
        <w:rPr>
          <w:rFonts w:hint="cs"/>
          <w:rtl/>
        </w:rPr>
        <w:t xml:space="preserve">                                </w:t>
      </w:r>
      <w:r>
        <w:rPr>
          <w:rtl/>
        </w:rPr>
        <w:t>(2).</w:t>
      </w:r>
      <w:r w:rsidR="008A74EB">
        <w:rPr>
          <w:rtl/>
        </w:rPr>
        <w:t xml:space="preserve"> </w:t>
      </w:r>
      <w:r w:rsidR="008A74EB" w:rsidRPr="00C9040A">
        <w:rPr>
          <w:rtl/>
        </w:rPr>
        <w:t>في « ص ، بف » : « تتناثر »</w:t>
      </w:r>
      <w:r w:rsidR="008A74EB">
        <w:rPr>
          <w:rtl/>
        </w:rPr>
        <w:t>.</w:t>
      </w:r>
      <w:r w:rsidR="008A74EB" w:rsidRPr="00C9040A">
        <w:rPr>
          <w:rtl/>
        </w:rPr>
        <w:t xml:space="preserve"> وفي « بر » : « تناثر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الوسائل : « عن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 الشاتي » ، أي شديد البرد. راجع : </w:t>
      </w:r>
      <w:r w:rsidR="008A74EB" w:rsidRPr="00993B55">
        <w:rPr>
          <w:rStyle w:val="libFootnoteBoldChar"/>
          <w:rtl/>
        </w:rPr>
        <w:t>المصباح المنير</w:t>
      </w:r>
      <w:r w:rsidR="008A74EB" w:rsidRPr="00C9040A">
        <w:rPr>
          <w:rtl/>
        </w:rPr>
        <w:t xml:space="preserve"> ، ص 305 ( شتو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الوافي</w:t>
      </w:r>
      <w:r w:rsidR="008A74EB" w:rsidRPr="00C9040A">
        <w:rPr>
          <w:rtl/>
        </w:rPr>
        <w:t xml:space="preserve"> ، ج 5 ، ص 608 ، ح 2687 ؛ </w:t>
      </w:r>
      <w:r w:rsidR="008A74EB" w:rsidRPr="00993B55">
        <w:rPr>
          <w:rStyle w:val="libFootnoteBoldChar"/>
          <w:rtl/>
        </w:rPr>
        <w:t>الوسائل</w:t>
      </w:r>
      <w:r w:rsidR="008A74EB" w:rsidRPr="00C9040A">
        <w:rPr>
          <w:rtl/>
        </w:rPr>
        <w:t xml:space="preserve"> ، ج 12 ، ص 224 ، ح 16147 ؛ </w:t>
      </w:r>
      <w:r w:rsidR="008A74EB" w:rsidRPr="00993B55">
        <w:rPr>
          <w:rStyle w:val="libFootnoteBoldChar"/>
          <w:rtl/>
        </w:rPr>
        <w:t>البحار</w:t>
      </w:r>
      <w:r w:rsidR="008A74EB" w:rsidRPr="00C9040A">
        <w:rPr>
          <w:rtl/>
        </w:rPr>
        <w:t xml:space="preserve"> ، ج 76 ، ص 25 ، ح 15.</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ب ، ص ، بس » ومرآة العقول : « لاترى » بدون الهمزة.</w:t>
      </w:r>
    </w:p>
    <w:p w:rsidR="008A74EB" w:rsidRPr="00C9040A" w:rsidRDefault="006C577F" w:rsidP="004A4E41">
      <w:pPr>
        <w:pStyle w:val="libFootnote0"/>
        <w:rPr>
          <w:rtl/>
          <w:lang w:bidi="fa-IR"/>
        </w:rPr>
      </w:pPr>
      <w:r>
        <w:rPr>
          <w:rtl/>
        </w:rPr>
        <w:t>(7).</w:t>
      </w:r>
      <w:r w:rsidR="008A74EB" w:rsidRPr="00C9040A">
        <w:rPr>
          <w:rtl/>
        </w:rPr>
        <w:t xml:space="preserve"> لكلّ من الإفعال والتفعيل وجه. راجع : </w:t>
      </w:r>
      <w:r w:rsidR="008A74EB" w:rsidRPr="00993B55">
        <w:rPr>
          <w:rStyle w:val="libFootnoteBoldChar"/>
          <w:rtl/>
        </w:rPr>
        <w:t>الوافي</w:t>
      </w:r>
      <w:r w:rsidR="008A74EB" w:rsidRPr="00C9040A">
        <w:rPr>
          <w:rtl/>
        </w:rPr>
        <w:t xml:space="preserve"> ، ج 5 ، ص 613 ؛ </w:t>
      </w:r>
      <w:r w:rsidR="008A74EB" w:rsidRPr="00993B55">
        <w:rPr>
          <w:rStyle w:val="libFootnoteBoldChar"/>
          <w:rtl/>
        </w:rPr>
        <w:t>مرآة العقول</w:t>
      </w:r>
      <w:r w:rsidR="008A74EB" w:rsidRPr="00C9040A">
        <w:rPr>
          <w:rtl/>
        </w:rPr>
        <w:t xml:space="preserve"> ، ج 9 ، ص 65.</w:t>
      </w:r>
    </w:p>
    <w:tbl>
      <w:tblPr>
        <w:tblStyle w:val="TableGrid"/>
        <w:bidiVisual/>
        <w:tblW w:w="0" w:type="auto"/>
        <w:tblLook w:val="04A0" w:firstRow="1" w:lastRow="0" w:firstColumn="1" w:lastColumn="0" w:noHBand="0" w:noVBand="1"/>
      </w:tblPr>
      <w:tblGrid>
        <w:gridCol w:w="4006"/>
        <w:gridCol w:w="4006"/>
      </w:tblGrid>
      <w:tr w:rsidR="00975874" w:rsidTr="00975874">
        <w:tc>
          <w:tcPr>
            <w:tcW w:w="4006" w:type="dxa"/>
          </w:tcPr>
          <w:p w:rsidR="00975874" w:rsidRDefault="00975874" w:rsidP="004A4E41">
            <w:pPr>
              <w:pStyle w:val="libFootnote0"/>
              <w:rPr>
                <w:rtl/>
              </w:rPr>
            </w:pPr>
            <w:r>
              <w:rPr>
                <w:rtl/>
              </w:rPr>
              <w:t>(8).</w:t>
            </w:r>
            <w:r w:rsidRPr="00C9040A">
              <w:rPr>
                <w:rtl/>
              </w:rPr>
              <w:t xml:space="preserve"> في « بر » : « لا تقدر »</w:t>
            </w:r>
            <w:r>
              <w:rPr>
                <w:rtl/>
              </w:rPr>
              <w:t>.</w:t>
            </w:r>
          </w:p>
        </w:tc>
        <w:tc>
          <w:tcPr>
            <w:tcW w:w="4006" w:type="dxa"/>
          </w:tcPr>
          <w:p w:rsidR="00975874" w:rsidRDefault="00975874" w:rsidP="004A4E41">
            <w:pPr>
              <w:pStyle w:val="libFootnote0"/>
              <w:rPr>
                <w:rtl/>
              </w:rPr>
            </w:pPr>
            <w:r>
              <w:rPr>
                <w:rtl/>
              </w:rPr>
              <w:t>(9).</w:t>
            </w:r>
            <w:r w:rsidRPr="00C9040A">
              <w:rPr>
                <w:rtl/>
              </w:rPr>
              <w:t xml:space="preserve"> في « بر » : « لا تقدر »</w:t>
            </w:r>
            <w:r>
              <w:rPr>
                <w:rtl/>
              </w:rPr>
              <w:t>.</w:t>
            </w:r>
          </w:p>
        </w:tc>
      </w:tr>
      <w:tr w:rsidR="00975874" w:rsidTr="00975874">
        <w:tc>
          <w:tcPr>
            <w:tcW w:w="4006" w:type="dxa"/>
          </w:tcPr>
          <w:p w:rsidR="00975874" w:rsidRDefault="00975874" w:rsidP="004A4E41">
            <w:pPr>
              <w:pStyle w:val="libFootnote0"/>
              <w:rPr>
                <w:rtl/>
              </w:rPr>
            </w:pPr>
            <w:r>
              <w:rPr>
                <w:rtl/>
              </w:rPr>
              <w:t>(10).</w:t>
            </w:r>
            <w:r w:rsidRPr="00C9040A">
              <w:rPr>
                <w:rtl/>
              </w:rPr>
              <w:t xml:space="preserve"> في الوافي : « فكذلك »</w:t>
            </w:r>
            <w:r>
              <w:rPr>
                <w:rtl/>
              </w:rPr>
              <w:t>.</w:t>
            </w:r>
          </w:p>
        </w:tc>
        <w:tc>
          <w:tcPr>
            <w:tcW w:w="4006" w:type="dxa"/>
          </w:tcPr>
          <w:p w:rsidR="00975874" w:rsidRDefault="00975874" w:rsidP="004A4E41">
            <w:pPr>
              <w:pStyle w:val="libFootnote0"/>
              <w:rPr>
                <w:rtl/>
              </w:rPr>
            </w:pPr>
            <w:r>
              <w:rPr>
                <w:rtl/>
              </w:rPr>
              <w:t>(11).</w:t>
            </w:r>
            <w:r w:rsidRPr="00C9040A">
              <w:rPr>
                <w:rtl/>
              </w:rPr>
              <w:t xml:space="preserve"> في « بر » : « لا تقدر »</w:t>
            </w:r>
            <w:r>
              <w:rPr>
                <w:rtl/>
              </w:rPr>
              <w:t>.</w:t>
            </w:r>
          </w:p>
        </w:tc>
      </w:tr>
      <w:tr w:rsidR="00975874" w:rsidTr="00975874">
        <w:tc>
          <w:tcPr>
            <w:tcW w:w="4006" w:type="dxa"/>
          </w:tcPr>
          <w:p w:rsidR="00975874" w:rsidRDefault="00975874" w:rsidP="004A4E41">
            <w:pPr>
              <w:pStyle w:val="libFootnote0"/>
              <w:rPr>
                <w:rtl/>
              </w:rPr>
            </w:pPr>
            <w:r>
              <w:rPr>
                <w:rtl/>
              </w:rPr>
              <w:t>(12).</w:t>
            </w:r>
            <w:r w:rsidRPr="00C9040A">
              <w:rPr>
                <w:rtl/>
              </w:rPr>
              <w:t xml:space="preserve"> في « ف ، بر » : « لا تقدر »</w:t>
            </w:r>
            <w:r>
              <w:rPr>
                <w:rtl/>
              </w:rPr>
              <w:t>.</w:t>
            </w:r>
          </w:p>
        </w:tc>
        <w:tc>
          <w:tcPr>
            <w:tcW w:w="4006" w:type="dxa"/>
          </w:tcPr>
          <w:p w:rsidR="00975874" w:rsidRDefault="00975874" w:rsidP="004A4E41">
            <w:pPr>
              <w:pStyle w:val="libFootnote0"/>
              <w:rPr>
                <w:rtl/>
              </w:rPr>
            </w:pPr>
            <w:r>
              <w:rPr>
                <w:rtl/>
              </w:rPr>
              <w:t>(13)</w:t>
            </w:r>
            <w:r w:rsidRPr="00C9040A">
              <w:rPr>
                <w:rtl/>
              </w:rPr>
              <w:t xml:space="preserve"> في « ف ، بر » : « لا تقدر »</w:t>
            </w:r>
            <w:r>
              <w:rPr>
                <w:rtl/>
              </w:rPr>
              <w:t>.</w:t>
            </w:r>
          </w:p>
        </w:tc>
      </w:tr>
    </w:tbl>
    <w:p w:rsidR="008A74EB" w:rsidRPr="00C9040A" w:rsidRDefault="008A74EB" w:rsidP="004A4E41">
      <w:pPr>
        <w:pStyle w:val="libFootnote0"/>
        <w:rPr>
          <w:rtl/>
          <w:lang w:bidi="fa-IR"/>
        </w:rPr>
      </w:pPr>
      <w:r>
        <w:rPr>
          <w:rtl/>
        </w:rPr>
        <w:t>(14)</w:t>
      </w:r>
      <w:r w:rsidRPr="00C9040A">
        <w:rPr>
          <w:rtl/>
        </w:rPr>
        <w:t xml:space="preserve"> في « بر ، بس ، بف » : « تتحاتّ »</w:t>
      </w:r>
      <w:r>
        <w:rPr>
          <w:rtl/>
        </w:rPr>
        <w:t>.</w:t>
      </w:r>
    </w:p>
    <w:p w:rsidR="008A74EB" w:rsidRPr="00C9040A" w:rsidRDefault="008A74EB" w:rsidP="004A4E41">
      <w:pPr>
        <w:pStyle w:val="libFootnote0"/>
        <w:rPr>
          <w:rtl/>
          <w:lang w:bidi="fa-IR"/>
        </w:rPr>
      </w:pPr>
      <w:r>
        <w:rPr>
          <w:rtl/>
        </w:rPr>
        <w:t>(15)</w:t>
      </w:r>
      <w:r w:rsidRPr="00C9040A">
        <w:rPr>
          <w:rtl/>
        </w:rPr>
        <w:t xml:space="preserve"> في « ب ، ز ، ص ، ض ، ف ، بر » والوافي والبحار : « عن »</w:t>
      </w:r>
      <w:r>
        <w:rPr>
          <w:rtl/>
        </w:rPr>
        <w:t>.</w:t>
      </w:r>
    </w:p>
    <w:p w:rsidR="008A74EB" w:rsidRPr="00C9040A" w:rsidRDefault="008A74EB" w:rsidP="004A4E41">
      <w:pPr>
        <w:pStyle w:val="libFootnote0"/>
        <w:rPr>
          <w:rtl/>
          <w:lang w:bidi="fa-IR"/>
        </w:rPr>
      </w:pPr>
      <w:r>
        <w:rPr>
          <w:rtl/>
        </w:rPr>
        <w:t>(16)</w:t>
      </w:r>
      <w:r w:rsidRPr="00C9040A">
        <w:rPr>
          <w:rtl/>
        </w:rPr>
        <w:t xml:space="preserve"> في « بر » : « تقدر »</w:t>
      </w:r>
      <w:r>
        <w:rPr>
          <w:rtl/>
        </w:rPr>
        <w:t>.</w:t>
      </w:r>
    </w:p>
    <w:p w:rsidR="008A74EB" w:rsidRPr="00C9040A" w:rsidRDefault="008A74EB" w:rsidP="004A4E41">
      <w:pPr>
        <w:pStyle w:val="libFootnote0"/>
        <w:rPr>
          <w:rtl/>
          <w:lang w:bidi="fa-IR"/>
        </w:rPr>
      </w:pPr>
      <w:r>
        <w:rPr>
          <w:rtl/>
        </w:rPr>
        <w:t>(17)</w:t>
      </w:r>
      <w:r w:rsidRPr="00C9040A">
        <w:rPr>
          <w:rtl/>
        </w:rPr>
        <w:t xml:space="preserve"> </w:t>
      </w:r>
      <w:r w:rsidRPr="00993B55">
        <w:rPr>
          <w:rStyle w:val="libFootnoteBoldChar"/>
          <w:rtl/>
        </w:rPr>
        <w:t>المحاسن</w:t>
      </w:r>
      <w:r w:rsidRPr="00C9040A">
        <w:rPr>
          <w:rtl/>
        </w:rPr>
        <w:t xml:space="preserve"> ، ص 143 ، </w:t>
      </w:r>
      <w:r w:rsidRPr="001871AF">
        <w:rPr>
          <w:rStyle w:val="libFootnoteBoldChar"/>
          <w:rtl/>
        </w:rPr>
        <w:t>كتاب الصفوة</w:t>
      </w:r>
      <w:r w:rsidRPr="00C9040A">
        <w:rPr>
          <w:rtl/>
        </w:rPr>
        <w:t xml:space="preserve"> ، ح 41 ؛ و</w:t>
      </w:r>
      <w:r w:rsidRPr="00993B55">
        <w:rPr>
          <w:rStyle w:val="libFootnoteBoldChar"/>
          <w:rtl/>
        </w:rPr>
        <w:t>فضائل الشيعة</w:t>
      </w:r>
      <w:r w:rsidRPr="00C9040A">
        <w:rPr>
          <w:rtl/>
        </w:rPr>
        <w:t xml:space="preserve"> ، ص 38 ، ح 37 ، بسند آخر عن مالك الجهني. </w:t>
      </w:r>
      <w:r w:rsidRPr="00993B55">
        <w:rPr>
          <w:rStyle w:val="libFootnoteBoldChar"/>
          <w:rtl/>
        </w:rPr>
        <w:t>المؤمن</w:t>
      </w:r>
      <w:r w:rsidRPr="00C9040A">
        <w:rPr>
          <w:rtl/>
        </w:rPr>
        <w:t xml:space="preserve"> ، ص 30 ، ح 56 ، عن مالك الجهني ، وفي كلّها مع اختلاف يسير. </w:t>
      </w:r>
      <w:r w:rsidRPr="00993B55">
        <w:rPr>
          <w:rStyle w:val="libFootnoteBoldChar"/>
          <w:rtl/>
        </w:rPr>
        <w:t>ثواب الأعمال</w:t>
      </w:r>
      <w:r w:rsidRPr="00C9040A">
        <w:rPr>
          <w:rtl/>
        </w:rPr>
        <w:t xml:space="preserve"> ، ص 223 ، ح 1 ، بسند آخر عن أبي عبد الله </w:t>
      </w:r>
      <w:r w:rsidR="00117575" w:rsidRPr="00117575">
        <w:rPr>
          <w:rStyle w:val="libFootnoteAlaemChar"/>
          <w:rtl/>
        </w:rPr>
        <w:t>عليه‌السلام</w:t>
      </w:r>
      <w:r w:rsidRPr="00C9040A">
        <w:rPr>
          <w:rtl/>
        </w:rPr>
        <w:t xml:space="preserve"> ، مع اختلاف. </w:t>
      </w:r>
      <w:r w:rsidRPr="00993B55">
        <w:rPr>
          <w:rStyle w:val="libFootnoteBoldChar"/>
          <w:rtl/>
        </w:rPr>
        <w:t>مصادقة الإخوان</w:t>
      </w:r>
      <w:r w:rsidRPr="00C9040A">
        <w:rPr>
          <w:rtl/>
        </w:rPr>
        <w:t xml:space="preserve"> ، ص 58 ، ح 1 ، مرسلاً عن إسحاق بن عمّار ، عن أبي عبد الله </w:t>
      </w:r>
      <w:r w:rsidR="00117575" w:rsidRPr="00117575">
        <w:rPr>
          <w:rStyle w:val="libFootnoteAlaemChar"/>
          <w:rtl/>
        </w:rPr>
        <w:t>عليه‌السلام</w:t>
      </w:r>
      <w:r w:rsidRPr="00C9040A">
        <w:rPr>
          <w:rtl/>
        </w:rPr>
        <w:t xml:space="preserve"> ، مع اختلاف </w:t>
      </w:r>
      <w:r w:rsidR="0021619D">
        <w:rPr>
          <w:rFonts w:hint="cs"/>
          <w:rtl/>
        </w:rPr>
        <w:t>.</w:t>
      </w:r>
      <w:r w:rsidRPr="00993B55">
        <w:rPr>
          <w:rStyle w:val="libFootnoteBoldChar"/>
          <w:rtl/>
        </w:rPr>
        <w:t>الوافي</w:t>
      </w:r>
      <w:r w:rsidRPr="00C9040A">
        <w:rPr>
          <w:rtl/>
        </w:rPr>
        <w:t xml:space="preserve"> ، ج 5 ، ص 612 ، ح 2699 ؛ </w:t>
      </w:r>
      <w:r w:rsidRPr="00993B55">
        <w:rPr>
          <w:rStyle w:val="libFootnoteBoldChar"/>
          <w:rtl/>
        </w:rPr>
        <w:t>البحار</w:t>
      </w:r>
      <w:r w:rsidRPr="00C9040A">
        <w:rPr>
          <w:rtl/>
        </w:rPr>
        <w:t xml:space="preserve"> ، ج 76 ، ص 26 ، ح 16.</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D748E6">
        <w:rPr>
          <w:rtl/>
        </w:rPr>
        <w:t>2098</w:t>
      </w:r>
      <w:r w:rsidRPr="00261CB0">
        <w:rPr>
          <w:rStyle w:val="libBold2Char"/>
          <w:rtl/>
        </w:rPr>
        <w:t xml:space="preserve"> / 7</w:t>
      </w:r>
      <w:r w:rsidRPr="00C9040A">
        <w:rPr>
          <w:rtl/>
          <w:lang w:bidi="fa-IR"/>
        </w:rPr>
        <w:t xml:space="preserve"> مُحَمَّدُ بْنُ يَحْيى ، عَنْ أَحْمَدَ بْنِ مُحَمَّدِ بْنِ عِيسى ، عَنْ عُمَرَ بْنِ عَبْدِ الْعَزِيزِ ، عَنْ مُحَمَّدِ بْنِ الْفُضَيْلِ </w:t>
      </w:r>
      <w:r w:rsidR="006C577F" w:rsidRPr="006C577F">
        <w:rPr>
          <w:rStyle w:val="libFootnotenumChar"/>
          <w:rtl/>
        </w:rPr>
        <w:t>(1)</w:t>
      </w:r>
      <w:r w:rsidRPr="00C9040A">
        <w:rPr>
          <w:rtl/>
          <w:lang w:bidi="fa-IR"/>
        </w:rPr>
        <w:t xml:space="preserve"> ، عَنْ أَبِي حَمْزَةَ ، قَالَ :</w:t>
      </w:r>
    </w:p>
    <w:p w:rsidR="008A74EB" w:rsidRPr="00C9040A" w:rsidRDefault="008A74EB" w:rsidP="008A74EB">
      <w:pPr>
        <w:pStyle w:val="libNormal"/>
        <w:rPr>
          <w:rtl/>
          <w:lang w:bidi="fa-IR"/>
        </w:rPr>
      </w:pPr>
      <w:r w:rsidRPr="00C9040A">
        <w:rPr>
          <w:rtl/>
          <w:lang w:bidi="fa-IR"/>
        </w:rPr>
        <w:t xml:space="preserve">زَامَلْتُ أَبَا جَعْفَرٍ </w:t>
      </w:r>
      <w:r w:rsidRPr="0003660B">
        <w:rPr>
          <w:rStyle w:val="libAlaemChar"/>
          <w:rtl/>
        </w:rPr>
        <w:t>عليه‌السلام</w:t>
      </w:r>
      <w:r w:rsidRPr="00C9040A">
        <w:rPr>
          <w:rtl/>
          <w:lang w:bidi="fa-IR"/>
        </w:rPr>
        <w:t xml:space="preserve"> ، فَحَطَطْنَا الرَّحْلَ </w:t>
      </w:r>
      <w:r w:rsidR="006C577F" w:rsidRPr="006C577F">
        <w:rPr>
          <w:rStyle w:val="libFootnotenumChar"/>
          <w:rtl/>
        </w:rPr>
        <w:t>(2)</w:t>
      </w:r>
      <w:r w:rsidRPr="00C9040A">
        <w:rPr>
          <w:rtl/>
          <w:lang w:bidi="fa-IR"/>
        </w:rPr>
        <w:t xml:space="preserve"> ، ثُمَّ مَشى قَلِيلاً ، ثُمَّ جَاءَ فَأَخَذَ </w:t>
      </w:r>
      <w:r w:rsidR="006C577F" w:rsidRPr="006C577F">
        <w:rPr>
          <w:rStyle w:val="libFootnotenumChar"/>
          <w:rtl/>
        </w:rPr>
        <w:t>(3)</w:t>
      </w:r>
      <w:r w:rsidRPr="00C9040A">
        <w:rPr>
          <w:rtl/>
          <w:lang w:bidi="fa-IR"/>
        </w:rPr>
        <w:t xml:space="preserve"> بِيَدِي </w:t>
      </w:r>
      <w:r w:rsidR="006C577F" w:rsidRPr="006C577F">
        <w:rPr>
          <w:rStyle w:val="libFootnotenumChar"/>
          <w:rtl/>
        </w:rPr>
        <w:t>(4)</w:t>
      </w:r>
      <w:r w:rsidRPr="00C9040A">
        <w:rPr>
          <w:rtl/>
          <w:lang w:bidi="fa-IR"/>
        </w:rPr>
        <w:t xml:space="preserve"> ، فَغَمَزَهَا غَمْزَةً شَدِيدَةً ، ف</w:t>
      </w:r>
      <w:r>
        <w:rPr>
          <w:rtl/>
          <w:lang w:bidi="fa-IR"/>
        </w:rPr>
        <w:t>َقُلْتُ : جُعِلْتُ فِدَاكَ ، أَ</w:t>
      </w:r>
      <w:r w:rsidRPr="00C9040A">
        <w:rPr>
          <w:rtl/>
          <w:lang w:bidi="fa-IR"/>
        </w:rPr>
        <w:t>وَمَا كُنْتُ مَعَكَ فِي الْمَحْمِلِ</w:t>
      </w:r>
      <w:r>
        <w:rPr>
          <w:rtl/>
          <w:lang w:bidi="fa-IR"/>
        </w:rPr>
        <w:t>؟</w:t>
      </w:r>
    </w:p>
    <w:p w:rsidR="008A74EB" w:rsidRPr="00C9040A" w:rsidRDefault="008A74EB" w:rsidP="008A74EB">
      <w:pPr>
        <w:pStyle w:val="libNormal"/>
        <w:rPr>
          <w:rtl/>
          <w:lang w:bidi="fa-IR"/>
        </w:rPr>
      </w:pPr>
      <w:r w:rsidRPr="00C9040A">
        <w:rPr>
          <w:rtl/>
          <w:lang w:bidi="fa-IR"/>
        </w:rPr>
        <w:t>فَقَ</w:t>
      </w:r>
      <w:r>
        <w:rPr>
          <w:rtl/>
          <w:lang w:bidi="fa-IR"/>
        </w:rPr>
        <w:t>الَ : « أَ</w:t>
      </w:r>
      <w:r w:rsidRPr="00C9040A">
        <w:rPr>
          <w:rtl/>
          <w:lang w:bidi="fa-IR"/>
        </w:rPr>
        <w:t xml:space="preserve">مَا </w:t>
      </w:r>
      <w:r w:rsidR="006C577F" w:rsidRPr="006C577F">
        <w:rPr>
          <w:rStyle w:val="libFootnotenumChar"/>
          <w:rtl/>
        </w:rPr>
        <w:t>(5)</w:t>
      </w:r>
      <w:r w:rsidRPr="00C9040A">
        <w:rPr>
          <w:rtl/>
          <w:lang w:bidi="fa-IR"/>
        </w:rPr>
        <w:t xml:space="preserve"> عَلِمْتَ أَنَّ الْمُؤْمِنَ إِذَا جَالَ جَوْلَةً ، ثُمَّ أَخَذَ بِيَدِ أَخِيهِ ، نَظَرَ اللهُ إِلَيْهِمَا بِوَجْهِهِ ، فَلَمْ يَزَلْ مُقْبِلاً عَلَيْهِمَا بِوَجْهِهِ ، وَ</w:t>
      </w:r>
      <w:r>
        <w:rPr>
          <w:rFonts w:hint="cs"/>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 xml:space="preserve">يَقُولُ لِلذُّنُوبِ : تَحَاتَّ </w:t>
      </w:r>
      <w:r w:rsidR="006C577F" w:rsidRPr="006C577F">
        <w:rPr>
          <w:rStyle w:val="libFootnotenumChar"/>
          <w:rtl/>
        </w:rPr>
        <w:t>(7)</w:t>
      </w:r>
      <w:r w:rsidRPr="00C9040A">
        <w:rPr>
          <w:rtl/>
          <w:lang w:bidi="fa-IR"/>
        </w:rPr>
        <w:t xml:space="preserve"> عَنْهُمَا </w:t>
      </w:r>
      <w:r w:rsidR="006C577F" w:rsidRPr="006C577F">
        <w:rPr>
          <w:rStyle w:val="libFootnotenumChar"/>
          <w:rtl/>
        </w:rPr>
        <w:t>(8)</w:t>
      </w:r>
      <w:r w:rsidRPr="00C9040A">
        <w:rPr>
          <w:rtl/>
          <w:lang w:bidi="fa-IR"/>
        </w:rPr>
        <w:t xml:space="preserve"> ، فَتَتَحَاتُّ </w:t>
      </w:r>
      <w:r w:rsidR="006C577F" w:rsidRPr="006C577F">
        <w:rPr>
          <w:rStyle w:val="libFootnotenumChar"/>
          <w:rtl/>
        </w:rPr>
        <w:t>(9)</w:t>
      </w:r>
      <w:r w:rsidRPr="00C9040A">
        <w:rPr>
          <w:rtl/>
          <w:lang w:bidi="fa-IR"/>
        </w:rPr>
        <w:t xml:space="preserve"> يَا أَبَا حَمْزَةَ ، كَمَا يَتَحَاتُّ </w:t>
      </w:r>
      <w:r w:rsidR="006C577F" w:rsidRPr="006C577F">
        <w:rPr>
          <w:rStyle w:val="libFootnotenumChar"/>
          <w:rtl/>
        </w:rPr>
        <w:t>(10)</w:t>
      </w:r>
      <w:r w:rsidRPr="00C9040A">
        <w:rPr>
          <w:rtl/>
          <w:lang w:bidi="fa-IR"/>
        </w:rPr>
        <w:t xml:space="preserve"> الْوَرَقُ عَنِ </w:t>
      </w:r>
      <w:r w:rsidR="006C577F" w:rsidRPr="006C577F">
        <w:rPr>
          <w:rStyle w:val="libFootnotenumChar"/>
          <w:rtl/>
        </w:rPr>
        <w:t>(11)</w:t>
      </w:r>
      <w:r w:rsidRPr="00C9040A">
        <w:rPr>
          <w:rtl/>
          <w:lang w:bidi="fa-IR"/>
        </w:rPr>
        <w:t xml:space="preserve"> الشَّجَرِ ، فَيَفْتَرِقَانِ وَمَا عَلَيْهِمَا مِنْ ذَنْبٍ »</w:t>
      </w:r>
      <w:r>
        <w:rPr>
          <w:rtl/>
          <w:lang w:bidi="fa-IR"/>
        </w:rPr>
        <w:t>.</w:t>
      </w:r>
      <w:r w:rsidRPr="00C9040A">
        <w:rPr>
          <w:rtl/>
          <w:lang w:bidi="fa-IR"/>
        </w:rPr>
        <w:t xml:space="preserve"> </w:t>
      </w:r>
      <w:r w:rsidR="006C577F" w:rsidRPr="006C577F">
        <w:rPr>
          <w:rStyle w:val="libFootnotenumChar"/>
          <w:rtl/>
        </w:rPr>
        <w:t>(12)</w:t>
      </w:r>
      <w:r w:rsidRPr="00C9040A">
        <w:rPr>
          <w:rtl/>
          <w:lang w:bidi="fa-IR"/>
        </w:rPr>
        <w:t xml:space="preserve"> ‌</w:t>
      </w:r>
    </w:p>
    <w:p w:rsidR="008A74EB" w:rsidRPr="00C9040A" w:rsidRDefault="008A74EB" w:rsidP="008A74EB">
      <w:pPr>
        <w:pStyle w:val="libNormal"/>
        <w:rPr>
          <w:rtl/>
          <w:lang w:bidi="fa-IR"/>
        </w:rPr>
      </w:pPr>
      <w:r w:rsidRPr="00D748E6">
        <w:rPr>
          <w:rtl/>
        </w:rPr>
        <w:t>2099</w:t>
      </w:r>
      <w:r w:rsidRPr="00261CB0">
        <w:rPr>
          <w:rStyle w:val="libBold2Char"/>
          <w:rtl/>
        </w:rPr>
        <w:t xml:space="preserve"> / 8</w:t>
      </w:r>
      <w:r w:rsidRPr="00C9040A">
        <w:rPr>
          <w:rtl/>
          <w:lang w:bidi="fa-IR"/>
        </w:rPr>
        <w:t xml:space="preserve"> عَلِيُّ بْنُ إِبْرَاهِيمَ ، عَنْ أَبِيهِ ، عَنِ ابْنِ أَبِي عُمَيْرٍ ، عَنْ هِشَامِ بْنِ سَالِمٍ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سَأَلْتُهُ عَنْ حَدِّ الْمُصَافَحَةِ </w:t>
      </w:r>
      <w:r w:rsidRPr="005B567D">
        <w:rPr>
          <w:rStyle w:val="libFootnotenumChar"/>
          <w:rtl/>
        </w:rPr>
        <w:t>(13)</w:t>
      </w:r>
      <w:r w:rsidRPr="00C9040A">
        <w:rPr>
          <w:rtl/>
          <w:lang w:bidi="fa-IR"/>
        </w:rPr>
        <w:t xml:space="preserve"> ، فَقَالَ : « دَوْرُ نَخْلَةٍ »</w:t>
      </w:r>
      <w:r>
        <w:rPr>
          <w:rtl/>
          <w:lang w:bidi="fa-IR"/>
        </w:rPr>
        <w:t>.</w:t>
      </w:r>
      <w:r w:rsidRPr="00C9040A">
        <w:rPr>
          <w:rtl/>
          <w:lang w:bidi="fa-IR"/>
        </w:rPr>
        <w:t xml:space="preserve"> </w:t>
      </w:r>
      <w:r w:rsidRPr="005B567D">
        <w:rPr>
          <w:rStyle w:val="libFootnotenumChar"/>
          <w:rtl/>
        </w:rPr>
        <w:t>(14)</w:t>
      </w:r>
      <w:r w:rsidRPr="00C9040A">
        <w:rPr>
          <w:rtl/>
          <w:lang w:bidi="fa-IR"/>
        </w:rPr>
        <w:t xml:space="preserve"> ‌</w:t>
      </w:r>
    </w:p>
    <w:p w:rsidR="008A74EB" w:rsidRPr="00C9040A" w:rsidRDefault="008A74EB" w:rsidP="008A74EB">
      <w:pPr>
        <w:pStyle w:val="libNormal"/>
        <w:rPr>
          <w:rtl/>
          <w:lang w:bidi="fa-IR"/>
        </w:rPr>
      </w:pPr>
      <w:r w:rsidRPr="00D748E6">
        <w:rPr>
          <w:rtl/>
        </w:rPr>
        <w:t>2100</w:t>
      </w:r>
      <w:r w:rsidRPr="00261CB0">
        <w:rPr>
          <w:rStyle w:val="libBold2Char"/>
          <w:rtl/>
        </w:rPr>
        <w:t xml:space="preserve"> / 9</w:t>
      </w:r>
      <w:r w:rsidRPr="00C9040A">
        <w:rPr>
          <w:rtl/>
          <w:lang w:bidi="fa-IR"/>
        </w:rPr>
        <w:t xml:space="preserve"> مُحَمَّدُ بْنُ يَحْيى ، عَنْ أَحْمَدَ بْنِ مُحَمَّدِ بْنِ عِيسى ، عَنْ مُحَمَّدِ بْنِ سِنَانٍ ، عَنْ عَمْرٍ والْأَفْرَقِ </w:t>
      </w:r>
      <w:r w:rsidRPr="005B567D">
        <w:rPr>
          <w:rStyle w:val="libFootnotenumChar"/>
          <w:rtl/>
        </w:rPr>
        <w:t>(15)</w:t>
      </w:r>
      <w:r w:rsidRPr="00C9040A">
        <w:rPr>
          <w:rtl/>
          <w:lang w:bidi="fa-IR"/>
        </w:rPr>
        <w:t xml:space="preserve"> ، عَنْ أَبِي عُبَيْدَةَ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هكذا في النسخ التي قوبلت والطبعة القديمة. وفي المطبوع : « فضيل »</w:t>
      </w:r>
      <w:r w:rsidR="008A74EB">
        <w:rPr>
          <w:rtl/>
        </w:rPr>
        <w:t>.</w:t>
      </w:r>
    </w:p>
    <w:p w:rsidR="008A74EB" w:rsidRPr="00C9040A" w:rsidRDefault="006C577F" w:rsidP="0021619D">
      <w:pPr>
        <w:pStyle w:val="libFootnote0"/>
        <w:rPr>
          <w:rtl/>
          <w:lang w:bidi="fa-IR"/>
        </w:rPr>
      </w:pPr>
      <w:r>
        <w:rPr>
          <w:rtl/>
        </w:rPr>
        <w:t>(2).</w:t>
      </w:r>
      <w:r w:rsidR="008A74EB">
        <w:rPr>
          <w:rtl/>
        </w:rPr>
        <w:t xml:space="preserve"> </w:t>
      </w:r>
      <w:r w:rsidR="008A74EB" w:rsidRPr="00C9040A">
        <w:rPr>
          <w:rtl/>
        </w:rPr>
        <w:t>« الرَّحْلُ » : كلّ شي‌ء يعدّ للرحيل من وعاء للمتاع ومركب للبعير وحِلْس ، وهو ما يوضع على ظهر الدابّة تحت‌</w:t>
      </w:r>
      <w:r w:rsidR="0021619D">
        <w:rPr>
          <w:rFonts w:hint="cs"/>
          <w:rtl/>
        </w:rPr>
        <w:t xml:space="preserve"> </w:t>
      </w:r>
      <w:r w:rsidR="008A74EB" w:rsidRPr="00C9040A">
        <w:rPr>
          <w:rtl/>
        </w:rPr>
        <w:t>السرج أو الرحل. ورحل الشخص : مأواه في الحضر ، ثمّ ا</w:t>
      </w:r>
      <w:r w:rsidR="0021619D">
        <w:rPr>
          <w:rFonts w:hint="cs"/>
          <w:rtl/>
        </w:rPr>
        <w:t>ُ</w:t>
      </w:r>
      <w:r w:rsidR="008A74EB" w:rsidRPr="00C9040A">
        <w:rPr>
          <w:rtl/>
        </w:rPr>
        <w:t xml:space="preserve">طلق على أمتعة المسافر ؛ لأنّها هناك مأواه. راجع : </w:t>
      </w:r>
      <w:r w:rsidR="008A74EB" w:rsidRPr="00993B55">
        <w:rPr>
          <w:rStyle w:val="libFootnoteBoldChar"/>
          <w:rtl/>
        </w:rPr>
        <w:t>المصباح المنير</w:t>
      </w:r>
      <w:r w:rsidR="008A74EB" w:rsidRPr="00C9040A">
        <w:rPr>
          <w:rtl/>
        </w:rPr>
        <w:t xml:space="preserve"> ، ص 222 ( رحل )</w:t>
      </w:r>
      <w:r w:rsidR="008A74EB">
        <w:rPr>
          <w:rtl/>
        </w:rPr>
        <w:t>.</w:t>
      </w:r>
      <w:r w:rsidR="00411D58">
        <w:rPr>
          <w:rFonts w:hint="cs"/>
          <w:rtl/>
        </w:rPr>
        <w:t xml:space="preserve">                             </w:t>
      </w:r>
      <w:r w:rsidR="0021619D">
        <w:rPr>
          <w:rFonts w:hint="cs"/>
          <w:rtl/>
        </w:rPr>
        <w:t xml:space="preserve">    </w:t>
      </w:r>
      <w:r>
        <w:rPr>
          <w:rtl/>
        </w:rPr>
        <w:t>(3).</w:t>
      </w:r>
      <w:r w:rsidR="008A74EB" w:rsidRPr="00C9040A">
        <w:rPr>
          <w:rtl/>
        </w:rPr>
        <w:t xml:space="preserve"> في « ب » : « وأخذ »</w:t>
      </w:r>
      <w:r w:rsidR="008A74EB">
        <w:rPr>
          <w:rtl/>
        </w:rPr>
        <w:t>.</w:t>
      </w:r>
    </w:p>
    <w:tbl>
      <w:tblPr>
        <w:tblStyle w:val="TableGrid"/>
        <w:bidiVisual/>
        <w:tblW w:w="0" w:type="auto"/>
        <w:tblLook w:val="04A0" w:firstRow="1" w:lastRow="0" w:firstColumn="1" w:lastColumn="0" w:noHBand="0" w:noVBand="1"/>
      </w:tblPr>
      <w:tblGrid>
        <w:gridCol w:w="4006"/>
        <w:gridCol w:w="4006"/>
      </w:tblGrid>
      <w:tr w:rsidR="0021619D" w:rsidTr="0021619D">
        <w:tc>
          <w:tcPr>
            <w:tcW w:w="4006" w:type="dxa"/>
          </w:tcPr>
          <w:p w:rsidR="0021619D" w:rsidRDefault="0021619D" w:rsidP="004A4E41">
            <w:pPr>
              <w:pStyle w:val="libFootnote0"/>
              <w:rPr>
                <w:rtl/>
              </w:rPr>
            </w:pPr>
            <w:r>
              <w:rPr>
                <w:rtl/>
              </w:rPr>
              <w:t>(4).</w:t>
            </w:r>
            <w:r w:rsidRPr="00C9040A">
              <w:rPr>
                <w:rtl/>
              </w:rPr>
              <w:t xml:space="preserve"> في الوسائل : « يدي »</w:t>
            </w:r>
            <w:r>
              <w:rPr>
                <w:rtl/>
              </w:rPr>
              <w:t>.</w:t>
            </w:r>
          </w:p>
        </w:tc>
        <w:tc>
          <w:tcPr>
            <w:tcW w:w="4006" w:type="dxa"/>
          </w:tcPr>
          <w:p w:rsidR="0021619D" w:rsidRDefault="0021619D" w:rsidP="004A4E41">
            <w:pPr>
              <w:pStyle w:val="libFootnote0"/>
              <w:rPr>
                <w:rtl/>
              </w:rPr>
            </w:pPr>
            <w:r>
              <w:rPr>
                <w:rtl/>
              </w:rPr>
              <w:t>(5).</w:t>
            </w:r>
            <w:r w:rsidRPr="00C9040A">
              <w:rPr>
                <w:rtl/>
              </w:rPr>
              <w:t xml:space="preserve"> في حاشية « ج » والوسائل والبحار : « أوما »</w:t>
            </w:r>
            <w:r>
              <w:rPr>
                <w:rtl/>
              </w:rPr>
              <w:t>.</w:t>
            </w:r>
          </w:p>
        </w:tc>
      </w:tr>
    </w:tbl>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 بس » </w:t>
      </w:r>
      <w:r w:rsidR="008A74EB">
        <w:rPr>
          <w:rtl/>
        </w:rPr>
        <w:t xml:space="preserve">: </w:t>
      </w:r>
      <w:r w:rsidR="0084262C">
        <w:rPr>
          <w:rtl/>
        </w:rPr>
        <w:t>-</w:t>
      </w:r>
      <w:r w:rsidR="008A74EB" w:rsidRPr="00C9040A">
        <w:rPr>
          <w:rtl/>
        </w:rPr>
        <w:t xml:space="preserve"> « </w:t>
      </w:r>
      <w:r w:rsidR="008A74EB">
        <w:rPr>
          <w:rtl/>
        </w:rPr>
        <w:t>و ».</w:t>
      </w:r>
    </w:p>
    <w:p w:rsidR="008A74EB" w:rsidRPr="00C9040A" w:rsidRDefault="006C577F" w:rsidP="004A4E41">
      <w:pPr>
        <w:pStyle w:val="libFootnote0"/>
        <w:rPr>
          <w:rtl/>
          <w:lang w:bidi="fa-IR"/>
        </w:rPr>
      </w:pPr>
      <w:r>
        <w:rPr>
          <w:rtl/>
        </w:rPr>
        <w:t>(7).</w:t>
      </w:r>
      <w:r w:rsidR="008A74EB" w:rsidRPr="00C9040A">
        <w:rPr>
          <w:rtl/>
        </w:rPr>
        <w:t xml:space="preserve"> هكذا في « ج ، ض ، بر » والوسائل والبحار. وفي سائر النسخ والمطبوع : « تتحاتّ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 ب » </w:t>
      </w:r>
      <w:r w:rsidR="008A74EB">
        <w:rPr>
          <w:rtl/>
        </w:rPr>
        <w:t xml:space="preserve">: </w:t>
      </w:r>
      <w:r w:rsidR="0084262C">
        <w:rPr>
          <w:rtl/>
        </w:rPr>
        <w:t>-</w:t>
      </w:r>
      <w:r w:rsidR="008A74EB" w:rsidRPr="00C9040A">
        <w:rPr>
          <w:rtl/>
        </w:rPr>
        <w:t xml:space="preserve"> « عنهما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ج » : « فيتحاتّ »</w:t>
      </w:r>
      <w:r w:rsidR="008A74EB">
        <w:rPr>
          <w:rtl/>
        </w:rPr>
        <w:t>.</w:t>
      </w:r>
      <w:r w:rsidR="008A74EB" w:rsidRPr="00C9040A">
        <w:rPr>
          <w:rtl/>
        </w:rPr>
        <w:t xml:space="preserve"> وفي حاشية « ض » : « فتحاتّ » بحذف إحدى التاءين.</w:t>
      </w:r>
    </w:p>
    <w:p w:rsidR="008A74EB" w:rsidRPr="00C9040A" w:rsidRDefault="006C577F" w:rsidP="004A4E41">
      <w:pPr>
        <w:pStyle w:val="libFootnote0"/>
        <w:rPr>
          <w:rtl/>
          <w:lang w:bidi="fa-IR"/>
        </w:rPr>
      </w:pPr>
      <w:r>
        <w:rPr>
          <w:rtl/>
        </w:rPr>
        <w:t>(10).</w:t>
      </w:r>
      <w:r w:rsidR="008A74EB" w:rsidRPr="00C9040A">
        <w:rPr>
          <w:rtl/>
        </w:rPr>
        <w:t xml:space="preserve"> في « ج ، بر ، بس » : « تتحاتّ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في الوسائل : « من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w:t>
      </w:r>
      <w:r w:rsidR="008A74EB" w:rsidRPr="00993B55">
        <w:rPr>
          <w:rStyle w:val="libFootnoteBoldChar"/>
          <w:rtl/>
        </w:rPr>
        <w:t>الوافي</w:t>
      </w:r>
      <w:r w:rsidR="008A74EB" w:rsidRPr="00C9040A">
        <w:rPr>
          <w:rtl/>
        </w:rPr>
        <w:t xml:space="preserve"> ، ج 5 ، ص 609 ، ح 2688 ؛ </w:t>
      </w:r>
      <w:r w:rsidR="008A74EB" w:rsidRPr="00993B55">
        <w:rPr>
          <w:rStyle w:val="libFootnoteBoldChar"/>
          <w:rtl/>
        </w:rPr>
        <w:t>الوسائل</w:t>
      </w:r>
      <w:r w:rsidR="008A74EB" w:rsidRPr="00C9040A">
        <w:rPr>
          <w:rtl/>
        </w:rPr>
        <w:t xml:space="preserve"> ، ج 12 ، ص 224 ، ح 16148 ؛ </w:t>
      </w:r>
      <w:r w:rsidR="008A74EB" w:rsidRPr="00993B55">
        <w:rPr>
          <w:rStyle w:val="libFootnoteBoldChar"/>
          <w:rtl/>
        </w:rPr>
        <w:t>البحار</w:t>
      </w:r>
      <w:r w:rsidR="008A74EB" w:rsidRPr="00C9040A">
        <w:rPr>
          <w:rtl/>
        </w:rPr>
        <w:t xml:space="preserve"> ، ج 76 ، ص 27 ، ح 17.</w:t>
      </w:r>
    </w:p>
    <w:p w:rsidR="008A74EB" w:rsidRPr="00C9040A" w:rsidRDefault="008A74EB" w:rsidP="004A4E41">
      <w:pPr>
        <w:pStyle w:val="libFootnote0"/>
        <w:rPr>
          <w:rtl/>
          <w:lang w:bidi="fa-IR"/>
        </w:rPr>
      </w:pPr>
      <w:r>
        <w:rPr>
          <w:rtl/>
        </w:rPr>
        <w:t>(13)</w:t>
      </w:r>
      <w:r w:rsidR="00FD401B">
        <w:rPr>
          <w:rFonts w:hint="cs"/>
          <w:rtl/>
        </w:rPr>
        <w:t>.</w:t>
      </w:r>
      <w:r w:rsidRPr="00C9040A">
        <w:rPr>
          <w:rtl/>
        </w:rPr>
        <w:t xml:space="preserve"> في </w:t>
      </w:r>
      <w:r w:rsidRPr="00993B55">
        <w:rPr>
          <w:rStyle w:val="libFootnoteBoldChar"/>
          <w:rtl/>
        </w:rPr>
        <w:t>الوافي</w:t>
      </w:r>
      <w:r w:rsidRPr="00C9040A">
        <w:rPr>
          <w:rtl/>
        </w:rPr>
        <w:t xml:space="preserve"> : « ا</w:t>
      </w:r>
      <w:r w:rsidR="00FD401B">
        <w:rPr>
          <w:rFonts w:hint="cs"/>
          <w:rtl/>
        </w:rPr>
        <w:t>ُ</w:t>
      </w:r>
      <w:r w:rsidRPr="00C9040A">
        <w:rPr>
          <w:rtl/>
        </w:rPr>
        <w:t>ريد بحدّ المصافحة حدّ تجديدها »</w:t>
      </w:r>
      <w:r>
        <w:rPr>
          <w:rtl/>
        </w:rPr>
        <w:t>.</w:t>
      </w:r>
    </w:p>
    <w:p w:rsidR="008A74EB" w:rsidRPr="00C9040A" w:rsidRDefault="008A74EB" w:rsidP="004A4E41">
      <w:pPr>
        <w:pStyle w:val="libFootnote0"/>
        <w:rPr>
          <w:rtl/>
          <w:lang w:bidi="fa-IR"/>
        </w:rPr>
      </w:pPr>
      <w:r>
        <w:rPr>
          <w:rtl/>
        </w:rPr>
        <w:t>(14)</w:t>
      </w:r>
      <w:r w:rsidR="00FD401B">
        <w:rPr>
          <w:rFonts w:hint="cs"/>
          <w:rtl/>
        </w:rPr>
        <w:t>.</w:t>
      </w:r>
      <w:r w:rsidRPr="00C9040A">
        <w:rPr>
          <w:rtl/>
        </w:rPr>
        <w:t xml:space="preserve"> </w:t>
      </w:r>
      <w:r w:rsidRPr="00993B55">
        <w:rPr>
          <w:rStyle w:val="libFootnoteBoldChar"/>
          <w:rtl/>
        </w:rPr>
        <w:t>الوافي</w:t>
      </w:r>
      <w:r w:rsidRPr="00C9040A">
        <w:rPr>
          <w:rtl/>
        </w:rPr>
        <w:t xml:space="preserve"> ، ج 5 ، ص 609 ، ح 2689 ؛ </w:t>
      </w:r>
      <w:r w:rsidRPr="00993B55">
        <w:rPr>
          <w:rStyle w:val="libFootnoteBoldChar"/>
          <w:rtl/>
        </w:rPr>
        <w:t>الوسائل</w:t>
      </w:r>
      <w:r w:rsidRPr="00C9040A">
        <w:rPr>
          <w:rtl/>
        </w:rPr>
        <w:t xml:space="preserve"> ، ج 12 ، ص 223 ، ح 16145 ؛ </w:t>
      </w:r>
      <w:r w:rsidRPr="00993B55">
        <w:rPr>
          <w:rStyle w:val="libFootnoteBoldChar"/>
          <w:rtl/>
        </w:rPr>
        <w:t>البحار</w:t>
      </w:r>
      <w:r w:rsidRPr="00C9040A">
        <w:rPr>
          <w:rtl/>
        </w:rPr>
        <w:t xml:space="preserve"> ، ج 76 ، ص 27 ، ح 18.</w:t>
      </w:r>
    </w:p>
    <w:p w:rsidR="008A74EB" w:rsidRPr="00C9040A" w:rsidRDefault="008A74EB" w:rsidP="004A4E41">
      <w:pPr>
        <w:pStyle w:val="libFootnote0"/>
        <w:rPr>
          <w:rtl/>
          <w:lang w:bidi="fa-IR"/>
        </w:rPr>
      </w:pPr>
      <w:r>
        <w:rPr>
          <w:rtl/>
        </w:rPr>
        <w:t>(15)</w:t>
      </w:r>
      <w:r w:rsidR="00FD401B">
        <w:rPr>
          <w:rFonts w:hint="cs"/>
          <w:rtl/>
        </w:rPr>
        <w:t>.</w:t>
      </w:r>
      <w:r w:rsidRPr="00C9040A">
        <w:rPr>
          <w:rtl/>
        </w:rPr>
        <w:t xml:space="preserve"> هكذا في « ب ، ج ، د ، ز ، ض ، ف ، بر ، بس ، بف ، جر » وحاشية « ص » وهامش المطبوع والوسائل والبحار. </w:t>
      </w:r>
      <w:r w:rsidR="00FD401B">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يَنْبَغِي لِلْمُؤْمِنَيْنِ إِذَا تَوَارى </w:t>
      </w:r>
      <w:r w:rsidR="006C577F" w:rsidRPr="006C577F">
        <w:rPr>
          <w:rStyle w:val="libFootnotenumChar"/>
          <w:rtl/>
        </w:rPr>
        <w:t>(1)</w:t>
      </w:r>
      <w:r w:rsidRPr="00C9040A">
        <w:rPr>
          <w:rtl/>
          <w:lang w:bidi="fa-IR"/>
        </w:rPr>
        <w:t xml:space="preserve"> أَحَدُهُمَا عَنْ صَاحِبِهِ بِشَجَرَةٍ </w:t>
      </w:r>
      <w:r w:rsidR="006C577F" w:rsidRPr="006C577F">
        <w:rPr>
          <w:rStyle w:val="libFootnotenumChar"/>
          <w:rtl/>
        </w:rPr>
        <w:t>(2)</w:t>
      </w:r>
      <w:r w:rsidRPr="00C9040A">
        <w:rPr>
          <w:rtl/>
          <w:lang w:bidi="fa-IR"/>
        </w:rPr>
        <w:t xml:space="preserve"> ، ثُمَّ الْتَقَيَا ، أَنْ يَتَصَافَحَا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D748E6">
        <w:rPr>
          <w:rtl/>
        </w:rPr>
        <w:t>2101</w:t>
      </w:r>
      <w:r w:rsidRPr="00261CB0">
        <w:rPr>
          <w:rStyle w:val="libBold2Char"/>
          <w:rtl/>
        </w:rPr>
        <w:t xml:space="preserve"> / 10</w:t>
      </w:r>
      <w:r w:rsidRPr="00C9040A">
        <w:rPr>
          <w:rtl/>
          <w:lang w:bidi="fa-IR"/>
        </w:rPr>
        <w:t xml:space="preserve"> عِدَّةٌ مِنْ أَصْحَابِنَا ، عَنْ أَحْمَدَ بْنِ مُحَمَّدِ بْنِ خَالِدٍ ، عَنْ بَعْضِ أَصْحَابِهِ </w:t>
      </w:r>
      <w:r w:rsidR="006C577F" w:rsidRPr="006C577F">
        <w:rPr>
          <w:rStyle w:val="libFootnotenumChar"/>
          <w:rtl/>
        </w:rPr>
        <w:t>(4)</w:t>
      </w:r>
      <w:r w:rsidRPr="00C9040A">
        <w:rPr>
          <w:rtl/>
          <w:lang w:bidi="fa-IR"/>
        </w:rPr>
        <w:t xml:space="preserve"> ، عَنْ مُحَمَّدِ بْنِ الْمُثَنّى ، عَنْ أَبِيهِ ، عَنْ عُثْمَانَ بْنِ زَيْدٍ </w:t>
      </w:r>
      <w:r w:rsidR="006C577F" w:rsidRPr="006C577F">
        <w:rPr>
          <w:rStyle w:val="libFootnotenumChar"/>
          <w:rtl/>
        </w:rPr>
        <w:t>(5)</w:t>
      </w:r>
      <w:r w:rsidRPr="00C9040A">
        <w:rPr>
          <w:rtl/>
          <w:lang w:bidi="fa-IR"/>
        </w:rPr>
        <w:t xml:space="preserve"> ، عَنْ جَابِرٍ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إِذَا لَقِيَ أَحَدُكُمْ أَخَاهُ فَلْيُسَلِّمْ عَلَيْهِ </w:t>
      </w:r>
      <w:r w:rsidR="006C577F" w:rsidRPr="006C577F">
        <w:rPr>
          <w:rStyle w:val="libFootnotenumChar"/>
          <w:rtl/>
        </w:rPr>
        <w:t>(6)</w:t>
      </w:r>
      <w:r w:rsidRPr="005B567D">
        <w:rPr>
          <w:rStyle w:val="libFootnotenumChar"/>
          <w:rtl/>
        </w:rPr>
        <w:t xml:space="preserve"> </w:t>
      </w:r>
      <w:r w:rsidRPr="00C9040A">
        <w:rPr>
          <w:rtl/>
          <w:lang w:bidi="fa-IR"/>
        </w:rPr>
        <w:t>وَلْيُصَافِحْهُ ، فَإِنَّ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أَكْرَمَ بِذلِكَ الْمَلَائِكَةَ ؛ فَاصْنَعُوا صُنْعَ </w:t>
      </w:r>
      <w:r w:rsidR="006C577F" w:rsidRPr="006C577F">
        <w:rPr>
          <w:rStyle w:val="libFootnotenumChar"/>
          <w:rtl/>
        </w:rPr>
        <w:t>(7)</w:t>
      </w:r>
      <w:r w:rsidRPr="00C9040A">
        <w:rPr>
          <w:rtl/>
          <w:lang w:bidi="fa-IR"/>
        </w:rPr>
        <w:t xml:space="preserve"> الْمَلَائِكَةِ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Normal"/>
        <w:rPr>
          <w:rtl/>
          <w:lang w:bidi="fa-IR"/>
        </w:rPr>
      </w:pPr>
      <w:r w:rsidRPr="00D748E6">
        <w:rPr>
          <w:rtl/>
        </w:rPr>
        <w:t>2102</w:t>
      </w:r>
      <w:r w:rsidRPr="00261CB0">
        <w:rPr>
          <w:rStyle w:val="libBold2Char"/>
          <w:rtl/>
        </w:rPr>
        <w:t xml:space="preserve"> / 11</w:t>
      </w:r>
      <w:r w:rsidRPr="00C9040A">
        <w:rPr>
          <w:rtl/>
          <w:lang w:bidi="fa-IR"/>
        </w:rPr>
        <w:t xml:space="preserve"> عَنْهُ </w:t>
      </w:r>
      <w:r w:rsidR="006C577F" w:rsidRPr="006C577F">
        <w:rPr>
          <w:rStyle w:val="libFootnotenumChar"/>
          <w:rtl/>
        </w:rPr>
        <w:t>(9)</w:t>
      </w:r>
      <w:r w:rsidRPr="00C9040A">
        <w:rPr>
          <w:rtl/>
          <w:lang w:bidi="fa-IR"/>
        </w:rPr>
        <w:t xml:space="preserve"> ، عَنْ مُحَمَّدِ بْنِ عَلِيٍّ ، عَنِ ابْنِ بَقَّاحٍ ، عَنْ سَيْفِ بْنِ عَمِيرَةَ ، عَنْ عَمْرِو‌</w:t>
      </w:r>
    </w:p>
    <w:p w:rsidR="008A74EB" w:rsidRPr="00C9040A" w:rsidRDefault="008A74EB" w:rsidP="008A74EB">
      <w:pPr>
        <w:pStyle w:val="libLine"/>
        <w:rPr>
          <w:rtl/>
          <w:lang w:bidi="fa-IR"/>
        </w:rPr>
      </w:pPr>
      <w:r w:rsidRPr="00C9040A">
        <w:rPr>
          <w:rtl/>
          <w:lang w:bidi="fa-IR"/>
        </w:rPr>
        <w:t>__________________</w:t>
      </w:r>
    </w:p>
    <w:p w:rsidR="008A74EB" w:rsidRPr="00C9040A" w:rsidRDefault="00FD401B" w:rsidP="004A4E41">
      <w:pPr>
        <w:pStyle w:val="libFootnote0"/>
        <w:rPr>
          <w:rtl/>
          <w:lang w:bidi="fa-IR"/>
        </w:rPr>
      </w:pPr>
      <w:r>
        <w:rPr>
          <w:rFonts w:hint="cs"/>
          <w:rtl/>
        </w:rPr>
        <w:t xml:space="preserve">= </w:t>
      </w:r>
      <w:r w:rsidR="008A74EB" w:rsidRPr="00C9040A">
        <w:rPr>
          <w:rtl/>
        </w:rPr>
        <w:t>وفي « ص » والمطبوع : « عمرو بن الأفرق »</w:t>
      </w:r>
      <w:r w:rsidR="008A74EB">
        <w:rPr>
          <w:rtl/>
        </w:rPr>
        <w:t>.</w:t>
      </w:r>
    </w:p>
    <w:p w:rsidR="008A74EB" w:rsidRPr="00C9040A" w:rsidRDefault="008A74EB" w:rsidP="004A4E41">
      <w:pPr>
        <w:pStyle w:val="libFootnote0"/>
        <w:rPr>
          <w:rtl/>
          <w:lang w:bidi="fa-IR"/>
        </w:rPr>
      </w:pPr>
      <w:r w:rsidRPr="00323A39">
        <w:rPr>
          <w:rtl/>
        </w:rPr>
        <w:t xml:space="preserve">وقد روى محمّد بن سنان عن عمرو الأفرق الخيّاط عن أبي عبيدة الحذّاء في </w:t>
      </w:r>
      <w:r w:rsidRPr="00993B55">
        <w:rPr>
          <w:rStyle w:val="libFootnoteBoldChar"/>
          <w:rtl/>
        </w:rPr>
        <w:t>المحاسن</w:t>
      </w:r>
      <w:r w:rsidRPr="00323A39">
        <w:rPr>
          <w:rtl/>
        </w:rPr>
        <w:t xml:space="preserve"> ، ص 283 ، ح 416. وروى عن عمرو ( عمر </w:t>
      </w:r>
      <w:r w:rsidR="0084262C" w:rsidRPr="00323A39">
        <w:rPr>
          <w:rtl/>
        </w:rPr>
        <w:t>-</w:t>
      </w:r>
      <w:r w:rsidRPr="00323A39">
        <w:rPr>
          <w:rtl/>
        </w:rPr>
        <w:t xml:space="preserve"> خ ل ) الأفرق عن أبي عبد الله جعفر بن محمّد </w:t>
      </w:r>
      <w:r w:rsidR="00117575" w:rsidRPr="00117575">
        <w:rPr>
          <w:rStyle w:val="libFootnoteAlaemChar"/>
          <w:rtl/>
        </w:rPr>
        <w:t>عليه‌السلام</w:t>
      </w:r>
      <w:r w:rsidRPr="00323A39">
        <w:rPr>
          <w:rtl/>
        </w:rPr>
        <w:t xml:space="preserve"> في </w:t>
      </w:r>
      <w:r w:rsidRPr="0034021D">
        <w:rPr>
          <w:rStyle w:val="libFootnoteBoldChar"/>
          <w:rtl/>
        </w:rPr>
        <w:t>الأمالي للمفيد</w:t>
      </w:r>
      <w:r w:rsidRPr="00323A39">
        <w:rPr>
          <w:rtl/>
        </w:rPr>
        <w:t xml:space="preserve"> ، ص 12 ، ح 10.</w:t>
      </w:r>
    </w:p>
    <w:p w:rsidR="008A74EB" w:rsidRPr="00C9040A" w:rsidRDefault="008A74EB" w:rsidP="004A4E41">
      <w:pPr>
        <w:pStyle w:val="libFootnote0"/>
        <w:rPr>
          <w:rtl/>
          <w:lang w:bidi="fa-IR"/>
        </w:rPr>
      </w:pPr>
      <w:r w:rsidRPr="00323A39">
        <w:rPr>
          <w:rtl/>
        </w:rPr>
        <w:t xml:space="preserve">هذا ، وقد عُدَّ عمرو الأفرق في </w:t>
      </w:r>
      <w:r w:rsidRPr="00993B55">
        <w:rPr>
          <w:rStyle w:val="libFootnoteBoldChar"/>
          <w:rtl/>
        </w:rPr>
        <w:t>رجال البرقي</w:t>
      </w:r>
      <w:r w:rsidRPr="00323A39">
        <w:rPr>
          <w:rtl/>
        </w:rPr>
        <w:t xml:space="preserve"> ، ص 36 من أصحاب أبي عبد الله </w:t>
      </w:r>
      <w:r w:rsidR="00117575" w:rsidRPr="00117575">
        <w:rPr>
          <w:rStyle w:val="libFootnoteAlaemChar"/>
          <w:rtl/>
        </w:rPr>
        <w:t>عليه‌السلام</w:t>
      </w:r>
      <w:r w:rsidRPr="00323A39">
        <w:rPr>
          <w:rtl/>
        </w:rPr>
        <w:t xml:space="preserve"> ، كما عُدَّ عمرو بن خالد الأفرق الحنّاط من أصحابه </w:t>
      </w:r>
      <w:r w:rsidR="00117575" w:rsidRPr="00117575">
        <w:rPr>
          <w:rStyle w:val="libFootnoteAlaemChar"/>
          <w:rtl/>
        </w:rPr>
        <w:t>عليه‌السلام</w:t>
      </w:r>
      <w:r w:rsidRPr="00323A39">
        <w:rPr>
          <w:rtl/>
        </w:rPr>
        <w:t xml:space="preserve"> في </w:t>
      </w:r>
      <w:r w:rsidRPr="00993B55">
        <w:rPr>
          <w:rStyle w:val="libFootnoteBoldChar"/>
          <w:rtl/>
        </w:rPr>
        <w:t>رجال الطوسي</w:t>
      </w:r>
      <w:r w:rsidRPr="00323A39">
        <w:rPr>
          <w:rtl/>
        </w:rPr>
        <w:t xml:space="preserve"> ، ص 249 ، الرقم 3492. والنجاشي ذكر عُمَرَ بن خالد الحنّاط الأفرق في رجاله ، ص 286 ، الرقم 764 ، وقال : « روى عن أبي عبد الله </w:t>
      </w:r>
      <w:r w:rsidR="00117575" w:rsidRPr="00117575">
        <w:rPr>
          <w:rStyle w:val="libFootnoteAlaemChar"/>
          <w:rtl/>
        </w:rPr>
        <w:t>عليه‌السلام</w:t>
      </w:r>
      <w:r w:rsidRPr="00323A39">
        <w:rPr>
          <w:rtl/>
        </w:rPr>
        <w:t xml:space="preserve"> ».</w:t>
      </w:r>
    </w:p>
    <w:p w:rsidR="008A74EB" w:rsidRDefault="008A74EB" w:rsidP="004A4E41">
      <w:pPr>
        <w:pStyle w:val="libFootnote0"/>
        <w:rPr>
          <w:rtl/>
        </w:rPr>
      </w:pPr>
      <w:r w:rsidRPr="0082575F">
        <w:rPr>
          <w:rtl/>
        </w:rPr>
        <w:t>والظاهر أن</w:t>
      </w:r>
      <w:r w:rsidR="00FD401B">
        <w:rPr>
          <w:rtl/>
        </w:rPr>
        <w:t>ّ المحكيّ بهذه العناوين ليس إل</w:t>
      </w:r>
      <w:r w:rsidR="00FD401B">
        <w:rPr>
          <w:rFonts w:hint="cs"/>
          <w:rtl/>
        </w:rPr>
        <w:t>ّ</w:t>
      </w:r>
      <w:r w:rsidR="00FD401B">
        <w:rPr>
          <w:rtl/>
        </w:rPr>
        <w:t>ا</w:t>
      </w:r>
      <w:r w:rsidR="00FD401B">
        <w:rPr>
          <w:rFonts w:hint="cs"/>
          <w:rtl/>
        </w:rPr>
        <w:t xml:space="preserve"> </w:t>
      </w:r>
      <w:r w:rsidRPr="0082575F">
        <w:rPr>
          <w:rtl/>
        </w:rPr>
        <w:t xml:space="preserve">واحداً ، وأنَّ التحريف واقع في أحد العنوانين : « عمرو » </w:t>
      </w:r>
      <w:r>
        <w:rPr>
          <w:rtl/>
        </w:rPr>
        <w:t>و «</w:t>
      </w:r>
      <w:r w:rsidRPr="0082575F">
        <w:rPr>
          <w:rtl/>
        </w:rPr>
        <w:t xml:space="preserve"> عمر » ؛ وفي أحد اللقبين : « الخيّاط » </w:t>
      </w:r>
      <w:r>
        <w:rPr>
          <w:rtl/>
        </w:rPr>
        <w:t>و «</w:t>
      </w:r>
      <w:r w:rsidRPr="0082575F">
        <w:rPr>
          <w:rtl/>
        </w:rPr>
        <w:t xml:space="preserve"> الحنّاط »</w:t>
      </w:r>
      <w:r>
        <w:rPr>
          <w:rtl/>
        </w:rPr>
        <w:t>.</w:t>
      </w:r>
    </w:p>
    <w:tbl>
      <w:tblPr>
        <w:tblStyle w:val="TableGrid"/>
        <w:bidiVisual/>
        <w:tblW w:w="0" w:type="auto"/>
        <w:tblLook w:val="04A0" w:firstRow="1" w:lastRow="0" w:firstColumn="1" w:lastColumn="0" w:noHBand="0" w:noVBand="1"/>
      </w:tblPr>
      <w:tblGrid>
        <w:gridCol w:w="4006"/>
        <w:gridCol w:w="4006"/>
      </w:tblGrid>
      <w:tr w:rsidR="00FD401B" w:rsidTr="00FD401B">
        <w:tc>
          <w:tcPr>
            <w:tcW w:w="4006" w:type="dxa"/>
          </w:tcPr>
          <w:p w:rsidR="00FD401B" w:rsidRDefault="00FD401B" w:rsidP="004A4E41">
            <w:pPr>
              <w:pStyle w:val="libFootnote0"/>
              <w:rPr>
                <w:rtl/>
              </w:rPr>
            </w:pPr>
            <w:r>
              <w:rPr>
                <w:rtl/>
              </w:rPr>
              <w:t xml:space="preserve">(1). </w:t>
            </w:r>
            <w:r w:rsidRPr="00C9040A">
              <w:rPr>
                <w:rtl/>
              </w:rPr>
              <w:t>في « ف » : « يواري »</w:t>
            </w:r>
            <w:r>
              <w:rPr>
                <w:rtl/>
              </w:rPr>
              <w:t>.</w:t>
            </w:r>
          </w:p>
        </w:tc>
        <w:tc>
          <w:tcPr>
            <w:tcW w:w="4006" w:type="dxa"/>
          </w:tcPr>
          <w:p w:rsidR="00FD401B" w:rsidRDefault="00FD401B" w:rsidP="004A4E41">
            <w:pPr>
              <w:pStyle w:val="libFootnote0"/>
              <w:rPr>
                <w:rtl/>
              </w:rPr>
            </w:pPr>
            <w:r>
              <w:rPr>
                <w:rtl/>
              </w:rPr>
              <w:t xml:space="preserve">(2). </w:t>
            </w:r>
            <w:r w:rsidRPr="00C9040A">
              <w:rPr>
                <w:rtl/>
              </w:rPr>
              <w:t>في الوسائل : « شجرة »</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w:t>
      </w:r>
      <w:r w:rsidR="008A74EB" w:rsidRPr="00993B55">
        <w:rPr>
          <w:rStyle w:val="libFootnoteBoldChar"/>
          <w:rtl/>
        </w:rPr>
        <w:t>الوافي</w:t>
      </w:r>
      <w:r w:rsidR="008A74EB" w:rsidRPr="00C9040A">
        <w:rPr>
          <w:rtl/>
        </w:rPr>
        <w:t xml:space="preserve"> ، ج 5 ، ص 610 ، ح 2690 ؛ </w:t>
      </w:r>
      <w:r w:rsidR="008A74EB" w:rsidRPr="00993B55">
        <w:rPr>
          <w:rStyle w:val="libFootnoteBoldChar"/>
          <w:rtl/>
        </w:rPr>
        <w:t>الوسائل</w:t>
      </w:r>
      <w:r w:rsidR="008A74EB" w:rsidRPr="00C9040A">
        <w:rPr>
          <w:rtl/>
        </w:rPr>
        <w:t xml:space="preserve"> ، ج 12 ، ص 225 ، ح 16149 ؛ </w:t>
      </w:r>
      <w:r w:rsidR="008A74EB" w:rsidRPr="00993B55">
        <w:rPr>
          <w:rStyle w:val="libFootnoteBoldChar"/>
          <w:rtl/>
        </w:rPr>
        <w:t>البحار</w:t>
      </w:r>
      <w:r w:rsidR="008A74EB" w:rsidRPr="00C9040A">
        <w:rPr>
          <w:rtl/>
        </w:rPr>
        <w:t xml:space="preserve"> ، ج 76 ، ص 28 ، ح 19.</w:t>
      </w:r>
    </w:p>
    <w:p w:rsidR="008A74EB" w:rsidRPr="00C9040A" w:rsidRDefault="006C577F" w:rsidP="004A4E41">
      <w:pPr>
        <w:pStyle w:val="libFootnote0"/>
        <w:rPr>
          <w:rtl/>
          <w:lang w:bidi="fa-IR"/>
        </w:rPr>
      </w:pPr>
      <w:r>
        <w:rPr>
          <w:rtl/>
        </w:rPr>
        <w:t>(4).</w:t>
      </w:r>
      <w:r w:rsidR="008A74EB" w:rsidRPr="00C9040A">
        <w:rPr>
          <w:rtl/>
        </w:rPr>
        <w:t xml:space="preserve"> في « ب » : « بعض أصحابنا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ج ، د ، بس » وحاشية « ص ، ض ، ف ، بر » : « يزيد »</w:t>
      </w:r>
      <w:r w:rsidR="008A74EB">
        <w:rPr>
          <w:rtl/>
        </w:rPr>
        <w:t>.</w:t>
      </w:r>
      <w:r w:rsidR="008A74EB" w:rsidRPr="00C9040A">
        <w:rPr>
          <w:rtl/>
        </w:rPr>
        <w:t xml:space="preserve"> والظاهر أنّه سهو ؛ فقد روى محمّد بن المثنّى ، عن أبيه ، عن عثمان بن زيد الجُهني ، في </w:t>
      </w:r>
      <w:r w:rsidR="008A74EB" w:rsidRPr="00993B55">
        <w:rPr>
          <w:rStyle w:val="libFootnoteBoldChar"/>
          <w:rtl/>
        </w:rPr>
        <w:t>الأمال</w:t>
      </w:r>
      <w:r w:rsidR="008A74EB" w:rsidRPr="00FD401B">
        <w:rPr>
          <w:rStyle w:val="libFootnoteBoldChar"/>
          <w:rtl/>
        </w:rPr>
        <w:t>ي للطوسي</w:t>
      </w:r>
      <w:r w:rsidR="008A74EB" w:rsidRPr="00C9040A">
        <w:rPr>
          <w:rtl/>
        </w:rPr>
        <w:t xml:space="preserve"> ، ص 413 ، المجلس 14 ، ح 927. وعثمان بن زيد الجُهني مذكور في </w:t>
      </w:r>
      <w:r w:rsidR="008A74EB" w:rsidRPr="00993B55">
        <w:rPr>
          <w:rStyle w:val="libFootnoteBoldChar"/>
          <w:rtl/>
        </w:rPr>
        <w:t>رجال الطوسي</w:t>
      </w:r>
      <w:r w:rsidR="008A74EB" w:rsidRPr="00C9040A">
        <w:rPr>
          <w:rtl/>
        </w:rPr>
        <w:t xml:space="preserve"> ، ص 259 ، الرقم 3687 ؛ وص 290 ، الرقم 4217.</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 ب ، ج ، ز ، ص ، ض ، ف ، بر ، بس » والوافي والبحار </w:t>
      </w:r>
      <w:r w:rsidR="008A74EB">
        <w:rPr>
          <w:rtl/>
        </w:rPr>
        <w:t xml:space="preserve">: </w:t>
      </w:r>
      <w:r w:rsidR="0084262C">
        <w:rPr>
          <w:rtl/>
        </w:rPr>
        <w:t>-</w:t>
      </w:r>
      <w:r w:rsidR="008A74EB" w:rsidRPr="00C9040A">
        <w:rPr>
          <w:rtl/>
        </w:rPr>
        <w:t xml:space="preserve"> « عليه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المصادقة : « بصنع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w:t>
      </w:r>
      <w:r w:rsidR="008A74EB" w:rsidRPr="00993B55">
        <w:rPr>
          <w:rStyle w:val="libFootnoteBoldChar"/>
          <w:rtl/>
        </w:rPr>
        <w:t>مصادقة الإخوان</w:t>
      </w:r>
      <w:r w:rsidR="008A74EB" w:rsidRPr="00C9040A">
        <w:rPr>
          <w:rtl/>
        </w:rPr>
        <w:t xml:space="preserve"> ، ص 58 ، ح 2 ، مرسلاً عن جابر ، عن رسول الله </w:t>
      </w:r>
      <w:r w:rsidR="004A4E41" w:rsidRPr="00FD401B">
        <w:rPr>
          <w:rStyle w:val="libFootnoteAlaemChar"/>
          <w:rtl/>
        </w:rPr>
        <w:t>صلى‌الله‌عليه‌وآله</w:t>
      </w:r>
      <w:r w:rsidR="008A74EB" w:rsidRPr="00C9040A">
        <w:rPr>
          <w:rtl/>
        </w:rPr>
        <w:t xml:space="preserve"> </w:t>
      </w:r>
      <w:r w:rsidR="008A74EB" w:rsidRPr="00993B55">
        <w:rPr>
          <w:rStyle w:val="libFootnoteBoldChar"/>
          <w:rtl/>
        </w:rPr>
        <w:t>الوافي</w:t>
      </w:r>
      <w:r w:rsidR="008A74EB" w:rsidRPr="00C9040A">
        <w:rPr>
          <w:rtl/>
        </w:rPr>
        <w:t xml:space="preserve"> ، ج 5 ، ص 610 ، ح 2691 ؛ </w:t>
      </w:r>
      <w:r w:rsidR="008A74EB" w:rsidRPr="00993B55">
        <w:rPr>
          <w:rStyle w:val="libFootnoteBoldChar"/>
          <w:rtl/>
        </w:rPr>
        <w:t>الوسائل</w:t>
      </w:r>
      <w:r w:rsidR="008A74EB" w:rsidRPr="00C9040A">
        <w:rPr>
          <w:rtl/>
        </w:rPr>
        <w:t xml:space="preserve"> ، ج 12 ، ص 220 ، ح 16134 ؛ </w:t>
      </w:r>
      <w:r w:rsidR="008A74EB" w:rsidRPr="00993B55">
        <w:rPr>
          <w:rStyle w:val="libFootnoteBoldChar"/>
          <w:rtl/>
        </w:rPr>
        <w:t>البحار</w:t>
      </w:r>
      <w:r w:rsidR="008A74EB" w:rsidRPr="00C9040A">
        <w:rPr>
          <w:rtl/>
        </w:rPr>
        <w:t xml:space="preserve"> ، ج 76 ، ص 28 ، ح 20.</w:t>
      </w:r>
    </w:p>
    <w:p w:rsidR="008A74EB" w:rsidRPr="00C9040A" w:rsidRDefault="006C577F" w:rsidP="004A4E41">
      <w:pPr>
        <w:pStyle w:val="libFootnote0"/>
        <w:rPr>
          <w:rtl/>
          <w:lang w:bidi="fa-IR"/>
        </w:rPr>
      </w:pPr>
      <w:r>
        <w:rPr>
          <w:rtl/>
        </w:rPr>
        <w:t>(9).</w:t>
      </w:r>
      <w:r w:rsidR="008A74EB" w:rsidRPr="00C9040A">
        <w:rPr>
          <w:rtl/>
        </w:rPr>
        <w:t xml:space="preserve"> الضمير راجع إلى أحمد بن محمّد بن خالد المذكور في السند السابق.</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بْنِ شِمْرٍ ، عَنْ جَابِرٍ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إِذَا </w:t>
      </w:r>
      <w:r w:rsidR="006C577F" w:rsidRPr="006C577F">
        <w:rPr>
          <w:rStyle w:val="libFootnotenumChar"/>
          <w:rtl/>
        </w:rPr>
        <w:t>(1)</w:t>
      </w:r>
      <w:r w:rsidRPr="00C9040A">
        <w:rPr>
          <w:rtl/>
          <w:lang w:bidi="fa-IR"/>
        </w:rPr>
        <w:t xml:space="preserve"> الْتَقَيْتُمْ </w:t>
      </w:r>
      <w:r w:rsidR="006C577F" w:rsidRPr="006C577F">
        <w:rPr>
          <w:rStyle w:val="libFootnotenumChar"/>
          <w:rtl/>
        </w:rPr>
        <w:t>(2)</w:t>
      </w:r>
      <w:r w:rsidRPr="00C9040A">
        <w:rPr>
          <w:rtl/>
          <w:lang w:bidi="fa-IR"/>
        </w:rPr>
        <w:t xml:space="preserve"> فَتَلَاقَوْا بِالتَّسْلِيمِ وَالتَّصَافُحِ ، وَإِذَا </w:t>
      </w:r>
      <w:r w:rsidR="006C577F" w:rsidRPr="006C577F">
        <w:rPr>
          <w:rStyle w:val="libFootnotenumChar"/>
          <w:rtl/>
        </w:rPr>
        <w:t>(3)</w:t>
      </w:r>
      <w:r w:rsidRPr="00C9040A">
        <w:rPr>
          <w:rtl/>
          <w:lang w:bidi="fa-IR"/>
        </w:rPr>
        <w:t xml:space="preserve"> تَفَرَّقْتُمْ فَتَفَرَّقُوا </w:t>
      </w:r>
      <w:r w:rsidR="006C577F" w:rsidRPr="006C577F">
        <w:rPr>
          <w:rStyle w:val="libFootnotenumChar"/>
          <w:rtl/>
        </w:rPr>
        <w:t>(4)</w:t>
      </w:r>
      <w:r w:rsidRPr="00C9040A">
        <w:rPr>
          <w:rtl/>
          <w:lang w:bidi="fa-IR"/>
        </w:rPr>
        <w:t xml:space="preserve"> بِالِاسْتِغْفَارِ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D748E6">
        <w:rPr>
          <w:rtl/>
        </w:rPr>
        <w:t>2103</w:t>
      </w:r>
      <w:r w:rsidRPr="00261CB0">
        <w:rPr>
          <w:rStyle w:val="libBold2Char"/>
          <w:rtl/>
        </w:rPr>
        <w:t xml:space="preserve"> / 12.</w:t>
      </w:r>
      <w:r w:rsidRPr="00C9040A">
        <w:rPr>
          <w:rtl/>
          <w:lang w:bidi="fa-IR"/>
        </w:rPr>
        <w:t xml:space="preserve"> عَنْهُ </w:t>
      </w:r>
      <w:r w:rsidR="006C577F" w:rsidRPr="006C577F">
        <w:rPr>
          <w:rStyle w:val="libFootnotenumChar"/>
          <w:rtl/>
        </w:rPr>
        <w:t>(6)</w:t>
      </w:r>
      <w:r w:rsidRPr="005B567D">
        <w:rPr>
          <w:rStyle w:val="libFootnotenumChar"/>
          <w:rtl/>
        </w:rPr>
        <w:t xml:space="preserve"> </w:t>
      </w:r>
      <w:r w:rsidRPr="00C9040A">
        <w:rPr>
          <w:rtl/>
          <w:lang w:bidi="fa-IR"/>
        </w:rPr>
        <w:t xml:space="preserve">، عَنْ مُوسَى بْنِ الْقَاسِمِ ، عَنْ جَدِّهِ </w:t>
      </w:r>
      <w:r w:rsidR="006C577F" w:rsidRPr="006C577F">
        <w:rPr>
          <w:rStyle w:val="libFootnotenumChar"/>
          <w:rtl/>
        </w:rPr>
        <w:t>(7)</w:t>
      </w:r>
      <w:r w:rsidRPr="00C9040A">
        <w:rPr>
          <w:rtl/>
          <w:lang w:bidi="fa-IR"/>
        </w:rPr>
        <w:t xml:space="preserve"> مُعَاوِيَةَ بْنِ وَهْبٍ ، أَوْ غَيْرِهِ ، عَنْ رَزِينٍ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كَانَ الْمُسْلِمُونَ إِذَا غَزَوْا مَعَ رَسُولِ اللهِ </w:t>
      </w:r>
      <w:r w:rsidR="004A4E41" w:rsidRPr="004A4E41">
        <w:rPr>
          <w:rStyle w:val="libAlaemChar"/>
          <w:rtl/>
        </w:rPr>
        <w:t>صلى‌الله‌عليه‌وآله</w:t>
      </w:r>
      <w:r w:rsidRPr="00C9040A">
        <w:rPr>
          <w:rtl/>
          <w:lang w:bidi="fa-IR"/>
        </w:rPr>
        <w:t xml:space="preserve"> ، وَمَرُّوا </w:t>
      </w:r>
      <w:r w:rsidR="006C577F" w:rsidRPr="006C577F">
        <w:rPr>
          <w:rStyle w:val="libFootnotenumChar"/>
          <w:rtl/>
        </w:rPr>
        <w:t>(8)</w:t>
      </w:r>
      <w:r w:rsidRPr="00C9040A">
        <w:rPr>
          <w:rtl/>
          <w:lang w:bidi="fa-IR"/>
        </w:rPr>
        <w:t xml:space="preserve"> بِمَكَانٍ كَثِيرِ الشَّجَرِ ، ثُمَّ خَرَجُوا إِلَى الْفَضَاءِ </w:t>
      </w:r>
      <w:r w:rsidR="006C577F" w:rsidRPr="006C577F">
        <w:rPr>
          <w:rStyle w:val="libFootnotenumChar"/>
          <w:rtl/>
        </w:rPr>
        <w:t>(9)</w:t>
      </w:r>
      <w:r w:rsidRPr="00C9040A">
        <w:rPr>
          <w:rtl/>
          <w:lang w:bidi="fa-IR"/>
        </w:rPr>
        <w:t xml:space="preserve"> ، نَظَرَ بَعْضُهُمْ إِلى بَعْضٍ فَتَصَافَحُوا »</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Normal"/>
        <w:rPr>
          <w:rtl/>
          <w:lang w:bidi="fa-IR"/>
        </w:rPr>
      </w:pPr>
      <w:r w:rsidRPr="00D748E6">
        <w:rPr>
          <w:rtl/>
        </w:rPr>
        <w:t>2104</w:t>
      </w:r>
      <w:r w:rsidRPr="00261CB0">
        <w:rPr>
          <w:rStyle w:val="libBold2Char"/>
          <w:rtl/>
        </w:rPr>
        <w:t xml:space="preserve"> / 13.</w:t>
      </w:r>
      <w:r w:rsidRPr="00C9040A">
        <w:rPr>
          <w:rtl/>
          <w:lang w:bidi="fa-IR"/>
        </w:rPr>
        <w:t xml:space="preserve"> عَنْهُ </w:t>
      </w:r>
      <w:r w:rsidR="006C577F" w:rsidRPr="006C577F">
        <w:rPr>
          <w:rStyle w:val="libFootnotenumChar"/>
          <w:rtl/>
        </w:rPr>
        <w:t>(11)</w:t>
      </w:r>
      <w:r w:rsidRPr="00C9040A">
        <w:rPr>
          <w:rtl/>
          <w:lang w:bidi="fa-IR"/>
        </w:rPr>
        <w:t xml:space="preserve"> ، عَنْ أَبِيهِ ، عَمَّنْ حَدَّثَهُ ، عَنْ زَيْدِ بْنِ الْجَهْمِ الْهِلَالِيِّ ، عَنْ مَالِكِ بْنِ أَعْيَنَ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إِذَا صَافَحَ الرَّجُلُ صَاحِبَهُ ، فَالَّذِي يَلْزَمُ التَّصَافُحَ أَعْظَمُ أَجْراً‌</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FD401B" w:rsidTr="00FD401B">
        <w:tc>
          <w:tcPr>
            <w:tcW w:w="4006" w:type="dxa"/>
          </w:tcPr>
          <w:p w:rsidR="00FD401B" w:rsidRDefault="00FD401B" w:rsidP="004A4E41">
            <w:pPr>
              <w:pStyle w:val="libFootnote0"/>
              <w:rPr>
                <w:rtl/>
              </w:rPr>
            </w:pPr>
            <w:r>
              <w:rPr>
                <w:rtl/>
              </w:rPr>
              <w:t xml:space="preserve">(1). </w:t>
            </w:r>
            <w:r w:rsidRPr="00C9040A">
              <w:rPr>
                <w:rtl/>
              </w:rPr>
              <w:t>في « ص » : « إذ »</w:t>
            </w:r>
            <w:r>
              <w:rPr>
                <w:rtl/>
              </w:rPr>
              <w:t>.</w:t>
            </w:r>
          </w:p>
        </w:tc>
        <w:tc>
          <w:tcPr>
            <w:tcW w:w="4006" w:type="dxa"/>
          </w:tcPr>
          <w:p w:rsidR="00FD401B" w:rsidRDefault="00FD401B" w:rsidP="004A4E41">
            <w:pPr>
              <w:pStyle w:val="libFootnote0"/>
              <w:rPr>
                <w:rtl/>
              </w:rPr>
            </w:pPr>
            <w:r>
              <w:rPr>
                <w:rtl/>
              </w:rPr>
              <w:t xml:space="preserve">(2). </w:t>
            </w:r>
            <w:r w:rsidRPr="00C9040A">
              <w:rPr>
                <w:rtl/>
              </w:rPr>
              <w:t>في الأمالي : « تلاقيتم »</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في « ض ، ف » : « فإذا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ب » : « تفارقوا »</w:t>
      </w:r>
      <w:r w:rsidR="008A74EB">
        <w:rPr>
          <w:rtl/>
        </w:rPr>
        <w:t>.</w:t>
      </w:r>
      <w:r w:rsidR="008A74EB" w:rsidRPr="00C9040A">
        <w:rPr>
          <w:rtl/>
        </w:rPr>
        <w:t xml:space="preserve"> وفي حاشية « بف » : « إذا تفارقتم فتفارقوا »</w:t>
      </w:r>
      <w:r w:rsidR="008A74EB">
        <w:rPr>
          <w:rtl/>
        </w:rPr>
        <w:t>.</w:t>
      </w:r>
      <w:r w:rsidR="008A74EB" w:rsidRPr="00C9040A">
        <w:rPr>
          <w:rtl/>
        </w:rPr>
        <w:t xml:space="preserve"> وقوله : « بالاستغفار » يعني بأن تقولوا : غفر الله لك مثلاً.</w:t>
      </w:r>
    </w:p>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الأمالي</w:t>
      </w:r>
      <w:r w:rsidR="008A74EB" w:rsidRPr="00FD401B">
        <w:rPr>
          <w:rStyle w:val="libFootnoteBoldChar"/>
          <w:rtl/>
        </w:rPr>
        <w:t xml:space="preserve"> للطوسي</w:t>
      </w:r>
      <w:r w:rsidR="008A74EB" w:rsidRPr="00C9040A">
        <w:rPr>
          <w:rtl/>
        </w:rPr>
        <w:t xml:space="preserve"> ، ص 215 ، المجلس 8 ، ح 24 ، بسنده عن سيف بن عميرة </w:t>
      </w:r>
      <w:r w:rsidR="00FD401B">
        <w:rPr>
          <w:rFonts w:hint="cs"/>
          <w:rtl/>
        </w:rPr>
        <w:t>.</w:t>
      </w:r>
      <w:r w:rsidR="008A74EB" w:rsidRPr="00993B55">
        <w:rPr>
          <w:rStyle w:val="libFootnoteBoldChar"/>
          <w:rtl/>
        </w:rPr>
        <w:t>الوافي</w:t>
      </w:r>
      <w:r w:rsidR="008A74EB" w:rsidRPr="00C9040A">
        <w:rPr>
          <w:rtl/>
        </w:rPr>
        <w:t xml:space="preserve"> ، ج 5 ، ص 610 ، ح 2692 ؛ </w:t>
      </w:r>
      <w:r w:rsidR="008A74EB" w:rsidRPr="00993B55">
        <w:rPr>
          <w:rStyle w:val="libFootnoteBoldChar"/>
          <w:rtl/>
        </w:rPr>
        <w:t>الوسائل</w:t>
      </w:r>
      <w:r w:rsidR="008A74EB" w:rsidRPr="00C9040A">
        <w:rPr>
          <w:rtl/>
        </w:rPr>
        <w:t xml:space="preserve"> ، ج 12 ، ص 220 ، ح 16135 ؛ </w:t>
      </w:r>
      <w:r w:rsidR="008A74EB" w:rsidRPr="00993B55">
        <w:rPr>
          <w:rStyle w:val="libFootnoteBoldChar"/>
          <w:rtl/>
        </w:rPr>
        <w:t>البحار</w:t>
      </w:r>
      <w:r w:rsidR="008A74EB" w:rsidRPr="00C9040A">
        <w:rPr>
          <w:rtl/>
        </w:rPr>
        <w:t xml:space="preserve"> ، ج 76 ، ص 28 ، ح 21.</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الضمير راجع إلى أحمد بن محمّد بن خالد.</w:t>
      </w:r>
    </w:p>
    <w:p w:rsidR="008A74EB" w:rsidRPr="00C9040A" w:rsidRDefault="006C577F" w:rsidP="004A4E41">
      <w:pPr>
        <w:pStyle w:val="libFootnote0"/>
        <w:rPr>
          <w:rtl/>
          <w:lang w:bidi="fa-IR"/>
        </w:rPr>
      </w:pPr>
      <w:r>
        <w:rPr>
          <w:rtl/>
        </w:rPr>
        <w:t>(7).</w:t>
      </w:r>
      <w:r w:rsidR="008A74EB" w:rsidRPr="00C9040A">
        <w:rPr>
          <w:rtl/>
        </w:rPr>
        <w:t xml:space="preserve"> في « ز ، ف » وحاشية « ص ، بر » : + « الحسن بن راشد عن »</w:t>
      </w:r>
      <w:r w:rsidR="008A74EB">
        <w:rPr>
          <w:rtl/>
        </w:rPr>
        <w:t>.</w:t>
      </w:r>
    </w:p>
    <w:p w:rsidR="008A74EB" w:rsidRPr="00C9040A" w:rsidRDefault="008A74EB" w:rsidP="004A4E41">
      <w:pPr>
        <w:pStyle w:val="libFootnote0"/>
        <w:rPr>
          <w:rtl/>
          <w:lang w:bidi="fa-IR"/>
        </w:rPr>
      </w:pPr>
      <w:r w:rsidRPr="00323A39">
        <w:rPr>
          <w:rtl/>
        </w:rPr>
        <w:t xml:space="preserve">ووقوع السهو في هذه النسخ واضح ؛ فإنّ موسى بن القاسم ، هو موسى بن القاسم بن معاوية بن وَهْب البجلي. راجع : </w:t>
      </w:r>
      <w:r w:rsidRPr="00993B55">
        <w:rPr>
          <w:rStyle w:val="libFootnoteBoldChar"/>
          <w:rtl/>
        </w:rPr>
        <w:t>رجال النجاشي</w:t>
      </w:r>
      <w:r w:rsidRPr="00323A39">
        <w:rPr>
          <w:rtl/>
        </w:rPr>
        <w:t xml:space="preserve"> ، ص 405 ، الرقم 1073 ؛ </w:t>
      </w:r>
      <w:r w:rsidRPr="0034021D">
        <w:rPr>
          <w:rStyle w:val="libFootnoteBoldChar"/>
          <w:rtl/>
        </w:rPr>
        <w:t>الفهرست للطوسي</w:t>
      </w:r>
      <w:r w:rsidRPr="00323A39">
        <w:rPr>
          <w:rtl/>
        </w:rPr>
        <w:t xml:space="preserve"> ، ص 453 ، الرقم 718.</w:t>
      </w:r>
    </w:p>
    <w:p w:rsidR="008A74EB" w:rsidRPr="00C9040A" w:rsidRDefault="008A74EB" w:rsidP="00556DA9">
      <w:pPr>
        <w:pStyle w:val="libFootnote0"/>
        <w:rPr>
          <w:rtl/>
          <w:lang w:bidi="fa-IR"/>
        </w:rPr>
      </w:pPr>
      <w:r w:rsidRPr="00323A39">
        <w:rPr>
          <w:rtl/>
        </w:rPr>
        <w:t xml:space="preserve">وكأنّ قد اشتبه موسى بن القاسم بالقاسم بن يحيى الراوي عن جدّه الحسن بن راشد ، كثيراً ، فتأمّل. راجع : </w:t>
      </w:r>
      <w:r w:rsidRPr="00993B55">
        <w:rPr>
          <w:rStyle w:val="libFootnoteBoldChar"/>
          <w:rtl/>
        </w:rPr>
        <w:t>معجم رجال الحديث</w:t>
      </w:r>
      <w:r w:rsidRPr="00323A39">
        <w:rPr>
          <w:rtl/>
        </w:rPr>
        <w:t xml:space="preserve"> ، ج 14 ، ص 66.</w:t>
      </w:r>
      <w:r w:rsidR="00556DA9">
        <w:rPr>
          <w:rFonts w:hint="cs"/>
          <w:rtl/>
        </w:rPr>
        <w:t xml:space="preserve">                    </w:t>
      </w:r>
      <w:r w:rsidR="006C577F">
        <w:rPr>
          <w:rtl/>
        </w:rPr>
        <w:t>(8).</w:t>
      </w:r>
      <w:r w:rsidRPr="00C9040A">
        <w:rPr>
          <w:rtl/>
        </w:rPr>
        <w:t xml:space="preserve"> في « ف » والبحار : « ثمّ مرّوا »</w:t>
      </w:r>
      <w:r>
        <w:rPr>
          <w:rtl/>
        </w:rPr>
        <w:t>.</w:t>
      </w:r>
    </w:p>
    <w:p w:rsidR="008A74EB" w:rsidRPr="00C9040A" w:rsidRDefault="006C577F" w:rsidP="004A4E41">
      <w:pPr>
        <w:pStyle w:val="libFootnote0"/>
        <w:rPr>
          <w:rtl/>
          <w:lang w:bidi="fa-IR"/>
        </w:rPr>
      </w:pPr>
      <w:r>
        <w:rPr>
          <w:rtl/>
        </w:rPr>
        <w:t>(9).</w:t>
      </w:r>
      <w:r w:rsidR="008A74EB" w:rsidRPr="00C9040A">
        <w:rPr>
          <w:rtl/>
        </w:rPr>
        <w:t xml:space="preserve"> « الفضاء » : الخالي الفارغ الواسع من الأرض. </w:t>
      </w:r>
      <w:r w:rsidR="008A74EB" w:rsidRPr="00993B55">
        <w:rPr>
          <w:rStyle w:val="libFootnoteBoldChar"/>
          <w:rtl/>
        </w:rPr>
        <w:t>النهاية</w:t>
      </w:r>
      <w:r w:rsidR="008A74EB" w:rsidRPr="00C9040A">
        <w:rPr>
          <w:rtl/>
        </w:rPr>
        <w:t xml:space="preserve"> ، ج 3 ، ص 456 ( فضا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w:t>
      </w:r>
      <w:r w:rsidR="008A74EB" w:rsidRPr="00993B55">
        <w:rPr>
          <w:rStyle w:val="libFootnoteBoldChar"/>
          <w:rtl/>
        </w:rPr>
        <w:t>الوافي</w:t>
      </w:r>
      <w:r w:rsidR="008A74EB" w:rsidRPr="00C9040A">
        <w:rPr>
          <w:rtl/>
        </w:rPr>
        <w:t xml:space="preserve"> ، ج 5 ، ص 610 ، ح 2693 ؛ </w:t>
      </w:r>
      <w:r w:rsidR="008A74EB" w:rsidRPr="00993B55">
        <w:rPr>
          <w:rStyle w:val="libFootnoteBoldChar"/>
          <w:rtl/>
        </w:rPr>
        <w:t>الوسائل</w:t>
      </w:r>
      <w:r w:rsidR="008A74EB" w:rsidRPr="00C9040A">
        <w:rPr>
          <w:rtl/>
        </w:rPr>
        <w:t xml:space="preserve"> ، ج 12 ، ص 225 ، ح 16150 ؛ </w:t>
      </w:r>
      <w:r w:rsidR="008A74EB" w:rsidRPr="00993B55">
        <w:rPr>
          <w:rStyle w:val="libFootnoteBoldChar"/>
          <w:rtl/>
        </w:rPr>
        <w:t>البحار</w:t>
      </w:r>
      <w:r w:rsidR="008A74EB" w:rsidRPr="00C9040A">
        <w:rPr>
          <w:rtl/>
        </w:rPr>
        <w:t xml:space="preserve"> ، ج 76 ، ص 28 ، ح 22.</w:t>
      </w:r>
    </w:p>
    <w:p w:rsidR="008A74EB" w:rsidRPr="00C9040A" w:rsidRDefault="006C577F" w:rsidP="004A4E41">
      <w:pPr>
        <w:pStyle w:val="libFootnote0"/>
        <w:rPr>
          <w:rtl/>
          <w:lang w:bidi="fa-IR"/>
        </w:rPr>
      </w:pPr>
      <w:r>
        <w:rPr>
          <w:rtl/>
        </w:rPr>
        <w:t>(11).</w:t>
      </w:r>
      <w:r w:rsidR="008A74EB" w:rsidRPr="00C9040A">
        <w:rPr>
          <w:rtl/>
        </w:rPr>
        <w:t xml:space="preserve"> الضمير راجع إلى أحمد بن محمّد بن خالد.</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مِنَ الَّذِي يَدَعُ ، أَلَا وَإِنَّ الذُّنُوبَ لَتَتَحَاتُّ </w:t>
      </w:r>
      <w:r w:rsidR="006C577F" w:rsidRPr="006C577F">
        <w:rPr>
          <w:rStyle w:val="libFootnotenumChar"/>
          <w:rtl/>
        </w:rPr>
        <w:t>(1)</w:t>
      </w:r>
      <w:r w:rsidRPr="00C9040A">
        <w:rPr>
          <w:rtl/>
          <w:lang w:bidi="fa-IR"/>
        </w:rPr>
        <w:t xml:space="preserve"> فِيمَا بَيْنَهُمْ </w:t>
      </w:r>
      <w:r w:rsidR="006C577F" w:rsidRPr="006C577F">
        <w:rPr>
          <w:rStyle w:val="libFootnotenumChar"/>
          <w:rtl/>
        </w:rPr>
        <w:t>(2)</w:t>
      </w:r>
      <w:r w:rsidRPr="00C9040A">
        <w:rPr>
          <w:rtl/>
          <w:lang w:bidi="fa-IR"/>
        </w:rPr>
        <w:t xml:space="preserve"> حَتّى لَايَبْقى ذَنْبٌ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293469">
        <w:rPr>
          <w:rtl/>
        </w:rPr>
        <w:t>2105</w:t>
      </w:r>
      <w:r w:rsidRPr="00261CB0">
        <w:rPr>
          <w:rStyle w:val="libBold2Char"/>
          <w:rtl/>
        </w:rPr>
        <w:t xml:space="preserve"> / 14.</w:t>
      </w:r>
      <w:r w:rsidRPr="00C9040A">
        <w:rPr>
          <w:rtl/>
          <w:lang w:bidi="fa-IR"/>
        </w:rPr>
        <w:t xml:space="preserve"> عِدَّةٌ مِنْ أَصْحَابِنَا ، عَنْ سَهْلِ بْنِ زِيَادٍ ، عَنْ يَحْيَى بْنِ الْمُبَارَكِ ، عَنْ عَبْدِ اللهِ بْنِ جَبَلَةَ ، عَنْ إِسْحَاقَ بْنِ عَمَّارٍ ، قَالَ :</w:t>
      </w:r>
    </w:p>
    <w:p w:rsidR="008A74EB" w:rsidRPr="00C9040A" w:rsidRDefault="008A74EB" w:rsidP="008A74EB">
      <w:pPr>
        <w:pStyle w:val="libNormal"/>
        <w:rPr>
          <w:rtl/>
          <w:lang w:bidi="fa-IR"/>
        </w:rPr>
      </w:pPr>
      <w:r w:rsidRPr="00C9040A">
        <w:rPr>
          <w:rtl/>
          <w:lang w:bidi="fa-IR"/>
        </w:rPr>
        <w:t xml:space="preserve">دَخَلْتُ عَلى أَبِي عَبْدِ اللهِ ، فَنَظَرَ إِلَيَّ بِوَجْهٍ قَاطِبٍ </w:t>
      </w:r>
      <w:r w:rsidR="006C577F" w:rsidRPr="006C577F">
        <w:rPr>
          <w:rStyle w:val="libFootnotenumChar"/>
          <w:rtl/>
        </w:rPr>
        <w:t>(4)</w:t>
      </w:r>
      <w:r w:rsidRPr="00C9040A">
        <w:rPr>
          <w:rtl/>
          <w:lang w:bidi="fa-IR"/>
        </w:rPr>
        <w:t xml:space="preserve"> ، فَقُلْتُ : مَا الَّذِي غَيَّرَكَ لِي</w:t>
      </w:r>
      <w:r>
        <w:rPr>
          <w:rtl/>
          <w:lang w:bidi="fa-IR"/>
        </w:rPr>
        <w:t>؟</w:t>
      </w:r>
    </w:p>
    <w:p w:rsidR="008A74EB" w:rsidRPr="00C9040A" w:rsidRDefault="008A74EB" w:rsidP="008A74EB">
      <w:pPr>
        <w:pStyle w:val="libNormal"/>
        <w:rPr>
          <w:rtl/>
          <w:lang w:bidi="fa-IR"/>
        </w:rPr>
      </w:pPr>
      <w:r w:rsidRPr="00C9040A">
        <w:rPr>
          <w:rtl/>
          <w:lang w:bidi="fa-IR"/>
        </w:rPr>
        <w:t xml:space="preserve">قَالَ : « الَّذِي غَيَّرَكَ لِإِخْوَانِكَ ، بَلَغَنِي يَا إِسْحَاقُ أَنَّكَ أَقْعَدْتَ بِبَابِكَ بَوَّاباً يَرُدُّ عَنْكَ </w:t>
      </w:r>
      <w:r w:rsidR="006C577F" w:rsidRPr="006C577F">
        <w:rPr>
          <w:rStyle w:val="libFootnotenumChar"/>
          <w:rtl/>
        </w:rPr>
        <w:t>(5)</w:t>
      </w:r>
      <w:r w:rsidRPr="00C9040A">
        <w:rPr>
          <w:rtl/>
          <w:lang w:bidi="fa-IR"/>
        </w:rPr>
        <w:t xml:space="preserve"> فُقَرَاءَ الشِّيعَةِ »</w:t>
      </w:r>
      <w:r>
        <w:rPr>
          <w:rtl/>
          <w:lang w:bidi="fa-IR"/>
        </w:rPr>
        <w:t>.</w:t>
      </w:r>
    </w:p>
    <w:p w:rsidR="008A74EB" w:rsidRPr="00C9040A" w:rsidRDefault="008A74EB" w:rsidP="008A74EB">
      <w:pPr>
        <w:pStyle w:val="libNormal"/>
        <w:rPr>
          <w:rtl/>
          <w:lang w:bidi="fa-IR"/>
        </w:rPr>
      </w:pPr>
      <w:r w:rsidRPr="00C9040A">
        <w:rPr>
          <w:rtl/>
          <w:lang w:bidi="fa-IR"/>
        </w:rPr>
        <w:t>فَقُلْتُ : جُعِلْتُ فِدَاكَ ، إِنِّي خِفْتُ الشُّهْرَةَ.</w:t>
      </w:r>
    </w:p>
    <w:p w:rsidR="008A74EB" w:rsidRPr="00C9040A" w:rsidRDefault="008A74EB" w:rsidP="008A74EB">
      <w:pPr>
        <w:pStyle w:val="libNormal"/>
        <w:rPr>
          <w:rtl/>
          <w:lang w:bidi="fa-IR"/>
        </w:rPr>
      </w:pPr>
      <w:r w:rsidRPr="00C9040A">
        <w:rPr>
          <w:rtl/>
          <w:lang w:bidi="fa-IR"/>
        </w:rPr>
        <w:t xml:space="preserve">فَقَالَ </w:t>
      </w:r>
      <w:r w:rsidR="006C577F" w:rsidRPr="006C577F">
        <w:rPr>
          <w:rStyle w:val="libFootnotenumChar"/>
          <w:rtl/>
        </w:rPr>
        <w:t>(6)</w:t>
      </w:r>
      <w:r w:rsidRPr="005B567D">
        <w:rPr>
          <w:rStyle w:val="libFootnotenumChar"/>
          <w:rtl/>
        </w:rPr>
        <w:t xml:space="preserve"> </w:t>
      </w:r>
      <w:r>
        <w:rPr>
          <w:rtl/>
          <w:lang w:bidi="fa-IR"/>
        </w:rPr>
        <w:t>: « أَ</w:t>
      </w:r>
      <w:r w:rsidRPr="00C9040A">
        <w:rPr>
          <w:rtl/>
          <w:lang w:bidi="fa-IR"/>
        </w:rPr>
        <w:t xml:space="preserve">فَلَا خِفْتَ </w:t>
      </w:r>
      <w:r w:rsidR="006C577F" w:rsidRPr="006C577F">
        <w:rPr>
          <w:rStyle w:val="libFootnotenumChar"/>
          <w:rtl/>
        </w:rPr>
        <w:t>(7)</w:t>
      </w:r>
      <w:r w:rsidRPr="00C9040A">
        <w:rPr>
          <w:rtl/>
          <w:lang w:bidi="fa-IR"/>
        </w:rPr>
        <w:t xml:space="preserve"> الْبَلِيَّةَ</w:t>
      </w:r>
      <w:r>
        <w:rPr>
          <w:rtl/>
          <w:lang w:bidi="fa-IR"/>
        </w:rPr>
        <w:t>؟ أَ</w:t>
      </w:r>
      <w:r w:rsidRPr="00C9040A">
        <w:rPr>
          <w:rtl/>
          <w:lang w:bidi="fa-IR"/>
        </w:rPr>
        <w:t>وَمَا عَلِمْتَ أَنَّ الْمُؤْمِنَيْنِ إِذَا الْتَقَيَا فَتَصَافَحَا ، أَنْزَلَ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الرَّحْمَةَ عَلَيْهِمَا </w:t>
      </w:r>
      <w:r w:rsidR="006C577F" w:rsidRPr="006C577F">
        <w:rPr>
          <w:rStyle w:val="libFootnotenumChar"/>
          <w:rtl/>
        </w:rPr>
        <w:t>(8)</w:t>
      </w:r>
      <w:r w:rsidRPr="00C9040A">
        <w:rPr>
          <w:rtl/>
          <w:lang w:bidi="fa-IR"/>
        </w:rPr>
        <w:t xml:space="preserve"> ، فَكَانَتْ تِسْعَةٌ وَتِسْعُونَ </w:t>
      </w:r>
      <w:r w:rsidR="006C577F" w:rsidRPr="006C577F">
        <w:rPr>
          <w:rStyle w:val="libFootnotenumChar"/>
          <w:rtl/>
        </w:rPr>
        <w:t>(9)</w:t>
      </w:r>
      <w:r w:rsidRPr="00C9040A">
        <w:rPr>
          <w:rtl/>
          <w:lang w:bidi="fa-IR"/>
        </w:rPr>
        <w:t xml:space="preserve"> لِأَشَدِّهِمَا حُبّاً لِصَاحِبِهِ ، فَإِذَا تَوَافَقَا </w:t>
      </w:r>
      <w:r w:rsidR="006C577F" w:rsidRPr="006C577F">
        <w:rPr>
          <w:rStyle w:val="libFootnotenumChar"/>
          <w:rtl/>
        </w:rPr>
        <w:t>(10)</w:t>
      </w:r>
      <w:r w:rsidRPr="00C9040A">
        <w:rPr>
          <w:rtl/>
          <w:lang w:bidi="fa-IR"/>
        </w:rPr>
        <w:t xml:space="preserve"> غَمَرَتْهُمَا الرَّحْمَةُ ، فَإِذَا </w:t>
      </w:r>
      <w:r w:rsidR="006C577F" w:rsidRPr="006C577F">
        <w:rPr>
          <w:rStyle w:val="libFootnotenumChar"/>
          <w:rtl/>
        </w:rPr>
        <w:t>(11)</w:t>
      </w:r>
      <w:r w:rsidRPr="00C9040A">
        <w:rPr>
          <w:rtl/>
          <w:lang w:bidi="fa-IR"/>
        </w:rPr>
        <w:t xml:space="preserve"> قَعَدَا يَتَحَدَّثَانِ </w:t>
      </w:r>
      <w:r w:rsidR="006C577F" w:rsidRPr="006C577F">
        <w:rPr>
          <w:rStyle w:val="libFootnotenumChar"/>
          <w:rtl/>
        </w:rPr>
        <w:t>(12)</w:t>
      </w:r>
      <w:r w:rsidRPr="00C9040A">
        <w:rPr>
          <w:rtl/>
          <w:lang w:bidi="fa-IR"/>
        </w:rPr>
        <w:t xml:space="preserve"> ،</w:t>
      </w:r>
      <w:r w:rsidR="00556DA9">
        <w:rPr>
          <w:rFonts w:hint="cs"/>
          <w:rtl/>
          <w:lang w:bidi="fa-IR"/>
        </w:rPr>
        <w:t>.....................................</w:t>
      </w:r>
      <w:r w:rsidR="00556DA9">
        <w:rPr>
          <w:rFonts w:hint="cs"/>
          <w:rtl/>
          <w:lang w:bidi="fa-IR"/>
        </w:rPr>
        <w:tab/>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هكذا في معظم النسخ التي قوبلت والوافي والوسائل والبحار. وفي « ج » والمطبوع : « ليتحاتّ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الوافي : « بينهما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w:t>
      </w:r>
      <w:r w:rsidR="008A74EB" w:rsidRPr="00993B55">
        <w:rPr>
          <w:rStyle w:val="libFootnoteBoldChar"/>
          <w:rtl/>
        </w:rPr>
        <w:t>الوافي</w:t>
      </w:r>
      <w:r w:rsidR="008A74EB" w:rsidRPr="00C9040A">
        <w:rPr>
          <w:rtl/>
        </w:rPr>
        <w:t xml:space="preserve"> ، ج 5 ، ص 611 ، ح 2694 ؛ </w:t>
      </w:r>
      <w:r w:rsidR="008A74EB" w:rsidRPr="00993B55">
        <w:rPr>
          <w:rStyle w:val="libFootnoteBoldChar"/>
          <w:rtl/>
        </w:rPr>
        <w:t>الوسائل</w:t>
      </w:r>
      <w:r w:rsidR="008A74EB" w:rsidRPr="00C9040A">
        <w:rPr>
          <w:rtl/>
        </w:rPr>
        <w:t xml:space="preserve"> ، ج 12 ، ص 143 ، ح 15889 ؛ </w:t>
      </w:r>
      <w:r w:rsidR="008A74EB" w:rsidRPr="00993B55">
        <w:rPr>
          <w:rStyle w:val="libFootnoteBoldChar"/>
          <w:rtl/>
        </w:rPr>
        <w:t>البحار</w:t>
      </w:r>
      <w:r w:rsidR="008A74EB" w:rsidRPr="00C9040A">
        <w:rPr>
          <w:rtl/>
        </w:rPr>
        <w:t xml:space="preserve"> ، ج 76 ، ص 28 ، ح 23.</w:t>
      </w:r>
    </w:p>
    <w:p w:rsidR="008A74EB" w:rsidRPr="00C9040A" w:rsidRDefault="006C577F" w:rsidP="004A4E41">
      <w:pPr>
        <w:pStyle w:val="libFootnote0"/>
        <w:rPr>
          <w:rtl/>
          <w:lang w:bidi="fa-IR"/>
        </w:rPr>
      </w:pPr>
      <w:r>
        <w:rPr>
          <w:rtl/>
        </w:rPr>
        <w:t>(4).</w:t>
      </w:r>
      <w:r w:rsidR="008A74EB" w:rsidRPr="00C9040A">
        <w:rPr>
          <w:rtl/>
        </w:rPr>
        <w:t xml:space="preserve"> قطب يَقْطِبُ قَطْباً وقطوباً فهو قاطب وقَطوب : زوى ما بين عينيه وكلح كما يفعله العَبوس ، كقطّب. </w:t>
      </w:r>
      <w:r w:rsidR="008A74EB" w:rsidRPr="00993B55">
        <w:rPr>
          <w:rStyle w:val="libFootnoteBoldChar"/>
          <w:rtl/>
        </w:rPr>
        <w:t>القاموس المحيط</w:t>
      </w:r>
      <w:r w:rsidR="008A74EB" w:rsidRPr="00C9040A">
        <w:rPr>
          <w:rtl/>
        </w:rPr>
        <w:t xml:space="preserve"> ، ج 1 ، ص 215 ؛ </w:t>
      </w:r>
      <w:r w:rsidR="008A74EB" w:rsidRPr="00993B55">
        <w:rPr>
          <w:rStyle w:val="libFootnoteBoldChar"/>
          <w:rtl/>
        </w:rPr>
        <w:t>النهاية</w:t>
      </w:r>
      <w:r w:rsidR="008A74EB" w:rsidRPr="00C9040A">
        <w:rPr>
          <w:rtl/>
        </w:rPr>
        <w:t xml:space="preserve"> ، ج 4 ، ص 79 ( قطب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حاشية « ز » : + « من يرد من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د ، ص ، بر ، بف » والوافي والوسائل والبحار ، ج 76 : « قال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ف » : « فلا خفت » بدون الهمزة.</w:t>
      </w:r>
    </w:p>
    <w:p w:rsidR="008A74EB" w:rsidRPr="00C9040A" w:rsidRDefault="006C577F" w:rsidP="004A4E41">
      <w:pPr>
        <w:pStyle w:val="libFootnote0"/>
        <w:rPr>
          <w:rtl/>
          <w:lang w:bidi="fa-IR"/>
        </w:rPr>
      </w:pPr>
      <w:r>
        <w:rPr>
          <w:rtl/>
        </w:rPr>
        <w:t>(8).</w:t>
      </w:r>
      <w:r w:rsidR="008A74EB" w:rsidRPr="00C9040A">
        <w:rPr>
          <w:rtl/>
        </w:rPr>
        <w:t xml:space="preserve"> في « ز » : « عليهما الرحمة »</w:t>
      </w:r>
      <w:r w:rsidR="008A74EB">
        <w:rPr>
          <w:rtl/>
        </w:rPr>
        <w:t>.</w:t>
      </w:r>
      <w:r w:rsidR="008A74EB" w:rsidRPr="00C9040A">
        <w:rPr>
          <w:rtl/>
        </w:rPr>
        <w:t xml:space="preserve"> وفي البحار ، ج 59 : « عليها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هكذا في الوافي. وهو الصحيح. وفي النسخ والمطبوع : « تسعين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 كأنّ الأنسب : تسعون ، كما في بعض نسخ الحديث. وفي نسخ الكتاب : وتسعين ، فالواو بمعنى مع. وليس في بعض الروايات : « فكانت » فيستقيم من غير تكلّف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الوافي : « تعانقا »</w:t>
      </w:r>
      <w:r w:rsidR="008A74EB">
        <w:rPr>
          <w:rtl/>
        </w:rPr>
        <w:t>.</w:t>
      </w:r>
      <w:r w:rsidR="008A74EB" w:rsidRPr="00C9040A">
        <w:rPr>
          <w:rtl/>
        </w:rPr>
        <w:t xml:space="preserve"> وفي الوسائل والبحار : « تواقفا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في « ب ، ج ، د ، ز ، ض ، ف ، بر » والوافي والوسائل والبحار ، ج 59 </w:t>
      </w:r>
      <w:r w:rsidR="008A74EB">
        <w:rPr>
          <w:rtl/>
        </w:rPr>
        <w:t>و 7</w:t>
      </w:r>
      <w:r w:rsidR="008A74EB" w:rsidRPr="00C9040A">
        <w:rPr>
          <w:rtl/>
        </w:rPr>
        <w:t>6 : « وإذا »</w:t>
      </w:r>
      <w:r w:rsidR="008A74EB">
        <w:rPr>
          <w:rtl/>
        </w:rPr>
        <w:t>.</w:t>
      </w:r>
      <w:r w:rsidR="008A74EB" w:rsidRPr="00C9040A">
        <w:rPr>
          <w:rtl/>
        </w:rPr>
        <w:t xml:space="preserve"> وفي البحار ، ج 5 : « إذا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في « ب ، ج ، د ، ص » وحاشية « ض » والوسائل : « يتحادثان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قَالَ </w:t>
      </w:r>
      <w:r w:rsidR="006C577F" w:rsidRPr="006C577F">
        <w:rPr>
          <w:rStyle w:val="libFootnotenumChar"/>
          <w:rtl/>
        </w:rPr>
        <w:t>(1)</w:t>
      </w:r>
      <w:r w:rsidRPr="00C9040A">
        <w:rPr>
          <w:rtl/>
          <w:lang w:bidi="fa-IR"/>
        </w:rPr>
        <w:t xml:space="preserve"> الْحَفَظَةُ بَعْضُهَا لِبَعْضٍ : اعْتَزِلُوا بِنَا ، فَلَعَلَّ </w:t>
      </w:r>
      <w:r w:rsidR="006C577F" w:rsidRPr="006C577F">
        <w:rPr>
          <w:rStyle w:val="libFootnotenumChar"/>
          <w:rtl/>
        </w:rPr>
        <w:t>(2)</w:t>
      </w:r>
      <w:r w:rsidRPr="00C9040A">
        <w:rPr>
          <w:rtl/>
          <w:lang w:bidi="fa-IR"/>
        </w:rPr>
        <w:t xml:space="preserve"> لَهُمَا سِرّاً وَقَدْ سَتَرَ </w:t>
      </w:r>
      <w:r w:rsidR="006C577F" w:rsidRPr="006C577F">
        <w:rPr>
          <w:rStyle w:val="libFootnotenumChar"/>
          <w:rtl/>
        </w:rPr>
        <w:t>(3)</w:t>
      </w:r>
      <w:r w:rsidRPr="00C9040A">
        <w:rPr>
          <w:rtl/>
          <w:lang w:bidi="fa-IR"/>
        </w:rPr>
        <w:t xml:space="preserve"> اللهُ عَلَيْهِمَا</w:t>
      </w:r>
      <w:r>
        <w:rPr>
          <w:rtl/>
          <w:lang w:bidi="fa-IR"/>
        </w:rPr>
        <w:t>؟</w:t>
      </w:r>
      <w:r w:rsidRPr="00C9040A">
        <w:rPr>
          <w:rtl/>
          <w:lang w:bidi="fa-IR"/>
        </w:rPr>
        <w:t xml:space="preserve"> »</w:t>
      </w:r>
      <w:r>
        <w:rPr>
          <w:rtl/>
          <w:lang w:bidi="fa-IR"/>
        </w:rPr>
        <w:t>.</w:t>
      </w:r>
    </w:p>
    <w:p w:rsidR="008A74EB" w:rsidRPr="00293469" w:rsidRDefault="008A74EB" w:rsidP="008A74EB">
      <w:pPr>
        <w:pStyle w:val="libNormal"/>
        <w:rPr>
          <w:rtl/>
        </w:rPr>
      </w:pPr>
      <w:r>
        <w:rPr>
          <w:rtl/>
          <w:lang w:bidi="fa-IR"/>
        </w:rPr>
        <w:t>فَقُلْتُ : أَ</w:t>
      </w:r>
      <w:r w:rsidRPr="00C9040A">
        <w:rPr>
          <w:rtl/>
          <w:lang w:bidi="fa-IR"/>
        </w:rPr>
        <w:t>لَيْسَ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يَقُولُ : </w:t>
      </w:r>
      <w:r w:rsidRPr="0003660B">
        <w:rPr>
          <w:rStyle w:val="libAlaemChar"/>
          <w:rtl/>
        </w:rPr>
        <w:t>(</w:t>
      </w:r>
      <w:r w:rsidR="00556DA9">
        <w:rPr>
          <w:rStyle w:val="libAieChar"/>
          <w:rtl/>
        </w:rPr>
        <w:t xml:space="preserve"> ما يَلْفِظُ مِنْ قَوْلٍ إِل</w:t>
      </w:r>
      <w:r w:rsidR="00556DA9">
        <w:rPr>
          <w:rStyle w:val="libAieChar"/>
          <w:rFonts w:hint="cs"/>
          <w:rtl/>
        </w:rPr>
        <w:t>ّ</w:t>
      </w:r>
      <w:r w:rsidR="00556DA9">
        <w:rPr>
          <w:rStyle w:val="libAieChar"/>
          <w:rtl/>
        </w:rPr>
        <w:t>ا</w:t>
      </w:r>
      <w:r w:rsidRPr="006A2246">
        <w:rPr>
          <w:rStyle w:val="libAieChar"/>
          <w:rtl/>
        </w:rPr>
        <w:t xml:space="preserve"> لَدَيْهِ رَقِيبٌ عَتِيدٌ </w:t>
      </w:r>
      <w:r w:rsidRPr="0003660B">
        <w:rPr>
          <w:rStyle w:val="libAlaemChar"/>
          <w:rtl/>
        </w:rPr>
        <w:t>)</w:t>
      </w:r>
      <w:r w:rsidRPr="00C9040A">
        <w:rPr>
          <w:rtl/>
          <w:lang w:bidi="fa-IR"/>
        </w:rPr>
        <w:t xml:space="preserve"> </w:t>
      </w:r>
      <w:r w:rsidR="006C577F" w:rsidRPr="006C577F">
        <w:rPr>
          <w:rStyle w:val="libFootnotenumChar"/>
          <w:rtl/>
        </w:rPr>
        <w:t>(4)</w:t>
      </w:r>
      <w:r>
        <w:rPr>
          <w:rtl/>
          <w:lang w:bidi="fa-IR"/>
        </w:rPr>
        <w:t>؟</w:t>
      </w:r>
    </w:p>
    <w:p w:rsidR="008A74EB" w:rsidRPr="00C9040A" w:rsidRDefault="008A74EB" w:rsidP="008A74EB">
      <w:pPr>
        <w:pStyle w:val="libNormal"/>
        <w:rPr>
          <w:rtl/>
          <w:lang w:bidi="fa-IR"/>
        </w:rPr>
      </w:pPr>
      <w:r w:rsidRPr="00C9040A">
        <w:rPr>
          <w:rtl/>
          <w:lang w:bidi="fa-IR"/>
        </w:rPr>
        <w:t xml:space="preserve">فَقَالَ : « يَا إِسْحَاقُ ، إِنْ كَانَتِ الْحَفَظَةُ لَاتَسْمَعُ ، فَإِنَّ عَالِمَ السِّرِّ </w:t>
      </w:r>
      <w:r w:rsidR="006C577F" w:rsidRPr="006C577F">
        <w:rPr>
          <w:rStyle w:val="libFootnotenumChar"/>
          <w:rtl/>
        </w:rPr>
        <w:t>(5)</w:t>
      </w:r>
      <w:r w:rsidRPr="00C9040A">
        <w:rPr>
          <w:rtl/>
          <w:lang w:bidi="fa-IR"/>
        </w:rPr>
        <w:t xml:space="preserve"> يَسْمَعُ وَيَرى »</w:t>
      </w:r>
      <w:r>
        <w:rPr>
          <w:rtl/>
          <w:lang w:bidi="fa-IR"/>
        </w:rPr>
        <w:t>.</w:t>
      </w:r>
      <w:r w:rsidRPr="00C9040A">
        <w:rPr>
          <w:rtl/>
          <w:lang w:bidi="fa-IR"/>
        </w:rPr>
        <w:t xml:space="preserve"> </w:t>
      </w:r>
      <w:r w:rsidR="006C577F" w:rsidRPr="006C577F">
        <w:rPr>
          <w:rStyle w:val="libFootnotenumChar"/>
          <w:rtl/>
        </w:rPr>
        <w:t>(6)</w:t>
      </w:r>
      <w:r w:rsidRPr="00293469">
        <w:rPr>
          <w:rFonts w:hint="cs"/>
          <w:rtl/>
        </w:rPr>
        <w:t xml:space="preserve"> </w:t>
      </w:r>
      <w:r w:rsidRPr="00C9040A">
        <w:rPr>
          <w:rtl/>
          <w:lang w:bidi="fa-IR"/>
        </w:rPr>
        <w:t>‌</w:t>
      </w:r>
    </w:p>
    <w:p w:rsidR="008A74EB" w:rsidRPr="00C9040A" w:rsidRDefault="008A74EB" w:rsidP="008A74EB">
      <w:pPr>
        <w:pStyle w:val="libNormal"/>
        <w:rPr>
          <w:rtl/>
          <w:lang w:bidi="fa-IR"/>
        </w:rPr>
      </w:pPr>
      <w:r w:rsidRPr="00293469">
        <w:rPr>
          <w:rtl/>
        </w:rPr>
        <w:t>2106</w:t>
      </w:r>
      <w:r w:rsidRPr="00261CB0">
        <w:rPr>
          <w:rStyle w:val="libBold2Char"/>
          <w:rtl/>
        </w:rPr>
        <w:t xml:space="preserve"> / 15.</w:t>
      </w:r>
      <w:r w:rsidRPr="00C9040A">
        <w:rPr>
          <w:rtl/>
          <w:lang w:bidi="fa-IR"/>
        </w:rPr>
        <w:t xml:space="preserve"> عَنْهُ </w:t>
      </w:r>
      <w:r w:rsidR="006C577F" w:rsidRPr="006C577F">
        <w:rPr>
          <w:rStyle w:val="libFootnotenumChar"/>
          <w:rtl/>
        </w:rPr>
        <w:t>(7)</w:t>
      </w:r>
      <w:r w:rsidRPr="00C9040A">
        <w:rPr>
          <w:rtl/>
          <w:lang w:bidi="fa-IR"/>
        </w:rPr>
        <w:t xml:space="preserve"> ، عَنْ إِسْمَاعِيلَ بْنِ مِهْرَانَ ، عَنْ أَيْمَنَ بْنِ مُحْرِزٍ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مَا صَافَحَ رَسُولُ اللهِ </w:t>
      </w:r>
      <w:r w:rsidR="004A4E41" w:rsidRPr="004A4E41">
        <w:rPr>
          <w:rStyle w:val="libAlaemChar"/>
          <w:rtl/>
        </w:rPr>
        <w:t>صلى‌الله‌عليه‌وآله</w:t>
      </w:r>
      <w:r w:rsidRPr="00C9040A">
        <w:rPr>
          <w:rtl/>
          <w:lang w:bidi="fa-IR"/>
        </w:rPr>
        <w:t xml:space="preserve"> رَجُلاً قَطُّ ، فَنَزَعَ </w:t>
      </w:r>
      <w:r w:rsidR="006C577F" w:rsidRPr="006C577F">
        <w:rPr>
          <w:rStyle w:val="libFootnotenumChar"/>
          <w:rtl/>
        </w:rPr>
        <w:t>(8)</w:t>
      </w:r>
      <w:r w:rsidRPr="00C9040A">
        <w:rPr>
          <w:rtl/>
          <w:lang w:bidi="fa-IR"/>
        </w:rPr>
        <w:t xml:space="preserve"> يَدَهُ </w:t>
      </w:r>
      <w:r w:rsidR="006C577F" w:rsidRPr="006C577F">
        <w:rPr>
          <w:rStyle w:val="libFootnotenumChar"/>
          <w:rtl/>
        </w:rPr>
        <w:t>(9)</w:t>
      </w:r>
      <w:r w:rsidRPr="00C9040A">
        <w:rPr>
          <w:rtl/>
          <w:lang w:bidi="fa-IR"/>
        </w:rPr>
        <w:t xml:space="preserve"> حَتّى يَكُونَ </w:t>
      </w:r>
      <w:r w:rsidR="006C577F" w:rsidRPr="006C577F">
        <w:rPr>
          <w:rStyle w:val="libFootnotenumChar"/>
          <w:rtl/>
        </w:rPr>
        <w:t>(10)</w:t>
      </w:r>
      <w:r w:rsidRPr="00C9040A">
        <w:rPr>
          <w:rtl/>
          <w:lang w:bidi="fa-IR"/>
        </w:rPr>
        <w:t xml:space="preserve"> هُوَ الَّذِي يَنْزِعُ </w:t>
      </w:r>
      <w:r w:rsidR="006C577F" w:rsidRPr="006C577F">
        <w:rPr>
          <w:rStyle w:val="libFootnotenumChar"/>
          <w:rtl/>
        </w:rPr>
        <w:t>(11)</w:t>
      </w:r>
      <w:r w:rsidRPr="00C9040A">
        <w:rPr>
          <w:rtl/>
          <w:lang w:bidi="fa-IR"/>
        </w:rPr>
        <w:t xml:space="preserve"> يَدَهُ </w:t>
      </w:r>
      <w:r w:rsidR="006C577F" w:rsidRPr="006C577F">
        <w:rPr>
          <w:rStyle w:val="libFootnotenumChar"/>
          <w:rtl/>
        </w:rPr>
        <w:t>(12)</w:t>
      </w:r>
      <w:r w:rsidRPr="00C9040A">
        <w:rPr>
          <w:rtl/>
          <w:lang w:bidi="fa-IR"/>
        </w:rPr>
        <w:t xml:space="preserve"> مِنْهُ </w:t>
      </w:r>
      <w:r w:rsidRPr="005B567D">
        <w:rPr>
          <w:rStyle w:val="libFootnotenumChar"/>
          <w:rtl/>
        </w:rPr>
        <w:t>(13)</w:t>
      </w:r>
      <w:r w:rsidRPr="00C9040A">
        <w:rPr>
          <w:rtl/>
          <w:lang w:bidi="fa-IR"/>
        </w:rPr>
        <w:t xml:space="preserve"> »</w:t>
      </w:r>
      <w:r>
        <w:rPr>
          <w:rtl/>
          <w:lang w:bidi="fa-IR"/>
        </w:rPr>
        <w:t>.</w:t>
      </w:r>
      <w:r w:rsidRPr="00C9040A">
        <w:rPr>
          <w:rtl/>
          <w:lang w:bidi="fa-IR"/>
        </w:rPr>
        <w:t xml:space="preserve"> </w:t>
      </w:r>
      <w:r w:rsidRPr="005B567D">
        <w:rPr>
          <w:rStyle w:val="libFootnotenumChar"/>
          <w:rtl/>
        </w:rPr>
        <w:t>(14)</w:t>
      </w:r>
      <w:r w:rsidRPr="00C9040A">
        <w:rPr>
          <w:rtl/>
          <w:lang w:bidi="fa-IR"/>
        </w:rPr>
        <w:t xml:space="preserve"> ‌</w:t>
      </w:r>
    </w:p>
    <w:p w:rsidR="008A74EB" w:rsidRPr="00C9040A" w:rsidRDefault="008A74EB" w:rsidP="008A74EB">
      <w:pPr>
        <w:pStyle w:val="libNormal"/>
        <w:rPr>
          <w:rtl/>
          <w:lang w:bidi="fa-IR"/>
        </w:rPr>
      </w:pPr>
      <w:r w:rsidRPr="00293469">
        <w:rPr>
          <w:rtl/>
        </w:rPr>
        <w:t>2107</w:t>
      </w:r>
      <w:r w:rsidRPr="00261CB0">
        <w:rPr>
          <w:rStyle w:val="libBold2Char"/>
          <w:rtl/>
        </w:rPr>
        <w:t xml:space="preserve"> / 16.</w:t>
      </w:r>
      <w:r w:rsidRPr="00C9040A">
        <w:rPr>
          <w:rtl/>
          <w:lang w:bidi="fa-IR"/>
        </w:rPr>
        <w:t xml:space="preserve"> عَلِيُّ بْنُ إِبْرَاهِيمَ ، عَنْ أَبِيهِ ، عَنْ حَمَّادٍ ، عَنْ رِبْعِيٍّ ، عَنْ زُرَارَةَ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سَمِعْتُهُ يَقُولُ : « إِنَّ اللهَ</w:t>
      </w:r>
      <w:r>
        <w:rPr>
          <w:rtl/>
          <w:lang w:bidi="fa-IR"/>
        </w:rPr>
        <w:t xml:space="preserve"> </w:t>
      </w:r>
      <w:r w:rsidR="0084262C">
        <w:rPr>
          <w:rtl/>
          <w:lang w:bidi="fa-IR"/>
        </w:rPr>
        <w:t>-</w:t>
      </w:r>
      <w:r>
        <w:rPr>
          <w:rtl/>
          <w:lang w:bidi="fa-IR"/>
        </w:rPr>
        <w:t xml:space="preserve"> </w:t>
      </w:r>
      <w:r w:rsidRPr="00C9040A">
        <w:rPr>
          <w:rtl/>
          <w:lang w:bidi="fa-IR"/>
        </w:rPr>
        <w:t>عَزَّ وَجَلَّ لَايُوصَفُ ، وَكَيْفَ يُوصَفُ‌</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د ، ز ، بر ، بس ، بف » والوسائل والبحار : « قالت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الوسائل : « لعلّ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ب » : « ستّر » بالتشديد. وفي البحار ، ج 59 : « ستره »</w:t>
      </w:r>
      <w:r w:rsidR="008A74EB">
        <w:rPr>
          <w:rtl/>
        </w:rPr>
        <w:t>.</w:t>
      </w:r>
    </w:p>
    <w:tbl>
      <w:tblPr>
        <w:tblStyle w:val="TableGrid"/>
        <w:bidiVisual/>
        <w:tblW w:w="0" w:type="auto"/>
        <w:tblLook w:val="04A0" w:firstRow="1" w:lastRow="0" w:firstColumn="1" w:lastColumn="0" w:noHBand="0" w:noVBand="1"/>
      </w:tblPr>
      <w:tblGrid>
        <w:gridCol w:w="4006"/>
        <w:gridCol w:w="4006"/>
      </w:tblGrid>
      <w:tr w:rsidR="00BA6F3E" w:rsidTr="00BA6F3E">
        <w:tc>
          <w:tcPr>
            <w:tcW w:w="4006" w:type="dxa"/>
          </w:tcPr>
          <w:p w:rsidR="00BA6F3E" w:rsidRDefault="00BA6F3E" w:rsidP="004A4E41">
            <w:pPr>
              <w:pStyle w:val="libFootnote0"/>
              <w:rPr>
                <w:rtl/>
              </w:rPr>
            </w:pPr>
            <w:r>
              <w:rPr>
                <w:rtl/>
              </w:rPr>
              <w:t>(4).</w:t>
            </w:r>
            <w:r w:rsidRPr="00C9040A">
              <w:rPr>
                <w:rtl/>
              </w:rPr>
              <w:t xml:space="preserve"> ق (50) : 18.</w:t>
            </w:r>
          </w:p>
        </w:tc>
        <w:tc>
          <w:tcPr>
            <w:tcW w:w="4006" w:type="dxa"/>
          </w:tcPr>
          <w:p w:rsidR="00BA6F3E" w:rsidRDefault="00BA6F3E" w:rsidP="004A4E41">
            <w:pPr>
              <w:pStyle w:val="libFootnote0"/>
              <w:rPr>
                <w:rtl/>
              </w:rPr>
            </w:pPr>
            <w:r>
              <w:rPr>
                <w:rtl/>
              </w:rPr>
              <w:t>(5).</w:t>
            </w:r>
            <w:r w:rsidRPr="00C9040A">
              <w:rPr>
                <w:rtl/>
              </w:rPr>
              <w:t xml:space="preserve"> في « ز » ومرآة العقول : + « يعلم </w:t>
            </w:r>
            <w:r>
              <w:rPr>
                <w:rtl/>
              </w:rPr>
              <w:t>و ».</w:t>
            </w:r>
          </w:p>
        </w:tc>
      </w:tr>
    </w:tbl>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الوافي</w:t>
      </w:r>
      <w:r w:rsidR="008A74EB" w:rsidRPr="00C9040A">
        <w:rPr>
          <w:rtl/>
        </w:rPr>
        <w:t xml:space="preserve"> ، ج 5 ، ص 611 ، ح 2695 ؛ </w:t>
      </w:r>
      <w:r w:rsidR="008A74EB" w:rsidRPr="00993B55">
        <w:rPr>
          <w:rStyle w:val="libFootnoteBoldChar"/>
          <w:rtl/>
        </w:rPr>
        <w:t>الوسائل</w:t>
      </w:r>
      <w:r w:rsidR="008A74EB" w:rsidRPr="00C9040A">
        <w:rPr>
          <w:rtl/>
        </w:rPr>
        <w:t xml:space="preserve"> ، ج 12 ، ص 229 ، ح 16162 ؛ وفي </w:t>
      </w:r>
      <w:r w:rsidR="008A74EB" w:rsidRPr="00993B55">
        <w:rPr>
          <w:rStyle w:val="libFootnoteBoldChar"/>
          <w:rtl/>
        </w:rPr>
        <w:t>البحار</w:t>
      </w:r>
      <w:r w:rsidR="008A74EB" w:rsidRPr="00C9040A">
        <w:rPr>
          <w:rtl/>
        </w:rPr>
        <w:t xml:space="preserve"> ، ج 5 ، ص 321 ، ح 1 ، من قوله : « فإذا قعدا يتحدّثان » ؛ </w:t>
      </w:r>
      <w:r w:rsidR="008A74EB" w:rsidRPr="00993B55">
        <w:rPr>
          <w:rStyle w:val="libFootnoteBoldChar"/>
          <w:rtl/>
        </w:rPr>
        <w:t>وفيه</w:t>
      </w:r>
      <w:r w:rsidR="008A74EB" w:rsidRPr="00C9040A">
        <w:rPr>
          <w:rtl/>
        </w:rPr>
        <w:t xml:space="preserve"> ، ج 59 ، ص 189 ، ح 42 ، من قوله : « أنّ المؤمنين إذا التقيا فتصافحا » ؛ وج 76 ، ص 29 ، ح 24.</w:t>
      </w:r>
    </w:p>
    <w:p w:rsidR="008A74EB" w:rsidRPr="00C9040A" w:rsidRDefault="006C577F" w:rsidP="004A4E41">
      <w:pPr>
        <w:pStyle w:val="libFootnote0"/>
        <w:rPr>
          <w:rtl/>
          <w:lang w:bidi="fa-IR"/>
        </w:rPr>
      </w:pPr>
      <w:r>
        <w:rPr>
          <w:rtl/>
        </w:rPr>
        <w:t>(7).</w:t>
      </w:r>
      <w:r w:rsidR="008A74EB" w:rsidRPr="00C9040A">
        <w:rPr>
          <w:rtl/>
        </w:rPr>
        <w:t xml:space="preserve"> الضمير راجع إلى سهل بن زياد المذكور في السند السابق ؛ فقد روى هو عن إسماعيل بن مهران في عددٍ من الأسناد. راجع : </w:t>
      </w:r>
      <w:r w:rsidR="008A74EB" w:rsidRPr="00993B55">
        <w:rPr>
          <w:rStyle w:val="libFootnoteBoldChar"/>
          <w:rtl/>
        </w:rPr>
        <w:t>معجم رجال الحديث</w:t>
      </w:r>
      <w:r w:rsidR="008A74EB" w:rsidRPr="00C9040A">
        <w:rPr>
          <w:rtl/>
        </w:rPr>
        <w:t xml:space="preserve"> ، ج 8 ، ص 507</w:t>
      </w:r>
      <w:r w:rsidR="008A74EB">
        <w:rPr>
          <w:rtl/>
        </w:rPr>
        <w:t xml:space="preserve"> </w:t>
      </w:r>
      <w:r w:rsidR="0084262C">
        <w:rPr>
          <w:rtl/>
        </w:rPr>
        <w:t>-</w:t>
      </w:r>
      <w:r w:rsidR="008A74EB">
        <w:rPr>
          <w:rtl/>
        </w:rPr>
        <w:t xml:space="preserve"> </w:t>
      </w:r>
      <w:r w:rsidR="008A74EB" w:rsidRPr="00C9040A">
        <w:rPr>
          <w:rtl/>
        </w:rPr>
        <w:t>508.</w:t>
      </w:r>
    </w:p>
    <w:p w:rsidR="008A74EB" w:rsidRPr="00C9040A" w:rsidRDefault="006C577F" w:rsidP="004A4E41">
      <w:pPr>
        <w:pStyle w:val="libFootnote0"/>
        <w:rPr>
          <w:rtl/>
          <w:lang w:bidi="fa-IR"/>
        </w:rPr>
      </w:pPr>
      <w:r>
        <w:rPr>
          <w:rtl/>
        </w:rPr>
        <w:t>(8).</w:t>
      </w:r>
      <w:r w:rsidR="008A74EB" w:rsidRPr="00C9040A">
        <w:rPr>
          <w:rtl/>
        </w:rPr>
        <w:t xml:space="preserve"> في « ف » : « فينزع »</w:t>
      </w:r>
      <w:r w:rsidR="008A74EB">
        <w:rPr>
          <w:rtl/>
        </w:rPr>
        <w:t>.</w:t>
      </w:r>
      <w:r w:rsidR="008A74EB" w:rsidRPr="00C9040A">
        <w:rPr>
          <w:rtl/>
        </w:rPr>
        <w:t xml:space="preserve"> ونزع الشي‌ء : جذبه من مقرّه ، كنَزْع القَوس عن كَبِده. ويستعمل ذلك في الأعراض. </w:t>
      </w:r>
      <w:r w:rsidR="008A74EB" w:rsidRPr="00993B55">
        <w:rPr>
          <w:rStyle w:val="libFootnoteBoldChar"/>
          <w:rtl/>
        </w:rPr>
        <w:t>المفردات</w:t>
      </w:r>
      <w:r w:rsidR="008A74EB" w:rsidRPr="00C9040A">
        <w:rPr>
          <w:rtl/>
        </w:rPr>
        <w:t xml:space="preserve"> للراغب ، ص 798 ( نزع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الكافي ، ح 14990 : + « من يده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الكافي ، ح 14990 : + « الرجل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في حاشية « ج ، ض ، بر » : « هو النازع »</w:t>
      </w:r>
      <w:r w:rsidR="008A74EB">
        <w:rPr>
          <w:rtl/>
        </w:rPr>
        <w:t>.</w:t>
      </w:r>
      <w:r w:rsidR="008A74EB" w:rsidRPr="00C9040A">
        <w:rPr>
          <w:rtl/>
        </w:rPr>
        <w:t xml:space="preserve"> وفي حاشية « ص » : « نزع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في « د ، ز ، ص ، ض ، ف ، بر ، بس ، بف » والوافي والوسائل </w:t>
      </w:r>
      <w:r w:rsidR="008A74EB">
        <w:rPr>
          <w:rtl/>
        </w:rPr>
        <w:t xml:space="preserve">: </w:t>
      </w:r>
      <w:r w:rsidR="0084262C">
        <w:rPr>
          <w:rtl/>
        </w:rPr>
        <w:t>-</w:t>
      </w:r>
      <w:r w:rsidR="008A74EB" w:rsidRPr="00C9040A">
        <w:rPr>
          <w:rtl/>
        </w:rPr>
        <w:t xml:space="preserve"> « يده »</w:t>
      </w:r>
      <w:r w:rsidR="008A74EB">
        <w:rPr>
          <w:rtl/>
        </w:rPr>
        <w:t>.</w:t>
      </w:r>
    </w:p>
    <w:p w:rsidR="008A74EB" w:rsidRPr="00C9040A" w:rsidRDefault="008A74EB" w:rsidP="004A4E41">
      <w:pPr>
        <w:pStyle w:val="libFootnote0"/>
        <w:rPr>
          <w:rtl/>
          <w:lang w:bidi="fa-IR"/>
        </w:rPr>
      </w:pPr>
      <w:r>
        <w:rPr>
          <w:rtl/>
        </w:rPr>
        <w:t>(13)</w:t>
      </w:r>
      <w:r w:rsidRPr="00C9040A">
        <w:rPr>
          <w:rtl/>
        </w:rPr>
        <w:t xml:space="preserve"> في « ب ، بس » : « عنه »</w:t>
      </w:r>
      <w:r>
        <w:rPr>
          <w:rtl/>
        </w:rPr>
        <w:t>.</w:t>
      </w:r>
    </w:p>
    <w:p w:rsidR="008A74EB" w:rsidRPr="00C9040A" w:rsidRDefault="008A74EB" w:rsidP="004A4E41">
      <w:pPr>
        <w:pStyle w:val="libFootnote0"/>
        <w:rPr>
          <w:rtl/>
          <w:lang w:bidi="fa-IR"/>
        </w:rPr>
      </w:pPr>
      <w:r>
        <w:rPr>
          <w:rtl/>
          <w:lang w:bidi="fa-IR"/>
        </w:rPr>
        <w:t>(14)</w:t>
      </w:r>
      <w:r w:rsidRPr="00C9040A">
        <w:rPr>
          <w:rtl/>
          <w:lang w:bidi="fa-IR"/>
        </w:rPr>
        <w:t xml:space="preserve"> </w:t>
      </w:r>
      <w:r w:rsidRPr="00993B55">
        <w:rPr>
          <w:rStyle w:val="libFootnoteBoldChar"/>
          <w:rtl/>
        </w:rPr>
        <w:t>الكافي</w:t>
      </w:r>
      <w:r w:rsidRPr="00C9040A">
        <w:rPr>
          <w:rtl/>
          <w:lang w:bidi="fa-IR"/>
        </w:rPr>
        <w:t xml:space="preserve"> ، كتاب الروضة ، ضمن ح 14990 ، بسند آخر </w:t>
      </w:r>
      <w:r w:rsidR="00BA6F3E">
        <w:rPr>
          <w:rFonts w:hint="cs"/>
          <w:rtl/>
          <w:lang w:bidi="fa-IR"/>
        </w:rPr>
        <w:t>.</w:t>
      </w:r>
      <w:r w:rsidRPr="00993B55">
        <w:rPr>
          <w:rStyle w:val="libFootnoteBoldChar"/>
          <w:rtl/>
        </w:rPr>
        <w:t>الوافي</w:t>
      </w:r>
      <w:r w:rsidRPr="00C9040A">
        <w:rPr>
          <w:rtl/>
          <w:lang w:bidi="fa-IR"/>
        </w:rPr>
        <w:t xml:space="preserve"> ، ج 5 ، ص 612 ، ح 2696 ؛ </w:t>
      </w:r>
      <w:r w:rsidRPr="00993B55">
        <w:rPr>
          <w:rStyle w:val="libFootnoteBoldChar"/>
          <w:rtl/>
        </w:rPr>
        <w:t>الوسائل</w:t>
      </w:r>
      <w:r w:rsidRPr="00C9040A">
        <w:rPr>
          <w:rtl/>
          <w:lang w:bidi="fa-IR"/>
        </w:rPr>
        <w:t xml:space="preserve"> ، ج 12 ، ص 144 ، ح 15890 ؛ </w:t>
      </w:r>
      <w:r w:rsidRPr="00993B55">
        <w:rPr>
          <w:rStyle w:val="libFootnoteBoldChar"/>
          <w:rtl/>
        </w:rPr>
        <w:t>البحار</w:t>
      </w:r>
      <w:r w:rsidRPr="00C9040A">
        <w:rPr>
          <w:rtl/>
          <w:lang w:bidi="fa-IR"/>
        </w:rPr>
        <w:t xml:space="preserve"> ، ج 16 ، ص 269 ، ح 82 ؛ وج 76 ، ص 30 ، ح 25.</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وَقَالَ </w:t>
      </w:r>
      <w:r w:rsidR="006C577F" w:rsidRPr="006C577F">
        <w:rPr>
          <w:rStyle w:val="libFootnotenumChar"/>
          <w:rtl/>
        </w:rPr>
        <w:t>(1)</w:t>
      </w:r>
      <w:r w:rsidRPr="00C9040A">
        <w:rPr>
          <w:rtl/>
          <w:lang w:bidi="fa-IR"/>
        </w:rPr>
        <w:t xml:space="preserve"> فِي كِتَابِهِ : </w:t>
      </w:r>
      <w:r w:rsidRPr="0003660B">
        <w:rPr>
          <w:rStyle w:val="libAlaemChar"/>
          <w:rtl/>
        </w:rPr>
        <w:t>(</w:t>
      </w:r>
      <w:r w:rsidRPr="006A2246">
        <w:rPr>
          <w:rStyle w:val="libAieChar"/>
          <w:rtl/>
        </w:rPr>
        <w:t xml:space="preserve"> وَما قَدَرُوا اللهَ حَقَّ قَدْرِهِ </w:t>
      </w:r>
      <w:r w:rsidRPr="0003660B">
        <w:rPr>
          <w:rStyle w:val="libAlaemChar"/>
          <w:rtl/>
        </w:rPr>
        <w:t>)</w:t>
      </w:r>
      <w:r w:rsidRPr="00C9040A">
        <w:rPr>
          <w:rtl/>
          <w:lang w:bidi="fa-IR"/>
        </w:rPr>
        <w:t xml:space="preserve"> </w:t>
      </w:r>
      <w:r w:rsidR="006C577F" w:rsidRPr="006C577F">
        <w:rPr>
          <w:rStyle w:val="libFootnotenumChar"/>
          <w:rtl/>
        </w:rPr>
        <w:t>(2)</w:t>
      </w:r>
      <w:r>
        <w:rPr>
          <w:rtl/>
          <w:lang w:bidi="fa-IR"/>
        </w:rPr>
        <w:t>؟</w:t>
      </w:r>
      <w:r w:rsidRPr="00C9040A">
        <w:rPr>
          <w:rtl/>
          <w:lang w:bidi="fa-IR"/>
        </w:rPr>
        <w:t xml:space="preserve"> فَلَا يُوصَفُ بِقَدَرٍ </w:t>
      </w:r>
      <w:r w:rsidR="006C577F" w:rsidRPr="006C577F">
        <w:rPr>
          <w:rStyle w:val="libFootnotenumChar"/>
          <w:rtl/>
        </w:rPr>
        <w:t>(3)</w:t>
      </w:r>
      <w:r w:rsidR="00BA6F3E">
        <w:rPr>
          <w:rtl/>
          <w:lang w:bidi="fa-IR"/>
        </w:rPr>
        <w:t xml:space="preserve"> إِل</w:t>
      </w:r>
      <w:r w:rsidR="00BA6F3E">
        <w:rPr>
          <w:rFonts w:hint="cs"/>
          <w:rtl/>
          <w:lang w:bidi="fa-IR"/>
        </w:rPr>
        <w:t>َّ</w:t>
      </w:r>
      <w:r w:rsidR="00BA6F3E">
        <w:rPr>
          <w:rtl/>
          <w:lang w:bidi="fa-IR"/>
        </w:rPr>
        <w:t>ا</w:t>
      </w:r>
      <w:r w:rsidRPr="00C9040A">
        <w:rPr>
          <w:rtl/>
          <w:lang w:bidi="fa-IR"/>
        </w:rPr>
        <w:t xml:space="preserve"> كَانَ أَعْظَمَ مِنْ ذلِكَ.</w:t>
      </w:r>
    </w:p>
    <w:p w:rsidR="008A74EB" w:rsidRPr="00C9040A" w:rsidRDefault="008A74EB" w:rsidP="008A74EB">
      <w:pPr>
        <w:pStyle w:val="libNormal"/>
        <w:rPr>
          <w:rtl/>
          <w:lang w:bidi="fa-IR"/>
        </w:rPr>
      </w:pPr>
      <w:r w:rsidRPr="00C9040A">
        <w:rPr>
          <w:rtl/>
          <w:lang w:bidi="fa-IR"/>
        </w:rPr>
        <w:t xml:space="preserve">وَإِنَّ النَّبِيَّ </w:t>
      </w:r>
      <w:r w:rsidR="004A4E41" w:rsidRPr="004A4E41">
        <w:rPr>
          <w:rStyle w:val="libAlaemChar"/>
          <w:rtl/>
        </w:rPr>
        <w:t>صلى‌الله‌عليه‌وآله</w:t>
      </w:r>
      <w:r w:rsidRPr="00C9040A">
        <w:rPr>
          <w:rtl/>
          <w:lang w:bidi="fa-IR"/>
        </w:rPr>
        <w:t xml:space="preserve"> لَايُوصَفُ ، وَكَيْفَ يُوصَفُ عَبْدٌ احْتَجَبَ اللهُ </w:t>
      </w:r>
      <w:r w:rsidR="006C577F" w:rsidRPr="006C577F">
        <w:rPr>
          <w:rStyle w:val="libFootnotenumChar"/>
          <w:rtl/>
        </w:rPr>
        <w:t>(4)</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بِسَبْعٍ </w:t>
      </w:r>
      <w:r w:rsidR="006C577F" w:rsidRPr="006C577F">
        <w:rPr>
          <w:rStyle w:val="libFootnotenumChar"/>
          <w:rtl/>
        </w:rPr>
        <w:t>(5)</w:t>
      </w:r>
      <w:r w:rsidRPr="00C9040A">
        <w:rPr>
          <w:rtl/>
          <w:lang w:bidi="fa-IR"/>
        </w:rPr>
        <w:t xml:space="preserve"> ، وَجَعَلَ طَاعَتَهُ فِي الْأَرْضِ كَطَاعَتِهِ فِي السَّمَاءِ </w:t>
      </w:r>
      <w:r w:rsidR="006C577F" w:rsidRPr="006C577F">
        <w:rPr>
          <w:rStyle w:val="libFootnotenumChar"/>
          <w:rtl/>
        </w:rPr>
        <w:t>(6)</w:t>
      </w:r>
      <w:r w:rsidRPr="005B567D">
        <w:rPr>
          <w:rStyle w:val="libFootnotenumChar"/>
          <w:rtl/>
        </w:rPr>
        <w:t xml:space="preserve"> </w:t>
      </w:r>
      <w:r w:rsidRPr="00C9040A">
        <w:rPr>
          <w:rtl/>
          <w:lang w:bidi="fa-IR"/>
        </w:rPr>
        <w:t xml:space="preserve">، فَقَالَ : </w:t>
      </w:r>
      <w:r w:rsidRPr="0003660B">
        <w:rPr>
          <w:rStyle w:val="libAlaemChar"/>
          <w:rtl/>
        </w:rPr>
        <w:t>(</w:t>
      </w:r>
      <w:r w:rsidRPr="006A2246">
        <w:rPr>
          <w:rStyle w:val="libAieChar"/>
          <w:rtl/>
        </w:rPr>
        <w:t xml:space="preserve"> وَ</w:t>
      </w:r>
      <w:r>
        <w:rPr>
          <w:rFonts w:hint="cs"/>
          <w:rtl/>
        </w:rPr>
        <w:t xml:space="preserve"> </w:t>
      </w:r>
      <w:r w:rsidR="006C577F" w:rsidRPr="006C577F">
        <w:rPr>
          <w:rStyle w:val="libFootnotenumChar"/>
          <w:rtl/>
        </w:rPr>
        <w:t>(7)</w:t>
      </w:r>
      <w:r>
        <w:rPr>
          <w:rFonts w:hint="cs"/>
          <w:rtl/>
        </w:rPr>
        <w:t xml:space="preserve"> </w:t>
      </w:r>
      <w:r w:rsidRPr="006A2246">
        <w:rPr>
          <w:rStyle w:val="libAieChar"/>
          <w:rtl/>
        </w:rPr>
        <w:t xml:space="preserve">ما آتاكُمُ الرَّسُولُ فَخُذُوهُ وَما نَهاكُمْ عَنْهُ فَانْتَهُوا </w:t>
      </w:r>
      <w:r w:rsidRPr="0003660B">
        <w:rPr>
          <w:rStyle w:val="libAlaemChar"/>
          <w:rtl/>
        </w:rPr>
        <w:t>)</w:t>
      </w:r>
      <w:r w:rsidRPr="00C9040A">
        <w:rPr>
          <w:rtl/>
          <w:lang w:bidi="fa-IR"/>
        </w:rPr>
        <w:t xml:space="preserve"> </w:t>
      </w:r>
      <w:r w:rsidR="006C577F" w:rsidRPr="006C577F">
        <w:rPr>
          <w:rStyle w:val="libFootnotenumChar"/>
          <w:rtl/>
        </w:rPr>
        <w:t>(8)</w:t>
      </w:r>
      <w:r w:rsidRPr="00C9040A">
        <w:rPr>
          <w:rtl/>
          <w:lang w:bidi="fa-IR"/>
        </w:rPr>
        <w:t xml:space="preserve"> وَمَنْ أَطَاعَ هذَا فَقَدْ أَطَاعَنِي ، وَمَنْ عَصَاهُ فَقَدْ عَصَانِي ، وَفَوَّضَ إِلَيْهِ</w:t>
      </w:r>
      <w:r>
        <w:rPr>
          <w:rtl/>
          <w:lang w:bidi="fa-IR"/>
        </w:rPr>
        <w:t>؟</w:t>
      </w:r>
    </w:p>
    <w:p w:rsidR="008A74EB" w:rsidRPr="00C9040A" w:rsidRDefault="008A74EB" w:rsidP="008A74EB">
      <w:pPr>
        <w:pStyle w:val="libNormal"/>
        <w:rPr>
          <w:rtl/>
          <w:lang w:bidi="fa-IR"/>
        </w:rPr>
      </w:pPr>
      <w:r w:rsidRPr="00C9040A">
        <w:rPr>
          <w:rtl/>
          <w:lang w:bidi="fa-IR"/>
        </w:rPr>
        <w:t xml:space="preserve">وَإِنَّا لَانُوصَفُ ، وَكَيْفَ يُوصَفُ قَوْمٌ رَفَعَ اللهُ عَنْهُمُ الرِّجْسَ وَهُوَ الشَّكُّ </w:t>
      </w:r>
      <w:r w:rsidR="006C577F" w:rsidRPr="006C577F">
        <w:rPr>
          <w:rStyle w:val="libFootnotenumChar"/>
          <w:rtl/>
        </w:rPr>
        <w:t>(9)</w:t>
      </w:r>
      <w:r w:rsidR="00BA6F3E" w:rsidRPr="00BA6F3E">
        <w:rPr>
          <w:rFonts w:hint="cs"/>
          <w:rtl/>
        </w:rPr>
        <w:t>.</w:t>
      </w:r>
    </w:p>
    <w:p w:rsidR="008A74EB" w:rsidRPr="00C9040A" w:rsidRDefault="008A74EB" w:rsidP="008A74EB">
      <w:pPr>
        <w:pStyle w:val="libNormal"/>
        <w:rPr>
          <w:rtl/>
          <w:lang w:bidi="fa-IR"/>
        </w:rPr>
      </w:pPr>
      <w:r w:rsidRPr="00C9040A">
        <w:rPr>
          <w:rtl/>
          <w:lang w:bidi="fa-IR"/>
        </w:rPr>
        <w:t xml:space="preserve">وَالْمُؤْمِنُ لَايُوصَفُ </w:t>
      </w:r>
      <w:r w:rsidR="006C577F" w:rsidRPr="006C577F">
        <w:rPr>
          <w:rStyle w:val="libFootnotenumChar"/>
          <w:rtl/>
        </w:rPr>
        <w:t>(10)</w:t>
      </w:r>
      <w:r w:rsidRPr="00C9040A">
        <w:rPr>
          <w:rtl/>
          <w:lang w:bidi="fa-IR"/>
        </w:rPr>
        <w:t xml:space="preserve"> ، وَإِنَّ الْمُؤْمِنَ لَيَلْقى أَخَاهُ ، فَيُصَافِحُهُ ، فَلَا يَزَالُ اللهُ يَنْظُرُ إِلَيْهِمَا ، وَالذُّنُوبُ تَتَحَاتُّ عَنْ وُجُوهِهِمَا كَمَا يَتَحَاتُّ </w:t>
      </w:r>
      <w:r w:rsidR="006C577F" w:rsidRPr="006C577F">
        <w:rPr>
          <w:rStyle w:val="libFootnotenumChar"/>
          <w:rtl/>
        </w:rPr>
        <w:t>(11)</w:t>
      </w:r>
      <w:r w:rsidRPr="00C9040A">
        <w:rPr>
          <w:rtl/>
          <w:lang w:bidi="fa-IR"/>
        </w:rPr>
        <w:t xml:space="preserve"> الْوَرَقُ عَنِ </w:t>
      </w:r>
      <w:r w:rsidR="006C577F" w:rsidRPr="006C577F">
        <w:rPr>
          <w:rStyle w:val="libFootnotenumChar"/>
          <w:rtl/>
        </w:rPr>
        <w:t>(12)</w:t>
      </w:r>
      <w:r w:rsidRPr="00C9040A">
        <w:rPr>
          <w:rtl/>
          <w:lang w:bidi="fa-IR"/>
        </w:rPr>
        <w:t xml:space="preserve"> الشَّجَرِ »</w:t>
      </w:r>
      <w:r>
        <w:rPr>
          <w:rtl/>
          <w:lang w:bidi="fa-IR"/>
        </w:rPr>
        <w:t>.</w:t>
      </w:r>
      <w:r w:rsidRPr="00C9040A">
        <w:rPr>
          <w:rtl/>
          <w:lang w:bidi="fa-IR"/>
        </w:rPr>
        <w:t xml:space="preserve"> </w:t>
      </w:r>
      <w:r w:rsidRPr="005B567D">
        <w:rPr>
          <w:rStyle w:val="libFootnotenumChar"/>
          <w:rtl/>
        </w:rPr>
        <w:t>(13)</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3B28CA" w:rsidTr="003B28CA">
        <w:tc>
          <w:tcPr>
            <w:tcW w:w="4006" w:type="dxa"/>
          </w:tcPr>
          <w:p w:rsidR="003B28CA" w:rsidRDefault="003B28CA" w:rsidP="004A4E41">
            <w:pPr>
              <w:pStyle w:val="libFootnote0"/>
              <w:rPr>
                <w:rtl/>
              </w:rPr>
            </w:pPr>
            <w:r>
              <w:rPr>
                <w:rtl/>
              </w:rPr>
              <w:t>(1). في «ب ، بف» والكافي ، ح 283 : «وقد قال</w:t>
            </w:r>
            <w:r w:rsidRPr="00C9040A">
              <w:rPr>
                <w:rtl/>
              </w:rPr>
              <w:t>»</w:t>
            </w:r>
            <w:r>
              <w:rPr>
                <w:rtl/>
              </w:rPr>
              <w:t>.</w:t>
            </w:r>
          </w:p>
        </w:tc>
        <w:tc>
          <w:tcPr>
            <w:tcW w:w="4006" w:type="dxa"/>
          </w:tcPr>
          <w:p w:rsidR="003B28CA" w:rsidRDefault="003B28CA" w:rsidP="003B28CA">
            <w:pPr>
              <w:pStyle w:val="libFootnote0"/>
              <w:rPr>
                <w:rtl/>
              </w:rPr>
            </w:pPr>
            <w:r>
              <w:rPr>
                <w:rtl/>
              </w:rPr>
              <w:t>(2).</w:t>
            </w:r>
            <w:r w:rsidRPr="00C9040A">
              <w:rPr>
                <w:rtl/>
              </w:rPr>
              <w:t xml:space="preserve">الأنعام </w:t>
            </w:r>
            <w:r>
              <w:rPr>
                <w:rtl/>
              </w:rPr>
              <w:t>(6): 91؛الحجّ (22):74؛الزمر(39):</w:t>
            </w:r>
            <w:r w:rsidRPr="00C9040A">
              <w:rPr>
                <w:rtl/>
              </w:rPr>
              <w:t>67.</w:t>
            </w:r>
          </w:p>
        </w:tc>
      </w:tr>
    </w:tbl>
    <w:p w:rsidR="008A74EB" w:rsidRPr="00C9040A" w:rsidRDefault="006C577F" w:rsidP="004A4E41">
      <w:pPr>
        <w:pStyle w:val="libFootnote0"/>
        <w:rPr>
          <w:rtl/>
          <w:lang w:bidi="fa-IR"/>
        </w:rPr>
      </w:pPr>
      <w:r>
        <w:rPr>
          <w:rtl/>
        </w:rPr>
        <w:t>(3).</w:t>
      </w:r>
      <w:r w:rsidR="008A74EB" w:rsidRPr="00C9040A">
        <w:rPr>
          <w:rtl/>
        </w:rPr>
        <w:t xml:space="preserve"> في « ب ، بس » وحاشية « ص » ومرآة العقول والبحار والتوحيد : « بقدرة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لقوله </w:t>
      </w:r>
      <w:r w:rsidR="00117575" w:rsidRPr="00117575">
        <w:rPr>
          <w:rStyle w:val="libFootnoteAlaemChar"/>
          <w:rtl/>
        </w:rPr>
        <w:t>عليه‌السلام</w:t>
      </w:r>
      <w:r w:rsidR="008A74EB" w:rsidRPr="00C9040A">
        <w:rPr>
          <w:rtl/>
        </w:rPr>
        <w:t xml:space="preserve"> : « احتجب الله » وجوه ، عدّها المجلسي أربعة ، أوّلها ما قاله الفيض في </w:t>
      </w:r>
      <w:r w:rsidR="008A74EB" w:rsidRPr="00993B55">
        <w:rPr>
          <w:rStyle w:val="libFootnoteBoldChar"/>
          <w:rtl/>
        </w:rPr>
        <w:t>الوافي</w:t>
      </w:r>
      <w:r w:rsidR="008A74EB" w:rsidRPr="00C9040A">
        <w:rPr>
          <w:rtl/>
        </w:rPr>
        <w:t xml:space="preserve"> ، حيث قال : « قد ورد في‌</w:t>
      </w:r>
      <w:r w:rsidR="003B28CA">
        <w:rPr>
          <w:rFonts w:hint="cs"/>
          <w:rtl/>
        </w:rPr>
        <w:t xml:space="preserve"> </w:t>
      </w:r>
      <w:r w:rsidR="008A74EB" w:rsidRPr="00C9040A">
        <w:rPr>
          <w:rtl/>
        </w:rPr>
        <w:t>الحديث أنّ لله‌</w:t>
      </w:r>
      <w:r w:rsidR="003B28CA">
        <w:rPr>
          <w:rFonts w:hint="cs"/>
          <w:rtl/>
        </w:rPr>
        <w:t xml:space="preserve"> </w:t>
      </w:r>
      <w:r w:rsidR="008A74EB" w:rsidRPr="00C9040A">
        <w:rPr>
          <w:rtl/>
        </w:rPr>
        <w:t>سبعين ألف حجاب من نور وظلمة ، لو</w:t>
      </w:r>
      <w:r w:rsidR="008A74EB">
        <w:rPr>
          <w:rFonts w:hint="cs"/>
          <w:rtl/>
        </w:rPr>
        <w:t xml:space="preserve"> </w:t>
      </w:r>
      <w:r w:rsidR="008A74EB" w:rsidRPr="00323A39">
        <w:rPr>
          <w:rtl/>
        </w:rPr>
        <w:t xml:space="preserve">كشفها لأحرقت سبحات وجهه ما انتهى إليه بصره. وعلى هذا فيحتمل أن يكون معنى قوله </w:t>
      </w:r>
      <w:r w:rsidR="00117575" w:rsidRPr="00117575">
        <w:rPr>
          <w:rStyle w:val="libFootnoteAlaemChar"/>
          <w:rtl/>
        </w:rPr>
        <w:t>عليه‌السلام</w:t>
      </w:r>
      <w:r w:rsidR="008A74EB" w:rsidRPr="00323A39">
        <w:rPr>
          <w:rtl/>
        </w:rPr>
        <w:t xml:space="preserve"> : « احتجب الله بسبع » أنّه </w:t>
      </w:r>
      <w:r w:rsidR="004A4E41" w:rsidRPr="003B28CA">
        <w:rPr>
          <w:rStyle w:val="libFootnoteAlaemChar"/>
          <w:rtl/>
        </w:rPr>
        <w:t>صلى‌الله‌عليه‌وآله</w:t>
      </w:r>
      <w:r w:rsidR="008A74EB" w:rsidRPr="00323A39">
        <w:rPr>
          <w:rtl/>
        </w:rPr>
        <w:t xml:space="preserve"> قد ارتفع الحجب بينه وبين الله سبحانه حتّى بقي من السبعين ألف سبع ». وقال في رابعها : « الرابع أن يقرأ الجلالة بالنصب ، أي احتجب مع الله عن الخلق فوق سبع سماوات ، أو سبعة حجب بعد السماوات فكلّمه الله وناجاه هناك ، وفيه بُعدٌ لفظاً ». راجع : </w:t>
      </w:r>
      <w:r w:rsidR="008A74EB" w:rsidRPr="00993B55">
        <w:rPr>
          <w:rStyle w:val="libFootnoteBoldChar"/>
          <w:rtl/>
        </w:rPr>
        <w:t>شرح المازندراني</w:t>
      </w:r>
      <w:r w:rsidR="008A74EB" w:rsidRPr="00323A39">
        <w:rPr>
          <w:rtl/>
        </w:rPr>
        <w:t xml:space="preserve"> ، ج 9 ، ص 57 ؛ </w:t>
      </w:r>
      <w:r w:rsidR="008A74EB" w:rsidRPr="00993B55">
        <w:rPr>
          <w:rStyle w:val="libFootnoteBoldChar"/>
          <w:rtl/>
        </w:rPr>
        <w:t>الوافي</w:t>
      </w:r>
      <w:r w:rsidR="008A74EB" w:rsidRPr="00323A39">
        <w:rPr>
          <w:rtl/>
        </w:rPr>
        <w:t xml:space="preserve"> ، ج 5 ، ص 614 ؛ </w:t>
      </w:r>
      <w:r w:rsidR="008A74EB" w:rsidRPr="00993B55">
        <w:rPr>
          <w:rStyle w:val="libFootnoteBoldChar"/>
          <w:rtl/>
        </w:rPr>
        <w:t>مرآة العقول</w:t>
      </w:r>
      <w:r w:rsidR="008A74EB" w:rsidRPr="00323A39">
        <w:rPr>
          <w:rtl/>
        </w:rPr>
        <w:t xml:space="preserve"> ، ج 9 ، ص 72.</w:t>
      </w:r>
    </w:p>
    <w:p w:rsidR="008A74EB" w:rsidRPr="00C9040A" w:rsidRDefault="006C577F" w:rsidP="004A4E41">
      <w:pPr>
        <w:pStyle w:val="libFootnote0"/>
        <w:rPr>
          <w:rtl/>
          <w:lang w:bidi="fa-IR"/>
        </w:rPr>
      </w:pPr>
      <w:r>
        <w:rPr>
          <w:rtl/>
        </w:rPr>
        <w:t>(5).</w:t>
      </w:r>
      <w:r w:rsidR="008A74EB" w:rsidRPr="00C9040A">
        <w:rPr>
          <w:rtl/>
        </w:rPr>
        <w:t xml:space="preserve"> في حاشية « ج » : + « سماوات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 ب ، ج ، بف » والوافي </w:t>
      </w:r>
      <w:r w:rsidR="008A74EB">
        <w:rPr>
          <w:rtl/>
        </w:rPr>
        <w:t xml:space="preserve">: </w:t>
      </w:r>
      <w:r w:rsidR="0084262C">
        <w:rPr>
          <w:rtl/>
        </w:rPr>
        <w:t>-</w:t>
      </w:r>
      <w:r w:rsidR="008A74EB" w:rsidRPr="00C9040A">
        <w:rPr>
          <w:rtl/>
        </w:rPr>
        <w:t xml:space="preserve"> « في السماء »</w:t>
      </w:r>
      <w:r w:rsidR="008A74EB">
        <w:rPr>
          <w:rtl/>
        </w:rPr>
        <w:t>.</w:t>
      </w:r>
      <w:r w:rsidR="008A74EB" w:rsidRPr="00C9040A">
        <w:rPr>
          <w:rtl/>
        </w:rPr>
        <w:t xml:space="preserve"> وفي المؤمن : « كيف يوصف عبد رفعه الله عزّ وجلّ إليه ، وقرّبه‌</w:t>
      </w:r>
      <w:r w:rsidR="003B28CA">
        <w:rPr>
          <w:rFonts w:hint="cs"/>
          <w:rtl/>
        </w:rPr>
        <w:t xml:space="preserve"> </w:t>
      </w:r>
      <w:r w:rsidR="008A74EB" w:rsidRPr="00C9040A">
        <w:rPr>
          <w:rtl/>
        </w:rPr>
        <w:t>منه ، وجعل طاعته في الأرض كطاعته » بدل « كيف يوصف</w:t>
      </w:r>
      <w:r w:rsidR="008A74EB">
        <w:rPr>
          <w:rtl/>
        </w:rPr>
        <w:t xml:space="preserve"> </w:t>
      </w:r>
      <w:r w:rsidR="0084262C">
        <w:rPr>
          <w:rtl/>
        </w:rPr>
        <w:t>-</w:t>
      </w:r>
      <w:r w:rsidR="008A74EB">
        <w:rPr>
          <w:rtl/>
        </w:rPr>
        <w:t xml:space="preserve"> </w:t>
      </w:r>
      <w:r w:rsidR="008A74EB" w:rsidRPr="00C9040A">
        <w:rPr>
          <w:rtl/>
        </w:rPr>
        <w:t>إلى</w:t>
      </w:r>
      <w:r w:rsidR="008A74EB">
        <w:rPr>
          <w:rtl/>
        </w:rPr>
        <w:t xml:space="preserve"> </w:t>
      </w:r>
      <w:r w:rsidR="0084262C">
        <w:rPr>
          <w:rtl/>
        </w:rPr>
        <w:t>-</w:t>
      </w:r>
      <w:r w:rsidR="008A74EB">
        <w:rPr>
          <w:rtl/>
        </w:rPr>
        <w:t xml:space="preserve"> </w:t>
      </w:r>
      <w:r w:rsidR="008A74EB" w:rsidRPr="00C9040A">
        <w:rPr>
          <w:rtl/>
        </w:rPr>
        <w:t>في السماء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ج ، د ، ز ، ص ، بر ، بف » والوافي </w:t>
      </w:r>
      <w:r w:rsidR="008A74EB">
        <w:rPr>
          <w:rtl/>
        </w:rPr>
        <w:t xml:space="preserve">: </w:t>
      </w:r>
      <w:r w:rsidR="0084262C">
        <w:rPr>
          <w:rtl/>
        </w:rPr>
        <w:t>-</w:t>
      </w:r>
      <w:r w:rsidR="008A74EB" w:rsidRPr="00C9040A">
        <w:rPr>
          <w:rtl/>
        </w:rPr>
        <w:t xml:space="preserve"> « </w:t>
      </w:r>
      <w:r w:rsidR="008A74EB">
        <w:rPr>
          <w:rtl/>
        </w:rPr>
        <w:t>و ».</w:t>
      </w:r>
    </w:p>
    <w:tbl>
      <w:tblPr>
        <w:tblStyle w:val="TableGrid"/>
        <w:bidiVisual/>
        <w:tblW w:w="0" w:type="auto"/>
        <w:tblLook w:val="04A0" w:firstRow="1" w:lastRow="0" w:firstColumn="1" w:lastColumn="0" w:noHBand="0" w:noVBand="1"/>
      </w:tblPr>
      <w:tblGrid>
        <w:gridCol w:w="4006"/>
        <w:gridCol w:w="4006"/>
      </w:tblGrid>
      <w:tr w:rsidR="003B28CA" w:rsidTr="003B28CA">
        <w:tc>
          <w:tcPr>
            <w:tcW w:w="4006" w:type="dxa"/>
          </w:tcPr>
          <w:p w:rsidR="003B28CA" w:rsidRDefault="003B28CA" w:rsidP="004A4E41">
            <w:pPr>
              <w:pStyle w:val="libFootnote0"/>
              <w:rPr>
                <w:rtl/>
              </w:rPr>
            </w:pPr>
            <w:r>
              <w:rPr>
                <w:rtl/>
              </w:rPr>
              <w:t>(8).</w:t>
            </w:r>
            <w:r w:rsidRPr="00C9040A">
              <w:rPr>
                <w:rtl/>
              </w:rPr>
              <w:t xml:space="preserve"> الحشر (59) : 7.</w:t>
            </w:r>
          </w:p>
        </w:tc>
        <w:tc>
          <w:tcPr>
            <w:tcW w:w="4006" w:type="dxa"/>
          </w:tcPr>
          <w:p w:rsidR="003B28CA" w:rsidRDefault="003B28CA" w:rsidP="004A4E41">
            <w:pPr>
              <w:pStyle w:val="libFootnote0"/>
              <w:rPr>
                <w:rtl/>
              </w:rPr>
            </w:pPr>
            <w:r>
              <w:rPr>
                <w:rtl/>
              </w:rPr>
              <w:t>(9).</w:t>
            </w:r>
            <w:r w:rsidRPr="00C9040A">
              <w:rPr>
                <w:rtl/>
              </w:rPr>
              <w:t xml:space="preserve"> في المؤمن : « الشرك »</w:t>
            </w:r>
            <w:r>
              <w:rPr>
                <w:rtl/>
              </w:rPr>
              <w:t>.</w:t>
            </w:r>
          </w:p>
        </w:tc>
      </w:tr>
    </w:tbl>
    <w:p w:rsidR="008A74EB" w:rsidRPr="00C9040A" w:rsidRDefault="006C577F" w:rsidP="004A4E41">
      <w:pPr>
        <w:pStyle w:val="libFootnote0"/>
        <w:rPr>
          <w:rtl/>
          <w:lang w:bidi="fa-IR"/>
        </w:rPr>
      </w:pPr>
      <w:r>
        <w:rPr>
          <w:rtl/>
        </w:rPr>
        <w:t>(10).</w:t>
      </w:r>
      <w:r w:rsidR="008A74EB" w:rsidRPr="00C9040A">
        <w:rPr>
          <w:rtl/>
        </w:rPr>
        <w:t xml:space="preserve"> في حاشية « ز » : + « وكيف يوصف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في « ض » : « تتحاتّ »</w:t>
      </w:r>
      <w:r w:rsidR="008A74EB">
        <w:rPr>
          <w:rtl/>
        </w:rPr>
        <w:t>.</w:t>
      </w:r>
      <w:r w:rsidR="008A74EB" w:rsidRPr="00C9040A">
        <w:rPr>
          <w:rtl/>
        </w:rPr>
        <w:t xml:space="preserve"> وفي « بر » : « تحاتّ » بحذف إحدى التاءين.</w:t>
      </w:r>
    </w:p>
    <w:p w:rsidR="008A74EB" w:rsidRPr="00C9040A" w:rsidRDefault="006C577F" w:rsidP="004A4E41">
      <w:pPr>
        <w:pStyle w:val="libFootnote0"/>
        <w:rPr>
          <w:rtl/>
          <w:lang w:bidi="fa-IR"/>
        </w:rPr>
      </w:pPr>
      <w:r>
        <w:rPr>
          <w:rtl/>
        </w:rPr>
        <w:t>(12).</w:t>
      </w:r>
      <w:r w:rsidR="008A74EB" w:rsidRPr="00C9040A">
        <w:rPr>
          <w:rtl/>
        </w:rPr>
        <w:t xml:space="preserve"> في « بر » : « من »</w:t>
      </w:r>
      <w:r w:rsidR="008A74EB">
        <w:rPr>
          <w:rtl/>
        </w:rPr>
        <w:t>.</w:t>
      </w:r>
    </w:p>
    <w:p w:rsidR="008A74EB" w:rsidRPr="00C9040A" w:rsidRDefault="008A74EB" w:rsidP="004A4E41">
      <w:pPr>
        <w:pStyle w:val="libFootnote0"/>
        <w:rPr>
          <w:rtl/>
          <w:lang w:bidi="fa-IR"/>
        </w:rPr>
      </w:pPr>
      <w:r>
        <w:rPr>
          <w:rtl/>
        </w:rPr>
        <w:t>(13)</w:t>
      </w:r>
      <w:r w:rsidRPr="00C9040A">
        <w:rPr>
          <w:rtl/>
        </w:rPr>
        <w:t xml:space="preserve"> </w:t>
      </w:r>
      <w:r w:rsidRPr="00993B55">
        <w:rPr>
          <w:rStyle w:val="libFootnoteBoldChar"/>
          <w:rtl/>
        </w:rPr>
        <w:t>الكافي</w:t>
      </w:r>
      <w:r w:rsidRPr="00C9040A">
        <w:rPr>
          <w:rtl/>
        </w:rPr>
        <w:t xml:space="preserve"> ، كتاب التوحيد ، باب النهي عن الصفة بغير ما وصف به نفسه تعالى ، ح 283 ؛ و</w:t>
      </w:r>
      <w:r w:rsidRPr="00993B55">
        <w:rPr>
          <w:rStyle w:val="libFootnoteBoldChar"/>
          <w:rtl/>
        </w:rPr>
        <w:t>التوحيد</w:t>
      </w:r>
      <w:r w:rsidRPr="00C9040A">
        <w:rPr>
          <w:rtl/>
        </w:rPr>
        <w:t xml:space="preserve"> ، ص 127 ، ح 6 ، بسند آخر عن أبي عبد الله </w:t>
      </w:r>
      <w:r w:rsidR="00117575" w:rsidRPr="00117575">
        <w:rPr>
          <w:rStyle w:val="libFootnoteAlaemChar"/>
          <w:rtl/>
        </w:rPr>
        <w:t>عليه‌السلام</w:t>
      </w:r>
      <w:r w:rsidR="003B28CA">
        <w:rPr>
          <w:rtl/>
        </w:rPr>
        <w:t xml:space="preserve"> ، إلى قوله : « إل</w:t>
      </w:r>
      <w:r w:rsidR="003B28CA">
        <w:rPr>
          <w:rFonts w:hint="cs"/>
          <w:rtl/>
        </w:rPr>
        <w:t>ّ</w:t>
      </w:r>
      <w:r w:rsidR="003B28CA">
        <w:rPr>
          <w:rtl/>
        </w:rPr>
        <w:t>ا</w:t>
      </w:r>
      <w:r w:rsidRPr="00C9040A">
        <w:rPr>
          <w:rtl/>
        </w:rPr>
        <w:t xml:space="preserve"> كان أعظم من ذلك »</w:t>
      </w:r>
      <w:r>
        <w:rPr>
          <w:rtl/>
        </w:rPr>
        <w:t>.</w:t>
      </w:r>
      <w:r w:rsidRPr="00C9040A">
        <w:rPr>
          <w:rtl/>
        </w:rPr>
        <w:t xml:space="preserve"> </w:t>
      </w:r>
      <w:r w:rsidRPr="00993B55">
        <w:rPr>
          <w:rStyle w:val="libFootnoteBoldChar"/>
          <w:rtl/>
        </w:rPr>
        <w:t>المؤمن</w:t>
      </w:r>
      <w:r w:rsidRPr="00C9040A">
        <w:rPr>
          <w:rtl/>
        </w:rPr>
        <w:t xml:space="preserve"> ، ص 30 ، ح 55 ، عن أبي جعفر </w:t>
      </w:r>
      <w:r w:rsidR="00117575" w:rsidRPr="00117575">
        <w:rPr>
          <w:rStyle w:val="libFootnoteAlaemChar"/>
          <w:rtl/>
        </w:rPr>
        <w:t>عليه‌السلام</w:t>
      </w:r>
      <w:r w:rsidRPr="00C9040A">
        <w:rPr>
          <w:rtl/>
        </w:rPr>
        <w:t xml:space="preserve"> ، مع اختلاف يسير </w:t>
      </w:r>
      <w:r w:rsidR="003B28CA">
        <w:rPr>
          <w:rFonts w:hint="cs"/>
          <w:rtl/>
        </w:rPr>
        <w:t>.</w:t>
      </w:r>
      <w:r w:rsidRPr="00993B55">
        <w:rPr>
          <w:rStyle w:val="libFootnoteBoldChar"/>
          <w:rtl/>
        </w:rPr>
        <w:t>الوافي</w:t>
      </w:r>
      <w:r w:rsidRPr="00C9040A">
        <w:rPr>
          <w:rtl/>
        </w:rPr>
        <w:t xml:space="preserve"> ، ج 5 ، ص 613 ، ح 2700 ؛ </w:t>
      </w:r>
      <w:r w:rsidRPr="00993B55">
        <w:rPr>
          <w:rStyle w:val="libFootnoteBoldChar"/>
          <w:rtl/>
        </w:rPr>
        <w:t>الوسائل</w:t>
      </w:r>
      <w:r w:rsidRPr="00C9040A">
        <w:rPr>
          <w:rtl/>
        </w:rPr>
        <w:t xml:space="preserve"> ، ج 12 ، ص 218 ، ح 16129 ، من قوله : « المؤمن لا يوصف » ؛ </w:t>
      </w:r>
      <w:r w:rsidRPr="00993B55">
        <w:rPr>
          <w:rStyle w:val="libFootnoteBoldChar"/>
          <w:rtl/>
        </w:rPr>
        <w:t>البحار</w:t>
      </w:r>
      <w:r w:rsidRPr="00C9040A">
        <w:rPr>
          <w:rtl/>
        </w:rPr>
        <w:t xml:space="preserve"> ، ج 76 ، ص 30 ، ح 26.</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293469">
        <w:rPr>
          <w:rtl/>
        </w:rPr>
        <w:t>2108</w:t>
      </w:r>
      <w:r w:rsidRPr="00261CB0">
        <w:rPr>
          <w:rStyle w:val="libBold2Char"/>
          <w:rtl/>
        </w:rPr>
        <w:t xml:space="preserve"> / 17.</w:t>
      </w:r>
      <w:r w:rsidRPr="00C9040A">
        <w:rPr>
          <w:rtl/>
          <w:lang w:bidi="fa-IR"/>
        </w:rPr>
        <w:t xml:space="preserve"> مُحَمَّدُ بْنُ يَحْيى ، عَنْ أَحْمَدَ بْنِ مُحَمَّدِ بْنِ عِيسى ، عَنْ عَلِيِّ بْنِ النُّعْمَانِ ، عَنْ فُضَيْلِ بْنِ عُثْمَانَ ، عَنْ أَبِي عُبَيْدَةَ </w:t>
      </w:r>
      <w:r w:rsidR="006C577F" w:rsidRPr="006C577F">
        <w:rPr>
          <w:rStyle w:val="libFootnotenumChar"/>
          <w:rtl/>
        </w:rPr>
        <w:t>(1)</w:t>
      </w:r>
      <w:r w:rsidRPr="00C9040A">
        <w:rPr>
          <w:rtl/>
          <w:lang w:bidi="fa-IR"/>
        </w:rPr>
        <w:t xml:space="preserve"> ، قَالَ :</w:t>
      </w:r>
    </w:p>
    <w:p w:rsidR="008A74EB" w:rsidRPr="00C9040A" w:rsidRDefault="008A74EB" w:rsidP="008A74EB">
      <w:pPr>
        <w:pStyle w:val="libNormal"/>
        <w:rPr>
          <w:rtl/>
          <w:lang w:bidi="fa-IR"/>
        </w:rPr>
      </w:pPr>
      <w:r w:rsidRPr="00C9040A">
        <w:rPr>
          <w:rtl/>
          <w:lang w:bidi="fa-IR"/>
        </w:rPr>
        <w:t xml:space="preserve">سَمِعْتُ أَبَا جَعْفَرٍ </w:t>
      </w:r>
      <w:r w:rsidRPr="0003660B">
        <w:rPr>
          <w:rStyle w:val="libAlaemChar"/>
          <w:rtl/>
        </w:rPr>
        <w:t>عليه‌السلام</w:t>
      </w:r>
      <w:r w:rsidRPr="00C9040A">
        <w:rPr>
          <w:rtl/>
          <w:lang w:bidi="fa-IR"/>
        </w:rPr>
        <w:t xml:space="preserve"> يَقُولُ : « إِذَا </w:t>
      </w:r>
      <w:r w:rsidR="006C577F" w:rsidRPr="006C577F">
        <w:rPr>
          <w:rStyle w:val="libFootnotenumChar"/>
          <w:rtl/>
        </w:rPr>
        <w:t>(2)</w:t>
      </w:r>
      <w:r w:rsidRPr="00C9040A">
        <w:rPr>
          <w:rtl/>
          <w:lang w:bidi="fa-IR"/>
        </w:rPr>
        <w:t xml:space="preserve"> الْتَقَى الْمُؤْمِنَانِ فَتَصَافَحَا ، أَقْبَلَ اللهُ بِوَجْهِهِ عَلَيْهِمَا ، وَتَتَحَاتُّ </w:t>
      </w:r>
      <w:r w:rsidR="006C577F" w:rsidRPr="006C577F">
        <w:rPr>
          <w:rStyle w:val="libFootnotenumChar"/>
          <w:rtl/>
        </w:rPr>
        <w:t>(3)</w:t>
      </w:r>
      <w:r w:rsidRPr="00C9040A">
        <w:rPr>
          <w:rtl/>
          <w:lang w:bidi="fa-IR"/>
        </w:rPr>
        <w:t xml:space="preserve"> الذُّنُوبُ عَنْ وُجُوهِهِمَا حَتّى يَفْتَرِقَا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261CB0">
        <w:rPr>
          <w:rStyle w:val="libBold2Char"/>
          <w:rtl/>
        </w:rPr>
        <w:t>2109 / 18.</w:t>
      </w:r>
      <w:r w:rsidRPr="00C9040A">
        <w:rPr>
          <w:rtl/>
          <w:lang w:bidi="fa-IR"/>
        </w:rPr>
        <w:t xml:space="preserve"> عَلِيُّ بْنُ إِبْرَاهِيمَ ، عَنْ أَبِيهِ ، عَنِ النَّوْفَلِيِّ ، عَنِ السَّكُونِيِّ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تَصَافَحُوا ؛ فَإِنَّهَا تَذْهَبُ بِالسَّخِيمَةِ </w:t>
      </w:r>
      <w:r w:rsidR="006C577F" w:rsidRPr="006C577F">
        <w:rPr>
          <w:rStyle w:val="libFootnotenumChar"/>
          <w:rtl/>
        </w:rPr>
        <w:t>(5)</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Normal"/>
        <w:rPr>
          <w:rtl/>
          <w:lang w:bidi="fa-IR"/>
        </w:rPr>
      </w:pPr>
      <w:r w:rsidRPr="00261CB0">
        <w:rPr>
          <w:rStyle w:val="libBold2Char"/>
          <w:rtl/>
        </w:rPr>
        <w:t>2110 / 19.</w:t>
      </w:r>
      <w:r w:rsidRPr="00C9040A">
        <w:rPr>
          <w:rtl/>
          <w:lang w:bidi="fa-IR"/>
        </w:rPr>
        <w:t xml:space="preserve"> عِدَّةٌ مِنْ أَصْحَابِنَا ، عَنْ سَهْلِ بْنِ زِيَادٍ ، عَنْ جَعْفَرِ بْنِ مُحَمَّدٍ الْأَشْعَرِيِّ ، عَنِ ابْنِ الْقَدَّاحِ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لَقِيَ النَّبِيُّ </w:t>
      </w:r>
      <w:r w:rsidR="004A4E41" w:rsidRPr="004A4E41">
        <w:rPr>
          <w:rStyle w:val="libAlaemChar"/>
          <w:rtl/>
        </w:rPr>
        <w:t>صلى‌الله‌عليه‌وآله</w:t>
      </w:r>
      <w:r w:rsidRPr="00C9040A">
        <w:rPr>
          <w:rtl/>
          <w:lang w:bidi="fa-IR"/>
        </w:rPr>
        <w:t xml:space="preserve"> حُذَيْفَةَ ، فَمَدَّ النَّبِيُّ </w:t>
      </w:r>
      <w:r w:rsidR="004A4E41" w:rsidRPr="004A4E41">
        <w:rPr>
          <w:rStyle w:val="libAlaemChar"/>
          <w:rtl/>
        </w:rPr>
        <w:t>صلى‌الله‌عليه‌وآله</w:t>
      </w:r>
      <w:r w:rsidRPr="00C9040A">
        <w:rPr>
          <w:rtl/>
          <w:lang w:bidi="fa-IR"/>
        </w:rPr>
        <w:t xml:space="preserve"> يَدَهُ ، فَكَفَّ </w:t>
      </w:r>
      <w:r w:rsidR="006C577F" w:rsidRPr="006C577F">
        <w:rPr>
          <w:rStyle w:val="libFootnotenumChar"/>
          <w:rtl/>
        </w:rPr>
        <w:t>(7)</w:t>
      </w:r>
      <w:r w:rsidRPr="00C9040A">
        <w:rPr>
          <w:rtl/>
          <w:lang w:bidi="fa-IR"/>
        </w:rPr>
        <w:t xml:space="preserve"> حُذَيْفَةُ يَدَهُ ، فَقَالَ النَّبِيُّ </w:t>
      </w:r>
      <w:r w:rsidR="004A4E41" w:rsidRPr="004A4E41">
        <w:rPr>
          <w:rStyle w:val="libAlaemChar"/>
          <w:rtl/>
        </w:rPr>
        <w:t>صلى‌الله‌عليه‌وآله</w:t>
      </w:r>
      <w:r w:rsidRPr="00C9040A">
        <w:rPr>
          <w:rtl/>
          <w:lang w:bidi="fa-IR"/>
        </w:rPr>
        <w:t xml:space="preserve"> : يَا حُذَيْفَةُ ، بَسَطْتُ يَدِي إِلَيْكَ ، فَكَفَفْتَ يَدَكَ عَنِّي</w:t>
      </w:r>
      <w:r>
        <w:rPr>
          <w:rtl/>
          <w:lang w:bidi="fa-IR"/>
        </w:rPr>
        <w:t>؟</w:t>
      </w:r>
      <w:r w:rsidRPr="00C9040A">
        <w:rPr>
          <w:rtl/>
          <w:lang w:bidi="fa-IR"/>
        </w:rPr>
        <w:t xml:space="preserve"> فَقَالَ </w:t>
      </w:r>
      <w:r w:rsidR="006C577F" w:rsidRPr="006C577F">
        <w:rPr>
          <w:rStyle w:val="libFootnotenumChar"/>
          <w:rtl/>
        </w:rPr>
        <w:t>(8)</w:t>
      </w:r>
      <w:r w:rsidRPr="00C9040A">
        <w:rPr>
          <w:rtl/>
          <w:lang w:bidi="fa-IR"/>
        </w:rPr>
        <w:t xml:space="preserve"> حُذَيْفَةُ : يَا رَسُولَ اللهِ ، بِيَدِكَ الرَّغْبَةُ </w:t>
      </w:r>
      <w:r w:rsidR="006C577F" w:rsidRPr="006C577F">
        <w:rPr>
          <w:rStyle w:val="libFootnotenumChar"/>
          <w:rtl/>
        </w:rPr>
        <w:t>(9)</w:t>
      </w:r>
      <w:r w:rsidRPr="00C9040A">
        <w:rPr>
          <w:rtl/>
          <w:lang w:bidi="fa-IR"/>
        </w:rPr>
        <w:t xml:space="preserve"> ، وَلكِنِّي كُنْتُ جُنُباً ، فَلَمْ أُحِبَّ أَنْ تَمَسَّ يَدِي يَدَكَ وَأَنَا جُنُبٌ ، فَقَالَ النَّبِيُّ </w:t>
      </w:r>
      <w:r w:rsidR="004A4E41" w:rsidRPr="004A4E41">
        <w:rPr>
          <w:rStyle w:val="libAlaemChar"/>
          <w:rtl/>
        </w:rPr>
        <w:t>صلى‌الله‌عليه‌وآله</w:t>
      </w:r>
      <w:r>
        <w:rPr>
          <w:rtl/>
          <w:lang w:bidi="fa-IR"/>
        </w:rPr>
        <w:t xml:space="preserve"> : أَ</w:t>
      </w:r>
      <w:r w:rsidRPr="00C9040A">
        <w:rPr>
          <w:rtl/>
          <w:lang w:bidi="fa-IR"/>
        </w:rPr>
        <w:t xml:space="preserve">مَا تَعْلَمُ أَنَّ الْمُسْلِمَيْنِ إِذَا </w:t>
      </w:r>
      <w:r w:rsidR="006C577F" w:rsidRPr="006C577F">
        <w:rPr>
          <w:rStyle w:val="libFootnotenumChar"/>
          <w:rtl/>
        </w:rPr>
        <w:t>(10)</w:t>
      </w:r>
      <w:r w:rsidRPr="00C9040A">
        <w:rPr>
          <w:rtl/>
          <w:lang w:bidi="fa-IR"/>
        </w:rPr>
        <w:t xml:space="preserve"> الْتَقَيَا ، فَتَصَافَحَا ، تَحَاتَّتْ ذُنُوبُهُمَا كَمَا يَتَحَاتُّ </w:t>
      </w:r>
      <w:r w:rsidR="006C577F" w:rsidRPr="006C577F">
        <w:rPr>
          <w:rStyle w:val="libFootnotenumChar"/>
          <w:rtl/>
        </w:rPr>
        <w:t>(11)</w:t>
      </w:r>
      <w:r w:rsidRPr="00C9040A">
        <w:rPr>
          <w:rtl/>
          <w:lang w:bidi="fa-IR"/>
        </w:rPr>
        <w:t xml:space="preserve"> ‌</w:t>
      </w:r>
      <w:r w:rsidR="003B28CA">
        <w:rPr>
          <w:rFonts w:hint="cs"/>
          <w:rtl/>
          <w:lang w:bidi="fa-IR"/>
        </w:rPr>
        <w:t>..............................................................</w:t>
      </w:r>
      <w:r w:rsidR="003B28CA">
        <w:rPr>
          <w:rFonts w:hint="cs"/>
          <w:rtl/>
          <w:lang w:bidi="fa-IR"/>
        </w:rPr>
        <w:tab/>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6B10C4" w:rsidTr="006B10C4">
        <w:tc>
          <w:tcPr>
            <w:tcW w:w="4006" w:type="dxa"/>
          </w:tcPr>
          <w:p w:rsidR="006B10C4" w:rsidRDefault="006B10C4" w:rsidP="004A4E41">
            <w:pPr>
              <w:pStyle w:val="libFootnote0"/>
              <w:rPr>
                <w:rtl/>
              </w:rPr>
            </w:pPr>
            <w:r>
              <w:rPr>
                <w:rtl/>
              </w:rPr>
              <w:t xml:space="preserve">(1). </w:t>
            </w:r>
            <w:r w:rsidRPr="00C9040A">
              <w:rPr>
                <w:rtl/>
              </w:rPr>
              <w:t>في « ز » : + « الحذّا »</w:t>
            </w:r>
            <w:r>
              <w:rPr>
                <w:rtl/>
              </w:rPr>
              <w:t>.</w:t>
            </w:r>
          </w:p>
        </w:tc>
        <w:tc>
          <w:tcPr>
            <w:tcW w:w="4006" w:type="dxa"/>
          </w:tcPr>
          <w:p w:rsidR="006B10C4" w:rsidRDefault="006B10C4" w:rsidP="004A4E41">
            <w:pPr>
              <w:pStyle w:val="libFootnote0"/>
              <w:rPr>
                <w:rtl/>
              </w:rPr>
            </w:pPr>
            <w:r>
              <w:rPr>
                <w:rtl/>
              </w:rPr>
              <w:t xml:space="preserve">(2). </w:t>
            </w:r>
            <w:r w:rsidRPr="00C9040A">
              <w:rPr>
                <w:rtl/>
              </w:rPr>
              <w:t>في « ص » : « إذ »</w:t>
            </w:r>
            <w:r>
              <w:rPr>
                <w:rtl/>
              </w:rPr>
              <w:t>.</w:t>
            </w:r>
            <w:r w:rsidRPr="00C9040A">
              <w:rPr>
                <w:rtl/>
              </w:rPr>
              <w:t xml:space="preserve"> وفي « ف » : « إن »</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في « ض ، ف ، بر ، بس ، بف » والوافي : « تحاتّت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الوافي</w:t>
      </w:r>
      <w:r w:rsidR="008A74EB" w:rsidRPr="00C9040A">
        <w:rPr>
          <w:rtl/>
        </w:rPr>
        <w:t xml:space="preserve"> ، ج 5 ، ص 608 ، ح 2686 ؛ </w:t>
      </w:r>
      <w:r w:rsidR="008A74EB" w:rsidRPr="00993B55">
        <w:rPr>
          <w:rStyle w:val="libFootnoteBoldChar"/>
          <w:rtl/>
        </w:rPr>
        <w:t>الوسائل</w:t>
      </w:r>
      <w:r w:rsidR="008A74EB" w:rsidRPr="00C9040A">
        <w:rPr>
          <w:rtl/>
        </w:rPr>
        <w:t xml:space="preserve"> ، ج 12 ، ص 218 ، ح 16127 ؛ </w:t>
      </w:r>
      <w:r w:rsidR="008A74EB" w:rsidRPr="00993B55">
        <w:rPr>
          <w:rStyle w:val="libFootnoteBoldChar"/>
          <w:rtl/>
        </w:rPr>
        <w:t>البحار</w:t>
      </w:r>
      <w:r w:rsidR="008A74EB" w:rsidRPr="00C9040A">
        <w:rPr>
          <w:rtl/>
        </w:rPr>
        <w:t xml:space="preserve"> ، ج 76 ، ص 32 ، ح 27.</w:t>
      </w:r>
    </w:p>
    <w:p w:rsidR="008A74EB" w:rsidRPr="00C9040A" w:rsidRDefault="006C577F" w:rsidP="004A4E41">
      <w:pPr>
        <w:pStyle w:val="libFootnote0"/>
        <w:rPr>
          <w:rtl/>
          <w:lang w:bidi="fa-IR"/>
        </w:rPr>
      </w:pPr>
      <w:r>
        <w:rPr>
          <w:rtl/>
        </w:rPr>
        <w:t>(5).</w:t>
      </w:r>
      <w:r w:rsidR="008A74EB" w:rsidRPr="00C9040A">
        <w:rPr>
          <w:rtl/>
        </w:rPr>
        <w:t xml:space="preserve"> « السخيمة » : الحقد والضغينة والموجِدَة في النفس. </w:t>
      </w:r>
      <w:r w:rsidR="008A74EB" w:rsidRPr="00993B55">
        <w:rPr>
          <w:rStyle w:val="libFootnoteBoldChar"/>
          <w:rtl/>
        </w:rPr>
        <w:t>لسان العرب</w:t>
      </w:r>
      <w:r w:rsidR="008A74EB" w:rsidRPr="00C9040A">
        <w:rPr>
          <w:rtl/>
        </w:rPr>
        <w:t xml:space="preserve"> ، ج 12 ، ص 282 ( سخم )</w:t>
      </w:r>
      <w:r w:rsidR="008A74EB">
        <w:rPr>
          <w:rtl/>
        </w:rPr>
        <w:t>.</w:t>
      </w:r>
    </w:p>
    <w:p w:rsidR="008A74EB" w:rsidRPr="00C9040A" w:rsidRDefault="006C577F" w:rsidP="00CE36CE">
      <w:pPr>
        <w:pStyle w:val="libFootnote0"/>
        <w:rPr>
          <w:rtl/>
          <w:lang w:bidi="fa-IR"/>
        </w:rPr>
      </w:pPr>
      <w:r>
        <w:rPr>
          <w:rtl/>
        </w:rPr>
        <w:t>(6).</w:t>
      </w:r>
      <w:r w:rsidR="008A74EB">
        <w:rPr>
          <w:rtl/>
        </w:rPr>
        <w:t xml:space="preserve"> </w:t>
      </w:r>
      <w:r w:rsidR="008A74EB" w:rsidRPr="00993B55">
        <w:rPr>
          <w:rStyle w:val="libFootnoteBoldChar"/>
          <w:rtl/>
        </w:rPr>
        <w:t>تحف العقول</w:t>
      </w:r>
      <w:r w:rsidR="008A74EB" w:rsidRPr="00C9040A">
        <w:rPr>
          <w:rtl/>
        </w:rPr>
        <w:t xml:space="preserve"> ، ص 360 </w:t>
      </w:r>
      <w:r w:rsidR="00CE36CE">
        <w:rPr>
          <w:rFonts w:hint="cs"/>
          <w:rtl/>
        </w:rPr>
        <w:t>.</w:t>
      </w:r>
      <w:r w:rsidR="008A74EB" w:rsidRPr="00993B55">
        <w:rPr>
          <w:rStyle w:val="libFootnoteBoldChar"/>
          <w:rtl/>
        </w:rPr>
        <w:t>الوافي</w:t>
      </w:r>
      <w:r w:rsidR="008A74EB" w:rsidRPr="00C9040A">
        <w:rPr>
          <w:rtl/>
        </w:rPr>
        <w:t xml:space="preserve"> ، ج 5 ، ص 607 ، ح 2681 ؛ </w:t>
      </w:r>
      <w:r w:rsidR="008A74EB" w:rsidRPr="00993B55">
        <w:rPr>
          <w:rStyle w:val="libFootnoteBoldChar"/>
          <w:rtl/>
        </w:rPr>
        <w:t>الوسائل</w:t>
      </w:r>
      <w:r w:rsidR="008A74EB" w:rsidRPr="00C9040A">
        <w:rPr>
          <w:rtl/>
        </w:rPr>
        <w:t xml:space="preserve"> ، ج 12 ، ص 219 ، ح 16131 ؛ </w:t>
      </w:r>
      <w:r w:rsidR="008A74EB" w:rsidRPr="00993B55">
        <w:rPr>
          <w:rStyle w:val="libFootnoteBoldChar"/>
          <w:rtl/>
        </w:rPr>
        <w:t>البحار</w:t>
      </w:r>
      <w:r w:rsidR="008A74EB" w:rsidRPr="00C9040A">
        <w:rPr>
          <w:rtl/>
        </w:rPr>
        <w:t xml:space="preserve"> ، ج 76 ، ص 32 ، ح 28.</w:t>
      </w:r>
      <w:r w:rsidR="00CE36CE">
        <w:rPr>
          <w:rFonts w:hint="cs"/>
          <w:rtl/>
        </w:rPr>
        <w:t xml:space="preserve">             </w:t>
      </w:r>
      <w:r>
        <w:rPr>
          <w:rtl/>
        </w:rPr>
        <w:t>(7).</w:t>
      </w:r>
      <w:r w:rsidR="008A74EB" w:rsidRPr="00C9040A">
        <w:rPr>
          <w:rtl/>
        </w:rPr>
        <w:t xml:space="preserve"> في الوسائل : « وكفّ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البحار ، ج 76 : + « يا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w:t>
      </w:r>
      <w:r w:rsidR="008A74EB" w:rsidRPr="00993B55">
        <w:rPr>
          <w:rStyle w:val="libFootnoteBoldChar"/>
          <w:rtl/>
        </w:rPr>
        <w:t>المرآة</w:t>
      </w:r>
      <w:r w:rsidR="008A74EB" w:rsidRPr="00C9040A">
        <w:rPr>
          <w:rtl/>
        </w:rPr>
        <w:t xml:space="preserve"> : « بيدك الرغبة ، كأنّ الباء بمعنى « في » أي يرغب جميع الخلق في مصافحة يدك الكريمة. وقيل : الباء للسببيّة ، والرغبة بمعنى المرغوب ، أي يحصل بسبب يدك مرغوب الخلائق ، وهو الجنّة. وهو تكلّف بعيد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 ص » : « إذ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في « ج ، ص » : « تتحاتّ »</w:t>
      </w:r>
      <w:r w:rsidR="008A74EB">
        <w:rPr>
          <w:rtl/>
        </w:rPr>
        <w:t>.</w:t>
      </w:r>
      <w:r w:rsidR="008A74EB" w:rsidRPr="00C9040A">
        <w:rPr>
          <w:rtl/>
        </w:rPr>
        <w:t xml:space="preserve"> وفي « ض » : « تحاتّ » بحذف إحدى التاءين.</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وَرَقُ </w:t>
      </w:r>
      <w:r w:rsidR="006C577F" w:rsidRPr="006C577F">
        <w:rPr>
          <w:rStyle w:val="libFootnotenumChar"/>
          <w:rtl/>
        </w:rPr>
        <w:t>(1)</w:t>
      </w:r>
      <w:r w:rsidRPr="00C9040A">
        <w:rPr>
          <w:rtl/>
          <w:lang w:bidi="fa-IR"/>
        </w:rPr>
        <w:t xml:space="preserve"> الشَّجَرِ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1E464F">
        <w:rPr>
          <w:rtl/>
        </w:rPr>
        <w:t>2111</w:t>
      </w:r>
      <w:r w:rsidRPr="00261CB0">
        <w:rPr>
          <w:rStyle w:val="libBold2Char"/>
          <w:rtl/>
        </w:rPr>
        <w:t xml:space="preserve"> / 20.</w:t>
      </w:r>
      <w:r w:rsidRPr="00C9040A">
        <w:rPr>
          <w:rtl/>
          <w:lang w:bidi="fa-IR"/>
        </w:rPr>
        <w:t xml:space="preserve"> الْحُسَيْنُ بْنُ مُحَمَّدٍ ، عَنْ أَحْمَدَ بْنِ إِسْحَاقَ ، عَنْ بَكْرِ بْنِ مُحَمَّدٍ ، عَنْ إِسْحَاقَ بْنِ عَمَّارٍ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إِنَّ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لَايَقْدِرُ أَحَدٌ قَدْرَهُ ، وَكَذلِكَ لَايَقْدِرُ قَدْرَ نَبِيِّهِ ، وَكَذلِكَ لَايَقْدِرُ قَدْرَ الْمُؤْمِنِ ؛ إِنَّهُ لَيَلْقى أَخَاهُ ، فَيُصَافِحُهُ ، فَيَنْظُرُ اللهُ إِلَيْهِمَا ، وَالذُّنُوبُ تَتَحَاتُّ </w:t>
      </w:r>
      <w:r w:rsidR="006C577F" w:rsidRPr="006C577F">
        <w:rPr>
          <w:rStyle w:val="libFootnotenumChar"/>
          <w:rtl/>
        </w:rPr>
        <w:t>(3)</w:t>
      </w:r>
      <w:r w:rsidRPr="00C9040A">
        <w:rPr>
          <w:rtl/>
          <w:lang w:bidi="fa-IR"/>
        </w:rPr>
        <w:t xml:space="preserve"> عَنْ وُجُوهِهِمَا حَتّى يَفْتَرِقَا ، كَمَا يَتَحَاتُّ </w:t>
      </w:r>
      <w:r w:rsidR="006C577F" w:rsidRPr="006C577F">
        <w:rPr>
          <w:rStyle w:val="libFootnotenumChar"/>
          <w:rtl/>
        </w:rPr>
        <w:t>(4)</w:t>
      </w:r>
      <w:r w:rsidRPr="00C9040A">
        <w:rPr>
          <w:rtl/>
          <w:lang w:bidi="fa-IR"/>
        </w:rPr>
        <w:t xml:space="preserve"> الرِّيحَ الشَّدِيدَةَ الْوَرَقُ عَنِ الشَّجَرِ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CE36CE">
      <w:pPr>
        <w:pStyle w:val="libNormal"/>
        <w:rPr>
          <w:rtl/>
          <w:lang w:bidi="fa-IR"/>
        </w:rPr>
      </w:pPr>
      <w:r w:rsidRPr="001E464F">
        <w:rPr>
          <w:rtl/>
        </w:rPr>
        <w:t>2112</w:t>
      </w:r>
      <w:r w:rsidRPr="00261CB0">
        <w:rPr>
          <w:rStyle w:val="libBold2Char"/>
          <w:rtl/>
        </w:rPr>
        <w:t xml:space="preserve"> / 21.</w:t>
      </w:r>
      <w:r w:rsidRPr="00C9040A">
        <w:rPr>
          <w:rtl/>
          <w:lang w:bidi="fa-IR"/>
        </w:rPr>
        <w:t xml:space="preserve"> عَلِيُّ بْنُ إِبْرَاهِيمَ ، عَنْ مُحَمَّدِ بْنِ عِيسى ، عَنْ يُونُسَ ، عَنْ رِفَاعَةَ ، قَالَ :</w:t>
      </w:r>
      <w:r w:rsidR="00CE36CE">
        <w:rPr>
          <w:rFonts w:hint="cs"/>
          <w:rtl/>
          <w:lang w:bidi="fa-IR"/>
        </w:rPr>
        <w:t xml:space="preserve"> </w:t>
      </w:r>
      <w:r w:rsidRPr="00C9040A">
        <w:rPr>
          <w:rtl/>
          <w:lang w:bidi="fa-IR"/>
        </w:rPr>
        <w:t>سَمِعْتُهُ يَقُولُ : « مُصَافَحَةُ الْمُؤْمِنِ أَفْضَلُ مِنْ مُصَافَحَةِ الْمَلَائِكَةِ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Heading2Center"/>
        <w:rPr>
          <w:rtl/>
          <w:lang w:bidi="fa-IR"/>
        </w:rPr>
      </w:pPr>
      <w:bookmarkStart w:id="247" w:name="_Toc343795670"/>
      <w:bookmarkStart w:id="248" w:name="_Toc459810794"/>
      <w:bookmarkStart w:id="249" w:name="_Toc35348700"/>
      <w:r w:rsidRPr="00C9040A">
        <w:rPr>
          <w:rtl/>
          <w:lang w:bidi="fa-IR"/>
        </w:rPr>
        <w:t>79</w:t>
      </w:r>
      <w:r>
        <w:rPr>
          <w:rtl/>
          <w:lang w:bidi="fa-IR"/>
        </w:rPr>
        <w:t xml:space="preserve"> </w:t>
      </w:r>
      <w:r w:rsidR="0084262C">
        <w:rPr>
          <w:rtl/>
          <w:lang w:bidi="fa-IR"/>
        </w:rPr>
        <w:t>-</w:t>
      </w:r>
      <w:r>
        <w:rPr>
          <w:rtl/>
          <w:lang w:bidi="fa-IR"/>
        </w:rPr>
        <w:t xml:space="preserve"> </w:t>
      </w:r>
      <w:r w:rsidRPr="00C9040A">
        <w:rPr>
          <w:rtl/>
          <w:lang w:bidi="fa-IR"/>
        </w:rPr>
        <w:t>بَابُ الْمُعَانَقَةِ‌</w:t>
      </w:r>
      <w:bookmarkEnd w:id="247"/>
      <w:bookmarkEnd w:id="248"/>
      <w:bookmarkEnd w:id="249"/>
    </w:p>
    <w:p w:rsidR="008A74EB" w:rsidRPr="00C9040A" w:rsidRDefault="008A74EB" w:rsidP="008A74EB">
      <w:pPr>
        <w:pStyle w:val="libNormal"/>
        <w:rPr>
          <w:rtl/>
          <w:lang w:bidi="fa-IR"/>
        </w:rPr>
      </w:pPr>
      <w:r w:rsidRPr="001E464F">
        <w:rPr>
          <w:rtl/>
        </w:rPr>
        <w:t>2113</w:t>
      </w:r>
      <w:r w:rsidRPr="00261CB0">
        <w:rPr>
          <w:rStyle w:val="libBold2Char"/>
          <w:rtl/>
        </w:rPr>
        <w:t xml:space="preserve"> / 1.</w:t>
      </w:r>
      <w:r w:rsidRPr="00C9040A">
        <w:rPr>
          <w:rtl/>
          <w:lang w:bidi="fa-IR"/>
        </w:rPr>
        <w:t xml:space="preserve"> مُحَمَّدُ بْنُ يَحْيى ، عَنْ مُحَمَّدِ بْنِ الْحُسَيْنِ ، عَنْ مُحَمَّدِ بْنِ إِسْمَاعِيلَ بْنِ‌</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ف » : « الورق عن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الوافي</w:t>
      </w:r>
      <w:r w:rsidR="008A74EB" w:rsidRPr="00C9040A">
        <w:rPr>
          <w:rtl/>
        </w:rPr>
        <w:t xml:space="preserve"> ، ج 5 ، ص 612 ، ح 2697 ؛ </w:t>
      </w:r>
      <w:r w:rsidR="008A74EB" w:rsidRPr="00993B55">
        <w:rPr>
          <w:rStyle w:val="libFootnoteBoldChar"/>
          <w:rtl/>
        </w:rPr>
        <w:t>الوسائل</w:t>
      </w:r>
      <w:r w:rsidR="008A74EB" w:rsidRPr="00C9040A">
        <w:rPr>
          <w:rtl/>
        </w:rPr>
        <w:t xml:space="preserve"> ، ج 12 ، ص 220 ، ح 16136 ؛ ا</w:t>
      </w:r>
      <w:r w:rsidR="008A74EB" w:rsidRPr="00993B55">
        <w:rPr>
          <w:rStyle w:val="libFootnoteBoldChar"/>
          <w:rtl/>
        </w:rPr>
        <w:t>ل</w:t>
      </w:r>
      <w:r w:rsidR="008A74EB" w:rsidRPr="00C9040A">
        <w:rPr>
          <w:rtl/>
        </w:rPr>
        <w:t>بحار ، ج 16 ، ص 269 ، ح 83 ؛ وج 76 ، ص 32 ، ح 29.</w:t>
      </w:r>
    </w:p>
    <w:p w:rsidR="008A74EB" w:rsidRPr="00C9040A" w:rsidRDefault="006C577F" w:rsidP="004A4E41">
      <w:pPr>
        <w:pStyle w:val="libFootnote0"/>
        <w:rPr>
          <w:rtl/>
          <w:lang w:bidi="fa-IR"/>
        </w:rPr>
      </w:pPr>
      <w:r>
        <w:rPr>
          <w:rtl/>
        </w:rPr>
        <w:t>(3).</w:t>
      </w:r>
      <w:r w:rsidR="008A74EB" w:rsidRPr="00C9040A">
        <w:rPr>
          <w:rtl/>
        </w:rPr>
        <w:t xml:space="preserve"> في ثواب الأعمال : « تحاتّ »</w:t>
      </w:r>
      <w:r w:rsidR="008A74EB">
        <w:rPr>
          <w:rtl/>
        </w:rPr>
        <w:t>.</w:t>
      </w:r>
      <w:r w:rsidR="008A74EB" w:rsidRPr="00C9040A">
        <w:rPr>
          <w:rtl/>
        </w:rPr>
        <w:t xml:space="preserve"> وفي المصادقة : « تحاطّ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هكذا في « بس ، بر »</w:t>
      </w:r>
      <w:r w:rsidR="008A74EB">
        <w:rPr>
          <w:rtl/>
        </w:rPr>
        <w:t>.</w:t>
      </w:r>
      <w:r w:rsidR="008A74EB" w:rsidRPr="00C9040A">
        <w:rPr>
          <w:rtl/>
        </w:rPr>
        <w:t xml:space="preserve"> وفي سائر النسخ والمطبوع : « تتحاتّ »</w:t>
      </w:r>
      <w:r w:rsidR="008A74EB">
        <w:rPr>
          <w:rtl/>
        </w:rPr>
        <w:t>.</w:t>
      </w:r>
      <w:r w:rsidR="008A74EB" w:rsidRPr="00C9040A">
        <w:rPr>
          <w:rtl/>
        </w:rPr>
        <w:t xml:space="preserve"> وفي الوافي : « تحاتّ » بحذف إحدى التاءين. وفي ثواب الأعمال والمصادقة : « تحطّ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 قوله </w:t>
      </w:r>
      <w:r w:rsidR="00117575" w:rsidRPr="00117575">
        <w:rPr>
          <w:rStyle w:val="libFootnoteAlaemChar"/>
          <w:rtl/>
        </w:rPr>
        <w:t>عليه‌السلام</w:t>
      </w:r>
      <w:r w:rsidR="008A74EB" w:rsidRPr="00C9040A">
        <w:rPr>
          <w:rtl/>
        </w:rPr>
        <w:t xml:space="preserve"> : كما تتحاتّ ، الظاهر : كما تحتّ ، كما في </w:t>
      </w:r>
      <w:r w:rsidR="008A74EB" w:rsidRPr="00993B55">
        <w:rPr>
          <w:rStyle w:val="libFootnoteBoldChar"/>
          <w:rtl/>
        </w:rPr>
        <w:t>ثواب الأعمال</w:t>
      </w:r>
      <w:r w:rsidR="008A74EB" w:rsidRPr="00C9040A">
        <w:rPr>
          <w:rtl/>
        </w:rPr>
        <w:t xml:space="preserve"> ؛ فإنّ التحاتّ لازم ، </w:t>
      </w:r>
      <w:r w:rsidR="00CE36CE">
        <w:rPr>
          <w:rtl/>
        </w:rPr>
        <w:t>إل</w:t>
      </w:r>
      <w:r w:rsidR="00CE36CE">
        <w:rPr>
          <w:rFonts w:hint="cs"/>
          <w:rtl/>
        </w:rPr>
        <w:t>ّ</w:t>
      </w:r>
      <w:r w:rsidR="00CE36CE">
        <w:rPr>
          <w:rtl/>
        </w:rPr>
        <w:t>ا</w:t>
      </w:r>
      <w:r w:rsidR="008A74EB">
        <w:rPr>
          <w:rtl/>
        </w:rPr>
        <w:t xml:space="preserve"> أن</w:t>
      </w:r>
      <w:r w:rsidR="008A74EB" w:rsidRPr="00C9040A">
        <w:rPr>
          <w:rtl/>
        </w:rPr>
        <w:t xml:space="preserve"> يتكلّف بنصب الريح على الظرفيّة الزمانيّة بتقدير مضاف ، أي يوم الريح. ورفع الورق ، بالفاعليّة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ثواب الأعمال</w:t>
      </w:r>
      <w:r w:rsidR="008A74EB" w:rsidRPr="00C9040A">
        <w:rPr>
          <w:rtl/>
        </w:rPr>
        <w:t xml:space="preserve"> ، ص 223 ، ح 1 ، بسنده عن أحمد بن إسحاق بن سعد ، عن بكر بن محمّد ، مع اختلاف يسير. </w:t>
      </w:r>
      <w:r w:rsidR="008A74EB" w:rsidRPr="00993B55">
        <w:rPr>
          <w:rStyle w:val="libFootnoteBoldChar"/>
          <w:rtl/>
        </w:rPr>
        <w:t>مصادقة الإخوان</w:t>
      </w:r>
      <w:r w:rsidR="008A74EB" w:rsidRPr="00C9040A">
        <w:rPr>
          <w:rtl/>
        </w:rPr>
        <w:t xml:space="preserve"> ، ص 58 ، ح 1 ، مرسلاً عن إسحاق بن عمّار </w:t>
      </w:r>
      <w:r w:rsidR="00CE36CE">
        <w:rPr>
          <w:rFonts w:hint="cs"/>
          <w:rtl/>
        </w:rPr>
        <w:t>.</w:t>
      </w:r>
      <w:r w:rsidR="008A74EB" w:rsidRPr="00993B55">
        <w:rPr>
          <w:rStyle w:val="libFootnoteBoldChar"/>
          <w:rtl/>
        </w:rPr>
        <w:t>الوافي</w:t>
      </w:r>
      <w:r w:rsidR="008A74EB" w:rsidRPr="00C9040A">
        <w:rPr>
          <w:rtl/>
        </w:rPr>
        <w:t xml:space="preserve"> ، ج 5 ، ص 612 ، ح 2698 ؛ </w:t>
      </w:r>
      <w:r w:rsidR="008A74EB" w:rsidRPr="00993B55">
        <w:rPr>
          <w:rStyle w:val="libFootnoteBoldChar"/>
          <w:rtl/>
        </w:rPr>
        <w:t>الوسائل</w:t>
      </w:r>
      <w:r w:rsidR="008A74EB" w:rsidRPr="00C9040A">
        <w:rPr>
          <w:rtl/>
        </w:rPr>
        <w:t xml:space="preserve"> ، ج 12 ، ص 221 ، ح 16137 ، من قوله : « لا يقدر قدر المؤمن إنّه ليلقى أخاه » ؛ </w:t>
      </w:r>
      <w:r w:rsidR="008A74EB" w:rsidRPr="00993B55">
        <w:rPr>
          <w:rStyle w:val="libFootnoteBoldChar"/>
          <w:rtl/>
        </w:rPr>
        <w:t>البحار</w:t>
      </w:r>
      <w:r w:rsidR="008A74EB" w:rsidRPr="00C9040A">
        <w:rPr>
          <w:rtl/>
        </w:rPr>
        <w:t xml:space="preserve"> ، ج 76 ، ص 33 ، ح 30.</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الوافي</w:t>
      </w:r>
      <w:r w:rsidR="008A74EB" w:rsidRPr="00C9040A">
        <w:rPr>
          <w:rtl/>
        </w:rPr>
        <w:t xml:space="preserve"> ، ج 5 ، ص 607 ، ح 2680 ؛ </w:t>
      </w:r>
      <w:r w:rsidR="008A74EB" w:rsidRPr="00993B55">
        <w:rPr>
          <w:rStyle w:val="libFootnoteBoldChar"/>
          <w:rtl/>
        </w:rPr>
        <w:t>الوسائل</w:t>
      </w:r>
      <w:r w:rsidR="008A74EB" w:rsidRPr="00C9040A">
        <w:rPr>
          <w:rtl/>
        </w:rPr>
        <w:t xml:space="preserve"> ، ج 12 ، ص 219 ، ح 16130 ؛ </w:t>
      </w:r>
      <w:r w:rsidR="008A74EB" w:rsidRPr="00993B55">
        <w:rPr>
          <w:rStyle w:val="libFootnoteBoldChar"/>
          <w:rtl/>
        </w:rPr>
        <w:t>البحار</w:t>
      </w:r>
      <w:r w:rsidR="008A74EB" w:rsidRPr="00C9040A">
        <w:rPr>
          <w:rtl/>
        </w:rPr>
        <w:t xml:space="preserve"> ، ج 76 ، ص 33 ، ح 31.</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بَزِيعٍ ، عَنْ صَالِحِ بْنِ عُقْبَةَ ، عَنْ عَبْدِ اللهِ بْنِ مُحَمَّدٍ الْجُعْفِيِّ :</w:t>
      </w:r>
    </w:p>
    <w:p w:rsidR="008A74EB" w:rsidRPr="00C9040A" w:rsidRDefault="008A74EB" w:rsidP="008A74EB">
      <w:pPr>
        <w:pStyle w:val="libNormal"/>
        <w:rPr>
          <w:rtl/>
          <w:lang w:bidi="fa-IR"/>
        </w:rPr>
      </w:pPr>
      <w:r w:rsidRPr="00C9040A">
        <w:rPr>
          <w:rtl/>
          <w:lang w:bidi="fa-IR"/>
        </w:rPr>
        <w:t>عَنْ أَبِي جَعْفَرٍ وَ</w:t>
      </w:r>
      <w:r>
        <w:rPr>
          <w:rFonts w:hint="cs"/>
          <w:rtl/>
          <w:lang w:bidi="fa-IR"/>
        </w:rPr>
        <w:t xml:space="preserve"> </w:t>
      </w:r>
      <w:r w:rsidR="006C577F" w:rsidRPr="006C577F">
        <w:rPr>
          <w:rStyle w:val="libFootnotenumChar"/>
          <w:rtl/>
        </w:rPr>
        <w:t>(1)</w:t>
      </w:r>
      <w:r w:rsidRPr="00C9040A">
        <w:rPr>
          <w:rtl/>
          <w:lang w:bidi="fa-IR"/>
        </w:rPr>
        <w:t xml:space="preserve"> أَبِي عَبْدِ اللهِ </w:t>
      </w:r>
      <w:r w:rsidRPr="0003660B">
        <w:rPr>
          <w:rStyle w:val="libAlaemChar"/>
          <w:rtl/>
        </w:rPr>
        <w:t>عليهما‌السلام</w:t>
      </w:r>
      <w:r w:rsidRPr="00C9040A">
        <w:rPr>
          <w:rtl/>
          <w:lang w:bidi="fa-IR"/>
        </w:rPr>
        <w:t xml:space="preserve"> ، قَالَا </w:t>
      </w:r>
      <w:r w:rsidR="006C577F" w:rsidRPr="006C577F">
        <w:rPr>
          <w:rStyle w:val="libFootnotenumChar"/>
          <w:rtl/>
        </w:rPr>
        <w:t>(2)</w:t>
      </w:r>
      <w:r w:rsidRPr="00C9040A">
        <w:rPr>
          <w:rtl/>
          <w:lang w:bidi="fa-IR"/>
        </w:rPr>
        <w:t xml:space="preserve"> : « أَيُّمَا مُؤْمِنٍ خَرَجَ </w:t>
      </w:r>
      <w:r w:rsidR="006C577F" w:rsidRPr="006C577F">
        <w:rPr>
          <w:rStyle w:val="libFootnotenumChar"/>
          <w:rtl/>
        </w:rPr>
        <w:t>(3)</w:t>
      </w:r>
      <w:r w:rsidRPr="00C9040A">
        <w:rPr>
          <w:rtl/>
          <w:lang w:bidi="fa-IR"/>
        </w:rPr>
        <w:t xml:space="preserve"> إِلى أَخِيهِ يَزُورُهُ عَارِفاً بِحَقِّهِ </w:t>
      </w:r>
      <w:r w:rsidR="006C577F" w:rsidRPr="006C577F">
        <w:rPr>
          <w:rStyle w:val="libFootnotenumChar"/>
          <w:rtl/>
        </w:rPr>
        <w:t>(4)</w:t>
      </w:r>
      <w:r w:rsidRPr="00C9040A">
        <w:rPr>
          <w:rtl/>
          <w:lang w:bidi="fa-IR"/>
        </w:rPr>
        <w:t xml:space="preserve"> ، كَتَبَ اللهُ لَهُ بِكُلِّ خُطْوَةٍ </w:t>
      </w:r>
      <w:r w:rsidR="006C577F" w:rsidRPr="006C577F">
        <w:rPr>
          <w:rStyle w:val="libFootnotenumChar"/>
          <w:rtl/>
        </w:rPr>
        <w:t>(5)</w:t>
      </w:r>
      <w:r w:rsidRPr="00C9040A">
        <w:rPr>
          <w:rtl/>
          <w:lang w:bidi="fa-IR"/>
        </w:rPr>
        <w:t xml:space="preserve"> حَسَنَةً ، وَمُحِيَتْ </w:t>
      </w:r>
      <w:r w:rsidR="006C577F" w:rsidRPr="006C577F">
        <w:rPr>
          <w:rStyle w:val="libFootnotenumChar"/>
          <w:rtl/>
        </w:rPr>
        <w:t>(6)</w:t>
      </w:r>
      <w:r w:rsidRPr="005B567D">
        <w:rPr>
          <w:rStyle w:val="libFootnotenumChar"/>
          <w:rtl/>
        </w:rPr>
        <w:t xml:space="preserve"> </w:t>
      </w:r>
      <w:r w:rsidRPr="00C9040A">
        <w:rPr>
          <w:rtl/>
          <w:lang w:bidi="fa-IR"/>
        </w:rPr>
        <w:t xml:space="preserve">عَنْهُ سَيِّئَةٌ ، وَرُفِعَتْ لَهُ دَرَجَةٌ ، وَإِذَا </w:t>
      </w:r>
      <w:r w:rsidR="006C577F" w:rsidRPr="006C577F">
        <w:rPr>
          <w:rStyle w:val="libFootnotenumChar"/>
          <w:rtl/>
        </w:rPr>
        <w:t>(7)</w:t>
      </w:r>
      <w:r w:rsidRPr="00C9040A">
        <w:rPr>
          <w:rtl/>
          <w:lang w:bidi="fa-IR"/>
        </w:rPr>
        <w:t xml:space="preserve"> طَرَقَ الْبَابَ فُتِحَتْ لَهُ أَبْوَابُ السَّمَاءِ ، فَإِذَا الْتَقَيَا وَتَصَافَحَا وَتَعَانَقَا ، أَقْبَلَ اللهُ عَلَيْهِمَا بِوَجْهِهِ ، ثُمَّ بَاهى </w:t>
      </w:r>
      <w:r w:rsidR="006C577F" w:rsidRPr="006C577F">
        <w:rPr>
          <w:rStyle w:val="libFootnotenumChar"/>
          <w:rtl/>
        </w:rPr>
        <w:t>(8)</w:t>
      </w:r>
      <w:r w:rsidRPr="00C9040A">
        <w:rPr>
          <w:rtl/>
          <w:lang w:bidi="fa-IR"/>
        </w:rPr>
        <w:t xml:space="preserve"> بِهِمَا الْمَلَائِكَةَ ، فَيَقُولُ : انْظُرُوا إِلى عَبْدَيَّ تَزَاوَرَا وَتَحَابَّا فِيَّ ، حَقٌّ </w:t>
      </w:r>
      <w:r w:rsidR="006C577F" w:rsidRPr="006C577F">
        <w:rPr>
          <w:rStyle w:val="libFootnotenumChar"/>
          <w:rtl/>
        </w:rPr>
        <w:t>(9)</w:t>
      </w:r>
      <w:r w:rsidR="00CE36CE">
        <w:rPr>
          <w:rtl/>
          <w:lang w:bidi="fa-IR"/>
        </w:rPr>
        <w:t xml:space="preserve"> عَلَيَّ أَل</w:t>
      </w:r>
      <w:r w:rsidR="00CE36CE">
        <w:rPr>
          <w:rFonts w:hint="cs"/>
          <w:rtl/>
          <w:lang w:bidi="fa-IR"/>
        </w:rPr>
        <w:t>َّ</w:t>
      </w:r>
      <w:r w:rsidR="00CE36CE">
        <w:rPr>
          <w:rtl/>
          <w:lang w:bidi="fa-IR"/>
        </w:rPr>
        <w:t>ا</w:t>
      </w:r>
      <w:r w:rsidRPr="00C9040A">
        <w:rPr>
          <w:rtl/>
          <w:lang w:bidi="fa-IR"/>
        </w:rPr>
        <w:t xml:space="preserve"> أُعَذِّبَهُمَا بِالنَّارِ </w:t>
      </w:r>
      <w:r w:rsidR="006C577F" w:rsidRPr="006C577F">
        <w:rPr>
          <w:rStyle w:val="libFootnotenumChar"/>
          <w:rtl/>
        </w:rPr>
        <w:t>(10)</w:t>
      </w:r>
      <w:r w:rsidRPr="00C9040A">
        <w:rPr>
          <w:rtl/>
          <w:lang w:bidi="fa-IR"/>
        </w:rPr>
        <w:t xml:space="preserve"> بَعْدَ هذَا </w:t>
      </w:r>
      <w:r w:rsidR="006C577F" w:rsidRPr="006C577F">
        <w:rPr>
          <w:rStyle w:val="libFootnotenumChar"/>
          <w:rtl/>
        </w:rPr>
        <w:t>(11)</w:t>
      </w:r>
      <w:r w:rsidRPr="00C9040A">
        <w:rPr>
          <w:rtl/>
          <w:lang w:bidi="fa-IR"/>
        </w:rPr>
        <w:t xml:space="preserve"> الْمَوْقِفِ ، فَإِذَا انْصَرَفَ شَيَّعَهُ </w:t>
      </w:r>
      <w:r w:rsidR="006C577F" w:rsidRPr="006C577F">
        <w:rPr>
          <w:rStyle w:val="libFootnotenumChar"/>
          <w:rtl/>
        </w:rPr>
        <w:t>(12)</w:t>
      </w:r>
      <w:r w:rsidRPr="00C9040A">
        <w:rPr>
          <w:rtl/>
          <w:lang w:bidi="fa-IR"/>
        </w:rPr>
        <w:t xml:space="preserve"> الْمَلَائِكَةُ </w:t>
      </w:r>
      <w:r w:rsidRPr="005B567D">
        <w:rPr>
          <w:rStyle w:val="libFootnotenumChar"/>
          <w:rtl/>
        </w:rPr>
        <w:t>(13)</w:t>
      </w:r>
      <w:r w:rsidRPr="00C9040A">
        <w:rPr>
          <w:rtl/>
          <w:lang w:bidi="fa-IR"/>
        </w:rPr>
        <w:t xml:space="preserve"> عَدَدَ </w:t>
      </w:r>
      <w:r w:rsidRPr="005B567D">
        <w:rPr>
          <w:rStyle w:val="libFootnotenumChar"/>
          <w:rtl/>
        </w:rPr>
        <w:t>(14)</w:t>
      </w:r>
      <w:r w:rsidRPr="00C9040A">
        <w:rPr>
          <w:rtl/>
          <w:lang w:bidi="fa-IR"/>
        </w:rPr>
        <w:t xml:space="preserve"> نَفَسِهِ وَخُطَاهُ وَكَلَامِهِ ، يَحْفَظُونَهُ </w:t>
      </w:r>
      <w:r w:rsidRPr="005B567D">
        <w:rPr>
          <w:rStyle w:val="libFootnotenumChar"/>
          <w:rtl/>
        </w:rPr>
        <w:t>(15)</w:t>
      </w:r>
      <w:r w:rsidRPr="00C9040A">
        <w:rPr>
          <w:rtl/>
          <w:lang w:bidi="fa-IR"/>
        </w:rPr>
        <w:t xml:space="preserve"> مِنْ </w:t>
      </w:r>
      <w:r w:rsidRPr="005B567D">
        <w:rPr>
          <w:rStyle w:val="libFootnotenumChar"/>
          <w:rtl/>
        </w:rPr>
        <w:t>(16)</w:t>
      </w:r>
      <w:r w:rsidRPr="00C9040A">
        <w:rPr>
          <w:rtl/>
          <w:lang w:bidi="fa-IR"/>
        </w:rPr>
        <w:t xml:space="preserve"> بَلَاءِ الدُّنْيَا وَبَوَائِقِ </w:t>
      </w:r>
      <w:r w:rsidRPr="005B567D">
        <w:rPr>
          <w:rStyle w:val="libFootnotenumChar"/>
          <w:rtl/>
        </w:rPr>
        <w:t>(17)</w:t>
      </w:r>
      <w:r w:rsidRPr="00C9040A">
        <w:rPr>
          <w:rtl/>
          <w:lang w:bidi="fa-IR"/>
        </w:rPr>
        <w:t xml:space="preserve"> الْآخِرَةِ إِلى مِثْلِ تِلْكَ اللَّيْلَةِ </w:t>
      </w:r>
      <w:r w:rsidRPr="005B567D">
        <w:rPr>
          <w:rStyle w:val="libFootnotenumChar"/>
          <w:rtl/>
        </w:rPr>
        <w:t>(18)</w:t>
      </w:r>
      <w:r w:rsidRPr="00C9040A">
        <w:rPr>
          <w:rtl/>
          <w:lang w:bidi="fa-IR"/>
        </w:rPr>
        <w:t xml:space="preserve"> مِنْ قَابِلٍ ، فَإِنْ مَاتَ فِيمَا بَيْنَهُمَا أُعْفِيَ مِنَ الْحِسَابِ ، وَإِنْ كَانَ الْمَزُورُ يَعْرِفُ‌</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ز ، ص ، ض » : « أو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ج ، ز ، ص ، ض ، ف » : « قال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بس » : « يخرج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w:t>
      </w:r>
      <w:r w:rsidR="008A74EB" w:rsidRPr="00CB0AEF">
        <w:rPr>
          <w:rStyle w:val="libFootnoteBoldChar"/>
          <w:rtl/>
        </w:rPr>
        <w:t>المرآة</w:t>
      </w:r>
      <w:r w:rsidR="008A74EB" w:rsidRPr="00C9040A">
        <w:rPr>
          <w:rtl/>
        </w:rPr>
        <w:t xml:space="preserve"> : « كأنّ المراد بعرفان حقّه أن يعلم فضله وأنّ له حقّ الزيارة والرعاية والإكرام ، فيرجع إلى أنّه زاره‌</w:t>
      </w:r>
      <w:r w:rsidR="00CB0AEF">
        <w:rPr>
          <w:rFonts w:hint="cs"/>
          <w:rtl/>
        </w:rPr>
        <w:t xml:space="preserve"> </w:t>
      </w:r>
      <w:r w:rsidR="008A74EB" w:rsidRPr="00C9040A">
        <w:rPr>
          <w:rtl/>
        </w:rPr>
        <w:t>لذلك وأنّ الله تعالى جعل له حقّاً عليه ، لا للأغراض الدنيويّة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 الخُطوة » بالضمّ : ما بين القدمين. </w:t>
      </w:r>
      <w:r w:rsidR="008A74EB" w:rsidRPr="00993B55">
        <w:rPr>
          <w:rStyle w:val="libFootnoteBoldChar"/>
          <w:rtl/>
        </w:rPr>
        <w:t>لسان العرب</w:t>
      </w:r>
      <w:r w:rsidR="008A74EB" w:rsidRPr="00C9040A">
        <w:rPr>
          <w:rtl/>
        </w:rPr>
        <w:t xml:space="preserve"> ، ج 14 ، ص 231 ( خطا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حاشية « بف » : « ومحا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ب ، د ، ز ، ص ، ض ، ف ، بر ، بف » والوسائل والبحار : « فإذا »</w:t>
      </w:r>
      <w:r w:rsidR="008A74EB">
        <w:rPr>
          <w:rtl/>
        </w:rPr>
        <w:t>.</w:t>
      </w:r>
    </w:p>
    <w:tbl>
      <w:tblPr>
        <w:tblStyle w:val="TableGrid"/>
        <w:bidiVisual/>
        <w:tblW w:w="0" w:type="auto"/>
        <w:tblLook w:val="04A0" w:firstRow="1" w:lastRow="0" w:firstColumn="1" w:lastColumn="0" w:noHBand="0" w:noVBand="1"/>
      </w:tblPr>
      <w:tblGrid>
        <w:gridCol w:w="4006"/>
        <w:gridCol w:w="4006"/>
      </w:tblGrid>
      <w:tr w:rsidR="00D74C04" w:rsidTr="00D74C04">
        <w:tc>
          <w:tcPr>
            <w:tcW w:w="4006" w:type="dxa"/>
          </w:tcPr>
          <w:p w:rsidR="00D74C04" w:rsidRDefault="00D74C04" w:rsidP="004A4E41">
            <w:pPr>
              <w:pStyle w:val="libFootnote0"/>
              <w:rPr>
                <w:rtl/>
              </w:rPr>
            </w:pPr>
            <w:r>
              <w:rPr>
                <w:rtl/>
              </w:rPr>
              <w:t>(8).</w:t>
            </w:r>
            <w:r w:rsidRPr="00C9040A">
              <w:rPr>
                <w:rtl/>
              </w:rPr>
              <w:t xml:space="preserve"> في « ص » : + « الله »</w:t>
            </w:r>
            <w:r>
              <w:rPr>
                <w:rtl/>
              </w:rPr>
              <w:t>.</w:t>
            </w:r>
          </w:p>
        </w:tc>
        <w:tc>
          <w:tcPr>
            <w:tcW w:w="4006" w:type="dxa"/>
          </w:tcPr>
          <w:p w:rsidR="00D74C04" w:rsidRDefault="00D74C04" w:rsidP="004A4E41">
            <w:pPr>
              <w:pStyle w:val="libFootnote0"/>
              <w:rPr>
                <w:rtl/>
              </w:rPr>
            </w:pPr>
            <w:r>
              <w:rPr>
                <w:rtl/>
              </w:rPr>
              <w:t>(9).</w:t>
            </w:r>
            <w:r w:rsidRPr="00C9040A">
              <w:rPr>
                <w:rtl/>
              </w:rPr>
              <w:t xml:space="preserve"> يمكن قراءته على بناء الماضي.</w:t>
            </w:r>
          </w:p>
        </w:tc>
      </w:tr>
    </w:tbl>
    <w:p w:rsidR="008A74EB" w:rsidRPr="00C9040A" w:rsidRDefault="006C577F" w:rsidP="004A4E41">
      <w:pPr>
        <w:pStyle w:val="libFootnote0"/>
        <w:rPr>
          <w:rtl/>
          <w:lang w:bidi="fa-IR"/>
        </w:rPr>
      </w:pPr>
      <w:r>
        <w:rPr>
          <w:rtl/>
        </w:rPr>
        <w:t>(10).</w:t>
      </w:r>
      <w:r w:rsidR="008A74EB" w:rsidRPr="00C9040A">
        <w:rPr>
          <w:rtl/>
        </w:rPr>
        <w:t xml:space="preserve"> في « ج ، د ، ف ، بس » </w:t>
      </w:r>
      <w:r w:rsidR="008A74EB">
        <w:rPr>
          <w:rtl/>
        </w:rPr>
        <w:t xml:space="preserve">: </w:t>
      </w:r>
      <w:r w:rsidR="0084262C">
        <w:rPr>
          <w:rtl/>
        </w:rPr>
        <w:t>-</w:t>
      </w:r>
      <w:r w:rsidR="008A74EB" w:rsidRPr="00C9040A">
        <w:rPr>
          <w:rtl/>
        </w:rPr>
        <w:t xml:space="preserve"> « بالنار »</w:t>
      </w:r>
      <w:r w:rsidR="008A74EB">
        <w:rPr>
          <w:rtl/>
        </w:rPr>
        <w:t>.</w:t>
      </w:r>
      <w:r w:rsidR="008A74EB" w:rsidRPr="00C9040A">
        <w:rPr>
          <w:rtl/>
        </w:rPr>
        <w:t xml:space="preserve"> وفي « ض » وحاشية « بر » : « في النار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في « ج ، د ، ص ، ف ، بس » وحاشية « ض ، بر » والبحار : « ذا »</w:t>
      </w:r>
      <w:r w:rsidR="008A74EB">
        <w:rPr>
          <w:rtl/>
        </w:rPr>
        <w:t>.</w:t>
      </w:r>
      <w:r w:rsidR="008A74EB" w:rsidRPr="00C9040A">
        <w:rPr>
          <w:rtl/>
        </w:rPr>
        <w:t xml:space="preserve"> وفي الوسائل : « ذلك »</w:t>
      </w:r>
      <w:r w:rsidR="008A74EB">
        <w:rPr>
          <w:rtl/>
        </w:rPr>
        <w:t>.</w:t>
      </w:r>
    </w:p>
    <w:tbl>
      <w:tblPr>
        <w:tblStyle w:val="TableGrid"/>
        <w:bidiVisual/>
        <w:tblW w:w="0" w:type="auto"/>
        <w:tblLook w:val="04A0" w:firstRow="1" w:lastRow="0" w:firstColumn="1" w:lastColumn="0" w:noHBand="0" w:noVBand="1"/>
      </w:tblPr>
      <w:tblGrid>
        <w:gridCol w:w="4006"/>
        <w:gridCol w:w="4006"/>
      </w:tblGrid>
      <w:tr w:rsidR="00D74C04" w:rsidTr="00D74C04">
        <w:tc>
          <w:tcPr>
            <w:tcW w:w="4006" w:type="dxa"/>
          </w:tcPr>
          <w:p w:rsidR="00D74C04" w:rsidRDefault="00D74C04" w:rsidP="004A4E41">
            <w:pPr>
              <w:pStyle w:val="libFootnote0"/>
              <w:rPr>
                <w:rtl/>
              </w:rPr>
            </w:pPr>
            <w:r>
              <w:rPr>
                <w:rtl/>
              </w:rPr>
              <w:t>(12).</w:t>
            </w:r>
            <w:r w:rsidRPr="00C9040A">
              <w:rPr>
                <w:rtl/>
              </w:rPr>
              <w:t xml:space="preserve"> في « ز » : « شيّعته »</w:t>
            </w:r>
            <w:r>
              <w:rPr>
                <w:rtl/>
              </w:rPr>
              <w:t>.</w:t>
            </w:r>
          </w:p>
        </w:tc>
        <w:tc>
          <w:tcPr>
            <w:tcW w:w="4006" w:type="dxa"/>
          </w:tcPr>
          <w:p w:rsidR="00D74C04" w:rsidRDefault="00D74C04" w:rsidP="004A4E41">
            <w:pPr>
              <w:pStyle w:val="libFootnote0"/>
              <w:rPr>
                <w:rtl/>
              </w:rPr>
            </w:pPr>
            <w:r>
              <w:rPr>
                <w:rtl/>
              </w:rPr>
              <w:t>(13) في «ب ،ج ،ص ،ض ،ف» والبحار: «ملائكة</w:t>
            </w:r>
            <w:r w:rsidRPr="00C9040A">
              <w:rPr>
                <w:rtl/>
              </w:rPr>
              <w:t>»</w:t>
            </w:r>
            <w:r>
              <w:rPr>
                <w:rtl/>
              </w:rPr>
              <w:t>.</w:t>
            </w:r>
          </w:p>
        </w:tc>
      </w:tr>
      <w:tr w:rsidR="00D74C04" w:rsidTr="00D74C04">
        <w:tc>
          <w:tcPr>
            <w:tcW w:w="4006" w:type="dxa"/>
          </w:tcPr>
          <w:p w:rsidR="00D74C04" w:rsidRDefault="00D74C04" w:rsidP="004A4E41">
            <w:pPr>
              <w:pStyle w:val="libFootnote0"/>
              <w:rPr>
                <w:rtl/>
              </w:rPr>
            </w:pPr>
            <w:r>
              <w:rPr>
                <w:rtl/>
              </w:rPr>
              <w:t>(14)</w:t>
            </w:r>
            <w:r w:rsidRPr="00C9040A">
              <w:rPr>
                <w:rtl/>
              </w:rPr>
              <w:t xml:space="preserve"> في مرآة العقول : « بعدد »</w:t>
            </w:r>
            <w:r>
              <w:rPr>
                <w:rtl/>
              </w:rPr>
              <w:t>.</w:t>
            </w:r>
          </w:p>
        </w:tc>
        <w:tc>
          <w:tcPr>
            <w:tcW w:w="4006" w:type="dxa"/>
          </w:tcPr>
          <w:p w:rsidR="00D74C04" w:rsidRDefault="00D74C04" w:rsidP="004A4E41">
            <w:pPr>
              <w:pStyle w:val="libFootnote0"/>
              <w:rPr>
                <w:rtl/>
              </w:rPr>
            </w:pPr>
            <w:r>
              <w:rPr>
                <w:rtl/>
              </w:rPr>
              <w:t>(15)</w:t>
            </w:r>
            <w:r w:rsidRPr="00C9040A">
              <w:rPr>
                <w:rtl/>
              </w:rPr>
              <w:t xml:space="preserve"> في « بر » : « تحفظونه »</w:t>
            </w:r>
            <w:r>
              <w:rPr>
                <w:rtl/>
              </w:rPr>
              <w:t>.</w:t>
            </w:r>
          </w:p>
        </w:tc>
      </w:tr>
    </w:tbl>
    <w:p w:rsidR="008A74EB" w:rsidRPr="00C9040A" w:rsidRDefault="008A74EB" w:rsidP="004A4E41">
      <w:pPr>
        <w:pStyle w:val="libFootnote0"/>
        <w:rPr>
          <w:rtl/>
          <w:lang w:bidi="fa-IR"/>
        </w:rPr>
      </w:pPr>
      <w:r>
        <w:rPr>
          <w:rtl/>
        </w:rPr>
        <w:t>(16)</w:t>
      </w:r>
      <w:r w:rsidRPr="00C9040A">
        <w:rPr>
          <w:rtl/>
        </w:rPr>
        <w:t xml:space="preserve"> في البحار : « عن »</w:t>
      </w:r>
      <w:r>
        <w:rPr>
          <w:rtl/>
        </w:rPr>
        <w:t>.</w:t>
      </w:r>
    </w:p>
    <w:p w:rsidR="008A74EB" w:rsidRPr="00C9040A" w:rsidRDefault="008A74EB" w:rsidP="004A4E41">
      <w:pPr>
        <w:pStyle w:val="libFootnote0"/>
        <w:rPr>
          <w:rtl/>
          <w:lang w:bidi="fa-IR"/>
        </w:rPr>
      </w:pPr>
      <w:r>
        <w:rPr>
          <w:rtl/>
        </w:rPr>
        <w:t>(17)</w:t>
      </w:r>
      <w:r w:rsidRPr="00C9040A">
        <w:rPr>
          <w:rtl/>
        </w:rPr>
        <w:t xml:space="preserve"> « البائقة » : النازلة ، وهي الداهية والشرّ الشديد. وجمعها : بوائق. </w:t>
      </w:r>
      <w:r w:rsidRPr="00993B55">
        <w:rPr>
          <w:rStyle w:val="libFootnoteBoldChar"/>
          <w:rtl/>
        </w:rPr>
        <w:t>المصباح المنير</w:t>
      </w:r>
      <w:r w:rsidRPr="00C9040A">
        <w:rPr>
          <w:rtl/>
        </w:rPr>
        <w:t xml:space="preserve"> ، ص 66 ؛ </w:t>
      </w:r>
      <w:r w:rsidRPr="00993B55">
        <w:rPr>
          <w:rStyle w:val="libFootnoteBoldChar"/>
          <w:rtl/>
        </w:rPr>
        <w:t>القاموس المحيط</w:t>
      </w:r>
      <w:r w:rsidRPr="00C9040A">
        <w:rPr>
          <w:rtl/>
        </w:rPr>
        <w:t xml:space="preserve"> ، ج 2 ، ص 1156 ( بوق )</w:t>
      </w:r>
      <w:r>
        <w:rPr>
          <w:rtl/>
        </w:rPr>
        <w:t>.</w:t>
      </w:r>
    </w:p>
    <w:p w:rsidR="008A74EB" w:rsidRPr="00C9040A" w:rsidRDefault="008A74EB" w:rsidP="004A4E41">
      <w:pPr>
        <w:pStyle w:val="libFootnote0"/>
        <w:rPr>
          <w:rtl/>
          <w:lang w:bidi="fa-IR"/>
        </w:rPr>
      </w:pPr>
      <w:r>
        <w:rPr>
          <w:rtl/>
        </w:rPr>
        <w:t>(18)</w:t>
      </w:r>
      <w:r w:rsidRPr="00C9040A">
        <w:rPr>
          <w:rtl/>
        </w:rPr>
        <w:t xml:space="preserve"> في </w:t>
      </w:r>
      <w:r w:rsidRPr="00993B55">
        <w:rPr>
          <w:rStyle w:val="libFootnoteBoldChar"/>
          <w:rtl/>
        </w:rPr>
        <w:t>المرآة</w:t>
      </w:r>
      <w:r w:rsidRPr="00C9040A">
        <w:rPr>
          <w:rtl/>
        </w:rPr>
        <w:t xml:space="preserve"> : « كأنّ ذكر الليلة لأنّ العرب تضبط التواريخ بالليالي ، أو إيماء إلى أنّ الزيارة الكاملة هي أن يتمّ عنده‌إلى الليل ؛ وقيل : لأنّهم كانوا للتقيّة يتزاورون بالليل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مِنْ حَقِّ الزَّائِرِ مَا عَرَفَهُ الزَّائِرُ مِنْ حَقِّ الْمَزُورِ ، كَانَ لَهُ مِثْلُ أَجْرِهِ »</w:t>
      </w:r>
      <w:r>
        <w:rPr>
          <w:rtl/>
          <w:lang w:bidi="fa-IR"/>
        </w:rPr>
        <w:t>.</w:t>
      </w:r>
      <w:r w:rsidRPr="00C9040A">
        <w:rPr>
          <w:rtl/>
          <w:lang w:bidi="fa-IR"/>
        </w:rPr>
        <w:t xml:space="preserve"> </w:t>
      </w:r>
      <w:r w:rsidR="006C577F" w:rsidRPr="006C577F">
        <w:rPr>
          <w:rStyle w:val="libFootnotenumChar"/>
          <w:rtl/>
        </w:rPr>
        <w:t>(1)</w:t>
      </w:r>
      <w:r w:rsidRPr="00C9040A">
        <w:rPr>
          <w:rtl/>
          <w:lang w:bidi="fa-IR"/>
        </w:rPr>
        <w:t xml:space="preserve"> ‌</w:t>
      </w:r>
    </w:p>
    <w:p w:rsidR="008A74EB" w:rsidRPr="00C9040A" w:rsidRDefault="008A74EB" w:rsidP="008A74EB">
      <w:pPr>
        <w:pStyle w:val="libNormal"/>
        <w:rPr>
          <w:rtl/>
          <w:lang w:bidi="fa-IR"/>
        </w:rPr>
      </w:pPr>
      <w:r w:rsidRPr="001E464F">
        <w:rPr>
          <w:rtl/>
        </w:rPr>
        <w:t>2114</w:t>
      </w:r>
      <w:r w:rsidRPr="00261CB0">
        <w:rPr>
          <w:rStyle w:val="libBold2Char"/>
          <w:rtl/>
        </w:rPr>
        <w:t xml:space="preserve"> / 2.</w:t>
      </w:r>
      <w:r w:rsidRPr="00C9040A">
        <w:rPr>
          <w:rtl/>
          <w:lang w:bidi="fa-IR"/>
        </w:rPr>
        <w:t xml:space="preserve"> عَلِيُّ بْنُ إِبْرَاهِيمَ ، عَنْ أَبِيهِ ، عَنْ صَفْوَانَ بْنِ يَحْيى ، عَنْ إِسْحَاقَ بْنِ عَمَّارٍ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إِنَّ الْمُؤْمِنَيْنِ إِذَا اعْتَنَقَا غَمَرَتْهُمَا </w:t>
      </w:r>
      <w:r w:rsidR="006C577F" w:rsidRPr="006C577F">
        <w:rPr>
          <w:rStyle w:val="libFootnotenumChar"/>
          <w:rtl/>
        </w:rPr>
        <w:t>(2)</w:t>
      </w:r>
      <w:r w:rsidRPr="00C9040A">
        <w:rPr>
          <w:rtl/>
          <w:lang w:bidi="fa-IR"/>
        </w:rPr>
        <w:t xml:space="preserve"> الرَّحْمَةُ ، فَإِذَا الْتَزَمَا </w:t>
      </w:r>
      <w:r w:rsidR="006C577F" w:rsidRPr="006C577F">
        <w:rPr>
          <w:rStyle w:val="libFootnotenumChar"/>
          <w:rtl/>
        </w:rPr>
        <w:t>(3)</w:t>
      </w:r>
      <w:r w:rsidR="00D74C04">
        <w:rPr>
          <w:rtl/>
          <w:lang w:bidi="fa-IR"/>
        </w:rPr>
        <w:t xml:space="preserve"> لَايُرِيدَانِ بِذلِكَ إِل</w:t>
      </w:r>
      <w:r w:rsidR="00D74C04">
        <w:rPr>
          <w:rFonts w:hint="cs"/>
          <w:rtl/>
          <w:lang w:bidi="fa-IR"/>
        </w:rPr>
        <w:t>َّ</w:t>
      </w:r>
      <w:r w:rsidR="00D74C04">
        <w:rPr>
          <w:rtl/>
          <w:lang w:bidi="fa-IR"/>
        </w:rPr>
        <w:t>ا</w:t>
      </w:r>
      <w:r w:rsidRPr="00C9040A">
        <w:rPr>
          <w:rtl/>
          <w:lang w:bidi="fa-IR"/>
        </w:rPr>
        <w:t xml:space="preserve"> وَجْهَ اللهِ وَلَا يُرِيدَانِ غَرَضاً مِنْ أَغْرَاضِ الدُّنْيَا ، قِيلَ لَهُمَا :</w:t>
      </w:r>
      <w:r>
        <w:rPr>
          <w:rFonts w:hint="cs"/>
          <w:rtl/>
          <w:lang w:bidi="fa-IR"/>
        </w:rPr>
        <w:t xml:space="preserve"> </w:t>
      </w:r>
      <w:r w:rsidRPr="00C9040A">
        <w:rPr>
          <w:rtl/>
          <w:lang w:bidi="fa-IR"/>
        </w:rPr>
        <w:t xml:space="preserve">مَغْفُوراً </w:t>
      </w:r>
      <w:r w:rsidR="006C577F" w:rsidRPr="006C577F">
        <w:rPr>
          <w:rStyle w:val="libFootnotenumChar"/>
          <w:rtl/>
        </w:rPr>
        <w:t>(4)</w:t>
      </w:r>
      <w:r w:rsidRPr="00C9040A">
        <w:rPr>
          <w:rtl/>
          <w:lang w:bidi="fa-IR"/>
        </w:rPr>
        <w:t xml:space="preserve"> لَكُمَا فَاسْتَأْنِفَا </w:t>
      </w:r>
      <w:r w:rsidR="006C577F" w:rsidRPr="006C577F">
        <w:rPr>
          <w:rStyle w:val="libFootnotenumChar"/>
          <w:rtl/>
        </w:rPr>
        <w:t>(5)</w:t>
      </w:r>
      <w:r w:rsidRPr="00C9040A">
        <w:rPr>
          <w:rtl/>
          <w:lang w:bidi="fa-IR"/>
        </w:rPr>
        <w:t xml:space="preserve"> ، فَإِذَا أَقْبَلَا عَلَى الْمُسَاءَلَةِ ، قَالَتِ الْمَلَائِكَةُ بَعْضُهَا لِبَعْضٍ : تَنَحَّوْا عَنْهُمَا ؛ فَإِنَّ لَهُمَا سِرّاً ، وَقَدْ </w:t>
      </w:r>
      <w:r w:rsidR="006C577F" w:rsidRPr="006C577F">
        <w:rPr>
          <w:rStyle w:val="libFootnotenumChar"/>
          <w:rtl/>
        </w:rPr>
        <w:t>(6)</w:t>
      </w:r>
      <w:r w:rsidRPr="005B567D">
        <w:rPr>
          <w:rStyle w:val="libFootnotenumChar"/>
          <w:rtl/>
        </w:rPr>
        <w:t xml:space="preserve"> </w:t>
      </w:r>
      <w:r w:rsidRPr="00C9040A">
        <w:rPr>
          <w:rtl/>
          <w:lang w:bidi="fa-IR"/>
        </w:rPr>
        <w:t>سَتَرَ اللهُ عَلَيْهِمَا »</w:t>
      </w:r>
      <w:r>
        <w:rPr>
          <w:rtl/>
          <w:lang w:bidi="fa-IR"/>
        </w:rPr>
        <w:t>.</w:t>
      </w:r>
    </w:p>
    <w:p w:rsidR="008A74EB" w:rsidRPr="00C9040A" w:rsidRDefault="008A74EB" w:rsidP="008A74EB">
      <w:pPr>
        <w:pStyle w:val="libNormal"/>
        <w:rPr>
          <w:rtl/>
          <w:lang w:bidi="fa-IR"/>
        </w:rPr>
      </w:pPr>
      <w:r w:rsidRPr="00C9040A">
        <w:rPr>
          <w:rtl/>
          <w:lang w:bidi="fa-IR"/>
        </w:rPr>
        <w:t xml:space="preserve">قَالَ إِسْحَاقُ : فَقُلْتُ : جُعِلْتُ فِدَاكَ ، فَلَا يُكْتَبُ عَلَيْهِمَا لَفْظُهُمَا ، وَقَدْ قَالَ اللهُ عَزَّ وَجَلَّ : </w:t>
      </w:r>
      <w:r w:rsidRPr="0003660B">
        <w:rPr>
          <w:rStyle w:val="libAlaemChar"/>
          <w:rtl/>
        </w:rPr>
        <w:t>(</w:t>
      </w:r>
      <w:r w:rsidR="00D74C04">
        <w:rPr>
          <w:rStyle w:val="libAieChar"/>
          <w:rtl/>
        </w:rPr>
        <w:t xml:space="preserve"> ما يَلْفِظُ مِنْ قَوْلٍ إِل</w:t>
      </w:r>
      <w:r w:rsidR="00D74C04">
        <w:rPr>
          <w:rStyle w:val="libAieChar"/>
          <w:rFonts w:hint="cs"/>
          <w:rtl/>
        </w:rPr>
        <w:t>َّ</w:t>
      </w:r>
      <w:r w:rsidR="00D74C04">
        <w:rPr>
          <w:rStyle w:val="libAieChar"/>
          <w:rtl/>
        </w:rPr>
        <w:t>ا</w:t>
      </w:r>
      <w:r w:rsidRPr="006A2246">
        <w:rPr>
          <w:rStyle w:val="libAieChar"/>
          <w:rtl/>
        </w:rPr>
        <w:t xml:space="preserve"> لَدَيْهِ رَقِيبٌ عَتِيدٌ </w:t>
      </w:r>
      <w:r w:rsidRPr="0003660B">
        <w:rPr>
          <w:rStyle w:val="libAlaemChar"/>
          <w:rtl/>
        </w:rPr>
        <w:t>)</w:t>
      </w:r>
      <w:r w:rsidRPr="00C9040A">
        <w:rPr>
          <w:rtl/>
          <w:lang w:bidi="fa-IR"/>
        </w:rPr>
        <w:t xml:space="preserve"> </w:t>
      </w:r>
      <w:r w:rsidR="006C577F" w:rsidRPr="006C577F">
        <w:rPr>
          <w:rStyle w:val="libFootnotenumChar"/>
          <w:rtl/>
        </w:rPr>
        <w:t>(7)</w:t>
      </w:r>
      <w:r>
        <w:rPr>
          <w:rFonts w:hint="cs"/>
          <w:rtl/>
        </w:rPr>
        <w:t>؟</w:t>
      </w:r>
    </w:p>
    <w:p w:rsidR="008A74EB" w:rsidRPr="00C9040A" w:rsidRDefault="008A74EB" w:rsidP="008A74EB">
      <w:pPr>
        <w:pStyle w:val="libNormal"/>
        <w:rPr>
          <w:rtl/>
          <w:lang w:bidi="fa-IR"/>
        </w:rPr>
      </w:pPr>
      <w:r w:rsidRPr="00C9040A">
        <w:rPr>
          <w:rtl/>
          <w:lang w:bidi="fa-IR"/>
        </w:rPr>
        <w:t xml:space="preserve">قَالَ : فَتَنَفَّسَ أَبُو عَبْدِ اللهِ </w:t>
      </w:r>
      <w:r w:rsidRPr="0003660B">
        <w:rPr>
          <w:rStyle w:val="libAlaemChar"/>
          <w:rtl/>
        </w:rPr>
        <w:t>عليه‌السلام</w:t>
      </w:r>
      <w:r w:rsidRPr="00C9040A">
        <w:rPr>
          <w:rtl/>
          <w:lang w:bidi="fa-IR"/>
        </w:rPr>
        <w:t xml:space="preserve"> الصُّعَدَاءَ </w:t>
      </w:r>
      <w:r w:rsidR="006C577F" w:rsidRPr="006C577F">
        <w:rPr>
          <w:rStyle w:val="libFootnotenumChar"/>
          <w:rtl/>
        </w:rPr>
        <w:t>(8)</w:t>
      </w:r>
      <w:r w:rsidRPr="00C9040A">
        <w:rPr>
          <w:rtl/>
          <w:lang w:bidi="fa-IR"/>
        </w:rPr>
        <w:t xml:space="preserve"> ، ثُمَّ بَكى حَتَّى اخْضَلَّتْ دُمُوعُهُ لِحْيَتَهُ ، وَقَالَ : « يَا إِسْحَاقُ ، إِنَّ اللهَ</w:t>
      </w:r>
      <w:r>
        <w:rPr>
          <w:rtl/>
          <w:lang w:bidi="fa-IR"/>
        </w:rPr>
        <w:t xml:space="preserve"> </w:t>
      </w:r>
      <w:r w:rsidR="0084262C">
        <w:rPr>
          <w:rtl/>
          <w:lang w:bidi="fa-IR"/>
        </w:rPr>
        <w:t>-</w:t>
      </w:r>
      <w:r>
        <w:rPr>
          <w:rtl/>
          <w:lang w:bidi="fa-IR"/>
        </w:rPr>
        <w:t xml:space="preserve"> </w:t>
      </w:r>
      <w:r w:rsidRPr="00C9040A">
        <w:rPr>
          <w:rtl/>
          <w:lang w:bidi="fa-IR"/>
        </w:rPr>
        <w:t>تَبَارَكَ وَتَعَالى</w:t>
      </w:r>
      <w:r>
        <w:rPr>
          <w:rtl/>
          <w:lang w:bidi="fa-IR"/>
        </w:rPr>
        <w:t xml:space="preserve"> </w:t>
      </w:r>
      <w:r w:rsidR="0084262C">
        <w:rPr>
          <w:rtl/>
          <w:lang w:bidi="fa-IR"/>
        </w:rPr>
        <w:t>-</w:t>
      </w:r>
      <w:r>
        <w:rPr>
          <w:rtl/>
          <w:lang w:bidi="fa-IR"/>
        </w:rPr>
        <w:t xml:space="preserve"> </w:t>
      </w:r>
      <w:r w:rsidRPr="00C9040A">
        <w:rPr>
          <w:rtl/>
          <w:lang w:bidi="fa-IR"/>
        </w:rPr>
        <w:t xml:space="preserve">إِنَّمَا أَمَرَ الْمَلَائِكَةَ أَنْ تَعْتَزِلَ عَنِ </w:t>
      </w:r>
      <w:r w:rsidR="006C577F" w:rsidRPr="006C577F">
        <w:rPr>
          <w:rStyle w:val="libFootnotenumChar"/>
          <w:rtl/>
        </w:rPr>
        <w:t>(9)</w:t>
      </w:r>
      <w:r w:rsidRPr="00C9040A">
        <w:rPr>
          <w:rtl/>
          <w:lang w:bidi="fa-IR"/>
        </w:rPr>
        <w:t xml:space="preserve"> الْمُؤْمِنَيْنِ إِذَا الْتَقَيَا إِجْلَالاً لَهُمَا </w:t>
      </w:r>
      <w:r w:rsidR="006C577F" w:rsidRPr="006C577F">
        <w:rPr>
          <w:rStyle w:val="libFootnotenumChar"/>
          <w:rtl/>
        </w:rPr>
        <w:t>(10)</w:t>
      </w:r>
      <w:r w:rsidRPr="00C9040A">
        <w:rPr>
          <w:rtl/>
          <w:lang w:bidi="fa-IR"/>
        </w:rPr>
        <w:t xml:space="preserve"> ، وَإِنَّهُ وَإِنْ </w:t>
      </w:r>
      <w:r w:rsidR="006C577F" w:rsidRPr="006C577F">
        <w:rPr>
          <w:rStyle w:val="libFootnotenumChar"/>
          <w:rtl/>
        </w:rPr>
        <w:t>(11)</w:t>
      </w:r>
      <w:r w:rsidRPr="00C9040A">
        <w:rPr>
          <w:rtl/>
          <w:lang w:bidi="fa-IR"/>
        </w:rPr>
        <w:t xml:space="preserve"> كَانَتِ الْمَلَائِكَةُ لَاتَكْتُبُ لَفْظَهُمَا ، وَلَا تَعْرِفُ كَلَامَهُمَا ؛ فَإِنَّهُ يَعْرِفُهُ وَيَحْفَظُهُ عَلَيْهِمَا عَالِمُ السِّرِّ وَأَخْفى </w:t>
      </w:r>
      <w:r w:rsidR="006C577F" w:rsidRPr="006C577F">
        <w:rPr>
          <w:rStyle w:val="libFootnotenumChar"/>
          <w:rtl/>
        </w:rPr>
        <w:t>(12)</w:t>
      </w:r>
      <w:r w:rsidRPr="00C9040A">
        <w:rPr>
          <w:rtl/>
          <w:lang w:bidi="fa-IR"/>
        </w:rPr>
        <w:t xml:space="preserve"> »</w:t>
      </w:r>
      <w:r>
        <w:rPr>
          <w:rtl/>
          <w:lang w:bidi="fa-IR"/>
        </w:rPr>
        <w:t>.</w:t>
      </w:r>
      <w:r w:rsidRPr="00C9040A">
        <w:rPr>
          <w:rtl/>
          <w:lang w:bidi="fa-IR"/>
        </w:rPr>
        <w:t xml:space="preserve"> </w:t>
      </w:r>
      <w:r w:rsidRPr="005B567D">
        <w:rPr>
          <w:rStyle w:val="libFootnotenumChar"/>
          <w:rtl/>
        </w:rPr>
        <w:t>(13)</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راجع : </w:t>
      </w:r>
      <w:r w:rsidR="008A74EB" w:rsidRPr="00993B55">
        <w:rPr>
          <w:rStyle w:val="libFootnoteBoldChar"/>
          <w:rtl/>
        </w:rPr>
        <w:t>الكافي</w:t>
      </w:r>
      <w:r w:rsidR="008A74EB" w:rsidRPr="00C9040A">
        <w:rPr>
          <w:rtl/>
        </w:rPr>
        <w:t xml:space="preserve"> ، كتاب الإيمان والكفر ، باب السعي في حاجة </w:t>
      </w:r>
      <w:r w:rsidR="008A74EB" w:rsidRPr="00993B55">
        <w:rPr>
          <w:rStyle w:val="libFootnoteBoldChar"/>
          <w:rtl/>
        </w:rPr>
        <w:t>المؤمن</w:t>
      </w:r>
      <w:r w:rsidR="008A74EB" w:rsidRPr="00C9040A">
        <w:rPr>
          <w:rtl/>
        </w:rPr>
        <w:t xml:space="preserve"> ، ح 2162 ومصادره </w:t>
      </w:r>
      <w:r w:rsidR="00D74C04">
        <w:rPr>
          <w:rFonts w:hint="cs"/>
          <w:rtl/>
        </w:rPr>
        <w:t>.</w:t>
      </w:r>
      <w:r w:rsidR="008A74EB" w:rsidRPr="00993B55">
        <w:rPr>
          <w:rStyle w:val="libFootnoteBoldChar"/>
          <w:rtl/>
        </w:rPr>
        <w:t>الوافي</w:t>
      </w:r>
      <w:r w:rsidR="008A74EB" w:rsidRPr="00C9040A">
        <w:rPr>
          <w:rtl/>
        </w:rPr>
        <w:t xml:space="preserve"> ، ج 5 ، ص 589 ، ح 2630 ؛ </w:t>
      </w:r>
      <w:r w:rsidR="008A74EB" w:rsidRPr="00993B55">
        <w:rPr>
          <w:rStyle w:val="libFootnoteBoldChar"/>
          <w:rtl/>
        </w:rPr>
        <w:t>الوسائل</w:t>
      </w:r>
      <w:r w:rsidR="008A74EB" w:rsidRPr="00C9040A">
        <w:rPr>
          <w:rtl/>
        </w:rPr>
        <w:t xml:space="preserve"> ، ج 12 ، ص 231 ، ح 16166 ؛ </w:t>
      </w:r>
      <w:r w:rsidR="008A74EB" w:rsidRPr="00993B55">
        <w:rPr>
          <w:rStyle w:val="libFootnoteBoldChar"/>
          <w:rtl/>
        </w:rPr>
        <w:t>البحار</w:t>
      </w:r>
      <w:r w:rsidR="008A74EB" w:rsidRPr="00C9040A">
        <w:rPr>
          <w:rtl/>
        </w:rPr>
        <w:t xml:space="preserve"> ، ج 76 ، ص 34 ، ح 32.</w:t>
      </w:r>
    </w:p>
    <w:p w:rsidR="008A74EB" w:rsidRPr="00C9040A" w:rsidRDefault="006C577F" w:rsidP="00D74C04">
      <w:pPr>
        <w:pStyle w:val="libFootnote0"/>
        <w:rPr>
          <w:rtl/>
          <w:lang w:bidi="fa-IR"/>
        </w:rPr>
      </w:pPr>
      <w:r>
        <w:rPr>
          <w:rtl/>
        </w:rPr>
        <w:t>(2).</w:t>
      </w:r>
      <w:r w:rsidR="008A74EB">
        <w:rPr>
          <w:rtl/>
        </w:rPr>
        <w:t xml:space="preserve"> </w:t>
      </w:r>
      <w:r w:rsidR="008A74EB" w:rsidRPr="00C9040A">
        <w:rPr>
          <w:rtl/>
        </w:rPr>
        <w:t xml:space="preserve">أي عَلَتْهما الرحمة وغَطَّتْهُما ، من قولهم : غَمرَه الماء يغمُره ، أي علاه. راجع : </w:t>
      </w:r>
      <w:r w:rsidR="008A74EB" w:rsidRPr="00993B55">
        <w:rPr>
          <w:rStyle w:val="libFootnoteBoldChar"/>
          <w:rtl/>
        </w:rPr>
        <w:t>الصحاح</w:t>
      </w:r>
      <w:r w:rsidR="008A74EB" w:rsidRPr="00C9040A">
        <w:rPr>
          <w:rtl/>
        </w:rPr>
        <w:t xml:space="preserve"> ، ج 2 ، ص 772 ( غمر )</w:t>
      </w:r>
      <w:r w:rsidR="008A74EB">
        <w:rPr>
          <w:rtl/>
        </w:rPr>
        <w:t>.</w:t>
      </w:r>
      <w:r w:rsidR="00D74C04">
        <w:rPr>
          <w:rFonts w:hint="cs"/>
          <w:rtl/>
        </w:rPr>
        <w:t xml:space="preserve">                                    </w:t>
      </w:r>
      <w:r>
        <w:rPr>
          <w:rtl/>
        </w:rPr>
        <w:t>(3).</w:t>
      </w:r>
      <w:r w:rsidR="008A74EB" w:rsidRPr="00C9040A">
        <w:rPr>
          <w:rtl/>
        </w:rPr>
        <w:t xml:space="preserve"> « الالتزام » : الاعتناق. </w:t>
      </w:r>
      <w:r w:rsidR="008A74EB" w:rsidRPr="00993B55">
        <w:rPr>
          <w:rStyle w:val="libFootnoteBoldChar"/>
          <w:rtl/>
        </w:rPr>
        <w:t>الصحاح</w:t>
      </w:r>
      <w:r w:rsidR="008A74EB" w:rsidRPr="00C9040A">
        <w:rPr>
          <w:rtl/>
        </w:rPr>
        <w:t xml:space="preserve"> ، ج 5 ، ص 2029 ( لزم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ص ، ف » : « مغفور »</w:t>
      </w:r>
      <w:r w:rsidR="008A74EB">
        <w:rPr>
          <w:rtl/>
        </w:rPr>
        <w:t>.</w:t>
      </w:r>
      <w:r w:rsidR="008A74EB" w:rsidRPr="00C9040A">
        <w:rPr>
          <w:rtl/>
        </w:rPr>
        <w:t xml:space="preserve"> وقوله : « مغفوراً » منصوب بمقدّر ، أي ارجعا ، أو كونا مغفوراً.</w:t>
      </w:r>
    </w:p>
    <w:tbl>
      <w:tblPr>
        <w:tblStyle w:val="TableGrid"/>
        <w:bidiVisual/>
        <w:tblW w:w="0" w:type="auto"/>
        <w:tblLook w:val="04A0" w:firstRow="1" w:lastRow="0" w:firstColumn="1" w:lastColumn="0" w:noHBand="0" w:noVBand="1"/>
      </w:tblPr>
      <w:tblGrid>
        <w:gridCol w:w="4006"/>
        <w:gridCol w:w="4006"/>
      </w:tblGrid>
      <w:tr w:rsidR="00D74C04" w:rsidTr="00D74C04">
        <w:tc>
          <w:tcPr>
            <w:tcW w:w="4006" w:type="dxa"/>
          </w:tcPr>
          <w:p w:rsidR="00D74C04" w:rsidRDefault="00D74C04" w:rsidP="004A4E41">
            <w:pPr>
              <w:pStyle w:val="libFootnote0"/>
              <w:rPr>
                <w:rtl/>
              </w:rPr>
            </w:pPr>
            <w:r>
              <w:rPr>
                <w:rtl/>
              </w:rPr>
              <w:t>(5).</w:t>
            </w:r>
            <w:r w:rsidRPr="00C9040A">
              <w:rPr>
                <w:rtl/>
              </w:rPr>
              <w:t xml:space="preserve"> في « بس » : + « فاستأنفا »</w:t>
            </w:r>
            <w:r>
              <w:rPr>
                <w:rtl/>
              </w:rPr>
              <w:t>.</w:t>
            </w:r>
          </w:p>
        </w:tc>
        <w:tc>
          <w:tcPr>
            <w:tcW w:w="4006" w:type="dxa"/>
          </w:tcPr>
          <w:p w:rsidR="00D74C04" w:rsidRDefault="00D74C04" w:rsidP="004A4E41">
            <w:pPr>
              <w:pStyle w:val="libFootnote0"/>
              <w:rPr>
                <w:rtl/>
              </w:rPr>
            </w:pPr>
            <w:r>
              <w:rPr>
                <w:rtl/>
              </w:rPr>
              <w:t xml:space="preserve">(6). </w:t>
            </w:r>
            <w:r w:rsidRPr="00C9040A">
              <w:rPr>
                <w:rtl/>
              </w:rPr>
              <w:t xml:space="preserve">في « ف » </w:t>
            </w:r>
            <w:r>
              <w:rPr>
                <w:rtl/>
              </w:rPr>
              <w:t>: -</w:t>
            </w:r>
            <w:r w:rsidRPr="00C9040A">
              <w:rPr>
                <w:rtl/>
              </w:rPr>
              <w:t xml:space="preserve"> « وقد »</w:t>
            </w:r>
            <w:r>
              <w:rPr>
                <w:rtl/>
              </w:rPr>
              <w:t>.</w:t>
            </w:r>
          </w:p>
        </w:tc>
      </w:tr>
    </w:tbl>
    <w:p w:rsidR="008A74EB" w:rsidRPr="00C9040A" w:rsidRDefault="006C577F" w:rsidP="004A4E41">
      <w:pPr>
        <w:pStyle w:val="libFootnote0"/>
        <w:rPr>
          <w:rtl/>
          <w:lang w:bidi="fa-IR"/>
        </w:rPr>
      </w:pPr>
      <w:r>
        <w:rPr>
          <w:rtl/>
        </w:rPr>
        <w:t>(7).</w:t>
      </w:r>
      <w:r w:rsidR="008A74EB" w:rsidRPr="00C9040A">
        <w:rPr>
          <w:rtl/>
        </w:rPr>
        <w:t xml:space="preserve"> ق (50) : 18.</w:t>
      </w:r>
    </w:p>
    <w:p w:rsidR="008A74EB" w:rsidRPr="00C9040A" w:rsidRDefault="006C577F" w:rsidP="004A4E41">
      <w:pPr>
        <w:pStyle w:val="libFootnote0"/>
        <w:rPr>
          <w:rtl/>
          <w:lang w:bidi="fa-IR"/>
        </w:rPr>
      </w:pPr>
      <w:r>
        <w:rPr>
          <w:rtl/>
        </w:rPr>
        <w:t>(8).</w:t>
      </w:r>
      <w:r w:rsidR="00D74C04">
        <w:rPr>
          <w:rtl/>
        </w:rPr>
        <w:t xml:space="preserve"> «الصعداء</w:t>
      </w:r>
      <w:r w:rsidR="008A74EB" w:rsidRPr="00C9040A">
        <w:rPr>
          <w:rtl/>
        </w:rPr>
        <w:t xml:space="preserve">» : تنفُّسٌ ممدود وبتوجّع. </w:t>
      </w:r>
      <w:r w:rsidR="008A74EB" w:rsidRPr="00993B55">
        <w:rPr>
          <w:rStyle w:val="libFootnoteBoldChar"/>
          <w:rtl/>
        </w:rPr>
        <w:t>ترتيب كتاب العين</w:t>
      </w:r>
      <w:r w:rsidR="008A74EB" w:rsidRPr="00C9040A">
        <w:rPr>
          <w:rtl/>
        </w:rPr>
        <w:t xml:space="preserve"> ، ج 2 ، ص 989 ؛ </w:t>
      </w:r>
      <w:r w:rsidR="008A74EB" w:rsidRPr="00993B55">
        <w:rPr>
          <w:rStyle w:val="libFootnoteBoldChar"/>
          <w:rtl/>
        </w:rPr>
        <w:t>الصحاح</w:t>
      </w:r>
      <w:r w:rsidR="00D74C04">
        <w:rPr>
          <w:rtl/>
        </w:rPr>
        <w:t xml:space="preserve"> ، ج 2 ، ص 498 (صعد</w:t>
      </w:r>
      <w:r w:rsidR="008A74EB" w:rsidRPr="00C9040A">
        <w:rPr>
          <w:rtl/>
        </w:rPr>
        <w:t>)</w:t>
      </w:r>
      <w:r w:rsidR="008A74EB">
        <w:rPr>
          <w:rtl/>
        </w:rPr>
        <w:t>.</w:t>
      </w:r>
    </w:p>
    <w:tbl>
      <w:tblPr>
        <w:tblStyle w:val="TableGrid"/>
        <w:bidiVisual/>
        <w:tblW w:w="0" w:type="auto"/>
        <w:tblLook w:val="04A0" w:firstRow="1" w:lastRow="0" w:firstColumn="1" w:lastColumn="0" w:noHBand="0" w:noVBand="1"/>
      </w:tblPr>
      <w:tblGrid>
        <w:gridCol w:w="4006"/>
        <w:gridCol w:w="4006"/>
      </w:tblGrid>
      <w:tr w:rsidR="00B63728" w:rsidTr="00B63728">
        <w:tc>
          <w:tcPr>
            <w:tcW w:w="4006" w:type="dxa"/>
          </w:tcPr>
          <w:p w:rsidR="00B63728" w:rsidRDefault="00B63728" w:rsidP="004A4E41">
            <w:pPr>
              <w:pStyle w:val="libFootnote0"/>
              <w:rPr>
                <w:rtl/>
                <w:lang w:bidi="fa-IR"/>
              </w:rPr>
            </w:pPr>
            <w:r>
              <w:rPr>
                <w:rtl/>
              </w:rPr>
              <w:t>(9).</w:t>
            </w:r>
            <w:r w:rsidRPr="00C9040A">
              <w:rPr>
                <w:rtl/>
              </w:rPr>
              <w:t xml:space="preserve"> في البحار : « من »</w:t>
            </w:r>
            <w:r>
              <w:rPr>
                <w:rtl/>
              </w:rPr>
              <w:t>.</w:t>
            </w:r>
          </w:p>
        </w:tc>
        <w:tc>
          <w:tcPr>
            <w:tcW w:w="4006" w:type="dxa"/>
          </w:tcPr>
          <w:p w:rsidR="00B63728" w:rsidRDefault="00B63728" w:rsidP="004A4E41">
            <w:pPr>
              <w:pStyle w:val="libFootnote0"/>
              <w:rPr>
                <w:rtl/>
                <w:lang w:bidi="fa-IR"/>
              </w:rPr>
            </w:pPr>
            <w:r>
              <w:rPr>
                <w:rtl/>
              </w:rPr>
              <w:t>(10).</w:t>
            </w:r>
            <w:r w:rsidRPr="00C9040A">
              <w:rPr>
                <w:rtl/>
              </w:rPr>
              <w:t xml:space="preserve"> في « ف » </w:t>
            </w:r>
            <w:r>
              <w:rPr>
                <w:rtl/>
              </w:rPr>
              <w:t>: -</w:t>
            </w:r>
            <w:r w:rsidRPr="00C9040A">
              <w:rPr>
                <w:rtl/>
              </w:rPr>
              <w:t xml:space="preserve"> « لهما »</w:t>
            </w:r>
            <w:r>
              <w:rPr>
                <w:rtl/>
              </w:rPr>
              <w:t>.</w:t>
            </w:r>
          </w:p>
        </w:tc>
      </w:tr>
      <w:tr w:rsidR="00B63728" w:rsidTr="00B63728">
        <w:tc>
          <w:tcPr>
            <w:tcW w:w="4006" w:type="dxa"/>
          </w:tcPr>
          <w:p w:rsidR="00B63728" w:rsidRDefault="00B63728" w:rsidP="004A4E41">
            <w:pPr>
              <w:pStyle w:val="libFootnote0"/>
              <w:rPr>
                <w:rtl/>
                <w:lang w:bidi="fa-IR"/>
              </w:rPr>
            </w:pPr>
            <w:r>
              <w:rPr>
                <w:rtl/>
              </w:rPr>
              <w:t>(11).</w:t>
            </w:r>
            <w:r w:rsidRPr="00C9040A">
              <w:rPr>
                <w:rtl/>
              </w:rPr>
              <w:t xml:space="preserve"> في « ج » </w:t>
            </w:r>
            <w:r>
              <w:rPr>
                <w:rtl/>
              </w:rPr>
              <w:t>: -</w:t>
            </w:r>
            <w:r w:rsidRPr="00C9040A">
              <w:rPr>
                <w:rtl/>
              </w:rPr>
              <w:t xml:space="preserve"> « وإن »</w:t>
            </w:r>
            <w:r>
              <w:rPr>
                <w:rtl/>
              </w:rPr>
              <w:t>.</w:t>
            </w:r>
          </w:p>
        </w:tc>
        <w:tc>
          <w:tcPr>
            <w:tcW w:w="4006" w:type="dxa"/>
          </w:tcPr>
          <w:p w:rsidR="00B63728" w:rsidRDefault="00B63728" w:rsidP="004A4E41">
            <w:pPr>
              <w:pStyle w:val="libFootnote0"/>
              <w:rPr>
                <w:rtl/>
                <w:lang w:bidi="fa-IR"/>
              </w:rPr>
            </w:pPr>
            <w:r>
              <w:rPr>
                <w:rtl/>
              </w:rPr>
              <w:t>(12).</w:t>
            </w:r>
            <w:r w:rsidRPr="00C9040A">
              <w:rPr>
                <w:rtl/>
              </w:rPr>
              <w:t xml:space="preserve"> في حاشية « ج » : « والخفيّ »</w:t>
            </w:r>
            <w:r>
              <w:rPr>
                <w:rtl/>
              </w:rPr>
              <w:t>.</w:t>
            </w:r>
          </w:p>
        </w:tc>
      </w:tr>
    </w:tbl>
    <w:p w:rsidR="008A74EB" w:rsidRPr="00C9040A" w:rsidRDefault="008A74EB" w:rsidP="004A4E41">
      <w:pPr>
        <w:pStyle w:val="libFootnote0"/>
        <w:rPr>
          <w:rtl/>
          <w:lang w:bidi="fa-IR"/>
        </w:rPr>
      </w:pPr>
      <w:r>
        <w:rPr>
          <w:rtl/>
        </w:rPr>
        <w:t>(13)</w:t>
      </w:r>
      <w:r w:rsidRPr="00C9040A">
        <w:rPr>
          <w:rtl/>
        </w:rPr>
        <w:t xml:space="preserve"> </w:t>
      </w:r>
      <w:r w:rsidRPr="00993B55">
        <w:rPr>
          <w:rStyle w:val="libFootnoteBoldChar"/>
          <w:rtl/>
        </w:rPr>
        <w:t>الوافي</w:t>
      </w:r>
      <w:r w:rsidRPr="00C9040A">
        <w:rPr>
          <w:rtl/>
        </w:rPr>
        <w:t xml:space="preserve"> ، ج 5 ، ص 615 ، ح 2702 ؛ </w:t>
      </w:r>
      <w:r w:rsidRPr="00993B55">
        <w:rPr>
          <w:rStyle w:val="libFootnoteBoldChar"/>
          <w:rtl/>
        </w:rPr>
        <w:t>الوسائل</w:t>
      </w:r>
      <w:r w:rsidRPr="00C9040A">
        <w:rPr>
          <w:rtl/>
        </w:rPr>
        <w:t xml:space="preserve"> ، ج 12 ، ص 213 ، ح 16167 ، إلى قوله : « فإنّ لهما سرّاً وقد ستر الله عليهما » ؛ </w:t>
      </w:r>
      <w:r w:rsidRPr="00993B55">
        <w:rPr>
          <w:rStyle w:val="libFootnoteBoldChar"/>
          <w:rtl/>
        </w:rPr>
        <w:t>البحار</w:t>
      </w:r>
      <w:r w:rsidRPr="00C9040A">
        <w:rPr>
          <w:rtl/>
        </w:rPr>
        <w:t xml:space="preserve"> ، ج 76 ، ص 35 ، ح 33.</w:t>
      </w:r>
    </w:p>
    <w:p w:rsidR="004B7F34" w:rsidRDefault="004B7F34" w:rsidP="004B7F34">
      <w:pPr>
        <w:pStyle w:val="libNormal"/>
        <w:rPr>
          <w:rtl/>
          <w:lang w:bidi="fa-IR"/>
        </w:rPr>
      </w:pPr>
      <w:r>
        <w:rPr>
          <w:rtl/>
          <w:lang w:bidi="fa-IR"/>
        </w:rPr>
        <w:br w:type="page"/>
      </w:r>
    </w:p>
    <w:p w:rsidR="008A74EB" w:rsidRPr="00C9040A" w:rsidRDefault="008A74EB" w:rsidP="008A74EB">
      <w:pPr>
        <w:pStyle w:val="Heading2Center"/>
        <w:rPr>
          <w:rtl/>
          <w:lang w:bidi="fa-IR"/>
        </w:rPr>
      </w:pPr>
      <w:bookmarkStart w:id="250" w:name="_Toc343795671"/>
      <w:bookmarkStart w:id="251" w:name="_Toc459810795"/>
      <w:bookmarkStart w:id="252" w:name="_Toc35348701"/>
      <w:r w:rsidRPr="00C9040A">
        <w:rPr>
          <w:rtl/>
          <w:lang w:bidi="fa-IR"/>
        </w:rPr>
        <w:t>80</w:t>
      </w:r>
      <w:r>
        <w:rPr>
          <w:rtl/>
          <w:lang w:bidi="fa-IR"/>
        </w:rPr>
        <w:t xml:space="preserve"> </w:t>
      </w:r>
      <w:r w:rsidR="0084262C">
        <w:rPr>
          <w:rtl/>
          <w:lang w:bidi="fa-IR"/>
        </w:rPr>
        <w:t>-</w:t>
      </w:r>
      <w:r>
        <w:rPr>
          <w:rtl/>
          <w:lang w:bidi="fa-IR"/>
        </w:rPr>
        <w:t xml:space="preserve"> </w:t>
      </w:r>
      <w:r w:rsidRPr="00C9040A">
        <w:rPr>
          <w:rtl/>
          <w:lang w:bidi="fa-IR"/>
        </w:rPr>
        <w:t>بَابُ التَّقْبِيلِ‌</w:t>
      </w:r>
      <w:bookmarkEnd w:id="250"/>
      <w:bookmarkEnd w:id="251"/>
      <w:bookmarkEnd w:id="252"/>
    </w:p>
    <w:p w:rsidR="008A74EB" w:rsidRPr="00C9040A" w:rsidRDefault="008A74EB" w:rsidP="008A74EB">
      <w:pPr>
        <w:pStyle w:val="libNormal"/>
        <w:rPr>
          <w:rtl/>
          <w:lang w:bidi="fa-IR"/>
        </w:rPr>
      </w:pPr>
      <w:r w:rsidRPr="00E633F5">
        <w:rPr>
          <w:rtl/>
        </w:rPr>
        <w:t>2115</w:t>
      </w:r>
      <w:r w:rsidRPr="00261CB0">
        <w:rPr>
          <w:rStyle w:val="libBold2Char"/>
          <w:rtl/>
        </w:rPr>
        <w:t xml:space="preserve"> / 1.</w:t>
      </w:r>
      <w:r w:rsidRPr="00C9040A">
        <w:rPr>
          <w:rtl/>
          <w:lang w:bidi="fa-IR"/>
        </w:rPr>
        <w:t xml:space="preserve"> أَبُو عَلِيٍّ الْأَشْعَرِيُّ ، عَنِ الْحَسَنِ بْنِ عَلِيٍّ الْكُوفِيِّ ، عَنْ عُبَيْسِ بْنِ هِشَامٍ ، عَنِ الْحُسَيْنِ بْنِ أَحْمَدَ الْمِنْقَرِيِّ ، عَنْ يُونُسَ بْنِ ظَبْيَانَ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إِنَّ لَكُمْ لَنُوراً تُعْرَفُونَ بِهِ فِي الدُّنْيَا ، حَتّى أَنَّ </w:t>
      </w:r>
      <w:r w:rsidR="006C577F" w:rsidRPr="006C577F">
        <w:rPr>
          <w:rStyle w:val="libFootnotenumChar"/>
          <w:rtl/>
        </w:rPr>
        <w:t>(1)</w:t>
      </w:r>
      <w:r w:rsidRPr="00C9040A">
        <w:rPr>
          <w:rtl/>
          <w:lang w:bidi="fa-IR"/>
        </w:rPr>
        <w:t xml:space="preserve"> أَحَدَكُمْ إِذَا لَقِيَ أَخَاهُ ، قَبَّلَهُ فِي مَوْضِعِ النُّورِ مِنْ جَبْهَتِهِ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E633F5">
        <w:rPr>
          <w:rtl/>
        </w:rPr>
        <w:t>2116</w:t>
      </w:r>
      <w:r w:rsidRPr="00261CB0">
        <w:rPr>
          <w:rStyle w:val="libBold2Char"/>
          <w:rtl/>
        </w:rPr>
        <w:t xml:space="preserve"> / 2.</w:t>
      </w:r>
      <w:r w:rsidRPr="00C9040A">
        <w:rPr>
          <w:rtl/>
          <w:lang w:bidi="fa-IR"/>
        </w:rPr>
        <w:t xml:space="preserve"> عَلِيُّ بْنُ إِبْرَاهِيمَ ، عَنْ أَبِيهِ ، عَنِ ابْنِ أَبِي عُمَيْرٍ ، عَنْ رِفَاعَةَ بْنِ مُوسى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لَا يُقَبَّلُ ر</w:t>
      </w:r>
      <w:r w:rsidR="00B63728">
        <w:rPr>
          <w:rtl/>
          <w:lang w:bidi="fa-IR"/>
        </w:rPr>
        <w:t>َأْسُ أَحَدٍ وَلَا يَدُهُ إِل</w:t>
      </w:r>
      <w:r w:rsidR="00B63728">
        <w:rPr>
          <w:rFonts w:hint="cs"/>
          <w:rtl/>
          <w:lang w:bidi="fa-IR"/>
        </w:rPr>
        <w:t>َّ</w:t>
      </w:r>
      <w:r w:rsidR="00B63728">
        <w:rPr>
          <w:rtl/>
          <w:lang w:bidi="fa-IR"/>
        </w:rPr>
        <w:t>ا</w:t>
      </w:r>
      <w:r w:rsidRPr="00C9040A">
        <w:rPr>
          <w:rtl/>
          <w:lang w:bidi="fa-IR"/>
        </w:rPr>
        <w:t xml:space="preserve"> يَدُ </w:t>
      </w:r>
      <w:r w:rsidR="006C577F" w:rsidRPr="006C577F">
        <w:rPr>
          <w:rStyle w:val="libFootnotenumChar"/>
          <w:rtl/>
        </w:rPr>
        <w:t>(3)</w:t>
      </w:r>
      <w:r w:rsidRPr="00C9040A">
        <w:rPr>
          <w:rtl/>
          <w:lang w:bidi="fa-IR"/>
        </w:rPr>
        <w:t xml:space="preserve"> رَسُولِ اللهِ </w:t>
      </w:r>
      <w:r w:rsidR="004A4E41" w:rsidRPr="004A4E41">
        <w:rPr>
          <w:rStyle w:val="libAlaemChar"/>
          <w:rtl/>
        </w:rPr>
        <w:t>صلى‌الله‌عليه‌وآله</w:t>
      </w:r>
      <w:r w:rsidRPr="00C9040A">
        <w:rPr>
          <w:rtl/>
          <w:lang w:bidi="fa-IR"/>
        </w:rPr>
        <w:t xml:space="preserve"> ، أَوْ مَنْ أُرِيدَ بِهِ رَسُولُ اللهِ </w:t>
      </w:r>
      <w:r w:rsidR="004A4E41" w:rsidRPr="004A4E41">
        <w:rPr>
          <w:rStyle w:val="libAlaemChar"/>
          <w:rtl/>
        </w:rPr>
        <w:t>صلى‌الله‌عليه‌وآله</w:t>
      </w:r>
      <w:r w:rsidRPr="00C9040A">
        <w:rPr>
          <w:rtl/>
          <w:lang w:bidi="fa-IR"/>
        </w:rPr>
        <w:t xml:space="preserve"> </w:t>
      </w:r>
      <w:r w:rsidR="006C577F" w:rsidRPr="006C577F">
        <w:rPr>
          <w:rStyle w:val="libFootnotenumChar"/>
          <w:rtl/>
        </w:rPr>
        <w:t>(4)</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E633F5">
        <w:rPr>
          <w:rtl/>
        </w:rPr>
        <w:t>2117</w:t>
      </w:r>
      <w:r w:rsidRPr="00261CB0">
        <w:rPr>
          <w:rStyle w:val="libBold2Char"/>
          <w:rtl/>
        </w:rPr>
        <w:t xml:space="preserve"> / 3.</w:t>
      </w:r>
      <w:r w:rsidRPr="00C9040A">
        <w:rPr>
          <w:rtl/>
          <w:lang w:bidi="fa-IR"/>
        </w:rPr>
        <w:t xml:space="preserve"> عَلِيٌّ ، عَنْ أَبِيهِ ، عَنِ ابْنِ أَبِي عُمَيْرٍ ، عَنْ زَيْدٍ النَّرْسِيِّ ، عَنْ عَلِيِّ بْنِ مَزْيَدٍ صَاحِبِ السَّابِرِيِّ ، قَالَ :</w:t>
      </w:r>
    </w:p>
    <w:p w:rsidR="008A74EB" w:rsidRPr="00C9040A" w:rsidRDefault="008A74EB" w:rsidP="008A74EB">
      <w:pPr>
        <w:pStyle w:val="libNormal"/>
        <w:rPr>
          <w:rtl/>
          <w:lang w:bidi="fa-IR"/>
        </w:rPr>
      </w:pPr>
      <w:r w:rsidRPr="00C9040A">
        <w:rPr>
          <w:rtl/>
          <w:lang w:bidi="fa-IR"/>
        </w:rPr>
        <w:t xml:space="preserve">دَخَلْتُ عَلى أَبِي عَبْدِ اللهِ </w:t>
      </w:r>
      <w:r w:rsidRPr="0003660B">
        <w:rPr>
          <w:rStyle w:val="libAlaemChar"/>
          <w:rtl/>
        </w:rPr>
        <w:t>عليه‌السلام</w:t>
      </w:r>
      <w:r w:rsidRPr="00C9040A">
        <w:rPr>
          <w:rtl/>
          <w:lang w:bidi="fa-IR"/>
        </w:rPr>
        <w:t xml:space="preserve"> ، فَتَنَاوَلْتُ يَدَهُ ، فَقَبَّلْتُهَا ، فَقَالَ : « أَمَا إِنَّ</w:t>
      </w:r>
      <w:r w:rsidR="00B63728">
        <w:rPr>
          <w:rtl/>
          <w:lang w:bidi="fa-IR"/>
        </w:rPr>
        <w:t>هَا لَاتَصْلُحُ إِل</w:t>
      </w:r>
      <w:r w:rsidR="00B63728">
        <w:rPr>
          <w:rFonts w:hint="cs"/>
          <w:rtl/>
          <w:lang w:bidi="fa-IR"/>
        </w:rPr>
        <w:t>َّ</w:t>
      </w:r>
      <w:r w:rsidR="00B63728">
        <w:rPr>
          <w:rtl/>
          <w:lang w:bidi="fa-IR"/>
        </w:rPr>
        <w:t>ا</w:t>
      </w:r>
      <w:r w:rsidRPr="00C9040A">
        <w:rPr>
          <w:rtl/>
          <w:lang w:bidi="fa-IR"/>
        </w:rPr>
        <w:t xml:space="preserve"> لِنَبِيٍّ أَوْ وَصِيِّ نَبِيٍّ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Normal"/>
        <w:rPr>
          <w:rtl/>
          <w:lang w:bidi="fa-IR"/>
        </w:rPr>
      </w:pPr>
      <w:r w:rsidRPr="00E633F5">
        <w:rPr>
          <w:rtl/>
        </w:rPr>
        <w:t>2118</w:t>
      </w:r>
      <w:r w:rsidRPr="00261CB0">
        <w:rPr>
          <w:rStyle w:val="libBold2Char"/>
          <w:rtl/>
        </w:rPr>
        <w:t xml:space="preserve"> / 4.</w:t>
      </w:r>
      <w:r w:rsidRPr="00C9040A">
        <w:rPr>
          <w:rtl/>
          <w:lang w:bidi="fa-IR"/>
        </w:rPr>
        <w:t xml:space="preserve"> مُحَمَّدُ بْنُ يَحْيى ، عَنْ أَحْمَدَ بْنِ مُحَمَّدِ بْنِ عِيسى ، عَنِ الْحَجَّالِ ، عَنْ‌</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يجوز كسر الهمزة وفتحها باعتبارين.</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الوافي</w:t>
      </w:r>
      <w:r w:rsidR="008A74EB" w:rsidRPr="00C9040A">
        <w:rPr>
          <w:rtl/>
        </w:rPr>
        <w:t xml:space="preserve"> ، ج 5 ، ص 616 ، ح 2703 ؛ </w:t>
      </w:r>
      <w:r w:rsidR="008A74EB" w:rsidRPr="00993B55">
        <w:rPr>
          <w:rStyle w:val="libFootnoteBoldChar"/>
          <w:rtl/>
        </w:rPr>
        <w:t>الوسائل</w:t>
      </w:r>
      <w:r w:rsidR="008A74EB" w:rsidRPr="00C9040A">
        <w:rPr>
          <w:rtl/>
        </w:rPr>
        <w:t xml:space="preserve"> ، ج 12 ، ص 234 ، ح 16176 ؛ </w:t>
      </w:r>
      <w:r w:rsidR="008A74EB" w:rsidRPr="00993B55">
        <w:rPr>
          <w:rStyle w:val="libFootnoteBoldChar"/>
          <w:rtl/>
        </w:rPr>
        <w:t>البحار</w:t>
      </w:r>
      <w:r w:rsidR="008A74EB" w:rsidRPr="00C9040A">
        <w:rPr>
          <w:rtl/>
        </w:rPr>
        <w:t xml:space="preserve"> ، ج 76 ، ص 37 ، ح 34.</w:t>
      </w:r>
    </w:p>
    <w:p w:rsidR="008A74EB" w:rsidRPr="00C9040A" w:rsidRDefault="006C577F" w:rsidP="004A4E41">
      <w:pPr>
        <w:pStyle w:val="libFootnote0"/>
        <w:rPr>
          <w:rtl/>
          <w:lang w:bidi="fa-IR"/>
        </w:rPr>
      </w:pPr>
      <w:r>
        <w:rPr>
          <w:rtl/>
        </w:rPr>
        <w:t>(3).</w:t>
      </w:r>
      <w:r w:rsidR="008A74EB" w:rsidRPr="00C9040A">
        <w:rPr>
          <w:rtl/>
        </w:rPr>
        <w:t xml:space="preserve"> في « ج ، د ، ز ، ص ، بف » والوافي والوسائل والبحار </w:t>
      </w:r>
      <w:r w:rsidR="008A74EB">
        <w:rPr>
          <w:rtl/>
        </w:rPr>
        <w:t xml:space="preserve">: </w:t>
      </w:r>
      <w:r w:rsidR="0084262C">
        <w:rPr>
          <w:rtl/>
        </w:rPr>
        <w:t>-</w:t>
      </w:r>
      <w:r w:rsidR="008A74EB" w:rsidRPr="00C9040A">
        <w:rPr>
          <w:rtl/>
        </w:rPr>
        <w:t xml:space="preserve"> « يد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w:t>
      </w:r>
      <w:r w:rsidR="008A74EB" w:rsidRPr="00993B55">
        <w:rPr>
          <w:rStyle w:val="libFootnoteBoldChar"/>
          <w:rtl/>
        </w:rPr>
        <w:t>الوافي</w:t>
      </w:r>
      <w:r w:rsidR="008A74EB" w:rsidRPr="00C9040A">
        <w:rPr>
          <w:rtl/>
        </w:rPr>
        <w:t xml:space="preserve"> : « لعلّ المراد بمن ا</w:t>
      </w:r>
      <w:r w:rsidR="00B63728">
        <w:rPr>
          <w:rFonts w:hint="cs"/>
          <w:rtl/>
        </w:rPr>
        <w:t>ُ</w:t>
      </w:r>
      <w:r w:rsidR="008A74EB" w:rsidRPr="00C9040A">
        <w:rPr>
          <w:rtl/>
        </w:rPr>
        <w:t xml:space="preserve">ريد رسول الله </w:t>
      </w:r>
      <w:r w:rsidR="004A4E41" w:rsidRPr="00B63728">
        <w:rPr>
          <w:rStyle w:val="libFootnoteAlaemChar"/>
          <w:rtl/>
        </w:rPr>
        <w:t>صلى‌الله‌عليه‌وآله</w:t>
      </w:r>
      <w:r w:rsidR="008A74EB" w:rsidRPr="00C9040A">
        <w:rPr>
          <w:rtl/>
        </w:rPr>
        <w:t xml:space="preserve"> الأئمّة المعصومون </w:t>
      </w:r>
      <w:r w:rsidR="00117575" w:rsidRPr="00117575">
        <w:rPr>
          <w:rStyle w:val="libFootnoteAlaemChar"/>
          <w:rtl/>
        </w:rPr>
        <w:t>عليهم‌السلام</w:t>
      </w:r>
      <w:r w:rsidR="008A74EB" w:rsidRPr="00C9040A">
        <w:rPr>
          <w:rtl/>
        </w:rPr>
        <w:t xml:space="preserve"> كما يستفاد من الحديث [ الآتي ]</w:t>
      </w:r>
      <w:r w:rsidR="008A74EB">
        <w:rPr>
          <w:rtl/>
        </w:rPr>
        <w:t>.</w:t>
      </w:r>
      <w:r w:rsidR="008A74EB" w:rsidRPr="00C9040A">
        <w:rPr>
          <w:rtl/>
        </w:rPr>
        <w:t xml:space="preserve"> ويحتمل شمول الحكم العلماء بالله وبأمر الله معاً العاملين بعلمهم الهادين للناس ممّن وافق قوله فعله ؛ لأنّ العلماء الحقّ ورثة الأنبياء ، فلا يبعد دخولهم فيمن يراد به رسول الله </w:t>
      </w:r>
      <w:r w:rsidR="004A4E41" w:rsidRPr="00B63728">
        <w:rPr>
          <w:rStyle w:val="libFootnoteAlaemChar"/>
          <w:rtl/>
        </w:rPr>
        <w:t>صلى‌الله‌عليه‌وآله</w:t>
      </w:r>
      <w:r w:rsidR="008A74EB" w:rsidRPr="00C9040A">
        <w:rPr>
          <w:rtl/>
        </w:rPr>
        <w:t xml:space="preserve">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الوافي</w:t>
      </w:r>
      <w:r w:rsidR="008A74EB" w:rsidRPr="00C9040A">
        <w:rPr>
          <w:rtl/>
        </w:rPr>
        <w:t xml:space="preserve"> ، ج 5 ، ص 617 ، ح 2707 ؛ </w:t>
      </w:r>
      <w:r w:rsidR="008A74EB" w:rsidRPr="00993B55">
        <w:rPr>
          <w:rStyle w:val="libFootnoteBoldChar"/>
          <w:rtl/>
        </w:rPr>
        <w:t>الوسائل</w:t>
      </w:r>
      <w:r w:rsidR="008A74EB" w:rsidRPr="00C9040A">
        <w:rPr>
          <w:rtl/>
        </w:rPr>
        <w:t xml:space="preserve"> ، ج 12 ، ص 234 ، ح 16173 ؛ </w:t>
      </w:r>
      <w:r w:rsidR="008A74EB" w:rsidRPr="00993B55">
        <w:rPr>
          <w:rStyle w:val="libFootnoteBoldChar"/>
          <w:rtl/>
        </w:rPr>
        <w:t>البحار</w:t>
      </w:r>
      <w:r w:rsidR="008A74EB" w:rsidRPr="00C9040A">
        <w:rPr>
          <w:rtl/>
        </w:rPr>
        <w:t xml:space="preserve"> ، ج 76 ، ص 37 ، ح 35.</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الوافي</w:t>
      </w:r>
      <w:r w:rsidR="008A74EB" w:rsidRPr="00C9040A">
        <w:rPr>
          <w:rtl/>
        </w:rPr>
        <w:t xml:space="preserve"> ، ج 5 ، ص 617 ، ح 2706 ؛ </w:t>
      </w:r>
      <w:r w:rsidR="008A74EB" w:rsidRPr="00993B55">
        <w:rPr>
          <w:rStyle w:val="libFootnoteBoldChar"/>
          <w:rtl/>
        </w:rPr>
        <w:t>الوسائل</w:t>
      </w:r>
      <w:r w:rsidR="008A74EB" w:rsidRPr="00C9040A">
        <w:rPr>
          <w:rtl/>
        </w:rPr>
        <w:t xml:space="preserve"> ، ج 12 ، ص 234 ، ح 16174 ؛ </w:t>
      </w:r>
      <w:r w:rsidR="008A74EB" w:rsidRPr="00993B55">
        <w:rPr>
          <w:rStyle w:val="libFootnoteBoldChar"/>
          <w:rtl/>
        </w:rPr>
        <w:t>البحار</w:t>
      </w:r>
      <w:r w:rsidR="008A74EB" w:rsidRPr="00C9040A">
        <w:rPr>
          <w:rtl/>
        </w:rPr>
        <w:t xml:space="preserve"> ، ج 76 ، ص 39 ، ح 36.</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يُونُسَ بْنِ يَعْقُوبَ ، قَالَ :</w:t>
      </w:r>
    </w:p>
    <w:p w:rsidR="008A74EB" w:rsidRPr="00C9040A" w:rsidRDefault="008A74EB" w:rsidP="008A74EB">
      <w:pPr>
        <w:pStyle w:val="libNormal"/>
        <w:rPr>
          <w:rtl/>
          <w:lang w:bidi="fa-IR"/>
        </w:rPr>
      </w:pPr>
      <w:r w:rsidRPr="00C9040A">
        <w:rPr>
          <w:rtl/>
          <w:lang w:bidi="fa-IR"/>
        </w:rPr>
        <w:t xml:space="preserve">قُلْتُ لِأَبِي عَبْدِ اللهِ </w:t>
      </w:r>
      <w:r w:rsidRPr="0003660B">
        <w:rPr>
          <w:rStyle w:val="libAlaemChar"/>
          <w:rtl/>
        </w:rPr>
        <w:t>عليه‌السلام</w:t>
      </w:r>
      <w:r w:rsidRPr="00C9040A">
        <w:rPr>
          <w:rtl/>
          <w:lang w:bidi="fa-IR"/>
        </w:rPr>
        <w:t xml:space="preserve"> : نَاوِلْنِي يَدَكَ أُقَبِّلْهَا ، فَأَعْطَانِيهَا ، فَقُلْتُ : جُعِلْتُ فِدَاكَ ، رَأْسَكَ </w:t>
      </w:r>
      <w:r w:rsidR="006C577F" w:rsidRPr="006C577F">
        <w:rPr>
          <w:rStyle w:val="libFootnotenumChar"/>
          <w:rtl/>
        </w:rPr>
        <w:t>(1)</w:t>
      </w:r>
      <w:r w:rsidRPr="00C9040A">
        <w:rPr>
          <w:rtl/>
          <w:lang w:bidi="fa-IR"/>
        </w:rPr>
        <w:t xml:space="preserve"> ، فَفَعَلَ ، فَقَبَّلْتُهُ ، فَقُلْتُ : جُعِلْتُ فِدَاكَ ، رِجْلَاكَ </w:t>
      </w:r>
      <w:r w:rsidR="006C577F" w:rsidRPr="006C577F">
        <w:rPr>
          <w:rStyle w:val="libFootnotenumChar"/>
          <w:rtl/>
        </w:rPr>
        <w:t>(2)</w:t>
      </w:r>
      <w:r w:rsidRPr="00C9040A">
        <w:rPr>
          <w:rtl/>
          <w:lang w:bidi="fa-IR"/>
        </w:rPr>
        <w:t xml:space="preserve"> ، فَقَالَ : « أَقْسَمْتُ ، أَقْسَمْتُ </w:t>
      </w:r>
      <w:r w:rsidR="006C577F" w:rsidRPr="006C577F">
        <w:rPr>
          <w:rStyle w:val="libFootnotenumChar"/>
          <w:rtl/>
        </w:rPr>
        <w:t>(3)</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ف » : « فرأسك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ب ، ج ، ض ، ف » وحاشية « ص » والبحار : « فرجلاك »</w:t>
      </w:r>
      <w:r w:rsidR="008A74EB">
        <w:rPr>
          <w:rtl/>
        </w:rPr>
        <w:t>.</w:t>
      </w:r>
      <w:r w:rsidR="008A74EB" w:rsidRPr="00C9040A">
        <w:rPr>
          <w:rtl/>
        </w:rPr>
        <w:t xml:space="preserve"> وفي الوسائل : « رجلك »</w:t>
      </w:r>
      <w:r w:rsidR="008A74EB">
        <w:rPr>
          <w:rtl/>
        </w:rPr>
        <w:t>.</w:t>
      </w:r>
      <w:r w:rsidR="008A74EB" w:rsidRPr="00C9040A">
        <w:rPr>
          <w:rtl/>
        </w:rPr>
        <w:t xml:space="preserve"> وقوله : « رجلاك » فاعل لغفل محذوف عند المازندراني ؛ أي بقي رجلاك ، ومبتدأ لخبر محذوف عند المجلسي ؛ أي رجلاك ا</w:t>
      </w:r>
      <w:r w:rsidR="00B63728">
        <w:rPr>
          <w:rFonts w:hint="cs"/>
          <w:rtl/>
        </w:rPr>
        <w:t>ُ</w:t>
      </w:r>
      <w:r w:rsidR="008A74EB" w:rsidRPr="00C9040A">
        <w:rPr>
          <w:rtl/>
        </w:rPr>
        <w:t>ريد ا</w:t>
      </w:r>
      <w:r w:rsidR="00B63728">
        <w:rPr>
          <w:rFonts w:hint="cs"/>
          <w:rtl/>
        </w:rPr>
        <w:t>ُ</w:t>
      </w:r>
      <w:r w:rsidR="008A74EB" w:rsidRPr="00C9040A">
        <w:rPr>
          <w:rtl/>
        </w:rPr>
        <w:t xml:space="preserve">قبّلهما ، أو رجلاك ما حالهما ، أي أيجوز لي تقبيلهما. راجع : </w:t>
      </w:r>
      <w:r w:rsidR="008A74EB" w:rsidRPr="00993B55">
        <w:rPr>
          <w:rStyle w:val="libFootnoteBoldChar"/>
          <w:rtl/>
        </w:rPr>
        <w:t>شرح المازندراني</w:t>
      </w:r>
      <w:r w:rsidR="008A74EB" w:rsidRPr="00C9040A">
        <w:rPr>
          <w:rtl/>
        </w:rPr>
        <w:t xml:space="preserve"> ، ج 9 ، ص 61 ؛ </w:t>
      </w:r>
      <w:r w:rsidR="008A74EB" w:rsidRPr="00993B55">
        <w:rPr>
          <w:rStyle w:val="libFootnoteBoldChar"/>
          <w:rtl/>
        </w:rPr>
        <w:t>مرآة العقول</w:t>
      </w:r>
      <w:r w:rsidR="008A74EB" w:rsidRPr="00C9040A">
        <w:rPr>
          <w:rtl/>
        </w:rPr>
        <w:t xml:space="preserve"> ، ج 9 ، ص 82.</w:t>
      </w:r>
    </w:p>
    <w:p w:rsidR="008A74EB" w:rsidRPr="00C9040A" w:rsidRDefault="006C577F" w:rsidP="004A4E41">
      <w:pPr>
        <w:pStyle w:val="libFootnote0"/>
        <w:rPr>
          <w:rtl/>
          <w:lang w:bidi="fa-IR"/>
        </w:rPr>
      </w:pPr>
      <w:r>
        <w:rPr>
          <w:rtl/>
        </w:rPr>
        <w:t>(3).</w:t>
      </w:r>
      <w:r w:rsidR="008A74EB" w:rsidRPr="00C9040A">
        <w:rPr>
          <w:rtl/>
        </w:rPr>
        <w:t xml:space="preserve"> في </w:t>
      </w:r>
      <w:r w:rsidR="008A74EB" w:rsidRPr="00993B55">
        <w:rPr>
          <w:rStyle w:val="libFootnoteBoldChar"/>
          <w:rtl/>
        </w:rPr>
        <w:t>مرآة العقول</w:t>
      </w:r>
      <w:r w:rsidR="008A74EB" w:rsidRPr="00C9040A">
        <w:rPr>
          <w:rtl/>
        </w:rPr>
        <w:t xml:space="preserve"> ، ج 9 ، ص 81 : « قوله </w:t>
      </w:r>
      <w:r w:rsidR="00117575" w:rsidRPr="00117575">
        <w:rPr>
          <w:rStyle w:val="libFootnoteAlaemChar"/>
          <w:rtl/>
        </w:rPr>
        <w:t>عليه‌السلام</w:t>
      </w:r>
      <w:r w:rsidR="008A74EB" w:rsidRPr="00C9040A">
        <w:rPr>
          <w:rtl/>
        </w:rPr>
        <w:t xml:space="preserve"> : أقسمت ، يحتمل وجوهاً :</w:t>
      </w:r>
    </w:p>
    <w:p w:rsidR="008A74EB" w:rsidRPr="00C9040A" w:rsidRDefault="008A74EB" w:rsidP="004A4E41">
      <w:pPr>
        <w:pStyle w:val="libFootnote0"/>
        <w:rPr>
          <w:rtl/>
          <w:lang w:bidi="fa-IR"/>
        </w:rPr>
      </w:pPr>
      <w:r w:rsidRPr="0082575F">
        <w:rPr>
          <w:rtl/>
        </w:rPr>
        <w:t>الأوّل : أن يكون على صيغة المتكلّم ويكون إخباراً ، أي حلفت أن لا ا</w:t>
      </w:r>
      <w:r w:rsidR="00B63728">
        <w:rPr>
          <w:rFonts w:hint="cs"/>
          <w:rtl/>
        </w:rPr>
        <w:t>ُ</w:t>
      </w:r>
      <w:r w:rsidRPr="0082575F">
        <w:rPr>
          <w:rtl/>
        </w:rPr>
        <w:t>عطي رجلي أحداً يقبّلها ، إمّا لعدم جوازه ، أو عدم رجحانه ، أو للتقيّة. وقوله : « بقي شي‌ء » استفهام على الإنكار ، أي هل بقي احتمال الرخصة والتجويز بعد القسم</w:t>
      </w:r>
      <w:r>
        <w:rPr>
          <w:rtl/>
        </w:rPr>
        <w:t>؟</w:t>
      </w:r>
    </w:p>
    <w:p w:rsidR="008A74EB" w:rsidRPr="00C9040A" w:rsidRDefault="008A74EB" w:rsidP="004A4E41">
      <w:pPr>
        <w:pStyle w:val="libFootnote0"/>
        <w:rPr>
          <w:rtl/>
          <w:lang w:bidi="fa-IR"/>
        </w:rPr>
      </w:pPr>
      <w:r w:rsidRPr="00393A13">
        <w:rPr>
          <w:rtl/>
        </w:rPr>
        <w:t>الثاني</w:t>
      </w:r>
      <w:r w:rsidRPr="00323A39">
        <w:rPr>
          <w:rtl/>
        </w:rPr>
        <w:t xml:space="preserve"> : أن يكون إنشاءاً للقسم ومناشدة ، أي ا</w:t>
      </w:r>
      <w:r w:rsidR="00B63728">
        <w:rPr>
          <w:rFonts w:hint="cs"/>
          <w:rtl/>
        </w:rPr>
        <w:t>ُ</w:t>
      </w:r>
      <w:r w:rsidRPr="00323A39">
        <w:rPr>
          <w:rtl/>
        </w:rPr>
        <w:t>قسم عليك أن تترك ذلك للوجوه المذكورة ، وهل بقي بعد مناشدتي إيّاك من طلبك التقبيل شي‌ء؟ أو لم يبق بعد تقبيل اليد والرأس شي‌ء تطلبه؟</w:t>
      </w:r>
    </w:p>
    <w:p w:rsidR="008A74EB" w:rsidRPr="00C9040A" w:rsidRDefault="008A74EB" w:rsidP="004A4E41">
      <w:pPr>
        <w:pStyle w:val="libFootnote0"/>
        <w:rPr>
          <w:rtl/>
          <w:lang w:bidi="fa-IR"/>
        </w:rPr>
      </w:pPr>
      <w:r w:rsidRPr="0082575F">
        <w:rPr>
          <w:rtl/>
        </w:rPr>
        <w:t>الثالث : ما كان يقوله بعض الأفاضل ، وهو أن يكون المعنى : أقسمت قسمة بيني وبين خلفاء الجور ، فاخترت اليد والرأس وجعلت الرجل لهم. « بقي شي‌ء » أي ينبغي أن يبقى لهم شي‌ء ؛ لعدم التضرّر منهم.</w:t>
      </w:r>
    </w:p>
    <w:p w:rsidR="008A74EB" w:rsidRPr="00C9040A" w:rsidRDefault="008A74EB" w:rsidP="004A4E41">
      <w:pPr>
        <w:pStyle w:val="libFootnote0"/>
        <w:rPr>
          <w:rtl/>
          <w:lang w:bidi="fa-IR"/>
        </w:rPr>
      </w:pPr>
      <w:r w:rsidRPr="0082575F">
        <w:rPr>
          <w:rtl/>
        </w:rPr>
        <w:t>الرابع : ما قال بعضهم أيضاً : إنّه أقسمت ، بصيغة الخطاب على الاستفهام للإنكار ، أي أقسمت أن تفعل ذلك قتبالغ فيه</w:t>
      </w:r>
      <w:r>
        <w:rPr>
          <w:rtl/>
        </w:rPr>
        <w:t>؟</w:t>
      </w:r>
      <w:r w:rsidRPr="0082575F">
        <w:rPr>
          <w:rtl/>
        </w:rPr>
        <w:t xml:space="preserve"> </w:t>
      </w:r>
      <w:r>
        <w:rPr>
          <w:rtl/>
        </w:rPr>
        <w:t>و «</w:t>
      </w:r>
      <w:r w:rsidRPr="0082575F">
        <w:rPr>
          <w:rtl/>
        </w:rPr>
        <w:t xml:space="preserve"> بقي شي‌ء » على الوجه السابق.</w:t>
      </w:r>
    </w:p>
    <w:p w:rsidR="008A74EB" w:rsidRPr="00C9040A" w:rsidRDefault="008A74EB" w:rsidP="004A4E41">
      <w:pPr>
        <w:pStyle w:val="libFootnote0"/>
        <w:rPr>
          <w:rtl/>
          <w:lang w:bidi="fa-IR"/>
        </w:rPr>
      </w:pPr>
      <w:r w:rsidRPr="00323A39">
        <w:rPr>
          <w:rtl/>
        </w:rPr>
        <w:t xml:space="preserve">الخامس : ما ذكره بعض أفاضل الشارحين ، وهو أنّ « أقسمت » على صيغة الخطاب ، و « ثلاثاً » كلام الإمام </w:t>
      </w:r>
      <w:r w:rsidR="00117575" w:rsidRPr="00117575">
        <w:rPr>
          <w:rStyle w:val="libFootnoteAlaemChar"/>
          <w:rtl/>
        </w:rPr>
        <w:t>عليه‌السلام</w:t>
      </w:r>
      <w:r w:rsidRPr="00323A39">
        <w:rPr>
          <w:rtl/>
        </w:rPr>
        <w:t xml:space="preserve"> ، أي أقسمت قسماً لتقبيل اليد ، وآخر لتقبيل الرأس ، وآخر لتقبيل الرجلين ، وفعلت اثنين وبقي الثالث ، وهو تقبيل الرجلين فافعل ؛ فإنّه يجب عليك.</w:t>
      </w:r>
    </w:p>
    <w:p w:rsidR="008A74EB" w:rsidRPr="00C9040A" w:rsidRDefault="008A74EB" w:rsidP="004A4E41">
      <w:pPr>
        <w:pStyle w:val="libFootnote0"/>
        <w:rPr>
          <w:rtl/>
          <w:lang w:bidi="fa-IR"/>
        </w:rPr>
      </w:pPr>
      <w:r w:rsidRPr="0082575F">
        <w:rPr>
          <w:rtl/>
        </w:rPr>
        <w:t>السادس : ما قيل : إنّ « أقسمت » بصيغة الخطاب من القسم بالكسر ، وهو الحظّ والنصيب ، أي أخذت حظّك ونصيبك ، وليبق شي‌ء ممّا يجوز أن يقبّل للتقيّة.</w:t>
      </w:r>
    </w:p>
    <w:p w:rsidR="008A74EB" w:rsidRPr="00C9040A" w:rsidRDefault="008A74EB" w:rsidP="004A4E41">
      <w:pPr>
        <w:pStyle w:val="libFootnote0"/>
        <w:rPr>
          <w:rtl/>
          <w:lang w:bidi="fa-IR"/>
        </w:rPr>
      </w:pPr>
      <w:r w:rsidRPr="00323A39">
        <w:rPr>
          <w:rtl/>
        </w:rPr>
        <w:t xml:space="preserve">وأقول : لا يخفى ما في الوجوه الأخيرة من البعد والركاكة ، ثمّ إنّه يحتمل على بعض الوجوه المتقدّمة أن يكون المراد بقوله : « بقي شي‌ء » التعريض بيونس وأمثاله ، أي بقي شي‌ء آخر سوى هذه التواضعات الرسميّة والتواضعات الظاهريّة ، وهو السعي في تصحيح العقائد القلبيّة ومتابعتنا في جميع أعمالنا وأقوالنا ، وهي أهمّ من هذا الذي تهتمّ به ؛ لأنّه </w:t>
      </w:r>
      <w:r w:rsidR="00117575" w:rsidRPr="00117575">
        <w:rPr>
          <w:rStyle w:val="libFootnoteAlaemChar"/>
          <w:rtl/>
        </w:rPr>
        <w:t>عليه‌السلام</w:t>
      </w:r>
      <w:r w:rsidRPr="00323A39">
        <w:rPr>
          <w:rtl/>
        </w:rPr>
        <w:t xml:space="preserve"> كان يعلم أنّه سيضلّ ويصير فطحيّاً. وأمّا قوله : « رأسك » فيحتمل الرفع والنصب ، والأخير أظهر ، أي ناولني رأسك. وقوله : « فرجلاك » مبتدأ ، وخبره محذوف ، أي ا</w:t>
      </w:r>
      <w:r w:rsidR="00755B18">
        <w:rPr>
          <w:rFonts w:hint="cs"/>
          <w:rtl/>
        </w:rPr>
        <w:t>ُ</w:t>
      </w:r>
      <w:r w:rsidRPr="00323A39">
        <w:rPr>
          <w:rtl/>
        </w:rPr>
        <w:t>ريد أن ا</w:t>
      </w:r>
      <w:r w:rsidR="00755B18">
        <w:rPr>
          <w:rFonts w:hint="cs"/>
          <w:rtl/>
        </w:rPr>
        <w:t>ُ</w:t>
      </w:r>
      <w:r w:rsidRPr="00323A39">
        <w:rPr>
          <w:rtl/>
        </w:rPr>
        <w:t xml:space="preserve">قبّلها ، أو ما حالها؟ </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أَقْسَمْتُ</w:t>
      </w:r>
      <w:r>
        <w:rPr>
          <w:rtl/>
          <w:lang w:bidi="fa-IR"/>
        </w:rPr>
        <w:t xml:space="preserve"> </w:t>
      </w:r>
      <w:r w:rsidR="0084262C">
        <w:rPr>
          <w:rtl/>
          <w:lang w:bidi="fa-IR"/>
        </w:rPr>
        <w:t>-</w:t>
      </w:r>
      <w:r>
        <w:rPr>
          <w:rtl/>
          <w:lang w:bidi="fa-IR"/>
        </w:rPr>
        <w:t xml:space="preserve"> </w:t>
      </w:r>
      <w:r w:rsidRPr="00C9040A">
        <w:rPr>
          <w:rtl/>
          <w:lang w:bidi="fa-IR"/>
        </w:rPr>
        <w:t>ثَلَاثاً</w:t>
      </w:r>
      <w:r>
        <w:rPr>
          <w:rtl/>
          <w:lang w:bidi="fa-IR"/>
        </w:rPr>
        <w:t xml:space="preserve"> </w:t>
      </w:r>
      <w:r w:rsidR="0084262C">
        <w:rPr>
          <w:rtl/>
          <w:lang w:bidi="fa-IR"/>
        </w:rPr>
        <w:t>-</w:t>
      </w:r>
      <w:r>
        <w:rPr>
          <w:rtl/>
          <w:lang w:bidi="fa-IR"/>
        </w:rPr>
        <w:t xml:space="preserve"> </w:t>
      </w:r>
      <w:r w:rsidRPr="00C9040A">
        <w:rPr>
          <w:rtl/>
          <w:lang w:bidi="fa-IR"/>
        </w:rPr>
        <w:t>وَبَقِيَ شَيْ‌ءٌ ، وَبَقِيَ شَيْ‌ءٌ ، وَبَقِيَ شَيْ‌ءٌ »</w:t>
      </w:r>
      <w:r>
        <w:rPr>
          <w:rtl/>
          <w:lang w:bidi="fa-IR"/>
        </w:rPr>
        <w:t>.</w:t>
      </w:r>
      <w:r w:rsidRPr="00C9040A">
        <w:rPr>
          <w:rtl/>
          <w:lang w:bidi="fa-IR"/>
        </w:rPr>
        <w:t xml:space="preserve"> </w:t>
      </w:r>
      <w:r w:rsidR="006C577F" w:rsidRPr="006C577F">
        <w:rPr>
          <w:rStyle w:val="libFootnotenumChar"/>
          <w:rtl/>
        </w:rPr>
        <w:t>(1)</w:t>
      </w:r>
      <w:r w:rsidRPr="00C9040A">
        <w:rPr>
          <w:rtl/>
          <w:lang w:bidi="fa-IR"/>
        </w:rPr>
        <w:t xml:space="preserve"> ‌</w:t>
      </w:r>
    </w:p>
    <w:p w:rsidR="008A74EB" w:rsidRPr="00C9040A" w:rsidRDefault="008A74EB" w:rsidP="008A74EB">
      <w:pPr>
        <w:pStyle w:val="libNormal"/>
        <w:rPr>
          <w:rtl/>
          <w:lang w:bidi="fa-IR"/>
        </w:rPr>
      </w:pPr>
      <w:r w:rsidRPr="00E633F5">
        <w:rPr>
          <w:rtl/>
        </w:rPr>
        <w:t>2119</w:t>
      </w:r>
      <w:r w:rsidRPr="00261CB0">
        <w:rPr>
          <w:rStyle w:val="libBold2Char"/>
          <w:rtl/>
        </w:rPr>
        <w:t xml:space="preserve"> / 5.</w:t>
      </w:r>
      <w:r w:rsidRPr="00C9040A">
        <w:rPr>
          <w:rtl/>
          <w:lang w:bidi="fa-IR"/>
        </w:rPr>
        <w:t xml:space="preserve"> مُحَمَّدُ بْنُ يَحْيى ، عَنِ الْعَمْرَكِيِّ بْنِ عَلِيٍّ ، عَنْ عَلِيِّ بْنِ جَعْفَرٍ :</w:t>
      </w:r>
    </w:p>
    <w:p w:rsidR="008A74EB" w:rsidRPr="00C9040A" w:rsidRDefault="008A74EB" w:rsidP="008A74EB">
      <w:pPr>
        <w:pStyle w:val="libNormal"/>
        <w:rPr>
          <w:rtl/>
          <w:lang w:bidi="fa-IR"/>
        </w:rPr>
      </w:pPr>
      <w:r w:rsidRPr="00C9040A">
        <w:rPr>
          <w:rtl/>
          <w:lang w:bidi="fa-IR"/>
        </w:rPr>
        <w:t xml:space="preserve">عَنْ أَبِي الْحَسَنِ </w:t>
      </w:r>
      <w:r w:rsidRPr="0003660B">
        <w:rPr>
          <w:rStyle w:val="libAlaemChar"/>
          <w:rtl/>
        </w:rPr>
        <w:t>عليه‌السلام</w:t>
      </w:r>
      <w:r w:rsidRPr="00C9040A">
        <w:rPr>
          <w:rtl/>
          <w:lang w:bidi="fa-IR"/>
        </w:rPr>
        <w:t xml:space="preserve"> ، قَالَ : « مَنْ قَبَّلَ لِلرَّحِمِ ذَا قَرَابَةٍ ، فَلَيْسَ عَلَيْهِ شَيْ‌ءٌ </w:t>
      </w:r>
      <w:r w:rsidR="006C577F" w:rsidRPr="006C577F">
        <w:rPr>
          <w:rStyle w:val="libFootnotenumChar"/>
          <w:rtl/>
        </w:rPr>
        <w:t>(2)</w:t>
      </w:r>
      <w:r w:rsidRPr="00C9040A">
        <w:rPr>
          <w:rtl/>
          <w:lang w:bidi="fa-IR"/>
        </w:rPr>
        <w:t xml:space="preserve"> ، وَقُبْلَةُ الْأَخِ </w:t>
      </w:r>
      <w:r w:rsidR="006C577F" w:rsidRPr="006C577F">
        <w:rPr>
          <w:rStyle w:val="libFootnotenumChar"/>
          <w:rtl/>
        </w:rPr>
        <w:t>(3)</w:t>
      </w:r>
      <w:r w:rsidRPr="00C9040A">
        <w:rPr>
          <w:rtl/>
          <w:lang w:bidi="fa-IR"/>
        </w:rPr>
        <w:t xml:space="preserve"> عَلَى الْخَدِّ ، وَقُبْلَةُ الْإِمَامِ </w:t>
      </w:r>
      <w:r w:rsidR="006C577F" w:rsidRPr="006C577F">
        <w:rPr>
          <w:rStyle w:val="libFootnotenumChar"/>
          <w:rtl/>
        </w:rPr>
        <w:t>(4)</w:t>
      </w:r>
      <w:r w:rsidRPr="00C9040A">
        <w:rPr>
          <w:rtl/>
          <w:lang w:bidi="fa-IR"/>
        </w:rPr>
        <w:t xml:space="preserve"> بَيْنَ عَيْنَيْهِ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E633F5">
        <w:rPr>
          <w:rtl/>
        </w:rPr>
        <w:t>2120</w:t>
      </w:r>
      <w:r w:rsidRPr="00261CB0">
        <w:rPr>
          <w:rStyle w:val="libBold2Char"/>
          <w:rtl/>
        </w:rPr>
        <w:t xml:space="preserve"> / 6.</w:t>
      </w:r>
      <w:r w:rsidRPr="00C9040A">
        <w:rPr>
          <w:rtl/>
          <w:lang w:bidi="fa-IR"/>
        </w:rPr>
        <w:t xml:space="preserve"> وَعَنْهُ </w:t>
      </w:r>
      <w:r w:rsidR="006C577F" w:rsidRPr="006C577F">
        <w:rPr>
          <w:rStyle w:val="libFootnotenumChar"/>
          <w:rtl/>
        </w:rPr>
        <w:t>(6)</w:t>
      </w:r>
      <w:r w:rsidRPr="005B567D">
        <w:rPr>
          <w:rStyle w:val="libFootnotenumChar"/>
          <w:rtl/>
        </w:rPr>
        <w:t xml:space="preserve"> </w:t>
      </w:r>
      <w:r w:rsidRPr="00C9040A">
        <w:rPr>
          <w:rtl/>
          <w:lang w:bidi="fa-IR"/>
        </w:rPr>
        <w:t xml:space="preserve">، عَنْ أَحْمَدَ بْنِ مُحَمَّدِ بْنِ خَالِدٍ </w:t>
      </w:r>
      <w:r w:rsidR="006C577F" w:rsidRPr="006C577F">
        <w:rPr>
          <w:rStyle w:val="libFootnotenumChar"/>
          <w:rtl/>
        </w:rPr>
        <w:t>(7)</w:t>
      </w:r>
      <w:r w:rsidRPr="00C9040A">
        <w:rPr>
          <w:rtl/>
          <w:lang w:bidi="fa-IR"/>
        </w:rPr>
        <w:t xml:space="preserve"> ، عَنْ مُحَمَّدِ بْنِ سِنَانٍ ، عَنْ‌</w:t>
      </w:r>
    </w:p>
    <w:p w:rsidR="008A74EB" w:rsidRPr="00C9040A" w:rsidRDefault="008A74EB" w:rsidP="008A74EB">
      <w:pPr>
        <w:pStyle w:val="libLine"/>
        <w:rPr>
          <w:rtl/>
          <w:lang w:bidi="fa-IR"/>
        </w:rPr>
      </w:pPr>
      <w:r w:rsidRPr="00C9040A">
        <w:rPr>
          <w:rtl/>
          <w:lang w:bidi="fa-IR"/>
        </w:rPr>
        <w:t>__________________</w:t>
      </w:r>
    </w:p>
    <w:p w:rsidR="008A74EB" w:rsidRPr="00C9040A" w:rsidRDefault="00755B18" w:rsidP="004A4E41">
      <w:pPr>
        <w:pStyle w:val="libFootnote0"/>
        <w:rPr>
          <w:rtl/>
          <w:lang w:bidi="fa-IR"/>
        </w:rPr>
      </w:pPr>
      <w:r>
        <w:rPr>
          <w:rFonts w:hint="cs"/>
          <w:rtl/>
        </w:rPr>
        <w:t>=</w:t>
      </w:r>
      <w:r w:rsidR="008A74EB" w:rsidRPr="0082575F">
        <w:rPr>
          <w:rtl/>
        </w:rPr>
        <w:t>أي يجوز لي تقبيلها</w:t>
      </w:r>
      <w:r w:rsidR="008A74EB">
        <w:rPr>
          <w:rtl/>
        </w:rPr>
        <w:t>؟</w:t>
      </w:r>
      <w:r w:rsidR="008A74EB" w:rsidRPr="0082575F">
        <w:rPr>
          <w:rtl/>
        </w:rPr>
        <w:t xml:space="preserve"> »</w:t>
      </w:r>
      <w:r w:rsidR="008A74EB">
        <w:rPr>
          <w:rtl/>
        </w:rPr>
        <w:t>.</w:t>
      </w:r>
    </w:p>
    <w:p w:rsidR="008A74EB" w:rsidRDefault="00755B18" w:rsidP="004A4E41">
      <w:pPr>
        <w:pStyle w:val="libFootnote0"/>
        <w:rPr>
          <w:rtl/>
        </w:rPr>
      </w:pPr>
      <w:r>
        <w:rPr>
          <w:rtl/>
        </w:rPr>
        <w:t>واعلم أنّ العل</w:t>
      </w:r>
      <w:r>
        <w:rPr>
          <w:rFonts w:hint="cs"/>
          <w:rtl/>
        </w:rPr>
        <w:t>ّ</w:t>
      </w:r>
      <w:r>
        <w:rPr>
          <w:rtl/>
        </w:rPr>
        <w:t>ا</w:t>
      </w:r>
      <w:r w:rsidR="008A74EB" w:rsidRPr="0082575F">
        <w:rPr>
          <w:rtl/>
        </w:rPr>
        <w:t>مة المازن</w:t>
      </w:r>
      <w:r>
        <w:rPr>
          <w:rtl/>
        </w:rPr>
        <w:t>دراني قال بأوّل الوجوه ، كالعل</w:t>
      </w:r>
      <w:r>
        <w:rPr>
          <w:rFonts w:hint="cs"/>
          <w:rtl/>
        </w:rPr>
        <w:t>ّ</w:t>
      </w:r>
      <w:r>
        <w:rPr>
          <w:rtl/>
        </w:rPr>
        <w:t>ا</w:t>
      </w:r>
      <w:r w:rsidR="008A74EB" w:rsidRPr="0082575F">
        <w:rPr>
          <w:rtl/>
        </w:rPr>
        <w:t>مة الفيض ، واحتمل السادس ونقل الخامس عن خليل الفضلاء.</w:t>
      </w:r>
    </w:p>
    <w:p w:rsidR="008A74EB" w:rsidRPr="00C9040A" w:rsidRDefault="006C577F" w:rsidP="004A4E41">
      <w:pPr>
        <w:pStyle w:val="libFootnote0"/>
        <w:rPr>
          <w:rtl/>
          <w:lang w:bidi="fa-IR"/>
        </w:rPr>
      </w:pPr>
      <w:r>
        <w:rPr>
          <w:rtl/>
        </w:rPr>
        <w:t>(1).</w:t>
      </w:r>
      <w:r w:rsidR="008A74EB">
        <w:rPr>
          <w:rtl/>
        </w:rPr>
        <w:t xml:space="preserve"> </w:t>
      </w:r>
      <w:r w:rsidR="008A74EB" w:rsidRPr="00993B55">
        <w:rPr>
          <w:rStyle w:val="libFootnoteBoldChar"/>
          <w:rtl/>
        </w:rPr>
        <w:t>الوافي</w:t>
      </w:r>
      <w:r w:rsidR="008A74EB" w:rsidRPr="00C9040A">
        <w:rPr>
          <w:rtl/>
        </w:rPr>
        <w:t xml:space="preserve"> ، ج 5 ، ص 617 ، ح 2708 ؛ </w:t>
      </w:r>
      <w:r w:rsidR="008A74EB" w:rsidRPr="00993B55">
        <w:rPr>
          <w:rStyle w:val="libFootnoteBoldChar"/>
          <w:rtl/>
        </w:rPr>
        <w:t>الوسائل</w:t>
      </w:r>
      <w:r w:rsidR="008A74EB" w:rsidRPr="00C9040A">
        <w:rPr>
          <w:rtl/>
        </w:rPr>
        <w:t xml:space="preserve"> ، ج 12 ، ص 234 ، ح 16175 ؛ </w:t>
      </w:r>
      <w:r w:rsidR="008A74EB" w:rsidRPr="00993B55">
        <w:rPr>
          <w:rStyle w:val="libFootnoteBoldChar"/>
          <w:rtl/>
        </w:rPr>
        <w:t>البحار</w:t>
      </w:r>
      <w:r w:rsidR="008A74EB" w:rsidRPr="00C9040A">
        <w:rPr>
          <w:rtl/>
        </w:rPr>
        <w:t xml:space="preserve"> ، ج 76 ، ص 39 ، ح 37.</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w:t>
      </w:r>
      <w:r w:rsidR="008A74EB" w:rsidRPr="00993B55">
        <w:rPr>
          <w:rStyle w:val="libFootnoteBoldChar"/>
          <w:rtl/>
        </w:rPr>
        <w:t>الوافي</w:t>
      </w:r>
      <w:r w:rsidR="008A74EB" w:rsidRPr="00C9040A">
        <w:rPr>
          <w:rtl/>
        </w:rPr>
        <w:t xml:space="preserve"> : « فليس عليه شي‌ء ، أي ذنب وحرج ، يعني إذا كان الباعث على التقبيل المحبّة الطبيعيّة ؛ فأمّا إذا كان‌</w:t>
      </w:r>
      <w:r w:rsidR="00755B18">
        <w:rPr>
          <w:rFonts w:hint="cs"/>
          <w:rtl/>
        </w:rPr>
        <w:t xml:space="preserve"> </w:t>
      </w:r>
      <w:r w:rsidR="008A74EB" w:rsidRPr="00C9040A">
        <w:rPr>
          <w:rtl/>
        </w:rPr>
        <w:t>لله وفي الله فهو مثاب عليه »</w:t>
      </w:r>
      <w:r w:rsidR="008A74EB">
        <w:rPr>
          <w:rtl/>
        </w:rPr>
        <w:t>.</w:t>
      </w:r>
    </w:p>
    <w:p w:rsidR="008A74EB" w:rsidRPr="00C9040A" w:rsidRDefault="006C577F" w:rsidP="00755B18">
      <w:pPr>
        <w:pStyle w:val="libFootnote0"/>
        <w:rPr>
          <w:rtl/>
          <w:lang w:bidi="fa-IR"/>
        </w:rPr>
      </w:pPr>
      <w:r>
        <w:rPr>
          <w:rtl/>
        </w:rPr>
        <w:t>(3).</w:t>
      </w:r>
      <w:r w:rsidR="008A74EB" w:rsidRPr="00C9040A">
        <w:rPr>
          <w:rtl/>
        </w:rPr>
        <w:t xml:space="preserve"> في </w:t>
      </w:r>
      <w:r w:rsidR="008A74EB" w:rsidRPr="00993B55">
        <w:rPr>
          <w:rStyle w:val="libFootnoteBoldChar"/>
          <w:rtl/>
        </w:rPr>
        <w:t>الوافي</w:t>
      </w:r>
      <w:r w:rsidR="008A74EB" w:rsidRPr="00C9040A">
        <w:rPr>
          <w:rtl/>
        </w:rPr>
        <w:t xml:space="preserve"> : « لعلّ المراد بالأخ ، اللأخ في النسب ؛ إذ الأخ في الدين إنّما يقبّل جبهته كما مرّ. ويحتمل الأخ في الدين أو ما يشملهما ، فيكون رخصةً »</w:t>
      </w:r>
      <w:r w:rsidR="008A74EB">
        <w:rPr>
          <w:rtl/>
        </w:rPr>
        <w:t>.</w:t>
      </w:r>
      <w:r w:rsidR="00755B18">
        <w:rPr>
          <w:rFonts w:hint="cs"/>
          <w:rtl/>
        </w:rPr>
        <w:t xml:space="preserve">                </w:t>
      </w:r>
      <w:r>
        <w:rPr>
          <w:rtl/>
        </w:rPr>
        <w:t>(4).</w:t>
      </w:r>
      <w:r w:rsidR="008A74EB" w:rsidRPr="00C9040A">
        <w:rPr>
          <w:rtl/>
        </w:rPr>
        <w:t xml:space="preserve"> في حاشية « ج ، بر » : « الا</w:t>
      </w:r>
      <w:r w:rsidR="00755B18">
        <w:rPr>
          <w:rFonts w:hint="cs"/>
          <w:rtl/>
        </w:rPr>
        <w:t>ُ</w:t>
      </w:r>
      <w:r w:rsidR="008A74EB" w:rsidRPr="00C9040A">
        <w:rPr>
          <w:rtl/>
        </w:rPr>
        <w:t>مّ »</w:t>
      </w:r>
      <w:r w:rsidR="008A74EB">
        <w:rPr>
          <w:rtl/>
        </w:rPr>
        <w:t>.</w:t>
      </w:r>
    </w:p>
    <w:p w:rsidR="008A74EB" w:rsidRPr="00C9040A" w:rsidRDefault="006C577F" w:rsidP="00755B18">
      <w:pPr>
        <w:pStyle w:val="libFootnote0"/>
        <w:rPr>
          <w:rtl/>
          <w:lang w:bidi="fa-IR"/>
        </w:rPr>
      </w:pPr>
      <w:r>
        <w:rPr>
          <w:rtl/>
        </w:rPr>
        <w:t>(5).</w:t>
      </w:r>
      <w:r w:rsidR="008A74EB" w:rsidRPr="00C9040A">
        <w:rPr>
          <w:rtl/>
        </w:rPr>
        <w:t xml:space="preserve"> </w:t>
      </w:r>
      <w:r w:rsidR="008A74EB" w:rsidRPr="00993B55">
        <w:rPr>
          <w:rStyle w:val="libFootnoteBoldChar"/>
          <w:rtl/>
        </w:rPr>
        <w:t>تحف العقول</w:t>
      </w:r>
      <w:r w:rsidR="008A74EB" w:rsidRPr="00C9040A">
        <w:rPr>
          <w:rtl/>
        </w:rPr>
        <w:t xml:space="preserve"> ، ص 450 ، عن الرضا </w:t>
      </w:r>
      <w:r w:rsidR="00117575" w:rsidRPr="00117575">
        <w:rPr>
          <w:rStyle w:val="libFootnoteAlaemChar"/>
          <w:rtl/>
        </w:rPr>
        <w:t>عليه‌السلام</w:t>
      </w:r>
      <w:r w:rsidR="008A74EB" w:rsidRPr="00C9040A">
        <w:rPr>
          <w:rtl/>
        </w:rPr>
        <w:t xml:space="preserve"> ، وتمام الرواية فيه : « قبلة الا</w:t>
      </w:r>
      <w:r w:rsidR="00755B18">
        <w:rPr>
          <w:rFonts w:hint="cs"/>
          <w:rtl/>
        </w:rPr>
        <w:t>ُ</w:t>
      </w:r>
      <w:r w:rsidR="008A74EB" w:rsidRPr="00C9040A">
        <w:rPr>
          <w:rtl/>
        </w:rPr>
        <w:t>مّ على الفم ، وقبلة الا</w:t>
      </w:r>
      <w:r w:rsidR="00755B18">
        <w:rPr>
          <w:rFonts w:hint="cs"/>
          <w:rtl/>
        </w:rPr>
        <w:t>ُ</w:t>
      </w:r>
      <w:r w:rsidR="008A74EB" w:rsidRPr="00C9040A">
        <w:rPr>
          <w:rtl/>
        </w:rPr>
        <w:t xml:space="preserve">خت على الخدّ ، وقبلة الإمام بين عينيه » </w:t>
      </w:r>
      <w:r w:rsidR="00755B18">
        <w:rPr>
          <w:rFonts w:hint="cs"/>
          <w:rtl/>
        </w:rPr>
        <w:t>.</w:t>
      </w:r>
      <w:r w:rsidR="008A74EB" w:rsidRPr="00993B55">
        <w:rPr>
          <w:rStyle w:val="libFootnoteBoldChar"/>
          <w:rtl/>
        </w:rPr>
        <w:t>الوافي</w:t>
      </w:r>
      <w:r w:rsidR="008A74EB" w:rsidRPr="00C9040A">
        <w:rPr>
          <w:rtl/>
        </w:rPr>
        <w:t xml:space="preserve"> ، ج 5 ، ص 616 ، ح 2704 ؛ </w:t>
      </w:r>
      <w:r w:rsidR="008A74EB" w:rsidRPr="00993B55">
        <w:rPr>
          <w:rStyle w:val="libFootnoteBoldChar"/>
          <w:rtl/>
        </w:rPr>
        <w:t>الوسائل</w:t>
      </w:r>
      <w:r w:rsidR="008A74EB" w:rsidRPr="00C9040A">
        <w:rPr>
          <w:rtl/>
        </w:rPr>
        <w:t xml:space="preserve"> ، ج 12 ، ص 233 ، ح 16171 ؛ </w:t>
      </w:r>
      <w:r w:rsidR="008A74EB" w:rsidRPr="00993B55">
        <w:rPr>
          <w:rStyle w:val="libFootnoteBoldChar"/>
          <w:rtl/>
        </w:rPr>
        <w:t>البحار</w:t>
      </w:r>
      <w:r w:rsidR="008A74EB" w:rsidRPr="00C9040A">
        <w:rPr>
          <w:rtl/>
        </w:rPr>
        <w:t xml:space="preserve"> ، ج 76 ، ص 40 ، ح 38.</w:t>
      </w:r>
      <w:r w:rsidR="00755B18">
        <w:rPr>
          <w:rFonts w:hint="cs"/>
          <w:rtl/>
        </w:rPr>
        <w:t xml:space="preserve">        </w:t>
      </w:r>
      <w:r w:rsidR="00411D58">
        <w:rPr>
          <w:rFonts w:hint="cs"/>
          <w:rtl/>
        </w:rPr>
        <w:t xml:space="preserve">  </w:t>
      </w:r>
      <w:r w:rsidR="00755B18">
        <w:rPr>
          <w:rFonts w:hint="cs"/>
          <w:rtl/>
        </w:rPr>
        <w:t xml:space="preserve">     </w:t>
      </w:r>
      <w:r>
        <w:rPr>
          <w:rtl/>
        </w:rPr>
        <w:t>(6).</w:t>
      </w:r>
      <w:r w:rsidR="008A74EB">
        <w:rPr>
          <w:rtl/>
        </w:rPr>
        <w:t xml:space="preserve"> </w:t>
      </w:r>
      <w:r w:rsidR="008A74EB" w:rsidRPr="00C9040A">
        <w:rPr>
          <w:rtl/>
        </w:rPr>
        <w:t>في « ض ، ف » : « عنه » بدون الواو.</w:t>
      </w:r>
    </w:p>
    <w:p w:rsidR="008A74EB" w:rsidRPr="00C9040A" w:rsidRDefault="006C577F" w:rsidP="004A4E41">
      <w:pPr>
        <w:pStyle w:val="libFootnote0"/>
        <w:rPr>
          <w:rtl/>
          <w:lang w:bidi="fa-IR"/>
        </w:rPr>
      </w:pPr>
      <w:r>
        <w:rPr>
          <w:rtl/>
        </w:rPr>
        <w:t>(7).</w:t>
      </w:r>
      <w:r w:rsidR="008A74EB" w:rsidRPr="00C9040A">
        <w:rPr>
          <w:rtl/>
        </w:rPr>
        <w:t xml:space="preserve"> المراد من أحمد بن محمّد بن خالد في هذه الطبقة هو البرقي ، ويروي عنه المصنّف بواسطة واحدة. فعليه ، الظاهر رجوع الضمير الواقع في صدر السند إلى محمّد بن يحيى المذكور في السند السابق ، لكن لم يثبت رواية محمّد بن يحيى ، عن أحمد بن محمّد بن خالد في أسناد </w:t>
      </w:r>
      <w:r w:rsidR="008A74EB" w:rsidRPr="00993B55">
        <w:rPr>
          <w:rStyle w:val="libFootnoteBoldChar"/>
          <w:rtl/>
        </w:rPr>
        <w:t>الكافي</w:t>
      </w:r>
      <w:r w:rsidR="008A74EB" w:rsidRPr="00C9040A">
        <w:rPr>
          <w:rtl/>
        </w:rPr>
        <w:t>. والمراد من أحمد بن محمّد في مشايخ محمّد بن يحيى</w:t>
      </w:r>
      <w:r w:rsidR="008A74EB">
        <w:rPr>
          <w:rtl/>
        </w:rPr>
        <w:t xml:space="preserve"> </w:t>
      </w:r>
      <w:r w:rsidR="0084262C">
        <w:rPr>
          <w:rtl/>
        </w:rPr>
        <w:t>-</w:t>
      </w:r>
      <w:r w:rsidR="008A74EB">
        <w:rPr>
          <w:rtl/>
        </w:rPr>
        <w:t xml:space="preserve"> </w:t>
      </w:r>
      <w:r w:rsidR="008A74EB" w:rsidRPr="00C9040A">
        <w:rPr>
          <w:rtl/>
        </w:rPr>
        <w:t>شيخ المصنّف</w:t>
      </w:r>
      <w:r w:rsidR="008A74EB">
        <w:rPr>
          <w:rtl/>
        </w:rPr>
        <w:t xml:space="preserve"> </w:t>
      </w:r>
      <w:r w:rsidR="0084262C">
        <w:rPr>
          <w:rtl/>
        </w:rPr>
        <w:t>-</w:t>
      </w:r>
      <w:r w:rsidR="008A74EB">
        <w:rPr>
          <w:rtl/>
        </w:rPr>
        <w:t xml:space="preserve"> </w:t>
      </w:r>
      <w:r w:rsidR="008A74EB" w:rsidRPr="00C9040A">
        <w:rPr>
          <w:rtl/>
        </w:rPr>
        <w:t>هو أحمد بن محمّد بن عيسى ؛ فقد روى محمّد بن يحيى عن أحمد بن محمّد بن عيسى قريباً من 680 مورداً ، وقد روى أحمد بن محمّد بن عيسى عن محمّد بن سنان في خمسة وخمسين مورداً منها.</w:t>
      </w:r>
    </w:p>
    <w:p w:rsidR="008A74EB" w:rsidRPr="00C9040A" w:rsidRDefault="008A74EB" w:rsidP="004A4E41">
      <w:pPr>
        <w:pStyle w:val="libFootnote0"/>
        <w:rPr>
          <w:rtl/>
          <w:lang w:bidi="fa-IR"/>
        </w:rPr>
      </w:pPr>
      <w:r w:rsidRPr="00323A39">
        <w:rPr>
          <w:rtl/>
        </w:rPr>
        <w:t xml:space="preserve">والظاهر أنّ المراد من أحمد بن محمّد المتوسّط بين محمّد بن يحيى ومحمّد بن سنان في تسعة وثمانين مورداً من أسناد </w:t>
      </w:r>
      <w:r w:rsidRPr="00993B55">
        <w:rPr>
          <w:rStyle w:val="libFootnoteBoldChar"/>
          <w:rtl/>
        </w:rPr>
        <w:t>الكافي</w:t>
      </w:r>
      <w:r w:rsidRPr="00323A39">
        <w:rPr>
          <w:rtl/>
        </w:rPr>
        <w:t xml:space="preserve"> ، هو أحمد بن محمّد بن عيسى.</w:t>
      </w:r>
    </w:p>
    <w:p w:rsidR="008A74EB" w:rsidRPr="00C9040A" w:rsidRDefault="008A74EB" w:rsidP="004A4E41">
      <w:pPr>
        <w:pStyle w:val="libFootnote0"/>
        <w:rPr>
          <w:rtl/>
          <w:lang w:bidi="fa-IR"/>
        </w:rPr>
      </w:pPr>
      <w:r w:rsidRPr="00323A39">
        <w:rPr>
          <w:rtl/>
        </w:rPr>
        <w:t xml:space="preserve">هذا ، وقد ورد في بعض أسناد </w:t>
      </w:r>
      <w:r w:rsidRPr="00993B55">
        <w:rPr>
          <w:rStyle w:val="libFootnoteBoldChar"/>
          <w:rtl/>
        </w:rPr>
        <w:t>الكافي</w:t>
      </w:r>
      <w:r w:rsidRPr="00323A39">
        <w:rPr>
          <w:rtl/>
        </w:rPr>
        <w:t xml:space="preserve"> ما يوهم خلاف ذلك ؛ فقد وردت في </w:t>
      </w:r>
      <w:r w:rsidRPr="00993B55">
        <w:rPr>
          <w:rStyle w:val="libFootnoteBoldChar"/>
          <w:rtl/>
        </w:rPr>
        <w:t>الكافي</w:t>
      </w:r>
      <w:r w:rsidRPr="00323A39">
        <w:rPr>
          <w:rtl/>
        </w:rPr>
        <w:t xml:space="preserve"> ، ح 3239 ، رواية محمّد بن يحيى ، عن أحمد بن محمّد بن خالد ، عن عيسى بن عبدالله القمّي ، وفي ح 3398 ، رواية محمّد بن يحيى ، عن أحمد بن محمّد بن خالد ، عن عمر بن يزيد ، وفي ح 3839 ، رواية محمّد بن يحيى ، عن أحمد بن محمّد بن </w:t>
      </w:r>
      <w:r w:rsidR="00755B18">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أَبِي </w:t>
      </w:r>
      <w:r w:rsidR="006C577F" w:rsidRPr="006C577F">
        <w:rPr>
          <w:rStyle w:val="libFootnotenumChar"/>
          <w:rtl/>
        </w:rPr>
        <w:t>(1)</w:t>
      </w:r>
      <w:r w:rsidRPr="00C9040A">
        <w:rPr>
          <w:rtl/>
          <w:lang w:bidi="fa-IR"/>
        </w:rPr>
        <w:t xml:space="preserve"> الصَّبَّاحِ مَوْلى آلِ سَامٍ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لَيْسَ </w:t>
      </w:r>
      <w:r w:rsidR="00755B18">
        <w:rPr>
          <w:rtl/>
          <w:lang w:bidi="fa-IR"/>
        </w:rPr>
        <w:t>الْقُبْلَةُ عَلَى الْفَمِ إِل</w:t>
      </w:r>
      <w:r w:rsidR="00755B18">
        <w:rPr>
          <w:rFonts w:hint="cs"/>
          <w:rtl/>
          <w:lang w:bidi="fa-IR"/>
        </w:rPr>
        <w:t>َّ</w:t>
      </w:r>
      <w:r w:rsidR="00755B18">
        <w:rPr>
          <w:rtl/>
          <w:lang w:bidi="fa-IR"/>
        </w:rPr>
        <w:t>ا</w:t>
      </w:r>
      <w:r w:rsidRPr="00C9040A">
        <w:rPr>
          <w:rtl/>
          <w:lang w:bidi="fa-IR"/>
        </w:rPr>
        <w:t xml:space="preserve"> لِلزَّوْجَةِ ، أَوِ </w:t>
      </w:r>
      <w:r w:rsidR="006C577F" w:rsidRPr="006C577F">
        <w:rPr>
          <w:rStyle w:val="libFootnotenumChar"/>
          <w:rtl/>
        </w:rPr>
        <w:t>(2)</w:t>
      </w:r>
      <w:r w:rsidRPr="00C9040A">
        <w:rPr>
          <w:rtl/>
          <w:lang w:bidi="fa-IR"/>
        </w:rPr>
        <w:t xml:space="preserve"> الْوَلَدِ الصَّغِيرِ »</w:t>
      </w:r>
      <w:r>
        <w:rPr>
          <w:rtl/>
          <w:lang w:bidi="fa-IR"/>
        </w:rPr>
        <w:t>.</w:t>
      </w:r>
      <w:r w:rsidR="006C577F" w:rsidRPr="006C577F">
        <w:rPr>
          <w:rStyle w:val="libFootnotenumChar"/>
          <w:rtl/>
        </w:rPr>
        <w:t>(3)</w:t>
      </w:r>
    </w:p>
    <w:p w:rsidR="008A74EB" w:rsidRPr="00C9040A" w:rsidRDefault="008A74EB" w:rsidP="008A74EB">
      <w:pPr>
        <w:pStyle w:val="Heading2Center"/>
        <w:rPr>
          <w:rtl/>
          <w:lang w:bidi="fa-IR"/>
        </w:rPr>
      </w:pPr>
      <w:bookmarkStart w:id="253" w:name="_Toc343795672"/>
      <w:bookmarkStart w:id="254" w:name="_Toc459810796"/>
      <w:bookmarkStart w:id="255" w:name="_Toc35348702"/>
      <w:r w:rsidRPr="00C9040A">
        <w:rPr>
          <w:rtl/>
          <w:lang w:bidi="fa-IR"/>
        </w:rPr>
        <w:t>81</w:t>
      </w:r>
      <w:r>
        <w:rPr>
          <w:rtl/>
          <w:lang w:bidi="fa-IR"/>
        </w:rPr>
        <w:t xml:space="preserve"> </w:t>
      </w:r>
      <w:r w:rsidR="0084262C">
        <w:rPr>
          <w:rtl/>
          <w:lang w:bidi="fa-IR"/>
        </w:rPr>
        <w:t>-</w:t>
      </w:r>
      <w:r>
        <w:rPr>
          <w:rtl/>
          <w:lang w:bidi="fa-IR"/>
        </w:rPr>
        <w:t xml:space="preserve"> </w:t>
      </w:r>
      <w:r w:rsidRPr="00C9040A">
        <w:rPr>
          <w:rtl/>
          <w:lang w:bidi="fa-IR"/>
        </w:rPr>
        <w:t xml:space="preserve">بَابُ تَذَاكُرِ </w:t>
      </w:r>
      <w:r w:rsidR="006C577F" w:rsidRPr="006C577F">
        <w:rPr>
          <w:rStyle w:val="libFootnotenumChar"/>
          <w:rtl/>
        </w:rPr>
        <w:t>(4)</w:t>
      </w:r>
      <w:r>
        <w:rPr>
          <w:rtl/>
        </w:rPr>
        <w:t xml:space="preserve"> </w:t>
      </w:r>
      <w:r w:rsidRPr="00C9040A">
        <w:rPr>
          <w:rtl/>
          <w:lang w:bidi="fa-IR"/>
        </w:rPr>
        <w:t>الْإِخْوَانِ‌</w:t>
      </w:r>
      <w:bookmarkEnd w:id="253"/>
      <w:bookmarkEnd w:id="254"/>
      <w:bookmarkEnd w:id="255"/>
    </w:p>
    <w:p w:rsidR="008A74EB" w:rsidRPr="00C9040A" w:rsidRDefault="008A74EB" w:rsidP="008A74EB">
      <w:pPr>
        <w:pStyle w:val="libNormal"/>
        <w:rPr>
          <w:rtl/>
          <w:lang w:bidi="fa-IR"/>
        </w:rPr>
      </w:pPr>
      <w:r w:rsidRPr="00E633F5">
        <w:rPr>
          <w:rtl/>
        </w:rPr>
        <w:t>2121</w:t>
      </w:r>
      <w:r w:rsidRPr="00261CB0">
        <w:rPr>
          <w:rStyle w:val="libBold2Char"/>
          <w:rtl/>
        </w:rPr>
        <w:t xml:space="preserve"> / 1.</w:t>
      </w:r>
      <w:r w:rsidRPr="00C9040A">
        <w:rPr>
          <w:rtl/>
          <w:lang w:bidi="fa-IR"/>
        </w:rPr>
        <w:t xml:space="preserve"> عِدَّةٌ مِنْ أَصْحَابِنَا ، عَنْ أَحْمَدَ بْنِ مُحَمَّدِ بْنِ خَالِدٍ ، عَنْ أَبِيهِ ، عَنْ فَضَالَةَ بْنِ‌</w:t>
      </w:r>
    </w:p>
    <w:p w:rsidR="008A74EB" w:rsidRPr="00C9040A" w:rsidRDefault="008A74EB" w:rsidP="008A74EB">
      <w:pPr>
        <w:pStyle w:val="libLine"/>
        <w:rPr>
          <w:rtl/>
          <w:lang w:bidi="fa-IR"/>
        </w:rPr>
      </w:pPr>
      <w:r w:rsidRPr="00C9040A">
        <w:rPr>
          <w:rtl/>
          <w:lang w:bidi="fa-IR"/>
        </w:rPr>
        <w:t>__________________</w:t>
      </w:r>
    </w:p>
    <w:p w:rsidR="008A74EB" w:rsidRPr="00C9040A" w:rsidRDefault="00755B18" w:rsidP="004A4E41">
      <w:pPr>
        <w:pStyle w:val="libFootnote0"/>
        <w:rPr>
          <w:rtl/>
          <w:lang w:bidi="fa-IR"/>
        </w:rPr>
      </w:pPr>
      <w:r>
        <w:rPr>
          <w:rFonts w:hint="cs"/>
          <w:rtl/>
        </w:rPr>
        <w:t xml:space="preserve">= </w:t>
      </w:r>
      <w:r w:rsidR="008A74EB" w:rsidRPr="0082575F">
        <w:rPr>
          <w:rtl/>
        </w:rPr>
        <w:t>خالد والحسين بن سعيد ، وفي ح 4066 ، رواية محمّد بن يحيى ، عن أحمد بن محمّد بن خالد ، عن الحسين بن سعيد ، وفي ح 10624 ، رواية محمّد بن يحيى ، عن أحمد بن محمّد بن خالد ، عن سعد بن سعد الأشعري ، وفي ح 12372 ، رواية محمّد بن يحيى ، عن أحمد بن محمّد بن خالد ، عن ابن بكير. لكن يأتي أنّ هذه الأسناد الستّة كلّها مختلّة ونبيّن وجه الاختلال في مواضعها ، إن شاء الله.</w:t>
      </w:r>
    </w:p>
    <w:p w:rsidR="008A74EB" w:rsidRPr="00C9040A" w:rsidRDefault="008A74EB" w:rsidP="004A4E41">
      <w:pPr>
        <w:pStyle w:val="libFootnote0"/>
        <w:rPr>
          <w:rtl/>
          <w:lang w:bidi="fa-IR"/>
        </w:rPr>
      </w:pPr>
      <w:r w:rsidRPr="00323A39">
        <w:rPr>
          <w:rtl/>
        </w:rPr>
        <w:t>إذا تبيّن ذلك فنقول : الظاهر في سندنا هذا إمّا زيادة « بن خالد » وأنّه زيادة تفسيريّة ا</w:t>
      </w:r>
      <w:r w:rsidR="00BA31A8">
        <w:rPr>
          <w:rFonts w:hint="cs"/>
          <w:rtl/>
        </w:rPr>
        <w:t>ُ</w:t>
      </w:r>
      <w:r w:rsidRPr="00323A39">
        <w:rPr>
          <w:rtl/>
        </w:rPr>
        <w:t xml:space="preserve">درجت في المتن سهواً ، ويؤيّد هذا الاحتمال خلوّ نسخة « ص » من هذه العبارة ؛ أو أنّ الأصل في السند كان هكذا « أحمد بن محمّد ، عن محمّد بن خالد » لكن جواز النظر من « محمّد » الأوّل إلى « محمّد » الثاني أوجب السقط في السند. ويؤيّد هذا الاحتمال ما ورد في </w:t>
      </w:r>
      <w:r w:rsidRPr="00993B55">
        <w:rPr>
          <w:rStyle w:val="libFootnoteBoldChar"/>
          <w:rtl/>
        </w:rPr>
        <w:t>الكافي</w:t>
      </w:r>
      <w:r w:rsidRPr="00323A39">
        <w:rPr>
          <w:rtl/>
        </w:rPr>
        <w:t xml:space="preserve"> ، ح 3813 ، من رواية محمّد بن يحيى ، عن أحمد بن محمّد عن البرقي المراد به محمّد بن خالد عن ابن سنان المراد به محمّد بن سنان ؛ وما ورد في </w:t>
      </w:r>
      <w:r w:rsidRPr="00993B55">
        <w:rPr>
          <w:rStyle w:val="libFootnoteBoldChar"/>
          <w:rtl/>
        </w:rPr>
        <w:t>الكافي</w:t>
      </w:r>
      <w:r w:rsidRPr="00323A39">
        <w:rPr>
          <w:rtl/>
        </w:rPr>
        <w:t xml:space="preserve"> ، ح 15252 ، من رواية على بن إبراهيم ، عن أحمد بن محمّد ، عن محمّد بن خالد عن محمّد بن سنان ؛ والله هو العالم.</w:t>
      </w:r>
    </w:p>
    <w:p w:rsidR="008A74EB" w:rsidRDefault="008A74EB" w:rsidP="004A4E41">
      <w:pPr>
        <w:pStyle w:val="libFootnote0"/>
        <w:rPr>
          <w:rtl/>
        </w:rPr>
      </w:pPr>
      <w:r w:rsidRPr="00323A39">
        <w:rPr>
          <w:rtl/>
        </w:rPr>
        <w:t xml:space="preserve">أضعف إلى ذلك ، أنّه لم يرد في شي‌ءٍ من أسناد </w:t>
      </w:r>
      <w:r w:rsidRPr="00993B55">
        <w:rPr>
          <w:rStyle w:val="libFootnoteBoldChar"/>
          <w:rtl/>
        </w:rPr>
        <w:t>الكافي</w:t>
      </w:r>
      <w:r w:rsidRPr="00323A39">
        <w:rPr>
          <w:rtl/>
        </w:rPr>
        <w:t xml:space="preserve"> في رواية محمّد بن يحيى ، عن أحمد بن أبي عبدالله » وهو عنوان آخر لأحمد بن محمّد بن خالد.</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ب ، ج ، د ، ص ، ف ، بر ، بس ، بف » </w:t>
      </w:r>
      <w:r w:rsidR="008A74EB">
        <w:rPr>
          <w:rtl/>
        </w:rPr>
        <w:t xml:space="preserve">: </w:t>
      </w:r>
      <w:r w:rsidR="0084262C">
        <w:rPr>
          <w:rtl/>
        </w:rPr>
        <w:t>-</w:t>
      </w:r>
      <w:r w:rsidR="008A74EB" w:rsidRPr="00C9040A">
        <w:rPr>
          <w:rtl/>
        </w:rPr>
        <w:t xml:space="preserve"> « أبي »</w:t>
      </w:r>
      <w:r w:rsidR="008A74EB">
        <w:rPr>
          <w:rtl/>
        </w:rPr>
        <w:t>.</w:t>
      </w:r>
    </w:p>
    <w:p w:rsidR="008A74EB" w:rsidRPr="00C9040A" w:rsidRDefault="008A74EB" w:rsidP="004A4E41">
      <w:pPr>
        <w:pStyle w:val="libFootnote0"/>
        <w:rPr>
          <w:rtl/>
          <w:lang w:bidi="fa-IR"/>
        </w:rPr>
      </w:pPr>
      <w:r w:rsidRPr="00323A39">
        <w:rPr>
          <w:rtl/>
        </w:rPr>
        <w:t xml:space="preserve">والظاهر أنّ أبا الصبّاح هذا ، هو صبيح أبو الصبّاح مولى بسّام بن عبد الله الصيرفي المذكور في </w:t>
      </w:r>
      <w:r w:rsidRPr="00993B55">
        <w:rPr>
          <w:rStyle w:val="libFootnoteBoldChar"/>
          <w:rtl/>
        </w:rPr>
        <w:t>رجال النجاشي</w:t>
      </w:r>
      <w:r w:rsidRPr="00323A39">
        <w:rPr>
          <w:rtl/>
        </w:rPr>
        <w:t xml:space="preserve"> ، ص 202 ، الرقم 540 ، و</w:t>
      </w:r>
      <w:r w:rsidRPr="00993B55">
        <w:rPr>
          <w:rStyle w:val="libFootnoteBoldChar"/>
          <w:rtl/>
        </w:rPr>
        <w:t>رجال الطوسي</w:t>
      </w:r>
      <w:r w:rsidRPr="00323A39">
        <w:rPr>
          <w:rtl/>
        </w:rPr>
        <w:t xml:space="preserve"> ، ص 226 ، الرقم 3051. وبسّام بن عبد الله الصيرفي مذكور في </w:t>
      </w:r>
      <w:r w:rsidRPr="00993B55">
        <w:rPr>
          <w:rStyle w:val="libFootnoteBoldChar"/>
          <w:rtl/>
        </w:rPr>
        <w:t>رجال النجاشي</w:t>
      </w:r>
      <w:r w:rsidRPr="00323A39">
        <w:rPr>
          <w:rtl/>
        </w:rPr>
        <w:t xml:space="preserve"> ، ص 112 ، الرقم 288 ؛ و</w:t>
      </w:r>
      <w:r w:rsidRPr="00993B55">
        <w:rPr>
          <w:rStyle w:val="libFootnoteBoldChar"/>
          <w:rtl/>
        </w:rPr>
        <w:t>رجال الطوسي</w:t>
      </w:r>
      <w:r w:rsidRPr="00323A39">
        <w:rPr>
          <w:rtl/>
        </w:rPr>
        <w:t xml:space="preserve"> ، ص 128 ، الرقم 1300 ، وص 173 ، الرقم 2033 ، كما ذكر بسّام الصيرفي ، في </w:t>
      </w:r>
      <w:r w:rsidRPr="00993B55">
        <w:rPr>
          <w:rStyle w:val="libFootnoteBoldChar"/>
          <w:rtl/>
        </w:rPr>
        <w:t>رجال البرقي</w:t>
      </w:r>
      <w:r w:rsidRPr="00323A39">
        <w:rPr>
          <w:rtl/>
        </w:rPr>
        <w:t xml:space="preserve"> ، ص 15.</w:t>
      </w:r>
    </w:p>
    <w:p w:rsidR="008A74EB" w:rsidRPr="00C9040A" w:rsidRDefault="008A74EB" w:rsidP="004A4E41">
      <w:pPr>
        <w:pStyle w:val="libFootnote0"/>
        <w:rPr>
          <w:rtl/>
          <w:lang w:bidi="fa-IR"/>
        </w:rPr>
      </w:pPr>
      <w:r w:rsidRPr="00323A39">
        <w:rPr>
          <w:rtl/>
        </w:rPr>
        <w:t xml:space="preserve">فعليه ، الظاهر وقوع التحريف في ما نحن فيه ، وكذا ما ورد في </w:t>
      </w:r>
      <w:r w:rsidRPr="00993B55">
        <w:rPr>
          <w:rStyle w:val="libFootnoteBoldChar"/>
          <w:rtl/>
        </w:rPr>
        <w:t>رجال البرقي</w:t>
      </w:r>
      <w:r w:rsidRPr="00323A39">
        <w:rPr>
          <w:rtl/>
        </w:rPr>
        <w:t xml:space="preserve"> ، ص 38 ؛ من أبي الصبّاح العبدي مولى سام ، وما ورد في </w:t>
      </w:r>
      <w:r w:rsidRPr="0034021D">
        <w:rPr>
          <w:rStyle w:val="libFootnoteBoldChar"/>
          <w:rtl/>
        </w:rPr>
        <w:t>الفهرست للطوسي</w:t>
      </w:r>
      <w:r w:rsidRPr="00323A39">
        <w:rPr>
          <w:rtl/>
        </w:rPr>
        <w:t xml:space="preserve"> ، ص 541 ، 899 من أبي الصبّاح مولى آل سام.</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الوافي والوسائل والبحار وتحف العقول : « </w:t>
      </w:r>
      <w:r w:rsidR="008A74EB">
        <w:rPr>
          <w:rtl/>
        </w:rPr>
        <w:t>و ».</w:t>
      </w:r>
    </w:p>
    <w:p w:rsidR="008A74EB" w:rsidRPr="00C9040A" w:rsidRDefault="006C577F" w:rsidP="00BA31A8">
      <w:pPr>
        <w:pStyle w:val="libFootnote0"/>
        <w:rPr>
          <w:rtl/>
          <w:lang w:bidi="fa-IR"/>
        </w:rPr>
      </w:pPr>
      <w:r>
        <w:rPr>
          <w:rtl/>
        </w:rPr>
        <w:t>(3).</w:t>
      </w:r>
      <w:r w:rsidR="008A74EB" w:rsidRPr="00C9040A">
        <w:rPr>
          <w:rtl/>
        </w:rPr>
        <w:t xml:space="preserve"> </w:t>
      </w:r>
      <w:r w:rsidR="008A74EB" w:rsidRPr="00993B55">
        <w:rPr>
          <w:rStyle w:val="libFootnoteBoldChar"/>
          <w:rtl/>
        </w:rPr>
        <w:t>تحف العقول</w:t>
      </w:r>
      <w:r w:rsidR="008A74EB" w:rsidRPr="00C9040A">
        <w:rPr>
          <w:rtl/>
        </w:rPr>
        <w:t xml:space="preserve"> ، ص 409 ، عن الكاظم </w:t>
      </w:r>
      <w:r w:rsidR="00117575" w:rsidRPr="00117575">
        <w:rPr>
          <w:rStyle w:val="libFootnoteAlaemChar"/>
          <w:rtl/>
        </w:rPr>
        <w:t xml:space="preserve">عليه‌السلام </w:t>
      </w:r>
      <w:r w:rsidR="00BA31A8">
        <w:rPr>
          <w:rFonts w:hint="cs"/>
          <w:rtl/>
        </w:rPr>
        <w:t>.</w:t>
      </w:r>
      <w:r w:rsidR="008A74EB" w:rsidRPr="00993B55">
        <w:rPr>
          <w:rStyle w:val="libFootnoteBoldChar"/>
          <w:rtl/>
        </w:rPr>
        <w:t>الوافي</w:t>
      </w:r>
      <w:r w:rsidR="008A74EB" w:rsidRPr="00C9040A">
        <w:rPr>
          <w:rtl/>
        </w:rPr>
        <w:t xml:space="preserve"> ، ج 5 ، ص 616 ، ح 2705 ؛ </w:t>
      </w:r>
      <w:r w:rsidR="008A74EB" w:rsidRPr="00993B55">
        <w:rPr>
          <w:rStyle w:val="libFootnoteBoldChar"/>
          <w:rtl/>
        </w:rPr>
        <w:t>الوسائل</w:t>
      </w:r>
      <w:r w:rsidR="008A74EB" w:rsidRPr="00C9040A">
        <w:rPr>
          <w:rtl/>
        </w:rPr>
        <w:t xml:space="preserve"> ، ج 12 ، ص 234 ، ح 16172 ؛ </w:t>
      </w:r>
      <w:r w:rsidR="008A74EB" w:rsidRPr="00993B55">
        <w:rPr>
          <w:rStyle w:val="libFootnoteBoldChar"/>
          <w:rtl/>
        </w:rPr>
        <w:t>البحار</w:t>
      </w:r>
      <w:r w:rsidR="008A74EB" w:rsidRPr="00C9040A">
        <w:rPr>
          <w:rtl/>
        </w:rPr>
        <w:t xml:space="preserve"> ، ج 76 ، ص 41 ، ح 39.</w:t>
      </w:r>
      <w:r w:rsidR="00BA31A8">
        <w:rPr>
          <w:rFonts w:hint="cs"/>
          <w:rtl/>
        </w:rPr>
        <w:t xml:space="preserve">                </w:t>
      </w:r>
      <w:r>
        <w:rPr>
          <w:rtl/>
        </w:rPr>
        <w:t>(4).</w:t>
      </w:r>
      <w:r w:rsidR="008A74EB" w:rsidRPr="00C9040A">
        <w:rPr>
          <w:rtl/>
        </w:rPr>
        <w:t xml:space="preserve"> في « د ، ز » : « تذكّر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أَيُّوبَ ، عَنْ عَلِيِّ بْنِ أَبِي حَمْزَةَ ، قَالَ :</w:t>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 « شِيعَتُنَا الرُّحَمَاءُ بَيْنَهُمُ ، الَّذِينَ إِذَا خَلَوْا ذَكَرُوا اللهَ ، إِنَّ ذِكْرَنَا مِنْ ذِكْرِ اللهِ </w:t>
      </w:r>
      <w:r w:rsidR="006C577F" w:rsidRPr="006C577F">
        <w:rPr>
          <w:rStyle w:val="libFootnotenumChar"/>
          <w:rtl/>
        </w:rPr>
        <w:t>(1)</w:t>
      </w:r>
      <w:r w:rsidRPr="00C9040A">
        <w:rPr>
          <w:rtl/>
          <w:lang w:bidi="fa-IR"/>
        </w:rPr>
        <w:t xml:space="preserve"> ، إِنَّا </w:t>
      </w:r>
      <w:r w:rsidR="006C577F" w:rsidRPr="006C577F">
        <w:rPr>
          <w:rStyle w:val="libFootnotenumChar"/>
          <w:rtl/>
        </w:rPr>
        <w:t>(2)</w:t>
      </w:r>
      <w:r w:rsidRPr="00C9040A">
        <w:rPr>
          <w:rtl/>
          <w:lang w:bidi="fa-IR"/>
        </w:rPr>
        <w:t xml:space="preserve"> إِذَا ذُكِرْنَا ذُكِرَ اللهُ ، وَإِذَا ذُكِرَ عَدُوُّنَا ذُكِرَ الشَّيْطَانُ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E633F5">
        <w:rPr>
          <w:rtl/>
        </w:rPr>
        <w:t>2122</w:t>
      </w:r>
      <w:r w:rsidRPr="00261CB0">
        <w:rPr>
          <w:rStyle w:val="libBold2Char"/>
          <w:rtl/>
        </w:rPr>
        <w:t xml:space="preserve"> / 2.</w:t>
      </w:r>
      <w:r w:rsidRPr="00C9040A">
        <w:rPr>
          <w:rtl/>
          <w:lang w:bidi="fa-IR"/>
        </w:rPr>
        <w:t xml:space="preserve"> مُحَمَّدُ بْنُ يَحْيى ، عَنْ مُحَمَّدِ بْنِ الْحُسَيْنِ ، عَنْ مُحَمَّدِ بْنِ إِسْمَاعِيلَ بْنِ بَزِيعٍ ، عَنْ صَالِحِ بْنِ عُقْبَةَ ، عَنْ يَزِيدَ بْنِ عَبْدِ الْمَلِكِ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تَزَاوَرُوا ؛ فَإِنَّ فِي </w:t>
      </w:r>
      <w:r w:rsidR="006C577F" w:rsidRPr="006C577F">
        <w:rPr>
          <w:rStyle w:val="libFootnotenumChar"/>
          <w:rtl/>
        </w:rPr>
        <w:t>(4)</w:t>
      </w:r>
      <w:r w:rsidRPr="00C9040A">
        <w:rPr>
          <w:rtl/>
          <w:lang w:bidi="fa-IR"/>
        </w:rPr>
        <w:t xml:space="preserve"> زِيَارَتِكُمْ إِحْيَاءً لِقُلُوبِكُمْ ، وَذِكْراً لِأَحَادِيثِنَا ؛ وَأَحَادِيثُنَا تُعَطِّفُ </w:t>
      </w:r>
      <w:r w:rsidR="006C577F" w:rsidRPr="006C577F">
        <w:rPr>
          <w:rStyle w:val="libFootnotenumChar"/>
          <w:rtl/>
        </w:rPr>
        <w:t>(5)</w:t>
      </w:r>
      <w:r w:rsidRPr="00C9040A">
        <w:rPr>
          <w:rtl/>
          <w:lang w:bidi="fa-IR"/>
        </w:rPr>
        <w:t xml:space="preserve"> بَعْضَكُمْ عَلى بَعْضٍ ، فَإِنْ أَخَذْتُمْ بِهَا رَشَدْتُمْ </w:t>
      </w:r>
      <w:r w:rsidR="006C577F" w:rsidRPr="006C577F">
        <w:rPr>
          <w:rStyle w:val="libFootnotenumChar"/>
          <w:rtl/>
        </w:rPr>
        <w:t>(6)</w:t>
      </w:r>
      <w:r w:rsidRPr="005B567D">
        <w:rPr>
          <w:rStyle w:val="libFootnotenumChar"/>
          <w:rtl/>
        </w:rPr>
        <w:t xml:space="preserve"> </w:t>
      </w:r>
      <w:r w:rsidRPr="00C9040A">
        <w:rPr>
          <w:rtl/>
          <w:lang w:bidi="fa-IR"/>
        </w:rPr>
        <w:t xml:space="preserve">وَنَجَوْتُمْ ، وَإِنْ تَرَكْتُمُوهَا ضَلَلْتُمْ وَهَلَكْتُمْ ، فَخُذُوا بِهَا ، وَأَنَا </w:t>
      </w:r>
      <w:r w:rsidR="006C577F" w:rsidRPr="006C577F">
        <w:rPr>
          <w:rStyle w:val="libFootnotenumChar"/>
          <w:rtl/>
        </w:rPr>
        <w:t>(7)</w:t>
      </w:r>
      <w:r w:rsidRPr="00C9040A">
        <w:rPr>
          <w:rtl/>
          <w:lang w:bidi="fa-IR"/>
        </w:rPr>
        <w:t xml:space="preserve"> بِنَجَاتِكُمْ زَعِيمٌ </w:t>
      </w:r>
      <w:r w:rsidR="006C577F" w:rsidRPr="006C577F">
        <w:rPr>
          <w:rStyle w:val="libFootnotenumChar"/>
          <w:rtl/>
        </w:rPr>
        <w:t>(8)</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(9)</w:t>
      </w:r>
      <w:r w:rsidRPr="00C9040A">
        <w:rPr>
          <w:rtl/>
          <w:lang w:bidi="fa-IR"/>
        </w:rPr>
        <w:t xml:space="preserve"> ‌</w:t>
      </w:r>
    </w:p>
    <w:p w:rsidR="008A74EB" w:rsidRPr="00C9040A" w:rsidRDefault="008A74EB" w:rsidP="008A74EB">
      <w:pPr>
        <w:pStyle w:val="libNormal"/>
        <w:rPr>
          <w:rtl/>
          <w:lang w:bidi="fa-IR"/>
        </w:rPr>
      </w:pPr>
      <w:r w:rsidRPr="00E633F5">
        <w:rPr>
          <w:rtl/>
        </w:rPr>
        <w:t>2123</w:t>
      </w:r>
      <w:r w:rsidRPr="00261CB0">
        <w:rPr>
          <w:rStyle w:val="libBold2Char"/>
          <w:rtl/>
        </w:rPr>
        <w:t xml:space="preserve"> / 3.</w:t>
      </w:r>
      <w:r w:rsidRPr="00C9040A">
        <w:rPr>
          <w:rtl/>
          <w:lang w:bidi="fa-IR"/>
        </w:rPr>
        <w:t xml:space="preserve"> عِدَّةٌ مِنْ أَصْحَابِنَا ، عَنْ سَهْلِ بْنِ زِيَادٍ ، عَنِ الْوَشَّاءِ ، عَنْ مَنْصُورِ بْنِ يُونُسَ ، عَنْ عَبَّادِ بْنِ كَثِيرٍ ، قَالَ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ح ، د ، ز ، ف ، بس ، بف » والوسائل والبحار </w:t>
      </w:r>
      <w:r w:rsidR="008A74EB">
        <w:rPr>
          <w:rtl/>
        </w:rPr>
        <w:t xml:space="preserve">: </w:t>
      </w:r>
      <w:r w:rsidR="0084262C">
        <w:rPr>
          <w:rtl/>
        </w:rPr>
        <w:t>-</w:t>
      </w:r>
      <w:r w:rsidR="008A74EB" w:rsidRPr="00C9040A">
        <w:rPr>
          <w:rtl/>
        </w:rPr>
        <w:t xml:space="preserve"> « إنّ ذكرنا من ذكر الله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ض » </w:t>
      </w:r>
      <w:r w:rsidR="008A74EB">
        <w:rPr>
          <w:rtl/>
        </w:rPr>
        <w:t xml:space="preserve">: </w:t>
      </w:r>
      <w:r w:rsidR="0084262C">
        <w:rPr>
          <w:rtl/>
        </w:rPr>
        <w:t>-</w:t>
      </w:r>
      <w:r w:rsidR="008A74EB" w:rsidRPr="00C9040A">
        <w:rPr>
          <w:rtl/>
        </w:rPr>
        <w:t xml:space="preserve"> « إنّا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w:t>
      </w:r>
      <w:r w:rsidR="008A74EB" w:rsidRPr="00993B55">
        <w:rPr>
          <w:rStyle w:val="libFootnoteBoldChar"/>
          <w:rtl/>
        </w:rPr>
        <w:t>الكافي</w:t>
      </w:r>
      <w:r w:rsidR="008A74EB" w:rsidRPr="00C9040A">
        <w:rPr>
          <w:rtl/>
        </w:rPr>
        <w:t xml:space="preserve"> ، كتاب الدعاء ، باب ذكر الله عزّ وجلّ كثيراً ، ح 3199 ، بسند آخر ، وتمام الرواية فيه : « شيعتنا الذين إذا خلوا ذكروا الله كثيراً » ؛ </w:t>
      </w:r>
      <w:r w:rsidR="008A74EB" w:rsidRPr="00993B55">
        <w:rPr>
          <w:rStyle w:val="libFootnoteBoldChar"/>
          <w:rtl/>
        </w:rPr>
        <w:t>وفيه</w:t>
      </w:r>
      <w:r w:rsidR="008A74EB" w:rsidRPr="00C9040A">
        <w:rPr>
          <w:rtl/>
        </w:rPr>
        <w:t xml:space="preserve"> ، باب ما يجب من ذكر الله عزّ وجلّ في كلّ مجلس ، ح 3186 ، بسند آخر ، وتمام الرواية فيه : « إنّ ذكرنا من ذكر الله وذكر عدوّنا من ذكر الشيطان » </w:t>
      </w:r>
      <w:r w:rsidR="00033672">
        <w:rPr>
          <w:rFonts w:hint="cs"/>
          <w:rtl/>
        </w:rPr>
        <w:t>.</w:t>
      </w:r>
      <w:r w:rsidR="008A74EB" w:rsidRPr="00993B55">
        <w:rPr>
          <w:rStyle w:val="libFootnoteBoldChar"/>
          <w:rtl/>
        </w:rPr>
        <w:t>الوافي</w:t>
      </w:r>
      <w:r w:rsidR="008A74EB" w:rsidRPr="00C9040A">
        <w:rPr>
          <w:rtl/>
        </w:rPr>
        <w:t xml:space="preserve"> ، ج 5 ، ص 649 ، ح 2789 ؛ </w:t>
      </w:r>
      <w:r w:rsidR="008A74EB" w:rsidRPr="00993B55">
        <w:rPr>
          <w:rStyle w:val="libFootnoteBoldChar"/>
          <w:rtl/>
        </w:rPr>
        <w:t>الوسائل</w:t>
      </w:r>
      <w:r w:rsidR="008A74EB" w:rsidRPr="00C9040A">
        <w:rPr>
          <w:rtl/>
        </w:rPr>
        <w:t xml:space="preserve"> ، ج 16 ، ص 345 ، ح 21722 ؛ </w:t>
      </w:r>
      <w:r w:rsidR="008A74EB" w:rsidRPr="00993B55">
        <w:rPr>
          <w:rStyle w:val="libFootnoteBoldChar"/>
          <w:rtl/>
        </w:rPr>
        <w:t>البحار</w:t>
      </w:r>
      <w:r w:rsidR="008A74EB" w:rsidRPr="00C9040A">
        <w:rPr>
          <w:rtl/>
        </w:rPr>
        <w:t xml:space="preserve"> ، ج 74 ، ص 258 ، ح 55.</w:t>
      </w:r>
    </w:p>
    <w:p w:rsidR="008A74EB" w:rsidRPr="00C9040A" w:rsidRDefault="006C577F" w:rsidP="004A4E41">
      <w:pPr>
        <w:pStyle w:val="libFootnote0"/>
        <w:rPr>
          <w:rtl/>
          <w:lang w:bidi="fa-IR"/>
        </w:rPr>
      </w:pPr>
      <w:r>
        <w:rPr>
          <w:rtl/>
        </w:rPr>
        <w:t>(4).</w:t>
      </w:r>
      <w:r w:rsidR="008A74EB" w:rsidRPr="00C9040A">
        <w:rPr>
          <w:rtl/>
        </w:rPr>
        <w:t xml:space="preserve"> في « ض » </w:t>
      </w:r>
      <w:r w:rsidR="008A74EB">
        <w:rPr>
          <w:rtl/>
        </w:rPr>
        <w:t xml:space="preserve">: </w:t>
      </w:r>
      <w:r w:rsidR="0084262C">
        <w:rPr>
          <w:rtl/>
        </w:rPr>
        <w:t>-</w:t>
      </w:r>
      <w:r w:rsidR="008A74EB" w:rsidRPr="00C9040A">
        <w:rPr>
          <w:rtl/>
        </w:rPr>
        <w:t xml:space="preserve"> « في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يجوز فيه الثلاثيّ المجرّد أيضاً. وعطفت عليه وتعطّف ، أي أشفقت. وعطف الناقة على ولدها : حنّت عليه‌ودرّ لبنُها. </w:t>
      </w:r>
      <w:r w:rsidR="008A74EB" w:rsidRPr="00993B55">
        <w:rPr>
          <w:rStyle w:val="libFootnoteBoldChar"/>
          <w:rtl/>
        </w:rPr>
        <w:t>الصحاح</w:t>
      </w:r>
      <w:r w:rsidR="008A74EB" w:rsidRPr="00C9040A">
        <w:rPr>
          <w:rtl/>
        </w:rPr>
        <w:t xml:space="preserve"> ، ج 4 ، ص 1405 ؛ </w:t>
      </w:r>
      <w:r w:rsidR="008A74EB" w:rsidRPr="00993B55">
        <w:rPr>
          <w:rStyle w:val="libFootnoteBoldChar"/>
          <w:rtl/>
        </w:rPr>
        <w:t>المصباح المنير</w:t>
      </w:r>
      <w:r w:rsidR="008A74EB" w:rsidRPr="00C9040A">
        <w:rPr>
          <w:rtl/>
        </w:rPr>
        <w:t xml:space="preserve"> ، ص 416 ( عطف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 الرشد » : الصلاح ، وهو خلاف الغيّ والضلال ، وهو إصابة الصواب. </w:t>
      </w:r>
      <w:r w:rsidR="008A74EB" w:rsidRPr="00993B55">
        <w:rPr>
          <w:rStyle w:val="libFootnoteBoldChar"/>
          <w:rtl/>
        </w:rPr>
        <w:t>المصباح المنير</w:t>
      </w:r>
      <w:r w:rsidR="00033672">
        <w:rPr>
          <w:rtl/>
        </w:rPr>
        <w:t xml:space="preserve"> ، ص 227 (</w:t>
      </w:r>
      <w:r w:rsidR="008A74EB" w:rsidRPr="00C9040A">
        <w:rPr>
          <w:rtl/>
        </w:rPr>
        <w:t>رشد)</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ض » : « فأنا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زعمت بالمال زَعْماً : كَفَلْت به. والزَّعَم والزَّعامة اسم منه ، فأنا زعيم به. </w:t>
      </w:r>
      <w:r w:rsidR="008A74EB" w:rsidRPr="00993B55">
        <w:rPr>
          <w:rStyle w:val="libFootnoteBoldChar"/>
          <w:rtl/>
        </w:rPr>
        <w:t>المصباح المنير</w:t>
      </w:r>
      <w:r w:rsidR="008A74EB" w:rsidRPr="00C9040A">
        <w:rPr>
          <w:rtl/>
        </w:rPr>
        <w:t xml:space="preserve"> ، ص 253 ( زعم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w:t>
      </w:r>
      <w:r w:rsidR="008A74EB" w:rsidRPr="00993B55">
        <w:rPr>
          <w:rStyle w:val="libFootnoteBoldChar"/>
          <w:rtl/>
        </w:rPr>
        <w:t>الوافي</w:t>
      </w:r>
      <w:r w:rsidR="008A74EB" w:rsidRPr="00C9040A">
        <w:rPr>
          <w:rtl/>
        </w:rPr>
        <w:t xml:space="preserve"> ، ج 5 ، ص 649 ، ح 2788 ؛ </w:t>
      </w:r>
      <w:r w:rsidR="008A74EB" w:rsidRPr="00993B55">
        <w:rPr>
          <w:rStyle w:val="libFootnoteBoldChar"/>
          <w:rtl/>
        </w:rPr>
        <w:t>الوسائل</w:t>
      </w:r>
      <w:r w:rsidR="008A74EB" w:rsidRPr="00C9040A">
        <w:rPr>
          <w:rtl/>
        </w:rPr>
        <w:t xml:space="preserve"> ، ج 16 ، ص 346 ، ح 21724 ؛ </w:t>
      </w:r>
      <w:r w:rsidR="008A74EB" w:rsidRPr="00993B55">
        <w:rPr>
          <w:rStyle w:val="libFootnoteBoldChar"/>
          <w:rtl/>
        </w:rPr>
        <w:t>وفيه</w:t>
      </w:r>
      <w:r w:rsidR="008A74EB" w:rsidRPr="00C9040A">
        <w:rPr>
          <w:rtl/>
        </w:rPr>
        <w:t xml:space="preserve"> ، ج 27 ، ص 87 ، ح 33283 ؛ </w:t>
      </w:r>
      <w:r w:rsidR="008A74EB" w:rsidRPr="00993B55">
        <w:rPr>
          <w:rStyle w:val="libFootnoteBoldChar"/>
          <w:rtl/>
        </w:rPr>
        <w:t>البحار</w:t>
      </w:r>
      <w:r w:rsidR="008A74EB" w:rsidRPr="00C9040A">
        <w:rPr>
          <w:rtl/>
        </w:rPr>
        <w:t xml:space="preserve"> ، ج 74 ، ص 258 ، ح 56.</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قُلْتُ لِأَبِي عَبْدِ اللهِ </w:t>
      </w:r>
      <w:r w:rsidRPr="0003660B">
        <w:rPr>
          <w:rStyle w:val="libAlaemChar"/>
          <w:rtl/>
        </w:rPr>
        <w:t>عليه‌السلام</w:t>
      </w:r>
      <w:r w:rsidRPr="00C9040A">
        <w:rPr>
          <w:rtl/>
          <w:lang w:bidi="fa-IR"/>
        </w:rPr>
        <w:t xml:space="preserve"> : إِنِّي مَرَرْتُ بِقَاصٍّ </w:t>
      </w:r>
      <w:r w:rsidR="006C577F" w:rsidRPr="006C577F">
        <w:rPr>
          <w:rStyle w:val="libFootnotenumChar"/>
          <w:rtl/>
        </w:rPr>
        <w:t>(1)</w:t>
      </w:r>
      <w:r w:rsidRPr="00C9040A">
        <w:rPr>
          <w:rtl/>
          <w:lang w:bidi="fa-IR"/>
        </w:rPr>
        <w:t xml:space="preserve"> يَقُصُّ وَهُوَ يَقُولُ : هذَا الْمَجْلِسُ الَّذِي </w:t>
      </w:r>
      <w:r w:rsidR="006C577F" w:rsidRPr="006C577F">
        <w:rPr>
          <w:rStyle w:val="libFootnotenumChar"/>
          <w:rtl/>
        </w:rPr>
        <w:t>(2)</w:t>
      </w:r>
      <w:r w:rsidRPr="00C9040A">
        <w:rPr>
          <w:rtl/>
          <w:lang w:bidi="fa-IR"/>
        </w:rPr>
        <w:t xml:space="preserve"> لَا يَشْقى بِهِ جَلِيسٌ ، قَالَ : فَقَالَ أَبُو عَبْدِ اللهِ </w:t>
      </w:r>
      <w:r w:rsidRPr="0003660B">
        <w:rPr>
          <w:rStyle w:val="libAlaemChar"/>
          <w:rtl/>
        </w:rPr>
        <w:t>عليه‌السلام</w:t>
      </w:r>
      <w:r w:rsidRPr="00C9040A">
        <w:rPr>
          <w:rtl/>
          <w:lang w:bidi="fa-IR"/>
        </w:rPr>
        <w:t xml:space="preserve"> : « هَيْهَاتَ هَيْهَاتَ ، أَخْطَأَتْ أَسْتَاهُهُمُ الْحُفْرَةَ </w:t>
      </w:r>
      <w:r w:rsidR="006C577F" w:rsidRPr="006C577F">
        <w:rPr>
          <w:rStyle w:val="libFootnotenumChar"/>
          <w:rtl/>
        </w:rPr>
        <w:t>(3)</w:t>
      </w:r>
      <w:r w:rsidRPr="00C9040A">
        <w:rPr>
          <w:rtl/>
          <w:lang w:bidi="fa-IR"/>
        </w:rPr>
        <w:t xml:space="preserve"> ؛ إِنَّ لِلّهِ مَلَائِكَةً سَيَّاحِينَ </w:t>
      </w:r>
      <w:r w:rsidR="006C577F" w:rsidRPr="006C577F">
        <w:rPr>
          <w:rStyle w:val="libFootnotenumChar"/>
          <w:rtl/>
        </w:rPr>
        <w:t>(4)</w:t>
      </w:r>
      <w:r w:rsidRPr="00C9040A">
        <w:rPr>
          <w:rtl/>
          <w:lang w:bidi="fa-IR"/>
        </w:rPr>
        <w:t xml:space="preserve"> سِوَى الْكِرَامِ </w:t>
      </w:r>
      <w:r w:rsidR="006C577F" w:rsidRPr="006C577F">
        <w:rPr>
          <w:rStyle w:val="libFootnotenumChar"/>
          <w:rtl/>
        </w:rPr>
        <w:t>(5)</w:t>
      </w:r>
      <w:r w:rsidRPr="00C9040A">
        <w:rPr>
          <w:rtl/>
          <w:lang w:bidi="fa-IR"/>
        </w:rPr>
        <w:t xml:space="preserve"> الْكَاتِبِينَ </w:t>
      </w:r>
      <w:r w:rsidR="006C577F" w:rsidRPr="006C577F">
        <w:rPr>
          <w:rStyle w:val="libFootnotenumChar"/>
          <w:rtl/>
        </w:rPr>
        <w:t>(6)</w:t>
      </w:r>
      <w:r w:rsidRPr="005B567D">
        <w:rPr>
          <w:rStyle w:val="libFootnotenumChar"/>
          <w:rtl/>
        </w:rPr>
        <w:t xml:space="preserve"> </w:t>
      </w:r>
      <w:r w:rsidRPr="00C9040A">
        <w:rPr>
          <w:rtl/>
          <w:lang w:bidi="fa-IR"/>
        </w:rPr>
        <w:t xml:space="preserve">، فَإِذَا مَرُّوا بِقَوْمٍ يَذْكُرُونَ مُحَمَّداً وَآلَ مُحَمَّدٍ ، قَالُوا </w:t>
      </w:r>
      <w:r w:rsidR="006C577F" w:rsidRPr="006C577F">
        <w:rPr>
          <w:rStyle w:val="libFootnotenumChar"/>
          <w:rtl/>
        </w:rPr>
        <w:t>(7)</w:t>
      </w:r>
      <w:r w:rsidRPr="00C9040A">
        <w:rPr>
          <w:rtl/>
          <w:lang w:bidi="fa-IR"/>
        </w:rPr>
        <w:t xml:space="preserve"> : قِفُوا ، فَقَدْ </w:t>
      </w:r>
      <w:r w:rsidR="006C577F" w:rsidRPr="006C577F">
        <w:rPr>
          <w:rStyle w:val="libFootnotenumChar"/>
          <w:rtl/>
        </w:rPr>
        <w:t>(8)</w:t>
      </w:r>
      <w:r w:rsidRPr="00C9040A">
        <w:rPr>
          <w:rtl/>
          <w:lang w:bidi="fa-IR"/>
        </w:rPr>
        <w:t xml:space="preserve"> أَصَبْتُمْ حَاجَتَكُمْ </w:t>
      </w:r>
      <w:r w:rsidR="006C577F" w:rsidRPr="006C577F">
        <w:rPr>
          <w:rStyle w:val="libFootnotenumChar"/>
          <w:rtl/>
        </w:rPr>
        <w:t>(9)</w:t>
      </w:r>
      <w:r w:rsidRPr="00C9040A">
        <w:rPr>
          <w:rtl/>
          <w:lang w:bidi="fa-IR"/>
        </w:rPr>
        <w:t xml:space="preserve"> ؛ فَيَجْلِسُونَ ، فَيَتَفَقَّهُونَ </w:t>
      </w:r>
      <w:r w:rsidR="006C577F" w:rsidRPr="006C577F">
        <w:rPr>
          <w:rStyle w:val="libFootnotenumChar"/>
          <w:rtl/>
        </w:rPr>
        <w:t>(10)</w:t>
      </w:r>
      <w:r w:rsidRPr="00C9040A">
        <w:rPr>
          <w:rtl/>
          <w:lang w:bidi="fa-IR"/>
        </w:rPr>
        <w:t xml:space="preserve"> مَعَهُمْ ، فَإِذَا قَامُوا عَادُوا مَرْضَاهُمْ ، وَشَهِدُوا جَنَائِزَهُمْ ، وَتَعَاهَدُوا غَائِبَهُمْ ؛ فَذلِكَ الْمَجْلِسُ الَّذِي لَايَشْقى بِهِ جَلِيسٌ »</w:t>
      </w:r>
      <w:r>
        <w:rPr>
          <w:rtl/>
          <w:lang w:bidi="fa-IR"/>
        </w:rPr>
        <w:t>.</w:t>
      </w:r>
      <w:r w:rsidRPr="00C9040A">
        <w:rPr>
          <w:rtl/>
          <w:lang w:bidi="fa-IR"/>
        </w:rPr>
        <w:t xml:space="preserve"> </w:t>
      </w:r>
      <w:r w:rsidR="006C577F" w:rsidRPr="006C577F">
        <w:rPr>
          <w:rStyle w:val="libFootnotenumChar"/>
          <w:rtl/>
        </w:rPr>
        <w:t>(11)</w:t>
      </w:r>
    </w:p>
    <w:p w:rsidR="008A74EB" w:rsidRPr="00C9040A" w:rsidRDefault="008A74EB" w:rsidP="008A74EB">
      <w:pPr>
        <w:pStyle w:val="libNormal"/>
        <w:rPr>
          <w:rtl/>
          <w:lang w:bidi="fa-IR"/>
        </w:rPr>
      </w:pPr>
      <w:r w:rsidRPr="00E633F5">
        <w:rPr>
          <w:rtl/>
        </w:rPr>
        <w:t>2124</w:t>
      </w:r>
      <w:r w:rsidRPr="00261CB0">
        <w:rPr>
          <w:rStyle w:val="libBold2Char"/>
          <w:rtl/>
        </w:rPr>
        <w:t xml:space="preserve"> / 4.</w:t>
      </w:r>
      <w:r w:rsidRPr="00C9040A">
        <w:rPr>
          <w:rtl/>
          <w:lang w:bidi="fa-IR"/>
        </w:rPr>
        <w:t xml:space="preserve"> مُحَمَّدُ بْنُ يَحْيى ، عَنْ أَحْمَدَ بْنِ مُحَمَّدِ بْنِ عِيسى ، عَنْ عَلِيِّ بْنِ الْحَكَمِ ، عَنِ الْمُسْتَوْرِدِ النَّخَعِيِّ </w:t>
      </w:r>
      <w:r w:rsidR="006C577F" w:rsidRPr="006C577F">
        <w:rPr>
          <w:rStyle w:val="libFootnotenumChar"/>
          <w:rtl/>
        </w:rPr>
        <w:t>(12)</w:t>
      </w:r>
      <w:r w:rsidRPr="00C9040A">
        <w:rPr>
          <w:rtl/>
          <w:lang w:bidi="fa-IR"/>
        </w:rPr>
        <w:t xml:space="preserve"> ، عَمَّنْ </w:t>
      </w:r>
      <w:r w:rsidRPr="005B567D">
        <w:rPr>
          <w:rStyle w:val="libFootnotenumChar"/>
          <w:rtl/>
        </w:rPr>
        <w:t>(13)</w:t>
      </w:r>
      <w:r w:rsidRPr="00C9040A">
        <w:rPr>
          <w:rtl/>
          <w:lang w:bidi="fa-IR"/>
        </w:rPr>
        <w:t xml:space="preserve"> رَوَاهُ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FF5C6C">
      <w:pPr>
        <w:pStyle w:val="libFootnote0"/>
        <w:rPr>
          <w:rtl/>
          <w:lang w:bidi="fa-IR"/>
        </w:rPr>
      </w:pPr>
      <w:r>
        <w:rPr>
          <w:rtl/>
        </w:rPr>
        <w:t>(1).</w:t>
      </w:r>
      <w:r w:rsidR="008A74EB">
        <w:rPr>
          <w:rtl/>
        </w:rPr>
        <w:t xml:space="preserve"> </w:t>
      </w:r>
      <w:r w:rsidR="008A74EB" w:rsidRPr="00C9040A">
        <w:rPr>
          <w:rtl/>
        </w:rPr>
        <w:t xml:space="preserve">« القاصّ » : من يأتي بالقِصَّة. والمراد هنا القصص الكاذبة الموضوعة. راجع : </w:t>
      </w:r>
      <w:r w:rsidR="008A74EB" w:rsidRPr="00993B55">
        <w:rPr>
          <w:rStyle w:val="libFootnoteBoldChar"/>
          <w:rtl/>
        </w:rPr>
        <w:t>مرآة العقول</w:t>
      </w:r>
      <w:r w:rsidR="008A74EB" w:rsidRPr="00C9040A">
        <w:rPr>
          <w:rtl/>
        </w:rPr>
        <w:t xml:space="preserve"> ، ج 9 ، ص 84 ؛ </w:t>
      </w:r>
      <w:r w:rsidR="008A74EB" w:rsidRPr="00993B55">
        <w:rPr>
          <w:rStyle w:val="libFootnoteBoldChar"/>
          <w:rtl/>
        </w:rPr>
        <w:t>القاموس المحيط</w:t>
      </w:r>
      <w:r w:rsidR="008A74EB" w:rsidRPr="00C9040A">
        <w:rPr>
          <w:rtl/>
        </w:rPr>
        <w:t xml:space="preserve"> ، ج 1 ، ص 851 ( قصص )</w:t>
      </w:r>
      <w:r w:rsidR="008A74EB">
        <w:rPr>
          <w:rtl/>
        </w:rPr>
        <w:t>.</w:t>
      </w:r>
      <w:r w:rsidR="00FF5C6C">
        <w:rPr>
          <w:rFonts w:hint="cs"/>
          <w:rtl/>
        </w:rPr>
        <w:t xml:space="preserve">     </w:t>
      </w:r>
      <w:r>
        <w:rPr>
          <w:rtl/>
        </w:rPr>
        <w:t>(2).</w:t>
      </w:r>
      <w:r w:rsidR="008A74EB">
        <w:rPr>
          <w:rtl/>
        </w:rPr>
        <w:t xml:space="preserve"> </w:t>
      </w:r>
      <w:r w:rsidR="00FF5C6C">
        <w:rPr>
          <w:rtl/>
        </w:rPr>
        <w:t>في «ب ،د ،ز ،ص ،ف ،بس» والوسائل</w:t>
      </w:r>
      <w:r w:rsidR="008A74EB">
        <w:rPr>
          <w:rtl/>
        </w:rPr>
        <w:t xml:space="preserve">: </w:t>
      </w:r>
      <w:r w:rsidR="0084262C">
        <w:rPr>
          <w:rtl/>
        </w:rPr>
        <w:t>-</w:t>
      </w:r>
      <w:r w:rsidR="008A74EB" w:rsidRPr="00C9040A">
        <w:rPr>
          <w:rtl/>
        </w:rPr>
        <w:t>« الذي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 الخَطَأ » : نقيض الصواب. </w:t>
      </w:r>
      <w:r w:rsidR="008A74EB">
        <w:rPr>
          <w:rtl/>
        </w:rPr>
        <w:t>و «</w:t>
      </w:r>
      <w:r w:rsidR="008A74EB" w:rsidRPr="00C9040A">
        <w:rPr>
          <w:rtl/>
        </w:rPr>
        <w:t xml:space="preserve"> السَّتْه » ويحرّك : الإست ، وجمعه : أستاه : الْعَجُزُ أو حَلَقَة الدبُر. </w:t>
      </w:r>
      <w:r w:rsidR="008A74EB" w:rsidRPr="00993B55">
        <w:rPr>
          <w:rStyle w:val="libFootnoteBoldChar"/>
          <w:rtl/>
        </w:rPr>
        <w:t>الصحاح</w:t>
      </w:r>
      <w:r w:rsidR="008A74EB" w:rsidRPr="00C9040A">
        <w:rPr>
          <w:rtl/>
        </w:rPr>
        <w:t xml:space="preserve"> ، ج 1 ، ص 47 ( خطأ ) ؛ </w:t>
      </w:r>
      <w:r w:rsidR="008A74EB" w:rsidRPr="00993B55">
        <w:rPr>
          <w:rStyle w:val="libFootnoteBoldChar"/>
          <w:rtl/>
        </w:rPr>
        <w:t>القاموس‌المحيط</w:t>
      </w:r>
      <w:r w:rsidR="008A74EB" w:rsidRPr="00C9040A">
        <w:rPr>
          <w:rtl/>
        </w:rPr>
        <w:t xml:space="preserve"> ، ج 2 ، ص 1637 ( سته )</w:t>
      </w:r>
      <w:r w:rsidR="008A74EB">
        <w:rPr>
          <w:rtl/>
        </w:rPr>
        <w:t>.</w:t>
      </w:r>
    </w:p>
    <w:p w:rsidR="008A74EB" w:rsidRPr="00C9040A" w:rsidRDefault="008A74EB" w:rsidP="004A4E41">
      <w:pPr>
        <w:pStyle w:val="libFootnote0"/>
        <w:rPr>
          <w:rtl/>
          <w:lang w:bidi="fa-IR"/>
        </w:rPr>
      </w:pPr>
      <w:r w:rsidRPr="00323A39">
        <w:rPr>
          <w:rtl/>
        </w:rPr>
        <w:t xml:space="preserve">وفي </w:t>
      </w:r>
      <w:r w:rsidRPr="00993B55">
        <w:rPr>
          <w:rStyle w:val="libFootnoteBoldChar"/>
          <w:rtl/>
        </w:rPr>
        <w:t>مرآة العقول</w:t>
      </w:r>
      <w:r w:rsidRPr="00323A39">
        <w:rPr>
          <w:rtl/>
        </w:rPr>
        <w:t xml:space="preserve"> ، ج 9 ، ص 85 : « والإخطاء عند أبي عبيد : الذهاب إلى خلاف الصواب مع قصد الصواب ، وعند غيره : الذهاب إلى غير الصواب مطلقاً ... والمراد بالحُفرة : الكنيف الذي يتغوّط فيه. وكأنّ هذا كان مثلاً سائراً يضرب لمن استعمل كلاماً في غير موضعه ، أو أخطأ خطأ فاحشاً ».</w:t>
      </w:r>
    </w:p>
    <w:p w:rsidR="008A74EB" w:rsidRPr="00C9040A" w:rsidRDefault="006C577F" w:rsidP="004A4E41">
      <w:pPr>
        <w:pStyle w:val="libFootnote0"/>
        <w:rPr>
          <w:rtl/>
          <w:lang w:bidi="fa-IR"/>
        </w:rPr>
      </w:pPr>
      <w:r>
        <w:rPr>
          <w:rtl/>
        </w:rPr>
        <w:t>(4).</w:t>
      </w:r>
      <w:r w:rsidR="008A74EB" w:rsidRPr="00C9040A">
        <w:rPr>
          <w:rtl/>
        </w:rPr>
        <w:t xml:space="preserve"> يقال : ساح في الأرض يسيح سياحة : إذا ذهب فيها. </w:t>
      </w:r>
      <w:r w:rsidR="008A74EB" w:rsidRPr="00993B55">
        <w:rPr>
          <w:rStyle w:val="libFootnoteBoldChar"/>
          <w:rtl/>
        </w:rPr>
        <w:t>النهاية</w:t>
      </w:r>
      <w:r w:rsidR="008A74EB" w:rsidRPr="00C9040A">
        <w:rPr>
          <w:rtl/>
        </w:rPr>
        <w:t xml:space="preserve"> ، ج 2 ، ص 432 ( سيح )</w:t>
      </w:r>
      <w:r w:rsidR="008A74EB">
        <w:rPr>
          <w:rtl/>
        </w:rPr>
        <w:t>.</w:t>
      </w:r>
    </w:p>
    <w:tbl>
      <w:tblPr>
        <w:tblStyle w:val="TableGrid"/>
        <w:bidiVisual/>
        <w:tblW w:w="0" w:type="auto"/>
        <w:tblLook w:val="04A0" w:firstRow="1" w:lastRow="0" w:firstColumn="1" w:lastColumn="0" w:noHBand="0" w:noVBand="1"/>
      </w:tblPr>
      <w:tblGrid>
        <w:gridCol w:w="4006"/>
        <w:gridCol w:w="4006"/>
      </w:tblGrid>
      <w:tr w:rsidR="00FF5C6C" w:rsidTr="00FF5C6C">
        <w:tc>
          <w:tcPr>
            <w:tcW w:w="4006" w:type="dxa"/>
          </w:tcPr>
          <w:p w:rsidR="00FF5C6C" w:rsidRDefault="00FF5C6C" w:rsidP="004A4E41">
            <w:pPr>
              <w:pStyle w:val="libFootnote0"/>
              <w:rPr>
                <w:rtl/>
              </w:rPr>
            </w:pPr>
            <w:r>
              <w:rPr>
                <w:rtl/>
              </w:rPr>
              <w:t>(5).</w:t>
            </w:r>
            <w:r w:rsidRPr="00C9040A">
              <w:rPr>
                <w:rtl/>
              </w:rPr>
              <w:t xml:space="preserve"> في « ض » : + « البَرَرة »</w:t>
            </w:r>
            <w:r>
              <w:rPr>
                <w:rtl/>
              </w:rPr>
              <w:t>.</w:t>
            </w:r>
          </w:p>
        </w:tc>
        <w:tc>
          <w:tcPr>
            <w:tcW w:w="4006" w:type="dxa"/>
          </w:tcPr>
          <w:p w:rsidR="00FF5C6C" w:rsidRDefault="00FF5C6C" w:rsidP="004A4E41">
            <w:pPr>
              <w:pStyle w:val="libFootnote0"/>
              <w:rPr>
                <w:rtl/>
              </w:rPr>
            </w:pPr>
            <w:r>
              <w:rPr>
                <w:rtl/>
              </w:rPr>
              <w:t xml:space="preserve">(6). </w:t>
            </w:r>
            <w:r w:rsidRPr="00C9040A">
              <w:rPr>
                <w:rtl/>
              </w:rPr>
              <w:t>في حاشية « ز » : « البررة »</w:t>
            </w:r>
            <w:r>
              <w:rPr>
                <w:rtl/>
              </w:rPr>
              <w:t>.</w:t>
            </w:r>
          </w:p>
        </w:tc>
      </w:tr>
    </w:tbl>
    <w:p w:rsidR="008A74EB" w:rsidRPr="00C9040A" w:rsidRDefault="006C577F" w:rsidP="004A4E41">
      <w:pPr>
        <w:pStyle w:val="libFootnote0"/>
        <w:rPr>
          <w:rtl/>
          <w:lang w:bidi="fa-IR"/>
        </w:rPr>
      </w:pPr>
      <w:r>
        <w:rPr>
          <w:rtl/>
        </w:rPr>
        <w:t>(7).</w:t>
      </w:r>
      <w:r w:rsidR="008A74EB" w:rsidRPr="00C9040A">
        <w:rPr>
          <w:rtl/>
        </w:rPr>
        <w:t xml:space="preserve"> في « د ، ز ، ص ، ض ، بر ، بس » والبحار : « فقالوا »</w:t>
      </w:r>
      <w:r w:rsidR="008A74EB">
        <w:rPr>
          <w:rtl/>
        </w:rPr>
        <w:t>.</w:t>
      </w:r>
    </w:p>
    <w:tbl>
      <w:tblPr>
        <w:tblStyle w:val="TableGrid"/>
        <w:bidiVisual/>
        <w:tblW w:w="0" w:type="auto"/>
        <w:tblLook w:val="04A0" w:firstRow="1" w:lastRow="0" w:firstColumn="1" w:lastColumn="0" w:noHBand="0" w:noVBand="1"/>
      </w:tblPr>
      <w:tblGrid>
        <w:gridCol w:w="4006"/>
        <w:gridCol w:w="4006"/>
      </w:tblGrid>
      <w:tr w:rsidR="00FF5C6C" w:rsidTr="00FF5C6C">
        <w:tc>
          <w:tcPr>
            <w:tcW w:w="4006" w:type="dxa"/>
          </w:tcPr>
          <w:p w:rsidR="00FF5C6C" w:rsidRDefault="00FF5C6C" w:rsidP="004A4E41">
            <w:pPr>
              <w:pStyle w:val="libFootnote0"/>
              <w:rPr>
                <w:rtl/>
                <w:lang w:bidi="fa-IR"/>
              </w:rPr>
            </w:pPr>
            <w:r>
              <w:rPr>
                <w:rtl/>
              </w:rPr>
              <w:t>(8).</w:t>
            </w:r>
            <w:r w:rsidRPr="00C9040A">
              <w:rPr>
                <w:rtl/>
              </w:rPr>
              <w:t xml:space="preserve"> في « ب ، ض » : « قد »</w:t>
            </w:r>
            <w:r>
              <w:rPr>
                <w:rtl/>
              </w:rPr>
              <w:t>.</w:t>
            </w:r>
          </w:p>
        </w:tc>
        <w:tc>
          <w:tcPr>
            <w:tcW w:w="4006" w:type="dxa"/>
          </w:tcPr>
          <w:p w:rsidR="00FF5C6C" w:rsidRDefault="00FF5C6C" w:rsidP="004A4E41">
            <w:pPr>
              <w:pStyle w:val="libFootnote0"/>
              <w:rPr>
                <w:rtl/>
                <w:lang w:bidi="fa-IR"/>
              </w:rPr>
            </w:pPr>
            <w:r>
              <w:rPr>
                <w:rtl/>
              </w:rPr>
              <w:t>(9).</w:t>
            </w:r>
            <w:r w:rsidRPr="00C9040A">
              <w:rPr>
                <w:rtl/>
              </w:rPr>
              <w:t xml:space="preserve"> في الوسائل </w:t>
            </w:r>
            <w:r>
              <w:rPr>
                <w:rtl/>
              </w:rPr>
              <w:t>: -</w:t>
            </w:r>
            <w:r w:rsidRPr="00C9040A">
              <w:rPr>
                <w:rtl/>
              </w:rPr>
              <w:t xml:space="preserve"> « فقد أصبتم حاجتكم »</w:t>
            </w:r>
            <w:r>
              <w:rPr>
                <w:rtl/>
              </w:rPr>
              <w:t>.</w:t>
            </w:r>
          </w:p>
        </w:tc>
      </w:tr>
    </w:tbl>
    <w:p w:rsidR="008A74EB" w:rsidRPr="00C9040A" w:rsidRDefault="006C577F" w:rsidP="004A4E41">
      <w:pPr>
        <w:pStyle w:val="libFootnote0"/>
        <w:rPr>
          <w:rtl/>
          <w:lang w:bidi="fa-IR"/>
        </w:rPr>
      </w:pPr>
      <w:r>
        <w:rPr>
          <w:rtl/>
        </w:rPr>
        <w:t>(10).</w:t>
      </w:r>
      <w:r w:rsidR="008A74EB" w:rsidRPr="00C9040A">
        <w:rPr>
          <w:rtl/>
        </w:rPr>
        <w:t xml:space="preserve"> في الوافي : « ويتفقّهون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w:t>
      </w:r>
      <w:r w:rsidR="008A74EB" w:rsidRPr="00993B55">
        <w:rPr>
          <w:rStyle w:val="libFootnoteBoldChar"/>
          <w:rtl/>
        </w:rPr>
        <w:t>الوافي</w:t>
      </w:r>
      <w:r w:rsidR="008A74EB" w:rsidRPr="00C9040A">
        <w:rPr>
          <w:rtl/>
        </w:rPr>
        <w:t xml:space="preserve"> ، ج 5 ، ص 649 ، ح 2790 ؛ </w:t>
      </w:r>
      <w:r w:rsidR="008A74EB" w:rsidRPr="00993B55">
        <w:rPr>
          <w:rStyle w:val="libFootnoteBoldChar"/>
          <w:rtl/>
        </w:rPr>
        <w:t>الوسائل</w:t>
      </w:r>
      <w:r w:rsidR="008A74EB" w:rsidRPr="00C9040A">
        <w:rPr>
          <w:rtl/>
        </w:rPr>
        <w:t xml:space="preserve"> ، ج 16 ، ص 345 ، ح 21723 ؛ </w:t>
      </w:r>
      <w:r w:rsidR="008A74EB" w:rsidRPr="00993B55">
        <w:rPr>
          <w:rStyle w:val="libFootnoteBoldChar"/>
          <w:rtl/>
        </w:rPr>
        <w:t>البحار</w:t>
      </w:r>
      <w:r w:rsidR="008A74EB" w:rsidRPr="00C9040A">
        <w:rPr>
          <w:rtl/>
        </w:rPr>
        <w:t xml:space="preserve"> ، ج 74 ، ص 259 ، ح 57.</w:t>
      </w:r>
    </w:p>
    <w:p w:rsidR="008A74EB" w:rsidRPr="00C9040A" w:rsidRDefault="006C577F" w:rsidP="004A4E41">
      <w:pPr>
        <w:pStyle w:val="libFootnote0"/>
        <w:rPr>
          <w:rtl/>
          <w:lang w:bidi="fa-IR"/>
        </w:rPr>
      </w:pPr>
      <w:r>
        <w:rPr>
          <w:rtl/>
        </w:rPr>
        <w:t>(12).</w:t>
      </w:r>
      <w:r w:rsidR="008A74EB" w:rsidRPr="00C9040A">
        <w:rPr>
          <w:rtl/>
        </w:rPr>
        <w:t xml:space="preserve"> ورد الخبر</w:t>
      </w:r>
      <w:r w:rsidR="008A74EB">
        <w:rPr>
          <w:rtl/>
        </w:rPr>
        <w:t xml:space="preserve"> </w:t>
      </w:r>
      <w:r w:rsidR="0084262C">
        <w:rPr>
          <w:rtl/>
        </w:rPr>
        <w:t>-</w:t>
      </w:r>
      <w:r w:rsidR="008A74EB">
        <w:rPr>
          <w:rtl/>
        </w:rPr>
        <w:t xml:space="preserve"> </w:t>
      </w:r>
      <w:r w:rsidR="008A74EB" w:rsidRPr="00C9040A">
        <w:rPr>
          <w:rtl/>
        </w:rPr>
        <w:t>مع زيادة</w:t>
      </w:r>
      <w:r w:rsidR="008A74EB">
        <w:rPr>
          <w:rtl/>
        </w:rPr>
        <w:t xml:space="preserve"> </w:t>
      </w:r>
      <w:r w:rsidR="0084262C">
        <w:rPr>
          <w:rtl/>
        </w:rPr>
        <w:t>-</w:t>
      </w:r>
      <w:r w:rsidR="008A74EB">
        <w:rPr>
          <w:rtl/>
        </w:rPr>
        <w:t xml:space="preserve"> </w:t>
      </w:r>
      <w:r w:rsidR="008A74EB" w:rsidRPr="00C9040A">
        <w:rPr>
          <w:rtl/>
        </w:rPr>
        <w:t xml:space="preserve">في </w:t>
      </w:r>
      <w:r w:rsidR="008A74EB" w:rsidRPr="00993B55">
        <w:rPr>
          <w:rStyle w:val="libFootnoteBoldChar"/>
          <w:rtl/>
        </w:rPr>
        <w:t>الكافي</w:t>
      </w:r>
      <w:r w:rsidR="008A74EB" w:rsidRPr="00C9040A">
        <w:rPr>
          <w:rtl/>
        </w:rPr>
        <w:t xml:space="preserve"> ، ح 15336 ، عن محمّد بن يحيى</w:t>
      </w:r>
      <w:r w:rsidR="008A74EB">
        <w:rPr>
          <w:rtl/>
        </w:rPr>
        <w:t xml:space="preserve"> </w:t>
      </w:r>
      <w:r w:rsidR="0084262C">
        <w:rPr>
          <w:rtl/>
        </w:rPr>
        <w:t>-</w:t>
      </w:r>
      <w:r w:rsidR="008A74EB">
        <w:rPr>
          <w:rtl/>
        </w:rPr>
        <w:t xml:space="preserve"> </w:t>
      </w:r>
      <w:r w:rsidR="008A74EB" w:rsidRPr="00C9040A">
        <w:rPr>
          <w:rtl/>
        </w:rPr>
        <w:t>قد عبِّر عنه بالضمير</w:t>
      </w:r>
      <w:r w:rsidR="008A74EB">
        <w:rPr>
          <w:rtl/>
        </w:rPr>
        <w:t xml:space="preserve"> </w:t>
      </w:r>
      <w:r w:rsidR="0084262C">
        <w:rPr>
          <w:rtl/>
        </w:rPr>
        <w:t>-</w:t>
      </w:r>
      <w:r w:rsidR="008A74EB">
        <w:rPr>
          <w:rtl/>
        </w:rPr>
        <w:t xml:space="preserve"> </w:t>
      </w:r>
      <w:r w:rsidR="008A74EB" w:rsidRPr="00C9040A">
        <w:rPr>
          <w:rtl/>
        </w:rPr>
        <w:t xml:space="preserve">عن أحمد ، عن عليّ بن المستورد النخعي. وهو سهوٌ ظاهراً ؛ فإنّ المراد من المستورد النخعي هو المستورد بن نهيك النخعي المعدود من أصحاب أبي عبدالله </w:t>
      </w:r>
      <w:r w:rsidR="00117575" w:rsidRPr="00117575">
        <w:rPr>
          <w:rStyle w:val="libFootnoteAlaemChar"/>
          <w:rtl/>
        </w:rPr>
        <w:t>عليه‌السلام</w:t>
      </w:r>
      <w:r w:rsidR="008A74EB" w:rsidRPr="00C9040A">
        <w:rPr>
          <w:rtl/>
        </w:rPr>
        <w:t xml:space="preserve"> في </w:t>
      </w:r>
      <w:r w:rsidR="008A74EB" w:rsidRPr="00993B55">
        <w:rPr>
          <w:rStyle w:val="libFootnoteBoldChar"/>
          <w:rtl/>
        </w:rPr>
        <w:t>رجال الطوسي</w:t>
      </w:r>
      <w:r w:rsidR="008A74EB" w:rsidRPr="00C9040A">
        <w:rPr>
          <w:rtl/>
        </w:rPr>
        <w:t xml:space="preserve"> ، ص 312 ، الرقم 4626. وظهر ممّا ذكرنا وقوع السهو في ما ورد في </w:t>
      </w:r>
      <w:r w:rsidR="008A74EB" w:rsidRPr="00993B55">
        <w:rPr>
          <w:rStyle w:val="libFootnoteBoldChar"/>
          <w:rtl/>
        </w:rPr>
        <w:t>تأويل الآيات</w:t>
      </w:r>
      <w:r w:rsidR="008A74EB" w:rsidRPr="00C9040A">
        <w:rPr>
          <w:rtl/>
        </w:rPr>
        <w:t xml:space="preserve"> ، ص 667 ، من نقل الخبر مع الزيادة عن محمّد بن يعقوب عن أحمد بن عليّ المستورد النخعي.</w:t>
      </w:r>
    </w:p>
    <w:p w:rsidR="008A74EB" w:rsidRPr="00C9040A" w:rsidRDefault="008A74EB" w:rsidP="004A4E41">
      <w:pPr>
        <w:pStyle w:val="libFootnote0"/>
        <w:rPr>
          <w:rtl/>
          <w:lang w:bidi="fa-IR"/>
        </w:rPr>
      </w:pPr>
      <w:r>
        <w:rPr>
          <w:rtl/>
        </w:rPr>
        <w:t>(13)</w:t>
      </w:r>
      <w:r w:rsidRPr="00C9040A">
        <w:rPr>
          <w:rtl/>
        </w:rPr>
        <w:t xml:space="preserve"> في « ز » : + « ذكره </w:t>
      </w:r>
      <w:r>
        <w:rPr>
          <w:rtl/>
        </w:rPr>
        <w:t>و ».</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إِنَّ مِنَ الْمَلَائِكَةِ الَّذِينَ فِي السَّمَاءِ </w:t>
      </w:r>
      <w:r w:rsidR="006C577F" w:rsidRPr="006C577F">
        <w:rPr>
          <w:rStyle w:val="libFootnotenumChar"/>
          <w:rtl/>
        </w:rPr>
        <w:t>(1)</w:t>
      </w:r>
      <w:r w:rsidRPr="00C9040A">
        <w:rPr>
          <w:rtl/>
          <w:lang w:bidi="fa-IR"/>
        </w:rPr>
        <w:t xml:space="preserve"> لَيَطَّلِعُونَ </w:t>
      </w:r>
      <w:r w:rsidR="006C577F" w:rsidRPr="006C577F">
        <w:rPr>
          <w:rStyle w:val="libFootnotenumChar"/>
          <w:rtl/>
        </w:rPr>
        <w:t>(2)</w:t>
      </w:r>
      <w:r w:rsidRPr="00C9040A">
        <w:rPr>
          <w:rtl/>
          <w:lang w:bidi="fa-IR"/>
        </w:rPr>
        <w:t xml:space="preserve"> إِلَى </w:t>
      </w:r>
      <w:r w:rsidR="006C577F" w:rsidRPr="006C577F">
        <w:rPr>
          <w:rStyle w:val="libFootnotenumChar"/>
          <w:rtl/>
        </w:rPr>
        <w:t>(3)</w:t>
      </w:r>
      <w:r w:rsidRPr="00C9040A">
        <w:rPr>
          <w:rtl/>
          <w:lang w:bidi="fa-IR"/>
        </w:rPr>
        <w:t xml:space="preserve"> الْوَاحِدِ وَالِاثْنَيْنِ وَالثَّلَاثَةِ وَهُمْ يَذْكُرُونَ فَضْلَ آلِ مُحَمَّدٍ »</w:t>
      </w:r>
      <w:r>
        <w:rPr>
          <w:rtl/>
          <w:lang w:bidi="fa-IR"/>
        </w:rPr>
        <w:t>.</w:t>
      </w:r>
    </w:p>
    <w:p w:rsidR="008A74EB" w:rsidRPr="00C9040A" w:rsidRDefault="008A74EB" w:rsidP="008A74EB">
      <w:pPr>
        <w:pStyle w:val="libNormal"/>
        <w:rPr>
          <w:rtl/>
          <w:lang w:bidi="fa-IR"/>
        </w:rPr>
      </w:pPr>
      <w:r w:rsidRPr="00C9040A">
        <w:rPr>
          <w:rtl/>
          <w:lang w:bidi="fa-IR"/>
        </w:rPr>
        <w:t xml:space="preserve">قَالَ </w:t>
      </w:r>
      <w:r w:rsidR="006C577F" w:rsidRPr="006C577F">
        <w:rPr>
          <w:rStyle w:val="libFootnotenumChar"/>
          <w:rtl/>
        </w:rPr>
        <w:t>(4)</w:t>
      </w:r>
      <w:r w:rsidRPr="00C9040A">
        <w:rPr>
          <w:rtl/>
          <w:lang w:bidi="fa-IR"/>
        </w:rPr>
        <w:t xml:space="preserve"> : « فَتَقُولُ </w:t>
      </w:r>
      <w:r w:rsidR="006C577F" w:rsidRPr="006C577F">
        <w:rPr>
          <w:rStyle w:val="libFootnotenumChar"/>
          <w:rtl/>
        </w:rPr>
        <w:t>(5)</w:t>
      </w:r>
      <w:r>
        <w:rPr>
          <w:rtl/>
          <w:lang w:bidi="fa-IR"/>
        </w:rPr>
        <w:t xml:space="preserve"> : أَ</w:t>
      </w:r>
      <w:r w:rsidRPr="00C9040A">
        <w:rPr>
          <w:rtl/>
          <w:lang w:bidi="fa-IR"/>
        </w:rPr>
        <w:t xml:space="preserve">مَا تَرَوْنَ إِلى </w:t>
      </w:r>
      <w:r w:rsidR="006C577F" w:rsidRPr="006C577F">
        <w:rPr>
          <w:rStyle w:val="libFootnotenumChar"/>
          <w:rtl/>
        </w:rPr>
        <w:t>(6)</w:t>
      </w:r>
      <w:r w:rsidRPr="005B567D">
        <w:rPr>
          <w:rStyle w:val="libFootnotenumChar"/>
          <w:rtl/>
        </w:rPr>
        <w:t xml:space="preserve"> </w:t>
      </w:r>
      <w:r w:rsidRPr="00C9040A">
        <w:rPr>
          <w:rtl/>
          <w:lang w:bidi="fa-IR"/>
        </w:rPr>
        <w:t xml:space="preserve">هؤُلَاءِ فِي قِلَّتِهِمْ وَكَثْرَةِ عَدُوِّهِمْ يَصِفُونَ فَضْلَ آلِ مُحَمَّدٍ </w:t>
      </w:r>
      <w:r w:rsidR="004A4E41" w:rsidRPr="004A4E41">
        <w:rPr>
          <w:rStyle w:val="libAlaemChar"/>
          <w:rtl/>
        </w:rPr>
        <w:t>صلى‌الله‌عليه‌وآله</w:t>
      </w:r>
      <w:r>
        <w:rPr>
          <w:rtl/>
          <w:lang w:bidi="fa-IR"/>
        </w:rPr>
        <w:t>؟</w:t>
      </w:r>
      <w:r w:rsidRPr="00C9040A">
        <w:rPr>
          <w:rtl/>
          <w:lang w:bidi="fa-IR"/>
        </w:rPr>
        <w:t xml:space="preserve"> » قَالَ </w:t>
      </w:r>
      <w:r w:rsidR="006C577F" w:rsidRPr="006C577F">
        <w:rPr>
          <w:rStyle w:val="libFootnotenumChar"/>
          <w:rtl/>
        </w:rPr>
        <w:t>(7)</w:t>
      </w:r>
      <w:r w:rsidRPr="00C9040A">
        <w:rPr>
          <w:rtl/>
          <w:lang w:bidi="fa-IR"/>
        </w:rPr>
        <w:t xml:space="preserve"> : « فَتَقُولُ </w:t>
      </w:r>
      <w:r w:rsidR="006C577F" w:rsidRPr="006C577F">
        <w:rPr>
          <w:rStyle w:val="libFootnotenumChar"/>
          <w:rtl/>
        </w:rPr>
        <w:t>(8)</w:t>
      </w:r>
      <w:r w:rsidRPr="00C9040A">
        <w:rPr>
          <w:rtl/>
          <w:lang w:bidi="fa-IR"/>
        </w:rPr>
        <w:t xml:space="preserve"> الطَّائِفَةُ الْأُخْرى مِنَ الْمَلَائِكَةِ : </w:t>
      </w:r>
      <w:r w:rsidRPr="0003660B">
        <w:rPr>
          <w:rStyle w:val="libAlaemChar"/>
          <w:rtl/>
        </w:rPr>
        <w:t>(</w:t>
      </w:r>
      <w:r w:rsidRPr="006A2246">
        <w:rPr>
          <w:rStyle w:val="libAieChar"/>
          <w:rtl/>
        </w:rPr>
        <w:t xml:space="preserve"> ذلِكَ فَضْلُ اللهِ يُؤْتِيهِ مَنْ يَشاءُ وَاللهُ ذُو الْفَضْلِ الْعَظِيمِ </w:t>
      </w:r>
      <w:r w:rsidRPr="0003660B">
        <w:rPr>
          <w:rStyle w:val="libAlaemChar"/>
          <w:rtl/>
        </w:rPr>
        <w:t>)</w:t>
      </w:r>
      <w:r w:rsidRPr="00C9040A">
        <w:rPr>
          <w:rtl/>
          <w:lang w:bidi="fa-IR"/>
        </w:rPr>
        <w:t xml:space="preserve"> </w:t>
      </w:r>
      <w:r w:rsidR="006C577F" w:rsidRPr="006C577F">
        <w:rPr>
          <w:rStyle w:val="libFootnotenumChar"/>
          <w:rtl/>
        </w:rPr>
        <w:t>(9)</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Normal"/>
        <w:rPr>
          <w:rtl/>
          <w:lang w:bidi="fa-IR"/>
        </w:rPr>
      </w:pPr>
      <w:r w:rsidRPr="008642D7">
        <w:rPr>
          <w:rtl/>
        </w:rPr>
        <w:t>2125</w:t>
      </w:r>
      <w:r w:rsidRPr="00261CB0">
        <w:rPr>
          <w:rStyle w:val="libBold2Char"/>
          <w:rtl/>
        </w:rPr>
        <w:t xml:space="preserve"> / 5.</w:t>
      </w:r>
      <w:r w:rsidRPr="00C9040A">
        <w:rPr>
          <w:rtl/>
          <w:lang w:bidi="fa-IR"/>
        </w:rPr>
        <w:t xml:space="preserve"> عَنْهُ ، عَنْ أَحْمَدَ بْنِ مُحَمَّدٍ ، عَنِ ابْنِ فَضَّالٍ ، عَنِ ابْنِ مُسْكَانَ ، عَنْ مُيَسِّرٍ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w:t>
      </w:r>
      <w:r w:rsidR="006C577F" w:rsidRPr="006C577F">
        <w:rPr>
          <w:rStyle w:val="libFootnotenumChar"/>
          <w:rtl/>
        </w:rPr>
        <w:t>(11)</w:t>
      </w:r>
      <w:r>
        <w:rPr>
          <w:rtl/>
          <w:lang w:bidi="fa-IR"/>
        </w:rPr>
        <w:t xml:space="preserve"> ، قَالَ : قَالَ لِي : « أَ</w:t>
      </w:r>
      <w:r w:rsidRPr="00C9040A">
        <w:rPr>
          <w:rtl/>
          <w:lang w:bidi="fa-IR"/>
        </w:rPr>
        <w:t xml:space="preserve">تَخْلُونَ وَتَتَحَدَّثُونَ </w:t>
      </w:r>
      <w:r w:rsidR="006C577F" w:rsidRPr="006C577F">
        <w:rPr>
          <w:rStyle w:val="libFootnotenumChar"/>
          <w:rtl/>
        </w:rPr>
        <w:t>(12)</w:t>
      </w:r>
      <w:r w:rsidRPr="00C9040A">
        <w:rPr>
          <w:rtl/>
          <w:lang w:bidi="fa-IR"/>
        </w:rPr>
        <w:t xml:space="preserve"> ، وَتَقُولُونَ مَا شِئْتُمْ</w:t>
      </w:r>
      <w:r>
        <w:rPr>
          <w:rtl/>
          <w:lang w:bidi="fa-IR"/>
        </w:rPr>
        <w:t>؟</w:t>
      </w:r>
      <w:r w:rsidRPr="00C9040A">
        <w:rPr>
          <w:rtl/>
          <w:lang w:bidi="fa-IR"/>
        </w:rPr>
        <w:t xml:space="preserve"> » فَقُلْتُ : إِي وَاللهِ </w:t>
      </w:r>
      <w:r w:rsidRPr="005B567D">
        <w:rPr>
          <w:rStyle w:val="libFootnotenumChar"/>
          <w:rtl/>
        </w:rPr>
        <w:t>(13)</w:t>
      </w:r>
      <w:r w:rsidRPr="00C9040A">
        <w:rPr>
          <w:rtl/>
          <w:lang w:bidi="fa-IR"/>
        </w:rPr>
        <w:t xml:space="preserve"> ، إِنَّا لَنَخْلُو وَنَتَحَدَّثُ ، وَنَقُولُ مَا شِئْنَا ، فَقَالَ : « أَمَا وَاللهِ ، لَوَدِدْتُ أَنِّي مَعَكُمْ فِي بَعْضِ تِلْكَ الْمَوَاطِنِ ؛ أَمَا وَاللهِ ، إِنِّي لَأُحِبُّ رِيحَكُمْ وَأَرْوَاحَكُمْ ، وَ</w:t>
      </w:r>
      <w:r>
        <w:rPr>
          <w:rFonts w:hint="cs"/>
          <w:rtl/>
          <w:lang w:bidi="fa-IR"/>
        </w:rPr>
        <w:t xml:space="preserve"> </w:t>
      </w:r>
      <w:r w:rsidRPr="005B567D">
        <w:rPr>
          <w:rStyle w:val="libFootnotenumChar"/>
          <w:rtl/>
        </w:rPr>
        <w:t>(14)</w:t>
      </w:r>
      <w:r w:rsidRPr="00C9040A">
        <w:rPr>
          <w:rtl/>
          <w:lang w:bidi="fa-IR"/>
        </w:rPr>
        <w:t xml:space="preserve"> إِنَّكُمْ عَلى‌</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الكافي ، ح 15336 : « في سماء الدنيا »</w:t>
      </w:r>
      <w:r w:rsidR="008A74EB">
        <w:rPr>
          <w:rtl/>
        </w:rPr>
        <w:t>.</w:t>
      </w:r>
      <w:r w:rsidR="008A74EB" w:rsidRPr="00C9040A">
        <w:rPr>
          <w:rtl/>
        </w:rPr>
        <w:t xml:space="preserve"> وفي الوافي : + « الدنيا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ص ، ف » : « ليطلّعون » بتشديد اللام. ويجوز على بناء الإفعال.</w:t>
      </w:r>
    </w:p>
    <w:p w:rsidR="008A74EB" w:rsidRPr="00C9040A" w:rsidRDefault="006C577F" w:rsidP="004A4E41">
      <w:pPr>
        <w:pStyle w:val="libFootnote0"/>
        <w:rPr>
          <w:rtl/>
          <w:lang w:bidi="fa-IR"/>
        </w:rPr>
      </w:pPr>
      <w:r>
        <w:rPr>
          <w:rtl/>
        </w:rPr>
        <w:t>(3).</w:t>
      </w:r>
      <w:r w:rsidR="008A74EB" w:rsidRPr="00C9040A">
        <w:rPr>
          <w:rtl/>
        </w:rPr>
        <w:t xml:space="preserve"> في الكافي ، ح 15336 : « على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ف » والكافي ، ح 15336 </w:t>
      </w:r>
      <w:r w:rsidR="008A74EB">
        <w:rPr>
          <w:rtl/>
        </w:rPr>
        <w:t xml:space="preserve">: </w:t>
      </w:r>
      <w:r w:rsidR="0084262C">
        <w:rPr>
          <w:rtl/>
        </w:rPr>
        <w:t>-</w:t>
      </w:r>
      <w:r w:rsidR="008A74EB" w:rsidRPr="00C9040A">
        <w:rPr>
          <w:rtl/>
        </w:rPr>
        <w:t xml:space="preserve"> « قال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ب ، د ، ز ، ض ، ف ، بس ، بف » والوافي : « فيقول »</w:t>
      </w:r>
      <w:r w:rsidR="008A74EB">
        <w:rPr>
          <w:rtl/>
        </w:rPr>
        <w:t>.</w:t>
      </w:r>
      <w:r w:rsidR="008A74EB" w:rsidRPr="00C9040A">
        <w:rPr>
          <w:rtl/>
        </w:rPr>
        <w:t xml:space="preserve"> وفي « ج » والكافي ، ح 15336 : « فتقولون »</w:t>
      </w:r>
      <w:r w:rsidR="008A74EB">
        <w:rPr>
          <w:rtl/>
        </w:rPr>
        <w:t>.</w:t>
      </w:r>
      <w:r w:rsidR="008A74EB" w:rsidRPr="00C9040A">
        <w:rPr>
          <w:rtl/>
        </w:rPr>
        <w:t xml:space="preserve"> وفي حاشية « ج ، بر » : « فيقولون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الكافي ، ح 15336 </w:t>
      </w:r>
      <w:r w:rsidR="008A74EB">
        <w:rPr>
          <w:rtl/>
        </w:rPr>
        <w:t xml:space="preserve">: </w:t>
      </w:r>
      <w:r w:rsidR="0084262C">
        <w:rPr>
          <w:rtl/>
        </w:rPr>
        <w:t>-</w:t>
      </w:r>
      <w:r w:rsidR="008A74EB" w:rsidRPr="00C9040A">
        <w:rPr>
          <w:rtl/>
        </w:rPr>
        <w:t xml:space="preserve"> « إلى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الكافي ، ح 15336 </w:t>
      </w:r>
      <w:r w:rsidR="008A74EB">
        <w:rPr>
          <w:rtl/>
        </w:rPr>
        <w:t xml:space="preserve">: </w:t>
      </w:r>
      <w:r w:rsidR="0084262C">
        <w:rPr>
          <w:rtl/>
        </w:rPr>
        <w:t>-</w:t>
      </w:r>
      <w:r w:rsidR="008A74EB" w:rsidRPr="00C9040A">
        <w:rPr>
          <w:rtl/>
        </w:rPr>
        <w:t xml:space="preserve"> « قال »</w:t>
      </w:r>
      <w:r w:rsidR="008A74EB">
        <w:rPr>
          <w:rtl/>
        </w:rPr>
        <w:t>.</w:t>
      </w:r>
    </w:p>
    <w:tbl>
      <w:tblPr>
        <w:tblStyle w:val="TableGrid"/>
        <w:bidiVisual/>
        <w:tblW w:w="0" w:type="auto"/>
        <w:tblLook w:val="04A0" w:firstRow="1" w:lastRow="0" w:firstColumn="1" w:lastColumn="0" w:noHBand="0" w:noVBand="1"/>
      </w:tblPr>
      <w:tblGrid>
        <w:gridCol w:w="4006"/>
        <w:gridCol w:w="4006"/>
      </w:tblGrid>
      <w:tr w:rsidR="00AB7A78" w:rsidTr="00AB7A78">
        <w:tc>
          <w:tcPr>
            <w:tcW w:w="4006" w:type="dxa"/>
          </w:tcPr>
          <w:p w:rsidR="00AB7A78" w:rsidRDefault="00AB7A78" w:rsidP="004A4E41">
            <w:pPr>
              <w:pStyle w:val="libFootnote0"/>
              <w:rPr>
                <w:rtl/>
              </w:rPr>
            </w:pPr>
            <w:r>
              <w:rPr>
                <w:rtl/>
              </w:rPr>
              <w:t>(8).</w:t>
            </w:r>
            <w:r w:rsidRPr="00C9040A">
              <w:rPr>
                <w:rtl/>
              </w:rPr>
              <w:t xml:space="preserve"> في « ب » : « فيقول »</w:t>
            </w:r>
            <w:r>
              <w:rPr>
                <w:rtl/>
              </w:rPr>
              <w:t>.</w:t>
            </w:r>
          </w:p>
        </w:tc>
        <w:tc>
          <w:tcPr>
            <w:tcW w:w="4006" w:type="dxa"/>
          </w:tcPr>
          <w:p w:rsidR="00AB7A78" w:rsidRDefault="00AB7A78" w:rsidP="004A4E41">
            <w:pPr>
              <w:pStyle w:val="libFootnote0"/>
              <w:rPr>
                <w:rtl/>
              </w:rPr>
            </w:pPr>
            <w:r>
              <w:rPr>
                <w:rtl/>
              </w:rPr>
              <w:t>(9).</w:t>
            </w:r>
            <w:r w:rsidRPr="00C9040A">
              <w:rPr>
                <w:rtl/>
              </w:rPr>
              <w:t xml:space="preserve"> الحديد (57) : 21 ؛ الجمعة (62) : 4.</w:t>
            </w:r>
          </w:p>
        </w:tc>
      </w:tr>
    </w:tbl>
    <w:p w:rsidR="008A74EB" w:rsidRPr="00C9040A" w:rsidRDefault="006C577F" w:rsidP="004A4E41">
      <w:pPr>
        <w:pStyle w:val="libFootnote0"/>
        <w:rPr>
          <w:rtl/>
          <w:lang w:bidi="fa-IR"/>
        </w:rPr>
      </w:pPr>
      <w:r>
        <w:rPr>
          <w:rtl/>
        </w:rPr>
        <w:t>(10).</w:t>
      </w:r>
      <w:r w:rsidR="008A74EB" w:rsidRPr="00C9040A">
        <w:rPr>
          <w:rtl/>
        </w:rPr>
        <w:t xml:space="preserve"> </w:t>
      </w:r>
      <w:r w:rsidR="008A74EB" w:rsidRPr="00993B55">
        <w:rPr>
          <w:rStyle w:val="libFootnoteBoldChar"/>
          <w:rtl/>
        </w:rPr>
        <w:t>الكافي</w:t>
      </w:r>
      <w:r w:rsidR="008A74EB" w:rsidRPr="00C9040A">
        <w:rPr>
          <w:rtl/>
        </w:rPr>
        <w:t xml:space="preserve"> ، كتاب الروضة ، ح 15336 ، عن محمّد بن يحيى ، عن أحمد بن محمّد بن عيسى ، عن عليّ بن المستورد النخعي </w:t>
      </w:r>
      <w:r w:rsidR="008A74EB" w:rsidRPr="00993B55">
        <w:rPr>
          <w:rStyle w:val="libFootnoteBoldChar"/>
          <w:rtl/>
        </w:rPr>
        <w:t>الوافي</w:t>
      </w:r>
      <w:r w:rsidR="008A74EB" w:rsidRPr="00C9040A">
        <w:rPr>
          <w:rtl/>
        </w:rPr>
        <w:t xml:space="preserve"> ، ج 5 ، ص 650 ، ح 2791 ؛ </w:t>
      </w:r>
      <w:r w:rsidR="008A74EB" w:rsidRPr="00993B55">
        <w:rPr>
          <w:rStyle w:val="libFootnoteBoldChar"/>
          <w:rtl/>
        </w:rPr>
        <w:t>الوسائل</w:t>
      </w:r>
      <w:r w:rsidR="008A74EB" w:rsidRPr="00C9040A">
        <w:rPr>
          <w:rtl/>
        </w:rPr>
        <w:t xml:space="preserve"> ، ج 16 ، ص 346 ، ح 21725 ؛ </w:t>
      </w:r>
      <w:r w:rsidR="008A74EB" w:rsidRPr="00993B55">
        <w:rPr>
          <w:rStyle w:val="libFootnoteBoldChar"/>
          <w:rtl/>
        </w:rPr>
        <w:t>البحار</w:t>
      </w:r>
      <w:r w:rsidR="008A74EB" w:rsidRPr="00C9040A">
        <w:rPr>
          <w:rtl/>
        </w:rPr>
        <w:t xml:space="preserve"> ، ج 74 ، ص 260 ، ح 58.</w:t>
      </w:r>
    </w:p>
    <w:p w:rsidR="008A74EB" w:rsidRPr="00C9040A" w:rsidRDefault="006C577F" w:rsidP="004A4E41">
      <w:pPr>
        <w:pStyle w:val="libFootnote0"/>
        <w:rPr>
          <w:rtl/>
          <w:lang w:bidi="fa-IR"/>
        </w:rPr>
      </w:pPr>
      <w:r>
        <w:rPr>
          <w:rtl/>
        </w:rPr>
        <w:t>(11).</w:t>
      </w:r>
      <w:r w:rsidR="008A74EB" w:rsidRPr="00C9040A">
        <w:rPr>
          <w:rtl/>
        </w:rPr>
        <w:t xml:space="preserve"> ورد الخبر في </w:t>
      </w:r>
      <w:r w:rsidR="008A74EB" w:rsidRPr="00993B55">
        <w:rPr>
          <w:rStyle w:val="libFootnoteBoldChar"/>
          <w:rtl/>
        </w:rPr>
        <w:t>مصادقة الإخوان</w:t>
      </w:r>
      <w:r w:rsidR="008A74EB" w:rsidRPr="00C9040A">
        <w:rPr>
          <w:rtl/>
        </w:rPr>
        <w:t xml:space="preserve"> بسنده عن الحسن بن عليّ بن فضّال ، عن عبدالله بن مسكان ، عن ميسّر ، عن‌أبي جعفر الثاني </w:t>
      </w:r>
      <w:r w:rsidR="00117575" w:rsidRPr="00117575">
        <w:rPr>
          <w:rStyle w:val="libFootnoteAlaemChar"/>
          <w:rtl/>
        </w:rPr>
        <w:t xml:space="preserve">عليه‌السلام </w:t>
      </w:r>
      <w:r w:rsidR="008A74EB" w:rsidRPr="00C9040A">
        <w:rPr>
          <w:rtl/>
        </w:rPr>
        <w:t xml:space="preserve">. وهو سهو ؛ فإنّ المراد من ميسّر ، ميسّر بن عبدالعزيز ، وهو مات في حياة أبي عبدالله </w:t>
      </w:r>
      <w:r w:rsidR="00117575" w:rsidRPr="00117575">
        <w:rPr>
          <w:rStyle w:val="libFootnoteAlaemChar"/>
          <w:rtl/>
        </w:rPr>
        <w:t xml:space="preserve">عليه‌السلام </w:t>
      </w:r>
      <w:r w:rsidR="008A74EB" w:rsidRPr="00C9040A">
        <w:rPr>
          <w:rtl/>
        </w:rPr>
        <w:t xml:space="preserve">. راجع : </w:t>
      </w:r>
      <w:r w:rsidR="008A74EB" w:rsidRPr="00993B55">
        <w:rPr>
          <w:rStyle w:val="libFootnoteBoldChar"/>
          <w:rtl/>
        </w:rPr>
        <w:t>رجال الكشّي</w:t>
      </w:r>
      <w:r w:rsidR="008A74EB" w:rsidRPr="00C9040A">
        <w:rPr>
          <w:rtl/>
        </w:rPr>
        <w:t xml:space="preserve"> ، ص 244 ، الرقم 446</w:t>
      </w:r>
      <w:r w:rsidR="008A74EB">
        <w:rPr>
          <w:rtl/>
        </w:rPr>
        <w:t xml:space="preserve"> </w:t>
      </w:r>
      <w:r w:rsidR="0084262C">
        <w:rPr>
          <w:rtl/>
        </w:rPr>
        <w:t>-</w:t>
      </w:r>
      <w:r w:rsidR="008A74EB">
        <w:rPr>
          <w:rtl/>
        </w:rPr>
        <w:t xml:space="preserve"> </w:t>
      </w:r>
      <w:r w:rsidR="008A74EB" w:rsidRPr="00C9040A">
        <w:rPr>
          <w:rtl/>
        </w:rPr>
        <w:t xml:space="preserve">448 ؛ </w:t>
      </w:r>
      <w:r w:rsidR="008A74EB" w:rsidRPr="00993B55">
        <w:rPr>
          <w:rStyle w:val="libFootnoteBoldChar"/>
          <w:rtl/>
        </w:rPr>
        <w:t>رجال الطوسي</w:t>
      </w:r>
      <w:r w:rsidR="008A74EB" w:rsidRPr="00C9040A">
        <w:rPr>
          <w:rtl/>
        </w:rPr>
        <w:t xml:space="preserve"> ، ص 309 ، الرقم 4572.</w:t>
      </w:r>
    </w:p>
    <w:tbl>
      <w:tblPr>
        <w:tblStyle w:val="TableGrid"/>
        <w:bidiVisual/>
        <w:tblW w:w="0" w:type="auto"/>
        <w:tblLook w:val="04A0" w:firstRow="1" w:lastRow="0" w:firstColumn="1" w:lastColumn="0" w:noHBand="0" w:noVBand="1"/>
      </w:tblPr>
      <w:tblGrid>
        <w:gridCol w:w="4006"/>
        <w:gridCol w:w="4006"/>
      </w:tblGrid>
      <w:tr w:rsidR="00AB7A78" w:rsidTr="00AB7A78">
        <w:tc>
          <w:tcPr>
            <w:tcW w:w="4006" w:type="dxa"/>
          </w:tcPr>
          <w:p w:rsidR="00AB7A78" w:rsidRDefault="00AB7A78" w:rsidP="004A4E41">
            <w:pPr>
              <w:pStyle w:val="libFootnote0"/>
              <w:rPr>
                <w:rtl/>
              </w:rPr>
            </w:pPr>
            <w:r>
              <w:rPr>
                <w:rtl/>
              </w:rPr>
              <w:t>(12).</w:t>
            </w:r>
            <w:r w:rsidRPr="00C9040A">
              <w:rPr>
                <w:rtl/>
              </w:rPr>
              <w:t xml:space="preserve"> في « ب » والمصادقة : « وتحدّثون »</w:t>
            </w:r>
            <w:r>
              <w:rPr>
                <w:rtl/>
              </w:rPr>
              <w:t>.</w:t>
            </w:r>
          </w:p>
        </w:tc>
        <w:tc>
          <w:tcPr>
            <w:tcW w:w="4006" w:type="dxa"/>
          </w:tcPr>
          <w:p w:rsidR="00AB7A78" w:rsidRDefault="00AB7A78" w:rsidP="004A4E41">
            <w:pPr>
              <w:pStyle w:val="libFootnote0"/>
              <w:rPr>
                <w:rtl/>
              </w:rPr>
            </w:pPr>
            <w:r>
              <w:rPr>
                <w:rtl/>
              </w:rPr>
              <w:t>(13)</w:t>
            </w:r>
            <w:r w:rsidRPr="00C9040A">
              <w:rPr>
                <w:rtl/>
              </w:rPr>
              <w:t xml:space="preserve"> في « ب » : + « </w:t>
            </w:r>
            <w:r>
              <w:rPr>
                <w:rtl/>
              </w:rPr>
              <w:t>و ».</w:t>
            </w:r>
          </w:p>
        </w:tc>
      </w:tr>
    </w:tbl>
    <w:p w:rsidR="008A74EB" w:rsidRPr="00C9040A" w:rsidRDefault="008A74EB" w:rsidP="004A4E41">
      <w:pPr>
        <w:pStyle w:val="libFootnote0"/>
        <w:rPr>
          <w:rtl/>
          <w:lang w:bidi="fa-IR"/>
        </w:rPr>
      </w:pPr>
      <w:r>
        <w:rPr>
          <w:rtl/>
        </w:rPr>
        <w:t>(14)</w:t>
      </w:r>
      <w:r w:rsidRPr="00C9040A">
        <w:rPr>
          <w:rtl/>
        </w:rPr>
        <w:t xml:space="preserve"> في « ض » </w:t>
      </w:r>
      <w:r>
        <w:rPr>
          <w:rtl/>
        </w:rPr>
        <w:t xml:space="preserve">: </w:t>
      </w:r>
      <w:r w:rsidR="0084262C">
        <w:rPr>
          <w:rtl/>
        </w:rPr>
        <w:t>-</w:t>
      </w:r>
      <w:r w:rsidRPr="00C9040A">
        <w:rPr>
          <w:rtl/>
        </w:rPr>
        <w:t xml:space="preserve"> « </w:t>
      </w:r>
      <w:r>
        <w:rPr>
          <w:rtl/>
        </w:rPr>
        <w:t>و ».</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دِينِ اللهِ وَدِينِ مَلَائِكَتِهِ ، فَأَعِينُوا </w:t>
      </w:r>
      <w:r w:rsidR="006C577F" w:rsidRPr="006C577F">
        <w:rPr>
          <w:rStyle w:val="libFootnotenumChar"/>
          <w:rtl/>
        </w:rPr>
        <w:t>(1)</w:t>
      </w:r>
      <w:r w:rsidRPr="00C9040A">
        <w:rPr>
          <w:rtl/>
          <w:lang w:bidi="fa-IR"/>
        </w:rPr>
        <w:t xml:space="preserve"> بِوَرَعٍ وَاجْتِهَادٍ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8642D7">
        <w:rPr>
          <w:rtl/>
        </w:rPr>
        <w:t>2126</w:t>
      </w:r>
      <w:r w:rsidRPr="00261CB0">
        <w:rPr>
          <w:rStyle w:val="libBold2Char"/>
          <w:rtl/>
        </w:rPr>
        <w:t xml:space="preserve"> / 6.</w:t>
      </w:r>
      <w:r w:rsidRPr="00C9040A">
        <w:rPr>
          <w:rtl/>
          <w:lang w:bidi="fa-IR"/>
        </w:rPr>
        <w:t xml:space="preserve"> الْحُسَيْنُ بْنُ مُحَمَّدٍ وَمُحَمَّدُ بْنُ يَحْيى جَمِيعاً ، عَنْ عَلِيِّ بْنِ مُحَمَّدِ بْنِ سَعْدٍ </w:t>
      </w:r>
      <w:r w:rsidR="006C577F" w:rsidRPr="006C577F">
        <w:rPr>
          <w:rStyle w:val="libFootnotenumChar"/>
          <w:rtl/>
        </w:rPr>
        <w:t>(3)</w:t>
      </w:r>
      <w:r w:rsidRPr="00C9040A">
        <w:rPr>
          <w:rtl/>
          <w:lang w:bidi="fa-IR"/>
        </w:rPr>
        <w:t xml:space="preserve"> ، عَنْ مُحَمَّدِ بْنِ مُسْلِمٍ ، عَنْ أَحْمَدَ بْنِ زَكَرِيَّا ، عَنْ مُحَمَّدِ بْنِ خَالِدِ بْنِ مَيْمُونٍ ، عَنْ عَبْدِ اللهِ بْنِ سِنَانٍ ، عَنْ غِيَاثِ بْنِ إِبْرَاهِيمَ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مَا اجْتَمَعَ ثَلَاثَةٌ مِنَ </w:t>
      </w:r>
      <w:r w:rsidR="00AB7A78">
        <w:rPr>
          <w:rtl/>
          <w:lang w:bidi="fa-IR"/>
        </w:rPr>
        <w:t>الْمُؤْمِنِينَ فَصَاعِداً إِل</w:t>
      </w:r>
      <w:r w:rsidR="00AB7A78">
        <w:rPr>
          <w:rFonts w:hint="cs"/>
          <w:rtl/>
          <w:lang w:bidi="fa-IR"/>
        </w:rPr>
        <w:t>َّ</w:t>
      </w:r>
      <w:r w:rsidR="00AB7A78">
        <w:rPr>
          <w:rtl/>
          <w:lang w:bidi="fa-IR"/>
        </w:rPr>
        <w:t>ا</w:t>
      </w:r>
      <w:r w:rsidRPr="00C9040A">
        <w:rPr>
          <w:rtl/>
          <w:lang w:bidi="fa-IR"/>
        </w:rPr>
        <w:t xml:space="preserve"> حَضَرَ مِنَ الْمَلَائِكَةِ مِثْلُهُمْ ، فَإِنْ دَعَوْا بِخَيْرٍ ، أَمَّنُوا ؛ وَإِنِ اسْتَعَاذُوا مِنْ شَرٍّ ، دَعَوُا اللهَ لِيَصْرِفَهُ عَنْهُمْ ؛ وَإِنْ سَأَلُوا حَاجَةً ، تَشَفَّعُوا </w:t>
      </w:r>
      <w:r w:rsidR="006C577F" w:rsidRPr="006C577F">
        <w:rPr>
          <w:rStyle w:val="libFootnotenumChar"/>
          <w:rtl/>
        </w:rPr>
        <w:t>(4)</w:t>
      </w:r>
      <w:r w:rsidRPr="00C9040A">
        <w:rPr>
          <w:rtl/>
          <w:lang w:bidi="fa-IR"/>
        </w:rPr>
        <w:t xml:space="preserve"> إِلَى اللهِ وَسَأَلُوهُ قَضَاءَهَا.</w:t>
      </w:r>
    </w:p>
    <w:p w:rsidR="008A74EB" w:rsidRPr="00C9040A" w:rsidRDefault="008A74EB" w:rsidP="008A74EB">
      <w:pPr>
        <w:pStyle w:val="libNormal"/>
        <w:rPr>
          <w:rtl/>
          <w:lang w:bidi="fa-IR"/>
        </w:rPr>
      </w:pPr>
      <w:r w:rsidRPr="00C9040A">
        <w:rPr>
          <w:rtl/>
          <w:lang w:bidi="fa-IR"/>
        </w:rPr>
        <w:t>وَمَا اجْتَمَعَ ثَل</w:t>
      </w:r>
      <w:r w:rsidR="00AB7A78">
        <w:rPr>
          <w:rtl/>
          <w:lang w:bidi="fa-IR"/>
        </w:rPr>
        <w:t>َاثَةٌ مِنَ الْجَاحِدِينَ إِل</w:t>
      </w:r>
      <w:r w:rsidR="00AB7A78">
        <w:rPr>
          <w:rFonts w:hint="cs"/>
          <w:rtl/>
          <w:lang w:bidi="fa-IR"/>
        </w:rPr>
        <w:t>َّ</w:t>
      </w:r>
      <w:r w:rsidR="00AB7A78">
        <w:rPr>
          <w:rtl/>
          <w:lang w:bidi="fa-IR"/>
        </w:rPr>
        <w:t>ا</w:t>
      </w:r>
      <w:r w:rsidRPr="00C9040A">
        <w:rPr>
          <w:rtl/>
          <w:lang w:bidi="fa-IR"/>
        </w:rPr>
        <w:t xml:space="preserve"> حَضَرَهُمْ عَشَرَةُ </w:t>
      </w:r>
      <w:r w:rsidR="006C577F" w:rsidRPr="006C577F">
        <w:rPr>
          <w:rStyle w:val="libFootnotenumChar"/>
          <w:rtl/>
        </w:rPr>
        <w:t>(5)</w:t>
      </w:r>
      <w:r w:rsidRPr="00C9040A">
        <w:rPr>
          <w:rtl/>
          <w:lang w:bidi="fa-IR"/>
        </w:rPr>
        <w:t xml:space="preserve"> أَضْعَافِهِمْ مِنَ الشَّيَاطِينِ ، فَإِنْ </w:t>
      </w:r>
      <w:r w:rsidR="006C577F" w:rsidRPr="006C577F">
        <w:rPr>
          <w:rStyle w:val="libFootnotenumChar"/>
          <w:rtl/>
        </w:rPr>
        <w:t>(6)</w:t>
      </w:r>
      <w:r w:rsidRPr="005B567D">
        <w:rPr>
          <w:rStyle w:val="libFootnotenumChar"/>
          <w:rtl/>
        </w:rPr>
        <w:t xml:space="preserve"> </w:t>
      </w:r>
      <w:r w:rsidR="00AB7A78">
        <w:rPr>
          <w:rtl/>
          <w:lang w:bidi="fa-IR"/>
        </w:rPr>
        <w:t>تَكَلَّمُوا</w:t>
      </w:r>
      <w:r w:rsidRPr="00C9040A">
        <w:rPr>
          <w:rtl/>
          <w:lang w:bidi="fa-IR"/>
        </w:rPr>
        <w:t xml:space="preserve">، تَكَلَّمَ الشَّيْطَانُ </w:t>
      </w:r>
      <w:r w:rsidR="006C577F" w:rsidRPr="006C577F">
        <w:rPr>
          <w:rStyle w:val="libFootnotenumChar"/>
          <w:rtl/>
        </w:rPr>
        <w:t>(7)</w:t>
      </w:r>
      <w:r w:rsidRPr="00C9040A">
        <w:rPr>
          <w:rtl/>
          <w:lang w:bidi="fa-IR"/>
        </w:rPr>
        <w:t xml:space="preserve"> بِنَحْوِ كَلَامِهِمْ ؛ وَإِذَا ضَحِكُوا ، ضَحِكُوا مَعَهُمْ ، وَإِذَا نَالُوا مِنْ أَوْلِيَاءِ اللهِ ، نَالُوا مَعَهُمْ ، فَمَنِ ابْتُلِيَ مِنَ الْمُؤْمِنِينَ بِهِمْ ، فَإِذَا خَاضُوا فِي ذلِكَ </w:t>
      </w:r>
      <w:r w:rsidR="006C577F" w:rsidRPr="006C577F">
        <w:rPr>
          <w:rStyle w:val="libFootnotenumChar"/>
          <w:rtl/>
        </w:rPr>
        <w:t>(8)</w:t>
      </w:r>
      <w:r w:rsidRPr="00C9040A">
        <w:rPr>
          <w:rtl/>
          <w:lang w:bidi="fa-IR"/>
        </w:rPr>
        <w:t xml:space="preserve"> ، فَلْيَقُمْ ، وَلَا يَكُنْ </w:t>
      </w:r>
      <w:r w:rsidR="006C577F" w:rsidRPr="006C577F">
        <w:rPr>
          <w:rStyle w:val="libFootnotenumChar"/>
          <w:rtl/>
        </w:rPr>
        <w:t>(9)</w:t>
      </w:r>
      <w:r w:rsidRPr="00C9040A">
        <w:rPr>
          <w:rtl/>
          <w:lang w:bidi="fa-IR"/>
        </w:rPr>
        <w:t xml:space="preserve"> شِرْكَ </w:t>
      </w:r>
      <w:r w:rsidR="006C577F" w:rsidRPr="006C577F">
        <w:rPr>
          <w:rStyle w:val="libFootnotenumChar"/>
          <w:rtl/>
        </w:rPr>
        <w:t>(10)</w:t>
      </w:r>
      <w:r w:rsidRPr="00C9040A">
        <w:rPr>
          <w:rtl/>
          <w:lang w:bidi="fa-IR"/>
        </w:rPr>
        <w:t xml:space="preserve"> شَيْطَانٍ وَلَا جَلِيسَهُ ؛ فَإِنَّ غَضَبَ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لَايَقُومُ لَهُ شَيْ‌ءٌ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ف » والمصادقة : « فأعينونا »</w:t>
      </w:r>
      <w:r w:rsidR="008A74EB">
        <w:rPr>
          <w:rtl/>
        </w:rPr>
        <w:t>.</w:t>
      </w:r>
    </w:p>
    <w:p w:rsidR="008A74EB" w:rsidRPr="00C9040A" w:rsidRDefault="006C577F" w:rsidP="00AB7A78">
      <w:pPr>
        <w:pStyle w:val="libFootnote0"/>
        <w:rPr>
          <w:rtl/>
          <w:lang w:bidi="fa-IR"/>
        </w:rPr>
      </w:pPr>
      <w:r>
        <w:rPr>
          <w:rtl/>
        </w:rPr>
        <w:t>(2).</w:t>
      </w:r>
      <w:r w:rsidR="008A74EB">
        <w:rPr>
          <w:rtl/>
        </w:rPr>
        <w:t xml:space="preserve"> </w:t>
      </w:r>
      <w:r w:rsidR="008A74EB" w:rsidRPr="00993B55">
        <w:rPr>
          <w:rStyle w:val="libFootnoteBoldChar"/>
          <w:rtl/>
        </w:rPr>
        <w:t>مصادقة الإخوان</w:t>
      </w:r>
      <w:r w:rsidR="008A74EB" w:rsidRPr="00C9040A">
        <w:rPr>
          <w:rtl/>
        </w:rPr>
        <w:t xml:space="preserve"> ، ص 32 ، ح 2 ، بسنده عن الحسن بن عليّ بن فضّال ، عن عبد الله بن مسكان ، عن ميسّر ، عن أبي جعفر الثاني </w:t>
      </w:r>
      <w:r w:rsidR="00117575" w:rsidRPr="00117575">
        <w:rPr>
          <w:rStyle w:val="libFootnoteAlaemChar"/>
          <w:rtl/>
        </w:rPr>
        <w:t xml:space="preserve">عليه‌السلام </w:t>
      </w:r>
      <w:r w:rsidR="00AB7A78">
        <w:rPr>
          <w:rFonts w:hint="cs"/>
          <w:rtl/>
        </w:rPr>
        <w:t>.</w:t>
      </w:r>
      <w:r w:rsidR="008A74EB" w:rsidRPr="00993B55">
        <w:rPr>
          <w:rStyle w:val="libFootnoteBoldChar"/>
          <w:rtl/>
        </w:rPr>
        <w:t>الوافي</w:t>
      </w:r>
      <w:r w:rsidR="008A74EB" w:rsidRPr="00C9040A">
        <w:rPr>
          <w:rtl/>
        </w:rPr>
        <w:t xml:space="preserve"> ، ج 5 ، ص 650 ، ح 2792 ؛ </w:t>
      </w:r>
      <w:r w:rsidR="008A74EB" w:rsidRPr="00993B55">
        <w:rPr>
          <w:rStyle w:val="libFootnoteBoldChar"/>
          <w:rtl/>
        </w:rPr>
        <w:t>الوسائل</w:t>
      </w:r>
      <w:r w:rsidR="008A74EB" w:rsidRPr="00C9040A">
        <w:rPr>
          <w:rtl/>
        </w:rPr>
        <w:t xml:space="preserve"> ، ج 16 ، ص 347 ، ح 21726 ؛ </w:t>
      </w:r>
      <w:r w:rsidR="008A74EB" w:rsidRPr="00993B55">
        <w:rPr>
          <w:rStyle w:val="libFootnoteBoldChar"/>
          <w:rtl/>
        </w:rPr>
        <w:t>البحار</w:t>
      </w:r>
      <w:r w:rsidR="008A74EB" w:rsidRPr="00C9040A">
        <w:rPr>
          <w:rtl/>
        </w:rPr>
        <w:t xml:space="preserve"> ، ج 74 ، ص 260 ، ح 59.</w:t>
      </w:r>
    </w:p>
    <w:p w:rsidR="008A74EB" w:rsidRPr="00C9040A" w:rsidRDefault="006C577F" w:rsidP="004A4E41">
      <w:pPr>
        <w:pStyle w:val="libFootnote0"/>
        <w:rPr>
          <w:rtl/>
          <w:lang w:bidi="fa-IR"/>
        </w:rPr>
      </w:pPr>
      <w:r>
        <w:rPr>
          <w:rtl/>
        </w:rPr>
        <w:t>(3).</w:t>
      </w:r>
      <w:r w:rsidR="008A74EB" w:rsidRPr="00C9040A">
        <w:rPr>
          <w:rtl/>
        </w:rPr>
        <w:t xml:space="preserve"> في « ب ، ز ، ص ، ض » وحاشية « ف ، بر » : « سعيد »</w:t>
      </w:r>
      <w:r w:rsidR="008A74EB">
        <w:rPr>
          <w:rtl/>
        </w:rPr>
        <w:t>.</w:t>
      </w:r>
      <w:r w:rsidR="008A74EB" w:rsidRPr="00C9040A">
        <w:rPr>
          <w:rtl/>
        </w:rPr>
        <w:t xml:space="preserve"> وفي « ف » : « إسماعيل »</w:t>
      </w:r>
      <w:r w:rsidR="008A74EB">
        <w:rPr>
          <w:rtl/>
        </w:rPr>
        <w:t>.</w:t>
      </w:r>
      <w:r w:rsidR="008A74EB" w:rsidRPr="00C9040A">
        <w:rPr>
          <w:rtl/>
        </w:rPr>
        <w:t xml:space="preserve"> وفي البحار : + « بن إسماعيل »</w:t>
      </w:r>
      <w:r w:rsidR="008A74EB">
        <w:rPr>
          <w:rtl/>
        </w:rPr>
        <w:t>.</w:t>
      </w:r>
    </w:p>
    <w:p w:rsidR="008A74EB" w:rsidRPr="00C9040A" w:rsidRDefault="008A74EB" w:rsidP="004A4E41">
      <w:pPr>
        <w:pStyle w:val="libFootnote0"/>
        <w:rPr>
          <w:rtl/>
          <w:lang w:bidi="fa-IR"/>
        </w:rPr>
      </w:pPr>
      <w:r w:rsidRPr="00323A39">
        <w:rPr>
          <w:rtl/>
        </w:rPr>
        <w:t xml:space="preserve">وتقدّم الكلام في </w:t>
      </w:r>
      <w:r w:rsidRPr="00993B55">
        <w:rPr>
          <w:rStyle w:val="libFootnoteBoldChar"/>
          <w:rtl/>
        </w:rPr>
        <w:t>الكافي</w:t>
      </w:r>
      <w:r w:rsidRPr="00323A39">
        <w:rPr>
          <w:rtl/>
        </w:rPr>
        <w:t xml:space="preserve"> ، ح 1642 حول رواية الحسين بن محمّد ، عن عليّ بن محمّد بن سعيد ، عن محمّد بن مسلم ، وقلنا : إنّ الصواب هو « عليّ بن محمّد بن سعد ، عن محمّد بن سالم » ، فراجع.</w:t>
      </w:r>
    </w:p>
    <w:tbl>
      <w:tblPr>
        <w:tblStyle w:val="TableGrid"/>
        <w:bidiVisual/>
        <w:tblW w:w="0" w:type="auto"/>
        <w:tblLook w:val="04A0" w:firstRow="1" w:lastRow="0" w:firstColumn="1" w:lastColumn="0" w:noHBand="0" w:noVBand="1"/>
      </w:tblPr>
      <w:tblGrid>
        <w:gridCol w:w="4006"/>
        <w:gridCol w:w="4006"/>
      </w:tblGrid>
      <w:tr w:rsidR="00AB7A78" w:rsidTr="00AB7A78">
        <w:tc>
          <w:tcPr>
            <w:tcW w:w="4006" w:type="dxa"/>
          </w:tcPr>
          <w:p w:rsidR="00AB7A78" w:rsidRDefault="00AB7A78" w:rsidP="004A4E41">
            <w:pPr>
              <w:pStyle w:val="libFootnote0"/>
              <w:rPr>
                <w:rtl/>
              </w:rPr>
            </w:pPr>
            <w:r>
              <w:rPr>
                <w:rtl/>
              </w:rPr>
              <w:t>(4).</w:t>
            </w:r>
            <w:r w:rsidRPr="00C9040A">
              <w:rPr>
                <w:rtl/>
              </w:rPr>
              <w:t xml:space="preserve"> في الوسائل : « شفعوا »</w:t>
            </w:r>
            <w:r>
              <w:rPr>
                <w:rtl/>
              </w:rPr>
              <w:t>.</w:t>
            </w:r>
          </w:p>
        </w:tc>
        <w:tc>
          <w:tcPr>
            <w:tcW w:w="4006" w:type="dxa"/>
          </w:tcPr>
          <w:p w:rsidR="00AB7A78" w:rsidRDefault="008C4E08" w:rsidP="004A4E41">
            <w:pPr>
              <w:pStyle w:val="libFootnote0"/>
              <w:rPr>
                <w:rtl/>
              </w:rPr>
            </w:pPr>
            <w:r>
              <w:rPr>
                <w:rtl/>
              </w:rPr>
              <w:t>(5).</w:t>
            </w:r>
            <w:r w:rsidRPr="00C9040A">
              <w:rPr>
                <w:rtl/>
              </w:rPr>
              <w:t xml:space="preserve"> في « ض » </w:t>
            </w:r>
            <w:r>
              <w:rPr>
                <w:rtl/>
              </w:rPr>
              <w:t>: -</w:t>
            </w:r>
            <w:r w:rsidRPr="00C9040A">
              <w:rPr>
                <w:rtl/>
              </w:rPr>
              <w:t xml:space="preserve"> « عشرة »</w:t>
            </w:r>
            <w:r>
              <w:rPr>
                <w:rtl/>
              </w:rPr>
              <w:t>.</w:t>
            </w:r>
          </w:p>
        </w:tc>
      </w:tr>
      <w:tr w:rsidR="00AB7A78" w:rsidTr="00AB7A78">
        <w:tc>
          <w:tcPr>
            <w:tcW w:w="4006" w:type="dxa"/>
          </w:tcPr>
          <w:p w:rsidR="00AB7A78" w:rsidRDefault="008C4E08" w:rsidP="004A4E41">
            <w:pPr>
              <w:pStyle w:val="libFootnote0"/>
              <w:rPr>
                <w:rtl/>
              </w:rPr>
            </w:pPr>
            <w:r>
              <w:rPr>
                <w:rtl/>
              </w:rPr>
              <w:t xml:space="preserve">(6). </w:t>
            </w:r>
            <w:r w:rsidRPr="00C9040A">
              <w:rPr>
                <w:rtl/>
              </w:rPr>
              <w:t>في « ض » : « وإن »</w:t>
            </w:r>
            <w:r>
              <w:rPr>
                <w:rtl/>
              </w:rPr>
              <w:t>.</w:t>
            </w:r>
          </w:p>
        </w:tc>
        <w:tc>
          <w:tcPr>
            <w:tcW w:w="4006" w:type="dxa"/>
          </w:tcPr>
          <w:p w:rsidR="00AB7A78" w:rsidRDefault="008C4E08" w:rsidP="004A4E41">
            <w:pPr>
              <w:pStyle w:val="libFootnote0"/>
              <w:rPr>
                <w:rtl/>
              </w:rPr>
            </w:pPr>
            <w:r>
              <w:rPr>
                <w:rtl/>
              </w:rPr>
              <w:t>(7). في «ب ،ج ،ض » وحاشية «بر» :«الشياطين</w:t>
            </w:r>
            <w:r w:rsidRPr="00C9040A">
              <w:rPr>
                <w:rtl/>
              </w:rPr>
              <w:t>»</w:t>
            </w:r>
            <w:r>
              <w:rPr>
                <w:rtl/>
              </w:rPr>
              <w:t>.</w:t>
            </w:r>
          </w:p>
        </w:tc>
      </w:tr>
      <w:tr w:rsidR="00AB7A78" w:rsidTr="00AB7A78">
        <w:tc>
          <w:tcPr>
            <w:tcW w:w="4006" w:type="dxa"/>
          </w:tcPr>
          <w:p w:rsidR="00AB7A78" w:rsidRDefault="008C4E08" w:rsidP="004A4E41">
            <w:pPr>
              <w:pStyle w:val="libFootnote0"/>
              <w:rPr>
                <w:rtl/>
              </w:rPr>
            </w:pPr>
            <w:r>
              <w:rPr>
                <w:rtl/>
              </w:rPr>
              <w:t>(8).</w:t>
            </w:r>
            <w:r w:rsidRPr="00C9040A">
              <w:rPr>
                <w:rtl/>
              </w:rPr>
              <w:t xml:space="preserve"> في « ب » وحاشية « بس » : « تلك »</w:t>
            </w:r>
            <w:r>
              <w:rPr>
                <w:rtl/>
              </w:rPr>
              <w:t>.</w:t>
            </w:r>
          </w:p>
        </w:tc>
        <w:tc>
          <w:tcPr>
            <w:tcW w:w="4006" w:type="dxa"/>
          </w:tcPr>
          <w:p w:rsidR="00AB7A78" w:rsidRDefault="008C4E08" w:rsidP="004A4E41">
            <w:pPr>
              <w:pStyle w:val="libFootnote0"/>
              <w:rPr>
                <w:rtl/>
              </w:rPr>
            </w:pPr>
            <w:r>
              <w:rPr>
                <w:rtl/>
              </w:rPr>
              <w:t>(9). في «ض» : «فلا يكن</w:t>
            </w:r>
            <w:r w:rsidRPr="00C9040A">
              <w:rPr>
                <w:rtl/>
              </w:rPr>
              <w:t>»</w:t>
            </w:r>
            <w:r>
              <w:rPr>
                <w:rtl/>
              </w:rPr>
              <w:t>. وفي «ف» :«ولا تكن</w:t>
            </w:r>
            <w:r w:rsidRPr="00C9040A">
              <w:rPr>
                <w:rtl/>
              </w:rPr>
              <w:t>»</w:t>
            </w:r>
            <w:r>
              <w:rPr>
                <w:rtl/>
              </w:rPr>
              <w:t>.</w:t>
            </w:r>
          </w:p>
        </w:tc>
      </w:tr>
    </w:tbl>
    <w:p w:rsidR="008A74EB" w:rsidRPr="00C9040A" w:rsidRDefault="006C577F" w:rsidP="004A4E41">
      <w:pPr>
        <w:pStyle w:val="libFootnote0"/>
        <w:rPr>
          <w:rtl/>
          <w:lang w:bidi="fa-IR"/>
        </w:rPr>
      </w:pPr>
      <w:r>
        <w:rPr>
          <w:rtl/>
        </w:rPr>
        <w:t>(10).</w:t>
      </w:r>
      <w:r w:rsidR="008A74EB" w:rsidRPr="00C9040A">
        <w:rPr>
          <w:rtl/>
        </w:rPr>
        <w:t xml:space="preserve"> احتمل المازندراني في لفظ « شرك » ثلاث احتمالات : فتح الشين وكسر الراء مصدر شركه في الأمر ، أو كسر الأوّل وسكون الثاني بمعنى النصيب والشريك أيضاً ، أو فتحهما بمعنى حبالة الصيد وما ينصب للطير. والمجلسي اختار الأوّل ونسب الأخير إلى التصحيف لفظاً ومعنى. راجع : </w:t>
      </w:r>
      <w:r w:rsidR="008A74EB" w:rsidRPr="00993B55">
        <w:rPr>
          <w:rStyle w:val="libFootnoteBoldChar"/>
          <w:rtl/>
        </w:rPr>
        <w:t>شرح المازندراني</w:t>
      </w:r>
      <w:r w:rsidR="008A74EB" w:rsidRPr="00C9040A">
        <w:rPr>
          <w:rtl/>
        </w:rPr>
        <w:t xml:space="preserve"> ، ج 9 ، ص 65 ؛ </w:t>
      </w:r>
      <w:r w:rsidR="008A74EB" w:rsidRPr="00993B55">
        <w:rPr>
          <w:rStyle w:val="libFootnoteBoldChar"/>
          <w:rtl/>
        </w:rPr>
        <w:t>مرآة العقول</w:t>
      </w:r>
      <w:r w:rsidR="008A74EB" w:rsidRPr="00C9040A">
        <w:rPr>
          <w:rtl/>
        </w:rPr>
        <w:t xml:space="preserve"> ، ج 9 ، ص 88.</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وَلَعْنَتَهُ لَايَرُدُّهَا شَيْ‌ءٌ »</w:t>
      </w:r>
      <w:r>
        <w:rPr>
          <w:rtl/>
          <w:lang w:bidi="fa-IR"/>
        </w:rPr>
        <w:t>.</w:t>
      </w:r>
    </w:p>
    <w:p w:rsidR="008A74EB" w:rsidRPr="00C9040A" w:rsidRDefault="008A74EB" w:rsidP="008A74EB">
      <w:pPr>
        <w:pStyle w:val="libNormal"/>
        <w:rPr>
          <w:rtl/>
          <w:lang w:bidi="fa-IR"/>
        </w:rPr>
      </w:pPr>
      <w:r w:rsidRPr="00C9040A">
        <w:rPr>
          <w:rtl/>
          <w:lang w:bidi="fa-IR"/>
        </w:rPr>
        <w:t xml:space="preserve">ثُمَّ قَالَ صَلَوَاتُ اللهِ عَلَيْهِ : « فَإِنْ لَمْ يَسْتَطِعْ ، فَلْيُنْكِرْ بِقَلْبِهِ ، وَلْيَقُمْ وَلَوْ حَلْبَ شَاةٍ أَوْ فُوَاقَ نَاقَةٍ </w:t>
      </w:r>
      <w:r w:rsidR="006C577F" w:rsidRPr="006C577F">
        <w:rPr>
          <w:rStyle w:val="libFootnotenumChar"/>
          <w:rtl/>
        </w:rPr>
        <w:t>(1)</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8642D7">
        <w:rPr>
          <w:rtl/>
        </w:rPr>
        <w:t>2127</w:t>
      </w:r>
      <w:r w:rsidRPr="00261CB0">
        <w:rPr>
          <w:rStyle w:val="libBold2Char"/>
          <w:rtl/>
        </w:rPr>
        <w:t xml:space="preserve"> / 7.</w:t>
      </w:r>
      <w:r w:rsidRPr="00C9040A">
        <w:rPr>
          <w:rtl/>
          <w:lang w:bidi="fa-IR"/>
        </w:rPr>
        <w:t xml:space="preserve"> وَبِهذَا الْإِسْنَادِ </w:t>
      </w:r>
      <w:r w:rsidR="006C577F" w:rsidRPr="006C577F">
        <w:rPr>
          <w:rStyle w:val="libFootnotenumChar"/>
          <w:rtl/>
        </w:rPr>
        <w:t>(3)</w:t>
      </w:r>
      <w:r w:rsidRPr="00C9040A">
        <w:rPr>
          <w:rtl/>
          <w:lang w:bidi="fa-IR"/>
        </w:rPr>
        <w:t xml:space="preserve"> ، عَنْ مُحَمَّدِ بْنِ سُلَيْمَانَ ، عَنْ مُحَمَّدِ بْنِ مَحْفُوظٍ ، عَنْ أَبِي الْمَغْرَاءِ ، قَالَ :</w:t>
      </w:r>
    </w:p>
    <w:p w:rsidR="008A74EB" w:rsidRPr="00C9040A" w:rsidRDefault="008A74EB" w:rsidP="008A74EB">
      <w:pPr>
        <w:pStyle w:val="libNormal"/>
        <w:rPr>
          <w:rtl/>
          <w:lang w:bidi="fa-IR"/>
        </w:rPr>
      </w:pPr>
      <w:r w:rsidRPr="00C9040A">
        <w:rPr>
          <w:rtl/>
          <w:lang w:bidi="fa-IR"/>
        </w:rPr>
        <w:t xml:space="preserve">سَمِعْتُ أَبَا الْحَسَنِ </w:t>
      </w:r>
      <w:r w:rsidRPr="0003660B">
        <w:rPr>
          <w:rStyle w:val="libAlaemChar"/>
          <w:rtl/>
        </w:rPr>
        <w:t>عليه‌السلام</w:t>
      </w:r>
      <w:r w:rsidRPr="00C9040A">
        <w:rPr>
          <w:rtl/>
          <w:lang w:bidi="fa-IR"/>
        </w:rPr>
        <w:t xml:space="preserve"> يَقُولُ : « لَيْسَ شَيْ‌ءٌ أَنْكى </w:t>
      </w:r>
      <w:r w:rsidR="006C577F" w:rsidRPr="006C577F">
        <w:rPr>
          <w:rStyle w:val="libFootnotenumChar"/>
          <w:rtl/>
        </w:rPr>
        <w:t>(4)</w:t>
      </w:r>
      <w:r w:rsidRPr="00C9040A">
        <w:rPr>
          <w:rtl/>
          <w:lang w:bidi="fa-IR"/>
        </w:rPr>
        <w:t xml:space="preserve"> لِإِبْلِيسَ </w:t>
      </w:r>
      <w:r w:rsidR="006C577F" w:rsidRPr="006C577F">
        <w:rPr>
          <w:rStyle w:val="libFootnotenumChar"/>
          <w:rtl/>
        </w:rPr>
        <w:t>(5)</w:t>
      </w:r>
      <w:r w:rsidRPr="00C9040A">
        <w:rPr>
          <w:rtl/>
          <w:lang w:bidi="fa-IR"/>
        </w:rPr>
        <w:t xml:space="preserve"> وَجُنُودِهِ مِنْ </w:t>
      </w:r>
      <w:r w:rsidR="006C577F" w:rsidRPr="006C577F">
        <w:rPr>
          <w:rStyle w:val="libFootnotenumChar"/>
          <w:rtl/>
        </w:rPr>
        <w:t>(6)</w:t>
      </w:r>
      <w:r w:rsidRPr="005B567D">
        <w:rPr>
          <w:rStyle w:val="libFootnotenumChar"/>
          <w:rtl/>
        </w:rPr>
        <w:t xml:space="preserve"> </w:t>
      </w:r>
      <w:r w:rsidRPr="00C9040A">
        <w:rPr>
          <w:rtl/>
          <w:lang w:bidi="fa-IR"/>
        </w:rPr>
        <w:t>زِيَارَةِ الْإِخْوَانِ فِي اللهِ بَعْضِهِمْ لِبَعْضٍ »</w:t>
      </w:r>
      <w:r>
        <w:rPr>
          <w:rtl/>
          <w:lang w:bidi="fa-IR"/>
        </w:rPr>
        <w:t>.</w:t>
      </w:r>
    </w:p>
    <w:p w:rsidR="008A74EB" w:rsidRPr="00C9040A" w:rsidRDefault="008A74EB" w:rsidP="008A74EB">
      <w:pPr>
        <w:pStyle w:val="libNormal"/>
        <w:rPr>
          <w:rtl/>
          <w:lang w:bidi="fa-IR"/>
        </w:rPr>
      </w:pPr>
      <w:r w:rsidRPr="00C9040A">
        <w:rPr>
          <w:rtl/>
          <w:lang w:bidi="fa-IR"/>
        </w:rPr>
        <w:t xml:space="preserve">قَالَ </w:t>
      </w:r>
      <w:r w:rsidR="006C577F" w:rsidRPr="006C577F">
        <w:rPr>
          <w:rStyle w:val="libFootnotenumChar"/>
          <w:rtl/>
        </w:rPr>
        <w:t>(7)</w:t>
      </w:r>
      <w:r w:rsidRPr="00C9040A">
        <w:rPr>
          <w:rtl/>
          <w:lang w:bidi="fa-IR"/>
        </w:rPr>
        <w:t xml:space="preserve"> : « وَإِنَّ الْمُؤْمِنَيْنِ يَلْتَقِيَانِ ، فَيَذْكُرَانِ اللهَ ، ثُمَّ يَذْكُرَانِ فَضْلَنَا أَهْلَ الْبَيْتِ ، فَلَا يَبْقى عَلى وَجْهِ إِبْلِيسَ </w:t>
      </w:r>
      <w:r w:rsidR="006C577F" w:rsidRPr="006C577F">
        <w:rPr>
          <w:rStyle w:val="libFootnotenumChar"/>
          <w:rtl/>
        </w:rPr>
        <w:t>(8)</w:t>
      </w:r>
      <w:r w:rsidRPr="00C9040A">
        <w:rPr>
          <w:rtl/>
          <w:lang w:bidi="fa-IR"/>
        </w:rPr>
        <w:t xml:space="preserve"> مُضْغَةُ </w:t>
      </w:r>
      <w:r w:rsidR="006C577F" w:rsidRPr="006C577F">
        <w:rPr>
          <w:rStyle w:val="libFootnotenumChar"/>
          <w:rtl/>
        </w:rPr>
        <w:t>(9)</w:t>
      </w:r>
      <w:r w:rsidRPr="00C9040A">
        <w:rPr>
          <w:rtl/>
          <w:lang w:bidi="fa-IR"/>
        </w:rPr>
        <w:t xml:space="preserve"> ‌</w:t>
      </w:r>
      <w:r w:rsidR="008C4E08">
        <w:rPr>
          <w:rFonts w:hint="cs"/>
          <w:rtl/>
          <w:lang w:bidi="fa-IR"/>
        </w:rPr>
        <w:t>...................................................</w:t>
      </w:r>
      <w:r w:rsidR="008C4E08">
        <w:rPr>
          <w:rFonts w:hint="cs"/>
          <w:rtl/>
          <w:lang w:bidi="fa-IR"/>
        </w:rPr>
        <w:tab/>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 فواق الناقة » : رجوع اللبن في ضرعها بعد حَلبِها. تقول العرب : ما أقام عندي فواق ناقة. </w:t>
      </w:r>
      <w:r w:rsidR="008A74EB" w:rsidRPr="00993B55">
        <w:rPr>
          <w:rStyle w:val="libFootnoteBoldChar"/>
          <w:rtl/>
        </w:rPr>
        <w:t>ترتيب كتاب العين</w:t>
      </w:r>
      <w:r w:rsidR="008A74EB" w:rsidRPr="00C9040A">
        <w:rPr>
          <w:rtl/>
        </w:rPr>
        <w:t xml:space="preserve"> ، ج 3 ، ص 1425 ( فوق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الوافي</w:t>
      </w:r>
      <w:r w:rsidR="008A74EB" w:rsidRPr="00C9040A">
        <w:rPr>
          <w:rtl/>
        </w:rPr>
        <w:t xml:space="preserve"> ، ج 5 ، ص 651 ، ح 2794 ؛ </w:t>
      </w:r>
      <w:r w:rsidR="008A74EB" w:rsidRPr="00993B55">
        <w:rPr>
          <w:rStyle w:val="libFootnoteBoldChar"/>
          <w:rtl/>
        </w:rPr>
        <w:t>الوسائل</w:t>
      </w:r>
      <w:r w:rsidR="008A74EB" w:rsidRPr="00C9040A">
        <w:rPr>
          <w:rtl/>
        </w:rPr>
        <w:t xml:space="preserve"> ، ج 16 ، ص 347 ، ح 21728 ، إلى قوله : « تشفعوا إلى الله وسألوه قضاءها » ؛ </w:t>
      </w:r>
      <w:r w:rsidR="008A74EB" w:rsidRPr="00993B55">
        <w:rPr>
          <w:rStyle w:val="libFootnoteBoldChar"/>
          <w:rtl/>
        </w:rPr>
        <w:t>البحار</w:t>
      </w:r>
      <w:r w:rsidR="008A74EB" w:rsidRPr="00C9040A">
        <w:rPr>
          <w:rtl/>
        </w:rPr>
        <w:t xml:space="preserve"> ، ج 63 ، ص 258 ، ح 130 ؛ وج 74 ، ص 261 ، ح 60.</w:t>
      </w:r>
    </w:p>
    <w:p w:rsidR="008A74EB" w:rsidRPr="00C9040A" w:rsidRDefault="006C577F" w:rsidP="004A4E41">
      <w:pPr>
        <w:pStyle w:val="libFootnote0"/>
        <w:rPr>
          <w:rtl/>
          <w:lang w:bidi="fa-IR"/>
        </w:rPr>
      </w:pPr>
      <w:r>
        <w:rPr>
          <w:rtl/>
        </w:rPr>
        <w:t>(3).</w:t>
      </w:r>
      <w:r w:rsidR="008A74EB" w:rsidRPr="00C9040A">
        <w:rPr>
          <w:rtl/>
        </w:rPr>
        <w:t xml:space="preserve"> لم يتقدّم في الأسناد المتقدّمة ذكرٌ لمحمّد بن سليمان حتّى يظهر المراد من « بهذا الإسناد » ، لكن تأتي </w:t>
      </w:r>
      <w:r w:rsidR="008A74EB" w:rsidRPr="00D767F5">
        <w:rPr>
          <w:rtl/>
        </w:rPr>
        <w:t>في</w:t>
      </w:r>
      <w:r w:rsidR="008A74EB" w:rsidRPr="00993B55">
        <w:rPr>
          <w:rStyle w:val="libFootnoteBoldChar"/>
          <w:rtl/>
        </w:rPr>
        <w:t>‌</w:t>
      </w:r>
      <w:r w:rsidR="00D767F5">
        <w:rPr>
          <w:rStyle w:val="libFootnoteBoldChar"/>
          <w:rFonts w:hint="cs"/>
          <w:rtl/>
        </w:rPr>
        <w:t xml:space="preserve"> </w:t>
      </w:r>
      <w:r w:rsidR="008A74EB" w:rsidRPr="00993B55">
        <w:rPr>
          <w:rStyle w:val="libFootnoteBoldChar"/>
          <w:rtl/>
        </w:rPr>
        <w:t>الكافي</w:t>
      </w:r>
      <w:r w:rsidR="008A74EB" w:rsidRPr="00C9040A">
        <w:rPr>
          <w:rtl/>
        </w:rPr>
        <w:t xml:space="preserve"> ، ح 2714 رواية الحسين بن محمّد ، عن عليّ بن محمّد بن سعيد ، عن محمّد بن مسلم ، عن محمّد بن محفوظ ، وعرفنا آنفاً أنّ الصواب في مثل السند هو : « عليّ بن محمّد بن سعد ، عن محمّد بن سالم »</w:t>
      </w:r>
      <w:r w:rsidR="008A74EB">
        <w:rPr>
          <w:rtl/>
        </w:rPr>
        <w:t>.</w:t>
      </w:r>
    </w:p>
    <w:p w:rsidR="008A74EB" w:rsidRPr="00C9040A" w:rsidRDefault="008A74EB" w:rsidP="004A4E41">
      <w:pPr>
        <w:pStyle w:val="libFootnote0"/>
        <w:rPr>
          <w:rtl/>
          <w:lang w:bidi="fa-IR"/>
        </w:rPr>
      </w:pPr>
      <w:r w:rsidRPr="0082575F">
        <w:rPr>
          <w:rtl/>
        </w:rPr>
        <w:t>والظاهر أنّ محمّد بن سليمان أيضاً ، في سندنا هذا مصحّف من « محمّد بن سالم » ، كما كان الأمر في محمّد بن مسلم المتقدّم هكذا. والمراد من « بهذا الإسناد » هو الطريق المتقدّم إلى محمّد بن مسلم.</w:t>
      </w:r>
    </w:p>
    <w:p w:rsidR="008A74EB" w:rsidRPr="00C9040A" w:rsidRDefault="008A74EB" w:rsidP="004A4E41">
      <w:pPr>
        <w:pStyle w:val="libFootnote0"/>
        <w:rPr>
          <w:rtl/>
          <w:lang w:bidi="fa-IR"/>
        </w:rPr>
      </w:pPr>
      <w:r w:rsidRPr="0082575F">
        <w:rPr>
          <w:rtl/>
        </w:rPr>
        <w:t>هذا ، ولا يخفى عليك أنّ الوجه في تحريف « سالم » ببعض الألفاظ ، هو حذف « الألف » في بعض الخطوط القديمة ، وهذا الأمر قد أوجب تحريف « سالم » ببعض الألفاظ المشابهة له بعد حذف « الألف » ، منها : مسلم ، سلمة ، مسلمة وسليمن.</w:t>
      </w:r>
    </w:p>
    <w:p w:rsidR="008A74EB" w:rsidRPr="00C9040A" w:rsidRDefault="006C577F" w:rsidP="004A4E41">
      <w:pPr>
        <w:pStyle w:val="libFootnote0"/>
        <w:rPr>
          <w:rtl/>
          <w:lang w:bidi="fa-IR"/>
        </w:rPr>
      </w:pPr>
      <w:r>
        <w:rPr>
          <w:rtl/>
        </w:rPr>
        <w:t>(4).</w:t>
      </w:r>
      <w:r w:rsidR="008A74EB" w:rsidRPr="00C9040A">
        <w:rPr>
          <w:rtl/>
        </w:rPr>
        <w:t xml:space="preserve"> في « بس » : « أبكى »</w:t>
      </w:r>
      <w:r w:rsidR="008A74EB">
        <w:rPr>
          <w:rtl/>
        </w:rPr>
        <w:t>.</w:t>
      </w:r>
      <w:r w:rsidR="008A74EB" w:rsidRPr="00C9040A">
        <w:rPr>
          <w:rtl/>
        </w:rPr>
        <w:t xml:space="preserve"> يقال : نكيت في العدوّ أنكِى نكايةً فأنا ناكٍ ، إذا أكثرتَ فيهم الجِراحَ والقتل فوهنوا لذلك. وقد يهمز لغة فيه. يقال : نكأت القَرْحةَ أنكَؤُها ، إذا قَشَرتها. </w:t>
      </w:r>
      <w:r w:rsidR="008A74EB" w:rsidRPr="00993B55">
        <w:rPr>
          <w:rStyle w:val="libFootnoteBoldChar"/>
          <w:rtl/>
        </w:rPr>
        <w:t>النهاية</w:t>
      </w:r>
      <w:r w:rsidR="008A74EB" w:rsidRPr="00C9040A">
        <w:rPr>
          <w:rtl/>
        </w:rPr>
        <w:t xml:space="preserve"> ، ج 5 ، ص 117 ( نكا )</w:t>
      </w:r>
      <w:r w:rsidR="008A74EB">
        <w:rPr>
          <w:rtl/>
        </w:rPr>
        <w:t>.</w:t>
      </w:r>
    </w:p>
    <w:tbl>
      <w:tblPr>
        <w:tblStyle w:val="TableGrid"/>
        <w:bidiVisual/>
        <w:tblW w:w="0" w:type="auto"/>
        <w:tblLook w:val="04A0" w:firstRow="1" w:lastRow="0" w:firstColumn="1" w:lastColumn="0" w:noHBand="0" w:noVBand="1"/>
      </w:tblPr>
      <w:tblGrid>
        <w:gridCol w:w="4006"/>
        <w:gridCol w:w="4006"/>
      </w:tblGrid>
      <w:tr w:rsidR="00D767F5" w:rsidTr="00D767F5">
        <w:tc>
          <w:tcPr>
            <w:tcW w:w="4006" w:type="dxa"/>
          </w:tcPr>
          <w:p w:rsidR="00D767F5" w:rsidRDefault="00D767F5" w:rsidP="004A4E41">
            <w:pPr>
              <w:pStyle w:val="libFootnote0"/>
              <w:rPr>
                <w:rtl/>
              </w:rPr>
            </w:pPr>
            <w:r>
              <w:rPr>
                <w:rtl/>
              </w:rPr>
              <w:t>(5).</w:t>
            </w:r>
            <w:r w:rsidRPr="00C9040A">
              <w:rPr>
                <w:rtl/>
              </w:rPr>
              <w:t xml:space="preserve"> في « ض » : + « لعنه الله »</w:t>
            </w:r>
            <w:r>
              <w:rPr>
                <w:rtl/>
              </w:rPr>
              <w:t>.</w:t>
            </w:r>
          </w:p>
        </w:tc>
        <w:tc>
          <w:tcPr>
            <w:tcW w:w="4006" w:type="dxa"/>
          </w:tcPr>
          <w:p w:rsidR="00D767F5" w:rsidRDefault="00D767F5" w:rsidP="004A4E41">
            <w:pPr>
              <w:pStyle w:val="libFootnote0"/>
              <w:rPr>
                <w:rtl/>
              </w:rPr>
            </w:pPr>
            <w:r>
              <w:rPr>
                <w:rtl/>
              </w:rPr>
              <w:t xml:space="preserve">(6). </w:t>
            </w:r>
            <w:r w:rsidRPr="00C9040A">
              <w:rPr>
                <w:rtl/>
              </w:rPr>
              <w:t>في البحار ، ج 74 : « عن »</w:t>
            </w:r>
            <w:r>
              <w:rPr>
                <w:rtl/>
              </w:rPr>
              <w:t>.</w:t>
            </w:r>
          </w:p>
        </w:tc>
      </w:tr>
      <w:tr w:rsidR="00D767F5" w:rsidTr="00D767F5">
        <w:tc>
          <w:tcPr>
            <w:tcW w:w="4006" w:type="dxa"/>
          </w:tcPr>
          <w:p w:rsidR="00D767F5" w:rsidRDefault="00D767F5" w:rsidP="004A4E41">
            <w:pPr>
              <w:pStyle w:val="libFootnote0"/>
              <w:rPr>
                <w:rtl/>
              </w:rPr>
            </w:pPr>
            <w:r>
              <w:rPr>
                <w:rtl/>
              </w:rPr>
              <w:t>(7).</w:t>
            </w:r>
            <w:r w:rsidRPr="00C9040A">
              <w:rPr>
                <w:rtl/>
              </w:rPr>
              <w:t xml:space="preserve"> في البحار : « وقال »</w:t>
            </w:r>
            <w:r>
              <w:rPr>
                <w:rtl/>
              </w:rPr>
              <w:t>.</w:t>
            </w:r>
          </w:p>
        </w:tc>
        <w:tc>
          <w:tcPr>
            <w:tcW w:w="4006" w:type="dxa"/>
          </w:tcPr>
          <w:p w:rsidR="00D767F5" w:rsidRDefault="00D767F5" w:rsidP="004A4E41">
            <w:pPr>
              <w:pStyle w:val="libFootnote0"/>
              <w:rPr>
                <w:rtl/>
              </w:rPr>
            </w:pPr>
            <w:r>
              <w:rPr>
                <w:rtl/>
              </w:rPr>
              <w:t>(8).</w:t>
            </w:r>
            <w:r w:rsidRPr="00C9040A">
              <w:rPr>
                <w:rtl/>
              </w:rPr>
              <w:t xml:space="preserve"> في « ض » : + « لعنه الله »</w:t>
            </w:r>
            <w:r>
              <w:rPr>
                <w:rtl/>
              </w:rPr>
              <w:t>.</w:t>
            </w:r>
          </w:p>
        </w:tc>
      </w:tr>
    </w:tbl>
    <w:p w:rsidR="008A74EB" w:rsidRPr="00C9040A" w:rsidRDefault="006C577F" w:rsidP="004A4E41">
      <w:pPr>
        <w:pStyle w:val="libFootnote0"/>
        <w:rPr>
          <w:rtl/>
          <w:lang w:bidi="fa-IR"/>
        </w:rPr>
      </w:pPr>
      <w:r>
        <w:rPr>
          <w:rtl/>
        </w:rPr>
        <w:t>(9).</w:t>
      </w:r>
      <w:r w:rsidR="00D767F5">
        <w:rPr>
          <w:rtl/>
        </w:rPr>
        <w:t xml:space="preserve"> « الم</w:t>
      </w:r>
      <w:r w:rsidR="00D767F5">
        <w:rPr>
          <w:rFonts w:hint="cs"/>
          <w:rtl/>
        </w:rPr>
        <w:t>ـُ</w:t>
      </w:r>
      <w:r w:rsidR="008A74EB" w:rsidRPr="00C9040A">
        <w:rPr>
          <w:rtl/>
        </w:rPr>
        <w:t xml:space="preserve">ضْغَة » : القطعة من اللحم قَدْرَ ما يمضغ. وجمعها : مُضَغ. </w:t>
      </w:r>
      <w:r w:rsidR="008A74EB" w:rsidRPr="00993B55">
        <w:rPr>
          <w:rStyle w:val="libFootnoteBoldChar"/>
          <w:rtl/>
        </w:rPr>
        <w:t>النهاية</w:t>
      </w:r>
      <w:r w:rsidR="008A74EB" w:rsidRPr="00C9040A">
        <w:rPr>
          <w:rtl/>
        </w:rPr>
        <w:t xml:space="preserve"> ، ج 4 ، ص 339 ( مضغ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لَحْمٍ </w:t>
      </w:r>
      <w:r w:rsidR="006C577F" w:rsidRPr="006C577F">
        <w:rPr>
          <w:rStyle w:val="libFootnotenumChar"/>
          <w:rtl/>
        </w:rPr>
        <w:t>(1)</w:t>
      </w:r>
      <w:r w:rsidR="00D767F5">
        <w:rPr>
          <w:rtl/>
          <w:lang w:bidi="fa-IR"/>
        </w:rPr>
        <w:t xml:space="preserve"> إِل</w:t>
      </w:r>
      <w:r w:rsidR="00D767F5">
        <w:rPr>
          <w:rFonts w:hint="cs"/>
          <w:rtl/>
          <w:lang w:bidi="fa-IR"/>
        </w:rPr>
        <w:t>َّ</w:t>
      </w:r>
      <w:r w:rsidR="00D767F5">
        <w:rPr>
          <w:rtl/>
          <w:lang w:bidi="fa-IR"/>
        </w:rPr>
        <w:t>ا</w:t>
      </w:r>
      <w:r w:rsidRPr="00C9040A">
        <w:rPr>
          <w:rtl/>
          <w:lang w:bidi="fa-IR"/>
        </w:rPr>
        <w:t xml:space="preserve"> تَخَدَّدُ </w:t>
      </w:r>
      <w:r w:rsidR="006C577F" w:rsidRPr="006C577F">
        <w:rPr>
          <w:rStyle w:val="libFootnotenumChar"/>
          <w:rtl/>
        </w:rPr>
        <w:t>(2)</w:t>
      </w:r>
      <w:r w:rsidRPr="00C9040A">
        <w:rPr>
          <w:rtl/>
          <w:lang w:bidi="fa-IR"/>
        </w:rPr>
        <w:t xml:space="preserve"> ، حَتّى أَنَّ </w:t>
      </w:r>
      <w:r w:rsidR="006C577F" w:rsidRPr="006C577F">
        <w:rPr>
          <w:rStyle w:val="libFootnotenumChar"/>
          <w:rtl/>
        </w:rPr>
        <w:t>(3)</w:t>
      </w:r>
      <w:r w:rsidRPr="00C9040A">
        <w:rPr>
          <w:rtl/>
          <w:lang w:bidi="fa-IR"/>
        </w:rPr>
        <w:t xml:space="preserve"> رُوحَهُ لَتَسْتَغِيثُ مِنْ شِدَّةِ مَا يَجِدُ </w:t>
      </w:r>
      <w:r w:rsidR="006C577F" w:rsidRPr="006C577F">
        <w:rPr>
          <w:rStyle w:val="libFootnotenumChar"/>
          <w:rtl/>
        </w:rPr>
        <w:t>(4)</w:t>
      </w:r>
      <w:r w:rsidRPr="00C9040A">
        <w:rPr>
          <w:rtl/>
          <w:lang w:bidi="fa-IR"/>
        </w:rPr>
        <w:t xml:space="preserve"> مِنَ الْأَلَمِ ، فَتَحُسُّ </w:t>
      </w:r>
      <w:r w:rsidR="006C577F" w:rsidRPr="006C577F">
        <w:rPr>
          <w:rStyle w:val="libFootnotenumChar"/>
          <w:rtl/>
        </w:rPr>
        <w:t>(5)</w:t>
      </w:r>
      <w:r w:rsidRPr="00C9040A">
        <w:rPr>
          <w:rtl/>
          <w:lang w:bidi="fa-IR"/>
        </w:rPr>
        <w:t xml:space="preserve"> مَلَائِكَةُ السَّمَاءِ وَخُزَّانُ الْجِنَانِ ، فَيَلْعَنُونَهُ حَتّى ل</w:t>
      </w:r>
      <w:r w:rsidR="00D767F5">
        <w:rPr>
          <w:rtl/>
          <w:lang w:bidi="fa-IR"/>
        </w:rPr>
        <w:t>َايَبْقى مَلَكٌ مُقَرَّبٌ إِل</w:t>
      </w:r>
      <w:r w:rsidR="00D767F5">
        <w:rPr>
          <w:rFonts w:hint="cs"/>
          <w:rtl/>
          <w:lang w:bidi="fa-IR"/>
        </w:rPr>
        <w:t>َّ</w:t>
      </w:r>
      <w:r w:rsidR="00D767F5">
        <w:rPr>
          <w:rtl/>
          <w:lang w:bidi="fa-IR"/>
        </w:rPr>
        <w:t>ا</w:t>
      </w:r>
      <w:r w:rsidRPr="00C9040A">
        <w:rPr>
          <w:rtl/>
          <w:lang w:bidi="fa-IR"/>
        </w:rPr>
        <w:t xml:space="preserve"> لَعَنَهُ ، فَيَقَعُ خَاسِئاً </w:t>
      </w:r>
      <w:r w:rsidR="006C577F" w:rsidRPr="006C577F">
        <w:rPr>
          <w:rStyle w:val="libFootnotenumChar"/>
          <w:rtl/>
        </w:rPr>
        <w:t>(6)</w:t>
      </w:r>
      <w:r w:rsidRPr="005B567D">
        <w:rPr>
          <w:rStyle w:val="libFootnotenumChar"/>
          <w:rtl/>
        </w:rPr>
        <w:t xml:space="preserve"> </w:t>
      </w:r>
      <w:r w:rsidRPr="00C9040A">
        <w:rPr>
          <w:rtl/>
          <w:lang w:bidi="fa-IR"/>
        </w:rPr>
        <w:t xml:space="preserve">حَسِيراً </w:t>
      </w:r>
      <w:r w:rsidR="006C577F" w:rsidRPr="006C577F">
        <w:rPr>
          <w:rStyle w:val="libFootnotenumChar"/>
          <w:rtl/>
        </w:rPr>
        <w:t>(7)</w:t>
      </w:r>
      <w:r w:rsidRPr="00C9040A">
        <w:rPr>
          <w:rtl/>
          <w:lang w:bidi="fa-IR"/>
        </w:rPr>
        <w:t xml:space="preserve"> مَدْحُوراً </w:t>
      </w:r>
      <w:r w:rsidR="006C577F" w:rsidRPr="006C577F">
        <w:rPr>
          <w:rStyle w:val="libFootnotenumChar"/>
          <w:rtl/>
        </w:rPr>
        <w:t>(8)</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(9)</w:t>
      </w:r>
      <w:r w:rsidRPr="00C9040A">
        <w:rPr>
          <w:rtl/>
          <w:lang w:bidi="fa-IR"/>
        </w:rPr>
        <w:t xml:space="preserve"> ‌</w:t>
      </w:r>
    </w:p>
    <w:p w:rsidR="008A74EB" w:rsidRPr="00C9040A" w:rsidRDefault="008A74EB" w:rsidP="008A74EB">
      <w:pPr>
        <w:pStyle w:val="Heading2Center"/>
        <w:rPr>
          <w:rtl/>
          <w:lang w:bidi="fa-IR"/>
        </w:rPr>
      </w:pPr>
      <w:bookmarkStart w:id="256" w:name="_Toc343795673"/>
      <w:bookmarkStart w:id="257" w:name="_Toc459810797"/>
      <w:bookmarkStart w:id="258" w:name="_Toc35348703"/>
      <w:r w:rsidRPr="00C9040A">
        <w:rPr>
          <w:rtl/>
          <w:lang w:bidi="fa-IR"/>
        </w:rPr>
        <w:t>82</w:t>
      </w:r>
      <w:r>
        <w:rPr>
          <w:rtl/>
          <w:lang w:bidi="fa-IR"/>
        </w:rPr>
        <w:t xml:space="preserve"> </w:t>
      </w:r>
      <w:r w:rsidR="0084262C">
        <w:rPr>
          <w:rtl/>
          <w:lang w:bidi="fa-IR"/>
        </w:rPr>
        <w:t>-</w:t>
      </w:r>
      <w:r>
        <w:rPr>
          <w:rtl/>
          <w:lang w:bidi="fa-IR"/>
        </w:rPr>
        <w:t xml:space="preserve"> </w:t>
      </w:r>
      <w:r w:rsidRPr="00C9040A">
        <w:rPr>
          <w:rtl/>
          <w:lang w:bidi="fa-IR"/>
        </w:rPr>
        <w:t xml:space="preserve">بَابُ إِدْخَالِ السُّرُورِ عَلَى الْمُؤْمِنِ </w:t>
      </w:r>
      <w:r w:rsidR="006C577F" w:rsidRPr="006C577F">
        <w:rPr>
          <w:rStyle w:val="libFootnotenumChar"/>
          <w:rtl/>
        </w:rPr>
        <w:t>(10)</w:t>
      </w:r>
      <w:r w:rsidRPr="00C9040A">
        <w:rPr>
          <w:rtl/>
          <w:lang w:bidi="fa-IR"/>
        </w:rPr>
        <w:t xml:space="preserve"> ‌</w:t>
      </w:r>
      <w:bookmarkEnd w:id="256"/>
      <w:bookmarkEnd w:id="257"/>
      <w:bookmarkEnd w:id="258"/>
    </w:p>
    <w:p w:rsidR="00D767F5" w:rsidRDefault="008A74EB" w:rsidP="00D767F5">
      <w:pPr>
        <w:pStyle w:val="libNormal"/>
        <w:rPr>
          <w:rtl/>
          <w:lang w:bidi="fa-IR"/>
        </w:rPr>
      </w:pPr>
      <w:r w:rsidRPr="008642D7">
        <w:rPr>
          <w:rtl/>
        </w:rPr>
        <w:t>2128</w:t>
      </w:r>
      <w:r w:rsidRPr="00261CB0">
        <w:rPr>
          <w:rStyle w:val="libBold2Char"/>
          <w:rtl/>
        </w:rPr>
        <w:t xml:space="preserve"> / 1.</w:t>
      </w:r>
      <w:r w:rsidRPr="00C9040A">
        <w:rPr>
          <w:rtl/>
          <w:lang w:bidi="fa-IR"/>
        </w:rPr>
        <w:t xml:space="preserve"> عِدَّةٌ مِنْ أَصْحَابِنَا ، عَنْ سَهْلِ بْنِ زِيَادٍ ؛</w:t>
      </w:r>
    </w:p>
    <w:p w:rsidR="008A74EB" w:rsidRPr="00C9040A" w:rsidRDefault="00D767F5" w:rsidP="00D767F5">
      <w:pPr>
        <w:pStyle w:val="libNormal"/>
        <w:rPr>
          <w:rtl/>
          <w:lang w:bidi="fa-IR"/>
        </w:rPr>
      </w:pPr>
      <w:r>
        <w:rPr>
          <w:rFonts w:hint="cs"/>
          <w:rtl/>
          <w:lang w:bidi="fa-IR"/>
        </w:rPr>
        <w:t xml:space="preserve">              </w:t>
      </w:r>
      <w:r w:rsidR="008A74EB" w:rsidRPr="00C9040A">
        <w:rPr>
          <w:rtl/>
          <w:lang w:bidi="fa-IR"/>
        </w:rPr>
        <w:t>وَمُحَمَّدُ بْنُ يَحْيى ، عَنْ أَحْمَدَ بْنِ مُحَمَّدِ بْنِ عِيسى جَمِيعاً ، عَنِ الْحَسَنِ بْنِ مَحْبُوبٍ ، عَنْ أَبِي حَمْزَةَ الثُّمَالِيِّ ، قَالَ :</w:t>
      </w:r>
    </w:p>
    <w:p w:rsidR="008A74EB" w:rsidRPr="00C9040A" w:rsidRDefault="008A74EB" w:rsidP="008A74EB">
      <w:pPr>
        <w:pStyle w:val="libNormal"/>
        <w:rPr>
          <w:rtl/>
          <w:lang w:bidi="fa-IR"/>
        </w:rPr>
      </w:pPr>
      <w:r w:rsidRPr="00C9040A">
        <w:rPr>
          <w:rtl/>
          <w:lang w:bidi="fa-IR"/>
        </w:rPr>
        <w:t xml:space="preserve">سَمِعْتُ أَبَا جَعْفَرٍ </w:t>
      </w:r>
      <w:r w:rsidRPr="0003660B">
        <w:rPr>
          <w:rStyle w:val="libAlaemChar"/>
          <w:rtl/>
        </w:rPr>
        <w:t>عليه‌السلام</w:t>
      </w:r>
      <w:r w:rsidRPr="00C9040A">
        <w:rPr>
          <w:rtl/>
          <w:lang w:bidi="fa-IR"/>
        </w:rPr>
        <w:t xml:space="preserve"> يَقُولُ : « قَالَ رَسُولُ اللهِ </w:t>
      </w:r>
      <w:r w:rsidR="004A4E41" w:rsidRPr="004A4E41">
        <w:rPr>
          <w:rStyle w:val="libAlaemChar"/>
          <w:rtl/>
        </w:rPr>
        <w:t>صلى‌الله‌عليه‌وآله</w:t>
      </w:r>
      <w:r w:rsidRPr="00C9040A">
        <w:rPr>
          <w:rtl/>
          <w:lang w:bidi="fa-IR"/>
        </w:rPr>
        <w:t xml:space="preserve"> : مَنْ سَرَّ مُؤْمِناً فَقَدْ سَرَّنِي وَمَنْ سَرَّنِي فَقَدْ سَرَّ اللهَ »</w:t>
      </w:r>
      <w:r>
        <w:rPr>
          <w:rtl/>
          <w:lang w:bidi="fa-IR"/>
        </w:rPr>
        <w:t>.</w:t>
      </w:r>
      <w:r w:rsidRPr="00C9040A">
        <w:rPr>
          <w:rtl/>
          <w:lang w:bidi="fa-IR"/>
        </w:rPr>
        <w:t xml:space="preserve"> </w:t>
      </w:r>
      <w:r w:rsidR="006C577F" w:rsidRPr="006C577F">
        <w:rPr>
          <w:rStyle w:val="libFootnotenumChar"/>
          <w:rtl/>
        </w:rPr>
        <w:t>(11)</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البحار ، ج 63 </w:t>
      </w:r>
      <w:r w:rsidR="008A74EB">
        <w:rPr>
          <w:rtl/>
        </w:rPr>
        <w:t xml:space="preserve">: </w:t>
      </w:r>
      <w:r w:rsidR="0084262C">
        <w:rPr>
          <w:rtl/>
        </w:rPr>
        <w:t>-</w:t>
      </w:r>
      <w:r w:rsidR="008A74EB" w:rsidRPr="00C9040A">
        <w:rPr>
          <w:rtl/>
        </w:rPr>
        <w:t xml:space="preserve"> « لحم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ف » : « تتخدّد »</w:t>
      </w:r>
      <w:r w:rsidR="008A74EB">
        <w:rPr>
          <w:rtl/>
        </w:rPr>
        <w:t>.</w:t>
      </w:r>
      <w:r w:rsidR="008A74EB" w:rsidRPr="00C9040A">
        <w:rPr>
          <w:rtl/>
        </w:rPr>
        <w:t xml:space="preserve"> وتخدّد اللحم : زواله عن وجه الجسم. </w:t>
      </w:r>
      <w:r w:rsidR="008A74EB" w:rsidRPr="00993B55">
        <w:rPr>
          <w:rStyle w:val="libFootnoteBoldChar"/>
          <w:rtl/>
        </w:rPr>
        <w:t>المفردات</w:t>
      </w:r>
      <w:r w:rsidR="008A74EB" w:rsidRPr="00D767F5">
        <w:rPr>
          <w:rStyle w:val="libFootnoteBoldChar"/>
          <w:rtl/>
        </w:rPr>
        <w:t xml:space="preserve"> للراغب</w:t>
      </w:r>
      <w:r w:rsidR="008A74EB" w:rsidRPr="00C9040A">
        <w:rPr>
          <w:rtl/>
        </w:rPr>
        <w:t xml:space="preserve"> ، ص 276 ( خدّ )</w:t>
      </w:r>
      <w:r w:rsidR="008A74EB">
        <w:rPr>
          <w:rtl/>
        </w:rPr>
        <w:t>.</w:t>
      </w:r>
    </w:p>
    <w:tbl>
      <w:tblPr>
        <w:tblStyle w:val="TableGrid"/>
        <w:bidiVisual/>
        <w:tblW w:w="0" w:type="auto"/>
        <w:tblLook w:val="04A0" w:firstRow="1" w:lastRow="0" w:firstColumn="1" w:lastColumn="0" w:noHBand="0" w:noVBand="1"/>
      </w:tblPr>
      <w:tblGrid>
        <w:gridCol w:w="4006"/>
        <w:gridCol w:w="4006"/>
      </w:tblGrid>
      <w:tr w:rsidR="00D767F5" w:rsidTr="00D767F5">
        <w:tc>
          <w:tcPr>
            <w:tcW w:w="4006" w:type="dxa"/>
          </w:tcPr>
          <w:p w:rsidR="00D767F5" w:rsidRDefault="00D767F5" w:rsidP="004A4E41">
            <w:pPr>
              <w:pStyle w:val="libFootnote0"/>
              <w:rPr>
                <w:rtl/>
              </w:rPr>
            </w:pPr>
            <w:r>
              <w:rPr>
                <w:rtl/>
              </w:rPr>
              <w:t>(3).</w:t>
            </w:r>
            <w:r w:rsidRPr="00C9040A">
              <w:rPr>
                <w:rtl/>
              </w:rPr>
              <w:t xml:space="preserve"> يجوز فتح الهمزة وكسرها باعتبارين.</w:t>
            </w:r>
          </w:p>
        </w:tc>
        <w:tc>
          <w:tcPr>
            <w:tcW w:w="4006" w:type="dxa"/>
          </w:tcPr>
          <w:p w:rsidR="00D767F5" w:rsidRDefault="00D767F5" w:rsidP="00D767F5">
            <w:pPr>
              <w:pStyle w:val="libFootnote0"/>
              <w:rPr>
                <w:rtl/>
              </w:rPr>
            </w:pPr>
            <w:r>
              <w:rPr>
                <w:rtl/>
              </w:rPr>
              <w:t>(4). في «ز ،</w:t>
            </w:r>
            <w:r w:rsidRPr="00C9040A">
              <w:rPr>
                <w:rtl/>
              </w:rPr>
              <w:t>ض ،</w:t>
            </w:r>
            <w:r>
              <w:rPr>
                <w:rtl/>
              </w:rPr>
              <w:t>بر ،بس ،بف » والبحار: «</w:t>
            </w:r>
            <w:r w:rsidRPr="00C9040A">
              <w:rPr>
                <w:rtl/>
              </w:rPr>
              <w:t>ما تجد»</w:t>
            </w:r>
            <w:r>
              <w:rPr>
                <w:rtl/>
              </w:rPr>
              <w:t>.</w:t>
            </w:r>
          </w:p>
        </w:tc>
      </w:tr>
    </w:tbl>
    <w:p w:rsidR="008A74EB" w:rsidRPr="00C9040A" w:rsidRDefault="006C577F" w:rsidP="004A4E41">
      <w:pPr>
        <w:pStyle w:val="libFootnote0"/>
        <w:rPr>
          <w:rtl/>
          <w:lang w:bidi="fa-IR"/>
        </w:rPr>
      </w:pPr>
      <w:r>
        <w:rPr>
          <w:rtl/>
        </w:rPr>
        <w:t>(5).</w:t>
      </w:r>
      <w:r w:rsidR="008A74EB" w:rsidRPr="00C9040A">
        <w:rPr>
          <w:rtl/>
        </w:rPr>
        <w:t xml:space="preserve"> في « د ، ف » : « فتحسر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D767F5">
        <w:rPr>
          <w:rtl/>
        </w:rPr>
        <w:t>« الخاسئ » : الم</w:t>
      </w:r>
      <w:r w:rsidR="00D767F5">
        <w:rPr>
          <w:rFonts w:hint="cs"/>
          <w:rtl/>
        </w:rPr>
        <w:t>ـُ</w:t>
      </w:r>
      <w:r w:rsidR="008A74EB" w:rsidRPr="00C9040A">
        <w:rPr>
          <w:rtl/>
        </w:rPr>
        <w:t xml:space="preserve">بْعَد والمطرود. ويكون الخاسئ بمعنى الصاغر القمي‌ء ، أي الذليل. راجع : </w:t>
      </w:r>
      <w:r w:rsidR="008A74EB" w:rsidRPr="00993B55">
        <w:rPr>
          <w:rStyle w:val="libFootnoteBoldChar"/>
          <w:rtl/>
        </w:rPr>
        <w:t>النهاية</w:t>
      </w:r>
      <w:r w:rsidR="008A74EB" w:rsidRPr="00C9040A">
        <w:rPr>
          <w:rtl/>
        </w:rPr>
        <w:t xml:space="preserve"> ، ج 2 ، ص 31 ؛ </w:t>
      </w:r>
      <w:r w:rsidR="008A74EB" w:rsidRPr="00993B55">
        <w:rPr>
          <w:rStyle w:val="libFootnoteBoldChar"/>
          <w:rtl/>
        </w:rPr>
        <w:t>لسان العرب</w:t>
      </w:r>
      <w:r w:rsidR="008A74EB" w:rsidRPr="00C9040A">
        <w:rPr>
          <w:rtl/>
        </w:rPr>
        <w:t xml:space="preserve"> ، ج 1 ، ص 65 ( خسأ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 الحسير » : المتلهّف والمتأسّف ومن اشتدّت ندامته وحسرته على أمر فاته. راجع : </w:t>
      </w:r>
      <w:r w:rsidR="008A74EB" w:rsidRPr="00993B55">
        <w:rPr>
          <w:rStyle w:val="libFootnoteBoldChar"/>
          <w:rtl/>
        </w:rPr>
        <w:t>لسان العرب</w:t>
      </w:r>
      <w:r w:rsidR="008A74EB" w:rsidRPr="00C9040A">
        <w:rPr>
          <w:rtl/>
        </w:rPr>
        <w:t xml:space="preserve"> ، ج 4 ، ص 188 ؛ </w:t>
      </w:r>
      <w:r w:rsidR="008A74EB" w:rsidRPr="00993B55">
        <w:rPr>
          <w:rStyle w:val="libFootnoteBoldChar"/>
          <w:rtl/>
        </w:rPr>
        <w:t>المصباح المنير</w:t>
      </w:r>
      <w:r w:rsidR="008A74EB" w:rsidRPr="00C9040A">
        <w:rPr>
          <w:rtl/>
        </w:rPr>
        <w:t xml:space="preserve"> ، ص 135 ( حسر )</w:t>
      </w:r>
      <w:r w:rsidR="008A74EB">
        <w:rPr>
          <w:rtl/>
        </w:rPr>
        <w:t>.</w:t>
      </w:r>
    </w:p>
    <w:p w:rsidR="008A74EB" w:rsidRPr="00C9040A" w:rsidRDefault="006C577F" w:rsidP="004A4E41">
      <w:pPr>
        <w:pStyle w:val="libFootnote0"/>
        <w:rPr>
          <w:rtl/>
          <w:lang w:bidi="fa-IR"/>
        </w:rPr>
      </w:pPr>
      <w:r>
        <w:rPr>
          <w:rtl/>
        </w:rPr>
        <w:t>(8).</w:t>
      </w:r>
      <w:r w:rsidR="00D767F5">
        <w:rPr>
          <w:rtl/>
        </w:rPr>
        <w:t xml:space="preserve"> « المدحور » : المطرود والم</w:t>
      </w:r>
      <w:r w:rsidR="00D767F5">
        <w:rPr>
          <w:rFonts w:hint="cs"/>
          <w:rtl/>
        </w:rPr>
        <w:t>ـُ</w:t>
      </w:r>
      <w:r w:rsidR="008A74EB" w:rsidRPr="00C9040A">
        <w:rPr>
          <w:rtl/>
        </w:rPr>
        <w:t>بْعَد ؛ من الدُّحُور بمعنى الطرد والإبعاد. أو الم</w:t>
      </w:r>
      <w:r w:rsidR="008A74EB">
        <w:rPr>
          <w:rtl/>
        </w:rPr>
        <w:t>دفوع ؛ من ا</w:t>
      </w:r>
      <w:r w:rsidR="008A74EB" w:rsidRPr="00C9040A">
        <w:rPr>
          <w:rtl/>
        </w:rPr>
        <w:t xml:space="preserve">لدَّحْر بمعنى الدفع بعُنْف على سبيل الإهانة والإذلال. راجع : </w:t>
      </w:r>
      <w:r w:rsidR="008A74EB" w:rsidRPr="00993B55">
        <w:rPr>
          <w:rStyle w:val="libFootnoteBoldChar"/>
          <w:rtl/>
        </w:rPr>
        <w:t>الصحاح</w:t>
      </w:r>
      <w:r w:rsidR="008A74EB" w:rsidRPr="00C9040A">
        <w:rPr>
          <w:rtl/>
        </w:rPr>
        <w:t xml:space="preserve"> ، ج 2 ، ص 655 ؛ </w:t>
      </w:r>
      <w:r w:rsidR="008A74EB" w:rsidRPr="00993B55">
        <w:rPr>
          <w:rStyle w:val="libFootnoteBoldChar"/>
          <w:rtl/>
        </w:rPr>
        <w:t>النهاية</w:t>
      </w:r>
      <w:r w:rsidR="008A74EB" w:rsidRPr="00C9040A">
        <w:rPr>
          <w:rtl/>
        </w:rPr>
        <w:t xml:space="preserve"> ، ج 2 ، ص 103 ( دحر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w:t>
      </w:r>
      <w:r w:rsidR="008A74EB" w:rsidRPr="00993B55">
        <w:rPr>
          <w:rStyle w:val="libFootnoteBoldChar"/>
          <w:rtl/>
        </w:rPr>
        <w:t>الوافي</w:t>
      </w:r>
      <w:r w:rsidR="008A74EB" w:rsidRPr="00C9040A">
        <w:rPr>
          <w:rtl/>
        </w:rPr>
        <w:t xml:space="preserve"> ، ج 5 ، ص 651 ، ح 2795 ؛ </w:t>
      </w:r>
      <w:r w:rsidR="008A74EB" w:rsidRPr="00993B55">
        <w:rPr>
          <w:rStyle w:val="libFootnoteBoldChar"/>
          <w:rtl/>
        </w:rPr>
        <w:t>الوسائل</w:t>
      </w:r>
      <w:r w:rsidR="008A74EB" w:rsidRPr="00C9040A">
        <w:rPr>
          <w:rtl/>
        </w:rPr>
        <w:t xml:space="preserve"> ، ج 16 ، ص 347 ، ح 21729 ؛ </w:t>
      </w:r>
      <w:r w:rsidR="008A74EB" w:rsidRPr="00993B55">
        <w:rPr>
          <w:rStyle w:val="libFootnoteBoldChar"/>
          <w:rtl/>
        </w:rPr>
        <w:t>البحار</w:t>
      </w:r>
      <w:r w:rsidR="008A74EB" w:rsidRPr="00C9040A">
        <w:rPr>
          <w:rtl/>
        </w:rPr>
        <w:t xml:space="preserve"> ، ج 63 ، ص 258 ، ح 131 ؛ وج 74 ، ص 263 ، ح 61.</w:t>
      </w:r>
    </w:p>
    <w:p w:rsidR="008A74EB" w:rsidRPr="00C9040A" w:rsidRDefault="006C577F" w:rsidP="004A4E41">
      <w:pPr>
        <w:pStyle w:val="libFootnote0"/>
        <w:rPr>
          <w:rtl/>
          <w:lang w:bidi="fa-IR"/>
        </w:rPr>
      </w:pPr>
      <w:r>
        <w:rPr>
          <w:rtl/>
        </w:rPr>
        <w:t>(10).</w:t>
      </w:r>
      <w:r w:rsidR="008A74EB" w:rsidRPr="00C9040A">
        <w:rPr>
          <w:rtl/>
        </w:rPr>
        <w:t xml:space="preserve"> هكذا في « ب ، ج ، د ، ز ، ص ، ف ، بس ، بف »</w:t>
      </w:r>
      <w:r w:rsidR="008A74EB">
        <w:rPr>
          <w:rtl/>
        </w:rPr>
        <w:t>.</w:t>
      </w:r>
      <w:r w:rsidR="008A74EB" w:rsidRPr="00C9040A">
        <w:rPr>
          <w:rtl/>
        </w:rPr>
        <w:t xml:space="preserve"> وفي « بر » : « إخوان المؤمن »</w:t>
      </w:r>
      <w:r w:rsidR="008A74EB">
        <w:rPr>
          <w:rtl/>
        </w:rPr>
        <w:t>.</w:t>
      </w:r>
      <w:r w:rsidR="008A74EB" w:rsidRPr="00C9040A">
        <w:rPr>
          <w:rtl/>
        </w:rPr>
        <w:t xml:space="preserve"> وفي قليل من النسخ والمطبوع : « المؤمنين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w:t>
      </w:r>
      <w:r w:rsidR="008A74EB" w:rsidRPr="00993B55">
        <w:rPr>
          <w:rStyle w:val="libFootnoteBoldChar"/>
          <w:rtl/>
        </w:rPr>
        <w:t>مصادقة الإخوان</w:t>
      </w:r>
      <w:r w:rsidR="008A74EB" w:rsidRPr="00C9040A">
        <w:rPr>
          <w:rtl/>
        </w:rPr>
        <w:t xml:space="preserve"> ، ص 62 ، ح 9 ، مرسلاً عن أبي حمزة الثمالي ؛ </w:t>
      </w:r>
      <w:r w:rsidR="008A74EB" w:rsidRPr="00993B55">
        <w:rPr>
          <w:rStyle w:val="libFootnoteBoldChar"/>
          <w:rtl/>
        </w:rPr>
        <w:t>المؤمن</w:t>
      </w:r>
      <w:r w:rsidR="008A74EB" w:rsidRPr="00C9040A">
        <w:rPr>
          <w:rtl/>
        </w:rPr>
        <w:t xml:space="preserve"> ، ص 48 ، ح 114 ، مرسلاً ؛ </w:t>
      </w:r>
      <w:r w:rsidR="008A74EB" w:rsidRPr="00993B55">
        <w:rPr>
          <w:rStyle w:val="libFootnoteBoldChar"/>
          <w:rtl/>
        </w:rPr>
        <w:t xml:space="preserve">فقه </w:t>
      </w:r>
      <w:r w:rsidR="00D767F5" w:rsidRPr="00D767F5">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8642D7">
        <w:rPr>
          <w:rtl/>
        </w:rPr>
        <w:t>2129</w:t>
      </w:r>
      <w:r w:rsidRPr="00261CB0">
        <w:rPr>
          <w:rStyle w:val="libBold2Char"/>
          <w:rtl/>
        </w:rPr>
        <w:t xml:space="preserve"> / 2.</w:t>
      </w:r>
      <w:r w:rsidRPr="00C9040A">
        <w:rPr>
          <w:rtl/>
          <w:lang w:bidi="fa-IR"/>
        </w:rPr>
        <w:t xml:space="preserve"> عِدَّةٌ مِنْ أَصْحَابِنَا ، عَنْ أَحْمَدَ بْنِ مُحَمَّدِ بْنِ خَالِدٍ ، عَنْ أَبِيهِ ، عَنْ رَجُلٍ مِنْ أَهْلِ الْكُوفَةِ</w:t>
      </w:r>
      <w:r>
        <w:rPr>
          <w:rtl/>
          <w:lang w:bidi="fa-IR"/>
        </w:rPr>
        <w:t xml:space="preserve"> </w:t>
      </w:r>
      <w:r w:rsidR="0084262C">
        <w:rPr>
          <w:rtl/>
          <w:lang w:bidi="fa-IR"/>
        </w:rPr>
        <w:t>-</w:t>
      </w:r>
      <w:r>
        <w:rPr>
          <w:rtl/>
          <w:lang w:bidi="fa-IR"/>
        </w:rPr>
        <w:t xml:space="preserve"> </w:t>
      </w:r>
      <w:r w:rsidRPr="00C9040A">
        <w:rPr>
          <w:rtl/>
          <w:lang w:bidi="fa-IR"/>
        </w:rPr>
        <w:t xml:space="preserve">يُكَنّى أَبَا مُحَمَّدٍ </w:t>
      </w:r>
      <w:r w:rsidR="006C577F" w:rsidRPr="006C577F">
        <w:rPr>
          <w:rStyle w:val="libFootnotenumChar"/>
          <w:rtl/>
        </w:rPr>
        <w:t>(1)</w:t>
      </w:r>
      <w:r>
        <w:rPr>
          <w:rtl/>
          <w:lang w:bidi="fa-IR"/>
        </w:rPr>
        <w:t xml:space="preserve"> </w:t>
      </w:r>
      <w:r w:rsidR="0084262C">
        <w:rPr>
          <w:rtl/>
          <w:lang w:bidi="fa-IR"/>
        </w:rPr>
        <w:t>-</w:t>
      </w:r>
      <w:r>
        <w:rPr>
          <w:rtl/>
          <w:lang w:bidi="fa-IR"/>
        </w:rPr>
        <w:t xml:space="preserve"> </w:t>
      </w:r>
      <w:r w:rsidRPr="00C9040A">
        <w:rPr>
          <w:rtl/>
          <w:lang w:bidi="fa-IR"/>
        </w:rPr>
        <w:t>عَنْ عَمْرِو بْنِ شِمْرٍ ، عَنْ جَابِرٍ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تَبَسُّمُ الرَّجُلِ فِي وَجْهِ أَخِيهِ حَسَنَةٌ ، وَصَرْفُ </w:t>
      </w:r>
      <w:r w:rsidR="006C577F" w:rsidRPr="006C577F">
        <w:rPr>
          <w:rStyle w:val="libFootnotenumChar"/>
          <w:rtl/>
        </w:rPr>
        <w:t>(2)</w:t>
      </w:r>
      <w:r w:rsidRPr="00C9040A">
        <w:rPr>
          <w:rtl/>
          <w:lang w:bidi="fa-IR"/>
        </w:rPr>
        <w:t xml:space="preserve"> الْقَذى </w:t>
      </w:r>
      <w:r w:rsidR="006C577F" w:rsidRPr="006C577F">
        <w:rPr>
          <w:rStyle w:val="libFootnotenumChar"/>
          <w:rtl/>
        </w:rPr>
        <w:t>(3)</w:t>
      </w:r>
      <w:r w:rsidRPr="00C9040A">
        <w:rPr>
          <w:rtl/>
          <w:lang w:bidi="fa-IR"/>
        </w:rPr>
        <w:t xml:space="preserve"> عَنْهُ حَسَنَةٌ ، وَمَا عُبِدَ اللهُ بِشَيْ‌ءٍ أَحَبَّ إِلَى اللهِ </w:t>
      </w:r>
      <w:r w:rsidR="006C577F" w:rsidRPr="006C577F">
        <w:rPr>
          <w:rStyle w:val="libFootnotenumChar"/>
          <w:rtl/>
        </w:rPr>
        <w:t>(4)</w:t>
      </w:r>
      <w:r w:rsidRPr="00C9040A">
        <w:rPr>
          <w:rtl/>
          <w:lang w:bidi="fa-IR"/>
        </w:rPr>
        <w:t xml:space="preserve"> مِنْ إِدْخَالِ السُّرُورِ عَلَى الْمُؤْمِنِ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8642D7">
        <w:rPr>
          <w:rtl/>
        </w:rPr>
        <w:t>2130</w:t>
      </w:r>
      <w:r w:rsidRPr="00261CB0">
        <w:rPr>
          <w:rStyle w:val="libBold2Char"/>
          <w:rtl/>
        </w:rPr>
        <w:t xml:space="preserve"> / 3.</w:t>
      </w:r>
      <w:r w:rsidRPr="00C9040A">
        <w:rPr>
          <w:rtl/>
          <w:lang w:bidi="fa-IR"/>
        </w:rPr>
        <w:t xml:space="preserve"> مُحَمَّدُ بْنُ يَحْيى ، عَنْ أَحْمَدَ بْنِ مُحَمَّدِ بْنِ عِيسى ، عَنْ مُحَمَّدِ بْنِ سِنَانٍ ، عَنْ عَبْدِ اللهِ بْنِ مُسْكَانَ ، عَنْ عُبَيْدِ اللهِ بْنِ الْوَلِيدِ الْوَصَّافِيِّ ، قَالَ :</w:t>
      </w:r>
    </w:p>
    <w:p w:rsidR="008A74EB" w:rsidRPr="00C9040A" w:rsidRDefault="008A74EB" w:rsidP="008A74EB">
      <w:pPr>
        <w:pStyle w:val="libNormal"/>
        <w:rPr>
          <w:rtl/>
          <w:lang w:bidi="fa-IR"/>
        </w:rPr>
      </w:pPr>
      <w:r w:rsidRPr="00C9040A">
        <w:rPr>
          <w:rtl/>
          <w:lang w:bidi="fa-IR"/>
        </w:rPr>
        <w:t xml:space="preserve">سَمِعْتُ أَبَا جَعْفَرٍ </w:t>
      </w:r>
      <w:r w:rsidRPr="0003660B">
        <w:rPr>
          <w:rStyle w:val="libAlaemChar"/>
          <w:rtl/>
        </w:rPr>
        <w:t>عليه‌السلام</w:t>
      </w:r>
      <w:r w:rsidRPr="00C9040A">
        <w:rPr>
          <w:rtl/>
          <w:lang w:bidi="fa-IR"/>
        </w:rPr>
        <w:t xml:space="preserve"> يَقُولُ : « إِنَّ فِيمَا نَاجَى </w:t>
      </w:r>
      <w:r w:rsidR="006C577F" w:rsidRPr="006C577F">
        <w:rPr>
          <w:rStyle w:val="libFootnotenumChar"/>
          <w:rtl/>
        </w:rPr>
        <w:t>(6)</w:t>
      </w:r>
      <w:r w:rsidRPr="005B567D">
        <w:rPr>
          <w:rStyle w:val="libFootnotenumChar"/>
          <w:rtl/>
        </w:rPr>
        <w:t xml:space="preserve"> </w:t>
      </w:r>
      <w:r w:rsidRPr="00C9040A">
        <w:rPr>
          <w:rtl/>
          <w:lang w:bidi="fa-IR"/>
        </w:rPr>
        <w:t>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بِهِ عَبْدَهُ مُوسى </w:t>
      </w:r>
      <w:r w:rsidRPr="0003660B">
        <w:rPr>
          <w:rStyle w:val="libAlaemChar"/>
          <w:rtl/>
        </w:rPr>
        <w:t>عليه‌السلام</w:t>
      </w:r>
      <w:r w:rsidRPr="00C9040A">
        <w:rPr>
          <w:rtl/>
          <w:lang w:bidi="fa-IR"/>
        </w:rPr>
        <w:t xml:space="preserve"> قَالَ : إِنَّ لِي عِبَاداً أُبِيحُهُمْ </w:t>
      </w:r>
      <w:r w:rsidR="006C577F" w:rsidRPr="006C577F">
        <w:rPr>
          <w:rStyle w:val="libFootnotenumChar"/>
          <w:rtl/>
        </w:rPr>
        <w:t>(7)</w:t>
      </w:r>
      <w:r w:rsidRPr="00C9040A">
        <w:rPr>
          <w:rtl/>
          <w:lang w:bidi="fa-IR"/>
        </w:rPr>
        <w:t xml:space="preserve"> جَنَّتِي ، وَأُحَكِّمُهُمْ فِيهَا ، قَالَ : يَا رَبِّ ، وَمَنْ هؤُلَاءِ الَّذِينَ تُبِيحُهُمْ جَنَّتَكَ وَتُحَكِّمُهُمْ فِيهَا</w:t>
      </w:r>
      <w:r>
        <w:rPr>
          <w:rtl/>
          <w:lang w:bidi="fa-IR"/>
        </w:rPr>
        <w:t>؟</w:t>
      </w:r>
      <w:r w:rsidRPr="00C9040A">
        <w:rPr>
          <w:rtl/>
          <w:lang w:bidi="fa-IR"/>
        </w:rPr>
        <w:t xml:space="preserve"> قَالَ : مَنْ أَدْخَلَ عَلى مُؤْمِنٍ سُرُوراً »</w:t>
      </w:r>
      <w:r>
        <w:rPr>
          <w:rtl/>
          <w:lang w:bidi="fa-IR"/>
        </w:rPr>
        <w:t>.</w:t>
      </w:r>
    </w:p>
    <w:p w:rsidR="008A74EB" w:rsidRPr="00C9040A" w:rsidRDefault="008A74EB" w:rsidP="008A74EB">
      <w:pPr>
        <w:pStyle w:val="libNormal"/>
        <w:rPr>
          <w:rtl/>
          <w:lang w:bidi="fa-IR"/>
        </w:rPr>
      </w:pPr>
      <w:r w:rsidRPr="00C9040A">
        <w:rPr>
          <w:rtl/>
          <w:lang w:bidi="fa-IR"/>
        </w:rPr>
        <w:t xml:space="preserve">ثُمَّ قَالَ : « إِنَّ مُؤْمِناً كَانَ فِي مَمْلَكَةِ جَبَّارٍ ، فَوَلَعَ بِهِ </w:t>
      </w:r>
      <w:r w:rsidR="006C577F" w:rsidRPr="006C577F">
        <w:rPr>
          <w:rStyle w:val="libFootnotenumChar"/>
          <w:rtl/>
        </w:rPr>
        <w:t>(8)</w:t>
      </w:r>
      <w:r w:rsidRPr="00C9040A">
        <w:rPr>
          <w:rtl/>
          <w:lang w:bidi="fa-IR"/>
        </w:rPr>
        <w:t xml:space="preserve"> ، فَهَرَبَ مِنْهُ إِلى دَارِ الشِّرْكِ ،</w:t>
      </w:r>
    </w:p>
    <w:p w:rsidR="008A74EB" w:rsidRPr="00C9040A" w:rsidRDefault="008A74EB" w:rsidP="008A74EB">
      <w:pPr>
        <w:pStyle w:val="libLine"/>
        <w:rPr>
          <w:rtl/>
          <w:lang w:bidi="fa-IR"/>
        </w:rPr>
      </w:pPr>
      <w:r w:rsidRPr="00C9040A">
        <w:rPr>
          <w:rtl/>
          <w:lang w:bidi="fa-IR"/>
        </w:rPr>
        <w:t>__________________</w:t>
      </w:r>
    </w:p>
    <w:p w:rsidR="008A74EB" w:rsidRPr="00C9040A" w:rsidRDefault="00B16DF4" w:rsidP="004A4E41">
      <w:pPr>
        <w:pStyle w:val="libFootnote0"/>
        <w:rPr>
          <w:rtl/>
          <w:lang w:bidi="fa-IR"/>
        </w:rPr>
      </w:pPr>
      <w:r w:rsidRPr="00B16DF4">
        <w:rPr>
          <w:rFonts w:hint="cs"/>
          <w:rtl/>
        </w:rPr>
        <w:t>=</w:t>
      </w:r>
      <w:r>
        <w:rPr>
          <w:rFonts w:hint="cs"/>
          <w:rtl/>
        </w:rPr>
        <w:t xml:space="preserve"> </w:t>
      </w:r>
      <w:r w:rsidR="008A74EB" w:rsidRPr="00993B55">
        <w:rPr>
          <w:rStyle w:val="libFootnoteBoldChar"/>
          <w:rtl/>
        </w:rPr>
        <w:t>الرضا</w:t>
      </w:r>
      <w:r w:rsidR="008A74EB" w:rsidRPr="00C9040A">
        <w:rPr>
          <w:rtl/>
        </w:rPr>
        <w:t xml:space="preserve"> </w:t>
      </w:r>
      <w:r w:rsidR="00117575" w:rsidRPr="00117575">
        <w:rPr>
          <w:rStyle w:val="libFootnoteAlaemChar"/>
          <w:rtl/>
        </w:rPr>
        <w:t>عليه‌السلام</w:t>
      </w:r>
      <w:r w:rsidR="008A74EB" w:rsidRPr="00C9040A">
        <w:rPr>
          <w:rtl/>
        </w:rPr>
        <w:t xml:space="preserve"> ، ص 374 ، مع اختلاف يسير وزيادة </w:t>
      </w:r>
      <w:r w:rsidR="008A74EB" w:rsidRPr="00993B55">
        <w:rPr>
          <w:rStyle w:val="libFootnoteBoldChar"/>
          <w:rtl/>
        </w:rPr>
        <w:t>الوافي</w:t>
      </w:r>
      <w:r w:rsidR="008A74EB" w:rsidRPr="00C9040A">
        <w:rPr>
          <w:rtl/>
        </w:rPr>
        <w:t xml:space="preserve"> ، ج 5 ، ص 653 ، ح 2796 ؛ </w:t>
      </w:r>
      <w:r w:rsidR="008A74EB" w:rsidRPr="00993B55">
        <w:rPr>
          <w:rStyle w:val="libFootnoteBoldChar"/>
          <w:rtl/>
        </w:rPr>
        <w:t>الوسائل</w:t>
      </w:r>
      <w:r w:rsidR="008A74EB" w:rsidRPr="00C9040A">
        <w:rPr>
          <w:rtl/>
        </w:rPr>
        <w:t xml:space="preserve"> ، ج 16 ، ص 349 ، ح 21733 ؛ </w:t>
      </w:r>
      <w:r w:rsidR="008A74EB" w:rsidRPr="00993B55">
        <w:rPr>
          <w:rStyle w:val="libFootnoteBoldChar"/>
          <w:rtl/>
        </w:rPr>
        <w:t>البحار</w:t>
      </w:r>
      <w:r w:rsidR="008A74EB" w:rsidRPr="00C9040A">
        <w:rPr>
          <w:rtl/>
        </w:rPr>
        <w:t xml:space="preserve"> ، ج 74 ، ص 287 ، ح 14.</w:t>
      </w:r>
    </w:p>
    <w:p w:rsidR="008A74EB" w:rsidRPr="00C9040A" w:rsidRDefault="006C577F" w:rsidP="00B16DF4">
      <w:pPr>
        <w:pStyle w:val="libFootnote0"/>
        <w:rPr>
          <w:rtl/>
          <w:lang w:bidi="fa-IR"/>
        </w:rPr>
      </w:pPr>
      <w:r>
        <w:rPr>
          <w:rtl/>
        </w:rPr>
        <w:t>(1).</w:t>
      </w:r>
      <w:r w:rsidR="008A74EB">
        <w:rPr>
          <w:rtl/>
        </w:rPr>
        <w:t xml:space="preserve"> </w:t>
      </w:r>
      <w:r w:rsidR="008A74EB" w:rsidRPr="00C9040A">
        <w:rPr>
          <w:rtl/>
        </w:rPr>
        <w:t>هكذا في « بس » وحاشية « ب ، د ، ز ، ص »</w:t>
      </w:r>
      <w:r w:rsidR="008A74EB">
        <w:rPr>
          <w:rtl/>
        </w:rPr>
        <w:t>.</w:t>
      </w:r>
      <w:r w:rsidR="008A74EB" w:rsidRPr="00C9040A">
        <w:rPr>
          <w:rtl/>
        </w:rPr>
        <w:t xml:space="preserve"> وفي « ز ، ف » وحاشية « ض » : « بأبي محمّد »</w:t>
      </w:r>
      <w:r w:rsidR="008A74EB">
        <w:rPr>
          <w:rtl/>
        </w:rPr>
        <w:t>.</w:t>
      </w:r>
      <w:r w:rsidR="008A74EB" w:rsidRPr="00C9040A">
        <w:rPr>
          <w:rtl/>
        </w:rPr>
        <w:t xml:space="preserve"> وفي « ج » : « أبي محمّد »</w:t>
      </w:r>
      <w:r w:rsidR="008A74EB">
        <w:rPr>
          <w:rtl/>
        </w:rPr>
        <w:t>.</w:t>
      </w:r>
      <w:r w:rsidR="008A74EB" w:rsidRPr="00C9040A">
        <w:rPr>
          <w:rtl/>
        </w:rPr>
        <w:t xml:space="preserve"> وفي « ب ، د ، ص ، ض ، بر ، بف » وحاشية « ج » والمطبوع : « أبو محمّد »</w:t>
      </w:r>
      <w:r w:rsidR="008A74EB">
        <w:rPr>
          <w:rtl/>
        </w:rPr>
        <w:t>.</w:t>
      </w:r>
      <w:r w:rsidR="008A74EB" w:rsidRPr="00C9040A">
        <w:rPr>
          <w:rtl/>
        </w:rPr>
        <w:t xml:space="preserve"> وفي الوافي والوسائل </w:t>
      </w:r>
      <w:r w:rsidR="008A74EB">
        <w:rPr>
          <w:rtl/>
        </w:rPr>
        <w:t xml:space="preserve">: </w:t>
      </w:r>
      <w:r w:rsidR="0084262C">
        <w:rPr>
          <w:rtl/>
        </w:rPr>
        <w:t>-</w:t>
      </w:r>
      <w:r w:rsidR="008A74EB" w:rsidRPr="00C9040A">
        <w:rPr>
          <w:rtl/>
        </w:rPr>
        <w:t xml:space="preserve"> « من أهل الكوفة يكنّى أبا محمّد »</w:t>
      </w:r>
      <w:r w:rsidR="008A74EB">
        <w:rPr>
          <w:rtl/>
        </w:rPr>
        <w:t>.</w:t>
      </w:r>
      <w:r w:rsidR="00B16DF4">
        <w:rPr>
          <w:rFonts w:hint="cs"/>
          <w:rtl/>
        </w:rPr>
        <w:t xml:space="preserve">     </w:t>
      </w:r>
      <w:r>
        <w:rPr>
          <w:rtl/>
        </w:rPr>
        <w:t>(2).</w:t>
      </w:r>
      <w:r w:rsidR="008A74EB">
        <w:rPr>
          <w:rtl/>
        </w:rPr>
        <w:t xml:space="preserve"> </w:t>
      </w:r>
      <w:r w:rsidR="00B16DF4">
        <w:rPr>
          <w:rtl/>
        </w:rPr>
        <w:t>في «ز ،ص ،ض ،</w:t>
      </w:r>
      <w:r w:rsidR="008A74EB" w:rsidRPr="00C9040A">
        <w:rPr>
          <w:rtl/>
        </w:rPr>
        <w:t>ف » والوسائل والبحار : « وصرفه »</w:t>
      </w:r>
      <w:r w:rsidR="008A74EB">
        <w:rPr>
          <w:rtl/>
        </w:rPr>
        <w:t>.</w:t>
      </w:r>
    </w:p>
    <w:p w:rsidR="008A74EB" w:rsidRPr="00C9040A" w:rsidRDefault="006C577F" w:rsidP="00B16DF4">
      <w:pPr>
        <w:pStyle w:val="libFootnote0"/>
        <w:rPr>
          <w:rtl/>
          <w:lang w:bidi="fa-IR"/>
        </w:rPr>
      </w:pPr>
      <w:r>
        <w:rPr>
          <w:rtl/>
        </w:rPr>
        <w:t>(3).</w:t>
      </w:r>
      <w:r w:rsidR="008A74EB" w:rsidRPr="00C9040A">
        <w:rPr>
          <w:rtl/>
        </w:rPr>
        <w:t xml:space="preserve"> « القَذى » : جمع قَذاة. وهو ما يقع في العين والماء والشراب من تراب أو تبنٍ أو وَسَخ أو غير ذلك. </w:t>
      </w:r>
      <w:r w:rsidR="008A74EB" w:rsidRPr="00993B55">
        <w:rPr>
          <w:rStyle w:val="libFootnoteBoldChar"/>
          <w:rtl/>
        </w:rPr>
        <w:t>النهاية</w:t>
      </w:r>
      <w:r w:rsidR="008A74EB" w:rsidRPr="00C9040A">
        <w:rPr>
          <w:rtl/>
        </w:rPr>
        <w:t xml:space="preserve"> ، ج 4 ، ص 30 ( قذا )</w:t>
      </w:r>
      <w:r w:rsidR="008A74EB">
        <w:rPr>
          <w:rtl/>
        </w:rPr>
        <w:t>.</w:t>
      </w:r>
      <w:r w:rsidR="00B16DF4">
        <w:rPr>
          <w:rFonts w:hint="cs"/>
          <w:rtl/>
        </w:rPr>
        <w:t xml:space="preserve">                                   </w:t>
      </w:r>
      <w:r>
        <w:rPr>
          <w:rtl/>
        </w:rPr>
        <w:t>(4).</w:t>
      </w:r>
      <w:r w:rsidR="008A74EB" w:rsidRPr="00C9040A">
        <w:rPr>
          <w:rtl/>
        </w:rPr>
        <w:t xml:space="preserve"> في « ض » : « إليه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مصادقة الإخوان</w:t>
      </w:r>
      <w:r w:rsidR="008A74EB" w:rsidRPr="00C9040A">
        <w:rPr>
          <w:rtl/>
        </w:rPr>
        <w:t xml:space="preserve"> ، ص 52 ، ح 2 ، مرسلاً عن جابر بن يزيد. راجع : </w:t>
      </w:r>
      <w:r w:rsidR="008A74EB" w:rsidRPr="00993B55">
        <w:rPr>
          <w:rStyle w:val="libFootnoteBoldChar"/>
          <w:rtl/>
        </w:rPr>
        <w:t>الكافي</w:t>
      </w:r>
      <w:r w:rsidR="008A74EB" w:rsidRPr="00C9040A">
        <w:rPr>
          <w:rtl/>
        </w:rPr>
        <w:t xml:space="preserve"> ، كتاب الإيمان والكفر ، باب في إلطاف المؤمن وإكرامه ، ح 2199 ؛ و</w:t>
      </w:r>
      <w:r w:rsidR="008A74EB" w:rsidRPr="00993B55">
        <w:rPr>
          <w:rStyle w:val="libFootnoteBoldChar"/>
          <w:rtl/>
        </w:rPr>
        <w:t>مصادقة الإخوان</w:t>
      </w:r>
      <w:r w:rsidR="008A74EB" w:rsidRPr="00C9040A">
        <w:rPr>
          <w:rtl/>
        </w:rPr>
        <w:t xml:space="preserve"> ، ص 52 ، ح 1 </w:t>
      </w:r>
      <w:r w:rsidR="008A74EB">
        <w:rPr>
          <w:rtl/>
        </w:rPr>
        <w:t>و 3</w:t>
      </w:r>
      <w:r w:rsidR="008A74EB" w:rsidRPr="00C9040A">
        <w:rPr>
          <w:rtl/>
        </w:rPr>
        <w:t xml:space="preserve"> </w:t>
      </w:r>
      <w:r w:rsidR="00B16DF4">
        <w:rPr>
          <w:rFonts w:hint="cs"/>
          <w:rtl/>
        </w:rPr>
        <w:t>.</w:t>
      </w:r>
      <w:r w:rsidR="008A74EB" w:rsidRPr="00993B55">
        <w:rPr>
          <w:rStyle w:val="libFootnoteBoldChar"/>
          <w:rtl/>
        </w:rPr>
        <w:t>الوافي</w:t>
      </w:r>
      <w:r w:rsidR="008A74EB" w:rsidRPr="00C9040A">
        <w:rPr>
          <w:rtl/>
        </w:rPr>
        <w:t xml:space="preserve"> ، ج 5 ، ص 653 ، ح 2797 ؛ </w:t>
      </w:r>
      <w:r w:rsidR="008A74EB" w:rsidRPr="00993B55">
        <w:rPr>
          <w:rStyle w:val="libFootnoteBoldChar"/>
          <w:rtl/>
        </w:rPr>
        <w:t>الوسائل</w:t>
      </w:r>
      <w:r w:rsidR="008A74EB" w:rsidRPr="00C9040A">
        <w:rPr>
          <w:rtl/>
        </w:rPr>
        <w:t xml:space="preserve"> ، ج 16 ، ص 349 ، ح 21734 ؛ </w:t>
      </w:r>
      <w:r w:rsidR="008A74EB" w:rsidRPr="00993B55">
        <w:rPr>
          <w:rStyle w:val="libFootnoteBoldChar"/>
          <w:rtl/>
        </w:rPr>
        <w:t>البحار</w:t>
      </w:r>
      <w:r w:rsidR="008A74EB" w:rsidRPr="00C9040A">
        <w:rPr>
          <w:rtl/>
        </w:rPr>
        <w:t xml:space="preserve"> ، ج 74 ، ص 288 ، ح 15.</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المصادقة : « ناجاه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w:t>
      </w:r>
      <w:r w:rsidR="008A74EB" w:rsidRPr="00993B55">
        <w:rPr>
          <w:rStyle w:val="libFootnoteBoldChar"/>
          <w:rtl/>
        </w:rPr>
        <w:t>شرح المازندراني</w:t>
      </w:r>
      <w:r w:rsidR="008A74EB" w:rsidRPr="00C9040A">
        <w:rPr>
          <w:rtl/>
        </w:rPr>
        <w:t xml:space="preserve"> ، ج 9 ، ص 67 : « الظاهر أنّ « ا</w:t>
      </w:r>
      <w:r w:rsidR="00B16DF4">
        <w:rPr>
          <w:rFonts w:hint="cs"/>
          <w:rtl/>
        </w:rPr>
        <w:t>ُ</w:t>
      </w:r>
      <w:r w:rsidR="008A74EB" w:rsidRPr="00C9040A">
        <w:rPr>
          <w:rtl/>
        </w:rPr>
        <w:t>بيحهم » من الإباحة</w:t>
      </w:r>
      <w:r w:rsidR="008A74EB">
        <w:rPr>
          <w:rtl/>
        </w:rPr>
        <w:t xml:space="preserve"> ..</w:t>
      </w:r>
      <w:r w:rsidR="008A74EB" w:rsidRPr="00C9040A">
        <w:rPr>
          <w:rtl/>
        </w:rPr>
        <w:t>. ويحتمل أن يكون من الإتاحة بالتاء</w:t>
      </w:r>
      <w:r w:rsidR="00B16DF4">
        <w:rPr>
          <w:rFonts w:hint="cs"/>
          <w:rtl/>
        </w:rPr>
        <w:t xml:space="preserve"> </w:t>
      </w:r>
      <w:r w:rsidR="008A74EB" w:rsidRPr="00C9040A">
        <w:rPr>
          <w:rtl/>
        </w:rPr>
        <w:t>المثنّاة الفوقانيّة. يقال : أتاحه الله لفلان ، أي هيّأه وقدّره ويسّره له. والمتاح : المقدر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w:t>
      </w:r>
      <w:r w:rsidR="008A74EB" w:rsidRPr="00393A13">
        <w:rPr>
          <w:rtl/>
        </w:rPr>
        <w:t>المؤمن</w:t>
      </w:r>
      <w:r w:rsidR="008A74EB" w:rsidRPr="00C9040A">
        <w:rPr>
          <w:rtl/>
        </w:rPr>
        <w:t xml:space="preserve"> : « وكان مولعاً به » بدل « فولع به »</w:t>
      </w:r>
      <w:r w:rsidR="008A74EB">
        <w:rPr>
          <w:rtl/>
        </w:rPr>
        <w:t>.</w:t>
      </w:r>
      <w:r w:rsidR="008A74EB" w:rsidRPr="00C9040A">
        <w:rPr>
          <w:rtl/>
        </w:rPr>
        <w:t xml:space="preserve"> ووَلِعَ به يَوْلَعُ وَلَعاً ووَلُوعاً فهو وَلُوع ، أي لجّ في أمره وحَرَص‌على إيذائه. </w:t>
      </w:r>
      <w:r w:rsidR="008A74EB" w:rsidRPr="00993B55">
        <w:rPr>
          <w:rStyle w:val="libFootnoteBoldChar"/>
          <w:rtl/>
        </w:rPr>
        <w:t>تاج العروس</w:t>
      </w:r>
      <w:r w:rsidR="008A74EB" w:rsidRPr="00C9040A">
        <w:rPr>
          <w:rtl/>
        </w:rPr>
        <w:t xml:space="preserve"> ، ج 11 ، ص 531 ( ولع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فَنَزَلَ بِرَجُلٍ مِنْ أَهْلِ الشِّرْكِ ، فَأَظَلَّهُ </w:t>
      </w:r>
      <w:r w:rsidR="006C577F" w:rsidRPr="006C577F">
        <w:rPr>
          <w:rStyle w:val="libFootnotenumChar"/>
          <w:rtl/>
        </w:rPr>
        <w:t>(1)</w:t>
      </w:r>
      <w:r w:rsidRPr="00C9040A">
        <w:rPr>
          <w:rtl/>
          <w:lang w:bidi="fa-IR"/>
        </w:rPr>
        <w:t xml:space="preserve"> وَأَرْفَقَهُ وَأَضَافَهُ ، فَلَمَّا حَضَرَهُ الْمَوْتُ أَوْحَى </w:t>
      </w:r>
      <w:r w:rsidR="006C577F" w:rsidRPr="006C577F">
        <w:rPr>
          <w:rStyle w:val="libFootnotenumChar"/>
          <w:rtl/>
        </w:rPr>
        <w:t>(2)</w:t>
      </w:r>
      <w:r w:rsidRPr="00C9040A">
        <w:rPr>
          <w:rtl/>
          <w:lang w:bidi="fa-IR"/>
        </w:rPr>
        <w:t xml:space="preserve">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إِلَيْهِ : وَعِزَّتِي وَجَلَالِي ، لَوْ كَانَ لَكَ </w:t>
      </w:r>
      <w:r w:rsidR="006C577F" w:rsidRPr="006C577F">
        <w:rPr>
          <w:rStyle w:val="libFootnotenumChar"/>
          <w:rtl/>
        </w:rPr>
        <w:t>(3)</w:t>
      </w:r>
      <w:r w:rsidRPr="00C9040A">
        <w:rPr>
          <w:rtl/>
          <w:lang w:bidi="fa-IR"/>
        </w:rPr>
        <w:t xml:space="preserve"> فِي جَنَّتِي مَسْكَنٌ </w:t>
      </w:r>
      <w:r w:rsidR="006C577F" w:rsidRPr="006C577F">
        <w:rPr>
          <w:rStyle w:val="libFootnotenumChar"/>
          <w:rtl/>
        </w:rPr>
        <w:t>(4)</w:t>
      </w:r>
      <w:r w:rsidRPr="00C9040A">
        <w:rPr>
          <w:rtl/>
          <w:lang w:bidi="fa-IR"/>
        </w:rPr>
        <w:t xml:space="preserve"> لَأَسْكَنْتُكَ فِيهَا ، وَلكِنَّهَا مُحَرَّمَةٌ عَلى مَنْ مَاتَ بِي مُشْرِكاً ، وَلكِنْ يَا نَارُ هِيدِيهِ </w:t>
      </w:r>
      <w:r w:rsidR="006C577F" w:rsidRPr="006C577F">
        <w:rPr>
          <w:rStyle w:val="libFootnotenumChar"/>
          <w:rtl/>
        </w:rPr>
        <w:t>(5)</w:t>
      </w:r>
      <w:r w:rsidRPr="00C9040A">
        <w:rPr>
          <w:rtl/>
          <w:lang w:bidi="fa-IR"/>
        </w:rPr>
        <w:t xml:space="preserve"> ، وَلَا تُؤْذِيهِ </w:t>
      </w:r>
      <w:r w:rsidR="006C577F" w:rsidRPr="006C577F">
        <w:rPr>
          <w:rStyle w:val="libFootnotenumChar"/>
          <w:rtl/>
        </w:rPr>
        <w:t>(6)</w:t>
      </w:r>
      <w:r w:rsidRPr="005B567D">
        <w:rPr>
          <w:rStyle w:val="libFootnotenumChar"/>
          <w:rtl/>
        </w:rPr>
        <w:t xml:space="preserve"> </w:t>
      </w:r>
      <w:r w:rsidRPr="00C9040A">
        <w:rPr>
          <w:rtl/>
          <w:lang w:bidi="fa-IR"/>
        </w:rPr>
        <w:t xml:space="preserve">، وَيُؤْتى بِرِزْقِهِ </w:t>
      </w:r>
      <w:r w:rsidR="006C577F" w:rsidRPr="006C577F">
        <w:rPr>
          <w:rStyle w:val="libFootnotenumChar"/>
          <w:rtl/>
        </w:rPr>
        <w:t>(7)</w:t>
      </w:r>
      <w:r w:rsidRPr="00C9040A">
        <w:rPr>
          <w:rtl/>
          <w:lang w:bidi="fa-IR"/>
        </w:rPr>
        <w:t xml:space="preserve"> طَرَفَيِ النَّهَارِ »</w:t>
      </w:r>
      <w:r>
        <w:rPr>
          <w:rtl/>
          <w:lang w:bidi="fa-IR"/>
        </w:rPr>
        <w:t>.</w:t>
      </w:r>
    </w:p>
    <w:p w:rsidR="008A74EB" w:rsidRPr="00C9040A" w:rsidRDefault="008A74EB" w:rsidP="008A74EB">
      <w:pPr>
        <w:pStyle w:val="libNormal"/>
        <w:rPr>
          <w:rtl/>
          <w:lang w:bidi="fa-IR"/>
        </w:rPr>
      </w:pPr>
      <w:r w:rsidRPr="00C9040A">
        <w:rPr>
          <w:rtl/>
          <w:lang w:bidi="fa-IR"/>
        </w:rPr>
        <w:t>قُلْتُ : مِنَ الْجَنَّةِ</w:t>
      </w:r>
      <w:r>
        <w:rPr>
          <w:rtl/>
          <w:lang w:bidi="fa-IR"/>
        </w:rPr>
        <w:t>؟</w:t>
      </w:r>
      <w:r w:rsidRPr="00C9040A">
        <w:rPr>
          <w:rtl/>
          <w:lang w:bidi="fa-IR"/>
        </w:rPr>
        <w:t xml:space="preserve"> قَالَ : « مِنْ حَيْثُ شَاءَ </w:t>
      </w:r>
      <w:r w:rsidR="006C577F" w:rsidRPr="006C577F">
        <w:rPr>
          <w:rStyle w:val="libFootnotenumChar"/>
          <w:rtl/>
        </w:rPr>
        <w:t>(8)</w:t>
      </w:r>
      <w:r w:rsidRPr="00C9040A">
        <w:rPr>
          <w:rtl/>
          <w:lang w:bidi="fa-IR"/>
        </w:rPr>
        <w:t xml:space="preserve"> اللهُ »</w:t>
      </w:r>
      <w:r>
        <w:rPr>
          <w:rtl/>
          <w:lang w:bidi="fa-IR"/>
        </w:rPr>
        <w:t>.</w:t>
      </w:r>
      <w:r w:rsidRPr="00C9040A">
        <w:rPr>
          <w:rtl/>
          <w:lang w:bidi="fa-IR"/>
        </w:rPr>
        <w:t xml:space="preserve"> </w:t>
      </w:r>
      <w:r w:rsidR="006C577F" w:rsidRPr="006C577F">
        <w:rPr>
          <w:rStyle w:val="libFootnotenumChar"/>
          <w:rtl/>
        </w:rPr>
        <w:t>(9)</w:t>
      </w:r>
    </w:p>
    <w:p w:rsidR="008A74EB" w:rsidRPr="00C9040A" w:rsidRDefault="008A74EB" w:rsidP="008A74EB">
      <w:pPr>
        <w:pStyle w:val="libNormal"/>
        <w:rPr>
          <w:rtl/>
          <w:lang w:bidi="fa-IR"/>
        </w:rPr>
      </w:pPr>
      <w:r w:rsidRPr="008642D7">
        <w:rPr>
          <w:rtl/>
        </w:rPr>
        <w:t>2131</w:t>
      </w:r>
      <w:r w:rsidRPr="00261CB0">
        <w:rPr>
          <w:rStyle w:val="libBold2Char"/>
          <w:rtl/>
        </w:rPr>
        <w:t xml:space="preserve"> / 4.</w:t>
      </w:r>
      <w:r w:rsidRPr="00C9040A">
        <w:rPr>
          <w:rtl/>
          <w:lang w:bidi="fa-IR"/>
        </w:rPr>
        <w:t xml:space="preserve"> عَنْهُ </w:t>
      </w:r>
      <w:r w:rsidR="006C577F" w:rsidRPr="006C577F">
        <w:rPr>
          <w:rStyle w:val="libFootnotenumChar"/>
          <w:rtl/>
        </w:rPr>
        <w:t>(10)</w:t>
      </w:r>
      <w:r w:rsidRPr="00C9040A">
        <w:rPr>
          <w:rtl/>
          <w:lang w:bidi="fa-IR"/>
        </w:rPr>
        <w:t xml:space="preserve"> ، عَنْ بَكْرِ بْنِ صَالِحٍ ، عَنِ الْحَسَنِ بْنِ عَلِيٍّ ، عَنْ عَبْدِ اللهِ بْنِ إِبْرَاهِيمَ ، عَنْ عَلِيِّ بْنِ أَبِي عَلِيٍّ ، عَنْ أَبِي عَبْدِ اللهِ ، عَنْ أَبِيهِ :</w:t>
      </w:r>
    </w:p>
    <w:p w:rsidR="008A74EB" w:rsidRPr="00C9040A" w:rsidRDefault="008A74EB" w:rsidP="008A74EB">
      <w:pPr>
        <w:pStyle w:val="libNormal"/>
        <w:rPr>
          <w:rtl/>
          <w:lang w:bidi="fa-IR"/>
        </w:rPr>
      </w:pPr>
      <w:r w:rsidRPr="00C9040A">
        <w:rPr>
          <w:rtl/>
          <w:lang w:bidi="fa-IR"/>
        </w:rPr>
        <w:t xml:space="preserve">عَنْ عَلِيِّ بْنِ الْحُسَيْنِ صَلَوَاتُ اللهِ عَلَيْهِمْ ، قَالَ : « قَالَ رَسُولُ اللهِ </w:t>
      </w:r>
      <w:r w:rsidR="004A4E41" w:rsidRPr="004A4E41">
        <w:rPr>
          <w:rStyle w:val="libAlaemChar"/>
          <w:rtl/>
        </w:rPr>
        <w:t>صلى‌الله‌عليه‌وآله</w:t>
      </w:r>
      <w:r w:rsidRPr="00C9040A">
        <w:rPr>
          <w:rtl/>
          <w:lang w:bidi="fa-IR"/>
        </w:rPr>
        <w:t xml:space="preserve"> : إِنَّ أَحَبَّ الْأَعْمَالِ إِلَى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إِدْخَالُ السُّرُورِ عَلَى الْمُؤْمِنِينَ »</w:t>
      </w:r>
      <w:r>
        <w:rPr>
          <w:rtl/>
          <w:lang w:bidi="fa-IR"/>
        </w:rPr>
        <w:t>.</w:t>
      </w:r>
      <w:r w:rsidRPr="00C9040A">
        <w:rPr>
          <w:rtl/>
          <w:lang w:bidi="fa-IR"/>
        </w:rPr>
        <w:t xml:space="preserve"> </w:t>
      </w:r>
      <w:r w:rsidR="006C577F" w:rsidRPr="006C577F">
        <w:rPr>
          <w:rStyle w:val="libFootnotenumChar"/>
          <w:rtl/>
        </w:rPr>
        <w:t>(11)</w:t>
      </w:r>
      <w:r w:rsidRPr="00C9040A">
        <w:rPr>
          <w:rtl/>
          <w:lang w:bidi="fa-IR"/>
        </w:rPr>
        <w:t xml:space="preserve"> ‌</w:t>
      </w:r>
    </w:p>
    <w:p w:rsidR="008A74EB" w:rsidRPr="00C9040A" w:rsidRDefault="008A74EB" w:rsidP="008A74EB">
      <w:pPr>
        <w:pStyle w:val="libNormal"/>
        <w:rPr>
          <w:rtl/>
          <w:lang w:bidi="fa-IR"/>
        </w:rPr>
      </w:pPr>
      <w:r w:rsidRPr="008642D7">
        <w:rPr>
          <w:rtl/>
        </w:rPr>
        <w:t>2132</w:t>
      </w:r>
      <w:r w:rsidRPr="00261CB0">
        <w:rPr>
          <w:rStyle w:val="libBold2Char"/>
          <w:rtl/>
        </w:rPr>
        <w:t xml:space="preserve"> / 5.</w:t>
      </w:r>
      <w:r w:rsidRPr="00C9040A">
        <w:rPr>
          <w:rtl/>
          <w:lang w:bidi="fa-IR"/>
        </w:rPr>
        <w:t xml:space="preserve"> عَلِيُّ بْنُ إِبْرَاهِيمَ ، عَنْ أَبِيهِ ، عَنِ ابْنِ مَحْبُوبٍ ، عَنْ عَبْدِ اللهِ بْنِ سِنَانٍ :</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B16DF4" w:rsidTr="00B16DF4">
        <w:tc>
          <w:tcPr>
            <w:tcW w:w="4006" w:type="dxa"/>
          </w:tcPr>
          <w:p w:rsidR="00B16DF4" w:rsidRDefault="00B16DF4" w:rsidP="004A4E41">
            <w:pPr>
              <w:pStyle w:val="libFootnote0"/>
              <w:rPr>
                <w:rtl/>
              </w:rPr>
            </w:pPr>
            <w:r>
              <w:rPr>
                <w:rtl/>
              </w:rPr>
              <w:t xml:space="preserve">(1). </w:t>
            </w:r>
            <w:r w:rsidRPr="00C9040A">
              <w:rPr>
                <w:rtl/>
              </w:rPr>
              <w:t>في المؤمن : « فألطفه »</w:t>
            </w:r>
            <w:r>
              <w:rPr>
                <w:rtl/>
              </w:rPr>
              <w:t>.</w:t>
            </w:r>
          </w:p>
        </w:tc>
        <w:tc>
          <w:tcPr>
            <w:tcW w:w="4006" w:type="dxa"/>
          </w:tcPr>
          <w:p w:rsidR="00B16DF4" w:rsidRDefault="00B16DF4" w:rsidP="004A4E41">
            <w:pPr>
              <w:pStyle w:val="libFootnote0"/>
              <w:rPr>
                <w:rtl/>
              </w:rPr>
            </w:pPr>
            <w:r>
              <w:rPr>
                <w:rtl/>
              </w:rPr>
              <w:t xml:space="preserve">(2). </w:t>
            </w:r>
            <w:r w:rsidRPr="00C9040A">
              <w:rPr>
                <w:rtl/>
              </w:rPr>
              <w:t>في « ب » : « فأوحى »</w:t>
            </w:r>
            <w:r>
              <w:rPr>
                <w:rtl/>
              </w:rPr>
              <w:t>.</w:t>
            </w:r>
          </w:p>
        </w:tc>
      </w:tr>
      <w:tr w:rsidR="00B16DF4" w:rsidTr="00B16DF4">
        <w:tc>
          <w:tcPr>
            <w:tcW w:w="4006" w:type="dxa"/>
          </w:tcPr>
          <w:p w:rsidR="00B16DF4" w:rsidRDefault="00B16DF4" w:rsidP="004A4E41">
            <w:pPr>
              <w:pStyle w:val="libFootnote0"/>
              <w:rPr>
                <w:rtl/>
              </w:rPr>
            </w:pPr>
            <w:r>
              <w:rPr>
                <w:rtl/>
              </w:rPr>
              <w:t>(3).</w:t>
            </w:r>
            <w:r w:rsidRPr="00C9040A">
              <w:rPr>
                <w:rtl/>
              </w:rPr>
              <w:t xml:space="preserve"> في المؤمن </w:t>
            </w:r>
            <w:r>
              <w:rPr>
                <w:rtl/>
              </w:rPr>
              <w:t>: -</w:t>
            </w:r>
            <w:r w:rsidRPr="00C9040A">
              <w:rPr>
                <w:rtl/>
              </w:rPr>
              <w:t xml:space="preserve"> « لك »</w:t>
            </w:r>
            <w:r>
              <w:rPr>
                <w:rtl/>
              </w:rPr>
              <w:t>.</w:t>
            </w:r>
          </w:p>
        </w:tc>
        <w:tc>
          <w:tcPr>
            <w:tcW w:w="4006" w:type="dxa"/>
          </w:tcPr>
          <w:p w:rsidR="00B16DF4" w:rsidRDefault="00B16DF4" w:rsidP="004A4E41">
            <w:pPr>
              <w:pStyle w:val="libFootnote0"/>
              <w:rPr>
                <w:rtl/>
              </w:rPr>
            </w:pPr>
            <w:r>
              <w:rPr>
                <w:rtl/>
              </w:rPr>
              <w:t>(4).</w:t>
            </w:r>
            <w:r w:rsidRPr="00C9040A">
              <w:rPr>
                <w:rtl/>
              </w:rPr>
              <w:t xml:space="preserve"> في المؤمن : + « لمشرك »</w:t>
            </w:r>
            <w:r>
              <w:rPr>
                <w:rtl/>
              </w:rPr>
              <w:t>.</w:t>
            </w:r>
          </w:p>
        </w:tc>
      </w:tr>
    </w:tbl>
    <w:p w:rsidR="008A74EB" w:rsidRPr="00C9040A" w:rsidRDefault="006C577F" w:rsidP="004A4E41">
      <w:pPr>
        <w:pStyle w:val="libFootnote0"/>
        <w:rPr>
          <w:rtl/>
          <w:lang w:bidi="fa-IR"/>
        </w:rPr>
      </w:pPr>
      <w:r>
        <w:rPr>
          <w:rtl/>
        </w:rPr>
        <w:t>(5).</w:t>
      </w:r>
      <w:r w:rsidR="008A74EB" w:rsidRPr="00C9040A">
        <w:rPr>
          <w:rtl/>
        </w:rPr>
        <w:t xml:space="preserve"> في المؤمن : « هاربيه »</w:t>
      </w:r>
      <w:r w:rsidR="008A74EB">
        <w:rPr>
          <w:rtl/>
        </w:rPr>
        <w:t>.</w:t>
      </w:r>
      <w:r w:rsidR="008A74EB" w:rsidRPr="00C9040A">
        <w:rPr>
          <w:rtl/>
        </w:rPr>
        <w:t xml:space="preserve"> وأصل الهَيْد : الحركة. وقد هُدْت الشي‌ء أهِيدُه هَيْداً ، إذا حَرّكته وأزعَجته. </w:t>
      </w:r>
      <w:r w:rsidR="008A74EB" w:rsidRPr="00993B55">
        <w:rPr>
          <w:rStyle w:val="libFootnoteBoldChar"/>
          <w:rtl/>
        </w:rPr>
        <w:t>النهاية</w:t>
      </w:r>
      <w:r w:rsidR="008A74EB" w:rsidRPr="00C9040A">
        <w:rPr>
          <w:rtl/>
        </w:rPr>
        <w:t xml:space="preserve"> ، ج 5 ، ص 286 ( هيد )</w:t>
      </w:r>
      <w:r w:rsidR="008A74EB">
        <w:rPr>
          <w:rtl/>
        </w:rPr>
        <w:t>.</w:t>
      </w:r>
    </w:p>
    <w:tbl>
      <w:tblPr>
        <w:tblStyle w:val="TableGrid"/>
        <w:bidiVisual/>
        <w:tblW w:w="0" w:type="auto"/>
        <w:tblLook w:val="04A0" w:firstRow="1" w:lastRow="0" w:firstColumn="1" w:lastColumn="0" w:noHBand="0" w:noVBand="1"/>
      </w:tblPr>
      <w:tblGrid>
        <w:gridCol w:w="4006"/>
        <w:gridCol w:w="4006"/>
      </w:tblGrid>
      <w:tr w:rsidR="00B16DF4" w:rsidTr="00B16DF4">
        <w:tc>
          <w:tcPr>
            <w:tcW w:w="4006" w:type="dxa"/>
          </w:tcPr>
          <w:p w:rsidR="00B16DF4" w:rsidRDefault="00B16DF4" w:rsidP="004A4E41">
            <w:pPr>
              <w:pStyle w:val="libFootnote0"/>
              <w:rPr>
                <w:rtl/>
                <w:lang w:bidi="fa-IR"/>
              </w:rPr>
            </w:pPr>
            <w:r>
              <w:rPr>
                <w:rtl/>
              </w:rPr>
              <w:t xml:space="preserve">(6). </w:t>
            </w:r>
            <w:r w:rsidRPr="00C9040A">
              <w:rPr>
                <w:rtl/>
              </w:rPr>
              <w:t>في المؤمن : + « قال »</w:t>
            </w:r>
            <w:r>
              <w:rPr>
                <w:rtl/>
              </w:rPr>
              <w:t>.</w:t>
            </w:r>
          </w:p>
        </w:tc>
        <w:tc>
          <w:tcPr>
            <w:tcW w:w="4006" w:type="dxa"/>
          </w:tcPr>
          <w:p w:rsidR="00B16DF4" w:rsidRDefault="00B16DF4" w:rsidP="004A4E41">
            <w:pPr>
              <w:pStyle w:val="libFootnote0"/>
              <w:rPr>
                <w:rtl/>
                <w:lang w:bidi="fa-IR"/>
              </w:rPr>
            </w:pPr>
            <w:r>
              <w:rPr>
                <w:rtl/>
              </w:rPr>
              <w:t>(7).</w:t>
            </w:r>
            <w:r w:rsidRPr="00C9040A">
              <w:rPr>
                <w:rtl/>
              </w:rPr>
              <w:t xml:space="preserve"> في « بس » : « رزقه »</w:t>
            </w:r>
            <w:r>
              <w:rPr>
                <w:rtl/>
              </w:rPr>
              <w:t>.</w:t>
            </w:r>
          </w:p>
        </w:tc>
      </w:tr>
    </w:tbl>
    <w:p w:rsidR="008A74EB" w:rsidRPr="00C9040A" w:rsidRDefault="006C577F" w:rsidP="004A4E41">
      <w:pPr>
        <w:pStyle w:val="libFootnote0"/>
        <w:rPr>
          <w:rtl/>
          <w:lang w:bidi="fa-IR"/>
        </w:rPr>
      </w:pPr>
      <w:r>
        <w:rPr>
          <w:rtl/>
        </w:rPr>
        <w:t>(8).</w:t>
      </w:r>
      <w:r w:rsidR="008A74EB" w:rsidRPr="00C9040A">
        <w:rPr>
          <w:rtl/>
        </w:rPr>
        <w:t xml:space="preserve"> في « ب ، ج ، ض ، ف » وحاشية « ص » : « يشاء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w:t>
      </w:r>
      <w:r w:rsidR="008A74EB" w:rsidRPr="00993B55">
        <w:rPr>
          <w:rStyle w:val="libFootnoteBoldChar"/>
          <w:rtl/>
        </w:rPr>
        <w:t>المؤمن</w:t>
      </w:r>
      <w:r w:rsidR="008A74EB" w:rsidRPr="00C9040A">
        <w:rPr>
          <w:rtl/>
        </w:rPr>
        <w:t xml:space="preserve"> ، ص 50 ، ح 123 ، عن أبي جعفر </w:t>
      </w:r>
      <w:r w:rsidR="00117575" w:rsidRPr="00117575">
        <w:rPr>
          <w:rStyle w:val="libFootnoteAlaemChar"/>
          <w:rtl/>
        </w:rPr>
        <w:t>عليه‌السلام</w:t>
      </w:r>
      <w:r w:rsidR="008A74EB" w:rsidRPr="00C9040A">
        <w:rPr>
          <w:rtl/>
        </w:rPr>
        <w:t xml:space="preserve"> ؛ </w:t>
      </w:r>
      <w:r w:rsidR="008A74EB" w:rsidRPr="00993B55">
        <w:rPr>
          <w:rStyle w:val="libFootnoteBoldChar"/>
          <w:rtl/>
        </w:rPr>
        <w:t>مصادقة الإخوان</w:t>
      </w:r>
      <w:r w:rsidR="008A74EB" w:rsidRPr="00C9040A">
        <w:rPr>
          <w:rtl/>
        </w:rPr>
        <w:t xml:space="preserve"> ، ص 60 ، ح 2 ، مرسلاً عن عبد الله بن الوليد الوصّافي ، إلى قوله : « من أدخل على مؤمن سروراً » </w:t>
      </w:r>
      <w:r w:rsidR="00B16DF4">
        <w:rPr>
          <w:rFonts w:hint="cs"/>
          <w:rtl/>
        </w:rPr>
        <w:t>.</w:t>
      </w:r>
      <w:r w:rsidR="008A74EB" w:rsidRPr="00993B55">
        <w:rPr>
          <w:rStyle w:val="libFootnoteBoldChar"/>
          <w:rtl/>
        </w:rPr>
        <w:t>الوافي</w:t>
      </w:r>
      <w:r w:rsidR="008A74EB" w:rsidRPr="00C9040A">
        <w:rPr>
          <w:rtl/>
        </w:rPr>
        <w:t xml:space="preserve"> ، ج 5 ، ص 653 ، ح 2798 ؛ </w:t>
      </w:r>
      <w:r w:rsidR="008A74EB" w:rsidRPr="00993B55">
        <w:rPr>
          <w:rStyle w:val="libFootnoteBoldChar"/>
          <w:rtl/>
        </w:rPr>
        <w:t>البحار</w:t>
      </w:r>
      <w:r w:rsidR="008A74EB" w:rsidRPr="00C9040A">
        <w:rPr>
          <w:rtl/>
        </w:rPr>
        <w:t xml:space="preserve"> ، ج 8 ، ص 314 ، ح 92 ، من قوله : « إنّ مؤمناً كان في مملكة جبّار » ؛ وج 74 ، ص 288 ، ح 16.</w:t>
      </w:r>
    </w:p>
    <w:p w:rsidR="008A74EB" w:rsidRPr="00C9040A" w:rsidRDefault="006C577F" w:rsidP="004A4E41">
      <w:pPr>
        <w:pStyle w:val="libFootnote0"/>
        <w:rPr>
          <w:rtl/>
          <w:lang w:bidi="fa-IR"/>
        </w:rPr>
      </w:pPr>
      <w:r>
        <w:rPr>
          <w:rtl/>
        </w:rPr>
        <w:t>(10).</w:t>
      </w:r>
      <w:r w:rsidR="008A74EB" w:rsidRPr="00C9040A">
        <w:rPr>
          <w:rtl/>
        </w:rPr>
        <w:t xml:space="preserve"> الضمير راجع إلى أحمد بن محمّد بن عيسى المذكور في السند السابق.</w:t>
      </w:r>
    </w:p>
    <w:p w:rsidR="008A74EB" w:rsidRPr="00C9040A" w:rsidRDefault="006C577F" w:rsidP="00411D58">
      <w:pPr>
        <w:pStyle w:val="libFootnote0"/>
        <w:rPr>
          <w:rtl/>
          <w:lang w:bidi="fa-IR"/>
        </w:rPr>
      </w:pPr>
      <w:r>
        <w:rPr>
          <w:rtl/>
        </w:rPr>
        <w:t>(11).</w:t>
      </w:r>
      <w:r w:rsidR="008A74EB" w:rsidRPr="00C9040A">
        <w:rPr>
          <w:rtl/>
        </w:rPr>
        <w:t xml:space="preserve"> </w:t>
      </w:r>
      <w:r w:rsidR="008A74EB" w:rsidRPr="00993B55">
        <w:rPr>
          <w:rStyle w:val="libFootnoteBoldChar"/>
          <w:rtl/>
        </w:rPr>
        <w:t>مصادقة الإخوان</w:t>
      </w:r>
      <w:r w:rsidR="008A74EB" w:rsidRPr="00C9040A">
        <w:rPr>
          <w:rtl/>
        </w:rPr>
        <w:t xml:space="preserve"> ، ص 60 ، ح 3 ، مرسلاً عن جعفر بن محمّد ، عن عليّ بن الحسين </w:t>
      </w:r>
      <w:r w:rsidR="00117575" w:rsidRPr="00117575">
        <w:rPr>
          <w:rStyle w:val="libFootnoteAlaemChar"/>
          <w:rtl/>
        </w:rPr>
        <w:t>عليهما‌السلام</w:t>
      </w:r>
      <w:r w:rsidR="008A74EB" w:rsidRPr="00C9040A">
        <w:rPr>
          <w:rtl/>
        </w:rPr>
        <w:t xml:space="preserve">. </w:t>
      </w:r>
      <w:r w:rsidR="008A74EB" w:rsidRPr="00993B55">
        <w:rPr>
          <w:rStyle w:val="libFootnoteBoldChar"/>
          <w:rtl/>
        </w:rPr>
        <w:t>كامل الزيارات</w:t>
      </w:r>
      <w:r w:rsidR="008A74EB" w:rsidRPr="00C9040A">
        <w:rPr>
          <w:rtl/>
        </w:rPr>
        <w:t xml:space="preserve">. ص 146 ، الباب 58 ، ح 4 ، بسند آخر عن أبي عبد الله </w:t>
      </w:r>
      <w:r w:rsidR="00117575" w:rsidRPr="00117575">
        <w:rPr>
          <w:rStyle w:val="libFootnoteAlaemChar"/>
          <w:rtl/>
        </w:rPr>
        <w:t>عليه‌السلام</w:t>
      </w:r>
      <w:r w:rsidR="008A74EB" w:rsidRPr="00C9040A">
        <w:rPr>
          <w:rtl/>
        </w:rPr>
        <w:t xml:space="preserve"> ، مع زيادة في أوّله وآخره ؛ </w:t>
      </w:r>
      <w:r w:rsidR="008A74EB" w:rsidRPr="00993B55">
        <w:rPr>
          <w:rStyle w:val="libFootnoteBoldChar"/>
          <w:rtl/>
        </w:rPr>
        <w:t>المؤمن</w:t>
      </w:r>
      <w:r w:rsidR="008A74EB" w:rsidRPr="00C9040A">
        <w:rPr>
          <w:rtl/>
        </w:rPr>
        <w:t xml:space="preserve"> ، ص 52 ، ح 131 ، عن أبي عبد الله </w:t>
      </w:r>
      <w:r w:rsidR="00117575" w:rsidRPr="00117575">
        <w:rPr>
          <w:rStyle w:val="libFootnoteAlaemChar"/>
          <w:rtl/>
        </w:rPr>
        <w:t>عليه‌السلام</w:t>
      </w:r>
      <w:r w:rsidR="008A74EB" w:rsidRPr="00C9040A">
        <w:rPr>
          <w:rtl/>
        </w:rPr>
        <w:t xml:space="preserve"> ؛ </w:t>
      </w:r>
      <w:r w:rsidR="008A74EB" w:rsidRPr="00993B55">
        <w:rPr>
          <w:rStyle w:val="libFootnoteBoldChar"/>
          <w:rtl/>
        </w:rPr>
        <w:t>مصادقة الإخوان</w:t>
      </w:r>
      <w:r w:rsidR="008A74EB" w:rsidRPr="00C9040A">
        <w:rPr>
          <w:rtl/>
        </w:rPr>
        <w:t xml:space="preserve"> ، ص 60 ، ح 6 ، مرسلاً عن صفوان بن مهران الجمّال ، عن أبي عبد الله </w:t>
      </w:r>
      <w:r w:rsidR="00117575" w:rsidRPr="00117575">
        <w:rPr>
          <w:rStyle w:val="libFootnoteAlaemChar"/>
          <w:rtl/>
        </w:rPr>
        <w:t>عليه‌السلام</w:t>
      </w:r>
      <w:r w:rsidR="008A74EB" w:rsidRPr="00C9040A">
        <w:rPr>
          <w:rtl/>
        </w:rPr>
        <w:t xml:space="preserve"> ؛ </w:t>
      </w:r>
      <w:r w:rsidR="008A74EB" w:rsidRPr="00993B55">
        <w:rPr>
          <w:rStyle w:val="libFootnoteBoldChar"/>
          <w:rtl/>
        </w:rPr>
        <w:t>وفيه</w:t>
      </w:r>
      <w:r w:rsidR="008A74EB" w:rsidRPr="00C9040A">
        <w:rPr>
          <w:rtl/>
        </w:rPr>
        <w:t xml:space="preserve"> ، ص 60 ، ح 4 ، مرسلاً عن جميل ، عن أبي عبد الله </w:t>
      </w:r>
      <w:r w:rsidR="00117575" w:rsidRPr="00117575">
        <w:rPr>
          <w:rStyle w:val="libFootnoteAlaemChar"/>
          <w:rtl/>
        </w:rPr>
        <w:t>عليه‌السلام</w:t>
      </w:r>
      <w:r w:rsidR="008A74EB" w:rsidRPr="00C9040A">
        <w:rPr>
          <w:rtl/>
        </w:rPr>
        <w:t xml:space="preserve"> ، وفي الأربعة الأخيرة مع اختلاف يسير ، من دون الإسناد إلى آبائه </w:t>
      </w:r>
      <w:r w:rsidR="00117575" w:rsidRPr="00117575">
        <w:rPr>
          <w:rStyle w:val="libFootnoteAlaemChar"/>
          <w:rtl/>
        </w:rPr>
        <w:t>عليهم‌السلام</w:t>
      </w:r>
      <w:r w:rsidR="008A74EB" w:rsidRPr="00C9040A">
        <w:rPr>
          <w:rtl/>
        </w:rPr>
        <w:t xml:space="preserve"> عن رسول الله </w:t>
      </w:r>
      <w:r w:rsidR="004A4E41" w:rsidRPr="004A4E41">
        <w:rPr>
          <w:rStyle w:val="libAlaemChar"/>
          <w:rtl/>
        </w:rPr>
        <w:t>صلى‌الله‌عليه‌وآله</w:t>
      </w:r>
      <w:r w:rsidR="008A74EB" w:rsidRPr="00C9040A">
        <w:rPr>
          <w:rtl/>
        </w:rPr>
        <w:t xml:space="preserve"> </w:t>
      </w:r>
      <w:r w:rsidR="00B16DF4">
        <w:rPr>
          <w:rFonts w:hint="cs"/>
          <w:rtl/>
        </w:rPr>
        <w:t>.</w:t>
      </w:r>
      <w:r w:rsidR="008A74EB" w:rsidRPr="00993B55">
        <w:rPr>
          <w:rStyle w:val="libFootnoteBoldChar"/>
          <w:rtl/>
        </w:rPr>
        <w:t>الوافي</w:t>
      </w:r>
      <w:r w:rsidR="008A74EB" w:rsidRPr="00C9040A">
        <w:rPr>
          <w:rtl/>
        </w:rPr>
        <w:t xml:space="preserve"> ، ج 5 ، ص 654 ، ح 2799 ؛ </w:t>
      </w:r>
      <w:r w:rsidR="008A74EB" w:rsidRPr="00993B55">
        <w:rPr>
          <w:rStyle w:val="libFootnoteBoldChar"/>
          <w:rtl/>
        </w:rPr>
        <w:t>البحار</w:t>
      </w:r>
      <w:r w:rsidR="008A74EB" w:rsidRPr="00C9040A">
        <w:rPr>
          <w:rtl/>
        </w:rPr>
        <w:t xml:space="preserve"> ، ج 74 ، ص 289 ، ح 17.</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قَالَ </w:t>
      </w:r>
      <w:r w:rsidR="006C577F" w:rsidRPr="006C577F">
        <w:rPr>
          <w:rStyle w:val="libFootnotenumChar"/>
          <w:rtl/>
        </w:rPr>
        <w:t>(1)</w:t>
      </w:r>
      <w:r w:rsidRPr="00C9040A">
        <w:rPr>
          <w:rtl/>
          <w:lang w:bidi="fa-IR"/>
        </w:rPr>
        <w:t xml:space="preserve"> : « أَوْحَى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إِلى دَاوُدَ </w:t>
      </w:r>
      <w:r w:rsidRPr="0003660B">
        <w:rPr>
          <w:rStyle w:val="libAlaemChar"/>
          <w:rtl/>
        </w:rPr>
        <w:t>عليه‌السلام</w:t>
      </w:r>
      <w:r w:rsidRPr="00C9040A">
        <w:rPr>
          <w:rtl/>
          <w:lang w:bidi="fa-IR"/>
        </w:rPr>
        <w:t xml:space="preserve"> : أَنَّ </w:t>
      </w:r>
      <w:r w:rsidR="006C577F" w:rsidRPr="006C577F">
        <w:rPr>
          <w:rStyle w:val="libFootnotenumChar"/>
          <w:rtl/>
        </w:rPr>
        <w:t>(2)</w:t>
      </w:r>
      <w:r w:rsidRPr="00C9040A">
        <w:rPr>
          <w:rtl/>
          <w:lang w:bidi="fa-IR"/>
        </w:rPr>
        <w:t xml:space="preserve"> الْعَبْدَ مِنْ عِبَادِي لَيَأْتِينِي بِالْحَسَنَةِ ، فَأُبِيحُهُ جَنَّتِي ، فَقَالَ دَاوُدُ : يَا رَبِّ ، وَمَا تِلْكَ الْحَسَنَةُ</w:t>
      </w:r>
      <w:r>
        <w:rPr>
          <w:rtl/>
          <w:lang w:bidi="fa-IR"/>
        </w:rPr>
        <w:t>؟</w:t>
      </w:r>
      <w:r>
        <w:rPr>
          <w:rFonts w:hint="cs"/>
          <w:rtl/>
          <w:lang w:bidi="fa-IR"/>
        </w:rPr>
        <w:t xml:space="preserve"> </w:t>
      </w:r>
      <w:r w:rsidRPr="00C9040A">
        <w:rPr>
          <w:rtl/>
          <w:lang w:bidi="fa-IR"/>
        </w:rPr>
        <w:t xml:space="preserve">قَالَ : يُدْخِلُ </w:t>
      </w:r>
      <w:r w:rsidR="006C577F" w:rsidRPr="006C577F">
        <w:rPr>
          <w:rStyle w:val="libFootnotenumChar"/>
          <w:rtl/>
        </w:rPr>
        <w:t>(3)</w:t>
      </w:r>
      <w:r w:rsidRPr="00C9040A">
        <w:rPr>
          <w:rtl/>
          <w:lang w:bidi="fa-IR"/>
        </w:rPr>
        <w:t xml:space="preserve"> عَلى عَبْدِيَ الْمُؤْمِنِ سُرُوراً وَلَوْ بِتَمْرَةٍ ، قَالَ دَاوُدُ : يَا رَبِّ ، حَقٌّ لِمَنْ </w:t>
      </w:r>
      <w:r w:rsidR="006C577F" w:rsidRPr="006C577F">
        <w:rPr>
          <w:rStyle w:val="libFootnotenumChar"/>
          <w:rtl/>
        </w:rPr>
        <w:t>(4)</w:t>
      </w:r>
      <w:r w:rsidRPr="00C9040A">
        <w:rPr>
          <w:rtl/>
          <w:lang w:bidi="fa-IR"/>
        </w:rPr>
        <w:t xml:space="preserve"> عَرَفَكَ أَنْ لَايَقْطَعَ رَجَاءَهُ مِنْكَ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8642D7">
        <w:rPr>
          <w:rtl/>
        </w:rPr>
        <w:t>2133</w:t>
      </w:r>
      <w:r w:rsidRPr="00261CB0">
        <w:rPr>
          <w:rStyle w:val="libBold2Char"/>
          <w:rtl/>
        </w:rPr>
        <w:t xml:space="preserve"> / 6.</w:t>
      </w:r>
      <w:r w:rsidRPr="00C9040A">
        <w:rPr>
          <w:rtl/>
          <w:lang w:bidi="fa-IR"/>
        </w:rPr>
        <w:t xml:space="preserve"> عِدَّةٌ مِنْ أَصْحَابِنَا ، عَنْ أَحْمَدَ بْنِ مُحَمَّدِ بْنِ خَالِدٍ ، عَنْ أَبِيهِ ، عَنْ خَلَفِ بْنِ حَمَّادٍ ، عَنْ مُفَضَّلِ بْنِ عُمَرَ :</w:t>
      </w:r>
    </w:p>
    <w:p w:rsidR="008A74EB" w:rsidRPr="00C9040A" w:rsidRDefault="008A74EB" w:rsidP="00E85013">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لَا يَرى أَحَدُكُمْ إِذَا أَدْخَلَ عَلى مُؤْمِنٍ سُرُوراً أَنَّهُ عَلَيْهِ أَدْخَلَهُ </w:t>
      </w:r>
      <w:r w:rsidR="006C577F" w:rsidRPr="006C577F">
        <w:rPr>
          <w:rStyle w:val="libFootnotenumChar"/>
          <w:rtl/>
        </w:rPr>
        <w:t>(6)</w:t>
      </w:r>
      <w:r w:rsidRPr="005B567D">
        <w:rPr>
          <w:rStyle w:val="libFootnotenumChar"/>
          <w:rtl/>
        </w:rPr>
        <w:t xml:space="preserve"> </w:t>
      </w:r>
      <w:r w:rsidRPr="00C9040A">
        <w:rPr>
          <w:rtl/>
          <w:lang w:bidi="fa-IR"/>
        </w:rPr>
        <w:t xml:space="preserve">فَقَطْ ، بَلْ </w:t>
      </w:r>
      <w:r w:rsidR="006C577F" w:rsidRPr="006C577F">
        <w:rPr>
          <w:rStyle w:val="libFootnotenumChar"/>
          <w:rtl/>
        </w:rPr>
        <w:t>(7)</w:t>
      </w:r>
      <w:r w:rsidRPr="00C9040A">
        <w:rPr>
          <w:rtl/>
          <w:lang w:bidi="fa-IR"/>
        </w:rPr>
        <w:t xml:space="preserve"> وَاللهِ عَلَيْنَا ، بَلْ </w:t>
      </w:r>
      <w:r w:rsidR="006C577F" w:rsidRPr="006C577F">
        <w:rPr>
          <w:rStyle w:val="libFootnotenumChar"/>
          <w:rtl/>
        </w:rPr>
        <w:t>(8)</w:t>
      </w:r>
      <w:r w:rsidRPr="00C9040A">
        <w:rPr>
          <w:rtl/>
          <w:lang w:bidi="fa-IR"/>
        </w:rPr>
        <w:t xml:space="preserve"> وَاللهِ عَلى رَسُولِ اللهِ </w:t>
      </w:r>
      <w:r w:rsidR="006C577F" w:rsidRPr="006C577F">
        <w:rPr>
          <w:rStyle w:val="libFootnotenumChar"/>
          <w:rtl/>
        </w:rPr>
        <w:t>(9)</w:t>
      </w:r>
      <w:r w:rsidRPr="00C9040A">
        <w:rPr>
          <w:rtl/>
          <w:lang w:bidi="fa-IR"/>
        </w:rPr>
        <w:t xml:space="preserve"> </w:t>
      </w:r>
      <w:r w:rsidR="004A4E41" w:rsidRPr="004A4E41">
        <w:rPr>
          <w:rStyle w:val="libAlaemChar"/>
          <w:rtl/>
        </w:rPr>
        <w:t>صلى‌الله‌عليه‌وآله</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(10)</w:t>
      </w:r>
    </w:p>
    <w:p w:rsidR="00E85013" w:rsidRDefault="008A74EB" w:rsidP="00E85013">
      <w:pPr>
        <w:pStyle w:val="libNormal"/>
        <w:rPr>
          <w:rtl/>
          <w:lang w:bidi="fa-IR"/>
        </w:rPr>
      </w:pPr>
      <w:r w:rsidRPr="008642D7">
        <w:rPr>
          <w:rtl/>
        </w:rPr>
        <w:t>2134</w:t>
      </w:r>
      <w:r w:rsidRPr="00261CB0">
        <w:rPr>
          <w:rStyle w:val="libBold2Char"/>
          <w:rtl/>
        </w:rPr>
        <w:t xml:space="preserve"> / 7.</w:t>
      </w:r>
      <w:r w:rsidRPr="00C9040A">
        <w:rPr>
          <w:rtl/>
          <w:lang w:bidi="fa-IR"/>
        </w:rPr>
        <w:t xml:space="preserve"> عَلِيُّ بْنُ إِبْرَاهِيمَ ، عَنْ أَبِيهِ ؛</w:t>
      </w:r>
    </w:p>
    <w:p w:rsidR="008A74EB" w:rsidRPr="00C9040A" w:rsidRDefault="00E85013" w:rsidP="00E85013">
      <w:pPr>
        <w:pStyle w:val="libNormal"/>
        <w:rPr>
          <w:rtl/>
          <w:lang w:bidi="fa-IR"/>
        </w:rPr>
      </w:pPr>
      <w:r>
        <w:rPr>
          <w:rFonts w:hint="cs"/>
          <w:rtl/>
          <w:lang w:bidi="fa-IR"/>
        </w:rPr>
        <w:t xml:space="preserve">               </w:t>
      </w:r>
      <w:r w:rsidR="008A74EB" w:rsidRPr="00C9040A">
        <w:rPr>
          <w:rtl/>
          <w:lang w:bidi="fa-IR"/>
        </w:rPr>
        <w:t>وَمُحَمَّدُ بْنُ إِسْمَاعِيلَ ، عَنِ الْفَضْلِ بْنِ شَاذَانَ جَمِيعاً ، عَنِ ابْنِ أَبِي عُمَيْرٍ ، عَنْ إِبْرَاهِيمَ بْنِ عَبْدِ الْحَمِيدِ ، عَنْ أَبِي الْجَارُودِ :</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E85013" w:rsidTr="00E85013">
        <w:tc>
          <w:tcPr>
            <w:tcW w:w="4006" w:type="dxa"/>
          </w:tcPr>
          <w:p w:rsidR="00E85013" w:rsidRDefault="00E85013" w:rsidP="004A4E41">
            <w:pPr>
              <w:pStyle w:val="libFootnote0"/>
              <w:rPr>
                <w:rtl/>
              </w:rPr>
            </w:pPr>
            <w:r>
              <w:rPr>
                <w:rtl/>
              </w:rPr>
              <w:t xml:space="preserve">(1). </w:t>
            </w:r>
            <w:r w:rsidRPr="00C9040A">
              <w:rPr>
                <w:rtl/>
              </w:rPr>
              <w:t xml:space="preserve">في « ج » والوسائل </w:t>
            </w:r>
            <w:r>
              <w:rPr>
                <w:rtl/>
              </w:rPr>
              <w:t>: -</w:t>
            </w:r>
            <w:r w:rsidRPr="00C9040A">
              <w:rPr>
                <w:rtl/>
              </w:rPr>
              <w:t xml:space="preserve"> « قال »</w:t>
            </w:r>
            <w:r>
              <w:rPr>
                <w:rtl/>
              </w:rPr>
              <w:t>.</w:t>
            </w:r>
          </w:p>
        </w:tc>
        <w:tc>
          <w:tcPr>
            <w:tcW w:w="4006" w:type="dxa"/>
          </w:tcPr>
          <w:p w:rsidR="00E85013" w:rsidRDefault="00E85013" w:rsidP="004A4E41">
            <w:pPr>
              <w:pStyle w:val="libFootnote0"/>
              <w:rPr>
                <w:rtl/>
              </w:rPr>
            </w:pPr>
            <w:r>
              <w:rPr>
                <w:rtl/>
              </w:rPr>
              <w:t xml:space="preserve">(2). </w:t>
            </w:r>
            <w:r w:rsidRPr="00C9040A">
              <w:rPr>
                <w:rtl/>
              </w:rPr>
              <w:t>يجوز فتح الهمزة وكسرها باعتبارين.</w:t>
            </w:r>
          </w:p>
        </w:tc>
      </w:tr>
      <w:tr w:rsidR="00E85013" w:rsidTr="00E85013">
        <w:tc>
          <w:tcPr>
            <w:tcW w:w="4006" w:type="dxa"/>
          </w:tcPr>
          <w:p w:rsidR="00E85013" w:rsidRDefault="00E85013" w:rsidP="004A4E41">
            <w:pPr>
              <w:pStyle w:val="libFootnote0"/>
              <w:rPr>
                <w:rtl/>
              </w:rPr>
            </w:pPr>
            <w:r>
              <w:rPr>
                <w:rtl/>
              </w:rPr>
              <w:t>(3).</w:t>
            </w:r>
            <w:r w:rsidRPr="00C9040A">
              <w:rPr>
                <w:rtl/>
              </w:rPr>
              <w:t xml:space="preserve"> في « ف » : « أن تدخل »</w:t>
            </w:r>
            <w:r>
              <w:rPr>
                <w:rtl/>
              </w:rPr>
              <w:t>.</w:t>
            </w:r>
          </w:p>
        </w:tc>
        <w:tc>
          <w:tcPr>
            <w:tcW w:w="4006" w:type="dxa"/>
          </w:tcPr>
          <w:p w:rsidR="00E85013" w:rsidRDefault="00E85013" w:rsidP="004A4E41">
            <w:pPr>
              <w:pStyle w:val="libFootnote0"/>
              <w:rPr>
                <w:rtl/>
              </w:rPr>
            </w:pPr>
            <w:r>
              <w:rPr>
                <w:rtl/>
              </w:rPr>
              <w:t>(4).</w:t>
            </w:r>
            <w:r w:rsidRPr="00C9040A">
              <w:rPr>
                <w:rtl/>
              </w:rPr>
              <w:t xml:space="preserve"> في حاشية « د » : « على من »</w:t>
            </w:r>
            <w:r>
              <w:rPr>
                <w:rtl/>
              </w:rPr>
              <w:t>.</w:t>
            </w:r>
          </w:p>
        </w:tc>
      </w:tr>
    </w:tbl>
    <w:p w:rsidR="008A74EB" w:rsidRPr="00C9040A" w:rsidRDefault="006C577F" w:rsidP="00E85013">
      <w:pPr>
        <w:pStyle w:val="libFootnote0"/>
        <w:rPr>
          <w:rtl/>
          <w:lang w:bidi="fa-IR"/>
        </w:rPr>
      </w:pPr>
      <w:r>
        <w:rPr>
          <w:rtl/>
        </w:rPr>
        <w:t>(5).</w:t>
      </w:r>
      <w:r w:rsidR="008A74EB" w:rsidRPr="00C9040A">
        <w:rPr>
          <w:rtl/>
        </w:rPr>
        <w:t xml:space="preserve"> </w:t>
      </w:r>
      <w:r w:rsidR="008A74EB" w:rsidRPr="0034021D">
        <w:rPr>
          <w:rStyle w:val="libFootnoteBoldChar"/>
          <w:rtl/>
        </w:rPr>
        <w:t>الأمالي للصدوق</w:t>
      </w:r>
      <w:r w:rsidR="008A74EB" w:rsidRPr="00C9040A">
        <w:rPr>
          <w:rtl/>
        </w:rPr>
        <w:t xml:space="preserve"> ، ص 603 ، المجلس 88 ، ح 3 ، بسنده عن الحسن بن محبوب ؛ </w:t>
      </w:r>
      <w:r w:rsidR="008A74EB" w:rsidRPr="00993B55">
        <w:rPr>
          <w:rStyle w:val="libFootnoteBoldChar"/>
          <w:rtl/>
        </w:rPr>
        <w:t>ثواب الأعمال</w:t>
      </w:r>
      <w:r w:rsidR="008A74EB" w:rsidRPr="00C9040A">
        <w:rPr>
          <w:rtl/>
        </w:rPr>
        <w:t xml:space="preserve"> ، ص 163 ، ح 1 ، بسنده عن الحسن بن محبوب ، عن ابن سنان ، عن رجل ، عن أبي عبد الله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عيون الأخبار</w:t>
      </w:r>
      <w:r w:rsidR="008A74EB" w:rsidRPr="00C9040A">
        <w:rPr>
          <w:rtl/>
        </w:rPr>
        <w:t xml:space="preserve"> ، ج 1 ، ص 313 ، ح 84 ، بسند آخر عن الرضا ، عن أبيه الكاظم ، عن أبيه الصادق </w:t>
      </w:r>
      <w:r w:rsidR="00117575" w:rsidRPr="00117575">
        <w:rPr>
          <w:rStyle w:val="libFootnoteAlaemChar"/>
          <w:rtl/>
        </w:rPr>
        <w:t>عليهم‌السلام</w:t>
      </w:r>
      <w:r w:rsidR="008A74EB" w:rsidRPr="00C9040A">
        <w:rPr>
          <w:rtl/>
        </w:rPr>
        <w:t xml:space="preserve"> ؛ </w:t>
      </w:r>
      <w:r w:rsidR="008A74EB" w:rsidRPr="00993B55">
        <w:rPr>
          <w:rStyle w:val="libFootnoteBoldChar"/>
          <w:rtl/>
        </w:rPr>
        <w:t>معاني الأخبار</w:t>
      </w:r>
      <w:r w:rsidR="008A74EB" w:rsidRPr="00C9040A">
        <w:rPr>
          <w:rtl/>
        </w:rPr>
        <w:t xml:space="preserve"> ، ص 374 ، ح 1 ، بسند آخر عن الرضا ، عن الصادق </w:t>
      </w:r>
      <w:r w:rsidR="00117575" w:rsidRPr="00117575">
        <w:rPr>
          <w:rStyle w:val="libFootnoteAlaemChar"/>
          <w:rtl/>
        </w:rPr>
        <w:t>عليهما‌السلام</w:t>
      </w:r>
      <w:r w:rsidR="008A74EB" w:rsidRPr="00C9040A">
        <w:rPr>
          <w:rtl/>
        </w:rPr>
        <w:t xml:space="preserve"> ؛ </w:t>
      </w:r>
      <w:r w:rsidR="008A74EB" w:rsidRPr="00993B55">
        <w:rPr>
          <w:rStyle w:val="libFootnoteBoldChar"/>
          <w:rtl/>
        </w:rPr>
        <w:t>قرب الإسناد</w:t>
      </w:r>
      <w:r w:rsidR="008A74EB" w:rsidRPr="00C9040A">
        <w:rPr>
          <w:rtl/>
        </w:rPr>
        <w:t xml:space="preserve"> ، ص 119 ، ح 417 ، بسند آخر عن جعفر ، عن أبيه </w:t>
      </w:r>
      <w:r w:rsidR="00117575" w:rsidRPr="00117575">
        <w:rPr>
          <w:rStyle w:val="libFootnoteAlaemChar"/>
          <w:rtl/>
        </w:rPr>
        <w:t>عليهما‌السلام</w:t>
      </w:r>
      <w:r w:rsidR="008A74EB" w:rsidRPr="00C9040A">
        <w:rPr>
          <w:rtl/>
        </w:rPr>
        <w:t xml:space="preserve"> عن النبيّ </w:t>
      </w:r>
      <w:r w:rsidR="004A4E41" w:rsidRPr="00E85013">
        <w:rPr>
          <w:rStyle w:val="libFootnoteAlaemChar"/>
          <w:rtl/>
        </w:rPr>
        <w:t>صلى‌الله‌عليه‌وآله</w:t>
      </w:r>
      <w:r w:rsidR="008A74EB" w:rsidRPr="00C9040A">
        <w:rPr>
          <w:rtl/>
        </w:rPr>
        <w:t xml:space="preserve"> ، وفي الثلاثة الأخيرة مع اختلاف يسير. </w:t>
      </w:r>
      <w:r w:rsidR="008A74EB" w:rsidRPr="00993B55">
        <w:rPr>
          <w:rStyle w:val="libFootnoteBoldChar"/>
          <w:rtl/>
        </w:rPr>
        <w:t>الأما</w:t>
      </w:r>
      <w:r w:rsidR="008A74EB" w:rsidRPr="00E85013">
        <w:rPr>
          <w:rStyle w:val="libFootnoteBoldChar"/>
          <w:rtl/>
        </w:rPr>
        <w:t>لي للطوسي</w:t>
      </w:r>
      <w:r w:rsidR="008A74EB" w:rsidRPr="00C9040A">
        <w:rPr>
          <w:rtl/>
        </w:rPr>
        <w:t xml:space="preserve"> ، ص 515 ، المجلس 18 ، ح 34 ، بسند آخر عن أبي عبد الله ، عن آبائه </w:t>
      </w:r>
      <w:r w:rsidR="00117575" w:rsidRPr="00117575">
        <w:rPr>
          <w:rStyle w:val="libFootnoteAlaemChar"/>
          <w:rtl/>
        </w:rPr>
        <w:t>عليهم‌السلام</w:t>
      </w:r>
      <w:r w:rsidR="008A74EB" w:rsidRPr="00C9040A">
        <w:rPr>
          <w:rtl/>
        </w:rPr>
        <w:t xml:space="preserve"> عن النبيّ </w:t>
      </w:r>
      <w:r w:rsidR="004A4E41" w:rsidRPr="004A4E41">
        <w:rPr>
          <w:rStyle w:val="libAlaemChar"/>
          <w:rtl/>
        </w:rPr>
        <w:t>صلى‌الله‌عليه‌وآله</w:t>
      </w:r>
      <w:r w:rsidR="008A74EB" w:rsidRPr="00C9040A">
        <w:rPr>
          <w:rtl/>
        </w:rPr>
        <w:t xml:space="preserve"> ، مع اختلاف. </w:t>
      </w:r>
      <w:r w:rsidR="008A74EB" w:rsidRPr="00993B55">
        <w:rPr>
          <w:rStyle w:val="libFootnoteBoldChar"/>
          <w:rtl/>
        </w:rPr>
        <w:t>المؤمن</w:t>
      </w:r>
      <w:r w:rsidR="008A74EB" w:rsidRPr="00C9040A">
        <w:rPr>
          <w:rtl/>
        </w:rPr>
        <w:t xml:space="preserve"> ، ص 56 ، ح 143 ، عن أبي عبدالله </w:t>
      </w:r>
      <w:r w:rsidR="00117575" w:rsidRPr="00117575">
        <w:rPr>
          <w:rStyle w:val="libFootnoteAlaemChar"/>
          <w:rtl/>
        </w:rPr>
        <w:t xml:space="preserve">عليه‌السلام </w:t>
      </w:r>
      <w:r w:rsidR="00E85013">
        <w:rPr>
          <w:rFonts w:hint="cs"/>
          <w:rtl/>
        </w:rPr>
        <w:t>.</w:t>
      </w:r>
      <w:r w:rsidR="008A74EB" w:rsidRPr="00993B55">
        <w:rPr>
          <w:rStyle w:val="libFootnoteBoldChar"/>
          <w:rtl/>
        </w:rPr>
        <w:t>الوافي</w:t>
      </w:r>
      <w:r w:rsidR="008A74EB" w:rsidRPr="00C9040A">
        <w:rPr>
          <w:rtl/>
        </w:rPr>
        <w:t xml:space="preserve"> ، ج 5 ، ص 654 ، ح 2800 ؛ </w:t>
      </w:r>
      <w:r w:rsidR="008A74EB" w:rsidRPr="00993B55">
        <w:rPr>
          <w:rStyle w:val="libFootnoteBoldChar"/>
          <w:rtl/>
        </w:rPr>
        <w:t>الوسائل</w:t>
      </w:r>
      <w:r w:rsidR="008A74EB" w:rsidRPr="00C9040A">
        <w:rPr>
          <w:rtl/>
        </w:rPr>
        <w:t xml:space="preserve"> ، ج 16 ، ص 351 ، ح 21793 ؛ </w:t>
      </w:r>
      <w:r w:rsidR="008A74EB" w:rsidRPr="00993B55">
        <w:rPr>
          <w:rStyle w:val="libFootnoteBoldChar"/>
          <w:rtl/>
        </w:rPr>
        <w:t>البحار</w:t>
      </w:r>
      <w:r w:rsidR="008A74EB" w:rsidRPr="00C9040A">
        <w:rPr>
          <w:rtl/>
        </w:rPr>
        <w:t xml:space="preserve"> ، ج 74 ، ص 289 ، ح 18.</w:t>
      </w:r>
    </w:p>
    <w:tbl>
      <w:tblPr>
        <w:tblStyle w:val="TableGrid"/>
        <w:bidiVisual/>
        <w:tblW w:w="0" w:type="auto"/>
        <w:tblLook w:val="04A0" w:firstRow="1" w:lastRow="0" w:firstColumn="1" w:lastColumn="0" w:noHBand="0" w:noVBand="1"/>
      </w:tblPr>
      <w:tblGrid>
        <w:gridCol w:w="4006"/>
        <w:gridCol w:w="4006"/>
      </w:tblGrid>
      <w:tr w:rsidR="00E85013" w:rsidTr="00E85013">
        <w:tc>
          <w:tcPr>
            <w:tcW w:w="4006" w:type="dxa"/>
          </w:tcPr>
          <w:p w:rsidR="00E85013" w:rsidRDefault="00E85013" w:rsidP="004A4E41">
            <w:pPr>
              <w:pStyle w:val="libFootnote0"/>
              <w:rPr>
                <w:rtl/>
              </w:rPr>
            </w:pPr>
            <w:r>
              <w:rPr>
                <w:rtl/>
              </w:rPr>
              <w:t xml:space="preserve">(6). </w:t>
            </w:r>
            <w:r w:rsidRPr="00C9040A">
              <w:rPr>
                <w:rtl/>
              </w:rPr>
              <w:t>في « بر ، بس » : « أدخله عليه »</w:t>
            </w:r>
            <w:r>
              <w:rPr>
                <w:rtl/>
              </w:rPr>
              <w:t>.</w:t>
            </w:r>
          </w:p>
        </w:tc>
        <w:tc>
          <w:tcPr>
            <w:tcW w:w="4006" w:type="dxa"/>
          </w:tcPr>
          <w:p w:rsidR="00E85013" w:rsidRDefault="00E85013" w:rsidP="004A4E41">
            <w:pPr>
              <w:pStyle w:val="libFootnote0"/>
              <w:rPr>
                <w:rtl/>
              </w:rPr>
            </w:pPr>
            <w:r>
              <w:rPr>
                <w:rtl/>
              </w:rPr>
              <w:t>(7).</w:t>
            </w:r>
            <w:r w:rsidRPr="00C9040A">
              <w:rPr>
                <w:rtl/>
              </w:rPr>
              <w:t xml:space="preserve"> في « بس » وحاشية « د » : « بلى »</w:t>
            </w:r>
            <w:r>
              <w:rPr>
                <w:rtl/>
              </w:rPr>
              <w:t>.</w:t>
            </w:r>
          </w:p>
        </w:tc>
      </w:tr>
      <w:tr w:rsidR="00E85013" w:rsidTr="00E85013">
        <w:tc>
          <w:tcPr>
            <w:tcW w:w="4006" w:type="dxa"/>
          </w:tcPr>
          <w:p w:rsidR="00E85013" w:rsidRDefault="00E85013" w:rsidP="004A4E41">
            <w:pPr>
              <w:pStyle w:val="libFootnote0"/>
              <w:rPr>
                <w:rtl/>
              </w:rPr>
            </w:pPr>
            <w:r>
              <w:rPr>
                <w:rtl/>
              </w:rPr>
              <w:t>(8).</w:t>
            </w:r>
            <w:r w:rsidRPr="00C9040A">
              <w:rPr>
                <w:rtl/>
              </w:rPr>
              <w:t xml:space="preserve"> في « بس » وحاشية « د » : « بلى »</w:t>
            </w:r>
            <w:r>
              <w:rPr>
                <w:rtl/>
              </w:rPr>
              <w:t>.</w:t>
            </w:r>
          </w:p>
        </w:tc>
        <w:tc>
          <w:tcPr>
            <w:tcW w:w="4006" w:type="dxa"/>
          </w:tcPr>
          <w:p w:rsidR="00E85013" w:rsidRDefault="00E85013" w:rsidP="004A4E41">
            <w:pPr>
              <w:pStyle w:val="libFootnote0"/>
              <w:rPr>
                <w:rtl/>
              </w:rPr>
            </w:pPr>
            <w:r>
              <w:rPr>
                <w:rtl/>
              </w:rPr>
              <w:t>(9).</w:t>
            </w:r>
            <w:r w:rsidRPr="00C9040A">
              <w:rPr>
                <w:rtl/>
              </w:rPr>
              <w:t xml:space="preserve"> في « ز ، ص » : « رسوله »</w:t>
            </w:r>
            <w:r>
              <w:rPr>
                <w:rtl/>
              </w:rPr>
              <w:t>.</w:t>
            </w:r>
          </w:p>
        </w:tc>
      </w:tr>
    </w:tbl>
    <w:p w:rsidR="008A74EB" w:rsidRPr="00C9040A" w:rsidRDefault="006C577F" w:rsidP="004A4E41">
      <w:pPr>
        <w:pStyle w:val="libFootnote0"/>
        <w:rPr>
          <w:rtl/>
          <w:lang w:bidi="fa-IR"/>
        </w:rPr>
      </w:pPr>
      <w:r>
        <w:rPr>
          <w:rtl/>
        </w:rPr>
        <w:t>(10).</w:t>
      </w:r>
      <w:r w:rsidR="008A74EB" w:rsidRPr="00C9040A">
        <w:rPr>
          <w:rtl/>
        </w:rPr>
        <w:t xml:space="preserve"> </w:t>
      </w:r>
      <w:r w:rsidR="008A74EB" w:rsidRPr="00993B55">
        <w:rPr>
          <w:rStyle w:val="libFootnoteBoldChar"/>
          <w:rtl/>
        </w:rPr>
        <w:t>مصادقة الإخوان</w:t>
      </w:r>
      <w:r w:rsidR="008A74EB" w:rsidRPr="00C9040A">
        <w:rPr>
          <w:rtl/>
        </w:rPr>
        <w:t xml:space="preserve"> ، ص 60 ، ح 1 ، مرسلاً عن خلف بن حمّاد يرفع الحديث إلى أحدهما </w:t>
      </w:r>
      <w:r w:rsidR="00117575" w:rsidRPr="00117575">
        <w:rPr>
          <w:rStyle w:val="libFootnoteAlaemChar"/>
          <w:rtl/>
        </w:rPr>
        <w:t>عليهما‌السلام</w:t>
      </w:r>
      <w:r w:rsidR="008A74EB" w:rsidRPr="00C9040A">
        <w:rPr>
          <w:rtl/>
        </w:rPr>
        <w:t xml:space="preserve"> ، مع اختلاف يسير. راجع : </w:t>
      </w:r>
      <w:r w:rsidR="008A74EB" w:rsidRPr="00993B55">
        <w:rPr>
          <w:rStyle w:val="libFootnoteBoldChar"/>
          <w:rtl/>
        </w:rPr>
        <w:t>الكافي</w:t>
      </w:r>
      <w:r w:rsidR="008A74EB" w:rsidRPr="00C9040A">
        <w:rPr>
          <w:rtl/>
        </w:rPr>
        <w:t xml:space="preserve"> ، كتاب الزكاة ، باب القرض ، ح 6131 </w:t>
      </w:r>
      <w:r w:rsidR="00E85013">
        <w:rPr>
          <w:rFonts w:hint="cs"/>
          <w:rtl/>
        </w:rPr>
        <w:t>.</w:t>
      </w:r>
      <w:r w:rsidR="008A74EB" w:rsidRPr="00993B55">
        <w:rPr>
          <w:rStyle w:val="libFootnoteBoldChar"/>
          <w:rtl/>
        </w:rPr>
        <w:t>الوافي</w:t>
      </w:r>
      <w:r w:rsidR="008A74EB" w:rsidRPr="00C9040A">
        <w:rPr>
          <w:rtl/>
        </w:rPr>
        <w:t xml:space="preserve"> ، ج 5 ، ص 654 ، ح 2801 ؛ </w:t>
      </w:r>
      <w:r w:rsidR="008A74EB" w:rsidRPr="00993B55">
        <w:rPr>
          <w:rStyle w:val="libFootnoteBoldChar"/>
          <w:rtl/>
        </w:rPr>
        <w:t>الوسائل</w:t>
      </w:r>
      <w:r w:rsidR="008A74EB" w:rsidRPr="00C9040A">
        <w:rPr>
          <w:rtl/>
        </w:rPr>
        <w:t xml:space="preserve"> ، ج 16 ، ص 349 ، ح 21735 ؛ </w:t>
      </w:r>
      <w:r w:rsidR="008A74EB" w:rsidRPr="00993B55">
        <w:rPr>
          <w:rStyle w:val="libFootnoteBoldChar"/>
          <w:rtl/>
        </w:rPr>
        <w:t>البحار</w:t>
      </w:r>
      <w:r w:rsidR="008A74EB" w:rsidRPr="00C9040A">
        <w:rPr>
          <w:rtl/>
        </w:rPr>
        <w:t xml:space="preserve"> ، ج 74 ، ص 290 ، ح 19.</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سَمِعْتُهُ يَقُولُ : « إِنَّ </w:t>
      </w:r>
      <w:r w:rsidR="006C577F" w:rsidRPr="006C577F">
        <w:rPr>
          <w:rStyle w:val="libFootnotenumChar"/>
          <w:rtl/>
        </w:rPr>
        <w:t>(1)</w:t>
      </w:r>
      <w:r w:rsidRPr="00C9040A">
        <w:rPr>
          <w:rtl/>
          <w:lang w:bidi="fa-IR"/>
        </w:rPr>
        <w:t xml:space="preserve"> أَحَبَّ الْأَعْمَالِ إِلَى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إِدْخَالُ السُّرُورِ عَلَى الْمُؤْمِنِ : </w:t>
      </w:r>
      <w:r w:rsidR="006C577F" w:rsidRPr="006C577F">
        <w:rPr>
          <w:rStyle w:val="libFootnotenumChar"/>
          <w:rtl/>
        </w:rPr>
        <w:t>(2)</w:t>
      </w:r>
      <w:r w:rsidRPr="00C9040A">
        <w:rPr>
          <w:rtl/>
          <w:lang w:bidi="fa-IR"/>
        </w:rPr>
        <w:t xml:space="preserve"> شَبْعَةُ مُسْلِمٍ </w:t>
      </w:r>
      <w:r w:rsidR="006C577F" w:rsidRPr="006C577F">
        <w:rPr>
          <w:rStyle w:val="libFootnotenumChar"/>
          <w:rtl/>
        </w:rPr>
        <w:t>(3)</w:t>
      </w:r>
      <w:r w:rsidRPr="00C9040A">
        <w:rPr>
          <w:rtl/>
          <w:lang w:bidi="fa-IR"/>
        </w:rPr>
        <w:t xml:space="preserve"> ، أَوْ قَضَاءُ دَيْنِهِ </w:t>
      </w:r>
      <w:r w:rsidR="006C577F" w:rsidRPr="006C577F">
        <w:rPr>
          <w:rStyle w:val="libFootnotenumChar"/>
          <w:rtl/>
        </w:rPr>
        <w:t>(4)</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8642D7">
        <w:rPr>
          <w:rtl/>
        </w:rPr>
        <w:t>2135</w:t>
      </w:r>
      <w:r w:rsidRPr="00261CB0">
        <w:rPr>
          <w:rStyle w:val="libBold2Char"/>
          <w:rtl/>
        </w:rPr>
        <w:t xml:space="preserve"> / 8.</w:t>
      </w:r>
      <w:r w:rsidRPr="00C9040A">
        <w:rPr>
          <w:rtl/>
          <w:lang w:bidi="fa-IR"/>
        </w:rPr>
        <w:t xml:space="preserve"> مُحَمَّدُ بْنُ يَحْيى ، عَنْ أَحْمَدَ بْنِ مُحَمَّدِ بْنِ عِيسى ، عَنِ الْحَسَنِ بْنِ مَحْبُوبٍ </w:t>
      </w:r>
      <w:r w:rsidR="006C577F" w:rsidRPr="006C577F">
        <w:rPr>
          <w:rStyle w:val="libFootnotenumChar"/>
          <w:rtl/>
        </w:rPr>
        <w:t>(6)</w:t>
      </w:r>
      <w:r w:rsidRPr="005B567D">
        <w:rPr>
          <w:rStyle w:val="libFootnotenumChar"/>
          <w:rtl/>
        </w:rPr>
        <w:t xml:space="preserve"> </w:t>
      </w:r>
      <w:r w:rsidRPr="00C9040A">
        <w:rPr>
          <w:rtl/>
          <w:lang w:bidi="fa-IR"/>
        </w:rPr>
        <w:t>، عَنْ سَدِيرٍ الصَّيْرَفِيِّ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فِي حَدِيثٍ طَوِيلٍ : « إِذَا بَعَثَ اللهُ الْمُؤْمِنَ مِنْ قَبْرِهِ </w:t>
      </w:r>
      <w:r w:rsidR="006C577F" w:rsidRPr="006C577F">
        <w:rPr>
          <w:rStyle w:val="libFootnotenumChar"/>
          <w:rtl/>
        </w:rPr>
        <w:t>(7)</w:t>
      </w:r>
      <w:r w:rsidRPr="00C9040A">
        <w:rPr>
          <w:rtl/>
          <w:lang w:bidi="fa-IR"/>
        </w:rPr>
        <w:t xml:space="preserve"> ، خَرَجَ مَعَهُ مِثَالٌ </w:t>
      </w:r>
      <w:r w:rsidR="006C577F" w:rsidRPr="006C577F">
        <w:rPr>
          <w:rStyle w:val="libFootnotenumChar"/>
          <w:rtl/>
        </w:rPr>
        <w:t>(8)</w:t>
      </w:r>
      <w:r w:rsidRPr="00C9040A">
        <w:rPr>
          <w:rtl/>
          <w:lang w:bidi="fa-IR"/>
        </w:rPr>
        <w:t xml:space="preserve"> يَقْدُمُ </w:t>
      </w:r>
      <w:r w:rsidR="006C577F" w:rsidRPr="006C577F">
        <w:rPr>
          <w:rStyle w:val="libFootnotenumChar"/>
          <w:rtl/>
        </w:rPr>
        <w:t>(9)</w:t>
      </w:r>
      <w:r w:rsidRPr="00C9040A">
        <w:rPr>
          <w:rtl/>
          <w:lang w:bidi="fa-IR"/>
        </w:rPr>
        <w:t xml:space="preserve"> أَمَامَهُ ، كُلَّمَا رَأَى الْمُؤْمِنُ هَوْلاً مِنْ أَهْوَالِ يَوْمِ الْقِيَامَةِ ، قَالَ لَهُ الْمِثَالُ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الوسائل : + « من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ب ، ج ، بر ، بف » والوسائل : + « من »</w:t>
      </w:r>
      <w:r w:rsidR="008A74EB">
        <w:rPr>
          <w:rtl/>
        </w:rPr>
        <w:t>.</w:t>
      </w:r>
      <w:r w:rsidR="008A74EB" w:rsidRPr="00C9040A">
        <w:rPr>
          <w:rtl/>
        </w:rPr>
        <w:t xml:space="preserve"> وفي المحاسن : + « </w:t>
      </w:r>
      <w:r w:rsidR="008A74EB">
        <w:rPr>
          <w:rtl/>
        </w:rPr>
        <w:t>و ».</w:t>
      </w:r>
    </w:p>
    <w:p w:rsidR="008A74EB" w:rsidRPr="00C9040A" w:rsidRDefault="006C577F" w:rsidP="004A4E41">
      <w:pPr>
        <w:pStyle w:val="libFootnote0"/>
        <w:rPr>
          <w:rtl/>
          <w:lang w:bidi="fa-IR"/>
        </w:rPr>
      </w:pPr>
      <w:r>
        <w:rPr>
          <w:rtl/>
        </w:rPr>
        <w:t>(3).</w:t>
      </w:r>
      <w:r w:rsidR="008A74EB" w:rsidRPr="00C9040A">
        <w:rPr>
          <w:rtl/>
        </w:rPr>
        <w:t xml:space="preserve"> في </w:t>
      </w:r>
      <w:r w:rsidR="008A74EB" w:rsidRPr="00993B55">
        <w:rPr>
          <w:rStyle w:val="libFootnoteBoldChar"/>
          <w:rtl/>
        </w:rPr>
        <w:t>مرآة العقول</w:t>
      </w:r>
      <w:r w:rsidR="008A74EB" w:rsidRPr="00C9040A">
        <w:rPr>
          <w:rtl/>
        </w:rPr>
        <w:t xml:space="preserve"> ، ج 9 ، ص 93 : « شبعة مسلم ، بفتح الشين ، إمّا بالنصب بنزع الخافض ، أي بشبعة ، أو بالرفع بتقدير هو شبعة ، أو بالجرّ بدلاً أو عطف بيان للسرور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ف » : « دين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المحاسن</w:t>
      </w:r>
      <w:r w:rsidR="008A74EB" w:rsidRPr="00C9040A">
        <w:rPr>
          <w:rtl/>
        </w:rPr>
        <w:t xml:space="preserve"> ، ص 388 ، كتاب المآكل ، ح 11 ، عن أبيه ، عن محمّد بن أبي عمير </w:t>
      </w:r>
      <w:r w:rsidR="00E85013">
        <w:rPr>
          <w:rFonts w:hint="cs"/>
          <w:rtl/>
        </w:rPr>
        <w:t>.</w:t>
      </w:r>
      <w:r w:rsidR="008A74EB" w:rsidRPr="00993B55">
        <w:rPr>
          <w:rStyle w:val="libFootnoteBoldChar"/>
          <w:rtl/>
        </w:rPr>
        <w:t>الوافي</w:t>
      </w:r>
      <w:r w:rsidR="008A74EB" w:rsidRPr="00C9040A">
        <w:rPr>
          <w:rtl/>
        </w:rPr>
        <w:t xml:space="preserve"> ، ج 5 ، ص 655 ، ح 2802 ؛ </w:t>
      </w:r>
      <w:r w:rsidR="008A74EB" w:rsidRPr="00993B55">
        <w:rPr>
          <w:rStyle w:val="libFootnoteBoldChar"/>
          <w:rtl/>
        </w:rPr>
        <w:t>الوسائل</w:t>
      </w:r>
      <w:r w:rsidR="008A74EB" w:rsidRPr="00C9040A">
        <w:rPr>
          <w:rtl/>
        </w:rPr>
        <w:t xml:space="preserve"> ، ج 16 ، ص 351 ، ح 21740 ؛ </w:t>
      </w:r>
      <w:r w:rsidR="008A74EB" w:rsidRPr="00993B55">
        <w:rPr>
          <w:rStyle w:val="libFootnoteBoldChar"/>
          <w:rtl/>
        </w:rPr>
        <w:t>البحار</w:t>
      </w:r>
      <w:r w:rsidR="008A74EB" w:rsidRPr="00C9040A">
        <w:rPr>
          <w:rtl/>
        </w:rPr>
        <w:t xml:space="preserve"> ، ج 74 ، ص 290 ، ح 20.</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روى الحسن بن محبوب كتاب حنان بن سَدير ، كما في </w:t>
      </w:r>
      <w:r w:rsidR="008A74EB" w:rsidRPr="0034021D">
        <w:rPr>
          <w:rStyle w:val="libFootnoteBoldChar"/>
          <w:rtl/>
        </w:rPr>
        <w:t>الفهرست للطوسي</w:t>
      </w:r>
      <w:r w:rsidR="008A74EB" w:rsidRPr="00C9040A">
        <w:rPr>
          <w:rtl/>
        </w:rPr>
        <w:t xml:space="preserve"> ، ص 164 ، الرقم 254. ولم</w:t>
      </w:r>
      <w:r w:rsidR="00E85013">
        <w:rPr>
          <w:rtl/>
        </w:rPr>
        <w:t xml:space="preserve"> نجد روايته عن سدير مباشرةً إل</w:t>
      </w:r>
      <w:r w:rsidR="00E85013">
        <w:rPr>
          <w:rFonts w:hint="cs"/>
          <w:rtl/>
        </w:rPr>
        <w:t>ّ</w:t>
      </w:r>
      <w:r w:rsidR="00E85013">
        <w:rPr>
          <w:rtl/>
        </w:rPr>
        <w:t>ا</w:t>
      </w:r>
      <w:r w:rsidR="00E85013">
        <w:rPr>
          <w:rFonts w:hint="cs"/>
          <w:rtl/>
        </w:rPr>
        <w:t xml:space="preserve"> </w:t>
      </w:r>
      <w:r w:rsidR="008A74EB" w:rsidRPr="00C9040A">
        <w:rPr>
          <w:rtl/>
        </w:rPr>
        <w:t xml:space="preserve">في هذا المورد ، وما ورد في </w:t>
      </w:r>
      <w:r w:rsidR="008A74EB" w:rsidRPr="00993B55">
        <w:rPr>
          <w:rStyle w:val="libFootnoteBoldChar"/>
          <w:rtl/>
        </w:rPr>
        <w:t>ثواب الأعمال</w:t>
      </w:r>
      <w:r w:rsidR="008A74EB" w:rsidRPr="00C9040A">
        <w:rPr>
          <w:rtl/>
        </w:rPr>
        <w:t xml:space="preserve"> ، ص 180 ، ح 1 ؛ وص 238 ، ح 2. والخبر في المواضع الثلاثة واحد ، </w:t>
      </w:r>
      <w:r w:rsidR="00E85013">
        <w:rPr>
          <w:rtl/>
        </w:rPr>
        <w:t>إل</w:t>
      </w:r>
      <w:r w:rsidR="00E85013">
        <w:rPr>
          <w:rFonts w:hint="cs"/>
          <w:rtl/>
        </w:rPr>
        <w:t>ّ</w:t>
      </w:r>
      <w:r w:rsidR="00E85013">
        <w:rPr>
          <w:rtl/>
        </w:rPr>
        <w:t>ا</w:t>
      </w:r>
      <w:r w:rsidR="008A74EB">
        <w:rPr>
          <w:rtl/>
        </w:rPr>
        <w:t xml:space="preserve"> أنّ</w:t>
      </w:r>
      <w:r w:rsidR="008A74EB" w:rsidRPr="00C9040A">
        <w:rPr>
          <w:rtl/>
        </w:rPr>
        <w:t xml:space="preserve"> تفصيل الخبر ورد في الموضع الثاني من ثواب الأعمال ، وما ورد هنا وفي </w:t>
      </w:r>
      <w:r w:rsidR="008A74EB" w:rsidRPr="00993B55">
        <w:rPr>
          <w:rStyle w:val="libFootnoteBoldChar"/>
          <w:rtl/>
        </w:rPr>
        <w:t>ثواب الأعمال</w:t>
      </w:r>
      <w:r w:rsidR="008A74EB" w:rsidRPr="00C9040A">
        <w:rPr>
          <w:rtl/>
        </w:rPr>
        <w:t xml:space="preserve"> ، ص 180 ، قطعة منه.</w:t>
      </w:r>
    </w:p>
    <w:p w:rsidR="008A74EB" w:rsidRPr="00C9040A" w:rsidRDefault="008A74EB" w:rsidP="004A4E41">
      <w:pPr>
        <w:pStyle w:val="libFootnote0"/>
        <w:rPr>
          <w:rtl/>
          <w:lang w:bidi="fa-IR"/>
        </w:rPr>
      </w:pPr>
      <w:r w:rsidRPr="00323A39">
        <w:rPr>
          <w:rtl/>
        </w:rPr>
        <w:t xml:space="preserve">فعليه رواية الحسن بن محبوب ، عن سدير منحصرة في خبرٍ واحدٍ. لكنّ الخبر بتفصيله ورد في </w:t>
      </w:r>
      <w:r w:rsidRPr="0034021D">
        <w:rPr>
          <w:rStyle w:val="libFootnoteBoldChar"/>
          <w:rtl/>
        </w:rPr>
        <w:t>الأمالي للمفيد</w:t>
      </w:r>
      <w:r w:rsidRPr="00323A39">
        <w:rPr>
          <w:rtl/>
        </w:rPr>
        <w:t xml:space="preserve"> ، ص 177 ، المجلس 22 ، ح 8 ، وفي </w:t>
      </w:r>
      <w:r w:rsidRPr="00993B55">
        <w:rPr>
          <w:rStyle w:val="libFootnoteBoldChar"/>
          <w:rtl/>
        </w:rPr>
        <w:t>الأمال</w:t>
      </w:r>
      <w:r w:rsidRPr="00E85013">
        <w:rPr>
          <w:rStyle w:val="libFootnoteBoldChar"/>
          <w:rtl/>
        </w:rPr>
        <w:t>ي للطوسي</w:t>
      </w:r>
      <w:r w:rsidRPr="00323A39">
        <w:rPr>
          <w:rtl/>
        </w:rPr>
        <w:t xml:space="preserve"> ، ص 195 ، المجلس 7 ، ح 333 ، مسنداً عن أحمد بن محمّد بن عيسى ، عن الحسن بن محبوب ، عن حنان بن سدير ، عن أبيه ، عن أبي عبد الله </w:t>
      </w:r>
      <w:r w:rsidR="00117575" w:rsidRPr="00117575">
        <w:rPr>
          <w:rStyle w:val="libFootnoteAlaemChar"/>
          <w:rtl/>
        </w:rPr>
        <w:t xml:space="preserve">عليه‌السلام </w:t>
      </w:r>
      <w:r w:rsidRPr="00323A39">
        <w:rPr>
          <w:rtl/>
        </w:rPr>
        <w:t>.</w:t>
      </w:r>
    </w:p>
    <w:p w:rsidR="008A74EB" w:rsidRPr="00C9040A" w:rsidRDefault="008A74EB" w:rsidP="00E85013">
      <w:pPr>
        <w:pStyle w:val="libFootnote0"/>
        <w:rPr>
          <w:rtl/>
          <w:lang w:bidi="fa-IR"/>
        </w:rPr>
      </w:pPr>
      <w:r w:rsidRPr="0082575F">
        <w:rPr>
          <w:rtl/>
        </w:rPr>
        <w:t>فعليه ، الظاهر وقوع السقط في ما نحن فيه.</w:t>
      </w:r>
      <w:r w:rsidR="00E85013">
        <w:rPr>
          <w:rFonts w:hint="cs"/>
          <w:rtl/>
        </w:rPr>
        <w:t xml:space="preserve">             </w:t>
      </w:r>
      <w:r w:rsidR="006C577F">
        <w:rPr>
          <w:rtl/>
        </w:rPr>
        <w:t>(7).</w:t>
      </w:r>
      <w:r w:rsidRPr="00C9040A">
        <w:rPr>
          <w:rtl/>
        </w:rPr>
        <w:t xml:space="preserve"> في الوسائل </w:t>
      </w:r>
      <w:r>
        <w:rPr>
          <w:rtl/>
        </w:rPr>
        <w:t xml:space="preserve">: </w:t>
      </w:r>
      <w:r w:rsidR="0084262C">
        <w:rPr>
          <w:rtl/>
        </w:rPr>
        <w:t>-</w:t>
      </w:r>
      <w:r w:rsidRPr="00C9040A">
        <w:rPr>
          <w:rtl/>
        </w:rPr>
        <w:t xml:space="preserve"> « من قبره »</w:t>
      </w:r>
      <w:r>
        <w:rPr>
          <w:rtl/>
        </w:rPr>
        <w:t>.</w:t>
      </w:r>
    </w:p>
    <w:p w:rsidR="008A74EB" w:rsidRPr="00C9040A" w:rsidRDefault="006C577F" w:rsidP="004A4E41">
      <w:pPr>
        <w:pStyle w:val="libFootnote0"/>
        <w:rPr>
          <w:rtl/>
          <w:lang w:bidi="fa-IR"/>
        </w:rPr>
      </w:pPr>
      <w:r>
        <w:rPr>
          <w:rtl/>
        </w:rPr>
        <w:t>(8).</w:t>
      </w:r>
      <w:r w:rsidR="008A74EB" w:rsidRPr="00C9040A">
        <w:rPr>
          <w:rtl/>
        </w:rPr>
        <w:t xml:space="preserve"> في ثواب الأعمال ، ص 150 : + « من قبره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ب ، ج ، د ، ز ، ض ، ف ، بس ، بف » والوسائل والبحار والوافي وثواب الأعمال ، ص 200 </w:t>
      </w:r>
      <w:r w:rsidR="008A74EB" w:rsidRPr="00AC2E2F">
        <w:rPr>
          <w:rStyle w:val="libFootnoteBoldChar"/>
          <w:rtl/>
        </w:rPr>
        <w:t>والأمالي للطوسي</w:t>
      </w:r>
      <w:r w:rsidR="008A74EB" w:rsidRPr="00C9040A">
        <w:rPr>
          <w:rtl/>
        </w:rPr>
        <w:t xml:space="preserve"> : « يقدمه »</w:t>
      </w:r>
      <w:r w:rsidR="008A74EB">
        <w:rPr>
          <w:rtl/>
        </w:rPr>
        <w:t>.</w:t>
      </w:r>
      <w:r w:rsidR="008A74EB" w:rsidRPr="00C9040A">
        <w:rPr>
          <w:rtl/>
        </w:rPr>
        <w:t xml:space="preserve"> وفي « ص » : « تقدّمه »</w:t>
      </w:r>
      <w:r w:rsidR="008A74EB">
        <w:rPr>
          <w:rtl/>
        </w:rPr>
        <w:t>.</w:t>
      </w:r>
      <w:r w:rsidR="008A74EB" w:rsidRPr="00C9040A">
        <w:rPr>
          <w:rtl/>
        </w:rPr>
        <w:t xml:space="preserve"> وفي </w:t>
      </w:r>
      <w:r w:rsidR="008A74EB" w:rsidRPr="00993B55">
        <w:rPr>
          <w:rStyle w:val="libFootnoteBoldChar"/>
          <w:rtl/>
        </w:rPr>
        <w:t>شرح المازندراني</w:t>
      </w:r>
      <w:r w:rsidR="008A74EB" w:rsidRPr="00C9040A">
        <w:rPr>
          <w:rtl/>
        </w:rPr>
        <w:t xml:space="preserve"> </w:t>
      </w:r>
      <w:r w:rsidR="008A74EB" w:rsidRPr="00B309F0">
        <w:rPr>
          <w:rStyle w:val="libFootnoteBoldChar"/>
          <w:rtl/>
        </w:rPr>
        <w:t>و</w:t>
      </w:r>
      <w:r w:rsidR="008A74EB" w:rsidRPr="00993B55">
        <w:rPr>
          <w:rStyle w:val="libFootnoteBoldChar"/>
          <w:rtl/>
        </w:rPr>
        <w:t>مرآة العقول</w:t>
      </w:r>
      <w:r w:rsidR="008A74EB" w:rsidRPr="00C9040A">
        <w:rPr>
          <w:rtl/>
        </w:rPr>
        <w:t xml:space="preserve"> نقلاً عن الشيخ البهائي </w:t>
      </w:r>
      <w:r w:rsidR="00117575" w:rsidRPr="00117575">
        <w:rPr>
          <w:rStyle w:val="libFootnoteAlaemChar"/>
          <w:rtl/>
        </w:rPr>
        <w:t>قدس‌سره</w:t>
      </w:r>
      <w:r w:rsidR="008A74EB" w:rsidRPr="00C9040A">
        <w:rPr>
          <w:rtl/>
        </w:rPr>
        <w:t xml:space="preserve"> : « المثال : الصورة ، ويقدم على وزن يُكْرِم ، أي يقوّيه ويشجعه ، من الإقدام في الحرب ، وهو الشجاعة وعدم الخوف. ويجوز أن يقرأ على وزن ينصر وماضيه قدم كنصر ، أي يتقدّمه »</w:t>
      </w:r>
      <w:r w:rsidR="008A74EB">
        <w:rPr>
          <w:rtl/>
        </w:rPr>
        <w:t>.</w:t>
      </w:r>
      <w:r w:rsidR="008A74EB" w:rsidRPr="00C9040A">
        <w:rPr>
          <w:rtl/>
        </w:rPr>
        <w:t xml:space="preserve"> وفي </w:t>
      </w:r>
      <w:r w:rsidR="008A74EB" w:rsidRPr="00993B55">
        <w:rPr>
          <w:rStyle w:val="libFootnoteBoldChar"/>
          <w:rtl/>
        </w:rPr>
        <w:t>الوافي</w:t>
      </w:r>
      <w:r w:rsidR="008A74EB" w:rsidRPr="00C9040A">
        <w:rPr>
          <w:rtl/>
        </w:rPr>
        <w:t xml:space="preserve"> : « يقدمه ، أي يتقدّمه ، كما في قوله تعالى : </w:t>
      </w:r>
      <w:r w:rsidR="008A74EB" w:rsidRPr="00B309F0">
        <w:rPr>
          <w:rStyle w:val="libFootnoteAlaemChar"/>
          <w:rtl/>
        </w:rPr>
        <w:t>(</w:t>
      </w:r>
      <w:r w:rsidR="008A74EB" w:rsidRPr="00883DD5">
        <w:rPr>
          <w:rStyle w:val="libFootnoteAieChar"/>
          <w:rFonts w:hint="cs"/>
          <w:rtl/>
        </w:rPr>
        <w:t xml:space="preserve"> </w:t>
      </w:r>
      <w:r w:rsidR="008A74EB" w:rsidRPr="00883DD5">
        <w:rPr>
          <w:rStyle w:val="libFootnoteAieChar"/>
          <w:rtl/>
        </w:rPr>
        <w:t>يَقْدُمُ قَوْمَهُ</w:t>
      </w:r>
      <w:r w:rsidR="008A74EB" w:rsidRPr="00883DD5">
        <w:rPr>
          <w:rStyle w:val="libFootnoteAieChar"/>
          <w:rFonts w:hint="cs"/>
          <w:rtl/>
        </w:rPr>
        <w:t xml:space="preserve"> </w:t>
      </w:r>
      <w:r w:rsidR="008A74EB" w:rsidRPr="00B309F0">
        <w:rPr>
          <w:rStyle w:val="libFootnoteAlaemChar"/>
          <w:rtl/>
        </w:rPr>
        <w:t>)</w:t>
      </w:r>
      <w:r w:rsidR="008A74EB" w:rsidRPr="00C9040A">
        <w:rPr>
          <w:rtl/>
        </w:rPr>
        <w:t xml:space="preserve"> [ هود </w:t>
      </w:r>
      <w:r w:rsidR="00B309F0">
        <w:rPr>
          <w:rtl/>
        </w:rPr>
        <w:t>(11)</w:t>
      </w:r>
      <w:r w:rsidR="008A74EB" w:rsidRPr="00C9040A">
        <w:rPr>
          <w:rtl/>
        </w:rPr>
        <w:t xml:space="preserve"> : 98 ]</w:t>
      </w:r>
      <w:r w:rsidR="008A74EB">
        <w:rPr>
          <w:rtl/>
        </w:rPr>
        <w:t>.</w:t>
      </w:r>
      <w:r w:rsidR="008A74EB" w:rsidRPr="00C9040A">
        <w:rPr>
          <w:rtl/>
        </w:rPr>
        <w:t xml:space="preserve"> ولفظة « أمامه » تأكيد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لَا تَفْزَعْ </w:t>
      </w:r>
      <w:r w:rsidR="006C577F" w:rsidRPr="006C577F">
        <w:rPr>
          <w:rStyle w:val="libFootnotenumChar"/>
          <w:rtl/>
        </w:rPr>
        <w:t>(1)</w:t>
      </w:r>
      <w:r w:rsidRPr="00C9040A">
        <w:rPr>
          <w:rtl/>
          <w:lang w:bidi="fa-IR"/>
        </w:rPr>
        <w:t xml:space="preserve"> وَلَا تَحْزَنْ ، وَأَبْشِرْ بِالسُّرُورِ وَالْكَرَامَةِ </w:t>
      </w:r>
      <w:r w:rsidR="006C577F" w:rsidRPr="006C577F">
        <w:rPr>
          <w:rStyle w:val="libFootnotenumChar"/>
          <w:rtl/>
        </w:rPr>
        <w:t>(2)</w:t>
      </w:r>
      <w:r w:rsidRPr="00C9040A">
        <w:rPr>
          <w:rtl/>
          <w:lang w:bidi="fa-IR"/>
        </w:rPr>
        <w:t xml:space="preserve"> مِنَ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حَتّى يَقِفَ بَيْنَ يَدَيِ اللهِ عَزَّ وَجَلَّ ، فَيُحَاسِبُهُ حِسَاباً يَسِيراً ، وَيَأْمُرُ بِهِ إِلَى الْجَنَّةِ ، وَالْمِثَالُ أَمَامَهُ ، فَيَقُولُ لَهُ الْمُؤْمِنُ : يَرْحَمُكَ </w:t>
      </w:r>
      <w:r w:rsidR="006C577F" w:rsidRPr="006C577F">
        <w:rPr>
          <w:rStyle w:val="libFootnotenumChar"/>
          <w:rtl/>
        </w:rPr>
        <w:t>(3)</w:t>
      </w:r>
      <w:r w:rsidRPr="00C9040A">
        <w:rPr>
          <w:rtl/>
          <w:lang w:bidi="fa-IR"/>
        </w:rPr>
        <w:t xml:space="preserve"> اللهُ نِعْمَ الْخَارِجُ خَرَجْتَ مَعِي مِنْ قَبْرِي ، وَمَا زِلْتَ تُبَشِّرُنِي </w:t>
      </w:r>
      <w:r w:rsidR="006C577F" w:rsidRPr="006C577F">
        <w:rPr>
          <w:rStyle w:val="libFootnotenumChar"/>
          <w:rtl/>
        </w:rPr>
        <w:t>(4)</w:t>
      </w:r>
      <w:r w:rsidRPr="00C9040A">
        <w:rPr>
          <w:rtl/>
          <w:lang w:bidi="fa-IR"/>
        </w:rPr>
        <w:t xml:space="preserve"> بِالسُّرُورِ وَالْكَرَامَةِ مِنَ اللهِ حَتّى رَأَيْتُ ذلِكَ ، فَيَقُولُ : مَنْ </w:t>
      </w:r>
      <w:r w:rsidR="006C577F" w:rsidRPr="006C577F">
        <w:rPr>
          <w:rStyle w:val="libFootnotenumChar"/>
          <w:rtl/>
        </w:rPr>
        <w:t>(5)</w:t>
      </w:r>
      <w:r w:rsidRPr="00C9040A">
        <w:rPr>
          <w:rtl/>
          <w:lang w:bidi="fa-IR"/>
        </w:rPr>
        <w:t xml:space="preserve"> أَنْتَ</w:t>
      </w:r>
      <w:r>
        <w:rPr>
          <w:rtl/>
          <w:lang w:bidi="fa-IR"/>
        </w:rPr>
        <w:t>؟</w:t>
      </w:r>
      <w:r w:rsidRPr="00C9040A">
        <w:rPr>
          <w:rtl/>
          <w:lang w:bidi="fa-IR"/>
        </w:rPr>
        <w:t xml:space="preserve"> فَيَقُولُ : أَنَا السُّرُورُ الَّذِي كُنْتَ أَدْخَلْتَهُ </w:t>
      </w:r>
      <w:r w:rsidR="006C577F" w:rsidRPr="006C577F">
        <w:rPr>
          <w:rStyle w:val="libFootnotenumChar"/>
          <w:rtl/>
        </w:rPr>
        <w:t>(6)</w:t>
      </w:r>
      <w:r w:rsidRPr="005B567D">
        <w:rPr>
          <w:rStyle w:val="libFootnotenumChar"/>
          <w:rtl/>
        </w:rPr>
        <w:t xml:space="preserve"> </w:t>
      </w:r>
      <w:r w:rsidRPr="00C9040A">
        <w:rPr>
          <w:rtl/>
          <w:lang w:bidi="fa-IR"/>
        </w:rPr>
        <w:t>عَلى أَخِيكَ الْمُؤْمِنِ فِي الدُّنْيَا ، خَلَقَنِي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مِنْهُ لِأُبَشِّرَكَ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4B0890">
        <w:rPr>
          <w:rtl/>
        </w:rPr>
        <w:t>2136</w:t>
      </w:r>
      <w:r w:rsidRPr="00261CB0">
        <w:rPr>
          <w:rStyle w:val="libBold2Char"/>
          <w:rtl/>
        </w:rPr>
        <w:t xml:space="preserve"> / 9.</w:t>
      </w:r>
      <w:r w:rsidRPr="00C9040A">
        <w:rPr>
          <w:rtl/>
          <w:lang w:bidi="fa-IR"/>
        </w:rPr>
        <w:t xml:space="preserve"> مُحَمَّدُ بْنُ يَحْيى ، عَنْ مُحَمَّدِ بْنِ أَحْمَدَ ، عَنِ السَّيَّارِيِّ ، عَنْ م</w:t>
      </w:r>
      <w:r w:rsidR="00B309F0">
        <w:rPr>
          <w:rtl/>
          <w:lang w:bidi="fa-IR"/>
        </w:rPr>
        <w:t>ُحَمَّدِ بْنِ جُمْهُورٍ ، قَالَ</w:t>
      </w:r>
      <w:r w:rsidRPr="00C9040A">
        <w:rPr>
          <w:rtl/>
          <w:lang w:bidi="fa-IR"/>
        </w:rPr>
        <w:t>:</w:t>
      </w:r>
    </w:p>
    <w:p w:rsidR="008A74EB" w:rsidRPr="00C9040A" w:rsidRDefault="008A74EB" w:rsidP="008A74EB">
      <w:pPr>
        <w:pStyle w:val="libNormal"/>
        <w:rPr>
          <w:rtl/>
          <w:lang w:bidi="fa-IR"/>
        </w:rPr>
      </w:pPr>
      <w:r w:rsidRPr="00C9040A">
        <w:rPr>
          <w:rtl/>
          <w:lang w:bidi="fa-IR"/>
        </w:rPr>
        <w:t>كَانَ النَّجَاشِيُّ</w:t>
      </w:r>
      <w:r>
        <w:rPr>
          <w:rtl/>
          <w:lang w:bidi="fa-IR"/>
        </w:rPr>
        <w:t xml:space="preserve"> </w:t>
      </w:r>
      <w:r w:rsidR="0084262C">
        <w:rPr>
          <w:rtl/>
          <w:lang w:bidi="fa-IR"/>
        </w:rPr>
        <w:t>-</w:t>
      </w:r>
      <w:r>
        <w:rPr>
          <w:rtl/>
          <w:lang w:bidi="fa-IR"/>
        </w:rPr>
        <w:t xml:space="preserve"> </w:t>
      </w:r>
      <w:r w:rsidRPr="00C9040A">
        <w:rPr>
          <w:rtl/>
          <w:lang w:bidi="fa-IR"/>
        </w:rPr>
        <w:t xml:space="preserve">وَهُوَ رَجُلٌ مِنَ الدَّهَاقِينِ </w:t>
      </w:r>
      <w:r w:rsidR="006C577F" w:rsidRPr="006C577F">
        <w:rPr>
          <w:rStyle w:val="libFootnotenumChar"/>
          <w:rtl/>
        </w:rPr>
        <w:t>(8)</w:t>
      </w:r>
      <w:r>
        <w:rPr>
          <w:rtl/>
          <w:lang w:bidi="fa-IR"/>
        </w:rPr>
        <w:t xml:space="preserve"> </w:t>
      </w:r>
      <w:r w:rsidR="0084262C">
        <w:rPr>
          <w:rtl/>
          <w:lang w:bidi="fa-IR"/>
        </w:rPr>
        <w:t>-</w:t>
      </w:r>
      <w:r>
        <w:rPr>
          <w:rtl/>
          <w:lang w:bidi="fa-IR"/>
        </w:rPr>
        <w:t xml:space="preserve"> </w:t>
      </w:r>
      <w:r w:rsidRPr="00C9040A">
        <w:rPr>
          <w:rtl/>
          <w:lang w:bidi="fa-IR"/>
        </w:rPr>
        <w:t xml:space="preserve">عَامِلاً عَلَى الْأَهْوَازِ وَفَارِسَ ، فَقَالَ </w:t>
      </w:r>
      <w:r w:rsidR="006C577F" w:rsidRPr="006C577F">
        <w:rPr>
          <w:rStyle w:val="libFootnotenumChar"/>
          <w:rtl/>
        </w:rPr>
        <w:t>(9)</w:t>
      </w:r>
      <w:r w:rsidRPr="00C9040A">
        <w:rPr>
          <w:rtl/>
          <w:lang w:bidi="fa-IR"/>
        </w:rPr>
        <w:t xml:space="preserve"> بَعْضُ أَهْلِ عَمَلِهِ </w:t>
      </w:r>
      <w:r w:rsidR="006C577F" w:rsidRPr="006C577F">
        <w:rPr>
          <w:rStyle w:val="libFootnotenumChar"/>
          <w:rtl/>
        </w:rPr>
        <w:t>(10)</w:t>
      </w:r>
      <w:r w:rsidRPr="00C9040A">
        <w:rPr>
          <w:rtl/>
          <w:lang w:bidi="fa-IR"/>
        </w:rPr>
        <w:t xml:space="preserve"> لِأَبِي عَبْدِ اللهِ </w:t>
      </w:r>
      <w:r w:rsidRPr="0003660B">
        <w:rPr>
          <w:rStyle w:val="libAlaemChar"/>
          <w:rtl/>
        </w:rPr>
        <w:t>عليه‌السلام</w:t>
      </w:r>
      <w:r w:rsidRPr="00C9040A">
        <w:rPr>
          <w:rtl/>
          <w:lang w:bidi="fa-IR"/>
        </w:rPr>
        <w:t xml:space="preserve"> : إِنَّ فِي‌</w:t>
      </w:r>
      <w:r w:rsidR="00B309F0">
        <w:rPr>
          <w:rFonts w:hint="cs"/>
          <w:rtl/>
          <w:lang w:bidi="fa-IR"/>
        </w:rPr>
        <w:t xml:space="preserve"> .........................................</w:t>
      </w:r>
      <w:r w:rsidR="00B309F0">
        <w:rPr>
          <w:rFonts w:hint="cs"/>
          <w:rtl/>
          <w:lang w:bidi="fa-IR"/>
        </w:rPr>
        <w:tab/>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w:t>
      </w:r>
      <w:r w:rsidR="008A74EB" w:rsidRPr="0034021D">
        <w:rPr>
          <w:rStyle w:val="libFootnoteBoldChar"/>
          <w:rtl/>
        </w:rPr>
        <w:t>الأمالي للمفيد</w:t>
      </w:r>
      <w:r w:rsidR="008A74EB" w:rsidRPr="00C9040A">
        <w:rPr>
          <w:rtl/>
        </w:rPr>
        <w:t xml:space="preserve"> </w:t>
      </w:r>
      <w:r w:rsidR="008A74EB" w:rsidRPr="00AC2E2F">
        <w:rPr>
          <w:rStyle w:val="libFootnoteBoldChar"/>
          <w:rtl/>
        </w:rPr>
        <w:t>والأمالي للطوسي</w:t>
      </w:r>
      <w:r w:rsidR="008A74EB" w:rsidRPr="00C9040A">
        <w:rPr>
          <w:rtl/>
        </w:rPr>
        <w:t xml:space="preserve"> : « لا تجزع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ثواب الأعمال و</w:t>
      </w:r>
      <w:r w:rsidR="008A74EB" w:rsidRPr="0034021D">
        <w:rPr>
          <w:rStyle w:val="libFootnoteBoldChar"/>
          <w:rtl/>
        </w:rPr>
        <w:t>الأمالي للمفيد</w:t>
      </w:r>
      <w:r w:rsidR="008A74EB" w:rsidRPr="00C9040A">
        <w:rPr>
          <w:rtl/>
        </w:rPr>
        <w:t xml:space="preserve"> </w:t>
      </w:r>
      <w:r w:rsidR="008A74EB" w:rsidRPr="00AC2E2F">
        <w:rPr>
          <w:rStyle w:val="libFootnoteBoldChar"/>
          <w:rtl/>
        </w:rPr>
        <w:t>والأمالي للطوسي</w:t>
      </w:r>
      <w:r w:rsidR="008A74EB" w:rsidRPr="00C9040A">
        <w:rPr>
          <w:rtl/>
        </w:rPr>
        <w:t xml:space="preserve"> : + « من الله ، فلا يزال يبشّره بالسرور والكرامة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ف » وحاشية « ص » وثواب الأعمال و</w:t>
      </w:r>
      <w:r w:rsidR="008A74EB" w:rsidRPr="0034021D">
        <w:rPr>
          <w:rStyle w:val="libFootnoteBoldChar"/>
          <w:rtl/>
        </w:rPr>
        <w:t>الأمالي للمفيد</w:t>
      </w:r>
      <w:r w:rsidR="008A74EB" w:rsidRPr="00C9040A">
        <w:rPr>
          <w:rtl/>
        </w:rPr>
        <w:t xml:space="preserve"> : « رحمك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ب » : « تبشّر لي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الوسائل وثواب الأعمال : « فمن » بدل « فيقول من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هكذا في « ب ، ج ، د ، ص ، ف ، بر » والوافي ومرآة العقول والوسائل والبحار وثواب الأعمال ، ص 150 </w:t>
      </w:r>
      <w:r w:rsidR="008A74EB" w:rsidRPr="00AC2E2F">
        <w:rPr>
          <w:rStyle w:val="libFootnoteBoldChar"/>
          <w:rtl/>
        </w:rPr>
        <w:t>والأمالي للطوسي</w:t>
      </w:r>
      <w:r w:rsidR="008A74EB" w:rsidRPr="00C9040A">
        <w:rPr>
          <w:rtl/>
        </w:rPr>
        <w:t>. وفي ثواب الأعمال ، ص 200 : « تدخله »</w:t>
      </w:r>
      <w:r w:rsidR="008A74EB">
        <w:rPr>
          <w:rtl/>
        </w:rPr>
        <w:t>.</w:t>
      </w:r>
      <w:r w:rsidR="008A74EB" w:rsidRPr="00C9040A">
        <w:rPr>
          <w:rtl/>
        </w:rPr>
        <w:t xml:space="preserve"> وفي سائر النسخ والمطبوع : « أدخلت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ثواب الأعمال</w:t>
      </w:r>
      <w:r w:rsidR="008A74EB" w:rsidRPr="00C9040A">
        <w:rPr>
          <w:rtl/>
        </w:rPr>
        <w:t xml:space="preserve"> ، ص 238 ، ذيل ح 1 ، بسنده عن أحمد بن محمّد بن الحسن بن محبوب ؛ </w:t>
      </w:r>
      <w:r w:rsidR="008A74EB" w:rsidRPr="00993B55">
        <w:rPr>
          <w:rStyle w:val="libFootnoteBoldChar"/>
          <w:rtl/>
        </w:rPr>
        <w:t>وفيه</w:t>
      </w:r>
      <w:r w:rsidR="008A74EB" w:rsidRPr="00C9040A">
        <w:rPr>
          <w:rtl/>
        </w:rPr>
        <w:t xml:space="preserve"> ، ص 180 ، ح 1 ، بسنده عن الحسن بن محبوب. </w:t>
      </w:r>
      <w:r w:rsidR="008A74EB" w:rsidRPr="0034021D">
        <w:rPr>
          <w:rStyle w:val="libFootnoteBoldChar"/>
          <w:rtl/>
        </w:rPr>
        <w:t>الأمالي للمفيد</w:t>
      </w:r>
      <w:r w:rsidR="008A74EB" w:rsidRPr="00C9040A">
        <w:rPr>
          <w:rtl/>
        </w:rPr>
        <w:t xml:space="preserve"> ، ص 177 ، المجلس 22 ، ذيل ح 8 ؛ </w:t>
      </w:r>
      <w:r w:rsidR="008A74EB" w:rsidRPr="00993B55">
        <w:rPr>
          <w:rStyle w:val="libFootnoteBoldChar"/>
          <w:rtl/>
        </w:rPr>
        <w:t>الأمال</w:t>
      </w:r>
      <w:r w:rsidR="008A74EB" w:rsidRPr="00B309F0">
        <w:rPr>
          <w:rStyle w:val="libFootnoteBoldChar"/>
          <w:rtl/>
        </w:rPr>
        <w:t>ي للطوسي</w:t>
      </w:r>
      <w:r w:rsidR="008A74EB" w:rsidRPr="00C9040A">
        <w:rPr>
          <w:rtl/>
        </w:rPr>
        <w:t xml:space="preserve"> ، ص 195 ، المجلس 7 ، ذيل ح 35 ، وفيهما بسند آخر عن أحمد بن محمّد بن عيسى ، عن الحسن بن محبوب ، عن حنان بن سدير ، عن أبيه. </w:t>
      </w:r>
      <w:r w:rsidR="008A74EB" w:rsidRPr="00993B55">
        <w:rPr>
          <w:rStyle w:val="libFootnoteBoldChar"/>
          <w:rtl/>
        </w:rPr>
        <w:t>المؤمن</w:t>
      </w:r>
      <w:r w:rsidR="008A74EB" w:rsidRPr="00C9040A">
        <w:rPr>
          <w:rtl/>
        </w:rPr>
        <w:t xml:space="preserve"> ، ص 51 ، ح 126 ، عن أبي عبدالله </w:t>
      </w:r>
      <w:r w:rsidR="00117575" w:rsidRPr="00117575">
        <w:rPr>
          <w:rStyle w:val="libFootnoteAlaemChar"/>
          <w:rtl/>
        </w:rPr>
        <w:t>عليه‌السلام</w:t>
      </w:r>
      <w:r w:rsidR="008A74EB" w:rsidRPr="00C9040A">
        <w:rPr>
          <w:rtl/>
        </w:rPr>
        <w:t xml:space="preserve"> ، مع اختلاف. وراجع : </w:t>
      </w:r>
      <w:r w:rsidR="008A74EB" w:rsidRPr="00993B55">
        <w:rPr>
          <w:rStyle w:val="libFootnoteBoldChar"/>
          <w:rtl/>
        </w:rPr>
        <w:t>مصادقة الإخوان</w:t>
      </w:r>
      <w:r w:rsidR="008A74EB" w:rsidRPr="00C9040A">
        <w:rPr>
          <w:rtl/>
        </w:rPr>
        <w:t xml:space="preserve"> ، ص 60 ، ح 5 </w:t>
      </w:r>
      <w:r w:rsidR="00B309F0">
        <w:rPr>
          <w:rFonts w:hint="cs"/>
          <w:rtl/>
        </w:rPr>
        <w:t>.</w:t>
      </w:r>
      <w:r w:rsidR="008A74EB" w:rsidRPr="00993B55">
        <w:rPr>
          <w:rStyle w:val="libFootnoteBoldChar"/>
          <w:rtl/>
        </w:rPr>
        <w:t>الوافي</w:t>
      </w:r>
      <w:r w:rsidR="008A74EB" w:rsidRPr="00C9040A">
        <w:rPr>
          <w:rtl/>
        </w:rPr>
        <w:t xml:space="preserve"> ، ج 5 ، ص 655 ، ح 2803 ؛ </w:t>
      </w:r>
      <w:r w:rsidR="008A74EB" w:rsidRPr="00993B55">
        <w:rPr>
          <w:rStyle w:val="libFootnoteBoldChar"/>
          <w:rtl/>
        </w:rPr>
        <w:t>الوسائل</w:t>
      </w:r>
      <w:r w:rsidR="008A74EB" w:rsidRPr="00C9040A">
        <w:rPr>
          <w:rtl/>
        </w:rPr>
        <w:t xml:space="preserve"> ، ج 16 ، ص 352 ، ح 21742 ؛ </w:t>
      </w:r>
      <w:r w:rsidR="008A74EB" w:rsidRPr="00993B55">
        <w:rPr>
          <w:rStyle w:val="libFootnoteBoldChar"/>
          <w:rtl/>
        </w:rPr>
        <w:t>البحار</w:t>
      </w:r>
      <w:r w:rsidR="008A74EB" w:rsidRPr="00C9040A">
        <w:rPr>
          <w:rtl/>
        </w:rPr>
        <w:t xml:space="preserve"> ، ج 7 ، ص 197 ، ح 70 ؛ وج 74 ، ص 290 ، ح 21.</w:t>
      </w:r>
    </w:p>
    <w:p w:rsidR="008A74EB" w:rsidRPr="00C9040A" w:rsidRDefault="006C577F" w:rsidP="004A4E41">
      <w:pPr>
        <w:pStyle w:val="libFootnote0"/>
        <w:rPr>
          <w:rtl/>
          <w:lang w:bidi="fa-IR"/>
        </w:rPr>
      </w:pPr>
      <w:r>
        <w:rPr>
          <w:rtl/>
        </w:rPr>
        <w:t>(8).</w:t>
      </w:r>
      <w:r w:rsidR="008A74EB" w:rsidRPr="00C9040A">
        <w:rPr>
          <w:rtl/>
        </w:rPr>
        <w:t xml:space="preserve"> « الدّهقان » بكسر الدال وضمّها : رئيس القرية ، ومقدّم التُّنّاء</w:t>
      </w:r>
      <w:r w:rsidR="008A74EB">
        <w:rPr>
          <w:rtl/>
        </w:rPr>
        <w:t xml:space="preserve"> </w:t>
      </w:r>
      <w:r w:rsidR="0084262C">
        <w:rPr>
          <w:rtl/>
        </w:rPr>
        <w:t>-</w:t>
      </w:r>
      <w:r w:rsidR="008A74EB">
        <w:rPr>
          <w:rtl/>
        </w:rPr>
        <w:t xml:space="preserve"> </w:t>
      </w:r>
      <w:r w:rsidR="008A74EB" w:rsidRPr="00C9040A">
        <w:rPr>
          <w:rtl/>
        </w:rPr>
        <w:t>وهم المقيمون في البلد</w:t>
      </w:r>
      <w:r w:rsidR="008A74EB">
        <w:rPr>
          <w:rtl/>
        </w:rPr>
        <w:t xml:space="preserve"> </w:t>
      </w:r>
      <w:r w:rsidR="0084262C">
        <w:rPr>
          <w:rtl/>
        </w:rPr>
        <w:t>-</w:t>
      </w:r>
      <w:r w:rsidR="008A74EB">
        <w:rPr>
          <w:rtl/>
        </w:rPr>
        <w:t xml:space="preserve"> </w:t>
      </w:r>
      <w:r w:rsidR="008A74EB" w:rsidRPr="00C9040A">
        <w:rPr>
          <w:rtl/>
        </w:rPr>
        <w:t xml:space="preserve">وأصحاب الزراعة. وقيل : هو التاجر ، فارسيّ معرّب. راجع : </w:t>
      </w:r>
      <w:r w:rsidR="008A74EB" w:rsidRPr="00993B55">
        <w:rPr>
          <w:rStyle w:val="libFootnoteBoldChar"/>
          <w:rtl/>
        </w:rPr>
        <w:t>النهاية</w:t>
      </w:r>
      <w:r w:rsidR="008A74EB" w:rsidRPr="00C9040A">
        <w:rPr>
          <w:rtl/>
        </w:rPr>
        <w:t xml:space="preserve"> ، ج 2 ، ص 145 ؛ </w:t>
      </w:r>
      <w:r w:rsidR="008A74EB" w:rsidRPr="00993B55">
        <w:rPr>
          <w:rStyle w:val="libFootnoteBoldChar"/>
          <w:rtl/>
        </w:rPr>
        <w:t>لسان العرب</w:t>
      </w:r>
      <w:r w:rsidR="00B309F0">
        <w:rPr>
          <w:rtl/>
        </w:rPr>
        <w:t xml:space="preserve"> ، ج 13 ، ص 163 (دهقن</w:t>
      </w:r>
      <w:r w:rsidR="008A74EB" w:rsidRPr="00C9040A">
        <w:rPr>
          <w:rtl/>
        </w:rPr>
        <w:t>)</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ب » : « وقال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 العامل » : هو الذي يتولّى امور الرجل في ماله وملكه وعمله. قال في </w:t>
      </w:r>
      <w:r w:rsidR="008A74EB" w:rsidRPr="00993B55">
        <w:rPr>
          <w:rStyle w:val="libFootnoteBoldChar"/>
          <w:rtl/>
        </w:rPr>
        <w:t>مرآة العقول</w:t>
      </w:r>
      <w:r w:rsidR="008A74EB" w:rsidRPr="00C9040A">
        <w:rPr>
          <w:rtl/>
        </w:rPr>
        <w:t xml:space="preserve"> : « أي بعض أهل </w:t>
      </w:r>
      <w:r w:rsidR="00B309F0">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دِيوَانِ </w:t>
      </w:r>
      <w:r w:rsidR="006C577F" w:rsidRPr="006C577F">
        <w:rPr>
          <w:rStyle w:val="libFootnotenumChar"/>
          <w:rtl/>
        </w:rPr>
        <w:t>(1)</w:t>
      </w:r>
      <w:r w:rsidRPr="00C9040A">
        <w:rPr>
          <w:rtl/>
          <w:lang w:bidi="fa-IR"/>
        </w:rPr>
        <w:t xml:space="preserve"> النَّجَاشِيِّ عَلَيَّ خَرَاجاً </w:t>
      </w:r>
      <w:r w:rsidR="006C577F" w:rsidRPr="006C577F">
        <w:rPr>
          <w:rStyle w:val="libFootnotenumChar"/>
          <w:rtl/>
        </w:rPr>
        <w:t>(2)</w:t>
      </w:r>
      <w:r w:rsidRPr="00C9040A">
        <w:rPr>
          <w:rtl/>
          <w:lang w:bidi="fa-IR"/>
        </w:rPr>
        <w:t xml:space="preserve"> وَهُوَ مُؤْمِنٌ </w:t>
      </w:r>
      <w:r w:rsidR="006C577F" w:rsidRPr="006C577F">
        <w:rPr>
          <w:rStyle w:val="libFootnotenumChar"/>
          <w:rtl/>
        </w:rPr>
        <w:t>(3)</w:t>
      </w:r>
      <w:r w:rsidRPr="00C9040A">
        <w:rPr>
          <w:rtl/>
          <w:lang w:bidi="fa-IR"/>
        </w:rPr>
        <w:t xml:space="preserve"> يَدِينُ بِطَاعَتِكَ ، فَإِنْ رَأَيْتَ أَنْ تَكْتُبَ لِي </w:t>
      </w:r>
      <w:r w:rsidR="006C577F" w:rsidRPr="006C577F">
        <w:rPr>
          <w:rStyle w:val="libFootnotenumChar"/>
          <w:rtl/>
        </w:rPr>
        <w:t>(4)</w:t>
      </w:r>
      <w:r w:rsidRPr="00C9040A">
        <w:rPr>
          <w:rtl/>
          <w:lang w:bidi="fa-IR"/>
        </w:rPr>
        <w:t xml:space="preserve"> إِلَيْهِ كِتَاباً.</w:t>
      </w:r>
    </w:p>
    <w:p w:rsidR="008A74EB" w:rsidRPr="00C9040A" w:rsidRDefault="008A74EB" w:rsidP="008A74EB">
      <w:pPr>
        <w:pStyle w:val="libNormal"/>
        <w:rPr>
          <w:rtl/>
          <w:lang w:bidi="fa-IR"/>
        </w:rPr>
      </w:pPr>
      <w:r w:rsidRPr="00C9040A">
        <w:rPr>
          <w:rtl/>
          <w:lang w:bidi="fa-IR"/>
        </w:rPr>
        <w:t xml:space="preserve">قَالَ : فَكَتَبَ إِلَيْهِ أَبُو عَبْدِ اللهِ </w:t>
      </w:r>
      <w:r w:rsidRPr="0003660B">
        <w:rPr>
          <w:rStyle w:val="libAlaemChar"/>
          <w:rtl/>
        </w:rPr>
        <w:t>عليه‌السلام</w:t>
      </w:r>
      <w:r w:rsidRPr="00C9040A">
        <w:rPr>
          <w:rtl/>
          <w:lang w:bidi="fa-IR"/>
        </w:rPr>
        <w:t xml:space="preserve"> : « بِسْمِ اللهِ الرَّحْمنِ الرَّحِيمِ ، سُرَّ أَخَاكَ ؛ يَسُرَّكَ اللهُ »</w:t>
      </w:r>
      <w:r>
        <w:rPr>
          <w:rtl/>
          <w:lang w:bidi="fa-IR"/>
        </w:rPr>
        <w:t>.</w:t>
      </w:r>
    </w:p>
    <w:p w:rsidR="008A74EB" w:rsidRPr="00C9040A" w:rsidRDefault="008A74EB" w:rsidP="008A74EB">
      <w:pPr>
        <w:pStyle w:val="libNormal"/>
        <w:rPr>
          <w:rtl/>
          <w:lang w:bidi="fa-IR"/>
        </w:rPr>
      </w:pPr>
      <w:r w:rsidRPr="00C9040A">
        <w:rPr>
          <w:rtl/>
          <w:lang w:bidi="fa-IR"/>
        </w:rPr>
        <w:t xml:space="preserve">قَالَ </w:t>
      </w:r>
      <w:r w:rsidR="006C577F" w:rsidRPr="006C577F">
        <w:rPr>
          <w:rStyle w:val="libFootnotenumChar"/>
          <w:rtl/>
        </w:rPr>
        <w:t>(5)</w:t>
      </w:r>
      <w:r w:rsidRPr="00C9040A">
        <w:rPr>
          <w:rtl/>
          <w:lang w:bidi="fa-IR"/>
        </w:rPr>
        <w:t xml:space="preserve"> : فَلَمَّا وَرَدَ الْكِتَابُ عَلَيْهِ ، دَخَلَ عَلَيْهِ </w:t>
      </w:r>
      <w:r w:rsidR="006C577F" w:rsidRPr="006C577F">
        <w:rPr>
          <w:rStyle w:val="libFootnotenumChar"/>
          <w:rtl/>
        </w:rPr>
        <w:t>(6)</w:t>
      </w:r>
      <w:r w:rsidRPr="005B567D">
        <w:rPr>
          <w:rStyle w:val="libFootnotenumChar"/>
          <w:rtl/>
        </w:rPr>
        <w:t xml:space="preserve"> </w:t>
      </w:r>
      <w:r w:rsidRPr="00C9040A">
        <w:rPr>
          <w:rtl/>
          <w:lang w:bidi="fa-IR"/>
        </w:rPr>
        <w:t xml:space="preserve">وَهُوَ فِي مَجْلِسِهِ ، فَلَمَّا خَلَا نَاوَلَهُ الْكِتَابَ ، وَقَالَ : هذَا كِتَابُ أَبِي عَبْدِ اللهِ </w:t>
      </w:r>
      <w:r w:rsidRPr="0003660B">
        <w:rPr>
          <w:rStyle w:val="libAlaemChar"/>
          <w:rtl/>
        </w:rPr>
        <w:t>عليه‌السلام</w:t>
      </w:r>
      <w:r w:rsidRPr="00C9040A">
        <w:rPr>
          <w:rtl/>
          <w:lang w:bidi="fa-IR"/>
        </w:rPr>
        <w:t xml:space="preserve"> ، فَقَبَّلَهُ ، وَوَضَعَهُ عَلى عَيْنَيْهِ ، وَقَالَ </w:t>
      </w:r>
      <w:r w:rsidR="006C577F" w:rsidRPr="006C577F">
        <w:rPr>
          <w:rStyle w:val="libFootnotenumChar"/>
          <w:rtl/>
        </w:rPr>
        <w:t>(7)</w:t>
      </w:r>
      <w:r w:rsidRPr="00C9040A">
        <w:rPr>
          <w:rtl/>
          <w:lang w:bidi="fa-IR"/>
        </w:rPr>
        <w:t xml:space="preserve"> لَهُ </w:t>
      </w:r>
      <w:r w:rsidR="006C577F" w:rsidRPr="006C577F">
        <w:rPr>
          <w:rStyle w:val="libFootnotenumChar"/>
          <w:rtl/>
        </w:rPr>
        <w:t>(8)</w:t>
      </w:r>
      <w:r w:rsidRPr="00C9040A">
        <w:rPr>
          <w:rtl/>
          <w:lang w:bidi="fa-IR"/>
        </w:rPr>
        <w:t xml:space="preserve"> : مَا حَاجَتُكَ</w:t>
      </w:r>
      <w:r>
        <w:rPr>
          <w:rtl/>
          <w:lang w:bidi="fa-IR"/>
        </w:rPr>
        <w:t>؟</w:t>
      </w:r>
      <w:r w:rsidRPr="00C9040A">
        <w:rPr>
          <w:rtl/>
          <w:lang w:bidi="fa-IR"/>
        </w:rPr>
        <w:t xml:space="preserve"> قَالَ : خَرَاجٌ عَلَيَّ </w:t>
      </w:r>
      <w:r w:rsidR="006C577F" w:rsidRPr="006C577F">
        <w:rPr>
          <w:rStyle w:val="libFootnotenumChar"/>
          <w:rtl/>
        </w:rPr>
        <w:t>(9)</w:t>
      </w:r>
      <w:r w:rsidRPr="00C9040A">
        <w:rPr>
          <w:rtl/>
          <w:lang w:bidi="fa-IR"/>
        </w:rPr>
        <w:t xml:space="preserve"> فِي دِيوَانِكَ ، فَقَالَ لَهُ : وَ</w:t>
      </w:r>
      <w:r>
        <w:rPr>
          <w:rFonts w:hint="cs"/>
          <w:rtl/>
          <w:lang w:bidi="fa-IR"/>
        </w:rPr>
        <w:t xml:space="preserve"> </w:t>
      </w:r>
      <w:r w:rsidR="006C577F" w:rsidRPr="006C577F">
        <w:rPr>
          <w:rStyle w:val="libFootnotenumChar"/>
          <w:rtl/>
        </w:rPr>
        <w:t>(10)</w:t>
      </w:r>
      <w:r w:rsidRPr="00C9040A">
        <w:rPr>
          <w:rtl/>
          <w:lang w:bidi="fa-IR"/>
        </w:rPr>
        <w:t xml:space="preserve"> كَمْ هُوَ</w:t>
      </w:r>
      <w:r>
        <w:rPr>
          <w:rtl/>
          <w:lang w:bidi="fa-IR"/>
        </w:rPr>
        <w:t>؟</w:t>
      </w:r>
      <w:r w:rsidRPr="00C9040A">
        <w:rPr>
          <w:rtl/>
          <w:lang w:bidi="fa-IR"/>
        </w:rPr>
        <w:t xml:space="preserve"> قَالَ </w:t>
      </w:r>
      <w:r w:rsidR="006C577F" w:rsidRPr="006C577F">
        <w:rPr>
          <w:rStyle w:val="libFootnotenumChar"/>
          <w:rtl/>
        </w:rPr>
        <w:t>(11)</w:t>
      </w:r>
      <w:r w:rsidRPr="00C9040A">
        <w:rPr>
          <w:rtl/>
          <w:lang w:bidi="fa-IR"/>
        </w:rPr>
        <w:t xml:space="preserve"> : عَشَرَةُ آلَافِ دِرْهَمٍ ، فَدَعَا كَاتِبَهُ ، وَأَمَرَهُ </w:t>
      </w:r>
      <w:r w:rsidR="006C577F" w:rsidRPr="006C577F">
        <w:rPr>
          <w:rStyle w:val="libFootnotenumChar"/>
          <w:rtl/>
        </w:rPr>
        <w:t>(12)</w:t>
      </w:r>
      <w:r w:rsidRPr="00C9040A">
        <w:rPr>
          <w:rtl/>
          <w:lang w:bidi="fa-IR"/>
        </w:rPr>
        <w:t xml:space="preserve"> بِأَدَائِهَا عَنْهُ ، ثُمَّ أَخْرَجَهُ مِنْهَا ، وَأَمَرَ </w:t>
      </w:r>
      <w:r w:rsidRPr="005B567D">
        <w:rPr>
          <w:rStyle w:val="libFootnotenumChar"/>
          <w:rtl/>
        </w:rPr>
        <w:t>(13)</w:t>
      </w:r>
      <w:r w:rsidRPr="00C9040A">
        <w:rPr>
          <w:rtl/>
          <w:lang w:bidi="fa-IR"/>
        </w:rPr>
        <w:t xml:space="preserve"> أَنْ يُثْبِتَهَا لَهُ لِقَابِلٍ </w:t>
      </w:r>
      <w:r w:rsidRPr="005B567D">
        <w:rPr>
          <w:rStyle w:val="libFootnotenumChar"/>
          <w:rtl/>
        </w:rPr>
        <w:t>(14)</w:t>
      </w:r>
      <w:r w:rsidRPr="00C9040A">
        <w:rPr>
          <w:rtl/>
          <w:lang w:bidi="fa-IR"/>
        </w:rPr>
        <w:t xml:space="preserve"> ، ثُمَّ </w:t>
      </w:r>
      <w:r w:rsidRPr="005B567D">
        <w:rPr>
          <w:rStyle w:val="libFootnotenumChar"/>
          <w:rtl/>
        </w:rPr>
        <w:t>(15)</w:t>
      </w:r>
      <w:r w:rsidRPr="00C9040A">
        <w:rPr>
          <w:rtl/>
          <w:lang w:bidi="fa-IR"/>
        </w:rPr>
        <w:t xml:space="preserve"> قَالَ لَهُ : </w:t>
      </w:r>
      <w:r w:rsidRPr="005B567D">
        <w:rPr>
          <w:rStyle w:val="libFootnotenumChar"/>
          <w:rtl/>
        </w:rPr>
        <w:t>(16)</w:t>
      </w:r>
      <w:r w:rsidRPr="00C9040A">
        <w:rPr>
          <w:rtl/>
          <w:lang w:bidi="fa-IR"/>
        </w:rPr>
        <w:t xml:space="preserve"> سَرَرْتُكَ</w:t>
      </w:r>
      <w:r>
        <w:rPr>
          <w:rtl/>
          <w:lang w:bidi="fa-IR"/>
        </w:rPr>
        <w:t>؟</w:t>
      </w:r>
      <w:r w:rsidRPr="00C9040A">
        <w:rPr>
          <w:rtl/>
          <w:lang w:bidi="fa-IR"/>
        </w:rPr>
        <w:t xml:space="preserve"> فَقَالَ : نَعَمْ جُعِلْتُ فِدَاكَ ، ثُمَّ أَمَرَ لَهُ </w:t>
      </w:r>
      <w:r w:rsidRPr="005B567D">
        <w:rPr>
          <w:rStyle w:val="libFootnotenumChar"/>
          <w:rtl/>
        </w:rPr>
        <w:t>(17)</w:t>
      </w:r>
      <w:r w:rsidRPr="00C9040A">
        <w:rPr>
          <w:rtl/>
          <w:lang w:bidi="fa-IR"/>
        </w:rPr>
        <w:t xml:space="preserve"> بِمَرْكَبٍ </w:t>
      </w:r>
      <w:r w:rsidRPr="005B567D">
        <w:rPr>
          <w:rStyle w:val="libFootnotenumChar"/>
          <w:rtl/>
        </w:rPr>
        <w:t>(18)</w:t>
      </w:r>
      <w:r w:rsidRPr="00C9040A">
        <w:rPr>
          <w:rtl/>
          <w:lang w:bidi="fa-IR"/>
        </w:rPr>
        <w:t xml:space="preserve"> وَجَارِيَةٍ وَغُلَامٍ ،</w:t>
      </w:r>
    </w:p>
    <w:p w:rsidR="008A74EB" w:rsidRPr="00C9040A" w:rsidRDefault="008A74EB" w:rsidP="008A74EB">
      <w:pPr>
        <w:pStyle w:val="libLine"/>
        <w:rPr>
          <w:rtl/>
          <w:lang w:bidi="fa-IR"/>
        </w:rPr>
      </w:pPr>
      <w:r w:rsidRPr="00C9040A">
        <w:rPr>
          <w:rtl/>
          <w:lang w:bidi="fa-IR"/>
        </w:rPr>
        <w:t>__________________</w:t>
      </w:r>
    </w:p>
    <w:p w:rsidR="008A74EB" w:rsidRPr="00C9040A" w:rsidRDefault="00B309F0" w:rsidP="004A4E41">
      <w:pPr>
        <w:pStyle w:val="libFootnote0"/>
        <w:rPr>
          <w:rtl/>
          <w:lang w:bidi="fa-IR"/>
        </w:rPr>
      </w:pPr>
      <w:r>
        <w:rPr>
          <w:rFonts w:hint="cs"/>
          <w:rtl/>
        </w:rPr>
        <w:t xml:space="preserve">= </w:t>
      </w:r>
      <w:r w:rsidR="008A74EB" w:rsidRPr="00C9040A">
        <w:rPr>
          <w:rtl/>
        </w:rPr>
        <w:t>المواضع التي كانت تحت عمله وكان عاملاً عليها »</w:t>
      </w:r>
      <w:r w:rsidR="008A74EB">
        <w:rPr>
          <w:rtl/>
        </w:rPr>
        <w:t>.</w:t>
      </w:r>
      <w:r w:rsidR="008A74EB" w:rsidRPr="00C9040A">
        <w:rPr>
          <w:rtl/>
        </w:rPr>
        <w:t xml:space="preserve"> وانظر : </w:t>
      </w:r>
      <w:r w:rsidR="008A74EB" w:rsidRPr="00993B55">
        <w:rPr>
          <w:rStyle w:val="libFootnoteBoldChar"/>
          <w:rtl/>
        </w:rPr>
        <w:t>النهاية</w:t>
      </w:r>
      <w:r w:rsidR="008A74EB" w:rsidRPr="00C9040A">
        <w:rPr>
          <w:rtl/>
        </w:rPr>
        <w:t xml:space="preserve"> ، ج 3 ، ص 300 ( عمل )</w:t>
      </w:r>
      <w:r w:rsidR="008A74EB">
        <w:rPr>
          <w:rtl/>
        </w:rPr>
        <w:t>.</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الديوان » : جريدة الحساب ، ثمّ ا</w:t>
      </w:r>
      <w:r w:rsidR="00B309F0">
        <w:rPr>
          <w:rFonts w:hint="cs"/>
          <w:rtl/>
        </w:rPr>
        <w:t>ُ</w:t>
      </w:r>
      <w:r w:rsidR="008A74EB" w:rsidRPr="00C9040A">
        <w:rPr>
          <w:rtl/>
        </w:rPr>
        <w:t>طلق على الحساب ، ثمّ ا</w:t>
      </w:r>
      <w:r w:rsidR="00B309F0">
        <w:rPr>
          <w:rFonts w:hint="cs"/>
          <w:rtl/>
        </w:rPr>
        <w:t>ُ</w:t>
      </w:r>
      <w:r w:rsidR="008A74EB" w:rsidRPr="00C9040A">
        <w:rPr>
          <w:rtl/>
        </w:rPr>
        <w:t xml:space="preserve">طلق على موضع الحساب. وهو معرّب. </w:t>
      </w:r>
      <w:r w:rsidR="008A74EB" w:rsidRPr="00993B55">
        <w:rPr>
          <w:rStyle w:val="libFootnoteBoldChar"/>
          <w:rtl/>
        </w:rPr>
        <w:t xml:space="preserve">المصباح‌المنير </w:t>
      </w:r>
      <w:r w:rsidR="008A74EB" w:rsidRPr="00C9040A">
        <w:rPr>
          <w:rtl/>
        </w:rPr>
        <w:t>، ص 204 ( دون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 الخرج » </w:t>
      </w:r>
      <w:r w:rsidR="008A74EB">
        <w:rPr>
          <w:rtl/>
        </w:rPr>
        <w:t>و «</w:t>
      </w:r>
      <w:r w:rsidR="008A74EB" w:rsidRPr="00C9040A">
        <w:rPr>
          <w:rtl/>
        </w:rPr>
        <w:t xml:space="preserve"> الخراج » : ما يخرج من المال في السنة بقَدَر معلوم ، وما يأخذه السلطان. راجع : </w:t>
      </w:r>
      <w:r w:rsidR="008A74EB" w:rsidRPr="00993B55">
        <w:rPr>
          <w:rStyle w:val="libFootnoteBoldChar"/>
          <w:rtl/>
        </w:rPr>
        <w:t>ترتيب كتاب العين</w:t>
      </w:r>
      <w:r w:rsidR="008A74EB" w:rsidRPr="00C9040A">
        <w:rPr>
          <w:rtl/>
        </w:rPr>
        <w:t xml:space="preserve"> ، ج 1 ، ص 473 ( خرج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الوافي والتهذيب والاختصاص : « ممّن » بدل « مؤمن »</w:t>
      </w:r>
      <w:r w:rsidR="008A74EB">
        <w:rPr>
          <w:rtl/>
        </w:rPr>
        <w:t>.</w:t>
      </w:r>
    </w:p>
    <w:tbl>
      <w:tblPr>
        <w:tblStyle w:val="TableGrid"/>
        <w:bidiVisual/>
        <w:tblW w:w="0" w:type="auto"/>
        <w:tblLook w:val="04A0" w:firstRow="1" w:lastRow="0" w:firstColumn="1" w:lastColumn="0" w:noHBand="0" w:noVBand="1"/>
      </w:tblPr>
      <w:tblGrid>
        <w:gridCol w:w="4006"/>
        <w:gridCol w:w="4006"/>
      </w:tblGrid>
      <w:tr w:rsidR="00B309F0" w:rsidTr="00B309F0">
        <w:tc>
          <w:tcPr>
            <w:tcW w:w="4006" w:type="dxa"/>
          </w:tcPr>
          <w:p w:rsidR="00B309F0" w:rsidRDefault="00B309F0" w:rsidP="004A4E41">
            <w:pPr>
              <w:pStyle w:val="libFootnote0"/>
              <w:rPr>
                <w:rtl/>
              </w:rPr>
            </w:pPr>
            <w:r>
              <w:rPr>
                <w:rtl/>
              </w:rPr>
              <w:t>(4).</w:t>
            </w:r>
            <w:r w:rsidRPr="00C9040A">
              <w:rPr>
                <w:rtl/>
              </w:rPr>
              <w:t xml:space="preserve"> في البحار والتهذيب والاختصاص </w:t>
            </w:r>
            <w:r>
              <w:rPr>
                <w:rtl/>
              </w:rPr>
              <w:t>: -</w:t>
            </w:r>
            <w:r w:rsidRPr="00C9040A">
              <w:rPr>
                <w:rtl/>
              </w:rPr>
              <w:t xml:space="preserve"> « لي »</w:t>
            </w:r>
            <w:r>
              <w:rPr>
                <w:rtl/>
              </w:rPr>
              <w:t>.</w:t>
            </w:r>
          </w:p>
        </w:tc>
        <w:tc>
          <w:tcPr>
            <w:tcW w:w="4006" w:type="dxa"/>
          </w:tcPr>
          <w:p w:rsidR="00B309F0" w:rsidRDefault="00B309F0" w:rsidP="004A4E41">
            <w:pPr>
              <w:pStyle w:val="libFootnote0"/>
              <w:rPr>
                <w:rtl/>
              </w:rPr>
            </w:pPr>
            <w:r>
              <w:rPr>
                <w:rtl/>
              </w:rPr>
              <w:t>(5).</w:t>
            </w:r>
            <w:r w:rsidRPr="00C9040A">
              <w:rPr>
                <w:rtl/>
              </w:rPr>
              <w:t xml:space="preserve"> في « ب ، ف » </w:t>
            </w:r>
            <w:r>
              <w:rPr>
                <w:rtl/>
              </w:rPr>
              <w:t>: -</w:t>
            </w:r>
            <w:r w:rsidRPr="00C9040A">
              <w:rPr>
                <w:rtl/>
              </w:rPr>
              <w:t xml:space="preserve"> « قال »</w:t>
            </w:r>
            <w:r>
              <w:rPr>
                <w:rtl/>
              </w:rPr>
              <w:t>.</w:t>
            </w:r>
          </w:p>
        </w:tc>
      </w:tr>
    </w:tbl>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الوافي : « فلمّا ورد عليه » بدل « فلمّا ورد الكتاب عليه ، دخل عليه »</w:t>
      </w:r>
      <w:r w:rsidR="008A74EB">
        <w:rPr>
          <w:rtl/>
        </w:rPr>
        <w:t>.</w:t>
      </w:r>
    </w:p>
    <w:tbl>
      <w:tblPr>
        <w:tblStyle w:val="TableGrid"/>
        <w:bidiVisual/>
        <w:tblW w:w="0" w:type="auto"/>
        <w:tblLook w:val="04A0" w:firstRow="1" w:lastRow="0" w:firstColumn="1" w:lastColumn="0" w:noHBand="0" w:noVBand="1"/>
      </w:tblPr>
      <w:tblGrid>
        <w:gridCol w:w="4006"/>
        <w:gridCol w:w="4006"/>
      </w:tblGrid>
      <w:tr w:rsidR="00B309F0" w:rsidTr="00B309F0">
        <w:tc>
          <w:tcPr>
            <w:tcW w:w="4006" w:type="dxa"/>
          </w:tcPr>
          <w:p w:rsidR="00B309F0" w:rsidRDefault="00B309F0" w:rsidP="004A4E41">
            <w:pPr>
              <w:pStyle w:val="libFootnote0"/>
              <w:rPr>
                <w:rtl/>
                <w:lang w:bidi="fa-IR"/>
              </w:rPr>
            </w:pPr>
            <w:r>
              <w:rPr>
                <w:rtl/>
              </w:rPr>
              <w:t>(7).</w:t>
            </w:r>
            <w:r w:rsidRPr="00C9040A">
              <w:rPr>
                <w:rtl/>
              </w:rPr>
              <w:t xml:space="preserve"> في الوافي والتهذيب : « ثمّ قال »</w:t>
            </w:r>
            <w:r>
              <w:rPr>
                <w:rtl/>
              </w:rPr>
              <w:t>.</w:t>
            </w:r>
          </w:p>
        </w:tc>
        <w:tc>
          <w:tcPr>
            <w:tcW w:w="4006" w:type="dxa"/>
          </w:tcPr>
          <w:p w:rsidR="00B309F0" w:rsidRDefault="00B309F0" w:rsidP="004A4E41">
            <w:pPr>
              <w:pStyle w:val="libFootnote0"/>
              <w:rPr>
                <w:rtl/>
                <w:lang w:bidi="fa-IR"/>
              </w:rPr>
            </w:pPr>
            <w:r>
              <w:rPr>
                <w:rtl/>
              </w:rPr>
              <w:t>(8).</w:t>
            </w:r>
            <w:r w:rsidRPr="00C9040A">
              <w:rPr>
                <w:rtl/>
              </w:rPr>
              <w:t xml:space="preserve"> في الوافي </w:t>
            </w:r>
            <w:r>
              <w:rPr>
                <w:rtl/>
              </w:rPr>
              <w:t>: -</w:t>
            </w:r>
            <w:r w:rsidRPr="00C9040A">
              <w:rPr>
                <w:rtl/>
              </w:rPr>
              <w:t xml:space="preserve"> « له »</w:t>
            </w:r>
            <w:r>
              <w:rPr>
                <w:rtl/>
              </w:rPr>
              <w:t>.</w:t>
            </w:r>
          </w:p>
        </w:tc>
      </w:tr>
      <w:tr w:rsidR="00B309F0" w:rsidTr="00B309F0">
        <w:tc>
          <w:tcPr>
            <w:tcW w:w="4006" w:type="dxa"/>
          </w:tcPr>
          <w:p w:rsidR="00B309F0" w:rsidRDefault="00B309F0" w:rsidP="004A4E41">
            <w:pPr>
              <w:pStyle w:val="libFootnote0"/>
              <w:rPr>
                <w:rtl/>
                <w:lang w:bidi="fa-IR"/>
              </w:rPr>
            </w:pPr>
            <w:r>
              <w:rPr>
                <w:rtl/>
              </w:rPr>
              <w:t>(9).</w:t>
            </w:r>
            <w:r w:rsidRPr="00C9040A">
              <w:rPr>
                <w:rtl/>
              </w:rPr>
              <w:t xml:space="preserve"> في الوافي : « عليّ خراج »</w:t>
            </w:r>
            <w:r>
              <w:rPr>
                <w:rtl/>
              </w:rPr>
              <w:t>.</w:t>
            </w:r>
          </w:p>
        </w:tc>
        <w:tc>
          <w:tcPr>
            <w:tcW w:w="4006" w:type="dxa"/>
          </w:tcPr>
          <w:p w:rsidR="00B309F0" w:rsidRDefault="00B309F0" w:rsidP="004A4E41">
            <w:pPr>
              <w:pStyle w:val="libFootnote0"/>
              <w:rPr>
                <w:rtl/>
                <w:lang w:bidi="fa-IR"/>
              </w:rPr>
            </w:pPr>
            <w:r>
              <w:rPr>
                <w:rtl/>
              </w:rPr>
              <w:t>(10).</w:t>
            </w:r>
            <w:r w:rsidRPr="00C9040A">
              <w:rPr>
                <w:rtl/>
              </w:rPr>
              <w:t xml:space="preserve"> في الوافي </w:t>
            </w:r>
            <w:r>
              <w:rPr>
                <w:rtl/>
              </w:rPr>
              <w:t>: -</w:t>
            </w:r>
            <w:r w:rsidRPr="00C9040A">
              <w:rPr>
                <w:rtl/>
              </w:rPr>
              <w:t xml:space="preserve"> « </w:t>
            </w:r>
            <w:r>
              <w:rPr>
                <w:rtl/>
              </w:rPr>
              <w:t>و ».</w:t>
            </w:r>
          </w:p>
        </w:tc>
      </w:tr>
      <w:tr w:rsidR="00B309F0" w:rsidTr="00B309F0">
        <w:tc>
          <w:tcPr>
            <w:tcW w:w="4006" w:type="dxa"/>
          </w:tcPr>
          <w:p w:rsidR="00B309F0" w:rsidRDefault="00B309F0" w:rsidP="004A4E41">
            <w:pPr>
              <w:pStyle w:val="libFootnote0"/>
              <w:rPr>
                <w:rtl/>
                <w:lang w:bidi="fa-IR"/>
              </w:rPr>
            </w:pPr>
            <w:r>
              <w:rPr>
                <w:rtl/>
              </w:rPr>
              <w:t>(11). في «ف» : + «له</w:t>
            </w:r>
            <w:r w:rsidRPr="00C9040A">
              <w:rPr>
                <w:rtl/>
              </w:rPr>
              <w:t>»</w:t>
            </w:r>
            <w:r>
              <w:rPr>
                <w:rtl/>
              </w:rPr>
              <w:t>.</w:t>
            </w:r>
            <w:r w:rsidRPr="00C9040A">
              <w:rPr>
                <w:rtl/>
              </w:rPr>
              <w:t xml:space="preserve"> وفي الوافي : + « هو »</w:t>
            </w:r>
            <w:r>
              <w:rPr>
                <w:rtl/>
              </w:rPr>
              <w:t>.</w:t>
            </w:r>
          </w:p>
        </w:tc>
        <w:tc>
          <w:tcPr>
            <w:tcW w:w="4006" w:type="dxa"/>
          </w:tcPr>
          <w:p w:rsidR="00B309F0" w:rsidRDefault="00B309F0" w:rsidP="004A4E41">
            <w:pPr>
              <w:pStyle w:val="libFootnote0"/>
              <w:rPr>
                <w:rtl/>
                <w:lang w:bidi="fa-IR"/>
              </w:rPr>
            </w:pPr>
            <w:r>
              <w:rPr>
                <w:rtl/>
              </w:rPr>
              <w:t>(12).</w:t>
            </w:r>
            <w:r w:rsidRPr="00C9040A">
              <w:rPr>
                <w:rtl/>
              </w:rPr>
              <w:t xml:space="preserve"> في الو</w:t>
            </w:r>
            <w:r>
              <w:rPr>
                <w:rtl/>
              </w:rPr>
              <w:t>افي والبحار ، ج 74 والتهذيب : «فأمره</w:t>
            </w:r>
            <w:r w:rsidRPr="00C9040A">
              <w:rPr>
                <w:rtl/>
              </w:rPr>
              <w:t>»</w:t>
            </w:r>
            <w:r>
              <w:rPr>
                <w:rtl/>
              </w:rPr>
              <w:t>.</w:t>
            </w:r>
          </w:p>
        </w:tc>
      </w:tr>
    </w:tbl>
    <w:p w:rsidR="008A74EB" w:rsidRPr="00C9040A" w:rsidRDefault="008A74EB" w:rsidP="004A4E41">
      <w:pPr>
        <w:pStyle w:val="libFootnote0"/>
        <w:rPr>
          <w:rtl/>
          <w:lang w:bidi="fa-IR"/>
        </w:rPr>
      </w:pPr>
      <w:r>
        <w:rPr>
          <w:rtl/>
        </w:rPr>
        <w:t>(13)</w:t>
      </w:r>
      <w:r w:rsidRPr="00C9040A">
        <w:rPr>
          <w:rtl/>
        </w:rPr>
        <w:t xml:space="preserve"> في الوافي : « أخرج مثله فأمره » بدل « أخرجه منها وأمر »</w:t>
      </w:r>
      <w:r>
        <w:rPr>
          <w:rtl/>
        </w:rPr>
        <w:t>.</w:t>
      </w:r>
    </w:p>
    <w:p w:rsidR="008A74EB" w:rsidRPr="00C9040A" w:rsidRDefault="008A74EB" w:rsidP="004A4E41">
      <w:pPr>
        <w:pStyle w:val="libFootnote0"/>
        <w:rPr>
          <w:rtl/>
          <w:lang w:bidi="fa-IR"/>
        </w:rPr>
      </w:pPr>
      <w:r>
        <w:rPr>
          <w:rtl/>
        </w:rPr>
        <w:t>(14)</w:t>
      </w:r>
      <w:r w:rsidRPr="00C9040A">
        <w:rPr>
          <w:rtl/>
        </w:rPr>
        <w:t xml:space="preserve"> في « بس » : « القابل »</w:t>
      </w:r>
      <w:r>
        <w:rPr>
          <w:rtl/>
        </w:rPr>
        <w:t>.</w:t>
      </w:r>
    </w:p>
    <w:p w:rsidR="008A74EB" w:rsidRPr="00C9040A" w:rsidRDefault="008A74EB" w:rsidP="004A4E41">
      <w:pPr>
        <w:pStyle w:val="libFootnote0"/>
        <w:rPr>
          <w:rtl/>
          <w:lang w:bidi="fa-IR"/>
        </w:rPr>
      </w:pPr>
      <w:r>
        <w:rPr>
          <w:rtl/>
        </w:rPr>
        <w:t>(15)</w:t>
      </w:r>
      <w:r w:rsidRPr="00C9040A">
        <w:rPr>
          <w:rtl/>
        </w:rPr>
        <w:t xml:space="preserve"> في الاختصاص : + « قال له : سررتك</w:t>
      </w:r>
      <w:r>
        <w:rPr>
          <w:rtl/>
        </w:rPr>
        <w:t>؟</w:t>
      </w:r>
      <w:r w:rsidRPr="00C9040A">
        <w:rPr>
          <w:rtl/>
        </w:rPr>
        <w:t xml:space="preserve"> فقال له : نعم. قال : فأمر له بعشرة آلاف درهم ا</w:t>
      </w:r>
      <w:r w:rsidR="005D4332">
        <w:rPr>
          <w:rFonts w:hint="cs"/>
          <w:rtl/>
        </w:rPr>
        <w:t>ُ</w:t>
      </w:r>
      <w:r w:rsidRPr="00C9040A">
        <w:rPr>
          <w:rtl/>
        </w:rPr>
        <w:t>خرى »</w:t>
      </w:r>
      <w:r>
        <w:rPr>
          <w:rtl/>
        </w:rPr>
        <w:t>.</w:t>
      </w:r>
      <w:r w:rsidRPr="00C9040A">
        <w:rPr>
          <w:rtl/>
        </w:rPr>
        <w:t xml:space="preserve"> وفي التهذيب : + « قال له : هل سررتك</w:t>
      </w:r>
      <w:r>
        <w:rPr>
          <w:rtl/>
        </w:rPr>
        <w:t>؟</w:t>
      </w:r>
      <w:r w:rsidRPr="00C9040A">
        <w:rPr>
          <w:rtl/>
        </w:rPr>
        <w:t xml:space="preserve"> قال : نعم. قال : فأمر له بعشرة آلاف درهم ا</w:t>
      </w:r>
      <w:r w:rsidR="005D4332">
        <w:rPr>
          <w:rFonts w:hint="cs"/>
          <w:rtl/>
        </w:rPr>
        <w:t>ُ</w:t>
      </w:r>
      <w:r w:rsidRPr="00C9040A">
        <w:rPr>
          <w:rtl/>
        </w:rPr>
        <w:t>خرى »</w:t>
      </w:r>
      <w:r>
        <w:rPr>
          <w:rtl/>
        </w:rPr>
        <w:t>.</w:t>
      </w:r>
    </w:p>
    <w:p w:rsidR="008A74EB" w:rsidRPr="00C9040A" w:rsidRDefault="008A74EB" w:rsidP="004A4E41">
      <w:pPr>
        <w:pStyle w:val="libFootnote0"/>
        <w:rPr>
          <w:rtl/>
          <w:lang w:bidi="fa-IR"/>
        </w:rPr>
      </w:pPr>
      <w:r>
        <w:rPr>
          <w:rtl/>
        </w:rPr>
        <w:t>(16)</w:t>
      </w:r>
      <w:r w:rsidRPr="00C9040A">
        <w:rPr>
          <w:rtl/>
        </w:rPr>
        <w:t xml:space="preserve"> في « ب » </w:t>
      </w:r>
      <w:r>
        <w:rPr>
          <w:rtl/>
        </w:rPr>
        <w:t xml:space="preserve">: </w:t>
      </w:r>
      <w:r w:rsidR="0084262C">
        <w:rPr>
          <w:rtl/>
        </w:rPr>
        <w:t>-</w:t>
      </w:r>
      <w:r w:rsidRPr="00C9040A">
        <w:rPr>
          <w:rtl/>
        </w:rPr>
        <w:t xml:space="preserve"> « له »</w:t>
      </w:r>
      <w:r>
        <w:rPr>
          <w:rtl/>
        </w:rPr>
        <w:t>.</w:t>
      </w:r>
      <w:r w:rsidRPr="00C9040A">
        <w:rPr>
          <w:rtl/>
        </w:rPr>
        <w:t xml:space="preserve"> وفي الوافي والبحار ، ج 74 : + « هل »</w:t>
      </w:r>
      <w:r>
        <w:rPr>
          <w:rtl/>
        </w:rPr>
        <w:t>.</w:t>
      </w:r>
    </w:p>
    <w:tbl>
      <w:tblPr>
        <w:tblStyle w:val="TableGrid"/>
        <w:bidiVisual/>
        <w:tblW w:w="0" w:type="auto"/>
        <w:tblLook w:val="04A0" w:firstRow="1" w:lastRow="0" w:firstColumn="1" w:lastColumn="0" w:noHBand="0" w:noVBand="1"/>
      </w:tblPr>
      <w:tblGrid>
        <w:gridCol w:w="4006"/>
        <w:gridCol w:w="4006"/>
      </w:tblGrid>
      <w:tr w:rsidR="005D4332" w:rsidTr="005D4332">
        <w:tc>
          <w:tcPr>
            <w:tcW w:w="4006" w:type="dxa"/>
          </w:tcPr>
          <w:p w:rsidR="005D4332" w:rsidRDefault="005D4332" w:rsidP="004A4E41">
            <w:pPr>
              <w:pStyle w:val="libFootnote0"/>
              <w:rPr>
                <w:rtl/>
              </w:rPr>
            </w:pPr>
            <w:r>
              <w:rPr>
                <w:rtl/>
              </w:rPr>
              <w:t>(17)</w:t>
            </w:r>
            <w:r w:rsidRPr="00C9040A">
              <w:rPr>
                <w:rtl/>
              </w:rPr>
              <w:t xml:space="preserve"> في البحار </w:t>
            </w:r>
            <w:r>
              <w:rPr>
                <w:rtl/>
              </w:rPr>
              <w:t>: -</w:t>
            </w:r>
            <w:r w:rsidRPr="00C9040A">
              <w:rPr>
                <w:rtl/>
              </w:rPr>
              <w:t xml:space="preserve"> « له »</w:t>
            </w:r>
            <w:r>
              <w:rPr>
                <w:rtl/>
              </w:rPr>
              <w:t>.</w:t>
            </w:r>
          </w:p>
        </w:tc>
        <w:tc>
          <w:tcPr>
            <w:tcW w:w="4006" w:type="dxa"/>
          </w:tcPr>
          <w:p w:rsidR="005D4332" w:rsidRDefault="005D4332" w:rsidP="004A4E41">
            <w:pPr>
              <w:pStyle w:val="libFootnote0"/>
              <w:rPr>
                <w:rtl/>
              </w:rPr>
            </w:pPr>
            <w:r>
              <w:rPr>
                <w:rtl/>
              </w:rPr>
              <w:t>(18)</w:t>
            </w:r>
            <w:r w:rsidRPr="00C9040A">
              <w:rPr>
                <w:rtl/>
              </w:rPr>
              <w:t xml:space="preserve"> في البحار ، ج 47 : « بركب »</w:t>
            </w:r>
            <w:r>
              <w:rPr>
                <w:rtl/>
              </w:rPr>
              <w:t>.</w:t>
            </w:r>
          </w:p>
        </w:tc>
      </w:tr>
    </w:tbl>
    <w:p w:rsidR="004B7F34" w:rsidRDefault="004B7F34" w:rsidP="004B7F34">
      <w:pPr>
        <w:pStyle w:val="libNormal"/>
        <w:rPr>
          <w:rtl/>
          <w:lang w:bidi="fa-IR"/>
        </w:rPr>
      </w:pPr>
      <w:r>
        <w:rPr>
          <w:rtl/>
          <w:lang w:bidi="fa-IR"/>
        </w:rPr>
        <w:br w:type="page"/>
      </w:r>
    </w:p>
    <w:p w:rsidR="008A74EB" w:rsidRPr="00C9040A" w:rsidRDefault="008A74EB" w:rsidP="00EE17C3">
      <w:pPr>
        <w:pStyle w:val="libNormal0"/>
        <w:rPr>
          <w:rtl/>
          <w:lang w:bidi="fa-IR"/>
        </w:rPr>
      </w:pPr>
      <w:r w:rsidRPr="00C9040A">
        <w:rPr>
          <w:rtl/>
          <w:lang w:bidi="fa-IR"/>
        </w:rPr>
        <w:t xml:space="preserve">وَأَمَرَ لَهُ بِتَخْتِ </w:t>
      </w:r>
      <w:r w:rsidR="006C577F" w:rsidRPr="006C577F">
        <w:rPr>
          <w:rStyle w:val="libFootnotenumChar"/>
          <w:rtl/>
        </w:rPr>
        <w:t>(1)</w:t>
      </w:r>
      <w:r w:rsidRPr="00C9040A">
        <w:rPr>
          <w:rtl/>
          <w:lang w:bidi="fa-IR"/>
        </w:rPr>
        <w:t xml:space="preserve"> ثِيَابٍ ، فِي </w:t>
      </w:r>
      <w:r w:rsidR="006C577F" w:rsidRPr="006C577F">
        <w:rPr>
          <w:rStyle w:val="libFootnotenumChar"/>
          <w:rtl/>
        </w:rPr>
        <w:t>(2)</w:t>
      </w:r>
      <w:r w:rsidRPr="00C9040A">
        <w:rPr>
          <w:rtl/>
          <w:lang w:bidi="fa-IR"/>
        </w:rPr>
        <w:t xml:space="preserve"> كُلِّ ذلِكَ يَقُولُ لَهُ </w:t>
      </w:r>
      <w:r w:rsidR="006C577F" w:rsidRPr="006C577F">
        <w:rPr>
          <w:rStyle w:val="libFootnotenumChar"/>
          <w:rtl/>
        </w:rPr>
        <w:t>(3)</w:t>
      </w:r>
      <w:r w:rsidRPr="00C9040A">
        <w:rPr>
          <w:rtl/>
          <w:lang w:bidi="fa-IR"/>
        </w:rPr>
        <w:t xml:space="preserve"> : هَلْ سَرَرْتُكَ</w:t>
      </w:r>
      <w:r>
        <w:rPr>
          <w:rtl/>
          <w:lang w:bidi="fa-IR"/>
        </w:rPr>
        <w:t>؟</w:t>
      </w:r>
      <w:r w:rsidRPr="00C9040A">
        <w:rPr>
          <w:rtl/>
          <w:lang w:bidi="fa-IR"/>
        </w:rPr>
        <w:t xml:space="preserve"> فَيَقُولُ : نَعَمْ جُعِلْتُ فِدَاكَ ، فَكُلَّمَا </w:t>
      </w:r>
      <w:r w:rsidR="006C577F" w:rsidRPr="006C577F">
        <w:rPr>
          <w:rStyle w:val="libFootnotenumChar"/>
          <w:rtl/>
        </w:rPr>
        <w:t>(4)</w:t>
      </w:r>
      <w:r w:rsidRPr="00C9040A">
        <w:rPr>
          <w:rtl/>
          <w:lang w:bidi="fa-IR"/>
        </w:rPr>
        <w:t xml:space="preserve"> قَالَ : نَعَمْ ، زَادَهُ حَتّى فَرَغَ ، ثُمَّ قَالَ لَهُ : احْمِلْ فُرُشَ هذَا الْبَيْتِ الَّذِي كُنْتَ جَالِساً فِيهِ </w:t>
      </w:r>
      <w:r w:rsidR="006C577F" w:rsidRPr="006C577F">
        <w:rPr>
          <w:rStyle w:val="libFootnotenumChar"/>
          <w:rtl/>
        </w:rPr>
        <w:t>(5)</w:t>
      </w:r>
      <w:r w:rsidRPr="00C9040A">
        <w:rPr>
          <w:rtl/>
          <w:lang w:bidi="fa-IR"/>
        </w:rPr>
        <w:t xml:space="preserve"> حِينَ دَفَعْتَ إِلَيَّ كِتَابَ مَوْلَايَ الَّذِي نَاوَلْتَنِي فِيهِ ، وَارْفَعْ إِلَيَّ </w:t>
      </w:r>
      <w:r w:rsidR="006C577F" w:rsidRPr="006C577F">
        <w:rPr>
          <w:rStyle w:val="libFootnotenumChar"/>
          <w:rtl/>
        </w:rPr>
        <w:t>(6)</w:t>
      </w:r>
      <w:r w:rsidR="00EE17C3" w:rsidRPr="00C9040A">
        <w:rPr>
          <w:rtl/>
          <w:lang w:bidi="fa-IR"/>
        </w:rPr>
        <w:t xml:space="preserve"> </w:t>
      </w:r>
      <w:r w:rsidRPr="00C9040A">
        <w:rPr>
          <w:rtl/>
          <w:lang w:bidi="fa-IR"/>
        </w:rPr>
        <w:t>حَوَائِجَكَ.</w:t>
      </w:r>
    </w:p>
    <w:p w:rsidR="008A74EB" w:rsidRPr="00C9040A" w:rsidRDefault="008A74EB" w:rsidP="008A74EB">
      <w:pPr>
        <w:pStyle w:val="libNormal"/>
        <w:rPr>
          <w:rtl/>
          <w:lang w:bidi="fa-IR"/>
        </w:rPr>
      </w:pPr>
      <w:r w:rsidRPr="00C9040A">
        <w:rPr>
          <w:rtl/>
          <w:lang w:bidi="fa-IR"/>
        </w:rPr>
        <w:t xml:space="preserve">قَالَ : فَفَعَلَ ، وَخَرَجَ الرَّجُلُ ، فَصَارَ </w:t>
      </w:r>
      <w:r w:rsidR="006C577F" w:rsidRPr="006C577F">
        <w:rPr>
          <w:rStyle w:val="libFootnotenumChar"/>
          <w:rtl/>
        </w:rPr>
        <w:t>(7)</w:t>
      </w:r>
      <w:r w:rsidRPr="00C9040A">
        <w:rPr>
          <w:rtl/>
          <w:lang w:bidi="fa-IR"/>
        </w:rPr>
        <w:t xml:space="preserve"> إِلى أَبِي عَبْدِ اللهِ </w:t>
      </w:r>
      <w:r w:rsidRPr="0003660B">
        <w:rPr>
          <w:rStyle w:val="libAlaemChar"/>
          <w:rtl/>
        </w:rPr>
        <w:t>عليه‌السلام</w:t>
      </w:r>
      <w:r w:rsidRPr="00C9040A">
        <w:rPr>
          <w:rtl/>
          <w:lang w:bidi="fa-IR"/>
        </w:rPr>
        <w:t xml:space="preserve"> بَعْدَ ذلِكَ ، فَحَدَّثَهُ </w:t>
      </w:r>
      <w:r w:rsidR="006C577F" w:rsidRPr="006C577F">
        <w:rPr>
          <w:rStyle w:val="libFootnotenumChar"/>
          <w:rtl/>
        </w:rPr>
        <w:t>(8)</w:t>
      </w:r>
      <w:r w:rsidRPr="00C9040A">
        <w:rPr>
          <w:rtl/>
          <w:lang w:bidi="fa-IR"/>
        </w:rPr>
        <w:t xml:space="preserve"> بِالْحَدِيثِ عَلى جِهَتِهِ ، فَجَعَلَ يُسَرُّ بِمَا فَعَلَ </w:t>
      </w:r>
      <w:r w:rsidR="006C577F" w:rsidRPr="006C577F">
        <w:rPr>
          <w:rStyle w:val="libFootnotenumChar"/>
          <w:rtl/>
        </w:rPr>
        <w:t>(9)</w:t>
      </w:r>
      <w:r w:rsidRPr="00C9040A">
        <w:rPr>
          <w:rtl/>
          <w:lang w:bidi="fa-IR"/>
        </w:rPr>
        <w:t xml:space="preserve"> ، فَقَالَ </w:t>
      </w:r>
      <w:r w:rsidR="006C577F" w:rsidRPr="006C577F">
        <w:rPr>
          <w:rStyle w:val="libFootnotenumChar"/>
          <w:rtl/>
        </w:rPr>
        <w:t>(10)</w:t>
      </w:r>
      <w:r w:rsidRPr="00C9040A">
        <w:rPr>
          <w:rtl/>
          <w:lang w:bidi="fa-IR"/>
        </w:rPr>
        <w:t xml:space="preserve"> الرَّجُلُ : يَا ابْنَ رَسُولِ اللهِ ، كَأَنَّهُ قَدْ سَرَّكَ مَا فَعَلَ بِي</w:t>
      </w:r>
      <w:r>
        <w:rPr>
          <w:rtl/>
          <w:lang w:bidi="fa-IR"/>
        </w:rPr>
        <w:t>؟</w:t>
      </w:r>
    </w:p>
    <w:p w:rsidR="008A74EB" w:rsidRPr="00C9040A" w:rsidRDefault="008A74EB" w:rsidP="008A74EB">
      <w:pPr>
        <w:pStyle w:val="libNormal"/>
        <w:rPr>
          <w:rtl/>
          <w:lang w:bidi="fa-IR"/>
        </w:rPr>
      </w:pPr>
      <w:r w:rsidRPr="00C9040A">
        <w:rPr>
          <w:rtl/>
          <w:lang w:bidi="fa-IR"/>
        </w:rPr>
        <w:t>فَقَالَ : « إِي وَاللهِ ، لَقَدْ سَرَّ اللهَ وَرَسُولَهُ »</w:t>
      </w:r>
      <w:r>
        <w:rPr>
          <w:rtl/>
          <w:lang w:bidi="fa-IR"/>
        </w:rPr>
        <w:t>.</w:t>
      </w:r>
      <w:r w:rsidRPr="00C9040A">
        <w:rPr>
          <w:rtl/>
          <w:lang w:bidi="fa-IR"/>
        </w:rPr>
        <w:t xml:space="preserve"> </w:t>
      </w:r>
      <w:r w:rsidR="006C577F" w:rsidRPr="006C577F">
        <w:rPr>
          <w:rStyle w:val="libFootnotenumChar"/>
          <w:rtl/>
        </w:rPr>
        <w:t>(11)</w:t>
      </w:r>
      <w:r w:rsidRPr="00C9040A">
        <w:rPr>
          <w:rtl/>
          <w:lang w:bidi="fa-IR"/>
        </w:rPr>
        <w:t>‌</w:t>
      </w:r>
    </w:p>
    <w:p w:rsidR="008A74EB" w:rsidRPr="00C9040A" w:rsidRDefault="008A74EB" w:rsidP="008A74EB">
      <w:pPr>
        <w:pStyle w:val="libNormal"/>
        <w:rPr>
          <w:rtl/>
          <w:lang w:bidi="fa-IR"/>
        </w:rPr>
      </w:pPr>
      <w:r w:rsidRPr="004B0890">
        <w:rPr>
          <w:rtl/>
        </w:rPr>
        <w:t>2137</w:t>
      </w:r>
      <w:r w:rsidRPr="00261CB0">
        <w:rPr>
          <w:rStyle w:val="libBold2Char"/>
          <w:rtl/>
        </w:rPr>
        <w:t xml:space="preserve"> / 10.</w:t>
      </w:r>
      <w:r w:rsidRPr="00C9040A">
        <w:rPr>
          <w:rtl/>
          <w:lang w:bidi="fa-IR"/>
        </w:rPr>
        <w:t xml:space="preserve"> أَبُو عَلِيٍّ الْأَشْعَرِيُّ ، عَنْ مُحَمَّدِ بْنِ عَبْدِ الْجَبَّارِ ، عَنِ الْحَسَنِ بْنِ عَلِيِّ بْنِ فَضَّالٍ ، عَنْ مَنْصُورٍ ، عَنْ عَمَّارٍ أَبِي الْيَقْظَانِ </w:t>
      </w:r>
      <w:r w:rsidR="006C577F" w:rsidRPr="006C577F">
        <w:rPr>
          <w:rStyle w:val="libFootnotenumChar"/>
          <w:rtl/>
        </w:rPr>
        <w:t>(12)</w:t>
      </w:r>
      <w:r w:rsidRPr="00C9040A">
        <w:rPr>
          <w:rtl/>
          <w:lang w:bidi="fa-IR"/>
        </w:rPr>
        <w:t xml:space="preserve"> ، عَنْ أَبَانِ بْنِ تَغْلِبَ ، قَالَ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 التخت » : وعاء يصان فيه الثياب. </w:t>
      </w:r>
      <w:r w:rsidR="008A74EB" w:rsidRPr="00993B55">
        <w:rPr>
          <w:rStyle w:val="libFootnoteBoldChar"/>
          <w:rtl/>
        </w:rPr>
        <w:t>القاموس المحيط</w:t>
      </w:r>
      <w:r w:rsidR="008A74EB" w:rsidRPr="00C9040A">
        <w:rPr>
          <w:rtl/>
        </w:rPr>
        <w:t xml:space="preserve"> ، ج 1 ، ص 243 ( تخت )</w:t>
      </w:r>
      <w:r w:rsidR="008A74EB">
        <w:rPr>
          <w:rtl/>
        </w:rPr>
        <w:t>.</w:t>
      </w:r>
    </w:p>
    <w:tbl>
      <w:tblPr>
        <w:tblStyle w:val="TableGrid"/>
        <w:bidiVisual/>
        <w:tblW w:w="0" w:type="auto"/>
        <w:tblLook w:val="04A0" w:firstRow="1" w:lastRow="0" w:firstColumn="1" w:lastColumn="0" w:noHBand="0" w:noVBand="1"/>
      </w:tblPr>
      <w:tblGrid>
        <w:gridCol w:w="4006"/>
        <w:gridCol w:w="4006"/>
      </w:tblGrid>
      <w:tr w:rsidR="005A5536" w:rsidTr="005A5536">
        <w:tc>
          <w:tcPr>
            <w:tcW w:w="4006" w:type="dxa"/>
          </w:tcPr>
          <w:p w:rsidR="005A5536" w:rsidRDefault="005A5536" w:rsidP="004A4E41">
            <w:pPr>
              <w:pStyle w:val="libFootnote0"/>
              <w:rPr>
                <w:rtl/>
              </w:rPr>
            </w:pPr>
            <w:r>
              <w:rPr>
                <w:rtl/>
              </w:rPr>
              <w:t xml:space="preserve">(2). </w:t>
            </w:r>
            <w:r w:rsidRPr="00C9040A">
              <w:rPr>
                <w:rtl/>
              </w:rPr>
              <w:t>في « ص » : « وفي »</w:t>
            </w:r>
            <w:r>
              <w:rPr>
                <w:rtl/>
              </w:rPr>
              <w:t>.</w:t>
            </w:r>
          </w:p>
        </w:tc>
        <w:tc>
          <w:tcPr>
            <w:tcW w:w="4006" w:type="dxa"/>
          </w:tcPr>
          <w:p w:rsidR="005A5536" w:rsidRDefault="005A5536" w:rsidP="004A4E41">
            <w:pPr>
              <w:pStyle w:val="libFootnote0"/>
              <w:rPr>
                <w:rtl/>
              </w:rPr>
            </w:pPr>
            <w:r>
              <w:rPr>
                <w:rtl/>
              </w:rPr>
              <w:t>(3). في«ج،ز،ض،ف،بر،بس،بف»</w:t>
            </w:r>
            <w:r w:rsidRPr="00C9040A">
              <w:rPr>
                <w:rtl/>
              </w:rPr>
              <w:t>والبحار</w:t>
            </w:r>
            <w:r>
              <w:rPr>
                <w:rtl/>
              </w:rPr>
              <w:t>: -</w:t>
            </w:r>
            <w:r w:rsidRPr="00C9040A">
              <w:rPr>
                <w:rtl/>
              </w:rPr>
              <w:t xml:space="preserve"> « له »</w:t>
            </w:r>
            <w:r>
              <w:rPr>
                <w:rtl/>
              </w:rPr>
              <w:t>.</w:t>
            </w:r>
          </w:p>
        </w:tc>
      </w:tr>
      <w:tr w:rsidR="005A5536" w:rsidTr="005A5536">
        <w:tc>
          <w:tcPr>
            <w:tcW w:w="4006" w:type="dxa"/>
          </w:tcPr>
          <w:p w:rsidR="005A5536" w:rsidRDefault="00451C56" w:rsidP="004A4E41">
            <w:pPr>
              <w:pStyle w:val="libFootnote0"/>
              <w:rPr>
                <w:rtl/>
              </w:rPr>
            </w:pPr>
            <w:r>
              <w:rPr>
                <w:rtl/>
              </w:rPr>
              <w:t>(4).</w:t>
            </w:r>
            <w:r w:rsidRPr="00C9040A">
              <w:rPr>
                <w:rtl/>
              </w:rPr>
              <w:t xml:space="preserve"> في « ف » : « وكلّما »</w:t>
            </w:r>
            <w:r>
              <w:rPr>
                <w:rtl/>
              </w:rPr>
              <w:t>.</w:t>
            </w:r>
          </w:p>
        </w:tc>
        <w:tc>
          <w:tcPr>
            <w:tcW w:w="4006" w:type="dxa"/>
          </w:tcPr>
          <w:p w:rsidR="005A5536" w:rsidRDefault="00451C56" w:rsidP="004A4E41">
            <w:pPr>
              <w:pStyle w:val="libFootnote0"/>
              <w:rPr>
                <w:rtl/>
              </w:rPr>
            </w:pPr>
            <w:r>
              <w:rPr>
                <w:rtl/>
              </w:rPr>
              <w:t>(5).</w:t>
            </w:r>
            <w:r w:rsidRPr="00C9040A">
              <w:rPr>
                <w:rtl/>
              </w:rPr>
              <w:t xml:space="preserve"> في « ف » : « فيه جالساً »</w:t>
            </w:r>
            <w:r>
              <w:rPr>
                <w:rtl/>
              </w:rPr>
              <w:t>.</w:t>
            </w:r>
          </w:p>
        </w:tc>
      </w:tr>
    </w:tbl>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التهذيب والاختصاص : + « جميع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ب » : « وصار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هكذا في النسخ التي قوبلت والوافي والبحار والتهذيب والاختصاص. وفي المطبوع : + « الرجل »</w:t>
      </w:r>
      <w:r w:rsidR="008A74EB">
        <w:rPr>
          <w:rtl/>
        </w:rPr>
        <w:t>.</w:t>
      </w:r>
    </w:p>
    <w:tbl>
      <w:tblPr>
        <w:tblStyle w:val="TableGrid"/>
        <w:bidiVisual/>
        <w:tblW w:w="0" w:type="auto"/>
        <w:tblLook w:val="04A0" w:firstRow="1" w:lastRow="0" w:firstColumn="1" w:lastColumn="0" w:noHBand="0" w:noVBand="1"/>
      </w:tblPr>
      <w:tblGrid>
        <w:gridCol w:w="4006"/>
        <w:gridCol w:w="4006"/>
      </w:tblGrid>
      <w:tr w:rsidR="00723D2E" w:rsidTr="00723D2E">
        <w:tc>
          <w:tcPr>
            <w:tcW w:w="4006" w:type="dxa"/>
          </w:tcPr>
          <w:p w:rsidR="00723D2E" w:rsidRDefault="00723D2E" w:rsidP="004A4E41">
            <w:pPr>
              <w:pStyle w:val="libFootnote0"/>
              <w:rPr>
                <w:rtl/>
              </w:rPr>
            </w:pPr>
            <w:r>
              <w:rPr>
                <w:rtl/>
              </w:rPr>
              <w:t>(9).</w:t>
            </w:r>
            <w:r w:rsidRPr="00C9040A">
              <w:rPr>
                <w:rtl/>
              </w:rPr>
              <w:t xml:space="preserve"> في الوافي : « يستبشر بما فعله »</w:t>
            </w:r>
            <w:r>
              <w:rPr>
                <w:rtl/>
              </w:rPr>
              <w:t>.</w:t>
            </w:r>
          </w:p>
        </w:tc>
        <w:tc>
          <w:tcPr>
            <w:tcW w:w="4006" w:type="dxa"/>
          </w:tcPr>
          <w:p w:rsidR="00723D2E" w:rsidRDefault="00723D2E" w:rsidP="004A4E41">
            <w:pPr>
              <w:pStyle w:val="libFootnote0"/>
              <w:rPr>
                <w:rtl/>
              </w:rPr>
            </w:pPr>
            <w:r>
              <w:rPr>
                <w:rtl/>
              </w:rPr>
              <w:t>(10).</w:t>
            </w:r>
            <w:r w:rsidRPr="00C9040A">
              <w:rPr>
                <w:rtl/>
              </w:rPr>
              <w:t xml:space="preserve"> في الوافي : + « له »</w:t>
            </w:r>
            <w:r>
              <w:rPr>
                <w:rtl/>
              </w:rPr>
              <w:t>.</w:t>
            </w:r>
          </w:p>
        </w:tc>
      </w:tr>
    </w:tbl>
    <w:p w:rsidR="008A74EB" w:rsidRPr="00C9040A" w:rsidRDefault="006C577F" w:rsidP="00B93AB6">
      <w:pPr>
        <w:pStyle w:val="libFootnote0"/>
        <w:rPr>
          <w:rtl/>
          <w:lang w:bidi="fa-IR"/>
        </w:rPr>
      </w:pPr>
      <w:r>
        <w:rPr>
          <w:rtl/>
        </w:rPr>
        <w:t>(11).</w:t>
      </w:r>
      <w:r w:rsidR="008A74EB" w:rsidRPr="00C9040A">
        <w:rPr>
          <w:rtl/>
        </w:rPr>
        <w:t xml:space="preserve"> </w:t>
      </w:r>
      <w:r w:rsidR="008A74EB" w:rsidRPr="00993B55">
        <w:rPr>
          <w:rStyle w:val="libFootnoteBoldChar"/>
          <w:rtl/>
        </w:rPr>
        <w:t>التهذيب</w:t>
      </w:r>
      <w:r w:rsidR="008A74EB" w:rsidRPr="00C9040A">
        <w:rPr>
          <w:rtl/>
        </w:rPr>
        <w:t xml:space="preserve"> ، ج 6 ، ص 333 ، ح 925 ، بسنده عن السيّاري ، عن ابن جمهور وغيره من أصحابنا. </w:t>
      </w:r>
      <w:r w:rsidR="008A74EB" w:rsidRPr="00993B55">
        <w:rPr>
          <w:rStyle w:val="libFootnoteBoldChar"/>
          <w:rtl/>
        </w:rPr>
        <w:t>الاختصاص</w:t>
      </w:r>
      <w:r w:rsidR="008A74EB" w:rsidRPr="00C9040A">
        <w:rPr>
          <w:rtl/>
        </w:rPr>
        <w:t xml:space="preserve"> ، ص 260 ، مرسلاً عن السيّاري</w:t>
      </w:r>
      <w:r w:rsidR="00B93AB6">
        <w:rPr>
          <w:rFonts w:hint="cs"/>
          <w:rtl/>
        </w:rPr>
        <w:t>.</w:t>
      </w:r>
      <w:r w:rsidR="008A74EB" w:rsidRPr="00993B55">
        <w:rPr>
          <w:rStyle w:val="libFootnoteBoldChar"/>
          <w:rtl/>
        </w:rPr>
        <w:t>الوافي</w:t>
      </w:r>
      <w:r w:rsidR="008A74EB" w:rsidRPr="00C9040A">
        <w:rPr>
          <w:rtl/>
        </w:rPr>
        <w:t xml:space="preserve"> ، ج 17 ، ص 170 ، ح 17064 ؛ </w:t>
      </w:r>
      <w:r w:rsidR="008A74EB" w:rsidRPr="00993B55">
        <w:rPr>
          <w:rStyle w:val="libFootnoteBoldChar"/>
          <w:rtl/>
        </w:rPr>
        <w:t>البحار</w:t>
      </w:r>
      <w:r w:rsidR="008A74EB" w:rsidRPr="00C9040A">
        <w:rPr>
          <w:rtl/>
        </w:rPr>
        <w:t xml:space="preserve"> ، ج 47 ، ص 370 ، ح 89 ؛ وج 74 ، ص 292 ، ح 22.</w:t>
      </w:r>
    </w:p>
    <w:p w:rsidR="008A74EB" w:rsidRPr="00C9040A" w:rsidRDefault="006C577F" w:rsidP="004A4E41">
      <w:pPr>
        <w:pStyle w:val="libFootnote0"/>
        <w:rPr>
          <w:rtl/>
          <w:lang w:bidi="fa-IR"/>
        </w:rPr>
      </w:pPr>
      <w:r>
        <w:rPr>
          <w:rtl/>
        </w:rPr>
        <w:t>(12).</w:t>
      </w:r>
      <w:r w:rsidR="008A74EB" w:rsidRPr="00C9040A">
        <w:rPr>
          <w:rtl/>
        </w:rPr>
        <w:t xml:space="preserve"> هكذا في « ب ، ج ، د ، ز ، ص ، ض ، بر ، بف ، جر » والوسائل والبحار. وفي « ف » : « عمّار ، عن أبي اليقظان »</w:t>
      </w:r>
      <w:r w:rsidR="008A74EB">
        <w:rPr>
          <w:rtl/>
        </w:rPr>
        <w:t>.</w:t>
      </w:r>
      <w:r w:rsidR="008A74EB" w:rsidRPr="00C9040A">
        <w:rPr>
          <w:rtl/>
        </w:rPr>
        <w:t xml:space="preserve"> وفي « بس » : « عمّار بن أبي اليقطان »</w:t>
      </w:r>
      <w:r w:rsidR="008A74EB">
        <w:rPr>
          <w:rtl/>
        </w:rPr>
        <w:t>.</w:t>
      </w:r>
      <w:r w:rsidR="008A74EB" w:rsidRPr="00C9040A">
        <w:rPr>
          <w:rtl/>
        </w:rPr>
        <w:t xml:space="preserve"> وفي المطبوع : « عمّار بن أبي اليقظان »</w:t>
      </w:r>
      <w:r w:rsidR="008A74EB">
        <w:rPr>
          <w:rtl/>
        </w:rPr>
        <w:t>.</w:t>
      </w:r>
    </w:p>
    <w:p w:rsidR="008A74EB" w:rsidRPr="00C9040A" w:rsidRDefault="008A74EB" w:rsidP="004A4E41">
      <w:pPr>
        <w:pStyle w:val="libFootnote0"/>
        <w:rPr>
          <w:rtl/>
          <w:lang w:bidi="fa-IR"/>
        </w:rPr>
      </w:pPr>
      <w:r w:rsidRPr="00323A39">
        <w:rPr>
          <w:rtl/>
        </w:rPr>
        <w:t xml:space="preserve">والصواب ما أثبتناه ؛ فإنّ اليقظان من أعرف الكنى للمسمَّينَ باسم عمّار. ومن أشهر المسمَّيْنَ بهذ الاسم والمكنَّينَ بهذه الكنية هو عمّار بن ياسر الشهيد أبو اليقظان العنسي ، راجع : </w:t>
      </w:r>
      <w:r w:rsidRPr="00993B55">
        <w:rPr>
          <w:rStyle w:val="libFootnoteBoldChar"/>
          <w:rtl/>
        </w:rPr>
        <w:t>تهذيب الكمال</w:t>
      </w:r>
      <w:r w:rsidRPr="00323A39">
        <w:rPr>
          <w:rtl/>
        </w:rPr>
        <w:t xml:space="preserve"> ، ج 21 ، ص 215 ، الرقم 4174.</w:t>
      </w:r>
    </w:p>
    <w:p w:rsidR="008A74EB" w:rsidRPr="00C9040A" w:rsidRDefault="008A74EB" w:rsidP="004A4E41">
      <w:pPr>
        <w:pStyle w:val="libFootnote0"/>
        <w:rPr>
          <w:rtl/>
          <w:lang w:bidi="fa-IR"/>
        </w:rPr>
      </w:pPr>
      <w:r w:rsidRPr="00323A39">
        <w:rPr>
          <w:rtl/>
        </w:rPr>
        <w:t xml:space="preserve">ثمّ إنّ الظاهر أنّ عمّاراً هذا ، هو عمّار أبو اليقظان المذكور في أصحاب أبي عبد الله </w:t>
      </w:r>
      <w:r w:rsidR="00117575" w:rsidRPr="00117575">
        <w:rPr>
          <w:rStyle w:val="libFootnoteAlaemChar"/>
          <w:rtl/>
        </w:rPr>
        <w:t xml:space="preserve">عليه‌السلام </w:t>
      </w:r>
      <w:r w:rsidRPr="00323A39">
        <w:rPr>
          <w:rtl/>
        </w:rPr>
        <w:t xml:space="preserve">. راجع : </w:t>
      </w:r>
      <w:r w:rsidRPr="00993B55">
        <w:rPr>
          <w:rStyle w:val="libFootnoteBoldChar"/>
          <w:rtl/>
        </w:rPr>
        <w:t>رجال البرقي</w:t>
      </w:r>
      <w:r w:rsidRPr="00323A39">
        <w:rPr>
          <w:rtl/>
        </w:rPr>
        <w:t xml:space="preserve"> ، ص 36 ؛ </w:t>
      </w:r>
      <w:r w:rsidRPr="00993B55">
        <w:rPr>
          <w:rStyle w:val="libFootnoteBoldChar"/>
          <w:rtl/>
        </w:rPr>
        <w:t>رجال النجاشي</w:t>
      </w:r>
      <w:r w:rsidRPr="00323A39">
        <w:rPr>
          <w:rtl/>
        </w:rPr>
        <w:t xml:space="preserve"> ، ص 291 ، الرقم 781.</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سَأَلْتُ أَبَا عَبْدِ اللهِ </w:t>
      </w:r>
      <w:r w:rsidRPr="0003660B">
        <w:rPr>
          <w:rStyle w:val="libAlaemChar"/>
          <w:rtl/>
        </w:rPr>
        <w:t>عليه‌السلام</w:t>
      </w:r>
      <w:r w:rsidRPr="00C9040A">
        <w:rPr>
          <w:rtl/>
          <w:lang w:bidi="fa-IR"/>
        </w:rPr>
        <w:t xml:space="preserve"> عَنْ حَقِّ الْمُؤْمِنِ عَلَى الْمُؤْمِنِ ، فَقَالَ </w:t>
      </w:r>
      <w:r w:rsidR="006C577F" w:rsidRPr="006C577F">
        <w:rPr>
          <w:rStyle w:val="libFootnotenumChar"/>
          <w:rtl/>
        </w:rPr>
        <w:t>(1)</w:t>
      </w:r>
      <w:r w:rsidRPr="00C9040A">
        <w:rPr>
          <w:rtl/>
          <w:lang w:bidi="fa-IR"/>
        </w:rPr>
        <w:t xml:space="preserve"> : « حَقُّ الْمُؤْمِنِ عَلَى الْمُؤْمِنِ أَعْظَمُ مِنْ ذلِكَ ، لَوْ حَدَّثْتُكُمْ لَكَفَرْتُمْ </w:t>
      </w:r>
      <w:r w:rsidR="006C577F" w:rsidRPr="006C577F">
        <w:rPr>
          <w:rStyle w:val="libFootnotenumChar"/>
          <w:rtl/>
        </w:rPr>
        <w:t>(2)</w:t>
      </w:r>
      <w:r w:rsidRPr="00C9040A">
        <w:rPr>
          <w:rtl/>
          <w:lang w:bidi="fa-IR"/>
        </w:rPr>
        <w:t xml:space="preserve"> ؛ إِنَّ الْمُؤْمِنَ إِذَا خَرَجَ مِنْ قَبْرِهِ ، خَرَجَ مَعَهُ مِثَالٌ مِنْ قَبْرِهِ يَقُولُ لَهُ : أَبْشِرْ بِالْكَرَامَةِ مِنَ اللهِ وَالسُّرُورِ ، فَيَقُولُ لَهُ : بَشَّرَكَ اللهُ بِخَيْرٍ »</w:t>
      </w:r>
      <w:r>
        <w:rPr>
          <w:rtl/>
          <w:lang w:bidi="fa-IR"/>
        </w:rPr>
        <w:t>.</w:t>
      </w:r>
    </w:p>
    <w:p w:rsidR="008A74EB" w:rsidRPr="00C9040A" w:rsidRDefault="008A74EB" w:rsidP="008A74EB">
      <w:pPr>
        <w:pStyle w:val="libNormal"/>
        <w:rPr>
          <w:rtl/>
          <w:lang w:bidi="fa-IR"/>
        </w:rPr>
      </w:pPr>
      <w:r w:rsidRPr="00C9040A">
        <w:rPr>
          <w:rtl/>
          <w:lang w:bidi="fa-IR"/>
        </w:rPr>
        <w:t xml:space="preserve">قَالَ : « ثُمَّ يَمْضِي مَعَهُ يُبَشِّرُهُ </w:t>
      </w:r>
      <w:r w:rsidR="006C577F" w:rsidRPr="006C577F">
        <w:rPr>
          <w:rStyle w:val="libFootnotenumChar"/>
          <w:rtl/>
        </w:rPr>
        <w:t>(3)</w:t>
      </w:r>
      <w:r w:rsidRPr="00C9040A">
        <w:rPr>
          <w:rtl/>
          <w:lang w:bidi="fa-IR"/>
        </w:rPr>
        <w:t xml:space="preserve"> بِمِثْلِ مَا قَالَ ، وَإِذَا مَرَّ بِهَوْلٍ ، قَالَ : لَيْسَ هذَا </w:t>
      </w:r>
      <w:r w:rsidR="006C577F" w:rsidRPr="006C577F">
        <w:rPr>
          <w:rStyle w:val="libFootnotenumChar"/>
          <w:rtl/>
        </w:rPr>
        <w:t>(4)</w:t>
      </w:r>
      <w:r w:rsidRPr="00C9040A">
        <w:rPr>
          <w:rtl/>
          <w:lang w:bidi="fa-IR"/>
        </w:rPr>
        <w:t xml:space="preserve"> لَكَ ، وَإِذَا مَرَّ بِخَيْرٍ ، قَالَ : هذَا لَكَ ، فَلَا يَزَالُ مَعَهُ ، يُؤْمِنُهُ </w:t>
      </w:r>
      <w:r w:rsidR="006C577F" w:rsidRPr="006C577F">
        <w:rPr>
          <w:rStyle w:val="libFootnotenumChar"/>
          <w:rtl/>
        </w:rPr>
        <w:t>(5)</w:t>
      </w:r>
      <w:r w:rsidRPr="00C9040A">
        <w:rPr>
          <w:rtl/>
          <w:lang w:bidi="fa-IR"/>
        </w:rPr>
        <w:t xml:space="preserve"> مِمَّا يَخَافُ ، وَيُبَشِّرُهُ بِمَا يُحِبُّ حَتّى يَقِفَ مَعَهُ بَيْنَ يَدَيِ اللهِ عَزَّ وَجَلَّ ، فَإِذَا أَمَرَ بِهِ إِلَى الْجَنَّةِ ، قَالَ لَهُ الْمِثَالُ : أَبْشِرْ </w:t>
      </w:r>
      <w:r w:rsidR="006C577F" w:rsidRPr="006C577F">
        <w:rPr>
          <w:rStyle w:val="libFootnotenumChar"/>
          <w:rtl/>
        </w:rPr>
        <w:t>(6)</w:t>
      </w:r>
      <w:r w:rsidRPr="005B567D">
        <w:rPr>
          <w:rStyle w:val="libFootnotenumChar"/>
          <w:rtl/>
        </w:rPr>
        <w:t xml:space="preserve"> </w:t>
      </w:r>
      <w:r w:rsidRPr="00C9040A">
        <w:rPr>
          <w:rtl/>
          <w:lang w:bidi="fa-IR"/>
        </w:rPr>
        <w:t>؛ فَإِنَّ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قَدْ أَمَرَ بِكَ إِلَى الْجَنَّةِ »</w:t>
      </w:r>
      <w:r>
        <w:rPr>
          <w:rtl/>
          <w:lang w:bidi="fa-IR"/>
        </w:rPr>
        <w:t>.</w:t>
      </w:r>
    </w:p>
    <w:p w:rsidR="008A74EB" w:rsidRPr="00C9040A" w:rsidRDefault="008A74EB" w:rsidP="008A74EB">
      <w:pPr>
        <w:pStyle w:val="libNormal"/>
        <w:rPr>
          <w:rtl/>
          <w:lang w:bidi="fa-IR"/>
        </w:rPr>
      </w:pPr>
      <w:r w:rsidRPr="00C9040A">
        <w:rPr>
          <w:rtl/>
          <w:lang w:bidi="fa-IR"/>
        </w:rPr>
        <w:t xml:space="preserve">قَالَ </w:t>
      </w:r>
      <w:r w:rsidR="006C577F" w:rsidRPr="006C577F">
        <w:rPr>
          <w:rStyle w:val="libFootnotenumChar"/>
          <w:rtl/>
        </w:rPr>
        <w:t>(7)</w:t>
      </w:r>
      <w:r w:rsidRPr="00C9040A">
        <w:rPr>
          <w:rtl/>
          <w:lang w:bidi="fa-IR"/>
        </w:rPr>
        <w:t xml:space="preserve"> : « فَيَقُولُ </w:t>
      </w:r>
      <w:r w:rsidR="006C577F" w:rsidRPr="006C577F">
        <w:rPr>
          <w:rStyle w:val="libFootnotenumChar"/>
          <w:rtl/>
        </w:rPr>
        <w:t>(8)</w:t>
      </w:r>
      <w:r w:rsidRPr="00C9040A">
        <w:rPr>
          <w:rtl/>
          <w:lang w:bidi="fa-IR"/>
        </w:rPr>
        <w:t xml:space="preserve"> : مَنْ أَنْتَ رَحِمَكَ </w:t>
      </w:r>
      <w:r w:rsidR="006C577F" w:rsidRPr="006C577F">
        <w:rPr>
          <w:rStyle w:val="libFootnotenumChar"/>
          <w:rtl/>
        </w:rPr>
        <w:t>(9)</w:t>
      </w:r>
      <w:r w:rsidRPr="00C9040A">
        <w:rPr>
          <w:rtl/>
          <w:lang w:bidi="fa-IR"/>
        </w:rPr>
        <w:t xml:space="preserve"> اللهُ ، تُبَشِّرُنِي مِنْ حِينِ خَرَجْتُ مِنْ قَبْرِي ، وَآنَسْتَنِي فِي طَرِيقِي ، وَخَبَّرْتَنِي عَنْ رَبِّي</w:t>
      </w:r>
      <w:r>
        <w:rPr>
          <w:rtl/>
          <w:lang w:bidi="fa-IR"/>
        </w:rPr>
        <w:t>؟</w:t>
      </w:r>
      <w:r w:rsidRPr="00C9040A">
        <w:rPr>
          <w:rtl/>
          <w:lang w:bidi="fa-IR"/>
        </w:rPr>
        <w:t xml:space="preserve"> »</w:t>
      </w:r>
      <w:r>
        <w:rPr>
          <w:rtl/>
          <w:lang w:bidi="fa-IR"/>
        </w:rPr>
        <w:t>.</w:t>
      </w:r>
    </w:p>
    <w:p w:rsidR="008A74EB" w:rsidRPr="00C9040A" w:rsidRDefault="008A74EB" w:rsidP="008A74EB">
      <w:pPr>
        <w:pStyle w:val="libNormal"/>
        <w:rPr>
          <w:rtl/>
          <w:lang w:bidi="fa-IR"/>
        </w:rPr>
      </w:pPr>
      <w:r w:rsidRPr="00C9040A">
        <w:rPr>
          <w:rtl/>
          <w:lang w:bidi="fa-IR"/>
        </w:rPr>
        <w:t xml:space="preserve">قَالَ : « فَيَقُولُ : أَنَا السُّرُورُ الَّذِي كُنْتَ تُدْخِلُهُ عَلى إِخْوَانِكَ فِي الدُّنْيَا ، خُلِقْتُ مِنْهُ لِأُبَشِّرَكَ </w:t>
      </w:r>
      <w:r w:rsidR="006C577F" w:rsidRPr="006C577F">
        <w:rPr>
          <w:rStyle w:val="libFootnotenumChar"/>
          <w:rtl/>
        </w:rPr>
        <w:t>(10)</w:t>
      </w:r>
      <w:r w:rsidRPr="00C9040A">
        <w:rPr>
          <w:rtl/>
          <w:lang w:bidi="fa-IR"/>
        </w:rPr>
        <w:t xml:space="preserve"> ، وَأُونِسَ </w:t>
      </w:r>
      <w:r w:rsidR="006C577F" w:rsidRPr="006C577F">
        <w:rPr>
          <w:rStyle w:val="libFootnotenumChar"/>
          <w:rtl/>
        </w:rPr>
        <w:t>(11)</w:t>
      </w:r>
      <w:r w:rsidRPr="00C9040A">
        <w:rPr>
          <w:rtl/>
          <w:lang w:bidi="fa-IR"/>
        </w:rPr>
        <w:t xml:space="preserve"> وَحْشَتَكَ »</w:t>
      </w:r>
      <w:r>
        <w:rPr>
          <w:rtl/>
          <w:lang w:bidi="fa-IR"/>
        </w:rPr>
        <w:t>.</w:t>
      </w:r>
      <w:r w:rsidRPr="00C9040A">
        <w:rPr>
          <w:rtl/>
          <w:lang w:bidi="fa-IR"/>
        </w:rPr>
        <w:t xml:space="preserve"> </w:t>
      </w:r>
      <w:r w:rsidR="006C577F" w:rsidRPr="006C577F">
        <w:rPr>
          <w:rStyle w:val="libFootnotenumChar"/>
          <w:rtl/>
        </w:rPr>
        <w:t>(12)</w:t>
      </w:r>
      <w:r w:rsidRPr="00C9040A">
        <w:rPr>
          <w:rtl/>
          <w:lang w:bidi="fa-IR"/>
        </w:rPr>
        <w:t>‌</w:t>
      </w:r>
    </w:p>
    <w:p w:rsidR="008A74EB" w:rsidRPr="00C9040A" w:rsidRDefault="001163B5" w:rsidP="008A74EB">
      <w:pPr>
        <w:pStyle w:val="libNormal"/>
        <w:rPr>
          <w:rtl/>
          <w:lang w:bidi="fa-IR"/>
        </w:rPr>
      </w:pPr>
      <w:r>
        <w:rPr>
          <w:rFonts w:hint="cs"/>
          <w:rtl/>
          <w:lang w:bidi="fa-IR"/>
        </w:rPr>
        <w:t xml:space="preserve">* </w:t>
      </w:r>
      <w:r w:rsidR="008A74EB" w:rsidRPr="00C9040A">
        <w:rPr>
          <w:rtl/>
          <w:lang w:bidi="fa-IR"/>
        </w:rPr>
        <w:t>مُحَمَّدُ بْنُ يَحْيى ، عَنْ أَحْمَدَ بْنِ مُحَمَّدٍ ، عَنِ ابْنِ فَضَّالٍ ، مِثْلَهُ.</w:t>
      </w:r>
    </w:p>
    <w:p w:rsidR="008A74EB" w:rsidRPr="00C9040A" w:rsidRDefault="008A74EB" w:rsidP="008A74EB">
      <w:pPr>
        <w:pStyle w:val="libNormal"/>
        <w:rPr>
          <w:rtl/>
          <w:lang w:bidi="fa-IR"/>
        </w:rPr>
      </w:pPr>
      <w:r w:rsidRPr="004B0890">
        <w:rPr>
          <w:rtl/>
        </w:rPr>
        <w:t>2138</w:t>
      </w:r>
      <w:r w:rsidRPr="00261CB0">
        <w:rPr>
          <w:rStyle w:val="libBold2Char"/>
          <w:rtl/>
        </w:rPr>
        <w:t xml:space="preserve"> / 11.</w:t>
      </w:r>
      <w:r w:rsidRPr="00C9040A">
        <w:rPr>
          <w:rtl/>
          <w:lang w:bidi="fa-IR"/>
        </w:rPr>
        <w:t xml:space="preserve"> مُحَمَّدُ بْنُ يَحْيى ، عَنْ أَحْمَدَ بْنِ مُحَمَّدٍ ، عَنْ عَلِيِّ بْنِ الْحَكَمِ ، عَنْ مَالِكِ بْنِ‌</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هكذا في « ب ، ج ، د ، ز ، ص ، ف ، بر ، بس ، بف » والوافي والوسائل والمؤمن. وفي سائر النسخ والمطبوع : « قال ، فقال »</w:t>
      </w:r>
      <w:r w:rsidR="008A74EB">
        <w:rPr>
          <w:rtl/>
        </w:rPr>
        <w:t>.</w:t>
      </w:r>
      <w:r w:rsidR="008A74EB" w:rsidRPr="00C9040A">
        <w:rPr>
          <w:rtl/>
        </w:rPr>
        <w:t xml:space="preserve"> وفي « ض » </w:t>
      </w:r>
      <w:r w:rsidR="008A74EB">
        <w:rPr>
          <w:rtl/>
        </w:rPr>
        <w:t xml:space="preserve">: </w:t>
      </w:r>
      <w:r w:rsidR="0084262C">
        <w:rPr>
          <w:rtl/>
        </w:rPr>
        <w:t>-</w:t>
      </w:r>
      <w:r w:rsidR="008A74EB" w:rsidRPr="00C9040A">
        <w:rPr>
          <w:rtl/>
        </w:rPr>
        <w:t xml:space="preserve"> « فقال »</w:t>
      </w:r>
      <w:r w:rsidR="008A74EB">
        <w:rPr>
          <w:rtl/>
        </w:rPr>
        <w:t>.</w:t>
      </w:r>
    </w:p>
    <w:p w:rsidR="008A74EB" w:rsidRPr="00C9040A" w:rsidRDefault="006C577F" w:rsidP="001163B5">
      <w:pPr>
        <w:pStyle w:val="libFootnote0"/>
        <w:rPr>
          <w:rtl/>
          <w:lang w:bidi="fa-IR"/>
        </w:rPr>
      </w:pPr>
      <w:r>
        <w:rPr>
          <w:rtl/>
        </w:rPr>
        <w:t>(2).</w:t>
      </w:r>
      <w:r w:rsidR="008A74EB">
        <w:rPr>
          <w:rtl/>
        </w:rPr>
        <w:t xml:space="preserve"> </w:t>
      </w:r>
      <w:r w:rsidR="008A74EB" w:rsidRPr="00C9040A">
        <w:rPr>
          <w:rtl/>
        </w:rPr>
        <w:t xml:space="preserve">في </w:t>
      </w:r>
      <w:r w:rsidR="008A74EB" w:rsidRPr="00993B55">
        <w:rPr>
          <w:rStyle w:val="libFootnoteBoldChar"/>
          <w:rtl/>
        </w:rPr>
        <w:t>مرآة العقول</w:t>
      </w:r>
      <w:r w:rsidR="008A74EB" w:rsidRPr="00C9040A">
        <w:rPr>
          <w:rtl/>
        </w:rPr>
        <w:t xml:space="preserve"> : « قيل : يمكن أن يقرأ بالتشديد على بناء التفعيل ، أي لنسبتم أكثر المؤمنين إلى الكفر ؛ لعجزكم عن أداء حقوقهم ؛ اعتذاراً لتركها »</w:t>
      </w:r>
      <w:r w:rsidR="008A74EB">
        <w:rPr>
          <w:rtl/>
        </w:rPr>
        <w:t>.</w:t>
      </w:r>
      <w:r w:rsidR="00411D58">
        <w:rPr>
          <w:rFonts w:hint="cs"/>
          <w:rtl/>
        </w:rPr>
        <w:t xml:space="preserve">               </w:t>
      </w:r>
      <w:r w:rsidR="001163B5">
        <w:rPr>
          <w:rFonts w:hint="cs"/>
          <w:rtl/>
        </w:rPr>
        <w:t xml:space="preserve">  </w:t>
      </w:r>
      <w:r>
        <w:rPr>
          <w:rtl/>
        </w:rPr>
        <w:t>(3).</w:t>
      </w:r>
      <w:r w:rsidR="008A74EB" w:rsidRPr="00C9040A">
        <w:rPr>
          <w:rtl/>
        </w:rPr>
        <w:t xml:space="preserve"> في « بف » : « فيبشّره »</w:t>
      </w:r>
      <w:r w:rsidR="008A74EB">
        <w:rPr>
          <w:rtl/>
        </w:rPr>
        <w:t>.</w:t>
      </w:r>
    </w:p>
    <w:tbl>
      <w:tblPr>
        <w:tblStyle w:val="TableGrid"/>
        <w:bidiVisual/>
        <w:tblW w:w="0" w:type="auto"/>
        <w:tblLook w:val="04A0" w:firstRow="1" w:lastRow="0" w:firstColumn="1" w:lastColumn="0" w:noHBand="0" w:noVBand="1"/>
      </w:tblPr>
      <w:tblGrid>
        <w:gridCol w:w="4006"/>
        <w:gridCol w:w="4006"/>
      </w:tblGrid>
      <w:tr w:rsidR="001163B5" w:rsidTr="001163B5">
        <w:tc>
          <w:tcPr>
            <w:tcW w:w="4006" w:type="dxa"/>
          </w:tcPr>
          <w:p w:rsidR="001163B5" w:rsidRDefault="001163B5" w:rsidP="004A4E41">
            <w:pPr>
              <w:pStyle w:val="libFootnote0"/>
              <w:rPr>
                <w:rtl/>
              </w:rPr>
            </w:pPr>
            <w:r>
              <w:rPr>
                <w:rtl/>
              </w:rPr>
              <w:t>(4).</w:t>
            </w:r>
            <w:r w:rsidRPr="00C9040A">
              <w:rPr>
                <w:rtl/>
              </w:rPr>
              <w:t xml:space="preserve"> في البحار : « هذا ليس »</w:t>
            </w:r>
            <w:r>
              <w:rPr>
                <w:rtl/>
              </w:rPr>
              <w:t>.</w:t>
            </w:r>
          </w:p>
        </w:tc>
        <w:tc>
          <w:tcPr>
            <w:tcW w:w="4006" w:type="dxa"/>
          </w:tcPr>
          <w:p w:rsidR="001163B5" w:rsidRDefault="001163B5" w:rsidP="004A4E41">
            <w:pPr>
              <w:pStyle w:val="libFootnote0"/>
              <w:rPr>
                <w:rtl/>
              </w:rPr>
            </w:pPr>
            <w:r>
              <w:rPr>
                <w:rtl/>
              </w:rPr>
              <w:t>(5).</w:t>
            </w:r>
            <w:r w:rsidRPr="00C9040A">
              <w:rPr>
                <w:rtl/>
              </w:rPr>
              <w:t xml:space="preserve"> في « ب » : « يؤمّنه »</w:t>
            </w:r>
            <w:r>
              <w:rPr>
                <w:rtl/>
              </w:rPr>
              <w:t>.</w:t>
            </w:r>
          </w:p>
        </w:tc>
      </w:tr>
      <w:tr w:rsidR="001163B5" w:rsidTr="001163B5">
        <w:tc>
          <w:tcPr>
            <w:tcW w:w="4006" w:type="dxa"/>
          </w:tcPr>
          <w:p w:rsidR="001163B5" w:rsidRDefault="00391F75" w:rsidP="004A4E41">
            <w:pPr>
              <w:pStyle w:val="libFootnote0"/>
              <w:rPr>
                <w:rtl/>
              </w:rPr>
            </w:pPr>
            <w:r>
              <w:rPr>
                <w:rtl/>
              </w:rPr>
              <w:t xml:space="preserve">(6). </w:t>
            </w:r>
            <w:r w:rsidRPr="00C9040A">
              <w:rPr>
                <w:rtl/>
              </w:rPr>
              <w:t>في المؤمن : + « بالجنّة »</w:t>
            </w:r>
            <w:r>
              <w:rPr>
                <w:rtl/>
              </w:rPr>
              <w:t>.</w:t>
            </w:r>
          </w:p>
        </w:tc>
        <w:tc>
          <w:tcPr>
            <w:tcW w:w="4006" w:type="dxa"/>
          </w:tcPr>
          <w:p w:rsidR="001163B5" w:rsidRDefault="00391F75" w:rsidP="004A4E41">
            <w:pPr>
              <w:pStyle w:val="libFootnote0"/>
              <w:rPr>
                <w:rtl/>
              </w:rPr>
            </w:pPr>
            <w:r>
              <w:rPr>
                <w:rtl/>
              </w:rPr>
              <w:t>(7).</w:t>
            </w:r>
            <w:r w:rsidRPr="00C9040A">
              <w:rPr>
                <w:rtl/>
              </w:rPr>
              <w:t xml:space="preserve"> في الوسائل والمؤمن </w:t>
            </w:r>
            <w:r>
              <w:rPr>
                <w:rtl/>
              </w:rPr>
              <w:t>: -</w:t>
            </w:r>
            <w:r w:rsidRPr="00C9040A">
              <w:rPr>
                <w:rtl/>
              </w:rPr>
              <w:t xml:space="preserve"> « قال »</w:t>
            </w:r>
            <w:r>
              <w:rPr>
                <w:rtl/>
              </w:rPr>
              <w:t>.</w:t>
            </w:r>
          </w:p>
        </w:tc>
      </w:tr>
    </w:tbl>
    <w:p w:rsidR="008A74EB" w:rsidRPr="00C9040A" w:rsidRDefault="006C577F" w:rsidP="004A4E41">
      <w:pPr>
        <w:pStyle w:val="libFootnote0"/>
        <w:rPr>
          <w:rtl/>
          <w:lang w:bidi="fa-IR"/>
        </w:rPr>
      </w:pPr>
      <w:r>
        <w:rPr>
          <w:rtl/>
        </w:rPr>
        <w:t>(8).</w:t>
      </w:r>
      <w:r w:rsidR="008A74EB" w:rsidRPr="00C9040A">
        <w:rPr>
          <w:rtl/>
        </w:rPr>
        <w:t xml:space="preserve"> في « بر » والوسائل والمؤمن : + « له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ب ، ز ، ص ، ف ، بس » والوسائل والمؤمن : « يرحمك »</w:t>
      </w:r>
      <w:r w:rsidR="008A74EB">
        <w:rPr>
          <w:rtl/>
        </w:rPr>
        <w:t>.</w:t>
      </w:r>
    </w:p>
    <w:tbl>
      <w:tblPr>
        <w:tblStyle w:val="TableGrid"/>
        <w:bidiVisual/>
        <w:tblW w:w="0" w:type="auto"/>
        <w:tblLook w:val="04A0" w:firstRow="1" w:lastRow="0" w:firstColumn="1" w:lastColumn="0" w:noHBand="0" w:noVBand="1"/>
      </w:tblPr>
      <w:tblGrid>
        <w:gridCol w:w="4006"/>
        <w:gridCol w:w="4006"/>
      </w:tblGrid>
      <w:tr w:rsidR="00CE2BF9" w:rsidTr="00CE2BF9">
        <w:tc>
          <w:tcPr>
            <w:tcW w:w="4006" w:type="dxa"/>
          </w:tcPr>
          <w:p w:rsidR="00CE2BF9" w:rsidRDefault="00CE2BF9" w:rsidP="004A4E41">
            <w:pPr>
              <w:pStyle w:val="libFootnote0"/>
              <w:rPr>
                <w:rtl/>
                <w:lang w:bidi="fa-IR"/>
              </w:rPr>
            </w:pPr>
            <w:r>
              <w:rPr>
                <w:rtl/>
              </w:rPr>
              <w:t>(10). في حاشية « ز » : « ل</w:t>
            </w:r>
            <w:r w:rsidRPr="00C9040A">
              <w:rPr>
                <w:rtl/>
              </w:rPr>
              <w:t>ا</w:t>
            </w:r>
            <w:r>
              <w:rPr>
                <w:rFonts w:hint="cs"/>
                <w:rtl/>
              </w:rPr>
              <w:t>ُ</w:t>
            </w:r>
            <w:r w:rsidRPr="00C9040A">
              <w:rPr>
                <w:rtl/>
              </w:rPr>
              <w:t>سرّك »</w:t>
            </w:r>
            <w:r>
              <w:rPr>
                <w:rtl/>
              </w:rPr>
              <w:t>.</w:t>
            </w:r>
          </w:p>
        </w:tc>
        <w:tc>
          <w:tcPr>
            <w:tcW w:w="4006" w:type="dxa"/>
          </w:tcPr>
          <w:p w:rsidR="00CE2BF9" w:rsidRDefault="00CE2BF9" w:rsidP="004A4E41">
            <w:pPr>
              <w:pStyle w:val="libFootnote0"/>
              <w:rPr>
                <w:rtl/>
                <w:lang w:bidi="fa-IR"/>
              </w:rPr>
            </w:pPr>
            <w:r>
              <w:rPr>
                <w:rtl/>
              </w:rPr>
              <w:t>(11).</w:t>
            </w:r>
            <w:r w:rsidRPr="00C9040A">
              <w:rPr>
                <w:rtl/>
              </w:rPr>
              <w:t xml:space="preserve"> في « بر » : « وا</w:t>
            </w:r>
            <w:r>
              <w:rPr>
                <w:rFonts w:hint="cs"/>
                <w:rtl/>
              </w:rPr>
              <w:t>ُ</w:t>
            </w:r>
            <w:r w:rsidRPr="00C9040A">
              <w:rPr>
                <w:rtl/>
              </w:rPr>
              <w:t>ونسك »</w:t>
            </w:r>
            <w:r>
              <w:rPr>
                <w:rtl/>
              </w:rPr>
              <w:t>.</w:t>
            </w:r>
          </w:p>
        </w:tc>
      </w:tr>
    </w:tbl>
    <w:p w:rsidR="008A74EB" w:rsidRPr="00C9040A" w:rsidRDefault="006C577F" w:rsidP="001B2898">
      <w:pPr>
        <w:pStyle w:val="libFootnote0"/>
        <w:rPr>
          <w:rtl/>
          <w:lang w:bidi="fa-IR"/>
        </w:rPr>
      </w:pPr>
      <w:r>
        <w:rPr>
          <w:rtl/>
        </w:rPr>
        <w:t>(12).</w:t>
      </w:r>
      <w:r w:rsidR="008A74EB" w:rsidRPr="00C9040A">
        <w:rPr>
          <w:rtl/>
        </w:rPr>
        <w:t xml:space="preserve"> </w:t>
      </w:r>
      <w:r w:rsidR="008A74EB" w:rsidRPr="00993B55">
        <w:rPr>
          <w:rStyle w:val="libFootnoteBoldChar"/>
          <w:rtl/>
        </w:rPr>
        <w:t>المؤمن</w:t>
      </w:r>
      <w:r w:rsidR="008A74EB" w:rsidRPr="00C9040A">
        <w:rPr>
          <w:rtl/>
        </w:rPr>
        <w:t xml:space="preserve"> ، ص 55 ، ح 142 ، عن أبان بن تغلب</w:t>
      </w:r>
      <w:r w:rsidR="001B2898">
        <w:rPr>
          <w:rFonts w:hint="cs"/>
          <w:rtl/>
        </w:rPr>
        <w:t>.</w:t>
      </w:r>
      <w:r w:rsidR="008A74EB" w:rsidRPr="00993B55">
        <w:rPr>
          <w:rStyle w:val="libFootnoteBoldChar"/>
          <w:rtl/>
        </w:rPr>
        <w:t>الوافي</w:t>
      </w:r>
      <w:r w:rsidR="008A74EB" w:rsidRPr="00C9040A">
        <w:rPr>
          <w:rtl/>
        </w:rPr>
        <w:t xml:space="preserve"> ، ج 5 ، ص 655 ، ح 2804 ؛ </w:t>
      </w:r>
      <w:r w:rsidR="008A74EB" w:rsidRPr="00993B55">
        <w:rPr>
          <w:rStyle w:val="libFootnoteBoldChar"/>
          <w:rtl/>
        </w:rPr>
        <w:t>الوسائل</w:t>
      </w:r>
      <w:r w:rsidR="008A74EB" w:rsidRPr="00C9040A">
        <w:rPr>
          <w:rtl/>
        </w:rPr>
        <w:t xml:space="preserve"> ، ج 16 ، ص 353 ، ح 21745 ؛ </w:t>
      </w:r>
      <w:r w:rsidR="008A74EB" w:rsidRPr="00993B55">
        <w:rPr>
          <w:rStyle w:val="libFootnoteBoldChar"/>
          <w:rtl/>
        </w:rPr>
        <w:t>البحار</w:t>
      </w:r>
      <w:r w:rsidR="008A74EB" w:rsidRPr="00C9040A">
        <w:rPr>
          <w:rtl/>
        </w:rPr>
        <w:t xml:space="preserve"> ، ج 74 ، ص 295 ، ح 23.</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عَطِيَّةَ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w:t>
      </w:r>
      <w:r w:rsidR="006C577F" w:rsidRPr="006C577F">
        <w:rPr>
          <w:rStyle w:val="libFootnotenumChar"/>
          <w:rtl/>
        </w:rPr>
        <w:t>(1)</w:t>
      </w:r>
      <w:r w:rsidRPr="00C9040A">
        <w:rPr>
          <w:rtl/>
          <w:lang w:bidi="fa-IR"/>
        </w:rPr>
        <w:t xml:space="preserve"> : أَحَبُّ الْأَعْمَالِ إِلَى اللهِ سُرُورٌ </w:t>
      </w:r>
      <w:r w:rsidR="006C577F" w:rsidRPr="006C577F">
        <w:rPr>
          <w:rStyle w:val="libFootnotenumChar"/>
          <w:rtl/>
        </w:rPr>
        <w:t>(2)</w:t>
      </w:r>
      <w:r w:rsidRPr="00C9040A">
        <w:rPr>
          <w:rtl/>
          <w:lang w:bidi="fa-IR"/>
        </w:rPr>
        <w:t xml:space="preserve"> تُدْخِلُهُ عَلَى الْمُؤْمِنِ </w:t>
      </w:r>
      <w:r w:rsidR="006C577F" w:rsidRPr="006C577F">
        <w:rPr>
          <w:rStyle w:val="libFootnotenumChar"/>
          <w:rtl/>
        </w:rPr>
        <w:t>(3)</w:t>
      </w:r>
      <w:r w:rsidRPr="00C9040A">
        <w:rPr>
          <w:rtl/>
          <w:lang w:bidi="fa-IR"/>
        </w:rPr>
        <w:t xml:space="preserve"> : تَطْرُدُ عَنْهُ جَوْعَتَهُ ، أَوْ </w:t>
      </w:r>
      <w:r w:rsidR="006C577F" w:rsidRPr="006C577F">
        <w:rPr>
          <w:rStyle w:val="libFootnotenumChar"/>
          <w:rtl/>
        </w:rPr>
        <w:t>(4)</w:t>
      </w:r>
      <w:r w:rsidRPr="00C9040A">
        <w:rPr>
          <w:rtl/>
          <w:lang w:bidi="fa-IR"/>
        </w:rPr>
        <w:t xml:space="preserve"> تَكْشِفُ عَنْهُ كُرْبَتَهُ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4B0890">
        <w:rPr>
          <w:rtl/>
        </w:rPr>
        <w:t>2139</w:t>
      </w:r>
      <w:r w:rsidRPr="00261CB0">
        <w:rPr>
          <w:rStyle w:val="libBold2Char"/>
          <w:rtl/>
        </w:rPr>
        <w:t xml:space="preserve"> / 12.</w:t>
      </w:r>
      <w:r w:rsidRPr="00C9040A">
        <w:rPr>
          <w:rtl/>
          <w:lang w:bidi="fa-IR"/>
        </w:rPr>
        <w:t xml:space="preserve"> عَلِيُّ بْنُ إِبْرَاهِيمَ ، عَنْ أَبِيهِ ، عَنِ ابْنِ أَبِي عُمَيْرٍ ، عَنِ الْحَكَمِ بْنِ مِسْكِينٍ :</w:t>
      </w:r>
    </w:p>
    <w:p w:rsidR="008A74EB" w:rsidRPr="00C9040A" w:rsidRDefault="008A74EB" w:rsidP="001B2898">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مَنْ أَدْخَلَ عَلى مُؤْمِنٍ سُرُوراً ، خَلَقَ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مِنْ ذلِكَ السُّرُورِ خَلْقاً ، فَيَلْقَاهُ </w:t>
      </w:r>
      <w:r w:rsidR="006C577F" w:rsidRPr="006C577F">
        <w:rPr>
          <w:rStyle w:val="libFootnotenumChar"/>
          <w:rtl/>
        </w:rPr>
        <w:t>(6)</w:t>
      </w:r>
      <w:r w:rsidR="001B2898" w:rsidRPr="00C9040A">
        <w:rPr>
          <w:rtl/>
          <w:lang w:bidi="fa-IR"/>
        </w:rPr>
        <w:t xml:space="preserve"> </w:t>
      </w:r>
      <w:r w:rsidRPr="00C9040A">
        <w:rPr>
          <w:rtl/>
          <w:lang w:bidi="fa-IR"/>
        </w:rPr>
        <w:t xml:space="preserve">عِنْدَ مَوْتِهِ ، فَيَقُولُ لَهُ : أَبْشِرْ يَا وَلِيَّ اللهِ بِكَرَامَةٍ مِنَ اللهِ وَرِضْوَانٍ </w:t>
      </w:r>
      <w:r w:rsidR="006C577F" w:rsidRPr="006C577F">
        <w:rPr>
          <w:rStyle w:val="libFootnotenumChar"/>
          <w:rtl/>
        </w:rPr>
        <w:t>(7)</w:t>
      </w:r>
      <w:r w:rsidRPr="00C9040A">
        <w:rPr>
          <w:rtl/>
          <w:lang w:bidi="fa-IR"/>
        </w:rPr>
        <w:t xml:space="preserve"> ، ثُمَّ لَايَزَالُ مَعَهُ </w:t>
      </w:r>
      <w:r w:rsidR="006C577F" w:rsidRPr="006C577F">
        <w:rPr>
          <w:rStyle w:val="libFootnotenumChar"/>
          <w:rtl/>
        </w:rPr>
        <w:t>(8)</w:t>
      </w:r>
      <w:r w:rsidRPr="00C9040A">
        <w:rPr>
          <w:rtl/>
          <w:lang w:bidi="fa-IR"/>
        </w:rPr>
        <w:t xml:space="preserve"> حَتّى يَدْخُلَهُ </w:t>
      </w:r>
      <w:r w:rsidR="006C577F" w:rsidRPr="006C577F">
        <w:rPr>
          <w:rStyle w:val="libFootnotenumChar"/>
          <w:rtl/>
        </w:rPr>
        <w:t>(9)</w:t>
      </w:r>
      <w:r w:rsidRPr="00C9040A">
        <w:rPr>
          <w:rtl/>
          <w:lang w:bidi="fa-IR"/>
        </w:rPr>
        <w:t xml:space="preserve"> قَبْرَهُ </w:t>
      </w:r>
      <w:r w:rsidR="006C577F" w:rsidRPr="006C577F">
        <w:rPr>
          <w:rStyle w:val="libFootnotenumChar"/>
          <w:rtl/>
        </w:rPr>
        <w:t>(10)</w:t>
      </w:r>
      <w:r w:rsidRPr="00C9040A">
        <w:rPr>
          <w:rtl/>
          <w:lang w:bidi="fa-IR"/>
        </w:rPr>
        <w:t xml:space="preserve"> ، فَيَقُولُ لَهُ مِثْلَ ذلِكَ ، فَإِذَا بُعِثَ يَلْقَاهُ </w:t>
      </w:r>
      <w:r w:rsidR="006C577F" w:rsidRPr="006C577F">
        <w:rPr>
          <w:rStyle w:val="libFootnotenumChar"/>
          <w:rtl/>
        </w:rPr>
        <w:t>(11)</w:t>
      </w:r>
      <w:r w:rsidRPr="00C9040A">
        <w:rPr>
          <w:rtl/>
          <w:lang w:bidi="fa-IR"/>
        </w:rPr>
        <w:t xml:space="preserve"> ، فَيَقُولُ لَهُ مِثْلَ ذلِكَ ، ثُمَّ لَايَزَالُ مَعَهُ عِنْدَ كُلِّ هَوْلٍ ، يُبَشِّرُهُ </w:t>
      </w:r>
      <w:r w:rsidR="006C577F" w:rsidRPr="006C577F">
        <w:rPr>
          <w:rStyle w:val="libFootnotenumChar"/>
          <w:rtl/>
        </w:rPr>
        <w:t>(12)</w:t>
      </w:r>
      <w:r w:rsidRPr="00C9040A">
        <w:rPr>
          <w:rtl/>
          <w:lang w:bidi="fa-IR"/>
        </w:rPr>
        <w:t xml:space="preserve"> ، وَيَقُولُ </w:t>
      </w:r>
      <w:r w:rsidRPr="005B567D">
        <w:rPr>
          <w:rStyle w:val="libFootnotenumChar"/>
          <w:rtl/>
        </w:rPr>
        <w:t>(13)</w:t>
      </w:r>
      <w:r w:rsidRPr="00C9040A">
        <w:rPr>
          <w:rtl/>
          <w:lang w:bidi="fa-IR"/>
        </w:rPr>
        <w:t xml:space="preserve"> لَهُ مِثْلَ ذلِكَ ، فَيَقُولُ لَهُ : مَنْ أَنْتَ رَحِمَكَ </w:t>
      </w:r>
      <w:r w:rsidRPr="005B567D">
        <w:rPr>
          <w:rStyle w:val="libFootnotenumChar"/>
          <w:rtl/>
        </w:rPr>
        <w:t>(14)</w:t>
      </w:r>
      <w:r w:rsidRPr="00C9040A">
        <w:rPr>
          <w:rtl/>
          <w:lang w:bidi="fa-IR"/>
        </w:rPr>
        <w:t xml:space="preserve"> اللهُ</w:t>
      </w:r>
      <w:r>
        <w:rPr>
          <w:rtl/>
          <w:lang w:bidi="fa-IR"/>
        </w:rPr>
        <w:t>؟</w:t>
      </w:r>
      <w:r w:rsidRPr="00C9040A">
        <w:rPr>
          <w:rtl/>
          <w:lang w:bidi="fa-IR"/>
        </w:rPr>
        <w:t xml:space="preserve"> فَيَقُولُ </w:t>
      </w:r>
      <w:r w:rsidRPr="005B567D">
        <w:rPr>
          <w:rStyle w:val="libFootnotenumChar"/>
          <w:rtl/>
        </w:rPr>
        <w:t>(15)</w:t>
      </w:r>
      <w:r w:rsidRPr="00C9040A">
        <w:rPr>
          <w:rtl/>
          <w:lang w:bidi="fa-IR"/>
        </w:rPr>
        <w:t xml:space="preserve"> : أَنَا السُّرُورُ الَّذِي أَدْخَلْتَهُ عَلى فُلَانٍ »</w:t>
      </w:r>
      <w:r>
        <w:rPr>
          <w:rtl/>
          <w:lang w:bidi="fa-IR"/>
        </w:rPr>
        <w:t>.</w:t>
      </w:r>
      <w:r w:rsidRPr="00C9040A">
        <w:rPr>
          <w:rtl/>
          <w:lang w:bidi="fa-IR"/>
        </w:rPr>
        <w:t xml:space="preserve"> </w:t>
      </w:r>
      <w:r w:rsidRPr="005B567D">
        <w:rPr>
          <w:rStyle w:val="libFootnotenumChar"/>
          <w:rtl/>
        </w:rPr>
        <w:t>(16)</w:t>
      </w:r>
      <w:r w:rsidRPr="00C9040A">
        <w:rPr>
          <w:rtl/>
          <w:lang w:bidi="fa-IR"/>
        </w:rPr>
        <w:t xml:space="preserve"> ‌</w:t>
      </w:r>
    </w:p>
    <w:p w:rsidR="008A74EB" w:rsidRPr="00C9040A" w:rsidRDefault="008A74EB" w:rsidP="008A74EB">
      <w:pPr>
        <w:pStyle w:val="libNormal"/>
        <w:rPr>
          <w:rtl/>
          <w:lang w:bidi="fa-IR"/>
        </w:rPr>
      </w:pPr>
      <w:r w:rsidRPr="004B0890">
        <w:rPr>
          <w:rtl/>
        </w:rPr>
        <w:t>2140</w:t>
      </w:r>
      <w:r w:rsidRPr="00261CB0">
        <w:rPr>
          <w:rStyle w:val="libBold2Char"/>
          <w:rtl/>
        </w:rPr>
        <w:t xml:space="preserve"> / 13.</w:t>
      </w:r>
      <w:r w:rsidRPr="00C9040A">
        <w:rPr>
          <w:rtl/>
          <w:lang w:bidi="fa-IR"/>
        </w:rPr>
        <w:t xml:space="preserve"> الْحُسَيْنُ بْنُ مُحَمَّدٍ ، عَنْ أَحْمَدَ بْنِ إِسْحَاقَ ، عَنْ سَعْدَانَ بْنِ مُسْلِمٍ ، عَنْ‌</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ف » : + « إنّ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هكذا في النسخ التي قوبلت والوافي والوسائل والبحار. وفي المطبوع : + « [ الذي ]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ب ، ج ، ص ، ض ، بر ، بس ، بف » والوافي والوسائل والبحار : « مؤمن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ب ، ج ، د » والوسائل : « </w:t>
      </w:r>
      <w:r w:rsidR="008A74EB">
        <w:rPr>
          <w:rtl/>
        </w:rPr>
        <w:t>و »</w:t>
      </w:r>
      <w:r w:rsidR="008A74EB" w:rsidRPr="00C9040A">
        <w:rPr>
          <w:rtl/>
        </w:rPr>
        <w:t xml:space="preserve"> بدل « أو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الوافي</w:t>
      </w:r>
      <w:r w:rsidR="008A74EB" w:rsidRPr="00C9040A">
        <w:rPr>
          <w:rtl/>
        </w:rPr>
        <w:t xml:space="preserve"> ، ج 5 ، ص 656 ، ح 2805 ؛ </w:t>
      </w:r>
      <w:r w:rsidR="008A74EB" w:rsidRPr="00993B55">
        <w:rPr>
          <w:rStyle w:val="libFootnoteBoldChar"/>
          <w:rtl/>
        </w:rPr>
        <w:t>الوسائل</w:t>
      </w:r>
      <w:r w:rsidR="008A74EB" w:rsidRPr="00C9040A">
        <w:rPr>
          <w:rtl/>
        </w:rPr>
        <w:t xml:space="preserve"> ، ج 16 ، ص 353 ، ح 21744 ؛ </w:t>
      </w:r>
      <w:r w:rsidR="008A74EB" w:rsidRPr="00993B55">
        <w:rPr>
          <w:rStyle w:val="libFootnoteBoldChar"/>
          <w:rtl/>
        </w:rPr>
        <w:t>البحار</w:t>
      </w:r>
      <w:r w:rsidR="008A74EB" w:rsidRPr="00C9040A">
        <w:rPr>
          <w:rtl/>
        </w:rPr>
        <w:t xml:space="preserve"> ، ج 74 ، ص 295 ، ح 24.</w:t>
      </w:r>
    </w:p>
    <w:tbl>
      <w:tblPr>
        <w:tblStyle w:val="TableGrid"/>
        <w:bidiVisual/>
        <w:tblW w:w="0" w:type="auto"/>
        <w:tblLook w:val="04A0" w:firstRow="1" w:lastRow="0" w:firstColumn="1" w:lastColumn="0" w:noHBand="0" w:noVBand="1"/>
      </w:tblPr>
      <w:tblGrid>
        <w:gridCol w:w="4006"/>
        <w:gridCol w:w="4006"/>
      </w:tblGrid>
      <w:tr w:rsidR="001B10B6" w:rsidTr="001B10B6">
        <w:tc>
          <w:tcPr>
            <w:tcW w:w="4006" w:type="dxa"/>
          </w:tcPr>
          <w:p w:rsidR="001B10B6" w:rsidRDefault="001B10B6" w:rsidP="004A4E41">
            <w:pPr>
              <w:pStyle w:val="libFootnote0"/>
              <w:rPr>
                <w:rtl/>
              </w:rPr>
            </w:pPr>
            <w:r>
              <w:rPr>
                <w:rtl/>
              </w:rPr>
              <w:t xml:space="preserve">(6). </w:t>
            </w:r>
            <w:r w:rsidRPr="00C9040A">
              <w:rPr>
                <w:rtl/>
              </w:rPr>
              <w:t>في البحار : « فيتلقّاه »</w:t>
            </w:r>
            <w:r>
              <w:rPr>
                <w:rtl/>
              </w:rPr>
              <w:t>.</w:t>
            </w:r>
          </w:p>
        </w:tc>
        <w:tc>
          <w:tcPr>
            <w:tcW w:w="4006" w:type="dxa"/>
          </w:tcPr>
          <w:p w:rsidR="001B10B6" w:rsidRDefault="001B10B6" w:rsidP="004A4E41">
            <w:pPr>
              <w:pStyle w:val="libFootnote0"/>
              <w:rPr>
                <w:rtl/>
              </w:rPr>
            </w:pPr>
            <w:r>
              <w:rPr>
                <w:rtl/>
              </w:rPr>
              <w:t>(7).</w:t>
            </w:r>
            <w:r w:rsidRPr="00C9040A">
              <w:rPr>
                <w:rtl/>
              </w:rPr>
              <w:t xml:space="preserve"> في المؤمن : + « منه »</w:t>
            </w:r>
            <w:r>
              <w:rPr>
                <w:rtl/>
              </w:rPr>
              <w:t>.</w:t>
            </w:r>
          </w:p>
        </w:tc>
      </w:tr>
      <w:tr w:rsidR="001B10B6" w:rsidTr="001B10B6">
        <w:tc>
          <w:tcPr>
            <w:tcW w:w="4006" w:type="dxa"/>
          </w:tcPr>
          <w:p w:rsidR="001B10B6" w:rsidRDefault="001B10B6" w:rsidP="004A4E41">
            <w:pPr>
              <w:pStyle w:val="libFootnote0"/>
              <w:rPr>
                <w:rtl/>
              </w:rPr>
            </w:pPr>
            <w:r>
              <w:rPr>
                <w:rtl/>
              </w:rPr>
              <w:t>(8).</w:t>
            </w:r>
            <w:r w:rsidRPr="00C9040A">
              <w:rPr>
                <w:rtl/>
              </w:rPr>
              <w:t xml:space="preserve"> في « ف » : + « عند كلّ هول »</w:t>
            </w:r>
            <w:r>
              <w:rPr>
                <w:rtl/>
              </w:rPr>
              <w:t>.</w:t>
            </w:r>
          </w:p>
        </w:tc>
        <w:tc>
          <w:tcPr>
            <w:tcW w:w="4006" w:type="dxa"/>
          </w:tcPr>
          <w:p w:rsidR="001B10B6" w:rsidRDefault="001B10B6" w:rsidP="004A4E41">
            <w:pPr>
              <w:pStyle w:val="libFootnote0"/>
              <w:rPr>
                <w:rtl/>
              </w:rPr>
            </w:pPr>
            <w:r>
              <w:rPr>
                <w:rtl/>
              </w:rPr>
              <w:t>(9).</w:t>
            </w:r>
            <w:r w:rsidRPr="00C9040A">
              <w:rPr>
                <w:rtl/>
              </w:rPr>
              <w:t xml:space="preserve"> في المؤمن : « يدخل »</w:t>
            </w:r>
            <w:r>
              <w:rPr>
                <w:rtl/>
              </w:rPr>
              <w:t>.</w:t>
            </w:r>
          </w:p>
        </w:tc>
      </w:tr>
    </w:tbl>
    <w:p w:rsidR="008A74EB" w:rsidRPr="00C9040A" w:rsidRDefault="006C577F" w:rsidP="004A4E41">
      <w:pPr>
        <w:pStyle w:val="libFootnote0"/>
        <w:rPr>
          <w:rtl/>
          <w:lang w:bidi="fa-IR"/>
        </w:rPr>
      </w:pPr>
      <w:r>
        <w:rPr>
          <w:rtl/>
        </w:rPr>
        <w:t>(10).</w:t>
      </w:r>
      <w:r w:rsidR="008A74EB" w:rsidRPr="00C9040A">
        <w:rPr>
          <w:rtl/>
        </w:rPr>
        <w:t xml:space="preserve"> هكذا في النسخ التي قوبلت والوافي والوسائل والبحار والمؤمن. وفي المطبوع : + « [ يلقاه ] »</w:t>
      </w:r>
      <w:r w:rsidR="008A74EB">
        <w:rPr>
          <w:rtl/>
        </w:rPr>
        <w:t>.</w:t>
      </w:r>
    </w:p>
    <w:tbl>
      <w:tblPr>
        <w:tblStyle w:val="TableGrid"/>
        <w:bidiVisual/>
        <w:tblW w:w="0" w:type="auto"/>
        <w:tblLook w:val="04A0" w:firstRow="1" w:lastRow="0" w:firstColumn="1" w:lastColumn="0" w:noHBand="0" w:noVBand="1"/>
      </w:tblPr>
      <w:tblGrid>
        <w:gridCol w:w="4006"/>
        <w:gridCol w:w="4006"/>
      </w:tblGrid>
      <w:tr w:rsidR="00D26EA2" w:rsidTr="00D26EA2">
        <w:tc>
          <w:tcPr>
            <w:tcW w:w="4006" w:type="dxa"/>
          </w:tcPr>
          <w:p w:rsidR="00D26EA2" w:rsidRDefault="00D26EA2" w:rsidP="004A4E41">
            <w:pPr>
              <w:pStyle w:val="libFootnote0"/>
              <w:rPr>
                <w:rtl/>
              </w:rPr>
            </w:pPr>
            <w:r>
              <w:rPr>
                <w:rtl/>
              </w:rPr>
              <w:t>(11).</w:t>
            </w:r>
            <w:r w:rsidRPr="00C9040A">
              <w:rPr>
                <w:rtl/>
              </w:rPr>
              <w:t xml:space="preserve"> في الوسائل والبحار والمؤمن : « تلقاه »</w:t>
            </w:r>
            <w:r>
              <w:rPr>
                <w:rtl/>
              </w:rPr>
              <w:t>.</w:t>
            </w:r>
          </w:p>
        </w:tc>
        <w:tc>
          <w:tcPr>
            <w:tcW w:w="4006" w:type="dxa"/>
          </w:tcPr>
          <w:p w:rsidR="00D26EA2" w:rsidRDefault="00D26EA2" w:rsidP="004A4E41">
            <w:pPr>
              <w:pStyle w:val="libFootnote0"/>
              <w:rPr>
                <w:rtl/>
              </w:rPr>
            </w:pPr>
            <w:r>
              <w:rPr>
                <w:rtl/>
              </w:rPr>
              <w:t>(12).</w:t>
            </w:r>
            <w:r w:rsidRPr="00C9040A">
              <w:rPr>
                <w:rtl/>
              </w:rPr>
              <w:t xml:space="preserve"> في « بر » : « ويبشّره »</w:t>
            </w:r>
            <w:r>
              <w:rPr>
                <w:rtl/>
              </w:rPr>
              <w:t>.</w:t>
            </w:r>
          </w:p>
        </w:tc>
      </w:tr>
      <w:tr w:rsidR="00D26EA2" w:rsidTr="00D26EA2">
        <w:tc>
          <w:tcPr>
            <w:tcW w:w="4006" w:type="dxa"/>
          </w:tcPr>
          <w:p w:rsidR="00D26EA2" w:rsidRDefault="00D26EA2" w:rsidP="004A4E41">
            <w:pPr>
              <w:pStyle w:val="libFootnote0"/>
              <w:rPr>
                <w:rtl/>
              </w:rPr>
            </w:pPr>
            <w:r>
              <w:rPr>
                <w:rtl/>
              </w:rPr>
              <w:t>(13)</w:t>
            </w:r>
            <w:r w:rsidRPr="00C9040A">
              <w:rPr>
                <w:rtl/>
              </w:rPr>
              <w:t xml:space="preserve"> في « بر » : « فيقول »</w:t>
            </w:r>
            <w:r>
              <w:rPr>
                <w:rtl/>
              </w:rPr>
              <w:t>.</w:t>
            </w:r>
          </w:p>
        </w:tc>
        <w:tc>
          <w:tcPr>
            <w:tcW w:w="4006" w:type="dxa"/>
          </w:tcPr>
          <w:p w:rsidR="00D26EA2" w:rsidRDefault="00D26EA2" w:rsidP="004A4E41">
            <w:pPr>
              <w:pStyle w:val="libFootnote0"/>
              <w:rPr>
                <w:rtl/>
              </w:rPr>
            </w:pPr>
            <w:r>
              <w:rPr>
                <w:rtl/>
              </w:rPr>
              <w:t>(14)</w:t>
            </w:r>
            <w:r w:rsidR="00F6303C">
              <w:rPr>
                <w:rtl/>
              </w:rPr>
              <w:t xml:space="preserve"> في «ب ، ز ، ص ،ض</w:t>
            </w:r>
            <w:r w:rsidRPr="00C9040A">
              <w:rPr>
                <w:rtl/>
              </w:rPr>
              <w:t>» والوسائل : « يرحمك »</w:t>
            </w:r>
            <w:r>
              <w:rPr>
                <w:rtl/>
              </w:rPr>
              <w:t>.</w:t>
            </w:r>
          </w:p>
        </w:tc>
      </w:tr>
    </w:tbl>
    <w:p w:rsidR="008A74EB" w:rsidRPr="00C9040A" w:rsidRDefault="008A74EB" w:rsidP="004A4E41">
      <w:pPr>
        <w:pStyle w:val="libFootnote0"/>
        <w:rPr>
          <w:rtl/>
          <w:lang w:bidi="fa-IR"/>
        </w:rPr>
      </w:pPr>
      <w:r>
        <w:rPr>
          <w:rtl/>
        </w:rPr>
        <w:t>(15)</w:t>
      </w:r>
      <w:r w:rsidRPr="00C9040A">
        <w:rPr>
          <w:rtl/>
        </w:rPr>
        <w:t xml:space="preserve"> في « ض » والوافي : + « له »</w:t>
      </w:r>
      <w:r>
        <w:rPr>
          <w:rtl/>
        </w:rPr>
        <w:t>.</w:t>
      </w:r>
    </w:p>
    <w:p w:rsidR="008A74EB" w:rsidRPr="00C9040A" w:rsidRDefault="008A74EB" w:rsidP="00D26EA2">
      <w:pPr>
        <w:pStyle w:val="libFootnote0"/>
        <w:rPr>
          <w:rtl/>
          <w:lang w:bidi="fa-IR"/>
        </w:rPr>
      </w:pPr>
      <w:r>
        <w:rPr>
          <w:rtl/>
        </w:rPr>
        <w:t>(16)</w:t>
      </w:r>
      <w:r w:rsidRPr="00C9040A">
        <w:rPr>
          <w:rtl/>
        </w:rPr>
        <w:t xml:space="preserve"> </w:t>
      </w:r>
      <w:r w:rsidRPr="00993B55">
        <w:rPr>
          <w:rStyle w:val="libFootnoteBoldChar"/>
          <w:rtl/>
        </w:rPr>
        <w:t>المؤمن</w:t>
      </w:r>
      <w:r w:rsidRPr="00C9040A">
        <w:rPr>
          <w:rtl/>
        </w:rPr>
        <w:t xml:space="preserve"> ، ص 51 ، ح 126 ، عن أبي عبدالله </w:t>
      </w:r>
      <w:r w:rsidR="00117575" w:rsidRPr="00117575">
        <w:rPr>
          <w:rStyle w:val="libFootnoteAlaemChar"/>
          <w:rtl/>
        </w:rPr>
        <w:t xml:space="preserve">عليه‌السلام </w:t>
      </w:r>
      <w:r w:rsidRPr="00C9040A">
        <w:rPr>
          <w:rtl/>
        </w:rPr>
        <w:t xml:space="preserve">. </w:t>
      </w:r>
      <w:r w:rsidRPr="00993B55">
        <w:rPr>
          <w:rStyle w:val="libFootnoteBoldChar"/>
          <w:rtl/>
        </w:rPr>
        <w:t>ثواب الأعمال</w:t>
      </w:r>
      <w:r w:rsidRPr="00C9040A">
        <w:rPr>
          <w:rtl/>
        </w:rPr>
        <w:t xml:space="preserve"> ، ص 179 ، ح 1 ، بسند آخر عن لوط بن إسحاق ، عن أبيه ، عن جدّه ، عن رسول الله </w:t>
      </w:r>
      <w:r w:rsidR="004A4E41" w:rsidRPr="00AB34E9">
        <w:rPr>
          <w:rStyle w:val="libFootnoteAlaemChar"/>
          <w:rtl/>
        </w:rPr>
        <w:t>صلى‌الله‌عليه‌وآله</w:t>
      </w:r>
      <w:r w:rsidRPr="00C9040A">
        <w:rPr>
          <w:rtl/>
        </w:rPr>
        <w:t xml:space="preserve"> ؛ </w:t>
      </w:r>
      <w:r w:rsidRPr="00993B55">
        <w:rPr>
          <w:rStyle w:val="libFootnoteBoldChar"/>
          <w:rtl/>
        </w:rPr>
        <w:t>مصادقة الإخوان</w:t>
      </w:r>
      <w:r w:rsidRPr="00C9040A">
        <w:rPr>
          <w:rtl/>
        </w:rPr>
        <w:t xml:space="preserve"> ، ص 60 ، ح 5 ، مرسلاً عن لوط بن إسحاق ، عن أبي عبد الله ، عن آبائه </w:t>
      </w:r>
      <w:r w:rsidR="00117575" w:rsidRPr="00117575">
        <w:rPr>
          <w:rStyle w:val="libFootnoteAlaemChar"/>
          <w:rtl/>
        </w:rPr>
        <w:t>عليهم‌السلام</w:t>
      </w:r>
      <w:r w:rsidRPr="00C9040A">
        <w:rPr>
          <w:rtl/>
        </w:rPr>
        <w:t xml:space="preserve"> عن رسول الله </w:t>
      </w:r>
      <w:r w:rsidR="004A4E41" w:rsidRPr="00AB34E9">
        <w:rPr>
          <w:rStyle w:val="libFootnoteAlaemChar"/>
          <w:rtl/>
        </w:rPr>
        <w:t>صلى‌الله‌عليه‌وآله</w:t>
      </w:r>
      <w:r w:rsidRPr="00C9040A">
        <w:rPr>
          <w:rtl/>
        </w:rPr>
        <w:t xml:space="preserve"> ، وفيهما مع اختلاف يسير</w:t>
      </w:r>
      <w:r w:rsidR="00D26EA2">
        <w:rPr>
          <w:rFonts w:hint="cs"/>
          <w:rtl/>
        </w:rPr>
        <w:t>.</w:t>
      </w:r>
      <w:r w:rsidRPr="00993B55">
        <w:rPr>
          <w:rStyle w:val="libFootnoteBoldChar"/>
          <w:rtl/>
        </w:rPr>
        <w:t>الوافي</w:t>
      </w:r>
      <w:r w:rsidRPr="00C9040A">
        <w:rPr>
          <w:rtl/>
        </w:rPr>
        <w:t xml:space="preserve"> ، ج 5 ، ص 656 ، ح 2806 ؛ </w:t>
      </w:r>
      <w:r w:rsidRPr="00993B55">
        <w:rPr>
          <w:rStyle w:val="libFootnoteBoldChar"/>
          <w:rtl/>
        </w:rPr>
        <w:t>الوسائل</w:t>
      </w:r>
      <w:r w:rsidRPr="00C9040A">
        <w:rPr>
          <w:rtl/>
        </w:rPr>
        <w:t xml:space="preserve"> ، ج 16 ، ص 351 ، ح 21741 ؛ </w:t>
      </w:r>
      <w:r w:rsidRPr="00993B55">
        <w:rPr>
          <w:rStyle w:val="libFootnoteBoldChar"/>
          <w:rtl/>
        </w:rPr>
        <w:t>البحار</w:t>
      </w:r>
      <w:r w:rsidRPr="00C9040A">
        <w:rPr>
          <w:rtl/>
        </w:rPr>
        <w:t xml:space="preserve"> ، ج 74 ، ص 296 ، ح 25.</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عَبْدِ اللهِ بْنِ سِنَانٍ ، قَالَ :</w:t>
      </w:r>
    </w:p>
    <w:p w:rsidR="008A74EB" w:rsidRPr="00C9040A" w:rsidRDefault="008A74EB" w:rsidP="008A74EB">
      <w:pPr>
        <w:pStyle w:val="libNormal"/>
        <w:rPr>
          <w:rtl/>
          <w:lang w:bidi="fa-IR"/>
        </w:rPr>
      </w:pPr>
      <w:r w:rsidRPr="00C9040A">
        <w:rPr>
          <w:rtl/>
          <w:lang w:bidi="fa-IR"/>
        </w:rPr>
        <w:t xml:space="preserve">كَانَ </w:t>
      </w:r>
      <w:r w:rsidR="006C577F" w:rsidRPr="006C577F">
        <w:rPr>
          <w:rStyle w:val="libFootnotenumChar"/>
          <w:rtl/>
        </w:rPr>
        <w:t>(1)</w:t>
      </w:r>
      <w:r w:rsidRPr="00C9040A">
        <w:rPr>
          <w:rtl/>
          <w:lang w:bidi="fa-IR"/>
        </w:rPr>
        <w:t xml:space="preserve"> رَجُلٌ عِنْدَ أَبِي عَبْدِ اللهِ </w:t>
      </w:r>
      <w:r w:rsidRPr="0003660B">
        <w:rPr>
          <w:rStyle w:val="libAlaemChar"/>
          <w:rtl/>
        </w:rPr>
        <w:t>عليه‌السلام</w:t>
      </w:r>
      <w:r w:rsidRPr="00C9040A">
        <w:rPr>
          <w:rtl/>
          <w:lang w:bidi="fa-IR"/>
        </w:rPr>
        <w:t xml:space="preserve"> ، فَقَرَأَ هذِهِ الْآيَةَ : </w:t>
      </w:r>
      <w:r w:rsidRPr="0003660B">
        <w:rPr>
          <w:rStyle w:val="libAlaemChar"/>
          <w:rtl/>
        </w:rPr>
        <w:t>(</w:t>
      </w:r>
      <w:r w:rsidRPr="006A2246">
        <w:rPr>
          <w:rStyle w:val="libAieChar"/>
          <w:rtl/>
        </w:rPr>
        <w:t xml:space="preserve"> وَ</w:t>
      </w:r>
      <w:r>
        <w:rPr>
          <w:rFonts w:hint="cs"/>
          <w:rtl/>
        </w:rPr>
        <w:t xml:space="preserve"> </w:t>
      </w:r>
      <w:r w:rsidR="006C577F" w:rsidRPr="006C577F">
        <w:rPr>
          <w:rStyle w:val="libFootnotenumChar"/>
          <w:rtl/>
        </w:rPr>
        <w:t>(2)</w:t>
      </w:r>
      <w:r>
        <w:rPr>
          <w:rFonts w:hint="cs"/>
          <w:rtl/>
        </w:rPr>
        <w:t xml:space="preserve"> </w:t>
      </w:r>
      <w:r w:rsidRPr="006A2246">
        <w:rPr>
          <w:rStyle w:val="libAieChar"/>
          <w:rtl/>
        </w:rPr>
        <w:t xml:space="preserve">الَّذِينَ يُؤْذُونَ الْمُؤْمِنِينَ وَالْمُؤْمِناتِ بِغَيْرِ مَا اكْتَسَبُوا فَقَدِ احْتَمَلُوا بُهْتاناً وَإِثْماً مُبِيناً </w:t>
      </w:r>
      <w:r w:rsidRPr="0003660B">
        <w:rPr>
          <w:rStyle w:val="libAlaemChar"/>
          <w:rtl/>
        </w:rPr>
        <w:t>)</w:t>
      </w:r>
      <w:r w:rsidRPr="00C9040A">
        <w:rPr>
          <w:rtl/>
          <w:lang w:bidi="fa-IR"/>
        </w:rPr>
        <w:t xml:space="preserve"> </w:t>
      </w:r>
      <w:r w:rsidR="006C577F" w:rsidRPr="006C577F">
        <w:rPr>
          <w:rStyle w:val="libFootnotenumChar"/>
          <w:rtl/>
        </w:rPr>
        <w:t>(3)</w:t>
      </w:r>
      <w:r w:rsidRPr="00C9040A">
        <w:rPr>
          <w:rtl/>
          <w:lang w:bidi="fa-IR"/>
        </w:rPr>
        <w:t xml:space="preserve"> قَالَ : فَقَالَ أَبُو عَبْدِ اللهِ </w:t>
      </w:r>
      <w:r w:rsidRPr="0003660B">
        <w:rPr>
          <w:rStyle w:val="libAlaemChar"/>
          <w:rtl/>
        </w:rPr>
        <w:t>عليه‌السلام</w:t>
      </w:r>
      <w:r w:rsidRPr="00C9040A">
        <w:rPr>
          <w:rtl/>
          <w:lang w:bidi="fa-IR"/>
        </w:rPr>
        <w:t xml:space="preserve"> : « فَمَا ثَوَابُ مَنْ أَدْخَلَ عَلَيْهِ السُّرُورَ</w:t>
      </w:r>
      <w:r>
        <w:rPr>
          <w:rtl/>
          <w:lang w:bidi="fa-IR"/>
        </w:rPr>
        <w:t>؟</w:t>
      </w:r>
      <w:r w:rsidRPr="00C9040A">
        <w:rPr>
          <w:rtl/>
          <w:lang w:bidi="fa-IR"/>
        </w:rPr>
        <w:t xml:space="preserve"> » فَقُلْتُ : جُعِلْتُ فِدَاكَ ، عَشْرُ حَسَنَاتٍ ، قَالَ </w:t>
      </w:r>
      <w:r w:rsidR="006C577F" w:rsidRPr="006C577F">
        <w:rPr>
          <w:rStyle w:val="libFootnotenumChar"/>
          <w:rtl/>
        </w:rPr>
        <w:t>(4)</w:t>
      </w:r>
      <w:r w:rsidRPr="00C9040A">
        <w:rPr>
          <w:rtl/>
          <w:lang w:bidi="fa-IR"/>
        </w:rPr>
        <w:t xml:space="preserve"> : « إِي وَاللهِ ، وَأَلْفُ أَلْفِ </w:t>
      </w:r>
      <w:r w:rsidR="006C577F" w:rsidRPr="006C577F">
        <w:rPr>
          <w:rStyle w:val="libFootnotenumChar"/>
          <w:rtl/>
        </w:rPr>
        <w:t>(5)</w:t>
      </w:r>
      <w:r w:rsidRPr="00C9040A">
        <w:rPr>
          <w:rtl/>
          <w:lang w:bidi="fa-IR"/>
        </w:rPr>
        <w:t xml:space="preserve"> حَسَنَةٍ »</w:t>
      </w:r>
      <w:r>
        <w:rPr>
          <w:rtl/>
          <w:lang w:bidi="fa-IR"/>
        </w:rPr>
        <w:t>.</w:t>
      </w:r>
      <w:r w:rsidRPr="00C9040A">
        <w:rPr>
          <w:rtl/>
          <w:lang w:bidi="fa-IR"/>
        </w:rPr>
        <w:t xml:space="preserve"> </w:t>
      </w:r>
      <w:r w:rsidR="006C577F" w:rsidRPr="006C577F">
        <w:rPr>
          <w:rStyle w:val="libFootnotenumChar"/>
          <w:rtl/>
        </w:rPr>
        <w:t>(6)</w:t>
      </w:r>
    </w:p>
    <w:p w:rsidR="008A74EB" w:rsidRPr="00C9040A" w:rsidRDefault="008A74EB" w:rsidP="008A74EB">
      <w:pPr>
        <w:pStyle w:val="libNormal"/>
        <w:rPr>
          <w:rtl/>
          <w:lang w:bidi="fa-IR"/>
        </w:rPr>
      </w:pPr>
      <w:r w:rsidRPr="004B0890">
        <w:rPr>
          <w:rtl/>
        </w:rPr>
        <w:t>2141</w:t>
      </w:r>
      <w:r w:rsidRPr="00261CB0">
        <w:rPr>
          <w:rStyle w:val="libBold2Char"/>
          <w:rtl/>
        </w:rPr>
        <w:t xml:space="preserve"> / 14.</w:t>
      </w:r>
      <w:r w:rsidRPr="00C9040A">
        <w:rPr>
          <w:rtl/>
          <w:lang w:bidi="fa-IR"/>
        </w:rPr>
        <w:t xml:space="preserve"> عِدَّةٌ مِنْ أَصْحَابِنَا ، عَنْ سَهْلِ بْنِ زِيَادٍ ، عَنْ مُحَمَّدِ بْنِ أُورَمَةَ ، عَنْ عَلِيِّ بْنِ يَحْيى ، عَنِ </w:t>
      </w:r>
      <w:r w:rsidR="006C577F" w:rsidRPr="006C577F">
        <w:rPr>
          <w:rStyle w:val="libFootnotenumChar"/>
          <w:rtl/>
        </w:rPr>
        <w:t>(7)</w:t>
      </w:r>
      <w:r w:rsidRPr="00C9040A">
        <w:rPr>
          <w:rtl/>
          <w:lang w:bidi="fa-IR"/>
        </w:rPr>
        <w:t xml:space="preserve"> الْوَلِيدِ بْنِ الْعَلَاءِ ، عَنِ ابْنِ سِنَانٍ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مَنْ أَدْخَلَ السُّرُورَ عَلى مُؤْمِنٍ </w:t>
      </w:r>
      <w:r w:rsidR="006C577F" w:rsidRPr="006C577F">
        <w:rPr>
          <w:rStyle w:val="libFootnotenumChar"/>
          <w:rtl/>
        </w:rPr>
        <w:t>(8)</w:t>
      </w:r>
      <w:r w:rsidRPr="00C9040A">
        <w:rPr>
          <w:rtl/>
          <w:lang w:bidi="fa-IR"/>
        </w:rPr>
        <w:t xml:space="preserve"> ، فَقَدْ أَدْخَلَهُ عَلى رَسُولِ اللهِ </w:t>
      </w:r>
      <w:r w:rsidR="004A4E41" w:rsidRPr="004A4E41">
        <w:rPr>
          <w:rStyle w:val="libAlaemChar"/>
          <w:rtl/>
        </w:rPr>
        <w:t>صلى‌الله‌عليه‌وآله</w:t>
      </w:r>
      <w:r w:rsidRPr="00C9040A">
        <w:rPr>
          <w:rtl/>
          <w:lang w:bidi="fa-IR"/>
        </w:rPr>
        <w:t xml:space="preserve"> ؛ وَمَنْ أَدْخَلَهُ عَلى رَسُولِ اللهِ </w:t>
      </w:r>
      <w:r w:rsidR="004A4E41" w:rsidRPr="004A4E41">
        <w:rPr>
          <w:rStyle w:val="libAlaemChar"/>
          <w:rtl/>
        </w:rPr>
        <w:t>صلى‌الله‌عليه‌وآله</w:t>
      </w:r>
      <w:r w:rsidRPr="00C9040A">
        <w:rPr>
          <w:rtl/>
          <w:lang w:bidi="fa-IR"/>
        </w:rPr>
        <w:t xml:space="preserve"> ، فَقَدْ وَصَلَ ذلِكَ </w:t>
      </w:r>
      <w:r w:rsidR="006C577F" w:rsidRPr="006C577F">
        <w:rPr>
          <w:rStyle w:val="libFootnotenumChar"/>
          <w:rtl/>
        </w:rPr>
        <w:t>(9)</w:t>
      </w:r>
      <w:r w:rsidRPr="00C9040A">
        <w:rPr>
          <w:rtl/>
          <w:lang w:bidi="fa-IR"/>
        </w:rPr>
        <w:t xml:space="preserve"> إِلَى اللهِ ، وَكَذلِكَ مَنْ أَدْخَلَ عَلَيْهِ كَرْباً </w:t>
      </w:r>
      <w:r w:rsidR="006C577F" w:rsidRPr="006C577F">
        <w:rPr>
          <w:rStyle w:val="libFootnotenumChar"/>
          <w:rtl/>
        </w:rPr>
        <w:t>(10)</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(11)</w:t>
      </w:r>
      <w:r w:rsidRPr="00C9040A">
        <w:rPr>
          <w:rtl/>
          <w:lang w:bidi="fa-IR"/>
        </w:rPr>
        <w:t>‌</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575DB9" w:rsidTr="00575DB9">
        <w:tc>
          <w:tcPr>
            <w:tcW w:w="4006" w:type="dxa"/>
          </w:tcPr>
          <w:p w:rsidR="00575DB9" w:rsidRDefault="00575DB9" w:rsidP="004A4E41">
            <w:pPr>
              <w:pStyle w:val="libFootnote0"/>
              <w:rPr>
                <w:rtl/>
              </w:rPr>
            </w:pPr>
            <w:r>
              <w:rPr>
                <w:rtl/>
              </w:rPr>
              <w:t xml:space="preserve">(1). </w:t>
            </w:r>
            <w:r w:rsidRPr="00C9040A">
              <w:rPr>
                <w:rtl/>
              </w:rPr>
              <w:t xml:space="preserve">في « ب » </w:t>
            </w:r>
            <w:r>
              <w:rPr>
                <w:rtl/>
              </w:rPr>
              <w:t>: -</w:t>
            </w:r>
            <w:r w:rsidRPr="00C9040A">
              <w:rPr>
                <w:rtl/>
              </w:rPr>
              <w:t xml:space="preserve"> « كان »</w:t>
            </w:r>
            <w:r>
              <w:rPr>
                <w:rtl/>
              </w:rPr>
              <w:t>.</w:t>
            </w:r>
          </w:p>
        </w:tc>
        <w:tc>
          <w:tcPr>
            <w:tcW w:w="4006" w:type="dxa"/>
          </w:tcPr>
          <w:p w:rsidR="00575DB9" w:rsidRDefault="00575DB9" w:rsidP="004A4E41">
            <w:pPr>
              <w:pStyle w:val="libFootnote0"/>
              <w:rPr>
                <w:rtl/>
              </w:rPr>
            </w:pPr>
            <w:r>
              <w:rPr>
                <w:rtl/>
              </w:rPr>
              <w:t xml:space="preserve">(2). </w:t>
            </w:r>
            <w:r w:rsidRPr="00C9040A">
              <w:rPr>
                <w:rtl/>
              </w:rPr>
              <w:t xml:space="preserve">في « ص » </w:t>
            </w:r>
            <w:r>
              <w:rPr>
                <w:rtl/>
              </w:rPr>
              <w:t>: -</w:t>
            </w:r>
            <w:r w:rsidRPr="00C9040A">
              <w:rPr>
                <w:rtl/>
              </w:rPr>
              <w:t xml:space="preserve"> « </w:t>
            </w:r>
            <w:r>
              <w:rPr>
                <w:rtl/>
              </w:rPr>
              <w:t>و ».</w:t>
            </w:r>
          </w:p>
        </w:tc>
      </w:tr>
    </w:tbl>
    <w:p w:rsidR="008A74EB" w:rsidRPr="00C9040A" w:rsidRDefault="006C577F" w:rsidP="004A4E41">
      <w:pPr>
        <w:pStyle w:val="libFootnote0"/>
        <w:rPr>
          <w:rtl/>
          <w:lang w:bidi="fa-IR"/>
        </w:rPr>
      </w:pPr>
      <w:r>
        <w:rPr>
          <w:rtl/>
        </w:rPr>
        <w:t>(3).</w:t>
      </w:r>
      <w:r w:rsidR="008A74EB" w:rsidRPr="00C9040A">
        <w:rPr>
          <w:rtl/>
        </w:rPr>
        <w:t xml:space="preserve"> الأحزاب (33) : 58.</w:t>
      </w:r>
    </w:p>
    <w:p w:rsidR="008A74EB" w:rsidRPr="00C9040A" w:rsidRDefault="006C577F" w:rsidP="004A4E41">
      <w:pPr>
        <w:pStyle w:val="libFootnote0"/>
        <w:rPr>
          <w:rtl/>
          <w:lang w:bidi="fa-IR"/>
        </w:rPr>
      </w:pPr>
      <w:r>
        <w:rPr>
          <w:rtl/>
        </w:rPr>
        <w:t>(4).</w:t>
      </w:r>
      <w:r w:rsidR="008A74EB" w:rsidRPr="00C9040A">
        <w:rPr>
          <w:rtl/>
        </w:rPr>
        <w:t xml:space="preserve"> هكذا في النسخ التي قوبلت والوسائل والبحار. وفي المطبوع : « فقال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قال في </w:t>
      </w:r>
      <w:r w:rsidR="008A74EB" w:rsidRPr="00993B55">
        <w:rPr>
          <w:rStyle w:val="libFootnoteBoldChar"/>
          <w:rtl/>
        </w:rPr>
        <w:t>مرآة العقول</w:t>
      </w:r>
      <w:r w:rsidR="008A74EB" w:rsidRPr="00C9040A">
        <w:rPr>
          <w:rtl/>
        </w:rPr>
        <w:t xml:space="preserve"> ، ج 9 ، ص 100 : « حكم السائل بالعشر لقوله تعالى : </w:t>
      </w:r>
      <w:r w:rsidR="008A74EB" w:rsidRPr="003E2F6C">
        <w:rPr>
          <w:rStyle w:val="libFootnoteAlaemChar"/>
          <w:rtl/>
        </w:rPr>
        <w:t>(</w:t>
      </w:r>
      <w:r w:rsidR="008A74EB" w:rsidRPr="00883DD5">
        <w:rPr>
          <w:rStyle w:val="libFootnoteAieChar"/>
          <w:rFonts w:hint="cs"/>
          <w:rtl/>
        </w:rPr>
        <w:t xml:space="preserve"> </w:t>
      </w:r>
      <w:r w:rsidR="008A74EB" w:rsidRPr="00883DD5">
        <w:rPr>
          <w:rStyle w:val="libFootnoteAieChar"/>
          <w:rtl/>
        </w:rPr>
        <w:t>مَنْ جاءَ بِالْحَسَنَةِ فَلَهُ عَشْرُ أَمْثالِها</w:t>
      </w:r>
      <w:r w:rsidR="008A74EB" w:rsidRPr="00883DD5">
        <w:rPr>
          <w:rStyle w:val="libFootnoteAieChar"/>
          <w:rFonts w:hint="cs"/>
          <w:rtl/>
        </w:rPr>
        <w:t xml:space="preserve"> </w:t>
      </w:r>
      <w:r w:rsidR="008A74EB" w:rsidRPr="003E2F6C">
        <w:rPr>
          <w:rStyle w:val="libFootnoteAlaemChar"/>
          <w:rtl/>
        </w:rPr>
        <w:t>)</w:t>
      </w:r>
      <w:r w:rsidR="008A74EB" w:rsidRPr="00C9040A">
        <w:rPr>
          <w:rtl/>
        </w:rPr>
        <w:t xml:space="preserve"> [ الأنعام </w:t>
      </w:r>
      <w:r w:rsidR="003E2F6C">
        <w:rPr>
          <w:rtl/>
        </w:rPr>
        <w:t>(6)</w:t>
      </w:r>
      <w:r w:rsidR="008A74EB">
        <w:rPr>
          <w:rtl/>
        </w:rPr>
        <w:t xml:space="preserve"> </w:t>
      </w:r>
      <w:r w:rsidR="008A74EB" w:rsidRPr="00C9040A">
        <w:rPr>
          <w:rtl/>
        </w:rPr>
        <w:t xml:space="preserve">: 160 ] وتصديقه </w:t>
      </w:r>
      <w:r w:rsidR="00117575" w:rsidRPr="00117575">
        <w:rPr>
          <w:rStyle w:val="libFootnoteAlaemChar"/>
          <w:rtl/>
        </w:rPr>
        <w:t>عليه‌السلام</w:t>
      </w:r>
      <w:r w:rsidR="008A74EB" w:rsidRPr="00C9040A">
        <w:rPr>
          <w:rtl/>
        </w:rPr>
        <w:t xml:space="preserve"> إمّا مبنيّ على أنّ العشر حاصل في ضمن ألف ألف ، أو على أنّ أقلّ مراتبه ذلك ويرتقي بحسب الإخلاص ومراتب السرور إلى ألف ألف ؛ لقوله تعالى : </w:t>
      </w:r>
      <w:r w:rsidR="008A74EB" w:rsidRPr="003E2F6C">
        <w:rPr>
          <w:rStyle w:val="libFootnoteAlaemChar"/>
          <w:rtl/>
        </w:rPr>
        <w:t>(</w:t>
      </w:r>
      <w:r w:rsidR="008A74EB" w:rsidRPr="00883DD5">
        <w:rPr>
          <w:rStyle w:val="libFootnoteAieChar"/>
          <w:rFonts w:hint="cs"/>
          <w:rtl/>
        </w:rPr>
        <w:t xml:space="preserve"> </w:t>
      </w:r>
      <w:r w:rsidR="008A74EB" w:rsidRPr="00883DD5">
        <w:rPr>
          <w:rStyle w:val="libFootnoteAieChar"/>
          <w:rtl/>
        </w:rPr>
        <w:t>وَاللهُ يُضاعِفُ لِمَنْ يَشاءُ</w:t>
      </w:r>
      <w:r w:rsidR="008A74EB" w:rsidRPr="00883DD5">
        <w:rPr>
          <w:rStyle w:val="libFootnoteAieChar"/>
          <w:rFonts w:hint="cs"/>
          <w:rtl/>
        </w:rPr>
        <w:t xml:space="preserve"> </w:t>
      </w:r>
      <w:r w:rsidR="008A74EB" w:rsidRPr="003E2F6C">
        <w:rPr>
          <w:rStyle w:val="libFootnoteAlaemChar"/>
          <w:rtl/>
        </w:rPr>
        <w:t>)</w:t>
      </w:r>
      <w:r w:rsidR="008A74EB" w:rsidRPr="00C9040A">
        <w:rPr>
          <w:rtl/>
        </w:rPr>
        <w:t xml:space="preserve"> [ البقرة </w:t>
      </w:r>
      <w:r w:rsidR="003E2F6C">
        <w:rPr>
          <w:rtl/>
        </w:rPr>
        <w:t>(2)</w:t>
      </w:r>
      <w:r w:rsidR="008A74EB" w:rsidRPr="00C9040A">
        <w:rPr>
          <w:rtl/>
        </w:rPr>
        <w:t xml:space="preserve"> : 261 ] »</w:t>
      </w:r>
      <w:r w:rsidR="008A74EB">
        <w:rPr>
          <w:rtl/>
        </w:rPr>
        <w:t>.</w:t>
      </w:r>
      <w:r w:rsidR="008A74EB" w:rsidRPr="00C9040A">
        <w:rPr>
          <w:rtl/>
        </w:rPr>
        <w:t xml:space="preserve"> وراجع أيضاً : </w:t>
      </w:r>
      <w:r w:rsidR="008A74EB" w:rsidRPr="00993B55">
        <w:rPr>
          <w:rStyle w:val="libFootnoteBoldChar"/>
          <w:rtl/>
        </w:rPr>
        <w:t>شرح المازندراني</w:t>
      </w:r>
      <w:r w:rsidR="008A74EB" w:rsidRPr="00C9040A">
        <w:rPr>
          <w:rtl/>
        </w:rPr>
        <w:t xml:space="preserve"> ، ج 9 ، ص 72.</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الوافي</w:t>
      </w:r>
      <w:r w:rsidR="008A74EB" w:rsidRPr="00C9040A">
        <w:rPr>
          <w:rtl/>
        </w:rPr>
        <w:t xml:space="preserve"> ، ج 5 ، ص 657 ، ح 2807 ؛ </w:t>
      </w:r>
      <w:r w:rsidR="008A74EB" w:rsidRPr="00993B55">
        <w:rPr>
          <w:rStyle w:val="libFootnoteBoldChar"/>
          <w:rtl/>
        </w:rPr>
        <w:t>الوسائل</w:t>
      </w:r>
      <w:r w:rsidR="008A74EB" w:rsidRPr="00C9040A">
        <w:rPr>
          <w:rtl/>
        </w:rPr>
        <w:t xml:space="preserve"> ، ج 16 ، ص 354 ، ح 21746 ؛ </w:t>
      </w:r>
      <w:r w:rsidR="008A74EB" w:rsidRPr="00993B55">
        <w:rPr>
          <w:rStyle w:val="libFootnoteBoldChar"/>
          <w:rtl/>
        </w:rPr>
        <w:t>البحار</w:t>
      </w:r>
      <w:r w:rsidR="008A74EB" w:rsidRPr="00C9040A">
        <w:rPr>
          <w:rtl/>
        </w:rPr>
        <w:t xml:space="preserve"> ، ج 74 ، ص 296 ، ح 26.</w:t>
      </w:r>
    </w:p>
    <w:tbl>
      <w:tblPr>
        <w:tblStyle w:val="TableGrid"/>
        <w:bidiVisual/>
        <w:tblW w:w="0" w:type="auto"/>
        <w:tblLook w:val="04A0" w:firstRow="1" w:lastRow="0" w:firstColumn="1" w:lastColumn="0" w:noHBand="0" w:noVBand="1"/>
      </w:tblPr>
      <w:tblGrid>
        <w:gridCol w:w="4006"/>
        <w:gridCol w:w="4006"/>
      </w:tblGrid>
      <w:tr w:rsidR="003E2F6C" w:rsidTr="003E2F6C">
        <w:tc>
          <w:tcPr>
            <w:tcW w:w="4006" w:type="dxa"/>
          </w:tcPr>
          <w:p w:rsidR="003E2F6C" w:rsidRDefault="003E2F6C" w:rsidP="004A4E41">
            <w:pPr>
              <w:pStyle w:val="libFootnote0"/>
              <w:rPr>
                <w:rtl/>
              </w:rPr>
            </w:pPr>
            <w:r>
              <w:rPr>
                <w:rtl/>
              </w:rPr>
              <w:t>(7).</w:t>
            </w:r>
            <w:r w:rsidRPr="00C9040A">
              <w:rPr>
                <w:rtl/>
              </w:rPr>
              <w:t xml:space="preserve"> في حاشية « ز » : « بن »</w:t>
            </w:r>
            <w:r>
              <w:rPr>
                <w:rtl/>
              </w:rPr>
              <w:t>.</w:t>
            </w:r>
          </w:p>
        </w:tc>
        <w:tc>
          <w:tcPr>
            <w:tcW w:w="4006" w:type="dxa"/>
          </w:tcPr>
          <w:p w:rsidR="003E2F6C" w:rsidRDefault="003E2F6C" w:rsidP="004A4E41">
            <w:pPr>
              <w:pStyle w:val="libFootnote0"/>
              <w:rPr>
                <w:rtl/>
              </w:rPr>
            </w:pPr>
            <w:r>
              <w:rPr>
                <w:rtl/>
              </w:rPr>
              <w:t>(8).</w:t>
            </w:r>
            <w:r w:rsidRPr="00C9040A">
              <w:rPr>
                <w:rtl/>
              </w:rPr>
              <w:t xml:space="preserve"> في « ز » : « المؤمن »</w:t>
            </w:r>
            <w:r>
              <w:rPr>
                <w:rtl/>
              </w:rPr>
              <w:t>.</w:t>
            </w:r>
          </w:p>
        </w:tc>
      </w:tr>
    </w:tbl>
    <w:p w:rsidR="008A74EB" w:rsidRPr="00C9040A" w:rsidRDefault="006C577F" w:rsidP="004A4E41">
      <w:pPr>
        <w:pStyle w:val="libFootnote0"/>
        <w:rPr>
          <w:rtl/>
          <w:lang w:bidi="fa-IR"/>
        </w:rPr>
      </w:pPr>
      <w:r>
        <w:rPr>
          <w:rtl/>
        </w:rPr>
        <w:t>(9).</w:t>
      </w:r>
      <w:r w:rsidR="008A74EB" w:rsidRPr="00C9040A">
        <w:rPr>
          <w:rtl/>
        </w:rPr>
        <w:t xml:space="preserve"> في </w:t>
      </w:r>
      <w:r w:rsidR="008A74EB" w:rsidRPr="00993B55">
        <w:rPr>
          <w:rStyle w:val="libFootnoteBoldChar"/>
          <w:rtl/>
        </w:rPr>
        <w:t>مرآة العقول</w:t>
      </w:r>
      <w:r w:rsidR="008A74EB" w:rsidRPr="00C9040A">
        <w:rPr>
          <w:rtl/>
        </w:rPr>
        <w:t xml:space="preserve"> : « فقد وصل ذلك ، أي السرور مجازاً ، كما مرّ. أو على بناء التفعيل ، فضمير الفاعل راجع إلى‌المدخل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 الكُرْبة » : الغمّ الذي يأخذ النفس. وكذلك الكَرْب. تقول منه : كَرَبه الغمّ ، إذا اشتدّ عليه. </w:t>
      </w:r>
      <w:r w:rsidR="008A74EB" w:rsidRPr="00993B55">
        <w:rPr>
          <w:rStyle w:val="libFootnoteBoldChar"/>
          <w:rtl/>
        </w:rPr>
        <w:t>الصحاح</w:t>
      </w:r>
      <w:r w:rsidR="008A74EB" w:rsidRPr="00C9040A">
        <w:rPr>
          <w:rtl/>
        </w:rPr>
        <w:t xml:space="preserve"> ، ج 1 ، ص 211 ( كرب )</w:t>
      </w:r>
      <w:r w:rsidR="008A74EB">
        <w:rPr>
          <w:rtl/>
        </w:rPr>
        <w:t>.</w:t>
      </w:r>
    </w:p>
    <w:p w:rsidR="008A74EB" w:rsidRPr="00C9040A" w:rsidRDefault="006C577F" w:rsidP="00EB2B50">
      <w:pPr>
        <w:pStyle w:val="libFootnote0"/>
        <w:rPr>
          <w:rtl/>
          <w:lang w:bidi="fa-IR"/>
        </w:rPr>
      </w:pPr>
      <w:r>
        <w:rPr>
          <w:rtl/>
        </w:rPr>
        <w:t>(11).</w:t>
      </w:r>
      <w:r w:rsidR="008A74EB" w:rsidRPr="00C9040A">
        <w:rPr>
          <w:rtl/>
        </w:rPr>
        <w:t xml:space="preserve"> </w:t>
      </w:r>
      <w:r w:rsidR="008A74EB" w:rsidRPr="00993B55">
        <w:rPr>
          <w:rStyle w:val="libFootnoteBoldChar"/>
          <w:rtl/>
        </w:rPr>
        <w:t>المؤمن</w:t>
      </w:r>
      <w:r w:rsidR="008A74EB" w:rsidRPr="00C9040A">
        <w:rPr>
          <w:rtl/>
        </w:rPr>
        <w:t xml:space="preserve"> ، ص 68 ، ح 183 ، عن أبي عبدالله </w:t>
      </w:r>
      <w:r w:rsidR="00117575" w:rsidRPr="00117575">
        <w:rPr>
          <w:rStyle w:val="libFootnoteAlaemChar"/>
          <w:rtl/>
        </w:rPr>
        <w:t>عليه‌السلام</w:t>
      </w:r>
      <w:r w:rsidR="00EB2B50">
        <w:rPr>
          <w:rFonts w:hint="cs"/>
          <w:rtl/>
        </w:rPr>
        <w:t>.</w:t>
      </w:r>
      <w:r w:rsidR="008A74EB" w:rsidRPr="00993B55">
        <w:rPr>
          <w:rStyle w:val="libFootnoteBoldChar"/>
          <w:rtl/>
        </w:rPr>
        <w:t>الوافي</w:t>
      </w:r>
      <w:r w:rsidR="008A74EB" w:rsidRPr="00C9040A">
        <w:rPr>
          <w:rtl/>
        </w:rPr>
        <w:t xml:space="preserve"> ، ج 5 ، ص 657 ، ح 2808 ؛ </w:t>
      </w:r>
      <w:r w:rsidR="008A74EB" w:rsidRPr="00993B55">
        <w:rPr>
          <w:rStyle w:val="libFootnoteBoldChar"/>
          <w:rtl/>
        </w:rPr>
        <w:t>الوسائل</w:t>
      </w:r>
      <w:r w:rsidR="008A74EB" w:rsidRPr="00C9040A">
        <w:rPr>
          <w:rtl/>
        </w:rPr>
        <w:t xml:space="preserve"> ، ج 16 ، ص 350 ، ح 21736 ؛ </w:t>
      </w:r>
      <w:r w:rsidR="008A74EB" w:rsidRPr="00993B55">
        <w:rPr>
          <w:rStyle w:val="libFootnoteBoldChar"/>
          <w:rtl/>
        </w:rPr>
        <w:t>البحار</w:t>
      </w:r>
      <w:r w:rsidR="008A74EB" w:rsidRPr="00C9040A">
        <w:rPr>
          <w:rtl/>
        </w:rPr>
        <w:t xml:space="preserve"> ، ج 74 ، ص 297 ، ح 27.</w:t>
      </w:r>
    </w:p>
    <w:p w:rsidR="004B7F34" w:rsidRDefault="004B7F34" w:rsidP="004B7F34">
      <w:pPr>
        <w:pStyle w:val="libNormal"/>
        <w:rPr>
          <w:rtl/>
          <w:lang w:bidi="fa-IR"/>
        </w:rPr>
      </w:pPr>
      <w:r>
        <w:rPr>
          <w:rtl/>
          <w:lang w:bidi="fa-IR"/>
        </w:rPr>
        <w:br w:type="page"/>
      </w:r>
    </w:p>
    <w:p w:rsidR="008A74EB" w:rsidRPr="00C9040A" w:rsidRDefault="008A74EB" w:rsidP="00633FC5">
      <w:pPr>
        <w:pStyle w:val="libNormal"/>
        <w:rPr>
          <w:rtl/>
          <w:lang w:bidi="fa-IR"/>
        </w:rPr>
      </w:pPr>
      <w:r w:rsidRPr="004B0890">
        <w:rPr>
          <w:rtl/>
        </w:rPr>
        <w:t>2142</w:t>
      </w:r>
      <w:r w:rsidRPr="00261CB0">
        <w:rPr>
          <w:rStyle w:val="libBold2Char"/>
          <w:rtl/>
        </w:rPr>
        <w:t xml:space="preserve"> / 15.</w:t>
      </w:r>
      <w:r w:rsidRPr="00C9040A">
        <w:rPr>
          <w:rtl/>
          <w:lang w:bidi="fa-IR"/>
        </w:rPr>
        <w:t xml:space="preserve"> عَنْهُ </w:t>
      </w:r>
      <w:r w:rsidR="006C577F" w:rsidRPr="006C577F">
        <w:rPr>
          <w:rStyle w:val="libFootnotenumChar"/>
          <w:rtl/>
        </w:rPr>
        <w:t>(1)</w:t>
      </w:r>
      <w:r w:rsidRPr="00C9040A">
        <w:rPr>
          <w:rtl/>
          <w:lang w:bidi="fa-IR"/>
        </w:rPr>
        <w:t xml:space="preserve"> ، عَنْ إِسْمَاعِيلَ بْنِ مَنْصُورٍ ، عَنِ الْمُفَضَّلِ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أَيُّمَا مُسْلِمٍ لَقِيَ مُسْلِماً فَسَرَّهُ ، سَرَّهُ </w:t>
      </w:r>
      <w:r w:rsidR="006C577F" w:rsidRPr="006C577F">
        <w:rPr>
          <w:rStyle w:val="libFootnotenumChar"/>
          <w:rtl/>
        </w:rPr>
        <w:t>(2)</w:t>
      </w:r>
      <w:r w:rsidRPr="00C9040A">
        <w:rPr>
          <w:rtl/>
          <w:lang w:bidi="fa-IR"/>
        </w:rPr>
        <w:t xml:space="preserve"> اللهُ عَزَّ وَجَلَّ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4B0890">
        <w:rPr>
          <w:rtl/>
        </w:rPr>
        <w:t>2143</w:t>
      </w:r>
      <w:r w:rsidRPr="00261CB0">
        <w:rPr>
          <w:rStyle w:val="libBold2Char"/>
          <w:rtl/>
        </w:rPr>
        <w:t xml:space="preserve"> / 16.</w:t>
      </w:r>
      <w:r w:rsidRPr="00C9040A">
        <w:rPr>
          <w:rtl/>
          <w:lang w:bidi="fa-IR"/>
        </w:rPr>
        <w:t xml:space="preserve"> عَلِيُّ بْنُ إِبْرَاهِيمَ ، عَنْ أَبِيهِ ، عَنِ ابْنِ أَبِي عُمَيْرٍ ، عَنْ هِشَامِ بْنِ الْحَكَمِ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مِنْ أَحَبِّ الْأَعْمَالِ إِلَى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إِدْخَالُ السُّرُورِ عَلَى الْمُؤْمِنِ : إِشْبَاعُ جَوْعَتِهِ ، أَوْ </w:t>
      </w:r>
      <w:r w:rsidR="006C577F" w:rsidRPr="006C577F">
        <w:rPr>
          <w:rStyle w:val="libFootnotenumChar"/>
          <w:rtl/>
        </w:rPr>
        <w:t>(4)</w:t>
      </w:r>
      <w:r w:rsidRPr="00C9040A">
        <w:rPr>
          <w:rtl/>
          <w:lang w:bidi="fa-IR"/>
        </w:rPr>
        <w:t xml:space="preserve"> تَنْفِيسُ كُرْبَتِهِ ، أَوْ </w:t>
      </w:r>
      <w:r w:rsidR="006C577F" w:rsidRPr="006C577F">
        <w:rPr>
          <w:rStyle w:val="libFootnotenumChar"/>
          <w:rtl/>
        </w:rPr>
        <w:t>(5)</w:t>
      </w:r>
      <w:r w:rsidRPr="00C9040A">
        <w:rPr>
          <w:rtl/>
          <w:lang w:bidi="fa-IR"/>
        </w:rPr>
        <w:t xml:space="preserve"> قَضَاءُ دَيْنِهِ »</w:t>
      </w:r>
      <w:r>
        <w:rPr>
          <w:rtl/>
          <w:lang w:bidi="fa-IR"/>
        </w:rPr>
        <w:t>.</w:t>
      </w:r>
      <w:r w:rsidRPr="00C9040A">
        <w:rPr>
          <w:rtl/>
          <w:lang w:bidi="fa-IR"/>
        </w:rPr>
        <w:t xml:space="preserve"> </w:t>
      </w:r>
      <w:r w:rsidR="006C577F" w:rsidRPr="006C577F">
        <w:rPr>
          <w:rStyle w:val="libFootnotenumChar"/>
          <w:rtl/>
        </w:rPr>
        <w:t>(6)</w:t>
      </w:r>
      <w:r w:rsidRPr="00C9040A">
        <w:rPr>
          <w:rtl/>
          <w:lang w:bidi="fa-IR"/>
        </w:rPr>
        <w:t>‌</w:t>
      </w:r>
    </w:p>
    <w:p w:rsidR="008A74EB" w:rsidRPr="00C9040A" w:rsidRDefault="008A74EB" w:rsidP="008A74EB">
      <w:pPr>
        <w:pStyle w:val="Heading2Center"/>
        <w:rPr>
          <w:rtl/>
          <w:lang w:bidi="fa-IR"/>
        </w:rPr>
      </w:pPr>
      <w:bookmarkStart w:id="259" w:name="_Toc343795674"/>
      <w:bookmarkStart w:id="260" w:name="_Toc459810798"/>
      <w:bookmarkStart w:id="261" w:name="_Toc35348704"/>
      <w:r w:rsidRPr="00C9040A">
        <w:rPr>
          <w:rtl/>
          <w:lang w:bidi="fa-IR"/>
        </w:rPr>
        <w:t>83</w:t>
      </w:r>
      <w:r>
        <w:rPr>
          <w:rtl/>
          <w:lang w:bidi="fa-IR"/>
        </w:rPr>
        <w:t xml:space="preserve"> </w:t>
      </w:r>
      <w:r w:rsidR="0084262C">
        <w:rPr>
          <w:rtl/>
          <w:lang w:bidi="fa-IR"/>
        </w:rPr>
        <w:t>-</w:t>
      </w:r>
      <w:r>
        <w:rPr>
          <w:rtl/>
          <w:lang w:bidi="fa-IR"/>
        </w:rPr>
        <w:t xml:space="preserve"> </w:t>
      </w:r>
      <w:r w:rsidRPr="00C9040A">
        <w:rPr>
          <w:rtl/>
          <w:lang w:bidi="fa-IR"/>
        </w:rPr>
        <w:t>بَابُ قَضَاءِ حَاجَةِ الْمُؤْمِنِ‌</w:t>
      </w:r>
      <w:bookmarkEnd w:id="259"/>
      <w:bookmarkEnd w:id="260"/>
      <w:bookmarkEnd w:id="261"/>
    </w:p>
    <w:p w:rsidR="008A74EB" w:rsidRPr="00C9040A" w:rsidRDefault="008A74EB" w:rsidP="008A74EB">
      <w:pPr>
        <w:pStyle w:val="libNormal"/>
        <w:rPr>
          <w:rtl/>
          <w:lang w:bidi="fa-IR"/>
        </w:rPr>
      </w:pPr>
      <w:r w:rsidRPr="004B0890">
        <w:rPr>
          <w:rtl/>
        </w:rPr>
        <w:t>2144</w:t>
      </w:r>
      <w:r w:rsidRPr="00261CB0">
        <w:rPr>
          <w:rStyle w:val="libBold2Char"/>
          <w:rtl/>
        </w:rPr>
        <w:t xml:space="preserve"> / 1.</w:t>
      </w:r>
      <w:r w:rsidRPr="00C9040A">
        <w:rPr>
          <w:rtl/>
          <w:lang w:bidi="fa-IR"/>
        </w:rPr>
        <w:t xml:space="preserve"> مُحَمَّدُ بْنُ يَحْيى ، عَنْ أَحْمَدَ بْنِ مُحَمَّدِ بْنِ عِيسى ، عَنِ الْحَسَنِ بْنِ عَلِيٍّ ، عَنْ بَكَّارِ بْنِ كَرْدَمٍ ، عَنِ الْمُفَضَّلِ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w:t>
      </w:r>
      <w:r w:rsidR="006C577F" w:rsidRPr="006C577F">
        <w:rPr>
          <w:rStyle w:val="libFootnotenumChar"/>
          <w:rtl/>
        </w:rPr>
        <w:t>(7)</w:t>
      </w:r>
      <w:r w:rsidRPr="00C9040A">
        <w:rPr>
          <w:rtl/>
          <w:lang w:bidi="fa-IR"/>
        </w:rPr>
        <w:t xml:space="preserve"> : قَالَ لِي : « يَا مُفَضَّلُ ، اسْمَعْ مَا أَقُولُ لَكَ ، وَاعْلَمْ أَنَّهُ‌</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الظاهر رجوع الضمير إلى سهل بن زياد المذكور في ا</w:t>
      </w:r>
      <w:r w:rsidR="00497494">
        <w:rPr>
          <w:rtl/>
        </w:rPr>
        <w:t>لسند المتقدّم ، كما أرجعه العل</w:t>
      </w:r>
      <w:r w:rsidR="00497494">
        <w:rPr>
          <w:rFonts w:hint="cs"/>
          <w:rtl/>
        </w:rPr>
        <w:t>ّ</w:t>
      </w:r>
      <w:r w:rsidR="00497494">
        <w:rPr>
          <w:rtl/>
        </w:rPr>
        <w:t>ا</w:t>
      </w:r>
      <w:r w:rsidR="008A74EB" w:rsidRPr="00C9040A">
        <w:rPr>
          <w:rtl/>
        </w:rPr>
        <w:t xml:space="preserve">مة المجلسي في </w:t>
      </w:r>
      <w:r w:rsidR="008A74EB" w:rsidRPr="00993B55">
        <w:rPr>
          <w:rStyle w:val="libFootnoteBoldChar"/>
          <w:rtl/>
        </w:rPr>
        <w:t>البحار</w:t>
      </w:r>
      <w:r w:rsidR="008A74EB" w:rsidRPr="00C9040A">
        <w:rPr>
          <w:rtl/>
        </w:rPr>
        <w:t xml:space="preserve"> ، ج 71 ، ص 297 ، ح 28 ؛ وكذا الشيخ الحرّ في </w:t>
      </w:r>
      <w:r w:rsidR="008A74EB" w:rsidRPr="00993B55">
        <w:rPr>
          <w:rStyle w:val="libFootnoteBoldChar"/>
          <w:rtl/>
        </w:rPr>
        <w:t>الوسائل</w:t>
      </w:r>
      <w:r w:rsidR="008A74EB" w:rsidRPr="00C9040A">
        <w:rPr>
          <w:rtl/>
        </w:rPr>
        <w:t xml:space="preserve"> ، ج 16 ، ص 350 ، ح 21737 ؛ فإنّه بعد امتناع رجوع الضمير إلى عدّة من أصحابنا</w:t>
      </w:r>
      <w:r w:rsidR="008A74EB">
        <w:rPr>
          <w:rtl/>
        </w:rPr>
        <w:t xml:space="preserve"> </w:t>
      </w:r>
      <w:r w:rsidR="0084262C">
        <w:rPr>
          <w:rtl/>
        </w:rPr>
        <w:t>-</w:t>
      </w:r>
      <w:r w:rsidR="008A74EB">
        <w:rPr>
          <w:rtl/>
        </w:rPr>
        <w:t xml:space="preserve"> </w:t>
      </w:r>
      <w:r w:rsidR="008A74EB" w:rsidRPr="00C9040A">
        <w:rPr>
          <w:rtl/>
        </w:rPr>
        <w:t>كما هو واضح</w:t>
      </w:r>
      <w:r w:rsidR="008A74EB">
        <w:rPr>
          <w:rtl/>
        </w:rPr>
        <w:t xml:space="preserve"> </w:t>
      </w:r>
      <w:r w:rsidR="0084262C">
        <w:rPr>
          <w:rtl/>
        </w:rPr>
        <w:t>-</w:t>
      </w:r>
      <w:r w:rsidR="008A74EB">
        <w:rPr>
          <w:rtl/>
        </w:rPr>
        <w:t xml:space="preserve"> </w:t>
      </w:r>
      <w:r w:rsidR="008A74EB" w:rsidRPr="00C9040A">
        <w:rPr>
          <w:rtl/>
        </w:rPr>
        <w:t>وعدم وقوع محمّد بن ا</w:t>
      </w:r>
      <w:r w:rsidR="00497494">
        <w:rPr>
          <w:rFonts w:hint="cs"/>
          <w:rtl/>
        </w:rPr>
        <w:t>ُ</w:t>
      </w:r>
      <w:r w:rsidR="008A74EB" w:rsidRPr="00C9040A">
        <w:rPr>
          <w:rtl/>
        </w:rPr>
        <w:t xml:space="preserve">ورمة مرجعاً للضمير في شي‌ءٍ من أسناد </w:t>
      </w:r>
      <w:r w:rsidR="008A74EB" w:rsidRPr="00993B55">
        <w:rPr>
          <w:rStyle w:val="libFootnoteBoldChar"/>
          <w:rtl/>
        </w:rPr>
        <w:t>الكافي</w:t>
      </w:r>
      <w:r w:rsidR="008A74EB" w:rsidRPr="00C9040A">
        <w:rPr>
          <w:rtl/>
        </w:rPr>
        <w:t xml:space="preserve"> ، واشتهار سهل بن زياد ووقوعه مرجعاً للضمير في أسناد الكافي ، يتعيّن رجوع الضمير إلى سهل ، فتأمّل.</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ص » : « سرّ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w:t>
      </w:r>
      <w:r w:rsidR="008A74EB" w:rsidRPr="00993B55">
        <w:rPr>
          <w:rStyle w:val="libFootnoteBoldChar"/>
          <w:rtl/>
        </w:rPr>
        <w:t>الوافي</w:t>
      </w:r>
      <w:r w:rsidR="008A74EB" w:rsidRPr="00C9040A">
        <w:rPr>
          <w:rtl/>
        </w:rPr>
        <w:t xml:space="preserve"> ، ج 5 ، ص 657 ، ح 2809 ؛ </w:t>
      </w:r>
      <w:r w:rsidR="008A74EB" w:rsidRPr="00993B55">
        <w:rPr>
          <w:rStyle w:val="libFootnoteBoldChar"/>
          <w:rtl/>
        </w:rPr>
        <w:t>الوسائل</w:t>
      </w:r>
      <w:r w:rsidR="008A74EB" w:rsidRPr="00C9040A">
        <w:rPr>
          <w:rtl/>
        </w:rPr>
        <w:t xml:space="preserve"> ، ج 16 ، ص 350 ، ح 21737 ؛ </w:t>
      </w:r>
      <w:r w:rsidR="008A74EB" w:rsidRPr="00993B55">
        <w:rPr>
          <w:rStyle w:val="libFootnoteBoldChar"/>
          <w:rtl/>
        </w:rPr>
        <w:t>البحار</w:t>
      </w:r>
      <w:r w:rsidR="008A74EB" w:rsidRPr="00C9040A">
        <w:rPr>
          <w:rtl/>
        </w:rPr>
        <w:t xml:space="preserve"> ، ج 74 ، ص 297 ، ح 28.</w:t>
      </w:r>
    </w:p>
    <w:tbl>
      <w:tblPr>
        <w:tblStyle w:val="TableGrid"/>
        <w:bidiVisual/>
        <w:tblW w:w="0" w:type="auto"/>
        <w:tblLook w:val="04A0" w:firstRow="1" w:lastRow="0" w:firstColumn="1" w:lastColumn="0" w:noHBand="0" w:noVBand="1"/>
      </w:tblPr>
      <w:tblGrid>
        <w:gridCol w:w="4006"/>
        <w:gridCol w:w="4006"/>
      </w:tblGrid>
      <w:tr w:rsidR="00497494" w:rsidTr="00497494">
        <w:tc>
          <w:tcPr>
            <w:tcW w:w="4006" w:type="dxa"/>
          </w:tcPr>
          <w:p w:rsidR="00497494" w:rsidRDefault="00497494" w:rsidP="004A4E41">
            <w:pPr>
              <w:pStyle w:val="libFootnote0"/>
              <w:rPr>
                <w:rtl/>
              </w:rPr>
            </w:pPr>
            <w:r>
              <w:rPr>
                <w:rtl/>
              </w:rPr>
              <w:t>(4).</w:t>
            </w:r>
            <w:r w:rsidRPr="00C9040A">
              <w:rPr>
                <w:rtl/>
              </w:rPr>
              <w:t xml:space="preserve"> في التهذيب والمصادقة : « </w:t>
            </w:r>
            <w:r>
              <w:rPr>
                <w:rtl/>
              </w:rPr>
              <w:t>و »</w:t>
            </w:r>
            <w:r w:rsidRPr="00C9040A">
              <w:rPr>
                <w:rtl/>
              </w:rPr>
              <w:t xml:space="preserve"> بدل « أو »</w:t>
            </w:r>
            <w:r>
              <w:rPr>
                <w:rtl/>
              </w:rPr>
              <w:t>.</w:t>
            </w:r>
          </w:p>
        </w:tc>
        <w:tc>
          <w:tcPr>
            <w:tcW w:w="4006" w:type="dxa"/>
          </w:tcPr>
          <w:p w:rsidR="00497494" w:rsidRDefault="00497494" w:rsidP="004A4E41">
            <w:pPr>
              <w:pStyle w:val="libFootnote0"/>
              <w:rPr>
                <w:rtl/>
              </w:rPr>
            </w:pPr>
            <w:r>
              <w:rPr>
                <w:rtl/>
              </w:rPr>
              <w:t>(5).</w:t>
            </w:r>
            <w:r w:rsidRPr="00C9040A">
              <w:rPr>
                <w:rtl/>
              </w:rPr>
              <w:t xml:space="preserve"> في التهذيب والمصادقة : « </w:t>
            </w:r>
            <w:r>
              <w:rPr>
                <w:rtl/>
              </w:rPr>
              <w:t>و »</w:t>
            </w:r>
            <w:r w:rsidRPr="00C9040A">
              <w:rPr>
                <w:rtl/>
              </w:rPr>
              <w:t xml:space="preserve"> بدل « أو »</w:t>
            </w:r>
            <w:r>
              <w:rPr>
                <w:rtl/>
              </w:rPr>
              <w:t>.</w:t>
            </w:r>
          </w:p>
        </w:tc>
      </w:tr>
    </w:tbl>
    <w:p w:rsidR="008A74EB" w:rsidRPr="00C9040A" w:rsidRDefault="006C577F" w:rsidP="00A67F41">
      <w:pPr>
        <w:pStyle w:val="libFootnote0"/>
        <w:rPr>
          <w:rtl/>
          <w:lang w:bidi="fa-IR"/>
        </w:rPr>
      </w:pPr>
      <w:r>
        <w:rPr>
          <w:rtl/>
        </w:rPr>
        <w:t>(6).</w:t>
      </w:r>
      <w:r w:rsidR="008A74EB">
        <w:rPr>
          <w:rtl/>
        </w:rPr>
        <w:t xml:space="preserve"> </w:t>
      </w:r>
      <w:r w:rsidR="008A74EB" w:rsidRPr="00993B55">
        <w:rPr>
          <w:rStyle w:val="libFootnoteBoldChar"/>
          <w:rtl/>
        </w:rPr>
        <w:t>قرب الإسناد</w:t>
      </w:r>
      <w:r w:rsidR="008A74EB" w:rsidRPr="00C9040A">
        <w:rPr>
          <w:rtl/>
        </w:rPr>
        <w:t xml:space="preserve"> ، ص 145 ، ح 522 ، بسند آخر عن أبي عبد الله ، عن أبيه </w:t>
      </w:r>
      <w:r w:rsidR="00117575" w:rsidRPr="00117575">
        <w:rPr>
          <w:rStyle w:val="libFootnoteAlaemChar"/>
          <w:rtl/>
        </w:rPr>
        <w:t>عليهما‌السلام</w:t>
      </w:r>
      <w:r w:rsidR="008A74EB" w:rsidRPr="00C9040A">
        <w:rPr>
          <w:rtl/>
        </w:rPr>
        <w:t xml:space="preserve"> عن رسول الله </w:t>
      </w:r>
      <w:r w:rsidR="004A4E41" w:rsidRPr="00A67F41">
        <w:rPr>
          <w:rStyle w:val="libFootnoteAlaemChar"/>
          <w:rtl/>
        </w:rPr>
        <w:t>صلى‌الله‌عليه‌وآله</w:t>
      </w:r>
      <w:r w:rsidR="008A74EB" w:rsidRPr="00C9040A">
        <w:rPr>
          <w:rtl/>
        </w:rPr>
        <w:t xml:space="preserve"> ، مع اختلاف يسير. </w:t>
      </w:r>
      <w:r w:rsidR="008A74EB" w:rsidRPr="00993B55">
        <w:rPr>
          <w:rStyle w:val="libFootnoteBoldChar"/>
          <w:rtl/>
        </w:rPr>
        <w:t>مصادقة الإخوان</w:t>
      </w:r>
      <w:r w:rsidR="008A74EB" w:rsidRPr="00C9040A">
        <w:rPr>
          <w:rtl/>
        </w:rPr>
        <w:t xml:space="preserve"> ، ص 44 ، ح 2 ، مرسلاً عن هشام بن الحكم. وفي </w:t>
      </w:r>
      <w:r w:rsidR="008A74EB" w:rsidRPr="00993B55">
        <w:rPr>
          <w:rStyle w:val="libFootnoteBoldChar"/>
          <w:rtl/>
        </w:rPr>
        <w:t>الكافي</w:t>
      </w:r>
      <w:r w:rsidR="008A74EB" w:rsidRPr="00C9040A">
        <w:rPr>
          <w:rtl/>
        </w:rPr>
        <w:t xml:space="preserve"> ، كتاب الزكاة ، باب فضل إطعام الطعام ، ح 6201 ؛ و</w:t>
      </w:r>
      <w:r w:rsidR="008A74EB" w:rsidRPr="00993B55">
        <w:rPr>
          <w:rStyle w:val="libFootnoteBoldChar"/>
          <w:rtl/>
        </w:rPr>
        <w:t>التهذيب</w:t>
      </w:r>
      <w:r w:rsidR="008A74EB" w:rsidRPr="00C9040A">
        <w:rPr>
          <w:rtl/>
        </w:rPr>
        <w:t xml:space="preserve"> ، ج 4 ، ص 110 ، ح 318 ، بسند آخر عن ابن أبي عمير ؛ </w:t>
      </w:r>
      <w:r w:rsidR="008A74EB" w:rsidRPr="00993B55">
        <w:rPr>
          <w:rStyle w:val="libFootnoteBoldChar"/>
          <w:rtl/>
        </w:rPr>
        <w:t>المحاسن</w:t>
      </w:r>
      <w:r w:rsidR="008A74EB" w:rsidRPr="00C9040A">
        <w:rPr>
          <w:rtl/>
        </w:rPr>
        <w:t xml:space="preserve"> ، ص 388 ، كتاب المآكل ، ح 13 ، عن أبيه ، عن ابن أبي عمير. </w:t>
      </w:r>
      <w:r w:rsidR="008A74EB" w:rsidRPr="00993B55">
        <w:rPr>
          <w:rStyle w:val="libFootnoteBoldChar"/>
          <w:rtl/>
        </w:rPr>
        <w:t>المقنعة</w:t>
      </w:r>
      <w:r w:rsidR="008A74EB" w:rsidRPr="00C9040A">
        <w:rPr>
          <w:rtl/>
        </w:rPr>
        <w:t xml:space="preserve"> ، ص 267 ، مرسلاً عن أبي عبد الله </w:t>
      </w:r>
      <w:r w:rsidR="00117575" w:rsidRPr="00117575">
        <w:rPr>
          <w:rStyle w:val="libFootnoteAlaemChar"/>
          <w:rtl/>
        </w:rPr>
        <w:t>عليه‌السلام</w:t>
      </w:r>
      <w:r w:rsidR="008A74EB" w:rsidRPr="00C9040A">
        <w:rPr>
          <w:rtl/>
        </w:rPr>
        <w:t>، مع اختلاف يسير ، والرواية في الأربعة الأخيرة هكذا : « من أحبّ الأعمال إلى الله عزّ وجلّ إشباع جوعة المؤمن</w:t>
      </w:r>
      <w:r w:rsidR="008A74EB">
        <w:rPr>
          <w:rtl/>
        </w:rPr>
        <w:t xml:space="preserve"> ..</w:t>
      </w:r>
      <w:r w:rsidR="008A74EB" w:rsidRPr="00C9040A">
        <w:rPr>
          <w:rtl/>
        </w:rPr>
        <w:t>. »</w:t>
      </w:r>
      <w:r w:rsidR="00A67F41">
        <w:rPr>
          <w:rFonts w:hint="cs"/>
          <w:rtl/>
        </w:rPr>
        <w:t>.</w:t>
      </w:r>
      <w:r w:rsidR="008A74EB" w:rsidRPr="00993B55">
        <w:rPr>
          <w:rStyle w:val="libFootnoteBoldChar"/>
          <w:rtl/>
        </w:rPr>
        <w:t>الوافي</w:t>
      </w:r>
      <w:r w:rsidR="008A74EB" w:rsidRPr="00C9040A">
        <w:rPr>
          <w:rtl/>
        </w:rPr>
        <w:t xml:space="preserve"> ، ج 5 ، ص 657 ، ح 2810 ؛ </w:t>
      </w:r>
      <w:r w:rsidR="008A74EB" w:rsidRPr="00993B55">
        <w:rPr>
          <w:rStyle w:val="libFootnoteBoldChar"/>
          <w:rtl/>
        </w:rPr>
        <w:t>الوسائل</w:t>
      </w:r>
      <w:r w:rsidR="008A74EB" w:rsidRPr="00C9040A">
        <w:rPr>
          <w:rtl/>
        </w:rPr>
        <w:t xml:space="preserve"> ، ج 16 ، ص 350 ، ح 21738 ؛ </w:t>
      </w:r>
      <w:r w:rsidR="008A74EB" w:rsidRPr="00993B55">
        <w:rPr>
          <w:rStyle w:val="libFootnoteBoldChar"/>
          <w:rtl/>
        </w:rPr>
        <w:t>البحار</w:t>
      </w:r>
      <w:r w:rsidR="008A74EB" w:rsidRPr="00C9040A">
        <w:rPr>
          <w:rtl/>
        </w:rPr>
        <w:t xml:space="preserve"> ، ج 74 ، ص 297 ، ح 29.</w:t>
      </w:r>
      <w:r w:rsidR="00A67F41">
        <w:rPr>
          <w:rFonts w:hint="cs"/>
          <w:rtl/>
        </w:rPr>
        <w:t xml:space="preserve">                      </w:t>
      </w:r>
      <w:r>
        <w:rPr>
          <w:rtl/>
        </w:rPr>
        <w:t>(7).</w:t>
      </w:r>
      <w:r w:rsidR="008A74EB" w:rsidRPr="00C9040A">
        <w:rPr>
          <w:rtl/>
        </w:rPr>
        <w:t xml:space="preserve"> في « بس » </w:t>
      </w:r>
      <w:r w:rsidR="008A74EB">
        <w:rPr>
          <w:rtl/>
        </w:rPr>
        <w:t xml:space="preserve">: </w:t>
      </w:r>
      <w:r w:rsidR="0084262C">
        <w:rPr>
          <w:rtl/>
        </w:rPr>
        <w:t>-</w:t>
      </w:r>
      <w:r w:rsidR="008A74EB" w:rsidRPr="00C9040A">
        <w:rPr>
          <w:rtl/>
        </w:rPr>
        <w:t xml:space="preserve"> « قال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الْحَقُّ ، وَافْعَلْهُ </w:t>
      </w:r>
      <w:r w:rsidR="006C577F" w:rsidRPr="006C577F">
        <w:rPr>
          <w:rStyle w:val="libFootnotenumChar"/>
          <w:rtl/>
        </w:rPr>
        <w:t>(1)</w:t>
      </w:r>
      <w:r w:rsidRPr="00C9040A">
        <w:rPr>
          <w:rtl/>
          <w:lang w:bidi="fa-IR"/>
        </w:rPr>
        <w:t xml:space="preserve"> ، وَأَخْبِرْ بِهِ عِلْيَةَ </w:t>
      </w:r>
      <w:r w:rsidR="006C577F" w:rsidRPr="006C577F">
        <w:rPr>
          <w:rStyle w:val="libFootnotenumChar"/>
          <w:rtl/>
        </w:rPr>
        <w:t>(2)</w:t>
      </w:r>
      <w:r w:rsidRPr="00C9040A">
        <w:rPr>
          <w:rtl/>
          <w:lang w:bidi="fa-IR"/>
        </w:rPr>
        <w:t xml:space="preserve"> إِخْوَانِكَ </w:t>
      </w:r>
      <w:r w:rsidR="006C577F" w:rsidRPr="006C577F">
        <w:rPr>
          <w:rStyle w:val="libFootnotenumChar"/>
          <w:rtl/>
        </w:rPr>
        <w:t>(3)</w:t>
      </w:r>
      <w:r w:rsidRPr="00C9040A">
        <w:rPr>
          <w:rtl/>
          <w:lang w:bidi="fa-IR"/>
        </w:rPr>
        <w:t xml:space="preserve"> »</w:t>
      </w:r>
      <w:r>
        <w:rPr>
          <w:rtl/>
          <w:lang w:bidi="fa-IR"/>
        </w:rPr>
        <w:t>.</w:t>
      </w:r>
    </w:p>
    <w:p w:rsidR="008A74EB" w:rsidRPr="00C9040A" w:rsidRDefault="008A74EB" w:rsidP="008A74EB">
      <w:pPr>
        <w:pStyle w:val="libNormal"/>
        <w:rPr>
          <w:rtl/>
          <w:lang w:bidi="fa-IR"/>
        </w:rPr>
      </w:pPr>
      <w:r w:rsidRPr="00C9040A">
        <w:rPr>
          <w:rtl/>
          <w:lang w:bidi="fa-IR"/>
        </w:rPr>
        <w:t xml:space="preserve">قُلْتُ : جُعِلْتُ فِدَاكَ ، وَمَا </w:t>
      </w:r>
      <w:r w:rsidR="006C577F" w:rsidRPr="006C577F">
        <w:rPr>
          <w:rStyle w:val="libFootnotenumChar"/>
          <w:rtl/>
        </w:rPr>
        <w:t>(4)</w:t>
      </w:r>
      <w:r w:rsidRPr="00C9040A">
        <w:rPr>
          <w:rtl/>
          <w:lang w:bidi="fa-IR"/>
        </w:rPr>
        <w:t xml:space="preserve"> عِلْيَةُ إِخْوَانِي</w:t>
      </w:r>
      <w:r>
        <w:rPr>
          <w:rtl/>
          <w:lang w:bidi="fa-IR"/>
        </w:rPr>
        <w:t>؟</w:t>
      </w:r>
    </w:p>
    <w:p w:rsidR="008A74EB" w:rsidRPr="00C9040A" w:rsidRDefault="008A74EB" w:rsidP="008A74EB">
      <w:pPr>
        <w:pStyle w:val="libNormal"/>
        <w:rPr>
          <w:rtl/>
          <w:lang w:bidi="fa-IR"/>
        </w:rPr>
      </w:pPr>
      <w:r w:rsidRPr="00C9040A">
        <w:rPr>
          <w:rtl/>
          <w:lang w:bidi="fa-IR"/>
        </w:rPr>
        <w:t>قَالَ : « الرَّاغِبُونَ فِي قَضَاءِ حَوَائِجِ إِخْوَانِهِمْ »</w:t>
      </w:r>
      <w:r>
        <w:rPr>
          <w:rtl/>
          <w:lang w:bidi="fa-IR"/>
        </w:rPr>
        <w:t>.</w:t>
      </w:r>
    </w:p>
    <w:p w:rsidR="008A74EB" w:rsidRPr="00C9040A" w:rsidRDefault="008A74EB" w:rsidP="008A74EB">
      <w:pPr>
        <w:pStyle w:val="libNormal"/>
        <w:rPr>
          <w:rtl/>
          <w:lang w:bidi="fa-IR"/>
        </w:rPr>
      </w:pPr>
      <w:r w:rsidRPr="00C9040A">
        <w:rPr>
          <w:rtl/>
          <w:lang w:bidi="fa-IR"/>
        </w:rPr>
        <w:t>قَالَ : ثُمَّ قَالَ : « وَمَنْ قَضى لِأَخِيهِ الْمُؤْمِنِ حَاجَةً ، قَضَى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لَهُ يَوْمَ الْقِيَامَةِ مِائَةَ أَلْفِ حَاجَةٍ مِنْ ذلِكَ أَوَّلُهَا الْجَنَّةُ ، وَمِنْ ذلِكَ أَنْ يُدْخِلَ قَرَابَتَهُ وَمَعَارِفَهُ وَإِخْوَانَهُ الْجَنَّةَ بَعْدَ أَنْ لَايَكُونُوا نُصَّاباً </w:t>
      </w:r>
      <w:r w:rsidR="006C577F" w:rsidRPr="006C577F">
        <w:rPr>
          <w:rStyle w:val="libFootnotenumChar"/>
          <w:rtl/>
        </w:rPr>
        <w:t>(5)</w:t>
      </w:r>
      <w:r w:rsidRPr="00C9040A">
        <w:rPr>
          <w:rtl/>
          <w:lang w:bidi="fa-IR"/>
        </w:rPr>
        <w:t xml:space="preserve"> »</w:t>
      </w:r>
      <w:r>
        <w:rPr>
          <w:rtl/>
          <w:lang w:bidi="fa-IR"/>
        </w:rPr>
        <w:t>.</w:t>
      </w:r>
    </w:p>
    <w:p w:rsidR="008A74EB" w:rsidRPr="00C9040A" w:rsidRDefault="008A74EB" w:rsidP="004A5141">
      <w:pPr>
        <w:pStyle w:val="libNormal"/>
        <w:rPr>
          <w:rtl/>
          <w:lang w:bidi="fa-IR"/>
        </w:rPr>
      </w:pPr>
      <w:r w:rsidRPr="00C9040A">
        <w:rPr>
          <w:rtl/>
          <w:lang w:bidi="fa-IR"/>
        </w:rPr>
        <w:t xml:space="preserve">وَكَانَ </w:t>
      </w:r>
      <w:r w:rsidR="006C577F" w:rsidRPr="006C577F">
        <w:rPr>
          <w:rStyle w:val="libFootnotenumChar"/>
          <w:rtl/>
        </w:rPr>
        <w:t>(6)</w:t>
      </w:r>
      <w:r w:rsidR="004A5141" w:rsidRPr="00C9040A">
        <w:rPr>
          <w:rtl/>
          <w:lang w:bidi="fa-IR"/>
        </w:rPr>
        <w:t xml:space="preserve"> </w:t>
      </w:r>
      <w:r w:rsidRPr="00C9040A">
        <w:rPr>
          <w:rtl/>
          <w:lang w:bidi="fa-IR"/>
        </w:rPr>
        <w:t xml:space="preserve">الْمُفَضَّلُ إِذَا سَأَلَ الْحَاجَةَ أَخاً مِنْ إِخْوَانِهِ ، </w:t>
      </w:r>
      <w:r>
        <w:rPr>
          <w:rtl/>
          <w:lang w:bidi="fa-IR"/>
        </w:rPr>
        <w:t>قَالَ لَهُ : أَ</w:t>
      </w:r>
      <w:r w:rsidRPr="00C9040A">
        <w:rPr>
          <w:rtl/>
          <w:lang w:bidi="fa-IR"/>
        </w:rPr>
        <w:t>مَا تَشْتَهِي أَنْ تَكُونَ مِنْ عِلْيَةِ الْإِخْوَانِ</w:t>
      </w:r>
      <w:r>
        <w:rPr>
          <w:rtl/>
          <w:lang w:bidi="fa-IR"/>
        </w:rPr>
        <w:t>؟</w:t>
      </w:r>
      <w:r w:rsidRPr="00C9040A">
        <w:rPr>
          <w:rtl/>
          <w:lang w:bidi="fa-IR"/>
        </w:rPr>
        <w:t xml:space="preserve"> </w:t>
      </w:r>
      <w:r w:rsidR="006C577F" w:rsidRPr="006C577F">
        <w:rPr>
          <w:rStyle w:val="libFootnotenumChar"/>
          <w:rtl/>
        </w:rPr>
        <w:t>(7)</w:t>
      </w:r>
    </w:p>
    <w:p w:rsidR="008A74EB" w:rsidRPr="00C9040A" w:rsidRDefault="008A74EB" w:rsidP="008A74EB">
      <w:pPr>
        <w:pStyle w:val="libNormal"/>
        <w:rPr>
          <w:rtl/>
          <w:lang w:bidi="fa-IR"/>
        </w:rPr>
      </w:pPr>
      <w:r w:rsidRPr="004B0890">
        <w:rPr>
          <w:rtl/>
        </w:rPr>
        <w:t>2145</w:t>
      </w:r>
      <w:r w:rsidRPr="00261CB0">
        <w:rPr>
          <w:rStyle w:val="libBold2Char"/>
          <w:rtl/>
        </w:rPr>
        <w:t xml:space="preserve"> / 2.</w:t>
      </w:r>
      <w:r w:rsidRPr="00C9040A">
        <w:rPr>
          <w:rtl/>
          <w:lang w:bidi="fa-IR"/>
        </w:rPr>
        <w:t xml:space="preserve"> عَنْهُ </w:t>
      </w:r>
      <w:r w:rsidR="006C577F" w:rsidRPr="006C577F">
        <w:rPr>
          <w:rStyle w:val="libFootnotenumChar"/>
          <w:rtl/>
        </w:rPr>
        <w:t>(8)</w:t>
      </w:r>
      <w:r w:rsidRPr="00C9040A">
        <w:rPr>
          <w:rtl/>
          <w:lang w:bidi="fa-IR"/>
        </w:rPr>
        <w:t xml:space="preserve"> ، عَنْ مُحَمَّدِ بْنِ زِيَادٍ ، قَالَ : حَدَّثَنِي خَالِدُ بْنُ يَزِيدَ </w:t>
      </w:r>
      <w:r w:rsidR="006C577F" w:rsidRPr="006C577F">
        <w:rPr>
          <w:rStyle w:val="libFootnotenumChar"/>
          <w:rtl/>
        </w:rPr>
        <w:t>(9)</w:t>
      </w:r>
      <w:r w:rsidRPr="00C9040A">
        <w:rPr>
          <w:rtl/>
          <w:lang w:bidi="fa-IR"/>
        </w:rPr>
        <w:t xml:space="preserve"> ، عَنِ الْمُفَضَّلِ بْنِ‌</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المصادقة : « واتبعه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د ، بر » : « عَلِيَّة »</w:t>
      </w:r>
      <w:r w:rsidR="008A74EB">
        <w:rPr>
          <w:rtl/>
        </w:rPr>
        <w:t>.</w:t>
      </w:r>
      <w:r w:rsidR="008A74EB" w:rsidRPr="00C9040A">
        <w:rPr>
          <w:rtl/>
        </w:rPr>
        <w:t xml:space="preserve"> وفي « بف » : « عِلِّيّة »</w:t>
      </w:r>
      <w:r w:rsidR="008A74EB">
        <w:rPr>
          <w:rtl/>
        </w:rPr>
        <w:t>.</w:t>
      </w:r>
      <w:r w:rsidR="008A74EB" w:rsidRPr="00C9040A">
        <w:rPr>
          <w:rtl/>
        </w:rPr>
        <w:t xml:space="preserve"> وعِلْيَة الناس وعِلْيُهم : جِلَّتُهم. وفلان من عِلْيَة الناس ، وهو جمع رجُل عَلِيّ ، أي شريفٍ رفيع. </w:t>
      </w:r>
      <w:r w:rsidR="008A74EB" w:rsidRPr="00993B55">
        <w:rPr>
          <w:rStyle w:val="libFootnoteBoldChar"/>
          <w:rtl/>
        </w:rPr>
        <w:t>القاموس المحيط</w:t>
      </w:r>
      <w:r w:rsidR="008A74EB" w:rsidRPr="00C9040A">
        <w:rPr>
          <w:rtl/>
        </w:rPr>
        <w:t xml:space="preserve"> ، ج 2 ، ص 1722 ؛ </w:t>
      </w:r>
      <w:r w:rsidR="008A74EB" w:rsidRPr="00993B55">
        <w:rPr>
          <w:rStyle w:val="libFootnoteBoldChar"/>
          <w:rtl/>
        </w:rPr>
        <w:t>الصحاح</w:t>
      </w:r>
      <w:r w:rsidR="008A74EB" w:rsidRPr="00C9040A">
        <w:rPr>
          <w:rtl/>
        </w:rPr>
        <w:t xml:space="preserve"> ، ج 6 ، ص 2435 ( علا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ف » : + « وأصحابك »</w:t>
      </w:r>
      <w:r w:rsidR="008A74EB">
        <w:rPr>
          <w:rtl/>
        </w:rPr>
        <w:t>.</w:t>
      </w:r>
      <w:r w:rsidR="008A74EB" w:rsidRPr="00C9040A">
        <w:rPr>
          <w:rtl/>
        </w:rPr>
        <w:t xml:space="preserve"> وفي حاشية « ض ، بس » : « أصحابك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ف » : + « هو »</w:t>
      </w:r>
      <w:r w:rsidR="008A74EB">
        <w:rPr>
          <w:rtl/>
        </w:rPr>
        <w:t>.</w:t>
      </w:r>
    </w:p>
    <w:p w:rsidR="008A74EB" w:rsidRPr="00C9040A" w:rsidRDefault="006C577F" w:rsidP="00722FA2">
      <w:pPr>
        <w:pStyle w:val="libFootnote0"/>
        <w:rPr>
          <w:rtl/>
          <w:lang w:bidi="fa-IR"/>
        </w:rPr>
      </w:pPr>
      <w:r>
        <w:rPr>
          <w:rtl/>
        </w:rPr>
        <w:t>(5).</w:t>
      </w:r>
      <w:r w:rsidR="008A74EB" w:rsidRPr="00C9040A">
        <w:rPr>
          <w:rtl/>
        </w:rPr>
        <w:t xml:space="preserve"> في </w:t>
      </w:r>
      <w:r w:rsidR="008A74EB" w:rsidRPr="00993B55">
        <w:rPr>
          <w:rStyle w:val="libFootnoteBoldChar"/>
          <w:rtl/>
        </w:rPr>
        <w:t>مرآة العقول</w:t>
      </w:r>
      <w:r w:rsidR="008A74EB" w:rsidRPr="00C9040A">
        <w:rPr>
          <w:rtl/>
        </w:rPr>
        <w:t xml:space="preserve"> ، ج 9 ، ص 102 : « الناصب في عرف الأخبار يشمل المخالفين المتعصّبين في مذهبهم ، فغير النصّاب هم المستضعفون »</w:t>
      </w:r>
      <w:r w:rsidR="008A74EB">
        <w:rPr>
          <w:rtl/>
        </w:rPr>
        <w:t>.</w:t>
      </w:r>
      <w:r w:rsidR="00722FA2">
        <w:rPr>
          <w:rFonts w:hint="cs"/>
          <w:rtl/>
        </w:rPr>
        <w:t xml:space="preserve">                                  </w:t>
      </w:r>
      <w:r>
        <w:rPr>
          <w:rtl/>
        </w:rPr>
        <w:t>(6).</w:t>
      </w:r>
      <w:r w:rsidR="008A74EB">
        <w:rPr>
          <w:rtl/>
        </w:rPr>
        <w:t xml:space="preserve"> </w:t>
      </w:r>
      <w:r w:rsidR="008A74EB" w:rsidRPr="00C9040A">
        <w:rPr>
          <w:rtl/>
        </w:rPr>
        <w:t>في « ض » : « فكان »</w:t>
      </w:r>
      <w:r w:rsidR="008A74EB">
        <w:rPr>
          <w:rtl/>
        </w:rPr>
        <w:t>.</w:t>
      </w:r>
    </w:p>
    <w:p w:rsidR="008A74EB" w:rsidRPr="00C9040A" w:rsidRDefault="006C577F" w:rsidP="00722FA2">
      <w:pPr>
        <w:pStyle w:val="libFootnote0"/>
        <w:rPr>
          <w:rtl/>
          <w:lang w:bidi="fa-IR"/>
        </w:rPr>
      </w:pPr>
      <w:r>
        <w:rPr>
          <w:rtl/>
        </w:rPr>
        <w:t>(7).</w:t>
      </w:r>
      <w:r w:rsidR="008A74EB" w:rsidRPr="00C9040A">
        <w:rPr>
          <w:rtl/>
        </w:rPr>
        <w:t xml:space="preserve"> </w:t>
      </w:r>
      <w:r w:rsidR="008A74EB" w:rsidRPr="00993B55">
        <w:rPr>
          <w:rStyle w:val="libFootnoteBoldChar"/>
          <w:rtl/>
        </w:rPr>
        <w:t>مصادقة الإخوان</w:t>
      </w:r>
      <w:r w:rsidR="008A74EB" w:rsidRPr="00C9040A">
        <w:rPr>
          <w:rtl/>
        </w:rPr>
        <w:t xml:space="preserve"> ، ص 52 ، ح 2 ، مرسلاً عن المفضّل</w:t>
      </w:r>
      <w:r w:rsidR="00722FA2">
        <w:rPr>
          <w:rFonts w:hint="cs"/>
          <w:rtl/>
        </w:rPr>
        <w:t>.</w:t>
      </w:r>
      <w:r w:rsidR="008A74EB" w:rsidRPr="00993B55">
        <w:rPr>
          <w:rStyle w:val="libFootnoteBoldChar"/>
          <w:rtl/>
        </w:rPr>
        <w:t>الوافي</w:t>
      </w:r>
      <w:r w:rsidR="008A74EB" w:rsidRPr="00C9040A">
        <w:rPr>
          <w:rtl/>
        </w:rPr>
        <w:t xml:space="preserve"> ، ج 5 ، ص 659 ، ح 2811 ؛ </w:t>
      </w:r>
      <w:r w:rsidR="008A74EB" w:rsidRPr="00993B55">
        <w:rPr>
          <w:rStyle w:val="libFootnoteBoldChar"/>
          <w:rtl/>
        </w:rPr>
        <w:t>الوسائل</w:t>
      </w:r>
      <w:r w:rsidR="008A74EB" w:rsidRPr="00C9040A">
        <w:rPr>
          <w:rtl/>
        </w:rPr>
        <w:t xml:space="preserve"> ، ج 16 ، ص 357 ، ح 21753 ، من قوله : « ومن قضى لأخيه المؤمن حاجة » ؛ </w:t>
      </w:r>
      <w:r w:rsidR="008A74EB" w:rsidRPr="00993B55">
        <w:rPr>
          <w:rStyle w:val="libFootnoteBoldChar"/>
          <w:rtl/>
        </w:rPr>
        <w:t>البحار</w:t>
      </w:r>
      <w:r w:rsidR="008A74EB" w:rsidRPr="00C9040A">
        <w:rPr>
          <w:rtl/>
        </w:rPr>
        <w:t xml:space="preserve"> ، ج 74 ، ص 322 ، ح 90.</w:t>
      </w:r>
    </w:p>
    <w:p w:rsidR="008A74EB" w:rsidRPr="00C9040A" w:rsidRDefault="006C577F" w:rsidP="004A4E41">
      <w:pPr>
        <w:pStyle w:val="libFootnote0"/>
        <w:rPr>
          <w:rtl/>
          <w:lang w:bidi="fa-IR"/>
        </w:rPr>
      </w:pPr>
      <w:r>
        <w:rPr>
          <w:rtl/>
        </w:rPr>
        <w:t>(8).</w:t>
      </w:r>
      <w:r w:rsidR="008A74EB" w:rsidRPr="00C9040A">
        <w:rPr>
          <w:rtl/>
        </w:rPr>
        <w:t xml:space="preserve"> في « ب » : « وعنه »</w:t>
      </w:r>
      <w:r w:rsidR="008A74EB">
        <w:rPr>
          <w:rtl/>
        </w:rPr>
        <w:t>.</w:t>
      </w:r>
      <w:r w:rsidR="008A74EB" w:rsidRPr="00C9040A">
        <w:rPr>
          <w:rtl/>
        </w:rPr>
        <w:t xml:space="preserve"> والضمير راجع إلى أحمد بن محمّد بن عيسى المذكور في السند السابق ؛ فإنّ محمّد بن‌زياد ، هو محمّد بن أبي عمير ، فقد عنونه النجاشي في رجاله ، ص 326 ، الرقم 887 هكذا : « محمّد بن أبي عمير زياد بن عيسى »</w:t>
      </w:r>
      <w:r w:rsidR="008A74EB">
        <w:rPr>
          <w:rtl/>
        </w:rPr>
        <w:t>.</w:t>
      </w:r>
      <w:r w:rsidR="008A74EB" w:rsidRPr="00C9040A">
        <w:rPr>
          <w:rtl/>
        </w:rPr>
        <w:t xml:space="preserve"> وقال الشيخ الطوسي في </w:t>
      </w:r>
      <w:r w:rsidR="008A74EB" w:rsidRPr="00993B55">
        <w:rPr>
          <w:rStyle w:val="libFootnoteBoldChar"/>
          <w:rtl/>
        </w:rPr>
        <w:t>الفهرست</w:t>
      </w:r>
      <w:r w:rsidR="008A74EB" w:rsidRPr="00C9040A">
        <w:rPr>
          <w:rtl/>
        </w:rPr>
        <w:t xml:space="preserve"> ، ص 404 ، الرقم 618 : « محمّد بن أبي عمير يكنّى أبا أحمد من موالي الأزد ، واسم أبي عمير زياد »</w:t>
      </w:r>
      <w:r w:rsidR="008A74EB">
        <w:rPr>
          <w:rtl/>
        </w:rPr>
        <w:t>.</w:t>
      </w:r>
    </w:p>
    <w:p w:rsidR="008A74EB" w:rsidRPr="00C9040A" w:rsidRDefault="008A74EB" w:rsidP="004A4E41">
      <w:pPr>
        <w:pStyle w:val="libFootnote0"/>
        <w:rPr>
          <w:rtl/>
          <w:lang w:bidi="fa-IR"/>
        </w:rPr>
      </w:pPr>
      <w:r w:rsidRPr="00323A39">
        <w:rPr>
          <w:rtl/>
        </w:rPr>
        <w:t xml:space="preserve">يؤيّد ذلك ما ورد في السند الآتي من : « عنه ، عن محمّد بن زياد ، عن الحكم بن أيمن » ؛ فقد روى أحمد بن محمّد بن عيسى ، عن ابن أبي عمير كتاب الحكم بن أيمن. راجع : </w:t>
      </w:r>
      <w:r w:rsidRPr="0034021D">
        <w:rPr>
          <w:rStyle w:val="libFootnoteBoldChar"/>
          <w:rtl/>
        </w:rPr>
        <w:t>الفهرست للطوسي</w:t>
      </w:r>
      <w:r w:rsidRPr="00323A39">
        <w:rPr>
          <w:rtl/>
        </w:rPr>
        <w:t xml:space="preserve"> ، ص 160 ، الرقم 246 ؛ </w:t>
      </w:r>
      <w:r w:rsidRPr="00993B55">
        <w:rPr>
          <w:rStyle w:val="libFootnoteBoldChar"/>
          <w:rtl/>
        </w:rPr>
        <w:t>رجال النجاشي</w:t>
      </w:r>
      <w:r w:rsidRPr="00323A39">
        <w:rPr>
          <w:rtl/>
        </w:rPr>
        <w:t xml:space="preserve"> ، ص 137 ، الرقم 354.</w:t>
      </w:r>
    </w:p>
    <w:p w:rsidR="008A74EB" w:rsidRPr="00C9040A" w:rsidRDefault="006C577F" w:rsidP="004A4E41">
      <w:pPr>
        <w:pStyle w:val="libFootnote0"/>
        <w:rPr>
          <w:rtl/>
          <w:lang w:bidi="fa-IR"/>
        </w:rPr>
      </w:pPr>
      <w:r>
        <w:rPr>
          <w:rtl/>
        </w:rPr>
        <w:t>(9).</w:t>
      </w:r>
      <w:r w:rsidR="008A74EB" w:rsidRPr="00C9040A">
        <w:rPr>
          <w:rtl/>
        </w:rPr>
        <w:t xml:space="preserve"> في « ج ، ض ، ف » وحاشية « د ، ز ، ص ، بر » : « خالد بن كثير » ، وهو عنوان غريب لم نجده في شي‌ءٍ من </w:t>
      </w:r>
      <w:r w:rsidR="00722FA2">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عُمَرَ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خَلَقَ خَلْقاً مِنْ خَلْقِهِ ، انْتَجَبَهُمْ لِقَضَاءِ حَوَائِجِ فُقَرَاءِ شِيعَتِنَا لِيُثِيبَهُمْ عَلى ذلِكَ الْجَنَّةَ ، فَإِنِ اسْتَطَعْتَ أَنْ تَكُونَ مِنْهُمْ ، فَكُنْ »</w:t>
      </w:r>
      <w:r>
        <w:rPr>
          <w:rtl/>
          <w:lang w:bidi="fa-IR"/>
        </w:rPr>
        <w:t>.</w:t>
      </w:r>
      <w:r w:rsidRPr="00C9040A">
        <w:rPr>
          <w:rtl/>
          <w:lang w:bidi="fa-IR"/>
        </w:rPr>
        <w:t xml:space="preserve"> ثُمَّ قَالَ : « لَنَا وَاللهِ رَبٌّ نَعْبُدُهُ ، لَا </w:t>
      </w:r>
      <w:r w:rsidR="006C577F" w:rsidRPr="006C577F">
        <w:rPr>
          <w:rStyle w:val="libFootnotenumChar"/>
          <w:rtl/>
        </w:rPr>
        <w:t>(1)</w:t>
      </w:r>
      <w:r w:rsidRPr="00C9040A">
        <w:rPr>
          <w:rtl/>
          <w:lang w:bidi="fa-IR"/>
        </w:rPr>
        <w:t xml:space="preserve"> نُشْرِكُ بِهِ شَيْئاً </w:t>
      </w:r>
      <w:r w:rsidR="006C577F" w:rsidRPr="006C577F">
        <w:rPr>
          <w:rStyle w:val="libFootnotenumChar"/>
          <w:rtl/>
        </w:rPr>
        <w:t>(2)</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4B0890">
        <w:rPr>
          <w:rtl/>
        </w:rPr>
        <w:t>2146</w:t>
      </w:r>
      <w:r w:rsidRPr="00261CB0">
        <w:rPr>
          <w:rStyle w:val="libBold2Char"/>
          <w:rtl/>
        </w:rPr>
        <w:t xml:space="preserve"> / 3.</w:t>
      </w:r>
      <w:r w:rsidRPr="00C9040A">
        <w:rPr>
          <w:rtl/>
          <w:lang w:bidi="fa-IR"/>
        </w:rPr>
        <w:t xml:space="preserve"> عَنْهُ </w:t>
      </w:r>
      <w:r w:rsidR="006C577F" w:rsidRPr="006C577F">
        <w:rPr>
          <w:rStyle w:val="libFootnotenumChar"/>
          <w:rtl/>
        </w:rPr>
        <w:t>(4)</w:t>
      </w:r>
      <w:r w:rsidRPr="00C9040A">
        <w:rPr>
          <w:rtl/>
          <w:lang w:bidi="fa-IR"/>
        </w:rPr>
        <w:t xml:space="preserve"> ، عَنْ مُحَمَّدِ بْنِ زِيَادٍ ، عَنِ الْحَكَمِ بْنِ أَيْمَنَ ، عَنْ صَدَقَةَ الْأَحْدَبِ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قَضَاءُ حَاجَةِ الْمُؤْمِنِ خَيْرٌ مِنْ عِتْقِ أَلْفِ رَقَبَةٍ </w:t>
      </w:r>
      <w:r w:rsidR="006C577F" w:rsidRPr="006C577F">
        <w:rPr>
          <w:rStyle w:val="libFootnotenumChar"/>
          <w:rtl/>
        </w:rPr>
        <w:t>(5)</w:t>
      </w:r>
      <w:r w:rsidRPr="00C9040A">
        <w:rPr>
          <w:rtl/>
          <w:lang w:bidi="fa-IR"/>
        </w:rPr>
        <w:t xml:space="preserve"> ، وَخَيْرٌ مِنْ حُمْلَانِ </w:t>
      </w:r>
      <w:r w:rsidR="006C577F" w:rsidRPr="006C577F">
        <w:rPr>
          <w:rStyle w:val="libFootnotenumChar"/>
          <w:rtl/>
        </w:rPr>
        <w:t>(6)</w:t>
      </w:r>
      <w:r w:rsidRPr="005B567D">
        <w:rPr>
          <w:rStyle w:val="libFootnotenumChar"/>
          <w:rtl/>
        </w:rPr>
        <w:t xml:space="preserve"> </w:t>
      </w:r>
      <w:r w:rsidRPr="00C9040A">
        <w:rPr>
          <w:rtl/>
          <w:lang w:bidi="fa-IR"/>
        </w:rPr>
        <w:t>أَلْفِ فَرَسٍ فِي سَبِيلِ اللهِ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132143" w:rsidP="008A74EB">
      <w:pPr>
        <w:pStyle w:val="libNormal"/>
        <w:rPr>
          <w:rtl/>
          <w:lang w:bidi="fa-IR"/>
        </w:rPr>
      </w:pPr>
      <w:r>
        <w:rPr>
          <w:rFonts w:hint="cs"/>
          <w:rtl/>
          <w:lang w:bidi="fa-IR"/>
        </w:rPr>
        <w:t xml:space="preserve">* </w:t>
      </w:r>
      <w:r w:rsidR="008A74EB" w:rsidRPr="00C9040A">
        <w:rPr>
          <w:rtl/>
          <w:lang w:bidi="fa-IR"/>
        </w:rPr>
        <w:t>عَلِيُّ بْنُ إِبْرَاهِيمَ ، عَنْ أَبِيهِ ، عَنْ مُحَمَّدِ بْنِ زِيَادٍ ، مِثْلَ الْحَدِيثَيْنِ.</w:t>
      </w:r>
    </w:p>
    <w:p w:rsidR="008A74EB" w:rsidRPr="00C9040A" w:rsidRDefault="008A74EB" w:rsidP="008A74EB">
      <w:pPr>
        <w:pStyle w:val="libNormal"/>
        <w:rPr>
          <w:rtl/>
          <w:lang w:bidi="fa-IR"/>
        </w:rPr>
      </w:pPr>
      <w:r w:rsidRPr="004B0890">
        <w:rPr>
          <w:rtl/>
        </w:rPr>
        <w:t>2147</w:t>
      </w:r>
      <w:r w:rsidRPr="00261CB0">
        <w:rPr>
          <w:rStyle w:val="libBold2Char"/>
          <w:rtl/>
        </w:rPr>
        <w:t xml:space="preserve"> / 4.</w:t>
      </w:r>
      <w:r w:rsidRPr="00C9040A">
        <w:rPr>
          <w:rtl/>
          <w:lang w:bidi="fa-IR"/>
        </w:rPr>
        <w:t xml:space="preserve"> عَلِيٌّ ، عَنْ أَبِيهِ ، عَنْ مُحَمَّدِ بْنِ زِيَادٍ ، عَنْ صَنْدَلٍ ، عَنْ أَبِي الصَّبَّاحِ الْكِنَانِيِّ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لَقَضَاءُ حَاجَةِ امْرِئٍ مُؤْمِنٍ أَحَبُّ إِلَى اللهِ </w:t>
      </w:r>
      <w:r w:rsidR="006C577F" w:rsidRPr="006C577F">
        <w:rPr>
          <w:rStyle w:val="libFootnotenumChar"/>
          <w:rtl/>
        </w:rPr>
        <w:t>(8)</w:t>
      </w:r>
      <w:r w:rsidRPr="00C9040A">
        <w:rPr>
          <w:rtl/>
          <w:lang w:bidi="fa-IR"/>
        </w:rPr>
        <w:t xml:space="preserve"> مِنْ عِشْرِينَ حَجَّةً ،</w:t>
      </w:r>
    </w:p>
    <w:p w:rsidR="008A74EB" w:rsidRPr="00C9040A" w:rsidRDefault="008A74EB" w:rsidP="008A74EB">
      <w:pPr>
        <w:pStyle w:val="libLine"/>
        <w:rPr>
          <w:rtl/>
          <w:lang w:bidi="fa-IR"/>
        </w:rPr>
      </w:pPr>
      <w:r w:rsidRPr="00C9040A">
        <w:rPr>
          <w:rtl/>
          <w:lang w:bidi="fa-IR"/>
        </w:rPr>
        <w:t>__________________</w:t>
      </w:r>
    </w:p>
    <w:p w:rsidR="008A74EB" w:rsidRPr="00C9040A" w:rsidRDefault="00132143" w:rsidP="004A4E41">
      <w:pPr>
        <w:pStyle w:val="libFootnote0"/>
        <w:rPr>
          <w:rtl/>
          <w:lang w:bidi="fa-IR"/>
        </w:rPr>
      </w:pPr>
      <w:r>
        <w:rPr>
          <w:rFonts w:hint="cs"/>
          <w:rtl/>
        </w:rPr>
        <w:t xml:space="preserve">= </w:t>
      </w:r>
      <w:r w:rsidR="008A74EB" w:rsidRPr="00C9040A">
        <w:rPr>
          <w:rtl/>
        </w:rPr>
        <w:t>مصادرنا ؛ من الأسناد والطرق وكتب الرجال.</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حاشية « ب » : « ولا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w:t>
      </w:r>
      <w:r w:rsidR="008A74EB" w:rsidRPr="00993B55">
        <w:rPr>
          <w:rStyle w:val="libFootnoteBoldChar"/>
          <w:rtl/>
        </w:rPr>
        <w:t>الوافي</w:t>
      </w:r>
      <w:r w:rsidR="008A74EB" w:rsidRPr="00C9040A">
        <w:rPr>
          <w:rtl/>
        </w:rPr>
        <w:t xml:space="preserve"> : « لعلّ المراد بآخر الحديث بيان أنّهم </w:t>
      </w:r>
      <w:r w:rsidR="00117575" w:rsidRPr="00117575">
        <w:rPr>
          <w:rStyle w:val="libFootnoteAlaemChar"/>
          <w:rtl/>
        </w:rPr>
        <w:t>عليهم‌السلام</w:t>
      </w:r>
      <w:r w:rsidR="008A74EB" w:rsidRPr="00C9040A">
        <w:rPr>
          <w:rtl/>
        </w:rPr>
        <w:t xml:space="preserve"> لايطلبون حوائجهم إلى أحد سوى الله سبحانه وأنّهم منزّهون عن ذلك »</w:t>
      </w:r>
      <w:r w:rsidR="008A74EB">
        <w:rPr>
          <w:rtl/>
        </w:rPr>
        <w:t>.</w:t>
      </w:r>
      <w:r w:rsidR="008A74EB" w:rsidRPr="00C9040A">
        <w:rPr>
          <w:rtl/>
        </w:rPr>
        <w:t xml:space="preserve"> وفي المرآة : « الظاهر أنّه تنبيه للمفضّل وأمثاله لئلاّ يصيروا إلى الغلوّ »</w:t>
      </w:r>
      <w:r w:rsidR="008A74EB">
        <w:rPr>
          <w:rtl/>
        </w:rPr>
        <w:t>.</w:t>
      </w:r>
    </w:p>
    <w:p w:rsidR="008A74EB" w:rsidRPr="00C9040A" w:rsidRDefault="006C577F" w:rsidP="006F0C32">
      <w:pPr>
        <w:pStyle w:val="libFootnote0"/>
        <w:rPr>
          <w:rtl/>
          <w:lang w:bidi="fa-IR"/>
        </w:rPr>
      </w:pPr>
      <w:r>
        <w:rPr>
          <w:rtl/>
        </w:rPr>
        <w:t>(3).</w:t>
      </w:r>
      <w:r w:rsidR="008A74EB" w:rsidRPr="00C9040A">
        <w:rPr>
          <w:rtl/>
        </w:rPr>
        <w:t xml:space="preserve"> </w:t>
      </w:r>
      <w:r w:rsidR="008A74EB" w:rsidRPr="00993B55">
        <w:rPr>
          <w:rStyle w:val="libFootnoteBoldChar"/>
          <w:rtl/>
        </w:rPr>
        <w:t>المؤمن</w:t>
      </w:r>
      <w:r w:rsidR="008A74EB" w:rsidRPr="00C9040A">
        <w:rPr>
          <w:rtl/>
        </w:rPr>
        <w:t xml:space="preserve"> ، ص 46 ، ح 108 ، عن أبي عبدالله </w:t>
      </w:r>
      <w:r w:rsidR="00117575" w:rsidRPr="00117575">
        <w:rPr>
          <w:rStyle w:val="libFootnoteAlaemChar"/>
          <w:rtl/>
        </w:rPr>
        <w:t>عليه‌السلام</w:t>
      </w:r>
      <w:r w:rsidR="008A74EB" w:rsidRPr="00C9040A">
        <w:rPr>
          <w:rtl/>
        </w:rPr>
        <w:t xml:space="preserve"> ، إلى قوله : « ليثيبهم على ذلك الجنّة » مع اختلاف يسير</w:t>
      </w:r>
      <w:r w:rsidR="006F0C32">
        <w:rPr>
          <w:rFonts w:hint="cs"/>
          <w:rtl/>
        </w:rPr>
        <w:t>.</w:t>
      </w:r>
      <w:r w:rsidR="008A74EB" w:rsidRPr="00993B55">
        <w:rPr>
          <w:rStyle w:val="libFootnoteBoldChar"/>
          <w:rtl/>
        </w:rPr>
        <w:t>الوافي</w:t>
      </w:r>
      <w:r w:rsidR="008A74EB" w:rsidRPr="00C9040A">
        <w:rPr>
          <w:rtl/>
        </w:rPr>
        <w:t xml:space="preserve"> ، ج 5 ، ص 659 ، ح 2812 ؛ </w:t>
      </w:r>
      <w:r w:rsidR="008A74EB" w:rsidRPr="00993B55">
        <w:rPr>
          <w:rStyle w:val="libFootnoteBoldChar"/>
          <w:rtl/>
        </w:rPr>
        <w:t>الوسائل</w:t>
      </w:r>
      <w:r w:rsidR="008A74EB" w:rsidRPr="00C9040A">
        <w:rPr>
          <w:rtl/>
        </w:rPr>
        <w:t xml:space="preserve"> ، ج 16 ، ص 357 ، ح 21754 ، إلى قوله : « فإن استطعت أن تكون منهم فكن » ؛ </w:t>
      </w:r>
      <w:r w:rsidR="008A74EB" w:rsidRPr="00993B55">
        <w:rPr>
          <w:rStyle w:val="libFootnoteBoldChar"/>
          <w:rtl/>
        </w:rPr>
        <w:t>البحار</w:t>
      </w:r>
      <w:r w:rsidR="008A74EB" w:rsidRPr="00C9040A">
        <w:rPr>
          <w:rtl/>
        </w:rPr>
        <w:t xml:space="preserve"> ، ج 74 ، ص 323 ، ح 91.</w:t>
      </w:r>
    </w:p>
    <w:p w:rsidR="008A74EB" w:rsidRPr="00C9040A" w:rsidRDefault="006C577F" w:rsidP="004A4E41">
      <w:pPr>
        <w:pStyle w:val="libFootnote0"/>
        <w:rPr>
          <w:rtl/>
          <w:lang w:bidi="fa-IR"/>
        </w:rPr>
      </w:pPr>
      <w:r>
        <w:rPr>
          <w:rtl/>
        </w:rPr>
        <w:t>(4).</w:t>
      </w:r>
      <w:r w:rsidR="008A74EB" w:rsidRPr="00C9040A">
        <w:rPr>
          <w:rtl/>
        </w:rPr>
        <w:t xml:space="preserve"> في « ف » : « وعنه »</w:t>
      </w:r>
      <w:r w:rsidR="008A74EB">
        <w:rPr>
          <w:rtl/>
        </w:rPr>
        <w:t>.</w:t>
      </w:r>
      <w:r w:rsidR="008A74EB" w:rsidRPr="00C9040A">
        <w:rPr>
          <w:rtl/>
        </w:rPr>
        <w:t xml:space="preserve"> وتقدّم أنّ الضمير راجع إلى أحمد بن محمّد بن عيسى.</w:t>
      </w:r>
    </w:p>
    <w:p w:rsidR="008A74EB" w:rsidRPr="00C9040A" w:rsidRDefault="006C577F" w:rsidP="004A4E41">
      <w:pPr>
        <w:pStyle w:val="libFootnote0"/>
        <w:rPr>
          <w:rtl/>
          <w:lang w:bidi="fa-IR"/>
        </w:rPr>
      </w:pPr>
      <w:r>
        <w:rPr>
          <w:rtl/>
        </w:rPr>
        <w:t>(5).</w:t>
      </w:r>
      <w:r w:rsidR="008A74EB" w:rsidRPr="00C9040A">
        <w:rPr>
          <w:rtl/>
        </w:rPr>
        <w:t xml:space="preserve"> في المؤمن ، ص 49 : « نسمة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 الحُملان » : ما يُحمل عليه من الدوابّ في الهبة خاصّة. </w:t>
      </w:r>
      <w:r w:rsidR="008A74EB" w:rsidRPr="00993B55">
        <w:rPr>
          <w:rStyle w:val="libFootnoteBoldChar"/>
          <w:rtl/>
        </w:rPr>
        <w:t>ترتيب كتاب العين</w:t>
      </w:r>
      <w:r w:rsidR="008A74EB" w:rsidRPr="00C9040A">
        <w:rPr>
          <w:rtl/>
        </w:rPr>
        <w:t xml:space="preserve"> ، ج 1 ، ص 428 ( حمل )</w:t>
      </w:r>
      <w:r w:rsidR="008A74EB">
        <w:rPr>
          <w:rtl/>
        </w:rPr>
        <w:t>.</w:t>
      </w:r>
    </w:p>
    <w:p w:rsidR="008A74EB" w:rsidRPr="00C9040A" w:rsidRDefault="006C577F" w:rsidP="006F0C32">
      <w:pPr>
        <w:pStyle w:val="libFootnote0"/>
        <w:rPr>
          <w:rtl/>
          <w:lang w:bidi="fa-IR"/>
        </w:rPr>
      </w:pPr>
      <w:r>
        <w:rPr>
          <w:rtl/>
        </w:rPr>
        <w:t>(7).</w:t>
      </w:r>
      <w:r w:rsidR="008A74EB" w:rsidRPr="00C9040A">
        <w:rPr>
          <w:rtl/>
        </w:rPr>
        <w:t xml:space="preserve"> </w:t>
      </w:r>
      <w:r w:rsidR="008A74EB" w:rsidRPr="00993B55">
        <w:rPr>
          <w:rStyle w:val="libFootnoteBoldChar"/>
          <w:rtl/>
        </w:rPr>
        <w:t>المؤمن</w:t>
      </w:r>
      <w:r w:rsidR="008A74EB" w:rsidRPr="00C9040A">
        <w:rPr>
          <w:rtl/>
        </w:rPr>
        <w:t xml:space="preserve"> ، ص 47 </w:t>
      </w:r>
      <w:r w:rsidR="008A74EB">
        <w:rPr>
          <w:rtl/>
        </w:rPr>
        <w:t>و 4</w:t>
      </w:r>
      <w:r w:rsidR="008A74EB" w:rsidRPr="00C9040A">
        <w:rPr>
          <w:rtl/>
        </w:rPr>
        <w:t xml:space="preserve">9 ، ح 111 </w:t>
      </w:r>
      <w:r w:rsidR="008A74EB">
        <w:rPr>
          <w:rtl/>
        </w:rPr>
        <w:t>و 1</w:t>
      </w:r>
      <w:r w:rsidR="008A74EB" w:rsidRPr="00C9040A">
        <w:rPr>
          <w:rtl/>
        </w:rPr>
        <w:t>17 ؛ و</w:t>
      </w:r>
      <w:r w:rsidR="008A74EB" w:rsidRPr="00993B55">
        <w:rPr>
          <w:rStyle w:val="libFootnoteBoldChar"/>
          <w:rtl/>
        </w:rPr>
        <w:t xml:space="preserve">مصادقة الإخوان </w:t>
      </w:r>
      <w:r w:rsidR="008A74EB" w:rsidRPr="00C9040A">
        <w:rPr>
          <w:rtl/>
        </w:rPr>
        <w:t>، ص 54 ، ح 3 ؛ و</w:t>
      </w:r>
      <w:r w:rsidR="008A74EB" w:rsidRPr="00993B55">
        <w:rPr>
          <w:rStyle w:val="libFootnoteBoldChar"/>
          <w:rtl/>
        </w:rPr>
        <w:t>الاختصاص</w:t>
      </w:r>
      <w:r w:rsidR="008A74EB" w:rsidRPr="00C9040A">
        <w:rPr>
          <w:rtl/>
        </w:rPr>
        <w:t xml:space="preserve"> ، ص 26 ، مرسلاً</w:t>
      </w:r>
      <w:r w:rsidR="006F0C32">
        <w:rPr>
          <w:rFonts w:hint="cs"/>
          <w:rtl/>
        </w:rPr>
        <w:t>.</w:t>
      </w:r>
      <w:r w:rsidR="008A74EB" w:rsidRPr="00993B55">
        <w:rPr>
          <w:rStyle w:val="libFootnoteBoldChar"/>
          <w:rtl/>
        </w:rPr>
        <w:t>الوافي</w:t>
      </w:r>
      <w:r w:rsidR="008A74EB" w:rsidRPr="00C9040A">
        <w:rPr>
          <w:rtl/>
        </w:rPr>
        <w:t xml:space="preserve"> ، ج 5 ، ص 660 ، ح 2813 ؛ </w:t>
      </w:r>
      <w:r w:rsidR="008A74EB" w:rsidRPr="00993B55">
        <w:rPr>
          <w:rStyle w:val="libFootnoteBoldChar"/>
          <w:rtl/>
        </w:rPr>
        <w:t>الوسائل</w:t>
      </w:r>
      <w:r w:rsidR="008A74EB" w:rsidRPr="00C9040A">
        <w:rPr>
          <w:rtl/>
        </w:rPr>
        <w:t xml:space="preserve"> ، ج 16 ، ص 363 ، ح 21768 ؛ </w:t>
      </w:r>
      <w:r w:rsidR="008A74EB" w:rsidRPr="00993B55">
        <w:rPr>
          <w:rStyle w:val="libFootnoteBoldChar"/>
          <w:rtl/>
        </w:rPr>
        <w:t>البحار</w:t>
      </w:r>
      <w:r w:rsidR="008A74EB" w:rsidRPr="00C9040A">
        <w:rPr>
          <w:rtl/>
        </w:rPr>
        <w:t xml:space="preserve"> ، ج 74 ، ص 324 ، ح 92.</w:t>
      </w:r>
    </w:p>
    <w:p w:rsidR="008A74EB" w:rsidRPr="00C9040A" w:rsidRDefault="006C577F" w:rsidP="004A4E41">
      <w:pPr>
        <w:pStyle w:val="libFootnote0"/>
        <w:rPr>
          <w:rtl/>
          <w:lang w:bidi="fa-IR"/>
        </w:rPr>
      </w:pPr>
      <w:r>
        <w:rPr>
          <w:rtl/>
        </w:rPr>
        <w:t>(8).</w:t>
      </w:r>
      <w:r w:rsidR="008A74EB" w:rsidRPr="00C9040A">
        <w:rPr>
          <w:rtl/>
        </w:rPr>
        <w:t xml:space="preserve"> في « ص ، ض ، ف ، بف » : « إليّ » بدل « إلى الله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كُلُّ حَجَّةٍ يُنْفِقُ فِيهَا صَاحِبُهَا مِائَةَ أَلْفٍ »</w:t>
      </w:r>
      <w:r>
        <w:rPr>
          <w:rtl/>
          <w:lang w:bidi="fa-IR"/>
        </w:rPr>
        <w:t>.</w:t>
      </w:r>
      <w:r w:rsidRPr="00C9040A">
        <w:rPr>
          <w:rtl/>
          <w:lang w:bidi="fa-IR"/>
        </w:rPr>
        <w:t xml:space="preserve"> </w:t>
      </w:r>
      <w:r w:rsidR="006C577F" w:rsidRPr="006C577F">
        <w:rPr>
          <w:rStyle w:val="libFootnotenumChar"/>
          <w:rtl/>
        </w:rPr>
        <w:t>(1)</w:t>
      </w:r>
      <w:r w:rsidRPr="00C9040A">
        <w:rPr>
          <w:rtl/>
          <w:lang w:bidi="fa-IR"/>
        </w:rPr>
        <w:t xml:space="preserve"> ‌</w:t>
      </w:r>
    </w:p>
    <w:p w:rsidR="008A74EB" w:rsidRPr="00C9040A" w:rsidRDefault="008A74EB" w:rsidP="008A74EB">
      <w:pPr>
        <w:pStyle w:val="libNormal"/>
        <w:rPr>
          <w:rtl/>
          <w:lang w:bidi="fa-IR"/>
        </w:rPr>
      </w:pPr>
      <w:r w:rsidRPr="009159CE">
        <w:rPr>
          <w:rtl/>
        </w:rPr>
        <w:t>2148</w:t>
      </w:r>
      <w:r w:rsidRPr="00261CB0">
        <w:rPr>
          <w:rStyle w:val="libBold2Char"/>
          <w:rtl/>
        </w:rPr>
        <w:t xml:space="preserve"> / 5.</w:t>
      </w:r>
      <w:r w:rsidRPr="00C9040A">
        <w:rPr>
          <w:rtl/>
          <w:lang w:bidi="fa-IR"/>
        </w:rPr>
        <w:t xml:space="preserve"> عِدَّةٌ مِنْ أَصْحَابِنَا ، عَنْ أَحْمَدَ بْنِ مُحَمَّدِ بْنِ خَالِدٍ ، عَنْ أَبِيهِ ، عَنْ هَارُونَ بْنِ الْجَهْمِ ، عَنْ إِسْمَاعِيلَ بْنِ عَمَّارٍ الصَّيْرَفِيِّ ، قَالَ :</w:t>
      </w:r>
    </w:p>
    <w:p w:rsidR="008A74EB" w:rsidRPr="00C9040A" w:rsidRDefault="008A74EB" w:rsidP="008A74EB">
      <w:pPr>
        <w:pStyle w:val="libNormal"/>
        <w:rPr>
          <w:rtl/>
          <w:lang w:bidi="fa-IR"/>
        </w:rPr>
      </w:pPr>
      <w:r w:rsidRPr="00C9040A">
        <w:rPr>
          <w:rtl/>
          <w:lang w:bidi="fa-IR"/>
        </w:rPr>
        <w:t xml:space="preserve">قُلْتُ لِأَبِي عَبْدِ اللهِ </w:t>
      </w:r>
      <w:r w:rsidRPr="0003660B">
        <w:rPr>
          <w:rStyle w:val="libAlaemChar"/>
          <w:rtl/>
        </w:rPr>
        <w:t>عليه‌السلام</w:t>
      </w:r>
      <w:r w:rsidRPr="00C9040A">
        <w:rPr>
          <w:rtl/>
          <w:lang w:bidi="fa-IR"/>
        </w:rPr>
        <w:t xml:space="preserve"> : جُعِلْتُ فِدَاكَ </w:t>
      </w:r>
      <w:r w:rsidR="006C577F" w:rsidRPr="006C577F">
        <w:rPr>
          <w:rStyle w:val="libFootnotenumChar"/>
          <w:rtl/>
        </w:rPr>
        <w:t>(2)</w:t>
      </w:r>
      <w:r w:rsidRPr="00C9040A">
        <w:rPr>
          <w:rtl/>
          <w:lang w:bidi="fa-IR"/>
        </w:rPr>
        <w:t xml:space="preserve"> ، الْمُؤْمِنُ رَحْمَةٌ عَلَى الْمُؤْمِنِ</w:t>
      </w:r>
      <w:r>
        <w:rPr>
          <w:rtl/>
          <w:lang w:bidi="fa-IR"/>
        </w:rPr>
        <w:t>؟</w:t>
      </w:r>
      <w:r w:rsidRPr="00C9040A">
        <w:rPr>
          <w:rtl/>
          <w:lang w:bidi="fa-IR"/>
        </w:rPr>
        <w:t xml:space="preserve"> قَالَ : « نَعَمْ » قُلْتُ : وَكَيْفَ </w:t>
      </w:r>
      <w:r w:rsidR="006C577F" w:rsidRPr="006C577F">
        <w:rPr>
          <w:rStyle w:val="libFootnotenumChar"/>
          <w:rtl/>
        </w:rPr>
        <w:t>(3)</w:t>
      </w:r>
      <w:r w:rsidRPr="00C9040A">
        <w:rPr>
          <w:rtl/>
          <w:lang w:bidi="fa-IR"/>
        </w:rPr>
        <w:t xml:space="preserve"> ذَاكَ </w:t>
      </w:r>
      <w:r w:rsidR="006C577F" w:rsidRPr="006C577F">
        <w:rPr>
          <w:rStyle w:val="libFootnotenumChar"/>
          <w:rtl/>
        </w:rPr>
        <w:t>(4)</w:t>
      </w:r>
      <w:r>
        <w:rPr>
          <w:rtl/>
          <w:lang w:bidi="fa-IR"/>
        </w:rPr>
        <w:t>؟</w:t>
      </w:r>
      <w:r w:rsidRPr="00C9040A">
        <w:rPr>
          <w:rtl/>
          <w:lang w:bidi="fa-IR"/>
        </w:rPr>
        <w:t xml:space="preserve"> قَالَ : « أَيُّمَا مُؤْمِنٍ أَتى أَخَاهُ </w:t>
      </w:r>
      <w:r w:rsidR="006C577F" w:rsidRPr="006C577F">
        <w:rPr>
          <w:rStyle w:val="libFootnotenumChar"/>
          <w:rtl/>
        </w:rPr>
        <w:t>(5)</w:t>
      </w:r>
      <w:r w:rsidRPr="00C9040A">
        <w:rPr>
          <w:rtl/>
          <w:lang w:bidi="fa-IR"/>
        </w:rPr>
        <w:t xml:space="preserve"> فِي حَاجَةٍ ، فَإِنَّمَا ذلِكَ رَحْمَةٌ مِنَ </w:t>
      </w:r>
      <w:r w:rsidR="006C577F" w:rsidRPr="006C577F">
        <w:rPr>
          <w:rStyle w:val="libFootnotenumChar"/>
          <w:rtl/>
        </w:rPr>
        <w:t>(6)</w:t>
      </w:r>
      <w:r w:rsidRPr="005B567D">
        <w:rPr>
          <w:rStyle w:val="libFootnotenumChar"/>
          <w:rtl/>
        </w:rPr>
        <w:t xml:space="preserve"> </w:t>
      </w:r>
      <w:r w:rsidRPr="00C9040A">
        <w:rPr>
          <w:rtl/>
          <w:lang w:bidi="fa-IR"/>
        </w:rPr>
        <w:t xml:space="preserve">اللهِ سَاقَهَا إِلَيْهِ ، وَسَبَّبَهَا </w:t>
      </w:r>
      <w:r w:rsidR="006C577F" w:rsidRPr="006C577F">
        <w:rPr>
          <w:rStyle w:val="libFootnotenumChar"/>
          <w:rtl/>
        </w:rPr>
        <w:t>(7)</w:t>
      </w:r>
      <w:r w:rsidRPr="00C9040A">
        <w:rPr>
          <w:rtl/>
          <w:lang w:bidi="fa-IR"/>
        </w:rPr>
        <w:t xml:space="preserve"> لَهُ ، فَإِنْ قَضى </w:t>
      </w:r>
      <w:r w:rsidR="006C577F" w:rsidRPr="006C577F">
        <w:rPr>
          <w:rStyle w:val="libFootnotenumChar"/>
          <w:rtl/>
        </w:rPr>
        <w:t>(8)</w:t>
      </w:r>
      <w:r w:rsidRPr="00C9040A">
        <w:rPr>
          <w:rtl/>
          <w:lang w:bidi="fa-IR"/>
        </w:rPr>
        <w:t xml:space="preserve"> حَاجَتَهُ ، كَانَ قَدْ قَبِلَ الرَّحْمَةَ بِقَبُولِهَا ؛ وَإِنْ رَدَّهُ عَنْ حَاجَتِهِ وَهُوَ يَقْدِرُ عَلى قَضَائِهَا ، فَإِنَّمَا رَدَّ عَنْ نَفْسِهِ رَحْمَةً مِنَ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سَاقَهَا إِلَيْهِ </w:t>
      </w:r>
      <w:r w:rsidR="006C577F" w:rsidRPr="006C577F">
        <w:rPr>
          <w:rStyle w:val="libFootnotenumChar"/>
          <w:rtl/>
        </w:rPr>
        <w:t>(9)</w:t>
      </w:r>
      <w:r w:rsidRPr="00C9040A">
        <w:rPr>
          <w:rtl/>
          <w:lang w:bidi="fa-IR"/>
        </w:rPr>
        <w:t xml:space="preserve"> ، وَسَبَّبَهَا لَهُ ، وَذَخَرَ </w:t>
      </w:r>
      <w:r w:rsidR="006C577F" w:rsidRPr="006C577F">
        <w:rPr>
          <w:rStyle w:val="libFootnotenumChar"/>
          <w:rtl/>
        </w:rPr>
        <w:t>(10)</w:t>
      </w:r>
      <w:r w:rsidRPr="00C9040A">
        <w:rPr>
          <w:rtl/>
          <w:lang w:bidi="fa-IR"/>
        </w:rPr>
        <w:t xml:space="preserve">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تِلْكَ الرَّحْمَةَ إِلى يَوْمِ الْقِيَامَةِ حَتّى يَكُونَ الْمَرْدُودُ عَنْ حَاجَتِهِ هُوَ الْحَاكِمَ فِيهَا ، إِنْ شَاءَ صَرَفَهَا إِلى نَفْسِهِ ، وَإِنْ شَاءَ صَرَفَهَا إِلى غَيْرِهِ.</w:t>
      </w:r>
    </w:p>
    <w:p w:rsidR="008A74EB" w:rsidRPr="00C9040A" w:rsidRDefault="008A74EB" w:rsidP="008A74EB">
      <w:pPr>
        <w:pStyle w:val="libNormal"/>
        <w:rPr>
          <w:rtl/>
          <w:lang w:bidi="fa-IR"/>
        </w:rPr>
      </w:pPr>
      <w:r w:rsidRPr="00C9040A">
        <w:rPr>
          <w:rtl/>
          <w:lang w:bidi="fa-IR"/>
        </w:rPr>
        <w:t xml:space="preserve">يَا إِسْمَاعِيلُ ، فَإِذَا </w:t>
      </w:r>
      <w:r w:rsidR="006C577F" w:rsidRPr="006C577F">
        <w:rPr>
          <w:rStyle w:val="libFootnotenumChar"/>
          <w:rtl/>
        </w:rPr>
        <w:t>(11)</w:t>
      </w:r>
      <w:r w:rsidRPr="00C9040A">
        <w:rPr>
          <w:rtl/>
          <w:lang w:bidi="fa-IR"/>
        </w:rPr>
        <w:t xml:space="preserve"> كَانَ يَوْمُ الْقِيَامَةِ وَهُوَ الْحَاكِمُ فِي رَحْمَةٍ مِنَ اللهِ قَدْ شُرِعَتْ لَهُ ، فَإِلى مَنْ تَرى </w:t>
      </w:r>
      <w:r w:rsidR="006C577F" w:rsidRPr="006C577F">
        <w:rPr>
          <w:rStyle w:val="libFootnotenumChar"/>
          <w:rtl/>
        </w:rPr>
        <w:t>(12)</w:t>
      </w:r>
      <w:r w:rsidRPr="00C9040A">
        <w:rPr>
          <w:rtl/>
          <w:lang w:bidi="fa-IR"/>
        </w:rPr>
        <w:t xml:space="preserve"> يَصْرِفُهَا</w:t>
      </w:r>
      <w:r>
        <w:rPr>
          <w:rtl/>
          <w:lang w:bidi="fa-IR"/>
        </w:rPr>
        <w:t>؟</w:t>
      </w:r>
      <w:r w:rsidRPr="00C9040A">
        <w:rPr>
          <w:rtl/>
          <w:lang w:bidi="fa-IR"/>
        </w:rPr>
        <w:t xml:space="preserve"> » قُلْتُ : لَا</w:t>
      </w:r>
      <w:r>
        <w:rPr>
          <w:rFonts w:hint="cs"/>
          <w:rtl/>
          <w:lang w:bidi="fa-IR"/>
        </w:rPr>
        <w:t xml:space="preserve"> </w:t>
      </w:r>
      <w:r w:rsidRPr="00C9040A">
        <w:rPr>
          <w:rtl/>
          <w:lang w:bidi="fa-IR"/>
        </w:rPr>
        <w:t xml:space="preserve">أَظُنُّ يَصْرِفُهَا عَنْ نَفْسِهِ ، قَالَ : « لَا تَظُنَّ ، وَلكِنِ اسْتَيْقِنْ ؛ فَإِنَّهُ </w:t>
      </w:r>
      <w:r w:rsidRPr="005B567D">
        <w:rPr>
          <w:rStyle w:val="libFootnotenumChar"/>
          <w:rtl/>
        </w:rPr>
        <w:t>(13)</w:t>
      </w:r>
      <w:r w:rsidRPr="00C9040A">
        <w:rPr>
          <w:rtl/>
          <w:lang w:bidi="fa-IR"/>
        </w:rPr>
        <w:t xml:space="preserve"> لَنْ يَرُدَّهَا عَنْ نَفْسِهِ.</w:t>
      </w:r>
    </w:p>
    <w:p w:rsidR="008A74EB" w:rsidRPr="00C9040A" w:rsidRDefault="008A74EB" w:rsidP="008A74EB">
      <w:pPr>
        <w:pStyle w:val="libNormal"/>
        <w:rPr>
          <w:rtl/>
          <w:lang w:bidi="fa-IR"/>
        </w:rPr>
      </w:pPr>
      <w:r w:rsidRPr="00C9040A">
        <w:rPr>
          <w:rtl/>
          <w:lang w:bidi="fa-IR"/>
        </w:rPr>
        <w:t>يَا إِسْمَاعِيلُ ، مَنْ أَتَاهُ أَخُوهُ فِي حَاجَةٍ يَقْدِرُ عَلى قَضَائِهَا ، فَلَمْ يَقْضِهَا لَهُ ، سَلَّطَ‌</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993B55">
        <w:rPr>
          <w:rStyle w:val="libFootnoteBoldChar"/>
          <w:rtl/>
        </w:rPr>
        <w:t>الوافي</w:t>
      </w:r>
      <w:r w:rsidR="008A74EB" w:rsidRPr="00C9040A">
        <w:rPr>
          <w:rtl/>
        </w:rPr>
        <w:t xml:space="preserve"> ، ج 5 ، ص 660 ، ح 2814 ؛ </w:t>
      </w:r>
      <w:r w:rsidR="008A74EB" w:rsidRPr="00993B55">
        <w:rPr>
          <w:rStyle w:val="libFootnoteBoldChar"/>
          <w:rtl/>
        </w:rPr>
        <w:t>الوسائل</w:t>
      </w:r>
      <w:r w:rsidR="008A74EB" w:rsidRPr="00C9040A">
        <w:rPr>
          <w:rtl/>
        </w:rPr>
        <w:t xml:space="preserve"> ، ج 16 ، ص 363 ، ح 21769 ؛ </w:t>
      </w:r>
      <w:r w:rsidR="008A74EB" w:rsidRPr="00993B55">
        <w:rPr>
          <w:rStyle w:val="libFootnoteBoldChar"/>
          <w:rtl/>
        </w:rPr>
        <w:t>البحار</w:t>
      </w:r>
      <w:r w:rsidR="008A74EB" w:rsidRPr="00C9040A">
        <w:rPr>
          <w:rtl/>
        </w:rPr>
        <w:t xml:space="preserve"> ، ج 74 ، ص 324 ، ح 93.</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الوسائل </w:t>
      </w:r>
      <w:r w:rsidR="008A74EB">
        <w:rPr>
          <w:rtl/>
        </w:rPr>
        <w:t xml:space="preserve">: </w:t>
      </w:r>
      <w:r w:rsidR="0084262C">
        <w:rPr>
          <w:rtl/>
        </w:rPr>
        <w:t>-</w:t>
      </w:r>
      <w:r w:rsidR="008A74EB" w:rsidRPr="00C9040A">
        <w:rPr>
          <w:rtl/>
        </w:rPr>
        <w:t xml:space="preserve"> « جعلت فداك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ف » : + « هو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بر » والوافي : « ذلك »</w:t>
      </w:r>
      <w:r w:rsidR="008A74EB">
        <w:rPr>
          <w:rtl/>
        </w:rPr>
        <w:t>.</w:t>
      </w:r>
    </w:p>
    <w:tbl>
      <w:tblPr>
        <w:tblStyle w:val="TableGrid"/>
        <w:bidiVisual/>
        <w:tblW w:w="0" w:type="auto"/>
        <w:tblLook w:val="04A0" w:firstRow="1" w:lastRow="0" w:firstColumn="1" w:lastColumn="0" w:noHBand="0" w:noVBand="1"/>
      </w:tblPr>
      <w:tblGrid>
        <w:gridCol w:w="4006"/>
        <w:gridCol w:w="4006"/>
      </w:tblGrid>
      <w:tr w:rsidR="006F0C32" w:rsidTr="006F0C32">
        <w:tc>
          <w:tcPr>
            <w:tcW w:w="4006" w:type="dxa"/>
          </w:tcPr>
          <w:p w:rsidR="006F0C32" w:rsidRDefault="006F0C32" w:rsidP="004A4E41">
            <w:pPr>
              <w:pStyle w:val="libFootnote0"/>
              <w:rPr>
                <w:rtl/>
              </w:rPr>
            </w:pPr>
            <w:r>
              <w:rPr>
                <w:rtl/>
              </w:rPr>
              <w:t>(5).</w:t>
            </w:r>
            <w:r w:rsidRPr="00C9040A">
              <w:rPr>
                <w:rtl/>
              </w:rPr>
              <w:t xml:space="preserve"> في « ز » وثواب الأعمال : « أتاه أخوه »</w:t>
            </w:r>
            <w:r>
              <w:rPr>
                <w:rtl/>
              </w:rPr>
              <w:t>.</w:t>
            </w:r>
          </w:p>
        </w:tc>
        <w:tc>
          <w:tcPr>
            <w:tcW w:w="4006" w:type="dxa"/>
          </w:tcPr>
          <w:p w:rsidR="006F0C32" w:rsidRDefault="006F0C32" w:rsidP="004A4E41">
            <w:pPr>
              <w:pStyle w:val="libFootnote0"/>
              <w:rPr>
                <w:rtl/>
              </w:rPr>
            </w:pPr>
            <w:r>
              <w:rPr>
                <w:rtl/>
              </w:rPr>
              <w:t xml:space="preserve">(6). </w:t>
            </w:r>
            <w:r w:rsidRPr="00C9040A">
              <w:rPr>
                <w:rtl/>
              </w:rPr>
              <w:t xml:space="preserve">في البحار </w:t>
            </w:r>
            <w:r>
              <w:rPr>
                <w:rtl/>
              </w:rPr>
              <w:t>: -</w:t>
            </w:r>
            <w:r w:rsidRPr="00C9040A">
              <w:rPr>
                <w:rtl/>
              </w:rPr>
              <w:t xml:space="preserve"> « من »</w:t>
            </w:r>
            <w:r>
              <w:rPr>
                <w:rtl/>
              </w:rPr>
              <w:t>.</w:t>
            </w:r>
          </w:p>
        </w:tc>
      </w:tr>
      <w:tr w:rsidR="006F0C32" w:rsidTr="006F0C32">
        <w:tc>
          <w:tcPr>
            <w:tcW w:w="4006" w:type="dxa"/>
          </w:tcPr>
          <w:p w:rsidR="006F0C32" w:rsidRDefault="006F0C32" w:rsidP="004A4E41">
            <w:pPr>
              <w:pStyle w:val="libFootnote0"/>
              <w:rPr>
                <w:rtl/>
              </w:rPr>
            </w:pPr>
            <w:r>
              <w:rPr>
                <w:rtl/>
              </w:rPr>
              <w:t>(7).</w:t>
            </w:r>
            <w:r w:rsidRPr="00C9040A">
              <w:rPr>
                <w:rtl/>
              </w:rPr>
              <w:t xml:space="preserve"> في الوسائل : « وسيّبها »</w:t>
            </w:r>
            <w:r>
              <w:rPr>
                <w:rtl/>
              </w:rPr>
              <w:t>.</w:t>
            </w:r>
          </w:p>
        </w:tc>
        <w:tc>
          <w:tcPr>
            <w:tcW w:w="4006" w:type="dxa"/>
          </w:tcPr>
          <w:p w:rsidR="006F0C32" w:rsidRDefault="006F0C32" w:rsidP="004A4E41">
            <w:pPr>
              <w:pStyle w:val="libFootnote0"/>
              <w:rPr>
                <w:rtl/>
              </w:rPr>
            </w:pPr>
            <w:r>
              <w:rPr>
                <w:rtl/>
              </w:rPr>
              <w:t>(8).</w:t>
            </w:r>
            <w:r w:rsidRPr="00C9040A">
              <w:rPr>
                <w:rtl/>
              </w:rPr>
              <w:t xml:space="preserve"> في « ز » : « فإنّ قضاء »</w:t>
            </w:r>
            <w:r>
              <w:rPr>
                <w:rtl/>
              </w:rPr>
              <w:t>.</w:t>
            </w:r>
          </w:p>
        </w:tc>
      </w:tr>
      <w:tr w:rsidR="006F0C32" w:rsidTr="006F0C32">
        <w:tc>
          <w:tcPr>
            <w:tcW w:w="4006" w:type="dxa"/>
          </w:tcPr>
          <w:p w:rsidR="006F0C32" w:rsidRDefault="006F0C32" w:rsidP="004A4E41">
            <w:pPr>
              <w:pStyle w:val="libFootnote0"/>
              <w:rPr>
                <w:rtl/>
              </w:rPr>
            </w:pPr>
            <w:r>
              <w:rPr>
                <w:rtl/>
              </w:rPr>
              <w:t>(9).</w:t>
            </w:r>
            <w:r w:rsidRPr="00C9040A">
              <w:rPr>
                <w:rtl/>
              </w:rPr>
              <w:t xml:space="preserve"> في « ب » : « إليها »</w:t>
            </w:r>
            <w:r>
              <w:rPr>
                <w:rtl/>
              </w:rPr>
              <w:t>.</w:t>
            </w:r>
          </w:p>
        </w:tc>
        <w:tc>
          <w:tcPr>
            <w:tcW w:w="4006" w:type="dxa"/>
          </w:tcPr>
          <w:p w:rsidR="006F0C32" w:rsidRDefault="006F0C32" w:rsidP="004A4E41">
            <w:pPr>
              <w:pStyle w:val="libFootnote0"/>
              <w:rPr>
                <w:rtl/>
              </w:rPr>
            </w:pPr>
            <w:r>
              <w:rPr>
                <w:rtl/>
              </w:rPr>
              <w:t>(10).</w:t>
            </w:r>
            <w:r w:rsidRPr="00C9040A">
              <w:rPr>
                <w:rtl/>
              </w:rPr>
              <w:t xml:space="preserve"> في حاشية « ب » : + « له »</w:t>
            </w:r>
            <w:r>
              <w:rPr>
                <w:rtl/>
              </w:rPr>
              <w:t>.</w:t>
            </w:r>
          </w:p>
        </w:tc>
      </w:tr>
      <w:tr w:rsidR="006F0C32" w:rsidTr="006F0C32">
        <w:tc>
          <w:tcPr>
            <w:tcW w:w="4006" w:type="dxa"/>
          </w:tcPr>
          <w:p w:rsidR="006F0C32" w:rsidRDefault="006F0C32" w:rsidP="004A4E41">
            <w:pPr>
              <w:pStyle w:val="libFootnote0"/>
              <w:rPr>
                <w:rtl/>
              </w:rPr>
            </w:pPr>
            <w:r>
              <w:rPr>
                <w:rtl/>
              </w:rPr>
              <w:t>(11).</w:t>
            </w:r>
            <w:r w:rsidRPr="00C9040A">
              <w:rPr>
                <w:rtl/>
              </w:rPr>
              <w:t xml:space="preserve"> في « بر » : « وإذا »</w:t>
            </w:r>
            <w:r>
              <w:rPr>
                <w:rtl/>
              </w:rPr>
              <w:t>.</w:t>
            </w:r>
          </w:p>
        </w:tc>
        <w:tc>
          <w:tcPr>
            <w:tcW w:w="4006" w:type="dxa"/>
          </w:tcPr>
          <w:p w:rsidR="006F0C32" w:rsidRDefault="006F0C32" w:rsidP="004A4E41">
            <w:pPr>
              <w:pStyle w:val="libFootnote0"/>
              <w:rPr>
                <w:rtl/>
              </w:rPr>
            </w:pPr>
            <w:r>
              <w:rPr>
                <w:rtl/>
              </w:rPr>
              <w:t>(12).</w:t>
            </w:r>
            <w:r w:rsidR="001B0B01">
              <w:rPr>
                <w:rtl/>
              </w:rPr>
              <w:t xml:space="preserve"> في «ز» :</w:t>
            </w:r>
            <w:r w:rsidRPr="00C9040A">
              <w:rPr>
                <w:rtl/>
              </w:rPr>
              <w:t>« يرى »</w:t>
            </w:r>
            <w:r>
              <w:rPr>
                <w:rtl/>
              </w:rPr>
              <w:t>.</w:t>
            </w:r>
            <w:r w:rsidR="001B0B01">
              <w:rPr>
                <w:rtl/>
              </w:rPr>
              <w:t xml:space="preserve"> وفي</w:t>
            </w:r>
            <w:r w:rsidRPr="00C9040A">
              <w:rPr>
                <w:rtl/>
              </w:rPr>
              <w:t xml:space="preserve">« ف » </w:t>
            </w:r>
            <w:r>
              <w:rPr>
                <w:rtl/>
              </w:rPr>
              <w:t>: -</w:t>
            </w:r>
            <w:r w:rsidRPr="00C9040A">
              <w:rPr>
                <w:rtl/>
              </w:rPr>
              <w:t xml:space="preserve"> « ترى »</w:t>
            </w:r>
            <w:r>
              <w:rPr>
                <w:rtl/>
              </w:rPr>
              <w:t>.</w:t>
            </w:r>
          </w:p>
        </w:tc>
      </w:tr>
    </w:tbl>
    <w:p w:rsidR="008A74EB" w:rsidRPr="00C9040A" w:rsidRDefault="008A74EB" w:rsidP="004A4E41">
      <w:pPr>
        <w:pStyle w:val="libFootnote0"/>
        <w:rPr>
          <w:rtl/>
          <w:lang w:bidi="fa-IR"/>
        </w:rPr>
      </w:pPr>
      <w:r>
        <w:rPr>
          <w:rtl/>
        </w:rPr>
        <w:t>(13)</w:t>
      </w:r>
      <w:r w:rsidRPr="00C9040A">
        <w:rPr>
          <w:rtl/>
        </w:rPr>
        <w:t xml:space="preserve"> في الوسائل : « إنّه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اللهُ عَلَيْهِ شُجَاعاً </w:t>
      </w:r>
      <w:r w:rsidR="006C577F" w:rsidRPr="006C577F">
        <w:rPr>
          <w:rStyle w:val="libFootnotenumChar"/>
          <w:rtl/>
        </w:rPr>
        <w:t>(1)</w:t>
      </w:r>
      <w:r w:rsidRPr="00C9040A">
        <w:rPr>
          <w:rtl/>
          <w:lang w:bidi="fa-IR"/>
        </w:rPr>
        <w:t xml:space="preserve"> يَنْهَشُ </w:t>
      </w:r>
      <w:r w:rsidR="006C577F" w:rsidRPr="006C577F">
        <w:rPr>
          <w:rStyle w:val="libFootnotenumChar"/>
          <w:rtl/>
        </w:rPr>
        <w:t>(2)</w:t>
      </w:r>
      <w:r w:rsidRPr="00C9040A">
        <w:rPr>
          <w:rtl/>
          <w:lang w:bidi="fa-IR"/>
        </w:rPr>
        <w:t xml:space="preserve"> إِبْهَامَهُ فِي قَبْرِهِ إِلى يَوْمِ الْقِيَامَةِ ، مَغْفُوراً لَهُ أَوْ مُعَذَّباً »</w:t>
      </w:r>
      <w:r>
        <w:rPr>
          <w:rtl/>
          <w:lang w:bidi="fa-IR"/>
        </w:rPr>
        <w:t>.</w:t>
      </w:r>
      <w:r w:rsidRPr="00C9040A">
        <w:rPr>
          <w:rtl/>
          <w:lang w:bidi="fa-IR"/>
        </w:rPr>
        <w:t xml:space="preserve"> </w:t>
      </w:r>
      <w:r w:rsidR="006C577F" w:rsidRPr="006C577F">
        <w:rPr>
          <w:rStyle w:val="libFootnotenumChar"/>
          <w:rtl/>
        </w:rPr>
        <w:t>(3)</w:t>
      </w:r>
    </w:p>
    <w:p w:rsidR="008A74EB" w:rsidRPr="00C9040A" w:rsidRDefault="008A74EB" w:rsidP="008A74EB">
      <w:pPr>
        <w:pStyle w:val="libNormal"/>
        <w:rPr>
          <w:rtl/>
          <w:lang w:bidi="fa-IR"/>
        </w:rPr>
      </w:pPr>
      <w:r w:rsidRPr="009159CE">
        <w:rPr>
          <w:rtl/>
        </w:rPr>
        <w:t>2149</w:t>
      </w:r>
      <w:r w:rsidRPr="00261CB0">
        <w:rPr>
          <w:rStyle w:val="libBold2Char"/>
          <w:rtl/>
        </w:rPr>
        <w:t xml:space="preserve"> / 6.</w:t>
      </w:r>
      <w:r w:rsidRPr="00C9040A">
        <w:rPr>
          <w:rtl/>
          <w:lang w:bidi="fa-IR"/>
        </w:rPr>
        <w:t xml:space="preserve"> عَلِيُّ بْنُ إِبْرَاهِيمَ ، عَنْ أَبِيهِ ، عَنِ ابْنِ أَبِي عُمَيْرٍ ، عَنِ الْحَكَمِ بْنِ أَيْمَنَ ، عَنْ أَبَانِ بْنِ تَغْلِبَ ، قَالَ :</w:t>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 « مَنْ طَافَ بِالْبَيْتِ أُسْبُوعاً ، كَتَبَ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لَهُ سِتَّةَ آلَافِ </w:t>
      </w:r>
      <w:r w:rsidR="006C577F" w:rsidRPr="006C577F">
        <w:rPr>
          <w:rStyle w:val="libFootnotenumChar"/>
          <w:rtl/>
        </w:rPr>
        <w:t>(4)</w:t>
      </w:r>
      <w:r w:rsidRPr="00C9040A">
        <w:rPr>
          <w:rtl/>
          <w:lang w:bidi="fa-IR"/>
        </w:rPr>
        <w:t xml:space="preserve"> حَسَنَةٍ ، وَمَحَا عَنْهُ سِتَّةَ آلَافِ سَيِّئَةٍ ، وَرَفَعَ لَهُ سِتَّةَ آلَافِ دَرَجَةٍ »</w:t>
      </w:r>
      <w:r>
        <w:rPr>
          <w:rtl/>
          <w:lang w:bidi="fa-IR"/>
        </w:rPr>
        <w:t>.</w:t>
      </w:r>
    </w:p>
    <w:p w:rsidR="008A74EB" w:rsidRPr="00C9040A" w:rsidRDefault="008A74EB" w:rsidP="008A74EB">
      <w:pPr>
        <w:pStyle w:val="libNormal"/>
        <w:rPr>
          <w:rtl/>
          <w:lang w:bidi="fa-IR"/>
        </w:rPr>
      </w:pPr>
      <w:r w:rsidRPr="00C9040A">
        <w:rPr>
          <w:rtl/>
          <w:lang w:bidi="fa-IR"/>
        </w:rPr>
        <w:t xml:space="preserve">قَالَ </w:t>
      </w:r>
      <w:r w:rsidR="006C577F" w:rsidRPr="006C577F">
        <w:rPr>
          <w:rStyle w:val="libFootnotenumChar"/>
          <w:rtl/>
        </w:rPr>
        <w:t>(5)</w:t>
      </w:r>
      <w:r w:rsidRPr="00C9040A">
        <w:rPr>
          <w:rtl/>
          <w:lang w:bidi="fa-IR"/>
        </w:rPr>
        <w:t xml:space="preserve"> : وَزَادَ فِيهِ إِسْحَاقُ بْنُ عَمَّارٍ : « وَقَضى لَهُ سِتَّةَ آلَافِ حَاجَةٍ » قَالَ </w:t>
      </w:r>
      <w:r w:rsidR="006C577F" w:rsidRPr="006C577F">
        <w:rPr>
          <w:rStyle w:val="libFootnotenumChar"/>
          <w:rtl/>
        </w:rPr>
        <w:t>(6)</w:t>
      </w:r>
      <w:r w:rsidRPr="005B567D">
        <w:rPr>
          <w:rStyle w:val="libFootnotenumChar"/>
          <w:rtl/>
        </w:rPr>
        <w:t xml:space="preserve"> </w:t>
      </w:r>
      <w:r w:rsidRPr="00C9040A">
        <w:rPr>
          <w:rtl/>
          <w:lang w:bidi="fa-IR"/>
        </w:rPr>
        <w:t xml:space="preserve">: ثُمَّ قَالَ : « وَقَضَاءُ حَاجَةِ الْمُؤْمِنِ أَفْضَلُ مِنْ طَوَافٍ وَطَوَافٍ » ، حَتّى عَدَّ عَشْراً. </w:t>
      </w:r>
      <w:r w:rsidR="006C577F" w:rsidRPr="006C577F">
        <w:rPr>
          <w:rStyle w:val="libFootnotenumChar"/>
          <w:rtl/>
        </w:rPr>
        <w:t>(7)</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 الشُّجاع » : ضَرب من الحيّات. </w:t>
      </w:r>
      <w:r w:rsidR="008A74EB" w:rsidRPr="00993B55">
        <w:rPr>
          <w:rStyle w:val="libFootnoteBoldChar"/>
          <w:rtl/>
        </w:rPr>
        <w:t>المصباح المنير</w:t>
      </w:r>
      <w:r w:rsidR="008A74EB" w:rsidRPr="00C9040A">
        <w:rPr>
          <w:rtl/>
        </w:rPr>
        <w:t xml:space="preserve"> ، ص 306 ( شجع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نَهَشَتْه الحيّة : لَسَعَتْه. والنَّهْش : النهس ، وهو أخذ اللحم بمقدّم الأسنان. </w:t>
      </w:r>
      <w:r w:rsidR="008A74EB" w:rsidRPr="00993B55">
        <w:rPr>
          <w:rStyle w:val="libFootnoteBoldChar"/>
          <w:rtl/>
        </w:rPr>
        <w:t>الصحاح</w:t>
      </w:r>
      <w:r w:rsidR="008A74EB" w:rsidRPr="00C9040A">
        <w:rPr>
          <w:rtl/>
        </w:rPr>
        <w:t xml:space="preserve"> ، ج 3 ، ص 1023 ( نهش )</w:t>
      </w:r>
      <w:r w:rsidR="008A74EB">
        <w:rPr>
          <w:rtl/>
        </w:rPr>
        <w:t>.</w:t>
      </w:r>
    </w:p>
    <w:p w:rsidR="008A74EB" w:rsidRPr="00C9040A" w:rsidRDefault="006C577F" w:rsidP="00CB245D">
      <w:pPr>
        <w:pStyle w:val="libFootnote0"/>
        <w:rPr>
          <w:rtl/>
          <w:lang w:bidi="fa-IR"/>
        </w:rPr>
      </w:pPr>
      <w:r>
        <w:rPr>
          <w:rtl/>
        </w:rPr>
        <w:t>(3).</w:t>
      </w:r>
      <w:r w:rsidR="008A74EB" w:rsidRPr="00C9040A">
        <w:rPr>
          <w:rtl/>
        </w:rPr>
        <w:t xml:space="preserve"> </w:t>
      </w:r>
      <w:r w:rsidR="008A74EB" w:rsidRPr="00993B55">
        <w:rPr>
          <w:rStyle w:val="libFootnoteBoldChar"/>
          <w:rtl/>
        </w:rPr>
        <w:t xml:space="preserve">ثواب الأعمال </w:t>
      </w:r>
      <w:r w:rsidR="008A74EB" w:rsidRPr="00C9040A">
        <w:rPr>
          <w:rtl/>
        </w:rPr>
        <w:t xml:space="preserve">، ص 296 ، ح 1 ، بسنده عن هارون بن الجهم. </w:t>
      </w:r>
      <w:r w:rsidR="008A74EB" w:rsidRPr="00993B55">
        <w:rPr>
          <w:rStyle w:val="libFootnoteBoldChar"/>
          <w:rtl/>
        </w:rPr>
        <w:t>الأمالي</w:t>
      </w:r>
      <w:r w:rsidR="008A74EB" w:rsidRPr="00C9040A">
        <w:rPr>
          <w:rtl/>
        </w:rPr>
        <w:t xml:space="preserve"> للطوسي ، ص 664 ، المجلس 35 ، ح 36 ، بسند آخر عن أبي عبد الله </w:t>
      </w:r>
      <w:r w:rsidR="00117575" w:rsidRPr="00117575">
        <w:rPr>
          <w:rStyle w:val="libFootnoteAlaemChar"/>
          <w:rtl/>
        </w:rPr>
        <w:t xml:space="preserve">عليه‌السلام </w:t>
      </w:r>
      <w:r w:rsidR="008A74EB" w:rsidRPr="00C9040A">
        <w:rPr>
          <w:rtl/>
        </w:rPr>
        <w:t xml:space="preserve">. وفي </w:t>
      </w:r>
      <w:r w:rsidR="008A74EB" w:rsidRPr="00993B55">
        <w:rPr>
          <w:rStyle w:val="libFootnoteBoldChar"/>
          <w:rtl/>
        </w:rPr>
        <w:t>المؤمن</w:t>
      </w:r>
      <w:r w:rsidR="008A74EB" w:rsidRPr="00C9040A">
        <w:rPr>
          <w:rtl/>
        </w:rPr>
        <w:t xml:space="preserve"> ، ص 49 ، ح 119 ؛ وص 68 ، ح 179 ، كلاهما عن أبي عبدالله </w:t>
      </w:r>
      <w:r w:rsidR="00117575" w:rsidRPr="00117575">
        <w:rPr>
          <w:rStyle w:val="libFootnoteAlaemChar"/>
          <w:rtl/>
        </w:rPr>
        <w:t>عليه‌السلام</w:t>
      </w:r>
      <w:r w:rsidR="008A74EB" w:rsidRPr="00C9040A">
        <w:rPr>
          <w:rtl/>
        </w:rPr>
        <w:t>، وفي الثلاثة الأخيرة من قوله : « من أتاه أخوه في حاجة يقدر على قضائها » مع اختلاف يسير</w:t>
      </w:r>
      <w:r w:rsidR="00CB245D">
        <w:rPr>
          <w:rFonts w:hint="cs"/>
          <w:rtl/>
        </w:rPr>
        <w:t>.</w:t>
      </w:r>
      <w:r w:rsidR="008A74EB" w:rsidRPr="00993B55">
        <w:rPr>
          <w:rStyle w:val="libFootnoteBoldChar"/>
          <w:rtl/>
        </w:rPr>
        <w:t>الوافي</w:t>
      </w:r>
      <w:r w:rsidR="008A74EB" w:rsidRPr="00C9040A">
        <w:rPr>
          <w:rtl/>
        </w:rPr>
        <w:t xml:space="preserve"> ، ج 5 ، ص 662 ، ح 2821 ؛ </w:t>
      </w:r>
      <w:r w:rsidR="008A74EB" w:rsidRPr="00993B55">
        <w:rPr>
          <w:rStyle w:val="libFootnoteBoldChar"/>
          <w:rtl/>
        </w:rPr>
        <w:t>الوسائل</w:t>
      </w:r>
      <w:r w:rsidR="008A74EB" w:rsidRPr="00C9040A">
        <w:rPr>
          <w:rtl/>
        </w:rPr>
        <w:t xml:space="preserve"> ، ج 16 ، ص 358 ، ح 21757 ؛ </w:t>
      </w:r>
      <w:r w:rsidR="008A74EB" w:rsidRPr="00993B55">
        <w:rPr>
          <w:rStyle w:val="libFootnoteBoldChar"/>
          <w:rtl/>
        </w:rPr>
        <w:t>البحار</w:t>
      </w:r>
      <w:r w:rsidR="008A74EB" w:rsidRPr="00C9040A">
        <w:rPr>
          <w:rtl/>
        </w:rPr>
        <w:t xml:space="preserve"> ، ج 74 ، ص 324 ، ح 94.</w:t>
      </w:r>
    </w:p>
    <w:p w:rsidR="008A74EB" w:rsidRPr="00C9040A" w:rsidRDefault="006C577F" w:rsidP="004A4E41">
      <w:pPr>
        <w:pStyle w:val="libFootnote0"/>
        <w:rPr>
          <w:rtl/>
          <w:lang w:bidi="fa-IR"/>
        </w:rPr>
      </w:pPr>
      <w:r>
        <w:rPr>
          <w:rtl/>
        </w:rPr>
        <w:t>(4).</w:t>
      </w:r>
      <w:r w:rsidR="008A74EB" w:rsidRPr="00C9040A">
        <w:rPr>
          <w:rtl/>
        </w:rPr>
        <w:t xml:space="preserve"> في « بس » : « ألف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لا شكّ في كون جملة : « قال : وزاد فيه إسحاق بن عمّار وقضى له ستَّةَ آلاف حاجةٍ » معترضةً جي‌ء بها تتميماًلما عُدَّ في رواية أبان بن تغلب من الثواب على الطواف بالبيت. فإن حذفناها من البين يستقيم معنى رواية أبان بلا خلل. والمراد من « قال : ثمّ قال » أنّه قال أبان بن تغلب : قال أبو عبد الله </w:t>
      </w:r>
      <w:r w:rsidR="00117575" w:rsidRPr="00117575">
        <w:rPr>
          <w:rStyle w:val="libFootnoteAlaemChar"/>
          <w:rtl/>
        </w:rPr>
        <w:t>عليه‌السلام</w:t>
      </w:r>
      <w:r w:rsidR="008A74EB" w:rsidRPr="00C9040A">
        <w:rPr>
          <w:rtl/>
        </w:rPr>
        <w:t xml:space="preserve"> ، بعد ما عَدَّ من الثواب على الطواف : قضاء حاجة إلخ.</w:t>
      </w:r>
    </w:p>
    <w:p w:rsidR="008A74EB" w:rsidRPr="00C9040A" w:rsidRDefault="008A74EB" w:rsidP="004A4E41">
      <w:pPr>
        <w:pStyle w:val="libFootnote0"/>
        <w:rPr>
          <w:rtl/>
          <w:lang w:bidi="fa-IR"/>
        </w:rPr>
      </w:pPr>
      <w:r w:rsidRPr="00323A39">
        <w:rPr>
          <w:rtl/>
        </w:rPr>
        <w:t xml:space="preserve">هذا ، وأمّا الضمير المستتر في « قال : وزاد فيه إسحاق بن عمّار » فالظاهر رجوعه إلى ابن أبي عمير الراوي لكتاب إسحاق بن عمّار ، والراوي عنه في بعض الأسناد. راجع : </w:t>
      </w:r>
      <w:r w:rsidRPr="0034021D">
        <w:rPr>
          <w:rStyle w:val="libFootnoteBoldChar"/>
          <w:rtl/>
        </w:rPr>
        <w:t>الفهرست للطوسي</w:t>
      </w:r>
      <w:r w:rsidRPr="00323A39">
        <w:rPr>
          <w:rtl/>
        </w:rPr>
        <w:t xml:space="preserve"> ، ص 39 ، الرقم 52 ؛ </w:t>
      </w:r>
      <w:r w:rsidRPr="00993B55">
        <w:rPr>
          <w:rStyle w:val="libFootnoteBoldChar"/>
          <w:rtl/>
        </w:rPr>
        <w:t>معجم رجال الحديث</w:t>
      </w:r>
      <w:r w:rsidRPr="00323A39">
        <w:rPr>
          <w:rtl/>
        </w:rPr>
        <w:t xml:space="preserve"> ، ج 14 ، ص 418 ؛ وج 22 ، ص 244.</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البحار </w:t>
      </w:r>
      <w:r w:rsidR="008A74EB">
        <w:rPr>
          <w:rtl/>
        </w:rPr>
        <w:t xml:space="preserve">: </w:t>
      </w:r>
      <w:r w:rsidR="0084262C">
        <w:rPr>
          <w:rtl/>
        </w:rPr>
        <w:t>-</w:t>
      </w:r>
      <w:r w:rsidR="008A74EB" w:rsidRPr="00C9040A">
        <w:rPr>
          <w:rtl/>
        </w:rPr>
        <w:t xml:space="preserve"> « قال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التهذيب</w:t>
      </w:r>
      <w:r w:rsidR="008A74EB" w:rsidRPr="00C9040A">
        <w:rPr>
          <w:rtl/>
        </w:rPr>
        <w:t xml:space="preserve"> ، ج 5 ، ص 120 ، ضمن ح 392 </w:t>
      </w:r>
      <w:r w:rsidR="008A74EB">
        <w:rPr>
          <w:rtl/>
        </w:rPr>
        <w:t>و 3</w:t>
      </w:r>
      <w:r w:rsidR="008A74EB" w:rsidRPr="00C9040A">
        <w:rPr>
          <w:rtl/>
        </w:rPr>
        <w:t xml:space="preserve">93 ، بسند آخر عن أبان بن تغلب. </w:t>
      </w:r>
      <w:r w:rsidR="008A74EB" w:rsidRPr="0034021D">
        <w:rPr>
          <w:rStyle w:val="libFootnoteBoldChar"/>
          <w:rtl/>
        </w:rPr>
        <w:t>الأمالي للصدوق</w:t>
      </w:r>
      <w:r w:rsidR="008A74EB" w:rsidRPr="00C9040A">
        <w:rPr>
          <w:rtl/>
        </w:rPr>
        <w:t xml:space="preserve"> ، ص 493 ، المجلس 74 ، ذيل ح 11 ، بسند آخر ، وفيهما مع اختلاف يسير. </w:t>
      </w:r>
      <w:r w:rsidR="008A74EB" w:rsidRPr="00993B55">
        <w:rPr>
          <w:rStyle w:val="libFootnoteBoldChar"/>
          <w:rtl/>
        </w:rPr>
        <w:t>المؤمن</w:t>
      </w:r>
      <w:r w:rsidR="008A74EB" w:rsidRPr="00C9040A">
        <w:rPr>
          <w:rtl/>
        </w:rPr>
        <w:t xml:space="preserve"> ، ص 49 ، ح 116 ، عن أبي عبدالله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الفقيه</w:t>
      </w:r>
      <w:r w:rsidR="008A74EB" w:rsidRPr="00C9040A">
        <w:rPr>
          <w:rtl/>
        </w:rPr>
        <w:t xml:space="preserve"> ، ج 2 ، ص 208 ، ح 2159 ، مرسلاً ، من قوله : « قضاء حاجة المؤمن أفضل »</w:t>
      </w:r>
      <w:r w:rsidR="008A74EB">
        <w:rPr>
          <w:rtl/>
        </w:rPr>
        <w:t>.</w:t>
      </w:r>
      <w:r w:rsidR="008A74EB" w:rsidRPr="00C9040A">
        <w:rPr>
          <w:rtl/>
        </w:rPr>
        <w:t xml:space="preserve"> راجع : </w:t>
      </w:r>
      <w:r w:rsidR="008A74EB" w:rsidRPr="00993B55">
        <w:rPr>
          <w:rStyle w:val="libFootnoteBoldChar"/>
          <w:rtl/>
        </w:rPr>
        <w:t>الكافي</w:t>
      </w:r>
      <w:r w:rsidR="008A74EB" w:rsidRPr="00C9040A">
        <w:rPr>
          <w:rtl/>
        </w:rPr>
        <w:t xml:space="preserve"> ، كتاب الحجّ ، باب فضل الطواف ، ح 7532 ؛ </w:t>
      </w:r>
      <w:r w:rsidR="008A74EB" w:rsidRPr="00AC2E2F">
        <w:rPr>
          <w:rStyle w:val="libFootnoteBoldChar"/>
          <w:rtl/>
        </w:rPr>
        <w:t>والأمالي للطوسي</w:t>
      </w:r>
      <w:r w:rsidR="008A74EB" w:rsidRPr="00C9040A">
        <w:rPr>
          <w:rtl/>
        </w:rPr>
        <w:t xml:space="preserve"> ، ص 694 ، المجلس 39 ، ضمن ح 21 ؛ </w:t>
      </w:r>
      <w:r w:rsidR="008A74EB" w:rsidRPr="009159CE">
        <w:rPr>
          <w:rtl/>
        </w:rPr>
        <w:t>و</w:t>
      </w:r>
      <w:r w:rsidR="008A74EB" w:rsidRPr="00993B55">
        <w:rPr>
          <w:rStyle w:val="libFootnoteBoldChar"/>
          <w:rtl/>
        </w:rPr>
        <w:t>فقه الرضا</w:t>
      </w:r>
      <w:r w:rsidR="008A74EB" w:rsidRPr="00C9040A">
        <w:rPr>
          <w:rtl/>
        </w:rPr>
        <w:t xml:space="preserve"> </w:t>
      </w:r>
      <w:r w:rsidR="00117575" w:rsidRPr="00117575">
        <w:rPr>
          <w:rStyle w:val="libFootnoteAlaemChar"/>
          <w:rtl/>
        </w:rPr>
        <w:t>عليه‌السلام</w:t>
      </w:r>
      <w:r w:rsidR="008A74EB" w:rsidRPr="00C9040A">
        <w:rPr>
          <w:rtl/>
        </w:rPr>
        <w:t xml:space="preserve"> ، </w:t>
      </w:r>
      <w:r w:rsidR="00CB245D">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9159CE">
        <w:rPr>
          <w:rtl/>
        </w:rPr>
        <w:t>2150</w:t>
      </w:r>
      <w:r w:rsidRPr="00261CB0">
        <w:rPr>
          <w:rStyle w:val="libBold2Char"/>
          <w:rtl/>
        </w:rPr>
        <w:t xml:space="preserve"> / 7.</w:t>
      </w:r>
      <w:r w:rsidRPr="00C9040A">
        <w:rPr>
          <w:rtl/>
          <w:lang w:bidi="fa-IR"/>
        </w:rPr>
        <w:t xml:space="preserve"> الْحُسَيْنُ بْنُ مُحَمَّدٍ ، عَنْ أَحْمَدَ بْنِ إِسْحَاقَ </w:t>
      </w:r>
      <w:r w:rsidR="006C577F" w:rsidRPr="006C577F">
        <w:rPr>
          <w:rStyle w:val="libFootnotenumChar"/>
          <w:rtl/>
        </w:rPr>
        <w:t>(1)</w:t>
      </w:r>
      <w:r w:rsidRPr="00C9040A">
        <w:rPr>
          <w:rtl/>
          <w:lang w:bidi="fa-IR"/>
        </w:rPr>
        <w:t xml:space="preserve"> ، عَنْ بَكْرِ بْنِ مُحَمَّدٍ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مَا قَضى مُسْلِمٌ لِمُسْلِمٍ حَاجَةً </w:t>
      </w:r>
      <w:r w:rsidR="006C577F" w:rsidRPr="006C577F">
        <w:rPr>
          <w:rStyle w:val="libFootnotenumChar"/>
          <w:rtl/>
        </w:rPr>
        <w:t>(2)</w:t>
      </w:r>
      <w:r w:rsidR="005B49BB">
        <w:rPr>
          <w:rtl/>
          <w:lang w:bidi="fa-IR"/>
        </w:rPr>
        <w:t xml:space="preserve"> إِل</w:t>
      </w:r>
      <w:r w:rsidR="005B49BB">
        <w:rPr>
          <w:rFonts w:hint="cs"/>
          <w:rtl/>
          <w:lang w:bidi="fa-IR"/>
        </w:rPr>
        <w:t>َّ</w:t>
      </w:r>
      <w:r w:rsidR="005B49BB">
        <w:rPr>
          <w:rtl/>
          <w:lang w:bidi="fa-IR"/>
        </w:rPr>
        <w:t>ا</w:t>
      </w:r>
      <w:r w:rsidRPr="00C9040A">
        <w:rPr>
          <w:rtl/>
          <w:lang w:bidi="fa-IR"/>
        </w:rPr>
        <w:t xml:space="preserve"> نَادَاهُ اللهُ تَبَارَكَ وَتَعَالى : عَلَيَّ ثَوَابُكَ ، وَلَا أَرْضى لَكَ بِدُونِ الْجَنَّةِ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9159CE">
        <w:rPr>
          <w:rtl/>
        </w:rPr>
        <w:t>2151</w:t>
      </w:r>
      <w:r w:rsidRPr="00261CB0">
        <w:rPr>
          <w:rStyle w:val="libBold2Char"/>
          <w:rtl/>
        </w:rPr>
        <w:t xml:space="preserve"> / 8.</w:t>
      </w:r>
      <w:r w:rsidRPr="00C9040A">
        <w:rPr>
          <w:rtl/>
          <w:lang w:bidi="fa-IR"/>
        </w:rPr>
        <w:t xml:space="preserve"> عَنْهُ </w:t>
      </w:r>
      <w:r w:rsidR="006C577F" w:rsidRPr="006C577F">
        <w:rPr>
          <w:rStyle w:val="libFootnotenumChar"/>
          <w:rtl/>
        </w:rPr>
        <w:t>(4)</w:t>
      </w:r>
      <w:r w:rsidRPr="00C9040A">
        <w:rPr>
          <w:rtl/>
          <w:lang w:bidi="fa-IR"/>
        </w:rPr>
        <w:t xml:space="preserve"> ، عَنْ سَعْدَانَ بْنِ مُسْلِمٍ ، عَنْ إِسْحَاقَ بْنِ عَمَّارٍ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قَالَ : « مَنْ طَافَ بِهذَا الْبَيْتِ طَوَافاً وَاحِداً ، كَتَبَ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لَهُ سِتَّةَ آلَافِ حَسَنَةٍ ، وَمَحَا عَنْهُ سِتَّةَ آلَافِ سَيِّئَةٍ ، وَرَفَعَ </w:t>
      </w:r>
      <w:r w:rsidR="006C577F" w:rsidRPr="006C577F">
        <w:rPr>
          <w:rStyle w:val="libFootnotenumChar"/>
          <w:rtl/>
        </w:rPr>
        <w:t>(5)</w:t>
      </w:r>
      <w:r w:rsidRPr="00C9040A">
        <w:rPr>
          <w:rtl/>
          <w:lang w:bidi="fa-IR"/>
        </w:rPr>
        <w:t xml:space="preserve"> لَهُ سِتَّةَ آلَافِ دَرَجَةٍ ، حَتّى إِذَا كَانَ عِنْدَ الْمُلْتَزَمِ </w:t>
      </w:r>
      <w:r w:rsidR="006C577F" w:rsidRPr="006C577F">
        <w:rPr>
          <w:rStyle w:val="libFootnotenumChar"/>
          <w:rtl/>
        </w:rPr>
        <w:t>(6)</w:t>
      </w:r>
      <w:r w:rsidRPr="005B567D">
        <w:rPr>
          <w:rStyle w:val="libFootnotenumChar"/>
          <w:rtl/>
        </w:rPr>
        <w:t xml:space="preserve"> </w:t>
      </w:r>
      <w:r w:rsidRPr="00C9040A">
        <w:rPr>
          <w:rtl/>
          <w:lang w:bidi="fa-IR"/>
        </w:rPr>
        <w:t xml:space="preserve">، فَتَحَ </w:t>
      </w:r>
      <w:r w:rsidR="006C577F" w:rsidRPr="006C577F">
        <w:rPr>
          <w:rStyle w:val="libFootnotenumChar"/>
          <w:rtl/>
        </w:rPr>
        <w:t>(7)</w:t>
      </w:r>
      <w:r w:rsidRPr="00C9040A">
        <w:rPr>
          <w:rtl/>
          <w:lang w:bidi="fa-IR"/>
        </w:rPr>
        <w:t xml:space="preserve"> لَهُ </w:t>
      </w:r>
      <w:r w:rsidR="006C577F" w:rsidRPr="006C577F">
        <w:rPr>
          <w:rStyle w:val="libFootnotenumChar"/>
          <w:rtl/>
        </w:rPr>
        <w:t>(8)</w:t>
      </w:r>
      <w:r w:rsidRPr="00C9040A">
        <w:rPr>
          <w:rtl/>
          <w:lang w:bidi="fa-IR"/>
        </w:rPr>
        <w:t xml:space="preserve"> سَبْعَةَ أَبْوَابٍ مِنْ أَبْوَابِ الْجَنَّةِ »</w:t>
      </w:r>
      <w:r>
        <w:rPr>
          <w:rtl/>
          <w:lang w:bidi="fa-IR"/>
        </w:rPr>
        <w:t>.</w:t>
      </w:r>
    </w:p>
    <w:p w:rsidR="008A74EB" w:rsidRPr="00C9040A" w:rsidRDefault="008A74EB" w:rsidP="008A74EB">
      <w:pPr>
        <w:pStyle w:val="libNormal"/>
        <w:rPr>
          <w:rtl/>
          <w:lang w:bidi="fa-IR"/>
        </w:rPr>
      </w:pPr>
      <w:r w:rsidRPr="00C9040A">
        <w:rPr>
          <w:rtl/>
          <w:lang w:bidi="fa-IR"/>
        </w:rPr>
        <w:t xml:space="preserve">قُلْتُ لَهُ </w:t>
      </w:r>
      <w:r w:rsidR="006C577F" w:rsidRPr="006C577F">
        <w:rPr>
          <w:rStyle w:val="libFootnotenumChar"/>
          <w:rtl/>
        </w:rPr>
        <w:t>(9)</w:t>
      </w:r>
      <w:r w:rsidRPr="00C9040A">
        <w:rPr>
          <w:rtl/>
          <w:lang w:bidi="fa-IR"/>
        </w:rPr>
        <w:t xml:space="preserve"> : جُعِلْتُ فِدَاكَ ، هذَا الْفَضْلُ كُلُّهُ فِي الطَّوَافِ</w:t>
      </w:r>
      <w:r>
        <w:rPr>
          <w:rtl/>
          <w:lang w:bidi="fa-IR"/>
        </w:rPr>
        <w:t>؟</w:t>
      </w:r>
    </w:p>
    <w:p w:rsidR="008A74EB" w:rsidRPr="00C9040A" w:rsidRDefault="008A74EB" w:rsidP="008A74EB">
      <w:pPr>
        <w:pStyle w:val="libNormal"/>
        <w:rPr>
          <w:rtl/>
          <w:lang w:bidi="fa-IR"/>
        </w:rPr>
      </w:pPr>
      <w:r w:rsidRPr="00C9040A">
        <w:rPr>
          <w:rtl/>
          <w:lang w:bidi="fa-IR"/>
        </w:rPr>
        <w:t xml:space="preserve">قَالَ : « نَعَمْ ، وَأُخْبِرُكَ بِأَفْضَلَ مِنْ ذلِكَ </w:t>
      </w:r>
      <w:r w:rsidR="006C577F" w:rsidRPr="006C577F">
        <w:rPr>
          <w:rStyle w:val="libFootnotenumChar"/>
          <w:rtl/>
        </w:rPr>
        <w:t>(10)</w:t>
      </w:r>
      <w:r w:rsidRPr="00C9040A">
        <w:rPr>
          <w:rtl/>
          <w:lang w:bidi="fa-IR"/>
        </w:rPr>
        <w:t xml:space="preserve"> ، قَضَاءُ حَاجَةِ‌</w:t>
      </w:r>
      <w:r w:rsidR="005B49BB">
        <w:rPr>
          <w:rFonts w:hint="cs"/>
          <w:rtl/>
          <w:lang w:bidi="fa-IR"/>
        </w:rPr>
        <w:t>.......................</w:t>
      </w:r>
      <w:r w:rsidR="005B49BB">
        <w:rPr>
          <w:rFonts w:hint="cs"/>
          <w:rtl/>
          <w:lang w:bidi="fa-IR"/>
        </w:rPr>
        <w:tab/>
      </w:r>
    </w:p>
    <w:p w:rsidR="008A74EB" w:rsidRPr="00C9040A" w:rsidRDefault="008A74EB" w:rsidP="008A74EB">
      <w:pPr>
        <w:pStyle w:val="libLine"/>
        <w:rPr>
          <w:rtl/>
          <w:lang w:bidi="fa-IR"/>
        </w:rPr>
      </w:pPr>
      <w:r w:rsidRPr="00C9040A">
        <w:rPr>
          <w:rtl/>
          <w:lang w:bidi="fa-IR"/>
        </w:rPr>
        <w:t>__________________</w:t>
      </w:r>
    </w:p>
    <w:p w:rsidR="008A74EB" w:rsidRPr="00C9040A" w:rsidRDefault="00AE47CB" w:rsidP="00AE47CB">
      <w:pPr>
        <w:pStyle w:val="libFootnote0"/>
        <w:rPr>
          <w:rtl/>
          <w:lang w:bidi="fa-IR"/>
        </w:rPr>
      </w:pPr>
      <w:r>
        <w:rPr>
          <w:rFonts w:hint="cs"/>
          <w:rtl/>
        </w:rPr>
        <w:t xml:space="preserve">= </w:t>
      </w:r>
      <w:r w:rsidR="008A74EB" w:rsidRPr="00C9040A">
        <w:rPr>
          <w:rtl/>
        </w:rPr>
        <w:t>ص 335</w:t>
      </w:r>
      <w:r>
        <w:rPr>
          <w:rFonts w:hint="cs"/>
          <w:rtl/>
        </w:rPr>
        <w:t>.</w:t>
      </w:r>
      <w:r w:rsidR="008A74EB" w:rsidRPr="00993B55">
        <w:rPr>
          <w:rStyle w:val="libFootnoteBoldChar"/>
          <w:rtl/>
        </w:rPr>
        <w:t>الوافي</w:t>
      </w:r>
      <w:r w:rsidR="008A74EB" w:rsidRPr="00C9040A">
        <w:rPr>
          <w:rtl/>
        </w:rPr>
        <w:t xml:space="preserve"> ، ج 5 ، ص 660 ، ح 2815 ؛ </w:t>
      </w:r>
      <w:r w:rsidR="008A74EB" w:rsidRPr="00993B55">
        <w:rPr>
          <w:rStyle w:val="libFootnoteBoldChar"/>
          <w:rtl/>
        </w:rPr>
        <w:t>الوسائل</w:t>
      </w:r>
      <w:r w:rsidR="008A74EB" w:rsidRPr="00C9040A">
        <w:rPr>
          <w:rtl/>
        </w:rPr>
        <w:t xml:space="preserve"> ، ج 16 ، ص 363 ، ح 21770 ؛ </w:t>
      </w:r>
      <w:r w:rsidR="008A74EB" w:rsidRPr="00993B55">
        <w:rPr>
          <w:rStyle w:val="libFootnoteBoldChar"/>
          <w:rtl/>
        </w:rPr>
        <w:t>البحار</w:t>
      </w:r>
      <w:r w:rsidR="008A74EB" w:rsidRPr="00C9040A">
        <w:rPr>
          <w:rtl/>
        </w:rPr>
        <w:t xml:space="preserve"> ، ج 74 ، ص 326 ، ح 95.</w:t>
      </w:r>
    </w:p>
    <w:p w:rsidR="008A74EB" w:rsidRPr="00C9040A" w:rsidRDefault="006C577F" w:rsidP="00AE47CB">
      <w:pPr>
        <w:pStyle w:val="libFootnote0"/>
        <w:rPr>
          <w:rtl/>
          <w:lang w:bidi="fa-IR"/>
        </w:rPr>
      </w:pPr>
      <w:r>
        <w:rPr>
          <w:rtl/>
        </w:rPr>
        <w:t>(1).</w:t>
      </w:r>
      <w:r w:rsidR="008A74EB">
        <w:rPr>
          <w:rtl/>
        </w:rPr>
        <w:t xml:space="preserve"> </w:t>
      </w:r>
      <w:r w:rsidR="008A74EB" w:rsidRPr="00C9040A">
        <w:rPr>
          <w:rtl/>
        </w:rPr>
        <w:t>هكذا في النسخ والوسائل والبحار. وفي المطبوع : « أحمد [ بن محمّد ] بن إسحاق »</w:t>
      </w:r>
      <w:r w:rsidR="008A74EB">
        <w:rPr>
          <w:rtl/>
        </w:rPr>
        <w:t>.</w:t>
      </w:r>
      <w:r w:rsidR="008A74EB" w:rsidRPr="00C9040A">
        <w:rPr>
          <w:rtl/>
        </w:rPr>
        <w:t xml:space="preserve"> والصواب ما أثبتناه كما تقدّم في </w:t>
      </w:r>
      <w:r w:rsidR="008A74EB" w:rsidRPr="00993B55">
        <w:rPr>
          <w:rStyle w:val="libFootnoteBoldChar"/>
          <w:rtl/>
        </w:rPr>
        <w:t>الكافي</w:t>
      </w:r>
      <w:r w:rsidR="008A74EB" w:rsidRPr="00C9040A">
        <w:rPr>
          <w:rtl/>
        </w:rPr>
        <w:t xml:space="preserve"> ، ح 2085.</w:t>
      </w:r>
      <w:r w:rsidR="00AE47CB">
        <w:rPr>
          <w:rFonts w:hint="cs"/>
          <w:rtl/>
        </w:rPr>
        <w:t xml:space="preserve">                                       </w:t>
      </w:r>
      <w:r>
        <w:rPr>
          <w:rtl/>
        </w:rPr>
        <w:t>(2).</w:t>
      </w:r>
      <w:r w:rsidR="008A74EB">
        <w:rPr>
          <w:rtl/>
        </w:rPr>
        <w:t xml:space="preserve"> </w:t>
      </w:r>
      <w:r w:rsidR="008A74EB" w:rsidRPr="00C9040A">
        <w:rPr>
          <w:rtl/>
        </w:rPr>
        <w:t>في البحار : « حاجته »</w:t>
      </w:r>
      <w:r w:rsidR="008A74EB">
        <w:rPr>
          <w:rtl/>
        </w:rPr>
        <w:t>.</w:t>
      </w:r>
    </w:p>
    <w:p w:rsidR="008A74EB" w:rsidRPr="00C9040A" w:rsidRDefault="006C577F" w:rsidP="00AE47CB">
      <w:pPr>
        <w:pStyle w:val="libFootnote0"/>
        <w:rPr>
          <w:rtl/>
          <w:lang w:bidi="fa-IR"/>
        </w:rPr>
      </w:pPr>
      <w:r>
        <w:rPr>
          <w:rtl/>
        </w:rPr>
        <w:t>(3).</w:t>
      </w:r>
      <w:r w:rsidR="008A74EB" w:rsidRPr="00C9040A">
        <w:rPr>
          <w:rtl/>
        </w:rPr>
        <w:t xml:space="preserve"> </w:t>
      </w:r>
      <w:r w:rsidR="008A74EB" w:rsidRPr="00993B55">
        <w:rPr>
          <w:rStyle w:val="libFootnoteBoldChar"/>
          <w:rtl/>
        </w:rPr>
        <w:t>قرب الإسناد</w:t>
      </w:r>
      <w:r w:rsidR="008A74EB" w:rsidRPr="00C9040A">
        <w:rPr>
          <w:rtl/>
        </w:rPr>
        <w:t xml:space="preserve"> ، ص 39 ، ح 124 ، عن أحمد بن إسحاق بن سعد ، عن بكر بن محمّد الأزدي ؛ </w:t>
      </w:r>
      <w:r w:rsidR="008A74EB" w:rsidRPr="00993B55">
        <w:rPr>
          <w:rStyle w:val="libFootnoteBoldChar"/>
          <w:rtl/>
        </w:rPr>
        <w:t>ثواب الأعمال</w:t>
      </w:r>
      <w:r w:rsidR="008A74EB" w:rsidRPr="00C9040A">
        <w:rPr>
          <w:rtl/>
        </w:rPr>
        <w:t xml:space="preserve"> ، ص 223 ، بسنده عن أحمد بن إسحاق بن سعد. </w:t>
      </w:r>
      <w:r w:rsidR="008A74EB" w:rsidRPr="00993B55">
        <w:rPr>
          <w:rStyle w:val="libFootnoteBoldChar"/>
          <w:rtl/>
        </w:rPr>
        <w:t>الاختصاص</w:t>
      </w:r>
      <w:r w:rsidR="008A74EB" w:rsidRPr="00C9040A">
        <w:rPr>
          <w:rtl/>
        </w:rPr>
        <w:t xml:space="preserve"> ، ص 188 ، مرسلاً</w:t>
      </w:r>
      <w:r w:rsidR="00AE47CB">
        <w:rPr>
          <w:rFonts w:hint="cs"/>
          <w:rtl/>
        </w:rPr>
        <w:t>.</w:t>
      </w:r>
      <w:r w:rsidR="008A74EB" w:rsidRPr="00993B55">
        <w:rPr>
          <w:rStyle w:val="libFootnoteBoldChar"/>
          <w:rtl/>
        </w:rPr>
        <w:t>الوافي</w:t>
      </w:r>
      <w:r w:rsidR="008A74EB" w:rsidRPr="00C9040A">
        <w:rPr>
          <w:rtl/>
        </w:rPr>
        <w:t xml:space="preserve"> ، ج 5 ، ص 662 ، ح 2819 ؛ </w:t>
      </w:r>
      <w:r w:rsidR="008A74EB" w:rsidRPr="00993B55">
        <w:rPr>
          <w:rStyle w:val="libFootnoteBoldChar"/>
          <w:rtl/>
        </w:rPr>
        <w:t>الوسائل</w:t>
      </w:r>
      <w:r w:rsidR="008A74EB" w:rsidRPr="00C9040A">
        <w:rPr>
          <w:rtl/>
        </w:rPr>
        <w:t xml:space="preserve"> ، ج 16 ، ص 358 ، ح 21756 ؛ </w:t>
      </w:r>
      <w:r w:rsidR="008A74EB" w:rsidRPr="00993B55">
        <w:rPr>
          <w:rStyle w:val="libFootnoteBoldChar"/>
          <w:rtl/>
        </w:rPr>
        <w:t>البحار</w:t>
      </w:r>
      <w:r w:rsidR="008A74EB" w:rsidRPr="00C9040A">
        <w:rPr>
          <w:rtl/>
        </w:rPr>
        <w:t xml:space="preserve"> ، ج 74 ، ص 326 ، ح 96.</w:t>
      </w:r>
    </w:p>
    <w:p w:rsidR="008A74EB" w:rsidRPr="00C9040A" w:rsidRDefault="006C577F" w:rsidP="004A4E41">
      <w:pPr>
        <w:pStyle w:val="libFootnote0"/>
        <w:rPr>
          <w:rtl/>
          <w:lang w:bidi="fa-IR"/>
        </w:rPr>
      </w:pPr>
      <w:r>
        <w:rPr>
          <w:rtl/>
        </w:rPr>
        <w:t>(4).</w:t>
      </w:r>
      <w:r w:rsidR="008A74EB" w:rsidRPr="00C9040A">
        <w:rPr>
          <w:rtl/>
        </w:rPr>
        <w:t xml:space="preserve"> الضمير راجع إلى أحمد بن إسحاق المذكور في السند السابق ؛ فقد روى هو كتاب سعدان بن مسلم وتوسّط بينه وبين الحسين بن محمّد في عددٍ من الأسناد. راجع : </w:t>
      </w:r>
      <w:r w:rsidR="008A74EB" w:rsidRPr="0034021D">
        <w:rPr>
          <w:rStyle w:val="libFootnoteBoldChar"/>
          <w:rtl/>
        </w:rPr>
        <w:t>الفهرست للطوسي</w:t>
      </w:r>
      <w:r w:rsidR="008A74EB" w:rsidRPr="00C9040A">
        <w:rPr>
          <w:rtl/>
        </w:rPr>
        <w:t xml:space="preserve"> ، ص 226 ، الرقم 336 ؛ </w:t>
      </w:r>
      <w:r w:rsidR="008A74EB" w:rsidRPr="00993B55">
        <w:rPr>
          <w:rStyle w:val="libFootnoteBoldChar"/>
          <w:rtl/>
        </w:rPr>
        <w:t xml:space="preserve">معجم رجال الحديث </w:t>
      </w:r>
      <w:r w:rsidR="008A74EB" w:rsidRPr="00C9040A">
        <w:rPr>
          <w:rtl/>
        </w:rPr>
        <w:t>، ج 2 ، ص 424</w:t>
      </w:r>
      <w:r w:rsidR="008A74EB">
        <w:rPr>
          <w:rtl/>
        </w:rPr>
        <w:t xml:space="preserve"> </w:t>
      </w:r>
      <w:r w:rsidR="0084262C">
        <w:rPr>
          <w:rtl/>
        </w:rPr>
        <w:t>-</w:t>
      </w:r>
      <w:r w:rsidR="008A74EB">
        <w:rPr>
          <w:rtl/>
        </w:rPr>
        <w:t xml:space="preserve"> </w:t>
      </w:r>
      <w:r w:rsidR="008A74EB" w:rsidRPr="00C9040A">
        <w:rPr>
          <w:rtl/>
        </w:rPr>
        <w:t>425.</w:t>
      </w:r>
    </w:p>
    <w:p w:rsidR="008A74EB" w:rsidRPr="00C9040A" w:rsidRDefault="006C577F" w:rsidP="004A4E41">
      <w:pPr>
        <w:pStyle w:val="libFootnote0"/>
        <w:rPr>
          <w:rtl/>
          <w:lang w:bidi="fa-IR"/>
        </w:rPr>
      </w:pPr>
      <w:r>
        <w:rPr>
          <w:rtl/>
        </w:rPr>
        <w:t>(5).</w:t>
      </w:r>
      <w:r w:rsidR="008A74EB" w:rsidRPr="00C9040A">
        <w:rPr>
          <w:rtl/>
        </w:rPr>
        <w:t xml:space="preserve"> هكذا في النسخ التي قوبلت والوافي والوسائل والبحار. وفي المطبوع : + « الله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 الملتزم » : دَبْرُ الكعبة. سمّي به ؛ لأنّ الناس يعتنقونه ، أي يضمّونه إلى صدورهم. </w:t>
      </w:r>
      <w:r w:rsidR="008A74EB" w:rsidRPr="00993B55">
        <w:rPr>
          <w:rStyle w:val="libFootnoteBoldChar"/>
          <w:rtl/>
        </w:rPr>
        <w:t>مجمع البحرين</w:t>
      </w:r>
      <w:r w:rsidR="008A74EB" w:rsidRPr="00C9040A">
        <w:rPr>
          <w:rtl/>
        </w:rPr>
        <w:t xml:space="preserve"> ، ج 6 ، ص 162 ( لزم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هكذا في النسخ التي قوبلت والوافي والوسائل. وفي المطبوع : + « الله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 ز » </w:t>
      </w:r>
      <w:r w:rsidR="008A74EB">
        <w:rPr>
          <w:rtl/>
        </w:rPr>
        <w:t xml:space="preserve">: </w:t>
      </w:r>
      <w:r w:rsidR="0084262C">
        <w:rPr>
          <w:rtl/>
        </w:rPr>
        <w:t>-</w:t>
      </w:r>
      <w:r w:rsidR="008A74EB" w:rsidRPr="00C9040A">
        <w:rPr>
          <w:rtl/>
        </w:rPr>
        <w:t xml:space="preserve"> « له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ب ، ج ، د ، ز ، ص ، ف ، بس » والوسائل والبحار </w:t>
      </w:r>
      <w:r w:rsidR="008A74EB">
        <w:rPr>
          <w:rtl/>
        </w:rPr>
        <w:t xml:space="preserve">: </w:t>
      </w:r>
      <w:r w:rsidR="0084262C">
        <w:rPr>
          <w:rtl/>
        </w:rPr>
        <w:t>-</w:t>
      </w:r>
      <w:r w:rsidR="008A74EB" w:rsidRPr="00C9040A">
        <w:rPr>
          <w:rtl/>
        </w:rPr>
        <w:t xml:space="preserve"> « له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 ف » : + « قلت : وما هو جعلت فداك</w:t>
      </w:r>
      <w:r w:rsidR="008A74EB">
        <w:rPr>
          <w:rtl/>
        </w:rPr>
        <w:t>؟</w:t>
      </w:r>
      <w:r w:rsidR="008A74EB" w:rsidRPr="00C9040A">
        <w:rPr>
          <w:rtl/>
        </w:rPr>
        <w:t xml:space="preserve"> قال : بلى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الْمُسْلِمِ </w:t>
      </w:r>
      <w:r w:rsidR="006C577F" w:rsidRPr="006C577F">
        <w:rPr>
          <w:rStyle w:val="libFootnotenumChar"/>
          <w:rtl/>
        </w:rPr>
        <w:t>(1)</w:t>
      </w:r>
      <w:r w:rsidRPr="00C9040A">
        <w:rPr>
          <w:rtl/>
          <w:lang w:bidi="fa-IR"/>
        </w:rPr>
        <w:t xml:space="preserve"> أَفْضَلُ مِنْ طَوَافٍ وَطَوَافٍ وَطَوَافٍ </w:t>
      </w:r>
      <w:r w:rsidR="006C577F" w:rsidRPr="006C577F">
        <w:rPr>
          <w:rStyle w:val="libFootnotenumChar"/>
          <w:rtl/>
        </w:rPr>
        <w:t>(2)</w:t>
      </w:r>
      <w:r w:rsidRPr="00C9040A">
        <w:rPr>
          <w:rtl/>
          <w:lang w:bidi="fa-IR"/>
        </w:rPr>
        <w:t xml:space="preserve"> » ، حَتّى بَلَغَ </w:t>
      </w:r>
      <w:r w:rsidR="006C577F" w:rsidRPr="006C577F">
        <w:rPr>
          <w:rStyle w:val="libFootnotenumChar"/>
          <w:rtl/>
        </w:rPr>
        <w:t>(3)</w:t>
      </w:r>
      <w:r w:rsidRPr="00C9040A">
        <w:rPr>
          <w:rtl/>
          <w:lang w:bidi="fa-IR"/>
        </w:rPr>
        <w:t xml:space="preserve"> عَشْراً.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9159CE">
        <w:rPr>
          <w:rtl/>
        </w:rPr>
        <w:t>2152</w:t>
      </w:r>
      <w:r w:rsidRPr="00261CB0">
        <w:rPr>
          <w:rStyle w:val="libBold2Char"/>
          <w:rtl/>
        </w:rPr>
        <w:t xml:space="preserve"> / 9.</w:t>
      </w:r>
      <w:r w:rsidRPr="00C9040A">
        <w:rPr>
          <w:rtl/>
          <w:lang w:bidi="fa-IR"/>
        </w:rPr>
        <w:t xml:space="preserve"> مُحَمَّدُ بْنُ يَحْيى ، عَنْ أَحْمَدَ بْنِ مُحَمَّدِ بْنِ عِيسى ، عَنِ ابْنِ مَحْبُوبٍ ، عَنْ إِبْرَاهِيمَ الْخَارَفِيِّ </w:t>
      </w:r>
      <w:r w:rsidR="006C577F" w:rsidRPr="006C577F">
        <w:rPr>
          <w:rStyle w:val="libFootnotenumChar"/>
          <w:rtl/>
        </w:rPr>
        <w:t>(5)</w:t>
      </w:r>
      <w:r w:rsidRPr="00C9040A">
        <w:rPr>
          <w:rtl/>
          <w:lang w:bidi="fa-IR"/>
        </w:rPr>
        <w:t xml:space="preserve"> ، قَالَ :</w:t>
      </w:r>
    </w:p>
    <w:p w:rsidR="008A74EB" w:rsidRPr="00C9040A" w:rsidRDefault="008A74EB" w:rsidP="00AE47C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 « مَنْ مَشى فِي حَاجَةِ أَخِيهِ الْمُؤْمِنِ يَطْلُبُ بِذلِكَ مَا عِنْدَ اللهِ حَتّى تُقْضى </w:t>
      </w:r>
      <w:r w:rsidR="006C577F" w:rsidRPr="006C577F">
        <w:rPr>
          <w:rStyle w:val="libFootnotenumChar"/>
          <w:rtl/>
        </w:rPr>
        <w:t>(6)</w:t>
      </w:r>
      <w:r w:rsidRPr="005B567D">
        <w:rPr>
          <w:rStyle w:val="libFootnotenumChar"/>
          <w:rtl/>
        </w:rPr>
        <w:t xml:space="preserve"> </w:t>
      </w:r>
      <w:r w:rsidRPr="00C9040A">
        <w:rPr>
          <w:rtl/>
          <w:lang w:bidi="fa-IR"/>
        </w:rPr>
        <w:t>لَهُ ، كَتَبَ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لَهُ بِذلِكَ مِثْلَ أَجْرِ </w:t>
      </w:r>
      <w:r w:rsidR="006C577F" w:rsidRPr="006C577F">
        <w:rPr>
          <w:rStyle w:val="libFootnotenumChar"/>
          <w:rtl/>
        </w:rPr>
        <w:t>(7)</w:t>
      </w:r>
      <w:r w:rsidRPr="00C9040A">
        <w:rPr>
          <w:rtl/>
          <w:lang w:bidi="fa-IR"/>
        </w:rPr>
        <w:t xml:space="preserve"> حَجَّةٍ وَعُمْرَةٍ مَبْرُورَتَيْنِ </w:t>
      </w:r>
      <w:r w:rsidR="006C577F" w:rsidRPr="006C577F">
        <w:rPr>
          <w:rStyle w:val="libFootnotenumChar"/>
          <w:rtl/>
        </w:rPr>
        <w:t>(8)</w:t>
      </w:r>
      <w:r w:rsidRPr="00C9040A">
        <w:rPr>
          <w:rtl/>
          <w:lang w:bidi="fa-IR"/>
        </w:rPr>
        <w:t xml:space="preserve"> ، وَصَوْمِ شَهْرَيْنِ مِنْ أَشْهُرِ الْحُرُمِ وَاعْتِكَافِهِمَا فِي الْمَسْجِدِ الْحَرَامِ ؛ وَمَنْ مَشى فِيهَا بِنِيَّةٍ وَلَمْ تُقْضَ </w:t>
      </w:r>
      <w:r w:rsidR="006C577F" w:rsidRPr="006C577F">
        <w:rPr>
          <w:rStyle w:val="libFootnotenumChar"/>
          <w:rtl/>
        </w:rPr>
        <w:t>(9)</w:t>
      </w:r>
      <w:r w:rsidRPr="00C9040A">
        <w:rPr>
          <w:rtl/>
          <w:lang w:bidi="fa-IR"/>
        </w:rPr>
        <w:t xml:space="preserve"> ، كَتَبَ اللهُ لَهُ بِذلِكَ </w:t>
      </w:r>
      <w:r w:rsidR="006C577F" w:rsidRPr="006C577F">
        <w:rPr>
          <w:rStyle w:val="libFootnotenumChar"/>
          <w:rtl/>
        </w:rPr>
        <w:t>(10)</w:t>
      </w:r>
      <w:r w:rsidRPr="00C9040A">
        <w:rPr>
          <w:rtl/>
          <w:lang w:bidi="fa-IR"/>
        </w:rPr>
        <w:t xml:space="preserve"> مِثْلَ حَجَّةٍ مَبْرُورَةٍ ؛ فَارْغَبُوا فِي الْخَيْرِ </w:t>
      </w:r>
      <w:r w:rsidR="006C577F" w:rsidRPr="006C577F">
        <w:rPr>
          <w:rStyle w:val="libFootnotenumChar"/>
          <w:rtl/>
        </w:rPr>
        <w:t>(11)</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(12)</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ض » : « للمسلم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ب ، ج ، ص ، ف ، بر ، بس » والوافي والوسائل والبحار </w:t>
      </w:r>
      <w:r w:rsidR="008A74EB">
        <w:rPr>
          <w:rtl/>
        </w:rPr>
        <w:t xml:space="preserve">: </w:t>
      </w:r>
      <w:r w:rsidR="0084262C">
        <w:rPr>
          <w:rtl/>
        </w:rPr>
        <w:t>-</w:t>
      </w:r>
      <w:r w:rsidR="008A74EB" w:rsidRPr="00C9040A">
        <w:rPr>
          <w:rtl/>
        </w:rPr>
        <w:t xml:space="preserve"> « وطواف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حاشية « بف » : « عدّ »</w:t>
      </w:r>
      <w:r w:rsidR="008A74EB">
        <w:rPr>
          <w:rtl/>
        </w:rPr>
        <w:t>.</w:t>
      </w:r>
    </w:p>
    <w:p w:rsidR="008A74EB" w:rsidRPr="00C9040A" w:rsidRDefault="006C577F" w:rsidP="00AE47CB">
      <w:pPr>
        <w:pStyle w:val="libFootnote0"/>
        <w:rPr>
          <w:rtl/>
          <w:lang w:bidi="fa-IR"/>
        </w:rPr>
      </w:pPr>
      <w:r>
        <w:rPr>
          <w:rtl/>
        </w:rPr>
        <w:t>(4).</w:t>
      </w:r>
      <w:r w:rsidR="008A74EB" w:rsidRPr="00C9040A">
        <w:rPr>
          <w:rtl/>
        </w:rPr>
        <w:t xml:space="preserve"> </w:t>
      </w:r>
      <w:r w:rsidR="008A74EB" w:rsidRPr="00993B55">
        <w:rPr>
          <w:rStyle w:val="libFootnoteBoldChar"/>
          <w:rtl/>
        </w:rPr>
        <w:t>ثواب الأعمال</w:t>
      </w:r>
      <w:r w:rsidR="008A74EB" w:rsidRPr="00C9040A">
        <w:rPr>
          <w:rtl/>
        </w:rPr>
        <w:t xml:space="preserve"> ، ص 70 ، ح 13 ، بسنده عن سعدان بن مسلم. </w:t>
      </w:r>
      <w:r w:rsidR="008A74EB" w:rsidRPr="00993B55">
        <w:rPr>
          <w:rStyle w:val="libFootnoteBoldChar"/>
          <w:rtl/>
        </w:rPr>
        <w:t>فقه الرضا</w:t>
      </w:r>
      <w:r w:rsidR="008A74EB" w:rsidRPr="00C9040A">
        <w:rPr>
          <w:rtl/>
        </w:rPr>
        <w:t xml:space="preserve"> </w:t>
      </w:r>
      <w:r w:rsidR="00117575" w:rsidRPr="00117575">
        <w:rPr>
          <w:rStyle w:val="libFootnoteAlaemChar"/>
          <w:rtl/>
        </w:rPr>
        <w:t>عليه‌السلام</w:t>
      </w:r>
      <w:r w:rsidR="008A74EB" w:rsidRPr="00C9040A">
        <w:rPr>
          <w:rtl/>
        </w:rPr>
        <w:t xml:space="preserve"> ، ص 335 ، ولم يرد فيه : « حتّى إذا كان</w:t>
      </w:r>
      <w:r w:rsidR="008A74EB">
        <w:rPr>
          <w:rtl/>
        </w:rPr>
        <w:t xml:space="preserve"> </w:t>
      </w:r>
      <w:r w:rsidR="0084262C">
        <w:rPr>
          <w:rtl/>
        </w:rPr>
        <w:t>-</w:t>
      </w:r>
      <w:r w:rsidR="008A74EB">
        <w:rPr>
          <w:rtl/>
        </w:rPr>
        <w:t xml:space="preserve"> </w:t>
      </w:r>
      <w:r w:rsidR="008A74EB" w:rsidRPr="00C9040A">
        <w:rPr>
          <w:rtl/>
        </w:rPr>
        <w:t>إلى</w:t>
      </w:r>
      <w:r w:rsidR="008A74EB">
        <w:rPr>
          <w:rtl/>
        </w:rPr>
        <w:t xml:space="preserve"> </w:t>
      </w:r>
      <w:r w:rsidR="0084262C">
        <w:rPr>
          <w:rtl/>
        </w:rPr>
        <w:t>-</w:t>
      </w:r>
      <w:r w:rsidR="008A74EB">
        <w:rPr>
          <w:rtl/>
        </w:rPr>
        <w:t xml:space="preserve"> </w:t>
      </w:r>
      <w:r w:rsidR="008A74EB" w:rsidRPr="00C9040A">
        <w:rPr>
          <w:rtl/>
        </w:rPr>
        <w:t>بأفضل من ذلك » ، وفيهما مع اختلاف يسير</w:t>
      </w:r>
      <w:r w:rsidR="00AE47CB">
        <w:rPr>
          <w:rFonts w:hint="cs"/>
          <w:rtl/>
        </w:rPr>
        <w:t>.</w:t>
      </w:r>
      <w:r w:rsidR="008A74EB" w:rsidRPr="00993B55">
        <w:rPr>
          <w:rStyle w:val="libFootnoteBoldChar"/>
          <w:rtl/>
        </w:rPr>
        <w:t>الوافي</w:t>
      </w:r>
      <w:r w:rsidR="008A74EB" w:rsidRPr="00C9040A">
        <w:rPr>
          <w:rtl/>
        </w:rPr>
        <w:t xml:space="preserve"> ، ج 5 ، ص 661 ، ح 2816 ؛ </w:t>
      </w:r>
      <w:r w:rsidR="008A74EB" w:rsidRPr="00993B55">
        <w:rPr>
          <w:rStyle w:val="libFootnoteBoldChar"/>
          <w:rtl/>
        </w:rPr>
        <w:t>الوسائل</w:t>
      </w:r>
      <w:r w:rsidR="008A74EB" w:rsidRPr="00C9040A">
        <w:rPr>
          <w:rtl/>
        </w:rPr>
        <w:t xml:space="preserve"> ، ج 16 ، ص 364 ، ح 21771 ؛ </w:t>
      </w:r>
      <w:r w:rsidR="008A74EB" w:rsidRPr="00993B55">
        <w:rPr>
          <w:rStyle w:val="libFootnoteBoldChar"/>
          <w:rtl/>
        </w:rPr>
        <w:t>البحار</w:t>
      </w:r>
      <w:r w:rsidR="008A74EB" w:rsidRPr="00C9040A">
        <w:rPr>
          <w:rtl/>
        </w:rPr>
        <w:t xml:space="preserve"> ، ج 74 ، ص 326 ، ح 97.</w:t>
      </w:r>
    </w:p>
    <w:p w:rsidR="008A74EB" w:rsidRPr="00C9040A" w:rsidRDefault="006C577F" w:rsidP="004A4E41">
      <w:pPr>
        <w:pStyle w:val="libFootnote0"/>
        <w:rPr>
          <w:rtl/>
          <w:lang w:bidi="fa-IR"/>
        </w:rPr>
      </w:pPr>
      <w:r>
        <w:rPr>
          <w:rtl/>
        </w:rPr>
        <w:t>(5).</w:t>
      </w:r>
      <w:r w:rsidR="008A74EB" w:rsidRPr="00C9040A">
        <w:rPr>
          <w:rtl/>
        </w:rPr>
        <w:t xml:space="preserve"> هكذا في « ص ، ض »</w:t>
      </w:r>
      <w:r w:rsidR="008A74EB">
        <w:rPr>
          <w:rtl/>
        </w:rPr>
        <w:t>.</w:t>
      </w:r>
      <w:r w:rsidR="008A74EB" w:rsidRPr="00C9040A">
        <w:rPr>
          <w:rtl/>
        </w:rPr>
        <w:t xml:space="preserve"> وفي « ب ، ج ، د ، ز ، ف ، بر ، بس ، بف ، جر » والوسائل والبحار والمطبوع : « الخارقي »</w:t>
      </w:r>
      <w:r w:rsidR="008A74EB">
        <w:rPr>
          <w:rtl/>
        </w:rPr>
        <w:t>.</w:t>
      </w:r>
    </w:p>
    <w:p w:rsidR="008A74EB" w:rsidRPr="00C9040A" w:rsidRDefault="008A74EB" w:rsidP="004A4E41">
      <w:pPr>
        <w:pStyle w:val="libFootnote0"/>
        <w:rPr>
          <w:rtl/>
          <w:lang w:bidi="fa-IR"/>
        </w:rPr>
      </w:pPr>
      <w:r w:rsidRPr="00323A39">
        <w:rPr>
          <w:rtl/>
        </w:rPr>
        <w:t xml:space="preserve">والصواب ما أثبتناه ؛ فإنّ المذكور في </w:t>
      </w:r>
      <w:r w:rsidRPr="00993B55">
        <w:rPr>
          <w:rStyle w:val="libFootnoteBoldChar"/>
          <w:rtl/>
        </w:rPr>
        <w:t>الإكمال</w:t>
      </w:r>
      <w:r w:rsidRPr="00323A39">
        <w:rPr>
          <w:rtl/>
        </w:rPr>
        <w:t xml:space="preserve"> لابن ماكولا ، ج 3 ، ص 235 ؛ و</w:t>
      </w:r>
      <w:r w:rsidRPr="00993B55">
        <w:rPr>
          <w:rStyle w:val="libFootnoteBoldChar"/>
          <w:rtl/>
        </w:rPr>
        <w:t>الأنساب</w:t>
      </w:r>
      <w:r w:rsidRPr="00323A39">
        <w:rPr>
          <w:rtl/>
        </w:rPr>
        <w:t xml:space="preserve"> للسمعاني ، ج 2 ، ص 305 ؛ و</w:t>
      </w:r>
      <w:r w:rsidRPr="00993B55">
        <w:rPr>
          <w:rStyle w:val="libFootnoteBoldChar"/>
          <w:rtl/>
        </w:rPr>
        <w:t>توضيح المشتبه</w:t>
      </w:r>
      <w:r w:rsidRPr="00323A39">
        <w:rPr>
          <w:rtl/>
        </w:rPr>
        <w:t xml:space="preserve"> ، ج 3 ، ص 28 هو « الخارفي » وهو بطن من هَمْدان. وعدّ الشيخ الطوسي في رجاله إبراهيم بن زياد الخارفي ، وإبراهيم بن هارون الخارفي من أصحاب أبي عبد الله </w:t>
      </w:r>
      <w:r w:rsidR="00117575" w:rsidRPr="00117575">
        <w:rPr>
          <w:rStyle w:val="libFootnoteAlaemChar"/>
          <w:rtl/>
        </w:rPr>
        <w:t xml:space="preserve">عليه‌السلام </w:t>
      </w:r>
      <w:r w:rsidRPr="00323A39">
        <w:rPr>
          <w:rtl/>
        </w:rPr>
        <w:t xml:space="preserve">. راجع : </w:t>
      </w:r>
      <w:r w:rsidRPr="00993B55">
        <w:rPr>
          <w:rStyle w:val="libFootnoteBoldChar"/>
          <w:rtl/>
        </w:rPr>
        <w:t>رجال الطوسي</w:t>
      </w:r>
      <w:r w:rsidRPr="00323A39">
        <w:rPr>
          <w:rtl/>
        </w:rPr>
        <w:t xml:space="preserve"> ، ص 157 ، الرقم 1752 ؛ وص 158 ، الرقم 1764. ثمّ إنّ في حاشية « ض » : + « بن زياد ». والظاهر أنّه تفسير لإبراهيم.</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الوافي : « يقضي » على بناء الفاعل. وفي </w:t>
      </w:r>
      <w:r w:rsidR="008A74EB" w:rsidRPr="00993B55">
        <w:rPr>
          <w:rStyle w:val="libFootnoteBoldChar"/>
          <w:rtl/>
        </w:rPr>
        <w:t>مرآة العقول</w:t>
      </w:r>
      <w:r w:rsidR="008A74EB" w:rsidRPr="00C9040A">
        <w:rPr>
          <w:rtl/>
        </w:rPr>
        <w:t xml:space="preserve"> : « حتّى يقضى ، بالتاء على بناء المفعول ، أو بالياء على‌بناء الفاعل. وفي بعض النسخ : حتّى يقضيها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بر » </w:t>
      </w:r>
      <w:r w:rsidR="008A74EB">
        <w:rPr>
          <w:rtl/>
        </w:rPr>
        <w:t xml:space="preserve">: </w:t>
      </w:r>
      <w:r w:rsidR="0084262C">
        <w:rPr>
          <w:rtl/>
        </w:rPr>
        <w:t>-</w:t>
      </w:r>
      <w:r w:rsidR="008A74EB" w:rsidRPr="00C9040A">
        <w:rPr>
          <w:rtl/>
        </w:rPr>
        <w:t xml:space="preserve"> « أجر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الحجّ المبرور : الذي لايخالطه شي‌ء من المآثم ، وقيل : هو المقبول. </w:t>
      </w:r>
      <w:r w:rsidR="008A74EB" w:rsidRPr="00993B55">
        <w:rPr>
          <w:rStyle w:val="libFootnoteBoldChar"/>
          <w:rtl/>
        </w:rPr>
        <w:t>لسان العرب</w:t>
      </w:r>
      <w:r w:rsidR="008A74EB" w:rsidRPr="00C9040A">
        <w:rPr>
          <w:rtl/>
        </w:rPr>
        <w:t xml:space="preserve"> ، ج 4 ، ص 52 ( برر )</w:t>
      </w:r>
      <w:r w:rsidR="008A74EB">
        <w:rPr>
          <w:rtl/>
        </w:rPr>
        <w:t>.</w:t>
      </w:r>
    </w:p>
    <w:tbl>
      <w:tblPr>
        <w:tblStyle w:val="TableGrid"/>
        <w:bidiVisual/>
        <w:tblW w:w="0" w:type="auto"/>
        <w:tblLook w:val="04A0" w:firstRow="1" w:lastRow="0" w:firstColumn="1" w:lastColumn="0" w:noHBand="0" w:noVBand="1"/>
      </w:tblPr>
      <w:tblGrid>
        <w:gridCol w:w="4006"/>
        <w:gridCol w:w="4006"/>
      </w:tblGrid>
      <w:tr w:rsidR="00AE47CB" w:rsidTr="00AE47CB">
        <w:tc>
          <w:tcPr>
            <w:tcW w:w="4006" w:type="dxa"/>
          </w:tcPr>
          <w:p w:rsidR="00AE47CB" w:rsidRDefault="00AE47CB" w:rsidP="004A4E41">
            <w:pPr>
              <w:pStyle w:val="libFootnote0"/>
              <w:rPr>
                <w:rtl/>
              </w:rPr>
            </w:pPr>
            <w:r>
              <w:rPr>
                <w:rtl/>
              </w:rPr>
              <w:t>(9).</w:t>
            </w:r>
            <w:r w:rsidRPr="00C9040A">
              <w:rPr>
                <w:rtl/>
              </w:rPr>
              <w:t xml:space="preserve"> في البحار : « ولم يقض »</w:t>
            </w:r>
            <w:r>
              <w:rPr>
                <w:rtl/>
              </w:rPr>
              <w:t>.</w:t>
            </w:r>
          </w:p>
        </w:tc>
        <w:tc>
          <w:tcPr>
            <w:tcW w:w="4006" w:type="dxa"/>
          </w:tcPr>
          <w:p w:rsidR="00AE47CB" w:rsidRDefault="00AE47CB" w:rsidP="004A4E41">
            <w:pPr>
              <w:pStyle w:val="libFootnote0"/>
              <w:rPr>
                <w:rtl/>
              </w:rPr>
            </w:pPr>
            <w:r>
              <w:rPr>
                <w:rtl/>
              </w:rPr>
              <w:t>(10).</w:t>
            </w:r>
            <w:r w:rsidRPr="00C9040A">
              <w:rPr>
                <w:rtl/>
              </w:rPr>
              <w:t xml:space="preserve"> في « ب ، ص ، ض » والبحار : « بذلك له »</w:t>
            </w:r>
            <w:r>
              <w:rPr>
                <w:rtl/>
              </w:rPr>
              <w:t>.</w:t>
            </w:r>
          </w:p>
        </w:tc>
      </w:tr>
    </w:tbl>
    <w:p w:rsidR="008A74EB" w:rsidRPr="00C9040A" w:rsidRDefault="006C577F" w:rsidP="004A4E41">
      <w:pPr>
        <w:pStyle w:val="libFootnote0"/>
        <w:rPr>
          <w:rtl/>
          <w:lang w:bidi="fa-IR"/>
        </w:rPr>
      </w:pPr>
      <w:r>
        <w:rPr>
          <w:rtl/>
        </w:rPr>
        <w:t>(11).</w:t>
      </w:r>
      <w:r w:rsidR="008A74EB" w:rsidRPr="00C9040A">
        <w:rPr>
          <w:rtl/>
        </w:rPr>
        <w:t xml:space="preserve"> في البحار : « بالخير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w:t>
      </w:r>
      <w:r w:rsidR="008A74EB" w:rsidRPr="00993B55">
        <w:rPr>
          <w:rStyle w:val="libFootnoteBoldChar"/>
          <w:rtl/>
        </w:rPr>
        <w:t>الوافي</w:t>
      </w:r>
      <w:r w:rsidR="008A74EB" w:rsidRPr="00C9040A">
        <w:rPr>
          <w:rtl/>
        </w:rPr>
        <w:t xml:space="preserve"> ، ج 5 ، ص 665 ، ح 2824 ؛ </w:t>
      </w:r>
      <w:r w:rsidR="008A74EB" w:rsidRPr="00993B55">
        <w:rPr>
          <w:rStyle w:val="libFootnoteBoldChar"/>
          <w:rtl/>
        </w:rPr>
        <w:t>الوسائل</w:t>
      </w:r>
      <w:r w:rsidR="008A74EB" w:rsidRPr="00C9040A">
        <w:rPr>
          <w:rtl/>
        </w:rPr>
        <w:t xml:space="preserve"> ، ج 10 ، ص 555 ، ح 14105 ، إلى قوله : « واعتكافهما في </w:t>
      </w:r>
      <w:r w:rsidR="00DC68C0">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9159CE">
        <w:rPr>
          <w:rtl/>
        </w:rPr>
        <w:t>2153</w:t>
      </w:r>
      <w:r w:rsidRPr="00261CB0">
        <w:rPr>
          <w:rStyle w:val="libBold2Char"/>
          <w:rtl/>
        </w:rPr>
        <w:t xml:space="preserve"> / 10.</w:t>
      </w:r>
      <w:r w:rsidRPr="00C9040A">
        <w:rPr>
          <w:rtl/>
          <w:lang w:bidi="fa-IR"/>
        </w:rPr>
        <w:t xml:space="preserve"> عِدَّةٌ مِنْ أَصْحَابِنَا ، عَنْ سَهْلِ بْنِ زِيَادٍ ، عَنْ مُحَمَّدِ بْنِ أُورَمَةَ ، عَنِ الْحَسَنِ بْنِ عَلِيِّ بْنِ أَبِي حَمْزَةَ ، عَنْ أَبِيهِ ، عَنْ أَبِي بَصِيرٍ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تَنَافَسُوا </w:t>
      </w:r>
      <w:r w:rsidR="006C577F" w:rsidRPr="006C577F">
        <w:rPr>
          <w:rStyle w:val="libFootnotenumChar"/>
          <w:rtl/>
        </w:rPr>
        <w:t>(1)</w:t>
      </w:r>
      <w:r w:rsidRPr="00C9040A">
        <w:rPr>
          <w:rtl/>
          <w:lang w:bidi="fa-IR"/>
        </w:rPr>
        <w:t xml:space="preserve"> فِي الْمَعْرُوفِ لِإِخْوَانِكُمْ ، وَكُونُوا مِنْ أَهْلِهِ ؛ فَإِنَّ لِلْجَنَّةِ بَاباً يُقَالُ لَهُ : </w:t>
      </w:r>
      <w:r w:rsidR="006C577F" w:rsidRPr="006C577F">
        <w:rPr>
          <w:rStyle w:val="libFootnotenumChar"/>
          <w:rtl/>
        </w:rPr>
        <w:t>(2)</w:t>
      </w:r>
      <w:r w:rsidRPr="00C9040A">
        <w:rPr>
          <w:rtl/>
          <w:lang w:bidi="fa-IR"/>
        </w:rPr>
        <w:t xml:space="preserve"> الْ</w:t>
      </w:r>
      <w:r w:rsidR="00ED5FE9">
        <w:rPr>
          <w:rtl/>
          <w:lang w:bidi="fa-IR"/>
        </w:rPr>
        <w:t>مَعْرُوفُ ، لَايَدْخُلُهُ إِل</w:t>
      </w:r>
      <w:r w:rsidR="00ED5FE9">
        <w:rPr>
          <w:rFonts w:hint="cs"/>
          <w:rtl/>
          <w:lang w:bidi="fa-IR"/>
        </w:rPr>
        <w:t>َّ</w:t>
      </w:r>
      <w:r w:rsidR="00ED5FE9">
        <w:rPr>
          <w:rtl/>
          <w:lang w:bidi="fa-IR"/>
        </w:rPr>
        <w:t>ا</w:t>
      </w:r>
      <w:r w:rsidRPr="00C9040A">
        <w:rPr>
          <w:rtl/>
          <w:lang w:bidi="fa-IR"/>
        </w:rPr>
        <w:t xml:space="preserve"> مَنِ اصْطَنَعَ الْمَعْرُوفَ فِي الْحَيَاةِ الدُّنْيَا ؛ فَإِنَّ </w:t>
      </w:r>
      <w:r w:rsidR="006C577F" w:rsidRPr="006C577F">
        <w:rPr>
          <w:rStyle w:val="libFootnotenumChar"/>
          <w:rtl/>
        </w:rPr>
        <w:t>(3)</w:t>
      </w:r>
      <w:r w:rsidRPr="00C9040A">
        <w:rPr>
          <w:rtl/>
          <w:lang w:bidi="fa-IR"/>
        </w:rPr>
        <w:t xml:space="preserve"> الْعَبْدَ لَيَمْشِي فِي حَاجَةِ أَخِيهِ الْمُؤْمِنِ ، فَيُوَكِّلُ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بِهِ مَلَكَيْنِ : وَاحِداً عَنْ يَمِينِهِ ، وَآخَرَ عَنْ شِمَالِهِ يَسْتَغْفِرَانِ لَهُ رَبَّهُ </w:t>
      </w:r>
      <w:r w:rsidR="006C577F" w:rsidRPr="006C577F">
        <w:rPr>
          <w:rStyle w:val="libFootnotenumChar"/>
          <w:rtl/>
        </w:rPr>
        <w:t>(4)</w:t>
      </w:r>
      <w:r w:rsidRPr="00C9040A">
        <w:rPr>
          <w:rtl/>
          <w:lang w:bidi="fa-IR"/>
        </w:rPr>
        <w:t xml:space="preserve"> ، وَ</w:t>
      </w:r>
      <w:r>
        <w:rPr>
          <w:rFonts w:hint="cs"/>
          <w:rtl/>
          <w:lang w:bidi="fa-IR"/>
        </w:rPr>
        <w:t xml:space="preserve"> </w:t>
      </w:r>
      <w:r w:rsidR="006C577F" w:rsidRPr="006C577F">
        <w:rPr>
          <w:rStyle w:val="libFootnotenumChar"/>
          <w:rtl/>
        </w:rPr>
        <w:t>(5)</w:t>
      </w:r>
      <w:r w:rsidRPr="00C9040A">
        <w:rPr>
          <w:rtl/>
          <w:lang w:bidi="fa-IR"/>
        </w:rPr>
        <w:t xml:space="preserve"> يَدْعُوَانِ </w:t>
      </w:r>
      <w:r w:rsidR="006C577F" w:rsidRPr="006C577F">
        <w:rPr>
          <w:rStyle w:val="libFootnotenumChar"/>
          <w:rtl/>
        </w:rPr>
        <w:t>(6)</w:t>
      </w:r>
      <w:r w:rsidRPr="005B567D">
        <w:rPr>
          <w:rStyle w:val="libFootnotenumChar"/>
          <w:rtl/>
        </w:rPr>
        <w:t xml:space="preserve"> </w:t>
      </w:r>
      <w:r w:rsidRPr="00C9040A">
        <w:rPr>
          <w:rtl/>
          <w:lang w:bidi="fa-IR"/>
        </w:rPr>
        <w:t>بِقَضَاءِ حَاجَتِهِ »</w:t>
      </w:r>
      <w:r>
        <w:rPr>
          <w:rtl/>
          <w:lang w:bidi="fa-IR"/>
        </w:rPr>
        <w:t>.</w:t>
      </w:r>
    </w:p>
    <w:p w:rsidR="008A74EB" w:rsidRPr="00C9040A" w:rsidRDefault="008A74EB" w:rsidP="00616EA6">
      <w:pPr>
        <w:pStyle w:val="libNormal"/>
        <w:rPr>
          <w:rtl/>
          <w:lang w:bidi="fa-IR"/>
        </w:rPr>
      </w:pPr>
      <w:r w:rsidRPr="00C9040A">
        <w:rPr>
          <w:rtl/>
          <w:lang w:bidi="fa-IR"/>
        </w:rPr>
        <w:t xml:space="preserve">ثُمَّ قَالَ : « وَاللهِ ، لَرَسُولُ اللهِ </w:t>
      </w:r>
      <w:r w:rsidR="004A4E41" w:rsidRPr="004A4E41">
        <w:rPr>
          <w:rStyle w:val="libAlaemChar"/>
          <w:rtl/>
        </w:rPr>
        <w:t>صلى‌الله‌عليه‌وآله</w:t>
      </w:r>
      <w:r w:rsidRPr="00C9040A">
        <w:rPr>
          <w:rtl/>
          <w:lang w:bidi="fa-IR"/>
        </w:rPr>
        <w:t xml:space="preserve"> أَسَرُّ بِقَضَاءِ حَاجَةِ الْمُؤْمِنِ </w:t>
      </w:r>
      <w:r w:rsidR="006C577F" w:rsidRPr="006C577F">
        <w:rPr>
          <w:rStyle w:val="libFootnotenumChar"/>
          <w:rtl/>
        </w:rPr>
        <w:t>(7)</w:t>
      </w:r>
      <w:r w:rsidRPr="00C9040A">
        <w:rPr>
          <w:rtl/>
          <w:lang w:bidi="fa-IR"/>
        </w:rPr>
        <w:t xml:space="preserve"> إِذَا وَصَلَتْ إِلَيْهِ مِنْ صَاحِبِ الْحَاجَةِ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Normal"/>
        <w:rPr>
          <w:rtl/>
          <w:lang w:bidi="fa-IR"/>
        </w:rPr>
      </w:pPr>
      <w:r w:rsidRPr="009159CE">
        <w:rPr>
          <w:rtl/>
        </w:rPr>
        <w:t>2154</w:t>
      </w:r>
      <w:r w:rsidRPr="00261CB0">
        <w:rPr>
          <w:rStyle w:val="libBold2Char"/>
          <w:rtl/>
        </w:rPr>
        <w:t xml:space="preserve"> / 11.</w:t>
      </w:r>
      <w:r w:rsidRPr="00C9040A">
        <w:rPr>
          <w:rtl/>
          <w:lang w:bidi="fa-IR"/>
        </w:rPr>
        <w:t xml:space="preserve"> عِدَّةٌ مِنْ أَصْحَابِنَا ، عَنْ أَحْمَدَ بْنِ مُحَمَّدِ بْنِ خَالِدٍ ، عَنْ أَبِيهِ ، عَنْ خَلَفِ بْنِ حَمَّادٍ ، عَنْ بَعْضِ أَصْحَابِهِ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وَاللهِ ، لَأَنْ أَحُجَّ حَجَّةً ، أَحَبُّ إِلَيَّ مِنْ أَنْ أُعْتِقَ رَقَبَةً وَرَقَبَةً وَرَقَبَةً </w:t>
      </w:r>
      <w:r w:rsidR="006C577F" w:rsidRPr="006C577F">
        <w:rPr>
          <w:rStyle w:val="libFootnotenumChar"/>
          <w:rtl/>
        </w:rPr>
        <w:t>(9)</w:t>
      </w:r>
      <w:r w:rsidRPr="00C9040A">
        <w:rPr>
          <w:rtl/>
          <w:lang w:bidi="fa-IR"/>
        </w:rPr>
        <w:t xml:space="preserve"> وَمِثْلَهَا وَمِثْلَهَا</w:t>
      </w:r>
      <w:r>
        <w:rPr>
          <w:rtl/>
          <w:lang w:bidi="fa-IR"/>
        </w:rPr>
        <w:t xml:space="preserve"> </w:t>
      </w:r>
      <w:r w:rsidR="0084262C">
        <w:rPr>
          <w:rtl/>
          <w:lang w:bidi="fa-IR"/>
        </w:rPr>
        <w:t>-</w:t>
      </w:r>
      <w:r>
        <w:rPr>
          <w:rtl/>
          <w:lang w:bidi="fa-IR"/>
        </w:rPr>
        <w:t xml:space="preserve"> </w:t>
      </w:r>
      <w:r w:rsidRPr="00C9040A">
        <w:rPr>
          <w:rtl/>
          <w:lang w:bidi="fa-IR"/>
        </w:rPr>
        <w:t xml:space="preserve">حَتّى بَلَغَ </w:t>
      </w:r>
      <w:r w:rsidR="006C577F" w:rsidRPr="006C577F">
        <w:rPr>
          <w:rStyle w:val="libFootnotenumChar"/>
          <w:rtl/>
        </w:rPr>
        <w:t>(10)</w:t>
      </w:r>
      <w:r w:rsidRPr="00C9040A">
        <w:rPr>
          <w:rtl/>
          <w:lang w:bidi="fa-IR"/>
        </w:rPr>
        <w:t xml:space="preserve"> عَشْراً</w:t>
      </w:r>
      <w:r>
        <w:rPr>
          <w:rtl/>
          <w:lang w:bidi="fa-IR"/>
        </w:rPr>
        <w:t xml:space="preserve"> </w:t>
      </w:r>
      <w:r w:rsidR="0084262C">
        <w:rPr>
          <w:rtl/>
          <w:lang w:bidi="fa-IR"/>
        </w:rPr>
        <w:t>-</w:t>
      </w:r>
      <w:r>
        <w:rPr>
          <w:rtl/>
          <w:lang w:bidi="fa-IR"/>
        </w:rPr>
        <w:t xml:space="preserve"> </w:t>
      </w:r>
      <w:r w:rsidRPr="00C9040A">
        <w:rPr>
          <w:rtl/>
          <w:lang w:bidi="fa-IR"/>
        </w:rPr>
        <w:t>وَمِثْلَهَا‌</w:t>
      </w:r>
      <w:r w:rsidR="00F83AF9">
        <w:rPr>
          <w:rFonts w:hint="cs"/>
          <w:rtl/>
          <w:lang w:bidi="fa-IR"/>
        </w:rPr>
        <w:t>.............................</w:t>
      </w:r>
      <w:r w:rsidR="00F83AF9">
        <w:rPr>
          <w:rFonts w:hint="cs"/>
          <w:rtl/>
          <w:lang w:bidi="fa-IR"/>
        </w:rPr>
        <w:tab/>
      </w:r>
    </w:p>
    <w:p w:rsidR="008A74EB" w:rsidRPr="00C9040A" w:rsidRDefault="008A74EB" w:rsidP="008A74EB">
      <w:pPr>
        <w:pStyle w:val="libLine"/>
        <w:rPr>
          <w:rtl/>
          <w:lang w:bidi="fa-IR"/>
        </w:rPr>
      </w:pPr>
      <w:r w:rsidRPr="00C9040A">
        <w:rPr>
          <w:rtl/>
          <w:lang w:bidi="fa-IR"/>
        </w:rPr>
        <w:t>__________________</w:t>
      </w:r>
    </w:p>
    <w:p w:rsidR="008A74EB" w:rsidRPr="00C9040A" w:rsidRDefault="00582EA6" w:rsidP="004A4E41">
      <w:pPr>
        <w:pStyle w:val="libFootnote0"/>
        <w:rPr>
          <w:rtl/>
          <w:lang w:bidi="fa-IR"/>
        </w:rPr>
      </w:pPr>
      <w:r>
        <w:rPr>
          <w:rFonts w:hint="cs"/>
          <w:rtl/>
        </w:rPr>
        <w:t xml:space="preserve">= </w:t>
      </w:r>
      <w:r w:rsidR="008A74EB" w:rsidRPr="00C9040A">
        <w:rPr>
          <w:rtl/>
        </w:rPr>
        <w:t xml:space="preserve">المسجد الحرام » ؛ وج 16 ، ص 364 ، ح 21772 ؛ </w:t>
      </w:r>
      <w:r w:rsidR="008A74EB" w:rsidRPr="00993B55">
        <w:rPr>
          <w:rStyle w:val="libFootnoteBoldChar"/>
          <w:rtl/>
        </w:rPr>
        <w:t>البحار</w:t>
      </w:r>
      <w:r w:rsidR="008A74EB" w:rsidRPr="00C9040A">
        <w:rPr>
          <w:rtl/>
        </w:rPr>
        <w:t xml:space="preserve"> ، ج 74 ، ص 327 ، ح 98.</w:t>
      </w:r>
    </w:p>
    <w:p w:rsidR="008A74EB" w:rsidRPr="00C9040A" w:rsidRDefault="006C577F" w:rsidP="006139A1">
      <w:pPr>
        <w:pStyle w:val="libFootnote0"/>
        <w:rPr>
          <w:rtl/>
          <w:lang w:bidi="fa-IR"/>
        </w:rPr>
      </w:pPr>
      <w:r>
        <w:rPr>
          <w:rtl/>
        </w:rPr>
        <w:t>(1).</w:t>
      </w:r>
      <w:r w:rsidR="008A74EB">
        <w:rPr>
          <w:rtl/>
        </w:rPr>
        <w:t xml:space="preserve"> </w:t>
      </w:r>
      <w:r w:rsidR="008A74EB" w:rsidRPr="00C9040A">
        <w:rPr>
          <w:rtl/>
        </w:rPr>
        <w:t xml:space="preserve">« تنافسوا » ، أي ارغبوا ، والتنافس من المنافسة ، وهي الرغبة في الشي‌ء والانفراد به. راجع : </w:t>
      </w:r>
      <w:r w:rsidR="008A74EB" w:rsidRPr="00993B55">
        <w:rPr>
          <w:rStyle w:val="libFootnoteBoldChar"/>
          <w:rtl/>
        </w:rPr>
        <w:t>النهاية</w:t>
      </w:r>
      <w:r w:rsidR="008A74EB" w:rsidRPr="00C9040A">
        <w:rPr>
          <w:rtl/>
        </w:rPr>
        <w:t xml:space="preserve"> ، ج 5 ، ص 95 ( نفس )</w:t>
      </w:r>
      <w:r w:rsidR="008A74EB">
        <w:rPr>
          <w:rtl/>
        </w:rPr>
        <w:t>.</w:t>
      </w:r>
      <w:r w:rsidR="006139A1">
        <w:rPr>
          <w:rFonts w:hint="cs"/>
          <w:rtl/>
        </w:rPr>
        <w:t xml:space="preserve">      </w:t>
      </w:r>
      <w:r w:rsidR="00411D58">
        <w:rPr>
          <w:rFonts w:hint="cs"/>
          <w:rtl/>
        </w:rPr>
        <w:t xml:space="preserve">                               </w:t>
      </w:r>
      <w:r w:rsidR="006D0E2A">
        <w:rPr>
          <w:rFonts w:hint="cs"/>
          <w:rtl/>
        </w:rPr>
        <w:t xml:space="preserve">   </w:t>
      </w:r>
      <w:r w:rsidR="006139A1">
        <w:rPr>
          <w:rFonts w:hint="cs"/>
          <w:rtl/>
        </w:rPr>
        <w:t xml:space="preserve">    </w:t>
      </w:r>
      <w:r>
        <w:rPr>
          <w:rtl/>
        </w:rPr>
        <w:t>(2).</w:t>
      </w:r>
      <w:r w:rsidR="008A74EB">
        <w:rPr>
          <w:rtl/>
        </w:rPr>
        <w:t xml:space="preserve"> </w:t>
      </w:r>
      <w:r w:rsidR="008A74EB" w:rsidRPr="00C9040A">
        <w:rPr>
          <w:rtl/>
        </w:rPr>
        <w:t>في « ف » : + « باب »</w:t>
      </w:r>
      <w:r w:rsidR="008A74EB">
        <w:rPr>
          <w:rtl/>
        </w:rPr>
        <w:t>.</w:t>
      </w:r>
    </w:p>
    <w:tbl>
      <w:tblPr>
        <w:tblStyle w:val="TableGrid"/>
        <w:bidiVisual/>
        <w:tblW w:w="0" w:type="auto"/>
        <w:tblLook w:val="04A0" w:firstRow="1" w:lastRow="0" w:firstColumn="1" w:lastColumn="0" w:noHBand="0" w:noVBand="1"/>
      </w:tblPr>
      <w:tblGrid>
        <w:gridCol w:w="4006"/>
        <w:gridCol w:w="4006"/>
      </w:tblGrid>
      <w:tr w:rsidR="007655FC" w:rsidTr="007655FC">
        <w:tc>
          <w:tcPr>
            <w:tcW w:w="4006" w:type="dxa"/>
          </w:tcPr>
          <w:p w:rsidR="007655FC" w:rsidRDefault="007655FC" w:rsidP="004A4E41">
            <w:pPr>
              <w:pStyle w:val="libFootnote0"/>
              <w:rPr>
                <w:rtl/>
              </w:rPr>
            </w:pPr>
            <w:r>
              <w:rPr>
                <w:rtl/>
              </w:rPr>
              <w:t>(3).</w:t>
            </w:r>
            <w:r w:rsidRPr="00C9040A">
              <w:rPr>
                <w:rtl/>
              </w:rPr>
              <w:t xml:space="preserve"> في الوسائل : « وإنّ »</w:t>
            </w:r>
            <w:r>
              <w:rPr>
                <w:rtl/>
              </w:rPr>
              <w:t>.</w:t>
            </w:r>
          </w:p>
        </w:tc>
        <w:tc>
          <w:tcPr>
            <w:tcW w:w="4006" w:type="dxa"/>
          </w:tcPr>
          <w:p w:rsidR="007655FC" w:rsidRDefault="007655FC" w:rsidP="004A4E41">
            <w:pPr>
              <w:pStyle w:val="libFootnote0"/>
              <w:rPr>
                <w:rtl/>
              </w:rPr>
            </w:pPr>
            <w:r>
              <w:rPr>
                <w:rtl/>
              </w:rPr>
              <w:t>(4).</w:t>
            </w:r>
            <w:r w:rsidRPr="00C9040A">
              <w:rPr>
                <w:rtl/>
              </w:rPr>
              <w:t xml:space="preserve"> في « ض » </w:t>
            </w:r>
            <w:r>
              <w:rPr>
                <w:rtl/>
              </w:rPr>
              <w:t>: -</w:t>
            </w:r>
            <w:r w:rsidRPr="00C9040A">
              <w:rPr>
                <w:rtl/>
              </w:rPr>
              <w:t xml:space="preserve"> « ربّه »</w:t>
            </w:r>
            <w:r>
              <w:rPr>
                <w:rtl/>
              </w:rPr>
              <w:t>.</w:t>
            </w:r>
          </w:p>
        </w:tc>
      </w:tr>
      <w:tr w:rsidR="007655FC" w:rsidTr="007655FC">
        <w:tc>
          <w:tcPr>
            <w:tcW w:w="4006" w:type="dxa"/>
          </w:tcPr>
          <w:p w:rsidR="007655FC" w:rsidRDefault="006D0E2A" w:rsidP="004A4E41">
            <w:pPr>
              <w:pStyle w:val="libFootnote0"/>
              <w:rPr>
                <w:rtl/>
              </w:rPr>
            </w:pPr>
            <w:r>
              <w:rPr>
                <w:rtl/>
              </w:rPr>
              <w:t>(5).</w:t>
            </w:r>
            <w:r w:rsidRPr="00C9040A">
              <w:rPr>
                <w:rtl/>
              </w:rPr>
              <w:t xml:space="preserve"> في « ب ، ز ، بر ، بس » والوسائل </w:t>
            </w:r>
            <w:r>
              <w:rPr>
                <w:rtl/>
              </w:rPr>
              <w:t>: -</w:t>
            </w:r>
            <w:r w:rsidRPr="00C9040A">
              <w:rPr>
                <w:rtl/>
              </w:rPr>
              <w:t xml:space="preserve"> « </w:t>
            </w:r>
            <w:r>
              <w:rPr>
                <w:rtl/>
              </w:rPr>
              <w:t>و ».</w:t>
            </w:r>
          </w:p>
        </w:tc>
        <w:tc>
          <w:tcPr>
            <w:tcW w:w="4006" w:type="dxa"/>
          </w:tcPr>
          <w:p w:rsidR="007655FC" w:rsidRDefault="006D0E2A" w:rsidP="004A4E41">
            <w:pPr>
              <w:pStyle w:val="libFootnote0"/>
              <w:rPr>
                <w:rtl/>
              </w:rPr>
            </w:pPr>
            <w:r>
              <w:rPr>
                <w:rtl/>
              </w:rPr>
              <w:t xml:space="preserve">(6). </w:t>
            </w:r>
            <w:r w:rsidRPr="00C9040A">
              <w:rPr>
                <w:rtl/>
              </w:rPr>
              <w:t>في الوسائل : + « له »</w:t>
            </w:r>
            <w:r>
              <w:rPr>
                <w:rtl/>
              </w:rPr>
              <w:t>.</w:t>
            </w:r>
            <w:r w:rsidRPr="00C9040A">
              <w:rPr>
                <w:rtl/>
              </w:rPr>
              <w:t xml:space="preserve"> وفي البحار : « يدعون »</w:t>
            </w:r>
            <w:r>
              <w:rPr>
                <w:rtl/>
              </w:rPr>
              <w:t>.</w:t>
            </w:r>
          </w:p>
        </w:tc>
      </w:tr>
    </w:tbl>
    <w:p w:rsidR="008A74EB" w:rsidRPr="00C9040A" w:rsidRDefault="006C577F" w:rsidP="004A4E41">
      <w:pPr>
        <w:pStyle w:val="libFootnote0"/>
        <w:rPr>
          <w:rtl/>
          <w:lang w:bidi="fa-IR"/>
        </w:rPr>
      </w:pPr>
      <w:r>
        <w:rPr>
          <w:rtl/>
        </w:rPr>
        <w:t>(7).</w:t>
      </w:r>
      <w:r w:rsidR="008A74EB" w:rsidRPr="00C9040A">
        <w:rPr>
          <w:rtl/>
        </w:rPr>
        <w:t xml:space="preserve"> في الوسائل : « أسرّ بحاجة المؤمن »</w:t>
      </w:r>
      <w:r w:rsidR="008A74EB">
        <w:rPr>
          <w:rtl/>
        </w:rPr>
        <w:t>.</w:t>
      </w:r>
    </w:p>
    <w:p w:rsidR="008A74EB" w:rsidRPr="00C9040A" w:rsidRDefault="006C577F" w:rsidP="001D4B62">
      <w:pPr>
        <w:pStyle w:val="libFootnote0"/>
        <w:rPr>
          <w:rtl/>
          <w:lang w:bidi="fa-IR"/>
        </w:rPr>
      </w:pPr>
      <w:r>
        <w:rPr>
          <w:rtl/>
        </w:rPr>
        <w:t>(8).</w:t>
      </w:r>
      <w:r w:rsidR="008A74EB" w:rsidRPr="00C9040A">
        <w:rPr>
          <w:rtl/>
        </w:rPr>
        <w:t xml:space="preserve"> </w:t>
      </w:r>
      <w:r w:rsidR="008A74EB" w:rsidRPr="00993B55">
        <w:rPr>
          <w:rStyle w:val="libFootnoteBoldChar"/>
          <w:rtl/>
        </w:rPr>
        <w:t>الكافي</w:t>
      </w:r>
      <w:r w:rsidR="008A74EB" w:rsidRPr="00C9040A">
        <w:rPr>
          <w:rtl/>
        </w:rPr>
        <w:t xml:space="preserve"> ، كتاب الزكاة ، باب إنّ أهل المعروف في الدنيا هم أهل المعروف في الآخرة ، ح 6114 ، بسند آخر ، مع زيادة ؛ </w:t>
      </w:r>
      <w:r w:rsidR="008A74EB" w:rsidRPr="00993B55">
        <w:rPr>
          <w:rStyle w:val="libFootnoteBoldChar"/>
          <w:rtl/>
        </w:rPr>
        <w:t>الزهد</w:t>
      </w:r>
      <w:r w:rsidR="008A74EB" w:rsidRPr="00C9040A">
        <w:rPr>
          <w:rtl/>
        </w:rPr>
        <w:t xml:space="preserve"> ، ص 97 ، ح 84 ، بسند آخر ؛ </w:t>
      </w:r>
      <w:r w:rsidR="008A74EB" w:rsidRPr="00993B55">
        <w:rPr>
          <w:rStyle w:val="libFootnoteBoldChar"/>
          <w:rtl/>
        </w:rPr>
        <w:t>قرب الإسناد</w:t>
      </w:r>
      <w:r w:rsidR="008A74EB" w:rsidRPr="00C9040A">
        <w:rPr>
          <w:rtl/>
        </w:rPr>
        <w:t xml:space="preserve"> ، ص 120 ، ح 420 ، بسند آخر عن جعفر ، عن أبيه </w:t>
      </w:r>
      <w:r w:rsidR="00117575" w:rsidRPr="00117575">
        <w:rPr>
          <w:rStyle w:val="libFootnoteAlaemChar"/>
          <w:rtl/>
        </w:rPr>
        <w:t>عليهما‌السلام</w:t>
      </w:r>
      <w:r w:rsidR="008A74EB" w:rsidRPr="00C9040A">
        <w:rPr>
          <w:rtl/>
        </w:rPr>
        <w:t xml:space="preserve"> عن النبيّ </w:t>
      </w:r>
      <w:r w:rsidR="004A4E41" w:rsidRPr="001D4B62">
        <w:rPr>
          <w:rStyle w:val="libFootnoteAlaemChar"/>
          <w:rtl/>
        </w:rPr>
        <w:t>صلى‌الله‌عليه‌وآله</w:t>
      </w:r>
      <w:r w:rsidR="008A74EB" w:rsidRPr="00C9040A">
        <w:rPr>
          <w:rtl/>
        </w:rPr>
        <w:t xml:space="preserve"> ، وفي كلّها هذه القطعة : « فإنّ للجنّة باباً</w:t>
      </w:r>
      <w:r w:rsidR="008A74EB">
        <w:rPr>
          <w:rtl/>
        </w:rPr>
        <w:t xml:space="preserve"> </w:t>
      </w:r>
      <w:r w:rsidR="0084262C">
        <w:rPr>
          <w:rtl/>
        </w:rPr>
        <w:t>-</w:t>
      </w:r>
      <w:r w:rsidR="008A74EB">
        <w:rPr>
          <w:rtl/>
        </w:rPr>
        <w:t xml:space="preserve"> </w:t>
      </w:r>
      <w:r w:rsidR="008A74EB" w:rsidRPr="00C9040A">
        <w:rPr>
          <w:rtl/>
        </w:rPr>
        <w:t>إلى</w:t>
      </w:r>
      <w:r w:rsidR="008A74EB">
        <w:rPr>
          <w:rtl/>
        </w:rPr>
        <w:t xml:space="preserve"> </w:t>
      </w:r>
      <w:r w:rsidR="0084262C">
        <w:rPr>
          <w:rtl/>
        </w:rPr>
        <w:t>-</w:t>
      </w:r>
      <w:r w:rsidR="008A74EB">
        <w:rPr>
          <w:rtl/>
        </w:rPr>
        <w:t xml:space="preserve"> </w:t>
      </w:r>
      <w:r w:rsidR="008A74EB" w:rsidRPr="00C9040A">
        <w:rPr>
          <w:rtl/>
        </w:rPr>
        <w:t>في الحياة الدنيا » مع اختلاف يسير</w:t>
      </w:r>
      <w:r w:rsidR="001D4B62">
        <w:rPr>
          <w:rFonts w:hint="cs"/>
          <w:rtl/>
        </w:rPr>
        <w:t>.</w:t>
      </w:r>
      <w:r w:rsidR="008A74EB" w:rsidRPr="00993B55">
        <w:rPr>
          <w:rStyle w:val="libFootnoteBoldChar"/>
          <w:rtl/>
        </w:rPr>
        <w:t>الوافي</w:t>
      </w:r>
      <w:r w:rsidR="008A74EB" w:rsidRPr="00C9040A">
        <w:rPr>
          <w:rtl/>
        </w:rPr>
        <w:t xml:space="preserve"> ، ج 5 ، ص 661 ، ح 2818 ؛ </w:t>
      </w:r>
      <w:r w:rsidR="008A74EB" w:rsidRPr="00993B55">
        <w:rPr>
          <w:rStyle w:val="libFootnoteBoldChar"/>
          <w:rtl/>
        </w:rPr>
        <w:t>الوسائل</w:t>
      </w:r>
      <w:r w:rsidR="008A74EB" w:rsidRPr="00C9040A">
        <w:rPr>
          <w:rtl/>
        </w:rPr>
        <w:t xml:space="preserve"> ، ج 16 ، ص 359 ، ح 21758 ؛ </w:t>
      </w:r>
      <w:r w:rsidR="008A74EB" w:rsidRPr="00993B55">
        <w:rPr>
          <w:rStyle w:val="libFootnoteBoldChar"/>
          <w:rtl/>
        </w:rPr>
        <w:t>البحار</w:t>
      </w:r>
      <w:r w:rsidR="008A74EB" w:rsidRPr="00C9040A">
        <w:rPr>
          <w:rtl/>
        </w:rPr>
        <w:t xml:space="preserve"> ، ج 74 ، ص 328 ، ح 99.</w:t>
      </w:r>
    </w:p>
    <w:p w:rsidR="008A74EB" w:rsidRPr="00C9040A" w:rsidRDefault="006C577F" w:rsidP="004A4E41">
      <w:pPr>
        <w:pStyle w:val="libFootnote0"/>
        <w:rPr>
          <w:rtl/>
          <w:lang w:bidi="fa-IR"/>
        </w:rPr>
      </w:pPr>
      <w:r>
        <w:rPr>
          <w:rtl/>
        </w:rPr>
        <w:t>(9).</w:t>
      </w:r>
      <w:r w:rsidR="008A74EB" w:rsidRPr="00C9040A">
        <w:rPr>
          <w:rtl/>
        </w:rPr>
        <w:t xml:space="preserve"> في « ج » </w:t>
      </w:r>
      <w:r w:rsidR="008A74EB">
        <w:rPr>
          <w:rtl/>
        </w:rPr>
        <w:t xml:space="preserve">: </w:t>
      </w:r>
      <w:r w:rsidR="0084262C">
        <w:rPr>
          <w:rtl/>
        </w:rPr>
        <w:t>-</w:t>
      </w:r>
      <w:r w:rsidR="008A74EB" w:rsidRPr="00C9040A">
        <w:rPr>
          <w:rtl/>
        </w:rPr>
        <w:t xml:space="preserve"> « ورقبة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w:t>
      </w:r>
      <w:r w:rsidR="008A74EB" w:rsidRPr="00993B55">
        <w:rPr>
          <w:rStyle w:val="libFootnoteBoldChar"/>
          <w:rtl/>
        </w:rPr>
        <w:t>مرآة العقول</w:t>
      </w:r>
      <w:r w:rsidR="008A74EB" w:rsidRPr="00C9040A">
        <w:rPr>
          <w:rtl/>
        </w:rPr>
        <w:t xml:space="preserve"> : « قوله : حتّى بلغ ، في الموضعين كلام الراوي ، أي‌قال مثلها سبع مرّات في الموضعين ، </w:t>
      </w:r>
      <w:r w:rsidR="001D4B62">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وَمِثْلَهَا </w:t>
      </w:r>
      <w:r w:rsidR="006C577F" w:rsidRPr="006C577F">
        <w:rPr>
          <w:rStyle w:val="libFootnotenumChar"/>
          <w:rtl/>
        </w:rPr>
        <w:t>(1)</w:t>
      </w:r>
      <w:r>
        <w:rPr>
          <w:rtl/>
          <w:lang w:bidi="fa-IR"/>
        </w:rPr>
        <w:t xml:space="preserve"> </w:t>
      </w:r>
      <w:r w:rsidR="0084262C">
        <w:rPr>
          <w:rtl/>
          <w:lang w:bidi="fa-IR"/>
        </w:rPr>
        <w:t>-</w:t>
      </w:r>
      <w:r>
        <w:rPr>
          <w:rtl/>
          <w:lang w:bidi="fa-IR"/>
        </w:rPr>
        <w:t xml:space="preserve"> </w:t>
      </w:r>
      <w:r w:rsidRPr="00C9040A">
        <w:rPr>
          <w:rtl/>
          <w:lang w:bidi="fa-IR"/>
        </w:rPr>
        <w:t>حَتّى بَلَغَ السَّبْعِينَ</w:t>
      </w:r>
      <w:r>
        <w:rPr>
          <w:rtl/>
          <w:lang w:bidi="fa-IR"/>
        </w:rPr>
        <w:t xml:space="preserve"> </w:t>
      </w:r>
      <w:r w:rsidR="0084262C">
        <w:rPr>
          <w:rtl/>
          <w:lang w:bidi="fa-IR"/>
        </w:rPr>
        <w:t>-</w:t>
      </w:r>
      <w:r>
        <w:rPr>
          <w:rtl/>
          <w:lang w:bidi="fa-IR"/>
        </w:rPr>
        <w:t xml:space="preserve"> </w:t>
      </w:r>
      <w:r w:rsidRPr="00C9040A">
        <w:rPr>
          <w:rtl/>
          <w:lang w:bidi="fa-IR"/>
        </w:rPr>
        <w:t xml:space="preserve">وَلَأَنْ أَعُولَ أَهْلَ بَيْتٍ مِنَ الْمُسْلِمِينَ أَسُدُّ جَوْعَتَهُمْ ، وَأَكْسُو عَوْرَتَهُمْ ، فَأَكُفُّ </w:t>
      </w:r>
      <w:r w:rsidR="006C577F" w:rsidRPr="006C577F">
        <w:rPr>
          <w:rStyle w:val="libFootnotenumChar"/>
          <w:rtl/>
        </w:rPr>
        <w:t>(2)</w:t>
      </w:r>
      <w:r w:rsidRPr="00C9040A">
        <w:rPr>
          <w:rtl/>
          <w:lang w:bidi="fa-IR"/>
        </w:rPr>
        <w:t xml:space="preserve"> وُجُوهَهُمْ عَنِ النَّاسِ ، أَحَبُّ إِلَيَّ مِنْ أَنْ أَحُجَّ حَجَّةً وَحَجَّةً وَحَجَّةً وَمِثْلَهَا وَمِثْلَهَا </w:t>
      </w:r>
      <w:r w:rsidR="006C577F" w:rsidRPr="006C577F">
        <w:rPr>
          <w:rStyle w:val="libFootnotenumChar"/>
          <w:rtl/>
        </w:rPr>
        <w:t>(3)</w:t>
      </w:r>
      <w:r>
        <w:rPr>
          <w:rtl/>
          <w:lang w:bidi="fa-IR"/>
        </w:rPr>
        <w:t xml:space="preserve"> </w:t>
      </w:r>
      <w:r w:rsidR="0084262C">
        <w:rPr>
          <w:rtl/>
          <w:lang w:bidi="fa-IR"/>
        </w:rPr>
        <w:t>-</w:t>
      </w:r>
      <w:r>
        <w:rPr>
          <w:rtl/>
          <w:lang w:bidi="fa-IR"/>
        </w:rPr>
        <w:t xml:space="preserve"> </w:t>
      </w:r>
      <w:r w:rsidRPr="00C9040A">
        <w:rPr>
          <w:rtl/>
          <w:lang w:bidi="fa-IR"/>
        </w:rPr>
        <w:t>حَتّى بَلَغَ عَشْراً</w:t>
      </w:r>
      <w:r>
        <w:rPr>
          <w:rtl/>
          <w:lang w:bidi="fa-IR"/>
        </w:rPr>
        <w:t xml:space="preserve"> </w:t>
      </w:r>
      <w:r w:rsidR="0084262C">
        <w:rPr>
          <w:rtl/>
          <w:lang w:bidi="fa-IR"/>
        </w:rPr>
        <w:t>-</w:t>
      </w:r>
      <w:r>
        <w:rPr>
          <w:rtl/>
          <w:lang w:bidi="fa-IR"/>
        </w:rPr>
        <w:t xml:space="preserve"> </w:t>
      </w:r>
      <w:r w:rsidRPr="00C9040A">
        <w:rPr>
          <w:rtl/>
          <w:lang w:bidi="fa-IR"/>
        </w:rPr>
        <w:t>وَمِثْلَهَا وَمِثْلَهَا</w:t>
      </w:r>
      <w:r>
        <w:rPr>
          <w:rtl/>
          <w:lang w:bidi="fa-IR"/>
        </w:rPr>
        <w:t xml:space="preserve"> </w:t>
      </w:r>
      <w:r w:rsidR="0084262C">
        <w:rPr>
          <w:rtl/>
          <w:lang w:bidi="fa-IR"/>
        </w:rPr>
        <w:t>-</w:t>
      </w:r>
      <w:r>
        <w:rPr>
          <w:rtl/>
          <w:lang w:bidi="fa-IR"/>
        </w:rPr>
        <w:t xml:space="preserve"> </w:t>
      </w:r>
      <w:r w:rsidRPr="00C9040A">
        <w:rPr>
          <w:rtl/>
          <w:lang w:bidi="fa-IR"/>
        </w:rPr>
        <w:t>حَتّى بَلَغَ السَّبْعِينَ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9159CE">
        <w:rPr>
          <w:rtl/>
        </w:rPr>
        <w:t>2155</w:t>
      </w:r>
      <w:r w:rsidRPr="00261CB0">
        <w:rPr>
          <w:rStyle w:val="libBold2Char"/>
          <w:rtl/>
        </w:rPr>
        <w:t xml:space="preserve"> / 12.</w:t>
      </w:r>
      <w:r w:rsidRPr="00C9040A">
        <w:rPr>
          <w:rtl/>
          <w:lang w:bidi="fa-IR"/>
        </w:rPr>
        <w:t xml:space="preserve"> عَلِيُّ بْنُ إِبْرَاهِيمَ ، عَنْ أَبِيهِ ، عَنِ ابْنِ أَبِي عُمَيْرٍ ، عَنْ أَبِي عَلِيٍّ صَاحِبِ الشَّعِيرِ ، عَنْ مُحَمَّدِ بْنِ قَيْسٍ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أَوْحَى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إِلى مُوسى </w:t>
      </w:r>
      <w:r w:rsidRPr="0003660B">
        <w:rPr>
          <w:rStyle w:val="libAlaemChar"/>
          <w:rtl/>
        </w:rPr>
        <w:t>عليه‌السلام</w:t>
      </w:r>
      <w:r w:rsidRPr="00C9040A">
        <w:rPr>
          <w:rtl/>
          <w:lang w:bidi="fa-IR"/>
        </w:rPr>
        <w:t xml:space="preserve"> : أَنَّ مِنْ عِبَادِي مَنْ </w:t>
      </w:r>
      <w:r w:rsidR="006C577F" w:rsidRPr="006C577F">
        <w:rPr>
          <w:rStyle w:val="libFootnotenumChar"/>
          <w:rtl/>
        </w:rPr>
        <w:t>(5)</w:t>
      </w:r>
      <w:r w:rsidRPr="00C9040A">
        <w:rPr>
          <w:rtl/>
          <w:lang w:bidi="fa-IR"/>
        </w:rPr>
        <w:t xml:space="preserve"> يَتَقَرَّبُ إِلَيَّ بِالْحَسَنَةِ ، فَأُحَكِّمُهُ فِي الْجَنَّةِ ، فَقَالَ مُوسى : يَا رَبِّ ، وَمَا تِلْكَ الْحَسَنَةُ </w:t>
      </w:r>
      <w:r w:rsidR="006C577F" w:rsidRPr="006C577F">
        <w:rPr>
          <w:rStyle w:val="libFootnotenumChar"/>
          <w:rtl/>
        </w:rPr>
        <w:t>(6)</w:t>
      </w:r>
      <w:r w:rsidRPr="00056510">
        <w:rPr>
          <w:rtl/>
        </w:rPr>
        <w:t>؟</w:t>
      </w:r>
      <w:r w:rsidRPr="00C9040A">
        <w:rPr>
          <w:rtl/>
          <w:lang w:bidi="fa-IR"/>
        </w:rPr>
        <w:t xml:space="preserve"> قَالَ : يَمْشِي مَعَ أَخِيهِ الْمُؤْمِنِ فِي قَضَاءِ </w:t>
      </w:r>
      <w:r w:rsidR="006C577F" w:rsidRPr="006C577F">
        <w:rPr>
          <w:rStyle w:val="libFootnotenumChar"/>
          <w:rtl/>
        </w:rPr>
        <w:t>(7)</w:t>
      </w:r>
      <w:r w:rsidRPr="00C9040A">
        <w:rPr>
          <w:rtl/>
          <w:lang w:bidi="fa-IR"/>
        </w:rPr>
        <w:t xml:space="preserve"> حَاجَتِهِ ، قُضِيَتْ أَوْ لَمْ تُقْضَ </w:t>
      </w:r>
      <w:r w:rsidR="006C577F" w:rsidRPr="006C577F">
        <w:rPr>
          <w:rStyle w:val="libFootnotenumChar"/>
          <w:rtl/>
        </w:rPr>
        <w:t>(8)</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(9)</w:t>
      </w:r>
      <w:r w:rsidRPr="00C9040A">
        <w:rPr>
          <w:rtl/>
          <w:lang w:bidi="fa-IR"/>
        </w:rPr>
        <w:t xml:space="preserve"> ‌</w:t>
      </w:r>
    </w:p>
    <w:p w:rsidR="008A74EB" w:rsidRPr="00C9040A" w:rsidRDefault="008A74EB" w:rsidP="008A74EB">
      <w:pPr>
        <w:pStyle w:val="libNormal"/>
        <w:rPr>
          <w:rtl/>
          <w:lang w:bidi="fa-IR"/>
        </w:rPr>
      </w:pPr>
      <w:r w:rsidRPr="009159CE">
        <w:rPr>
          <w:rtl/>
        </w:rPr>
        <w:t>2156</w:t>
      </w:r>
      <w:r w:rsidRPr="00261CB0">
        <w:rPr>
          <w:rStyle w:val="libBold2Char"/>
          <w:rtl/>
        </w:rPr>
        <w:t xml:space="preserve"> / 13.</w:t>
      </w:r>
      <w:r w:rsidRPr="00C9040A">
        <w:rPr>
          <w:rtl/>
          <w:lang w:bidi="fa-IR"/>
        </w:rPr>
        <w:t xml:space="preserve"> الْحُسَيْنُ بْنُ مُحَمَّدٍ ، عَنْ مُعَلَّى بْنِ مُحَمَّدٍ ، عَنْ أَحْمَدَ بْنِ مُحَمَّدِ بْنِ عَبْدِ اللهِ ،</w:t>
      </w:r>
    </w:p>
    <w:p w:rsidR="008A74EB" w:rsidRPr="00C9040A" w:rsidRDefault="008A74EB" w:rsidP="008A74EB">
      <w:pPr>
        <w:pStyle w:val="libLine"/>
        <w:rPr>
          <w:rtl/>
          <w:lang w:bidi="fa-IR"/>
        </w:rPr>
      </w:pPr>
      <w:r w:rsidRPr="00C9040A">
        <w:rPr>
          <w:rtl/>
          <w:lang w:bidi="fa-IR"/>
        </w:rPr>
        <w:t>__________________</w:t>
      </w:r>
    </w:p>
    <w:p w:rsidR="008A74EB" w:rsidRPr="00C9040A" w:rsidRDefault="00056510" w:rsidP="004A4E41">
      <w:pPr>
        <w:pStyle w:val="libFootnote0"/>
        <w:rPr>
          <w:rtl/>
          <w:lang w:bidi="fa-IR"/>
        </w:rPr>
      </w:pPr>
      <w:r>
        <w:rPr>
          <w:rFonts w:hint="cs"/>
          <w:rtl/>
        </w:rPr>
        <w:t xml:space="preserve">= </w:t>
      </w:r>
      <w:r w:rsidR="008A74EB" w:rsidRPr="00C9040A">
        <w:rPr>
          <w:rtl/>
        </w:rPr>
        <w:t xml:space="preserve">فصار المجموع سبعين. ويحتمل كونه كلام الإمام </w:t>
      </w:r>
      <w:r w:rsidR="00117575" w:rsidRPr="00117575">
        <w:rPr>
          <w:rStyle w:val="libFootnoteAlaemChar"/>
          <w:rtl/>
        </w:rPr>
        <w:t>عليه‌السلام</w:t>
      </w:r>
      <w:r w:rsidR="008A74EB" w:rsidRPr="00C9040A">
        <w:rPr>
          <w:rtl/>
        </w:rPr>
        <w:t xml:space="preserve"> ، ويكون « بلغ » بمعنى : يبلغ »</w:t>
      </w:r>
      <w:r w:rsidR="008A74EB">
        <w:rPr>
          <w:rtl/>
        </w:rPr>
        <w:t>.</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w:t>
      </w:r>
      <w:r w:rsidR="008A74EB" w:rsidRPr="00993B55">
        <w:rPr>
          <w:rStyle w:val="libFootnoteBoldChar"/>
          <w:rtl/>
        </w:rPr>
        <w:t>مرآة العقول</w:t>
      </w:r>
      <w:r w:rsidR="008A74EB" w:rsidRPr="00C9040A">
        <w:rPr>
          <w:rtl/>
        </w:rPr>
        <w:t xml:space="preserve"> : « والظاهر أنّ ضمير مثلها في الأوّلين راجع إلى الرقبة ، وفي الأخيرين إلى العشر ، وقوله « حتّى بلغ » في الموضعين كلام الراوي ، أي قال مثلها سبع مرّات في الموضعين ، فصار المجموع سبعين. ويحتمل كونه كلام الإمام </w:t>
      </w:r>
      <w:r w:rsidR="00117575" w:rsidRPr="00117575">
        <w:rPr>
          <w:rStyle w:val="libFootnoteAlaemChar"/>
          <w:rtl/>
        </w:rPr>
        <w:t>عليه‌السلام</w:t>
      </w:r>
      <w:r w:rsidR="008A74EB" w:rsidRPr="00C9040A">
        <w:rPr>
          <w:rtl/>
        </w:rPr>
        <w:t xml:space="preserve"> ويكون « بلغ » بمعنى يبلغ.</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ب ، د ، ص ، ف ، بر ، بس ، بف » والوافي والبحار : « وأكفّ »</w:t>
      </w:r>
      <w:r w:rsidR="008A74EB">
        <w:rPr>
          <w:rtl/>
        </w:rPr>
        <w:t>.</w:t>
      </w:r>
      <w:r w:rsidR="008A74EB" w:rsidRPr="00C9040A">
        <w:rPr>
          <w:rtl/>
        </w:rPr>
        <w:t xml:space="preserve"> ويكفّ ماء وجهه ، أي‌يصونُه ويجمعه عن‌بذل السؤال. وأصله : المنع. </w:t>
      </w:r>
      <w:r w:rsidR="008A74EB" w:rsidRPr="00993B55">
        <w:rPr>
          <w:rStyle w:val="libFootnoteBoldChar"/>
          <w:rtl/>
        </w:rPr>
        <w:t>النهاية</w:t>
      </w:r>
      <w:r w:rsidR="008A74EB" w:rsidRPr="00C9040A">
        <w:rPr>
          <w:rtl/>
        </w:rPr>
        <w:t xml:space="preserve"> ، ج 4 ، ص 191 ( كفف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د ، بس » : + « ومثلها »</w:t>
      </w:r>
      <w:r w:rsidR="008A74EB">
        <w:rPr>
          <w:rtl/>
        </w:rPr>
        <w:t>.</w:t>
      </w:r>
    </w:p>
    <w:p w:rsidR="008A74EB" w:rsidRPr="00C9040A" w:rsidRDefault="006C577F" w:rsidP="00CD0213">
      <w:pPr>
        <w:pStyle w:val="libFootnote0"/>
        <w:rPr>
          <w:rtl/>
          <w:lang w:bidi="fa-IR"/>
        </w:rPr>
      </w:pPr>
      <w:r>
        <w:rPr>
          <w:rtl/>
        </w:rPr>
        <w:t>(4).</w:t>
      </w:r>
      <w:r w:rsidR="008A74EB" w:rsidRPr="00C9040A">
        <w:rPr>
          <w:rtl/>
        </w:rPr>
        <w:t xml:space="preserve"> </w:t>
      </w:r>
      <w:r w:rsidR="008A74EB" w:rsidRPr="00993B55">
        <w:rPr>
          <w:rStyle w:val="libFootnoteBoldChar"/>
          <w:rtl/>
        </w:rPr>
        <w:t>الكافي</w:t>
      </w:r>
      <w:r w:rsidR="008A74EB" w:rsidRPr="00C9040A">
        <w:rPr>
          <w:rtl/>
        </w:rPr>
        <w:t xml:space="preserve"> ، كتاب الزكاة ، باب فضل الصدقة ، ح 6002 ، عن عدّة من أصحابنا ، عن أحمد بن أبي عبدالله ، عن أبيه ، عن خلف بن حمّاد ، عن إسماعيل الجوهري ، عن أبي بصير ، عن أبي جعفر </w:t>
      </w:r>
      <w:r w:rsidR="00117575" w:rsidRPr="00117575">
        <w:rPr>
          <w:rStyle w:val="libFootnoteAlaemChar"/>
          <w:rtl/>
        </w:rPr>
        <w:t>عليه‌السلام</w:t>
      </w:r>
      <w:r w:rsidR="008A74EB" w:rsidRPr="00C9040A">
        <w:rPr>
          <w:rtl/>
        </w:rPr>
        <w:t xml:space="preserve"> ؛ </w:t>
      </w:r>
      <w:r w:rsidR="008A74EB" w:rsidRPr="00993B55">
        <w:rPr>
          <w:rStyle w:val="libFootnoteBoldChar"/>
          <w:rtl/>
        </w:rPr>
        <w:t>ثواب الأعمال</w:t>
      </w:r>
      <w:r w:rsidR="008A74EB" w:rsidRPr="00C9040A">
        <w:rPr>
          <w:rtl/>
        </w:rPr>
        <w:t xml:space="preserve"> ، ص 170 ، ح 13 ، بسنده عن أحمد بن أبي عبدالله ، عن أبيه ، عن خلف بن حمّاد ، عن إسماعيل الجوهري ، عن أبي بصير ، عن أبي جعفر </w:t>
      </w:r>
      <w:r w:rsidR="00117575" w:rsidRPr="00117575">
        <w:rPr>
          <w:rStyle w:val="libFootnoteAlaemChar"/>
          <w:rtl/>
        </w:rPr>
        <w:t>عليه‌السلام</w:t>
      </w:r>
      <w:r w:rsidR="008A74EB" w:rsidRPr="00C9040A">
        <w:rPr>
          <w:rtl/>
        </w:rPr>
        <w:t xml:space="preserve"> ، وفيهما مع اختلاف يسير</w:t>
      </w:r>
      <w:r w:rsidR="00056510">
        <w:rPr>
          <w:rFonts w:hint="cs"/>
          <w:rtl/>
        </w:rPr>
        <w:t>.</w:t>
      </w:r>
      <w:r w:rsidR="008A74EB" w:rsidRPr="00993B55">
        <w:rPr>
          <w:rStyle w:val="libFootnoteBoldChar"/>
          <w:rtl/>
        </w:rPr>
        <w:t>الوافي</w:t>
      </w:r>
      <w:r w:rsidR="008A74EB" w:rsidRPr="00C9040A">
        <w:rPr>
          <w:rtl/>
        </w:rPr>
        <w:t xml:space="preserve"> ، ج 5 ، ص 678 ، ح 2861 ؛ </w:t>
      </w:r>
      <w:r w:rsidR="008A74EB" w:rsidRPr="00993B55">
        <w:rPr>
          <w:rStyle w:val="libFootnoteBoldChar"/>
          <w:rtl/>
        </w:rPr>
        <w:t>البحار</w:t>
      </w:r>
      <w:r w:rsidR="008A74EB" w:rsidRPr="00C9040A">
        <w:rPr>
          <w:rtl/>
        </w:rPr>
        <w:t xml:space="preserve"> ، ج 74 ، ص 339 ، ح 100.</w:t>
      </w:r>
      <w:r w:rsidR="00CD0213">
        <w:rPr>
          <w:rFonts w:hint="cs"/>
          <w:rtl/>
        </w:rPr>
        <w:t xml:space="preserve">                                          </w:t>
      </w:r>
      <w:r>
        <w:rPr>
          <w:rtl/>
        </w:rPr>
        <w:t>(5).</w:t>
      </w:r>
      <w:r w:rsidR="008A74EB" w:rsidRPr="00C9040A">
        <w:rPr>
          <w:rtl/>
        </w:rPr>
        <w:t xml:space="preserve"> في الوسائل والمصادقة : « لمن »</w:t>
      </w:r>
      <w:r w:rsidR="008A74EB">
        <w:rPr>
          <w:rtl/>
        </w:rPr>
        <w:t>.</w:t>
      </w:r>
    </w:p>
    <w:tbl>
      <w:tblPr>
        <w:tblStyle w:val="TableGrid"/>
        <w:bidiVisual/>
        <w:tblW w:w="0" w:type="auto"/>
        <w:tblLook w:val="04A0" w:firstRow="1" w:lastRow="0" w:firstColumn="1" w:lastColumn="0" w:noHBand="0" w:noVBand="1"/>
      </w:tblPr>
      <w:tblGrid>
        <w:gridCol w:w="4006"/>
        <w:gridCol w:w="4006"/>
      </w:tblGrid>
      <w:tr w:rsidR="00CD0213" w:rsidTr="00CD0213">
        <w:tc>
          <w:tcPr>
            <w:tcW w:w="4006" w:type="dxa"/>
          </w:tcPr>
          <w:p w:rsidR="00CD0213" w:rsidRDefault="00CD0213" w:rsidP="004A4E41">
            <w:pPr>
              <w:pStyle w:val="libFootnote0"/>
              <w:rPr>
                <w:rtl/>
              </w:rPr>
            </w:pPr>
            <w:r>
              <w:rPr>
                <w:rtl/>
              </w:rPr>
              <w:t xml:space="preserve">(6). </w:t>
            </w:r>
            <w:r w:rsidRPr="00C9040A">
              <w:rPr>
                <w:rtl/>
              </w:rPr>
              <w:t>في « ف » : « الجنّة »</w:t>
            </w:r>
            <w:r>
              <w:rPr>
                <w:rtl/>
              </w:rPr>
              <w:t>.</w:t>
            </w:r>
          </w:p>
        </w:tc>
        <w:tc>
          <w:tcPr>
            <w:tcW w:w="4006" w:type="dxa"/>
          </w:tcPr>
          <w:p w:rsidR="00CD0213" w:rsidRDefault="00CD0213" w:rsidP="004A4E41">
            <w:pPr>
              <w:pStyle w:val="libFootnote0"/>
              <w:rPr>
                <w:rtl/>
              </w:rPr>
            </w:pPr>
            <w:r>
              <w:rPr>
                <w:rtl/>
              </w:rPr>
              <w:t>(7). في « د ، ص ، بس،</w:t>
            </w:r>
            <w:r w:rsidRPr="00C9040A">
              <w:rPr>
                <w:rtl/>
              </w:rPr>
              <w:t xml:space="preserve">بف » والوافي </w:t>
            </w:r>
            <w:r>
              <w:rPr>
                <w:rtl/>
              </w:rPr>
              <w:t>: -</w:t>
            </w:r>
            <w:r w:rsidRPr="00C9040A">
              <w:rPr>
                <w:rtl/>
              </w:rPr>
              <w:t xml:space="preserve"> « قضاء »</w:t>
            </w:r>
            <w:r>
              <w:rPr>
                <w:rtl/>
              </w:rPr>
              <w:t>.</w:t>
            </w:r>
          </w:p>
        </w:tc>
      </w:tr>
    </w:tbl>
    <w:p w:rsidR="008A74EB" w:rsidRPr="00C9040A" w:rsidRDefault="006C577F" w:rsidP="004A4E41">
      <w:pPr>
        <w:pStyle w:val="libFootnote0"/>
        <w:rPr>
          <w:rtl/>
          <w:lang w:bidi="fa-IR"/>
        </w:rPr>
      </w:pPr>
      <w:r>
        <w:rPr>
          <w:rtl/>
        </w:rPr>
        <w:t>(8).</w:t>
      </w:r>
      <w:r w:rsidR="008A74EB" w:rsidRPr="00C9040A">
        <w:rPr>
          <w:rtl/>
        </w:rPr>
        <w:t xml:space="preserve"> في « ص ، ض ، بس » والبحار : « أم لم تقض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 هذا محمول على ما إذا لم يقصر في السعي كما مرّ ، مع أنّ الاشتراك في دخول الجنّة والتحكيم فيها لاينافي التفاوت بحسب الدرجات »</w:t>
      </w:r>
      <w:r w:rsidR="008A74EB">
        <w:rPr>
          <w:rtl/>
        </w:rPr>
        <w:t>.</w:t>
      </w:r>
    </w:p>
    <w:p w:rsidR="008A74EB" w:rsidRPr="00C9040A" w:rsidRDefault="006C577F" w:rsidP="00E01CAE">
      <w:pPr>
        <w:pStyle w:val="libFootnote0"/>
        <w:rPr>
          <w:rtl/>
          <w:lang w:bidi="fa-IR"/>
        </w:rPr>
      </w:pPr>
      <w:r>
        <w:rPr>
          <w:rtl/>
        </w:rPr>
        <w:t>(9).</w:t>
      </w:r>
      <w:r w:rsidR="008A74EB" w:rsidRPr="00C9040A">
        <w:rPr>
          <w:rtl/>
        </w:rPr>
        <w:t xml:space="preserve"> </w:t>
      </w:r>
      <w:r w:rsidR="008A74EB" w:rsidRPr="00993B55">
        <w:rPr>
          <w:rStyle w:val="libFootnoteBoldChar"/>
          <w:rtl/>
        </w:rPr>
        <w:t>مصادقة الإخوان</w:t>
      </w:r>
      <w:r w:rsidR="008A74EB" w:rsidRPr="00C9040A">
        <w:rPr>
          <w:rtl/>
        </w:rPr>
        <w:t xml:space="preserve"> ، ص 66 ، ح 2 ، مرسلاً عن أبي جعفر </w:t>
      </w:r>
      <w:r w:rsidR="00117575" w:rsidRPr="00117575">
        <w:rPr>
          <w:rStyle w:val="libFootnoteAlaemChar"/>
          <w:rtl/>
        </w:rPr>
        <w:t>عليه‌السلام</w:t>
      </w:r>
      <w:r w:rsidR="00E01CAE">
        <w:rPr>
          <w:rStyle w:val="libFootnoteAlaemChar"/>
          <w:rFonts w:hint="cs"/>
          <w:rtl/>
        </w:rPr>
        <w:t>.</w:t>
      </w:r>
      <w:r w:rsidR="008A74EB" w:rsidRPr="00993B55">
        <w:rPr>
          <w:rStyle w:val="libFootnoteBoldChar"/>
          <w:rtl/>
        </w:rPr>
        <w:t>الوافي</w:t>
      </w:r>
      <w:r w:rsidR="008A74EB" w:rsidRPr="00C9040A">
        <w:rPr>
          <w:rtl/>
        </w:rPr>
        <w:t xml:space="preserve"> ، ج 5 ، ص 665 ، ح 2823 ؛ </w:t>
      </w:r>
      <w:r w:rsidR="008A74EB" w:rsidRPr="00993B55">
        <w:rPr>
          <w:rStyle w:val="libFootnoteBoldChar"/>
          <w:rtl/>
        </w:rPr>
        <w:t>الوسائل</w:t>
      </w:r>
      <w:r w:rsidR="008A74EB" w:rsidRPr="00C9040A">
        <w:rPr>
          <w:rtl/>
        </w:rPr>
        <w:t xml:space="preserve"> ، ج 16 ، ص 360 ، ح 21760 ؛ </w:t>
      </w:r>
      <w:r w:rsidR="008A74EB" w:rsidRPr="00993B55">
        <w:rPr>
          <w:rStyle w:val="libFootnoteBoldChar"/>
          <w:rtl/>
        </w:rPr>
        <w:t>البحار</w:t>
      </w:r>
      <w:r w:rsidR="008A74EB" w:rsidRPr="00C9040A">
        <w:rPr>
          <w:rtl/>
        </w:rPr>
        <w:t xml:space="preserve"> ، ج 74 ، ص 329 ، ح 101.</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عَنْ عَلِيِّ بْنِ جَعْفَرٍ ، قَالَ :</w:t>
      </w:r>
    </w:p>
    <w:p w:rsidR="008A74EB" w:rsidRPr="00C9040A" w:rsidRDefault="008A74EB" w:rsidP="008A74EB">
      <w:pPr>
        <w:pStyle w:val="libNormal"/>
        <w:rPr>
          <w:rtl/>
          <w:lang w:bidi="fa-IR"/>
        </w:rPr>
      </w:pPr>
      <w:r w:rsidRPr="00C9040A">
        <w:rPr>
          <w:rtl/>
          <w:lang w:bidi="fa-IR"/>
        </w:rPr>
        <w:t xml:space="preserve">سَمِعْتُ أَبَا الْحَسَنِ </w:t>
      </w:r>
      <w:r w:rsidRPr="0003660B">
        <w:rPr>
          <w:rStyle w:val="libAlaemChar"/>
          <w:rtl/>
        </w:rPr>
        <w:t>عليه‌السلام</w:t>
      </w:r>
      <w:r w:rsidRPr="00C9040A">
        <w:rPr>
          <w:rtl/>
          <w:lang w:bidi="fa-IR"/>
        </w:rPr>
        <w:t xml:space="preserve"> يَقُولُ : « مَنْ أَتَاهُ أَخُوهُ الْمُؤْمِنُ فِي حَاجَةٍ ، فَإِنَّمَا هِيَ رَحْمَةٌ مِنَ اللهِ</w:t>
      </w:r>
      <w:r>
        <w:rPr>
          <w:rtl/>
          <w:lang w:bidi="fa-IR"/>
        </w:rPr>
        <w:t xml:space="preserve"> </w:t>
      </w:r>
      <w:r w:rsidR="0084262C">
        <w:rPr>
          <w:rtl/>
          <w:lang w:bidi="fa-IR"/>
        </w:rPr>
        <w:t>-</w:t>
      </w:r>
      <w:r>
        <w:rPr>
          <w:rtl/>
          <w:lang w:bidi="fa-IR"/>
        </w:rPr>
        <w:t xml:space="preserve"> </w:t>
      </w:r>
      <w:r w:rsidRPr="00C9040A">
        <w:rPr>
          <w:rtl/>
          <w:lang w:bidi="fa-IR"/>
        </w:rPr>
        <w:t>تَبَارَكَ وَتَعَالى</w:t>
      </w:r>
      <w:r>
        <w:rPr>
          <w:rtl/>
          <w:lang w:bidi="fa-IR"/>
        </w:rPr>
        <w:t xml:space="preserve"> </w:t>
      </w:r>
      <w:r w:rsidR="0084262C">
        <w:rPr>
          <w:rtl/>
          <w:lang w:bidi="fa-IR"/>
        </w:rPr>
        <w:t>-</w:t>
      </w:r>
      <w:r>
        <w:rPr>
          <w:rtl/>
          <w:lang w:bidi="fa-IR"/>
        </w:rPr>
        <w:t xml:space="preserve"> </w:t>
      </w:r>
      <w:r w:rsidRPr="00C9040A">
        <w:rPr>
          <w:rtl/>
          <w:lang w:bidi="fa-IR"/>
        </w:rPr>
        <w:t xml:space="preserve">سَاقَهَا إِلَيْهِ ، فَإِنْ قَبِلَ ذلِكَ ، فَقَدْ وَصَلَهُ بِوَلَايَتِنَا وَهُوَ مَوْصُولٌ </w:t>
      </w:r>
      <w:r w:rsidR="006C577F" w:rsidRPr="006C577F">
        <w:rPr>
          <w:rStyle w:val="libFootnotenumChar"/>
          <w:rtl/>
        </w:rPr>
        <w:t>(1)</w:t>
      </w:r>
      <w:r w:rsidRPr="00C9040A">
        <w:rPr>
          <w:rtl/>
          <w:lang w:bidi="fa-IR"/>
        </w:rPr>
        <w:t xml:space="preserve"> بِوَلَايَةِ اللهِ ؛ وَإِنْ رَدَّهُ عَنْ حَاجَتِهِ </w:t>
      </w:r>
      <w:r w:rsidR="006C577F" w:rsidRPr="006C577F">
        <w:rPr>
          <w:rStyle w:val="libFootnotenumChar"/>
          <w:rtl/>
        </w:rPr>
        <w:t>(2)</w:t>
      </w:r>
      <w:r w:rsidRPr="00C9040A">
        <w:rPr>
          <w:rtl/>
          <w:lang w:bidi="fa-IR"/>
        </w:rPr>
        <w:t xml:space="preserve"> وَهُوَ يَقْدِرُ عَلى قَضَائِهَا ، سَلَّطَ اللهُ عَلَيْهِ شُجَاعاً مِنْ نَارٍ يَنْهَشُهُ </w:t>
      </w:r>
      <w:r w:rsidR="006C577F" w:rsidRPr="006C577F">
        <w:rPr>
          <w:rStyle w:val="libFootnotenumChar"/>
          <w:rtl/>
        </w:rPr>
        <w:t>(3)</w:t>
      </w:r>
      <w:r w:rsidRPr="00C9040A">
        <w:rPr>
          <w:rtl/>
          <w:lang w:bidi="fa-IR"/>
        </w:rPr>
        <w:t xml:space="preserve"> فِي قَبْرِهِ إِلى يَوْمِ الْقِيَامَةِ ، مَغْفُوراً لَهُ أَوْ مُعَذَّباً ، فَإِنْ عَذَرَهُ </w:t>
      </w:r>
      <w:r w:rsidR="006C577F" w:rsidRPr="006C577F">
        <w:rPr>
          <w:rStyle w:val="libFootnotenumChar"/>
          <w:rtl/>
        </w:rPr>
        <w:t>(4)</w:t>
      </w:r>
      <w:r w:rsidRPr="00C9040A">
        <w:rPr>
          <w:rtl/>
          <w:lang w:bidi="fa-IR"/>
        </w:rPr>
        <w:t xml:space="preserve"> الطَّالِبُ كَانَ أَسْوَأَ حَالاً </w:t>
      </w:r>
      <w:r w:rsidR="006C577F" w:rsidRPr="006C577F">
        <w:rPr>
          <w:rStyle w:val="libFootnotenumChar"/>
          <w:rtl/>
        </w:rPr>
        <w:t>(5)</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(6)</w:t>
      </w:r>
    </w:p>
    <w:p w:rsidR="008A74EB" w:rsidRPr="00C9040A" w:rsidRDefault="008A74EB" w:rsidP="008A74EB">
      <w:pPr>
        <w:pStyle w:val="libNormal"/>
        <w:rPr>
          <w:rtl/>
          <w:lang w:bidi="fa-IR"/>
        </w:rPr>
      </w:pPr>
      <w:r w:rsidRPr="009159CE">
        <w:rPr>
          <w:rtl/>
        </w:rPr>
        <w:t>2157</w:t>
      </w:r>
      <w:r w:rsidRPr="00261CB0">
        <w:rPr>
          <w:rStyle w:val="libBold2Char"/>
          <w:rtl/>
        </w:rPr>
        <w:t xml:space="preserve"> / 14.</w:t>
      </w:r>
      <w:r w:rsidRPr="00C9040A">
        <w:rPr>
          <w:rtl/>
          <w:lang w:bidi="fa-IR"/>
        </w:rPr>
        <w:t xml:space="preserve"> مُحَمَّدُ بْنُ يَحْيى ، عَنْ مُحَمَّدِ بْنِ الْحُسَيْنِ ، عَنْ مُحَمَّدِ بْنِ إِسْمَاعِيلَ بْنِ بَزِيعٍ ، عَنْ صَالِحِ بْنِ عُقْبَةَ ، عَنْ عَبْدِ اللهِ بْنِ مُحَمَّدٍ الْجُعْفِيِّ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إِنَّ الْمُؤْمِنَ لَتَرِدُ عَلَيْهِ الْحَاجَةُ لِأَخِيهِ ، فَلَا تَكُونُ </w:t>
      </w:r>
      <w:r w:rsidR="006C577F" w:rsidRPr="006C577F">
        <w:rPr>
          <w:rStyle w:val="libFootnotenumChar"/>
          <w:rtl/>
        </w:rPr>
        <w:t>(7)</w:t>
      </w:r>
      <w:r w:rsidRPr="00C9040A">
        <w:rPr>
          <w:rtl/>
          <w:lang w:bidi="fa-IR"/>
        </w:rPr>
        <w:t xml:space="preserve"> عِنْدَهُ ، فَيَهْتَمُّ </w:t>
      </w:r>
      <w:r w:rsidR="006C577F" w:rsidRPr="006C577F">
        <w:rPr>
          <w:rStyle w:val="libFootnotenumChar"/>
          <w:rtl/>
        </w:rPr>
        <w:t>(8)</w:t>
      </w:r>
      <w:r w:rsidRPr="00C9040A">
        <w:rPr>
          <w:rtl/>
          <w:lang w:bidi="fa-IR"/>
        </w:rPr>
        <w:t xml:space="preserve"> بِهَا قَلْبُهُ ، فَيُدْخِلُهُ اللهُ</w:t>
      </w:r>
      <w:r>
        <w:rPr>
          <w:rtl/>
          <w:lang w:bidi="fa-IR"/>
        </w:rPr>
        <w:t xml:space="preserve"> </w:t>
      </w:r>
      <w:r w:rsidR="0084262C">
        <w:rPr>
          <w:rtl/>
          <w:lang w:bidi="fa-IR"/>
        </w:rPr>
        <w:t>-</w:t>
      </w:r>
      <w:r>
        <w:rPr>
          <w:rtl/>
          <w:lang w:bidi="fa-IR"/>
        </w:rPr>
        <w:t xml:space="preserve"> </w:t>
      </w:r>
      <w:r w:rsidRPr="00C9040A">
        <w:rPr>
          <w:rtl/>
          <w:lang w:bidi="fa-IR"/>
        </w:rPr>
        <w:t>تَبَارَكَ وَتَعَالى</w:t>
      </w:r>
      <w:r>
        <w:rPr>
          <w:rtl/>
          <w:lang w:bidi="fa-IR"/>
        </w:rPr>
        <w:t xml:space="preserve"> </w:t>
      </w:r>
      <w:r w:rsidR="0084262C">
        <w:rPr>
          <w:rtl/>
          <w:lang w:bidi="fa-IR"/>
        </w:rPr>
        <w:t>-</w:t>
      </w:r>
      <w:r>
        <w:rPr>
          <w:rtl/>
          <w:lang w:bidi="fa-IR"/>
        </w:rPr>
        <w:t xml:space="preserve"> </w:t>
      </w:r>
      <w:r w:rsidRPr="00C9040A">
        <w:rPr>
          <w:rtl/>
          <w:lang w:bidi="fa-IR"/>
        </w:rPr>
        <w:t>بِهَمِّهِ الْجَنَّةَ »</w:t>
      </w:r>
      <w:r>
        <w:rPr>
          <w:rtl/>
          <w:lang w:bidi="fa-IR"/>
        </w:rPr>
        <w:t>.</w:t>
      </w:r>
      <w:r w:rsidRPr="00C9040A">
        <w:rPr>
          <w:rtl/>
          <w:lang w:bidi="fa-IR"/>
        </w:rPr>
        <w:t xml:space="preserve"> </w:t>
      </w:r>
      <w:r w:rsidR="006C577F" w:rsidRPr="006C577F">
        <w:rPr>
          <w:rStyle w:val="libFootnotenumChar"/>
          <w:rtl/>
        </w:rPr>
        <w:t>(9)</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حاشية « ف » : « وهي موصولة »</w:t>
      </w:r>
      <w:r w:rsidR="008A74EB">
        <w:rPr>
          <w:rtl/>
        </w:rPr>
        <w:t>.</w:t>
      </w:r>
      <w:r w:rsidR="008A74EB" w:rsidRPr="00C9040A">
        <w:rPr>
          <w:rtl/>
        </w:rPr>
        <w:t xml:space="preserve"> استظهر هذا.</w:t>
      </w:r>
    </w:p>
    <w:tbl>
      <w:tblPr>
        <w:tblStyle w:val="TableGrid"/>
        <w:bidiVisual/>
        <w:tblW w:w="0" w:type="auto"/>
        <w:tblLook w:val="04A0" w:firstRow="1" w:lastRow="0" w:firstColumn="1" w:lastColumn="0" w:noHBand="0" w:noVBand="1"/>
      </w:tblPr>
      <w:tblGrid>
        <w:gridCol w:w="4006"/>
        <w:gridCol w:w="4006"/>
      </w:tblGrid>
      <w:tr w:rsidR="00DC6AE1" w:rsidTr="00DC6AE1">
        <w:tc>
          <w:tcPr>
            <w:tcW w:w="4006" w:type="dxa"/>
          </w:tcPr>
          <w:p w:rsidR="00DC6AE1" w:rsidRDefault="00DC6AE1" w:rsidP="004A4E41">
            <w:pPr>
              <w:pStyle w:val="libFootnote0"/>
              <w:rPr>
                <w:rtl/>
              </w:rPr>
            </w:pPr>
            <w:r>
              <w:rPr>
                <w:rtl/>
              </w:rPr>
              <w:t xml:space="preserve">(2). </w:t>
            </w:r>
            <w:r w:rsidRPr="00C9040A">
              <w:rPr>
                <w:rtl/>
              </w:rPr>
              <w:t>في « ج » : « حاجة »</w:t>
            </w:r>
            <w:r>
              <w:rPr>
                <w:rtl/>
              </w:rPr>
              <w:t>.</w:t>
            </w:r>
          </w:p>
        </w:tc>
        <w:tc>
          <w:tcPr>
            <w:tcW w:w="4006" w:type="dxa"/>
          </w:tcPr>
          <w:p w:rsidR="00DC6AE1" w:rsidRDefault="00DC6AE1" w:rsidP="00AB20BF">
            <w:pPr>
              <w:pStyle w:val="libFootnote0"/>
              <w:rPr>
                <w:rtl/>
              </w:rPr>
            </w:pPr>
            <w:r>
              <w:rPr>
                <w:rtl/>
              </w:rPr>
              <w:t>(3).</w:t>
            </w:r>
            <w:r w:rsidR="00AB20BF">
              <w:rPr>
                <w:rtl/>
              </w:rPr>
              <w:t xml:space="preserve"> في « بر</w:t>
            </w:r>
            <w:r w:rsidRPr="00C9040A">
              <w:rPr>
                <w:rtl/>
              </w:rPr>
              <w:t>، بف » : « تنهشه »</w:t>
            </w:r>
            <w:r>
              <w:rPr>
                <w:rtl/>
              </w:rPr>
              <w:t>.</w:t>
            </w:r>
          </w:p>
        </w:tc>
      </w:tr>
    </w:tbl>
    <w:p w:rsidR="008A74EB" w:rsidRPr="00C9040A" w:rsidRDefault="006C577F" w:rsidP="004A4E41">
      <w:pPr>
        <w:pStyle w:val="libFootnote0"/>
        <w:rPr>
          <w:rtl/>
          <w:lang w:bidi="fa-IR"/>
        </w:rPr>
      </w:pPr>
      <w:r>
        <w:rPr>
          <w:rtl/>
        </w:rPr>
        <w:t>(4).</w:t>
      </w:r>
      <w:r w:rsidR="008A74EB" w:rsidRPr="00C9040A">
        <w:rPr>
          <w:rtl/>
        </w:rPr>
        <w:t xml:space="preserve"> يجوز على بناء التفعيل أيضاً.</w:t>
      </w:r>
    </w:p>
    <w:p w:rsidR="008A74EB" w:rsidRPr="00C9040A" w:rsidRDefault="006C577F" w:rsidP="004A4E41">
      <w:pPr>
        <w:pStyle w:val="libFootnote0"/>
        <w:rPr>
          <w:rtl/>
          <w:lang w:bidi="fa-IR"/>
        </w:rPr>
      </w:pPr>
      <w:r>
        <w:rPr>
          <w:rtl/>
        </w:rPr>
        <w:t>(5).</w:t>
      </w:r>
      <w:r w:rsidR="008A74EB" w:rsidRPr="00C9040A">
        <w:rPr>
          <w:rtl/>
        </w:rPr>
        <w:t xml:space="preserve"> في </w:t>
      </w:r>
      <w:r w:rsidR="008A74EB" w:rsidRPr="00993B55">
        <w:rPr>
          <w:rStyle w:val="libFootnoteBoldChar"/>
          <w:rtl/>
        </w:rPr>
        <w:t>الوافي</w:t>
      </w:r>
      <w:r w:rsidR="008A74EB" w:rsidRPr="00C9040A">
        <w:rPr>
          <w:rtl/>
        </w:rPr>
        <w:t xml:space="preserve"> : « وإنّما كان المعذور أسوأ حالاً لأنّ العاذر لحسن خلقه وكرمه أحقّ بقضاء الحاجة ممّن لايعذر ، فردّ قضاء حاجته أشنع ، والندم عليه أعظم ، والحسرة عليه أدوم. ووجه آخر ، وهو أنّه إذا عذره لايشكوه ولايغتابه ، فيبقى حقّه عليه سالماً إلى يوم الحساب عمّا يعارضه ويقاصّ به »</w:t>
      </w:r>
      <w:r w:rsidR="008A74EB">
        <w:rPr>
          <w:rtl/>
        </w:rPr>
        <w:t>.</w:t>
      </w:r>
    </w:p>
    <w:p w:rsidR="008A74EB" w:rsidRPr="00C9040A" w:rsidRDefault="006C577F" w:rsidP="000174F5">
      <w:pPr>
        <w:pStyle w:val="libFootnote0"/>
        <w:rPr>
          <w:rtl/>
          <w:lang w:bidi="fa-IR"/>
        </w:rPr>
      </w:pPr>
      <w:r>
        <w:rPr>
          <w:rtl/>
        </w:rPr>
        <w:t>(6).</w:t>
      </w:r>
      <w:r w:rsidR="008A74EB">
        <w:rPr>
          <w:rtl/>
        </w:rPr>
        <w:t xml:space="preserve"> </w:t>
      </w:r>
      <w:r w:rsidR="008A74EB" w:rsidRPr="00993B55">
        <w:rPr>
          <w:rStyle w:val="libFootnoteBoldChar"/>
          <w:rtl/>
        </w:rPr>
        <w:t>الكافي</w:t>
      </w:r>
      <w:r w:rsidR="008A74EB" w:rsidRPr="00C9040A">
        <w:rPr>
          <w:rtl/>
        </w:rPr>
        <w:t xml:space="preserve"> ، كتاب الإيمان والكفر ، باب من منع مؤمناً شيئاً من عنده أو من عند غيره ، ح 2799 ، مع زيادة في آخره. </w:t>
      </w:r>
      <w:r w:rsidR="008A74EB" w:rsidRPr="00993B55">
        <w:rPr>
          <w:rStyle w:val="libFootnoteBoldChar"/>
          <w:rtl/>
        </w:rPr>
        <w:t>الاختصاص</w:t>
      </w:r>
      <w:r w:rsidR="008A74EB" w:rsidRPr="00C9040A">
        <w:rPr>
          <w:rtl/>
        </w:rPr>
        <w:t xml:space="preserve"> ، ص 250 ، مرسلاً عن عليّ بن جعفر ، عن أخيه موسى بن جعفر </w:t>
      </w:r>
      <w:r w:rsidR="00117575" w:rsidRPr="00117575">
        <w:rPr>
          <w:rStyle w:val="libFootnoteAlaemChar"/>
          <w:rtl/>
        </w:rPr>
        <w:t>عليه‌السلام</w:t>
      </w:r>
      <w:r w:rsidR="000174F5">
        <w:rPr>
          <w:rStyle w:val="libFootnoteAlaemChar"/>
          <w:rFonts w:hint="cs"/>
          <w:rtl/>
        </w:rPr>
        <w:t>.</w:t>
      </w:r>
      <w:r w:rsidR="008A74EB" w:rsidRPr="00993B55">
        <w:rPr>
          <w:rStyle w:val="libFootnoteBoldChar"/>
          <w:rtl/>
        </w:rPr>
        <w:t>الوافي</w:t>
      </w:r>
      <w:r w:rsidR="008A74EB" w:rsidRPr="00C9040A">
        <w:rPr>
          <w:rtl/>
        </w:rPr>
        <w:t xml:space="preserve"> ، ج 5 ، ص 662 ، ح 2820 ؛ </w:t>
      </w:r>
      <w:r w:rsidR="008A74EB" w:rsidRPr="00993B55">
        <w:rPr>
          <w:rStyle w:val="libFootnoteBoldChar"/>
          <w:rtl/>
        </w:rPr>
        <w:t>الوسائل</w:t>
      </w:r>
      <w:r w:rsidR="008A74EB" w:rsidRPr="00C9040A">
        <w:rPr>
          <w:rtl/>
        </w:rPr>
        <w:t xml:space="preserve"> ، ج 16 ، ص 360 ، ح 21761 ؛ </w:t>
      </w:r>
      <w:r w:rsidR="008A74EB" w:rsidRPr="00993B55">
        <w:rPr>
          <w:rStyle w:val="libFootnoteBoldChar"/>
          <w:rtl/>
        </w:rPr>
        <w:t>البحار</w:t>
      </w:r>
      <w:r w:rsidR="008A74EB" w:rsidRPr="00C9040A">
        <w:rPr>
          <w:rtl/>
        </w:rPr>
        <w:t xml:space="preserve"> ، ج 74 ، ص 330 ، ح 102.</w:t>
      </w:r>
    </w:p>
    <w:p w:rsidR="008A74EB" w:rsidRPr="00C9040A" w:rsidRDefault="006C577F" w:rsidP="004A4E41">
      <w:pPr>
        <w:pStyle w:val="libFootnote0"/>
        <w:rPr>
          <w:rtl/>
          <w:lang w:bidi="fa-IR"/>
        </w:rPr>
      </w:pPr>
      <w:r>
        <w:rPr>
          <w:rtl/>
        </w:rPr>
        <w:t>(7).</w:t>
      </w:r>
      <w:r w:rsidR="008A74EB" w:rsidRPr="00C9040A">
        <w:rPr>
          <w:rtl/>
        </w:rPr>
        <w:t xml:space="preserve"> في « ج ، ز ، ص ، ف ، بر ، بس ، بف » : « فلا يكون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 ب » : « فيهمّ »</w:t>
      </w:r>
      <w:r w:rsidR="008A74EB">
        <w:rPr>
          <w:rtl/>
        </w:rPr>
        <w:t>.</w:t>
      </w:r>
      <w:r w:rsidR="008A74EB" w:rsidRPr="00C9040A">
        <w:rPr>
          <w:rtl/>
        </w:rPr>
        <w:t xml:space="preserve"> وفي « ج ، ص ، ض ، بس » والوسائل : « يهتمّ » بدون الفاء. وفي « د » : « يهمّ »</w:t>
      </w:r>
      <w:r w:rsidR="008A74EB">
        <w:rPr>
          <w:rtl/>
        </w:rPr>
        <w:t>.</w:t>
      </w:r>
      <w:r w:rsidR="008A74EB" w:rsidRPr="00C9040A">
        <w:rPr>
          <w:rtl/>
        </w:rPr>
        <w:t xml:space="preserve"> وفي « ز » : « فيتهمّ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w:t>
      </w:r>
      <w:r w:rsidR="008A74EB" w:rsidRPr="00993B55">
        <w:rPr>
          <w:rStyle w:val="libFootnoteBoldChar"/>
          <w:rtl/>
        </w:rPr>
        <w:t>الوافي</w:t>
      </w:r>
      <w:r w:rsidR="008A74EB" w:rsidRPr="00C9040A">
        <w:rPr>
          <w:rtl/>
        </w:rPr>
        <w:t xml:space="preserve"> ، ج 5 ، ص 663 ، ح 2822 ؛ </w:t>
      </w:r>
      <w:r w:rsidR="008A74EB" w:rsidRPr="00993B55">
        <w:rPr>
          <w:rStyle w:val="libFootnoteBoldChar"/>
          <w:rtl/>
        </w:rPr>
        <w:t>الوسائل</w:t>
      </w:r>
      <w:r w:rsidR="008A74EB" w:rsidRPr="00C9040A">
        <w:rPr>
          <w:rtl/>
        </w:rPr>
        <w:t xml:space="preserve"> ، ج 16 ، ص 337 ، ح 21703 ؛ وص 357 ، ح 21755 ؛ </w:t>
      </w:r>
      <w:r w:rsidR="008A74EB" w:rsidRPr="00993B55">
        <w:rPr>
          <w:rStyle w:val="libFootnoteBoldChar"/>
          <w:rtl/>
        </w:rPr>
        <w:t>البحار</w:t>
      </w:r>
      <w:r w:rsidR="008A74EB" w:rsidRPr="00C9040A">
        <w:rPr>
          <w:rtl/>
        </w:rPr>
        <w:t xml:space="preserve"> ، ج 74 ، ص 331 ، ح 104.</w:t>
      </w:r>
    </w:p>
    <w:p w:rsidR="004B7F34" w:rsidRDefault="004B7F34" w:rsidP="004B7F34">
      <w:pPr>
        <w:pStyle w:val="libNormal"/>
        <w:rPr>
          <w:rtl/>
          <w:lang w:bidi="fa-IR"/>
        </w:rPr>
      </w:pPr>
      <w:r>
        <w:rPr>
          <w:rtl/>
          <w:lang w:bidi="fa-IR"/>
        </w:rPr>
        <w:br w:type="page"/>
      </w:r>
    </w:p>
    <w:p w:rsidR="008A74EB" w:rsidRPr="00C9040A" w:rsidRDefault="008A74EB" w:rsidP="008A74EB">
      <w:pPr>
        <w:pStyle w:val="Heading2Center"/>
        <w:rPr>
          <w:rtl/>
          <w:lang w:bidi="fa-IR"/>
        </w:rPr>
      </w:pPr>
      <w:bookmarkStart w:id="262" w:name="_Toc343795675"/>
      <w:bookmarkStart w:id="263" w:name="_Toc459810799"/>
      <w:bookmarkStart w:id="264" w:name="_Toc35348705"/>
      <w:r w:rsidRPr="00C9040A">
        <w:rPr>
          <w:rtl/>
          <w:lang w:bidi="fa-IR"/>
        </w:rPr>
        <w:t>84</w:t>
      </w:r>
      <w:r>
        <w:rPr>
          <w:rtl/>
          <w:lang w:bidi="fa-IR"/>
        </w:rPr>
        <w:t xml:space="preserve"> </w:t>
      </w:r>
      <w:r w:rsidR="0084262C">
        <w:rPr>
          <w:rtl/>
          <w:lang w:bidi="fa-IR"/>
        </w:rPr>
        <w:t>-</w:t>
      </w:r>
      <w:r>
        <w:rPr>
          <w:rtl/>
          <w:lang w:bidi="fa-IR"/>
        </w:rPr>
        <w:t xml:space="preserve"> </w:t>
      </w:r>
      <w:r w:rsidRPr="00C9040A">
        <w:rPr>
          <w:rtl/>
          <w:lang w:bidi="fa-IR"/>
        </w:rPr>
        <w:t>بَابُ السَّعْيِ فِي حَاجَةِ الْمُؤْمِنِ‌</w:t>
      </w:r>
      <w:bookmarkEnd w:id="262"/>
      <w:bookmarkEnd w:id="263"/>
      <w:bookmarkEnd w:id="264"/>
    </w:p>
    <w:p w:rsidR="008A74EB" w:rsidRPr="00C9040A" w:rsidRDefault="008A74EB" w:rsidP="008A74EB">
      <w:pPr>
        <w:pStyle w:val="libNormal"/>
        <w:rPr>
          <w:rtl/>
          <w:lang w:bidi="fa-IR"/>
        </w:rPr>
      </w:pPr>
      <w:r w:rsidRPr="009159CE">
        <w:rPr>
          <w:rtl/>
        </w:rPr>
        <w:t>2158</w:t>
      </w:r>
      <w:r w:rsidRPr="00261CB0">
        <w:rPr>
          <w:rStyle w:val="libBold2Char"/>
          <w:rtl/>
        </w:rPr>
        <w:t xml:space="preserve"> / 1.</w:t>
      </w:r>
      <w:r w:rsidRPr="00C9040A">
        <w:rPr>
          <w:rtl/>
          <w:lang w:bidi="fa-IR"/>
        </w:rPr>
        <w:t xml:space="preserve"> مُحَمَّدُ بْنُ يَحْيى ، عَنْ أَحْمَدَ بْنِ مُحَمَّدِ بْنِ عِيسى ، عَنْ عَلِيِّ بْنِ الْحَكَمِ ، عَنْ مُحَمَّدِ بْنِ مَرْوَانَ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w:t>
      </w:r>
      <w:r w:rsidR="006C577F" w:rsidRPr="006C577F">
        <w:rPr>
          <w:rStyle w:val="libFootnotenumChar"/>
          <w:rtl/>
        </w:rPr>
        <w:t>(1)</w:t>
      </w:r>
      <w:r w:rsidRPr="00C9040A">
        <w:rPr>
          <w:rtl/>
          <w:lang w:bidi="fa-IR"/>
        </w:rPr>
        <w:t xml:space="preserve"> قَالَ : « مَشْيُ الرَّجُلِ فِي حَاجَةِ أَخِيهِ الْمُؤْمِنِ </w:t>
      </w:r>
      <w:r w:rsidR="006C577F" w:rsidRPr="006C577F">
        <w:rPr>
          <w:rStyle w:val="libFootnotenumChar"/>
          <w:rtl/>
        </w:rPr>
        <w:t>(2)</w:t>
      </w:r>
      <w:r w:rsidRPr="00C9040A">
        <w:rPr>
          <w:rtl/>
          <w:lang w:bidi="fa-IR"/>
        </w:rPr>
        <w:t xml:space="preserve"> يُكْتَبُ </w:t>
      </w:r>
      <w:r w:rsidR="006C577F" w:rsidRPr="006C577F">
        <w:rPr>
          <w:rStyle w:val="libFootnotenumChar"/>
          <w:rtl/>
        </w:rPr>
        <w:t>(3)</w:t>
      </w:r>
      <w:r w:rsidRPr="00C9040A">
        <w:rPr>
          <w:rtl/>
          <w:lang w:bidi="fa-IR"/>
        </w:rPr>
        <w:t xml:space="preserve"> لَهُ عَشْرَ حَسَنَاتٍ ، وَيُمْحِي </w:t>
      </w:r>
      <w:r w:rsidR="006C577F" w:rsidRPr="006C577F">
        <w:rPr>
          <w:rStyle w:val="libFootnotenumChar"/>
          <w:rtl/>
        </w:rPr>
        <w:t>(4)</w:t>
      </w:r>
      <w:r w:rsidRPr="00C9040A">
        <w:rPr>
          <w:rtl/>
          <w:lang w:bidi="fa-IR"/>
        </w:rPr>
        <w:t xml:space="preserve"> عَنْهُ عَشْرَ سَيِّئَاتٍ ، وَيَرْفَعُ </w:t>
      </w:r>
      <w:r w:rsidR="006C577F" w:rsidRPr="006C577F">
        <w:rPr>
          <w:rStyle w:val="libFootnotenumChar"/>
          <w:rtl/>
        </w:rPr>
        <w:t>(5)</w:t>
      </w:r>
      <w:r w:rsidRPr="00C9040A">
        <w:rPr>
          <w:rtl/>
          <w:lang w:bidi="fa-IR"/>
        </w:rPr>
        <w:t xml:space="preserve"> لَهُ عَشْرَ دَرَجَاتٍ »</w:t>
      </w:r>
      <w:r>
        <w:rPr>
          <w:rtl/>
          <w:lang w:bidi="fa-IR"/>
        </w:rPr>
        <w:t>.</w:t>
      </w:r>
      <w:r w:rsidR="000174F5">
        <w:rPr>
          <w:rtl/>
          <w:lang w:bidi="fa-IR"/>
        </w:rPr>
        <w:t xml:space="preserve"> قَالَ : وَلَا أَعْلَمُهُ إِل</w:t>
      </w:r>
      <w:r w:rsidR="000174F5">
        <w:rPr>
          <w:rFonts w:hint="cs"/>
          <w:rtl/>
          <w:lang w:bidi="fa-IR"/>
        </w:rPr>
        <w:t>َّ</w:t>
      </w:r>
      <w:r w:rsidR="000174F5">
        <w:rPr>
          <w:rtl/>
          <w:lang w:bidi="fa-IR"/>
        </w:rPr>
        <w:t>ا</w:t>
      </w:r>
      <w:r w:rsidRPr="00C9040A">
        <w:rPr>
          <w:rtl/>
          <w:lang w:bidi="fa-IR"/>
        </w:rPr>
        <w:t xml:space="preserve"> قَالَ : « وَيَعْدِلُ </w:t>
      </w:r>
      <w:r w:rsidR="006C577F" w:rsidRPr="006C577F">
        <w:rPr>
          <w:rStyle w:val="libFootnotenumChar"/>
          <w:rtl/>
        </w:rPr>
        <w:t>(6)</w:t>
      </w:r>
      <w:r w:rsidRPr="005B567D">
        <w:rPr>
          <w:rStyle w:val="libFootnotenumChar"/>
          <w:rtl/>
        </w:rPr>
        <w:t xml:space="preserve"> </w:t>
      </w:r>
      <w:r w:rsidRPr="00C9040A">
        <w:rPr>
          <w:rtl/>
          <w:lang w:bidi="fa-IR"/>
        </w:rPr>
        <w:t xml:space="preserve">عَشْرَ رِقَابٍ ، وَأَفْضَلُ مِنِ اعْتِكَافِ شَهْرٍ فِي الْمَسْجِدِ الْحَرَامِ </w:t>
      </w:r>
      <w:r w:rsidR="006C577F" w:rsidRPr="006C577F">
        <w:rPr>
          <w:rStyle w:val="libFootnotenumChar"/>
          <w:rtl/>
        </w:rPr>
        <w:t>(7)</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Normal"/>
        <w:rPr>
          <w:rtl/>
          <w:lang w:bidi="fa-IR"/>
        </w:rPr>
      </w:pPr>
      <w:r w:rsidRPr="009159CE">
        <w:rPr>
          <w:rtl/>
        </w:rPr>
        <w:t>2159</w:t>
      </w:r>
      <w:r w:rsidRPr="00261CB0">
        <w:rPr>
          <w:rStyle w:val="libBold2Char"/>
          <w:rtl/>
        </w:rPr>
        <w:t xml:space="preserve"> / 2.</w:t>
      </w:r>
      <w:r w:rsidRPr="00C9040A">
        <w:rPr>
          <w:rtl/>
          <w:lang w:bidi="fa-IR"/>
        </w:rPr>
        <w:t xml:space="preserve"> عَنْهُ ، عَنْ أَحْمَدَ بْنِ مُحَمَّدٍ ، عَنْ مُعَمَّرِ بْنِ خَلاَّدٍ ، قَالَ :</w:t>
      </w:r>
    </w:p>
    <w:p w:rsidR="008A74EB" w:rsidRPr="00C9040A" w:rsidRDefault="008A74EB" w:rsidP="008A74EB">
      <w:pPr>
        <w:pStyle w:val="libNormal"/>
        <w:rPr>
          <w:rtl/>
          <w:lang w:bidi="fa-IR"/>
        </w:rPr>
      </w:pPr>
      <w:r w:rsidRPr="00C9040A">
        <w:rPr>
          <w:rtl/>
          <w:lang w:bidi="fa-IR"/>
        </w:rPr>
        <w:t xml:space="preserve">سَمِعْتُ أَبَا الْحَسَنِ </w:t>
      </w:r>
      <w:r w:rsidRPr="0003660B">
        <w:rPr>
          <w:rStyle w:val="libAlaemChar"/>
          <w:rtl/>
        </w:rPr>
        <w:t>عليه‌السلام</w:t>
      </w:r>
      <w:r w:rsidRPr="00C9040A">
        <w:rPr>
          <w:rtl/>
          <w:lang w:bidi="fa-IR"/>
        </w:rPr>
        <w:t xml:space="preserve"> يَقُولُ : « إِنَّ لِلّهِ عِبَاداً فِي الْأَرْضِ يَسْعَوْنَ فِي حَوَائِجِ النَّاسِ ، هُمُ الْآمِنُونَ يَوْمَ الْقِيَامَةِ ؛ وَمَنْ أَدْخَلَ عَلى مُؤْمِنٍ سُرُوراً ، فَرَّحَ </w:t>
      </w:r>
      <w:r w:rsidR="006C577F" w:rsidRPr="006C577F">
        <w:rPr>
          <w:rStyle w:val="libFootnotenumChar"/>
          <w:rtl/>
        </w:rPr>
        <w:t>(9)</w:t>
      </w:r>
      <w:r w:rsidRPr="00C9040A">
        <w:rPr>
          <w:rtl/>
          <w:lang w:bidi="fa-IR"/>
        </w:rPr>
        <w:t xml:space="preserve"> اللهُ قَلْبَهُ يَوْمَ الْقِيَامَةِ »</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Normal"/>
        <w:rPr>
          <w:rtl/>
          <w:lang w:bidi="fa-IR"/>
        </w:rPr>
      </w:pPr>
      <w:r w:rsidRPr="009159CE">
        <w:rPr>
          <w:rtl/>
        </w:rPr>
        <w:t>2160</w:t>
      </w:r>
      <w:r w:rsidRPr="00261CB0">
        <w:rPr>
          <w:rStyle w:val="libBold2Char"/>
          <w:rtl/>
        </w:rPr>
        <w:t xml:space="preserve"> / 3.</w:t>
      </w:r>
      <w:r w:rsidRPr="00C9040A">
        <w:rPr>
          <w:rtl/>
          <w:lang w:bidi="fa-IR"/>
        </w:rPr>
        <w:t xml:space="preserve"> عَنْهُ ، عَنْ أَحْمَدَ </w:t>
      </w:r>
      <w:r w:rsidR="006C577F" w:rsidRPr="006C577F">
        <w:rPr>
          <w:rStyle w:val="libFootnotenumChar"/>
          <w:rtl/>
        </w:rPr>
        <w:t>(11)</w:t>
      </w:r>
      <w:r w:rsidRPr="00C9040A">
        <w:rPr>
          <w:rtl/>
          <w:lang w:bidi="fa-IR"/>
        </w:rPr>
        <w:t xml:space="preserve"> ، عَنْ عُثْمَانَ بْنِ عِيسى ، عَنْ رَجُلٍ ، عَنْ أَبِي عُبَيْدَةَ‌</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0174F5" w:rsidTr="000174F5">
        <w:tc>
          <w:tcPr>
            <w:tcW w:w="4006" w:type="dxa"/>
          </w:tcPr>
          <w:p w:rsidR="000174F5" w:rsidRDefault="000174F5" w:rsidP="004A4E41">
            <w:pPr>
              <w:pStyle w:val="libFootnote0"/>
              <w:rPr>
                <w:rtl/>
              </w:rPr>
            </w:pPr>
            <w:r>
              <w:rPr>
                <w:rtl/>
              </w:rPr>
              <w:t xml:space="preserve">(1). </w:t>
            </w:r>
            <w:r w:rsidRPr="00C9040A">
              <w:rPr>
                <w:rtl/>
              </w:rPr>
              <w:t xml:space="preserve">في « ب » والوسائل </w:t>
            </w:r>
            <w:r>
              <w:rPr>
                <w:rtl/>
              </w:rPr>
              <w:t>: -</w:t>
            </w:r>
            <w:r w:rsidRPr="00C9040A">
              <w:rPr>
                <w:rtl/>
              </w:rPr>
              <w:t xml:space="preserve"> « قال »</w:t>
            </w:r>
            <w:r>
              <w:rPr>
                <w:rtl/>
              </w:rPr>
              <w:t>.</w:t>
            </w:r>
          </w:p>
        </w:tc>
        <w:tc>
          <w:tcPr>
            <w:tcW w:w="4006" w:type="dxa"/>
          </w:tcPr>
          <w:p w:rsidR="000174F5" w:rsidRDefault="000174F5" w:rsidP="004A4E41">
            <w:pPr>
              <w:pStyle w:val="libFootnote0"/>
              <w:rPr>
                <w:rtl/>
              </w:rPr>
            </w:pPr>
            <w:r>
              <w:rPr>
                <w:rtl/>
              </w:rPr>
              <w:t xml:space="preserve">(2). </w:t>
            </w:r>
            <w:r w:rsidRPr="00C9040A">
              <w:rPr>
                <w:rtl/>
              </w:rPr>
              <w:t>في المصادقة والمؤمن : « المسلم »</w:t>
            </w:r>
            <w:r>
              <w:rPr>
                <w:rtl/>
              </w:rPr>
              <w:t>.</w:t>
            </w:r>
          </w:p>
        </w:tc>
      </w:tr>
    </w:tbl>
    <w:p w:rsidR="008A74EB" w:rsidRPr="00C9040A" w:rsidRDefault="006C577F" w:rsidP="0014436A">
      <w:pPr>
        <w:pStyle w:val="libFootnote0"/>
        <w:rPr>
          <w:rtl/>
          <w:lang w:bidi="fa-IR"/>
        </w:rPr>
      </w:pPr>
      <w:r>
        <w:rPr>
          <w:rtl/>
        </w:rPr>
        <w:t>(3).</w:t>
      </w:r>
      <w:r w:rsidR="008A74EB" w:rsidRPr="00C9040A">
        <w:rPr>
          <w:rtl/>
        </w:rPr>
        <w:t xml:space="preserve"> في المؤمن : « تكتب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ج 9 ، ص 111 : « يكتب له ، على بناء المفعول ، والعائد محذوف. أو على بناء الفاعل ، والإسناد على المجاز »</w:t>
      </w:r>
      <w:r w:rsidR="008A74EB">
        <w:rPr>
          <w:rtl/>
        </w:rPr>
        <w:t>.</w:t>
      </w:r>
      <w:r w:rsidR="0014436A">
        <w:rPr>
          <w:rFonts w:hint="cs"/>
          <w:rtl/>
        </w:rPr>
        <w:t xml:space="preserve">         </w:t>
      </w:r>
      <w:r>
        <w:rPr>
          <w:rtl/>
        </w:rPr>
        <w:t>(4).</w:t>
      </w:r>
      <w:r w:rsidR="008A74EB" w:rsidRPr="00C9040A">
        <w:rPr>
          <w:rtl/>
        </w:rPr>
        <w:t xml:space="preserve"> في الوسائل والمؤمن : « وتمحى »</w:t>
      </w:r>
      <w:r w:rsidR="008A74EB">
        <w:rPr>
          <w:rtl/>
        </w:rPr>
        <w:t>.</w:t>
      </w:r>
    </w:p>
    <w:tbl>
      <w:tblPr>
        <w:tblStyle w:val="TableGrid"/>
        <w:bidiVisual/>
        <w:tblW w:w="0" w:type="auto"/>
        <w:tblLook w:val="04A0" w:firstRow="1" w:lastRow="0" w:firstColumn="1" w:lastColumn="0" w:noHBand="0" w:noVBand="1"/>
      </w:tblPr>
      <w:tblGrid>
        <w:gridCol w:w="4006"/>
        <w:gridCol w:w="4006"/>
      </w:tblGrid>
      <w:tr w:rsidR="0014436A" w:rsidTr="0014436A">
        <w:tc>
          <w:tcPr>
            <w:tcW w:w="4006" w:type="dxa"/>
          </w:tcPr>
          <w:p w:rsidR="0014436A" w:rsidRDefault="0014436A" w:rsidP="004A4E41">
            <w:pPr>
              <w:pStyle w:val="libFootnote0"/>
              <w:rPr>
                <w:rtl/>
              </w:rPr>
            </w:pPr>
            <w:r>
              <w:rPr>
                <w:rtl/>
              </w:rPr>
              <w:t>(5).</w:t>
            </w:r>
            <w:r w:rsidRPr="00C9040A">
              <w:rPr>
                <w:rtl/>
              </w:rPr>
              <w:t xml:space="preserve"> في الوسائل : « وترفع »</w:t>
            </w:r>
            <w:r>
              <w:rPr>
                <w:rtl/>
              </w:rPr>
              <w:t>.</w:t>
            </w:r>
          </w:p>
        </w:tc>
        <w:tc>
          <w:tcPr>
            <w:tcW w:w="4006" w:type="dxa"/>
          </w:tcPr>
          <w:p w:rsidR="0014436A" w:rsidRDefault="0014436A" w:rsidP="004A4E41">
            <w:pPr>
              <w:pStyle w:val="libFootnote0"/>
              <w:rPr>
                <w:rtl/>
              </w:rPr>
            </w:pPr>
            <w:r>
              <w:rPr>
                <w:rtl/>
              </w:rPr>
              <w:t xml:space="preserve">(6). </w:t>
            </w:r>
            <w:r w:rsidRPr="00C9040A">
              <w:rPr>
                <w:rtl/>
              </w:rPr>
              <w:t>في الوسائل : « وتعدل »</w:t>
            </w:r>
            <w:r>
              <w:rPr>
                <w:rtl/>
              </w:rPr>
              <w:t>.</w:t>
            </w:r>
          </w:p>
        </w:tc>
      </w:tr>
    </w:tbl>
    <w:p w:rsidR="008A74EB" w:rsidRPr="00C9040A" w:rsidRDefault="006C577F" w:rsidP="004A4E41">
      <w:pPr>
        <w:pStyle w:val="libFootnote0"/>
        <w:rPr>
          <w:rtl/>
          <w:lang w:bidi="fa-IR"/>
        </w:rPr>
      </w:pPr>
      <w:r>
        <w:rPr>
          <w:rtl/>
        </w:rPr>
        <w:t>(7).</w:t>
      </w:r>
      <w:r w:rsidR="008A74EB" w:rsidRPr="00C9040A">
        <w:rPr>
          <w:rtl/>
        </w:rPr>
        <w:t xml:space="preserve"> في المؤمن : + « وصيامه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w:t>
      </w:r>
      <w:r w:rsidR="008A74EB" w:rsidRPr="00993B55">
        <w:rPr>
          <w:rStyle w:val="libFootnoteBoldChar"/>
          <w:rtl/>
        </w:rPr>
        <w:t>المؤمن</w:t>
      </w:r>
      <w:r w:rsidR="008A74EB" w:rsidRPr="00C9040A">
        <w:rPr>
          <w:rtl/>
        </w:rPr>
        <w:t xml:space="preserve"> ، ص 53 ، ح 135 ، عن محمّد بن مروان ، عن أحدهما </w:t>
      </w:r>
      <w:r w:rsidR="00117575" w:rsidRPr="00117575">
        <w:rPr>
          <w:rStyle w:val="libFootnoteAlaemChar"/>
          <w:rtl/>
        </w:rPr>
        <w:t>عليهما‌السلام</w:t>
      </w:r>
      <w:r w:rsidR="008A74EB" w:rsidRPr="00C9040A">
        <w:rPr>
          <w:rtl/>
        </w:rPr>
        <w:t xml:space="preserve">. </w:t>
      </w:r>
      <w:r w:rsidR="008A74EB" w:rsidRPr="00993B55">
        <w:rPr>
          <w:rStyle w:val="libFootnoteBoldChar"/>
          <w:rtl/>
        </w:rPr>
        <w:t>مصادقة الإخوان</w:t>
      </w:r>
      <w:r w:rsidR="008A74EB" w:rsidRPr="00C9040A">
        <w:rPr>
          <w:rtl/>
        </w:rPr>
        <w:t xml:space="preserve"> ، ص 68 ، ح 7 ، مرسلاً </w:t>
      </w:r>
      <w:r w:rsidR="008A74EB" w:rsidRPr="00993B55">
        <w:rPr>
          <w:rStyle w:val="libFootnoteBoldChar"/>
          <w:rtl/>
        </w:rPr>
        <w:t>الوافي</w:t>
      </w:r>
      <w:r w:rsidR="008A74EB" w:rsidRPr="00C9040A">
        <w:rPr>
          <w:rtl/>
        </w:rPr>
        <w:t xml:space="preserve"> ، ج 5 ، ص 665 ، ح 2825 ؛ </w:t>
      </w:r>
      <w:r w:rsidR="008A74EB" w:rsidRPr="00993B55">
        <w:rPr>
          <w:rStyle w:val="libFootnoteBoldChar"/>
          <w:rtl/>
        </w:rPr>
        <w:t>الوسائل</w:t>
      </w:r>
      <w:r w:rsidR="008A74EB" w:rsidRPr="00C9040A">
        <w:rPr>
          <w:rtl/>
        </w:rPr>
        <w:t xml:space="preserve"> ، ج 16 ، ص 365 ، ح 21775 ؛ </w:t>
      </w:r>
      <w:r w:rsidR="008A74EB" w:rsidRPr="00993B55">
        <w:rPr>
          <w:rStyle w:val="libFootnoteBoldChar"/>
          <w:rtl/>
        </w:rPr>
        <w:t>البحار</w:t>
      </w:r>
      <w:r w:rsidR="008A74EB" w:rsidRPr="00C9040A">
        <w:rPr>
          <w:rtl/>
        </w:rPr>
        <w:t xml:space="preserve"> ، ج 74 ، ص 331 ، ح 105.</w:t>
      </w:r>
    </w:p>
    <w:p w:rsidR="008A74EB" w:rsidRPr="00C9040A" w:rsidRDefault="006C577F" w:rsidP="004A4E41">
      <w:pPr>
        <w:pStyle w:val="libFootnote0"/>
        <w:rPr>
          <w:rtl/>
          <w:lang w:bidi="fa-IR"/>
        </w:rPr>
      </w:pPr>
      <w:r>
        <w:rPr>
          <w:rtl/>
        </w:rPr>
        <w:t>(9).</w:t>
      </w:r>
      <w:r w:rsidR="008A74EB" w:rsidRPr="00C9040A">
        <w:rPr>
          <w:rtl/>
        </w:rPr>
        <w:t xml:space="preserve"> في « ف » والمصادقة : « فرّج » بالجيم.</w:t>
      </w:r>
    </w:p>
    <w:p w:rsidR="008A74EB" w:rsidRPr="00C9040A" w:rsidRDefault="006C577F" w:rsidP="00F27193">
      <w:pPr>
        <w:pStyle w:val="libFootnote0"/>
        <w:rPr>
          <w:rtl/>
          <w:lang w:bidi="fa-IR"/>
        </w:rPr>
      </w:pPr>
      <w:r>
        <w:rPr>
          <w:rtl/>
        </w:rPr>
        <w:t>(10).</w:t>
      </w:r>
      <w:r w:rsidR="008A74EB" w:rsidRPr="00C9040A">
        <w:rPr>
          <w:rtl/>
        </w:rPr>
        <w:t xml:space="preserve"> </w:t>
      </w:r>
      <w:r w:rsidR="008A74EB" w:rsidRPr="00993B55">
        <w:rPr>
          <w:rStyle w:val="libFootnoteBoldChar"/>
          <w:rtl/>
        </w:rPr>
        <w:t>مصادقة الإخوان</w:t>
      </w:r>
      <w:r w:rsidR="008A74EB" w:rsidRPr="00C9040A">
        <w:rPr>
          <w:rtl/>
        </w:rPr>
        <w:t xml:space="preserve"> ، ص 70 ، ح 8 ، عن معمّر بن خلاّد ؛ </w:t>
      </w:r>
      <w:r w:rsidR="008A74EB" w:rsidRPr="00993B55">
        <w:rPr>
          <w:rStyle w:val="libFootnoteBoldChar"/>
          <w:rtl/>
        </w:rPr>
        <w:t>وفيه</w:t>
      </w:r>
      <w:r w:rsidR="008A74EB" w:rsidRPr="00C9040A">
        <w:rPr>
          <w:rtl/>
        </w:rPr>
        <w:t xml:space="preserve"> ، ص 70 ، ح 11 ، عن أحمد بن محمّد ، عن معمّر بن خلاّد. </w:t>
      </w:r>
      <w:r w:rsidR="008A74EB" w:rsidRPr="00993B55">
        <w:rPr>
          <w:rStyle w:val="libFootnoteBoldChar"/>
          <w:rtl/>
        </w:rPr>
        <w:t>تحف العقول</w:t>
      </w:r>
      <w:r w:rsidR="008A74EB" w:rsidRPr="00C9040A">
        <w:rPr>
          <w:rtl/>
        </w:rPr>
        <w:t xml:space="preserve"> ، ص 52 ، عن النبيّ </w:t>
      </w:r>
      <w:r w:rsidR="004A4E41" w:rsidRPr="00411D58">
        <w:rPr>
          <w:rStyle w:val="libFootnoteAlaemChar"/>
          <w:rtl/>
        </w:rPr>
        <w:t>صلى‌الله‌عليه‌وآله</w:t>
      </w:r>
      <w:r w:rsidR="008A74EB" w:rsidRPr="00C9040A">
        <w:rPr>
          <w:rtl/>
        </w:rPr>
        <w:t xml:space="preserve"> مع اختلاف يسير ، وفيهما إلى قوله : « هم الآمنون يوم القيامة »</w:t>
      </w:r>
      <w:r w:rsidR="00F27193">
        <w:rPr>
          <w:rFonts w:hint="cs"/>
          <w:rtl/>
        </w:rPr>
        <w:t>.</w:t>
      </w:r>
      <w:r w:rsidR="008A74EB" w:rsidRPr="00993B55">
        <w:rPr>
          <w:rStyle w:val="libFootnoteBoldChar"/>
          <w:rtl/>
        </w:rPr>
        <w:t>الوافي</w:t>
      </w:r>
      <w:r w:rsidR="008A74EB" w:rsidRPr="00C9040A">
        <w:rPr>
          <w:rtl/>
        </w:rPr>
        <w:t xml:space="preserve"> ، ج 5 ، ص 666 ، ح 2826 ؛ </w:t>
      </w:r>
      <w:r w:rsidR="008A74EB" w:rsidRPr="00993B55">
        <w:rPr>
          <w:rStyle w:val="libFootnoteBoldChar"/>
          <w:rtl/>
        </w:rPr>
        <w:t>الوسائل</w:t>
      </w:r>
      <w:r w:rsidR="008A74EB" w:rsidRPr="00C9040A">
        <w:rPr>
          <w:rtl/>
        </w:rPr>
        <w:t xml:space="preserve"> ، ج 16 ، ص 366 ، ح 21776 ؛ </w:t>
      </w:r>
      <w:r w:rsidR="008A74EB" w:rsidRPr="00993B55">
        <w:rPr>
          <w:rStyle w:val="libFootnoteBoldChar"/>
          <w:rtl/>
        </w:rPr>
        <w:t>البحار</w:t>
      </w:r>
      <w:r w:rsidR="008A74EB" w:rsidRPr="00C9040A">
        <w:rPr>
          <w:rtl/>
        </w:rPr>
        <w:t xml:space="preserve"> ، ج 74 ، ص 332 ، ح 106.</w:t>
      </w:r>
      <w:r w:rsidR="00F27193">
        <w:rPr>
          <w:rFonts w:hint="cs"/>
          <w:rtl/>
        </w:rPr>
        <w:t xml:space="preserve">                                  </w:t>
      </w:r>
      <w:r>
        <w:rPr>
          <w:rtl/>
        </w:rPr>
        <w:t>(11).</w:t>
      </w:r>
      <w:r w:rsidR="008A74EB" w:rsidRPr="00C9040A">
        <w:rPr>
          <w:rtl/>
        </w:rPr>
        <w:t xml:space="preserve"> في « ج » : + « بن محمّد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الْحَذَّاءِ ، قَالَ :</w:t>
      </w:r>
    </w:p>
    <w:p w:rsidR="008A74EB" w:rsidRPr="00C9040A" w:rsidRDefault="008A74EB" w:rsidP="008A74EB">
      <w:pPr>
        <w:pStyle w:val="libNormal"/>
        <w:rPr>
          <w:rtl/>
          <w:lang w:bidi="fa-IR"/>
        </w:rPr>
      </w:pPr>
      <w:r w:rsidRPr="00C9040A">
        <w:rPr>
          <w:rtl/>
          <w:lang w:bidi="fa-IR"/>
        </w:rPr>
        <w:t xml:space="preserve">قَالَ أَبُو جَعْفَرٍ </w:t>
      </w:r>
      <w:r w:rsidRPr="0003660B">
        <w:rPr>
          <w:rStyle w:val="libAlaemChar"/>
          <w:rtl/>
        </w:rPr>
        <w:t>عليه‌السلام</w:t>
      </w:r>
      <w:r w:rsidRPr="00C9040A">
        <w:rPr>
          <w:rtl/>
          <w:lang w:bidi="fa-IR"/>
        </w:rPr>
        <w:t xml:space="preserve"> : « مَنْ مَشى فِي حَاجَةِ أَخِيهِ الْمُسْلِمِ </w:t>
      </w:r>
      <w:r w:rsidR="006C577F" w:rsidRPr="006C577F">
        <w:rPr>
          <w:rStyle w:val="libFootnotenumChar"/>
          <w:rtl/>
        </w:rPr>
        <w:t>(1)</w:t>
      </w:r>
      <w:r w:rsidRPr="00C9040A">
        <w:rPr>
          <w:rtl/>
          <w:lang w:bidi="fa-IR"/>
        </w:rPr>
        <w:t xml:space="preserve"> ، أَظَلَّهُ اللهُ بِخَمْسَةٍ </w:t>
      </w:r>
      <w:r w:rsidR="006C577F" w:rsidRPr="006C577F">
        <w:rPr>
          <w:rStyle w:val="libFootnotenumChar"/>
          <w:rtl/>
        </w:rPr>
        <w:t>(2)</w:t>
      </w:r>
      <w:r w:rsidRPr="00C9040A">
        <w:rPr>
          <w:rtl/>
          <w:lang w:bidi="fa-IR"/>
        </w:rPr>
        <w:t xml:space="preserve"> وَسَبْعِينَ </w:t>
      </w:r>
      <w:r w:rsidR="006C577F" w:rsidRPr="006C577F">
        <w:rPr>
          <w:rStyle w:val="libFootnotenumChar"/>
          <w:rtl/>
        </w:rPr>
        <w:t>(3)</w:t>
      </w:r>
      <w:r w:rsidRPr="00C9040A">
        <w:rPr>
          <w:rtl/>
          <w:lang w:bidi="fa-IR"/>
        </w:rPr>
        <w:t xml:space="preserve"> أَلْفَ مَلَكٍ </w:t>
      </w:r>
      <w:r w:rsidR="00C43042">
        <w:rPr>
          <w:rtl/>
          <w:lang w:bidi="fa-IR"/>
        </w:rPr>
        <w:t>، وَلَمْ يَرْفَعْ قَدَماً إِل</w:t>
      </w:r>
      <w:r w:rsidR="00C43042">
        <w:rPr>
          <w:rFonts w:hint="cs"/>
          <w:rtl/>
          <w:lang w:bidi="fa-IR"/>
        </w:rPr>
        <w:t>َّ</w:t>
      </w:r>
      <w:r w:rsidR="00C43042">
        <w:rPr>
          <w:rtl/>
          <w:lang w:bidi="fa-IR"/>
        </w:rPr>
        <w:t>ا</w:t>
      </w:r>
      <w:r w:rsidRPr="00C9040A">
        <w:rPr>
          <w:rtl/>
          <w:lang w:bidi="fa-IR"/>
        </w:rPr>
        <w:t xml:space="preserve"> كَتَبَ اللهُ لَهُ </w:t>
      </w:r>
      <w:r w:rsidR="006C577F" w:rsidRPr="006C577F">
        <w:rPr>
          <w:rStyle w:val="libFootnotenumChar"/>
          <w:rtl/>
        </w:rPr>
        <w:t>(4)</w:t>
      </w:r>
      <w:r w:rsidRPr="00C9040A">
        <w:rPr>
          <w:rtl/>
          <w:lang w:bidi="fa-IR"/>
        </w:rPr>
        <w:t xml:space="preserve"> حَسَنَةً ، وَحَطَّ عَنْهُ بِهَا </w:t>
      </w:r>
      <w:r w:rsidR="006C577F" w:rsidRPr="006C577F">
        <w:rPr>
          <w:rStyle w:val="libFootnotenumChar"/>
          <w:rtl/>
        </w:rPr>
        <w:t>(5)</w:t>
      </w:r>
      <w:r w:rsidRPr="00C9040A">
        <w:rPr>
          <w:rtl/>
          <w:lang w:bidi="fa-IR"/>
        </w:rPr>
        <w:t xml:space="preserve"> سَيِّئَةً ، وَيَرْفَعُ </w:t>
      </w:r>
      <w:r w:rsidR="006C577F" w:rsidRPr="006C577F">
        <w:rPr>
          <w:rStyle w:val="libFootnotenumChar"/>
          <w:rtl/>
        </w:rPr>
        <w:t>(6)</w:t>
      </w:r>
      <w:r w:rsidRPr="005B567D">
        <w:rPr>
          <w:rStyle w:val="libFootnotenumChar"/>
          <w:rtl/>
        </w:rPr>
        <w:t xml:space="preserve"> </w:t>
      </w:r>
      <w:r w:rsidRPr="00C9040A">
        <w:rPr>
          <w:rtl/>
          <w:lang w:bidi="fa-IR"/>
        </w:rPr>
        <w:t>لَهُ بِهَا دَرَجَةً ، فَإِذَا فَرَغَ مِنْ حَاجَتِهِ ، كَتَبَ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لَهُ بِهَا أَجْرَ حَاجٍّ وَمُعْتَمِرٍ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9159CE">
        <w:rPr>
          <w:rtl/>
        </w:rPr>
        <w:t>2161</w:t>
      </w:r>
      <w:r w:rsidRPr="00261CB0">
        <w:rPr>
          <w:rStyle w:val="libBold2Char"/>
          <w:rtl/>
        </w:rPr>
        <w:t xml:space="preserve"> / 4.</w:t>
      </w:r>
      <w:r w:rsidRPr="00C9040A">
        <w:rPr>
          <w:rtl/>
          <w:lang w:bidi="fa-IR"/>
        </w:rPr>
        <w:t xml:space="preserve"> عَنْهُ ، عَنْ أَحْمَدَ بْنِ مُحَمَّدٍ ، عَنْ مُحَمَّدِ بْنِ سِنَانٍ ، عَنْ هَارُونَ بْنِ خَارِجَةَ ، عَنْ صَدَقَةَ </w:t>
      </w:r>
      <w:r w:rsidR="006C577F" w:rsidRPr="006C577F">
        <w:rPr>
          <w:rStyle w:val="libFootnotenumChar"/>
          <w:rtl/>
        </w:rPr>
        <w:t>(8)</w:t>
      </w:r>
      <w:r>
        <w:rPr>
          <w:rtl/>
          <w:lang w:bidi="fa-IR"/>
        </w:rPr>
        <w:t xml:space="preserve"> </w:t>
      </w:r>
      <w:r w:rsidR="0084262C">
        <w:rPr>
          <w:rtl/>
          <w:lang w:bidi="fa-IR"/>
        </w:rPr>
        <w:t>-</w:t>
      </w:r>
      <w:r>
        <w:rPr>
          <w:rtl/>
          <w:lang w:bidi="fa-IR"/>
        </w:rPr>
        <w:t xml:space="preserve"> </w:t>
      </w:r>
      <w:r w:rsidRPr="00C9040A">
        <w:rPr>
          <w:rtl/>
          <w:lang w:bidi="fa-IR"/>
        </w:rPr>
        <w:t xml:space="preserve">رَجُلٍ مِنْ أَهْلِ حُلْوَانَ </w:t>
      </w:r>
      <w:r w:rsidR="006C577F" w:rsidRPr="006C577F">
        <w:rPr>
          <w:rStyle w:val="libFootnotenumChar"/>
          <w:rtl/>
        </w:rPr>
        <w:t>(9)</w:t>
      </w:r>
      <w:r w:rsidRPr="00C9040A">
        <w:rPr>
          <w:rtl/>
          <w:lang w:bidi="fa-IR"/>
        </w:rPr>
        <w:t xml:space="preserve"> </w:t>
      </w:r>
      <w:r w:rsidR="0084262C">
        <w:rPr>
          <w:rtl/>
          <w:lang w:bidi="fa-IR"/>
        </w:rPr>
        <w:t>-</w:t>
      </w:r>
      <w:r>
        <w:rPr>
          <w:rtl/>
          <w:lang w:bidi="fa-IR"/>
        </w:rPr>
        <w:t xml:space="preserve">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لَأَنْ أَمْشِيَ فِي حَاجَةِ أَخٍ لِي مُسْلِمٍ أَحَبُّ إِلَيَّ مِنْ أَنْ‌</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حاشية « ز » : « المؤمن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الوسائل : « بخمس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ص » : « وتسعين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الوسائل : + « بها »</w:t>
      </w:r>
      <w:r w:rsidR="008A74EB">
        <w:rPr>
          <w:rtl/>
        </w:rPr>
        <w:t>.</w:t>
      </w:r>
      <w:r w:rsidR="008A74EB" w:rsidRPr="00C9040A">
        <w:rPr>
          <w:rtl/>
        </w:rPr>
        <w:t xml:space="preserve"> وفي المصادقة : « بها » بدل « له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ف » : « بها عنه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المصادقة : « ورفع »</w:t>
      </w:r>
      <w:r w:rsidR="008A74EB">
        <w:rPr>
          <w:rtl/>
        </w:rPr>
        <w:t>.</w:t>
      </w:r>
    </w:p>
    <w:p w:rsidR="008A74EB" w:rsidRPr="00C9040A" w:rsidRDefault="006C577F" w:rsidP="007C14A4">
      <w:pPr>
        <w:pStyle w:val="libFootnote0"/>
        <w:rPr>
          <w:rtl/>
          <w:lang w:bidi="fa-IR"/>
        </w:rPr>
      </w:pPr>
      <w:r>
        <w:rPr>
          <w:rtl/>
        </w:rPr>
        <w:t>(7).</w:t>
      </w:r>
      <w:r w:rsidR="008A74EB" w:rsidRPr="00C9040A">
        <w:rPr>
          <w:rtl/>
        </w:rPr>
        <w:t xml:space="preserve"> </w:t>
      </w:r>
      <w:r w:rsidR="008A74EB" w:rsidRPr="00993B55">
        <w:rPr>
          <w:rStyle w:val="libFootnoteBoldChar"/>
          <w:rtl/>
        </w:rPr>
        <w:t>مصادقة الإخوان</w:t>
      </w:r>
      <w:r w:rsidR="008A74EB" w:rsidRPr="00C9040A">
        <w:rPr>
          <w:rtl/>
        </w:rPr>
        <w:t xml:space="preserve"> ، ص 66 ، ح 3 ، عن أبي‌عبيدة الحذّاء</w:t>
      </w:r>
      <w:r w:rsidR="007C14A4">
        <w:rPr>
          <w:rFonts w:hint="cs"/>
          <w:rtl/>
        </w:rPr>
        <w:t>.</w:t>
      </w:r>
      <w:r w:rsidR="008A74EB" w:rsidRPr="00993B55">
        <w:rPr>
          <w:rStyle w:val="libFootnoteBoldChar"/>
          <w:rtl/>
        </w:rPr>
        <w:t>الوافي</w:t>
      </w:r>
      <w:r w:rsidR="008A74EB" w:rsidRPr="00C9040A">
        <w:rPr>
          <w:rtl/>
        </w:rPr>
        <w:t xml:space="preserve"> ، ج 5 ، ص 666 ، ح 2827 ؛ </w:t>
      </w:r>
      <w:r w:rsidR="008A74EB" w:rsidRPr="00993B55">
        <w:rPr>
          <w:rStyle w:val="libFootnoteBoldChar"/>
          <w:rtl/>
        </w:rPr>
        <w:t>الوسائل</w:t>
      </w:r>
      <w:r w:rsidR="008A74EB" w:rsidRPr="00C9040A">
        <w:rPr>
          <w:rtl/>
        </w:rPr>
        <w:t xml:space="preserve"> ، ج 16 ، ص 366 ، ح 21777 ؛ </w:t>
      </w:r>
      <w:r w:rsidR="008A74EB" w:rsidRPr="00993B55">
        <w:rPr>
          <w:rStyle w:val="libFootnoteBoldChar"/>
          <w:rtl/>
        </w:rPr>
        <w:t>البحار</w:t>
      </w:r>
      <w:r w:rsidR="008A74EB" w:rsidRPr="00C9040A">
        <w:rPr>
          <w:rtl/>
        </w:rPr>
        <w:t xml:space="preserve"> ، ج 74 ، ص 332 ، ح 107.</w:t>
      </w:r>
    </w:p>
    <w:p w:rsidR="008A74EB" w:rsidRPr="00C9040A" w:rsidRDefault="006C577F" w:rsidP="004A4E41">
      <w:pPr>
        <w:pStyle w:val="libFootnote0"/>
        <w:rPr>
          <w:rtl/>
          <w:lang w:bidi="fa-IR"/>
        </w:rPr>
      </w:pPr>
      <w:r>
        <w:rPr>
          <w:rtl/>
        </w:rPr>
        <w:t>(8).</w:t>
      </w:r>
      <w:r w:rsidR="008A74EB" w:rsidRPr="00C9040A">
        <w:rPr>
          <w:rtl/>
        </w:rPr>
        <w:t xml:space="preserve"> هكذا في « ب ، د ، ز ، ص ، ض ، بر ، بف ، جر » وحاشية « ج » والوسائل والبحار. وفي « ج ، ف ، بس » والمطبوع : + « عن »</w:t>
      </w:r>
      <w:r w:rsidR="008A74EB">
        <w:rPr>
          <w:rtl/>
        </w:rPr>
        <w:t>.</w:t>
      </w:r>
      <w:r w:rsidR="008A74EB" w:rsidRPr="00C9040A">
        <w:rPr>
          <w:rtl/>
        </w:rPr>
        <w:t xml:space="preserve"> والظاهر من « ف » إضافة « عن » بَعدُ.</w:t>
      </w:r>
    </w:p>
    <w:p w:rsidR="008A74EB" w:rsidRPr="00C9040A" w:rsidRDefault="008A74EB" w:rsidP="004A4E41">
      <w:pPr>
        <w:pStyle w:val="libFootnote0"/>
        <w:rPr>
          <w:rtl/>
          <w:lang w:bidi="fa-IR"/>
        </w:rPr>
      </w:pPr>
      <w:r w:rsidRPr="00323A39">
        <w:rPr>
          <w:rtl/>
        </w:rPr>
        <w:t>والظاهر أنّ ال</w:t>
      </w:r>
      <w:r w:rsidR="007C14A4">
        <w:rPr>
          <w:rtl/>
        </w:rPr>
        <w:t>صواب ما أثبتناه ؛ فقد روى العل</w:t>
      </w:r>
      <w:r w:rsidR="007C14A4">
        <w:rPr>
          <w:rFonts w:hint="cs"/>
          <w:rtl/>
        </w:rPr>
        <w:t>ّ</w:t>
      </w:r>
      <w:r w:rsidR="007C14A4">
        <w:rPr>
          <w:rtl/>
        </w:rPr>
        <w:t>ا</w:t>
      </w:r>
      <w:r w:rsidRPr="00323A39">
        <w:rPr>
          <w:rtl/>
        </w:rPr>
        <w:t xml:space="preserve">مة المجلسي تفصيل الخبر في </w:t>
      </w:r>
      <w:r w:rsidRPr="00993B55">
        <w:rPr>
          <w:rStyle w:val="libFootnoteBoldChar"/>
          <w:rtl/>
        </w:rPr>
        <w:t>البحار</w:t>
      </w:r>
      <w:r w:rsidRPr="00323A39">
        <w:rPr>
          <w:rtl/>
        </w:rPr>
        <w:t xml:space="preserve"> ، ج 71 ، ص 315 نقلاً من كتاب قضاء الحقوق بإسناده عن صدقة الحُلْواني.</w:t>
      </w:r>
    </w:p>
    <w:p w:rsidR="008A74EB" w:rsidRPr="00C9040A" w:rsidRDefault="008A74EB" w:rsidP="004A4E41">
      <w:pPr>
        <w:pStyle w:val="libFootnote0"/>
        <w:rPr>
          <w:rtl/>
          <w:lang w:bidi="fa-IR"/>
        </w:rPr>
      </w:pPr>
      <w:r w:rsidRPr="00323A39">
        <w:rPr>
          <w:rtl/>
        </w:rPr>
        <w:t xml:space="preserve">ثمّ إنّ الخبر بتفصيله رواه الحسين بن سعيد في كتابه </w:t>
      </w:r>
      <w:r w:rsidRPr="00993B55">
        <w:rPr>
          <w:rStyle w:val="libFootnoteBoldChar"/>
          <w:rtl/>
        </w:rPr>
        <w:t>المؤمن</w:t>
      </w:r>
      <w:r w:rsidRPr="00323A39">
        <w:rPr>
          <w:rtl/>
        </w:rPr>
        <w:t xml:space="preserve"> ، ص 48 عن رجل من حُلوان ، لكن اختلاف الألفاظ بين هذا النقل ونقل </w:t>
      </w:r>
      <w:r w:rsidRPr="00993B55">
        <w:rPr>
          <w:rStyle w:val="libFootnoteBoldChar"/>
          <w:rtl/>
        </w:rPr>
        <w:t>البحار</w:t>
      </w:r>
      <w:r w:rsidRPr="00323A39">
        <w:rPr>
          <w:rtl/>
        </w:rPr>
        <w:t xml:space="preserve"> من كتاب قضاء الحقوق بحيث يبعِّد الأخذ من كتاب الحسين بن سعيد ، فقرينيّة « صدقة الحُلْواني » باقية بحالها ، فافهم جيّداً.</w:t>
      </w:r>
    </w:p>
    <w:p w:rsidR="008A74EB" w:rsidRPr="00C9040A" w:rsidRDefault="006C577F" w:rsidP="004A4E41">
      <w:pPr>
        <w:pStyle w:val="libFootnote0"/>
        <w:rPr>
          <w:rtl/>
          <w:lang w:bidi="fa-IR"/>
        </w:rPr>
      </w:pPr>
      <w:r>
        <w:rPr>
          <w:rtl/>
        </w:rPr>
        <w:t>(9).</w:t>
      </w:r>
      <w:r w:rsidR="008A74EB" w:rsidRPr="00C9040A">
        <w:rPr>
          <w:rtl/>
        </w:rPr>
        <w:t xml:space="preserve"> « حُلْوان » : في آخر حدود السواد ممّا يلي الجبال من بغداد. قال أبوزيد : إنّها مدينة عامرة ليس بأرض العراق بعد الكوفة والبصرة وواسط وبغداد وسرّ من رأى أكبر منها. وأكثر ثمارها التين. وهي بقرب الجبل. وليس للعراق مدينة بقرب الجبل غيرها. </w:t>
      </w:r>
      <w:r w:rsidR="008A74EB" w:rsidRPr="00993B55">
        <w:rPr>
          <w:rStyle w:val="libFootnoteBoldChar"/>
          <w:rtl/>
        </w:rPr>
        <w:t>معجم البلدان</w:t>
      </w:r>
      <w:r w:rsidR="008A74EB" w:rsidRPr="00C9040A">
        <w:rPr>
          <w:rtl/>
        </w:rPr>
        <w:t xml:space="preserve"> ، ج 2 ، ص 290 ( حلوان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أُعْتِقَ أَلْفَ نَسَمَةٍ ، وَأَحْمِلَ فِي سَبِيلِ اللهِ عَلى أَلْفِ فَرَسٍ مُسْرَجَةٍ </w:t>
      </w:r>
      <w:r w:rsidR="006C577F" w:rsidRPr="006C577F">
        <w:rPr>
          <w:rStyle w:val="libFootnotenumChar"/>
          <w:rtl/>
        </w:rPr>
        <w:t>(1)</w:t>
      </w:r>
      <w:r w:rsidRPr="00C9040A">
        <w:rPr>
          <w:rtl/>
          <w:lang w:bidi="fa-IR"/>
        </w:rPr>
        <w:t xml:space="preserve"> مُلْجَمَةٍ </w:t>
      </w:r>
      <w:r w:rsidR="006C577F" w:rsidRPr="006C577F">
        <w:rPr>
          <w:rStyle w:val="libFootnotenumChar"/>
          <w:rtl/>
        </w:rPr>
        <w:t>(2)</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2D7FDF">
        <w:rPr>
          <w:rtl/>
        </w:rPr>
        <w:t>2162</w:t>
      </w:r>
      <w:r w:rsidRPr="00261CB0">
        <w:rPr>
          <w:rStyle w:val="libBold2Char"/>
          <w:rtl/>
        </w:rPr>
        <w:t xml:space="preserve"> / 5.</w:t>
      </w:r>
      <w:r w:rsidRPr="00C9040A">
        <w:rPr>
          <w:rtl/>
          <w:lang w:bidi="fa-IR"/>
        </w:rPr>
        <w:t xml:space="preserve"> عَلِيُّ بْنُ إِبْرَاهِيمَ ، عَنْ أَبِيهِ ، عَنْ حَمَّادٍ ، عَنْ إِبْرَاهِيمَ بْنِ عُمَرَ الْيَمَانِيِّ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مَا مِنْ </w:t>
      </w:r>
      <w:r w:rsidR="006C577F" w:rsidRPr="006C577F">
        <w:rPr>
          <w:rStyle w:val="libFootnotenumChar"/>
          <w:rtl/>
        </w:rPr>
        <w:t>(4)</w:t>
      </w:r>
      <w:r w:rsidRPr="00C9040A">
        <w:rPr>
          <w:rtl/>
          <w:lang w:bidi="fa-IR"/>
        </w:rPr>
        <w:t xml:space="preserve"> مُؤْمِنٍ يَمْشِي لِأَخِيهِ </w:t>
      </w:r>
      <w:r w:rsidR="006C577F" w:rsidRPr="006C577F">
        <w:rPr>
          <w:rStyle w:val="libFootnotenumChar"/>
          <w:rtl/>
        </w:rPr>
        <w:t>(5)</w:t>
      </w:r>
      <w:r w:rsidRPr="00C9040A">
        <w:rPr>
          <w:rtl/>
          <w:lang w:bidi="fa-IR"/>
        </w:rPr>
        <w:t xml:space="preserve"> الْمُؤْمِنِ </w:t>
      </w:r>
      <w:r w:rsidR="006C577F" w:rsidRPr="006C577F">
        <w:rPr>
          <w:rStyle w:val="libFootnotenumChar"/>
          <w:rtl/>
        </w:rPr>
        <w:t>(6)</w:t>
      </w:r>
      <w:r w:rsidRPr="005B567D">
        <w:rPr>
          <w:rStyle w:val="libFootnotenumChar"/>
          <w:rtl/>
        </w:rPr>
        <w:t xml:space="preserve"> </w:t>
      </w:r>
      <w:r w:rsidRPr="00C9040A">
        <w:rPr>
          <w:rtl/>
          <w:lang w:bidi="fa-IR"/>
        </w:rPr>
        <w:t>فِي حَاجَةٍ إِلاَّ كَتَبَ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لَهُ بِكُلِّ خُطْوَةٍ حَسَنَةً ، وَحَطَّ عَنْهُ بِهَا </w:t>
      </w:r>
      <w:r w:rsidR="006C577F" w:rsidRPr="006C577F">
        <w:rPr>
          <w:rStyle w:val="libFootnotenumChar"/>
          <w:rtl/>
        </w:rPr>
        <w:t>(7)</w:t>
      </w:r>
      <w:r w:rsidRPr="00C9040A">
        <w:rPr>
          <w:rtl/>
          <w:lang w:bidi="fa-IR"/>
        </w:rPr>
        <w:t xml:space="preserve"> سَيِّئَةً ، وَرَفَعَ لَهُ بِهَا دَرَجَةً ، وَزِيدَ </w:t>
      </w:r>
      <w:r w:rsidR="006C577F" w:rsidRPr="006C577F">
        <w:rPr>
          <w:rStyle w:val="libFootnotenumChar"/>
          <w:rtl/>
        </w:rPr>
        <w:t>(8)</w:t>
      </w:r>
      <w:r w:rsidRPr="00C9040A">
        <w:rPr>
          <w:rtl/>
          <w:lang w:bidi="fa-IR"/>
        </w:rPr>
        <w:t xml:space="preserve"> بَعْدَ ذلِكَ عَشْرَ حَسَنَاتٍ ، وَشُفِّعَ </w:t>
      </w:r>
      <w:r w:rsidR="006C577F" w:rsidRPr="006C577F">
        <w:rPr>
          <w:rStyle w:val="libFootnotenumChar"/>
          <w:rtl/>
        </w:rPr>
        <w:t>(9)</w:t>
      </w:r>
      <w:r w:rsidRPr="00C9040A">
        <w:rPr>
          <w:rtl/>
          <w:lang w:bidi="fa-IR"/>
        </w:rPr>
        <w:t xml:space="preserve"> فِي عَشْرِ حَاجَاتٍ »</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Normal"/>
        <w:rPr>
          <w:rtl/>
          <w:lang w:bidi="fa-IR"/>
        </w:rPr>
      </w:pPr>
      <w:r w:rsidRPr="002D7FDF">
        <w:rPr>
          <w:rtl/>
        </w:rPr>
        <w:t>2163</w:t>
      </w:r>
      <w:r w:rsidRPr="00261CB0">
        <w:rPr>
          <w:rStyle w:val="libBold2Char"/>
          <w:rtl/>
        </w:rPr>
        <w:t xml:space="preserve"> / 6.</w:t>
      </w:r>
      <w:r w:rsidRPr="00C9040A">
        <w:rPr>
          <w:rtl/>
          <w:lang w:bidi="fa-IR"/>
        </w:rPr>
        <w:t xml:space="preserve"> عِدَّةٌ مِنْ أَصْحَابِنَا ، عَنْ أَحْمَدَ بْنِ مُحَمَّدِ بْنِ خَالِدٍ ، عَنْ عُثْمَانَ بْنِ عِيسى ، عَنْ أَبِي أَيُّوبَ الْخَرَّازِ </w:t>
      </w:r>
      <w:r w:rsidR="006C577F" w:rsidRPr="006C577F">
        <w:rPr>
          <w:rStyle w:val="libFootnotenumChar"/>
          <w:rtl/>
        </w:rPr>
        <w:t>(11)</w:t>
      </w:r>
      <w:r w:rsidRPr="00C9040A">
        <w:rPr>
          <w:rtl/>
          <w:lang w:bidi="fa-IR"/>
        </w:rPr>
        <w:t xml:space="preserve"> :</w:t>
      </w:r>
    </w:p>
    <w:p w:rsidR="008A74EB" w:rsidRPr="00C9040A" w:rsidRDefault="008A74EB" w:rsidP="007C14A4">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مَنْ سَعى فِي حَاجَةِ أَخِيهِ الْمُسْلِمِ طَلَبَ وَجْهِ اللهِ ، كَتَبَ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لَهُ أَلْفَ أَلْفِ حَسَنَةٍ يَغْفِرُ فِيهَا لِأَقَارِبِهِ وَجِيرَانِهِ وَإِخْوَانِهِ </w:t>
      </w:r>
      <w:r w:rsidR="006C577F" w:rsidRPr="006C577F">
        <w:rPr>
          <w:rStyle w:val="libFootnotenumChar"/>
          <w:rtl/>
        </w:rPr>
        <w:t>(12)</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ب ، ز ، بر » والوافي : « مسرّجة » بالتضعيف.</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ض ، بر » والوافي : « ملجّمة » بالتضعيف. وفي حاشية « ف » : « ملتجمة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 وأحمل في سبيل الله ، أي أركب ألف إنسان على ألف فرس كلّ منها شدّ عليه السرج</w:t>
      </w:r>
      <w:r w:rsidR="00411D58">
        <w:rPr>
          <w:rtl/>
        </w:rPr>
        <w:t xml:space="preserve"> وألبس اللجام وأبعثها في الجهاد</w:t>
      </w:r>
      <w:r w:rsidR="008A74EB" w:rsidRPr="00C9040A">
        <w:rPr>
          <w:rtl/>
        </w:rPr>
        <w:t>»</w:t>
      </w:r>
      <w:r w:rsidR="008A74EB">
        <w:rPr>
          <w:rtl/>
        </w:rPr>
        <w:t>.</w:t>
      </w:r>
    </w:p>
    <w:p w:rsidR="008A74EB" w:rsidRPr="00C9040A" w:rsidRDefault="006C577F" w:rsidP="005431A4">
      <w:pPr>
        <w:pStyle w:val="libFootnote0"/>
        <w:rPr>
          <w:rtl/>
          <w:lang w:bidi="fa-IR"/>
        </w:rPr>
      </w:pPr>
      <w:r>
        <w:rPr>
          <w:rtl/>
        </w:rPr>
        <w:t>(3).</w:t>
      </w:r>
      <w:r w:rsidR="008A74EB" w:rsidRPr="00C9040A">
        <w:rPr>
          <w:rtl/>
        </w:rPr>
        <w:t xml:space="preserve"> </w:t>
      </w:r>
      <w:r w:rsidR="008A74EB" w:rsidRPr="00993B55">
        <w:rPr>
          <w:rStyle w:val="libFootnoteBoldChar"/>
          <w:rtl/>
        </w:rPr>
        <w:t>المؤمن</w:t>
      </w:r>
      <w:r w:rsidR="008A74EB" w:rsidRPr="00C9040A">
        <w:rPr>
          <w:rtl/>
        </w:rPr>
        <w:t xml:space="preserve"> ، ص 48 ، ذيل ح 113 ، عن رجل من حلوان</w:t>
      </w:r>
      <w:r w:rsidR="005431A4">
        <w:rPr>
          <w:rFonts w:hint="cs"/>
          <w:rtl/>
        </w:rPr>
        <w:t>.</w:t>
      </w:r>
      <w:r w:rsidR="008A74EB" w:rsidRPr="00993B55">
        <w:rPr>
          <w:rStyle w:val="libFootnoteBoldChar"/>
          <w:rtl/>
        </w:rPr>
        <w:t>الوافي</w:t>
      </w:r>
      <w:r w:rsidR="008A74EB" w:rsidRPr="00C9040A">
        <w:rPr>
          <w:rtl/>
        </w:rPr>
        <w:t xml:space="preserve"> ، ج 5 ، ص 666 ، ح 2828 ؛ </w:t>
      </w:r>
      <w:r w:rsidR="008A74EB" w:rsidRPr="00993B55">
        <w:rPr>
          <w:rStyle w:val="libFootnoteBoldChar"/>
          <w:rtl/>
        </w:rPr>
        <w:t>الوسائل</w:t>
      </w:r>
      <w:r w:rsidR="008A74EB" w:rsidRPr="00C9040A">
        <w:rPr>
          <w:rtl/>
        </w:rPr>
        <w:t xml:space="preserve"> ، ج 16 ، ص 369 ، ح 21786 ؛ </w:t>
      </w:r>
      <w:r w:rsidR="008A74EB" w:rsidRPr="00993B55">
        <w:rPr>
          <w:rStyle w:val="libFootnoteBoldChar"/>
          <w:rtl/>
        </w:rPr>
        <w:t>البحار</w:t>
      </w:r>
      <w:r w:rsidR="008A74EB" w:rsidRPr="00C9040A">
        <w:rPr>
          <w:rtl/>
        </w:rPr>
        <w:t xml:space="preserve"> ، ج 74 ، ص 332 ، ح 108.</w:t>
      </w:r>
    </w:p>
    <w:tbl>
      <w:tblPr>
        <w:tblStyle w:val="TableGrid"/>
        <w:bidiVisual/>
        <w:tblW w:w="0" w:type="auto"/>
        <w:tblLook w:val="04A0" w:firstRow="1" w:lastRow="0" w:firstColumn="1" w:lastColumn="0" w:noHBand="0" w:noVBand="1"/>
      </w:tblPr>
      <w:tblGrid>
        <w:gridCol w:w="4006"/>
        <w:gridCol w:w="4006"/>
      </w:tblGrid>
      <w:tr w:rsidR="00BA0746" w:rsidTr="00BA0746">
        <w:tc>
          <w:tcPr>
            <w:tcW w:w="4006" w:type="dxa"/>
          </w:tcPr>
          <w:p w:rsidR="00BA0746" w:rsidRDefault="00BA0746" w:rsidP="004A4E41">
            <w:pPr>
              <w:pStyle w:val="libFootnote0"/>
              <w:rPr>
                <w:rtl/>
              </w:rPr>
            </w:pPr>
            <w:r>
              <w:rPr>
                <w:rtl/>
              </w:rPr>
              <w:t>(4).</w:t>
            </w:r>
            <w:r w:rsidRPr="00C9040A">
              <w:rPr>
                <w:rtl/>
              </w:rPr>
              <w:t xml:space="preserve"> في « بر » </w:t>
            </w:r>
            <w:r>
              <w:rPr>
                <w:rtl/>
              </w:rPr>
              <w:t>: -</w:t>
            </w:r>
            <w:r w:rsidRPr="00C9040A">
              <w:rPr>
                <w:rtl/>
              </w:rPr>
              <w:t xml:space="preserve"> « من »</w:t>
            </w:r>
            <w:r>
              <w:rPr>
                <w:rtl/>
              </w:rPr>
              <w:t>.</w:t>
            </w:r>
          </w:p>
        </w:tc>
        <w:tc>
          <w:tcPr>
            <w:tcW w:w="4006" w:type="dxa"/>
          </w:tcPr>
          <w:p w:rsidR="00BA0746" w:rsidRDefault="00BA0746" w:rsidP="004A4E41">
            <w:pPr>
              <w:pStyle w:val="libFootnote0"/>
              <w:rPr>
                <w:rtl/>
              </w:rPr>
            </w:pPr>
            <w:r>
              <w:rPr>
                <w:rtl/>
              </w:rPr>
              <w:t>(5).</w:t>
            </w:r>
            <w:r w:rsidRPr="00C9040A">
              <w:rPr>
                <w:rtl/>
              </w:rPr>
              <w:t xml:space="preserve"> في « ز ، ص ، ض » : + « المسلم »</w:t>
            </w:r>
            <w:r>
              <w:rPr>
                <w:rtl/>
              </w:rPr>
              <w:t>.</w:t>
            </w:r>
          </w:p>
        </w:tc>
      </w:tr>
    </w:tbl>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ب ، بس ، بف » وحاشية « ج » والبحار : « المسلم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ب ، ف » والبحار : « بها عنه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الضمير في « زِيدَ » عائد إلى « المؤمن »</w:t>
      </w:r>
      <w:r w:rsidR="008A74EB">
        <w:rPr>
          <w:rtl/>
        </w:rPr>
        <w:t>.</w:t>
      </w:r>
      <w:r w:rsidR="008A74EB" w:rsidRPr="00C9040A">
        <w:rPr>
          <w:rtl/>
        </w:rPr>
        <w:t xml:space="preserve"> </w:t>
      </w:r>
      <w:r w:rsidR="008A74EB">
        <w:rPr>
          <w:rtl/>
        </w:rPr>
        <w:t>و «</w:t>
      </w:r>
      <w:r w:rsidR="008A74EB" w:rsidRPr="00C9040A">
        <w:rPr>
          <w:rtl/>
        </w:rPr>
        <w:t xml:space="preserve"> عشر » منصوب على التميز.</w:t>
      </w:r>
    </w:p>
    <w:p w:rsidR="008A74EB" w:rsidRPr="00C9040A" w:rsidRDefault="006C577F" w:rsidP="004A4E41">
      <w:pPr>
        <w:pStyle w:val="libFootnote0"/>
        <w:rPr>
          <w:rtl/>
          <w:lang w:bidi="fa-IR"/>
        </w:rPr>
      </w:pPr>
      <w:r>
        <w:rPr>
          <w:rtl/>
        </w:rPr>
        <w:t>(9).</w:t>
      </w:r>
      <w:r w:rsidR="008A74EB" w:rsidRPr="00C9040A">
        <w:rPr>
          <w:rtl/>
        </w:rPr>
        <w:t xml:space="preserve"> في « ج ، ف » : + « له »</w:t>
      </w:r>
      <w:r w:rsidR="008A74EB">
        <w:rPr>
          <w:rtl/>
        </w:rPr>
        <w:t>.</w:t>
      </w:r>
    </w:p>
    <w:p w:rsidR="008A74EB" w:rsidRPr="00C9040A" w:rsidRDefault="006C577F" w:rsidP="005431A4">
      <w:pPr>
        <w:pStyle w:val="libFootnote0"/>
        <w:rPr>
          <w:rtl/>
          <w:lang w:bidi="fa-IR"/>
        </w:rPr>
      </w:pPr>
      <w:r>
        <w:rPr>
          <w:rtl/>
        </w:rPr>
        <w:t>(10).</w:t>
      </w:r>
      <w:r w:rsidR="008A74EB" w:rsidRPr="00C9040A">
        <w:rPr>
          <w:rtl/>
        </w:rPr>
        <w:t xml:space="preserve"> </w:t>
      </w:r>
      <w:r w:rsidR="008A74EB" w:rsidRPr="00993B55">
        <w:rPr>
          <w:rStyle w:val="libFootnoteBoldChar"/>
          <w:rtl/>
        </w:rPr>
        <w:t>المؤمن</w:t>
      </w:r>
      <w:r w:rsidR="008A74EB" w:rsidRPr="00C9040A">
        <w:rPr>
          <w:rtl/>
        </w:rPr>
        <w:t xml:space="preserve"> ، ص 47 ، ح 111 ، عن أبي عبدالله </w:t>
      </w:r>
      <w:r w:rsidR="00117575" w:rsidRPr="00117575">
        <w:rPr>
          <w:rStyle w:val="libFootnoteAlaemChar"/>
          <w:rtl/>
        </w:rPr>
        <w:t>عليه‌السلام</w:t>
      </w:r>
      <w:r w:rsidR="008A74EB" w:rsidRPr="00C9040A">
        <w:rPr>
          <w:rtl/>
        </w:rPr>
        <w:t xml:space="preserve"> ، إلى قوله : « ورفع له بها درجة » ؛ </w:t>
      </w:r>
      <w:r w:rsidR="008A74EB" w:rsidRPr="00993B55">
        <w:rPr>
          <w:rStyle w:val="libFootnoteBoldChar"/>
          <w:rtl/>
        </w:rPr>
        <w:t>الاختصاص</w:t>
      </w:r>
      <w:r w:rsidR="008A74EB" w:rsidRPr="00C9040A">
        <w:rPr>
          <w:rtl/>
        </w:rPr>
        <w:t xml:space="preserve"> ، ص 27 ، ضمن الحديث مرسلاً. وراجع : </w:t>
      </w:r>
      <w:r w:rsidR="008A74EB" w:rsidRPr="00993B55">
        <w:rPr>
          <w:rStyle w:val="libFootnoteBoldChar"/>
          <w:rtl/>
        </w:rPr>
        <w:t>الكافي</w:t>
      </w:r>
      <w:r w:rsidR="008A74EB" w:rsidRPr="00C9040A">
        <w:rPr>
          <w:rtl/>
        </w:rPr>
        <w:t xml:space="preserve"> ، كتاب الإيمان والكفر ، باب المعانقة ، ح 2113</w:t>
      </w:r>
      <w:r w:rsidR="005431A4">
        <w:rPr>
          <w:rFonts w:hint="cs"/>
          <w:rtl/>
        </w:rPr>
        <w:t>.</w:t>
      </w:r>
      <w:r w:rsidR="008A74EB" w:rsidRPr="00993B55">
        <w:rPr>
          <w:rStyle w:val="libFootnoteBoldChar"/>
          <w:rtl/>
        </w:rPr>
        <w:t>الوافي</w:t>
      </w:r>
      <w:r w:rsidR="008A74EB" w:rsidRPr="00C9040A">
        <w:rPr>
          <w:rtl/>
        </w:rPr>
        <w:t xml:space="preserve"> ، ج 5 ، ص 666 ، ح 2829 ؛ </w:t>
      </w:r>
      <w:r w:rsidR="008A74EB" w:rsidRPr="00993B55">
        <w:rPr>
          <w:rStyle w:val="libFootnoteBoldChar"/>
          <w:rtl/>
        </w:rPr>
        <w:t>الوسائل</w:t>
      </w:r>
      <w:r w:rsidR="008A74EB" w:rsidRPr="00C9040A">
        <w:rPr>
          <w:rtl/>
        </w:rPr>
        <w:t xml:space="preserve"> ، ج 16 ، ص 366 ، ح 21779 ؛ </w:t>
      </w:r>
      <w:r w:rsidR="008A74EB" w:rsidRPr="00993B55">
        <w:rPr>
          <w:rStyle w:val="libFootnoteBoldChar"/>
          <w:rtl/>
        </w:rPr>
        <w:t>البحار</w:t>
      </w:r>
      <w:r w:rsidR="008A74EB" w:rsidRPr="00C9040A">
        <w:rPr>
          <w:rtl/>
        </w:rPr>
        <w:t xml:space="preserve"> ، ج 74 ، ص 333 ، ح 109.</w:t>
      </w:r>
    </w:p>
    <w:p w:rsidR="008A74EB" w:rsidRPr="00C9040A" w:rsidRDefault="006C577F" w:rsidP="004A4E41">
      <w:pPr>
        <w:pStyle w:val="libFootnote0"/>
        <w:rPr>
          <w:rtl/>
          <w:lang w:bidi="fa-IR"/>
        </w:rPr>
      </w:pPr>
      <w:r>
        <w:rPr>
          <w:rtl/>
        </w:rPr>
        <w:t>(11).</w:t>
      </w:r>
      <w:r w:rsidR="008A74EB" w:rsidRPr="00C9040A">
        <w:rPr>
          <w:rtl/>
        </w:rPr>
        <w:t xml:space="preserve"> هكذا في « د ، ز ، ض ، بر »</w:t>
      </w:r>
      <w:r w:rsidR="008A74EB">
        <w:rPr>
          <w:rtl/>
        </w:rPr>
        <w:t>.</w:t>
      </w:r>
      <w:r w:rsidR="008A74EB" w:rsidRPr="00C9040A">
        <w:rPr>
          <w:rtl/>
        </w:rPr>
        <w:t xml:space="preserve"> وفي « ب ، ج ، ص ، ف ، بر ، بس ، بف » والمطبوع : « الخزّاز »</w:t>
      </w:r>
      <w:r w:rsidR="008A74EB">
        <w:rPr>
          <w:rtl/>
        </w:rPr>
        <w:t>.</w:t>
      </w:r>
      <w:r w:rsidR="008A74EB" w:rsidRPr="00C9040A">
        <w:rPr>
          <w:rtl/>
        </w:rPr>
        <w:t xml:space="preserve"> وهو سهو كما تقدّم في </w:t>
      </w:r>
      <w:r w:rsidR="008A74EB" w:rsidRPr="00993B55">
        <w:rPr>
          <w:rStyle w:val="libFootnoteBoldChar"/>
          <w:rtl/>
        </w:rPr>
        <w:t>الكافي</w:t>
      </w:r>
      <w:r w:rsidR="008A74EB" w:rsidRPr="00C9040A">
        <w:rPr>
          <w:rtl/>
        </w:rPr>
        <w:t xml:space="preserve"> ، ذيل ح 75.</w:t>
      </w:r>
    </w:p>
    <w:p w:rsidR="008A74EB" w:rsidRPr="00C9040A" w:rsidRDefault="006C577F" w:rsidP="004A4E41">
      <w:pPr>
        <w:pStyle w:val="libFootnote0"/>
        <w:rPr>
          <w:rtl/>
          <w:lang w:bidi="fa-IR"/>
        </w:rPr>
      </w:pPr>
      <w:r>
        <w:rPr>
          <w:rtl/>
        </w:rPr>
        <w:t>(12).</w:t>
      </w:r>
      <w:r w:rsidR="008A74EB" w:rsidRPr="00C9040A">
        <w:rPr>
          <w:rtl/>
        </w:rPr>
        <w:t xml:space="preserve"> في البحار ، ج 8 </w:t>
      </w:r>
      <w:r w:rsidR="008A74EB">
        <w:rPr>
          <w:rtl/>
        </w:rPr>
        <w:t xml:space="preserve">: </w:t>
      </w:r>
      <w:r w:rsidR="0084262C">
        <w:rPr>
          <w:rtl/>
        </w:rPr>
        <w:t>-</w:t>
      </w:r>
      <w:r w:rsidR="008A74EB" w:rsidRPr="00C9040A">
        <w:rPr>
          <w:rtl/>
        </w:rPr>
        <w:t xml:space="preserve"> « وإخوانه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5431A4">
      <w:pPr>
        <w:pStyle w:val="libNormal0"/>
        <w:rPr>
          <w:rtl/>
          <w:lang w:bidi="fa-IR"/>
        </w:rPr>
      </w:pPr>
      <w:r w:rsidRPr="00C9040A">
        <w:rPr>
          <w:rtl/>
          <w:lang w:bidi="fa-IR"/>
        </w:rPr>
        <w:t xml:space="preserve">وَمَعَارِفِهِ </w:t>
      </w:r>
      <w:r w:rsidR="006C577F" w:rsidRPr="006C577F">
        <w:rPr>
          <w:rStyle w:val="libFootnotenumChar"/>
          <w:rtl/>
        </w:rPr>
        <w:t>(1)</w:t>
      </w:r>
      <w:r w:rsidRPr="00C9040A">
        <w:rPr>
          <w:rtl/>
          <w:lang w:bidi="fa-IR"/>
        </w:rPr>
        <w:t xml:space="preserve"> ؛ وَمَنْ صَنَعَ إِلَيْهِ مَعْرُوفاً فِي الدُّنْيَا ، فَإِذَا كَانَ يَوْمُ الْقِيَامَةِ ، قِيلَ لَهُ : ادْخُلِ النَّارَ ، فَمَنْ وَجَدْتَهُ فِيهَا صَنَعَ إِلَيْكَ مَعْرُوفاً فِي الدُّنْيَا ، فَأَخْرِجْهُ بِإِذْنِ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005431A4">
        <w:rPr>
          <w:rtl/>
          <w:lang w:bidi="fa-IR"/>
        </w:rPr>
        <w:t>إِل</w:t>
      </w:r>
      <w:r w:rsidR="005431A4">
        <w:rPr>
          <w:rFonts w:hint="cs"/>
          <w:rtl/>
          <w:lang w:bidi="fa-IR"/>
        </w:rPr>
        <w:t>َّ</w:t>
      </w:r>
      <w:r w:rsidR="005431A4">
        <w:rPr>
          <w:rtl/>
          <w:lang w:bidi="fa-IR"/>
        </w:rPr>
        <w:t>ا</w:t>
      </w:r>
      <w:r w:rsidRPr="00C9040A">
        <w:rPr>
          <w:rtl/>
          <w:lang w:bidi="fa-IR"/>
        </w:rPr>
        <w:t xml:space="preserve"> أَنْ يَكُونَ نَاصِباً </w:t>
      </w:r>
      <w:r w:rsidR="006C577F" w:rsidRPr="006C577F">
        <w:rPr>
          <w:rStyle w:val="libFootnotenumChar"/>
          <w:rtl/>
        </w:rPr>
        <w:t>(2)</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(3)</w:t>
      </w:r>
    </w:p>
    <w:p w:rsidR="008A74EB" w:rsidRPr="00C9040A" w:rsidRDefault="008A74EB" w:rsidP="008A74EB">
      <w:pPr>
        <w:pStyle w:val="libNormal"/>
        <w:rPr>
          <w:rtl/>
          <w:lang w:bidi="fa-IR"/>
        </w:rPr>
      </w:pPr>
      <w:r w:rsidRPr="00393A13">
        <w:rPr>
          <w:rtl/>
        </w:rPr>
        <w:t>2164</w:t>
      </w:r>
      <w:r w:rsidRPr="00261CB0">
        <w:rPr>
          <w:rStyle w:val="libBold2Char"/>
          <w:rtl/>
        </w:rPr>
        <w:t xml:space="preserve"> / 7.</w:t>
      </w:r>
      <w:r w:rsidRPr="00C9040A">
        <w:rPr>
          <w:rtl/>
          <w:lang w:bidi="fa-IR"/>
        </w:rPr>
        <w:t xml:space="preserve"> عَنْهُ </w:t>
      </w:r>
      <w:r w:rsidR="006C577F" w:rsidRPr="006C577F">
        <w:rPr>
          <w:rStyle w:val="libFootnotenumChar"/>
          <w:rtl/>
        </w:rPr>
        <w:t>(4)</w:t>
      </w:r>
      <w:r w:rsidRPr="00C9040A">
        <w:rPr>
          <w:rtl/>
          <w:lang w:bidi="fa-IR"/>
        </w:rPr>
        <w:t xml:space="preserve"> ، عَنْ أَبِيهِ ، عَنْ خَلَفِ بْنِ حَمَّادٍ ، عَنْ إِسْحَاقَ بْن</w:t>
      </w:r>
      <w:r w:rsidR="005431A4">
        <w:rPr>
          <w:rtl/>
          <w:lang w:bidi="fa-IR"/>
        </w:rPr>
        <w:t>ِ عَمَّارٍ ، عَنْ أَبِي بَصِيرٍ</w:t>
      </w:r>
      <w:r w:rsidRPr="00C9040A">
        <w:rPr>
          <w:rtl/>
          <w:lang w:bidi="fa-IR"/>
        </w:rPr>
        <w:t>:</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مَنْ سَعى فِي حَاجَةِ أَخِيهِ الْمُسْلِمِ </w:t>
      </w:r>
      <w:r w:rsidR="006C577F" w:rsidRPr="006C577F">
        <w:rPr>
          <w:rStyle w:val="libFootnotenumChar"/>
          <w:rtl/>
        </w:rPr>
        <w:t>(5)</w:t>
      </w:r>
      <w:r w:rsidRPr="00C9040A">
        <w:rPr>
          <w:rtl/>
          <w:lang w:bidi="fa-IR"/>
        </w:rPr>
        <w:t xml:space="preserve"> ، فَاجْتَهَدَ </w:t>
      </w:r>
      <w:r w:rsidR="006C577F" w:rsidRPr="006C577F">
        <w:rPr>
          <w:rStyle w:val="libFootnotenumChar"/>
          <w:rtl/>
        </w:rPr>
        <w:t>(6)</w:t>
      </w:r>
      <w:r w:rsidRPr="005B567D">
        <w:rPr>
          <w:rStyle w:val="libFootnotenumChar"/>
          <w:rtl/>
        </w:rPr>
        <w:t xml:space="preserve"> </w:t>
      </w:r>
      <w:r w:rsidRPr="00C9040A">
        <w:rPr>
          <w:rtl/>
          <w:lang w:bidi="fa-IR"/>
        </w:rPr>
        <w:t xml:space="preserve">فِيهَا ، فَأَجْرَى اللهُ عَلى يَدَيْهِ </w:t>
      </w:r>
      <w:r w:rsidR="006C577F" w:rsidRPr="006C577F">
        <w:rPr>
          <w:rStyle w:val="libFootnotenumChar"/>
          <w:rtl/>
        </w:rPr>
        <w:t>(7)</w:t>
      </w:r>
      <w:r w:rsidRPr="00C9040A">
        <w:rPr>
          <w:rtl/>
          <w:lang w:bidi="fa-IR"/>
        </w:rPr>
        <w:t xml:space="preserve"> قَضَاءَهَا ، كَتَبَ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لَهُ حَجَّةً وَعُمْرَةً وَاعْتِكَافَ شَهْرَيْنِ فِي الْمَسْجِدِ الْحَرَامِ وَصِيَامَهُمَا ، وَإِنِ </w:t>
      </w:r>
      <w:r w:rsidR="006C577F" w:rsidRPr="006C577F">
        <w:rPr>
          <w:rStyle w:val="libFootnotenumChar"/>
          <w:rtl/>
        </w:rPr>
        <w:t>(8)</w:t>
      </w:r>
      <w:r w:rsidRPr="00C9040A">
        <w:rPr>
          <w:rtl/>
          <w:lang w:bidi="fa-IR"/>
        </w:rPr>
        <w:t xml:space="preserve"> اجْتَهَدَ فِيهَا </w:t>
      </w:r>
      <w:r w:rsidR="006C577F" w:rsidRPr="006C577F">
        <w:rPr>
          <w:rStyle w:val="libFootnotenumChar"/>
          <w:rtl/>
        </w:rPr>
        <w:t>(9)</w:t>
      </w:r>
      <w:r w:rsidRPr="00C9040A">
        <w:rPr>
          <w:rtl/>
          <w:lang w:bidi="fa-IR"/>
        </w:rPr>
        <w:t xml:space="preserve"> وَلَمْ يُجْرِ اللهُ قَضَاءَهَا عَلى يَدَيْهِ </w:t>
      </w:r>
      <w:r w:rsidR="006C577F" w:rsidRPr="006C577F">
        <w:rPr>
          <w:rStyle w:val="libFootnotenumChar"/>
          <w:rtl/>
        </w:rPr>
        <w:t>(10)</w:t>
      </w:r>
      <w:r w:rsidRPr="00C9040A">
        <w:rPr>
          <w:rtl/>
          <w:lang w:bidi="fa-IR"/>
        </w:rPr>
        <w:t xml:space="preserve"> ، كَتَبَ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لَهُ </w:t>
      </w:r>
      <w:r w:rsidR="006C577F" w:rsidRPr="006C577F">
        <w:rPr>
          <w:rStyle w:val="libFootnotenumChar"/>
          <w:rtl/>
        </w:rPr>
        <w:t>(11)</w:t>
      </w:r>
      <w:r w:rsidRPr="00C9040A">
        <w:rPr>
          <w:rtl/>
          <w:lang w:bidi="fa-IR"/>
        </w:rPr>
        <w:t xml:space="preserve"> حَجَّةً وَعُمْرَةً »</w:t>
      </w:r>
      <w:r>
        <w:rPr>
          <w:rtl/>
          <w:lang w:bidi="fa-IR"/>
        </w:rPr>
        <w:t>.</w:t>
      </w:r>
      <w:r w:rsidRPr="00C9040A">
        <w:rPr>
          <w:rtl/>
          <w:lang w:bidi="fa-IR"/>
        </w:rPr>
        <w:t xml:space="preserve"> </w:t>
      </w:r>
      <w:r w:rsidR="006C577F" w:rsidRPr="006C577F">
        <w:rPr>
          <w:rStyle w:val="libFootnotenumChar"/>
          <w:rtl/>
        </w:rPr>
        <w:t>(12)</w:t>
      </w:r>
      <w:r w:rsidRPr="00C9040A">
        <w:rPr>
          <w:rtl/>
          <w:lang w:bidi="fa-IR"/>
        </w:rPr>
        <w:t xml:space="preserve"> ‌</w:t>
      </w:r>
    </w:p>
    <w:p w:rsidR="008A74EB" w:rsidRPr="00C9040A" w:rsidRDefault="008A74EB" w:rsidP="008A74EB">
      <w:pPr>
        <w:pStyle w:val="libNormal"/>
        <w:rPr>
          <w:rtl/>
          <w:lang w:bidi="fa-IR"/>
        </w:rPr>
      </w:pPr>
      <w:r w:rsidRPr="00393A13">
        <w:rPr>
          <w:rtl/>
        </w:rPr>
        <w:t>2165</w:t>
      </w:r>
      <w:r w:rsidRPr="00261CB0">
        <w:rPr>
          <w:rStyle w:val="libBold2Char"/>
          <w:rtl/>
        </w:rPr>
        <w:t xml:space="preserve"> / 8.</w:t>
      </w:r>
      <w:r w:rsidRPr="00C9040A">
        <w:rPr>
          <w:rtl/>
          <w:lang w:bidi="fa-IR"/>
        </w:rPr>
        <w:t xml:space="preserve"> مُحَمَّدُ بْنُ يَحْيى ، عَنْ أَحْمَدَ بْنِ مُحَمَّدٍ ، عَنِ الْحَسَنِ بْنِ عَلِي</w:t>
      </w:r>
      <w:r w:rsidR="005431A4">
        <w:rPr>
          <w:rtl/>
          <w:lang w:bidi="fa-IR"/>
        </w:rPr>
        <w:t>ٍّ ، عَنْ جَمِيلِ بْنِ دَرَّاجٍ</w:t>
      </w:r>
      <w:r w:rsidRPr="00C9040A">
        <w:rPr>
          <w:rtl/>
          <w:lang w:bidi="fa-IR"/>
        </w:rPr>
        <w:t>:</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كَفى بِالْمَرْءِ اعْتِمَاداً عَلى أَخِيهِ </w:t>
      </w:r>
      <w:r w:rsidRPr="005B567D">
        <w:rPr>
          <w:rStyle w:val="libFootnotenumChar"/>
          <w:rtl/>
        </w:rPr>
        <w:t>(13)</w:t>
      </w:r>
      <w:r w:rsidRPr="00C9040A">
        <w:rPr>
          <w:rtl/>
          <w:lang w:bidi="fa-IR"/>
        </w:rPr>
        <w:t xml:space="preserve"> أَنْ يُنْزِلَ بِهِ‌</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الوسائل : « معارفه وجيرانه وإخوانه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ب ، ج ، د ، بس » وحاشية « ص ، ض ، ف ، بر » : « ناصبيّاً »</w:t>
      </w:r>
      <w:r w:rsidR="008A74EB">
        <w:rPr>
          <w:rtl/>
        </w:rPr>
        <w:t>.</w:t>
      </w:r>
      <w:r w:rsidR="008A74EB" w:rsidRPr="00C9040A">
        <w:rPr>
          <w:rtl/>
        </w:rPr>
        <w:t xml:space="preserve"> « والنصب » : المعاداة. يقال : نصبت لفلانٍ نصباً : إذا عاديته. والنواصب والناصبيّة وأهل النَّصب : المتديّنون ببِغْضَةِ عليّ </w:t>
      </w:r>
      <w:r w:rsidR="00117575" w:rsidRPr="00117575">
        <w:rPr>
          <w:rStyle w:val="libFootnoteAlaemChar"/>
          <w:rtl/>
        </w:rPr>
        <w:t>عليه‌السلام</w:t>
      </w:r>
      <w:r w:rsidR="008A74EB" w:rsidRPr="00C9040A">
        <w:rPr>
          <w:rtl/>
        </w:rPr>
        <w:t xml:space="preserve"> ؛ لأنّهم نصبوا له ، أي‌عادَوه. </w:t>
      </w:r>
      <w:r w:rsidR="008A74EB" w:rsidRPr="00993B55">
        <w:rPr>
          <w:rStyle w:val="libFootnoteBoldChar"/>
          <w:rtl/>
        </w:rPr>
        <w:t>مجمع البحرين</w:t>
      </w:r>
      <w:r w:rsidR="008A74EB" w:rsidRPr="00C9040A">
        <w:rPr>
          <w:rtl/>
        </w:rPr>
        <w:t xml:space="preserve"> ، ج 2 ، ص 173 ؛ </w:t>
      </w:r>
      <w:r w:rsidR="008A74EB" w:rsidRPr="00993B55">
        <w:rPr>
          <w:rStyle w:val="libFootnoteBoldChar"/>
          <w:rtl/>
        </w:rPr>
        <w:t>القاموس المحيط</w:t>
      </w:r>
      <w:r w:rsidR="008A74EB" w:rsidRPr="00C9040A">
        <w:rPr>
          <w:rtl/>
        </w:rPr>
        <w:t xml:space="preserve"> ، ج 1 ، ص 230 ( نصب )</w:t>
      </w:r>
      <w:r w:rsidR="008A74EB">
        <w:rPr>
          <w:rtl/>
        </w:rPr>
        <w:t>.</w:t>
      </w:r>
    </w:p>
    <w:p w:rsidR="008A74EB" w:rsidRPr="00C9040A" w:rsidRDefault="006C577F" w:rsidP="00651E74">
      <w:pPr>
        <w:pStyle w:val="libFootnote0"/>
        <w:rPr>
          <w:rtl/>
          <w:lang w:bidi="fa-IR"/>
        </w:rPr>
      </w:pPr>
      <w:r>
        <w:rPr>
          <w:rtl/>
        </w:rPr>
        <w:t>(3).</w:t>
      </w:r>
      <w:r w:rsidR="008A74EB" w:rsidRPr="00C9040A">
        <w:rPr>
          <w:rtl/>
        </w:rPr>
        <w:t xml:space="preserve"> </w:t>
      </w:r>
      <w:r w:rsidR="008A74EB" w:rsidRPr="00993B55">
        <w:rPr>
          <w:rStyle w:val="libFootnoteBoldChar"/>
          <w:rtl/>
        </w:rPr>
        <w:t>مصادقة الإخوان</w:t>
      </w:r>
      <w:r w:rsidR="008A74EB" w:rsidRPr="00C9040A">
        <w:rPr>
          <w:rtl/>
        </w:rPr>
        <w:t xml:space="preserve"> ، ص 68 ، ح 4 ، مرسلاً</w:t>
      </w:r>
      <w:r w:rsidR="00651E74">
        <w:rPr>
          <w:rFonts w:hint="cs"/>
          <w:rtl/>
        </w:rPr>
        <w:t>.</w:t>
      </w:r>
      <w:r w:rsidR="008A74EB" w:rsidRPr="00993B55">
        <w:rPr>
          <w:rStyle w:val="libFootnoteBoldChar"/>
          <w:rtl/>
        </w:rPr>
        <w:t>الوافي</w:t>
      </w:r>
      <w:r w:rsidR="008A74EB" w:rsidRPr="00C9040A">
        <w:rPr>
          <w:rtl/>
        </w:rPr>
        <w:t xml:space="preserve"> ، ج 5 ، ص 667 ، ح 2830 ؛ </w:t>
      </w:r>
      <w:r w:rsidR="008A74EB" w:rsidRPr="00993B55">
        <w:rPr>
          <w:rStyle w:val="libFootnoteBoldChar"/>
          <w:rtl/>
        </w:rPr>
        <w:t>الوسائل</w:t>
      </w:r>
      <w:r w:rsidR="008A74EB" w:rsidRPr="00C9040A">
        <w:rPr>
          <w:rtl/>
        </w:rPr>
        <w:t xml:space="preserve"> ، ج 16 ، ص 367 ، ح 21780 ؛ </w:t>
      </w:r>
      <w:r w:rsidR="008A74EB" w:rsidRPr="00993B55">
        <w:rPr>
          <w:rStyle w:val="libFootnoteBoldChar"/>
          <w:rtl/>
        </w:rPr>
        <w:t>البحار</w:t>
      </w:r>
      <w:r w:rsidR="008A74EB" w:rsidRPr="00C9040A">
        <w:rPr>
          <w:rtl/>
        </w:rPr>
        <w:t xml:space="preserve"> ، ج 8 ، ص 362 ، ح 38 ؛ وج 74 ، ص 333 ، ح 110.</w:t>
      </w:r>
    </w:p>
    <w:p w:rsidR="008A74EB" w:rsidRPr="00C9040A" w:rsidRDefault="006C577F" w:rsidP="004A4E41">
      <w:pPr>
        <w:pStyle w:val="libFootnote0"/>
        <w:rPr>
          <w:rtl/>
          <w:lang w:bidi="fa-IR"/>
        </w:rPr>
      </w:pPr>
      <w:r>
        <w:rPr>
          <w:rtl/>
        </w:rPr>
        <w:t>(4).</w:t>
      </w:r>
      <w:r w:rsidR="008A74EB" w:rsidRPr="00C9040A">
        <w:rPr>
          <w:rtl/>
        </w:rPr>
        <w:t xml:space="preserve"> الضمير راجع إلى أحمد بن محمّد بن خالد المذكور في السند السابق.</w:t>
      </w:r>
    </w:p>
    <w:tbl>
      <w:tblPr>
        <w:tblStyle w:val="TableGrid"/>
        <w:bidiVisual/>
        <w:tblW w:w="0" w:type="auto"/>
        <w:tblLook w:val="04A0" w:firstRow="1" w:lastRow="0" w:firstColumn="1" w:lastColumn="0" w:noHBand="0" w:noVBand="1"/>
      </w:tblPr>
      <w:tblGrid>
        <w:gridCol w:w="4006"/>
        <w:gridCol w:w="4006"/>
      </w:tblGrid>
      <w:tr w:rsidR="00651E74" w:rsidTr="00651E74">
        <w:tc>
          <w:tcPr>
            <w:tcW w:w="4006" w:type="dxa"/>
          </w:tcPr>
          <w:p w:rsidR="00651E74" w:rsidRDefault="00651E74" w:rsidP="004A4E41">
            <w:pPr>
              <w:pStyle w:val="libFootnote0"/>
              <w:rPr>
                <w:rtl/>
              </w:rPr>
            </w:pPr>
            <w:r>
              <w:rPr>
                <w:rtl/>
              </w:rPr>
              <w:t>(5).</w:t>
            </w:r>
            <w:r w:rsidRPr="00C9040A">
              <w:rPr>
                <w:rtl/>
              </w:rPr>
              <w:t xml:space="preserve"> في حاشية « بف » : « المؤمن »</w:t>
            </w:r>
            <w:r>
              <w:rPr>
                <w:rtl/>
              </w:rPr>
              <w:t>.</w:t>
            </w:r>
          </w:p>
        </w:tc>
        <w:tc>
          <w:tcPr>
            <w:tcW w:w="4006" w:type="dxa"/>
          </w:tcPr>
          <w:p w:rsidR="00651E74" w:rsidRDefault="00651E74" w:rsidP="004A4E41">
            <w:pPr>
              <w:pStyle w:val="libFootnote0"/>
              <w:rPr>
                <w:rtl/>
              </w:rPr>
            </w:pPr>
            <w:r>
              <w:rPr>
                <w:rtl/>
              </w:rPr>
              <w:t xml:space="preserve">(6). </w:t>
            </w:r>
            <w:r w:rsidRPr="00C9040A">
              <w:rPr>
                <w:rtl/>
              </w:rPr>
              <w:t>في حاشية « بر » والوافي : « واجتهد »</w:t>
            </w:r>
            <w:r>
              <w:rPr>
                <w:rtl/>
              </w:rPr>
              <w:t>.</w:t>
            </w:r>
          </w:p>
        </w:tc>
      </w:tr>
      <w:tr w:rsidR="00651E74" w:rsidTr="00651E74">
        <w:tc>
          <w:tcPr>
            <w:tcW w:w="4006" w:type="dxa"/>
          </w:tcPr>
          <w:p w:rsidR="00651E74" w:rsidRDefault="00651E74" w:rsidP="004A4E41">
            <w:pPr>
              <w:pStyle w:val="libFootnote0"/>
              <w:rPr>
                <w:rtl/>
              </w:rPr>
            </w:pPr>
            <w:r>
              <w:rPr>
                <w:rtl/>
              </w:rPr>
              <w:t>(7).</w:t>
            </w:r>
            <w:r w:rsidRPr="00C9040A">
              <w:rPr>
                <w:rtl/>
              </w:rPr>
              <w:t xml:space="preserve"> في « ف » : « يده »</w:t>
            </w:r>
            <w:r>
              <w:rPr>
                <w:rtl/>
              </w:rPr>
              <w:t>.</w:t>
            </w:r>
          </w:p>
        </w:tc>
        <w:tc>
          <w:tcPr>
            <w:tcW w:w="4006" w:type="dxa"/>
          </w:tcPr>
          <w:p w:rsidR="00651E74" w:rsidRDefault="00651E74" w:rsidP="004A4E41">
            <w:pPr>
              <w:pStyle w:val="libFootnote0"/>
              <w:rPr>
                <w:rtl/>
              </w:rPr>
            </w:pPr>
            <w:r>
              <w:rPr>
                <w:rtl/>
              </w:rPr>
              <w:t>(8).</w:t>
            </w:r>
            <w:r w:rsidRPr="00C9040A">
              <w:rPr>
                <w:rtl/>
              </w:rPr>
              <w:t xml:space="preserve"> في « ز ، ص » والبحار والمصادقة : « فإن »</w:t>
            </w:r>
            <w:r>
              <w:rPr>
                <w:rtl/>
              </w:rPr>
              <w:t>.</w:t>
            </w:r>
          </w:p>
        </w:tc>
      </w:tr>
    </w:tbl>
    <w:p w:rsidR="008A74EB" w:rsidRPr="00C9040A" w:rsidRDefault="006C577F" w:rsidP="004A4E41">
      <w:pPr>
        <w:pStyle w:val="libFootnote0"/>
        <w:rPr>
          <w:rtl/>
          <w:lang w:bidi="fa-IR"/>
        </w:rPr>
      </w:pPr>
      <w:r>
        <w:rPr>
          <w:rtl/>
        </w:rPr>
        <w:t>(9).</w:t>
      </w:r>
      <w:r w:rsidR="008A74EB" w:rsidRPr="00C9040A">
        <w:rPr>
          <w:rtl/>
        </w:rPr>
        <w:t xml:space="preserve"> في « ب ، د ، ز ، ص ، ف ، بس ، بف » والوافي والوسائل والمصادقة </w:t>
      </w:r>
      <w:r w:rsidR="008A74EB">
        <w:rPr>
          <w:rtl/>
        </w:rPr>
        <w:t xml:space="preserve">: </w:t>
      </w:r>
      <w:r w:rsidR="0084262C">
        <w:rPr>
          <w:rtl/>
        </w:rPr>
        <w:t>-</w:t>
      </w:r>
      <w:r w:rsidR="008A74EB" w:rsidRPr="00C9040A">
        <w:rPr>
          <w:rtl/>
        </w:rPr>
        <w:t xml:space="preserve"> « فيها »</w:t>
      </w:r>
      <w:r w:rsidR="008A74EB">
        <w:rPr>
          <w:rtl/>
        </w:rPr>
        <w:t>.</w:t>
      </w:r>
    </w:p>
    <w:tbl>
      <w:tblPr>
        <w:tblStyle w:val="TableGrid"/>
        <w:bidiVisual/>
        <w:tblW w:w="0" w:type="auto"/>
        <w:tblLook w:val="04A0" w:firstRow="1" w:lastRow="0" w:firstColumn="1" w:lastColumn="0" w:noHBand="0" w:noVBand="1"/>
      </w:tblPr>
      <w:tblGrid>
        <w:gridCol w:w="4006"/>
        <w:gridCol w:w="4006"/>
      </w:tblGrid>
      <w:tr w:rsidR="00F74AEE" w:rsidTr="00F74AEE">
        <w:tc>
          <w:tcPr>
            <w:tcW w:w="4006" w:type="dxa"/>
          </w:tcPr>
          <w:p w:rsidR="00F74AEE" w:rsidRDefault="00F74AEE" w:rsidP="004A4E41">
            <w:pPr>
              <w:pStyle w:val="libFootnote0"/>
              <w:rPr>
                <w:rtl/>
                <w:lang w:bidi="fa-IR"/>
              </w:rPr>
            </w:pPr>
            <w:r>
              <w:rPr>
                <w:rtl/>
              </w:rPr>
              <w:t>(10).</w:t>
            </w:r>
            <w:r w:rsidRPr="00C9040A">
              <w:rPr>
                <w:rtl/>
              </w:rPr>
              <w:t xml:space="preserve"> في « ف » : « يده »</w:t>
            </w:r>
            <w:r>
              <w:rPr>
                <w:rtl/>
              </w:rPr>
              <w:t>.</w:t>
            </w:r>
          </w:p>
        </w:tc>
        <w:tc>
          <w:tcPr>
            <w:tcW w:w="4006" w:type="dxa"/>
          </w:tcPr>
          <w:p w:rsidR="00F74AEE" w:rsidRDefault="00F74AEE" w:rsidP="004A4E41">
            <w:pPr>
              <w:pStyle w:val="libFootnote0"/>
              <w:rPr>
                <w:rtl/>
                <w:lang w:bidi="fa-IR"/>
              </w:rPr>
            </w:pPr>
            <w:r>
              <w:rPr>
                <w:rtl/>
              </w:rPr>
              <w:t>(11).</w:t>
            </w:r>
            <w:r w:rsidRPr="00C9040A">
              <w:rPr>
                <w:rtl/>
              </w:rPr>
              <w:t xml:space="preserve"> في الوافي </w:t>
            </w:r>
            <w:r>
              <w:rPr>
                <w:rtl/>
              </w:rPr>
              <w:t>: -</w:t>
            </w:r>
            <w:r w:rsidRPr="00C9040A">
              <w:rPr>
                <w:rtl/>
              </w:rPr>
              <w:t xml:space="preserve"> « له »</w:t>
            </w:r>
            <w:r>
              <w:rPr>
                <w:rtl/>
              </w:rPr>
              <w:t>.</w:t>
            </w:r>
          </w:p>
        </w:tc>
      </w:tr>
    </w:tbl>
    <w:p w:rsidR="008A74EB" w:rsidRPr="00C9040A" w:rsidRDefault="006C577F" w:rsidP="00A0782D">
      <w:pPr>
        <w:pStyle w:val="libFootnote0"/>
        <w:rPr>
          <w:rtl/>
          <w:lang w:bidi="fa-IR"/>
        </w:rPr>
      </w:pPr>
      <w:r>
        <w:rPr>
          <w:rtl/>
        </w:rPr>
        <w:t>(12).</w:t>
      </w:r>
      <w:r w:rsidR="008A74EB" w:rsidRPr="00C9040A">
        <w:rPr>
          <w:rtl/>
        </w:rPr>
        <w:t xml:space="preserve"> </w:t>
      </w:r>
      <w:r w:rsidR="008A74EB" w:rsidRPr="00993B55">
        <w:rPr>
          <w:rStyle w:val="libFootnoteBoldChar"/>
          <w:rtl/>
        </w:rPr>
        <w:t>مصادقة الإخوان</w:t>
      </w:r>
      <w:r w:rsidR="008A74EB" w:rsidRPr="00C9040A">
        <w:rPr>
          <w:rtl/>
        </w:rPr>
        <w:t xml:space="preserve"> ، ص 68 ، ح 5 ، مرسلاً عن أبي‌بصير</w:t>
      </w:r>
      <w:r w:rsidR="00A0782D">
        <w:rPr>
          <w:rFonts w:hint="cs"/>
          <w:rtl/>
        </w:rPr>
        <w:t>.</w:t>
      </w:r>
      <w:r w:rsidR="008A74EB" w:rsidRPr="00993B55">
        <w:rPr>
          <w:rStyle w:val="libFootnoteBoldChar"/>
          <w:rtl/>
        </w:rPr>
        <w:t>الوافي</w:t>
      </w:r>
      <w:r w:rsidR="008A74EB" w:rsidRPr="00C9040A">
        <w:rPr>
          <w:rtl/>
        </w:rPr>
        <w:t xml:space="preserve"> ، ج 5 ، ص 667 ، ح 2831 ؛ </w:t>
      </w:r>
      <w:r w:rsidR="008A74EB" w:rsidRPr="00993B55">
        <w:rPr>
          <w:rStyle w:val="libFootnoteBoldChar"/>
          <w:rtl/>
        </w:rPr>
        <w:t>الوسائل</w:t>
      </w:r>
      <w:r w:rsidR="008A74EB" w:rsidRPr="00C9040A">
        <w:rPr>
          <w:rtl/>
        </w:rPr>
        <w:t xml:space="preserve"> ، ج 16 ، ص 369 ، ح 21787 ؛ </w:t>
      </w:r>
      <w:r w:rsidR="008A74EB" w:rsidRPr="00993B55">
        <w:rPr>
          <w:rStyle w:val="libFootnoteBoldChar"/>
          <w:rtl/>
        </w:rPr>
        <w:t>البحار</w:t>
      </w:r>
      <w:r w:rsidR="008A74EB" w:rsidRPr="00C9040A">
        <w:rPr>
          <w:rtl/>
        </w:rPr>
        <w:t xml:space="preserve"> ، ج 74 ، ص 334 ، ح 111.</w:t>
      </w:r>
    </w:p>
    <w:p w:rsidR="008A74EB" w:rsidRPr="00C9040A" w:rsidRDefault="008A74EB" w:rsidP="004A4E41">
      <w:pPr>
        <w:pStyle w:val="libFootnote0"/>
        <w:rPr>
          <w:rtl/>
          <w:lang w:bidi="fa-IR"/>
        </w:rPr>
      </w:pPr>
      <w:r>
        <w:rPr>
          <w:rtl/>
        </w:rPr>
        <w:t>(13)</w:t>
      </w:r>
      <w:r w:rsidRPr="00C9040A">
        <w:rPr>
          <w:rtl/>
        </w:rPr>
        <w:t xml:space="preserve"> في « ف » : + « المسلم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حَاجَتَهُ »</w:t>
      </w:r>
      <w:r>
        <w:rPr>
          <w:rtl/>
          <w:lang w:bidi="fa-IR"/>
        </w:rPr>
        <w:t>.</w:t>
      </w:r>
      <w:r w:rsidRPr="00C9040A">
        <w:rPr>
          <w:rtl/>
          <w:lang w:bidi="fa-IR"/>
        </w:rPr>
        <w:t xml:space="preserve"> </w:t>
      </w:r>
      <w:r w:rsidR="006C577F" w:rsidRPr="006C577F">
        <w:rPr>
          <w:rStyle w:val="libFootnotenumChar"/>
          <w:rtl/>
        </w:rPr>
        <w:t>(1)</w:t>
      </w:r>
      <w:r w:rsidRPr="00C9040A">
        <w:rPr>
          <w:rtl/>
          <w:lang w:bidi="fa-IR"/>
        </w:rPr>
        <w:t xml:space="preserve"> ‌</w:t>
      </w:r>
    </w:p>
    <w:p w:rsidR="008A74EB" w:rsidRPr="00C9040A" w:rsidRDefault="008A74EB" w:rsidP="008A74EB">
      <w:pPr>
        <w:pStyle w:val="libNormal"/>
        <w:rPr>
          <w:rtl/>
          <w:lang w:bidi="fa-IR"/>
        </w:rPr>
      </w:pPr>
      <w:r w:rsidRPr="00393A13">
        <w:rPr>
          <w:rtl/>
        </w:rPr>
        <w:t>2166</w:t>
      </w:r>
      <w:r w:rsidRPr="00261CB0">
        <w:rPr>
          <w:rStyle w:val="libBold2Char"/>
          <w:rtl/>
        </w:rPr>
        <w:t xml:space="preserve"> / 9.</w:t>
      </w:r>
      <w:r w:rsidRPr="00C9040A">
        <w:rPr>
          <w:rtl/>
          <w:lang w:bidi="fa-IR"/>
        </w:rPr>
        <w:t xml:space="preserve"> عَنْهُ ، عَنْ أَحْمَدَ بْنِ مُحَمَّدٍ ، عَنْ بَعْضِ أَصْحَابِنَا ، عَنْ صَفْوَانَ الْجَمَّالِ ، قَالَ :</w:t>
      </w:r>
    </w:p>
    <w:p w:rsidR="008A74EB" w:rsidRPr="00C9040A" w:rsidRDefault="008A74EB" w:rsidP="008A74EB">
      <w:pPr>
        <w:pStyle w:val="libNormal"/>
        <w:rPr>
          <w:rtl/>
          <w:lang w:bidi="fa-IR"/>
        </w:rPr>
      </w:pPr>
      <w:r w:rsidRPr="00C9040A">
        <w:rPr>
          <w:rtl/>
          <w:lang w:bidi="fa-IR"/>
        </w:rPr>
        <w:t xml:space="preserve">كُنْتُ جَالِساً مَعَ أَبِي عَبْدِ اللهِ </w:t>
      </w:r>
      <w:r w:rsidRPr="0003660B">
        <w:rPr>
          <w:rStyle w:val="libAlaemChar"/>
          <w:rtl/>
        </w:rPr>
        <w:t>عليه‌السلام</w:t>
      </w:r>
      <w:r w:rsidRPr="00C9040A">
        <w:rPr>
          <w:rtl/>
          <w:lang w:bidi="fa-IR"/>
        </w:rPr>
        <w:t xml:space="preserve"> إِذْ دَخَلَ عَلَيْهِ رَجُلٌ مِنْ أَهْلِ مَكَّةَ</w:t>
      </w:r>
      <w:r>
        <w:rPr>
          <w:rtl/>
          <w:lang w:bidi="fa-IR"/>
        </w:rPr>
        <w:t xml:space="preserve"> </w:t>
      </w:r>
      <w:r w:rsidR="0084262C">
        <w:rPr>
          <w:rtl/>
          <w:lang w:bidi="fa-IR"/>
        </w:rPr>
        <w:t>-</w:t>
      </w:r>
      <w:r>
        <w:rPr>
          <w:rtl/>
          <w:lang w:bidi="fa-IR"/>
        </w:rPr>
        <w:t xml:space="preserve"> </w:t>
      </w:r>
      <w:r w:rsidRPr="00C9040A">
        <w:rPr>
          <w:rtl/>
          <w:lang w:bidi="fa-IR"/>
        </w:rPr>
        <w:t xml:space="preserve">يُقَالُ لَهُ </w:t>
      </w:r>
      <w:r w:rsidR="006C577F" w:rsidRPr="006C577F">
        <w:rPr>
          <w:rStyle w:val="libFootnotenumChar"/>
          <w:rtl/>
        </w:rPr>
        <w:t>(2)</w:t>
      </w:r>
      <w:r w:rsidRPr="00C9040A">
        <w:rPr>
          <w:rtl/>
          <w:lang w:bidi="fa-IR"/>
        </w:rPr>
        <w:t xml:space="preserve"> :</w:t>
      </w:r>
      <w:r>
        <w:rPr>
          <w:rFonts w:hint="cs"/>
          <w:rtl/>
          <w:lang w:bidi="fa-IR"/>
        </w:rPr>
        <w:t xml:space="preserve"> </w:t>
      </w:r>
      <w:r w:rsidRPr="00C9040A">
        <w:rPr>
          <w:rtl/>
          <w:lang w:bidi="fa-IR"/>
        </w:rPr>
        <w:t>مَيْمُونٌ</w:t>
      </w:r>
      <w:r>
        <w:rPr>
          <w:rtl/>
          <w:lang w:bidi="fa-IR"/>
        </w:rPr>
        <w:t xml:space="preserve"> </w:t>
      </w:r>
      <w:r w:rsidR="0084262C">
        <w:rPr>
          <w:rtl/>
          <w:lang w:bidi="fa-IR"/>
        </w:rPr>
        <w:t>-</w:t>
      </w:r>
      <w:r>
        <w:rPr>
          <w:rtl/>
          <w:lang w:bidi="fa-IR"/>
        </w:rPr>
        <w:t xml:space="preserve"> </w:t>
      </w:r>
      <w:r w:rsidRPr="00C9040A">
        <w:rPr>
          <w:rtl/>
          <w:lang w:bidi="fa-IR"/>
        </w:rPr>
        <w:t xml:space="preserve">فَشَكَا إِلَيْهِ تَعَذُّرَ الْكِرَاءِ </w:t>
      </w:r>
      <w:r w:rsidR="006C577F" w:rsidRPr="006C577F">
        <w:rPr>
          <w:rStyle w:val="libFootnotenumChar"/>
          <w:rtl/>
        </w:rPr>
        <w:t>(3)</w:t>
      </w:r>
      <w:r w:rsidRPr="00C9040A">
        <w:rPr>
          <w:rtl/>
          <w:lang w:bidi="fa-IR"/>
        </w:rPr>
        <w:t xml:space="preserve"> عَلَيْهِ ، فَقَالَ لِي : « قُمْ ، فَأَعِنْ </w:t>
      </w:r>
      <w:r w:rsidR="006C577F" w:rsidRPr="006C577F">
        <w:rPr>
          <w:rStyle w:val="libFootnotenumChar"/>
          <w:rtl/>
        </w:rPr>
        <w:t>(4)</w:t>
      </w:r>
      <w:r w:rsidRPr="00C9040A">
        <w:rPr>
          <w:rtl/>
          <w:lang w:bidi="fa-IR"/>
        </w:rPr>
        <w:t xml:space="preserve"> أَخَاكَ » فَقُمْتُ مَعَهُ </w:t>
      </w:r>
      <w:r w:rsidR="006C577F" w:rsidRPr="006C577F">
        <w:rPr>
          <w:rStyle w:val="libFootnotenumChar"/>
          <w:rtl/>
        </w:rPr>
        <w:t>(5)</w:t>
      </w:r>
      <w:r w:rsidRPr="00C9040A">
        <w:rPr>
          <w:rtl/>
          <w:lang w:bidi="fa-IR"/>
        </w:rPr>
        <w:t xml:space="preserve"> ، فَيَسَّرَ اللهُ كِرَاهُ ، فَرَجَعْتُ إِلى مَجْلِسِي ، فَقَالَ أَبُو عَبْدِ اللهِ </w:t>
      </w:r>
      <w:r w:rsidRPr="0003660B">
        <w:rPr>
          <w:rStyle w:val="libAlaemChar"/>
          <w:rtl/>
        </w:rPr>
        <w:t>عليه‌السلام</w:t>
      </w:r>
      <w:r w:rsidRPr="00C9040A">
        <w:rPr>
          <w:rtl/>
          <w:lang w:bidi="fa-IR"/>
        </w:rPr>
        <w:t xml:space="preserve"> : « مَا صَنَعْتَ فِي حَاجَةِ </w:t>
      </w:r>
      <w:r w:rsidR="006C577F" w:rsidRPr="006C577F">
        <w:rPr>
          <w:rStyle w:val="libFootnotenumChar"/>
          <w:rtl/>
        </w:rPr>
        <w:t>(6)</w:t>
      </w:r>
      <w:r w:rsidRPr="005B567D">
        <w:rPr>
          <w:rStyle w:val="libFootnotenumChar"/>
          <w:rtl/>
        </w:rPr>
        <w:t xml:space="preserve"> </w:t>
      </w:r>
      <w:r w:rsidRPr="00C9040A">
        <w:rPr>
          <w:rtl/>
          <w:lang w:bidi="fa-IR"/>
        </w:rPr>
        <w:t>أَخِيكَ</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 فَقُلْتُ </w:t>
      </w:r>
      <w:r w:rsidR="006C577F" w:rsidRPr="006C577F">
        <w:rPr>
          <w:rStyle w:val="libFootnotenumChar"/>
          <w:rtl/>
        </w:rPr>
        <w:t>(8)</w:t>
      </w:r>
      <w:r w:rsidRPr="00C9040A">
        <w:rPr>
          <w:rtl/>
          <w:lang w:bidi="fa-IR"/>
        </w:rPr>
        <w:t xml:space="preserve"> : قَضَاهَا اللهُ ، بِأَبِي أَنْتَ وَأُمِّي </w:t>
      </w:r>
      <w:r w:rsidR="006C577F" w:rsidRPr="006C577F">
        <w:rPr>
          <w:rStyle w:val="libFootnotenumChar"/>
          <w:rtl/>
        </w:rPr>
        <w:t>(9)</w:t>
      </w:r>
      <w:r w:rsidRPr="00C9040A">
        <w:rPr>
          <w:rtl/>
          <w:lang w:bidi="fa-IR"/>
        </w:rPr>
        <w:t xml:space="preserve"> ، فَقَالَ : « أَمَا إِنَّكَ أَنْ </w:t>
      </w:r>
      <w:r w:rsidR="006C577F" w:rsidRPr="006C577F">
        <w:rPr>
          <w:rStyle w:val="libFootnotenumChar"/>
          <w:rtl/>
        </w:rPr>
        <w:t>(10)</w:t>
      </w:r>
      <w:r w:rsidRPr="00C9040A">
        <w:rPr>
          <w:rtl/>
          <w:lang w:bidi="fa-IR"/>
        </w:rPr>
        <w:t xml:space="preserve"> تُعِينَ </w:t>
      </w:r>
      <w:r w:rsidR="006C577F" w:rsidRPr="006C577F">
        <w:rPr>
          <w:rStyle w:val="libFootnotenumChar"/>
          <w:rtl/>
        </w:rPr>
        <w:t>(11)</w:t>
      </w:r>
      <w:r w:rsidRPr="00C9040A">
        <w:rPr>
          <w:rtl/>
          <w:lang w:bidi="fa-IR"/>
        </w:rPr>
        <w:t xml:space="preserve"> أَخَاكَ الْمُسْلِمَ أَحَبُّ إِلَيَّ مِنْ طَوَافِ أُسْبُوعٍ بِالْبَيْتِ </w:t>
      </w:r>
      <w:r w:rsidR="006C577F" w:rsidRPr="006C577F">
        <w:rPr>
          <w:rStyle w:val="libFootnotenumChar"/>
          <w:rtl/>
        </w:rPr>
        <w:t>(12)</w:t>
      </w:r>
      <w:r w:rsidRPr="00C9040A">
        <w:rPr>
          <w:rtl/>
          <w:lang w:bidi="fa-IR"/>
        </w:rPr>
        <w:t xml:space="preserve"> مُبْتَدِئاً »</w:t>
      </w:r>
      <w:r>
        <w:rPr>
          <w:rtl/>
          <w:lang w:bidi="fa-IR"/>
        </w:rPr>
        <w:t>.</w:t>
      </w:r>
      <w:r w:rsidRPr="00C9040A">
        <w:rPr>
          <w:rtl/>
          <w:lang w:bidi="fa-IR"/>
        </w:rPr>
        <w:t xml:space="preserve"> </w:t>
      </w:r>
      <w:r w:rsidRPr="005B567D">
        <w:rPr>
          <w:rStyle w:val="libFootnotenumChar"/>
          <w:rtl/>
        </w:rPr>
        <w:t>(13)</w:t>
      </w:r>
      <w:r w:rsidRPr="00C9040A">
        <w:rPr>
          <w:rtl/>
          <w:lang w:bidi="fa-IR"/>
        </w:rPr>
        <w:t xml:space="preserve"> ‌</w:t>
      </w:r>
    </w:p>
    <w:p w:rsidR="008A74EB" w:rsidRPr="00C9040A" w:rsidRDefault="008A74EB" w:rsidP="008A74EB">
      <w:pPr>
        <w:pStyle w:val="libNormal"/>
        <w:rPr>
          <w:rtl/>
          <w:lang w:bidi="fa-IR"/>
        </w:rPr>
      </w:pPr>
      <w:r w:rsidRPr="00C9040A">
        <w:rPr>
          <w:rtl/>
          <w:lang w:bidi="fa-IR"/>
        </w:rPr>
        <w:t xml:space="preserve">ثُمَّ قَالَ : « إِنَّ رَجُلاً أَتَى الْحَسَنَ بْنَ عَلِيٍّ </w:t>
      </w:r>
      <w:r w:rsidRPr="0003660B">
        <w:rPr>
          <w:rStyle w:val="libAlaemChar"/>
          <w:rtl/>
        </w:rPr>
        <w:t>عليهما‌السلام</w:t>
      </w:r>
      <w:r w:rsidRPr="00C9040A">
        <w:rPr>
          <w:rtl/>
          <w:lang w:bidi="fa-IR"/>
        </w:rPr>
        <w:t xml:space="preserve"> ، فَقَالَ </w:t>
      </w:r>
      <w:r w:rsidRPr="005B567D">
        <w:rPr>
          <w:rStyle w:val="libFootnotenumChar"/>
          <w:rtl/>
        </w:rPr>
        <w:t>(14)</w:t>
      </w:r>
      <w:r w:rsidRPr="00C9040A">
        <w:rPr>
          <w:rtl/>
          <w:lang w:bidi="fa-IR"/>
        </w:rPr>
        <w:t xml:space="preserve"> : بِأَبِي أَنْتَ وَأُمِّي ، أَعِنِّي عَلى قَضَاءِ حَاجَةٍ ، فَانْتَعَلَ </w:t>
      </w:r>
      <w:r w:rsidRPr="005B567D">
        <w:rPr>
          <w:rStyle w:val="libFootnotenumChar"/>
          <w:rtl/>
        </w:rPr>
        <w:t>(15)</w:t>
      </w:r>
      <w:r w:rsidRPr="00C9040A">
        <w:rPr>
          <w:rtl/>
          <w:lang w:bidi="fa-IR"/>
        </w:rPr>
        <w:t xml:space="preserve"> وَقَامَ مَعَهُ ، فَمَرَّ عَلَى الْحُسَيْنِ صَلَوَاتُ اللهِ عَلَيْهِ</w:t>
      </w:r>
      <w:r>
        <w:rPr>
          <w:rtl/>
          <w:lang w:bidi="fa-IR"/>
        </w:rPr>
        <w:t xml:space="preserve"> </w:t>
      </w:r>
      <w:r w:rsidR="0084262C">
        <w:rPr>
          <w:rtl/>
          <w:lang w:bidi="fa-IR"/>
        </w:rPr>
        <w:t>-</w:t>
      </w:r>
      <w:r>
        <w:rPr>
          <w:rtl/>
          <w:lang w:bidi="fa-IR"/>
        </w:rPr>
        <w:t xml:space="preserve"> </w:t>
      </w:r>
      <w:r w:rsidRPr="00C9040A">
        <w:rPr>
          <w:rtl/>
          <w:lang w:bidi="fa-IR"/>
        </w:rPr>
        <w:t>وَهُوَ قَائِمٌ‌</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993B55">
        <w:rPr>
          <w:rStyle w:val="libFootnoteBoldChar"/>
          <w:rtl/>
        </w:rPr>
        <w:t>الوافي</w:t>
      </w:r>
      <w:r w:rsidR="008A74EB" w:rsidRPr="00C9040A">
        <w:rPr>
          <w:rtl/>
        </w:rPr>
        <w:t xml:space="preserve"> ، ج 5 ، ص 667 ، ح 2832 ؛ </w:t>
      </w:r>
      <w:r w:rsidR="008A74EB" w:rsidRPr="00993B55">
        <w:rPr>
          <w:rStyle w:val="libFootnoteBoldChar"/>
          <w:rtl/>
        </w:rPr>
        <w:t>الوسائل</w:t>
      </w:r>
      <w:r w:rsidR="008A74EB" w:rsidRPr="00C9040A">
        <w:rPr>
          <w:rtl/>
        </w:rPr>
        <w:t xml:space="preserve"> ، ج 16 ، ص 366 ، ح 21778 ؛ </w:t>
      </w:r>
      <w:r w:rsidR="008A74EB" w:rsidRPr="00993B55">
        <w:rPr>
          <w:rStyle w:val="libFootnoteBoldChar"/>
          <w:rtl/>
        </w:rPr>
        <w:t>البحار</w:t>
      </w:r>
      <w:r w:rsidR="008A74EB" w:rsidRPr="00C9040A">
        <w:rPr>
          <w:rtl/>
        </w:rPr>
        <w:t xml:space="preserve"> ، ج 74 ، ص 334 ، ح 112.</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ف » </w:t>
      </w:r>
      <w:r w:rsidR="008A74EB">
        <w:rPr>
          <w:rtl/>
        </w:rPr>
        <w:t xml:space="preserve">: </w:t>
      </w:r>
      <w:r w:rsidR="0084262C">
        <w:rPr>
          <w:rtl/>
        </w:rPr>
        <w:t>-</w:t>
      </w:r>
      <w:r w:rsidR="008A74EB" w:rsidRPr="00C9040A">
        <w:rPr>
          <w:rtl/>
        </w:rPr>
        <w:t xml:space="preserve"> « له »</w:t>
      </w:r>
      <w:r w:rsidR="008A74EB">
        <w:rPr>
          <w:rtl/>
        </w:rPr>
        <w:t>.</w:t>
      </w:r>
    </w:p>
    <w:p w:rsidR="008A74EB" w:rsidRPr="00C9040A" w:rsidRDefault="006C577F" w:rsidP="00A0782D">
      <w:pPr>
        <w:pStyle w:val="libFootnote0"/>
        <w:rPr>
          <w:rtl/>
          <w:lang w:bidi="fa-IR"/>
        </w:rPr>
      </w:pPr>
      <w:r>
        <w:rPr>
          <w:rtl/>
        </w:rPr>
        <w:t>(3).</w:t>
      </w:r>
      <w:r w:rsidR="008A74EB" w:rsidRPr="00C9040A">
        <w:rPr>
          <w:rtl/>
        </w:rPr>
        <w:t xml:space="preserve"> في « بر » : « الكرى »</w:t>
      </w:r>
      <w:r w:rsidR="008A74EB">
        <w:rPr>
          <w:rtl/>
        </w:rPr>
        <w:t>.</w:t>
      </w:r>
      <w:r w:rsidR="008A74EB" w:rsidRPr="00C9040A">
        <w:rPr>
          <w:rtl/>
        </w:rPr>
        <w:t xml:space="preserve"> وفي </w:t>
      </w:r>
      <w:r w:rsidR="008A74EB" w:rsidRPr="00993B55">
        <w:rPr>
          <w:rStyle w:val="libFootnoteBoldChar"/>
          <w:rtl/>
        </w:rPr>
        <w:t>الوافي</w:t>
      </w:r>
      <w:r w:rsidR="008A74EB" w:rsidRPr="00C9040A">
        <w:rPr>
          <w:rtl/>
        </w:rPr>
        <w:t xml:space="preserve"> : « الكراء ، ممدوداً مصدر ، ومقصوراً أجر المستأجر. وكلاهما محتمل هنا. وعلى الأوّل يحتمل أن يكون أجيراً ومستأجراً »</w:t>
      </w:r>
      <w:r w:rsidR="008A74EB">
        <w:rPr>
          <w:rtl/>
        </w:rPr>
        <w:t>.</w:t>
      </w:r>
      <w:r w:rsidR="008A74EB" w:rsidRPr="00C9040A">
        <w:rPr>
          <w:rtl/>
        </w:rPr>
        <w:t xml:space="preserve"> والمراد بتعذّر الكراء إمّا تعذّر الدابّة التي يكتريها ، أو تعذّر من يكتري دوابّه ، بناءً على كونه مكارياً ، أو عدم تيسير ا</w:t>
      </w:r>
      <w:r w:rsidR="00A0782D">
        <w:rPr>
          <w:rFonts w:hint="cs"/>
          <w:rtl/>
        </w:rPr>
        <w:t>ُ</w:t>
      </w:r>
      <w:r w:rsidR="008A74EB" w:rsidRPr="00C9040A">
        <w:rPr>
          <w:rtl/>
        </w:rPr>
        <w:t xml:space="preserve">جرة المكاري له. وكلّ ذلك مناسب لحال صفوان الراوي. راجع : </w:t>
      </w:r>
      <w:r w:rsidR="008A74EB" w:rsidRPr="00993B55">
        <w:rPr>
          <w:rStyle w:val="libFootnoteBoldChar"/>
          <w:rtl/>
        </w:rPr>
        <w:t>مرآة العقول</w:t>
      </w:r>
      <w:r w:rsidR="008A74EB" w:rsidRPr="00C9040A">
        <w:rPr>
          <w:rtl/>
        </w:rPr>
        <w:t xml:space="preserve"> ، ج 9 ، ص 115.</w:t>
      </w:r>
      <w:r w:rsidR="00411D58">
        <w:rPr>
          <w:rFonts w:hint="cs"/>
          <w:rtl/>
        </w:rPr>
        <w:t xml:space="preserve">                               </w:t>
      </w:r>
      <w:r w:rsidR="00A0782D">
        <w:rPr>
          <w:rFonts w:hint="cs"/>
          <w:rtl/>
        </w:rPr>
        <w:t xml:space="preserve">   </w:t>
      </w:r>
      <w:r>
        <w:rPr>
          <w:rtl/>
        </w:rPr>
        <w:t>(4).</w:t>
      </w:r>
      <w:r w:rsidR="008A74EB" w:rsidRPr="00C9040A">
        <w:rPr>
          <w:rtl/>
        </w:rPr>
        <w:t xml:space="preserve"> في « ب » : « فأعد »</w:t>
      </w:r>
      <w:r w:rsidR="008A74EB">
        <w:rPr>
          <w:rtl/>
        </w:rPr>
        <w:t>.</w:t>
      </w:r>
    </w:p>
    <w:tbl>
      <w:tblPr>
        <w:tblStyle w:val="TableGrid"/>
        <w:bidiVisual/>
        <w:tblW w:w="0" w:type="auto"/>
        <w:tblLook w:val="04A0" w:firstRow="1" w:lastRow="0" w:firstColumn="1" w:lastColumn="0" w:noHBand="0" w:noVBand="1"/>
      </w:tblPr>
      <w:tblGrid>
        <w:gridCol w:w="4006"/>
        <w:gridCol w:w="4006"/>
      </w:tblGrid>
      <w:tr w:rsidR="00A0782D" w:rsidTr="00A0782D">
        <w:tc>
          <w:tcPr>
            <w:tcW w:w="4006" w:type="dxa"/>
          </w:tcPr>
          <w:p w:rsidR="00A0782D" w:rsidRDefault="00A0782D" w:rsidP="004A4E41">
            <w:pPr>
              <w:pStyle w:val="libFootnote0"/>
              <w:rPr>
                <w:rtl/>
              </w:rPr>
            </w:pPr>
            <w:r>
              <w:rPr>
                <w:rtl/>
              </w:rPr>
              <w:t>(5).</w:t>
            </w:r>
            <w:r w:rsidRPr="00C9040A">
              <w:rPr>
                <w:rtl/>
              </w:rPr>
              <w:t xml:space="preserve"> في « ب » </w:t>
            </w:r>
            <w:r>
              <w:rPr>
                <w:rtl/>
              </w:rPr>
              <w:t>: -</w:t>
            </w:r>
            <w:r w:rsidRPr="00C9040A">
              <w:rPr>
                <w:rtl/>
              </w:rPr>
              <w:t xml:space="preserve"> « معه »</w:t>
            </w:r>
            <w:r>
              <w:rPr>
                <w:rtl/>
              </w:rPr>
              <w:t>.</w:t>
            </w:r>
          </w:p>
        </w:tc>
        <w:tc>
          <w:tcPr>
            <w:tcW w:w="4006" w:type="dxa"/>
          </w:tcPr>
          <w:p w:rsidR="00A0782D" w:rsidRDefault="00A0782D" w:rsidP="004A4E41">
            <w:pPr>
              <w:pStyle w:val="libFootnote0"/>
              <w:rPr>
                <w:rtl/>
              </w:rPr>
            </w:pPr>
            <w:r>
              <w:rPr>
                <w:rtl/>
              </w:rPr>
              <w:t>(6). في حاشية « بف » :«لحاجة»</w:t>
            </w:r>
            <w:r w:rsidRPr="00C9040A">
              <w:rPr>
                <w:rtl/>
              </w:rPr>
              <w:t>بدل « في حاجة »</w:t>
            </w:r>
            <w:r>
              <w:rPr>
                <w:rtl/>
              </w:rPr>
              <w:t>.</w:t>
            </w:r>
          </w:p>
        </w:tc>
      </w:tr>
    </w:tbl>
    <w:p w:rsidR="008A74EB" w:rsidRPr="00C9040A" w:rsidRDefault="006C577F" w:rsidP="004A4E41">
      <w:pPr>
        <w:pStyle w:val="libFootnote0"/>
        <w:rPr>
          <w:rtl/>
          <w:lang w:bidi="fa-IR"/>
        </w:rPr>
      </w:pPr>
      <w:r>
        <w:rPr>
          <w:rtl/>
        </w:rPr>
        <w:t>(7).</w:t>
      </w:r>
      <w:r w:rsidR="008A74EB" w:rsidRPr="00C9040A">
        <w:rPr>
          <w:rtl/>
        </w:rPr>
        <w:t xml:space="preserve"> في حاشية « ب » : + « المؤمن »</w:t>
      </w:r>
      <w:r w:rsidR="008A74EB">
        <w:rPr>
          <w:rtl/>
        </w:rPr>
        <w:t>.</w:t>
      </w:r>
      <w:r w:rsidR="008A74EB" w:rsidRPr="00C9040A">
        <w:rPr>
          <w:rtl/>
        </w:rPr>
        <w:t xml:space="preserve"> وفي المؤمن : + « المسلم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 ض ، ف » : + « له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ج ، د ، ز ، ص ، ف ، بر ، بس ، بف » والوافي والمصادقة : « بأبي وا</w:t>
      </w:r>
      <w:r w:rsidR="002B1135">
        <w:rPr>
          <w:rFonts w:hint="cs"/>
          <w:rtl/>
        </w:rPr>
        <w:t>ُ</w:t>
      </w:r>
      <w:r w:rsidR="008A74EB" w:rsidRPr="00C9040A">
        <w:rPr>
          <w:rtl/>
        </w:rPr>
        <w:t>مّي أنت »</w:t>
      </w:r>
      <w:r w:rsidR="008A74EB">
        <w:rPr>
          <w:rtl/>
        </w:rPr>
        <w:t>.</w:t>
      </w:r>
    </w:p>
    <w:tbl>
      <w:tblPr>
        <w:tblStyle w:val="TableGrid"/>
        <w:bidiVisual/>
        <w:tblW w:w="0" w:type="auto"/>
        <w:tblLook w:val="04A0" w:firstRow="1" w:lastRow="0" w:firstColumn="1" w:lastColumn="0" w:noHBand="0" w:noVBand="1"/>
      </w:tblPr>
      <w:tblGrid>
        <w:gridCol w:w="4006"/>
        <w:gridCol w:w="4006"/>
      </w:tblGrid>
      <w:tr w:rsidR="002B1135" w:rsidTr="002B1135">
        <w:tc>
          <w:tcPr>
            <w:tcW w:w="4006" w:type="dxa"/>
          </w:tcPr>
          <w:p w:rsidR="002B1135" w:rsidRDefault="002B1135" w:rsidP="004A4E41">
            <w:pPr>
              <w:pStyle w:val="libFootnote0"/>
              <w:rPr>
                <w:rtl/>
              </w:rPr>
            </w:pPr>
            <w:r>
              <w:rPr>
                <w:rtl/>
              </w:rPr>
              <w:t>(10).</w:t>
            </w:r>
            <w:r w:rsidRPr="00C9040A">
              <w:rPr>
                <w:rtl/>
              </w:rPr>
              <w:t xml:space="preserve"> في « ز » </w:t>
            </w:r>
            <w:r>
              <w:rPr>
                <w:rtl/>
              </w:rPr>
              <w:t>: -</w:t>
            </w:r>
            <w:r w:rsidRPr="00C9040A">
              <w:rPr>
                <w:rtl/>
              </w:rPr>
              <w:t xml:space="preserve"> « أن »</w:t>
            </w:r>
            <w:r>
              <w:rPr>
                <w:rtl/>
              </w:rPr>
              <w:t>.</w:t>
            </w:r>
          </w:p>
        </w:tc>
        <w:tc>
          <w:tcPr>
            <w:tcW w:w="4006" w:type="dxa"/>
          </w:tcPr>
          <w:p w:rsidR="002B1135" w:rsidRDefault="002B1135" w:rsidP="004A4E41">
            <w:pPr>
              <w:pStyle w:val="libFootnote0"/>
              <w:rPr>
                <w:rtl/>
              </w:rPr>
            </w:pPr>
            <w:r>
              <w:rPr>
                <w:rtl/>
              </w:rPr>
              <w:t>(11). في المؤمن والمصادقة : «إن تعن</w:t>
            </w:r>
            <w:r w:rsidRPr="00C9040A">
              <w:rPr>
                <w:rtl/>
              </w:rPr>
              <w:t>»</w:t>
            </w:r>
            <w:r>
              <w:rPr>
                <w:rtl/>
              </w:rPr>
              <w:t>بدل«</w:t>
            </w:r>
            <w:r w:rsidRPr="00C9040A">
              <w:rPr>
                <w:rtl/>
              </w:rPr>
              <w:t>أن تعين »</w:t>
            </w:r>
            <w:r>
              <w:rPr>
                <w:rtl/>
              </w:rPr>
              <w:t>.</w:t>
            </w:r>
          </w:p>
        </w:tc>
      </w:tr>
    </w:tbl>
    <w:p w:rsidR="008A74EB" w:rsidRPr="00C9040A" w:rsidRDefault="006C577F" w:rsidP="004A4E41">
      <w:pPr>
        <w:pStyle w:val="libFootnote0"/>
        <w:rPr>
          <w:rtl/>
          <w:lang w:bidi="fa-IR"/>
        </w:rPr>
      </w:pPr>
      <w:r>
        <w:rPr>
          <w:rtl/>
        </w:rPr>
        <w:t>(12).</w:t>
      </w:r>
      <w:r w:rsidR="008A74EB" w:rsidRPr="00C9040A">
        <w:rPr>
          <w:rtl/>
        </w:rPr>
        <w:t xml:space="preserve"> في « ز » : « في البيت »</w:t>
      </w:r>
      <w:r w:rsidR="008A74EB">
        <w:rPr>
          <w:rtl/>
        </w:rPr>
        <w:t>.</w:t>
      </w:r>
    </w:p>
    <w:p w:rsidR="008A74EB" w:rsidRPr="00C9040A" w:rsidRDefault="008A74EB" w:rsidP="004A4E41">
      <w:pPr>
        <w:pStyle w:val="libFootnote0"/>
        <w:rPr>
          <w:rtl/>
          <w:lang w:bidi="fa-IR"/>
        </w:rPr>
      </w:pPr>
      <w:r>
        <w:rPr>
          <w:rtl/>
        </w:rPr>
        <w:t>(13)</w:t>
      </w:r>
      <w:r w:rsidRPr="00C9040A">
        <w:rPr>
          <w:rtl/>
        </w:rPr>
        <w:t xml:space="preserve"> في </w:t>
      </w:r>
      <w:r w:rsidRPr="00993B55">
        <w:rPr>
          <w:rStyle w:val="libFootnoteBoldChar"/>
          <w:rtl/>
        </w:rPr>
        <w:t>شرح المازندراني</w:t>
      </w:r>
      <w:r w:rsidRPr="00C9040A">
        <w:rPr>
          <w:rtl/>
        </w:rPr>
        <w:t xml:space="preserve"> ، ج 9 ، ص 115 : « مبتدئاً » حال عن فاعل « قال » أي قال </w:t>
      </w:r>
      <w:r w:rsidR="00117575" w:rsidRPr="00117575">
        <w:rPr>
          <w:rStyle w:val="libFootnoteAlaemChar"/>
          <w:rtl/>
        </w:rPr>
        <w:t>عليه‌السلام</w:t>
      </w:r>
      <w:r w:rsidRPr="00C9040A">
        <w:rPr>
          <w:rtl/>
        </w:rPr>
        <w:t xml:space="preserve"> ذلك مبتدئاً قبل أن أسأله عن أجر من قضى حاجة أخيه ، أو قبل أن يتكلّم بكلام ، وذلك لشدّة الاهتمام به. أو عن فاعل « تعين » أي تعين مبتدئاً قبل السؤال ؛ أو عن الطواف ، فيدلّ على أنّ الطواف الأوّل أفضل وأنّ قضاء الحاجة أفضل منه. أو تمييز عن نسبة « أحبّ » إلى الإعانة ، أي الإعانة أحبّ من حيث الابتداء ، يعني قبل الشروع في الطواف ، لا بعده.</w:t>
      </w:r>
    </w:p>
    <w:tbl>
      <w:tblPr>
        <w:tblStyle w:val="TableGrid"/>
        <w:bidiVisual/>
        <w:tblW w:w="0" w:type="auto"/>
        <w:tblLook w:val="04A0" w:firstRow="1" w:lastRow="0" w:firstColumn="1" w:lastColumn="0" w:noHBand="0" w:noVBand="1"/>
      </w:tblPr>
      <w:tblGrid>
        <w:gridCol w:w="4006"/>
        <w:gridCol w:w="4006"/>
      </w:tblGrid>
      <w:tr w:rsidR="002E0209" w:rsidTr="002E0209">
        <w:tc>
          <w:tcPr>
            <w:tcW w:w="4006" w:type="dxa"/>
          </w:tcPr>
          <w:p w:rsidR="002E0209" w:rsidRDefault="00802861" w:rsidP="004A4E41">
            <w:pPr>
              <w:pStyle w:val="libFootnote0"/>
              <w:rPr>
                <w:rtl/>
              </w:rPr>
            </w:pPr>
            <w:r>
              <w:rPr>
                <w:rtl/>
              </w:rPr>
              <w:t>(14)</w:t>
            </w:r>
            <w:r w:rsidRPr="00C9040A">
              <w:rPr>
                <w:rtl/>
              </w:rPr>
              <w:t xml:space="preserve"> في « ض » والمصادقة : + « له »</w:t>
            </w:r>
            <w:r>
              <w:rPr>
                <w:rtl/>
              </w:rPr>
              <w:t>.</w:t>
            </w:r>
          </w:p>
        </w:tc>
        <w:tc>
          <w:tcPr>
            <w:tcW w:w="4006" w:type="dxa"/>
          </w:tcPr>
          <w:p w:rsidR="002E0209" w:rsidRDefault="00802861" w:rsidP="004A4E41">
            <w:pPr>
              <w:pStyle w:val="libFootnote0"/>
              <w:rPr>
                <w:rtl/>
              </w:rPr>
            </w:pPr>
            <w:r>
              <w:rPr>
                <w:rtl/>
              </w:rPr>
              <w:t>(15)</w:t>
            </w:r>
            <w:r w:rsidRPr="00C9040A">
              <w:rPr>
                <w:rtl/>
              </w:rPr>
              <w:t xml:space="preserve"> في البحار والمصادقة : « فانتقل »</w:t>
            </w:r>
            <w:r>
              <w:rPr>
                <w:rtl/>
              </w:rPr>
              <w:t>.</w:t>
            </w:r>
          </w:p>
        </w:tc>
      </w:tr>
    </w:tbl>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يُصَلِّي</w:t>
      </w:r>
      <w:r>
        <w:rPr>
          <w:rtl/>
          <w:lang w:bidi="fa-IR"/>
        </w:rPr>
        <w:t xml:space="preserve"> </w:t>
      </w:r>
      <w:r w:rsidR="0084262C">
        <w:rPr>
          <w:rtl/>
          <w:lang w:bidi="fa-IR"/>
        </w:rPr>
        <w:t>-</w:t>
      </w:r>
      <w:r>
        <w:rPr>
          <w:rtl/>
          <w:lang w:bidi="fa-IR"/>
        </w:rPr>
        <w:t xml:space="preserve"> </w:t>
      </w:r>
      <w:r w:rsidRPr="00C9040A">
        <w:rPr>
          <w:rtl/>
          <w:lang w:bidi="fa-IR"/>
        </w:rPr>
        <w:t xml:space="preserve">فَقَالَ لَهُ </w:t>
      </w:r>
      <w:r w:rsidR="006C577F" w:rsidRPr="006C577F">
        <w:rPr>
          <w:rStyle w:val="libFootnotenumChar"/>
          <w:rtl/>
        </w:rPr>
        <w:t>(1)</w:t>
      </w:r>
      <w:r w:rsidRPr="00C9040A">
        <w:rPr>
          <w:rtl/>
          <w:lang w:bidi="fa-IR"/>
        </w:rPr>
        <w:t xml:space="preserve"> : أَيْنَ كُنْتَ عَنْ أَبِي عَبْدِ اللهِ </w:t>
      </w:r>
      <w:r w:rsidRPr="0003660B">
        <w:rPr>
          <w:rStyle w:val="libAlaemChar"/>
          <w:rtl/>
        </w:rPr>
        <w:t>عليه‌السلام</w:t>
      </w:r>
      <w:r w:rsidRPr="00C9040A">
        <w:rPr>
          <w:rtl/>
          <w:lang w:bidi="fa-IR"/>
        </w:rPr>
        <w:t xml:space="preserve"> تَسْتَعِينُهُ عَلى حَاجَتِكَ</w:t>
      </w:r>
      <w:r>
        <w:rPr>
          <w:rtl/>
          <w:lang w:bidi="fa-IR"/>
        </w:rPr>
        <w:t>؟</w:t>
      </w:r>
      <w:r w:rsidRPr="00C9040A">
        <w:rPr>
          <w:rtl/>
          <w:lang w:bidi="fa-IR"/>
        </w:rPr>
        <w:t xml:space="preserve"> قَالَ </w:t>
      </w:r>
      <w:r w:rsidR="006C577F" w:rsidRPr="006C577F">
        <w:rPr>
          <w:rStyle w:val="libFootnotenumChar"/>
          <w:rtl/>
        </w:rPr>
        <w:t>(2)</w:t>
      </w:r>
      <w:r w:rsidRPr="00C9040A">
        <w:rPr>
          <w:rtl/>
          <w:lang w:bidi="fa-IR"/>
        </w:rPr>
        <w:t xml:space="preserve"> : قَدْ فَعَلْتُ بِأَبِي أَنْتَ وَأُمِّي ، فَذُكِرَ </w:t>
      </w:r>
      <w:r w:rsidR="006C577F" w:rsidRPr="006C577F">
        <w:rPr>
          <w:rStyle w:val="libFootnotenumChar"/>
          <w:rtl/>
        </w:rPr>
        <w:t>(3)</w:t>
      </w:r>
      <w:r w:rsidRPr="00C9040A">
        <w:rPr>
          <w:rtl/>
          <w:lang w:bidi="fa-IR"/>
        </w:rPr>
        <w:t xml:space="preserve"> أَنَّهُ مُعْتَكِفٌ ، فَقَالَ لَهُ </w:t>
      </w:r>
      <w:r w:rsidR="006C577F" w:rsidRPr="006C577F">
        <w:rPr>
          <w:rStyle w:val="libFootnotenumChar"/>
          <w:rtl/>
        </w:rPr>
        <w:t>(4)</w:t>
      </w:r>
      <w:r w:rsidRPr="00C9040A">
        <w:rPr>
          <w:rtl/>
          <w:lang w:bidi="fa-IR"/>
        </w:rPr>
        <w:t xml:space="preserve"> : أَمَا إِنَّهُ لَوْ </w:t>
      </w:r>
      <w:r w:rsidR="006C577F" w:rsidRPr="006C577F">
        <w:rPr>
          <w:rStyle w:val="libFootnotenumChar"/>
          <w:rtl/>
        </w:rPr>
        <w:t>(5)</w:t>
      </w:r>
      <w:r w:rsidRPr="00C9040A">
        <w:rPr>
          <w:rtl/>
          <w:lang w:bidi="fa-IR"/>
        </w:rPr>
        <w:t xml:space="preserve"> أَعَانَكَ </w:t>
      </w:r>
      <w:r w:rsidR="006C577F" w:rsidRPr="006C577F">
        <w:rPr>
          <w:rStyle w:val="libFootnotenumChar"/>
          <w:rtl/>
        </w:rPr>
        <w:t>(6)</w:t>
      </w:r>
      <w:r w:rsidRPr="005B567D">
        <w:rPr>
          <w:rStyle w:val="libFootnotenumChar"/>
          <w:rtl/>
        </w:rPr>
        <w:t xml:space="preserve"> </w:t>
      </w:r>
      <w:r w:rsidRPr="00C9040A">
        <w:rPr>
          <w:rtl/>
          <w:lang w:bidi="fa-IR"/>
        </w:rPr>
        <w:t xml:space="preserve">كَانَ خَيْراً لَهُ </w:t>
      </w:r>
      <w:r w:rsidR="006C577F" w:rsidRPr="006C577F">
        <w:rPr>
          <w:rStyle w:val="libFootnotenumChar"/>
          <w:rtl/>
        </w:rPr>
        <w:t>(7)</w:t>
      </w:r>
      <w:r w:rsidRPr="00C9040A">
        <w:rPr>
          <w:rtl/>
          <w:lang w:bidi="fa-IR"/>
        </w:rPr>
        <w:t xml:space="preserve"> مِنِ اعْتِكَافِهِ شَهْراً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Normal"/>
        <w:rPr>
          <w:rtl/>
          <w:lang w:bidi="fa-IR"/>
        </w:rPr>
      </w:pPr>
      <w:r w:rsidRPr="00393A13">
        <w:rPr>
          <w:rtl/>
        </w:rPr>
        <w:t>2167</w:t>
      </w:r>
      <w:r w:rsidRPr="00261CB0">
        <w:rPr>
          <w:rStyle w:val="libBold2Char"/>
          <w:rtl/>
        </w:rPr>
        <w:t xml:space="preserve"> / 10.</w:t>
      </w:r>
      <w:r w:rsidRPr="00C9040A">
        <w:rPr>
          <w:rtl/>
          <w:lang w:bidi="fa-IR"/>
        </w:rPr>
        <w:t xml:space="preserve"> عَلِيُّ بْنُ إِبْرَاهِيمَ ، عَنْ أَبِيهِ ، عَنِ الْحَسَنِ بْنِ عَلِيٍّ ، عَنْ أَبِي جَمِيلَةَ ، عَنِ ابْنِ سِنَانٍ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قَالَ اللهُ عَزَّ وَجَلَّ : الْخَلْقُ عِيَالِي ، فَأَحَبُّهُمْ </w:t>
      </w:r>
      <w:r w:rsidR="006C577F" w:rsidRPr="006C577F">
        <w:rPr>
          <w:rStyle w:val="libFootnotenumChar"/>
          <w:rtl/>
        </w:rPr>
        <w:t>(9)</w:t>
      </w:r>
      <w:r w:rsidRPr="00C9040A">
        <w:rPr>
          <w:rtl/>
          <w:lang w:bidi="fa-IR"/>
        </w:rPr>
        <w:t xml:space="preserve"> إِلَيَّ أَلْطَفُهُمْ بِهِمْ ، وَأَسْعَاهُمْ فِي حَوَائِجِهِمْ »</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Normal"/>
        <w:rPr>
          <w:rtl/>
          <w:lang w:bidi="fa-IR"/>
        </w:rPr>
      </w:pPr>
      <w:r w:rsidRPr="00393A13">
        <w:rPr>
          <w:rtl/>
        </w:rPr>
        <w:t>2168</w:t>
      </w:r>
      <w:r w:rsidRPr="00261CB0">
        <w:rPr>
          <w:rStyle w:val="libBold2Char"/>
          <w:rtl/>
        </w:rPr>
        <w:t xml:space="preserve"> / 11.</w:t>
      </w:r>
      <w:r w:rsidRPr="00C9040A">
        <w:rPr>
          <w:rtl/>
          <w:lang w:bidi="fa-IR"/>
        </w:rPr>
        <w:t xml:space="preserve"> عِدَّةٌ مِنْ أَصْحَابِنَا ، عَنْ أَحْمَدَ بْنِ مُحَمَّدِ بْنِ خَالِدٍ ، عَنْ أَبِيهِ </w:t>
      </w:r>
      <w:r w:rsidR="006C577F" w:rsidRPr="006C577F">
        <w:rPr>
          <w:rStyle w:val="libFootnotenumChar"/>
          <w:rtl/>
        </w:rPr>
        <w:t>(11)</w:t>
      </w:r>
      <w:r w:rsidRPr="00C9040A">
        <w:rPr>
          <w:rtl/>
          <w:lang w:bidi="fa-IR"/>
        </w:rPr>
        <w:t xml:space="preserve"> ، عَنْ بَعْضِ أَصْحَابِهِ </w:t>
      </w:r>
      <w:r w:rsidR="006C577F" w:rsidRPr="006C577F">
        <w:rPr>
          <w:rStyle w:val="libFootnotenumChar"/>
          <w:rtl/>
        </w:rPr>
        <w:t>(12)</w:t>
      </w:r>
      <w:r w:rsidRPr="00C9040A">
        <w:rPr>
          <w:rtl/>
          <w:lang w:bidi="fa-IR"/>
        </w:rPr>
        <w:t xml:space="preserve"> ، عَنْ أَبِي عُمَارَةَ ، قَالَ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ج ، د ، ض ، بر ، بس ، بف » والوافي والوسائل والبحار والمصادقة </w:t>
      </w:r>
      <w:r w:rsidR="008A74EB">
        <w:rPr>
          <w:rtl/>
        </w:rPr>
        <w:t xml:space="preserve">: </w:t>
      </w:r>
      <w:r w:rsidR="0084262C">
        <w:rPr>
          <w:rtl/>
        </w:rPr>
        <w:t>-</w:t>
      </w:r>
      <w:r w:rsidR="008A74EB" w:rsidRPr="00C9040A">
        <w:rPr>
          <w:rtl/>
        </w:rPr>
        <w:t xml:space="preserve"> « له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بف » : « فقال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المؤمن : + « لي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د ، بس » والوسائل والمؤمن والمصادقة </w:t>
      </w:r>
      <w:r w:rsidR="008A74EB">
        <w:rPr>
          <w:rtl/>
        </w:rPr>
        <w:t xml:space="preserve">: </w:t>
      </w:r>
      <w:r w:rsidR="0084262C">
        <w:rPr>
          <w:rtl/>
        </w:rPr>
        <w:t>-</w:t>
      </w:r>
      <w:r w:rsidR="008A74EB" w:rsidRPr="00C9040A">
        <w:rPr>
          <w:rtl/>
        </w:rPr>
        <w:t xml:space="preserve"> « له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الوسائل : « لو أنّه » بدل « إنّه لو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هاهنا استبعاد ؛ فإنّه لقائل أن يقول : كيف لم يختر الإمام </w:t>
      </w:r>
      <w:r w:rsidR="00117575" w:rsidRPr="00117575">
        <w:rPr>
          <w:rStyle w:val="libFootnoteAlaemChar"/>
          <w:rtl/>
        </w:rPr>
        <w:t>عليه‌السلام</w:t>
      </w:r>
      <w:r w:rsidR="008A74EB" w:rsidRPr="00C9040A">
        <w:rPr>
          <w:rtl/>
        </w:rPr>
        <w:t xml:space="preserve"> إعانته مع كونها أفضل</w:t>
      </w:r>
      <w:r w:rsidR="008A74EB">
        <w:rPr>
          <w:rtl/>
        </w:rPr>
        <w:t>؟</w:t>
      </w:r>
      <w:r w:rsidR="008A74EB" w:rsidRPr="00C9040A">
        <w:rPr>
          <w:rtl/>
        </w:rPr>
        <w:t xml:space="preserve"> اجيب بوجوه ، منها قد ظهر للحسين أنّ أخاه الحسن </w:t>
      </w:r>
      <w:r w:rsidR="00117575" w:rsidRPr="00117575">
        <w:rPr>
          <w:rStyle w:val="libFootnoteAlaemChar"/>
          <w:rtl/>
        </w:rPr>
        <w:t>عليهما‌السلام</w:t>
      </w:r>
      <w:r w:rsidR="008A74EB" w:rsidRPr="00C9040A">
        <w:rPr>
          <w:rtl/>
        </w:rPr>
        <w:t xml:space="preserve"> يسعى فيه ، فآثره لأخيه تكريماً وتعظيماً له. قال المحقّق الشعراني : « هذا لا يدفع الاستبعاد عن مضمون الحديث ؛ لأنّ قوله </w:t>
      </w:r>
      <w:r w:rsidR="00117575" w:rsidRPr="00117575">
        <w:rPr>
          <w:rStyle w:val="libFootnoteAlaemChar"/>
          <w:rtl/>
        </w:rPr>
        <w:t>عليه‌السلام</w:t>
      </w:r>
      <w:r w:rsidR="008A74EB" w:rsidRPr="00C9040A">
        <w:rPr>
          <w:rtl/>
        </w:rPr>
        <w:t xml:space="preserve"> : « أما إنّه لو أعانك كان خيراً له من اعتكافه شهراً » لو كان قوله حقيقة ولم يحرّفه الراوي كان عتاباً وتخطئة لا يناسب شأن الأئمّة </w:t>
      </w:r>
      <w:r w:rsidR="00117575" w:rsidRPr="00117575">
        <w:rPr>
          <w:rStyle w:val="libFootnoteAlaemChar"/>
          <w:rtl/>
        </w:rPr>
        <w:t>عليهم‌السلام</w:t>
      </w:r>
      <w:r w:rsidR="008A74EB" w:rsidRPr="00C9040A">
        <w:rPr>
          <w:rtl/>
        </w:rPr>
        <w:t xml:space="preserve"> ، فالأولى حمله على وَهْم الراوي وتصرّفه خصوصاً مع جهالته »</w:t>
      </w:r>
      <w:r w:rsidR="008A74EB">
        <w:rPr>
          <w:rtl/>
        </w:rPr>
        <w:t>.</w:t>
      </w:r>
      <w:r w:rsidR="008A74EB" w:rsidRPr="00C9040A">
        <w:rPr>
          <w:rtl/>
        </w:rPr>
        <w:t xml:space="preserve"> راجع : </w:t>
      </w:r>
      <w:r w:rsidR="008A74EB" w:rsidRPr="00993B55">
        <w:rPr>
          <w:rStyle w:val="libFootnoteBoldChar"/>
          <w:rtl/>
        </w:rPr>
        <w:t>شرح المازندراني</w:t>
      </w:r>
      <w:r w:rsidR="008A74EB" w:rsidRPr="00C9040A">
        <w:rPr>
          <w:rtl/>
        </w:rPr>
        <w:t xml:space="preserve"> ، ج 9 ، ص 81 ؛ </w:t>
      </w:r>
      <w:r w:rsidR="008A74EB" w:rsidRPr="00993B55">
        <w:rPr>
          <w:rStyle w:val="libFootnoteBoldChar"/>
          <w:rtl/>
        </w:rPr>
        <w:t>مرآة العقول</w:t>
      </w:r>
      <w:r w:rsidR="008A74EB" w:rsidRPr="00C9040A">
        <w:rPr>
          <w:rtl/>
        </w:rPr>
        <w:t xml:space="preserve"> ، ج 9 ، ص 116.</w:t>
      </w:r>
    </w:p>
    <w:p w:rsidR="008A74EB" w:rsidRPr="00C9040A" w:rsidRDefault="006C577F" w:rsidP="004A4E41">
      <w:pPr>
        <w:pStyle w:val="libFootnote0"/>
        <w:rPr>
          <w:rtl/>
          <w:lang w:bidi="fa-IR"/>
        </w:rPr>
      </w:pPr>
      <w:r>
        <w:rPr>
          <w:rtl/>
        </w:rPr>
        <w:t>(7).</w:t>
      </w:r>
      <w:r w:rsidR="008A74EB" w:rsidRPr="00C9040A">
        <w:rPr>
          <w:rtl/>
        </w:rPr>
        <w:t xml:space="preserve"> في « د » </w:t>
      </w:r>
      <w:r w:rsidR="008A74EB">
        <w:rPr>
          <w:rtl/>
        </w:rPr>
        <w:t xml:space="preserve">: </w:t>
      </w:r>
      <w:r w:rsidR="0084262C">
        <w:rPr>
          <w:rtl/>
        </w:rPr>
        <w:t>-</w:t>
      </w:r>
      <w:r w:rsidR="008A74EB" w:rsidRPr="00C9040A">
        <w:rPr>
          <w:rtl/>
        </w:rPr>
        <w:t xml:space="preserve"> « له »</w:t>
      </w:r>
      <w:r w:rsidR="008A74EB">
        <w:rPr>
          <w:rtl/>
        </w:rPr>
        <w:t>.</w:t>
      </w:r>
    </w:p>
    <w:p w:rsidR="008A74EB" w:rsidRPr="00C9040A" w:rsidRDefault="006C577F" w:rsidP="00DB09C9">
      <w:pPr>
        <w:pStyle w:val="libFootnote0"/>
        <w:rPr>
          <w:rtl/>
          <w:lang w:bidi="fa-IR"/>
        </w:rPr>
      </w:pPr>
      <w:r>
        <w:rPr>
          <w:rtl/>
        </w:rPr>
        <w:t>(8).</w:t>
      </w:r>
      <w:r w:rsidR="008A74EB" w:rsidRPr="00C9040A">
        <w:rPr>
          <w:rtl/>
        </w:rPr>
        <w:t xml:space="preserve"> </w:t>
      </w:r>
      <w:r w:rsidR="008A74EB" w:rsidRPr="00993B55">
        <w:rPr>
          <w:rStyle w:val="libFootnoteBoldChar"/>
          <w:rtl/>
        </w:rPr>
        <w:t>المؤمن</w:t>
      </w:r>
      <w:r w:rsidR="008A74EB" w:rsidRPr="00C9040A">
        <w:rPr>
          <w:rtl/>
        </w:rPr>
        <w:t xml:space="preserve"> ، ص 52 ، ح 132 ، عن صفوان ؛ </w:t>
      </w:r>
      <w:r w:rsidR="008A74EB" w:rsidRPr="00993B55">
        <w:rPr>
          <w:rStyle w:val="libFootnoteBoldChar"/>
          <w:rtl/>
        </w:rPr>
        <w:t>مصادقة الإخوان</w:t>
      </w:r>
      <w:r w:rsidR="008A74EB" w:rsidRPr="00C9040A">
        <w:rPr>
          <w:rtl/>
        </w:rPr>
        <w:t xml:space="preserve"> ، ص 70 ، ح 10 ، مرسلاً عن صفوان</w:t>
      </w:r>
      <w:r w:rsidR="00DB09C9">
        <w:rPr>
          <w:rFonts w:hint="cs"/>
          <w:rtl/>
        </w:rPr>
        <w:t>.</w:t>
      </w:r>
      <w:r w:rsidR="008A74EB" w:rsidRPr="00993B55">
        <w:rPr>
          <w:rStyle w:val="libFootnoteBoldChar"/>
          <w:rtl/>
        </w:rPr>
        <w:t>الوافي</w:t>
      </w:r>
      <w:r w:rsidR="008A74EB" w:rsidRPr="00C9040A">
        <w:rPr>
          <w:rtl/>
        </w:rPr>
        <w:t xml:space="preserve"> ، ج 5 ، ص 667 ، ح 2833 ؛ </w:t>
      </w:r>
      <w:r w:rsidR="008A74EB" w:rsidRPr="00993B55">
        <w:rPr>
          <w:rStyle w:val="libFootnoteBoldChar"/>
          <w:rtl/>
        </w:rPr>
        <w:t>الوسائل</w:t>
      </w:r>
      <w:r w:rsidR="008A74EB" w:rsidRPr="00C9040A">
        <w:rPr>
          <w:rtl/>
        </w:rPr>
        <w:t xml:space="preserve"> ، ج 16 ، ص 369 ، ح 21788 ؛ </w:t>
      </w:r>
      <w:r w:rsidR="008A74EB" w:rsidRPr="00993B55">
        <w:rPr>
          <w:rStyle w:val="libFootnoteBoldChar"/>
          <w:rtl/>
        </w:rPr>
        <w:t>البحار</w:t>
      </w:r>
      <w:r w:rsidR="008A74EB" w:rsidRPr="00C9040A">
        <w:rPr>
          <w:rtl/>
        </w:rPr>
        <w:t xml:space="preserve"> ، ج 74 ، ص 335 ، ح 113.</w:t>
      </w:r>
    </w:p>
    <w:p w:rsidR="008A74EB" w:rsidRPr="00C9040A" w:rsidRDefault="006C577F" w:rsidP="004A4E41">
      <w:pPr>
        <w:pStyle w:val="libFootnote0"/>
        <w:rPr>
          <w:rtl/>
          <w:lang w:bidi="fa-IR"/>
        </w:rPr>
      </w:pPr>
      <w:r>
        <w:rPr>
          <w:rtl/>
        </w:rPr>
        <w:t>(9).</w:t>
      </w:r>
      <w:r w:rsidR="008A74EB" w:rsidRPr="00C9040A">
        <w:rPr>
          <w:rtl/>
        </w:rPr>
        <w:t xml:space="preserve"> في « بر » : « وأحبّهم »</w:t>
      </w:r>
      <w:r w:rsidR="008A74EB">
        <w:rPr>
          <w:rtl/>
        </w:rPr>
        <w:t>.</w:t>
      </w:r>
    </w:p>
    <w:p w:rsidR="008A74EB" w:rsidRPr="00C9040A" w:rsidRDefault="006C577F" w:rsidP="00DB09C9">
      <w:pPr>
        <w:pStyle w:val="libFootnote0"/>
        <w:rPr>
          <w:rtl/>
          <w:lang w:bidi="fa-IR"/>
        </w:rPr>
      </w:pPr>
      <w:r>
        <w:rPr>
          <w:rtl/>
        </w:rPr>
        <w:t>(10).</w:t>
      </w:r>
      <w:r w:rsidR="008A74EB" w:rsidRPr="00C9040A">
        <w:rPr>
          <w:rtl/>
        </w:rPr>
        <w:t xml:space="preserve"> </w:t>
      </w:r>
      <w:r w:rsidR="008A74EB" w:rsidRPr="00993B55">
        <w:rPr>
          <w:rStyle w:val="libFootnoteBoldChar"/>
          <w:rtl/>
        </w:rPr>
        <w:t>مصادقة الإخوان</w:t>
      </w:r>
      <w:r w:rsidR="008A74EB" w:rsidRPr="00C9040A">
        <w:rPr>
          <w:rtl/>
        </w:rPr>
        <w:t xml:space="preserve"> ، ص 70 ، ح 12 ، مرسلاًعن محمّد بن عجلان ، عن أبي‌عبدالله </w:t>
      </w:r>
      <w:r w:rsidR="00117575" w:rsidRPr="00117575">
        <w:rPr>
          <w:rStyle w:val="libFootnoteAlaemChar"/>
          <w:rtl/>
        </w:rPr>
        <w:t>عليه‌السلام</w:t>
      </w:r>
      <w:r w:rsidR="008A74EB" w:rsidRPr="00C9040A">
        <w:rPr>
          <w:rtl/>
        </w:rPr>
        <w:t xml:space="preserve"> ، مع اختلاف يسير</w:t>
      </w:r>
      <w:r w:rsidR="00DB09C9">
        <w:rPr>
          <w:rFonts w:hint="cs"/>
          <w:rtl/>
        </w:rPr>
        <w:t>.</w:t>
      </w:r>
      <w:r w:rsidR="008A74EB" w:rsidRPr="00993B55">
        <w:rPr>
          <w:rStyle w:val="libFootnoteBoldChar"/>
          <w:rtl/>
        </w:rPr>
        <w:t>الوافي</w:t>
      </w:r>
      <w:r w:rsidR="008A74EB" w:rsidRPr="00C9040A">
        <w:rPr>
          <w:rtl/>
        </w:rPr>
        <w:t xml:space="preserve"> ، ج 5 ، ص 668 ، ح 2835 ؛ </w:t>
      </w:r>
      <w:r w:rsidR="008A74EB" w:rsidRPr="00993B55">
        <w:rPr>
          <w:rStyle w:val="libFootnoteBoldChar"/>
          <w:rtl/>
        </w:rPr>
        <w:t>الوسائل</w:t>
      </w:r>
      <w:r w:rsidR="008A74EB" w:rsidRPr="00C9040A">
        <w:rPr>
          <w:rtl/>
        </w:rPr>
        <w:t xml:space="preserve"> ، ج 16 ، ص 367 ، ح 21781 ؛ </w:t>
      </w:r>
      <w:r w:rsidR="008A74EB" w:rsidRPr="00993B55">
        <w:rPr>
          <w:rStyle w:val="libFootnoteBoldChar"/>
          <w:rtl/>
        </w:rPr>
        <w:t>البحار</w:t>
      </w:r>
      <w:r w:rsidR="008A74EB" w:rsidRPr="00C9040A">
        <w:rPr>
          <w:rtl/>
        </w:rPr>
        <w:t xml:space="preserve"> ، ج 74 ، ص 336 ، ح 114.</w:t>
      </w:r>
    </w:p>
    <w:tbl>
      <w:tblPr>
        <w:tblStyle w:val="TableGrid"/>
        <w:bidiVisual/>
        <w:tblW w:w="0" w:type="auto"/>
        <w:tblLook w:val="04A0" w:firstRow="1" w:lastRow="0" w:firstColumn="1" w:lastColumn="0" w:noHBand="0" w:noVBand="1"/>
      </w:tblPr>
      <w:tblGrid>
        <w:gridCol w:w="4006"/>
        <w:gridCol w:w="4006"/>
      </w:tblGrid>
      <w:tr w:rsidR="00DB09C9" w:rsidTr="00DB09C9">
        <w:tc>
          <w:tcPr>
            <w:tcW w:w="4006" w:type="dxa"/>
          </w:tcPr>
          <w:p w:rsidR="00DB09C9" w:rsidRDefault="00DB09C9" w:rsidP="004A4E41">
            <w:pPr>
              <w:pStyle w:val="libFootnote0"/>
              <w:rPr>
                <w:rtl/>
              </w:rPr>
            </w:pPr>
            <w:r>
              <w:rPr>
                <w:rtl/>
              </w:rPr>
              <w:t>(11).</w:t>
            </w:r>
            <w:r w:rsidRPr="00C9040A">
              <w:rPr>
                <w:rtl/>
              </w:rPr>
              <w:t xml:space="preserve"> في الوسائل </w:t>
            </w:r>
            <w:r>
              <w:rPr>
                <w:rtl/>
              </w:rPr>
              <w:t>: -</w:t>
            </w:r>
            <w:r w:rsidRPr="00C9040A">
              <w:rPr>
                <w:rtl/>
              </w:rPr>
              <w:t xml:space="preserve"> « عن أبيه »</w:t>
            </w:r>
            <w:r>
              <w:rPr>
                <w:rtl/>
              </w:rPr>
              <w:t>.</w:t>
            </w:r>
          </w:p>
        </w:tc>
        <w:tc>
          <w:tcPr>
            <w:tcW w:w="4006" w:type="dxa"/>
          </w:tcPr>
          <w:p w:rsidR="00DB09C9" w:rsidRDefault="00DB09C9" w:rsidP="004A4E41">
            <w:pPr>
              <w:pStyle w:val="libFootnote0"/>
              <w:rPr>
                <w:rtl/>
              </w:rPr>
            </w:pPr>
            <w:r>
              <w:rPr>
                <w:rtl/>
              </w:rPr>
              <w:t>(12).</w:t>
            </w:r>
            <w:r w:rsidRPr="00C9040A">
              <w:rPr>
                <w:rtl/>
              </w:rPr>
              <w:t xml:space="preserve"> في البحار ، ج 14 </w:t>
            </w:r>
            <w:r>
              <w:rPr>
                <w:rtl/>
              </w:rPr>
              <w:t>: -</w:t>
            </w:r>
            <w:r w:rsidRPr="00C9040A">
              <w:rPr>
                <w:rtl/>
              </w:rPr>
              <w:t xml:space="preserve"> « عن بعض أصحابه »</w:t>
            </w:r>
            <w:r>
              <w:rPr>
                <w:rtl/>
              </w:rPr>
              <w:t>.</w:t>
            </w:r>
          </w:p>
        </w:tc>
      </w:tr>
    </w:tbl>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كَانَ حَمَّادُ بْنُ أَبِي حَنِيفَةَ إِذَا لَقِيَنِي ، قَالَ : كَرِّرْ عَلَيَّ حَدِيثَكَ </w:t>
      </w:r>
      <w:r w:rsidR="006C577F" w:rsidRPr="006C577F">
        <w:rPr>
          <w:rStyle w:val="libFootnotenumChar"/>
          <w:rtl/>
        </w:rPr>
        <w:t>(1)</w:t>
      </w:r>
      <w:r w:rsidRPr="00C9040A">
        <w:rPr>
          <w:rtl/>
          <w:lang w:bidi="fa-IR"/>
        </w:rPr>
        <w:t xml:space="preserve"> ؛ فَأُحَدِّثَهُ ، قُلْتُ :</w:t>
      </w:r>
      <w:r>
        <w:rPr>
          <w:rFonts w:hint="cs"/>
          <w:rtl/>
          <w:lang w:bidi="fa-IR"/>
        </w:rPr>
        <w:t xml:space="preserve"> </w:t>
      </w:r>
      <w:r w:rsidRPr="00C9040A">
        <w:rPr>
          <w:rtl/>
          <w:lang w:bidi="fa-IR"/>
        </w:rPr>
        <w:t xml:space="preserve">رُوِّينَا أَنَّ </w:t>
      </w:r>
      <w:r w:rsidR="006C577F" w:rsidRPr="006C577F">
        <w:rPr>
          <w:rStyle w:val="libFootnotenumChar"/>
          <w:rtl/>
        </w:rPr>
        <w:t>(2)</w:t>
      </w:r>
      <w:r w:rsidRPr="00C9040A">
        <w:rPr>
          <w:rtl/>
          <w:lang w:bidi="fa-IR"/>
        </w:rPr>
        <w:t xml:space="preserve"> عَابِدَ بَنِي إِسْرَائِيلَ كَانَ إِذَا بَلَغَ الْغَايَةَ فِي الْعِبَادَةِ ، صَارَ مَشَّاءً </w:t>
      </w:r>
      <w:r w:rsidR="006C577F" w:rsidRPr="006C577F">
        <w:rPr>
          <w:rStyle w:val="libFootnotenumChar"/>
          <w:rtl/>
        </w:rPr>
        <w:t>(3)</w:t>
      </w:r>
      <w:r w:rsidRPr="00C9040A">
        <w:rPr>
          <w:rtl/>
          <w:lang w:bidi="fa-IR"/>
        </w:rPr>
        <w:t xml:space="preserve"> فِي حَوَائِجِ النَّاسِ ، عَانِياً </w:t>
      </w:r>
      <w:r w:rsidR="006C577F" w:rsidRPr="006C577F">
        <w:rPr>
          <w:rStyle w:val="libFootnotenumChar"/>
          <w:rtl/>
        </w:rPr>
        <w:t>(4)</w:t>
      </w:r>
      <w:r w:rsidRPr="00C9040A">
        <w:rPr>
          <w:rtl/>
          <w:lang w:bidi="fa-IR"/>
        </w:rPr>
        <w:t xml:space="preserve"> بِمَا يُصْلِحُهُمْ. </w:t>
      </w:r>
      <w:r w:rsidR="006C577F" w:rsidRPr="006C577F">
        <w:rPr>
          <w:rStyle w:val="libFootnotenumChar"/>
          <w:rtl/>
        </w:rPr>
        <w:t>(5)</w:t>
      </w:r>
      <w:r w:rsidRPr="00C9040A">
        <w:rPr>
          <w:rtl/>
          <w:lang w:bidi="fa-IR"/>
        </w:rPr>
        <w:t xml:space="preserve"> ‌</w:t>
      </w:r>
    </w:p>
    <w:p w:rsidR="008A74EB" w:rsidRPr="00C9040A" w:rsidRDefault="008A74EB" w:rsidP="008A74EB">
      <w:pPr>
        <w:pStyle w:val="Heading2Center"/>
        <w:rPr>
          <w:rtl/>
          <w:lang w:bidi="fa-IR"/>
        </w:rPr>
      </w:pPr>
      <w:bookmarkStart w:id="265" w:name="_Toc343795676"/>
      <w:bookmarkStart w:id="266" w:name="_Toc459810800"/>
      <w:bookmarkStart w:id="267" w:name="_Toc35348706"/>
      <w:r w:rsidRPr="00C9040A">
        <w:rPr>
          <w:rtl/>
          <w:lang w:bidi="fa-IR"/>
        </w:rPr>
        <w:t>85</w:t>
      </w:r>
      <w:r>
        <w:rPr>
          <w:rtl/>
          <w:lang w:bidi="fa-IR"/>
        </w:rPr>
        <w:t xml:space="preserve"> </w:t>
      </w:r>
      <w:r w:rsidR="0084262C">
        <w:rPr>
          <w:rtl/>
          <w:lang w:bidi="fa-IR"/>
        </w:rPr>
        <w:t>-</w:t>
      </w:r>
      <w:r>
        <w:rPr>
          <w:rtl/>
          <w:lang w:bidi="fa-IR"/>
        </w:rPr>
        <w:t xml:space="preserve"> </w:t>
      </w:r>
      <w:r w:rsidRPr="00C9040A">
        <w:rPr>
          <w:rtl/>
          <w:lang w:bidi="fa-IR"/>
        </w:rPr>
        <w:t xml:space="preserve">بَابُ تَفْرِيجِ كَرْبِ الْمُؤْمِنِ </w:t>
      </w:r>
      <w:r w:rsidR="006C577F" w:rsidRPr="006C577F">
        <w:rPr>
          <w:rStyle w:val="libFootnotenumChar"/>
          <w:rtl/>
        </w:rPr>
        <w:t>(6)</w:t>
      </w:r>
      <w:r w:rsidRPr="00C9040A">
        <w:rPr>
          <w:rtl/>
          <w:lang w:bidi="fa-IR"/>
        </w:rPr>
        <w:t>‌</w:t>
      </w:r>
      <w:bookmarkEnd w:id="265"/>
      <w:bookmarkEnd w:id="266"/>
      <w:bookmarkEnd w:id="267"/>
    </w:p>
    <w:p w:rsidR="008A74EB" w:rsidRPr="00C9040A" w:rsidRDefault="008A74EB" w:rsidP="008A74EB">
      <w:pPr>
        <w:pStyle w:val="libNormal"/>
        <w:rPr>
          <w:rtl/>
          <w:lang w:bidi="fa-IR"/>
        </w:rPr>
      </w:pPr>
      <w:r w:rsidRPr="00393A13">
        <w:rPr>
          <w:rtl/>
        </w:rPr>
        <w:t>2169</w:t>
      </w:r>
      <w:r w:rsidRPr="00261CB0">
        <w:rPr>
          <w:rStyle w:val="libBold2Char"/>
          <w:rtl/>
        </w:rPr>
        <w:t xml:space="preserve"> / 1.</w:t>
      </w:r>
      <w:r w:rsidRPr="00C9040A">
        <w:rPr>
          <w:rtl/>
          <w:lang w:bidi="fa-IR"/>
        </w:rPr>
        <w:t xml:space="preserve"> مُحَمَّدُ بْنُ يَحْيى ، عَنْ أَحْمَدَ بْنِ مُحَمَّدِ بْنِ عِيسى </w:t>
      </w:r>
      <w:r w:rsidR="006C577F" w:rsidRPr="006C577F">
        <w:rPr>
          <w:rStyle w:val="libFootnotenumChar"/>
          <w:rtl/>
        </w:rPr>
        <w:t>(7)</w:t>
      </w:r>
      <w:r w:rsidRPr="00C9040A">
        <w:rPr>
          <w:rtl/>
          <w:lang w:bidi="fa-IR"/>
        </w:rPr>
        <w:t xml:space="preserve"> ، عَنِ </w:t>
      </w:r>
      <w:r w:rsidR="006C577F" w:rsidRPr="006C577F">
        <w:rPr>
          <w:rStyle w:val="libFootnotenumChar"/>
          <w:rtl/>
        </w:rPr>
        <w:t>(8)</w:t>
      </w:r>
      <w:r w:rsidRPr="00C9040A">
        <w:rPr>
          <w:rtl/>
          <w:lang w:bidi="fa-IR"/>
        </w:rPr>
        <w:t xml:space="preserve"> ابْنِ مَحْبُوبٍ ، عَنْ زَيْدٍ الشَّحَّامِ ، قَالَ :</w:t>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 « مَنْ أَغَاثَ </w:t>
      </w:r>
      <w:r w:rsidR="006C577F" w:rsidRPr="006C577F">
        <w:rPr>
          <w:rStyle w:val="libFootnotenumChar"/>
          <w:rtl/>
        </w:rPr>
        <w:t>(9)</w:t>
      </w:r>
      <w:r w:rsidRPr="00C9040A">
        <w:rPr>
          <w:rtl/>
          <w:lang w:bidi="fa-IR"/>
        </w:rPr>
        <w:t xml:space="preserve"> أَخَاهُ الْمُؤْمِنَ اللهْفَانَ </w:t>
      </w:r>
      <w:r w:rsidR="006C577F" w:rsidRPr="006C577F">
        <w:rPr>
          <w:rStyle w:val="libFootnotenumChar"/>
          <w:rtl/>
        </w:rPr>
        <w:t>(10)</w:t>
      </w:r>
      <w:r w:rsidRPr="00C9040A">
        <w:rPr>
          <w:rtl/>
          <w:lang w:bidi="fa-IR"/>
        </w:rPr>
        <w:t xml:space="preserve"> اللهْثَانَ </w:t>
      </w:r>
      <w:r w:rsidR="006C577F" w:rsidRPr="006C577F">
        <w:rPr>
          <w:rStyle w:val="libFootnotenumChar"/>
          <w:rtl/>
        </w:rPr>
        <w:t>(11)</w:t>
      </w:r>
      <w:r w:rsidRPr="00C9040A">
        <w:rPr>
          <w:rtl/>
          <w:lang w:bidi="fa-IR"/>
        </w:rPr>
        <w:t xml:space="preserve"> عِنْدَ </w:t>
      </w:r>
      <w:r w:rsidR="006C577F" w:rsidRPr="006C577F">
        <w:rPr>
          <w:rStyle w:val="libFootnotenumChar"/>
          <w:rtl/>
        </w:rPr>
        <w:t>(12)</w:t>
      </w:r>
      <w:r w:rsidRPr="00C9040A">
        <w:rPr>
          <w:rtl/>
          <w:lang w:bidi="fa-IR"/>
        </w:rPr>
        <w:t xml:space="preserve"> جَهْدِهِ </w:t>
      </w:r>
      <w:r w:rsidRPr="005B567D">
        <w:rPr>
          <w:rStyle w:val="libFootnotenumChar"/>
          <w:rtl/>
        </w:rPr>
        <w:t>(13)</w:t>
      </w:r>
      <w:r w:rsidRPr="00C9040A">
        <w:rPr>
          <w:rtl/>
          <w:lang w:bidi="fa-IR"/>
        </w:rPr>
        <w:t xml:space="preserve"> ، فَنَفَّسَ </w:t>
      </w:r>
      <w:r w:rsidRPr="005B567D">
        <w:rPr>
          <w:rStyle w:val="libFootnotenumChar"/>
          <w:rtl/>
        </w:rPr>
        <w:t>(14)</w:t>
      </w:r>
      <w:r w:rsidR="00D703B8">
        <w:rPr>
          <w:rFonts w:hint="cs"/>
          <w:rtl/>
          <w:lang w:bidi="fa-IR"/>
        </w:rPr>
        <w:t>.....................................................</w:t>
      </w:r>
      <w:r w:rsidR="00D703B8">
        <w:rPr>
          <w:rFonts w:hint="cs"/>
          <w:rtl/>
          <w:lang w:bidi="fa-IR"/>
        </w:rPr>
        <w:tab/>
      </w:r>
      <w:r w:rsidRPr="00C9040A">
        <w:rPr>
          <w:rtl/>
          <w:lang w:bidi="fa-IR"/>
        </w:rPr>
        <w:t>‌</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w:t>
      </w:r>
      <w:r w:rsidR="008A74EB" w:rsidRPr="00993B55">
        <w:rPr>
          <w:rStyle w:val="libFootnoteBoldChar"/>
          <w:rtl/>
        </w:rPr>
        <w:t>الوافي</w:t>
      </w:r>
      <w:r w:rsidR="008A74EB" w:rsidRPr="00C9040A">
        <w:rPr>
          <w:rtl/>
        </w:rPr>
        <w:t xml:space="preserve"> : « كُرَّ على حديثك ، بتشديد الراء ، أي‌ارجع إليه ، كأنّه كان محدّثاً. وفي بعض النسخ : كرّر عليّ ، بالراءين وتشديد الراء ، والأوّل هو الصواب »</w:t>
      </w:r>
      <w:r w:rsidR="008A74EB">
        <w:rPr>
          <w:rtl/>
        </w:rPr>
        <w:t>.</w:t>
      </w:r>
      <w:r w:rsidR="008A74EB" w:rsidRPr="00C9040A">
        <w:rPr>
          <w:rtl/>
        </w:rPr>
        <w:t xml:space="preserve"> وقال المجلسي في مرآة العقول : « هو مخالف لما عندنا من النسخ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بس » : « أنّه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ف » : « مشى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عناني كذا يعنيني : عرض لي وشَغَلني فأنا معنيّ به ، وعنيت بأمر فلانٍ</w:t>
      </w:r>
      <w:r w:rsidR="008A74EB">
        <w:rPr>
          <w:rtl/>
        </w:rPr>
        <w:t xml:space="preserve"> </w:t>
      </w:r>
      <w:r w:rsidR="0084262C">
        <w:rPr>
          <w:rtl/>
        </w:rPr>
        <w:t>-</w:t>
      </w:r>
      <w:r w:rsidR="008A74EB">
        <w:rPr>
          <w:rtl/>
        </w:rPr>
        <w:t xml:space="preserve"> </w:t>
      </w:r>
      <w:r w:rsidR="008A74EB" w:rsidRPr="00C9040A">
        <w:rPr>
          <w:rtl/>
        </w:rPr>
        <w:t>بالبناء للمفعول</w:t>
      </w:r>
      <w:r w:rsidR="008A74EB">
        <w:rPr>
          <w:rtl/>
        </w:rPr>
        <w:t xml:space="preserve"> </w:t>
      </w:r>
      <w:r w:rsidR="0084262C">
        <w:rPr>
          <w:rtl/>
        </w:rPr>
        <w:t>-</w:t>
      </w:r>
      <w:r w:rsidR="008A74EB">
        <w:rPr>
          <w:rtl/>
        </w:rPr>
        <w:t xml:space="preserve"> </w:t>
      </w:r>
      <w:r w:rsidR="008A74EB" w:rsidRPr="00C9040A">
        <w:rPr>
          <w:rtl/>
        </w:rPr>
        <w:t>عنايةً وعُنيّاً : شُغِلتُ به. وربّما قيل : عَنيتُ بأمره</w:t>
      </w:r>
      <w:r w:rsidR="008A74EB">
        <w:rPr>
          <w:rtl/>
        </w:rPr>
        <w:t xml:space="preserve"> </w:t>
      </w:r>
      <w:r w:rsidR="0084262C">
        <w:rPr>
          <w:rtl/>
        </w:rPr>
        <w:t>-</w:t>
      </w:r>
      <w:r w:rsidR="008A74EB">
        <w:rPr>
          <w:rtl/>
        </w:rPr>
        <w:t xml:space="preserve"> </w:t>
      </w:r>
      <w:r w:rsidR="008A74EB" w:rsidRPr="00C9040A">
        <w:rPr>
          <w:rtl/>
        </w:rPr>
        <w:t>بالبناء للفاعل</w:t>
      </w:r>
      <w:r w:rsidR="008A74EB">
        <w:rPr>
          <w:rtl/>
        </w:rPr>
        <w:t xml:space="preserve"> </w:t>
      </w:r>
      <w:r w:rsidR="0084262C">
        <w:rPr>
          <w:rtl/>
        </w:rPr>
        <w:t>-</w:t>
      </w:r>
      <w:r w:rsidR="008A74EB">
        <w:rPr>
          <w:rtl/>
        </w:rPr>
        <w:t xml:space="preserve"> </w:t>
      </w:r>
      <w:r w:rsidR="008A74EB" w:rsidRPr="00C9040A">
        <w:rPr>
          <w:rtl/>
        </w:rPr>
        <w:t xml:space="preserve">فأنا عانٍ. </w:t>
      </w:r>
      <w:r w:rsidR="008A74EB" w:rsidRPr="00993B55">
        <w:rPr>
          <w:rStyle w:val="libFootnoteBoldChar"/>
          <w:rtl/>
        </w:rPr>
        <w:t>المصباح المنير</w:t>
      </w:r>
      <w:r w:rsidR="008A74EB" w:rsidRPr="00C9040A">
        <w:rPr>
          <w:rtl/>
        </w:rPr>
        <w:t xml:space="preserve"> ، ص 434 ( عنو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الوافي</w:t>
      </w:r>
      <w:r w:rsidR="008A74EB" w:rsidRPr="00C9040A">
        <w:rPr>
          <w:rtl/>
        </w:rPr>
        <w:t xml:space="preserve"> ، ج 5 ، ص 669 ، ح 2836 ؛ </w:t>
      </w:r>
      <w:r w:rsidR="008A74EB" w:rsidRPr="00993B55">
        <w:rPr>
          <w:rStyle w:val="libFootnoteBoldChar"/>
          <w:rtl/>
        </w:rPr>
        <w:t>الوسائل</w:t>
      </w:r>
      <w:r w:rsidR="008A74EB" w:rsidRPr="00C9040A">
        <w:rPr>
          <w:rtl/>
        </w:rPr>
        <w:t xml:space="preserve"> ، ج 16 ، ص 367 ، ح 21782 ؛ </w:t>
      </w:r>
      <w:r w:rsidR="008A74EB" w:rsidRPr="00993B55">
        <w:rPr>
          <w:rStyle w:val="libFootnoteBoldChar"/>
          <w:rtl/>
        </w:rPr>
        <w:t>البحار</w:t>
      </w:r>
      <w:r w:rsidR="008A74EB" w:rsidRPr="00C9040A">
        <w:rPr>
          <w:rtl/>
        </w:rPr>
        <w:t xml:space="preserve"> ، ج 14 ، ص 508 ، ح 34 ، وفيهما : «</w:t>
      </w:r>
      <w:r w:rsidR="008A74EB">
        <w:rPr>
          <w:rtl/>
        </w:rPr>
        <w:t xml:space="preserve"> ..</w:t>
      </w:r>
      <w:r w:rsidR="008A74EB" w:rsidRPr="00C9040A">
        <w:rPr>
          <w:rtl/>
        </w:rPr>
        <w:t>. عن أبي‌عمارة قال : روينا أنّ عابد</w:t>
      </w:r>
      <w:r w:rsidR="008A74EB">
        <w:rPr>
          <w:rtl/>
        </w:rPr>
        <w:t xml:space="preserve"> ..</w:t>
      </w:r>
      <w:r w:rsidR="008A74EB" w:rsidRPr="00C9040A">
        <w:rPr>
          <w:rtl/>
        </w:rPr>
        <w:t>. » ؛ وج 74 ، ص 336 ، ح 115.</w:t>
      </w:r>
    </w:p>
    <w:tbl>
      <w:tblPr>
        <w:tblStyle w:val="TableGrid"/>
        <w:bidiVisual/>
        <w:tblW w:w="0" w:type="auto"/>
        <w:tblLook w:val="04A0" w:firstRow="1" w:lastRow="0" w:firstColumn="1" w:lastColumn="0" w:noHBand="0" w:noVBand="1"/>
      </w:tblPr>
      <w:tblGrid>
        <w:gridCol w:w="4006"/>
        <w:gridCol w:w="4006"/>
      </w:tblGrid>
      <w:tr w:rsidR="008E2474" w:rsidTr="008E2474">
        <w:tc>
          <w:tcPr>
            <w:tcW w:w="4006" w:type="dxa"/>
          </w:tcPr>
          <w:p w:rsidR="008E2474" w:rsidRDefault="008E2474" w:rsidP="004A4E41">
            <w:pPr>
              <w:pStyle w:val="libFootnote0"/>
              <w:rPr>
                <w:rtl/>
              </w:rPr>
            </w:pPr>
            <w:r>
              <w:rPr>
                <w:rtl/>
              </w:rPr>
              <w:t xml:space="preserve">(6). </w:t>
            </w:r>
            <w:r w:rsidRPr="00C9040A">
              <w:rPr>
                <w:rtl/>
              </w:rPr>
              <w:t>في حاشية « بف » : « المؤمنين »</w:t>
            </w:r>
            <w:r>
              <w:rPr>
                <w:rtl/>
              </w:rPr>
              <w:t>.</w:t>
            </w:r>
          </w:p>
        </w:tc>
        <w:tc>
          <w:tcPr>
            <w:tcW w:w="4006" w:type="dxa"/>
          </w:tcPr>
          <w:p w:rsidR="008E2474" w:rsidRDefault="008E2474" w:rsidP="004A4E41">
            <w:pPr>
              <w:pStyle w:val="libFootnote0"/>
              <w:rPr>
                <w:rtl/>
              </w:rPr>
            </w:pPr>
            <w:r>
              <w:rPr>
                <w:rtl/>
              </w:rPr>
              <w:t>(7).</w:t>
            </w:r>
            <w:r w:rsidRPr="00C9040A">
              <w:rPr>
                <w:rtl/>
              </w:rPr>
              <w:t xml:space="preserve"> في البحار : « أحمد بن عيسى »</w:t>
            </w:r>
            <w:r>
              <w:rPr>
                <w:rtl/>
              </w:rPr>
              <w:t>.</w:t>
            </w:r>
          </w:p>
        </w:tc>
      </w:tr>
    </w:tbl>
    <w:p w:rsidR="008A74EB" w:rsidRPr="00C9040A" w:rsidRDefault="006C577F" w:rsidP="004A4E41">
      <w:pPr>
        <w:pStyle w:val="libFootnote0"/>
        <w:rPr>
          <w:rtl/>
          <w:lang w:bidi="fa-IR"/>
        </w:rPr>
      </w:pPr>
      <w:r>
        <w:rPr>
          <w:rtl/>
        </w:rPr>
        <w:t>(8).</w:t>
      </w:r>
      <w:r w:rsidR="008A74EB" w:rsidRPr="00C9040A">
        <w:rPr>
          <w:rtl/>
        </w:rPr>
        <w:t xml:space="preserve"> في حاشية « ز » : + « الحسن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ف » والمؤمن ، ص 56 وثواب الأعمال ، ص 220 : « أعان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 اللهفان » : المكروب. يقال : لَهِفَ يَلْهَفُ فهو لَهْفان. ولُهِف فهو ملهوف. </w:t>
      </w:r>
      <w:r w:rsidR="008A74EB" w:rsidRPr="00993B55">
        <w:rPr>
          <w:rStyle w:val="libFootnoteBoldChar"/>
          <w:rtl/>
        </w:rPr>
        <w:t>النهاية</w:t>
      </w:r>
      <w:r w:rsidR="008A74EB" w:rsidRPr="00C9040A">
        <w:rPr>
          <w:rtl/>
        </w:rPr>
        <w:t xml:space="preserve"> ، ج 4 ، ص 282 ( لهف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في الوسائل وثواب الأعمال </w:t>
      </w:r>
      <w:r w:rsidR="008A74EB">
        <w:rPr>
          <w:rtl/>
        </w:rPr>
        <w:t xml:space="preserve">: </w:t>
      </w:r>
      <w:r w:rsidR="0084262C">
        <w:rPr>
          <w:rtl/>
        </w:rPr>
        <w:t>-</w:t>
      </w:r>
      <w:r w:rsidR="008A74EB" w:rsidRPr="00C9040A">
        <w:rPr>
          <w:rtl/>
        </w:rPr>
        <w:t xml:space="preserve"> « اللهثان »</w:t>
      </w:r>
      <w:r w:rsidR="008A74EB">
        <w:rPr>
          <w:rtl/>
        </w:rPr>
        <w:t>.</w:t>
      </w:r>
      <w:r w:rsidR="008A74EB" w:rsidRPr="00C9040A">
        <w:rPr>
          <w:rtl/>
        </w:rPr>
        <w:t xml:space="preserve"> ولَهِثَ يَلْهَثُ لَهْثاً ولُهاثاً : أخرج لسانه عطشاً ، أو تَعَباً ، أو إعياءً. </w:t>
      </w:r>
      <w:r w:rsidR="008A74EB" w:rsidRPr="00993B55">
        <w:rPr>
          <w:rStyle w:val="libFootnoteBoldChar"/>
          <w:rtl/>
        </w:rPr>
        <w:t>القاموس المحيط</w:t>
      </w:r>
      <w:r w:rsidR="008A74EB" w:rsidRPr="00C9040A">
        <w:rPr>
          <w:rtl/>
        </w:rPr>
        <w:t xml:space="preserve"> ، ج 1 ، ص 174 ؛ </w:t>
      </w:r>
      <w:r w:rsidR="008A74EB" w:rsidRPr="00993B55">
        <w:rPr>
          <w:rStyle w:val="libFootnoteBoldChar"/>
          <w:rtl/>
        </w:rPr>
        <w:t>الصحاح</w:t>
      </w:r>
      <w:r w:rsidR="008A74EB" w:rsidRPr="00C9040A">
        <w:rPr>
          <w:rtl/>
        </w:rPr>
        <w:t xml:space="preserve"> ، ج 1 ، ص 278 ( لهث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في « ب ، بر ، بف » : « عن »</w:t>
      </w:r>
      <w:r w:rsidR="008A74EB">
        <w:rPr>
          <w:rtl/>
        </w:rPr>
        <w:t>.</w:t>
      </w:r>
    </w:p>
    <w:p w:rsidR="008A74EB" w:rsidRPr="00C9040A" w:rsidRDefault="008A74EB" w:rsidP="004A4E41">
      <w:pPr>
        <w:pStyle w:val="libFootnote0"/>
        <w:rPr>
          <w:rtl/>
          <w:lang w:bidi="fa-IR"/>
        </w:rPr>
      </w:pPr>
      <w:r>
        <w:rPr>
          <w:rtl/>
        </w:rPr>
        <w:t>(13)</w:t>
      </w:r>
      <w:r w:rsidRPr="00C9040A">
        <w:rPr>
          <w:rtl/>
        </w:rPr>
        <w:t xml:space="preserve"> « الجَهْد » : ما جَهَد الإنسان من مرضٍ أو أمرٍ شاقٍّ ، فهو مجهود. </w:t>
      </w:r>
      <w:r w:rsidRPr="00993B55">
        <w:rPr>
          <w:rStyle w:val="libFootnoteBoldChar"/>
          <w:rtl/>
        </w:rPr>
        <w:t>ترتيب كتاب العين</w:t>
      </w:r>
      <w:r w:rsidRPr="00C9040A">
        <w:rPr>
          <w:rtl/>
        </w:rPr>
        <w:t xml:space="preserve"> ، ج 1 ، ص 325 ( جهد )</w:t>
      </w:r>
      <w:r>
        <w:rPr>
          <w:rtl/>
        </w:rPr>
        <w:t>.</w:t>
      </w:r>
    </w:p>
    <w:p w:rsidR="008A74EB" w:rsidRPr="00C9040A" w:rsidRDefault="008A74EB" w:rsidP="004A4E41">
      <w:pPr>
        <w:pStyle w:val="libFootnote0"/>
        <w:rPr>
          <w:rtl/>
          <w:lang w:bidi="fa-IR"/>
        </w:rPr>
      </w:pPr>
      <w:r>
        <w:rPr>
          <w:rtl/>
        </w:rPr>
        <w:t>(14)</w:t>
      </w:r>
      <w:r w:rsidRPr="00C9040A">
        <w:rPr>
          <w:rtl/>
        </w:rPr>
        <w:t xml:space="preserve"> نَفّس كُرْبَتَه تنفيساً : كشفها. </w:t>
      </w:r>
      <w:r w:rsidRPr="00993B55">
        <w:rPr>
          <w:rStyle w:val="libFootnoteBoldChar"/>
          <w:rtl/>
        </w:rPr>
        <w:t>المصباح المنير</w:t>
      </w:r>
      <w:r w:rsidRPr="00C9040A">
        <w:rPr>
          <w:rtl/>
        </w:rPr>
        <w:t xml:space="preserve"> ، ص 617 ( نفس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كُرْبَتَهُ </w:t>
      </w:r>
      <w:r w:rsidR="006C577F" w:rsidRPr="006C577F">
        <w:rPr>
          <w:rStyle w:val="libFootnotenumChar"/>
          <w:rtl/>
        </w:rPr>
        <w:t>(1)</w:t>
      </w:r>
      <w:r w:rsidRPr="00C9040A">
        <w:rPr>
          <w:rtl/>
          <w:lang w:bidi="fa-IR"/>
        </w:rPr>
        <w:t xml:space="preserve"> ، وَأَعَانَهُ </w:t>
      </w:r>
      <w:r w:rsidR="006C577F" w:rsidRPr="006C577F">
        <w:rPr>
          <w:rStyle w:val="libFootnotenumChar"/>
          <w:rtl/>
        </w:rPr>
        <w:t>(2)</w:t>
      </w:r>
      <w:r w:rsidRPr="00C9040A">
        <w:rPr>
          <w:rtl/>
          <w:lang w:bidi="fa-IR"/>
        </w:rPr>
        <w:t xml:space="preserve"> عَلى نَجَاحِ </w:t>
      </w:r>
      <w:r w:rsidR="006C577F" w:rsidRPr="006C577F">
        <w:rPr>
          <w:rStyle w:val="libFootnotenumChar"/>
          <w:rtl/>
        </w:rPr>
        <w:t>(3)</w:t>
      </w:r>
      <w:r w:rsidRPr="00C9040A">
        <w:rPr>
          <w:rtl/>
          <w:lang w:bidi="fa-IR"/>
        </w:rPr>
        <w:t xml:space="preserve"> حَاجَتِهِ ، كَتَبَ </w:t>
      </w:r>
      <w:r w:rsidR="006C577F" w:rsidRPr="006C577F">
        <w:rPr>
          <w:rStyle w:val="libFootnotenumChar"/>
          <w:rtl/>
        </w:rPr>
        <w:t>(4)</w:t>
      </w:r>
      <w:r w:rsidRPr="00C9040A">
        <w:rPr>
          <w:rtl/>
          <w:lang w:bidi="fa-IR"/>
        </w:rPr>
        <w:t xml:space="preserve">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لَهُ </w:t>
      </w:r>
      <w:r w:rsidR="006C577F" w:rsidRPr="006C577F">
        <w:rPr>
          <w:rStyle w:val="libFootnotenumChar"/>
          <w:rtl/>
        </w:rPr>
        <w:t>(5)</w:t>
      </w:r>
      <w:r w:rsidRPr="00C9040A">
        <w:rPr>
          <w:rtl/>
          <w:lang w:bidi="fa-IR"/>
        </w:rPr>
        <w:t xml:space="preserve"> بِذلِكَ ثِنْتَيْنِ </w:t>
      </w:r>
      <w:r w:rsidR="006C577F" w:rsidRPr="006C577F">
        <w:rPr>
          <w:rStyle w:val="libFootnotenumChar"/>
          <w:rtl/>
        </w:rPr>
        <w:t>(6)</w:t>
      </w:r>
      <w:r w:rsidRPr="005B567D">
        <w:rPr>
          <w:rStyle w:val="libFootnotenumChar"/>
          <w:rtl/>
        </w:rPr>
        <w:t xml:space="preserve"> </w:t>
      </w:r>
      <w:r w:rsidRPr="00C9040A">
        <w:rPr>
          <w:rtl/>
          <w:lang w:bidi="fa-IR"/>
        </w:rPr>
        <w:t xml:space="preserve">وَسَبْعِينَ رَحْمَةً مِنَ </w:t>
      </w:r>
      <w:r w:rsidR="006C577F" w:rsidRPr="006C577F">
        <w:rPr>
          <w:rStyle w:val="libFootnotenumChar"/>
          <w:rtl/>
        </w:rPr>
        <w:t>(7)</w:t>
      </w:r>
      <w:r w:rsidRPr="00C9040A">
        <w:rPr>
          <w:rtl/>
          <w:lang w:bidi="fa-IR"/>
        </w:rPr>
        <w:t xml:space="preserve"> اللهِ ، يُعَجِّلُ لَهُ مِنْهَا وَاحِدَةً يُصْلِحُ بِهَا أَمْرَ مَعِيشَتِهِ ، وَيَدَّخِرُ </w:t>
      </w:r>
      <w:r w:rsidR="006C577F" w:rsidRPr="006C577F">
        <w:rPr>
          <w:rStyle w:val="libFootnotenumChar"/>
          <w:rtl/>
        </w:rPr>
        <w:t>(8)</w:t>
      </w:r>
      <w:r w:rsidRPr="00C9040A">
        <w:rPr>
          <w:rtl/>
          <w:lang w:bidi="fa-IR"/>
        </w:rPr>
        <w:t xml:space="preserve"> لَهُ إِحْدى وَسَبْعِينَ رَحْمَةً لِأَفْزَاعِ يَوْمِ الْقِيَامَةِ وَأَهْوَالِهِ »</w:t>
      </w:r>
      <w:r>
        <w:rPr>
          <w:rtl/>
          <w:lang w:bidi="fa-IR"/>
        </w:rPr>
        <w:t>.</w:t>
      </w:r>
      <w:r w:rsidRPr="00C9040A">
        <w:rPr>
          <w:rtl/>
          <w:lang w:bidi="fa-IR"/>
        </w:rPr>
        <w:t xml:space="preserve"> </w:t>
      </w:r>
      <w:r w:rsidR="006C577F" w:rsidRPr="006C577F">
        <w:rPr>
          <w:rStyle w:val="libFootnotenumChar"/>
          <w:rtl/>
        </w:rPr>
        <w:t>(9)</w:t>
      </w:r>
      <w:r w:rsidRPr="00C9040A">
        <w:rPr>
          <w:rtl/>
          <w:lang w:bidi="fa-IR"/>
        </w:rPr>
        <w:t xml:space="preserve"> ‌</w:t>
      </w:r>
    </w:p>
    <w:p w:rsidR="008A74EB" w:rsidRPr="00C9040A" w:rsidRDefault="008A74EB" w:rsidP="008A74EB">
      <w:pPr>
        <w:pStyle w:val="libNormal"/>
        <w:rPr>
          <w:rtl/>
          <w:lang w:bidi="fa-IR"/>
        </w:rPr>
      </w:pPr>
      <w:r w:rsidRPr="00393A13">
        <w:rPr>
          <w:rtl/>
        </w:rPr>
        <w:t>2170</w:t>
      </w:r>
      <w:r w:rsidRPr="00261CB0">
        <w:rPr>
          <w:rStyle w:val="libBold2Char"/>
          <w:rtl/>
        </w:rPr>
        <w:t xml:space="preserve"> / 2.</w:t>
      </w:r>
      <w:r w:rsidRPr="00C9040A">
        <w:rPr>
          <w:rtl/>
          <w:lang w:bidi="fa-IR"/>
        </w:rPr>
        <w:t xml:space="preserve"> عَلِيُّ بْنُ إِبْرَاهِيمَ ، عَنْ أَبِيهِ ، عَنِ النَّوْفَلِيِّ ، عَنِ السَّكُونِيِّ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مَنْ أَعَانَ </w:t>
      </w:r>
      <w:r w:rsidR="006C577F" w:rsidRPr="006C577F">
        <w:rPr>
          <w:rStyle w:val="libFootnotenumChar"/>
          <w:rtl/>
        </w:rPr>
        <w:t>(10)</w:t>
      </w:r>
      <w:r w:rsidRPr="00C9040A">
        <w:rPr>
          <w:rtl/>
          <w:lang w:bidi="fa-IR"/>
        </w:rPr>
        <w:t xml:space="preserve"> مُؤْمِناً ، نَفَّسَ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عَنْهُ ثَلَاثاً وَسَبْعِينَ كُرْبَةً : وَاحِدَةً </w:t>
      </w:r>
      <w:r w:rsidR="006C577F" w:rsidRPr="006C577F">
        <w:rPr>
          <w:rStyle w:val="libFootnotenumChar"/>
          <w:rtl/>
        </w:rPr>
        <w:t>(11)</w:t>
      </w:r>
      <w:r w:rsidRPr="00C9040A">
        <w:rPr>
          <w:rtl/>
          <w:lang w:bidi="fa-IR"/>
        </w:rPr>
        <w:t xml:space="preserve"> فِي الدُّنْيَا وَثِنْتَيْنِ </w:t>
      </w:r>
      <w:r w:rsidR="006C577F" w:rsidRPr="006C577F">
        <w:rPr>
          <w:rStyle w:val="libFootnotenumChar"/>
          <w:rtl/>
        </w:rPr>
        <w:t>(12)</w:t>
      </w:r>
      <w:r w:rsidRPr="00C9040A">
        <w:rPr>
          <w:rtl/>
          <w:lang w:bidi="fa-IR"/>
        </w:rPr>
        <w:t xml:space="preserve"> وَسَبْعِينَ كُرْبَةً عِنْدَ كُرَبِهِ </w:t>
      </w:r>
      <w:r w:rsidRPr="005B567D">
        <w:rPr>
          <w:rStyle w:val="libFootnotenumChar"/>
          <w:rtl/>
        </w:rPr>
        <w:t>(13)</w:t>
      </w:r>
      <w:r w:rsidRPr="00C9040A">
        <w:rPr>
          <w:rtl/>
          <w:lang w:bidi="fa-IR"/>
        </w:rPr>
        <w:t xml:space="preserve"> الْعُظْمى »</w:t>
      </w:r>
      <w:r>
        <w:rPr>
          <w:rtl/>
          <w:lang w:bidi="fa-IR"/>
        </w:rPr>
        <w:t>.</w:t>
      </w:r>
      <w:r w:rsidRPr="00C9040A">
        <w:rPr>
          <w:rtl/>
          <w:lang w:bidi="fa-IR"/>
        </w:rPr>
        <w:t xml:space="preserve"> قَالَ : « حَيْثُ يَتَشَاغَلُ </w:t>
      </w:r>
      <w:r w:rsidRPr="005B567D">
        <w:rPr>
          <w:rStyle w:val="libFootnotenumChar"/>
          <w:rtl/>
        </w:rPr>
        <w:t>(14)</w:t>
      </w:r>
      <w:r w:rsidRPr="00C9040A">
        <w:rPr>
          <w:rtl/>
          <w:lang w:bidi="fa-IR"/>
        </w:rPr>
        <w:t xml:space="preserve"> النَّاسُ بِأَنْفُسِهِمْ »</w:t>
      </w:r>
      <w:r>
        <w:rPr>
          <w:rtl/>
          <w:lang w:bidi="fa-IR"/>
        </w:rPr>
        <w:t>.</w:t>
      </w:r>
      <w:r w:rsidRPr="00C9040A">
        <w:rPr>
          <w:rtl/>
          <w:lang w:bidi="fa-IR"/>
        </w:rPr>
        <w:t xml:space="preserve"> </w:t>
      </w:r>
      <w:r w:rsidRPr="005B567D">
        <w:rPr>
          <w:rStyle w:val="libFootnotenumChar"/>
          <w:rtl/>
        </w:rPr>
        <w:t>(15)</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7602DC">
      <w:pPr>
        <w:pStyle w:val="libFootnote0"/>
        <w:rPr>
          <w:rtl/>
          <w:lang w:bidi="fa-IR"/>
        </w:rPr>
      </w:pPr>
      <w:r>
        <w:rPr>
          <w:rtl/>
        </w:rPr>
        <w:t>(1).</w:t>
      </w:r>
      <w:r w:rsidR="008A74EB">
        <w:rPr>
          <w:rtl/>
        </w:rPr>
        <w:t xml:space="preserve"> </w:t>
      </w:r>
      <w:r w:rsidR="008A74EB" w:rsidRPr="00C9040A">
        <w:rPr>
          <w:rtl/>
        </w:rPr>
        <w:t xml:space="preserve">« الكُرْبَة » : الغمّ الذي يأخذ بالنفس ، وكذلك الكَرْب. تقول منه : كَرَبَه الغمُّ : إذا اشتدّ عليه. </w:t>
      </w:r>
      <w:r w:rsidR="008A74EB" w:rsidRPr="00993B55">
        <w:rPr>
          <w:rStyle w:val="libFootnoteBoldChar"/>
          <w:rtl/>
        </w:rPr>
        <w:t>الصحاح</w:t>
      </w:r>
      <w:r w:rsidR="008A74EB" w:rsidRPr="00C9040A">
        <w:rPr>
          <w:rtl/>
        </w:rPr>
        <w:t xml:space="preserve"> ، ج 1 ، ص 211 ( كرب )</w:t>
      </w:r>
      <w:r w:rsidR="008A74EB">
        <w:rPr>
          <w:rtl/>
        </w:rPr>
        <w:t>.</w:t>
      </w:r>
      <w:r w:rsidR="007602DC">
        <w:rPr>
          <w:rFonts w:hint="cs"/>
          <w:rtl/>
        </w:rPr>
        <w:t xml:space="preserve">                                    </w:t>
      </w:r>
      <w:r w:rsidR="00901DC7">
        <w:rPr>
          <w:rFonts w:hint="cs"/>
          <w:rtl/>
        </w:rPr>
        <w:t xml:space="preserve"> </w:t>
      </w:r>
      <w:r w:rsidR="007602DC">
        <w:rPr>
          <w:rFonts w:hint="cs"/>
          <w:rtl/>
        </w:rPr>
        <w:t xml:space="preserve"> </w:t>
      </w:r>
      <w:r>
        <w:rPr>
          <w:rtl/>
        </w:rPr>
        <w:t>(2).</w:t>
      </w:r>
      <w:r w:rsidR="008A74EB">
        <w:rPr>
          <w:rtl/>
        </w:rPr>
        <w:t xml:space="preserve"> </w:t>
      </w:r>
      <w:r w:rsidR="008A74EB" w:rsidRPr="00C9040A">
        <w:rPr>
          <w:rtl/>
        </w:rPr>
        <w:t>في حاشية « ف » : « وأغاثه »</w:t>
      </w:r>
      <w:r w:rsidR="008A74EB">
        <w:rPr>
          <w:rtl/>
        </w:rPr>
        <w:t>.</w:t>
      </w:r>
    </w:p>
    <w:p w:rsidR="008A74EB" w:rsidRPr="00C9040A" w:rsidRDefault="006C577F" w:rsidP="007602DC">
      <w:pPr>
        <w:pStyle w:val="libFootnote0"/>
        <w:rPr>
          <w:rtl/>
          <w:lang w:bidi="fa-IR"/>
        </w:rPr>
      </w:pPr>
      <w:r>
        <w:rPr>
          <w:rtl/>
        </w:rPr>
        <w:t>(3).</w:t>
      </w:r>
      <w:r w:rsidR="008A74EB" w:rsidRPr="00C9040A">
        <w:rPr>
          <w:rtl/>
        </w:rPr>
        <w:t xml:space="preserve"> يقال : نجح فلان وأنجح : إذا أصاب طلبته. ونجحت طلبته وأنْجحَت ، وأنْجَحه الله. </w:t>
      </w:r>
      <w:r w:rsidR="008A74EB" w:rsidRPr="00993B55">
        <w:rPr>
          <w:rStyle w:val="libFootnoteBoldChar"/>
          <w:rtl/>
        </w:rPr>
        <w:t>النهاية</w:t>
      </w:r>
      <w:r w:rsidR="008A74EB" w:rsidRPr="00C9040A">
        <w:rPr>
          <w:rtl/>
        </w:rPr>
        <w:t xml:space="preserve"> ، ج 5 ، ص 18 ( نجح )</w:t>
      </w:r>
      <w:r w:rsidR="008A74EB">
        <w:rPr>
          <w:rtl/>
        </w:rPr>
        <w:t>.</w:t>
      </w:r>
      <w:r w:rsidR="007602DC">
        <w:rPr>
          <w:rFonts w:hint="cs"/>
          <w:rtl/>
        </w:rPr>
        <w:t xml:space="preserve">                                                     </w:t>
      </w:r>
      <w:r w:rsidR="00901DC7">
        <w:rPr>
          <w:rFonts w:hint="cs"/>
          <w:rtl/>
        </w:rPr>
        <w:t xml:space="preserve">  </w:t>
      </w:r>
      <w:r w:rsidR="007602DC">
        <w:rPr>
          <w:rFonts w:hint="cs"/>
          <w:rtl/>
        </w:rPr>
        <w:t xml:space="preserve">   </w:t>
      </w:r>
      <w:r>
        <w:rPr>
          <w:rtl/>
        </w:rPr>
        <w:t>(4).</w:t>
      </w:r>
      <w:r w:rsidR="008A74EB" w:rsidRPr="00C9040A">
        <w:rPr>
          <w:rtl/>
        </w:rPr>
        <w:t xml:space="preserve"> في حاشية « بر » والبحار : « أوجب »</w:t>
      </w:r>
      <w:r w:rsidR="008A74EB">
        <w:rPr>
          <w:rtl/>
        </w:rPr>
        <w:t>.</w:t>
      </w:r>
    </w:p>
    <w:tbl>
      <w:tblPr>
        <w:tblStyle w:val="TableGrid"/>
        <w:bidiVisual/>
        <w:tblW w:w="0" w:type="auto"/>
        <w:tblLook w:val="04A0" w:firstRow="1" w:lastRow="0" w:firstColumn="1" w:lastColumn="0" w:noHBand="0" w:noVBand="1"/>
      </w:tblPr>
      <w:tblGrid>
        <w:gridCol w:w="4006"/>
        <w:gridCol w:w="4006"/>
      </w:tblGrid>
      <w:tr w:rsidR="007602DC" w:rsidTr="007602DC">
        <w:tc>
          <w:tcPr>
            <w:tcW w:w="4006" w:type="dxa"/>
          </w:tcPr>
          <w:p w:rsidR="007602DC" w:rsidRDefault="007602DC" w:rsidP="004A4E41">
            <w:pPr>
              <w:pStyle w:val="libFootnote0"/>
              <w:rPr>
                <w:rtl/>
              </w:rPr>
            </w:pPr>
            <w:r>
              <w:rPr>
                <w:rtl/>
              </w:rPr>
              <w:t>(5).</w:t>
            </w:r>
            <w:r w:rsidRPr="00C9040A">
              <w:rPr>
                <w:rtl/>
              </w:rPr>
              <w:t xml:space="preserve"> في « ز » : « له عزّوجلّ »</w:t>
            </w:r>
            <w:r>
              <w:rPr>
                <w:rtl/>
              </w:rPr>
              <w:t>.</w:t>
            </w:r>
          </w:p>
        </w:tc>
        <w:tc>
          <w:tcPr>
            <w:tcW w:w="4006" w:type="dxa"/>
          </w:tcPr>
          <w:p w:rsidR="007602DC" w:rsidRDefault="007602DC" w:rsidP="004A4E41">
            <w:pPr>
              <w:pStyle w:val="libFootnote0"/>
              <w:rPr>
                <w:rtl/>
              </w:rPr>
            </w:pPr>
            <w:r>
              <w:rPr>
                <w:rtl/>
              </w:rPr>
              <w:t xml:space="preserve">(6). </w:t>
            </w:r>
            <w:r w:rsidRPr="00C9040A">
              <w:rPr>
                <w:rtl/>
              </w:rPr>
              <w:t>في « بر » وحاشية « ف » والبحار : « اثنتين »</w:t>
            </w:r>
            <w:r>
              <w:rPr>
                <w:rtl/>
              </w:rPr>
              <w:t>.</w:t>
            </w:r>
          </w:p>
        </w:tc>
      </w:tr>
    </w:tbl>
    <w:p w:rsidR="008A74EB" w:rsidRPr="00C9040A" w:rsidRDefault="006C577F" w:rsidP="004A4E41">
      <w:pPr>
        <w:pStyle w:val="libFootnote0"/>
        <w:rPr>
          <w:rtl/>
          <w:lang w:bidi="fa-IR"/>
        </w:rPr>
      </w:pPr>
      <w:r>
        <w:rPr>
          <w:rtl/>
        </w:rPr>
        <w:t>(7).</w:t>
      </w:r>
      <w:r w:rsidR="008A74EB" w:rsidRPr="00C9040A">
        <w:rPr>
          <w:rtl/>
        </w:rPr>
        <w:t xml:space="preserve"> قال في </w:t>
      </w:r>
      <w:r w:rsidR="008A74EB" w:rsidRPr="00993B55">
        <w:rPr>
          <w:rStyle w:val="libFootnoteBoldChar"/>
          <w:rtl/>
        </w:rPr>
        <w:t>مرآة العقول</w:t>
      </w:r>
      <w:r w:rsidR="008A74EB" w:rsidRPr="00C9040A">
        <w:rPr>
          <w:rtl/>
        </w:rPr>
        <w:t xml:space="preserve"> ، ج 9 ، ص 119 : « ربّما يقرأ : منّ ، بالفتح والتشديد والإضافة ، منصوباً بتقدير اطلبوا ، أوانظروا منّ الله ، أو مرفوعاً خبر مبتدأ محذوف ، أي‌هذا منّ الله ، وعلى</w:t>
      </w:r>
      <w:r w:rsidR="008A74EB">
        <w:rPr>
          <w:rFonts w:hint="cs"/>
          <w:rtl/>
        </w:rPr>
        <w:t xml:space="preserve"> </w:t>
      </w:r>
      <w:r w:rsidR="008A74EB" w:rsidRPr="00323A39">
        <w:rPr>
          <w:rtl/>
        </w:rPr>
        <w:t>التقادير معترضة تقوية للسابق واللاحق أو منصوب مفعولاً لأجله لكتب. وأقول : كلّ ذلك تكلّف بعيد ».</w:t>
      </w:r>
    </w:p>
    <w:p w:rsidR="008A74EB" w:rsidRPr="00C9040A" w:rsidRDefault="006C577F" w:rsidP="004A4E41">
      <w:pPr>
        <w:pStyle w:val="libFootnote0"/>
        <w:rPr>
          <w:rtl/>
          <w:lang w:bidi="fa-IR"/>
        </w:rPr>
      </w:pPr>
      <w:r>
        <w:rPr>
          <w:rtl/>
        </w:rPr>
        <w:t>(8).</w:t>
      </w:r>
      <w:r w:rsidR="008A74EB" w:rsidRPr="00C9040A">
        <w:rPr>
          <w:rtl/>
        </w:rPr>
        <w:t xml:space="preserve"> في « ز » : « ويذخر »</w:t>
      </w:r>
      <w:r w:rsidR="008A74EB">
        <w:rPr>
          <w:rtl/>
        </w:rPr>
        <w:t>.</w:t>
      </w:r>
    </w:p>
    <w:p w:rsidR="008A74EB" w:rsidRPr="00C9040A" w:rsidRDefault="006C577F" w:rsidP="00901DC7">
      <w:pPr>
        <w:pStyle w:val="libFootnote0"/>
        <w:rPr>
          <w:rtl/>
          <w:lang w:bidi="fa-IR"/>
        </w:rPr>
      </w:pPr>
      <w:r>
        <w:rPr>
          <w:rtl/>
        </w:rPr>
        <w:t>(9).</w:t>
      </w:r>
      <w:r w:rsidR="008A74EB" w:rsidRPr="00C9040A">
        <w:rPr>
          <w:rtl/>
        </w:rPr>
        <w:t xml:space="preserve"> </w:t>
      </w:r>
      <w:r w:rsidR="008A74EB" w:rsidRPr="00993B55">
        <w:rPr>
          <w:rStyle w:val="libFootnoteBoldChar"/>
          <w:rtl/>
        </w:rPr>
        <w:t>ثواب الأعمال</w:t>
      </w:r>
      <w:r w:rsidR="008A74EB" w:rsidRPr="00C9040A">
        <w:rPr>
          <w:rtl/>
        </w:rPr>
        <w:t xml:space="preserve"> ، ص 179 ، ح 1 ؛ وص 220 ، ح 1 ، بسند آخر عن أحمد بن محمّد ، عن الحسن بن محبوب. </w:t>
      </w:r>
      <w:r w:rsidR="008A74EB" w:rsidRPr="00993B55">
        <w:rPr>
          <w:rStyle w:val="libFootnoteBoldChar"/>
          <w:rtl/>
        </w:rPr>
        <w:t>المؤمن</w:t>
      </w:r>
      <w:r w:rsidR="008A74EB" w:rsidRPr="00C9040A">
        <w:rPr>
          <w:rtl/>
        </w:rPr>
        <w:t xml:space="preserve"> ، ص 56 ، ح 145 ، عن أبي عبدالله </w:t>
      </w:r>
      <w:r w:rsidR="00117575" w:rsidRPr="00117575">
        <w:rPr>
          <w:rStyle w:val="libFootnoteAlaemChar"/>
          <w:rtl/>
        </w:rPr>
        <w:t>عليه‌السلام</w:t>
      </w:r>
      <w:r w:rsidR="008A74EB" w:rsidRPr="00C9040A">
        <w:rPr>
          <w:rtl/>
        </w:rPr>
        <w:t xml:space="preserve"> ؛ </w:t>
      </w:r>
      <w:r w:rsidR="008A74EB" w:rsidRPr="00993B55">
        <w:rPr>
          <w:rStyle w:val="libFootnoteBoldChar"/>
          <w:rtl/>
        </w:rPr>
        <w:t>وفيه</w:t>
      </w:r>
      <w:r w:rsidR="008A74EB" w:rsidRPr="00C9040A">
        <w:rPr>
          <w:rtl/>
        </w:rPr>
        <w:t xml:space="preserve"> ، ص 54 ، ح 137 ، عن أبي‌عبدالله </w:t>
      </w:r>
      <w:r w:rsidR="00117575" w:rsidRPr="00117575">
        <w:rPr>
          <w:rStyle w:val="libFootnoteAlaemChar"/>
          <w:rtl/>
        </w:rPr>
        <w:t>عليه‌السلام</w:t>
      </w:r>
      <w:r w:rsidR="005A24A4">
        <w:rPr>
          <w:rStyle w:val="libFootnoteAlaemChar"/>
          <w:rFonts w:hint="cs"/>
          <w:rtl/>
        </w:rPr>
        <w:t xml:space="preserve"> </w:t>
      </w:r>
      <w:r w:rsidR="008A74EB" w:rsidRPr="00C9040A">
        <w:rPr>
          <w:rtl/>
        </w:rPr>
        <w:t xml:space="preserve">عن النبيّ </w:t>
      </w:r>
      <w:r w:rsidR="004A4E41" w:rsidRPr="00901DC7">
        <w:rPr>
          <w:rStyle w:val="libFootnoteAlaemChar"/>
          <w:rtl/>
        </w:rPr>
        <w:t>صلى‌الله‌عليه‌وآله</w:t>
      </w:r>
      <w:r w:rsidR="008A74EB" w:rsidRPr="00C9040A">
        <w:rPr>
          <w:rtl/>
        </w:rPr>
        <w:t xml:space="preserve"> ، مع اختلاف يسير</w:t>
      </w:r>
      <w:r w:rsidR="00901DC7">
        <w:rPr>
          <w:rFonts w:hint="cs"/>
          <w:rtl/>
        </w:rPr>
        <w:t>.</w:t>
      </w:r>
      <w:r w:rsidR="008A74EB" w:rsidRPr="00993B55">
        <w:rPr>
          <w:rStyle w:val="libFootnoteBoldChar"/>
          <w:rtl/>
        </w:rPr>
        <w:t>الوافي</w:t>
      </w:r>
      <w:r w:rsidR="008A74EB" w:rsidRPr="00C9040A">
        <w:rPr>
          <w:rtl/>
        </w:rPr>
        <w:t xml:space="preserve"> ، ج 5 ، ص 671 ، ح 2837 ؛ </w:t>
      </w:r>
      <w:r w:rsidR="008A74EB" w:rsidRPr="00993B55">
        <w:rPr>
          <w:rStyle w:val="libFootnoteBoldChar"/>
          <w:rtl/>
        </w:rPr>
        <w:t>الوسائل</w:t>
      </w:r>
      <w:r w:rsidR="008A74EB" w:rsidRPr="00C9040A">
        <w:rPr>
          <w:rtl/>
        </w:rPr>
        <w:t xml:space="preserve"> ، ج 16 ، ص 370 ، ح 21789 ؛ </w:t>
      </w:r>
      <w:r w:rsidR="008A74EB" w:rsidRPr="00993B55">
        <w:rPr>
          <w:rStyle w:val="libFootnoteBoldChar"/>
          <w:rtl/>
        </w:rPr>
        <w:t>البحار</w:t>
      </w:r>
      <w:r w:rsidR="008A74EB" w:rsidRPr="00C9040A">
        <w:rPr>
          <w:rtl/>
        </w:rPr>
        <w:t xml:space="preserve"> ، ج 74 ، ص 319 ، ح 85.</w:t>
      </w:r>
      <w:r w:rsidR="00901DC7">
        <w:rPr>
          <w:rFonts w:hint="cs"/>
          <w:rtl/>
        </w:rPr>
        <w:t xml:space="preserve">      </w:t>
      </w:r>
      <w:r>
        <w:rPr>
          <w:rtl/>
        </w:rPr>
        <w:t>(10).</w:t>
      </w:r>
      <w:r w:rsidR="008A74EB" w:rsidRPr="00C9040A">
        <w:rPr>
          <w:rtl/>
        </w:rPr>
        <w:t xml:space="preserve"> في « ف » : « أغاث »</w:t>
      </w:r>
      <w:r w:rsidR="008A74EB">
        <w:rPr>
          <w:rtl/>
        </w:rPr>
        <w:t>.</w:t>
      </w:r>
    </w:p>
    <w:tbl>
      <w:tblPr>
        <w:tblStyle w:val="TableGrid"/>
        <w:bidiVisual/>
        <w:tblW w:w="0" w:type="auto"/>
        <w:tblLook w:val="04A0" w:firstRow="1" w:lastRow="0" w:firstColumn="1" w:lastColumn="0" w:noHBand="0" w:noVBand="1"/>
      </w:tblPr>
      <w:tblGrid>
        <w:gridCol w:w="4006"/>
        <w:gridCol w:w="4006"/>
      </w:tblGrid>
      <w:tr w:rsidR="00901DC7" w:rsidTr="00901DC7">
        <w:tc>
          <w:tcPr>
            <w:tcW w:w="4006" w:type="dxa"/>
          </w:tcPr>
          <w:p w:rsidR="00901DC7" w:rsidRDefault="00901DC7" w:rsidP="004A4E41">
            <w:pPr>
              <w:pStyle w:val="libFootnote0"/>
              <w:rPr>
                <w:rtl/>
              </w:rPr>
            </w:pPr>
            <w:r>
              <w:rPr>
                <w:rtl/>
              </w:rPr>
              <w:t>(11).</w:t>
            </w:r>
            <w:r w:rsidRPr="00C9040A">
              <w:rPr>
                <w:rtl/>
              </w:rPr>
              <w:t xml:space="preserve"> في « ض » : + « منها »</w:t>
            </w:r>
            <w:r>
              <w:rPr>
                <w:rtl/>
              </w:rPr>
              <w:t>.</w:t>
            </w:r>
          </w:p>
        </w:tc>
        <w:tc>
          <w:tcPr>
            <w:tcW w:w="4006" w:type="dxa"/>
          </w:tcPr>
          <w:p w:rsidR="00901DC7" w:rsidRDefault="00901DC7" w:rsidP="004A4E41">
            <w:pPr>
              <w:pStyle w:val="libFootnote0"/>
              <w:rPr>
                <w:rtl/>
              </w:rPr>
            </w:pPr>
            <w:r>
              <w:rPr>
                <w:rtl/>
              </w:rPr>
              <w:t>(12).</w:t>
            </w:r>
            <w:r w:rsidRPr="00C9040A">
              <w:rPr>
                <w:rtl/>
              </w:rPr>
              <w:t xml:space="preserve"> في « ز » : « واثنتين »</w:t>
            </w:r>
            <w:r>
              <w:rPr>
                <w:rtl/>
              </w:rPr>
              <w:t>.</w:t>
            </w:r>
          </w:p>
        </w:tc>
      </w:tr>
      <w:tr w:rsidR="00901DC7" w:rsidTr="00901DC7">
        <w:tc>
          <w:tcPr>
            <w:tcW w:w="4006" w:type="dxa"/>
          </w:tcPr>
          <w:p w:rsidR="00901DC7" w:rsidRDefault="00901DC7" w:rsidP="004A4E41">
            <w:pPr>
              <w:pStyle w:val="libFootnote0"/>
              <w:rPr>
                <w:rtl/>
              </w:rPr>
            </w:pPr>
            <w:r>
              <w:rPr>
                <w:rtl/>
              </w:rPr>
              <w:t>(13)</w:t>
            </w:r>
            <w:r w:rsidRPr="00C9040A">
              <w:rPr>
                <w:rtl/>
              </w:rPr>
              <w:t xml:space="preserve"> في « بر » وحاشية « ص » والوافي : « كربته »</w:t>
            </w:r>
            <w:r>
              <w:rPr>
                <w:rtl/>
              </w:rPr>
              <w:t>.</w:t>
            </w:r>
          </w:p>
        </w:tc>
        <w:tc>
          <w:tcPr>
            <w:tcW w:w="4006" w:type="dxa"/>
          </w:tcPr>
          <w:p w:rsidR="00901DC7" w:rsidRDefault="00901DC7" w:rsidP="004A4E41">
            <w:pPr>
              <w:pStyle w:val="libFootnote0"/>
              <w:rPr>
                <w:rtl/>
              </w:rPr>
            </w:pPr>
            <w:r>
              <w:rPr>
                <w:rtl/>
              </w:rPr>
              <w:t>(14)</w:t>
            </w:r>
            <w:r w:rsidRPr="00C9040A">
              <w:rPr>
                <w:rtl/>
              </w:rPr>
              <w:t xml:space="preserve"> في « بر » : « تشاغل »</w:t>
            </w:r>
            <w:r>
              <w:rPr>
                <w:rtl/>
              </w:rPr>
              <w:t>.</w:t>
            </w:r>
          </w:p>
        </w:tc>
      </w:tr>
    </w:tbl>
    <w:p w:rsidR="008A74EB" w:rsidRPr="00C9040A" w:rsidRDefault="008A74EB" w:rsidP="005A24A4">
      <w:pPr>
        <w:pStyle w:val="libFootnote0"/>
        <w:rPr>
          <w:rtl/>
          <w:lang w:bidi="fa-IR"/>
        </w:rPr>
      </w:pPr>
      <w:r>
        <w:rPr>
          <w:rtl/>
        </w:rPr>
        <w:t>(15)</w:t>
      </w:r>
      <w:r w:rsidRPr="00C9040A">
        <w:rPr>
          <w:rtl/>
        </w:rPr>
        <w:t xml:space="preserve"> </w:t>
      </w:r>
      <w:r w:rsidRPr="00993B55">
        <w:rPr>
          <w:rStyle w:val="libFootnoteBoldChar"/>
          <w:rtl/>
        </w:rPr>
        <w:t>الجعفريّات</w:t>
      </w:r>
      <w:r w:rsidRPr="00C9040A">
        <w:rPr>
          <w:rtl/>
        </w:rPr>
        <w:t xml:space="preserve"> ، ص 198 ، بسند آخر عن أبي‌عبدالله ، عن آبائه </w:t>
      </w:r>
      <w:r w:rsidR="00117575" w:rsidRPr="00117575">
        <w:rPr>
          <w:rStyle w:val="libFootnoteAlaemChar"/>
          <w:rtl/>
        </w:rPr>
        <w:t>عليهم‌السلام</w:t>
      </w:r>
      <w:r w:rsidRPr="00C9040A">
        <w:rPr>
          <w:rtl/>
        </w:rPr>
        <w:t xml:space="preserve"> عن النبيّ </w:t>
      </w:r>
      <w:r w:rsidR="004A4E41" w:rsidRPr="005A24A4">
        <w:rPr>
          <w:rStyle w:val="libFootnoteAlaemChar"/>
          <w:rtl/>
        </w:rPr>
        <w:t>صلى‌الله‌عليه‌وآله</w:t>
      </w:r>
      <w:r w:rsidRPr="00C9040A">
        <w:rPr>
          <w:rtl/>
        </w:rPr>
        <w:t xml:space="preserve"> ؛ </w:t>
      </w:r>
      <w:r w:rsidRPr="00993B55">
        <w:rPr>
          <w:rStyle w:val="libFootnoteBoldChar"/>
          <w:rtl/>
        </w:rPr>
        <w:t>المحاسن</w:t>
      </w:r>
      <w:r w:rsidRPr="00C9040A">
        <w:rPr>
          <w:rtl/>
        </w:rPr>
        <w:t xml:space="preserve"> ، ص 362 ، كتاب السفر ، ح 95 ، بسند آخر ؛ </w:t>
      </w:r>
      <w:r w:rsidRPr="00993B55">
        <w:rPr>
          <w:rStyle w:val="libFootnoteBoldChar"/>
          <w:rtl/>
        </w:rPr>
        <w:t>وفيه</w:t>
      </w:r>
      <w:r w:rsidRPr="00C9040A">
        <w:rPr>
          <w:rtl/>
        </w:rPr>
        <w:t xml:space="preserve"> ، ح 96 ، بسند آخر عن أبي‌عبدالله ، عن أبيه </w:t>
      </w:r>
      <w:r w:rsidR="00117575" w:rsidRPr="00117575">
        <w:rPr>
          <w:rStyle w:val="libFootnoteAlaemChar"/>
          <w:rtl/>
        </w:rPr>
        <w:t>عليهما‌السلام</w:t>
      </w:r>
      <w:r w:rsidRPr="00C9040A">
        <w:rPr>
          <w:rtl/>
        </w:rPr>
        <w:t xml:space="preserve"> ، من دون الإسناد إلى النبيّ </w:t>
      </w:r>
      <w:r w:rsidR="004A4E41" w:rsidRPr="005A24A4">
        <w:rPr>
          <w:rStyle w:val="libFootnoteAlaemChar"/>
          <w:rtl/>
        </w:rPr>
        <w:t>صلى‌الله‌عليه‌وآله</w:t>
      </w:r>
      <w:r w:rsidRPr="00C9040A">
        <w:rPr>
          <w:rtl/>
        </w:rPr>
        <w:t xml:space="preserve">. </w:t>
      </w:r>
      <w:r w:rsidRPr="00993B55">
        <w:rPr>
          <w:rStyle w:val="libFootnoteBoldChar"/>
          <w:rtl/>
        </w:rPr>
        <w:t>الفقيه</w:t>
      </w:r>
      <w:r w:rsidRPr="00C9040A">
        <w:rPr>
          <w:rtl/>
        </w:rPr>
        <w:t xml:space="preserve"> ، ص 293 ، ح 2497 ، مرسلاً عن رسول الله </w:t>
      </w:r>
      <w:r w:rsidR="004A4E41" w:rsidRPr="005A24A4">
        <w:rPr>
          <w:rStyle w:val="libFootnoteAlaemChar"/>
          <w:rtl/>
        </w:rPr>
        <w:t>صلى‌الله‌عليه‌وآله</w:t>
      </w:r>
      <w:r w:rsidRPr="00C9040A">
        <w:rPr>
          <w:rtl/>
        </w:rPr>
        <w:t xml:space="preserve"> ، وفي كلّها : « من أعان مؤمناً مسافراً</w:t>
      </w:r>
      <w:r>
        <w:rPr>
          <w:rtl/>
        </w:rPr>
        <w:t xml:space="preserve"> ..</w:t>
      </w:r>
      <w:r w:rsidRPr="00C9040A">
        <w:rPr>
          <w:rtl/>
        </w:rPr>
        <w:t>. » ، مع اختلاف يسير وزيادة</w:t>
      </w:r>
      <w:r w:rsidR="005A24A4">
        <w:rPr>
          <w:rFonts w:hint="cs"/>
          <w:rtl/>
        </w:rPr>
        <w:t>.</w:t>
      </w:r>
      <w:r w:rsidRPr="00993B55">
        <w:rPr>
          <w:rStyle w:val="libFootnoteBoldChar"/>
          <w:rtl/>
        </w:rPr>
        <w:t>الوافي</w:t>
      </w:r>
      <w:r w:rsidRPr="00C9040A">
        <w:rPr>
          <w:rtl/>
        </w:rPr>
        <w:t xml:space="preserve"> ، ج 5 ، ص 671 ، ح 2838 ؛ </w:t>
      </w:r>
      <w:r w:rsidRPr="00993B55">
        <w:rPr>
          <w:rStyle w:val="libFootnoteBoldChar"/>
          <w:rtl/>
        </w:rPr>
        <w:t>الوسائل</w:t>
      </w:r>
      <w:r w:rsidRPr="00C9040A">
        <w:rPr>
          <w:rtl/>
        </w:rPr>
        <w:t xml:space="preserve"> ، ج 16 ، ص 372 ، ح 21793 ؛ </w:t>
      </w:r>
      <w:r w:rsidRPr="00993B55">
        <w:rPr>
          <w:rStyle w:val="libFootnoteBoldChar"/>
          <w:rtl/>
        </w:rPr>
        <w:t>البحار</w:t>
      </w:r>
      <w:r w:rsidRPr="00C9040A">
        <w:rPr>
          <w:rtl/>
        </w:rPr>
        <w:t xml:space="preserve"> ، ج 7 ، ص 197 ، ح 70 ؛ وج 74 ، ص 320 ، ح 86.</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393A13">
        <w:rPr>
          <w:rtl/>
        </w:rPr>
        <w:t>2171</w:t>
      </w:r>
      <w:r w:rsidRPr="00261CB0">
        <w:rPr>
          <w:rStyle w:val="libBold2Char"/>
          <w:rtl/>
        </w:rPr>
        <w:t xml:space="preserve"> / 3.</w:t>
      </w:r>
      <w:r w:rsidRPr="00C9040A">
        <w:rPr>
          <w:rtl/>
          <w:lang w:bidi="fa-IR"/>
        </w:rPr>
        <w:t xml:space="preserve"> عَلِيُّ بْنُ إِبْرَاهِيمَ ، عَنْ أَبِيهِ ، عَنِ ابْنِ أَبِي عُمَيْرٍ ، عَنْ حُسَيْنِ بْنِ نُعَيْمٍ ، عَنْ مِسْمَعٍ أَبِي سَيَّارٍ ، قَالَ :</w:t>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 « مَنْ نَفَّسَ عَنْ مُؤْمِنٍ كُرْبَةً </w:t>
      </w:r>
      <w:r w:rsidR="006C577F" w:rsidRPr="006C577F">
        <w:rPr>
          <w:rStyle w:val="libFootnotenumChar"/>
          <w:rtl/>
        </w:rPr>
        <w:t>(1)</w:t>
      </w:r>
      <w:r w:rsidRPr="00C9040A">
        <w:rPr>
          <w:rtl/>
          <w:lang w:bidi="fa-IR"/>
        </w:rPr>
        <w:t xml:space="preserve"> ، نَفَّسَ اللهُ عَنْهُ كُرَبَ الْآخِرَةِ ، وَخَرَجَ مِنْ قَبْرِهِ وَهُوَ ثَلِجُ </w:t>
      </w:r>
      <w:r w:rsidR="006C577F" w:rsidRPr="006C577F">
        <w:rPr>
          <w:rStyle w:val="libFootnotenumChar"/>
          <w:rtl/>
        </w:rPr>
        <w:t>(2)</w:t>
      </w:r>
      <w:r w:rsidRPr="00C9040A">
        <w:rPr>
          <w:rtl/>
          <w:lang w:bidi="fa-IR"/>
        </w:rPr>
        <w:t xml:space="preserve"> الْفُؤَادِ ؛ وَمَنْ أَطْعَمَهُ مِنْ جُوعٍ ، أَطْعَمَهُ اللهُ مِنْ ثِمَارِ الْجَنَّةِ ؛ وَمَنْ سَقَاهُ شَرْبَةً </w:t>
      </w:r>
      <w:r w:rsidR="006C577F" w:rsidRPr="006C577F">
        <w:rPr>
          <w:rStyle w:val="libFootnotenumChar"/>
          <w:rtl/>
        </w:rPr>
        <w:t>(3)</w:t>
      </w:r>
      <w:r w:rsidRPr="00C9040A">
        <w:rPr>
          <w:rtl/>
          <w:lang w:bidi="fa-IR"/>
        </w:rPr>
        <w:t xml:space="preserve"> ، سَقَاهُ اللهُ مِنَ الرَّحِيقِ </w:t>
      </w:r>
      <w:r w:rsidR="006C577F" w:rsidRPr="006C577F">
        <w:rPr>
          <w:rStyle w:val="libFootnotenumChar"/>
          <w:rtl/>
        </w:rPr>
        <w:t>(4)</w:t>
      </w:r>
      <w:r w:rsidRPr="00C9040A">
        <w:rPr>
          <w:rtl/>
          <w:lang w:bidi="fa-IR"/>
        </w:rPr>
        <w:t xml:space="preserve"> الْمَخْتُومِ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393A13">
        <w:rPr>
          <w:rtl/>
        </w:rPr>
        <w:t>2172</w:t>
      </w:r>
      <w:r w:rsidRPr="00261CB0">
        <w:rPr>
          <w:rStyle w:val="libBold2Char"/>
          <w:rtl/>
        </w:rPr>
        <w:t xml:space="preserve"> / 4.</w:t>
      </w:r>
      <w:r w:rsidRPr="00C9040A">
        <w:rPr>
          <w:rtl/>
          <w:lang w:bidi="fa-IR"/>
        </w:rPr>
        <w:t xml:space="preserve"> الْحُسَيْنُ بْنُ مُحَمَّدٍ ، عَنْ مُعَلَّى بْنِ مُحَمَّدٍ ، عَنِ الْحَسَنِ بْنِ عَلِيٍّ الْوَشَّاءِ :</w:t>
      </w:r>
    </w:p>
    <w:p w:rsidR="008A74EB" w:rsidRPr="00C9040A" w:rsidRDefault="008A74EB" w:rsidP="008A74EB">
      <w:pPr>
        <w:pStyle w:val="libNormal"/>
        <w:rPr>
          <w:rtl/>
          <w:lang w:bidi="fa-IR"/>
        </w:rPr>
      </w:pPr>
      <w:r w:rsidRPr="00C9040A">
        <w:rPr>
          <w:rtl/>
          <w:lang w:bidi="fa-IR"/>
        </w:rPr>
        <w:t xml:space="preserve">عَنِ الرِّضَا </w:t>
      </w:r>
      <w:r w:rsidRPr="0003660B">
        <w:rPr>
          <w:rStyle w:val="libAlaemChar"/>
          <w:rtl/>
        </w:rPr>
        <w:t>عليه‌السلام</w:t>
      </w:r>
      <w:r w:rsidRPr="00C9040A">
        <w:rPr>
          <w:rtl/>
          <w:lang w:bidi="fa-IR"/>
        </w:rPr>
        <w:t xml:space="preserve"> ، قَالَ : « مَنْ فَرَّجَ عَنْ مُؤْمِنٍ </w:t>
      </w:r>
      <w:r w:rsidR="006C577F" w:rsidRPr="006C577F">
        <w:rPr>
          <w:rStyle w:val="libFootnotenumChar"/>
          <w:rtl/>
        </w:rPr>
        <w:t>(6)</w:t>
      </w:r>
      <w:r w:rsidRPr="005B567D">
        <w:rPr>
          <w:rStyle w:val="libFootnotenumChar"/>
          <w:rtl/>
        </w:rPr>
        <w:t xml:space="preserve"> </w:t>
      </w:r>
      <w:r w:rsidRPr="00C9040A">
        <w:rPr>
          <w:rtl/>
          <w:lang w:bidi="fa-IR"/>
        </w:rPr>
        <w:t xml:space="preserve">، فَرَّجَ </w:t>
      </w:r>
      <w:r w:rsidR="006C577F" w:rsidRPr="006C577F">
        <w:rPr>
          <w:rStyle w:val="libFootnotenumChar"/>
          <w:rtl/>
        </w:rPr>
        <w:t>(7)</w:t>
      </w:r>
      <w:r w:rsidRPr="00C9040A">
        <w:rPr>
          <w:rtl/>
          <w:lang w:bidi="fa-IR"/>
        </w:rPr>
        <w:t xml:space="preserve"> اللهُ عَنْ </w:t>
      </w:r>
      <w:r w:rsidR="006C577F" w:rsidRPr="006C577F">
        <w:rPr>
          <w:rStyle w:val="libFootnotenumChar"/>
          <w:rtl/>
        </w:rPr>
        <w:t>(8)</w:t>
      </w:r>
      <w:r w:rsidRPr="00C9040A">
        <w:rPr>
          <w:rtl/>
          <w:lang w:bidi="fa-IR"/>
        </w:rPr>
        <w:t xml:space="preserve"> قَلْبِهِ يَوْمَ الْقِيَامَةِ »</w:t>
      </w:r>
      <w:r>
        <w:rPr>
          <w:rtl/>
          <w:lang w:bidi="fa-IR"/>
        </w:rPr>
        <w:t>.</w:t>
      </w:r>
      <w:r w:rsidRPr="00C9040A">
        <w:rPr>
          <w:rtl/>
          <w:lang w:bidi="fa-IR"/>
        </w:rPr>
        <w:t xml:space="preserve"> </w:t>
      </w:r>
      <w:r w:rsidR="006C577F" w:rsidRPr="006C577F">
        <w:rPr>
          <w:rStyle w:val="libFootnotenumChar"/>
          <w:rtl/>
        </w:rPr>
        <w:t>(9)</w:t>
      </w:r>
      <w:r w:rsidRPr="00C9040A">
        <w:rPr>
          <w:rtl/>
          <w:lang w:bidi="fa-IR"/>
        </w:rPr>
        <w:t xml:space="preserve"> ‌</w:t>
      </w:r>
    </w:p>
    <w:p w:rsidR="008A74EB" w:rsidRPr="00C9040A" w:rsidRDefault="008A74EB" w:rsidP="008A74EB">
      <w:pPr>
        <w:pStyle w:val="libNormal"/>
        <w:rPr>
          <w:rtl/>
          <w:lang w:bidi="fa-IR"/>
        </w:rPr>
      </w:pPr>
      <w:r w:rsidRPr="00393A13">
        <w:rPr>
          <w:rtl/>
        </w:rPr>
        <w:t>2173</w:t>
      </w:r>
      <w:r w:rsidRPr="00261CB0">
        <w:rPr>
          <w:rStyle w:val="libBold2Char"/>
          <w:rtl/>
        </w:rPr>
        <w:t xml:space="preserve"> / 5.</w:t>
      </w:r>
      <w:r w:rsidRPr="00C9040A">
        <w:rPr>
          <w:rtl/>
          <w:lang w:bidi="fa-IR"/>
        </w:rPr>
        <w:t xml:space="preserve"> مُحَمَّدُ بْنُ يَحْيى ، عَنْ أَحْمَدَ بْنِ مُحَمَّدٍ ، عَنِ الْحَسَنِ بْنِ مَحْبُوبٍ ، عَنْ جَمِيلِ بْنِ صَالِحٍ ، عَنْ ذَرِيحٍ </w:t>
      </w:r>
      <w:r w:rsidR="006C577F" w:rsidRPr="006C577F">
        <w:rPr>
          <w:rStyle w:val="libFootnotenumChar"/>
          <w:rtl/>
        </w:rPr>
        <w:t>(10)</w:t>
      </w:r>
      <w:r w:rsidRPr="00C9040A">
        <w:rPr>
          <w:rtl/>
          <w:lang w:bidi="fa-IR"/>
        </w:rPr>
        <w:t xml:space="preserve"> ، قَالَ :</w:t>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 « أَيُّمَا مُؤْمِنٍ نَفَّسَ عَنْ مُؤْمِنٍ كُرْبَةً </w:t>
      </w:r>
      <w:r w:rsidR="006C577F" w:rsidRPr="006C577F">
        <w:rPr>
          <w:rStyle w:val="libFootnotenumChar"/>
          <w:rtl/>
        </w:rPr>
        <w:t>(11)</w:t>
      </w:r>
      <w:r>
        <w:rPr>
          <w:rtl/>
          <w:lang w:bidi="fa-IR"/>
        </w:rPr>
        <w:t xml:space="preserve"> </w:t>
      </w:r>
      <w:r w:rsidR="0084262C">
        <w:rPr>
          <w:rtl/>
          <w:lang w:bidi="fa-IR"/>
        </w:rPr>
        <w:t>-</w:t>
      </w:r>
      <w:r>
        <w:rPr>
          <w:rtl/>
          <w:lang w:bidi="fa-IR"/>
        </w:rPr>
        <w:t xml:space="preserve"> </w:t>
      </w:r>
      <w:r w:rsidRPr="00C9040A">
        <w:rPr>
          <w:rtl/>
          <w:lang w:bidi="fa-IR"/>
        </w:rPr>
        <w:t xml:space="preserve">وَهُوَ مُعْسِرٌ </w:t>
      </w:r>
      <w:r w:rsidR="0084262C">
        <w:rPr>
          <w:rtl/>
          <w:lang w:bidi="fa-IR"/>
        </w:rPr>
        <w:t>-</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ب » : « كربته »</w:t>
      </w:r>
      <w:r w:rsidR="008A74EB">
        <w:rPr>
          <w:rtl/>
        </w:rPr>
        <w:t>.</w:t>
      </w:r>
      <w:r w:rsidR="008A74EB" w:rsidRPr="00C9040A">
        <w:rPr>
          <w:rtl/>
        </w:rPr>
        <w:t xml:space="preserve"> وفي حاشية « ف » : + « في الدنيا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ثلِجَت نفسُه بكذا : بَرَدت وسُرّت. </w:t>
      </w:r>
      <w:r w:rsidR="008A74EB" w:rsidRPr="00993B55">
        <w:rPr>
          <w:rStyle w:val="libFootnoteBoldChar"/>
          <w:rtl/>
        </w:rPr>
        <w:t>أساس البلاغة</w:t>
      </w:r>
      <w:r w:rsidR="008A74EB" w:rsidRPr="00C9040A">
        <w:rPr>
          <w:rtl/>
        </w:rPr>
        <w:t xml:space="preserve"> ، ص 47 ( ثلج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البحار ، ج 7 وثواب الأعمال ، ص 179 : « شربة ماء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 الرحيق » : من أسماء الخمر. يريد خمرَ الجنّة. </w:t>
      </w:r>
      <w:r w:rsidR="008A74EB">
        <w:rPr>
          <w:rtl/>
        </w:rPr>
        <w:t>و «</w:t>
      </w:r>
      <w:r w:rsidR="008A74EB" w:rsidRPr="00C9040A">
        <w:rPr>
          <w:rtl/>
        </w:rPr>
        <w:t xml:space="preserve"> المختوم » : المصون الذي لم يبتذل لأجل ختامه. </w:t>
      </w:r>
      <w:r w:rsidR="008A74EB" w:rsidRPr="00993B55">
        <w:rPr>
          <w:rStyle w:val="libFootnoteBoldChar"/>
          <w:rtl/>
        </w:rPr>
        <w:t>النهاية</w:t>
      </w:r>
      <w:r w:rsidR="008A74EB" w:rsidRPr="00C9040A">
        <w:rPr>
          <w:rtl/>
        </w:rPr>
        <w:t xml:space="preserve"> ، ج 2 ، ص 208 ( رحق )</w:t>
      </w:r>
      <w:r w:rsidR="008A74EB">
        <w:rPr>
          <w:rtl/>
        </w:rPr>
        <w:t>.</w:t>
      </w:r>
    </w:p>
    <w:p w:rsidR="008A74EB" w:rsidRPr="00C9040A" w:rsidRDefault="006C577F" w:rsidP="0048040A">
      <w:pPr>
        <w:pStyle w:val="libFootnote0"/>
        <w:rPr>
          <w:rtl/>
          <w:lang w:bidi="fa-IR"/>
        </w:rPr>
      </w:pPr>
      <w:r>
        <w:rPr>
          <w:rtl/>
        </w:rPr>
        <w:t>(5).</w:t>
      </w:r>
      <w:r w:rsidR="008A74EB" w:rsidRPr="00C9040A">
        <w:rPr>
          <w:rtl/>
        </w:rPr>
        <w:t xml:space="preserve"> </w:t>
      </w:r>
      <w:r w:rsidR="008A74EB" w:rsidRPr="00993B55">
        <w:rPr>
          <w:rStyle w:val="libFootnoteBoldChar"/>
          <w:rtl/>
        </w:rPr>
        <w:t>المؤمن</w:t>
      </w:r>
      <w:r w:rsidR="008A74EB" w:rsidRPr="00C9040A">
        <w:rPr>
          <w:rtl/>
        </w:rPr>
        <w:t xml:space="preserve"> ، ص 48 ، ح 115 ، عن مسمع ، إلى قوله : « وهو ثلج الفؤاد » ؛ </w:t>
      </w:r>
      <w:r w:rsidR="008A74EB" w:rsidRPr="00993B55">
        <w:rPr>
          <w:rStyle w:val="libFootnoteBoldChar"/>
          <w:rtl/>
        </w:rPr>
        <w:t>ثواب الأعمال</w:t>
      </w:r>
      <w:r w:rsidR="008A74EB" w:rsidRPr="00C9040A">
        <w:rPr>
          <w:rtl/>
        </w:rPr>
        <w:t xml:space="preserve"> ، ص 179 ، ح 1 ، عن أبيه ، عن عليّ بن إبراهيم ، عن أبيه ، عن محمّد بن أبي‌عمير ، عن الحسن بن نعيم ، عن مسمع كردين. </w:t>
      </w:r>
      <w:r w:rsidR="008A74EB" w:rsidRPr="00993B55">
        <w:rPr>
          <w:rStyle w:val="libFootnoteBoldChar"/>
          <w:rtl/>
        </w:rPr>
        <w:t>وفيه</w:t>
      </w:r>
      <w:r w:rsidR="008A74EB" w:rsidRPr="00C9040A">
        <w:rPr>
          <w:rtl/>
        </w:rPr>
        <w:t xml:space="preserve"> ، ص 175 ، ضمن الحديث الطويل 1 ، بسند آخر عن عليّ بن الحسين </w:t>
      </w:r>
      <w:r w:rsidR="00117575" w:rsidRPr="00117575">
        <w:rPr>
          <w:rStyle w:val="libFootnoteAlaemChar"/>
          <w:rtl/>
        </w:rPr>
        <w:t>عليهما‌السلام</w:t>
      </w:r>
      <w:r w:rsidR="008A74EB" w:rsidRPr="00C9040A">
        <w:rPr>
          <w:rtl/>
        </w:rPr>
        <w:t xml:space="preserve"> ، مع اختلاف يسير. وراجع : </w:t>
      </w:r>
      <w:r w:rsidR="008A74EB" w:rsidRPr="00993B55">
        <w:rPr>
          <w:rStyle w:val="libFootnoteBoldChar"/>
          <w:rtl/>
        </w:rPr>
        <w:t>الكافي</w:t>
      </w:r>
      <w:r w:rsidR="008A74EB" w:rsidRPr="00C9040A">
        <w:rPr>
          <w:rtl/>
        </w:rPr>
        <w:t xml:space="preserve"> ، كتاب الإيمان والكفر ، باب إطعام </w:t>
      </w:r>
      <w:r w:rsidR="008A74EB" w:rsidRPr="00A64E66">
        <w:rPr>
          <w:rtl/>
        </w:rPr>
        <w:t>المؤمن</w:t>
      </w:r>
      <w:r w:rsidR="008A74EB" w:rsidRPr="00C9040A">
        <w:rPr>
          <w:rtl/>
        </w:rPr>
        <w:t xml:space="preserve"> ، ح 2178 ومصادره</w:t>
      </w:r>
      <w:r w:rsidR="0048040A">
        <w:rPr>
          <w:rFonts w:hint="cs"/>
          <w:rtl/>
        </w:rPr>
        <w:t>.</w:t>
      </w:r>
      <w:r w:rsidR="008A74EB" w:rsidRPr="00993B55">
        <w:rPr>
          <w:rStyle w:val="libFootnoteBoldChar"/>
          <w:rtl/>
        </w:rPr>
        <w:t>الوافي</w:t>
      </w:r>
      <w:r w:rsidR="008A74EB" w:rsidRPr="00C9040A">
        <w:rPr>
          <w:rtl/>
        </w:rPr>
        <w:t xml:space="preserve"> ، ج 5 ، ص 671 ، ح 2839 ؛ </w:t>
      </w:r>
      <w:r w:rsidR="008A74EB" w:rsidRPr="00993B55">
        <w:rPr>
          <w:rStyle w:val="libFootnoteBoldChar"/>
          <w:rtl/>
        </w:rPr>
        <w:t>الوسائل</w:t>
      </w:r>
      <w:r w:rsidR="008A74EB" w:rsidRPr="00C9040A">
        <w:rPr>
          <w:rtl/>
        </w:rPr>
        <w:t xml:space="preserve"> ، ج 16 ، ص 371 ، ح 21792 ؛ </w:t>
      </w:r>
      <w:r w:rsidR="008A74EB" w:rsidRPr="00993B55">
        <w:rPr>
          <w:rStyle w:val="libFootnoteBoldChar"/>
          <w:rtl/>
        </w:rPr>
        <w:t>البحار</w:t>
      </w:r>
      <w:r w:rsidR="008A74EB" w:rsidRPr="00C9040A">
        <w:rPr>
          <w:rtl/>
        </w:rPr>
        <w:t xml:space="preserve"> ، ج 7 ، ص 198 ، ح 71 ؛ وج 74 ، ص 321 ، ح 87.</w:t>
      </w:r>
    </w:p>
    <w:tbl>
      <w:tblPr>
        <w:tblStyle w:val="TableGrid"/>
        <w:bidiVisual/>
        <w:tblW w:w="0" w:type="auto"/>
        <w:tblLook w:val="04A0" w:firstRow="1" w:lastRow="0" w:firstColumn="1" w:lastColumn="0" w:noHBand="0" w:noVBand="1"/>
      </w:tblPr>
      <w:tblGrid>
        <w:gridCol w:w="4006"/>
        <w:gridCol w:w="4006"/>
      </w:tblGrid>
      <w:tr w:rsidR="0048040A" w:rsidTr="0048040A">
        <w:tc>
          <w:tcPr>
            <w:tcW w:w="4006" w:type="dxa"/>
          </w:tcPr>
          <w:p w:rsidR="0048040A" w:rsidRDefault="0048040A" w:rsidP="004A4E41">
            <w:pPr>
              <w:pStyle w:val="libFootnote0"/>
              <w:rPr>
                <w:rtl/>
              </w:rPr>
            </w:pPr>
            <w:r>
              <w:rPr>
                <w:rtl/>
              </w:rPr>
              <w:t xml:space="preserve">(6). </w:t>
            </w:r>
            <w:r w:rsidRPr="00C9040A">
              <w:rPr>
                <w:rtl/>
              </w:rPr>
              <w:t>في « ف » : + « كربة »</w:t>
            </w:r>
            <w:r>
              <w:rPr>
                <w:rtl/>
              </w:rPr>
              <w:t>.</w:t>
            </w:r>
          </w:p>
        </w:tc>
        <w:tc>
          <w:tcPr>
            <w:tcW w:w="4006" w:type="dxa"/>
          </w:tcPr>
          <w:p w:rsidR="0048040A" w:rsidRDefault="0048040A" w:rsidP="004A4E41">
            <w:pPr>
              <w:pStyle w:val="libFootnote0"/>
              <w:rPr>
                <w:rtl/>
              </w:rPr>
            </w:pPr>
            <w:r>
              <w:rPr>
                <w:rtl/>
              </w:rPr>
              <w:t>(7).</w:t>
            </w:r>
            <w:r w:rsidRPr="00C9040A">
              <w:rPr>
                <w:rtl/>
              </w:rPr>
              <w:t xml:space="preserve"> في الوسائل : « فرح »</w:t>
            </w:r>
            <w:r>
              <w:rPr>
                <w:rtl/>
              </w:rPr>
              <w:t>.</w:t>
            </w:r>
          </w:p>
        </w:tc>
      </w:tr>
    </w:tbl>
    <w:p w:rsidR="008A74EB" w:rsidRPr="00C9040A" w:rsidRDefault="006C577F" w:rsidP="004A4E41">
      <w:pPr>
        <w:pStyle w:val="libFootnote0"/>
        <w:rPr>
          <w:rtl/>
          <w:lang w:bidi="fa-IR"/>
        </w:rPr>
      </w:pPr>
      <w:r>
        <w:rPr>
          <w:rtl/>
        </w:rPr>
        <w:t>(8).</w:t>
      </w:r>
      <w:r w:rsidR="008A74EB" w:rsidRPr="00C9040A">
        <w:rPr>
          <w:rtl/>
        </w:rPr>
        <w:t xml:space="preserve"> في « ب ، د ، ز ، ف ، بر ، بس ، بف » والوافي والوسائل والبحار </w:t>
      </w:r>
      <w:r w:rsidR="008A74EB">
        <w:rPr>
          <w:rtl/>
        </w:rPr>
        <w:t xml:space="preserve">: </w:t>
      </w:r>
      <w:r w:rsidR="0084262C">
        <w:rPr>
          <w:rtl/>
        </w:rPr>
        <w:t>-</w:t>
      </w:r>
      <w:r w:rsidR="008A74EB" w:rsidRPr="00C9040A">
        <w:rPr>
          <w:rtl/>
        </w:rPr>
        <w:t xml:space="preserve"> « عن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w:t>
      </w:r>
      <w:r w:rsidR="008A74EB" w:rsidRPr="00993B55">
        <w:rPr>
          <w:rStyle w:val="libFootnoteBoldChar"/>
          <w:rtl/>
        </w:rPr>
        <w:t>الوافي</w:t>
      </w:r>
      <w:r w:rsidR="008A74EB" w:rsidRPr="00C9040A">
        <w:rPr>
          <w:rtl/>
        </w:rPr>
        <w:t xml:space="preserve"> ، ج 5 ، ص 672 ، ح 2840 ؛ </w:t>
      </w:r>
      <w:r w:rsidR="008A74EB" w:rsidRPr="00993B55">
        <w:rPr>
          <w:rStyle w:val="libFootnoteBoldChar"/>
          <w:rtl/>
        </w:rPr>
        <w:t>الوسائل</w:t>
      </w:r>
      <w:r w:rsidR="008A74EB" w:rsidRPr="00C9040A">
        <w:rPr>
          <w:rtl/>
        </w:rPr>
        <w:t xml:space="preserve"> ، ج 16 ، ص 372 ، ح 21794 ؛ </w:t>
      </w:r>
      <w:r w:rsidR="008A74EB" w:rsidRPr="00993B55">
        <w:rPr>
          <w:rStyle w:val="libFootnoteBoldChar"/>
          <w:rtl/>
        </w:rPr>
        <w:t>البحار</w:t>
      </w:r>
      <w:r w:rsidR="008A74EB" w:rsidRPr="00C9040A">
        <w:rPr>
          <w:rtl/>
        </w:rPr>
        <w:t xml:space="preserve"> ، ج 74 ، ص 321 ، ح 88.</w:t>
      </w:r>
    </w:p>
    <w:p w:rsidR="008A74EB" w:rsidRPr="00C9040A" w:rsidRDefault="006C577F" w:rsidP="004A4E41">
      <w:pPr>
        <w:pStyle w:val="libFootnote0"/>
        <w:rPr>
          <w:rtl/>
          <w:lang w:bidi="fa-IR"/>
        </w:rPr>
      </w:pPr>
      <w:r>
        <w:rPr>
          <w:rtl/>
        </w:rPr>
        <w:t>(10).</w:t>
      </w:r>
      <w:r w:rsidR="008A74EB" w:rsidRPr="00C9040A">
        <w:rPr>
          <w:rtl/>
        </w:rPr>
        <w:t xml:space="preserve"> هكذا في النسخ والطبعة الحجريّة والوسائل والبحار. وفي حاشية « ج ، بر » والمطبوع : + « المحاربي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في « بر » : « كربة مؤمن »</w:t>
      </w:r>
      <w:r w:rsidR="008A74EB">
        <w:rPr>
          <w:rtl/>
        </w:rPr>
        <w:t>.</w:t>
      </w:r>
      <w:r w:rsidR="008A74EB" w:rsidRPr="00C9040A">
        <w:rPr>
          <w:rtl/>
        </w:rPr>
        <w:t xml:space="preserve"> وفي المؤمن وثواب الأعمال : + « نفّس الله عنه سبعين كربة من كرب الدنيا </w:t>
      </w:r>
      <w:r w:rsidR="0048040A">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يَسَّرَ اللهُ لَهُ </w:t>
      </w:r>
      <w:r w:rsidR="006C577F" w:rsidRPr="006C577F">
        <w:rPr>
          <w:rStyle w:val="libFootnotenumChar"/>
          <w:rtl/>
        </w:rPr>
        <w:t>(1)</w:t>
      </w:r>
      <w:r w:rsidRPr="00C9040A">
        <w:rPr>
          <w:rtl/>
          <w:lang w:bidi="fa-IR"/>
        </w:rPr>
        <w:t xml:space="preserve"> حَوَائِجَهُ فِي الدُّنْيَا وَالْآخِرَةِ »</w:t>
      </w:r>
      <w:r>
        <w:rPr>
          <w:rtl/>
          <w:lang w:bidi="fa-IR"/>
        </w:rPr>
        <w:t>.</w:t>
      </w:r>
    </w:p>
    <w:p w:rsidR="008A74EB" w:rsidRPr="00C9040A" w:rsidRDefault="008A74EB" w:rsidP="008A74EB">
      <w:pPr>
        <w:pStyle w:val="libNormal"/>
        <w:rPr>
          <w:rtl/>
          <w:lang w:bidi="fa-IR"/>
        </w:rPr>
      </w:pPr>
      <w:r w:rsidRPr="00C9040A">
        <w:rPr>
          <w:rtl/>
          <w:lang w:bidi="fa-IR"/>
        </w:rPr>
        <w:t xml:space="preserve">قَالَ : « وَمَنْ سَتَرَ عَلى مُؤْمِنٍ عَوْرَةً يَخَافُهَا ، سَتَرَ اللهُ عَلَيْهِ سَبْعِينَ عَوْرَةً مِنْ عَوْرَاتِ الدُّنْيَا </w:t>
      </w:r>
      <w:r w:rsidR="006C577F" w:rsidRPr="006C577F">
        <w:rPr>
          <w:rStyle w:val="libFootnotenumChar"/>
          <w:rtl/>
        </w:rPr>
        <w:t>(2)</w:t>
      </w:r>
      <w:r w:rsidRPr="00C9040A">
        <w:rPr>
          <w:rtl/>
          <w:lang w:bidi="fa-IR"/>
        </w:rPr>
        <w:t xml:space="preserve"> وَالْآخِرَةِ »</w:t>
      </w:r>
      <w:r>
        <w:rPr>
          <w:rtl/>
          <w:lang w:bidi="fa-IR"/>
        </w:rPr>
        <w:t>.</w:t>
      </w:r>
    </w:p>
    <w:p w:rsidR="008A74EB" w:rsidRPr="00C9040A" w:rsidRDefault="008A74EB" w:rsidP="008A74EB">
      <w:pPr>
        <w:pStyle w:val="libNormal"/>
        <w:rPr>
          <w:rtl/>
          <w:lang w:bidi="fa-IR"/>
        </w:rPr>
      </w:pPr>
      <w:r w:rsidRPr="00C9040A">
        <w:rPr>
          <w:rtl/>
          <w:lang w:bidi="fa-IR"/>
        </w:rPr>
        <w:t xml:space="preserve">قَالَ : « وَاللهُ </w:t>
      </w:r>
      <w:r w:rsidR="006C577F" w:rsidRPr="006C577F">
        <w:rPr>
          <w:rStyle w:val="libFootnotenumChar"/>
          <w:rtl/>
        </w:rPr>
        <w:t>(3)</w:t>
      </w:r>
      <w:r w:rsidRPr="00C9040A">
        <w:rPr>
          <w:rtl/>
          <w:lang w:bidi="fa-IR"/>
        </w:rPr>
        <w:t xml:space="preserve"> فِي عَوْنِ الْمُؤْمِنِ مَا كَانَ </w:t>
      </w:r>
      <w:r w:rsidR="006C577F" w:rsidRPr="006C577F">
        <w:rPr>
          <w:rStyle w:val="libFootnotenumChar"/>
          <w:rtl/>
        </w:rPr>
        <w:t>(4)</w:t>
      </w:r>
      <w:r w:rsidRPr="00C9040A">
        <w:rPr>
          <w:rtl/>
          <w:lang w:bidi="fa-IR"/>
        </w:rPr>
        <w:t xml:space="preserve"> الْمُؤْمِنُ فِي عَوْنِ أَخِيهِ ؛ فَانْتَفِعُوا بِالْعِظَةِ ، وَارْغَبُوا فِي الْخَيْرِ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Heading2Center"/>
        <w:rPr>
          <w:rtl/>
          <w:lang w:bidi="fa-IR"/>
        </w:rPr>
      </w:pPr>
      <w:bookmarkStart w:id="268" w:name="_Toc343795677"/>
      <w:bookmarkStart w:id="269" w:name="_Toc459810801"/>
      <w:bookmarkStart w:id="270" w:name="_Toc35348707"/>
      <w:r w:rsidRPr="00C9040A">
        <w:rPr>
          <w:rtl/>
          <w:lang w:bidi="fa-IR"/>
        </w:rPr>
        <w:t>86</w:t>
      </w:r>
      <w:r>
        <w:rPr>
          <w:rtl/>
          <w:lang w:bidi="fa-IR"/>
        </w:rPr>
        <w:t xml:space="preserve"> </w:t>
      </w:r>
      <w:r w:rsidR="0084262C">
        <w:rPr>
          <w:rtl/>
          <w:lang w:bidi="fa-IR"/>
        </w:rPr>
        <w:t>-</w:t>
      </w:r>
      <w:r>
        <w:rPr>
          <w:rtl/>
          <w:lang w:bidi="fa-IR"/>
        </w:rPr>
        <w:t xml:space="preserve"> </w:t>
      </w:r>
      <w:r w:rsidRPr="00C9040A">
        <w:rPr>
          <w:rtl/>
          <w:lang w:bidi="fa-IR"/>
        </w:rPr>
        <w:t>بَابُ إِطْعَامِ الْمُؤْمِنِ‌</w:t>
      </w:r>
      <w:bookmarkEnd w:id="268"/>
      <w:bookmarkEnd w:id="269"/>
      <w:bookmarkEnd w:id="270"/>
    </w:p>
    <w:p w:rsidR="008A74EB" w:rsidRPr="00C9040A" w:rsidRDefault="008A74EB" w:rsidP="008A74EB">
      <w:pPr>
        <w:pStyle w:val="libNormal"/>
        <w:rPr>
          <w:rtl/>
          <w:lang w:bidi="fa-IR"/>
        </w:rPr>
      </w:pPr>
      <w:r w:rsidRPr="00393A13">
        <w:rPr>
          <w:rtl/>
        </w:rPr>
        <w:t>2174</w:t>
      </w:r>
      <w:r w:rsidRPr="00261CB0">
        <w:rPr>
          <w:rStyle w:val="libBold2Char"/>
          <w:rtl/>
        </w:rPr>
        <w:t xml:space="preserve"> / 1.</w:t>
      </w:r>
      <w:r w:rsidRPr="00C9040A">
        <w:rPr>
          <w:rtl/>
          <w:lang w:bidi="fa-IR"/>
        </w:rPr>
        <w:t xml:space="preserve"> مُحَمَّدُ بْنُ يَحْيى ، عَنْ أَحْمَدَ بْنِ مُحَمَّدِ بْنِ عِيسى ، عَنْ أَبِي يَحْيَى الْوَاسِطِيِّ ، عَنْ بَعْضِ أَصْحَابِنَا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مَنْ أَشْبَعَ مُؤْمِناً ، وَجَبَتْ لَهُ الْجَنَّةُ ؛ وَمَنْ أَشْبَعَ كَافِراً ، كَانَ حَقّاً عَلَى اللهِ أَنْ يَمْلَأَ جَوْفَهُ مِنَ الزَّقُّومِ </w:t>
      </w:r>
      <w:r w:rsidR="006C577F" w:rsidRPr="006C577F">
        <w:rPr>
          <w:rStyle w:val="libFootnotenumChar"/>
          <w:rtl/>
        </w:rPr>
        <w:t>(6)</w:t>
      </w:r>
      <w:r w:rsidRPr="005B567D">
        <w:rPr>
          <w:rStyle w:val="libFootnotenumChar"/>
          <w:rtl/>
        </w:rPr>
        <w:t xml:space="preserve"> </w:t>
      </w:r>
      <w:r w:rsidRPr="00C9040A">
        <w:rPr>
          <w:rtl/>
          <w:lang w:bidi="fa-IR"/>
        </w:rPr>
        <w:t>، مُؤْمِناً كَانَ أَوْ كَافِراً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393A13">
        <w:rPr>
          <w:rtl/>
        </w:rPr>
        <w:t>2175</w:t>
      </w:r>
      <w:r w:rsidRPr="00261CB0">
        <w:rPr>
          <w:rStyle w:val="libBold2Char"/>
          <w:rtl/>
        </w:rPr>
        <w:t xml:space="preserve"> / 2.</w:t>
      </w:r>
      <w:r w:rsidRPr="00C9040A">
        <w:rPr>
          <w:rtl/>
          <w:lang w:bidi="fa-IR"/>
        </w:rPr>
        <w:t xml:space="preserve"> عَنْهُ ، عَنْ أَحْمَدَ بْنِ مُحَمَّدٍ ، عَنْ عُثْمَانَ بْنِ عِيسى ، عَنْ بَعْضِ أَصْحَابِنَا ، عَنْ أَبِي بَصِيرٍ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لَأَنْ أُطْعِمَ رَجُلاً مِنَ الْمُسْلِمِينَ أَحَبُّ إِلَيَّ مِنْ أَنْ‌</w:t>
      </w:r>
    </w:p>
    <w:p w:rsidR="008A74EB" w:rsidRPr="00C9040A" w:rsidRDefault="008A74EB" w:rsidP="008A74EB">
      <w:pPr>
        <w:pStyle w:val="libLine"/>
        <w:rPr>
          <w:rtl/>
          <w:lang w:bidi="fa-IR"/>
        </w:rPr>
      </w:pPr>
      <w:r w:rsidRPr="00C9040A">
        <w:rPr>
          <w:rtl/>
          <w:lang w:bidi="fa-IR"/>
        </w:rPr>
        <w:t>__________________</w:t>
      </w:r>
    </w:p>
    <w:p w:rsidR="008A74EB" w:rsidRPr="00C9040A" w:rsidRDefault="00AB17EC" w:rsidP="004A4E41">
      <w:pPr>
        <w:pStyle w:val="libFootnote0"/>
        <w:rPr>
          <w:rtl/>
          <w:lang w:bidi="fa-IR"/>
        </w:rPr>
      </w:pPr>
      <w:r>
        <w:rPr>
          <w:rFonts w:hint="cs"/>
          <w:rtl/>
        </w:rPr>
        <w:t xml:space="preserve">= </w:t>
      </w:r>
      <w:r w:rsidR="008A74EB" w:rsidRPr="00C9040A">
        <w:rPr>
          <w:rtl/>
        </w:rPr>
        <w:t>وكرب يوم القيامة. وقال : من يسّر على مؤمن »</w:t>
      </w:r>
      <w:r w:rsidR="008A74EB">
        <w:rPr>
          <w:rtl/>
        </w:rPr>
        <w:t>.</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ض » </w:t>
      </w:r>
      <w:r w:rsidR="008A74EB">
        <w:rPr>
          <w:rtl/>
        </w:rPr>
        <w:t xml:space="preserve">: </w:t>
      </w:r>
      <w:r w:rsidR="0084262C">
        <w:rPr>
          <w:rtl/>
        </w:rPr>
        <w:t>-</w:t>
      </w:r>
      <w:r w:rsidR="008A74EB" w:rsidRPr="00C9040A">
        <w:rPr>
          <w:rtl/>
        </w:rPr>
        <w:t xml:space="preserve"> « له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المؤمن وثواب الأعمال : « من عوراته التي يخافها في الدنيا » بدل « من عورات الدنيا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المؤمن وثواب الأعمال : « وإنّ الله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حاشية « بر » : « مادام »</w:t>
      </w:r>
      <w:r w:rsidR="008A74EB">
        <w:rPr>
          <w:rtl/>
        </w:rPr>
        <w:t>.</w:t>
      </w:r>
    </w:p>
    <w:p w:rsidR="008A74EB" w:rsidRPr="00C9040A" w:rsidRDefault="006C577F" w:rsidP="00A766B4">
      <w:pPr>
        <w:pStyle w:val="libFootnote0"/>
        <w:rPr>
          <w:rtl/>
          <w:lang w:bidi="fa-IR"/>
        </w:rPr>
      </w:pPr>
      <w:r>
        <w:rPr>
          <w:rtl/>
        </w:rPr>
        <w:t>(5).</w:t>
      </w:r>
      <w:r w:rsidR="008A74EB" w:rsidRPr="00C9040A">
        <w:rPr>
          <w:rtl/>
        </w:rPr>
        <w:t xml:space="preserve"> </w:t>
      </w:r>
      <w:r w:rsidR="008A74EB" w:rsidRPr="00993B55">
        <w:rPr>
          <w:rStyle w:val="libFootnoteBoldChar"/>
          <w:rtl/>
        </w:rPr>
        <w:t>ثواب الأعمال</w:t>
      </w:r>
      <w:r w:rsidR="008A74EB" w:rsidRPr="00C9040A">
        <w:rPr>
          <w:rtl/>
        </w:rPr>
        <w:t xml:space="preserve"> ، ص 163 ، ح 1 ، عن أبيه ، عن محمّد بن يحيى. </w:t>
      </w:r>
      <w:r w:rsidR="008A74EB" w:rsidRPr="00993B55">
        <w:rPr>
          <w:rStyle w:val="libFootnoteBoldChar"/>
          <w:rtl/>
        </w:rPr>
        <w:t>المؤمن</w:t>
      </w:r>
      <w:r w:rsidR="008A74EB" w:rsidRPr="00C9040A">
        <w:rPr>
          <w:rtl/>
        </w:rPr>
        <w:t xml:space="preserve"> ، ص 46 ، ح 109 ، عن أبي عبدالله </w:t>
      </w:r>
      <w:r w:rsidR="00117575" w:rsidRPr="00117575">
        <w:rPr>
          <w:rStyle w:val="libFootnoteAlaemChar"/>
          <w:rtl/>
        </w:rPr>
        <w:t>عليه‌السلام</w:t>
      </w:r>
      <w:r w:rsidR="00A766B4">
        <w:rPr>
          <w:rStyle w:val="libFootnoteAlaemChar"/>
          <w:rFonts w:hint="cs"/>
          <w:rtl/>
        </w:rPr>
        <w:t>.</w:t>
      </w:r>
      <w:r w:rsidR="008A74EB" w:rsidRPr="00993B55">
        <w:rPr>
          <w:rStyle w:val="libFootnoteBoldChar"/>
          <w:rtl/>
        </w:rPr>
        <w:t>الوافي</w:t>
      </w:r>
      <w:r w:rsidR="008A74EB" w:rsidRPr="00C9040A">
        <w:rPr>
          <w:rtl/>
        </w:rPr>
        <w:t xml:space="preserve"> ، ج 5 ، ص 672 ، ح 2841 ؛ </w:t>
      </w:r>
      <w:r w:rsidR="008A74EB" w:rsidRPr="00993B55">
        <w:rPr>
          <w:rStyle w:val="libFootnoteBoldChar"/>
          <w:rtl/>
        </w:rPr>
        <w:t>الوسائل</w:t>
      </w:r>
      <w:r w:rsidR="008A74EB" w:rsidRPr="00C9040A">
        <w:rPr>
          <w:rtl/>
        </w:rPr>
        <w:t xml:space="preserve"> ، ج 16 ، ص 371 ، ح 21790 ؛ </w:t>
      </w:r>
      <w:r w:rsidR="008A74EB" w:rsidRPr="00993B55">
        <w:rPr>
          <w:rStyle w:val="libFootnoteBoldChar"/>
          <w:rtl/>
        </w:rPr>
        <w:t>البحار</w:t>
      </w:r>
      <w:r w:rsidR="008A74EB" w:rsidRPr="00C9040A">
        <w:rPr>
          <w:rtl/>
        </w:rPr>
        <w:t xml:space="preserve"> ، ج 74 ، ص 322 ، ح 89.</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 الزقّوم » : عبارة عن أطعمة كريهة في النار. </w:t>
      </w:r>
      <w:r w:rsidR="008A74EB" w:rsidRPr="00993B55">
        <w:rPr>
          <w:rStyle w:val="libFootnoteBoldChar"/>
          <w:rtl/>
        </w:rPr>
        <w:t>المفردات</w:t>
      </w:r>
      <w:r w:rsidR="008A74EB" w:rsidRPr="00C9040A">
        <w:rPr>
          <w:rtl/>
        </w:rPr>
        <w:t xml:space="preserve"> للراغب ، ص 380 ( زقم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الوافي</w:t>
      </w:r>
      <w:r w:rsidR="008A74EB" w:rsidRPr="00C9040A">
        <w:rPr>
          <w:rtl/>
        </w:rPr>
        <w:t xml:space="preserve"> ، ج 5 ، ص 673 ، ح 2842 ؛ </w:t>
      </w:r>
      <w:r w:rsidR="008A74EB" w:rsidRPr="00993B55">
        <w:rPr>
          <w:rStyle w:val="libFootnoteBoldChar"/>
          <w:rtl/>
        </w:rPr>
        <w:t>الوسائل</w:t>
      </w:r>
      <w:r w:rsidR="008A74EB" w:rsidRPr="00C9040A">
        <w:rPr>
          <w:rtl/>
        </w:rPr>
        <w:t xml:space="preserve"> ، ج 24 ، ص 273 ، ح 30528 ؛ </w:t>
      </w:r>
      <w:r w:rsidR="008A74EB" w:rsidRPr="00993B55">
        <w:rPr>
          <w:rStyle w:val="libFootnoteBoldChar"/>
          <w:rtl/>
        </w:rPr>
        <w:t>البحار</w:t>
      </w:r>
      <w:r w:rsidR="008A74EB" w:rsidRPr="00C9040A">
        <w:rPr>
          <w:rtl/>
        </w:rPr>
        <w:t xml:space="preserve"> ، ج 74 ، ص 369 ، ح 63.</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أُطْعِمَ أُفُقاً مِنَ النَّاسِ </w:t>
      </w:r>
      <w:r w:rsidR="006C577F" w:rsidRPr="006C577F">
        <w:rPr>
          <w:rStyle w:val="libFootnotenumChar"/>
          <w:rtl/>
        </w:rPr>
        <w:t>(1)</w:t>
      </w:r>
      <w:r w:rsidRPr="00C9040A">
        <w:rPr>
          <w:rtl/>
          <w:lang w:bidi="fa-IR"/>
        </w:rPr>
        <w:t xml:space="preserve"> »</w:t>
      </w:r>
      <w:r>
        <w:rPr>
          <w:rtl/>
          <w:lang w:bidi="fa-IR"/>
        </w:rPr>
        <w:t>.</w:t>
      </w:r>
      <w:r w:rsidRPr="00C9040A">
        <w:rPr>
          <w:rtl/>
          <w:lang w:bidi="fa-IR"/>
        </w:rPr>
        <w:t xml:space="preserve"> قُلْتُ : وَمَا الْأُفُقُ</w:t>
      </w:r>
      <w:r>
        <w:rPr>
          <w:rtl/>
          <w:lang w:bidi="fa-IR"/>
        </w:rPr>
        <w:t>؟</w:t>
      </w:r>
      <w:r w:rsidRPr="00C9040A">
        <w:rPr>
          <w:rtl/>
          <w:lang w:bidi="fa-IR"/>
        </w:rPr>
        <w:t xml:space="preserve"> قَالَ : « مِائَةُ أَلْفٍ أَوْ يَزِيدُونَ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393A13">
        <w:rPr>
          <w:rtl/>
        </w:rPr>
        <w:t>2176</w:t>
      </w:r>
      <w:r w:rsidRPr="00261CB0">
        <w:rPr>
          <w:rStyle w:val="libBold2Char"/>
          <w:rtl/>
        </w:rPr>
        <w:t xml:space="preserve"> / 3.</w:t>
      </w:r>
      <w:r w:rsidRPr="00C9040A">
        <w:rPr>
          <w:rtl/>
          <w:lang w:bidi="fa-IR"/>
        </w:rPr>
        <w:t xml:space="preserve"> عَنْهُ </w:t>
      </w:r>
      <w:r w:rsidR="006C577F" w:rsidRPr="006C577F">
        <w:rPr>
          <w:rStyle w:val="libFootnotenumChar"/>
          <w:rtl/>
        </w:rPr>
        <w:t>(3)</w:t>
      </w:r>
      <w:r w:rsidRPr="00C9040A">
        <w:rPr>
          <w:rtl/>
          <w:lang w:bidi="fa-IR"/>
        </w:rPr>
        <w:t xml:space="preserve"> ، عَنْ أَحْمَدَ ، عَنْ صَفْوَانَ بْنِ يَحْيى </w:t>
      </w:r>
      <w:r w:rsidR="006C577F" w:rsidRPr="006C577F">
        <w:rPr>
          <w:rStyle w:val="libFootnotenumChar"/>
          <w:rtl/>
        </w:rPr>
        <w:t>(4)</w:t>
      </w:r>
      <w:r w:rsidRPr="00C9040A">
        <w:rPr>
          <w:rtl/>
          <w:lang w:bidi="fa-IR"/>
        </w:rPr>
        <w:t xml:space="preserve"> ، عَنْ أَبِي حَمْزَةَ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مَنْ أَطْعَمَ ثَلَاثَةَ نَفَرٍ مِنَ الْمُسْلِمِينَ ، أَطْعَمَهُ اللهُ مِنْ </w:t>
      </w:r>
      <w:r w:rsidR="006C577F" w:rsidRPr="006C577F">
        <w:rPr>
          <w:rStyle w:val="libFootnotenumChar"/>
          <w:rtl/>
        </w:rPr>
        <w:t>(5)</w:t>
      </w:r>
      <w:r w:rsidRPr="00C9040A">
        <w:rPr>
          <w:rtl/>
          <w:lang w:bidi="fa-IR"/>
        </w:rPr>
        <w:t xml:space="preserve"> ثَلَاثِ جِنَانٍ فِي مَلَكُوتِ السَّمَاوَاتِ </w:t>
      </w:r>
      <w:r w:rsidR="006C577F" w:rsidRPr="006C577F">
        <w:rPr>
          <w:rStyle w:val="libFootnotenumChar"/>
          <w:rtl/>
        </w:rPr>
        <w:t>(6)</w:t>
      </w:r>
      <w:r w:rsidRPr="005B567D">
        <w:rPr>
          <w:rStyle w:val="libFootnotenumChar"/>
          <w:rtl/>
        </w:rPr>
        <w:t xml:space="preserve"> </w:t>
      </w:r>
      <w:r w:rsidRPr="00C9040A">
        <w:rPr>
          <w:rtl/>
          <w:lang w:bidi="fa-IR"/>
        </w:rPr>
        <w:t>: الْفِرْدَوْسِ ، وَجَنَّةِ عَدْنٍ ، وَطُوبى ، وَ</w:t>
      </w:r>
      <w:r>
        <w:rPr>
          <w:rFonts w:hint="cs"/>
          <w:rtl/>
          <w:lang w:bidi="fa-IR"/>
        </w:rPr>
        <w:t xml:space="preserve"> </w:t>
      </w:r>
      <w:r w:rsidR="006C577F" w:rsidRPr="006C577F">
        <w:rPr>
          <w:rStyle w:val="libFootnotenumChar"/>
          <w:rtl/>
        </w:rPr>
        <w:t>(7)</w:t>
      </w:r>
      <w:r w:rsidRPr="00C9040A">
        <w:rPr>
          <w:rtl/>
          <w:lang w:bidi="fa-IR"/>
        </w:rPr>
        <w:t xml:space="preserve"> شَجَرَةٍ </w:t>
      </w:r>
      <w:r w:rsidR="006C577F" w:rsidRPr="006C577F">
        <w:rPr>
          <w:rStyle w:val="libFootnotenumChar"/>
          <w:rtl/>
        </w:rPr>
        <w:t>(8)</w:t>
      </w:r>
      <w:r w:rsidRPr="00C9040A">
        <w:rPr>
          <w:rtl/>
          <w:lang w:bidi="fa-IR"/>
        </w:rPr>
        <w:t xml:space="preserve"> تَخْرُجُ فِي </w:t>
      </w:r>
      <w:r w:rsidR="006C577F" w:rsidRPr="006C577F">
        <w:rPr>
          <w:rStyle w:val="libFootnotenumChar"/>
          <w:rtl/>
        </w:rPr>
        <w:t>(9)</w:t>
      </w:r>
      <w:r w:rsidRPr="00C9040A">
        <w:rPr>
          <w:rtl/>
          <w:lang w:bidi="fa-IR"/>
        </w:rPr>
        <w:t xml:space="preserve"> جَنَّةِ عَدْنٍ غَرَسَهَا‌</w:t>
      </w:r>
      <w:r w:rsidR="00A766B4">
        <w:rPr>
          <w:rFonts w:hint="cs"/>
          <w:rtl/>
          <w:lang w:bidi="fa-IR"/>
        </w:rPr>
        <w:t>............................................</w:t>
      </w:r>
      <w:r w:rsidR="00A766B4">
        <w:rPr>
          <w:rFonts w:hint="cs"/>
          <w:rtl/>
          <w:lang w:bidi="fa-IR"/>
        </w:rPr>
        <w:tab/>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763F8F">
      <w:pPr>
        <w:pStyle w:val="libFootnote0"/>
        <w:rPr>
          <w:rtl/>
          <w:lang w:bidi="fa-IR"/>
        </w:rPr>
      </w:pPr>
      <w:r>
        <w:rPr>
          <w:rtl/>
        </w:rPr>
        <w:t>(1).</w:t>
      </w:r>
      <w:r w:rsidR="008A74EB">
        <w:rPr>
          <w:rtl/>
        </w:rPr>
        <w:t xml:space="preserve"> </w:t>
      </w:r>
      <w:r w:rsidR="008A74EB" w:rsidRPr="00C9040A">
        <w:rPr>
          <w:rtl/>
        </w:rPr>
        <w:t xml:space="preserve">في </w:t>
      </w:r>
      <w:r w:rsidR="008A74EB" w:rsidRPr="00993B55">
        <w:rPr>
          <w:rStyle w:val="libFootnoteBoldChar"/>
          <w:rtl/>
        </w:rPr>
        <w:t>شرح المازندراني</w:t>
      </w:r>
      <w:r w:rsidR="008A74EB" w:rsidRPr="00C9040A">
        <w:rPr>
          <w:rtl/>
        </w:rPr>
        <w:t xml:space="preserve"> ، ج 9 ، ص 85 : « لعلّ المراد بالرجل من المسلمين المؤمن ، وبالا</w:t>
      </w:r>
      <w:r w:rsidR="00763F8F">
        <w:rPr>
          <w:rFonts w:hint="cs"/>
          <w:rtl/>
        </w:rPr>
        <w:t>ُ</w:t>
      </w:r>
      <w:r w:rsidR="008A74EB" w:rsidRPr="00C9040A">
        <w:rPr>
          <w:rtl/>
        </w:rPr>
        <w:t>فق من الناس المخالفون. والا</w:t>
      </w:r>
      <w:r w:rsidR="00763F8F">
        <w:rPr>
          <w:rFonts w:hint="cs"/>
          <w:rtl/>
        </w:rPr>
        <w:t>ُ</w:t>
      </w:r>
      <w:r w:rsidR="008A74EB" w:rsidRPr="00C9040A">
        <w:rPr>
          <w:rtl/>
        </w:rPr>
        <w:t>فق</w:t>
      </w:r>
      <w:r w:rsidR="008A74EB">
        <w:rPr>
          <w:rtl/>
        </w:rPr>
        <w:t xml:space="preserve"> </w:t>
      </w:r>
      <w:r w:rsidR="0084262C">
        <w:rPr>
          <w:rtl/>
        </w:rPr>
        <w:t>-</w:t>
      </w:r>
      <w:r w:rsidR="008A74EB">
        <w:rPr>
          <w:rtl/>
        </w:rPr>
        <w:t xml:space="preserve"> </w:t>
      </w:r>
      <w:r w:rsidR="008A74EB" w:rsidRPr="00C9040A">
        <w:rPr>
          <w:rtl/>
        </w:rPr>
        <w:t>بضمّتين</w:t>
      </w:r>
      <w:r w:rsidR="008A74EB">
        <w:rPr>
          <w:rtl/>
        </w:rPr>
        <w:t xml:space="preserve"> </w:t>
      </w:r>
      <w:r w:rsidR="0084262C">
        <w:rPr>
          <w:rtl/>
        </w:rPr>
        <w:t>-</w:t>
      </w:r>
      <w:r w:rsidR="008A74EB">
        <w:rPr>
          <w:rtl/>
        </w:rPr>
        <w:t xml:space="preserve"> </w:t>
      </w:r>
      <w:r w:rsidR="008A74EB" w:rsidRPr="00C9040A">
        <w:rPr>
          <w:rtl/>
        </w:rPr>
        <w:t xml:space="preserve">اسم جمع وليس منحصراً في عدد معيّن ؛ ولهذا فسّره </w:t>
      </w:r>
      <w:r w:rsidR="00117575" w:rsidRPr="00117575">
        <w:rPr>
          <w:rStyle w:val="libFootnoteAlaemChar"/>
          <w:rtl/>
        </w:rPr>
        <w:t>عليه‌السلام</w:t>
      </w:r>
      <w:r w:rsidR="008A74EB" w:rsidRPr="00C9040A">
        <w:rPr>
          <w:rtl/>
        </w:rPr>
        <w:t xml:space="preserve"> هنا بمائة ألف أو يزيدون ، وفسّره أبوه </w:t>
      </w:r>
      <w:r w:rsidR="00117575" w:rsidRPr="00117575">
        <w:rPr>
          <w:rStyle w:val="libFootnoteAlaemChar"/>
          <w:rtl/>
        </w:rPr>
        <w:t>عليه‌السلام</w:t>
      </w:r>
      <w:r w:rsidR="00763F8F">
        <w:rPr>
          <w:rStyle w:val="libFootnoteAlaemChar"/>
          <w:rFonts w:hint="cs"/>
          <w:rtl/>
        </w:rPr>
        <w:t xml:space="preserve"> </w:t>
      </w:r>
      <w:r w:rsidR="008A74EB" w:rsidRPr="00C9040A">
        <w:rPr>
          <w:rtl/>
        </w:rPr>
        <w:t>في خبر عبيدالله الوصّافي عنه [ ح 2183 ] بعشرة آلاف »</w:t>
      </w:r>
      <w:r w:rsidR="008A74EB">
        <w:rPr>
          <w:rtl/>
        </w:rPr>
        <w:t>.</w:t>
      </w:r>
    </w:p>
    <w:p w:rsidR="008A74EB" w:rsidRPr="00C9040A" w:rsidRDefault="006C577F" w:rsidP="00763F8F">
      <w:pPr>
        <w:pStyle w:val="libFootnote0"/>
        <w:rPr>
          <w:rtl/>
          <w:lang w:bidi="fa-IR"/>
        </w:rPr>
      </w:pPr>
      <w:r>
        <w:rPr>
          <w:rtl/>
        </w:rPr>
        <w:t>(2).</w:t>
      </w:r>
      <w:r w:rsidR="008A74EB">
        <w:rPr>
          <w:rtl/>
        </w:rPr>
        <w:t xml:space="preserve"> </w:t>
      </w:r>
      <w:r w:rsidR="008A74EB" w:rsidRPr="00993B55">
        <w:rPr>
          <w:rStyle w:val="libFootnoteBoldChar"/>
          <w:rtl/>
        </w:rPr>
        <w:t>المحاسن</w:t>
      </w:r>
      <w:r w:rsidR="008A74EB" w:rsidRPr="00C9040A">
        <w:rPr>
          <w:rtl/>
        </w:rPr>
        <w:t xml:space="preserve"> ، ص 391 ، كتاب المآكل ، ح 30 ؛ و</w:t>
      </w:r>
      <w:r w:rsidR="008A74EB" w:rsidRPr="00993B55">
        <w:rPr>
          <w:rStyle w:val="libFootnoteBoldChar"/>
          <w:rtl/>
        </w:rPr>
        <w:t xml:space="preserve">ثواب الأعمال </w:t>
      </w:r>
      <w:r w:rsidR="008A74EB" w:rsidRPr="00C9040A">
        <w:rPr>
          <w:rtl/>
        </w:rPr>
        <w:t>، ص 180 ، ح 1 ؛ و</w:t>
      </w:r>
      <w:r w:rsidR="008A74EB" w:rsidRPr="00993B55">
        <w:rPr>
          <w:rStyle w:val="libFootnoteBoldChar"/>
          <w:rtl/>
        </w:rPr>
        <w:t>معاني الأخبار</w:t>
      </w:r>
      <w:r w:rsidR="008A74EB" w:rsidRPr="00C9040A">
        <w:rPr>
          <w:rtl/>
        </w:rPr>
        <w:t xml:space="preserve"> ، ص 229 ، ح 1 ، بسند آخر مع اختلاف يسير. </w:t>
      </w:r>
      <w:r w:rsidR="008A74EB" w:rsidRPr="00993B55">
        <w:rPr>
          <w:rStyle w:val="libFootnoteBoldChar"/>
          <w:rtl/>
        </w:rPr>
        <w:t>المحاسن</w:t>
      </w:r>
      <w:r w:rsidR="008A74EB" w:rsidRPr="00C9040A">
        <w:rPr>
          <w:rtl/>
        </w:rPr>
        <w:t xml:space="preserve"> ، ص 391 ، كتاب المآكل ، ح 31 ، بسند آخر عن أبي جعفر </w:t>
      </w:r>
      <w:r w:rsidR="00117575" w:rsidRPr="00117575">
        <w:rPr>
          <w:rStyle w:val="libFootnoteAlaemChar"/>
          <w:rtl/>
        </w:rPr>
        <w:t xml:space="preserve">عليه‌السلام </w:t>
      </w:r>
      <w:r w:rsidR="008A74EB" w:rsidRPr="00C9040A">
        <w:rPr>
          <w:rtl/>
        </w:rPr>
        <w:t>، وفيه : « لأن ا</w:t>
      </w:r>
      <w:r w:rsidR="00763F8F">
        <w:rPr>
          <w:rFonts w:hint="cs"/>
          <w:rtl/>
        </w:rPr>
        <w:t>ُ</w:t>
      </w:r>
      <w:r w:rsidR="008A74EB" w:rsidRPr="00C9040A">
        <w:rPr>
          <w:rtl/>
        </w:rPr>
        <w:t>طعم رجلاً من شيعتي أحبّ</w:t>
      </w:r>
      <w:r w:rsidR="008A74EB">
        <w:rPr>
          <w:rtl/>
        </w:rPr>
        <w:t xml:space="preserve"> ..</w:t>
      </w:r>
      <w:r w:rsidR="008A74EB" w:rsidRPr="00C9040A">
        <w:rPr>
          <w:rtl/>
        </w:rPr>
        <w:t>. »</w:t>
      </w:r>
      <w:r w:rsidR="008A74EB">
        <w:rPr>
          <w:rtl/>
        </w:rPr>
        <w:t>.</w:t>
      </w:r>
      <w:r w:rsidR="008A74EB" w:rsidRPr="00C9040A">
        <w:rPr>
          <w:rtl/>
        </w:rPr>
        <w:t xml:space="preserve"> </w:t>
      </w:r>
      <w:r w:rsidR="008A74EB" w:rsidRPr="00993B55">
        <w:rPr>
          <w:rStyle w:val="libFootnoteBoldChar"/>
          <w:rtl/>
        </w:rPr>
        <w:t>مصادقة الإخوان</w:t>
      </w:r>
      <w:r w:rsidR="008A74EB" w:rsidRPr="00C9040A">
        <w:rPr>
          <w:rtl/>
        </w:rPr>
        <w:t xml:space="preserve"> ، ص 44 ، ح 6 ، مرسلاً عن أبي بصير</w:t>
      </w:r>
      <w:r w:rsidR="00763F8F">
        <w:rPr>
          <w:rFonts w:hint="cs"/>
          <w:rtl/>
        </w:rPr>
        <w:t>.</w:t>
      </w:r>
      <w:r w:rsidR="008A74EB" w:rsidRPr="00993B55">
        <w:rPr>
          <w:rStyle w:val="libFootnoteBoldChar"/>
          <w:rtl/>
        </w:rPr>
        <w:t>الوافي</w:t>
      </w:r>
      <w:r w:rsidR="008A74EB" w:rsidRPr="00C9040A">
        <w:rPr>
          <w:rtl/>
        </w:rPr>
        <w:t xml:space="preserve"> ، ج 5 ، ص 673 ، ح 2843 ؛ </w:t>
      </w:r>
      <w:r w:rsidR="008A74EB" w:rsidRPr="00993B55">
        <w:rPr>
          <w:rStyle w:val="libFootnoteBoldChar"/>
          <w:rtl/>
        </w:rPr>
        <w:t>الوسائل</w:t>
      </w:r>
      <w:r w:rsidR="008A74EB" w:rsidRPr="00C9040A">
        <w:rPr>
          <w:rtl/>
        </w:rPr>
        <w:t xml:space="preserve"> ، ج 24 ، ص 304 ، ح 30615 ؛ </w:t>
      </w:r>
      <w:r w:rsidR="008A74EB" w:rsidRPr="00993B55">
        <w:rPr>
          <w:rStyle w:val="libFootnoteBoldChar"/>
          <w:rtl/>
        </w:rPr>
        <w:t>البحار</w:t>
      </w:r>
      <w:r w:rsidR="008A74EB" w:rsidRPr="00C9040A">
        <w:rPr>
          <w:rtl/>
        </w:rPr>
        <w:t xml:space="preserve"> ، ج 74 ، ص 371 ، ح 64.</w:t>
      </w:r>
    </w:p>
    <w:p w:rsidR="008A74EB" w:rsidRPr="00C9040A" w:rsidRDefault="006C577F" w:rsidP="004A4E41">
      <w:pPr>
        <w:pStyle w:val="libFootnote0"/>
        <w:rPr>
          <w:rtl/>
          <w:lang w:bidi="fa-IR"/>
        </w:rPr>
      </w:pPr>
      <w:r>
        <w:rPr>
          <w:rtl/>
        </w:rPr>
        <w:t>(3).</w:t>
      </w:r>
      <w:r w:rsidR="008A74EB" w:rsidRPr="00C9040A">
        <w:rPr>
          <w:rtl/>
        </w:rPr>
        <w:t xml:space="preserve"> في « ف » : « وعنه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لم نجد رواية صفوان بن يحيى عن أبي‌حمزة مباشرةً في غير سند هذا الخبر. وتأتي في ح 2196 رواية محمّد بن يحيى ، عن أحمد بن محمّد ، عن صفوان ، عن أبي‌حمزة ، عن أبي‌جعفر </w:t>
      </w:r>
      <w:r w:rsidR="00117575" w:rsidRPr="00117575">
        <w:rPr>
          <w:rStyle w:val="libFootnoteAlaemChar"/>
          <w:rtl/>
        </w:rPr>
        <w:t>عليه‌السلام</w:t>
      </w:r>
      <w:r w:rsidR="008A74EB" w:rsidRPr="00C9040A">
        <w:rPr>
          <w:rtl/>
        </w:rPr>
        <w:t xml:space="preserve"> ، قال : قال رسول الله </w:t>
      </w:r>
      <w:r w:rsidR="004A4E41" w:rsidRPr="00763F8F">
        <w:rPr>
          <w:rStyle w:val="libFootnoteAlaemChar"/>
          <w:rtl/>
        </w:rPr>
        <w:t>صلى‌الله‌عليه‌وآله</w:t>
      </w:r>
      <w:r w:rsidR="008A74EB" w:rsidRPr="00C9040A">
        <w:rPr>
          <w:rtl/>
        </w:rPr>
        <w:t xml:space="preserve"> : من كسا أحداً من فقراء المسلمين ، الخبر. ويحتمل اتّحاد الخبرين كما يظهر من ألفاظهما وموضوعهما.</w:t>
      </w:r>
    </w:p>
    <w:p w:rsidR="008A74EB" w:rsidRPr="00C9040A" w:rsidRDefault="008A74EB" w:rsidP="004A4E41">
      <w:pPr>
        <w:pStyle w:val="libFootnote0"/>
        <w:rPr>
          <w:rtl/>
          <w:lang w:bidi="fa-IR"/>
        </w:rPr>
      </w:pPr>
      <w:r w:rsidRPr="0082575F">
        <w:rPr>
          <w:rtl/>
        </w:rPr>
        <w:t>وصفوان في مشايخ أحمد بن محمّد</w:t>
      </w:r>
      <w:r>
        <w:rPr>
          <w:rtl/>
        </w:rPr>
        <w:t xml:space="preserve"> </w:t>
      </w:r>
      <w:r w:rsidR="0084262C">
        <w:rPr>
          <w:rtl/>
        </w:rPr>
        <w:t>-</w:t>
      </w:r>
      <w:r>
        <w:rPr>
          <w:rtl/>
        </w:rPr>
        <w:t xml:space="preserve"> </w:t>
      </w:r>
      <w:r w:rsidRPr="0082575F">
        <w:rPr>
          <w:rtl/>
        </w:rPr>
        <w:t>والمراد به ابن عيسى</w:t>
      </w:r>
      <w:r>
        <w:rPr>
          <w:rtl/>
        </w:rPr>
        <w:t xml:space="preserve"> </w:t>
      </w:r>
      <w:r w:rsidR="0084262C">
        <w:rPr>
          <w:rtl/>
        </w:rPr>
        <w:t>-</w:t>
      </w:r>
      <w:r>
        <w:rPr>
          <w:rtl/>
        </w:rPr>
        <w:t xml:space="preserve"> </w:t>
      </w:r>
      <w:r w:rsidRPr="0082575F">
        <w:rPr>
          <w:rtl/>
        </w:rPr>
        <w:t>هو صفوان بن يحيى.</w:t>
      </w:r>
    </w:p>
    <w:p w:rsidR="008A74EB" w:rsidRPr="00C9040A" w:rsidRDefault="008A74EB" w:rsidP="004A4E41">
      <w:pPr>
        <w:pStyle w:val="libFootnote0"/>
        <w:rPr>
          <w:rtl/>
          <w:lang w:bidi="fa-IR"/>
        </w:rPr>
      </w:pPr>
      <w:r w:rsidRPr="00323A39">
        <w:rPr>
          <w:rtl/>
        </w:rPr>
        <w:t xml:space="preserve">ثمّ إنّ هذا الخبر رواه البرقي في </w:t>
      </w:r>
      <w:r w:rsidRPr="00993B55">
        <w:rPr>
          <w:rStyle w:val="libFootnoteBoldChar"/>
          <w:rtl/>
        </w:rPr>
        <w:t>المحاسن</w:t>
      </w:r>
      <w:r w:rsidRPr="00323A39">
        <w:rPr>
          <w:rtl/>
        </w:rPr>
        <w:t xml:space="preserve"> ، ج 2 ، ص 393 ، ح 43 </w:t>
      </w:r>
      <w:r w:rsidR="0084262C" w:rsidRPr="00323A39">
        <w:rPr>
          <w:rtl/>
        </w:rPr>
        <w:t>-</w:t>
      </w:r>
      <w:r w:rsidRPr="00323A39">
        <w:rPr>
          <w:rtl/>
        </w:rPr>
        <w:t xml:space="preserve"> باختلاف يسير </w:t>
      </w:r>
      <w:r w:rsidR="0084262C" w:rsidRPr="00323A39">
        <w:rPr>
          <w:rtl/>
        </w:rPr>
        <w:t>-</w:t>
      </w:r>
      <w:r w:rsidRPr="00323A39">
        <w:rPr>
          <w:rtl/>
        </w:rPr>
        <w:t xml:space="preserve"> عن ابن أبي‌نجران ، عن صفوان بن مهران الجمّال ، عن أبي‌حمزة ، عن أبي‌جعفر </w:t>
      </w:r>
      <w:r w:rsidR="00117575" w:rsidRPr="00117575">
        <w:rPr>
          <w:rStyle w:val="libFootnoteAlaemChar"/>
          <w:rtl/>
        </w:rPr>
        <w:t xml:space="preserve">عليه‌السلام </w:t>
      </w:r>
      <w:r w:rsidRPr="00323A39">
        <w:rPr>
          <w:rtl/>
        </w:rPr>
        <w:t xml:space="preserve">؛ وذكر الخبر من دون نقله عن رسول الله </w:t>
      </w:r>
      <w:r w:rsidR="004A4E41" w:rsidRPr="00763F8F">
        <w:rPr>
          <w:rStyle w:val="libFootnoteAlaemChar"/>
          <w:rtl/>
        </w:rPr>
        <w:t>صلى‌الله‌عليه‌وآله</w:t>
      </w:r>
      <w:r w:rsidRPr="00323A39">
        <w:rPr>
          <w:rtl/>
        </w:rPr>
        <w:t>.</w:t>
      </w:r>
    </w:p>
    <w:p w:rsidR="008A74EB" w:rsidRPr="00C9040A" w:rsidRDefault="008A74EB" w:rsidP="004A4E41">
      <w:pPr>
        <w:pStyle w:val="libFootnote0"/>
        <w:rPr>
          <w:rtl/>
          <w:lang w:bidi="fa-IR"/>
        </w:rPr>
      </w:pPr>
      <w:r w:rsidRPr="00323A39">
        <w:rPr>
          <w:rtl/>
        </w:rPr>
        <w:t xml:space="preserve">هذا ، وقد روى صفوان الجمّال ، عن أبي‌حمزة ، عن أبي‌جعفر </w:t>
      </w:r>
      <w:r w:rsidR="00117575" w:rsidRPr="00117575">
        <w:rPr>
          <w:rStyle w:val="libFootnoteAlaemChar"/>
          <w:rtl/>
        </w:rPr>
        <w:t>عليه‌السلام</w:t>
      </w:r>
      <w:r w:rsidRPr="00323A39">
        <w:rPr>
          <w:rtl/>
        </w:rPr>
        <w:t xml:space="preserve"> ، في </w:t>
      </w:r>
      <w:r w:rsidRPr="00993B55">
        <w:rPr>
          <w:rStyle w:val="libFootnoteBoldChar"/>
          <w:rtl/>
        </w:rPr>
        <w:t>المحاسن</w:t>
      </w:r>
      <w:r w:rsidRPr="00323A39">
        <w:rPr>
          <w:rtl/>
        </w:rPr>
        <w:t xml:space="preserve"> ، ص 425 ، ح 224 ؛ و</w:t>
      </w:r>
      <w:r w:rsidRPr="00993B55">
        <w:rPr>
          <w:rStyle w:val="libFootnoteBoldChar"/>
          <w:rtl/>
        </w:rPr>
        <w:t>الكافي</w:t>
      </w:r>
      <w:r w:rsidRPr="00323A39">
        <w:rPr>
          <w:rtl/>
        </w:rPr>
        <w:t xml:space="preserve"> ، ح 11659 ؛ و</w:t>
      </w:r>
      <w:r w:rsidRPr="00993B55">
        <w:rPr>
          <w:rStyle w:val="libFootnoteBoldChar"/>
          <w:rtl/>
        </w:rPr>
        <w:t>التهذيب</w:t>
      </w:r>
      <w:r w:rsidRPr="00323A39">
        <w:rPr>
          <w:rtl/>
        </w:rPr>
        <w:t xml:space="preserve"> ، ج 9 ، ص 98 ، ح 424 ، والخبر في هذه المواضع واحد.</w:t>
      </w:r>
    </w:p>
    <w:p w:rsidR="008A74EB" w:rsidRPr="00C9040A" w:rsidRDefault="008A74EB" w:rsidP="004A4E41">
      <w:pPr>
        <w:pStyle w:val="libFootnote0"/>
        <w:rPr>
          <w:rtl/>
          <w:lang w:bidi="fa-IR"/>
        </w:rPr>
      </w:pPr>
      <w:r w:rsidRPr="0082575F">
        <w:rPr>
          <w:rtl/>
        </w:rPr>
        <w:t>فعليه ، احتمال وجود الخلل في سندنا هذا وما يأتي في ، ح 2196 غير منفيّ.</w:t>
      </w:r>
    </w:p>
    <w:tbl>
      <w:tblPr>
        <w:tblStyle w:val="TableGrid"/>
        <w:bidiVisual/>
        <w:tblW w:w="0" w:type="auto"/>
        <w:tblLook w:val="04A0" w:firstRow="1" w:lastRow="0" w:firstColumn="1" w:lastColumn="0" w:noHBand="0" w:noVBand="1"/>
      </w:tblPr>
      <w:tblGrid>
        <w:gridCol w:w="4006"/>
        <w:gridCol w:w="4006"/>
      </w:tblGrid>
      <w:tr w:rsidR="00763F8F" w:rsidTr="00763F8F">
        <w:tc>
          <w:tcPr>
            <w:tcW w:w="4006" w:type="dxa"/>
          </w:tcPr>
          <w:p w:rsidR="00763F8F" w:rsidRDefault="00763F8F" w:rsidP="004A4E41">
            <w:pPr>
              <w:pStyle w:val="libFootnote0"/>
              <w:rPr>
                <w:rtl/>
              </w:rPr>
            </w:pPr>
            <w:r>
              <w:rPr>
                <w:rtl/>
              </w:rPr>
              <w:t>(5).</w:t>
            </w:r>
            <w:r w:rsidRPr="00C9040A">
              <w:rPr>
                <w:rtl/>
              </w:rPr>
              <w:t xml:space="preserve"> في « ف » : « في »</w:t>
            </w:r>
            <w:r>
              <w:rPr>
                <w:rtl/>
              </w:rPr>
              <w:t>.</w:t>
            </w:r>
          </w:p>
        </w:tc>
        <w:tc>
          <w:tcPr>
            <w:tcW w:w="4006" w:type="dxa"/>
          </w:tcPr>
          <w:p w:rsidR="00763F8F" w:rsidRDefault="00763F8F" w:rsidP="004A4E41">
            <w:pPr>
              <w:pStyle w:val="libFootnote0"/>
              <w:rPr>
                <w:rtl/>
              </w:rPr>
            </w:pPr>
            <w:r>
              <w:rPr>
                <w:rtl/>
              </w:rPr>
              <w:t xml:space="preserve">(6). </w:t>
            </w:r>
            <w:r w:rsidRPr="00C9040A">
              <w:rPr>
                <w:rtl/>
              </w:rPr>
              <w:t>في ال</w:t>
            </w:r>
            <w:r>
              <w:rPr>
                <w:rtl/>
              </w:rPr>
              <w:t>محاسن وثواب الأعمال والمصادقة :</w:t>
            </w:r>
            <w:r w:rsidRPr="00C9040A">
              <w:rPr>
                <w:rtl/>
              </w:rPr>
              <w:t>« السماء »</w:t>
            </w:r>
            <w:r>
              <w:rPr>
                <w:rtl/>
              </w:rPr>
              <w:t>.</w:t>
            </w:r>
          </w:p>
        </w:tc>
      </w:tr>
    </w:tbl>
    <w:p w:rsidR="008A74EB" w:rsidRPr="00C9040A" w:rsidRDefault="006C577F" w:rsidP="004A4E41">
      <w:pPr>
        <w:pStyle w:val="libFootnote0"/>
        <w:rPr>
          <w:rtl/>
          <w:lang w:bidi="fa-IR"/>
        </w:rPr>
      </w:pPr>
      <w:r>
        <w:rPr>
          <w:rtl/>
        </w:rPr>
        <w:t>(7).</w:t>
      </w:r>
      <w:r w:rsidR="008A74EB" w:rsidRPr="00C9040A">
        <w:rPr>
          <w:rtl/>
        </w:rPr>
        <w:t xml:space="preserve"> في الوسائل وثواب الأعمال : « وهي »</w:t>
      </w:r>
      <w:r w:rsidR="008A74EB">
        <w:rPr>
          <w:rtl/>
        </w:rPr>
        <w:t>.</w:t>
      </w:r>
      <w:r w:rsidR="008A74EB" w:rsidRPr="00C9040A">
        <w:rPr>
          <w:rtl/>
        </w:rPr>
        <w:t xml:space="preserve"> وفي البحار </w:t>
      </w:r>
      <w:r w:rsidR="008A74EB">
        <w:rPr>
          <w:rtl/>
        </w:rPr>
        <w:t xml:space="preserve">: </w:t>
      </w:r>
      <w:r w:rsidR="0084262C">
        <w:rPr>
          <w:rtl/>
        </w:rPr>
        <w:t>-</w:t>
      </w:r>
      <w:r w:rsidR="008A74EB" w:rsidRPr="00C9040A">
        <w:rPr>
          <w:rtl/>
        </w:rPr>
        <w:t xml:space="preserve"> « </w:t>
      </w:r>
      <w:r w:rsidR="008A74EB">
        <w:rPr>
          <w:rtl/>
        </w:rPr>
        <w:t>و ».</w:t>
      </w:r>
    </w:p>
    <w:p w:rsidR="008A74EB" w:rsidRPr="00C9040A" w:rsidRDefault="006C577F" w:rsidP="004A4E41">
      <w:pPr>
        <w:pStyle w:val="libFootnote0"/>
        <w:rPr>
          <w:rtl/>
          <w:lang w:bidi="fa-IR"/>
        </w:rPr>
      </w:pPr>
      <w:r>
        <w:rPr>
          <w:rtl/>
        </w:rPr>
        <w:t>(8).</w:t>
      </w:r>
      <w:r w:rsidR="008A74EB" w:rsidRPr="00C9040A">
        <w:rPr>
          <w:rtl/>
        </w:rPr>
        <w:t xml:space="preserve"> في </w:t>
      </w:r>
      <w:r w:rsidR="008A74EB" w:rsidRPr="00993B55">
        <w:rPr>
          <w:rStyle w:val="libFootnoteBoldChar"/>
          <w:rtl/>
        </w:rPr>
        <w:t>مرآة العقول</w:t>
      </w:r>
      <w:r w:rsidR="008A74EB" w:rsidRPr="00C9040A">
        <w:rPr>
          <w:rtl/>
        </w:rPr>
        <w:t xml:space="preserve"> ، ج 9 ، ص 124 : « في أكثر النسخ : شجرة ، بدون واو العطف. وهو الظاهر</w:t>
      </w:r>
      <w:r w:rsidR="008A74EB">
        <w:rPr>
          <w:rtl/>
        </w:rPr>
        <w:t xml:space="preserve"> ..</w:t>
      </w:r>
      <w:r w:rsidR="008A74EB" w:rsidRPr="00C9040A">
        <w:rPr>
          <w:rtl/>
        </w:rPr>
        <w:t xml:space="preserve">. فشجرة عطف بيان لطوبى. وقد يقال : « طوبى » مبتدأ </w:t>
      </w:r>
      <w:r w:rsidR="008A74EB">
        <w:rPr>
          <w:rtl/>
        </w:rPr>
        <w:t>و «</w:t>
      </w:r>
      <w:r w:rsidR="008A74EB" w:rsidRPr="00C9040A">
        <w:rPr>
          <w:rtl/>
        </w:rPr>
        <w:t xml:space="preserve"> شجرة » خبره »</w:t>
      </w:r>
      <w:r w:rsidR="008A74EB">
        <w:rPr>
          <w:rtl/>
        </w:rPr>
        <w:t>.</w:t>
      </w:r>
      <w:r w:rsidR="008A74EB" w:rsidRPr="00C9040A">
        <w:rPr>
          <w:rtl/>
        </w:rPr>
        <w:t xml:space="preserve"> وفي </w:t>
      </w:r>
      <w:r w:rsidR="008A74EB" w:rsidRPr="00993B55">
        <w:rPr>
          <w:rStyle w:val="libFootnoteBoldChar"/>
          <w:rtl/>
        </w:rPr>
        <w:t>الوافي</w:t>
      </w:r>
      <w:r w:rsidR="00411D58">
        <w:rPr>
          <w:rtl/>
        </w:rPr>
        <w:t xml:space="preserve"> : « شجرة » عطف على «ثلاث</w:t>
      </w:r>
      <w:r w:rsidR="008A74EB" w:rsidRPr="00C9040A">
        <w:rPr>
          <w:rtl/>
        </w:rPr>
        <w:t>» يعني أطعمه الله من ثلاث جنان ومن شجرة في جنّة عدن غرسها الله بيده.</w:t>
      </w:r>
    </w:p>
    <w:p w:rsidR="008A74EB" w:rsidRPr="00C9040A" w:rsidRDefault="006C577F" w:rsidP="004A4E41">
      <w:pPr>
        <w:pStyle w:val="libFootnote0"/>
        <w:rPr>
          <w:rtl/>
          <w:lang w:bidi="fa-IR"/>
        </w:rPr>
      </w:pPr>
      <w:r>
        <w:rPr>
          <w:rtl/>
        </w:rPr>
        <w:t>(9).</w:t>
      </w:r>
      <w:r w:rsidR="008A74EB" w:rsidRPr="00C9040A">
        <w:rPr>
          <w:rtl/>
        </w:rPr>
        <w:t xml:space="preserve"> هكذا في « ج ، د ، ز ، ص ، ض ، ف ، بر ، بس ، بف » وشرح المازندراني والوافي والوسائل والمحاسن. </w:t>
      </w:r>
      <w:r w:rsidR="00E3153B">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رَبُّنَا </w:t>
      </w:r>
      <w:r w:rsidR="006C577F" w:rsidRPr="006C577F">
        <w:rPr>
          <w:rStyle w:val="libFootnotenumChar"/>
          <w:rtl/>
        </w:rPr>
        <w:t>(1)</w:t>
      </w:r>
      <w:r w:rsidRPr="00C9040A">
        <w:rPr>
          <w:rtl/>
          <w:lang w:bidi="fa-IR"/>
        </w:rPr>
        <w:t xml:space="preserve"> بِيَدِهِ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D00D7D">
        <w:rPr>
          <w:rtl/>
        </w:rPr>
        <w:t>2177</w:t>
      </w:r>
      <w:r w:rsidRPr="00261CB0">
        <w:rPr>
          <w:rStyle w:val="libBold2Char"/>
          <w:rtl/>
        </w:rPr>
        <w:t xml:space="preserve"> / 4.</w:t>
      </w:r>
      <w:r w:rsidRPr="00C9040A">
        <w:rPr>
          <w:rtl/>
          <w:lang w:bidi="fa-IR"/>
        </w:rPr>
        <w:t xml:space="preserve"> عَلِيُّ بْنُ إِبْرَاهِيمَ ، عَنْ أَبِيهِ ، عَنْ حَمَّادِ بْنِ عِيسى ، عَنْ إِبْرَا</w:t>
      </w:r>
      <w:r w:rsidR="00D01E62">
        <w:rPr>
          <w:rtl/>
          <w:lang w:bidi="fa-IR"/>
        </w:rPr>
        <w:t>هِيمَ بْنِ عُمَرَ الْيَمَانِيِّ</w:t>
      </w:r>
      <w:r w:rsidRPr="00C9040A">
        <w:rPr>
          <w:rtl/>
          <w:lang w:bidi="fa-IR"/>
        </w:rPr>
        <w:t>:</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مَا مِنْ رَجُلٍ يُدْخِلُ بَيْتَهُ مُؤْمِنَيْنِ ، فَيُ</w:t>
      </w:r>
      <w:r w:rsidR="00D01E62">
        <w:rPr>
          <w:rtl/>
          <w:lang w:bidi="fa-IR"/>
        </w:rPr>
        <w:t>طْعِمُهُمَا شِبَعَهُمَا ، إِل</w:t>
      </w:r>
      <w:r w:rsidR="00D01E62">
        <w:rPr>
          <w:rFonts w:hint="cs"/>
          <w:rtl/>
          <w:lang w:bidi="fa-IR"/>
        </w:rPr>
        <w:t>َّ</w:t>
      </w:r>
      <w:r w:rsidR="00D01E62">
        <w:rPr>
          <w:rtl/>
          <w:lang w:bidi="fa-IR"/>
        </w:rPr>
        <w:t>ا</w:t>
      </w:r>
      <w:r w:rsidRPr="00C9040A">
        <w:rPr>
          <w:rtl/>
          <w:lang w:bidi="fa-IR"/>
        </w:rPr>
        <w:t xml:space="preserve"> كَانَ ذلِكَ </w:t>
      </w:r>
      <w:r w:rsidR="006C577F" w:rsidRPr="006C577F">
        <w:rPr>
          <w:rStyle w:val="libFootnotenumChar"/>
          <w:rtl/>
        </w:rPr>
        <w:t>(3)</w:t>
      </w:r>
      <w:r w:rsidRPr="00C9040A">
        <w:rPr>
          <w:rtl/>
          <w:lang w:bidi="fa-IR"/>
        </w:rPr>
        <w:t xml:space="preserve"> أَفْضَلَ مِنْ عِتْقِ نَسَمَةٍ </w:t>
      </w:r>
      <w:r w:rsidR="006C577F" w:rsidRPr="006C577F">
        <w:rPr>
          <w:rStyle w:val="libFootnotenumChar"/>
          <w:rtl/>
        </w:rPr>
        <w:t>(4)</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D00D7D">
        <w:rPr>
          <w:rtl/>
        </w:rPr>
        <w:t>2178</w:t>
      </w:r>
      <w:r w:rsidRPr="00261CB0">
        <w:rPr>
          <w:rStyle w:val="libBold2Char"/>
          <w:rtl/>
        </w:rPr>
        <w:t xml:space="preserve"> / 5.</w:t>
      </w:r>
      <w:r w:rsidRPr="00C9040A">
        <w:rPr>
          <w:rtl/>
          <w:lang w:bidi="fa-IR"/>
        </w:rPr>
        <w:t xml:space="preserve"> عَنْهُ ، عَنْ أَبِيهِ ، عَنْ حَمَّادٍ </w:t>
      </w:r>
      <w:r w:rsidR="006C577F" w:rsidRPr="006C577F">
        <w:rPr>
          <w:rStyle w:val="libFootnotenumChar"/>
          <w:rtl/>
        </w:rPr>
        <w:t>(6)</w:t>
      </w:r>
      <w:r w:rsidRPr="005B567D">
        <w:rPr>
          <w:rStyle w:val="libFootnotenumChar"/>
          <w:rtl/>
        </w:rPr>
        <w:t xml:space="preserve"> </w:t>
      </w:r>
      <w:r w:rsidRPr="00C9040A">
        <w:rPr>
          <w:rtl/>
          <w:lang w:bidi="fa-IR"/>
        </w:rPr>
        <w:t>، عَنْ إِبْرَاهِيمَ ، عَنْ أَبِي حَمْزَةَ :</w:t>
      </w:r>
      <w:r>
        <w:rPr>
          <w:rFonts w:hint="cs"/>
          <w:rtl/>
          <w:lang w:bidi="fa-IR"/>
        </w:rPr>
        <w:t xml:space="preserve"> </w:t>
      </w:r>
      <w:r w:rsidRPr="00C9040A">
        <w:rPr>
          <w:rtl/>
          <w:lang w:bidi="fa-IR"/>
        </w:rPr>
        <w:t xml:space="preserve">عَنْ عَلِيِّ بْنِ الْحُسَيْنِ </w:t>
      </w:r>
      <w:r w:rsidRPr="0003660B">
        <w:rPr>
          <w:rStyle w:val="libAlaemChar"/>
          <w:rtl/>
        </w:rPr>
        <w:t>عليهما‌السلام</w:t>
      </w:r>
      <w:r w:rsidRPr="00C9040A">
        <w:rPr>
          <w:rtl/>
          <w:lang w:bidi="fa-IR"/>
        </w:rPr>
        <w:t xml:space="preserve"> ، قَالَ : « مَنْ أَطْعَمَ مُؤْمِناً مِنْ جُوعٍ </w:t>
      </w:r>
      <w:r w:rsidR="006C577F" w:rsidRPr="006C577F">
        <w:rPr>
          <w:rStyle w:val="libFootnotenumChar"/>
          <w:rtl/>
        </w:rPr>
        <w:t>(7)</w:t>
      </w:r>
      <w:r w:rsidRPr="00C9040A">
        <w:rPr>
          <w:rtl/>
          <w:lang w:bidi="fa-IR"/>
        </w:rPr>
        <w:t xml:space="preserve"> ، أَطْعَمَهُ اللهُ مِنْ ثِمَارِ الْجَنَّةِ ؛ وَمَنْ سَقى مُؤْمِناً مِنْ ظَمَاً ، سَقَاهُ اللهُ مِنَ الرَّحِيقِ الْمَخْتُومِ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D01E62" w:rsidP="004A4E41">
      <w:pPr>
        <w:pStyle w:val="libFootnote0"/>
        <w:rPr>
          <w:rtl/>
          <w:lang w:bidi="fa-IR"/>
        </w:rPr>
      </w:pPr>
      <w:r>
        <w:rPr>
          <w:rFonts w:hint="cs"/>
          <w:rtl/>
        </w:rPr>
        <w:t xml:space="preserve">= </w:t>
      </w:r>
      <w:r w:rsidR="008A74EB" w:rsidRPr="00C9040A">
        <w:rPr>
          <w:rtl/>
        </w:rPr>
        <w:t>وفي « ب » والمطبوع : « من »</w:t>
      </w:r>
      <w:r w:rsidR="008A74EB">
        <w:rPr>
          <w:rtl/>
        </w:rPr>
        <w:t>.</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ف » : « ربّها »</w:t>
      </w:r>
      <w:r w:rsidR="008A74EB">
        <w:rPr>
          <w:rtl/>
        </w:rPr>
        <w:t>.</w:t>
      </w:r>
    </w:p>
    <w:p w:rsidR="008A74EB" w:rsidRPr="00C9040A" w:rsidRDefault="006C577F" w:rsidP="00D01E62">
      <w:pPr>
        <w:pStyle w:val="libFootnote0"/>
        <w:rPr>
          <w:rtl/>
          <w:lang w:bidi="fa-IR"/>
        </w:rPr>
      </w:pPr>
      <w:r>
        <w:rPr>
          <w:rtl/>
        </w:rPr>
        <w:t>(2).</w:t>
      </w:r>
      <w:r w:rsidR="008A74EB">
        <w:rPr>
          <w:rtl/>
        </w:rPr>
        <w:t xml:space="preserve"> </w:t>
      </w:r>
      <w:r w:rsidR="008A74EB" w:rsidRPr="00993B55">
        <w:rPr>
          <w:rStyle w:val="libFootnoteBoldChar"/>
          <w:rtl/>
        </w:rPr>
        <w:t>المحاسن</w:t>
      </w:r>
      <w:r w:rsidR="008A74EB" w:rsidRPr="00C9040A">
        <w:rPr>
          <w:rtl/>
        </w:rPr>
        <w:t xml:space="preserve"> ، ص 393 ، كتاب المآكل ، ح 43 ، عن ابن أبي‌نجران ، عن صفوان بن مهران الجمّال ، عن أبي‌حمزة ، عن أبي جعفر </w:t>
      </w:r>
      <w:r w:rsidR="00117575" w:rsidRPr="00117575">
        <w:rPr>
          <w:rStyle w:val="libFootnoteAlaemChar"/>
          <w:rtl/>
        </w:rPr>
        <w:t>عليه‌السلام</w:t>
      </w:r>
      <w:r w:rsidR="008A74EB" w:rsidRPr="00C9040A">
        <w:rPr>
          <w:rtl/>
        </w:rPr>
        <w:t xml:space="preserve"> ، قال : « من أطعم ثلاثة نفر من المسلمين أطعمه الله من ثلاث جنان : ملكوت السماء الفردوس ، ومن جنّة عدن ، ومن شجرة في جنّة عدن غرسها ربّي بيده »</w:t>
      </w:r>
      <w:r w:rsidR="008A74EB">
        <w:rPr>
          <w:rtl/>
        </w:rPr>
        <w:t>.</w:t>
      </w:r>
      <w:r w:rsidR="008A74EB" w:rsidRPr="00C9040A">
        <w:rPr>
          <w:rtl/>
        </w:rPr>
        <w:t xml:space="preserve"> </w:t>
      </w:r>
      <w:r w:rsidR="008A74EB" w:rsidRPr="00993B55">
        <w:rPr>
          <w:rStyle w:val="libFootnoteBoldChar"/>
          <w:rtl/>
        </w:rPr>
        <w:t>ثواب الأعمال</w:t>
      </w:r>
      <w:r w:rsidR="008A74EB" w:rsidRPr="00C9040A">
        <w:rPr>
          <w:rtl/>
        </w:rPr>
        <w:t xml:space="preserve"> ، ص 165 ، ح 1 ، بسند آخر عن أبي‌عبدالله </w:t>
      </w:r>
      <w:r w:rsidR="00117575" w:rsidRPr="00117575">
        <w:rPr>
          <w:rStyle w:val="libFootnoteAlaemChar"/>
          <w:rtl/>
        </w:rPr>
        <w:t>عليه‌السلام</w:t>
      </w:r>
      <w:r w:rsidR="008A74EB" w:rsidRPr="00C9040A">
        <w:rPr>
          <w:rtl/>
        </w:rPr>
        <w:t xml:space="preserve"> ، من دون الإسناد إلى النبيّ </w:t>
      </w:r>
      <w:r w:rsidR="004A4E41" w:rsidRPr="00D01E62">
        <w:rPr>
          <w:rStyle w:val="libFootnoteAlaemChar"/>
          <w:rtl/>
        </w:rPr>
        <w:t>صلى‌الله‌عليه‌وآله</w:t>
      </w:r>
      <w:r w:rsidR="008A74EB" w:rsidRPr="00C9040A">
        <w:rPr>
          <w:rtl/>
        </w:rPr>
        <w:t xml:space="preserve"> ؛ </w:t>
      </w:r>
      <w:r w:rsidR="008A74EB" w:rsidRPr="00993B55">
        <w:rPr>
          <w:rStyle w:val="libFootnoteBoldChar"/>
          <w:rtl/>
        </w:rPr>
        <w:t>مصادقة الإخوان</w:t>
      </w:r>
      <w:r w:rsidR="008A74EB" w:rsidRPr="00C9040A">
        <w:rPr>
          <w:rtl/>
        </w:rPr>
        <w:t xml:space="preserve"> ، ص 44 ، ح 5 ، عن أبي‌حمزة</w:t>
      </w:r>
      <w:r w:rsidR="00D01E62">
        <w:rPr>
          <w:rFonts w:hint="cs"/>
          <w:rtl/>
        </w:rPr>
        <w:t>.</w:t>
      </w:r>
      <w:r w:rsidR="008A74EB" w:rsidRPr="00993B55">
        <w:rPr>
          <w:rStyle w:val="libFootnoteBoldChar"/>
          <w:rtl/>
        </w:rPr>
        <w:t>الوافي</w:t>
      </w:r>
      <w:r w:rsidR="008A74EB" w:rsidRPr="00C9040A">
        <w:rPr>
          <w:rtl/>
        </w:rPr>
        <w:t xml:space="preserve"> ، ج 5 ، ص 673 ، ح 2844 ؛ </w:t>
      </w:r>
      <w:r w:rsidR="008A74EB" w:rsidRPr="00993B55">
        <w:rPr>
          <w:rStyle w:val="libFootnoteBoldChar"/>
          <w:rtl/>
        </w:rPr>
        <w:t>الوسائل</w:t>
      </w:r>
      <w:r w:rsidR="008A74EB" w:rsidRPr="00C9040A">
        <w:rPr>
          <w:rtl/>
        </w:rPr>
        <w:t xml:space="preserve"> ، ج 24 ، ص 304 ، ح 30614 ؛ </w:t>
      </w:r>
      <w:r w:rsidR="008A74EB" w:rsidRPr="00993B55">
        <w:rPr>
          <w:rStyle w:val="libFootnoteBoldChar"/>
          <w:rtl/>
        </w:rPr>
        <w:t>البحار</w:t>
      </w:r>
      <w:r w:rsidR="008A74EB" w:rsidRPr="00C9040A">
        <w:rPr>
          <w:rtl/>
        </w:rPr>
        <w:t xml:space="preserve"> ، ج 74 ، ص 371 ، ح 65.</w:t>
      </w:r>
    </w:p>
    <w:p w:rsidR="008A74EB" w:rsidRPr="00C9040A" w:rsidRDefault="006C577F" w:rsidP="004A4E41">
      <w:pPr>
        <w:pStyle w:val="libFootnote0"/>
        <w:rPr>
          <w:rtl/>
          <w:lang w:bidi="fa-IR"/>
        </w:rPr>
      </w:pPr>
      <w:r>
        <w:rPr>
          <w:rtl/>
        </w:rPr>
        <w:t>(3).</w:t>
      </w:r>
      <w:r w:rsidR="008A74EB" w:rsidRPr="00C9040A">
        <w:rPr>
          <w:rtl/>
        </w:rPr>
        <w:t xml:space="preserve"> في « د ، ص ، بر ، بس ، بف » وشرح المازندراني </w:t>
      </w:r>
      <w:r w:rsidR="008A74EB">
        <w:rPr>
          <w:rtl/>
        </w:rPr>
        <w:t xml:space="preserve">: </w:t>
      </w:r>
      <w:r w:rsidR="0084262C">
        <w:rPr>
          <w:rtl/>
        </w:rPr>
        <w:t>-</w:t>
      </w:r>
      <w:r w:rsidR="008A74EB" w:rsidRPr="00C9040A">
        <w:rPr>
          <w:rtl/>
        </w:rPr>
        <w:t xml:space="preserve"> « ذلك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ز ، ص ، ف » : « رقبة »</w:t>
      </w:r>
      <w:r w:rsidR="008A74EB">
        <w:rPr>
          <w:rtl/>
        </w:rPr>
        <w:t>.</w:t>
      </w:r>
    </w:p>
    <w:p w:rsidR="008A74EB" w:rsidRPr="00C9040A" w:rsidRDefault="006C577F" w:rsidP="001C450B">
      <w:pPr>
        <w:pStyle w:val="libFootnote0"/>
        <w:rPr>
          <w:rtl/>
          <w:lang w:bidi="fa-IR"/>
        </w:rPr>
      </w:pPr>
      <w:r>
        <w:rPr>
          <w:rtl/>
        </w:rPr>
        <w:t>(5).</w:t>
      </w:r>
      <w:r w:rsidR="008A74EB" w:rsidRPr="00C9040A">
        <w:rPr>
          <w:rtl/>
        </w:rPr>
        <w:t xml:space="preserve"> </w:t>
      </w:r>
      <w:r w:rsidR="008A74EB" w:rsidRPr="00993B55">
        <w:rPr>
          <w:rStyle w:val="libFootnoteBoldChar"/>
          <w:rtl/>
        </w:rPr>
        <w:t>المحاسن</w:t>
      </w:r>
      <w:r w:rsidR="008A74EB" w:rsidRPr="00C9040A">
        <w:rPr>
          <w:rtl/>
        </w:rPr>
        <w:t xml:space="preserve"> ، ص 394 ، كتاب المآكل ، ح 54 ، عن أبيه ، عن حمّاد بن عيسى ؛ </w:t>
      </w:r>
      <w:r w:rsidR="008A74EB" w:rsidRPr="00993B55">
        <w:rPr>
          <w:rStyle w:val="libFootnoteBoldChar"/>
          <w:rtl/>
        </w:rPr>
        <w:t>المؤمن</w:t>
      </w:r>
      <w:r w:rsidR="008A74EB" w:rsidRPr="00C9040A">
        <w:rPr>
          <w:rtl/>
        </w:rPr>
        <w:t xml:space="preserve"> ، ص 63 ، ح 160 ، عن أبي عبدالله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الاختصاص</w:t>
      </w:r>
      <w:r w:rsidR="008A74EB" w:rsidRPr="00C9040A">
        <w:rPr>
          <w:rtl/>
        </w:rPr>
        <w:t xml:space="preserve"> ، ص 27 ، ضمن الحديث ، مرسلاً</w:t>
      </w:r>
      <w:r w:rsidR="001C450B">
        <w:rPr>
          <w:rFonts w:hint="cs"/>
          <w:rtl/>
        </w:rPr>
        <w:t>.</w:t>
      </w:r>
      <w:r w:rsidR="008A74EB" w:rsidRPr="00993B55">
        <w:rPr>
          <w:rStyle w:val="libFootnoteBoldChar"/>
          <w:rtl/>
        </w:rPr>
        <w:t>الوافي</w:t>
      </w:r>
      <w:r w:rsidR="008A74EB" w:rsidRPr="00C9040A">
        <w:rPr>
          <w:rtl/>
        </w:rPr>
        <w:t xml:space="preserve"> ، ج 5 ، ص 674 ، ح 2845 ؛ </w:t>
      </w:r>
      <w:r w:rsidR="008A74EB" w:rsidRPr="00993B55">
        <w:rPr>
          <w:rStyle w:val="libFootnoteBoldChar"/>
          <w:rtl/>
        </w:rPr>
        <w:t>الوسائل</w:t>
      </w:r>
      <w:r w:rsidR="008A74EB" w:rsidRPr="00C9040A">
        <w:rPr>
          <w:rtl/>
        </w:rPr>
        <w:t xml:space="preserve"> ، ج 24 ، ص 301 ، ح 30604 ؛ </w:t>
      </w:r>
      <w:r w:rsidR="008A74EB" w:rsidRPr="00993B55">
        <w:rPr>
          <w:rStyle w:val="libFootnoteBoldChar"/>
          <w:rtl/>
        </w:rPr>
        <w:t>البحار</w:t>
      </w:r>
      <w:r w:rsidR="008A74EB" w:rsidRPr="00C9040A">
        <w:rPr>
          <w:rtl/>
        </w:rPr>
        <w:t xml:space="preserve"> ، ج 74 ، ص 373 ، ح 66.</w:t>
      </w:r>
    </w:p>
    <w:tbl>
      <w:tblPr>
        <w:tblStyle w:val="TableGrid"/>
        <w:bidiVisual/>
        <w:tblW w:w="0" w:type="auto"/>
        <w:tblLook w:val="04A0" w:firstRow="1" w:lastRow="0" w:firstColumn="1" w:lastColumn="0" w:noHBand="0" w:noVBand="1"/>
      </w:tblPr>
      <w:tblGrid>
        <w:gridCol w:w="4006"/>
        <w:gridCol w:w="4006"/>
      </w:tblGrid>
      <w:tr w:rsidR="001C450B" w:rsidTr="001C450B">
        <w:tc>
          <w:tcPr>
            <w:tcW w:w="4006" w:type="dxa"/>
          </w:tcPr>
          <w:p w:rsidR="001C450B" w:rsidRDefault="001C450B" w:rsidP="004A4E41">
            <w:pPr>
              <w:pStyle w:val="libFootnote0"/>
              <w:rPr>
                <w:rtl/>
              </w:rPr>
            </w:pPr>
            <w:r>
              <w:rPr>
                <w:rtl/>
              </w:rPr>
              <w:t xml:space="preserve">(6). </w:t>
            </w:r>
            <w:r w:rsidRPr="00C9040A">
              <w:rPr>
                <w:rtl/>
              </w:rPr>
              <w:t>في « ز ، ص ، ف » : + « بن عيسى »</w:t>
            </w:r>
            <w:r>
              <w:rPr>
                <w:rtl/>
              </w:rPr>
              <w:t>.</w:t>
            </w:r>
          </w:p>
        </w:tc>
        <w:tc>
          <w:tcPr>
            <w:tcW w:w="4006" w:type="dxa"/>
          </w:tcPr>
          <w:p w:rsidR="001C450B" w:rsidRDefault="001C450B" w:rsidP="004A4E41">
            <w:pPr>
              <w:pStyle w:val="libFootnote0"/>
              <w:rPr>
                <w:rtl/>
              </w:rPr>
            </w:pPr>
            <w:r>
              <w:rPr>
                <w:rtl/>
              </w:rPr>
              <w:t>(7).</w:t>
            </w:r>
            <w:r w:rsidR="00581743">
              <w:rPr>
                <w:rtl/>
              </w:rPr>
              <w:t xml:space="preserve"> في «ب»:«جوعه</w:t>
            </w:r>
            <w:r w:rsidRPr="00C9040A">
              <w:rPr>
                <w:rtl/>
              </w:rPr>
              <w:t>»</w:t>
            </w:r>
            <w:r>
              <w:rPr>
                <w:rtl/>
              </w:rPr>
              <w:t>.</w:t>
            </w:r>
            <w:r w:rsidR="00581743">
              <w:rPr>
                <w:rtl/>
              </w:rPr>
              <w:t xml:space="preserve">وفي </w:t>
            </w:r>
            <w:r w:rsidR="00581743" w:rsidRPr="0034021D">
              <w:rPr>
                <w:rStyle w:val="libFootnoteBoldChar"/>
                <w:rtl/>
              </w:rPr>
              <w:t>الأمالي للمفيد</w:t>
            </w:r>
            <w:r w:rsidR="00581743">
              <w:rPr>
                <w:rtl/>
              </w:rPr>
              <w:t>:</w:t>
            </w:r>
            <w:r w:rsidR="00411D58">
              <w:rPr>
                <w:rtl/>
              </w:rPr>
              <w:t>«جوعة</w:t>
            </w:r>
            <w:r w:rsidRPr="00C9040A">
              <w:rPr>
                <w:rtl/>
              </w:rPr>
              <w:t>»</w:t>
            </w:r>
            <w:r>
              <w:rPr>
                <w:rtl/>
              </w:rPr>
              <w:t>.</w:t>
            </w:r>
          </w:p>
        </w:tc>
      </w:tr>
    </w:tbl>
    <w:p w:rsidR="008A74EB" w:rsidRPr="00C9040A" w:rsidRDefault="006C577F" w:rsidP="004A4E41">
      <w:pPr>
        <w:pStyle w:val="libFootnote0"/>
        <w:rPr>
          <w:rtl/>
          <w:lang w:bidi="fa-IR"/>
        </w:rPr>
      </w:pPr>
      <w:r>
        <w:rPr>
          <w:rtl/>
        </w:rPr>
        <w:t>(8).</w:t>
      </w:r>
      <w:r w:rsidR="008A74EB" w:rsidRPr="00C9040A">
        <w:rPr>
          <w:rtl/>
        </w:rPr>
        <w:t xml:space="preserve"> </w:t>
      </w:r>
      <w:r w:rsidR="008A74EB" w:rsidRPr="00993B55">
        <w:rPr>
          <w:rStyle w:val="libFootnoteBoldChar"/>
          <w:rtl/>
        </w:rPr>
        <w:t>المحاسن</w:t>
      </w:r>
      <w:r w:rsidR="008A74EB" w:rsidRPr="00C9040A">
        <w:rPr>
          <w:rtl/>
        </w:rPr>
        <w:t xml:space="preserve"> ، ص 393 ، كتاب المآكل ، ح 41 ، عن أبيه ، عن حمّاد بن عيسى ، وتمام الرواية فيه : « من أطعم مؤمناً أطعمه الله من ثمار الجنّة »</w:t>
      </w:r>
      <w:r w:rsidR="008A74EB">
        <w:rPr>
          <w:rtl/>
        </w:rPr>
        <w:t>.</w:t>
      </w:r>
      <w:r w:rsidR="008A74EB" w:rsidRPr="00C9040A">
        <w:rPr>
          <w:rtl/>
        </w:rPr>
        <w:t xml:space="preserve"> وفي </w:t>
      </w:r>
      <w:r w:rsidR="008A74EB" w:rsidRPr="00993B55">
        <w:rPr>
          <w:rStyle w:val="libFootnoteBoldChar"/>
          <w:rtl/>
        </w:rPr>
        <w:t>ثواب الأعمال</w:t>
      </w:r>
      <w:r w:rsidR="008A74EB" w:rsidRPr="00C9040A">
        <w:rPr>
          <w:rtl/>
        </w:rPr>
        <w:t xml:space="preserve"> ، ص 164 ، ح 2 ؛ و</w:t>
      </w:r>
      <w:r w:rsidR="008A74EB" w:rsidRPr="0034021D">
        <w:rPr>
          <w:rStyle w:val="libFootnoteBoldChar"/>
          <w:rtl/>
        </w:rPr>
        <w:t>الأمالي للمفيد</w:t>
      </w:r>
      <w:r w:rsidR="008A74EB" w:rsidRPr="00C9040A">
        <w:rPr>
          <w:rtl/>
        </w:rPr>
        <w:t xml:space="preserve"> ، ص 9 ، المجلس 1 ، ح 5 ، بسند آخر عن حمّاد ، عن إبراهيم بن عمر ، مع زيادة في آخره. </w:t>
      </w:r>
      <w:r w:rsidR="008A74EB" w:rsidRPr="00993B55">
        <w:rPr>
          <w:rStyle w:val="libFootnoteBoldChar"/>
          <w:rtl/>
        </w:rPr>
        <w:t>المؤمن</w:t>
      </w:r>
      <w:r w:rsidR="008A74EB" w:rsidRPr="00C9040A">
        <w:rPr>
          <w:rtl/>
        </w:rPr>
        <w:t xml:space="preserve"> ، ص 63 ، ح 161 ، عن عليّ بن الحسين </w:t>
      </w:r>
      <w:r w:rsidR="00117575" w:rsidRPr="00117575">
        <w:rPr>
          <w:rStyle w:val="libFootnoteAlaemChar"/>
          <w:rtl/>
        </w:rPr>
        <w:t>عليه‌السلام</w:t>
      </w:r>
      <w:r w:rsidR="008A74EB" w:rsidRPr="00C9040A">
        <w:rPr>
          <w:rtl/>
        </w:rPr>
        <w:t xml:space="preserve"> ؛ </w:t>
      </w:r>
      <w:r w:rsidR="008A74EB" w:rsidRPr="00993B55">
        <w:rPr>
          <w:rStyle w:val="libFootnoteBoldChar"/>
          <w:rtl/>
        </w:rPr>
        <w:t>الاختصاص</w:t>
      </w:r>
      <w:r w:rsidR="008A74EB" w:rsidRPr="00C9040A">
        <w:rPr>
          <w:rtl/>
        </w:rPr>
        <w:t xml:space="preserve"> ، ص 28 ، وفيه : « عن أبي‌حمزة الثمالي ، قال : من أطعم</w:t>
      </w:r>
      <w:r w:rsidR="008A74EB">
        <w:rPr>
          <w:rtl/>
        </w:rPr>
        <w:t xml:space="preserve"> ..</w:t>
      </w:r>
      <w:r w:rsidR="008A74EB" w:rsidRPr="00C9040A">
        <w:rPr>
          <w:rtl/>
        </w:rPr>
        <w:t xml:space="preserve">. » وفيهما مع زيادة في آخره. وفي </w:t>
      </w:r>
      <w:r w:rsidR="008A74EB" w:rsidRPr="00993B55">
        <w:rPr>
          <w:rStyle w:val="libFootnoteBoldChar"/>
          <w:rtl/>
        </w:rPr>
        <w:t>الكافي</w:t>
      </w:r>
      <w:r w:rsidR="008A74EB" w:rsidRPr="00C9040A">
        <w:rPr>
          <w:rtl/>
        </w:rPr>
        <w:t xml:space="preserve"> ، </w:t>
      </w:r>
      <w:r w:rsidR="003E30A7">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D00D7D">
        <w:rPr>
          <w:rtl/>
        </w:rPr>
        <w:t>2179</w:t>
      </w:r>
      <w:r w:rsidRPr="00261CB0">
        <w:rPr>
          <w:rStyle w:val="libBold2Char"/>
          <w:rtl/>
        </w:rPr>
        <w:t xml:space="preserve"> / 6.</w:t>
      </w:r>
      <w:r w:rsidRPr="00C9040A">
        <w:rPr>
          <w:rtl/>
          <w:lang w:bidi="fa-IR"/>
        </w:rPr>
        <w:t xml:space="preserve"> عِدَّةٌ مِنْ أَصْحَابِنَا ، عَنْ سَهْلِ بْنِ زِيَادٍ ، عَنْ جَعْفَرِ بْنِ مُحَمَّدٍ الْأَشْعَرِيِّ ، عَنْ عَبْدِ اللهِ بْنِ مَيْمُونٍ الْقَدَّاحِ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مَنْ أَطْعَمَ مُؤْمِناً حَتّى يُشْبِعَهُ ، لَمْ يَدْرِ أَحَدٌ مِنْ خَلْقِ اللهِ مَا لَهُ مِنَ الْأَجْرِ فِي الْآخِرَةِ ، لَامَلَكٌ مُقَرَّبٌ ،</w:t>
      </w:r>
      <w:r w:rsidR="00AE61DF">
        <w:rPr>
          <w:rtl/>
          <w:lang w:bidi="fa-IR"/>
        </w:rPr>
        <w:t xml:space="preserve"> وَلَا نَبِيٌّ مُرْسَلٌ ، إِل</w:t>
      </w:r>
      <w:r w:rsidR="00AE61DF">
        <w:rPr>
          <w:rFonts w:hint="cs"/>
          <w:rtl/>
          <w:lang w:bidi="fa-IR"/>
        </w:rPr>
        <w:t>َّ</w:t>
      </w:r>
      <w:r w:rsidR="00AE61DF">
        <w:rPr>
          <w:rtl/>
          <w:lang w:bidi="fa-IR"/>
        </w:rPr>
        <w:t>ا</w:t>
      </w:r>
      <w:r w:rsidRPr="00C9040A">
        <w:rPr>
          <w:rtl/>
          <w:lang w:bidi="fa-IR"/>
        </w:rPr>
        <w:t xml:space="preserve"> اللهُ </w:t>
      </w:r>
      <w:r w:rsidR="006C577F" w:rsidRPr="006C577F">
        <w:rPr>
          <w:rStyle w:val="libFootnotenumChar"/>
          <w:rtl/>
        </w:rPr>
        <w:t>(1)</w:t>
      </w:r>
      <w:r w:rsidRPr="00C9040A">
        <w:rPr>
          <w:rtl/>
          <w:lang w:bidi="fa-IR"/>
        </w:rPr>
        <w:t xml:space="preserve"> رَبُّ الْعَالَمِينَ »</w:t>
      </w:r>
      <w:r>
        <w:rPr>
          <w:rtl/>
          <w:lang w:bidi="fa-IR"/>
        </w:rPr>
        <w:t>.</w:t>
      </w:r>
    </w:p>
    <w:p w:rsidR="008A74EB" w:rsidRPr="00C9040A" w:rsidRDefault="008A74EB" w:rsidP="003D0CDF">
      <w:pPr>
        <w:pStyle w:val="libNormal"/>
        <w:rPr>
          <w:rtl/>
          <w:lang w:bidi="fa-IR"/>
        </w:rPr>
      </w:pPr>
      <w:r w:rsidRPr="00C9040A">
        <w:rPr>
          <w:rtl/>
          <w:lang w:bidi="fa-IR"/>
        </w:rPr>
        <w:t xml:space="preserve">ثُمَّ قَالَ : « مِنْ مُوجِبَاتِ الْمَغْفِرَةِ إِطْعَامُ الْمُسْلِمِ </w:t>
      </w:r>
      <w:r w:rsidR="006C577F" w:rsidRPr="006C577F">
        <w:rPr>
          <w:rStyle w:val="libFootnotenumChar"/>
          <w:rtl/>
        </w:rPr>
        <w:t>(2)</w:t>
      </w:r>
      <w:r w:rsidRPr="00C9040A">
        <w:rPr>
          <w:rtl/>
          <w:lang w:bidi="fa-IR"/>
        </w:rPr>
        <w:t xml:space="preserve"> السَّغْبَانِ </w:t>
      </w:r>
      <w:r w:rsidR="006C577F" w:rsidRPr="006C577F">
        <w:rPr>
          <w:rStyle w:val="libFootnotenumChar"/>
          <w:rtl/>
        </w:rPr>
        <w:t>(3)</w:t>
      </w:r>
      <w:r w:rsidRPr="00C9040A">
        <w:rPr>
          <w:rtl/>
          <w:lang w:bidi="fa-IR"/>
        </w:rPr>
        <w:t xml:space="preserve"> »</w:t>
      </w:r>
      <w:r>
        <w:rPr>
          <w:rtl/>
          <w:lang w:bidi="fa-IR"/>
        </w:rPr>
        <w:t>.</w:t>
      </w:r>
      <w:r w:rsidRPr="00C9040A">
        <w:rPr>
          <w:rtl/>
          <w:lang w:bidi="fa-IR"/>
        </w:rPr>
        <w:t xml:space="preserve"> ثُمَّ تَلَا قَوْلَ اللهِ عَزَّ وَجَلَّ : </w:t>
      </w:r>
      <w:r w:rsidRPr="0003660B">
        <w:rPr>
          <w:rStyle w:val="libAlaemChar"/>
          <w:rtl/>
        </w:rPr>
        <w:t>(</w:t>
      </w:r>
      <w:r w:rsidRPr="006A2246">
        <w:rPr>
          <w:rStyle w:val="libAieChar"/>
          <w:rtl/>
        </w:rPr>
        <w:t xml:space="preserve"> أَوْ إِطْعامٌ فِي يَوْمٍ ذِي مَسْغَبَةٍ </w:t>
      </w:r>
      <w:r w:rsidR="003D0CDF">
        <w:rPr>
          <w:rStyle w:val="libAieChar"/>
          <w:rFonts w:hint="cs"/>
          <w:rtl/>
        </w:rPr>
        <w:t xml:space="preserve">* </w:t>
      </w:r>
      <w:r w:rsidRPr="006A2246">
        <w:rPr>
          <w:rStyle w:val="libAieChar"/>
          <w:rtl/>
        </w:rPr>
        <w:t xml:space="preserve">يَتِيماً ذا مَقْرَبَةٍ </w:t>
      </w:r>
      <w:r w:rsidR="003D0CDF">
        <w:rPr>
          <w:rStyle w:val="libAieChar"/>
          <w:rFonts w:hint="cs"/>
          <w:rtl/>
        </w:rPr>
        <w:t xml:space="preserve">* </w:t>
      </w:r>
      <w:r w:rsidRPr="006A2246">
        <w:rPr>
          <w:rStyle w:val="libAieChar"/>
          <w:rtl/>
        </w:rPr>
        <w:t xml:space="preserve">أَوْ مِسْكِيناً ذا مَتْرَبَةٍ </w:t>
      </w:r>
      <w:r w:rsidRPr="0003660B">
        <w:rPr>
          <w:rStyle w:val="libAlaemChar"/>
          <w:rtl/>
        </w:rPr>
        <w:t>)</w:t>
      </w:r>
      <w:r w:rsidRPr="00C9040A">
        <w:rPr>
          <w:rtl/>
          <w:lang w:bidi="fa-IR"/>
        </w:rPr>
        <w:t xml:space="preserve"> </w:t>
      </w:r>
      <w:r w:rsidR="006C577F" w:rsidRPr="006C577F">
        <w:rPr>
          <w:rStyle w:val="libFootnotenumChar"/>
          <w:rtl/>
        </w:rPr>
        <w:t>(4)</w:t>
      </w:r>
      <w:r w:rsidR="003D0CDF">
        <w:rPr>
          <w:rFonts w:hint="cs"/>
          <w:rtl/>
          <w:lang w:bidi="fa-IR"/>
        </w:rPr>
        <w:t>.</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D00D7D">
        <w:rPr>
          <w:rtl/>
        </w:rPr>
        <w:t>2180</w:t>
      </w:r>
      <w:r w:rsidRPr="00261CB0">
        <w:rPr>
          <w:rStyle w:val="libBold2Char"/>
          <w:rtl/>
        </w:rPr>
        <w:t xml:space="preserve"> / 7.</w:t>
      </w:r>
      <w:r w:rsidRPr="00C9040A">
        <w:rPr>
          <w:rtl/>
          <w:lang w:bidi="fa-IR"/>
        </w:rPr>
        <w:t xml:space="preserve"> عَلِيُّ بْنُ إِبْرَاهِيمَ ، عَنْ أَبِيهِ ، عَنِ النَّوْفَلِيِّ ، عَنِ السَّكُونِيِّ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Pr="0003660B">
        <w:rPr>
          <w:rStyle w:val="libAlaemChar"/>
          <w:rtl/>
        </w:rPr>
        <w:t>عليه‌السلام</w:t>
      </w:r>
      <w:r w:rsidRPr="00C9040A">
        <w:rPr>
          <w:rtl/>
          <w:lang w:bidi="fa-IR"/>
        </w:rPr>
        <w:t xml:space="preserve"> : مَنْ سَقى مُؤْمِناً شَرْبَةً مِنْ مَاءٍ مِنْ حَيْثُ يَقْدِرُ </w:t>
      </w:r>
      <w:r w:rsidR="006C577F" w:rsidRPr="006C577F">
        <w:rPr>
          <w:rStyle w:val="libFootnotenumChar"/>
          <w:rtl/>
        </w:rPr>
        <w:t>(6)</w:t>
      </w:r>
      <w:r w:rsidRPr="005B567D">
        <w:rPr>
          <w:rStyle w:val="libFootnotenumChar"/>
          <w:rtl/>
        </w:rPr>
        <w:t xml:space="preserve"> </w:t>
      </w:r>
      <w:r w:rsidRPr="00C9040A">
        <w:rPr>
          <w:rtl/>
          <w:lang w:bidi="fa-IR"/>
        </w:rPr>
        <w:t>عَلَى الْمَاءِ ، أَعْطَاهُ اللهُ بِكُلِّ‌</w:t>
      </w:r>
      <w:r w:rsidR="003D0CDF">
        <w:rPr>
          <w:rFonts w:hint="cs"/>
          <w:rtl/>
          <w:lang w:bidi="fa-IR"/>
        </w:rPr>
        <w:t>.....................................</w:t>
      </w:r>
      <w:r w:rsidR="003D0CDF">
        <w:rPr>
          <w:rFonts w:hint="cs"/>
          <w:rtl/>
          <w:lang w:bidi="fa-IR"/>
        </w:rPr>
        <w:tab/>
      </w:r>
    </w:p>
    <w:p w:rsidR="008A74EB" w:rsidRPr="00C9040A" w:rsidRDefault="008A74EB" w:rsidP="008A74EB">
      <w:pPr>
        <w:pStyle w:val="libLine"/>
        <w:rPr>
          <w:rtl/>
          <w:lang w:bidi="fa-IR"/>
        </w:rPr>
      </w:pPr>
      <w:r w:rsidRPr="00C9040A">
        <w:rPr>
          <w:rtl/>
          <w:lang w:bidi="fa-IR"/>
        </w:rPr>
        <w:t>__________________</w:t>
      </w:r>
    </w:p>
    <w:p w:rsidR="008A74EB" w:rsidRPr="00C9040A" w:rsidRDefault="00100259" w:rsidP="00411D58">
      <w:pPr>
        <w:pStyle w:val="libFootnote0"/>
        <w:rPr>
          <w:rtl/>
          <w:lang w:bidi="fa-IR"/>
        </w:rPr>
      </w:pPr>
      <w:r>
        <w:rPr>
          <w:rFonts w:hint="cs"/>
          <w:rtl/>
        </w:rPr>
        <w:t xml:space="preserve">= </w:t>
      </w:r>
      <w:r w:rsidR="008A74EB" w:rsidRPr="00C9040A">
        <w:rPr>
          <w:rtl/>
        </w:rPr>
        <w:t>كتاب الإيمان والكفر ، باب تفريج كرب المؤمن ، ح 2196 ؛ و</w:t>
      </w:r>
      <w:r w:rsidR="008A74EB" w:rsidRPr="00993B55">
        <w:rPr>
          <w:rStyle w:val="libFootnoteBoldChar"/>
          <w:rtl/>
        </w:rPr>
        <w:t>ثواب الأعمال</w:t>
      </w:r>
      <w:r w:rsidR="008A74EB" w:rsidRPr="00C9040A">
        <w:rPr>
          <w:rtl/>
        </w:rPr>
        <w:t xml:space="preserve"> ، ص 149 ، ح 1 ، بسند آخر عن أبي‌عبدالله </w:t>
      </w:r>
      <w:r w:rsidR="00117575" w:rsidRPr="00117575">
        <w:rPr>
          <w:rStyle w:val="libFootnoteAlaemChar"/>
          <w:rtl/>
        </w:rPr>
        <w:t xml:space="preserve">عليه‌السلام </w:t>
      </w:r>
      <w:r w:rsidR="008A74EB" w:rsidRPr="00C9040A">
        <w:rPr>
          <w:rtl/>
        </w:rPr>
        <w:t xml:space="preserve">، مع زيادة في أوّله. وفي </w:t>
      </w:r>
      <w:r w:rsidR="008A74EB" w:rsidRPr="00993B55">
        <w:rPr>
          <w:rStyle w:val="libFootnoteBoldChar"/>
          <w:rtl/>
        </w:rPr>
        <w:t>قرب الإسناد</w:t>
      </w:r>
      <w:r w:rsidR="008A74EB" w:rsidRPr="00C9040A">
        <w:rPr>
          <w:rtl/>
        </w:rPr>
        <w:t xml:space="preserve"> ، ص 120 ، ح 422 ؛ و</w:t>
      </w:r>
      <w:r w:rsidR="008A74EB" w:rsidRPr="0034021D">
        <w:rPr>
          <w:rStyle w:val="libFootnoteBoldChar"/>
          <w:rtl/>
        </w:rPr>
        <w:t>الأمالي للصدوق</w:t>
      </w:r>
      <w:r w:rsidR="008A74EB" w:rsidRPr="00C9040A">
        <w:rPr>
          <w:rtl/>
        </w:rPr>
        <w:t xml:space="preserve"> ، ص 283 ، المجلس 47 ، ح 15 ، بسند آخر عن أبي‌عبدالله ، عن آبائه </w:t>
      </w:r>
      <w:r w:rsidR="00117575" w:rsidRPr="00117575">
        <w:rPr>
          <w:rStyle w:val="libFootnoteAlaemChar"/>
          <w:rtl/>
        </w:rPr>
        <w:t>عليهم‌السلام</w:t>
      </w:r>
      <w:r w:rsidR="008A74EB" w:rsidRPr="00C9040A">
        <w:rPr>
          <w:rtl/>
        </w:rPr>
        <w:t xml:space="preserve"> عن رسول الله </w:t>
      </w:r>
      <w:r w:rsidR="004A4E41" w:rsidRPr="00100259">
        <w:rPr>
          <w:rStyle w:val="libFootnoteAlaemChar"/>
          <w:rtl/>
        </w:rPr>
        <w:t>صلى‌الله‌عليه‌وآله</w:t>
      </w:r>
      <w:r w:rsidR="008A74EB" w:rsidRPr="00C9040A">
        <w:rPr>
          <w:rtl/>
        </w:rPr>
        <w:t xml:space="preserve"> ، مع زيادة. </w:t>
      </w:r>
      <w:r w:rsidR="008A74EB" w:rsidRPr="00993B55">
        <w:rPr>
          <w:rStyle w:val="libFootnoteBoldChar"/>
          <w:rtl/>
        </w:rPr>
        <w:t>الأمالي</w:t>
      </w:r>
      <w:r w:rsidR="008A74EB" w:rsidRPr="00C9040A">
        <w:rPr>
          <w:rtl/>
        </w:rPr>
        <w:t xml:space="preserve"> للطوسي ، ص 182 ، المجلس 7 ، ضمن الحديث الطويل 8 ، بسند آخر عن رسول الله </w:t>
      </w:r>
      <w:r w:rsidR="004A4E41" w:rsidRPr="00100259">
        <w:rPr>
          <w:rStyle w:val="libFootnoteAlaemChar"/>
          <w:rtl/>
        </w:rPr>
        <w:t>صلى‌الله‌عليه‌وآله</w:t>
      </w:r>
      <w:r w:rsidR="008A74EB" w:rsidRPr="00C9040A">
        <w:rPr>
          <w:rtl/>
        </w:rPr>
        <w:t xml:space="preserve">. </w:t>
      </w:r>
      <w:r w:rsidR="008A74EB" w:rsidRPr="00993B55">
        <w:rPr>
          <w:rStyle w:val="libFootnoteBoldChar"/>
          <w:rtl/>
        </w:rPr>
        <w:t>المحاسن</w:t>
      </w:r>
      <w:r w:rsidR="008A74EB" w:rsidRPr="00C9040A">
        <w:rPr>
          <w:rtl/>
        </w:rPr>
        <w:t xml:space="preserve"> ، ص 393 ، كتاب المآكل ، ح 40 ، بسند آخر عن أبي‌جعفر </w:t>
      </w:r>
      <w:r w:rsidR="00117575" w:rsidRPr="00117575">
        <w:rPr>
          <w:rStyle w:val="libFootnoteAlaemChar"/>
          <w:rtl/>
        </w:rPr>
        <w:t xml:space="preserve">عليه‌السلام </w:t>
      </w:r>
      <w:r w:rsidR="008A74EB" w:rsidRPr="00C9040A">
        <w:rPr>
          <w:rtl/>
        </w:rPr>
        <w:t>، وتمام الرواية فيه : « من أطعم جائعاً أطعمه الله من ثمار الجنّة »</w:t>
      </w:r>
      <w:r w:rsidR="008A74EB">
        <w:rPr>
          <w:rtl/>
        </w:rPr>
        <w:t>.</w:t>
      </w:r>
      <w:r w:rsidR="008A74EB" w:rsidRPr="00C9040A">
        <w:rPr>
          <w:rtl/>
        </w:rPr>
        <w:t xml:space="preserve"> </w:t>
      </w:r>
      <w:r w:rsidR="008A74EB" w:rsidRPr="00993B55">
        <w:rPr>
          <w:rStyle w:val="libFootnoteBoldChar"/>
          <w:rtl/>
        </w:rPr>
        <w:t>المؤمن</w:t>
      </w:r>
      <w:r w:rsidR="008A74EB" w:rsidRPr="00C9040A">
        <w:rPr>
          <w:rtl/>
        </w:rPr>
        <w:t xml:space="preserve"> ، ص 64 ، ح 162 </w:t>
      </w:r>
      <w:r w:rsidR="008A74EB">
        <w:rPr>
          <w:rtl/>
        </w:rPr>
        <w:t>و 1</w:t>
      </w:r>
      <w:r w:rsidR="008A74EB" w:rsidRPr="00C9040A">
        <w:rPr>
          <w:rtl/>
        </w:rPr>
        <w:t xml:space="preserve">64 </w:t>
      </w:r>
      <w:r w:rsidR="008A74EB">
        <w:rPr>
          <w:rtl/>
        </w:rPr>
        <w:t>و 1</w:t>
      </w:r>
      <w:r w:rsidR="008A74EB" w:rsidRPr="00C9040A">
        <w:rPr>
          <w:rtl/>
        </w:rPr>
        <w:t xml:space="preserve">66 ، عن أبي‌عبدالله </w:t>
      </w:r>
      <w:r w:rsidR="00117575" w:rsidRPr="00117575">
        <w:rPr>
          <w:rStyle w:val="libFootnoteAlaemChar"/>
          <w:rtl/>
        </w:rPr>
        <w:t>عليه‌السلام</w:t>
      </w:r>
      <w:r w:rsidR="008A74EB" w:rsidRPr="00C9040A">
        <w:rPr>
          <w:rtl/>
        </w:rPr>
        <w:t xml:space="preserve"> ، مع زيادة. </w:t>
      </w:r>
      <w:r w:rsidR="008A74EB" w:rsidRPr="00993B55">
        <w:rPr>
          <w:rStyle w:val="libFootnoteBoldChar"/>
          <w:rtl/>
        </w:rPr>
        <w:t>مصادقة الإخوان</w:t>
      </w:r>
      <w:r w:rsidR="008A74EB" w:rsidRPr="00C9040A">
        <w:rPr>
          <w:rtl/>
        </w:rPr>
        <w:t xml:space="preserve"> ، ص 42 ، ح 1 ، عن أبي‌عبدالله ، عن آبائه </w:t>
      </w:r>
      <w:r w:rsidR="00117575" w:rsidRPr="00117575">
        <w:rPr>
          <w:rStyle w:val="libFootnoteAlaemChar"/>
          <w:rtl/>
        </w:rPr>
        <w:t>عليهم‌السلام</w:t>
      </w:r>
      <w:r w:rsidR="008A74EB" w:rsidRPr="00C9040A">
        <w:rPr>
          <w:rtl/>
        </w:rPr>
        <w:t xml:space="preserve"> عن رسول الله </w:t>
      </w:r>
      <w:r w:rsidR="00411D58" w:rsidRPr="00100259">
        <w:rPr>
          <w:rStyle w:val="libFootnoteAlaemChar"/>
          <w:rtl/>
        </w:rPr>
        <w:t>صلى‌الله‌عليه‌وآله</w:t>
      </w:r>
      <w:r w:rsidR="00411D58" w:rsidRPr="00C9040A">
        <w:rPr>
          <w:rtl/>
        </w:rPr>
        <w:t xml:space="preserve"> </w:t>
      </w:r>
      <w:r w:rsidR="008A74EB" w:rsidRPr="00C9040A">
        <w:rPr>
          <w:rtl/>
        </w:rPr>
        <w:t>، مع زيادة في آخره</w:t>
      </w:r>
      <w:r>
        <w:rPr>
          <w:rFonts w:hint="cs"/>
          <w:rtl/>
        </w:rPr>
        <w:t>.</w:t>
      </w:r>
      <w:r w:rsidR="008A74EB" w:rsidRPr="00993B55">
        <w:rPr>
          <w:rStyle w:val="libFootnoteBoldChar"/>
          <w:rtl/>
        </w:rPr>
        <w:t>الوافي</w:t>
      </w:r>
      <w:r w:rsidR="008A74EB" w:rsidRPr="00C9040A">
        <w:rPr>
          <w:rtl/>
        </w:rPr>
        <w:t xml:space="preserve"> ، ج 5 ، ص 674 ، ح 2846 ؛ </w:t>
      </w:r>
      <w:r w:rsidR="008A74EB" w:rsidRPr="00993B55">
        <w:rPr>
          <w:rStyle w:val="libFootnoteBoldChar"/>
          <w:rtl/>
        </w:rPr>
        <w:t>الوسائل</w:t>
      </w:r>
      <w:r w:rsidR="008A74EB" w:rsidRPr="00C9040A">
        <w:rPr>
          <w:rtl/>
        </w:rPr>
        <w:t xml:space="preserve"> ، ج 24 ، ص 309 ، ح 30626 ؛ </w:t>
      </w:r>
      <w:r w:rsidR="008A74EB" w:rsidRPr="00993B55">
        <w:rPr>
          <w:rStyle w:val="libFootnoteBoldChar"/>
          <w:rtl/>
        </w:rPr>
        <w:t>البحار</w:t>
      </w:r>
      <w:r w:rsidR="008A74EB" w:rsidRPr="00C9040A">
        <w:rPr>
          <w:rtl/>
        </w:rPr>
        <w:t xml:space="preserve"> ، ج 74 ، ص 373 ، ح 67.</w:t>
      </w:r>
    </w:p>
    <w:tbl>
      <w:tblPr>
        <w:tblStyle w:val="TableGrid"/>
        <w:bidiVisual/>
        <w:tblW w:w="0" w:type="auto"/>
        <w:tblLook w:val="04A0" w:firstRow="1" w:lastRow="0" w:firstColumn="1" w:lastColumn="0" w:noHBand="0" w:noVBand="1"/>
      </w:tblPr>
      <w:tblGrid>
        <w:gridCol w:w="4006"/>
        <w:gridCol w:w="4006"/>
      </w:tblGrid>
      <w:tr w:rsidR="00100259" w:rsidTr="00100259">
        <w:tc>
          <w:tcPr>
            <w:tcW w:w="4006" w:type="dxa"/>
          </w:tcPr>
          <w:p w:rsidR="00100259" w:rsidRDefault="00100259" w:rsidP="004A4E41">
            <w:pPr>
              <w:pStyle w:val="libFootnote0"/>
              <w:rPr>
                <w:rtl/>
              </w:rPr>
            </w:pPr>
            <w:r>
              <w:rPr>
                <w:rtl/>
              </w:rPr>
              <w:t xml:space="preserve">(1). </w:t>
            </w:r>
            <w:r w:rsidRPr="00C9040A">
              <w:rPr>
                <w:rtl/>
              </w:rPr>
              <w:t xml:space="preserve">في « ف » </w:t>
            </w:r>
            <w:r>
              <w:rPr>
                <w:rtl/>
              </w:rPr>
              <w:t>: -</w:t>
            </w:r>
            <w:r w:rsidRPr="00C9040A">
              <w:rPr>
                <w:rtl/>
              </w:rPr>
              <w:t xml:space="preserve"> « الله »</w:t>
            </w:r>
            <w:r>
              <w:rPr>
                <w:rtl/>
              </w:rPr>
              <w:t>.</w:t>
            </w:r>
          </w:p>
        </w:tc>
        <w:tc>
          <w:tcPr>
            <w:tcW w:w="4006" w:type="dxa"/>
          </w:tcPr>
          <w:p w:rsidR="00100259" w:rsidRDefault="00100259" w:rsidP="004A4E41">
            <w:pPr>
              <w:pStyle w:val="libFootnote0"/>
              <w:rPr>
                <w:rtl/>
              </w:rPr>
            </w:pPr>
            <w:r>
              <w:rPr>
                <w:rtl/>
              </w:rPr>
              <w:t xml:space="preserve">(2). </w:t>
            </w:r>
            <w:r w:rsidRPr="00C9040A">
              <w:rPr>
                <w:rtl/>
              </w:rPr>
              <w:t xml:space="preserve">في « ب » </w:t>
            </w:r>
            <w:r>
              <w:rPr>
                <w:rtl/>
              </w:rPr>
              <w:t>: -</w:t>
            </w:r>
            <w:r w:rsidRPr="00C9040A">
              <w:rPr>
                <w:rtl/>
              </w:rPr>
              <w:t xml:space="preserve"> « المسلم »</w:t>
            </w:r>
            <w:r>
              <w:rPr>
                <w:rtl/>
              </w:rPr>
              <w:t>.</w:t>
            </w:r>
          </w:p>
        </w:tc>
      </w:tr>
    </w:tbl>
    <w:p w:rsidR="008A74EB" w:rsidRPr="00C9040A" w:rsidRDefault="006C577F" w:rsidP="00F238DB">
      <w:pPr>
        <w:pStyle w:val="libFootnote0"/>
        <w:rPr>
          <w:rtl/>
          <w:lang w:bidi="fa-IR"/>
        </w:rPr>
      </w:pPr>
      <w:r>
        <w:rPr>
          <w:rtl/>
        </w:rPr>
        <w:t>(3).</w:t>
      </w:r>
      <w:r w:rsidR="008A74EB" w:rsidRPr="00C9040A">
        <w:rPr>
          <w:rtl/>
        </w:rPr>
        <w:t xml:space="preserve"> سَغِبَ سَغَباً وسُغوباً : جاع ، فهو ساغب وسَغْبا</w:t>
      </w:r>
      <w:r w:rsidR="00F238DB">
        <w:rPr>
          <w:rtl/>
        </w:rPr>
        <w:t>ن. وقيل : لا يكون السَّغَبُ إل</w:t>
      </w:r>
      <w:r w:rsidR="00F238DB">
        <w:rPr>
          <w:rFonts w:hint="cs"/>
          <w:rtl/>
        </w:rPr>
        <w:t>ّ</w:t>
      </w:r>
      <w:r w:rsidR="00F238DB">
        <w:rPr>
          <w:rtl/>
        </w:rPr>
        <w:t>ا</w:t>
      </w:r>
      <w:r w:rsidR="008A74EB">
        <w:rPr>
          <w:rFonts w:hint="cs"/>
          <w:rtl/>
        </w:rPr>
        <w:t xml:space="preserve"> </w:t>
      </w:r>
      <w:r w:rsidR="008A74EB" w:rsidRPr="00C9040A">
        <w:rPr>
          <w:rtl/>
        </w:rPr>
        <w:t xml:space="preserve">الجوع مع التعب. </w:t>
      </w:r>
      <w:r w:rsidR="008A74EB" w:rsidRPr="00993B55">
        <w:rPr>
          <w:rStyle w:val="libFootnoteBoldChar"/>
          <w:rtl/>
        </w:rPr>
        <w:t>المصباح المنير</w:t>
      </w:r>
      <w:r w:rsidR="008A74EB" w:rsidRPr="00C9040A">
        <w:rPr>
          <w:rtl/>
        </w:rPr>
        <w:t xml:space="preserve"> ، ص 278 ( سغب )</w:t>
      </w:r>
      <w:r w:rsidR="008A74EB">
        <w:rPr>
          <w:rtl/>
        </w:rPr>
        <w:t>.</w:t>
      </w:r>
      <w:r w:rsidR="00F238DB">
        <w:rPr>
          <w:rFonts w:hint="cs"/>
          <w:rtl/>
        </w:rPr>
        <w:t xml:space="preserve">                                 </w:t>
      </w:r>
      <w:r>
        <w:rPr>
          <w:rtl/>
        </w:rPr>
        <w:t>(4).</w:t>
      </w:r>
      <w:r w:rsidR="008A74EB" w:rsidRPr="00C9040A">
        <w:rPr>
          <w:rtl/>
        </w:rPr>
        <w:t xml:space="preserve"> البلد (90) : 14</w:t>
      </w:r>
      <w:r w:rsidR="008A74EB">
        <w:rPr>
          <w:rtl/>
        </w:rPr>
        <w:t xml:space="preserve"> </w:t>
      </w:r>
      <w:r w:rsidR="0084262C">
        <w:rPr>
          <w:rtl/>
        </w:rPr>
        <w:t>-</w:t>
      </w:r>
      <w:r w:rsidR="008A74EB">
        <w:rPr>
          <w:rtl/>
        </w:rPr>
        <w:t xml:space="preserve"> </w:t>
      </w:r>
      <w:r w:rsidR="008A74EB" w:rsidRPr="00C9040A">
        <w:rPr>
          <w:rtl/>
        </w:rPr>
        <w:t>16.</w:t>
      </w:r>
    </w:p>
    <w:p w:rsidR="008A74EB" w:rsidRPr="00C9040A" w:rsidRDefault="006C577F" w:rsidP="00096241">
      <w:pPr>
        <w:pStyle w:val="libFootnote0"/>
        <w:rPr>
          <w:rtl/>
          <w:lang w:bidi="fa-IR"/>
        </w:rPr>
      </w:pPr>
      <w:r>
        <w:rPr>
          <w:rtl/>
        </w:rPr>
        <w:t>(5).</w:t>
      </w:r>
      <w:r w:rsidR="008A74EB" w:rsidRPr="00C9040A">
        <w:rPr>
          <w:rtl/>
        </w:rPr>
        <w:t xml:space="preserve"> </w:t>
      </w:r>
      <w:r w:rsidR="008A74EB" w:rsidRPr="00993B55">
        <w:rPr>
          <w:rStyle w:val="libFootnoteBoldChar"/>
          <w:rtl/>
        </w:rPr>
        <w:t>المحاسن</w:t>
      </w:r>
      <w:r w:rsidR="008A74EB" w:rsidRPr="00C9040A">
        <w:rPr>
          <w:rtl/>
        </w:rPr>
        <w:t xml:space="preserve"> ، ص 389 ، كتاب المآكل ، ح 17 ، عن جعفر بن محمّد الأشعري ، عن ابن القدّاح. </w:t>
      </w:r>
      <w:r w:rsidR="008A74EB" w:rsidRPr="00993B55">
        <w:rPr>
          <w:rStyle w:val="libFootnoteBoldChar"/>
          <w:rtl/>
        </w:rPr>
        <w:t>ثواب الأعمال</w:t>
      </w:r>
      <w:r w:rsidR="008A74EB" w:rsidRPr="00C9040A">
        <w:rPr>
          <w:rtl/>
        </w:rPr>
        <w:t xml:space="preserve"> ، ص 165 ، ح 1 ، عن جعفر بن محمّد بن عبيدالله ، عن عبدالله بن ميمون القدّاح. راجع : </w:t>
      </w:r>
      <w:r w:rsidR="008A74EB" w:rsidRPr="00993B55">
        <w:rPr>
          <w:rStyle w:val="libFootnoteBoldChar"/>
          <w:rtl/>
        </w:rPr>
        <w:t>الكافي</w:t>
      </w:r>
      <w:r w:rsidR="008A74EB" w:rsidRPr="00C9040A">
        <w:rPr>
          <w:rtl/>
        </w:rPr>
        <w:t xml:space="preserve"> ، كتاب الزكاة ، باب فضل إطعام الطعام ، ح 6195 </w:t>
      </w:r>
      <w:r w:rsidR="008A74EB">
        <w:rPr>
          <w:rtl/>
        </w:rPr>
        <w:t>و 6</w:t>
      </w:r>
      <w:r w:rsidR="008A74EB" w:rsidRPr="00C9040A">
        <w:rPr>
          <w:rtl/>
        </w:rPr>
        <w:t>205 ؛ و</w:t>
      </w:r>
      <w:r w:rsidR="008A74EB" w:rsidRPr="00993B55">
        <w:rPr>
          <w:rStyle w:val="libFootnoteBoldChar"/>
          <w:rtl/>
        </w:rPr>
        <w:t>المحاسن</w:t>
      </w:r>
      <w:r w:rsidR="008A74EB" w:rsidRPr="00C9040A">
        <w:rPr>
          <w:rtl/>
        </w:rPr>
        <w:t xml:space="preserve"> ، ص 389 ، كتاب المآكل ، ح 18 </w:t>
      </w:r>
      <w:r w:rsidR="008A74EB">
        <w:rPr>
          <w:rtl/>
        </w:rPr>
        <w:t>و 1</w:t>
      </w:r>
      <w:r w:rsidR="008A74EB" w:rsidRPr="00C9040A">
        <w:rPr>
          <w:rtl/>
        </w:rPr>
        <w:t>9</w:t>
      </w:r>
      <w:r w:rsidR="00096241">
        <w:rPr>
          <w:rFonts w:hint="cs"/>
          <w:rtl/>
        </w:rPr>
        <w:t>.</w:t>
      </w:r>
      <w:r w:rsidR="008A74EB" w:rsidRPr="00993B55">
        <w:rPr>
          <w:rStyle w:val="libFootnoteBoldChar"/>
          <w:rtl/>
        </w:rPr>
        <w:t>الوافي</w:t>
      </w:r>
      <w:r w:rsidR="008A74EB" w:rsidRPr="00C9040A">
        <w:rPr>
          <w:rtl/>
        </w:rPr>
        <w:t xml:space="preserve"> ، ج 5 ، ص 674 ، ح 2847 ؛ </w:t>
      </w:r>
      <w:r w:rsidR="008A74EB" w:rsidRPr="00993B55">
        <w:rPr>
          <w:rStyle w:val="libFootnoteBoldChar"/>
          <w:rtl/>
        </w:rPr>
        <w:t>الوسائل</w:t>
      </w:r>
      <w:r w:rsidR="008A74EB" w:rsidRPr="00C9040A">
        <w:rPr>
          <w:rtl/>
        </w:rPr>
        <w:t xml:space="preserve"> ، ج 24 ، ص 309 ، ح 30627 ؛ </w:t>
      </w:r>
      <w:r w:rsidR="008A74EB" w:rsidRPr="00993B55">
        <w:rPr>
          <w:rStyle w:val="libFootnoteBoldChar"/>
          <w:rtl/>
        </w:rPr>
        <w:t>البحار</w:t>
      </w:r>
      <w:r w:rsidR="008A74EB" w:rsidRPr="00C9040A">
        <w:rPr>
          <w:rtl/>
        </w:rPr>
        <w:t xml:space="preserve"> ، ج 74 ، ص 373 ، ح 68.</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w:t>
      </w:r>
      <w:r w:rsidR="008A74EB" w:rsidRPr="00993B55">
        <w:rPr>
          <w:rStyle w:val="libFootnoteBoldChar"/>
          <w:rtl/>
        </w:rPr>
        <w:t>مرآة العقول</w:t>
      </w:r>
      <w:r w:rsidR="008A74EB" w:rsidRPr="00C9040A">
        <w:rPr>
          <w:rtl/>
        </w:rPr>
        <w:t xml:space="preserve"> : « يمكن أن يقرأ « يقدر » في الموضعين على بناء المجهول ، وعلى بناء المعلوم أيضاً ، فالضميرللمؤمن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شَرْبَةٍ </w:t>
      </w:r>
      <w:r w:rsidR="006C577F" w:rsidRPr="006C577F">
        <w:rPr>
          <w:rStyle w:val="libFootnotenumChar"/>
          <w:rtl/>
        </w:rPr>
        <w:t>(1)</w:t>
      </w:r>
      <w:r w:rsidRPr="00C9040A">
        <w:rPr>
          <w:rtl/>
          <w:lang w:bidi="fa-IR"/>
        </w:rPr>
        <w:t xml:space="preserve"> سَبْعِينَ أَلْفَ حَسَنَةٍ ، وَإِنْ سَقَاهُ مِنْ حَيْثُ لَايَقْدِرُ عَلَى الْمَاءِ ، فَكَأَنَّمَا أَعْتَقَ عَشْرَ رِقَابٍ مِنْ وُلْدِ إِسْمَاعِيلَ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D00D7D">
        <w:rPr>
          <w:rtl/>
        </w:rPr>
        <w:t>2181</w:t>
      </w:r>
      <w:r w:rsidRPr="00261CB0">
        <w:rPr>
          <w:rStyle w:val="libBold2Char"/>
          <w:rtl/>
        </w:rPr>
        <w:t xml:space="preserve"> / 8.</w:t>
      </w:r>
      <w:r w:rsidRPr="00C9040A">
        <w:rPr>
          <w:rtl/>
          <w:lang w:bidi="fa-IR"/>
        </w:rPr>
        <w:t xml:space="preserve"> عِدَّةٌ مِنْ أَصْحَابِنَا ، عَنْ أَحْمَدَ بْنِ مُحَمَّدِ بْنِ خَالِدٍ ، عَنْ عُثْمَانَ بْنِ عِيسى ، عَنْ حُسَيْنِ بْنِ نُعَيْمٍ الصَّحَّافِ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Pr>
          <w:rtl/>
          <w:lang w:bidi="fa-IR"/>
        </w:rPr>
        <w:t xml:space="preserve"> : « أَ</w:t>
      </w:r>
      <w:r w:rsidRPr="00C9040A">
        <w:rPr>
          <w:rtl/>
          <w:lang w:bidi="fa-IR"/>
        </w:rPr>
        <w:t>تُحِبُّ إِخْوَانَكَ يَا حُسَيْنُ</w:t>
      </w:r>
      <w:r>
        <w:rPr>
          <w:rtl/>
          <w:lang w:bidi="fa-IR"/>
        </w:rPr>
        <w:t>؟</w:t>
      </w:r>
      <w:r w:rsidRPr="00C9040A">
        <w:rPr>
          <w:rtl/>
          <w:lang w:bidi="fa-IR"/>
        </w:rPr>
        <w:t xml:space="preserve"> » قُلْتُ : نَعَمْ ، قَالَ : « تَنْفَعُ </w:t>
      </w:r>
      <w:r w:rsidR="006C577F" w:rsidRPr="006C577F">
        <w:rPr>
          <w:rStyle w:val="libFootnotenumChar"/>
          <w:rtl/>
        </w:rPr>
        <w:t>(3)</w:t>
      </w:r>
      <w:r w:rsidRPr="00C9040A">
        <w:rPr>
          <w:rtl/>
          <w:lang w:bidi="fa-IR"/>
        </w:rPr>
        <w:t xml:space="preserve"> فُقَرَاءَهُمْ</w:t>
      </w:r>
      <w:r>
        <w:rPr>
          <w:rtl/>
          <w:lang w:bidi="fa-IR"/>
        </w:rPr>
        <w:t>؟</w:t>
      </w:r>
      <w:r w:rsidRPr="00C9040A">
        <w:rPr>
          <w:rtl/>
          <w:lang w:bidi="fa-IR"/>
        </w:rPr>
        <w:t xml:space="preserve"> »</w:t>
      </w:r>
      <w:r>
        <w:rPr>
          <w:rtl/>
          <w:lang w:bidi="fa-IR"/>
        </w:rPr>
        <w:t>.</w:t>
      </w:r>
      <w:r w:rsidRPr="00C9040A">
        <w:rPr>
          <w:rtl/>
          <w:lang w:bidi="fa-IR"/>
        </w:rPr>
        <w:t xml:space="preserve"> قُلْتُ : نَعَمْ ، قَالَ : « أَمَا إِنَّهُ يَحِقُّ عَلَيْكَ أَنْ تُحِبَّ مَنْ يُحِبُّ اللهُ </w:t>
      </w:r>
      <w:r w:rsidR="006C577F" w:rsidRPr="006C577F">
        <w:rPr>
          <w:rStyle w:val="libFootnotenumChar"/>
          <w:rtl/>
        </w:rPr>
        <w:t>(4)</w:t>
      </w:r>
      <w:r w:rsidRPr="00C9040A">
        <w:rPr>
          <w:rtl/>
          <w:lang w:bidi="fa-IR"/>
        </w:rPr>
        <w:t xml:space="preserve"> ، أَمَا وَاللهِ </w:t>
      </w:r>
      <w:r w:rsidR="006C577F" w:rsidRPr="006C577F">
        <w:rPr>
          <w:rStyle w:val="libFootnotenumChar"/>
          <w:rtl/>
        </w:rPr>
        <w:t>(5)</w:t>
      </w:r>
      <w:r w:rsidRPr="00C9040A">
        <w:rPr>
          <w:rtl/>
          <w:lang w:bidi="fa-IR"/>
        </w:rPr>
        <w:t xml:space="preserve"> ، لَا تَنْفَعُ مِنْهُ</w:t>
      </w:r>
      <w:r>
        <w:rPr>
          <w:rtl/>
          <w:lang w:bidi="fa-IR"/>
        </w:rPr>
        <w:t>مْ أَحَداً حَتّى تُحِبَّهُ ، أَ</w:t>
      </w:r>
      <w:r w:rsidRPr="00C9040A">
        <w:rPr>
          <w:rtl/>
          <w:lang w:bidi="fa-IR"/>
        </w:rPr>
        <w:t>تَدْعُوهُمْ إِلى مَنْزِلِكَ</w:t>
      </w:r>
      <w:r>
        <w:rPr>
          <w:rtl/>
          <w:lang w:bidi="fa-IR"/>
        </w:rPr>
        <w:t>؟</w:t>
      </w:r>
      <w:r w:rsidRPr="00C9040A">
        <w:rPr>
          <w:rtl/>
          <w:lang w:bidi="fa-IR"/>
        </w:rPr>
        <w:t xml:space="preserve"> » قُلْتُ : نَعَمْ </w:t>
      </w:r>
      <w:r w:rsidR="006C577F" w:rsidRPr="006C577F">
        <w:rPr>
          <w:rStyle w:val="libFootnotenumChar"/>
          <w:rtl/>
        </w:rPr>
        <w:t>(6)</w:t>
      </w:r>
      <w:r w:rsidRPr="005B567D">
        <w:rPr>
          <w:rStyle w:val="libFootnotenumChar"/>
          <w:rtl/>
        </w:rPr>
        <w:t xml:space="preserve"> </w:t>
      </w:r>
      <w:r w:rsidR="00096241">
        <w:rPr>
          <w:rtl/>
          <w:lang w:bidi="fa-IR"/>
        </w:rPr>
        <w:t>، مَا آكُلُ إِل</w:t>
      </w:r>
      <w:r w:rsidR="00096241">
        <w:rPr>
          <w:rFonts w:hint="cs"/>
          <w:rtl/>
          <w:lang w:bidi="fa-IR"/>
        </w:rPr>
        <w:t>َّ</w:t>
      </w:r>
      <w:r w:rsidR="00096241">
        <w:rPr>
          <w:rtl/>
          <w:lang w:bidi="fa-IR"/>
        </w:rPr>
        <w:t>ا</w:t>
      </w:r>
      <w:r w:rsidRPr="00C9040A">
        <w:rPr>
          <w:rtl/>
          <w:lang w:bidi="fa-IR"/>
        </w:rPr>
        <w:t xml:space="preserve"> وَمَعِيَ مِنْهُمُ الرَّجُلَانِ وَالثَّلَاثَةُ وَالْأَقَلُّ وَالْأَكْثَرُ </w:t>
      </w:r>
      <w:r w:rsidR="006C577F" w:rsidRPr="006C577F">
        <w:rPr>
          <w:rStyle w:val="libFootnotenumChar"/>
          <w:rtl/>
        </w:rPr>
        <w:t>(7)</w:t>
      </w:r>
      <w:r w:rsidRPr="00C9040A">
        <w:rPr>
          <w:rtl/>
          <w:lang w:bidi="fa-IR"/>
        </w:rPr>
        <w:t xml:space="preserve"> ، فَقَالَ أَبُو عَبْدِ اللهِ </w:t>
      </w:r>
      <w:r w:rsidRPr="0003660B">
        <w:rPr>
          <w:rStyle w:val="libAlaemChar"/>
          <w:rtl/>
        </w:rPr>
        <w:t>عليه‌السلام</w:t>
      </w:r>
      <w:r w:rsidRPr="00C9040A">
        <w:rPr>
          <w:rtl/>
          <w:lang w:bidi="fa-IR"/>
        </w:rPr>
        <w:t xml:space="preserve"> : « أَمَا إِنَّ </w:t>
      </w:r>
      <w:r w:rsidR="006C577F" w:rsidRPr="006C577F">
        <w:rPr>
          <w:rStyle w:val="libFootnotenumChar"/>
          <w:rtl/>
        </w:rPr>
        <w:t>(8)</w:t>
      </w:r>
      <w:r w:rsidRPr="00C9040A">
        <w:rPr>
          <w:rtl/>
          <w:lang w:bidi="fa-IR"/>
        </w:rPr>
        <w:t xml:space="preserve"> فَضْلَهُمْ عَلَيْكَ أَعْظَمُ مِنْ فَضْلِكَ عَلَيْهِمْ »</w:t>
      </w:r>
      <w:r>
        <w:rPr>
          <w:rtl/>
          <w:lang w:bidi="fa-IR"/>
        </w:rPr>
        <w:t>.</w:t>
      </w:r>
    </w:p>
    <w:p w:rsidR="008A74EB" w:rsidRPr="00C9040A" w:rsidRDefault="008A74EB" w:rsidP="008A74EB">
      <w:pPr>
        <w:pStyle w:val="libNormal"/>
        <w:rPr>
          <w:rtl/>
          <w:lang w:bidi="fa-IR"/>
        </w:rPr>
      </w:pPr>
      <w:r w:rsidRPr="00C9040A">
        <w:rPr>
          <w:rtl/>
          <w:lang w:bidi="fa-IR"/>
        </w:rPr>
        <w:t xml:space="preserve">فَقُلْتُ : جُعِلْتُ فِدَاكَ ، أُطْعِمُهُمْ طَعَامِي ، وَأُوطِئُهُمْ </w:t>
      </w:r>
      <w:r w:rsidR="006C577F" w:rsidRPr="006C577F">
        <w:rPr>
          <w:rStyle w:val="libFootnotenumChar"/>
          <w:rtl/>
        </w:rPr>
        <w:t>(9)</w:t>
      </w:r>
      <w:r w:rsidRPr="00C9040A">
        <w:rPr>
          <w:rtl/>
          <w:lang w:bidi="fa-IR"/>
        </w:rPr>
        <w:t xml:space="preserve"> رَحْلِي ، وَيَكُونُ فَضْلُهُمْ عَلَيَّ أَعْظَمَ </w:t>
      </w:r>
      <w:r w:rsidR="006C577F" w:rsidRPr="006C577F">
        <w:rPr>
          <w:rStyle w:val="libFootnotenumChar"/>
          <w:rtl/>
        </w:rPr>
        <w:t>(10)</w:t>
      </w:r>
      <w:r>
        <w:rPr>
          <w:rtl/>
          <w:lang w:bidi="fa-IR"/>
        </w:rPr>
        <w:t>؟</w:t>
      </w:r>
    </w:p>
    <w:p w:rsidR="008A74EB" w:rsidRPr="00C9040A" w:rsidRDefault="008A74EB" w:rsidP="008A74EB">
      <w:pPr>
        <w:pStyle w:val="libNormal"/>
        <w:rPr>
          <w:rtl/>
          <w:lang w:bidi="fa-IR"/>
        </w:rPr>
      </w:pPr>
      <w:r w:rsidRPr="00C9040A">
        <w:rPr>
          <w:rtl/>
          <w:lang w:bidi="fa-IR"/>
        </w:rPr>
        <w:t>قَالَ : « نَعَمْ ، إِنَّهُمْ إِذَا دَخَلُوا مَنْزِلَكَ ، دَخَلُوا بِمَغْفِرَتِكَ وَمَغْفِرَةِ عِيَالِكَ ؛ وَإِذَا خَرَجُوا‌</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ب » </w:t>
      </w:r>
      <w:r w:rsidR="008A74EB">
        <w:rPr>
          <w:rtl/>
        </w:rPr>
        <w:t xml:space="preserve">: </w:t>
      </w:r>
      <w:r w:rsidR="0084262C">
        <w:rPr>
          <w:rtl/>
        </w:rPr>
        <w:t>-</w:t>
      </w:r>
      <w:r w:rsidR="008A74EB" w:rsidRPr="00C9040A">
        <w:rPr>
          <w:rtl/>
        </w:rPr>
        <w:t xml:space="preserve"> « بكلّ شربة »</w:t>
      </w:r>
      <w:r w:rsidR="008A74EB">
        <w:rPr>
          <w:rtl/>
        </w:rPr>
        <w:t>.</w:t>
      </w:r>
      <w:r w:rsidR="008A74EB" w:rsidRPr="00C9040A">
        <w:rPr>
          <w:rtl/>
        </w:rPr>
        <w:t xml:space="preserve"> واحتمل في </w:t>
      </w:r>
      <w:r w:rsidR="008A74EB" w:rsidRPr="00993B55">
        <w:rPr>
          <w:rStyle w:val="libFootnoteBoldChar"/>
          <w:rtl/>
        </w:rPr>
        <w:t>مرآة العقول</w:t>
      </w:r>
      <w:r w:rsidR="008A74EB" w:rsidRPr="00C9040A">
        <w:rPr>
          <w:rtl/>
        </w:rPr>
        <w:t xml:space="preserve"> أن تقرأ الشربة الا</w:t>
      </w:r>
      <w:r w:rsidR="00096241">
        <w:rPr>
          <w:rFonts w:hint="cs"/>
          <w:rtl/>
        </w:rPr>
        <w:t>ُ</w:t>
      </w:r>
      <w:r w:rsidR="008A74EB" w:rsidRPr="00C9040A">
        <w:rPr>
          <w:rtl/>
        </w:rPr>
        <w:t>ولى بضمّ الشين ، وهي قدر ما يروي‌الإنسان ، والثانية بفتحه ، وهي الجرعة تُبْلَعُ مرّة واحدة.</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الوافي</w:t>
      </w:r>
      <w:r w:rsidR="008A74EB" w:rsidRPr="00C9040A">
        <w:rPr>
          <w:rtl/>
        </w:rPr>
        <w:t xml:space="preserve"> ، ج 5 ، ص 678 ، ح 2862 ؛ </w:t>
      </w:r>
      <w:r w:rsidR="008A74EB" w:rsidRPr="00993B55">
        <w:rPr>
          <w:rStyle w:val="libFootnoteBoldChar"/>
          <w:rtl/>
        </w:rPr>
        <w:t>الوسائل</w:t>
      </w:r>
      <w:r w:rsidR="008A74EB" w:rsidRPr="00C9040A">
        <w:rPr>
          <w:rtl/>
        </w:rPr>
        <w:t xml:space="preserve"> ، ج 25 ، ص 253 ، ح 31841 ؛ </w:t>
      </w:r>
      <w:r w:rsidR="008A74EB" w:rsidRPr="00993B55">
        <w:rPr>
          <w:rStyle w:val="libFootnoteBoldChar"/>
          <w:rtl/>
        </w:rPr>
        <w:t>البحار</w:t>
      </w:r>
      <w:r w:rsidR="008A74EB" w:rsidRPr="00C9040A">
        <w:rPr>
          <w:rtl/>
        </w:rPr>
        <w:t xml:space="preserve"> ، ج 74 ، ص 374 ، ح 69.</w:t>
      </w:r>
    </w:p>
    <w:p w:rsidR="008A74EB" w:rsidRPr="00C9040A" w:rsidRDefault="006C577F" w:rsidP="004A4E41">
      <w:pPr>
        <w:pStyle w:val="libFootnote0"/>
        <w:rPr>
          <w:rtl/>
          <w:lang w:bidi="fa-IR"/>
        </w:rPr>
      </w:pPr>
      <w:r>
        <w:rPr>
          <w:rtl/>
        </w:rPr>
        <w:t>(3).</w:t>
      </w:r>
      <w:r w:rsidR="008A74EB" w:rsidRPr="00C9040A">
        <w:rPr>
          <w:rtl/>
        </w:rPr>
        <w:t xml:space="preserve"> في الوسائل : « وتنفع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w:t>
      </w:r>
      <w:r w:rsidR="008A74EB" w:rsidRPr="00993B55">
        <w:rPr>
          <w:rStyle w:val="libFootnoteBoldChar"/>
          <w:rtl/>
        </w:rPr>
        <w:t>مرآة العقول</w:t>
      </w:r>
      <w:r w:rsidR="008A74EB" w:rsidRPr="00C9040A">
        <w:rPr>
          <w:rtl/>
        </w:rPr>
        <w:t xml:space="preserve"> : « من يحبّ الله ، برفع الجلالة ، أي‌يحبّه الله. ويحتمل النصب ، والأوّل أظهر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الوسائل : « أما إنّك » بدل « أما والله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 ج ، ز ، بف » والوافي والوسائل والمحاسن </w:t>
      </w:r>
      <w:r w:rsidR="008A74EB">
        <w:rPr>
          <w:rtl/>
        </w:rPr>
        <w:t xml:space="preserve">: </w:t>
      </w:r>
      <w:r w:rsidR="0084262C">
        <w:rPr>
          <w:rtl/>
        </w:rPr>
        <w:t>-</w:t>
      </w:r>
      <w:r w:rsidR="008A74EB" w:rsidRPr="00C9040A">
        <w:rPr>
          <w:rtl/>
        </w:rPr>
        <w:t xml:space="preserve"> « نعم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المحاسن : « أو الثلاثة أو الأقلّ أو الأكثر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المحاسن </w:t>
      </w:r>
      <w:r w:rsidR="008A74EB">
        <w:rPr>
          <w:rtl/>
        </w:rPr>
        <w:t xml:space="preserve">: </w:t>
      </w:r>
      <w:r w:rsidR="0084262C">
        <w:rPr>
          <w:rtl/>
        </w:rPr>
        <w:t>-</w:t>
      </w:r>
      <w:r w:rsidR="008A74EB" w:rsidRPr="00C9040A">
        <w:rPr>
          <w:rtl/>
        </w:rPr>
        <w:t xml:space="preserve"> « أما إنّ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ب ، ص ، ف ، بر » : « وا</w:t>
      </w:r>
      <w:r w:rsidR="00096241">
        <w:rPr>
          <w:rFonts w:hint="cs"/>
          <w:rtl/>
        </w:rPr>
        <w:t>ُ</w:t>
      </w:r>
      <w:r w:rsidR="008A74EB" w:rsidRPr="00C9040A">
        <w:rPr>
          <w:rtl/>
        </w:rPr>
        <w:t>وطّئهم » على بناء التفعيل.</w:t>
      </w:r>
    </w:p>
    <w:p w:rsidR="008A74EB" w:rsidRPr="00C9040A" w:rsidRDefault="006C577F" w:rsidP="004A4E41">
      <w:pPr>
        <w:pStyle w:val="libFootnote0"/>
        <w:rPr>
          <w:rtl/>
          <w:lang w:bidi="fa-IR"/>
        </w:rPr>
      </w:pPr>
      <w:r>
        <w:rPr>
          <w:rtl/>
        </w:rPr>
        <w:t>(10).</w:t>
      </w:r>
      <w:r w:rsidR="008A74EB" w:rsidRPr="00C9040A">
        <w:rPr>
          <w:rtl/>
        </w:rPr>
        <w:t xml:space="preserve"> في المحاسن : « فقلت : أدعوهم إلى منزلي ، وا</w:t>
      </w:r>
      <w:r w:rsidR="00096241">
        <w:rPr>
          <w:rFonts w:hint="cs"/>
          <w:rtl/>
        </w:rPr>
        <w:t>ُ</w:t>
      </w:r>
      <w:r w:rsidR="008A74EB" w:rsidRPr="00C9040A">
        <w:rPr>
          <w:rtl/>
        </w:rPr>
        <w:t>وطعمهم طعامي ، وا</w:t>
      </w:r>
      <w:r w:rsidR="00096241">
        <w:rPr>
          <w:rFonts w:hint="cs"/>
          <w:rtl/>
        </w:rPr>
        <w:t>ُ</w:t>
      </w:r>
      <w:r w:rsidR="008A74EB" w:rsidRPr="00C9040A">
        <w:rPr>
          <w:rtl/>
        </w:rPr>
        <w:t>سقيهم ، وا</w:t>
      </w:r>
      <w:r w:rsidR="00096241">
        <w:rPr>
          <w:rFonts w:hint="cs"/>
          <w:rtl/>
        </w:rPr>
        <w:t>ُ</w:t>
      </w:r>
      <w:r w:rsidR="008A74EB" w:rsidRPr="00C9040A">
        <w:rPr>
          <w:rtl/>
        </w:rPr>
        <w:t>وطئهم رحلي ، ويكونون عليّ أفضل منّا » بدل « فقلت جعلت</w:t>
      </w:r>
      <w:r w:rsidR="008A74EB">
        <w:rPr>
          <w:rtl/>
        </w:rPr>
        <w:t xml:space="preserve"> </w:t>
      </w:r>
      <w:r w:rsidR="0084262C">
        <w:rPr>
          <w:rtl/>
        </w:rPr>
        <w:t>-</w:t>
      </w:r>
      <w:r w:rsidR="008A74EB">
        <w:rPr>
          <w:rtl/>
        </w:rPr>
        <w:t xml:space="preserve"> </w:t>
      </w:r>
      <w:r w:rsidR="008A74EB" w:rsidRPr="00C9040A">
        <w:rPr>
          <w:rtl/>
        </w:rPr>
        <w:t>إلى</w:t>
      </w:r>
      <w:r w:rsidR="008A74EB">
        <w:rPr>
          <w:rtl/>
        </w:rPr>
        <w:t xml:space="preserve"> </w:t>
      </w:r>
      <w:r w:rsidR="0084262C">
        <w:rPr>
          <w:rtl/>
        </w:rPr>
        <w:t>-</w:t>
      </w:r>
      <w:r w:rsidR="008A74EB">
        <w:rPr>
          <w:rtl/>
        </w:rPr>
        <w:t xml:space="preserve"> </w:t>
      </w:r>
      <w:r w:rsidR="008A74EB" w:rsidRPr="00C9040A">
        <w:rPr>
          <w:rtl/>
        </w:rPr>
        <w:t>عليّ أعظم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مِنْ مَنْزِلِكَ ، خَرَجُوا بِذُنُوبِكَ وَذُنُوبِ عِيَالِكَ »</w:t>
      </w:r>
      <w:r>
        <w:rPr>
          <w:rtl/>
          <w:lang w:bidi="fa-IR"/>
        </w:rPr>
        <w:t>.</w:t>
      </w:r>
      <w:r w:rsidRPr="00C9040A">
        <w:rPr>
          <w:rtl/>
          <w:lang w:bidi="fa-IR"/>
        </w:rPr>
        <w:t xml:space="preserve"> </w:t>
      </w:r>
      <w:r w:rsidR="006C577F" w:rsidRPr="006C577F">
        <w:rPr>
          <w:rStyle w:val="libFootnotenumChar"/>
          <w:rtl/>
        </w:rPr>
        <w:t>(1)</w:t>
      </w:r>
      <w:r w:rsidRPr="00C9040A">
        <w:rPr>
          <w:rtl/>
          <w:lang w:bidi="fa-IR"/>
        </w:rPr>
        <w:t xml:space="preserve"> ‌</w:t>
      </w:r>
    </w:p>
    <w:p w:rsidR="008A74EB" w:rsidRPr="00C9040A" w:rsidRDefault="008A74EB" w:rsidP="008A74EB">
      <w:pPr>
        <w:pStyle w:val="libNormal"/>
        <w:rPr>
          <w:rtl/>
          <w:lang w:bidi="fa-IR"/>
        </w:rPr>
      </w:pPr>
      <w:r w:rsidRPr="00D00D7D">
        <w:rPr>
          <w:rtl/>
        </w:rPr>
        <w:t>2182</w:t>
      </w:r>
      <w:r w:rsidRPr="00261CB0">
        <w:rPr>
          <w:rStyle w:val="libBold2Char"/>
          <w:rtl/>
        </w:rPr>
        <w:t xml:space="preserve"> / 9.</w:t>
      </w:r>
      <w:r w:rsidRPr="00C9040A">
        <w:rPr>
          <w:rtl/>
          <w:lang w:bidi="fa-IR"/>
        </w:rPr>
        <w:t xml:space="preserve"> عَلِيُّ بْنُ إِبْرَاهِيمَ ، عَنْ أَبِيهِ ، عَنِ ابْنِ أَبِي عُمَيْرٍ ، عَنْ أَبِي مُحَمَّدٍ الْوَابِشِيِّ ، قَالَ :</w:t>
      </w:r>
    </w:p>
    <w:p w:rsidR="008A74EB" w:rsidRPr="00C9040A" w:rsidRDefault="008A74EB" w:rsidP="008A74EB">
      <w:pPr>
        <w:pStyle w:val="libNormal"/>
        <w:rPr>
          <w:rtl/>
          <w:lang w:bidi="fa-IR"/>
        </w:rPr>
      </w:pPr>
      <w:r w:rsidRPr="00C9040A">
        <w:rPr>
          <w:rtl/>
          <w:lang w:bidi="fa-IR"/>
        </w:rPr>
        <w:t xml:space="preserve">ذُكِرَ أَصْحَابُنَا عِنْدَ أَبِي عَبْدِ اللهِ </w:t>
      </w:r>
      <w:r w:rsidRPr="0003660B">
        <w:rPr>
          <w:rStyle w:val="libAlaemChar"/>
          <w:rtl/>
        </w:rPr>
        <w:t>عليه‌السلام</w:t>
      </w:r>
      <w:r w:rsidRPr="00C9040A">
        <w:rPr>
          <w:rtl/>
          <w:lang w:bidi="fa-IR"/>
        </w:rPr>
        <w:t xml:space="preserve"> ، فَقُلْتُ : مَا </w:t>
      </w:r>
      <w:r w:rsidR="004A4FB3">
        <w:rPr>
          <w:rtl/>
          <w:lang w:bidi="fa-IR"/>
        </w:rPr>
        <w:t>أَتَغَدّى وَلَا أَتَعَشّى إِل</w:t>
      </w:r>
      <w:r w:rsidR="004A4FB3">
        <w:rPr>
          <w:rFonts w:hint="cs"/>
          <w:rtl/>
          <w:lang w:bidi="fa-IR"/>
        </w:rPr>
        <w:t>َّ</w:t>
      </w:r>
      <w:r w:rsidR="004A4FB3">
        <w:rPr>
          <w:rtl/>
          <w:lang w:bidi="fa-IR"/>
        </w:rPr>
        <w:t>ا</w:t>
      </w:r>
      <w:r w:rsidRPr="00C9040A">
        <w:rPr>
          <w:rtl/>
          <w:lang w:bidi="fa-IR"/>
        </w:rPr>
        <w:t xml:space="preserve"> وَمَعِيَ مِنْهُمُ الِاثْنَانِ وَالثَّلَاثَةُ وَأَقَلُّ وَأَكْثَرُ </w:t>
      </w:r>
      <w:r w:rsidR="006C577F" w:rsidRPr="006C577F">
        <w:rPr>
          <w:rStyle w:val="libFootnotenumChar"/>
          <w:rtl/>
        </w:rPr>
        <w:t>(2)</w:t>
      </w:r>
      <w:r w:rsidRPr="00C9040A">
        <w:rPr>
          <w:rtl/>
          <w:lang w:bidi="fa-IR"/>
        </w:rPr>
        <w:t xml:space="preserve"> ، فَقَالَ أَبُو عَبْدِ اللهِ </w:t>
      </w:r>
      <w:r w:rsidR="006C577F" w:rsidRPr="006C577F">
        <w:rPr>
          <w:rStyle w:val="libFootnotenumChar"/>
          <w:rtl/>
        </w:rPr>
        <w:t>(3)</w:t>
      </w:r>
      <w:r w:rsidRPr="00C9040A">
        <w:rPr>
          <w:rtl/>
          <w:lang w:bidi="fa-IR"/>
        </w:rPr>
        <w:t xml:space="preserve"> </w:t>
      </w:r>
      <w:r w:rsidRPr="0003660B">
        <w:rPr>
          <w:rStyle w:val="libAlaemChar"/>
          <w:rtl/>
        </w:rPr>
        <w:t>عليه‌السلام</w:t>
      </w:r>
      <w:r w:rsidRPr="00C9040A">
        <w:rPr>
          <w:rtl/>
          <w:lang w:bidi="fa-IR"/>
        </w:rPr>
        <w:t xml:space="preserve"> : « فَضْلُهُمْ عَلَيْكَ أَ</w:t>
      </w:r>
      <w:r w:rsidR="004A4FB3">
        <w:rPr>
          <w:rtl/>
          <w:lang w:bidi="fa-IR"/>
        </w:rPr>
        <w:t>عْظَمُ مِنْ فَضْلِكَ عَلَيْهِمْ</w:t>
      </w:r>
      <w:r w:rsidRPr="00C9040A">
        <w:rPr>
          <w:rtl/>
          <w:lang w:bidi="fa-IR"/>
        </w:rPr>
        <w:t>»</w:t>
      </w:r>
      <w:r>
        <w:rPr>
          <w:rtl/>
          <w:lang w:bidi="fa-IR"/>
        </w:rPr>
        <w:t>.</w:t>
      </w:r>
    </w:p>
    <w:p w:rsidR="008A74EB" w:rsidRPr="00C9040A" w:rsidRDefault="008A74EB" w:rsidP="008A74EB">
      <w:pPr>
        <w:pStyle w:val="libNormal"/>
        <w:rPr>
          <w:rtl/>
          <w:lang w:bidi="fa-IR"/>
        </w:rPr>
      </w:pPr>
      <w:r w:rsidRPr="00C9040A">
        <w:rPr>
          <w:rtl/>
          <w:lang w:bidi="fa-IR"/>
        </w:rPr>
        <w:t xml:space="preserve">فَقُلْتُ : جُعِلْتُ فِدَاكَ ، كَيْفَ </w:t>
      </w:r>
      <w:r w:rsidR="006C577F" w:rsidRPr="006C577F">
        <w:rPr>
          <w:rStyle w:val="libFootnotenumChar"/>
          <w:rtl/>
        </w:rPr>
        <w:t>(4)</w:t>
      </w:r>
      <w:r w:rsidRPr="00C9040A">
        <w:rPr>
          <w:rtl/>
          <w:lang w:bidi="fa-IR"/>
        </w:rPr>
        <w:t xml:space="preserve"> وَأَنَا أُطْعِمُهُمْ طَعَامِي ، وَأُنْفِقُ عَلَيْهِمْ مِنْ </w:t>
      </w:r>
      <w:r w:rsidR="006C577F" w:rsidRPr="006C577F">
        <w:rPr>
          <w:rStyle w:val="libFootnotenumChar"/>
          <w:rtl/>
        </w:rPr>
        <w:t>(5)</w:t>
      </w:r>
      <w:r w:rsidRPr="00C9040A">
        <w:rPr>
          <w:rtl/>
          <w:lang w:bidi="fa-IR"/>
        </w:rPr>
        <w:t xml:space="preserve"> مَالِي ، وَأُخْدِمُهُمْ </w:t>
      </w:r>
      <w:r w:rsidR="006C577F" w:rsidRPr="006C577F">
        <w:rPr>
          <w:rStyle w:val="libFootnotenumChar"/>
          <w:rtl/>
        </w:rPr>
        <w:t>(6)</w:t>
      </w:r>
      <w:r w:rsidRPr="005B567D">
        <w:rPr>
          <w:rStyle w:val="libFootnotenumChar"/>
          <w:rtl/>
        </w:rPr>
        <w:t xml:space="preserve"> </w:t>
      </w:r>
      <w:r w:rsidRPr="00C9040A">
        <w:rPr>
          <w:rtl/>
          <w:lang w:bidi="fa-IR"/>
        </w:rPr>
        <w:t xml:space="preserve">عِيَالِي </w:t>
      </w:r>
      <w:r w:rsidR="006C577F" w:rsidRPr="006C577F">
        <w:rPr>
          <w:rStyle w:val="libFootnotenumChar"/>
          <w:rtl/>
        </w:rPr>
        <w:t>(7)</w:t>
      </w:r>
      <w:r>
        <w:rPr>
          <w:rtl/>
          <w:lang w:bidi="fa-IR"/>
        </w:rPr>
        <w:t>؟!</w:t>
      </w:r>
    </w:p>
    <w:p w:rsidR="008A74EB" w:rsidRPr="00C9040A" w:rsidRDefault="008A74EB" w:rsidP="008A74EB">
      <w:pPr>
        <w:pStyle w:val="libNormal"/>
        <w:rPr>
          <w:rtl/>
          <w:lang w:bidi="fa-IR"/>
        </w:rPr>
      </w:pPr>
      <w:r w:rsidRPr="00C9040A">
        <w:rPr>
          <w:rtl/>
          <w:lang w:bidi="fa-IR"/>
        </w:rPr>
        <w:t xml:space="preserve">فَقَالَ : « إِنَّهُمْ إِذَا دَخَلُوا عَلَيْكَ </w:t>
      </w:r>
      <w:r w:rsidR="006C577F" w:rsidRPr="006C577F">
        <w:rPr>
          <w:rStyle w:val="libFootnotenumChar"/>
          <w:rtl/>
        </w:rPr>
        <w:t>(8)</w:t>
      </w:r>
      <w:r w:rsidRPr="00C9040A">
        <w:rPr>
          <w:rtl/>
          <w:lang w:bidi="fa-IR"/>
        </w:rPr>
        <w:t xml:space="preserve"> ، دَخَلُوا بِرِزْقٍ مِنَ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كَثِيرٍ ؛ وَإِذَا خَرَجُوا ، خَرَجُوا بِالْمَغْفِرَةِ لَكَ »</w:t>
      </w:r>
      <w:r>
        <w:rPr>
          <w:rtl/>
          <w:lang w:bidi="fa-IR"/>
        </w:rPr>
        <w:t>.</w:t>
      </w:r>
      <w:r w:rsidRPr="00C9040A">
        <w:rPr>
          <w:rtl/>
          <w:lang w:bidi="fa-IR"/>
        </w:rPr>
        <w:t xml:space="preserve"> </w:t>
      </w:r>
      <w:r w:rsidR="006C577F" w:rsidRPr="006C577F">
        <w:rPr>
          <w:rStyle w:val="libFootnotenumChar"/>
          <w:rtl/>
        </w:rPr>
        <w:t>(9)</w:t>
      </w:r>
      <w:r w:rsidRPr="00C9040A">
        <w:rPr>
          <w:rtl/>
          <w:lang w:bidi="fa-IR"/>
        </w:rPr>
        <w:t xml:space="preserve"> ‌</w:t>
      </w:r>
    </w:p>
    <w:p w:rsidR="008A74EB" w:rsidRPr="00C9040A" w:rsidRDefault="008A74EB" w:rsidP="008A74EB">
      <w:pPr>
        <w:pStyle w:val="libNormal"/>
        <w:rPr>
          <w:rtl/>
          <w:lang w:bidi="fa-IR"/>
        </w:rPr>
      </w:pPr>
      <w:r w:rsidRPr="00D00D7D">
        <w:rPr>
          <w:rtl/>
        </w:rPr>
        <w:t>2183</w:t>
      </w:r>
      <w:r w:rsidRPr="00261CB0">
        <w:rPr>
          <w:rStyle w:val="libBold2Char"/>
          <w:rtl/>
        </w:rPr>
        <w:t xml:space="preserve"> / 10.</w:t>
      </w:r>
      <w:r w:rsidRPr="00C9040A">
        <w:rPr>
          <w:rtl/>
          <w:lang w:bidi="fa-IR"/>
        </w:rPr>
        <w:t xml:space="preserve"> عَنْهُ </w:t>
      </w:r>
      <w:r w:rsidR="006C577F" w:rsidRPr="006C577F">
        <w:rPr>
          <w:rStyle w:val="libFootnotenumChar"/>
          <w:rtl/>
        </w:rPr>
        <w:t>(10)</w:t>
      </w:r>
      <w:r w:rsidRPr="00C9040A">
        <w:rPr>
          <w:rtl/>
          <w:lang w:bidi="fa-IR"/>
        </w:rPr>
        <w:t xml:space="preserve"> ، عَنْ أَبِيهِ ، عَنِ ابْنِ أَبِي عُمَيْرٍ ، عَنْ مُحَمَّدِ بْنِ مُقَرِّنٍ ، عَنْ عُبَيْدِ اللهِ الْوَصَّافِيِّ </w:t>
      </w:r>
      <w:r w:rsidR="006C577F" w:rsidRPr="006C577F">
        <w:rPr>
          <w:rStyle w:val="libFootnotenumChar"/>
          <w:rtl/>
        </w:rPr>
        <w:t>(11)</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FB3">
      <w:pPr>
        <w:pStyle w:val="libFootnote0"/>
        <w:rPr>
          <w:rtl/>
          <w:lang w:bidi="fa-IR"/>
        </w:rPr>
      </w:pPr>
      <w:r>
        <w:rPr>
          <w:rtl/>
        </w:rPr>
        <w:t>(1).</w:t>
      </w:r>
      <w:r w:rsidR="008A74EB">
        <w:rPr>
          <w:rtl/>
        </w:rPr>
        <w:t xml:space="preserve"> </w:t>
      </w:r>
      <w:r w:rsidR="008A74EB" w:rsidRPr="00993B55">
        <w:rPr>
          <w:rStyle w:val="libFootnoteBoldChar"/>
          <w:rtl/>
        </w:rPr>
        <w:t>المحاسن</w:t>
      </w:r>
      <w:r w:rsidR="008A74EB" w:rsidRPr="00C9040A">
        <w:rPr>
          <w:rtl/>
        </w:rPr>
        <w:t xml:space="preserve"> ، ص 390 ، كتاب المآكل ، ح 28</w:t>
      </w:r>
      <w:r w:rsidR="004A4FB3">
        <w:rPr>
          <w:rFonts w:hint="cs"/>
          <w:rtl/>
        </w:rPr>
        <w:t>.</w:t>
      </w:r>
      <w:r w:rsidR="008A74EB" w:rsidRPr="00993B55">
        <w:rPr>
          <w:rStyle w:val="libFootnoteBoldChar"/>
          <w:rtl/>
        </w:rPr>
        <w:t>الوافي</w:t>
      </w:r>
      <w:r w:rsidR="008A74EB" w:rsidRPr="00C9040A">
        <w:rPr>
          <w:rtl/>
        </w:rPr>
        <w:t xml:space="preserve"> ، ج 5 ، ص 675 ، ح 2848 ؛ </w:t>
      </w:r>
      <w:r w:rsidR="008A74EB" w:rsidRPr="00993B55">
        <w:rPr>
          <w:rStyle w:val="libFootnoteBoldChar"/>
          <w:rtl/>
        </w:rPr>
        <w:t>الوسائل</w:t>
      </w:r>
      <w:r w:rsidR="008A74EB" w:rsidRPr="00C9040A">
        <w:rPr>
          <w:rtl/>
        </w:rPr>
        <w:t xml:space="preserve"> ، ج 24 ، ص 304 ، ح 30616 ؛ </w:t>
      </w:r>
      <w:r w:rsidR="008A74EB" w:rsidRPr="00993B55">
        <w:rPr>
          <w:rStyle w:val="libFootnoteBoldChar"/>
          <w:rtl/>
        </w:rPr>
        <w:t>البحار</w:t>
      </w:r>
      <w:r w:rsidR="008A74EB" w:rsidRPr="00C9040A">
        <w:rPr>
          <w:rtl/>
        </w:rPr>
        <w:t xml:space="preserve"> ، ج 74 ، ص 375 ، ح 70.</w:t>
      </w:r>
      <w:r w:rsidR="004A4FB3">
        <w:rPr>
          <w:rFonts w:hint="cs"/>
          <w:rtl/>
        </w:rPr>
        <w:t xml:space="preserve">   </w:t>
      </w:r>
      <w:r>
        <w:rPr>
          <w:rtl/>
        </w:rPr>
        <w:t>(2).</w:t>
      </w:r>
      <w:r w:rsidR="008A74EB">
        <w:rPr>
          <w:rtl/>
        </w:rPr>
        <w:t xml:space="preserve"> </w:t>
      </w:r>
      <w:r w:rsidR="008A74EB" w:rsidRPr="00C9040A">
        <w:rPr>
          <w:rtl/>
        </w:rPr>
        <w:t>في</w:t>
      </w:r>
      <w:r w:rsidR="00A45290">
        <w:rPr>
          <w:rtl/>
        </w:rPr>
        <w:t xml:space="preserve"> المحاسن:</w:t>
      </w:r>
      <w:r w:rsidR="004A4FB3">
        <w:rPr>
          <w:rtl/>
        </w:rPr>
        <w:t>«</w:t>
      </w:r>
      <w:r w:rsidR="008A74EB" w:rsidRPr="00C9040A">
        <w:rPr>
          <w:rtl/>
        </w:rPr>
        <w:t>أو الثلاثة أو أقلّ أو أكثر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ب ، ج ، د ، ص ، ض ، ف » والوافي والبحار </w:t>
      </w:r>
      <w:r w:rsidR="008A74EB">
        <w:rPr>
          <w:rtl/>
        </w:rPr>
        <w:t xml:space="preserve">: </w:t>
      </w:r>
      <w:r w:rsidR="0084262C">
        <w:rPr>
          <w:rtl/>
        </w:rPr>
        <w:t>-</w:t>
      </w:r>
      <w:r w:rsidR="008A74EB" w:rsidRPr="00C9040A">
        <w:rPr>
          <w:rtl/>
        </w:rPr>
        <w:t xml:space="preserve"> « أبوعبدالله »</w:t>
      </w:r>
      <w:r w:rsidR="008A74EB">
        <w:rPr>
          <w:rtl/>
        </w:rPr>
        <w:t>.</w:t>
      </w:r>
    </w:p>
    <w:tbl>
      <w:tblPr>
        <w:tblStyle w:val="TableGrid"/>
        <w:bidiVisual/>
        <w:tblW w:w="0" w:type="auto"/>
        <w:tblLook w:val="04A0" w:firstRow="1" w:lastRow="0" w:firstColumn="1" w:lastColumn="0" w:noHBand="0" w:noVBand="1"/>
      </w:tblPr>
      <w:tblGrid>
        <w:gridCol w:w="4006"/>
        <w:gridCol w:w="4006"/>
      </w:tblGrid>
      <w:tr w:rsidR="00A45290" w:rsidTr="00A45290">
        <w:tc>
          <w:tcPr>
            <w:tcW w:w="4006" w:type="dxa"/>
          </w:tcPr>
          <w:p w:rsidR="00A45290" w:rsidRDefault="00BC6A69" w:rsidP="004A4E41">
            <w:pPr>
              <w:pStyle w:val="libFootnote0"/>
              <w:rPr>
                <w:rtl/>
              </w:rPr>
            </w:pPr>
            <w:r>
              <w:rPr>
                <w:rtl/>
              </w:rPr>
              <w:t>(4).</w:t>
            </w:r>
            <w:r w:rsidRPr="00C9040A">
              <w:rPr>
                <w:rtl/>
              </w:rPr>
              <w:t xml:space="preserve"> في « ف » </w:t>
            </w:r>
            <w:r>
              <w:rPr>
                <w:rtl/>
              </w:rPr>
              <w:t>: -</w:t>
            </w:r>
            <w:r w:rsidRPr="00C9040A">
              <w:rPr>
                <w:rtl/>
              </w:rPr>
              <w:t xml:space="preserve"> « كيف »</w:t>
            </w:r>
            <w:r>
              <w:rPr>
                <w:rtl/>
              </w:rPr>
              <w:t>.</w:t>
            </w:r>
          </w:p>
        </w:tc>
        <w:tc>
          <w:tcPr>
            <w:tcW w:w="4006" w:type="dxa"/>
          </w:tcPr>
          <w:p w:rsidR="00A45290" w:rsidRDefault="00BC6A69" w:rsidP="004A4E41">
            <w:pPr>
              <w:pStyle w:val="libFootnote0"/>
              <w:rPr>
                <w:rtl/>
              </w:rPr>
            </w:pPr>
            <w:r>
              <w:rPr>
                <w:rtl/>
              </w:rPr>
              <w:t>(5). في « ف ،بر</w:t>
            </w:r>
            <w:r w:rsidRPr="00C9040A">
              <w:rPr>
                <w:rtl/>
              </w:rPr>
              <w:t xml:space="preserve">، بس ، بف » والمحاسن </w:t>
            </w:r>
            <w:r>
              <w:rPr>
                <w:rtl/>
              </w:rPr>
              <w:t>: -</w:t>
            </w:r>
            <w:r w:rsidRPr="00C9040A">
              <w:rPr>
                <w:rtl/>
              </w:rPr>
              <w:t xml:space="preserve"> « من »</w:t>
            </w:r>
            <w:r>
              <w:rPr>
                <w:rtl/>
              </w:rPr>
              <w:t>.</w:t>
            </w:r>
          </w:p>
        </w:tc>
      </w:tr>
    </w:tbl>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ز » : « وا</w:t>
      </w:r>
      <w:r w:rsidR="00050AB0">
        <w:rPr>
          <w:rFonts w:hint="cs"/>
          <w:rtl/>
        </w:rPr>
        <w:t>ُ</w:t>
      </w:r>
      <w:r w:rsidR="008A74EB" w:rsidRPr="00C9040A">
        <w:rPr>
          <w:rtl/>
        </w:rPr>
        <w:t>خدّمهم » على بناء التفعيل. وفي « ص » : « وأخدمتهم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المحاسن : « يخدمهم خادمي » بدل « ا</w:t>
      </w:r>
      <w:r w:rsidR="00050AB0">
        <w:rPr>
          <w:rFonts w:hint="cs"/>
          <w:rtl/>
        </w:rPr>
        <w:t>ُ</w:t>
      </w:r>
      <w:r w:rsidR="008A74EB" w:rsidRPr="00C9040A">
        <w:rPr>
          <w:rtl/>
        </w:rPr>
        <w:t>خدمهم عيالي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 ج ، ص ، ف ، بر ، بف » وحاشية « د » والوافي : « إليك »</w:t>
      </w:r>
      <w:r w:rsidR="008A74EB">
        <w:rPr>
          <w:rtl/>
        </w:rPr>
        <w:t>.</w:t>
      </w:r>
    </w:p>
    <w:p w:rsidR="008A74EB" w:rsidRPr="00C9040A" w:rsidRDefault="006C577F" w:rsidP="00050AB0">
      <w:pPr>
        <w:pStyle w:val="libFootnote0"/>
        <w:rPr>
          <w:rtl/>
          <w:lang w:bidi="fa-IR"/>
        </w:rPr>
      </w:pPr>
      <w:r>
        <w:rPr>
          <w:rtl/>
        </w:rPr>
        <w:t>(9).</w:t>
      </w:r>
      <w:r w:rsidR="008A74EB" w:rsidRPr="00C9040A">
        <w:rPr>
          <w:rtl/>
        </w:rPr>
        <w:t xml:space="preserve"> </w:t>
      </w:r>
      <w:r w:rsidR="008A74EB" w:rsidRPr="00993B55">
        <w:rPr>
          <w:rStyle w:val="libFootnoteBoldChar"/>
          <w:rtl/>
        </w:rPr>
        <w:t>المحاسن</w:t>
      </w:r>
      <w:r w:rsidR="008A74EB" w:rsidRPr="00C9040A">
        <w:rPr>
          <w:rtl/>
        </w:rPr>
        <w:t xml:space="preserve"> ، ص 390 ، كتاب المآكل ، ح 26 ، عن أبيه ، عن ابن أبي‌عمير ؛ </w:t>
      </w:r>
      <w:r w:rsidR="008A74EB" w:rsidRPr="00993B55">
        <w:rPr>
          <w:rStyle w:val="libFootnoteBoldChar"/>
          <w:rtl/>
        </w:rPr>
        <w:t>الكافي</w:t>
      </w:r>
      <w:r w:rsidR="008A74EB" w:rsidRPr="00C9040A">
        <w:rPr>
          <w:rtl/>
        </w:rPr>
        <w:t xml:space="preserve"> ، كتاب الأطعمة ، باب أنّ الضيف يأتي رزقه معه ، ح 11629 ، عن عليّ بن إبراهيم ، عن أبيه ، عن ابن أبي‌عمير ، عن محمّد بن قيس ، عن أبي‌عبدالله </w:t>
      </w:r>
      <w:r w:rsidR="00117575" w:rsidRPr="00117575">
        <w:rPr>
          <w:rStyle w:val="libFootnoteAlaemChar"/>
          <w:rtl/>
        </w:rPr>
        <w:t>عليه‌السلام</w:t>
      </w:r>
      <w:r w:rsidR="00411D58">
        <w:rPr>
          <w:rStyle w:val="libFootnoteAlaemChar"/>
          <w:rFonts w:hint="cs"/>
          <w:rtl/>
        </w:rPr>
        <w:t xml:space="preserve"> </w:t>
      </w:r>
      <w:r w:rsidR="008A74EB" w:rsidRPr="00C9040A">
        <w:rPr>
          <w:rtl/>
        </w:rPr>
        <w:t xml:space="preserve">؛ </w:t>
      </w:r>
      <w:r w:rsidR="008A74EB" w:rsidRPr="00993B55">
        <w:rPr>
          <w:rStyle w:val="libFootnoteBoldChar"/>
          <w:rtl/>
        </w:rPr>
        <w:t>الأمالي</w:t>
      </w:r>
      <w:r w:rsidR="008A74EB" w:rsidRPr="00C9040A">
        <w:rPr>
          <w:rtl/>
        </w:rPr>
        <w:t xml:space="preserve"> للطوسي ص 237 ، المجلس 9 ، ح 11 ، عن محمّد بن يعقوب ، عن عليّ بن إبراهيم ، عن محمّد بن عيسى ، عن يونس بن عبدالرحمن ، عن محمّد بن زياد ، عن أبي‌محمّد الوابشي. </w:t>
      </w:r>
      <w:r w:rsidR="008A74EB" w:rsidRPr="00993B55">
        <w:rPr>
          <w:rStyle w:val="libFootnoteBoldChar"/>
          <w:rtl/>
        </w:rPr>
        <w:t>مصادقة الإخوان</w:t>
      </w:r>
      <w:r w:rsidR="008A74EB" w:rsidRPr="00C9040A">
        <w:rPr>
          <w:rtl/>
        </w:rPr>
        <w:t xml:space="preserve"> ، ص 44 ، ح 7 ، مرسلاً عن أبي‌بصير ، عن أبي‌عبدالله </w:t>
      </w:r>
      <w:r w:rsidR="00117575" w:rsidRPr="00117575">
        <w:rPr>
          <w:rStyle w:val="libFootnoteAlaemChar"/>
          <w:rtl/>
        </w:rPr>
        <w:t>عليه‌السلام</w:t>
      </w:r>
      <w:r w:rsidR="008A74EB" w:rsidRPr="00C9040A">
        <w:rPr>
          <w:rtl/>
        </w:rPr>
        <w:t xml:space="preserve"> ، وفي الثلاثة الأخيرة مع اختلاف يسير</w:t>
      </w:r>
      <w:r w:rsidR="00050AB0">
        <w:rPr>
          <w:rFonts w:hint="cs"/>
          <w:rtl/>
        </w:rPr>
        <w:t>.</w:t>
      </w:r>
      <w:r w:rsidR="008A74EB" w:rsidRPr="00993B55">
        <w:rPr>
          <w:rStyle w:val="libFootnoteBoldChar"/>
          <w:rtl/>
        </w:rPr>
        <w:t>الوافي</w:t>
      </w:r>
      <w:r w:rsidR="008A74EB" w:rsidRPr="00C9040A">
        <w:rPr>
          <w:rtl/>
        </w:rPr>
        <w:t xml:space="preserve"> ، ج 5 ، ص 675 ، ح 2849 ؛ </w:t>
      </w:r>
      <w:r w:rsidR="008A74EB" w:rsidRPr="00993B55">
        <w:rPr>
          <w:rStyle w:val="libFootnoteBoldChar"/>
          <w:rtl/>
        </w:rPr>
        <w:t>البحار</w:t>
      </w:r>
      <w:r w:rsidR="008A74EB" w:rsidRPr="00C9040A">
        <w:rPr>
          <w:rtl/>
        </w:rPr>
        <w:t xml:space="preserve"> ، ج 74 ، ص 375 ، ح 71.</w:t>
      </w:r>
    </w:p>
    <w:tbl>
      <w:tblPr>
        <w:tblStyle w:val="TableGrid"/>
        <w:bidiVisual/>
        <w:tblW w:w="0" w:type="auto"/>
        <w:tblLook w:val="04A0" w:firstRow="1" w:lastRow="0" w:firstColumn="1" w:lastColumn="0" w:noHBand="0" w:noVBand="1"/>
      </w:tblPr>
      <w:tblGrid>
        <w:gridCol w:w="4006"/>
        <w:gridCol w:w="4006"/>
      </w:tblGrid>
      <w:tr w:rsidR="00050AB0" w:rsidTr="00050AB0">
        <w:tc>
          <w:tcPr>
            <w:tcW w:w="4006" w:type="dxa"/>
          </w:tcPr>
          <w:p w:rsidR="00050AB0" w:rsidRDefault="00050AB0" w:rsidP="004A4E41">
            <w:pPr>
              <w:pStyle w:val="libFootnote0"/>
              <w:rPr>
                <w:rtl/>
              </w:rPr>
            </w:pPr>
            <w:r>
              <w:rPr>
                <w:rtl/>
              </w:rPr>
              <w:t>(10).</w:t>
            </w:r>
            <w:r w:rsidRPr="00C9040A">
              <w:rPr>
                <w:rtl/>
              </w:rPr>
              <w:t xml:space="preserve"> في « بف » : « عليّ »</w:t>
            </w:r>
            <w:r>
              <w:rPr>
                <w:rtl/>
              </w:rPr>
              <w:t>.</w:t>
            </w:r>
          </w:p>
        </w:tc>
        <w:tc>
          <w:tcPr>
            <w:tcW w:w="4006" w:type="dxa"/>
          </w:tcPr>
          <w:p w:rsidR="00050AB0" w:rsidRDefault="00050AB0" w:rsidP="004A4E41">
            <w:pPr>
              <w:pStyle w:val="libFootnote0"/>
              <w:rPr>
                <w:rtl/>
              </w:rPr>
            </w:pPr>
            <w:r>
              <w:rPr>
                <w:rtl/>
              </w:rPr>
              <w:t>(11).</w:t>
            </w:r>
            <w:r w:rsidRPr="00C9040A">
              <w:rPr>
                <w:rtl/>
              </w:rPr>
              <w:t xml:space="preserve"> في « ب » : « عبيدالله بن الوصّافي »</w:t>
            </w:r>
            <w:r>
              <w:rPr>
                <w:rtl/>
              </w:rPr>
              <w:t>.</w:t>
            </w:r>
          </w:p>
        </w:tc>
      </w:tr>
    </w:tbl>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لَأَنْ أُطْعِمَ رَجُلاً مُسْلِماً أَحَبُّ إِلَيَّ مِنْ أَنْ</w:t>
      </w:r>
      <w:r w:rsidR="00254BBF">
        <w:rPr>
          <w:rtl/>
          <w:lang w:bidi="fa-IR"/>
        </w:rPr>
        <w:t xml:space="preserve"> أُعْتِقَ أُفُقاً مِنَ النَّاسِ</w:t>
      </w:r>
      <w:r w:rsidRPr="00C9040A">
        <w:rPr>
          <w:rtl/>
          <w:lang w:bidi="fa-IR"/>
        </w:rPr>
        <w:t>»</w:t>
      </w:r>
      <w:r>
        <w:rPr>
          <w:rtl/>
          <w:lang w:bidi="fa-IR"/>
        </w:rPr>
        <w:t>.</w:t>
      </w:r>
    </w:p>
    <w:p w:rsidR="008A74EB" w:rsidRPr="00C9040A" w:rsidRDefault="008A74EB" w:rsidP="008A74EB">
      <w:pPr>
        <w:pStyle w:val="libNormal"/>
        <w:rPr>
          <w:rtl/>
          <w:lang w:bidi="fa-IR"/>
        </w:rPr>
      </w:pPr>
      <w:r w:rsidRPr="00C9040A">
        <w:rPr>
          <w:rtl/>
          <w:lang w:bidi="fa-IR"/>
        </w:rPr>
        <w:t xml:space="preserve">قُلْتُ </w:t>
      </w:r>
      <w:r w:rsidR="006C577F" w:rsidRPr="006C577F">
        <w:rPr>
          <w:rStyle w:val="libFootnotenumChar"/>
          <w:rtl/>
        </w:rPr>
        <w:t>(1)</w:t>
      </w:r>
      <w:r w:rsidRPr="00C9040A">
        <w:rPr>
          <w:rtl/>
          <w:lang w:bidi="fa-IR"/>
        </w:rPr>
        <w:t xml:space="preserve"> : وَكَمِ الْأُفُقُ</w:t>
      </w:r>
      <w:r>
        <w:rPr>
          <w:rtl/>
          <w:lang w:bidi="fa-IR"/>
        </w:rPr>
        <w:t>؟</w:t>
      </w:r>
      <w:r w:rsidRPr="00C9040A">
        <w:rPr>
          <w:rtl/>
          <w:lang w:bidi="fa-IR"/>
        </w:rPr>
        <w:t xml:space="preserve"> فَقَالَ </w:t>
      </w:r>
      <w:r w:rsidR="006C577F" w:rsidRPr="006C577F">
        <w:rPr>
          <w:rStyle w:val="libFootnotenumChar"/>
          <w:rtl/>
        </w:rPr>
        <w:t>(2)</w:t>
      </w:r>
      <w:r w:rsidRPr="00C9040A">
        <w:rPr>
          <w:rtl/>
          <w:lang w:bidi="fa-IR"/>
        </w:rPr>
        <w:t xml:space="preserve"> : « عَشَرَةُ آلَافٍ </w:t>
      </w:r>
      <w:r w:rsidR="006C577F" w:rsidRPr="006C577F">
        <w:rPr>
          <w:rStyle w:val="libFootnotenumChar"/>
          <w:rtl/>
        </w:rPr>
        <w:t>(3)</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D00D7D">
        <w:rPr>
          <w:rtl/>
        </w:rPr>
        <w:t>2184</w:t>
      </w:r>
      <w:r w:rsidRPr="00261CB0">
        <w:rPr>
          <w:rStyle w:val="libBold2Char"/>
          <w:rtl/>
        </w:rPr>
        <w:t xml:space="preserve"> / 11.</w:t>
      </w:r>
      <w:r w:rsidRPr="00C9040A">
        <w:rPr>
          <w:rtl/>
          <w:lang w:bidi="fa-IR"/>
        </w:rPr>
        <w:t xml:space="preserve"> عَلِيٌّ </w:t>
      </w:r>
      <w:r w:rsidR="006C577F" w:rsidRPr="006C577F">
        <w:rPr>
          <w:rStyle w:val="libFootnotenumChar"/>
          <w:rtl/>
        </w:rPr>
        <w:t>(5)</w:t>
      </w:r>
      <w:r w:rsidRPr="00C9040A">
        <w:rPr>
          <w:rtl/>
          <w:lang w:bidi="fa-IR"/>
        </w:rPr>
        <w:t xml:space="preserve"> ، عَنْ أَبِيهِ ، عَنْ حَمَّادِ بْنِ عِيسى ، عَنْ رِبْعِيٍّ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مَنْ أَطْعَمَ أَخَاهُ فِي اللهِ ، كَانَ لَهُ مِنَ الْأَجْرِ مِثْلُ مَنْ أَطْعَمَ </w:t>
      </w:r>
      <w:r w:rsidR="006C577F" w:rsidRPr="006C577F">
        <w:rPr>
          <w:rStyle w:val="libFootnotenumChar"/>
          <w:rtl/>
        </w:rPr>
        <w:t>(6)</w:t>
      </w:r>
      <w:r w:rsidRPr="005B567D">
        <w:rPr>
          <w:rStyle w:val="libFootnotenumChar"/>
          <w:rtl/>
        </w:rPr>
        <w:t xml:space="preserve"> </w:t>
      </w:r>
      <w:r w:rsidRPr="00C9040A">
        <w:rPr>
          <w:rtl/>
          <w:lang w:bidi="fa-IR"/>
        </w:rPr>
        <w:t>فِئَاماً مِنَ النَّاسِ »</w:t>
      </w:r>
      <w:r>
        <w:rPr>
          <w:rtl/>
          <w:lang w:bidi="fa-IR"/>
        </w:rPr>
        <w:t>.</w:t>
      </w:r>
      <w:r w:rsidRPr="00C9040A">
        <w:rPr>
          <w:rtl/>
          <w:lang w:bidi="fa-IR"/>
        </w:rPr>
        <w:t xml:space="preserve"> قُلْتُ : وَمَا الْفِئَامُ </w:t>
      </w:r>
      <w:r w:rsidR="006C577F" w:rsidRPr="006C577F">
        <w:rPr>
          <w:rStyle w:val="libFootnotenumChar"/>
          <w:rtl/>
        </w:rPr>
        <w:t>(7)</w:t>
      </w:r>
      <w:r>
        <w:rPr>
          <w:rtl/>
          <w:lang w:bidi="fa-IR"/>
        </w:rPr>
        <w:t>؟</w:t>
      </w:r>
      <w:r w:rsidRPr="00C9040A">
        <w:rPr>
          <w:rtl/>
          <w:lang w:bidi="fa-IR"/>
        </w:rPr>
        <w:t xml:space="preserve"> قَالَ : « مِائَةُ أَلْفٍ مِنَ النَّاسِ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Normal"/>
        <w:rPr>
          <w:rtl/>
          <w:lang w:bidi="fa-IR"/>
        </w:rPr>
      </w:pPr>
      <w:r w:rsidRPr="00D00D7D">
        <w:rPr>
          <w:rtl/>
        </w:rPr>
        <w:t>2185</w:t>
      </w:r>
      <w:r w:rsidRPr="00261CB0">
        <w:rPr>
          <w:rStyle w:val="libBold2Char"/>
          <w:rtl/>
        </w:rPr>
        <w:t xml:space="preserve"> / 12.</w:t>
      </w:r>
      <w:r w:rsidRPr="00C9040A">
        <w:rPr>
          <w:rtl/>
          <w:lang w:bidi="fa-IR"/>
        </w:rPr>
        <w:t xml:space="preserve"> عَلِيُّ بْنُ إِبْرَاهِيمَ ، عَنْ أَبِيهِ ، عَنِ ابْنِ أَبِي عُمَيْرٍ ، عَنْ هِشَامِ بْنِ الْحَكَمِ ، عَنْ سَدِيرٍ الصَّيْرَفِيِّ ، قَالَ :</w:t>
      </w:r>
    </w:p>
    <w:p w:rsidR="008A74EB" w:rsidRPr="00C9040A" w:rsidRDefault="008A74EB" w:rsidP="008A74EB">
      <w:pPr>
        <w:pStyle w:val="libNormal"/>
        <w:rPr>
          <w:rtl/>
          <w:lang w:bidi="fa-IR"/>
        </w:rPr>
      </w:pPr>
      <w:r w:rsidRPr="00C9040A">
        <w:rPr>
          <w:rtl/>
          <w:lang w:bidi="fa-IR"/>
        </w:rPr>
        <w:t xml:space="preserve">قَالَ لِي </w:t>
      </w:r>
      <w:r w:rsidR="006C577F" w:rsidRPr="006C577F">
        <w:rPr>
          <w:rStyle w:val="libFootnotenumChar"/>
          <w:rtl/>
        </w:rPr>
        <w:t>(9)</w:t>
      </w:r>
      <w:r w:rsidRPr="00C9040A">
        <w:rPr>
          <w:rtl/>
          <w:lang w:bidi="fa-IR"/>
        </w:rPr>
        <w:t xml:space="preserve"> أَبُو عَبْدِ اللهِ </w:t>
      </w:r>
      <w:r w:rsidRPr="0003660B">
        <w:rPr>
          <w:rStyle w:val="libAlaemChar"/>
          <w:rtl/>
        </w:rPr>
        <w:t>عليه‌السلام</w:t>
      </w:r>
      <w:r w:rsidRPr="00C9040A">
        <w:rPr>
          <w:rtl/>
          <w:lang w:bidi="fa-IR"/>
        </w:rPr>
        <w:t xml:space="preserve"> : « مَا مَنَعَكَ </w:t>
      </w:r>
      <w:r w:rsidR="006C577F" w:rsidRPr="006C577F">
        <w:rPr>
          <w:rStyle w:val="libFootnotenumChar"/>
          <w:rtl/>
        </w:rPr>
        <w:t>(10)</w:t>
      </w:r>
      <w:r w:rsidRPr="00C9040A">
        <w:rPr>
          <w:rtl/>
          <w:lang w:bidi="fa-IR"/>
        </w:rPr>
        <w:t xml:space="preserve"> أَنْ تُعْتِقَ كُلَّ يَوْمٍ نَسَمَةً</w:t>
      </w:r>
      <w:r>
        <w:rPr>
          <w:rtl/>
          <w:lang w:bidi="fa-IR"/>
        </w:rPr>
        <w:t>؟</w:t>
      </w:r>
      <w:r w:rsidRPr="00C9040A">
        <w:rPr>
          <w:rtl/>
          <w:lang w:bidi="fa-IR"/>
        </w:rPr>
        <w:t xml:space="preserve"> » قُلْتُ : لَايَحْتَمِلُ مَالِي ذلِكَ ، قَالَ : « تُطْعِمُ كُلَّ يَوْمٍ مُسْلِماً » فَقُلْتُ : مُوسِراً أَوْ مُعْسِراً</w:t>
      </w:r>
      <w:r>
        <w:rPr>
          <w:rtl/>
          <w:lang w:bidi="fa-IR"/>
        </w:rPr>
        <w:t>؟</w:t>
      </w:r>
      <w:r w:rsidRPr="00C9040A">
        <w:rPr>
          <w:rtl/>
          <w:lang w:bidi="fa-IR"/>
        </w:rPr>
        <w:t xml:space="preserve"> قَالَ </w:t>
      </w:r>
      <w:r w:rsidR="006C577F" w:rsidRPr="006C577F">
        <w:rPr>
          <w:rStyle w:val="libFootnotenumChar"/>
          <w:rtl/>
        </w:rPr>
        <w:t>(11)</w:t>
      </w:r>
      <w:r w:rsidRPr="00C9040A">
        <w:rPr>
          <w:rtl/>
          <w:lang w:bidi="fa-IR"/>
        </w:rPr>
        <w:t xml:space="preserve"> : فَقَالَ : « إِنَّ‌</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ب ، ض » والبحار : « فقلت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ص ، ف ، بر ، بس ، بف » : « قال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ز ، بر ، بف » والوافي : + « من الناس »</w:t>
      </w:r>
      <w:r w:rsidR="008A74EB">
        <w:rPr>
          <w:rtl/>
        </w:rPr>
        <w:t>.</w:t>
      </w:r>
    </w:p>
    <w:p w:rsidR="008A74EB" w:rsidRPr="00C9040A" w:rsidRDefault="006C577F" w:rsidP="00254BBF">
      <w:pPr>
        <w:pStyle w:val="libFootnote0"/>
        <w:rPr>
          <w:rtl/>
          <w:lang w:bidi="fa-IR"/>
        </w:rPr>
      </w:pPr>
      <w:r>
        <w:rPr>
          <w:rtl/>
        </w:rPr>
        <w:t>(4).</w:t>
      </w:r>
      <w:r w:rsidR="008A74EB" w:rsidRPr="00C9040A">
        <w:rPr>
          <w:rtl/>
        </w:rPr>
        <w:t xml:space="preserve"> </w:t>
      </w:r>
      <w:r w:rsidR="008A74EB" w:rsidRPr="00993B55">
        <w:rPr>
          <w:rStyle w:val="libFootnoteBoldChar"/>
          <w:rtl/>
        </w:rPr>
        <w:t>المحاسن</w:t>
      </w:r>
      <w:r w:rsidR="008A74EB" w:rsidRPr="00C9040A">
        <w:rPr>
          <w:rtl/>
        </w:rPr>
        <w:t xml:space="preserve"> ، ص 391 ، كتاب المآكل ، ح 32 ، عن أبيه ، عن ابن أبي‌عمير</w:t>
      </w:r>
      <w:r w:rsidR="00254BBF">
        <w:rPr>
          <w:rFonts w:hint="cs"/>
          <w:rtl/>
        </w:rPr>
        <w:t>.</w:t>
      </w:r>
      <w:r w:rsidR="008A74EB" w:rsidRPr="00993B55">
        <w:rPr>
          <w:rStyle w:val="libFootnoteBoldChar"/>
          <w:rtl/>
        </w:rPr>
        <w:t>الوافي</w:t>
      </w:r>
      <w:r w:rsidR="008A74EB" w:rsidRPr="00C9040A">
        <w:rPr>
          <w:rtl/>
        </w:rPr>
        <w:t xml:space="preserve"> ، ج 5 ، ص 675 ، ح 2850 ؛ </w:t>
      </w:r>
      <w:r w:rsidR="008A74EB" w:rsidRPr="00993B55">
        <w:rPr>
          <w:rStyle w:val="libFootnoteBoldChar"/>
          <w:rtl/>
        </w:rPr>
        <w:t>الوسائل</w:t>
      </w:r>
      <w:r w:rsidR="008A74EB" w:rsidRPr="00C9040A">
        <w:rPr>
          <w:rtl/>
        </w:rPr>
        <w:t xml:space="preserve"> ، ج 24 ، ص 301 ، ح 30605 ؛ </w:t>
      </w:r>
      <w:r w:rsidR="008A74EB" w:rsidRPr="00993B55">
        <w:rPr>
          <w:rStyle w:val="libFootnoteBoldChar"/>
          <w:rtl/>
        </w:rPr>
        <w:t>البحار</w:t>
      </w:r>
      <w:r w:rsidR="008A74EB" w:rsidRPr="00C9040A">
        <w:rPr>
          <w:rtl/>
        </w:rPr>
        <w:t xml:space="preserve"> ، ج 74 ، ص 376 ، ح 72.</w:t>
      </w:r>
    </w:p>
    <w:p w:rsidR="008A74EB" w:rsidRPr="00C9040A" w:rsidRDefault="006C577F" w:rsidP="004A4E41">
      <w:pPr>
        <w:pStyle w:val="libFootnote0"/>
        <w:rPr>
          <w:rtl/>
          <w:lang w:bidi="fa-IR"/>
        </w:rPr>
      </w:pPr>
      <w:r>
        <w:rPr>
          <w:rtl/>
        </w:rPr>
        <w:t>(5).</w:t>
      </w:r>
      <w:r w:rsidR="008A74EB" w:rsidRPr="00C9040A">
        <w:rPr>
          <w:rtl/>
        </w:rPr>
        <w:t xml:space="preserve"> هكذا في « ب ، د ، ز ، ص ، ض ، بر ، بس ، بف ، جر » والطبعة القديمة. وفي « ج » وحاشية « بر » : « عنه »</w:t>
      </w:r>
      <w:r w:rsidR="008A74EB">
        <w:rPr>
          <w:rtl/>
        </w:rPr>
        <w:t>.</w:t>
      </w:r>
      <w:r w:rsidR="008A74EB" w:rsidRPr="00C9040A">
        <w:rPr>
          <w:rtl/>
        </w:rPr>
        <w:t xml:space="preserve"> وفي « ف » والمطبوع : « عليّ بن إبراهيم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الوسائل : « كان كمن أطعم » بدل « كان له من الأجر مثل من أطعم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هكذا في النسخ التي قوبلت والوافي والوسائل والبحار وثواب الأعمال. وفي المطبوع : + « [ من الناس ] »</w:t>
      </w:r>
      <w:r w:rsidR="008A74EB">
        <w:rPr>
          <w:rtl/>
        </w:rPr>
        <w:t>.</w:t>
      </w:r>
      <w:r w:rsidR="008A74EB" w:rsidRPr="00C9040A">
        <w:rPr>
          <w:rtl/>
        </w:rPr>
        <w:t xml:space="preserve"> والفئام : الجماعة من الناس. </w:t>
      </w:r>
      <w:r w:rsidR="008A74EB" w:rsidRPr="00993B55">
        <w:rPr>
          <w:rStyle w:val="libFootnoteBoldChar"/>
          <w:rtl/>
        </w:rPr>
        <w:t>لسان العرب</w:t>
      </w:r>
      <w:r w:rsidR="008A74EB" w:rsidRPr="00C9040A">
        <w:rPr>
          <w:rtl/>
        </w:rPr>
        <w:t xml:space="preserve"> ، ج 12 ، ص 448 ( فأم )</w:t>
      </w:r>
      <w:r w:rsidR="008A74EB">
        <w:rPr>
          <w:rtl/>
        </w:rPr>
        <w:t>.</w:t>
      </w:r>
    </w:p>
    <w:p w:rsidR="008A74EB" w:rsidRPr="00C9040A" w:rsidRDefault="006C577F" w:rsidP="00254BBF">
      <w:pPr>
        <w:pStyle w:val="libFootnote0"/>
        <w:rPr>
          <w:rtl/>
          <w:lang w:bidi="fa-IR"/>
        </w:rPr>
      </w:pPr>
      <w:r>
        <w:rPr>
          <w:rtl/>
        </w:rPr>
        <w:t>(8).</w:t>
      </w:r>
      <w:r w:rsidR="008A74EB" w:rsidRPr="00C9040A">
        <w:rPr>
          <w:rtl/>
        </w:rPr>
        <w:t xml:space="preserve"> </w:t>
      </w:r>
      <w:r w:rsidR="008A74EB" w:rsidRPr="00993B55">
        <w:rPr>
          <w:rStyle w:val="libFootnoteBoldChar"/>
          <w:rtl/>
        </w:rPr>
        <w:t>المحاسن</w:t>
      </w:r>
      <w:r w:rsidR="008A74EB" w:rsidRPr="00C9040A">
        <w:rPr>
          <w:rtl/>
        </w:rPr>
        <w:t xml:space="preserve"> ، ص 392 ، كتاب المآكل ، ح 34 ، عن أبيه ، عن حمّاد بن عيسى. </w:t>
      </w:r>
      <w:r w:rsidR="008A74EB" w:rsidRPr="00993B55">
        <w:rPr>
          <w:rStyle w:val="libFootnoteBoldChar"/>
          <w:rtl/>
        </w:rPr>
        <w:t>ثواب الأعمال</w:t>
      </w:r>
      <w:r w:rsidR="008A74EB" w:rsidRPr="00C9040A">
        <w:rPr>
          <w:rtl/>
        </w:rPr>
        <w:t xml:space="preserve"> ، ص 164 ، ح 1 ، بسنده عن حمّاد بن ربعيّ. </w:t>
      </w:r>
      <w:r w:rsidR="008A74EB" w:rsidRPr="00993B55">
        <w:rPr>
          <w:rStyle w:val="libFootnoteBoldChar"/>
          <w:rtl/>
        </w:rPr>
        <w:t>الاختصاص</w:t>
      </w:r>
      <w:r w:rsidR="008A74EB" w:rsidRPr="00C9040A">
        <w:rPr>
          <w:rtl/>
        </w:rPr>
        <w:t xml:space="preserve"> ، ص 30 ، عن ربعيّ</w:t>
      </w:r>
      <w:r w:rsidR="00254BBF">
        <w:rPr>
          <w:rFonts w:hint="cs"/>
          <w:rtl/>
        </w:rPr>
        <w:t>.</w:t>
      </w:r>
      <w:r w:rsidR="008A74EB" w:rsidRPr="00993B55">
        <w:rPr>
          <w:rStyle w:val="libFootnoteBoldChar"/>
          <w:rtl/>
        </w:rPr>
        <w:t>الوافي</w:t>
      </w:r>
      <w:r w:rsidR="008A74EB" w:rsidRPr="00C9040A">
        <w:rPr>
          <w:rtl/>
        </w:rPr>
        <w:t xml:space="preserve"> ، ج 5 ، ص 676 ، ح 2851 ؛ </w:t>
      </w:r>
      <w:r w:rsidR="008A74EB" w:rsidRPr="00993B55">
        <w:rPr>
          <w:rStyle w:val="libFootnoteBoldChar"/>
          <w:rtl/>
        </w:rPr>
        <w:t>الوسائل</w:t>
      </w:r>
      <w:r w:rsidR="008A74EB" w:rsidRPr="00C9040A">
        <w:rPr>
          <w:rtl/>
        </w:rPr>
        <w:t xml:space="preserve"> ، ج 24 ، ص 305 ، ح 30617 ؛ </w:t>
      </w:r>
      <w:r w:rsidR="008A74EB" w:rsidRPr="00993B55">
        <w:rPr>
          <w:rStyle w:val="libFootnoteBoldChar"/>
          <w:rtl/>
        </w:rPr>
        <w:t>البحار</w:t>
      </w:r>
      <w:r w:rsidR="008A74EB" w:rsidRPr="00C9040A">
        <w:rPr>
          <w:rtl/>
        </w:rPr>
        <w:t xml:space="preserve"> ، ج 74 ، ص 376 ، ح 73.</w:t>
      </w:r>
    </w:p>
    <w:tbl>
      <w:tblPr>
        <w:tblStyle w:val="TableGrid"/>
        <w:bidiVisual/>
        <w:tblW w:w="0" w:type="auto"/>
        <w:tblLook w:val="04A0" w:firstRow="1" w:lastRow="0" w:firstColumn="1" w:lastColumn="0" w:noHBand="0" w:noVBand="1"/>
      </w:tblPr>
      <w:tblGrid>
        <w:gridCol w:w="4006"/>
        <w:gridCol w:w="4006"/>
      </w:tblGrid>
      <w:tr w:rsidR="00254BBF" w:rsidTr="00254BBF">
        <w:tc>
          <w:tcPr>
            <w:tcW w:w="4006" w:type="dxa"/>
          </w:tcPr>
          <w:p w:rsidR="00254BBF" w:rsidRDefault="00254BBF" w:rsidP="004A4E41">
            <w:pPr>
              <w:pStyle w:val="libFootnote0"/>
              <w:rPr>
                <w:rtl/>
              </w:rPr>
            </w:pPr>
            <w:r>
              <w:rPr>
                <w:rtl/>
              </w:rPr>
              <w:t>(9).</w:t>
            </w:r>
            <w:r w:rsidRPr="00C9040A">
              <w:rPr>
                <w:rtl/>
              </w:rPr>
              <w:t xml:space="preserve"> في « ص ، بر » والوسائل والمؤمن </w:t>
            </w:r>
            <w:r>
              <w:rPr>
                <w:rtl/>
              </w:rPr>
              <w:t>: -</w:t>
            </w:r>
            <w:r w:rsidRPr="00C9040A">
              <w:rPr>
                <w:rtl/>
              </w:rPr>
              <w:t xml:space="preserve"> « لي »</w:t>
            </w:r>
            <w:r>
              <w:rPr>
                <w:rtl/>
              </w:rPr>
              <w:t>.</w:t>
            </w:r>
          </w:p>
        </w:tc>
        <w:tc>
          <w:tcPr>
            <w:tcW w:w="4006" w:type="dxa"/>
          </w:tcPr>
          <w:p w:rsidR="00254BBF" w:rsidRDefault="00254BBF" w:rsidP="004A4E41">
            <w:pPr>
              <w:pStyle w:val="libFootnote0"/>
              <w:rPr>
                <w:rtl/>
              </w:rPr>
            </w:pPr>
            <w:r>
              <w:rPr>
                <w:rtl/>
              </w:rPr>
              <w:t>(10).</w:t>
            </w:r>
            <w:r w:rsidRPr="00C9040A">
              <w:rPr>
                <w:rtl/>
              </w:rPr>
              <w:t xml:space="preserve"> في « ض » : + « من »</w:t>
            </w:r>
            <w:r>
              <w:rPr>
                <w:rtl/>
              </w:rPr>
              <w:t>.</w:t>
            </w:r>
          </w:p>
        </w:tc>
      </w:tr>
    </w:tbl>
    <w:p w:rsidR="008A74EB" w:rsidRPr="00C9040A" w:rsidRDefault="006C577F" w:rsidP="004A4E41">
      <w:pPr>
        <w:pStyle w:val="libFootnote0"/>
        <w:rPr>
          <w:rtl/>
          <w:lang w:bidi="fa-IR"/>
        </w:rPr>
      </w:pPr>
      <w:r>
        <w:rPr>
          <w:rtl/>
        </w:rPr>
        <w:t>(11).</w:t>
      </w:r>
      <w:r w:rsidR="008A74EB" w:rsidRPr="00C9040A">
        <w:rPr>
          <w:rtl/>
        </w:rPr>
        <w:t xml:space="preserve"> في « ض » والوسائل والبحار والمحاسن </w:t>
      </w:r>
      <w:r w:rsidR="008A74EB">
        <w:rPr>
          <w:rtl/>
        </w:rPr>
        <w:t xml:space="preserve">: </w:t>
      </w:r>
      <w:r w:rsidR="0084262C">
        <w:rPr>
          <w:rtl/>
        </w:rPr>
        <w:t>-</w:t>
      </w:r>
      <w:r w:rsidR="008A74EB" w:rsidRPr="00C9040A">
        <w:rPr>
          <w:rtl/>
        </w:rPr>
        <w:t xml:space="preserve"> « قال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الْمُوسِرَ قَدْ يَشْتَهِي الطَّعَامَ »</w:t>
      </w:r>
      <w:r>
        <w:rPr>
          <w:rtl/>
          <w:lang w:bidi="fa-IR"/>
        </w:rPr>
        <w:t>.</w:t>
      </w:r>
      <w:r w:rsidRPr="00C9040A">
        <w:rPr>
          <w:rtl/>
          <w:lang w:bidi="fa-IR"/>
        </w:rPr>
        <w:t xml:space="preserve"> </w:t>
      </w:r>
      <w:r w:rsidR="006C577F" w:rsidRPr="006C577F">
        <w:rPr>
          <w:rStyle w:val="libFootnotenumChar"/>
          <w:rtl/>
        </w:rPr>
        <w:t>(1)</w:t>
      </w:r>
      <w:r w:rsidRPr="00C9040A">
        <w:rPr>
          <w:rtl/>
          <w:lang w:bidi="fa-IR"/>
        </w:rPr>
        <w:t xml:space="preserve"> ‌</w:t>
      </w:r>
    </w:p>
    <w:p w:rsidR="008A74EB" w:rsidRPr="00C9040A" w:rsidRDefault="008A74EB" w:rsidP="008A74EB">
      <w:pPr>
        <w:pStyle w:val="libNormal"/>
        <w:rPr>
          <w:rtl/>
          <w:lang w:bidi="fa-IR"/>
        </w:rPr>
      </w:pPr>
      <w:r w:rsidRPr="00D00D7D">
        <w:rPr>
          <w:rtl/>
        </w:rPr>
        <w:t>2186</w:t>
      </w:r>
      <w:r w:rsidRPr="00261CB0">
        <w:rPr>
          <w:rStyle w:val="libBold2Char"/>
          <w:rtl/>
        </w:rPr>
        <w:t xml:space="preserve"> / 13.</w:t>
      </w:r>
      <w:r w:rsidRPr="00C9040A">
        <w:rPr>
          <w:rtl/>
          <w:lang w:bidi="fa-IR"/>
        </w:rPr>
        <w:t xml:space="preserve"> عِدَّةٌ مِنْ أَصْحَابِنَا ، عَنْ أَحْمَدَ بْنِ مُحَمَّدِ بْنِ خَالِدٍ ، عَنْ أَحْمَدَ بْنِ مُحَمَّدِ بْنِ أَبِي نَصْرٍ ، عَنْ صَفْوَانَ الْجَمَّالِ :</w:t>
      </w:r>
    </w:p>
    <w:p w:rsidR="008A74EB" w:rsidRPr="00C9040A" w:rsidRDefault="008A74EB" w:rsidP="00254BBF">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أُكْلَةٌ </w:t>
      </w:r>
      <w:r w:rsidR="006C577F" w:rsidRPr="006C577F">
        <w:rPr>
          <w:rStyle w:val="libFootnotenumChar"/>
          <w:rtl/>
        </w:rPr>
        <w:t>(2)</w:t>
      </w:r>
      <w:r w:rsidRPr="00C9040A">
        <w:rPr>
          <w:rtl/>
          <w:lang w:bidi="fa-IR"/>
        </w:rPr>
        <w:t xml:space="preserve"> يَأْكُلُهَا أَخِي الْمُسْلِمُ عِنْدِي أَحَبُّ إِلَيَّ مِنْ أَنْ أُعْتِقَ </w:t>
      </w:r>
      <w:r w:rsidR="006C577F" w:rsidRPr="006C577F">
        <w:rPr>
          <w:rStyle w:val="libFootnotenumChar"/>
          <w:rtl/>
        </w:rPr>
        <w:t>(3)</w:t>
      </w:r>
      <w:r w:rsidRPr="00C9040A">
        <w:rPr>
          <w:rtl/>
          <w:lang w:bidi="fa-IR"/>
        </w:rPr>
        <w:t xml:space="preserve"> رَقَبَةً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D00D7D">
        <w:rPr>
          <w:rtl/>
        </w:rPr>
        <w:t>2187</w:t>
      </w:r>
      <w:r w:rsidRPr="00261CB0">
        <w:rPr>
          <w:rStyle w:val="libBold2Char"/>
          <w:rtl/>
        </w:rPr>
        <w:t xml:space="preserve"> / 14</w:t>
      </w:r>
      <w:r w:rsidRPr="00C9040A">
        <w:rPr>
          <w:rtl/>
          <w:lang w:bidi="fa-IR"/>
        </w:rPr>
        <w:t xml:space="preserve"> عَنْهُ </w:t>
      </w:r>
      <w:r w:rsidR="006C577F" w:rsidRPr="006C577F">
        <w:rPr>
          <w:rStyle w:val="libFootnotenumChar"/>
          <w:rtl/>
        </w:rPr>
        <w:t>(5)</w:t>
      </w:r>
      <w:r w:rsidRPr="00C9040A">
        <w:rPr>
          <w:rtl/>
          <w:lang w:bidi="fa-IR"/>
        </w:rPr>
        <w:t xml:space="preserve"> ، عَنْ إِسْمَاعِيلَ بْنِ مِهْرَانَ ، عَنْ صَفْوَانَ الْجَمَّالِ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لَأَنْ أُشْبِعَ رَجُلاً مِنْ إِخْوَانِي أَحَبُّ إِلَيَّ مِنْ أَنْ أَدْخُلَ سُوقَكُمْ هذِهِ </w:t>
      </w:r>
      <w:r w:rsidR="006C577F" w:rsidRPr="006C577F">
        <w:rPr>
          <w:rStyle w:val="libFootnotenumChar"/>
          <w:rtl/>
        </w:rPr>
        <w:t>(6)</w:t>
      </w:r>
      <w:r w:rsidRPr="005B567D">
        <w:rPr>
          <w:rStyle w:val="libFootnotenumChar"/>
          <w:rtl/>
        </w:rPr>
        <w:t xml:space="preserve"> </w:t>
      </w:r>
      <w:r w:rsidRPr="00C9040A">
        <w:rPr>
          <w:rtl/>
          <w:lang w:bidi="fa-IR"/>
        </w:rPr>
        <w:t>، فَأَبْتَاعَ مِنْهَا رَأْساً فَأُعْتِقَهُ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D00D7D">
        <w:rPr>
          <w:rtl/>
        </w:rPr>
        <w:t>2188</w:t>
      </w:r>
      <w:r w:rsidRPr="00261CB0">
        <w:rPr>
          <w:rStyle w:val="libBold2Char"/>
          <w:rtl/>
        </w:rPr>
        <w:t xml:space="preserve"> / 15.</w:t>
      </w:r>
      <w:r w:rsidRPr="00C9040A">
        <w:rPr>
          <w:rtl/>
          <w:lang w:bidi="fa-IR"/>
        </w:rPr>
        <w:t xml:space="preserve"> عَنْهُ </w:t>
      </w:r>
      <w:r w:rsidR="006C577F" w:rsidRPr="006C577F">
        <w:rPr>
          <w:rStyle w:val="libFootnotenumChar"/>
          <w:rtl/>
        </w:rPr>
        <w:t>(8)</w:t>
      </w:r>
      <w:r w:rsidRPr="00C9040A">
        <w:rPr>
          <w:rtl/>
          <w:lang w:bidi="fa-IR"/>
        </w:rPr>
        <w:t xml:space="preserve"> ، عَنْ عَلِيِّ بْنِ الْحَكَمِ ، عَنْ أَبَانِ بْنِ عُثْمَانَ ، عَنْ عَبْدِ الرَّحْمنِ بْنِ‌</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560A5D">
      <w:pPr>
        <w:pStyle w:val="libFootnote0"/>
        <w:rPr>
          <w:rtl/>
          <w:lang w:bidi="fa-IR"/>
        </w:rPr>
      </w:pPr>
      <w:r>
        <w:rPr>
          <w:rtl/>
        </w:rPr>
        <w:t>(1).</w:t>
      </w:r>
      <w:r w:rsidR="008A74EB">
        <w:rPr>
          <w:rtl/>
        </w:rPr>
        <w:t xml:space="preserve"> </w:t>
      </w:r>
      <w:r w:rsidR="008A74EB" w:rsidRPr="00993B55">
        <w:rPr>
          <w:rStyle w:val="libFootnoteBoldChar"/>
          <w:rtl/>
        </w:rPr>
        <w:t>المحاسن</w:t>
      </w:r>
      <w:r w:rsidR="008A74EB" w:rsidRPr="00C9040A">
        <w:rPr>
          <w:rtl/>
        </w:rPr>
        <w:t xml:space="preserve"> ، ص 394 ، كتاب المآكل ، ح 49 ، عن أبيه ، عن ابن أبي‌عمير. </w:t>
      </w:r>
      <w:r w:rsidR="008A74EB" w:rsidRPr="00993B55">
        <w:rPr>
          <w:rStyle w:val="libFootnoteBoldChar"/>
          <w:rtl/>
        </w:rPr>
        <w:t>المؤمن</w:t>
      </w:r>
      <w:r w:rsidR="008A74EB" w:rsidRPr="00C9040A">
        <w:rPr>
          <w:rtl/>
        </w:rPr>
        <w:t xml:space="preserve"> ، ص 65 ، ح 169 ، عن سدير</w:t>
      </w:r>
      <w:r w:rsidR="00560A5D">
        <w:rPr>
          <w:rFonts w:hint="cs"/>
          <w:rtl/>
        </w:rPr>
        <w:t>.</w:t>
      </w:r>
      <w:r w:rsidR="008A74EB" w:rsidRPr="00993B55">
        <w:rPr>
          <w:rStyle w:val="libFootnoteBoldChar"/>
          <w:rtl/>
        </w:rPr>
        <w:t>الوافي</w:t>
      </w:r>
      <w:r w:rsidR="008A74EB" w:rsidRPr="00C9040A">
        <w:rPr>
          <w:rtl/>
        </w:rPr>
        <w:t xml:space="preserve"> ، ج 5 ، ص 676 ، ح 2852 ؛ </w:t>
      </w:r>
      <w:r w:rsidR="008A74EB" w:rsidRPr="00993B55">
        <w:rPr>
          <w:rStyle w:val="libFootnoteBoldChar"/>
          <w:rtl/>
        </w:rPr>
        <w:t>الوسائل</w:t>
      </w:r>
      <w:r w:rsidR="008A74EB" w:rsidRPr="00C9040A">
        <w:rPr>
          <w:rtl/>
        </w:rPr>
        <w:t xml:space="preserve"> ، ج 24 ، ص 302 ، ح 30606 ؛ </w:t>
      </w:r>
      <w:r w:rsidR="008A74EB" w:rsidRPr="00993B55">
        <w:rPr>
          <w:rStyle w:val="libFootnoteBoldChar"/>
          <w:rtl/>
        </w:rPr>
        <w:t>البحار</w:t>
      </w:r>
      <w:r w:rsidR="008A74EB" w:rsidRPr="00C9040A">
        <w:rPr>
          <w:rtl/>
        </w:rPr>
        <w:t xml:space="preserve"> ، ج 74 ، ص 377 ، ح 74.</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w:t>
      </w:r>
      <w:r w:rsidR="008A74EB" w:rsidRPr="00993B55">
        <w:rPr>
          <w:rStyle w:val="libFootnoteBoldChar"/>
          <w:rtl/>
        </w:rPr>
        <w:t>شرح المازندراني</w:t>
      </w:r>
      <w:r w:rsidR="008A74EB" w:rsidRPr="00C9040A">
        <w:rPr>
          <w:rtl/>
        </w:rPr>
        <w:t xml:space="preserve"> : « الأكلة ، بالفتح : المرّة ، وبالضمّ : اللقمة والقرص. وإرادة اللقمة أنسب بما مرّ من أنّ‌إطعام المسلم أحبّ إليّ من أن ا</w:t>
      </w:r>
      <w:r w:rsidR="00560A5D">
        <w:rPr>
          <w:rFonts w:hint="cs"/>
          <w:rtl/>
        </w:rPr>
        <w:t>ُ</w:t>
      </w:r>
      <w:r w:rsidR="008A74EB" w:rsidRPr="00C9040A">
        <w:rPr>
          <w:rtl/>
        </w:rPr>
        <w:t>عتق ا</w:t>
      </w:r>
      <w:r w:rsidR="00560A5D">
        <w:rPr>
          <w:rFonts w:hint="cs"/>
          <w:rtl/>
        </w:rPr>
        <w:t>ُ</w:t>
      </w:r>
      <w:r w:rsidR="008A74EB" w:rsidRPr="00C9040A">
        <w:rPr>
          <w:rtl/>
        </w:rPr>
        <w:t>فقاً من الناس ، ولا اختلاف ؛ لما ذكرناه آنفاً »</w:t>
      </w:r>
      <w:r w:rsidR="008A74EB">
        <w:rPr>
          <w:rtl/>
        </w:rPr>
        <w:t>.</w:t>
      </w:r>
      <w:r w:rsidR="008A74EB" w:rsidRPr="00C9040A">
        <w:rPr>
          <w:rtl/>
        </w:rPr>
        <w:t xml:space="preserve"> وقال في </w:t>
      </w:r>
      <w:r w:rsidR="008A74EB" w:rsidRPr="00993B55">
        <w:rPr>
          <w:rStyle w:val="libFootnoteBoldChar"/>
          <w:rtl/>
        </w:rPr>
        <w:t>مرآة العقول</w:t>
      </w:r>
      <w:r w:rsidR="008A74EB" w:rsidRPr="00C9040A">
        <w:rPr>
          <w:rtl/>
        </w:rPr>
        <w:t xml:space="preserve"> : « فعلى الأوّل</w:t>
      </w:r>
      <w:r w:rsidR="008A74EB">
        <w:rPr>
          <w:rtl/>
        </w:rPr>
        <w:t xml:space="preserve"> </w:t>
      </w:r>
      <w:r w:rsidR="0084262C">
        <w:rPr>
          <w:rtl/>
        </w:rPr>
        <w:t>-</w:t>
      </w:r>
      <w:r w:rsidR="008A74EB">
        <w:rPr>
          <w:rtl/>
        </w:rPr>
        <w:t xml:space="preserve"> </w:t>
      </w:r>
      <w:r w:rsidR="008A74EB" w:rsidRPr="00C9040A">
        <w:rPr>
          <w:rtl/>
        </w:rPr>
        <w:t>أي الفتح</w:t>
      </w:r>
      <w:r w:rsidR="008A74EB">
        <w:rPr>
          <w:rtl/>
        </w:rPr>
        <w:t xml:space="preserve"> </w:t>
      </w:r>
      <w:r w:rsidR="0084262C">
        <w:rPr>
          <w:rtl/>
        </w:rPr>
        <w:t>-</w:t>
      </w:r>
      <w:r w:rsidR="008A74EB">
        <w:rPr>
          <w:rtl/>
        </w:rPr>
        <w:t xml:space="preserve"> </w:t>
      </w:r>
      <w:r w:rsidR="008A74EB" w:rsidRPr="00C9040A">
        <w:rPr>
          <w:rtl/>
        </w:rPr>
        <w:t>الضمير في « يأكلها » مفعول مطلق ، وعلى الثاني</w:t>
      </w:r>
      <w:r w:rsidR="008A74EB">
        <w:rPr>
          <w:rtl/>
        </w:rPr>
        <w:t xml:space="preserve"> </w:t>
      </w:r>
      <w:r w:rsidR="0084262C">
        <w:rPr>
          <w:rtl/>
        </w:rPr>
        <w:t>-</w:t>
      </w:r>
      <w:r w:rsidR="008A74EB">
        <w:rPr>
          <w:rtl/>
        </w:rPr>
        <w:t xml:space="preserve"> </w:t>
      </w:r>
      <w:r w:rsidR="008A74EB" w:rsidRPr="00C9040A">
        <w:rPr>
          <w:rtl/>
        </w:rPr>
        <w:t>أي الضمّ</w:t>
      </w:r>
      <w:r w:rsidR="008A74EB">
        <w:rPr>
          <w:rtl/>
        </w:rPr>
        <w:t xml:space="preserve"> </w:t>
      </w:r>
      <w:r w:rsidR="0084262C">
        <w:rPr>
          <w:rtl/>
        </w:rPr>
        <w:t>-</w:t>
      </w:r>
      <w:r w:rsidR="008A74EB">
        <w:rPr>
          <w:rtl/>
        </w:rPr>
        <w:t xml:space="preserve"> </w:t>
      </w:r>
      <w:r w:rsidR="008A74EB" w:rsidRPr="00C9040A">
        <w:rPr>
          <w:rtl/>
        </w:rPr>
        <w:t>مفعول به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المحاسن والمصادقة : « من عتق » بدل « من أن ا</w:t>
      </w:r>
      <w:r w:rsidR="00560A5D">
        <w:rPr>
          <w:rFonts w:hint="cs"/>
          <w:rtl/>
        </w:rPr>
        <w:t>ُ</w:t>
      </w:r>
      <w:r w:rsidR="008A74EB" w:rsidRPr="00C9040A">
        <w:rPr>
          <w:rtl/>
        </w:rPr>
        <w:t>عتق »</w:t>
      </w:r>
      <w:r w:rsidR="008A74EB">
        <w:rPr>
          <w:rtl/>
        </w:rPr>
        <w:t>.</w:t>
      </w:r>
    </w:p>
    <w:p w:rsidR="008A74EB" w:rsidRPr="00C9040A" w:rsidRDefault="006C577F" w:rsidP="00560A5D">
      <w:pPr>
        <w:pStyle w:val="libFootnote0"/>
        <w:rPr>
          <w:rtl/>
          <w:lang w:bidi="fa-IR"/>
        </w:rPr>
      </w:pPr>
      <w:r>
        <w:rPr>
          <w:rtl/>
        </w:rPr>
        <w:t>(4).</w:t>
      </w:r>
      <w:r w:rsidR="008A74EB" w:rsidRPr="00C9040A">
        <w:rPr>
          <w:rtl/>
        </w:rPr>
        <w:t xml:space="preserve"> </w:t>
      </w:r>
      <w:r w:rsidR="008A74EB" w:rsidRPr="00993B55">
        <w:rPr>
          <w:rStyle w:val="libFootnoteBoldChar"/>
          <w:rtl/>
        </w:rPr>
        <w:t>المحاسن</w:t>
      </w:r>
      <w:r w:rsidR="008A74EB" w:rsidRPr="00C9040A">
        <w:rPr>
          <w:rtl/>
        </w:rPr>
        <w:t xml:space="preserve"> ، ص 394 ، كتاب المآكل ، ح 53 ، عن أحمد بن محمّد بن أبي‌نصر. </w:t>
      </w:r>
      <w:r w:rsidR="008A74EB" w:rsidRPr="00993B55">
        <w:rPr>
          <w:rStyle w:val="libFootnoteBoldChar"/>
          <w:rtl/>
        </w:rPr>
        <w:t>وفيه</w:t>
      </w:r>
      <w:r w:rsidR="008A74EB" w:rsidRPr="00C9040A">
        <w:rPr>
          <w:rtl/>
        </w:rPr>
        <w:t xml:space="preserve"> ، ص 393 ، ح 393 ، عن ابن أبي‌نجران وعليّ بن الحكم ، عن صفوان الجمّال. </w:t>
      </w:r>
      <w:r w:rsidR="008A74EB" w:rsidRPr="00993B55">
        <w:rPr>
          <w:rStyle w:val="libFootnoteBoldChar"/>
          <w:rtl/>
        </w:rPr>
        <w:t>مصادقة الإخوان</w:t>
      </w:r>
      <w:r w:rsidR="008A74EB" w:rsidRPr="00C9040A">
        <w:rPr>
          <w:rtl/>
        </w:rPr>
        <w:t xml:space="preserve"> ، ص 38 ، ح 6 ، مرسلاً ، مع زيادة في أوّله</w:t>
      </w:r>
      <w:r w:rsidR="00560A5D">
        <w:rPr>
          <w:rFonts w:hint="cs"/>
          <w:rtl/>
        </w:rPr>
        <w:t>.</w:t>
      </w:r>
      <w:r w:rsidR="008A74EB" w:rsidRPr="00993B55">
        <w:rPr>
          <w:rStyle w:val="libFootnoteBoldChar"/>
          <w:rtl/>
        </w:rPr>
        <w:t>الوافي</w:t>
      </w:r>
      <w:r w:rsidR="008A74EB" w:rsidRPr="00C9040A">
        <w:rPr>
          <w:rtl/>
        </w:rPr>
        <w:t xml:space="preserve"> ، ج 5 ، ص 676 ، ح 2853 ؛ </w:t>
      </w:r>
      <w:r w:rsidR="008A74EB" w:rsidRPr="00993B55">
        <w:rPr>
          <w:rStyle w:val="libFootnoteBoldChar"/>
          <w:rtl/>
        </w:rPr>
        <w:t>الوسائل</w:t>
      </w:r>
      <w:r w:rsidR="008A74EB" w:rsidRPr="00C9040A">
        <w:rPr>
          <w:rtl/>
        </w:rPr>
        <w:t xml:space="preserve"> ، ج 24 ، ص 302 ، ح 30607 ؛ </w:t>
      </w:r>
      <w:r w:rsidR="008A74EB" w:rsidRPr="00993B55">
        <w:rPr>
          <w:rStyle w:val="libFootnoteBoldChar"/>
          <w:rtl/>
        </w:rPr>
        <w:t>البحار</w:t>
      </w:r>
      <w:r w:rsidR="008A74EB" w:rsidRPr="00C9040A">
        <w:rPr>
          <w:rtl/>
        </w:rPr>
        <w:t xml:space="preserve"> ، ج 74 ، ص 377 ، ح 75.</w:t>
      </w:r>
    </w:p>
    <w:p w:rsidR="008A74EB" w:rsidRPr="00C9040A" w:rsidRDefault="006C577F" w:rsidP="004A4E41">
      <w:pPr>
        <w:pStyle w:val="libFootnote0"/>
        <w:rPr>
          <w:rtl/>
          <w:lang w:bidi="fa-IR"/>
        </w:rPr>
      </w:pPr>
      <w:r>
        <w:rPr>
          <w:rtl/>
        </w:rPr>
        <w:t>(5).</w:t>
      </w:r>
      <w:r w:rsidR="008A74EB" w:rsidRPr="00C9040A">
        <w:rPr>
          <w:rtl/>
        </w:rPr>
        <w:t xml:space="preserve"> الضمير راجع إلى أحمد بن محمّد بن خالد المذكور في السند السابق ؛ فقد روى هو الخبر بنفس السند في كتابه </w:t>
      </w:r>
      <w:r w:rsidR="008A74EB" w:rsidRPr="00993B55">
        <w:rPr>
          <w:rStyle w:val="libFootnoteBoldChar"/>
          <w:rtl/>
        </w:rPr>
        <w:t>المحاسن</w:t>
      </w:r>
      <w:r w:rsidR="008A74EB" w:rsidRPr="00C9040A">
        <w:rPr>
          <w:rtl/>
        </w:rPr>
        <w:t xml:space="preserve"> ، ص 394 ، ح 52. ووردت روايته عن إسماعيل بن مهران في غير واحد من الأسناد. راجع : </w:t>
      </w:r>
      <w:r w:rsidR="008A74EB" w:rsidRPr="00993B55">
        <w:rPr>
          <w:rStyle w:val="libFootnoteBoldChar"/>
          <w:rtl/>
        </w:rPr>
        <w:t>معجم رجال الحديث</w:t>
      </w:r>
      <w:r w:rsidR="008A74EB" w:rsidRPr="00C9040A">
        <w:rPr>
          <w:rtl/>
        </w:rPr>
        <w:t xml:space="preserve"> ، ج 2 ، ص 397 ، وص 633</w:t>
      </w:r>
      <w:r w:rsidR="008A74EB">
        <w:rPr>
          <w:rtl/>
        </w:rPr>
        <w:t xml:space="preserve"> </w:t>
      </w:r>
      <w:r w:rsidR="0084262C">
        <w:rPr>
          <w:rtl/>
        </w:rPr>
        <w:t>-</w:t>
      </w:r>
      <w:r w:rsidR="008A74EB">
        <w:rPr>
          <w:rtl/>
        </w:rPr>
        <w:t xml:space="preserve"> </w:t>
      </w:r>
      <w:r w:rsidR="008A74EB" w:rsidRPr="00C9040A">
        <w:rPr>
          <w:rtl/>
        </w:rPr>
        <w:t>634.</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هكذا في « ج ، د ، ز ، ص ، ض ، ف ، بر ، بف » والوافي والمحاسن. وفي سائر النسخ والمطبوع : « هذا »</w:t>
      </w:r>
      <w:r w:rsidR="008A74EB">
        <w:rPr>
          <w:rtl/>
        </w:rPr>
        <w:t>.</w:t>
      </w:r>
      <w:r w:rsidR="008A74EB" w:rsidRPr="00C9040A">
        <w:rPr>
          <w:rtl/>
        </w:rPr>
        <w:t xml:space="preserve"> والسوق يذكّر ويؤنّث.</w:t>
      </w:r>
    </w:p>
    <w:p w:rsidR="008A74EB" w:rsidRPr="00C9040A" w:rsidRDefault="006C577F" w:rsidP="00560A5D">
      <w:pPr>
        <w:pStyle w:val="libFootnote0"/>
        <w:rPr>
          <w:rtl/>
          <w:lang w:bidi="fa-IR"/>
        </w:rPr>
      </w:pPr>
      <w:r>
        <w:rPr>
          <w:rtl/>
        </w:rPr>
        <w:t>(7).</w:t>
      </w:r>
      <w:r w:rsidR="008A74EB" w:rsidRPr="00C9040A">
        <w:rPr>
          <w:rtl/>
        </w:rPr>
        <w:t xml:space="preserve"> </w:t>
      </w:r>
      <w:r w:rsidR="008A74EB" w:rsidRPr="00993B55">
        <w:rPr>
          <w:rStyle w:val="libFootnoteBoldChar"/>
          <w:rtl/>
        </w:rPr>
        <w:t>المحاسن</w:t>
      </w:r>
      <w:r w:rsidR="008A74EB" w:rsidRPr="00C9040A">
        <w:rPr>
          <w:rtl/>
        </w:rPr>
        <w:t xml:space="preserve"> ، ص 394 ، كتاب المآكل ، ح 52 ، عن إسماعيل بن مهران</w:t>
      </w:r>
      <w:r w:rsidR="00560A5D">
        <w:rPr>
          <w:rFonts w:hint="cs"/>
          <w:rtl/>
        </w:rPr>
        <w:t>.</w:t>
      </w:r>
      <w:r w:rsidR="008A74EB" w:rsidRPr="00993B55">
        <w:rPr>
          <w:rStyle w:val="libFootnoteBoldChar"/>
          <w:rtl/>
        </w:rPr>
        <w:t>الوافي</w:t>
      </w:r>
      <w:r w:rsidR="008A74EB" w:rsidRPr="00C9040A">
        <w:rPr>
          <w:rtl/>
        </w:rPr>
        <w:t xml:space="preserve"> ، ج 5 ، ص 676 ، ح 2854 ؛ </w:t>
      </w:r>
      <w:r w:rsidR="008A74EB" w:rsidRPr="00993B55">
        <w:rPr>
          <w:rStyle w:val="libFootnoteBoldChar"/>
          <w:rtl/>
        </w:rPr>
        <w:t>الوسائل</w:t>
      </w:r>
      <w:r w:rsidR="008A74EB" w:rsidRPr="00C9040A">
        <w:rPr>
          <w:rtl/>
        </w:rPr>
        <w:t xml:space="preserve"> ، ج 24 ، ص 302 ، ح 30608 ؛ </w:t>
      </w:r>
      <w:r w:rsidR="008A74EB" w:rsidRPr="00993B55">
        <w:rPr>
          <w:rStyle w:val="libFootnoteBoldChar"/>
          <w:rtl/>
        </w:rPr>
        <w:t>البحار</w:t>
      </w:r>
      <w:r w:rsidR="008A74EB" w:rsidRPr="00C9040A">
        <w:rPr>
          <w:rtl/>
        </w:rPr>
        <w:t xml:space="preserve"> ، ج 74 ، ص 377 ، ح 76.</w:t>
      </w:r>
    </w:p>
    <w:p w:rsidR="008A74EB" w:rsidRPr="00C9040A" w:rsidRDefault="006C577F" w:rsidP="004A4E41">
      <w:pPr>
        <w:pStyle w:val="libFootnote0"/>
        <w:rPr>
          <w:rtl/>
          <w:lang w:bidi="fa-IR"/>
        </w:rPr>
      </w:pPr>
      <w:r>
        <w:rPr>
          <w:rtl/>
        </w:rPr>
        <w:t>(8).</w:t>
      </w:r>
      <w:r w:rsidR="008A74EB" w:rsidRPr="00C9040A">
        <w:rPr>
          <w:rtl/>
        </w:rPr>
        <w:t xml:space="preserve"> الضمير راجع إلى أحمد بن محمّد بن خالد.</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A571BB">
        <w:rPr>
          <w:rtl/>
        </w:rPr>
        <w:t>أَبِي عَبْدِ اللهِ</w:t>
      </w:r>
      <w:r w:rsidRPr="00C9040A">
        <w:rPr>
          <w:rtl/>
          <w:lang w:bidi="fa-IR"/>
        </w:rPr>
        <w:t xml:space="preserve">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لَأَنْ آخُذَ خَمْسَةَ دَرَاهِمَ ، وَأَدْخُلَ </w:t>
      </w:r>
      <w:r w:rsidR="006C577F" w:rsidRPr="006C577F">
        <w:rPr>
          <w:rStyle w:val="libFootnotenumChar"/>
          <w:rtl/>
        </w:rPr>
        <w:t>(1)</w:t>
      </w:r>
      <w:r w:rsidRPr="00C9040A">
        <w:rPr>
          <w:rtl/>
          <w:lang w:bidi="fa-IR"/>
        </w:rPr>
        <w:t xml:space="preserve"> إِلى سُوقِكُمْ هذِهِ </w:t>
      </w:r>
      <w:r w:rsidR="006C577F" w:rsidRPr="006C577F">
        <w:rPr>
          <w:rStyle w:val="libFootnotenumChar"/>
          <w:rtl/>
        </w:rPr>
        <w:t>(2)</w:t>
      </w:r>
      <w:r w:rsidRPr="00C9040A">
        <w:rPr>
          <w:rtl/>
          <w:lang w:bidi="fa-IR"/>
        </w:rPr>
        <w:t xml:space="preserve"> ، فَأَبْتَاعَ بِهَا الطَّعَامَ ، وَأَجْمَعَ </w:t>
      </w:r>
      <w:r w:rsidR="006C577F" w:rsidRPr="006C577F">
        <w:rPr>
          <w:rStyle w:val="libFootnotenumChar"/>
          <w:rtl/>
        </w:rPr>
        <w:t>(3)</w:t>
      </w:r>
      <w:r w:rsidRPr="00C9040A">
        <w:rPr>
          <w:rtl/>
          <w:lang w:bidi="fa-IR"/>
        </w:rPr>
        <w:t xml:space="preserve"> نَفَراً مِنَ الْمُسْلِمِينَ أَحَبُّ إِلَيَّ مِنْ أَنْ أُعْتِقَ نَسَمَةً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A571BB">
        <w:rPr>
          <w:rtl/>
        </w:rPr>
        <w:t>2189</w:t>
      </w:r>
      <w:r w:rsidRPr="00261CB0">
        <w:rPr>
          <w:rStyle w:val="libBold2Char"/>
          <w:rtl/>
        </w:rPr>
        <w:t xml:space="preserve"> / 16.</w:t>
      </w:r>
      <w:r w:rsidRPr="00C9040A">
        <w:rPr>
          <w:rtl/>
          <w:lang w:bidi="fa-IR"/>
        </w:rPr>
        <w:t xml:space="preserve"> عَنْهُ </w:t>
      </w:r>
      <w:r w:rsidR="006C577F" w:rsidRPr="006C577F">
        <w:rPr>
          <w:rStyle w:val="libFootnotenumChar"/>
          <w:rtl/>
        </w:rPr>
        <w:t>(5)</w:t>
      </w:r>
      <w:r w:rsidRPr="00C9040A">
        <w:rPr>
          <w:rtl/>
          <w:lang w:bidi="fa-IR"/>
        </w:rPr>
        <w:t xml:space="preserve"> ، عَنِ الْوَشَّاءِ ، عَنْ عَلِيِّ بْنِ أَبِي حَمْزَةَ ، عَنْ أَبِي بَصِيرٍ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سُئِلَ مُحَمَّدُ بْنُ عَلِيٍّ صَلَوَاتُ اللهِ عَلَيْهِمَا : مَا يَعْدِلُ عِتْقَ رَقَبَةٍ</w:t>
      </w:r>
      <w:r>
        <w:rPr>
          <w:rtl/>
          <w:lang w:bidi="fa-IR"/>
        </w:rPr>
        <w:t>؟</w:t>
      </w:r>
    </w:p>
    <w:p w:rsidR="008A74EB" w:rsidRPr="00C9040A" w:rsidRDefault="008A74EB" w:rsidP="008A74EB">
      <w:pPr>
        <w:pStyle w:val="libNormal"/>
        <w:rPr>
          <w:rtl/>
          <w:lang w:bidi="fa-IR"/>
        </w:rPr>
      </w:pPr>
      <w:r w:rsidRPr="00C9040A">
        <w:rPr>
          <w:rtl/>
          <w:lang w:bidi="fa-IR"/>
        </w:rPr>
        <w:t>قَالَ : إِطْعَامُ رَجُلٍ مُسْلِمٍ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Normal"/>
        <w:rPr>
          <w:rtl/>
          <w:lang w:bidi="fa-IR"/>
        </w:rPr>
      </w:pPr>
      <w:r w:rsidRPr="00A571BB">
        <w:rPr>
          <w:rtl/>
        </w:rPr>
        <w:t>2190</w:t>
      </w:r>
      <w:r w:rsidRPr="00261CB0">
        <w:rPr>
          <w:rStyle w:val="libBold2Char"/>
          <w:rtl/>
        </w:rPr>
        <w:t xml:space="preserve"> / 17.</w:t>
      </w:r>
      <w:r w:rsidRPr="00C9040A">
        <w:rPr>
          <w:rtl/>
          <w:lang w:bidi="fa-IR"/>
        </w:rPr>
        <w:t xml:space="preserve"> مُحَمَّدُ بْنُ يَحْيى ، عَنْ مُحَمَّدِ بْنِ الْحُسَيْنِ بْنِ أَبِي الْخَطَّابِ ، عَنْ مُحَمَّدِ بْنِ إِسْمَاعِيلَ ، عَنْ صَالِحِ بْنِ عُقْبَةَ ، عَنْ أَبِي شِبْلٍ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مَا أَرى شَيْئاً يَعْدِلُ </w:t>
      </w:r>
      <w:r w:rsidR="00560A5D">
        <w:rPr>
          <w:rtl/>
          <w:lang w:bidi="fa-IR"/>
        </w:rPr>
        <w:t>زِيَارَةَ الْمُؤْمِنِ إِل</w:t>
      </w:r>
      <w:r w:rsidR="00560A5D">
        <w:rPr>
          <w:rFonts w:hint="cs"/>
          <w:rtl/>
          <w:lang w:bidi="fa-IR"/>
        </w:rPr>
        <w:t>َّ</w:t>
      </w:r>
      <w:r w:rsidR="00560A5D">
        <w:rPr>
          <w:rtl/>
          <w:lang w:bidi="fa-IR"/>
        </w:rPr>
        <w:t>ا</w:t>
      </w:r>
      <w:r w:rsidRPr="00C9040A">
        <w:rPr>
          <w:rtl/>
          <w:lang w:bidi="fa-IR"/>
        </w:rPr>
        <w:t xml:space="preserve"> إِطْعَامَهُ ، وَحَقٌّ عَلَى اللهِ أَنْ يُطْعِمَ مَنْ أَطْعَمَ مُؤْمِناً مِنْ طَعَامِ الْجَنَّةِ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A571BB">
        <w:rPr>
          <w:rtl/>
        </w:rPr>
        <w:t>2191</w:t>
      </w:r>
      <w:r w:rsidRPr="00261CB0">
        <w:rPr>
          <w:rStyle w:val="libBold2Char"/>
          <w:rtl/>
        </w:rPr>
        <w:t xml:space="preserve"> / 18.</w:t>
      </w:r>
      <w:r w:rsidRPr="00C9040A">
        <w:rPr>
          <w:rtl/>
          <w:lang w:bidi="fa-IR"/>
        </w:rPr>
        <w:t xml:space="preserve"> مُحَمَّدٌ </w:t>
      </w:r>
      <w:r w:rsidR="006C577F" w:rsidRPr="006C577F">
        <w:rPr>
          <w:rStyle w:val="libFootnotenumChar"/>
          <w:rtl/>
        </w:rPr>
        <w:t>(8)</w:t>
      </w:r>
      <w:r w:rsidRPr="00C9040A">
        <w:rPr>
          <w:rtl/>
          <w:lang w:bidi="fa-IR"/>
        </w:rPr>
        <w:t xml:space="preserve"> ، عَنْ مُحَمَّدِ بْنِ الْحُسَيْنِ ، عَنْ مُحَمَّدِ بْنِ إِسْمَاعِيلَ ، عَنْ صَالِحِ بْنِ‌</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ب ، ج ، د ، ف ، بس » والوافي والبحار : « أدخل » بدون الواو. وفي « ض » والوسائل والمحاسن ، ص 393 : « فأدخل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هكذا في « ج ، ز ، ص ، ف ، بر ، بس ، بف » والوافي والوسائل والمحاسن ، ص 393. وفي سائر النسخ والمطبوع : « هذا »</w:t>
      </w:r>
      <w:r w:rsidR="008A74EB">
        <w:rPr>
          <w:rtl/>
        </w:rPr>
        <w:t>.</w:t>
      </w:r>
      <w:r w:rsidR="008A74EB" w:rsidRPr="00C9040A">
        <w:rPr>
          <w:rtl/>
        </w:rPr>
        <w:t xml:space="preserve"> والسوق يذكّر ويؤنّث.</w:t>
      </w:r>
    </w:p>
    <w:p w:rsidR="008A74EB" w:rsidRPr="00C9040A" w:rsidRDefault="006C577F" w:rsidP="004A4E41">
      <w:pPr>
        <w:pStyle w:val="libFootnote0"/>
        <w:rPr>
          <w:rtl/>
          <w:lang w:bidi="fa-IR"/>
        </w:rPr>
      </w:pPr>
      <w:r>
        <w:rPr>
          <w:rtl/>
        </w:rPr>
        <w:t>(3).</w:t>
      </w:r>
      <w:r w:rsidR="008A74EB" w:rsidRPr="00C9040A">
        <w:rPr>
          <w:rtl/>
        </w:rPr>
        <w:t xml:space="preserve"> في « ف » : « فأجمع »</w:t>
      </w:r>
      <w:r w:rsidR="008A74EB">
        <w:rPr>
          <w:rtl/>
        </w:rPr>
        <w:t>.</w:t>
      </w:r>
      <w:r w:rsidR="008A74EB" w:rsidRPr="00C9040A">
        <w:rPr>
          <w:rtl/>
        </w:rPr>
        <w:t xml:space="preserve"> وفي المحاسن ، ص 393 : « ثمّ أجمع »</w:t>
      </w:r>
      <w:r w:rsidR="008A74EB">
        <w:rPr>
          <w:rtl/>
        </w:rPr>
        <w:t>.</w:t>
      </w:r>
    </w:p>
    <w:p w:rsidR="008A74EB" w:rsidRPr="00C9040A" w:rsidRDefault="006C577F" w:rsidP="00560A5D">
      <w:pPr>
        <w:pStyle w:val="libFootnote0"/>
        <w:rPr>
          <w:rtl/>
          <w:lang w:bidi="fa-IR"/>
        </w:rPr>
      </w:pPr>
      <w:r>
        <w:rPr>
          <w:rtl/>
        </w:rPr>
        <w:t>(4).</w:t>
      </w:r>
      <w:r w:rsidR="008A74EB" w:rsidRPr="00C9040A">
        <w:rPr>
          <w:rtl/>
        </w:rPr>
        <w:t xml:space="preserve"> </w:t>
      </w:r>
      <w:r w:rsidR="008A74EB" w:rsidRPr="00993B55">
        <w:rPr>
          <w:rStyle w:val="libFootnoteBoldChar"/>
          <w:rtl/>
        </w:rPr>
        <w:t>المحاسن</w:t>
      </w:r>
      <w:r w:rsidR="008A74EB" w:rsidRPr="00C9040A">
        <w:rPr>
          <w:rtl/>
        </w:rPr>
        <w:t xml:space="preserve"> ، ص 393 ، كتاب المآكل ، ح 44 ، عن عليّ بن الحكم. </w:t>
      </w:r>
      <w:r w:rsidR="008A74EB" w:rsidRPr="00993B55">
        <w:rPr>
          <w:rStyle w:val="libFootnoteBoldChar"/>
          <w:rtl/>
        </w:rPr>
        <w:t>وفيه</w:t>
      </w:r>
      <w:r w:rsidR="008A74EB" w:rsidRPr="00C9040A">
        <w:rPr>
          <w:rtl/>
        </w:rPr>
        <w:t xml:space="preserve"> ، ص 396 ، ح 63 ، بسند آخر مع اختلاف يسير</w:t>
      </w:r>
      <w:r w:rsidR="00560A5D">
        <w:rPr>
          <w:rFonts w:hint="cs"/>
          <w:rtl/>
        </w:rPr>
        <w:t>.</w:t>
      </w:r>
      <w:r w:rsidR="008A74EB" w:rsidRPr="00993B55">
        <w:rPr>
          <w:rStyle w:val="libFootnoteBoldChar"/>
          <w:rtl/>
        </w:rPr>
        <w:t>الوافي</w:t>
      </w:r>
      <w:r w:rsidR="008A74EB" w:rsidRPr="00C9040A">
        <w:rPr>
          <w:rtl/>
        </w:rPr>
        <w:t xml:space="preserve"> ، ج 5 ، ص 677 ، ح 2855 ؛ </w:t>
      </w:r>
      <w:r w:rsidR="008A74EB" w:rsidRPr="00993B55">
        <w:rPr>
          <w:rStyle w:val="libFootnoteBoldChar"/>
          <w:rtl/>
        </w:rPr>
        <w:t>الوسائل</w:t>
      </w:r>
      <w:r w:rsidR="008A74EB" w:rsidRPr="00C9040A">
        <w:rPr>
          <w:rtl/>
        </w:rPr>
        <w:t xml:space="preserve"> ، ج 24 ، ص 302 ، ح 30609 ؛ </w:t>
      </w:r>
      <w:r w:rsidR="008A74EB" w:rsidRPr="00993B55">
        <w:rPr>
          <w:rStyle w:val="libFootnoteBoldChar"/>
          <w:rtl/>
        </w:rPr>
        <w:t>البحار</w:t>
      </w:r>
      <w:r w:rsidR="008A74EB" w:rsidRPr="00C9040A">
        <w:rPr>
          <w:rtl/>
        </w:rPr>
        <w:t xml:space="preserve"> ، ج 74 ، ص 378 ، ح 77.</w:t>
      </w:r>
    </w:p>
    <w:p w:rsidR="008A74EB" w:rsidRPr="00C9040A" w:rsidRDefault="006C577F" w:rsidP="004A4E41">
      <w:pPr>
        <w:pStyle w:val="libFootnote0"/>
        <w:rPr>
          <w:rtl/>
          <w:lang w:bidi="fa-IR"/>
        </w:rPr>
      </w:pPr>
      <w:r>
        <w:rPr>
          <w:rtl/>
        </w:rPr>
        <w:t>(5).</w:t>
      </w:r>
      <w:r w:rsidR="008A74EB" w:rsidRPr="00C9040A">
        <w:rPr>
          <w:rtl/>
        </w:rPr>
        <w:t xml:space="preserve"> الضمير راجع إلى أحمد بن محمّد بن خالد.</w:t>
      </w:r>
    </w:p>
    <w:p w:rsidR="008A74EB" w:rsidRPr="00C9040A" w:rsidRDefault="006C577F" w:rsidP="00560A5D">
      <w:pPr>
        <w:pStyle w:val="libFootnote0"/>
        <w:rPr>
          <w:rtl/>
          <w:lang w:bidi="fa-IR"/>
        </w:rPr>
      </w:pPr>
      <w:r>
        <w:rPr>
          <w:rtl/>
        </w:rPr>
        <w:t>(6).</w:t>
      </w:r>
      <w:r w:rsidR="008A74EB">
        <w:rPr>
          <w:rtl/>
        </w:rPr>
        <w:t xml:space="preserve"> </w:t>
      </w:r>
      <w:r w:rsidR="008A74EB" w:rsidRPr="00993B55">
        <w:rPr>
          <w:rStyle w:val="libFootnoteBoldChar"/>
          <w:rtl/>
        </w:rPr>
        <w:t>المحاسن</w:t>
      </w:r>
      <w:r w:rsidR="008A74EB" w:rsidRPr="00C9040A">
        <w:rPr>
          <w:rtl/>
        </w:rPr>
        <w:t xml:space="preserve"> ، ص 393 ، كتاب المآكل ، ح 45 ، عن الحسن بن عليّ الوشّاء</w:t>
      </w:r>
      <w:r w:rsidR="00560A5D">
        <w:rPr>
          <w:rFonts w:hint="cs"/>
          <w:rtl/>
        </w:rPr>
        <w:t>.</w:t>
      </w:r>
      <w:r w:rsidR="008A74EB" w:rsidRPr="00993B55">
        <w:rPr>
          <w:rStyle w:val="libFootnoteBoldChar"/>
          <w:rtl/>
        </w:rPr>
        <w:t>الوافي</w:t>
      </w:r>
      <w:r w:rsidR="008A74EB" w:rsidRPr="00C9040A">
        <w:rPr>
          <w:rtl/>
        </w:rPr>
        <w:t xml:space="preserve"> ، ج 5 ، ص 677 ، ح 2856 ؛ </w:t>
      </w:r>
      <w:r w:rsidR="008A74EB" w:rsidRPr="00993B55">
        <w:rPr>
          <w:rStyle w:val="libFootnoteBoldChar"/>
          <w:rtl/>
        </w:rPr>
        <w:t>الوسائل</w:t>
      </w:r>
      <w:r w:rsidR="008A74EB" w:rsidRPr="00C9040A">
        <w:rPr>
          <w:rtl/>
        </w:rPr>
        <w:t xml:space="preserve"> ، ج 24 ، ص 303 ، ح 30610 ؛ </w:t>
      </w:r>
      <w:r w:rsidR="008A74EB" w:rsidRPr="00993B55">
        <w:rPr>
          <w:rStyle w:val="libFootnoteBoldChar"/>
          <w:rtl/>
        </w:rPr>
        <w:t>البحار</w:t>
      </w:r>
      <w:r w:rsidR="008A74EB" w:rsidRPr="00C9040A">
        <w:rPr>
          <w:rtl/>
        </w:rPr>
        <w:t xml:space="preserve"> ، ج 74 ، ص 378 ، ح 78.</w:t>
      </w:r>
    </w:p>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الوافي</w:t>
      </w:r>
      <w:r w:rsidR="008A74EB" w:rsidRPr="00C9040A">
        <w:rPr>
          <w:rtl/>
        </w:rPr>
        <w:t xml:space="preserve"> ، ج 5 ، ص 677 ، ح 2857 ؛ </w:t>
      </w:r>
      <w:r w:rsidR="008A74EB" w:rsidRPr="00993B55">
        <w:rPr>
          <w:rStyle w:val="libFootnoteBoldChar"/>
          <w:rtl/>
        </w:rPr>
        <w:t>الوسائل</w:t>
      </w:r>
      <w:r w:rsidR="008A74EB" w:rsidRPr="00C9040A">
        <w:rPr>
          <w:rtl/>
        </w:rPr>
        <w:t xml:space="preserve"> ، ج 24 ، ص 306 ، ح 30618 ؛ </w:t>
      </w:r>
      <w:r w:rsidR="008A74EB" w:rsidRPr="00993B55">
        <w:rPr>
          <w:rStyle w:val="libFootnoteBoldChar"/>
          <w:rtl/>
        </w:rPr>
        <w:t>البحار</w:t>
      </w:r>
      <w:r w:rsidR="008A74EB" w:rsidRPr="00C9040A">
        <w:rPr>
          <w:rtl/>
        </w:rPr>
        <w:t xml:space="preserve"> ، ج 74 ، ص 378 ، ح 79.</w:t>
      </w:r>
    </w:p>
    <w:p w:rsidR="008A74EB" w:rsidRPr="00C9040A" w:rsidRDefault="006C577F" w:rsidP="004A4E41">
      <w:pPr>
        <w:pStyle w:val="libFootnote0"/>
        <w:rPr>
          <w:rtl/>
          <w:lang w:bidi="fa-IR"/>
        </w:rPr>
      </w:pPr>
      <w:r>
        <w:rPr>
          <w:rtl/>
        </w:rPr>
        <w:t>(8).</w:t>
      </w:r>
      <w:r w:rsidR="008A74EB" w:rsidRPr="00C9040A">
        <w:rPr>
          <w:rtl/>
        </w:rPr>
        <w:t xml:space="preserve"> في « د ، ض » : + « بن يحيى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عُقْبَةَ ، عَنْ رِفَاعَةَ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لَأَنْ أُطْعِمَ مُؤْمِناً مُحْتَاجاً أَحَبُّ إِلَيَّ مِنْ أَنْ أَزُورَهُ ، وَلَأَنْ أَزُورَهُ أَحَبُّ إِلَيَّ مِنْ أَنْ أُعْتِقَ عَشْرَ رِقَابٍ »</w:t>
      </w:r>
      <w:r>
        <w:rPr>
          <w:rtl/>
          <w:lang w:bidi="fa-IR"/>
        </w:rPr>
        <w:t>.</w:t>
      </w:r>
      <w:r w:rsidRPr="00C9040A">
        <w:rPr>
          <w:rtl/>
          <w:lang w:bidi="fa-IR"/>
        </w:rPr>
        <w:t xml:space="preserve"> </w:t>
      </w:r>
      <w:r w:rsidR="006C577F" w:rsidRPr="006C577F">
        <w:rPr>
          <w:rStyle w:val="libFootnotenumChar"/>
          <w:rtl/>
        </w:rPr>
        <w:t>(1)</w:t>
      </w:r>
      <w:r w:rsidRPr="00C9040A">
        <w:rPr>
          <w:rtl/>
          <w:lang w:bidi="fa-IR"/>
        </w:rPr>
        <w:t xml:space="preserve"> ‌</w:t>
      </w:r>
    </w:p>
    <w:p w:rsidR="00560A5D" w:rsidRDefault="008A74EB" w:rsidP="00560A5D">
      <w:pPr>
        <w:pStyle w:val="libNormal"/>
        <w:rPr>
          <w:rtl/>
          <w:lang w:bidi="fa-IR"/>
        </w:rPr>
      </w:pPr>
      <w:r w:rsidRPr="00A571BB">
        <w:rPr>
          <w:rtl/>
        </w:rPr>
        <w:t>2192</w:t>
      </w:r>
      <w:r w:rsidRPr="00261CB0">
        <w:rPr>
          <w:rStyle w:val="libBold2Char"/>
          <w:rtl/>
        </w:rPr>
        <w:t xml:space="preserve"> / 19.</w:t>
      </w:r>
      <w:r w:rsidRPr="00C9040A">
        <w:rPr>
          <w:rtl/>
          <w:lang w:bidi="fa-IR"/>
        </w:rPr>
        <w:t xml:space="preserve"> صَالِحُ بْنُ عُقْبَةَ </w:t>
      </w:r>
      <w:r w:rsidR="006C577F" w:rsidRPr="006C577F">
        <w:rPr>
          <w:rStyle w:val="libFootnotenumChar"/>
          <w:rtl/>
        </w:rPr>
        <w:t>(2)</w:t>
      </w:r>
      <w:r w:rsidRPr="00C9040A">
        <w:rPr>
          <w:rtl/>
          <w:lang w:bidi="fa-IR"/>
        </w:rPr>
        <w:t xml:space="preserve"> ، عَنْ عَبْدِ اللهِ بْنِ مُحَمَّدٍ ، عَنْ أَبِي عَبْدِ اللهِ </w:t>
      </w:r>
      <w:r w:rsidRPr="0003660B">
        <w:rPr>
          <w:rStyle w:val="libAlaemChar"/>
          <w:rtl/>
        </w:rPr>
        <w:t>عليه‌السلام</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560A5D">
      <w:pPr>
        <w:pStyle w:val="libNormal"/>
        <w:rPr>
          <w:rtl/>
          <w:lang w:bidi="fa-IR"/>
        </w:rPr>
      </w:pPr>
      <w:r w:rsidRPr="00C9040A">
        <w:rPr>
          <w:rtl/>
          <w:lang w:bidi="fa-IR"/>
        </w:rPr>
        <w:t xml:space="preserve">وَيَزِيدَ بْنِ عَبْدِ الْمَلِكِ ، عَنْ أَبِي عَبْدِ اللهِ </w:t>
      </w:r>
      <w:r w:rsidRPr="0003660B">
        <w:rPr>
          <w:rStyle w:val="libAlaemChar"/>
          <w:rtl/>
        </w:rPr>
        <w:t>عليه‌السلام</w:t>
      </w:r>
      <w:r w:rsidRPr="00C9040A">
        <w:rPr>
          <w:rtl/>
          <w:lang w:bidi="fa-IR"/>
        </w:rPr>
        <w:t xml:space="preserve"> ، قَالَ :</w:t>
      </w:r>
    </w:p>
    <w:p w:rsidR="008A74EB" w:rsidRPr="00C9040A" w:rsidRDefault="008A74EB" w:rsidP="008A74EB">
      <w:pPr>
        <w:pStyle w:val="libNormal"/>
        <w:rPr>
          <w:rtl/>
          <w:lang w:bidi="fa-IR"/>
        </w:rPr>
      </w:pPr>
      <w:r w:rsidRPr="00C9040A">
        <w:rPr>
          <w:rtl/>
          <w:lang w:bidi="fa-IR"/>
        </w:rPr>
        <w:t xml:space="preserve">« مَنْ أَطْعَمَ مُؤْمِناً مُوسِراً ، كَانَ لَهُ يَعْدِلُ </w:t>
      </w:r>
      <w:r w:rsidR="006C577F" w:rsidRPr="006C577F">
        <w:rPr>
          <w:rStyle w:val="libFootnotenumChar"/>
          <w:rtl/>
        </w:rPr>
        <w:t>(4)</w:t>
      </w:r>
      <w:r w:rsidRPr="00C9040A">
        <w:rPr>
          <w:rtl/>
          <w:lang w:bidi="fa-IR"/>
        </w:rPr>
        <w:t xml:space="preserve"> رَقَبَةً مِنْ وُلْدِ إِسْمَاعِيلَ يُنْقِذُهُ مِنَ الذَّبْحِ ؛ وَمَنْ أَطْعَمَ مُؤْمِناً مُحْتَاجاً ، كَانَ لَهُ يَعْدِلُ </w:t>
      </w:r>
      <w:r w:rsidR="006C577F" w:rsidRPr="006C577F">
        <w:rPr>
          <w:rStyle w:val="libFootnotenumChar"/>
          <w:rtl/>
        </w:rPr>
        <w:t>(5)</w:t>
      </w:r>
      <w:r w:rsidRPr="00C9040A">
        <w:rPr>
          <w:rtl/>
          <w:lang w:bidi="fa-IR"/>
        </w:rPr>
        <w:t xml:space="preserve"> مِائَةَ رَقَبَةٍ مِنْ وُلْدِ إِسْمَاعِيلَ يُنْقِذُهَا </w:t>
      </w:r>
      <w:r w:rsidR="006C577F" w:rsidRPr="006C577F">
        <w:rPr>
          <w:rStyle w:val="libFootnotenumChar"/>
          <w:rtl/>
        </w:rPr>
        <w:t>(6)</w:t>
      </w:r>
      <w:r w:rsidRPr="005B567D">
        <w:rPr>
          <w:rStyle w:val="libFootnotenumChar"/>
          <w:rtl/>
        </w:rPr>
        <w:t xml:space="preserve"> </w:t>
      </w:r>
      <w:r w:rsidRPr="00C9040A">
        <w:rPr>
          <w:rtl/>
          <w:lang w:bidi="fa-IR"/>
        </w:rPr>
        <w:t>مِنَ الذَّبْحِ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A571BB">
        <w:rPr>
          <w:rtl/>
        </w:rPr>
        <w:t>2193</w:t>
      </w:r>
      <w:r w:rsidRPr="00261CB0">
        <w:rPr>
          <w:rStyle w:val="libBold2Char"/>
          <w:rtl/>
        </w:rPr>
        <w:t xml:space="preserve"> / 20.</w:t>
      </w:r>
      <w:r w:rsidRPr="00C9040A">
        <w:rPr>
          <w:rtl/>
          <w:lang w:bidi="fa-IR"/>
        </w:rPr>
        <w:t xml:space="preserve"> صَالِحُ بْنُ عُقْبَةَ </w:t>
      </w:r>
      <w:r w:rsidR="006C577F" w:rsidRPr="006C577F">
        <w:rPr>
          <w:rStyle w:val="libFootnotenumChar"/>
          <w:rtl/>
        </w:rPr>
        <w:t>(8)</w:t>
      </w:r>
      <w:r w:rsidRPr="00C9040A">
        <w:rPr>
          <w:rtl/>
          <w:lang w:bidi="fa-IR"/>
        </w:rPr>
        <w:t xml:space="preserve"> ، عَنْ نَصْرِ </w:t>
      </w:r>
      <w:r w:rsidR="006C577F" w:rsidRPr="006C577F">
        <w:rPr>
          <w:rStyle w:val="libFootnotenumChar"/>
          <w:rtl/>
        </w:rPr>
        <w:t>(9)</w:t>
      </w:r>
      <w:r w:rsidRPr="00C9040A">
        <w:rPr>
          <w:rtl/>
          <w:lang w:bidi="fa-IR"/>
        </w:rPr>
        <w:t xml:space="preserve"> بْنِ قَابُوسَ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لَإِطْعَامُ مُؤْمِنٍ أَحَبُّ إِلَيَّ مِنْ عِتْقِ عَشْرِ رِقَابٍ وَعَشْرِ‌</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993B55">
        <w:rPr>
          <w:rStyle w:val="libFootnoteBoldChar"/>
          <w:rtl/>
        </w:rPr>
        <w:t>الوافي</w:t>
      </w:r>
      <w:r w:rsidR="008A74EB" w:rsidRPr="00C9040A">
        <w:rPr>
          <w:rtl/>
        </w:rPr>
        <w:t xml:space="preserve"> ، ج 5 ، ص 677 ، ح 2858 ؛ </w:t>
      </w:r>
      <w:r w:rsidR="008A74EB" w:rsidRPr="00993B55">
        <w:rPr>
          <w:rStyle w:val="libFootnoteBoldChar"/>
          <w:rtl/>
        </w:rPr>
        <w:t>الوسائل</w:t>
      </w:r>
      <w:r w:rsidR="008A74EB" w:rsidRPr="00C9040A">
        <w:rPr>
          <w:rtl/>
        </w:rPr>
        <w:t xml:space="preserve"> ، ج 24 ، ص 303 ، ح 30611 ؛ </w:t>
      </w:r>
      <w:r w:rsidR="008A74EB" w:rsidRPr="00993B55">
        <w:rPr>
          <w:rStyle w:val="libFootnoteBoldChar"/>
          <w:rtl/>
        </w:rPr>
        <w:t>البحار</w:t>
      </w:r>
      <w:r w:rsidR="008A74EB" w:rsidRPr="00C9040A">
        <w:rPr>
          <w:rtl/>
        </w:rPr>
        <w:t xml:space="preserve"> ، ج 74 ، ص 378 ، ح 80.</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السند معلّق على سابقه. ويروي عن صالح بن عقبة ، محمّد [ بن يحيى ] ، عن محمّد بن الحسين [ بن‌أبي‌الخطّاب ] ، عن محمّد بن إسماعيل.</w:t>
      </w:r>
    </w:p>
    <w:p w:rsidR="008A74EB" w:rsidRPr="00C9040A" w:rsidRDefault="006C577F" w:rsidP="004A4E41">
      <w:pPr>
        <w:pStyle w:val="libFootnote0"/>
        <w:rPr>
          <w:rtl/>
          <w:lang w:bidi="fa-IR"/>
        </w:rPr>
      </w:pPr>
      <w:r>
        <w:rPr>
          <w:rtl/>
        </w:rPr>
        <w:t>(3).</w:t>
      </w:r>
      <w:r w:rsidR="008A74EB" w:rsidRPr="00C9040A">
        <w:rPr>
          <w:rtl/>
        </w:rPr>
        <w:t xml:space="preserve"> هكذا في أكثر النسخ والطبعة الحجريّة والوسائل والبحار. وفي المطبوع </w:t>
      </w:r>
      <w:r w:rsidR="008A74EB">
        <w:rPr>
          <w:rtl/>
        </w:rPr>
        <w:t xml:space="preserve">: </w:t>
      </w:r>
      <w:r w:rsidR="0084262C">
        <w:rPr>
          <w:rtl/>
        </w:rPr>
        <w:t>-</w:t>
      </w:r>
      <w:r w:rsidR="008A74EB" w:rsidRPr="00C9040A">
        <w:rPr>
          <w:rtl/>
        </w:rPr>
        <w:t xml:space="preserve"> « عن أبي‌عبدالله </w:t>
      </w:r>
      <w:r w:rsidR="00117575" w:rsidRPr="00117575">
        <w:rPr>
          <w:rStyle w:val="libFootnoteAlaemChar"/>
          <w:rtl/>
        </w:rPr>
        <w:t>عليه‌السلام</w:t>
      </w:r>
      <w:r w:rsidR="008A74EB" w:rsidRPr="00C9040A">
        <w:rPr>
          <w:rtl/>
        </w:rPr>
        <w:t xml:space="preserve"> »</w:t>
      </w:r>
      <w:r w:rsidR="008A74EB">
        <w:rPr>
          <w:rtl/>
        </w:rPr>
        <w:t>.</w:t>
      </w:r>
    </w:p>
    <w:p w:rsidR="008A74EB" w:rsidRPr="00C9040A" w:rsidRDefault="008A74EB" w:rsidP="00CD18A6">
      <w:pPr>
        <w:pStyle w:val="libFootnote0"/>
        <w:rPr>
          <w:rtl/>
          <w:lang w:bidi="fa-IR"/>
        </w:rPr>
      </w:pPr>
      <w:r w:rsidRPr="00323A39">
        <w:rPr>
          <w:rtl/>
        </w:rPr>
        <w:t xml:space="preserve">هذا وقد تقدّمت رواية محمّد بن إسماعيل [ بن بزيع ] ، عن صالح بن عقبة ، عن عبدالله بن محمّد الجعفي ، عن أبي‌عبدالله </w:t>
      </w:r>
      <w:r w:rsidR="00117575" w:rsidRPr="00117575">
        <w:rPr>
          <w:rStyle w:val="libFootnoteAlaemChar"/>
          <w:rtl/>
        </w:rPr>
        <w:t xml:space="preserve">عليه‌السلام </w:t>
      </w:r>
      <w:r w:rsidRPr="00323A39">
        <w:rPr>
          <w:rtl/>
        </w:rPr>
        <w:t xml:space="preserve">في </w:t>
      </w:r>
      <w:r w:rsidRPr="00993B55">
        <w:rPr>
          <w:rStyle w:val="libFootnoteBoldChar"/>
          <w:rtl/>
        </w:rPr>
        <w:t>الكافي</w:t>
      </w:r>
      <w:r w:rsidRPr="00323A39">
        <w:rPr>
          <w:rtl/>
        </w:rPr>
        <w:t xml:space="preserve"> ، ح 1248 و 2113. وتقدّمت أيضاً رواية محمّد بن إسماعيل بن بزيع ، عن صالح بن عقبة ، عن يزيد بن عبدالملك ، عن أبي‌عبدالله </w:t>
      </w:r>
      <w:r w:rsidR="00117575" w:rsidRPr="00117575">
        <w:rPr>
          <w:rStyle w:val="libFootnoteAlaemChar"/>
          <w:rtl/>
        </w:rPr>
        <w:t>عليه‌السلام</w:t>
      </w:r>
      <w:r w:rsidRPr="00323A39">
        <w:rPr>
          <w:rtl/>
        </w:rPr>
        <w:t xml:space="preserve"> في </w:t>
      </w:r>
      <w:r w:rsidRPr="00993B55">
        <w:rPr>
          <w:rStyle w:val="libFootnoteBoldChar"/>
          <w:rtl/>
        </w:rPr>
        <w:t>الكافي</w:t>
      </w:r>
      <w:r w:rsidRPr="00323A39">
        <w:rPr>
          <w:rtl/>
        </w:rPr>
        <w:t xml:space="preserve"> ، ح 2122.</w:t>
      </w:r>
    </w:p>
    <w:p w:rsidR="008A74EB" w:rsidRPr="00C9040A" w:rsidRDefault="008A74EB" w:rsidP="00CD18A6">
      <w:pPr>
        <w:pStyle w:val="libFootnote0"/>
        <w:rPr>
          <w:rtl/>
          <w:lang w:bidi="fa-IR"/>
        </w:rPr>
      </w:pPr>
      <w:r w:rsidRPr="00323A39">
        <w:rPr>
          <w:rtl/>
        </w:rPr>
        <w:t xml:space="preserve">فعليه في السند تحويل بعطف « يزيد بن عبدالملك ، عن أبي‌عبدالله </w:t>
      </w:r>
      <w:r w:rsidR="00117575" w:rsidRPr="00117575">
        <w:rPr>
          <w:rStyle w:val="libFootnoteAlaemChar"/>
          <w:rtl/>
        </w:rPr>
        <w:t xml:space="preserve">عليه‌السلام </w:t>
      </w:r>
      <w:r w:rsidRPr="00323A39">
        <w:rPr>
          <w:rtl/>
        </w:rPr>
        <w:t xml:space="preserve">» على « عبدالله بن محمّد ، عن أبي‌عبدالله </w:t>
      </w:r>
      <w:r w:rsidR="00117575" w:rsidRPr="00117575">
        <w:rPr>
          <w:rStyle w:val="libFootnoteAlaemChar"/>
          <w:rtl/>
        </w:rPr>
        <w:t>عليه‌السلام</w:t>
      </w:r>
      <w:r w:rsidRPr="00323A39">
        <w:rPr>
          <w:rtl/>
        </w:rPr>
        <w:t xml:space="preserve"> ».</w:t>
      </w:r>
      <w:r w:rsidR="00CD18A6">
        <w:rPr>
          <w:rFonts w:hint="cs"/>
          <w:rtl/>
        </w:rPr>
        <w:t xml:space="preserve">               </w:t>
      </w:r>
      <w:r w:rsidR="00B120D5">
        <w:rPr>
          <w:rFonts w:hint="cs"/>
          <w:rtl/>
        </w:rPr>
        <w:t xml:space="preserve">                               </w:t>
      </w:r>
      <w:r w:rsidR="00CD18A6">
        <w:rPr>
          <w:rFonts w:hint="cs"/>
          <w:rtl/>
        </w:rPr>
        <w:t xml:space="preserve">         </w:t>
      </w:r>
      <w:r w:rsidR="006C577F">
        <w:rPr>
          <w:rtl/>
        </w:rPr>
        <w:t>(4).</w:t>
      </w:r>
      <w:r w:rsidRPr="00C9040A">
        <w:rPr>
          <w:rtl/>
        </w:rPr>
        <w:t xml:space="preserve"> في « ب ، د » والوسائل : « بعدل »</w:t>
      </w:r>
      <w:r>
        <w:rPr>
          <w:rtl/>
        </w:rPr>
        <w:t>.</w:t>
      </w:r>
    </w:p>
    <w:tbl>
      <w:tblPr>
        <w:tblStyle w:val="TableGrid"/>
        <w:bidiVisual/>
        <w:tblW w:w="0" w:type="auto"/>
        <w:tblLook w:val="04A0" w:firstRow="1" w:lastRow="0" w:firstColumn="1" w:lastColumn="0" w:noHBand="0" w:noVBand="1"/>
      </w:tblPr>
      <w:tblGrid>
        <w:gridCol w:w="4006"/>
        <w:gridCol w:w="4006"/>
      </w:tblGrid>
      <w:tr w:rsidR="00CD18A6" w:rsidTr="00CD18A6">
        <w:tc>
          <w:tcPr>
            <w:tcW w:w="4006" w:type="dxa"/>
          </w:tcPr>
          <w:p w:rsidR="00CD18A6" w:rsidRDefault="00CD18A6" w:rsidP="004A4E41">
            <w:pPr>
              <w:pStyle w:val="libFootnote0"/>
              <w:rPr>
                <w:rtl/>
              </w:rPr>
            </w:pPr>
            <w:r>
              <w:rPr>
                <w:rtl/>
              </w:rPr>
              <w:t>(5).</w:t>
            </w:r>
            <w:r w:rsidRPr="00C9040A">
              <w:rPr>
                <w:rtl/>
              </w:rPr>
              <w:t xml:space="preserve"> في « ب ، د ، ض » والوسائل : « بعدل »</w:t>
            </w:r>
            <w:r>
              <w:rPr>
                <w:rtl/>
              </w:rPr>
              <w:t>.</w:t>
            </w:r>
          </w:p>
        </w:tc>
        <w:tc>
          <w:tcPr>
            <w:tcW w:w="4006" w:type="dxa"/>
          </w:tcPr>
          <w:p w:rsidR="00CD18A6" w:rsidRDefault="00CD18A6" w:rsidP="004A4E41">
            <w:pPr>
              <w:pStyle w:val="libFootnote0"/>
              <w:rPr>
                <w:rtl/>
              </w:rPr>
            </w:pPr>
            <w:r>
              <w:rPr>
                <w:rtl/>
              </w:rPr>
              <w:t xml:space="preserve">(6). </w:t>
            </w:r>
            <w:r w:rsidRPr="00C9040A">
              <w:rPr>
                <w:rtl/>
              </w:rPr>
              <w:t>في « بر » وحاشية « ز » والوافي : « ينقذهم »</w:t>
            </w:r>
            <w:r>
              <w:rPr>
                <w:rtl/>
              </w:rPr>
              <w:t>.</w:t>
            </w:r>
          </w:p>
        </w:tc>
      </w:tr>
    </w:tbl>
    <w:p w:rsidR="008A74EB" w:rsidRPr="00C9040A" w:rsidRDefault="006C577F" w:rsidP="00D87713">
      <w:pPr>
        <w:pStyle w:val="libFootnote0"/>
        <w:rPr>
          <w:rtl/>
          <w:lang w:bidi="fa-IR"/>
        </w:rPr>
      </w:pPr>
      <w:r>
        <w:rPr>
          <w:rtl/>
        </w:rPr>
        <w:t>(7).</w:t>
      </w:r>
      <w:r w:rsidR="008A74EB" w:rsidRPr="00C9040A">
        <w:rPr>
          <w:rtl/>
        </w:rPr>
        <w:t xml:space="preserve"> </w:t>
      </w:r>
      <w:r w:rsidR="008A74EB" w:rsidRPr="00993B55">
        <w:rPr>
          <w:rStyle w:val="libFootnoteBoldChar"/>
          <w:rtl/>
        </w:rPr>
        <w:t>المحاسن</w:t>
      </w:r>
      <w:r w:rsidR="008A74EB" w:rsidRPr="00C9040A">
        <w:rPr>
          <w:rtl/>
        </w:rPr>
        <w:t xml:space="preserve"> ، ص 393 ، كتاب المآكل ، ح 47 ، بسند آخر ، وتمام الرواية : « ما من مؤمن يطعم م</w:t>
      </w:r>
      <w:r w:rsidR="00D87713">
        <w:rPr>
          <w:rtl/>
        </w:rPr>
        <w:t>ؤمناً موسراً كان أو معسراً إل</w:t>
      </w:r>
      <w:r w:rsidR="00D87713">
        <w:rPr>
          <w:rFonts w:hint="cs"/>
          <w:rtl/>
        </w:rPr>
        <w:t>ّ</w:t>
      </w:r>
      <w:r w:rsidR="00D87713">
        <w:rPr>
          <w:rtl/>
        </w:rPr>
        <w:t>ا</w:t>
      </w:r>
      <w:r w:rsidR="008A74EB" w:rsidRPr="00C9040A">
        <w:rPr>
          <w:rtl/>
        </w:rPr>
        <w:t>كان له بذلك عتق رقبة من ولد إسماعيل »</w:t>
      </w:r>
      <w:r w:rsidR="00D87713">
        <w:rPr>
          <w:rFonts w:hint="cs"/>
          <w:rtl/>
        </w:rPr>
        <w:t>.</w:t>
      </w:r>
      <w:r w:rsidR="008A74EB" w:rsidRPr="00993B55">
        <w:rPr>
          <w:rStyle w:val="libFootnoteBoldChar"/>
          <w:rtl/>
        </w:rPr>
        <w:t>الوافي</w:t>
      </w:r>
      <w:r w:rsidR="008A74EB" w:rsidRPr="00C9040A">
        <w:rPr>
          <w:rtl/>
        </w:rPr>
        <w:t xml:space="preserve"> ، ج 5 ، ص 677 ، ح 2859 ؛ </w:t>
      </w:r>
      <w:r w:rsidR="008A74EB" w:rsidRPr="00993B55">
        <w:rPr>
          <w:rStyle w:val="libFootnoteBoldChar"/>
          <w:rtl/>
        </w:rPr>
        <w:t>الوسائل</w:t>
      </w:r>
      <w:r w:rsidR="008A74EB" w:rsidRPr="00C9040A">
        <w:rPr>
          <w:rtl/>
        </w:rPr>
        <w:t xml:space="preserve"> ، ج 24 ، ص 303 ، ح 30612 ؛ </w:t>
      </w:r>
      <w:r w:rsidR="008A74EB" w:rsidRPr="00993B55">
        <w:rPr>
          <w:rStyle w:val="libFootnoteBoldChar"/>
          <w:rtl/>
        </w:rPr>
        <w:t>البحار</w:t>
      </w:r>
      <w:r w:rsidR="008A74EB" w:rsidRPr="00C9040A">
        <w:rPr>
          <w:rtl/>
        </w:rPr>
        <w:t xml:space="preserve"> ، ج 74 ص 378 ، ح 81.</w:t>
      </w:r>
      <w:r w:rsidR="00D87713">
        <w:rPr>
          <w:rFonts w:hint="cs"/>
          <w:rtl/>
        </w:rPr>
        <w:t xml:space="preserve">        </w:t>
      </w:r>
      <w:r>
        <w:rPr>
          <w:rtl/>
        </w:rPr>
        <w:t>(8).</w:t>
      </w:r>
      <w:r w:rsidR="008A74EB" w:rsidRPr="00C9040A">
        <w:rPr>
          <w:rtl/>
        </w:rPr>
        <w:t xml:space="preserve"> السند معلّق كسابقه.</w:t>
      </w:r>
    </w:p>
    <w:p w:rsidR="008A74EB" w:rsidRPr="00C9040A" w:rsidRDefault="006C577F" w:rsidP="004A4E41">
      <w:pPr>
        <w:pStyle w:val="libFootnote0"/>
        <w:rPr>
          <w:rtl/>
          <w:lang w:bidi="fa-IR"/>
        </w:rPr>
      </w:pPr>
      <w:r>
        <w:rPr>
          <w:rtl/>
        </w:rPr>
        <w:t>(9).</w:t>
      </w:r>
      <w:r w:rsidR="008A74EB" w:rsidRPr="00C9040A">
        <w:rPr>
          <w:rtl/>
        </w:rPr>
        <w:t xml:space="preserve"> في « ب ، ج » : « نضر »</w:t>
      </w:r>
      <w:r w:rsidR="008A74EB">
        <w:rPr>
          <w:rtl/>
        </w:rPr>
        <w:t>.</w:t>
      </w:r>
      <w:r w:rsidR="008A74EB" w:rsidRPr="00C9040A">
        <w:rPr>
          <w:rtl/>
        </w:rPr>
        <w:t xml:space="preserve"> وهو سهو. ونصر هذا ، هو نصر بن قابوس اللَّخْمي. راجع : </w:t>
      </w:r>
      <w:r w:rsidR="008A74EB" w:rsidRPr="00993B55">
        <w:rPr>
          <w:rStyle w:val="libFootnoteBoldChar"/>
          <w:rtl/>
        </w:rPr>
        <w:t>رجال النجاشي</w:t>
      </w:r>
      <w:r w:rsidR="008A74EB" w:rsidRPr="00C9040A">
        <w:rPr>
          <w:rtl/>
        </w:rPr>
        <w:t xml:space="preserve"> ، ص 427 ، الرقم 1146 ؛ </w:t>
      </w:r>
      <w:r w:rsidR="008A74EB" w:rsidRPr="00993B55">
        <w:rPr>
          <w:rStyle w:val="libFootnoteBoldChar"/>
          <w:rtl/>
        </w:rPr>
        <w:t>رجال البرقي</w:t>
      </w:r>
      <w:r w:rsidR="008A74EB" w:rsidRPr="00C9040A">
        <w:rPr>
          <w:rtl/>
        </w:rPr>
        <w:t xml:space="preserve"> ، ص 39.</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حِجَجٍ </w:t>
      </w:r>
      <w:r w:rsidR="006C577F" w:rsidRPr="006C577F">
        <w:rPr>
          <w:rStyle w:val="libFootnotenumChar"/>
          <w:rtl/>
        </w:rPr>
        <w:t>(1)</w:t>
      </w:r>
      <w:r w:rsidRPr="00C9040A">
        <w:rPr>
          <w:rtl/>
          <w:lang w:bidi="fa-IR"/>
        </w:rPr>
        <w:t xml:space="preserve"> »</w:t>
      </w:r>
      <w:r>
        <w:rPr>
          <w:rtl/>
          <w:lang w:bidi="fa-IR"/>
        </w:rPr>
        <w:t>.</w:t>
      </w:r>
    </w:p>
    <w:p w:rsidR="008A74EB" w:rsidRPr="00C9040A" w:rsidRDefault="008A74EB" w:rsidP="008A74EB">
      <w:pPr>
        <w:pStyle w:val="libNormal"/>
        <w:rPr>
          <w:rtl/>
          <w:lang w:bidi="fa-IR"/>
        </w:rPr>
      </w:pPr>
      <w:r w:rsidRPr="00C9040A">
        <w:rPr>
          <w:rtl/>
          <w:lang w:bidi="fa-IR"/>
        </w:rPr>
        <w:t xml:space="preserve">قَالَ : قُلْتُ : عَشْرِ رِقَابٍ وَعَشْرِ حِجَجٍ </w:t>
      </w:r>
      <w:r w:rsidR="006C577F" w:rsidRPr="006C577F">
        <w:rPr>
          <w:rStyle w:val="libFootnotenumChar"/>
          <w:rtl/>
        </w:rPr>
        <w:t>(2)</w:t>
      </w:r>
      <w:r>
        <w:rPr>
          <w:rtl/>
          <w:lang w:bidi="fa-IR"/>
        </w:rPr>
        <w:t>؟!</w:t>
      </w:r>
    </w:p>
    <w:p w:rsidR="008A74EB" w:rsidRPr="00C9040A" w:rsidRDefault="008A74EB" w:rsidP="008A74EB">
      <w:pPr>
        <w:pStyle w:val="libNormal"/>
        <w:rPr>
          <w:rtl/>
          <w:lang w:bidi="fa-IR"/>
        </w:rPr>
      </w:pPr>
      <w:r w:rsidRPr="00C9040A">
        <w:rPr>
          <w:rtl/>
          <w:lang w:bidi="fa-IR"/>
        </w:rPr>
        <w:t xml:space="preserve">قَالَ : فَقَالَ : « يَا نَصْرُ ، إِنْ لَمْ تُطْعِمُوهُ مَاتَ ، أَوْ </w:t>
      </w:r>
      <w:r w:rsidR="006C577F" w:rsidRPr="006C577F">
        <w:rPr>
          <w:rStyle w:val="libFootnotenumChar"/>
          <w:rtl/>
        </w:rPr>
        <w:t>(3)</w:t>
      </w:r>
      <w:r w:rsidRPr="00C9040A">
        <w:rPr>
          <w:rtl/>
          <w:lang w:bidi="fa-IR"/>
        </w:rPr>
        <w:t xml:space="preserve"> تُذِلُّونَهُ </w:t>
      </w:r>
      <w:r w:rsidR="006C577F" w:rsidRPr="006C577F">
        <w:rPr>
          <w:rStyle w:val="libFootnotenumChar"/>
          <w:rtl/>
        </w:rPr>
        <w:t>(4)</w:t>
      </w:r>
      <w:r w:rsidRPr="00C9040A">
        <w:rPr>
          <w:rtl/>
          <w:lang w:bidi="fa-IR"/>
        </w:rPr>
        <w:t xml:space="preserve"> فَيَجِي‌ءُ </w:t>
      </w:r>
      <w:r w:rsidR="006C577F" w:rsidRPr="006C577F">
        <w:rPr>
          <w:rStyle w:val="libFootnotenumChar"/>
          <w:rtl/>
        </w:rPr>
        <w:t>(5)</w:t>
      </w:r>
      <w:r w:rsidRPr="00C9040A">
        <w:rPr>
          <w:rtl/>
          <w:lang w:bidi="fa-IR"/>
        </w:rPr>
        <w:t xml:space="preserve"> إِلى نَاصِبٍ فَيَسْأَلُهُ ، وَالْمَوْتُ خَيْرٌ لَهُ مِنْ مَسْأَلَةِ نَاصِبٍ ؛ يَا نَصْرُ ، مَنْ أَحْيَا مُؤْمِناً فَكَأَنَّمَا أَحْيَا النَّاسَ جَمِيعاً ، فَإِنْ لَمْ تُطْعِمُوهُ فَقَدْ أَمَتُّمُوهُ ، وَإِنْ </w:t>
      </w:r>
      <w:r w:rsidR="006C577F" w:rsidRPr="006C577F">
        <w:rPr>
          <w:rStyle w:val="libFootnotenumChar"/>
          <w:rtl/>
        </w:rPr>
        <w:t>(6)</w:t>
      </w:r>
      <w:r w:rsidRPr="005B567D">
        <w:rPr>
          <w:rStyle w:val="libFootnotenumChar"/>
          <w:rtl/>
        </w:rPr>
        <w:t xml:space="preserve"> </w:t>
      </w:r>
      <w:r w:rsidRPr="00C9040A">
        <w:rPr>
          <w:rtl/>
          <w:lang w:bidi="fa-IR"/>
        </w:rPr>
        <w:t>أَطْعَمْتُمُوهُ فَقَدْ أَحْيَيْتُمُوهُ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r w:rsidRPr="00C9040A">
        <w:t>‌</w:t>
      </w:r>
    </w:p>
    <w:p w:rsidR="008A74EB" w:rsidRPr="00C9040A" w:rsidRDefault="008A74EB" w:rsidP="008A74EB">
      <w:pPr>
        <w:pStyle w:val="Heading2Center"/>
        <w:rPr>
          <w:rtl/>
          <w:lang w:bidi="fa-IR"/>
        </w:rPr>
      </w:pPr>
      <w:bookmarkStart w:id="271" w:name="_Toc343795678"/>
      <w:bookmarkStart w:id="272" w:name="_Toc459810802"/>
      <w:bookmarkStart w:id="273" w:name="_Toc35348708"/>
      <w:r w:rsidRPr="00C9040A">
        <w:rPr>
          <w:rtl/>
          <w:lang w:bidi="fa-IR"/>
        </w:rPr>
        <w:t>87</w:t>
      </w:r>
      <w:r>
        <w:rPr>
          <w:rtl/>
          <w:lang w:bidi="fa-IR"/>
        </w:rPr>
        <w:t xml:space="preserve"> </w:t>
      </w:r>
      <w:r w:rsidR="0084262C">
        <w:rPr>
          <w:rtl/>
          <w:lang w:bidi="fa-IR"/>
        </w:rPr>
        <w:t>-</w:t>
      </w:r>
      <w:r>
        <w:rPr>
          <w:rtl/>
          <w:lang w:bidi="fa-IR"/>
        </w:rPr>
        <w:t xml:space="preserve"> </w:t>
      </w:r>
      <w:r w:rsidRPr="00C9040A">
        <w:rPr>
          <w:rtl/>
          <w:lang w:bidi="fa-IR"/>
        </w:rPr>
        <w:t>بَابُ مَنْ كَسَا مُؤْمِناً‌</w:t>
      </w:r>
      <w:bookmarkEnd w:id="271"/>
      <w:bookmarkEnd w:id="272"/>
      <w:bookmarkEnd w:id="273"/>
    </w:p>
    <w:p w:rsidR="008A74EB" w:rsidRPr="00C9040A" w:rsidRDefault="008A74EB" w:rsidP="008A74EB">
      <w:pPr>
        <w:pStyle w:val="libNormal"/>
        <w:rPr>
          <w:rtl/>
          <w:lang w:bidi="fa-IR"/>
        </w:rPr>
      </w:pPr>
      <w:r w:rsidRPr="00A571BB">
        <w:rPr>
          <w:rtl/>
        </w:rPr>
        <w:t>2194</w:t>
      </w:r>
      <w:r w:rsidRPr="00261CB0">
        <w:rPr>
          <w:rStyle w:val="libBold2Char"/>
          <w:rtl/>
        </w:rPr>
        <w:t xml:space="preserve"> / 1.</w:t>
      </w:r>
      <w:r w:rsidRPr="00C9040A">
        <w:rPr>
          <w:rtl/>
          <w:lang w:bidi="fa-IR"/>
        </w:rPr>
        <w:t xml:space="preserve"> مُحَمَّدُ بْنُ يَحْيى ، عَنْ أَحْمَدَ بْنِ مُحَمَّدِ بْنِ عِيسى ، عَنْ عُمَرَ بْنِ عَبْدِ الْعَزِيزِ ، عَنْ جَمِيلِ بْنِ دَرَّاجٍ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مَنْ كَسَا أَخَاهُ كِسْوَةَ شِتَاءٍ أَوْ صَيْفٍ </w:t>
      </w:r>
      <w:r w:rsidR="006C577F" w:rsidRPr="006C577F">
        <w:rPr>
          <w:rStyle w:val="libFootnotenumChar"/>
          <w:rtl/>
        </w:rPr>
        <w:t>(8)</w:t>
      </w:r>
      <w:r w:rsidRPr="00C9040A">
        <w:rPr>
          <w:rtl/>
          <w:lang w:bidi="fa-IR"/>
        </w:rPr>
        <w:t xml:space="preserve"> ، كَانَ حَقّاً عَلَى اللهِ أَنْ يَكْسُوَهُ مِنْ ثِيَابِ الْجَنَّةِ ، وَأَنْ يُهَوِّنَ عَلَيْهِ </w:t>
      </w:r>
      <w:r w:rsidR="006C577F" w:rsidRPr="006C577F">
        <w:rPr>
          <w:rStyle w:val="libFootnotenumChar"/>
          <w:rtl/>
        </w:rPr>
        <w:t>(9)</w:t>
      </w:r>
      <w:r w:rsidRPr="00C9040A">
        <w:rPr>
          <w:rtl/>
          <w:lang w:bidi="fa-IR"/>
        </w:rPr>
        <w:t xml:space="preserve"> سَكَرَاتِ الْمَوْتِ ، وَأَنْ يُوَسِّعَ عَلَيْهِ فِي </w:t>
      </w:r>
      <w:r w:rsidR="006C577F" w:rsidRPr="006C577F">
        <w:rPr>
          <w:rStyle w:val="libFootnotenumChar"/>
          <w:rtl/>
        </w:rPr>
        <w:t>(10)</w:t>
      </w:r>
      <w:r w:rsidRPr="00C9040A">
        <w:rPr>
          <w:rtl/>
          <w:lang w:bidi="fa-IR"/>
        </w:rPr>
        <w:t xml:space="preserve"> قَبْرِهِ ، وَأَنْ يَلْقَى </w:t>
      </w:r>
      <w:r w:rsidR="006C577F" w:rsidRPr="006C577F">
        <w:rPr>
          <w:rStyle w:val="libFootnotenumChar"/>
          <w:rtl/>
        </w:rPr>
        <w:t>(11)</w:t>
      </w:r>
      <w:r w:rsidRPr="00C9040A">
        <w:rPr>
          <w:rtl/>
          <w:lang w:bidi="fa-IR"/>
        </w:rPr>
        <w:t xml:space="preserve"> الْمَلَائِكَةَ إِذَا خَرَجَ مِنْ قَبْرِهِ بِالْبُشْرى ، وَهُوَ قَوْلُ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فِي‌</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D87713" w:rsidTr="00D87713">
        <w:tc>
          <w:tcPr>
            <w:tcW w:w="4006" w:type="dxa"/>
          </w:tcPr>
          <w:p w:rsidR="00D87713" w:rsidRDefault="00D87713" w:rsidP="004A4E41">
            <w:pPr>
              <w:pStyle w:val="libFootnote0"/>
              <w:rPr>
                <w:rtl/>
              </w:rPr>
            </w:pPr>
            <w:r>
              <w:rPr>
                <w:rtl/>
              </w:rPr>
              <w:t xml:space="preserve">(1). </w:t>
            </w:r>
            <w:r w:rsidRPr="00C9040A">
              <w:rPr>
                <w:rtl/>
              </w:rPr>
              <w:t>في « ف » : « حجّ »</w:t>
            </w:r>
            <w:r>
              <w:rPr>
                <w:rtl/>
              </w:rPr>
              <w:t>.</w:t>
            </w:r>
          </w:p>
        </w:tc>
        <w:tc>
          <w:tcPr>
            <w:tcW w:w="4006" w:type="dxa"/>
          </w:tcPr>
          <w:p w:rsidR="00D87713" w:rsidRDefault="00D87713" w:rsidP="004A4E41">
            <w:pPr>
              <w:pStyle w:val="libFootnote0"/>
              <w:rPr>
                <w:rtl/>
              </w:rPr>
            </w:pPr>
            <w:r>
              <w:rPr>
                <w:rtl/>
              </w:rPr>
              <w:t xml:space="preserve">(2). </w:t>
            </w:r>
            <w:r w:rsidRPr="00C9040A">
              <w:rPr>
                <w:rtl/>
              </w:rPr>
              <w:t>في « ف » : « حجّ »</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في « ف » : « </w:t>
      </w:r>
      <w:r w:rsidR="008A74EB">
        <w:rPr>
          <w:rtl/>
        </w:rPr>
        <w:t>و ».</w:t>
      </w:r>
    </w:p>
    <w:p w:rsidR="008A74EB" w:rsidRPr="00C9040A" w:rsidRDefault="006C577F" w:rsidP="005C6F61">
      <w:pPr>
        <w:pStyle w:val="libFootnote0"/>
        <w:rPr>
          <w:rtl/>
          <w:lang w:bidi="fa-IR"/>
        </w:rPr>
      </w:pPr>
      <w:r>
        <w:rPr>
          <w:rtl/>
        </w:rPr>
        <w:t>(4).</w:t>
      </w:r>
      <w:r w:rsidR="008A74EB" w:rsidRPr="00C9040A">
        <w:rPr>
          <w:rtl/>
        </w:rPr>
        <w:t xml:space="preserve"> هكذا في « ب ، ج ، د ، ز ، ص ، ض ، ف ، بس ، بف » والوافي. وفي « بر » والمطبوع والبحار : « تدلونه » من دلوته وأدليته ، أي‌أرسلته. واختاره المازندراني في شرحه. وفي </w:t>
      </w:r>
      <w:r w:rsidR="008A74EB" w:rsidRPr="00993B55">
        <w:rPr>
          <w:rStyle w:val="libFootnoteBoldChar"/>
          <w:rtl/>
        </w:rPr>
        <w:t>مرآة العقول</w:t>
      </w:r>
      <w:r w:rsidR="008A74EB" w:rsidRPr="00C9040A">
        <w:rPr>
          <w:rtl/>
        </w:rPr>
        <w:t xml:space="preserve"> : « كأنّ الظاهر حينئذٍ : « أو تذلّوه » للعطف على الجزاء ، ولذا قرأ بعضهم بفتح الواو على الاستفهام الإنكاري. </w:t>
      </w:r>
      <w:r w:rsidR="008A74EB">
        <w:rPr>
          <w:rtl/>
        </w:rPr>
        <w:t>و «</w:t>
      </w:r>
      <w:r w:rsidR="008A74EB" w:rsidRPr="00C9040A">
        <w:rPr>
          <w:rtl/>
        </w:rPr>
        <w:t xml:space="preserve"> تدلّونه » بالدال المهملة واللام المشدّدة من الدلالة »</w:t>
      </w:r>
      <w:r w:rsidR="008A74EB">
        <w:rPr>
          <w:rtl/>
        </w:rPr>
        <w:t>.</w:t>
      </w:r>
      <w:r w:rsidR="005C6F61">
        <w:rPr>
          <w:rFonts w:hint="cs"/>
          <w:rtl/>
        </w:rPr>
        <w:t xml:space="preserve">                                              </w:t>
      </w:r>
      <w:r>
        <w:rPr>
          <w:rtl/>
        </w:rPr>
        <w:t>(5).</w:t>
      </w:r>
      <w:r w:rsidR="005C6F61">
        <w:rPr>
          <w:rtl/>
        </w:rPr>
        <w:t xml:space="preserve"> في «ب ،ج»وحاشية«ص،ض،ف»والبحار :«فيأتي</w:t>
      </w:r>
      <w:r w:rsidR="008A74EB" w:rsidRPr="00C9040A">
        <w:rPr>
          <w:rtl/>
        </w:rPr>
        <w:t>»</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البحار : « فإن »</w:t>
      </w:r>
      <w:r w:rsidR="008A74EB">
        <w:rPr>
          <w:rtl/>
        </w:rPr>
        <w:t>.</w:t>
      </w:r>
    </w:p>
    <w:p w:rsidR="008A74EB" w:rsidRPr="00C9040A" w:rsidRDefault="006C577F" w:rsidP="005C6F61">
      <w:pPr>
        <w:pStyle w:val="libFootnote0"/>
        <w:rPr>
          <w:rtl/>
          <w:lang w:bidi="fa-IR"/>
        </w:rPr>
      </w:pPr>
      <w:r>
        <w:rPr>
          <w:rtl/>
        </w:rPr>
        <w:t>(7).</w:t>
      </w:r>
      <w:r w:rsidR="008A74EB" w:rsidRPr="00C9040A">
        <w:rPr>
          <w:rtl/>
        </w:rPr>
        <w:t xml:space="preserve"> راجع : </w:t>
      </w:r>
      <w:r w:rsidR="008A74EB" w:rsidRPr="00993B55">
        <w:rPr>
          <w:rStyle w:val="libFootnoteBoldChar"/>
          <w:rtl/>
        </w:rPr>
        <w:t>الكافي</w:t>
      </w:r>
      <w:r w:rsidR="008A74EB" w:rsidRPr="00C9040A">
        <w:rPr>
          <w:rtl/>
        </w:rPr>
        <w:t xml:space="preserve"> ، كتاب الزكاة ، باب سقي الماء ، ح 6233</w:t>
      </w:r>
      <w:r w:rsidR="005C6F61">
        <w:rPr>
          <w:rFonts w:hint="cs"/>
          <w:rtl/>
        </w:rPr>
        <w:t>.</w:t>
      </w:r>
      <w:r w:rsidR="008A74EB" w:rsidRPr="00993B55">
        <w:rPr>
          <w:rStyle w:val="libFootnoteBoldChar"/>
          <w:rtl/>
        </w:rPr>
        <w:t>الوافي</w:t>
      </w:r>
      <w:r w:rsidR="008A74EB" w:rsidRPr="00C9040A">
        <w:rPr>
          <w:rtl/>
        </w:rPr>
        <w:t xml:space="preserve"> ، ج 5 ، ص 678 ، ح 2860 ؛ </w:t>
      </w:r>
      <w:r w:rsidR="008A74EB" w:rsidRPr="00993B55">
        <w:rPr>
          <w:rStyle w:val="libFootnoteBoldChar"/>
          <w:rtl/>
        </w:rPr>
        <w:t>الوسائل</w:t>
      </w:r>
      <w:r w:rsidR="008A74EB" w:rsidRPr="00C9040A">
        <w:rPr>
          <w:rtl/>
        </w:rPr>
        <w:t xml:space="preserve"> ، ج 24 ، ص 303 ، ح 30613 ؛ </w:t>
      </w:r>
      <w:r w:rsidR="008A74EB" w:rsidRPr="00993B55">
        <w:rPr>
          <w:rStyle w:val="libFootnoteBoldChar"/>
          <w:rtl/>
        </w:rPr>
        <w:t>البحار</w:t>
      </w:r>
      <w:r w:rsidR="008A74EB" w:rsidRPr="00C9040A">
        <w:rPr>
          <w:rtl/>
        </w:rPr>
        <w:t xml:space="preserve"> ، ج 74 ، ص 379 ، ح 82.</w:t>
      </w:r>
    </w:p>
    <w:p w:rsidR="008A74EB" w:rsidRPr="00C9040A" w:rsidRDefault="006C577F" w:rsidP="004A4E41">
      <w:pPr>
        <w:pStyle w:val="libFootnote0"/>
        <w:rPr>
          <w:rtl/>
          <w:lang w:bidi="fa-IR"/>
        </w:rPr>
      </w:pPr>
      <w:r>
        <w:rPr>
          <w:rtl/>
        </w:rPr>
        <w:t>(8).</w:t>
      </w:r>
      <w:r w:rsidR="008A74EB" w:rsidRPr="00C9040A">
        <w:rPr>
          <w:rtl/>
        </w:rPr>
        <w:t xml:space="preserve"> في « ف » : « صيفاً »</w:t>
      </w:r>
      <w:r w:rsidR="008A74EB">
        <w:rPr>
          <w:rtl/>
        </w:rPr>
        <w:t>.</w:t>
      </w:r>
      <w:r w:rsidR="008A74EB" w:rsidRPr="00C9040A">
        <w:rPr>
          <w:rtl/>
        </w:rPr>
        <w:t xml:space="preserve"> والنصب على الظرفيّة.</w:t>
      </w:r>
    </w:p>
    <w:p w:rsidR="008A74EB" w:rsidRPr="00C9040A" w:rsidRDefault="006C577F" w:rsidP="004A4E41">
      <w:pPr>
        <w:pStyle w:val="libFootnote0"/>
        <w:rPr>
          <w:rtl/>
          <w:lang w:bidi="fa-IR"/>
        </w:rPr>
      </w:pPr>
      <w:r>
        <w:rPr>
          <w:rtl/>
        </w:rPr>
        <w:t>(9).</w:t>
      </w:r>
      <w:r w:rsidR="008A74EB" w:rsidRPr="00C9040A">
        <w:rPr>
          <w:rtl/>
        </w:rPr>
        <w:t xml:space="preserve"> في « ب ، ج ، د ، ز ، ص ، ض ، ف ، بر » وشرح المازندراني والوافي والوسائل والمصادقة : + « من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 ب » </w:t>
      </w:r>
      <w:r w:rsidR="008A74EB">
        <w:rPr>
          <w:rtl/>
        </w:rPr>
        <w:t xml:space="preserve">: </w:t>
      </w:r>
      <w:r w:rsidR="0084262C">
        <w:rPr>
          <w:rtl/>
        </w:rPr>
        <w:t>-</w:t>
      </w:r>
      <w:r w:rsidR="008A74EB" w:rsidRPr="00C9040A">
        <w:rPr>
          <w:rtl/>
        </w:rPr>
        <w:t xml:space="preserve"> « في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في « ض » : « أن تلقّى »</w:t>
      </w:r>
      <w:r w:rsidR="008A74EB">
        <w:rPr>
          <w:rtl/>
        </w:rPr>
        <w:t>.</w:t>
      </w:r>
      <w:r w:rsidR="008A74EB" w:rsidRPr="00C9040A">
        <w:rPr>
          <w:rtl/>
        </w:rPr>
        <w:t xml:space="preserve"> واحتمل المجلسي كون « الملائكة » مرفوعاً والمفعول محذوفاً. وقال : « يمكن أن </w:t>
      </w:r>
      <w:r w:rsidR="005C6F61">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كِتَابِهِ : </w:t>
      </w:r>
      <w:r w:rsidRPr="0003660B">
        <w:rPr>
          <w:rStyle w:val="libAlaemChar"/>
          <w:rtl/>
        </w:rPr>
        <w:t>(</w:t>
      </w:r>
      <w:r w:rsidRPr="006A2246">
        <w:rPr>
          <w:rStyle w:val="libAieChar"/>
          <w:rtl/>
        </w:rPr>
        <w:t xml:space="preserve"> وَتَتَلَقّاهُمُ الْمَلائِكَةُ هذا يَوْمُكُمُ الَّذِي كُنْتُمْ تُوعَدُونَ </w:t>
      </w:r>
      <w:r w:rsidRPr="0003660B">
        <w:rPr>
          <w:rStyle w:val="libAlaemChar"/>
          <w:rtl/>
        </w:rPr>
        <w:t>)</w:t>
      </w:r>
      <w:r w:rsidRPr="00C9040A">
        <w:rPr>
          <w:rtl/>
          <w:lang w:bidi="fa-IR"/>
        </w:rPr>
        <w:t xml:space="preserve"> </w:t>
      </w:r>
      <w:r w:rsidR="006C577F" w:rsidRPr="006C577F">
        <w:rPr>
          <w:rStyle w:val="libFootnotenumChar"/>
          <w:rtl/>
        </w:rPr>
        <w:t>(1)</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A571BB">
        <w:rPr>
          <w:rtl/>
        </w:rPr>
        <w:t>2195</w:t>
      </w:r>
      <w:r w:rsidRPr="00261CB0">
        <w:rPr>
          <w:rStyle w:val="libBold2Char"/>
          <w:rtl/>
        </w:rPr>
        <w:t xml:space="preserve"> / 2.</w:t>
      </w:r>
      <w:r w:rsidRPr="00C9040A">
        <w:rPr>
          <w:rtl/>
          <w:lang w:bidi="fa-IR"/>
        </w:rPr>
        <w:t xml:space="preserve"> عَنْهُ ، عَنْ أَحْمَدَ بْنِ مُحَمَّدٍ ، عَنْ بَكْرِ بْنِ صَالِحٍ ، عَنِ الْحَسَنِ بْنِ عَلِيٍّ ، عَنْ عَبْدِ اللهِ بْنِ جَعْفَرِ بْنِ إِبْرَاهِيمَ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مَنْ كَسَا أَحَداً مِنْ فُقَرَاءِ الْمُسْلِمِينَ ثَوْباً مِنْ عُرْيٍ ، أَوْ أَعَانَهُ بِشَيْ‌ءٍ مِمَّا يُقَوِّيهِ </w:t>
      </w:r>
      <w:r w:rsidR="006C577F" w:rsidRPr="006C577F">
        <w:rPr>
          <w:rStyle w:val="libFootnotenumChar"/>
          <w:rtl/>
        </w:rPr>
        <w:t>(3)</w:t>
      </w:r>
      <w:r w:rsidRPr="00C9040A">
        <w:rPr>
          <w:rtl/>
          <w:lang w:bidi="fa-IR"/>
        </w:rPr>
        <w:t xml:space="preserve"> مِنْ </w:t>
      </w:r>
      <w:r w:rsidR="006C577F" w:rsidRPr="006C577F">
        <w:rPr>
          <w:rStyle w:val="libFootnotenumChar"/>
          <w:rtl/>
        </w:rPr>
        <w:t>(4)</w:t>
      </w:r>
      <w:r w:rsidRPr="00C9040A">
        <w:rPr>
          <w:rtl/>
          <w:lang w:bidi="fa-IR"/>
        </w:rPr>
        <w:t xml:space="preserve"> مَعِيشَتِهِ </w:t>
      </w:r>
      <w:r w:rsidR="006C577F" w:rsidRPr="006C577F">
        <w:rPr>
          <w:rStyle w:val="libFootnotenumChar"/>
          <w:rtl/>
        </w:rPr>
        <w:t>(5)</w:t>
      </w:r>
      <w:r w:rsidRPr="00C9040A">
        <w:rPr>
          <w:rtl/>
          <w:lang w:bidi="fa-IR"/>
        </w:rPr>
        <w:t xml:space="preserve"> ، وَكَّلَ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بِهِ سَبْعَةَ آلَافِ مَلَكٍ مِنَ الْمَلَائِكَةِ يَسْتَغْفِرُونَ </w:t>
      </w:r>
      <w:r w:rsidR="006C577F" w:rsidRPr="006C577F">
        <w:rPr>
          <w:rStyle w:val="libFootnotenumChar"/>
          <w:rtl/>
        </w:rPr>
        <w:t>(6)</w:t>
      </w:r>
      <w:r w:rsidRPr="005B567D">
        <w:rPr>
          <w:rStyle w:val="libFootnotenumChar"/>
          <w:rtl/>
        </w:rPr>
        <w:t xml:space="preserve"> </w:t>
      </w:r>
      <w:r w:rsidRPr="00C9040A">
        <w:rPr>
          <w:rtl/>
          <w:lang w:bidi="fa-IR"/>
        </w:rPr>
        <w:t>لِكُلِّ ذَنْبٍ عَمِلَهُ إِلى أَنْ يُنْفَخَ فِي الصُّورِ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A571BB">
        <w:rPr>
          <w:rtl/>
        </w:rPr>
        <w:t>2196</w:t>
      </w:r>
      <w:r w:rsidRPr="00261CB0">
        <w:rPr>
          <w:rStyle w:val="libBold2Char"/>
          <w:rtl/>
        </w:rPr>
        <w:t xml:space="preserve"> / 3.</w:t>
      </w:r>
      <w:r w:rsidRPr="00C9040A">
        <w:rPr>
          <w:rtl/>
          <w:lang w:bidi="fa-IR"/>
        </w:rPr>
        <w:t xml:space="preserve"> مُحَمَّدُ بْنُ يَحْيى ، عَنْ أَحْمَدَ بْنِ مُحَمَّدٍ ، عَنْ صَفْوَانَ </w:t>
      </w:r>
      <w:r w:rsidR="006C577F" w:rsidRPr="006C577F">
        <w:rPr>
          <w:rStyle w:val="libFootnotenumChar"/>
          <w:rtl/>
        </w:rPr>
        <w:t>(8)</w:t>
      </w:r>
      <w:r w:rsidRPr="00C9040A">
        <w:rPr>
          <w:rtl/>
          <w:lang w:bidi="fa-IR"/>
        </w:rPr>
        <w:t xml:space="preserve"> ، عَنْ أَبِي حَمْزَةَ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مَنْ كَسَا أَحَداً مِنْ فُقَرَاءِ الْمُسْلِمِينَ ثَوْباً مِنْ عُرْيٍ ، أَوْ أَعَانَهُ بِشَيْ‌ءٍ مِمَّا يُقَوِّيهِ </w:t>
      </w:r>
      <w:r w:rsidR="006C577F" w:rsidRPr="006C577F">
        <w:rPr>
          <w:rStyle w:val="libFootnotenumChar"/>
          <w:rtl/>
        </w:rPr>
        <w:t>(9)</w:t>
      </w:r>
      <w:r w:rsidRPr="00C9040A">
        <w:rPr>
          <w:rtl/>
          <w:lang w:bidi="fa-IR"/>
        </w:rPr>
        <w:t xml:space="preserve"> مِنْ </w:t>
      </w:r>
      <w:r w:rsidR="006C577F" w:rsidRPr="006C577F">
        <w:rPr>
          <w:rStyle w:val="libFootnotenumChar"/>
          <w:rtl/>
        </w:rPr>
        <w:t>(10)</w:t>
      </w:r>
      <w:r w:rsidRPr="00C9040A">
        <w:rPr>
          <w:rtl/>
          <w:lang w:bidi="fa-IR"/>
        </w:rPr>
        <w:t xml:space="preserve"> مَعِيشَتِهِ </w:t>
      </w:r>
      <w:r w:rsidR="006C577F" w:rsidRPr="006C577F">
        <w:rPr>
          <w:rStyle w:val="libFootnotenumChar"/>
          <w:rtl/>
        </w:rPr>
        <w:t>(11)</w:t>
      </w:r>
      <w:r w:rsidRPr="00C9040A">
        <w:rPr>
          <w:rtl/>
          <w:lang w:bidi="fa-IR"/>
        </w:rPr>
        <w:t xml:space="preserve"> ، وَكَّلَ اللهُ</w:t>
      </w:r>
      <w:r>
        <w:rPr>
          <w:rtl/>
          <w:lang w:bidi="fa-IR"/>
        </w:rPr>
        <w:t xml:space="preserve"> </w:t>
      </w:r>
      <w:r w:rsidR="0084262C">
        <w:rPr>
          <w:rtl/>
          <w:lang w:bidi="fa-IR"/>
        </w:rPr>
        <w:t>-</w:t>
      </w:r>
      <w:r>
        <w:rPr>
          <w:rtl/>
          <w:lang w:bidi="fa-IR"/>
        </w:rPr>
        <w:t xml:space="preserve"> </w:t>
      </w:r>
      <w:r w:rsidRPr="00C9040A">
        <w:rPr>
          <w:rtl/>
          <w:lang w:bidi="fa-IR"/>
        </w:rPr>
        <w:t xml:space="preserve">عَزَّ وَجَلَّ بِهِ </w:t>
      </w:r>
      <w:r w:rsidR="006C577F" w:rsidRPr="006C577F">
        <w:rPr>
          <w:rStyle w:val="libFootnotenumChar"/>
          <w:rtl/>
        </w:rPr>
        <w:t>(12)</w:t>
      </w:r>
      <w:r w:rsidRPr="00C9040A">
        <w:rPr>
          <w:rtl/>
          <w:lang w:bidi="fa-IR"/>
        </w:rPr>
        <w:t xml:space="preserve"> سَبْعِينَ أَلْفَ مَلَكٍ مِنَ الْمَلَائِكَةِ يَسْتَغْفِرُونَ </w:t>
      </w:r>
      <w:r w:rsidRPr="005B567D">
        <w:rPr>
          <w:rStyle w:val="libFootnotenumChar"/>
          <w:rtl/>
        </w:rPr>
        <w:t>(13)</w:t>
      </w:r>
      <w:r w:rsidRPr="00C9040A">
        <w:rPr>
          <w:rtl/>
          <w:lang w:bidi="fa-IR"/>
        </w:rPr>
        <w:t xml:space="preserve"> لِكُلِّ ذَنْبٍ عَمِلَهُ إِلى أَنْ يُنْفَخَ فِي الصُّورِ »</w:t>
      </w:r>
      <w:r>
        <w:rPr>
          <w:rtl/>
          <w:lang w:bidi="fa-IR"/>
        </w:rPr>
        <w:t>.</w:t>
      </w:r>
      <w:r w:rsidRPr="00C9040A">
        <w:rPr>
          <w:rtl/>
          <w:lang w:bidi="fa-IR"/>
        </w:rPr>
        <w:t xml:space="preserve"> </w:t>
      </w:r>
      <w:r w:rsidRPr="005B567D">
        <w:rPr>
          <w:rStyle w:val="libFootnotenumChar"/>
          <w:rtl/>
        </w:rPr>
        <w:t>(14)</w:t>
      </w:r>
      <w:r w:rsidRPr="00C9040A">
        <w:rPr>
          <w:rtl/>
          <w:lang w:bidi="fa-IR"/>
        </w:rPr>
        <w:t xml:space="preserve"> ‌</w:t>
      </w:r>
    </w:p>
    <w:p w:rsidR="008A74EB" w:rsidRPr="00C9040A" w:rsidRDefault="008A74EB" w:rsidP="008A74EB">
      <w:pPr>
        <w:pStyle w:val="libNormal"/>
        <w:rPr>
          <w:rtl/>
          <w:lang w:bidi="fa-IR"/>
        </w:rPr>
      </w:pPr>
      <w:r w:rsidRPr="00A571BB">
        <w:rPr>
          <w:rtl/>
        </w:rPr>
        <w:t>2197</w:t>
      </w:r>
      <w:r w:rsidRPr="00261CB0">
        <w:rPr>
          <w:rStyle w:val="libBold2Char"/>
          <w:rtl/>
        </w:rPr>
        <w:t xml:space="preserve"> / 4.</w:t>
      </w:r>
      <w:r w:rsidRPr="00C9040A">
        <w:rPr>
          <w:rtl/>
          <w:lang w:bidi="fa-IR"/>
        </w:rPr>
        <w:t xml:space="preserve"> عَلِيُّ بْنُ إِبْرَاهِيمَ ، عَنْ أَبِيهِ ، عَنْ حَمَّادِ بْنِ عِيسى ، عَنْ إِبْرَاهِيمَ بْنِ عُمَرَ ، عَنْ‌</w:t>
      </w:r>
    </w:p>
    <w:p w:rsidR="008A74EB" w:rsidRPr="00C9040A" w:rsidRDefault="008A74EB" w:rsidP="008A74EB">
      <w:pPr>
        <w:pStyle w:val="libLine"/>
        <w:rPr>
          <w:rtl/>
          <w:lang w:bidi="fa-IR"/>
        </w:rPr>
      </w:pPr>
      <w:r w:rsidRPr="00C9040A">
        <w:rPr>
          <w:rtl/>
          <w:lang w:bidi="fa-IR"/>
        </w:rPr>
        <w:t>__________________</w:t>
      </w:r>
    </w:p>
    <w:p w:rsidR="008A74EB" w:rsidRPr="00C9040A" w:rsidRDefault="009B637A" w:rsidP="009B637A">
      <w:pPr>
        <w:pStyle w:val="libFootnote0"/>
        <w:rPr>
          <w:rtl/>
          <w:lang w:bidi="fa-IR"/>
        </w:rPr>
      </w:pPr>
      <w:r>
        <w:rPr>
          <w:rFonts w:hint="cs"/>
          <w:rtl/>
        </w:rPr>
        <w:t xml:space="preserve">= </w:t>
      </w:r>
      <w:r w:rsidR="008A74EB" w:rsidRPr="00C9040A">
        <w:rPr>
          <w:rtl/>
        </w:rPr>
        <w:t>يقرأ</w:t>
      </w:r>
      <w:r w:rsidR="008A74EB">
        <w:rPr>
          <w:rtl/>
        </w:rPr>
        <w:t xml:space="preserve"> ..</w:t>
      </w:r>
      <w:r w:rsidR="008A74EB" w:rsidRPr="00C9040A">
        <w:rPr>
          <w:rtl/>
        </w:rPr>
        <w:t>. من باب التفعيل ، والمستتر راجع إلى الله ، والمفعول الأوّل محذوف ، ومفعوله الثاني الملائكة »</w:t>
      </w:r>
      <w:r w:rsidR="008A74EB">
        <w:rPr>
          <w:rtl/>
        </w:rPr>
        <w:t>.</w:t>
      </w:r>
      <w:r w:rsidR="008A74EB" w:rsidRPr="00C9040A">
        <w:rPr>
          <w:rtl/>
        </w:rPr>
        <w:t xml:space="preserve"> راجع : </w:t>
      </w:r>
      <w:r w:rsidR="008A74EB" w:rsidRPr="00993B55">
        <w:rPr>
          <w:rStyle w:val="libFootnoteBoldChar"/>
          <w:rtl/>
        </w:rPr>
        <w:t>مرآة العقول</w:t>
      </w:r>
      <w:r w:rsidR="008A74EB" w:rsidRPr="00C9040A">
        <w:rPr>
          <w:rtl/>
        </w:rPr>
        <w:t xml:space="preserve"> ، ج 9 ، ص 133.</w:t>
      </w:r>
      <w:r>
        <w:rPr>
          <w:rFonts w:hint="cs"/>
          <w:rtl/>
        </w:rPr>
        <w:t xml:space="preserve">                                 </w:t>
      </w:r>
      <w:r w:rsidR="00461FFF">
        <w:rPr>
          <w:rFonts w:hint="cs"/>
          <w:rtl/>
        </w:rPr>
        <w:t xml:space="preserve">  </w:t>
      </w:r>
      <w:r>
        <w:rPr>
          <w:rFonts w:hint="cs"/>
          <w:rtl/>
        </w:rPr>
        <w:t xml:space="preserve"> </w:t>
      </w:r>
      <w:r w:rsidR="006C577F">
        <w:rPr>
          <w:rtl/>
        </w:rPr>
        <w:t>(1).</w:t>
      </w:r>
      <w:r w:rsidR="008A74EB">
        <w:rPr>
          <w:rtl/>
        </w:rPr>
        <w:t xml:space="preserve"> </w:t>
      </w:r>
      <w:r w:rsidR="008A74EB" w:rsidRPr="00C9040A">
        <w:rPr>
          <w:rtl/>
        </w:rPr>
        <w:t>الأنبياء (21) : 103.</w:t>
      </w:r>
    </w:p>
    <w:p w:rsidR="008A74EB" w:rsidRPr="00C9040A" w:rsidRDefault="006C577F" w:rsidP="009B637A">
      <w:pPr>
        <w:pStyle w:val="libFootnote0"/>
        <w:rPr>
          <w:rtl/>
          <w:lang w:bidi="fa-IR"/>
        </w:rPr>
      </w:pPr>
      <w:r>
        <w:rPr>
          <w:rtl/>
        </w:rPr>
        <w:t>(2).</w:t>
      </w:r>
      <w:r w:rsidR="008A74EB">
        <w:rPr>
          <w:rtl/>
        </w:rPr>
        <w:t xml:space="preserve"> </w:t>
      </w:r>
      <w:r w:rsidR="008A74EB" w:rsidRPr="00993B55">
        <w:rPr>
          <w:rStyle w:val="libFootnoteBoldChar"/>
          <w:rtl/>
        </w:rPr>
        <w:t>مصادقة الإخوان</w:t>
      </w:r>
      <w:r w:rsidR="008A74EB" w:rsidRPr="00C9040A">
        <w:rPr>
          <w:rtl/>
        </w:rPr>
        <w:t xml:space="preserve"> ، ص 78 ، ح 1 ، مرسلاً مع زيادة</w:t>
      </w:r>
      <w:r w:rsidR="009B637A">
        <w:rPr>
          <w:rFonts w:hint="cs"/>
          <w:rtl/>
        </w:rPr>
        <w:t>.</w:t>
      </w:r>
      <w:r w:rsidR="008A74EB" w:rsidRPr="00993B55">
        <w:rPr>
          <w:rStyle w:val="libFootnoteBoldChar"/>
          <w:rtl/>
        </w:rPr>
        <w:t>الوافي</w:t>
      </w:r>
      <w:r w:rsidR="008A74EB" w:rsidRPr="00C9040A">
        <w:rPr>
          <w:rtl/>
        </w:rPr>
        <w:t xml:space="preserve"> ، ج 5 ، ص 679 ، ح 2863 ؛ </w:t>
      </w:r>
      <w:r w:rsidR="008A74EB" w:rsidRPr="00993B55">
        <w:rPr>
          <w:rStyle w:val="libFootnoteBoldChar"/>
          <w:rtl/>
        </w:rPr>
        <w:t>الوسائل</w:t>
      </w:r>
      <w:r w:rsidR="008A74EB" w:rsidRPr="00C9040A">
        <w:rPr>
          <w:rtl/>
        </w:rPr>
        <w:t xml:space="preserve"> ، ج 5 ، ص 114 ، ح 6078 ؛ </w:t>
      </w:r>
      <w:r w:rsidR="008A74EB" w:rsidRPr="00993B55">
        <w:rPr>
          <w:rStyle w:val="libFootnoteBoldChar"/>
          <w:rtl/>
        </w:rPr>
        <w:t>البحار</w:t>
      </w:r>
      <w:r w:rsidR="008A74EB" w:rsidRPr="00C9040A">
        <w:rPr>
          <w:rtl/>
        </w:rPr>
        <w:t xml:space="preserve"> ، ج 7 ، ص 198 ، ح 72 ؛ وج 74 ، ص 379 ، ح 83.</w:t>
      </w:r>
    </w:p>
    <w:p w:rsidR="008A74EB" w:rsidRPr="00C9040A" w:rsidRDefault="006C577F" w:rsidP="004A4E41">
      <w:pPr>
        <w:pStyle w:val="libFootnote0"/>
        <w:rPr>
          <w:rtl/>
          <w:lang w:bidi="fa-IR"/>
        </w:rPr>
      </w:pPr>
      <w:r>
        <w:rPr>
          <w:rtl/>
        </w:rPr>
        <w:t>(3).</w:t>
      </w:r>
      <w:r w:rsidR="008A74EB" w:rsidRPr="00C9040A">
        <w:rPr>
          <w:rtl/>
        </w:rPr>
        <w:t xml:space="preserve"> هكذا في النسخ التي قوبلت. وفي المطبوع : « يقوته »</w:t>
      </w:r>
      <w:r w:rsidR="008A74EB">
        <w:rPr>
          <w:rtl/>
        </w:rPr>
        <w:t>.</w:t>
      </w:r>
    </w:p>
    <w:tbl>
      <w:tblPr>
        <w:tblStyle w:val="TableGrid"/>
        <w:bidiVisual/>
        <w:tblW w:w="0" w:type="auto"/>
        <w:tblLook w:val="04A0" w:firstRow="1" w:lastRow="0" w:firstColumn="1" w:lastColumn="0" w:noHBand="0" w:noVBand="1"/>
      </w:tblPr>
      <w:tblGrid>
        <w:gridCol w:w="4006"/>
        <w:gridCol w:w="4006"/>
      </w:tblGrid>
      <w:tr w:rsidR="009B637A" w:rsidTr="009B637A">
        <w:tc>
          <w:tcPr>
            <w:tcW w:w="4006" w:type="dxa"/>
          </w:tcPr>
          <w:p w:rsidR="009B637A" w:rsidRDefault="009B637A" w:rsidP="004A4E41">
            <w:pPr>
              <w:pStyle w:val="libFootnote0"/>
              <w:rPr>
                <w:rtl/>
              </w:rPr>
            </w:pPr>
            <w:r>
              <w:rPr>
                <w:rtl/>
              </w:rPr>
              <w:t>(4).</w:t>
            </w:r>
            <w:r w:rsidRPr="00C9040A">
              <w:rPr>
                <w:rtl/>
              </w:rPr>
              <w:t xml:space="preserve"> في حاشية « بر » : « على »</w:t>
            </w:r>
            <w:r>
              <w:rPr>
                <w:rtl/>
              </w:rPr>
              <w:t>.</w:t>
            </w:r>
          </w:p>
        </w:tc>
        <w:tc>
          <w:tcPr>
            <w:tcW w:w="4006" w:type="dxa"/>
          </w:tcPr>
          <w:p w:rsidR="009B637A" w:rsidRDefault="009B637A" w:rsidP="004A4E41">
            <w:pPr>
              <w:pStyle w:val="libFootnote0"/>
              <w:rPr>
                <w:rtl/>
              </w:rPr>
            </w:pPr>
            <w:r>
              <w:rPr>
                <w:rtl/>
              </w:rPr>
              <w:t>(5).</w:t>
            </w:r>
            <w:r w:rsidRPr="00C9040A">
              <w:rPr>
                <w:rtl/>
              </w:rPr>
              <w:t xml:space="preserve"> في « ج ، د ، ز » : « معيشة »</w:t>
            </w:r>
            <w:r>
              <w:rPr>
                <w:rtl/>
              </w:rPr>
              <w:t>.</w:t>
            </w:r>
          </w:p>
        </w:tc>
      </w:tr>
    </w:tbl>
    <w:p w:rsidR="008A74EB" w:rsidRPr="00C9040A" w:rsidRDefault="006C577F" w:rsidP="004A4E41">
      <w:pPr>
        <w:pStyle w:val="libFootnote0"/>
        <w:rPr>
          <w:rtl/>
          <w:lang w:bidi="fa-IR"/>
        </w:rPr>
      </w:pPr>
      <w:r>
        <w:rPr>
          <w:rtl/>
        </w:rPr>
        <w:t>(6).</w:t>
      </w:r>
      <w:r w:rsidR="008A74EB">
        <w:rPr>
          <w:rtl/>
        </w:rPr>
        <w:t xml:space="preserve"> </w:t>
      </w:r>
      <w:r w:rsidR="008A74EB" w:rsidRPr="00C9040A">
        <w:rPr>
          <w:rtl/>
        </w:rPr>
        <w:t>هكذا في النسخ التي قوبلت والوافي. وفي المطبوع : « تستغفرون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الوافي</w:t>
      </w:r>
      <w:r w:rsidR="008A74EB" w:rsidRPr="00C9040A">
        <w:rPr>
          <w:rtl/>
        </w:rPr>
        <w:t xml:space="preserve"> ، ج 5 ، ص 679 ، ح 2864 ؛ </w:t>
      </w:r>
      <w:r w:rsidR="008A74EB" w:rsidRPr="00993B55">
        <w:rPr>
          <w:rStyle w:val="libFootnoteBoldChar"/>
          <w:rtl/>
        </w:rPr>
        <w:t>الوسائل</w:t>
      </w:r>
      <w:r w:rsidR="008A74EB" w:rsidRPr="00C9040A">
        <w:rPr>
          <w:rtl/>
        </w:rPr>
        <w:t xml:space="preserve"> ، ج 5 ، ص 113 ، ذيل ح 6074 ؛ </w:t>
      </w:r>
      <w:r w:rsidR="008A74EB" w:rsidRPr="00993B55">
        <w:rPr>
          <w:rStyle w:val="libFootnoteBoldChar"/>
          <w:rtl/>
        </w:rPr>
        <w:t>البحار</w:t>
      </w:r>
      <w:r w:rsidR="008A74EB" w:rsidRPr="00C9040A">
        <w:rPr>
          <w:rtl/>
        </w:rPr>
        <w:t xml:space="preserve"> ، ج 74 ، ص 380 ، ح 84.</w:t>
      </w:r>
    </w:p>
    <w:p w:rsidR="008A74EB" w:rsidRPr="00C9040A" w:rsidRDefault="006C577F" w:rsidP="004A4E41">
      <w:pPr>
        <w:pStyle w:val="libFootnote0"/>
        <w:rPr>
          <w:rtl/>
          <w:lang w:bidi="fa-IR"/>
        </w:rPr>
      </w:pPr>
      <w:r>
        <w:rPr>
          <w:rtl/>
        </w:rPr>
        <w:t>(8).</w:t>
      </w:r>
      <w:r w:rsidR="008A74EB" w:rsidRPr="00C9040A">
        <w:rPr>
          <w:rtl/>
        </w:rPr>
        <w:t xml:space="preserve"> تقدّم في </w:t>
      </w:r>
      <w:r w:rsidR="008A74EB" w:rsidRPr="00993B55">
        <w:rPr>
          <w:rStyle w:val="libFootnoteBoldChar"/>
          <w:rtl/>
        </w:rPr>
        <w:t>الكافي</w:t>
      </w:r>
      <w:r w:rsidR="008A74EB" w:rsidRPr="00C9040A">
        <w:rPr>
          <w:rtl/>
        </w:rPr>
        <w:t xml:space="preserve"> ، ذيل ح 2176 ، احتمال وجود الخلل في السند ، فلاحظ.</w:t>
      </w:r>
    </w:p>
    <w:p w:rsidR="008A74EB" w:rsidRPr="00C9040A" w:rsidRDefault="006C577F" w:rsidP="004A4E41">
      <w:pPr>
        <w:pStyle w:val="libFootnote0"/>
        <w:rPr>
          <w:rtl/>
          <w:lang w:bidi="fa-IR"/>
        </w:rPr>
      </w:pPr>
      <w:r>
        <w:rPr>
          <w:rtl/>
        </w:rPr>
        <w:t>(9).</w:t>
      </w:r>
      <w:r w:rsidR="008A74EB" w:rsidRPr="00C9040A">
        <w:rPr>
          <w:rtl/>
        </w:rPr>
        <w:t xml:space="preserve"> هكذا في النسخ التي قوبلت. وفي المطبوع : « يقوته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 ب ، ج ، د ، ز ، ص ، ض ، ف » وحاشية « بر » والوسائل : « على »</w:t>
      </w:r>
      <w:r w:rsidR="008A74EB">
        <w:rPr>
          <w:rtl/>
        </w:rPr>
        <w:t>.</w:t>
      </w:r>
    </w:p>
    <w:tbl>
      <w:tblPr>
        <w:tblStyle w:val="TableGrid"/>
        <w:bidiVisual/>
        <w:tblW w:w="0" w:type="auto"/>
        <w:tblLook w:val="04A0" w:firstRow="1" w:lastRow="0" w:firstColumn="1" w:lastColumn="0" w:noHBand="0" w:noVBand="1"/>
      </w:tblPr>
      <w:tblGrid>
        <w:gridCol w:w="4006"/>
        <w:gridCol w:w="4006"/>
      </w:tblGrid>
      <w:tr w:rsidR="00333763" w:rsidTr="00333763">
        <w:tc>
          <w:tcPr>
            <w:tcW w:w="4006" w:type="dxa"/>
          </w:tcPr>
          <w:p w:rsidR="00333763" w:rsidRDefault="00333763" w:rsidP="004A4E41">
            <w:pPr>
              <w:pStyle w:val="libFootnote0"/>
              <w:rPr>
                <w:rtl/>
              </w:rPr>
            </w:pPr>
            <w:r>
              <w:rPr>
                <w:rtl/>
              </w:rPr>
              <w:t>(11).</w:t>
            </w:r>
            <w:r w:rsidRPr="00C9040A">
              <w:rPr>
                <w:rtl/>
              </w:rPr>
              <w:t xml:space="preserve"> في « ز » : « معيشة »</w:t>
            </w:r>
            <w:r>
              <w:rPr>
                <w:rtl/>
              </w:rPr>
              <w:t>.</w:t>
            </w:r>
          </w:p>
        </w:tc>
        <w:tc>
          <w:tcPr>
            <w:tcW w:w="4006" w:type="dxa"/>
          </w:tcPr>
          <w:p w:rsidR="00333763" w:rsidRDefault="00333763" w:rsidP="004A4E41">
            <w:pPr>
              <w:pStyle w:val="libFootnote0"/>
              <w:rPr>
                <w:rtl/>
              </w:rPr>
            </w:pPr>
            <w:r>
              <w:rPr>
                <w:rtl/>
              </w:rPr>
              <w:t>(12).</w:t>
            </w:r>
            <w:r w:rsidRPr="00C9040A">
              <w:rPr>
                <w:rtl/>
              </w:rPr>
              <w:t xml:space="preserve"> في « ص » </w:t>
            </w:r>
            <w:r>
              <w:rPr>
                <w:rtl/>
              </w:rPr>
              <w:t>: -</w:t>
            </w:r>
            <w:r w:rsidRPr="00C9040A">
              <w:rPr>
                <w:rtl/>
              </w:rPr>
              <w:t xml:space="preserve"> « به »</w:t>
            </w:r>
            <w:r>
              <w:rPr>
                <w:rtl/>
              </w:rPr>
              <w:t>.</w:t>
            </w:r>
          </w:p>
        </w:tc>
      </w:tr>
    </w:tbl>
    <w:p w:rsidR="008A74EB" w:rsidRPr="00C9040A" w:rsidRDefault="008A74EB" w:rsidP="004A4E41">
      <w:pPr>
        <w:pStyle w:val="libFootnote0"/>
        <w:rPr>
          <w:rtl/>
          <w:lang w:bidi="fa-IR"/>
        </w:rPr>
      </w:pPr>
      <w:r>
        <w:rPr>
          <w:rtl/>
        </w:rPr>
        <w:t>(13)</w:t>
      </w:r>
      <w:r w:rsidRPr="00C9040A">
        <w:rPr>
          <w:rtl/>
        </w:rPr>
        <w:t xml:space="preserve"> هكذا في النسخ التي قوبلت. وفي المطبوع : « تستغفرون »</w:t>
      </w:r>
      <w:r>
        <w:rPr>
          <w:rtl/>
        </w:rPr>
        <w:t>.</w:t>
      </w:r>
    </w:p>
    <w:p w:rsidR="008A74EB" w:rsidRPr="00C9040A" w:rsidRDefault="008A74EB" w:rsidP="004A4E41">
      <w:pPr>
        <w:pStyle w:val="libFootnote0"/>
        <w:rPr>
          <w:rtl/>
          <w:lang w:bidi="fa-IR"/>
        </w:rPr>
      </w:pPr>
      <w:r>
        <w:rPr>
          <w:rtl/>
        </w:rPr>
        <w:t>(14)</w:t>
      </w:r>
      <w:r w:rsidRPr="00C9040A">
        <w:rPr>
          <w:rtl/>
        </w:rPr>
        <w:t xml:space="preserve"> </w:t>
      </w:r>
      <w:r w:rsidRPr="00993B55">
        <w:rPr>
          <w:rStyle w:val="libFootnoteBoldChar"/>
          <w:rtl/>
        </w:rPr>
        <w:t>الوافي</w:t>
      </w:r>
      <w:r w:rsidRPr="00C9040A">
        <w:rPr>
          <w:rtl/>
        </w:rPr>
        <w:t xml:space="preserve"> ، ج 5 ، ص 679 ، ح 2865 ؛ </w:t>
      </w:r>
      <w:r w:rsidRPr="00993B55">
        <w:rPr>
          <w:rStyle w:val="libFootnoteBoldChar"/>
          <w:rtl/>
        </w:rPr>
        <w:t>الوسائل</w:t>
      </w:r>
      <w:r w:rsidRPr="00C9040A">
        <w:rPr>
          <w:rtl/>
        </w:rPr>
        <w:t xml:space="preserve"> ، ج 5 ، ص 113 ، ح 6074 ؛ </w:t>
      </w:r>
      <w:r w:rsidRPr="00993B55">
        <w:rPr>
          <w:rStyle w:val="libFootnoteBoldChar"/>
          <w:rtl/>
        </w:rPr>
        <w:t>البحار</w:t>
      </w:r>
      <w:r w:rsidRPr="00C9040A">
        <w:rPr>
          <w:rtl/>
        </w:rPr>
        <w:t xml:space="preserve"> ، ج 74 ، ص 380 ، ح 85.</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أَبِي حَمْزَةَ الثُّمَالِيِّ :</w:t>
      </w:r>
    </w:p>
    <w:p w:rsidR="008A74EB" w:rsidRPr="00C9040A" w:rsidRDefault="008A74EB" w:rsidP="008A74EB">
      <w:pPr>
        <w:pStyle w:val="libNormal"/>
        <w:rPr>
          <w:rtl/>
          <w:lang w:bidi="fa-IR"/>
        </w:rPr>
      </w:pPr>
      <w:r w:rsidRPr="00C9040A">
        <w:rPr>
          <w:rtl/>
          <w:lang w:bidi="fa-IR"/>
        </w:rPr>
        <w:t xml:space="preserve">عَنْ عَلِيِّ بْنِ الْحُسَيْنِ </w:t>
      </w:r>
      <w:r w:rsidRPr="0003660B">
        <w:rPr>
          <w:rStyle w:val="libAlaemChar"/>
          <w:rtl/>
        </w:rPr>
        <w:t>عليهما‌السلام</w:t>
      </w:r>
      <w:r w:rsidRPr="00C9040A">
        <w:rPr>
          <w:rtl/>
          <w:lang w:bidi="fa-IR"/>
        </w:rPr>
        <w:t xml:space="preserve"> ، قَالَ : « مَنْ كَسَا مُؤْمِناً ، كَسَاهُ اللهُ مِنَ الثِّيَابِ الْخُضْرِ »</w:t>
      </w:r>
      <w:r>
        <w:rPr>
          <w:rtl/>
          <w:lang w:bidi="fa-IR"/>
        </w:rPr>
        <w:t>.</w:t>
      </w:r>
      <w:r w:rsidRPr="00C9040A">
        <w:rPr>
          <w:rtl/>
          <w:lang w:bidi="fa-IR"/>
        </w:rPr>
        <w:t xml:space="preserve"> </w:t>
      </w:r>
      <w:r w:rsidR="006C577F" w:rsidRPr="006C577F">
        <w:rPr>
          <w:rStyle w:val="libFootnotenumChar"/>
          <w:rtl/>
        </w:rPr>
        <w:t>(1)</w:t>
      </w:r>
      <w:r w:rsidRPr="00C9040A">
        <w:rPr>
          <w:rtl/>
          <w:lang w:bidi="fa-IR"/>
        </w:rPr>
        <w:t xml:space="preserve"> ‌</w:t>
      </w:r>
    </w:p>
    <w:p w:rsidR="008A74EB" w:rsidRPr="00C9040A" w:rsidRDefault="00EE3965" w:rsidP="008A74EB">
      <w:pPr>
        <w:pStyle w:val="libNormal"/>
        <w:rPr>
          <w:rtl/>
          <w:lang w:bidi="fa-IR"/>
        </w:rPr>
      </w:pPr>
      <w:r>
        <w:rPr>
          <w:rFonts w:hint="cs"/>
          <w:rtl/>
          <w:lang w:bidi="fa-IR"/>
        </w:rPr>
        <w:t xml:space="preserve">* </w:t>
      </w:r>
      <w:r w:rsidR="008A74EB" w:rsidRPr="00C9040A">
        <w:rPr>
          <w:rtl/>
          <w:lang w:bidi="fa-IR"/>
        </w:rPr>
        <w:t xml:space="preserve">وَقَالَ فِي حَدِيثٍ آخَرَ : </w:t>
      </w:r>
      <w:r w:rsidR="006C577F" w:rsidRPr="006C577F">
        <w:rPr>
          <w:rStyle w:val="libFootnotenumChar"/>
          <w:rtl/>
        </w:rPr>
        <w:t>(2)</w:t>
      </w:r>
      <w:r w:rsidR="008A74EB" w:rsidRPr="00C9040A">
        <w:rPr>
          <w:rtl/>
          <w:lang w:bidi="fa-IR"/>
        </w:rPr>
        <w:t xml:space="preserve"> « لَا يَزَالُ فِي ضَمَانِ اللهِ مَا دَامَ عَلَيْهِ سِلْكٌ </w:t>
      </w:r>
      <w:r w:rsidR="006C577F" w:rsidRPr="006C577F">
        <w:rPr>
          <w:rStyle w:val="libFootnotenumChar"/>
          <w:rtl/>
        </w:rPr>
        <w:t>(3)</w:t>
      </w:r>
      <w:r w:rsidR="008A74EB" w:rsidRPr="00C9040A">
        <w:rPr>
          <w:rtl/>
          <w:lang w:bidi="fa-IR"/>
        </w:rPr>
        <w:t xml:space="preserve"> »</w:t>
      </w:r>
      <w:r w:rsidR="008A74EB">
        <w:rPr>
          <w:rtl/>
          <w:lang w:bidi="fa-IR"/>
        </w:rPr>
        <w:t>.</w:t>
      </w:r>
      <w:r w:rsidR="008A74EB" w:rsidRPr="00C9040A">
        <w:rPr>
          <w:rtl/>
          <w:lang w:bidi="fa-IR"/>
        </w:rPr>
        <w:t xml:space="preserve"> </w:t>
      </w:r>
      <w:r w:rsidR="006C577F" w:rsidRPr="006C577F">
        <w:rPr>
          <w:rStyle w:val="libFootnotenumChar"/>
          <w:rtl/>
        </w:rPr>
        <w:t>(4)</w:t>
      </w:r>
      <w:r w:rsidR="008A74EB" w:rsidRPr="00C9040A">
        <w:rPr>
          <w:rtl/>
          <w:lang w:bidi="fa-IR"/>
        </w:rPr>
        <w:t xml:space="preserve"> ‌</w:t>
      </w:r>
    </w:p>
    <w:p w:rsidR="008A74EB" w:rsidRPr="00C9040A" w:rsidRDefault="008A74EB" w:rsidP="008A74EB">
      <w:pPr>
        <w:pStyle w:val="libNormal"/>
        <w:rPr>
          <w:rtl/>
          <w:lang w:bidi="fa-IR"/>
        </w:rPr>
      </w:pPr>
      <w:r w:rsidRPr="00A571BB">
        <w:rPr>
          <w:rtl/>
        </w:rPr>
        <w:t>2198</w:t>
      </w:r>
      <w:r w:rsidRPr="00261CB0">
        <w:rPr>
          <w:rStyle w:val="libBold2Char"/>
          <w:rtl/>
        </w:rPr>
        <w:t xml:space="preserve"> / 5.</w:t>
      </w:r>
      <w:r w:rsidRPr="00C9040A">
        <w:rPr>
          <w:rtl/>
          <w:lang w:bidi="fa-IR"/>
        </w:rPr>
        <w:t xml:space="preserve"> عِدَّةٌ مِنْ أَصْحَابِنَا ، عَنْ أَحْمَدَ بْنِ مُحَمَّدِ بْنِ خَالِدٍ ، عَنْ عُثْمَانَ بْنِ عِيسى ، عَنْ عَبْدِ اللهِ بْنِ سِنَانٍ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أَنَّهُ كَانَ يَقُولُ : « مَنْ كَسَا مُؤْمِناً ثَوْباً مِنْ عُرْيٍ ، كَسَاهُ اللهُ مِنْ إِسْتَبْرَقِ الْجَنَّةِ ؛ وَمَنْ كَسَا مُؤْمِناً ثَوْباً </w:t>
      </w:r>
      <w:r w:rsidR="006C577F" w:rsidRPr="006C577F">
        <w:rPr>
          <w:rStyle w:val="libFootnotenumChar"/>
          <w:rtl/>
        </w:rPr>
        <w:t>(5)</w:t>
      </w:r>
      <w:r w:rsidRPr="00C9040A">
        <w:rPr>
          <w:rtl/>
          <w:lang w:bidi="fa-IR"/>
        </w:rPr>
        <w:t xml:space="preserve"> مِنْ غِنًى ، لَمْ يَزَلْ فِي سِتْرٍ مِنَ اللهِ مَا بَقِيَ </w:t>
      </w:r>
      <w:r w:rsidR="006C577F" w:rsidRPr="006C577F">
        <w:rPr>
          <w:rStyle w:val="libFootnotenumChar"/>
          <w:rtl/>
        </w:rPr>
        <w:t>(6)</w:t>
      </w:r>
      <w:r w:rsidRPr="005B567D">
        <w:rPr>
          <w:rStyle w:val="libFootnotenumChar"/>
          <w:rtl/>
        </w:rPr>
        <w:t xml:space="preserve"> </w:t>
      </w:r>
      <w:r w:rsidRPr="00C9040A">
        <w:rPr>
          <w:rtl/>
          <w:lang w:bidi="fa-IR"/>
        </w:rPr>
        <w:t xml:space="preserve">مِنَ الثَّوْبِ خِرْقَةٌ </w:t>
      </w:r>
      <w:r w:rsidR="006C577F" w:rsidRPr="006C577F">
        <w:rPr>
          <w:rStyle w:val="libFootnotenumChar"/>
          <w:rtl/>
        </w:rPr>
        <w:t>(7)</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EE3965">
      <w:pPr>
        <w:pStyle w:val="libFootnote0"/>
        <w:rPr>
          <w:rtl/>
          <w:lang w:bidi="fa-IR"/>
        </w:rPr>
      </w:pPr>
      <w:r>
        <w:rPr>
          <w:rtl/>
        </w:rPr>
        <w:t>(1).</w:t>
      </w:r>
      <w:r w:rsidR="008A74EB">
        <w:rPr>
          <w:rtl/>
        </w:rPr>
        <w:t xml:space="preserve"> </w:t>
      </w:r>
      <w:r w:rsidR="008A74EB" w:rsidRPr="00993B55">
        <w:rPr>
          <w:rStyle w:val="libFootnoteBoldChar"/>
          <w:rtl/>
        </w:rPr>
        <w:t>ثواب الأعمال</w:t>
      </w:r>
      <w:r w:rsidR="008A74EB" w:rsidRPr="00C9040A">
        <w:rPr>
          <w:rtl/>
        </w:rPr>
        <w:t xml:space="preserve"> ، ص 164 ، ح 2 ؛ و</w:t>
      </w:r>
      <w:r w:rsidR="008A74EB" w:rsidRPr="0034021D">
        <w:rPr>
          <w:rStyle w:val="libFootnoteBoldChar"/>
          <w:rtl/>
        </w:rPr>
        <w:t>الأمالي للمفيد</w:t>
      </w:r>
      <w:r w:rsidR="008A74EB" w:rsidRPr="00C9040A">
        <w:rPr>
          <w:rtl/>
        </w:rPr>
        <w:t xml:space="preserve"> ، ص 9 ، المجلس 1 ، ح 5 ، بسندهما عن حمّاد ، عن إبراهيم بن عمر ، مع زيادة في أوّله. </w:t>
      </w:r>
      <w:r w:rsidR="008A74EB" w:rsidRPr="00993B55">
        <w:rPr>
          <w:rStyle w:val="libFootnoteBoldChar"/>
          <w:rtl/>
        </w:rPr>
        <w:t>ثواب الأعمال</w:t>
      </w:r>
      <w:r w:rsidR="008A74EB" w:rsidRPr="00C9040A">
        <w:rPr>
          <w:rtl/>
        </w:rPr>
        <w:t xml:space="preserve"> ، ص 175 ، ضمن ح 1 ، بسنده عن أبي‌حمزة الثمالي ، والرواية هكذا : « من كساه من عري كساه الله من استبرق وحرير »</w:t>
      </w:r>
      <w:r w:rsidR="008A74EB">
        <w:rPr>
          <w:rtl/>
        </w:rPr>
        <w:t>.</w:t>
      </w:r>
      <w:r w:rsidR="008A74EB" w:rsidRPr="00C9040A">
        <w:rPr>
          <w:rtl/>
        </w:rPr>
        <w:t xml:space="preserve"> </w:t>
      </w:r>
      <w:r w:rsidR="008A74EB" w:rsidRPr="00993B55">
        <w:rPr>
          <w:rStyle w:val="libFootnoteBoldChar"/>
          <w:rtl/>
        </w:rPr>
        <w:t>المؤمن</w:t>
      </w:r>
      <w:r w:rsidR="008A74EB" w:rsidRPr="00C9040A">
        <w:rPr>
          <w:rtl/>
        </w:rPr>
        <w:t xml:space="preserve"> ، ص 63 ، ح 161 ، عن عليّ بن الحسين </w:t>
      </w:r>
      <w:r w:rsidR="00117575" w:rsidRPr="00117575">
        <w:rPr>
          <w:rStyle w:val="libFootnoteAlaemChar"/>
          <w:rtl/>
        </w:rPr>
        <w:t>عليه‌السلام</w:t>
      </w:r>
      <w:r w:rsidR="008A74EB" w:rsidRPr="00C9040A">
        <w:rPr>
          <w:rtl/>
        </w:rPr>
        <w:t xml:space="preserve"> ؛ </w:t>
      </w:r>
      <w:r w:rsidR="008A74EB" w:rsidRPr="00993B55">
        <w:rPr>
          <w:rStyle w:val="libFootnoteBoldChar"/>
          <w:rtl/>
        </w:rPr>
        <w:t>وفيه</w:t>
      </w:r>
      <w:r w:rsidR="008A74EB" w:rsidRPr="00C9040A">
        <w:rPr>
          <w:rtl/>
        </w:rPr>
        <w:t xml:space="preserve"> ، ص 65 ، ح 166 ، عن أبي‌عبدالله </w:t>
      </w:r>
      <w:r w:rsidR="00117575" w:rsidRPr="00117575">
        <w:rPr>
          <w:rStyle w:val="libFootnoteAlaemChar"/>
          <w:rtl/>
        </w:rPr>
        <w:t>عليه‌السلام</w:t>
      </w:r>
      <w:r w:rsidR="008A74EB" w:rsidRPr="00C9040A">
        <w:rPr>
          <w:rtl/>
        </w:rPr>
        <w:t xml:space="preserve"> ، وفيهما مع اختلاف يسير وزيادة في أوّله وآخره</w:t>
      </w:r>
      <w:r w:rsidR="00EE3965">
        <w:rPr>
          <w:rFonts w:hint="cs"/>
          <w:rtl/>
        </w:rPr>
        <w:t>.</w:t>
      </w:r>
      <w:r w:rsidR="008A74EB" w:rsidRPr="00993B55">
        <w:rPr>
          <w:rStyle w:val="libFootnoteBoldChar"/>
          <w:rtl/>
        </w:rPr>
        <w:t>الوافي</w:t>
      </w:r>
      <w:r w:rsidR="008A74EB" w:rsidRPr="00C9040A">
        <w:rPr>
          <w:rtl/>
        </w:rPr>
        <w:t xml:space="preserve"> ، ج 5 ، ص 680 ، ح 2866 ؛ </w:t>
      </w:r>
      <w:r w:rsidR="008A74EB" w:rsidRPr="00993B55">
        <w:rPr>
          <w:rStyle w:val="libFootnoteBoldChar"/>
          <w:rtl/>
        </w:rPr>
        <w:t>الوسائل</w:t>
      </w:r>
      <w:r w:rsidR="008A74EB" w:rsidRPr="00C9040A">
        <w:rPr>
          <w:rtl/>
        </w:rPr>
        <w:t xml:space="preserve"> ، ج 5 ، ص 113 ، ح 6705 ؛ </w:t>
      </w:r>
      <w:r w:rsidR="008A74EB" w:rsidRPr="00993B55">
        <w:rPr>
          <w:rStyle w:val="libFootnoteBoldChar"/>
          <w:rtl/>
        </w:rPr>
        <w:t>البحار</w:t>
      </w:r>
      <w:r w:rsidR="008A74EB" w:rsidRPr="00C9040A">
        <w:rPr>
          <w:rtl/>
        </w:rPr>
        <w:t xml:space="preserve"> ، ج 74 ، ص 381 ، ح 86.</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الأمالي </w:t>
      </w:r>
      <w:r w:rsidR="008A74EB">
        <w:rPr>
          <w:rtl/>
        </w:rPr>
        <w:t xml:space="preserve">: </w:t>
      </w:r>
      <w:r w:rsidR="0084262C">
        <w:rPr>
          <w:rtl/>
        </w:rPr>
        <w:t>-</w:t>
      </w:r>
      <w:r w:rsidR="008A74EB" w:rsidRPr="00C9040A">
        <w:rPr>
          <w:rtl/>
        </w:rPr>
        <w:t xml:space="preserve"> « قال في حديث آخر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السِّلْكَة : الخيط الذي يخاط به الثوب ، وجمعه سِلَك وأسلاك وسلوك. </w:t>
      </w:r>
      <w:r w:rsidR="008A74EB" w:rsidRPr="00993B55">
        <w:rPr>
          <w:rStyle w:val="libFootnoteBoldChar"/>
          <w:rtl/>
        </w:rPr>
        <w:t>لسان العرب</w:t>
      </w:r>
      <w:r w:rsidR="008A74EB" w:rsidRPr="00C9040A">
        <w:rPr>
          <w:rtl/>
        </w:rPr>
        <w:t xml:space="preserve"> ، ج 10 ، ص 442 ( سلك )</w:t>
      </w:r>
      <w:r w:rsidR="008A74EB">
        <w:rPr>
          <w:rtl/>
        </w:rPr>
        <w:t>.</w:t>
      </w:r>
    </w:p>
    <w:p w:rsidR="008A74EB" w:rsidRPr="00C9040A" w:rsidRDefault="006C577F" w:rsidP="00EE3965">
      <w:pPr>
        <w:pStyle w:val="libFootnote0"/>
        <w:rPr>
          <w:rtl/>
          <w:lang w:bidi="fa-IR"/>
        </w:rPr>
      </w:pPr>
      <w:r>
        <w:rPr>
          <w:rtl/>
        </w:rPr>
        <w:t>(4).</w:t>
      </w:r>
      <w:r w:rsidR="008A74EB" w:rsidRPr="00C9040A">
        <w:rPr>
          <w:rtl/>
        </w:rPr>
        <w:t xml:space="preserve"> </w:t>
      </w:r>
      <w:r w:rsidR="008A74EB" w:rsidRPr="0034021D">
        <w:rPr>
          <w:rStyle w:val="libFootnoteBoldChar"/>
          <w:rtl/>
        </w:rPr>
        <w:t>الأمالي للمفيد</w:t>
      </w:r>
      <w:r w:rsidR="008A74EB" w:rsidRPr="00C9040A">
        <w:rPr>
          <w:rtl/>
        </w:rPr>
        <w:t xml:space="preserve"> ، ص 9 ، المجلس 1 ، ح 5 ، بسنده عن حمّاد ، عن إبراهيم بن عمر. </w:t>
      </w:r>
      <w:r w:rsidR="008A74EB" w:rsidRPr="00993B55">
        <w:rPr>
          <w:rStyle w:val="libFootnoteBoldChar"/>
          <w:rtl/>
        </w:rPr>
        <w:t>ثواب الأعمال</w:t>
      </w:r>
      <w:r w:rsidR="008A74EB" w:rsidRPr="00C9040A">
        <w:rPr>
          <w:rtl/>
        </w:rPr>
        <w:t xml:space="preserve"> ، ص 175 ، ضمن ح 1 ، بسنده عن أبي‌حمزة الثمالي ، عن عليّ بن الحسين </w:t>
      </w:r>
      <w:r w:rsidR="00117575" w:rsidRPr="00117575">
        <w:rPr>
          <w:rStyle w:val="libFootnoteAlaemChar"/>
          <w:rtl/>
        </w:rPr>
        <w:t>عليه‌السلام</w:t>
      </w:r>
      <w:r w:rsidR="008A74EB" w:rsidRPr="00C9040A">
        <w:rPr>
          <w:rtl/>
        </w:rPr>
        <w:t xml:space="preserve"> ، وفيه : « من كساه من غير عري لم يزل في ضمان الله</w:t>
      </w:r>
      <w:r w:rsidR="008A74EB">
        <w:rPr>
          <w:rtl/>
        </w:rPr>
        <w:t xml:space="preserve"> ..</w:t>
      </w:r>
      <w:r w:rsidR="008A74EB" w:rsidRPr="00C9040A">
        <w:rPr>
          <w:rtl/>
        </w:rPr>
        <w:t>. »</w:t>
      </w:r>
      <w:r w:rsidR="008A74EB">
        <w:rPr>
          <w:rtl/>
        </w:rPr>
        <w:t>.</w:t>
      </w:r>
      <w:r w:rsidR="008A74EB" w:rsidRPr="00C9040A">
        <w:rPr>
          <w:rtl/>
        </w:rPr>
        <w:t xml:space="preserve"> </w:t>
      </w:r>
      <w:r w:rsidR="008A74EB" w:rsidRPr="00993B55">
        <w:rPr>
          <w:rStyle w:val="libFootnoteBoldChar"/>
          <w:rtl/>
        </w:rPr>
        <w:t>قرب الإسناد</w:t>
      </w:r>
      <w:r w:rsidR="008A74EB" w:rsidRPr="00C9040A">
        <w:rPr>
          <w:rtl/>
        </w:rPr>
        <w:t xml:space="preserve"> ، ص 120 ، ح 422 ، بسند آخر عن جعفر ، عن أبيه </w:t>
      </w:r>
      <w:r w:rsidR="00117575" w:rsidRPr="00117575">
        <w:rPr>
          <w:rStyle w:val="libFootnoteAlaemChar"/>
          <w:rtl/>
        </w:rPr>
        <w:t>عليهما‌السلام</w:t>
      </w:r>
      <w:r w:rsidR="008A74EB" w:rsidRPr="00C9040A">
        <w:rPr>
          <w:rtl/>
        </w:rPr>
        <w:t xml:space="preserve"> عن رسول الله </w:t>
      </w:r>
      <w:r w:rsidR="004A4E41" w:rsidRPr="00B120D5">
        <w:rPr>
          <w:rStyle w:val="libFootnoteAlaemChar"/>
          <w:rtl/>
        </w:rPr>
        <w:t>صلى‌الله‌عليه‌وآله</w:t>
      </w:r>
      <w:r w:rsidR="008A74EB" w:rsidRPr="00C9040A">
        <w:rPr>
          <w:rtl/>
        </w:rPr>
        <w:t xml:space="preserve"> ، مع اختلاف يسير وزيادة في أوّله وآخره. </w:t>
      </w:r>
      <w:r w:rsidR="008A74EB" w:rsidRPr="00993B55">
        <w:rPr>
          <w:rStyle w:val="libFootnoteBoldChar"/>
          <w:rtl/>
        </w:rPr>
        <w:t>الاختصاص</w:t>
      </w:r>
      <w:r w:rsidR="008A74EB" w:rsidRPr="00C9040A">
        <w:rPr>
          <w:rtl/>
        </w:rPr>
        <w:t xml:space="preserve"> ، ص 28 ، مرسلاً عن أبي‌حمزة الثمالي ؛ </w:t>
      </w:r>
      <w:r w:rsidR="008A74EB" w:rsidRPr="00993B55">
        <w:rPr>
          <w:rStyle w:val="libFootnoteBoldChar"/>
          <w:rtl/>
        </w:rPr>
        <w:t>المؤمن</w:t>
      </w:r>
      <w:r w:rsidR="008A74EB" w:rsidRPr="00C9040A">
        <w:rPr>
          <w:rtl/>
        </w:rPr>
        <w:t xml:space="preserve"> ، ص 63 ، ح 161 ، عن عليّ بن الحسين </w:t>
      </w:r>
      <w:r w:rsidR="00117575" w:rsidRPr="00117575">
        <w:rPr>
          <w:rStyle w:val="libFootnoteAlaemChar"/>
          <w:rtl/>
        </w:rPr>
        <w:t>عليه‌السلام</w:t>
      </w:r>
      <w:r w:rsidR="008A74EB" w:rsidRPr="00C9040A">
        <w:rPr>
          <w:rtl/>
        </w:rPr>
        <w:t xml:space="preserve"> ، مع زيادة في أوّله</w:t>
      </w:r>
      <w:r w:rsidR="00EE3965">
        <w:rPr>
          <w:rFonts w:hint="cs"/>
          <w:rtl/>
        </w:rPr>
        <w:t>.</w:t>
      </w:r>
      <w:r w:rsidR="008A74EB" w:rsidRPr="00993B55">
        <w:rPr>
          <w:rStyle w:val="libFootnoteBoldChar"/>
          <w:rtl/>
        </w:rPr>
        <w:t>الوافي</w:t>
      </w:r>
      <w:r w:rsidR="008A74EB" w:rsidRPr="00C9040A">
        <w:rPr>
          <w:rtl/>
        </w:rPr>
        <w:t xml:space="preserve"> ، ج 5 ، ص 680 ، ح 2867 ؛ </w:t>
      </w:r>
      <w:r w:rsidR="008A74EB" w:rsidRPr="00993B55">
        <w:rPr>
          <w:rStyle w:val="libFootnoteBoldChar"/>
          <w:rtl/>
        </w:rPr>
        <w:t>الوسائل</w:t>
      </w:r>
      <w:r w:rsidR="008A74EB" w:rsidRPr="00C9040A">
        <w:rPr>
          <w:rtl/>
        </w:rPr>
        <w:t xml:space="preserve"> ، ج 5 ، ص 114 ، ح 6076 ؛ </w:t>
      </w:r>
      <w:r w:rsidR="008A74EB" w:rsidRPr="00993B55">
        <w:rPr>
          <w:rStyle w:val="libFootnoteBoldChar"/>
          <w:rtl/>
        </w:rPr>
        <w:t>البحار</w:t>
      </w:r>
      <w:r w:rsidR="008A74EB" w:rsidRPr="00C9040A">
        <w:rPr>
          <w:rtl/>
        </w:rPr>
        <w:t xml:space="preserve"> ، ج 74 ، ص 381 ، ح 86.</w:t>
      </w:r>
      <w:r w:rsidR="00EE3965">
        <w:rPr>
          <w:rFonts w:hint="cs"/>
          <w:rtl/>
        </w:rPr>
        <w:t xml:space="preserve">    </w:t>
      </w:r>
      <w:r>
        <w:rPr>
          <w:rtl/>
        </w:rPr>
        <w:t>(5).</w:t>
      </w:r>
      <w:r w:rsidR="00EE3965">
        <w:rPr>
          <w:rtl/>
        </w:rPr>
        <w:t xml:space="preserve"> في « ف »</w:t>
      </w:r>
      <w:r w:rsidR="008A74EB">
        <w:rPr>
          <w:rtl/>
        </w:rPr>
        <w:t xml:space="preserve">: </w:t>
      </w:r>
      <w:r w:rsidR="0084262C">
        <w:rPr>
          <w:rtl/>
        </w:rPr>
        <w:t>-</w:t>
      </w:r>
      <w:r w:rsidR="00EE3965">
        <w:rPr>
          <w:rtl/>
        </w:rPr>
        <w:t>« ثوباً</w:t>
      </w:r>
      <w:r w:rsidR="008A74EB" w:rsidRPr="00C9040A">
        <w:rPr>
          <w:rtl/>
        </w:rPr>
        <w:t>»</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ف » : « بقت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 الخِرقة » : القطعة من الثوب وال</w:t>
      </w:r>
      <w:r w:rsidR="00EE3965">
        <w:rPr>
          <w:rFonts w:hint="cs"/>
          <w:rtl/>
        </w:rPr>
        <w:t>ـ</w:t>
      </w:r>
      <w:r w:rsidR="008A74EB" w:rsidRPr="00C9040A">
        <w:rPr>
          <w:rtl/>
        </w:rPr>
        <w:t xml:space="preserve">مِزْقةُ منه. </w:t>
      </w:r>
      <w:r w:rsidR="008A74EB" w:rsidRPr="00993B55">
        <w:rPr>
          <w:rStyle w:val="libFootnoteBoldChar"/>
          <w:rtl/>
        </w:rPr>
        <w:t>لسان العرب</w:t>
      </w:r>
      <w:r w:rsidR="008A74EB" w:rsidRPr="00C9040A">
        <w:rPr>
          <w:rtl/>
        </w:rPr>
        <w:t xml:space="preserve"> ، ج 10 ، ص 73 ( خرق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w:t>
      </w:r>
      <w:r w:rsidR="008A74EB" w:rsidRPr="00993B55">
        <w:rPr>
          <w:rStyle w:val="libFootnoteBoldChar"/>
          <w:rtl/>
        </w:rPr>
        <w:t>ثواب الأعمال</w:t>
      </w:r>
      <w:r w:rsidR="008A74EB" w:rsidRPr="00C9040A">
        <w:rPr>
          <w:rtl/>
        </w:rPr>
        <w:t xml:space="preserve"> ، ص 175 ، ضمن الحديث 1 ، بسند آخر عن عليّ بن الحسين </w:t>
      </w:r>
      <w:r w:rsidR="00117575" w:rsidRPr="00117575">
        <w:rPr>
          <w:rStyle w:val="libFootnoteAlaemChar"/>
          <w:rtl/>
        </w:rPr>
        <w:t>عليه‌السلام</w:t>
      </w:r>
      <w:r w:rsidR="008A74EB" w:rsidRPr="00C9040A">
        <w:rPr>
          <w:rtl/>
        </w:rPr>
        <w:t xml:space="preserve"> ، وفيه : « من كساه من عري </w:t>
      </w:r>
      <w:r w:rsidR="00EE3965">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Heading2Center"/>
        <w:rPr>
          <w:rtl/>
          <w:lang w:bidi="fa-IR"/>
        </w:rPr>
      </w:pPr>
      <w:bookmarkStart w:id="274" w:name="_Toc343795679"/>
      <w:bookmarkStart w:id="275" w:name="_Toc459810803"/>
      <w:bookmarkStart w:id="276" w:name="_Toc35348709"/>
      <w:r w:rsidRPr="00C9040A">
        <w:rPr>
          <w:rtl/>
          <w:lang w:bidi="fa-IR"/>
        </w:rPr>
        <w:t>88</w:t>
      </w:r>
      <w:r>
        <w:rPr>
          <w:rtl/>
          <w:lang w:bidi="fa-IR"/>
        </w:rPr>
        <w:t xml:space="preserve"> </w:t>
      </w:r>
      <w:r w:rsidR="0084262C">
        <w:rPr>
          <w:rtl/>
          <w:lang w:bidi="fa-IR"/>
        </w:rPr>
        <w:t>-</w:t>
      </w:r>
      <w:r>
        <w:rPr>
          <w:rtl/>
          <w:lang w:bidi="fa-IR"/>
        </w:rPr>
        <w:t xml:space="preserve"> </w:t>
      </w:r>
      <w:r w:rsidRPr="00C9040A">
        <w:rPr>
          <w:rtl/>
          <w:lang w:bidi="fa-IR"/>
        </w:rPr>
        <w:t>بَابٌ فِي إِلْطَافِ الْمُؤْمِنِ وَإِكْرَامِهِ‌</w:t>
      </w:r>
      <w:bookmarkEnd w:id="274"/>
      <w:bookmarkEnd w:id="275"/>
      <w:bookmarkEnd w:id="276"/>
    </w:p>
    <w:p w:rsidR="008A74EB" w:rsidRPr="00C9040A" w:rsidRDefault="008A74EB" w:rsidP="008A74EB">
      <w:pPr>
        <w:pStyle w:val="libNormal"/>
        <w:rPr>
          <w:rtl/>
          <w:lang w:bidi="fa-IR"/>
        </w:rPr>
      </w:pPr>
      <w:r w:rsidRPr="00A571BB">
        <w:rPr>
          <w:rtl/>
        </w:rPr>
        <w:t>2199</w:t>
      </w:r>
      <w:r w:rsidRPr="00261CB0">
        <w:rPr>
          <w:rStyle w:val="libBold2Char"/>
          <w:rtl/>
        </w:rPr>
        <w:t xml:space="preserve"> / 1.</w:t>
      </w:r>
      <w:r w:rsidRPr="00C9040A">
        <w:rPr>
          <w:rtl/>
          <w:lang w:bidi="fa-IR"/>
        </w:rPr>
        <w:t xml:space="preserve"> مُحَمَّدُ بْنُ يَحْيى ، عَنْ أَحْمَدَ بْنِ مُحَمَّدِ بْنِ عِيسى ، عَنْ عَلِيِّ بْنِ الْحَكَمِ ، عَنِ الْحُسَيْنِ بْنِ هَاشِمٍ ، عَنْ سَعْدَانَ بْنِ مُسْلِمٍ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مَنْ أَخَذَ مِنْ وَجْهِ أَخِيهِ الْمُؤْمِنِ قَذَاةً </w:t>
      </w:r>
      <w:r w:rsidR="006C577F" w:rsidRPr="006C577F">
        <w:rPr>
          <w:rStyle w:val="libFootnotenumChar"/>
          <w:rtl/>
        </w:rPr>
        <w:t>(1)</w:t>
      </w:r>
      <w:r w:rsidRPr="00C9040A">
        <w:rPr>
          <w:rtl/>
          <w:lang w:bidi="fa-IR"/>
        </w:rPr>
        <w:t xml:space="preserve"> ، كَتَبَ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لَهُ عَشْرَ حَسَنَاتٍ ؛ وَمَنْ تَبَسَّمَ فِي وَجْهِ أَخِيهِ ، كَانَتْ لَهُ حَسَنَةٌ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A571BB">
        <w:rPr>
          <w:rtl/>
        </w:rPr>
        <w:t>2200</w:t>
      </w:r>
      <w:r w:rsidRPr="00261CB0">
        <w:rPr>
          <w:rStyle w:val="libBold2Char"/>
          <w:rtl/>
        </w:rPr>
        <w:t xml:space="preserve"> / 2.</w:t>
      </w:r>
      <w:r w:rsidRPr="00C9040A">
        <w:rPr>
          <w:rtl/>
          <w:lang w:bidi="fa-IR"/>
        </w:rPr>
        <w:t xml:space="preserve"> عَنْهُ ، عَنْ أَحْمَدَ بْنِ مُحَمَّدٍ ، عَنْ عُمَرَ بْنِ عَبْدِ الْعَزِيزِ ، عَنْ جَمِيلِ بْنِ دَرَّاجٍ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مَنْ قَالَ لِأَخِيهِ </w:t>
      </w:r>
      <w:r w:rsidR="006C577F" w:rsidRPr="006C577F">
        <w:rPr>
          <w:rStyle w:val="libFootnotenumChar"/>
          <w:rtl/>
        </w:rPr>
        <w:t>(3)</w:t>
      </w:r>
      <w:r w:rsidRPr="00C9040A">
        <w:rPr>
          <w:rtl/>
          <w:lang w:bidi="fa-IR"/>
        </w:rPr>
        <w:t xml:space="preserve"> : مَرْحَباً ، كَتَبَ اللهُ لَهُ مَرْحَباً إِلى يَوْمِ الْقِيَامَةِ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A571BB">
        <w:rPr>
          <w:rtl/>
        </w:rPr>
        <w:t>2201</w:t>
      </w:r>
      <w:r w:rsidRPr="00261CB0">
        <w:rPr>
          <w:rStyle w:val="libBold2Char"/>
          <w:rtl/>
        </w:rPr>
        <w:t xml:space="preserve"> / 3.</w:t>
      </w:r>
      <w:r w:rsidRPr="00C9040A">
        <w:rPr>
          <w:rtl/>
          <w:lang w:bidi="fa-IR"/>
        </w:rPr>
        <w:t xml:space="preserve"> عَنْهُ </w:t>
      </w:r>
      <w:r w:rsidR="006C577F" w:rsidRPr="006C577F">
        <w:rPr>
          <w:rStyle w:val="libFootnotenumChar"/>
          <w:rtl/>
        </w:rPr>
        <w:t>(5)</w:t>
      </w:r>
      <w:r w:rsidRPr="00C9040A">
        <w:rPr>
          <w:rtl/>
          <w:lang w:bidi="fa-IR"/>
        </w:rPr>
        <w:t xml:space="preserve"> ، عَنْ أَحْمَدَ بْنِ مُحَمَّدِ ، عَنْ مُحَمَّدِ بْنِ عِيسى </w:t>
      </w:r>
      <w:r w:rsidR="006C577F" w:rsidRPr="006C577F">
        <w:rPr>
          <w:rStyle w:val="libFootnotenumChar"/>
          <w:rtl/>
        </w:rPr>
        <w:t>(6)</w:t>
      </w:r>
      <w:r w:rsidRPr="005B567D">
        <w:rPr>
          <w:rStyle w:val="libFootnotenumChar"/>
          <w:rtl/>
        </w:rPr>
        <w:t xml:space="preserve"> </w:t>
      </w:r>
      <w:r w:rsidRPr="00C9040A">
        <w:rPr>
          <w:rtl/>
          <w:lang w:bidi="fa-IR"/>
        </w:rPr>
        <w:t>، عَنْ يُونُسَ عَنْ‌</w:t>
      </w:r>
    </w:p>
    <w:p w:rsidR="008A74EB" w:rsidRPr="00C9040A" w:rsidRDefault="008A74EB" w:rsidP="008A74EB">
      <w:pPr>
        <w:pStyle w:val="libLine"/>
        <w:rPr>
          <w:rtl/>
          <w:lang w:bidi="fa-IR"/>
        </w:rPr>
      </w:pPr>
      <w:r w:rsidRPr="00C9040A">
        <w:rPr>
          <w:rtl/>
          <w:lang w:bidi="fa-IR"/>
        </w:rPr>
        <w:t>__________________</w:t>
      </w:r>
    </w:p>
    <w:p w:rsidR="008A74EB" w:rsidRPr="00C9040A" w:rsidRDefault="002F1F36" w:rsidP="006A5872">
      <w:pPr>
        <w:pStyle w:val="libFootnote0"/>
        <w:rPr>
          <w:rtl/>
          <w:lang w:bidi="fa-IR"/>
        </w:rPr>
      </w:pPr>
      <w:r>
        <w:rPr>
          <w:rFonts w:hint="cs"/>
          <w:rtl/>
        </w:rPr>
        <w:t xml:space="preserve">= </w:t>
      </w:r>
      <w:r w:rsidR="008A74EB" w:rsidRPr="00C9040A">
        <w:rPr>
          <w:rtl/>
        </w:rPr>
        <w:t>كساه الله من إستبرق وحرير »</w:t>
      </w:r>
      <w:r>
        <w:rPr>
          <w:rFonts w:hint="cs"/>
          <w:rtl/>
        </w:rPr>
        <w:t>.</w:t>
      </w:r>
      <w:r w:rsidR="008A74EB" w:rsidRPr="00993B55">
        <w:rPr>
          <w:rStyle w:val="libFootnoteBoldChar"/>
          <w:rtl/>
        </w:rPr>
        <w:t>الوافي</w:t>
      </w:r>
      <w:r w:rsidR="008A74EB" w:rsidRPr="00C9040A">
        <w:rPr>
          <w:rtl/>
        </w:rPr>
        <w:t xml:space="preserve"> ، ج 5 ، ص 680 ، ح 2868 ؛ </w:t>
      </w:r>
      <w:r w:rsidR="008A74EB" w:rsidRPr="00993B55">
        <w:rPr>
          <w:rStyle w:val="libFootnoteBoldChar"/>
          <w:rtl/>
        </w:rPr>
        <w:t>الوسائل</w:t>
      </w:r>
      <w:r w:rsidR="008A74EB" w:rsidRPr="00C9040A">
        <w:rPr>
          <w:rtl/>
        </w:rPr>
        <w:t xml:space="preserve"> ، ج 5 ، ص 114 ، ح 6077 ؛ </w:t>
      </w:r>
      <w:r w:rsidR="008A74EB" w:rsidRPr="00993B55">
        <w:rPr>
          <w:rStyle w:val="libFootnoteBoldChar"/>
          <w:rtl/>
        </w:rPr>
        <w:t>البحار</w:t>
      </w:r>
      <w:r w:rsidR="008A74EB" w:rsidRPr="00C9040A">
        <w:rPr>
          <w:rtl/>
        </w:rPr>
        <w:t xml:space="preserve"> ، ج 74 ، ص 381 ، ح 87.</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 قَذاة » : مايقع في العين والماء والشراب من تراب أو تبن أو وسخ أو غير ذلك. </w:t>
      </w:r>
      <w:r w:rsidR="008A74EB" w:rsidRPr="00993B55">
        <w:rPr>
          <w:rStyle w:val="libFootnoteBoldChar"/>
          <w:rtl/>
        </w:rPr>
        <w:t>النهاية</w:t>
      </w:r>
      <w:r w:rsidR="008A74EB" w:rsidRPr="00C9040A">
        <w:rPr>
          <w:rtl/>
        </w:rPr>
        <w:t xml:space="preserve"> ، ج 4 ، ص 30 ( قذا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مصادقة الإخوان</w:t>
      </w:r>
      <w:r w:rsidR="008A74EB" w:rsidRPr="00C9040A">
        <w:rPr>
          <w:rtl/>
        </w:rPr>
        <w:t xml:space="preserve"> ، ص 52 ، ح 3 ، مرسلاً. راجع : </w:t>
      </w:r>
      <w:r w:rsidR="008A74EB" w:rsidRPr="00993B55">
        <w:rPr>
          <w:rStyle w:val="libFootnoteBoldChar"/>
          <w:rtl/>
        </w:rPr>
        <w:t>الكافي</w:t>
      </w:r>
      <w:r w:rsidR="008A74EB" w:rsidRPr="00C9040A">
        <w:rPr>
          <w:rtl/>
        </w:rPr>
        <w:t xml:space="preserve"> ، كتاب الإيمان والكفر ، باب إدخال السرور على المؤمنين ، ح 2129 ، ومصادره </w:t>
      </w:r>
      <w:r w:rsidR="006A5872">
        <w:rPr>
          <w:rFonts w:hint="cs"/>
          <w:rtl/>
        </w:rPr>
        <w:t>.</w:t>
      </w:r>
      <w:r w:rsidR="008A74EB" w:rsidRPr="00993B55">
        <w:rPr>
          <w:rStyle w:val="libFootnoteBoldChar"/>
          <w:rtl/>
        </w:rPr>
        <w:t>الوافي</w:t>
      </w:r>
      <w:r w:rsidR="008A74EB" w:rsidRPr="00C9040A">
        <w:rPr>
          <w:rtl/>
        </w:rPr>
        <w:t xml:space="preserve"> ، ج 5 ، ص 645 ، ح 2779 ؛ </w:t>
      </w:r>
      <w:r w:rsidR="008A74EB" w:rsidRPr="00993B55">
        <w:rPr>
          <w:rStyle w:val="libFootnoteBoldChar"/>
          <w:rtl/>
        </w:rPr>
        <w:t>الوسائل</w:t>
      </w:r>
      <w:r w:rsidR="008A74EB" w:rsidRPr="00C9040A">
        <w:rPr>
          <w:rtl/>
        </w:rPr>
        <w:t xml:space="preserve"> ، ج 16 ، ص 374 ، ح 21800 ؛ </w:t>
      </w:r>
      <w:r w:rsidR="008A74EB" w:rsidRPr="00993B55">
        <w:rPr>
          <w:rStyle w:val="libFootnoteBoldChar"/>
          <w:rtl/>
        </w:rPr>
        <w:t>البحار</w:t>
      </w:r>
      <w:r w:rsidR="008A74EB" w:rsidRPr="00C9040A">
        <w:rPr>
          <w:rtl/>
        </w:rPr>
        <w:t xml:space="preserve"> ، ج 74 ، ص 297 ، ح 30.</w:t>
      </w:r>
    </w:p>
    <w:p w:rsidR="008A74EB" w:rsidRPr="00C9040A" w:rsidRDefault="006C577F" w:rsidP="004A4E41">
      <w:pPr>
        <w:pStyle w:val="libFootnote0"/>
        <w:rPr>
          <w:rtl/>
          <w:lang w:bidi="fa-IR"/>
        </w:rPr>
      </w:pPr>
      <w:r>
        <w:rPr>
          <w:rtl/>
        </w:rPr>
        <w:t>(3).</w:t>
      </w:r>
      <w:r w:rsidR="008A74EB" w:rsidRPr="00C9040A">
        <w:rPr>
          <w:rtl/>
        </w:rPr>
        <w:t xml:space="preserve"> هكذا في النسخ التي قوبلت والوافي والوسائل والبحار والمصادقة. وفي المطبوع : + « المؤمن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مصادقة الإخوان</w:t>
      </w:r>
      <w:r w:rsidR="008A74EB" w:rsidRPr="00C9040A">
        <w:rPr>
          <w:rtl/>
        </w:rPr>
        <w:t xml:space="preserve"> ، ص 78 ، ح 2 ، بسند آخر عن أبي‌جعفر ، عن أبيه </w:t>
      </w:r>
      <w:r w:rsidR="00117575" w:rsidRPr="00117575">
        <w:rPr>
          <w:rStyle w:val="libFootnoteAlaemChar"/>
          <w:rtl/>
        </w:rPr>
        <w:t>عليهما‌السلام</w:t>
      </w:r>
      <w:r w:rsidR="008A74EB" w:rsidRPr="00C9040A">
        <w:rPr>
          <w:rtl/>
        </w:rPr>
        <w:t xml:space="preserve">. </w:t>
      </w:r>
      <w:r w:rsidR="008A74EB" w:rsidRPr="00993B55">
        <w:rPr>
          <w:rStyle w:val="libFootnoteBoldChar"/>
          <w:rtl/>
        </w:rPr>
        <w:t>ثواب الأعمال</w:t>
      </w:r>
      <w:r w:rsidR="008A74EB" w:rsidRPr="00C9040A">
        <w:rPr>
          <w:rtl/>
        </w:rPr>
        <w:t xml:space="preserve"> ، ص 176 ، ضمن الحديث الطويل 1 ، بسند آخر ، وفيه : « إنّ المؤمن إذا لقي أخاه المؤمن فقال له : مرحباً</w:t>
      </w:r>
      <w:r w:rsidR="008A74EB">
        <w:rPr>
          <w:rtl/>
        </w:rPr>
        <w:t xml:space="preserve"> ..</w:t>
      </w:r>
      <w:r w:rsidR="008A74EB" w:rsidRPr="00C9040A">
        <w:rPr>
          <w:rtl/>
        </w:rPr>
        <w:t xml:space="preserve">. » </w:t>
      </w:r>
      <w:r w:rsidR="006A5872">
        <w:rPr>
          <w:rFonts w:hint="cs"/>
          <w:rtl/>
        </w:rPr>
        <w:t>.</w:t>
      </w:r>
      <w:r w:rsidR="008A74EB" w:rsidRPr="00993B55">
        <w:rPr>
          <w:rStyle w:val="libFootnoteBoldChar"/>
          <w:rtl/>
        </w:rPr>
        <w:t>الوافي</w:t>
      </w:r>
      <w:r w:rsidR="008A74EB" w:rsidRPr="00C9040A">
        <w:rPr>
          <w:rtl/>
        </w:rPr>
        <w:t xml:space="preserve"> ، ج 5 ، ص 645 ، ح 2780 ؛ </w:t>
      </w:r>
      <w:r w:rsidR="008A74EB" w:rsidRPr="00993B55">
        <w:rPr>
          <w:rStyle w:val="libFootnoteBoldChar"/>
          <w:rtl/>
        </w:rPr>
        <w:t>الوسائل</w:t>
      </w:r>
      <w:r w:rsidR="008A74EB" w:rsidRPr="00C9040A">
        <w:rPr>
          <w:rtl/>
        </w:rPr>
        <w:t xml:space="preserve"> ، ج 16 ، ص 374 ، ح 21801 ؛ </w:t>
      </w:r>
      <w:r w:rsidR="008A74EB" w:rsidRPr="00993B55">
        <w:rPr>
          <w:rStyle w:val="libFootnoteBoldChar"/>
          <w:rtl/>
        </w:rPr>
        <w:t>البحار</w:t>
      </w:r>
      <w:r w:rsidR="008A74EB" w:rsidRPr="00C9040A">
        <w:rPr>
          <w:rtl/>
        </w:rPr>
        <w:t xml:space="preserve"> ، ج 74 ، ص 298 ، ح 31.</w:t>
      </w:r>
    </w:p>
    <w:p w:rsidR="008A74EB" w:rsidRPr="00C9040A" w:rsidRDefault="006C577F" w:rsidP="004A4E41">
      <w:pPr>
        <w:pStyle w:val="libFootnote0"/>
        <w:rPr>
          <w:rtl/>
          <w:lang w:bidi="fa-IR"/>
        </w:rPr>
      </w:pPr>
      <w:r>
        <w:rPr>
          <w:rtl/>
        </w:rPr>
        <w:t>(5).</w:t>
      </w:r>
      <w:r w:rsidR="008A74EB" w:rsidRPr="00C9040A">
        <w:rPr>
          <w:rtl/>
        </w:rPr>
        <w:t xml:space="preserve"> في « ف » : « وعنه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هكذا في « ب ، ج ، د ، ز ، ص ، ف ، بر ، بس ، بف ، جر » والوسائل والبحار. وفي « ض » والمطبوع : « أحمد بن محمّد بن عيسى » بدل « أحمد بن محمّد عن محمّد بن عيسى »</w:t>
      </w:r>
      <w:r w:rsidR="008A74EB">
        <w:rPr>
          <w:rtl/>
        </w:rPr>
        <w:t>.</w:t>
      </w:r>
    </w:p>
    <w:p w:rsidR="008A74EB" w:rsidRPr="00C9040A" w:rsidRDefault="008A74EB" w:rsidP="004A4E41">
      <w:pPr>
        <w:pStyle w:val="libFootnote0"/>
        <w:rPr>
          <w:rtl/>
          <w:lang w:bidi="fa-IR"/>
        </w:rPr>
      </w:pPr>
      <w:r w:rsidRPr="00323A39">
        <w:rPr>
          <w:rtl/>
        </w:rPr>
        <w:t xml:space="preserve">وقد توسّطَ أحمد بن محمّد [ بن عيسى ] بين محمّد بن يحيى وبين محمّد بن عيسى في عدّة من الأسناد. راجع : </w:t>
      </w:r>
      <w:r w:rsidRPr="00993B55">
        <w:rPr>
          <w:rStyle w:val="libFootnoteBoldChar"/>
          <w:rtl/>
        </w:rPr>
        <w:t>معجم رجال الحديث</w:t>
      </w:r>
      <w:r w:rsidRPr="00323A39">
        <w:rPr>
          <w:rtl/>
        </w:rPr>
        <w:t xml:space="preserve"> ، ج 2 ، ص 570 </w:t>
      </w:r>
      <w:r w:rsidR="0084262C" w:rsidRPr="00323A39">
        <w:rPr>
          <w:rtl/>
        </w:rPr>
        <w:t>-</w:t>
      </w:r>
      <w:r w:rsidRPr="00323A39">
        <w:rPr>
          <w:rtl/>
        </w:rPr>
        <w:t xml:space="preserve"> 571 ، وص 697 </w:t>
      </w:r>
      <w:r w:rsidR="0084262C" w:rsidRPr="00323A39">
        <w:rPr>
          <w:rtl/>
        </w:rPr>
        <w:t>-</w:t>
      </w:r>
      <w:r w:rsidRPr="00323A39">
        <w:rPr>
          <w:rtl/>
        </w:rPr>
        <w:t xml:space="preserve"> 698.</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عَبْدِ اللهِ بْنِ سِنَانٍ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مَنْ أَتَاهُ أَخُوهُ الْمُسْلِمُ فَأَكْرَمَهُ ، فَإِنَّمَا أَكْرَمَ اللهَ عَزَّ وَجَلَّ »</w:t>
      </w:r>
      <w:r>
        <w:rPr>
          <w:rtl/>
          <w:lang w:bidi="fa-IR"/>
        </w:rPr>
        <w:t>.</w:t>
      </w:r>
      <w:r w:rsidR="006C577F" w:rsidRPr="006C577F">
        <w:rPr>
          <w:rStyle w:val="libFootnotenumChar"/>
          <w:rtl/>
        </w:rPr>
        <w:t>(1)</w:t>
      </w:r>
      <w:r w:rsidRPr="00C9040A">
        <w:rPr>
          <w:rtl/>
          <w:lang w:bidi="fa-IR"/>
        </w:rPr>
        <w:t>‌</w:t>
      </w:r>
    </w:p>
    <w:p w:rsidR="008A74EB" w:rsidRPr="00C9040A" w:rsidRDefault="008A74EB" w:rsidP="008A74EB">
      <w:pPr>
        <w:pStyle w:val="libNormal"/>
        <w:rPr>
          <w:rtl/>
          <w:lang w:bidi="fa-IR"/>
        </w:rPr>
      </w:pPr>
      <w:r w:rsidRPr="007C2253">
        <w:rPr>
          <w:rtl/>
        </w:rPr>
        <w:t>2202</w:t>
      </w:r>
      <w:r w:rsidRPr="00261CB0">
        <w:rPr>
          <w:rStyle w:val="libBold2Char"/>
          <w:rtl/>
        </w:rPr>
        <w:t xml:space="preserve"> / 4.</w:t>
      </w:r>
      <w:r w:rsidRPr="00C9040A">
        <w:rPr>
          <w:rtl/>
          <w:lang w:bidi="fa-IR"/>
        </w:rPr>
        <w:t xml:space="preserve"> عَنْهُ ، عَنْ أَحْمَدَ بْنِ مُحَمَّدٍ ، عَنِ ابْنِ مَحْبُوبٍ ، عَنْ نَصْرِ بْنِ إِسْحَاقَ ، عَنِ الْحَارِثِ بْنِ النُّعْمَانِ ، عَنْ الْهَيْثَمِ بْنِ حَمَّادٍ </w:t>
      </w:r>
      <w:r w:rsidR="006C577F" w:rsidRPr="006C577F">
        <w:rPr>
          <w:rStyle w:val="libFootnotenumChar"/>
          <w:rtl/>
        </w:rPr>
        <w:t>(2)</w:t>
      </w:r>
      <w:r w:rsidRPr="00C9040A">
        <w:rPr>
          <w:rtl/>
          <w:lang w:bidi="fa-IR"/>
        </w:rPr>
        <w:t xml:space="preserve"> ، عَنْ أَبِي دَاوُدَ ، عَنْ زَيْدِ بْنِ أَرْقَمَ ، قَالَ :</w:t>
      </w:r>
    </w:p>
    <w:p w:rsidR="008A74EB" w:rsidRPr="00C9040A" w:rsidRDefault="008A74EB" w:rsidP="008A74EB">
      <w:pPr>
        <w:pStyle w:val="libNormal"/>
        <w:rPr>
          <w:rtl/>
          <w:lang w:bidi="fa-IR"/>
        </w:rPr>
      </w:pPr>
      <w:r w:rsidRPr="00C9040A">
        <w:rPr>
          <w:rtl/>
          <w:lang w:bidi="fa-IR"/>
        </w:rPr>
        <w:t xml:space="preserve">« قَالَ رَسُولُ اللهِ </w:t>
      </w:r>
      <w:r w:rsidR="004A4E41" w:rsidRPr="004A4E41">
        <w:rPr>
          <w:rStyle w:val="libAlaemChar"/>
          <w:rtl/>
        </w:rPr>
        <w:t>صلى‌الله‌عليه‌وآله</w:t>
      </w:r>
      <w:r w:rsidRPr="00C9040A">
        <w:rPr>
          <w:rtl/>
          <w:lang w:bidi="fa-IR"/>
        </w:rPr>
        <w:t xml:space="preserve"> : مَا فِي أُمَّتِي عَبْدٌ أَلْطَفَ </w:t>
      </w:r>
      <w:r w:rsidR="006C577F" w:rsidRPr="006C577F">
        <w:rPr>
          <w:rStyle w:val="libFootnotenumChar"/>
          <w:rtl/>
        </w:rPr>
        <w:t>(3)</w:t>
      </w:r>
      <w:r w:rsidRPr="00C9040A">
        <w:rPr>
          <w:rtl/>
          <w:lang w:bidi="fa-IR"/>
        </w:rPr>
        <w:t xml:space="preserve"> أَخَاهُ </w:t>
      </w:r>
      <w:r w:rsidR="006C577F" w:rsidRPr="006C577F">
        <w:rPr>
          <w:rStyle w:val="libFootnotenumChar"/>
          <w:rtl/>
        </w:rPr>
        <w:t>(4)</w:t>
      </w:r>
      <w:r w:rsidRPr="00C9040A">
        <w:rPr>
          <w:rtl/>
          <w:lang w:bidi="fa-IR"/>
        </w:rPr>
        <w:t xml:space="preserve"> فِي اللهِ بِشَيْ‌ءٍ مِنْ لُطْفٍ </w:t>
      </w:r>
      <w:r w:rsidR="006C577F" w:rsidRPr="006C577F">
        <w:rPr>
          <w:rStyle w:val="libFootnotenumChar"/>
          <w:rtl/>
        </w:rPr>
        <w:t>(5)</w:t>
      </w:r>
      <w:r w:rsidR="006A5872">
        <w:rPr>
          <w:rtl/>
          <w:lang w:bidi="fa-IR"/>
        </w:rPr>
        <w:t xml:space="preserve"> إِل</w:t>
      </w:r>
      <w:r w:rsidR="006A5872">
        <w:rPr>
          <w:rFonts w:hint="cs"/>
          <w:rtl/>
          <w:lang w:bidi="fa-IR"/>
        </w:rPr>
        <w:t>َّ</w:t>
      </w:r>
      <w:r w:rsidR="006A5872">
        <w:rPr>
          <w:rtl/>
          <w:lang w:bidi="fa-IR"/>
        </w:rPr>
        <w:t>ا</w:t>
      </w:r>
      <w:r w:rsidRPr="00C9040A">
        <w:rPr>
          <w:rtl/>
          <w:lang w:bidi="fa-IR"/>
        </w:rPr>
        <w:t xml:space="preserve"> أَخْدَمَهُ </w:t>
      </w:r>
      <w:r w:rsidR="006C577F" w:rsidRPr="006C577F">
        <w:rPr>
          <w:rStyle w:val="libFootnotenumChar"/>
          <w:rtl/>
        </w:rPr>
        <w:t>(6)</w:t>
      </w:r>
      <w:r w:rsidRPr="005B567D">
        <w:rPr>
          <w:rStyle w:val="libFootnotenumChar"/>
          <w:rtl/>
        </w:rPr>
        <w:t xml:space="preserve"> </w:t>
      </w:r>
      <w:r w:rsidRPr="00C9040A">
        <w:rPr>
          <w:rtl/>
          <w:lang w:bidi="fa-IR"/>
        </w:rPr>
        <w:t>اللهُ مِنْ خَدَمِ الْجَنَّةِ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7C2253">
        <w:rPr>
          <w:rtl/>
        </w:rPr>
        <w:t>2203</w:t>
      </w:r>
      <w:r w:rsidRPr="00261CB0">
        <w:rPr>
          <w:rStyle w:val="libBold2Char"/>
          <w:rtl/>
        </w:rPr>
        <w:t xml:space="preserve"> / 5.</w:t>
      </w:r>
      <w:r w:rsidRPr="00C9040A">
        <w:rPr>
          <w:rtl/>
          <w:lang w:bidi="fa-IR"/>
        </w:rPr>
        <w:t xml:space="preserve"> وَعَنْهُ ، عَنْ أَحْمَدَ بْنِ مُحَمَّدٍ ، عَنْ بَكْرِ بْنِ صَالِحٍ ، عَنِ الْحَسَنِ بْنِ عَلِيٍّ ، عَنْ عَبْدِ اللهِ بْنِ جَعْفَرِ بْنِ إِبْرَاهِيمَ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مَنْ أَكْرَمَ أَخَاهُ الْمُسْلِمَ </w:t>
      </w:r>
      <w:r w:rsidR="006C577F" w:rsidRPr="006C577F">
        <w:rPr>
          <w:rStyle w:val="libFootnotenumChar"/>
          <w:rtl/>
        </w:rPr>
        <w:t>(8)</w:t>
      </w:r>
      <w:r w:rsidRPr="00C9040A">
        <w:rPr>
          <w:rtl/>
          <w:lang w:bidi="fa-IR"/>
        </w:rPr>
        <w:t xml:space="preserve"> بِكَلِمَةٍ يُلْطِفُهُ </w:t>
      </w:r>
      <w:r w:rsidR="006C577F" w:rsidRPr="006C577F">
        <w:rPr>
          <w:rStyle w:val="libFootnotenumChar"/>
          <w:rtl/>
        </w:rPr>
        <w:t>(9)</w:t>
      </w:r>
      <w:r w:rsidRPr="00C9040A">
        <w:rPr>
          <w:rtl/>
          <w:lang w:bidi="fa-IR"/>
        </w:rPr>
        <w:t xml:space="preserve"> بِهَا وَفَرَّجَ عَنْهُ كُرْبَتَهُ ، لَمْ يَزَلْ فِي ظِلِّ اللهِ الْمَمْدُودِ ،</w:t>
      </w:r>
      <w:r w:rsidR="006A5872">
        <w:rPr>
          <w:rFonts w:hint="cs"/>
          <w:rtl/>
          <w:lang w:bidi="fa-IR"/>
        </w:rPr>
        <w:t>.........................</w:t>
      </w:r>
      <w:r w:rsidR="006A5872">
        <w:rPr>
          <w:rFonts w:hint="cs"/>
          <w:rtl/>
          <w:lang w:bidi="fa-IR"/>
        </w:rPr>
        <w:tab/>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993B55">
        <w:rPr>
          <w:rStyle w:val="libFootnoteBoldChar"/>
          <w:rtl/>
        </w:rPr>
        <w:t>الوافي</w:t>
      </w:r>
      <w:r w:rsidR="008A74EB" w:rsidRPr="00C9040A">
        <w:rPr>
          <w:rtl/>
        </w:rPr>
        <w:t xml:space="preserve"> ، ج 5 ، ص 645 ، ح 2781 ؛ </w:t>
      </w:r>
      <w:r w:rsidR="008A74EB" w:rsidRPr="00993B55">
        <w:rPr>
          <w:rStyle w:val="libFootnoteBoldChar"/>
          <w:rtl/>
        </w:rPr>
        <w:t>الوسائل</w:t>
      </w:r>
      <w:r w:rsidR="008A74EB" w:rsidRPr="00C9040A">
        <w:rPr>
          <w:rtl/>
        </w:rPr>
        <w:t xml:space="preserve"> ، ج 16 ، ص 376 ، ح 21804 ؛ </w:t>
      </w:r>
      <w:r w:rsidR="008A74EB" w:rsidRPr="00993B55">
        <w:rPr>
          <w:rStyle w:val="libFootnoteBoldChar"/>
          <w:rtl/>
        </w:rPr>
        <w:t>البحار</w:t>
      </w:r>
      <w:r w:rsidR="008A74EB" w:rsidRPr="00C9040A">
        <w:rPr>
          <w:rtl/>
        </w:rPr>
        <w:t xml:space="preserve"> ، ج 74 ، ص 298 ، ح 32.</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كذا في النسخ والمطبوع والوسائل والبحار. والظاهر وقوع التحريف في العنوان ، والصواب : « الهيثم بن جمّاز » ؛ فإنّ أبا داود الراوي عن زيد بن أرقم هو نفيع بن الحارث أبوداود الأعمى ، وقد عُدَّ الهيثم بن جمّاز من رواة نفيع هذا. راجع : </w:t>
      </w:r>
      <w:r w:rsidR="008A74EB" w:rsidRPr="00993B55">
        <w:rPr>
          <w:rStyle w:val="libFootnoteBoldChar"/>
          <w:rtl/>
        </w:rPr>
        <w:t>تهذيب الكمال</w:t>
      </w:r>
      <w:r w:rsidR="008A74EB" w:rsidRPr="00C9040A">
        <w:rPr>
          <w:rtl/>
        </w:rPr>
        <w:t xml:space="preserve"> ، ج 10 ، ص 9 ، الرقم 2087 ؛ وج 30 ، ص 9 ، الرقم 6466.</w:t>
      </w:r>
    </w:p>
    <w:p w:rsidR="008A74EB" w:rsidRPr="00C9040A" w:rsidRDefault="006C577F" w:rsidP="004A4E41">
      <w:pPr>
        <w:pStyle w:val="libFootnote0"/>
        <w:rPr>
          <w:rtl/>
          <w:lang w:bidi="fa-IR"/>
        </w:rPr>
      </w:pPr>
      <w:r>
        <w:rPr>
          <w:rtl/>
        </w:rPr>
        <w:t>(3).</w:t>
      </w:r>
      <w:r w:rsidR="008A74EB" w:rsidRPr="00C9040A">
        <w:rPr>
          <w:rtl/>
        </w:rPr>
        <w:t xml:space="preserve"> ألطفه بكذا ، أي‌بَرَّه به. والاسم اللَّطَفُ. يقال : جاءتنا لَطَفَةٌ من فلان ، أي‌هديّة. </w:t>
      </w:r>
      <w:r w:rsidR="008A74EB" w:rsidRPr="00993B55">
        <w:rPr>
          <w:rStyle w:val="libFootnoteBoldChar"/>
          <w:rtl/>
        </w:rPr>
        <w:t>الصحاح</w:t>
      </w:r>
      <w:r w:rsidR="008A74EB" w:rsidRPr="00C9040A">
        <w:rPr>
          <w:rtl/>
        </w:rPr>
        <w:t xml:space="preserve"> ، ج 4 ص 1427 ( لطف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ثواب الأعمال « ما من عبد لاطف أخاه » بدل « ما في ا</w:t>
      </w:r>
      <w:r w:rsidR="008C1B53">
        <w:rPr>
          <w:rFonts w:hint="cs"/>
          <w:rtl/>
        </w:rPr>
        <w:t>ُ</w:t>
      </w:r>
      <w:r w:rsidR="008A74EB" w:rsidRPr="00C9040A">
        <w:rPr>
          <w:rtl/>
        </w:rPr>
        <w:t>مّتي عبد ألطف أخاه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ز ، ص » : « لطفه »</w:t>
      </w:r>
      <w:r w:rsidR="008A74EB">
        <w:rPr>
          <w:rtl/>
        </w:rPr>
        <w:t>.</w:t>
      </w:r>
      <w:r w:rsidR="008A74EB" w:rsidRPr="00C9040A">
        <w:rPr>
          <w:rtl/>
        </w:rPr>
        <w:t xml:space="preserve"> وفي ثواب الأعمال : « اللطف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الوسائل : « ألطفه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ثواب الأعمال</w:t>
      </w:r>
      <w:r w:rsidR="008A74EB" w:rsidRPr="00C9040A">
        <w:rPr>
          <w:rtl/>
        </w:rPr>
        <w:t xml:space="preserve"> ، ص 181 ، ح 1 ، بسنده عن محمّد بن أحمد ، عن أحمد بن محمّد ، عن النضر بن إسحاق ، عن الحارث بن النعمان ، عن الهيثم بن حمّاد ، عن داود ، عن زيد بن أرقم. </w:t>
      </w:r>
      <w:r w:rsidR="008A74EB" w:rsidRPr="00993B55">
        <w:rPr>
          <w:rStyle w:val="libFootnoteBoldChar"/>
          <w:rtl/>
        </w:rPr>
        <w:t>مصادقة الإخوان</w:t>
      </w:r>
      <w:r w:rsidR="008A74EB" w:rsidRPr="00C9040A">
        <w:rPr>
          <w:rtl/>
        </w:rPr>
        <w:t xml:space="preserve"> ، ص 78 ، ح 1 ، عن زيد بن أرقم </w:t>
      </w:r>
      <w:r w:rsidR="008C1B53">
        <w:rPr>
          <w:rFonts w:hint="cs"/>
          <w:rtl/>
        </w:rPr>
        <w:t>.</w:t>
      </w:r>
      <w:r w:rsidR="008A74EB" w:rsidRPr="00993B55">
        <w:rPr>
          <w:rStyle w:val="libFootnoteBoldChar"/>
          <w:rtl/>
        </w:rPr>
        <w:t>الوافي</w:t>
      </w:r>
      <w:r w:rsidR="008A74EB" w:rsidRPr="00C9040A">
        <w:rPr>
          <w:rtl/>
        </w:rPr>
        <w:t xml:space="preserve"> ، ج 5 ، ص 646 ، ح 2782 ؛ </w:t>
      </w:r>
      <w:r w:rsidR="008A74EB" w:rsidRPr="00993B55">
        <w:rPr>
          <w:rStyle w:val="libFootnoteBoldChar"/>
          <w:rtl/>
        </w:rPr>
        <w:t>الوسائل</w:t>
      </w:r>
      <w:r w:rsidR="008A74EB" w:rsidRPr="00C9040A">
        <w:rPr>
          <w:rtl/>
        </w:rPr>
        <w:t xml:space="preserve"> ، ج 16 ، ص 375 ، ح 21802 ؛ </w:t>
      </w:r>
      <w:r w:rsidR="008A74EB" w:rsidRPr="00993B55">
        <w:rPr>
          <w:rStyle w:val="libFootnoteBoldChar"/>
          <w:rtl/>
        </w:rPr>
        <w:t>البحار</w:t>
      </w:r>
      <w:r w:rsidR="008A74EB" w:rsidRPr="00C9040A">
        <w:rPr>
          <w:rtl/>
        </w:rPr>
        <w:t xml:space="preserve"> ، ج 74 ، ص 298 ، ح 33.</w:t>
      </w:r>
    </w:p>
    <w:p w:rsidR="008A74EB" w:rsidRPr="00C9040A" w:rsidRDefault="006C577F" w:rsidP="004A4E41">
      <w:pPr>
        <w:pStyle w:val="libFootnote0"/>
        <w:rPr>
          <w:rtl/>
          <w:lang w:bidi="fa-IR"/>
        </w:rPr>
      </w:pPr>
      <w:r>
        <w:rPr>
          <w:rtl/>
        </w:rPr>
        <w:t>(8).</w:t>
      </w:r>
      <w:r w:rsidR="008A74EB" w:rsidRPr="00C9040A">
        <w:rPr>
          <w:rtl/>
        </w:rPr>
        <w:t xml:space="preserve"> في الوسائل : « المؤمن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ب ، ز » : « تلطّفه » فعلاً ماضياً من باب التفعّل. وفي « ف » : « يلطف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عَلَيْهِ </w:t>
      </w:r>
      <w:r w:rsidR="006C577F" w:rsidRPr="006C577F">
        <w:rPr>
          <w:rStyle w:val="libFootnotenumChar"/>
          <w:rtl/>
        </w:rPr>
        <w:t>(1)</w:t>
      </w:r>
      <w:r w:rsidRPr="00C9040A">
        <w:rPr>
          <w:rtl/>
          <w:lang w:bidi="fa-IR"/>
        </w:rPr>
        <w:t xml:space="preserve"> الرَّحْمَةُ مَا كَانَ </w:t>
      </w:r>
      <w:r w:rsidR="006C577F" w:rsidRPr="006C577F">
        <w:rPr>
          <w:rStyle w:val="libFootnotenumChar"/>
          <w:rtl/>
        </w:rPr>
        <w:t>(2)</w:t>
      </w:r>
      <w:r w:rsidRPr="00C9040A">
        <w:rPr>
          <w:rtl/>
          <w:lang w:bidi="fa-IR"/>
        </w:rPr>
        <w:t xml:space="preserve"> فِي ذلِكَ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7C2253">
        <w:rPr>
          <w:rtl/>
        </w:rPr>
        <w:t>2204</w:t>
      </w:r>
      <w:r w:rsidRPr="00261CB0">
        <w:rPr>
          <w:rStyle w:val="libBold2Char"/>
          <w:rtl/>
        </w:rPr>
        <w:t xml:space="preserve"> / 6.</w:t>
      </w:r>
      <w:r w:rsidRPr="00C9040A">
        <w:rPr>
          <w:rtl/>
          <w:lang w:bidi="fa-IR"/>
        </w:rPr>
        <w:t xml:space="preserve"> عَنْهُ ، عَنْ أَحْمَدَ بْنِ مُحَمَّدٍ ، عَنْ عُمَرَ بْنِ عَبْدِ الْعَزِيزِ ، عَنْ جَمِيلٍ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سَمِعْتُهُ يَقُولُ : « إِنَّ مِمَّا خَصَّ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بِهِ الْمُؤْمِنَ أَنْ يُعَرِّفَهُ بِرَّ إِخْوَانِهِ </w:t>
      </w:r>
      <w:r w:rsidR="006C577F" w:rsidRPr="006C577F">
        <w:rPr>
          <w:rStyle w:val="libFootnotenumChar"/>
          <w:rtl/>
        </w:rPr>
        <w:t>(4)</w:t>
      </w:r>
      <w:r w:rsidRPr="00C9040A">
        <w:rPr>
          <w:rtl/>
          <w:lang w:bidi="fa-IR"/>
        </w:rPr>
        <w:t xml:space="preserve"> وَإِنْ قَلَّ ، وَلَيْسَ الْبِرُّ بِالْكَثْرَةِ </w:t>
      </w:r>
      <w:r w:rsidR="006C577F" w:rsidRPr="006C577F">
        <w:rPr>
          <w:rStyle w:val="libFootnotenumChar"/>
          <w:rtl/>
        </w:rPr>
        <w:t>(5)</w:t>
      </w:r>
      <w:r w:rsidRPr="00C9040A">
        <w:rPr>
          <w:rtl/>
          <w:lang w:bidi="fa-IR"/>
        </w:rPr>
        <w:t xml:space="preserve"> ، وَذلِكَ أَنَّ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يَقُولُ </w:t>
      </w:r>
      <w:r w:rsidR="006C577F" w:rsidRPr="006C577F">
        <w:rPr>
          <w:rStyle w:val="libFootnotenumChar"/>
          <w:rtl/>
        </w:rPr>
        <w:t>(6)</w:t>
      </w:r>
      <w:r w:rsidRPr="005B567D">
        <w:rPr>
          <w:rStyle w:val="libFootnotenumChar"/>
          <w:rtl/>
        </w:rPr>
        <w:t xml:space="preserve"> </w:t>
      </w:r>
      <w:r w:rsidRPr="00C9040A">
        <w:rPr>
          <w:rtl/>
          <w:lang w:bidi="fa-IR"/>
        </w:rPr>
        <w:t xml:space="preserve">فِي كِتَابِهِ : </w:t>
      </w:r>
      <w:r w:rsidRPr="0003660B">
        <w:rPr>
          <w:rStyle w:val="libAlaemChar"/>
          <w:rtl/>
        </w:rPr>
        <w:t>(</w:t>
      </w:r>
      <w:r w:rsidRPr="006A2246">
        <w:rPr>
          <w:rStyle w:val="libAieChar"/>
          <w:rtl/>
        </w:rPr>
        <w:t xml:space="preserve"> وَيُؤْثِرُونَ عَلى أَنْفُسِهِمْ وَلَوْ كانَ بِهِمْ خَصاصَةٌ </w:t>
      </w:r>
      <w:r w:rsidRPr="0003660B">
        <w:rPr>
          <w:rStyle w:val="libAlaemChar"/>
          <w:rtl/>
        </w:rPr>
        <w:t>)</w:t>
      </w:r>
      <w:r w:rsidRPr="00C9040A">
        <w:rPr>
          <w:rtl/>
          <w:lang w:bidi="fa-IR"/>
        </w:rPr>
        <w:t xml:space="preserve">. ثُمَّ قَالَ : </w:t>
      </w:r>
      <w:r w:rsidRPr="0003660B">
        <w:rPr>
          <w:rStyle w:val="libAlaemChar"/>
          <w:rtl/>
        </w:rPr>
        <w:t>(</w:t>
      </w:r>
      <w:r w:rsidRPr="006A2246">
        <w:rPr>
          <w:rStyle w:val="libAieChar"/>
          <w:rtl/>
        </w:rPr>
        <w:t xml:space="preserve"> وَمَنْ يُوقَ شُحَّ نَفْسِهِ فَأُولئِكَ هُمُ الْمُفْلِحُونَ </w:t>
      </w:r>
      <w:r w:rsidRPr="0003660B">
        <w:rPr>
          <w:rStyle w:val="libAlaemChar"/>
          <w:rtl/>
        </w:rPr>
        <w:t>)</w:t>
      </w:r>
      <w:r w:rsidRPr="00C9040A">
        <w:rPr>
          <w:rtl/>
          <w:lang w:bidi="fa-IR"/>
        </w:rPr>
        <w:t xml:space="preserve"> </w:t>
      </w:r>
      <w:r w:rsidR="006C577F" w:rsidRPr="006C577F">
        <w:rPr>
          <w:rStyle w:val="libFootnotenumChar"/>
          <w:rtl/>
        </w:rPr>
        <w:t>(7)</w:t>
      </w:r>
      <w:r w:rsidRPr="00C9040A">
        <w:rPr>
          <w:rtl/>
          <w:lang w:bidi="fa-IR"/>
        </w:rPr>
        <w:t xml:space="preserve"> وَمَنْ عَرَّفَهُ </w:t>
      </w:r>
      <w:r w:rsidR="006C577F" w:rsidRPr="006C577F">
        <w:rPr>
          <w:rStyle w:val="libFootnotenumChar"/>
          <w:rtl/>
        </w:rPr>
        <w:t>(8)</w:t>
      </w:r>
      <w:r w:rsidRPr="00C9040A">
        <w:rPr>
          <w:rtl/>
          <w:lang w:bidi="fa-IR"/>
        </w:rPr>
        <w:t xml:space="preserve">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بِذلِكَ أَحَبَّهُ اللهُ </w:t>
      </w:r>
      <w:r w:rsidR="006C577F" w:rsidRPr="006C577F">
        <w:rPr>
          <w:rStyle w:val="libFootnotenumChar"/>
          <w:rtl/>
        </w:rPr>
        <w:t>(9)</w:t>
      </w:r>
      <w:r w:rsidRPr="00C9040A">
        <w:rPr>
          <w:rtl/>
          <w:lang w:bidi="fa-IR"/>
        </w:rPr>
        <w:t xml:space="preserve"> ، وَمَنْ أَحَبَّهُ اللهُ </w:t>
      </w:r>
      <w:r w:rsidR="006C577F" w:rsidRPr="006C577F">
        <w:rPr>
          <w:rStyle w:val="libFootnotenumChar"/>
          <w:rtl/>
        </w:rPr>
        <w:t>(10)</w:t>
      </w:r>
      <w:r>
        <w:rPr>
          <w:rtl/>
          <w:lang w:bidi="fa-IR"/>
        </w:rPr>
        <w:t xml:space="preserve"> </w:t>
      </w:r>
      <w:r w:rsidR="0084262C">
        <w:rPr>
          <w:rtl/>
          <w:lang w:bidi="fa-IR"/>
        </w:rPr>
        <w:t>-</w:t>
      </w:r>
      <w:r>
        <w:rPr>
          <w:rtl/>
          <w:lang w:bidi="fa-IR"/>
        </w:rPr>
        <w:t xml:space="preserve"> </w:t>
      </w:r>
      <w:r w:rsidRPr="00C9040A">
        <w:rPr>
          <w:rtl/>
          <w:lang w:bidi="fa-IR"/>
        </w:rPr>
        <w:t>تَبَارَكَ وَتَعَالى</w:t>
      </w:r>
      <w:r>
        <w:rPr>
          <w:rtl/>
          <w:lang w:bidi="fa-IR"/>
        </w:rPr>
        <w:t xml:space="preserve"> </w:t>
      </w:r>
      <w:r w:rsidR="0084262C">
        <w:rPr>
          <w:rtl/>
          <w:lang w:bidi="fa-IR"/>
        </w:rPr>
        <w:t>-</w:t>
      </w:r>
      <w:r>
        <w:rPr>
          <w:rtl/>
          <w:lang w:bidi="fa-IR"/>
        </w:rPr>
        <w:t xml:space="preserve"> </w:t>
      </w:r>
      <w:r w:rsidRPr="00C9040A">
        <w:rPr>
          <w:rtl/>
          <w:lang w:bidi="fa-IR"/>
        </w:rPr>
        <w:t xml:space="preserve">وَفَّاهُ </w:t>
      </w:r>
      <w:r w:rsidR="006C577F" w:rsidRPr="006C577F">
        <w:rPr>
          <w:rStyle w:val="libFootnotenumChar"/>
          <w:rtl/>
        </w:rPr>
        <w:t>(11)</w:t>
      </w:r>
      <w:r w:rsidRPr="00C9040A">
        <w:rPr>
          <w:rtl/>
          <w:lang w:bidi="fa-IR"/>
        </w:rPr>
        <w:t xml:space="preserve"> أَجْرَهُ يَوْمَ الْقِيَامَةِ بِغَيْرِ حِسَابٍ »</w:t>
      </w:r>
      <w:r>
        <w:rPr>
          <w:rtl/>
          <w:lang w:bidi="fa-IR"/>
        </w:rPr>
        <w:t>.</w:t>
      </w:r>
    </w:p>
    <w:p w:rsidR="008A74EB" w:rsidRPr="00C9040A" w:rsidRDefault="008A74EB" w:rsidP="008A74EB">
      <w:pPr>
        <w:pStyle w:val="libNormal"/>
        <w:rPr>
          <w:rtl/>
          <w:lang w:bidi="fa-IR"/>
        </w:rPr>
      </w:pPr>
      <w:r w:rsidRPr="00C9040A">
        <w:rPr>
          <w:rtl/>
          <w:lang w:bidi="fa-IR"/>
        </w:rPr>
        <w:t xml:space="preserve">ثُمَّ قَالَ : « يَا جَمِيلُ ، ارْوِ هذَا الْحَدِيثَ لِإِخْوَانِكَ ؛ فَإِنَّهُ تَرْغِيبٌ </w:t>
      </w:r>
      <w:r w:rsidR="006C577F" w:rsidRPr="006C577F">
        <w:rPr>
          <w:rStyle w:val="libFootnotenumChar"/>
          <w:rtl/>
        </w:rPr>
        <w:t>(12)</w:t>
      </w:r>
      <w:r w:rsidRPr="00C9040A">
        <w:rPr>
          <w:rtl/>
          <w:lang w:bidi="fa-IR"/>
        </w:rPr>
        <w:t xml:space="preserve"> فِي الْبِرِّ </w:t>
      </w:r>
      <w:r w:rsidRPr="005B567D">
        <w:rPr>
          <w:rStyle w:val="libFootnotenumChar"/>
          <w:rtl/>
        </w:rPr>
        <w:t>(13)</w:t>
      </w:r>
      <w:r w:rsidRPr="00C9040A">
        <w:rPr>
          <w:rtl/>
          <w:lang w:bidi="fa-IR"/>
        </w:rPr>
        <w:t xml:space="preserve"> »</w:t>
      </w:r>
      <w:r>
        <w:rPr>
          <w:rtl/>
          <w:lang w:bidi="fa-IR"/>
        </w:rPr>
        <w:t>.</w:t>
      </w:r>
      <w:r w:rsidRPr="00C9040A">
        <w:rPr>
          <w:rtl/>
          <w:lang w:bidi="fa-IR"/>
        </w:rPr>
        <w:t xml:space="preserve"> </w:t>
      </w:r>
      <w:r w:rsidRPr="005B567D">
        <w:rPr>
          <w:rStyle w:val="libFootnotenumChar"/>
          <w:rtl/>
        </w:rPr>
        <w:t>(14)</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8C1B53" w:rsidTr="008C1B53">
        <w:tc>
          <w:tcPr>
            <w:tcW w:w="4006" w:type="dxa"/>
          </w:tcPr>
          <w:p w:rsidR="008C1B53" w:rsidRDefault="008C1B53" w:rsidP="004A4E41">
            <w:pPr>
              <w:pStyle w:val="libFootnote0"/>
              <w:rPr>
                <w:rtl/>
              </w:rPr>
            </w:pPr>
            <w:r>
              <w:rPr>
                <w:rtl/>
              </w:rPr>
              <w:t xml:space="preserve">(1). </w:t>
            </w:r>
            <w:r w:rsidRPr="00C9040A">
              <w:rPr>
                <w:rtl/>
              </w:rPr>
              <w:t>في الوسائل : + « من »</w:t>
            </w:r>
            <w:r>
              <w:rPr>
                <w:rtl/>
              </w:rPr>
              <w:t>.</w:t>
            </w:r>
          </w:p>
        </w:tc>
        <w:tc>
          <w:tcPr>
            <w:tcW w:w="4006" w:type="dxa"/>
          </w:tcPr>
          <w:p w:rsidR="008C1B53" w:rsidRDefault="008C1B53" w:rsidP="004A4E41">
            <w:pPr>
              <w:pStyle w:val="libFootnote0"/>
              <w:rPr>
                <w:rtl/>
              </w:rPr>
            </w:pPr>
            <w:r>
              <w:rPr>
                <w:rtl/>
              </w:rPr>
              <w:t xml:space="preserve">(2). </w:t>
            </w:r>
            <w:r w:rsidRPr="00C9040A">
              <w:rPr>
                <w:rtl/>
              </w:rPr>
              <w:t>في الوافي : « ما دام</w:t>
            </w:r>
            <w:r>
              <w:rPr>
                <w:rtl/>
              </w:rPr>
              <w:t xml:space="preserve"> - </w:t>
            </w:r>
            <w:r w:rsidRPr="00C9040A">
              <w:rPr>
                <w:rtl/>
              </w:rPr>
              <w:t>خ ل »</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w:t>
      </w:r>
      <w:r w:rsidR="008A74EB" w:rsidRPr="00993B55">
        <w:rPr>
          <w:rStyle w:val="libFootnoteBoldChar"/>
          <w:rtl/>
        </w:rPr>
        <w:t>ثواب الأعمال</w:t>
      </w:r>
      <w:r w:rsidR="008A74EB" w:rsidRPr="00C9040A">
        <w:rPr>
          <w:rtl/>
        </w:rPr>
        <w:t xml:space="preserve"> ، ص 178 ، ح 1 ، بسنده عن أحمد بن أبي‌عبدالله بن محمّد الغفاري ، عن جعفر بن إبراهيم ، عن أبي‌عبدالله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الجعفريّات</w:t>
      </w:r>
      <w:r w:rsidR="008A74EB" w:rsidRPr="00C9040A">
        <w:rPr>
          <w:rtl/>
        </w:rPr>
        <w:t xml:space="preserve"> ، ص 194 ، بسند آخر عن جعفر بن محمّد ، عن آبائه </w:t>
      </w:r>
      <w:r w:rsidR="00117575" w:rsidRPr="00117575">
        <w:rPr>
          <w:rStyle w:val="libFootnoteAlaemChar"/>
          <w:rtl/>
        </w:rPr>
        <w:t>عليهم‌السلام</w:t>
      </w:r>
      <w:r w:rsidR="008A74EB" w:rsidRPr="00C9040A">
        <w:rPr>
          <w:rtl/>
        </w:rPr>
        <w:t xml:space="preserve"> عن رسول الله </w:t>
      </w:r>
      <w:r w:rsidR="004A4E41" w:rsidRPr="008C1B53">
        <w:rPr>
          <w:rStyle w:val="libFootnoteAlaemChar"/>
          <w:rtl/>
        </w:rPr>
        <w:t>صلى‌الله‌عليه‌وآله</w:t>
      </w:r>
      <w:r w:rsidR="008A74EB" w:rsidRPr="00C9040A">
        <w:rPr>
          <w:rtl/>
        </w:rPr>
        <w:t xml:space="preserve">. </w:t>
      </w:r>
      <w:r w:rsidR="008A74EB" w:rsidRPr="00993B55">
        <w:rPr>
          <w:rStyle w:val="libFootnoteBoldChar"/>
          <w:rtl/>
        </w:rPr>
        <w:t>علل الشرائع</w:t>
      </w:r>
      <w:r w:rsidR="008A74EB" w:rsidRPr="00C9040A">
        <w:rPr>
          <w:rtl/>
        </w:rPr>
        <w:t xml:space="preserve"> ، ص 523 ، صدر ح 2 ، بسند آخر عن جعفر بن محمّد ، عن أبيه </w:t>
      </w:r>
      <w:r w:rsidR="00117575" w:rsidRPr="00117575">
        <w:rPr>
          <w:rStyle w:val="libFootnoteAlaemChar"/>
          <w:rtl/>
        </w:rPr>
        <w:t>عليهما‌السلام</w:t>
      </w:r>
      <w:r w:rsidR="008A74EB" w:rsidRPr="00C9040A">
        <w:rPr>
          <w:rtl/>
        </w:rPr>
        <w:t xml:space="preserve"> ، عن رسول الله </w:t>
      </w:r>
      <w:r w:rsidR="004A4E41" w:rsidRPr="008C1B53">
        <w:rPr>
          <w:rStyle w:val="libFootnoteAlaemChar"/>
          <w:rtl/>
        </w:rPr>
        <w:t>صلى‌الله‌عليه‌وآله</w:t>
      </w:r>
      <w:r w:rsidR="008A74EB" w:rsidRPr="00C9040A">
        <w:rPr>
          <w:rtl/>
        </w:rPr>
        <w:t xml:space="preserve"> ، وفيهما مع اختلاف يسير. </w:t>
      </w:r>
      <w:r w:rsidR="008A74EB" w:rsidRPr="00993B55">
        <w:rPr>
          <w:rStyle w:val="libFootnoteBoldChar"/>
          <w:rtl/>
        </w:rPr>
        <w:t>المؤمن</w:t>
      </w:r>
      <w:r w:rsidR="008A74EB" w:rsidRPr="00C9040A">
        <w:rPr>
          <w:rtl/>
        </w:rPr>
        <w:t xml:space="preserve"> ، ص 52 ، ح 128 ، عن أبي‌جعفر </w:t>
      </w:r>
      <w:r w:rsidR="00117575" w:rsidRPr="00117575">
        <w:rPr>
          <w:rStyle w:val="libFootnoteAlaemChar"/>
          <w:rtl/>
        </w:rPr>
        <w:t xml:space="preserve">عليه‌السلام </w:t>
      </w:r>
      <w:r w:rsidR="008A74EB" w:rsidRPr="00C9040A">
        <w:rPr>
          <w:rtl/>
        </w:rPr>
        <w:t xml:space="preserve"> عن رسول الله </w:t>
      </w:r>
      <w:r w:rsidR="004A4E41" w:rsidRPr="008C1B53">
        <w:rPr>
          <w:rStyle w:val="libFootnoteAlaemChar"/>
          <w:rtl/>
        </w:rPr>
        <w:t>صلى‌الله‌عليه‌وآله</w:t>
      </w:r>
      <w:r w:rsidR="008A74EB" w:rsidRPr="00C9040A">
        <w:rPr>
          <w:rtl/>
        </w:rPr>
        <w:t xml:space="preserve"> ، مع اختلاف </w:t>
      </w:r>
      <w:r w:rsidR="008C1B53">
        <w:rPr>
          <w:rFonts w:hint="cs"/>
          <w:rtl/>
        </w:rPr>
        <w:t>.</w:t>
      </w:r>
      <w:r w:rsidR="008A74EB" w:rsidRPr="00993B55">
        <w:rPr>
          <w:rStyle w:val="libFootnoteBoldChar"/>
          <w:rtl/>
        </w:rPr>
        <w:t>الوافي</w:t>
      </w:r>
      <w:r w:rsidR="008A74EB" w:rsidRPr="00C9040A">
        <w:rPr>
          <w:rtl/>
        </w:rPr>
        <w:t xml:space="preserve"> ، ج 5 ، ص 646 ، ح 2783 ؛ </w:t>
      </w:r>
      <w:r w:rsidR="008A74EB" w:rsidRPr="00993B55">
        <w:rPr>
          <w:rStyle w:val="libFootnoteBoldChar"/>
          <w:rtl/>
        </w:rPr>
        <w:t>الوسائل</w:t>
      </w:r>
      <w:r w:rsidR="008A74EB" w:rsidRPr="00C9040A">
        <w:rPr>
          <w:rtl/>
        </w:rPr>
        <w:t xml:space="preserve"> ، ج 16 ، ص 376 ، ح 21805 ؛ </w:t>
      </w:r>
      <w:r w:rsidR="008A74EB" w:rsidRPr="00993B55">
        <w:rPr>
          <w:rStyle w:val="libFootnoteBoldChar"/>
          <w:rtl/>
        </w:rPr>
        <w:t>البحار</w:t>
      </w:r>
      <w:r w:rsidR="008A74EB" w:rsidRPr="00C9040A">
        <w:rPr>
          <w:rtl/>
        </w:rPr>
        <w:t xml:space="preserve"> ، ج 74 ، ص 299 ، ح 34.</w:t>
      </w:r>
    </w:p>
    <w:p w:rsidR="008A74EB" w:rsidRPr="00C9040A" w:rsidRDefault="006C577F" w:rsidP="004A4E41">
      <w:pPr>
        <w:pStyle w:val="libFootnote0"/>
        <w:rPr>
          <w:rtl/>
          <w:lang w:bidi="fa-IR"/>
        </w:rPr>
      </w:pPr>
      <w:r>
        <w:rPr>
          <w:rtl/>
        </w:rPr>
        <w:t>(4).</w:t>
      </w:r>
      <w:r w:rsidR="008A74EB" w:rsidRPr="00C9040A">
        <w:rPr>
          <w:rtl/>
        </w:rPr>
        <w:t xml:space="preserve"> في </w:t>
      </w:r>
      <w:r w:rsidR="008A74EB" w:rsidRPr="00993B55">
        <w:rPr>
          <w:rStyle w:val="libFootnoteBoldChar"/>
          <w:rtl/>
        </w:rPr>
        <w:t>مرآة العقول</w:t>
      </w:r>
      <w:r w:rsidR="008A74EB" w:rsidRPr="00C9040A">
        <w:rPr>
          <w:rtl/>
        </w:rPr>
        <w:t xml:space="preserve"> : « أي ثواب البرّ ، أو التعريف كناية عن التوفيق للفعل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w:t>
      </w:r>
      <w:r w:rsidR="008A74EB" w:rsidRPr="00993B55">
        <w:rPr>
          <w:rStyle w:val="libFootnoteBoldChar"/>
          <w:rtl/>
        </w:rPr>
        <w:t>الوافي</w:t>
      </w:r>
      <w:r w:rsidR="008A74EB" w:rsidRPr="00C9040A">
        <w:rPr>
          <w:rtl/>
        </w:rPr>
        <w:t xml:space="preserve"> : « معناه أنّه لايتوقّف البرّ على كثرة المال ، بل ينبغي للمقلّ أيضاً أن يبرّ إخوانه ؛ وذلك لأنّ الله سبحانه حمد أهل الحاجة بالإيثار. والخصاصة : الحاجة »</w:t>
      </w:r>
      <w:r w:rsidR="008A74EB">
        <w:rPr>
          <w:rtl/>
        </w:rPr>
        <w:t>.</w:t>
      </w:r>
    </w:p>
    <w:tbl>
      <w:tblPr>
        <w:tblStyle w:val="TableGrid"/>
        <w:bidiVisual/>
        <w:tblW w:w="0" w:type="auto"/>
        <w:tblLook w:val="04A0" w:firstRow="1" w:lastRow="0" w:firstColumn="1" w:lastColumn="0" w:noHBand="0" w:noVBand="1"/>
      </w:tblPr>
      <w:tblGrid>
        <w:gridCol w:w="4006"/>
        <w:gridCol w:w="4006"/>
      </w:tblGrid>
      <w:tr w:rsidR="008C1B53" w:rsidTr="008C1B53">
        <w:tc>
          <w:tcPr>
            <w:tcW w:w="4006" w:type="dxa"/>
          </w:tcPr>
          <w:p w:rsidR="008C1B53" w:rsidRDefault="008C1B53" w:rsidP="004A4E41">
            <w:pPr>
              <w:pStyle w:val="libFootnote0"/>
              <w:rPr>
                <w:rtl/>
              </w:rPr>
            </w:pPr>
            <w:r>
              <w:rPr>
                <w:rtl/>
              </w:rPr>
              <w:t xml:space="preserve">(6). </w:t>
            </w:r>
            <w:r w:rsidRPr="00C9040A">
              <w:rPr>
                <w:rtl/>
              </w:rPr>
              <w:t>في « ف » : « وذلك يقول الله عزّوجلّ »</w:t>
            </w:r>
            <w:r>
              <w:rPr>
                <w:rtl/>
              </w:rPr>
              <w:t>.</w:t>
            </w:r>
          </w:p>
        </w:tc>
        <w:tc>
          <w:tcPr>
            <w:tcW w:w="4006" w:type="dxa"/>
          </w:tcPr>
          <w:p w:rsidR="008C1B53" w:rsidRDefault="008C1B53" w:rsidP="004A4E41">
            <w:pPr>
              <w:pStyle w:val="libFootnote0"/>
              <w:rPr>
                <w:rtl/>
              </w:rPr>
            </w:pPr>
            <w:r>
              <w:rPr>
                <w:rtl/>
              </w:rPr>
              <w:t>(7).</w:t>
            </w:r>
            <w:r w:rsidRPr="00C9040A">
              <w:rPr>
                <w:rtl/>
              </w:rPr>
              <w:t xml:space="preserve"> الحشر (59) : 9.</w:t>
            </w:r>
          </w:p>
        </w:tc>
      </w:tr>
    </w:tbl>
    <w:p w:rsidR="008A74EB" w:rsidRPr="00C9040A" w:rsidRDefault="006C577F" w:rsidP="004A4E41">
      <w:pPr>
        <w:pStyle w:val="libFootnote0"/>
        <w:rPr>
          <w:rtl/>
          <w:lang w:bidi="fa-IR"/>
        </w:rPr>
      </w:pPr>
      <w:r>
        <w:rPr>
          <w:rtl/>
        </w:rPr>
        <w:t>(8).</w:t>
      </w:r>
      <w:r w:rsidR="008A74EB" w:rsidRPr="00C9040A">
        <w:rPr>
          <w:rtl/>
        </w:rPr>
        <w:t xml:space="preserve"> في </w:t>
      </w:r>
      <w:r w:rsidR="008A74EB" w:rsidRPr="00993B55">
        <w:rPr>
          <w:rStyle w:val="libFootnoteBoldChar"/>
          <w:rtl/>
        </w:rPr>
        <w:t>مرآة العقول</w:t>
      </w:r>
      <w:r w:rsidR="008A74EB" w:rsidRPr="00C9040A">
        <w:rPr>
          <w:rtl/>
        </w:rPr>
        <w:t xml:space="preserve"> : « يمكن أن يقرأ : عرفه ، على بناء المجرّد »</w:t>
      </w:r>
      <w:r w:rsidR="008A74EB">
        <w:rPr>
          <w:rtl/>
        </w:rPr>
        <w:t>.</w:t>
      </w:r>
    </w:p>
    <w:tbl>
      <w:tblPr>
        <w:tblStyle w:val="TableGrid"/>
        <w:bidiVisual/>
        <w:tblW w:w="0" w:type="auto"/>
        <w:tblLook w:val="04A0" w:firstRow="1" w:lastRow="0" w:firstColumn="1" w:lastColumn="0" w:noHBand="0" w:noVBand="1"/>
      </w:tblPr>
      <w:tblGrid>
        <w:gridCol w:w="4006"/>
        <w:gridCol w:w="4006"/>
      </w:tblGrid>
      <w:tr w:rsidR="008C1B53" w:rsidTr="008C1B53">
        <w:tc>
          <w:tcPr>
            <w:tcW w:w="4006" w:type="dxa"/>
          </w:tcPr>
          <w:p w:rsidR="008C1B53" w:rsidRDefault="008C1B53" w:rsidP="004A4E41">
            <w:pPr>
              <w:pStyle w:val="libFootnote0"/>
              <w:rPr>
                <w:rtl/>
                <w:lang w:bidi="fa-IR"/>
              </w:rPr>
            </w:pPr>
            <w:r>
              <w:rPr>
                <w:rtl/>
              </w:rPr>
              <w:t>(9).</w:t>
            </w:r>
            <w:r w:rsidRPr="00C9040A">
              <w:rPr>
                <w:rtl/>
              </w:rPr>
              <w:t xml:space="preserve"> في الوسائل ، ح 21806 </w:t>
            </w:r>
            <w:r>
              <w:rPr>
                <w:rtl/>
              </w:rPr>
              <w:t>: -</w:t>
            </w:r>
            <w:r w:rsidRPr="00C9040A">
              <w:rPr>
                <w:rtl/>
              </w:rPr>
              <w:t xml:space="preserve"> « الله »</w:t>
            </w:r>
            <w:r>
              <w:rPr>
                <w:rtl/>
              </w:rPr>
              <w:t>.</w:t>
            </w:r>
          </w:p>
        </w:tc>
        <w:tc>
          <w:tcPr>
            <w:tcW w:w="4006" w:type="dxa"/>
          </w:tcPr>
          <w:p w:rsidR="008C1B53" w:rsidRDefault="008C1B53" w:rsidP="004A4E41">
            <w:pPr>
              <w:pStyle w:val="libFootnote0"/>
              <w:rPr>
                <w:rtl/>
                <w:lang w:bidi="fa-IR"/>
              </w:rPr>
            </w:pPr>
            <w:r>
              <w:rPr>
                <w:rtl/>
              </w:rPr>
              <w:t>(10).</w:t>
            </w:r>
            <w:r w:rsidRPr="00C9040A">
              <w:rPr>
                <w:rtl/>
              </w:rPr>
              <w:t xml:space="preserve"> في « ف » </w:t>
            </w:r>
            <w:r>
              <w:rPr>
                <w:rtl/>
              </w:rPr>
              <w:t>: -</w:t>
            </w:r>
            <w:r w:rsidRPr="00C9040A">
              <w:rPr>
                <w:rtl/>
              </w:rPr>
              <w:t xml:space="preserve"> « الله »</w:t>
            </w:r>
            <w:r>
              <w:rPr>
                <w:rtl/>
              </w:rPr>
              <w:t>.</w:t>
            </w:r>
          </w:p>
        </w:tc>
      </w:tr>
      <w:tr w:rsidR="008C1B53" w:rsidTr="008C1B53">
        <w:tc>
          <w:tcPr>
            <w:tcW w:w="4006" w:type="dxa"/>
          </w:tcPr>
          <w:p w:rsidR="008C1B53" w:rsidRDefault="008C1B53" w:rsidP="004A4E41">
            <w:pPr>
              <w:pStyle w:val="libFootnote0"/>
              <w:rPr>
                <w:rtl/>
                <w:lang w:bidi="fa-IR"/>
              </w:rPr>
            </w:pPr>
            <w:r>
              <w:rPr>
                <w:rtl/>
              </w:rPr>
              <w:t>(11).</w:t>
            </w:r>
            <w:r w:rsidRPr="00C9040A">
              <w:rPr>
                <w:rtl/>
              </w:rPr>
              <w:t xml:space="preserve"> في « ز » : « لأوفاه »</w:t>
            </w:r>
            <w:r>
              <w:rPr>
                <w:rtl/>
              </w:rPr>
              <w:t>.</w:t>
            </w:r>
          </w:p>
        </w:tc>
        <w:tc>
          <w:tcPr>
            <w:tcW w:w="4006" w:type="dxa"/>
          </w:tcPr>
          <w:p w:rsidR="008C1B53" w:rsidRDefault="008C1B53" w:rsidP="004A4E41">
            <w:pPr>
              <w:pStyle w:val="libFootnote0"/>
              <w:rPr>
                <w:rtl/>
                <w:lang w:bidi="fa-IR"/>
              </w:rPr>
            </w:pPr>
            <w:r>
              <w:rPr>
                <w:rtl/>
              </w:rPr>
              <w:t>(12). في «ب» وحاشية «ص ، بر» : + «لإخوانك</w:t>
            </w:r>
            <w:r w:rsidRPr="00C9040A">
              <w:rPr>
                <w:rtl/>
              </w:rPr>
              <w:t>»</w:t>
            </w:r>
            <w:r>
              <w:rPr>
                <w:rtl/>
              </w:rPr>
              <w:t>.</w:t>
            </w:r>
          </w:p>
        </w:tc>
      </w:tr>
    </w:tbl>
    <w:p w:rsidR="008A74EB" w:rsidRPr="00C9040A" w:rsidRDefault="008A74EB" w:rsidP="004A4E41">
      <w:pPr>
        <w:pStyle w:val="libFootnote0"/>
        <w:rPr>
          <w:rtl/>
          <w:lang w:bidi="fa-IR"/>
        </w:rPr>
      </w:pPr>
      <w:r>
        <w:rPr>
          <w:rtl/>
        </w:rPr>
        <w:t>(13)</w:t>
      </w:r>
      <w:r w:rsidRPr="00C9040A">
        <w:rPr>
          <w:rtl/>
        </w:rPr>
        <w:t xml:space="preserve"> في البحار : + « لإخوانك »</w:t>
      </w:r>
      <w:r>
        <w:rPr>
          <w:rtl/>
        </w:rPr>
        <w:t>.</w:t>
      </w:r>
    </w:p>
    <w:p w:rsidR="008A74EB" w:rsidRPr="00C9040A" w:rsidRDefault="008A74EB" w:rsidP="004A4E41">
      <w:pPr>
        <w:pStyle w:val="libFootnote0"/>
        <w:rPr>
          <w:rtl/>
          <w:lang w:bidi="fa-IR"/>
        </w:rPr>
      </w:pPr>
      <w:r>
        <w:rPr>
          <w:rtl/>
        </w:rPr>
        <w:t>(14)</w:t>
      </w:r>
      <w:r w:rsidRPr="00C9040A">
        <w:rPr>
          <w:rtl/>
        </w:rPr>
        <w:t xml:space="preserve"> </w:t>
      </w:r>
      <w:r w:rsidRPr="00993B55">
        <w:rPr>
          <w:rStyle w:val="libFootnoteBoldChar"/>
          <w:rtl/>
        </w:rPr>
        <w:t>مصادقة الإخوان</w:t>
      </w:r>
      <w:r w:rsidRPr="00C9040A">
        <w:rPr>
          <w:rtl/>
        </w:rPr>
        <w:t xml:space="preserve"> ، ص 66 ، ح 2 ، عن جميل بن درّاج. </w:t>
      </w:r>
      <w:r w:rsidRPr="00993B55">
        <w:rPr>
          <w:rStyle w:val="libFootnoteBoldChar"/>
          <w:rtl/>
        </w:rPr>
        <w:t>ثواب الأعمال</w:t>
      </w:r>
      <w:r w:rsidRPr="00C9040A">
        <w:rPr>
          <w:rtl/>
        </w:rPr>
        <w:t xml:space="preserve"> ، ص 220 ، ح 1 ، عن أبيه ، عن محمّد بن أحمد بن خالد ، عن محمّد بن عليّ ، عن عمر بن عبدالعزيز ، وتمام الرواية فيه : « من فضل الرجل عند الله محبّته لإخوانه ، ومن عرّفه الله محبّته إخوانه أحبّه الله ، ومن أحبّه الله وفّاه أجره يوم القيامة » </w:t>
      </w:r>
      <w:r w:rsidRPr="00993B55">
        <w:rPr>
          <w:rStyle w:val="libFootnoteBoldChar"/>
          <w:rtl/>
        </w:rPr>
        <w:t>الوافي</w:t>
      </w:r>
      <w:r w:rsidR="008C1B53">
        <w:rPr>
          <w:rtl/>
        </w:rPr>
        <w:t xml:space="preserve"> ، ج 5 ،</w:t>
      </w:r>
      <w:r w:rsidR="008C1B53">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7C2253">
        <w:rPr>
          <w:rtl/>
        </w:rPr>
        <w:t>2205</w:t>
      </w:r>
      <w:r w:rsidRPr="00261CB0">
        <w:rPr>
          <w:rStyle w:val="libBold2Char"/>
          <w:rtl/>
        </w:rPr>
        <w:t xml:space="preserve"> / 7.</w:t>
      </w:r>
      <w:r w:rsidRPr="00C9040A">
        <w:rPr>
          <w:rtl/>
          <w:lang w:bidi="fa-IR"/>
        </w:rPr>
        <w:t xml:space="preserve"> مُحَمَّدُ بْنُ يَحْيى ، عَنْ مُحَمَّدِ بْنِ الْحُسَيْنِ ، عَنْ مُحَمَّدِ بْنِ إِسْمَاعِيلَ ، عَنْ صَالِحِ بْنِ عُقْبَةَ ، عَنِ الْمُفَضَّلِ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إِنَّ الْمُؤْمِنَ لَيُتْحِفُ أَخَاهُ التُّحْفَةَ »</w:t>
      </w:r>
      <w:r>
        <w:rPr>
          <w:rtl/>
          <w:lang w:bidi="fa-IR"/>
        </w:rPr>
        <w:t>.</w:t>
      </w:r>
    </w:p>
    <w:p w:rsidR="008A74EB" w:rsidRPr="00C9040A" w:rsidRDefault="008A74EB" w:rsidP="008A74EB">
      <w:pPr>
        <w:pStyle w:val="libNormal"/>
        <w:rPr>
          <w:rtl/>
          <w:lang w:bidi="fa-IR"/>
        </w:rPr>
      </w:pPr>
      <w:r w:rsidRPr="00C9040A">
        <w:rPr>
          <w:rtl/>
          <w:lang w:bidi="fa-IR"/>
        </w:rPr>
        <w:t xml:space="preserve">قُلْتُ </w:t>
      </w:r>
      <w:r w:rsidR="006C577F" w:rsidRPr="006C577F">
        <w:rPr>
          <w:rStyle w:val="libFootnotenumChar"/>
          <w:rtl/>
        </w:rPr>
        <w:t>(1)</w:t>
      </w:r>
      <w:r w:rsidRPr="00C9040A">
        <w:rPr>
          <w:rtl/>
          <w:lang w:bidi="fa-IR"/>
        </w:rPr>
        <w:t xml:space="preserve"> : وَأَيُّ شَيْ‌ءٍ </w:t>
      </w:r>
      <w:r w:rsidR="006C577F" w:rsidRPr="006C577F">
        <w:rPr>
          <w:rStyle w:val="libFootnotenumChar"/>
          <w:rtl/>
        </w:rPr>
        <w:t>(2)</w:t>
      </w:r>
      <w:r w:rsidRPr="00C9040A">
        <w:rPr>
          <w:rtl/>
          <w:lang w:bidi="fa-IR"/>
        </w:rPr>
        <w:t xml:space="preserve"> التُّحْفَةُ</w:t>
      </w:r>
      <w:r>
        <w:rPr>
          <w:rtl/>
          <w:lang w:bidi="fa-IR"/>
        </w:rPr>
        <w:t>؟</w:t>
      </w:r>
    </w:p>
    <w:p w:rsidR="008A74EB" w:rsidRPr="00C9040A" w:rsidRDefault="008A74EB" w:rsidP="008A74EB">
      <w:pPr>
        <w:pStyle w:val="libNormal"/>
        <w:rPr>
          <w:rtl/>
          <w:lang w:bidi="fa-IR"/>
        </w:rPr>
      </w:pPr>
      <w:r w:rsidRPr="00C9040A">
        <w:rPr>
          <w:rtl/>
          <w:lang w:bidi="fa-IR"/>
        </w:rPr>
        <w:t xml:space="preserve">قَالَ : « مِنْ مَجْلِسٍ وَمُتَّكَاً وَطَعَامٍ </w:t>
      </w:r>
      <w:r w:rsidR="006C577F" w:rsidRPr="006C577F">
        <w:rPr>
          <w:rStyle w:val="libFootnotenumChar"/>
          <w:rtl/>
        </w:rPr>
        <w:t>(3)</w:t>
      </w:r>
      <w:r w:rsidRPr="00C9040A">
        <w:rPr>
          <w:rtl/>
          <w:lang w:bidi="fa-IR"/>
        </w:rPr>
        <w:t xml:space="preserve"> وَكِسْوَةٍ وَسَلَامٍ ، فَتَطَاوَلُ </w:t>
      </w:r>
      <w:r w:rsidR="006C577F" w:rsidRPr="006C577F">
        <w:rPr>
          <w:rStyle w:val="libFootnotenumChar"/>
          <w:rtl/>
        </w:rPr>
        <w:t>(4)</w:t>
      </w:r>
      <w:r w:rsidRPr="00C9040A">
        <w:rPr>
          <w:rtl/>
          <w:lang w:bidi="fa-IR"/>
        </w:rPr>
        <w:t xml:space="preserve"> الْجَنَّةُ </w:t>
      </w:r>
      <w:r w:rsidR="006C577F" w:rsidRPr="006C577F">
        <w:rPr>
          <w:rStyle w:val="libFootnotenumChar"/>
          <w:rtl/>
        </w:rPr>
        <w:t>(5)</w:t>
      </w:r>
      <w:r w:rsidRPr="00C9040A">
        <w:rPr>
          <w:rtl/>
          <w:lang w:bidi="fa-IR"/>
        </w:rPr>
        <w:t xml:space="preserve"> مُكَافَأَةً لَهُ ، وَيُوحِي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إِلَيْهَا : أَنِّي قَدْ حَرَّمْتُ طَعَامَكِ عَلى أَهْلِ الدُّنْيَا إِلاَّ عَلى نَبِيٍّ أَوْ وَصِيِّ نَبِيٍّ ، فَإِذَا كَانَ يَوْمُ الْقِيَامَةِ أَوْحَى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إِلَيْهَا : أَنْ كَافِئِي </w:t>
      </w:r>
      <w:r w:rsidR="006C577F" w:rsidRPr="006C577F">
        <w:rPr>
          <w:rStyle w:val="libFootnotenumChar"/>
          <w:rtl/>
        </w:rPr>
        <w:t>(6)</w:t>
      </w:r>
      <w:r w:rsidRPr="005B567D">
        <w:rPr>
          <w:rStyle w:val="libFootnotenumChar"/>
          <w:rtl/>
        </w:rPr>
        <w:t xml:space="preserve"> </w:t>
      </w:r>
      <w:r w:rsidRPr="00C9040A">
        <w:rPr>
          <w:rtl/>
          <w:lang w:bidi="fa-IR"/>
        </w:rPr>
        <w:t xml:space="preserve">أَوْلِيَائِي </w:t>
      </w:r>
      <w:r w:rsidR="006C577F" w:rsidRPr="006C577F">
        <w:rPr>
          <w:rStyle w:val="libFootnotenumChar"/>
          <w:rtl/>
        </w:rPr>
        <w:t>(7)</w:t>
      </w:r>
      <w:r w:rsidRPr="00C9040A">
        <w:rPr>
          <w:rtl/>
          <w:lang w:bidi="fa-IR"/>
        </w:rPr>
        <w:t xml:space="preserve"> بِتُحَفِهِمْ ، فَيَخْرُجُ </w:t>
      </w:r>
      <w:r w:rsidR="006C577F" w:rsidRPr="006C577F">
        <w:rPr>
          <w:rStyle w:val="libFootnotenumChar"/>
          <w:rtl/>
        </w:rPr>
        <w:t>(8)</w:t>
      </w:r>
      <w:r w:rsidRPr="00C9040A">
        <w:rPr>
          <w:rtl/>
          <w:lang w:bidi="fa-IR"/>
        </w:rPr>
        <w:t xml:space="preserve"> مِنْهَا وُصَفَاءُ وَوَصَائِفُ </w:t>
      </w:r>
      <w:r w:rsidR="006C577F" w:rsidRPr="006C577F">
        <w:rPr>
          <w:rStyle w:val="libFootnotenumChar"/>
          <w:rtl/>
        </w:rPr>
        <w:t>(9)</w:t>
      </w:r>
      <w:r w:rsidRPr="00C9040A">
        <w:rPr>
          <w:rtl/>
          <w:lang w:bidi="fa-IR"/>
        </w:rPr>
        <w:t xml:space="preserve"> ، مَعَهُمْ أَطْبَاقٌ </w:t>
      </w:r>
      <w:r w:rsidR="006C577F" w:rsidRPr="006C577F">
        <w:rPr>
          <w:rStyle w:val="libFootnotenumChar"/>
          <w:rtl/>
        </w:rPr>
        <w:t>(10)</w:t>
      </w:r>
      <w:r w:rsidRPr="00C9040A">
        <w:rPr>
          <w:rtl/>
          <w:lang w:bidi="fa-IR"/>
        </w:rPr>
        <w:t xml:space="preserve"> مُغَطَّاةٌ بِمَنَادِيلَ مِنْ لُؤْلُؤٍ ، فَإِذَا نَظَرُوا إِلى جَهَنَّمَ وَهَوْلِهَا ، وَإِلَى الْجَنَّةِ وَمَا فِيهَا ، طَارَتْ </w:t>
      </w:r>
      <w:r w:rsidR="006C577F" w:rsidRPr="006C577F">
        <w:rPr>
          <w:rStyle w:val="libFootnotenumChar"/>
          <w:rtl/>
        </w:rPr>
        <w:t>(11)</w:t>
      </w:r>
      <w:r w:rsidRPr="00C9040A">
        <w:rPr>
          <w:rtl/>
          <w:lang w:bidi="fa-IR"/>
        </w:rPr>
        <w:t xml:space="preserve"> عُقُولُهُمْ ، وَامْتَنَعُوا أَنْ يَأْكُلُوا ، فَيُنَادِي مُنَادٍ مِنْ تَحْتِ الْعَرْشِ : أَنَّ </w:t>
      </w:r>
      <w:r w:rsidR="006C577F" w:rsidRPr="006C577F">
        <w:rPr>
          <w:rStyle w:val="libFootnotenumChar"/>
          <w:rtl/>
        </w:rPr>
        <w:t>(12)</w:t>
      </w:r>
      <w:r w:rsidRPr="00C9040A">
        <w:rPr>
          <w:rtl/>
          <w:lang w:bidi="fa-IR"/>
        </w:rPr>
        <w:t xml:space="preserve">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قَدْ </w:t>
      </w:r>
      <w:r w:rsidRPr="005B567D">
        <w:rPr>
          <w:rStyle w:val="libFootnotenumChar"/>
          <w:rtl/>
        </w:rPr>
        <w:t>(13)</w:t>
      </w:r>
      <w:r w:rsidRPr="00C9040A">
        <w:rPr>
          <w:rtl/>
          <w:lang w:bidi="fa-IR"/>
        </w:rPr>
        <w:t xml:space="preserve"> حَرَّمَ جَهَنَّمَ عَلى مَنْ </w:t>
      </w:r>
      <w:r w:rsidRPr="005B567D">
        <w:rPr>
          <w:rStyle w:val="libFootnotenumChar"/>
          <w:rtl/>
        </w:rPr>
        <w:t>(14)</w:t>
      </w:r>
      <w:r w:rsidRPr="00C9040A">
        <w:rPr>
          <w:rtl/>
          <w:lang w:bidi="fa-IR"/>
        </w:rPr>
        <w:t xml:space="preserve"> أَكَلَ‌</w:t>
      </w:r>
    </w:p>
    <w:p w:rsidR="008A74EB" w:rsidRPr="00C9040A" w:rsidRDefault="008A74EB" w:rsidP="008A74EB">
      <w:pPr>
        <w:pStyle w:val="libLine"/>
        <w:rPr>
          <w:rtl/>
          <w:lang w:bidi="fa-IR"/>
        </w:rPr>
      </w:pPr>
      <w:r w:rsidRPr="00C9040A">
        <w:rPr>
          <w:rtl/>
          <w:lang w:bidi="fa-IR"/>
        </w:rPr>
        <w:t>__________________</w:t>
      </w:r>
    </w:p>
    <w:p w:rsidR="008A74EB" w:rsidRPr="00C9040A" w:rsidRDefault="008C1B53" w:rsidP="004A4E41">
      <w:pPr>
        <w:pStyle w:val="libFootnote0"/>
        <w:rPr>
          <w:rtl/>
          <w:lang w:bidi="fa-IR"/>
        </w:rPr>
      </w:pPr>
      <w:r>
        <w:rPr>
          <w:rFonts w:hint="cs"/>
          <w:rtl/>
        </w:rPr>
        <w:t xml:space="preserve">= </w:t>
      </w:r>
      <w:r w:rsidR="008A74EB" w:rsidRPr="00C9040A">
        <w:rPr>
          <w:rtl/>
        </w:rPr>
        <w:t xml:space="preserve">ص 646 ، ح 2784 ؛ </w:t>
      </w:r>
      <w:r w:rsidR="008A74EB" w:rsidRPr="00993B55">
        <w:rPr>
          <w:rStyle w:val="libFootnoteBoldChar"/>
          <w:rtl/>
        </w:rPr>
        <w:t>الوسائل</w:t>
      </w:r>
      <w:r w:rsidR="008A74EB" w:rsidRPr="00C9040A">
        <w:rPr>
          <w:rtl/>
        </w:rPr>
        <w:t xml:space="preserve"> ، ج 16 ، ص 377 ، ح 21806 ؛ وج 27 ، ص 88 ، ح 33285 ؛ </w:t>
      </w:r>
      <w:r w:rsidR="008A74EB" w:rsidRPr="00993B55">
        <w:rPr>
          <w:rStyle w:val="libFootnoteBoldChar"/>
          <w:rtl/>
        </w:rPr>
        <w:t>البحار</w:t>
      </w:r>
      <w:r w:rsidR="008A74EB" w:rsidRPr="00C9040A">
        <w:rPr>
          <w:rtl/>
        </w:rPr>
        <w:t xml:space="preserve"> ، ج 74 ، ص 299 ، ح 35.</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ز ، ض ، </w:t>
      </w:r>
      <w:r w:rsidR="006D3162">
        <w:rPr>
          <w:rtl/>
        </w:rPr>
        <w:t xml:space="preserve">ه </w:t>
      </w:r>
      <w:r w:rsidR="008A74EB" w:rsidRPr="00C9040A">
        <w:rPr>
          <w:rtl/>
        </w:rPr>
        <w:t>» : + « به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ف » : + « هي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w:t>
      </w:r>
      <w:r w:rsidR="006D3162">
        <w:rPr>
          <w:rtl/>
        </w:rPr>
        <w:t xml:space="preserve">ه </w:t>
      </w:r>
      <w:r w:rsidR="008A74EB" w:rsidRPr="00C9040A">
        <w:rPr>
          <w:rtl/>
        </w:rPr>
        <w:t>» : « وإطعام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د ، ص ، ف ، </w:t>
      </w:r>
      <w:r w:rsidR="006D3162">
        <w:rPr>
          <w:rtl/>
        </w:rPr>
        <w:t xml:space="preserve">ه </w:t>
      </w:r>
      <w:r w:rsidR="008A74EB" w:rsidRPr="00C9040A">
        <w:rPr>
          <w:rtl/>
        </w:rPr>
        <w:t>، بف » والوافي والوسائل : « فتتطاول »</w:t>
      </w:r>
      <w:r w:rsidR="008A74EB">
        <w:rPr>
          <w:rtl/>
        </w:rPr>
        <w:t>.</w:t>
      </w:r>
      <w:r w:rsidR="008A74EB" w:rsidRPr="00C9040A">
        <w:rPr>
          <w:rtl/>
        </w:rPr>
        <w:t xml:space="preserve"> وفي « بس » : « فيتطاول »</w:t>
      </w:r>
      <w:r w:rsidR="008A74EB">
        <w:rPr>
          <w:rtl/>
        </w:rPr>
        <w:t>.</w:t>
      </w:r>
      <w:r w:rsidR="008A74EB" w:rsidRPr="00C9040A">
        <w:rPr>
          <w:rtl/>
        </w:rPr>
        <w:t xml:space="preserve"> وفي </w:t>
      </w:r>
      <w:r w:rsidR="008A74EB" w:rsidRPr="00993B55">
        <w:rPr>
          <w:rStyle w:val="libFootnoteBoldChar"/>
          <w:rtl/>
        </w:rPr>
        <w:t>الوافي</w:t>
      </w:r>
      <w:r w:rsidR="008A74EB" w:rsidRPr="00C9040A">
        <w:rPr>
          <w:rtl/>
        </w:rPr>
        <w:t xml:space="preserve"> : « فتتطاول الجنّة ، أي تمتدّ وترتفع أن تكافيه في الدنيا بطعام أو شراب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ف » : + « له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ج ، ض » : « كافي » ، وهو من تخفيف الهمزة.</w:t>
      </w:r>
    </w:p>
    <w:tbl>
      <w:tblPr>
        <w:tblStyle w:val="TableGrid"/>
        <w:bidiVisual/>
        <w:tblW w:w="0" w:type="auto"/>
        <w:tblLook w:val="04A0" w:firstRow="1" w:lastRow="0" w:firstColumn="1" w:lastColumn="0" w:noHBand="0" w:noVBand="1"/>
      </w:tblPr>
      <w:tblGrid>
        <w:gridCol w:w="4006"/>
        <w:gridCol w:w="4006"/>
      </w:tblGrid>
      <w:tr w:rsidR="000270DC" w:rsidTr="000270DC">
        <w:tc>
          <w:tcPr>
            <w:tcW w:w="4006" w:type="dxa"/>
          </w:tcPr>
          <w:p w:rsidR="000270DC" w:rsidRDefault="000270DC" w:rsidP="004A4E41">
            <w:pPr>
              <w:pStyle w:val="libFootnote0"/>
              <w:rPr>
                <w:rtl/>
              </w:rPr>
            </w:pPr>
            <w:r>
              <w:rPr>
                <w:rtl/>
              </w:rPr>
              <w:t>(7).</w:t>
            </w:r>
            <w:r w:rsidRPr="00C9040A">
              <w:rPr>
                <w:rtl/>
              </w:rPr>
              <w:t xml:space="preserve"> في « ز » : « أولياء لي »</w:t>
            </w:r>
            <w:r>
              <w:rPr>
                <w:rtl/>
              </w:rPr>
              <w:t>.</w:t>
            </w:r>
          </w:p>
        </w:tc>
        <w:tc>
          <w:tcPr>
            <w:tcW w:w="4006" w:type="dxa"/>
          </w:tcPr>
          <w:p w:rsidR="000270DC" w:rsidRDefault="000270DC" w:rsidP="004A4E41">
            <w:pPr>
              <w:pStyle w:val="libFootnote0"/>
              <w:rPr>
                <w:rtl/>
              </w:rPr>
            </w:pPr>
            <w:r>
              <w:rPr>
                <w:rtl/>
              </w:rPr>
              <w:t>(8).</w:t>
            </w:r>
            <w:r w:rsidRPr="00C9040A">
              <w:rPr>
                <w:rtl/>
              </w:rPr>
              <w:t xml:space="preserve"> في شرح المازندراني والوافي والبحار : « فتخرج »</w:t>
            </w:r>
            <w:r>
              <w:rPr>
                <w:rtl/>
              </w:rPr>
              <w:t>.</w:t>
            </w:r>
          </w:p>
        </w:tc>
      </w:tr>
    </w:tbl>
    <w:p w:rsidR="008A74EB" w:rsidRPr="00C9040A" w:rsidRDefault="006C577F" w:rsidP="004A4E41">
      <w:pPr>
        <w:pStyle w:val="libFootnote0"/>
        <w:rPr>
          <w:rtl/>
          <w:lang w:bidi="fa-IR"/>
        </w:rPr>
      </w:pPr>
      <w:r>
        <w:rPr>
          <w:rtl/>
        </w:rPr>
        <w:t>(9).</w:t>
      </w:r>
      <w:r w:rsidR="008A74EB" w:rsidRPr="00C9040A">
        <w:rPr>
          <w:rtl/>
        </w:rPr>
        <w:t xml:space="preserve"> الوصيف : الغلام دون المراهق ، والوصيفة : الجارية كذلك ، والجمع : وُصَفاء ووصائف ، مثل كريم وكرماء وكرائم. </w:t>
      </w:r>
      <w:r w:rsidR="008A74EB" w:rsidRPr="00993B55">
        <w:rPr>
          <w:rStyle w:val="libFootnoteBoldChar"/>
          <w:rtl/>
        </w:rPr>
        <w:t>المصباح المنير</w:t>
      </w:r>
      <w:r w:rsidR="008A74EB" w:rsidRPr="00C9040A">
        <w:rPr>
          <w:rtl/>
        </w:rPr>
        <w:t xml:space="preserve"> ، ص 661 ( وصف )</w:t>
      </w:r>
      <w:r w:rsidR="008A74EB">
        <w:rPr>
          <w:rtl/>
        </w:rPr>
        <w:t>.</w:t>
      </w:r>
    </w:p>
    <w:p w:rsidR="008A74EB" w:rsidRPr="00C9040A" w:rsidRDefault="006C577F" w:rsidP="000270DC">
      <w:pPr>
        <w:pStyle w:val="libFootnote0"/>
        <w:rPr>
          <w:rtl/>
          <w:lang w:bidi="fa-IR"/>
        </w:rPr>
      </w:pPr>
      <w:r>
        <w:rPr>
          <w:rtl/>
        </w:rPr>
        <w:t>(10).</w:t>
      </w:r>
      <w:r w:rsidR="008A74EB" w:rsidRPr="00C9040A">
        <w:rPr>
          <w:rtl/>
        </w:rPr>
        <w:t xml:space="preserve"> « الطَّبَق » : من أمتعة البيت ، يؤكل عليه. والجمع : أطباق. </w:t>
      </w:r>
      <w:r w:rsidR="008A74EB" w:rsidRPr="00993B55">
        <w:rPr>
          <w:rStyle w:val="libFootnoteBoldChar"/>
          <w:rtl/>
        </w:rPr>
        <w:t>المصباح المنير</w:t>
      </w:r>
      <w:r w:rsidR="008A74EB" w:rsidRPr="00C9040A">
        <w:rPr>
          <w:rtl/>
        </w:rPr>
        <w:t xml:space="preserve"> ، ص 399 ؛ </w:t>
      </w:r>
      <w:r w:rsidR="008A74EB" w:rsidRPr="00993B55">
        <w:rPr>
          <w:rStyle w:val="libFootnoteBoldChar"/>
          <w:rtl/>
        </w:rPr>
        <w:t>القاموس المحيط</w:t>
      </w:r>
      <w:r w:rsidR="008A74EB" w:rsidRPr="00C9040A">
        <w:rPr>
          <w:rtl/>
        </w:rPr>
        <w:t xml:space="preserve"> ، ج 2 ، ص 1197 ( طبق )</w:t>
      </w:r>
      <w:r w:rsidR="008A74EB">
        <w:rPr>
          <w:rtl/>
        </w:rPr>
        <w:t>.</w:t>
      </w:r>
      <w:r w:rsidR="000270DC">
        <w:rPr>
          <w:rFonts w:hint="cs"/>
          <w:rtl/>
        </w:rPr>
        <w:t xml:space="preserve">                     </w:t>
      </w:r>
      <w:r>
        <w:rPr>
          <w:rtl/>
        </w:rPr>
        <w:t>(11).</w:t>
      </w:r>
      <w:r w:rsidR="008A74EB" w:rsidRPr="00C9040A">
        <w:rPr>
          <w:rtl/>
        </w:rPr>
        <w:t xml:space="preserve"> في حاشية « ف » : « حارت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في </w:t>
      </w:r>
      <w:r w:rsidR="008A74EB" w:rsidRPr="00993B55">
        <w:rPr>
          <w:rStyle w:val="libFootnoteBoldChar"/>
          <w:rtl/>
        </w:rPr>
        <w:t>مرآة العقول</w:t>
      </w:r>
      <w:r w:rsidR="008A74EB" w:rsidRPr="00C9040A">
        <w:rPr>
          <w:rtl/>
        </w:rPr>
        <w:t xml:space="preserve"> : « إنّ الله ، يحتمل كسر الهمزة وفتحها »</w:t>
      </w:r>
      <w:r w:rsidR="008A74EB">
        <w:rPr>
          <w:rtl/>
        </w:rPr>
        <w:t>.</w:t>
      </w:r>
    </w:p>
    <w:tbl>
      <w:tblPr>
        <w:tblStyle w:val="TableGrid"/>
        <w:bidiVisual/>
        <w:tblW w:w="0" w:type="auto"/>
        <w:tblLook w:val="04A0" w:firstRow="1" w:lastRow="0" w:firstColumn="1" w:lastColumn="0" w:noHBand="0" w:noVBand="1"/>
      </w:tblPr>
      <w:tblGrid>
        <w:gridCol w:w="4006"/>
        <w:gridCol w:w="4006"/>
      </w:tblGrid>
      <w:tr w:rsidR="000270DC" w:rsidTr="000270DC">
        <w:tc>
          <w:tcPr>
            <w:tcW w:w="4006" w:type="dxa"/>
          </w:tcPr>
          <w:p w:rsidR="000270DC" w:rsidRDefault="000270DC" w:rsidP="004A4E41">
            <w:pPr>
              <w:pStyle w:val="libFootnote0"/>
              <w:rPr>
                <w:rtl/>
              </w:rPr>
            </w:pPr>
            <w:r>
              <w:rPr>
                <w:rtl/>
              </w:rPr>
              <w:t>(13)</w:t>
            </w:r>
            <w:r w:rsidRPr="00C9040A">
              <w:rPr>
                <w:rtl/>
              </w:rPr>
              <w:t xml:space="preserve"> في « ف » </w:t>
            </w:r>
            <w:r>
              <w:rPr>
                <w:rtl/>
              </w:rPr>
              <w:t>: -</w:t>
            </w:r>
            <w:r w:rsidRPr="00C9040A">
              <w:rPr>
                <w:rtl/>
              </w:rPr>
              <w:t xml:space="preserve"> « قد »</w:t>
            </w:r>
            <w:r>
              <w:rPr>
                <w:rtl/>
              </w:rPr>
              <w:t>.</w:t>
            </w:r>
          </w:p>
        </w:tc>
        <w:tc>
          <w:tcPr>
            <w:tcW w:w="4006" w:type="dxa"/>
          </w:tcPr>
          <w:p w:rsidR="000270DC" w:rsidRDefault="000270DC" w:rsidP="004A4E41">
            <w:pPr>
              <w:pStyle w:val="libFootnote0"/>
              <w:rPr>
                <w:rtl/>
              </w:rPr>
            </w:pPr>
            <w:r>
              <w:rPr>
                <w:rtl/>
              </w:rPr>
              <w:t>(14)</w:t>
            </w:r>
            <w:r w:rsidRPr="00C9040A">
              <w:rPr>
                <w:rtl/>
              </w:rPr>
              <w:t xml:space="preserve"> في « ز ، </w:t>
            </w:r>
            <w:r>
              <w:rPr>
                <w:rtl/>
              </w:rPr>
              <w:t xml:space="preserve">ه </w:t>
            </w:r>
            <w:r w:rsidRPr="00C9040A">
              <w:rPr>
                <w:rtl/>
              </w:rPr>
              <w:t xml:space="preserve">» والوافي </w:t>
            </w:r>
            <w:r>
              <w:rPr>
                <w:rtl/>
              </w:rPr>
              <w:t>: -</w:t>
            </w:r>
            <w:r w:rsidRPr="00C9040A">
              <w:rPr>
                <w:rtl/>
              </w:rPr>
              <w:t xml:space="preserve"> « من »</w:t>
            </w:r>
            <w:r>
              <w:rPr>
                <w:rtl/>
              </w:rPr>
              <w:t>.</w:t>
            </w:r>
          </w:p>
        </w:tc>
      </w:tr>
    </w:tbl>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مِنْ طَعَامِ جَنَّتِهِ </w:t>
      </w:r>
      <w:r w:rsidR="006C577F" w:rsidRPr="006C577F">
        <w:rPr>
          <w:rStyle w:val="libFootnotenumChar"/>
          <w:rtl/>
        </w:rPr>
        <w:t>(1)</w:t>
      </w:r>
      <w:r w:rsidRPr="00C9040A">
        <w:rPr>
          <w:rtl/>
          <w:lang w:bidi="fa-IR"/>
        </w:rPr>
        <w:t xml:space="preserve"> ، فَيَمُدُّ الْقَوْمُ أَيْدِيَهُمْ ، فَيَأْكُلُونَ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7C2253">
        <w:rPr>
          <w:rtl/>
        </w:rPr>
        <w:t>2206</w:t>
      </w:r>
      <w:r w:rsidRPr="00261CB0">
        <w:rPr>
          <w:rStyle w:val="libBold2Char"/>
          <w:rtl/>
        </w:rPr>
        <w:t xml:space="preserve"> / 8.</w:t>
      </w:r>
      <w:r w:rsidRPr="00C9040A">
        <w:rPr>
          <w:rtl/>
          <w:lang w:bidi="fa-IR"/>
        </w:rPr>
        <w:t xml:space="preserve"> مُحَمَّدُ بْنُ يَحْيى ، عَنْ مُحَمَّدِ بْنِ أَحْمَدَ ، عَنْ مُحَمَّدِ بْنِ عِيسى </w:t>
      </w:r>
      <w:r w:rsidR="006C577F" w:rsidRPr="006C577F">
        <w:rPr>
          <w:rStyle w:val="libFootnotenumChar"/>
          <w:rtl/>
        </w:rPr>
        <w:t>(3)</w:t>
      </w:r>
      <w:r w:rsidRPr="00C9040A">
        <w:rPr>
          <w:rtl/>
          <w:lang w:bidi="fa-IR"/>
        </w:rPr>
        <w:t xml:space="preserve"> ، عَنْ مُحَمَّدِ بْنِ فُضَيْلٍ </w:t>
      </w:r>
      <w:r w:rsidR="006C577F" w:rsidRPr="006C577F">
        <w:rPr>
          <w:rStyle w:val="libFootnotenumChar"/>
          <w:rtl/>
        </w:rPr>
        <w:t>(4)</w:t>
      </w:r>
      <w:r w:rsidRPr="00C9040A">
        <w:rPr>
          <w:rtl/>
          <w:lang w:bidi="fa-IR"/>
        </w:rPr>
        <w:t xml:space="preserve"> ، عَنْ أَبِي حَمْزَةَ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يَجِبُ لِلْمُؤْمِنِ عَلَى الْمُؤْمِنِ أَنْ يَسْتُرَ عَلَيْهِ </w:t>
      </w:r>
      <w:r w:rsidR="006C577F" w:rsidRPr="006C577F">
        <w:rPr>
          <w:rStyle w:val="libFootnotenumChar"/>
          <w:rtl/>
        </w:rPr>
        <w:t>(5)</w:t>
      </w:r>
      <w:r w:rsidRPr="00C9040A">
        <w:rPr>
          <w:rtl/>
          <w:lang w:bidi="fa-IR"/>
        </w:rPr>
        <w:t xml:space="preserve"> سَبْعِينَ كَبِيرَةً »</w:t>
      </w:r>
      <w:r>
        <w:rPr>
          <w:rtl/>
          <w:lang w:bidi="fa-IR"/>
        </w:rPr>
        <w:t>.</w:t>
      </w:r>
      <w:r w:rsidR="006C577F" w:rsidRPr="006C577F">
        <w:rPr>
          <w:rStyle w:val="libFootnotenumChar"/>
          <w:rtl/>
        </w:rPr>
        <w:t>(6)</w:t>
      </w:r>
      <w:r w:rsidRPr="00C9040A">
        <w:rPr>
          <w:rtl/>
          <w:lang w:bidi="fa-IR"/>
        </w:rPr>
        <w:t>‌</w:t>
      </w:r>
    </w:p>
    <w:p w:rsidR="008A74EB" w:rsidRPr="00C9040A" w:rsidRDefault="008A74EB" w:rsidP="008A74EB">
      <w:pPr>
        <w:pStyle w:val="libNormal"/>
        <w:rPr>
          <w:rtl/>
          <w:lang w:bidi="fa-IR"/>
        </w:rPr>
      </w:pPr>
      <w:r w:rsidRPr="007C2253">
        <w:rPr>
          <w:rtl/>
        </w:rPr>
        <w:t>2207</w:t>
      </w:r>
      <w:r w:rsidRPr="00261CB0">
        <w:rPr>
          <w:rStyle w:val="libBold2Char"/>
          <w:rtl/>
        </w:rPr>
        <w:t xml:space="preserve"> / 9.</w:t>
      </w:r>
      <w:r w:rsidRPr="00C9040A">
        <w:rPr>
          <w:rtl/>
          <w:lang w:bidi="fa-IR"/>
        </w:rPr>
        <w:t xml:space="preserve"> الْحُسَيْنُ بْنُ مُحَمَّدٍ وَمُحَمَّدُ بْنُ يَحْيى جَمِيعاً ، عَنْ عَلِيِّ بْنِ مُحَمَّدِ بْنِ سَعْدٍ ، عَنْ مُحَمَّدِ بْنِ أَسْلَمَ ، عَنْ مُحَمَّدِ بْنِ عَلِيِّ بْنِ عَدِيٍّ ، قَالَ : أَمْلى عَلَيَّ مُحَمَّدُ بْنُ سُلَيْمَانَ ، عَنْ إِسْحَاقَ بْنِ عَمَّارٍ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أَحْسِنْ</w:t>
      </w:r>
      <w:r>
        <w:rPr>
          <w:rtl/>
          <w:lang w:bidi="fa-IR"/>
        </w:rPr>
        <w:t xml:space="preserve"> </w:t>
      </w:r>
      <w:r w:rsidR="0084262C">
        <w:rPr>
          <w:rtl/>
          <w:lang w:bidi="fa-IR"/>
        </w:rPr>
        <w:t>-</w:t>
      </w:r>
      <w:r>
        <w:rPr>
          <w:rtl/>
          <w:lang w:bidi="fa-IR"/>
        </w:rPr>
        <w:t xml:space="preserve"> </w:t>
      </w:r>
      <w:r w:rsidRPr="00C9040A">
        <w:rPr>
          <w:rtl/>
          <w:lang w:bidi="fa-IR"/>
        </w:rPr>
        <w:t>يَا إِسْحَاقُ</w:t>
      </w:r>
      <w:r>
        <w:rPr>
          <w:rtl/>
          <w:lang w:bidi="fa-IR"/>
        </w:rPr>
        <w:t xml:space="preserve"> </w:t>
      </w:r>
      <w:r w:rsidR="0084262C">
        <w:rPr>
          <w:rtl/>
          <w:lang w:bidi="fa-IR"/>
        </w:rPr>
        <w:t>-</w:t>
      </w:r>
      <w:r>
        <w:rPr>
          <w:rtl/>
          <w:lang w:bidi="fa-IR"/>
        </w:rPr>
        <w:t xml:space="preserve"> </w:t>
      </w:r>
      <w:r w:rsidRPr="00C9040A">
        <w:rPr>
          <w:rtl/>
          <w:lang w:bidi="fa-IR"/>
        </w:rPr>
        <w:t>إِلى أَوْلِيَائِي مَا اسْتَطَعْتَ ، فَمَا أَحْسَنَ مُؤْمِنٌ إِلى مُؤْمِنٍ وَلَا أَعَا</w:t>
      </w:r>
      <w:r w:rsidR="000270DC">
        <w:rPr>
          <w:rtl/>
          <w:lang w:bidi="fa-IR"/>
        </w:rPr>
        <w:t>نَهُ إِل</w:t>
      </w:r>
      <w:r w:rsidR="000270DC">
        <w:rPr>
          <w:rFonts w:hint="cs"/>
          <w:rtl/>
          <w:lang w:bidi="fa-IR"/>
        </w:rPr>
        <w:t>َّ</w:t>
      </w:r>
      <w:r w:rsidR="000270DC">
        <w:rPr>
          <w:rtl/>
          <w:lang w:bidi="fa-IR"/>
        </w:rPr>
        <w:t>ا</w:t>
      </w:r>
      <w:r w:rsidRPr="00C9040A">
        <w:rPr>
          <w:rtl/>
          <w:lang w:bidi="fa-IR"/>
        </w:rPr>
        <w:t xml:space="preserve"> خَمَشَ </w:t>
      </w:r>
      <w:r w:rsidR="006C577F" w:rsidRPr="006C577F">
        <w:rPr>
          <w:rStyle w:val="libFootnotenumChar"/>
          <w:rtl/>
        </w:rPr>
        <w:t>(7)</w:t>
      </w:r>
      <w:r w:rsidRPr="00C9040A">
        <w:rPr>
          <w:rtl/>
          <w:lang w:bidi="fa-IR"/>
        </w:rPr>
        <w:t xml:space="preserve"> وَجْهَ إِبْلِيسَ </w:t>
      </w:r>
      <w:r w:rsidR="006C577F" w:rsidRPr="006C577F">
        <w:rPr>
          <w:rStyle w:val="libFootnotenumChar"/>
          <w:rtl/>
        </w:rPr>
        <w:t>(8)</w:t>
      </w:r>
      <w:r w:rsidRPr="00C9040A">
        <w:rPr>
          <w:rtl/>
          <w:lang w:bidi="fa-IR"/>
        </w:rPr>
        <w:t xml:space="preserve"> ، وَقَرَّحَ قَلْبَهُ </w:t>
      </w:r>
      <w:r w:rsidR="006C577F" w:rsidRPr="006C577F">
        <w:rPr>
          <w:rStyle w:val="libFootnotenumChar"/>
          <w:rtl/>
        </w:rPr>
        <w:t>(9)</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w:t>
      </w:r>
      <w:r w:rsidR="006D3162">
        <w:rPr>
          <w:rtl/>
        </w:rPr>
        <w:t xml:space="preserve">ه </w:t>
      </w:r>
      <w:r w:rsidR="008A74EB" w:rsidRPr="00C9040A">
        <w:rPr>
          <w:rtl/>
        </w:rPr>
        <w:t>» : « الجنّة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الوافي</w:t>
      </w:r>
      <w:r w:rsidR="008A74EB" w:rsidRPr="00C9040A">
        <w:rPr>
          <w:rtl/>
        </w:rPr>
        <w:t xml:space="preserve"> ، ج 5 ، ص 647 ، ح 2785 ؛ </w:t>
      </w:r>
      <w:r w:rsidR="008A74EB" w:rsidRPr="00993B55">
        <w:rPr>
          <w:rStyle w:val="libFootnoteBoldChar"/>
          <w:rtl/>
        </w:rPr>
        <w:t>الوسائل</w:t>
      </w:r>
      <w:r w:rsidR="008A74EB" w:rsidRPr="00C9040A">
        <w:rPr>
          <w:rtl/>
        </w:rPr>
        <w:t xml:space="preserve"> ، ج 16 ، ص 375 ، ح 21803 ؛ </w:t>
      </w:r>
      <w:r w:rsidR="008A74EB" w:rsidRPr="00993B55">
        <w:rPr>
          <w:rStyle w:val="libFootnoteBoldChar"/>
          <w:rtl/>
        </w:rPr>
        <w:t>البحار</w:t>
      </w:r>
      <w:r w:rsidR="008A74EB" w:rsidRPr="00C9040A">
        <w:rPr>
          <w:rtl/>
        </w:rPr>
        <w:t xml:space="preserve"> ، ج 8 ، ص 156 ، ح 97 ؛ وج 74 ، ص 300 ، ح 36.</w:t>
      </w:r>
    </w:p>
    <w:p w:rsidR="008A74EB" w:rsidRPr="00C9040A" w:rsidRDefault="006C577F" w:rsidP="004A4E41">
      <w:pPr>
        <w:pStyle w:val="libFootnote0"/>
        <w:rPr>
          <w:rtl/>
          <w:lang w:bidi="fa-IR"/>
        </w:rPr>
      </w:pPr>
      <w:r>
        <w:rPr>
          <w:rtl/>
        </w:rPr>
        <w:t>(3).</w:t>
      </w:r>
      <w:r w:rsidR="008A74EB" w:rsidRPr="00C9040A">
        <w:rPr>
          <w:rtl/>
        </w:rPr>
        <w:t xml:space="preserve"> هكذا في النسخ والطبعة الحجريّة من الكتاب والوسائل والبحار. وفي المطبوع : « محمّد بن يحيى ، عن أحمدبن محمّد بن عيسى »</w:t>
      </w:r>
      <w:r w:rsidR="008A74EB">
        <w:rPr>
          <w:rtl/>
        </w:rPr>
        <w:t>.</w:t>
      </w:r>
    </w:p>
    <w:p w:rsidR="008A74EB" w:rsidRPr="00C9040A" w:rsidRDefault="008A74EB" w:rsidP="008A74EB">
      <w:pPr>
        <w:pStyle w:val="libNormal0"/>
        <w:rPr>
          <w:rtl/>
          <w:lang w:bidi="fa-IR"/>
        </w:rPr>
      </w:pPr>
      <w:r w:rsidRPr="00323A39">
        <w:rPr>
          <w:rStyle w:val="libFootnote0Char"/>
          <w:rtl/>
        </w:rPr>
        <w:t xml:space="preserve">وقد توسَّطَ محمّد بن أحمد [ بن يحيى ] بين محمّد بن يحيى ومحمّد بن عيسى في كثيرٍ من الأسناد. راجع : </w:t>
      </w:r>
      <w:r w:rsidRPr="00993B55">
        <w:rPr>
          <w:rStyle w:val="libFootnoteBoldChar"/>
          <w:rtl/>
        </w:rPr>
        <w:t>معجم رجال الحديث</w:t>
      </w:r>
      <w:r w:rsidRPr="00323A39">
        <w:rPr>
          <w:rStyle w:val="libFootnote0Char"/>
          <w:rtl/>
        </w:rPr>
        <w:t xml:space="preserve"> ، ج 14 ، ص 444 </w:t>
      </w:r>
      <w:r w:rsidR="0084262C" w:rsidRPr="00323A39">
        <w:rPr>
          <w:rStyle w:val="libFootnote0Char"/>
          <w:rtl/>
        </w:rPr>
        <w:t>-</w:t>
      </w:r>
      <w:r w:rsidRPr="00323A39">
        <w:rPr>
          <w:rStyle w:val="libFootnote0Char"/>
          <w:rtl/>
        </w:rPr>
        <w:t xml:space="preserve"> 445 ؛ ج 15 ، ص 328 </w:t>
      </w:r>
      <w:r w:rsidR="0084262C" w:rsidRPr="00323A39">
        <w:rPr>
          <w:rStyle w:val="libFootnote0Char"/>
          <w:rtl/>
        </w:rPr>
        <w:t>-</w:t>
      </w:r>
      <w:r w:rsidRPr="00323A39">
        <w:rPr>
          <w:rStyle w:val="libFootnote0Char"/>
          <w:rtl/>
        </w:rPr>
        <w:t xml:space="preserve"> 329.</w:t>
      </w:r>
    </w:p>
    <w:p w:rsidR="008A74EB" w:rsidRPr="00C9040A" w:rsidRDefault="006C577F" w:rsidP="000270DC">
      <w:pPr>
        <w:pStyle w:val="libFootnote0"/>
        <w:rPr>
          <w:rtl/>
          <w:lang w:bidi="fa-IR"/>
        </w:rPr>
      </w:pPr>
      <w:r>
        <w:rPr>
          <w:rtl/>
        </w:rPr>
        <w:t>(4).</w:t>
      </w:r>
      <w:r w:rsidR="008A74EB" w:rsidRPr="00C9040A">
        <w:rPr>
          <w:rtl/>
        </w:rPr>
        <w:t xml:space="preserve"> هكذا في « ب ، ج ، د ، ز ، ص ، ض ، ف ، </w:t>
      </w:r>
      <w:r w:rsidR="006D3162">
        <w:rPr>
          <w:rtl/>
        </w:rPr>
        <w:t xml:space="preserve">ه </w:t>
      </w:r>
      <w:r w:rsidR="008A74EB" w:rsidRPr="00C9040A">
        <w:rPr>
          <w:rtl/>
        </w:rPr>
        <w:t>، بر ، بف ، جر » والط</w:t>
      </w:r>
      <w:r w:rsidR="00B120D5">
        <w:rPr>
          <w:rtl/>
        </w:rPr>
        <w:t>بعة الحجريّة والوسائل. وفي « بس</w:t>
      </w:r>
      <w:r w:rsidR="008A74EB" w:rsidRPr="00C9040A">
        <w:rPr>
          <w:rtl/>
        </w:rPr>
        <w:t>» والمطبوع والبحار : « الفضيل »</w:t>
      </w:r>
      <w:r w:rsidR="008A74EB">
        <w:rPr>
          <w:rtl/>
        </w:rPr>
        <w:t>.</w:t>
      </w:r>
      <w:r w:rsidR="000270DC">
        <w:rPr>
          <w:rFonts w:hint="cs"/>
          <w:rtl/>
        </w:rPr>
        <w:t xml:space="preserve">                     </w:t>
      </w:r>
      <w:r>
        <w:rPr>
          <w:rtl/>
        </w:rPr>
        <w:t>(5).</w:t>
      </w:r>
      <w:r w:rsidR="008A74EB" w:rsidRPr="00C9040A">
        <w:rPr>
          <w:rtl/>
        </w:rPr>
        <w:t xml:space="preserve"> في « ف » : « على المؤمن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الوافي</w:t>
      </w:r>
      <w:r w:rsidR="008A74EB" w:rsidRPr="00C9040A">
        <w:rPr>
          <w:rtl/>
        </w:rPr>
        <w:t xml:space="preserve"> ، ج 5 ، ص 565 ، ح 2583 ؛ </w:t>
      </w:r>
      <w:r w:rsidR="008A74EB" w:rsidRPr="00993B55">
        <w:rPr>
          <w:rStyle w:val="libFootnoteBoldChar"/>
          <w:rtl/>
        </w:rPr>
        <w:t>الوسائل</w:t>
      </w:r>
      <w:r w:rsidR="008A74EB" w:rsidRPr="00C9040A">
        <w:rPr>
          <w:rtl/>
        </w:rPr>
        <w:t xml:space="preserve"> ، ج 16 ، ص 379 ، ح 21810 ؛ </w:t>
      </w:r>
      <w:r w:rsidR="008A74EB" w:rsidRPr="00993B55">
        <w:rPr>
          <w:rStyle w:val="libFootnoteBoldChar"/>
          <w:rtl/>
        </w:rPr>
        <w:t>البحار</w:t>
      </w:r>
      <w:r w:rsidR="008A74EB" w:rsidRPr="00C9040A">
        <w:rPr>
          <w:rtl/>
        </w:rPr>
        <w:t xml:space="preserve"> ، ج 74 ، ص 301 ، ح 37.</w:t>
      </w:r>
    </w:p>
    <w:p w:rsidR="008A74EB" w:rsidRPr="00C9040A" w:rsidRDefault="006C577F" w:rsidP="004A4E41">
      <w:pPr>
        <w:pStyle w:val="libFootnote0"/>
        <w:rPr>
          <w:rtl/>
          <w:lang w:bidi="fa-IR"/>
        </w:rPr>
      </w:pPr>
      <w:r>
        <w:rPr>
          <w:rtl/>
        </w:rPr>
        <w:t>(7).</w:t>
      </w:r>
      <w:r w:rsidR="008A74EB" w:rsidRPr="00C9040A">
        <w:rPr>
          <w:rtl/>
        </w:rPr>
        <w:t xml:space="preserve"> الخَمْش : الخدش في الوجه. </w:t>
      </w:r>
      <w:r w:rsidR="008A74EB" w:rsidRPr="00993B55">
        <w:rPr>
          <w:rStyle w:val="libFootnoteBoldChar"/>
          <w:rtl/>
        </w:rPr>
        <w:t>لسان العرب</w:t>
      </w:r>
      <w:r w:rsidR="008A74EB" w:rsidRPr="00C9040A">
        <w:rPr>
          <w:rtl/>
        </w:rPr>
        <w:t xml:space="preserve"> ، ج 6 ، ص 299 ( خدش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 ز ، ض ، </w:t>
      </w:r>
      <w:r w:rsidR="006D3162">
        <w:rPr>
          <w:rtl/>
        </w:rPr>
        <w:t xml:space="preserve">ه </w:t>
      </w:r>
      <w:r w:rsidR="008A74EB" w:rsidRPr="00C9040A">
        <w:rPr>
          <w:rtl/>
        </w:rPr>
        <w:t>» : + « لعنه الله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 قَرَّحَ قَلْبَهُ » مبالغة وتكثير من قَرَحَ قَلْبَهُ ، م</w:t>
      </w:r>
      <w:r w:rsidR="000270DC">
        <w:rPr>
          <w:rtl/>
        </w:rPr>
        <w:t>ن باب منع ، أي جرحه. وقال العل</w:t>
      </w:r>
      <w:r w:rsidR="000270DC">
        <w:rPr>
          <w:rFonts w:hint="cs"/>
          <w:rtl/>
        </w:rPr>
        <w:t>ّ</w:t>
      </w:r>
      <w:r w:rsidR="000270DC">
        <w:rPr>
          <w:rtl/>
        </w:rPr>
        <w:t>ا</w:t>
      </w:r>
      <w:r w:rsidR="008A74EB" w:rsidRPr="00C9040A">
        <w:rPr>
          <w:rtl/>
        </w:rPr>
        <w:t xml:space="preserve">مة المجلسي : « قرّح ، بالقاف من باب التفعيل كناية عن شدّة </w:t>
      </w:r>
      <w:r w:rsidR="000270DC">
        <w:rPr>
          <w:rtl/>
        </w:rPr>
        <w:t>الغمّ واستمراره » ، وقرأه العل</w:t>
      </w:r>
      <w:r w:rsidR="000270DC">
        <w:rPr>
          <w:rFonts w:hint="cs"/>
          <w:rtl/>
        </w:rPr>
        <w:t>ّ</w:t>
      </w:r>
      <w:r w:rsidR="000270DC">
        <w:rPr>
          <w:rtl/>
        </w:rPr>
        <w:t>ا</w:t>
      </w:r>
      <w:r w:rsidR="008A74EB" w:rsidRPr="00C9040A">
        <w:rPr>
          <w:rtl/>
        </w:rPr>
        <w:t>مة الفيض من باب المجر</w:t>
      </w:r>
      <w:r w:rsidR="000270DC">
        <w:rPr>
          <w:rtl/>
        </w:rPr>
        <w:t>ّد ، حيث قال : « القُرْح ، بضمّ</w:t>
      </w:r>
      <w:r w:rsidR="000270DC">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Heading2Center"/>
        <w:rPr>
          <w:rtl/>
          <w:lang w:bidi="fa-IR"/>
        </w:rPr>
      </w:pPr>
      <w:bookmarkStart w:id="277" w:name="_Toc343795680"/>
      <w:bookmarkStart w:id="278" w:name="_Toc459810804"/>
      <w:bookmarkStart w:id="279" w:name="_Toc35348710"/>
      <w:r w:rsidRPr="00C9040A">
        <w:rPr>
          <w:rtl/>
          <w:lang w:bidi="fa-IR"/>
        </w:rPr>
        <w:t>89</w:t>
      </w:r>
      <w:r>
        <w:rPr>
          <w:rtl/>
          <w:lang w:bidi="fa-IR"/>
        </w:rPr>
        <w:t xml:space="preserve"> </w:t>
      </w:r>
      <w:r w:rsidR="0084262C">
        <w:rPr>
          <w:rtl/>
          <w:lang w:bidi="fa-IR"/>
        </w:rPr>
        <w:t>-</w:t>
      </w:r>
      <w:r>
        <w:rPr>
          <w:rtl/>
          <w:lang w:bidi="fa-IR"/>
        </w:rPr>
        <w:t xml:space="preserve"> </w:t>
      </w:r>
      <w:r w:rsidRPr="00C9040A">
        <w:rPr>
          <w:rtl/>
          <w:lang w:bidi="fa-IR"/>
        </w:rPr>
        <w:t xml:space="preserve">بَابٌ فِي خِدْمَتِهِ </w:t>
      </w:r>
      <w:r w:rsidR="006C577F" w:rsidRPr="006C577F">
        <w:rPr>
          <w:rStyle w:val="libFootnotenumChar"/>
          <w:rtl/>
        </w:rPr>
        <w:t>(1)</w:t>
      </w:r>
      <w:r w:rsidRPr="00C9040A">
        <w:rPr>
          <w:rtl/>
          <w:lang w:bidi="fa-IR"/>
        </w:rPr>
        <w:t xml:space="preserve"> ‌</w:t>
      </w:r>
      <w:bookmarkEnd w:id="277"/>
      <w:bookmarkEnd w:id="278"/>
      <w:bookmarkEnd w:id="279"/>
    </w:p>
    <w:p w:rsidR="008A74EB" w:rsidRPr="00C9040A" w:rsidRDefault="008A74EB" w:rsidP="008A74EB">
      <w:pPr>
        <w:pStyle w:val="libNormal"/>
        <w:rPr>
          <w:rtl/>
          <w:lang w:bidi="fa-IR"/>
        </w:rPr>
      </w:pPr>
      <w:r w:rsidRPr="007C2253">
        <w:rPr>
          <w:rtl/>
        </w:rPr>
        <w:t>2208</w:t>
      </w:r>
      <w:r w:rsidRPr="00261CB0">
        <w:rPr>
          <w:rStyle w:val="libBold2Char"/>
          <w:rtl/>
        </w:rPr>
        <w:t xml:space="preserve"> / 1.</w:t>
      </w:r>
      <w:r w:rsidRPr="00C9040A">
        <w:rPr>
          <w:rtl/>
          <w:lang w:bidi="fa-IR"/>
        </w:rPr>
        <w:t xml:space="preserve"> مُحَمَّدُ بْنُ يَحْيى ، عَنْ سَلَمَةَ بْنِ الْخَطَّابِ ، عَنْ إِبْرَاهِيمَ بْنِ مُحَمَّدٍ الثَّقَفِيِّ ، عَنْ إِسْمَاعِيلَ بْنِ أَبَانٍ ، عَنْ صَالِحِ بْنِ أَبِي الْأَسْوَدِ رَفَعَهُ ، عَنْ أَبِي الْمُعْتَمِرِ ، قَالَ :</w:t>
      </w:r>
    </w:p>
    <w:p w:rsidR="008A74EB" w:rsidRPr="00C9040A" w:rsidRDefault="008A74EB" w:rsidP="008A74EB">
      <w:pPr>
        <w:pStyle w:val="libNormal"/>
        <w:rPr>
          <w:rtl/>
          <w:lang w:bidi="fa-IR"/>
        </w:rPr>
      </w:pPr>
      <w:r w:rsidRPr="00C9040A">
        <w:rPr>
          <w:rtl/>
          <w:lang w:bidi="fa-IR"/>
        </w:rPr>
        <w:t xml:space="preserve">سَمِعْتُ أَمِيرَ الْمُؤْمِنِينَ </w:t>
      </w:r>
      <w:r w:rsidRPr="0003660B">
        <w:rPr>
          <w:rStyle w:val="libAlaemChar"/>
          <w:rtl/>
        </w:rPr>
        <w:t>عليه‌السلام</w:t>
      </w:r>
      <w:r w:rsidRPr="00C9040A">
        <w:rPr>
          <w:rtl/>
          <w:lang w:bidi="fa-IR"/>
        </w:rPr>
        <w:t xml:space="preserve"> يَقُولُ : « قَالَ رَسُولُ اللهِ </w:t>
      </w:r>
      <w:r w:rsidR="004A4E41" w:rsidRPr="004A4E41">
        <w:rPr>
          <w:rStyle w:val="libAlaemChar"/>
          <w:rtl/>
        </w:rPr>
        <w:t>صلى‌الله‌عليه‌وآله</w:t>
      </w:r>
      <w:r w:rsidRPr="00C9040A">
        <w:rPr>
          <w:rtl/>
          <w:lang w:bidi="fa-IR"/>
        </w:rPr>
        <w:t xml:space="preserve"> : أَيُّمَا مُسْلِمٍ </w:t>
      </w:r>
      <w:r w:rsidR="006C577F" w:rsidRPr="006C577F">
        <w:rPr>
          <w:rStyle w:val="libFootnotenumChar"/>
          <w:rtl/>
        </w:rPr>
        <w:t>(2)</w:t>
      </w:r>
      <w:r w:rsidRPr="00C9040A">
        <w:rPr>
          <w:rtl/>
          <w:lang w:bidi="fa-IR"/>
        </w:rPr>
        <w:t xml:space="preserve"> خَدَمَ قَوْم</w:t>
      </w:r>
      <w:r w:rsidR="000270DC">
        <w:rPr>
          <w:rtl/>
          <w:lang w:bidi="fa-IR"/>
        </w:rPr>
        <w:t>اً مِنَ الْمُسْلِمِينَ إِل</w:t>
      </w:r>
      <w:r w:rsidR="000270DC">
        <w:rPr>
          <w:rFonts w:hint="cs"/>
          <w:rtl/>
          <w:lang w:bidi="fa-IR"/>
        </w:rPr>
        <w:t>َّ</w:t>
      </w:r>
      <w:r w:rsidR="000270DC">
        <w:rPr>
          <w:rtl/>
          <w:lang w:bidi="fa-IR"/>
        </w:rPr>
        <w:t>ا</w:t>
      </w:r>
      <w:r w:rsidRPr="00C9040A">
        <w:rPr>
          <w:rtl/>
          <w:lang w:bidi="fa-IR"/>
        </w:rPr>
        <w:t xml:space="preserve"> </w:t>
      </w:r>
      <w:r w:rsidR="006C577F" w:rsidRPr="006C577F">
        <w:rPr>
          <w:rStyle w:val="libFootnotenumChar"/>
          <w:rtl/>
        </w:rPr>
        <w:t>(3)</w:t>
      </w:r>
      <w:r w:rsidRPr="00C9040A">
        <w:rPr>
          <w:rtl/>
          <w:lang w:bidi="fa-IR"/>
        </w:rPr>
        <w:t xml:space="preserve"> أَعْطَاهُ اللهُ مِثْلَ عَدَدِهِمْ خُدَّاماً </w:t>
      </w:r>
      <w:r w:rsidR="006C577F" w:rsidRPr="006C577F">
        <w:rPr>
          <w:rStyle w:val="libFootnotenumChar"/>
          <w:rtl/>
        </w:rPr>
        <w:t>(4)</w:t>
      </w:r>
      <w:r w:rsidRPr="00C9040A">
        <w:rPr>
          <w:rtl/>
          <w:lang w:bidi="fa-IR"/>
        </w:rPr>
        <w:t xml:space="preserve"> فِي الْجَنَّةِ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Heading2Center"/>
        <w:rPr>
          <w:rtl/>
          <w:lang w:bidi="fa-IR"/>
        </w:rPr>
      </w:pPr>
      <w:bookmarkStart w:id="280" w:name="_Toc343795681"/>
      <w:bookmarkStart w:id="281" w:name="_Toc459810805"/>
      <w:bookmarkStart w:id="282" w:name="_Toc35348711"/>
      <w:r w:rsidRPr="00C9040A">
        <w:rPr>
          <w:rtl/>
          <w:lang w:bidi="fa-IR"/>
        </w:rPr>
        <w:t>90</w:t>
      </w:r>
      <w:r>
        <w:rPr>
          <w:rtl/>
          <w:lang w:bidi="fa-IR"/>
        </w:rPr>
        <w:t xml:space="preserve"> </w:t>
      </w:r>
      <w:r w:rsidR="0084262C">
        <w:rPr>
          <w:rtl/>
          <w:lang w:bidi="fa-IR"/>
        </w:rPr>
        <w:t>-</w:t>
      </w:r>
      <w:r>
        <w:rPr>
          <w:rtl/>
          <w:lang w:bidi="fa-IR"/>
        </w:rPr>
        <w:t xml:space="preserve"> </w:t>
      </w:r>
      <w:r w:rsidRPr="00C9040A">
        <w:rPr>
          <w:rtl/>
          <w:lang w:bidi="fa-IR"/>
        </w:rPr>
        <w:t>بَابُ نَصِيحَةِ الْمُؤْمِنِ‌</w:t>
      </w:r>
      <w:bookmarkEnd w:id="280"/>
      <w:bookmarkEnd w:id="281"/>
      <w:bookmarkEnd w:id="282"/>
    </w:p>
    <w:p w:rsidR="008A74EB" w:rsidRPr="00C9040A" w:rsidRDefault="008A74EB" w:rsidP="008A74EB">
      <w:pPr>
        <w:pStyle w:val="libNormal"/>
        <w:rPr>
          <w:rtl/>
          <w:lang w:bidi="fa-IR"/>
        </w:rPr>
      </w:pPr>
      <w:r w:rsidRPr="007C2253">
        <w:rPr>
          <w:rtl/>
        </w:rPr>
        <w:t>2209</w:t>
      </w:r>
      <w:r w:rsidRPr="00261CB0">
        <w:rPr>
          <w:rStyle w:val="libBold2Char"/>
          <w:rtl/>
        </w:rPr>
        <w:t xml:space="preserve"> / 1.</w:t>
      </w:r>
      <w:r w:rsidRPr="00C9040A">
        <w:rPr>
          <w:rtl/>
          <w:lang w:bidi="fa-IR"/>
        </w:rPr>
        <w:t xml:space="preserve"> عِدَّةٌ مِنْ أَصْحَابِنَا ، عَنْ أَحْمَدَ بْنِ مُحَمَّدٍ ، عَنْ عَلِيِّ بْنِ الْحَكَمِ ، عَنْ عُمَرَ بْنِ أَبَانٍ ، عَنْ عِيسَى بْنِ أَبِي مَنْصُورٍ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يَجِبُ لِلْمُؤْمِنِ عَلَى الْمُؤْمِنِ أَنْ يُنَاصِحَهُ </w:t>
      </w:r>
      <w:r w:rsidR="006C577F" w:rsidRPr="006C577F">
        <w:rPr>
          <w:rStyle w:val="libFootnotenumChar"/>
          <w:rtl/>
        </w:rPr>
        <w:t>(6)</w:t>
      </w:r>
      <w:r w:rsidRPr="005B567D">
        <w:rPr>
          <w:rStyle w:val="libFootnotenumChar"/>
          <w:rtl/>
        </w:rPr>
        <w:t xml:space="preserve"> </w:t>
      </w:r>
      <w:r w:rsidRPr="00C9040A">
        <w:rPr>
          <w:rtl/>
          <w:lang w:bidi="fa-IR"/>
        </w:rPr>
        <w:t>»</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211E21" w:rsidP="004A4E41">
      <w:pPr>
        <w:pStyle w:val="libFootnote0"/>
        <w:rPr>
          <w:rtl/>
          <w:lang w:bidi="fa-IR"/>
        </w:rPr>
      </w:pPr>
      <w:r>
        <w:rPr>
          <w:rFonts w:hint="cs"/>
          <w:rtl/>
        </w:rPr>
        <w:t xml:space="preserve">= </w:t>
      </w:r>
      <w:r w:rsidR="008A74EB" w:rsidRPr="00C9040A">
        <w:rPr>
          <w:rtl/>
        </w:rPr>
        <w:t>القاف والمهملتين : الألم ، قرح قلبه ، أي آلمه »</w:t>
      </w:r>
      <w:r w:rsidR="008A74EB">
        <w:rPr>
          <w:rtl/>
        </w:rPr>
        <w:t>.</w:t>
      </w:r>
      <w:r>
        <w:rPr>
          <w:rtl/>
        </w:rPr>
        <w:t xml:space="preserve"> وأمّا العل</w:t>
      </w:r>
      <w:r>
        <w:rPr>
          <w:rFonts w:hint="cs"/>
          <w:rtl/>
        </w:rPr>
        <w:t>ّ</w:t>
      </w:r>
      <w:r>
        <w:rPr>
          <w:rtl/>
        </w:rPr>
        <w:t>ا</w:t>
      </w:r>
      <w:r w:rsidR="008A74EB" w:rsidRPr="00C9040A">
        <w:rPr>
          <w:rtl/>
        </w:rPr>
        <w:t>مة المازندراني فإنّه قرأه بالفاء ، حيث قال : « فرّح قلبه ، إذا غمّه ، وأفرحه ، إذا أثقله ، وحقيقته : أزال عنه الفرح ، كأشكيته. ويجوز أن يقرأ بالقاف ، يقال : قرحه ، من باب منع ، أي جرحه »</w:t>
      </w:r>
      <w:r w:rsidR="008A74EB">
        <w:rPr>
          <w:rtl/>
        </w:rPr>
        <w:t>.</w:t>
      </w:r>
      <w:r w:rsidR="008A74EB" w:rsidRPr="00C9040A">
        <w:rPr>
          <w:rtl/>
        </w:rPr>
        <w:t xml:space="preserve"> راجع : </w:t>
      </w:r>
      <w:r w:rsidR="008A74EB" w:rsidRPr="00993B55">
        <w:rPr>
          <w:rStyle w:val="libFootnoteBoldChar"/>
          <w:rtl/>
        </w:rPr>
        <w:t>النهاية</w:t>
      </w:r>
      <w:r w:rsidR="008A74EB" w:rsidRPr="00C9040A">
        <w:rPr>
          <w:rtl/>
        </w:rPr>
        <w:t xml:space="preserve"> ، ج 3 ، ص 424 ؛ </w:t>
      </w:r>
      <w:r w:rsidR="008A74EB" w:rsidRPr="00993B55">
        <w:rPr>
          <w:rStyle w:val="libFootnoteBoldChar"/>
          <w:rtl/>
        </w:rPr>
        <w:t>لسان العرب</w:t>
      </w:r>
      <w:r w:rsidR="008A74EB" w:rsidRPr="00C9040A">
        <w:rPr>
          <w:rtl/>
        </w:rPr>
        <w:t xml:space="preserve"> ، ج 2 ، ص 452 ( فرح ) ؛ </w:t>
      </w:r>
      <w:r w:rsidR="008A74EB" w:rsidRPr="00993B55">
        <w:rPr>
          <w:rStyle w:val="libFootnoteBoldChar"/>
          <w:rtl/>
        </w:rPr>
        <w:t>المصباح المنير</w:t>
      </w:r>
      <w:r w:rsidR="008A74EB" w:rsidRPr="00C9040A">
        <w:rPr>
          <w:rtl/>
        </w:rPr>
        <w:t xml:space="preserve"> ، ص 496 ( قرح ) ؛ </w:t>
      </w:r>
      <w:r w:rsidR="008A74EB" w:rsidRPr="00993B55">
        <w:rPr>
          <w:rStyle w:val="libFootnoteBoldChar"/>
          <w:rtl/>
        </w:rPr>
        <w:t>شرح المازندراني</w:t>
      </w:r>
      <w:r w:rsidR="008A74EB" w:rsidRPr="00C9040A">
        <w:rPr>
          <w:rtl/>
        </w:rPr>
        <w:t xml:space="preserve"> ، ج 9 ، ص 93 </w:t>
      </w:r>
      <w:r w:rsidR="008A74EB">
        <w:rPr>
          <w:rtl/>
        </w:rPr>
        <w:t>و 9</w:t>
      </w:r>
      <w:r w:rsidR="008A74EB" w:rsidRPr="00C9040A">
        <w:rPr>
          <w:rtl/>
        </w:rPr>
        <w:t xml:space="preserve">4 ؛ </w:t>
      </w:r>
      <w:r w:rsidR="008A74EB" w:rsidRPr="00993B55">
        <w:rPr>
          <w:rStyle w:val="libFootnoteBoldChar"/>
          <w:rtl/>
        </w:rPr>
        <w:t>مرآة العقول</w:t>
      </w:r>
      <w:r w:rsidR="008A74EB" w:rsidRPr="00C9040A">
        <w:rPr>
          <w:rtl/>
        </w:rPr>
        <w:t xml:space="preserve"> ، ج 9 ، ص 141.</w:t>
      </w:r>
    </w:p>
    <w:p w:rsidR="008A74EB" w:rsidRDefault="006C577F" w:rsidP="004A4E41">
      <w:pPr>
        <w:pStyle w:val="libFootnote0"/>
        <w:rPr>
          <w:rtl/>
        </w:rPr>
      </w:pPr>
      <w:r>
        <w:rPr>
          <w:rtl/>
        </w:rPr>
        <w:t>(10).</w:t>
      </w:r>
      <w:r w:rsidR="008A74EB" w:rsidRPr="00C9040A">
        <w:rPr>
          <w:rtl/>
        </w:rPr>
        <w:t xml:space="preserve"> </w:t>
      </w:r>
      <w:r w:rsidR="008A74EB" w:rsidRPr="00993B55">
        <w:rPr>
          <w:rStyle w:val="libFootnoteBoldChar"/>
          <w:rtl/>
        </w:rPr>
        <w:t>الوافي</w:t>
      </w:r>
      <w:r w:rsidR="008A74EB" w:rsidRPr="00C9040A">
        <w:rPr>
          <w:rtl/>
        </w:rPr>
        <w:t xml:space="preserve"> ، ج 5 ، ص 647 ، ح 2786 ؛ </w:t>
      </w:r>
      <w:r w:rsidR="008A74EB" w:rsidRPr="00993B55">
        <w:rPr>
          <w:rStyle w:val="libFootnoteBoldChar"/>
          <w:rtl/>
        </w:rPr>
        <w:t>الوسائل</w:t>
      </w:r>
      <w:r w:rsidR="008A74EB" w:rsidRPr="00C9040A">
        <w:rPr>
          <w:rtl/>
        </w:rPr>
        <w:t xml:space="preserve"> ، ج 16 ، ص 377 ، ح 21807 ؛ </w:t>
      </w:r>
      <w:r w:rsidR="008A74EB" w:rsidRPr="00993B55">
        <w:rPr>
          <w:rStyle w:val="libFootnoteBoldChar"/>
          <w:rtl/>
        </w:rPr>
        <w:t>البحار</w:t>
      </w:r>
      <w:r w:rsidR="008A74EB" w:rsidRPr="00C9040A">
        <w:rPr>
          <w:rtl/>
        </w:rPr>
        <w:t xml:space="preserve"> ، ج 74 ، ح 301 ، ح 38.</w:t>
      </w:r>
    </w:p>
    <w:tbl>
      <w:tblPr>
        <w:tblStyle w:val="TableGrid"/>
        <w:bidiVisual/>
        <w:tblW w:w="0" w:type="auto"/>
        <w:tblLook w:val="04A0" w:firstRow="1" w:lastRow="0" w:firstColumn="1" w:lastColumn="0" w:noHBand="0" w:noVBand="1"/>
      </w:tblPr>
      <w:tblGrid>
        <w:gridCol w:w="4006"/>
        <w:gridCol w:w="4006"/>
      </w:tblGrid>
      <w:tr w:rsidR="00DB6128" w:rsidTr="00DB6128">
        <w:tc>
          <w:tcPr>
            <w:tcW w:w="4006" w:type="dxa"/>
          </w:tcPr>
          <w:p w:rsidR="00DB6128" w:rsidRDefault="00DB6128" w:rsidP="004A4E41">
            <w:pPr>
              <w:pStyle w:val="libFootnote0"/>
              <w:rPr>
                <w:rtl/>
              </w:rPr>
            </w:pPr>
            <w:r>
              <w:rPr>
                <w:rtl/>
              </w:rPr>
              <w:t xml:space="preserve">(1). </w:t>
            </w:r>
            <w:r w:rsidRPr="00C9040A">
              <w:rPr>
                <w:rtl/>
              </w:rPr>
              <w:t>في « ف » : « خدمة المؤمن »</w:t>
            </w:r>
            <w:r>
              <w:rPr>
                <w:rtl/>
              </w:rPr>
              <w:t>.</w:t>
            </w:r>
          </w:p>
        </w:tc>
        <w:tc>
          <w:tcPr>
            <w:tcW w:w="4006" w:type="dxa"/>
          </w:tcPr>
          <w:p w:rsidR="00DB6128" w:rsidRDefault="00DB6128" w:rsidP="004A4E41">
            <w:pPr>
              <w:pStyle w:val="libFootnote0"/>
              <w:rPr>
                <w:rtl/>
              </w:rPr>
            </w:pPr>
            <w:r>
              <w:rPr>
                <w:rtl/>
              </w:rPr>
              <w:t xml:space="preserve">(2). </w:t>
            </w:r>
            <w:r w:rsidRPr="00C9040A">
              <w:rPr>
                <w:rtl/>
              </w:rPr>
              <w:t>في « بر ، بف » : « مؤمن »</w:t>
            </w:r>
            <w:r>
              <w:rPr>
                <w:rtl/>
              </w:rPr>
              <w:t>.</w:t>
            </w:r>
          </w:p>
        </w:tc>
      </w:tr>
    </w:tbl>
    <w:p w:rsidR="008A74EB" w:rsidRPr="00C9040A" w:rsidRDefault="006C577F" w:rsidP="00DB6128">
      <w:pPr>
        <w:pStyle w:val="libFootnote0"/>
        <w:rPr>
          <w:rtl/>
          <w:lang w:bidi="fa-IR"/>
        </w:rPr>
      </w:pPr>
      <w:r>
        <w:rPr>
          <w:rtl/>
        </w:rPr>
        <w:t>(3).</w:t>
      </w:r>
      <w:r w:rsidR="008A74EB" w:rsidRPr="00C9040A">
        <w:rPr>
          <w:rtl/>
        </w:rPr>
        <w:t xml:space="preserve"> في « </w:t>
      </w:r>
      <w:r w:rsidR="006D3162">
        <w:rPr>
          <w:rtl/>
        </w:rPr>
        <w:t xml:space="preserve">ه </w:t>
      </w:r>
      <w:r w:rsidR="008A74EB" w:rsidRPr="00C9040A">
        <w:rPr>
          <w:rtl/>
        </w:rPr>
        <w:t xml:space="preserve">» </w:t>
      </w:r>
      <w:r w:rsidR="008A74EB">
        <w:rPr>
          <w:rtl/>
        </w:rPr>
        <w:t xml:space="preserve">: </w:t>
      </w:r>
      <w:r w:rsidR="0084262C">
        <w:rPr>
          <w:rtl/>
        </w:rPr>
        <w:t>-</w:t>
      </w:r>
      <w:r w:rsidR="00DB6128">
        <w:rPr>
          <w:rtl/>
        </w:rPr>
        <w:t xml:space="preserve"> « إل</w:t>
      </w:r>
      <w:r w:rsidR="00DB6128">
        <w:rPr>
          <w:rFonts w:hint="cs"/>
          <w:rtl/>
        </w:rPr>
        <w:t>ّ</w:t>
      </w:r>
      <w:r w:rsidR="00DB6128">
        <w:rPr>
          <w:rtl/>
        </w:rPr>
        <w:t>ا</w:t>
      </w:r>
      <w:r w:rsidR="008A74EB" w:rsidRPr="00C9040A">
        <w:rPr>
          <w:rtl/>
        </w:rPr>
        <w:t xml:space="preserve"> »</w:t>
      </w:r>
      <w:r w:rsidR="008A74EB">
        <w:rPr>
          <w:rtl/>
        </w:rPr>
        <w:t>.</w:t>
      </w:r>
      <w:r w:rsidR="008A74EB" w:rsidRPr="00C9040A">
        <w:rPr>
          <w:rtl/>
        </w:rPr>
        <w:t xml:space="preserve"> وهي زائدة ، أو استثناء من مقدّر ، أي‌</w:t>
      </w:r>
      <w:r w:rsidR="00DB6128">
        <w:rPr>
          <w:rFonts w:hint="cs"/>
          <w:rtl/>
        </w:rPr>
        <w:t xml:space="preserve"> </w:t>
      </w:r>
      <w:r w:rsidR="00DB6128">
        <w:rPr>
          <w:rtl/>
        </w:rPr>
        <w:t>ما فعل ذلك إل</w:t>
      </w:r>
      <w:r w:rsidR="00DB6128">
        <w:rPr>
          <w:rFonts w:hint="cs"/>
          <w:rtl/>
        </w:rPr>
        <w:t>ّ</w:t>
      </w:r>
      <w:r w:rsidR="00DB6128">
        <w:rPr>
          <w:rtl/>
        </w:rPr>
        <w:t>ا</w:t>
      </w:r>
      <w:r w:rsidR="008A74EB">
        <w:rPr>
          <w:rFonts w:hint="cs"/>
          <w:rtl/>
        </w:rPr>
        <w:t xml:space="preserve"> </w:t>
      </w:r>
      <w:r w:rsidR="008A74EB" w:rsidRPr="00C9040A">
        <w:rPr>
          <w:rtl/>
        </w:rPr>
        <w:t xml:space="preserve">أعطاه الله. راجع : </w:t>
      </w:r>
      <w:r w:rsidR="008A74EB" w:rsidRPr="00993B55">
        <w:rPr>
          <w:rStyle w:val="libFootnoteBoldChar"/>
          <w:rtl/>
        </w:rPr>
        <w:t>شرح المازندراني</w:t>
      </w:r>
      <w:r w:rsidR="008A74EB" w:rsidRPr="00C9040A">
        <w:rPr>
          <w:rtl/>
        </w:rPr>
        <w:t xml:space="preserve"> ، ج 9 ، ص 94 ؛ </w:t>
      </w:r>
      <w:r w:rsidR="008A74EB" w:rsidRPr="00993B55">
        <w:rPr>
          <w:rStyle w:val="libFootnoteBoldChar"/>
          <w:rtl/>
        </w:rPr>
        <w:t>مرآة العقول</w:t>
      </w:r>
      <w:r w:rsidR="008A74EB" w:rsidRPr="00C9040A">
        <w:rPr>
          <w:rtl/>
        </w:rPr>
        <w:t xml:space="preserve"> ، ج 9 ، ص 141.</w:t>
      </w:r>
      <w:r w:rsidR="00DB6128">
        <w:rPr>
          <w:rFonts w:hint="cs"/>
          <w:rtl/>
        </w:rPr>
        <w:t xml:space="preserve">  </w:t>
      </w:r>
      <w:r>
        <w:rPr>
          <w:rtl/>
        </w:rPr>
        <w:t>(4).</w:t>
      </w:r>
      <w:r w:rsidR="008A74EB" w:rsidRPr="00C9040A">
        <w:rPr>
          <w:rtl/>
        </w:rPr>
        <w:t xml:space="preserve"> في « </w:t>
      </w:r>
      <w:r w:rsidR="006D3162">
        <w:rPr>
          <w:rtl/>
        </w:rPr>
        <w:t xml:space="preserve">ه </w:t>
      </w:r>
      <w:r w:rsidR="008A74EB" w:rsidRPr="00C9040A">
        <w:rPr>
          <w:rtl/>
        </w:rPr>
        <w:t>» وحاشية « ف » : « خدماً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الوافي</w:t>
      </w:r>
      <w:r w:rsidR="008A74EB" w:rsidRPr="00C9040A">
        <w:rPr>
          <w:rtl/>
        </w:rPr>
        <w:t xml:space="preserve"> ، ج 5 ، ص 648 ، ح 2787 ؛ </w:t>
      </w:r>
      <w:r w:rsidR="008A74EB" w:rsidRPr="00993B55">
        <w:rPr>
          <w:rStyle w:val="libFootnoteBoldChar"/>
          <w:rtl/>
        </w:rPr>
        <w:t>الوسائل</w:t>
      </w:r>
      <w:r w:rsidR="008A74EB" w:rsidRPr="00C9040A">
        <w:rPr>
          <w:rtl/>
        </w:rPr>
        <w:t xml:space="preserve"> ، ج 16 ، ص 380 ، ح 21814 ؛ </w:t>
      </w:r>
      <w:r w:rsidR="008A74EB" w:rsidRPr="00993B55">
        <w:rPr>
          <w:rStyle w:val="libFootnoteBoldChar"/>
          <w:rtl/>
        </w:rPr>
        <w:t>البحار</w:t>
      </w:r>
      <w:r w:rsidR="008A74EB" w:rsidRPr="00C9040A">
        <w:rPr>
          <w:rtl/>
        </w:rPr>
        <w:t xml:space="preserve"> ، ج 74 ، ص 357 ، ح 3.</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نصحتُ لزيد أنصَح نُصْحاً ونصيحةً ؛ هذه اللغة الفصيحة. وفي لغة يتعدّى بنفسه ، فيقال : نصحتُه. وهو الإخلاص والصدق والمشورة والعمل. والفاعل : ناصح ونصيح. والجمع : نُصَحاء. والنصيحة : كلمة يُعبَّر بها عن جملة هي إرادة الخير للمنصوح له. </w:t>
      </w:r>
      <w:r w:rsidR="008A74EB" w:rsidRPr="00993B55">
        <w:rPr>
          <w:rStyle w:val="libFootnoteBoldChar"/>
          <w:rtl/>
        </w:rPr>
        <w:t>المصباح المنير</w:t>
      </w:r>
      <w:r w:rsidR="008A74EB" w:rsidRPr="00C9040A">
        <w:rPr>
          <w:rtl/>
        </w:rPr>
        <w:t xml:space="preserve"> ، ص 607 ؛ </w:t>
      </w:r>
      <w:r w:rsidR="008A74EB" w:rsidRPr="00993B55">
        <w:rPr>
          <w:rStyle w:val="libFootnoteBoldChar"/>
          <w:rtl/>
        </w:rPr>
        <w:t>النهاية</w:t>
      </w:r>
      <w:r w:rsidR="008A74EB" w:rsidRPr="00C9040A">
        <w:rPr>
          <w:rtl/>
        </w:rPr>
        <w:t xml:space="preserve"> ، ج 5 ، ص 63 ( نصح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الوافي</w:t>
      </w:r>
      <w:r w:rsidR="008A74EB" w:rsidRPr="00C9040A">
        <w:rPr>
          <w:rtl/>
        </w:rPr>
        <w:t xml:space="preserve"> ، ج 5 ، ص 681 ، ح 2869 ؛ </w:t>
      </w:r>
      <w:r w:rsidR="008A74EB" w:rsidRPr="00993B55">
        <w:rPr>
          <w:rStyle w:val="libFootnoteBoldChar"/>
          <w:rtl/>
        </w:rPr>
        <w:t>الوسائل</w:t>
      </w:r>
      <w:r w:rsidR="008A74EB" w:rsidRPr="00C9040A">
        <w:rPr>
          <w:rtl/>
        </w:rPr>
        <w:t xml:space="preserve"> ، ج 16 ، ص 381 ، ح 21817 ؛ </w:t>
      </w:r>
      <w:r w:rsidR="008A74EB" w:rsidRPr="00993B55">
        <w:rPr>
          <w:rStyle w:val="libFootnoteBoldChar"/>
          <w:rtl/>
        </w:rPr>
        <w:t>البحار</w:t>
      </w:r>
      <w:r w:rsidR="008A74EB" w:rsidRPr="00C9040A">
        <w:rPr>
          <w:rtl/>
        </w:rPr>
        <w:t xml:space="preserve"> ، ج 74 ، ص 357 ، ح 4.</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7C2253">
        <w:rPr>
          <w:rtl/>
        </w:rPr>
        <w:t>2210</w:t>
      </w:r>
      <w:r w:rsidRPr="00261CB0">
        <w:rPr>
          <w:rStyle w:val="libBold2Char"/>
          <w:rtl/>
        </w:rPr>
        <w:t xml:space="preserve"> / 2.</w:t>
      </w:r>
      <w:r w:rsidRPr="00C9040A">
        <w:rPr>
          <w:rtl/>
          <w:lang w:bidi="fa-IR"/>
        </w:rPr>
        <w:t xml:space="preserve"> عَنْهُ </w:t>
      </w:r>
      <w:r w:rsidR="006C577F" w:rsidRPr="006C577F">
        <w:rPr>
          <w:rStyle w:val="libFootnotenumChar"/>
          <w:rtl/>
        </w:rPr>
        <w:t>(1)</w:t>
      </w:r>
      <w:r w:rsidRPr="00C9040A">
        <w:rPr>
          <w:rtl/>
          <w:lang w:bidi="fa-IR"/>
        </w:rPr>
        <w:t xml:space="preserve"> ، عَنِ ابْنِ مَحْبُوبٍ ، عَنْ مُعَاوِيَةَ بْنِ وَهْبٍ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يَجِبُ لِلْمُؤْمِنِ عَلَى الْمُؤْمِنِ </w:t>
      </w:r>
      <w:r w:rsidR="006C577F" w:rsidRPr="006C577F">
        <w:rPr>
          <w:rStyle w:val="libFootnotenumChar"/>
          <w:rtl/>
        </w:rPr>
        <w:t>(2)</w:t>
      </w:r>
      <w:r w:rsidRPr="00C9040A">
        <w:rPr>
          <w:rtl/>
          <w:lang w:bidi="fa-IR"/>
        </w:rPr>
        <w:t xml:space="preserve"> النَّصِيحَةُ لَهُ فِي الْمَشْهَدِ وَالْمَغِيبِ </w:t>
      </w:r>
      <w:r w:rsidR="006C577F" w:rsidRPr="006C577F">
        <w:rPr>
          <w:rStyle w:val="libFootnotenumChar"/>
          <w:rtl/>
        </w:rPr>
        <w:t>(3)</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7C2253">
        <w:rPr>
          <w:rtl/>
        </w:rPr>
        <w:t>2211</w:t>
      </w:r>
      <w:r w:rsidRPr="00261CB0">
        <w:rPr>
          <w:rStyle w:val="libBold2Char"/>
          <w:rtl/>
        </w:rPr>
        <w:t xml:space="preserve"> / 3.</w:t>
      </w:r>
      <w:r w:rsidRPr="00C9040A">
        <w:rPr>
          <w:rtl/>
          <w:lang w:bidi="fa-IR"/>
        </w:rPr>
        <w:t xml:space="preserve"> ابْنُ مَحْبُوبٍ </w:t>
      </w:r>
      <w:r w:rsidR="006C577F" w:rsidRPr="006C577F">
        <w:rPr>
          <w:rStyle w:val="libFootnotenumChar"/>
          <w:rtl/>
        </w:rPr>
        <w:t>(5)</w:t>
      </w:r>
      <w:r w:rsidRPr="00C9040A">
        <w:rPr>
          <w:rtl/>
          <w:lang w:bidi="fa-IR"/>
        </w:rPr>
        <w:t xml:space="preserve"> ، عَنِ ابْنِ رِئَابٍ </w:t>
      </w:r>
      <w:r w:rsidR="006C577F" w:rsidRPr="006C577F">
        <w:rPr>
          <w:rStyle w:val="libFootnotenumChar"/>
          <w:rtl/>
        </w:rPr>
        <w:t>(6)</w:t>
      </w:r>
      <w:r w:rsidRPr="005B567D">
        <w:rPr>
          <w:rStyle w:val="libFootnotenumChar"/>
          <w:rtl/>
        </w:rPr>
        <w:t xml:space="preserve"> </w:t>
      </w:r>
      <w:r w:rsidRPr="00C9040A">
        <w:rPr>
          <w:rtl/>
          <w:lang w:bidi="fa-IR"/>
        </w:rPr>
        <w:t>، عَنْ أَبِي عُبَيْدَةَ الْحَذَّاءِ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يَجِبُ لِلْمُؤْمِنِ عَلَى الْمُؤْمِنِ النَّصِيحَةُ </w:t>
      </w:r>
      <w:r w:rsidR="006C577F" w:rsidRPr="006C577F">
        <w:rPr>
          <w:rStyle w:val="libFootnotenumChar"/>
          <w:rtl/>
        </w:rPr>
        <w:t>(7)</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Normal"/>
        <w:rPr>
          <w:rtl/>
          <w:lang w:bidi="fa-IR"/>
        </w:rPr>
      </w:pPr>
      <w:r w:rsidRPr="007C2253">
        <w:rPr>
          <w:rtl/>
        </w:rPr>
        <w:t>2212</w:t>
      </w:r>
      <w:r w:rsidRPr="00261CB0">
        <w:rPr>
          <w:rStyle w:val="libBold2Char"/>
          <w:rtl/>
        </w:rPr>
        <w:t xml:space="preserve"> / 4.</w:t>
      </w:r>
      <w:r w:rsidRPr="00C9040A">
        <w:rPr>
          <w:rtl/>
          <w:lang w:bidi="fa-IR"/>
        </w:rPr>
        <w:t xml:space="preserve"> ابْنُ مَحْبُوبٍ </w:t>
      </w:r>
      <w:r w:rsidR="006C577F" w:rsidRPr="006C577F">
        <w:rPr>
          <w:rStyle w:val="libFootnotenumChar"/>
          <w:rtl/>
        </w:rPr>
        <w:t>(9)</w:t>
      </w:r>
      <w:r w:rsidRPr="00C9040A">
        <w:rPr>
          <w:rtl/>
          <w:lang w:bidi="fa-IR"/>
        </w:rPr>
        <w:t xml:space="preserve"> ، عَنْ عَمْرِو بْنِ شِمْرٍ ، عَنْ جَابِرٍ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لِيَنْصَحِ الرَّجُلُ مِنْكُمْ أَخَاهُ كَنَصِيحَتِهِ</w:t>
      </w:r>
      <w:r w:rsidR="006C577F" w:rsidRPr="006C577F">
        <w:rPr>
          <w:rStyle w:val="libFootnotenumChar"/>
          <w:rtl/>
        </w:rPr>
        <w:t>(10)</w:t>
      </w:r>
      <w:r w:rsidRPr="00C9040A">
        <w:rPr>
          <w:rtl/>
          <w:lang w:bidi="fa-IR"/>
        </w:rPr>
        <w:t xml:space="preserve"> لِنَفْسِهِ »</w:t>
      </w:r>
      <w:r>
        <w:rPr>
          <w:rtl/>
          <w:lang w:bidi="fa-IR"/>
        </w:rPr>
        <w:t>.</w:t>
      </w:r>
      <w:r w:rsidRPr="00C9040A">
        <w:rPr>
          <w:rtl/>
          <w:lang w:bidi="fa-IR"/>
        </w:rPr>
        <w:t xml:space="preserve"> </w:t>
      </w:r>
      <w:r w:rsidR="006C577F" w:rsidRPr="006C577F">
        <w:rPr>
          <w:rStyle w:val="libFootnotenumChar"/>
          <w:rtl/>
        </w:rPr>
        <w:t>(11)</w:t>
      </w:r>
      <w:r w:rsidRPr="00C9040A">
        <w:rPr>
          <w:rtl/>
          <w:lang w:bidi="fa-IR"/>
        </w:rPr>
        <w:t xml:space="preserve"> ‌</w:t>
      </w:r>
    </w:p>
    <w:p w:rsidR="008A74EB" w:rsidRPr="00C9040A" w:rsidRDefault="008A74EB" w:rsidP="008A74EB">
      <w:pPr>
        <w:pStyle w:val="libNormal"/>
        <w:rPr>
          <w:rtl/>
          <w:lang w:bidi="fa-IR"/>
        </w:rPr>
      </w:pPr>
      <w:r w:rsidRPr="007C2253">
        <w:rPr>
          <w:rtl/>
        </w:rPr>
        <w:t>2213</w:t>
      </w:r>
      <w:r w:rsidRPr="00261CB0">
        <w:rPr>
          <w:rStyle w:val="libBold2Char"/>
          <w:rtl/>
        </w:rPr>
        <w:t xml:space="preserve"> / 5.</w:t>
      </w:r>
      <w:r w:rsidRPr="00C9040A">
        <w:rPr>
          <w:rtl/>
          <w:lang w:bidi="fa-IR"/>
        </w:rPr>
        <w:t xml:space="preserve"> عَلِيُّ بْنُ إِبْرَاهِيمَ ، عَنْ أَبِيهِ ، عَنِ النَّوْفَلِيِّ ، عَنِ السَّكُونِيِّ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6C577F" w:rsidRPr="006C577F">
        <w:rPr>
          <w:rStyle w:val="libFootnotenumChar"/>
          <w:rtl/>
        </w:rPr>
        <w:t>(12)</w:t>
      </w:r>
      <w:r w:rsidRPr="00C9040A">
        <w:rPr>
          <w:rtl/>
          <w:lang w:bidi="fa-IR"/>
        </w:rPr>
        <w:t xml:space="preserve"> </w:t>
      </w:r>
      <w:r w:rsidR="004A4E41" w:rsidRPr="004A4E41">
        <w:rPr>
          <w:rStyle w:val="libAlaemChar"/>
          <w:rtl/>
        </w:rPr>
        <w:t>صلى‌الله‌عليه‌وآله</w:t>
      </w:r>
      <w:r w:rsidRPr="00C9040A">
        <w:rPr>
          <w:rtl/>
          <w:lang w:bidi="fa-IR"/>
        </w:rPr>
        <w:t xml:space="preserve"> : إِنَّ أَعْظَمَ النَّاسِ مَنْزِلَةً عِنْدَ‌</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الضمير راجع إلى أحمد بن محمّد المذكور في السند السابق.</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ب » : + « من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w:t>
      </w:r>
      <w:r w:rsidR="006D3162">
        <w:rPr>
          <w:rtl/>
        </w:rPr>
        <w:t xml:space="preserve">ه </w:t>
      </w:r>
      <w:r w:rsidR="008A74EB" w:rsidRPr="00C9040A">
        <w:rPr>
          <w:rtl/>
        </w:rPr>
        <w:t>» : « أن يناصحه » بدل « النصيحة له في المشهد والمغيب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فقه الرضا</w:t>
      </w:r>
      <w:r w:rsidR="008A74EB" w:rsidRPr="00C9040A">
        <w:rPr>
          <w:rtl/>
        </w:rPr>
        <w:t xml:space="preserve"> </w:t>
      </w:r>
      <w:r w:rsidR="00117575" w:rsidRPr="00117575">
        <w:rPr>
          <w:rStyle w:val="libFootnoteAlaemChar"/>
          <w:rtl/>
        </w:rPr>
        <w:t>عليه‌السلام</w:t>
      </w:r>
      <w:r w:rsidR="008A74EB" w:rsidRPr="00C9040A">
        <w:rPr>
          <w:rtl/>
        </w:rPr>
        <w:t xml:space="preserve"> ، ص 369 ، وتمام الرواية : « حقّ المؤمن على المؤمن أن يمحضه النصيحة في المشهد والمغيب كنصيحته لنفسه » </w:t>
      </w:r>
      <w:r w:rsidR="00DB6128">
        <w:rPr>
          <w:rFonts w:hint="cs"/>
          <w:rtl/>
        </w:rPr>
        <w:t>.</w:t>
      </w:r>
      <w:r w:rsidR="008A74EB" w:rsidRPr="00993B55">
        <w:rPr>
          <w:rStyle w:val="libFootnoteBoldChar"/>
          <w:rtl/>
        </w:rPr>
        <w:t>الوافي</w:t>
      </w:r>
      <w:r w:rsidR="008A74EB" w:rsidRPr="00C9040A">
        <w:rPr>
          <w:rtl/>
        </w:rPr>
        <w:t xml:space="preserve"> ، ج 5 ، ص 681 ، ح 2870 ؛ </w:t>
      </w:r>
      <w:r w:rsidR="008A74EB" w:rsidRPr="00993B55">
        <w:rPr>
          <w:rStyle w:val="libFootnoteBoldChar"/>
          <w:rtl/>
        </w:rPr>
        <w:t>الوسائل</w:t>
      </w:r>
      <w:r w:rsidR="008A74EB" w:rsidRPr="00C9040A">
        <w:rPr>
          <w:rtl/>
        </w:rPr>
        <w:t xml:space="preserve"> ، ج 16 ص 381 ، ح 21818 ؛ </w:t>
      </w:r>
      <w:r w:rsidR="008A74EB" w:rsidRPr="00993B55">
        <w:rPr>
          <w:rStyle w:val="libFootnoteBoldChar"/>
          <w:rtl/>
        </w:rPr>
        <w:t>البحار</w:t>
      </w:r>
      <w:r w:rsidR="008A74EB" w:rsidRPr="00C9040A">
        <w:rPr>
          <w:rtl/>
        </w:rPr>
        <w:t xml:space="preserve"> ، ج 74 ، ص 358 ، ح 5.</w:t>
      </w:r>
    </w:p>
    <w:p w:rsidR="008A74EB" w:rsidRPr="00C9040A" w:rsidRDefault="006C577F" w:rsidP="004A4E41">
      <w:pPr>
        <w:pStyle w:val="libFootnote0"/>
        <w:rPr>
          <w:rtl/>
          <w:lang w:bidi="fa-IR"/>
        </w:rPr>
      </w:pPr>
      <w:r>
        <w:rPr>
          <w:rtl/>
        </w:rPr>
        <w:t>(5).</w:t>
      </w:r>
      <w:r w:rsidR="008A74EB" w:rsidRPr="00C9040A">
        <w:rPr>
          <w:rtl/>
        </w:rPr>
        <w:t xml:space="preserve"> السند معلّق ، ويروي عن ابن محبوب ، عدّة من أصحابنا عن أحمد بن محمّد.</w:t>
      </w:r>
    </w:p>
    <w:tbl>
      <w:tblPr>
        <w:tblStyle w:val="TableGrid"/>
        <w:bidiVisual/>
        <w:tblW w:w="0" w:type="auto"/>
        <w:tblLook w:val="04A0" w:firstRow="1" w:lastRow="0" w:firstColumn="1" w:lastColumn="0" w:noHBand="0" w:noVBand="1"/>
      </w:tblPr>
      <w:tblGrid>
        <w:gridCol w:w="4006"/>
        <w:gridCol w:w="4006"/>
      </w:tblGrid>
      <w:tr w:rsidR="00DB6128" w:rsidTr="00DB6128">
        <w:tc>
          <w:tcPr>
            <w:tcW w:w="4006" w:type="dxa"/>
          </w:tcPr>
          <w:p w:rsidR="00DB6128" w:rsidRDefault="00DB6128" w:rsidP="004A4E41">
            <w:pPr>
              <w:pStyle w:val="libFootnote0"/>
              <w:rPr>
                <w:rtl/>
              </w:rPr>
            </w:pPr>
            <w:r>
              <w:rPr>
                <w:rtl/>
              </w:rPr>
              <w:t xml:space="preserve">(6). </w:t>
            </w:r>
            <w:r w:rsidRPr="00C9040A">
              <w:rPr>
                <w:rtl/>
              </w:rPr>
              <w:t>في « ز » : « عليّ بن رئاب »</w:t>
            </w:r>
            <w:r>
              <w:rPr>
                <w:rtl/>
              </w:rPr>
              <w:t>.</w:t>
            </w:r>
          </w:p>
        </w:tc>
        <w:tc>
          <w:tcPr>
            <w:tcW w:w="4006" w:type="dxa"/>
          </w:tcPr>
          <w:p w:rsidR="00DB6128" w:rsidRDefault="00DB6128" w:rsidP="004A4E41">
            <w:pPr>
              <w:pStyle w:val="libFootnote0"/>
              <w:rPr>
                <w:rtl/>
              </w:rPr>
            </w:pPr>
            <w:r>
              <w:rPr>
                <w:rtl/>
              </w:rPr>
              <w:t>(7). في «ف» : + «لنفسه</w:t>
            </w:r>
            <w:r w:rsidRPr="00C9040A">
              <w:rPr>
                <w:rtl/>
              </w:rPr>
              <w:t>»</w:t>
            </w:r>
            <w:r>
              <w:rPr>
                <w:rtl/>
              </w:rPr>
              <w:t>.</w:t>
            </w:r>
            <w:r w:rsidRPr="00C9040A">
              <w:rPr>
                <w:rtl/>
              </w:rPr>
              <w:t xml:space="preserve"> وفي البحار : + « له »</w:t>
            </w:r>
            <w:r>
              <w:rPr>
                <w:rtl/>
              </w:rPr>
              <w:t>.</w:t>
            </w:r>
          </w:p>
        </w:tc>
      </w:tr>
    </w:tbl>
    <w:p w:rsidR="008A74EB" w:rsidRPr="00C9040A" w:rsidRDefault="006C577F" w:rsidP="004A4E41">
      <w:pPr>
        <w:pStyle w:val="libFootnote0"/>
        <w:rPr>
          <w:rtl/>
          <w:lang w:bidi="fa-IR"/>
        </w:rPr>
      </w:pPr>
      <w:r>
        <w:rPr>
          <w:rtl/>
        </w:rPr>
        <w:t>(8).</w:t>
      </w:r>
      <w:r w:rsidR="008A74EB" w:rsidRPr="00C9040A">
        <w:rPr>
          <w:rtl/>
        </w:rPr>
        <w:t xml:space="preserve"> </w:t>
      </w:r>
      <w:r w:rsidR="008A74EB" w:rsidRPr="00993B55">
        <w:rPr>
          <w:rStyle w:val="libFootnoteBoldChar"/>
          <w:rtl/>
        </w:rPr>
        <w:t>الوافي</w:t>
      </w:r>
      <w:r w:rsidR="008A74EB" w:rsidRPr="00C9040A">
        <w:rPr>
          <w:rtl/>
        </w:rPr>
        <w:t xml:space="preserve"> ، ج 5 ، ص 681 ، ح 2871 ؛ </w:t>
      </w:r>
      <w:r w:rsidR="008A74EB" w:rsidRPr="00993B55">
        <w:rPr>
          <w:rStyle w:val="libFootnoteBoldChar"/>
          <w:rtl/>
        </w:rPr>
        <w:t>الوسائل</w:t>
      </w:r>
      <w:r w:rsidR="008A74EB" w:rsidRPr="00C9040A">
        <w:rPr>
          <w:rtl/>
        </w:rPr>
        <w:t xml:space="preserve"> ، ج 16 ، ص 381 ، ح 21819 ؛ </w:t>
      </w:r>
      <w:r w:rsidR="008A74EB" w:rsidRPr="00993B55">
        <w:rPr>
          <w:rStyle w:val="libFootnoteBoldChar"/>
          <w:rtl/>
        </w:rPr>
        <w:t>البحار</w:t>
      </w:r>
      <w:r w:rsidR="008A74EB" w:rsidRPr="00C9040A">
        <w:rPr>
          <w:rtl/>
        </w:rPr>
        <w:t xml:space="preserve"> ، ج 74 ، ص 358 ، ح 6.</w:t>
      </w:r>
    </w:p>
    <w:p w:rsidR="008A74EB" w:rsidRPr="00C9040A" w:rsidRDefault="006C577F" w:rsidP="004A4E41">
      <w:pPr>
        <w:pStyle w:val="libFootnote0"/>
        <w:rPr>
          <w:rtl/>
          <w:lang w:bidi="fa-IR"/>
        </w:rPr>
      </w:pPr>
      <w:r>
        <w:rPr>
          <w:rtl/>
        </w:rPr>
        <w:t>(9).</w:t>
      </w:r>
      <w:r w:rsidR="008A74EB" w:rsidRPr="00C9040A">
        <w:rPr>
          <w:rtl/>
        </w:rPr>
        <w:t xml:space="preserve"> السند معلّق ، كسابقه.</w:t>
      </w:r>
    </w:p>
    <w:p w:rsidR="008A74EB" w:rsidRPr="00C9040A" w:rsidRDefault="006C577F" w:rsidP="004A4E41">
      <w:pPr>
        <w:pStyle w:val="libFootnote0"/>
        <w:rPr>
          <w:rtl/>
          <w:lang w:bidi="fa-IR"/>
        </w:rPr>
      </w:pPr>
      <w:r>
        <w:rPr>
          <w:rtl/>
        </w:rPr>
        <w:t>(10).</w:t>
      </w:r>
      <w:r w:rsidR="008A74EB" w:rsidRPr="00C9040A">
        <w:rPr>
          <w:rtl/>
        </w:rPr>
        <w:t xml:space="preserve"> في « ج » : « كنصيحة »</w:t>
      </w:r>
      <w:r w:rsidR="008A74EB">
        <w:rPr>
          <w:rtl/>
        </w:rPr>
        <w:t>.</w:t>
      </w:r>
      <w:r w:rsidR="008A74EB" w:rsidRPr="00C9040A">
        <w:rPr>
          <w:rtl/>
        </w:rPr>
        <w:t xml:space="preserve"> وفي « </w:t>
      </w:r>
      <w:r w:rsidR="006D3162">
        <w:rPr>
          <w:rtl/>
        </w:rPr>
        <w:t xml:space="preserve">ه </w:t>
      </w:r>
      <w:r w:rsidR="008A74EB" w:rsidRPr="00C9040A">
        <w:rPr>
          <w:rtl/>
        </w:rPr>
        <w:t>» : « كنصحه »</w:t>
      </w:r>
      <w:r w:rsidR="008A74EB">
        <w:rPr>
          <w:rtl/>
        </w:rPr>
        <w:t>.</w:t>
      </w:r>
    </w:p>
    <w:p w:rsidR="008A74EB" w:rsidRPr="00C9040A" w:rsidRDefault="006C577F" w:rsidP="00DB6128">
      <w:pPr>
        <w:pStyle w:val="libFootnote0"/>
        <w:rPr>
          <w:rtl/>
          <w:lang w:bidi="fa-IR"/>
        </w:rPr>
      </w:pPr>
      <w:r>
        <w:rPr>
          <w:rtl/>
        </w:rPr>
        <w:t>(11).</w:t>
      </w:r>
      <w:r w:rsidR="008A74EB" w:rsidRPr="00C9040A">
        <w:rPr>
          <w:rtl/>
        </w:rPr>
        <w:t xml:space="preserve"> </w:t>
      </w:r>
      <w:r w:rsidR="008A74EB" w:rsidRPr="00993B55">
        <w:rPr>
          <w:rStyle w:val="libFootnoteBoldChar"/>
          <w:rtl/>
        </w:rPr>
        <w:t>الأمال</w:t>
      </w:r>
      <w:r w:rsidR="008A74EB" w:rsidRPr="00DB6128">
        <w:rPr>
          <w:rStyle w:val="libFootnoteBoldChar"/>
          <w:rtl/>
        </w:rPr>
        <w:t>ي للطوسي</w:t>
      </w:r>
      <w:r w:rsidR="008A74EB" w:rsidRPr="00C9040A">
        <w:rPr>
          <w:rtl/>
        </w:rPr>
        <w:t xml:space="preserve"> ، ص 231 ، المجلس 9 ، ضمن الحديث 2 ، عن الكليني ، عن عليّ بن إبراهيم بن هاشم ، عن أبيه ، عن محمّد بن عيسى ، عن يونس بن عبدالرحمن ، عن عمرو بن شمر ، عن جابر ، عن أبي‌جعفر </w:t>
      </w:r>
      <w:r w:rsidR="00117575" w:rsidRPr="00117575">
        <w:rPr>
          <w:rStyle w:val="libFootnoteAlaemChar"/>
          <w:rtl/>
        </w:rPr>
        <w:t>عليه‌السلام</w:t>
      </w:r>
      <w:r w:rsidR="008A74EB" w:rsidRPr="00C9040A">
        <w:rPr>
          <w:rtl/>
        </w:rPr>
        <w:t xml:space="preserve"> ، من دون الإسناد إلى النبيّ </w:t>
      </w:r>
      <w:r w:rsidR="004A4E41" w:rsidRPr="00DB6128">
        <w:rPr>
          <w:rStyle w:val="libFootnoteAlaemChar"/>
          <w:rtl/>
        </w:rPr>
        <w:t>صلى‌الله‌عليه‌وآله</w:t>
      </w:r>
      <w:r w:rsidR="008A74EB" w:rsidRPr="00C9040A">
        <w:rPr>
          <w:rtl/>
        </w:rPr>
        <w:t xml:space="preserve"> </w:t>
      </w:r>
      <w:r w:rsidR="00DB6128">
        <w:rPr>
          <w:rFonts w:hint="cs"/>
          <w:rtl/>
        </w:rPr>
        <w:t>.</w:t>
      </w:r>
      <w:r w:rsidR="008A74EB" w:rsidRPr="00993B55">
        <w:rPr>
          <w:rStyle w:val="libFootnoteBoldChar"/>
          <w:rtl/>
        </w:rPr>
        <w:t>الوافي</w:t>
      </w:r>
      <w:r w:rsidR="008A74EB" w:rsidRPr="00C9040A">
        <w:rPr>
          <w:rtl/>
        </w:rPr>
        <w:t xml:space="preserve"> ، ج 5 ، ص 681 ، ح 2872 ؛ </w:t>
      </w:r>
      <w:r w:rsidR="008A74EB" w:rsidRPr="00993B55">
        <w:rPr>
          <w:rStyle w:val="libFootnoteBoldChar"/>
          <w:rtl/>
        </w:rPr>
        <w:t>الوسائل</w:t>
      </w:r>
      <w:r w:rsidR="008A74EB" w:rsidRPr="00C9040A">
        <w:rPr>
          <w:rtl/>
        </w:rPr>
        <w:t xml:space="preserve"> ، ج 16 ، ص 382 ، ح 21820 ؛ </w:t>
      </w:r>
      <w:r w:rsidR="008A74EB" w:rsidRPr="00993B55">
        <w:rPr>
          <w:rStyle w:val="libFootnoteBoldChar"/>
          <w:rtl/>
        </w:rPr>
        <w:t>البحار</w:t>
      </w:r>
      <w:r w:rsidR="008A74EB" w:rsidRPr="00C9040A">
        <w:rPr>
          <w:rtl/>
        </w:rPr>
        <w:t xml:space="preserve"> ، ج 74 ، ص 358 ، ح 7.</w:t>
      </w:r>
      <w:r w:rsidR="00DB6128">
        <w:rPr>
          <w:rFonts w:hint="cs"/>
          <w:rtl/>
        </w:rPr>
        <w:t xml:space="preserve">                    </w:t>
      </w:r>
      <w:r>
        <w:rPr>
          <w:rtl/>
        </w:rPr>
        <w:t>(12).</w:t>
      </w:r>
      <w:r w:rsidR="008A74EB" w:rsidRPr="00C9040A">
        <w:rPr>
          <w:rtl/>
        </w:rPr>
        <w:t xml:space="preserve"> في « </w:t>
      </w:r>
      <w:r w:rsidR="006D3162">
        <w:rPr>
          <w:rtl/>
        </w:rPr>
        <w:t xml:space="preserve">ه </w:t>
      </w:r>
      <w:r w:rsidR="008A74EB" w:rsidRPr="00C9040A">
        <w:rPr>
          <w:rtl/>
        </w:rPr>
        <w:t>» : « النبيّ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اللهِ </w:t>
      </w:r>
      <w:r w:rsidR="006C577F" w:rsidRPr="006C577F">
        <w:rPr>
          <w:rStyle w:val="libFootnotenumChar"/>
          <w:rtl/>
        </w:rPr>
        <w:t>(1)</w:t>
      </w:r>
      <w:r w:rsidRPr="00C9040A">
        <w:rPr>
          <w:rtl/>
          <w:lang w:bidi="fa-IR"/>
        </w:rPr>
        <w:t xml:space="preserve"> يَوْمَ الْقِيَامَةِ أَمْشَاهُمْ فِي أَرْضِهِ </w:t>
      </w:r>
      <w:r w:rsidR="006C577F" w:rsidRPr="006C577F">
        <w:rPr>
          <w:rStyle w:val="libFootnotenumChar"/>
          <w:rtl/>
        </w:rPr>
        <w:t>(2)</w:t>
      </w:r>
      <w:r w:rsidRPr="00C9040A">
        <w:rPr>
          <w:rtl/>
          <w:lang w:bidi="fa-IR"/>
        </w:rPr>
        <w:t xml:space="preserve"> بِالنَّصِيحَةِ لِخَلْقِهِ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7C2253">
        <w:rPr>
          <w:rtl/>
        </w:rPr>
        <w:t>2214</w:t>
      </w:r>
      <w:r w:rsidRPr="00261CB0">
        <w:rPr>
          <w:rStyle w:val="libBold2Char"/>
          <w:rtl/>
        </w:rPr>
        <w:t xml:space="preserve"> / 6.</w:t>
      </w:r>
      <w:r w:rsidRPr="00C9040A">
        <w:rPr>
          <w:rtl/>
          <w:lang w:bidi="fa-IR"/>
        </w:rPr>
        <w:t xml:space="preserve"> عَلِيُّ بْنُ إِبْرَاهِيمَ ، عَنْ أَبِيهِ ، عَنِ الْقَاسِمِ بْنِ مُحَمَّدٍ ، عَنِ الْمِنْقَرِيِّ ، عَنْ سُفْيَانَ بْنِ عُيَيْنَةَ ، قَالَ :</w:t>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 « عَلَيْكُمْ </w:t>
      </w:r>
      <w:r w:rsidR="006C577F" w:rsidRPr="006C577F">
        <w:rPr>
          <w:rStyle w:val="libFootnotenumChar"/>
          <w:rtl/>
        </w:rPr>
        <w:t>(4)</w:t>
      </w:r>
      <w:r w:rsidRPr="00C9040A">
        <w:rPr>
          <w:rtl/>
          <w:lang w:bidi="fa-IR"/>
        </w:rPr>
        <w:t xml:space="preserve"> بِالنُّصْحِ لِلّهِ فِي خَلْقِهِ ، فَلَنْ تَلْقَاهُ </w:t>
      </w:r>
      <w:r w:rsidR="006C577F" w:rsidRPr="006C577F">
        <w:rPr>
          <w:rStyle w:val="libFootnotenumChar"/>
          <w:rtl/>
        </w:rPr>
        <w:t>(5)</w:t>
      </w:r>
      <w:r w:rsidRPr="00C9040A">
        <w:rPr>
          <w:rtl/>
          <w:lang w:bidi="fa-IR"/>
        </w:rPr>
        <w:t xml:space="preserve"> بِعَمَلٍ أَفْضَلَ مِنْهُ »</w:t>
      </w:r>
      <w:r>
        <w:rPr>
          <w:rtl/>
          <w:lang w:bidi="fa-IR"/>
        </w:rPr>
        <w:t>.</w:t>
      </w:r>
      <w:r w:rsidRPr="00C9040A">
        <w:rPr>
          <w:rtl/>
          <w:lang w:bidi="fa-IR"/>
        </w:rPr>
        <w:t xml:space="preserve"> </w:t>
      </w:r>
      <w:r w:rsidR="006C577F" w:rsidRPr="006C577F">
        <w:rPr>
          <w:rStyle w:val="libFootnotenumChar"/>
          <w:rtl/>
        </w:rPr>
        <w:t>(6)</w:t>
      </w:r>
    </w:p>
    <w:p w:rsidR="008A74EB" w:rsidRPr="00C9040A" w:rsidRDefault="008A74EB" w:rsidP="008A74EB">
      <w:pPr>
        <w:pStyle w:val="Heading2Center"/>
        <w:rPr>
          <w:rtl/>
          <w:lang w:bidi="fa-IR"/>
        </w:rPr>
      </w:pPr>
      <w:bookmarkStart w:id="283" w:name="_Toc343795682"/>
      <w:bookmarkStart w:id="284" w:name="_Toc459810806"/>
      <w:bookmarkStart w:id="285" w:name="_Toc35348712"/>
      <w:r w:rsidRPr="00C9040A">
        <w:rPr>
          <w:rtl/>
          <w:lang w:bidi="fa-IR"/>
        </w:rPr>
        <w:t>91</w:t>
      </w:r>
      <w:r>
        <w:rPr>
          <w:rtl/>
          <w:lang w:bidi="fa-IR"/>
        </w:rPr>
        <w:t xml:space="preserve"> </w:t>
      </w:r>
      <w:r w:rsidR="0084262C">
        <w:rPr>
          <w:rtl/>
          <w:lang w:bidi="fa-IR"/>
        </w:rPr>
        <w:t>-</w:t>
      </w:r>
      <w:r>
        <w:rPr>
          <w:rtl/>
          <w:lang w:bidi="fa-IR"/>
        </w:rPr>
        <w:t xml:space="preserve"> </w:t>
      </w:r>
      <w:r w:rsidRPr="00C9040A">
        <w:rPr>
          <w:rtl/>
          <w:lang w:bidi="fa-IR"/>
        </w:rPr>
        <w:t>بَابُ الْإِصْلَاحِ بَيْنَ النَّاسِ‌</w:t>
      </w:r>
      <w:bookmarkEnd w:id="283"/>
      <w:bookmarkEnd w:id="284"/>
      <w:bookmarkEnd w:id="285"/>
    </w:p>
    <w:p w:rsidR="008A74EB" w:rsidRPr="00C9040A" w:rsidRDefault="008A74EB" w:rsidP="008A74EB">
      <w:pPr>
        <w:pStyle w:val="libNormal"/>
        <w:rPr>
          <w:rtl/>
          <w:lang w:bidi="fa-IR"/>
        </w:rPr>
      </w:pPr>
      <w:r w:rsidRPr="007C2253">
        <w:rPr>
          <w:rtl/>
        </w:rPr>
        <w:t>2215</w:t>
      </w:r>
      <w:r w:rsidRPr="00261CB0">
        <w:rPr>
          <w:rStyle w:val="libBold2Char"/>
          <w:rtl/>
        </w:rPr>
        <w:t xml:space="preserve"> / 1.</w:t>
      </w:r>
      <w:r w:rsidRPr="00C9040A">
        <w:rPr>
          <w:rtl/>
          <w:lang w:bidi="fa-IR"/>
        </w:rPr>
        <w:t xml:space="preserve"> مُحَمَّدُ بْنُ يَحْيى ، عَنْ أَحْمَدَ بْنِ مُحَمَّدٍ ، عَنْ مُحَمَّدِ بْنِ سِنَانٍ ، عَنْ حَمَّادِ بْنِ أَبِي طَلْحَةَ ، عَنْ حَبِيبٍ الْأَحْوَلِ ، قَالَ :</w:t>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 « صَدَقَةٌ يُحِبُّهَا اللهُ : إِصْلَاحُ </w:t>
      </w:r>
      <w:r w:rsidR="006C577F" w:rsidRPr="006C577F">
        <w:rPr>
          <w:rStyle w:val="libFootnotenumChar"/>
          <w:rtl/>
        </w:rPr>
        <w:t>(7)</w:t>
      </w:r>
      <w:r w:rsidRPr="00C9040A">
        <w:rPr>
          <w:rtl/>
          <w:lang w:bidi="fa-IR"/>
        </w:rPr>
        <w:t xml:space="preserve"> بَيْنِ النَّاسِ إِذَا تَفَاسَدُوا ، وَتَقَارُبُ بَيْنِهِمْ إِذَا تَبَاعَدُوا »</w:t>
      </w:r>
      <w:r>
        <w:rPr>
          <w:rtl/>
          <w:lang w:bidi="fa-IR"/>
        </w:rPr>
        <w:t>.</w:t>
      </w:r>
    </w:p>
    <w:p w:rsidR="008A74EB" w:rsidRDefault="00DB6128" w:rsidP="008A74EB">
      <w:pPr>
        <w:pStyle w:val="libNormal"/>
        <w:rPr>
          <w:rtl/>
          <w:lang w:bidi="fa-IR"/>
        </w:rPr>
      </w:pPr>
      <w:r>
        <w:rPr>
          <w:rFonts w:hint="cs"/>
          <w:rtl/>
          <w:lang w:bidi="fa-IR"/>
        </w:rPr>
        <w:t xml:space="preserve">* </w:t>
      </w:r>
      <w:r w:rsidR="008A74EB" w:rsidRPr="00C9040A">
        <w:rPr>
          <w:rtl/>
          <w:lang w:bidi="fa-IR"/>
        </w:rPr>
        <w:t xml:space="preserve">عَنْهُ </w:t>
      </w:r>
      <w:r w:rsidR="006C577F" w:rsidRPr="006C577F">
        <w:rPr>
          <w:rStyle w:val="libFootnotenumChar"/>
          <w:rtl/>
        </w:rPr>
        <w:t>(8)</w:t>
      </w:r>
      <w:r w:rsidR="008A74EB" w:rsidRPr="00C9040A">
        <w:rPr>
          <w:rtl/>
          <w:lang w:bidi="fa-IR"/>
        </w:rPr>
        <w:t xml:space="preserve"> ، عَنْ مُحَمَّدِ بْنِ سِنَانٍ ، عَنْ حُذَيْفَةَ بْنِ مَنْصُورٍ ، عَنْ أَبِي عَبْدِ اللهِ </w:t>
      </w:r>
      <w:r w:rsidR="008A74EB" w:rsidRPr="0003660B">
        <w:rPr>
          <w:rStyle w:val="libAlaemChar"/>
          <w:rtl/>
        </w:rPr>
        <w:t>عليه‌السلام</w:t>
      </w:r>
      <w:r w:rsidR="008A74EB" w:rsidRPr="00C9040A">
        <w:rPr>
          <w:rtl/>
          <w:lang w:bidi="fa-IR"/>
        </w:rPr>
        <w:t xml:space="preserve"> ، مِثْلَهُ. </w:t>
      </w:r>
      <w:r w:rsidR="006C577F" w:rsidRPr="006C577F">
        <w:rPr>
          <w:rStyle w:val="libFootnotenumChar"/>
          <w:rtl/>
        </w:rPr>
        <w:t>(9)</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ب » : « عند الله منزلة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مرآة العقول : « الأرض »</w:t>
      </w:r>
      <w:r w:rsidR="008A74EB">
        <w:rPr>
          <w:rtl/>
        </w:rPr>
        <w:t>.</w:t>
      </w:r>
      <w:r w:rsidR="008A74EB" w:rsidRPr="00C9040A">
        <w:rPr>
          <w:rtl/>
        </w:rPr>
        <w:t xml:space="preserve"> والمشي كناية عن شدّة الاهتمام.</w:t>
      </w:r>
    </w:p>
    <w:p w:rsidR="008A74EB" w:rsidRPr="00C9040A" w:rsidRDefault="006C577F" w:rsidP="004A4E41">
      <w:pPr>
        <w:pStyle w:val="libFootnote0"/>
        <w:rPr>
          <w:rtl/>
          <w:lang w:bidi="fa-IR"/>
        </w:rPr>
      </w:pPr>
      <w:r>
        <w:rPr>
          <w:rtl/>
        </w:rPr>
        <w:t>(3).</w:t>
      </w:r>
      <w:r w:rsidR="008A74EB" w:rsidRPr="00C9040A">
        <w:rPr>
          <w:rtl/>
        </w:rPr>
        <w:t xml:space="preserve"> </w:t>
      </w:r>
      <w:r w:rsidR="008A74EB" w:rsidRPr="00993B55">
        <w:rPr>
          <w:rStyle w:val="libFootnoteBoldChar"/>
          <w:rtl/>
        </w:rPr>
        <w:t>الوافي</w:t>
      </w:r>
      <w:r w:rsidR="008A74EB" w:rsidRPr="00C9040A">
        <w:rPr>
          <w:rtl/>
        </w:rPr>
        <w:t xml:space="preserve"> ، ج 5 ، ص 536 ، ح 2523 ؛ </w:t>
      </w:r>
      <w:r w:rsidR="008A74EB" w:rsidRPr="00993B55">
        <w:rPr>
          <w:rStyle w:val="libFootnoteBoldChar"/>
          <w:rtl/>
        </w:rPr>
        <w:t>الوسائل</w:t>
      </w:r>
      <w:r w:rsidR="008A74EB" w:rsidRPr="00C9040A">
        <w:rPr>
          <w:rtl/>
        </w:rPr>
        <w:t xml:space="preserve"> ، ج 16 ، ص 382 ، ح 21821 ؛ </w:t>
      </w:r>
      <w:r w:rsidR="008A74EB" w:rsidRPr="00993B55">
        <w:rPr>
          <w:rStyle w:val="libFootnoteBoldChar"/>
          <w:rtl/>
        </w:rPr>
        <w:t>البحار</w:t>
      </w:r>
      <w:r w:rsidR="008A74EB" w:rsidRPr="00C9040A">
        <w:rPr>
          <w:rtl/>
        </w:rPr>
        <w:t xml:space="preserve"> ، ج 74 ، ص 358 ، ح 8.</w:t>
      </w:r>
    </w:p>
    <w:p w:rsidR="008A74EB" w:rsidRPr="00C9040A" w:rsidRDefault="006C577F" w:rsidP="004A4E41">
      <w:pPr>
        <w:pStyle w:val="libFootnote0"/>
        <w:rPr>
          <w:rtl/>
          <w:lang w:bidi="fa-IR"/>
        </w:rPr>
      </w:pPr>
      <w:r>
        <w:rPr>
          <w:rtl/>
        </w:rPr>
        <w:t>(4).</w:t>
      </w:r>
      <w:r w:rsidR="008A74EB" w:rsidRPr="00C9040A">
        <w:rPr>
          <w:rtl/>
        </w:rPr>
        <w:t xml:space="preserve"> في « </w:t>
      </w:r>
      <w:r w:rsidR="006D3162">
        <w:rPr>
          <w:rtl/>
        </w:rPr>
        <w:t xml:space="preserve">ه </w:t>
      </w:r>
      <w:r w:rsidR="008A74EB" w:rsidRPr="00C9040A">
        <w:rPr>
          <w:rtl/>
        </w:rPr>
        <w:t>» والوافي : « عليك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w:t>
      </w:r>
      <w:r w:rsidR="006D3162">
        <w:rPr>
          <w:rtl/>
        </w:rPr>
        <w:t xml:space="preserve">ه </w:t>
      </w:r>
      <w:r w:rsidR="008A74EB" w:rsidRPr="00C9040A">
        <w:rPr>
          <w:rtl/>
        </w:rPr>
        <w:t>» : « فلن تلقّاه » بالتشديد. أي‌تتلقّاه.</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الكافي</w:t>
      </w:r>
      <w:r w:rsidR="008A74EB" w:rsidRPr="00C9040A">
        <w:rPr>
          <w:rtl/>
        </w:rPr>
        <w:t xml:space="preserve"> ، كتاب الإيمان والكفر ، باب الاهتمام با</w:t>
      </w:r>
      <w:r w:rsidR="00DB6128">
        <w:rPr>
          <w:rFonts w:hint="cs"/>
          <w:rtl/>
        </w:rPr>
        <w:t>ُ</w:t>
      </w:r>
      <w:r w:rsidR="008A74EB" w:rsidRPr="00C9040A">
        <w:rPr>
          <w:rtl/>
        </w:rPr>
        <w:t xml:space="preserve">مور المسلمين والنصيحة لهم ونفعهم ، ح 2030 ، عن عليّ بن إبراهيم ، عن عليّ بن محمّد القاساني ، عن القاسم بن محمّد </w:t>
      </w:r>
      <w:r w:rsidR="00DB6128">
        <w:rPr>
          <w:rFonts w:hint="cs"/>
          <w:rtl/>
        </w:rPr>
        <w:t>.</w:t>
      </w:r>
      <w:r w:rsidR="008A74EB" w:rsidRPr="00993B55">
        <w:rPr>
          <w:rStyle w:val="libFootnoteBoldChar"/>
          <w:rtl/>
        </w:rPr>
        <w:t>الوافي</w:t>
      </w:r>
      <w:r w:rsidR="008A74EB" w:rsidRPr="00C9040A">
        <w:rPr>
          <w:rtl/>
        </w:rPr>
        <w:t xml:space="preserve"> ، ج 5 ، ص 536 ، ح 2522 ؛ </w:t>
      </w:r>
      <w:r w:rsidR="008A74EB" w:rsidRPr="00993B55">
        <w:rPr>
          <w:rStyle w:val="libFootnoteBoldChar"/>
          <w:rtl/>
        </w:rPr>
        <w:t>الوسائل</w:t>
      </w:r>
      <w:r w:rsidR="008A74EB" w:rsidRPr="00C9040A">
        <w:rPr>
          <w:rtl/>
        </w:rPr>
        <w:t xml:space="preserve"> ، ج 16 ، ص 382 ، ح 21822 ؛ </w:t>
      </w:r>
      <w:r w:rsidR="008A74EB" w:rsidRPr="00993B55">
        <w:rPr>
          <w:rStyle w:val="libFootnoteBoldChar"/>
          <w:rtl/>
        </w:rPr>
        <w:t>البحار</w:t>
      </w:r>
      <w:r w:rsidR="008A74EB" w:rsidRPr="00C9040A">
        <w:rPr>
          <w:rtl/>
        </w:rPr>
        <w:t xml:space="preserve"> ، ج 74 ، ص 358 ، ح 9.</w:t>
      </w:r>
    </w:p>
    <w:tbl>
      <w:tblPr>
        <w:tblStyle w:val="TableGrid"/>
        <w:bidiVisual/>
        <w:tblW w:w="0" w:type="auto"/>
        <w:tblLook w:val="04A0" w:firstRow="1" w:lastRow="0" w:firstColumn="1" w:lastColumn="0" w:noHBand="0" w:noVBand="1"/>
      </w:tblPr>
      <w:tblGrid>
        <w:gridCol w:w="4006"/>
        <w:gridCol w:w="4006"/>
      </w:tblGrid>
      <w:tr w:rsidR="00DB6128" w:rsidTr="00DB6128">
        <w:tc>
          <w:tcPr>
            <w:tcW w:w="4006" w:type="dxa"/>
          </w:tcPr>
          <w:p w:rsidR="00DB6128" w:rsidRDefault="00DB6128" w:rsidP="004A4E41">
            <w:pPr>
              <w:pStyle w:val="libFootnote0"/>
              <w:rPr>
                <w:rtl/>
              </w:rPr>
            </w:pPr>
            <w:r>
              <w:rPr>
                <w:rtl/>
              </w:rPr>
              <w:t>(7).</w:t>
            </w:r>
            <w:r w:rsidRPr="00C9040A">
              <w:rPr>
                <w:rtl/>
              </w:rPr>
              <w:t xml:space="preserve"> في « ز » : « الإصلاح »</w:t>
            </w:r>
            <w:r>
              <w:rPr>
                <w:rtl/>
              </w:rPr>
              <w:t>.</w:t>
            </w:r>
          </w:p>
        </w:tc>
        <w:tc>
          <w:tcPr>
            <w:tcW w:w="4006" w:type="dxa"/>
          </w:tcPr>
          <w:p w:rsidR="00DB6128" w:rsidRDefault="00DB6128" w:rsidP="004A4E41">
            <w:pPr>
              <w:pStyle w:val="libFootnote0"/>
              <w:rPr>
                <w:rtl/>
              </w:rPr>
            </w:pPr>
            <w:r>
              <w:rPr>
                <w:rtl/>
              </w:rPr>
              <w:t>(8).</w:t>
            </w:r>
            <w:r w:rsidRPr="00C9040A">
              <w:rPr>
                <w:rtl/>
              </w:rPr>
              <w:t xml:space="preserve"> الضمير راجع إلى أحمد بن محمّد ، كما هو الظاهر.</w:t>
            </w:r>
          </w:p>
        </w:tc>
      </w:tr>
    </w:tbl>
    <w:p w:rsidR="008A74EB" w:rsidRPr="00C9040A" w:rsidRDefault="006C577F" w:rsidP="00DB6128">
      <w:pPr>
        <w:pStyle w:val="libFootnote0"/>
        <w:rPr>
          <w:rtl/>
          <w:lang w:bidi="fa-IR"/>
        </w:rPr>
      </w:pPr>
      <w:r>
        <w:rPr>
          <w:rtl/>
        </w:rPr>
        <w:t>(9).</w:t>
      </w:r>
      <w:r w:rsidR="008A74EB" w:rsidRPr="00C9040A">
        <w:rPr>
          <w:rtl/>
        </w:rPr>
        <w:t xml:space="preserve"> </w:t>
      </w:r>
      <w:r w:rsidR="008A74EB" w:rsidRPr="0034021D">
        <w:rPr>
          <w:rStyle w:val="libFootnoteBoldChar"/>
          <w:rtl/>
        </w:rPr>
        <w:t>الأمالي للمفيد</w:t>
      </w:r>
      <w:r w:rsidR="008A74EB" w:rsidRPr="00C9040A">
        <w:rPr>
          <w:rtl/>
        </w:rPr>
        <w:t xml:space="preserve"> ، ص 12 ، المجلس 1 ، ح 10 ، بسنده عن أحمد بن محمّد بن عيسى ، عن محمّد بن سنان ، عن عمرو الأفرق وحذيفة بن منصور ، عن أبي‌عبدالله </w:t>
      </w:r>
      <w:r w:rsidR="00117575" w:rsidRPr="00117575">
        <w:rPr>
          <w:rStyle w:val="libFootnoteAlaemChar"/>
          <w:rtl/>
        </w:rPr>
        <w:t xml:space="preserve">عليه‌السلام </w:t>
      </w:r>
      <w:r w:rsidR="00DB6128">
        <w:rPr>
          <w:rFonts w:hint="cs"/>
          <w:rtl/>
        </w:rPr>
        <w:t>.</w:t>
      </w:r>
      <w:r w:rsidR="008A74EB" w:rsidRPr="00993B55">
        <w:rPr>
          <w:rStyle w:val="libFootnoteBoldChar"/>
          <w:rtl/>
        </w:rPr>
        <w:t>الوافي</w:t>
      </w:r>
      <w:r w:rsidR="008A74EB" w:rsidRPr="00C9040A">
        <w:rPr>
          <w:rtl/>
        </w:rPr>
        <w:t xml:space="preserve"> ، ج 5 ، ص 539 ، ح 2530 </w:t>
      </w:r>
      <w:r w:rsidR="008A74EB">
        <w:rPr>
          <w:rtl/>
        </w:rPr>
        <w:t>و 2</w:t>
      </w:r>
      <w:r w:rsidR="008A74EB" w:rsidRPr="00C9040A">
        <w:rPr>
          <w:rtl/>
        </w:rPr>
        <w:t xml:space="preserve">531 ؛ </w:t>
      </w:r>
      <w:r w:rsidR="008A74EB" w:rsidRPr="00993B55">
        <w:rPr>
          <w:rStyle w:val="libFootnoteBoldChar"/>
          <w:rtl/>
        </w:rPr>
        <w:t>الوسائل</w:t>
      </w:r>
      <w:r w:rsidR="008A74EB" w:rsidRPr="00C9040A">
        <w:rPr>
          <w:rtl/>
        </w:rPr>
        <w:t xml:space="preserve"> ، ج 18 ، ص 439 ، ح 24001 ؛ </w:t>
      </w:r>
      <w:r w:rsidR="008A74EB" w:rsidRPr="00993B55">
        <w:rPr>
          <w:rStyle w:val="libFootnoteBoldChar"/>
          <w:rtl/>
        </w:rPr>
        <w:t>البحار</w:t>
      </w:r>
      <w:r w:rsidR="008A74EB" w:rsidRPr="00C9040A">
        <w:rPr>
          <w:rtl/>
        </w:rPr>
        <w:t xml:space="preserve"> ، ج 76 ، ص 44 ، ح 6 وذيله.</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6F043C">
        <w:rPr>
          <w:rtl/>
        </w:rPr>
        <w:t>2216</w:t>
      </w:r>
      <w:r w:rsidRPr="00261CB0">
        <w:rPr>
          <w:rStyle w:val="libBold2Char"/>
          <w:rtl/>
        </w:rPr>
        <w:t xml:space="preserve"> / 2.</w:t>
      </w:r>
      <w:r w:rsidRPr="00C9040A">
        <w:rPr>
          <w:rtl/>
          <w:lang w:bidi="fa-IR"/>
        </w:rPr>
        <w:t xml:space="preserve"> عَنْهُ </w:t>
      </w:r>
      <w:r w:rsidR="006C577F" w:rsidRPr="006C577F">
        <w:rPr>
          <w:rStyle w:val="libFootnotenumChar"/>
          <w:rtl/>
        </w:rPr>
        <w:t>(1)</w:t>
      </w:r>
      <w:r w:rsidRPr="00C9040A">
        <w:rPr>
          <w:rtl/>
          <w:lang w:bidi="fa-IR"/>
        </w:rPr>
        <w:t xml:space="preserve"> ، عَنِ ابْنِ مَحْبُوبٍ ، عَنْ هِشَامِ بْنِ سَالِمٍ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لَأَنْ أُصْلِحَ بَيْنَ اثْنَيْنِ </w:t>
      </w:r>
      <w:r w:rsidR="006C577F" w:rsidRPr="006C577F">
        <w:rPr>
          <w:rStyle w:val="libFootnotenumChar"/>
          <w:rtl/>
        </w:rPr>
        <w:t>(2)</w:t>
      </w:r>
      <w:r w:rsidRPr="00C9040A">
        <w:rPr>
          <w:rtl/>
          <w:lang w:bidi="fa-IR"/>
        </w:rPr>
        <w:t xml:space="preserve"> أَحَبُّ إِلَيَّ مِنْ </w:t>
      </w:r>
      <w:r w:rsidR="00DB6128">
        <w:rPr>
          <w:rtl/>
          <w:lang w:bidi="fa-IR"/>
        </w:rPr>
        <w:t>أَنْ أَتَصَدَّقَ بِدِينَارَيْنِ</w:t>
      </w:r>
      <w:r w:rsidRPr="00C9040A">
        <w:rPr>
          <w:rtl/>
          <w:lang w:bidi="fa-IR"/>
        </w:rPr>
        <w:t>»</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6F043C">
        <w:rPr>
          <w:rtl/>
        </w:rPr>
        <w:t>2217</w:t>
      </w:r>
      <w:r w:rsidRPr="00261CB0">
        <w:rPr>
          <w:rStyle w:val="libBold2Char"/>
          <w:rtl/>
        </w:rPr>
        <w:t xml:space="preserve"> / 3.</w:t>
      </w:r>
      <w:r w:rsidRPr="00C9040A">
        <w:rPr>
          <w:rtl/>
          <w:lang w:bidi="fa-IR"/>
        </w:rPr>
        <w:t xml:space="preserve"> عَنْهُ </w:t>
      </w:r>
      <w:r w:rsidR="006C577F" w:rsidRPr="006C577F">
        <w:rPr>
          <w:rStyle w:val="libFootnotenumChar"/>
          <w:rtl/>
        </w:rPr>
        <w:t>(4)</w:t>
      </w:r>
      <w:r w:rsidRPr="00C9040A">
        <w:rPr>
          <w:rtl/>
          <w:lang w:bidi="fa-IR"/>
        </w:rPr>
        <w:t xml:space="preserve"> ، عَنْ أَحْمَدَ بْنِ مُحَمَّدٍ ، عَنِ ابْنِ سِنَانٍ ، عَنْ مُفَضَّلٍ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إِذَا رَأَيْتَ بَيْنَ اثْنَيْنِ مِنْ شِيعَتِنَا مُنَازَعَةً ، فَافْتَدِهَا </w:t>
      </w:r>
      <w:r w:rsidR="006C577F" w:rsidRPr="006C577F">
        <w:rPr>
          <w:rStyle w:val="libFootnotenumChar"/>
          <w:rtl/>
        </w:rPr>
        <w:t>(5)</w:t>
      </w:r>
      <w:r w:rsidRPr="00C9040A">
        <w:rPr>
          <w:rtl/>
          <w:lang w:bidi="fa-IR"/>
        </w:rPr>
        <w:t xml:space="preserve"> مِنْ مَالِي</w:t>
      </w:r>
      <w:r w:rsidR="006C577F" w:rsidRPr="006C577F">
        <w:rPr>
          <w:rStyle w:val="libFootnotenumChar"/>
          <w:rtl/>
        </w:rPr>
        <w:t>(6)</w:t>
      </w:r>
      <w:r w:rsidRPr="00C9040A">
        <w:rPr>
          <w:rtl/>
          <w:lang w:bidi="fa-IR"/>
        </w:rPr>
        <w:t>»</w:t>
      </w:r>
      <w:r>
        <w:rPr>
          <w:rtl/>
          <w:lang w:bidi="fa-IR"/>
        </w:rPr>
        <w:t>.</w:t>
      </w:r>
      <w:r w:rsidR="006C577F" w:rsidRPr="006C577F">
        <w:rPr>
          <w:rStyle w:val="libFootnotenumChar"/>
          <w:rtl/>
        </w:rPr>
        <w:t>(7)</w:t>
      </w:r>
      <w:r w:rsidRPr="00C9040A">
        <w:rPr>
          <w:rtl/>
          <w:lang w:bidi="fa-IR"/>
        </w:rPr>
        <w:t>‌</w:t>
      </w:r>
    </w:p>
    <w:p w:rsidR="008A74EB" w:rsidRPr="00C9040A" w:rsidRDefault="008A74EB" w:rsidP="008A74EB">
      <w:pPr>
        <w:pStyle w:val="libNormal"/>
        <w:rPr>
          <w:rtl/>
          <w:lang w:bidi="fa-IR"/>
        </w:rPr>
      </w:pPr>
      <w:r w:rsidRPr="006F043C">
        <w:rPr>
          <w:rtl/>
        </w:rPr>
        <w:t>2218</w:t>
      </w:r>
      <w:r w:rsidRPr="00261CB0">
        <w:rPr>
          <w:rStyle w:val="libBold2Char"/>
          <w:rtl/>
        </w:rPr>
        <w:t xml:space="preserve"> / 4.</w:t>
      </w:r>
      <w:r w:rsidRPr="00C9040A">
        <w:rPr>
          <w:rtl/>
          <w:lang w:bidi="fa-IR"/>
        </w:rPr>
        <w:t xml:space="preserve"> ابْنُ سِنَانٍ </w:t>
      </w:r>
      <w:r w:rsidR="006C577F" w:rsidRPr="006C577F">
        <w:rPr>
          <w:rStyle w:val="libFootnotenumChar"/>
          <w:rtl/>
        </w:rPr>
        <w:t>(8)</w:t>
      </w:r>
      <w:r w:rsidRPr="00C9040A">
        <w:rPr>
          <w:rtl/>
          <w:lang w:bidi="fa-IR"/>
        </w:rPr>
        <w:t xml:space="preserve"> ، عَنْ أَبِي حَنِيفَةَ سَابِقِ </w:t>
      </w:r>
      <w:r w:rsidR="006C577F" w:rsidRPr="006C577F">
        <w:rPr>
          <w:rStyle w:val="libFootnotenumChar"/>
          <w:rtl/>
        </w:rPr>
        <w:t>(9)</w:t>
      </w:r>
      <w:r w:rsidRPr="00C9040A">
        <w:rPr>
          <w:rtl/>
          <w:lang w:bidi="fa-IR"/>
        </w:rPr>
        <w:t xml:space="preserve"> الْحَاجِّ ، قَالَ :</w:t>
      </w:r>
    </w:p>
    <w:p w:rsidR="008A74EB" w:rsidRPr="00C9040A" w:rsidRDefault="008A74EB" w:rsidP="008A74EB">
      <w:pPr>
        <w:pStyle w:val="libNormal"/>
        <w:rPr>
          <w:rtl/>
          <w:lang w:bidi="fa-IR"/>
        </w:rPr>
      </w:pPr>
      <w:r w:rsidRPr="00C9040A">
        <w:rPr>
          <w:rtl/>
          <w:lang w:bidi="fa-IR"/>
        </w:rPr>
        <w:t>مَرَّ بِنَا الْمُفَضَّلُ</w:t>
      </w:r>
      <w:r>
        <w:rPr>
          <w:rtl/>
          <w:lang w:bidi="fa-IR"/>
        </w:rPr>
        <w:t xml:space="preserve"> </w:t>
      </w:r>
      <w:r w:rsidR="0084262C">
        <w:rPr>
          <w:rtl/>
          <w:lang w:bidi="fa-IR"/>
        </w:rPr>
        <w:t>-</w:t>
      </w:r>
      <w:r>
        <w:rPr>
          <w:rtl/>
          <w:lang w:bidi="fa-IR"/>
        </w:rPr>
        <w:t xml:space="preserve"> </w:t>
      </w:r>
      <w:r w:rsidRPr="00C9040A">
        <w:rPr>
          <w:rtl/>
          <w:lang w:bidi="fa-IR"/>
        </w:rPr>
        <w:t>وَ</w:t>
      </w:r>
      <w:r>
        <w:rPr>
          <w:rFonts w:hint="cs"/>
          <w:rtl/>
          <w:lang w:bidi="fa-IR"/>
        </w:rPr>
        <w:t xml:space="preserve"> </w:t>
      </w:r>
      <w:r w:rsidR="006C577F" w:rsidRPr="006C577F">
        <w:rPr>
          <w:rStyle w:val="libFootnotenumChar"/>
          <w:rtl/>
        </w:rPr>
        <w:t>(10)</w:t>
      </w:r>
      <w:r w:rsidRPr="00C9040A">
        <w:rPr>
          <w:rtl/>
          <w:lang w:bidi="fa-IR"/>
        </w:rPr>
        <w:t xml:space="preserve"> أَنَا وَخَتَنِي </w:t>
      </w:r>
      <w:r w:rsidR="006C577F" w:rsidRPr="006C577F">
        <w:rPr>
          <w:rStyle w:val="libFootnotenumChar"/>
          <w:rtl/>
        </w:rPr>
        <w:t>(11)</w:t>
      </w:r>
      <w:r w:rsidRPr="00C9040A">
        <w:rPr>
          <w:rtl/>
          <w:lang w:bidi="fa-IR"/>
        </w:rPr>
        <w:t xml:space="preserve"> نَتَشَاجَرُ فِي مِيرَاثٍ</w:t>
      </w:r>
      <w:r>
        <w:rPr>
          <w:rtl/>
          <w:lang w:bidi="fa-IR"/>
        </w:rPr>
        <w:t xml:space="preserve"> </w:t>
      </w:r>
      <w:r w:rsidR="0084262C">
        <w:rPr>
          <w:rtl/>
          <w:lang w:bidi="fa-IR"/>
        </w:rPr>
        <w:t>-</w:t>
      </w:r>
      <w:r>
        <w:rPr>
          <w:rtl/>
          <w:lang w:bidi="fa-IR"/>
        </w:rPr>
        <w:t xml:space="preserve"> </w:t>
      </w:r>
      <w:r w:rsidRPr="00C9040A">
        <w:rPr>
          <w:rtl/>
          <w:lang w:bidi="fa-IR"/>
        </w:rPr>
        <w:t>فَوَقَفَ عَلَيْنَا سَاعَةً ، ثُمَّ قَالَ‌</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DB6128" w:rsidTr="00DB6128">
        <w:tc>
          <w:tcPr>
            <w:tcW w:w="4006" w:type="dxa"/>
          </w:tcPr>
          <w:p w:rsidR="00DB6128" w:rsidRDefault="00DB6128" w:rsidP="004A4E41">
            <w:pPr>
              <w:pStyle w:val="libFootnote0"/>
              <w:rPr>
                <w:rtl/>
              </w:rPr>
            </w:pPr>
            <w:r>
              <w:rPr>
                <w:rtl/>
              </w:rPr>
              <w:t xml:space="preserve">(1). </w:t>
            </w:r>
            <w:r w:rsidRPr="00C9040A">
              <w:rPr>
                <w:rtl/>
              </w:rPr>
              <w:t>الضمير راجع إلى أحمد بن محمّد.</w:t>
            </w:r>
          </w:p>
        </w:tc>
        <w:tc>
          <w:tcPr>
            <w:tcW w:w="4006" w:type="dxa"/>
          </w:tcPr>
          <w:p w:rsidR="00DB6128" w:rsidRDefault="00DB6128" w:rsidP="004A4E41">
            <w:pPr>
              <w:pStyle w:val="libFootnote0"/>
              <w:rPr>
                <w:rtl/>
              </w:rPr>
            </w:pPr>
            <w:r>
              <w:rPr>
                <w:rtl/>
              </w:rPr>
              <w:t xml:space="preserve">(2). </w:t>
            </w:r>
            <w:r w:rsidRPr="00C9040A">
              <w:rPr>
                <w:rtl/>
              </w:rPr>
              <w:t>في « ف » : « الناس »</w:t>
            </w:r>
            <w:r>
              <w:rPr>
                <w:rtl/>
              </w:rPr>
              <w:t>.</w:t>
            </w:r>
          </w:p>
        </w:tc>
      </w:tr>
    </w:tbl>
    <w:p w:rsidR="008A74EB" w:rsidRPr="00C9040A" w:rsidRDefault="006C577F" w:rsidP="00DB6128">
      <w:pPr>
        <w:pStyle w:val="libFootnote0"/>
        <w:rPr>
          <w:rtl/>
          <w:lang w:bidi="fa-IR"/>
        </w:rPr>
      </w:pPr>
      <w:r>
        <w:rPr>
          <w:rtl/>
        </w:rPr>
        <w:t>(3).</w:t>
      </w:r>
      <w:r w:rsidR="008A74EB" w:rsidRPr="00C9040A">
        <w:rPr>
          <w:rtl/>
        </w:rPr>
        <w:t xml:space="preserve"> </w:t>
      </w:r>
      <w:r w:rsidR="008A74EB" w:rsidRPr="00993B55">
        <w:rPr>
          <w:rStyle w:val="libFootnoteBoldChar"/>
          <w:rtl/>
        </w:rPr>
        <w:t>ثواب الأعمال</w:t>
      </w:r>
      <w:r w:rsidR="008A74EB" w:rsidRPr="00C9040A">
        <w:rPr>
          <w:rtl/>
        </w:rPr>
        <w:t xml:space="preserve"> ، ص 178 ، ح 1 ، بسنده عن الحسن بن محبوب ، عن أبي‌حمزة الثمالي ، عن أبي‌عبدالله ، عن أميرالمؤمنين </w:t>
      </w:r>
      <w:r w:rsidR="00117575" w:rsidRPr="00117575">
        <w:rPr>
          <w:rStyle w:val="libFootnoteAlaemChar"/>
          <w:rtl/>
        </w:rPr>
        <w:t>عليهما‌السلام</w:t>
      </w:r>
      <w:r w:rsidR="00DB6128">
        <w:rPr>
          <w:rFonts w:hint="cs"/>
          <w:rtl/>
        </w:rPr>
        <w:t>.</w:t>
      </w:r>
      <w:r w:rsidR="008A74EB" w:rsidRPr="00993B55">
        <w:rPr>
          <w:rStyle w:val="libFootnoteBoldChar"/>
          <w:rtl/>
        </w:rPr>
        <w:t>الوافي</w:t>
      </w:r>
      <w:r w:rsidR="008A74EB" w:rsidRPr="00C9040A">
        <w:rPr>
          <w:rtl/>
        </w:rPr>
        <w:t xml:space="preserve"> ، ج 5 ، ص 539 ، ح 2532 ؛ </w:t>
      </w:r>
      <w:r w:rsidR="008A74EB" w:rsidRPr="00993B55">
        <w:rPr>
          <w:rStyle w:val="libFootnoteBoldChar"/>
          <w:rtl/>
        </w:rPr>
        <w:t>الوسائل</w:t>
      </w:r>
      <w:r w:rsidR="008A74EB" w:rsidRPr="00C9040A">
        <w:rPr>
          <w:rtl/>
        </w:rPr>
        <w:t xml:space="preserve"> ، ج 18 ، ص 439 ، ح 24000 ؛ </w:t>
      </w:r>
      <w:r w:rsidR="008A74EB" w:rsidRPr="00993B55">
        <w:rPr>
          <w:rStyle w:val="libFootnoteBoldChar"/>
          <w:rtl/>
        </w:rPr>
        <w:t>البحار</w:t>
      </w:r>
      <w:r w:rsidR="008A74EB" w:rsidRPr="00C9040A">
        <w:rPr>
          <w:rtl/>
        </w:rPr>
        <w:t xml:space="preserve"> ، ج 76 ، ص 44.</w:t>
      </w:r>
    </w:p>
    <w:p w:rsidR="008A74EB" w:rsidRPr="00C9040A" w:rsidRDefault="006C577F" w:rsidP="004A4E41">
      <w:pPr>
        <w:pStyle w:val="libFootnote0"/>
        <w:rPr>
          <w:rtl/>
          <w:lang w:bidi="fa-IR"/>
        </w:rPr>
      </w:pPr>
      <w:r>
        <w:rPr>
          <w:rtl/>
        </w:rPr>
        <w:t>(4).</w:t>
      </w:r>
      <w:r w:rsidR="008A74EB" w:rsidRPr="00C9040A">
        <w:rPr>
          <w:rtl/>
        </w:rPr>
        <w:t xml:space="preserve"> الضمير راجع إلى محمّد بن يحيى في سند ح 1 ، خلافاً لظاهر السياق ؛ فإنّ ابن سنان الراوي عن مفضّل</w:t>
      </w:r>
      <w:r w:rsidR="008A74EB">
        <w:rPr>
          <w:rtl/>
        </w:rPr>
        <w:t xml:space="preserve"> </w:t>
      </w:r>
      <w:r w:rsidR="0084262C">
        <w:rPr>
          <w:rtl/>
        </w:rPr>
        <w:t>-</w:t>
      </w:r>
      <w:r w:rsidR="008A74EB">
        <w:rPr>
          <w:rtl/>
        </w:rPr>
        <w:t xml:space="preserve"> </w:t>
      </w:r>
      <w:r w:rsidR="008A74EB" w:rsidRPr="00C9040A">
        <w:rPr>
          <w:rtl/>
        </w:rPr>
        <w:t>وهو ابن عمر</w:t>
      </w:r>
      <w:r w:rsidR="008A74EB">
        <w:rPr>
          <w:rtl/>
        </w:rPr>
        <w:t xml:space="preserve"> </w:t>
      </w:r>
      <w:r w:rsidR="0084262C">
        <w:rPr>
          <w:rtl/>
        </w:rPr>
        <w:t>-</w:t>
      </w:r>
      <w:r w:rsidR="008A74EB">
        <w:rPr>
          <w:rtl/>
        </w:rPr>
        <w:t xml:space="preserve"> </w:t>
      </w:r>
      <w:r w:rsidR="008A74EB" w:rsidRPr="00C9040A">
        <w:rPr>
          <w:rtl/>
        </w:rPr>
        <w:t xml:space="preserve">هو محمّد بن سنان. وتوسّط أحمد بن محمّد [ بن عيسى ] بينه وبين محمّد بن يحيى في كثيرٍ من الأسناد. راجع : </w:t>
      </w:r>
      <w:r w:rsidR="008A74EB" w:rsidRPr="00993B55">
        <w:rPr>
          <w:rStyle w:val="libFootnoteBoldChar"/>
          <w:rtl/>
        </w:rPr>
        <w:t>معجم رجال الحديث</w:t>
      </w:r>
      <w:r w:rsidR="008A74EB" w:rsidRPr="00C9040A">
        <w:rPr>
          <w:rtl/>
        </w:rPr>
        <w:t xml:space="preserve"> ، ج 2 ، ص 565</w:t>
      </w:r>
      <w:r w:rsidR="008A74EB">
        <w:rPr>
          <w:rtl/>
        </w:rPr>
        <w:t xml:space="preserve"> </w:t>
      </w:r>
      <w:r w:rsidR="0084262C">
        <w:rPr>
          <w:rtl/>
        </w:rPr>
        <w:t>-</w:t>
      </w:r>
      <w:r w:rsidR="008A74EB">
        <w:rPr>
          <w:rtl/>
        </w:rPr>
        <w:t xml:space="preserve"> </w:t>
      </w:r>
      <w:r w:rsidR="008A74EB" w:rsidRPr="00C9040A">
        <w:rPr>
          <w:rtl/>
        </w:rPr>
        <w:t>568 ، وص 695</w:t>
      </w:r>
      <w:r w:rsidR="008A74EB">
        <w:rPr>
          <w:rtl/>
        </w:rPr>
        <w:t xml:space="preserve"> </w:t>
      </w:r>
      <w:r w:rsidR="0084262C">
        <w:rPr>
          <w:rtl/>
        </w:rPr>
        <w:t>-</w:t>
      </w:r>
      <w:r w:rsidR="008A74EB">
        <w:rPr>
          <w:rtl/>
        </w:rPr>
        <w:t xml:space="preserve"> </w:t>
      </w:r>
      <w:r w:rsidR="008A74EB" w:rsidRPr="00C9040A">
        <w:rPr>
          <w:rtl/>
        </w:rPr>
        <w:t>696.</w:t>
      </w:r>
    </w:p>
    <w:p w:rsidR="008A74EB" w:rsidRPr="00C9040A" w:rsidRDefault="006C577F" w:rsidP="004A4E41">
      <w:pPr>
        <w:pStyle w:val="libFootnote0"/>
        <w:rPr>
          <w:rtl/>
          <w:lang w:bidi="fa-IR"/>
        </w:rPr>
      </w:pPr>
      <w:r>
        <w:rPr>
          <w:rtl/>
        </w:rPr>
        <w:t>(5).</w:t>
      </w:r>
      <w:r w:rsidR="008A74EB" w:rsidRPr="00C9040A">
        <w:rPr>
          <w:rtl/>
        </w:rPr>
        <w:t xml:space="preserve"> في « </w:t>
      </w:r>
      <w:r w:rsidR="006D3162">
        <w:rPr>
          <w:rtl/>
        </w:rPr>
        <w:t xml:space="preserve">ه </w:t>
      </w:r>
      <w:r w:rsidR="008A74EB" w:rsidRPr="00C9040A">
        <w:rPr>
          <w:rtl/>
        </w:rPr>
        <w:t>» : « فافتد بها »</w:t>
      </w:r>
      <w:r w:rsidR="008A74EB">
        <w:rPr>
          <w:rtl/>
        </w:rPr>
        <w:t>.</w:t>
      </w:r>
      <w:r w:rsidR="008A74EB" w:rsidRPr="00C9040A">
        <w:rPr>
          <w:rtl/>
        </w:rPr>
        <w:t xml:space="preserve"> </w:t>
      </w:r>
      <w:r w:rsidR="008A74EB">
        <w:rPr>
          <w:rtl/>
        </w:rPr>
        <w:t>و «</w:t>
      </w:r>
      <w:r w:rsidR="008A74EB" w:rsidRPr="00C9040A">
        <w:rPr>
          <w:rtl/>
        </w:rPr>
        <w:t xml:space="preserve"> الفِدى » </w:t>
      </w:r>
      <w:r w:rsidR="008A74EB">
        <w:rPr>
          <w:rtl/>
        </w:rPr>
        <w:t>و «</w:t>
      </w:r>
      <w:r w:rsidR="008A74EB" w:rsidRPr="00C9040A">
        <w:rPr>
          <w:rtl/>
        </w:rPr>
        <w:t xml:space="preserve"> الفِداء » : حفظ الإنسان عن النائبة بما يبذله عنه. يقال : فديته بمالٍ ، وفديتُه</w:t>
      </w:r>
      <w:r w:rsidR="00DB6128">
        <w:rPr>
          <w:rFonts w:hint="cs"/>
          <w:rtl/>
        </w:rPr>
        <w:t xml:space="preserve"> </w:t>
      </w:r>
      <w:r w:rsidR="008A74EB" w:rsidRPr="00C9040A">
        <w:rPr>
          <w:rtl/>
        </w:rPr>
        <w:t xml:space="preserve">‌بنفسي ، وفاديت بكذا. </w:t>
      </w:r>
      <w:r w:rsidR="008A74EB">
        <w:rPr>
          <w:rtl/>
        </w:rPr>
        <w:t>و «</w:t>
      </w:r>
      <w:r w:rsidR="008A74EB" w:rsidRPr="00C9040A">
        <w:rPr>
          <w:rtl/>
        </w:rPr>
        <w:t xml:space="preserve"> افتدى » : إذا بذل ذلك عن نفسه. وفَدَ</w:t>
      </w:r>
      <w:r w:rsidR="00DB6128">
        <w:rPr>
          <w:rtl/>
        </w:rPr>
        <w:t>ت المرأة نفسَها من زوجها وافتدت</w:t>
      </w:r>
      <w:r w:rsidR="008A74EB" w:rsidRPr="00C9040A">
        <w:rPr>
          <w:rtl/>
        </w:rPr>
        <w:t xml:space="preserve">: أعطته مالاً حتّى تخلّصت منه بالطلاق. </w:t>
      </w:r>
      <w:r w:rsidR="008A74EB" w:rsidRPr="00993B55">
        <w:rPr>
          <w:rStyle w:val="libFootnoteBoldChar"/>
          <w:rtl/>
        </w:rPr>
        <w:t>المفردا</w:t>
      </w:r>
      <w:r w:rsidR="008A74EB" w:rsidRPr="00DB6128">
        <w:rPr>
          <w:rStyle w:val="libFootnoteBoldChar"/>
          <w:rtl/>
        </w:rPr>
        <w:t>ت للراغب</w:t>
      </w:r>
      <w:r w:rsidR="008A74EB" w:rsidRPr="00C9040A">
        <w:rPr>
          <w:rtl/>
        </w:rPr>
        <w:t xml:space="preserve"> ، ص 627 ؛ </w:t>
      </w:r>
      <w:r w:rsidR="008A74EB" w:rsidRPr="00993B55">
        <w:rPr>
          <w:rStyle w:val="libFootnoteBoldChar"/>
          <w:rtl/>
        </w:rPr>
        <w:t>المصباح المنير</w:t>
      </w:r>
      <w:r w:rsidR="00DB6128">
        <w:rPr>
          <w:rtl/>
        </w:rPr>
        <w:t xml:space="preserve"> ، ص 465 (</w:t>
      </w:r>
      <w:r w:rsidR="008A74EB" w:rsidRPr="00C9040A">
        <w:rPr>
          <w:rtl/>
        </w:rPr>
        <w:t>فدى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 </w:t>
      </w:r>
      <w:r w:rsidR="006D3162">
        <w:rPr>
          <w:rtl/>
        </w:rPr>
        <w:t xml:space="preserve">ه </w:t>
      </w:r>
      <w:r w:rsidR="008A74EB" w:rsidRPr="00C9040A">
        <w:rPr>
          <w:rtl/>
        </w:rPr>
        <w:t>» : « مالك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الوافي</w:t>
      </w:r>
      <w:r w:rsidR="008A74EB" w:rsidRPr="00C9040A">
        <w:rPr>
          <w:rtl/>
        </w:rPr>
        <w:t xml:space="preserve"> ، ج 5 ، ص 539 ، ح 2533 ؛ </w:t>
      </w:r>
      <w:r w:rsidR="008A74EB" w:rsidRPr="00993B55">
        <w:rPr>
          <w:rStyle w:val="libFootnoteBoldChar"/>
          <w:rtl/>
        </w:rPr>
        <w:t>الوسائل</w:t>
      </w:r>
      <w:r w:rsidR="008A74EB" w:rsidRPr="00C9040A">
        <w:rPr>
          <w:rtl/>
        </w:rPr>
        <w:t xml:space="preserve"> ، ج 18 ، ص 440 ، ح 24002 ؛ </w:t>
      </w:r>
      <w:r w:rsidR="008A74EB" w:rsidRPr="00993B55">
        <w:rPr>
          <w:rStyle w:val="libFootnoteBoldChar"/>
          <w:rtl/>
        </w:rPr>
        <w:t>البحار</w:t>
      </w:r>
      <w:r w:rsidR="008A74EB" w:rsidRPr="00C9040A">
        <w:rPr>
          <w:rtl/>
        </w:rPr>
        <w:t xml:space="preserve"> ، ج 76 ، ص 44 ، ح 8.</w:t>
      </w:r>
    </w:p>
    <w:p w:rsidR="008A74EB" w:rsidRPr="00C9040A" w:rsidRDefault="006C577F" w:rsidP="004A4E41">
      <w:pPr>
        <w:pStyle w:val="libFootnote0"/>
        <w:rPr>
          <w:rtl/>
          <w:lang w:bidi="fa-IR"/>
        </w:rPr>
      </w:pPr>
      <w:r>
        <w:rPr>
          <w:rtl/>
        </w:rPr>
        <w:t>(8).</w:t>
      </w:r>
      <w:r w:rsidR="008A74EB" w:rsidRPr="00C9040A">
        <w:rPr>
          <w:rtl/>
        </w:rPr>
        <w:t xml:space="preserve"> السند معلّق على سابقه ، ويروي عن ابن سنان ، محمّد بن يحيى المعبَّر عنه بالضمير عن أحمد بن محمّد.</w:t>
      </w:r>
    </w:p>
    <w:p w:rsidR="008A74EB" w:rsidRPr="00C9040A" w:rsidRDefault="006C577F" w:rsidP="004A4E41">
      <w:pPr>
        <w:pStyle w:val="libFootnote0"/>
        <w:rPr>
          <w:rtl/>
          <w:lang w:bidi="fa-IR"/>
        </w:rPr>
      </w:pPr>
      <w:r>
        <w:rPr>
          <w:rtl/>
        </w:rPr>
        <w:t>(9).</w:t>
      </w:r>
      <w:r w:rsidR="008A74EB" w:rsidRPr="00C9040A">
        <w:rPr>
          <w:rtl/>
        </w:rPr>
        <w:t xml:space="preserve"> في « ب » والبحار : « سائق »</w:t>
      </w:r>
      <w:r w:rsidR="008A74EB">
        <w:rPr>
          <w:rtl/>
        </w:rPr>
        <w:t>.</w:t>
      </w:r>
      <w:r w:rsidR="008A74EB" w:rsidRPr="00C9040A">
        <w:rPr>
          <w:rtl/>
        </w:rPr>
        <w:t xml:space="preserve"> وفي « ج ، ز ، بس » : « سايق »</w:t>
      </w:r>
      <w:r w:rsidR="008A74EB">
        <w:rPr>
          <w:rtl/>
        </w:rPr>
        <w:t>.</w:t>
      </w:r>
      <w:r w:rsidR="008A74EB" w:rsidRPr="00C9040A">
        <w:rPr>
          <w:rtl/>
        </w:rPr>
        <w:t xml:space="preserve"> والمذكور في كتب الرجال « سابق » </w:t>
      </w:r>
      <w:r w:rsidR="008A74EB">
        <w:rPr>
          <w:rtl/>
        </w:rPr>
        <w:t>و «</w:t>
      </w:r>
      <w:r w:rsidR="008A74EB" w:rsidRPr="00C9040A">
        <w:rPr>
          <w:rtl/>
        </w:rPr>
        <w:t xml:space="preserve"> سائق »</w:t>
      </w:r>
      <w:r w:rsidR="008A74EB">
        <w:rPr>
          <w:rtl/>
        </w:rPr>
        <w:t>.</w:t>
      </w:r>
      <w:r w:rsidR="008A74EB" w:rsidRPr="00C9040A">
        <w:rPr>
          <w:rtl/>
        </w:rPr>
        <w:t xml:space="preserve"> راجع : </w:t>
      </w:r>
      <w:r w:rsidR="008A74EB" w:rsidRPr="00993B55">
        <w:rPr>
          <w:rStyle w:val="libFootnoteBoldChar"/>
          <w:rtl/>
        </w:rPr>
        <w:t>رجال النجاشي</w:t>
      </w:r>
      <w:r w:rsidR="008A74EB" w:rsidRPr="00C9040A">
        <w:rPr>
          <w:rtl/>
        </w:rPr>
        <w:t xml:space="preserve"> ، ص 180 ، الرقم 476 ؛ </w:t>
      </w:r>
      <w:r w:rsidR="008A74EB" w:rsidRPr="00993B55">
        <w:rPr>
          <w:rStyle w:val="libFootnoteBoldChar"/>
          <w:rtl/>
        </w:rPr>
        <w:t>رجال البرقي</w:t>
      </w:r>
      <w:r w:rsidR="008A74EB" w:rsidRPr="00C9040A">
        <w:rPr>
          <w:rtl/>
        </w:rPr>
        <w:t xml:space="preserve"> ، ص 42 ؛ </w:t>
      </w:r>
      <w:r w:rsidR="008A74EB" w:rsidRPr="00993B55">
        <w:rPr>
          <w:rStyle w:val="libFootnoteBoldChar"/>
          <w:rtl/>
        </w:rPr>
        <w:t>رجال الكشّي</w:t>
      </w:r>
      <w:r w:rsidR="008A74EB" w:rsidRPr="00C9040A">
        <w:rPr>
          <w:rtl/>
        </w:rPr>
        <w:t xml:space="preserve"> ، ص 318 ، الرقم 575 </w:t>
      </w:r>
      <w:r w:rsidR="008A74EB">
        <w:rPr>
          <w:rtl/>
        </w:rPr>
        <w:t>و 5</w:t>
      </w:r>
      <w:r w:rsidR="008A74EB" w:rsidRPr="00C9040A">
        <w:rPr>
          <w:rtl/>
        </w:rPr>
        <w:t xml:space="preserve">76 ؛ </w:t>
      </w:r>
      <w:r w:rsidR="008A74EB" w:rsidRPr="00993B55">
        <w:rPr>
          <w:rStyle w:val="libFootnoteBoldChar"/>
          <w:rtl/>
        </w:rPr>
        <w:t>رجال الطوسي</w:t>
      </w:r>
      <w:r w:rsidR="008A74EB" w:rsidRPr="00C9040A">
        <w:rPr>
          <w:rtl/>
        </w:rPr>
        <w:t xml:space="preserve"> ، ص 214 ، الرقم 2807 ؛ </w:t>
      </w:r>
      <w:r w:rsidR="008A74EB" w:rsidRPr="0034021D">
        <w:rPr>
          <w:rStyle w:val="libFootnoteBoldChar"/>
          <w:rtl/>
        </w:rPr>
        <w:t>الفهرست للطوسي</w:t>
      </w:r>
      <w:r w:rsidR="008A74EB" w:rsidRPr="00C9040A">
        <w:rPr>
          <w:rtl/>
        </w:rPr>
        <w:t xml:space="preserve"> ، ص 533 ، الرقم 864.</w:t>
      </w:r>
    </w:p>
    <w:p w:rsidR="008A74EB" w:rsidRPr="00C9040A" w:rsidRDefault="006C577F" w:rsidP="004A4E41">
      <w:pPr>
        <w:pStyle w:val="libFootnote0"/>
        <w:rPr>
          <w:rtl/>
          <w:lang w:bidi="fa-IR"/>
        </w:rPr>
      </w:pPr>
      <w:r>
        <w:rPr>
          <w:rtl/>
        </w:rPr>
        <w:t>(10).</w:t>
      </w:r>
      <w:r w:rsidR="008A74EB" w:rsidRPr="00C9040A">
        <w:rPr>
          <w:rtl/>
        </w:rPr>
        <w:t xml:space="preserve"> في « ج ، بس » </w:t>
      </w:r>
      <w:r w:rsidR="008A74EB">
        <w:rPr>
          <w:rtl/>
        </w:rPr>
        <w:t xml:space="preserve">: </w:t>
      </w:r>
      <w:r w:rsidR="0084262C">
        <w:rPr>
          <w:rtl/>
        </w:rPr>
        <w:t>-</w:t>
      </w:r>
      <w:r w:rsidR="008A74EB" w:rsidRPr="00C9040A">
        <w:rPr>
          <w:rtl/>
        </w:rPr>
        <w:t xml:space="preserve"> « </w:t>
      </w:r>
      <w:r w:rsidR="008A74EB">
        <w:rPr>
          <w:rtl/>
        </w:rPr>
        <w:t>و ».</w:t>
      </w:r>
    </w:p>
    <w:p w:rsidR="008A74EB" w:rsidRPr="00C9040A" w:rsidRDefault="006C577F" w:rsidP="004A4E41">
      <w:pPr>
        <w:pStyle w:val="libFootnote0"/>
        <w:rPr>
          <w:rtl/>
          <w:lang w:bidi="fa-IR"/>
        </w:rPr>
      </w:pPr>
      <w:r>
        <w:rPr>
          <w:rtl/>
        </w:rPr>
        <w:t>(11).</w:t>
      </w:r>
      <w:r w:rsidR="008A74EB" w:rsidRPr="00C9040A">
        <w:rPr>
          <w:rtl/>
        </w:rPr>
        <w:t xml:space="preserve"> « الخَتَن » ، بالتحريك : كلّ من كان من قبل المرأة ، مثل الأب والأخ ، ق</w:t>
      </w:r>
      <w:r w:rsidR="00DB6128">
        <w:rPr>
          <w:rtl/>
        </w:rPr>
        <w:t>ال الجوهري : « هكذا عند العرب،</w:t>
      </w:r>
      <w:r w:rsidR="00DB6128">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لَنَا </w:t>
      </w:r>
      <w:r w:rsidR="006C577F" w:rsidRPr="006C577F">
        <w:rPr>
          <w:rStyle w:val="libFootnotenumChar"/>
          <w:rtl/>
        </w:rPr>
        <w:t>(1)</w:t>
      </w:r>
      <w:r w:rsidRPr="00C9040A">
        <w:rPr>
          <w:rtl/>
          <w:lang w:bidi="fa-IR"/>
        </w:rPr>
        <w:t xml:space="preserve"> : تَعَالَوْا إِلَى الْمَنْزِلِ ، فَأَتَيْنَاهُ ، فَأَصْلَحَ </w:t>
      </w:r>
      <w:r w:rsidR="006C577F" w:rsidRPr="006C577F">
        <w:rPr>
          <w:rStyle w:val="libFootnotenumChar"/>
          <w:rtl/>
        </w:rPr>
        <w:t>(2)</w:t>
      </w:r>
      <w:r w:rsidRPr="00C9040A">
        <w:rPr>
          <w:rtl/>
          <w:lang w:bidi="fa-IR"/>
        </w:rPr>
        <w:t xml:space="preserve"> بَيْنَنَا بِأَرْبَعِمِائَةِ دِرْهَمٍ ، فَدَفَعَهَا </w:t>
      </w:r>
      <w:r w:rsidR="006C577F" w:rsidRPr="006C577F">
        <w:rPr>
          <w:rStyle w:val="libFootnotenumChar"/>
          <w:rtl/>
        </w:rPr>
        <w:t>(3)</w:t>
      </w:r>
      <w:r w:rsidRPr="00C9040A">
        <w:rPr>
          <w:rtl/>
          <w:lang w:bidi="fa-IR"/>
        </w:rPr>
        <w:t xml:space="preserve"> إِلَيْنَا مِنْ عِنْدِهِ حَتّى إِذَا </w:t>
      </w:r>
      <w:r w:rsidR="006C577F" w:rsidRPr="006C577F">
        <w:rPr>
          <w:rStyle w:val="libFootnotenumChar"/>
          <w:rtl/>
        </w:rPr>
        <w:t>(4)</w:t>
      </w:r>
      <w:r w:rsidRPr="00C9040A">
        <w:rPr>
          <w:rtl/>
          <w:lang w:bidi="fa-IR"/>
        </w:rPr>
        <w:t xml:space="preserve"> اسْتَوْثَقَ كُلُّ وَاحِدٍ مِنَّا مِنْ صَاحِبِهِ ، قَالَ : أَمَا إِنَّهَا لَيْسَتْ مِنْ مَالِي ، وَلكِنْ أَبُو عَبْدِ اللهِ </w:t>
      </w:r>
      <w:r w:rsidRPr="0003660B">
        <w:rPr>
          <w:rStyle w:val="libAlaemChar"/>
          <w:rtl/>
        </w:rPr>
        <w:t>عليه‌السلام</w:t>
      </w:r>
      <w:r w:rsidRPr="00C9040A">
        <w:rPr>
          <w:rtl/>
          <w:lang w:bidi="fa-IR"/>
        </w:rPr>
        <w:t xml:space="preserve"> أَمَرَنِي </w:t>
      </w:r>
      <w:r w:rsidR="006C577F" w:rsidRPr="006C577F">
        <w:rPr>
          <w:rStyle w:val="libFootnotenumChar"/>
          <w:rtl/>
        </w:rPr>
        <w:t>(5)</w:t>
      </w:r>
      <w:r w:rsidRPr="00C9040A">
        <w:rPr>
          <w:rtl/>
          <w:lang w:bidi="fa-IR"/>
        </w:rPr>
        <w:t xml:space="preserve"> إِذَا تَنَازَعَ رَجُلَانِ </w:t>
      </w:r>
      <w:r w:rsidR="006C577F" w:rsidRPr="006C577F">
        <w:rPr>
          <w:rStyle w:val="libFootnotenumChar"/>
          <w:rtl/>
        </w:rPr>
        <w:t>(6)</w:t>
      </w:r>
      <w:r w:rsidRPr="005B567D">
        <w:rPr>
          <w:rStyle w:val="libFootnotenumChar"/>
          <w:rtl/>
        </w:rPr>
        <w:t xml:space="preserve"> </w:t>
      </w:r>
      <w:r w:rsidRPr="00C9040A">
        <w:rPr>
          <w:rtl/>
          <w:lang w:bidi="fa-IR"/>
        </w:rPr>
        <w:t xml:space="preserve">مِنْ أَصْحَابِنَا فِي شَيْ‌ءٍ أَنْ أُصْلِحَ بَيْنَهُمَا </w:t>
      </w:r>
      <w:r w:rsidR="006C577F" w:rsidRPr="006C577F">
        <w:rPr>
          <w:rStyle w:val="libFootnotenumChar"/>
          <w:rtl/>
        </w:rPr>
        <w:t>(7)</w:t>
      </w:r>
      <w:r w:rsidRPr="00C9040A">
        <w:rPr>
          <w:rtl/>
          <w:lang w:bidi="fa-IR"/>
        </w:rPr>
        <w:t xml:space="preserve"> ، وَأَفْتَدِيَهَا </w:t>
      </w:r>
      <w:r w:rsidR="006C577F" w:rsidRPr="006C577F">
        <w:rPr>
          <w:rStyle w:val="libFootnotenumChar"/>
          <w:rtl/>
        </w:rPr>
        <w:t>(8)</w:t>
      </w:r>
      <w:r w:rsidRPr="00C9040A">
        <w:rPr>
          <w:rtl/>
          <w:lang w:bidi="fa-IR"/>
        </w:rPr>
        <w:t xml:space="preserve"> مِنْ مَالِهِ ، فَهذَا مِنْ مَالِ أَبِي عَبْدِ اللهِ </w:t>
      </w:r>
      <w:r w:rsidRPr="0003660B">
        <w:rPr>
          <w:rStyle w:val="libAlaemChar"/>
          <w:rtl/>
        </w:rPr>
        <w:t>عليه‌السلام</w:t>
      </w:r>
      <w:r w:rsidRPr="00C9040A">
        <w:rPr>
          <w:rtl/>
          <w:lang w:bidi="fa-IR"/>
        </w:rPr>
        <w:t xml:space="preserve">. </w:t>
      </w:r>
      <w:r w:rsidR="006C577F" w:rsidRPr="006C577F">
        <w:rPr>
          <w:rStyle w:val="libFootnotenumChar"/>
          <w:rtl/>
        </w:rPr>
        <w:t>(9)</w:t>
      </w:r>
      <w:r w:rsidRPr="00C9040A">
        <w:rPr>
          <w:rtl/>
          <w:lang w:bidi="fa-IR"/>
        </w:rPr>
        <w:t xml:space="preserve"> ‌</w:t>
      </w:r>
    </w:p>
    <w:p w:rsidR="008A74EB" w:rsidRPr="00C9040A" w:rsidRDefault="008A74EB" w:rsidP="008A74EB">
      <w:pPr>
        <w:pStyle w:val="libNormal"/>
        <w:rPr>
          <w:rtl/>
          <w:lang w:bidi="fa-IR"/>
        </w:rPr>
      </w:pPr>
      <w:r w:rsidRPr="00220D3B">
        <w:rPr>
          <w:rtl/>
        </w:rPr>
        <w:t>2219</w:t>
      </w:r>
      <w:r w:rsidRPr="00261CB0">
        <w:rPr>
          <w:rStyle w:val="libBold2Char"/>
          <w:rtl/>
        </w:rPr>
        <w:t xml:space="preserve"> / 5.</w:t>
      </w:r>
      <w:r w:rsidRPr="00C9040A">
        <w:rPr>
          <w:rtl/>
          <w:lang w:bidi="fa-IR"/>
        </w:rPr>
        <w:t xml:space="preserve"> عَلِيُّ بْنُ إِبْرَاهِيمَ ، عَنْ أَبِيهِ ، عَنْ عَبْدِ اللهِ بْنِ الْمُغِيرَةِ ، عَنْ مُعَاوِيَةَ بْنِ عَمَّارٍ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الْمُصْلِحُ لَيْسَ بِكَاذِبٍ </w:t>
      </w:r>
      <w:r w:rsidR="006C577F" w:rsidRPr="006C577F">
        <w:rPr>
          <w:rStyle w:val="libFootnotenumChar"/>
          <w:rtl/>
        </w:rPr>
        <w:t>(10)</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(11)</w:t>
      </w:r>
      <w:r w:rsidRPr="00C9040A">
        <w:rPr>
          <w:rtl/>
          <w:lang w:bidi="fa-IR"/>
        </w:rPr>
        <w:t xml:space="preserve"> ‌</w:t>
      </w:r>
    </w:p>
    <w:p w:rsidR="008A74EB" w:rsidRPr="00C9040A" w:rsidRDefault="008A74EB" w:rsidP="008A74EB">
      <w:pPr>
        <w:pStyle w:val="libNormal"/>
        <w:rPr>
          <w:rtl/>
          <w:lang w:bidi="fa-IR"/>
        </w:rPr>
      </w:pPr>
      <w:r w:rsidRPr="00220D3B">
        <w:rPr>
          <w:rtl/>
        </w:rPr>
        <w:t>2220</w:t>
      </w:r>
      <w:r w:rsidRPr="00261CB0">
        <w:rPr>
          <w:rStyle w:val="libBold2Char"/>
          <w:rtl/>
        </w:rPr>
        <w:t xml:space="preserve"> / 6.</w:t>
      </w:r>
      <w:r w:rsidRPr="00C9040A">
        <w:rPr>
          <w:rtl/>
          <w:lang w:bidi="fa-IR"/>
        </w:rPr>
        <w:t xml:space="preserve"> عَلِيٌّ ، عَنْ أَبِيهِ ، عَنِ ابْنِ أَبِي عُمَيْرٍ ، عَنْ عَلِيِّ بْنِ إِسْمَاعِيلَ ، عَنْ إِسْحَاقَ بْنِ عَمَّارٍ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فِي قَوْلِ اللهِ عَزَّ وَجَلَّ : </w:t>
      </w:r>
      <w:r w:rsidRPr="0003660B">
        <w:rPr>
          <w:rStyle w:val="libAlaemChar"/>
          <w:rtl/>
        </w:rPr>
        <w:t>(</w:t>
      </w:r>
      <w:r w:rsidRPr="006A2246">
        <w:rPr>
          <w:rStyle w:val="libAieChar"/>
          <w:rtl/>
        </w:rPr>
        <w:t xml:space="preserve"> وَلا تَجْعَلُوا اللهَ عُرْضَةً لِأَيْمانِكُمْ أَنْ تَبَرُّوا وَتَتَّقُوا وَتُصْلِحُوا بَيْنَ النّاسِ </w:t>
      </w:r>
      <w:r w:rsidRPr="0003660B">
        <w:rPr>
          <w:rStyle w:val="libAlaemChar"/>
          <w:rtl/>
        </w:rPr>
        <w:t>)</w:t>
      </w:r>
      <w:r w:rsidRPr="00C9040A">
        <w:rPr>
          <w:rtl/>
          <w:lang w:bidi="fa-IR"/>
        </w:rPr>
        <w:t xml:space="preserve"> </w:t>
      </w:r>
      <w:r w:rsidR="006C577F" w:rsidRPr="006C577F">
        <w:rPr>
          <w:rStyle w:val="libFootnotenumChar"/>
          <w:rtl/>
        </w:rPr>
        <w:t>(12)</w:t>
      </w:r>
      <w:r w:rsidRPr="00C9040A">
        <w:rPr>
          <w:rtl/>
          <w:lang w:bidi="fa-IR"/>
        </w:rPr>
        <w:t xml:space="preserve"> قَالَ : « إِذَا دُعِيتَ لِصُلْحٍ </w:t>
      </w:r>
      <w:r w:rsidRPr="005B567D">
        <w:rPr>
          <w:rStyle w:val="libFootnotenumChar"/>
          <w:rtl/>
        </w:rPr>
        <w:t>(13)</w:t>
      </w:r>
      <w:r w:rsidRPr="00C9040A">
        <w:rPr>
          <w:rtl/>
          <w:lang w:bidi="fa-IR"/>
        </w:rPr>
        <w:t xml:space="preserve"> بَيْنَ اثْنَيْنِ </w:t>
      </w:r>
      <w:r w:rsidRPr="005B567D">
        <w:rPr>
          <w:rStyle w:val="libFootnotenumChar"/>
          <w:rtl/>
        </w:rPr>
        <w:t>(14)</w:t>
      </w:r>
      <w:r w:rsidRPr="00C9040A">
        <w:rPr>
          <w:rtl/>
          <w:lang w:bidi="fa-IR"/>
        </w:rPr>
        <w:t xml:space="preserve"> ، فَلَا تَقُلْ : عَلَيَّ‌</w:t>
      </w:r>
    </w:p>
    <w:p w:rsidR="008A74EB" w:rsidRPr="00C9040A" w:rsidRDefault="008A74EB" w:rsidP="008A74EB">
      <w:pPr>
        <w:pStyle w:val="libLine"/>
        <w:rPr>
          <w:rtl/>
          <w:lang w:bidi="fa-IR"/>
        </w:rPr>
      </w:pPr>
      <w:r w:rsidRPr="00C9040A">
        <w:rPr>
          <w:rtl/>
          <w:lang w:bidi="fa-IR"/>
        </w:rPr>
        <w:t>__________________</w:t>
      </w:r>
    </w:p>
    <w:p w:rsidR="008A74EB" w:rsidRDefault="00DB6128" w:rsidP="004A4E41">
      <w:pPr>
        <w:pStyle w:val="libFootnote0"/>
        <w:rPr>
          <w:rtl/>
        </w:rPr>
      </w:pPr>
      <w:r>
        <w:rPr>
          <w:rFonts w:hint="cs"/>
          <w:rtl/>
        </w:rPr>
        <w:t xml:space="preserve">= </w:t>
      </w:r>
      <w:r w:rsidR="008A74EB" w:rsidRPr="00C9040A">
        <w:rPr>
          <w:rtl/>
        </w:rPr>
        <w:t>وأمّا عند العامّة فختن الرجل : زوج ابنته »</w:t>
      </w:r>
      <w:r w:rsidR="008A74EB">
        <w:rPr>
          <w:rtl/>
        </w:rPr>
        <w:t>.</w:t>
      </w:r>
      <w:r w:rsidR="008A74EB" w:rsidRPr="00C9040A">
        <w:rPr>
          <w:rtl/>
        </w:rPr>
        <w:t xml:space="preserve"> وعن ابن المظفّر : « الختن : الصِّهر » ، والصهر : زوج بنت الرجل وا</w:t>
      </w:r>
      <w:r>
        <w:rPr>
          <w:rFonts w:hint="cs"/>
          <w:rtl/>
        </w:rPr>
        <w:t>ُ</w:t>
      </w:r>
      <w:r w:rsidR="008A74EB" w:rsidRPr="00C9040A">
        <w:rPr>
          <w:rtl/>
        </w:rPr>
        <w:t xml:space="preserve">خته. راجع : </w:t>
      </w:r>
      <w:r w:rsidR="008A74EB" w:rsidRPr="00993B55">
        <w:rPr>
          <w:rStyle w:val="libFootnoteBoldChar"/>
          <w:rtl/>
        </w:rPr>
        <w:t>الصحاح</w:t>
      </w:r>
      <w:r w:rsidR="008A74EB" w:rsidRPr="00C9040A">
        <w:rPr>
          <w:rtl/>
        </w:rPr>
        <w:t xml:space="preserve"> ، ج 5 ، ص 2107 ؛ </w:t>
      </w:r>
      <w:r w:rsidR="008A74EB" w:rsidRPr="00993B55">
        <w:rPr>
          <w:rStyle w:val="libFootnoteBoldChar"/>
          <w:rtl/>
        </w:rPr>
        <w:t>لسان العرب</w:t>
      </w:r>
      <w:r w:rsidR="008A74EB" w:rsidRPr="00C9040A">
        <w:rPr>
          <w:rtl/>
        </w:rPr>
        <w:t xml:space="preserve"> ، ج 4 ، ص 476 ؛ </w:t>
      </w:r>
      <w:r w:rsidR="008A74EB" w:rsidRPr="00993B55">
        <w:rPr>
          <w:rStyle w:val="libFootnoteBoldChar"/>
          <w:rtl/>
        </w:rPr>
        <w:t>المصباح المنير</w:t>
      </w:r>
      <w:r>
        <w:rPr>
          <w:rtl/>
        </w:rPr>
        <w:t xml:space="preserve"> ، ص 164 (</w:t>
      </w:r>
      <w:r w:rsidR="008A74EB" w:rsidRPr="00C9040A">
        <w:rPr>
          <w:rtl/>
        </w:rPr>
        <w:t>ختن )</w:t>
      </w:r>
      <w:r w:rsidR="008A74EB">
        <w:rPr>
          <w:rtl/>
        </w:rPr>
        <w:t>.</w:t>
      </w:r>
    </w:p>
    <w:tbl>
      <w:tblPr>
        <w:tblStyle w:val="TableGrid"/>
        <w:bidiVisual/>
        <w:tblW w:w="0" w:type="auto"/>
        <w:tblLook w:val="04A0" w:firstRow="1" w:lastRow="0" w:firstColumn="1" w:lastColumn="0" w:noHBand="0" w:noVBand="1"/>
      </w:tblPr>
      <w:tblGrid>
        <w:gridCol w:w="4006"/>
        <w:gridCol w:w="4006"/>
      </w:tblGrid>
      <w:tr w:rsidR="00DB6128" w:rsidTr="00DB6128">
        <w:tc>
          <w:tcPr>
            <w:tcW w:w="4006" w:type="dxa"/>
          </w:tcPr>
          <w:p w:rsidR="00DB6128" w:rsidRDefault="00DB6128" w:rsidP="004A4E41">
            <w:pPr>
              <w:pStyle w:val="libFootnote0"/>
              <w:rPr>
                <w:rtl/>
              </w:rPr>
            </w:pPr>
            <w:r>
              <w:rPr>
                <w:rtl/>
              </w:rPr>
              <w:t xml:space="preserve">(1). </w:t>
            </w:r>
            <w:r w:rsidRPr="00C9040A">
              <w:rPr>
                <w:rtl/>
              </w:rPr>
              <w:t xml:space="preserve">في الوسائل والتهذيب </w:t>
            </w:r>
            <w:r>
              <w:rPr>
                <w:rtl/>
              </w:rPr>
              <w:t>: -</w:t>
            </w:r>
            <w:r w:rsidRPr="00C9040A">
              <w:rPr>
                <w:rtl/>
              </w:rPr>
              <w:t xml:space="preserve"> « لنا »</w:t>
            </w:r>
            <w:r>
              <w:rPr>
                <w:rtl/>
              </w:rPr>
              <w:t>.</w:t>
            </w:r>
          </w:p>
        </w:tc>
        <w:tc>
          <w:tcPr>
            <w:tcW w:w="4006" w:type="dxa"/>
          </w:tcPr>
          <w:p w:rsidR="00DB6128" w:rsidRDefault="00DB6128" w:rsidP="004A4E41">
            <w:pPr>
              <w:pStyle w:val="libFootnote0"/>
              <w:rPr>
                <w:rtl/>
              </w:rPr>
            </w:pPr>
            <w:r>
              <w:rPr>
                <w:rtl/>
              </w:rPr>
              <w:t xml:space="preserve">(2). </w:t>
            </w:r>
            <w:r w:rsidRPr="00C9040A">
              <w:rPr>
                <w:rtl/>
              </w:rPr>
              <w:t>في « ف » : « فإذا أصلح »</w:t>
            </w:r>
            <w:r>
              <w:rPr>
                <w:rtl/>
              </w:rPr>
              <w:t>.</w:t>
            </w:r>
          </w:p>
        </w:tc>
      </w:tr>
      <w:tr w:rsidR="00DB6128" w:rsidTr="00DB6128">
        <w:tc>
          <w:tcPr>
            <w:tcW w:w="4006" w:type="dxa"/>
          </w:tcPr>
          <w:p w:rsidR="00DB6128" w:rsidRDefault="00DB6128" w:rsidP="004A4E41">
            <w:pPr>
              <w:pStyle w:val="libFootnote0"/>
              <w:rPr>
                <w:rtl/>
              </w:rPr>
            </w:pPr>
            <w:r>
              <w:rPr>
                <w:rtl/>
              </w:rPr>
              <w:t>(3).</w:t>
            </w:r>
            <w:r w:rsidRPr="00C9040A">
              <w:rPr>
                <w:rtl/>
              </w:rPr>
              <w:t xml:space="preserve"> في « </w:t>
            </w:r>
            <w:r>
              <w:rPr>
                <w:rtl/>
              </w:rPr>
              <w:t xml:space="preserve">ه </w:t>
            </w:r>
            <w:r w:rsidRPr="00C9040A">
              <w:rPr>
                <w:rtl/>
              </w:rPr>
              <w:t>» : « ودفعها »</w:t>
            </w:r>
            <w:r>
              <w:rPr>
                <w:rtl/>
              </w:rPr>
              <w:t>.</w:t>
            </w:r>
          </w:p>
        </w:tc>
        <w:tc>
          <w:tcPr>
            <w:tcW w:w="4006" w:type="dxa"/>
          </w:tcPr>
          <w:p w:rsidR="00DB6128" w:rsidRDefault="00DB6128" w:rsidP="004A4E41">
            <w:pPr>
              <w:pStyle w:val="libFootnote0"/>
              <w:rPr>
                <w:rtl/>
              </w:rPr>
            </w:pPr>
            <w:r>
              <w:rPr>
                <w:rtl/>
              </w:rPr>
              <w:t>(4).</w:t>
            </w:r>
            <w:r w:rsidRPr="00C9040A">
              <w:rPr>
                <w:rtl/>
              </w:rPr>
              <w:t xml:space="preserve"> في « ب » : « إذ »</w:t>
            </w:r>
            <w:r>
              <w:rPr>
                <w:rtl/>
              </w:rPr>
              <w:t>.</w:t>
            </w:r>
          </w:p>
        </w:tc>
      </w:tr>
      <w:tr w:rsidR="00DB6128" w:rsidTr="00DB6128">
        <w:tc>
          <w:tcPr>
            <w:tcW w:w="4006" w:type="dxa"/>
          </w:tcPr>
          <w:p w:rsidR="00DB6128" w:rsidRDefault="00DB6128" w:rsidP="004A4E41">
            <w:pPr>
              <w:pStyle w:val="libFootnote0"/>
              <w:rPr>
                <w:rtl/>
              </w:rPr>
            </w:pPr>
            <w:r>
              <w:rPr>
                <w:rtl/>
              </w:rPr>
              <w:t>(5).</w:t>
            </w:r>
            <w:r w:rsidRPr="00C9040A">
              <w:rPr>
                <w:rtl/>
              </w:rPr>
              <w:t xml:space="preserve"> في « ف » : + « بأن »</w:t>
            </w:r>
            <w:r>
              <w:rPr>
                <w:rtl/>
              </w:rPr>
              <w:t>.</w:t>
            </w:r>
          </w:p>
        </w:tc>
        <w:tc>
          <w:tcPr>
            <w:tcW w:w="4006" w:type="dxa"/>
          </w:tcPr>
          <w:p w:rsidR="00DB6128" w:rsidRDefault="00DB6128" w:rsidP="004A4E41">
            <w:pPr>
              <w:pStyle w:val="libFootnote0"/>
              <w:rPr>
                <w:rtl/>
              </w:rPr>
            </w:pPr>
            <w:r>
              <w:rPr>
                <w:rtl/>
              </w:rPr>
              <w:t xml:space="preserve">(6). </w:t>
            </w:r>
            <w:r w:rsidRPr="00C9040A">
              <w:rPr>
                <w:rtl/>
              </w:rPr>
              <w:t>في حاشية « بر » : « اثنان »</w:t>
            </w:r>
            <w:r>
              <w:rPr>
                <w:rtl/>
              </w:rPr>
              <w:t>.</w:t>
            </w:r>
          </w:p>
        </w:tc>
      </w:tr>
    </w:tbl>
    <w:p w:rsidR="008A74EB" w:rsidRPr="00C9040A" w:rsidRDefault="006C577F" w:rsidP="004A4E41">
      <w:pPr>
        <w:pStyle w:val="libFootnote0"/>
        <w:rPr>
          <w:rtl/>
          <w:lang w:bidi="fa-IR"/>
        </w:rPr>
      </w:pPr>
      <w:r>
        <w:rPr>
          <w:rtl/>
        </w:rPr>
        <w:t>(7).</w:t>
      </w:r>
      <w:r w:rsidR="008A74EB" w:rsidRPr="00C9040A">
        <w:rPr>
          <w:rtl/>
        </w:rPr>
        <w:t xml:space="preserve"> في « ص » وحاشية « ض » : « بينهم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 بر » وحاشية « ز » والبحار : « وأفتديهما »</w:t>
      </w:r>
      <w:r w:rsidR="008A74EB">
        <w:rPr>
          <w:rtl/>
        </w:rPr>
        <w:t>.</w:t>
      </w:r>
      <w:r w:rsidR="008A74EB" w:rsidRPr="00C9040A">
        <w:rPr>
          <w:rtl/>
        </w:rPr>
        <w:t xml:space="preserve"> وفي الوسائل : « أفتدي بها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w:t>
      </w:r>
      <w:r w:rsidR="008A74EB" w:rsidRPr="00993B55">
        <w:rPr>
          <w:rStyle w:val="libFootnoteBoldChar"/>
          <w:rtl/>
        </w:rPr>
        <w:t>التهذيب</w:t>
      </w:r>
      <w:r w:rsidR="008A74EB" w:rsidRPr="00C9040A">
        <w:rPr>
          <w:rtl/>
        </w:rPr>
        <w:t xml:space="preserve"> ، ج 6 ، ص 312 ، ح 863 ، بسنده عن محمّد بن سنان ، عن أبي‌حنيفة السابق </w:t>
      </w:r>
      <w:r w:rsidR="00DB6128">
        <w:rPr>
          <w:rFonts w:hint="cs"/>
          <w:rtl/>
        </w:rPr>
        <w:t>.</w:t>
      </w:r>
      <w:r w:rsidR="008A74EB" w:rsidRPr="00993B55">
        <w:rPr>
          <w:rStyle w:val="libFootnoteBoldChar"/>
          <w:rtl/>
        </w:rPr>
        <w:t>الوافي</w:t>
      </w:r>
      <w:r w:rsidR="008A74EB" w:rsidRPr="00C9040A">
        <w:rPr>
          <w:rtl/>
        </w:rPr>
        <w:t xml:space="preserve"> ، ج 5 ، ص 539 ، ح 2534 ؛ </w:t>
      </w:r>
      <w:r w:rsidR="008A74EB" w:rsidRPr="00993B55">
        <w:rPr>
          <w:rStyle w:val="libFootnoteBoldChar"/>
          <w:rtl/>
        </w:rPr>
        <w:t>الوسائل</w:t>
      </w:r>
      <w:r w:rsidR="008A74EB" w:rsidRPr="00C9040A">
        <w:rPr>
          <w:rtl/>
        </w:rPr>
        <w:t xml:space="preserve"> ، ج 18 ، ص 440 ، ح 24003 ؛ </w:t>
      </w:r>
      <w:r w:rsidR="008A74EB" w:rsidRPr="00993B55">
        <w:rPr>
          <w:rStyle w:val="libFootnoteBoldChar"/>
          <w:rtl/>
        </w:rPr>
        <w:t>البحار</w:t>
      </w:r>
      <w:r w:rsidR="008A74EB" w:rsidRPr="00C9040A">
        <w:rPr>
          <w:rtl/>
        </w:rPr>
        <w:t xml:space="preserve"> ، ج 47 ، ص 57 ، ح 106 ؛ وج 76 ، ص 45 ، ح 9.</w:t>
      </w:r>
    </w:p>
    <w:p w:rsidR="008A74EB" w:rsidRPr="00C9040A" w:rsidRDefault="006C577F" w:rsidP="004A4E41">
      <w:pPr>
        <w:pStyle w:val="libFootnote0"/>
        <w:rPr>
          <w:rtl/>
          <w:lang w:bidi="fa-IR"/>
        </w:rPr>
      </w:pPr>
      <w:r>
        <w:rPr>
          <w:rtl/>
        </w:rPr>
        <w:t>(10).</w:t>
      </w:r>
      <w:r w:rsidR="008A74EB" w:rsidRPr="00C9040A">
        <w:rPr>
          <w:rtl/>
        </w:rPr>
        <w:t xml:space="preserve"> في « </w:t>
      </w:r>
      <w:r w:rsidR="006D3162">
        <w:rPr>
          <w:rtl/>
        </w:rPr>
        <w:t xml:space="preserve">ه </w:t>
      </w:r>
      <w:r w:rsidR="008A74EB" w:rsidRPr="00C9040A">
        <w:rPr>
          <w:rtl/>
        </w:rPr>
        <w:t>» وحاشية « د » والكافي ، ح 2701 : « بكذّاب »</w:t>
      </w:r>
      <w:r w:rsidR="008A74EB">
        <w:rPr>
          <w:rtl/>
        </w:rPr>
        <w:t>.</w:t>
      </w:r>
      <w:r w:rsidR="008A74EB" w:rsidRPr="00C9040A">
        <w:rPr>
          <w:rtl/>
        </w:rPr>
        <w:t xml:space="preserve"> وفي الوافي : « يعني أنّه إذا تكلّم بما لا يطابق الواقع فيما يتوقّف عليه الإصلاح ، لم يعدّ كلامه كذباً »</w:t>
      </w:r>
      <w:r w:rsidR="008A74EB">
        <w:rPr>
          <w:rtl/>
        </w:rPr>
        <w:t>.</w:t>
      </w:r>
    </w:p>
    <w:p w:rsidR="008A74EB" w:rsidRPr="00C9040A" w:rsidRDefault="006C577F" w:rsidP="007229A6">
      <w:pPr>
        <w:pStyle w:val="libFootnote0"/>
        <w:rPr>
          <w:rtl/>
          <w:lang w:bidi="fa-IR"/>
        </w:rPr>
      </w:pPr>
      <w:r>
        <w:rPr>
          <w:rtl/>
        </w:rPr>
        <w:t>(11).</w:t>
      </w:r>
      <w:r w:rsidR="008A74EB" w:rsidRPr="00C9040A">
        <w:rPr>
          <w:rtl/>
        </w:rPr>
        <w:t xml:space="preserve"> </w:t>
      </w:r>
      <w:r w:rsidR="008A74EB" w:rsidRPr="00993B55">
        <w:rPr>
          <w:rStyle w:val="libFootnoteBoldChar"/>
          <w:rtl/>
        </w:rPr>
        <w:t>الكافي</w:t>
      </w:r>
      <w:r w:rsidR="008A74EB" w:rsidRPr="00C9040A">
        <w:rPr>
          <w:rtl/>
        </w:rPr>
        <w:t xml:space="preserve"> ، كتاب الإيمان والكفر ، باب الكذب ، ح 2701 ، عن عدّة من أصحابنا ، عن أحمد بن محمّد بن خالد ، عن أبيه ، عن عبدالله بن المغيرة </w:t>
      </w:r>
      <w:r w:rsidR="007229A6">
        <w:rPr>
          <w:rFonts w:hint="cs"/>
          <w:rtl/>
        </w:rPr>
        <w:t>.</w:t>
      </w:r>
      <w:r w:rsidR="008A74EB" w:rsidRPr="00993B55">
        <w:rPr>
          <w:rStyle w:val="libFootnoteBoldChar"/>
          <w:rtl/>
        </w:rPr>
        <w:t>الوافي</w:t>
      </w:r>
      <w:r w:rsidR="008A74EB" w:rsidRPr="00C9040A">
        <w:rPr>
          <w:rtl/>
        </w:rPr>
        <w:t xml:space="preserve"> ، ج 5 ، ص 540 ، ح 2535 ؛ </w:t>
      </w:r>
      <w:r w:rsidR="008A74EB" w:rsidRPr="00993B55">
        <w:rPr>
          <w:rStyle w:val="libFootnoteBoldChar"/>
          <w:rtl/>
        </w:rPr>
        <w:t>الوسائل</w:t>
      </w:r>
      <w:r w:rsidR="008A74EB" w:rsidRPr="00C9040A">
        <w:rPr>
          <w:rtl/>
        </w:rPr>
        <w:t xml:space="preserve"> ، ج 18 ، ص 442 ، ح 24009 ؛ </w:t>
      </w:r>
      <w:r w:rsidR="008A74EB" w:rsidRPr="00993B55">
        <w:rPr>
          <w:rStyle w:val="libFootnoteBoldChar"/>
          <w:rtl/>
        </w:rPr>
        <w:t>البحار</w:t>
      </w:r>
      <w:r w:rsidR="008A74EB" w:rsidRPr="00C9040A">
        <w:rPr>
          <w:rtl/>
        </w:rPr>
        <w:t xml:space="preserve"> ، ج 76 ، ص 46 ، ح 10.</w:t>
      </w:r>
      <w:r w:rsidR="00B120D5">
        <w:rPr>
          <w:rFonts w:hint="cs"/>
          <w:rtl/>
        </w:rPr>
        <w:t xml:space="preserve">    </w:t>
      </w:r>
      <w:r w:rsidR="007229A6">
        <w:rPr>
          <w:rFonts w:hint="cs"/>
          <w:rtl/>
        </w:rPr>
        <w:t xml:space="preserve">   </w:t>
      </w:r>
      <w:r>
        <w:rPr>
          <w:rtl/>
        </w:rPr>
        <w:t>(12).</w:t>
      </w:r>
      <w:r w:rsidR="008A74EB" w:rsidRPr="00C9040A">
        <w:rPr>
          <w:rtl/>
        </w:rPr>
        <w:t xml:space="preserve"> البقرة </w:t>
      </w:r>
      <w:r w:rsidR="007229A6">
        <w:rPr>
          <w:rtl/>
        </w:rPr>
        <w:t>(2)</w:t>
      </w:r>
      <w:r w:rsidR="008A74EB" w:rsidRPr="00C9040A">
        <w:rPr>
          <w:rtl/>
        </w:rPr>
        <w:t xml:space="preserve"> : 224.</w:t>
      </w:r>
    </w:p>
    <w:tbl>
      <w:tblPr>
        <w:tblStyle w:val="TableGrid"/>
        <w:bidiVisual/>
        <w:tblW w:w="0" w:type="auto"/>
        <w:tblLook w:val="04A0" w:firstRow="1" w:lastRow="0" w:firstColumn="1" w:lastColumn="0" w:noHBand="0" w:noVBand="1"/>
      </w:tblPr>
      <w:tblGrid>
        <w:gridCol w:w="4006"/>
        <w:gridCol w:w="4006"/>
      </w:tblGrid>
      <w:tr w:rsidR="007229A6" w:rsidTr="007229A6">
        <w:tc>
          <w:tcPr>
            <w:tcW w:w="4006" w:type="dxa"/>
          </w:tcPr>
          <w:p w:rsidR="007229A6" w:rsidRDefault="007229A6" w:rsidP="004A4E41">
            <w:pPr>
              <w:pStyle w:val="libFootnote0"/>
              <w:rPr>
                <w:rtl/>
              </w:rPr>
            </w:pPr>
            <w:r>
              <w:rPr>
                <w:rtl/>
              </w:rPr>
              <w:t>(13)</w:t>
            </w:r>
            <w:r w:rsidRPr="00C9040A">
              <w:rPr>
                <w:rtl/>
              </w:rPr>
              <w:t xml:space="preserve"> في « </w:t>
            </w:r>
            <w:r>
              <w:rPr>
                <w:rtl/>
              </w:rPr>
              <w:t xml:space="preserve">ه </w:t>
            </w:r>
            <w:r w:rsidRPr="00C9040A">
              <w:rPr>
                <w:rtl/>
              </w:rPr>
              <w:t>» : « تصلح »</w:t>
            </w:r>
            <w:r>
              <w:rPr>
                <w:rtl/>
              </w:rPr>
              <w:t>.</w:t>
            </w:r>
          </w:p>
        </w:tc>
        <w:tc>
          <w:tcPr>
            <w:tcW w:w="4006" w:type="dxa"/>
          </w:tcPr>
          <w:p w:rsidR="007229A6" w:rsidRDefault="007229A6" w:rsidP="007229A6">
            <w:pPr>
              <w:pStyle w:val="libFootnote0"/>
              <w:rPr>
                <w:rtl/>
              </w:rPr>
            </w:pPr>
            <w:r>
              <w:rPr>
                <w:rtl/>
              </w:rPr>
              <w:t>(14)</w:t>
            </w:r>
            <w:r>
              <w:rPr>
                <w:rFonts w:hint="cs"/>
                <w:rtl/>
              </w:rPr>
              <w:t xml:space="preserve"> </w:t>
            </w:r>
            <w:r>
              <w:rPr>
                <w:rtl/>
              </w:rPr>
              <w:t>في «ب»:«بين اثنين لصلح</w:t>
            </w:r>
            <w:r w:rsidRPr="00C9040A">
              <w:rPr>
                <w:rtl/>
              </w:rPr>
              <w:t>»</w:t>
            </w:r>
            <w:r>
              <w:rPr>
                <w:rtl/>
              </w:rPr>
              <w:t>.وفي «ج»</w:t>
            </w:r>
            <w:r w:rsidRPr="00C9040A">
              <w:rPr>
                <w:rtl/>
              </w:rPr>
              <w:t>: «</w:t>
            </w:r>
            <w:r>
              <w:rPr>
                <w:rtl/>
              </w:rPr>
              <w:t>اثنتين</w:t>
            </w:r>
            <w:r w:rsidRPr="00C9040A">
              <w:rPr>
                <w:rtl/>
              </w:rPr>
              <w:t>»</w:t>
            </w:r>
            <w:r>
              <w:rPr>
                <w:rtl/>
              </w:rPr>
              <w:t>.</w:t>
            </w:r>
          </w:p>
        </w:tc>
      </w:tr>
    </w:tbl>
    <w:p w:rsidR="004B7F34" w:rsidRDefault="004B7F34" w:rsidP="004B7F34">
      <w:pPr>
        <w:pStyle w:val="libNormal"/>
        <w:rPr>
          <w:rtl/>
          <w:lang w:bidi="fa-IR"/>
        </w:rPr>
      </w:pPr>
      <w:r>
        <w:rPr>
          <w:rtl/>
          <w:lang w:bidi="fa-IR"/>
        </w:rPr>
        <w:br w:type="page"/>
      </w:r>
    </w:p>
    <w:p w:rsidR="008A74EB" w:rsidRPr="00C9040A" w:rsidRDefault="007229A6" w:rsidP="008A74EB">
      <w:pPr>
        <w:pStyle w:val="libNormal0"/>
        <w:rPr>
          <w:rtl/>
          <w:lang w:bidi="fa-IR"/>
        </w:rPr>
      </w:pPr>
      <w:r>
        <w:rPr>
          <w:rtl/>
          <w:lang w:bidi="fa-IR"/>
        </w:rPr>
        <w:t>يَمِينٌ أَل</w:t>
      </w:r>
      <w:r>
        <w:rPr>
          <w:rFonts w:hint="cs"/>
          <w:rtl/>
          <w:lang w:bidi="fa-IR"/>
        </w:rPr>
        <w:t>َّ</w:t>
      </w:r>
      <w:r>
        <w:rPr>
          <w:rtl/>
          <w:lang w:bidi="fa-IR"/>
        </w:rPr>
        <w:t>ا</w:t>
      </w:r>
      <w:r w:rsidR="008A74EB" w:rsidRPr="00C9040A">
        <w:rPr>
          <w:rtl/>
          <w:lang w:bidi="fa-IR"/>
        </w:rPr>
        <w:t xml:space="preserve"> أَفْعَلَ </w:t>
      </w:r>
      <w:r w:rsidR="006C577F" w:rsidRPr="006C577F">
        <w:rPr>
          <w:rStyle w:val="libFootnotenumChar"/>
          <w:rtl/>
        </w:rPr>
        <w:t>(1)</w:t>
      </w:r>
      <w:r w:rsidR="008A74EB" w:rsidRPr="00C9040A">
        <w:rPr>
          <w:rtl/>
          <w:lang w:bidi="fa-IR"/>
        </w:rPr>
        <w:t xml:space="preserve"> »</w:t>
      </w:r>
      <w:r w:rsidR="008A74EB">
        <w:rPr>
          <w:rtl/>
          <w:lang w:bidi="fa-IR"/>
        </w:rPr>
        <w:t>.</w:t>
      </w:r>
      <w:r w:rsidR="008A74EB" w:rsidRPr="00C9040A">
        <w:rPr>
          <w:rtl/>
          <w:lang w:bidi="fa-IR"/>
        </w:rPr>
        <w:t xml:space="preserve"> </w:t>
      </w:r>
      <w:r w:rsidR="006C577F" w:rsidRPr="006C577F">
        <w:rPr>
          <w:rStyle w:val="libFootnotenumChar"/>
          <w:rtl/>
        </w:rPr>
        <w:t>(2)</w:t>
      </w:r>
    </w:p>
    <w:p w:rsidR="008A74EB" w:rsidRPr="00C9040A" w:rsidRDefault="008A74EB" w:rsidP="008A74EB">
      <w:pPr>
        <w:pStyle w:val="libNormal"/>
        <w:rPr>
          <w:rtl/>
          <w:lang w:bidi="fa-IR"/>
        </w:rPr>
      </w:pPr>
      <w:r w:rsidRPr="00220D3B">
        <w:rPr>
          <w:rtl/>
        </w:rPr>
        <w:t>2221</w:t>
      </w:r>
      <w:r w:rsidRPr="00261CB0">
        <w:rPr>
          <w:rStyle w:val="libBold2Char"/>
          <w:rtl/>
        </w:rPr>
        <w:t xml:space="preserve"> / 7.</w:t>
      </w:r>
      <w:r w:rsidRPr="00C9040A">
        <w:rPr>
          <w:rtl/>
          <w:lang w:bidi="fa-IR"/>
        </w:rPr>
        <w:t xml:space="preserve"> عِدَّةٌ مِنْ أَصْحَابِنَا ، عَنْ أَحْمَدَ بْنِ مُحَمَّدِ بْنِ خَالِدٍ ، عَنِ ابْنِ مَحْبُوبٍ ، عَنْ مُعَاوِيَةَ بْنِ وَهْبٍ</w:t>
      </w:r>
      <w:r>
        <w:rPr>
          <w:rtl/>
          <w:lang w:bidi="fa-IR"/>
        </w:rPr>
        <w:t xml:space="preserve"> </w:t>
      </w:r>
      <w:r w:rsidR="0084262C">
        <w:rPr>
          <w:rtl/>
          <w:lang w:bidi="fa-IR"/>
        </w:rPr>
        <w:t>-</w:t>
      </w:r>
      <w:r>
        <w:rPr>
          <w:rtl/>
          <w:lang w:bidi="fa-IR"/>
        </w:rPr>
        <w:t xml:space="preserve"> </w:t>
      </w:r>
      <w:r w:rsidRPr="00C9040A">
        <w:rPr>
          <w:rtl/>
          <w:lang w:bidi="fa-IR"/>
        </w:rPr>
        <w:t xml:space="preserve">أَوْ مُعَاوِيَةَ بْنِ عَمَّارٍ </w:t>
      </w:r>
      <w:r w:rsidR="0084262C">
        <w:rPr>
          <w:rtl/>
          <w:lang w:bidi="fa-IR"/>
        </w:rPr>
        <w:t>-</w:t>
      </w:r>
      <w:r>
        <w:rPr>
          <w:rtl/>
          <w:lang w:bidi="fa-IR"/>
        </w:rPr>
        <w:t xml:space="preserve">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قَالَ </w:t>
      </w:r>
      <w:r w:rsidR="006C577F" w:rsidRPr="006C577F">
        <w:rPr>
          <w:rStyle w:val="libFootnotenumChar"/>
          <w:rtl/>
        </w:rPr>
        <w:t>(3)</w:t>
      </w:r>
      <w:r w:rsidRPr="00C9040A">
        <w:rPr>
          <w:rtl/>
          <w:lang w:bidi="fa-IR"/>
        </w:rPr>
        <w:t xml:space="preserve"> : « أَبْلِغْ عَنِّي كَذَا وَكَذَا » فِي أَشْيَاءَ أَمَرَ </w:t>
      </w:r>
      <w:r w:rsidR="006C577F" w:rsidRPr="006C577F">
        <w:rPr>
          <w:rStyle w:val="libFootnotenumChar"/>
          <w:rtl/>
        </w:rPr>
        <w:t>(4)</w:t>
      </w:r>
      <w:r w:rsidRPr="00C9040A">
        <w:rPr>
          <w:rtl/>
          <w:lang w:bidi="fa-IR"/>
        </w:rPr>
        <w:t xml:space="preserve"> بِهَا. قُلْتُ :</w:t>
      </w:r>
      <w:r>
        <w:rPr>
          <w:rFonts w:hint="cs"/>
          <w:rtl/>
          <w:lang w:bidi="fa-IR"/>
        </w:rPr>
        <w:t xml:space="preserve"> </w:t>
      </w:r>
      <w:r w:rsidRPr="00C9040A">
        <w:rPr>
          <w:rtl/>
          <w:lang w:bidi="fa-IR"/>
        </w:rPr>
        <w:t xml:space="preserve">فَأُبَلِّغُهُمْ عَنْكَ وَأَقُولُ عَنِّي </w:t>
      </w:r>
      <w:r w:rsidR="006C577F" w:rsidRPr="006C577F">
        <w:rPr>
          <w:rStyle w:val="libFootnotenumChar"/>
          <w:rtl/>
        </w:rPr>
        <w:t>(5)</w:t>
      </w:r>
      <w:r w:rsidRPr="00C9040A">
        <w:rPr>
          <w:rtl/>
          <w:lang w:bidi="fa-IR"/>
        </w:rPr>
        <w:t xml:space="preserve"> مَا قُلْتَ لِي وَغَيْرَ الَّذِي قُلْتَ</w:t>
      </w:r>
      <w:r>
        <w:rPr>
          <w:rtl/>
          <w:lang w:bidi="fa-IR"/>
        </w:rPr>
        <w:t>؟</w:t>
      </w:r>
    </w:p>
    <w:p w:rsidR="008A74EB" w:rsidRPr="00C9040A" w:rsidRDefault="008A74EB" w:rsidP="008A74EB">
      <w:pPr>
        <w:pStyle w:val="libNormal"/>
        <w:rPr>
          <w:rtl/>
          <w:lang w:bidi="fa-IR"/>
        </w:rPr>
      </w:pPr>
      <w:r w:rsidRPr="00C9040A">
        <w:rPr>
          <w:rtl/>
          <w:lang w:bidi="fa-IR"/>
        </w:rPr>
        <w:t xml:space="preserve">قَالَ : « نَعَمْ ، إِنَّ </w:t>
      </w:r>
      <w:r w:rsidR="006C577F" w:rsidRPr="006C577F">
        <w:rPr>
          <w:rStyle w:val="libFootnotenumChar"/>
          <w:rtl/>
        </w:rPr>
        <w:t>(6)</w:t>
      </w:r>
      <w:r w:rsidRPr="005B567D">
        <w:rPr>
          <w:rStyle w:val="libFootnotenumChar"/>
          <w:rtl/>
        </w:rPr>
        <w:t xml:space="preserve"> </w:t>
      </w:r>
      <w:r w:rsidRPr="00C9040A">
        <w:rPr>
          <w:rtl/>
          <w:lang w:bidi="fa-IR"/>
        </w:rPr>
        <w:t xml:space="preserve">الْمُصْلِحَ لَيْسَ بِكَذَّابٍ ، إِنَّمَا هُوَ الصُّلْحُ لَيْسَ بِكَذِبٍ </w:t>
      </w:r>
      <w:r w:rsidR="006C577F" w:rsidRPr="006C577F">
        <w:rPr>
          <w:rStyle w:val="libFootnotenumChar"/>
          <w:rtl/>
        </w:rPr>
        <w:t>(7)</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Heading2Center"/>
        <w:rPr>
          <w:rtl/>
          <w:lang w:bidi="fa-IR"/>
        </w:rPr>
      </w:pPr>
      <w:bookmarkStart w:id="286" w:name="_Toc343795683"/>
      <w:bookmarkStart w:id="287" w:name="_Toc459810807"/>
      <w:bookmarkStart w:id="288" w:name="_Toc35348713"/>
      <w:r w:rsidRPr="00C9040A">
        <w:rPr>
          <w:rtl/>
          <w:lang w:bidi="fa-IR"/>
        </w:rPr>
        <w:t>92</w:t>
      </w:r>
      <w:r>
        <w:rPr>
          <w:rtl/>
          <w:lang w:bidi="fa-IR"/>
        </w:rPr>
        <w:t xml:space="preserve"> </w:t>
      </w:r>
      <w:r w:rsidR="0084262C">
        <w:rPr>
          <w:rtl/>
          <w:lang w:bidi="fa-IR"/>
        </w:rPr>
        <w:t>-</w:t>
      </w:r>
      <w:r>
        <w:rPr>
          <w:rtl/>
          <w:lang w:bidi="fa-IR"/>
        </w:rPr>
        <w:t xml:space="preserve"> </w:t>
      </w:r>
      <w:r w:rsidRPr="00C9040A">
        <w:rPr>
          <w:rtl/>
          <w:lang w:bidi="fa-IR"/>
        </w:rPr>
        <w:t>بَابٌ فِي إِحْيَاءِ الْمُؤْمِنِ‌</w:t>
      </w:r>
      <w:bookmarkEnd w:id="286"/>
      <w:bookmarkEnd w:id="287"/>
      <w:bookmarkEnd w:id="288"/>
    </w:p>
    <w:p w:rsidR="008A74EB" w:rsidRPr="00C9040A" w:rsidRDefault="008A74EB" w:rsidP="008A74EB">
      <w:pPr>
        <w:pStyle w:val="libNormal"/>
        <w:rPr>
          <w:rtl/>
          <w:lang w:bidi="fa-IR"/>
        </w:rPr>
      </w:pPr>
      <w:r w:rsidRPr="00220D3B">
        <w:rPr>
          <w:rtl/>
        </w:rPr>
        <w:t>2222</w:t>
      </w:r>
      <w:r w:rsidRPr="00261CB0">
        <w:rPr>
          <w:rStyle w:val="libBold2Char"/>
          <w:rtl/>
        </w:rPr>
        <w:t xml:space="preserve"> / 1.</w:t>
      </w:r>
      <w:r w:rsidRPr="00C9040A">
        <w:rPr>
          <w:rtl/>
          <w:lang w:bidi="fa-IR"/>
        </w:rPr>
        <w:t xml:space="preserve"> عِدَّةٌ مِنْ أَصْحَابِنَا ، عَنْ أَحْمَدَ بْنِ مُحَمَّدِ بْنِ خَالِدٍ ، عَنْ عُثْمَانَ بْنِ عِيسى ، عَنْ سَمَاعَةَ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قُلْتُ لَهُ : قَوْلُ اللهِ عَزَّ وَجَلَّ : </w:t>
      </w:r>
      <w:r w:rsidRPr="0003660B">
        <w:rPr>
          <w:rStyle w:val="libAlaemChar"/>
          <w:rtl/>
        </w:rPr>
        <w:t>(</w:t>
      </w:r>
      <w:r w:rsidRPr="006A2246">
        <w:rPr>
          <w:rStyle w:val="libAieChar"/>
          <w:rtl/>
        </w:rPr>
        <w:t xml:space="preserve"> مَنْ قَتَلَ نَفْساً بِغَيْرِ نَفْسٍ أَوْ فَسادٍ فِي الْأَرْضِ</w:t>
      </w:r>
      <w:r>
        <w:rPr>
          <w:rFonts w:hint="cs"/>
          <w:rtl/>
        </w:rPr>
        <w:t xml:space="preserve"> </w:t>
      </w:r>
      <w:r w:rsidR="006C577F" w:rsidRPr="006C577F">
        <w:rPr>
          <w:rStyle w:val="libFootnotenumChar"/>
          <w:rtl/>
        </w:rPr>
        <w:t>(9)</w:t>
      </w:r>
      <w:r>
        <w:rPr>
          <w:rFonts w:hint="cs"/>
          <w:rtl/>
        </w:rPr>
        <w:t xml:space="preserve"> </w:t>
      </w:r>
      <w:r w:rsidRPr="006A2246">
        <w:rPr>
          <w:rStyle w:val="libAieChar"/>
          <w:rtl/>
        </w:rPr>
        <w:t>فَكَأَنَّما قَتَلَ النّاسَ جَمِيعاً وَمَنْ أَحْياها فَكَأَنَّما أَحْيَا النّاسَ</w:t>
      </w:r>
      <w:r w:rsidRPr="00C9040A">
        <w:rPr>
          <w:rtl/>
          <w:lang w:bidi="fa-IR"/>
        </w:rPr>
        <w:t>‌</w:t>
      </w:r>
      <w:r w:rsidR="007229A6">
        <w:rPr>
          <w:rFonts w:hint="cs"/>
          <w:rtl/>
          <w:lang w:bidi="fa-IR"/>
        </w:rPr>
        <w:t>.......</w:t>
      </w:r>
      <w:r w:rsidR="007229A6">
        <w:rPr>
          <w:rFonts w:hint="cs"/>
          <w:rtl/>
          <w:lang w:bidi="fa-IR"/>
        </w:rPr>
        <w:tab/>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w:t>
      </w:r>
      <w:r w:rsidR="008A74EB" w:rsidRPr="00993B55">
        <w:rPr>
          <w:rStyle w:val="libFootnoteBoldChar"/>
          <w:rtl/>
        </w:rPr>
        <w:t>الوافي</w:t>
      </w:r>
      <w:r w:rsidR="008A74EB" w:rsidRPr="00C9040A">
        <w:rPr>
          <w:rtl/>
        </w:rPr>
        <w:t xml:space="preserve"> </w:t>
      </w:r>
      <w:r w:rsidR="007229A6">
        <w:rPr>
          <w:rtl/>
        </w:rPr>
        <w:t>: « يعني لاتقل : حلفت بالله أل</w:t>
      </w:r>
      <w:r w:rsidR="007229A6">
        <w:rPr>
          <w:rFonts w:hint="cs"/>
          <w:rtl/>
        </w:rPr>
        <w:t>ّ</w:t>
      </w:r>
      <w:r w:rsidR="007229A6">
        <w:rPr>
          <w:rtl/>
        </w:rPr>
        <w:t>ا</w:t>
      </w:r>
      <w:r w:rsidR="008A74EB" w:rsidRPr="00C9040A">
        <w:rPr>
          <w:rtl/>
        </w:rPr>
        <w:t xml:space="preserve"> ا</w:t>
      </w:r>
      <w:r w:rsidR="007229A6">
        <w:rPr>
          <w:rFonts w:hint="cs"/>
          <w:rtl/>
        </w:rPr>
        <w:t>ُ</w:t>
      </w:r>
      <w:r w:rsidR="008A74EB" w:rsidRPr="00C9040A">
        <w:rPr>
          <w:rtl/>
        </w:rPr>
        <w:t>صلح بين الناس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التهذيب</w:t>
      </w:r>
      <w:r w:rsidR="008A74EB" w:rsidRPr="00C9040A">
        <w:rPr>
          <w:rtl/>
        </w:rPr>
        <w:t xml:space="preserve"> ، ج 8 ، ص 289 ، ح 1066 ، معلّقاً عن الحسين بن سعيد ، عن ابن أبي‌نجران ، عن ابن أبي‌عمير. </w:t>
      </w:r>
      <w:r w:rsidR="008A74EB" w:rsidRPr="00993B55">
        <w:rPr>
          <w:rStyle w:val="libFootnoteBoldChar"/>
          <w:rtl/>
        </w:rPr>
        <w:t>تفسير العيّاشي</w:t>
      </w:r>
      <w:r w:rsidR="008A74EB" w:rsidRPr="00C9040A">
        <w:rPr>
          <w:rtl/>
        </w:rPr>
        <w:t xml:space="preserve"> ، ج 1 ، ص 112 ، ح 340 ، عن أيّوب ، مع اختلاف يسير وزيادة </w:t>
      </w:r>
      <w:r w:rsidR="007229A6">
        <w:rPr>
          <w:rFonts w:hint="cs"/>
          <w:rtl/>
        </w:rPr>
        <w:t>.</w:t>
      </w:r>
      <w:r w:rsidR="008A74EB" w:rsidRPr="00993B55">
        <w:rPr>
          <w:rStyle w:val="libFootnoteBoldChar"/>
          <w:rtl/>
        </w:rPr>
        <w:t>الوافي</w:t>
      </w:r>
      <w:r w:rsidR="008A74EB" w:rsidRPr="00C9040A">
        <w:rPr>
          <w:rtl/>
        </w:rPr>
        <w:t xml:space="preserve"> ، ج 5 ، ص 540 ، ح 2537 ؛ </w:t>
      </w:r>
      <w:r w:rsidR="008A74EB" w:rsidRPr="00993B55">
        <w:rPr>
          <w:rStyle w:val="libFootnoteBoldChar"/>
          <w:rtl/>
        </w:rPr>
        <w:t>الوسائل</w:t>
      </w:r>
      <w:r w:rsidR="008A74EB" w:rsidRPr="00C9040A">
        <w:rPr>
          <w:rtl/>
        </w:rPr>
        <w:t xml:space="preserve"> ، ج 18 ، ص 440 ، ح 24004 ؛ </w:t>
      </w:r>
      <w:r w:rsidR="008A74EB" w:rsidRPr="00993B55">
        <w:rPr>
          <w:rStyle w:val="libFootnoteBoldChar"/>
          <w:rtl/>
        </w:rPr>
        <w:t>البحار</w:t>
      </w:r>
      <w:r w:rsidR="008A74EB" w:rsidRPr="00C9040A">
        <w:rPr>
          <w:rtl/>
        </w:rPr>
        <w:t xml:space="preserve"> ، ج 76 ، ص 46 ، ح 11.</w:t>
      </w:r>
    </w:p>
    <w:tbl>
      <w:tblPr>
        <w:tblStyle w:val="TableGrid"/>
        <w:bidiVisual/>
        <w:tblW w:w="0" w:type="auto"/>
        <w:tblLook w:val="04A0" w:firstRow="1" w:lastRow="0" w:firstColumn="1" w:lastColumn="0" w:noHBand="0" w:noVBand="1"/>
      </w:tblPr>
      <w:tblGrid>
        <w:gridCol w:w="4006"/>
        <w:gridCol w:w="4006"/>
      </w:tblGrid>
      <w:tr w:rsidR="007229A6" w:rsidTr="007229A6">
        <w:tc>
          <w:tcPr>
            <w:tcW w:w="4006" w:type="dxa"/>
          </w:tcPr>
          <w:p w:rsidR="007229A6" w:rsidRDefault="007229A6" w:rsidP="007229A6">
            <w:pPr>
              <w:pStyle w:val="libFootnote0"/>
              <w:rPr>
                <w:rtl/>
              </w:rPr>
            </w:pPr>
            <w:r>
              <w:rPr>
                <w:rtl/>
              </w:rPr>
              <w:t>(3). في «ه</w:t>
            </w:r>
            <w:r w:rsidRPr="00C9040A">
              <w:rPr>
                <w:rtl/>
              </w:rPr>
              <w:t>» : + «</w:t>
            </w:r>
            <w:r>
              <w:rPr>
                <w:rtl/>
              </w:rPr>
              <w:t>له</w:t>
            </w:r>
            <w:r w:rsidRPr="00C9040A">
              <w:rPr>
                <w:rtl/>
              </w:rPr>
              <w:t>»</w:t>
            </w:r>
            <w:r>
              <w:rPr>
                <w:rtl/>
              </w:rPr>
              <w:t>.</w:t>
            </w:r>
            <w:r w:rsidRPr="00C9040A">
              <w:rPr>
                <w:rtl/>
              </w:rPr>
              <w:t xml:space="preserve"> وفي الوسائل </w:t>
            </w:r>
            <w:r>
              <w:rPr>
                <w:rtl/>
              </w:rPr>
              <w:t>: - «قال</w:t>
            </w:r>
            <w:r w:rsidRPr="00C9040A">
              <w:rPr>
                <w:rtl/>
              </w:rPr>
              <w:t>»</w:t>
            </w:r>
            <w:r>
              <w:rPr>
                <w:rtl/>
              </w:rPr>
              <w:t>.</w:t>
            </w:r>
          </w:p>
        </w:tc>
        <w:tc>
          <w:tcPr>
            <w:tcW w:w="4006" w:type="dxa"/>
          </w:tcPr>
          <w:p w:rsidR="007229A6" w:rsidRDefault="007229A6" w:rsidP="004A4E41">
            <w:pPr>
              <w:pStyle w:val="libFootnote0"/>
              <w:rPr>
                <w:rtl/>
              </w:rPr>
            </w:pPr>
            <w:r>
              <w:rPr>
                <w:rtl/>
              </w:rPr>
              <w:t>(4).</w:t>
            </w:r>
            <w:r w:rsidRPr="00C9040A">
              <w:rPr>
                <w:rtl/>
              </w:rPr>
              <w:t xml:space="preserve"> في « ب » : « آمر »</w:t>
            </w:r>
            <w:r>
              <w:rPr>
                <w:rtl/>
              </w:rPr>
              <w:t>.</w:t>
            </w:r>
          </w:p>
        </w:tc>
      </w:tr>
    </w:tbl>
    <w:p w:rsidR="008A74EB" w:rsidRPr="00C9040A" w:rsidRDefault="006C577F" w:rsidP="004A4E41">
      <w:pPr>
        <w:pStyle w:val="libFootnote0"/>
        <w:rPr>
          <w:rtl/>
          <w:lang w:bidi="fa-IR"/>
        </w:rPr>
      </w:pPr>
      <w:r>
        <w:rPr>
          <w:rtl/>
        </w:rPr>
        <w:t>(5).</w:t>
      </w:r>
      <w:r w:rsidR="008A74EB" w:rsidRPr="00C9040A">
        <w:rPr>
          <w:rtl/>
        </w:rPr>
        <w:t xml:space="preserve"> في « ب » : « عنك </w:t>
      </w:r>
      <w:r w:rsidR="008A74EB">
        <w:rPr>
          <w:rtl/>
        </w:rPr>
        <w:t>و ».</w:t>
      </w:r>
      <w:r w:rsidR="008A74EB" w:rsidRPr="00C9040A">
        <w:rPr>
          <w:rtl/>
        </w:rPr>
        <w:t xml:space="preserve"> وفي حاشية « ض » : « عنك »</w:t>
      </w:r>
      <w:r w:rsidR="008A74EB">
        <w:rPr>
          <w:rtl/>
        </w:rPr>
        <w:t>.</w:t>
      </w:r>
      <w:r w:rsidR="008A74EB" w:rsidRPr="00C9040A">
        <w:rPr>
          <w:rtl/>
        </w:rPr>
        <w:t xml:space="preserve"> وفي الوسائل : « على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ب » : « إنّما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ب » والوسائل </w:t>
      </w:r>
      <w:r w:rsidR="008A74EB">
        <w:rPr>
          <w:rtl/>
        </w:rPr>
        <w:t xml:space="preserve">: </w:t>
      </w:r>
      <w:r w:rsidR="0084262C">
        <w:rPr>
          <w:rtl/>
        </w:rPr>
        <w:t>-</w:t>
      </w:r>
      <w:r w:rsidR="008A74EB" w:rsidRPr="00C9040A">
        <w:rPr>
          <w:rtl/>
        </w:rPr>
        <w:t xml:space="preserve"> « إنّما هو الصلح ليس بكذب »</w:t>
      </w:r>
      <w:r w:rsidR="008A74EB">
        <w:rPr>
          <w:rtl/>
        </w:rPr>
        <w:t>.</w:t>
      </w:r>
      <w:r w:rsidR="008A74EB" w:rsidRPr="00C9040A">
        <w:rPr>
          <w:rtl/>
        </w:rPr>
        <w:t xml:space="preserve"> وفي « ص ، ف ، بس » : « إنّما هو المصلح ليس يكذب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 ذهب بعض الأصحاب إلى وجوب التورية في هذه المقامات ليخرج عن الكذب ، كأن ينوي بقوله : قال كذا ، رضي بهذا القول ، ومثل ذلك ؛ وهو أحوط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w:t>
      </w:r>
      <w:r w:rsidR="008A74EB" w:rsidRPr="00993B55">
        <w:rPr>
          <w:rStyle w:val="libFootnoteBoldChar"/>
          <w:rtl/>
        </w:rPr>
        <w:t>الوافي</w:t>
      </w:r>
      <w:r w:rsidR="008A74EB" w:rsidRPr="00C9040A">
        <w:rPr>
          <w:rtl/>
        </w:rPr>
        <w:t xml:space="preserve"> ، ج 5 ، ص 540 ، ح 2536 ؛ </w:t>
      </w:r>
      <w:r w:rsidR="008A74EB" w:rsidRPr="00993B55">
        <w:rPr>
          <w:rStyle w:val="libFootnoteBoldChar"/>
          <w:rtl/>
        </w:rPr>
        <w:t>الوسائل</w:t>
      </w:r>
      <w:r w:rsidR="008A74EB" w:rsidRPr="00C9040A">
        <w:rPr>
          <w:rtl/>
        </w:rPr>
        <w:t xml:space="preserve"> ، ج 18 ، ص 442 ، ح 24008 ؛ </w:t>
      </w:r>
      <w:r w:rsidR="008A74EB" w:rsidRPr="00993B55">
        <w:rPr>
          <w:rStyle w:val="libFootnoteBoldChar"/>
          <w:rtl/>
        </w:rPr>
        <w:t>البحار</w:t>
      </w:r>
      <w:r w:rsidR="008A74EB" w:rsidRPr="00C9040A">
        <w:rPr>
          <w:rtl/>
        </w:rPr>
        <w:t xml:space="preserve"> ، ج 76 ، ص 48 ، ح 12.</w:t>
      </w:r>
    </w:p>
    <w:p w:rsidR="008A74EB" w:rsidRPr="00C9040A" w:rsidRDefault="006C577F" w:rsidP="004A4E41">
      <w:pPr>
        <w:pStyle w:val="libFootnote0"/>
        <w:rPr>
          <w:rtl/>
          <w:lang w:bidi="fa-IR"/>
        </w:rPr>
      </w:pPr>
      <w:r>
        <w:rPr>
          <w:rtl/>
        </w:rPr>
        <w:t>(9).</w:t>
      </w:r>
      <w:r w:rsidR="008A74EB" w:rsidRPr="00C9040A">
        <w:rPr>
          <w:rtl/>
        </w:rPr>
        <w:t xml:space="preserve"> هكذا في القرآن </w:t>
      </w:r>
      <w:r w:rsidR="008A74EB">
        <w:rPr>
          <w:rtl/>
        </w:rPr>
        <w:t>و «</w:t>
      </w:r>
      <w:r w:rsidR="008A74EB" w:rsidRPr="00C9040A">
        <w:rPr>
          <w:rtl/>
        </w:rPr>
        <w:t xml:space="preserve"> ض ، بر » والوسائل والمحاسن وتفسير العيّاشي ، ح 85 والأمالي. وفي « ف » </w:t>
      </w:r>
      <w:r w:rsidR="007229A6">
        <w:rPr>
          <w:rtl/>
        </w:rPr>
        <w:t>:</w:t>
      </w:r>
      <w:r w:rsidR="007229A6">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6A2246">
        <w:rPr>
          <w:rStyle w:val="libAieChar"/>
          <w:rtl/>
        </w:rPr>
        <w:t xml:space="preserve">جَمِيعاً </w:t>
      </w:r>
      <w:r w:rsidRPr="0003660B">
        <w:rPr>
          <w:rStyle w:val="libAlaemChar"/>
          <w:rtl/>
        </w:rPr>
        <w:t>)</w:t>
      </w:r>
      <w:r w:rsidRPr="00C9040A">
        <w:rPr>
          <w:rtl/>
          <w:lang w:bidi="fa-IR"/>
        </w:rPr>
        <w:t xml:space="preserve"> </w:t>
      </w:r>
      <w:r w:rsidR="006C577F" w:rsidRPr="006C577F">
        <w:rPr>
          <w:rStyle w:val="libFootnotenumChar"/>
          <w:rtl/>
        </w:rPr>
        <w:t>(1)</w:t>
      </w:r>
      <w:r>
        <w:rPr>
          <w:rtl/>
          <w:lang w:bidi="fa-IR"/>
        </w:rPr>
        <w:t>؟</w:t>
      </w:r>
    </w:p>
    <w:p w:rsidR="008A74EB" w:rsidRPr="00C9040A" w:rsidRDefault="008A74EB" w:rsidP="008A74EB">
      <w:pPr>
        <w:pStyle w:val="libNormal"/>
        <w:rPr>
          <w:rtl/>
          <w:lang w:bidi="fa-IR"/>
        </w:rPr>
      </w:pPr>
      <w:r w:rsidRPr="00C9040A">
        <w:rPr>
          <w:rtl/>
          <w:lang w:bidi="fa-IR"/>
        </w:rPr>
        <w:t xml:space="preserve">قَالَ </w:t>
      </w:r>
      <w:r w:rsidR="006C577F" w:rsidRPr="006C577F">
        <w:rPr>
          <w:rStyle w:val="libFootnotenumChar"/>
          <w:rtl/>
        </w:rPr>
        <w:t>(2)</w:t>
      </w:r>
      <w:r w:rsidRPr="00C9040A">
        <w:rPr>
          <w:rtl/>
          <w:lang w:bidi="fa-IR"/>
        </w:rPr>
        <w:t xml:space="preserve"> : « مَنْ أَخْرَجَهَا مِنْ ضَلَالٍ </w:t>
      </w:r>
      <w:r w:rsidR="006C577F" w:rsidRPr="006C577F">
        <w:rPr>
          <w:rStyle w:val="libFootnotenumChar"/>
          <w:rtl/>
        </w:rPr>
        <w:t>(3)</w:t>
      </w:r>
      <w:r w:rsidRPr="00C9040A">
        <w:rPr>
          <w:rtl/>
          <w:lang w:bidi="fa-IR"/>
        </w:rPr>
        <w:t xml:space="preserve"> إِلى هُدًى فَكَأَنَّمَا </w:t>
      </w:r>
      <w:r w:rsidR="006C577F" w:rsidRPr="006C577F">
        <w:rPr>
          <w:rStyle w:val="libFootnotenumChar"/>
          <w:rtl/>
        </w:rPr>
        <w:t>(4)</w:t>
      </w:r>
      <w:r w:rsidRPr="00C9040A">
        <w:rPr>
          <w:rtl/>
          <w:lang w:bidi="fa-IR"/>
        </w:rPr>
        <w:t xml:space="preserve"> أَحْيَاهَا ، وَمَنْ أَخْرَجَهَا مِنْ هُدًى إِلى ضَلَالٍ فَقَدْ قَتَلَهَا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220D3B">
        <w:rPr>
          <w:rtl/>
        </w:rPr>
        <w:t>2223</w:t>
      </w:r>
      <w:r w:rsidRPr="00261CB0">
        <w:rPr>
          <w:rStyle w:val="libBold2Char"/>
          <w:rtl/>
        </w:rPr>
        <w:t xml:space="preserve"> / 2.</w:t>
      </w:r>
      <w:r w:rsidRPr="00C9040A">
        <w:rPr>
          <w:rtl/>
          <w:lang w:bidi="fa-IR"/>
        </w:rPr>
        <w:t xml:space="preserve"> عَنْهُ </w:t>
      </w:r>
      <w:r w:rsidR="006C577F" w:rsidRPr="006C577F">
        <w:rPr>
          <w:rStyle w:val="libFootnotenumChar"/>
          <w:rtl/>
        </w:rPr>
        <w:t>(6)</w:t>
      </w:r>
      <w:r w:rsidRPr="005B567D">
        <w:rPr>
          <w:rStyle w:val="libFootnotenumChar"/>
          <w:rtl/>
        </w:rPr>
        <w:t xml:space="preserve"> </w:t>
      </w:r>
      <w:r w:rsidRPr="00C9040A">
        <w:rPr>
          <w:rtl/>
          <w:lang w:bidi="fa-IR"/>
        </w:rPr>
        <w:t>، عَنْ عَلِيِّ بْنِ الْحَكَمِ ، عَنْ أَبَانِ بْنِ عُثْمَانَ ، عَن</w:t>
      </w:r>
      <w:r w:rsidR="007229A6">
        <w:rPr>
          <w:rtl/>
          <w:lang w:bidi="fa-IR"/>
        </w:rPr>
        <w:t>ْ فُضَيْلِ بْنِ يَسَارٍ ، قَالَ</w:t>
      </w:r>
      <w:r w:rsidRPr="00C9040A">
        <w:rPr>
          <w:rtl/>
          <w:lang w:bidi="fa-IR"/>
        </w:rPr>
        <w:t>:</w:t>
      </w:r>
    </w:p>
    <w:p w:rsidR="008A74EB" w:rsidRPr="00C9040A" w:rsidRDefault="008A74EB" w:rsidP="008A74EB">
      <w:pPr>
        <w:pStyle w:val="libNormal"/>
        <w:rPr>
          <w:rtl/>
          <w:lang w:bidi="fa-IR"/>
        </w:rPr>
      </w:pPr>
      <w:r w:rsidRPr="00C9040A">
        <w:rPr>
          <w:rtl/>
          <w:lang w:bidi="fa-IR"/>
        </w:rPr>
        <w:t xml:space="preserve">قُلْتُ لِأَبِي جَعْفَرٍ </w:t>
      </w:r>
      <w:r w:rsidRPr="0003660B">
        <w:rPr>
          <w:rStyle w:val="libAlaemChar"/>
          <w:rtl/>
        </w:rPr>
        <w:t>عليه‌السلام</w:t>
      </w:r>
      <w:r w:rsidRPr="00C9040A">
        <w:rPr>
          <w:rtl/>
          <w:lang w:bidi="fa-IR"/>
        </w:rPr>
        <w:t xml:space="preserve"> : قَوْلُ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فِي كِتَابِهِ : </w:t>
      </w:r>
      <w:r w:rsidRPr="0003660B">
        <w:rPr>
          <w:rStyle w:val="libAlaemChar"/>
          <w:rtl/>
        </w:rPr>
        <w:t>(</w:t>
      </w:r>
      <w:r w:rsidRPr="006A2246">
        <w:rPr>
          <w:rStyle w:val="libAieChar"/>
          <w:rtl/>
        </w:rPr>
        <w:t xml:space="preserve"> وَمَنْ أَحْياها فَكَأَنَّما أَحْيَا النّاسَ جَمِيعاً </w:t>
      </w:r>
      <w:r w:rsidRPr="0003660B">
        <w:rPr>
          <w:rStyle w:val="libAlaemChar"/>
          <w:rtl/>
        </w:rPr>
        <w:t>)</w:t>
      </w:r>
      <w:r>
        <w:rPr>
          <w:rtl/>
          <w:lang w:bidi="fa-IR"/>
        </w:rPr>
        <w:t>؟</w:t>
      </w:r>
      <w:r w:rsidRPr="00C9040A">
        <w:rPr>
          <w:rtl/>
          <w:lang w:bidi="fa-IR"/>
        </w:rPr>
        <w:t xml:space="preserve"> قَالَ : « مِنْ حَرَقٍ أَوْ غَرَقٍ »</w:t>
      </w:r>
      <w:r>
        <w:rPr>
          <w:rtl/>
          <w:lang w:bidi="fa-IR"/>
        </w:rPr>
        <w:t>.</w:t>
      </w:r>
      <w:r w:rsidRPr="00C9040A">
        <w:rPr>
          <w:rtl/>
          <w:lang w:bidi="fa-IR"/>
        </w:rPr>
        <w:t xml:space="preserve"> قُلْتُ : فَمَنْ أَخْرَجَهَا مِنْ ضَلَالٍ إِلى هُدًى</w:t>
      </w:r>
      <w:r>
        <w:rPr>
          <w:rtl/>
          <w:lang w:bidi="fa-IR"/>
        </w:rPr>
        <w:t>؟</w:t>
      </w:r>
      <w:r w:rsidR="007229A6">
        <w:rPr>
          <w:rtl/>
          <w:lang w:bidi="fa-IR"/>
        </w:rPr>
        <w:t xml:space="preserve"> قَالَ</w:t>
      </w:r>
      <w:r w:rsidRPr="00C9040A">
        <w:rPr>
          <w:rtl/>
          <w:lang w:bidi="fa-IR"/>
        </w:rPr>
        <w:t>:</w:t>
      </w:r>
      <w:r>
        <w:rPr>
          <w:rFonts w:hint="cs"/>
          <w:rtl/>
          <w:lang w:bidi="fa-IR"/>
        </w:rPr>
        <w:t xml:space="preserve"> </w:t>
      </w:r>
      <w:r w:rsidRPr="00C9040A">
        <w:rPr>
          <w:rtl/>
          <w:lang w:bidi="fa-IR"/>
        </w:rPr>
        <w:t xml:space="preserve">« ذَاكَ </w:t>
      </w:r>
      <w:r w:rsidR="006C577F" w:rsidRPr="006C577F">
        <w:rPr>
          <w:rStyle w:val="libFootnotenumChar"/>
          <w:rtl/>
        </w:rPr>
        <w:t>(7)</w:t>
      </w:r>
      <w:r w:rsidRPr="00C9040A">
        <w:rPr>
          <w:rtl/>
          <w:lang w:bidi="fa-IR"/>
        </w:rPr>
        <w:t xml:space="preserve"> تَأْوِيلُهَا الْأَعْظَمُ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7229A6" w:rsidP="008A74EB">
      <w:pPr>
        <w:pStyle w:val="libNormal"/>
        <w:rPr>
          <w:rtl/>
          <w:lang w:bidi="fa-IR"/>
        </w:rPr>
      </w:pPr>
      <w:r>
        <w:rPr>
          <w:rFonts w:hint="cs"/>
          <w:rtl/>
          <w:lang w:bidi="fa-IR"/>
        </w:rPr>
        <w:t xml:space="preserve">* </w:t>
      </w:r>
      <w:r w:rsidR="008A74EB" w:rsidRPr="00C9040A">
        <w:rPr>
          <w:rtl/>
          <w:lang w:bidi="fa-IR"/>
        </w:rPr>
        <w:t>مُحَمَّدُ بْنُ يَحْيى ، عَنْ أَحْمَدَ وَعَبْدِ اللهِ ابْنَيْ مُحَمَّدِ بْنِ عِيسى ، عَنْ عَلِيِّ بْنِ الْحَكَمِ ، عَنْ أَبَانٍ ، مِثْلَهُ.</w:t>
      </w:r>
    </w:p>
    <w:p w:rsidR="008A74EB" w:rsidRPr="00C9040A" w:rsidRDefault="008A74EB" w:rsidP="008A74EB">
      <w:pPr>
        <w:pStyle w:val="libNormal"/>
        <w:rPr>
          <w:rtl/>
          <w:lang w:bidi="fa-IR"/>
        </w:rPr>
      </w:pPr>
      <w:r w:rsidRPr="00220D3B">
        <w:rPr>
          <w:rtl/>
        </w:rPr>
        <w:t>2224</w:t>
      </w:r>
      <w:r w:rsidRPr="00261CB0">
        <w:rPr>
          <w:rStyle w:val="libBold2Char"/>
          <w:rtl/>
        </w:rPr>
        <w:t xml:space="preserve"> / 3.</w:t>
      </w:r>
      <w:r w:rsidRPr="00C9040A">
        <w:rPr>
          <w:rtl/>
          <w:lang w:bidi="fa-IR"/>
        </w:rPr>
        <w:t xml:space="preserve"> مُحَمَّدُ بْنُ يَحْيى ، عَنْ أَحْمَدَ بْنِ مُحَمَّدٍ ، عَنْ مُحَمَّدِ بْنِ خَالِدٍ ، عَنِ النَّضْرِ بْنِ سُوَيْدٍ ، عَنْ يَحْيَى بْنِ عِمْرَانَ الْحَلَبِيِّ ، عَنْ أَبِي خَالِدٍ الْقَمَّاطِ ، عَنْ حُمْرَانَ ، قَالَ :</w:t>
      </w:r>
    </w:p>
    <w:p w:rsidR="008A74EB" w:rsidRPr="00C9040A" w:rsidRDefault="008A74EB" w:rsidP="008A74EB">
      <w:pPr>
        <w:pStyle w:val="libNormal"/>
        <w:rPr>
          <w:rtl/>
          <w:lang w:bidi="fa-IR"/>
        </w:rPr>
      </w:pPr>
      <w:r w:rsidRPr="00C9040A">
        <w:rPr>
          <w:rtl/>
          <w:lang w:bidi="fa-IR"/>
        </w:rPr>
        <w:t xml:space="preserve">قُلْتُ لِأَبِي عَبْدِ اللهِ </w:t>
      </w:r>
      <w:r w:rsidRPr="0003660B">
        <w:rPr>
          <w:rStyle w:val="libAlaemChar"/>
          <w:rtl/>
        </w:rPr>
        <w:t>عليه‌السلام</w:t>
      </w:r>
      <w:r w:rsidRPr="00C9040A">
        <w:rPr>
          <w:rtl/>
          <w:lang w:bidi="fa-IR"/>
        </w:rPr>
        <w:t xml:space="preserve"> : أَسْأَلُكَ أَصْلَحَكَ اللهُ</w:t>
      </w:r>
      <w:r>
        <w:rPr>
          <w:rtl/>
          <w:lang w:bidi="fa-IR"/>
        </w:rPr>
        <w:t>؟</w:t>
      </w:r>
      <w:r w:rsidRPr="00C9040A">
        <w:rPr>
          <w:rtl/>
          <w:lang w:bidi="fa-IR"/>
        </w:rPr>
        <w:t xml:space="preserve"> فَقَالَ : « نَعَمْ » فَقُلْتُ </w:t>
      </w:r>
      <w:r w:rsidR="006C577F" w:rsidRPr="006C577F">
        <w:rPr>
          <w:rStyle w:val="libFootnotenumChar"/>
          <w:rtl/>
        </w:rPr>
        <w:t>(9)</w:t>
      </w:r>
      <w:r w:rsidRPr="00C9040A">
        <w:rPr>
          <w:rtl/>
          <w:lang w:bidi="fa-IR"/>
        </w:rPr>
        <w:t xml:space="preserve"> : كُنْتُ عَلى حَالٍ‌</w:t>
      </w:r>
    </w:p>
    <w:p w:rsidR="008A74EB" w:rsidRPr="00C9040A" w:rsidRDefault="008A74EB" w:rsidP="008A74EB">
      <w:pPr>
        <w:pStyle w:val="libLine"/>
        <w:rPr>
          <w:rtl/>
          <w:lang w:bidi="fa-IR"/>
        </w:rPr>
      </w:pPr>
      <w:r w:rsidRPr="00C9040A">
        <w:rPr>
          <w:rtl/>
          <w:lang w:bidi="fa-IR"/>
        </w:rPr>
        <w:t>__________________</w:t>
      </w:r>
    </w:p>
    <w:p w:rsidR="007229A6" w:rsidRDefault="007229A6" w:rsidP="004A4E41">
      <w:pPr>
        <w:pStyle w:val="libFootnote0"/>
        <w:rPr>
          <w:rtl/>
        </w:rPr>
      </w:pPr>
      <w:r>
        <w:rPr>
          <w:rFonts w:hint="cs"/>
          <w:rtl/>
        </w:rPr>
        <w:t>= -</w:t>
      </w:r>
      <w:r w:rsidRPr="007229A6">
        <w:rPr>
          <w:rStyle w:val="libFootnoteAlaemChar"/>
          <w:rFonts w:hint="cs"/>
          <w:rtl/>
        </w:rPr>
        <w:t>(</w:t>
      </w:r>
      <w:r w:rsidRPr="007229A6">
        <w:rPr>
          <w:rStyle w:val="libFootnoteAieChar"/>
          <w:rFonts w:hint="cs"/>
          <w:rtl/>
        </w:rPr>
        <w:t xml:space="preserve"> فِى الْأَرْضِ</w:t>
      </w:r>
      <w:r>
        <w:rPr>
          <w:rStyle w:val="libFootnoteAieChar"/>
          <w:rFonts w:hint="cs"/>
          <w:rtl/>
        </w:rPr>
        <w:t xml:space="preserve"> </w:t>
      </w:r>
      <w:r w:rsidRPr="007229A6">
        <w:rPr>
          <w:rStyle w:val="libFootnoteAlaemChar"/>
          <w:rFonts w:hint="cs"/>
          <w:rtl/>
        </w:rPr>
        <w:t>)</w:t>
      </w:r>
      <w:r>
        <w:rPr>
          <w:rFonts w:hint="cs"/>
          <w:rtl/>
        </w:rPr>
        <w:t xml:space="preserve"> . و في سائر النسخ و المطبوع : - </w:t>
      </w:r>
      <w:r w:rsidRPr="007229A6">
        <w:rPr>
          <w:rStyle w:val="libFootnoteAlaemChar"/>
          <w:rFonts w:hint="cs"/>
          <w:rtl/>
        </w:rPr>
        <w:t>(</w:t>
      </w:r>
      <w:r w:rsidRPr="007229A6">
        <w:rPr>
          <w:rStyle w:val="libFootnoteAieChar"/>
          <w:rFonts w:hint="cs"/>
          <w:rtl/>
        </w:rPr>
        <w:t xml:space="preserve"> أَوْ فَسَادً فِى الْأَرْضِ</w:t>
      </w:r>
      <w:r>
        <w:rPr>
          <w:rStyle w:val="libFootnoteAieChar"/>
          <w:rFonts w:hint="cs"/>
          <w:rtl/>
        </w:rPr>
        <w:t xml:space="preserve"> </w:t>
      </w:r>
      <w:r w:rsidRPr="007229A6">
        <w:rPr>
          <w:rStyle w:val="libFootnoteAlaemChar"/>
          <w:rFonts w:hint="cs"/>
          <w:rtl/>
        </w:rPr>
        <w:t>)</w:t>
      </w:r>
      <w:r>
        <w:rPr>
          <w:rFonts w:hint="cs"/>
          <w:rtl/>
        </w:rPr>
        <w:t>.</w:t>
      </w:r>
    </w:p>
    <w:tbl>
      <w:tblPr>
        <w:tblStyle w:val="TableGrid"/>
        <w:bidiVisual/>
        <w:tblW w:w="0" w:type="auto"/>
        <w:tblLook w:val="04A0" w:firstRow="1" w:lastRow="0" w:firstColumn="1" w:lastColumn="0" w:noHBand="0" w:noVBand="1"/>
      </w:tblPr>
      <w:tblGrid>
        <w:gridCol w:w="4006"/>
        <w:gridCol w:w="4006"/>
      </w:tblGrid>
      <w:tr w:rsidR="007229A6" w:rsidTr="007229A6">
        <w:tc>
          <w:tcPr>
            <w:tcW w:w="4006" w:type="dxa"/>
          </w:tcPr>
          <w:p w:rsidR="007229A6" w:rsidRDefault="007229A6" w:rsidP="004A4E41">
            <w:pPr>
              <w:pStyle w:val="libFootnote0"/>
              <w:rPr>
                <w:rtl/>
              </w:rPr>
            </w:pPr>
            <w:r>
              <w:rPr>
                <w:rtl/>
              </w:rPr>
              <w:t xml:space="preserve">(1). </w:t>
            </w:r>
            <w:r w:rsidRPr="00C9040A">
              <w:rPr>
                <w:rtl/>
              </w:rPr>
              <w:t xml:space="preserve">المائدة </w:t>
            </w:r>
            <w:r>
              <w:rPr>
                <w:rtl/>
              </w:rPr>
              <w:t>(5).</w:t>
            </w:r>
            <w:r w:rsidRPr="00C9040A">
              <w:rPr>
                <w:rtl/>
              </w:rPr>
              <w:t xml:space="preserve"> : 32.</w:t>
            </w:r>
          </w:p>
        </w:tc>
        <w:tc>
          <w:tcPr>
            <w:tcW w:w="4006" w:type="dxa"/>
          </w:tcPr>
          <w:p w:rsidR="007229A6" w:rsidRDefault="007229A6" w:rsidP="004A4E41">
            <w:pPr>
              <w:pStyle w:val="libFootnote0"/>
              <w:rPr>
                <w:rtl/>
              </w:rPr>
            </w:pPr>
            <w:r>
              <w:rPr>
                <w:rtl/>
              </w:rPr>
              <w:t xml:space="preserve">(2). </w:t>
            </w:r>
            <w:r w:rsidRPr="00C9040A">
              <w:rPr>
                <w:rtl/>
              </w:rPr>
              <w:t>في الوسائل والمحاسن : « فقال »</w:t>
            </w:r>
            <w:r>
              <w:rPr>
                <w:rtl/>
              </w:rPr>
              <w:t>.</w:t>
            </w:r>
          </w:p>
        </w:tc>
      </w:tr>
      <w:tr w:rsidR="007229A6" w:rsidTr="007229A6">
        <w:tc>
          <w:tcPr>
            <w:tcW w:w="4006" w:type="dxa"/>
          </w:tcPr>
          <w:p w:rsidR="007229A6" w:rsidRDefault="007229A6" w:rsidP="004A4E41">
            <w:pPr>
              <w:pStyle w:val="libFootnote0"/>
              <w:rPr>
                <w:rtl/>
              </w:rPr>
            </w:pPr>
            <w:r>
              <w:rPr>
                <w:rtl/>
              </w:rPr>
              <w:t>(3).</w:t>
            </w:r>
            <w:r w:rsidRPr="00C9040A">
              <w:rPr>
                <w:rtl/>
              </w:rPr>
              <w:t xml:space="preserve"> في المحاسن : « ضلالة »</w:t>
            </w:r>
            <w:r>
              <w:rPr>
                <w:rtl/>
              </w:rPr>
              <w:t>.</w:t>
            </w:r>
          </w:p>
        </w:tc>
        <w:tc>
          <w:tcPr>
            <w:tcW w:w="4006" w:type="dxa"/>
          </w:tcPr>
          <w:p w:rsidR="007229A6" w:rsidRDefault="007229A6" w:rsidP="004A4E41">
            <w:pPr>
              <w:pStyle w:val="libFootnote0"/>
              <w:rPr>
                <w:rtl/>
              </w:rPr>
            </w:pPr>
            <w:r>
              <w:rPr>
                <w:rtl/>
              </w:rPr>
              <w:t>(4).</w:t>
            </w:r>
            <w:r w:rsidRPr="00C9040A">
              <w:rPr>
                <w:rtl/>
              </w:rPr>
              <w:t xml:space="preserve"> في المحاسن وتفسير العيّاشي والأمالي : « فقد »</w:t>
            </w:r>
            <w:r>
              <w:rPr>
                <w:rtl/>
              </w:rPr>
              <w:t>.</w:t>
            </w:r>
          </w:p>
        </w:tc>
      </w:tr>
    </w:tbl>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المحاسن</w:t>
      </w:r>
      <w:r w:rsidR="008A74EB" w:rsidRPr="00C9040A">
        <w:rPr>
          <w:rtl/>
        </w:rPr>
        <w:t xml:space="preserve"> ، ص 231 ، كتاب مصابيح الظلم ، ح 181. وفي </w:t>
      </w:r>
      <w:r w:rsidR="008A74EB" w:rsidRPr="00993B55">
        <w:rPr>
          <w:rStyle w:val="libFootnoteBoldChar"/>
          <w:rtl/>
        </w:rPr>
        <w:t>الأما</w:t>
      </w:r>
      <w:r w:rsidR="008A74EB" w:rsidRPr="007229A6">
        <w:rPr>
          <w:rStyle w:val="libFootnoteBoldChar"/>
          <w:rtl/>
        </w:rPr>
        <w:t>لي للطوسي</w:t>
      </w:r>
      <w:r w:rsidR="008A74EB" w:rsidRPr="00C9040A">
        <w:rPr>
          <w:rtl/>
        </w:rPr>
        <w:t xml:space="preserve"> ، ص 226 ، المجلس 8 ، ح 46 ، بسنده عن أحمد بن محمّد بن عيسى ، عن عثمان بن عيسى. </w:t>
      </w:r>
      <w:r w:rsidR="008A74EB" w:rsidRPr="00993B55">
        <w:rPr>
          <w:rStyle w:val="libFootnoteBoldChar"/>
          <w:rtl/>
        </w:rPr>
        <w:t>تفسير العيّاشي</w:t>
      </w:r>
      <w:r w:rsidR="008A74EB" w:rsidRPr="00C9040A">
        <w:rPr>
          <w:rtl/>
        </w:rPr>
        <w:t xml:space="preserve"> ، ج 1 ، ص 313 ، ح 85 ، عن سماعة </w:t>
      </w:r>
      <w:r w:rsidR="007229A6">
        <w:rPr>
          <w:rFonts w:hint="cs"/>
          <w:rtl/>
        </w:rPr>
        <w:t>.</w:t>
      </w:r>
      <w:r w:rsidR="008A74EB" w:rsidRPr="00993B55">
        <w:rPr>
          <w:rStyle w:val="libFootnoteBoldChar"/>
          <w:rtl/>
        </w:rPr>
        <w:t>الوافي</w:t>
      </w:r>
      <w:r w:rsidR="008A74EB" w:rsidRPr="00C9040A">
        <w:rPr>
          <w:rtl/>
        </w:rPr>
        <w:t xml:space="preserve"> ، ج 5 ص 682 ، ح 2873 ؛ </w:t>
      </w:r>
      <w:r w:rsidR="008A74EB" w:rsidRPr="00993B55">
        <w:rPr>
          <w:rStyle w:val="libFootnoteBoldChar"/>
          <w:rtl/>
        </w:rPr>
        <w:t>الوسائل</w:t>
      </w:r>
      <w:r w:rsidR="008A74EB" w:rsidRPr="00C9040A">
        <w:rPr>
          <w:rtl/>
        </w:rPr>
        <w:t xml:space="preserve"> ، ج 16 ، ص 187 ، ح 21308 ؛ </w:t>
      </w:r>
      <w:r w:rsidR="008A74EB" w:rsidRPr="00993B55">
        <w:rPr>
          <w:rStyle w:val="libFootnoteBoldChar"/>
          <w:rtl/>
        </w:rPr>
        <w:t>البحار</w:t>
      </w:r>
      <w:r w:rsidR="008A74EB" w:rsidRPr="00C9040A">
        <w:rPr>
          <w:rtl/>
        </w:rPr>
        <w:t xml:space="preserve"> ، ج 74 ، ص 401 ، ح 48.</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الضمير راجع إلى أحمد بن محمّد بن خالد المذكور في السند السابق.</w:t>
      </w:r>
    </w:p>
    <w:p w:rsidR="008A74EB" w:rsidRPr="00C9040A" w:rsidRDefault="006C577F" w:rsidP="004A4E41">
      <w:pPr>
        <w:pStyle w:val="libFootnote0"/>
        <w:rPr>
          <w:rtl/>
          <w:lang w:bidi="fa-IR"/>
        </w:rPr>
      </w:pPr>
      <w:r>
        <w:rPr>
          <w:rtl/>
        </w:rPr>
        <w:t>(7).</w:t>
      </w:r>
      <w:r w:rsidR="008A74EB" w:rsidRPr="00C9040A">
        <w:rPr>
          <w:rtl/>
        </w:rPr>
        <w:t xml:space="preserve"> في المحاسن : « فقال : ذلك »</w:t>
      </w:r>
      <w:r w:rsidR="008A74EB">
        <w:rPr>
          <w:rtl/>
        </w:rPr>
        <w:t>.</w:t>
      </w:r>
    </w:p>
    <w:p w:rsidR="008A74EB" w:rsidRPr="00C9040A" w:rsidRDefault="006C577F" w:rsidP="007229A6">
      <w:pPr>
        <w:pStyle w:val="libFootnote0"/>
        <w:rPr>
          <w:rtl/>
          <w:lang w:bidi="fa-IR"/>
        </w:rPr>
      </w:pPr>
      <w:r>
        <w:rPr>
          <w:rtl/>
        </w:rPr>
        <w:t>(8).</w:t>
      </w:r>
      <w:r w:rsidR="008A74EB" w:rsidRPr="00C9040A">
        <w:rPr>
          <w:rtl/>
        </w:rPr>
        <w:t xml:space="preserve"> </w:t>
      </w:r>
      <w:r w:rsidR="008A74EB" w:rsidRPr="00993B55">
        <w:rPr>
          <w:rStyle w:val="libFootnoteBoldChar"/>
          <w:rtl/>
        </w:rPr>
        <w:t>المحاسن</w:t>
      </w:r>
      <w:r w:rsidR="008A74EB" w:rsidRPr="00C9040A">
        <w:rPr>
          <w:rtl/>
        </w:rPr>
        <w:t xml:space="preserve"> ، ص 232 ، كتاب مصابيح الظلم ، ح 182 ، عن عليّ بن الحكم. </w:t>
      </w:r>
      <w:r w:rsidR="008A74EB" w:rsidRPr="00993B55">
        <w:rPr>
          <w:rStyle w:val="libFootnoteBoldChar"/>
          <w:rtl/>
        </w:rPr>
        <w:t>تفسير القمّي</w:t>
      </w:r>
      <w:r w:rsidR="008A74EB" w:rsidRPr="00C9040A">
        <w:rPr>
          <w:rtl/>
        </w:rPr>
        <w:t xml:space="preserve"> ، ح 1 ، ص 167 ، بسند آخر عن أبي‌جعفر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تفسير العيّاشي</w:t>
      </w:r>
      <w:r w:rsidR="008A74EB" w:rsidRPr="00C9040A">
        <w:rPr>
          <w:rtl/>
        </w:rPr>
        <w:t xml:space="preserve"> ، ج 1 ، ص 313 ، ح 87 ، عن محمّد بن مسلم ، عن أبي‌جعفر </w:t>
      </w:r>
      <w:r w:rsidR="00117575" w:rsidRPr="00117575">
        <w:rPr>
          <w:rStyle w:val="libFootnoteAlaemChar"/>
          <w:rtl/>
        </w:rPr>
        <w:t xml:space="preserve">عليه‌السلام </w:t>
      </w:r>
      <w:r w:rsidR="008A74EB" w:rsidRPr="00C9040A">
        <w:rPr>
          <w:rtl/>
        </w:rPr>
        <w:t xml:space="preserve">، مع اختلاف وزيادة </w:t>
      </w:r>
      <w:r w:rsidR="007229A6">
        <w:rPr>
          <w:rFonts w:hint="cs"/>
          <w:rtl/>
        </w:rPr>
        <w:t>.</w:t>
      </w:r>
      <w:r w:rsidR="008A74EB" w:rsidRPr="00993B55">
        <w:rPr>
          <w:rStyle w:val="libFootnoteBoldChar"/>
          <w:rtl/>
        </w:rPr>
        <w:t>الوافي</w:t>
      </w:r>
      <w:r w:rsidR="008A74EB" w:rsidRPr="00C9040A">
        <w:rPr>
          <w:rtl/>
        </w:rPr>
        <w:t xml:space="preserve"> ، ج 5 ، ص 682 ، ح 2874 ؛ </w:t>
      </w:r>
      <w:r w:rsidR="008A74EB" w:rsidRPr="00993B55">
        <w:rPr>
          <w:rStyle w:val="libFootnoteBoldChar"/>
          <w:rtl/>
        </w:rPr>
        <w:t>الوسائل</w:t>
      </w:r>
      <w:r w:rsidR="008A74EB" w:rsidRPr="00C9040A">
        <w:rPr>
          <w:rtl/>
        </w:rPr>
        <w:t xml:space="preserve"> ، ج 16 ، ص 186 ، ح 21307 ؛ </w:t>
      </w:r>
      <w:r w:rsidR="008A74EB" w:rsidRPr="00993B55">
        <w:rPr>
          <w:rStyle w:val="libFootnoteBoldChar"/>
          <w:rtl/>
        </w:rPr>
        <w:t>البحار</w:t>
      </w:r>
      <w:r w:rsidR="008A74EB" w:rsidRPr="00C9040A">
        <w:rPr>
          <w:rtl/>
        </w:rPr>
        <w:t xml:space="preserve"> ، ج 74 ، ص 403 ، ح 49.</w:t>
      </w:r>
      <w:r w:rsidR="007229A6">
        <w:rPr>
          <w:rFonts w:hint="cs"/>
          <w:rtl/>
        </w:rPr>
        <w:t xml:space="preserve">           </w:t>
      </w:r>
      <w:r>
        <w:rPr>
          <w:rtl/>
        </w:rPr>
        <w:t>(9).</w:t>
      </w:r>
      <w:r w:rsidR="008A74EB" w:rsidRPr="00C9040A">
        <w:rPr>
          <w:rtl/>
        </w:rPr>
        <w:t xml:space="preserve"> في « </w:t>
      </w:r>
      <w:r w:rsidR="006D3162">
        <w:rPr>
          <w:rtl/>
        </w:rPr>
        <w:t xml:space="preserve">ه </w:t>
      </w:r>
      <w:r w:rsidR="008A74EB" w:rsidRPr="00C9040A">
        <w:rPr>
          <w:rtl/>
        </w:rPr>
        <w:t>» والمحاسن : « قال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وَأَنَا الْيَوْمَ عَلى حَالٍ أُخْرى ، كُنْتُ أَدْخُلُ الْأَرْضَ ، فَأَدْعُو الرَّجُلَ وَالِاثْنَيْنِ وَالْمَرْأَةَ ، فَيُنْقِذُ اللهُ مَنْ شَاءَ </w:t>
      </w:r>
      <w:r w:rsidR="006C577F" w:rsidRPr="006C577F">
        <w:rPr>
          <w:rStyle w:val="libFootnotenumChar"/>
          <w:rtl/>
        </w:rPr>
        <w:t>(1)</w:t>
      </w:r>
      <w:r w:rsidRPr="00C9040A">
        <w:rPr>
          <w:rtl/>
          <w:lang w:bidi="fa-IR"/>
        </w:rPr>
        <w:t xml:space="preserve"> ، وَأَنَا الْيَوْمَ لَا</w:t>
      </w:r>
      <w:r>
        <w:rPr>
          <w:rFonts w:hint="cs"/>
          <w:rtl/>
          <w:lang w:bidi="fa-IR"/>
        </w:rPr>
        <w:t xml:space="preserve"> </w:t>
      </w:r>
      <w:r w:rsidRPr="00C9040A">
        <w:rPr>
          <w:rtl/>
          <w:lang w:bidi="fa-IR"/>
        </w:rPr>
        <w:t>أَدْعُو أَحَداً.</w:t>
      </w:r>
    </w:p>
    <w:p w:rsidR="008A74EB" w:rsidRPr="00C9040A" w:rsidRDefault="008A74EB" w:rsidP="008A74EB">
      <w:pPr>
        <w:pStyle w:val="libNormal"/>
        <w:rPr>
          <w:rtl/>
          <w:lang w:bidi="fa-IR"/>
        </w:rPr>
      </w:pPr>
      <w:r w:rsidRPr="00C9040A">
        <w:rPr>
          <w:rtl/>
          <w:lang w:bidi="fa-IR"/>
        </w:rPr>
        <w:t xml:space="preserve">فَقَالَ : « وَمَا عَلَيْكَ </w:t>
      </w:r>
      <w:r w:rsidR="006C577F" w:rsidRPr="006C577F">
        <w:rPr>
          <w:rStyle w:val="libFootnotenumChar"/>
          <w:rtl/>
        </w:rPr>
        <w:t>(2)</w:t>
      </w:r>
      <w:r w:rsidRPr="00C9040A">
        <w:rPr>
          <w:rtl/>
          <w:lang w:bidi="fa-IR"/>
        </w:rPr>
        <w:t xml:space="preserve"> أَنْ تُخَلِّيَ بَيْنَ النَّاسِ وَبَيْنَ رَبِّهِمْ ، فَمَنْ أَرَادَ اللهُ أَنْ يُخْرِجَهُ </w:t>
      </w:r>
      <w:r w:rsidR="006C577F" w:rsidRPr="006C577F">
        <w:rPr>
          <w:rStyle w:val="libFootnotenumChar"/>
          <w:rtl/>
        </w:rPr>
        <w:t>(3)</w:t>
      </w:r>
      <w:r w:rsidRPr="00C9040A">
        <w:rPr>
          <w:rtl/>
          <w:lang w:bidi="fa-IR"/>
        </w:rPr>
        <w:t xml:space="preserve"> مِنْ ظُلْمَةٍ إِلى نُورٍ أَخْرَجَهُ »</w:t>
      </w:r>
      <w:r>
        <w:rPr>
          <w:rtl/>
          <w:lang w:bidi="fa-IR"/>
        </w:rPr>
        <w:t>.</w:t>
      </w:r>
    </w:p>
    <w:p w:rsidR="008A74EB" w:rsidRPr="00C9040A" w:rsidRDefault="008A74EB" w:rsidP="008A74EB">
      <w:pPr>
        <w:pStyle w:val="libNormal"/>
        <w:rPr>
          <w:rtl/>
          <w:lang w:bidi="fa-IR"/>
        </w:rPr>
      </w:pPr>
      <w:r w:rsidRPr="00C9040A">
        <w:rPr>
          <w:rtl/>
          <w:lang w:bidi="fa-IR"/>
        </w:rPr>
        <w:t>ثُمَّ قَالَ : « وَلَاعَلَيْكَ</w:t>
      </w:r>
      <w:r>
        <w:rPr>
          <w:rtl/>
          <w:lang w:bidi="fa-IR"/>
        </w:rPr>
        <w:t xml:space="preserve"> </w:t>
      </w:r>
      <w:r w:rsidR="0084262C">
        <w:rPr>
          <w:rtl/>
          <w:lang w:bidi="fa-IR"/>
        </w:rPr>
        <w:t>-</w:t>
      </w:r>
      <w:r>
        <w:rPr>
          <w:rtl/>
          <w:lang w:bidi="fa-IR"/>
        </w:rPr>
        <w:t xml:space="preserve"> </w:t>
      </w:r>
      <w:r w:rsidRPr="00C9040A">
        <w:rPr>
          <w:rtl/>
          <w:lang w:bidi="fa-IR"/>
        </w:rPr>
        <w:t xml:space="preserve">إِنْ آنَسْتَ </w:t>
      </w:r>
      <w:r w:rsidR="006C577F" w:rsidRPr="006C577F">
        <w:rPr>
          <w:rStyle w:val="libFootnotenumChar"/>
          <w:rtl/>
        </w:rPr>
        <w:t>(4)</w:t>
      </w:r>
      <w:r w:rsidRPr="00C9040A">
        <w:rPr>
          <w:rtl/>
          <w:lang w:bidi="fa-IR"/>
        </w:rPr>
        <w:t xml:space="preserve"> مِنْ أَحَدٍ خَيْراً </w:t>
      </w:r>
      <w:r w:rsidR="006C577F" w:rsidRPr="006C577F">
        <w:rPr>
          <w:rStyle w:val="libFootnotenumChar"/>
          <w:rtl/>
        </w:rPr>
        <w:t>(5)</w:t>
      </w:r>
      <w:r>
        <w:rPr>
          <w:rtl/>
          <w:lang w:bidi="fa-IR"/>
        </w:rPr>
        <w:t xml:space="preserve"> </w:t>
      </w:r>
      <w:r w:rsidR="0084262C">
        <w:rPr>
          <w:rtl/>
          <w:lang w:bidi="fa-IR"/>
        </w:rPr>
        <w:t>-</w:t>
      </w:r>
      <w:r>
        <w:rPr>
          <w:rtl/>
          <w:lang w:bidi="fa-IR"/>
        </w:rPr>
        <w:t xml:space="preserve"> </w:t>
      </w:r>
      <w:r w:rsidRPr="00C9040A">
        <w:rPr>
          <w:rtl/>
          <w:lang w:bidi="fa-IR"/>
        </w:rPr>
        <w:t xml:space="preserve">أَنْ تَنْبِذَ إِلَيْهِ الشَّيْ‌ءَ نَبْذاً </w:t>
      </w:r>
      <w:r w:rsidR="006C577F" w:rsidRPr="006C577F">
        <w:rPr>
          <w:rStyle w:val="libFootnotenumChar"/>
          <w:rtl/>
        </w:rPr>
        <w:t>(6)</w:t>
      </w:r>
      <w:r w:rsidRPr="005B567D">
        <w:rPr>
          <w:rStyle w:val="libFootnotenumChar"/>
          <w:rtl/>
        </w:rPr>
        <w:t xml:space="preserve"> </w:t>
      </w:r>
      <w:r w:rsidRPr="00C9040A">
        <w:rPr>
          <w:rtl/>
          <w:lang w:bidi="fa-IR"/>
        </w:rPr>
        <w:t>»</w:t>
      </w:r>
      <w:r>
        <w:rPr>
          <w:rtl/>
          <w:lang w:bidi="fa-IR"/>
        </w:rPr>
        <w:t>.</w:t>
      </w:r>
    </w:p>
    <w:p w:rsidR="008A74EB" w:rsidRPr="00C9040A" w:rsidRDefault="008A74EB" w:rsidP="008A74EB">
      <w:pPr>
        <w:pStyle w:val="libNormal"/>
        <w:rPr>
          <w:rtl/>
          <w:lang w:bidi="fa-IR"/>
        </w:rPr>
      </w:pPr>
      <w:r w:rsidRPr="00C9040A">
        <w:rPr>
          <w:rtl/>
          <w:lang w:bidi="fa-IR"/>
        </w:rPr>
        <w:t xml:space="preserve">قُلْتُ : أَخْبِرْنِي عَنْ قَوْلِ اللهِ عَزَّ وَجَلَّ : </w:t>
      </w:r>
      <w:r w:rsidRPr="0003660B">
        <w:rPr>
          <w:rStyle w:val="libAlaemChar"/>
          <w:rtl/>
        </w:rPr>
        <w:t>(</w:t>
      </w:r>
      <w:r w:rsidRPr="006A2246">
        <w:rPr>
          <w:rStyle w:val="libAieChar"/>
          <w:rtl/>
        </w:rPr>
        <w:t xml:space="preserve"> وَمَنْ أَحْياها فَكَأَنَّما أَحْيَا النّاسَ جَمِيعاً </w:t>
      </w:r>
      <w:r w:rsidRPr="0003660B">
        <w:rPr>
          <w:rStyle w:val="libAlaemChar"/>
          <w:rtl/>
        </w:rPr>
        <w:t>)</w:t>
      </w:r>
      <w:r w:rsidRPr="00C9040A">
        <w:rPr>
          <w:rtl/>
          <w:lang w:bidi="fa-IR"/>
        </w:rPr>
        <w:t>.</w:t>
      </w:r>
    </w:p>
    <w:p w:rsidR="008A74EB" w:rsidRPr="00C9040A" w:rsidRDefault="008A74EB" w:rsidP="008A74EB">
      <w:pPr>
        <w:pStyle w:val="libNormal"/>
        <w:rPr>
          <w:rtl/>
          <w:lang w:bidi="fa-IR"/>
        </w:rPr>
      </w:pPr>
      <w:r w:rsidRPr="00C9040A">
        <w:rPr>
          <w:rtl/>
          <w:lang w:bidi="fa-IR"/>
        </w:rPr>
        <w:t xml:space="preserve">قَالَ : « مِنْ حَرَقٍ أَوْ غَرَقٍ </w:t>
      </w:r>
      <w:r w:rsidR="006C577F" w:rsidRPr="006C577F">
        <w:rPr>
          <w:rStyle w:val="libFootnotenumChar"/>
          <w:rtl/>
        </w:rPr>
        <w:t>(7)</w:t>
      </w:r>
      <w:r w:rsidRPr="00C9040A">
        <w:rPr>
          <w:rtl/>
          <w:lang w:bidi="fa-IR"/>
        </w:rPr>
        <w:t xml:space="preserve"> »</w:t>
      </w:r>
      <w:r>
        <w:rPr>
          <w:rtl/>
          <w:lang w:bidi="fa-IR"/>
        </w:rPr>
        <w:t>.</w:t>
      </w:r>
      <w:r w:rsidRPr="00C9040A">
        <w:rPr>
          <w:rtl/>
          <w:lang w:bidi="fa-IR"/>
        </w:rPr>
        <w:t xml:space="preserve"> ثُمَّ سَكَتَ ، ثُمَّ قَالَ : « تَأْوِيلُهَا </w:t>
      </w:r>
      <w:r w:rsidR="006C577F" w:rsidRPr="006C577F">
        <w:rPr>
          <w:rStyle w:val="libFootnotenumChar"/>
          <w:rtl/>
        </w:rPr>
        <w:t>(8)</w:t>
      </w:r>
      <w:r w:rsidRPr="00C9040A">
        <w:rPr>
          <w:rtl/>
          <w:lang w:bidi="fa-IR"/>
        </w:rPr>
        <w:t xml:space="preserve"> الْأَعْظَمُ أَنْ دَعَاهَا فَاسْتَجَابَتْ </w:t>
      </w:r>
      <w:r w:rsidR="006C577F" w:rsidRPr="006C577F">
        <w:rPr>
          <w:rStyle w:val="libFootnotenumChar"/>
          <w:rtl/>
        </w:rPr>
        <w:t>(9)</w:t>
      </w:r>
      <w:r w:rsidRPr="00C9040A">
        <w:rPr>
          <w:rtl/>
          <w:lang w:bidi="fa-IR"/>
        </w:rPr>
        <w:t xml:space="preserve"> لَهُ </w:t>
      </w:r>
      <w:r w:rsidR="006C577F" w:rsidRPr="006C577F">
        <w:rPr>
          <w:rStyle w:val="libFootnotenumChar"/>
          <w:rtl/>
        </w:rPr>
        <w:t>(10)</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(11)</w:t>
      </w:r>
      <w:r w:rsidRPr="00C9040A">
        <w:rPr>
          <w:rtl/>
          <w:lang w:bidi="fa-IR"/>
        </w:rPr>
        <w:t xml:space="preserve"> ‌</w:t>
      </w:r>
    </w:p>
    <w:p w:rsidR="008A74EB" w:rsidRPr="00C9040A" w:rsidRDefault="008A74EB" w:rsidP="008A74EB">
      <w:pPr>
        <w:pStyle w:val="Heading2Center"/>
        <w:rPr>
          <w:rtl/>
          <w:lang w:bidi="fa-IR"/>
        </w:rPr>
      </w:pPr>
      <w:bookmarkStart w:id="289" w:name="_Toc343795684"/>
      <w:bookmarkStart w:id="290" w:name="_Toc459810808"/>
      <w:bookmarkStart w:id="291" w:name="_Toc35348714"/>
      <w:r w:rsidRPr="00C9040A">
        <w:rPr>
          <w:rtl/>
          <w:lang w:bidi="fa-IR"/>
        </w:rPr>
        <w:t>93</w:t>
      </w:r>
      <w:r>
        <w:rPr>
          <w:rtl/>
          <w:lang w:bidi="fa-IR"/>
        </w:rPr>
        <w:t xml:space="preserve"> </w:t>
      </w:r>
      <w:r w:rsidR="0084262C">
        <w:rPr>
          <w:rtl/>
          <w:lang w:bidi="fa-IR"/>
        </w:rPr>
        <w:t>-</w:t>
      </w:r>
      <w:r>
        <w:rPr>
          <w:rtl/>
          <w:lang w:bidi="fa-IR"/>
        </w:rPr>
        <w:t xml:space="preserve"> </w:t>
      </w:r>
      <w:r w:rsidRPr="00C9040A">
        <w:rPr>
          <w:rtl/>
          <w:lang w:bidi="fa-IR"/>
        </w:rPr>
        <w:t xml:space="preserve">بَابٌ فِي </w:t>
      </w:r>
      <w:r w:rsidR="006C577F" w:rsidRPr="006C577F">
        <w:rPr>
          <w:rStyle w:val="libFootnotenumChar"/>
          <w:rtl/>
        </w:rPr>
        <w:t>(12)</w:t>
      </w:r>
      <w:r>
        <w:rPr>
          <w:rtl/>
        </w:rPr>
        <w:t xml:space="preserve"> </w:t>
      </w:r>
      <w:r w:rsidRPr="00C9040A">
        <w:rPr>
          <w:rtl/>
          <w:lang w:bidi="fa-IR"/>
        </w:rPr>
        <w:t>الدُّعَاءِ لِلْأَهْلِ إِلَى الْإِيمَانِ‌</w:t>
      </w:r>
      <w:bookmarkEnd w:id="289"/>
      <w:bookmarkEnd w:id="290"/>
      <w:bookmarkEnd w:id="291"/>
    </w:p>
    <w:p w:rsidR="008A74EB" w:rsidRPr="00C9040A" w:rsidRDefault="008A74EB" w:rsidP="008A74EB">
      <w:pPr>
        <w:pStyle w:val="libNormal"/>
        <w:rPr>
          <w:rtl/>
          <w:lang w:bidi="fa-IR"/>
        </w:rPr>
      </w:pPr>
      <w:r w:rsidRPr="00C8025E">
        <w:rPr>
          <w:rtl/>
        </w:rPr>
        <w:t>2225</w:t>
      </w:r>
      <w:r w:rsidRPr="00261CB0">
        <w:rPr>
          <w:rStyle w:val="libBold2Char"/>
          <w:rtl/>
        </w:rPr>
        <w:t xml:space="preserve"> / 1.</w:t>
      </w:r>
      <w:r w:rsidRPr="00C9040A">
        <w:rPr>
          <w:rtl/>
          <w:lang w:bidi="fa-IR"/>
        </w:rPr>
        <w:t xml:space="preserve"> مُحَمَّدُ بْنُ يَحْيى ، عَنْ أَحْمَدَ بْنِ مُحَمَّدِ بْنِ </w:t>
      </w:r>
      <w:r w:rsidRPr="005B567D">
        <w:rPr>
          <w:rStyle w:val="libFootnotenumChar"/>
          <w:rtl/>
        </w:rPr>
        <w:t>(13)</w:t>
      </w:r>
      <w:r w:rsidRPr="00C9040A">
        <w:rPr>
          <w:rtl/>
          <w:lang w:bidi="fa-IR"/>
        </w:rPr>
        <w:t xml:space="preserve"> عِيسى ، عَنْ عَلِيِّ بْنِ النُّعْمَانِ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ب ، </w:t>
      </w:r>
      <w:r w:rsidR="006D3162">
        <w:rPr>
          <w:rtl/>
        </w:rPr>
        <w:t xml:space="preserve">ه </w:t>
      </w:r>
      <w:r w:rsidR="008A74EB" w:rsidRPr="00C9040A">
        <w:rPr>
          <w:rtl/>
        </w:rPr>
        <w:t>» والوسائل والمحاسن : « يشاء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w:t>
      </w:r>
      <w:r w:rsidR="008A74EB" w:rsidRPr="00993B55">
        <w:rPr>
          <w:rStyle w:val="libFootnoteBoldChar"/>
          <w:rtl/>
        </w:rPr>
        <w:t>الوافي</w:t>
      </w:r>
      <w:r w:rsidR="008A74EB" w:rsidRPr="00C9040A">
        <w:rPr>
          <w:rtl/>
        </w:rPr>
        <w:t xml:space="preserve"> : « وما عليك ، أي الذي يجب عليك ؛ بأن تكون « ما » موصولة. أو وما بأس عليك ؛ بأن تكون نافية. أو أيّ شي‌ء عليك ؛ بأن تكون استفهاميّة للإنكار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w:t>
      </w:r>
      <w:r w:rsidR="006D3162">
        <w:rPr>
          <w:rtl/>
        </w:rPr>
        <w:t xml:space="preserve">ه </w:t>
      </w:r>
      <w:r w:rsidR="008A74EB" w:rsidRPr="00C9040A">
        <w:rPr>
          <w:rtl/>
        </w:rPr>
        <w:t>» : « فمن أراد أن يخرجه الله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 آنس » : أبصر ورأى شيئاً لم يعهده. يقال : آنست منه كذا ، أي‌علمت. </w:t>
      </w:r>
      <w:r w:rsidR="008A74EB" w:rsidRPr="00993B55">
        <w:rPr>
          <w:rStyle w:val="libFootnoteBoldChar"/>
          <w:rtl/>
        </w:rPr>
        <w:t>النهاية</w:t>
      </w:r>
      <w:r w:rsidR="007229A6">
        <w:rPr>
          <w:rtl/>
        </w:rPr>
        <w:t xml:space="preserve"> ، ج 1 ، ص 74 (آنس</w:t>
      </w:r>
      <w:r w:rsidR="008A74EB" w:rsidRPr="00C9040A">
        <w:rPr>
          <w:rtl/>
        </w:rPr>
        <w:t>)</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الوافي : « بخير »</w:t>
      </w:r>
      <w:r w:rsidR="008A74EB">
        <w:rPr>
          <w:rtl/>
        </w:rPr>
        <w:t>.</w:t>
      </w:r>
    </w:p>
    <w:p w:rsidR="008A74EB" w:rsidRPr="00C9040A" w:rsidRDefault="006C577F" w:rsidP="007229A6">
      <w:pPr>
        <w:pStyle w:val="libFootnote0"/>
        <w:rPr>
          <w:rtl/>
          <w:lang w:bidi="fa-IR"/>
        </w:rPr>
      </w:pPr>
      <w:r>
        <w:rPr>
          <w:rtl/>
        </w:rPr>
        <w:t>(6).</w:t>
      </w:r>
      <w:r w:rsidR="008A74EB">
        <w:rPr>
          <w:rtl/>
        </w:rPr>
        <w:t xml:space="preserve"> </w:t>
      </w:r>
      <w:r w:rsidR="008A74EB" w:rsidRPr="00C9040A">
        <w:rPr>
          <w:rtl/>
        </w:rPr>
        <w:t xml:space="preserve">نبذتُه نَبْذاً : ألقيته فهو منبوذ. والنَّبْذ يكون بالفعل والقول ، في الأجسام والمعاني. </w:t>
      </w:r>
      <w:r w:rsidR="008A74EB" w:rsidRPr="00993B55">
        <w:rPr>
          <w:rStyle w:val="libFootnoteBoldChar"/>
          <w:rtl/>
        </w:rPr>
        <w:t>المصباح المنير</w:t>
      </w:r>
      <w:r w:rsidR="008A74EB" w:rsidRPr="00C9040A">
        <w:rPr>
          <w:rtl/>
        </w:rPr>
        <w:t xml:space="preserve"> ، ص 590 ؛ </w:t>
      </w:r>
      <w:r w:rsidR="008A74EB" w:rsidRPr="00993B55">
        <w:rPr>
          <w:rStyle w:val="libFootnoteBoldChar"/>
          <w:rtl/>
        </w:rPr>
        <w:t>النهاية</w:t>
      </w:r>
      <w:r w:rsidR="008A74EB" w:rsidRPr="00C9040A">
        <w:rPr>
          <w:rtl/>
        </w:rPr>
        <w:t xml:space="preserve"> ، ج 5 ، ص 7 ( نبذ )</w:t>
      </w:r>
      <w:r w:rsidR="008A74EB">
        <w:rPr>
          <w:rtl/>
        </w:rPr>
        <w:t>.</w:t>
      </w:r>
      <w:r w:rsidR="008A74EB" w:rsidRPr="00C9040A">
        <w:rPr>
          <w:rtl/>
        </w:rPr>
        <w:t xml:space="preserve"> وفي </w:t>
      </w:r>
      <w:r w:rsidR="008A74EB" w:rsidRPr="00993B55">
        <w:rPr>
          <w:rStyle w:val="libFootnoteBoldChar"/>
          <w:rtl/>
        </w:rPr>
        <w:t>الوافي</w:t>
      </w:r>
      <w:r w:rsidR="008A74EB" w:rsidRPr="00C9040A">
        <w:rPr>
          <w:rtl/>
        </w:rPr>
        <w:t xml:space="preserve"> : « ولا عليك ، أي لابأس عليك. « أن تنبذ إليه الشي‌ء » أي تلقي إليه كلمة حقّ وإرشاد في دين أو هداية إلى معرفة »</w:t>
      </w:r>
      <w:r w:rsidR="008A74EB">
        <w:rPr>
          <w:rtl/>
        </w:rPr>
        <w:t>.</w:t>
      </w:r>
      <w:r w:rsidR="007229A6">
        <w:rPr>
          <w:rFonts w:hint="cs"/>
          <w:rtl/>
        </w:rPr>
        <w:t xml:space="preserve">    </w:t>
      </w:r>
      <w:r w:rsidR="007648A3">
        <w:rPr>
          <w:rFonts w:hint="cs"/>
          <w:rtl/>
        </w:rPr>
        <w:t xml:space="preserve">      </w:t>
      </w:r>
      <w:r w:rsidR="00B120D5">
        <w:rPr>
          <w:rFonts w:hint="cs"/>
          <w:rtl/>
        </w:rPr>
        <w:t xml:space="preserve">  </w:t>
      </w:r>
      <w:r w:rsidR="007229A6">
        <w:rPr>
          <w:rFonts w:hint="cs"/>
          <w:rtl/>
        </w:rPr>
        <w:t xml:space="preserve"> </w:t>
      </w:r>
      <w:r>
        <w:rPr>
          <w:rtl/>
        </w:rPr>
        <w:t>(7).</w:t>
      </w:r>
      <w:r w:rsidR="008A74EB" w:rsidRPr="00C9040A">
        <w:rPr>
          <w:rtl/>
        </w:rPr>
        <w:t xml:space="preserve"> في المحاسن : + « أوغدر »</w:t>
      </w:r>
      <w:r w:rsidR="008A74EB">
        <w:rPr>
          <w:rtl/>
        </w:rPr>
        <w:t>.</w:t>
      </w:r>
    </w:p>
    <w:tbl>
      <w:tblPr>
        <w:tblStyle w:val="TableGrid"/>
        <w:bidiVisual/>
        <w:tblW w:w="0" w:type="auto"/>
        <w:tblLook w:val="04A0" w:firstRow="1" w:lastRow="0" w:firstColumn="1" w:lastColumn="0" w:noHBand="0" w:noVBand="1"/>
      </w:tblPr>
      <w:tblGrid>
        <w:gridCol w:w="4006"/>
        <w:gridCol w:w="4006"/>
      </w:tblGrid>
      <w:tr w:rsidR="007648A3" w:rsidTr="007648A3">
        <w:tc>
          <w:tcPr>
            <w:tcW w:w="4006" w:type="dxa"/>
          </w:tcPr>
          <w:p w:rsidR="007648A3" w:rsidRDefault="007648A3" w:rsidP="004A4E41">
            <w:pPr>
              <w:pStyle w:val="libFootnote0"/>
              <w:rPr>
                <w:rtl/>
              </w:rPr>
            </w:pPr>
            <w:r>
              <w:rPr>
                <w:rtl/>
              </w:rPr>
              <w:t>(8).</w:t>
            </w:r>
            <w:r w:rsidRPr="00C9040A">
              <w:rPr>
                <w:rtl/>
              </w:rPr>
              <w:t xml:space="preserve"> في « بر » : « وتأويلها »</w:t>
            </w:r>
            <w:r>
              <w:rPr>
                <w:rtl/>
              </w:rPr>
              <w:t>.</w:t>
            </w:r>
          </w:p>
        </w:tc>
        <w:tc>
          <w:tcPr>
            <w:tcW w:w="4006" w:type="dxa"/>
          </w:tcPr>
          <w:p w:rsidR="007648A3" w:rsidRDefault="007648A3" w:rsidP="004A4E41">
            <w:pPr>
              <w:pStyle w:val="libFootnote0"/>
              <w:rPr>
                <w:rtl/>
              </w:rPr>
            </w:pPr>
            <w:r>
              <w:rPr>
                <w:rtl/>
              </w:rPr>
              <w:t>(9). في«ف»:«فاستجاب»؛</w:t>
            </w:r>
            <w:r w:rsidRPr="00C9040A">
              <w:rPr>
                <w:rtl/>
              </w:rPr>
              <w:t>لأنّ النفس ممّا يذكّر ويؤنّث.</w:t>
            </w:r>
          </w:p>
        </w:tc>
      </w:tr>
    </w:tbl>
    <w:p w:rsidR="008A74EB" w:rsidRPr="00C9040A" w:rsidRDefault="006C577F" w:rsidP="004A4E41">
      <w:pPr>
        <w:pStyle w:val="libFootnote0"/>
        <w:rPr>
          <w:rtl/>
          <w:lang w:bidi="fa-IR"/>
        </w:rPr>
      </w:pPr>
      <w:r>
        <w:rPr>
          <w:rtl/>
        </w:rPr>
        <w:t>(10).</w:t>
      </w:r>
      <w:r w:rsidR="008A74EB" w:rsidRPr="00C9040A">
        <w:rPr>
          <w:rtl/>
        </w:rPr>
        <w:t xml:space="preserve"> في « بر ، بف » : « به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w:t>
      </w:r>
      <w:r w:rsidR="008A74EB" w:rsidRPr="00993B55">
        <w:rPr>
          <w:rStyle w:val="libFootnoteBoldChar"/>
          <w:rtl/>
        </w:rPr>
        <w:t>المحاسن</w:t>
      </w:r>
      <w:r w:rsidR="008A74EB" w:rsidRPr="00C9040A">
        <w:rPr>
          <w:rtl/>
        </w:rPr>
        <w:t xml:space="preserve"> ، ص 232 ، كتاب مصابيح الظلم ، ح 183 </w:t>
      </w:r>
      <w:r w:rsidR="007648A3">
        <w:rPr>
          <w:rFonts w:hint="cs"/>
          <w:rtl/>
        </w:rPr>
        <w:t>.</w:t>
      </w:r>
      <w:r w:rsidR="008A74EB" w:rsidRPr="00993B55">
        <w:rPr>
          <w:rStyle w:val="libFootnoteBoldChar"/>
          <w:rtl/>
        </w:rPr>
        <w:t>الوافي</w:t>
      </w:r>
      <w:r w:rsidR="008A74EB" w:rsidRPr="00C9040A">
        <w:rPr>
          <w:rtl/>
        </w:rPr>
        <w:t xml:space="preserve"> ، ج 5 ، ص 682 ، ح 2875 ؛ </w:t>
      </w:r>
      <w:r w:rsidR="008A74EB" w:rsidRPr="00993B55">
        <w:rPr>
          <w:rStyle w:val="libFootnoteBoldChar"/>
          <w:rtl/>
        </w:rPr>
        <w:t>الوسائل</w:t>
      </w:r>
      <w:r w:rsidR="008A74EB" w:rsidRPr="00C9040A">
        <w:rPr>
          <w:rtl/>
        </w:rPr>
        <w:t xml:space="preserve"> ، ج 16 ، ص 186 ، ح 21306 ؛ </w:t>
      </w:r>
      <w:r w:rsidR="008A74EB" w:rsidRPr="00993B55">
        <w:rPr>
          <w:rStyle w:val="libFootnoteBoldChar"/>
          <w:rtl/>
        </w:rPr>
        <w:t>البحار</w:t>
      </w:r>
      <w:r w:rsidR="008A74EB" w:rsidRPr="00C9040A">
        <w:rPr>
          <w:rtl/>
        </w:rPr>
        <w:t xml:space="preserve"> ، ج 74 ، ص 403 ، ح 50.</w:t>
      </w:r>
    </w:p>
    <w:p w:rsidR="008A74EB" w:rsidRPr="00C9040A" w:rsidRDefault="006C577F" w:rsidP="004A4E41">
      <w:pPr>
        <w:pStyle w:val="libFootnote0"/>
        <w:rPr>
          <w:rtl/>
          <w:lang w:bidi="fa-IR"/>
        </w:rPr>
      </w:pPr>
      <w:r>
        <w:rPr>
          <w:rtl/>
        </w:rPr>
        <w:t>(12).</w:t>
      </w:r>
      <w:r w:rsidR="008A74EB" w:rsidRPr="00C9040A">
        <w:rPr>
          <w:rtl/>
        </w:rPr>
        <w:t xml:space="preserve"> في « ف » </w:t>
      </w:r>
      <w:r w:rsidR="008A74EB">
        <w:rPr>
          <w:rtl/>
        </w:rPr>
        <w:t xml:space="preserve">: </w:t>
      </w:r>
      <w:r w:rsidR="0084262C">
        <w:rPr>
          <w:rtl/>
        </w:rPr>
        <w:t>-</w:t>
      </w:r>
      <w:r w:rsidR="008A74EB" w:rsidRPr="00C9040A">
        <w:rPr>
          <w:rtl/>
        </w:rPr>
        <w:t xml:space="preserve"> « في »</w:t>
      </w:r>
      <w:r w:rsidR="008A74EB">
        <w:rPr>
          <w:rtl/>
        </w:rPr>
        <w:t>.</w:t>
      </w:r>
    </w:p>
    <w:p w:rsidR="008A74EB" w:rsidRPr="00C9040A" w:rsidRDefault="008A74EB" w:rsidP="004A4E41">
      <w:pPr>
        <w:pStyle w:val="libFootnote0"/>
        <w:rPr>
          <w:rtl/>
          <w:lang w:bidi="fa-IR"/>
        </w:rPr>
      </w:pPr>
      <w:r>
        <w:rPr>
          <w:rtl/>
        </w:rPr>
        <w:t>(13)</w:t>
      </w:r>
      <w:r w:rsidRPr="00C9040A">
        <w:rPr>
          <w:rtl/>
        </w:rPr>
        <w:t xml:space="preserve"> في « بر » </w:t>
      </w:r>
      <w:r>
        <w:rPr>
          <w:rtl/>
        </w:rPr>
        <w:t xml:space="preserve">: </w:t>
      </w:r>
      <w:r w:rsidR="0084262C">
        <w:rPr>
          <w:rtl/>
        </w:rPr>
        <w:t>-</w:t>
      </w:r>
      <w:r w:rsidRPr="00C9040A">
        <w:rPr>
          <w:rtl/>
        </w:rPr>
        <w:t xml:space="preserve"> « محمّد بن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عَنْ عَبْدِ اللهِ بْنِ مُسْكَانَ ، عَنْ سُلَيْمَانَ بْنِ خَالِدٍ ، قَالَ :</w:t>
      </w:r>
    </w:p>
    <w:p w:rsidR="008A74EB" w:rsidRPr="00C9040A" w:rsidRDefault="008A74EB" w:rsidP="008A74EB">
      <w:pPr>
        <w:pStyle w:val="libNormal"/>
        <w:rPr>
          <w:rtl/>
          <w:lang w:bidi="fa-IR"/>
        </w:rPr>
      </w:pPr>
      <w:r w:rsidRPr="00C9040A">
        <w:rPr>
          <w:rtl/>
          <w:lang w:bidi="fa-IR"/>
        </w:rPr>
        <w:t xml:space="preserve">قُلْتُ لِأَبِي عَبْدِ اللهِ </w:t>
      </w:r>
      <w:r w:rsidRPr="0003660B">
        <w:rPr>
          <w:rStyle w:val="libAlaemChar"/>
          <w:rtl/>
        </w:rPr>
        <w:t>عليه‌السلام</w:t>
      </w:r>
      <w:r w:rsidRPr="00C9040A">
        <w:rPr>
          <w:rtl/>
          <w:lang w:bidi="fa-IR"/>
        </w:rPr>
        <w:t xml:space="preserve"> : إِنَّ لِي أَهْلَ بَيْتٍ</w:t>
      </w:r>
      <w:r>
        <w:rPr>
          <w:rtl/>
          <w:lang w:bidi="fa-IR"/>
        </w:rPr>
        <w:t xml:space="preserve"> وَهُمْ يَسْمَعُونَ مِنِّي ، أَ</w:t>
      </w:r>
      <w:r w:rsidRPr="00C9040A">
        <w:rPr>
          <w:rtl/>
          <w:lang w:bidi="fa-IR"/>
        </w:rPr>
        <w:t xml:space="preserve">فَأَدْعُوهُمْ </w:t>
      </w:r>
      <w:r w:rsidR="006C577F" w:rsidRPr="006C577F">
        <w:rPr>
          <w:rStyle w:val="libFootnotenumChar"/>
          <w:rtl/>
        </w:rPr>
        <w:t>(1)</w:t>
      </w:r>
      <w:r w:rsidRPr="00C9040A">
        <w:rPr>
          <w:rtl/>
          <w:lang w:bidi="fa-IR"/>
        </w:rPr>
        <w:t xml:space="preserve"> إِلى هذَا الْأَمْرِ</w:t>
      </w:r>
      <w:r>
        <w:rPr>
          <w:rtl/>
          <w:lang w:bidi="fa-IR"/>
        </w:rPr>
        <w:t>؟</w:t>
      </w:r>
    </w:p>
    <w:p w:rsidR="008A74EB" w:rsidRPr="00C9040A" w:rsidRDefault="008A74EB" w:rsidP="008A74EB">
      <w:pPr>
        <w:pStyle w:val="libNormal"/>
        <w:rPr>
          <w:rtl/>
          <w:lang w:bidi="fa-IR"/>
        </w:rPr>
      </w:pPr>
      <w:r w:rsidRPr="00C9040A">
        <w:rPr>
          <w:rtl/>
          <w:lang w:bidi="fa-IR"/>
        </w:rPr>
        <w:t>فَقَالَ : « نَعَمْ ، إِنَّ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يَقُولُ فِي كِتَابِهِ : </w:t>
      </w:r>
      <w:r w:rsidRPr="0003660B">
        <w:rPr>
          <w:rStyle w:val="libAlaemChar"/>
          <w:rtl/>
        </w:rPr>
        <w:t>(</w:t>
      </w:r>
      <w:r w:rsidRPr="006A2246">
        <w:rPr>
          <w:rStyle w:val="libAieChar"/>
          <w:rtl/>
        </w:rPr>
        <w:t xml:space="preserve"> يا أَيُّهَا الَّذِينَ آمَنُوا قُوا أَنْفُسَكُمْ وَأَهْلِيكُمْ ناراً وَقُودُهَا النّاسُ وَالْحِجارَةُ </w:t>
      </w:r>
      <w:r w:rsidRPr="0003660B">
        <w:rPr>
          <w:rStyle w:val="libAlaemChar"/>
          <w:rtl/>
        </w:rPr>
        <w:t>)</w:t>
      </w:r>
      <w:r w:rsidRPr="00C9040A">
        <w:rPr>
          <w:rtl/>
          <w:lang w:bidi="fa-IR"/>
        </w:rPr>
        <w:t xml:space="preserve"> </w:t>
      </w:r>
      <w:r w:rsidR="006C577F" w:rsidRPr="006C577F">
        <w:rPr>
          <w:rStyle w:val="libFootnotenumChar"/>
          <w:rtl/>
        </w:rPr>
        <w:t>(2)</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Heading2Center"/>
        <w:rPr>
          <w:rtl/>
          <w:lang w:bidi="fa-IR"/>
        </w:rPr>
      </w:pPr>
      <w:bookmarkStart w:id="292" w:name="_Toc343795685"/>
      <w:bookmarkStart w:id="293" w:name="_Toc459810809"/>
      <w:bookmarkStart w:id="294" w:name="_Toc35348715"/>
      <w:r w:rsidRPr="00C9040A">
        <w:rPr>
          <w:rtl/>
          <w:lang w:bidi="fa-IR"/>
        </w:rPr>
        <w:t>94</w:t>
      </w:r>
      <w:r>
        <w:rPr>
          <w:rtl/>
          <w:lang w:bidi="fa-IR"/>
        </w:rPr>
        <w:t xml:space="preserve"> </w:t>
      </w:r>
      <w:r w:rsidR="0084262C">
        <w:rPr>
          <w:rtl/>
          <w:lang w:bidi="fa-IR"/>
        </w:rPr>
        <w:t>-</w:t>
      </w:r>
      <w:r>
        <w:rPr>
          <w:rtl/>
          <w:lang w:bidi="fa-IR"/>
        </w:rPr>
        <w:t xml:space="preserve"> </w:t>
      </w:r>
      <w:r w:rsidRPr="00C9040A">
        <w:rPr>
          <w:rtl/>
          <w:lang w:bidi="fa-IR"/>
        </w:rPr>
        <w:t xml:space="preserve">بَابٌ فِي </w:t>
      </w:r>
      <w:r w:rsidR="006C577F" w:rsidRPr="006C577F">
        <w:rPr>
          <w:rStyle w:val="libFootnotenumChar"/>
          <w:rtl/>
        </w:rPr>
        <w:t>(4)</w:t>
      </w:r>
      <w:r>
        <w:rPr>
          <w:rtl/>
        </w:rPr>
        <w:t xml:space="preserve"> </w:t>
      </w:r>
      <w:r w:rsidRPr="00C9040A">
        <w:rPr>
          <w:rtl/>
          <w:lang w:bidi="fa-IR"/>
        </w:rPr>
        <w:t>تَرْكِ دُعَاءِ النَّاسِ‌</w:t>
      </w:r>
      <w:bookmarkEnd w:id="292"/>
      <w:bookmarkEnd w:id="293"/>
      <w:bookmarkEnd w:id="294"/>
    </w:p>
    <w:p w:rsidR="008A74EB" w:rsidRPr="00C9040A" w:rsidRDefault="008A74EB" w:rsidP="008A74EB">
      <w:pPr>
        <w:pStyle w:val="libNormal"/>
        <w:rPr>
          <w:rtl/>
          <w:lang w:bidi="fa-IR"/>
        </w:rPr>
      </w:pPr>
      <w:r w:rsidRPr="004A2A49">
        <w:rPr>
          <w:rtl/>
        </w:rPr>
        <w:t>2226</w:t>
      </w:r>
      <w:r w:rsidRPr="00261CB0">
        <w:rPr>
          <w:rStyle w:val="libBold2Char"/>
          <w:rtl/>
        </w:rPr>
        <w:t xml:space="preserve"> / 1.</w:t>
      </w:r>
      <w:r w:rsidRPr="00C9040A">
        <w:rPr>
          <w:rtl/>
          <w:lang w:bidi="fa-IR"/>
        </w:rPr>
        <w:t xml:space="preserve"> عَلِيُّ بْنُ إِبْرَاهِيمَ ، عَنْ أَبِيهِ ، عَنِ ابْنِ أَبِي عُمَيْرٍ ، عَنْ كُلَيْبِ بْنِ مُعَاوِيَةَ الصَّيْدَاوِيِّ ، قَالَ :</w:t>
      </w:r>
    </w:p>
    <w:p w:rsidR="008A74EB" w:rsidRPr="00C9040A" w:rsidRDefault="008A74EB" w:rsidP="008A74EB">
      <w:pPr>
        <w:pStyle w:val="libNormal"/>
        <w:rPr>
          <w:rtl/>
          <w:lang w:bidi="fa-IR"/>
        </w:rPr>
      </w:pPr>
      <w:r w:rsidRPr="00C9040A">
        <w:rPr>
          <w:rtl/>
          <w:lang w:bidi="fa-IR"/>
        </w:rPr>
        <w:t xml:space="preserve">قَالَ لِي </w:t>
      </w:r>
      <w:r w:rsidR="006C577F" w:rsidRPr="006C577F">
        <w:rPr>
          <w:rStyle w:val="libFootnotenumChar"/>
          <w:rtl/>
        </w:rPr>
        <w:t>(5)</w:t>
      </w:r>
      <w:r w:rsidRPr="00C9040A">
        <w:rPr>
          <w:rtl/>
          <w:lang w:bidi="fa-IR"/>
        </w:rPr>
        <w:t xml:space="preserve"> أَبُو عَبْدِ اللهِ </w:t>
      </w:r>
      <w:r w:rsidRPr="0003660B">
        <w:rPr>
          <w:rStyle w:val="libAlaemChar"/>
          <w:rtl/>
        </w:rPr>
        <w:t>عليه‌السلام</w:t>
      </w:r>
      <w:r w:rsidRPr="00C9040A">
        <w:rPr>
          <w:rtl/>
          <w:lang w:bidi="fa-IR"/>
        </w:rPr>
        <w:t xml:space="preserve"> : « إِيَّاكُمْ وَالنَّاسَ </w:t>
      </w:r>
      <w:r w:rsidR="006C577F" w:rsidRPr="006C577F">
        <w:rPr>
          <w:rStyle w:val="libFootnotenumChar"/>
          <w:rtl/>
        </w:rPr>
        <w:t>(6)</w:t>
      </w:r>
      <w:r w:rsidRPr="005B567D">
        <w:rPr>
          <w:rStyle w:val="libFootnotenumChar"/>
          <w:rtl/>
        </w:rPr>
        <w:t xml:space="preserve"> </w:t>
      </w:r>
      <w:r w:rsidRPr="00C9040A">
        <w:rPr>
          <w:rtl/>
          <w:lang w:bidi="fa-IR"/>
        </w:rPr>
        <w:t>؛ إِنَّ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إِذَا أَرَادَ بِعَبْدٍ خَيْراً ، نَكَتَ فِي قَلْبِهِ نُكْتَةً </w:t>
      </w:r>
      <w:r w:rsidR="006C577F" w:rsidRPr="006C577F">
        <w:rPr>
          <w:rStyle w:val="libFootnotenumChar"/>
          <w:rtl/>
        </w:rPr>
        <w:t>(7)</w:t>
      </w:r>
      <w:r w:rsidRPr="00C9040A">
        <w:rPr>
          <w:rtl/>
          <w:lang w:bidi="fa-IR"/>
        </w:rPr>
        <w:t xml:space="preserve"> ، فَتَرَكَهُ وَهُوَ يَجُولُ </w:t>
      </w:r>
      <w:r w:rsidR="006C577F" w:rsidRPr="006C577F">
        <w:rPr>
          <w:rStyle w:val="libFootnotenumChar"/>
          <w:rtl/>
        </w:rPr>
        <w:t>(8)</w:t>
      </w:r>
      <w:r w:rsidRPr="00C9040A">
        <w:rPr>
          <w:rtl/>
          <w:lang w:bidi="fa-IR"/>
        </w:rPr>
        <w:t xml:space="preserve"> لِذلِكَ وَيَطْلُبُهُ »</w:t>
      </w:r>
      <w:r>
        <w:rPr>
          <w:rtl/>
          <w:lang w:bidi="fa-IR"/>
        </w:rPr>
        <w:t>.</w:t>
      </w:r>
    </w:p>
    <w:p w:rsidR="008A74EB" w:rsidRPr="00C9040A" w:rsidRDefault="008A74EB" w:rsidP="008A74EB">
      <w:pPr>
        <w:pStyle w:val="libNormal"/>
        <w:rPr>
          <w:rtl/>
          <w:lang w:bidi="fa-IR"/>
        </w:rPr>
      </w:pPr>
      <w:r w:rsidRPr="00C9040A">
        <w:rPr>
          <w:rtl/>
          <w:lang w:bidi="fa-IR"/>
        </w:rPr>
        <w:t xml:space="preserve">ثُمَّ قَالَ : « لَوْ أَنَّكُمْ إِذَا كَلَّمْتُمُ النَّاسَ ، قُلْتُمْ </w:t>
      </w:r>
      <w:r w:rsidR="006C577F" w:rsidRPr="006C577F">
        <w:rPr>
          <w:rStyle w:val="libFootnotenumChar"/>
          <w:rtl/>
        </w:rPr>
        <w:t>(9)</w:t>
      </w:r>
      <w:r w:rsidRPr="00C9040A">
        <w:rPr>
          <w:rtl/>
          <w:lang w:bidi="fa-IR"/>
        </w:rPr>
        <w:t xml:space="preserve"> : ذَهَبْنَا حَيْثُ ذَهَبَ اللهُ ، وَاخْتَرْنَا مَنِ‌</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ف » : « فأدعوهم » بدون الهمزة.</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التحريم (66) : 6.</w:t>
      </w:r>
    </w:p>
    <w:p w:rsidR="008A74EB" w:rsidRPr="00C9040A" w:rsidRDefault="006C577F" w:rsidP="004A4E41">
      <w:pPr>
        <w:pStyle w:val="libFootnote0"/>
        <w:rPr>
          <w:rtl/>
          <w:lang w:bidi="fa-IR"/>
        </w:rPr>
      </w:pPr>
      <w:r>
        <w:rPr>
          <w:rtl/>
        </w:rPr>
        <w:t>(3).</w:t>
      </w:r>
      <w:r w:rsidR="008A74EB" w:rsidRPr="00C9040A">
        <w:rPr>
          <w:rtl/>
        </w:rPr>
        <w:t xml:space="preserve"> </w:t>
      </w:r>
      <w:r w:rsidR="008A74EB" w:rsidRPr="00993B55">
        <w:rPr>
          <w:rStyle w:val="libFootnoteBoldChar"/>
          <w:rtl/>
        </w:rPr>
        <w:t>المحاسن</w:t>
      </w:r>
      <w:r w:rsidR="008A74EB" w:rsidRPr="00C9040A">
        <w:rPr>
          <w:rtl/>
        </w:rPr>
        <w:t xml:space="preserve"> ، ص 231 ، كتاب مصابيح الظلم ، ح 180 ، عن أخيه ، عن عليّ بن النعمان </w:t>
      </w:r>
      <w:r w:rsidR="007648A3">
        <w:rPr>
          <w:rFonts w:hint="cs"/>
          <w:rtl/>
        </w:rPr>
        <w:t>.</w:t>
      </w:r>
      <w:r w:rsidR="008A74EB" w:rsidRPr="00993B55">
        <w:rPr>
          <w:rStyle w:val="libFootnoteBoldChar"/>
          <w:rtl/>
        </w:rPr>
        <w:t>الوافي</w:t>
      </w:r>
      <w:r w:rsidR="008A74EB" w:rsidRPr="00C9040A">
        <w:rPr>
          <w:rtl/>
        </w:rPr>
        <w:t xml:space="preserve"> ، ج 5 ، ص 683 ، ح 2876 ؛ </w:t>
      </w:r>
      <w:r w:rsidR="008A74EB" w:rsidRPr="00993B55">
        <w:rPr>
          <w:rStyle w:val="libFootnoteBoldChar"/>
          <w:rtl/>
        </w:rPr>
        <w:t>الوسائل</w:t>
      </w:r>
      <w:r w:rsidR="008A74EB" w:rsidRPr="00C9040A">
        <w:rPr>
          <w:rtl/>
        </w:rPr>
        <w:t xml:space="preserve"> ، ج 16 ، ص 189 ، ح 21312 ؛ </w:t>
      </w:r>
      <w:r w:rsidR="008A74EB" w:rsidRPr="00993B55">
        <w:rPr>
          <w:rStyle w:val="libFootnoteBoldChar"/>
          <w:rtl/>
        </w:rPr>
        <w:t>البحار</w:t>
      </w:r>
      <w:r w:rsidR="008A74EB" w:rsidRPr="00C9040A">
        <w:rPr>
          <w:rtl/>
        </w:rPr>
        <w:t xml:space="preserve"> ، ج 74 ، ص 86 ، ح 101.</w:t>
      </w:r>
    </w:p>
    <w:p w:rsidR="008A74EB" w:rsidRPr="00C9040A" w:rsidRDefault="006C577F" w:rsidP="004A4E41">
      <w:pPr>
        <w:pStyle w:val="libFootnote0"/>
        <w:rPr>
          <w:rtl/>
          <w:lang w:bidi="fa-IR"/>
        </w:rPr>
      </w:pPr>
      <w:r>
        <w:rPr>
          <w:rtl/>
        </w:rPr>
        <w:t>(4).</w:t>
      </w:r>
      <w:r w:rsidR="008A74EB" w:rsidRPr="00C9040A">
        <w:rPr>
          <w:rtl/>
        </w:rPr>
        <w:t xml:space="preserve"> في « بس » </w:t>
      </w:r>
      <w:r w:rsidR="008A74EB">
        <w:rPr>
          <w:rtl/>
        </w:rPr>
        <w:t xml:space="preserve">: </w:t>
      </w:r>
      <w:r w:rsidR="0084262C">
        <w:rPr>
          <w:rtl/>
        </w:rPr>
        <w:t>-</w:t>
      </w:r>
      <w:r w:rsidR="008A74EB" w:rsidRPr="00C9040A">
        <w:rPr>
          <w:rtl/>
        </w:rPr>
        <w:t xml:space="preserve"> « في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w:t>
      </w:r>
      <w:r w:rsidR="006D3162">
        <w:rPr>
          <w:rtl/>
        </w:rPr>
        <w:t xml:space="preserve">ه </w:t>
      </w:r>
      <w:r w:rsidR="008A74EB" w:rsidRPr="00C9040A">
        <w:rPr>
          <w:rtl/>
        </w:rPr>
        <w:t xml:space="preserve">» </w:t>
      </w:r>
      <w:r w:rsidR="008A74EB">
        <w:rPr>
          <w:rtl/>
        </w:rPr>
        <w:t xml:space="preserve">: </w:t>
      </w:r>
      <w:r w:rsidR="0084262C">
        <w:rPr>
          <w:rtl/>
        </w:rPr>
        <w:t>-</w:t>
      </w:r>
      <w:r w:rsidR="008A74EB" w:rsidRPr="00C9040A">
        <w:rPr>
          <w:rtl/>
        </w:rPr>
        <w:t xml:space="preserve"> « لي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w:t>
      </w:r>
      <w:r w:rsidR="008A74EB" w:rsidRPr="00993B55">
        <w:rPr>
          <w:rStyle w:val="libFootnoteBoldChar"/>
          <w:rtl/>
        </w:rPr>
        <w:t>مرآة العقول</w:t>
      </w:r>
      <w:r w:rsidR="008A74EB" w:rsidRPr="00C9040A">
        <w:rPr>
          <w:rtl/>
        </w:rPr>
        <w:t xml:space="preserve"> ، ج 9 ، ص 154 : « إيّاكم والناس ، أي احذروا دعوتهم في زمن شدّة التقيّة. وعلّل ذلك بأنّ من كان قابلاً للهداية وأراد الله ذلك نكت في قلبه نكتة من نور ، كناية عن أنّه يلقى في قلبه ما يصير به طالباً للحقّ ، متهيّئاً لقبوله »</w:t>
      </w:r>
      <w:r w:rsidR="008A74EB">
        <w:rPr>
          <w:rtl/>
        </w:rPr>
        <w:t>.</w:t>
      </w:r>
    </w:p>
    <w:p w:rsidR="007648A3" w:rsidRDefault="006C577F" w:rsidP="007648A3">
      <w:pPr>
        <w:pStyle w:val="libFootnote0"/>
        <w:rPr>
          <w:rtl/>
        </w:rPr>
      </w:pPr>
      <w:r>
        <w:rPr>
          <w:rtl/>
        </w:rPr>
        <w:t>(7).</w:t>
      </w:r>
      <w:r w:rsidR="008A74EB" w:rsidRPr="00C9040A">
        <w:rPr>
          <w:rtl/>
        </w:rPr>
        <w:t xml:space="preserve"> في مرآة العقول : + « من نور »</w:t>
      </w:r>
      <w:r w:rsidR="008A74EB">
        <w:rPr>
          <w:rtl/>
        </w:rPr>
        <w:t>.</w:t>
      </w:r>
      <w:r w:rsidR="008A74EB" w:rsidRPr="00C9040A">
        <w:rPr>
          <w:rtl/>
        </w:rPr>
        <w:t xml:space="preserve"> وفي المحاسن : + « بيضاء »</w:t>
      </w:r>
      <w:r w:rsidR="008A74EB">
        <w:rPr>
          <w:rtl/>
        </w:rPr>
        <w:t>.</w:t>
      </w:r>
      <w:r w:rsidR="008A74EB" w:rsidRPr="00C9040A">
        <w:rPr>
          <w:rtl/>
        </w:rPr>
        <w:t xml:space="preserve"> والنكتة في الشي‌ء : كالنقطة وشِبْه وسخ في المرآة ، وكلّ شي‌ء مثله سواد في بياض أو بياض في سواد فهو نكتة. والجمع : نُكَت ونِكات. </w:t>
      </w:r>
      <w:r w:rsidR="008A74EB" w:rsidRPr="00993B55">
        <w:rPr>
          <w:rStyle w:val="libFootnoteBoldChar"/>
          <w:rtl/>
        </w:rPr>
        <w:t>المصباح المنير</w:t>
      </w:r>
      <w:r w:rsidR="008A74EB" w:rsidRPr="00C9040A">
        <w:rPr>
          <w:rtl/>
        </w:rPr>
        <w:t xml:space="preserve"> ، ص 624 ؛ </w:t>
      </w:r>
      <w:r w:rsidR="008A74EB" w:rsidRPr="00993B55">
        <w:rPr>
          <w:rStyle w:val="libFootnoteBoldChar"/>
          <w:rtl/>
        </w:rPr>
        <w:t>ترتيب كتاب العين</w:t>
      </w:r>
      <w:r w:rsidR="008A74EB" w:rsidRPr="00C9040A">
        <w:rPr>
          <w:rtl/>
        </w:rPr>
        <w:t xml:space="preserve"> ، ج 3 ، ص 1837 ( نكت )</w:t>
      </w:r>
      <w:r w:rsidR="008A74EB">
        <w:rPr>
          <w:rtl/>
        </w:rPr>
        <w:t>.</w:t>
      </w:r>
      <w:r w:rsidR="007648A3">
        <w:rPr>
          <w:rFonts w:hint="cs"/>
          <w:rtl/>
        </w:rPr>
        <w:t xml:space="preserve">     </w:t>
      </w:r>
      <w:r>
        <w:rPr>
          <w:rtl/>
        </w:rPr>
        <w:t>(8).</w:t>
      </w:r>
      <w:r w:rsidR="008A74EB" w:rsidRPr="00C9040A">
        <w:rPr>
          <w:rtl/>
        </w:rPr>
        <w:t xml:space="preserve"> في المحاسن : « فإذا هو يجول »</w:t>
      </w:r>
      <w:r w:rsidR="008A74EB">
        <w:rPr>
          <w:rtl/>
        </w:rPr>
        <w:t>.</w:t>
      </w:r>
    </w:p>
    <w:p w:rsidR="008A74EB" w:rsidRPr="00C9040A" w:rsidRDefault="006C577F" w:rsidP="007648A3">
      <w:pPr>
        <w:pStyle w:val="libFootnote0"/>
        <w:rPr>
          <w:rtl/>
          <w:lang w:bidi="fa-IR"/>
        </w:rPr>
      </w:pPr>
      <w:r>
        <w:rPr>
          <w:rtl/>
        </w:rPr>
        <w:t>(9).</w:t>
      </w:r>
      <w:r w:rsidR="008A74EB" w:rsidRPr="00C9040A">
        <w:rPr>
          <w:rtl/>
        </w:rPr>
        <w:t xml:space="preserve"> في « ب » : « فقلتم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اخْتَارَ اللهُ ، اخْتَارَ </w:t>
      </w:r>
      <w:r w:rsidR="006C577F" w:rsidRPr="006C577F">
        <w:rPr>
          <w:rStyle w:val="libFootnotenumChar"/>
          <w:rtl/>
        </w:rPr>
        <w:t>(1)</w:t>
      </w:r>
      <w:r w:rsidRPr="00C9040A">
        <w:rPr>
          <w:rtl/>
          <w:lang w:bidi="fa-IR"/>
        </w:rPr>
        <w:t xml:space="preserve"> اللهُ مُحَمَّداً ، وَاخْتَرْنَا </w:t>
      </w:r>
      <w:r w:rsidR="006C577F" w:rsidRPr="006C577F">
        <w:rPr>
          <w:rStyle w:val="libFootnotenumChar"/>
          <w:rtl/>
        </w:rPr>
        <w:t>(2)</w:t>
      </w:r>
      <w:r w:rsidRPr="00C9040A">
        <w:rPr>
          <w:rtl/>
          <w:lang w:bidi="fa-IR"/>
        </w:rPr>
        <w:t xml:space="preserve"> آلَ مُحَمَّدٍ صَلَّى اللهُ عَلَيْهِ وَعَلَيْهِمْ </w:t>
      </w:r>
      <w:r w:rsidR="006C577F" w:rsidRPr="006C577F">
        <w:rPr>
          <w:rStyle w:val="libFootnotenumChar"/>
          <w:rtl/>
        </w:rPr>
        <w:t>(3)</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4A2A49">
        <w:rPr>
          <w:rtl/>
        </w:rPr>
        <w:t>2227</w:t>
      </w:r>
      <w:r w:rsidRPr="00261CB0">
        <w:rPr>
          <w:rStyle w:val="libBold2Char"/>
          <w:rtl/>
        </w:rPr>
        <w:t xml:space="preserve"> / 2.</w:t>
      </w:r>
      <w:r w:rsidRPr="00C9040A">
        <w:rPr>
          <w:rtl/>
          <w:lang w:bidi="fa-IR"/>
        </w:rPr>
        <w:t xml:space="preserve"> مُحَمَّدُ بْنُ يَحْيى ، عَنْ أَحْمَدَ بْنِ مُحَمَّدِ بْنِ عِيسى ، عَنْ مُحَمَّدِ بْنِ إِسْمَاعِيلَ ، عَنْ أَبِي إِسْمَاعِيلَ السَّرَّاجِ ، عَنِ ابْنِ مُسْكَانَ ، عَنْ ثَابِتٍ أَبِي سَعِيدٍ </w:t>
      </w:r>
      <w:r w:rsidR="006C577F" w:rsidRPr="006C577F">
        <w:rPr>
          <w:rStyle w:val="libFootnotenumChar"/>
          <w:rtl/>
        </w:rPr>
        <w:t>(5)</w:t>
      </w:r>
      <w:r w:rsidRPr="00C9040A">
        <w:rPr>
          <w:rtl/>
          <w:lang w:bidi="fa-IR"/>
        </w:rPr>
        <w:t xml:space="preserve"> ، قَالَ :</w:t>
      </w:r>
    </w:p>
    <w:p w:rsidR="008A74EB" w:rsidRPr="00C9040A" w:rsidRDefault="008A74EB" w:rsidP="008A74EB">
      <w:pPr>
        <w:pStyle w:val="libNormal"/>
        <w:rPr>
          <w:rtl/>
          <w:lang w:bidi="fa-IR"/>
        </w:rPr>
      </w:pPr>
      <w:r w:rsidRPr="00C9040A">
        <w:rPr>
          <w:rtl/>
          <w:lang w:bidi="fa-IR"/>
        </w:rPr>
        <w:t xml:space="preserve">قَالَ لِي </w:t>
      </w:r>
      <w:r w:rsidR="006C577F" w:rsidRPr="006C577F">
        <w:rPr>
          <w:rStyle w:val="libFootnotenumChar"/>
          <w:rtl/>
        </w:rPr>
        <w:t>(6)</w:t>
      </w:r>
      <w:r w:rsidRPr="005B567D">
        <w:rPr>
          <w:rStyle w:val="libFootnotenumChar"/>
          <w:rtl/>
        </w:rPr>
        <w:t xml:space="preserve"> </w:t>
      </w:r>
      <w:r w:rsidRPr="00C9040A">
        <w:rPr>
          <w:rtl/>
          <w:lang w:bidi="fa-IR"/>
        </w:rPr>
        <w:t xml:space="preserve">أَبُو عَبْدِ اللهِ </w:t>
      </w:r>
      <w:r w:rsidRPr="0003660B">
        <w:rPr>
          <w:rStyle w:val="libAlaemChar"/>
          <w:rtl/>
        </w:rPr>
        <w:t>عليه‌السلام</w:t>
      </w:r>
      <w:r w:rsidRPr="00C9040A">
        <w:rPr>
          <w:rtl/>
          <w:lang w:bidi="fa-IR"/>
        </w:rPr>
        <w:t xml:space="preserve"> : « يَا ثَابِتُ ، مَا لَكُمْ وَلِلنَّاسِ </w:t>
      </w:r>
      <w:r w:rsidR="006C577F" w:rsidRPr="006C577F">
        <w:rPr>
          <w:rStyle w:val="libFootnotenumChar"/>
          <w:rtl/>
        </w:rPr>
        <w:t>(7)</w:t>
      </w:r>
      <w:r>
        <w:rPr>
          <w:rtl/>
          <w:lang w:bidi="fa-IR"/>
        </w:rPr>
        <w:t>؟</w:t>
      </w:r>
      <w:r w:rsidRPr="00C9040A">
        <w:rPr>
          <w:rtl/>
          <w:lang w:bidi="fa-IR"/>
        </w:rPr>
        <w:t xml:space="preserve"> كُفُّوا عَنِ النَّاسِ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085C4F">
      <w:pPr>
        <w:pStyle w:val="libFootnote0"/>
        <w:rPr>
          <w:rtl/>
          <w:lang w:bidi="fa-IR"/>
        </w:rPr>
      </w:pPr>
      <w:r>
        <w:rPr>
          <w:rtl/>
        </w:rPr>
        <w:t>(1).</w:t>
      </w:r>
      <w:r w:rsidR="008A74EB">
        <w:rPr>
          <w:rtl/>
        </w:rPr>
        <w:t xml:space="preserve"> </w:t>
      </w:r>
      <w:r w:rsidR="008A74EB" w:rsidRPr="00C9040A">
        <w:rPr>
          <w:rtl/>
        </w:rPr>
        <w:t xml:space="preserve">هكذا في « ب ، ج ، د ، ز ، ص ، ف ، </w:t>
      </w:r>
      <w:r w:rsidR="006D3162">
        <w:rPr>
          <w:rtl/>
        </w:rPr>
        <w:t xml:space="preserve">ه </w:t>
      </w:r>
      <w:r w:rsidR="008A74EB" w:rsidRPr="00C9040A">
        <w:rPr>
          <w:rtl/>
        </w:rPr>
        <w:t>، بر ، بس ، بف » والوافي والوسائل. وفي المطبوع : « واختار »</w:t>
      </w:r>
      <w:r w:rsidR="008A74EB">
        <w:rPr>
          <w:rtl/>
        </w:rPr>
        <w:t>.</w:t>
      </w:r>
      <w:r w:rsidR="008A74EB" w:rsidRPr="00C9040A">
        <w:rPr>
          <w:rtl/>
        </w:rPr>
        <w:t xml:space="preserve"> وفي « ز » </w:t>
      </w:r>
      <w:r w:rsidR="008A74EB">
        <w:rPr>
          <w:rtl/>
        </w:rPr>
        <w:t xml:space="preserve">: </w:t>
      </w:r>
      <w:r w:rsidR="0084262C">
        <w:rPr>
          <w:rtl/>
        </w:rPr>
        <w:t>-</w:t>
      </w:r>
      <w:r w:rsidR="008A74EB" w:rsidRPr="00C9040A">
        <w:rPr>
          <w:rtl/>
        </w:rPr>
        <w:t xml:space="preserve"> « اختار الله »</w:t>
      </w:r>
      <w:r w:rsidR="008A74EB">
        <w:rPr>
          <w:rtl/>
        </w:rPr>
        <w:t>.</w:t>
      </w:r>
      <w:r w:rsidR="00085C4F">
        <w:rPr>
          <w:rFonts w:hint="cs"/>
          <w:rtl/>
        </w:rPr>
        <w:t xml:space="preserve">                            </w:t>
      </w:r>
      <w:r>
        <w:rPr>
          <w:rtl/>
        </w:rPr>
        <w:t>(2).</w:t>
      </w:r>
      <w:r w:rsidR="008A74EB">
        <w:rPr>
          <w:rtl/>
        </w:rPr>
        <w:t xml:space="preserve"> </w:t>
      </w:r>
      <w:r w:rsidR="008A74EB" w:rsidRPr="00C9040A">
        <w:rPr>
          <w:rtl/>
        </w:rPr>
        <w:t xml:space="preserve">في « ض ، </w:t>
      </w:r>
      <w:r w:rsidR="006D3162">
        <w:rPr>
          <w:rtl/>
        </w:rPr>
        <w:t xml:space="preserve">ه </w:t>
      </w:r>
      <w:r w:rsidR="008A74EB" w:rsidRPr="00C9040A">
        <w:rPr>
          <w:rtl/>
        </w:rPr>
        <w:t>» : « فاخترنا »</w:t>
      </w:r>
      <w:r w:rsidR="008A74EB">
        <w:rPr>
          <w:rtl/>
        </w:rPr>
        <w:t>.</w:t>
      </w:r>
    </w:p>
    <w:p w:rsidR="008A74EB" w:rsidRPr="00C9040A" w:rsidRDefault="006C577F" w:rsidP="004A4E41">
      <w:pPr>
        <w:pStyle w:val="libFootnote0"/>
        <w:rPr>
          <w:rtl/>
          <w:lang w:bidi="fa-IR"/>
        </w:rPr>
      </w:pPr>
      <w:r>
        <w:rPr>
          <w:rtl/>
        </w:rPr>
        <w:t>(3).</w:t>
      </w:r>
      <w:r w:rsidR="00085C4F">
        <w:rPr>
          <w:rtl/>
        </w:rPr>
        <w:t xml:space="preserve"> قال العل</w:t>
      </w:r>
      <w:r w:rsidR="00085C4F">
        <w:rPr>
          <w:rFonts w:hint="cs"/>
          <w:rtl/>
        </w:rPr>
        <w:t>ّ</w:t>
      </w:r>
      <w:r w:rsidR="00085C4F">
        <w:rPr>
          <w:rtl/>
        </w:rPr>
        <w:t>ا</w:t>
      </w:r>
      <w:r w:rsidR="008A74EB" w:rsidRPr="00C9040A">
        <w:rPr>
          <w:rtl/>
        </w:rPr>
        <w:t>مة الطباطبائي : « ظاهر هذه الأخبار</w:t>
      </w:r>
      <w:r w:rsidR="008A74EB">
        <w:rPr>
          <w:rtl/>
        </w:rPr>
        <w:t xml:space="preserve"> </w:t>
      </w:r>
      <w:r w:rsidR="0084262C">
        <w:rPr>
          <w:rtl/>
        </w:rPr>
        <w:t>-</w:t>
      </w:r>
      <w:r w:rsidR="008A74EB">
        <w:rPr>
          <w:rtl/>
        </w:rPr>
        <w:t xml:space="preserve"> </w:t>
      </w:r>
      <w:r w:rsidR="008A74EB" w:rsidRPr="00C9040A">
        <w:rPr>
          <w:rtl/>
        </w:rPr>
        <w:t>كما يفسّره الخبر الرابع ، وكما يدلّ عليه العلّة المذكورة فيها ؛ أعني النكتة القلبيّة</w:t>
      </w:r>
      <w:r w:rsidR="008A74EB">
        <w:rPr>
          <w:rtl/>
        </w:rPr>
        <w:t xml:space="preserve"> </w:t>
      </w:r>
      <w:r w:rsidR="0084262C">
        <w:rPr>
          <w:rtl/>
        </w:rPr>
        <w:t>-</w:t>
      </w:r>
      <w:r w:rsidR="008A74EB">
        <w:rPr>
          <w:rtl/>
        </w:rPr>
        <w:t xml:space="preserve"> </w:t>
      </w:r>
      <w:r w:rsidR="008A74EB" w:rsidRPr="00C9040A">
        <w:rPr>
          <w:rtl/>
        </w:rPr>
        <w:t>: أنّ المعرفة من صنع الله وأنّ الإنسان لاصنع له فيها ، أي أنّ المعرفة غير اختياريّة ، بل مستندة إلى أسباب إلهيّة غير اختياريّة للإنسان ، فلا في اختيار الداعي أن يصنع المعرفة في قلب المدعوّ المنكر ، ولا في اختيار المدعوّ أن يعتقد بالحقّ من غير وجود الأسباب الإلهيّة.</w:t>
      </w:r>
    </w:p>
    <w:p w:rsidR="008A74EB" w:rsidRPr="00C9040A" w:rsidRDefault="008A74EB" w:rsidP="004A4E41">
      <w:pPr>
        <w:pStyle w:val="libFootnote0"/>
        <w:rPr>
          <w:rtl/>
          <w:lang w:bidi="fa-IR"/>
        </w:rPr>
      </w:pPr>
      <w:r w:rsidRPr="0082575F">
        <w:rPr>
          <w:rtl/>
        </w:rPr>
        <w:t>ومحصّل ما يظهر من هذه الأخبار وغيرها ممّا ينافيها بظاهرها أنّ الله سبحانه خلق الإنسان على دين الفطرة ، أي أنّه لو خلّي وطبعه أذعن بالحقّ واعترف به ، ثمّ إنّه لو وقع في مجرى معتدل في الحياة رسخت في نفسه صفات وملكات حسنة ، كالعدل والإنصاف ونحوهما ، وتمايل إلى الحقّ أينما وجده ، وكان على أهل العلم والإيمان أن يدعوا مثل هذا الإنسان حتّى يتشرّف بمعرفة تفاصيل الحقّ ، كما اعترف في نفسه بإجماله ، وهذا هو المراد بالآيات والأخبار الدالّة على وجوب الدعوة والتبليغ.</w:t>
      </w:r>
    </w:p>
    <w:p w:rsidR="008A74EB" w:rsidRPr="00C9040A" w:rsidRDefault="008A74EB" w:rsidP="004A4E41">
      <w:pPr>
        <w:pStyle w:val="libFootnote0"/>
        <w:rPr>
          <w:rtl/>
          <w:lang w:bidi="fa-IR"/>
        </w:rPr>
      </w:pPr>
      <w:r w:rsidRPr="0082575F">
        <w:rPr>
          <w:rtl/>
        </w:rPr>
        <w:t xml:space="preserve">وإن وقع في مجرى الهوى والشهوات ومباغضة الحقّ رسخت في نفسه ملكة العصبيّة الجاهليّة والعناد والطغيان ، وهو المراد بالنكتة السوداء ، وزالت عنه صفة الإنصاف والميل إلى الحقّ ، وامتنع تأثير الكلام الحقّ فيه </w:t>
      </w:r>
      <w:r w:rsidR="00085C4F">
        <w:rPr>
          <w:rtl/>
        </w:rPr>
        <w:t>، ولايزيد المخاصمة والإصرار إل</w:t>
      </w:r>
      <w:r w:rsidR="00085C4F">
        <w:rPr>
          <w:rFonts w:hint="cs"/>
          <w:rtl/>
        </w:rPr>
        <w:t>ّ</w:t>
      </w:r>
      <w:r w:rsidR="00085C4F">
        <w:rPr>
          <w:rtl/>
        </w:rPr>
        <w:t>ا</w:t>
      </w:r>
      <w:r w:rsidR="00085C4F">
        <w:rPr>
          <w:rFonts w:hint="cs"/>
          <w:rtl/>
        </w:rPr>
        <w:t xml:space="preserve"> </w:t>
      </w:r>
      <w:r w:rsidRPr="0082575F">
        <w:rPr>
          <w:rtl/>
        </w:rPr>
        <w:t>بعداً وعناداً.</w:t>
      </w:r>
    </w:p>
    <w:p w:rsidR="008A74EB" w:rsidRPr="00C9040A" w:rsidRDefault="008A74EB" w:rsidP="004A4E41">
      <w:pPr>
        <w:pStyle w:val="libFootnote0"/>
        <w:rPr>
          <w:rtl/>
          <w:lang w:bidi="fa-IR"/>
        </w:rPr>
      </w:pPr>
      <w:r w:rsidRPr="00323A39">
        <w:rPr>
          <w:rtl/>
        </w:rPr>
        <w:t xml:space="preserve">قوله </w:t>
      </w:r>
      <w:r w:rsidR="00117575" w:rsidRPr="00117575">
        <w:rPr>
          <w:rStyle w:val="libFootnoteAlaemChar"/>
          <w:rtl/>
        </w:rPr>
        <w:t>عليه‌السلام</w:t>
      </w:r>
      <w:r w:rsidRPr="00323A39">
        <w:rPr>
          <w:rtl/>
        </w:rPr>
        <w:t xml:space="preserve"> : « لو أنّكم إذا » إلى آخره ، « لو » حرف تمنّ ، والمراد : ليتكم إذا كلّمتم الناس لم تقولوا : يجب عليكم كذا عقلاً ، ويستحيل كذا عقلاً حتّى يصرّوا في الخصام ويشتدّ بذلك إصرارهم على الباطل ، بل قلتم : إنّ ديننا دين الله ومذهبنا مذهب من اختاره الله ، فلعلّ ذلك يوقظ روح الإنصاف والإذعان منهم ».</w:t>
      </w:r>
    </w:p>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الأمال</w:t>
      </w:r>
      <w:r w:rsidR="008A74EB" w:rsidRPr="00085C4F">
        <w:rPr>
          <w:rStyle w:val="libFootnoteBoldChar"/>
          <w:rtl/>
        </w:rPr>
        <w:t>ي للطوسي</w:t>
      </w:r>
      <w:r w:rsidR="008A74EB" w:rsidRPr="00C9040A">
        <w:rPr>
          <w:rtl/>
        </w:rPr>
        <w:t xml:space="preserve"> ، ص 226 ، المجلس 8 ، ح 47 ، بسنده عن ابن أبي‌عمير ، </w:t>
      </w:r>
      <w:r w:rsidR="00085C4F">
        <w:rPr>
          <w:rtl/>
        </w:rPr>
        <w:t>من قوله : « لو أنّكم إذا كلّمتم</w:t>
      </w:r>
      <w:r w:rsidR="008A74EB" w:rsidRPr="00C9040A">
        <w:rPr>
          <w:rtl/>
        </w:rPr>
        <w:t xml:space="preserve">» ، مع اختلاف يسير. </w:t>
      </w:r>
      <w:r w:rsidR="008A74EB" w:rsidRPr="00993B55">
        <w:rPr>
          <w:rStyle w:val="libFootnoteBoldChar"/>
          <w:rtl/>
        </w:rPr>
        <w:t>المحاسن</w:t>
      </w:r>
      <w:r w:rsidR="008A74EB" w:rsidRPr="00C9040A">
        <w:rPr>
          <w:rtl/>
        </w:rPr>
        <w:t xml:space="preserve"> ، ص 200 ، كتاب مصابيح الظلم ، ح 36 ، عن القاسم بن محمّد وفضّالة بن أيّوب ، عن كليب بن معاوية الأسدي ، إلى قوله : « وهو يجول لذلك ويطلبه » </w:t>
      </w:r>
      <w:r w:rsidR="00085C4F">
        <w:rPr>
          <w:rFonts w:hint="cs"/>
          <w:rtl/>
        </w:rPr>
        <w:t>.</w:t>
      </w:r>
      <w:r w:rsidR="008A74EB" w:rsidRPr="00993B55">
        <w:rPr>
          <w:rStyle w:val="libFootnoteBoldChar"/>
          <w:rtl/>
        </w:rPr>
        <w:t>الوافي</w:t>
      </w:r>
      <w:r w:rsidR="008A74EB" w:rsidRPr="00C9040A">
        <w:rPr>
          <w:rtl/>
        </w:rPr>
        <w:t xml:space="preserve"> ، ج 1 ، ص 563 ، ح 474 ؛ </w:t>
      </w:r>
      <w:r w:rsidR="008A74EB" w:rsidRPr="00993B55">
        <w:rPr>
          <w:rStyle w:val="libFootnoteBoldChar"/>
          <w:rtl/>
        </w:rPr>
        <w:t>الوسائل</w:t>
      </w:r>
      <w:r w:rsidR="008A74EB" w:rsidRPr="00C9040A">
        <w:rPr>
          <w:rtl/>
        </w:rPr>
        <w:t xml:space="preserve"> ، ج 16 ، ص 190 ، ح 21314 ؛ </w:t>
      </w:r>
      <w:r w:rsidR="008A74EB" w:rsidRPr="00993B55">
        <w:rPr>
          <w:rStyle w:val="libFootnoteBoldChar"/>
          <w:rtl/>
        </w:rPr>
        <w:t>البحار</w:t>
      </w:r>
      <w:r w:rsidR="008A74EB" w:rsidRPr="00C9040A">
        <w:rPr>
          <w:rtl/>
        </w:rPr>
        <w:t xml:space="preserve"> ، ج 68 ، ص 207 ، ح 11.</w:t>
      </w:r>
    </w:p>
    <w:p w:rsidR="008A74EB" w:rsidRPr="00C9040A" w:rsidRDefault="006C577F" w:rsidP="00085C4F">
      <w:pPr>
        <w:pStyle w:val="libFootnote0"/>
        <w:rPr>
          <w:rtl/>
          <w:lang w:bidi="fa-IR"/>
        </w:rPr>
      </w:pPr>
      <w:r>
        <w:rPr>
          <w:rtl/>
        </w:rPr>
        <w:t>(5).</w:t>
      </w:r>
      <w:r w:rsidR="008A74EB" w:rsidRPr="00C9040A">
        <w:rPr>
          <w:rtl/>
        </w:rPr>
        <w:t xml:space="preserve"> في البحار : « ثابت بن أبي‌سعيد »</w:t>
      </w:r>
      <w:r w:rsidR="008A74EB">
        <w:rPr>
          <w:rtl/>
        </w:rPr>
        <w:t>.</w:t>
      </w:r>
      <w:r w:rsidR="008A74EB" w:rsidRPr="00C9040A">
        <w:rPr>
          <w:rtl/>
        </w:rPr>
        <w:t xml:space="preserve"> والظاهر أنّ ثابتاً هذا ، هو ثابت بن عبدالله أبو سعيد البجلي ، كما تقدّم في </w:t>
      </w:r>
      <w:r w:rsidR="008A74EB" w:rsidRPr="00993B55">
        <w:rPr>
          <w:rStyle w:val="libFootnoteBoldChar"/>
          <w:rtl/>
        </w:rPr>
        <w:t>الكافي</w:t>
      </w:r>
      <w:r w:rsidR="008A74EB" w:rsidRPr="00C9040A">
        <w:rPr>
          <w:rtl/>
        </w:rPr>
        <w:t xml:space="preserve"> ، ذيل ح 430 ، فلاحظ.</w:t>
      </w:r>
      <w:r w:rsidR="00085C4F">
        <w:rPr>
          <w:rFonts w:hint="cs"/>
          <w:rtl/>
        </w:rPr>
        <w:t xml:space="preserve">                        </w:t>
      </w:r>
      <w:r>
        <w:rPr>
          <w:rtl/>
        </w:rPr>
        <w:t>(6).</w:t>
      </w:r>
      <w:r w:rsidR="008A74EB">
        <w:rPr>
          <w:rtl/>
        </w:rPr>
        <w:t xml:space="preserve"> </w:t>
      </w:r>
      <w:r w:rsidR="008A74EB" w:rsidRPr="00C9040A">
        <w:rPr>
          <w:rtl/>
        </w:rPr>
        <w:t xml:space="preserve">في « </w:t>
      </w:r>
      <w:r w:rsidR="006D3162">
        <w:rPr>
          <w:rtl/>
        </w:rPr>
        <w:t xml:space="preserve">ه </w:t>
      </w:r>
      <w:r w:rsidR="008A74EB" w:rsidRPr="00C9040A">
        <w:rPr>
          <w:rtl/>
        </w:rPr>
        <w:t xml:space="preserve">، بس » </w:t>
      </w:r>
      <w:r w:rsidR="008A74EB">
        <w:rPr>
          <w:rtl/>
        </w:rPr>
        <w:t xml:space="preserve">: </w:t>
      </w:r>
      <w:r w:rsidR="0084262C">
        <w:rPr>
          <w:rtl/>
        </w:rPr>
        <w:t>-</w:t>
      </w:r>
      <w:r w:rsidR="008A74EB" w:rsidRPr="00C9040A">
        <w:rPr>
          <w:rtl/>
        </w:rPr>
        <w:t xml:space="preserve"> « لي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د ، بر ، بف » وشرح المازندراني : « والناس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وَ</w:t>
      </w:r>
      <w:r>
        <w:rPr>
          <w:rFonts w:hint="cs"/>
          <w:rtl/>
          <w:lang w:bidi="fa-IR"/>
        </w:rPr>
        <w:t xml:space="preserve"> </w:t>
      </w:r>
      <w:r w:rsidR="006C577F" w:rsidRPr="006C577F">
        <w:rPr>
          <w:rStyle w:val="libFootnotenumChar"/>
          <w:rtl/>
        </w:rPr>
        <w:t>(1)</w:t>
      </w:r>
      <w:r w:rsidRPr="00C9040A">
        <w:rPr>
          <w:rtl/>
          <w:lang w:bidi="fa-IR"/>
        </w:rPr>
        <w:t xml:space="preserve"> لَاتَدْعُوا أَحَداً إِلى أَمْرِكُمْ ؛ فَوَ اللهِ لَوْ أَنَّ أَهْلَ السَّمَاءِ </w:t>
      </w:r>
      <w:r w:rsidR="006C577F" w:rsidRPr="006C577F">
        <w:rPr>
          <w:rStyle w:val="libFootnotenumChar"/>
          <w:rtl/>
        </w:rPr>
        <w:t>(2)</w:t>
      </w:r>
      <w:r w:rsidRPr="00C9040A">
        <w:rPr>
          <w:rtl/>
          <w:lang w:bidi="fa-IR"/>
        </w:rPr>
        <w:t xml:space="preserve"> وَأَهْلَ </w:t>
      </w:r>
      <w:r w:rsidR="006C577F" w:rsidRPr="006C577F">
        <w:rPr>
          <w:rStyle w:val="libFootnotenumChar"/>
          <w:rtl/>
        </w:rPr>
        <w:t>(3)</w:t>
      </w:r>
      <w:r w:rsidRPr="00C9040A">
        <w:rPr>
          <w:rtl/>
          <w:lang w:bidi="fa-IR"/>
        </w:rPr>
        <w:t xml:space="preserve"> الْأَرْضِ </w:t>
      </w:r>
      <w:r w:rsidR="006C577F" w:rsidRPr="006C577F">
        <w:rPr>
          <w:rStyle w:val="libFootnotenumChar"/>
          <w:rtl/>
        </w:rPr>
        <w:t>(4)</w:t>
      </w:r>
      <w:r w:rsidRPr="00C9040A">
        <w:rPr>
          <w:rtl/>
          <w:lang w:bidi="fa-IR"/>
        </w:rPr>
        <w:t xml:space="preserve"> اجْتَمَعُوا عَلى </w:t>
      </w:r>
      <w:r w:rsidR="006C577F" w:rsidRPr="006C577F">
        <w:rPr>
          <w:rStyle w:val="libFootnotenumChar"/>
          <w:rtl/>
        </w:rPr>
        <w:t>(5)</w:t>
      </w:r>
      <w:r w:rsidRPr="00C9040A">
        <w:rPr>
          <w:rtl/>
          <w:lang w:bidi="fa-IR"/>
        </w:rPr>
        <w:t xml:space="preserve"> أَنْ يُضِلُّوا عَبْداً يُرِيدُ اللهُ هُدَاهُ </w:t>
      </w:r>
      <w:r w:rsidR="006C577F" w:rsidRPr="006C577F">
        <w:rPr>
          <w:rStyle w:val="libFootnotenumChar"/>
          <w:rtl/>
        </w:rPr>
        <w:t>(6)</w:t>
      </w:r>
      <w:r w:rsidRPr="005B567D">
        <w:rPr>
          <w:rStyle w:val="libFootnotenumChar"/>
          <w:rtl/>
        </w:rPr>
        <w:t xml:space="preserve"> </w:t>
      </w:r>
      <w:r w:rsidRPr="00C9040A">
        <w:rPr>
          <w:rtl/>
          <w:lang w:bidi="fa-IR"/>
        </w:rPr>
        <w:t xml:space="preserve">، مَا اسْتَطَاعُوا </w:t>
      </w:r>
      <w:r w:rsidR="006C577F" w:rsidRPr="006C577F">
        <w:rPr>
          <w:rStyle w:val="libFootnotenumChar"/>
          <w:rtl/>
        </w:rPr>
        <w:t>(7)</w:t>
      </w:r>
      <w:r w:rsidRPr="00C9040A">
        <w:rPr>
          <w:rtl/>
          <w:lang w:bidi="fa-IR"/>
        </w:rPr>
        <w:t xml:space="preserve"> ؛ كُفُّوا عَنِ النَّاسِ ، وَلَا يَقُولُ </w:t>
      </w:r>
      <w:r w:rsidR="006C577F" w:rsidRPr="006C577F">
        <w:rPr>
          <w:rStyle w:val="libFootnotenumChar"/>
          <w:rtl/>
        </w:rPr>
        <w:t>(8)</w:t>
      </w:r>
      <w:r w:rsidRPr="00C9040A">
        <w:rPr>
          <w:rtl/>
          <w:lang w:bidi="fa-IR"/>
        </w:rPr>
        <w:t xml:space="preserve"> أَحَدُكُمْ </w:t>
      </w:r>
      <w:r w:rsidR="006C577F" w:rsidRPr="006C577F">
        <w:rPr>
          <w:rStyle w:val="libFootnotenumChar"/>
          <w:rtl/>
        </w:rPr>
        <w:t>(9)</w:t>
      </w:r>
      <w:r w:rsidRPr="00C9040A">
        <w:rPr>
          <w:rtl/>
          <w:lang w:bidi="fa-IR"/>
        </w:rPr>
        <w:t xml:space="preserve"> :</w:t>
      </w:r>
      <w:r>
        <w:rPr>
          <w:rFonts w:hint="cs"/>
          <w:rtl/>
          <w:lang w:bidi="fa-IR"/>
        </w:rPr>
        <w:t xml:space="preserve"> </w:t>
      </w:r>
      <w:r w:rsidRPr="00C9040A">
        <w:rPr>
          <w:rtl/>
          <w:lang w:bidi="fa-IR"/>
        </w:rPr>
        <w:t xml:space="preserve">أَخِي </w:t>
      </w:r>
      <w:r w:rsidR="006C577F" w:rsidRPr="006C577F">
        <w:rPr>
          <w:rStyle w:val="libFootnotenumChar"/>
          <w:rtl/>
        </w:rPr>
        <w:t>(10)</w:t>
      </w:r>
      <w:r w:rsidRPr="00C9040A">
        <w:rPr>
          <w:rtl/>
          <w:lang w:bidi="fa-IR"/>
        </w:rPr>
        <w:t xml:space="preserve"> وَابْنُ عَمِّي وَجَارِي ؛ فَإِنَّ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إِذَا أَرَادَ بِعَبْدٍ خَيْراً طَيَّبَ </w:t>
      </w:r>
      <w:r w:rsidR="006C577F" w:rsidRPr="006C577F">
        <w:rPr>
          <w:rStyle w:val="libFootnotenumChar"/>
          <w:rtl/>
        </w:rPr>
        <w:t>(11)</w:t>
      </w:r>
      <w:r w:rsidRPr="00C9040A">
        <w:rPr>
          <w:rtl/>
          <w:lang w:bidi="fa-IR"/>
        </w:rPr>
        <w:t xml:space="preserve"> رُوحَهُ ، فَلَا يَسْمَعُ بِمَعْرُوفٍ </w:t>
      </w:r>
      <w:r w:rsidR="006C577F" w:rsidRPr="006C577F">
        <w:rPr>
          <w:rStyle w:val="libFootnotenumChar"/>
          <w:rtl/>
        </w:rPr>
        <w:t>(12)</w:t>
      </w:r>
      <w:r w:rsidR="00085C4F">
        <w:rPr>
          <w:rtl/>
          <w:lang w:bidi="fa-IR"/>
        </w:rPr>
        <w:t xml:space="preserve"> إِل</w:t>
      </w:r>
      <w:r w:rsidR="00085C4F">
        <w:rPr>
          <w:rFonts w:hint="cs"/>
          <w:rtl/>
          <w:lang w:bidi="fa-IR"/>
        </w:rPr>
        <w:t>َّ</w:t>
      </w:r>
      <w:r w:rsidR="00085C4F">
        <w:rPr>
          <w:rtl/>
          <w:lang w:bidi="fa-IR"/>
        </w:rPr>
        <w:t>ا</w:t>
      </w:r>
      <w:r w:rsidRPr="00C9040A">
        <w:rPr>
          <w:rtl/>
          <w:lang w:bidi="fa-IR"/>
        </w:rPr>
        <w:t xml:space="preserve"> عَرَفَهُ ، وَلَا بِمُنْكَرٍ </w:t>
      </w:r>
      <w:r w:rsidRPr="005B567D">
        <w:rPr>
          <w:rStyle w:val="libFootnotenumChar"/>
          <w:rtl/>
        </w:rPr>
        <w:t>(13)</w:t>
      </w:r>
      <w:r w:rsidR="00085C4F">
        <w:rPr>
          <w:rtl/>
          <w:lang w:bidi="fa-IR"/>
        </w:rPr>
        <w:t xml:space="preserve"> إِل</w:t>
      </w:r>
      <w:r w:rsidR="00085C4F">
        <w:rPr>
          <w:rFonts w:hint="cs"/>
          <w:rtl/>
          <w:lang w:bidi="fa-IR"/>
        </w:rPr>
        <w:t>َّ</w:t>
      </w:r>
      <w:r w:rsidR="00085C4F">
        <w:rPr>
          <w:rtl/>
          <w:lang w:bidi="fa-IR"/>
        </w:rPr>
        <w:t>ا</w:t>
      </w:r>
      <w:r w:rsidRPr="00C9040A">
        <w:rPr>
          <w:rtl/>
          <w:lang w:bidi="fa-IR"/>
        </w:rPr>
        <w:t xml:space="preserve"> أَنْكَرَهُ ، ثُمَّ يَقْذِفُ اللهُ فِي قَلْبِهِ كَلِمَةً يَجْمَع</w:t>
      </w:r>
      <w:r w:rsidR="00085C4F">
        <w:rPr>
          <w:rtl/>
          <w:lang w:bidi="fa-IR"/>
        </w:rPr>
        <w:t>ُ بِهَا أَمْرَهُ</w:t>
      </w:r>
      <w:r w:rsidRPr="00C9040A">
        <w:rPr>
          <w:rtl/>
          <w:lang w:bidi="fa-IR"/>
        </w:rPr>
        <w:t>»</w:t>
      </w:r>
      <w:r>
        <w:rPr>
          <w:rtl/>
          <w:lang w:bidi="fa-IR"/>
        </w:rPr>
        <w:t>.</w:t>
      </w:r>
      <w:r w:rsidRPr="00C9040A">
        <w:rPr>
          <w:rtl/>
          <w:lang w:bidi="fa-IR"/>
        </w:rPr>
        <w:t xml:space="preserve"> </w:t>
      </w:r>
      <w:r w:rsidRPr="005B567D">
        <w:rPr>
          <w:rStyle w:val="libFootnotenumChar"/>
          <w:rtl/>
        </w:rPr>
        <w:t>(14)</w:t>
      </w:r>
    </w:p>
    <w:p w:rsidR="008A74EB" w:rsidRPr="00C9040A" w:rsidRDefault="008A74EB" w:rsidP="008A74EB">
      <w:pPr>
        <w:pStyle w:val="libNormal"/>
        <w:rPr>
          <w:rtl/>
          <w:lang w:bidi="fa-IR"/>
        </w:rPr>
      </w:pPr>
      <w:r w:rsidRPr="004A2A49">
        <w:rPr>
          <w:rtl/>
        </w:rPr>
        <w:t>2228</w:t>
      </w:r>
      <w:r w:rsidRPr="00261CB0">
        <w:rPr>
          <w:rStyle w:val="libBold2Char"/>
          <w:rtl/>
        </w:rPr>
        <w:t xml:space="preserve"> / 3.</w:t>
      </w:r>
      <w:r w:rsidRPr="00C9040A">
        <w:rPr>
          <w:rtl/>
          <w:lang w:bidi="fa-IR"/>
        </w:rPr>
        <w:t xml:space="preserve"> أَبُو عَلِيٍّ الْأَشْعَرِيُّ ، عَنْ مُحَمَّدِ بْنِ عَبْدِ الْجَبَّارِ ، عَنْ صَفْوَانَ بْنِ يَحْيى ، عَنْ مُحَمَّدِ بْنِ مَرْوَانَ </w:t>
      </w:r>
      <w:r w:rsidRPr="005B567D">
        <w:rPr>
          <w:rStyle w:val="libFootnotenumChar"/>
          <w:rtl/>
        </w:rPr>
        <w:t>(15)</w:t>
      </w:r>
      <w:r w:rsidRPr="00C9040A">
        <w:rPr>
          <w:rtl/>
          <w:lang w:bidi="fa-IR"/>
        </w:rPr>
        <w:t xml:space="preserve"> ، عَنِ الْفُضَيْلِ ، قَالَ :</w:t>
      </w:r>
    </w:p>
    <w:p w:rsidR="008A74EB" w:rsidRPr="00C9040A" w:rsidRDefault="008A74EB" w:rsidP="008A74EB">
      <w:pPr>
        <w:pStyle w:val="libNormal"/>
        <w:rPr>
          <w:rtl/>
          <w:lang w:bidi="fa-IR"/>
        </w:rPr>
      </w:pPr>
      <w:r w:rsidRPr="00C9040A">
        <w:rPr>
          <w:rtl/>
          <w:lang w:bidi="fa-IR"/>
        </w:rPr>
        <w:t xml:space="preserve">قُلْتُ لِأَبِي عَبْدِ اللهِ </w:t>
      </w:r>
      <w:r w:rsidRPr="0003660B">
        <w:rPr>
          <w:rStyle w:val="libAlaemChar"/>
          <w:rtl/>
        </w:rPr>
        <w:t>عليه‌السلام</w:t>
      </w:r>
      <w:r w:rsidRPr="00C9040A">
        <w:rPr>
          <w:rtl/>
          <w:lang w:bidi="fa-IR"/>
        </w:rPr>
        <w:t xml:space="preserve"> : نَدْعُو النَّاسَ إِلى هذَا الْأَمْرِ</w:t>
      </w:r>
      <w:r>
        <w:rPr>
          <w:rtl/>
          <w:lang w:bidi="fa-IR"/>
        </w:rPr>
        <w:t>؟</w:t>
      </w:r>
    </w:p>
    <w:p w:rsidR="008A74EB" w:rsidRPr="00C9040A" w:rsidRDefault="008A74EB" w:rsidP="008A74EB">
      <w:pPr>
        <w:pStyle w:val="libNormal"/>
        <w:rPr>
          <w:rtl/>
          <w:lang w:bidi="fa-IR"/>
        </w:rPr>
      </w:pPr>
      <w:r w:rsidRPr="00C9040A">
        <w:rPr>
          <w:rtl/>
          <w:lang w:bidi="fa-IR"/>
        </w:rPr>
        <w:t xml:space="preserve">فَقَالَ : « يَا فُضَيْلُ </w:t>
      </w:r>
      <w:r w:rsidRPr="005B567D">
        <w:rPr>
          <w:rStyle w:val="libFootnotenumChar"/>
          <w:rtl/>
        </w:rPr>
        <w:t>(16)</w:t>
      </w:r>
      <w:r w:rsidRPr="00C9040A">
        <w:rPr>
          <w:rtl/>
          <w:lang w:bidi="fa-IR"/>
        </w:rPr>
        <w:t xml:space="preserve"> ، إِنَّ اللهَ إِذَا أَرَادَ بِعَبْدٍ خَيْراً ، أَمَرَ مَلَكاً ، فَأَخَذَ </w:t>
      </w:r>
      <w:r w:rsidRPr="005B567D">
        <w:rPr>
          <w:rStyle w:val="libFootnotenumChar"/>
          <w:rtl/>
        </w:rPr>
        <w:t>(17)</w:t>
      </w:r>
      <w:r w:rsidRPr="00C9040A">
        <w:rPr>
          <w:rtl/>
          <w:lang w:bidi="fa-IR"/>
        </w:rPr>
        <w:t xml:space="preserve"> بِعُنُقِهِ </w:t>
      </w:r>
      <w:r w:rsidRPr="005B567D">
        <w:rPr>
          <w:rStyle w:val="libFootnotenumChar"/>
          <w:rtl/>
        </w:rPr>
        <w:t>(18)</w:t>
      </w:r>
      <w:r w:rsidRPr="00C9040A">
        <w:rPr>
          <w:rtl/>
          <w:lang w:bidi="fa-IR"/>
        </w:rPr>
        <w:t xml:space="preserve"> حَتّى‌</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w:t>
      </w:r>
      <w:r w:rsidR="006D3162">
        <w:rPr>
          <w:rtl/>
        </w:rPr>
        <w:t xml:space="preserve">ه </w:t>
      </w:r>
      <w:r w:rsidR="008A74EB" w:rsidRPr="00C9040A">
        <w:rPr>
          <w:rtl/>
        </w:rPr>
        <w:t xml:space="preserve">» </w:t>
      </w:r>
      <w:r w:rsidR="008A74EB">
        <w:rPr>
          <w:rtl/>
        </w:rPr>
        <w:t xml:space="preserve">: </w:t>
      </w:r>
      <w:r w:rsidR="0084262C">
        <w:rPr>
          <w:rtl/>
        </w:rPr>
        <w:t>-</w:t>
      </w:r>
      <w:r w:rsidR="008A74EB" w:rsidRPr="00C9040A">
        <w:rPr>
          <w:rtl/>
        </w:rPr>
        <w:t xml:space="preserve"> « </w:t>
      </w:r>
      <w:r w:rsidR="008A74EB">
        <w:rPr>
          <w:rtl/>
        </w:rPr>
        <w:t>و ».</w:t>
      </w:r>
    </w:p>
    <w:tbl>
      <w:tblPr>
        <w:tblStyle w:val="TableGrid"/>
        <w:bidiVisual/>
        <w:tblW w:w="0" w:type="auto"/>
        <w:tblLook w:val="04A0" w:firstRow="1" w:lastRow="0" w:firstColumn="1" w:lastColumn="0" w:noHBand="0" w:noVBand="1"/>
      </w:tblPr>
      <w:tblGrid>
        <w:gridCol w:w="4006"/>
        <w:gridCol w:w="4006"/>
      </w:tblGrid>
      <w:tr w:rsidR="00B31CA7" w:rsidTr="00B31CA7">
        <w:tc>
          <w:tcPr>
            <w:tcW w:w="4006" w:type="dxa"/>
          </w:tcPr>
          <w:p w:rsidR="00B31CA7" w:rsidRDefault="00B31CA7" w:rsidP="004A4E41">
            <w:pPr>
              <w:pStyle w:val="libFootnote0"/>
              <w:rPr>
                <w:rtl/>
              </w:rPr>
            </w:pPr>
            <w:r>
              <w:rPr>
                <w:rtl/>
              </w:rPr>
              <w:t xml:space="preserve">(2). </w:t>
            </w:r>
            <w:r w:rsidRPr="00C9040A">
              <w:rPr>
                <w:rtl/>
              </w:rPr>
              <w:t xml:space="preserve">في « </w:t>
            </w:r>
            <w:r>
              <w:rPr>
                <w:rtl/>
              </w:rPr>
              <w:t xml:space="preserve">ه </w:t>
            </w:r>
            <w:r w:rsidRPr="00C9040A">
              <w:rPr>
                <w:rtl/>
              </w:rPr>
              <w:t>» والوافي : « السماوات »</w:t>
            </w:r>
            <w:r>
              <w:rPr>
                <w:rtl/>
              </w:rPr>
              <w:t>.</w:t>
            </w:r>
          </w:p>
        </w:tc>
        <w:tc>
          <w:tcPr>
            <w:tcW w:w="4006" w:type="dxa"/>
          </w:tcPr>
          <w:p w:rsidR="00B31CA7" w:rsidRDefault="00B31CA7" w:rsidP="004A4E41">
            <w:pPr>
              <w:pStyle w:val="libFootnote0"/>
              <w:rPr>
                <w:rtl/>
              </w:rPr>
            </w:pPr>
            <w:r>
              <w:rPr>
                <w:rtl/>
              </w:rPr>
              <w:t>(3).</w:t>
            </w:r>
            <w:r w:rsidRPr="00C9040A">
              <w:rPr>
                <w:rtl/>
              </w:rPr>
              <w:t xml:space="preserve"> في « ب ، ض ، </w:t>
            </w:r>
            <w:r>
              <w:rPr>
                <w:rtl/>
              </w:rPr>
              <w:t xml:space="preserve">ه </w:t>
            </w:r>
            <w:r w:rsidRPr="00C9040A">
              <w:rPr>
                <w:rtl/>
              </w:rPr>
              <w:t xml:space="preserve">» </w:t>
            </w:r>
            <w:r>
              <w:rPr>
                <w:rtl/>
              </w:rPr>
              <w:t>: -</w:t>
            </w:r>
            <w:r w:rsidRPr="00C9040A">
              <w:rPr>
                <w:rtl/>
              </w:rPr>
              <w:t xml:space="preserve"> « أهل »</w:t>
            </w:r>
            <w:r>
              <w:rPr>
                <w:rtl/>
              </w:rPr>
              <w:t>.</w:t>
            </w:r>
          </w:p>
        </w:tc>
      </w:tr>
      <w:tr w:rsidR="00B31CA7" w:rsidTr="00B31CA7">
        <w:tc>
          <w:tcPr>
            <w:tcW w:w="4006" w:type="dxa"/>
          </w:tcPr>
          <w:p w:rsidR="00B31CA7" w:rsidRDefault="00B31CA7" w:rsidP="004A4E41">
            <w:pPr>
              <w:pStyle w:val="libFootnote0"/>
              <w:rPr>
                <w:rtl/>
              </w:rPr>
            </w:pPr>
            <w:r>
              <w:rPr>
                <w:rtl/>
              </w:rPr>
              <w:t>(4).</w:t>
            </w:r>
            <w:r w:rsidRPr="00C9040A">
              <w:rPr>
                <w:rtl/>
              </w:rPr>
              <w:t xml:space="preserve"> في الوافي : « الأرضين »</w:t>
            </w:r>
            <w:r>
              <w:rPr>
                <w:rtl/>
              </w:rPr>
              <w:t>.</w:t>
            </w:r>
          </w:p>
        </w:tc>
        <w:tc>
          <w:tcPr>
            <w:tcW w:w="4006" w:type="dxa"/>
          </w:tcPr>
          <w:p w:rsidR="00B31CA7" w:rsidRDefault="00B31CA7" w:rsidP="004A4E41">
            <w:pPr>
              <w:pStyle w:val="libFootnote0"/>
              <w:rPr>
                <w:rtl/>
              </w:rPr>
            </w:pPr>
            <w:r>
              <w:rPr>
                <w:rtl/>
              </w:rPr>
              <w:t>(5).</w:t>
            </w:r>
            <w:r w:rsidRPr="00C9040A">
              <w:rPr>
                <w:rtl/>
              </w:rPr>
              <w:t xml:space="preserve"> في « </w:t>
            </w:r>
            <w:r>
              <w:rPr>
                <w:rtl/>
              </w:rPr>
              <w:t xml:space="preserve">ه </w:t>
            </w:r>
            <w:r w:rsidRPr="00C9040A">
              <w:rPr>
                <w:rtl/>
              </w:rPr>
              <w:t xml:space="preserve">» </w:t>
            </w:r>
            <w:r>
              <w:rPr>
                <w:rtl/>
              </w:rPr>
              <w:t>: -</w:t>
            </w:r>
            <w:r w:rsidRPr="00C9040A">
              <w:rPr>
                <w:rtl/>
              </w:rPr>
              <w:t xml:space="preserve"> « على »</w:t>
            </w:r>
            <w:r>
              <w:rPr>
                <w:rtl/>
              </w:rPr>
              <w:t>.</w:t>
            </w:r>
          </w:p>
        </w:tc>
      </w:tr>
      <w:tr w:rsidR="00B31CA7" w:rsidTr="00B31CA7">
        <w:tc>
          <w:tcPr>
            <w:tcW w:w="4006" w:type="dxa"/>
          </w:tcPr>
          <w:p w:rsidR="00B31CA7" w:rsidRDefault="00B31CA7" w:rsidP="004A4E41">
            <w:pPr>
              <w:pStyle w:val="libFootnote0"/>
              <w:rPr>
                <w:rtl/>
              </w:rPr>
            </w:pPr>
            <w:r>
              <w:rPr>
                <w:rtl/>
              </w:rPr>
              <w:t xml:space="preserve">(6). </w:t>
            </w:r>
            <w:r w:rsidRPr="00C9040A">
              <w:rPr>
                <w:rtl/>
              </w:rPr>
              <w:t>في الكافي ، ح 430 : « هدايته »</w:t>
            </w:r>
            <w:r>
              <w:rPr>
                <w:rtl/>
              </w:rPr>
              <w:t>.</w:t>
            </w:r>
          </w:p>
        </w:tc>
        <w:tc>
          <w:tcPr>
            <w:tcW w:w="4006" w:type="dxa"/>
          </w:tcPr>
          <w:p w:rsidR="00B31CA7" w:rsidRDefault="00B31CA7" w:rsidP="004A4E41">
            <w:pPr>
              <w:pStyle w:val="libFootnote0"/>
              <w:rPr>
                <w:rtl/>
              </w:rPr>
            </w:pPr>
            <w:r>
              <w:rPr>
                <w:rtl/>
              </w:rPr>
              <w:t>(7).</w:t>
            </w:r>
            <w:r w:rsidRPr="00C9040A">
              <w:rPr>
                <w:rtl/>
              </w:rPr>
              <w:t xml:space="preserve"> في الكافي ، ح 430 والمحاسن : + « أن يضلّوه »</w:t>
            </w:r>
            <w:r>
              <w:rPr>
                <w:rtl/>
              </w:rPr>
              <w:t>.</w:t>
            </w:r>
          </w:p>
        </w:tc>
      </w:tr>
      <w:tr w:rsidR="00B31CA7" w:rsidTr="00B31CA7">
        <w:tc>
          <w:tcPr>
            <w:tcW w:w="4006" w:type="dxa"/>
          </w:tcPr>
          <w:p w:rsidR="00B31CA7" w:rsidRDefault="00B31CA7" w:rsidP="004A4E41">
            <w:pPr>
              <w:pStyle w:val="libFootnote0"/>
              <w:rPr>
                <w:rtl/>
              </w:rPr>
            </w:pPr>
            <w:r>
              <w:rPr>
                <w:rtl/>
              </w:rPr>
              <w:t>(8).</w:t>
            </w:r>
            <w:r w:rsidRPr="00C9040A">
              <w:rPr>
                <w:rtl/>
              </w:rPr>
              <w:t xml:space="preserve"> في المحاسن : « ولا يقل »</w:t>
            </w:r>
            <w:r>
              <w:rPr>
                <w:rtl/>
              </w:rPr>
              <w:t>.</w:t>
            </w:r>
          </w:p>
        </w:tc>
        <w:tc>
          <w:tcPr>
            <w:tcW w:w="4006" w:type="dxa"/>
          </w:tcPr>
          <w:p w:rsidR="00B31CA7" w:rsidRDefault="00B31CA7" w:rsidP="004A4E41">
            <w:pPr>
              <w:pStyle w:val="libFootnote0"/>
              <w:rPr>
                <w:rtl/>
              </w:rPr>
            </w:pPr>
            <w:r>
              <w:rPr>
                <w:rtl/>
              </w:rPr>
              <w:t>(9).</w:t>
            </w:r>
            <w:r w:rsidRPr="00C9040A">
              <w:rPr>
                <w:rtl/>
              </w:rPr>
              <w:t xml:space="preserve"> في « ب » : « أحد منكم »</w:t>
            </w:r>
            <w:r>
              <w:rPr>
                <w:rtl/>
              </w:rPr>
              <w:t>.</w:t>
            </w:r>
          </w:p>
        </w:tc>
      </w:tr>
    </w:tbl>
    <w:p w:rsidR="008A74EB" w:rsidRPr="00C9040A" w:rsidRDefault="006C577F" w:rsidP="004A4E41">
      <w:pPr>
        <w:pStyle w:val="libFootnote0"/>
        <w:rPr>
          <w:rtl/>
          <w:lang w:bidi="fa-IR"/>
        </w:rPr>
      </w:pPr>
      <w:r>
        <w:rPr>
          <w:rtl/>
        </w:rPr>
        <w:t>(10).</w:t>
      </w:r>
      <w:r w:rsidR="008A74EB" w:rsidRPr="00C9040A">
        <w:rPr>
          <w:rtl/>
        </w:rPr>
        <w:t xml:space="preserve"> في الوافي والكافي ، ح 430 : « أحد عمّي وأخي » بدل « أحدكم أخي »</w:t>
      </w:r>
      <w:r w:rsidR="008A74EB">
        <w:rPr>
          <w:rtl/>
        </w:rPr>
        <w:t>.</w:t>
      </w:r>
      <w:r w:rsidR="008A74EB" w:rsidRPr="00C9040A">
        <w:rPr>
          <w:rtl/>
        </w:rPr>
        <w:t xml:space="preserve"> وفي </w:t>
      </w:r>
      <w:r w:rsidR="008A74EB" w:rsidRPr="00993B55">
        <w:rPr>
          <w:rStyle w:val="libFootnoteBoldChar"/>
          <w:rtl/>
        </w:rPr>
        <w:t>الوافي</w:t>
      </w:r>
      <w:r w:rsidR="008A74EB" w:rsidRPr="00C9040A">
        <w:rPr>
          <w:rtl/>
        </w:rPr>
        <w:t xml:space="preserve"> : « أي لايتأسّف على ضلال‌</w:t>
      </w:r>
      <w:r w:rsidR="00B31CA7">
        <w:rPr>
          <w:rFonts w:hint="cs"/>
          <w:rtl/>
        </w:rPr>
        <w:t xml:space="preserve"> </w:t>
      </w:r>
      <w:r w:rsidR="008A74EB" w:rsidRPr="00C9040A">
        <w:rPr>
          <w:rtl/>
        </w:rPr>
        <w:t>أقربائه وجيرانه »</w:t>
      </w:r>
      <w:r w:rsidR="008A74EB">
        <w:rPr>
          <w:rtl/>
        </w:rPr>
        <w:t>.</w:t>
      </w:r>
    </w:p>
    <w:tbl>
      <w:tblPr>
        <w:tblStyle w:val="TableGrid"/>
        <w:bidiVisual/>
        <w:tblW w:w="0" w:type="auto"/>
        <w:tblLook w:val="04A0" w:firstRow="1" w:lastRow="0" w:firstColumn="1" w:lastColumn="0" w:noHBand="0" w:noVBand="1"/>
      </w:tblPr>
      <w:tblGrid>
        <w:gridCol w:w="4006"/>
        <w:gridCol w:w="4006"/>
      </w:tblGrid>
      <w:tr w:rsidR="00B31CA7" w:rsidTr="00B31CA7">
        <w:tc>
          <w:tcPr>
            <w:tcW w:w="4006" w:type="dxa"/>
          </w:tcPr>
          <w:p w:rsidR="00B31CA7" w:rsidRDefault="00B31CA7" w:rsidP="004A4E41">
            <w:pPr>
              <w:pStyle w:val="libFootnote0"/>
              <w:rPr>
                <w:rtl/>
                <w:lang w:bidi="fa-IR"/>
              </w:rPr>
            </w:pPr>
            <w:r>
              <w:rPr>
                <w:rtl/>
              </w:rPr>
              <w:t>(11).</w:t>
            </w:r>
            <w:r w:rsidRPr="00C9040A">
              <w:rPr>
                <w:rtl/>
              </w:rPr>
              <w:t xml:space="preserve"> في « ف » : + « له »</w:t>
            </w:r>
            <w:r>
              <w:rPr>
                <w:rtl/>
              </w:rPr>
              <w:t>.</w:t>
            </w:r>
          </w:p>
        </w:tc>
        <w:tc>
          <w:tcPr>
            <w:tcW w:w="4006" w:type="dxa"/>
          </w:tcPr>
          <w:p w:rsidR="00B31CA7" w:rsidRDefault="00B31CA7" w:rsidP="004A4E41">
            <w:pPr>
              <w:pStyle w:val="libFootnote0"/>
              <w:rPr>
                <w:rtl/>
                <w:lang w:bidi="fa-IR"/>
              </w:rPr>
            </w:pPr>
            <w:r>
              <w:rPr>
                <w:rtl/>
              </w:rPr>
              <w:t>(12).</w:t>
            </w:r>
            <w:r w:rsidRPr="00C9040A">
              <w:rPr>
                <w:rtl/>
              </w:rPr>
              <w:t xml:space="preserve"> في الكافي ، ح 430 : « معروفاً »</w:t>
            </w:r>
            <w:r>
              <w:rPr>
                <w:rtl/>
              </w:rPr>
              <w:t>.</w:t>
            </w:r>
          </w:p>
        </w:tc>
      </w:tr>
    </w:tbl>
    <w:p w:rsidR="008A74EB" w:rsidRPr="00C9040A" w:rsidRDefault="008A74EB" w:rsidP="004A4E41">
      <w:pPr>
        <w:pStyle w:val="libFootnote0"/>
        <w:rPr>
          <w:rtl/>
          <w:lang w:bidi="fa-IR"/>
        </w:rPr>
      </w:pPr>
      <w:r>
        <w:rPr>
          <w:rtl/>
        </w:rPr>
        <w:t>(13)</w:t>
      </w:r>
      <w:r w:rsidR="00B31CA7">
        <w:rPr>
          <w:rFonts w:hint="cs"/>
          <w:rtl/>
        </w:rPr>
        <w:t>.</w:t>
      </w:r>
      <w:r w:rsidRPr="00C9040A">
        <w:rPr>
          <w:rtl/>
        </w:rPr>
        <w:t xml:space="preserve"> في الكافي ، ح 430 : « منكراً »</w:t>
      </w:r>
      <w:r>
        <w:rPr>
          <w:rtl/>
        </w:rPr>
        <w:t>.</w:t>
      </w:r>
    </w:p>
    <w:p w:rsidR="008A74EB" w:rsidRPr="00C9040A" w:rsidRDefault="008A74EB" w:rsidP="004A4E41">
      <w:pPr>
        <w:pStyle w:val="libFootnote0"/>
        <w:rPr>
          <w:rtl/>
          <w:lang w:bidi="fa-IR"/>
        </w:rPr>
      </w:pPr>
      <w:r>
        <w:rPr>
          <w:rtl/>
        </w:rPr>
        <w:t>(14)</w:t>
      </w:r>
      <w:r w:rsidR="00B31CA7">
        <w:rPr>
          <w:rFonts w:hint="cs"/>
          <w:rtl/>
        </w:rPr>
        <w:t>.</w:t>
      </w:r>
      <w:r w:rsidRPr="00C9040A">
        <w:rPr>
          <w:rtl/>
        </w:rPr>
        <w:t xml:space="preserve"> </w:t>
      </w:r>
      <w:r w:rsidRPr="00993B55">
        <w:rPr>
          <w:rStyle w:val="libFootnoteBoldChar"/>
          <w:rtl/>
        </w:rPr>
        <w:t>الكافي</w:t>
      </w:r>
      <w:r w:rsidRPr="00C9040A">
        <w:rPr>
          <w:rtl/>
        </w:rPr>
        <w:t xml:space="preserve"> ، كتاب التوحيد ، باب الهداية أنّها من الله عزّ وجلّ ، ح 430 ، عن عدّة من أصحابنا ، عن أحمد بن محمّد بن عيسى. </w:t>
      </w:r>
      <w:r w:rsidRPr="00993B55">
        <w:rPr>
          <w:rStyle w:val="libFootnoteBoldChar"/>
          <w:rtl/>
        </w:rPr>
        <w:t>المحاسن</w:t>
      </w:r>
      <w:r w:rsidRPr="00C9040A">
        <w:rPr>
          <w:rtl/>
        </w:rPr>
        <w:t xml:space="preserve"> ، ص 200 ، كتاب مصابيح الظلم ، ح 34 ، عن محمّد بن إسماعيل ، وفيهما مع زيادة. </w:t>
      </w:r>
      <w:r w:rsidRPr="00993B55">
        <w:rPr>
          <w:rStyle w:val="libFootnoteBoldChar"/>
          <w:rtl/>
        </w:rPr>
        <w:t>تحف العقول</w:t>
      </w:r>
      <w:r w:rsidRPr="00C9040A">
        <w:rPr>
          <w:rtl/>
        </w:rPr>
        <w:t xml:space="preserve"> ، ص 312 ، ضمن الحديث الطويل ، عن أبي عبدالله </w:t>
      </w:r>
      <w:r w:rsidR="00117575" w:rsidRPr="00117575">
        <w:rPr>
          <w:rStyle w:val="libFootnoteAlaemChar"/>
          <w:rtl/>
        </w:rPr>
        <w:t>عليه‌السلام</w:t>
      </w:r>
      <w:r w:rsidRPr="00C9040A">
        <w:rPr>
          <w:rtl/>
        </w:rPr>
        <w:t xml:space="preserve"> ، خطاباً لأبي‌جعفر محمّد بن النعمان الأحول. راجع : </w:t>
      </w:r>
      <w:r w:rsidRPr="00993B55">
        <w:rPr>
          <w:rStyle w:val="libFootnoteBoldChar"/>
          <w:rtl/>
        </w:rPr>
        <w:t>الكافي</w:t>
      </w:r>
      <w:r w:rsidRPr="00C9040A">
        <w:rPr>
          <w:rtl/>
        </w:rPr>
        <w:t xml:space="preserve"> ، كتاب الإيمان والكفر ، باب طينة المؤمن والكافر ، ح 1450 ؛ و</w:t>
      </w:r>
      <w:r w:rsidRPr="00993B55">
        <w:rPr>
          <w:rStyle w:val="libFootnoteBoldChar"/>
          <w:rtl/>
        </w:rPr>
        <w:t>بصائر الدرجات</w:t>
      </w:r>
      <w:r w:rsidRPr="00C9040A">
        <w:rPr>
          <w:rtl/>
        </w:rPr>
        <w:t xml:space="preserve"> ، ص 16 ، ح 7 </w:t>
      </w:r>
      <w:r w:rsidRPr="00993B55">
        <w:rPr>
          <w:rStyle w:val="libFootnoteBoldChar"/>
          <w:rtl/>
        </w:rPr>
        <w:t>الوافي</w:t>
      </w:r>
      <w:r w:rsidRPr="00C9040A">
        <w:rPr>
          <w:rtl/>
        </w:rPr>
        <w:t xml:space="preserve"> ، ج 1 ، ص 561 ، ح 470 ؛ </w:t>
      </w:r>
      <w:r w:rsidRPr="00993B55">
        <w:rPr>
          <w:rStyle w:val="libFootnoteBoldChar"/>
          <w:rtl/>
        </w:rPr>
        <w:t>الوسائل</w:t>
      </w:r>
      <w:r w:rsidRPr="00C9040A">
        <w:rPr>
          <w:rtl/>
        </w:rPr>
        <w:t xml:space="preserve"> ، ج 16 ، ص 190 ، ح 21315 ؛ </w:t>
      </w:r>
      <w:r w:rsidRPr="00993B55">
        <w:rPr>
          <w:rStyle w:val="libFootnoteBoldChar"/>
          <w:rtl/>
        </w:rPr>
        <w:t>البحار</w:t>
      </w:r>
      <w:r w:rsidRPr="00C9040A">
        <w:rPr>
          <w:rtl/>
        </w:rPr>
        <w:t xml:space="preserve"> ، ج 68 ، ص 208 ، ح 12.</w:t>
      </w:r>
    </w:p>
    <w:p w:rsidR="008A74EB" w:rsidRPr="00C9040A" w:rsidRDefault="008A74EB" w:rsidP="004A4E41">
      <w:pPr>
        <w:pStyle w:val="libFootnote0"/>
        <w:rPr>
          <w:rtl/>
          <w:lang w:bidi="fa-IR"/>
        </w:rPr>
      </w:pPr>
      <w:r>
        <w:rPr>
          <w:rtl/>
        </w:rPr>
        <w:t>(15)</w:t>
      </w:r>
      <w:r w:rsidRPr="00C9040A">
        <w:rPr>
          <w:rtl/>
        </w:rPr>
        <w:t xml:space="preserve"> في « </w:t>
      </w:r>
      <w:r w:rsidR="006D3162">
        <w:rPr>
          <w:rtl/>
        </w:rPr>
        <w:t xml:space="preserve">ه </w:t>
      </w:r>
      <w:r w:rsidRPr="00C9040A">
        <w:rPr>
          <w:rtl/>
        </w:rPr>
        <w:t>» : « هارون »</w:t>
      </w:r>
      <w:r>
        <w:rPr>
          <w:rtl/>
        </w:rPr>
        <w:t>.</w:t>
      </w:r>
    </w:p>
    <w:p w:rsidR="008A74EB" w:rsidRPr="00C9040A" w:rsidRDefault="008A74EB" w:rsidP="004A4E41">
      <w:pPr>
        <w:pStyle w:val="libFootnote0"/>
        <w:rPr>
          <w:rtl/>
          <w:lang w:bidi="fa-IR"/>
        </w:rPr>
      </w:pPr>
      <w:r>
        <w:rPr>
          <w:rtl/>
        </w:rPr>
        <w:t>(16)</w:t>
      </w:r>
      <w:r w:rsidRPr="00C9040A">
        <w:rPr>
          <w:rtl/>
        </w:rPr>
        <w:t xml:space="preserve"> في الوافي والكافي ، ح 433 والمحاسن ، ح 44 : « لا ، يا فضيل »</w:t>
      </w:r>
      <w:r>
        <w:rPr>
          <w:rtl/>
        </w:rPr>
        <w:t>.</w:t>
      </w:r>
    </w:p>
    <w:tbl>
      <w:tblPr>
        <w:tblStyle w:val="TableGrid"/>
        <w:bidiVisual/>
        <w:tblW w:w="0" w:type="auto"/>
        <w:tblLook w:val="04A0" w:firstRow="1" w:lastRow="0" w:firstColumn="1" w:lastColumn="0" w:noHBand="0" w:noVBand="1"/>
      </w:tblPr>
      <w:tblGrid>
        <w:gridCol w:w="4006"/>
        <w:gridCol w:w="4006"/>
      </w:tblGrid>
      <w:tr w:rsidR="00B31CA7" w:rsidTr="00B31CA7">
        <w:tc>
          <w:tcPr>
            <w:tcW w:w="4006" w:type="dxa"/>
          </w:tcPr>
          <w:p w:rsidR="00B31CA7" w:rsidRDefault="00B31CA7" w:rsidP="004A4E41">
            <w:pPr>
              <w:pStyle w:val="libFootnote0"/>
              <w:rPr>
                <w:rtl/>
              </w:rPr>
            </w:pPr>
            <w:r>
              <w:rPr>
                <w:rtl/>
              </w:rPr>
              <w:t>(17) في «ز»:«فأخذه</w:t>
            </w:r>
            <w:r w:rsidRPr="00C9040A">
              <w:rPr>
                <w:rtl/>
              </w:rPr>
              <w:t>»</w:t>
            </w:r>
            <w:r>
              <w:rPr>
                <w:rtl/>
              </w:rPr>
              <w:t>. وفي «</w:t>
            </w:r>
            <w:r w:rsidRPr="00C9040A">
              <w:rPr>
                <w:rtl/>
              </w:rPr>
              <w:t xml:space="preserve">ض ، </w:t>
            </w:r>
            <w:r>
              <w:rPr>
                <w:rtl/>
              </w:rPr>
              <w:t>ه»: «فيأخذ</w:t>
            </w:r>
            <w:r w:rsidRPr="00C9040A">
              <w:rPr>
                <w:rtl/>
              </w:rPr>
              <w:t>»</w:t>
            </w:r>
            <w:r>
              <w:rPr>
                <w:rtl/>
              </w:rPr>
              <w:t>.</w:t>
            </w:r>
          </w:p>
        </w:tc>
        <w:tc>
          <w:tcPr>
            <w:tcW w:w="4006" w:type="dxa"/>
          </w:tcPr>
          <w:p w:rsidR="00B31CA7" w:rsidRDefault="00B31CA7" w:rsidP="004A4E41">
            <w:pPr>
              <w:pStyle w:val="libFootnote0"/>
              <w:rPr>
                <w:rtl/>
              </w:rPr>
            </w:pPr>
            <w:r>
              <w:rPr>
                <w:rtl/>
              </w:rPr>
              <w:t>(18)</w:t>
            </w:r>
            <w:r w:rsidRPr="00C9040A">
              <w:rPr>
                <w:rtl/>
              </w:rPr>
              <w:t xml:space="preserve"> في « ب » : « عنقه »</w:t>
            </w:r>
            <w:r>
              <w:rPr>
                <w:rtl/>
              </w:rPr>
              <w:t>.</w:t>
            </w:r>
          </w:p>
        </w:tc>
      </w:tr>
    </w:tbl>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أَدْخَلَهُ </w:t>
      </w:r>
      <w:r w:rsidR="006C577F" w:rsidRPr="006C577F">
        <w:rPr>
          <w:rStyle w:val="libFootnotenumChar"/>
          <w:rtl/>
        </w:rPr>
        <w:t>(1)</w:t>
      </w:r>
      <w:r w:rsidRPr="00C9040A">
        <w:rPr>
          <w:rtl/>
          <w:lang w:bidi="fa-IR"/>
        </w:rPr>
        <w:t xml:space="preserve"> فِي هذَا الْأَمْرِ طَائِعاً أَوْ كَارِهاً </w:t>
      </w:r>
      <w:r w:rsidR="006C577F" w:rsidRPr="006C577F">
        <w:rPr>
          <w:rStyle w:val="libFootnotenumChar"/>
          <w:rtl/>
        </w:rPr>
        <w:t>(2)</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(3)</w:t>
      </w:r>
    </w:p>
    <w:p w:rsidR="008A74EB" w:rsidRPr="00C9040A" w:rsidRDefault="008A74EB" w:rsidP="008A74EB">
      <w:pPr>
        <w:pStyle w:val="libNormal"/>
        <w:rPr>
          <w:rtl/>
          <w:lang w:bidi="fa-IR"/>
        </w:rPr>
      </w:pPr>
      <w:r w:rsidRPr="00083C04">
        <w:rPr>
          <w:rtl/>
        </w:rPr>
        <w:t>2229</w:t>
      </w:r>
      <w:r w:rsidRPr="00261CB0">
        <w:rPr>
          <w:rStyle w:val="libBold2Char"/>
          <w:rtl/>
        </w:rPr>
        <w:t xml:space="preserve"> / 4.</w:t>
      </w:r>
      <w:r w:rsidRPr="00C9040A">
        <w:rPr>
          <w:rtl/>
          <w:lang w:bidi="fa-IR"/>
        </w:rPr>
        <w:t xml:space="preserve"> مُحَمَّدُ بْنُ يَحْيى ، عَنْ أَحْمَدَ بْنِ مُحَمَّدِ بْنِ عِيسى ، عَنِ ابْنِ فَضَّالٍ ، عَنْ عَلِيِّ بْنِ عُقْبَةَ ، عَنْ أَبِيهِ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اجْعَلُوا أَمْرَكُمْ هذَا </w:t>
      </w:r>
      <w:r w:rsidR="006C577F" w:rsidRPr="006C577F">
        <w:rPr>
          <w:rStyle w:val="libFootnotenumChar"/>
          <w:rtl/>
        </w:rPr>
        <w:t>(4)</w:t>
      </w:r>
      <w:r w:rsidRPr="00C9040A">
        <w:rPr>
          <w:rtl/>
          <w:lang w:bidi="fa-IR"/>
        </w:rPr>
        <w:t xml:space="preserve"> لِلّهِ ، وَلَا تَجْعَلُوهُ لِلنَّاسِ ؛ فَإِنَّهُ مَا كَانَ لِلّهِ فَهُوَ لِلّهِ </w:t>
      </w:r>
      <w:r w:rsidR="006C577F" w:rsidRPr="006C577F">
        <w:rPr>
          <w:rStyle w:val="libFootnotenumChar"/>
          <w:rtl/>
        </w:rPr>
        <w:t>(5)</w:t>
      </w:r>
      <w:r w:rsidRPr="00C9040A">
        <w:rPr>
          <w:rtl/>
          <w:lang w:bidi="fa-IR"/>
        </w:rPr>
        <w:t xml:space="preserve"> ، وَمَا كَانَ لِلنَّاسِ فَلَا يَصْعَدُ إِلَى السَّمَاءِ </w:t>
      </w:r>
      <w:r w:rsidR="006C577F" w:rsidRPr="006C577F">
        <w:rPr>
          <w:rStyle w:val="libFootnotenumChar"/>
          <w:rtl/>
        </w:rPr>
        <w:t>(6)</w:t>
      </w:r>
      <w:r w:rsidRPr="005B567D">
        <w:rPr>
          <w:rStyle w:val="libFootnotenumChar"/>
          <w:rtl/>
        </w:rPr>
        <w:t xml:space="preserve"> </w:t>
      </w:r>
      <w:r w:rsidRPr="00C9040A">
        <w:rPr>
          <w:rtl/>
          <w:lang w:bidi="fa-IR"/>
        </w:rPr>
        <w:t xml:space="preserve">، وَلَا </w:t>
      </w:r>
      <w:r w:rsidR="006C577F" w:rsidRPr="006C577F">
        <w:rPr>
          <w:rStyle w:val="libFootnotenumChar"/>
          <w:rtl/>
        </w:rPr>
        <w:t>(7)</w:t>
      </w:r>
      <w:r w:rsidRPr="00C9040A">
        <w:rPr>
          <w:rtl/>
          <w:lang w:bidi="fa-IR"/>
        </w:rPr>
        <w:t xml:space="preserve"> تُخَاصِمُوا بِدِينِكُمُ النَّاسَ </w:t>
      </w:r>
      <w:r w:rsidR="006C577F" w:rsidRPr="006C577F">
        <w:rPr>
          <w:rStyle w:val="libFootnotenumChar"/>
          <w:rtl/>
        </w:rPr>
        <w:t>(8)</w:t>
      </w:r>
      <w:r w:rsidRPr="00C9040A">
        <w:rPr>
          <w:rtl/>
          <w:lang w:bidi="fa-IR"/>
        </w:rPr>
        <w:t xml:space="preserve"> ؛ فَإِنَّ الْمُخَاصَمَةَ </w:t>
      </w:r>
      <w:r w:rsidR="006C577F" w:rsidRPr="006C577F">
        <w:rPr>
          <w:rStyle w:val="libFootnotenumChar"/>
          <w:rtl/>
        </w:rPr>
        <w:t>(9)</w:t>
      </w:r>
      <w:r w:rsidRPr="00C9040A">
        <w:rPr>
          <w:rtl/>
          <w:lang w:bidi="fa-IR"/>
        </w:rPr>
        <w:t xml:space="preserve"> مَمْرَضَةٌ لِلْقَلْبِ ؛ إِنَّ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قَالَ لِنَبِيِّهِ </w:t>
      </w:r>
      <w:r w:rsidR="004A4E41" w:rsidRPr="004A4E41">
        <w:rPr>
          <w:rStyle w:val="libAlaemChar"/>
          <w:rtl/>
        </w:rPr>
        <w:t>صلى‌الله‌عليه‌وآله</w:t>
      </w:r>
      <w:r w:rsidRPr="00C9040A">
        <w:rPr>
          <w:rtl/>
          <w:lang w:bidi="fa-IR"/>
        </w:rPr>
        <w:t xml:space="preserve"> : </w:t>
      </w:r>
      <w:r w:rsidRPr="0003660B">
        <w:rPr>
          <w:rStyle w:val="libAlaemChar"/>
          <w:rtl/>
        </w:rPr>
        <w:t>(</w:t>
      </w:r>
      <w:r w:rsidRPr="006A2246">
        <w:rPr>
          <w:rStyle w:val="libAieChar"/>
          <w:rtl/>
        </w:rPr>
        <w:t xml:space="preserve"> إِنَّكَ لا تَهْدِي مَنْ أَحْبَبْتَ وَلكِنَّ اللهَ يَهْدِي مَنْ يَشاءُ </w:t>
      </w:r>
      <w:r w:rsidRPr="0003660B">
        <w:rPr>
          <w:rStyle w:val="libAlaemChar"/>
          <w:rtl/>
        </w:rPr>
        <w:t>)</w:t>
      </w:r>
      <w:r w:rsidRPr="00C9040A">
        <w:rPr>
          <w:rtl/>
          <w:lang w:bidi="fa-IR"/>
        </w:rPr>
        <w:t xml:space="preserve"> </w:t>
      </w:r>
      <w:r w:rsidR="006C577F" w:rsidRPr="006C577F">
        <w:rPr>
          <w:rStyle w:val="libFootnotenumChar"/>
          <w:rtl/>
        </w:rPr>
        <w:t>(10)</w:t>
      </w:r>
      <w:r w:rsidRPr="00C9040A">
        <w:rPr>
          <w:rtl/>
          <w:lang w:bidi="fa-IR"/>
        </w:rPr>
        <w:t xml:space="preserve"> وَقَالَ </w:t>
      </w:r>
      <w:r w:rsidR="006C577F" w:rsidRPr="006C577F">
        <w:rPr>
          <w:rStyle w:val="libFootnotenumChar"/>
          <w:rtl/>
        </w:rPr>
        <w:t>(11)</w:t>
      </w:r>
      <w:r w:rsidRPr="00C9040A">
        <w:rPr>
          <w:rtl/>
          <w:lang w:bidi="fa-IR"/>
        </w:rPr>
        <w:t xml:space="preserve"> : </w:t>
      </w:r>
      <w:r w:rsidRPr="0003660B">
        <w:rPr>
          <w:rStyle w:val="libAlaemChar"/>
          <w:rtl/>
        </w:rPr>
        <w:t>(</w:t>
      </w:r>
      <w:r w:rsidRPr="006A2246">
        <w:rPr>
          <w:rStyle w:val="libAieChar"/>
          <w:rtl/>
        </w:rPr>
        <w:t xml:space="preserve"> أَفَأَنْتَ تُكْرِهُ النّاسَ حَتّى يَكُونُوا مُؤْمِنِينَ </w:t>
      </w:r>
      <w:r w:rsidRPr="0003660B">
        <w:rPr>
          <w:rStyle w:val="libAlaemChar"/>
          <w:rtl/>
        </w:rPr>
        <w:t>)</w:t>
      </w:r>
      <w:r w:rsidRPr="00C9040A">
        <w:rPr>
          <w:rtl/>
          <w:lang w:bidi="fa-IR"/>
        </w:rPr>
        <w:t xml:space="preserve"> </w:t>
      </w:r>
      <w:r w:rsidR="006C577F" w:rsidRPr="006C577F">
        <w:rPr>
          <w:rStyle w:val="libFootnotenumChar"/>
          <w:rtl/>
        </w:rPr>
        <w:t>(12)</w:t>
      </w:r>
      <w:r w:rsidRPr="00C9040A">
        <w:rPr>
          <w:rtl/>
          <w:lang w:bidi="fa-IR"/>
        </w:rPr>
        <w:t xml:space="preserve"> ذَرُوا النَّاسَ ؛ فَإِنَّ النَّاسَ أَخَذُوا عَنِ النَّاسِ ، وَإِنَّكُمْ أَخَذْتُمْ عَنْ </w:t>
      </w:r>
      <w:r w:rsidRPr="005B567D">
        <w:rPr>
          <w:rStyle w:val="libFootnotenumChar"/>
          <w:rtl/>
        </w:rPr>
        <w:t>(13)</w:t>
      </w:r>
      <w:r w:rsidRPr="00C9040A">
        <w:rPr>
          <w:rtl/>
          <w:lang w:bidi="fa-IR"/>
        </w:rPr>
        <w:t xml:space="preserve"> رَسُولِ اللهِ </w:t>
      </w:r>
      <w:r w:rsidR="004A4E41" w:rsidRPr="004A4E41">
        <w:rPr>
          <w:rStyle w:val="libAlaemChar"/>
          <w:rtl/>
        </w:rPr>
        <w:t>صلى‌الله‌عليه‌وآله</w:t>
      </w:r>
      <w:r w:rsidRPr="00C9040A">
        <w:rPr>
          <w:rtl/>
          <w:lang w:bidi="fa-IR"/>
        </w:rPr>
        <w:t xml:space="preserve"> وَ</w:t>
      </w:r>
      <w:r>
        <w:rPr>
          <w:rFonts w:hint="cs"/>
          <w:rtl/>
          <w:lang w:bidi="fa-IR"/>
        </w:rPr>
        <w:t xml:space="preserve"> </w:t>
      </w:r>
      <w:r w:rsidRPr="005B567D">
        <w:rPr>
          <w:rStyle w:val="libFootnotenumChar"/>
          <w:rtl/>
        </w:rPr>
        <w:t>(14)</w:t>
      </w:r>
      <w:r w:rsidRPr="00C9040A">
        <w:rPr>
          <w:rtl/>
          <w:lang w:bidi="fa-IR"/>
        </w:rPr>
        <w:t xml:space="preserve"> عَلِيٍّ </w:t>
      </w:r>
      <w:r w:rsidRPr="0003660B">
        <w:rPr>
          <w:rStyle w:val="libAlaemChar"/>
          <w:rtl/>
        </w:rPr>
        <w:t>عليه‌السلام</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ض ، </w:t>
      </w:r>
      <w:r w:rsidR="006D3162">
        <w:rPr>
          <w:rtl/>
        </w:rPr>
        <w:t xml:space="preserve">ه </w:t>
      </w:r>
      <w:r w:rsidR="008A74EB" w:rsidRPr="00C9040A">
        <w:rPr>
          <w:rtl/>
        </w:rPr>
        <w:t>» : « يدخله »</w:t>
      </w:r>
      <w:r w:rsidR="008A74EB">
        <w:rPr>
          <w:rtl/>
        </w:rPr>
        <w:t>.</w:t>
      </w:r>
      <w:r w:rsidR="008A74EB" w:rsidRPr="00C9040A">
        <w:rPr>
          <w:rtl/>
        </w:rPr>
        <w:t xml:space="preserve"> وفي الوافي والكافي ، ح 433 والمحاسن ، ح 44 : « فأدخله » بدل « حتّى أدخله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ب ، د ، ص ، ف ، </w:t>
      </w:r>
      <w:r w:rsidR="006D3162">
        <w:rPr>
          <w:rtl/>
        </w:rPr>
        <w:t xml:space="preserve">ه </w:t>
      </w:r>
      <w:r w:rsidR="008A74EB" w:rsidRPr="00C9040A">
        <w:rPr>
          <w:rtl/>
        </w:rPr>
        <w:t>، بر ، بس ، بف » : « مكرهاً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w:t>
      </w:r>
      <w:r w:rsidR="008A74EB" w:rsidRPr="00993B55">
        <w:rPr>
          <w:rStyle w:val="libFootnoteBoldChar"/>
          <w:rtl/>
        </w:rPr>
        <w:t>الكافي</w:t>
      </w:r>
      <w:r w:rsidR="008A74EB" w:rsidRPr="00C9040A">
        <w:rPr>
          <w:rtl/>
        </w:rPr>
        <w:t xml:space="preserve"> ، كتاب التوحيد ، باب الهداية أنّها من الله عزّ وجلّ ، ح 433. وفي </w:t>
      </w:r>
      <w:r w:rsidR="008A74EB" w:rsidRPr="00993B55">
        <w:rPr>
          <w:rStyle w:val="libFootnoteBoldChar"/>
          <w:rtl/>
        </w:rPr>
        <w:t>المحاسن</w:t>
      </w:r>
      <w:r w:rsidR="008A74EB" w:rsidRPr="00C9040A">
        <w:rPr>
          <w:rtl/>
        </w:rPr>
        <w:t xml:space="preserve"> ، ص 202 ، كتاب مصابيح الظلم ، ح 44 ، عن صفوان ، عن محمّد بن مروان ؛ </w:t>
      </w:r>
      <w:r w:rsidR="008A74EB" w:rsidRPr="00993B55">
        <w:rPr>
          <w:rStyle w:val="libFootnoteBoldChar"/>
          <w:rtl/>
        </w:rPr>
        <w:t>وفيه</w:t>
      </w:r>
      <w:r w:rsidR="008A74EB" w:rsidRPr="00C9040A">
        <w:rPr>
          <w:rtl/>
        </w:rPr>
        <w:t xml:space="preserve"> ، ح 42 ، بسند آخر عن الفضيل بن يسار ؛ وفي ذيل ح 42 ، بسند آخر عن أبي‌جعفر </w:t>
      </w:r>
      <w:r w:rsidR="00117575" w:rsidRPr="00117575">
        <w:rPr>
          <w:rStyle w:val="libFootnoteAlaemChar"/>
          <w:rtl/>
        </w:rPr>
        <w:t>عليه‌السلام</w:t>
      </w:r>
      <w:r w:rsidR="008A74EB" w:rsidRPr="00C9040A">
        <w:rPr>
          <w:rtl/>
        </w:rPr>
        <w:t xml:space="preserve"> ؛ </w:t>
      </w:r>
      <w:r w:rsidR="008A74EB" w:rsidRPr="00993B55">
        <w:rPr>
          <w:rStyle w:val="libFootnoteBoldChar"/>
          <w:rtl/>
        </w:rPr>
        <w:t>وفيه</w:t>
      </w:r>
      <w:r w:rsidR="008A74EB" w:rsidRPr="00C9040A">
        <w:rPr>
          <w:rtl/>
        </w:rPr>
        <w:t xml:space="preserve"> أيضاً ، ح 43 </w:t>
      </w:r>
      <w:r w:rsidR="008A74EB">
        <w:rPr>
          <w:rtl/>
        </w:rPr>
        <w:t>و 4</w:t>
      </w:r>
      <w:r w:rsidR="008A74EB" w:rsidRPr="00C9040A">
        <w:rPr>
          <w:rtl/>
        </w:rPr>
        <w:t xml:space="preserve">6 ، بسند آخر ؛ </w:t>
      </w:r>
      <w:r w:rsidR="008A74EB" w:rsidRPr="00993B55">
        <w:rPr>
          <w:rStyle w:val="libFootnoteBoldChar"/>
          <w:rtl/>
        </w:rPr>
        <w:t>قرب الإسناد</w:t>
      </w:r>
      <w:r w:rsidR="008A74EB" w:rsidRPr="00C9040A">
        <w:rPr>
          <w:rtl/>
        </w:rPr>
        <w:t xml:space="preserve"> ، ص 35 ، ح 113 ، بسند آخر ، وفي الخمسة الأخيرة إلى قوله : « أدخله في هذا الأمر » مع اختلاف يسير </w:t>
      </w:r>
      <w:r w:rsidR="007045E7">
        <w:rPr>
          <w:rFonts w:hint="cs"/>
          <w:rtl/>
        </w:rPr>
        <w:t>.</w:t>
      </w:r>
      <w:r w:rsidR="008A74EB" w:rsidRPr="00993B55">
        <w:rPr>
          <w:rStyle w:val="libFootnoteBoldChar"/>
          <w:rtl/>
        </w:rPr>
        <w:t>الوافي</w:t>
      </w:r>
      <w:r w:rsidR="008A74EB" w:rsidRPr="00C9040A">
        <w:rPr>
          <w:rtl/>
        </w:rPr>
        <w:t xml:space="preserve"> ، ج 1 ، ص 565 ، ح 477 ؛ </w:t>
      </w:r>
      <w:r w:rsidR="008A74EB" w:rsidRPr="00993B55">
        <w:rPr>
          <w:rStyle w:val="libFootnoteBoldChar"/>
          <w:rtl/>
        </w:rPr>
        <w:t>الوسائل</w:t>
      </w:r>
      <w:r w:rsidR="008A74EB" w:rsidRPr="00C9040A">
        <w:rPr>
          <w:rtl/>
        </w:rPr>
        <w:t xml:space="preserve"> ، ج 16 ، ص 189 ، ح 21313 ؛ </w:t>
      </w:r>
      <w:r w:rsidR="008A74EB" w:rsidRPr="00993B55">
        <w:rPr>
          <w:rStyle w:val="libFootnoteBoldChar"/>
          <w:rtl/>
        </w:rPr>
        <w:t>البحار</w:t>
      </w:r>
      <w:r w:rsidR="008A74EB" w:rsidRPr="00C9040A">
        <w:rPr>
          <w:rtl/>
        </w:rPr>
        <w:t xml:space="preserve"> ، ج 68 ، ص 208 ، ح 13.</w:t>
      </w:r>
    </w:p>
    <w:p w:rsidR="008A74EB" w:rsidRPr="00C9040A" w:rsidRDefault="006C577F" w:rsidP="004A4E41">
      <w:pPr>
        <w:pStyle w:val="libFootnote0"/>
        <w:rPr>
          <w:rtl/>
          <w:lang w:bidi="fa-IR"/>
        </w:rPr>
      </w:pPr>
      <w:r>
        <w:rPr>
          <w:rtl/>
        </w:rPr>
        <w:t>(4).</w:t>
      </w:r>
      <w:r w:rsidR="008A74EB" w:rsidRPr="00C9040A">
        <w:rPr>
          <w:rtl/>
        </w:rPr>
        <w:t xml:space="preserve"> في الوافي </w:t>
      </w:r>
      <w:r w:rsidR="008A74EB">
        <w:rPr>
          <w:rtl/>
        </w:rPr>
        <w:t xml:space="preserve">: </w:t>
      </w:r>
      <w:r w:rsidR="0084262C">
        <w:rPr>
          <w:rtl/>
        </w:rPr>
        <w:t>-</w:t>
      </w:r>
      <w:r w:rsidR="008A74EB" w:rsidRPr="00C9040A">
        <w:rPr>
          <w:rtl/>
        </w:rPr>
        <w:t xml:space="preserve"> « هذا »</w:t>
      </w:r>
      <w:r w:rsidR="008A74EB">
        <w:rPr>
          <w:rtl/>
        </w:rPr>
        <w:t>.</w:t>
      </w:r>
    </w:p>
    <w:tbl>
      <w:tblPr>
        <w:tblStyle w:val="TableGrid"/>
        <w:bidiVisual/>
        <w:tblW w:w="0" w:type="auto"/>
        <w:tblLook w:val="04A0" w:firstRow="1" w:lastRow="0" w:firstColumn="1" w:lastColumn="0" w:noHBand="0" w:noVBand="1"/>
      </w:tblPr>
      <w:tblGrid>
        <w:gridCol w:w="4006"/>
        <w:gridCol w:w="4006"/>
      </w:tblGrid>
      <w:tr w:rsidR="007045E7" w:rsidTr="007045E7">
        <w:tc>
          <w:tcPr>
            <w:tcW w:w="4006" w:type="dxa"/>
          </w:tcPr>
          <w:p w:rsidR="007045E7" w:rsidRDefault="007045E7" w:rsidP="004A4E41">
            <w:pPr>
              <w:pStyle w:val="libFootnote0"/>
              <w:rPr>
                <w:rtl/>
              </w:rPr>
            </w:pPr>
            <w:r>
              <w:rPr>
                <w:rtl/>
              </w:rPr>
              <w:t>(5).</w:t>
            </w:r>
            <w:r w:rsidRPr="00C9040A">
              <w:rPr>
                <w:rtl/>
              </w:rPr>
              <w:t xml:space="preserve"> في « </w:t>
            </w:r>
            <w:r>
              <w:rPr>
                <w:rtl/>
              </w:rPr>
              <w:t xml:space="preserve">ه </w:t>
            </w:r>
            <w:r w:rsidRPr="00C9040A">
              <w:rPr>
                <w:rtl/>
              </w:rPr>
              <w:t>» : « له »</w:t>
            </w:r>
            <w:r>
              <w:rPr>
                <w:rtl/>
              </w:rPr>
              <w:t>.</w:t>
            </w:r>
          </w:p>
        </w:tc>
        <w:tc>
          <w:tcPr>
            <w:tcW w:w="4006" w:type="dxa"/>
          </w:tcPr>
          <w:p w:rsidR="007045E7" w:rsidRDefault="007045E7" w:rsidP="004A4E41">
            <w:pPr>
              <w:pStyle w:val="libFootnote0"/>
              <w:rPr>
                <w:rtl/>
              </w:rPr>
            </w:pPr>
            <w:r>
              <w:rPr>
                <w:rtl/>
              </w:rPr>
              <w:t xml:space="preserve">(6). </w:t>
            </w:r>
            <w:r w:rsidRPr="00C9040A">
              <w:rPr>
                <w:rtl/>
              </w:rPr>
              <w:t>في الوافي : « الله »</w:t>
            </w:r>
            <w:r>
              <w:rPr>
                <w:rtl/>
              </w:rPr>
              <w:t>.</w:t>
            </w:r>
          </w:p>
        </w:tc>
      </w:tr>
    </w:tbl>
    <w:p w:rsidR="008A74EB" w:rsidRPr="00C9040A" w:rsidRDefault="006C577F" w:rsidP="004A4E41">
      <w:pPr>
        <w:pStyle w:val="libFootnote0"/>
        <w:rPr>
          <w:rtl/>
          <w:lang w:bidi="fa-IR"/>
        </w:rPr>
      </w:pPr>
      <w:r>
        <w:rPr>
          <w:rtl/>
        </w:rPr>
        <w:t>(7).</w:t>
      </w:r>
      <w:r w:rsidR="008A74EB" w:rsidRPr="00C9040A">
        <w:rPr>
          <w:rtl/>
        </w:rPr>
        <w:t xml:space="preserve"> في « </w:t>
      </w:r>
      <w:r w:rsidR="006D3162">
        <w:rPr>
          <w:rtl/>
        </w:rPr>
        <w:t xml:space="preserve">ه </w:t>
      </w:r>
      <w:r w:rsidR="008A74EB" w:rsidRPr="00C9040A">
        <w:rPr>
          <w:rtl/>
        </w:rPr>
        <w:t>» : « فلا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 </w:t>
      </w:r>
      <w:r w:rsidR="006D3162">
        <w:rPr>
          <w:rtl/>
        </w:rPr>
        <w:t xml:space="preserve">ه </w:t>
      </w:r>
      <w:r w:rsidR="008A74EB" w:rsidRPr="00C9040A">
        <w:rPr>
          <w:rtl/>
        </w:rPr>
        <w:t>» : « الناس بدينكم »</w:t>
      </w:r>
      <w:r w:rsidR="008A74EB">
        <w:rPr>
          <w:rtl/>
        </w:rPr>
        <w:t>.</w:t>
      </w:r>
      <w:r w:rsidR="008A74EB" w:rsidRPr="00C9040A">
        <w:rPr>
          <w:rtl/>
        </w:rPr>
        <w:t xml:space="preserve"> وفي الوافي : « الناس لدينكم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 أي لاتجادلوا مجادلة يكون غرضكم فيها المغالبة والمعاندة بإلقاء الشبهات الفاسدة ، لاظهور الحقّ ؛ فإنّ المخاصمة على هذا الوجه يمرض القلب بالشكّ والشبهة والأغراض الباطلة. وإن كان غرضكم إجبارهم على الهداية ، فإنّها ليست بيدكم ، كما قال تعالى لنبيّه : </w:t>
      </w:r>
      <w:r w:rsidR="008A74EB" w:rsidRPr="007045E7">
        <w:rPr>
          <w:rStyle w:val="libFootnoteAlaemChar"/>
          <w:rtl/>
        </w:rPr>
        <w:t>(</w:t>
      </w:r>
      <w:r w:rsidR="008A74EB" w:rsidRPr="00883DD5">
        <w:rPr>
          <w:rStyle w:val="libFootnoteAieChar"/>
          <w:rFonts w:hint="cs"/>
          <w:rtl/>
        </w:rPr>
        <w:t xml:space="preserve"> </w:t>
      </w:r>
      <w:r w:rsidR="008A74EB" w:rsidRPr="00883DD5">
        <w:rPr>
          <w:rStyle w:val="libFootnoteAieChar"/>
          <w:rtl/>
        </w:rPr>
        <w:t>إِنَّكَ لا تَهْدِي ...</w:t>
      </w:r>
      <w:r w:rsidR="008A74EB" w:rsidRPr="00883DD5">
        <w:rPr>
          <w:rStyle w:val="libFootnoteAieChar"/>
          <w:rFonts w:hint="cs"/>
          <w:rtl/>
        </w:rPr>
        <w:t xml:space="preserve"> </w:t>
      </w:r>
      <w:r w:rsidR="008A74EB" w:rsidRPr="007045E7">
        <w:rPr>
          <w:rStyle w:val="libFootnoteAlaemChar"/>
          <w:rtl/>
        </w:rPr>
        <w:t>)</w:t>
      </w:r>
      <w:r w:rsidR="008A74EB" w:rsidRPr="00C9040A">
        <w:rPr>
          <w:rtl/>
        </w:rPr>
        <w:t xml:space="preserve"> »</w:t>
      </w:r>
      <w:r w:rsidR="008A74EB">
        <w:rPr>
          <w:rtl/>
        </w:rPr>
        <w:t>.</w:t>
      </w:r>
    </w:p>
    <w:tbl>
      <w:tblPr>
        <w:tblStyle w:val="TableGrid"/>
        <w:bidiVisual/>
        <w:tblW w:w="0" w:type="auto"/>
        <w:tblLook w:val="04A0" w:firstRow="1" w:lastRow="0" w:firstColumn="1" w:lastColumn="0" w:noHBand="0" w:noVBand="1"/>
      </w:tblPr>
      <w:tblGrid>
        <w:gridCol w:w="4006"/>
        <w:gridCol w:w="4006"/>
      </w:tblGrid>
      <w:tr w:rsidR="007045E7" w:rsidTr="007045E7">
        <w:tc>
          <w:tcPr>
            <w:tcW w:w="4006" w:type="dxa"/>
          </w:tcPr>
          <w:p w:rsidR="007045E7" w:rsidRDefault="007045E7" w:rsidP="004A4E41">
            <w:pPr>
              <w:pStyle w:val="libFootnote0"/>
              <w:rPr>
                <w:rtl/>
              </w:rPr>
            </w:pPr>
            <w:r>
              <w:rPr>
                <w:rtl/>
              </w:rPr>
              <w:t>(9).</w:t>
            </w:r>
            <w:r w:rsidRPr="00C9040A">
              <w:rPr>
                <w:rtl/>
              </w:rPr>
              <w:t xml:space="preserve"> في « ب » : « الخصومة »</w:t>
            </w:r>
            <w:r>
              <w:rPr>
                <w:rtl/>
              </w:rPr>
              <w:t>.</w:t>
            </w:r>
          </w:p>
        </w:tc>
        <w:tc>
          <w:tcPr>
            <w:tcW w:w="4006" w:type="dxa"/>
          </w:tcPr>
          <w:p w:rsidR="007045E7" w:rsidRDefault="007045E7" w:rsidP="004A4E41">
            <w:pPr>
              <w:pStyle w:val="libFootnote0"/>
              <w:rPr>
                <w:rtl/>
              </w:rPr>
            </w:pPr>
            <w:r>
              <w:rPr>
                <w:rtl/>
              </w:rPr>
              <w:t>(10).</w:t>
            </w:r>
            <w:r w:rsidRPr="00C9040A">
              <w:rPr>
                <w:rtl/>
              </w:rPr>
              <w:t xml:space="preserve"> القصص (28) : 56.</w:t>
            </w:r>
          </w:p>
        </w:tc>
      </w:tr>
    </w:tbl>
    <w:p w:rsidR="008A74EB" w:rsidRPr="00C9040A" w:rsidRDefault="006C577F" w:rsidP="004A4E41">
      <w:pPr>
        <w:pStyle w:val="libFootnote0"/>
        <w:rPr>
          <w:rtl/>
          <w:lang w:bidi="fa-IR"/>
        </w:rPr>
      </w:pPr>
      <w:r>
        <w:rPr>
          <w:rtl/>
        </w:rPr>
        <w:t>(11).</w:t>
      </w:r>
      <w:r w:rsidR="008A74EB" w:rsidRPr="00C9040A">
        <w:rPr>
          <w:rtl/>
        </w:rPr>
        <w:t xml:space="preserve"> في « ف » : « فقال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يونس </w:t>
      </w:r>
      <w:r w:rsidR="007045E7">
        <w:rPr>
          <w:rtl/>
        </w:rPr>
        <w:t>(10)</w:t>
      </w:r>
      <w:r w:rsidR="008A74EB" w:rsidRPr="00C9040A">
        <w:rPr>
          <w:rtl/>
        </w:rPr>
        <w:t xml:space="preserve"> : 99. وفي « ف » : + « </w:t>
      </w:r>
      <w:r w:rsidR="008A74EB" w:rsidRPr="007045E7">
        <w:rPr>
          <w:rStyle w:val="libFootnoteAlaemChar"/>
          <w:rtl/>
        </w:rPr>
        <w:t>(</w:t>
      </w:r>
      <w:r w:rsidR="008A74EB" w:rsidRPr="00883DD5">
        <w:rPr>
          <w:rStyle w:val="libFootnoteAieChar"/>
          <w:rFonts w:hint="cs"/>
          <w:rtl/>
        </w:rPr>
        <w:t xml:space="preserve"> </w:t>
      </w:r>
      <w:r w:rsidR="008A74EB" w:rsidRPr="00883DD5">
        <w:rPr>
          <w:rStyle w:val="libFootnoteAieChar"/>
          <w:rtl/>
        </w:rPr>
        <w:t>وَما كا</w:t>
      </w:r>
      <w:r w:rsidR="007045E7">
        <w:rPr>
          <w:rStyle w:val="libFootnoteAieChar"/>
          <w:rtl/>
        </w:rPr>
        <w:t>نَ لِنَفْسٍ أَنْ تُؤْمِنَ إِل</w:t>
      </w:r>
      <w:r w:rsidR="007045E7">
        <w:rPr>
          <w:rStyle w:val="libFootnoteAieChar"/>
          <w:rFonts w:hint="cs"/>
          <w:rtl/>
        </w:rPr>
        <w:t>َّ</w:t>
      </w:r>
      <w:r w:rsidR="007045E7">
        <w:rPr>
          <w:rStyle w:val="libFootnoteAieChar"/>
          <w:rtl/>
        </w:rPr>
        <w:t>ا</w:t>
      </w:r>
      <w:r w:rsidR="008A74EB" w:rsidRPr="00883DD5">
        <w:rPr>
          <w:rStyle w:val="libFootnoteAieChar"/>
          <w:rtl/>
        </w:rPr>
        <w:t xml:space="preserve"> بِإِذْنِ اللهِ</w:t>
      </w:r>
      <w:r w:rsidR="008A74EB" w:rsidRPr="00883DD5">
        <w:rPr>
          <w:rStyle w:val="libFootnoteAieChar"/>
          <w:rFonts w:hint="cs"/>
          <w:rtl/>
        </w:rPr>
        <w:t xml:space="preserve"> </w:t>
      </w:r>
      <w:r w:rsidR="008A74EB" w:rsidRPr="007045E7">
        <w:rPr>
          <w:rStyle w:val="libFootnoteAlaemChar"/>
          <w:rtl/>
        </w:rPr>
        <w:t>)</w:t>
      </w:r>
      <w:r w:rsidR="008A74EB" w:rsidRPr="00C9040A">
        <w:rPr>
          <w:rtl/>
        </w:rPr>
        <w:t xml:space="preserve"> الآية »</w:t>
      </w:r>
      <w:r w:rsidR="008A74EB">
        <w:rPr>
          <w:rtl/>
        </w:rPr>
        <w:t>.</w:t>
      </w:r>
    </w:p>
    <w:tbl>
      <w:tblPr>
        <w:tblStyle w:val="TableGrid"/>
        <w:bidiVisual/>
        <w:tblW w:w="0" w:type="auto"/>
        <w:tblLook w:val="04A0" w:firstRow="1" w:lastRow="0" w:firstColumn="1" w:lastColumn="0" w:noHBand="0" w:noVBand="1"/>
      </w:tblPr>
      <w:tblGrid>
        <w:gridCol w:w="4006"/>
        <w:gridCol w:w="4006"/>
      </w:tblGrid>
      <w:tr w:rsidR="007045E7" w:rsidTr="007045E7">
        <w:tc>
          <w:tcPr>
            <w:tcW w:w="4006" w:type="dxa"/>
          </w:tcPr>
          <w:p w:rsidR="007045E7" w:rsidRDefault="007045E7" w:rsidP="004A4E41">
            <w:pPr>
              <w:pStyle w:val="libFootnote0"/>
              <w:rPr>
                <w:rtl/>
              </w:rPr>
            </w:pPr>
            <w:r>
              <w:rPr>
                <w:rtl/>
              </w:rPr>
              <w:t>(13)</w:t>
            </w:r>
            <w:r w:rsidRPr="00C9040A">
              <w:rPr>
                <w:rtl/>
              </w:rPr>
              <w:t xml:space="preserve"> في « ف ، بس ، بف » : « من »</w:t>
            </w:r>
            <w:r>
              <w:rPr>
                <w:rtl/>
              </w:rPr>
              <w:t>.</w:t>
            </w:r>
          </w:p>
        </w:tc>
        <w:tc>
          <w:tcPr>
            <w:tcW w:w="4006" w:type="dxa"/>
          </w:tcPr>
          <w:p w:rsidR="007045E7" w:rsidRDefault="007045E7" w:rsidP="004A4E41">
            <w:pPr>
              <w:pStyle w:val="libFootnote0"/>
              <w:rPr>
                <w:rtl/>
              </w:rPr>
            </w:pPr>
            <w:r>
              <w:rPr>
                <w:rtl/>
              </w:rPr>
              <w:t>(14)</w:t>
            </w:r>
            <w:r w:rsidRPr="00C9040A">
              <w:rPr>
                <w:rtl/>
              </w:rPr>
              <w:t xml:space="preserve"> في « ف » : « وعن »</w:t>
            </w:r>
            <w:r>
              <w:rPr>
                <w:rtl/>
              </w:rPr>
              <w:t>.</w:t>
            </w:r>
          </w:p>
        </w:tc>
      </w:tr>
    </w:tbl>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وَلَا سَوَاءٌ ، وَإِنَّنِي </w:t>
      </w:r>
      <w:r w:rsidR="006C577F" w:rsidRPr="006C577F">
        <w:rPr>
          <w:rStyle w:val="libFootnotenumChar"/>
          <w:rtl/>
        </w:rPr>
        <w:t>(1)</w:t>
      </w:r>
      <w:r w:rsidRPr="00C9040A">
        <w:rPr>
          <w:rtl/>
          <w:lang w:bidi="fa-IR"/>
        </w:rPr>
        <w:t xml:space="preserve"> سَمِعْتُ أَبِي يَقُولُ </w:t>
      </w:r>
      <w:r w:rsidR="006C577F" w:rsidRPr="006C577F">
        <w:rPr>
          <w:rStyle w:val="libFootnotenumChar"/>
          <w:rtl/>
        </w:rPr>
        <w:t>(2)</w:t>
      </w:r>
      <w:r w:rsidRPr="00C9040A">
        <w:rPr>
          <w:rtl/>
          <w:lang w:bidi="fa-IR"/>
        </w:rPr>
        <w:t xml:space="preserve"> : إِذَا كَتَبَ اللهُ </w:t>
      </w:r>
      <w:r w:rsidR="006C577F" w:rsidRPr="006C577F">
        <w:rPr>
          <w:rStyle w:val="libFootnotenumChar"/>
          <w:rtl/>
        </w:rPr>
        <w:t>(3)</w:t>
      </w:r>
      <w:r w:rsidRPr="00C9040A">
        <w:rPr>
          <w:rtl/>
          <w:lang w:bidi="fa-IR"/>
        </w:rPr>
        <w:t xml:space="preserve"> عَلى عَبْدٍ أَنْ يُدْخِلَهُ </w:t>
      </w:r>
      <w:r w:rsidR="006C577F" w:rsidRPr="006C577F">
        <w:rPr>
          <w:rStyle w:val="libFootnotenumChar"/>
          <w:rtl/>
        </w:rPr>
        <w:t>(4)</w:t>
      </w:r>
      <w:r w:rsidRPr="00C9040A">
        <w:rPr>
          <w:rtl/>
          <w:lang w:bidi="fa-IR"/>
        </w:rPr>
        <w:t xml:space="preserve"> فِي هذَا الْأَمْرِ ، كَانَ أَسْرَعَ إِلَيْهِ مِنَ الطَّيْرِ إِلى وَكْرِهِ </w:t>
      </w:r>
      <w:r w:rsidR="006C577F" w:rsidRPr="006C577F">
        <w:rPr>
          <w:rStyle w:val="libFootnotenumChar"/>
          <w:rtl/>
        </w:rPr>
        <w:t>(5)</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Normal"/>
        <w:rPr>
          <w:rtl/>
          <w:lang w:bidi="fa-IR"/>
        </w:rPr>
      </w:pPr>
      <w:r w:rsidRPr="00083C04">
        <w:rPr>
          <w:rtl/>
        </w:rPr>
        <w:t>2230</w:t>
      </w:r>
      <w:r w:rsidRPr="00261CB0">
        <w:rPr>
          <w:rStyle w:val="libBold2Char"/>
          <w:rtl/>
        </w:rPr>
        <w:t xml:space="preserve"> / 5.</w:t>
      </w:r>
      <w:r w:rsidRPr="00C9040A">
        <w:rPr>
          <w:rtl/>
          <w:lang w:bidi="fa-IR"/>
        </w:rPr>
        <w:t xml:space="preserve"> عَلِيُّ بْنُ إِبْرَاهِيمَ ، عَنْ أَبِيهِ ، عَنْ عُثْمَانَ بْنِ عِيسى ، عَنِ ابْنِ أُذَيْنَةَ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خَلَقَ قَوْماً لِلْحَقِّ ؛ فَإِذَا مَرَّ بِهِمُ الْبَابُ مِنَ الْحَقِّ ، قَبِلَتْهُ قُلُوبُهُمْ وَإِنْ كَانُوا لَايَعْرِفُونَهُ ؛ وَإِذَا مَرَّ بِهِمُ الْبَابُ مِنَ </w:t>
      </w:r>
      <w:r w:rsidR="006C577F" w:rsidRPr="006C577F">
        <w:rPr>
          <w:rStyle w:val="libFootnotenumChar"/>
          <w:rtl/>
        </w:rPr>
        <w:t>(7)</w:t>
      </w:r>
      <w:r w:rsidRPr="00C9040A">
        <w:rPr>
          <w:rtl/>
          <w:lang w:bidi="fa-IR"/>
        </w:rPr>
        <w:t xml:space="preserve"> الْبَاطِلِ ، أَنْكَرَتْهُ قُلُوبُهُمْ وَإِنْ كَانُوا لَايَعْرِفُونَهُ ؛ وَخَلَقَ قَوْماً لِغَيْرِ ذلِكَ ، فَإِذَا مَرَّ بِهِمُ الْبَابُ مِنَ الْحَقِّ ، أَنْكَرَتْهُ قُلُوبُهُمْ وَإِنْ </w:t>
      </w:r>
      <w:r w:rsidR="006C577F" w:rsidRPr="006C577F">
        <w:rPr>
          <w:rStyle w:val="libFootnotenumChar"/>
          <w:rtl/>
        </w:rPr>
        <w:t>(8)</w:t>
      </w:r>
      <w:r w:rsidRPr="00C9040A">
        <w:rPr>
          <w:rtl/>
          <w:lang w:bidi="fa-IR"/>
        </w:rPr>
        <w:t xml:space="preserve"> كَانُوا لَايَعْرِفُونَهُ ؛ وَإِذَا مَرَّ بِهِمُ الْبَابُ مِنَ الْبَاطِلِ ، قَبِلَتْهُ قُلُوبُهُمْ وَإِنْ كَانُوا لَا يَعْرِفُونَهُ </w:t>
      </w:r>
      <w:r w:rsidR="006C577F" w:rsidRPr="006C577F">
        <w:rPr>
          <w:rStyle w:val="libFootnotenumChar"/>
          <w:rtl/>
        </w:rPr>
        <w:t>(9)</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Normal"/>
        <w:rPr>
          <w:rtl/>
          <w:lang w:bidi="fa-IR"/>
        </w:rPr>
      </w:pPr>
      <w:r w:rsidRPr="00083C04">
        <w:rPr>
          <w:rtl/>
        </w:rPr>
        <w:t>2231</w:t>
      </w:r>
      <w:r w:rsidRPr="00261CB0">
        <w:rPr>
          <w:rStyle w:val="libBold2Char"/>
          <w:rtl/>
        </w:rPr>
        <w:t xml:space="preserve"> / 6.</w:t>
      </w:r>
      <w:r w:rsidRPr="00C9040A">
        <w:rPr>
          <w:rtl/>
          <w:lang w:bidi="fa-IR"/>
        </w:rPr>
        <w:t xml:space="preserve"> عَلِيُّ بْنُ إِبْرَاهِيمَ ، عَنْ أَبِيهِ ، عَنِ ابْنِ أَبِي عُمَيْرٍ ، عَنْ عَبْدِ ا</w:t>
      </w:r>
      <w:r w:rsidR="007045E7">
        <w:rPr>
          <w:rtl/>
          <w:lang w:bidi="fa-IR"/>
        </w:rPr>
        <w:t>لْحَمِيدِ بْنِ أَبِي الْعَلَاءِ</w:t>
      </w:r>
      <w:r w:rsidRPr="00C9040A">
        <w:rPr>
          <w:rtl/>
          <w:lang w:bidi="fa-IR"/>
        </w:rPr>
        <w:t>:</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إِذَا أَرَادَ بِعَبْدٍ خَيْراً ، نَكَتَ فِي‌</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w:t>
      </w:r>
      <w:r w:rsidR="006D3162">
        <w:rPr>
          <w:rtl/>
        </w:rPr>
        <w:t xml:space="preserve">ه </w:t>
      </w:r>
      <w:r w:rsidR="008A74EB" w:rsidRPr="00C9040A">
        <w:rPr>
          <w:rtl/>
        </w:rPr>
        <w:t>» والوافي : « وإنّي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شرح المازندراني : + « إنّ الله »</w:t>
      </w:r>
      <w:r w:rsidR="008A74EB">
        <w:rPr>
          <w:rtl/>
        </w:rPr>
        <w:t>.</w:t>
      </w:r>
      <w:r w:rsidR="008A74EB" w:rsidRPr="00C9040A">
        <w:rPr>
          <w:rtl/>
        </w:rPr>
        <w:t xml:space="preserve"> وفي الوافي : + « إنّ الله عزّ وجلّ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شرح المازندراني والوافي </w:t>
      </w:r>
      <w:r w:rsidR="008A74EB">
        <w:rPr>
          <w:rtl/>
        </w:rPr>
        <w:t xml:space="preserve">: </w:t>
      </w:r>
      <w:r w:rsidR="0084262C">
        <w:rPr>
          <w:rtl/>
        </w:rPr>
        <w:t>-</w:t>
      </w:r>
      <w:r w:rsidR="008A74EB" w:rsidRPr="00C9040A">
        <w:rPr>
          <w:rtl/>
        </w:rPr>
        <w:t xml:space="preserve"> « الله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شرح المازندراني والوافي : « أن يدخل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وَكْرُ الطائر : عُشّه أين كان في جبل أو شجر. والجمع : وِكار وأو كار. </w:t>
      </w:r>
      <w:r w:rsidR="008A74EB" w:rsidRPr="00993B55">
        <w:rPr>
          <w:rStyle w:val="libFootnoteBoldChar"/>
          <w:rtl/>
        </w:rPr>
        <w:t>المصباح المنير</w:t>
      </w:r>
      <w:r w:rsidR="008A74EB" w:rsidRPr="00C9040A">
        <w:rPr>
          <w:rtl/>
        </w:rPr>
        <w:t xml:space="preserve"> ، ص 670 ( وكر )</w:t>
      </w:r>
      <w:r w:rsidR="008A74EB">
        <w:rPr>
          <w:rtl/>
        </w:rPr>
        <w:t>.</w:t>
      </w:r>
    </w:p>
    <w:p w:rsidR="008A74EB" w:rsidRPr="00C9040A" w:rsidRDefault="006C577F" w:rsidP="007045E7">
      <w:pPr>
        <w:pStyle w:val="libFootnote0"/>
        <w:rPr>
          <w:rtl/>
          <w:lang w:bidi="fa-IR"/>
        </w:rPr>
      </w:pPr>
      <w:r>
        <w:rPr>
          <w:rtl/>
        </w:rPr>
        <w:t>(6).</w:t>
      </w:r>
      <w:r w:rsidR="008A74EB">
        <w:rPr>
          <w:rtl/>
        </w:rPr>
        <w:t xml:space="preserve"> </w:t>
      </w:r>
      <w:r w:rsidR="008A74EB" w:rsidRPr="00993B55">
        <w:rPr>
          <w:rStyle w:val="libFootnoteBoldChar"/>
          <w:rtl/>
        </w:rPr>
        <w:t>الكافي</w:t>
      </w:r>
      <w:r w:rsidR="008A74EB" w:rsidRPr="00C9040A">
        <w:rPr>
          <w:rtl/>
        </w:rPr>
        <w:t xml:space="preserve"> ، كتاب الإيمان والكفر ، باب الرياء ، ح 2488 ، إلى قوله : « وما كان للناس فلا يصعد إلى السماء »</w:t>
      </w:r>
      <w:r w:rsidR="008A74EB">
        <w:rPr>
          <w:rtl/>
        </w:rPr>
        <w:t>.</w:t>
      </w:r>
      <w:r w:rsidR="008A74EB" w:rsidRPr="00C9040A">
        <w:rPr>
          <w:rtl/>
        </w:rPr>
        <w:t xml:space="preserve"> وفيه ، كتاب التوحيد ، باب الهداية أنّها من الله عزّوجلّ ، ح 432 ، عن عدّة من أصحابنا ، عن أحمد بن محمّد ، عن ابن فضّال. </w:t>
      </w:r>
      <w:r w:rsidR="008A74EB" w:rsidRPr="00993B55">
        <w:rPr>
          <w:rStyle w:val="libFootnoteBoldChar"/>
          <w:rtl/>
        </w:rPr>
        <w:t>التوحيد</w:t>
      </w:r>
      <w:r w:rsidR="008A74EB" w:rsidRPr="00C9040A">
        <w:rPr>
          <w:rtl/>
        </w:rPr>
        <w:t xml:space="preserve"> ، ص 414 ، ح 13 ، بسنده عن أحمد بن محمّد ، عن ابن فضّال. </w:t>
      </w:r>
      <w:r w:rsidR="008A74EB" w:rsidRPr="00993B55">
        <w:rPr>
          <w:rStyle w:val="libFootnoteBoldChar"/>
          <w:rtl/>
        </w:rPr>
        <w:t>المحاسن</w:t>
      </w:r>
      <w:r w:rsidR="008A74EB" w:rsidRPr="00C9040A">
        <w:rPr>
          <w:rtl/>
        </w:rPr>
        <w:t xml:space="preserve"> ، ص 201 ، كتاب مصابيح الظلم ، ح 38 ، عن ابن فضّال. </w:t>
      </w:r>
      <w:r w:rsidR="008A74EB" w:rsidRPr="00993B55">
        <w:rPr>
          <w:rStyle w:val="libFootnoteBoldChar"/>
          <w:rtl/>
        </w:rPr>
        <w:t>تفسير العيّاشي</w:t>
      </w:r>
      <w:r w:rsidR="008A74EB" w:rsidRPr="00C9040A">
        <w:rPr>
          <w:rtl/>
        </w:rPr>
        <w:t xml:space="preserve"> ، ج 2 ، ص 137 ، ح 48 ، عن عليّ بن عقبة</w:t>
      </w:r>
      <w:r w:rsidR="007045E7">
        <w:rPr>
          <w:rFonts w:hint="cs"/>
          <w:rtl/>
        </w:rPr>
        <w:t>.</w:t>
      </w:r>
      <w:r w:rsidR="008A74EB" w:rsidRPr="00993B55">
        <w:rPr>
          <w:rStyle w:val="libFootnoteBoldChar"/>
          <w:rtl/>
        </w:rPr>
        <w:t>الوافي</w:t>
      </w:r>
      <w:r w:rsidR="008A74EB" w:rsidRPr="00C9040A">
        <w:rPr>
          <w:rtl/>
        </w:rPr>
        <w:t xml:space="preserve"> ، ج 1 ، ص 564 ، ح 476 ؛ </w:t>
      </w:r>
      <w:r w:rsidR="008A74EB" w:rsidRPr="00993B55">
        <w:rPr>
          <w:rStyle w:val="libFootnoteBoldChar"/>
          <w:rtl/>
        </w:rPr>
        <w:t>الوسائل</w:t>
      </w:r>
      <w:r w:rsidR="008A74EB" w:rsidRPr="00C9040A">
        <w:rPr>
          <w:rtl/>
        </w:rPr>
        <w:t xml:space="preserve"> ، ج 16 ، ص 190 ، ح 21316 ؛ </w:t>
      </w:r>
      <w:r w:rsidR="008A74EB" w:rsidRPr="00993B55">
        <w:rPr>
          <w:rStyle w:val="libFootnoteBoldChar"/>
          <w:rtl/>
        </w:rPr>
        <w:t>البحار</w:t>
      </w:r>
      <w:r w:rsidR="008A74EB" w:rsidRPr="00C9040A">
        <w:rPr>
          <w:rtl/>
        </w:rPr>
        <w:t xml:space="preserve"> ، ج 65 ، ص 209 ، ح 14.</w:t>
      </w:r>
    </w:p>
    <w:p w:rsidR="008A74EB" w:rsidRPr="00C9040A" w:rsidRDefault="006C577F" w:rsidP="004A4E41">
      <w:pPr>
        <w:pStyle w:val="libFootnote0"/>
        <w:rPr>
          <w:rtl/>
          <w:lang w:bidi="fa-IR"/>
        </w:rPr>
      </w:pPr>
      <w:r>
        <w:rPr>
          <w:rtl/>
        </w:rPr>
        <w:t>(7).</w:t>
      </w:r>
      <w:r w:rsidR="008A74EB" w:rsidRPr="00C9040A">
        <w:rPr>
          <w:rtl/>
        </w:rPr>
        <w:t xml:space="preserve"> في « ب ، ج ، ز ، ص ، ض ، بر ، بس ، بف » والوافي والبحار </w:t>
      </w:r>
      <w:r w:rsidR="008A74EB">
        <w:rPr>
          <w:rtl/>
        </w:rPr>
        <w:t xml:space="preserve">: </w:t>
      </w:r>
      <w:r w:rsidR="0084262C">
        <w:rPr>
          <w:rtl/>
        </w:rPr>
        <w:t>-</w:t>
      </w:r>
      <w:r w:rsidR="008A74EB" w:rsidRPr="00C9040A">
        <w:rPr>
          <w:rtl/>
        </w:rPr>
        <w:t xml:space="preserve"> « الباب من »</w:t>
      </w:r>
      <w:r w:rsidR="008A74EB">
        <w:rPr>
          <w:rtl/>
        </w:rPr>
        <w:t>.</w:t>
      </w:r>
    </w:p>
    <w:tbl>
      <w:tblPr>
        <w:tblStyle w:val="TableGrid"/>
        <w:bidiVisual/>
        <w:tblW w:w="0" w:type="auto"/>
        <w:tblLook w:val="04A0" w:firstRow="1" w:lastRow="0" w:firstColumn="1" w:lastColumn="0" w:noHBand="0" w:noVBand="1"/>
      </w:tblPr>
      <w:tblGrid>
        <w:gridCol w:w="4006"/>
        <w:gridCol w:w="4006"/>
      </w:tblGrid>
      <w:tr w:rsidR="007045E7" w:rsidTr="007045E7">
        <w:tc>
          <w:tcPr>
            <w:tcW w:w="4006" w:type="dxa"/>
          </w:tcPr>
          <w:p w:rsidR="007045E7" w:rsidRDefault="007045E7" w:rsidP="004A4E41">
            <w:pPr>
              <w:pStyle w:val="libFootnote0"/>
              <w:rPr>
                <w:rtl/>
              </w:rPr>
            </w:pPr>
            <w:r>
              <w:rPr>
                <w:rtl/>
              </w:rPr>
              <w:t>(8).</w:t>
            </w:r>
            <w:r w:rsidRPr="00C9040A">
              <w:rPr>
                <w:rtl/>
              </w:rPr>
              <w:t xml:space="preserve"> في « بف » : « ولو »</w:t>
            </w:r>
            <w:r>
              <w:rPr>
                <w:rtl/>
              </w:rPr>
              <w:t>.</w:t>
            </w:r>
          </w:p>
        </w:tc>
        <w:tc>
          <w:tcPr>
            <w:tcW w:w="4006" w:type="dxa"/>
          </w:tcPr>
          <w:p w:rsidR="007045E7" w:rsidRDefault="007045E7" w:rsidP="004A4E41">
            <w:pPr>
              <w:pStyle w:val="libFootnote0"/>
              <w:rPr>
                <w:rtl/>
              </w:rPr>
            </w:pPr>
            <w:r>
              <w:rPr>
                <w:rtl/>
              </w:rPr>
              <w:t>(9). في «ه»:-«</w:t>
            </w:r>
            <w:r w:rsidRPr="00C9040A">
              <w:rPr>
                <w:rtl/>
              </w:rPr>
              <w:t>وخلق قوماً لغير ذلك</w:t>
            </w:r>
            <w:r>
              <w:rPr>
                <w:rtl/>
              </w:rPr>
              <w:t>-</w:t>
            </w:r>
            <w:r w:rsidRPr="00C9040A">
              <w:rPr>
                <w:rtl/>
              </w:rPr>
              <w:t>إلى</w:t>
            </w:r>
            <w:r>
              <w:rPr>
                <w:rtl/>
              </w:rPr>
              <w:t>- يعرفونه</w:t>
            </w:r>
            <w:r w:rsidRPr="00C9040A">
              <w:rPr>
                <w:rtl/>
              </w:rPr>
              <w:t>»</w:t>
            </w:r>
            <w:r>
              <w:rPr>
                <w:rtl/>
              </w:rPr>
              <w:t>.</w:t>
            </w:r>
          </w:p>
        </w:tc>
      </w:tr>
    </w:tbl>
    <w:p w:rsidR="008A74EB" w:rsidRPr="00C9040A" w:rsidRDefault="006C577F" w:rsidP="004A4E41">
      <w:pPr>
        <w:pStyle w:val="libFootnote0"/>
        <w:rPr>
          <w:rtl/>
          <w:lang w:bidi="fa-IR"/>
        </w:rPr>
      </w:pPr>
      <w:r>
        <w:rPr>
          <w:rtl/>
        </w:rPr>
        <w:t>(10).</w:t>
      </w:r>
      <w:r w:rsidR="008A74EB" w:rsidRPr="00C9040A">
        <w:rPr>
          <w:rtl/>
        </w:rPr>
        <w:t xml:space="preserve"> </w:t>
      </w:r>
      <w:r w:rsidR="008A74EB" w:rsidRPr="00993B55">
        <w:rPr>
          <w:rStyle w:val="libFootnoteBoldChar"/>
          <w:rtl/>
        </w:rPr>
        <w:t>الوافي</w:t>
      </w:r>
      <w:r w:rsidR="008A74EB" w:rsidRPr="00C9040A">
        <w:rPr>
          <w:rtl/>
        </w:rPr>
        <w:t xml:space="preserve"> ، ج 1 ، ص 563 ، ح 475 ؛ </w:t>
      </w:r>
      <w:r w:rsidR="008A74EB" w:rsidRPr="00993B55">
        <w:rPr>
          <w:rStyle w:val="libFootnoteBoldChar"/>
          <w:rtl/>
        </w:rPr>
        <w:t>البحار</w:t>
      </w:r>
      <w:r w:rsidR="008A74EB" w:rsidRPr="00C9040A">
        <w:rPr>
          <w:rtl/>
        </w:rPr>
        <w:t xml:space="preserve"> ، ج 68 ، ص 210 ، ح 15.</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قَلْبِهِ نُكْتَةً مِنْ نُورٍ ، فَأَضَاءَ لَهَا </w:t>
      </w:r>
      <w:r w:rsidR="006C577F" w:rsidRPr="006C577F">
        <w:rPr>
          <w:rStyle w:val="libFootnotenumChar"/>
          <w:rtl/>
        </w:rPr>
        <w:t>(1)</w:t>
      </w:r>
      <w:r w:rsidRPr="00C9040A">
        <w:rPr>
          <w:rtl/>
          <w:lang w:bidi="fa-IR"/>
        </w:rPr>
        <w:t xml:space="preserve"> سَمْعُهُ وَقَلْبُهُ </w:t>
      </w:r>
      <w:r w:rsidR="006C577F" w:rsidRPr="006C577F">
        <w:rPr>
          <w:rStyle w:val="libFootnotenumChar"/>
          <w:rtl/>
        </w:rPr>
        <w:t>(2)</w:t>
      </w:r>
      <w:r w:rsidRPr="00C9040A">
        <w:rPr>
          <w:rtl/>
          <w:lang w:bidi="fa-IR"/>
        </w:rPr>
        <w:t xml:space="preserve"> حَتّى يَكُونَ أَحْرَصَ عَلى مَا فِي أَيْدِيكُمْ مِنْكُمْ ؛ وَإِذَا </w:t>
      </w:r>
      <w:r w:rsidR="006C577F" w:rsidRPr="006C577F">
        <w:rPr>
          <w:rStyle w:val="libFootnotenumChar"/>
          <w:rtl/>
        </w:rPr>
        <w:t>(3)</w:t>
      </w:r>
      <w:r w:rsidRPr="00C9040A">
        <w:rPr>
          <w:rtl/>
          <w:lang w:bidi="fa-IR"/>
        </w:rPr>
        <w:t xml:space="preserve"> أَرَادَ بِعَبْدٍ سُوءاً ، نَكَتَ فِي قَلْبِهِ نُكْتَةً سَوْدَاءَ ، فَأَظْلَمَ لَهَا </w:t>
      </w:r>
      <w:r w:rsidR="006C577F" w:rsidRPr="006C577F">
        <w:rPr>
          <w:rStyle w:val="libFootnotenumChar"/>
          <w:rtl/>
        </w:rPr>
        <w:t>(4)</w:t>
      </w:r>
      <w:r w:rsidRPr="00C9040A">
        <w:rPr>
          <w:rtl/>
          <w:lang w:bidi="fa-IR"/>
        </w:rPr>
        <w:t xml:space="preserve"> سَمْعُهُ وَقَلْبُهُ </w:t>
      </w:r>
      <w:r w:rsidR="006C577F" w:rsidRPr="006C577F">
        <w:rPr>
          <w:rStyle w:val="libFootnotenumChar"/>
          <w:rtl/>
        </w:rPr>
        <w:t>(5)</w:t>
      </w:r>
      <w:r w:rsidRPr="00C9040A">
        <w:rPr>
          <w:rtl/>
          <w:lang w:bidi="fa-IR"/>
        </w:rPr>
        <w:t xml:space="preserve"> »</w:t>
      </w:r>
      <w:r>
        <w:rPr>
          <w:rtl/>
          <w:lang w:bidi="fa-IR"/>
        </w:rPr>
        <w:t>.</w:t>
      </w:r>
    </w:p>
    <w:p w:rsidR="008A74EB" w:rsidRPr="00C9040A" w:rsidRDefault="008A74EB" w:rsidP="00855B90">
      <w:pPr>
        <w:pStyle w:val="libNormal"/>
        <w:rPr>
          <w:rtl/>
          <w:lang w:bidi="fa-IR"/>
        </w:rPr>
      </w:pPr>
      <w:r w:rsidRPr="00C9040A">
        <w:rPr>
          <w:rtl/>
          <w:lang w:bidi="fa-IR"/>
        </w:rPr>
        <w:t xml:space="preserve">ثُمَّ تَلَا هذِهِ الْآيَةَ : </w:t>
      </w:r>
      <w:r w:rsidRPr="0003660B">
        <w:rPr>
          <w:rStyle w:val="libAlaemChar"/>
          <w:rtl/>
        </w:rPr>
        <w:t>(</w:t>
      </w:r>
      <w:r w:rsidRPr="006A2246">
        <w:rPr>
          <w:rStyle w:val="libAieChar"/>
          <w:rtl/>
        </w:rPr>
        <w:t xml:space="preserve"> فَمَنْ يُرِدِ اللهُ أَنْ يَهْدِيَهُ يَشْرَحْ صَدْرَهُ لِلْإِسْلامِ وَمَنْ يُرِدْ أَنْ يُضِلَّهُ يَجْعَلْ صَدْرَهُ ضَيِّقاً حَرَجاً كَأَنَّما يَصَّعَّدُ فِي السَّماءِ </w:t>
      </w:r>
      <w:r w:rsidRPr="0003660B">
        <w:rPr>
          <w:rStyle w:val="libAlaemChar"/>
          <w:rtl/>
        </w:rPr>
        <w:t>)</w:t>
      </w:r>
      <w:r w:rsidRPr="00C9040A">
        <w:rPr>
          <w:rtl/>
          <w:lang w:bidi="fa-IR"/>
        </w:rPr>
        <w:t xml:space="preserve"> </w:t>
      </w:r>
      <w:r w:rsidR="006C577F" w:rsidRPr="006C577F">
        <w:rPr>
          <w:rStyle w:val="libFootnotenumChar"/>
          <w:rtl/>
        </w:rPr>
        <w:t>(6)</w:t>
      </w:r>
      <w:r w:rsidR="00855B90" w:rsidRPr="00855B90">
        <w:rPr>
          <w:rFonts w:hint="cs"/>
          <w:rtl/>
        </w:rPr>
        <w:t>.</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083C04">
        <w:rPr>
          <w:rtl/>
        </w:rPr>
        <w:t>2232</w:t>
      </w:r>
      <w:r w:rsidRPr="00261CB0">
        <w:rPr>
          <w:rStyle w:val="libBold2Char"/>
          <w:rtl/>
        </w:rPr>
        <w:t xml:space="preserve"> / 7.</w:t>
      </w:r>
      <w:r w:rsidRPr="00C9040A">
        <w:rPr>
          <w:rtl/>
          <w:lang w:bidi="fa-IR"/>
        </w:rPr>
        <w:t xml:space="preserve"> عَنْهُ ، عَنْ أَبِيهِ ، عَنِ ابْنِ أَبِي عُمَيْرٍ ، عَنْ مُحَمَّدِ بْنِ حُمْرَانَ ، عَنْ مُحَمَّدِ بْنِ مُسْلِمٍ</w:t>
      </w:r>
      <w:r w:rsidR="006C577F" w:rsidRPr="006C577F">
        <w:rPr>
          <w:rStyle w:val="libFootnotenumChar"/>
          <w:rtl/>
        </w:rPr>
        <w:t>(8)</w:t>
      </w:r>
      <w:r w:rsidRPr="00C9040A">
        <w:rPr>
          <w:rtl/>
          <w:lang w:bidi="fa-IR"/>
        </w:rPr>
        <w:t xml:space="preserve">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إِذَا أَرَادَ بِعَبْدٍ خَيْراً ، نَكَتَ فِي قَلْبِهِ نُكْتَةً بَيْضَاءَ </w:t>
      </w:r>
      <w:r w:rsidR="006C577F" w:rsidRPr="006C577F">
        <w:rPr>
          <w:rStyle w:val="libFootnotenumChar"/>
          <w:rtl/>
        </w:rPr>
        <w:t>(9)</w:t>
      </w:r>
      <w:r w:rsidRPr="00C9040A">
        <w:rPr>
          <w:rtl/>
          <w:lang w:bidi="fa-IR"/>
        </w:rPr>
        <w:t xml:space="preserve"> ، وَفَتَحَ مَسَامِعَ قَلْبِهِ ، وَوَكَّلَ بِهِ مَلَكاً يُسَدِّدُهُ ؛ وَإِذَا أَرَادَ بِعَبْدٍ سُوءاً ، نَكَتَ فِي قَلْبِهِ نُكْتَةً سَوْدَاءَ ، وَسَدَّ مَسَامِعَ قَلْبِهِ ، وَوَكَّلَ بِهِ شَيْطَاناً يُضِلُّهُ »</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855B90" w:rsidTr="00855B90">
        <w:tc>
          <w:tcPr>
            <w:tcW w:w="4006" w:type="dxa"/>
          </w:tcPr>
          <w:p w:rsidR="00855B90" w:rsidRDefault="00855B90" w:rsidP="004A4E41">
            <w:pPr>
              <w:pStyle w:val="libFootnote0"/>
              <w:rPr>
                <w:rtl/>
              </w:rPr>
            </w:pPr>
            <w:r>
              <w:rPr>
                <w:rtl/>
              </w:rPr>
              <w:t xml:space="preserve">(1). </w:t>
            </w:r>
            <w:r w:rsidRPr="00C9040A">
              <w:rPr>
                <w:rtl/>
              </w:rPr>
              <w:t>في « بر » : « بها »</w:t>
            </w:r>
            <w:r>
              <w:rPr>
                <w:rtl/>
              </w:rPr>
              <w:t>.</w:t>
            </w:r>
            <w:r w:rsidRPr="00C9040A">
              <w:rPr>
                <w:rtl/>
              </w:rPr>
              <w:t xml:space="preserve"> وفي مرآة العقول : « له »</w:t>
            </w:r>
            <w:r>
              <w:rPr>
                <w:rtl/>
              </w:rPr>
              <w:t>.</w:t>
            </w:r>
          </w:p>
        </w:tc>
        <w:tc>
          <w:tcPr>
            <w:tcW w:w="4006" w:type="dxa"/>
          </w:tcPr>
          <w:p w:rsidR="00855B90" w:rsidRDefault="00855B90" w:rsidP="004A4E41">
            <w:pPr>
              <w:pStyle w:val="libFootnote0"/>
              <w:rPr>
                <w:rtl/>
              </w:rPr>
            </w:pPr>
            <w:r>
              <w:rPr>
                <w:rtl/>
              </w:rPr>
              <w:t>(2). يجوز نصب «سمعه</w:t>
            </w:r>
            <w:r w:rsidRPr="00C9040A">
              <w:rPr>
                <w:rtl/>
              </w:rPr>
              <w:t xml:space="preserve">» </w:t>
            </w:r>
            <w:r>
              <w:rPr>
                <w:rtl/>
              </w:rPr>
              <w:t>و «</w:t>
            </w:r>
            <w:r w:rsidRPr="00C9040A">
              <w:rPr>
                <w:rtl/>
              </w:rPr>
              <w:t xml:space="preserve"> قلبه » كما في « ب »</w:t>
            </w:r>
            <w:r>
              <w:rPr>
                <w:rtl/>
              </w:rPr>
              <w:t>.</w:t>
            </w:r>
          </w:p>
        </w:tc>
      </w:tr>
      <w:tr w:rsidR="00855B90" w:rsidTr="00855B90">
        <w:tc>
          <w:tcPr>
            <w:tcW w:w="4006" w:type="dxa"/>
          </w:tcPr>
          <w:p w:rsidR="00855B90" w:rsidRDefault="00855B90" w:rsidP="004A4E41">
            <w:pPr>
              <w:pStyle w:val="libFootnote0"/>
              <w:rPr>
                <w:rtl/>
              </w:rPr>
            </w:pPr>
            <w:r>
              <w:rPr>
                <w:rtl/>
              </w:rPr>
              <w:t>(3).</w:t>
            </w:r>
            <w:r w:rsidRPr="00C9040A">
              <w:rPr>
                <w:rtl/>
              </w:rPr>
              <w:t xml:space="preserve"> في « ف » : « فإذا »</w:t>
            </w:r>
            <w:r>
              <w:rPr>
                <w:rtl/>
              </w:rPr>
              <w:t>.</w:t>
            </w:r>
          </w:p>
        </w:tc>
        <w:tc>
          <w:tcPr>
            <w:tcW w:w="4006" w:type="dxa"/>
          </w:tcPr>
          <w:p w:rsidR="00855B90" w:rsidRDefault="00855B90" w:rsidP="004A4E41">
            <w:pPr>
              <w:pStyle w:val="libFootnote0"/>
              <w:rPr>
                <w:rtl/>
              </w:rPr>
            </w:pPr>
            <w:r>
              <w:rPr>
                <w:rtl/>
              </w:rPr>
              <w:t>(4).</w:t>
            </w:r>
            <w:r w:rsidRPr="00C9040A">
              <w:rPr>
                <w:rtl/>
              </w:rPr>
              <w:t xml:space="preserve"> في « بر » : « بها »</w:t>
            </w:r>
            <w:r>
              <w:rPr>
                <w:rtl/>
              </w:rPr>
              <w:t>.</w:t>
            </w:r>
          </w:p>
        </w:tc>
      </w:tr>
      <w:tr w:rsidR="00855B90" w:rsidTr="00855B90">
        <w:tc>
          <w:tcPr>
            <w:tcW w:w="4006" w:type="dxa"/>
          </w:tcPr>
          <w:p w:rsidR="00855B90" w:rsidRDefault="00855B90" w:rsidP="004A4E41">
            <w:pPr>
              <w:pStyle w:val="libFootnote0"/>
              <w:rPr>
                <w:rtl/>
              </w:rPr>
            </w:pPr>
            <w:r>
              <w:rPr>
                <w:rtl/>
              </w:rPr>
              <w:t>(5).</w:t>
            </w:r>
            <w:r w:rsidRPr="00C9040A">
              <w:rPr>
                <w:rtl/>
              </w:rPr>
              <w:t xml:space="preserve"> في « ض » : « قلبه وسمعه »</w:t>
            </w:r>
            <w:r>
              <w:rPr>
                <w:rtl/>
              </w:rPr>
              <w:t>.</w:t>
            </w:r>
          </w:p>
        </w:tc>
        <w:tc>
          <w:tcPr>
            <w:tcW w:w="4006" w:type="dxa"/>
          </w:tcPr>
          <w:p w:rsidR="00855B90" w:rsidRDefault="00855B90" w:rsidP="004A4E41">
            <w:pPr>
              <w:pStyle w:val="libFootnote0"/>
              <w:rPr>
                <w:rtl/>
              </w:rPr>
            </w:pPr>
            <w:r>
              <w:rPr>
                <w:rtl/>
              </w:rPr>
              <w:t xml:space="preserve">(6). </w:t>
            </w:r>
            <w:r w:rsidRPr="00C9040A">
              <w:rPr>
                <w:rtl/>
              </w:rPr>
              <w:t xml:space="preserve">الأنعام </w:t>
            </w:r>
            <w:r>
              <w:rPr>
                <w:rtl/>
              </w:rPr>
              <w:t xml:space="preserve">(6) </w:t>
            </w:r>
            <w:r w:rsidRPr="00C9040A">
              <w:rPr>
                <w:rtl/>
              </w:rPr>
              <w:t>: 125.</w:t>
            </w:r>
          </w:p>
        </w:tc>
      </w:tr>
    </w:tbl>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الوافي</w:t>
      </w:r>
      <w:r w:rsidR="008A74EB" w:rsidRPr="00C9040A">
        <w:rPr>
          <w:rtl/>
        </w:rPr>
        <w:t xml:space="preserve"> ، ج 1 ، ص 563 ، ح 473 ؛ </w:t>
      </w:r>
      <w:r w:rsidR="008A74EB" w:rsidRPr="00993B55">
        <w:rPr>
          <w:rStyle w:val="libFootnoteBoldChar"/>
          <w:rtl/>
        </w:rPr>
        <w:t>البحار</w:t>
      </w:r>
      <w:r w:rsidR="008A74EB" w:rsidRPr="00C9040A">
        <w:rPr>
          <w:rtl/>
        </w:rPr>
        <w:t xml:space="preserve"> ، ج 68 ، ص 210 ، ح 16.</w:t>
      </w:r>
    </w:p>
    <w:p w:rsidR="008A74EB" w:rsidRPr="00C9040A" w:rsidRDefault="006C577F" w:rsidP="004A4E41">
      <w:pPr>
        <w:pStyle w:val="libFootnote0"/>
        <w:rPr>
          <w:rtl/>
          <w:lang w:bidi="fa-IR"/>
        </w:rPr>
      </w:pPr>
      <w:r>
        <w:rPr>
          <w:rtl/>
        </w:rPr>
        <w:t>(8).</w:t>
      </w:r>
      <w:r w:rsidR="008A74EB" w:rsidRPr="00C9040A">
        <w:rPr>
          <w:rtl/>
        </w:rPr>
        <w:t xml:space="preserve"> في الكافي ، ح 431 والتوحيد : « سليمان بن خالد » بدل « محمّد بن مسلم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الكافي ، ح 431 والتوحيد : + « من نور »</w:t>
      </w:r>
      <w:r w:rsidR="008A74EB">
        <w:rPr>
          <w:rtl/>
        </w:rPr>
        <w:t>.</w:t>
      </w:r>
      <w:r w:rsidR="008A74EB" w:rsidRPr="00C9040A">
        <w:rPr>
          <w:rtl/>
        </w:rPr>
        <w:t xml:space="preserve"> وفي </w:t>
      </w:r>
      <w:r w:rsidR="008A74EB" w:rsidRPr="00993B55">
        <w:rPr>
          <w:rStyle w:val="libFootnoteBoldChar"/>
          <w:rtl/>
        </w:rPr>
        <w:t>الوافي</w:t>
      </w:r>
      <w:r w:rsidR="008A74EB" w:rsidRPr="00C9040A">
        <w:rPr>
          <w:rtl/>
        </w:rPr>
        <w:t xml:space="preserve"> : « ألقى في قلبه نيّة صالحة أو خاطر خير يؤثّر فيه من</w:t>
      </w:r>
      <w:r w:rsidR="00855B90">
        <w:rPr>
          <w:rFonts w:hint="cs"/>
          <w:rtl/>
        </w:rPr>
        <w:t xml:space="preserve"> </w:t>
      </w:r>
      <w:r w:rsidR="008A74EB" w:rsidRPr="00C9040A">
        <w:rPr>
          <w:rtl/>
        </w:rPr>
        <w:t>‌فعلٍ فَعَلَ أو قول سَمِعَ ، والنكت : أن يضرب في الأرض بقضيب ونحوه فيؤثّر فيها »</w:t>
      </w:r>
      <w:r w:rsidR="008A74EB">
        <w:rPr>
          <w:rtl/>
        </w:rPr>
        <w:t>.</w:t>
      </w:r>
      <w:r w:rsidR="008A74EB" w:rsidRPr="00C9040A">
        <w:rPr>
          <w:rtl/>
        </w:rPr>
        <w:t xml:space="preserve"> وفي هامشه عن رفيع </w:t>
      </w:r>
      <w:r w:rsidR="00117575" w:rsidRPr="00855B90">
        <w:rPr>
          <w:rtl/>
        </w:rPr>
        <w:t>رحمه‌</w:t>
      </w:r>
      <w:r w:rsidR="00855B90">
        <w:rPr>
          <w:rFonts w:hint="cs"/>
          <w:rtl/>
        </w:rPr>
        <w:t xml:space="preserve"> </w:t>
      </w:r>
      <w:r w:rsidR="00117575" w:rsidRPr="00855B90">
        <w:rPr>
          <w:rtl/>
        </w:rPr>
        <w:t>الله</w:t>
      </w:r>
      <w:r w:rsidR="008A74EB" w:rsidRPr="00C9040A">
        <w:rPr>
          <w:rtl/>
        </w:rPr>
        <w:t xml:space="preserve"> تعالى : « أي أدخل في قلبه وأحدث فيه أثراً من نور وفتح مسامع قلبه وجعلها مفتوحة تسع المعارف ، ووكّل به ملكاً يسدّده ويعرّفها إيّاه ويحفظه عن الزيغ. وقوله : « إذا أراد بعبد سوءً » أراد به وقوع مراد العبد وعلمه بأنّه يريد السوء « نكت في قلبه نكتة سوداء » بأن يتركه مخلّى بينه وبين مراده فيحدث في قلبه نكتة سوداء من سوء اختياره ، ويصير مسامع قلبه مسدودة ، وتركه والشيطان الموكّل به لإضلاله لما فيه من سوء اختياره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w:t>
      </w:r>
      <w:r w:rsidR="008A74EB" w:rsidRPr="00993B55">
        <w:rPr>
          <w:rStyle w:val="libFootnoteBoldChar"/>
          <w:rtl/>
        </w:rPr>
        <w:t>الكافي</w:t>
      </w:r>
      <w:r w:rsidR="008A74EB" w:rsidRPr="00C9040A">
        <w:rPr>
          <w:rtl/>
        </w:rPr>
        <w:t xml:space="preserve"> ، كتاب التوحيد ، باب الهداية أنّها من الله عزّ وجلّ ، ح 431 ، عن عليّ بن إبراهيم ، عن أبيه ، عن ابن أبي‌عمير ، عن محمّد بن حمران ، عن سليمان بن خالد ، عن أبي‌عبدالله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التوحيد</w:t>
      </w:r>
      <w:r w:rsidR="008A74EB" w:rsidRPr="00C9040A">
        <w:rPr>
          <w:rtl/>
        </w:rPr>
        <w:t xml:space="preserve"> ، ص 415 ، ح 14 ، عن أبيه ، عن عليّ بن إبراهيم ، عن أبيه ، عن ابن أبي‌عمير ، عن محمّد بن حمران ، عن سليمان بن خالد ، عن أبي‌</w:t>
      </w:r>
      <w:r w:rsidR="009D1E07">
        <w:rPr>
          <w:rFonts w:hint="cs"/>
          <w:rtl/>
        </w:rPr>
        <w:t xml:space="preserve"> </w:t>
      </w:r>
      <w:r w:rsidR="008A74EB" w:rsidRPr="00C9040A">
        <w:rPr>
          <w:rtl/>
        </w:rPr>
        <w:t xml:space="preserve">عبدالله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المحاسن</w:t>
      </w:r>
      <w:r w:rsidR="008A74EB" w:rsidRPr="00C9040A">
        <w:rPr>
          <w:rtl/>
        </w:rPr>
        <w:t xml:space="preserve"> ، ص 200 ، كتاب مصابيح الظلم ، ح 35 ، </w:t>
      </w:r>
      <w:r w:rsidR="009D1E07">
        <w:rPr>
          <w:rtl/>
        </w:rPr>
        <w:t>بسند آخر عن سليمان بن خالد ، عن</w:t>
      </w:r>
      <w:r w:rsidR="009D1E07">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Heading2Center"/>
        <w:rPr>
          <w:rtl/>
          <w:lang w:bidi="fa-IR"/>
        </w:rPr>
      </w:pPr>
      <w:bookmarkStart w:id="295" w:name="_Toc343795686"/>
      <w:bookmarkStart w:id="296" w:name="_Toc459810810"/>
      <w:bookmarkStart w:id="297" w:name="_Toc35348716"/>
      <w:r w:rsidRPr="00C9040A">
        <w:rPr>
          <w:rtl/>
          <w:lang w:bidi="fa-IR"/>
        </w:rPr>
        <w:t>95</w:t>
      </w:r>
      <w:r>
        <w:rPr>
          <w:rtl/>
          <w:lang w:bidi="fa-IR"/>
        </w:rPr>
        <w:t xml:space="preserve"> </w:t>
      </w:r>
      <w:r w:rsidR="0084262C">
        <w:rPr>
          <w:rtl/>
          <w:lang w:bidi="fa-IR"/>
        </w:rPr>
        <w:t>-</w:t>
      </w:r>
      <w:r>
        <w:rPr>
          <w:rtl/>
          <w:lang w:bidi="fa-IR"/>
        </w:rPr>
        <w:t xml:space="preserve"> </w:t>
      </w:r>
      <w:r w:rsidRPr="00C9040A">
        <w:rPr>
          <w:rtl/>
          <w:lang w:bidi="fa-IR"/>
        </w:rPr>
        <w:t xml:space="preserve">بَابُ أَنَّ اللهَ إِنَّمَا يُعْطِي الدِّينَ </w:t>
      </w:r>
      <w:r w:rsidR="006C577F" w:rsidRPr="006C577F">
        <w:rPr>
          <w:rStyle w:val="libFootnotenumChar"/>
          <w:rtl/>
        </w:rPr>
        <w:t>(1)</w:t>
      </w:r>
      <w:r>
        <w:rPr>
          <w:rtl/>
        </w:rPr>
        <w:t xml:space="preserve"> </w:t>
      </w:r>
      <w:r w:rsidRPr="00C9040A">
        <w:rPr>
          <w:rtl/>
          <w:lang w:bidi="fa-IR"/>
        </w:rPr>
        <w:t>مَنْ يُحِبُّهُ‌</w:t>
      </w:r>
      <w:bookmarkEnd w:id="295"/>
      <w:bookmarkEnd w:id="296"/>
      <w:bookmarkEnd w:id="297"/>
    </w:p>
    <w:p w:rsidR="008A74EB" w:rsidRPr="00C9040A" w:rsidRDefault="008A74EB" w:rsidP="008A74EB">
      <w:pPr>
        <w:pStyle w:val="libNormal"/>
        <w:rPr>
          <w:rtl/>
          <w:lang w:bidi="fa-IR"/>
        </w:rPr>
      </w:pPr>
      <w:r w:rsidRPr="00A64E66">
        <w:rPr>
          <w:rtl/>
        </w:rPr>
        <w:t>2233</w:t>
      </w:r>
      <w:r w:rsidRPr="00261CB0">
        <w:rPr>
          <w:rStyle w:val="libBold2Char"/>
          <w:rtl/>
        </w:rPr>
        <w:t xml:space="preserve"> / 1.</w:t>
      </w:r>
      <w:r w:rsidRPr="00C9040A">
        <w:rPr>
          <w:rtl/>
          <w:lang w:bidi="fa-IR"/>
        </w:rPr>
        <w:t xml:space="preserve"> مُحَمَّدُ بْنُ يَحْيى ، عَنْ أَحْمَدَ بْنِ مُحَمَّدِ بْنِ عِيسى ، عَنِ ابْنِ فَضَّالٍ ، عَنِ ابْنِ بُكَيْرٍ ، عَنْ حَمْزَةَ بْنِ حُمْرَانَ ، عَنْ عُمَرَ بْنِ حَنْظَلَةَ ، قَالَ :</w:t>
      </w:r>
    </w:p>
    <w:p w:rsidR="008A74EB" w:rsidRPr="00C9040A" w:rsidRDefault="008A74EB" w:rsidP="008A74EB">
      <w:pPr>
        <w:pStyle w:val="libNormal"/>
        <w:rPr>
          <w:rtl/>
          <w:lang w:bidi="fa-IR"/>
        </w:rPr>
      </w:pPr>
      <w:r w:rsidRPr="00C9040A">
        <w:rPr>
          <w:rtl/>
          <w:lang w:bidi="fa-IR"/>
        </w:rPr>
        <w:t xml:space="preserve">قَالَ لِي </w:t>
      </w:r>
      <w:r w:rsidR="006C577F" w:rsidRPr="006C577F">
        <w:rPr>
          <w:rStyle w:val="libFootnotenumChar"/>
          <w:rtl/>
        </w:rPr>
        <w:t>(2)</w:t>
      </w:r>
      <w:r w:rsidRPr="00C9040A">
        <w:rPr>
          <w:rtl/>
          <w:lang w:bidi="fa-IR"/>
        </w:rPr>
        <w:t xml:space="preserve"> أَبُو عَبْدِ اللهِ </w:t>
      </w:r>
      <w:r w:rsidRPr="0003660B">
        <w:rPr>
          <w:rStyle w:val="libAlaemChar"/>
          <w:rtl/>
        </w:rPr>
        <w:t>عليه‌السلام</w:t>
      </w:r>
      <w:r w:rsidRPr="00C9040A">
        <w:rPr>
          <w:rtl/>
          <w:lang w:bidi="fa-IR"/>
        </w:rPr>
        <w:t xml:space="preserve"> : « يَا أَبَا الصَّخْرِ ، إِنَّ اللهَ يُعْطِي الدُّنْيَا مَنْ يُحِبُّ وَ</w:t>
      </w:r>
      <w:r>
        <w:rPr>
          <w:rFonts w:hint="cs"/>
          <w:rtl/>
          <w:lang w:bidi="fa-IR"/>
        </w:rPr>
        <w:t xml:space="preserve"> </w:t>
      </w:r>
      <w:r w:rsidR="006C577F" w:rsidRPr="006C577F">
        <w:rPr>
          <w:rStyle w:val="libFootnotenumChar"/>
          <w:rtl/>
        </w:rPr>
        <w:t>(3)</w:t>
      </w:r>
      <w:r w:rsidRPr="00C9040A">
        <w:rPr>
          <w:rtl/>
          <w:lang w:bidi="fa-IR"/>
        </w:rPr>
        <w:t xml:space="preserve"> يُبْغِضُ ، وَلَ</w:t>
      </w:r>
      <w:r w:rsidR="009D1E07">
        <w:rPr>
          <w:rtl/>
          <w:lang w:bidi="fa-IR"/>
        </w:rPr>
        <w:t>ا يُعْطِي هذَا الْأَمْرَ إِل</w:t>
      </w:r>
      <w:r w:rsidR="009D1E07">
        <w:rPr>
          <w:rFonts w:hint="cs"/>
          <w:rtl/>
          <w:lang w:bidi="fa-IR"/>
        </w:rPr>
        <w:t>َّ</w:t>
      </w:r>
      <w:r w:rsidR="009D1E07">
        <w:rPr>
          <w:rtl/>
          <w:lang w:bidi="fa-IR"/>
        </w:rPr>
        <w:t>ا</w:t>
      </w:r>
      <w:r w:rsidRPr="00C9040A">
        <w:rPr>
          <w:rtl/>
          <w:lang w:bidi="fa-IR"/>
        </w:rPr>
        <w:t xml:space="preserve"> صَفْوَتَهُ مِنْ خَلْقِهِ ؛ أَنْتُمْ وَاللهِ عَلى دِينِي وَدِينِ آبَائِي إِبْرَاهِيمَ وَإِسْمَاعِيلَ ، لَا</w:t>
      </w:r>
      <w:r>
        <w:rPr>
          <w:rFonts w:hint="cs"/>
          <w:rtl/>
          <w:lang w:bidi="fa-IR"/>
        </w:rPr>
        <w:t xml:space="preserve"> </w:t>
      </w:r>
      <w:r w:rsidRPr="00C9040A">
        <w:rPr>
          <w:rtl/>
          <w:lang w:bidi="fa-IR"/>
        </w:rPr>
        <w:t xml:space="preserve">أَعْنِي عَلِيَّ بْنَ الْحُسَيْنِ ، وَلَا </w:t>
      </w:r>
      <w:r w:rsidR="006C577F" w:rsidRPr="006C577F">
        <w:rPr>
          <w:rStyle w:val="libFootnotenumChar"/>
          <w:rtl/>
        </w:rPr>
        <w:t>(4)</w:t>
      </w:r>
      <w:r w:rsidRPr="00C9040A">
        <w:rPr>
          <w:rtl/>
          <w:lang w:bidi="fa-IR"/>
        </w:rPr>
        <w:t xml:space="preserve"> مُحَمَّدَ بْنَ عَلِيٍّ وَإِنْ كَانَ هؤُلَاءِ عَلى دِينِ هؤُلَاءِ </w:t>
      </w:r>
      <w:r w:rsidR="006C577F" w:rsidRPr="006C577F">
        <w:rPr>
          <w:rStyle w:val="libFootnotenumChar"/>
          <w:rtl/>
        </w:rPr>
        <w:t>(5)</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Line"/>
        <w:rPr>
          <w:rtl/>
          <w:lang w:bidi="fa-IR"/>
        </w:rPr>
      </w:pPr>
      <w:r w:rsidRPr="00C9040A">
        <w:rPr>
          <w:rtl/>
          <w:lang w:bidi="fa-IR"/>
        </w:rPr>
        <w:t>__________________</w:t>
      </w:r>
    </w:p>
    <w:p w:rsidR="008A74EB" w:rsidRPr="00C9040A" w:rsidRDefault="009D1E07" w:rsidP="004A4E41">
      <w:pPr>
        <w:pStyle w:val="libFootnote0"/>
        <w:rPr>
          <w:rtl/>
          <w:lang w:bidi="fa-IR"/>
        </w:rPr>
      </w:pPr>
      <w:r>
        <w:rPr>
          <w:rFonts w:hint="cs"/>
          <w:rtl/>
        </w:rPr>
        <w:t xml:space="preserve">= </w:t>
      </w:r>
      <w:r w:rsidR="008A74EB" w:rsidRPr="00C9040A">
        <w:rPr>
          <w:rtl/>
        </w:rPr>
        <w:t xml:space="preserve">أبي‌عبدالله </w:t>
      </w:r>
      <w:r w:rsidR="00117575" w:rsidRPr="00117575">
        <w:rPr>
          <w:rStyle w:val="libFootnoteAlaemChar"/>
          <w:rtl/>
        </w:rPr>
        <w:t>عليه‌السلام</w:t>
      </w:r>
      <w:r w:rsidR="008A74EB" w:rsidRPr="00C9040A">
        <w:rPr>
          <w:rtl/>
        </w:rPr>
        <w:t xml:space="preserve"> ، مع اختلاف. وفي </w:t>
      </w:r>
      <w:r w:rsidR="008A74EB" w:rsidRPr="00993B55">
        <w:rPr>
          <w:rStyle w:val="libFootnoteBoldChar"/>
          <w:rtl/>
        </w:rPr>
        <w:t>تفسير العيّاشي</w:t>
      </w:r>
      <w:r w:rsidR="008A74EB" w:rsidRPr="00C9040A">
        <w:rPr>
          <w:rtl/>
        </w:rPr>
        <w:t xml:space="preserve"> ، ج 1 ، ص 321 ، ح 110 ؛ وص 376 ، ح 94 ، عن سليمان بن خالد ، عن أبي عبدالله </w:t>
      </w:r>
      <w:r w:rsidR="00117575" w:rsidRPr="00117575">
        <w:rPr>
          <w:rStyle w:val="libFootnoteAlaemChar"/>
          <w:rtl/>
        </w:rPr>
        <w:t>عليه‌السلام</w:t>
      </w:r>
      <w:r w:rsidR="008A74EB" w:rsidRPr="00C9040A">
        <w:rPr>
          <w:rtl/>
        </w:rPr>
        <w:t xml:space="preserve"> ، وفي كلّها مع زيادة في آخره </w:t>
      </w:r>
      <w:r>
        <w:rPr>
          <w:rFonts w:hint="cs"/>
          <w:rtl/>
        </w:rPr>
        <w:t>.</w:t>
      </w:r>
      <w:r w:rsidR="008A74EB" w:rsidRPr="00993B55">
        <w:rPr>
          <w:rStyle w:val="libFootnoteBoldChar"/>
          <w:rtl/>
        </w:rPr>
        <w:t>الوافي</w:t>
      </w:r>
      <w:r w:rsidR="008A74EB" w:rsidRPr="00C9040A">
        <w:rPr>
          <w:rtl/>
        </w:rPr>
        <w:t xml:space="preserve"> ، ج 1 ، ص 562 ، ح 472 ؛ </w:t>
      </w:r>
      <w:r w:rsidR="008A74EB" w:rsidRPr="00993B55">
        <w:rPr>
          <w:rStyle w:val="libFootnoteBoldChar"/>
          <w:rtl/>
        </w:rPr>
        <w:t>بحار الأنوار</w:t>
      </w:r>
      <w:r w:rsidR="008A74EB" w:rsidRPr="00C9040A">
        <w:rPr>
          <w:rtl/>
        </w:rPr>
        <w:t xml:space="preserve"> ، ج 68 ، ص 211 ، ح 17.</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حاشية « ف » : « الدنيا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ج ، د ، ز ، ص ، </w:t>
      </w:r>
      <w:r w:rsidR="006D3162">
        <w:rPr>
          <w:rtl/>
        </w:rPr>
        <w:t xml:space="preserve">ه </w:t>
      </w:r>
      <w:r w:rsidR="008A74EB" w:rsidRPr="00C9040A">
        <w:rPr>
          <w:rtl/>
        </w:rPr>
        <w:t xml:space="preserve">، بس ، بف » والوافي </w:t>
      </w:r>
      <w:r w:rsidR="008A74EB">
        <w:rPr>
          <w:rtl/>
        </w:rPr>
        <w:t xml:space="preserve">: </w:t>
      </w:r>
      <w:r w:rsidR="0084262C">
        <w:rPr>
          <w:rtl/>
        </w:rPr>
        <w:t>-</w:t>
      </w:r>
      <w:r w:rsidR="008A74EB" w:rsidRPr="00C9040A">
        <w:rPr>
          <w:rtl/>
        </w:rPr>
        <w:t xml:space="preserve"> « لي »</w:t>
      </w:r>
      <w:r w:rsidR="008A74EB">
        <w:rPr>
          <w:rtl/>
        </w:rPr>
        <w:t>.</w:t>
      </w:r>
    </w:p>
    <w:tbl>
      <w:tblPr>
        <w:tblStyle w:val="TableGrid"/>
        <w:bidiVisual/>
        <w:tblW w:w="0" w:type="auto"/>
        <w:tblLook w:val="04A0" w:firstRow="1" w:lastRow="0" w:firstColumn="1" w:lastColumn="0" w:noHBand="0" w:noVBand="1"/>
      </w:tblPr>
      <w:tblGrid>
        <w:gridCol w:w="4006"/>
        <w:gridCol w:w="4006"/>
      </w:tblGrid>
      <w:tr w:rsidR="009D1E07" w:rsidTr="009D1E07">
        <w:tc>
          <w:tcPr>
            <w:tcW w:w="4006" w:type="dxa"/>
          </w:tcPr>
          <w:p w:rsidR="009D1E07" w:rsidRDefault="009D1E07" w:rsidP="004A4E41">
            <w:pPr>
              <w:pStyle w:val="libFootnote0"/>
              <w:rPr>
                <w:rtl/>
              </w:rPr>
            </w:pPr>
            <w:r>
              <w:rPr>
                <w:rtl/>
              </w:rPr>
              <w:t>(3).</w:t>
            </w:r>
            <w:r w:rsidRPr="00C9040A">
              <w:rPr>
                <w:rtl/>
              </w:rPr>
              <w:t xml:space="preserve"> في مرآة العقول : « ومن »</w:t>
            </w:r>
            <w:r>
              <w:rPr>
                <w:rtl/>
              </w:rPr>
              <w:t>.</w:t>
            </w:r>
          </w:p>
        </w:tc>
        <w:tc>
          <w:tcPr>
            <w:tcW w:w="4006" w:type="dxa"/>
          </w:tcPr>
          <w:p w:rsidR="009D1E07" w:rsidRDefault="009D1E07" w:rsidP="004A4E41">
            <w:pPr>
              <w:pStyle w:val="libFootnote0"/>
              <w:rPr>
                <w:rtl/>
              </w:rPr>
            </w:pPr>
            <w:r>
              <w:rPr>
                <w:rtl/>
              </w:rPr>
              <w:t>(4).</w:t>
            </w:r>
            <w:r w:rsidRPr="00C9040A">
              <w:rPr>
                <w:rtl/>
              </w:rPr>
              <w:t xml:space="preserve"> في « </w:t>
            </w:r>
            <w:r>
              <w:rPr>
                <w:rtl/>
              </w:rPr>
              <w:t xml:space="preserve">ه </w:t>
            </w:r>
            <w:r w:rsidRPr="00C9040A">
              <w:rPr>
                <w:rtl/>
              </w:rPr>
              <w:t xml:space="preserve">» </w:t>
            </w:r>
            <w:r>
              <w:rPr>
                <w:rtl/>
              </w:rPr>
              <w:t>: -</w:t>
            </w:r>
            <w:r w:rsidRPr="00C9040A">
              <w:rPr>
                <w:rtl/>
              </w:rPr>
              <w:t xml:space="preserve"> « لا »</w:t>
            </w:r>
            <w:r>
              <w:rPr>
                <w:rtl/>
              </w:rPr>
              <w:t>.</w:t>
            </w:r>
          </w:p>
        </w:tc>
      </w:tr>
    </w:tbl>
    <w:p w:rsidR="008A74EB" w:rsidRPr="00C9040A" w:rsidRDefault="006C577F" w:rsidP="004A4E41">
      <w:pPr>
        <w:pStyle w:val="libFootnote0"/>
        <w:rPr>
          <w:rtl/>
          <w:lang w:bidi="fa-IR"/>
        </w:rPr>
      </w:pPr>
      <w:r>
        <w:rPr>
          <w:rtl/>
        </w:rPr>
        <w:t>(5).</w:t>
      </w:r>
      <w:r w:rsidR="009D1E07">
        <w:rPr>
          <w:rtl/>
        </w:rPr>
        <w:t xml:space="preserve"> قال العل</w:t>
      </w:r>
      <w:r w:rsidR="009D1E07">
        <w:rPr>
          <w:rFonts w:hint="cs"/>
          <w:rtl/>
        </w:rPr>
        <w:t>ّ</w:t>
      </w:r>
      <w:r w:rsidR="009D1E07">
        <w:rPr>
          <w:rtl/>
        </w:rPr>
        <w:t>ا</w:t>
      </w:r>
      <w:r w:rsidR="008A74EB" w:rsidRPr="00C9040A">
        <w:rPr>
          <w:rtl/>
        </w:rPr>
        <w:t>مة الطباطبائي : « الحبّ انجذاب خاصّ من المحبّ نحو المحبوب ؛ ليجده ، ففيه شوب من معنى الانفعال ، وهو بهذا المعنى وإن امتنع أن يتّصف به الله سبحانه ، لكنّه تعالى يتّصف به من حيث الأثر ، كسائر الصفات من الرحمة والغضب وغيرهما ، فهو تعالى يحبّ خلقه من حيث إنّه يريد أن يجده وينعم عليه بالوجود والرزق ونحوهما ، وهو تعالى يحبّ عبده المؤمن حيث إنّه يريد أن يجده ولايفوته فينعم عليه بنعمة السعادة والعاقبة الحسنى ، فالمراد بالمحبّة في هذه الروايات المحبّة الخاصّة. قوله : « لا أعني عليّ بن الحسين » إلى آخره ، أي أنّ المراد بآبائي آبائي الأقربون والأبعدون جميعاً ، لاخصوص آبائي الأدنين ، وهو كناية عن أنّ الدين الحقّ واحد ، ودين إبراهيم ومذهب أهل البيت دين واحد ، لا أنّ هذا المذهب شعبة من شعب دين الحقّ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فضائل الشيعة</w:t>
      </w:r>
      <w:r w:rsidR="008A74EB" w:rsidRPr="00C9040A">
        <w:rPr>
          <w:rtl/>
        </w:rPr>
        <w:t xml:space="preserve"> ، ص 40 ، ح 41 ، بسنده عن عمر بن حنظلة ؛ </w:t>
      </w:r>
      <w:r w:rsidR="008A74EB" w:rsidRPr="00993B55">
        <w:rPr>
          <w:rStyle w:val="libFootnoteBoldChar"/>
          <w:rtl/>
        </w:rPr>
        <w:t>المحاسن</w:t>
      </w:r>
      <w:r w:rsidR="008A74EB" w:rsidRPr="00C9040A">
        <w:rPr>
          <w:rtl/>
        </w:rPr>
        <w:t xml:space="preserve"> ، ص 217 ، كتاب مصابيح الظلم ، ح 110 ، عن الحسن بن عليّ بن فضّال ؛ </w:t>
      </w:r>
      <w:r w:rsidR="008A74EB" w:rsidRPr="00993B55">
        <w:rPr>
          <w:rStyle w:val="libFootnoteBoldChar"/>
          <w:rtl/>
        </w:rPr>
        <w:t>كتاب سليم بن قيس</w:t>
      </w:r>
      <w:r w:rsidR="008A74EB" w:rsidRPr="00C9040A">
        <w:rPr>
          <w:rtl/>
        </w:rPr>
        <w:t xml:space="preserve"> ، ص 826 ، ضمن الحديث الطويل 38 ، عن أبان ، عن سليم ، عن أميرالمؤمنين </w:t>
      </w:r>
      <w:r w:rsidR="00117575" w:rsidRPr="00117575">
        <w:rPr>
          <w:rStyle w:val="libFootnoteAlaemChar"/>
          <w:rtl/>
        </w:rPr>
        <w:t>عليه‌السلام</w:t>
      </w:r>
      <w:r w:rsidR="008A74EB" w:rsidRPr="00C9040A">
        <w:rPr>
          <w:rtl/>
        </w:rPr>
        <w:t xml:space="preserve"> عن رسول الله </w:t>
      </w:r>
      <w:r w:rsidR="004A4E41" w:rsidRPr="009D1E07">
        <w:rPr>
          <w:rStyle w:val="libFootnoteAlaemChar"/>
          <w:rtl/>
        </w:rPr>
        <w:t>صلى‌الله‌عليه‌وآله</w:t>
      </w:r>
      <w:r w:rsidR="008A74EB" w:rsidRPr="00C9040A">
        <w:rPr>
          <w:rtl/>
        </w:rPr>
        <w:t xml:space="preserve">. </w:t>
      </w:r>
      <w:r w:rsidR="008A74EB" w:rsidRPr="00993B55">
        <w:rPr>
          <w:rStyle w:val="libFootnoteBoldChar"/>
          <w:rtl/>
        </w:rPr>
        <w:t>تحف العقول</w:t>
      </w:r>
      <w:r w:rsidR="008A74EB" w:rsidRPr="00C9040A">
        <w:rPr>
          <w:rtl/>
        </w:rPr>
        <w:t xml:space="preserve"> ، ص 374 ، وفي ا</w:t>
      </w:r>
      <w:r w:rsidR="009D1E07">
        <w:rPr>
          <w:rtl/>
        </w:rPr>
        <w:t>لثلاثة الأخيرة إلى قوله : « إل</w:t>
      </w:r>
      <w:r w:rsidR="009D1E07">
        <w:rPr>
          <w:rFonts w:hint="cs"/>
          <w:rtl/>
        </w:rPr>
        <w:t>ّ</w:t>
      </w:r>
      <w:r w:rsidR="009D1E07">
        <w:rPr>
          <w:rtl/>
        </w:rPr>
        <w:t>ا</w:t>
      </w:r>
      <w:r w:rsidR="008A74EB" w:rsidRPr="00C9040A">
        <w:rPr>
          <w:rtl/>
        </w:rPr>
        <w:t xml:space="preserve"> صفوته من خلقه » مع اختلاف يسير </w:t>
      </w:r>
      <w:r w:rsidR="009D1E07">
        <w:rPr>
          <w:rFonts w:hint="cs"/>
          <w:rtl/>
        </w:rPr>
        <w:t>.</w:t>
      </w:r>
      <w:r w:rsidR="008A74EB" w:rsidRPr="00993B55">
        <w:rPr>
          <w:rStyle w:val="libFootnoteBoldChar"/>
          <w:rtl/>
        </w:rPr>
        <w:t>الوافي</w:t>
      </w:r>
      <w:r w:rsidR="008A74EB" w:rsidRPr="00C9040A">
        <w:rPr>
          <w:rtl/>
        </w:rPr>
        <w:t xml:space="preserve"> ، ج 5 ، ص 739 ، ح 2955 ؛ </w:t>
      </w:r>
      <w:r w:rsidR="008A74EB" w:rsidRPr="00993B55">
        <w:rPr>
          <w:rStyle w:val="libFootnoteBoldChar"/>
          <w:rtl/>
        </w:rPr>
        <w:t>البحار</w:t>
      </w:r>
      <w:r w:rsidR="008A74EB" w:rsidRPr="00C9040A">
        <w:rPr>
          <w:rtl/>
        </w:rPr>
        <w:t xml:space="preserve"> ، ج 68 ، ص 201 ، ح 1.</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A64E66">
        <w:rPr>
          <w:rtl/>
        </w:rPr>
        <w:t>2234</w:t>
      </w:r>
      <w:r w:rsidRPr="00261CB0">
        <w:rPr>
          <w:rStyle w:val="libBold2Char"/>
          <w:rtl/>
        </w:rPr>
        <w:t xml:space="preserve"> / 2.</w:t>
      </w:r>
      <w:r w:rsidRPr="00C9040A">
        <w:rPr>
          <w:rtl/>
          <w:lang w:bidi="fa-IR"/>
        </w:rPr>
        <w:t xml:space="preserve"> الْحُسَيْنُ بْنُ مُحَمَّدٍ ، عَنْ مُعَلَّى بْنِ مُحَمَّدٍ ، عَنِ الْحَسَنِ بْنِ عَلِيٍّ الْوَشَّاءِ ، عَنْ عَاصِمِ بْنِ حُمَيْدٍ ، عَنْ مَالِكِ بْنِ أَعْيَنَ الْجُهَنِيِّ ، قَالَ :</w:t>
      </w:r>
    </w:p>
    <w:p w:rsidR="008A74EB" w:rsidRPr="00C9040A" w:rsidRDefault="008A74EB" w:rsidP="008A74EB">
      <w:pPr>
        <w:pStyle w:val="libNormal"/>
        <w:rPr>
          <w:rtl/>
          <w:lang w:bidi="fa-IR"/>
        </w:rPr>
      </w:pPr>
      <w:r w:rsidRPr="00C9040A">
        <w:rPr>
          <w:rtl/>
          <w:lang w:bidi="fa-IR"/>
        </w:rPr>
        <w:t xml:space="preserve">سَمِعْتُ أَبَا جَعْفَرٍ </w:t>
      </w:r>
      <w:r w:rsidRPr="0003660B">
        <w:rPr>
          <w:rStyle w:val="libAlaemChar"/>
          <w:rtl/>
        </w:rPr>
        <w:t>عليه‌السلام</w:t>
      </w:r>
      <w:r w:rsidRPr="00C9040A">
        <w:rPr>
          <w:rtl/>
          <w:lang w:bidi="fa-IR"/>
        </w:rPr>
        <w:t xml:space="preserve"> يَقُولُ : « يَا مَالِكُ ، إِنَّ اللهَ يُعْطِي الدُّنْيَا مَنْ يُحِبُّ وَيُبْغِض</w:t>
      </w:r>
      <w:r w:rsidR="009D1E07">
        <w:rPr>
          <w:rtl/>
          <w:lang w:bidi="fa-IR"/>
        </w:rPr>
        <w:t>ُ ، وَلَا يُعْطِي دِينَهُ إِل</w:t>
      </w:r>
      <w:r w:rsidR="009D1E07">
        <w:rPr>
          <w:rFonts w:hint="cs"/>
          <w:rtl/>
          <w:lang w:bidi="fa-IR"/>
        </w:rPr>
        <w:t>َّ</w:t>
      </w:r>
      <w:r w:rsidR="009D1E07">
        <w:rPr>
          <w:rtl/>
          <w:lang w:bidi="fa-IR"/>
        </w:rPr>
        <w:t>ا</w:t>
      </w:r>
      <w:r w:rsidRPr="00C9040A">
        <w:rPr>
          <w:rtl/>
          <w:lang w:bidi="fa-IR"/>
        </w:rPr>
        <w:t xml:space="preserve"> مَنْ يُحِبُّ »</w:t>
      </w:r>
      <w:r>
        <w:rPr>
          <w:rtl/>
          <w:lang w:bidi="fa-IR"/>
        </w:rPr>
        <w:t>.</w:t>
      </w:r>
      <w:r w:rsidRPr="00C9040A">
        <w:rPr>
          <w:rtl/>
          <w:lang w:bidi="fa-IR"/>
        </w:rPr>
        <w:t xml:space="preserve"> </w:t>
      </w:r>
      <w:r w:rsidR="006C577F" w:rsidRPr="006C577F">
        <w:rPr>
          <w:rStyle w:val="libFootnotenumChar"/>
          <w:rtl/>
        </w:rPr>
        <w:t>(1)</w:t>
      </w:r>
      <w:r w:rsidRPr="00C9040A">
        <w:rPr>
          <w:rtl/>
          <w:lang w:bidi="fa-IR"/>
        </w:rPr>
        <w:t xml:space="preserve"> ‌</w:t>
      </w:r>
    </w:p>
    <w:p w:rsidR="008A74EB" w:rsidRPr="00C9040A" w:rsidRDefault="008A74EB" w:rsidP="008A74EB">
      <w:pPr>
        <w:pStyle w:val="libNormal"/>
        <w:rPr>
          <w:rtl/>
          <w:lang w:bidi="fa-IR"/>
        </w:rPr>
      </w:pPr>
      <w:r w:rsidRPr="00A64E66">
        <w:rPr>
          <w:rtl/>
        </w:rPr>
        <w:t>2235</w:t>
      </w:r>
      <w:r w:rsidRPr="00261CB0">
        <w:rPr>
          <w:rStyle w:val="libBold2Char"/>
          <w:rtl/>
        </w:rPr>
        <w:t xml:space="preserve"> / 3.</w:t>
      </w:r>
      <w:r w:rsidRPr="00C9040A">
        <w:rPr>
          <w:rtl/>
          <w:lang w:bidi="fa-IR"/>
        </w:rPr>
        <w:t xml:space="preserve"> عَنْهُ ، عَنْ مُعَلًّى ، عَنِ الْوَشَّاءِ ، عَنْ عَبْدِ الْكَرِيمِ بْنِ عَمْرٍو الْخَثْعَمِيِّ ، عَنْ عُمَرَ بْنِ حَنْظَلَةَ وَ</w:t>
      </w:r>
      <w:r>
        <w:rPr>
          <w:rFonts w:hint="cs"/>
          <w:rtl/>
          <w:lang w:bidi="fa-IR"/>
        </w:rPr>
        <w:t xml:space="preserve"> </w:t>
      </w:r>
      <w:r w:rsidR="006C577F" w:rsidRPr="006C577F">
        <w:rPr>
          <w:rStyle w:val="libFootnotenumChar"/>
          <w:rtl/>
        </w:rPr>
        <w:t>(2)</w:t>
      </w:r>
      <w:r w:rsidRPr="00C9040A">
        <w:rPr>
          <w:rtl/>
          <w:lang w:bidi="fa-IR"/>
        </w:rPr>
        <w:t xml:space="preserve"> عَنْ حَمْزَةَ بْنِ حُمْرَانَ ، عَنْ حُمْرَانَ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إِنَّ هذِهِ الدُّنْيَا يُعْطِيهَا اللهُ الْبَرَّ وَالْفَاجِرَ ، وَلَا يُعْطِي الْإِيمَانَ </w:t>
      </w:r>
      <w:r w:rsidR="006C577F" w:rsidRPr="006C577F">
        <w:rPr>
          <w:rStyle w:val="libFootnotenumChar"/>
          <w:rtl/>
        </w:rPr>
        <w:t>(4)</w:t>
      </w:r>
      <w:r w:rsidR="009D1E07">
        <w:rPr>
          <w:rtl/>
          <w:lang w:bidi="fa-IR"/>
        </w:rPr>
        <w:t xml:space="preserve"> إِل</w:t>
      </w:r>
      <w:r w:rsidR="009D1E07">
        <w:rPr>
          <w:rFonts w:hint="cs"/>
          <w:rtl/>
          <w:lang w:bidi="fa-IR"/>
        </w:rPr>
        <w:t>َّ</w:t>
      </w:r>
      <w:r w:rsidR="009D1E07">
        <w:rPr>
          <w:rtl/>
          <w:lang w:bidi="fa-IR"/>
        </w:rPr>
        <w:t>ا</w:t>
      </w:r>
      <w:r w:rsidRPr="00C9040A">
        <w:rPr>
          <w:rtl/>
          <w:lang w:bidi="fa-IR"/>
        </w:rPr>
        <w:t xml:space="preserve"> صَفْوَتَهُ مِنْ خَلْقِهِ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993B55">
        <w:rPr>
          <w:rStyle w:val="libFootnoteBoldChar"/>
          <w:rtl/>
        </w:rPr>
        <w:t>المحاسن</w:t>
      </w:r>
      <w:r w:rsidR="008A74EB" w:rsidRPr="00C9040A">
        <w:rPr>
          <w:rtl/>
        </w:rPr>
        <w:t xml:space="preserve"> ، ص 216 ، كتاب مصابيح الظلم ، ح 107 ، عن الحسن بن عليّ الوشّاء ومحمّد بن عبدالحميد العطّار ، عن عاصم بن حميد. </w:t>
      </w:r>
      <w:r w:rsidR="008A74EB" w:rsidRPr="00993B55">
        <w:rPr>
          <w:rStyle w:val="libFootnoteBoldChar"/>
          <w:rtl/>
        </w:rPr>
        <w:t>فضائل الشيعة</w:t>
      </w:r>
      <w:r w:rsidR="008A74EB" w:rsidRPr="00C9040A">
        <w:rPr>
          <w:rtl/>
        </w:rPr>
        <w:t xml:space="preserve"> ، ص 35 ، ح 32 ، بسند آخر عن أبي‌جعفر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المؤمن</w:t>
      </w:r>
      <w:r w:rsidR="008A74EB" w:rsidRPr="00C9040A">
        <w:rPr>
          <w:rtl/>
        </w:rPr>
        <w:t xml:space="preserve"> ، ص 27 ، ح 47 ، عن أبي‌جعفر </w:t>
      </w:r>
      <w:r w:rsidR="00117575" w:rsidRPr="00117575">
        <w:rPr>
          <w:rStyle w:val="libFootnoteAlaemChar"/>
          <w:rtl/>
        </w:rPr>
        <w:t xml:space="preserve">عليه‌السلام </w:t>
      </w:r>
      <w:r w:rsidR="008A74EB" w:rsidRPr="00C9040A">
        <w:rPr>
          <w:rtl/>
        </w:rPr>
        <w:t xml:space="preserve">، وفيهما : « ولايعطي الآخرة » بدل « ولا يعطي دينه » مع زيادة في آخره. </w:t>
      </w:r>
      <w:r w:rsidR="008A74EB" w:rsidRPr="00993B55">
        <w:rPr>
          <w:rStyle w:val="libFootnoteBoldChar"/>
          <w:rtl/>
        </w:rPr>
        <w:t>تحف العقول</w:t>
      </w:r>
      <w:r w:rsidR="008A74EB" w:rsidRPr="00C9040A">
        <w:rPr>
          <w:rtl/>
        </w:rPr>
        <w:t xml:space="preserve"> ، ص 300 ؛ </w:t>
      </w:r>
      <w:r w:rsidR="008A74EB" w:rsidRPr="00993B55">
        <w:rPr>
          <w:rStyle w:val="libFootnoteBoldChar"/>
          <w:rtl/>
        </w:rPr>
        <w:t>فقه الرضا</w:t>
      </w:r>
      <w:r w:rsidR="008A74EB" w:rsidRPr="00C9040A">
        <w:rPr>
          <w:rtl/>
        </w:rPr>
        <w:t xml:space="preserve"> </w:t>
      </w:r>
      <w:r w:rsidR="00117575" w:rsidRPr="00117575">
        <w:rPr>
          <w:rStyle w:val="libFootnoteAlaemChar"/>
          <w:rtl/>
        </w:rPr>
        <w:t>عليه‌السلام</w:t>
      </w:r>
      <w:r w:rsidR="008A74EB" w:rsidRPr="00C9040A">
        <w:rPr>
          <w:rtl/>
        </w:rPr>
        <w:t xml:space="preserve"> ، ص 360 ، وفيه : «</w:t>
      </w:r>
      <w:r w:rsidR="008A74EB">
        <w:rPr>
          <w:rtl/>
        </w:rPr>
        <w:t xml:space="preserve"> ..</w:t>
      </w:r>
      <w:r w:rsidR="008A74EB" w:rsidRPr="00C9040A">
        <w:rPr>
          <w:rtl/>
        </w:rPr>
        <w:t>. من يحبّ ومن لا يحبّ</w:t>
      </w:r>
      <w:r w:rsidR="008A74EB">
        <w:rPr>
          <w:rtl/>
        </w:rPr>
        <w:t xml:space="preserve"> ..</w:t>
      </w:r>
      <w:r w:rsidR="008A74EB" w:rsidRPr="00C9040A">
        <w:rPr>
          <w:rtl/>
        </w:rPr>
        <w:t xml:space="preserve">. » </w:t>
      </w:r>
      <w:r w:rsidR="0000275D">
        <w:rPr>
          <w:rFonts w:hint="cs"/>
          <w:rtl/>
        </w:rPr>
        <w:t>.</w:t>
      </w:r>
      <w:r w:rsidR="008A74EB" w:rsidRPr="00993B55">
        <w:rPr>
          <w:rStyle w:val="libFootnoteBoldChar"/>
          <w:rtl/>
        </w:rPr>
        <w:t>الوافي</w:t>
      </w:r>
      <w:r w:rsidR="008A74EB" w:rsidRPr="00C9040A">
        <w:rPr>
          <w:rtl/>
        </w:rPr>
        <w:t xml:space="preserve"> ، ج 5 ، ص 739 ، ح 2954 ؛ </w:t>
      </w:r>
      <w:r w:rsidR="008A74EB" w:rsidRPr="00993B55">
        <w:rPr>
          <w:rStyle w:val="libFootnoteBoldChar"/>
          <w:rtl/>
        </w:rPr>
        <w:t>البحار</w:t>
      </w:r>
      <w:r w:rsidR="008A74EB" w:rsidRPr="00C9040A">
        <w:rPr>
          <w:rtl/>
        </w:rPr>
        <w:t xml:space="preserve"> ، ج 68 ، ص 203 ، ح 2.</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w:t>
      </w:r>
      <w:r w:rsidR="006D3162">
        <w:rPr>
          <w:rtl/>
        </w:rPr>
        <w:t xml:space="preserve">ه </w:t>
      </w:r>
      <w:r w:rsidR="008A74EB" w:rsidRPr="00C9040A">
        <w:rPr>
          <w:rtl/>
        </w:rPr>
        <w:t xml:space="preserve">» </w:t>
      </w:r>
      <w:r w:rsidR="008A74EB">
        <w:rPr>
          <w:rtl/>
        </w:rPr>
        <w:t xml:space="preserve">: </w:t>
      </w:r>
      <w:r w:rsidR="0084262C">
        <w:rPr>
          <w:rtl/>
        </w:rPr>
        <w:t>-</w:t>
      </w:r>
      <w:r w:rsidR="008A74EB" w:rsidRPr="00C9040A">
        <w:rPr>
          <w:rtl/>
        </w:rPr>
        <w:t xml:space="preserve"> « </w:t>
      </w:r>
      <w:r w:rsidR="008A74EB">
        <w:rPr>
          <w:rtl/>
        </w:rPr>
        <w:t>و »</w:t>
      </w:r>
      <w:r w:rsidR="008A74EB" w:rsidRPr="00C9040A">
        <w:rPr>
          <w:rtl/>
        </w:rPr>
        <w:t xml:space="preserve"> ، ولازمه رواية عمر بن حنظلة عن حمزة بن حمران ، لكن تقدّمت في الحديث الأوّل من الباب رواية حمزة بن حمران ، عن عمر بن حنظلة ، وهذا يقتضي تقدّم طبقة ابن حنظلة على ابن حمران.</w:t>
      </w:r>
    </w:p>
    <w:p w:rsidR="008A74EB" w:rsidRPr="00C9040A" w:rsidRDefault="008A74EB" w:rsidP="004A4E41">
      <w:pPr>
        <w:pStyle w:val="libFootnote0"/>
        <w:rPr>
          <w:rtl/>
          <w:lang w:bidi="fa-IR"/>
        </w:rPr>
      </w:pPr>
      <w:r w:rsidRPr="00323A39">
        <w:rPr>
          <w:rtl/>
        </w:rPr>
        <w:t xml:space="preserve">يؤيّد ذلك أنّ البرقي في رجاله ، ص 11 ، وص 17 وكذا الشيخ الطوسي في رجاله ، ص 142 الرقم 1529 ، وص 252 ، الرقم 3542 ، عدّا عمر بن حنظلة من أصحاب أبي‌جعفر الباقر وأبي‌عبدالله </w:t>
      </w:r>
      <w:r w:rsidR="00117575" w:rsidRPr="00117575">
        <w:rPr>
          <w:rStyle w:val="libFootnoteAlaemChar"/>
          <w:rtl/>
        </w:rPr>
        <w:t>عليهما‌السلام</w:t>
      </w:r>
      <w:r w:rsidRPr="00323A39">
        <w:rPr>
          <w:rtl/>
        </w:rPr>
        <w:t xml:space="preserve"> ، ووردت روايته عن أبي‌جعفر </w:t>
      </w:r>
      <w:r w:rsidR="00117575" w:rsidRPr="00117575">
        <w:rPr>
          <w:rStyle w:val="libFootnoteAlaemChar"/>
          <w:rtl/>
        </w:rPr>
        <w:t xml:space="preserve">عليه‌السلام </w:t>
      </w:r>
      <w:r w:rsidRPr="00323A39">
        <w:rPr>
          <w:rtl/>
        </w:rPr>
        <w:t xml:space="preserve">في </w:t>
      </w:r>
      <w:r w:rsidRPr="00993B55">
        <w:rPr>
          <w:rStyle w:val="libFootnoteBoldChar"/>
          <w:rtl/>
        </w:rPr>
        <w:t>بصائر الدرجات</w:t>
      </w:r>
      <w:r w:rsidRPr="00323A39">
        <w:rPr>
          <w:rtl/>
        </w:rPr>
        <w:t xml:space="preserve"> ، ص 210 ، ح 1.</w:t>
      </w:r>
    </w:p>
    <w:p w:rsidR="008A74EB" w:rsidRPr="00C9040A" w:rsidRDefault="008A74EB" w:rsidP="004A4E41">
      <w:pPr>
        <w:pStyle w:val="libFootnote0"/>
        <w:rPr>
          <w:rtl/>
          <w:lang w:bidi="fa-IR"/>
        </w:rPr>
      </w:pPr>
      <w:r w:rsidRPr="00323A39">
        <w:rPr>
          <w:rtl/>
        </w:rPr>
        <w:t xml:space="preserve">وأمّا حمزة بن حمران فقد تقدّم في </w:t>
      </w:r>
      <w:r w:rsidRPr="00993B55">
        <w:rPr>
          <w:rStyle w:val="libFootnoteBoldChar"/>
          <w:rtl/>
        </w:rPr>
        <w:t>الكافي</w:t>
      </w:r>
      <w:r w:rsidRPr="00323A39">
        <w:rPr>
          <w:rtl/>
        </w:rPr>
        <w:t xml:space="preserve"> ، ذيل ح 1696 أنّه ليس من أصحاب أبي‌جعفر الباقر </w:t>
      </w:r>
      <w:r w:rsidR="00117575" w:rsidRPr="00117575">
        <w:rPr>
          <w:rStyle w:val="libFootnoteAlaemChar"/>
          <w:rtl/>
        </w:rPr>
        <w:t xml:space="preserve">عليه‌السلام </w:t>
      </w:r>
      <w:r w:rsidRPr="00323A39">
        <w:rPr>
          <w:rtl/>
        </w:rPr>
        <w:t>. فراجع. فعليه الظاهر ثبوت « و » كما عليه أكثر النسخ ، ونأخذ بظاهرها من عطف « حمزة بن حمران » على « عمر بن حنظلة » وإن كان في البين بعض احتمالات اخر.</w:t>
      </w:r>
    </w:p>
    <w:tbl>
      <w:tblPr>
        <w:tblStyle w:val="TableGrid"/>
        <w:bidiVisual/>
        <w:tblW w:w="0" w:type="auto"/>
        <w:tblLook w:val="04A0" w:firstRow="1" w:lastRow="0" w:firstColumn="1" w:lastColumn="0" w:noHBand="0" w:noVBand="1"/>
      </w:tblPr>
      <w:tblGrid>
        <w:gridCol w:w="4006"/>
        <w:gridCol w:w="4006"/>
      </w:tblGrid>
      <w:tr w:rsidR="0000275D" w:rsidTr="0000275D">
        <w:tc>
          <w:tcPr>
            <w:tcW w:w="4006" w:type="dxa"/>
          </w:tcPr>
          <w:p w:rsidR="0000275D" w:rsidRDefault="0000275D" w:rsidP="004A4E41">
            <w:pPr>
              <w:pStyle w:val="libFootnote0"/>
              <w:rPr>
                <w:rtl/>
              </w:rPr>
            </w:pPr>
            <w:r>
              <w:rPr>
                <w:rtl/>
              </w:rPr>
              <w:t>(3).</w:t>
            </w:r>
            <w:r w:rsidRPr="00C9040A">
              <w:rPr>
                <w:rtl/>
              </w:rPr>
              <w:t xml:space="preserve"> في « ص ، </w:t>
            </w:r>
            <w:r>
              <w:rPr>
                <w:rtl/>
              </w:rPr>
              <w:t xml:space="preserve">ه </w:t>
            </w:r>
            <w:r w:rsidRPr="00C9040A">
              <w:rPr>
                <w:rtl/>
              </w:rPr>
              <w:t xml:space="preserve">» </w:t>
            </w:r>
            <w:r>
              <w:rPr>
                <w:rtl/>
              </w:rPr>
              <w:t>: -</w:t>
            </w:r>
            <w:r w:rsidRPr="00C9040A">
              <w:rPr>
                <w:rtl/>
              </w:rPr>
              <w:t xml:space="preserve"> « عن حمران »</w:t>
            </w:r>
            <w:r>
              <w:rPr>
                <w:rtl/>
              </w:rPr>
              <w:t>.</w:t>
            </w:r>
          </w:p>
        </w:tc>
        <w:tc>
          <w:tcPr>
            <w:tcW w:w="4006" w:type="dxa"/>
          </w:tcPr>
          <w:p w:rsidR="0000275D" w:rsidRDefault="0000275D" w:rsidP="004A4E41">
            <w:pPr>
              <w:pStyle w:val="libFootnote0"/>
              <w:rPr>
                <w:rtl/>
              </w:rPr>
            </w:pPr>
            <w:r>
              <w:rPr>
                <w:rtl/>
              </w:rPr>
              <w:t>(4).</w:t>
            </w:r>
            <w:r w:rsidRPr="00C9040A">
              <w:rPr>
                <w:rtl/>
              </w:rPr>
              <w:t xml:space="preserve"> في « </w:t>
            </w:r>
            <w:r>
              <w:rPr>
                <w:rtl/>
              </w:rPr>
              <w:t xml:space="preserve">ه </w:t>
            </w:r>
            <w:r w:rsidRPr="00C9040A">
              <w:rPr>
                <w:rtl/>
              </w:rPr>
              <w:t>» : « إيمانه »</w:t>
            </w:r>
            <w:r>
              <w:rPr>
                <w:rtl/>
              </w:rPr>
              <w:t>.</w:t>
            </w:r>
          </w:p>
        </w:tc>
      </w:tr>
    </w:tbl>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المحاسن</w:t>
      </w:r>
      <w:r w:rsidR="008A74EB" w:rsidRPr="00C9040A">
        <w:rPr>
          <w:rtl/>
        </w:rPr>
        <w:t xml:space="preserve"> ، ص 217 ، كتاب مصابيح الظلم ، ح 109 ، عن الوشّاء ، وفيه :</w:t>
      </w:r>
      <w:r w:rsidR="0000275D">
        <w:rPr>
          <w:rtl/>
        </w:rPr>
        <w:t xml:space="preserve"> « وإنّ هذا الدين لا يعطيها إل</w:t>
      </w:r>
      <w:r w:rsidR="0000275D">
        <w:rPr>
          <w:rFonts w:hint="cs"/>
          <w:rtl/>
        </w:rPr>
        <w:t>ّ</w:t>
      </w:r>
      <w:r w:rsidR="0000275D">
        <w:rPr>
          <w:rtl/>
        </w:rPr>
        <w:t>ا</w:t>
      </w:r>
      <w:r w:rsidR="008A74EB">
        <w:rPr>
          <w:rFonts w:hint="cs"/>
          <w:rtl/>
        </w:rPr>
        <w:t xml:space="preserve"> </w:t>
      </w:r>
      <w:r w:rsidR="008A74EB" w:rsidRPr="00C9040A">
        <w:rPr>
          <w:rtl/>
        </w:rPr>
        <w:t>أهله خاصّة » بدل « ولا يعطي الإيمان »</w:t>
      </w:r>
      <w:r w:rsidR="008A74EB">
        <w:rPr>
          <w:rtl/>
        </w:rPr>
        <w:t>.</w:t>
      </w:r>
      <w:r w:rsidR="008A74EB" w:rsidRPr="00C9040A">
        <w:rPr>
          <w:rtl/>
        </w:rPr>
        <w:t xml:space="preserve"> </w:t>
      </w:r>
      <w:r w:rsidR="008A74EB" w:rsidRPr="00993B55">
        <w:rPr>
          <w:rStyle w:val="libFootnoteBoldChar"/>
          <w:rtl/>
        </w:rPr>
        <w:t>وفيه</w:t>
      </w:r>
      <w:r w:rsidR="008A74EB" w:rsidRPr="00C9040A">
        <w:rPr>
          <w:rtl/>
        </w:rPr>
        <w:t xml:space="preserve"> ، ح 111 ، بسند آخر عن عمر بن حنظلة ، عن أبي‌عبدالله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كتاب سليم بن قيس</w:t>
      </w:r>
      <w:r w:rsidR="008A74EB" w:rsidRPr="00C9040A">
        <w:rPr>
          <w:rtl/>
        </w:rPr>
        <w:t xml:space="preserve"> ، ص 826 ، ضمن الحديث الطويل 38 ، عن أبان ، عن سليم ، عن أميرالمؤمنين </w:t>
      </w:r>
      <w:r w:rsidR="00117575" w:rsidRPr="00117575">
        <w:rPr>
          <w:rStyle w:val="libFootnoteAlaemChar"/>
          <w:rtl/>
        </w:rPr>
        <w:t>عليه‌السلام</w:t>
      </w:r>
      <w:r w:rsidR="008A74EB" w:rsidRPr="00C9040A">
        <w:rPr>
          <w:rtl/>
        </w:rPr>
        <w:t xml:space="preserve"> عن رسول الله </w:t>
      </w:r>
      <w:r w:rsidR="004A4E41" w:rsidRPr="00B120D5">
        <w:rPr>
          <w:rStyle w:val="libFootnoteAlaemChar"/>
          <w:rtl/>
        </w:rPr>
        <w:t>صلى‌الله‌عليه‌وآله</w:t>
      </w:r>
      <w:r w:rsidR="008A74EB" w:rsidRPr="00C9040A">
        <w:rPr>
          <w:rtl/>
        </w:rPr>
        <w:t xml:space="preserve">. </w:t>
      </w:r>
      <w:r w:rsidR="008A74EB" w:rsidRPr="00993B55">
        <w:rPr>
          <w:rStyle w:val="libFootnoteBoldChar"/>
          <w:rtl/>
        </w:rPr>
        <w:t>تحف العقول</w:t>
      </w:r>
      <w:r w:rsidR="008A74EB" w:rsidRPr="00C9040A">
        <w:rPr>
          <w:rtl/>
        </w:rPr>
        <w:t xml:space="preserve"> ، ص 297 ، مع اختلاف يسير </w:t>
      </w:r>
      <w:r w:rsidR="0000275D">
        <w:rPr>
          <w:rFonts w:hint="cs"/>
          <w:rtl/>
        </w:rPr>
        <w:t>.</w:t>
      </w:r>
      <w:r w:rsidR="008A74EB" w:rsidRPr="00993B55">
        <w:rPr>
          <w:rStyle w:val="libFootnoteBoldChar"/>
          <w:rtl/>
        </w:rPr>
        <w:t>الوافي</w:t>
      </w:r>
      <w:r w:rsidR="008A74EB" w:rsidRPr="00C9040A">
        <w:rPr>
          <w:rtl/>
        </w:rPr>
        <w:t xml:space="preserve"> ، ج 5 ، ص 739 ، ح 2952 ؛ </w:t>
      </w:r>
      <w:r w:rsidR="008A74EB" w:rsidRPr="00993B55">
        <w:rPr>
          <w:rStyle w:val="libFootnoteBoldChar"/>
          <w:rtl/>
        </w:rPr>
        <w:t>البحار</w:t>
      </w:r>
      <w:r w:rsidR="008A74EB" w:rsidRPr="00C9040A">
        <w:rPr>
          <w:rtl/>
        </w:rPr>
        <w:t xml:space="preserve"> ، ج 68 ، ص 203 ، ح 3.</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A64E66">
        <w:rPr>
          <w:rtl/>
        </w:rPr>
        <w:t>2236</w:t>
      </w:r>
      <w:r w:rsidRPr="00261CB0">
        <w:rPr>
          <w:rStyle w:val="libBold2Char"/>
          <w:rtl/>
        </w:rPr>
        <w:t xml:space="preserve"> / 4.</w:t>
      </w:r>
      <w:r w:rsidRPr="00C9040A">
        <w:rPr>
          <w:rtl/>
          <w:lang w:bidi="fa-IR"/>
        </w:rPr>
        <w:t xml:space="preserve"> مُحَمَّدُ بْنُ يَحْيى ، عَنْ أَحْمَدَ بْنِ مُحَمَّدٍ ، عَنْ عَلِيِّ بْنِ النُّعْمَانِ ، عَنْ أَبِي سُلَيْمَانَ ، عَنْ مُيَسِّرٍ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إِنَّ الدُّنْيَا يُعْطِيهَا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مَنْ أَحَبَّ وَمَنْ أَبْغَضَ ، وَإِنَّ الْإِيمَانَ لَايُعْطِيهِ </w:t>
      </w:r>
      <w:r w:rsidR="006C577F" w:rsidRPr="006C577F">
        <w:rPr>
          <w:rStyle w:val="libFootnotenumChar"/>
          <w:rtl/>
        </w:rPr>
        <w:t>(1)</w:t>
      </w:r>
      <w:r w:rsidR="0000275D">
        <w:rPr>
          <w:rtl/>
          <w:lang w:bidi="fa-IR"/>
        </w:rPr>
        <w:t xml:space="preserve"> إِل</w:t>
      </w:r>
      <w:r w:rsidR="0000275D">
        <w:rPr>
          <w:rFonts w:hint="cs"/>
          <w:rtl/>
          <w:lang w:bidi="fa-IR"/>
        </w:rPr>
        <w:t>َّ</w:t>
      </w:r>
      <w:r w:rsidR="0000275D">
        <w:rPr>
          <w:rtl/>
          <w:lang w:bidi="fa-IR"/>
        </w:rPr>
        <w:t>ا</w:t>
      </w:r>
      <w:r w:rsidRPr="00C9040A">
        <w:rPr>
          <w:rtl/>
          <w:lang w:bidi="fa-IR"/>
        </w:rPr>
        <w:t xml:space="preserve"> مَنْ أَحَبَّهُ </w:t>
      </w:r>
      <w:r w:rsidR="006C577F" w:rsidRPr="006C577F">
        <w:rPr>
          <w:rStyle w:val="libFootnotenumChar"/>
          <w:rtl/>
        </w:rPr>
        <w:t>(2)</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Heading2Center"/>
        <w:rPr>
          <w:rtl/>
          <w:lang w:bidi="fa-IR"/>
        </w:rPr>
      </w:pPr>
      <w:bookmarkStart w:id="298" w:name="_Toc343795687"/>
      <w:bookmarkStart w:id="299" w:name="_Toc459810811"/>
      <w:bookmarkStart w:id="300" w:name="_Toc35348717"/>
      <w:r w:rsidRPr="00C9040A">
        <w:rPr>
          <w:rtl/>
          <w:lang w:bidi="fa-IR"/>
        </w:rPr>
        <w:t>96</w:t>
      </w:r>
      <w:r>
        <w:rPr>
          <w:rtl/>
          <w:lang w:bidi="fa-IR"/>
        </w:rPr>
        <w:t xml:space="preserve"> </w:t>
      </w:r>
      <w:r w:rsidR="0084262C">
        <w:rPr>
          <w:rtl/>
          <w:lang w:bidi="fa-IR"/>
        </w:rPr>
        <w:t>-</w:t>
      </w:r>
      <w:r>
        <w:rPr>
          <w:rtl/>
          <w:lang w:bidi="fa-IR"/>
        </w:rPr>
        <w:t xml:space="preserve"> </w:t>
      </w:r>
      <w:r w:rsidRPr="00C9040A">
        <w:rPr>
          <w:rtl/>
          <w:lang w:bidi="fa-IR"/>
        </w:rPr>
        <w:t>بَابُ سَلَامَةِ الدِّينِ‌</w:t>
      </w:r>
      <w:bookmarkEnd w:id="298"/>
      <w:bookmarkEnd w:id="299"/>
      <w:bookmarkEnd w:id="300"/>
    </w:p>
    <w:p w:rsidR="008A74EB" w:rsidRPr="00C9040A" w:rsidRDefault="008A74EB" w:rsidP="008A74EB">
      <w:pPr>
        <w:pStyle w:val="libNormal"/>
        <w:rPr>
          <w:rtl/>
          <w:lang w:bidi="fa-IR"/>
        </w:rPr>
      </w:pPr>
      <w:r w:rsidRPr="00A64E66">
        <w:rPr>
          <w:rtl/>
        </w:rPr>
        <w:t>2237</w:t>
      </w:r>
      <w:r w:rsidRPr="00261CB0">
        <w:rPr>
          <w:rStyle w:val="libBold2Char"/>
          <w:rtl/>
        </w:rPr>
        <w:t xml:space="preserve"> / 1.</w:t>
      </w:r>
      <w:r w:rsidRPr="00C9040A">
        <w:rPr>
          <w:rtl/>
          <w:lang w:bidi="fa-IR"/>
        </w:rPr>
        <w:t xml:space="preserve"> مُحَمَّدُ بْنُ يَحْيى ، عَنْ أَحْمَدَ بْنِ مُحَمَّدٍ ، عَنْ عَلِيِّ بْنِ النُّعْمَان</w:t>
      </w:r>
      <w:r w:rsidR="0000275D">
        <w:rPr>
          <w:rtl/>
          <w:lang w:bidi="fa-IR"/>
        </w:rPr>
        <w:t>ِ ، عَنْ أَيُّوبَ بْنِ الْحُرِّ</w:t>
      </w:r>
      <w:r w:rsidRPr="00C9040A">
        <w:rPr>
          <w:rtl/>
          <w:lang w:bidi="fa-IR"/>
        </w:rPr>
        <w:t>:</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فِي قَوْلِ اللهِ عَزَّ وَجَلَّ : </w:t>
      </w:r>
      <w:r w:rsidRPr="0003660B">
        <w:rPr>
          <w:rStyle w:val="libAlaemChar"/>
          <w:rtl/>
        </w:rPr>
        <w:t>(</w:t>
      </w:r>
      <w:r w:rsidRPr="006A2246">
        <w:rPr>
          <w:rStyle w:val="libAieChar"/>
          <w:rtl/>
        </w:rPr>
        <w:t xml:space="preserve"> فَوَقاهُ اللهُ سَيِّئاتِ ما مَكَرُوا </w:t>
      </w:r>
      <w:r w:rsidRPr="0003660B">
        <w:rPr>
          <w:rStyle w:val="libAlaemChar"/>
          <w:rtl/>
        </w:rPr>
        <w:t>)</w:t>
      </w:r>
      <w:r w:rsidRPr="00C9040A">
        <w:rPr>
          <w:rtl/>
          <w:lang w:bidi="fa-IR"/>
        </w:rPr>
        <w:t xml:space="preserve"> </w:t>
      </w:r>
      <w:r w:rsidR="006C577F" w:rsidRPr="006C577F">
        <w:rPr>
          <w:rStyle w:val="libFootnotenumChar"/>
          <w:rtl/>
        </w:rPr>
        <w:t>(4)</w:t>
      </w:r>
      <w:r w:rsidRPr="00C9040A">
        <w:rPr>
          <w:rtl/>
          <w:lang w:bidi="fa-IR"/>
        </w:rPr>
        <w:t xml:space="preserve"> فَقَالَ :</w:t>
      </w:r>
      <w:r>
        <w:rPr>
          <w:rFonts w:hint="cs"/>
          <w:rtl/>
          <w:lang w:bidi="fa-IR"/>
        </w:rPr>
        <w:t xml:space="preserve"> </w:t>
      </w:r>
      <w:r w:rsidRPr="00C9040A">
        <w:rPr>
          <w:rtl/>
          <w:lang w:bidi="fa-IR"/>
        </w:rPr>
        <w:t xml:space="preserve">« أَمَا </w:t>
      </w:r>
      <w:r w:rsidR="006C577F" w:rsidRPr="006C577F">
        <w:rPr>
          <w:rStyle w:val="libFootnotenumChar"/>
          <w:rtl/>
        </w:rPr>
        <w:t>(5)</w:t>
      </w:r>
      <w:r w:rsidRPr="00C9040A">
        <w:rPr>
          <w:rtl/>
          <w:lang w:bidi="fa-IR"/>
        </w:rPr>
        <w:t xml:space="preserve"> لَقَدْ بَسَطُوا </w:t>
      </w:r>
      <w:r w:rsidR="006C577F" w:rsidRPr="006C577F">
        <w:rPr>
          <w:rStyle w:val="libFootnotenumChar"/>
          <w:rtl/>
        </w:rPr>
        <w:t>(6)</w:t>
      </w:r>
      <w:r w:rsidRPr="005B567D">
        <w:rPr>
          <w:rStyle w:val="libFootnotenumChar"/>
          <w:rtl/>
        </w:rPr>
        <w:t xml:space="preserve"> </w:t>
      </w:r>
      <w:r w:rsidRPr="00C9040A">
        <w:rPr>
          <w:rtl/>
          <w:lang w:bidi="fa-IR"/>
        </w:rPr>
        <w:t>عَ</w:t>
      </w:r>
      <w:r>
        <w:rPr>
          <w:rtl/>
          <w:lang w:bidi="fa-IR"/>
        </w:rPr>
        <w:t>لَيْهِ وَقَتَلُوهُ ، وَلكِنْ أَ</w:t>
      </w:r>
      <w:r w:rsidRPr="00C9040A">
        <w:rPr>
          <w:rtl/>
          <w:lang w:bidi="fa-IR"/>
        </w:rPr>
        <w:t>تَدْرُونَ مَا وَقَاهُ</w:t>
      </w:r>
      <w:r>
        <w:rPr>
          <w:rtl/>
          <w:lang w:bidi="fa-IR"/>
        </w:rPr>
        <w:t>؟</w:t>
      </w:r>
      <w:r w:rsidRPr="00C9040A">
        <w:rPr>
          <w:rtl/>
          <w:lang w:bidi="fa-IR"/>
        </w:rPr>
        <w:t xml:space="preserve"> وَقَاهُ أَنْ يَفْتِنُوهُ </w:t>
      </w:r>
      <w:r w:rsidR="006C577F" w:rsidRPr="006C577F">
        <w:rPr>
          <w:rStyle w:val="libFootnotenumChar"/>
          <w:rtl/>
        </w:rPr>
        <w:t>(7)</w:t>
      </w:r>
      <w:r w:rsidRPr="00C9040A">
        <w:rPr>
          <w:rtl/>
          <w:lang w:bidi="fa-IR"/>
        </w:rPr>
        <w:t xml:space="preserve"> فِي </w:t>
      </w:r>
      <w:r w:rsidR="006C577F" w:rsidRPr="006C577F">
        <w:rPr>
          <w:rStyle w:val="libFootnotenumChar"/>
          <w:rtl/>
        </w:rPr>
        <w:t>(8)</w:t>
      </w:r>
      <w:r w:rsidRPr="00C9040A">
        <w:rPr>
          <w:rtl/>
          <w:lang w:bidi="fa-IR"/>
        </w:rPr>
        <w:t xml:space="preserve"> دِينِهِ »</w:t>
      </w:r>
      <w:r>
        <w:rPr>
          <w:rtl/>
          <w:lang w:bidi="fa-IR"/>
        </w:rPr>
        <w:t>.</w:t>
      </w:r>
      <w:r w:rsidRPr="00C9040A">
        <w:rPr>
          <w:rtl/>
          <w:lang w:bidi="fa-IR"/>
        </w:rPr>
        <w:t xml:space="preserve"> </w:t>
      </w:r>
      <w:r w:rsidR="006C577F" w:rsidRPr="006C577F">
        <w:rPr>
          <w:rStyle w:val="libFootnotenumChar"/>
          <w:rtl/>
        </w:rPr>
        <w:t>(9)</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حاشية « بف » : + « الله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ب ، ص ، ض ، بر » والوافي والبحار والمحاسن ، ح 108 : « أحبّ »</w:t>
      </w:r>
      <w:r w:rsidR="008A74EB">
        <w:rPr>
          <w:rtl/>
        </w:rPr>
        <w:t>.</w:t>
      </w:r>
      <w:r w:rsidR="008A74EB" w:rsidRPr="00C9040A">
        <w:rPr>
          <w:rtl/>
        </w:rPr>
        <w:t xml:space="preserve"> وفي « ف » : « يحبّ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w:t>
      </w:r>
      <w:r w:rsidR="008A74EB" w:rsidRPr="00993B55">
        <w:rPr>
          <w:rStyle w:val="libFootnoteBoldChar"/>
          <w:rtl/>
        </w:rPr>
        <w:t>المحاسن</w:t>
      </w:r>
      <w:r w:rsidR="008A74EB" w:rsidRPr="00C9040A">
        <w:rPr>
          <w:rtl/>
        </w:rPr>
        <w:t xml:space="preserve"> ، ص 216 ، كتاب مصابيح الظلم ، ح 108 ، عن أبيه ، عن عليّ بن النعمان. </w:t>
      </w:r>
      <w:r w:rsidR="008A74EB" w:rsidRPr="00993B55">
        <w:rPr>
          <w:rStyle w:val="libFootnoteBoldChar"/>
          <w:rtl/>
        </w:rPr>
        <w:t>وفيه</w:t>
      </w:r>
      <w:r w:rsidR="008A74EB" w:rsidRPr="00C9040A">
        <w:rPr>
          <w:rtl/>
        </w:rPr>
        <w:t xml:space="preserve"> ، ح 112 ، بسند آخر ، وتمام الرواية هكذا : « إنّ الله يعطي المال البرّ</w:t>
      </w:r>
      <w:r w:rsidR="0000275D">
        <w:rPr>
          <w:rtl/>
        </w:rPr>
        <w:t xml:space="preserve"> والفاجر ، ولا يعطي الإيمان إل</w:t>
      </w:r>
      <w:r w:rsidR="0000275D">
        <w:rPr>
          <w:rFonts w:hint="cs"/>
          <w:rtl/>
        </w:rPr>
        <w:t>ّ</w:t>
      </w:r>
      <w:r w:rsidR="0000275D">
        <w:rPr>
          <w:rtl/>
        </w:rPr>
        <w:t>ا</w:t>
      </w:r>
      <w:r w:rsidR="0000275D">
        <w:rPr>
          <w:rFonts w:hint="cs"/>
          <w:rtl/>
        </w:rPr>
        <w:t xml:space="preserve"> </w:t>
      </w:r>
      <w:r w:rsidR="008A74EB" w:rsidRPr="00C9040A">
        <w:rPr>
          <w:rtl/>
        </w:rPr>
        <w:t xml:space="preserve">من أحبّ » </w:t>
      </w:r>
      <w:r w:rsidR="0000275D">
        <w:rPr>
          <w:rFonts w:hint="cs"/>
          <w:rtl/>
        </w:rPr>
        <w:t>.</w:t>
      </w:r>
      <w:r w:rsidR="008A74EB" w:rsidRPr="00993B55">
        <w:rPr>
          <w:rStyle w:val="libFootnoteBoldChar"/>
          <w:rtl/>
        </w:rPr>
        <w:t>الوافي</w:t>
      </w:r>
      <w:r w:rsidR="008A74EB" w:rsidRPr="00C9040A">
        <w:rPr>
          <w:rtl/>
        </w:rPr>
        <w:t xml:space="preserve"> ، ج 5 ، ص 739 ، ح 2953 ؛ </w:t>
      </w:r>
      <w:r w:rsidR="008A74EB" w:rsidRPr="00993B55">
        <w:rPr>
          <w:rStyle w:val="libFootnoteBoldChar"/>
          <w:rtl/>
        </w:rPr>
        <w:t>البحار</w:t>
      </w:r>
      <w:r w:rsidR="008A74EB" w:rsidRPr="00C9040A">
        <w:rPr>
          <w:rtl/>
        </w:rPr>
        <w:t xml:space="preserve"> ، ج 68 ، ص 203 ، ح 4.</w:t>
      </w:r>
    </w:p>
    <w:p w:rsidR="008A74EB" w:rsidRPr="00C9040A" w:rsidRDefault="006C577F" w:rsidP="0000275D">
      <w:pPr>
        <w:pStyle w:val="libFootnote0"/>
        <w:rPr>
          <w:rtl/>
          <w:lang w:bidi="fa-IR"/>
        </w:rPr>
      </w:pPr>
      <w:r>
        <w:rPr>
          <w:rtl/>
        </w:rPr>
        <w:t>(4).</w:t>
      </w:r>
      <w:r w:rsidR="008A74EB" w:rsidRPr="00C9040A">
        <w:rPr>
          <w:rtl/>
        </w:rPr>
        <w:t xml:space="preserve"> غافر (40) : 45. وفي الوافي : « الآية حكاية عن مؤمن آل فرعون حيث أراد فرعون أن يفتنه عن دينه بالمكروالعذاب »</w:t>
      </w:r>
      <w:r w:rsidR="008A74EB">
        <w:rPr>
          <w:rtl/>
        </w:rPr>
        <w:t>.</w:t>
      </w:r>
      <w:r w:rsidR="0000275D">
        <w:rPr>
          <w:rFonts w:hint="cs"/>
          <w:rtl/>
        </w:rPr>
        <w:t xml:space="preserve">                                          </w:t>
      </w:r>
      <w:r>
        <w:rPr>
          <w:rtl/>
        </w:rPr>
        <w:t>(5).</w:t>
      </w:r>
      <w:r w:rsidR="008A74EB" w:rsidRPr="00C9040A">
        <w:rPr>
          <w:rtl/>
        </w:rPr>
        <w:t xml:space="preserve"> في « ب » : + « والله »</w:t>
      </w:r>
      <w:r w:rsidR="008A74EB">
        <w:rPr>
          <w:rtl/>
        </w:rPr>
        <w:t>.</w:t>
      </w:r>
    </w:p>
    <w:p w:rsidR="008A74EB" w:rsidRPr="00C9040A" w:rsidRDefault="006C577F" w:rsidP="0000275D">
      <w:pPr>
        <w:pStyle w:val="libFootnote0"/>
        <w:rPr>
          <w:rtl/>
          <w:lang w:bidi="fa-IR"/>
        </w:rPr>
      </w:pPr>
      <w:r>
        <w:rPr>
          <w:rtl/>
        </w:rPr>
        <w:t>(6).</w:t>
      </w:r>
      <w:r w:rsidR="008A74EB">
        <w:rPr>
          <w:rtl/>
        </w:rPr>
        <w:t xml:space="preserve"> </w:t>
      </w:r>
      <w:r w:rsidR="008A74EB" w:rsidRPr="00C9040A">
        <w:rPr>
          <w:rtl/>
        </w:rPr>
        <w:t xml:space="preserve">« بسطوا عليه » ، أي بسطوا أيديهم عليه ، وبسط اليد : مدّها ، أو هو كناية عن السلطة عليه ، ومنه قوله تعالى : </w:t>
      </w:r>
      <w:r w:rsidR="008A74EB" w:rsidRPr="00B120D5">
        <w:rPr>
          <w:rStyle w:val="libFootnoteAlaemChar"/>
          <w:rtl/>
        </w:rPr>
        <w:t>(</w:t>
      </w:r>
      <w:r w:rsidR="008A74EB" w:rsidRPr="00883DD5">
        <w:rPr>
          <w:rStyle w:val="libFootnoteAieChar"/>
          <w:rFonts w:hint="cs"/>
          <w:rtl/>
        </w:rPr>
        <w:t xml:space="preserve"> </w:t>
      </w:r>
      <w:r w:rsidR="008A74EB" w:rsidRPr="00883DD5">
        <w:rPr>
          <w:rStyle w:val="libFootnoteAieChar"/>
          <w:rtl/>
        </w:rPr>
        <w:t>وَالْمَلائِكَةُ ب</w:t>
      </w:r>
      <w:r w:rsidR="0000275D">
        <w:rPr>
          <w:rStyle w:val="libFootnoteAieChar"/>
          <w:rFonts w:hint="cs"/>
          <w:rtl/>
        </w:rPr>
        <w:t>َ</w:t>
      </w:r>
      <w:r w:rsidR="008A74EB" w:rsidRPr="00883DD5">
        <w:rPr>
          <w:rStyle w:val="libFootnoteAieChar"/>
          <w:rtl/>
        </w:rPr>
        <w:t>اسِطُوا أَيْدِيهِمْ</w:t>
      </w:r>
      <w:r w:rsidR="008A74EB" w:rsidRPr="00883DD5">
        <w:rPr>
          <w:rStyle w:val="libFootnoteAieChar"/>
          <w:rFonts w:hint="cs"/>
          <w:rtl/>
        </w:rPr>
        <w:t xml:space="preserve"> </w:t>
      </w:r>
      <w:r w:rsidR="008A74EB" w:rsidRPr="00B120D5">
        <w:rPr>
          <w:rStyle w:val="libFootnoteAlaemChar"/>
          <w:rtl/>
        </w:rPr>
        <w:t>)</w:t>
      </w:r>
      <w:r w:rsidR="008A74EB" w:rsidRPr="00C9040A">
        <w:rPr>
          <w:rtl/>
        </w:rPr>
        <w:t xml:space="preserve"> [ الأنعام </w:t>
      </w:r>
      <w:r w:rsidR="0000275D">
        <w:rPr>
          <w:rtl/>
        </w:rPr>
        <w:t>(6)</w:t>
      </w:r>
      <w:r w:rsidR="008A74EB">
        <w:rPr>
          <w:rtl/>
        </w:rPr>
        <w:t xml:space="preserve"> </w:t>
      </w:r>
      <w:r w:rsidR="008A74EB" w:rsidRPr="00C9040A">
        <w:rPr>
          <w:rtl/>
        </w:rPr>
        <w:t xml:space="preserve">: 93 ] ، أي مسلّطون عليهم ، كما يقال : بُسِطَتْ يده عليه ، أي سُلِّط عليه. راجع : </w:t>
      </w:r>
      <w:r w:rsidR="008A74EB" w:rsidRPr="00993B55">
        <w:rPr>
          <w:rStyle w:val="libFootnoteBoldChar"/>
          <w:rtl/>
        </w:rPr>
        <w:t>لسان العرب</w:t>
      </w:r>
      <w:r w:rsidR="008A74EB" w:rsidRPr="00C9040A">
        <w:rPr>
          <w:rtl/>
        </w:rPr>
        <w:t xml:space="preserve"> ، ج 7 ، ص 260 ؛ </w:t>
      </w:r>
      <w:r w:rsidR="008A74EB" w:rsidRPr="00993B55">
        <w:rPr>
          <w:rStyle w:val="libFootnoteBoldChar"/>
          <w:rtl/>
        </w:rPr>
        <w:t>القاموس المحيط</w:t>
      </w:r>
      <w:r w:rsidR="008A74EB" w:rsidRPr="00C9040A">
        <w:rPr>
          <w:rtl/>
        </w:rPr>
        <w:t xml:space="preserve"> ، ج 1 ، ص 890 ( بسط )</w:t>
      </w:r>
      <w:r w:rsidR="008A74EB">
        <w:rPr>
          <w:rtl/>
        </w:rPr>
        <w:t>.</w:t>
      </w:r>
      <w:r w:rsidR="008A74EB" w:rsidRPr="00C9040A">
        <w:rPr>
          <w:rtl/>
        </w:rPr>
        <w:t xml:space="preserve"> وفي « </w:t>
      </w:r>
      <w:r w:rsidR="006D3162">
        <w:rPr>
          <w:rtl/>
        </w:rPr>
        <w:t xml:space="preserve">ه </w:t>
      </w:r>
      <w:r w:rsidR="008A74EB" w:rsidRPr="00C9040A">
        <w:rPr>
          <w:rtl/>
        </w:rPr>
        <w:t>» وحاشية « ب » وشرح المازندراني والوافي : « لقد قسطوا » أي جاروا. وفي الوافي ومرآة العقول عن بعض النسخ : « لقد سطوا » من السطو بمعنى القهر بالبطش.</w:t>
      </w:r>
      <w:r w:rsidR="0000275D">
        <w:rPr>
          <w:rFonts w:hint="cs"/>
          <w:rtl/>
        </w:rPr>
        <w:t xml:space="preserve">  </w:t>
      </w:r>
      <w:r>
        <w:rPr>
          <w:rtl/>
        </w:rPr>
        <w:t>(7).</w:t>
      </w:r>
      <w:r w:rsidR="008A74EB" w:rsidRPr="00C9040A">
        <w:rPr>
          <w:rtl/>
        </w:rPr>
        <w:t xml:space="preserve"> في « بر » : « أن يفتّنوا »</w:t>
      </w:r>
      <w:r w:rsidR="008A74EB">
        <w:rPr>
          <w:rtl/>
        </w:rPr>
        <w:t>.</w:t>
      </w:r>
      <w:r w:rsidR="008A74EB" w:rsidRPr="00C9040A">
        <w:rPr>
          <w:rtl/>
        </w:rPr>
        <w:t xml:space="preserve"> وفي « بس » : « أن يفشوه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 بر » : « عن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w:t>
      </w:r>
      <w:r w:rsidR="008A74EB" w:rsidRPr="00993B55">
        <w:rPr>
          <w:rStyle w:val="libFootnoteBoldChar"/>
          <w:rtl/>
        </w:rPr>
        <w:t>المحاسن</w:t>
      </w:r>
      <w:r w:rsidR="008A74EB" w:rsidRPr="00C9040A">
        <w:rPr>
          <w:rtl/>
        </w:rPr>
        <w:t xml:space="preserve"> ، ص 219 ، كتاب مصابيح الظلم ، ح 119 ، عن أبيه ، عن عليّ بن النعمان. </w:t>
      </w:r>
      <w:r w:rsidR="008A74EB" w:rsidRPr="00993B55">
        <w:rPr>
          <w:rStyle w:val="libFootnoteBoldChar"/>
          <w:rtl/>
        </w:rPr>
        <w:t>تفسير القمّي</w:t>
      </w:r>
      <w:r w:rsidR="0000275D">
        <w:rPr>
          <w:rtl/>
        </w:rPr>
        <w:t xml:space="preserve"> ، ج 2 ، ص 258 ،</w:t>
      </w:r>
      <w:r w:rsidR="0000275D">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A64E66">
        <w:rPr>
          <w:rtl/>
        </w:rPr>
        <w:t>2238</w:t>
      </w:r>
      <w:r w:rsidRPr="00261CB0">
        <w:rPr>
          <w:rStyle w:val="libBold2Char"/>
          <w:rtl/>
        </w:rPr>
        <w:t xml:space="preserve"> / 2.</w:t>
      </w:r>
      <w:r w:rsidRPr="00C9040A">
        <w:rPr>
          <w:rtl/>
          <w:lang w:bidi="fa-IR"/>
        </w:rPr>
        <w:t xml:space="preserve"> عَلِيُّ بْنُ إِبْرَاهِيمَ ، عَنْ مُحَمَّدِ بْنِ عِيسَى بْنِ عُبَيْدٍ </w:t>
      </w:r>
      <w:r w:rsidR="006C577F" w:rsidRPr="006C577F">
        <w:rPr>
          <w:rStyle w:val="libFootnotenumChar"/>
          <w:rtl/>
        </w:rPr>
        <w:t>(1)</w:t>
      </w:r>
      <w:r w:rsidRPr="00C9040A">
        <w:rPr>
          <w:rtl/>
          <w:lang w:bidi="fa-IR"/>
        </w:rPr>
        <w:t xml:space="preserve"> ، عَنْ أَبِي جَمِيلَةَ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كَانَ فِي وَصِيَّةِ أَمِيرِ الْمُؤْمِنِينَ </w:t>
      </w:r>
      <w:r w:rsidRPr="0003660B">
        <w:rPr>
          <w:rStyle w:val="libAlaemChar"/>
          <w:rtl/>
        </w:rPr>
        <w:t>عليه‌السلام</w:t>
      </w:r>
      <w:r w:rsidRPr="00C9040A">
        <w:rPr>
          <w:rtl/>
          <w:lang w:bidi="fa-IR"/>
        </w:rPr>
        <w:t xml:space="preserve"> لِأَصْحَابِهِ </w:t>
      </w:r>
      <w:r w:rsidR="006C577F" w:rsidRPr="006C577F">
        <w:rPr>
          <w:rStyle w:val="libFootnotenumChar"/>
          <w:rtl/>
        </w:rPr>
        <w:t>(2)</w:t>
      </w:r>
      <w:r w:rsidRPr="00C9040A">
        <w:rPr>
          <w:rtl/>
          <w:lang w:bidi="fa-IR"/>
        </w:rPr>
        <w:t xml:space="preserve"> : اعْلَمُوا أَنَّ </w:t>
      </w:r>
      <w:r w:rsidR="006C577F" w:rsidRPr="006C577F">
        <w:rPr>
          <w:rStyle w:val="libFootnotenumChar"/>
          <w:rtl/>
        </w:rPr>
        <w:t>(3)</w:t>
      </w:r>
      <w:r w:rsidRPr="00C9040A">
        <w:rPr>
          <w:rtl/>
          <w:lang w:bidi="fa-IR"/>
        </w:rPr>
        <w:t xml:space="preserve"> الْقُرْآنَ هُدَى اللَّيْلِ وَ</w:t>
      </w:r>
      <w:r>
        <w:rPr>
          <w:rFonts w:hint="cs"/>
          <w:rtl/>
          <w:lang w:bidi="fa-IR"/>
        </w:rPr>
        <w:t xml:space="preserve"> </w:t>
      </w:r>
      <w:r w:rsidR="006C577F" w:rsidRPr="006C577F">
        <w:rPr>
          <w:rStyle w:val="libFootnotenumChar"/>
          <w:rtl/>
        </w:rPr>
        <w:t>(4)</w:t>
      </w:r>
      <w:r w:rsidRPr="00C9040A">
        <w:rPr>
          <w:rtl/>
          <w:lang w:bidi="fa-IR"/>
        </w:rPr>
        <w:t xml:space="preserve"> النَّهَارِ ، وَنُورُ اللَّيْلِ الْمُظْلِمِ عَلى مَا كَانَ مِنْ جَهْدٍ وَفَاقَةٍ ، فَإِذَا حَضَرَتْ بَلِيَّةٌ فَاجْعَلُوا أَمْوَالَكُمْ دُونَ أَنْفُسِكُمْ ، وَإِذَا نَزَلَتْ </w:t>
      </w:r>
      <w:r w:rsidR="006C577F" w:rsidRPr="006C577F">
        <w:rPr>
          <w:rStyle w:val="libFootnotenumChar"/>
          <w:rtl/>
        </w:rPr>
        <w:t>(5)</w:t>
      </w:r>
      <w:r w:rsidRPr="00C9040A">
        <w:rPr>
          <w:rtl/>
          <w:lang w:bidi="fa-IR"/>
        </w:rPr>
        <w:t xml:space="preserve"> نَازِلَةٌ </w:t>
      </w:r>
      <w:r w:rsidR="006C577F" w:rsidRPr="006C577F">
        <w:rPr>
          <w:rStyle w:val="libFootnotenumChar"/>
          <w:rtl/>
        </w:rPr>
        <w:t>(6)</w:t>
      </w:r>
      <w:r w:rsidRPr="005B567D">
        <w:rPr>
          <w:rStyle w:val="libFootnotenumChar"/>
          <w:rtl/>
        </w:rPr>
        <w:t xml:space="preserve"> </w:t>
      </w:r>
      <w:r w:rsidRPr="00C9040A">
        <w:rPr>
          <w:rtl/>
          <w:lang w:bidi="fa-IR"/>
        </w:rPr>
        <w:t xml:space="preserve">فَاجْعَلُوا أَنْفُسَكُمْ دُونَ دِينِكُمْ ؛ وَاعْلَمُوا </w:t>
      </w:r>
      <w:r w:rsidR="006C577F" w:rsidRPr="006C577F">
        <w:rPr>
          <w:rStyle w:val="libFootnotenumChar"/>
          <w:rtl/>
        </w:rPr>
        <w:t>(7)</w:t>
      </w:r>
      <w:r w:rsidRPr="00C9040A">
        <w:rPr>
          <w:rtl/>
          <w:lang w:bidi="fa-IR"/>
        </w:rPr>
        <w:t xml:space="preserve"> أَنَّ الْهَالِكَ مَنْ هَلَكَ دِينُهُ ، وَالْحَرِيبَ </w:t>
      </w:r>
      <w:r w:rsidR="006C577F" w:rsidRPr="006C577F">
        <w:rPr>
          <w:rStyle w:val="libFootnotenumChar"/>
          <w:rtl/>
        </w:rPr>
        <w:t>(8)</w:t>
      </w:r>
      <w:r w:rsidRPr="00C9040A">
        <w:rPr>
          <w:rtl/>
          <w:lang w:bidi="fa-IR"/>
        </w:rPr>
        <w:t xml:space="preserve"> مَنْ حُرِبَ </w:t>
      </w:r>
      <w:r w:rsidR="006C577F" w:rsidRPr="006C577F">
        <w:rPr>
          <w:rStyle w:val="libFootnotenumChar"/>
          <w:rtl/>
        </w:rPr>
        <w:t>(9)</w:t>
      </w:r>
      <w:r w:rsidRPr="00C9040A">
        <w:rPr>
          <w:rtl/>
          <w:lang w:bidi="fa-IR"/>
        </w:rPr>
        <w:t xml:space="preserve"> دِينَهُ </w:t>
      </w:r>
      <w:r w:rsidR="006C577F" w:rsidRPr="006C577F">
        <w:rPr>
          <w:rStyle w:val="libFootnotenumChar"/>
          <w:rtl/>
        </w:rPr>
        <w:t>(10)</w:t>
      </w:r>
      <w:r w:rsidRPr="00C9040A">
        <w:rPr>
          <w:rtl/>
          <w:lang w:bidi="fa-IR"/>
        </w:rPr>
        <w:t xml:space="preserve"> ، أَلَا وَإِنَّهُ لَافَقْرَ بَعْدَ الْجَنَّةِ ، أَلَا وَإِنَّهُ لَاغِنى بَعْدَ النَّارِ ، لَايُفَكُّ أَسِيرُهَا ، وَلَا يَبْرَأُ ضَرِيرُهَا </w:t>
      </w:r>
      <w:r w:rsidR="006C577F" w:rsidRPr="006C577F">
        <w:rPr>
          <w:rStyle w:val="libFootnotenumChar"/>
          <w:rtl/>
        </w:rPr>
        <w:t>(11)</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(12)</w:t>
      </w:r>
      <w:r w:rsidRPr="00C9040A">
        <w:rPr>
          <w:rtl/>
          <w:lang w:bidi="fa-IR"/>
        </w:rPr>
        <w:t xml:space="preserve"> ‌</w:t>
      </w:r>
    </w:p>
    <w:p w:rsidR="008A74EB" w:rsidRPr="00C9040A" w:rsidRDefault="008A74EB" w:rsidP="008A74EB">
      <w:pPr>
        <w:pStyle w:val="libNormal"/>
        <w:rPr>
          <w:rtl/>
          <w:lang w:bidi="fa-IR"/>
        </w:rPr>
      </w:pPr>
      <w:r w:rsidRPr="00A64E66">
        <w:rPr>
          <w:rtl/>
        </w:rPr>
        <w:t>2239</w:t>
      </w:r>
      <w:r w:rsidRPr="00261CB0">
        <w:rPr>
          <w:rStyle w:val="libBold2Char"/>
          <w:rtl/>
        </w:rPr>
        <w:t xml:space="preserve"> / 3.</w:t>
      </w:r>
      <w:r w:rsidRPr="00C9040A">
        <w:rPr>
          <w:rtl/>
          <w:lang w:bidi="fa-IR"/>
        </w:rPr>
        <w:t xml:space="preserve"> عَلِيٌّ ، عَنْ أَبِيهِ ، عَنْ حَمَّادِ بْنِ عِيسى ، عَنْ رِبْعِيِّ بْنِ عَبْدِ اللهِ ، عَنْ فُضَيْلِ بْنِ يَسَارٍ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سَلَامَةُ الدِّينِ وَصِحَّةُ الْبَدَنِ خَيْرٌ مِنَ الْمَالِ ؛ وَالْمَالُ زِينَةٌ‌</w:t>
      </w:r>
    </w:p>
    <w:p w:rsidR="008A74EB" w:rsidRPr="00C9040A" w:rsidRDefault="008A74EB" w:rsidP="008A74EB">
      <w:pPr>
        <w:pStyle w:val="libLine"/>
        <w:rPr>
          <w:rtl/>
          <w:lang w:bidi="fa-IR"/>
        </w:rPr>
      </w:pPr>
      <w:r w:rsidRPr="00C9040A">
        <w:rPr>
          <w:rtl/>
          <w:lang w:bidi="fa-IR"/>
        </w:rPr>
        <w:t>__________________</w:t>
      </w:r>
    </w:p>
    <w:p w:rsidR="008A74EB" w:rsidRPr="00C9040A" w:rsidRDefault="0000275D" w:rsidP="004A4E41">
      <w:pPr>
        <w:pStyle w:val="libFootnote0"/>
        <w:rPr>
          <w:rtl/>
          <w:lang w:bidi="fa-IR"/>
        </w:rPr>
      </w:pPr>
      <w:r>
        <w:rPr>
          <w:rFonts w:hint="cs"/>
          <w:rtl/>
        </w:rPr>
        <w:t xml:space="preserve">= </w:t>
      </w:r>
      <w:r w:rsidR="008A74EB" w:rsidRPr="00C9040A">
        <w:rPr>
          <w:rtl/>
        </w:rPr>
        <w:t xml:space="preserve">مرسلاً ؛ </w:t>
      </w:r>
      <w:r w:rsidR="008A74EB" w:rsidRPr="00993B55">
        <w:rPr>
          <w:rStyle w:val="libFootnoteBoldChar"/>
          <w:rtl/>
        </w:rPr>
        <w:t>المؤمن</w:t>
      </w:r>
      <w:r w:rsidR="008A74EB" w:rsidRPr="00C9040A">
        <w:rPr>
          <w:rtl/>
        </w:rPr>
        <w:t xml:space="preserve"> ، ص 15 ، ح 2 ، عن الصادق </w:t>
      </w:r>
      <w:r w:rsidR="00117575" w:rsidRPr="00117575">
        <w:rPr>
          <w:rStyle w:val="libFootnoteAlaemChar"/>
          <w:rtl/>
        </w:rPr>
        <w:t>عليه‌السلام</w:t>
      </w:r>
      <w:r w:rsidR="008A74EB" w:rsidRPr="00C9040A">
        <w:rPr>
          <w:rtl/>
        </w:rPr>
        <w:t xml:space="preserve"> ، وفيهما مع اختلاف يسير وزيادة </w:t>
      </w:r>
      <w:r>
        <w:rPr>
          <w:rFonts w:hint="cs"/>
          <w:rtl/>
        </w:rPr>
        <w:t>.</w:t>
      </w:r>
      <w:r w:rsidR="008A74EB" w:rsidRPr="00993B55">
        <w:rPr>
          <w:rStyle w:val="libFootnoteBoldChar"/>
          <w:rtl/>
        </w:rPr>
        <w:t>الوافي</w:t>
      </w:r>
      <w:r w:rsidR="008A74EB" w:rsidRPr="00C9040A">
        <w:rPr>
          <w:rtl/>
        </w:rPr>
        <w:t xml:space="preserve"> ، ج 5 ، ص 745 ، ح 2964 ؛ </w:t>
      </w:r>
      <w:r w:rsidR="008A74EB" w:rsidRPr="00993B55">
        <w:rPr>
          <w:rStyle w:val="libFootnoteBoldChar"/>
          <w:rtl/>
        </w:rPr>
        <w:t>البحار</w:t>
      </w:r>
      <w:r w:rsidR="008A74EB" w:rsidRPr="00C9040A">
        <w:rPr>
          <w:rtl/>
        </w:rPr>
        <w:t xml:space="preserve"> ، ج 68 ، ص 211 ، ح 1.</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الكافي ، ح 3478 : « عن محمّد بن عيسى ، عن يونس »</w:t>
      </w:r>
      <w:r w:rsidR="008A74EB">
        <w:rPr>
          <w:rtl/>
        </w:rPr>
        <w:t>.</w:t>
      </w:r>
      <w:r w:rsidR="008A74EB" w:rsidRPr="00C9040A">
        <w:rPr>
          <w:rtl/>
        </w:rPr>
        <w:t xml:space="preserve"> واستظهرنا في ما قدّمناه في </w:t>
      </w:r>
      <w:r w:rsidR="008A74EB" w:rsidRPr="00993B55">
        <w:rPr>
          <w:rStyle w:val="libFootnoteBoldChar"/>
          <w:rtl/>
        </w:rPr>
        <w:t>الكافي</w:t>
      </w:r>
      <w:r w:rsidR="008A74EB" w:rsidRPr="00C9040A">
        <w:rPr>
          <w:rtl/>
        </w:rPr>
        <w:t xml:space="preserve"> ، ذيل ح 1669 ، سقوط الواسطة بين محمّد بن عيسى وأبي‌جميلة ، فراجع.</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ب ، ج ، د ، ص ، ض ، بر ، بس » والوافي والبحار والكافي ، ح 3478 : « أصحابه »</w:t>
      </w:r>
      <w:r w:rsidR="008A74EB">
        <w:rPr>
          <w:rtl/>
        </w:rPr>
        <w:t>.</w:t>
      </w:r>
      <w:r w:rsidR="008A74EB" w:rsidRPr="00C9040A">
        <w:rPr>
          <w:rtl/>
        </w:rPr>
        <w:t xml:space="preserve"> وفي « </w:t>
      </w:r>
      <w:r w:rsidR="006D3162">
        <w:rPr>
          <w:rtl/>
        </w:rPr>
        <w:t xml:space="preserve">ه </w:t>
      </w:r>
      <w:r w:rsidR="008A74EB" w:rsidRPr="00C9040A">
        <w:rPr>
          <w:rtl/>
        </w:rPr>
        <w:t xml:space="preserve">» </w:t>
      </w:r>
      <w:r w:rsidR="008A74EB">
        <w:rPr>
          <w:rtl/>
        </w:rPr>
        <w:t xml:space="preserve">: </w:t>
      </w:r>
      <w:r w:rsidR="0084262C">
        <w:rPr>
          <w:rtl/>
        </w:rPr>
        <w:t>-</w:t>
      </w:r>
      <w:r w:rsidR="008A74EB" w:rsidRPr="00C9040A">
        <w:rPr>
          <w:rtl/>
        </w:rPr>
        <w:t xml:space="preserve"> « لأصحابه »</w:t>
      </w:r>
      <w:r w:rsidR="008A74EB">
        <w:rPr>
          <w:rtl/>
        </w:rPr>
        <w:t>.</w:t>
      </w:r>
    </w:p>
    <w:tbl>
      <w:tblPr>
        <w:tblStyle w:val="TableGrid"/>
        <w:bidiVisual/>
        <w:tblW w:w="0" w:type="auto"/>
        <w:tblLook w:val="04A0" w:firstRow="1" w:lastRow="0" w:firstColumn="1" w:lastColumn="0" w:noHBand="0" w:noVBand="1"/>
      </w:tblPr>
      <w:tblGrid>
        <w:gridCol w:w="4006"/>
        <w:gridCol w:w="4006"/>
      </w:tblGrid>
      <w:tr w:rsidR="0000275D" w:rsidTr="0000275D">
        <w:tc>
          <w:tcPr>
            <w:tcW w:w="4006" w:type="dxa"/>
          </w:tcPr>
          <w:p w:rsidR="0000275D" w:rsidRDefault="0000275D" w:rsidP="004A4E41">
            <w:pPr>
              <w:pStyle w:val="libFootnote0"/>
              <w:rPr>
                <w:rtl/>
              </w:rPr>
            </w:pPr>
            <w:r>
              <w:rPr>
                <w:rtl/>
              </w:rPr>
              <w:t>(3).</w:t>
            </w:r>
            <w:r w:rsidRPr="00C9040A">
              <w:rPr>
                <w:rtl/>
              </w:rPr>
              <w:t xml:space="preserve"> في « ض » : + « هذا »</w:t>
            </w:r>
            <w:r>
              <w:rPr>
                <w:rtl/>
              </w:rPr>
              <w:t>.</w:t>
            </w:r>
          </w:p>
        </w:tc>
        <w:tc>
          <w:tcPr>
            <w:tcW w:w="4006" w:type="dxa"/>
          </w:tcPr>
          <w:p w:rsidR="0000275D" w:rsidRDefault="0000275D" w:rsidP="004A4E41">
            <w:pPr>
              <w:pStyle w:val="libFootnote0"/>
              <w:rPr>
                <w:rtl/>
              </w:rPr>
            </w:pPr>
            <w:r>
              <w:rPr>
                <w:rtl/>
              </w:rPr>
              <w:t>(4).</w:t>
            </w:r>
            <w:r w:rsidRPr="00C9040A">
              <w:rPr>
                <w:rtl/>
              </w:rPr>
              <w:t xml:space="preserve"> في الكافي ، ح 3478 </w:t>
            </w:r>
            <w:r>
              <w:rPr>
                <w:rtl/>
              </w:rPr>
              <w:t>: -</w:t>
            </w:r>
            <w:r w:rsidRPr="00C9040A">
              <w:rPr>
                <w:rtl/>
              </w:rPr>
              <w:t xml:space="preserve"> « الليل </w:t>
            </w:r>
            <w:r>
              <w:rPr>
                <w:rtl/>
              </w:rPr>
              <w:t>و ».</w:t>
            </w:r>
          </w:p>
        </w:tc>
      </w:tr>
    </w:tbl>
    <w:p w:rsidR="008A74EB" w:rsidRPr="00C9040A" w:rsidRDefault="006C577F" w:rsidP="004A4E41">
      <w:pPr>
        <w:pStyle w:val="libFootnote0"/>
        <w:rPr>
          <w:rtl/>
          <w:lang w:bidi="fa-IR"/>
        </w:rPr>
      </w:pPr>
      <w:r>
        <w:rPr>
          <w:rtl/>
        </w:rPr>
        <w:t>(5).</w:t>
      </w:r>
      <w:r w:rsidR="008A74EB" w:rsidRPr="00C9040A">
        <w:rPr>
          <w:rtl/>
        </w:rPr>
        <w:t xml:space="preserve"> في شرح المازندراني : + « بكم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 النازلة » : الشديدة من شدائد الدهر تنزل بالقوم. </w:t>
      </w:r>
      <w:r w:rsidR="008A74EB" w:rsidRPr="00993B55">
        <w:rPr>
          <w:rStyle w:val="libFootnoteBoldChar"/>
          <w:rtl/>
        </w:rPr>
        <w:t>ترتيب كتاب العين</w:t>
      </w:r>
      <w:r w:rsidR="008A74EB" w:rsidRPr="00C9040A">
        <w:rPr>
          <w:rtl/>
        </w:rPr>
        <w:t xml:space="preserve"> ، ج 3 ، ص 1781 ( نزل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البحار : « فاعلموا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حريبة الرجل : ما له الذي يعيش به ؛ تقول : حَرَبه يحربه حَرَباً ، إذا أخذ ما له وتركه بلا شي‌ء. وقد حرب ماله ، أي‌سلبَه ، فهو محروب وحريب. </w:t>
      </w:r>
      <w:r w:rsidR="008A74EB" w:rsidRPr="00993B55">
        <w:rPr>
          <w:rStyle w:val="libFootnoteBoldChar"/>
          <w:rtl/>
        </w:rPr>
        <w:t>الصحاح</w:t>
      </w:r>
      <w:r w:rsidR="008A74EB" w:rsidRPr="00C9040A">
        <w:rPr>
          <w:rtl/>
        </w:rPr>
        <w:t xml:space="preserve"> ، ج 1 ، ص 108 ( حرب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د ، ز ، </w:t>
      </w:r>
      <w:r w:rsidR="006D3162">
        <w:rPr>
          <w:rtl/>
        </w:rPr>
        <w:t xml:space="preserve">ه </w:t>
      </w:r>
      <w:r w:rsidR="008A74EB" w:rsidRPr="00C9040A">
        <w:rPr>
          <w:rtl/>
        </w:rPr>
        <w:t>» : « والخريب من خُرب » بالخاء المعجمة. ولم أجد له معنى مناسباً.</w:t>
      </w:r>
    </w:p>
    <w:p w:rsidR="008A74EB" w:rsidRPr="00C9040A" w:rsidRDefault="006C577F" w:rsidP="0000275D">
      <w:pPr>
        <w:pStyle w:val="libFootnote0"/>
        <w:rPr>
          <w:rtl/>
          <w:lang w:bidi="fa-IR"/>
        </w:rPr>
      </w:pPr>
      <w:r>
        <w:rPr>
          <w:rtl/>
        </w:rPr>
        <w:t>(10).</w:t>
      </w:r>
      <w:r w:rsidR="008A74EB" w:rsidRPr="00C9040A">
        <w:rPr>
          <w:rtl/>
        </w:rPr>
        <w:t xml:space="preserve"> « دينَه » : منصوب على أنّه مفعول ثان</w:t>
      </w:r>
      <w:r w:rsidR="008A74EB">
        <w:rPr>
          <w:rtl/>
        </w:rPr>
        <w:t xml:space="preserve"> ل</w:t>
      </w:r>
      <w:r w:rsidR="0000275D">
        <w:rPr>
          <w:rFonts w:hint="cs"/>
          <w:rtl/>
        </w:rPr>
        <w:t>ـ</w:t>
      </w:r>
      <w:r w:rsidR="008A74EB">
        <w:rPr>
          <w:rtl/>
        </w:rPr>
        <w:t xml:space="preserve"> «</w:t>
      </w:r>
      <w:r w:rsidR="008A74EB" w:rsidRPr="00C9040A">
        <w:rPr>
          <w:rtl/>
        </w:rPr>
        <w:t xml:space="preserve"> حرب » ، والمفعول الأوّل ضمير مستتر راجع إلى الموصول.</w:t>
      </w:r>
    </w:p>
    <w:p w:rsidR="008A74EB" w:rsidRPr="00C9040A" w:rsidRDefault="006C577F" w:rsidP="004A4E41">
      <w:pPr>
        <w:pStyle w:val="libFootnote0"/>
        <w:rPr>
          <w:rtl/>
          <w:lang w:bidi="fa-IR"/>
        </w:rPr>
      </w:pPr>
      <w:r>
        <w:rPr>
          <w:rtl/>
        </w:rPr>
        <w:t>(11).</w:t>
      </w:r>
      <w:r w:rsidR="008A74EB" w:rsidRPr="00C9040A">
        <w:rPr>
          <w:rtl/>
        </w:rPr>
        <w:t xml:space="preserve"> « الضرير » : المريض المهزول ، وكلّ ما خالطه ضَرّ كالمضرور. </w:t>
      </w:r>
      <w:r w:rsidR="008A74EB" w:rsidRPr="00993B55">
        <w:rPr>
          <w:rStyle w:val="libFootnoteBoldChar"/>
          <w:rtl/>
        </w:rPr>
        <w:t>القاموس المحيط</w:t>
      </w:r>
      <w:r w:rsidR="0000275D">
        <w:rPr>
          <w:rtl/>
        </w:rPr>
        <w:t xml:space="preserve"> ، ج 1 ، ص 601 (ضرر</w:t>
      </w:r>
      <w:r w:rsidR="008A74EB" w:rsidRPr="00C9040A">
        <w:rPr>
          <w:rtl/>
        </w:rPr>
        <w:t>)</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w:t>
      </w:r>
      <w:r w:rsidR="008A74EB" w:rsidRPr="00993B55">
        <w:rPr>
          <w:rStyle w:val="libFootnoteBoldChar"/>
          <w:rtl/>
        </w:rPr>
        <w:t>الكافي</w:t>
      </w:r>
      <w:r w:rsidR="008A74EB" w:rsidRPr="00C9040A">
        <w:rPr>
          <w:rtl/>
        </w:rPr>
        <w:t xml:space="preserve"> ، كتاب فضل القرآن ، ح 3478 ، إلى قوله : « على ما كان من جهد وفاقة »</w:t>
      </w:r>
      <w:r w:rsidR="008A74EB">
        <w:rPr>
          <w:rtl/>
        </w:rPr>
        <w:t>.</w:t>
      </w:r>
      <w:r w:rsidR="008A74EB" w:rsidRPr="00C9040A">
        <w:rPr>
          <w:rtl/>
        </w:rPr>
        <w:t xml:space="preserve"> </w:t>
      </w:r>
      <w:r w:rsidR="008A74EB" w:rsidRPr="00993B55">
        <w:rPr>
          <w:rStyle w:val="libFootnoteBoldChar"/>
          <w:rtl/>
        </w:rPr>
        <w:t>تحف العقول</w:t>
      </w:r>
      <w:r w:rsidR="008A74EB" w:rsidRPr="00C9040A">
        <w:rPr>
          <w:rtl/>
        </w:rPr>
        <w:t xml:space="preserve"> ، ص 216 ، عن أميرالمؤمنين </w:t>
      </w:r>
      <w:r w:rsidR="00117575" w:rsidRPr="00117575">
        <w:rPr>
          <w:rStyle w:val="libFootnoteAlaemChar"/>
          <w:rtl/>
        </w:rPr>
        <w:t>عليه‌السلام</w:t>
      </w:r>
      <w:r w:rsidR="008A74EB" w:rsidRPr="00C9040A">
        <w:rPr>
          <w:rtl/>
        </w:rPr>
        <w:t xml:space="preserve"> ، من قوله : « فإذا حضرت بليّة » إلى قوله : « وإنّه لا غنى بعد النار » </w:t>
      </w:r>
      <w:r w:rsidR="0000275D">
        <w:rPr>
          <w:rFonts w:hint="cs"/>
          <w:rtl/>
        </w:rPr>
        <w:t>.</w:t>
      </w:r>
      <w:r w:rsidR="008A74EB" w:rsidRPr="00993B55">
        <w:rPr>
          <w:rStyle w:val="libFootnoteBoldChar"/>
          <w:rtl/>
        </w:rPr>
        <w:t>الوافي</w:t>
      </w:r>
      <w:r w:rsidR="008A74EB" w:rsidRPr="00C9040A">
        <w:rPr>
          <w:rtl/>
        </w:rPr>
        <w:t xml:space="preserve"> ، ج 5 ، ص 745 ، ح 2965 ؛ </w:t>
      </w:r>
      <w:r w:rsidR="008A74EB" w:rsidRPr="00993B55">
        <w:rPr>
          <w:rStyle w:val="libFootnoteBoldChar"/>
          <w:rtl/>
        </w:rPr>
        <w:t>الوسائل</w:t>
      </w:r>
      <w:r w:rsidR="008A74EB" w:rsidRPr="00C9040A">
        <w:rPr>
          <w:rtl/>
        </w:rPr>
        <w:t xml:space="preserve"> ، ج 16 ، ص 192 ، ح 21320 ، من قوله : « فإذا حضرت بليّة » ؛ </w:t>
      </w:r>
      <w:r w:rsidR="008A74EB" w:rsidRPr="00993B55">
        <w:rPr>
          <w:rStyle w:val="libFootnoteBoldChar"/>
          <w:rtl/>
        </w:rPr>
        <w:t>البحار</w:t>
      </w:r>
      <w:r w:rsidR="008A74EB" w:rsidRPr="00C9040A">
        <w:rPr>
          <w:rtl/>
        </w:rPr>
        <w:t xml:space="preserve"> ، ج 68 ، ص 212 ، ح 2.</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مِنْ زِينَةِ الدُّنْيَا حَسَنَةٌ »</w:t>
      </w:r>
      <w:r>
        <w:rPr>
          <w:rtl/>
          <w:lang w:bidi="fa-IR"/>
        </w:rPr>
        <w:t>.</w:t>
      </w:r>
      <w:r w:rsidRPr="00C9040A">
        <w:rPr>
          <w:rtl/>
          <w:lang w:bidi="fa-IR"/>
        </w:rPr>
        <w:t xml:space="preserve"> </w:t>
      </w:r>
      <w:r w:rsidR="006C577F" w:rsidRPr="006C577F">
        <w:rPr>
          <w:rStyle w:val="libFootnotenumChar"/>
          <w:rtl/>
        </w:rPr>
        <w:t>(1)</w:t>
      </w:r>
      <w:r w:rsidRPr="00C9040A">
        <w:rPr>
          <w:rtl/>
          <w:lang w:bidi="fa-IR"/>
        </w:rPr>
        <w:t xml:space="preserve"> ‌</w:t>
      </w:r>
    </w:p>
    <w:p w:rsidR="008A74EB" w:rsidRPr="00C9040A" w:rsidRDefault="0000275D" w:rsidP="008A74EB">
      <w:pPr>
        <w:pStyle w:val="libNormal"/>
        <w:rPr>
          <w:rtl/>
          <w:lang w:bidi="fa-IR"/>
        </w:rPr>
      </w:pPr>
      <w:r>
        <w:rPr>
          <w:rFonts w:hint="cs"/>
          <w:rtl/>
          <w:lang w:bidi="fa-IR"/>
        </w:rPr>
        <w:t xml:space="preserve">* </w:t>
      </w:r>
      <w:r w:rsidR="008A74EB" w:rsidRPr="00C9040A">
        <w:rPr>
          <w:rtl/>
          <w:lang w:bidi="fa-IR"/>
        </w:rPr>
        <w:t xml:space="preserve">مُحَمَّدُ بْنُ إِسْمَاعِيلَ ، عَنِ الْفَضْلِ بْنِ شَاذَانَ ، عَنْ حَمَّادٍ ، عَنْ رِبْعِيٍّ ، عَنِ الْفُضَيْلِ ، عَنْ أَبِي جَعْفَرٍ </w:t>
      </w:r>
      <w:r w:rsidR="008A74EB" w:rsidRPr="0003660B">
        <w:rPr>
          <w:rStyle w:val="libAlaemChar"/>
          <w:rtl/>
        </w:rPr>
        <w:t>عليه‌السلام</w:t>
      </w:r>
      <w:r w:rsidR="008A74EB" w:rsidRPr="00C9040A">
        <w:rPr>
          <w:rtl/>
          <w:lang w:bidi="fa-IR"/>
        </w:rPr>
        <w:t xml:space="preserve"> ، مِثْلَهُ.</w:t>
      </w:r>
    </w:p>
    <w:p w:rsidR="008A74EB" w:rsidRPr="00C9040A" w:rsidRDefault="008A74EB" w:rsidP="008A74EB">
      <w:pPr>
        <w:pStyle w:val="libNormal"/>
        <w:rPr>
          <w:rtl/>
          <w:lang w:bidi="fa-IR"/>
        </w:rPr>
      </w:pPr>
      <w:r w:rsidRPr="001A4FEC">
        <w:rPr>
          <w:rtl/>
        </w:rPr>
        <w:t>2240</w:t>
      </w:r>
      <w:r w:rsidRPr="00261CB0">
        <w:rPr>
          <w:rStyle w:val="libBold2Char"/>
          <w:rtl/>
        </w:rPr>
        <w:t xml:space="preserve"> / 4.</w:t>
      </w:r>
      <w:r w:rsidRPr="00C9040A">
        <w:rPr>
          <w:rtl/>
          <w:lang w:bidi="fa-IR"/>
        </w:rPr>
        <w:t xml:space="preserve"> عِدَّةٌ مِنْ أَصْحَابِنَا ، عَنْ أَحْمَدَ بْنِ مُحَمَّدِ بْنِ خَالِدٍ ، عَنِ ابْنِ فَضَّالٍ ، عَنْ يُونُسَ بْنِ يَعْقُوبَ ، عَنْ بَعْضِ أَصْحَابِهِ ، قَالَ :</w:t>
      </w:r>
    </w:p>
    <w:p w:rsidR="008A74EB" w:rsidRPr="00C9040A" w:rsidRDefault="008A74EB" w:rsidP="008A74EB">
      <w:pPr>
        <w:pStyle w:val="libNormal"/>
        <w:rPr>
          <w:rtl/>
          <w:lang w:bidi="fa-IR"/>
        </w:rPr>
      </w:pPr>
      <w:r w:rsidRPr="00C9040A">
        <w:rPr>
          <w:rtl/>
          <w:lang w:bidi="fa-IR"/>
        </w:rPr>
        <w:t xml:space="preserve">كَانَ رَجُلٌ يَدْخُلُ عَلى أَبِي عَبْدِ اللهِ </w:t>
      </w:r>
      <w:r w:rsidRPr="0003660B">
        <w:rPr>
          <w:rStyle w:val="libAlaemChar"/>
          <w:rtl/>
        </w:rPr>
        <w:t>عليه‌السلام</w:t>
      </w:r>
      <w:r w:rsidRPr="00C9040A">
        <w:rPr>
          <w:rtl/>
          <w:lang w:bidi="fa-IR"/>
        </w:rPr>
        <w:t xml:space="preserve"> </w:t>
      </w:r>
      <w:r w:rsidR="006C577F" w:rsidRPr="006C577F">
        <w:rPr>
          <w:rStyle w:val="libFootnotenumChar"/>
          <w:rtl/>
        </w:rPr>
        <w:t>(2)</w:t>
      </w:r>
      <w:r w:rsidRPr="00C9040A">
        <w:rPr>
          <w:rtl/>
          <w:lang w:bidi="fa-IR"/>
        </w:rPr>
        <w:t xml:space="preserve"> مِنْ أَصْحَابِهِ ، فَغَبَرَ </w:t>
      </w:r>
      <w:r w:rsidR="006C577F" w:rsidRPr="006C577F">
        <w:rPr>
          <w:rStyle w:val="libFootnotenumChar"/>
          <w:rtl/>
        </w:rPr>
        <w:t>(3)</w:t>
      </w:r>
      <w:r w:rsidRPr="00C9040A">
        <w:rPr>
          <w:rtl/>
          <w:lang w:bidi="fa-IR"/>
        </w:rPr>
        <w:t xml:space="preserve"> زَمَاناً </w:t>
      </w:r>
      <w:r w:rsidR="006C577F" w:rsidRPr="006C577F">
        <w:rPr>
          <w:rStyle w:val="libFootnotenumChar"/>
          <w:rtl/>
        </w:rPr>
        <w:t>(4)</w:t>
      </w:r>
      <w:r w:rsidRPr="00C9040A">
        <w:rPr>
          <w:rtl/>
          <w:lang w:bidi="fa-IR"/>
        </w:rPr>
        <w:t xml:space="preserve"> لَايَحُجُّ </w:t>
      </w:r>
      <w:r w:rsidR="006C577F" w:rsidRPr="006C577F">
        <w:rPr>
          <w:rStyle w:val="libFootnotenumChar"/>
          <w:rtl/>
        </w:rPr>
        <w:t>(5)</w:t>
      </w:r>
      <w:r w:rsidRPr="00C9040A">
        <w:rPr>
          <w:rtl/>
          <w:lang w:bidi="fa-IR"/>
        </w:rPr>
        <w:t xml:space="preserve"> ، فَدَخَلَ عَلَيْهِ بَعْضُ مَعَارِفِهِ </w:t>
      </w:r>
      <w:r w:rsidR="006C577F" w:rsidRPr="006C577F">
        <w:rPr>
          <w:rStyle w:val="libFootnotenumChar"/>
          <w:rtl/>
        </w:rPr>
        <w:t>(6)</w:t>
      </w:r>
      <w:r w:rsidRPr="005B567D">
        <w:rPr>
          <w:rStyle w:val="libFootnotenumChar"/>
          <w:rtl/>
        </w:rPr>
        <w:t xml:space="preserve"> </w:t>
      </w:r>
      <w:r w:rsidRPr="00C9040A">
        <w:rPr>
          <w:rtl/>
          <w:lang w:bidi="fa-IR"/>
        </w:rPr>
        <w:t>، فَقَالَ لَهُ : « فُلَانٌ مَا فَعَلَ</w:t>
      </w:r>
      <w:r>
        <w:rPr>
          <w:rtl/>
          <w:lang w:bidi="fa-IR"/>
        </w:rPr>
        <w:t>؟</w:t>
      </w:r>
      <w:r w:rsidRPr="00C9040A">
        <w:rPr>
          <w:rtl/>
          <w:lang w:bidi="fa-IR"/>
        </w:rPr>
        <w:t xml:space="preserve"> » قَالَ : فَجَعَلَ يُضَجِّعُ </w:t>
      </w:r>
      <w:r w:rsidR="006C577F" w:rsidRPr="006C577F">
        <w:rPr>
          <w:rStyle w:val="libFootnotenumChar"/>
          <w:rtl/>
        </w:rPr>
        <w:t>(7)</w:t>
      </w:r>
      <w:r w:rsidRPr="00C9040A">
        <w:rPr>
          <w:rtl/>
          <w:lang w:bidi="fa-IR"/>
        </w:rPr>
        <w:t xml:space="preserve"> الْكَلَامَ يَظُنُّ </w:t>
      </w:r>
      <w:r w:rsidR="006C577F" w:rsidRPr="006C577F">
        <w:rPr>
          <w:rStyle w:val="libFootnotenumChar"/>
          <w:rtl/>
        </w:rPr>
        <w:t>(8)</w:t>
      </w:r>
      <w:r w:rsidRPr="00C9040A">
        <w:rPr>
          <w:rtl/>
          <w:lang w:bidi="fa-IR"/>
        </w:rPr>
        <w:t xml:space="preserve"> أَنَّهُ </w:t>
      </w:r>
      <w:r w:rsidR="006C577F" w:rsidRPr="006C577F">
        <w:rPr>
          <w:rStyle w:val="libFootnotenumChar"/>
          <w:rtl/>
        </w:rPr>
        <w:t>(9)</w:t>
      </w:r>
      <w:r w:rsidRPr="00C9040A">
        <w:rPr>
          <w:rtl/>
          <w:lang w:bidi="fa-IR"/>
        </w:rPr>
        <w:t xml:space="preserve"> إِنَّمَا </w:t>
      </w:r>
      <w:r w:rsidR="006C577F" w:rsidRPr="006C577F">
        <w:rPr>
          <w:rStyle w:val="libFootnotenumChar"/>
          <w:rtl/>
        </w:rPr>
        <w:t>(10)</w:t>
      </w:r>
      <w:r w:rsidRPr="00C9040A">
        <w:rPr>
          <w:rtl/>
          <w:lang w:bidi="fa-IR"/>
        </w:rPr>
        <w:t xml:space="preserve"> ‌</w:t>
      </w:r>
      <w:r w:rsidR="0000275D">
        <w:rPr>
          <w:rFonts w:hint="cs"/>
          <w:rtl/>
          <w:lang w:bidi="fa-IR"/>
        </w:rPr>
        <w:t>...............................................................</w:t>
      </w:r>
      <w:r w:rsidR="0000275D">
        <w:rPr>
          <w:rFonts w:hint="cs"/>
          <w:rtl/>
          <w:lang w:bidi="fa-IR"/>
        </w:rPr>
        <w:tab/>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993B55">
        <w:rPr>
          <w:rStyle w:val="libFootnoteBoldChar"/>
          <w:rtl/>
        </w:rPr>
        <w:t>المحاسن</w:t>
      </w:r>
      <w:r w:rsidR="008A74EB" w:rsidRPr="00C9040A">
        <w:rPr>
          <w:rtl/>
        </w:rPr>
        <w:t xml:space="preserve"> ، ص 219 ، كتاب مصابيح الظلم ، ح 120 ، عن أبيه ، عن حمّاد بن عيسى ، عن ربعيّ بن عبدالله ، عن فضيل بن يسار ، عن أبي‌عبدالله </w:t>
      </w:r>
      <w:r w:rsidR="00117575" w:rsidRPr="00117575">
        <w:rPr>
          <w:rStyle w:val="libFootnoteAlaemChar"/>
          <w:rtl/>
        </w:rPr>
        <w:t>عليه‌السلام</w:t>
      </w:r>
      <w:r w:rsidR="008A74EB" w:rsidRPr="00C9040A">
        <w:rPr>
          <w:rtl/>
        </w:rPr>
        <w:t xml:space="preserve"> ، وتمام الرواية فيه : « سلامة الدين وصحّة البدن خير من زينة الدنيا حسب » </w:t>
      </w:r>
      <w:r w:rsidR="0000275D">
        <w:rPr>
          <w:rFonts w:hint="cs"/>
          <w:rtl/>
        </w:rPr>
        <w:t>.</w:t>
      </w:r>
      <w:r w:rsidR="008A74EB" w:rsidRPr="00993B55">
        <w:rPr>
          <w:rStyle w:val="libFootnoteBoldChar"/>
          <w:rtl/>
        </w:rPr>
        <w:t>الوافي</w:t>
      </w:r>
      <w:r w:rsidR="008A74EB" w:rsidRPr="00C9040A">
        <w:rPr>
          <w:rtl/>
        </w:rPr>
        <w:t xml:space="preserve"> ، ج 5 ، ص 746 ، ح 2966 ؛ </w:t>
      </w:r>
      <w:r w:rsidR="008A74EB" w:rsidRPr="00993B55">
        <w:rPr>
          <w:rStyle w:val="libFootnoteBoldChar"/>
          <w:rtl/>
        </w:rPr>
        <w:t>الوسائل</w:t>
      </w:r>
      <w:r w:rsidR="008A74EB" w:rsidRPr="00C9040A">
        <w:rPr>
          <w:rtl/>
        </w:rPr>
        <w:t xml:space="preserve"> ، ج 16 ، ص 192 ، ح 21319 ؛ </w:t>
      </w:r>
      <w:r w:rsidR="008A74EB" w:rsidRPr="00993B55">
        <w:rPr>
          <w:rStyle w:val="libFootnoteBoldChar"/>
          <w:rtl/>
        </w:rPr>
        <w:t>البحار</w:t>
      </w:r>
      <w:r w:rsidR="008A74EB" w:rsidRPr="00C9040A">
        <w:rPr>
          <w:rtl/>
        </w:rPr>
        <w:t xml:space="preserve"> ، ج 68 ، ص 213 ، ح 3.</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المحاسن : « أبي جعفر </w:t>
      </w:r>
      <w:r w:rsidR="00117575" w:rsidRPr="00117575">
        <w:rPr>
          <w:rStyle w:val="libFootnoteAlaemChar"/>
          <w:rtl/>
        </w:rPr>
        <w:t xml:space="preserve">عليه‌السلام </w:t>
      </w:r>
      <w:r w:rsidR="008A74EB" w:rsidRPr="00C9040A">
        <w:rPr>
          <w:rtl/>
        </w:rPr>
        <w:t>»</w:t>
      </w:r>
      <w:r w:rsidR="008A74EB">
        <w:rPr>
          <w:rtl/>
        </w:rPr>
        <w:t>.</w:t>
      </w:r>
    </w:p>
    <w:p w:rsidR="008A74EB" w:rsidRPr="00C9040A" w:rsidRDefault="006C577F" w:rsidP="0000275D">
      <w:pPr>
        <w:pStyle w:val="libFootnote0"/>
        <w:rPr>
          <w:rtl/>
          <w:lang w:bidi="fa-IR"/>
        </w:rPr>
      </w:pPr>
      <w:r>
        <w:rPr>
          <w:rtl/>
        </w:rPr>
        <w:t>(3).</w:t>
      </w:r>
      <w:r w:rsidR="008A74EB" w:rsidRPr="00C9040A">
        <w:rPr>
          <w:rtl/>
        </w:rPr>
        <w:t xml:space="preserve"> في « ب » وحاشية « ج ، د ، ص ، ض » ومرآة العقول والبحار والمحاسن : « فصبر »</w:t>
      </w:r>
      <w:r w:rsidR="008A74EB">
        <w:rPr>
          <w:rtl/>
        </w:rPr>
        <w:t>.</w:t>
      </w:r>
      <w:r w:rsidR="008A74EB" w:rsidRPr="00C9040A">
        <w:rPr>
          <w:rtl/>
        </w:rPr>
        <w:t xml:space="preserve"> وغَبَر غُبُوراً : بقي. وقد يستعمل فيما مضى أيضاً ، فيكون من الأضداد. وقال الزبيدي : غَبَر غُبُراً : مكث. </w:t>
      </w:r>
      <w:r w:rsidR="008A74EB" w:rsidRPr="00993B55">
        <w:rPr>
          <w:rStyle w:val="libFootnoteBoldChar"/>
          <w:rtl/>
        </w:rPr>
        <w:t>المصباح المنير</w:t>
      </w:r>
      <w:r w:rsidR="008A74EB" w:rsidRPr="00C9040A">
        <w:rPr>
          <w:rtl/>
        </w:rPr>
        <w:t xml:space="preserve"> ، ص 442 ( غبر )</w:t>
      </w:r>
      <w:r w:rsidR="008A74EB">
        <w:rPr>
          <w:rtl/>
        </w:rPr>
        <w:t>.</w:t>
      </w:r>
      <w:r w:rsidR="0000275D">
        <w:rPr>
          <w:rFonts w:hint="cs"/>
          <w:rtl/>
        </w:rPr>
        <w:t xml:space="preserve">                                     </w:t>
      </w:r>
      <w:r>
        <w:rPr>
          <w:rtl/>
        </w:rPr>
        <w:t>(4).</w:t>
      </w:r>
      <w:r w:rsidR="008A74EB" w:rsidRPr="00C9040A">
        <w:rPr>
          <w:rtl/>
        </w:rPr>
        <w:t xml:space="preserve"> في المحاسن : « حيناً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حجّ علينا فلان ، أي‌</w:t>
      </w:r>
      <w:r w:rsidR="0000275D">
        <w:rPr>
          <w:rFonts w:hint="cs"/>
          <w:rtl/>
        </w:rPr>
        <w:t xml:space="preserve"> </w:t>
      </w:r>
      <w:r w:rsidR="008A74EB" w:rsidRPr="00C9040A">
        <w:rPr>
          <w:rtl/>
        </w:rPr>
        <w:t xml:space="preserve">قَدِم. والحجّ : كثرة القصد إلى من يعظّم. </w:t>
      </w:r>
      <w:r w:rsidR="008A74EB" w:rsidRPr="00993B55">
        <w:rPr>
          <w:rStyle w:val="libFootnoteBoldChar"/>
          <w:rtl/>
        </w:rPr>
        <w:t>ترتيب كتاب العين</w:t>
      </w:r>
      <w:r w:rsidR="0000275D">
        <w:rPr>
          <w:rtl/>
        </w:rPr>
        <w:t xml:space="preserve"> ، ج 1 ، ص 347 ( حجّ</w:t>
      </w:r>
      <w:r w:rsidR="008A74EB" w:rsidRPr="00C9040A">
        <w:rPr>
          <w:rtl/>
        </w:rPr>
        <w:t>)</w:t>
      </w:r>
      <w:r w:rsidR="008A74EB">
        <w:rPr>
          <w:rtl/>
        </w:rPr>
        <w:t>.</w:t>
      </w:r>
      <w:r w:rsidR="008A74EB" w:rsidRPr="00C9040A">
        <w:rPr>
          <w:rtl/>
        </w:rPr>
        <w:t xml:space="preserve"> وفي </w:t>
      </w:r>
      <w:r w:rsidR="008A74EB" w:rsidRPr="00993B55">
        <w:rPr>
          <w:rStyle w:val="libFootnoteBoldChar"/>
          <w:rtl/>
        </w:rPr>
        <w:t>الوافي</w:t>
      </w:r>
      <w:r w:rsidR="008A74EB" w:rsidRPr="00C9040A">
        <w:rPr>
          <w:rtl/>
        </w:rPr>
        <w:t xml:space="preserve"> : « يعني به أنّه لايقدم مكّة حتّى يلقى أبا عبدالله </w:t>
      </w:r>
      <w:r w:rsidR="00117575" w:rsidRPr="00117575">
        <w:rPr>
          <w:rStyle w:val="libFootnoteAlaemChar"/>
          <w:rtl/>
        </w:rPr>
        <w:t>عليه‌السلام</w:t>
      </w:r>
      <w:r w:rsidR="008A74EB" w:rsidRPr="00C9040A">
        <w:rPr>
          <w:rtl/>
        </w:rPr>
        <w:t xml:space="preserve"> فيتعرّف حاله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المحاسن : + « ممّن كان يدخل عليه معه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 يضجع الكلام » ، إمّا من الإضجاع بمعنى الخفض ، يقال : أضجعته ، أي‌</w:t>
      </w:r>
      <w:r w:rsidR="0000275D">
        <w:rPr>
          <w:rFonts w:hint="cs"/>
          <w:rtl/>
        </w:rPr>
        <w:t xml:space="preserve"> </w:t>
      </w:r>
      <w:r w:rsidR="008A74EB" w:rsidRPr="00C9040A">
        <w:rPr>
          <w:rtl/>
        </w:rPr>
        <w:t>خفضته ، وإمّا من التضجيع بمعنى التقصير ، يقال : ضجّع في الأمر ، أي‌</w:t>
      </w:r>
      <w:r w:rsidR="0000275D">
        <w:rPr>
          <w:rFonts w:hint="cs"/>
          <w:rtl/>
        </w:rPr>
        <w:t xml:space="preserve"> </w:t>
      </w:r>
      <w:r w:rsidR="008A74EB" w:rsidRPr="00C9040A">
        <w:rPr>
          <w:rtl/>
        </w:rPr>
        <w:t xml:space="preserve">قصّر. والمعنى : يخفضه أو يقصّره ولا يصرّح بالمقصود ويشير إلى سوء حاله وكان يمجمج في </w:t>
      </w:r>
      <w:r w:rsidR="0000275D">
        <w:rPr>
          <w:rtl/>
        </w:rPr>
        <w:t>بيان حاله ويخفي فقد ماله ؛ لئل</w:t>
      </w:r>
      <w:r w:rsidR="0000275D">
        <w:rPr>
          <w:rFonts w:hint="cs"/>
          <w:rtl/>
        </w:rPr>
        <w:t>ّ</w:t>
      </w:r>
      <w:r w:rsidR="0000275D">
        <w:rPr>
          <w:rtl/>
        </w:rPr>
        <w:t>ا</w:t>
      </w:r>
      <w:r w:rsidR="008A74EB" w:rsidRPr="00C9040A">
        <w:rPr>
          <w:rtl/>
        </w:rPr>
        <w:t xml:space="preserve"> يغتمّ الإمام بذلك. راجع : </w:t>
      </w:r>
      <w:r w:rsidR="008A74EB" w:rsidRPr="00993B55">
        <w:rPr>
          <w:rStyle w:val="libFootnoteBoldChar"/>
          <w:rtl/>
        </w:rPr>
        <w:t>القاموس المحيط</w:t>
      </w:r>
      <w:r w:rsidR="008A74EB" w:rsidRPr="00C9040A">
        <w:rPr>
          <w:rtl/>
        </w:rPr>
        <w:t xml:space="preserve"> ، ج 2 ، ص 994 ( ضجع ) ؛ </w:t>
      </w:r>
      <w:r w:rsidR="008A74EB" w:rsidRPr="00993B55">
        <w:rPr>
          <w:rStyle w:val="libFootnoteBoldChar"/>
          <w:rtl/>
        </w:rPr>
        <w:t>شرح المازندراني</w:t>
      </w:r>
      <w:r w:rsidR="008A74EB" w:rsidRPr="00C9040A">
        <w:rPr>
          <w:rtl/>
        </w:rPr>
        <w:t xml:space="preserve"> ، ج 9 ، ص 109 ؛ </w:t>
      </w:r>
      <w:r w:rsidR="008A74EB" w:rsidRPr="00993B55">
        <w:rPr>
          <w:rStyle w:val="libFootnoteBoldChar"/>
          <w:rtl/>
        </w:rPr>
        <w:t>الوافي</w:t>
      </w:r>
      <w:r w:rsidR="008A74EB" w:rsidRPr="00C9040A">
        <w:rPr>
          <w:rtl/>
        </w:rPr>
        <w:t xml:space="preserve"> ، ج 5 ، ص 746 ؛ </w:t>
      </w:r>
      <w:r w:rsidR="008A74EB" w:rsidRPr="00993B55">
        <w:rPr>
          <w:rStyle w:val="libFootnoteBoldChar"/>
          <w:rtl/>
        </w:rPr>
        <w:t>مرآة العقول</w:t>
      </w:r>
      <w:r w:rsidR="008A74EB" w:rsidRPr="00C9040A">
        <w:rPr>
          <w:rtl/>
        </w:rPr>
        <w:t xml:space="preserve"> ، ج 9 ، ص 164.</w:t>
      </w:r>
    </w:p>
    <w:p w:rsidR="008A74EB" w:rsidRPr="00C9040A" w:rsidRDefault="006C577F" w:rsidP="004A4E41">
      <w:pPr>
        <w:pStyle w:val="libFootnote0"/>
        <w:rPr>
          <w:rtl/>
          <w:lang w:bidi="fa-IR"/>
        </w:rPr>
      </w:pPr>
      <w:r>
        <w:rPr>
          <w:rtl/>
        </w:rPr>
        <w:t>(8).</w:t>
      </w:r>
      <w:r w:rsidR="008A74EB" w:rsidRPr="00C9040A">
        <w:rPr>
          <w:rtl/>
        </w:rPr>
        <w:t xml:space="preserve"> في مرآة العقول والبحار : « فظنّ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ب ، ج ، د ، ص ، ف ، بر ، بس ، بف » وشرح المازندراني والوافي </w:t>
      </w:r>
      <w:r w:rsidR="008A74EB">
        <w:rPr>
          <w:rtl/>
        </w:rPr>
        <w:t xml:space="preserve">: </w:t>
      </w:r>
      <w:r w:rsidR="0084262C">
        <w:rPr>
          <w:rtl/>
        </w:rPr>
        <w:t>-</w:t>
      </w:r>
      <w:r w:rsidR="008A74EB" w:rsidRPr="00C9040A">
        <w:rPr>
          <w:rtl/>
        </w:rPr>
        <w:t xml:space="preserve"> « أنّه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يجوز في « إنّما » فتح الهمزة وكسرها. والأوّل على أنّ « ما » موصولة في محلّ </w:t>
      </w:r>
      <w:r w:rsidR="0000275D">
        <w:rPr>
          <w:rtl/>
        </w:rPr>
        <w:t>النصب اسم « إنّ » ، والثاني على</w:t>
      </w:r>
      <w:r w:rsidR="0000275D">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يَعْنِي </w:t>
      </w:r>
      <w:r w:rsidR="006C577F" w:rsidRPr="006C577F">
        <w:rPr>
          <w:rStyle w:val="libFootnotenumChar"/>
          <w:rtl/>
        </w:rPr>
        <w:t>(1)</w:t>
      </w:r>
      <w:r w:rsidRPr="00C9040A">
        <w:rPr>
          <w:rtl/>
          <w:lang w:bidi="fa-IR"/>
        </w:rPr>
        <w:t xml:space="preserve"> الْمَيْسَرَةَ وَالدُّنْيَا ، فَقَالَ </w:t>
      </w:r>
      <w:r w:rsidR="006C577F" w:rsidRPr="006C577F">
        <w:rPr>
          <w:rStyle w:val="libFootnotenumChar"/>
          <w:rtl/>
        </w:rPr>
        <w:t>(2)</w:t>
      </w:r>
      <w:r w:rsidRPr="00C9040A">
        <w:rPr>
          <w:rtl/>
          <w:lang w:bidi="fa-IR"/>
        </w:rPr>
        <w:t xml:space="preserve"> أَبُو عَبْدِ اللهِ </w:t>
      </w:r>
      <w:r w:rsidRPr="0003660B">
        <w:rPr>
          <w:rStyle w:val="libAlaemChar"/>
          <w:rtl/>
        </w:rPr>
        <w:t>عليه‌السلام</w:t>
      </w:r>
      <w:r w:rsidRPr="00C9040A">
        <w:rPr>
          <w:rtl/>
          <w:lang w:bidi="fa-IR"/>
        </w:rPr>
        <w:t xml:space="preserve"> : « كَيْفَ </w:t>
      </w:r>
      <w:r w:rsidR="006C577F" w:rsidRPr="006C577F">
        <w:rPr>
          <w:rStyle w:val="libFootnotenumChar"/>
          <w:rtl/>
        </w:rPr>
        <w:t>(3)</w:t>
      </w:r>
      <w:r w:rsidRPr="00C9040A">
        <w:rPr>
          <w:rtl/>
          <w:lang w:bidi="fa-IR"/>
        </w:rPr>
        <w:t xml:space="preserve"> دِينُهُ</w:t>
      </w:r>
      <w:r>
        <w:rPr>
          <w:rtl/>
          <w:lang w:bidi="fa-IR"/>
        </w:rPr>
        <w:t>؟</w:t>
      </w:r>
      <w:r w:rsidRPr="00C9040A">
        <w:rPr>
          <w:rtl/>
          <w:lang w:bidi="fa-IR"/>
        </w:rPr>
        <w:t xml:space="preserve"> » فَقَالَ </w:t>
      </w:r>
      <w:r w:rsidR="006C577F" w:rsidRPr="006C577F">
        <w:rPr>
          <w:rStyle w:val="libFootnotenumChar"/>
          <w:rtl/>
        </w:rPr>
        <w:t>(4)</w:t>
      </w:r>
      <w:r w:rsidRPr="00C9040A">
        <w:rPr>
          <w:rtl/>
          <w:lang w:bidi="fa-IR"/>
        </w:rPr>
        <w:t xml:space="preserve"> : كَمَا تُحِبُّ ، فَقَالَ :</w:t>
      </w:r>
      <w:r>
        <w:rPr>
          <w:rFonts w:hint="cs"/>
          <w:rtl/>
          <w:lang w:bidi="fa-IR"/>
        </w:rPr>
        <w:t xml:space="preserve"> </w:t>
      </w:r>
      <w:r w:rsidRPr="00C9040A">
        <w:rPr>
          <w:rtl/>
          <w:lang w:bidi="fa-IR"/>
        </w:rPr>
        <w:t xml:space="preserve">« هُوَ وَاللهِ </w:t>
      </w:r>
      <w:r w:rsidR="006C577F" w:rsidRPr="006C577F">
        <w:rPr>
          <w:rStyle w:val="libFootnotenumChar"/>
          <w:rtl/>
        </w:rPr>
        <w:t>(5)</w:t>
      </w:r>
      <w:r w:rsidRPr="00C9040A">
        <w:rPr>
          <w:rtl/>
          <w:lang w:bidi="fa-IR"/>
        </w:rPr>
        <w:t xml:space="preserve"> الْغِنى »</w:t>
      </w:r>
      <w:r>
        <w:rPr>
          <w:rtl/>
          <w:lang w:bidi="fa-IR"/>
        </w:rPr>
        <w:t>.</w:t>
      </w:r>
      <w:r w:rsidRPr="00C9040A">
        <w:rPr>
          <w:rtl/>
          <w:lang w:bidi="fa-IR"/>
        </w:rPr>
        <w:t xml:space="preserve"> </w:t>
      </w:r>
      <w:r w:rsidR="006C577F" w:rsidRPr="006C577F">
        <w:rPr>
          <w:rStyle w:val="libFootnotenumChar"/>
          <w:rtl/>
        </w:rPr>
        <w:t>(6)</w:t>
      </w:r>
    </w:p>
    <w:p w:rsidR="008A74EB" w:rsidRPr="00C9040A" w:rsidRDefault="008A74EB" w:rsidP="008A74EB">
      <w:pPr>
        <w:pStyle w:val="Heading2Center"/>
        <w:rPr>
          <w:rtl/>
          <w:lang w:bidi="fa-IR"/>
        </w:rPr>
      </w:pPr>
      <w:bookmarkStart w:id="301" w:name="_Toc343795688"/>
      <w:bookmarkStart w:id="302" w:name="_Toc459810812"/>
      <w:bookmarkStart w:id="303" w:name="_Toc35348718"/>
      <w:r w:rsidRPr="00C9040A">
        <w:rPr>
          <w:rtl/>
          <w:lang w:bidi="fa-IR"/>
        </w:rPr>
        <w:t>97</w:t>
      </w:r>
      <w:r>
        <w:rPr>
          <w:rtl/>
          <w:lang w:bidi="fa-IR"/>
        </w:rPr>
        <w:t xml:space="preserve"> </w:t>
      </w:r>
      <w:r w:rsidR="0084262C">
        <w:rPr>
          <w:rtl/>
          <w:lang w:bidi="fa-IR"/>
        </w:rPr>
        <w:t>-</w:t>
      </w:r>
      <w:r>
        <w:rPr>
          <w:rtl/>
          <w:lang w:bidi="fa-IR"/>
        </w:rPr>
        <w:t xml:space="preserve"> </w:t>
      </w:r>
      <w:r w:rsidRPr="00C9040A">
        <w:rPr>
          <w:rtl/>
          <w:lang w:bidi="fa-IR"/>
        </w:rPr>
        <w:t>بَابُ التَّقِيَّةِ‌</w:t>
      </w:r>
      <w:bookmarkEnd w:id="301"/>
      <w:bookmarkEnd w:id="302"/>
      <w:bookmarkEnd w:id="303"/>
    </w:p>
    <w:p w:rsidR="008A74EB" w:rsidRPr="00C9040A" w:rsidRDefault="008A74EB" w:rsidP="008A74EB">
      <w:pPr>
        <w:pStyle w:val="libNormal"/>
        <w:rPr>
          <w:rtl/>
          <w:lang w:bidi="fa-IR"/>
        </w:rPr>
      </w:pPr>
      <w:r w:rsidRPr="001A4FEC">
        <w:rPr>
          <w:rtl/>
        </w:rPr>
        <w:t>2241</w:t>
      </w:r>
      <w:r w:rsidRPr="00261CB0">
        <w:rPr>
          <w:rStyle w:val="libBold2Char"/>
          <w:rtl/>
        </w:rPr>
        <w:t xml:space="preserve"> / 1.</w:t>
      </w:r>
      <w:r w:rsidRPr="00C9040A">
        <w:rPr>
          <w:rtl/>
          <w:lang w:bidi="fa-IR"/>
        </w:rPr>
        <w:t xml:space="preserve"> عَلِيُّ بْنُ إِبْرَاهِيمَ ، عَنْ أَبِيهِ ، عَنِ ابْنِ أَبِي عُمَيْرٍ ، عَنْ هِشَامِ بْنِ سَالِمٍ وَغَيْرِهِ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فِي قَوْلِ اللهِ عَزَّ وَجَلَّ : </w:t>
      </w:r>
      <w:r w:rsidRPr="0003660B">
        <w:rPr>
          <w:rStyle w:val="libAlaemChar"/>
          <w:rtl/>
        </w:rPr>
        <w:t>(</w:t>
      </w:r>
      <w:r w:rsidRPr="006A2246">
        <w:rPr>
          <w:rStyle w:val="libAieChar"/>
          <w:rtl/>
        </w:rPr>
        <w:t xml:space="preserve"> أُولئِكَ يُؤْتَوْنَ أَجْرَهُمْ مَرَّتَيْنِ بِما صَبَرُوا </w:t>
      </w:r>
      <w:r w:rsidRPr="0003660B">
        <w:rPr>
          <w:rStyle w:val="libAlaemChar"/>
          <w:rtl/>
        </w:rPr>
        <w:t>)</w:t>
      </w:r>
      <w:r w:rsidRPr="00C9040A">
        <w:rPr>
          <w:rtl/>
          <w:lang w:bidi="fa-IR"/>
        </w:rPr>
        <w:t xml:space="preserve"> قَالَ : « بِمَا صَبَرُوا عَلَى التَّقِيَّةِ » ، </w:t>
      </w:r>
      <w:r w:rsidRPr="0003660B">
        <w:rPr>
          <w:rStyle w:val="libAlaemChar"/>
          <w:rtl/>
        </w:rPr>
        <w:t>(</w:t>
      </w:r>
      <w:r w:rsidRPr="006A2246">
        <w:rPr>
          <w:rStyle w:val="libAieChar"/>
          <w:rtl/>
        </w:rPr>
        <w:t xml:space="preserve"> وَيَدْرَؤُنَ بِالْحَسَنَةِ السَّيِّئَةَ </w:t>
      </w:r>
      <w:r w:rsidRPr="0003660B">
        <w:rPr>
          <w:rStyle w:val="libAlaemChar"/>
          <w:rtl/>
        </w:rPr>
        <w:t>)</w:t>
      </w:r>
      <w:r w:rsidRPr="00C9040A">
        <w:rPr>
          <w:rtl/>
          <w:lang w:bidi="fa-IR"/>
        </w:rPr>
        <w:t xml:space="preserve"> </w:t>
      </w:r>
      <w:r w:rsidR="006C577F" w:rsidRPr="006C577F">
        <w:rPr>
          <w:rStyle w:val="libFootnotenumChar"/>
          <w:rtl/>
        </w:rPr>
        <w:t>(7)</w:t>
      </w:r>
      <w:r w:rsidRPr="00C9040A">
        <w:rPr>
          <w:rtl/>
          <w:lang w:bidi="fa-IR"/>
        </w:rPr>
        <w:t xml:space="preserve"> قَالَ : « الْحَسَنَةُ : التَّقِيَّةُ ، وَالسَّيِّئَةُ : الْإِذَاعَةُ </w:t>
      </w:r>
      <w:r w:rsidR="006C577F" w:rsidRPr="006C577F">
        <w:rPr>
          <w:rStyle w:val="libFootnotenumChar"/>
          <w:rtl/>
        </w:rPr>
        <w:t>(8)</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(9)</w:t>
      </w:r>
      <w:r w:rsidRPr="00C9040A">
        <w:rPr>
          <w:rtl/>
          <w:lang w:bidi="fa-IR"/>
        </w:rPr>
        <w:t xml:space="preserve"> ‌</w:t>
      </w:r>
    </w:p>
    <w:p w:rsidR="008A74EB" w:rsidRPr="00C9040A" w:rsidRDefault="008A74EB" w:rsidP="008A74EB">
      <w:pPr>
        <w:pStyle w:val="libNormal"/>
        <w:rPr>
          <w:rtl/>
          <w:lang w:bidi="fa-IR"/>
        </w:rPr>
      </w:pPr>
      <w:r w:rsidRPr="001A4FEC">
        <w:rPr>
          <w:rtl/>
        </w:rPr>
        <w:t>2242</w:t>
      </w:r>
      <w:r w:rsidRPr="00261CB0">
        <w:rPr>
          <w:rStyle w:val="libBold2Char"/>
          <w:rtl/>
        </w:rPr>
        <w:t xml:space="preserve"> / 2.</w:t>
      </w:r>
      <w:r w:rsidRPr="00C9040A">
        <w:rPr>
          <w:rtl/>
          <w:lang w:bidi="fa-IR"/>
        </w:rPr>
        <w:t xml:space="preserve"> ابْنُ أَبِي عُمَيْرٍ </w:t>
      </w:r>
      <w:r w:rsidR="006C577F" w:rsidRPr="006C577F">
        <w:rPr>
          <w:rStyle w:val="libFootnotenumChar"/>
          <w:rtl/>
        </w:rPr>
        <w:t>(10)</w:t>
      </w:r>
      <w:r w:rsidRPr="00C9040A">
        <w:rPr>
          <w:rtl/>
          <w:lang w:bidi="fa-IR"/>
        </w:rPr>
        <w:t xml:space="preserve"> ، عَنْ هِشَامِ بْنِ سَالِمٍ ، عَنْ أَبِي عُمَرَ الْأَعْجَمِيِّ </w:t>
      </w:r>
      <w:r w:rsidR="006C577F" w:rsidRPr="006C577F">
        <w:rPr>
          <w:rStyle w:val="libFootnotenumChar"/>
          <w:rtl/>
        </w:rPr>
        <w:t>(11)</w:t>
      </w:r>
      <w:r w:rsidRPr="00C9040A">
        <w:rPr>
          <w:rtl/>
          <w:lang w:bidi="fa-IR"/>
        </w:rPr>
        <w:t xml:space="preserve"> ، قَالَ :</w:t>
      </w:r>
    </w:p>
    <w:p w:rsidR="008A74EB" w:rsidRPr="00C9040A" w:rsidRDefault="008A74EB" w:rsidP="008A74EB">
      <w:pPr>
        <w:pStyle w:val="libLine"/>
        <w:rPr>
          <w:rtl/>
          <w:lang w:bidi="fa-IR"/>
        </w:rPr>
      </w:pPr>
      <w:r w:rsidRPr="00C9040A">
        <w:rPr>
          <w:rtl/>
          <w:lang w:bidi="fa-IR"/>
        </w:rPr>
        <w:t>__________________</w:t>
      </w:r>
    </w:p>
    <w:p w:rsidR="008A74EB" w:rsidRPr="00C9040A" w:rsidRDefault="0000275D" w:rsidP="004A4E41">
      <w:pPr>
        <w:pStyle w:val="libFootnote0"/>
        <w:rPr>
          <w:rtl/>
          <w:lang w:bidi="fa-IR"/>
        </w:rPr>
      </w:pPr>
      <w:r>
        <w:rPr>
          <w:rFonts w:hint="cs"/>
          <w:rtl/>
        </w:rPr>
        <w:t xml:space="preserve">= </w:t>
      </w:r>
      <w:r w:rsidR="008A74EB" w:rsidRPr="00C9040A">
        <w:rPr>
          <w:rtl/>
        </w:rPr>
        <w:t xml:space="preserve">كونها كافّة. </w:t>
      </w:r>
      <w:r w:rsidR="008A74EB">
        <w:rPr>
          <w:rtl/>
        </w:rPr>
        <w:t>و «</w:t>
      </w:r>
      <w:r w:rsidR="008A74EB" w:rsidRPr="00C9040A">
        <w:rPr>
          <w:rtl/>
        </w:rPr>
        <w:t xml:space="preserve"> الميسرة » على الأوّل مرفوع خبر « أنّ » ، وعلى الثاني منصوب على أنّه مفعول ل</w:t>
      </w:r>
      <w:r>
        <w:rPr>
          <w:rFonts w:hint="cs"/>
          <w:rtl/>
        </w:rPr>
        <w:t>ـ</w:t>
      </w:r>
      <w:r w:rsidR="008A74EB" w:rsidRPr="00C9040A">
        <w:rPr>
          <w:rtl/>
        </w:rPr>
        <w:t xml:space="preserve"> : يعني. راجع : </w:t>
      </w:r>
      <w:r w:rsidR="008A74EB" w:rsidRPr="00993B55">
        <w:rPr>
          <w:rStyle w:val="libFootnoteBoldChar"/>
          <w:rtl/>
        </w:rPr>
        <w:t xml:space="preserve">مرآة العقول </w:t>
      </w:r>
      <w:r w:rsidR="008A74EB" w:rsidRPr="00C9040A">
        <w:rPr>
          <w:rtl/>
        </w:rPr>
        <w:t>، ج 9 ، ص 164.</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المحاسن : « عنى »</w:t>
      </w:r>
      <w:r w:rsidR="008A74EB">
        <w:rPr>
          <w:rtl/>
        </w:rPr>
        <w:t>.</w:t>
      </w:r>
      <w:r w:rsidR="008A74EB" w:rsidRPr="00C9040A">
        <w:rPr>
          <w:rtl/>
        </w:rPr>
        <w:t xml:space="preserve"> وفي شرح المازندراني : « يظن إنّما يعني الميسرة والدنيا ، يعني تقاعد عن الحجّ‌</w:t>
      </w:r>
      <w:r w:rsidR="0000275D">
        <w:rPr>
          <w:rFonts w:hint="cs"/>
          <w:rtl/>
        </w:rPr>
        <w:t xml:space="preserve"> </w:t>
      </w:r>
      <w:r w:rsidR="008A74EB" w:rsidRPr="00C9040A">
        <w:rPr>
          <w:rtl/>
        </w:rPr>
        <w:t>لفقدهما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المحاسن : + « له »</w:t>
      </w:r>
      <w:r w:rsidR="008A74EB">
        <w:rPr>
          <w:rtl/>
        </w:rPr>
        <w:t>.</w:t>
      </w:r>
    </w:p>
    <w:tbl>
      <w:tblPr>
        <w:tblStyle w:val="TableGrid"/>
        <w:bidiVisual/>
        <w:tblW w:w="0" w:type="auto"/>
        <w:tblLook w:val="04A0" w:firstRow="1" w:lastRow="0" w:firstColumn="1" w:lastColumn="0" w:noHBand="0" w:noVBand="1"/>
      </w:tblPr>
      <w:tblGrid>
        <w:gridCol w:w="4006"/>
        <w:gridCol w:w="4006"/>
      </w:tblGrid>
      <w:tr w:rsidR="0000275D" w:rsidTr="0000275D">
        <w:tc>
          <w:tcPr>
            <w:tcW w:w="4006" w:type="dxa"/>
          </w:tcPr>
          <w:p w:rsidR="0000275D" w:rsidRDefault="0000275D" w:rsidP="004A4E41">
            <w:pPr>
              <w:pStyle w:val="libFootnote0"/>
              <w:rPr>
                <w:rtl/>
              </w:rPr>
            </w:pPr>
            <w:r>
              <w:rPr>
                <w:rtl/>
              </w:rPr>
              <w:t>(3).</w:t>
            </w:r>
            <w:r w:rsidRPr="00C9040A">
              <w:rPr>
                <w:rtl/>
              </w:rPr>
              <w:t xml:space="preserve"> في المحاسن : + « حاله في »</w:t>
            </w:r>
            <w:r>
              <w:rPr>
                <w:rtl/>
              </w:rPr>
              <w:t>.</w:t>
            </w:r>
          </w:p>
        </w:tc>
        <w:tc>
          <w:tcPr>
            <w:tcW w:w="4006" w:type="dxa"/>
          </w:tcPr>
          <w:p w:rsidR="0000275D" w:rsidRDefault="0000275D" w:rsidP="004A4E41">
            <w:pPr>
              <w:pStyle w:val="libFootnote0"/>
              <w:rPr>
                <w:rtl/>
              </w:rPr>
            </w:pPr>
            <w:r>
              <w:rPr>
                <w:rtl/>
              </w:rPr>
              <w:t>(4).</w:t>
            </w:r>
            <w:r w:rsidRPr="00C9040A">
              <w:rPr>
                <w:rtl/>
              </w:rPr>
              <w:t xml:space="preserve"> في المحاسن : + « له »</w:t>
            </w:r>
            <w:r>
              <w:rPr>
                <w:rtl/>
              </w:rPr>
              <w:t>.</w:t>
            </w:r>
          </w:p>
        </w:tc>
      </w:tr>
    </w:tbl>
    <w:p w:rsidR="008A74EB" w:rsidRPr="00C9040A" w:rsidRDefault="006C577F" w:rsidP="004A4E41">
      <w:pPr>
        <w:pStyle w:val="libFootnote0"/>
        <w:rPr>
          <w:rtl/>
          <w:lang w:bidi="fa-IR"/>
        </w:rPr>
      </w:pPr>
      <w:r>
        <w:rPr>
          <w:rtl/>
        </w:rPr>
        <w:t>(5).</w:t>
      </w:r>
      <w:r w:rsidR="008A74EB" w:rsidRPr="00C9040A">
        <w:rPr>
          <w:rtl/>
        </w:rPr>
        <w:t xml:space="preserve"> في « ص » : + « هو »</w:t>
      </w:r>
      <w:r w:rsidR="008A74EB">
        <w:rPr>
          <w:rtl/>
        </w:rPr>
        <w:t>.</w:t>
      </w:r>
    </w:p>
    <w:p w:rsidR="008A74EB" w:rsidRPr="00C9040A" w:rsidRDefault="006C577F" w:rsidP="0000275D">
      <w:pPr>
        <w:pStyle w:val="libFootnote0"/>
        <w:rPr>
          <w:rtl/>
          <w:lang w:bidi="fa-IR"/>
        </w:rPr>
      </w:pPr>
      <w:r>
        <w:rPr>
          <w:rtl/>
        </w:rPr>
        <w:t>(6).</w:t>
      </w:r>
      <w:r w:rsidR="008A74EB">
        <w:rPr>
          <w:rtl/>
        </w:rPr>
        <w:t xml:space="preserve"> </w:t>
      </w:r>
      <w:r w:rsidR="008A74EB" w:rsidRPr="00993B55">
        <w:rPr>
          <w:rStyle w:val="libFootnoteBoldChar"/>
          <w:rtl/>
        </w:rPr>
        <w:t>المحاسن</w:t>
      </w:r>
      <w:r w:rsidR="008A74EB" w:rsidRPr="00C9040A">
        <w:rPr>
          <w:rtl/>
        </w:rPr>
        <w:t xml:space="preserve"> ، ص 217 ، كتاب مصابيح الظلم ، ح 113 ، عن الحسن بن عليّ بن فضّال </w:t>
      </w:r>
      <w:r w:rsidR="0000275D">
        <w:rPr>
          <w:rFonts w:hint="cs"/>
          <w:rtl/>
        </w:rPr>
        <w:t>.</w:t>
      </w:r>
      <w:r w:rsidR="008A74EB" w:rsidRPr="00993B55">
        <w:rPr>
          <w:rStyle w:val="libFootnoteBoldChar"/>
          <w:rtl/>
        </w:rPr>
        <w:t>الوافي</w:t>
      </w:r>
      <w:r w:rsidR="008A74EB" w:rsidRPr="00C9040A">
        <w:rPr>
          <w:rtl/>
        </w:rPr>
        <w:t xml:space="preserve"> ، ج 5 ، ص 746 ، ح 2967 ؛ </w:t>
      </w:r>
      <w:r w:rsidR="008A74EB" w:rsidRPr="00993B55">
        <w:rPr>
          <w:rStyle w:val="libFootnoteBoldChar"/>
          <w:rtl/>
        </w:rPr>
        <w:t>البحار</w:t>
      </w:r>
      <w:r w:rsidR="008A74EB" w:rsidRPr="00C9040A">
        <w:rPr>
          <w:rtl/>
        </w:rPr>
        <w:t xml:space="preserve"> ، ج 68 ، ص 214 ، ح 4.</w:t>
      </w:r>
      <w:r w:rsidR="0000275D">
        <w:rPr>
          <w:rFonts w:hint="cs"/>
          <w:rtl/>
        </w:rPr>
        <w:t xml:space="preserve">   </w:t>
      </w:r>
      <w:r>
        <w:rPr>
          <w:rtl/>
        </w:rPr>
        <w:t>(7).</w:t>
      </w:r>
      <w:r w:rsidR="008A74EB" w:rsidRPr="00C9040A">
        <w:rPr>
          <w:rtl/>
        </w:rPr>
        <w:t xml:space="preserve"> القصص (28) : 54.</w:t>
      </w:r>
    </w:p>
    <w:p w:rsidR="008A74EB" w:rsidRPr="00C9040A" w:rsidRDefault="006C577F" w:rsidP="004A4E41">
      <w:pPr>
        <w:pStyle w:val="libFootnote0"/>
        <w:rPr>
          <w:rtl/>
          <w:lang w:bidi="fa-IR"/>
        </w:rPr>
      </w:pPr>
      <w:r>
        <w:rPr>
          <w:rtl/>
        </w:rPr>
        <w:t>(8).</w:t>
      </w:r>
      <w:r w:rsidR="008A74EB" w:rsidRPr="00C9040A">
        <w:rPr>
          <w:rtl/>
        </w:rPr>
        <w:t xml:space="preserve"> ذاع الحديث ذَيْعاً وذُيوعاً : انتشر وظهر ، وأذعتُه : أظهرته. </w:t>
      </w:r>
      <w:r w:rsidR="008A74EB" w:rsidRPr="00993B55">
        <w:rPr>
          <w:rStyle w:val="libFootnoteBoldChar"/>
          <w:rtl/>
        </w:rPr>
        <w:t>المصباح المنير</w:t>
      </w:r>
      <w:r w:rsidR="008A74EB" w:rsidRPr="00C9040A">
        <w:rPr>
          <w:rtl/>
        </w:rPr>
        <w:t xml:space="preserve"> ، ص 212 ( ذيع )</w:t>
      </w:r>
      <w:r w:rsidR="008A74EB">
        <w:rPr>
          <w:rtl/>
        </w:rPr>
        <w:t>.</w:t>
      </w:r>
    </w:p>
    <w:p w:rsidR="008A74EB" w:rsidRPr="00C9040A" w:rsidRDefault="006C577F" w:rsidP="0000275D">
      <w:pPr>
        <w:pStyle w:val="libFootnote0"/>
        <w:rPr>
          <w:rtl/>
          <w:lang w:bidi="fa-IR"/>
        </w:rPr>
      </w:pPr>
      <w:r>
        <w:rPr>
          <w:rtl/>
        </w:rPr>
        <w:t>(9).</w:t>
      </w:r>
      <w:r w:rsidR="008A74EB" w:rsidRPr="00C9040A">
        <w:rPr>
          <w:rtl/>
        </w:rPr>
        <w:t xml:space="preserve"> </w:t>
      </w:r>
      <w:r w:rsidR="008A74EB" w:rsidRPr="00993B55">
        <w:rPr>
          <w:rStyle w:val="libFootnoteBoldChar"/>
          <w:rtl/>
        </w:rPr>
        <w:t>المحاسن</w:t>
      </w:r>
      <w:r w:rsidR="008A74EB" w:rsidRPr="00C9040A">
        <w:rPr>
          <w:rtl/>
        </w:rPr>
        <w:t xml:space="preserve"> ، ص 257 ، كتاب مصابيح الظلم ، ح 296 ، عن أبيه ، عن ابن أبي‌عمير ، عن هشام بن سالم ، عن أبي‌عبدالله </w:t>
      </w:r>
      <w:r w:rsidR="00117575" w:rsidRPr="00117575">
        <w:rPr>
          <w:rStyle w:val="libFootnoteAlaemChar"/>
          <w:rtl/>
        </w:rPr>
        <w:t xml:space="preserve">عليه‌السلام </w:t>
      </w:r>
      <w:r w:rsidR="0000275D">
        <w:rPr>
          <w:rFonts w:hint="cs"/>
          <w:rtl/>
        </w:rPr>
        <w:t>.</w:t>
      </w:r>
      <w:r w:rsidR="008A74EB" w:rsidRPr="00993B55">
        <w:rPr>
          <w:rStyle w:val="libFootnoteBoldChar"/>
          <w:rtl/>
        </w:rPr>
        <w:t>الوافي</w:t>
      </w:r>
      <w:r w:rsidR="008A74EB" w:rsidRPr="00C9040A">
        <w:rPr>
          <w:rtl/>
        </w:rPr>
        <w:t xml:space="preserve"> ، ج 5 ، ص 685 ، ح 2878 ؛ </w:t>
      </w:r>
      <w:r w:rsidR="008A74EB" w:rsidRPr="00993B55">
        <w:rPr>
          <w:rStyle w:val="libFootnoteBoldChar"/>
          <w:rtl/>
        </w:rPr>
        <w:t>الوسائل</w:t>
      </w:r>
      <w:r w:rsidR="008A74EB" w:rsidRPr="00C9040A">
        <w:rPr>
          <w:rtl/>
        </w:rPr>
        <w:t xml:space="preserve"> ، ج 16 ، ص 203 ، ح 21356 ؛ </w:t>
      </w:r>
      <w:r w:rsidR="008A74EB" w:rsidRPr="00993B55">
        <w:rPr>
          <w:rStyle w:val="libFootnoteBoldChar"/>
          <w:rtl/>
        </w:rPr>
        <w:t>البحار</w:t>
      </w:r>
      <w:r w:rsidR="008A74EB" w:rsidRPr="00C9040A">
        <w:rPr>
          <w:rtl/>
        </w:rPr>
        <w:t xml:space="preserve"> ، ج 75 ، ص 422 ، ح 81.</w:t>
      </w:r>
    </w:p>
    <w:p w:rsidR="008A74EB" w:rsidRPr="00C9040A" w:rsidRDefault="006C577F" w:rsidP="004A4E41">
      <w:pPr>
        <w:pStyle w:val="libFootnote0"/>
        <w:rPr>
          <w:rtl/>
          <w:lang w:bidi="fa-IR"/>
        </w:rPr>
      </w:pPr>
      <w:r>
        <w:rPr>
          <w:rtl/>
        </w:rPr>
        <w:t>(10).</w:t>
      </w:r>
      <w:r w:rsidR="008A74EB" w:rsidRPr="00C9040A">
        <w:rPr>
          <w:rtl/>
        </w:rPr>
        <w:t xml:space="preserve"> السند معلّق على سابقه. ويروي عن ابن أبي‌عمير ، عليّ بن إبراهيم عن أبيه.</w:t>
      </w:r>
    </w:p>
    <w:p w:rsidR="008A74EB" w:rsidRPr="00C9040A" w:rsidRDefault="006C577F" w:rsidP="004A4E41">
      <w:pPr>
        <w:pStyle w:val="libFootnote0"/>
        <w:rPr>
          <w:rtl/>
          <w:lang w:bidi="fa-IR"/>
        </w:rPr>
      </w:pPr>
      <w:r>
        <w:rPr>
          <w:rtl/>
        </w:rPr>
        <w:t>(11).</w:t>
      </w:r>
      <w:r w:rsidR="008A74EB" w:rsidRPr="00C9040A">
        <w:rPr>
          <w:rtl/>
        </w:rPr>
        <w:t xml:space="preserve"> في حاشية « ص ، ف ، بر » : « ابن عمر الأعجمي »</w:t>
      </w:r>
      <w:r w:rsidR="008A74EB">
        <w:rPr>
          <w:rtl/>
        </w:rPr>
        <w:t>.</w:t>
      </w:r>
      <w:r w:rsidR="008A74EB" w:rsidRPr="00C9040A">
        <w:rPr>
          <w:rtl/>
        </w:rPr>
        <w:t xml:space="preserve"> والظاهر أنّ أبا عمر هذا ، هو أبوعمر العَجَمي المذكور في </w:t>
      </w:r>
      <w:r w:rsidR="008A74EB" w:rsidRPr="00993B55">
        <w:rPr>
          <w:rStyle w:val="libFootnoteBoldChar"/>
          <w:rtl/>
        </w:rPr>
        <w:t>رجال البرقي</w:t>
      </w:r>
      <w:r w:rsidR="008A74EB" w:rsidRPr="00C9040A">
        <w:rPr>
          <w:rtl/>
        </w:rPr>
        <w:t xml:space="preserve"> ، ص 37 في أصحاب أبي‌عبدالله </w:t>
      </w:r>
      <w:r w:rsidR="00117575" w:rsidRPr="00117575">
        <w:rPr>
          <w:rStyle w:val="libFootnoteAlaemChar"/>
          <w:rtl/>
        </w:rPr>
        <w:t xml:space="preserve">عليه‌السلام </w:t>
      </w:r>
      <w:r w:rsidR="008A74EB" w:rsidRPr="00C9040A">
        <w:rPr>
          <w:rtl/>
        </w:rPr>
        <w:t xml:space="preserve">. </w:t>
      </w:r>
      <w:r w:rsidR="008A74EB">
        <w:rPr>
          <w:rtl/>
        </w:rPr>
        <w:t>و «</w:t>
      </w:r>
      <w:r w:rsidR="008A74EB" w:rsidRPr="00C9040A">
        <w:rPr>
          <w:rtl/>
        </w:rPr>
        <w:t xml:space="preserve"> الأعْجَمي » </w:t>
      </w:r>
      <w:r w:rsidR="008A74EB">
        <w:rPr>
          <w:rtl/>
        </w:rPr>
        <w:t>و «</w:t>
      </w:r>
      <w:r w:rsidR="008A74EB" w:rsidRPr="00C9040A">
        <w:rPr>
          <w:rtl/>
        </w:rPr>
        <w:t xml:space="preserve"> العَجَمي » بمعنى واحد. راجع : </w:t>
      </w:r>
      <w:r w:rsidR="008A74EB" w:rsidRPr="00993B55">
        <w:rPr>
          <w:rStyle w:val="libFootnoteBoldChar"/>
          <w:rtl/>
        </w:rPr>
        <w:t>الأنساب</w:t>
      </w:r>
      <w:r w:rsidR="008A74EB" w:rsidRPr="0000275D">
        <w:rPr>
          <w:rStyle w:val="libFootnoteBoldChar"/>
          <w:rtl/>
        </w:rPr>
        <w:t xml:space="preserve"> للسمعاني</w:t>
      </w:r>
      <w:r w:rsidR="008A74EB" w:rsidRPr="00C9040A">
        <w:rPr>
          <w:rtl/>
        </w:rPr>
        <w:t xml:space="preserve"> ، ج 1 ، ص 186 ؛ وج 4 ، ص 161.</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قَالَ لِي </w:t>
      </w:r>
      <w:r w:rsidR="006C577F" w:rsidRPr="006C577F">
        <w:rPr>
          <w:rStyle w:val="libFootnotenumChar"/>
          <w:rtl/>
        </w:rPr>
        <w:t>(1)</w:t>
      </w:r>
      <w:r w:rsidRPr="00C9040A">
        <w:rPr>
          <w:rtl/>
          <w:lang w:bidi="fa-IR"/>
        </w:rPr>
        <w:t xml:space="preserve"> أَبُو عَبْدِ اللهِ </w:t>
      </w:r>
      <w:r w:rsidRPr="0003660B">
        <w:rPr>
          <w:rStyle w:val="libAlaemChar"/>
          <w:rtl/>
        </w:rPr>
        <w:t>عليه‌السلام</w:t>
      </w:r>
      <w:r w:rsidRPr="00C9040A">
        <w:rPr>
          <w:rtl/>
          <w:lang w:bidi="fa-IR"/>
        </w:rPr>
        <w:t xml:space="preserve"> : « يَا أَبَا </w:t>
      </w:r>
      <w:r w:rsidR="006C577F" w:rsidRPr="006C577F">
        <w:rPr>
          <w:rStyle w:val="libFootnotenumChar"/>
          <w:rtl/>
        </w:rPr>
        <w:t>(2)</w:t>
      </w:r>
      <w:r w:rsidRPr="00C9040A">
        <w:rPr>
          <w:rtl/>
          <w:lang w:bidi="fa-IR"/>
        </w:rPr>
        <w:t xml:space="preserve"> عُمَرَ ، إِنَّ تِسْعَةَ أَعْشَارِ الدِّينِ فِي </w:t>
      </w:r>
      <w:r w:rsidR="006C577F" w:rsidRPr="006C577F">
        <w:rPr>
          <w:rStyle w:val="libFootnotenumChar"/>
          <w:rtl/>
        </w:rPr>
        <w:t>(3)</w:t>
      </w:r>
      <w:r w:rsidRPr="00C9040A">
        <w:rPr>
          <w:rtl/>
          <w:lang w:bidi="fa-IR"/>
        </w:rPr>
        <w:t xml:space="preserve"> التَّقِيَّةِ ، وَلَا دِينَ لِمَنْ لَاتَقِيَّةَ لَهُ ، وَالتَّ</w:t>
      </w:r>
      <w:r w:rsidR="00C0049F">
        <w:rPr>
          <w:rtl/>
          <w:lang w:bidi="fa-IR"/>
        </w:rPr>
        <w:t>قِيَّةُ فِي كُلِّ شَيْ‌ءٍ إِل</w:t>
      </w:r>
      <w:r w:rsidR="00C0049F">
        <w:rPr>
          <w:rFonts w:hint="cs"/>
          <w:rtl/>
          <w:lang w:bidi="fa-IR"/>
        </w:rPr>
        <w:t>َّ</w:t>
      </w:r>
      <w:r w:rsidR="00C0049F">
        <w:rPr>
          <w:rtl/>
          <w:lang w:bidi="fa-IR"/>
        </w:rPr>
        <w:t>ا</w:t>
      </w:r>
      <w:r w:rsidRPr="00C9040A">
        <w:rPr>
          <w:rtl/>
          <w:lang w:bidi="fa-IR"/>
        </w:rPr>
        <w:t xml:space="preserve"> فِي </w:t>
      </w:r>
      <w:r w:rsidR="006C577F" w:rsidRPr="006C577F">
        <w:rPr>
          <w:rStyle w:val="libFootnotenumChar"/>
          <w:rtl/>
        </w:rPr>
        <w:t>(4)</w:t>
      </w:r>
      <w:r w:rsidRPr="00C9040A">
        <w:rPr>
          <w:rtl/>
          <w:lang w:bidi="fa-IR"/>
        </w:rPr>
        <w:t xml:space="preserve"> النَّبِيذِ </w:t>
      </w:r>
      <w:r w:rsidR="006C577F" w:rsidRPr="006C577F">
        <w:rPr>
          <w:rStyle w:val="libFootnotenumChar"/>
          <w:rtl/>
        </w:rPr>
        <w:t>(5)</w:t>
      </w:r>
      <w:r w:rsidRPr="00C9040A">
        <w:rPr>
          <w:rtl/>
          <w:lang w:bidi="fa-IR"/>
        </w:rPr>
        <w:t xml:space="preserve"> وَالْمَسْحِ عَلَى الْخُفَّيْنِ </w:t>
      </w:r>
      <w:r w:rsidR="006C577F" w:rsidRPr="006C577F">
        <w:rPr>
          <w:rStyle w:val="libFootnotenumChar"/>
          <w:rtl/>
        </w:rPr>
        <w:t>(6)</w:t>
      </w:r>
      <w:r w:rsidRPr="005B567D">
        <w:rPr>
          <w:rStyle w:val="libFootnotenumChar"/>
          <w:rtl/>
        </w:rPr>
        <w:t xml:space="preserve"> </w:t>
      </w:r>
      <w:r w:rsidRPr="00C9040A">
        <w:rPr>
          <w:rtl/>
          <w:lang w:bidi="fa-IR"/>
        </w:rPr>
        <w:t>»</w:t>
      </w:r>
      <w:r>
        <w:rPr>
          <w:rtl/>
          <w:lang w:bidi="fa-IR"/>
        </w:rPr>
        <w:t>.</w:t>
      </w:r>
      <w:r w:rsidRPr="00C9040A">
        <w:rPr>
          <w:rtl/>
          <w:lang w:bidi="fa-IR"/>
        </w:rPr>
        <w:t xml:space="preserve"> </w:t>
      </w:r>
      <w:r w:rsidR="006C577F" w:rsidRPr="006C577F">
        <w:rPr>
          <w:rStyle w:val="libFootnotenumChar"/>
          <w:rtl/>
        </w:rPr>
        <w:t>(7)</w:t>
      </w:r>
    </w:p>
    <w:p w:rsidR="008A74EB" w:rsidRPr="00C9040A" w:rsidRDefault="008A74EB" w:rsidP="008A74EB">
      <w:pPr>
        <w:pStyle w:val="libNormal"/>
        <w:rPr>
          <w:rtl/>
          <w:lang w:bidi="fa-IR"/>
        </w:rPr>
      </w:pPr>
      <w:r w:rsidRPr="001A4FEC">
        <w:rPr>
          <w:rtl/>
        </w:rPr>
        <w:t>2243</w:t>
      </w:r>
      <w:r w:rsidRPr="00261CB0">
        <w:rPr>
          <w:rStyle w:val="libBold2Char"/>
          <w:rtl/>
        </w:rPr>
        <w:t xml:space="preserve"> / 3.</w:t>
      </w:r>
      <w:r w:rsidRPr="00C9040A">
        <w:rPr>
          <w:rtl/>
          <w:lang w:bidi="fa-IR"/>
        </w:rPr>
        <w:t xml:space="preserve"> عِدَّةٌ مِنْ أَصْحَابِنَا ، عَنْ أَحْمَدَ بْنِ مُحَمَّدِ بْنِ خَالِدٍ ، عَنْ عُثْمَانَ بْنِ عِيسى ، عَنْ سَمَاعَةَ ، عَنْ أَبِي بَصِيرٍ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التَّقِيَّةُ مِنْ دِينِ اللهِ » قُلْتُ : مِنْ دِينِ اللهِ</w:t>
      </w:r>
      <w:r>
        <w:rPr>
          <w:rtl/>
          <w:lang w:bidi="fa-IR"/>
        </w:rPr>
        <w:t>؟</w:t>
      </w:r>
      <w:r w:rsidRPr="00C9040A">
        <w:rPr>
          <w:rtl/>
          <w:lang w:bidi="fa-IR"/>
        </w:rPr>
        <w:t xml:space="preserve"> قَالَ : « إِي وَاللهِ ، مِنْ دِينِ اللهِ ؛ وَلَقَدْ قَالَ يُوسُفُ : </w:t>
      </w:r>
      <w:r w:rsidRPr="0003660B">
        <w:rPr>
          <w:rStyle w:val="libAlaemChar"/>
          <w:rtl/>
        </w:rPr>
        <w:t>(</w:t>
      </w:r>
      <w:r w:rsidRPr="006A2246">
        <w:rPr>
          <w:rStyle w:val="libAieChar"/>
          <w:rtl/>
        </w:rPr>
        <w:t xml:space="preserve"> أَيَّتُهَا الْعِيرُ إِنَّكُمْ لَسارِقُونَ </w:t>
      </w:r>
      <w:r w:rsidRPr="0003660B">
        <w:rPr>
          <w:rStyle w:val="libAlaemChar"/>
          <w:rtl/>
        </w:rPr>
        <w:t>)</w:t>
      </w:r>
      <w:r w:rsidRPr="00C9040A">
        <w:rPr>
          <w:rtl/>
          <w:lang w:bidi="fa-IR"/>
        </w:rPr>
        <w:t xml:space="preserve"> </w:t>
      </w:r>
      <w:r w:rsidR="006C577F" w:rsidRPr="006C577F">
        <w:rPr>
          <w:rStyle w:val="libFootnotenumChar"/>
          <w:rtl/>
        </w:rPr>
        <w:t>(8)</w:t>
      </w:r>
      <w:r w:rsidRPr="00C9040A">
        <w:rPr>
          <w:rtl/>
          <w:lang w:bidi="fa-IR"/>
        </w:rPr>
        <w:t xml:space="preserve"> وَاللهِ مَا كَانُوا سَرَقُوا </w:t>
      </w:r>
      <w:r w:rsidR="006C577F" w:rsidRPr="006C577F">
        <w:rPr>
          <w:rStyle w:val="libFootnotenumChar"/>
          <w:rtl/>
        </w:rPr>
        <w:t>(9)</w:t>
      </w:r>
      <w:r w:rsidRPr="00C9040A">
        <w:rPr>
          <w:rtl/>
          <w:lang w:bidi="fa-IR"/>
        </w:rPr>
        <w:t xml:space="preserve"> شَيْئاً ؛ وَلَقَدْ قَالَ إِبْرَاهِيمُ : </w:t>
      </w:r>
      <w:r w:rsidRPr="0003660B">
        <w:rPr>
          <w:rStyle w:val="libAlaemChar"/>
          <w:rtl/>
        </w:rPr>
        <w:t>(</w:t>
      </w:r>
      <w:r w:rsidRPr="006A2246">
        <w:rPr>
          <w:rStyle w:val="libAieChar"/>
          <w:rtl/>
        </w:rPr>
        <w:t xml:space="preserve"> إِنِّي سَقِيمٌ </w:t>
      </w:r>
      <w:r w:rsidRPr="0003660B">
        <w:rPr>
          <w:rStyle w:val="libAlaemChar"/>
          <w:rtl/>
        </w:rPr>
        <w:t>)</w:t>
      </w:r>
      <w:r w:rsidRPr="00C9040A">
        <w:rPr>
          <w:rtl/>
          <w:lang w:bidi="fa-IR"/>
        </w:rPr>
        <w:t xml:space="preserve"> </w:t>
      </w:r>
      <w:r w:rsidR="006C577F" w:rsidRPr="006C577F">
        <w:rPr>
          <w:rStyle w:val="libFootnotenumChar"/>
          <w:rtl/>
        </w:rPr>
        <w:t>(10)</w:t>
      </w:r>
      <w:r w:rsidRPr="00C9040A">
        <w:rPr>
          <w:rtl/>
          <w:lang w:bidi="fa-IR"/>
        </w:rPr>
        <w:t xml:space="preserve"> وَاللهِ مَا كَانَ سَقِيماً »</w:t>
      </w:r>
      <w:r>
        <w:rPr>
          <w:rtl/>
          <w:lang w:bidi="fa-IR"/>
        </w:rPr>
        <w:t>.</w:t>
      </w:r>
      <w:r w:rsidRPr="00C9040A">
        <w:rPr>
          <w:rtl/>
          <w:lang w:bidi="fa-IR"/>
        </w:rPr>
        <w:t xml:space="preserve"> </w:t>
      </w:r>
      <w:r w:rsidR="006C577F" w:rsidRPr="006C577F">
        <w:rPr>
          <w:rStyle w:val="libFootnotenumChar"/>
          <w:rtl/>
        </w:rPr>
        <w:t>(11)</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C0049F" w:rsidTr="00C0049F">
        <w:tc>
          <w:tcPr>
            <w:tcW w:w="4006" w:type="dxa"/>
          </w:tcPr>
          <w:p w:rsidR="00C0049F" w:rsidRDefault="00C0049F" w:rsidP="004A4E41">
            <w:pPr>
              <w:pStyle w:val="libFootnote0"/>
              <w:rPr>
                <w:rtl/>
              </w:rPr>
            </w:pPr>
            <w:r>
              <w:rPr>
                <w:rtl/>
              </w:rPr>
              <w:t xml:space="preserve">(1). </w:t>
            </w:r>
            <w:r w:rsidRPr="00C9040A">
              <w:rPr>
                <w:rtl/>
              </w:rPr>
              <w:t xml:space="preserve">في « ج ، ض ، ف ، </w:t>
            </w:r>
            <w:r>
              <w:rPr>
                <w:rtl/>
              </w:rPr>
              <w:t xml:space="preserve">ه </w:t>
            </w:r>
            <w:r w:rsidRPr="00C9040A">
              <w:rPr>
                <w:rtl/>
              </w:rPr>
              <w:t xml:space="preserve">» </w:t>
            </w:r>
            <w:r>
              <w:rPr>
                <w:rtl/>
              </w:rPr>
              <w:t>: -</w:t>
            </w:r>
            <w:r w:rsidRPr="00C9040A">
              <w:rPr>
                <w:rtl/>
              </w:rPr>
              <w:t xml:space="preserve"> « لي »</w:t>
            </w:r>
            <w:r>
              <w:rPr>
                <w:rtl/>
              </w:rPr>
              <w:t>.</w:t>
            </w:r>
          </w:p>
        </w:tc>
        <w:tc>
          <w:tcPr>
            <w:tcW w:w="4006" w:type="dxa"/>
          </w:tcPr>
          <w:p w:rsidR="00C0049F" w:rsidRDefault="00C0049F" w:rsidP="004A4E41">
            <w:pPr>
              <w:pStyle w:val="libFootnote0"/>
              <w:rPr>
                <w:rtl/>
              </w:rPr>
            </w:pPr>
            <w:r>
              <w:rPr>
                <w:rtl/>
              </w:rPr>
              <w:t xml:space="preserve">(2). </w:t>
            </w:r>
            <w:r w:rsidRPr="00C9040A">
              <w:rPr>
                <w:rtl/>
              </w:rPr>
              <w:t>في حاشية « ف » : « ابن »</w:t>
            </w:r>
            <w:r>
              <w:rPr>
                <w:rtl/>
              </w:rPr>
              <w:t>.</w:t>
            </w:r>
          </w:p>
        </w:tc>
      </w:tr>
      <w:tr w:rsidR="00C0049F" w:rsidTr="00C0049F">
        <w:tc>
          <w:tcPr>
            <w:tcW w:w="4006" w:type="dxa"/>
          </w:tcPr>
          <w:p w:rsidR="00C0049F" w:rsidRDefault="00C0049F" w:rsidP="004A4E41">
            <w:pPr>
              <w:pStyle w:val="libFootnote0"/>
              <w:rPr>
                <w:rtl/>
              </w:rPr>
            </w:pPr>
            <w:r>
              <w:rPr>
                <w:rtl/>
              </w:rPr>
              <w:t>(3).</w:t>
            </w:r>
            <w:r w:rsidRPr="00C9040A">
              <w:rPr>
                <w:rtl/>
              </w:rPr>
              <w:t xml:space="preserve"> في الوافي </w:t>
            </w:r>
            <w:r>
              <w:rPr>
                <w:rtl/>
              </w:rPr>
              <w:t>: -</w:t>
            </w:r>
            <w:r w:rsidRPr="00C9040A">
              <w:rPr>
                <w:rtl/>
              </w:rPr>
              <w:t xml:space="preserve"> « في »</w:t>
            </w:r>
            <w:r>
              <w:rPr>
                <w:rtl/>
              </w:rPr>
              <w:t>.</w:t>
            </w:r>
          </w:p>
        </w:tc>
        <w:tc>
          <w:tcPr>
            <w:tcW w:w="4006" w:type="dxa"/>
          </w:tcPr>
          <w:p w:rsidR="00C0049F" w:rsidRDefault="00C0049F" w:rsidP="004A4E41">
            <w:pPr>
              <w:pStyle w:val="libFootnote0"/>
              <w:rPr>
                <w:rtl/>
              </w:rPr>
            </w:pPr>
            <w:r>
              <w:rPr>
                <w:rtl/>
              </w:rPr>
              <w:t>(4).</w:t>
            </w:r>
            <w:r w:rsidRPr="00C9040A">
              <w:rPr>
                <w:rtl/>
              </w:rPr>
              <w:t xml:space="preserve"> في المحاسن والخصال : + « شُرب »</w:t>
            </w:r>
            <w:r>
              <w:rPr>
                <w:rtl/>
              </w:rPr>
              <w:t>.</w:t>
            </w:r>
          </w:p>
        </w:tc>
      </w:tr>
    </w:tbl>
    <w:p w:rsidR="008A74EB" w:rsidRPr="00C9040A" w:rsidRDefault="006C577F" w:rsidP="004A4E41">
      <w:pPr>
        <w:pStyle w:val="libFootnote0"/>
        <w:rPr>
          <w:rtl/>
          <w:lang w:bidi="fa-IR"/>
        </w:rPr>
      </w:pPr>
      <w:r>
        <w:rPr>
          <w:rtl/>
        </w:rPr>
        <w:t>(5).</w:t>
      </w:r>
      <w:r w:rsidR="008A74EB" w:rsidRPr="00C9040A">
        <w:rPr>
          <w:rtl/>
        </w:rPr>
        <w:t xml:space="preserve"> يقال للخمر المعتصر من العنب : نبيذ ، كما يقال للنبيذ : خمر. </w:t>
      </w:r>
      <w:r w:rsidR="008A74EB" w:rsidRPr="00C0049F">
        <w:rPr>
          <w:rStyle w:val="libFootnoteBoldChar"/>
          <w:rtl/>
        </w:rPr>
        <w:t>النهاية</w:t>
      </w:r>
      <w:r w:rsidR="008A74EB" w:rsidRPr="00C9040A">
        <w:rPr>
          <w:rtl/>
        </w:rPr>
        <w:t xml:space="preserve"> ، ج 5 ، ص 7 ( نبذ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شرح المازندراني : « ومسح الخُفّين »</w:t>
      </w:r>
      <w:r w:rsidR="008A74EB">
        <w:rPr>
          <w:rtl/>
        </w:rPr>
        <w:t>.</w:t>
      </w:r>
      <w:r w:rsidR="008A74EB" w:rsidRPr="00C9040A">
        <w:rPr>
          <w:rtl/>
        </w:rPr>
        <w:t xml:space="preserve"> وفي </w:t>
      </w:r>
      <w:r w:rsidR="008A74EB" w:rsidRPr="00993B55">
        <w:rPr>
          <w:rStyle w:val="libFootnoteBoldChar"/>
          <w:rtl/>
        </w:rPr>
        <w:t>الوافي</w:t>
      </w:r>
      <w:r w:rsidR="008A74EB" w:rsidRPr="00C9040A">
        <w:rPr>
          <w:rtl/>
        </w:rPr>
        <w:t xml:space="preserve"> : « وذلك لعدم م</w:t>
      </w:r>
      <w:r w:rsidR="00C0049F">
        <w:rPr>
          <w:rtl/>
        </w:rPr>
        <w:t>سّ الحاجة إلى التقيّة فيهما إل</w:t>
      </w:r>
      <w:r w:rsidR="00C0049F">
        <w:rPr>
          <w:rFonts w:hint="cs"/>
          <w:rtl/>
        </w:rPr>
        <w:t>ّ</w:t>
      </w:r>
      <w:r w:rsidR="00C0049F">
        <w:rPr>
          <w:rtl/>
        </w:rPr>
        <w:t>ا</w:t>
      </w:r>
      <w:r w:rsidR="008A74EB" w:rsidRPr="00C9040A">
        <w:rPr>
          <w:rtl/>
        </w:rPr>
        <w:t>نادراً »</w:t>
      </w:r>
      <w:r w:rsidR="008A74EB">
        <w:rPr>
          <w:rtl/>
        </w:rPr>
        <w:t>.</w:t>
      </w:r>
      <w:r w:rsidR="008A74EB" w:rsidRPr="00C9040A">
        <w:rPr>
          <w:rtl/>
        </w:rPr>
        <w:t xml:space="preserve"> </w:t>
      </w:r>
      <w:r w:rsidR="008A74EB">
        <w:rPr>
          <w:rtl/>
        </w:rPr>
        <w:t>و «</w:t>
      </w:r>
      <w:r w:rsidR="008A74EB" w:rsidRPr="00C9040A">
        <w:rPr>
          <w:rtl/>
        </w:rPr>
        <w:t xml:space="preserve"> الخُفّ » : ما يلبس في الرِّجْل من جلد رقيق. </w:t>
      </w:r>
      <w:r w:rsidR="008A74EB" w:rsidRPr="00993B55">
        <w:rPr>
          <w:rStyle w:val="libFootnoteBoldChar"/>
          <w:rtl/>
        </w:rPr>
        <w:t>المعجم الوسيط</w:t>
      </w:r>
      <w:r w:rsidR="008A74EB" w:rsidRPr="00C9040A">
        <w:rPr>
          <w:rtl/>
        </w:rPr>
        <w:t xml:space="preserve"> ، ج 1 ، ص 247 ( خفف )</w:t>
      </w:r>
      <w:r w:rsidR="008A74EB">
        <w:rPr>
          <w:rtl/>
        </w:rPr>
        <w:t>.</w:t>
      </w:r>
      <w:r w:rsidR="008A74EB" w:rsidRPr="00C9040A">
        <w:rPr>
          <w:rtl/>
        </w:rPr>
        <w:t xml:space="preserve"> وقال بعض الشارحين : ظهر عندي من إطلاقات أهل الحَرَمين ومن تتبّع الأحاديث : إطلاق الخُفّ على ما يستر ظهر القدمين سواء كان له ساق أولم يكن. </w:t>
      </w:r>
      <w:r w:rsidR="008A74EB" w:rsidRPr="00993B55">
        <w:rPr>
          <w:rStyle w:val="libFootnoteBoldChar"/>
          <w:rtl/>
        </w:rPr>
        <w:t>مجمع البحرين</w:t>
      </w:r>
      <w:r w:rsidR="008A74EB" w:rsidRPr="00C9040A">
        <w:rPr>
          <w:rtl/>
        </w:rPr>
        <w:t xml:space="preserve"> ، ج 5 ، ص 49 ( خفف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المحاسن</w:t>
      </w:r>
      <w:r w:rsidR="008A74EB" w:rsidRPr="00C9040A">
        <w:rPr>
          <w:rtl/>
        </w:rPr>
        <w:t xml:space="preserve"> ، ص 259 ، كتاب مصابيح الظلم ، ح 309 ، عن أبيه ، عن ابن أبي‌عمير ، عن هشام وعن أبي</w:t>
      </w:r>
      <w:r w:rsidR="00C0049F">
        <w:rPr>
          <w:rFonts w:hint="cs"/>
          <w:rtl/>
        </w:rPr>
        <w:t xml:space="preserve"> </w:t>
      </w:r>
      <w:r w:rsidR="008A74EB" w:rsidRPr="00C9040A">
        <w:rPr>
          <w:rtl/>
        </w:rPr>
        <w:t xml:space="preserve">‌عمر العجمي ، عن أبي عبدالله </w:t>
      </w:r>
      <w:r w:rsidR="00117575" w:rsidRPr="00117575">
        <w:rPr>
          <w:rStyle w:val="libFootnoteAlaemChar"/>
          <w:rtl/>
        </w:rPr>
        <w:t>عليه‌السلام</w:t>
      </w:r>
      <w:r w:rsidR="008A74EB" w:rsidRPr="00C9040A">
        <w:rPr>
          <w:rtl/>
        </w:rPr>
        <w:t xml:space="preserve"> ؛ </w:t>
      </w:r>
      <w:r w:rsidR="008A74EB" w:rsidRPr="00993B55">
        <w:rPr>
          <w:rStyle w:val="libFootnoteBoldChar"/>
          <w:rtl/>
        </w:rPr>
        <w:t>الخصال</w:t>
      </w:r>
      <w:r w:rsidR="008A74EB" w:rsidRPr="00C9040A">
        <w:rPr>
          <w:rtl/>
        </w:rPr>
        <w:t xml:space="preserve"> ، ص 22 ، باب الواحد ، ح 79 ، بسنده عن ابن أبي‌عمير ، عن عبدالله بن جندب ، عن أبي‌عمر العجمي. </w:t>
      </w:r>
      <w:r w:rsidR="008A74EB" w:rsidRPr="00993B55">
        <w:rPr>
          <w:rStyle w:val="libFootnoteBoldChar"/>
          <w:rtl/>
        </w:rPr>
        <w:t>الفقيه</w:t>
      </w:r>
      <w:r w:rsidR="008A74EB" w:rsidRPr="00C9040A">
        <w:rPr>
          <w:rtl/>
        </w:rPr>
        <w:t xml:space="preserve"> ، ح 2 ، ص 128 ، ح 1928 ، مرسلاً ، وتمام الرواية فيه : « لا دين لمن لا تقيّة له »</w:t>
      </w:r>
      <w:r w:rsidR="008A74EB">
        <w:rPr>
          <w:rtl/>
        </w:rPr>
        <w:t>.</w:t>
      </w:r>
      <w:r w:rsidR="008A74EB" w:rsidRPr="00C9040A">
        <w:rPr>
          <w:rtl/>
        </w:rPr>
        <w:t xml:space="preserve"> راجع : </w:t>
      </w:r>
      <w:r w:rsidR="008A74EB" w:rsidRPr="00993B55">
        <w:rPr>
          <w:rStyle w:val="libFootnoteBoldChar"/>
          <w:rtl/>
        </w:rPr>
        <w:t>الكافي</w:t>
      </w:r>
      <w:r w:rsidR="008A74EB" w:rsidRPr="00C9040A">
        <w:rPr>
          <w:rtl/>
        </w:rPr>
        <w:t xml:space="preserve"> ، كتاب الإيمان والكفر ، باب الكتمان ، ح 2271 ؛ و</w:t>
      </w:r>
      <w:r w:rsidR="008A74EB" w:rsidRPr="00993B55">
        <w:rPr>
          <w:rStyle w:val="libFootnoteBoldChar"/>
          <w:rtl/>
        </w:rPr>
        <w:t>المحاسن</w:t>
      </w:r>
      <w:r w:rsidR="008A74EB" w:rsidRPr="00C9040A">
        <w:rPr>
          <w:rtl/>
        </w:rPr>
        <w:t xml:space="preserve"> ، ص 255 ، كتاب مصابيح الظلم ، ح 286 ؛ و</w:t>
      </w:r>
      <w:r w:rsidR="008A74EB" w:rsidRPr="00993B55">
        <w:rPr>
          <w:rStyle w:val="libFootnoteBoldChar"/>
          <w:rtl/>
        </w:rPr>
        <w:t xml:space="preserve">صفات الشيعة </w:t>
      </w:r>
      <w:r w:rsidR="008A74EB" w:rsidRPr="00C9040A">
        <w:rPr>
          <w:rtl/>
        </w:rPr>
        <w:t>، ص 3 ، ح 3 ؛ و</w:t>
      </w:r>
      <w:r w:rsidR="008A74EB" w:rsidRPr="00993B55">
        <w:rPr>
          <w:rStyle w:val="libFootnoteBoldChar"/>
          <w:rtl/>
        </w:rPr>
        <w:t>كفاية الأثر</w:t>
      </w:r>
      <w:r w:rsidR="008A74EB" w:rsidRPr="00C9040A">
        <w:rPr>
          <w:rtl/>
        </w:rPr>
        <w:t xml:space="preserve"> ، ص 274 ؛ </w:t>
      </w:r>
      <w:r w:rsidR="008A74EB" w:rsidRPr="00C0049F">
        <w:rPr>
          <w:rStyle w:val="libFootnoteBoldChar"/>
          <w:rtl/>
        </w:rPr>
        <w:t>و</w:t>
      </w:r>
      <w:r w:rsidR="008A74EB" w:rsidRPr="00993B55">
        <w:rPr>
          <w:rStyle w:val="libFootnoteBoldChar"/>
          <w:rtl/>
        </w:rPr>
        <w:t>كمال الدين</w:t>
      </w:r>
      <w:r w:rsidR="008A74EB" w:rsidRPr="00C9040A">
        <w:rPr>
          <w:rtl/>
        </w:rPr>
        <w:t xml:space="preserve"> ، ص 371 ، ح 5 </w:t>
      </w:r>
      <w:r w:rsidR="00C0049F">
        <w:rPr>
          <w:rFonts w:hint="cs"/>
          <w:rtl/>
        </w:rPr>
        <w:t>.</w:t>
      </w:r>
      <w:r w:rsidR="008A74EB" w:rsidRPr="00993B55">
        <w:rPr>
          <w:rStyle w:val="libFootnoteBoldChar"/>
          <w:rtl/>
        </w:rPr>
        <w:t>الوافي</w:t>
      </w:r>
      <w:r w:rsidR="008A74EB" w:rsidRPr="00C9040A">
        <w:rPr>
          <w:rtl/>
        </w:rPr>
        <w:t xml:space="preserve"> ، ج 5 ، ص 685 ، ح 2879 ؛ </w:t>
      </w:r>
      <w:r w:rsidR="008A74EB" w:rsidRPr="00993B55">
        <w:rPr>
          <w:rStyle w:val="libFootnoteBoldChar"/>
          <w:rtl/>
        </w:rPr>
        <w:t>الوسائل</w:t>
      </w:r>
      <w:r w:rsidR="008A74EB" w:rsidRPr="00C9040A">
        <w:rPr>
          <w:rtl/>
        </w:rPr>
        <w:t xml:space="preserve"> ، ج 16 ، ص 204 ، ح 21358 ، إلى قوله : « لا دين لمن لا تقيّة له » ؛ </w:t>
      </w:r>
      <w:r w:rsidR="008A74EB" w:rsidRPr="00993B55">
        <w:rPr>
          <w:rStyle w:val="libFootnoteBoldChar"/>
          <w:rtl/>
        </w:rPr>
        <w:t>وفيه</w:t>
      </w:r>
      <w:r w:rsidR="008A74EB" w:rsidRPr="00C9040A">
        <w:rPr>
          <w:rtl/>
        </w:rPr>
        <w:t xml:space="preserve"> ، ص 215 ، ح 21394 ، من قوله : « لا دين لمن لا تقيّة له » ؛ </w:t>
      </w:r>
      <w:r w:rsidR="008A74EB" w:rsidRPr="00993B55">
        <w:rPr>
          <w:rStyle w:val="libFootnoteBoldChar"/>
          <w:rtl/>
        </w:rPr>
        <w:t>البحار</w:t>
      </w:r>
      <w:r w:rsidR="008A74EB" w:rsidRPr="00C9040A">
        <w:rPr>
          <w:rtl/>
        </w:rPr>
        <w:t xml:space="preserve"> ، ح 75 ، ص 423 ، ح 82.</w:t>
      </w:r>
    </w:p>
    <w:tbl>
      <w:tblPr>
        <w:tblStyle w:val="TableGrid"/>
        <w:bidiVisual/>
        <w:tblW w:w="0" w:type="auto"/>
        <w:tblLook w:val="04A0" w:firstRow="1" w:lastRow="0" w:firstColumn="1" w:lastColumn="0" w:noHBand="0" w:noVBand="1"/>
      </w:tblPr>
      <w:tblGrid>
        <w:gridCol w:w="4006"/>
        <w:gridCol w:w="4006"/>
      </w:tblGrid>
      <w:tr w:rsidR="00C0049F" w:rsidTr="00C0049F">
        <w:tc>
          <w:tcPr>
            <w:tcW w:w="4006" w:type="dxa"/>
          </w:tcPr>
          <w:p w:rsidR="00C0049F" w:rsidRDefault="00C0049F" w:rsidP="004A4E41">
            <w:pPr>
              <w:pStyle w:val="libFootnote0"/>
              <w:rPr>
                <w:rtl/>
              </w:rPr>
            </w:pPr>
            <w:r>
              <w:rPr>
                <w:rtl/>
              </w:rPr>
              <w:t>(8).</w:t>
            </w:r>
            <w:r w:rsidRPr="00C9040A">
              <w:rPr>
                <w:rtl/>
              </w:rPr>
              <w:t xml:space="preserve"> يوسف </w:t>
            </w:r>
            <w:r>
              <w:rPr>
                <w:rtl/>
              </w:rPr>
              <w:t>(12)</w:t>
            </w:r>
            <w:r w:rsidRPr="00C9040A">
              <w:rPr>
                <w:rtl/>
              </w:rPr>
              <w:t xml:space="preserve"> : 70.</w:t>
            </w:r>
          </w:p>
        </w:tc>
        <w:tc>
          <w:tcPr>
            <w:tcW w:w="4006" w:type="dxa"/>
          </w:tcPr>
          <w:p w:rsidR="00C0049F" w:rsidRDefault="00C0049F" w:rsidP="004A4E41">
            <w:pPr>
              <w:pStyle w:val="libFootnote0"/>
              <w:rPr>
                <w:rtl/>
              </w:rPr>
            </w:pPr>
            <w:r>
              <w:rPr>
                <w:rtl/>
              </w:rPr>
              <w:t>(9).</w:t>
            </w:r>
            <w:r w:rsidRPr="00C9040A">
              <w:rPr>
                <w:rtl/>
              </w:rPr>
              <w:t xml:space="preserve"> في حاشية « بف » : « قد سرقوا »</w:t>
            </w:r>
            <w:r>
              <w:rPr>
                <w:rtl/>
              </w:rPr>
              <w:t>.</w:t>
            </w:r>
          </w:p>
        </w:tc>
      </w:tr>
    </w:tbl>
    <w:p w:rsidR="008A74EB" w:rsidRPr="00C9040A" w:rsidRDefault="006C577F" w:rsidP="004A4E41">
      <w:pPr>
        <w:pStyle w:val="libFootnote0"/>
        <w:rPr>
          <w:rtl/>
          <w:lang w:bidi="fa-IR"/>
        </w:rPr>
      </w:pPr>
      <w:r>
        <w:rPr>
          <w:rtl/>
        </w:rPr>
        <w:t>(10).</w:t>
      </w:r>
      <w:r w:rsidR="008A74EB" w:rsidRPr="00C9040A">
        <w:rPr>
          <w:rtl/>
        </w:rPr>
        <w:t xml:space="preserve"> الصافّات (37) : 89.</w:t>
      </w:r>
    </w:p>
    <w:p w:rsidR="008A74EB" w:rsidRPr="00C9040A" w:rsidRDefault="006C577F" w:rsidP="004A4E41">
      <w:pPr>
        <w:pStyle w:val="libFootnote0"/>
        <w:rPr>
          <w:rtl/>
          <w:lang w:bidi="fa-IR"/>
        </w:rPr>
      </w:pPr>
      <w:r>
        <w:rPr>
          <w:rtl/>
        </w:rPr>
        <w:t>(11).</w:t>
      </w:r>
      <w:r w:rsidR="008A74EB" w:rsidRPr="00C9040A">
        <w:rPr>
          <w:rtl/>
        </w:rPr>
        <w:t xml:space="preserve"> </w:t>
      </w:r>
      <w:r w:rsidR="008A74EB" w:rsidRPr="00993B55">
        <w:rPr>
          <w:rStyle w:val="libFootnoteBoldChar"/>
          <w:rtl/>
        </w:rPr>
        <w:t>المحاسن</w:t>
      </w:r>
      <w:r w:rsidR="008A74EB" w:rsidRPr="00C9040A">
        <w:rPr>
          <w:rtl/>
        </w:rPr>
        <w:t xml:space="preserve"> ، ص 258 ، كتاب مصابيح الظلم ، ح 303. وفي </w:t>
      </w:r>
      <w:r w:rsidR="008A74EB" w:rsidRPr="00993B55">
        <w:rPr>
          <w:rStyle w:val="libFootnoteBoldChar"/>
          <w:rtl/>
        </w:rPr>
        <w:t>علل الشرائع</w:t>
      </w:r>
      <w:r w:rsidR="008A74EB" w:rsidRPr="00C9040A">
        <w:rPr>
          <w:rtl/>
        </w:rPr>
        <w:t xml:space="preserve"> ، ص 51 ، ح 2 ، بسنده عن عثمان بن عيسى. </w:t>
      </w:r>
      <w:r w:rsidR="008A74EB" w:rsidRPr="00993B55">
        <w:rPr>
          <w:rStyle w:val="libFootnoteBoldChar"/>
          <w:rtl/>
        </w:rPr>
        <w:t>تفسير العيّاشي</w:t>
      </w:r>
      <w:r w:rsidR="008A74EB" w:rsidRPr="00C9040A">
        <w:rPr>
          <w:rtl/>
        </w:rPr>
        <w:t xml:space="preserve"> ، ج 2 ، ص 184 ، ح 48 ، عن أبي‌بصير ، مع اختلاف يسير ، وفي الأخيرين إلى قوله : « والله ماكانوا سرقوا شيئاً »</w:t>
      </w:r>
      <w:r w:rsidR="008A74EB">
        <w:rPr>
          <w:rtl/>
        </w:rPr>
        <w:t>.</w:t>
      </w:r>
      <w:r w:rsidR="008A74EB" w:rsidRPr="00C9040A">
        <w:rPr>
          <w:rtl/>
        </w:rPr>
        <w:t xml:space="preserve"> راجع : </w:t>
      </w:r>
      <w:r w:rsidR="008A74EB" w:rsidRPr="00993B55">
        <w:rPr>
          <w:rStyle w:val="libFootnoteBoldChar"/>
          <w:rtl/>
        </w:rPr>
        <w:t>كتاب سليم بن قيس</w:t>
      </w:r>
      <w:r w:rsidR="008A74EB" w:rsidRPr="00C9040A">
        <w:rPr>
          <w:rtl/>
        </w:rPr>
        <w:t xml:space="preserve"> ، ص 702 ، ح 15 ؛ وص 895 ، ح 58 </w:t>
      </w:r>
      <w:r w:rsidR="00C0049F">
        <w:rPr>
          <w:rFonts w:hint="cs"/>
          <w:rtl/>
        </w:rPr>
        <w:t>.</w:t>
      </w:r>
      <w:r w:rsidR="008A74EB" w:rsidRPr="00993B55">
        <w:rPr>
          <w:rStyle w:val="libFootnoteBoldChar"/>
          <w:rtl/>
        </w:rPr>
        <w:t>الوافي</w:t>
      </w:r>
      <w:r w:rsidR="008A74EB" w:rsidRPr="00C9040A">
        <w:rPr>
          <w:rtl/>
        </w:rPr>
        <w:t xml:space="preserve"> ، ج 5 ، ص 686 ، ح 2880 ؛ </w:t>
      </w:r>
      <w:r w:rsidR="008A74EB" w:rsidRPr="00993B55">
        <w:rPr>
          <w:rStyle w:val="libFootnoteBoldChar"/>
          <w:rtl/>
        </w:rPr>
        <w:t>الوسائل</w:t>
      </w:r>
      <w:r w:rsidR="008A74EB" w:rsidRPr="00C9040A">
        <w:rPr>
          <w:rtl/>
        </w:rPr>
        <w:t xml:space="preserve"> ، ج 16 ، ص 215 ، ح 21395 ؛ </w:t>
      </w:r>
      <w:r w:rsidR="008A74EB" w:rsidRPr="00993B55">
        <w:rPr>
          <w:rStyle w:val="libFootnoteBoldChar"/>
          <w:rtl/>
        </w:rPr>
        <w:t>البحار</w:t>
      </w:r>
      <w:r w:rsidR="008A74EB" w:rsidRPr="00C9040A">
        <w:rPr>
          <w:rtl/>
        </w:rPr>
        <w:t xml:space="preserve"> ، ج 75 ، ص 425 ، ح 83.</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1A4FEC">
        <w:rPr>
          <w:rtl/>
        </w:rPr>
        <w:t>2244</w:t>
      </w:r>
      <w:r w:rsidRPr="00261CB0">
        <w:rPr>
          <w:rStyle w:val="libBold2Char"/>
          <w:rtl/>
        </w:rPr>
        <w:t xml:space="preserve"> / 4.</w:t>
      </w:r>
      <w:r w:rsidRPr="00C9040A">
        <w:rPr>
          <w:rtl/>
          <w:lang w:bidi="fa-IR"/>
        </w:rPr>
        <w:t xml:space="preserve"> مُحَمَّدُ بْنُ يَحْيى ، عَنْ أَحْمَدَ بْنِ مُحَمَّدِ بْنِ عِيسى ، عَنْ مُحَمَّدِ بْنِ خَالِدٍ وَالْحُسَيْنِ بْنِ سَعِيدٍ جَمِيعاً ، عَنِ النَّضْرِ بْنِ سُوَيْدٍ ، عَنْ يَحْيَى بْنِ عِمْرَانَ الْحَلَبِيِّ ، عَنْ حُسَيْنِ بْنِ أَبِي الْعَلَاءِ ، عَنْ حَبِيبِ بْنِ بِشْرٍ </w:t>
      </w:r>
      <w:r w:rsidR="006C577F" w:rsidRPr="006C577F">
        <w:rPr>
          <w:rStyle w:val="libFootnotenumChar"/>
          <w:rtl/>
        </w:rPr>
        <w:t>(1)</w:t>
      </w:r>
      <w:r w:rsidRPr="00C9040A">
        <w:rPr>
          <w:rtl/>
          <w:lang w:bidi="fa-IR"/>
        </w:rPr>
        <w:t xml:space="preserve"> ، قَالَ :</w:t>
      </w:r>
    </w:p>
    <w:p w:rsidR="008A74EB" w:rsidRPr="00C9040A" w:rsidRDefault="008A74EB" w:rsidP="008A74EB">
      <w:pPr>
        <w:pStyle w:val="libNormal"/>
        <w:rPr>
          <w:rtl/>
          <w:lang w:bidi="fa-IR"/>
        </w:rPr>
      </w:pPr>
      <w:r w:rsidRPr="00C9040A">
        <w:rPr>
          <w:rtl/>
          <w:lang w:bidi="fa-IR"/>
        </w:rPr>
        <w:t xml:space="preserve">قَالَ </w:t>
      </w:r>
      <w:r w:rsidR="006C577F" w:rsidRPr="006C577F">
        <w:rPr>
          <w:rStyle w:val="libFootnotenumChar"/>
          <w:rtl/>
        </w:rPr>
        <w:t>(2)</w:t>
      </w:r>
      <w:r w:rsidRPr="00C9040A">
        <w:rPr>
          <w:rtl/>
          <w:lang w:bidi="fa-IR"/>
        </w:rPr>
        <w:t xml:space="preserve"> أَبُو عَبْدِ اللهِ </w:t>
      </w:r>
      <w:r w:rsidRPr="0003660B">
        <w:rPr>
          <w:rStyle w:val="libAlaemChar"/>
          <w:rtl/>
        </w:rPr>
        <w:t>عليه‌السلام</w:t>
      </w:r>
      <w:r w:rsidRPr="00C9040A">
        <w:rPr>
          <w:rtl/>
          <w:lang w:bidi="fa-IR"/>
        </w:rPr>
        <w:t xml:space="preserve"> : « سَمِعْتُ أَبِي </w:t>
      </w:r>
      <w:r w:rsidRPr="0003660B">
        <w:rPr>
          <w:rStyle w:val="libAlaemChar"/>
          <w:rtl/>
        </w:rPr>
        <w:t>عليه‌السلام</w:t>
      </w:r>
      <w:r w:rsidRPr="00C9040A">
        <w:rPr>
          <w:rtl/>
          <w:lang w:bidi="fa-IR"/>
        </w:rPr>
        <w:t xml:space="preserve"> يَقُولُ : لَاوَاللهِ ، مَا عَلى وَجْهِ </w:t>
      </w:r>
      <w:r w:rsidR="006C577F" w:rsidRPr="006C577F">
        <w:rPr>
          <w:rStyle w:val="libFootnotenumChar"/>
          <w:rtl/>
        </w:rPr>
        <w:t>(3)</w:t>
      </w:r>
      <w:r w:rsidRPr="00C9040A">
        <w:rPr>
          <w:rtl/>
          <w:lang w:bidi="fa-IR"/>
        </w:rPr>
        <w:t xml:space="preserve"> الْأَرْضِ شَيْ‌ءٌ أَحَبَّ إِلَيَّ مِنَ التَّقِيَّةِ </w:t>
      </w:r>
      <w:r w:rsidR="006C577F" w:rsidRPr="006C577F">
        <w:rPr>
          <w:rStyle w:val="libFootnotenumChar"/>
          <w:rtl/>
        </w:rPr>
        <w:t>(4)</w:t>
      </w:r>
      <w:r w:rsidRPr="00C9040A">
        <w:rPr>
          <w:rtl/>
          <w:lang w:bidi="fa-IR"/>
        </w:rPr>
        <w:t xml:space="preserve"> ؛ يَا حَبِيبُ </w:t>
      </w:r>
      <w:r w:rsidR="006C577F" w:rsidRPr="006C577F">
        <w:rPr>
          <w:rStyle w:val="libFootnotenumChar"/>
          <w:rtl/>
        </w:rPr>
        <w:t>(5)</w:t>
      </w:r>
      <w:r w:rsidRPr="00C9040A">
        <w:rPr>
          <w:rtl/>
          <w:lang w:bidi="fa-IR"/>
        </w:rPr>
        <w:t xml:space="preserve"> ، إِنَّهُ مَنْ كَانَتْ لَهُ تَقِيَّةٌ رَفَعَهُ اللهُ ؛ يَا حَبِيبُ ، مَنْ </w:t>
      </w:r>
      <w:r w:rsidR="006C577F" w:rsidRPr="006C577F">
        <w:rPr>
          <w:rStyle w:val="libFootnotenumChar"/>
          <w:rtl/>
        </w:rPr>
        <w:t>(6)</w:t>
      </w:r>
      <w:r w:rsidRPr="005B567D">
        <w:rPr>
          <w:rStyle w:val="libFootnotenumChar"/>
          <w:rtl/>
        </w:rPr>
        <w:t xml:space="preserve"> </w:t>
      </w:r>
      <w:r w:rsidRPr="00C9040A">
        <w:rPr>
          <w:rtl/>
          <w:lang w:bidi="fa-IR"/>
        </w:rPr>
        <w:t xml:space="preserve">لَمْ تَكُنْ </w:t>
      </w:r>
      <w:r w:rsidR="006C577F" w:rsidRPr="006C577F">
        <w:rPr>
          <w:rStyle w:val="libFootnotenumChar"/>
          <w:rtl/>
        </w:rPr>
        <w:t>(7)</w:t>
      </w:r>
      <w:r w:rsidRPr="00C9040A">
        <w:rPr>
          <w:rtl/>
          <w:lang w:bidi="fa-IR"/>
        </w:rPr>
        <w:t xml:space="preserve"> لَهُ تَقِيَّةٌ وَضَعَهُ اللهُ ؛ يَا حَبِيبُ ، إِنَّ النَّاسَ إِنَّمَا </w:t>
      </w:r>
      <w:r w:rsidR="006C577F" w:rsidRPr="006C577F">
        <w:rPr>
          <w:rStyle w:val="libFootnotenumChar"/>
          <w:rtl/>
        </w:rPr>
        <w:t>(8)</w:t>
      </w:r>
      <w:r w:rsidRPr="00C9040A">
        <w:rPr>
          <w:rtl/>
          <w:lang w:bidi="fa-IR"/>
        </w:rPr>
        <w:t xml:space="preserve"> هُمْ فِي هُدْنَةٍ ، فَلَوْ قَدْ كَانَ ذلِكَ </w:t>
      </w:r>
      <w:r w:rsidR="006C577F" w:rsidRPr="006C577F">
        <w:rPr>
          <w:rStyle w:val="libFootnotenumChar"/>
          <w:rtl/>
        </w:rPr>
        <w:t>(9)</w:t>
      </w:r>
      <w:r w:rsidRPr="00C9040A">
        <w:rPr>
          <w:rtl/>
          <w:lang w:bidi="fa-IR"/>
        </w:rPr>
        <w:t xml:space="preserve"> ، كَانَ هذَا </w:t>
      </w:r>
      <w:r w:rsidR="006C577F" w:rsidRPr="006C577F">
        <w:rPr>
          <w:rStyle w:val="libFootnotenumChar"/>
          <w:rtl/>
        </w:rPr>
        <w:t>(10)</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(11)</w:t>
      </w:r>
      <w:r w:rsidRPr="00C9040A">
        <w:rPr>
          <w:rtl/>
          <w:lang w:bidi="fa-IR"/>
        </w:rPr>
        <w:t xml:space="preserve"> ‌</w:t>
      </w:r>
    </w:p>
    <w:p w:rsidR="008A74EB" w:rsidRPr="00C9040A" w:rsidRDefault="008A74EB" w:rsidP="008A74EB">
      <w:pPr>
        <w:pStyle w:val="libNormal"/>
        <w:rPr>
          <w:rtl/>
          <w:lang w:bidi="fa-IR"/>
        </w:rPr>
      </w:pPr>
      <w:r w:rsidRPr="001A4FEC">
        <w:rPr>
          <w:rtl/>
        </w:rPr>
        <w:t>2245</w:t>
      </w:r>
      <w:r w:rsidRPr="00261CB0">
        <w:rPr>
          <w:rStyle w:val="libBold2Char"/>
          <w:rtl/>
        </w:rPr>
        <w:t xml:space="preserve"> / 5.</w:t>
      </w:r>
      <w:r w:rsidRPr="00C9040A">
        <w:rPr>
          <w:rtl/>
          <w:lang w:bidi="fa-IR"/>
        </w:rPr>
        <w:t xml:space="preserve"> أَبُو عَلِيٍّ الْأَشْعَرِيُّ ، عَنِ الْحَسَنِ بْنِ عَلِيٍّ الْكُوفِيِّ ، عَنِ الْعَبَّاسِ بْنِ عَامِرٍ ، عَنْ جَابِرٍ الْمَكْفُوفِ ، عَنْ عَبْدِ اللهِ بْنِ أَبِي يَعْفُورٍ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اتَّقُوا </w:t>
      </w:r>
      <w:r w:rsidR="006C577F" w:rsidRPr="006C577F">
        <w:rPr>
          <w:rStyle w:val="libFootnotenumChar"/>
          <w:rtl/>
        </w:rPr>
        <w:t>(12)</w:t>
      </w:r>
      <w:r w:rsidRPr="00C9040A">
        <w:rPr>
          <w:rtl/>
          <w:lang w:bidi="fa-IR"/>
        </w:rPr>
        <w:t xml:space="preserve"> عَلى دِينِكُمْ ، فَاحْجُبُوهُ </w:t>
      </w:r>
      <w:r w:rsidRPr="005B567D">
        <w:rPr>
          <w:rStyle w:val="libFootnotenumChar"/>
          <w:rtl/>
        </w:rPr>
        <w:t>(13)</w:t>
      </w:r>
      <w:r w:rsidRPr="00C9040A">
        <w:rPr>
          <w:rtl/>
          <w:lang w:bidi="fa-IR"/>
        </w:rPr>
        <w:t xml:space="preserve"> بِالتَّقِيَّةِ ، فَإِنَّهُ‌</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ج ، ز ، ص ، ف » وحاشية « ب ، د » والوسائل والمحاسن : « بشير »</w:t>
      </w:r>
      <w:r w:rsidR="008A74EB">
        <w:rPr>
          <w:rtl/>
        </w:rPr>
        <w:t>.</w:t>
      </w:r>
    </w:p>
    <w:tbl>
      <w:tblPr>
        <w:tblStyle w:val="TableGrid"/>
        <w:bidiVisual/>
        <w:tblW w:w="0" w:type="auto"/>
        <w:tblLook w:val="04A0" w:firstRow="1" w:lastRow="0" w:firstColumn="1" w:lastColumn="0" w:noHBand="0" w:noVBand="1"/>
      </w:tblPr>
      <w:tblGrid>
        <w:gridCol w:w="4006"/>
        <w:gridCol w:w="4006"/>
      </w:tblGrid>
      <w:tr w:rsidR="00C0049F" w:rsidTr="00C0049F">
        <w:tc>
          <w:tcPr>
            <w:tcW w:w="4006" w:type="dxa"/>
          </w:tcPr>
          <w:p w:rsidR="00C0049F" w:rsidRDefault="00C0049F" w:rsidP="004A4E41">
            <w:pPr>
              <w:pStyle w:val="libFootnote0"/>
              <w:rPr>
                <w:rtl/>
              </w:rPr>
            </w:pPr>
            <w:r>
              <w:rPr>
                <w:rtl/>
              </w:rPr>
              <w:t>(2). في «</w:t>
            </w:r>
            <w:r w:rsidRPr="00C9040A">
              <w:rPr>
                <w:rtl/>
              </w:rPr>
              <w:t xml:space="preserve">ج » </w:t>
            </w:r>
            <w:r>
              <w:rPr>
                <w:rtl/>
              </w:rPr>
              <w:t>: -</w:t>
            </w:r>
            <w:r w:rsidRPr="00C9040A">
              <w:rPr>
                <w:rtl/>
              </w:rPr>
              <w:t xml:space="preserve"> « قال »</w:t>
            </w:r>
            <w:r>
              <w:rPr>
                <w:rtl/>
              </w:rPr>
              <w:t>.</w:t>
            </w:r>
            <w:r w:rsidRPr="00C9040A">
              <w:rPr>
                <w:rtl/>
              </w:rPr>
              <w:t xml:space="preserve"> وفي المحاسن : + « لي »</w:t>
            </w:r>
            <w:r>
              <w:rPr>
                <w:rtl/>
              </w:rPr>
              <w:t>.</w:t>
            </w:r>
          </w:p>
        </w:tc>
        <w:tc>
          <w:tcPr>
            <w:tcW w:w="4006" w:type="dxa"/>
          </w:tcPr>
          <w:p w:rsidR="00C0049F" w:rsidRDefault="00C0049F" w:rsidP="004A4E41">
            <w:pPr>
              <w:pStyle w:val="libFootnote0"/>
              <w:rPr>
                <w:rtl/>
              </w:rPr>
            </w:pPr>
            <w:r>
              <w:rPr>
                <w:rtl/>
              </w:rPr>
              <w:t>(3).</w:t>
            </w:r>
            <w:r w:rsidRPr="00C9040A">
              <w:rPr>
                <w:rtl/>
              </w:rPr>
              <w:t xml:space="preserve"> في المحاسن </w:t>
            </w:r>
            <w:r>
              <w:rPr>
                <w:rtl/>
              </w:rPr>
              <w:t>: -</w:t>
            </w:r>
            <w:r w:rsidRPr="00C9040A">
              <w:rPr>
                <w:rtl/>
              </w:rPr>
              <w:t xml:space="preserve"> « وجه »</w:t>
            </w:r>
            <w:r>
              <w:rPr>
                <w:rtl/>
              </w:rPr>
              <w:t>.</w:t>
            </w:r>
          </w:p>
        </w:tc>
      </w:tr>
      <w:tr w:rsidR="00C0049F" w:rsidTr="00C0049F">
        <w:tc>
          <w:tcPr>
            <w:tcW w:w="4006" w:type="dxa"/>
          </w:tcPr>
          <w:p w:rsidR="00C0049F" w:rsidRDefault="00C0049F" w:rsidP="004A4E41">
            <w:pPr>
              <w:pStyle w:val="libFootnote0"/>
              <w:rPr>
                <w:rtl/>
              </w:rPr>
            </w:pPr>
            <w:r>
              <w:rPr>
                <w:rtl/>
              </w:rPr>
              <w:t>(4).</w:t>
            </w:r>
            <w:r w:rsidRPr="00C9040A">
              <w:rPr>
                <w:rtl/>
              </w:rPr>
              <w:t xml:space="preserve"> في « </w:t>
            </w:r>
            <w:r>
              <w:rPr>
                <w:rtl/>
              </w:rPr>
              <w:t xml:space="preserve">ه </w:t>
            </w:r>
            <w:r w:rsidRPr="00C9040A">
              <w:rPr>
                <w:rtl/>
              </w:rPr>
              <w:t>» : « تقيّة »</w:t>
            </w:r>
            <w:r>
              <w:rPr>
                <w:rtl/>
              </w:rPr>
              <w:t>.</w:t>
            </w:r>
          </w:p>
        </w:tc>
        <w:tc>
          <w:tcPr>
            <w:tcW w:w="4006" w:type="dxa"/>
          </w:tcPr>
          <w:p w:rsidR="00C0049F" w:rsidRDefault="00C0049F" w:rsidP="004A4E41">
            <w:pPr>
              <w:pStyle w:val="libFootnote0"/>
              <w:rPr>
                <w:rtl/>
              </w:rPr>
            </w:pPr>
            <w:r>
              <w:rPr>
                <w:rtl/>
              </w:rPr>
              <w:t>(5).</w:t>
            </w:r>
            <w:r w:rsidRPr="00C9040A">
              <w:rPr>
                <w:rtl/>
              </w:rPr>
              <w:t xml:space="preserve"> في « ض ، </w:t>
            </w:r>
            <w:r>
              <w:rPr>
                <w:rtl/>
              </w:rPr>
              <w:t xml:space="preserve">ه </w:t>
            </w:r>
            <w:r w:rsidRPr="00C9040A">
              <w:rPr>
                <w:rtl/>
              </w:rPr>
              <w:t>» : + « بن بشر »</w:t>
            </w:r>
            <w:r>
              <w:rPr>
                <w:rtl/>
              </w:rPr>
              <w:t>.</w:t>
            </w:r>
          </w:p>
        </w:tc>
      </w:tr>
      <w:tr w:rsidR="00C0049F" w:rsidTr="00C0049F">
        <w:tc>
          <w:tcPr>
            <w:tcW w:w="4006" w:type="dxa"/>
          </w:tcPr>
          <w:p w:rsidR="00C0049F" w:rsidRDefault="00C0049F" w:rsidP="004A4E41">
            <w:pPr>
              <w:pStyle w:val="libFootnote0"/>
              <w:rPr>
                <w:rtl/>
              </w:rPr>
            </w:pPr>
            <w:r>
              <w:rPr>
                <w:rtl/>
              </w:rPr>
              <w:t xml:space="preserve">(6). </w:t>
            </w:r>
            <w:r w:rsidRPr="00C9040A">
              <w:rPr>
                <w:rtl/>
              </w:rPr>
              <w:t xml:space="preserve">في « </w:t>
            </w:r>
            <w:r>
              <w:rPr>
                <w:rtl/>
              </w:rPr>
              <w:t xml:space="preserve">ه </w:t>
            </w:r>
            <w:r w:rsidRPr="00C9040A">
              <w:rPr>
                <w:rtl/>
              </w:rPr>
              <w:t>، بر ، بف » : « ومن »</w:t>
            </w:r>
            <w:r>
              <w:rPr>
                <w:rtl/>
              </w:rPr>
              <w:t>.</w:t>
            </w:r>
          </w:p>
        </w:tc>
        <w:tc>
          <w:tcPr>
            <w:tcW w:w="4006" w:type="dxa"/>
          </w:tcPr>
          <w:p w:rsidR="00C0049F" w:rsidRDefault="00C0049F" w:rsidP="00C0049F">
            <w:pPr>
              <w:pStyle w:val="libFootnote0"/>
              <w:rPr>
                <w:rtl/>
              </w:rPr>
            </w:pPr>
            <w:r>
              <w:rPr>
                <w:rtl/>
              </w:rPr>
              <w:t>(7).في«ز،ص،ف،بس» والبحار والمحاسن : «لم يكن</w:t>
            </w:r>
            <w:r w:rsidRPr="00C9040A">
              <w:rPr>
                <w:rtl/>
              </w:rPr>
              <w:t>»</w:t>
            </w:r>
            <w:r>
              <w:rPr>
                <w:rtl/>
              </w:rPr>
              <w:t>.</w:t>
            </w:r>
          </w:p>
        </w:tc>
      </w:tr>
    </w:tbl>
    <w:p w:rsidR="008A74EB" w:rsidRPr="00C9040A" w:rsidRDefault="006C577F" w:rsidP="004A4E41">
      <w:pPr>
        <w:pStyle w:val="libFootnote0"/>
        <w:rPr>
          <w:rtl/>
          <w:lang w:bidi="fa-IR"/>
        </w:rPr>
      </w:pPr>
      <w:r>
        <w:rPr>
          <w:rtl/>
        </w:rPr>
        <w:t>(8).</w:t>
      </w:r>
      <w:r w:rsidR="008A74EB" w:rsidRPr="00C9040A">
        <w:rPr>
          <w:rtl/>
        </w:rPr>
        <w:t xml:space="preserve"> في المحاسن : « إنّما الناس » بدل « إنّ الناس إنّما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بر ، بف » والوافي : « ذاك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w:t>
      </w:r>
      <w:r w:rsidR="008A74EB" w:rsidRPr="00993B55">
        <w:rPr>
          <w:rStyle w:val="libFootnoteBoldChar"/>
          <w:rtl/>
        </w:rPr>
        <w:t>الوافي</w:t>
      </w:r>
      <w:r w:rsidR="008A74EB" w:rsidRPr="00C9040A">
        <w:rPr>
          <w:rtl/>
        </w:rPr>
        <w:t xml:space="preserve"> : « يعني أنّ مخالفينا اليوم في هدنة وصلح ومسالمة معنا لايريدون قتالنا والحرب معنا ، ولهذا نعمل معهم بالتقيّة. فلو كان ذاك ، يعني لو كان في زمن أميرالمؤمنين والحسين بن عليّ </w:t>
      </w:r>
      <w:r w:rsidR="00117575" w:rsidRPr="00117575">
        <w:rPr>
          <w:rStyle w:val="libFootnoteAlaemChar"/>
          <w:rtl/>
        </w:rPr>
        <w:t>عليهما‌السلام</w:t>
      </w:r>
      <w:r w:rsidR="008A74EB" w:rsidRPr="00C9040A">
        <w:rPr>
          <w:rtl/>
        </w:rPr>
        <w:t xml:space="preserve"> أيضاً الهدنة ، لكانت التقيّة ، فإنّ التقيّة واجبة ما أمكنت ؛ فإذا لم تمكن جاز تركها لمكان الضرورة. وفي بعض النسخ : هكذا ، بدل هذا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 فلو قد كان ذلك ، أي ظهور القائم </w:t>
      </w:r>
      <w:r w:rsidR="00117575" w:rsidRPr="00117575">
        <w:rPr>
          <w:rStyle w:val="libFootnoteAlaemChar"/>
          <w:rtl/>
        </w:rPr>
        <w:t>عليه‌السلام</w:t>
      </w:r>
      <w:r w:rsidR="008A74EB" w:rsidRPr="00C9040A">
        <w:rPr>
          <w:rtl/>
        </w:rPr>
        <w:t xml:space="preserve"> والأمر بالجهاد معهم ومعارضتهم ، كان هذا ، أي ترك التقيّة الذي هو محبوبكم ومطلوبكم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w:t>
      </w:r>
      <w:r w:rsidR="008A74EB" w:rsidRPr="00993B55">
        <w:rPr>
          <w:rStyle w:val="libFootnoteBoldChar"/>
          <w:rtl/>
        </w:rPr>
        <w:t>المحاسن</w:t>
      </w:r>
      <w:r w:rsidR="008A74EB" w:rsidRPr="00C9040A">
        <w:rPr>
          <w:rtl/>
        </w:rPr>
        <w:t xml:space="preserve"> ، ص 256 ، كتاب مصابيح الظلم ، ح 294 ، عن أبيه ، عن النضر بن سويد </w:t>
      </w:r>
      <w:r w:rsidR="00C0049F">
        <w:rPr>
          <w:rFonts w:hint="cs"/>
          <w:rtl/>
        </w:rPr>
        <w:t>.</w:t>
      </w:r>
      <w:r w:rsidR="008A74EB" w:rsidRPr="00993B55">
        <w:rPr>
          <w:rStyle w:val="libFootnoteBoldChar"/>
          <w:rtl/>
        </w:rPr>
        <w:t>الوافي</w:t>
      </w:r>
      <w:r w:rsidR="008A74EB" w:rsidRPr="00C9040A">
        <w:rPr>
          <w:rtl/>
        </w:rPr>
        <w:t xml:space="preserve"> ، ج 5 ، ص 686 ، ح 2881 ؛ </w:t>
      </w:r>
      <w:r w:rsidR="008A74EB" w:rsidRPr="00993B55">
        <w:rPr>
          <w:rStyle w:val="libFootnoteBoldChar"/>
          <w:rtl/>
        </w:rPr>
        <w:t>الوسائل</w:t>
      </w:r>
      <w:r w:rsidR="008A74EB" w:rsidRPr="00C9040A">
        <w:rPr>
          <w:rtl/>
        </w:rPr>
        <w:t xml:space="preserve"> ، ج 16 ، ص 205 ، ح 21364 ؛ </w:t>
      </w:r>
      <w:r w:rsidR="008A74EB" w:rsidRPr="00993B55">
        <w:rPr>
          <w:rStyle w:val="libFootnoteBoldChar"/>
          <w:rtl/>
        </w:rPr>
        <w:t>البحار</w:t>
      </w:r>
      <w:r w:rsidR="008A74EB" w:rsidRPr="00C9040A">
        <w:rPr>
          <w:rtl/>
        </w:rPr>
        <w:t xml:space="preserve"> ، ج 75 ، ص 426 ، ح 84.</w:t>
      </w:r>
    </w:p>
    <w:p w:rsidR="008A74EB" w:rsidRPr="00C9040A" w:rsidRDefault="006C577F" w:rsidP="004A4E41">
      <w:pPr>
        <w:pStyle w:val="libFootnote0"/>
        <w:rPr>
          <w:rtl/>
          <w:lang w:bidi="fa-IR"/>
        </w:rPr>
      </w:pPr>
      <w:r>
        <w:rPr>
          <w:rtl/>
        </w:rPr>
        <w:t>(12).</w:t>
      </w:r>
      <w:r w:rsidR="008A74EB" w:rsidRPr="00C9040A">
        <w:rPr>
          <w:rtl/>
        </w:rPr>
        <w:t xml:space="preserve"> في « ف » : + « الله »</w:t>
      </w:r>
      <w:r w:rsidR="008A74EB">
        <w:rPr>
          <w:rtl/>
        </w:rPr>
        <w:t>.</w:t>
      </w:r>
    </w:p>
    <w:p w:rsidR="008A74EB" w:rsidRPr="00C9040A" w:rsidRDefault="008A74EB" w:rsidP="004A4E41">
      <w:pPr>
        <w:pStyle w:val="libFootnote0"/>
        <w:rPr>
          <w:rtl/>
          <w:lang w:bidi="fa-IR"/>
        </w:rPr>
      </w:pPr>
      <w:r>
        <w:rPr>
          <w:rtl/>
        </w:rPr>
        <w:t>(13)</w:t>
      </w:r>
      <w:r w:rsidRPr="00C9040A">
        <w:rPr>
          <w:rtl/>
        </w:rPr>
        <w:t xml:space="preserve"> في « د ، ز ، ص ، ف ، بر ، بس ، بف » والوافي والوسائل والبحار : « واحجبوه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لَا إِيمَانَ لِمَنْ لَاتَقِيَّةَ لَهُ ، إِنَّمَا أَنْتُمْ فِي النَّاسِ كَالنَّحْلِ فِي الطَّيْرِ ؛ لَوْ </w:t>
      </w:r>
      <w:r w:rsidR="006C577F" w:rsidRPr="006C577F">
        <w:rPr>
          <w:rStyle w:val="libFootnotenumChar"/>
          <w:rtl/>
        </w:rPr>
        <w:t>(1)</w:t>
      </w:r>
      <w:r w:rsidRPr="00C9040A">
        <w:rPr>
          <w:rtl/>
          <w:lang w:bidi="fa-IR"/>
        </w:rPr>
        <w:t xml:space="preserve"> أَنَّ الطَّيْرَ تَعْلَمُ </w:t>
      </w:r>
      <w:r w:rsidR="006C577F" w:rsidRPr="006C577F">
        <w:rPr>
          <w:rStyle w:val="libFootnotenumChar"/>
          <w:rtl/>
        </w:rPr>
        <w:t>(2)</w:t>
      </w:r>
      <w:r w:rsidRPr="00C9040A">
        <w:rPr>
          <w:rtl/>
          <w:lang w:bidi="fa-IR"/>
        </w:rPr>
        <w:t xml:space="preserve"> مَا فِي أَجْوَافِ النَّحْلِ ، مَا بَقِيَ مِنْهَا </w:t>
      </w:r>
      <w:r w:rsidR="006C577F" w:rsidRPr="006C577F">
        <w:rPr>
          <w:rStyle w:val="libFootnotenumChar"/>
          <w:rtl/>
        </w:rPr>
        <w:t>(3)</w:t>
      </w:r>
      <w:r w:rsidR="002662FE">
        <w:rPr>
          <w:rtl/>
          <w:lang w:bidi="fa-IR"/>
        </w:rPr>
        <w:t xml:space="preserve"> شَيْ‌ءٌ إِل</w:t>
      </w:r>
      <w:r w:rsidR="002662FE">
        <w:rPr>
          <w:rFonts w:hint="cs"/>
          <w:rtl/>
          <w:lang w:bidi="fa-IR"/>
        </w:rPr>
        <w:t>َّ</w:t>
      </w:r>
      <w:r w:rsidR="002662FE">
        <w:rPr>
          <w:rtl/>
          <w:lang w:bidi="fa-IR"/>
        </w:rPr>
        <w:t>ا</w:t>
      </w:r>
      <w:r w:rsidRPr="00C9040A">
        <w:rPr>
          <w:rtl/>
          <w:lang w:bidi="fa-IR"/>
        </w:rPr>
        <w:t xml:space="preserve"> أَكَلَتْهُ ؛ وَلَوْ أَنَّ النَّاسَ عَلِمُوا مَا فِي أَجْوَافِكُمْ</w:t>
      </w:r>
      <w:r>
        <w:rPr>
          <w:rtl/>
          <w:lang w:bidi="fa-IR"/>
        </w:rPr>
        <w:t xml:space="preserve"> </w:t>
      </w:r>
      <w:r w:rsidR="0084262C">
        <w:rPr>
          <w:rtl/>
          <w:lang w:bidi="fa-IR"/>
        </w:rPr>
        <w:t>-</w:t>
      </w:r>
      <w:r>
        <w:rPr>
          <w:rtl/>
          <w:lang w:bidi="fa-IR"/>
        </w:rPr>
        <w:t xml:space="preserve"> </w:t>
      </w:r>
      <w:r w:rsidRPr="00C9040A">
        <w:rPr>
          <w:rtl/>
          <w:lang w:bidi="fa-IR"/>
        </w:rPr>
        <w:t>أَنَّكُمْ تُحِبُّونَّا أَهْلَ الْبَيْتِ</w:t>
      </w:r>
      <w:r>
        <w:rPr>
          <w:rtl/>
          <w:lang w:bidi="fa-IR"/>
        </w:rPr>
        <w:t xml:space="preserve"> </w:t>
      </w:r>
      <w:r w:rsidR="0084262C">
        <w:rPr>
          <w:rtl/>
          <w:lang w:bidi="fa-IR"/>
        </w:rPr>
        <w:t>-</w:t>
      </w:r>
      <w:r>
        <w:rPr>
          <w:rtl/>
          <w:lang w:bidi="fa-IR"/>
        </w:rPr>
        <w:t xml:space="preserve"> </w:t>
      </w:r>
      <w:r w:rsidRPr="00C9040A">
        <w:rPr>
          <w:rtl/>
          <w:lang w:bidi="fa-IR"/>
        </w:rPr>
        <w:t xml:space="preserve">لَأَكَلُوكُمْ بِأَلْسِنَتِهِمْ ، وَلَنَحَلُوكُمْ </w:t>
      </w:r>
      <w:r w:rsidR="006C577F" w:rsidRPr="006C577F">
        <w:rPr>
          <w:rStyle w:val="libFootnotenumChar"/>
          <w:rtl/>
        </w:rPr>
        <w:t>(4)</w:t>
      </w:r>
      <w:r w:rsidRPr="00C9040A">
        <w:rPr>
          <w:rtl/>
          <w:lang w:bidi="fa-IR"/>
        </w:rPr>
        <w:t xml:space="preserve"> فِي السِّرِّ وَالْعَلَانِيَةِ ؛ رَحِمَ اللهُ عَبْداً مِنْكُمْ كَانَ عَلى وَلَايَتِنَا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1A4FEC">
        <w:rPr>
          <w:rtl/>
        </w:rPr>
        <w:t>2246</w:t>
      </w:r>
      <w:r w:rsidRPr="00261CB0">
        <w:rPr>
          <w:rStyle w:val="libBold2Char"/>
          <w:rtl/>
        </w:rPr>
        <w:t xml:space="preserve"> / 6.</w:t>
      </w:r>
      <w:r w:rsidRPr="00C9040A">
        <w:rPr>
          <w:rtl/>
          <w:lang w:bidi="fa-IR"/>
        </w:rPr>
        <w:t xml:space="preserve"> عَلِيُّ بْنُ إِبْرَاهِيمَ ، عَنْ أَبِيهِ ، عَنْ حَمَّادٍ ، عَنْ حَرِيزٍ ، عَمَّنْ أَخْبَرَهُ :</w:t>
      </w:r>
    </w:p>
    <w:p w:rsidR="008A74EB" w:rsidRPr="00C9040A" w:rsidRDefault="008A74EB" w:rsidP="002662FE">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فِي قَوْلِ اللهِ عَزَّ وَجَلَّ : </w:t>
      </w:r>
      <w:r w:rsidRPr="0003660B">
        <w:rPr>
          <w:rStyle w:val="libAlaemChar"/>
          <w:rtl/>
        </w:rPr>
        <w:t>(</w:t>
      </w:r>
      <w:r w:rsidRPr="006A2246">
        <w:rPr>
          <w:rStyle w:val="libAieChar"/>
          <w:rtl/>
        </w:rPr>
        <w:t xml:space="preserve"> وَلا تَسْتَوِي الْحَسَنَةُ وَلَا السَّيِّئَةُ </w:t>
      </w:r>
      <w:r w:rsidRPr="0003660B">
        <w:rPr>
          <w:rStyle w:val="libAlaemChar"/>
          <w:rtl/>
        </w:rPr>
        <w:t>)</w:t>
      </w:r>
      <w:r w:rsidRPr="00C9040A">
        <w:rPr>
          <w:rtl/>
          <w:lang w:bidi="fa-IR"/>
        </w:rPr>
        <w:t xml:space="preserve"> قَالَ :</w:t>
      </w:r>
      <w:r>
        <w:rPr>
          <w:rFonts w:hint="cs"/>
          <w:rtl/>
          <w:lang w:bidi="fa-IR"/>
        </w:rPr>
        <w:t xml:space="preserve"> </w:t>
      </w:r>
      <w:r w:rsidRPr="00C9040A">
        <w:rPr>
          <w:rtl/>
          <w:lang w:bidi="fa-IR"/>
        </w:rPr>
        <w:t>« الْحَسَنَةُ : التَّقِيَّةُ ، وَالسَّيِّئَةُ : الْإِذَاعَةُ »</w:t>
      </w:r>
      <w:r>
        <w:rPr>
          <w:rtl/>
          <w:lang w:bidi="fa-IR"/>
        </w:rPr>
        <w:t>.</w:t>
      </w:r>
      <w:r w:rsidRPr="00C9040A">
        <w:rPr>
          <w:rtl/>
          <w:lang w:bidi="fa-IR"/>
        </w:rPr>
        <w:t xml:space="preserve"> وَقَوْلِهِ عَزَّ وَجَلَّ : </w:t>
      </w:r>
      <w:r w:rsidRPr="0003660B">
        <w:rPr>
          <w:rStyle w:val="libAlaemChar"/>
          <w:rtl/>
        </w:rPr>
        <w:t>(</w:t>
      </w:r>
      <w:r w:rsidRPr="006A2246">
        <w:rPr>
          <w:rStyle w:val="libAieChar"/>
          <w:rtl/>
        </w:rPr>
        <w:t xml:space="preserve"> ادْفَعْ بِالَّتِي هِيَ أَحْسَنُ ( السَّيِّئَةَ</w:t>
      </w:r>
      <w:r w:rsidR="002662FE">
        <w:rPr>
          <w:rStyle w:val="libAieChar"/>
          <w:rFonts w:hint="cs"/>
          <w:rtl/>
        </w:rPr>
        <w:t>)</w:t>
      </w:r>
      <w:r w:rsidRPr="0003660B">
        <w:rPr>
          <w:rStyle w:val="libAlaemChar"/>
          <w:rtl/>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 xml:space="preserve">قَالَ : « الَّتِي </w:t>
      </w:r>
      <w:r w:rsidR="006C577F" w:rsidRPr="006C577F">
        <w:rPr>
          <w:rStyle w:val="libFootnotenumChar"/>
          <w:rtl/>
        </w:rPr>
        <w:t>(7)</w:t>
      </w:r>
      <w:r w:rsidRPr="00C9040A">
        <w:rPr>
          <w:rtl/>
          <w:lang w:bidi="fa-IR"/>
        </w:rPr>
        <w:t xml:space="preserve"> هِيَ أَحْسَنُ </w:t>
      </w:r>
      <w:r w:rsidR="006C577F" w:rsidRPr="006C577F">
        <w:rPr>
          <w:rStyle w:val="libFootnotenumChar"/>
          <w:rtl/>
        </w:rPr>
        <w:t>(8)</w:t>
      </w:r>
      <w:r w:rsidRPr="00C9040A">
        <w:rPr>
          <w:rtl/>
          <w:lang w:bidi="fa-IR"/>
        </w:rPr>
        <w:t xml:space="preserve"> : التَّقِيَّةُ ، </w:t>
      </w:r>
      <w:r w:rsidRPr="0003660B">
        <w:rPr>
          <w:rStyle w:val="libAlaemChar"/>
          <w:rtl/>
        </w:rPr>
        <w:t>(</w:t>
      </w:r>
      <w:r w:rsidRPr="006A2246">
        <w:rPr>
          <w:rStyle w:val="libAieChar"/>
          <w:rtl/>
        </w:rPr>
        <w:t xml:space="preserve"> فَإِذَا الَّذِي بَيْنَكَ وَبَيْنَهُ عَداوَةٌ كَأَنَّهُ وَلِيٌّ حَمِيمٌ </w:t>
      </w:r>
      <w:r w:rsidRPr="0003660B">
        <w:rPr>
          <w:rStyle w:val="libAlaemChar"/>
          <w:rtl/>
        </w:rPr>
        <w:t>)</w:t>
      </w:r>
      <w:r w:rsidRPr="00C9040A">
        <w:rPr>
          <w:rtl/>
          <w:lang w:bidi="fa-IR"/>
        </w:rPr>
        <w:t xml:space="preserve"> </w:t>
      </w:r>
      <w:r w:rsidR="006C577F" w:rsidRPr="006C577F">
        <w:rPr>
          <w:rStyle w:val="libFootnotenumChar"/>
          <w:rtl/>
        </w:rPr>
        <w:t>(9)</w:t>
      </w:r>
      <w:r w:rsidRPr="00C9040A">
        <w:rPr>
          <w:rtl/>
          <w:lang w:bidi="fa-IR"/>
        </w:rPr>
        <w:t>»</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الوسائل : « ولو »</w:t>
      </w:r>
      <w:r w:rsidR="008A74EB">
        <w:rPr>
          <w:rtl/>
        </w:rPr>
        <w:t>.</w:t>
      </w:r>
    </w:p>
    <w:p w:rsidR="008A74EB" w:rsidRPr="00C9040A" w:rsidRDefault="006C577F" w:rsidP="002662FE">
      <w:pPr>
        <w:pStyle w:val="libFootnote0"/>
        <w:rPr>
          <w:rtl/>
          <w:lang w:bidi="fa-IR"/>
        </w:rPr>
      </w:pPr>
      <w:r>
        <w:rPr>
          <w:rtl/>
        </w:rPr>
        <w:t>(2).</w:t>
      </w:r>
      <w:r w:rsidR="008A74EB">
        <w:rPr>
          <w:rtl/>
        </w:rPr>
        <w:t xml:space="preserve"> </w:t>
      </w:r>
      <w:r w:rsidR="008A74EB" w:rsidRPr="00C9040A">
        <w:rPr>
          <w:rtl/>
        </w:rPr>
        <w:t xml:space="preserve">في « ب ، ج ، د ، ز ، ص ، ض ، ف ، </w:t>
      </w:r>
      <w:r w:rsidR="006D3162">
        <w:rPr>
          <w:rtl/>
        </w:rPr>
        <w:t xml:space="preserve">ه </w:t>
      </w:r>
      <w:r w:rsidR="008A74EB" w:rsidRPr="00C9040A">
        <w:rPr>
          <w:rtl/>
        </w:rPr>
        <w:t>، بر ، بف » والوسائل والبحار : « يعلم »</w:t>
      </w:r>
      <w:r w:rsidR="008A74EB">
        <w:rPr>
          <w:rtl/>
        </w:rPr>
        <w:t>.</w:t>
      </w:r>
      <w:r w:rsidR="008A74EB" w:rsidRPr="00C9040A">
        <w:rPr>
          <w:rtl/>
        </w:rPr>
        <w:t xml:space="preserve"> وفي حاشية « بف » : « لو علم الطير » بدل « لو أنّ الطير تعلم »</w:t>
      </w:r>
      <w:r w:rsidR="008A74EB">
        <w:rPr>
          <w:rtl/>
        </w:rPr>
        <w:t>.</w:t>
      </w:r>
      <w:r w:rsidR="002662FE">
        <w:rPr>
          <w:rFonts w:hint="cs"/>
          <w:rtl/>
        </w:rPr>
        <w:t xml:space="preserve">            </w:t>
      </w:r>
      <w:r>
        <w:rPr>
          <w:rtl/>
        </w:rPr>
        <w:t>(3).</w:t>
      </w:r>
      <w:r w:rsidR="008A74EB" w:rsidRPr="00C9040A">
        <w:rPr>
          <w:rtl/>
        </w:rPr>
        <w:t xml:space="preserve"> في المحاسن : « فيها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ب » : « ولنجلوكم » أي</w:t>
      </w:r>
      <w:r w:rsidR="002662FE">
        <w:rPr>
          <w:rFonts w:hint="cs"/>
          <w:rtl/>
        </w:rPr>
        <w:t xml:space="preserve"> </w:t>
      </w:r>
      <w:r w:rsidR="008A74EB" w:rsidRPr="00C9040A">
        <w:rPr>
          <w:rtl/>
        </w:rPr>
        <w:t>‌ضربوكم بمقدّم رجلهم. وفي « بس » : « ولتحلوكم »</w:t>
      </w:r>
      <w:r w:rsidR="008A74EB">
        <w:rPr>
          <w:rtl/>
        </w:rPr>
        <w:t>.</w:t>
      </w:r>
      <w:r w:rsidR="008A74EB" w:rsidRPr="00C9040A">
        <w:rPr>
          <w:rtl/>
        </w:rPr>
        <w:t xml:space="preserve"> وفي حاشية « د » : « لتحملوكم »</w:t>
      </w:r>
      <w:r w:rsidR="008A74EB">
        <w:rPr>
          <w:rtl/>
        </w:rPr>
        <w:t>.</w:t>
      </w:r>
      <w:r w:rsidR="008A74EB" w:rsidRPr="00C9040A">
        <w:rPr>
          <w:rtl/>
        </w:rPr>
        <w:t xml:space="preserve"> وفي حاشية « ص » : « ليحملوكم »</w:t>
      </w:r>
      <w:r w:rsidR="008A74EB">
        <w:rPr>
          <w:rtl/>
        </w:rPr>
        <w:t>.</w:t>
      </w:r>
      <w:r w:rsidR="008A74EB" w:rsidRPr="00C9040A">
        <w:rPr>
          <w:rtl/>
        </w:rPr>
        <w:t xml:space="preserve"> ونحل فلان فلاناً ، أي</w:t>
      </w:r>
      <w:r w:rsidR="002662FE">
        <w:rPr>
          <w:rFonts w:hint="cs"/>
          <w:rtl/>
        </w:rPr>
        <w:t xml:space="preserve"> </w:t>
      </w:r>
      <w:r w:rsidR="008A74EB" w:rsidRPr="00C9040A">
        <w:rPr>
          <w:rtl/>
        </w:rPr>
        <w:t>‌سابّه ، فهو يَنْحَله ، أي‌</w:t>
      </w:r>
      <w:r w:rsidR="002662FE">
        <w:rPr>
          <w:rFonts w:hint="cs"/>
          <w:rtl/>
        </w:rPr>
        <w:t xml:space="preserve"> </w:t>
      </w:r>
      <w:r w:rsidR="008A74EB" w:rsidRPr="00C9040A">
        <w:rPr>
          <w:rtl/>
        </w:rPr>
        <w:t xml:space="preserve">يُسابّه. وتقول العرب : نَحلته القول أنْحَلُه نحْلاً : إذا أضفت إليه قولاً قاله غيره وادّعيته عليه. والنِّحلة : النسبة بالباطل. </w:t>
      </w:r>
      <w:r w:rsidR="008A74EB" w:rsidRPr="00993B55">
        <w:rPr>
          <w:rStyle w:val="libFootnoteBoldChar"/>
          <w:rtl/>
        </w:rPr>
        <w:t>ترتيب كتاب العين</w:t>
      </w:r>
      <w:r w:rsidR="008A74EB" w:rsidRPr="00C9040A">
        <w:rPr>
          <w:rtl/>
        </w:rPr>
        <w:t xml:space="preserve"> ، ج 3 ، ص 1767 ؛ </w:t>
      </w:r>
      <w:r w:rsidR="008A74EB" w:rsidRPr="00993B55">
        <w:rPr>
          <w:rStyle w:val="libFootnoteBoldChar"/>
          <w:rtl/>
        </w:rPr>
        <w:t>مجمع البحرين</w:t>
      </w:r>
      <w:r w:rsidR="008A74EB" w:rsidRPr="00C9040A">
        <w:rPr>
          <w:rtl/>
        </w:rPr>
        <w:t xml:space="preserve"> ، ج 5 ، ص 478 ( نحل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المحاسن</w:t>
      </w:r>
      <w:r w:rsidR="008A74EB" w:rsidRPr="00C9040A">
        <w:rPr>
          <w:rtl/>
        </w:rPr>
        <w:t xml:space="preserve"> ، ص 257 ، كتاب مصابيح الظلم ، ح 300 ، عن عدّة من أصحابنا النهديان وغيرهما ، عن عبّاس بن عامر القصبي. راجع : </w:t>
      </w:r>
      <w:r w:rsidR="008A74EB" w:rsidRPr="00993B55">
        <w:rPr>
          <w:rStyle w:val="libFootnoteBoldChar"/>
          <w:rtl/>
        </w:rPr>
        <w:t>الغيب</w:t>
      </w:r>
      <w:r w:rsidR="008A74EB" w:rsidRPr="002662FE">
        <w:rPr>
          <w:rStyle w:val="libFootnoteBoldChar"/>
          <w:rtl/>
        </w:rPr>
        <w:t>ة للنعماني</w:t>
      </w:r>
      <w:r w:rsidR="008A74EB" w:rsidRPr="00C9040A">
        <w:rPr>
          <w:rtl/>
        </w:rPr>
        <w:t xml:space="preserve"> ، ص 25 ؛ وص 209 ، ح 17 </w:t>
      </w:r>
      <w:r w:rsidR="002662FE">
        <w:rPr>
          <w:rFonts w:hint="cs"/>
          <w:rtl/>
        </w:rPr>
        <w:t>.</w:t>
      </w:r>
      <w:r w:rsidR="008A74EB" w:rsidRPr="00993B55">
        <w:rPr>
          <w:rStyle w:val="libFootnoteBoldChar"/>
          <w:rtl/>
        </w:rPr>
        <w:t>الوافي</w:t>
      </w:r>
      <w:r w:rsidR="008A74EB" w:rsidRPr="00C9040A">
        <w:rPr>
          <w:rtl/>
        </w:rPr>
        <w:t xml:space="preserve"> ، ج 5 ، ص 687 ، ح 2882 ؛ </w:t>
      </w:r>
      <w:r w:rsidR="008A74EB" w:rsidRPr="00993B55">
        <w:rPr>
          <w:rStyle w:val="libFootnoteBoldChar"/>
          <w:rtl/>
        </w:rPr>
        <w:t>الوسائل</w:t>
      </w:r>
      <w:r w:rsidR="008A74EB" w:rsidRPr="00C9040A">
        <w:rPr>
          <w:rtl/>
        </w:rPr>
        <w:t xml:space="preserve"> ، ج 16 ، ص 205 ، ح 21363 ؛ </w:t>
      </w:r>
      <w:r w:rsidR="008A74EB" w:rsidRPr="00993B55">
        <w:rPr>
          <w:rStyle w:val="libFootnoteBoldChar"/>
          <w:rtl/>
        </w:rPr>
        <w:t>البحار</w:t>
      </w:r>
      <w:r w:rsidR="008A74EB" w:rsidRPr="00C9040A">
        <w:rPr>
          <w:rtl/>
        </w:rPr>
        <w:t xml:space="preserve"> ، ج 24 ، ص 112 ، ح 4 ؛ وج 75 ، ص 426 ، ح 85.</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w:t>
      </w:r>
      <w:r w:rsidR="008A74EB" w:rsidRPr="00993B55">
        <w:rPr>
          <w:rStyle w:val="libFootnoteBoldChar"/>
          <w:rtl/>
        </w:rPr>
        <w:t>مرآة العقول</w:t>
      </w:r>
      <w:r w:rsidR="008A74EB" w:rsidRPr="00C9040A">
        <w:rPr>
          <w:rtl/>
        </w:rPr>
        <w:t xml:space="preserve"> ، ج 9 ، ص 171 : « وكأنّ الجمع بين أجزاء الآيات المختلفة من قبيل النقل بالمعنى وإرجاع‌</w:t>
      </w:r>
      <w:r w:rsidR="002662FE">
        <w:rPr>
          <w:rFonts w:hint="cs"/>
          <w:rtl/>
        </w:rPr>
        <w:t xml:space="preserve"> </w:t>
      </w:r>
      <w:r w:rsidR="008A74EB" w:rsidRPr="00C9040A">
        <w:rPr>
          <w:rtl/>
        </w:rPr>
        <w:t xml:space="preserve">بعضها إلى بعض ، فإنّ في سورة حم سجدة هكذا : </w:t>
      </w:r>
      <w:r w:rsidR="008A74EB" w:rsidRPr="00B120D5">
        <w:rPr>
          <w:rStyle w:val="libFootnoteAlaemChar"/>
          <w:rtl/>
        </w:rPr>
        <w:t>(</w:t>
      </w:r>
      <w:r w:rsidR="008A74EB" w:rsidRPr="00883DD5">
        <w:rPr>
          <w:rStyle w:val="libFootnoteAieChar"/>
          <w:rFonts w:hint="cs"/>
          <w:rtl/>
        </w:rPr>
        <w:t xml:space="preserve"> </w:t>
      </w:r>
      <w:r w:rsidR="008A74EB" w:rsidRPr="00883DD5">
        <w:rPr>
          <w:rStyle w:val="libFootnoteAieChar"/>
          <w:rtl/>
        </w:rPr>
        <w:t>وَل</w:t>
      </w:r>
      <w:r w:rsidR="002662FE">
        <w:rPr>
          <w:rStyle w:val="libFootnoteAieChar"/>
          <w:rFonts w:hint="cs"/>
          <w:rtl/>
        </w:rPr>
        <w:t>َ</w:t>
      </w:r>
      <w:r w:rsidR="008A74EB" w:rsidRPr="00883DD5">
        <w:rPr>
          <w:rStyle w:val="libFootnoteAieChar"/>
          <w:rtl/>
        </w:rPr>
        <w:t>ا تَسْتَوِي الْحَسَنَةُ وَلَا السَّيِّئَةُ ادْفَعْ بِالَّتِي هِيَ أَحْسَنُ فَإِذَا الَّذِي بَيْنَكَ وَبَيْنَهُ عَداوَةٌ كَأَنَّهُ وَلِيٌّ حَمِيمٌ</w:t>
      </w:r>
      <w:r w:rsidR="008A74EB" w:rsidRPr="00883DD5">
        <w:rPr>
          <w:rStyle w:val="libFootnoteAieChar"/>
          <w:rFonts w:hint="cs"/>
          <w:rtl/>
        </w:rPr>
        <w:t xml:space="preserve"> </w:t>
      </w:r>
      <w:r w:rsidR="008A74EB" w:rsidRPr="00B120D5">
        <w:rPr>
          <w:rStyle w:val="libFootnoteAlaemChar"/>
          <w:rtl/>
        </w:rPr>
        <w:t>)</w:t>
      </w:r>
      <w:r w:rsidR="008A74EB" w:rsidRPr="00C9040A">
        <w:rPr>
          <w:rtl/>
        </w:rPr>
        <w:t xml:space="preserve">. وفي سورة المؤمنون [ (23) : 96 ] : </w:t>
      </w:r>
      <w:r w:rsidR="008A74EB" w:rsidRPr="00B120D5">
        <w:rPr>
          <w:rStyle w:val="libFootnoteAlaemChar"/>
          <w:rtl/>
        </w:rPr>
        <w:t>(</w:t>
      </w:r>
      <w:r w:rsidR="008A74EB" w:rsidRPr="00883DD5">
        <w:rPr>
          <w:rStyle w:val="libFootnoteAieChar"/>
          <w:rFonts w:hint="cs"/>
          <w:rtl/>
        </w:rPr>
        <w:t xml:space="preserve"> </w:t>
      </w:r>
      <w:r w:rsidR="008A74EB" w:rsidRPr="00883DD5">
        <w:rPr>
          <w:rStyle w:val="libFootnoteAieChar"/>
          <w:rtl/>
        </w:rPr>
        <w:t>ادْفَعْ بِالَّتِي هِيَ أَحْسَنُ السَّيِّئَةَ نَحْنُ أَعْلَمُ بِما يَصِفُونَ</w:t>
      </w:r>
      <w:r w:rsidR="008A74EB" w:rsidRPr="00883DD5">
        <w:rPr>
          <w:rStyle w:val="libFootnoteAieChar"/>
          <w:rFonts w:hint="cs"/>
          <w:rtl/>
        </w:rPr>
        <w:t xml:space="preserve"> </w:t>
      </w:r>
      <w:r w:rsidR="008A74EB" w:rsidRPr="00B120D5">
        <w:rPr>
          <w:rStyle w:val="libFootnoteAlaemChar"/>
          <w:rtl/>
        </w:rPr>
        <w:t>)</w:t>
      </w:r>
      <w:r w:rsidR="008A74EB" w:rsidRPr="00C9040A">
        <w:rPr>
          <w:rtl/>
        </w:rPr>
        <w:t xml:space="preserve"> فإلحاق السيّئة في الآية الا</w:t>
      </w:r>
      <w:r w:rsidR="002662FE">
        <w:rPr>
          <w:rFonts w:hint="cs"/>
          <w:rtl/>
        </w:rPr>
        <w:t>ُ</w:t>
      </w:r>
      <w:r w:rsidR="008A74EB" w:rsidRPr="00C9040A">
        <w:rPr>
          <w:rtl/>
        </w:rPr>
        <w:t>ولى لتوضيح المعنى ، أو لبيان أنّ دفع السيّئة في الآية الا</w:t>
      </w:r>
      <w:r w:rsidR="002662FE">
        <w:rPr>
          <w:rFonts w:hint="cs"/>
          <w:rtl/>
        </w:rPr>
        <w:t>ُ</w:t>
      </w:r>
      <w:r w:rsidR="008A74EB" w:rsidRPr="00C9040A">
        <w:rPr>
          <w:rtl/>
        </w:rPr>
        <w:t>خرى أيضاً بمعنى التقيّة</w:t>
      </w:r>
      <w:r w:rsidR="008A74EB">
        <w:rPr>
          <w:rtl/>
        </w:rPr>
        <w:t xml:space="preserve"> ..</w:t>
      </w:r>
      <w:r w:rsidR="008A74EB" w:rsidRPr="00C9040A">
        <w:rPr>
          <w:rtl/>
        </w:rPr>
        <w:t xml:space="preserve">. قال الطبرسي : </w:t>
      </w:r>
      <w:r w:rsidR="008A74EB" w:rsidRPr="00B120D5">
        <w:rPr>
          <w:rStyle w:val="libFootnoteAlaemChar"/>
          <w:rtl/>
        </w:rPr>
        <w:t>(</w:t>
      </w:r>
      <w:r w:rsidR="008A74EB" w:rsidRPr="00883DD5">
        <w:rPr>
          <w:rStyle w:val="libFootnoteAieChar"/>
          <w:rFonts w:hint="cs"/>
          <w:rtl/>
        </w:rPr>
        <w:t xml:space="preserve"> </w:t>
      </w:r>
      <w:r w:rsidR="008A74EB" w:rsidRPr="00883DD5">
        <w:rPr>
          <w:rStyle w:val="libFootnoteAieChar"/>
          <w:rtl/>
        </w:rPr>
        <w:t>ادْفَعْ بِالَّتِي هِيَ أَحْسَنُ</w:t>
      </w:r>
      <w:r w:rsidR="008A74EB" w:rsidRPr="00883DD5">
        <w:rPr>
          <w:rStyle w:val="libFootnoteAieChar"/>
          <w:rFonts w:hint="cs"/>
          <w:rtl/>
        </w:rPr>
        <w:t xml:space="preserve"> </w:t>
      </w:r>
      <w:r w:rsidR="008A74EB" w:rsidRPr="00B120D5">
        <w:rPr>
          <w:rStyle w:val="libFootnoteAlaemChar"/>
          <w:rtl/>
        </w:rPr>
        <w:t>)</w:t>
      </w:r>
      <w:r w:rsidR="008A74EB" w:rsidRPr="00C9040A">
        <w:rPr>
          <w:rtl/>
        </w:rPr>
        <w:t xml:space="preserve"> أي السيّئة ، أي ادفع بحقّك باطلهم ، وبحلمك جهلهم</w:t>
      </w:r>
      <w:r w:rsidR="008A74EB">
        <w:rPr>
          <w:rtl/>
        </w:rPr>
        <w:t xml:space="preserve"> ..</w:t>
      </w:r>
      <w:r w:rsidR="008A74EB" w:rsidRPr="00C9040A">
        <w:rPr>
          <w:rtl/>
        </w:rPr>
        <w:t>. »</w:t>
      </w:r>
      <w:r w:rsidR="008A74EB">
        <w:rPr>
          <w:rtl/>
        </w:rPr>
        <w:t>.</w:t>
      </w:r>
    </w:p>
    <w:tbl>
      <w:tblPr>
        <w:tblStyle w:val="TableGrid"/>
        <w:bidiVisual/>
        <w:tblW w:w="0" w:type="auto"/>
        <w:tblLook w:val="04A0" w:firstRow="1" w:lastRow="0" w:firstColumn="1" w:lastColumn="0" w:noHBand="0" w:noVBand="1"/>
      </w:tblPr>
      <w:tblGrid>
        <w:gridCol w:w="4006"/>
        <w:gridCol w:w="4006"/>
      </w:tblGrid>
      <w:tr w:rsidR="002662FE" w:rsidTr="002662FE">
        <w:tc>
          <w:tcPr>
            <w:tcW w:w="4006" w:type="dxa"/>
          </w:tcPr>
          <w:p w:rsidR="002662FE" w:rsidRDefault="002662FE" w:rsidP="004A4E41">
            <w:pPr>
              <w:pStyle w:val="libFootnote0"/>
              <w:rPr>
                <w:rtl/>
              </w:rPr>
            </w:pPr>
            <w:r>
              <w:rPr>
                <w:rtl/>
              </w:rPr>
              <w:t>(7).</w:t>
            </w:r>
            <w:r w:rsidRPr="00C9040A">
              <w:rPr>
                <w:rtl/>
              </w:rPr>
              <w:t xml:space="preserve"> في « </w:t>
            </w:r>
            <w:r>
              <w:rPr>
                <w:rtl/>
              </w:rPr>
              <w:t xml:space="preserve">ه </w:t>
            </w:r>
            <w:r w:rsidRPr="00C9040A">
              <w:rPr>
                <w:rtl/>
              </w:rPr>
              <w:t>» : « والتي »</w:t>
            </w:r>
            <w:r>
              <w:rPr>
                <w:rtl/>
              </w:rPr>
              <w:t>.</w:t>
            </w:r>
          </w:p>
        </w:tc>
        <w:tc>
          <w:tcPr>
            <w:tcW w:w="4006" w:type="dxa"/>
          </w:tcPr>
          <w:p w:rsidR="002662FE" w:rsidRDefault="002662FE" w:rsidP="004A4E41">
            <w:pPr>
              <w:pStyle w:val="libFootnote0"/>
              <w:rPr>
                <w:rtl/>
              </w:rPr>
            </w:pPr>
            <w:r>
              <w:rPr>
                <w:rtl/>
              </w:rPr>
              <w:t>(8).</w:t>
            </w:r>
            <w:r w:rsidRPr="00C9040A">
              <w:rPr>
                <w:rtl/>
              </w:rPr>
              <w:t xml:space="preserve"> في « ف » : + « هي »</w:t>
            </w:r>
            <w:r>
              <w:rPr>
                <w:rtl/>
              </w:rPr>
              <w:t>.</w:t>
            </w:r>
          </w:p>
        </w:tc>
      </w:tr>
    </w:tbl>
    <w:p w:rsidR="008A74EB" w:rsidRPr="00C9040A" w:rsidRDefault="006C577F" w:rsidP="004A4E41">
      <w:pPr>
        <w:pStyle w:val="libFootnote0"/>
        <w:rPr>
          <w:rtl/>
          <w:lang w:bidi="fa-IR"/>
        </w:rPr>
      </w:pPr>
      <w:r>
        <w:rPr>
          <w:rtl/>
        </w:rPr>
        <w:t>(9).</w:t>
      </w:r>
      <w:r w:rsidR="008A74EB" w:rsidRPr="00C9040A">
        <w:rPr>
          <w:rtl/>
        </w:rPr>
        <w:t xml:space="preserve"> فصّلت (41) : 34.</w:t>
      </w:r>
    </w:p>
    <w:p w:rsidR="008A74EB" w:rsidRPr="00C9040A" w:rsidRDefault="006C577F" w:rsidP="004A4E41">
      <w:pPr>
        <w:pStyle w:val="libFootnote0"/>
        <w:rPr>
          <w:rtl/>
          <w:lang w:bidi="fa-IR"/>
        </w:rPr>
      </w:pPr>
      <w:r>
        <w:rPr>
          <w:rtl/>
        </w:rPr>
        <w:t>(10).</w:t>
      </w:r>
      <w:r w:rsidR="008A74EB" w:rsidRPr="00C9040A">
        <w:rPr>
          <w:rtl/>
        </w:rPr>
        <w:t xml:space="preserve"> </w:t>
      </w:r>
      <w:r w:rsidR="008A74EB" w:rsidRPr="00993B55">
        <w:rPr>
          <w:rStyle w:val="libFootnoteBoldChar"/>
          <w:rtl/>
        </w:rPr>
        <w:t>المحاسن</w:t>
      </w:r>
      <w:r w:rsidR="008A74EB" w:rsidRPr="00C9040A">
        <w:rPr>
          <w:rtl/>
        </w:rPr>
        <w:t xml:space="preserve"> ، ص 257 ، كتاب مصابيح الظلم ، ح 297 ، عن أبيه ، عن حمّاد بن عيسى. </w:t>
      </w:r>
      <w:r w:rsidR="008A74EB" w:rsidRPr="00993B55">
        <w:rPr>
          <w:rStyle w:val="libFootnoteBoldChar"/>
          <w:rtl/>
        </w:rPr>
        <w:t>الاختصاص</w:t>
      </w:r>
      <w:r w:rsidR="002662FE">
        <w:rPr>
          <w:rtl/>
        </w:rPr>
        <w:t xml:space="preserve"> ، ص 25 ،</w:t>
      </w:r>
      <w:r w:rsidR="002662FE">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1A4FEC">
        <w:rPr>
          <w:rtl/>
        </w:rPr>
        <w:t>2247</w:t>
      </w:r>
      <w:r w:rsidRPr="00261CB0">
        <w:rPr>
          <w:rStyle w:val="libBold2Char"/>
          <w:rtl/>
        </w:rPr>
        <w:t xml:space="preserve"> / 7.</w:t>
      </w:r>
      <w:r w:rsidRPr="00C9040A">
        <w:rPr>
          <w:rtl/>
          <w:lang w:bidi="fa-IR"/>
        </w:rPr>
        <w:t xml:space="preserve"> مُحَمَّدُ بْنُ يَحْيى ، عَنْ أَحْمَدَ بْنِ مُحَمَّدِ بْنِ عِيسى ، عَنِ الْحَسَنِ بْنِ مَحْبُوبٍ ، عَنْ هِشَامِ بْنِ سَالِمٍ ، عَنْ أَبِي عَمْرٍو </w:t>
      </w:r>
      <w:r w:rsidR="006C577F" w:rsidRPr="006C577F">
        <w:rPr>
          <w:rStyle w:val="libFootnotenumChar"/>
          <w:rtl/>
        </w:rPr>
        <w:t>(1)</w:t>
      </w:r>
      <w:r w:rsidRPr="00C9040A">
        <w:rPr>
          <w:rtl/>
          <w:lang w:bidi="fa-IR"/>
        </w:rPr>
        <w:t xml:space="preserve"> الْكِنَانِيِّ ، قَالَ :</w:t>
      </w:r>
    </w:p>
    <w:p w:rsidR="008A74EB" w:rsidRPr="00C9040A" w:rsidRDefault="008A74EB" w:rsidP="008A74EB">
      <w:pPr>
        <w:pStyle w:val="libNormal"/>
        <w:rPr>
          <w:rtl/>
          <w:lang w:bidi="fa-IR"/>
        </w:rPr>
      </w:pPr>
      <w:r w:rsidRPr="00C9040A">
        <w:rPr>
          <w:rtl/>
          <w:lang w:bidi="fa-IR"/>
        </w:rPr>
        <w:t xml:space="preserve">قَالَ لِي </w:t>
      </w:r>
      <w:r w:rsidR="006C577F" w:rsidRPr="006C577F">
        <w:rPr>
          <w:rStyle w:val="libFootnotenumChar"/>
          <w:rtl/>
        </w:rPr>
        <w:t>(2)</w:t>
      </w:r>
      <w:r w:rsidRPr="00C9040A">
        <w:rPr>
          <w:rtl/>
          <w:lang w:bidi="fa-IR"/>
        </w:rPr>
        <w:t xml:space="preserve"> أَبُو عَبْدِ اللهِ </w:t>
      </w:r>
      <w:r w:rsidRPr="0003660B">
        <w:rPr>
          <w:rStyle w:val="libAlaemChar"/>
          <w:rtl/>
        </w:rPr>
        <w:t>عليه‌السلام</w:t>
      </w:r>
      <w:r>
        <w:rPr>
          <w:rtl/>
          <w:lang w:bidi="fa-IR"/>
        </w:rPr>
        <w:t xml:space="preserve"> : « يَا أَبَا عَمْرٍو ، أَ</w:t>
      </w:r>
      <w:r w:rsidRPr="00C9040A">
        <w:rPr>
          <w:rtl/>
          <w:lang w:bidi="fa-IR"/>
        </w:rPr>
        <w:t xml:space="preserve">رَأَيْتَكَ </w:t>
      </w:r>
      <w:r w:rsidR="006C577F" w:rsidRPr="006C577F">
        <w:rPr>
          <w:rStyle w:val="libFootnotenumChar"/>
          <w:rtl/>
        </w:rPr>
        <w:t>(3)</w:t>
      </w:r>
      <w:r w:rsidRPr="00C9040A">
        <w:rPr>
          <w:rtl/>
          <w:lang w:bidi="fa-IR"/>
        </w:rPr>
        <w:t xml:space="preserve"> لَوْ حَدَّثْتُكَ بِحَدِيثٍ ، أَوْ أَفْتَيْتُكَ </w:t>
      </w:r>
      <w:r w:rsidR="006C577F" w:rsidRPr="006C577F">
        <w:rPr>
          <w:rStyle w:val="libFootnotenumChar"/>
          <w:rtl/>
        </w:rPr>
        <w:t>(4)</w:t>
      </w:r>
      <w:r w:rsidRPr="00C9040A">
        <w:rPr>
          <w:rtl/>
          <w:lang w:bidi="fa-IR"/>
        </w:rPr>
        <w:t xml:space="preserve"> بِفُتْيَا </w:t>
      </w:r>
      <w:r w:rsidR="006C577F" w:rsidRPr="006C577F">
        <w:rPr>
          <w:rStyle w:val="libFootnotenumChar"/>
          <w:rtl/>
        </w:rPr>
        <w:t>(5)</w:t>
      </w:r>
      <w:r w:rsidRPr="00C9040A">
        <w:rPr>
          <w:rtl/>
          <w:lang w:bidi="fa-IR"/>
        </w:rPr>
        <w:t xml:space="preserve"> ، ثُمَّ جِئْتَنِي بَعْدَ ذلِكَ ، فَسَأَلْتَنِي عَنْهُ ، فَأَخْبَرْتُكَ بِخِلَافِ مَا كُنْتُ أَخْبَرْتُكَ ، أَوْ </w:t>
      </w:r>
      <w:r w:rsidR="006C577F" w:rsidRPr="006C577F">
        <w:rPr>
          <w:rStyle w:val="libFootnotenumChar"/>
          <w:rtl/>
        </w:rPr>
        <w:t>(6)</w:t>
      </w:r>
      <w:r w:rsidRPr="005B567D">
        <w:rPr>
          <w:rStyle w:val="libFootnotenumChar"/>
          <w:rtl/>
        </w:rPr>
        <w:t xml:space="preserve"> </w:t>
      </w:r>
      <w:r w:rsidRPr="00C9040A">
        <w:rPr>
          <w:rtl/>
          <w:lang w:bidi="fa-IR"/>
        </w:rPr>
        <w:t>أَفْتَيْتُكَ بِخِلَافِ ذلِكَ بِأَيِّهِمَا كُنْتَ تَأْخُذُ</w:t>
      </w:r>
      <w:r>
        <w:rPr>
          <w:rtl/>
          <w:lang w:bidi="fa-IR"/>
        </w:rPr>
        <w:t>؟</w:t>
      </w:r>
      <w:r w:rsidRPr="00C9040A">
        <w:rPr>
          <w:rtl/>
          <w:lang w:bidi="fa-IR"/>
        </w:rPr>
        <w:t xml:space="preserve"> » ‌</w:t>
      </w:r>
    </w:p>
    <w:p w:rsidR="008A74EB" w:rsidRPr="00C9040A" w:rsidRDefault="008A74EB" w:rsidP="008A74EB">
      <w:pPr>
        <w:pStyle w:val="libNormal"/>
        <w:rPr>
          <w:rtl/>
          <w:lang w:bidi="fa-IR"/>
        </w:rPr>
      </w:pPr>
      <w:r w:rsidRPr="00C9040A">
        <w:rPr>
          <w:rtl/>
          <w:lang w:bidi="fa-IR"/>
        </w:rPr>
        <w:t>قُلْتُ : بِأَحْدَثِهِمَا ، وَأَدَعُ الْآخَرَ.</w:t>
      </w:r>
    </w:p>
    <w:p w:rsidR="008A74EB" w:rsidRPr="00C9040A" w:rsidRDefault="008A74EB" w:rsidP="008A74EB">
      <w:pPr>
        <w:pStyle w:val="libNormal"/>
        <w:rPr>
          <w:rtl/>
          <w:lang w:bidi="fa-IR"/>
        </w:rPr>
      </w:pPr>
      <w:r w:rsidRPr="00C9040A">
        <w:rPr>
          <w:rtl/>
          <w:lang w:bidi="fa-IR"/>
        </w:rPr>
        <w:t xml:space="preserve">فَقَالَ : « قَدْ </w:t>
      </w:r>
      <w:r w:rsidR="006C577F" w:rsidRPr="006C577F">
        <w:rPr>
          <w:rStyle w:val="libFootnotenumChar"/>
          <w:rtl/>
        </w:rPr>
        <w:t>(7)</w:t>
      </w:r>
      <w:r w:rsidRPr="00C9040A">
        <w:rPr>
          <w:rtl/>
          <w:lang w:bidi="fa-IR"/>
        </w:rPr>
        <w:t xml:space="preserve"> أَصَبْتَ يَا أَبَا عَمْرٍو ، أَبَى </w:t>
      </w:r>
      <w:r w:rsidR="006C577F" w:rsidRPr="006C577F">
        <w:rPr>
          <w:rStyle w:val="libFootnotenumChar"/>
          <w:rtl/>
        </w:rPr>
        <w:t>(8)</w:t>
      </w:r>
      <w:r w:rsidR="002662FE">
        <w:rPr>
          <w:rtl/>
          <w:lang w:bidi="fa-IR"/>
        </w:rPr>
        <w:t xml:space="preserve"> اللهُ إِل</w:t>
      </w:r>
      <w:r w:rsidR="002662FE">
        <w:rPr>
          <w:rFonts w:hint="cs"/>
          <w:rtl/>
          <w:lang w:bidi="fa-IR"/>
        </w:rPr>
        <w:t>َّ</w:t>
      </w:r>
      <w:r w:rsidR="002662FE">
        <w:rPr>
          <w:rtl/>
          <w:lang w:bidi="fa-IR"/>
        </w:rPr>
        <w:t>ا</w:t>
      </w:r>
      <w:r w:rsidRPr="00C9040A">
        <w:rPr>
          <w:rtl/>
          <w:lang w:bidi="fa-IR"/>
        </w:rPr>
        <w:t xml:space="preserve"> أَنْ يُعْبَدَ سِرّاً </w:t>
      </w:r>
      <w:r w:rsidR="006C577F" w:rsidRPr="006C577F">
        <w:rPr>
          <w:rStyle w:val="libFootnotenumChar"/>
          <w:rtl/>
        </w:rPr>
        <w:t>(9)</w:t>
      </w:r>
      <w:r w:rsidRPr="00C9040A">
        <w:rPr>
          <w:rtl/>
          <w:lang w:bidi="fa-IR"/>
        </w:rPr>
        <w:t xml:space="preserve"> ، أَمَا وَاللهِ لَئِنْ فَعَلْتُمْ ذلِكَ </w:t>
      </w:r>
      <w:r w:rsidR="006C577F" w:rsidRPr="006C577F">
        <w:rPr>
          <w:rStyle w:val="libFootnotenumChar"/>
          <w:rtl/>
        </w:rPr>
        <w:t>(10)</w:t>
      </w:r>
      <w:r w:rsidRPr="00C9040A">
        <w:rPr>
          <w:rtl/>
          <w:lang w:bidi="fa-IR"/>
        </w:rPr>
        <w:t xml:space="preserve"> إِنَّهُ لَخَيْرٌ </w:t>
      </w:r>
      <w:r w:rsidR="006C577F" w:rsidRPr="006C577F">
        <w:rPr>
          <w:rStyle w:val="libFootnotenumChar"/>
          <w:rtl/>
        </w:rPr>
        <w:t>(11)</w:t>
      </w:r>
      <w:r w:rsidRPr="00C9040A">
        <w:rPr>
          <w:rtl/>
          <w:lang w:bidi="fa-IR"/>
        </w:rPr>
        <w:t xml:space="preserve"> لِي وَلَكُمْ ، وَ</w:t>
      </w:r>
      <w:r>
        <w:rPr>
          <w:rFonts w:hint="cs"/>
          <w:rtl/>
          <w:lang w:bidi="fa-IR"/>
        </w:rPr>
        <w:t xml:space="preserve"> </w:t>
      </w:r>
      <w:r w:rsidR="006C577F" w:rsidRPr="006C577F">
        <w:rPr>
          <w:rStyle w:val="libFootnotenumChar"/>
          <w:rtl/>
        </w:rPr>
        <w:t>(12)</w:t>
      </w:r>
      <w:r w:rsidRPr="00C9040A">
        <w:rPr>
          <w:rtl/>
          <w:lang w:bidi="fa-IR"/>
        </w:rPr>
        <w:t xml:space="preserve"> أَبَى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لَنَا وَلَكُمْ </w:t>
      </w:r>
      <w:r w:rsidRPr="005B567D">
        <w:rPr>
          <w:rStyle w:val="libFootnotenumChar"/>
          <w:rtl/>
        </w:rPr>
        <w:t>(13)</w:t>
      </w:r>
      <w:r w:rsidRPr="00C9040A">
        <w:rPr>
          <w:rtl/>
          <w:lang w:bidi="fa-IR"/>
        </w:rPr>
        <w:t xml:space="preserve"> فِي دِي</w:t>
      </w:r>
      <w:r w:rsidR="002662FE">
        <w:rPr>
          <w:rtl/>
          <w:lang w:bidi="fa-IR"/>
        </w:rPr>
        <w:t>نِهِ إِل</w:t>
      </w:r>
      <w:r w:rsidR="002662FE">
        <w:rPr>
          <w:rFonts w:hint="cs"/>
          <w:rtl/>
          <w:lang w:bidi="fa-IR"/>
        </w:rPr>
        <w:t>َّ</w:t>
      </w:r>
      <w:r w:rsidR="002662FE">
        <w:rPr>
          <w:rtl/>
          <w:lang w:bidi="fa-IR"/>
        </w:rPr>
        <w:t>ا التَّقِيَّةَ</w:t>
      </w:r>
      <w:r w:rsidRPr="00C9040A">
        <w:rPr>
          <w:rtl/>
          <w:lang w:bidi="fa-IR"/>
        </w:rPr>
        <w:t>»</w:t>
      </w:r>
      <w:r>
        <w:rPr>
          <w:rtl/>
          <w:lang w:bidi="fa-IR"/>
        </w:rPr>
        <w:t>.</w:t>
      </w:r>
      <w:r w:rsidRPr="005B567D">
        <w:rPr>
          <w:rStyle w:val="libFootnotenumChar"/>
          <w:rtl/>
        </w:rPr>
        <w:t>(14)</w:t>
      </w:r>
      <w:r w:rsidRPr="00C9040A">
        <w:rPr>
          <w:rtl/>
          <w:lang w:bidi="fa-IR"/>
        </w:rPr>
        <w:t xml:space="preserve"> ‌</w:t>
      </w:r>
    </w:p>
    <w:p w:rsidR="008A74EB" w:rsidRPr="00C9040A" w:rsidRDefault="008A74EB" w:rsidP="008A74EB">
      <w:pPr>
        <w:pStyle w:val="libNormal"/>
        <w:rPr>
          <w:rtl/>
          <w:lang w:bidi="fa-IR"/>
        </w:rPr>
      </w:pPr>
      <w:r w:rsidRPr="001A4FEC">
        <w:rPr>
          <w:rtl/>
        </w:rPr>
        <w:t>2248</w:t>
      </w:r>
      <w:r w:rsidRPr="00261CB0">
        <w:rPr>
          <w:rStyle w:val="libBold2Char"/>
          <w:rtl/>
        </w:rPr>
        <w:t xml:space="preserve"> / 8.</w:t>
      </w:r>
      <w:r w:rsidRPr="00C9040A">
        <w:rPr>
          <w:rtl/>
          <w:lang w:bidi="fa-IR"/>
        </w:rPr>
        <w:t xml:space="preserve"> عَنْهُ ، عَنْ أَحْمَدَ بْنِ مُحَمَّدٍ ، عَنِ الْحَسَنِ بْنِ عَلِيٍّ ، عَنْ دُرُسْتَ الْوَاسِطِيِّ ، قَالَ :</w:t>
      </w:r>
    </w:p>
    <w:p w:rsidR="008A74EB" w:rsidRPr="00C9040A" w:rsidRDefault="008A74EB" w:rsidP="008A74EB">
      <w:pPr>
        <w:pStyle w:val="libLine"/>
        <w:rPr>
          <w:rtl/>
          <w:lang w:bidi="fa-IR"/>
        </w:rPr>
      </w:pPr>
      <w:r w:rsidRPr="00C9040A">
        <w:rPr>
          <w:rtl/>
          <w:lang w:bidi="fa-IR"/>
        </w:rPr>
        <w:t>__________________</w:t>
      </w:r>
    </w:p>
    <w:p w:rsidR="008A74EB" w:rsidRPr="00C9040A" w:rsidRDefault="002662FE" w:rsidP="004A4E41">
      <w:pPr>
        <w:pStyle w:val="libFootnote0"/>
        <w:rPr>
          <w:rtl/>
          <w:lang w:bidi="fa-IR"/>
        </w:rPr>
      </w:pPr>
      <w:r>
        <w:rPr>
          <w:rFonts w:hint="cs"/>
          <w:rtl/>
        </w:rPr>
        <w:t xml:space="preserve">= </w:t>
      </w:r>
      <w:r w:rsidR="008A74EB" w:rsidRPr="00C9040A">
        <w:rPr>
          <w:rtl/>
        </w:rPr>
        <w:t xml:space="preserve">مرسلاً عن حريز ، عن أبي‌عبدالله </w:t>
      </w:r>
      <w:r w:rsidR="00117575" w:rsidRPr="00117575">
        <w:rPr>
          <w:rStyle w:val="libFootnoteAlaemChar"/>
          <w:rtl/>
        </w:rPr>
        <w:t>عليه‌السلام</w:t>
      </w:r>
      <w:r w:rsidR="008A74EB" w:rsidRPr="00C9040A">
        <w:rPr>
          <w:rtl/>
        </w:rPr>
        <w:t xml:space="preserve"> ، مع اختلاف يسير. </w:t>
      </w:r>
      <w:r w:rsidR="008A74EB" w:rsidRPr="00993B55">
        <w:rPr>
          <w:rStyle w:val="libFootnoteBoldChar"/>
          <w:rtl/>
        </w:rPr>
        <w:t>تفسير فرات</w:t>
      </w:r>
      <w:r w:rsidR="008A74EB" w:rsidRPr="00C9040A">
        <w:rPr>
          <w:rtl/>
        </w:rPr>
        <w:t xml:space="preserve"> ، ص 385 ، ح 513 ، بسند آخر ، مع اختلاف وزيادة في آخره </w:t>
      </w:r>
      <w:r>
        <w:rPr>
          <w:rFonts w:hint="cs"/>
          <w:rtl/>
        </w:rPr>
        <w:t>.</w:t>
      </w:r>
      <w:r w:rsidR="008A74EB" w:rsidRPr="00993B55">
        <w:rPr>
          <w:rStyle w:val="libFootnoteBoldChar"/>
          <w:rtl/>
        </w:rPr>
        <w:t>الوافي</w:t>
      </w:r>
      <w:r w:rsidR="008A74EB" w:rsidRPr="00C9040A">
        <w:rPr>
          <w:rtl/>
        </w:rPr>
        <w:t xml:space="preserve"> ، ج 5 ، ص 685 ، ح 2877 ؛ </w:t>
      </w:r>
      <w:r w:rsidR="008A74EB" w:rsidRPr="00993B55">
        <w:rPr>
          <w:rStyle w:val="libFootnoteBoldChar"/>
          <w:rtl/>
        </w:rPr>
        <w:t>الوسائل</w:t>
      </w:r>
      <w:r w:rsidR="008A74EB" w:rsidRPr="00C9040A">
        <w:rPr>
          <w:rtl/>
        </w:rPr>
        <w:t xml:space="preserve"> ، ج 16 ، ص 206 ، ح 21365 ؛ </w:t>
      </w:r>
      <w:r w:rsidR="008A74EB" w:rsidRPr="00993B55">
        <w:rPr>
          <w:rStyle w:val="libFootnoteBoldChar"/>
          <w:rtl/>
        </w:rPr>
        <w:t>البحار</w:t>
      </w:r>
      <w:r w:rsidR="008A74EB" w:rsidRPr="00C9040A">
        <w:rPr>
          <w:rtl/>
        </w:rPr>
        <w:t xml:space="preserve"> ، ج 75 ، ص 428 ، ح 86.</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الوسائل ، ح 21366 : « أبي عمر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هكذا في جميع النسخ التي قوبلت والوافي والوسائل والبحار. وفي المطبوع </w:t>
      </w:r>
      <w:r w:rsidR="008A74EB">
        <w:rPr>
          <w:rtl/>
        </w:rPr>
        <w:t xml:space="preserve">: </w:t>
      </w:r>
      <w:r w:rsidR="0084262C">
        <w:rPr>
          <w:rtl/>
        </w:rPr>
        <w:t>-</w:t>
      </w:r>
      <w:r w:rsidR="008A74EB" w:rsidRPr="00C9040A">
        <w:rPr>
          <w:rtl/>
        </w:rPr>
        <w:t xml:space="preserve"> « لي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د ، ص ، ف ، بر » والوافي والوسائل ، ح 33350 : « أرأيت »</w:t>
      </w:r>
      <w:r w:rsidR="008A74EB">
        <w:rPr>
          <w:rtl/>
        </w:rPr>
        <w:t>.</w:t>
      </w:r>
      <w:r w:rsidR="008A74EB" w:rsidRPr="00C9040A">
        <w:rPr>
          <w:rtl/>
        </w:rPr>
        <w:t xml:space="preserve"> وفي حاشية « ب » : « رأيت »</w:t>
      </w:r>
      <w:r w:rsidR="008A74EB">
        <w:rPr>
          <w:rtl/>
        </w:rPr>
        <w:t>.</w:t>
      </w:r>
    </w:p>
    <w:tbl>
      <w:tblPr>
        <w:tblStyle w:val="TableGrid"/>
        <w:bidiVisual/>
        <w:tblW w:w="0" w:type="auto"/>
        <w:tblLook w:val="04A0" w:firstRow="1" w:lastRow="0" w:firstColumn="1" w:lastColumn="0" w:noHBand="0" w:noVBand="1"/>
      </w:tblPr>
      <w:tblGrid>
        <w:gridCol w:w="4006"/>
        <w:gridCol w:w="4006"/>
      </w:tblGrid>
      <w:tr w:rsidR="002662FE" w:rsidTr="002662FE">
        <w:tc>
          <w:tcPr>
            <w:tcW w:w="4006" w:type="dxa"/>
          </w:tcPr>
          <w:p w:rsidR="002662FE" w:rsidRDefault="002662FE" w:rsidP="004A4E41">
            <w:pPr>
              <w:pStyle w:val="libFootnote0"/>
              <w:rPr>
                <w:rtl/>
              </w:rPr>
            </w:pPr>
            <w:r>
              <w:rPr>
                <w:rtl/>
              </w:rPr>
              <w:t>(4).</w:t>
            </w:r>
            <w:r w:rsidRPr="00C9040A">
              <w:rPr>
                <w:rtl/>
              </w:rPr>
              <w:t xml:space="preserve"> في شرح المازندراني : « ا</w:t>
            </w:r>
            <w:r>
              <w:rPr>
                <w:rFonts w:hint="cs"/>
                <w:rtl/>
              </w:rPr>
              <w:t>ُ</w:t>
            </w:r>
            <w:r w:rsidRPr="00C9040A">
              <w:rPr>
                <w:rtl/>
              </w:rPr>
              <w:t>فتيك »</w:t>
            </w:r>
            <w:r>
              <w:rPr>
                <w:rtl/>
              </w:rPr>
              <w:t>.</w:t>
            </w:r>
          </w:p>
        </w:tc>
        <w:tc>
          <w:tcPr>
            <w:tcW w:w="4006" w:type="dxa"/>
          </w:tcPr>
          <w:p w:rsidR="002662FE" w:rsidRDefault="002662FE" w:rsidP="004A4E41">
            <w:pPr>
              <w:pStyle w:val="libFootnote0"/>
              <w:rPr>
                <w:rtl/>
              </w:rPr>
            </w:pPr>
            <w:r>
              <w:rPr>
                <w:rtl/>
              </w:rPr>
              <w:t>(5).</w:t>
            </w:r>
            <w:r w:rsidRPr="00C9040A">
              <w:rPr>
                <w:rtl/>
              </w:rPr>
              <w:t xml:space="preserve"> في « </w:t>
            </w:r>
            <w:r>
              <w:rPr>
                <w:rtl/>
              </w:rPr>
              <w:t xml:space="preserve">ه </w:t>
            </w:r>
            <w:r w:rsidRPr="00C9040A">
              <w:rPr>
                <w:rtl/>
              </w:rPr>
              <w:t>» : « بفتوى »</w:t>
            </w:r>
            <w:r>
              <w:rPr>
                <w:rtl/>
              </w:rPr>
              <w:t>.</w:t>
            </w:r>
          </w:p>
        </w:tc>
      </w:tr>
      <w:tr w:rsidR="002662FE" w:rsidTr="002662FE">
        <w:tc>
          <w:tcPr>
            <w:tcW w:w="4006" w:type="dxa"/>
          </w:tcPr>
          <w:p w:rsidR="002662FE" w:rsidRDefault="002662FE" w:rsidP="004A4E41">
            <w:pPr>
              <w:pStyle w:val="libFootnote0"/>
              <w:rPr>
                <w:rtl/>
              </w:rPr>
            </w:pPr>
            <w:r>
              <w:rPr>
                <w:rtl/>
              </w:rPr>
              <w:t xml:space="preserve">(6). </w:t>
            </w:r>
            <w:r w:rsidRPr="00C9040A">
              <w:rPr>
                <w:rtl/>
              </w:rPr>
              <w:t xml:space="preserve">في « ض ، </w:t>
            </w:r>
            <w:r>
              <w:rPr>
                <w:rtl/>
              </w:rPr>
              <w:t xml:space="preserve">ه </w:t>
            </w:r>
            <w:r w:rsidRPr="00C9040A">
              <w:rPr>
                <w:rtl/>
              </w:rPr>
              <w:t xml:space="preserve">» : « </w:t>
            </w:r>
            <w:r>
              <w:rPr>
                <w:rtl/>
              </w:rPr>
              <w:t>و ».</w:t>
            </w:r>
          </w:p>
        </w:tc>
        <w:tc>
          <w:tcPr>
            <w:tcW w:w="4006" w:type="dxa"/>
          </w:tcPr>
          <w:p w:rsidR="002662FE" w:rsidRDefault="002662FE" w:rsidP="004A4E41">
            <w:pPr>
              <w:pStyle w:val="libFootnote0"/>
              <w:rPr>
                <w:rtl/>
              </w:rPr>
            </w:pPr>
            <w:r>
              <w:rPr>
                <w:rtl/>
              </w:rPr>
              <w:t>(7).</w:t>
            </w:r>
            <w:r w:rsidRPr="00C9040A">
              <w:rPr>
                <w:rtl/>
              </w:rPr>
              <w:t xml:space="preserve"> في « بس » </w:t>
            </w:r>
            <w:r>
              <w:rPr>
                <w:rtl/>
              </w:rPr>
              <w:t>: -</w:t>
            </w:r>
            <w:r w:rsidRPr="00C9040A">
              <w:rPr>
                <w:rtl/>
              </w:rPr>
              <w:t xml:space="preserve"> « قد »</w:t>
            </w:r>
            <w:r>
              <w:rPr>
                <w:rtl/>
              </w:rPr>
              <w:t>.</w:t>
            </w:r>
          </w:p>
        </w:tc>
      </w:tr>
      <w:tr w:rsidR="002662FE" w:rsidTr="002662FE">
        <w:tc>
          <w:tcPr>
            <w:tcW w:w="4006" w:type="dxa"/>
          </w:tcPr>
          <w:p w:rsidR="002662FE" w:rsidRDefault="002662FE" w:rsidP="004A4E41">
            <w:pPr>
              <w:pStyle w:val="libFootnote0"/>
              <w:rPr>
                <w:rtl/>
              </w:rPr>
            </w:pPr>
            <w:r>
              <w:rPr>
                <w:rtl/>
              </w:rPr>
              <w:t>(8).</w:t>
            </w:r>
            <w:r w:rsidRPr="00C9040A">
              <w:rPr>
                <w:rtl/>
              </w:rPr>
              <w:t xml:space="preserve"> في « ض ، بر » : « وأبى »</w:t>
            </w:r>
            <w:r>
              <w:rPr>
                <w:rtl/>
              </w:rPr>
              <w:t>.</w:t>
            </w:r>
          </w:p>
        </w:tc>
        <w:tc>
          <w:tcPr>
            <w:tcW w:w="4006" w:type="dxa"/>
          </w:tcPr>
          <w:p w:rsidR="002662FE" w:rsidRDefault="002662FE" w:rsidP="004A4E41">
            <w:pPr>
              <w:pStyle w:val="libFootnote0"/>
              <w:rPr>
                <w:rtl/>
              </w:rPr>
            </w:pPr>
            <w:r>
              <w:rPr>
                <w:rtl/>
              </w:rPr>
              <w:t>(9).</w:t>
            </w:r>
            <w:r w:rsidRPr="00C9040A">
              <w:rPr>
                <w:rtl/>
              </w:rPr>
              <w:t xml:space="preserve"> في</w:t>
            </w:r>
            <w:r>
              <w:rPr>
                <w:rtl/>
              </w:rPr>
              <w:t xml:space="preserve"> « ز » : « أبى الله أن يعبد إل</w:t>
            </w:r>
            <w:r>
              <w:rPr>
                <w:rFonts w:hint="cs"/>
                <w:rtl/>
              </w:rPr>
              <w:t>ّ</w:t>
            </w:r>
            <w:r>
              <w:rPr>
                <w:rtl/>
              </w:rPr>
              <w:t>ا</w:t>
            </w:r>
            <w:r w:rsidRPr="00C9040A">
              <w:rPr>
                <w:rtl/>
              </w:rPr>
              <w:t>سرّاً »</w:t>
            </w:r>
            <w:r>
              <w:rPr>
                <w:rtl/>
              </w:rPr>
              <w:t>.</w:t>
            </w:r>
          </w:p>
        </w:tc>
      </w:tr>
      <w:tr w:rsidR="002662FE" w:rsidTr="002662FE">
        <w:tc>
          <w:tcPr>
            <w:tcW w:w="4006" w:type="dxa"/>
          </w:tcPr>
          <w:p w:rsidR="002662FE" w:rsidRDefault="002662FE" w:rsidP="004A4E41">
            <w:pPr>
              <w:pStyle w:val="libFootnote0"/>
              <w:rPr>
                <w:rtl/>
              </w:rPr>
            </w:pPr>
            <w:r>
              <w:rPr>
                <w:rtl/>
              </w:rPr>
              <w:t>(10).</w:t>
            </w:r>
            <w:r w:rsidRPr="00C9040A">
              <w:rPr>
                <w:rtl/>
              </w:rPr>
              <w:t xml:space="preserve"> في « ص ، بس » : « ذاك »</w:t>
            </w:r>
            <w:r>
              <w:rPr>
                <w:rtl/>
              </w:rPr>
              <w:t>.</w:t>
            </w:r>
          </w:p>
        </w:tc>
        <w:tc>
          <w:tcPr>
            <w:tcW w:w="4006" w:type="dxa"/>
          </w:tcPr>
          <w:p w:rsidR="002662FE" w:rsidRDefault="002662FE" w:rsidP="004A4E41">
            <w:pPr>
              <w:pStyle w:val="libFootnote0"/>
              <w:rPr>
                <w:rtl/>
              </w:rPr>
            </w:pPr>
            <w:r>
              <w:rPr>
                <w:rtl/>
              </w:rPr>
              <w:t>(11).</w:t>
            </w:r>
            <w:r w:rsidRPr="00C9040A">
              <w:rPr>
                <w:rtl/>
              </w:rPr>
              <w:t xml:space="preserve"> في « ص » وحاشية « ج » والبحار : « خير »</w:t>
            </w:r>
            <w:r>
              <w:rPr>
                <w:rtl/>
              </w:rPr>
              <w:t>.</w:t>
            </w:r>
          </w:p>
        </w:tc>
      </w:tr>
      <w:tr w:rsidR="002662FE" w:rsidTr="002662FE">
        <w:tc>
          <w:tcPr>
            <w:tcW w:w="4006" w:type="dxa"/>
          </w:tcPr>
          <w:p w:rsidR="002662FE" w:rsidRDefault="002662FE" w:rsidP="004A4E41">
            <w:pPr>
              <w:pStyle w:val="libFootnote0"/>
              <w:rPr>
                <w:rtl/>
              </w:rPr>
            </w:pPr>
            <w:r>
              <w:rPr>
                <w:rtl/>
              </w:rPr>
              <w:t>(12). في «ج ،د ،ص ،ه ،بر ،بس ،بف»:- «و».</w:t>
            </w:r>
          </w:p>
        </w:tc>
        <w:tc>
          <w:tcPr>
            <w:tcW w:w="4006" w:type="dxa"/>
          </w:tcPr>
          <w:p w:rsidR="002662FE" w:rsidRDefault="002662FE" w:rsidP="004A4E41">
            <w:pPr>
              <w:pStyle w:val="libFootnote0"/>
              <w:rPr>
                <w:rtl/>
              </w:rPr>
            </w:pPr>
            <w:r>
              <w:rPr>
                <w:rtl/>
              </w:rPr>
              <w:t>(13)</w:t>
            </w:r>
            <w:r w:rsidRPr="00C9040A">
              <w:rPr>
                <w:rtl/>
              </w:rPr>
              <w:t xml:space="preserve"> في الوسائل ، ح 33350 </w:t>
            </w:r>
            <w:r>
              <w:rPr>
                <w:rtl/>
              </w:rPr>
              <w:t>: -</w:t>
            </w:r>
            <w:r w:rsidRPr="00C9040A">
              <w:rPr>
                <w:rtl/>
              </w:rPr>
              <w:t xml:space="preserve"> « ولكم »</w:t>
            </w:r>
            <w:r>
              <w:rPr>
                <w:rtl/>
              </w:rPr>
              <w:t>.</w:t>
            </w:r>
          </w:p>
        </w:tc>
      </w:tr>
    </w:tbl>
    <w:p w:rsidR="008A74EB" w:rsidRPr="00C9040A" w:rsidRDefault="008A74EB" w:rsidP="004A4E41">
      <w:pPr>
        <w:pStyle w:val="libFootnote0"/>
        <w:rPr>
          <w:rtl/>
          <w:lang w:bidi="fa-IR"/>
        </w:rPr>
      </w:pPr>
      <w:r>
        <w:rPr>
          <w:rtl/>
        </w:rPr>
        <w:t>(14)</w:t>
      </w:r>
      <w:r w:rsidRPr="00C9040A">
        <w:rPr>
          <w:rtl/>
        </w:rPr>
        <w:t xml:space="preserve"> </w:t>
      </w:r>
      <w:r w:rsidRPr="00993B55">
        <w:rPr>
          <w:rStyle w:val="libFootnoteBoldChar"/>
          <w:rtl/>
        </w:rPr>
        <w:t>الكافي</w:t>
      </w:r>
      <w:r w:rsidRPr="00C9040A">
        <w:rPr>
          <w:rtl/>
        </w:rPr>
        <w:t xml:space="preserve"> ، كتاب فضل العلم ، باب اختلاف الحديث ، ح 200 ، بسند آخر ، إلى قوله : « بأحدثهما » مع اختلاف </w:t>
      </w:r>
      <w:r w:rsidR="002662FE">
        <w:rPr>
          <w:rFonts w:hint="cs"/>
          <w:rtl/>
        </w:rPr>
        <w:t>.</w:t>
      </w:r>
      <w:r w:rsidRPr="00993B55">
        <w:rPr>
          <w:rStyle w:val="libFootnoteBoldChar"/>
          <w:rtl/>
        </w:rPr>
        <w:t>الوافي</w:t>
      </w:r>
      <w:r w:rsidRPr="00C9040A">
        <w:rPr>
          <w:rtl/>
        </w:rPr>
        <w:t xml:space="preserve"> ، ج 5 ، ص 687 ، ح 2883 ؛ </w:t>
      </w:r>
      <w:r w:rsidRPr="00993B55">
        <w:rPr>
          <w:rStyle w:val="libFootnoteBoldChar"/>
          <w:rtl/>
        </w:rPr>
        <w:t>الوسائل</w:t>
      </w:r>
      <w:r w:rsidRPr="00C9040A">
        <w:rPr>
          <w:rtl/>
        </w:rPr>
        <w:t xml:space="preserve"> ، ج 16 ، ص 206 ، ح 21366 ، من قوله : « يا أبا</w:t>
      </w:r>
      <w:r w:rsidR="002662FE">
        <w:rPr>
          <w:rFonts w:hint="cs"/>
          <w:rtl/>
        </w:rPr>
        <w:t xml:space="preserve"> </w:t>
      </w:r>
      <w:r w:rsidRPr="00C9040A">
        <w:rPr>
          <w:rtl/>
        </w:rPr>
        <w:t xml:space="preserve">عمرو أبى الله </w:t>
      </w:r>
      <w:r w:rsidR="002662FE">
        <w:rPr>
          <w:rtl/>
        </w:rPr>
        <w:t>إل</w:t>
      </w:r>
      <w:r w:rsidR="002662FE">
        <w:rPr>
          <w:rFonts w:hint="cs"/>
          <w:rtl/>
        </w:rPr>
        <w:t>ّ</w:t>
      </w:r>
      <w:r w:rsidR="002662FE">
        <w:rPr>
          <w:rtl/>
        </w:rPr>
        <w:t>ا</w:t>
      </w:r>
      <w:r>
        <w:rPr>
          <w:rtl/>
        </w:rPr>
        <w:t xml:space="preserve"> أن</w:t>
      </w:r>
      <w:r w:rsidRPr="00C9040A">
        <w:rPr>
          <w:rtl/>
        </w:rPr>
        <w:t xml:space="preserve"> يعبد سرّاً » ولم يرد فيه فقرة : « أما والله لئن فعلتم ذلك إنّه لخير لي ولكم » ؛ وج 27 ، ص 112 ، ح 33350 ؛ </w:t>
      </w:r>
      <w:r w:rsidRPr="00993B55">
        <w:rPr>
          <w:rStyle w:val="libFootnoteBoldChar"/>
          <w:rtl/>
        </w:rPr>
        <w:t>البحار</w:t>
      </w:r>
      <w:r w:rsidRPr="00C9040A">
        <w:rPr>
          <w:rtl/>
        </w:rPr>
        <w:t xml:space="preserve"> ، ج 75 ، ص 428 ، ح 87.</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مَا بَلَغَتْ تَقِيَّةُ أَحَدٍ تَقِيَّةَ أَصْحَابِ الْكَهْفِ إِنْ </w:t>
      </w:r>
      <w:r w:rsidR="006C577F" w:rsidRPr="006C577F">
        <w:rPr>
          <w:rStyle w:val="libFootnotenumChar"/>
          <w:rtl/>
        </w:rPr>
        <w:t>(1)</w:t>
      </w:r>
      <w:r w:rsidRPr="00C9040A">
        <w:rPr>
          <w:rtl/>
          <w:lang w:bidi="fa-IR"/>
        </w:rPr>
        <w:t xml:space="preserve"> كَانُوا لَيَشْهَدُونَ الْأَعْيَادَ ، وَيَشُدُّونَ الزَّنَانِيرَ </w:t>
      </w:r>
      <w:r w:rsidR="006C577F" w:rsidRPr="006C577F">
        <w:rPr>
          <w:rStyle w:val="libFootnotenumChar"/>
          <w:rtl/>
        </w:rPr>
        <w:t>(2)</w:t>
      </w:r>
      <w:r w:rsidRPr="00C9040A">
        <w:rPr>
          <w:rtl/>
          <w:lang w:bidi="fa-IR"/>
        </w:rPr>
        <w:t xml:space="preserve"> ، فَأَعْطَاهُمُ اللهُ أَجْرَهُمْ مَرَّتَيْنِ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1A4FEC">
        <w:rPr>
          <w:rtl/>
        </w:rPr>
        <w:t>2249</w:t>
      </w:r>
      <w:r w:rsidRPr="00261CB0">
        <w:rPr>
          <w:rStyle w:val="libBold2Char"/>
          <w:rtl/>
        </w:rPr>
        <w:t xml:space="preserve"> / 9.</w:t>
      </w:r>
      <w:r w:rsidRPr="00C9040A">
        <w:rPr>
          <w:rtl/>
          <w:lang w:bidi="fa-IR"/>
        </w:rPr>
        <w:t xml:space="preserve"> عَنْهُ ، عَنْ أَحْمَدَ بْنِ مُحَمَّدٍ ، عَنِ الْحَسَنِ بْنِ عَلِيِّ بْنِ فَضَّالٍ ، عَنْ حَمَّادِ بْنِ وَاقِدٍ اللَّحَّامِ ، قَالَ :</w:t>
      </w:r>
    </w:p>
    <w:p w:rsidR="008A74EB" w:rsidRPr="00C9040A" w:rsidRDefault="008A74EB" w:rsidP="008A74EB">
      <w:pPr>
        <w:pStyle w:val="libNormal"/>
        <w:rPr>
          <w:rtl/>
          <w:lang w:bidi="fa-IR"/>
        </w:rPr>
      </w:pPr>
      <w:r w:rsidRPr="00C9040A">
        <w:rPr>
          <w:rtl/>
          <w:lang w:bidi="fa-IR"/>
        </w:rPr>
        <w:t xml:space="preserve">اسْتَقْبَلْتُ أَبَا عَبْدِ اللهِ </w:t>
      </w:r>
      <w:r w:rsidRPr="0003660B">
        <w:rPr>
          <w:rStyle w:val="libAlaemChar"/>
          <w:rtl/>
        </w:rPr>
        <w:t>عليه‌السلام</w:t>
      </w:r>
      <w:r w:rsidRPr="00C9040A">
        <w:rPr>
          <w:rtl/>
          <w:lang w:bidi="fa-IR"/>
        </w:rPr>
        <w:t xml:space="preserve"> فِي طَرِيقٍ ، فَأَعْرَضْتُ عَنْهُ بِوَجْهِي </w:t>
      </w:r>
      <w:r w:rsidR="006C577F" w:rsidRPr="006C577F">
        <w:rPr>
          <w:rStyle w:val="libFootnotenumChar"/>
          <w:rtl/>
        </w:rPr>
        <w:t>(4)</w:t>
      </w:r>
      <w:r w:rsidRPr="00C9040A">
        <w:rPr>
          <w:rtl/>
          <w:lang w:bidi="fa-IR"/>
        </w:rPr>
        <w:t xml:space="preserve"> ، وَمَضَيْتُ ، فَدَخَلْتُ </w:t>
      </w:r>
      <w:r w:rsidR="006C577F" w:rsidRPr="006C577F">
        <w:rPr>
          <w:rStyle w:val="libFootnotenumChar"/>
          <w:rtl/>
        </w:rPr>
        <w:t>(5)</w:t>
      </w:r>
      <w:r w:rsidRPr="00C9040A">
        <w:rPr>
          <w:rtl/>
          <w:lang w:bidi="fa-IR"/>
        </w:rPr>
        <w:t xml:space="preserve"> عَلَيْهِ بَعْدَ ذلِكَ ، فَقُلْتُ : جُعِلْتُ فِدَاكَ ، إِنِّي لَأَلْقَاكَ </w:t>
      </w:r>
      <w:r w:rsidR="006C577F" w:rsidRPr="006C577F">
        <w:rPr>
          <w:rStyle w:val="libFootnotenumChar"/>
          <w:rtl/>
        </w:rPr>
        <w:t>(6)</w:t>
      </w:r>
      <w:r w:rsidRPr="005B567D">
        <w:rPr>
          <w:rStyle w:val="libFootnotenumChar"/>
          <w:rtl/>
        </w:rPr>
        <w:t xml:space="preserve"> </w:t>
      </w:r>
      <w:r w:rsidRPr="00C9040A">
        <w:rPr>
          <w:rtl/>
          <w:lang w:bidi="fa-IR"/>
        </w:rPr>
        <w:t xml:space="preserve">، فَأَصْرِفُ وَجْهِي كَرَاهَةَ </w:t>
      </w:r>
      <w:r w:rsidR="006C577F" w:rsidRPr="006C577F">
        <w:rPr>
          <w:rStyle w:val="libFootnotenumChar"/>
          <w:rtl/>
        </w:rPr>
        <w:t>(7)</w:t>
      </w:r>
      <w:r w:rsidRPr="00C9040A">
        <w:rPr>
          <w:rtl/>
          <w:lang w:bidi="fa-IR"/>
        </w:rPr>
        <w:t xml:space="preserve"> أَنْ أَشُقَّ عَلَيْكَ</w:t>
      </w:r>
      <w:r>
        <w:rPr>
          <w:rtl/>
          <w:lang w:bidi="fa-IR"/>
        </w:rPr>
        <w:t>؟</w:t>
      </w:r>
    </w:p>
    <w:p w:rsidR="008A74EB" w:rsidRPr="00C9040A" w:rsidRDefault="008A74EB" w:rsidP="008A74EB">
      <w:pPr>
        <w:pStyle w:val="libNormal"/>
        <w:rPr>
          <w:rtl/>
          <w:lang w:bidi="fa-IR"/>
        </w:rPr>
      </w:pPr>
      <w:r w:rsidRPr="00C9040A">
        <w:rPr>
          <w:rtl/>
          <w:lang w:bidi="fa-IR"/>
        </w:rPr>
        <w:t xml:space="preserve">فَقَالَ لِي </w:t>
      </w:r>
      <w:r w:rsidR="006C577F" w:rsidRPr="006C577F">
        <w:rPr>
          <w:rStyle w:val="libFootnotenumChar"/>
          <w:rtl/>
        </w:rPr>
        <w:t>(8)</w:t>
      </w:r>
      <w:r w:rsidRPr="00C9040A">
        <w:rPr>
          <w:rtl/>
          <w:lang w:bidi="fa-IR"/>
        </w:rPr>
        <w:t xml:space="preserve"> : « رَحِمَكَ اللهُ ، وَلكِنَّ </w:t>
      </w:r>
      <w:r w:rsidR="006C577F" w:rsidRPr="006C577F">
        <w:rPr>
          <w:rStyle w:val="libFootnotenumChar"/>
          <w:rtl/>
        </w:rPr>
        <w:t>(9)</w:t>
      </w:r>
      <w:r w:rsidRPr="00C9040A">
        <w:rPr>
          <w:rtl/>
          <w:lang w:bidi="fa-IR"/>
        </w:rPr>
        <w:t xml:space="preserve"> رَجُلاً </w:t>
      </w:r>
      <w:r w:rsidR="006C577F" w:rsidRPr="006C577F">
        <w:rPr>
          <w:rStyle w:val="libFootnotenumChar"/>
          <w:rtl/>
        </w:rPr>
        <w:t>(10)</w:t>
      </w:r>
      <w:r w:rsidRPr="00C9040A">
        <w:rPr>
          <w:rtl/>
          <w:lang w:bidi="fa-IR"/>
        </w:rPr>
        <w:t xml:space="preserve"> لَقِيَنِي أَمْسِ فِي مَوْضِعِ كَذَا وَكَذَا ، فَقَالَ :</w:t>
      </w:r>
      <w:r>
        <w:rPr>
          <w:rFonts w:hint="cs"/>
          <w:rtl/>
          <w:lang w:bidi="fa-IR"/>
        </w:rPr>
        <w:t xml:space="preserve"> </w:t>
      </w:r>
      <w:r w:rsidRPr="00C9040A">
        <w:rPr>
          <w:rtl/>
          <w:lang w:bidi="fa-IR"/>
        </w:rPr>
        <w:t xml:space="preserve">عَلَيْكَ السَّلَامُ </w:t>
      </w:r>
      <w:r w:rsidR="006C577F" w:rsidRPr="006C577F">
        <w:rPr>
          <w:rStyle w:val="libFootnotenumChar"/>
          <w:rtl/>
        </w:rPr>
        <w:t>(11)</w:t>
      </w:r>
      <w:r w:rsidRPr="00C9040A">
        <w:rPr>
          <w:rtl/>
          <w:lang w:bidi="fa-IR"/>
        </w:rPr>
        <w:t xml:space="preserve"> يَا أَبَا عَبْدِ اللهِ ، مَا أَحْسَنَ وَلَا أَجْمَلَ </w:t>
      </w:r>
      <w:r w:rsidR="006C577F" w:rsidRPr="006C577F">
        <w:rPr>
          <w:rStyle w:val="libFootnotenumChar"/>
          <w:rtl/>
        </w:rPr>
        <w:t>(12)</w:t>
      </w:r>
      <w:r w:rsidRPr="00C9040A">
        <w:rPr>
          <w:rtl/>
          <w:lang w:bidi="fa-IR"/>
        </w:rPr>
        <w:t xml:space="preserve"> »</w:t>
      </w:r>
      <w:r>
        <w:rPr>
          <w:rtl/>
          <w:lang w:bidi="fa-IR"/>
        </w:rPr>
        <w:t>.</w:t>
      </w:r>
      <w:r w:rsidRPr="00C9040A">
        <w:rPr>
          <w:rtl/>
          <w:lang w:bidi="fa-IR"/>
        </w:rPr>
        <w:t xml:space="preserve"> </w:t>
      </w:r>
      <w:r w:rsidRPr="005B567D">
        <w:rPr>
          <w:rStyle w:val="libFootnotenumChar"/>
          <w:rtl/>
        </w:rPr>
        <w:t>(13)</w:t>
      </w:r>
      <w:r w:rsidRPr="00C9040A">
        <w:rPr>
          <w:rtl/>
          <w:lang w:bidi="fa-IR"/>
        </w:rPr>
        <w:t xml:space="preserve"> ‌</w:t>
      </w:r>
    </w:p>
    <w:p w:rsidR="008A74EB" w:rsidRPr="00C9040A" w:rsidRDefault="008A74EB" w:rsidP="008A74EB">
      <w:pPr>
        <w:pStyle w:val="libNormal"/>
        <w:rPr>
          <w:rtl/>
          <w:lang w:bidi="fa-IR"/>
        </w:rPr>
      </w:pPr>
      <w:r w:rsidRPr="001A4FEC">
        <w:rPr>
          <w:rtl/>
        </w:rPr>
        <w:t>2250</w:t>
      </w:r>
      <w:r w:rsidRPr="00261CB0">
        <w:rPr>
          <w:rStyle w:val="libBold2Char"/>
          <w:rtl/>
        </w:rPr>
        <w:t xml:space="preserve"> / 10.</w:t>
      </w:r>
      <w:r w:rsidRPr="00C9040A">
        <w:rPr>
          <w:rtl/>
          <w:lang w:bidi="fa-IR"/>
        </w:rPr>
        <w:t xml:space="preserve"> عَلِيُّ بْنُ إِبْرَاهِيمَ ، عَنْ هَارُونَ بْنِ مُسْلِمٍ ، عَنْ مَسْعَدَةَ بْنِ صَدَقَةَ ، قَالَ :</w:t>
      </w:r>
    </w:p>
    <w:p w:rsidR="008A74EB" w:rsidRPr="00C9040A" w:rsidRDefault="008A74EB" w:rsidP="008A74EB">
      <w:pPr>
        <w:pStyle w:val="libNormal"/>
        <w:rPr>
          <w:rtl/>
          <w:lang w:bidi="fa-IR"/>
        </w:rPr>
      </w:pPr>
      <w:r w:rsidRPr="00C9040A">
        <w:rPr>
          <w:rtl/>
          <w:lang w:bidi="fa-IR"/>
        </w:rPr>
        <w:t xml:space="preserve">قِيلَ </w:t>
      </w:r>
      <w:r w:rsidRPr="005B567D">
        <w:rPr>
          <w:rStyle w:val="libFootnotenumChar"/>
          <w:rtl/>
        </w:rPr>
        <w:t>(14)</w:t>
      </w:r>
      <w:r w:rsidRPr="00C9040A">
        <w:rPr>
          <w:rtl/>
          <w:lang w:bidi="fa-IR"/>
        </w:rPr>
        <w:t xml:space="preserve"> لِأَبِي عَبْدِ اللهِ </w:t>
      </w:r>
      <w:r w:rsidRPr="0003660B">
        <w:rPr>
          <w:rStyle w:val="libAlaemChar"/>
          <w:rtl/>
        </w:rPr>
        <w:t>عليه‌السلام</w:t>
      </w:r>
      <w:r w:rsidRPr="00C9040A">
        <w:rPr>
          <w:rtl/>
          <w:lang w:bidi="fa-IR"/>
        </w:rPr>
        <w:t xml:space="preserve"> : إِنَّ النَّاسَ يَرْوُونَ أَنَّ عَلِيّاً </w:t>
      </w:r>
      <w:r w:rsidRPr="0003660B">
        <w:rPr>
          <w:rStyle w:val="libAlaemChar"/>
          <w:rtl/>
        </w:rPr>
        <w:t>عليه‌السلام</w:t>
      </w:r>
      <w:r w:rsidRPr="00C9040A">
        <w:rPr>
          <w:rtl/>
          <w:lang w:bidi="fa-IR"/>
        </w:rPr>
        <w:t xml:space="preserve"> قَالَ عَلى مِنْبَرِ الْكُوفَةِ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ف ، بر » : « أن » بفتح الهمزة. وفي حاشية « ف » : « أنّهم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زنرالرجل : ألبسه الزُّنّار ، وهو ما على وسط النصارى والمجوس. والجمع : زنانير. </w:t>
      </w:r>
      <w:r w:rsidR="008A74EB" w:rsidRPr="00993B55">
        <w:rPr>
          <w:rStyle w:val="libFootnoteBoldChar"/>
          <w:rtl/>
        </w:rPr>
        <w:t>القاموس المحيط</w:t>
      </w:r>
      <w:r w:rsidR="008A74EB" w:rsidRPr="00C9040A">
        <w:rPr>
          <w:rtl/>
        </w:rPr>
        <w:t xml:space="preserve"> ، ج 1 ، ص 566 ؛ </w:t>
      </w:r>
      <w:r w:rsidR="008A74EB" w:rsidRPr="00993B55">
        <w:rPr>
          <w:rStyle w:val="libFootnoteBoldChar"/>
          <w:rtl/>
        </w:rPr>
        <w:t>مجمع البحرين</w:t>
      </w:r>
      <w:r w:rsidR="008A74EB" w:rsidRPr="00C9040A">
        <w:rPr>
          <w:rtl/>
        </w:rPr>
        <w:t xml:space="preserve"> ، ج 3 ، ص 319 ( زنر )</w:t>
      </w:r>
      <w:r w:rsidR="008A74EB">
        <w:rPr>
          <w:rtl/>
        </w:rPr>
        <w:t>.</w:t>
      </w:r>
    </w:p>
    <w:p w:rsidR="008A74EB" w:rsidRPr="00C9040A" w:rsidRDefault="006C577F" w:rsidP="002662FE">
      <w:pPr>
        <w:pStyle w:val="libFootnote0"/>
        <w:rPr>
          <w:rtl/>
          <w:lang w:bidi="fa-IR"/>
        </w:rPr>
      </w:pPr>
      <w:r>
        <w:rPr>
          <w:rtl/>
        </w:rPr>
        <w:t>(3).</w:t>
      </w:r>
      <w:r w:rsidR="008A74EB" w:rsidRPr="00C9040A">
        <w:rPr>
          <w:rtl/>
        </w:rPr>
        <w:t xml:space="preserve"> </w:t>
      </w:r>
      <w:r w:rsidR="008A74EB" w:rsidRPr="00993B55">
        <w:rPr>
          <w:rStyle w:val="libFootnoteBoldChar"/>
          <w:rtl/>
        </w:rPr>
        <w:t>تفسير العيّاشي</w:t>
      </w:r>
      <w:r w:rsidR="008A74EB" w:rsidRPr="00C9040A">
        <w:rPr>
          <w:rtl/>
        </w:rPr>
        <w:t xml:space="preserve"> ، ج 2 ، ص 323 ، ح 9 ، عن درست ، عن أبي‌عبدالله </w:t>
      </w:r>
      <w:r w:rsidR="00117575" w:rsidRPr="00117575">
        <w:rPr>
          <w:rStyle w:val="libFootnoteAlaemChar"/>
          <w:rtl/>
        </w:rPr>
        <w:t xml:space="preserve">عليه‌السلام </w:t>
      </w:r>
      <w:r w:rsidR="002662FE">
        <w:rPr>
          <w:rFonts w:hint="cs"/>
          <w:rtl/>
        </w:rPr>
        <w:t>.</w:t>
      </w:r>
      <w:r w:rsidR="008A74EB" w:rsidRPr="00993B55">
        <w:rPr>
          <w:rStyle w:val="libFootnoteBoldChar"/>
          <w:rtl/>
        </w:rPr>
        <w:t>الوافي</w:t>
      </w:r>
      <w:r w:rsidR="008A74EB" w:rsidRPr="00C9040A">
        <w:rPr>
          <w:rtl/>
        </w:rPr>
        <w:t xml:space="preserve"> ، ج 5 ، ص 688 ، ح 2884 ؛ </w:t>
      </w:r>
      <w:r w:rsidR="008A74EB" w:rsidRPr="00993B55">
        <w:rPr>
          <w:rStyle w:val="libFootnoteBoldChar"/>
          <w:rtl/>
        </w:rPr>
        <w:t>الوسائل</w:t>
      </w:r>
      <w:r w:rsidR="008A74EB" w:rsidRPr="00C9040A">
        <w:rPr>
          <w:rtl/>
        </w:rPr>
        <w:t xml:space="preserve"> ، ج 16 ، ص 219 ، ح 21402 ؛ </w:t>
      </w:r>
      <w:r w:rsidR="008A74EB" w:rsidRPr="00993B55">
        <w:rPr>
          <w:rStyle w:val="libFootnoteBoldChar"/>
          <w:rtl/>
        </w:rPr>
        <w:t>البحار</w:t>
      </w:r>
      <w:r w:rsidR="008A74EB" w:rsidRPr="00C9040A">
        <w:rPr>
          <w:rtl/>
        </w:rPr>
        <w:t xml:space="preserve"> ، ج 14 ، ص 428 ، ح 14 ؛ وج 75 ، ص 429 ، ح 88.</w:t>
      </w:r>
    </w:p>
    <w:tbl>
      <w:tblPr>
        <w:tblStyle w:val="TableGrid"/>
        <w:bidiVisual/>
        <w:tblW w:w="0" w:type="auto"/>
        <w:tblLook w:val="04A0" w:firstRow="1" w:lastRow="0" w:firstColumn="1" w:lastColumn="0" w:noHBand="0" w:noVBand="1"/>
      </w:tblPr>
      <w:tblGrid>
        <w:gridCol w:w="4006"/>
        <w:gridCol w:w="4006"/>
      </w:tblGrid>
      <w:tr w:rsidR="002662FE" w:rsidTr="002662FE">
        <w:tc>
          <w:tcPr>
            <w:tcW w:w="4006" w:type="dxa"/>
          </w:tcPr>
          <w:p w:rsidR="002662FE" w:rsidRDefault="002662FE" w:rsidP="004A4E41">
            <w:pPr>
              <w:pStyle w:val="libFootnote0"/>
              <w:rPr>
                <w:rtl/>
              </w:rPr>
            </w:pPr>
            <w:r>
              <w:rPr>
                <w:rtl/>
              </w:rPr>
              <w:t>(4). في «ه» : «</w:t>
            </w:r>
            <w:r w:rsidRPr="00C9040A">
              <w:rPr>
                <w:rtl/>
              </w:rPr>
              <w:t>وجهي عنه » بدل « عنه بوجهي »</w:t>
            </w:r>
            <w:r>
              <w:rPr>
                <w:rtl/>
              </w:rPr>
              <w:t>.</w:t>
            </w:r>
          </w:p>
        </w:tc>
        <w:tc>
          <w:tcPr>
            <w:tcW w:w="4006" w:type="dxa"/>
          </w:tcPr>
          <w:p w:rsidR="002662FE" w:rsidRDefault="002662FE" w:rsidP="004A4E41">
            <w:pPr>
              <w:pStyle w:val="libFootnote0"/>
              <w:rPr>
                <w:rtl/>
              </w:rPr>
            </w:pPr>
            <w:r>
              <w:rPr>
                <w:rtl/>
              </w:rPr>
              <w:t>(5).</w:t>
            </w:r>
            <w:r w:rsidRPr="00C9040A">
              <w:rPr>
                <w:rtl/>
              </w:rPr>
              <w:t xml:space="preserve"> في « بف » : « ودخلت »</w:t>
            </w:r>
            <w:r>
              <w:rPr>
                <w:rtl/>
              </w:rPr>
              <w:t>.</w:t>
            </w:r>
          </w:p>
        </w:tc>
      </w:tr>
      <w:tr w:rsidR="002662FE" w:rsidTr="002662FE">
        <w:tc>
          <w:tcPr>
            <w:tcW w:w="4006" w:type="dxa"/>
          </w:tcPr>
          <w:p w:rsidR="002662FE" w:rsidRDefault="002662FE" w:rsidP="004A4E41">
            <w:pPr>
              <w:pStyle w:val="libFootnote0"/>
              <w:rPr>
                <w:rtl/>
              </w:rPr>
            </w:pPr>
            <w:r>
              <w:rPr>
                <w:rtl/>
              </w:rPr>
              <w:t xml:space="preserve">(6). </w:t>
            </w:r>
            <w:r w:rsidRPr="00C9040A">
              <w:rPr>
                <w:rtl/>
              </w:rPr>
              <w:t xml:space="preserve">في « </w:t>
            </w:r>
            <w:r>
              <w:rPr>
                <w:rtl/>
              </w:rPr>
              <w:t xml:space="preserve">ه </w:t>
            </w:r>
            <w:r w:rsidRPr="00C9040A">
              <w:rPr>
                <w:rtl/>
              </w:rPr>
              <w:t>» : « ألقاك »</w:t>
            </w:r>
            <w:r>
              <w:rPr>
                <w:rtl/>
              </w:rPr>
              <w:t>.</w:t>
            </w:r>
          </w:p>
        </w:tc>
        <w:tc>
          <w:tcPr>
            <w:tcW w:w="4006" w:type="dxa"/>
          </w:tcPr>
          <w:p w:rsidR="002662FE" w:rsidRDefault="002662FE" w:rsidP="004A4E41">
            <w:pPr>
              <w:pStyle w:val="libFootnote0"/>
              <w:rPr>
                <w:rtl/>
              </w:rPr>
            </w:pPr>
            <w:r>
              <w:rPr>
                <w:rtl/>
              </w:rPr>
              <w:t>(7).</w:t>
            </w:r>
            <w:r w:rsidRPr="00C9040A">
              <w:rPr>
                <w:rtl/>
              </w:rPr>
              <w:t xml:space="preserve"> في « </w:t>
            </w:r>
            <w:r>
              <w:rPr>
                <w:rtl/>
              </w:rPr>
              <w:t xml:space="preserve">ه </w:t>
            </w:r>
            <w:r w:rsidRPr="00C9040A">
              <w:rPr>
                <w:rtl/>
              </w:rPr>
              <w:t>» : « كراهية »</w:t>
            </w:r>
            <w:r>
              <w:rPr>
                <w:rtl/>
              </w:rPr>
              <w:t>.</w:t>
            </w:r>
          </w:p>
        </w:tc>
      </w:tr>
    </w:tbl>
    <w:p w:rsidR="008A74EB" w:rsidRPr="00C9040A" w:rsidRDefault="006C577F" w:rsidP="004A4E41">
      <w:pPr>
        <w:pStyle w:val="libFootnote0"/>
        <w:rPr>
          <w:rtl/>
          <w:lang w:bidi="fa-IR"/>
        </w:rPr>
      </w:pPr>
      <w:r>
        <w:rPr>
          <w:rtl/>
        </w:rPr>
        <w:t>(8).</w:t>
      </w:r>
      <w:r w:rsidR="008A74EB" w:rsidRPr="00C9040A">
        <w:rPr>
          <w:rtl/>
        </w:rPr>
        <w:t xml:space="preserve"> في « </w:t>
      </w:r>
      <w:r w:rsidR="006D3162">
        <w:rPr>
          <w:rtl/>
        </w:rPr>
        <w:t xml:space="preserve">ه </w:t>
      </w:r>
      <w:r w:rsidR="008A74EB" w:rsidRPr="00C9040A">
        <w:rPr>
          <w:rtl/>
        </w:rPr>
        <w:t xml:space="preserve">، بف » </w:t>
      </w:r>
      <w:r w:rsidR="008A74EB">
        <w:rPr>
          <w:rtl/>
        </w:rPr>
        <w:t xml:space="preserve">: </w:t>
      </w:r>
      <w:r w:rsidR="0084262C">
        <w:rPr>
          <w:rtl/>
        </w:rPr>
        <w:t>-</w:t>
      </w:r>
      <w:r w:rsidR="008A74EB" w:rsidRPr="00C9040A">
        <w:rPr>
          <w:rtl/>
        </w:rPr>
        <w:t xml:space="preserve"> « لي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ب ، ج ، د ، ز ، ص ، ض ، بر ، بس ، بف » والبحار : « لكنّ » بدون الواو.</w:t>
      </w:r>
    </w:p>
    <w:tbl>
      <w:tblPr>
        <w:tblStyle w:val="TableGrid"/>
        <w:bidiVisual/>
        <w:tblW w:w="0" w:type="auto"/>
        <w:tblLook w:val="04A0" w:firstRow="1" w:lastRow="0" w:firstColumn="1" w:lastColumn="0" w:noHBand="0" w:noVBand="1"/>
      </w:tblPr>
      <w:tblGrid>
        <w:gridCol w:w="4006"/>
        <w:gridCol w:w="4006"/>
      </w:tblGrid>
      <w:tr w:rsidR="002662FE" w:rsidTr="002662FE">
        <w:tc>
          <w:tcPr>
            <w:tcW w:w="4006" w:type="dxa"/>
          </w:tcPr>
          <w:p w:rsidR="002662FE" w:rsidRDefault="002662FE" w:rsidP="004A4E41">
            <w:pPr>
              <w:pStyle w:val="libFootnote0"/>
              <w:rPr>
                <w:rtl/>
              </w:rPr>
            </w:pPr>
            <w:r>
              <w:rPr>
                <w:rtl/>
              </w:rPr>
              <w:t>(10). في «ز» : «رجلٌ» ، فلابدّ من تخفيف «لكن</w:t>
            </w:r>
            <w:r w:rsidRPr="00C9040A">
              <w:rPr>
                <w:rtl/>
              </w:rPr>
              <w:t>»</w:t>
            </w:r>
            <w:r>
              <w:rPr>
                <w:rtl/>
              </w:rPr>
              <w:t>.</w:t>
            </w:r>
          </w:p>
        </w:tc>
        <w:tc>
          <w:tcPr>
            <w:tcW w:w="4006" w:type="dxa"/>
          </w:tcPr>
          <w:p w:rsidR="002662FE" w:rsidRDefault="002662FE" w:rsidP="004A4E41">
            <w:pPr>
              <w:pStyle w:val="libFootnote0"/>
              <w:rPr>
                <w:rtl/>
              </w:rPr>
            </w:pPr>
            <w:r>
              <w:rPr>
                <w:rtl/>
              </w:rPr>
              <w:t>(11).</w:t>
            </w:r>
            <w:r w:rsidRPr="00C9040A">
              <w:rPr>
                <w:rtl/>
              </w:rPr>
              <w:t xml:space="preserve"> في « ب ، بر » : « السلام عليك »</w:t>
            </w:r>
            <w:r>
              <w:rPr>
                <w:rtl/>
              </w:rPr>
              <w:t>.</w:t>
            </w:r>
          </w:p>
        </w:tc>
      </w:tr>
    </w:tbl>
    <w:p w:rsidR="008A74EB" w:rsidRPr="00C9040A" w:rsidRDefault="006C577F" w:rsidP="004A4E41">
      <w:pPr>
        <w:pStyle w:val="libFootnote0"/>
        <w:rPr>
          <w:rtl/>
          <w:lang w:bidi="fa-IR"/>
        </w:rPr>
      </w:pPr>
      <w:r>
        <w:rPr>
          <w:rtl/>
        </w:rPr>
        <w:t>(12).</w:t>
      </w:r>
      <w:r w:rsidR="008A74EB" w:rsidRPr="00C9040A">
        <w:rPr>
          <w:rtl/>
        </w:rPr>
        <w:t xml:space="preserve"> في « بس » : « ولا أجلّ »</w:t>
      </w:r>
      <w:r w:rsidR="008A74EB">
        <w:rPr>
          <w:rtl/>
        </w:rPr>
        <w:t>.</w:t>
      </w:r>
      <w:r w:rsidR="008A74EB" w:rsidRPr="00C9040A">
        <w:rPr>
          <w:rtl/>
        </w:rPr>
        <w:t xml:space="preserve"> وفي </w:t>
      </w:r>
      <w:r w:rsidR="008A74EB" w:rsidRPr="00993B55">
        <w:rPr>
          <w:rStyle w:val="libFootnoteBoldChar"/>
          <w:rtl/>
        </w:rPr>
        <w:t>الوافي</w:t>
      </w:r>
      <w:r w:rsidR="008A74EB" w:rsidRPr="00C9040A">
        <w:rPr>
          <w:rtl/>
        </w:rPr>
        <w:t xml:space="preserve"> : « أي لم يفعل حسناً ولا جميلاً »</w:t>
      </w:r>
      <w:r w:rsidR="008A74EB">
        <w:rPr>
          <w:rtl/>
        </w:rPr>
        <w:t>.</w:t>
      </w:r>
      <w:r w:rsidR="008A74EB" w:rsidRPr="00C9040A">
        <w:rPr>
          <w:rtl/>
        </w:rPr>
        <w:t xml:space="preserve"> حيث ترك التقيّة وسلّم على وجه المعرفة والإكرام بمحضر المخالفين.</w:t>
      </w:r>
    </w:p>
    <w:p w:rsidR="008A74EB" w:rsidRPr="00C9040A" w:rsidRDefault="008A74EB" w:rsidP="004A4E41">
      <w:pPr>
        <w:pStyle w:val="libFootnote0"/>
        <w:rPr>
          <w:rtl/>
          <w:lang w:bidi="fa-IR"/>
        </w:rPr>
      </w:pPr>
      <w:r>
        <w:rPr>
          <w:rtl/>
        </w:rPr>
        <w:t>(13)</w:t>
      </w:r>
      <w:r w:rsidRPr="00C9040A">
        <w:rPr>
          <w:rtl/>
        </w:rPr>
        <w:t xml:space="preserve"> </w:t>
      </w:r>
      <w:r w:rsidRPr="00993B55">
        <w:rPr>
          <w:rStyle w:val="libFootnoteBoldChar"/>
          <w:rtl/>
        </w:rPr>
        <w:t>الوافي</w:t>
      </w:r>
      <w:r w:rsidRPr="00C9040A">
        <w:rPr>
          <w:rtl/>
        </w:rPr>
        <w:t xml:space="preserve"> ، ج 5 ، ص 688 ، ح 2885 ؛ </w:t>
      </w:r>
      <w:r w:rsidRPr="00993B55">
        <w:rPr>
          <w:rStyle w:val="libFootnoteBoldChar"/>
          <w:rtl/>
        </w:rPr>
        <w:t>البحار</w:t>
      </w:r>
      <w:r w:rsidRPr="00C9040A">
        <w:rPr>
          <w:rtl/>
        </w:rPr>
        <w:t xml:space="preserve"> ، ج 75 ، ص 429 ، ح 89.</w:t>
      </w:r>
    </w:p>
    <w:p w:rsidR="008A74EB" w:rsidRPr="00C9040A" w:rsidRDefault="008A74EB" w:rsidP="004A4E41">
      <w:pPr>
        <w:pStyle w:val="libFootnote0"/>
        <w:rPr>
          <w:rtl/>
          <w:lang w:bidi="fa-IR"/>
        </w:rPr>
      </w:pPr>
      <w:r>
        <w:rPr>
          <w:rtl/>
        </w:rPr>
        <w:t>(14)</w:t>
      </w:r>
      <w:r w:rsidRPr="00C9040A">
        <w:rPr>
          <w:rtl/>
        </w:rPr>
        <w:t xml:space="preserve"> في الوسائل : « قلت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 أَيُّهَا النَّاسُ ، إِنَّكُمْ سَتُدْعَوْنَ إِلى سَبِّي ، فَسُبُّونِي ، ثُمَّ تُدْعَوْنَ </w:t>
      </w:r>
      <w:r w:rsidR="006C577F" w:rsidRPr="006C577F">
        <w:rPr>
          <w:rStyle w:val="libFootnotenumChar"/>
          <w:rtl/>
        </w:rPr>
        <w:t>(1)</w:t>
      </w:r>
      <w:r w:rsidRPr="00C9040A">
        <w:rPr>
          <w:rtl/>
          <w:lang w:bidi="fa-IR"/>
        </w:rPr>
        <w:t xml:space="preserve"> إِلَى الْبَرَاءَةِ مِنِّي ، فَلَا تَبَرَّؤُوا </w:t>
      </w:r>
      <w:r w:rsidR="006C577F" w:rsidRPr="006C577F">
        <w:rPr>
          <w:rStyle w:val="libFootnotenumChar"/>
          <w:rtl/>
        </w:rPr>
        <w:t>(2)</w:t>
      </w:r>
      <w:r w:rsidRPr="00C9040A">
        <w:rPr>
          <w:rtl/>
          <w:lang w:bidi="fa-IR"/>
        </w:rPr>
        <w:t xml:space="preserve"> مِنِّي »</w:t>
      </w:r>
      <w:r>
        <w:rPr>
          <w:rtl/>
          <w:lang w:bidi="fa-IR"/>
        </w:rPr>
        <w:t>؟</w:t>
      </w:r>
    </w:p>
    <w:p w:rsidR="008A74EB" w:rsidRPr="00C9040A" w:rsidRDefault="008A74EB" w:rsidP="00585CC4">
      <w:pPr>
        <w:pStyle w:val="libNormal"/>
        <w:rPr>
          <w:rtl/>
          <w:lang w:bidi="fa-IR"/>
        </w:rPr>
      </w:pPr>
      <w:r w:rsidRPr="00C9040A">
        <w:rPr>
          <w:rtl/>
          <w:lang w:bidi="fa-IR"/>
        </w:rPr>
        <w:t xml:space="preserve">فَقَالَ </w:t>
      </w:r>
      <w:r w:rsidR="006C577F" w:rsidRPr="006C577F">
        <w:rPr>
          <w:rStyle w:val="libFootnotenumChar"/>
          <w:rtl/>
        </w:rPr>
        <w:t>(3)</w:t>
      </w:r>
      <w:r w:rsidRPr="00C9040A">
        <w:rPr>
          <w:rtl/>
          <w:lang w:bidi="fa-IR"/>
        </w:rPr>
        <w:t xml:space="preserve"> : « مَا أَكْثَرَ مَا يَكْذِبُ النَّاسُ عَلى عَلِيٍّ </w:t>
      </w:r>
      <w:r w:rsidRPr="0003660B">
        <w:rPr>
          <w:rStyle w:val="libAlaemChar"/>
          <w:rtl/>
        </w:rPr>
        <w:t>عليه‌السلام</w:t>
      </w:r>
      <w:r>
        <w:rPr>
          <w:rtl/>
          <w:lang w:bidi="fa-IR"/>
        </w:rPr>
        <w:t>!</w:t>
      </w:r>
      <w:r w:rsidR="00585CC4">
        <w:rPr>
          <w:rtl/>
          <w:lang w:bidi="fa-IR"/>
        </w:rPr>
        <w:t xml:space="preserve"> »</w:t>
      </w:r>
    </w:p>
    <w:p w:rsidR="008A74EB" w:rsidRPr="00C9040A" w:rsidRDefault="008A74EB" w:rsidP="008A74EB">
      <w:pPr>
        <w:pStyle w:val="libNormal"/>
        <w:rPr>
          <w:rtl/>
          <w:lang w:bidi="fa-IR"/>
        </w:rPr>
      </w:pPr>
      <w:r w:rsidRPr="00C9040A">
        <w:rPr>
          <w:rtl/>
          <w:lang w:bidi="fa-IR"/>
        </w:rPr>
        <w:t xml:space="preserve">ثُمَّ قَالَ : « إِنَّمَا قَالَ : إِنَّكُمْ سَتُدْعَوْنَ </w:t>
      </w:r>
      <w:r w:rsidR="006C577F" w:rsidRPr="006C577F">
        <w:rPr>
          <w:rStyle w:val="libFootnotenumChar"/>
          <w:rtl/>
        </w:rPr>
        <w:t>(4)</w:t>
      </w:r>
      <w:r w:rsidRPr="00C9040A">
        <w:rPr>
          <w:rtl/>
          <w:lang w:bidi="fa-IR"/>
        </w:rPr>
        <w:t xml:space="preserve"> إِلى سَبِّي ، فَسُبُّونِي ، ثُمَّ سَتُدْعَوْنَ إِلَى الْبَرَاءَةِ مِنِّي </w:t>
      </w:r>
      <w:r w:rsidR="006C577F" w:rsidRPr="006C577F">
        <w:rPr>
          <w:rStyle w:val="libFootnotenumChar"/>
          <w:rtl/>
        </w:rPr>
        <w:t>(5)</w:t>
      </w:r>
      <w:r w:rsidRPr="00C9040A">
        <w:rPr>
          <w:rtl/>
          <w:lang w:bidi="fa-IR"/>
        </w:rPr>
        <w:t xml:space="preserve"> ، وَإِنِّي لَعَلى دِينِ مُحَمَّدٍ </w:t>
      </w:r>
      <w:r w:rsidR="004A4E41" w:rsidRPr="004A4E41">
        <w:rPr>
          <w:rStyle w:val="libAlaemChar"/>
          <w:rtl/>
        </w:rPr>
        <w:t>صلى‌الله‌عليه‌وآله</w:t>
      </w:r>
      <w:r w:rsidRPr="00C9040A">
        <w:rPr>
          <w:rtl/>
          <w:lang w:bidi="fa-IR"/>
        </w:rPr>
        <w:t xml:space="preserve"> ، وَلَمْ يَقُلْ : لَاتَبَرَّؤُوا </w:t>
      </w:r>
      <w:r w:rsidR="006C577F" w:rsidRPr="006C577F">
        <w:rPr>
          <w:rStyle w:val="libFootnotenumChar"/>
          <w:rtl/>
        </w:rPr>
        <w:t>(6)</w:t>
      </w:r>
      <w:r w:rsidRPr="005B567D">
        <w:rPr>
          <w:rStyle w:val="libFootnotenumChar"/>
          <w:rtl/>
        </w:rPr>
        <w:t xml:space="preserve"> </w:t>
      </w:r>
      <w:r w:rsidRPr="00C9040A">
        <w:rPr>
          <w:rtl/>
          <w:lang w:bidi="fa-IR"/>
        </w:rPr>
        <w:t>مِنِّي »</w:t>
      </w:r>
      <w:r>
        <w:rPr>
          <w:rtl/>
          <w:lang w:bidi="fa-IR"/>
        </w:rPr>
        <w:t>.</w:t>
      </w:r>
    </w:p>
    <w:p w:rsidR="008A74EB" w:rsidRPr="00C9040A" w:rsidRDefault="008A74EB" w:rsidP="008A74EB">
      <w:pPr>
        <w:pStyle w:val="libNormal"/>
        <w:rPr>
          <w:rtl/>
          <w:lang w:bidi="fa-IR"/>
        </w:rPr>
      </w:pPr>
      <w:r>
        <w:rPr>
          <w:rtl/>
          <w:lang w:bidi="fa-IR"/>
        </w:rPr>
        <w:t>فَقَالَ لَهُ السَّائِلُ : أَ</w:t>
      </w:r>
      <w:r w:rsidRPr="00C9040A">
        <w:rPr>
          <w:rtl/>
          <w:lang w:bidi="fa-IR"/>
        </w:rPr>
        <w:t>رَأَيْتَ ، إِنِ اخْتَارَ الْقَتْلَ دُونَ الْبَرَاءَةِ</w:t>
      </w:r>
      <w:r>
        <w:rPr>
          <w:rtl/>
          <w:lang w:bidi="fa-IR"/>
        </w:rPr>
        <w:t>؟</w:t>
      </w:r>
    </w:p>
    <w:p w:rsidR="008A74EB" w:rsidRPr="00C9040A" w:rsidRDefault="008A74EB" w:rsidP="008A74EB">
      <w:pPr>
        <w:pStyle w:val="libNormal"/>
        <w:rPr>
          <w:rtl/>
          <w:lang w:bidi="fa-IR"/>
        </w:rPr>
      </w:pPr>
      <w:r w:rsidRPr="00C9040A">
        <w:rPr>
          <w:rtl/>
          <w:lang w:bidi="fa-IR"/>
        </w:rPr>
        <w:t xml:space="preserve">فَقَالَ : « وَاللهِ ، مَا ذلِكَ </w:t>
      </w:r>
      <w:r w:rsidR="006C577F" w:rsidRPr="006C577F">
        <w:rPr>
          <w:rStyle w:val="libFootnotenumChar"/>
          <w:rtl/>
        </w:rPr>
        <w:t>(7)</w:t>
      </w:r>
      <w:r w:rsidR="003B7564">
        <w:rPr>
          <w:rtl/>
          <w:lang w:bidi="fa-IR"/>
        </w:rPr>
        <w:t xml:space="preserve"> عَلَيْهِ وَمَا لَهُ إِل</w:t>
      </w:r>
      <w:r w:rsidR="003B7564">
        <w:rPr>
          <w:rFonts w:hint="cs"/>
          <w:rtl/>
          <w:lang w:bidi="fa-IR"/>
        </w:rPr>
        <w:t>َّ</w:t>
      </w:r>
      <w:r w:rsidR="003B7564">
        <w:rPr>
          <w:rtl/>
          <w:lang w:bidi="fa-IR"/>
        </w:rPr>
        <w:t>ا</w:t>
      </w:r>
      <w:r w:rsidRPr="00C9040A">
        <w:rPr>
          <w:rtl/>
          <w:lang w:bidi="fa-IR"/>
        </w:rPr>
        <w:t xml:space="preserve"> مَا مَضى عَلَيْهِ عَمَّارُ بْنُ يَاسِرٍ ، حَيْثُ أَكْرَهَهُ أَهْلُ مَكَّةَ وَقَلْبُهُ مُطْمَئِنٌّ بِالْإِيمَانِ ، فَأَنْزَلَ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فِيهِ </w:t>
      </w:r>
      <w:r w:rsidR="006C577F" w:rsidRPr="006C577F">
        <w:rPr>
          <w:rStyle w:val="libFootnotenumChar"/>
          <w:rtl/>
        </w:rPr>
        <w:t>(8)</w:t>
      </w:r>
      <w:r w:rsidRPr="00C9040A">
        <w:rPr>
          <w:rtl/>
          <w:lang w:bidi="fa-IR"/>
        </w:rPr>
        <w:t xml:space="preserve"> : </w:t>
      </w:r>
      <w:r w:rsidRPr="0003660B">
        <w:rPr>
          <w:rStyle w:val="libAlaemChar"/>
          <w:rtl/>
        </w:rPr>
        <w:t>(</w:t>
      </w:r>
      <w:r w:rsidR="003B7564">
        <w:rPr>
          <w:rStyle w:val="libAieChar"/>
          <w:rtl/>
        </w:rPr>
        <w:t xml:space="preserve"> إِل</w:t>
      </w:r>
      <w:r w:rsidR="003B7564">
        <w:rPr>
          <w:rStyle w:val="libAieChar"/>
          <w:rFonts w:hint="cs"/>
          <w:rtl/>
        </w:rPr>
        <w:t>َّ</w:t>
      </w:r>
      <w:r w:rsidR="003B7564">
        <w:rPr>
          <w:rStyle w:val="libAieChar"/>
          <w:rtl/>
        </w:rPr>
        <w:t>ا</w:t>
      </w:r>
      <w:r w:rsidRPr="006A2246">
        <w:rPr>
          <w:rStyle w:val="libAieChar"/>
          <w:rtl/>
        </w:rPr>
        <w:t xml:space="preserve"> مَنْ أُكْرِهَ وَقَلْبُهُ مُطْمَئِنٌّ بِالْإِيمانِ </w:t>
      </w:r>
      <w:r w:rsidRPr="0003660B">
        <w:rPr>
          <w:rStyle w:val="libAlaemChar"/>
          <w:rtl/>
        </w:rPr>
        <w:t>)</w:t>
      </w:r>
      <w:r w:rsidRPr="00C9040A">
        <w:rPr>
          <w:rtl/>
          <w:lang w:bidi="fa-IR"/>
        </w:rPr>
        <w:t xml:space="preserve"> </w:t>
      </w:r>
      <w:r w:rsidR="006C577F" w:rsidRPr="006C577F">
        <w:rPr>
          <w:rStyle w:val="libFootnotenumChar"/>
          <w:rtl/>
        </w:rPr>
        <w:t>(9)</w:t>
      </w:r>
      <w:r w:rsidRPr="00C9040A">
        <w:rPr>
          <w:rtl/>
          <w:lang w:bidi="fa-IR"/>
        </w:rPr>
        <w:t xml:space="preserve"> فَقَالَ لَهُ </w:t>
      </w:r>
      <w:r w:rsidR="006C577F" w:rsidRPr="006C577F">
        <w:rPr>
          <w:rStyle w:val="libFootnotenumChar"/>
          <w:rtl/>
        </w:rPr>
        <w:t>(10)</w:t>
      </w:r>
      <w:r w:rsidRPr="00C9040A">
        <w:rPr>
          <w:rtl/>
          <w:lang w:bidi="fa-IR"/>
        </w:rPr>
        <w:t xml:space="preserve"> النَّبِيُّ </w:t>
      </w:r>
      <w:r w:rsidR="004A4E41" w:rsidRPr="004A4E41">
        <w:rPr>
          <w:rStyle w:val="libAlaemChar"/>
          <w:rtl/>
        </w:rPr>
        <w:t>صلى‌الله‌عليه‌وآله</w:t>
      </w:r>
      <w:r w:rsidRPr="00C9040A">
        <w:rPr>
          <w:rtl/>
          <w:lang w:bidi="fa-IR"/>
        </w:rPr>
        <w:t xml:space="preserve"> عِنْدَهَا : يَا عَمَّارُ ، إِنْ عَادُوا فَعُدْ ؛ فَقَدْ </w:t>
      </w:r>
      <w:r w:rsidR="006C577F" w:rsidRPr="006C577F">
        <w:rPr>
          <w:rStyle w:val="libFootnotenumChar"/>
          <w:rtl/>
        </w:rPr>
        <w:t>(11)</w:t>
      </w:r>
      <w:r w:rsidRPr="00C9040A">
        <w:rPr>
          <w:rtl/>
          <w:lang w:bidi="fa-IR"/>
        </w:rPr>
        <w:t xml:space="preserve"> أَنْزَلَ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عُذْرَكَ </w:t>
      </w:r>
      <w:r w:rsidR="006C577F" w:rsidRPr="006C577F">
        <w:rPr>
          <w:rStyle w:val="libFootnotenumChar"/>
          <w:rtl/>
        </w:rPr>
        <w:t>(12)</w:t>
      </w:r>
      <w:r w:rsidRPr="00C9040A">
        <w:rPr>
          <w:rtl/>
          <w:lang w:bidi="fa-IR"/>
        </w:rPr>
        <w:t xml:space="preserve"> ، وَأَمَرَكَ </w:t>
      </w:r>
      <w:r w:rsidRPr="005B567D">
        <w:rPr>
          <w:rStyle w:val="libFootnotenumChar"/>
          <w:rtl/>
        </w:rPr>
        <w:t>(13)</w:t>
      </w:r>
      <w:r w:rsidRPr="00C9040A">
        <w:rPr>
          <w:rtl/>
          <w:lang w:bidi="fa-IR"/>
        </w:rPr>
        <w:t xml:space="preserve"> أَنْ تَعُودَ إِنْ عَادُوا »</w:t>
      </w:r>
      <w:r>
        <w:rPr>
          <w:rtl/>
          <w:lang w:bidi="fa-IR"/>
        </w:rPr>
        <w:t>.</w:t>
      </w:r>
      <w:r w:rsidRPr="00C9040A">
        <w:rPr>
          <w:rtl/>
          <w:lang w:bidi="fa-IR"/>
        </w:rPr>
        <w:t xml:space="preserve"> </w:t>
      </w:r>
      <w:r w:rsidRPr="005B567D">
        <w:rPr>
          <w:rStyle w:val="libFootnotenumChar"/>
          <w:rtl/>
        </w:rPr>
        <w:t>(14)</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3B7564" w:rsidTr="003B7564">
        <w:tc>
          <w:tcPr>
            <w:tcW w:w="4006" w:type="dxa"/>
          </w:tcPr>
          <w:p w:rsidR="003B7564" w:rsidRDefault="003B7564" w:rsidP="004A4E41">
            <w:pPr>
              <w:pStyle w:val="libFootnote0"/>
              <w:rPr>
                <w:rtl/>
              </w:rPr>
            </w:pPr>
            <w:r>
              <w:rPr>
                <w:rtl/>
              </w:rPr>
              <w:t xml:space="preserve">(1). </w:t>
            </w:r>
            <w:r w:rsidRPr="00C9040A">
              <w:rPr>
                <w:rtl/>
              </w:rPr>
              <w:t>في « ز » والبحار ، ج 75 : « ثمّ ستدعون »</w:t>
            </w:r>
            <w:r>
              <w:rPr>
                <w:rtl/>
              </w:rPr>
              <w:t>.</w:t>
            </w:r>
          </w:p>
        </w:tc>
        <w:tc>
          <w:tcPr>
            <w:tcW w:w="4006" w:type="dxa"/>
          </w:tcPr>
          <w:p w:rsidR="003B7564" w:rsidRDefault="003B7564" w:rsidP="004A4E41">
            <w:pPr>
              <w:pStyle w:val="libFootnote0"/>
              <w:rPr>
                <w:rtl/>
              </w:rPr>
            </w:pPr>
            <w:r>
              <w:rPr>
                <w:rtl/>
              </w:rPr>
              <w:t xml:space="preserve">(2). </w:t>
            </w:r>
            <w:r w:rsidRPr="00C9040A">
              <w:rPr>
                <w:rtl/>
              </w:rPr>
              <w:t xml:space="preserve">في « </w:t>
            </w:r>
            <w:r>
              <w:rPr>
                <w:rtl/>
              </w:rPr>
              <w:t xml:space="preserve">ه </w:t>
            </w:r>
            <w:r w:rsidRPr="00C9040A">
              <w:rPr>
                <w:rtl/>
              </w:rPr>
              <w:t>» : « تتبرّؤوا » بدل « فلا تبرّؤوا »</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في « ض ، ف » : « قال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ج ، د ، ض ، ف ، بس » والوسائل والبحار ، ج 39 : « تدعون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ج » : + « فلا تبرّؤوا منّي »</w:t>
      </w:r>
      <w:r w:rsidR="008A74EB">
        <w:rPr>
          <w:rtl/>
        </w:rPr>
        <w:t>.</w:t>
      </w:r>
      <w:r w:rsidR="008A74EB" w:rsidRPr="00C9040A">
        <w:rPr>
          <w:rtl/>
        </w:rPr>
        <w:t xml:space="preserve"> وفي قرب الإسناد </w:t>
      </w:r>
      <w:r w:rsidR="008A74EB">
        <w:rPr>
          <w:rtl/>
        </w:rPr>
        <w:t xml:space="preserve">: </w:t>
      </w:r>
      <w:r w:rsidR="0084262C">
        <w:rPr>
          <w:rtl/>
        </w:rPr>
        <w:t>-</w:t>
      </w:r>
      <w:r w:rsidR="008A74EB" w:rsidRPr="00C9040A">
        <w:rPr>
          <w:rtl/>
        </w:rPr>
        <w:t xml:space="preserve"> « فلا تبرّؤوا منّي</w:t>
      </w:r>
      <w:r w:rsidR="008A74EB">
        <w:rPr>
          <w:rtl/>
        </w:rPr>
        <w:t xml:space="preserve"> </w:t>
      </w:r>
      <w:r w:rsidR="0084262C">
        <w:rPr>
          <w:rtl/>
        </w:rPr>
        <w:t>-</w:t>
      </w:r>
      <w:r w:rsidR="008A74EB">
        <w:rPr>
          <w:rtl/>
        </w:rPr>
        <w:t xml:space="preserve"> </w:t>
      </w:r>
      <w:r w:rsidR="008A74EB" w:rsidRPr="00C9040A">
        <w:rPr>
          <w:rtl/>
        </w:rPr>
        <w:t>إلى</w:t>
      </w:r>
      <w:r w:rsidR="008A74EB">
        <w:rPr>
          <w:rtl/>
        </w:rPr>
        <w:t xml:space="preserve"> </w:t>
      </w:r>
      <w:r w:rsidR="0084262C">
        <w:rPr>
          <w:rtl/>
        </w:rPr>
        <w:t>-</w:t>
      </w:r>
      <w:r w:rsidR="008A74EB">
        <w:rPr>
          <w:rtl/>
        </w:rPr>
        <w:t xml:space="preserve"> </w:t>
      </w:r>
      <w:r w:rsidR="008A74EB" w:rsidRPr="00C9040A">
        <w:rPr>
          <w:rtl/>
        </w:rPr>
        <w:t>البراءة منّي »</w:t>
      </w:r>
      <w:r w:rsidR="008A74EB">
        <w:rPr>
          <w:rtl/>
        </w:rPr>
        <w:t>.</w:t>
      </w:r>
    </w:p>
    <w:p w:rsidR="008A74EB" w:rsidRPr="00C9040A" w:rsidRDefault="006C577F" w:rsidP="00FE7204">
      <w:pPr>
        <w:pStyle w:val="libFootnote0"/>
        <w:rPr>
          <w:rtl/>
          <w:lang w:bidi="fa-IR"/>
        </w:rPr>
      </w:pPr>
      <w:r>
        <w:rPr>
          <w:rtl/>
        </w:rPr>
        <w:t>(6).</w:t>
      </w:r>
      <w:r w:rsidR="008A74EB">
        <w:rPr>
          <w:rtl/>
        </w:rPr>
        <w:t xml:space="preserve"> </w:t>
      </w:r>
      <w:r w:rsidR="008A74EB" w:rsidRPr="00C9040A">
        <w:rPr>
          <w:rtl/>
        </w:rPr>
        <w:t>في « ج » : « فلا تبرّؤوا »</w:t>
      </w:r>
      <w:r w:rsidR="008A74EB">
        <w:rPr>
          <w:rtl/>
        </w:rPr>
        <w:t>.</w:t>
      </w:r>
      <w:r w:rsidR="008A74EB" w:rsidRPr="00C9040A">
        <w:rPr>
          <w:rtl/>
        </w:rPr>
        <w:t xml:space="preserve"> وفي « ض ، بر » وشرح المازندراني والوسائل والبحار : « ولا تبرّؤوا »</w:t>
      </w:r>
      <w:r w:rsidR="008A74EB">
        <w:rPr>
          <w:rtl/>
        </w:rPr>
        <w:t>.</w:t>
      </w:r>
      <w:r w:rsidR="008A74EB" w:rsidRPr="00C9040A">
        <w:rPr>
          <w:rtl/>
        </w:rPr>
        <w:t xml:space="preserve"> وفي قرب الإسناد : « وتبرّؤوا »</w:t>
      </w:r>
      <w:r w:rsidR="008A74EB">
        <w:rPr>
          <w:rtl/>
        </w:rPr>
        <w:t>.</w:t>
      </w:r>
      <w:r w:rsidR="00FE7204">
        <w:rPr>
          <w:rFonts w:hint="cs"/>
          <w:rtl/>
        </w:rPr>
        <w:t xml:space="preserve">                                     </w:t>
      </w:r>
      <w:r>
        <w:rPr>
          <w:rtl/>
        </w:rPr>
        <w:t>(7).</w:t>
      </w:r>
      <w:r w:rsidR="008A74EB" w:rsidRPr="00C9040A">
        <w:rPr>
          <w:rtl/>
        </w:rPr>
        <w:t xml:space="preserve"> في الوافي : « ذاك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 ض ، ف » </w:t>
      </w:r>
      <w:r w:rsidR="008A74EB">
        <w:rPr>
          <w:rtl/>
        </w:rPr>
        <w:t xml:space="preserve">: </w:t>
      </w:r>
      <w:r w:rsidR="0084262C">
        <w:rPr>
          <w:rtl/>
        </w:rPr>
        <w:t>-</w:t>
      </w:r>
      <w:r w:rsidR="008A74EB" w:rsidRPr="00C9040A">
        <w:rPr>
          <w:rtl/>
        </w:rPr>
        <w:t xml:space="preserve"> « فيه »</w:t>
      </w:r>
      <w:r w:rsidR="008A74EB">
        <w:rPr>
          <w:rtl/>
        </w:rPr>
        <w:t>.</w:t>
      </w:r>
    </w:p>
    <w:p w:rsidR="008A74EB" w:rsidRPr="00C9040A" w:rsidRDefault="006C577F" w:rsidP="00FE7204">
      <w:pPr>
        <w:pStyle w:val="libFootnote0"/>
        <w:rPr>
          <w:rtl/>
          <w:lang w:bidi="fa-IR"/>
        </w:rPr>
      </w:pPr>
      <w:r>
        <w:rPr>
          <w:rtl/>
        </w:rPr>
        <w:t>(9).</w:t>
      </w:r>
      <w:r w:rsidR="008A74EB" w:rsidRPr="00C9040A">
        <w:rPr>
          <w:rtl/>
        </w:rPr>
        <w:t xml:space="preserve"> النحل (16) : 106. وفي « بس ، بف » </w:t>
      </w:r>
      <w:r w:rsidR="008A74EB">
        <w:rPr>
          <w:rtl/>
        </w:rPr>
        <w:t xml:space="preserve">: </w:t>
      </w:r>
      <w:r w:rsidR="0084262C">
        <w:rPr>
          <w:rtl/>
        </w:rPr>
        <w:t>-</w:t>
      </w:r>
      <w:r w:rsidR="008A74EB" w:rsidRPr="00C9040A">
        <w:rPr>
          <w:rtl/>
        </w:rPr>
        <w:t xml:space="preserve"> « فأنزل الله</w:t>
      </w:r>
      <w:r w:rsidR="008A74EB">
        <w:rPr>
          <w:rtl/>
        </w:rPr>
        <w:t xml:space="preserve"> </w:t>
      </w:r>
      <w:r w:rsidR="0084262C">
        <w:rPr>
          <w:rtl/>
        </w:rPr>
        <w:t>-</w:t>
      </w:r>
      <w:r w:rsidR="008A74EB">
        <w:rPr>
          <w:rtl/>
        </w:rPr>
        <w:t xml:space="preserve"> </w:t>
      </w:r>
      <w:r w:rsidR="008A74EB" w:rsidRPr="00C9040A">
        <w:rPr>
          <w:rtl/>
        </w:rPr>
        <w:t>إلى</w:t>
      </w:r>
      <w:r w:rsidR="008A74EB">
        <w:rPr>
          <w:rtl/>
        </w:rPr>
        <w:t xml:space="preserve"> </w:t>
      </w:r>
      <w:r w:rsidR="00FE7204">
        <w:rPr>
          <w:rtl/>
        </w:rPr>
        <w:t>–</w:t>
      </w:r>
      <w:r w:rsidR="008A74EB">
        <w:rPr>
          <w:rtl/>
        </w:rPr>
        <w:t xml:space="preserve"> </w:t>
      </w:r>
      <w:r w:rsidR="00FE7204" w:rsidRPr="00FE7204">
        <w:rPr>
          <w:rStyle w:val="libFootnoteAlaemChar"/>
          <w:rFonts w:hint="cs"/>
          <w:rtl/>
        </w:rPr>
        <w:t>(</w:t>
      </w:r>
      <w:r w:rsidR="008A74EB" w:rsidRPr="00FE7204">
        <w:rPr>
          <w:rStyle w:val="libFootnoteAieChar"/>
          <w:rtl/>
        </w:rPr>
        <w:t xml:space="preserve"> بِالْإِيمانِ</w:t>
      </w:r>
      <w:r w:rsidR="008A74EB" w:rsidRPr="00C9040A">
        <w:rPr>
          <w:rtl/>
        </w:rPr>
        <w:t xml:space="preserve"> </w:t>
      </w:r>
      <w:r w:rsidR="00FE7204" w:rsidRPr="00FE7204">
        <w:rPr>
          <w:rStyle w:val="libFootnoteAlaemChar"/>
          <w:rFonts w:hint="cs"/>
          <w:rtl/>
        </w:rPr>
        <w:t>)</w:t>
      </w:r>
      <w:r w:rsidR="008A74EB" w:rsidRPr="00C9040A">
        <w:rPr>
          <w:rtl/>
        </w:rPr>
        <w:t xml:space="preserve"> »</w:t>
      </w:r>
      <w:r w:rsidR="008A74EB">
        <w:rPr>
          <w:rtl/>
        </w:rPr>
        <w:t>.</w:t>
      </w:r>
    </w:p>
    <w:tbl>
      <w:tblPr>
        <w:tblStyle w:val="TableGrid"/>
        <w:bidiVisual/>
        <w:tblW w:w="0" w:type="auto"/>
        <w:tblLook w:val="04A0" w:firstRow="1" w:lastRow="0" w:firstColumn="1" w:lastColumn="0" w:noHBand="0" w:noVBand="1"/>
      </w:tblPr>
      <w:tblGrid>
        <w:gridCol w:w="4006"/>
        <w:gridCol w:w="4006"/>
      </w:tblGrid>
      <w:tr w:rsidR="00463CD0" w:rsidTr="00463CD0">
        <w:tc>
          <w:tcPr>
            <w:tcW w:w="4006" w:type="dxa"/>
          </w:tcPr>
          <w:p w:rsidR="00463CD0" w:rsidRDefault="00463CD0" w:rsidP="004A4E41">
            <w:pPr>
              <w:pStyle w:val="libFootnote0"/>
              <w:rPr>
                <w:rtl/>
              </w:rPr>
            </w:pPr>
            <w:r>
              <w:rPr>
                <w:rtl/>
              </w:rPr>
              <w:t>(10).</w:t>
            </w:r>
            <w:r w:rsidRPr="00C9040A">
              <w:rPr>
                <w:rtl/>
              </w:rPr>
              <w:t xml:space="preserve"> في « </w:t>
            </w:r>
            <w:r>
              <w:rPr>
                <w:rtl/>
              </w:rPr>
              <w:t xml:space="preserve">ه </w:t>
            </w:r>
            <w:r w:rsidRPr="00C9040A">
              <w:rPr>
                <w:rtl/>
              </w:rPr>
              <w:t xml:space="preserve">» </w:t>
            </w:r>
            <w:r>
              <w:rPr>
                <w:rtl/>
              </w:rPr>
              <w:t>: -</w:t>
            </w:r>
            <w:r w:rsidRPr="00C9040A">
              <w:rPr>
                <w:rtl/>
              </w:rPr>
              <w:t xml:space="preserve"> « له »</w:t>
            </w:r>
            <w:r>
              <w:rPr>
                <w:rtl/>
              </w:rPr>
              <w:t>.</w:t>
            </w:r>
          </w:p>
        </w:tc>
        <w:tc>
          <w:tcPr>
            <w:tcW w:w="4006" w:type="dxa"/>
          </w:tcPr>
          <w:p w:rsidR="00463CD0" w:rsidRDefault="00463CD0" w:rsidP="004A4E41">
            <w:pPr>
              <w:pStyle w:val="libFootnote0"/>
              <w:rPr>
                <w:rtl/>
              </w:rPr>
            </w:pPr>
            <w:r>
              <w:rPr>
                <w:rtl/>
              </w:rPr>
              <w:t>(11).</w:t>
            </w:r>
            <w:r w:rsidRPr="00C9040A">
              <w:rPr>
                <w:rtl/>
              </w:rPr>
              <w:t xml:space="preserve"> في « بف » </w:t>
            </w:r>
            <w:r>
              <w:rPr>
                <w:rtl/>
              </w:rPr>
              <w:t>: -</w:t>
            </w:r>
            <w:r w:rsidRPr="00C9040A">
              <w:rPr>
                <w:rtl/>
              </w:rPr>
              <w:t xml:space="preserve"> « فقد »</w:t>
            </w:r>
            <w:r>
              <w:rPr>
                <w:rtl/>
              </w:rPr>
              <w:t>.</w:t>
            </w:r>
          </w:p>
        </w:tc>
      </w:tr>
    </w:tbl>
    <w:p w:rsidR="008A74EB" w:rsidRPr="00C9040A" w:rsidRDefault="006C577F" w:rsidP="004A4E41">
      <w:pPr>
        <w:pStyle w:val="libFootnote0"/>
        <w:rPr>
          <w:rtl/>
          <w:lang w:bidi="fa-IR"/>
        </w:rPr>
      </w:pPr>
      <w:r>
        <w:rPr>
          <w:rtl/>
        </w:rPr>
        <w:t>(12).</w:t>
      </w:r>
      <w:r w:rsidR="008A74EB" w:rsidRPr="00C9040A">
        <w:rPr>
          <w:rtl/>
        </w:rPr>
        <w:t xml:space="preserve"> في قرب الإسناد : + « بالكتاب »</w:t>
      </w:r>
      <w:r w:rsidR="008A74EB">
        <w:rPr>
          <w:rtl/>
        </w:rPr>
        <w:t>.</w:t>
      </w:r>
    </w:p>
    <w:p w:rsidR="008A74EB" w:rsidRPr="00C9040A" w:rsidRDefault="008A74EB" w:rsidP="004A4E41">
      <w:pPr>
        <w:pStyle w:val="libFootnote0"/>
        <w:rPr>
          <w:rtl/>
          <w:lang w:bidi="fa-IR"/>
        </w:rPr>
      </w:pPr>
      <w:r>
        <w:rPr>
          <w:rtl/>
        </w:rPr>
        <w:t>(13)</w:t>
      </w:r>
      <w:r w:rsidRPr="00C9040A">
        <w:rPr>
          <w:rtl/>
        </w:rPr>
        <w:t xml:space="preserve"> في </w:t>
      </w:r>
      <w:r w:rsidRPr="00993B55">
        <w:rPr>
          <w:rStyle w:val="libFootnoteBoldChar"/>
          <w:rtl/>
        </w:rPr>
        <w:t>مرآة العقول</w:t>
      </w:r>
      <w:r w:rsidRPr="00C9040A">
        <w:rPr>
          <w:rtl/>
        </w:rPr>
        <w:t xml:space="preserve"> ، ج 9 ، ص 179 : « قوله </w:t>
      </w:r>
      <w:r w:rsidR="00117575" w:rsidRPr="00117575">
        <w:rPr>
          <w:rStyle w:val="libFootnoteAlaemChar"/>
          <w:rtl/>
        </w:rPr>
        <w:t>عليه‌السلام</w:t>
      </w:r>
      <w:r w:rsidRPr="00C9040A">
        <w:rPr>
          <w:rtl/>
        </w:rPr>
        <w:t xml:space="preserve"> : وأمرك ، يمكن أن يكون</w:t>
      </w:r>
      <w:r>
        <w:rPr>
          <w:rtl/>
        </w:rPr>
        <w:t xml:space="preserve"> ..</w:t>
      </w:r>
      <w:r w:rsidRPr="00C9040A">
        <w:rPr>
          <w:rtl/>
        </w:rPr>
        <w:t>. بصيغة المضارع المتكلّم »</w:t>
      </w:r>
      <w:r>
        <w:rPr>
          <w:rtl/>
        </w:rPr>
        <w:t>.</w:t>
      </w:r>
    </w:p>
    <w:p w:rsidR="008A74EB" w:rsidRPr="00C9040A" w:rsidRDefault="008A74EB" w:rsidP="00AB5313">
      <w:pPr>
        <w:pStyle w:val="libFootnote0"/>
        <w:rPr>
          <w:rtl/>
          <w:lang w:bidi="fa-IR"/>
        </w:rPr>
      </w:pPr>
      <w:r>
        <w:rPr>
          <w:rtl/>
        </w:rPr>
        <w:t>(14)</w:t>
      </w:r>
      <w:r w:rsidRPr="00C9040A">
        <w:rPr>
          <w:rtl/>
        </w:rPr>
        <w:t xml:space="preserve"> </w:t>
      </w:r>
      <w:r w:rsidRPr="00993B55">
        <w:rPr>
          <w:rStyle w:val="libFootnoteBoldChar"/>
          <w:rtl/>
        </w:rPr>
        <w:t>قرب الإسناد</w:t>
      </w:r>
      <w:r w:rsidRPr="00C9040A">
        <w:rPr>
          <w:rtl/>
        </w:rPr>
        <w:t xml:space="preserve"> ، ص 12 ، ح 38 ، عن هارون بن مسلم. </w:t>
      </w:r>
      <w:r w:rsidRPr="00993B55">
        <w:rPr>
          <w:rStyle w:val="libFootnoteBoldChar"/>
          <w:rtl/>
        </w:rPr>
        <w:t>الأمالي</w:t>
      </w:r>
      <w:r w:rsidRPr="00C9040A">
        <w:rPr>
          <w:rtl/>
        </w:rPr>
        <w:t xml:space="preserve"> للطوسي ، ص 210 ، المجلس 8 ، ح 12 ، بسند آخر عن أبي‌عبدالله ، عن آبائه ، عن أميرالمؤمنين </w:t>
      </w:r>
      <w:r w:rsidR="00117575" w:rsidRPr="00117575">
        <w:rPr>
          <w:rStyle w:val="libFootnoteAlaemChar"/>
          <w:rtl/>
        </w:rPr>
        <w:t>عليهم‌السلام</w:t>
      </w:r>
      <w:r w:rsidRPr="00C9040A">
        <w:rPr>
          <w:rtl/>
        </w:rPr>
        <w:t xml:space="preserve"> ، وتمام الرواية فيه : « ستدعون إلى سبّي فسبّوني ، وتدعون إلى البراءة منّي فمدّوا الرقاب ، فإنّي على الفطرة »</w:t>
      </w:r>
      <w:r>
        <w:rPr>
          <w:rtl/>
        </w:rPr>
        <w:t>.</w:t>
      </w:r>
      <w:r w:rsidRPr="00C9040A">
        <w:rPr>
          <w:rtl/>
        </w:rPr>
        <w:t xml:space="preserve"> </w:t>
      </w:r>
      <w:r w:rsidRPr="00993B55">
        <w:rPr>
          <w:rStyle w:val="libFootnoteBoldChar"/>
          <w:rtl/>
        </w:rPr>
        <w:t>تفسير العيّاشي</w:t>
      </w:r>
      <w:r w:rsidRPr="00C9040A">
        <w:rPr>
          <w:rtl/>
        </w:rPr>
        <w:t xml:space="preserve"> ، ج 2 ، ص 271 ، ح 73 ، عن معمّر بن يحيى بن سالم ، عن أبي‌جعفر </w:t>
      </w:r>
      <w:r w:rsidR="00117575" w:rsidRPr="00117575">
        <w:rPr>
          <w:rStyle w:val="libFootnoteAlaemChar"/>
          <w:rtl/>
        </w:rPr>
        <w:t>عليه‌السلام</w:t>
      </w:r>
      <w:r w:rsidRPr="00C9040A">
        <w:rPr>
          <w:rtl/>
        </w:rPr>
        <w:t xml:space="preserve"> ، مع اختلاف يسير</w:t>
      </w:r>
      <w:r w:rsidR="00AB5313">
        <w:rPr>
          <w:rFonts w:hint="cs"/>
          <w:rtl/>
        </w:rPr>
        <w:t>.</w:t>
      </w:r>
      <w:r w:rsidRPr="00993B55">
        <w:rPr>
          <w:rStyle w:val="libFootnoteBoldChar"/>
          <w:rtl/>
        </w:rPr>
        <w:t>الوافي</w:t>
      </w:r>
      <w:r w:rsidRPr="00C9040A">
        <w:rPr>
          <w:rtl/>
        </w:rPr>
        <w:t xml:space="preserve"> ، ج 5 ، ص 688 ، ح 2886 ؛ </w:t>
      </w:r>
      <w:r w:rsidRPr="00993B55">
        <w:rPr>
          <w:rStyle w:val="libFootnoteBoldChar"/>
          <w:rtl/>
        </w:rPr>
        <w:t>الوسائل</w:t>
      </w:r>
      <w:r w:rsidRPr="00C9040A">
        <w:rPr>
          <w:rtl/>
        </w:rPr>
        <w:t xml:space="preserve"> ، ج 16 ، ص 225 ، ح 21423 ؛ </w:t>
      </w:r>
      <w:r w:rsidRPr="00993B55">
        <w:rPr>
          <w:rStyle w:val="libFootnoteBoldChar"/>
          <w:rtl/>
        </w:rPr>
        <w:t>البحار</w:t>
      </w:r>
      <w:r w:rsidRPr="00C9040A">
        <w:rPr>
          <w:rtl/>
        </w:rPr>
        <w:t xml:space="preserve"> ، ج 39 ، ص 316 ، ح 14 ؛ وج 75 ، ص 430 ، ح 90.</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1A4FEC">
        <w:rPr>
          <w:rtl/>
        </w:rPr>
        <w:t>2251</w:t>
      </w:r>
      <w:r w:rsidRPr="00261CB0">
        <w:rPr>
          <w:rStyle w:val="libBold2Char"/>
          <w:rtl/>
        </w:rPr>
        <w:t xml:space="preserve"> / 11.</w:t>
      </w:r>
      <w:r w:rsidRPr="00C9040A">
        <w:rPr>
          <w:rtl/>
          <w:lang w:bidi="fa-IR"/>
        </w:rPr>
        <w:t xml:space="preserve"> مُحَمَّدُ بْنُ يَحْيى ، عَنْ أَحْمَدَ بْنِ مُحَمَّدٍ ، عَنْ عَلِيِّ بْنِ الْحَكَمِ ، عَنْ هِشَامٍ الْكِنْدِيِّ ، قَالَ :</w:t>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 « إِيَّاكُمْ أَنْ تَعْمَلُوا عَمَلاً يُعَيِّرُونَّا </w:t>
      </w:r>
      <w:r w:rsidR="006C577F" w:rsidRPr="006C577F">
        <w:rPr>
          <w:rStyle w:val="libFootnotenumChar"/>
          <w:rtl/>
        </w:rPr>
        <w:t>(1)</w:t>
      </w:r>
      <w:r w:rsidRPr="00C9040A">
        <w:rPr>
          <w:rtl/>
          <w:lang w:bidi="fa-IR"/>
        </w:rPr>
        <w:t xml:space="preserve"> بِهِ </w:t>
      </w:r>
      <w:r w:rsidR="006C577F" w:rsidRPr="006C577F">
        <w:rPr>
          <w:rStyle w:val="libFootnotenumChar"/>
          <w:rtl/>
        </w:rPr>
        <w:t>(2)</w:t>
      </w:r>
      <w:r w:rsidRPr="00C9040A">
        <w:rPr>
          <w:rtl/>
          <w:lang w:bidi="fa-IR"/>
        </w:rPr>
        <w:t xml:space="preserve"> ؛ فَإِنَّ وَلَدَ السَّوْءِ يُعَيَّرُ وَالِدُهُ بِعَمَلِهِ ، كُونُوا لِمَنِ انْقَطَعْتُمْ إِلَيْهِ زَيْناً ، وَلَا تَكُونُوا عَلَيْهِ شَيْناً ، صَلُّوا </w:t>
      </w:r>
      <w:r w:rsidR="006C577F" w:rsidRPr="006C577F">
        <w:rPr>
          <w:rStyle w:val="libFootnotenumChar"/>
          <w:rtl/>
        </w:rPr>
        <w:t>(3)</w:t>
      </w:r>
      <w:r w:rsidRPr="00C9040A">
        <w:rPr>
          <w:rtl/>
          <w:lang w:bidi="fa-IR"/>
        </w:rPr>
        <w:t xml:space="preserve"> فِي عَشَائِرِهِمْ </w:t>
      </w:r>
      <w:r w:rsidR="006C577F" w:rsidRPr="006C577F">
        <w:rPr>
          <w:rStyle w:val="libFootnotenumChar"/>
          <w:rtl/>
        </w:rPr>
        <w:t>(4)</w:t>
      </w:r>
      <w:r w:rsidRPr="00C9040A">
        <w:rPr>
          <w:rtl/>
          <w:lang w:bidi="fa-IR"/>
        </w:rPr>
        <w:t xml:space="preserve"> ، وَعُودُوا مَرْضَاهُمْ ، وَاشْهَدُوا جَنَائِزَهُمْ ، وَلَا يَسْبِقُونَكُمْ </w:t>
      </w:r>
      <w:r w:rsidR="006C577F" w:rsidRPr="006C577F">
        <w:rPr>
          <w:rStyle w:val="libFootnotenumChar"/>
          <w:rtl/>
        </w:rPr>
        <w:t>(5)</w:t>
      </w:r>
      <w:r w:rsidRPr="00C9040A">
        <w:rPr>
          <w:rtl/>
          <w:lang w:bidi="fa-IR"/>
        </w:rPr>
        <w:t xml:space="preserve"> إِلى شَيْ‌ءٍ مِنَ الْخَيْرِ ، فَأَنْتُمْ أَوْلى بِهِ مِنْهُمْ ، وَاللهِ مَا عُبِدَ اللهُ بِشَيْ‌ءٍ أَحَبَّ إِلَيْهِ مِنَ الْخَبْ‌ءِ »</w:t>
      </w:r>
      <w:r>
        <w:rPr>
          <w:rtl/>
          <w:lang w:bidi="fa-IR"/>
        </w:rPr>
        <w:t>.</w:t>
      </w:r>
      <w:r w:rsidRPr="00C9040A">
        <w:rPr>
          <w:rtl/>
          <w:lang w:bidi="fa-IR"/>
        </w:rPr>
        <w:t xml:space="preserve"> قُلْتُ </w:t>
      </w:r>
      <w:r w:rsidR="006C577F" w:rsidRPr="006C577F">
        <w:rPr>
          <w:rStyle w:val="libFootnotenumChar"/>
          <w:rtl/>
        </w:rPr>
        <w:t>(6)</w:t>
      </w:r>
      <w:r w:rsidRPr="005B567D">
        <w:rPr>
          <w:rStyle w:val="libFootnotenumChar"/>
          <w:rtl/>
        </w:rPr>
        <w:t xml:space="preserve"> </w:t>
      </w:r>
      <w:r w:rsidRPr="00C9040A">
        <w:rPr>
          <w:rtl/>
          <w:lang w:bidi="fa-IR"/>
        </w:rPr>
        <w:t>: وَمَا الْخَبْ‌ءُ</w:t>
      </w:r>
      <w:r>
        <w:rPr>
          <w:rtl/>
          <w:lang w:bidi="fa-IR"/>
        </w:rPr>
        <w:t>؟</w:t>
      </w:r>
      <w:r>
        <w:rPr>
          <w:rFonts w:hint="cs"/>
          <w:rtl/>
          <w:lang w:bidi="fa-IR"/>
        </w:rPr>
        <w:t xml:space="preserve"> </w:t>
      </w:r>
      <w:r w:rsidRPr="00C9040A">
        <w:rPr>
          <w:rtl/>
          <w:lang w:bidi="fa-IR"/>
        </w:rPr>
        <w:t>قَالَ : « التَّقِيَّةُ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1A4FEC">
        <w:rPr>
          <w:rtl/>
        </w:rPr>
        <w:t>2252</w:t>
      </w:r>
      <w:r w:rsidRPr="00261CB0">
        <w:rPr>
          <w:rStyle w:val="libBold2Char"/>
          <w:rtl/>
        </w:rPr>
        <w:t xml:space="preserve"> / 12.</w:t>
      </w:r>
      <w:r w:rsidRPr="00C9040A">
        <w:rPr>
          <w:rtl/>
          <w:lang w:bidi="fa-IR"/>
        </w:rPr>
        <w:t xml:space="preserve"> عَنْهُ ، عَنْ أَحْمَدَ بْنِ مُحَمّ</w:t>
      </w:r>
      <w:r w:rsidR="00AB5313">
        <w:rPr>
          <w:rtl/>
          <w:lang w:bidi="fa-IR"/>
        </w:rPr>
        <w:t>َدٍ ، عَنْ مُعَمَّرِ بْنِ خَل</w:t>
      </w:r>
      <w:r w:rsidR="00AB5313">
        <w:rPr>
          <w:rFonts w:hint="cs"/>
          <w:rtl/>
          <w:lang w:bidi="fa-IR"/>
        </w:rPr>
        <w:t>َّ</w:t>
      </w:r>
      <w:r w:rsidR="00AB5313">
        <w:rPr>
          <w:rtl/>
          <w:lang w:bidi="fa-IR"/>
        </w:rPr>
        <w:t>ا</w:t>
      </w:r>
      <w:r w:rsidRPr="00C9040A">
        <w:rPr>
          <w:rtl/>
          <w:lang w:bidi="fa-IR"/>
        </w:rPr>
        <w:t>دٍ ، قَالَ :</w:t>
      </w:r>
    </w:p>
    <w:p w:rsidR="008A74EB" w:rsidRPr="00C9040A" w:rsidRDefault="008A74EB" w:rsidP="008A74EB">
      <w:pPr>
        <w:pStyle w:val="libNormal"/>
        <w:rPr>
          <w:rtl/>
          <w:lang w:bidi="fa-IR"/>
        </w:rPr>
      </w:pPr>
      <w:r w:rsidRPr="00C9040A">
        <w:rPr>
          <w:rtl/>
          <w:lang w:bidi="fa-IR"/>
        </w:rPr>
        <w:t xml:space="preserve">سَأَلْتُ أَبَا الْحَسَنِ </w:t>
      </w:r>
      <w:r w:rsidRPr="0003660B">
        <w:rPr>
          <w:rStyle w:val="libAlaemChar"/>
          <w:rtl/>
        </w:rPr>
        <w:t>عليه‌السلام</w:t>
      </w:r>
      <w:r w:rsidRPr="00C9040A">
        <w:rPr>
          <w:rtl/>
          <w:lang w:bidi="fa-IR"/>
        </w:rPr>
        <w:t xml:space="preserve"> عَنِ الْقِيَامِ لِلْوُلَاةِ </w:t>
      </w:r>
      <w:r w:rsidR="006C577F" w:rsidRPr="006C577F">
        <w:rPr>
          <w:rStyle w:val="libFootnotenumChar"/>
          <w:rtl/>
        </w:rPr>
        <w:t>(8)</w:t>
      </w:r>
      <w:r w:rsidRPr="00C9040A">
        <w:rPr>
          <w:rtl/>
          <w:lang w:bidi="fa-IR"/>
        </w:rPr>
        <w:t xml:space="preserve"> ، فَقَالَ : « قَالَ </w:t>
      </w:r>
      <w:r w:rsidR="006C577F" w:rsidRPr="006C577F">
        <w:rPr>
          <w:rStyle w:val="libFootnotenumChar"/>
          <w:rtl/>
        </w:rPr>
        <w:t>(9)</w:t>
      </w:r>
      <w:r w:rsidRPr="00C9040A">
        <w:rPr>
          <w:rtl/>
          <w:lang w:bidi="fa-IR"/>
        </w:rPr>
        <w:t xml:space="preserve"> أَبُو جَعْفَرٍ </w:t>
      </w:r>
      <w:r w:rsidRPr="0003660B">
        <w:rPr>
          <w:rStyle w:val="libAlaemChar"/>
          <w:rtl/>
        </w:rPr>
        <w:t>عليه‌السلام</w:t>
      </w:r>
      <w:r w:rsidRPr="00C9040A">
        <w:rPr>
          <w:rtl/>
          <w:lang w:bidi="fa-IR"/>
        </w:rPr>
        <w:t xml:space="preserve"> : التَّقِيَّةُ مِنْ دِينِي وَدِينِ آبَائِي ، وَلَا إِيمَانَ </w:t>
      </w:r>
      <w:r w:rsidR="006C577F" w:rsidRPr="006C577F">
        <w:rPr>
          <w:rStyle w:val="libFootnotenumChar"/>
          <w:rtl/>
        </w:rPr>
        <w:t>(10)</w:t>
      </w:r>
      <w:r w:rsidRPr="00C9040A">
        <w:rPr>
          <w:rtl/>
          <w:lang w:bidi="fa-IR"/>
        </w:rPr>
        <w:t xml:space="preserve"> لِمَنْ لَاتَقِيَّةَ لَهُ »</w:t>
      </w:r>
      <w:r>
        <w:rPr>
          <w:rtl/>
          <w:lang w:bidi="fa-IR"/>
        </w:rPr>
        <w:t>.</w:t>
      </w:r>
      <w:r w:rsidRPr="00C9040A">
        <w:rPr>
          <w:rtl/>
          <w:lang w:bidi="fa-IR"/>
        </w:rPr>
        <w:t xml:space="preserve"> </w:t>
      </w:r>
      <w:r w:rsidR="006C577F" w:rsidRPr="006C577F">
        <w:rPr>
          <w:rStyle w:val="libFootnotenumChar"/>
          <w:rtl/>
        </w:rPr>
        <w:t>(11)</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ب ، ج ، د ، ز ، ص ، ف » والوسائل والبحار : « نعيّر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بس » </w:t>
      </w:r>
      <w:r w:rsidR="008A74EB">
        <w:rPr>
          <w:rtl/>
        </w:rPr>
        <w:t xml:space="preserve">: </w:t>
      </w:r>
      <w:r w:rsidR="0084262C">
        <w:rPr>
          <w:rtl/>
        </w:rPr>
        <w:t>-</w:t>
      </w:r>
      <w:r w:rsidR="008A74EB" w:rsidRPr="00C9040A">
        <w:rPr>
          <w:rtl/>
        </w:rPr>
        <w:t xml:space="preserve"> « به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w:t>
      </w:r>
      <w:r w:rsidR="008A74EB" w:rsidRPr="00993B55">
        <w:rPr>
          <w:rStyle w:val="libFootnoteBoldChar"/>
          <w:rtl/>
        </w:rPr>
        <w:t>مرآة العقول</w:t>
      </w:r>
      <w:r w:rsidR="008A74EB" w:rsidRPr="00C9040A">
        <w:rPr>
          <w:rtl/>
        </w:rPr>
        <w:t xml:space="preserve"> ، ج 9 ، ص 179 : « يمكن أن يقرأ : صلّوا ، بالتشديد من الصلاة ، أو بالتخفيف من الصلة ، أي‌صلوا المخالفين مع عشائرهم ، أي‌كما يصلهم عن عشائرهم »</w:t>
      </w:r>
      <w:r w:rsidR="008A74EB">
        <w:rPr>
          <w:rtl/>
        </w:rPr>
        <w:t>.</w:t>
      </w:r>
    </w:p>
    <w:p w:rsidR="008A74EB" w:rsidRPr="00C9040A" w:rsidRDefault="006C577F" w:rsidP="00AB5313">
      <w:pPr>
        <w:pStyle w:val="libFootnote0"/>
        <w:rPr>
          <w:rtl/>
          <w:lang w:bidi="fa-IR"/>
        </w:rPr>
      </w:pPr>
      <w:r>
        <w:rPr>
          <w:rtl/>
        </w:rPr>
        <w:t>(4).</w:t>
      </w:r>
      <w:r w:rsidR="008A74EB" w:rsidRPr="00C9040A">
        <w:rPr>
          <w:rtl/>
        </w:rPr>
        <w:t xml:space="preserve"> في « ب ، ص ، ف ، بس ، بف » والوافي : « عشائركم »</w:t>
      </w:r>
      <w:r w:rsidR="008A74EB">
        <w:rPr>
          <w:rtl/>
        </w:rPr>
        <w:t>.</w:t>
      </w:r>
      <w:r w:rsidR="008A74EB" w:rsidRPr="00C9040A">
        <w:rPr>
          <w:rtl/>
        </w:rPr>
        <w:t xml:space="preserve"> وقال في </w:t>
      </w:r>
      <w:r w:rsidR="008A74EB" w:rsidRPr="00993B55">
        <w:rPr>
          <w:rStyle w:val="libFootnoteBoldChar"/>
          <w:rtl/>
        </w:rPr>
        <w:t>الوافي</w:t>
      </w:r>
      <w:r w:rsidR="008A74EB" w:rsidRPr="00C9040A">
        <w:rPr>
          <w:rtl/>
        </w:rPr>
        <w:t xml:space="preserve"> : « عشائركم ، يعني عشائركم المخالفين‌لكم في الدين »</w:t>
      </w:r>
      <w:r w:rsidR="008A74EB">
        <w:rPr>
          <w:rtl/>
        </w:rPr>
        <w:t>.</w:t>
      </w:r>
      <w:r w:rsidR="00AB5313">
        <w:rPr>
          <w:rFonts w:hint="cs"/>
          <w:rtl/>
        </w:rPr>
        <w:t xml:space="preserve">                                     </w:t>
      </w:r>
      <w:r>
        <w:rPr>
          <w:rtl/>
        </w:rPr>
        <w:t>(5).</w:t>
      </w:r>
      <w:r w:rsidR="008A74EB" w:rsidRPr="00C9040A">
        <w:rPr>
          <w:rtl/>
        </w:rPr>
        <w:t xml:space="preserve"> في الوافي : « ولا يسبقوكم »</w:t>
      </w:r>
      <w:r w:rsidR="008A74EB">
        <w:rPr>
          <w:rtl/>
        </w:rPr>
        <w:t>.</w:t>
      </w:r>
      <w:r w:rsidR="008A74EB" w:rsidRPr="00C9040A">
        <w:rPr>
          <w:rtl/>
        </w:rPr>
        <w:t xml:space="preserve"> وهو الأنسب بالمقام.</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 ض ، </w:t>
      </w:r>
      <w:r w:rsidR="006D3162">
        <w:rPr>
          <w:rtl/>
        </w:rPr>
        <w:t xml:space="preserve">ه </w:t>
      </w:r>
      <w:r w:rsidR="008A74EB" w:rsidRPr="00C9040A">
        <w:rPr>
          <w:rtl/>
        </w:rPr>
        <w:t>» والبحار : « فقلت »</w:t>
      </w:r>
      <w:r w:rsidR="008A74EB">
        <w:rPr>
          <w:rtl/>
        </w:rPr>
        <w:t>.</w:t>
      </w:r>
    </w:p>
    <w:p w:rsidR="008A74EB" w:rsidRPr="00C9040A" w:rsidRDefault="006C577F" w:rsidP="00AB5313">
      <w:pPr>
        <w:pStyle w:val="libFootnote0"/>
        <w:rPr>
          <w:rtl/>
          <w:lang w:bidi="fa-IR"/>
        </w:rPr>
      </w:pPr>
      <w:r>
        <w:rPr>
          <w:rtl/>
        </w:rPr>
        <w:t>(7).</w:t>
      </w:r>
      <w:r w:rsidR="008A74EB" w:rsidRPr="00C9040A">
        <w:rPr>
          <w:rtl/>
        </w:rPr>
        <w:t xml:space="preserve"> </w:t>
      </w:r>
      <w:r w:rsidR="008A74EB" w:rsidRPr="00993B55">
        <w:rPr>
          <w:rStyle w:val="libFootnoteBoldChar"/>
          <w:rtl/>
        </w:rPr>
        <w:t>معاني الأخبار</w:t>
      </w:r>
      <w:r w:rsidR="008A74EB" w:rsidRPr="00C9040A">
        <w:rPr>
          <w:rtl/>
        </w:rPr>
        <w:t xml:space="preserve"> ، ص 162 ، ح 1 ، بسنده عن هشام بن سالم ، عن أبي‌عبدالله </w:t>
      </w:r>
      <w:r w:rsidR="00117575" w:rsidRPr="00117575">
        <w:rPr>
          <w:rStyle w:val="libFootnoteAlaemChar"/>
          <w:rtl/>
        </w:rPr>
        <w:t>عليه‌السلام</w:t>
      </w:r>
      <w:r w:rsidR="008A74EB" w:rsidRPr="00C9040A">
        <w:rPr>
          <w:rtl/>
        </w:rPr>
        <w:t xml:space="preserve"> ، من قوله : « ما عبدالله بشي‌ء »</w:t>
      </w:r>
      <w:r w:rsidR="00AB5313">
        <w:rPr>
          <w:rFonts w:hint="cs"/>
          <w:rtl/>
        </w:rPr>
        <w:t>.</w:t>
      </w:r>
      <w:r w:rsidR="008A74EB" w:rsidRPr="00993B55">
        <w:rPr>
          <w:rStyle w:val="libFootnoteBoldChar"/>
          <w:rtl/>
        </w:rPr>
        <w:t>الوافي</w:t>
      </w:r>
      <w:r w:rsidR="008A74EB" w:rsidRPr="00C9040A">
        <w:rPr>
          <w:rtl/>
        </w:rPr>
        <w:t xml:space="preserve"> ، ج 5 ، ص 689 ، ح 2887 ؛ </w:t>
      </w:r>
      <w:r w:rsidR="008A74EB" w:rsidRPr="00993B55">
        <w:rPr>
          <w:rStyle w:val="libFootnoteBoldChar"/>
          <w:rtl/>
        </w:rPr>
        <w:t>الوسائل</w:t>
      </w:r>
      <w:r w:rsidR="008A74EB" w:rsidRPr="00C9040A">
        <w:rPr>
          <w:rtl/>
        </w:rPr>
        <w:t xml:space="preserve"> ، ج 16 ، ص 219 ، ح 21403 ؛ </w:t>
      </w:r>
      <w:r w:rsidR="008A74EB" w:rsidRPr="00993B55">
        <w:rPr>
          <w:rStyle w:val="libFootnoteBoldChar"/>
          <w:rtl/>
        </w:rPr>
        <w:t>البحار</w:t>
      </w:r>
      <w:r w:rsidR="008A74EB" w:rsidRPr="00C9040A">
        <w:rPr>
          <w:rtl/>
        </w:rPr>
        <w:t xml:space="preserve"> ، ح 75 ، ص 431 ، ح 91.</w:t>
      </w:r>
    </w:p>
    <w:p w:rsidR="008A74EB" w:rsidRPr="00C9040A" w:rsidRDefault="006C577F" w:rsidP="004A4E41">
      <w:pPr>
        <w:pStyle w:val="libFootnote0"/>
        <w:rPr>
          <w:rtl/>
          <w:lang w:bidi="fa-IR"/>
        </w:rPr>
      </w:pPr>
      <w:r>
        <w:rPr>
          <w:rtl/>
        </w:rPr>
        <w:t>(8).</w:t>
      </w:r>
      <w:r w:rsidR="008A74EB" w:rsidRPr="00C9040A">
        <w:rPr>
          <w:rtl/>
        </w:rPr>
        <w:t xml:space="preserve"> في « بف » : « للولاية »</w:t>
      </w:r>
      <w:r w:rsidR="008A74EB">
        <w:rPr>
          <w:rtl/>
        </w:rPr>
        <w:t>.</w:t>
      </w:r>
      <w:r w:rsidR="008A74EB" w:rsidRPr="00C9040A">
        <w:rPr>
          <w:rtl/>
        </w:rPr>
        <w:t xml:space="preserve"> وفي </w:t>
      </w:r>
      <w:r w:rsidR="008A74EB" w:rsidRPr="00993B55">
        <w:rPr>
          <w:rStyle w:val="libFootnoteBoldChar"/>
          <w:rtl/>
        </w:rPr>
        <w:t>الوافي</w:t>
      </w:r>
      <w:r w:rsidR="008A74EB" w:rsidRPr="00C9040A">
        <w:rPr>
          <w:rtl/>
        </w:rPr>
        <w:t xml:space="preserve"> : « القيام للولاة يحتمل معنيين : أحدهما : القيام لهم عند اللقاء إكراماً لهم‌و تواضعاً. والثاني : القيام با</w:t>
      </w:r>
      <w:r w:rsidR="00AB5313">
        <w:rPr>
          <w:rFonts w:hint="cs"/>
          <w:rtl/>
        </w:rPr>
        <w:t>ُ</w:t>
      </w:r>
      <w:r w:rsidR="008A74EB" w:rsidRPr="00C9040A">
        <w:rPr>
          <w:rtl/>
        </w:rPr>
        <w:t>مورهم والائتمار بما يأمرون به ، فيكون معنى الجواب الرخصة في ذلك دفعاً لشرّهم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ج ، </w:t>
      </w:r>
      <w:r w:rsidR="006D3162">
        <w:rPr>
          <w:rtl/>
        </w:rPr>
        <w:t xml:space="preserve">ه </w:t>
      </w:r>
      <w:r w:rsidR="008A74EB" w:rsidRPr="00C9040A">
        <w:rPr>
          <w:rtl/>
        </w:rPr>
        <w:t>» : « قال : فقال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حاشية « ب » والكافي ، ح 2271 والمحاسن : « دين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w:t>
      </w:r>
      <w:r w:rsidR="008A74EB" w:rsidRPr="00993B55">
        <w:rPr>
          <w:rStyle w:val="libFootnoteBoldChar"/>
          <w:rtl/>
        </w:rPr>
        <w:t>الكافي</w:t>
      </w:r>
      <w:r w:rsidR="008A74EB" w:rsidRPr="00C9040A">
        <w:rPr>
          <w:rtl/>
        </w:rPr>
        <w:t xml:space="preserve"> ، كتاب الإيمان والكفر ، باب الكتمان ، ضمن ح 2271 ؛ </w:t>
      </w:r>
      <w:r w:rsidR="008A74EB" w:rsidRPr="00993B55">
        <w:rPr>
          <w:rStyle w:val="libFootnoteBoldChar"/>
          <w:rtl/>
        </w:rPr>
        <w:t>المحاسن</w:t>
      </w:r>
      <w:r w:rsidR="008A74EB" w:rsidRPr="00C9040A">
        <w:rPr>
          <w:rtl/>
        </w:rPr>
        <w:t xml:space="preserve"> ، ص 255 ، كتاب مصابيح الظلم ، </w:t>
      </w:r>
      <w:r w:rsidR="00AB5313">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4E29DD">
        <w:rPr>
          <w:rtl/>
        </w:rPr>
        <w:t>2253</w:t>
      </w:r>
      <w:r w:rsidRPr="00261CB0">
        <w:rPr>
          <w:rStyle w:val="libBold2Char"/>
          <w:rtl/>
        </w:rPr>
        <w:t xml:space="preserve"> / 13.</w:t>
      </w:r>
      <w:r w:rsidRPr="00C9040A">
        <w:rPr>
          <w:rtl/>
          <w:lang w:bidi="fa-IR"/>
        </w:rPr>
        <w:t xml:space="preserve"> عَلِيُّ بْنُ إِبْرَاهِيمَ ، عَنْ أَبِيهِ ، عَنْ حَمَّادٍ ، عَنْ رِبْعِيٍّ ، عَنْ زُرَارَةَ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التَّقِيَّةُ فِي كُلِّ ضَرُورَةٍ ، وَصَاحِبُهَا أَعْلَمُ بِهَا </w:t>
      </w:r>
      <w:r w:rsidR="006C577F" w:rsidRPr="006C577F">
        <w:rPr>
          <w:rStyle w:val="libFootnotenumChar"/>
          <w:rtl/>
        </w:rPr>
        <w:t>(1)</w:t>
      </w:r>
      <w:r w:rsidR="00B120D5">
        <w:rPr>
          <w:rtl/>
          <w:lang w:bidi="fa-IR"/>
        </w:rPr>
        <w:t xml:space="preserve"> حِينَ تَنْزِلُ بِهِ</w:t>
      </w:r>
      <w:r w:rsidRPr="00C9040A">
        <w:rPr>
          <w:rtl/>
          <w:lang w:bidi="fa-IR"/>
        </w:rPr>
        <w:t>»</w:t>
      </w:r>
      <w:r>
        <w:rPr>
          <w:rtl/>
          <w:lang w:bidi="fa-IR"/>
        </w:rPr>
        <w:t>.</w:t>
      </w:r>
      <w:r w:rsidR="006C577F" w:rsidRPr="006C577F">
        <w:rPr>
          <w:rStyle w:val="libFootnotenumChar"/>
          <w:rtl/>
        </w:rPr>
        <w:t>(2)</w:t>
      </w:r>
    </w:p>
    <w:p w:rsidR="008A74EB" w:rsidRPr="00C9040A" w:rsidRDefault="008A74EB" w:rsidP="008A74EB">
      <w:pPr>
        <w:pStyle w:val="libNormal"/>
        <w:rPr>
          <w:rtl/>
          <w:lang w:bidi="fa-IR"/>
        </w:rPr>
      </w:pPr>
      <w:r w:rsidRPr="004E29DD">
        <w:rPr>
          <w:rtl/>
        </w:rPr>
        <w:t>2254</w:t>
      </w:r>
      <w:r w:rsidRPr="00261CB0">
        <w:rPr>
          <w:rStyle w:val="libBold2Char"/>
          <w:rtl/>
        </w:rPr>
        <w:t xml:space="preserve"> / 14.</w:t>
      </w:r>
      <w:r w:rsidRPr="00C9040A">
        <w:rPr>
          <w:rtl/>
          <w:lang w:bidi="fa-IR"/>
        </w:rPr>
        <w:t xml:space="preserve"> عَلِيٌّ ، عَنْ أَبِيهِ ، عَنِ ابْنِ مَحْبُوبٍ ، عَنْ جَمِيلِ بْنِ صَالِحٍ </w:t>
      </w:r>
      <w:r w:rsidR="0059610C">
        <w:rPr>
          <w:rtl/>
          <w:lang w:bidi="fa-IR"/>
        </w:rPr>
        <w:t>، عَنْ مُحَمَّدِ بْنِ مَرْوَانَ</w:t>
      </w:r>
      <w:r w:rsidRPr="00C9040A">
        <w:rPr>
          <w:rtl/>
          <w:lang w:bidi="fa-IR"/>
        </w:rPr>
        <w:t>:</w:t>
      </w:r>
    </w:p>
    <w:p w:rsidR="008A74EB" w:rsidRPr="00C9040A" w:rsidRDefault="008A74EB" w:rsidP="00C67817">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كَانَ أَبِي </w:t>
      </w:r>
      <w:r w:rsidRPr="0003660B">
        <w:rPr>
          <w:rStyle w:val="libAlaemChar"/>
          <w:rtl/>
        </w:rPr>
        <w:t>عليه‌السلام</w:t>
      </w:r>
      <w:r w:rsidRPr="00C9040A">
        <w:rPr>
          <w:rtl/>
          <w:lang w:bidi="fa-IR"/>
        </w:rPr>
        <w:t xml:space="preserve"> يَقُولُ : وَأَيُّ شَيْ‌ءٍ أَقَرُّ لِعَيْنِي مِنَ التَّقِيَّةِ</w:t>
      </w:r>
      <w:r>
        <w:rPr>
          <w:rtl/>
          <w:lang w:bidi="fa-IR"/>
        </w:rPr>
        <w:t>؟</w:t>
      </w:r>
      <w:r w:rsidRPr="00C9040A">
        <w:rPr>
          <w:rtl/>
          <w:lang w:bidi="fa-IR"/>
        </w:rPr>
        <w:t xml:space="preserve"> إِنَّ جُنَّةُ </w:t>
      </w:r>
      <w:r w:rsidR="006C577F" w:rsidRPr="006C577F">
        <w:rPr>
          <w:rStyle w:val="libFootnotenumChar"/>
          <w:rtl/>
        </w:rPr>
        <w:t>(3)</w:t>
      </w:r>
      <w:r w:rsidRPr="00C9040A">
        <w:rPr>
          <w:rtl/>
          <w:lang w:bidi="fa-IR"/>
        </w:rPr>
        <w:t xml:space="preserve"> الْمُؤْمِنِ </w:t>
      </w:r>
      <w:r w:rsidR="006C577F" w:rsidRPr="006C577F">
        <w:rPr>
          <w:rStyle w:val="libFootnotenumChar"/>
          <w:rtl/>
        </w:rPr>
        <w:t>(4)</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4E29DD">
        <w:rPr>
          <w:rtl/>
        </w:rPr>
        <w:t>2255</w:t>
      </w:r>
      <w:r w:rsidRPr="00261CB0">
        <w:rPr>
          <w:rStyle w:val="libBold2Char"/>
          <w:rtl/>
        </w:rPr>
        <w:t xml:space="preserve"> / 15.</w:t>
      </w:r>
      <w:r w:rsidRPr="00C9040A">
        <w:rPr>
          <w:rtl/>
          <w:lang w:bidi="fa-IR"/>
        </w:rPr>
        <w:t xml:space="preserve"> عَلِيٌّ ، عَنْ أَبِيهِ ، عَنِ ابْنِ أَبِي عُمَيْرٍ ، عَنْ جَمِيلٍ </w:t>
      </w:r>
      <w:r w:rsidR="006C577F" w:rsidRPr="006C577F">
        <w:rPr>
          <w:rStyle w:val="libFootnotenumChar"/>
          <w:rtl/>
        </w:rPr>
        <w:t>(6)</w:t>
      </w:r>
      <w:r w:rsidRPr="005B567D">
        <w:rPr>
          <w:rStyle w:val="libFootnotenumChar"/>
          <w:rtl/>
        </w:rPr>
        <w:t xml:space="preserve"> </w:t>
      </w:r>
      <w:r w:rsidRPr="00C9040A">
        <w:rPr>
          <w:rtl/>
          <w:lang w:bidi="fa-IR"/>
        </w:rPr>
        <w:t>، عَنْ م</w:t>
      </w:r>
      <w:r w:rsidR="00C67817">
        <w:rPr>
          <w:rtl/>
          <w:lang w:bidi="fa-IR"/>
        </w:rPr>
        <w:t>ُحَمَّدِ بْنِ مَرْوَانَ ، قَالَ</w:t>
      </w:r>
      <w:r w:rsidRPr="00C9040A">
        <w:rPr>
          <w:rtl/>
          <w:lang w:bidi="fa-IR"/>
        </w:rPr>
        <w:t>:</w:t>
      </w:r>
    </w:p>
    <w:p w:rsidR="008A74EB" w:rsidRPr="00C9040A" w:rsidRDefault="008A74EB" w:rsidP="008A74EB">
      <w:pPr>
        <w:pStyle w:val="libNormal"/>
        <w:rPr>
          <w:rtl/>
          <w:lang w:bidi="fa-IR"/>
        </w:rPr>
      </w:pPr>
      <w:r w:rsidRPr="00C9040A">
        <w:rPr>
          <w:rtl/>
          <w:lang w:bidi="fa-IR"/>
        </w:rPr>
        <w:t xml:space="preserve">قَالَ لِي أَبُو عَبْدِ اللهِ </w:t>
      </w:r>
      <w:r w:rsidRPr="0003660B">
        <w:rPr>
          <w:rStyle w:val="libAlaemChar"/>
          <w:rtl/>
        </w:rPr>
        <w:t>عليه‌السلام</w:t>
      </w:r>
      <w:r w:rsidRPr="00C9040A">
        <w:rPr>
          <w:rtl/>
          <w:lang w:bidi="fa-IR"/>
        </w:rPr>
        <w:t xml:space="preserve"> : « مَا مُنِعَ مِيثَمٌ </w:t>
      </w:r>
      <w:r w:rsidR="006C577F" w:rsidRPr="006C577F">
        <w:rPr>
          <w:rStyle w:val="libFootnotenumChar"/>
          <w:rtl/>
        </w:rPr>
        <w:t>(7)</w:t>
      </w:r>
      <w:r>
        <w:rPr>
          <w:rtl/>
          <w:lang w:bidi="fa-IR"/>
        </w:rPr>
        <w:t xml:space="preserve"> </w:t>
      </w:r>
      <w:r w:rsidR="0084262C">
        <w:rPr>
          <w:rtl/>
          <w:lang w:bidi="fa-IR"/>
        </w:rPr>
        <w:t>-</w:t>
      </w:r>
      <w:r>
        <w:rPr>
          <w:rtl/>
          <w:lang w:bidi="fa-IR"/>
        </w:rPr>
        <w:t xml:space="preserve"> </w:t>
      </w:r>
      <w:r w:rsidRPr="00C9040A">
        <w:rPr>
          <w:rtl/>
          <w:lang w:bidi="fa-IR"/>
        </w:rPr>
        <w:t xml:space="preserve">رَحِمَهُ اللهُ </w:t>
      </w:r>
      <w:r w:rsidR="0084262C">
        <w:rPr>
          <w:rtl/>
          <w:lang w:bidi="fa-IR"/>
        </w:rPr>
        <w:t>-</w:t>
      </w:r>
      <w:r w:rsidR="00C67817">
        <w:rPr>
          <w:rFonts w:hint="cs"/>
          <w:rtl/>
          <w:lang w:bidi="fa-IR"/>
        </w:rPr>
        <w:t>...................</w:t>
      </w:r>
      <w:r w:rsidR="00C67817">
        <w:rPr>
          <w:rFonts w:hint="cs"/>
          <w:rtl/>
          <w:lang w:bidi="fa-IR"/>
        </w:rPr>
        <w:tab/>
      </w:r>
    </w:p>
    <w:p w:rsidR="008A74EB" w:rsidRPr="00C9040A" w:rsidRDefault="008A74EB" w:rsidP="008A74EB">
      <w:pPr>
        <w:pStyle w:val="libLine"/>
        <w:rPr>
          <w:rtl/>
          <w:lang w:bidi="fa-IR"/>
        </w:rPr>
      </w:pPr>
      <w:r w:rsidRPr="00C9040A">
        <w:rPr>
          <w:rtl/>
          <w:lang w:bidi="fa-IR"/>
        </w:rPr>
        <w:t>__________________</w:t>
      </w:r>
    </w:p>
    <w:p w:rsidR="008A74EB" w:rsidRPr="00C9040A" w:rsidRDefault="00FB343F" w:rsidP="00FB343F">
      <w:pPr>
        <w:pStyle w:val="libFootnote0"/>
        <w:rPr>
          <w:rtl/>
          <w:lang w:bidi="fa-IR"/>
        </w:rPr>
      </w:pPr>
      <w:r>
        <w:rPr>
          <w:rFonts w:hint="cs"/>
          <w:rtl/>
        </w:rPr>
        <w:t xml:space="preserve">= </w:t>
      </w:r>
      <w:r w:rsidR="008A74EB" w:rsidRPr="00C9040A">
        <w:rPr>
          <w:rtl/>
        </w:rPr>
        <w:t xml:space="preserve">ضمن ح 286 ، وفيهما بسند آخر عن أبي عبدالله </w:t>
      </w:r>
      <w:r w:rsidR="00117575" w:rsidRPr="00117575">
        <w:rPr>
          <w:rStyle w:val="libFootnoteAlaemChar"/>
          <w:rtl/>
        </w:rPr>
        <w:t xml:space="preserve">عليه‌السلام </w:t>
      </w:r>
      <w:r w:rsidR="008A74EB" w:rsidRPr="00C9040A">
        <w:rPr>
          <w:rtl/>
        </w:rPr>
        <w:t>، من قوله : « التقيّة من ديني »</w:t>
      </w:r>
      <w:r w:rsidR="008A74EB">
        <w:rPr>
          <w:rtl/>
        </w:rPr>
        <w:t>.</w:t>
      </w:r>
      <w:r w:rsidR="008A74EB" w:rsidRPr="00C9040A">
        <w:rPr>
          <w:rtl/>
        </w:rPr>
        <w:t xml:space="preserve"> </w:t>
      </w:r>
      <w:r w:rsidR="008A74EB" w:rsidRPr="00993B55">
        <w:rPr>
          <w:rStyle w:val="libFootnoteBoldChar"/>
          <w:rtl/>
        </w:rPr>
        <w:t>الجعفريّات</w:t>
      </w:r>
      <w:r w:rsidR="008A74EB" w:rsidRPr="00C9040A">
        <w:rPr>
          <w:rtl/>
        </w:rPr>
        <w:t xml:space="preserve"> ، ص 180 ، بسنده عن جعفر بن محمّد ، عن آبائه ، عن عليّ بن أبي‌طالب </w:t>
      </w:r>
      <w:r w:rsidR="00117575" w:rsidRPr="00117575">
        <w:rPr>
          <w:rStyle w:val="libFootnoteAlaemChar"/>
          <w:rtl/>
        </w:rPr>
        <w:t>عليهم‌السلام</w:t>
      </w:r>
      <w:r w:rsidR="008A74EB" w:rsidRPr="00C9040A">
        <w:rPr>
          <w:rtl/>
        </w:rPr>
        <w:t xml:space="preserve"> ، وتمام الرواية فيه : « التقيّة ديني ودين أهل بيتي »</w:t>
      </w:r>
      <w:r>
        <w:rPr>
          <w:rFonts w:hint="cs"/>
          <w:rtl/>
        </w:rPr>
        <w:t>.</w:t>
      </w:r>
      <w:r w:rsidR="008A74EB" w:rsidRPr="00993B55">
        <w:rPr>
          <w:rStyle w:val="libFootnoteBoldChar"/>
          <w:rtl/>
        </w:rPr>
        <w:t>الوافي</w:t>
      </w:r>
      <w:r w:rsidR="008A74EB" w:rsidRPr="00C9040A">
        <w:rPr>
          <w:rtl/>
        </w:rPr>
        <w:t xml:space="preserve"> ، ج 5 ، ص 690 ، ح 2888 ؛ </w:t>
      </w:r>
      <w:r w:rsidR="008A74EB" w:rsidRPr="00993B55">
        <w:rPr>
          <w:rStyle w:val="libFootnoteBoldChar"/>
          <w:rtl/>
        </w:rPr>
        <w:t>الوسائل</w:t>
      </w:r>
      <w:r w:rsidR="008A74EB" w:rsidRPr="00C9040A">
        <w:rPr>
          <w:rtl/>
        </w:rPr>
        <w:t xml:space="preserve"> ، ج 16 ، ص 204 ، ح 21359 ؛ </w:t>
      </w:r>
      <w:r w:rsidR="008A74EB" w:rsidRPr="00993B55">
        <w:rPr>
          <w:rStyle w:val="libFootnoteBoldChar"/>
          <w:rtl/>
        </w:rPr>
        <w:t>البحار</w:t>
      </w:r>
      <w:r w:rsidR="008A74EB" w:rsidRPr="00C9040A">
        <w:rPr>
          <w:rtl/>
        </w:rPr>
        <w:t xml:space="preserve"> ، ج 75 ، ص 431 ، ح 92.</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w:t>
      </w:r>
      <w:r w:rsidR="006D3162">
        <w:rPr>
          <w:rtl/>
        </w:rPr>
        <w:t xml:space="preserve">ه </w:t>
      </w:r>
      <w:r w:rsidR="008A74EB" w:rsidRPr="00C9040A">
        <w:rPr>
          <w:rtl/>
        </w:rPr>
        <w:t xml:space="preserve">» </w:t>
      </w:r>
      <w:r w:rsidR="008A74EB">
        <w:rPr>
          <w:rtl/>
        </w:rPr>
        <w:t xml:space="preserve">: </w:t>
      </w:r>
      <w:r w:rsidR="0084262C">
        <w:rPr>
          <w:rtl/>
        </w:rPr>
        <w:t>-</w:t>
      </w:r>
      <w:r w:rsidR="008A74EB" w:rsidRPr="00C9040A">
        <w:rPr>
          <w:rtl/>
        </w:rPr>
        <w:t xml:space="preserve"> « بها »</w:t>
      </w:r>
      <w:r w:rsidR="008A74EB">
        <w:rPr>
          <w:rtl/>
        </w:rPr>
        <w:t>.</w:t>
      </w:r>
    </w:p>
    <w:p w:rsidR="008A74EB" w:rsidRPr="00C9040A" w:rsidRDefault="006C577F" w:rsidP="00FB343F">
      <w:pPr>
        <w:pStyle w:val="libFootnote0"/>
        <w:rPr>
          <w:rtl/>
          <w:lang w:bidi="fa-IR"/>
        </w:rPr>
      </w:pPr>
      <w:r>
        <w:rPr>
          <w:rtl/>
        </w:rPr>
        <w:t>(2).</w:t>
      </w:r>
      <w:r w:rsidR="008A74EB">
        <w:rPr>
          <w:rtl/>
        </w:rPr>
        <w:t xml:space="preserve"> </w:t>
      </w:r>
      <w:r w:rsidR="008A74EB" w:rsidRPr="00993B55">
        <w:rPr>
          <w:rStyle w:val="libFootnoteBoldChar"/>
          <w:rtl/>
        </w:rPr>
        <w:t>المحاسن</w:t>
      </w:r>
      <w:r w:rsidR="008A74EB" w:rsidRPr="00C9040A">
        <w:rPr>
          <w:rtl/>
        </w:rPr>
        <w:t xml:space="preserve"> ، ص 259 ، كتاب مصابيح الظلم ، ح 307 ، بثلاثة أسانيد ا</w:t>
      </w:r>
      <w:r w:rsidR="00FB343F">
        <w:rPr>
          <w:rFonts w:hint="cs"/>
          <w:rtl/>
        </w:rPr>
        <w:t>ُ</w:t>
      </w:r>
      <w:r w:rsidR="008A74EB" w:rsidRPr="00C9040A">
        <w:rPr>
          <w:rtl/>
        </w:rPr>
        <w:t>خر ، وتمام الرواية : « التقيّة في كلّ ضرورة »</w:t>
      </w:r>
      <w:r w:rsidR="008A74EB">
        <w:rPr>
          <w:rtl/>
        </w:rPr>
        <w:t>.</w:t>
      </w:r>
      <w:r w:rsidR="008A74EB" w:rsidRPr="00C9040A">
        <w:rPr>
          <w:rtl/>
        </w:rPr>
        <w:t xml:space="preserve"> </w:t>
      </w:r>
      <w:r w:rsidR="008A74EB" w:rsidRPr="00993B55">
        <w:rPr>
          <w:rStyle w:val="libFootnoteBoldChar"/>
          <w:rtl/>
        </w:rPr>
        <w:t>تفسير العيّاشي</w:t>
      </w:r>
      <w:r w:rsidR="008A74EB" w:rsidRPr="00C9040A">
        <w:rPr>
          <w:rtl/>
        </w:rPr>
        <w:t xml:space="preserve"> ، ج 2 ، ص 271 ، ذيل ح 73 ، عن معمّر بن يحيى بن سالم ، عن أبي‌جعفر </w:t>
      </w:r>
      <w:r w:rsidR="00117575" w:rsidRPr="00117575">
        <w:rPr>
          <w:rStyle w:val="libFootnoteAlaemChar"/>
          <w:rtl/>
        </w:rPr>
        <w:t xml:space="preserve">عليه‌السلام </w:t>
      </w:r>
      <w:r w:rsidR="008A74EB" w:rsidRPr="00C9040A">
        <w:rPr>
          <w:rtl/>
        </w:rPr>
        <w:t xml:space="preserve">، وفيه : « التقيّة في كلّ ضرورة » مع زيادة في أوّله. </w:t>
      </w:r>
      <w:r w:rsidR="008A74EB" w:rsidRPr="00993B55">
        <w:rPr>
          <w:rStyle w:val="libFootnoteBoldChar"/>
          <w:rtl/>
        </w:rPr>
        <w:t>الفقيه</w:t>
      </w:r>
      <w:r w:rsidR="008A74EB" w:rsidRPr="00C9040A">
        <w:rPr>
          <w:rtl/>
        </w:rPr>
        <w:t xml:space="preserve"> ، ج 3 ، ص 363 ، ح 4287 ، مرسلاً عن أبي‌عبدالله </w:t>
      </w:r>
      <w:r w:rsidR="00117575" w:rsidRPr="00117575">
        <w:rPr>
          <w:rStyle w:val="libFootnoteAlaemChar"/>
          <w:rtl/>
        </w:rPr>
        <w:t>عليه‌السلام</w:t>
      </w:r>
      <w:r w:rsidR="00FB343F">
        <w:rPr>
          <w:rFonts w:hint="cs"/>
          <w:rtl/>
        </w:rPr>
        <w:t>.</w:t>
      </w:r>
      <w:r w:rsidR="008A74EB" w:rsidRPr="00993B55">
        <w:rPr>
          <w:rStyle w:val="libFootnoteBoldChar"/>
          <w:rtl/>
        </w:rPr>
        <w:t>الوافي</w:t>
      </w:r>
      <w:r w:rsidR="008A74EB" w:rsidRPr="00C9040A">
        <w:rPr>
          <w:rtl/>
        </w:rPr>
        <w:t xml:space="preserve"> ، ج 5 ، ص 690 ، ح 2891 ؛ </w:t>
      </w:r>
      <w:r w:rsidR="008A74EB" w:rsidRPr="00993B55">
        <w:rPr>
          <w:rStyle w:val="libFootnoteBoldChar"/>
          <w:rtl/>
        </w:rPr>
        <w:t>الوسائل</w:t>
      </w:r>
      <w:r w:rsidR="008A74EB" w:rsidRPr="00C9040A">
        <w:rPr>
          <w:rtl/>
        </w:rPr>
        <w:t xml:space="preserve"> ، ج 16 ، ص 214 ، ح 21392 ؛ </w:t>
      </w:r>
      <w:r w:rsidR="008A74EB" w:rsidRPr="00993B55">
        <w:rPr>
          <w:rStyle w:val="libFootnoteBoldChar"/>
          <w:rtl/>
        </w:rPr>
        <w:t>البحار</w:t>
      </w:r>
      <w:r w:rsidR="008A74EB" w:rsidRPr="00C9040A">
        <w:rPr>
          <w:rtl/>
        </w:rPr>
        <w:t xml:space="preserve"> ، ج 75 ، ص 432 ، ح 93.</w:t>
      </w:r>
    </w:p>
    <w:p w:rsidR="008A74EB" w:rsidRPr="00C9040A" w:rsidRDefault="006C577F" w:rsidP="004A4E41">
      <w:pPr>
        <w:pStyle w:val="libFootnote0"/>
        <w:rPr>
          <w:rtl/>
          <w:lang w:bidi="fa-IR"/>
        </w:rPr>
      </w:pPr>
      <w:r>
        <w:rPr>
          <w:rtl/>
        </w:rPr>
        <w:t>(3).</w:t>
      </w:r>
      <w:r w:rsidR="008A74EB" w:rsidRPr="00C9040A">
        <w:rPr>
          <w:rtl/>
        </w:rPr>
        <w:t xml:space="preserve"> « الجُنَّة » : الدِّرْع وكلّ ما وقاك فهو جُنّتك. </w:t>
      </w:r>
      <w:r w:rsidR="008A74EB" w:rsidRPr="00993B55">
        <w:rPr>
          <w:rStyle w:val="libFootnoteBoldChar"/>
          <w:rtl/>
        </w:rPr>
        <w:t>ترتيب كتاب العين</w:t>
      </w:r>
      <w:r w:rsidR="008A74EB" w:rsidRPr="00C9040A">
        <w:rPr>
          <w:rtl/>
        </w:rPr>
        <w:t xml:space="preserve"> ، ج 1 ، ص 324 ( جنّ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مرآة العقول : « للمؤمن »</w:t>
      </w:r>
      <w:r w:rsidR="008A74EB">
        <w:rPr>
          <w:rtl/>
        </w:rPr>
        <w:t>.</w:t>
      </w:r>
    </w:p>
    <w:p w:rsidR="008A74EB" w:rsidRPr="00C9040A" w:rsidRDefault="006C577F" w:rsidP="00FB343F">
      <w:pPr>
        <w:pStyle w:val="libFootnote0"/>
        <w:rPr>
          <w:rtl/>
          <w:lang w:bidi="fa-IR"/>
        </w:rPr>
      </w:pPr>
      <w:r>
        <w:rPr>
          <w:rtl/>
        </w:rPr>
        <w:t>(5).</w:t>
      </w:r>
      <w:r w:rsidR="008A74EB" w:rsidRPr="00C9040A">
        <w:rPr>
          <w:rtl/>
        </w:rPr>
        <w:t xml:space="preserve"> </w:t>
      </w:r>
      <w:r w:rsidR="008A74EB" w:rsidRPr="00993B55">
        <w:rPr>
          <w:rStyle w:val="libFootnoteBoldChar"/>
          <w:rtl/>
        </w:rPr>
        <w:t>المحاسن</w:t>
      </w:r>
      <w:r w:rsidR="008A74EB" w:rsidRPr="00C9040A">
        <w:rPr>
          <w:rtl/>
        </w:rPr>
        <w:t xml:space="preserve"> ، ص 258 ، كتاب مصابيح الظلم ، ذيل ح 301 ، عن الحسن بن محبوب ؛ </w:t>
      </w:r>
      <w:r w:rsidR="008A74EB" w:rsidRPr="00993B55">
        <w:rPr>
          <w:rStyle w:val="libFootnoteBoldChar"/>
          <w:rtl/>
        </w:rPr>
        <w:t>وفيه</w:t>
      </w:r>
      <w:r w:rsidR="008A74EB" w:rsidRPr="00C9040A">
        <w:rPr>
          <w:rtl/>
        </w:rPr>
        <w:t xml:space="preserve"> ، صدر ح 301 ، بسند آخر عن جميل بن صالح ، إلى قوله : « أقرّ لعيني من التقيّة » وفيهما مع اختلاف يسير. </w:t>
      </w:r>
      <w:r w:rsidR="008A74EB" w:rsidRPr="00993B55">
        <w:rPr>
          <w:rStyle w:val="libFootnoteBoldChar"/>
          <w:rtl/>
        </w:rPr>
        <w:t>تحف العقول</w:t>
      </w:r>
      <w:r w:rsidR="008A74EB" w:rsidRPr="00C9040A">
        <w:rPr>
          <w:rtl/>
        </w:rPr>
        <w:t xml:space="preserve"> ، ص 307 ، عن أبي عبدالله </w:t>
      </w:r>
      <w:r w:rsidR="00117575" w:rsidRPr="00117575">
        <w:rPr>
          <w:rStyle w:val="libFootnoteAlaemChar"/>
          <w:rtl/>
        </w:rPr>
        <w:t>عليه‌السلام</w:t>
      </w:r>
      <w:r w:rsidR="008A74EB" w:rsidRPr="00C9040A">
        <w:rPr>
          <w:rtl/>
        </w:rPr>
        <w:t xml:space="preserve"> ، ضمن وصيّته لأبي‌جعفر محمّد بن النعمان الأحول</w:t>
      </w:r>
      <w:r w:rsidR="00FB343F">
        <w:rPr>
          <w:rFonts w:hint="cs"/>
          <w:rtl/>
        </w:rPr>
        <w:t>.</w:t>
      </w:r>
      <w:r w:rsidR="008A74EB" w:rsidRPr="00993B55">
        <w:rPr>
          <w:rStyle w:val="libFootnoteBoldChar"/>
          <w:rtl/>
        </w:rPr>
        <w:t>الوافي</w:t>
      </w:r>
      <w:r w:rsidR="008A74EB" w:rsidRPr="00C9040A">
        <w:rPr>
          <w:rtl/>
        </w:rPr>
        <w:t xml:space="preserve"> ، ج 5 ، ص 690 ، ح 2889 ؛ </w:t>
      </w:r>
      <w:r w:rsidR="008A74EB" w:rsidRPr="00993B55">
        <w:rPr>
          <w:rStyle w:val="libFootnoteBoldChar"/>
          <w:rtl/>
        </w:rPr>
        <w:t>الوسائل</w:t>
      </w:r>
      <w:r w:rsidR="008A74EB" w:rsidRPr="00C9040A">
        <w:rPr>
          <w:rtl/>
        </w:rPr>
        <w:t xml:space="preserve"> ، ج 16 ، ص 204 ، ح 21360 ؛ </w:t>
      </w:r>
      <w:r w:rsidR="008A74EB" w:rsidRPr="00993B55">
        <w:rPr>
          <w:rStyle w:val="libFootnoteBoldChar"/>
          <w:rtl/>
        </w:rPr>
        <w:t>البحار</w:t>
      </w:r>
      <w:r w:rsidR="008A74EB" w:rsidRPr="00C9040A">
        <w:rPr>
          <w:rtl/>
        </w:rPr>
        <w:t xml:space="preserve"> ، ج 75 ، ص 432 ، ح 94.</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ج ، ض » : + « بن صالح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استظهر في حاشية « د » نصب ميثم ، وهو يبتني على قراءة « منع » معلوماً. قال في </w:t>
      </w:r>
      <w:r w:rsidR="008A74EB" w:rsidRPr="00993B55">
        <w:rPr>
          <w:rStyle w:val="libFootnoteBoldChar"/>
          <w:rtl/>
        </w:rPr>
        <w:t>مرآة العقول</w:t>
      </w:r>
      <w:r w:rsidR="008A74EB" w:rsidRPr="00C9040A">
        <w:rPr>
          <w:rtl/>
        </w:rPr>
        <w:t xml:space="preserve"> : « كأنّه ميثماً ، </w:t>
      </w:r>
      <w:r w:rsidR="00FB343F">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مِنَ </w:t>
      </w:r>
      <w:r w:rsidR="006C577F" w:rsidRPr="006C577F">
        <w:rPr>
          <w:rStyle w:val="libFootnotenumChar"/>
          <w:rtl/>
        </w:rPr>
        <w:t>(1)</w:t>
      </w:r>
      <w:r w:rsidRPr="00C9040A">
        <w:rPr>
          <w:rtl/>
          <w:lang w:bidi="fa-IR"/>
        </w:rPr>
        <w:t xml:space="preserve"> التَّقِيَّةِ ، فَوَ اللهِ لَقَدْ عَلِمَ أَنَّ هذِهِ </w:t>
      </w:r>
      <w:r w:rsidR="006C577F" w:rsidRPr="006C577F">
        <w:rPr>
          <w:rStyle w:val="libFootnotenumChar"/>
          <w:rtl/>
        </w:rPr>
        <w:t>(2)</w:t>
      </w:r>
      <w:r w:rsidRPr="00C9040A">
        <w:rPr>
          <w:rtl/>
          <w:lang w:bidi="fa-IR"/>
        </w:rPr>
        <w:t xml:space="preserve"> الْآيَةَ نَزَلَتْ فِي عَمَّارٍ وَأَصْحَابِهِ : </w:t>
      </w:r>
      <w:r w:rsidRPr="0003660B">
        <w:rPr>
          <w:rStyle w:val="libAlaemChar"/>
          <w:rtl/>
        </w:rPr>
        <w:t>(</w:t>
      </w:r>
      <w:r w:rsidR="00DF2638">
        <w:rPr>
          <w:rStyle w:val="libAieChar"/>
          <w:rtl/>
        </w:rPr>
        <w:t xml:space="preserve"> إِل</w:t>
      </w:r>
      <w:r w:rsidR="00DF2638">
        <w:rPr>
          <w:rStyle w:val="libAieChar"/>
          <w:rFonts w:hint="cs"/>
          <w:rtl/>
        </w:rPr>
        <w:t>َّ</w:t>
      </w:r>
      <w:r w:rsidR="00DF2638">
        <w:rPr>
          <w:rStyle w:val="libAieChar"/>
          <w:rtl/>
        </w:rPr>
        <w:t>ا</w:t>
      </w:r>
      <w:r w:rsidRPr="006A2246">
        <w:rPr>
          <w:rStyle w:val="libAieChar"/>
          <w:rtl/>
        </w:rPr>
        <w:t xml:space="preserve"> مَنْ أُكْرِهَ وَقَلْبُهُ مُطْمَئِنٌّ بِالْإِيمانِ </w:t>
      </w:r>
      <w:r w:rsidRPr="0003660B">
        <w:rPr>
          <w:rStyle w:val="libAlaemChar"/>
          <w:rtl/>
        </w:rPr>
        <w:t>)</w:t>
      </w:r>
      <w:r w:rsidRPr="00C9040A">
        <w:rPr>
          <w:rtl/>
          <w:lang w:bidi="fa-IR"/>
        </w:rPr>
        <w:t xml:space="preserve"> </w:t>
      </w:r>
      <w:r w:rsidR="006C577F" w:rsidRPr="006C577F">
        <w:rPr>
          <w:rStyle w:val="libFootnotenumChar"/>
          <w:rtl/>
        </w:rPr>
        <w:t>(3)</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BC4509">
        <w:rPr>
          <w:rtl/>
        </w:rPr>
        <w:t>2256</w:t>
      </w:r>
      <w:r w:rsidRPr="00261CB0">
        <w:rPr>
          <w:rStyle w:val="libBold2Char"/>
          <w:rtl/>
        </w:rPr>
        <w:t xml:space="preserve"> / 16.</w:t>
      </w:r>
      <w:r w:rsidRPr="00C9040A">
        <w:rPr>
          <w:rtl/>
          <w:lang w:bidi="fa-IR"/>
        </w:rPr>
        <w:t xml:space="preserve"> أَبُو عَلِيٍّ الْأَشْعَرِيُّ ، عَنْ مُحَمَّدِ بْنِ عَبْدِ الْجَبَّارِ ، عَنْ صَفْوَانَ ، عَنْ شُعَيْبٍ الْحَدَّادِ ، عَنْ مُحَمَّدِ بْنِ مُسْلِمٍ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إِنَّمَا جُعِلَتِ التَّقِيَّةُ لِيُحْقَنَ بِهَا الدَّمُ ، فَإِذَا بَلَغَ الدَّمَ فَلَيْسَ </w:t>
      </w:r>
      <w:r w:rsidR="006C577F" w:rsidRPr="006C577F">
        <w:rPr>
          <w:rStyle w:val="libFootnotenumChar"/>
          <w:rtl/>
        </w:rPr>
        <w:t>(5)</w:t>
      </w:r>
      <w:r w:rsidRPr="00C9040A">
        <w:rPr>
          <w:rtl/>
          <w:lang w:bidi="fa-IR"/>
        </w:rPr>
        <w:t xml:space="preserve"> تَقِيَّةٌ »</w:t>
      </w:r>
      <w:r>
        <w:rPr>
          <w:rtl/>
          <w:lang w:bidi="fa-IR"/>
        </w:rPr>
        <w:t>.</w:t>
      </w:r>
      <w:r w:rsidRPr="00C9040A">
        <w:rPr>
          <w:rtl/>
          <w:lang w:bidi="fa-IR"/>
        </w:rPr>
        <w:t xml:space="preserve"> </w:t>
      </w:r>
      <w:r w:rsidR="006C577F" w:rsidRPr="006C577F">
        <w:rPr>
          <w:rStyle w:val="libFootnotenumChar"/>
          <w:rtl/>
        </w:rPr>
        <w:t>(6)</w:t>
      </w:r>
      <w:r w:rsidRPr="00C9040A">
        <w:rPr>
          <w:rtl/>
          <w:lang w:bidi="fa-IR"/>
        </w:rPr>
        <w:t>‌</w:t>
      </w:r>
    </w:p>
    <w:p w:rsidR="008A74EB" w:rsidRPr="00C9040A" w:rsidRDefault="008A74EB" w:rsidP="008A74EB">
      <w:pPr>
        <w:pStyle w:val="libNormal"/>
        <w:rPr>
          <w:rtl/>
          <w:lang w:bidi="fa-IR"/>
        </w:rPr>
      </w:pPr>
      <w:r w:rsidRPr="00BC4509">
        <w:rPr>
          <w:rtl/>
        </w:rPr>
        <w:t>2257</w:t>
      </w:r>
      <w:r w:rsidRPr="00261CB0">
        <w:rPr>
          <w:rStyle w:val="libBold2Char"/>
          <w:rtl/>
        </w:rPr>
        <w:t xml:space="preserve"> / 17.</w:t>
      </w:r>
      <w:r w:rsidRPr="00C9040A">
        <w:rPr>
          <w:rtl/>
          <w:lang w:bidi="fa-IR"/>
        </w:rPr>
        <w:t xml:space="preserve"> مُحَمَّدُ بْنُ يَحْيى ، عَنْ أَحْمَدَ بْنِ مُحَمَّدٍ ، عَنِ ابْنِ فَضَّالٍ ، عَنِ ابْنِ بُكَيْرٍ ، عَنْ مُحَمَّدِ بْنِ مُسْلِمٍ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كُلَّمَا تَقَارَبَ </w:t>
      </w:r>
      <w:r w:rsidR="006C577F" w:rsidRPr="006C577F">
        <w:rPr>
          <w:rStyle w:val="libFootnotenumChar"/>
          <w:rtl/>
        </w:rPr>
        <w:t>(7)</w:t>
      </w:r>
      <w:r w:rsidRPr="00C9040A">
        <w:rPr>
          <w:rtl/>
          <w:lang w:bidi="fa-IR"/>
        </w:rPr>
        <w:t xml:space="preserve"> هذَا الْأَمْرُ </w:t>
      </w:r>
      <w:r w:rsidR="006C577F" w:rsidRPr="006C577F">
        <w:rPr>
          <w:rStyle w:val="libFootnotenumChar"/>
          <w:rtl/>
        </w:rPr>
        <w:t>(8)</w:t>
      </w:r>
      <w:r w:rsidRPr="00C9040A">
        <w:rPr>
          <w:rtl/>
          <w:lang w:bidi="fa-IR"/>
        </w:rPr>
        <w:t xml:space="preserve"> ، كَانَ أَشَدَّ لِلتَّقِيَّةِ »</w:t>
      </w:r>
      <w:r>
        <w:rPr>
          <w:rtl/>
          <w:lang w:bidi="fa-IR"/>
        </w:rPr>
        <w:t>.</w:t>
      </w:r>
      <w:r w:rsidRPr="00C9040A">
        <w:rPr>
          <w:rtl/>
          <w:lang w:bidi="fa-IR"/>
        </w:rPr>
        <w:t xml:space="preserve"> </w:t>
      </w:r>
      <w:r w:rsidR="006C577F" w:rsidRPr="006C577F">
        <w:rPr>
          <w:rStyle w:val="libFootnotenumChar"/>
          <w:rtl/>
        </w:rPr>
        <w:t>(9)</w:t>
      </w:r>
      <w:r w:rsidRPr="00C9040A">
        <w:rPr>
          <w:rtl/>
          <w:lang w:bidi="fa-IR"/>
        </w:rPr>
        <w:t xml:space="preserve"> ‌</w:t>
      </w:r>
    </w:p>
    <w:p w:rsidR="008A74EB" w:rsidRPr="00C9040A" w:rsidRDefault="008A74EB" w:rsidP="008A74EB">
      <w:pPr>
        <w:pStyle w:val="libNormal"/>
        <w:rPr>
          <w:rtl/>
          <w:lang w:bidi="fa-IR"/>
        </w:rPr>
      </w:pPr>
      <w:r w:rsidRPr="00BC4509">
        <w:rPr>
          <w:rtl/>
        </w:rPr>
        <w:t>2258</w:t>
      </w:r>
      <w:r w:rsidRPr="00261CB0">
        <w:rPr>
          <w:rStyle w:val="libBold2Char"/>
          <w:rtl/>
        </w:rPr>
        <w:t xml:space="preserve"> / 18.</w:t>
      </w:r>
      <w:r w:rsidRPr="00C9040A">
        <w:rPr>
          <w:rtl/>
          <w:lang w:bidi="fa-IR"/>
        </w:rPr>
        <w:t xml:space="preserve"> عَلِيُّ بْنُ إِبْرَاهِيمَ ، عَنْ أَبِيهِ ، عَنِ ابْنِ أَبِي عُمَيْرٍ ، عَنِ ابْنِ أُذَيْنَةَ ، عَنْ إِسْمَاعِيلَ‌</w:t>
      </w:r>
    </w:p>
    <w:p w:rsidR="008A74EB" w:rsidRPr="00C9040A" w:rsidRDefault="008A74EB" w:rsidP="008A74EB">
      <w:pPr>
        <w:pStyle w:val="libLine"/>
        <w:rPr>
          <w:rtl/>
          <w:lang w:bidi="fa-IR"/>
        </w:rPr>
      </w:pPr>
      <w:r w:rsidRPr="00C9040A">
        <w:rPr>
          <w:rtl/>
          <w:lang w:bidi="fa-IR"/>
        </w:rPr>
        <w:t>__________________</w:t>
      </w:r>
    </w:p>
    <w:p w:rsidR="008A74EB" w:rsidRPr="00C9040A" w:rsidRDefault="00DF2638" w:rsidP="004A4E41">
      <w:pPr>
        <w:pStyle w:val="libFootnote0"/>
        <w:rPr>
          <w:rtl/>
          <w:lang w:bidi="fa-IR"/>
        </w:rPr>
      </w:pPr>
      <w:r>
        <w:rPr>
          <w:rFonts w:hint="cs"/>
          <w:rtl/>
          <w:lang w:bidi="fa-IR"/>
        </w:rPr>
        <w:t xml:space="preserve">= </w:t>
      </w:r>
      <w:r w:rsidR="008A74EB" w:rsidRPr="00C9040A">
        <w:rPr>
          <w:rtl/>
        </w:rPr>
        <w:t>فصحّف »</w:t>
      </w:r>
      <w:r w:rsidR="008A74EB">
        <w:rPr>
          <w:rtl/>
        </w:rPr>
        <w:t>.</w:t>
      </w:r>
      <w:r w:rsidR="008A74EB" w:rsidRPr="00C9040A">
        <w:rPr>
          <w:rtl/>
        </w:rPr>
        <w:t xml:space="preserve"> ثمّ قال في تفسير ما في المتن : « أي لم يكن ميثم ممنوعاً من التقيّة في هذا الأمر فَلِمَ لم يتّق</w:t>
      </w:r>
      <w:r w:rsidR="008A74EB">
        <w:rPr>
          <w:rtl/>
        </w:rPr>
        <w:t>؟</w:t>
      </w:r>
      <w:r w:rsidR="008A74EB" w:rsidRPr="00C9040A">
        <w:rPr>
          <w:rtl/>
        </w:rPr>
        <w:t xml:space="preserve"> فيكون الكلام مسوقاً للإشفاق لا الذمّ والاعتراض ، كما هو الظاهر على تقدير النصب. ويحتمل أن يكون على الرفع مدحاً بأنّه مع جواز التقيّة تركه لشدّة حبّه لأميرالمؤمنين </w:t>
      </w:r>
      <w:r w:rsidR="00117575" w:rsidRPr="00117575">
        <w:rPr>
          <w:rStyle w:val="libFootnoteAlaemChar"/>
          <w:rtl/>
        </w:rPr>
        <w:t xml:space="preserve">عليه‌السلام </w:t>
      </w:r>
      <w:r w:rsidR="008A74EB">
        <w:rPr>
          <w:rtl/>
        </w:rPr>
        <w:t>..</w:t>
      </w:r>
      <w:r w:rsidR="008A74EB" w:rsidRPr="00C9040A">
        <w:rPr>
          <w:rtl/>
        </w:rPr>
        <w:t>. ويمكن أن يقرأ : مَنَع ، على بناء المعلوم. أي‌ليس فعله مانعاً للغير عن التقيّة ؛ لأنّه اختار أحد الفردين المخيّر فيهما ، أو لاختصاص الترك به »</w:t>
      </w:r>
      <w:r w:rsidR="008A74EB">
        <w:rPr>
          <w:rtl/>
        </w:rPr>
        <w:t>.</w:t>
      </w:r>
    </w:p>
    <w:tbl>
      <w:tblPr>
        <w:tblStyle w:val="TableGrid"/>
        <w:bidiVisual/>
        <w:tblW w:w="0" w:type="auto"/>
        <w:tblLook w:val="04A0" w:firstRow="1" w:lastRow="0" w:firstColumn="1" w:lastColumn="0" w:noHBand="0" w:noVBand="1"/>
      </w:tblPr>
      <w:tblGrid>
        <w:gridCol w:w="4006"/>
        <w:gridCol w:w="4006"/>
      </w:tblGrid>
      <w:tr w:rsidR="00DF2638" w:rsidTr="00DF2638">
        <w:tc>
          <w:tcPr>
            <w:tcW w:w="4006" w:type="dxa"/>
          </w:tcPr>
          <w:p w:rsidR="00DF2638" w:rsidRDefault="00DF2638" w:rsidP="004A4E41">
            <w:pPr>
              <w:pStyle w:val="libFootnote0"/>
              <w:rPr>
                <w:rtl/>
                <w:lang w:bidi="fa-IR"/>
              </w:rPr>
            </w:pPr>
            <w:r>
              <w:rPr>
                <w:rtl/>
              </w:rPr>
              <w:t xml:space="preserve">(1). </w:t>
            </w:r>
            <w:r w:rsidRPr="00C9040A">
              <w:rPr>
                <w:rtl/>
              </w:rPr>
              <w:t>في « ض » : « في »</w:t>
            </w:r>
            <w:r>
              <w:rPr>
                <w:rtl/>
              </w:rPr>
              <w:t>.</w:t>
            </w:r>
          </w:p>
        </w:tc>
        <w:tc>
          <w:tcPr>
            <w:tcW w:w="4006" w:type="dxa"/>
          </w:tcPr>
          <w:p w:rsidR="00DF2638" w:rsidRDefault="00DF2638" w:rsidP="004A4E41">
            <w:pPr>
              <w:pStyle w:val="libFootnote0"/>
              <w:rPr>
                <w:rtl/>
                <w:lang w:bidi="fa-IR"/>
              </w:rPr>
            </w:pPr>
            <w:r>
              <w:rPr>
                <w:rtl/>
              </w:rPr>
              <w:t xml:space="preserve">(2). </w:t>
            </w:r>
            <w:r w:rsidRPr="00C9040A">
              <w:rPr>
                <w:rtl/>
              </w:rPr>
              <w:t xml:space="preserve">في « </w:t>
            </w:r>
            <w:r>
              <w:rPr>
                <w:rtl/>
              </w:rPr>
              <w:t xml:space="preserve">ه </w:t>
            </w:r>
            <w:r w:rsidRPr="00C9040A">
              <w:rPr>
                <w:rtl/>
              </w:rPr>
              <w:t xml:space="preserve">» </w:t>
            </w:r>
            <w:r>
              <w:rPr>
                <w:rtl/>
              </w:rPr>
              <w:t>: -</w:t>
            </w:r>
            <w:r w:rsidRPr="00C9040A">
              <w:rPr>
                <w:rtl/>
              </w:rPr>
              <w:t xml:space="preserve"> « هذه »</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النحل (16) : 106.</w:t>
      </w:r>
    </w:p>
    <w:p w:rsidR="008A74EB" w:rsidRPr="00C9040A" w:rsidRDefault="006C577F" w:rsidP="003F0F39">
      <w:pPr>
        <w:pStyle w:val="libFootnote0"/>
        <w:rPr>
          <w:rtl/>
          <w:lang w:bidi="fa-IR"/>
        </w:rPr>
      </w:pPr>
      <w:r>
        <w:rPr>
          <w:rtl/>
        </w:rPr>
        <w:t>(4).</w:t>
      </w:r>
      <w:r w:rsidR="008A74EB" w:rsidRPr="00C9040A">
        <w:rPr>
          <w:rtl/>
        </w:rPr>
        <w:t xml:space="preserve"> </w:t>
      </w:r>
      <w:r w:rsidR="008A74EB" w:rsidRPr="00993B55">
        <w:rPr>
          <w:rStyle w:val="libFootnoteBoldChar"/>
          <w:rtl/>
        </w:rPr>
        <w:t>تفسير العيّاشي</w:t>
      </w:r>
      <w:r w:rsidR="008A74EB" w:rsidRPr="00C9040A">
        <w:rPr>
          <w:rtl/>
        </w:rPr>
        <w:t xml:space="preserve"> ، ج 2 ، ص 271 ، ح 72 ، عن محمّد بن مروان</w:t>
      </w:r>
      <w:r w:rsidR="003F0F39">
        <w:rPr>
          <w:rFonts w:hint="cs"/>
          <w:rtl/>
        </w:rPr>
        <w:t>.</w:t>
      </w:r>
      <w:r w:rsidR="008A74EB" w:rsidRPr="00993B55">
        <w:rPr>
          <w:rStyle w:val="libFootnoteBoldChar"/>
          <w:rtl/>
        </w:rPr>
        <w:t>الوافي</w:t>
      </w:r>
      <w:r w:rsidR="008A74EB" w:rsidRPr="00C9040A">
        <w:rPr>
          <w:rtl/>
        </w:rPr>
        <w:t xml:space="preserve"> ، ج 5 ، ص 691 ، ح 2893 ؛ </w:t>
      </w:r>
      <w:r w:rsidR="008A74EB" w:rsidRPr="00993B55">
        <w:rPr>
          <w:rStyle w:val="libFootnoteBoldChar"/>
          <w:rtl/>
        </w:rPr>
        <w:t>الوسائل</w:t>
      </w:r>
      <w:r w:rsidR="008A74EB" w:rsidRPr="00C9040A">
        <w:rPr>
          <w:rtl/>
        </w:rPr>
        <w:t xml:space="preserve"> ، ج 16 ، ص 226 ، ح 21424 ؛ </w:t>
      </w:r>
      <w:r w:rsidR="008A74EB" w:rsidRPr="00993B55">
        <w:rPr>
          <w:rStyle w:val="libFootnoteBoldChar"/>
          <w:rtl/>
        </w:rPr>
        <w:t>البحار</w:t>
      </w:r>
      <w:r w:rsidR="008A74EB" w:rsidRPr="00C9040A">
        <w:rPr>
          <w:rtl/>
        </w:rPr>
        <w:t xml:space="preserve"> ، ج 19 ، ص 91 ، ح 47 ؛ وج 42 ، ص 126 ، ذيل ح 8 ؛ وص 139 ، ح 21 ؛ وج 75 ، ص 432 ، ح 95.</w:t>
      </w:r>
      <w:r w:rsidR="003F0F39">
        <w:rPr>
          <w:rFonts w:hint="cs"/>
          <w:rtl/>
        </w:rPr>
        <w:t xml:space="preserve"> </w:t>
      </w:r>
      <w:r>
        <w:rPr>
          <w:rtl/>
        </w:rPr>
        <w:t>(5).</w:t>
      </w:r>
      <w:r w:rsidR="008A74EB" w:rsidRPr="00C9040A">
        <w:rPr>
          <w:rtl/>
        </w:rPr>
        <w:t xml:space="preserve"> في « بس » : « فلا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المحاسن</w:t>
      </w:r>
      <w:r w:rsidR="008A74EB" w:rsidRPr="00C9040A">
        <w:rPr>
          <w:rtl/>
        </w:rPr>
        <w:t xml:space="preserve"> ، ص 259 ، كتاب مصابيح الظلم ، ح 310 ، عن أبيه ومحمّد بن عيسى اليقطيني ، عن صفوان بن يحيى ، عن شعيب الحدّاد. </w:t>
      </w:r>
      <w:r w:rsidR="008A74EB" w:rsidRPr="00993B55">
        <w:rPr>
          <w:rStyle w:val="libFootnoteBoldChar"/>
          <w:rtl/>
        </w:rPr>
        <w:t>التهذيب</w:t>
      </w:r>
      <w:r w:rsidR="008A74EB" w:rsidRPr="00C9040A">
        <w:rPr>
          <w:rtl/>
        </w:rPr>
        <w:t xml:space="preserve"> ، ج 6 ، ص 172 ، ضمن ح 335 ، بسند آخر عن أبي‌عبدالله </w:t>
      </w:r>
      <w:r w:rsidR="00117575" w:rsidRPr="00117575">
        <w:rPr>
          <w:rStyle w:val="libFootnoteAlaemChar"/>
          <w:rtl/>
        </w:rPr>
        <w:t>عليه‌السلام</w:t>
      </w:r>
      <w:r w:rsidR="003F0F39">
        <w:rPr>
          <w:rStyle w:val="libFootnoteAlaemChar"/>
          <w:rFonts w:hint="cs"/>
          <w:rtl/>
        </w:rPr>
        <w:t>.</w:t>
      </w:r>
      <w:r w:rsidR="008A74EB" w:rsidRPr="00993B55">
        <w:rPr>
          <w:rStyle w:val="libFootnoteBoldChar"/>
          <w:rtl/>
        </w:rPr>
        <w:t>الوافي</w:t>
      </w:r>
      <w:r w:rsidR="008A74EB" w:rsidRPr="00C9040A">
        <w:rPr>
          <w:rtl/>
        </w:rPr>
        <w:t xml:space="preserve"> ، ج 5 ، ص 695 ، ح 2899 ؛ </w:t>
      </w:r>
      <w:r w:rsidR="008A74EB" w:rsidRPr="00993B55">
        <w:rPr>
          <w:rStyle w:val="libFootnoteBoldChar"/>
          <w:rtl/>
        </w:rPr>
        <w:t>الوسائل</w:t>
      </w:r>
      <w:r w:rsidR="008A74EB" w:rsidRPr="00C9040A">
        <w:rPr>
          <w:rtl/>
        </w:rPr>
        <w:t xml:space="preserve"> ، ج 16 ، ص 234 ، ح 21445 ؛ </w:t>
      </w:r>
      <w:r w:rsidR="008A74EB" w:rsidRPr="00993B55">
        <w:rPr>
          <w:rStyle w:val="libFootnoteBoldChar"/>
          <w:rtl/>
        </w:rPr>
        <w:t>البحار</w:t>
      </w:r>
      <w:r w:rsidR="003F0F39">
        <w:rPr>
          <w:rtl/>
        </w:rPr>
        <w:t xml:space="preserve"> ، ج 75 ، ص 434 ، ح</w:t>
      </w:r>
      <w:r w:rsidR="008A74EB" w:rsidRPr="00C9040A">
        <w:rPr>
          <w:rtl/>
        </w:rPr>
        <w:t>96.</w:t>
      </w:r>
    </w:p>
    <w:tbl>
      <w:tblPr>
        <w:tblStyle w:val="TableGrid"/>
        <w:bidiVisual/>
        <w:tblW w:w="0" w:type="auto"/>
        <w:tblLook w:val="04A0" w:firstRow="1" w:lastRow="0" w:firstColumn="1" w:lastColumn="0" w:noHBand="0" w:noVBand="1"/>
      </w:tblPr>
      <w:tblGrid>
        <w:gridCol w:w="4006"/>
        <w:gridCol w:w="4006"/>
      </w:tblGrid>
      <w:tr w:rsidR="003F0F39" w:rsidTr="003F0F39">
        <w:tc>
          <w:tcPr>
            <w:tcW w:w="4006" w:type="dxa"/>
          </w:tcPr>
          <w:p w:rsidR="003F0F39" w:rsidRDefault="003F0F39" w:rsidP="004A4E41">
            <w:pPr>
              <w:pStyle w:val="libFootnote0"/>
              <w:rPr>
                <w:rtl/>
              </w:rPr>
            </w:pPr>
            <w:r>
              <w:rPr>
                <w:rtl/>
              </w:rPr>
              <w:t>(7).</w:t>
            </w:r>
            <w:r w:rsidRPr="00C9040A">
              <w:rPr>
                <w:rtl/>
              </w:rPr>
              <w:t xml:space="preserve"> في الوافي : « يقارب »</w:t>
            </w:r>
            <w:r>
              <w:rPr>
                <w:rtl/>
              </w:rPr>
              <w:t>.</w:t>
            </w:r>
          </w:p>
        </w:tc>
        <w:tc>
          <w:tcPr>
            <w:tcW w:w="4006" w:type="dxa"/>
          </w:tcPr>
          <w:p w:rsidR="003F0F39" w:rsidRDefault="003F0F39" w:rsidP="004A4E41">
            <w:pPr>
              <w:pStyle w:val="libFootnote0"/>
              <w:rPr>
                <w:rtl/>
              </w:rPr>
            </w:pPr>
            <w:r>
              <w:rPr>
                <w:rtl/>
              </w:rPr>
              <w:t>(8).</w:t>
            </w:r>
            <w:r w:rsidRPr="00C9040A">
              <w:rPr>
                <w:rtl/>
              </w:rPr>
              <w:t xml:space="preserve"> المراد هنا : خروج القائم </w:t>
            </w:r>
            <w:r w:rsidRPr="00117575">
              <w:rPr>
                <w:rStyle w:val="libFootnoteAlaemChar"/>
                <w:rtl/>
              </w:rPr>
              <w:t xml:space="preserve">عليه‌السلام </w:t>
            </w:r>
            <w:r w:rsidRPr="00C9040A">
              <w:rPr>
                <w:rtl/>
              </w:rPr>
              <w:t>.</w:t>
            </w:r>
          </w:p>
        </w:tc>
      </w:tr>
    </w:tbl>
    <w:p w:rsidR="008A74EB" w:rsidRPr="00C9040A" w:rsidRDefault="006C577F" w:rsidP="009213A8">
      <w:pPr>
        <w:pStyle w:val="libFootnote0"/>
        <w:rPr>
          <w:rtl/>
          <w:lang w:bidi="fa-IR"/>
        </w:rPr>
      </w:pPr>
      <w:r>
        <w:rPr>
          <w:rtl/>
        </w:rPr>
        <w:t>(9).</w:t>
      </w:r>
      <w:r w:rsidR="008A74EB" w:rsidRPr="00C9040A">
        <w:rPr>
          <w:rtl/>
        </w:rPr>
        <w:t xml:space="preserve"> </w:t>
      </w:r>
      <w:r w:rsidR="008A74EB" w:rsidRPr="00993B55">
        <w:rPr>
          <w:rStyle w:val="libFootnoteBoldChar"/>
          <w:rtl/>
        </w:rPr>
        <w:t>المحاسن</w:t>
      </w:r>
      <w:r w:rsidR="008A74EB" w:rsidRPr="00C9040A">
        <w:rPr>
          <w:rtl/>
        </w:rPr>
        <w:t xml:space="preserve"> ، ص 259 ، كتاب مصابيح الظلم ، ح 311 ، عن عليّ بن فضّال</w:t>
      </w:r>
      <w:r w:rsidR="009213A8">
        <w:rPr>
          <w:rFonts w:hint="cs"/>
          <w:rtl/>
        </w:rPr>
        <w:t>.</w:t>
      </w:r>
      <w:r w:rsidR="008A74EB" w:rsidRPr="00993B55">
        <w:rPr>
          <w:rStyle w:val="libFootnoteBoldChar"/>
          <w:rtl/>
        </w:rPr>
        <w:t>الوافي</w:t>
      </w:r>
      <w:r w:rsidR="008A74EB" w:rsidRPr="00C9040A">
        <w:rPr>
          <w:rtl/>
        </w:rPr>
        <w:t xml:space="preserve"> ، ج 5 ، ص 693 ، ح 2894 ؛ </w:t>
      </w:r>
      <w:r w:rsidR="008A74EB" w:rsidRPr="00993B55">
        <w:rPr>
          <w:rStyle w:val="libFootnoteBoldChar"/>
          <w:rtl/>
        </w:rPr>
        <w:t>الوسائل</w:t>
      </w:r>
      <w:r w:rsidR="008A74EB" w:rsidRPr="00C9040A">
        <w:rPr>
          <w:rtl/>
        </w:rPr>
        <w:t xml:space="preserve"> ، ج 16 ، ص 206 ، ح 21367 ؛ </w:t>
      </w:r>
      <w:r w:rsidR="008A74EB" w:rsidRPr="00993B55">
        <w:rPr>
          <w:rStyle w:val="libFootnoteBoldChar"/>
          <w:rtl/>
        </w:rPr>
        <w:t>البحار</w:t>
      </w:r>
      <w:r w:rsidR="008A74EB" w:rsidRPr="00C9040A">
        <w:rPr>
          <w:rtl/>
        </w:rPr>
        <w:t xml:space="preserve"> ، ج 75 ، ص 434 ، ح 97.</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الْجُعْفِيِّ وَمُعَمَّرِ بْنِ يَحْيَى بْنِ سَامٍ وَمُحَمَّدِ بْنِ مُسْلِمٍ وَزُرَارَةَ ، قَالُوا :</w:t>
      </w:r>
    </w:p>
    <w:p w:rsidR="008A74EB" w:rsidRPr="00C9040A" w:rsidRDefault="008A74EB" w:rsidP="009213A8">
      <w:pPr>
        <w:pStyle w:val="libNormal"/>
        <w:rPr>
          <w:rtl/>
          <w:lang w:bidi="fa-IR"/>
        </w:rPr>
      </w:pPr>
      <w:r w:rsidRPr="00C9040A">
        <w:rPr>
          <w:rtl/>
          <w:lang w:bidi="fa-IR"/>
        </w:rPr>
        <w:t xml:space="preserve">سَمِعْنَا أَبَا جَعْفَرٍ </w:t>
      </w:r>
      <w:r w:rsidR="006C577F" w:rsidRPr="006C577F">
        <w:rPr>
          <w:rStyle w:val="libFootnotenumChar"/>
          <w:rtl/>
        </w:rPr>
        <w:t>(1)</w:t>
      </w:r>
      <w:r w:rsidRPr="00C9040A">
        <w:rPr>
          <w:rtl/>
          <w:lang w:bidi="fa-IR"/>
        </w:rPr>
        <w:t xml:space="preserve"> </w:t>
      </w:r>
      <w:r w:rsidRPr="0003660B">
        <w:rPr>
          <w:rStyle w:val="libAlaemChar"/>
          <w:rtl/>
        </w:rPr>
        <w:t>عليه‌السلام</w:t>
      </w:r>
      <w:r w:rsidRPr="00C9040A">
        <w:rPr>
          <w:rtl/>
          <w:lang w:bidi="fa-IR"/>
        </w:rPr>
        <w:t xml:space="preserve"> يَقُولُ : « التَّقِيَّةُ فِي كُلِّ شَيْ‌ءٍ يُضْطَرُّ </w:t>
      </w:r>
      <w:r w:rsidR="006C577F" w:rsidRPr="006C577F">
        <w:rPr>
          <w:rStyle w:val="libFootnotenumChar"/>
          <w:rtl/>
        </w:rPr>
        <w:t>(2)</w:t>
      </w:r>
      <w:r w:rsidRPr="00C9040A">
        <w:rPr>
          <w:rtl/>
          <w:lang w:bidi="fa-IR"/>
        </w:rPr>
        <w:t xml:space="preserve"> إِلَيْهِ ابْنُ آدَمَ فَقَدْ أَحَلَّهُ </w:t>
      </w:r>
      <w:r w:rsidR="006C577F" w:rsidRPr="006C577F">
        <w:rPr>
          <w:rStyle w:val="libFootnotenumChar"/>
          <w:rtl/>
        </w:rPr>
        <w:t>(3)</w:t>
      </w:r>
      <w:r w:rsidRPr="00C9040A">
        <w:rPr>
          <w:rtl/>
          <w:lang w:bidi="fa-IR"/>
        </w:rPr>
        <w:t xml:space="preserve"> اللهُ لَهُ »</w:t>
      </w:r>
      <w:r>
        <w:rPr>
          <w:rtl/>
          <w:lang w:bidi="fa-IR"/>
        </w:rPr>
        <w:t>.</w:t>
      </w:r>
      <w:r w:rsidRPr="00C9040A">
        <w:rPr>
          <w:rtl/>
          <w:lang w:bidi="fa-IR"/>
        </w:rPr>
        <w:t xml:space="preserve"> </w:t>
      </w:r>
      <w:r w:rsidR="006C577F" w:rsidRPr="006C577F">
        <w:rPr>
          <w:rStyle w:val="libFootnotenumChar"/>
          <w:rtl/>
        </w:rPr>
        <w:t>(4)</w:t>
      </w:r>
    </w:p>
    <w:p w:rsidR="008A74EB" w:rsidRPr="00C9040A" w:rsidRDefault="008A74EB" w:rsidP="008A74EB">
      <w:pPr>
        <w:pStyle w:val="libNormal"/>
        <w:rPr>
          <w:rtl/>
          <w:lang w:bidi="fa-IR"/>
        </w:rPr>
      </w:pPr>
      <w:r w:rsidRPr="00BC4509">
        <w:rPr>
          <w:rtl/>
        </w:rPr>
        <w:t>2259</w:t>
      </w:r>
      <w:r w:rsidRPr="00261CB0">
        <w:rPr>
          <w:rStyle w:val="libBold2Char"/>
          <w:rtl/>
        </w:rPr>
        <w:t xml:space="preserve"> / 19.</w:t>
      </w:r>
      <w:r w:rsidRPr="00C9040A">
        <w:rPr>
          <w:rtl/>
          <w:lang w:bidi="fa-IR"/>
        </w:rPr>
        <w:t xml:space="preserve"> عَلِيُّ بْنُ إِبْرَاهِيمَ ، عَنْ مُحَمَّدِ بْنِ عِيسى ، عَنْ يُونُسَ ، عَنِ ابْنِ مُسْكَانَ ، عَنْ حَرِيزٍ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قَالَ </w:t>
      </w:r>
      <w:r w:rsidR="006C577F" w:rsidRPr="006C577F">
        <w:rPr>
          <w:rStyle w:val="libFootnotenumChar"/>
          <w:rtl/>
        </w:rPr>
        <w:t>(5)</w:t>
      </w:r>
      <w:r w:rsidRPr="00C9040A">
        <w:rPr>
          <w:rtl/>
          <w:lang w:bidi="fa-IR"/>
        </w:rPr>
        <w:t xml:space="preserve"> : « التَّقِيَّةُ تُرْسُ </w:t>
      </w:r>
      <w:r w:rsidR="006C577F" w:rsidRPr="006C577F">
        <w:rPr>
          <w:rStyle w:val="libFootnotenumChar"/>
          <w:rtl/>
        </w:rPr>
        <w:t>(6)</w:t>
      </w:r>
      <w:r w:rsidRPr="005B567D">
        <w:rPr>
          <w:rStyle w:val="libFootnotenumChar"/>
          <w:rtl/>
        </w:rPr>
        <w:t xml:space="preserve"> </w:t>
      </w:r>
      <w:r w:rsidRPr="00C9040A">
        <w:rPr>
          <w:rtl/>
          <w:lang w:bidi="fa-IR"/>
        </w:rPr>
        <w:t xml:space="preserve">اللهِ </w:t>
      </w:r>
      <w:r w:rsidR="006C577F" w:rsidRPr="006C577F">
        <w:rPr>
          <w:rStyle w:val="libFootnotenumChar"/>
          <w:rtl/>
        </w:rPr>
        <w:t>(7)</w:t>
      </w:r>
      <w:r w:rsidRPr="00C9040A">
        <w:rPr>
          <w:rtl/>
          <w:lang w:bidi="fa-IR"/>
        </w:rPr>
        <w:t xml:space="preserve"> بَيْنَهُ وَبَيْنَ خَلْقِهِ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Normal"/>
        <w:rPr>
          <w:rtl/>
          <w:lang w:bidi="fa-IR"/>
        </w:rPr>
      </w:pPr>
      <w:r w:rsidRPr="00BC4509">
        <w:rPr>
          <w:rtl/>
        </w:rPr>
        <w:t>2260</w:t>
      </w:r>
      <w:r w:rsidRPr="00261CB0">
        <w:rPr>
          <w:rStyle w:val="libBold2Char"/>
          <w:rtl/>
        </w:rPr>
        <w:t xml:space="preserve"> / 20.</w:t>
      </w:r>
      <w:r w:rsidRPr="00C9040A">
        <w:rPr>
          <w:rtl/>
          <w:lang w:bidi="fa-IR"/>
        </w:rPr>
        <w:t xml:space="preserve"> الْحُسَيْنُ بْنُ مُحَمَّدٍ ، عَنْ مُعَلَّى بْنِ مُحَمَّدٍ ، عَنْ مُحَمَّدِ بْنِ جُمْهُورٍ ، عَنْ أَحْمَدَ بْنِ حَمْزَةَ ، عَنِ الْحُسَيْنِ بْنِ الْمُخْتَارِ ، عَنْ أَبِي بَصِيرٍ ، قَالَ :</w:t>
      </w:r>
    </w:p>
    <w:p w:rsidR="008A74EB" w:rsidRPr="00C9040A" w:rsidRDefault="008A74EB" w:rsidP="008A74EB">
      <w:pPr>
        <w:pStyle w:val="libNormal"/>
        <w:rPr>
          <w:rtl/>
          <w:lang w:bidi="fa-IR"/>
        </w:rPr>
      </w:pPr>
      <w:r w:rsidRPr="00C9040A">
        <w:rPr>
          <w:rtl/>
          <w:lang w:bidi="fa-IR"/>
        </w:rPr>
        <w:t xml:space="preserve">قَالَ أَبُو جَعْفَرٍ </w:t>
      </w:r>
      <w:r w:rsidRPr="0003660B">
        <w:rPr>
          <w:rStyle w:val="libAlaemChar"/>
          <w:rtl/>
        </w:rPr>
        <w:t>عليه‌السلام</w:t>
      </w:r>
      <w:r w:rsidRPr="00C9040A">
        <w:rPr>
          <w:rtl/>
          <w:lang w:bidi="fa-IR"/>
        </w:rPr>
        <w:t xml:space="preserve"> : « خَالِطُوهُمْ </w:t>
      </w:r>
      <w:r w:rsidR="006C577F" w:rsidRPr="006C577F">
        <w:rPr>
          <w:rStyle w:val="libFootnotenumChar"/>
          <w:rtl/>
        </w:rPr>
        <w:t>(9)</w:t>
      </w:r>
      <w:r w:rsidRPr="00C9040A">
        <w:rPr>
          <w:rtl/>
          <w:lang w:bidi="fa-IR"/>
        </w:rPr>
        <w:t xml:space="preserve"> بِالْبَرَّانِيَّةِ ، وَخَالِفُوهُمْ بِالْجَوَّانِيَّةِ </w:t>
      </w:r>
      <w:r w:rsidR="006C577F" w:rsidRPr="006C577F">
        <w:rPr>
          <w:rStyle w:val="libFootnotenumChar"/>
          <w:rtl/>
        </w:rPr>
        <w:t>(10)</w:t>
      </w:r>
      <w:r w:rsidRPr="00C9040A">
        <w:rPr>
          <w:rtl/>
          <w:lang w:bidi="fa-IR"/>
        </w:rPr>
        <w:t xml:space="preserve"> ، إِذَا كَانَتِ‌</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w:t>
      </w:r>
      <w:r w:rsidR="006D3162">
        <w:rPr>
          <w:rtl/>
        </w:rPr>
        <w:t xml:space="preserve">ه </w:t>
      </w:r>
      <w:r w:rsidR="008A74EB" w:rsidRPr="00C9040A">
        <w:rPr>
          <w:rtl/>
        </w:rPr>
        <w:t>» : « جعفراً » بدل « أبا جعفر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المحاسن : « التقيّة في كلّ شي‌ء ، وكلّ شي‌ء اضطرّ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الوافي : « أحلّ »</w:t>
      </w:r>
      <w:r w:rsidR="008A74EB">
        <w:rPr>
          <w:rtl/>
        </w:rPr>
        <w:t>.</w:t>
      </w:r>
    </w:p>
    <w:p w:rsidR="008A74EB" w:rsidRPr="00C9040A" w:rsidRDefault="006C577F" w:rsidP="00B5477C">
      <w:pPr>
        <w:pStyle w:val="libFootnote0"/>
        <w:rPr>
          <w:rtl/>
          <w:lang w:bidi="fa-IR"/>
        </w:rPr>
      </w:pPr>
      <w:r>
        <w:rPr>
          <w:rtl/>
        </w:rPr>
        <w:t>(4).</w:t>
      </w:r>
      <w:r w:rsidR="008A74EB" w:rsidRPr="00C9040A">
        <w:rPr>
          <w:rtl/>
        </w:rPr>
        <w:t xml:space="preserve"> </w:t>
      </w:r>
      <w:r w:rsidR="008A74EB" w:rsidRPr="00993B55">
        <w:rPr>
          <w:rStyle w:val="libFootnoteBoldChar"/>
          <w:rtl/>
        </w:rPr>
        <w:t>المحاسن</w:t>
      </w:r>
      <w:r w:rsidR="008A74EB" w:rsidRPr="00C9040A">
        <w:rPr>
          <w:rtl/>
        </w:rPr>
        <w:t xml:space="preserve"> ، ص 259 ، كتاب مصابيح الظلم ، ح 308 ، عن حمّاد بن عيسى ، عن عمر بن ا</w:t>
      </w:r>
      <w:r w:rsidR="00B5477C">
        <w:rPr>
          <w:rFonts w:hint="cs"/>
          <w:rtl/>
        </w:rPr>
        <w:t>ُ</w:t>
      </w:r>
      <w:r w:rsidR="008A74EB" w:rsidRPr="00C9040A">
        <w:rPr>
          <w:rtl/>
        </w:rPr>
        <w:t xml:space="preserve">ذينة ، عن محمّد بن مسلم وإسماعيل الجعفي وعدّة ، عن أبي جعفر </w:t>
      </w:r>
      <w:r w:rsidR="00117575" w:rsidRPr="00117575">
        <w:rPr>
          <w:rStyle w:val="libFootnoteAlaemChar"/>
          <w:rtl/>
        </w:rPr>
        <w:t>عليه‌السلام</w:t>
      </w:r>
      <w:r w:rsidR="00B5477C">
        <w:rPr>
          <w:rStyle w:val="libFootnoteAlaemChar"/>
          <w:rFonts w:hint="cs"/>
          <w:rtl/>
        </w:rPr>
        <w:t>.</w:t>
      </w:r>
      <w:r w:rsidR="008A74EB" w:rsidRPr="00993B55">
        <w:rPr>
          <w:rStyle w:val="libFootnoteBoldChar"/>
          <w:rtl/>
        </w:rPr>
        <w:t>الوافي</w:t>
      </w:r>
      <w:r w:rsidR="008A74EB" w:rsidRPr="00C9040A">
        <w:rPr>
          <w:rtl/>
        </w:rPr>
        <w:t xml:space="preserve"> ، ج 5 ، ص 691 ، ح 2892 ؛ </w:t>
      </w:r>
      <w:r w:rsidR="008A74EB" w:rsidRPr="00993B55">
        <w:rPr>
          <w:rStyle w:val="libFootnoteBoldChar"/>
          <w:rtl/>
        </w:rPr>
        <w:t>الوسائل</w:t>
      </w:r>
      <w:r w:rsidR="008A74EB" w:rsidRPr="00C9040A">
        <w:rPr>
          <w:rtl/>
        </w:rPr>
        <w:t xml:space="preserve"> ، ج 16 ، ص 214 ، ح 21393 ؛ </w:t>
      </w:r>
      <w:r w:rsidR="008A74EB" w:rsidRPr="00993B55">
        <w:rPr>
          <w:rStyle w:val="libFootnoteBoldChar"/>
          <w:rtl/>
        </w:rPr>
        <w:t>البحار</w:t>
      </w:r>
      <w:r w:rsidR="008A74EB" w:rsidRPr="00C9040A">
        <w:rPr>
          <w:rtl/>
        </w:rPr>
        <w:t xml:space="preserve"> ، ج 75 ، ص 435 ، ح 98.</w:t>
      </w:r>
    </w:p>
    <w:p w:rsidR="008A74EB" w:rsidRPr="00C9040A" w:rsidRDefault="006C577F" w:rsidP="004A4E41">
      <w:pPr>
        <w:pStyle w:val="libFootnote0"/>
        <w:rPr>
          <w:rtl/>
          <w:lang w:bidi="fa-IR"/>
        </w:rPr>
      </w:pPr>
      <w:r>
        <w:rPr>
          <w:rtl/>
        </w:rPr>
        <w:t>(5).</w:t>
      </w:r>
      <w:r w:rsidR="008A74EB" w:rsidRPr="00C9040A">
        <w:rPr>
          <w:rtl/>
        </w:rPr>
        <w:t xml:space="preserve"> في الوافي </w:t>
      </w:r>
      <w:r w:rsidR="008A74EB">
        <w:rPr>
          <w:rtl/>
        </w:rPr>
        <w:t xml:space="preserve">: </w:t>
      </w:r>
      <w:r w:rsidR="0084262C">
        <w:rPr>
          <w:rtl/>
        </w:rPr>
        <w:t>-</w:t>
      </w:r>
      <w:r w:rsidR="008A74EB" w:rsidRPr="00C9040A">
        <w:rPr>
          <w:rtl/>
        </w:rPr>
        <w:t xml:space="preserve"> « قال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التُّرس من السلاح : المتوقّى بها. وجمعه : أتراس وتِراس وتِرَسَة وتُروس. وفي </w:t>
      </w:r>
      <w:r w:rsidR="008A74EB" w:rsidRPr="00993B55">
        <w:rPr>
          <w:rStyle w:val="libFootnoteBoldChar"/>
          <w:rtl/>
        </w:rPr>
        <w:t>المرآة</w:t>
      </w:r>
      <w:r w:rsidR="008A74EB" w:rsidRPr="00C9040A">
        <w:rPr>
          <w:rtl/>
        </w:rPr>
        <w:t xml:space="preserve"> : « أي ترس يمنع الخلق من عذاب الله أو من البلايا النازلة من عنده »</w:t>
      </w:r>
      <w:r w:rsidR="008A74EB">
        <w:rPr>
          <w:rtl/>
        </w:rPr>
        <w:t>.</w:t>
      </w:r>
      <w:r w:rsidR="008A74EB" w:rsidRPr="00C9040A">
        <w:rPr>
          <w:rtl/>
        </w:rPr>
        <w:t xml:space="preserve"> راجع : </w:t>
      </w:r>
      <w:r w:rsidR="008A74EB" w:rsidRPr="00993B55">
        <w:rPr>
          <w:rStyle w:val="libFootnoteBoldChar"/>
          <w:rtl/>
        </w:rPr>
        <w:t>لسان العرب</w:t>
      </w:r>
      <w:r w:rsidR="008A74EB" w:rsidRPr="00C9040A">
        <w:rPr>
          <w:rtl/>
        </w:rPr>
        <w:t xml:space="preserve"> ، ج 6 ، ص 32 ( ترس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حاشية « </w:t>
      </w:r>
      <w:r w:rsidR="006D3162">
        <w:rPr>
          <w:rtl/>
        </w:rPr>
        <w:t xml:space="preserve">ه </w:t>
      </w:r>
      <w:r w:rsidR="008A74EB" w:rsidRPr="00C9040A">
        <w:rPr>
          <w:rtl/>
        </w:rPr>
        <w:t>» : « ترس من الله عزّ وجلّ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w:t>
      </w:r>
      <w:r w:rsidR="008A74EB" w:rsidRPr="00993B55">
        <w:rPr>
          <w:rStyle w:val="libFootnoteBoldChar"/>
          <w:rtl/>
        </w:rPr>
        <w:t>الوافي</w:t>
      </w:r>
      <w:r w:rsidR="008A74EB" w:rsidRPr="00C9040A">
        <w:rPr>
          <w:rtl/>
        </w:rPr>
        <w:t xml:space="preserve"> ، ج 5 ، ص 690 ، ح 2890 ؛ </w:t>
      </w:r>
      <w:r w:rsidR="008A74EB" w:rsidRPr="00993B55">
        <w:rPr>
          <w:rStyle w:val="libFootnoteBoldChar"/>
          <w:rtl/>
        </w:rPr>
        <w:t>الوسائل</w:t>
      </w:r>
      <w:r w:rsidR="008A74EB" w:rsidRPr="00C9040A">
        <w:rPr>
          <w:rtl/>
        </w:rPr>
        <w:t xml:space="preserve"> ، ج 16 ، ص 207 ، ح 21368 ؛ </w:t>
      </w:r>
      <w:r w:rsidR="008A74EB" w:rsidRPr="00993B55">
        <w:rPr>
          <w:rStyle w:val="libFootnoteBoldChar"/>
          <w:rtl/>
        </w:rPr>
        <w:t>البحار</w:t>
      </w:r>
      <w:r w:rsidR="008A74EB" w:rsidRPr="00C9040A">
        <w:rPr>
          <w:rtl/>
        </w:rPr>
        <w:t xml:space="preserve"> ، ج 75 ، ص 435 ، ح 99.</w:t>
      </w:r>
    </w:p>
    <w:p w:rsidR="008A74EB" w:rsidRPr="00C9040A" w:rsidRDefault="006C577F" w:rsidP="004A4E41">
      <w:pPr>
        <w:pStyle w:val="libFootnote0"/>
        <w:rPr>
          <w:rtl/>
          <w:lang w:bidi="fa-IR"/>
        </w:rPr>
      </w:pPr>
      <w:r>
        <w:rPr>
          <w:rtl/>
        </w:rPr>
        <w:t>(9).</w:t>
      </w:r>
      <w:r w:rsidR="008A74EB" w:rsidRPr="00C9040A">
        <w:rPr>
          <w:rtl/>
        </w:rPr>
        <w:t xml:space="preserve"> في « ف » : « خالطوا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w:t>
      </w:r>
      <w:r w:rsidR="008A74EB" w:rsidRPr="00993B55">
        <w:rPr>
          <w:rStyle w:val="libFootnoteBoldChar"/>
          <w:rtl/>
        </w:rPr>
        <w:t>النهاية</w:t>
      </w:r>
      <w:r w:rsidR="008A74EB" w:rsidRPr="00C9040A">
        <w:rPr>
          <w:rtl/>
        </w:rPr>
        <w:t xml:space="preserve"> ، ج 1 ، ص 117 ( برر ) : « في حديث سلمان : من أصلح جوّانيّه أصلح الله برّانيّه. أراد بالبرّاني العلانية ، والألف والنون من زيادات النسب ، كما قالوا في صنعاء : صنعاني. وأصله من خرج فلان برّاً ، أي خرج إلى البرّ والصحراء ، وليس من قديم الكلام وفصيحه. وقال أيضاً فيه ، ص 319 ( جوا ) : « في حديث سلمان </w:t>
      </w:r>
      <w:r w:rsidR="00117575" w:rsidRPr="00117575">
        <w:rPr>
          <w:rStyle w:val="libFootnoteAlaemChar"/>
          <w:rtl/>
        </w:rPr>
        <w:t>رضي‌الله‌عنه</w:t>
      </w:r>
      <w:r w:rsidR="008A74EB" w:rsidRPr="00C9040A">
        <w:rPr>
          <w:rtl/>
        </w:rPr>
        <w:t xml:space="preserve"> : إنّ لكلّ امرئ جوّانيّاً وبرّانيّاً ، أي باطناً وظاهراً ، وسرّاً وعلانية ، وهو منسوب إلى جوّ البيت وهو داخله ، وزيادة الألف والنون للتأكيد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الْإِمْرَةُ صِبْيَانِيَّةً </w:t>
      </w:r>
      <w:r w:rsidR="006C577F" w:rsidRPr="006C577F">
        <w:rPr>
          <w:rStyle w:val="libFootnotenumChar"/>
          <w:rtl/>
        </w:rPr>
        <w:t>(1)</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BC4509">
        <w:rPr>
          <w:rtl/>
        </w:rPr>
        <w:t>2261</w:t>
      </w:r>
      <w:r w:rsidRPr="00261CB0">
        <w:rPr>
          <w:rStyle w:val="libBold2Char"/>
          <w:rtl/>
        </w:rPr>
        <w:t xml:space="preserve"> / 21.</w:t>
      </w:r>
      <w:r w:rsidRPr="00C9040A">
        <w:rPr>
          <w:rtl/>
          <w:lang w:bidi="fa-IR"/>
        </w:rPr>
        <w:t xml:space="preserve"> مُحَمَّدُ بْنُ يَحْيى ، عَنْ مُحَمَّدِ بْنِ أَحْمَدَ ، عَنْ مُحَمَّدِ بْنِ عِيسى </w:t>
      </w:r>
      <w:r w:rsidR="006C577F" w:rsidRPr="006C577F">
        <w:rPr>
          <w:rStyle w:val="libFootnotenumChar"/>
          <w:rtl/>
        </w:rPr>
        <w:t>(3)</w:t>
      </w:r>
      <w:r w:rsidRPr="00C9040A">
        <w:rPr>
          <w:rtl/>
          <w:lang w:bidi="fa-IR"/>
        </w:rPr>
        <w:t xml:space="preserve"> ، عَنْ زَكَرِيَّا الْمُؤْمِنِ ، عَنْ عَبْدِ اللهِ بْنِ أَسَدٍ ، عَنْ عَبْدِ اللهِ بْنِ عَطَاءٍ ، قَالَ :</w:t>
      </w:r>
    </w:p>
    <w:p w:rsidR="008A74EB" w:rsidRPr="00C9040A" w:rsidRDefault="008A74EB" w:rsidP="008A74EB">
      <w:pPr>
        <w:pStyle w:val="libNormal"/>
        <w:rPr>
          <w:rtl/>
          <w:lang w:bidi="fa-IR"/>
        </w:rPr>
      </w:pPr>
      <w:r w:rsidRPr="00C9040A">
        <w:rPr>
          <w:rtl/>
          <w:lang w:bidi="fa-IR"/>
        </w:rPr>
        <w:t xml:space="preserve">قُلْتُ لِأَبِي جَعْفَرٍ </w:t>
      </w:r>
      <w:r w:rsidRPr="0003660B">
        <w:rPr>
          <w:rStyle w:val="libAlaemChar"/>
          <w:rtl/>
        </w:rPr>
        <w:t>عليه‌السلام</w:t>
      </w:r>
      <w:r w:rsidRPr="00C9040A">
        <w:rPr>
          <w:rtl/>
          <w:lang w:bidi="fa-IR"/>
        </w:rPr>
        <w:t xml:space="preserve"> : رَجُلَانِ مِنْ أَهْلِ الْكُوفَةِ أُخِذَا ، فَقِيلَ لَهُمَا : ابْرَءَا مِنْ أَمِيرِ الْمُؤْمِنِينَ عَلَيْهِ الصَّلَاةُ وَالسَّلَامُ ، فَبَرِئَ </w:t>
      </w:r>
      <w:r w:rsidR="006C577F" w:rsidRPr="006C577F">
        <w:rPr>
          <w:rStyle w:val="libFootnotenumChar"/>
          <w:rtl/>
        </w:rPr>
        <w:t>(4)</w:t>
      </w:r>
      <w:r w:rsidRPr="00C9040A">
        <w:rPr>
          <w:rtl/>
          <w:lang w:bidi="fa-IR"/>
        </w:rPr>
        <w:t xml:space="preserve"> وَاحِدٌ مِنْهُمَا ، وَأَبَى الْآخَرُ ، فَخُلِّيَ سَبِيلُ الَّذِي بَرِئَ ، وَقُتِلَ الْآخَرُ</w:t>
      </w:r>
      <w:r>
        <w:rPr>
          <w:rtl/>
          <w:lang w:bidi="fa-IR"/>
        </w:rPr>
        <w:t>؟</w:t>
      </w:r>
      <w:r w:rsidRPr="00C9040A">
        <w:rPr>
          <w:rtl/>
          <w:lang w:bidi="fa-IR"/>
        </w:rPr>
        <w:t xml:space="preserve"> فَقَالَ : « أَمَّا الَّذِي بَرِئَ فَرَجُلٌ فَقِيهٌ فِي دِينِهِ ، وَأَمَّا </w:t>
      </w:r>
      <w:r w:rsidR="006C577F" w:rsidRPr="006C577F">
        <w:rPr>
          <w:rStyle w:val="libFootnotenumChar"/>
          <w:rtl/>
        </w:rPr>
        <w:t>(5)</w:t>
      </w:r>
      <w:r w:rsidRPr="00C9040A">
        <w:rPr>
          <w:rtl/>
          <w:lang w:bidi="fa-IR"/>
        </w:rPr>
        <w:t xml:space="preserve"> الَّذِي لَمْ يَبْرَأْ فَرَ</w:t>
      </w:r>
      <w:r w:rsidR="00B120D5">
        <w:rPr>
          <w:rtl/>
          <w:lang w:bidi="fa-IR"/>
        </w:rPr>
        <w:t>جُلٌ تَعَجَّلَ إِلَى الْجَنَّةِ</w:t>
      </w:r>
      <w:r w:rsidRPr="00C9040A">
        <w:rPr>
          <w:rtl/>
          <w:lang w:bidi="fa-IR"/>
        </w:rPr>
        <w:t>»</w:t>
      </w:r>
      <w:r>
        <w:rPr>
          <w:rtl/>
          <w:lang w:bidi="fa-IR"/>
        </w:rPr>
        <w:t>.</w:t>
      </w:r>
      <w:r w:rsidRPr="00C9040A">
        <w:rPr>
          <w:rtl/>
          <w:lang w:bidi="fa-IR"/>
        </w:rPr>
        <w:t xml:space="preserve"> </w:t>
      </w:r>
      <w:r w:rsidR="006C577F" w:rsidRPr="006C577F">
        <w:rPr>
          <w:rStyle w:val="libFootnotenumChar"/>
          <w:rtl/>
        </w:rPr>
        <w:t>(6)</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w:t>
      </w:r>
      <w:r w:rsidR="008A74EB" w:rsidRPr="00993B55">
        <w:rPr>
          <w:rStyle w:val="libFootnoteBoldChar"/>
          <w:rtl/>
        </w:rPr>
        <w:t>مرآة العقول</w:t>
      </w:r>
      <w:r w:rsidR="008A74EB" w:rsidRPr="00C9040A">
        <w:rPr>
          <w:rtl/>
        </w:rPr>
        <w:t xml:space="preserve"> ، ج 9 ، ص 184 : « الإمرة</w:t>
      </w:r>
      <w:r w:rsidR="008A74EB">
        <w:rPr>
          <w:rtl/>
        </w:rPr>
        <w:t xml:space="preserve"> </w:t>
      </w:r>
      <w:r w:rsidR="0084262C">
        <w:rPr>
          <w:rtl/>
        </w:rPr>
        <w:t>-</w:t>
      </w:r>
      <w:r w:rsidR="008A74EB">
        <w:rPr>
          <w:rtl/>
        </w:rPr>
        <w:t xml:space="preserve"> </w:t>
      </w:r>
      <w:r w:rsidR="008A74EB" w:rsidRPr="00C9040A">
        <w:rPr>
          <w:rtl/>
        </w:rPr>
        <w:t>بالكسر</w:t>
      </w:r>
      <w:r w:rsidR="008A74EB">
        <w:rPr>
          <w:rtl/>
        </w:rPr>
        <w:t xml:space="preserve"> </w:t>
      </w:r>
      <w:r w:rsidR="0084262C">
        <w:rPr>
          <w:rtl/>
        </w:rPr>
        <w:t>-</w:t>
      </w:r>
      <w:r w:rsidR="008A74EB">
        <w:rPr>
          <w:rtl/>
        </w:rPr>
        <w:t xml:space="preserve"> </w:t>
      </w:r>
      <w:r w:rsidR="008A74EB" w:rsidRPr="00C9040A">
        <w:rPr>
          <w:rtl/>
        </w:rPr>
        <w:t>: الإمارة ، والمراد بكونها صبيانيّة كون الأمير صبيّاً أو مثله في العقل والسفاهة ؛ أو المعنى أنّه لم تكن بناء الإمارة على أمر حقّ ، بل كانت مبنيّة على الأهواء الباطلة كلعب الأطفال. والنسبة إلى الجمع تكون على وجهين : أحدهما : أن يكون المراد النسبة إلى الجنس فيردّ إلى المفرد. الثاني : أن تكون الجمعيّة ملحوظة ، فلا يردّ. وهذا من الثاني ؛ إذ المراد التشبيه بإمارة يجتمع عليها الصبيان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الوافي</w:t>
      </w:r>
      <w:r w:rsidR="008A74EB" w:rsidRPr="00C9040A">
        <w:rPr>
          <w:rtl/>
        </w:rPr>
        <w:t xml:space="preserve"> ، ج 5 ، ص 693 ، ح 2895 ؛ </w:t>
      </w:r>
      <w:r w:rsidR="008A74EB" w:rsidRPr="00993B55">
        <w:rPr>
          <w:rStyle w:val="libFootnoteBoldChar"/>
          <w:rtl/>
        </w:rPr>
        <w:t>الوسائل</w:t>
      </w:r>
      <w:r w:rsidR="008A74EB" w:rsidRPr="00C9040A">
        <w:rPr>
          <w:rtl/>
        </w:rPr>
        <w:t xml:space="preserve"> ، ج 16 ، ص 219 ، ح 21404 ؛ </w:t>
      </w:r>
      <w:r w:rsidR="008A74EB" w:rsidRPr="00993B55">
        <w:rPr>
          <w:rStyle w:val="libFootnoteBoldChar"/>
          <w:rtl/>
        </w:rPr>
        <w:t>البحار</w:t>
      </w:r>
      <w:r w:rsidR="008A74EB" w:rsidRPr="00C9040A">
        <w:rPr>
          <w:rtl/>
        </w:rPr>
        <w:t xml:space="preserve"> ، ج 75 ، ص 436 ، ح 100.</w:t>
      </w:r>
    </w:p>
    <w:p w:rsidR="008A74EB" w:rsidRPr="00C9040A" w:rsidRDefault="006C577F" w:rsidP="004A4E41">
      <w:pPr>
        <w:pStyle w:val="libFootnote0"/>
        <w:rPr>
          <w:rtl/>
          <w:lang w:bidi="fa-IR"/>
        </w:rPr>
      </w:pPr>
      <w:r>
        <w:rPr>
          <w:rtl/>
        </w:rPr>
        <w:t>(3).</w:t>
      </w:r>
      <w:r w:rsidR="008A74EB" w:rsidRPr="00C9040A">
        <w:rPr>
          <w:rtl/>
        </w:rPr>
        <w:t xml:space="preserve"> هكذا في « ض ، </w:t>
      </w:r>
      <w:r w:rsidR="006D3162">
        <w:rPr>
          <w:rtl/>
        </w:rPr>
        <w:t xml:space="preserve">ه </w:t>
      </w:r>
      <w:r w:rsidR="008A74EB" w:rsidRPr="00C9040A">
        <w:rPr>
          <w:rtl/>
        </w:rPr>
        <w:t>»</w:t>
      </w:r>
      <w:r w:rsidR="008A74EB">
        <w:rPr>
          <w:rtl/>
        </w:rPr>
        <w:t>.</w:t>
      </w:r>
      <w:r w:rsidR="008A74EB" w:rsidRPr="00C9040A">
        <w:rPr>
          <w:rtl/>
        </w:rPr>
        <w:t xml:space="preserve"> وفي « ب ، ف ، بس ، بف ، جر » والمطبوع : « محمّد بن يحيى ، عن أحمد بن محمّد بن‌عيسى »</w:t>
      </w:r>
      <w:r w:rsidR="008A74EB">
        <w:rPr>
          <w:rtl/>
        </w:rPr>
        <w:t>.</w:t>
      </w:r>
      <w:r w:rsidR="008A74EB" w:rsidRPr="00C9040A">
        <w:rPr>
          <w:rtl/>
        </w:rPr>
        <w:t xml:space="preserve"> وفي « ج ، د ، ز ، ص ، بر » وحاشية « بف » والبحار : « محمّد بن يحيى ، عن أحمد بن محمّد ، عن محمّد بن عيسى »</w:t>
      </w:r>
      <w:r w:rsidR="008A74EB">
        <w:rPr>
          <w:rtl/>
        </w:rPr>
        <w:t>.</w:t>
      </w:r>
    </w:p>
    <w:p w:rsidR="008A74EB" w:rsidRPr="00C9040A" w:rsidRDefault="008A74EB" w:rsidP="004A4E41">
      <w:pPr>
        <w:pStyle w:val="libFootnote0"/>
        <w:rPr>
          <w:rtl/>
          <w:lang w:bidi="fa-IR"/>
        </w:rPr>
      </w:pPr>
      <w:r w:rsidRPr="00323A39">
        <w:rPr>
          <w:rtl/>
        </w:rPr>
        <w:t xml:space="preserve">والصواب ما أثبتناه ؛ فقد روى محمّد بن عيسى بن عبيد كتاب زكريّا بن محمّد المؤمن ، كما في </w:t>
      </w:r>
      <w:r w:rsidRPr="00993B55">
        <w:rPr>
          <w:rStyle w:val="libFootnoteBoldChar"/>
          <w:rtl/>
        </w:rPr>
        <w:t>رجال النجاشي</w:t>
      </w:r>
      <w:r w:rsidRPr="00323A39">
        <w:rPr>
          <w:rtl/>
        </w:rPr>
        <w:t xml:space="preserve"> ، ص 172 ، الرقم 453 ؛ و</w:t>
      </w:r>
      <w:r w:rsidRPr="0034021D">
        <w:rPr>
          <w:rStyle w:val="libFootnoteBoldChar"/>
          <w:rtl/>
        </w:rPr>
        <w:t>الفهرست للطوسي</w:t>
      </w:r>
      <w:r w:rsidRPr="00323A39">
        <w:rPr>
          <w:rtl/>
        </w:rPr>
        <w:t xml:space="preserve"> ، ص 206 ، الرقم 306. ولم نجد رواية أحمد بن محمّد بن عيسى ، عن المؤمن في غير هذا المورد.</w:t>
      </w:r>
    </w:p>
    <w:p w:rsidR="008A74EB" w:rsidRPr="00C9040A" w:rsidRDefault="008A74EB" w:rsidP="004A4E41">
      <w:pPr>
        <w:pStyle w:val="libFootnote0"/>
        <w:rPr>
          <w:rtl/>
          <w:lang w:bidi="fa-IR"/>
        </w:rPr>
      </w:pPr>
      <w:r w:rsidRPr="00323A39">
        <w:rPr>
          <w:rtl/>
        </w:rPr>
        <w:t xml:space="preserve">وأمّا توسّط أحمد بن محمّد بين محمّد بن يحيى ومحمّد بن عيسى في ما يروي محمّد بن عيسى عن زكريّا المؤمن ، فهو منحصر بهذا المورد وماورد في مطبوع </w:t>
      </w:r>
      <w:r w:rsidRPr="00993B55">
        <w:rPr>
          <w:rStyle w:val="libFootnoteBoldChar"/>
          <w:rtl/>
        </w:rPr>
        <w:t>الكافي</w:t>
      </w:r>
      <w:r w:rsidRPr="00323A39">
        <w:rPr>
          <w:rtl/>
        </w:rPr>
        <w:t xml:space="preserve"> ، ح 6880 ، وقد توسّط في كلا الموضعين في بعض النسخ المعتبرة « محمّد بن أحمد » بينهما. وقد روى محمّد بن يحيى ، عن محمّد بن أحمد ، عن محمّد بن عيسى ، عن زكريّا المؤمن </w:t>
      </w:r>
      <w:r w:rsidR="0084262C" w:rsidRPr="00323A39">
        <w:rPr>
          <w:rtl/>
        </w:rPr>
        <w:t>-</w:t>
      </w:r>
      <w:r w:rsidRPr="00323A39">
        <w:rPr>
          <w:rtl/>
        </w:rPr>
        <w:t xml:space="preserve"> بعناوينه المختلفة </w:t>
      </w:r>
      <w:r w:rsidR="0084262C" w:rsidRPr="00323A39">
        <w:rPr>
          <w:rtl/>
        </w:rPr>
        <w:t>-</w:t>
      </w:r>
      <w:r w:rsidRPr="00323A39">
        <w:rPr>
          <w:rtl/>
        </w:rPr>
        <w:t xml:space="preserve"> في </w:t>
      </w:r>
      <w:r w:rsidRPr="00993B55">
        <w:rPr>
          <w:rStyle w:val="libFootnoteBoldChar"/>
          <w:rtl/>
        </w:rPr>
        <w:t>الكافي</w:t>
      </w:r>
      <w:r w:rsidRPr="00323A39">
        <w:rPr>
          <w:rtl/>
        </w:rPr>
        <w:t xml:space="preserve"> ، ح 6626 و 6876 و 6877 و 6878.</w:t>
      </w:r>
    </w:p>
    <w:p w:rsidR="008A74EB" w:rsidRPr="00C9040A" w:rsidRDefault="008A74EB" w:rsidP="00B5477C">
      <w:pPr>
        <w:pStyle w:val="libFootnote0"/>
        <w:rPr>
          <w:rtl/>
          <w:lang w:bidi="fa-IR"/>
        </w:rPr>
      </w:pPr>
      <w:r w:rsidRPr="0082575F">
        <w:rPr>
          <w:rtl/>
        </w:rPr>
        <w:t>ولا يخفى عليك أنّ كثرة روايات محمّد بن يحيى ، عن أحمد بن محمّد ، بحيث يوجب وقوع التحريف في « محمّد بن يحيى ، عن محمّد بن أحمد » ، لوجود الا</w:t>
      </w:r>
      <w:r w:rsidR="00B5477C">
        <w:rPr>
          <w:rFonts w:hint="cs"/>
          <w:rtl/>
        </w:rPr>
        <w:t>ُ</w:t>
      </w:r>
      <w:r w:rsidRPr="0082575F">
        <w:rPr>
          <w:rtl/>
        </w:rPr>
        <w:t>نس الذهني عند النسّاخ والاستعجال حين الاستنساخ ، بخلاف العكس. فافهم جيّداً.</w:t>
      </w:r>
      <w:r w:rsidR="00B5477C">
        <w:rPr>
          <w:rFonts w:hint="cs"/>
          <w:rtl/>
        </w:rPr>
        <w:t xml:space="preserve">                                               </w:t>
      </w:r>
      <w:r w:rsidR="006C577F">
        <w:rPr>
          <w:rtl/>
        </w:rPr>
        <w:t>(4).</w:t>
      </w:r>
      <w:r w:rsidRPr="00C9040A">
        <w:rPr>
          <w:rtl/>
        </w:rPr>
        <w:t xml:space="preserve"> في « </w:t>
      </w:r>
      <w:r w:rsidR="006D3162">
        <w:rPr>
          <w:rtl/>
        </w:rPr>
        <w:t xml:space="preserve">ه </w:t>
      </w:r>
      <w:r w:rsidRPr="00C9040A">
        <w:rPr>
          <w:rtl/>
        </w:rPr>
        <w:t>» : « فتبرّأ »</w:t>
      </w:r>
      <w:r>
        <w:rPr>
          <w:rtl/>
        </w:rPr>
        <w:t>.</w:t>
      </w:r>
    </w:p>
    <w:p w:rsidR="008A74EB" w:rsidRPr="00C9040A" w:rsidRDefault="006C577F" w:rsidP="004A4E41">
      <w:pPr>
        <w:pStyle w:val="libFootnote0"/>
        <w:rPr>
          <w:rtl/>
          <w:lang w:bidi="fa-IR"/>
        </w:rPr>
      </w:pPr>
      <w:r>
        <w:rPr>
          <w:rtl/>
        </w:rPr>
        <w:t>(5).</w:t>
      </w:r>
      <w:r w:rsidR="008A74EB" w:rsidRPr="00C9040A">
        <w:rPr>
          <w:rtl/>
        </w:rPr>
        <w:t xml:space="preserve"> في « ض ، </w:t>
      </w:r>
      <w:r w:rsidR="006D3162">
        <w:rPr>
          <w:rtl/>
        </w:rPr>
        <w:t xml:space="preserve">ه </w:t>
      </w:r>
      <w:r w:rsidR="008A74EB" w:rsidRPr="00C9040A">
        <w:rPr>
          <w:rtl/>
        </w:rPr>
        <w:t>» : + « الآخر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الوافي</w:t>
      </w:r>
      <w:r w:rsidR="008A74EB" w:rsidRPr="00C9040A">
        <w:rPr>
          <w:rtl/>
        </w:rPr>
        <w:t xml:space="preserve"> ، ج 5 ، ص 694 ، ح 2896 ؛ </w:t>
      </w:r>
      <w:r w:rsidR="008A74EB" w:rsidRPr="00993B55">
        <w:rPr>
          <w:rStyle w:val="libFootnoteBoldChar"/>
          <w:rtl/>
        </w:rPr>
        <w:t>الوسائل</w:t>
      </w:r>
      <w:r w:rsidR="008A74EB" w:rsidRPr="00C9040A">
        <w:rPr>
          <w:rtl/>
        </w:rPr>
        <w:t xml:space="preserve"> ، ج 16 ، ص 226 ، ح 21425 ؛ </w:t>
      </w:r>
      <w:r w:rsidR="008A74EB" w:rsidRPr="00993B55">
        <w:rPr>
          <w:rStyle w:val="libFootnoteBoldChar"/>
          <w:rtl/>
        </w:rPr>
        <w:t>البحار</w:t>
      </w:r>
      <w:r w:rsidR="008A74EB" w:rsidRPr="00C9040A">
        <w:rPr>
          <w:rtl/>
        </w:rPr>
        <w:t xml:space="preserve"> ، ج 75 ، ص 436 ، ح 101.</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584EC7">
        <w:rPr>
          <w:rtl/>
        </w:rPr>
        <w:t>2262</w:t>
      </w:r>
      <w:r w:rsidRPr="00261CB0">
        <w:rPr>
          <w:rStyle w:val="libBold2Char"/>
          <w:rtl/>
        </w:rPr>
        <w:t xml:space="preserve"> / 22.</w:t>
      </w:r>
      <w:r w:rsidRPr="00C9040A">
        <w:rPr>
          <w:rtl/>
          <w:lang w:bidi="fa-IR"/>
        </w:rPr>
        <w:t xml:space="preserve"> عَلِيُّ بْنُ إِبْرَاهِيمَ ، عَنْ أَبِيهِ ، عَنِ ابْنِ أَبِي عُمَيْرٍ ، عَنْ جَمِيلِ بْنِ صَالِحٍ ، قَالَ :</w:t>
      </w:r>
    </w:p>
    <w:p w:rsidR="008A74EB"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احْذَرُوا عَوَاقِبَ الْعَثَرَاتِ </w:t>
      </w:r>
      <w:r w:rsidR="006C577F" w:rsidRPr="006C577F">
        <w:rPr>
          <w:rStyle w:val="libFootnotenumChar"/>
          <w:rtl/>
        </w:rPr>
        <w:t>(1)</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C9040A">
        <w:rPr>
          <w:rtl/>
          <w:lang w:bidi="fa-IR"/>
        </w:rPr>
        <w:t>2263‌</w:t>
      </w:r>
      <w:r>
        <w:rPr>
          <w:rFonts w:hint="cs"/>
          <w:rtl/>
          <w:lang w:bidi="fa-IR"/>
        </w:rPr>
        <w:t xml:space="preserve"> </w:t>
      </w:r>
      <w:r w:rsidRPr="00261CB0">
        <w:rPr>
          <w:rStyle w:val="libBold2Char"/>
          <w:rtl/>
        </w:rPr>
        <w:t>/ 23.</w:t>
      </w:r>
      <w:r w:rsidRPr="00C9040A">
        <w:rPr>
          <w:rtl/>
          <w:lang w:bidi="fa-IR"/>
        </w:rPr>
        <w:t xml:space="preserve"> أَبُو عَلِيٍّ الْأَشْعَرِيُّ ، عَنْ مُحَمَّدِ بْنِ عَبْدِ الْجَبَّارِ ، عَنْ مُحَمَّدِ بْنِ إِسْمَاعِيلَ ، عَنْ عَلِيِّ بْنِ النُّعْمَانِ ، عَنِ ابْنِ مُسْكَانَ ، عَنْ عَبْدِ اللهِ بْنِ أَبِي يَعْفُورٍ ، قَالَ :</w:t>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 « التَّقِيَّةُ تُرْسُ الْمُؤْمِنِ ، وَ</w:t>
      </w:r>
      <w:r>
        <w:rPr>
          <w:rFonts w:hint="cs"/>
          <w:rtl/>
          <w:lang w:bidi="fa-IR"/>
        </w:rPr>
        <w:t xml:space="preserve"> </w:t>
      </w:r>
      <w:r w:rsidR="006C577F" w:rsidRPr="006C577F">
        <w:rPr>
          <w:rStyle w:val="libFootnotenumChar"/>
          <w:rtl/>
        </w:rPr>
        <w:t>(3)</w:t>
      </w:r>
      <w:r w:rsidRPr="00C9040A">
        <w:rPr>
          <w:rtl/>
          <w:lang w:bidi="fa-IR"/>
        </w:rPr>
        <w:t xml:space="preserve"> التَّقِيَّةُ حِرْزُ الْمُؤْمِنِ ، وَلَا إِيمَانَ لِمَنْ لَاتَقِيَّةَ لَهُ ؛ إِنَّ </w:t>
      </w:r>
      <w:r w:rsidR="006C577F" w:rsidRPr="006C577F">
        <w:rPr>
          <w:rStyle w:val="libFootnotenumChar"/>
          <w:rtl/>
        </w:rPr>
        <w:t>(4)</w:t>
      </w:r>
      <w:r w:rsidRPr="00C9040A">
        <w:rPr>
          <w:rtl/>
          <w:lang w:bidi="fa-IR"/>
        </w:rPr>
        <w:t xml:space="preserve"> الْعَبْدَ لَيَقَعُ إِلَيْهِ الْحَدِيثُ مِنْ حَدِيثِنَا ، فَيَدِينُ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بِهِ </w:t>
      </w:r>
      <w:r w:rsidR="006C577F" w:rsidRPr="006C577F">
        <w:rPr>
          <w:rStyle w:val="libFootnotenumChar"/>
          <w:rtl/>
        </w:rPr>
        <w:t>(5)</w:t>
      </w:r>
      <w:r w:rsidRPr="00C9040A">
        <w:rPr>
          <w:rtl/>
          <w:lang w:bidi="fa-IR"/>
        </w:rPr>
        <w:t xml:space="preserve"> فِيمَا بَيْنَهُ وَبَيْنَهُ ، فَيَكُونُ لَهُ عِزّاً </w:t>
      </w:r>
      <w:r w:rsidR="006C577F" w:rsidRPr="006C577F">
        <w:rPr>
          <w:rStyle w:val="libFootnotenumChar"/>
          <w:rtl/>
        </w:rPr>
        <w:t>(6)</w:t>
      </w:r>
      <w:r w:rsidRPr="005B567D">
        <w:rPr>
          <w:rStyle w:val="libFootnotenumChar"/>
          <w:rtl/>
        </w:rPr>
        <w:t xml:space="preserve"> </w:t>
      </w:r>
      <w:r w:rsidRPr="00C9040A">
        <w:rPr>
          <w:rtl/>
          <w:lang w:bidi="fa-IR"/>
        </w:rPr>
        <w:t xml:space="preserve">فِي الدُّنْيَا ، وَنُوراً فِي الْآخِرَةِ ، وَإِنَّ الْعَبْدَ لَيَقَعُ إِلَيْهِ </w:t>
      </w:r>
      <w:r w:rsidR="006C577F" w:rsidRPr="006C577F">
        <w:rPr>
          <w:rStyle w:val="libFootnotenumChar"/>
          <w:rtl/>
        </w:rPr>
        <w:t>(7)</w:t>
      </w:r>
      <w:r w:rsidRPr="00C9040A">
        <w:rPr>
          <w:rtl/>
          <w:lang w:bidi="fa-IR"/>
        </w:rPr>
        <w:t xml:space="preserve"> الْحَدِيثُ مِنْ حَدِيثِنَا </w:t>
      </w:r>
      <w:r w:rsidR="006C577F" w:rsidRPr="006C577F">
        <w:rPr>
          <w:rStyle w:val="libFootnotenumChar"/>
          <w:rtl/>
        </w:rPr>
        <w:t>(8)</w:t>
      </w:r>
      <w:r w:rsidRPr="00C9040A">
        <w:rPr>
          <w:rtl/>
          <w:lang w:bidi="fa-IR"/>
        </w:rPr>
        <w:t xml:space="preserve"> ، فَيُذِيعُهُ </w:t>
      </w:r>
      <w:r w:rsidR="006C577F" w:rsidRPr="006C577F">
        <w:rPr>
          <w:rStyle w:val="libFootnotenumChar"/>
          <w:rtl/>
        </w:rPr>
        <w:t>(9)</w:t>
      </w:r>
      <w:r w:rsidRPr="00C9040A">
        <w:rPr>
          <w:rtl/>
          <w:lang w:bidi="fa-IR"/>
        </w:rPr>
        <w:t xml:space="preserve"> ، فَيَكُونُ لَهُ ذُلًّا فِي الدُّنْيَا ، وَيَنْزِعُ </w:t>
      </w:r>
      <w:r w:rsidR="006C577F" w:rsidRPr="006C577F">
        <w:rPr>
          <w:rStyle w:val="libFootnotenumChar"/>
          <w:rtl/>
        </w:rPr>
        <w:t>(10)</w:t>
      </w:r>
      <w:r w:rsidRPr="00C9040A">
        <w:rPr>
          <w:rtl/>
          <w:lang w:bidi="fa-IR"/>
        </w:rPr>
        <w:t xml:space="preserve">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ذلِكَ النُّورَ مِنْهُ </w:t>
      </w:r>
      <w:r w:rsidR="006C577F" w:rsidRPr="006C577F">
        <w:rPr>
          <w:rStyle w:val="libFootnotenumChar"/>
          <w:rtl/>
        </w:rPr>
        <w:t>(11)</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(12)</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w:t>
      </w:r>
      <w:r w:rsidR="008A74EB" w:rsidRPr="00993B55">
        <w:rPr>
          <w:rStyle w:val="libFootnoteBoldChar"/>
          <w:rtl/>
        </w:rPr>
        <w:t>الوافي</w:t>
      </w:r>
      <w:r w:rsidR="008A74EB" w:rsidRPr="00C9040A">
        <w:rPr>
          <w:rtl/>
        </w:rPr>
        <w:t xml:space="preserve"> : « يعني كلّ ما تقولونه أو تفعلونه فانظروا أوّلاً في عاقبته ومآله ، ثمّ قولوه أو افعلوه ، فإنّ العثرة قلّما تفارق القول والفعل ، ولا سيّما إذا كثرا ؛ أو المراد أنّه كلّما عثرتم عثرة في قول أو فعل فاشتغلوا بإصلاحها وتداركها كيلا تؤدّي في العاقبة إلى فساد لايقبل الصلاح »</w:t>
      </w:r>
      <w:r w:rsidR="008A74EB">
        <w:rPr>
          <w:rtl/>
        </w:rPr>
        <w:t>.</w:t>
      </w:r>
      <w:r w:rsidR="008A74EB" w:rsidRPr="00C9040A">
        <w:rPr>
          <w:rtl/>
        </w:rPr>
        <w:t xml:space="preserve"> وفي المرآة : « احذروا عواقب العثرات ، أي في ترك التقيّة ، كما فهمه الكليني </w:t>
      </w:r>
      <w:r w:rsidR="00117575" w:rsidRPr="00117575">
        <w:rPr>
          <w:rStyle w:val="libFootnoteAlaemChar"/>
          <w:rtl/>
        </w:rPr>
        <w:t>رحمه‌الله</w:t>
      </w:r>
      <w:r w:rsidR="008A74EB" w:rsidRPr="00C9040A">
        <w:rPr>
          <w:rtl/>
        </w:rPr>
        <w:t xml:space="preserve"> ظاهراً ، أو الأعمّ فيشمل تركها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الوافي</w:t>
      </w:r>
      <w:r w:rsidR="008A74EB" w:rsidRPr="00C9040A">
        <w:rPr>
          <w:rtl/>
        </w:rPr>
        <w:t xml:space="preserve"> ، ج 5 ، ص 694 ، ح 2898 ؛ </w:t>
      </w:r>
      <w:r w:rsidR="008A74EB" w:rsidRPr="00993B55">
        <w:rPr>
          <w:rStyle w:val="libFootnoteBoldChar"/>
          <w:rtl/>
        </w:rPr>
        <w:t>الوسائل</w:t>
      </w:r>
      <w:r w:rsidR="008A74EB" w:rsidRPr="00C9040A">
        <w:rPr>
          <w:rtl/>
        </w:rPr>
        <w:t xml:space="preserve"> ، ج 16 ، ص 205 ، ح 21361 ؛ </w:t>
      </w:r>
      <w:r w:rsidR="008A74EB" w:rsidRPr="00993B55">
        <w:rPr>
          <w:rStyle w:val="libFootnoteBoldChar"/>
          <w:rtl/>
        </w:rPr>
        <w:t>البحار</w:t>
      </w:r>
      <w:r w:rsidR="008A74EB" w:rsidRPr="00C9040A">
        <w:rPr>
          <w:rtl/>
        </w:rPr>
        <w:t xml:space="preserve"> ، ج 75 ، ص 437 ، ح 102.</w:t>
      </w:r>
    </w:p>
    <w:p w:rsidR="008A74EB" w:rsidRPr="00C9040A" w:rsidRDefault="006C577F" w:rsidP="004A4E41">
      <w:pPr>
        <w:pStyle w:val="libFootnote0"/>
        <w:rPr>
          <w:rtl/>
          <w:lang w:bidi="fa-IR"/>
        </w:rPr>
      </w:pPr>
      <w:r>
        <w:rPr>
          <w:rtl/>
        </w:rPr>
        <w:t>(3).</w:t>
      </w:r>
      <w:r w:rsidR="008A74EB" w:rsidRPr="00C9040A">
        <w:rPr>
          <w:rtl/>
        </w:rPr>
        <w:t xml:space="preserve"> في « </w:t>
      </w:r>
      <w:r w:rsidR="006D3162">
        <w:rPr>
          <w:rtl/>
        </w:rPr>
        <w:t xml:space="preserve">ه </w:t>
      </w:r>
      <w:r w:rsidR="008A74EB" w:rsidRPr="00C9040A">
        <w:rPr>
          <w:rtl/>
        </w:rPr>
        <w:t xml:space="preserve">» </w:t>
      </w:r>
      <w:r w:rsidR="008A74EB">
        <w:rPr>
          <w:rtl/>
        </w:rPr>
        <w:t xml:space="preserve">: </w:t>
      </w:r>
      <w:r w:rsidR="0084262C">
        <w:rPr>
          <w:rtl/>
        </w:rPr>
        <w:t>-</w:t>
      </w:r>
      <w:r w:rsidR="008A74EB" w:rsidRPr="00C9040A">
        <w:rPr>
          <w:rtl/>
        </w:rPr>
        <w:t xml:space="preserve"> « </w:t>
      </w:r>
      <w:r w:rsidR="008A74EB">
        <w:rPr>
          <w:rtl/>
        </w:rPr>
        <w:t>و ».</w:t>
      </w:r>
    </w:p>
    <w:p w:rsidR="008A74EB" w:rsidRPr="00C9040A" w:rsidRDefault="006C577F" w:rsidP="004A4E41">
      <w:pPr>
        <w:pStyle w:val="libFootnote0"/>
        <w:rPr>
          <w:rtl/>
          <w:lang w:bidi="fa-IR"/>
        </w:rPr>
      </w:pPr>
      <w:r>
        <w:rPr>
          <w:rtl/>
        </w:rPr>
        <w:t>(4).</w:t>
      </w:r>
      <w:r w:rsidR="008A74EB" w:rsidRPr="00C9040A">
        <w:rPr>
          <w:rtl/>
        </w:rPr>
        <w:t xml:space="preserve"> في « ض ، </w:t>
      </w:r>
      <w:r w:rsidR="006D3162">
        <w:rPr>
          <w:rtl/>
        </w:rPr>
        <w:t xml:space="preserve">ه </w:t>
      </w:r>
      <w:r w:rsidR="008A74EB" w:rsidRPr="00C9040A">
        <w:rPr>
          <w:rtl/>
        </w:rPr>
        <w:t>» وشرح المازندراني : « وإنّ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w:t>
      </w:r>
      <w:r w:rsidR="006D3162">
        <w:rPr>
          <w:rtl/>
        </w:rPr>
        <w:t xml:space="preserve">ه </w:t>
      </w:r>
      <w:r w:rsidR="008A74EB" w:rsidRPr="00C9040A">
        <w:rPr>
          <w:rtl/>
        </w:rPr>
        <w:t xml:space="preserve">» </w:t>
      </w:r>
      <w:r w:rsidR="008A74EB">
        <w:rPr>
          <w:rtl/>
        </w:rPr>
        <w:t xml:space="preserve">: </w:t>
      </w:r>
      <w:r w:rsidR="0084262C">
        <w:rPr>
          <w:rtl/>
        </w:rPr>
        <w:t>-</w:t>
      </w:r>
      <w:r w:rsidR="008A74EB" w:rsidRPr="00C9040A">
        <w:rPr>
          <w:rtl/>
        </w:rPr>
        <w:t xml:space="preserve"> « عزّ وجلّ به »</w:t>
      </w:r>
      <w:r w:rsidR="008A74EB">
        <w:rPr>
          <w:rtl/>
        </w:rPr>
        <w:t>.</w:t>
      </w:r>
      <w:r w:rsidR="008A74EB" w:rsidRPr="00C9040A">
        <w:rPr>
          <w:rtl/>
        </w:rPr>
        <w:t xml:space="preserve"> وفي الوسائل ، ح 33286 والبحار </w:t>
      </w:r>
      <w:r w:rsidR="008A74EB">
        <w:rPr>
          <w:rtl/>
        </w:rPr>
        <w:t xml:space="preserve">: </w:t>
      </w:r>
      <w:r w:rsidR="0084262C">
        <w:rPr>
          <w:rtl/>
        </w:rPr>
        <w:t>-</w:t>
      </w:r>
      <w:r w:rsidR="008A74EB" w:rsidRPr="00C9040A">
        <w:rPr>
          <w:rtl/>
        </w:rPr>
        <w:t xml:space="preserve"> « به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 </w:t>
      </w:r>
      <w:r w:rsidR="006D3162">
        <w:rPr>
          <w:rtl/>
        </w:rPr>
        <w:t xml:space="preserve">ه </w:t>
      </w:r>
      <w:r w:rsidR="008A74EB" w:rsidRPr="00C9040A">
        <w:rPr>
          <w:rtl/>
        </w:rPr>
        <w:t>» : « عزّاً له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ب » : « فيه »</w:t>
      </w:r>
      <w:r w:rsidR="008A74EB">
        <w:rPr>
          <w:rtl/>
        </w:rPr>
        <w:t>.</w:t>
      </w:r>
      <w:r w:rsidR="008A74EB" w:rsidRPr="00C9040A">
        <w:rPr>
          <w:rtl/>
        </w:rPr>
        <w:t xml:space="preserve"> وفي حاشية « بف » : « له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 بس » : + « أهل البيت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بس » </w:t>
      </w:r>
      <w:r w:rsidR="008A74EB">
        <w:rPr>
          <w:rtl/>
        </w:rPr>
        <w:t xml:space="preserve">: </w:t>
      </w:r>
      <w:r w:rsidR="0084262C">
        <w:rPr>
          <w:rtl/>
        </w:rPr>
        <w:t>-</w:t>
      </w:r>
      <w:r w:rsidR="008A74EB" w:rsidRPr="00C9040A">
        <w:rPr>
          <w:rtl/>
        </w:rPr>
        <w:t xml:space="preserve"> « فيذيعه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 </w:t>
      </w:r>
      <w:r w:rsidR="006D3162">
        <w:rPr>
          <w:rtl/>
        </w:rPr>
        <w:t xml:space="preserve">ه </w:t>
      </w:r>
      <w:r w:rsidR="008A74EB" w:rsidRPr="00C9040A">
        <w:rPr>
          <w:rtl/>
        </w:rPr>
        <w:t>» : « فنزع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في « ب ، بر » : « عنه »</w:t>
      </w:r>
      <w:r w:rsidR="008A74EB">
        <w:rPr>
          <w:rtl/>
        </w:rPr>
        <w:t>.</w:t>
      </w:r>
      <w:r w:rsidR="008A74EB" w:rsidRPr="00C9040A">
        <w:rPr>
          <w:rtl/>
        </w:rPr>
        <w:t xml:space="preserve"> وفي « ف » : + « في الآخرة »</w:t>
      </w:r>
      <w:r w:rsidR="008A74EB">
        <w:rPr>
          <w:rtl/>
        </w:rPr>
        <w:t>.</w:t>
      </w:r>
    </w:p>
    <w:p w:rsidR="008A74EB" w:rsidRPr="00C9040A" w:rsidRDefault="006C577F" w:rsidP="00A20F50">
      <w:pPr>
        <w:pStyle w:val="libFootnote0"/>
        <w:rPr>
          <w:rtl/>
          <w:lang w:bidi="fa-IR"/>
        </w:rPr>
      </w:pPr>
      <w:r>
        <w:rPr>
          <w:rtl/>
        </w:rPr>
        <w:t>(12).</w:t>
      </w:r>
      <w:r w:rsidR="008A74EB" w:rsidRPr="00C9040A">
        <w:rPr>
          <w:rtl/>
        </w:rPr>
        <w:t xml:space="preserve"> </w:t>
      </w:r>
      <w:r w:rsidR="008A74EB" w:rsidRPr="00993B55">
        <w:rPr>
          <w:rStyle w:val="libFootnoteBoldChar"/>
          <w:rtl/>
        </w:rPr>
        <w:t>قرب الإسناد</w:t>
      </w:r>
      <w:r w:rsidR="008A74EB" w:rsidRPr="00C9040A">
        <w:rPr>
          <w:rtl/>
        </w:rPr>
        <w:t xml:space="preserve"> ، ص 35 ، ح 114 ، بسند آخر عن أبي‌عبدالله </w:t>
      </w:r>
      <w:r w:rsidR="00117575" w:rsidRPr="00117575">
        <w:rPr>
          <w:rStyle w:val="libFootnoteAlaemChar"/>
          <w:rtl/>
        </w:rPr>
        <w:t>عليه‌السلام</w:t>
      </w:r>
      <w:r w:rsidR="008A74EB" w:rsidRPr="00C9040A">
        <w:rPr>
          <w:rtl/>
        </w:rPr>
        <w:t xml:space="preserve"> ، وفيه : « إنّ التقيّة ترس المؤمن ، ولا إيمان لمن لا تقيّة له » مع زيادة في آخره</w:t>
      </w:r>
      <w:r w:rsidR="00A20F50">
        <w:rPr>
          <w:rFonts w:hint="cs"/>
          <w:rtl/>
        </w:rPr>
        <w:t>.</w:t>
      </w:r>
      <w:r w:rsidR="008A74EB" w:rsidRPr="00993B55">
        <w:rPr>
          <w:rStyle w:val="libFootnoteBoldChar"/>
          <w:rtl/>
        </w:rPr>
        <w:t>الوافي</w:t>
      </w:r>
      <w:r w:rsidR="008A74EB" w:rsidRPr="00C9040A">
        <w:rPr>
          <w:rtl/>
        </w:rPr>
        <w:t xml:space="preserve"> ، ج 5 ، ص 694 ، ح 2897 ؛ </w:t>
      </w:r>
      <w:r w:rsidR="008A74EB" w:rsidRPr="00993B55">
        <w:rPr>
          <w:rStyle w:val="libFootnoteBoldChar"/>
          <w:rtl/>
        </w:rPr>
        <w:t>الوسائل</w:t>
      </w:r>
      <w:r w:rsidR="008A74EB" w:rsidRPr="00C9040A">
        <w:rPr>
          <w:rtl/>
        </w:rPr>
        <w:t xml:space="preserve"> ، ج 16 ، ص 205 ، ح 21362 ، إلى قوله : « ولا إيمان لمن لا تقيّة له » ؛ </w:t>
      </w:r>
      <w:r w:rsidR="008A74EB" w:rsidRPr="00993B55">
        <w:rPr>
          <w:rStyle w:val="libFootnoteBoldChar"/>
          <w:rtl/>
        </w:rPr>
        <w:t>وفيه</w:t>
      </w:r>
      <w:r w:rsidR="008A74EB" w:rsidRPr="00C9040A">
        <w:rPr>
          <w:rtl/>
        </w:rPr>
        <w:t xml:space="preserve"> ، ج 27 ، ص 88 ، ح 33286 ؛ </w:t>
      </w:r>
      <w:r w:rsidR="008A74EB" w:rsidRPr="00993B55">
        <w:rPr>
          <w:rStyle w:val="libFootnoteBoldChar"/>
          <w:rtl/>
        </w:rPr>
        <w:t>البحار</w:t>
      </w:r>
      <w:r w:rsidR="008A74EB" w:rsidRPr="00C9040A">
        <w:rPr>
          <w:rtl/>
        </w:rPr>
        <w:t xml:space="preserve"> ، ج 75 ، ص 437 ، ح 103.</w:t>
      </w:r>
    </w:p>
    <w:p w:rsidR="004B7F34" w:rsidRDefault="004B7F34" w:rsidP="004B7F34">
      <w:pPr>
        <w:pStyle w:val="libNormal"/>
        <w:rPr>
          <w:rtl/>
          <w:lang w:bidi="fa-IR"/>
        </w:rPr>
      </w:pPr>
      <w:r>
        <w:rPr>
          <w:rtl/>
          <w:lang w:bidi="fa-IR"/>
        </w:rPr>
        <w:br w:type="page"/>
      </w:r>
    </w:p>
    <w:p w:rsidR="008A74EB" w:rsidRPr="00C9040A" w:rsidRDefault="008A74EB" w:rsidP="008A74EB">
      <w:pPr>
        <w:pStyle w:val="Heading2Center"/>
        <w:rPr>
          <w:rtl/>
          <w:lang w:bidi="fa-IR"/>
        </w:rPr>
      </w:pPr>
      <w:bookmarkStart w:id="304" w:name="_Toc343795689"/>
      <w:bookmarkStart w:id="305" w:name="_Toc459810813"/>
      <w:bookmarkStart w:id="306" w:name="_Toc35348719"/>
      <w:r w:rsidRPr="00C9040A">
        <w:rPr>
          <w:rtl/>
          <w:lang w:bidi="fa-IR"/>
        </w:rPr>
        <w:t>98</w:t>
      </w:r>
      <w:r>
        <w:rPr>
          <w:rtl/>
          <w:lang w:bidi="fa-IR"/>
        </w:rPr>
        <w:t xml:space="preserve"> </w:t>
      </w:r>
      <w:r w:rsidR="0084262C">
        <w:rPr>
          <w:rtl/>
          <w:lang w:bidi="fa-IR"/>
        </w:rPr>
        <w:t>-</w:t>
      </w:r>
      <w:r>
        <w:rPr>
          <w:rtl/>
          <w:lang w:bidi="fa-IR"/>
        </w:rPr>
        <w:t xml:space="preserve"> </w:t>
      </w:r>
      <w:r w:rsidRPr="00C9040A">
        <w:rPr>
          <w:rtl/>
          <w:lang w:bidi="fa-IR"/>
        </w:rPr>
        <w:t>بَابُ الْكِتْمَانِ‌</w:t>
      </w:r>
      <w:bookmarkEnd w:id="304"/>
      <w:bookmarkEnd w:id="305"/>
      <w:bookmarkEnd w:id="306"/>
    </w:p>
    <w:p w:rsidR="008A74EB" w:rsidRPr="00C9040A" w:rsidRDefault="008A74EB" w:rsidP="008A74EB">
      <w:pPr>
        <w:pStyle w:val="libNormal"/>
        <w:rPr>
          <w:rtl/>
          <w:lang w:bidi="fa-IR"/>
        </w:rPr>
      </w:pPr>
      <w:r w:rsidRPr="00584EC7">
        <w:rPr>
          <w:rtl/>
        </w:rPr>
        <w:t>2264</w:t>
      </w:r>
      <w:r w:rsidRPr="00261CB0">
        <w:rPr>
          <w:rStyle w:val="libBold2Char"/>
          <w:rtl/>
        </w:rPr>
        <w:t xml:space="preserve"> / 1.</w:t>
      </w:r>
      <w:r w:rsidRPr="00C9040A">
        <w:rPr>
          <w:rtl/>
          <w:lang w:bidi="fa-IR"/>
        </w:rPr>
        <w:t xml:space="preserve"> مُحَمَّدُ بْنُ يَحْيى ، عَنْ أَحْمَدَ بْنِ مُحَمَّدٍ ، عَنِ ابْنِ مَحْبُوبٍ ، عَنْ مَالِكِ بْنِ عَطِيَّةَ ، عَنْ أَبِي حَمْزَةَ :</w:t>
      </w:r>
    </w:p>
    <w:p w:rsidR="008A74EB" w:rsidRPr="00C9040A" w:rsidRDefault="008A74EB" w:rsidP="008A74EB">
      <w:pPr>
        <w:pStyle w:val="libNormal"/>
        <w:rPr>
          <w:rtl/>
          <w:lang w:bidi="fa-IR"/>
        </w:rPr>
      </w:pPr>
      <w:r w:rsidRPr="00C9040A">
        <w:rPr>
          <w:rtl/>
          <w:lang w:bidi="fa-IR"/>
        </w:rPr>
        <w:t xml:space="preserve">عَنْ عَلِيِّ بْنِ الْحُسَيْنِ </w:t>
      </w:r>
      <w:r w:rsidRPr="0003660B">
        <w:rPr>
          <w:rStyle w:val="libAlaemChar"/>
          <w:rtl/>
        </w:rPr>
        <w:t>عليهما‌السلام</w:t>
      </w:r>
      <w:r w:rsidRPr="00C9040A">
        <w:rPr>
          <w:rtl/>
          <w:lang w:bidi="fa-IR"/>
        </w:rPr>
        <w:t xml:space="preserve"> ، قَالَ : « وَدِدْتُ </w:t>
      </w:r>
      <w:r w:rsidR="006C577F" w:rsidRPr="006C577F">
        <w:rPr>
          <w:rStyle w:val="libFootnotenumChar"/>
          <w:rtl/>
        </w:rPr>
        <w:t>(1)</w:t>
      </w:r>
      <w:r w:rsidRPr="00C9040A">
        <w:rPr>
          <w:rtl/>
          <w:lang w:bidi="fa-IR"/>
        </w:rPr>
        <w:t xml:space="preserve"> وَاللهِ </w:t>
      </w:r>
      <w:r w:rsidR="006C577F" w:rsidRPr="006C577F">
        <w:rPr>
          <w:rStyle w:val="libFootnotenumChar"/>
          <w:rtl/>
        </w:rPr>
        <w:t>(2)</w:t>
      </w:r>
      <w:r w:rsidRPr="00C9040A">
        <w:rPr>
          <w:rtl/>
          <w:lang w:bidi="fa-IR"/>
        </w:rPr>
        <w:t xml:space="preserve"> أَنِّي افْتَدَيْتُ </w:t>
      </w:r>
      <w:r w:rsidR="006C577F" w:rsidRPr="006C577F">
        <w:rPr>
          <w:rStyle w:val="libFootnotenumChar"/>
          <w:rtl/>
        </w:rPr>
        <w:t>(3)</w:t>
      </w:r>
      <w:r w:rsidRPr="00C9040A">
        <w:rPr>
          <w:rtl/>
          <w:lang w:bidi="fa-IR"/>
        </w:rPr>
        <w:t xml:space="preserve"> خَصْلَتَيْنِ فِي الشِّيعَةِ </w:t>
      </w:r>
      <w:r w:rsidR="006C577F" w:rsidRPr="006C577F">
        <w:rPr>
          <w:rStyle w:val="libFootnotenumChar"/>
          <w:rtl/>
        </w:rPr>
        <w:t>(4)</w:t>
      </w:r>
      <w:r w:rsidRPr="00C9040A">
        <w:rPr>
          <w:rtl/>
          <w:lang w:bidi="fa-IR"/>
        </w:rPr>
        <w:t xml:space="preserve"> لَنَا بِبَعْضِ لَحْمِ سَاعِدِي </w:t>
      </w:r>
      <w:r w:rsidR="006C577F" w:rsidRPr="006C577F">
        <w:rPr>
          <w:rStyle w:val="libFootnotenumChar"/>
          <w:rtl/>
        </w:rPr>
        <w:t>(5)</w:t>
      </w:r>
      <w:r w:rsidRPr="00C9040A">
        <w:rPr>
          <w:rtl/>
          <w:lang w:bidi="fa-IR"/>
        </w:rPr>
        <w:t xml:space="preserve"> : النَّزَقَ </w:t>
      </w:r>
      <w:r w:rsidR="006C577F" w:rsidRPr="006C577F">
        <w:rPr>
          <w:rStyle w:val="libFootnotenumChar"/>
          <w:rtl/>
        </w:rPr>
        <w:t>(6)</w:t>
      </w:r>
      <w:r w:rsidRPr="005B567D">
        <w:rPr>
          <w:rStyle w:val="libFootnotenumChar"/>
          <w:rtl/>
        </w:rPr>
        <w:t xml:space="preserve"> </w:t>
      </w:r>
      <w:r w:rsidRPr="00C9040A">
        <w:rPr>
          <w:rtl/>
          <w:lang w:bidi="fa-IR"/>
        </w:rPr>
        <w:t xml:space="preserve">، وَقِلَّةَ الْكِتْمَانِ </w:t>
      </w:r>
      <w:r w:rsidR="006C577F" w:rsidRPr="006C577F">
        <w:rPr>
          <w:rStyle w:val="libFootnotenumChar"/>
          <w:rtl/>
        </w:rPr>
        <w:t>(7)</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Normal"/>
        <w:rPr>
          <w:rtl/>
          <w:lang w:bidi="fa-IR"/>
        </w:rPr>
      </w:pPr>
      <w:r w:rsidRPr="00584EC7">
        <w:rPr>
          <w:rtl/>
        </w:rPr>
        <w:t>2265</w:t>
      </w:r>
      <w:r w:rsidRPr="00261CB0">
        <w:rPr>
          <w:rStyle w:val="libBold2Char"/>
          <w:rtl/>
        </w:rPr>
        <w:t xml:space="preserve"> / 2.</w:t>
      </w:r>
      <w:r w:rsidRPr="00C9040A">
        <w:rPr>
          <w:rtl/>
          <w:lang w:bidi="fa-IR"/>
        </w:rPr>
        <w:t xml:space="preserve"> عَنْهُ ، عَنْ أَحْمَدَ بْنِ مُحَمَّدٍ ، عَنْ مُحَمَّدِ بْنِ سِنَانٍ ، عَنْ عَمَّارِ بْنِ مَرْوَانَ </w:t>
      </w:r>
      <w:r w:rsidR="006C577F" w:rsidRPr="006C577F">
        <w:rPr>
          <w:rStyle w:val="libFootnotenumChar"/>
          <w:rtl/>
        </w:rPr>
        <w:t>(9)</w:t>
      </w:r>
      <w:r w:rsidRPr="00C9040A">
        <w:rPr>
          <w:rtl/>
          <w:lang w:bidi="fa-IR"/>
        </w:rPr>
        <w:t xml:space="preserve"> ، عَنْ أَبِي أُسَامَةَ زَيْدٍ الشَّحَّامِ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أُمِرَ النَّاسُ بِخَصْلَتَيْنِ ، فَضَيَّعُوهُمَا ، فَصَارُوا مِنْهُمَا عَلى غَيْرِ‌</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مرآة العقول : « لوددت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ف » </w:t>
      </w:r>
      <w:r w:rsidR="008A74EB">
        <w:rPr>
          <w:rtl/>
        </w:rPr>
        <w:t xml:space="preserve">: </w:t>
      </w:r>
      <w:r w:rsidR="0084262C">
        <w:rPr>
          <w:rtl/>
        </w:rPr>
        <w:t>-</w:t>
      </w:r>
      <w:r w:rsidR="008A74EB" w:rsidRPr="00C9040A">
        <w:rPr>
          <w:rtl/>
        </w:rPr>
        <w:t xml:space="preserve"> « </w:t>
      </w:r>
      <w:r w:rsidR="008A74EB">
        <w:rPr>
          <w:rtl/>
        </w:rPr>
        <w:t>و ».</w:t>
      </w:r>
      <w:r w:rsidR="008A74EB" w:rsidRPr="00C9040A">
        <w:rPr>
          <w:rtl/>
        </w:rPr>
        <w:t xml:space="preserve"> وفي « </w:t>
      </w:r>
      <w:r w:rsidR="006D3162">
        <w:rPr>
          <w:rtl/>
        </w:rPr>
        <w:t xml:space="preserve">ه </w:t>
      </w:r>
      <w:r w:rsidR="008A74EB" w:rsidRPr="00C9040A">
        <w:rPr>
          <w:rtl/>
        </w:rPr>
        <w:t xml:space="preserve">» </w:t>
      </w:r>
      <w:r w:rsidR="008A74EB">
        <w:rPr>
          <w:rtl/>
        </w:rPr>
        <w:t xml:space="preserve">: </w:t>
      </w:r>
      <w:r w:rsidR="0084262C">
        <w:rPr>
          <w:rtl/>
        </w:rPr>
        <w:t>-</w:t>
      </w:r>
      <w:r w:rsidR="008A74EB" w:rsidRPr="00C9040A">
        <w:rPr>
          <w:rtl/>
        </w:rPr>
        <w:t xml:space="preserve"> « والله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 الفِدى » </w:t>
      </w:r>
      <w:r w:rsidR="008A74EB">
        <w:rPr>
          <w:rtl/>
        </w:rPr>
        <w:t>و «</w:t>
      </w:r>
      <w:r w:rsidR="008A74EB" w:rsidRPr="00C9040A">
        <w:rPr>
          <w:rtl/>
        </w:rPr>
        <w:t xml:space="preserve"> الفِداء » : حفظ الإنسان عن النائبة بما يبذله عنه. يقال : فديته بمال وفديته بنفسي وفاديت بكذا. وافتدى : إذا بذل ذلك عن نفسه ، وفدت المرأة نفسَها من زوجها ، وافتدت : أعطتْه مالاً حتّى تخلّصت منه بالطلاق. </w:t>
      </w:r>
      <w:r w:rsidR="008A74EB" w:rsidRPr="00993B55">
        <w:rPr>
          <w:rStyle w:val="libFootnoteBoldChar"/>
          <w:rtl/>
        </w:rPr>
        <w:t>المفردات</w:t>
      </w:r>
      <w:r w:rsidR="008A74EB" w:rsidRPr="00C9040A">
        <w:rPr>
          <w:rtl/>
        </w:rPr>
        <w:t xml:space="preserve"> للراغب ، ص 627 ؛ </w:t>
      </w:r>
      <w:r w:rsidR="008A74EB" w:rsidRPr="00993B55">
        <w:rPr>
          <w:rStyle w:val="libFootnoteBoldChar"/>
          <w:rtl/>
        </w:rPr>
        <w:t>المصباح المنير</w:t>
      </w:r>
      <w:r w:rsidR="008A74EB" w:rsidRPr="00C9040A">
        <w:rPr>
          <w:rtl/>
        </w:rPr>
        <w:t xml:space="preserve"> ، ص 465 ( فدى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البحار : « شيعة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w:t>
      </w:r>
      <w:r w:rsidR="006D3162">
        <w:rPr>
          <w:rtl/>
        </w:rPr>
        <w:t xml:space="preserve">ه </w:t>
      </w:r>
      <w:r w:rsidR="008A74EB" w:rsidRPr="00C9040A">
        <w:rPr>
          <w:rtl/>
        </w:rPr>
        <w:t>، بر » : « ساعديّ »</w:t>
      </w:r>
      <w:r w:rsidR="008A74EB">
        <w:rPr>
          <w:rtl/>
        </w:rPr>
        <w:t>.</w:t>
      </w:r>
      <w:r w:rsidR="008A74EB" w:rsidRPr="00C9040A">
        <w:rPr>
          <w:rtl/>
        </w:rPr>
        <w:t xml:space="preserve"> وفي </w:t>
      </w:r>
      <w:r w:rsidR="008A74EB" w:rsidRPr="00993B55">
        <w:rPr>
          <w:rStyle w:val="libFootnoteBoldChar"/>
          <w:rtl/>
        </w:rPr>
        <w:t>المرآة</w:t>
      </w:r>
      <w:r w:rsidR="008A74EB" w:rsidRPr="00C9040A">
        <w:rPr>
          <w:rtl/>
        </w:rPr>
        <w:t xml:space="preserve"> : « كأنّ المعنى : وددت أن ا</w:t>
      </w:r>
      <w:r w:rsidR="00A20F50">
        <w:rPr>
          <w:rFonts w:hint="cs"/>
          <w:rtl/>
        </w:rPr>
        <w:t>ُ</w:t>
      </w:r>
      <w:r w:rsidR="008A74EB" w:rsidRPr="00C9040A">
        <w:rPr>
          <w:rtl/>
        </w:rPr>
        <w:t>هلك وا</w:t>
      </w:r>
      <w:r w:rsidR="00A20F50">
        <w:rPr>
          <w:rFonts w:hint="cs"/>
          <w:rtl/>
        </w:rPr>
        <w:t>ُ</w:t>
      </w:r>
      <w:r w:rsidR="008A74EB" w:rsidRPr="00C9040A">
        <w:rPr>
          <w:rtl/>
        </w:rPr>
        <w:t>ذهب تينك الخصلتين عن الشيعة ، ولو انجرّ الأمر إلى أن يلزمني أن ا</w:t>
      </w:r>
      <w:r w:rsidR="00A20F50">
        <w:rPr>
          <w:rFonts w:hint="cs"/>
          <w:rtl/>
        </w:rPr>
        <w:t>ُ</w:t>
      </w:r>
      <w:r w:rsidR="008A74EB" w:rsidRPr="00C9040A">
        <w:rPr>
          <w:rtl/>
        </w:rPr>
        <w:t>عطي فدءاً عنها بعض لحم ساعدي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 النَزَق » : خِفّة في كلّ أمر ، وعجلة في جهل وحُمق. </w:t>
      </w:r>
      <w:r w:rsidR="008A74EB" w:rsidRPr="00993B55">
        <w:rPr>
          <w:rStyle w:val="libFootnoteBoldChar"/>
          <w:rtl/>
        </w:rPr>
        <w:t>ترتيب كتاب العين</w:t>
      </w:r>
      <w:r w:rsidR="008A74EB" w:rsidRPr="00C9040A">
        <w:rPr>
          <w:rtl/>
        </w:rPr>
        <w:t xml:space="preserve"> ، ج 3 ، ص 1780 ( نزق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w:t>
      </w:r>
      <w:r w:rsidR="008A74EB" w:rsidRPr="00993B55">
        <w:rPr>
          <w:rStyle w:val="libFootnoteBoldChar"/>
          <w:rtl/>
        </w:rPr>
        <w:t>المرآة</w:t>
      </w:r>
      <w:r w:rsidR="008A74EB" w:rsidRPr="00C9040A">
        <w:rPr>
          <w:rtl/>
        </w:rPr>
        <w:t xml:space="preserve"> : « والمراد بالكتمان : إخفاء أحاديث الأئمّة وأسرارهم عن المخالفين عند خوف الضرر عليهم وعلى شيعتهم ، أو الأعمّ منه ومن كتمان أسرارهم وغوامض أخبارهم عمّن لايحتمله عقله »</w:t>
      </w:r>
      <w:r w:rsidR="008A74EB">
        <w:rPr>
          <w:rtl/>
        </w:rPr>
        <w:t>.</w:t>
      </w:r>
    </w:p>
    <w:p w:rsidR="008A74EB" w:rsidRPr="00C9040A" w:rsidRDefault="006C577F" w:rsidP="00A20F50">
      <w:pPr>
        <w:pStyle w:val="libFootnote0"/>
        <w:rPr>
          <w:rtl/>
          <w:lang w:bidi="fa-IR"/>
        </w:rPr>
      </w:pPr>
      <w:r>
        <w:rPr>
          <w:rtl/>
        </w:rPr>
        <w:t>(8).</w:t>
      </w:r>
      <w:r w:rsidR="008A74EB" w:rsidRPr="00C9040A">
        <w:rPr>
          <w:rtl/>
        </w:rPr>
        <w:t xml:space="preserve"> </w:t>
      </w:r>
      <w:r w:rsidR="008A74EB" w:rsidRPr="00993B55">
        <w:rPr>
          <w:rStyle w:val="libFootnoteBoldChar"/>
          <w:rtl/>
        </w:rPr>
        <w:t>الخصال</w:t>
      </w:r>
      <w:r w:rsidR="008A74EB" w:rsidRPr="00C9040A">
        <w:rPr>
          <w:rtl/>
        </w:rPr>
        <w:t xml:space="preserve"> ، ص 44 ، ح 40 ، بسند آخر عن الحسن بن محبوب</w:t>
      </w:r>
      <w:r w:rsidR="00A20F50">
        <w:rPr>
          <w:rFonts w:hint="cs"/>
          <w:rtl/>
        </w:rPr>
        <w:t>.</w:t>
      </w:r>
      <w:r w:rsidR="008A74EB" w:rsidRPr="00993B55">
        <w:rPr>
          <w:rStyle w:val="libFootnoteBoldChar"/>
          <w:rtl/>
        </w:rPr>
        <w:t>الوافي</w:t>
      </w:r>
      <w:r w:rsidR="008A74EB" w:rsidRPr="00C9040A">
        <w:rPr>
          <w:rtl/>
        </w:rPr>
        <w:t xml:space="preserve"> ، ج 5 ، ص 697 ، ح 2900 ؛ </w:t>
      </w:r>
      <w:r w:rsidR="008A74EB" w:rsidRPr="00993B55">
        <w:rPr>
          <w:rStyle w:val="libFootnoteBoldChar"/>
          <w:rtl/>
        </w:rPr>
        <w:t>الوسائل</w:t>
      </w:r>
      <w:r w:rsidR="008A74EB" w:rsidRPr="00C9040A">
        <w:rPr>
          <w:rtl/>
        </w:rPr>
        <w:t xml:space="preserve"> ، ج 16 ، ص 235 ، ح 21448 ؛ </w:t>
      </w:r>
      <w:r w:rsidR="008A74EB" w:rsidRPr="00993B55">
        <w:rPr>
          <w:rStyle w:val="libFootnoteBoldChar"/>
          <w:rtl/>
        </w:rPr>
        <w:t>البحار</w:t>
      </w:r>
      <w:r w:rsidR="008A74EB" w:rsidRPr="00C9040A">
        <w:rPr>
          <w:rtl/>
        </w:rPr>
        <w:t xml:space="preserve"> ، ج 75 ، ص 71 ، ح 18.</w:t>
      </w:r>
    </w:p>
    <w:p w:rsidR="008A74EB" w:rsidRPr="00C9040A" w:rsidRDefault="006C577F" w:rsidP="004A4E41">
      <w:pPr>
        <w:pStyle w:val="libFootnote0"/>
        <w:rPr>
          <w:rtl/>
          <w:lang w:bidi="fa-IR"/>
        </w:rPr>
      </w:pPr>
      <w:r>
        <w:rPr>
          <w:rtl/>
        </w:rPr>
        <w:t>(9).</w:t>
      </w:r>
      <w:r w:rsidR="008A74EB" w:rsidRPr="00C9040A">
        <w:rPr>
          <w:rtl/>
        </w:rPr>
        <w:t xml:space="preserve"> في المحاسن : + « عن حسين بن مختار »</w:t>
      </w:r>
      <w:r w:rsidR="008A74EB">
        <w:rPr>
          <w:rtl/>
        </w:rPr>
        <w:t>.</w:t>
      </w:r>
      <w:r w:rsidR="008A74EB" w:rsidRPr="00C9040A">
        <w:rPr>
          <w:rtl/>
        </w:rPr>
        <w:t xml:space="preserve"> ولا يبعد كون الصواب فيه « وحسين بن مختار » ؛ فقد روى محمّدبن سنان ، عن عمّار بن مروان ، عن زيد الشحّام في </w:t>
      </w:r>
      <w:r w:rsidR="008A74EB" w:rsidRPr="00993B55">
        <w:rPr>
          <w:rStyle w:val="libFootnoteBoldChar"/>
          <w:rtl/>
        </w:rPr>
        <w:t>الكافي</w:t>
      </w:r>
      <w:r w:rsidR="008A74EB" w:rsidRPr="00C9040A">
        <w:rPr>
          <w:rtl/>
        </w:rPr>
        <w:t xml:space="preserve"> ، ح 1799 </w:t>
      </w:r>
      <w:r w:rsidR="008A74EB">
        <w:rPr>
          <w:rtl/>
        </w:rPr>
        <w:t>و 1</w:t>
      </w:r>
      <w:r w:rsidR="008A74EB" w:rsidRPr="00C9040A">
        <w:rPr>
          <w:rtl/>
        </w:rPr>
        <w:t xml:space="preserve">920 </w:t>
      </w:r>
      <w:r w:rsidR="008A74EB">
        <w:rPr>
          <w:rtl/>
        </w:rPr>
        <w:t>و 2</w:t>
      </w:r>
      <w:r w:rsidR="008A74EB" w:rsidRPr="00C9040A">
        <w:rPr>
          <w:rtl/>
        </w:rPr>
        <w:t xml:space="preserve">354 </w:t>
      </w:r>
      <w:r w:rsidR="008A74EB">
        <w:rPr>
          <w:rtl/>
        </w:rPr>
        <w:t>و 4</w:t>
      </w:r>
      <w:r w:rsidR="008A74EB" w:rsidRPr="00C9040A">
        <w:rPr>
          <w:rtl/>
        </w:rPr>
        <w:t xml:space="preserve">649 ، كما روى عن الحسين بن المختار ، عن زيد الشحّام في </w:t>
      </w:r>
      <w:r w:rsidR="008A74EB" w:rsidRPr="00993B55">
        <w:rPr>
          <w:rStyle w:val="libFootnoteBoldChar"/>
          <w:rtl/>
        </w:rPr>
        <w:t>الكافي</w:t>
      </w:r>
      <w:r w:rsidR="008A74EB" w:rsidRPr="00C9040A">
        <w:rPr>
          <w:rtl/>
        </w:rPr>
        <w:t xml:space="preserve"> ، ح 8167 ؛ و</w:t>
      </w:r>
      <w:r w:rsidR="008A74EB" w:rsidRPr="00993B55">
        <w:rPr>
          <w:rStyle w:val="libFootnoteBoldChar"/>
          <w:rtl/>
        </w:rPr>
        <w:t xml:space="preserve">التهذيب </w:t>
      </w:r>
      <w:r w:rsidR="008A74EB" w:rsidRPr="00C9040A">
        <w:rPr>
          <w:rtl/>
        </w:rPr>
        <w:t>، ج 1 ، ص 375 ، ح 1154 ؛ وص 464 ، ح 1520 ؛ وج 6 ، ص 47 ، ح 102 ؛ و</w:t>
      </w:r>
      <w:r w:rsidR="008A74EB" w:rsidRPr="00993B55">
        <w:rPr>
          <w:rStyle w:val="libFootnoteBoldChar"/>
          <w:rtl/>
        </w:rPr>
        <w:t>بصائر الدرجات</w:t>
      </w:r>
      <w:r w:rsidR="008A74EB" w:rsidRPr="00C9040A">
        <w:rPr>
          <w:rtl/>
        </w:rPr>
        <w:t xml:space="preserve"> ، ص 421 ، ح 10 ؛ و</w:t>
      </w:r>
      <w:r w:rsidR="008A74EB" w:rsidRPr="00993B55">
        <w:rPr>
          <w:rStyle w:val="libFootnoteBoldChar"/>
          <w:rtl/>
        </w:rPr>
        <w:t>رجال الكشّي</w:t>
      </w:r>
      <w:r w:rsidR="008A74EB" w:rsidRPr="00C9040A">
        <w:rPr>
          <w:rtl/>
        </w:rPr>
        <w:t xml:space="preserve"> ، ص 29 ، الرقم 55.</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شَيْ‌ءٍ : الصَّبْرِ </w:t>
      </w:r>
      <w:r w:rsidR="006C577F" w:rsidRPr="006C577F">
        <w:rPr>
          <w:rStyle w:val="libFootnotenumChar"/>
          <w:rtl/>
        </w:rPr>
        <w:t>(1)</w:t>
      </w:r>
      <w:r w:rsidRPr="00C9040A">
        <w:rPr>
          <w:rtl/>
          <w:lang w:bidi="fa-IR"/>
        </w:rPr>
        <w:t xml:space="preserve"> ، وَالْكِتْمَانِ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584EC7">
        <w:rPr>
          <w:rtl/>
        </w:rPr>
        <w:t>2266</w:t>
      </w:r>
      <w:r w:rsidRPr="00261CB0">
        <w:rPr>
          <w:rStyle w:val="libBold2Char"/>
          <w:rtl/>
        </w:rPr>
        <w:t xml:space="preserve"> / 3.</w:t>
      </w:r>
      <w:r w:rsidRPr="00C9040A">
        <w:rPr>
          <w:rtl/>
          <w:lang w:bidi="fa-IR"/>
        </w:rPr>
        <w:t xml:space="preserve"> عَلِيُّ بْنُ إِبْرَاهِيمَ ، عَنْ أَبِيهِ ، عَنِ ابْنِ أَبِي عُمَيْرٍ ، عَنْ يُونُسَ بْنِ عَمَّارٍ ، عَنْ سُلَيْمَانَ بْنِ خَالِدٍ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يَا سُلَيْمَانُ ، إِنَّكُمْ عَلى دِينٍ مَنْ كَتَمَهُ أَعَزَّهُ اللهُ ، وَمَنْ أَذَاعَهُ أَذَلَّهُ اللهُ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584EC7">
        <w:rPr>
          <w:rtl/>
        </w:rPr>
        <w:t>2267</w:t>
      </w:r>
      <w:r w:rsidRPr="00261CB0">
        <w:rPr>
          <w:rStyle w:val="libBold2Char"/>
          <w:rtl/>
        </w:rPr>
        <w:t xml:space="preserve"> / 4.</w:t>
      </w:r>
      <w:r w:rsidRPr="00C9040A">
        <w:rPr>
          <w:rtl/>
          <w:lang w:bidi="fa-IR"/>
        </w:rPr>
        <w:t xml:space="preserve"> مُحَمَّدُ بْنُ يَحْيى ، عَنْ أَحْمَدَ بْنِ مُحَمَّدٍ ، عَنْ عَلِيِّ بْنِ الْحَكَمِ ، عَنْ عَبْدِ اللهِ بْنِ بُكَيْرٍ ، عَنْ رَجُلٍ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دَخَلْنَا </w:t>
      </w:r>
      <w:r w:rsidR="006C577F" w:rsidRPr="006C577F">
        <w:rPr>
          <w:rStyle w:val="libFootnotenumChar"/>
          <w:rtl/>
        </w:rPr>
        <w:t>(4)</w:t>
      </w:r>
      <w:r w:rsidRPr="00C9040A">
        <w:rPr>
          <w:rtl/>
          <w:lang w:bidi="fa-IR"/>
        </w:rPr>
        <w:t xml:space="preserve"> عَلَيْهِ جَمَاعَةً ، فَقُلْنَا : يَا ابْنَ رَسُولِ اللهِ ، إِنَّا نُرِيدُ الْعِرَاقَ ، فَأَوْصِنَا ، فَقَالَ أَبُو جَعْفَرٍ </w:t>
      </w:r>
      <w:r w:rsidRPr="0003660B">
        <w:rPr>
          <w:rStyle w:val="libAlaemChar"/>
          <w:rtl/>
        </w:rPr>
        <w:t>عليه‌السلام</w:t>
      </w:r>
      <w:r w:rsidRPr="00C9040A">
        <w:rPr>
          <w:rtl/>
          <w:lang w:bidi="fa-IR"/>
        </w:rPr>
        <w:t xml:space="preserve"> : « لِيُقَوِّ شَدِيدُكُمْ ضَعِيفَكُمْ ، وَلْيَعُدْ </w:t>
      </w:r>
      <w:r w:rsidR="006C577F" w:rsidRPr="006C577F">
        <w:rPr>
          <w:rStyle w:val="libFootnotenumChar"/>
          <w:rtl/>
        </w:rPr>
        <w:t>(5)</w:t>
      </w:r>
      <w:r w:rsidRPr="00C9040A">
        <w:rPr>
          <w:rtl/>
          <w:lang w:bidi="fa-IR"/>
        </w:rPr>
        <w:t xml:space="preserve"> غَنِيُّكُمْ عَلى فَقِيرِكُمْ ، وَلَا تَبُثُّوا </w:t>
      </w:r>
      <w:r w:rsidR="006C577F" w:rsidRPr="006C577F">
        <w:rPr>
          <w:rStyle w:val="libFootnotenumChar"/>
          <w:rtl/>
        </w:rPr>
        <w:t>(6)</w:t>
      </w:r>
      <w:r w:rsidRPr="005B567D">
        <w:rPr>
          <w:rStyle w:val="libFootnotenumChar"/>
          <w:rtl/>
        </w:rPr>
        <w:t xml:space="preserve"> </w:t>
      </w:r>
      <w:r w:rsidRPr="00C9040A">
        <w:rPr>
          <w:rtl/>
          <w:lang w:bidi="fa-IR"/>
        </w:rPr>
        <w:t xml:space="preserve">سِرَّنَا ، وَلَا تُذِيعُوا أَمْرَنَا ، وَإِذَا </w:t>
      </w:r>
      <w:r w:rsidR="006C577F" w:rsidRPr="006C577F">
        <w:rPr>
          <w:rStyle w:val="libFootnotenumChar"/>
          <w:rtl/>
        </w:rPr>
        <w:t>(7)</w:t>
      </w:r>
      <w:r w:rsidRPr="00C9040A">
        <w:rPr>
          <w:rtl/>
          <w:lang w:bidi="fa-IR"/>
        </w:rPr>
        <w:t xml:space="preserve"> جَاءَكُمْ عَنَّا حَدِيثٌ ، فَوَجَدْتُمْ عَلَيْهِ شَاهِداً أَوْ شَاهِدَيْنِ مِنْ كِتَابِ </w:t>
      </w:r>
      <w:r w:rsidR="00A20F50">
        <w:rPr>
          <w:rtl/>
          <w:lang w:bidi="fa-IR"/>
        </w:rPr>
        <w:t>اللهِ ، فَخُذُوا بِهِ ، وَإِل</w:t>
      </w:r>
      <w:r w:rsidR="00A20F50">
        <w:rPr>
          <w:rFonts w:hint="cs"/>
          <w:rtl/>
          <w:lang w:bidi="fa-IR"/>
        </w:rPr>
        <w:t>َّ</w:t>
      </w:r>
      <w:r w:rsidR="00A20F50">
        <w:rPr>
          <w:rtl/>
          <w:lang w:bidi="fa-IR"/>
        </w:rPr>
        <w:t>ا</w:t>
      </w:r>
      <w:r w:rsidRPr="00C9040A">
        <w:rPr>
          <w:rtl/>
          <w:lang w:bidi="fa-IR"/>
        </w:rPr>
        <w:t xml:space="preserve"> فَقِفُوا عِنْدَهُ </w:t>
      </w:r>
      <w:r w:rsidR="006C577F" w:rsidRPr="006C577F">
        <w:rPr>
          <w:rStyle w:val="libFootnotenumChar"/>
          <w:rtl/>
        </w:rPr>
        <w:t>(8)</w:t>
      </w:r>
      <w:r w:rsidRPr="00C9040A">
        <w:rPr>
          <w:rtl/>
          <w:lang w:bidi="fa-IR"/>
        </w:rPr>
        <w:t xml:space="preserve"> ، ثُمَّ رُدُّوهُ إِلَيْنَا حَتّى يَسْتَبِينَ لَكُمْ ، وَاعْلَمُوا أَنَّ الْمُنْتَظِرَ لِهذَا الْأَمْرِ لَهُ </w:t>
      </w:r>
      <w:r w:rsidR="006C577F" w:rsidRPr="006C577F">
        <w:rPr>
          <w:rStyle w:val="libFootnotenumChar"/>
          <w:rtl/>
        </w:rPr>
        <w:t>(9)</w:t>
      </w:r>
      <w:r w:rsidRPr="00C9040A">
        <w:rPr>
          <w:rtl/>
          <w:lang w:bidi="fa-IR"/>
        </w:rPr>
        <w:t xml:space="preserve"> مِثْلُ أَجْرِ الصَّائِمِ الْقَائِمِ ؛ وَمَنْ أَدْرَكَ قَائِمَنَا ، فَخَرَجَ مَعَهُ ، فَقَتَلَ عَدُوَّنَا ، كَانَ لَهُ مِثْلُ أَجْرِ عِشْرِينَ شَهِيداً ؛ وَمَنْ قُتِلَ مَعَ‌</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المحاسن : « كثرة الصبر »</w:t>
      </w:r>
      <w:r w:rsidR="008A74EB">
        <w:rPr>
          <w:rtl/>
        </w:rPr>
        <w:t>.</w:t>
      </w:r>
    </w:p>
    <w:p w:rsidR="008A74EB" w:rsidRPr="00C9040A" w:rsidRDefault="006C577F" w:rsidP="00A20F50">
      <w:pPr>
        <w:pStyle w:val="libFootnote0"/>
        <w:rPr>
          <w:rtl/>
          <w:lang w:bidi="fa-IR"/>
        </w:rPr>
      </w:pPr>
      <w:r>
        <w:rPr>
          <w:rtl/>
        </w:rPr>
        <w:t>(2).</w:t>
      </w:r>
      <w:r w:rsidR="008A74EB">
        <w:rPr>
          <w:rtl/>
        </w:rPr>
        <w:t xml:space="preserve"> </w:t>
      </w:r>
      <w:r w:rsidR="008A74EB" w:rsidRPr="00993B55">
        <w:rPr>
          <w:rStyle w:val="libFootnoteBoldChar"/>
          <w:rtl/>
        </w:rPr>
        <w:t>المحاسن</w:t>
      </w:r>
      <w:r w:rsidR="008A74EB" w:rsidRPr="00C9040A">
        <w:rPr>
          <w:rtl/>
        </w:rPr>
        <w:t xml:space="preserve"> ، ص 255 ، كتاب مصابيح الظلم ، ح 285 ، عن أبيه ، عن محمّد بن سنان</w:t>
      </w:r>
      <w:r w:rsidR="00A20F50">
        <w:rPr>
          <w:rFonts w:hint="cs"/>
          <w:rtl/>
        </w:rPr>
        <w:t>.</w:t>
      </w:r>
      <w:r w:rsidR="008A74EB" w:rsidRPr="00993B55">
        <w:rPr>
          <w:rStyle w:val="libFootnoteBoldChar"/>
          <w:rtl/>
        </w:rPr>
        <w:t>الوافي</w:t>
      </w:r>
      <w:r w:rsidR="008A74EB" w:rsidRPr="00C9040A">
        <w:rPr>
          <w:rtl/>
        </w:rPr>
        <w:t xml:space="preserve"> ، ج 5 ، ص 697 ، ح 2901 ؛ </w:t>
      </w:r>
      <w:r w:rsidR="008A74EB" w:rsidRPr="00993B55">
        <w:rPr>
          <w:rStyle w:val="libFootnoteBoldChar"/>
          <w:rtl/>
        </w:rPr>
        <w:t>الوسائل</w:t>
      </w:r>
      <w:r w:rsidR="008A74EB" w:rsidRPr="00C9040A">
        <w:rPr>
          <w:rtl/>
        </w:rPr>
        <w:t xml:space="preserve"> ، ج 16 ، ص 236 ، ح 21449 ؛ </w:t>
      </w:r>
      <w:r w:rsidR="008A74EB" w:rsidRPr="00993B55">
        <w:rPr>
          <w:rStyle w:val="libFootnoteBoldChar"/>
          <w:rtl/>
        </w:rPr>
        <w:t>البحار</w:t>
      </w:r>
      <w:r w:rsidR="008A74EB" w:rsidRPr="00C9040A">
        <w:rPr>
          <w:rtl/>
        </w:rPr>
        <w:t xml:space="preserve"> ، ج 75 ، ص 72 ، ح 19.</w:t>
      </w:r>
    </w:p>
    <w:p w:rsidR="008A74EB" w:rsidRPr="00C9040A" w:rsidRDefault="006C577F" w:rsidP="00A20F50">
      <w:pPr>
        <w:pStyle w:val="libFootnote0"/>
        <w:rPr>
          <w:rtl/>
          <w:lang w:bidi="fa-IR"/>
        </w:rPr>
      </w:pPr>
      <w:r>
        <w:rPr>
          <w:rtl/>
        </w:rPr>
        <w:t>(3).</w:t>
      </w:r>
      <w:r w:rsidR="008A74EB" w:rsidRPr="00C9040A">
        <w:rPr>
          <w:rtl/>
        </w:rPr>
        <w:t xml:space="preserve"> </w:t>
      </w:r>
      <w:r w:rsidR="008A74EB" w:rsidRPr="00993B55">
        <w:rPr>
          <w:rStyle w:val="libFootnoteBoldChar"/>
          <w:rtl/>
        </w:rPr>
        <w:t>المحاسن</w:t>
      </w:r>
      <w:r w:rsidR="008A74EB" w:rsidRPr="00C9040A">
        <w:rPr>
          <w:rtl/>
        </w:rPr>
        <w:t xml:space="preserve"> ، ص 257 ، كتاب مصابيح الظلم ، ح 295 ، عن أبيه ، عن محمّد بن أبي‌عمير</w:t>
      </w:r>
      <w:r w:rsidR="00A20F50">
        <w:rPr>
          <w:rFonts w:hint="cs"/>
          <w:rtl/>
        </w:rPr>
        <w:t>.</w:t>
      </w:r>
      <w:r w:rsidR="008A74EB" w:rsidRPr="00993B55">
        <w:rPr>
          <w:rStyle w:val="libFootnoteBoldChar"/>
          <w:rtl/>
        </w:rPr>
        <w:t>الوافي</w:t>
      </w:r>
      <w:r w:rsidR="008A74EB" w:rsidRPr="00C9040A">
        <w:rPr>
          <w:rtl/>
        </w:rPr>
        <w:t xml:space="preserve"> ، ج 5 ، ص 697 ، ح 2902 ؛ </w:t>
      </w:r>
      <w:r w:rsidR="008A74EB" w:rsidRPr="00993B55">
        <w:rPr>
          <w:rStyle w:val="libFootnoteBoldChar"/>
          <w:rtl/>
        </w:rPr>
        <w:t>الوسائل</w:t>
      </w:r>
      <w:r w:rsidR="008A74EB" w:rsidRPr="00C9040A">
        <w:rPr>
          <w:rtl/>
        </w:rPr>
        <w:t xml:space="preserve"> ، ج 16 ، ص 235 ، ح 21447 ؛ </w:t>
      </w:r>
      <w:r w:rsidR="008A74EB" w:rsidRPr="00993B55">
        <w:rPr>
          <w:rStyle w:val="libFootnoteBoldChar"/>
          <w:rtl/>
        </w:rPr>
        <w:t>البحار</w:t>
      </w:r>
      <w:r w:rsidR="008A74EB" w:rsidRPr="00C9040A">
        <w:rPr>
          <w:rtl/>
        </w:rPr>
        <w:t xml:space="preserve"> ، ج 75 ، ص 72 ، ح 20.</w:t>
      </w:r>
    </w:p>
    <w:p w:rsidR="008A74EB" w:rsidRPr="00C9040A" w:rsidRDefault="006C577F" w:rsidP="004A4E41">
      <w:pPr>
        <w:pStyle w:val="libFootnote0"/>
        <w:rPr>
          <w:rtl/>
          <w:lang w:bidi="fa-IR"/>
        </w:rPr>
      </w:pPr>
      <w:r>
        <w:rPr>
          <w:rtl/>
        </w:rPr>
        <w:t>(4).</w:t>
      </w:r>
      <w:r w:rsidR="008A74EB" w:rsidRPr="00C9040A">
        <w:rPr>
          <w:rtl/>
        </w:rPr>
        <w:t xml:space="preserve"> في « بر » : « دخل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عاد بمعروفه عَوْداً : أفضل. والاسم : العائدة. والعائدة : العطف والمنفعة. يقال : هذا الشي‌ء أعود عليك من‌كذا ، أي‌أنفع. </w:t>
      </w:r>
      <w:r w:rsidR="008A74EB" w:rsidRPr="00993B55">
        <w:rPr>
          <w:rStyle w:val="libFootnoteBoldChar"/>
          <w:rtl/>
        </w:rPr>
        <w:t>المصباح المنير</w:t>
      </w:r>
      <w:r w:rsidR="008A74EB" w:rsidRPr="00C9040A">
        <w:rPr>
          <w:rtl/>
        </w:rPr>
        <w:t xml:space="preserve"> ، ص 426 ؛ </w:t>
      </w:r>
      <w:r w:rsidR="008A74EB" w:rsidRPr="00993B55">
        <w:rPr>
          <w:rStyle w:val="libFootnoteBoldChar"/>
          <w:rtl/>
        </w:rPr>
        <w:t>الصحاح</w:t>
      </w:r>
      <w:r w:rsidR="008A74EB" w:rsidRPr="00C9040A">
        <w:rPr>
          <w:rtl/>
        </w:rPr>
        <w:t xml:space="preserve"> ، ج 2 ، ص 514 ( عود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بثثت الشي‌ءَ والخبرَ : نشرته. </w:t>
      </w:r>
      <w:r w:rsidR="008A74EB" w:rsidRPr="00993B55">
        <w:rPr>
          <w:rStyle w:val="libFootnoteBoldChar"/>
          <w:rtl/>
        </w:rPr>
        <w:t>ترتيب كتاب العين</w:t>
      </w:r>
      <w:r w:rsidR="008A74EB" w:rsidRPr="00C9040A">
        <w:rPr>
          <w:rtl/>
        </w:rPr>
        <w:t xml:space="preserve"> ، ص 68 ( بثث )</w:t>
      </w:r>
      <w:r w:rsidR="008A74EB">
        <w:rPr>
          <w:rtl/>
        </w:rPr>
        <w:t>.</w:t>
      </w:r>
    </w:p>
    <w:tbl>
      <w:tblPr>
        <w:tblStyle w:val="TableGrid"/>
        <w:bidiVisual/>
        <w:tblW w:w="0" w:type="auto"/>
        <w:tblLook w:val="04A0" w:firstRow="1" w:lastRow="0" w:firstColumn="1" w:lastColumn="0" w:noHBand="0" w:noVBand="1"/>
      </w:tblPr>
      <w:tblGrid>
        <w:gridCol w:w="4006"/>
        <w:gridCol w:w="4006"/>
      </w:tblGrid>
      <w:tr w:rsidR="00A20F50" w:rsidTr="00A20F50">
        <w:tc>
          <w:tcPr>
            <w:tcW w:w="4006" w:type="dxa"/>
          </w:tcPr>
          <w:p w:rsidR="00A20F50" w:rsidRDefault="00A20F50" w:rsidP="004A4E41">
            <w:pPr>
              <w:pStyle w:val="libFootnote0"/>
              <w:rPr>
                <w:rtl/>
              </w:rPr>
            </w:pPr>
            <w:r>
              <w:rPr>
                <w:rtl/>
              </w:rPr>
              <w:t>(7).</w:t>
            </w:r>
            <w:r w:rsidRPr="00C9040A">
              <w:rPr>
                <w:rtl/>
              </w:rPr>
              <w:t xml:space="preserve"> في « ض ، بس » : « فإذا »</w:t>
            </w:r>
            <w:r>
              <w:rPr>
                <w:rtl/>
              </w:rPr>
              <w:t>.</w:t>
            </w:r>
          </w:p>
        </w:tc>
        <w:tc>
          <w:tcPr>
            <w:tcW w:w="4006" w:type="dxa"/>
          </w:tcPr>
          <w:p w:rsidR="00A20F50" w:rsidRDefault="00A20F50" w:rsidP="004A4E41">
            <w:pPr>
              <w:pStyle w:val="libFootnote0"/>
              <w:rPr>
                <w:rtl/>
              </w:rPr>
            </w:pPr>
            <w:r>
              <w:rPr>
                <w:rtl/>
              </w:rPr>
              <w:t>(8).</w:t>
            </w:r>
            <w:r w:rsidRPr="00C9040A">
              <w:rPr>
                <w:rtl/>
              </w:rPr>
              <w:t xml:space="preserve"> في « ص » : « عنه »</w:t>
            </w:r>
            <w:r>
              <w:rPr>
                <w:rtl/>
              </w:rPr>
              <w:t>.</w:t>
            </w:r>
          </w:p>
        </w:tc>
      </w:tr>
    </w:tbl>
    <w:p w:rsidR="008A74EB" w:rsidRPr="00C9040A" w:rsidRDefault="006C577F" w:rsidP="004A4E41">
      <w:pPr>
        <w:pStyle w:val="libFootnote0"/>
        <w:rPr>
          <w:rtl/>
          <w:lang w:bidi="fa-IR"/>
        </w:rPr>
      </w:pPr>
      <w:r>
        <w:rPr>
          <w:rtl/>
        </w:rPr>
        <w:t>(9).</w:t>
      </w:r>
      <w:r w:rsidR="008A74EB" w:rsidRPr="00C9040A">
        <w:rPr>
          <w:rtl/>
        </w:rPr>
        <w:t xml:space="preserve"> في « بر » : + « أجر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F20EC3">
      <w:pPr>
        <w:pStyle w:val="libNormal0"/>
        <w:rPr>
          <w:rtl/>
          <w:lang w:bidi="fa-IR"/>
        </w:rPr>
      </w:pPr>
      <w:r w:rsidRPr="00C9040A">
        <w:rPr>
          <w:rtl/>
          <w:lang w:bidi="fa-IR"/>
        </w:rPr>
        <w:t>قَائِمِنَا ، كَانَ لَهُ مِثْلُ أَجْرِ خَمْسَةٍ وَعِشْرِينَ شَهِيداً »</w:t>
      </w:r>
      <w:r>
        <w:rPr>
          <w:rtl/>
          <w:lang w:bidi="fa-IR"/>
        </w:rPr>
        <w:t>.</w:t>
      </w:r>
      <w:r w:rsidRPr="00C9040A">
        <w:rPr>
          <w:rtl/>
          <w:lang w:bidi="fa-IR"/>
        </w:rPr>
        <w:t xml:space="preserve"> </w:t>
      </w:r>
      <w:r w:rsidR="006C577F" w:rsidRPr="006C577F">
        <w:rPr>
          <w:rStyle w:val="libFootnotenumChar"/>
          <w:rtl/>
        </w:rPr>
        <w:t>(1)</w:t>
      </w:r>
    </w:p>
    <w:p w:rsidR="008A74EB" w:rsidRPr="00C9040A" w:rsidRDefault="008A74EB" w:rsidP="008A74EB">
      <w:pPr>
        <w:pStyle w:val="libNormal"/>
        <w:rPr>
          <w:rtl/>
          <w:lang w:bidi="fa-IR"/>
        </w:rPr>
      </w:pPr>
      <w:r w:rsidRPr="004C0078">
        <w:rPr>
          <w:rtl/>
        </w:rPr>
        <w:t>2268</w:t>
      </w:r>
      <w:r w:rsidRPr="00261CB0">
        <w:rPr>
          <w:rStyle w:val="libBold2Char"/>
          <w:rtl/>
        </w:rPr>
        <w:t xml:space="preserve"> / 5.</w:t>
      </w:r>
      <w:r w:rsidRPr="00C9040A">
        <w:rPr>
          <w:rtl/>
          <w:lang w:bidi="fa-IR"/>
        </w:rPr>
        <w:t xml:space="preserve"> عَنْهُ ، عَنْ أَحْمَدَ بْنِ مُحَمَّدٍ ، عَنْ مُحَمَّدِ </w:t>
      </w:r>
      <w:r w:rsidR="006C577F" w:rsidRPr="006C577F">
        <w:rPr>
          <w:rStyle w:val="libFootnotenumChar"/>
          <w:rtl/>
        </w:rPr>
        <w:t>(2)</w:t>
      </w:r>
      <w:r w:rsidRPr="00C9040A">
        <w:rPr>
          <w:rtl/>
          <w:lang w:bidi="fa-IR"/>
        </w:rPr>
        <w:t xml:space="preserve"> بْنِ سِنَانٍ ، عَنْ عَبْدِ الْأَعْلى ، قَالَ :</w:t>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 « إِنَّهُ لَيْسَ مِنِ </w:t>
      </w:r>
      <w:r w:rsidR="006C577F" w:rsidRPr="006C577F">
        <w:rPr>
          <w:rStyle w:val="libFootnotenumChar"/>
          <w:rtl/>
        </w:rPr>
        <w:t>(3)</w:t>
      </w:r>
      <w:r w:rsidRPr="00C9040A">
        <w:rPr>
          <w:rtl/>
          <w:lang w:bidi="fa-IR"/>
        </w:rPr>
        <w:t xml:space="preserve"> احْتِمَالِ أَمْرِنَا التَّصْدِيقُ لَهُ وَالْقَبُولُ فَقَطُّ ؛ مِنِ </w:t>
      </w:r>
      <w:r w:rsidR="006C577F" w:rsidRPr="006C577F">
        <w:rPr>
          <w:rStyle w:val="libFootnotenumChar"/>
          <w:rtl/>
        </w:rPr>
        <w:t>(4)</w:t>
      </w:r>
      <w:r w:rsidRPr="00C9040A">
        <w:rPr>
          <w:rtl/>
          <w:lang w:bidi="fa-IR"/>
        </w:rPr>
        <w:t xml:space="preserve"> احْتِمَالِ أَمْرِنَا سَتْرُهُ وَصِيَانَتُهُ مِنْ </w:t>
      </w:r>
      <w:r w:rsidR="006C577F" w:rsidRPr="006C577F">
        <w:rPr>
          <w:rStyle w:val="libFootnotenumChar"/>
          <w:rtl/>
        </w:rPr>
        <w:t>(5)</w:t>
      </w:r>
      <w:r w:rsidRPr="00C9040A">
        <w:rPr>
          <w:rtl/>
          <w:lang w:bidi="fa-IR"/>
        </w:rPr>
        <w:t xml:space="preserve"> غَيْرِ أَهْلِهِ ، فَأَقْرِئْهُمُ </w:t>
      </w:r>
      <w:r w:rsidR="006C577F" w:rsidRPr="006C577F">
        <w:rPr>
          <w:rStyle w:val="libFootnotenumChar"/>
          <w:rtl/>
        </w:rPr>
        <w:t>(6)</w:t>
      </w:r>
      <w:r w:rsidRPr="005B567D">
        <w:rPr>
          <w:rStyle w:val="libFootnotenumChar"/>
          <w:rtl/>
        </w:rPr>
        <w:t xml:space="preserve"> </w:t>
      </w:r>
      <w:r w:rsidRPr="00C9040A">
        <w:rPr>
          <w:rtl/>
          <w:lang w:bidi="fa-IR"/>
        </w:rPr>
        <w:t>السَّلَامَ ، وَقُلْ لَهُمْ :</w:t>
      </w:r>
    </w:p>
    <w:p w:rsidR="008A74EB" w:rsidRPr="00C9040A" w:rsidRDefault="008A74EB" w:rsidP="008A74EB">
      <w:pPr>
        <w:pStyle w:val="libNormal"/>
        <w:rPr>
          <w:rtl/>
          <w:lang w:bidi="fa-IR"/>
        </w:rPr>
      </w:pPr>
      <w:r w:rsidRPr="00C9040A">
        <w:rPr>
          <w:rtl/>
          <w:lang w:bidi="fa-IR"/>
        </w:rPr>
        <w:t xml:space="preserve">رَحِمَ اللهُ عَبْداً اجْتَرَّ </w:t>
      </w:r>
      <w:r w:rsidR="006C577F" w:rsidRPr="006C577F">
        <w:rPr>
          <w:rStyle w:val="libFootnotenumChar"/>
          <w:rtl/>
        </w:rPr>
        <w:t>(7)</w:t>
      </w:r>
      <w:r w:rsidRPr="00C9040A">
        <w:rPr>
          <w:rtl/>
          <w:lang w:bidi="fa-IR"/>
        </w:rPr>
        <w:t xml:space="preserve"> مَوَدَّةَ النَّاسِ إِلى نَفْسِهِ </w:t>
      </w:r>
      <w:r w:rsidR="006C577F" w:rsidRPr="006C577F">
        <w:rPr>
          <w:rStyle w:val="libFootnotenumChar"/>
          <w:rtl/>
        </w:rPr>
        <w:t>(8)</w:t>
      </w:r>
      <w:r w:rsidRPr="00C9040A">
        <w:rPr>
          <w:rtl/>
          <w:lang w:bidi="fa-IR"/>
        </w:rPr>
        <w:t xml:space="preserve"> ، حَدِّثُوهُمْ بِمَا يَعْرِفُونَ </w:t>
      </w:r>
      <w:r w:rsidR="006C577F" w:rsidRPr="006C577F">
        <w:rPr>
          <w:rStyle w:val="libFootnotenumChar"/>
          <w:rtl/>
        </w:rPr>
        <w:t>(9)</w:t>
      </w:r>
      <w:r w:rsidRPr="00C9040A">
        <w:rPr>
          <w:rtl/>
          <w:lang w:bidi="fa-IR"/>
        </w:rPr>
        <w:t xml:space="preserve"> ، وَاسْتُرُوا عَنْهُمْ مَا يُنْكِرُونَ </w:t>
      </w:r>
      <w:r w:rsidR="006C577F" w:rsidRPr="006C577F">
        <w:rPr>
          <w:rStyle w:val="libFootnotenumChar"/>
          <w:rtl/>
        </w:rPr>
        <w:t>(10)</w:t>
      </w:r>
      <w:r w:rsidRPr="00C9040A">
        <w:rPr>
          <w:rtl/>
          <w:lang w:bidi="fa-IR"/>
        </w:rPr>
        <w:t xml:space="preserve"> »</w:t>
      </w:r>
      <w:r>
        <w:rPr>
          <w:rtl/>
          <w:lang w:bidi="fa-IR"/>
        </w:rPr>
        <w:t>.</w:t>
      </w:r>
    </w:p>
    <w:p w:rsidR="008A74EB" w:rsidRPr="00C9040A" w:rsidRDefault="008A74EB" w:rsidP="008A74EB">
      <w:pPr>
        <w:pStyle w:val="libNormal"/>
        <w:rPr>
          <w:rtl/>
          <w:lang w:bidi="fa-IR"/>
        </w:rPr>
      </w:pPr>
      <w:r w:rsidRPr="00C9040A">
        <w:rPr>
          <w:rtl/>
          <w:lang w:bidi="fa-IR"/>
        </w:rPr>
        <w:t xml:space="preserve">ثُمَّ قَالَ : « وَاللهِ ، مَا النَّاصِبُ لَنَا حَرْباً بِأَشَدَّ عَلَيْنَا مَؤُونَةً مِنَ النَّاطِقِ عَلَيْنَا بِمَا نَكْرَهُ ، فَإِذَا عَرَفْتُمْ مِنْ عَبْدٍ إِذَاعَةً ، فَامْشُوا إِلَيْهِ وَرُدُّوهُ عَنْهَا ، فَإِنْ قَبِلَ </w:t>
      </w:r>
      <w:r w:rsidR="006C577F" w:rsidRPr="006C577F">
        <w:rPr>
          <w:rStyle w:val="libFootnotenumChar"/>
          <w:rtl/>
        </w:rPr>
        <w:t>(11)</w:t>
      </w:r>
      <w:r w:rsidR="00F20EC3">
        <w:rPr>
          <w:rtl/>
          <w:lang w:bidi="fa-IR"/>
        </w:rPr>
        <w:t xml:space="preserve"> مِنْكُمْ ، وَإِل</w:t>
      </w:r>
      <w:r w:rsidR="00F20EC3">
        <w:rPr>
          <w:rFonts w:hint="cs"/>
          <w:rtl/>
          <w:lang w:bidi="fa-IR"/>
        </w:rPr>
        <w:t>َّ</w:t>
      </w:r>
      <w:r w:rsidR="00F20EC3">
        <w:rPr>
          <w:rtl/>
          <w:lang w:bidi="fa-IR"/>
        </w:rPr>
        <w:t>ا</w:t>
      </w:r>
      <w:r w:rsidRPr="00C9040A">
        <w:rPr>
          <w:rtl/>
          <w:lang w:bidi="fa-IR"/>
        </w:rPr>
        <w:t xml:space="preserve"> فَتَحَمَّلُوا عَلَيْهِ بِمَنْ </w:t>
      </w:r>
      <w:r w:rsidR="006C577F" w:rsidRPr="006C577F">
        <w:rPr>
          <w:rStyle w:val="libFootnotenumChar"/>
          <w:rtl/>
        </w:rPr>
        <w:t>(12)</w:t>
      </w:r>
      <w:r w:rsidRPr="00C9040A">
        <w:rPr>
          <w:rtl/>
          <w:lang w:bidi="fa-IR"/>
        </w:rPr>
        <w:t xml:space="preserve"> يُثَقِّلُ عَلَيْهِ وَيَسْمَعُ مِنْهُ ، فَإِنَّ الرَّجُلَ مِنْكُمْ يَطْلُبُ الْحَاجَةَ ، فَيَلْطُفُ </w:t>
      </w:r>
      <w:r w:rsidRPr="005B567D">
        <w:rPr>
          <w:rStyle w:val="libFootnotenumChar"/>
          <w:rtl/>
        </w:rPr>
        <w:t>(13)</w:t>
      </w:r>
      <w:r w:rsidRPr="00C9040A">
        <w:rPr>
          <w:rtl/>
          <w:lang w:bidi="fa-IR"/>
        </w:rPr>
        <w:t xml:space="preserve"> فِيهَا حَتّى تُقْضى لَهُ ، فَالْطُفُوا فِي حَاجَتِي كَمَا تَلْطُفُونَ فِي حَوَائِجِكُمْ ، فَإِنْ‌</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F20EC3">
      <w:pPr>
        <w:pStyle w:val="libFootnote0"/>
        <w:rPr>
          <w:rtl/>
          <w:lang w:bidi="fa-IR"/>
        </w:rPr>
      </w:pPr>
      <w:r>
        <w:rPr>
          <w:rtl/>
        </w:rPr>
        <w:t>(1).</w:t>
      </w:r>
      <w:r w:rsidR="008A74EB">
        <w:rPr>
          <w:rtl/>
        </w:rPr>
        <w:t xml:space="preserve"> </w:t>
      </w:r>
      <w:r w:rsidR="008A74EB" w:rsidRPr="00993B55">
        <w:rPr>
          <w:rStyle w:val="libFootnoteBoldChar"/>
          <w:rtl/>
        </w:rPr>
        <w:t>الأمالي</w:t>
      </w:r>
      <w:r w:rsidR="008A74EB" w:rsidRPr="00C9040A">
        <w:rPr>
          <w:rtl/>
        </w:rPr>
        <w:t xml:space="preserve"> للطوسي ، ص 231 ، المجلس 9 ، ح 2 ، بسنده عن الكليني ، عن عليّ بن إبراهيم ، عن أبيه ، عن محمّد بن عيسى ، عن يونس بن عبدالرحمن ، عن عمرو بن شمر ، عن جابر ، عن أبي‌جعفر </w:t>
      </w:r>
      <w:r w:rsidR="00117575" w:rsidRPr="00117575">
        <w:rPr>
          <w:rStyle w:val="libFootnoteAlaemChar"/>
          <w:rtl/>
        </w:rPr>
        <w:t>عليه‌السلام</w:t>
      </w:r>
      <w:r w:rsidR="008A74EB" w:rsidRPr="00C9040A">
        <w:rPr>
          <w:rtl/>
        </w:rPr>
        <w:t xml:space="preserve"> ، مع اختلاف يسير. وفي </w:t>
      </w:r>
      <w:r w:rsidR="008A74EB" w:rsidRPr="00993B55">
        <w:rPr>
          <w:rStyle w:val="libFootnoteBoldChar"/>
          <w:rtl/>
        </w:rPr>
        <w:t>الكافي</w:t>
      </w:r>
      <w:r w:rsidR="008A74EB" w:rsidRPr="00C9040A">
        <w:rPr>
          <w:rtl/>
        </w:rPr>
        <w:t xml:space="preserve"> ، كتاب فضل العلم ، باب الأخذ بالسنّة وشواهد الكتاب ، ح 204 ، بسند آخر عن أبي عبدالله </w:t>
      </w:r>
      <w:r w:rsidR="00117575" w:rsidRPr="00117575">
        <w:rPr>
          <w:rStyle w:val="libFootnoteAlaemChar"/>
          <w:rtl/>
        </w:rPr>
        <w:t>عليه‌السلام</w:t>
      </w:r>
      <w:r w:rsidR="008A74EB" w:rsidRPr="00C9040A">
        <w:rPr>
          <w:rtl/>
        </w:rPr>
        <w:t xml:space="preserve"> ، من قوله : « وإذا جاءك</w:t>
      </w:r>
      <w:r w:rsidR="00F20EC3">
        <w:rPr>
          <w:rtl/>
        </w:rPr>
        <w:t>م عنّا حديث » إلى قوله : « وإل</w:t>
      </w:r>
      <w:r w:rsidR="00F20EC3">
        <w:rPr>
          <w:rFonts w:hint="cs"/>
          <w:rtl/>
        </w:rPr>
        <w:t>ّ</w:t>
      </w:r>
      <w:r w:rsidR="00F20EC3">
        <w:rPr>
          <w:rtl/>
        </w:rPr>
        <w:t>ا</w:t>
      </w:r>
      <w:r w:rsidR="008A74EB" w:rsidRPr="00C9040A">
        <w:rPr>
          <w:rtl/>
        </w:rPr>
        <w:t xml:space="preserve"> فقفوا عنده » مع اختلاف</w:t>
      </w:r>
      <w:r w:rsidR="00F20EC3">
        <w:rPr>
          <w:rFonts w:hint="cs"/>
          <w:rtl/>
        </w:rPr>
        <w:t>.</w:t>
      </w:r>
      <w:r w:rsidR="008A74EB" w:rsidRPr="00993B55">
        <w:rPr>
          <w:rStyle w:val="libFootnoteBoldChar"/>
          <w:rtl/>
        </w:rPr>
        <w:t>الوافي</w:t>
      </w:r>
      <w:r w:rsidR="008A74EB" w:rsidRPr="00C9040A">
        <w:rPr>
          <w:rtl/>
        </w:rPr>
        <w:t xml:space="preserve"> ، ج 5 ، ص 697 ، ح 2903 ؛ </w:t>
      </w:r>
      <w:r w:rsidR="008A74EB" w:rsidRPr="00993B55">
        <w:rPr>
          <w:rStyle w:val="libFootnoteBoldChar"/>
          <w:rtl/>
        </w:rPr>
        <w:t>الوسائل</w:t>
      </w:r>
      <w:r w:rsidR="008A74EB" w:rsidRPr="00C9040A">
        <w:rPr>
          <w:rtl/>
        </w:rPr>
        <w:t xml:space="preserve"> ، ج 16 ، ص 236 ، ح 21450 ، من قوله : « ليقو شديدكم ضعيفكم</w:t>
      </w:r>
      <w:r w:rsidR="008A74EB">
        <w:rPr>
          <w:rtl/>
        </w:rPr>
        <w:t xml:space="preserve"> </w:t>
      </w:r>
      <w:r w:rsidR="0084262C">
        <w:rPr>
          <w:rtl/>
        </w:rPr>
        <w:t>-</w:t>
      </w:r>
      <w:r w:rsidR="008A74EB">
        <w:rPr>
          <w:rtl/>
        </w:rPr>
        <w:t xml:space="preserve"> </w:t>
      </w:r>
      <w:r w:rsidR="008A74EB" w:rsidRPr="00C9040A">
        <w:rPr>
          <w:rtl/>
        </w:rPr>
        <w:t>إلى</w:t>
      </w:r>
      <w:r w:rsidR="008A74EB">
        <w:rPr>
          <w:rtl/>
        </w:rPr>
        <w:t xml:space="preserve"> </w:t>
      </w:r>
      <w:r w:rsidR="0084262C">
        <w:rPr>
          <w:rtl/>
        </w:rPr>
        <w:t>-</w:t>
      </w:r>
      <w:r w:rsidR="008A74EB">
        <w:rPr>
          <w:rtl/>
        </w:rPr>
        <w:t xml:space="preserve"> </w:t>
      </w:r>
      <w:r w:rsidR="008A74EB" w:rsidRPr="00C9040A">
        <w:rPr>
          <w:rtl/>
        </w:rPr>
        <w:t xml:space="preserve">ولا تذيعوا أمرنا » ؛ </w:t>
      </w:r>
      <w:r w:rsidR="008A74EB" w:rsidRPr="00993B55">
        <w:rPr>
          <w:rStyle w:val="libFootnoteBoldChar"/>
          <w:rtl/>
        </w:rPr>
        <w:t>البحار</w:t>
      </w:r>
      <w:r w:rsidR="008A74EB" w:rsidRPr="00C9040A">
        <w:rPr>
          <w:rtl/>
        </w:rPr>
        <w:t xml:space="preserve"> ، ج 75 ، ص 73 ، ح 21.</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w:t>
      </w:r>
      <w:r w:rsidR="006D3162">
        <w:rPr>
          <w:rtl/>
        </w:rPr>
        <w:t xml:space="preserve">ه </w:t>
      </w:r>
      <w:r w:rsidR="008A74EB" w:rsidRPr="00C9040A">
        <w:rPr>
          <w:rtl/>
        </w:rPr>
        <w:t xml:space="preserve">» </w:t>
      </w:r>
      <w:r w:rsidR="008A74EB">
        <w:rPr>
          <w:rtl/>
        </w:rPr>
        <w:t xml:space="preserve">: </w:t>
      </w:r>
      <w:r w:rsidR="0084262C">
        <w:rPr>
          <w:rtl/>
        </w:rPr>
        <w:t>-</w:t>
      </w:r>
      <w:r w:rsidR="008A74EB" w:rsidRPr="00C9040A">
        <w:rPr>
          <w:rtl/>
        </w:rPr>
        <w:t xml:space="preserve"> « محمّد »</w:t>
      </w:r>
      <w:r w:rsidR="008A74EB">
        <w:rPr>
          <w:rtl/>
        </w:rPr>
        <w:t>.</w:t>
      </w:r>
    </w:p>
    <w:tbl>
      <w:tblPr>
        <w:tblStyle w:val="TableGrid"/>
        <w:bidiVisual/>
        <w:tblW w:w="0" w:type="auto"/>
        <w:tblLook w:val="04A0" w:firstRow="1" w:lastRow="0" w:firstColumn="1" w:lastColumn="0" w:noHBand="0" w:noVBand="1"/>
      </w:tblPr>
      <w:tblGrid>
        <w:gridCol w:w="4006"/>
        <w:gridCol w:w="4006"/>
      </w:tblGrid>
      <w:tr w:rsidR="00F20EC3" w:rsidTr="00F20EC3">
        <w:tc>
          <w:tcPr>
            <w:tcW w:w="4006" w:type="dxa"/>
          </w:tcPr>
          <w:p w:rsidR="00F20EC3" w:rsidRDefault="00F20EC3" w:rsidP="004A4E41">
            <w:pPr>
              <w:pStyle w:val="libFootnote0"/>
              <w:rPr>
                <w:rtl/>
              </w:rPr>
            </w:pPr>
            <w:r>
              <w:rPr>
                <w:rtl/>
              </w:rPr>
              <w:t>(3).</w:t>
            </w:r>
            <w:r w:rsidRPr="00C9040A">
              <w:rPr>
                <w:rtl/>
              </w:rPr>
              <w:t xml:space="preserve"> في الوسائل </w:t>
            </w:r>
            <w:r>
              <w:rPr>
                <w:rtl/>
              </w:rPr>
              <w:t>: -</w:t>
            </w:r>
            <w:r w:rsidRPr="00C9040A">
              <w:rPr>
                <w:rtl/>
              </w:rPr>
              <w:t xml:space="preserve"> « من »</w:t>
            </w:r>
            <w:r>
              <w:rPr>
                <w:rtl/>
              </w:rPr>
              <w:t>.</w:t>
            </w:r>
          </w:p>
        </w:tc>
        <w:tc>
          <w:tcPr>
            <w:tcW w:w="4006" w:type="dxa"/>
          </w:tcPr>
          <w:p w:rsidR="00F20EC3" w:rsidRDefault="00F20EC3" w:rsidP="004A4E41">
            <w:pPr>
              <w:pStyle w:val="libFootnote0"/>
              <w:rPr>
                <w:rtl/>
              </w:rPr>
            </w:pPr>
            <w:r>
              <w:rPr>
                <w:rtl/>
              </w:rPr>
              <w:t>(4).</w:t>
            </w:r>
            <w:r w:rsidRPr="00C9040A">
              <w:rPr>
                <w:rtl/>
              </w:rPr>
              <w:t xml:space="preserve"> في « بس » : « مع »</w:t>
            </w:r>
            <w:r>
              <w:rPr>
                <w:rtl/>
              </w:rPr>
              <w:t>.</w:t>
            </w:r>
          </w:p>
        </w:tc>
      </w:tr>
    </w:tbl>
    <w:p w:rsidR="008A74EB" w:rsidRPr="00C9040A" w:rsidRDefault="006C577F" w:rsidP="004A4E41">
      <w:pPr>
        <w:pStyle w:val="libFootnote0"/>
        <w:rPr>
          <w:rtl/>
          <w:lang w:bidi="fa-IR"/>
        </w:rPr>
      </w:pPr>
      <w:r>
        <w:rPr>
          <w:rtl/>
        </w:rPr>
        <w:t>(5).</w:t>
      </w:r>
      <w:r w:rsidR="008A74EB" w:rsidRPr="00C9040A">
        <w:rPr>
          <w:rtl/>
        </w:rPr>
        <w:t xml:space="preserve"> في الوسائل : « عن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ض » : « فأقرهم »</w:t>
      </w:r>
      <w:r w:rsidR="008A74EB">
        <w:rPr>
          <w:rtl/>
        </w:rPr>
        <w:t>.</w:t>
      </w:r>
      <w:r w:rsidR="008A74EB" w:rsidRPr="00C9040A">
        <w:rPr>
          <w:rtl/>
        </w:rPr>
        <w:t xml:space="preserve"> أصله : أقرئهم ، فحذفت الهمزة بعد قلبها ياءً لكسرة ما قبلها.</w:t>
      </w:r>
    </w:p>
    <w:p w:rsidR="008A74EB" w:rsidRPr="00C9040A" w:rsidRDefault="006C577F" w:rsidP="004A4E41">
      <w:pPr>
        <w:pStyle w:val="libFootnote0"/>
        <w:rPr>
          <w:rtl/>
          <w:lang w:bidi="fa-IR"/>
        </w:rPr>
      </w:pPr>
      <w:r>
        <w:rPr>
          <w:rtl/>
        </w:rPr>
        <w:t>(7).</w:t>
      </w:r>
      <w:r w:rsidR="008A74EB" w:rsidRPr="00C9040A">
        <w:rPr>
          <w:rtl/>
        </w:rPr>
        <w:t xml:space="preserve"> « الجرّ » : الجَذْب ، كالاجترار والاجدِرار والاستجرار والتجرير. </w:t>
      </w:r>
      <w:r w:rsidR="008A74EB" w:rsidRPr="00993B55">
        <w:rPr>
          <w:rStyle w:val="libFootnoteBoldChar"/>
          <w:rtl/>
        </w:rPr>
        <w:t>القاموس المحيط</w:t>
      </w:r>
      <w:r w:rsidR="00F20EC3">
        <w:rPr>
          <w:rtl/>
        </w:rPr>
        <w:t xml:space="preserve"> ، ج 1 ، ص 518 ( جرر</w:t>
      </w:r>
      <w:r w:rsidR="008A74EB" w:rsidRPr="00C9040A">
        <w:rPr>
          <w:rtl/>
        </w:rPr>
        <w:t>)</w:t>
      </w:r>
      <w:r w:rsidR="008A74EB">
        <w:rPr>
          <w:rtl/>
        </w:rPr>
        <w:t>.</w:t>
      </w:r>
    </w:p>
    <w:tbl>
      <w:tblPr>
        <w:tblStyle w:val="TableGrid"/>
        <w:bidiVisual/>
        <w:tblW w:w="0" w:type="auto"/>
        <w:tblLook w:val="04A0" w:firstRow="1" w:lastRow="0" w:firstColumn="1" w:lastColumn="0" w:noHBand="0" w:noVBand="1"/>
      </w:tblPr>
      <w:tblGrid>
        <w:gridCol w:w="4006"/>
        <w:gridCol w:w="4006"/>
      </w:tblGrid>
      <w:tr w:rsidR="00F20EC3" w:rsidTr="00F20EC3">
        <w:tc>
          <w:tcPr>
            <w:tcW w:w="4006" w:type="dxa"/>
          </w:tcPr>
          <w:p w:rsidR="00F20EC3" w:rsidRDefault="00F20EC3" w:rsidP="004A4E41">
            <w:pPr>
              <w:pStyle w:val="libFootnote0"/>
              <w:rPr>
                <w:rtl/>
                <w:lang w:bidi="fa-IR"/>
              </w:rPr>
            </w:pPr>
            <w:r>
              <w:rPr>
                <w:rtl/>
              </w:rPr>
              <w:t>(8).</w:t>
            </w:r>
            <w:r w:rsidRPr="00C9040A">
              <w:rPr>
                <w:rtl/>
              </w:rPr>
              <w:t xml:space="preserve"> في الوسائل : « إلينا » بدل « إلى نفسه »</w:t>
            </w:r>
            <w:r>
              <w:rPr>
                <w:rtl/>
              </w:rPr>
              <w:t>.</w:t>
            </w:r>
          </w:p>
        </w:tc>
        <w:tc>
          <w:tcPr>
            <w:tcW w:w="4006" w:type="dxa"/>
          </w:tcPr>
          <w:p w:rsidR="00F20EC3" w:rsidRDefault="00F20EC3" w:rsidP="004A4E41">
            <w:pPr>
              <w:pStyle w:val="libFootnote0"/>
              <w:rPr>
                <w:rtl/>
                <w:lang w:bidi="fa-IR"/>
              </w:rPr>
            </w:pPr>
            <w:r>
              <w:rPr>
                <w:rtl/>
              </w:rPr>
              <w:t>(9).</w:t>
            </w:r>
            <w:r w:rsidRPr="00C9040A">
              <w:rPr>
                <w:rtl/>
              </w:rPr>
              <w:t xml:space="preserve"> في « ز ، بس ، بف » : « تعرفون »</w:t>
            </w:r>
            <w:r>
              <w:rPr>
                <w:rtl/>
              </w:rPr>
              <w:t>.</w:t>
            </w:r>
          </w:p>
        </w:tc>
      </w:tr>
      <w:tr w:rsidR="00F20EC3" w:rsidTr="00F20EC3">
        <w:tc>
          <w:tcPr>
            <w:tcW w:w="4006" w:type="dxa"/>
          </w:tcPr>
          <w:p w:rsidR="00F20EC3" w:rsidRDefault="00F20EC3" w:rsidP="004A4E41">
            <w:pPr>
              <w:pStyle w:val="libFootnote0"/>
              <w:rPr>
                <w:rtl/>
                <w:lang w:bidi="fa-IR"/>
              </w:rPr>
            </w:pPr>
            <w:r>
              <w:rPr>
                <w:rtl/>
              </w:rPr>
              <w:t>(10).</w:t>
            </w:r>
            <w:r w:rsidRPr="00C9040A">
              <w:rPr>
                <w:rtl/>
              </w:rPr>
              <w:t xml:space="preserve"> في « ز ، بس » : « تنكرون »</w:t>
            </w:r>
            <w:r>
              <w:rPr>
                <w:rtl/>
              </w:rPr>
              <w:t>.</w:t>
            </w:r>
          </w:p>
        </w:tc>
        <w:tc>
          <w:tcPr>
            <w:tcW w:w="4006" w:type="dxa"/>
          </w:tcPr>
          <w:p w:rsidR="00F20EC3" w:rsidRDefault="00F20EC3" w:rsidP="004A4E41">
            <w:pPr>
              <w:pStyle w:val="libFootnote0"/>
              <w:rPr>
                <w:rtl/>
                <w:lang w:bidi="fa-IR"/>
              </w:rPr>
            </w:pPr>
            <w:r>
              <w:rPr>
                <w:rtl/>
              </w:rPr>
              <w:t>(11).</w:t>
            </w:r>
            <w:r w:rsidRPr="00C9040A">
              <w:rPr>
                <w:rtl/>
              </w:rPr>
              <w:t xml:space="preserve"> في « ز ، ب</w:t>
            </w:r>
            <w:r>
              <w:rPr>
                <w:rtl/>
              </w:rPr>
              <w:t>س » وحاشية « د ، بف »:« قبلوا</w:t>
            </w:r>
            <w:r w:rsidRPr="00C9040A">
              <w:rPr>
                <w:rtl/>
              </w:rPr>
              <w:t>»</w:t>
            </w:r>
            <w:r>
              <w:rPr>
                <w:rtl/>
              </w:rPr>
              <w:t>.</w:t>
            </w:r>
          </w:p>
        </w:tc>
      </w:tr>
    </w:tbl>
    <w:p w:rsidR="008A74EB" w:rsidRPr="00C9040A" w:rsidRDefault="006C577F" w:rsidP="004A4E41">
      <w:pPr>
        <w:pStyle w:val="libFootnote0"/>
        <w:rPr>
          <w:rtl/>
          <w:lang w:bidi="fa-IR"/>
        </w:rPr>
      </w:pPr>
      <w:r>
        <w:rPr>
          <w:rtl/>
        </w:rPr>
        <w:t>(12).</w:t>
      </w:r>
      <w:r w:rsidR="008A74EB" w:rsidRPr="00C9040A">
        <w:rPr>
          <w:rtl/>
        </w:rPr>
        <w:t xml:space="preserve"> في « ب » وحاشية « ف » ومرآة العقول : « من »</w:t>
      </w:r>
      <w:r w:rsidR="008A74EB">
        <w:rPr>
          <w:rtl/>
        </w:rPr>
        <w:t>.</w:t>
      </w:r>
    </w:p>
    <w:p w:rsidR="008A74EB" w:rsidRPr="00C9040A" w:rsidRDefault="008A74EB" w:rsidP="004A4E41">
      <w:pPr>
        <w:pStyle w:val="libFootnote0"/>
        <w:rPr>
          <w:rtl/>
          <w:lang w:bidi="fa-IR"/>
        </w:rPr>
      </w:pPr>
      <w:r>
        <w:rPr>
          <w:rtl/>
        </w:rPr>
        <w:t>(13)</w:t>
      </w:r>
      <w:r w:rsidRPr="00C9040A">
        <w:rPr>
          <w:rtl/>
        </w:rPr>
        <w:t xml:space="preserve"> اللُّطْف في العمل : الرِّفق فيه. </w:t>
      </w:r>
      <w:r w:rsidRPr="00993B55">
        <w:rPr>
          <w:rStyle w:val="libFootnoteBoldChar"/>
          <w:rtl/>
        </w:rPr>
        <w:t>الصحاح</w:t>
      </w:r>
      <w:r w:rsidRPr="00C9040A">
        <w:rPr>
          <w:rtl/>
        </w:rPr>
        <w:t xml:space="preserve"> ، ج 4 ، ص 1427 ( لطف )</w:t>
      </w:r>
      <w:r>
        <w:rPr>
          <w:rtl/>
        </w:rPr>
        <w:t>.</w:t>
      </w:r>
    </w:p>
    <w:p w:rsidR="004B7F34" w:rsidRDefault="004B7F34" w:rsidP="004B7F34">
      <w:pPr>
        <w:pStyle w:val="libNormal"/>
        <w:rPr>
          <w:rtl/>
          <w:lang w:bidi="fa-IR"/>
        </w:rPr>
      </w:pPr>
      <w:r>
        <w:rPr>
          <w:rtl/>
          <w:lang w:bidi="fa-IR"/>
        </w:rPr>
        <w:br w:type="page"/>
      </w:r>
    </w:p>
    <w:p w:rsidR="008A74EB" w:rsidRPr="00C9040A" w:rsidRDefault="007E4854" w:rsidP="008A74EB">
      <w:pPr>
        <w:pStyle w:val="libNormal0"/>
        <w:rPr>
          <w:rtl/>
          <w:lang w:bidi="fa-IR"/>
        </w:rPr>
      </w:pPr>
      <w:r>
        <w:rPr>
          <w:rtl/>
          <w:lang w:bidi="fa-IR"/>
        </w:rPr>
        <w:t>هُوَ قَبِلَ مِنْكُمْ ، وَإِل</w:t>
      </w:r>
      <w:r>
        <w:rPr>
          <w:rFonts w:hint="cs"/>
          <w:rtl/>
          <w:lang w:bidi="fa-IR"/>
        </w:rPr>
        <w:t>َّ</w:t>
      </w:r>
      <w:r>
        <w:rPr>
          <w:rtl/>
          <w:lang w:bidi="fa-IR"/>
        </w:rPr>
        <w:t>ا</w:t>
      </w:r>
      <w:r w:rsidR="008A74EB" w:rsidRPr="00C9040A">
        <w:rPr>
          <w:rtl/>
          <w:lang w:bidi="fa-IR"/>
        </w:rPr>
        <w:t xml:space="preserve"> فَادْفِنُوا كَلَامَهُ تَحْتَ أَقْدَامِكُمْ ، وَلَا تَقُولُوا : إِنَّهُ يَقُولُ وَيَقُولُ ؛ فَإِنَّ ذلِكَ يُحْمَلُ </w:t>
      </w:r>
      <w:r w:rsidR="006C577F" w:rsidRPr="006C577F">
        <w:rPr>
          <w:rStyle w:val="libFootnotenumChar"/>
          <w:rtl/>
        </w:rPr>
        <w:t>(1)</w:t>
      </w:r>
      <w:r w:rsidR="008A74EB" w:rsidRPr="00C9040A">
        <w:rPr>
          <w:rtl/>
          <w:lang w:bidi="fa-IR"/>
        </w:rPr>
        <w:t xml:space="preserve"> عَلَيَّ وَعَلَيْكُمْ ؛ أَمَا وَاللهِ لَوْ كُنْتُمْ تَقُولُونَ مَا أَقُولُ ، لَأَقْرَرْتُ أَنَّكُمْ أَصْحَابِي ، هذَا أَبُو حَنِيفَةَ لَهُ أَصْحَابٌ ، وَهذَا الْحَسَنُ الْبَصْرِيُّ لَهُ أَصْحَابٌ ، وَأَنَا امْرُؤٌ مِنْ قُرَيْشٍ قَدْ </w:t>
      </w:r>
      <w:r w:rsidR="006C577F" w:rsidRPr="006C577F">
        <w:rPr>
          <w:rStyle w:val="libFootnotenumChar"/>
          <w:rtl/>
        </w:rPr>
        <w:t>(2)</w:t>
      </w:r>
      <w:r w:rsidR="008A74EB" w:rsidRPr="00C9040A">
        <w:rPr>
          <w:rtl/>
          <w:lang w:bidi="fa-IR"/>
        </w:rPr>
        <w:t xml:space="preserve"> وَلَدَنِي </w:t>
      </w:r>
      <w:r w:rsidR="006C577F" w:rsidRPr="006C577F">
        <w:rPr>
          <w:rStyle w:val="libFootnotenumChar"/>
          <w:rtl/>
        </w:rPr>
        <w:t>(3)</w:t>
      </w:r>
      <w:r w:rsidR="008A74EB" w:rsidRPr="00C9040A">
        <w:rPr>
          <w:rtl/>
          <w:lang w:bidi="fa-IR"/>
        </w:rPr>
        <w:t xml:space="preserve"> رَسُولُ اللهِ </w:t>
      </w:r>
      <w:r w:rsidR="004A4E41" w:rsidRPr="004A4E41">
        <w:rPr>
          <w:rStyle w:val="libAlaemChar"/>
          <w:rtl/>
        </w:rPr>
        <w:t>صلى‌الله‌عليه‌وآله</w:t>
      </w:r>
      <w:r w:rsidR="008A74EB" w:rsidRPr="00C9040A">
        <w:rPr>
          <w:rtl/>
          <w:lang w:bidi="fa-IR"/>
        </w:rPr>
        <w:t xml:space="preserve"> ، وَعَلِمْتُ كِتَابَ اللهِ ، وَفِيهِ تِبْيَانُ كُلِّ شَيْ‌ءٍ : بَدْءِ </w:t>
      </w:r>
      <w:r w:rsidR="006C577F" w:rsidRPr="006C577F">
        <w:rPr>
          <w:rStyle w:val="libFootnotenumChar"/>
          <w:rtl/>
        </w:rPr>
        <w:t>(4)</w:t>
      </w:r>
      <w:r w:rsidR="008A74EB" w:rsidRPr="00C9040A">
        <w:rPr>
          <w:rtl/>
          <w:lang w:bidi="fa-IR"/>
        </w:rPr>
        <w:t xml:space="preserve"> الْخَلْقِ ، وَأَمْرِ السَّمَاءِ ، وَأَمْرِ الْأَرْضِ ، وَأَمْرِ الْأَوَّلِينَ ، وَأَمْرِ </w:t>
      </w:r>
      <w:r w:rsidR="006C577F" w:rsidRPr="006C577F">
        <w:rPr>
          <w:rStyle w:val="libFootnotenumChar"/>
          <w:rtl/>
        </w:rPr>
        <w:t>(5)</w:t>
      </w:r>
      <w:r w:rsidR="008A74EB" w:rsidRPr="00C9040A">
        <w:rPr>
          <w:rtl/>
          <w:lang w:bidi="fa-IR"/>
        </w:rPr>
        <w:t xml:space="preserve"> الْآخِرِينَ ، وَأَمْرِ مَا كَانَ ، وَأَمْرِ </w:t>
      </w:r>
      <w:r w:rsidR="006C577F" w:rsidRPr="006C577F">
        <w:rPr>
          <w:rStyle w:val="libFootnotenumChar"/>
          <w:rtl/>
        </w:rPr>
        <w:t>(6)</w:t>
      </w:r>
      <w:r w:rsidR="008A74EB" w:rsidRPr="005B567D">
        <w:rPr>
          <w:rStyle w:val="libFootnotenumChar"/>
          <w:rtl/>
        </w:rPr>
        <w:t xml:space="preserve"> </w:t>
      </w:r>
      <w:r w:rsidR="008A74EB" w:rsidRPr="00C9040A">
        <w:rPr>
          <w:rtl/>
          <w:lang w:bidi="fa-IR"/>
        </w:rPr>
        <w:t xml:space="preserve">مَا يَكُونُ ، كَأَنِّي أَنْظُرُ إِلى ذلِكَ نُصْبَ عَيْنِي </w:t>
      </w:r>
      <w:r w:rsidR="006C577F" w:rsidRPr="006C577F">
        <w:rPr>
          <w:rStyle w:val="libFootnotenumChar"/>
          <w:rtl/>
        </w:rPr>
        <w:t>(7)</w:t>
      </w:r>
      <w:r w:rsidR="008A74EB" w:rsidRPr="00C9040A">
        <w:rPr>
          <w:rtl/>
          <w:lang w:bidi="fa-IR"/>
        </w:rPr>
        <w:t xml:space="preserve"> »</w:t>
      </w:r>
      <w:r w:rsidR="008A74EB">
        <w:rPr>
          <w:rtl/>
          <w:lang w:bidi="fa-IR"/>
        </w:rPr>
        <w:t>.</w:t>
      </w:r>
      <w:r w:rsidR="008A74EB" w:rsidRPr="00C9040A">
        <w:rPr>
          <w:rtl/>
          <w:lang w:bidi="fa-IR"/>
        </w:rPr>
        <w:t xml:space="preserve"> </w:t>
      </w:r>
      <w:r w:rsidR="006C577F" w:rsidRPr="006C577F">
        <w:rPr>
          <w:rStyle w:val="libFootnotenumChar"/>
          <w:rtl/>
        </w:rPr>
        <w:t>(8)</w:t>
      </w:r>
      <w:r w:rsidR="008A74EB" w:rsidRPr="00C9040A">
        <w:rPr>
          <w:rtl/>
          <w:lang w:bidi="fa-IR"/>
        </w:rPr>
        <w:t xml:space="preserve"> ‌</w:t>
      </w:r>
    </w:p>
    <w:p w:rsidR="008A74EB" w:rsidRPr="00C9040A" w:rsidRDefault="008A74EB" w:rsidP="008A74EB">
      <w:pPr>
        <w:pStyle w:val="libNormal"/>
        <w:rPr>
          <w:rtl/>
          <w:lang w:bidi="fa-IR"/>
        </w:rPr>
      </w:pPr>
      <w:r w:rsidRPr="004C0078">
        <w:rPr>
          <w:rtl/>
        </w:rPr>
        <w:t>2269</w:t>
      </w:r>
      <w:r w:rsidRPr="00261CB0">
        <w:rPr>
          <w:rStyle w:val="libBold2Char"/>
          <w:rtl/>
        </w:rPr>
        <w:t xml:space="preserve"> / 6.</w:t>
      </w:r>
      <w:r w:rsidRPr="00C9040A">
        <w:rPr>
          <w:rtl/>
          <w:lang w:bidi="fa-IR"/>
        </w:rPr>
        <w:t xml:space="preserve"> عَنْهُ ، عَنْ أَحْمَدَ بْنِ مُحَمَّدٍ ، عَنْ عَلِيِّ بْنِ الْحَكَمِ ، عَنِ الرَّبِيعِ بْنِ مُحَمَّدٍ الْمُسْلِيِّ ، عَنْ عَبْدِ اللهِ بْنِ سُلَيْمَانَ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قَالَ لِي : « مَا زَالَ سِرُّنَا مَكْتُوماً حَتّى صَارَ فِي يَدَيْ </w:t>
      </w:r>
      <w:r w:rsidR="006C577F" w:rsidRPr="006C577F">
        <w:rPr>
          <w:rStyle w:val="libFootnotenumChar"/>
          <w:rtl/>
        </w:rPr>
        <w:t>(9)</w:t>
      </w:r>
      <w:r w:rsidRPr="00C9040A">
        <w:rPr>
          <w:rtl/>
          <w:lang w:bidi="fa-IR"/>
        </w:rPr>
        <w:t xml:space="preserve"> وُلْدِ كَيْسَانَ </w:t>
      </w:r>
      <w:r w:rsidR="006C577F" w:rsidRPr="006C577F">
        <w:rPr>
          <w:rStyle w:val="libFootnotenumChar"/>
          <w:rtl/>
        </w:rPr>
        <w:t>(10)</w:t>
      </w:r>
      <w:r w:rsidRPr="00C9040A">
        <w:rPr>
          <w:rtl/>
          <w:lang w:bidi="fa-IR"/>
        </w:rPr>
        <w:t xml:space="preserve"> ، فَتَحَدَّثُوا بِهِ فِي الطَّرِيقِ‌</w:t>
      </w:r>
      <w:r w:rsidR="007E4854">
        <w:rPr>
          <w:rFonts w:hint="cs"/>
          <w:rtl/>
          <w:lang w:bidi="fa-IR"/>
        </w:rPr>
        <w:t>.............................................</w:t>
      </w:r>
      <w:r w:rsidR="007E4854">
        <w:rPr>
          <w:rFonts w:hint="cs"/>
          <w:rtl/>
          <w:lang w:bidi="fa-IR"/>
        </w:rPr>
        <w:tab/>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6F2992" w:rsidTr="006F2992">
        <w:tc>
          <w:tcPr>
            <w:tcW w:w="4006" w:type="dxa"/>
          </w:tcPr>
          <w:p w:rsidR="006F2992" w:rsidRDefault="006F2992" w:rsidP="004A4E41">
            <w:pPr>
              <w:pStyle w:val="libFootnote0"/>
              <w:rPr>
                <w:rtl/>
              </w:rPr>
            </w:pPr>
            <w:r>
              <w:rPr>
                <w:rtl/>
              </w:rPr>
              <w:t xml:space="preserve">(1). </w:t>
            </w:r>
            <w:r w:rsidRPr="00C9040A">
              <w:rPr>
                <w:rtl/>
              </w:rPr>
              <w:t>في « ز » : « يحمّل »</w:t>
            </w:r>
            <w:r>
              <w:rPr>
                <w:rtl/>
              </w:rPr>
              <w:t>.</w:t>
            </w:r>
          </w:p>
        </w:tc>
        <w:tc>
          <w:tcPr>
            <w:tcW w:w="4006" w:type="dxa"/>
          </w:tcPr>
          <w:p w:rsidR="006F2992" w:rsidRDefault="006F2992" w:rsidP="004A4E41">
            <w:pPr>
              <w:pStyle w:val="libFootnote0"/>
              <w:rPr>
                <w:rtl/>
              </w:rPr>
            </w:pPr>
            <w:r>
              <w:rPr>
                <w:rtl/>
              </w:rPr>
              <w:t xml:space="preserve">(2). </w:t>
            </w:r>
            <w:r w:rsidRPr="00C9040A">
              <w:rPr>
                <w:rtl/>
              </w:rPr>
              <w:t>في مرآة العقول : « وقد »</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في « ب ، ز ، </w:t>
      </w:r>
      <w:r w:rsidR="006D3162">
        <w:rPr>
          <w:rtl/>
        </w:rPr>
        <w:t xml:space="preserve">ه </w:t>
      </w:r>
      <w:r w:rsidR="008A74EB" w:rsidRPr="00C9040A">
        <w:rPr>
          <w:rtl/>
        </w:rPr>
        <w:t>» : « ولّدني »</w:t>
      </w:r>
      <w:r w:rsidR="008A74EB">
        <w:rPr>
          <w:rtl/>
        </w:rPr>
        <w:t>.</w:t>
      </w:r>
      <w:r w:rsidR="008A74EB" w:rsidRPr="00C9040A">
        <w:rPr>
          <w:rtl/>
        </w:rPr>
        <w:t xml:space="preserve"> أي‌أخبرني بولادتي وإمامتي في اللوح. وفي </w:t>
      </w:r>
      <w:r w:rsidR="008A74EB" w:rsidRPr="00993B55">
        <w:rPr>
          <w:rStyle w:val="libFootnoteBoldChar"/>
          <w:rtl/>
        </w:rPr>
        <w:t>مرآة العقول</w:t>
      </w:r>
      <w:r w:rsidR="008A74EB" w:rsidRPr="00C9040A">
        <w:rPr>
          <w:rtl/>
        </w:rPr>
        <w:t xml:space="preserve"> ، ج 9 ، ص 190 : « ومن‌قرأ : ولّدني ، على بناء التفعيل ، أي‌أخبرني بولادتي وإمامتي في خبر اللوح ، فقد تكلّف »</w:t>
      </w:r>
      <w:r w:rsidR="008A74EB">
        <w:rPr>
          <w:rtl/>
        </w:rPr>
        <w:t>.</w:t>
      </w:r>
    </w:p>
    <w:p w:rsidR="008A74EB" w:rsidRPr="00C9040A" w:rsidRDefault="006C577F" w:rsidP="006F2992">
      <w:pPr>
        <w:pStyle w:val="libFootnote0"/>
        <w:rPr>
          <w:rtl/>
          <w:lang w:bidi="fa-IR"/>
        </w:rPr>
      </w:pPr>
      <w:r>
        <w:rPr>
          <w:rtl/>
        </w:rPr>
        <w:t>(4).</w:t>
      </w:r>
      <w:r w:rsidR="008A74EB" w:rsidRPr="00C9040A">
        <w:rPr>
          <w:rtl/>
        </w:rPr>
        <w:t xml:space="preserve"> في « ب » : « وبدء »</w:t>
      </w:r>
      <w:r w:rsidR="008A74EB">
        <w:rPr>
          <w:rtl/>
        </w:rPr>
        <w:t>.</w:t>
      </w:r>
      <w:r w:rsidR="008A74EB" w:rsidRPr="00C9040A">
        <w:rPr>
          <w:rtl/>
        </w:rPr>
        <w:t xml:space="preserve"> وقوله : « بدء » مجرور ، بدل أو بيان من « كلّ شي‌ء » ، ويجوز فيه الرفع أيضاً ، إمّا بدل ، أو بيان عن « تبيان » ، أو مبتدأ بحذف العاطف.</w:t>
      </w:r>
      <w:r w:rsidR="006F2992">
        <w:rPr>
          <w:rFonts w:hint="cs"/>
          <w:rtl/>
        </w:rPr>
        <w:t xml:space="preserve">  </w:t>
      </w:r>
      <w:r>
        <w:rPr>
          <w:rtl/>
        </w:rPr>
        <w:t>(5).</w:t>
      </w:r>
      <w:r w:rsidR="008A74EB" w:rsidRPr="00C9040A">
        <w:rPr>
          <w:rtl/>
        </w:rPr>
        <w:t xml:space="preserve"> في « </w:t>
      </w:r>
      <w:r w:rsidR="006D3162">
        <w:rPr>
          <w:rtl/>
        </w:rPr>
        <w:t xml:space="preserve">ه </w:t>
      </w:r>
      <w:r w:rsidR="008A74EB" w:rsidRPr="00C9040A">
        <w:rPr>
          <w:rtl/>
        </w:rPr>
        <w:t xml:space="preserve">» </w:t>
      </w:r>
      <w:r w:rsidR="008A74EB">
        <w:rPr>
          <w:rtl/>
        </w:rPr>
        <w:t xml:space="preserve">: </w:t>
      </w:r>
      <w:r w:rsidR="0084262C">
        <w:rPr>
          <w:rtl/>
        </w:rPr>
        <w:t>-</w:t>
      </w:r>
      <w:r w:rsidR="008A74EB" w:rsidRPr="00C9040A">
        <w:rPr>
          <w:rtl/>
        </w:rPr>
        <w:t xml:space="preserve"> « أمر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 ج ، د ، ص ، </w:t>
      </w:r>
      <w:r w:rsidR="006D3162">
        <w:rPr>
          <w:rtl/>
        </w:rPr>
        <w:t xml:space="preserve">ه </w:t>
      </w:r>
      <w:r w:rsidR="008A74EB" w:rsidRPr="00C9040A">
        <w:rPr>
          <w:rtl/>
        </w:rPr>
        <w:t xml:space="preserve">، بر ، بس ، بف » والبحار </w:t>
      </w:r>
      <w:r w:rsidR="008A74EB">
        <w:rPr>
          <w:rtl/>
        </w:rPr>
        <w:t xml:space="preserve">: </w:t>
      </w:r>
      <w:r w:rsidR="0084262C">
        <w:rPr>
          <w:rtl/>
        </w:rPr>
        <w:t>-</w:t>
      </w:r>
      <w:r w:rsidR="008A74EB" w:rsidRPr="00C9040A">
        <w:rPr>
          <w:rtl/>
        </w:rPr>
        <w:t xml:space="preserve"> « أمر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ز » : « عينيّ » بصيغة التثنية.</w:t>
      </w:r>
    </w:p>
    <w:p w:rsidR="008A74EB" w:rsidRPr="00C9040A" w:rsidRDefault="006C577F" w:rsidP="006F2992">
      <w:pPr>
        <w:pStyle w:val="libFootnote0"/>
        <w:rPr>
          <w:rtl/>
          <w:lang w:bidi="fa-IR"/>
        </w:rPr>
      </w:pPr>
      <w:r>
        <w:rPr>
          <w:rtl/>
        </w:rPr>
        <w:t>(8).</w:t>
      </w:r>
      <w:r w:rsidR="008A74EB" w:rsidRPr="00C9040A">
        <w:rPr>
          <w:rtl/>
        </w:rPr>
        <w:t xml:space="preserve"> </w:t>
      </w:r>
      <w:r w:rsidR="008A74EB" w:rsidRPr="00993B55">
        <w:rPr>
          <w:rStyle w:val="libFootnoteBoldChar"/>
          <w:rtl/>
        </w:rPr>
        <w:t>الغيبة</w:t>
      </w:r>
      <w:r w:rsidR="008A74EB" w:rsidRPr="00C9040A">
        <w:rPr>
          <w:rtl/>
        </w:rPr>
        <w:t xml:space="preserve"> للنعماني ، ص 34 ، ح 3 ؛ </w:t>
      </w:r>
      <w:r w:rsidR="008A74EB" w:rsidRPr="00993B55">
        <w:rPr>
          <w:rStyle w:val="libFootnoteBoldChar"/>
          <w:rtl/>
        </w:rPr>
        <w:t>وفيه</w:t>
      </w:r>
      <w:r w:rsidR="008A74EB" w:rsidRPr="00C9040A">
        <w:rPr>
          <w:rtl/>
        </w:rPr>
        <w:t xml:space="preserve"> ، ص 35 ، ح 5 ، وفيهما بسند آخر عن عبدالأعلى بن أعين ، إلى قوله : « الناطق علينا بما نكره » مع اختلاف يسير. </w:t>
      </w:r>
      <w:r w:rsidR="008A74EB" w:rsidRPr="00993B55">
        <w:rPr>
          <w:rStyle w:val="libFootnoteBoldChar"/>
          <w:rtl/>
        </w:rPr>
        <w:t>الخصال</w:t>
      </w:r>
      <w:r w:rsidR="008A74EB" w:rsidRPr="00C9040A">
        <w:rPr>
          <w:rtl/>
        </w:rPr>
        <w:t xml:space="preserve"> ، ص 25 ، باب الواحد ، ح 89 ، بسند آخر ، وتمام الرواية فيه : « يا مدرك ، رحم الله عبداً اجترّ مودّة الناس إلى نفسه ، فحدّثهم بما يعرفون ، وترك ما ينكرون »</w:t>
      </w:r>
      <w:r w:rsidR="006F2992">
        <w:rPr>
          <w:rFonts w:hint="cs"/>
          <w:rtl/>
        </w:rPr>
        <w:t>.</w:t>
      </w:r>
      <w:r w:rsidR="008A74EB" w:rsidRPr="00993B55">
        <w:rPr>
          <w:rStyle w:val="libFootnoteBoldChar"/>
          <w:rtl/>
        </w:rPr>
        <w:t>الوافي</w:t>
      </w:r>
      <w:r w:rsidR="008A74EB" w:rsidRPr="00C9040A">
        <w:rPr>
          <w:rtl/>
        </w:rPr>
        <w:t xml:space="preserve"> ، ج 5 ، ص 698 ، ح 2904 ؛ </w:t>
      </w:r>
      <w:r w:rsidR="008A74EB" w:rsidRPr="00993B55">
        <w:rPr>
          <w:rStyle w:val="libFootnoteBoldChar"/>
          <w:rtl/>
        </w:rPr>
        <w:t>الوسائل</w:t>
      </w:r>
      <w:r w:rsidR="008A74EB" w:rsidRPr="00C9040A">
        <w:rPr>
          <w:rtl/>
        </w:rPr>
        <w:t xml:space="preserve"> ، ج 16 ، ص 236 ، ح 21451 ، إلى قوله : « واستروا عنهم ما ينكرون »</w:t>
      </w:r>
      <w:r w:rsidR="008A74EB">
        <w:rPr>
          <w:rtl/>
        </w:rPr>
        <w:t>.</w:t>
      </w:r>
      <w:r w:rsidR="008A74EB" w:rsidRPr="00C9040A">
        <w:rPr>
          <w:rtl/>
        </w:rPr>
        <w:t xml:space="preserve"> </w:t>
      </w:r>
      <w:r w:rsidR="008A74EB" w:rsidRPr="00993B55">
        <w:rPr>
          <w:rStyle w:val="libFootnoteBoldChar"/>
          <w:rtl/>
        </w:rPr>
        <w:t>البحار</w:t>
      </w:r>
      <w:r w:rsidR="008A74EB" w:rsidRPr="00C9040A">
        <w:rPr>
          <w:rtl/>
        </w:rPr>
        <w:t xml:space="preserve"> ، ج 47 ، ص 371 ، ح 92 ؛ وج 75 ، ص 74 ، ح 22.</w:t>
      </w:r>
    </w:p>
    <w:p w:rsidR="008A74EB" w:rsidRPr="00C9040A" w:rsidRDefault="006C577F" w:rsidP="004A4E41">
      <w:pPr>
        <w:pStyle w:val="libFootnote0"/>
        <w:rPr>
          <w:rtl/>
          <w:lang w:bidi="fa-IR"/>
        </w:rPr>
      </w:pPr>
      <w:r>
        <w:rPr>
          <w:rtl/>
        </w:rPr>
        <w:t>(9).</w:t>
      </w:r>
      <w:r w:rsidR="008A74EB" w:rsidRPr="00C9040A">
        <w:rPr>
          <w:rtl/>
        </w:rPr>
        <w:t xml:space="preserve"> في « ز ، ص ، ف ، بر » والوافي : « يد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 كيسان » لقب مختار بن أبي‌عبيدة ، الذي طلب ثار أبي‌عبدالله الحسين </w:t>
      </w:r>
      <w:r w:rsidR="00117575" w:rsidRPr="00117575">
        <w:rPr>
          <w:rStyle w:val="libFootnoteAlaemChar"/>
          <w:rtl/>
        </w:rPr>
        <w:t xml:space="preserve">عليه‌السلام </w:t>
      </w:r>
      <w:r w:rsidR="008A74EB" w:rsidRPr="00C9040A">
        <w:rPr>
          <w:rtl/>
        </w:rPr>
        <w:t xml:space="preserve">، المنسوب إليه الكيسانيّة. وقيل : </w:t>
      </w:r>
      <w:r w:rsidR="006F2992">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وَقُرَى السَّوَادِ </w:t>
      </w:r>
      <w:r w:rsidR="006C577F" w:rsidRPr="006C577F">
        <w:rPr>
          <w:rStyle w:val="libFootnotenumChar"/>
          <w:rtl/>
        </w:rPr>
        <w:t>(1)</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4C0078">
        <w:rPr>
          <w:rtl/>
        </w:rPr>
        <w:t>2270</w:t>
      </w:r>
      <w:r w:rsidRPr="00261CB0">
        <w:rPr>
          <w:rStyle w:val="libBold2Char"/>
          <w:rtl/>
        </w:rPr>
        <w:t xml:space="preserve"> / 7.</w:t>
      </w:r>
      <w:r w:rsidRPr="00C9040A">
        <w:rPr>
          <w:rtl/>
          <w:lang w:bidi="fa-IR"/>
        </w:rPr>
        <w:t xml:space="preserve"> عَنْهُ ، عَنْ أَحْمَدَ بْنِ مُحَمَّدٍ ، عَنِ ابْنِ مَحْبُوبٍ ، عَنْ جَمِيلِ بْنِ صَالِحٍ </w:t>
      </w:r>
      <w:r w:rsidR="006C577F" w:rsidRPr="006C577F">
        <w:rPr>
          <w:rStyle w:val="libFootnotenumChar"/>
          <w:rtl/>
        </w:rPr>
        <w:t>(3)</w:t>
      </w:r>
      <w:r w:rsidRPr="00C9040A">
        <w:rPr>
          <w:rtl/>
          <w:lang w:bidi="fa-IR"/>
        </w:rPr>
        <w:t xml:space="preserve"> ، عَنْ أَبِي عُبَيْدَةَ الْحَذَّاءِ ، قَالَ :</w:t>
      </w:r>
    </w:p>
    <w:p w:rsidR="008A74EB" w:rsidRPr="00C9040A" w:rsidRDefault="008A74EB" w:rsidP="008A74EB">
      <w:pPr>
        <w:pStyle w:val="libNormal"/>
        <w:rPr>
          <w:rtl/>
          <w:lang w:bidi="fa-IR"/>
        </w:rPr>
      </w:pPr>
      <w:r w:rsidRPr="00C9040A">
        <w:rPr>
          <w:rtl/>
          <w:lang w:bidi="fa-IR"/>
        </w:rPr>
        <w:t xml:space="preserve">سَمِعْتُ أَبَا جَعْفَرٍ </w:t>
      </w:r>
      <w:r w:rsidRPr="0003660B">
        <w:rPr>
          <w:rStyle w:val="libAlaemChar"/>
          <w:rtl/>
        </w:rPr>
        <w:t>عليه‌السلام</w:t>
      </w:r>
      <w:r w:rsidRPr="00C9040A">
        <w:rPr>
          <w:rtl/>
          <w:lang w:bidi="fa-IR"/>
        </w:rPr>
        <w:t xml:space="preserve"> يَقُولُ : « وَاللهِ </w:t>
      </w:r>
      <w:r w:rsidR="006C577F" w:rsidRPr="006C577F">
        <w:rPr>
          <w:rStyle w:val="libFootnotenumChar"/>
          <w:rtl/>
        </w:rPr>
        <w:t>(4)</w:t>
      </w:r>
      <w:r w:rsidRPr="00C9040A">
        <w:rPr>
          <w:rtl/>
          <w:lang w:bidi="fa-IR"/>
        </w:rPr>
        <w:t xml:space="preserve"> ، إِنَّ أَحَبَّ أَصْحَابِي إِلَيَّ أَوْرَعُهُمْ وَأَفْقَهُهُمْ وَأَكْتَمُهُمْ لِحَدِيثِنَا </w:t>
      </w:r>
      <w:r w:rsidR="006C577F" w:rsidRPr="006C577F">
        <w:rPr>
          <w:rStyle w:val="libFootnotenumChar"/>
          <w:rtl/>
        </w:rPr>
        <w:t>(5)</w:t>
      </w:r>
      <w:r w:rsidRPr="00C9040A">
        <w:rPr>
          <w:rtl/>
          <w:lang w:bidi="fa-IR"/>
        </w:rPr>
        <w:t xml:space="preserve"> ، وَإِنَّ أَسْوَأَهُمْ عِنْدِي حَالاً وَأَمْقَتَهُمْ </w:t>
      </w:r>
      <w:r w:rsidR="006C577F" w:rsidRPr="006C577F">
        <w:rPr>
          <w:rStyle w:val="libFootnotenumChar"/>
          <w:rtl/>
        </w:rPr>
        <w:t>(6)</w:t>
      </w:r>
      <w:r w:rsidRPr="005B567D">
        <w:rPr>
          <w:rStyle w:val="libFootnotenumChar"/>
          <w:rtl/>
        </w:rPr>
        <w:t xml:space="preserve"> </w:t>
      </w:r>
      <w:r w:rsidRPr="00C9040A">
        <w:rPr>
          <w:rtl/>
          <w:lang w:bidi="fa-IR"/>
        </w:rPr>
        <w:t xml:space="preserve">لَلَّذِي </w:t>
      </w:r>
      <w:r w:rsidR="006C577F" w:rsidRPr="006C577F">
        <w:rPr>
          <w:rStyle w:val="libFootnotenumChar"/>
          <w:rtl/>
        </w:rPr>
        <w:t>(7)</w:t>
      </w:r>
      <w:r w:rsidRPr="00C9040A">
        <w:rPr>
          <w:rtl/>
          <w:lang w:bidi="fa-IR"/>
        </w:rPr>
        <w:t xml:space="preserve"> إِذَا سَمِعَ الْحَدِيثَ يُنْسَبُ </w:t>
      </w:r>
      <w:r w:rsidR="006C577F" w:rsidRPr="006C577F">
        <w:rPr>
          <w:rStyle w:val="libFootnotenumChar"/>
          <w:rtl/>
        </w:rPr>
        <w:t>(8)</w:t>
      </w:r>
      <w:r w:rsidRPr="00C9040A">
        <w:rPr>
          <w:rtl/>
          <w:lang w:bidi="fa-IR"/>
        </w:rPr>
        <w:t xml:space="preserve"> إِلَيْنَا وَيُرْوى عَنَّا ، فَلَمْ يَقْبَلْهُ </w:t>
      </w:r>
      <w:r w:rsidR="006C577F" w:rsidRPr="006C577F">
        <w:rPr>
          <w:rStyle w:val="libFootnotenumChar"/>
          <w:rtl/>
        </w:rPr>
        <w:t>(9)</w:t>
      </w:r>
      <w:r w:rsidRPr="00C9040A">
        <w:rPr>
          <w:rtl/>
          <w:lang w:bidi="fa-IR"/>
        </w:rPr>
        <w:t xml:space="preserve"> ، اشْمَأَزَّ مِنْهُ وَجَحَدَهُ ، وَكَفَّرَ مَنْ </w:t>
      </w:r>
      <w:r w:rsidR="006C577F" w:rsidRPr="006C577F">
        <w:rPr>
          <w:rStyle w:val="libFootnotenumChar"/>
          <w:rtl/>
        </w:rPr>
        <w:t>(10)</w:t>
      </w:r>
      <w:r w:rsidRPr="00C9040A">
        <w:rPr>
          <w:rtl/>
          <w:lang w:bidi="fa-IR"/>
        </w:rPr>
        <w:t xml:space="preserve"> دَانَ بِهِ ، وَهُوَ لَا يَدْرِي لَعَلَّ الْحَدِيثَ مِنْ عِنْدِنَا خَرَجَ ، وَإِلَيْنَا أُسْنِدَ ، فَيَكُونَ بِذلِكَ خَارِجاً مِنْ </w:t>
      </w:r>
      <w:r w:rsidR="006C577F" w:rsidRPr="006C577F">
        <w:rPr>
          <w:rStyle w:val="libFootnotenumChar"/>
          <w:rtl/>
        </w:rPr>
        <w:t>(11)</w:t>
      </w:r>
      <w:r w:rsidRPr="00C9040A">
        <w:rPr>
          <w:rtl/>
          <w:lang w:bidi="fa-IR"/>
        </w:rPr>
        <w:t xml:space="preserve"> وَلَايَتِنَا »</w:t>
      </w:r>
      <w:r>
        <w:rPr>
          <w:rtl/>
          <w:lang w:bidi="fa-IR"/>
        </w:rPr>
        <w:t>.</w:t>
      </w:r>
      <w:r w:rsidRPr="00C9040A">
        <w:rPr>
          <w:rtl/>
          <w:lang w:bidi="fa-IR"/>
        </w:rPr>
        <w:t xml:space="preserve"> </w:t>
      </w:r>
      <w:r w:rsidR="006C577F" w:rsidRPr="006C577F">
        <w:rPr>
          <w:rStyle w:val="libFootnotenumChar"/>
          <w:rtl/>
        </w:rPr>
        <w:t>(12)</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7E48A7" w:rsidP="004A4E41">
      <w:pPr>
        <w:pStyle w:val="libFootnote0"/>
        <w:rPr>
          <w:rtl/>
          <w:lang w:bidi="fa-IR"/>
        </w:rPr>
      </w:pPr>
      <w:r>
        <w:rPr>
          <w:rFonts w:hint="cs"/>
          <w:rtl/>
        </w:rPr>
        <w:t xml:space="preserve">= </w:t>
      </w:r>
      <w:r w:rsidR="008A74EB" w:rsidRPr="00C9040A">
        <w:rPr>
          <w:rtl/>
        </w:rPr>
        <w:t xml:space="preserve">المراد بولد كيسان : أصحاب الغدر والمكر الذين ينسبون أنفسهم من الشيعة وليسوا منهم ، قال في </w:t>
      </w:r>
      <w:r w:rsidR="008A74EB" w:rsidRPr="00993B55">
        <w:rPr>
          <w:rStyle w:val="libFootnoteBoldChar"/>
          <w:rtl/>
        </w:rPr>
        <w:t>القاموس</w:t>
      </w:r>
      <w:r w:rsidR="008A74EB" w:rsidRPr="00C9040A">
        <w:rPr>
          <w:rtl/>
        </w:rPr>
        <w:t xml:space="preserve"> : « كَيْسان : اسم للغَدْر ، ولقب المختار بن أبي‌عبيد المنسوب إليه الكيسانيّة »</w:t>
      </w:r>
      <w:r w:rsidR="008A74EB">
        <w:rPr>
          <w:rtl/>
        </w:rPr>
        <w:t>.</w:t>
      </w:r>
      <w:r w:rsidR="008A74EB" w:rsidRPr="00C9040A">
        <w:rPr>
          <w:rtl/>
        </w:rPr>
        <w:t xml:space="preserve"> راجع : </w:t>
      </w:r>
      <w:r w:rsidR="008A74EB" w:rsidRPr="00993B55">
        <w:rPr>
          <w:rStyle w:val="libFootnoteBoldChar"/>
          <w:rtl/>
        </w:rPr>
        <w:t>شرح المازندراني</w:t>
      </w:r>
      <w:r w:rsidR="008A74EB" w:rsidRPr="00C9040A">
        <w:rPr>
          <w:rtl/>
        </w:rPr>
        <w:t xml:space="preserve"> ، ج 9 ، ص 121 ؛ </w:t>
      </w:r>
      <w:r w:rsidR="008A74EB" w:rsidRPr="00993B55">
        <w:rPr>
          <w:rStyle w:val="libFootnoteBoldChar"/>
          <w:rtl/>
        </w:rPr>
        <w:t>الوافي</w:t>
      </w:r>
      <w:r w:rsidR="008A74EB" w:rsidRPr="00C9040A">
        <w:rPr>
          <w:rtl/>
        </w:rPr>
        <w:t xml:space="preserve"> ، ج 5 ، ص 699 ؛ </w:t>
      </w:r>
      <w:r w:rsidR="008A74EB" w:rsidRPr="00993B55">
        <w:rPr>
          <w:rStyle w:val="libFootnoteBoldChar"/>
          <w:rtl/>
        </w:rPr>
        <w:t>مرآة العقول</w:t>
      </w:r>
      <w:r w:rsidR="008A74EB" w:rsidRPr="00C9040A">
        <w:rPr>
          <w:rtl/>
        </w:rPr>
        <w:t xml:space="preserve"> ، ج 9 ، ص 190 ؛ </w:t>
      </w:r>
      <w:r w:rsidR="008A74EB" w:rsidRPr="00993B55">
        <w:rPr>
          <w:rStyle w:val="libFootnoteBoldChar"/>
          <w:rtl/>
        </w:rPr>
        <w:t>القاموس المحيط</w:t>
      </w:r>
      <w:r w:rsidR="008A74EB" w:rsidRPr="00C9040A">
        <w:rPr>
          <w:rtl/>
        </w:rPr>
        <w:t xml:space="preserve"> ، ج 1 ، ص 782 ( كيس )</w:t>
      </w:r>
      <w:r w:rsidR="008A74EB">
        <w:rPr>
          <w:rtl/>
        </w:rPr>
        <w:t>.</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العرب تسمّي الأخضر أسودَ ؛ لأنّه يُرى كذلك على بُعد. ومنه سَواد العراق ؛ لخُضرة أشجاره وزروعه. وحدّه طولاً من حديثة الموصل إلى عبّادان ، وعرضاً من العذيب إلى حُلْوان. وهو أطول من العراق بخمسة وثلاثين فرسخاً. </w:t>
      </w:r>
      <w:r w:rsidR="008A74EB" w:rsidRPr="00993B55">
        <w:rPr>
          <w:rStyle w:val="libFootnoteBoldChar"/>
          <w:rtl/>
        </w:rPr>
        <w:t xml:space="preserve">المصباح المنير </w:t>
      </w:r>
      <w:r w:rsidR="008A74EB" w:rsidRPr="00C9040A">
        <w:rPr>
          <w:rtl/>
        </w:rPr>
        <w:t xml:space="preserve">، ص 294 ؛ </w:t>
      </w:r>
      <w:r w:rsidR="008A74EB" w:rsidRPr="00993B55">
        <w:rPr>
          <w:rStyle w:val="libFootnoteBoldChar"/>
          <w:rtl/>
        </w:rPr>
        <w:t>مجمع البحرين</w:t>
      </w:r>
      <w:r w:rsidR="008A74EB" w:rsidRPr="00C9040A">
        <w:rPr>
          <w:rtl/>
        </w:rPr>
        <w:t xml:space="preserve"> ، ج 3 ، ص 72 ( سود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الوافي</w:t>
      </w:r>
      <w:r w:rsidR="008A74EB" w:rsidRPr="00C9040A">
        <w:rPr>
          <w:rtl/>
        </w:rPr>
        <w:t xml:space="preserve"> ، ج 5 ، ص 699 ، ح 2905 ؛ </w:t>
      </w:r>
      <w:r w:rsidR="008A74EB" w:rsidRPr="00993B55">
        <w:rPr>
          <w:rStyle w:val="libFootnoteBoldChar"/>
          <w:rtl/>
        </w:rPr>
        <w:t>البحار</w:t>
      </w:r>
      <w:r w:rsidR="008A74EB" w:rsidRPr="00C9040A">
        <w:rPr>
          <w:rtl/>
        </w:rPr>
        <w:t xml:space="preserve"> ، ج 45 ، ص 345 ، ح 14 ؛ وج 75 ، ص 75 ، ح 23.</w:t>
      </w:r>
    </w:p>
    <w:p w:rsidR="008A74EB" w:rsidRPr="00C9040A" w:rsidRDefault="006C577F" w:rsidP="007E48A7">
      <w:pPr>
        <w:pStyle w:val="libFootnote0"/>
        <w:rPr>
          <w:rtl/>
          <w:lang w:bidi="fa-IR"/>
        </w:rPr>
      </w:pPr>
      <w:r>
        <w:rPr>
          <w:rtl/>
        </w:rPr>
        <w:t>(3).</w:t>
      </w:r>
      <w:r w:rsidR="008A74EB" w:rsidRPr="00C9040A">
        <w:rPr>
          <w:rtl/>
        </w:rPr>
        <w:t xml:space="preserve"> في « </w:t>
      </w:r>
      <w:r w:rsidR="006D3162">
        <w:rPr>
          <w:rtl/>
        </w:rPr>
        <w:t xml:space="preserve">ه </w:t>
      </w:r>
      <w:r w:rsidR="008A74EB" w:rsidRPr="00C9040A">
        <w:rPr>
          <w:rtl/>
        </w:rPr>
        <w:t>» : « جميل بن درّاج »</w:t>
      </w:r>
      <w:r w:rsidR="008A74EB">
        <w:rPr>
          <w:rtl/>
        </w:rPr>
        <w:t>.</w:t>
      </w:r>
      <w:r w:rsidR="008A74EB" w:rsidRPr="00C9040A">
        <w:rPr>
          <w:rtl/>
        </w:rPr>
        <w:t xml:space="preserve"> وهو سهو ؛ فإنّه لم يعهد رواية جميل بن درّاج عن أبي‌عبيدة الحذّاء في موضع. وأمّا جميل بن صالح فقد توسّط بين [ الحسن ] بن محبوب وبين أبي‌عبيدة [ الحذّاء ] في بعض الأسناد. راجع : </w:t>
      </w:r>
      <w:r w:rsidR="008A74EB" w:rsidRPr="00993B55">
        <w:rPr>
          <w:rStyle w:val="libFootnoteBoldChar"/>
          <w:rtl/>
        </w:rPr>
        <w:t xml:space="preserve">معجم رجال الحديث </w:t>
      </w:r>
      <w:r w:rsidR="008A74EB" w:rsidRPr="00C9040A">
        <w:rPr>
          <w:rtl/>
        </w:rPr>
        <w:t>، ج 4 ، ص 458.</w:t>
      </w:r>
      <w:r w:rsidR="007E48A7">
        <w:rPr>
          <w:rFonts w:hint="cs"/>
          <w:rtl/>
        </w:rPr>
        <w:t xml:space="preserve">                 </w:t>
      </w:r>
      <w:r w:rsidR="00B120D5">
        <w:rPr>
          <w:rFonts w:hint="cs"/>
          <w:rtl/>
        </w:rPr>
        <w:t xml:space="preserve"> </w:t>
      </w:r>
      <w:r w:rsidR="007E48A7">
        <w:rPr>
          <w:rFonts w:hint="cs"/>
          <w:rtl/>
        </w:rPr>
        <w:t xml:space="preserve">      </w:t>
      </w:r>
      <w:r>
        <w:rPr>
          <w:rtl/>
        </w:rPr>
        <w:t>(4).</w:t>
      </w:r>
      <w:r w:rsidR="008A74EB" w:rsidRPr="00C9040A">
        <w:rPr>
          <w:rtl/>
        </w:rPr>
        <w:t xml:space="preserve"> في « </w:t>
      </w:r>
      <w:r w:rsidR="006D3162">
        <w:rPr>
          <w:rtl/>
        </w:rPr>
        <w:t xml:space="preserve">ه </w:t>
      </w:r>
      <w:r w:rsidR="008A74EB" w:rsidRPr="00C9040A">
        <w:rPr>
          <w:rtl/>
        </w:rPr>
        <w:t>» والبصائر : « أما والله »</w:t>
      </w:r>
      <w:r w:rsidR="008A74EB">
        <w:rPr>
          <w:rtl/>
        </w:rPr>
        <w:t>.</w:t>
      </w:r>
    </w:p>
    <w:tbl>
      <w:tblPr>
        <w:tblStyle w:val="TableGrid"/>
        <w:bidiVisual/>
        <w:tblW w:w="0" w:type="auto"/>
        <w:tblLook w:val="04A0" w:firstRow="1" w:lastRow="0" w:firstColumn="1" w:lastColumn="0" w:noHBand="0" w:noVBand="1"/>
      </w:tblPr>
      <w:tblGrid>
        <w:gridCol w:w="3995"/>
        <w:gridCol w:w="4017"/>
      </w:tblGrid>
      <w:tr w:rsidR="007E48A7" w:rsidTr="007E48A7">
        <w:tc>
          <w:tcPr>
            <w:tcW w:w="4006" w:type="dxa"/>
          </w:tcPr>
          <w:p w:rsidR="007E48A7" w:rsidRDefault="007E48A7" w:rsidP="004A4E41">
            <w:pPr>
              <w:pStyle w:val="libFootnote0"/>
              <w:rPr>
                <w:rtl/>
              </w:rPr>
            </w:pPr>
            <w:r>
              <w:rPr>
                <w:rtl/>
              </w:rPr>
              <w:t>(5).</w:t>
            </w:r>
            <w:r w:rsidRPr="00C9040A">
              <w:rPr>
                <w:rtl/>
              </w:rPr>
              <w:t xml:space="preserve"> في البصائر : « بحديثنا »</w:t>
            </w:r>
            <w:r>
              <w:rPr>
                <w:rtl/>
              </w:rPr>
              <w:t>.</w:t>
            </w:r>
          </w:p>
        </w:tc>
        <w:tc>
          <w:tcPr>
            <w:tcW w:w="4006" w:type="dxa"/>
          </w:tcPr>
          <w:p w:rsidR="007E48A7" w:rsidRDefault="007E48A7" w:rsidP="007E48A7">
            <w:pPr>
              <w:pStyle w:val="libFootnote0"/>
              <w:rPr>
                <w:rtl/>
              </w:rPr>
            </w:pPr>
            <w:r>
              <w:rPr>
                <w:rtl/>
              </w:rPr>
              <w:t>(6).«</w:t>
            </w:r>
            <w:r w:rsidRPr="00C9040A">
              <w:rPr>
                <w:rtl/>
              </w:rPr>
              <w:t>ال</w:t>
            </w:r>
            <w:r>
              <w:rPr>
                <w:rFonts w:hint="cs"/>
                <w:rtl/>
              </w:rPr>
              <w:t>ـ</w:t>
            </w:r>
            <w:r>
              <w:rPr>
                <w:rtl/>
              </w:rPr>
              <w:t>مَقْت»:أشدّ</w:t>
            </w:r>
            <w:r w:rsidRPr="00C9040A">
              <w:rPr>
                <w:rtl/>
              </w:rPr>
              <w:t>البُغْض.</w:t>
            </w:r>
            <w:r w:rsidRPr="00993B55">
              <w:rPr>
                <w:rStyle w:val="libFootnoteBoldChar"/>
                <w:rtl/>
              </w:rPr>
              <w:t>النهاية</w:t>
            </w:r>
            <w:r>
              <w:rPr>
                <w:rtl/>
              </w:rPr>
              <w:t>،ج4،</w:t>
            </w:r>
            <w:r w:rsidRPr="00C9040A">
              <w:rPr>
                <w:rtl/>
              </w:rPr>
              <w:t>ص346</w:t>
            </w:r>
            <w:r>
              <w:rPr>
                <w:rtl/>
              </w:rPr>
              <w:t>(مقت</w:t>
            </w:r>
            <w:r w:rsidRPr="00C9040A">
              <w:rPr>
                <w:rtl/>
              </w:rPr>
              <w:t>)</w:t>
            </w:r>
            <w:r>
              <w:rPr>
                <w:rtl/>
              </w:rPr>
              <w:t>.</w:t>
            </w:r>
          </w:p>
        </w:tc>
      </w:tr>
    </w:tbl>
    <w:p w:rsidR="008A74EB" w:rsidRPr="00C9040A" w:rsidRDefault="006C577F" w:rsidP="004A4E41">
      <w:pPr>
        <w:pStyle w:val="libFootnote0"/>
        <w:rPr>
          <w:rtl/>
          <w:lang w:bidi="fa-IR"/>
        </w:rPr>
      </w:pPr>
      <w:r>
        <w:rPr>
          <w:rtl/>
        </w:rPr>
        <w:t>(7).</w:t>
      </w:r>
      <w:r w:rsidR="008A74EB" w:rsidRPr="00C9040A">
        <w:rPr>
          <w:rtl/>
        </w:rPr>
        <w:t xml:space="preserve"> في « ب ، ج ، ص ، ف ، </w:t>
      </w:r>
      <w:r w:rsidR="006D3162">
        <w:rPr>
          <w:rtl/>
        </w:rPr>
        <w:t xml:space="preserve">ه </w:t>
      </w:r>
      <w:r w:rsidR="008A74EB" w:rsidRPr="00C9040A">
        <w:rPr>
          <w:rtl/>
        </w:rPr>
        <w:t>، بر » والوافي والبحار : « الذي »</w:t>
      </w:r>
      <w:r w:rsidR="008A74EB">
        <w:rPr>
          <w:rtl/>
        </w:rPr>
        <w:t>.</w:t>
      </w:r>
      <w:r w:rsidR="008A74EB" w:rsidRPr="00C9040A">
        <w:rPr>
          <w:rtl/>
        </w:rPr>
        <w:t xml:space="preserve"> وفي الوسائل </w:t>
      </w:r>
      <w:r w:rsidR="008A74EB">
        <w:rPr>
          <w:rtl/>
        </w:rPr>
        <w:t xml:space="preserve">: </w:t>
      </w:r>
      <w:r w:rsidR="0084262C">
        <w:rPr>
          <w:rtl/>
        </w:rPr>
        <w:t>-</w:t>
      </w:r>
      <w:r w:rsidR="008A74EB" w:rsidRPr="00C9040A">
        <w:rPr>
          <w:rtl/>
        </w:rPr>
        <w:t xml:space="preserve"> « للذي »</w:t>
      </w:r>
      <w:r w:rsidR="008A74EB">
        <w:rPr>
          <w:rtl/>
        </w:rPr>
        <w:t>.</w:t>
      </w:r>
      <w:r w:rsidR="008A74EB" w:rsidRPr="00C9040A">
        <w:rPr>
          <w:rtl/>
        </w:rPr>
        <w:t xml:space="preserve"> وفي البصائر : « إليّ الذي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 ب » : « وينسب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البصائر : « فلم يعقله ولم يقبله قلبه » بدل « فلم يقبله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البصائر : « بمن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هكذا في النسخ والوافي والبحار والبصائر. وفي المطبوع : « عن »</w:t>
      </w:r>
      <w:r w:rsidR="008A74EB">
        <w:rPr>
          <w:rtl/>
        </w:rPr>
        <w:t>.</w:t>
      </w:r>
    </w:p>
    <w:p w:rsidR="008A74EB" w:rsidRPr="00C9040A" w:rsidRDefault="006C577F" w:rsidP="00F505BC">
      <w:pPr>
        <w:pStyle w:val="libFootnote0"/>
        <w:rPr>
          <w:rtl/>
          <w:lang w:bidi="fa-IR"/>
        </w:rPr>
      </w:pPr>
      <w:r>
        <w:rPr>
          <w:rtl/>
        </w:rPr>
        <w:t>(12).</w:t>
      </w:r>
      <w:r w:rsidR="008A74EB" w:rsidRPr="00C9040A">
        <w:rPr>
          <w:rtl/>
        </w:rPr>
        <w:t xml:space="preserve"> </w:t>
      </w:r>
      <w:r w:rsidR="008A74EB" w:rsidRPr="00993B55">
        <w:rPr>
          <w:rStyle w:val="libFootnoteBoldChar"/>
          <w:rtl/>
        </w:rPr>
        <w:t>بصائر الدرجات</w:t>
      </w:r>
      <w:r w:rsidR="008A74EB" w:rsidRPr="00C9040A">
        <w:rPr>
          <w:rtl/>
        </w:rPr>
        <w:t xml:space="preserve"> ، ص 537 ، ح 1 ، عن أحمد بن محمّد</w:t>
      </w:r>
      <w:r w:rsidR="00F505BC">
        <w:rPr>
          <w:rFonts w:hint="cs"/>
          <w:rtl/>
        </w:rPr>
        <w:t>.</w:t>
      </w:r>
      <w:r w:rsidR="008A74EB" w:rsidRPr="00993B55">
        <w:rPr>
          <w:rStyle w:val="libFootnoteBoldChar"/>
          <w:rtl/>
        </w:rPr>
        <w:t>الوافي</w:t>
      </w:r>
      <w:r w:rsidR="008A74EB" w:rsidRPr="00C9040A">
        <w:rPr>
          <w:rtl/>
        </w:rPr>
        <w:t xml:space="preserve"> ، ج 5 ، ص 699 ، ح 2906 ؛ </w:t>
      </w:r>
      <w:r w:rsidR="008A74EB" w:rsidRPr="00993B55">
        <w:rPr>
          <w:rStyle w:val="libFootnoteBoldChar"/>
          <w:rtl/>
        </w:rPr>
        <w:t>الوسائل</w:t>
      </w:r>
      <w:r w:rsidR="008A74EB" w:rsidRPr="00C9040A">
        <w:rPr>
          <w:rtl/>
        </w:rPr>
        <w:t xml:space="preserve"> ، ج 27 ، ص 87 ، ح 33284 ؛ </w:t>
      </w:r>
      <w:r w:rsidR="008A74EB" w:rsidRPr="00993B55">
        <w:rPr>
          <w:rStyle w:val="libFootnoteBoldChar"/>
          <w:rtl/>
        </w:rPr>
        <w:t>البحار</w:t>
      </w:r>
      <w:r w:rsidR="008A74EB" w:rsidRPr="00C9040A">
        <w:rPr>
          <w:rtl/>
        </w:rPr>
        <w:t xml:space="preserve"> ، ج 75 ، ص 76 ، ح 24.</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4C0078">
        <w:rPr>
          <w:rtl/>
        </w:rPr>
        <w:t>2271</w:t>
      </w:r>
      <w:r w:rsidRPr="00261CB0">
        <w:rPr>
          <w:rStyle w:val="libBold2Char"/>
          <w:rtl/>
        </w:rPr>
        <w:t xml:space="preserve"> / 8.</w:t>
      </w:r>
      <w:r w:rsidRPr="00C9040A">
        <w:rPr>
          <w:rtl/>
          <w:lang w:bidi="fa-IR"/>
        </w:rPr>
        <w:t xml:space="preserve"> عِدَّةٌ مِنْ أَصْحَابِنَا ، عَنْ أَحْمَدَ بْنِ مُحَمَّدِ بْنِ خَالِدٍ ، عَنْ أَبِيهِ ، عَنْ عَبْدِ اللهِ بْنِ يَحْيى ، عَنْ حَرِيزٍ ، عَنْ مُعَلَّى بْنِ خُنَيْسٍ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يَا مُعَلّى ، اكْتُمْ أَمْرَنَا ، وَلَا تُذِعْهُ ، فَإِنَّهُ مَنْ كَتَمَ أَمْرَنَا وَلَمْ يُذِعْهُ ، أَعَزَّهُ اللهُ بِهِ </w:t>
      </w:r>
      <w:r w:rsidR="006C577F" w:rsidRPr="006C577F">
        <w:rPr>
          <w:rStyle w:val="libFootnotenumChar"/>
          <w:rtl/>
        </w:rPr>
        <w:t>(1)</w:t>
      </w:r>
      <w:r w:rsidRPr="00C9040A">
        <w:rPr>
          <w:rtl/>
          <w:lang w:bidi="fa-IR"/>
        </w:rPr>
        <w:t xml:space="preserve"> فِي الدُّنْيَا ، وَجَعَلَهُ نُوراً بَيْنَ عَيْنَيْهِ </w:t>
      </w:r>
      <w:r w:rsidR="006C577F" w:rsidRPr="006C577F">
        <w:rPr>
          <w:rStyle w:val="libFootnotenumChar"/>
          <w:rtl/>
        </w:rPr>
        <w:t>(2)</w:t>
      </w:r>
      <w:r w:rsidRPr="00C9040A">
        <w:rPr>
          <w:rtl/>
          <w:lang w:bidi="fa-IR"/>
        </w:rPr>
        <w:t xml:space="preserve"> فِي الْآخِرَةِ يَقُودُهُ إِلَى </w:t>
      </w:r>
      <w:r w:rsidR="006C577F" w:rsidRPr="006C577F">
        <w:rPr>
          <w:rStyle w:val="libFootnotenumChar"/>
          <w:rtl/>
        </w:rPr>
        <w:t>(3)</w:t>
      </w:r>
      <w:r w:rsidRPr="00C9040A">
        <w:rPr>
          <w:rtl/>
          <w:lang w:bidi="fa-IR"/>
        </w:rPr>
        <w:t xml:space="preserve"> الْجَنَّةِ ؛ يَا مُعَلّى ، مَنْ </w:t>
      </w:r>
      <w:r w:rsidR="006C577F" w:rsidRPr="006C577F">
        <w:rPr>
          <w:rStyle w:val="libFootnotenumChar"/>
          <w:rtl/>
        </w:rPr>
        <w:t>(4)</w:t>
      </w:r>
      <w:r w:rsidRPr="00C9040A">
        <w:rPr>
          <w:rtl/>
          <w:lang w:bidi="fa-IR"/>
        </w:rPr>
        <w:t xml:space="preserve"> أَذَاعَ </w:t>
      </w:r>
      <w:r w:rsidR="006C577F" w:rsidRPr="006C577F">
        <w:rPr>
          <w:rStyle w:val="libFootnotenumChar"/>
          <w:rtl/>
        </w:rPr>
        <w:t>(5)</w:t>
      </w:r>
      <w:r w:rsidRPr="00C9040A">
        <w:rPr>
          <w:rtl/>
          <w:lang w:bidi="fa-IR"/>
        </w:rPr>
        <w:t xml:space="preserve"> أَمْرَنَا وَلَمْ يَكْتُمْهُ </w:t>
      </w:r>
      <w:r w:rsidR="006C577F" w:rsidRPr="006C577F">
        <w:rPr>
          <w:rStyle w:val="libFootnotenumChar"/>
          <w:rtl/>
        </w:rPr>
        <w:t>(6)</w:t>
      </w:r>
      <w:r w:rsidRPr="005B567D">
        <w:rPr>
          <w:rStyle w:val="libFootnotenumChar"/>
          <w:rtl/>
        </w:rPr>
        <w:t xml:space="preserve"> </w:t>
      </w:r>
      <w:r w:rsidRPr="00C9040A">
        <w:rPr>
          <w:rtl/>
          <w:lang w:bidi="fa-IR"/>
        </w:rPr>
        <w:t xml:space="preserve">، أَذَلَّهُ اللهُ بِهِ فِي الدُّنْيَا ، وَنَزَعَ النُّورَ مِنْ بَيْنِ عَيْنَيْهِ فِي الْآخِرَةِ ، وَجَعَلَهُ ظُلْمَةً تَقُودُهُ إِلَى النَّارِ ؛ يَا مُعَلّى ، إِنَّ التَّقِيَّةَ مِنْ </w:t>
      </w:r>
      <w:r w:rsidR="006C577F" w:rsidRPr="006C577F">
        <w:rPr>
          <w:rStyle w:val="libFootnotenumChar"/>
          <w:rtl/>
        </w:rPr>
        <w:t>(7)</w:t>
      </w:r>
      <w:r w:rsidRPr="00C9040A">
        <w:rPr>
          <w:rtl/>
          <w:lang w:bidi="fa-IR"/>
        </w:rPr>
        <w:t xml:space="preserve"> دِينِي وَدِينِ آبَائِي ، وَلَا دِينَ لِمَنْ لَاتَقِيَّةَ لَهُ </w:t>
      </w:r>
      <w:r w:rsidR="006C577F" w:rsidRPr="006C577F">
        <w:rPr>
          <w:rStyle w:val="libFootnotenumChar"/>
          <w:rtl/>
        </w:rPr>
        <w:t>(8)</w:t>
      </w:r>
      <w:r w:rsidRPr="00C9040A">
        <w:rPr>
          <w:rtl/>
          <w:lang w:bidi="fa-IR"/>
        </w:rPr>
        <w:t xml:space="preserve"> ، يَا مُعَلّى ، إِنَّ اللهَ يُحِبُّ أَنْ يُعْبَدَ فِي السِّرِّ ، كَمَا يُحِبُّ أَنْ يُعْبَدَ فِي الْعَلَانِيَةِ ؛ يَا مُعَلّى ، إِنَّ الْمُذِيعَ لِأَمْرِنَا كَالْجَاحِدِ لَهُ </w:t>
      </w:r>
      <w:r w:rsidR="006C577F" w:rsidRPr="006C577F">
        <w:rPr>
          <w:rStyle w:val="libFootnotenumChar"/>
          <w:rtl/>
        </w:rPr>
        <w:t>(9)</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Normal"/>
        <w:rPr>
          <w:rtl/>
          <w:lang w:bidi="fa-IR"/>
        </w:rPr>
      </w:pPr>
      <w:r w:rsidRPr="004C0078">
        <w:rPr>
          <w:rtl/>
        </w:rPr>
        <w:t>2272</w:t>
      </w:r>
      <w:r w:rsidRPr="00261CB0">
        <w:rPr>
          <w:rStyle w:val="libBold2Char"/>
          <w:rtl/>
        </w:rPr>
        <w:t xml:space="preserve"> / 9.</w:t>
      </w:r>
      <w:r w:rsidRPr="00C9040A">
        <w:rPr>
          <w:rtl/>
          <w:lang w:bidi="fa-IR"/>
        </w:rPr>
        <w:t xml:space="preserve"> مُحَمَّدُ بْنُ يَحْيى ، عَنْ أَحْمَدَ بْنِ مُحَمَّدٍ ، عَنِ الْحَسَنِ بْنِ عَلِيٍّ ، عَنْ مَرْوَانَ بْنِ مُسْلِمٍ ، عَنْ عَمَّارٍ ، قَالَ :</w:t>
      </w:r>
    </w:p>
    <w:p w:rsidR="008A74EB" w:rsidRPr="00C9040A" w:rsidRDefault="008A74EB" w:rsidP="008A74EB">
      <w:pPr>
        <w:pStyle w:val="libNormal"/>
        <w:rPr>
          <w:rtl/>
          <w:lang w:bidi="fa-IR"/>
        </w:rPr>
      </w:pPr>
      <w:r w:rsidRPr="00C9040A">
        <w:rPr>
          <w:rtl/>
          <w:lang w:bidi="fa-IR"/>
        </w:rPr>
        <w:t xml:space="preserve">قَالَ لِي </w:t>
      </w:r>
      <w:r w:rsidR="006C577F" w:rsidRPr="006C577F">
        <w:rPr>
          <w:rStyle w:val="libFootnotenumChar"/>
          <w:rtl/>
        </w:rPr>
        <w:t>(11)</w:t>
      </w:r>
      <w:r w:rsidRPr="00C9040A">
        <w:rPr>
          <w:rtl/>
          <w:lang w:bidi="fa-IR"/>
        </w:rPr>
        <w:t xml:space="preserve"> أَبُو عَبْدِ اللهِ </w:t>
      </w:r>
      <w:r w:rsidRPr="0003660B">
        <w:rPr>
          <w:rStyle w:val="libAlaemChar"/>
          <w:rtl/>
        </w:rPr>
        <w:t>عليه‌السلام</w:t>
      </w:r>
      <w:r w:rsidRPr="00C9040A">
        <w:rPr>
          <w:rtl/>
          <w:lang w:bidi="fa-IR"/>
        </w:rPr>
        <w:t xml:space="preserve"> : « أَخْبَرْتَ </w:t>
      </w:r>
      <w:r w:rsidR="006C577F" w:rsidRPr="006C577F">
        <w:rPr>
          <w:rStyle w:val="libFootnotenumChar"/>
          <w:rtl/>
        </w:rPr>
        <w:t>(12)</w:t>
      </w:r>
      <w:r w:rsidRPr="00C9040A">
        <w:rPr>
          <w:rtl/>
          <w:lang w:bidi="fa-IR"/>
        </w:rPr>
        <w:t xml:space="preserve"> بِمَا </w:t>
      </w:r>
      <w:r w:rsidRPr="005B567D">
        <w:rPr>
          <w:rStyle w:val="libFootnotenumChar"/>
          <w:rtl/>
        </w:rPr>
        <w:t>(13)</w:t>
      </w:r>
      <w:r w:rsidRPr="00C9040A">
        <w:rPr>
          <w:rtl/>
          <w:lang w:bidi="fa-IR"/>
        </w:rPr>
        <w:t xml:space="preserve"> أَخْبَرْتُكَ بِهِ أَحَداً</w:t>
      </w:r>
      <w:r>
        <w:rPr>
          <w:rtl/>
          <w:lang w:bidi="fa-IR"/>
        </w:rPr>
        <w:t>؟</w:t>
      </w:r>
      <w:r w:rsidRPr="00C9040A">
        <w:rPr>
          <w:rtl/>
          <w:lang w:bidi="fa-IR"/>
        </w:rPr>
        <w:t xml:space="preserve"> » قُلْتُ : لَا</w:t>
      </w:r>
      <w:r w:rsidR="00F505BC">
        <w:rPr>
          <w:rtl/>
          <w:lang w:bidi="fa-IR"/>
        </w:rPr>
        <w:t xml:space="preserve"> ، إِل</w:t>
      </w:r>
      <w:r w:rsidR="00F505BC">
        <w:rPr>
          <w:rFonts w:hint="cs"/>
          <w:rtl/>
          <w:lang w:bidi="fa-IR"/>
        </w:rPr>
        <w:t>َّ</w:t>
      </w:r>
      <w:r w:rsidR="00F505BC">
        <w:rPr>
          <w:rtl/>
          <w:lang w:bidi="fa-IR"/>
        </w:rPr>
        <w:t>ا</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w:t>
      </w:r>
      <w:r w:rsidR="006D3162">
        <w:rPr>
          <w:rtl/>
        </w:rPr>
        <w:t xml:space="preserve">ه </w:t>
      </w:r>
      <w:r w:rsidR="008A74EB" w:rsidRPr="00C9040A">
        <w:rPr>
          <w:rtl/>
        </w:rPr>
        <w:t xml:space="preserve">» والمحاسن </w:t>
      </w:r>
      <w:r w:rsidR="008A74EB">
        <w:rPr>
          <w:rtl/>
        </w:rPr>
        <w:t xml:space="preserve">: </w:t>
      </w:r>
      <w:r w:rsidR="0084262C">
        <w:rPr>
          <w:rtl/>
        </w:rPr>
        <w:t>-</w:t>
      </w:r>
      <w:r w:rsidR="008A74EB" w:rsidRPr="00C9040A">
        <w:rPr>
          <w:rtl/>
        </w:rPr>
        <w:t xml:space="preserve"> « به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w:t>
      </w:r>
      <w:r w:rsidR="006D3162">
        <w:rPr>
          <w:rtl/>
        </w:rPr>
        <w:t xml:space="preserve">ه </w:t>
      </w:r>
      <w:r w:rsidR="008A74EB" w:rsidRPr="00C9040A">
        <w:rPr>
          <w:rtl/>
        </w:rPr>
        <w:t>» وحاشية « بر » : « يديه »</w:t>
      </w:r>
      <w:r w:rsidR="008A74EB">
        <w:rPr>
          <w:rtl/>
        </w:rPr>
        <w:t>.</w:t>
      </w:r>
    </w:p>
    <w:tbl>
      <w:tblPr>
        <w:tblStyle w:val="TableGrid"/>
        <w:bidiVisual/>
        <w:tblW w:w="0" w:type="auto"/>
        <w:tblLook w:val="04A0" w:firstRow="1" w:lastRow="0" w:firstColumn="1" w:lastColumn="0" w:noHBand="0" w:noVBand="1"/>
      </w:tblPr>
      <w:tblGrid>
        <w:gridCol w:w="4006"/>
        <w:gridCol w:w="4006"/>
      </w:tblGrid>
      <w:tr w:rsidR="00EE45FD" w:rsidTr="00EE45FD">
        <w:tc>
          <w:tcPr>
            <w:tcW w:w="4006" w:type="dxa"/>
          </w:tcPr>
          <w:p w:rsidR="00EE45FD" w:rsidRDefault="00EE45FD" w:rsidP="004A4E41">
            <w:pPr>
              <w:pStyle w:val="libFootnote0"/>
              <w:rPr>
                <w:rtl/>
              </w:rPr>
            </w:pPr>
            <w:r>
              <w:rPr>
                <w:rtl/>
              </w:rPr>
              <w:t>(3).</w:t>
            </w:r>
            <w:r w:rsidRPr="00C9040A">
              <w:rPr>
                <w:rtl/>
              </w:rPr>
              <w:t xml:space="preserve"> في « ج ، ز ، ص ، ف » : « في »</w:t>
            </w:r>
            <w:r>
              <w:rPr>
                <w:rtl/>
              </w:rPr>
              <w:t>.</w:t>
            </w:r>
          </w:p>
        </w:tc>
        <w:tc>
          <w:tcPr>
            <w:tcW w:w="4006" w:type="dxa"/>
          </w:tcPr>
          <w:p w:rsidR="00EE45FD" w:rsidRDefault="00B67A26" w:rsidP="004A4E41">
            <w:pPr>
              <w:pStyle w:val="libFootnote0"/>
              <w:rPr>
                <w:rtl/>
              </w:rPr>
            </w:pPr>
            <w:r>
              <w:rPr>
                <w:rtl/>
              </w:rPr>
              <w:t>(4).</w:t>
            </w:r>
            <w:r w:rsidRPr="00C9040A">
              <w:rPr>
                <w:rtl/>
              </w:rPr>
              <w:t xml:space="preserve"> في « </w:t>
            </w:r>
            <w:r>
              <w:rPr>
                <w:rtl/>
              </w:rPr>
              <w:t xml:space="preserve">ه </w:t>
            </w:r>
            <w:r w:rsidRPr="00C9040A">
              <w:rPr>
                <w:rtl/>
              </w:rPr>
              <w:t>» : « ومن »</w:t>
            </w:r>
            <w:r>
              <w:rPr>
                <w:rtl/>
              </w:rPr>
              <w:t>.</w:t>
            </w:r>
          </w:p>
        </w:tc>
      </w:tr>
      <w:tr w:rsidR="00EE45FD" w:rsidTr="00EE45FD">
        <w:tc>
          <w:tcPr>
            <w:tcW w:w="4006" w:type="dxa"/>
          </w:tcPr>
          <w:p w:rsidR="00EE45FD" w:rsidRDefault="00B67A26" w:rsidP="004A4E41">
            <w:pPr>
              <w:pStyle w:val="libFootnote0"/>
              <w:rPr>
                <w:rtl/>
              </w:rPr>
            </w:pPr>
            <w:r>
              <w:rPr>
                <w:rtl/>
              </w:rPr>
              <w:t>(5).</w:t>
            </w:r>
            <w:r w:rsidRPr="00C9040A">
              <w:rPr>
                <w:rtl/>
              </w:rPr>
              <w:t xml:space="preserve"> في المحاسن : + « حديثنا </w:t>
            </w:r>
            <w:r>
              <w:rPr>
                <w:rtl/>
              </w:rPr>
              <w:t>و ».</w:t>
            </w:r>
          </w:p>
        </w:tc>
        <w:tc>
          <w:tcPr>
            <w:tcW w:w="4006" w:type="dxa"/>
          </w:tcPr>
          <w:p w:rsidR="00EE45FD" w:rsidRDefault="00B67A26" w:rsidP="004A4E41">
            <w:pPr>
              <w:pStyle w:val="libFootnote0"/>
              <w:rPr>
                <w:rtl/>
              </w:rPr>
            </w:pPr>
            <w:r>
              <w:rPr>
                <w:rtl/>
              </w:rPr>
              <w:t xml:space="preserve">(6). </w:t>
            </w:r>
            <w:r w:rsidRPr="00C9040A">
              <w:rPr>
                <w:rtl/>
              </w:rPr>
              <w:t>في المحاسن : « ولم يكتمها »</w:t>
            </w:r>
            <w:r>
              <w:rPr>
                <w:rtl/>
              </w:rPr>
              <w:t>.</w:t>
            </w:r>
          </w:p>
        </w:tc>
      </w:tr>
      <w:tr w:rsidR="00EE45FD" w:rsidTr="00EE45FD">
        <w:tc>
          <w:tcPr>
            <w:tcW w:w="4006" w:type="dxa"/>
          </w:tcPr>
          <w:p w:rsidR="00EE45FD" w:rsidRDefault="00B67A26" w:rsidP="004A4E41">
            <w:pPr>
              <w:pStyle w:val="libFootnote0"/>
              <w:rPr>
                <w:rtl/>
              </w:rPr>
            </w:pPr>
            <w:r>
              <w:rPr>
                <w:rtl/>
              </w:rPr>
              <w:t>(7).</w:t>
            </w:r>
            <w:r w:rsidRPr="00C9040A">
              <w:rPr>
                <w:rtl/>
              </w:rPr>
              <w:t xml:space="preserve"> في المحاسن </w:t>
            </w:r>
            <w:r>
              <w:rPr>
                <w:rtl/>
              </w:rPr>
              <w:t>: -</w:t>
            </w:r>
            <w:r w:rsidRPr="00C9040A">
              <w:rPr>
                <w:rtl/>
              </w:rPr>
              <w:t xml:space="preserve"> « من »</w:t>
            </w:r>
            <w:r>
              <w:rPr>
                <w:rtl/>
              </w:rPr>
              <w:t>.</w:t>
            </w:r>
          </w:p>
        </w:tc>
        <w:tc>
          <w:tcPr>
            <w:tcW w:w="4006" w:type="dxa"/>
          </w:tcPr>
          <w:p w:rsidR="00EE45FD" w:rsidRDefault="00B67A26" w:rsidP="004A4E41">
            <w:pPr>
              <w:pStyle w:val="libFootnote0"/>
              <w:rPr>
                <w:rtl/>
              </w:rPr>
            </w:pPr>
            <w:r>
              <w:rPr>
                <w:rtl/>
              </w:rPr>
              <w:t>(8).</w:t>
            </w:r>
            <w:r w:rsidRPr="00C9040A">
              <w:rPr>
                <w:rtl/>
              </w:rPr>
              <w:t xml:space="preserve"> في « ج ، بف » </w:t>
            </w:r>
            <w:r>
              <w:rPr>
                <w:rtl/>
              </w:rPr>
              <w:t>: -</w:t>
            </w:r>
            <w:r w:rsidRPr="00C9040A">
              <w:rPr>
                <w:rtl/>
              </w:rPr>
              <w:t xml:space="preserve"> « له »</w:t>
            </w:r>
            <w:r>
              <w:rPr>
                <w:rtl/>
              </w:rPr>
              <w:t>.</w:t>
            </w:r>
          </w:p>
        </w:tc>
      </w:tr>
    </w:tbl>
    <w:p w:rsidR="008A74EB" w:rsidRPr="00C9040A" w:rsidRDefault="006C577F" w:rsidP="004A4E41">
      <w:pPr>
        <w:pStyle w:val="libFootnote0"/>
        <w:rPr>
          <w:rtl/>
          <w:lang w:bidi="fa-IR"/>
        </w:rPr>
      </w:pPr>
      <w:r>
        <w:rPr>
          <w:rtl/>
        </w:rPr>
        <w:t>(9).</w:t>
      </w:r>
      <w:r w:rsidR="008A74EB" w:rsidRPr="00C9040A">
        <w:rPr>
          <w:rtl/>
        </w:rPr>
        <w:t xml:space="preserve"> في المحاسن : « به »</w:t>
      </w:r>
      <w:r w:rsidR="008A74EB">
        <w:rPr>
          <w:rtl/>
        </w:rPr>
        <w:t>.</w:t>
      </w:r>
    </w:p>
    <w:p w:rsidR="008A74EB" w:rsidRPr="00C9040A" w:rsidRDefault="006C577F" w:rsidP="004121AE">
      <w:pPr>
        <w:pStyle w:val="libFootnote0"/>
        <w:rPr>
          <w:rtl/>
          <w:lang w:bidi="fa-IR"/>
        </w:rPr>
      </w:pPr>
      <w:r>
        <w:rPr>
          <w:rtl/>
        </w:rPr>
        <w:t>(10).</w:t>
      </w:r>
      <w:r w:rsidR="008A74EB" w:rsidRPr="00C9040A">
        <w:rPr>
          <w:rtl/>
        </w:rPr>
        <w:t xml:space="preserve"> </w:t>
      </w:r>
      <w:r w:rsidR="008A74EB" w:rsidRPr="00993B55">
        <w:rPr>
          <w:rStyle w:val="libFootnoteBoldChar"/>
          <w:rtl/>
        </w:rPr>
        <w:t>المحاسن</w:t>
      </w:r>
      <w:r w:rsidR="008A74EB" w:rsidRPr="00C9040A">
        <w:rPr>
          <w:rtl/>
        </w:rPr>
        <w:t xml:space="preserve"> ، ص 255 ، كتاب مصابيح الظلم ، ح 286. وفي </w:t>
      </w:r>
      <w:r w:rsidR="008A74EB" w:rsidRPr="00993B55">
        <w:rPr>
          <w:rStyle w:val="libFootnoteBoldChar"/>
          <w:rtl/>
        </w:rPr>
        <w:t>الكافي</w:t>
      </w:r>
      <w:r w:rsidR="008A74EB" w:rsidRPr="00C9040A">
        <w:rPr>
          <w:rtl/>
        </w:rPr>
        <w:t xml:space="preserve"> ، كتاب الإيمان والكفر ، باب التقيّة ، ح 2252 ، بسند آخر عن أبي‌الحسن </w:t>
      </w:r>
      <w:r w:rsidR="00117575" w:rsidRPr="00117575">
        <w:rPr>
          <w:rStyle w:val="libFootnoteAlaemChar"/>
          <w:rtl/>
        </w:rPr>
        <w:t>عليه‌السلام</w:t>
      </w:r>
      <w:r w:rsidR="008A74EB" w:rsidRPr="00C9040A">
        <w:rPr>
          <w:rtl/>
        </w:rPr>
        <w:t xml:space="preserve"> عن أبي‌جعفر </w:t>
      </w:r>
      <w:r w:rsidR="00117575" w:rsidRPr="00117575">
        <w:rPr>
          <w:rStyle w:val="libFootnoteAlaemChar"/>
          <w:rtl/>
        </w:rPr>
        <w:t>عليه‌السلام</w:t>
      </w:r>
      <w:r w:rsidR="008A74EB" w:rsidRPr="00C9040A">
        <w:rPr>
          <w:rtl/>
        </w:rPr>
        <w:t xml:space="preserve"> ، وتمام الرواية فيه : « التقيّة من ديني ودين آبائي ، ولا إيمان لمن لا تقيّة له »</w:t>
      </w:r>
      <w:r w:rsidR="008A74EB">
        <w:rPr>
          <w:rtl/>
        </w:rPr>
        <w:t>.</w:t>
      </w:r>
      <w:r w:rsidR="008A74EB" w:rsidRPr="00C9040A">
        <w:rPr>
          <w:rtl/>
        </w:rPr>
        <w:t xml:space="preserve"> </w:t>
      </w:r>
      <w:r w:rsidR="008A74EB" w:rsidRPr="00993B55">
        <w:rPr>
          <w:rStyle w:val="libFootnoteBoldChar"/>
          <w:rtl/>
        </w:rPr>
        <w:t>الجعفريّات</w:t>
      </w:r>
      <w:r w:rsidR="008A74EB" w:rsidRPr="00C9040A">
        <w:rPr>
          <w:rtl/>
        </w:rPr>
        <w:t xml:space="preserve"> ، ص 180 ، بسنده عن جعفر بن محمّد ، عن آبائه ، عن عليّ بن أبي‌طالب </w:t>
      </w:r>
      <w:r w:rsidR="00117575" w:rsidRPr="00117575">
        <w:rPr>
          <w:rStyle w:val="libFootnoteAlaemChar"/>
          <w:rtl/>
        </w:rPr>
        <w:t>عليهم‌السلام</w:t>
      </w:r>
      <w:r w:rsidR="008A74EB" w:rsidRPr="00C9040A">
        <w:rPr>
          <w:rtl/>
        </w:rPr>
        <w:t xml:space="preserve"> ، وتمام الرواية فيه : « التقيّة ديني ودين أهل بيتي »</w:t>
      </w:r>
      <w:r w:rsidR="008A74EB">
        <w:rPr>
          <w:rtl/>
        </w:rPr>
        <w:t>.</w:t>
      </w:r>
      <w:r w:rsidR="008A74EB" w:rsidRPr="00C9040A">
        <w:rPr>
          <w:rtl/>
        </w:rPr>
        <w:t xml:space="preserve"> راجع : </w:t>
      </w:r>
      <w:r w:rsidR="008A74EB" w:rsidRPr="00993B55">
        <w:rPr>
          <w:rStyle w:val="libFootnoteBoldChar"/>
          <w:rtl/>
        </w:rPr>
        <w:t>الكافي</w:t>
      </w:r>
      <w:r w:rsidR="008A74EB" w:rsidRPr="00C9040A">
        <w:rPr>
          <w:rtl/>
        </w:rPr>
        <w:t xml:space="preserve"> ، نفس الباب ، ح 2242 ؛ و</w:t>
      </w:r>
      <w:r w:rsidR="008A74EB" w:rsidRPr="00993B55">
        <w:rPr>
          <w:rStyle w:val="libFootnoteBoldChar"/>
          <w:rtl/>
        </w:rPr>
        <w:t xml:space="preserve">الغيبة </w:t>
      </w:r>
      <w:r w:rsidR="008A74EB" w:rsidRPr="00C9040A">
        <w:rPr>
          <w:rtl/>
        </w:rPr>
        <w:t>للنعماني ، ص 38 ، ح 12</w:t>
      </w:r>
      <w:r w:rsidR="004121AE">
        <w:rPr>
          <w:rFonts w:hint="cs"/>
          <w:rtl/>
        </w:rPr>
        <w:t>.</w:t>
      </w:r>
      <w:r w:rsidR="008A74EB" w:rsidRPr="00993B55">
        <w:rPr>
          <w:rStyle w:val="libFootnoteBoldChar"/>
          <w:rtl/>
        </w:rPr>
        <w:t>الوافي</w:t>
      </w:r>
      <w:r w:rsidR="008A74EB" w:rsidRPr="00C9040A">
        <w:rPr>
          <w:rtl/>
        </w:rPr>
        <w:t xml:space="preserve"> ، ج 5 ، ص 700 ، ح 2907 ؛ </w:t>
      </w:r>
      <w:r w:rsidR="008A74EB" w:rsidRPr="00993B55">
        <w:rPr>
          <w:rStyle w:val="libFootnoteBoldChar"/>
          <w:rtl/>
        </w:rPr>
        <w:t>الوسائل</w:t>
      </w:r>
      <w:r w:rsidR="008A74EB" w:rsidRPr="00C9040A">
        <w:rPr>
          <w:rtl/>
        </w:rPr>
        <w:t xml:space="preserve"> ، ج 16 ، ص 236 ، ح 21452 ؛ </w:t>
      </w:r>
      <w:r w:rsidR="008A74EB" w:rsidRPr="00993B55">
        <w:rPr>
          <w:rStyle w:val="libFootnoteBoldChar"/>
          <w:rtl/>
        </w:rPr>
        <w:t>البحار</w:t>
      </w:r>
      <w:r w:rsidR="008A74EB" w:rsidRPr="00C9040A">
        <w:rPr>
          <w:rtl/>
        </w:rPr>
        <w:t xml:space="preserve"> ، ج 75 ، ص 76 ، ح 25.</w:t>
      </w:r>
    </w:p>
    <w:p w:rsidR="008A74EB" w:rsidRPr="00C9040A" w:rsidRDefault="006C577F" w:rsidP="004A4E41">
      <w:pPr>
        <w:pStyle w:val="libFootnote0"/>
        <w:rPr>
          <w:rtl/>
          <w:lang w:bidi="fa-IR"/>
        </w:rPr>
      </w:pPr>
      <w:r>
        <w:rPr>
          <w:rtl/>
        </w:rPr>
        <w:t>(11).</w:t>
      </w:r>
      <w:r w:rsidR="008A74EB" w:rsidRPr="00C9040A">
        <w:rPr>
          <w:rtl/>
        </w:rPr>
        <w:t xml:space="preserve"> في « ج ، د ، ص ، ض ، </w:t>
      </w:r>
      <w:r w:rsidR="006D3162">
        <w:rPr>
          <w:rtl/>
        </w:rPr>
        <w:t xml:space="preserve">ه </w:t>
      </w:r>
      <w:r w:rsidR="008A74EB" w:rsidRPr="00C9040A">
        <w:rPr>
          <w:rtl/>
        </w:rPr>
        <w:t xml:space="preserve">، بس ، بف » </w:t>
      </w:r>
      <w:r w:rsidR="008A74EB">
        <w:rPr>
          <w:rtl/>
        </w:rPr>
        <w:t xml:space="preserve">: </w:t>
      </w:r>
      <w:r w:rsidR="0084262C">
        <w:rPr>
          <w:rtl/>
        </w:rPr>
        <w:t>-</w:t>
      </w:r>
      <w:r w:rsidR="008A74EB" w:rsidRPr="00C9040A">
        <w:rPr>
          <w:rtl/>
        </w:rPr>
        <w:t xml:space="preserve"> « لي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في </w:t>
      </w:r>
      <w:r w:rsidR="008A74EB" w:rsidRPr="00993B55">
        <w:rPr>
          <w:rStyle w:val="libFootnoteBoldChar"/>
          <w:rtl/>
        </w:rPr>
        <w:t>مرآة العقول</w:t>
      </w:r>
      <w:r w:rsidR="008A74EB" w:rsidRPr="00C9040A">
        <w:rPr>
          <w:rtl/>
        </w:rPr>
        <w:t xml:space="preserve"> : « قوله : أخبرت ، إمّا على بناء الإفعال بحذف حرف الاستفهام ، أو بناء التفعيل بإثباته »</w:t>
      </w:r>
      <w:r w:rsidR="008A74EB">
        <w:rPr>
          <w:rtl/>
        </w:rPr>
        <w:t>.</w:t>
      </w:r>
    </w:p>
    <w:p w:rsidR="008A74EB" w:rsidRPr="00C9040A" w:rsidRDefault="008A74EB" w:rsidP="004A4E41">
      <w:pPr>
        <w:pStyle w:val="libFootnote0"/>
        <w:rPr>
          <w:rtl/>
          <w:lang w:bidi="fa-IR"/>
        </w:rPr>
      </w:pPr>
      <w:r>
        <w:rPr>
          <w:rtl/>
        </w:rPr>
        <w:t>(13)</w:t>
      </w:r>
      <w:r w:rsidRPr="00C9040A">
        <w:rPr>
          <w:rtl/>
        </w:rPr>
        <w:t xml:space="preserve"> في « ص » : « ما »</w:t>
      </w:r>
      <w:r>
        <w:rPr>
          <w:rtl/>
        </w:rPr>
        <w:t>.</w:t>
      </w:r>
    </w:p>
    <w:p w:rsidR="004B7F34" w:rsidRDefault="004B7F34" w:rsidP="004B7F34">
      <w:pPr>
        <w:pStyle w:val="libNormal"/>
        <w:rPr>
          <w:rtl/>
          <w:lang w:bidi="fa-IR"/>
        </w:rPr>
      </w:pPr>
      <w:r>
        <w:rPr>
          <w:rtl/>
          <w:lang w:bidi="fa-IR"/>
        </w:rPr>
        <w:br w:type="page"/>
      </w:r>
    </w:p>
    <w:p w:rsidR="008A74EB" w:rsidRDefault="008A74EB" w:rsidP="008A74EB">
      <w:pPr>
        <w:pStyle w:val="libNormal0"/>
        <w:rPr>
          <w:rtl/>
          <w:lang w:bidi="fa-IR"/>
        </w:rPr>
      </w:pPr>
      <w:r w:rsidRPr="00C9040A">
        <w:rPr>
          <w:rtl/>
          <w:lang w:bidi="fa-IR"/>
        </w:rPr>
        <w:t xml:space="preserve">سُلَيْمَانَ بْنَ خَالِدٍ ، قَالَ : « أَحْسَنْتَ </w:t>
      </w:r>
      <w:r w:rsidR="006C577F" w:rsidRPr="006C577F">
        <w:rPr>
          <w:rStyle w:val="libFootnotenumChar"/>
          <w:rtl/>
        </w:rPr>
        <w:t>(1)</w:t>
      </w:r>
      <w:r>
        <w:rPr>
          <w:rtl/>
          <w:lang w:bidi="fa-IR"/>
        </w:rPr>
        <w:t xml:space="preserve"> ، أَ</w:t>
      </w:r>
      <w:r w:rsidRPr="00C9040A">
        <w:rPr>
          <w:rtl/>
          <w:lang w:bidi="fa-IR"/>
        </w:rPr>
        <w:t xml:space="preserve">مَا سَمِعْتَ قَوْلَ الشَّاعِرِ </w:t>
      </w:r>
      <w:r w:rsidR="006C577F" w:rsidRPr="006C577F">
        <w:rPr>
          <w:rStyle w:val="libFootnotenumChar"/>
          <w:rtl/>
        </w:rPr>
        <w:t>(2)</w:t>
      </w:r>
      <w:r w:rsidRPr="00C9040A">
        <w:rPr>
          <w:rtl/>
          <w:lang w:bidi="fa-IR"/>
        </w:rPr>
        <w:t xml:space="preserve"> :</w:t>
      </w:r>
    </w:p>
    <w:tbl>
      <w:tblPr>
        <w:tblStyle w:val="TableGrid"/>
        <w:bidiVisual/>
        <w:tblW w:w="4562" w:type="pct"/>
        <w:tblInd w:w="384" w:type="dxa"/>
        <w:tblLook w:val="01E0" w:firstRow="1" w:lastRow="1" w:firstColumn="1" w:lastColumn="1" w:noHBand="0" w:noVBand="0"/>
      </w:tblPr>
      <w:tblGrid>
        <w:gridCol w:w="3537"/>
        <w:gridCol w:w="272"/>
        <w:gridCol w:w="3501"/>
      </w:tblGrid>
      <w:tr w:rsidR="004121AE" w:rsidTr="004121AE">
        <w:trPr>
          <w:trHeight w:val="350"/>
        </w:trPr>
        <w:tc>
          <w:tcPr>
            <w:tcW w:w="3537" w:type="dxa"/>
            <w:shd w:val="clear" w:color="auto" w:fill="auto"/>
          </w:tcPr>
          <w:p w:rsidR="004121AE" w:rsidRDefault="004121AE" w:rsidP="004C4E66">
            <w:pPr>
              <w:pStyle w:val="libPoem"/>
            </w:pPr>
            <w:r w:rsidRPr="00C9040A">
              <w:rPr>
                <w:rtl/>
                <w:lang w:bidi="fa-IR"/>
              </w:rPr>
              <w:t xml:space="preserve">فَلَا يَعْدُوَنْ </w:t>
            </w:r>
            <w:r w:rsidRPr="006C577F">
              <w:rPr>
                <w:rStyle w:val="libFootnotenumChar"/>
                <w:rtl/>
              </w:rPr>
              <w:t>(3)</w:t>
            </w:r>
            <w:r w:rsidRPr="00C9040A">
              <w:rPr>
                <w:rtl/>
                <w:lang w:bidi="fa-IR"/>
              </w:rPr>
              <w:t xml:space="preserve"> سِرِّي وَسِرُّكَ ثَالِثاً</w:t>
            </w:r>
            <w:r w:rsidRPr="00BA1DE6">
              <w:rPr>
                <w:rStyle w:val="libPoemTiniChar0"/>
                <w:rtl/>
              </w:rPr>
              <w:br/>
              <w:t> </w:t>
            </w:r>
            <w:r w:rsidRPr="00725071">
              <w:rPr>
                <w:rStyle w:val="libPoemTiniChar0"/>
                <w:rtl/>
              </w:rPr>
              <w:br/>
              <w:t> </w:t>
            </w:r>
          </w:p>
        </w:tc>
        <w:tc>
          <w:tcPr>
            <w:tcW w:w="272" w:type="dxa"/>
            <w:shd w:val="clear" w:color="auto" w:fill="auto"/>
          </w:tcPr>
          <w:p w:rsidR="004121AE" w:rsidRDefault="004121AE" w:rsidP="004C4E66">
            <w:pPr>
              <w:pStyle w:val="libPoem"/>
              <w:rPr>
                <w:rtl/>
              </w:rPr>
            </w:pPr>
          </w:p>
        </w:tc>
        <w:tc>
          <w:tcPr>
            <w:tcW w:w="3501" w:type="dxa"/>
            <w:shd w:val="clear" w:color="auto" w:fill="auto"/>
          </w:tcPr>
          <w:p w:rsidR="004121AE" w:rsidRDefault="004121AE" w:rsidP="004C4E66">
            <w:pPr>
              <w:pStyle w:val="libPoem"/>
            </w:pPr>
            <w:r w:rsidRPr="00C9040A">
              <w:rPr>
                <w:rtl/>
                <w:lang w:bidi="fa-IR"/>
              </w:rPr>
              <w:t>أَلَا كُلُّ سِرٍّ جَاوَزَ اثْنَيْنِ شَائِعٌ</w:t>
            </w:r>
            <w:r>
              <w:rPr>
                <w:rtl/>
                <w:lang w:bidi="fa-IR"/>
              </w:rPr>
              <w:t>؟</w:t>
            </w:r>
            <w:r w:rsidRPr="00C9040A">
              <w:rPr>
                <w:rtl/>
                <w:lang w:bidi="fa-IR"/>
              </w:rPr>
              <w:t xml:space="preserve"> »</w:t>
            </w:r>
            <w:r>
              <w:rPr>
                <w:rtl/>
                <w:lang w:bidi="fa-IR"/>
              </w:rPr>
              <w:t>.</w:t>
            </w:r>
            <w:r w:rsidRPr="00C9040A">
              <w:rPr>
                <w:rtl/>
                <w:lang w:bidi="fa-IR"/>
              </w:rPr>
              <w:t xml:space="preserve"> </w:t>
            </w:r>
            <w:r w:rsidRPr="006C577F">
              <w:rPr>
                <w:rStyle w:val="libFootnotenumChar"/>
                <w:rtl/>
              </w:rPr>
              <w:t>(4)</w:t>
            </w:r>
            <w:r w:rsidRPr="00BA1DE6">
              <w:rPr>
                <w:rStyle w:val="libPoemTiniChar0"/>
                <w:rtl/>
              </w:rPr>
              <w:br/>
            </w:r>
            <w:r w:rsidRPr="00725071">
              <w:rPr>
                <w:rStyle w:val="libPoemTiniChar0"/>
                <w:rtl/>
              </w:rPr>
              <w:br/>
              <w:t> </w:t>
            </w:r>
          </w:p>
        </w:tc>
      </w:tr>
    </w:tbl>
    <w:p w:rsidR="008A74EB" w:rsidRPr="00C9040A" w:rsidRDefault="008A74EB" w:rsidP="008A74EB">
      <w:pPr>
        <w:pStyle w:val="libNormal"/>
        <w:rPr>
          <w:rtl/>
          <w:lang w:bidi="fa-IR"/>
        </w:rPr>
      </w:pPr>
      <w:r w:rsidRPr="004C0078">
        <w:rPr>
          <w:rtl/>
        </w:rPr>
        <w:t>2273</w:t>
      </w:r>
      <w:r w:rsidRPr="00261CB0">
        <w:rPr>
          <w:rStyle w:val="libBold2Char"/>
          <w:rtl/>
        </w:rPr>
        <w:t xml:space="preserve"> / 10.</w:t>
      </w:r>
      <w:r w:rsidRPr="00C9040A">
        <w:rPr>
          <w:rtl/>
          <w:lang w:bidi="fa-IR"/>
        </w:rPr>
        <w:t xml:space="preserve"> مُحَمَّدُ بْنُ يَحْيى </w:t>
      </w:r>
      <w:r w:rsidR="006C577F" w:rsidRPr="006C577F">
        <w:rPr>
          <w:rStyle w:val="libFootnotenumChar"/>
          <w:rtl/>
        </w:rPr>
        <w:t>(5)</w:t>
      </w:r>
      <w:r w:rsidRPr="00C9040A">
        <w:rPr>
          <w:rtl/>
          <w:lang w:bidi="fa-IR"/>
        </w:rPr>
        <w:t xml:space="preserve"> ، عَنْ أَحْمَدَ بْنِ مُحَمَّدٍ ، عَنْ أَحْمَدَ بْنِ مُحَ</w:t>
      </w:r>
      <w:r w:rsidR="004121AE">
        <w:rPr>
          <w:rtl/>
          <w:lang w:bidi="fa-IR"/>
        </w:rPr>
        <w:t>مَّدِ بْنِ أَبِي نَصْرٍ ، قَالَ</w:t>
      </w:r>
      <w:r w:rsidRPr="00C9040A">
        <w:rPr>
          <w:rtl/>
          <w:lang w:bidi="fa-IR"/>
        </w:rPr>
        <w:t>:</w:t>
      </w:r>
    </w:p>
    <w:p w:rsidR="008A74EB" w:rsidRPr="00C9040A" w:rsidRDefault="008A74EB" w:rsidP="004121AE">
      <w:pPr>
        <w:pStyle w:val="libNormal"/>
        <w:rPr>
          <w:rtl/>
          <w:lang w:bidi="fa-IR"/>
        </w:rPr>
      </w:pPr>
      <w:r w:rsidRPr="00C9040A">
        <w:rPr>
          <w:rtl/>
          <w:lang w:bidi="fa-IR"/>
        </w:rPr>
        <w:t xml:space="preserve">سَأَلْتُ أَبَا الْحَسَنِ الرِّضَا </w:t>
      </w:r>
      <w:r w:rsidRPr="0003660B">
        <w:rPr>
          <w:rStyle w:val="libAlaemChar"/>
          <w:rtl/>
        </w:rPr>
        <w:t>عليه‌السلام</w:t>
      </w:r>
      <w:r w:rsidRPr="00C9040A">
        <w:rPr>
          <w:rtl/>
          <w:lang w:bidi="fa-IR"/>
        </w:rPr>
        <w:t xml:space="preserve"> عَنْ مَسْأَلَةٍ ، فَأَبى وَأَمْسَكَ ، ثُمَّ قَالَ : « لَوْ أَعْطَيْنَاكُمْ كُلَّ مَا </w:t>
      </w:r>
      <w:r w:rsidR="006C577F" w:rsidRPr="006C577F">
        <w:rPr>
          <w:rStyle w:val="libFootnotenumChar"/>
          <w:rtl/>
        </w:rPr>
        <w:t>(6)</w:t>
      </w:r>
      <w:r w:rsidR="004121AE" w:rsidRPr="00C9040A">
        <w:rPr>
          <w:rtl/>
          <w:lang w:bidi="fa-IR"/>
        </w:rPr>
        <w:t xml:space="preserve"> </w:t>
      </w:r>
      <w:r w:rsidRPr="00C9040A">
        <w:rPr>
          <w:rtl/>
          <w:lang w:bidi="fa-IR"/>
        </w:rPr>
        <w:t xml:space="preserve">تُرِيدُونَ كَانَ شَرّاً لَكُمْ ، وَأُخِذَ </w:t>
      </w:r>
      <w:r w:rsidR="006C577F" w:rsidRPr="006C577F">
        <w:rPr>
          <w:rStyle w:val="libFootnotenumChar"/>
          <w:rtl/>
        </w:rPr>
        <w:t>(7)</w:t>
      </w:r>
      <w:r w:rsidRPr="00C9040A">
        <w:rPr>
          <w:rtl/>
          <w:lang w:bidi="fa-IR"/>
        </w:rPr>
        <w:t xml:space="preserve"> بِرَقَبَةِ صَاحِبِ هذَا الْأَمْرِ.</w:t>
      </w:r>
    </w:p>
    <w:p w:rsidR="008A74EB" w:rsidRPr="00C9040A" w:rsidRDefault="008A74EB" w:rsidP="008A74EB">
      <w:pPr>
        <w:pStyle w:val="libNormal"/>
        <w:rPr>
          <w:rtl/>
          <w:lang w:bidi="fa-IR"/>
        </w:rPr>
      </w:pPr>
      <w:r w:rsidRPr="00C9040A">
        <w:rPr>
          <w:rtl/>
          <w:lang w:bidi="fa-IR"/>
        </w:rPr>
        <w:t xml:space="preserve">قَالَ أَبُو جَعْفَرٍ </w:t>
      </w:r>
      <w:r w:rsidR="006C577F" w:rsidRPr="006C577F">
        <w:rPr>
          <w:rStyle w:val="libFootnotenumChar"/>
          <w:rtl/>
        </w:rPr>
        <w:t>(8)</w:t>
      </w:r>
      <w:r w:rsidRPr="00C9040A">
        <w:rPr>
          <w:rtl/>
          <w:lang w:bidi="fa-IR"/>
        </w:rPr>
        <w:t xml:space="preserve"> </w:t>
      </w:r>
      <w:r w:rsidRPr="0003660B">
        <w:rPr>
          <w:rStyle w:val="libAlaemChar"/>
          <w:rtl/>
        </w:rPr>
        <w:t>عليه‌السلام</w:t>
      </w:r>
      <w:r w:rsidRPr="00C9040A">
        <w:rPr>
          <w:rtl/>
          <w:lang w:bidi="fa-IR"/>
        </w:rPr>
        <w:t xml:space="preserve"> : وَلَايَةُ اللهِ أَسَرَّهَا إِلى جَبْرَئِيلَ </w:t>
      </w:r>
      <w:r w:rsidRPr="0003660B">
        <w:rPr>
          <w:rStyle w:val="libAlaemChar"/>
          <w:rtl/>
        </w:rPr>
        <w:t>عليه‌السلام</w:t>
      </w:r>
      <w:r w:rsidRPr="00C9040A">
        <w:rPr>
          <w:rtl/>
          <w:lang w:bidi="fa-IR"/>
        </w:rPr>
        <w:t xml:space="preserve"> ، وَأَسَرَّهَا جَبْرَئِيلُ إِلى مُحَمَّدٍ </w:t>
      </w:r>
      <w:r w:rsidR="004A4E41" w:rsidRPr="004A4E41">
        <w:rPr>
          <w:rStyle w:val="libAlaemChar"/>
          <w:rtl/>
        </w:rPr>
        <w:t>صلى‌الله‌عليه‌وآله</w:t>
      </w:r>
      <w:r w:rsidRPr="00C9040A">
        <w:rPr>
          <w:rtl/>
          <w:lang w:bidi="fa-IR"/>
        </w:rPr>
        <w:t xml:space="preserve"> ، وَأَسَرَّهَا مُحَمَّدٌ </w:t>
      </w:r>
      <w:r w:rsidR="004A4E41" w:rsidRPr="004A4E41">
        <w:rPr>
          <w:rStyle w:val="libAlaemChar"/>
          <w:rtl/>
        </w:rPr>
        <w:t>صلى‌الله‌عليه‌وآله</w:t>
      </w:r>
      <w:r w:rsidRPr="00C9040A">
        <w:rPr>
          <w:rtl/>
          <w:lang w:bidi="fa-IR"/>
        </w:rPr>
        <w:t xml:space="preserve"> إِلى عَلِيٍّ </w:t>
      </w:r>
      <w:r w:rsidRPr="0003660B">
        <w:rPr>
          <w:rStyle w:val="libAlaemChar"/>
          <w:rtl/>
        </w:rPr>
        <w:t>عليه‌السلام</w:t>
      </w:r>
      <w:r w:rsidRPr="00C9040A">
        <w:rPr>
          <w:rtl/>
          <w:lang w:bidi="fa-IR"/>
        </w:rPr>
        <w:t xml:space="preserve"> ، وَأَسَرَّهَا عَلِيٌّ </w:t>
      </w:r>
      <w:r w:rsidRPr="0003660B">
        <w:rPr>
          <w:rStyle w:val="libAlaemChar"/>
          <w:rtl/>
        </w:rPr>
        <w:t>عليه‌السلام</w:t>
      </w:r>
      <w:r w:rsidRPr="00C9040A">
        <w:rPr>
          <w:rtl/>
          <w:lang w:bidi="fa-IR"/>
        </w:rPr>
        <w:t xml:space="preserve"> إِلى مَنْ شَاءَ اللهُ ، ثُمَّ أَنْتُمْ تُذِيعُونَ ذلِكَ ، مَنِ الَّذِي أَمْسَكَ حَرْفاً سَمِعَهُ</w:t>
      </w:r>
      <w:r>
        <w:rPr>
          <w:rtl/>
          <w:lang w:bidi="fa-IR"/>
        </w:rPr>
        <w:t>؟</w:t>
      </w:r>
    </w:p>
    <w:p w:rsidR="008A74EB" w:rsidRPr="00C9040A" w:rsidRDefault="008A74EB" w:rsidP="008A74EB">
      <w:pPr>
        <w:pStyle w:val="libNormal"/>
        <w:rPr>
          <w:rtl/>
          <w:lang w:bidi="fa-IR"/>
        </w:rPr>
      </w:pPr>
      <w:r w:rsidRPr="00C9040A">
        <w:rPr>
          <w:rtl/>
          <w:lang w:bidi="fa-IR"/>
        </w:rPr>
        <w:t xml:space="preserve">قَالَ أَبُو جَعْفَرٍ </w:t>
      </w:r>
      <w:r w:rsidRPr="0003660B">
        <w:rPr>
          <w:rStyle w:val="libAlaemChar"/>
          <w:rtl/>
        </w:rPr>
        <w:t>عليه‌السلام</w:t>
      </w:r>
      <w:r w:rsidRPr="00C9040A">
        <w:rPr>
          <w:rtl/>
          <w:lang w:bidi="fa-IR"/>
        </w:rPr>
        <w:t xml:space="preserve"> : فِي حِكْمَةِ آلِ دَاوُدَ : يَنْبَغِي لِلْمُسْلِمِ أَنْ يَكُونَ مَالِكاً لِنَفْسِهِ ، مُقْبِلاً عَلى شَأْنِهِ ، عَارِفاً بِأَهْلِ زَمَانِهِ ، فَاتَّقُوا </w:t>
      </w:r>
      <w:r w:rsidR="006C577F" w:rsidRPr="006C577F">
        <w:rPr>
          <w:rStyle w:val="libFootnotenumChar"/>
          <w:rtl/>
        </w:rPr>
        <w:t>(9)</w:t>
      </w:r>
      <w:r w:rsidRPr="00C9040A">
        <w:rPr>
          <w:rtl/>
          <w:lang w:bidi="fa-IR"/>
        </w:rPr>
        <w:t xml:space="preserve"> اللهَ ، وَلَا تُذِيعُوا حَدِيثَنَا ، فَلَوْلَا </w:t>
      </w:r>
      <w:r w:rsidR="006C577F" w:rsidRPr="006C577F">
        <w:rPr>
          <w:rStyle w:val="libFootnotenumChar"/>
          <w:rtl/>
        </w:rPr>
        <w:t>(10)</w:t>
      </w:r>
      <w:r w:rsidRPr="00C9040A">
        <w:rPr>
          <w:rtl/>
          <w:lang w:bidi="fa-IR"/>
        </w:rPr>
        <w:t xml:space="preserve"> أَنَّ اللهَ‌</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ب ، ض » وحاشية « بر » : « ما أحسنت » ، وهو الأنسب. وفي </w:t>
      </w:r>
      <w:r w:rsidR="008A74EB" w:rsidRPr="00993B55">
        <w:rPr>
          <w:rStyle w:val="libFootnoteBoldChar"/>
          <w:rtl/>
        </w:rPr>
        <w:t>شرح المازندراني</w:t>
      </w:r>
      <w:r w:rsidR="008A74EB" w:rsidRPr="00C9040A">
        <w:rPr>
          <w:rtl/>
        </w:rPr>
        <w:t xml:space="preserve"> : « أحسنت ، للتوبيخ والتقريع ، كما دلّ عليه ما بعده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 فيه مدح عظيم لسليمان بن خالد إن حمل قوله : « أحسنت » على ظاهره ، وإن حمل على التهكّم فلا ، وهو أوفق بقوله : « أو ماسمعت ؛ فإنّ سليمان كان ثالثاً »</w:t>
      </w:r>
      <w:r w:rsidR="008A74EB">
        <w:rPr>
          <w:rtl/>
        </w:rPr>
        <w:t>.</w:t>
      </w:r>
    </w:p>
    <w:p w:rsidR="008A74EB" w:rsidRPr="00C9040A" w:rsidRDefault="006C577F" w:rsidP="00160D51">
      <w:pPr>
        <w:pStyle w:val="libFootnote0"/>
        <w:rPr>
          <w:rtl/>
          <w:lang w:bidi="fa-IR"/>
        </w:rPr>
      </w:pPr>
      <w:r>
        <w:rPr>
          <w:rtl/>
        </w:rPr>
        <w:t>(2).</w:t>
      </w:r>
      <w:r w:rsidR="008A74EB">
        <w:rPr>
          <w:rtl/>
        </w:rPr>
        <w:t xml:space="preserve"> </w:t>
      </w:r>
      <w:r w:rsidR="008A74EB" w:rsidRPr="00C9040A">
        <w:rPr>
          <w:rtl/>
        </w:rPr>
        <w:t xml:space="preserve">القائل : جميل بن عبدالله بن معمر العذري القضاعي ، أبو عمر ، المعروف بجميل بُثَيْنَة. وبثينة محبوبته ؛ شاعر من العشّاق ، شعره يذوب رقّة ، قصد مصر فى أواخر حياته وافداً على عبدالعزيز بن مروان ، فأكرمه ، وأمر له بمنزل فأقام به قليلاً ، ومات فيه سنة 82. </w:t>
      </w:r>
      <w:r w:rsidR="008A74EB" w:rsidRPr="00993B55">
        <w:rPr>
          <w:rStyle w:val="libFootnoteBoldChar"/>
          <w:rtl/>
        </w:rPr>
        <w:t>الأعلام</w:t>
      </w:r>
      <w:r w:rsidR="008A74EB" w:rsidRPr="00C9040A">
        <w:rPr>
          <w:rtl/>
        </w:rPr>
        <w:t xml:space="preserve"> للزركلي ، ج 2 ، ص 138 ؛ </w:t>
      </w:r>
      <w:r w:rsidR="008A74EB" w:rsidRPr="00993B55">
        <w:rPr>
          <w:rStyle w:val="libFootnoteBoldChar"/>
          <w:rtl/>
        </w:rPr>
        <w:t>الأمثال الحكم</w:t>
      </w:r>
      <w:r w:rsidR="008A74EB" w:rsidRPr="00C9040A">
        <w:rPr>
          <w:rtl/>
        </w:rPr>
        <w:t xml:space="preserve"> للرازي ص 155 ؛ </w:t>
      </w:r>
      <w:r w:rsidR="008A74EB" w:rsidRPr="00993B55">
        <w:rPr>
          <w:rStyle w:val="libFootnoteBoldChar"/>
          <w:rtl/>
        </w:rPr>
        <w:t>الكامل</w:t>
      </w:r>
      <w:r w:rsidR="008A74EB" w:rsidRPr="00C9040A">
        <w:rPr>
          <w:rtl/>
        </w:rPr>
        <w:t xml:space="preserve"> للمبرّد ، ج 2 ، ص 310.</w:t>
      </w:r>
      <w:r w:rsidR="00160D51">
        <w:rPr>
          <w:rFonts w:hint="cs"/>
          <w:rtl/>
        </w:rPr>
        <w:t xml:space="preserve">                        </w:t>
      </w:r>
      <w:r>
        <w:rPr>
          <w:rtl/>
        </w:rPr>
        <w:t>(3).</w:t>
      </w:r>
      <w:r w:rsidR="008A74EB" w:rsidRPr="00C9040A">
        <w:rPr>
          <w:rtl/>
        </w:rPr>
        <w:t xml:space="preserve"> في </w:t>
      </w:r>
      <w:r w:rsidR="008A74EB" w:rsidRPr="00993B55">
        <w:rPr>
          <w:rStyle w:val="libFootnoteBoldChar"/>
          <w:rtl/>
        </w:rPr>
        <w:t>مرآة العقول</w:t>
      </w:r>
      <w:r w:rsidR="008A74EB" w:rsidRPr="00C9040A">
        <w:rPr>
          <w:rtl/>
        </w:rPr>
        <w:t xml:space="preserve"> : « ولا يعدون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الوافي</w:t>
      </w:r>
      <w:r w:rsidR="008A74EB" w:rsidRPr="00C9040A">
        <w:rPr>
          <w:rtl/>
        </w:rPr>
        <w:t xml:space="preserve"> ، ج 5 ، ص 700 ، ح 2908 ؛ </w:t>
      </w:r>
      <w:r w:rsidR="008A74EB" w:rsidRPr="00993B55">
        <w:rPr>
          <w:rStyle w:val="libFootnoteBoldChar"/>
          <w:rtl/>
        </w:rPr>
        <w:t>البحار</w:t>
      </w:r>
      <w:r w:rsidR="008A74EB" w:rsidRPr="00C9040A">
        <w:rPr>
          <w:rtl/>
        </w:rPr>
        <w:t xml:space="preserve"> ، ج 75 ، ص 77 ، ح 26.</w:t>
      </w:r>
    </w:p>
    <w:tbl>
      <w:tblPr>
        <w:tblStyle w:val="TableGrid"/>
        <w:bidiVisual/>
        <w:tblW w:w="0" w:type="auto"/>
        <w:tblLook w:val="04A0" w:firstRow="1" w:lastRow="0" w:firstColumn="1" w:lastColumn="0" w:noHBand="0" w:noVBand="1"/>
      </w:tblPr>
      <w:tblGrid>
        <w:gridCol w:w="4006"/>
        <w:gridCol w:w="4006"/>
      </w:tblGrid>
      <w:tr w:rsidR="00160D51" w:rsidTr="00160D51">
        <w:tc>
          <w:tcPr>
            <w:tcW w:w="4006" w:type="dxa"/>
          </w:tcPr>
          <w:p w:rsidR="00160D51" w:rsidRDefault="00160D51" w:rsidP="004A4E41">
            <w:pPr>
              <w:pStyle w:val="libFootnote0"/>
              <w:rPr>
                <w:rtl/>
              </w:rPr>
            </w:pPr>
            <w:r>
              <w:rPr>
                <w:rtl/>
              </w:rPr>
              <w:t>(5).</w:t>
            </w:r>
            <w:r w:rsidRPr="00C9040A">
              <w:rPr>
                <w:rtl/>
              </w:rPr>
              <w:t xml:space="preserve"> في « </w:t>
            </w:r>
            <w:r>
              <w:rPr>
                <w:rtl/>
              </w:rPr>
              <w:t xml:space="preserve">ه </w:t>
            </w:r>
            <w:r w:rsidRPr="00C9040A">
              <w:rPr>
                <w:rtl/>
              </w:rPr>
              <w:t>» :</w:t>
            </w:r>
            <w:r>
              <w:rPr>
                <w:rtl/>
              </w:rPr>
              <w:t xml:space="preserve"> - </w:t>
            </w:r>
            <w:r w:rsidRPr="00C9040A">
              <w:rPr>
                <w:rtl/>
              </w:rPr>
              <w:t>« بن يحيى »</w:t>
            </w:r>
            <w:r>
              <w:rPr>
                <w:rtl/>
              </w:rPr>
              <w:t>.</w:t>
            </w:r>
          </w:p>
        </w:tc>
        <w:tc>
          <w:tcPr>
            <w:tcW w:w="4006" w:type="dxa"/>
          </w:tcPr>
          <w:p w:rsidR="00160D51" w:rsidRDefault="00160D51" w:rsidP="004A4E41">
            <w:pPr>
              <w:pStyle w:val="libFootnote0"/>
              <w:rPr>
                <w:rtl/>
              </w:rPr>
            </w:pPr>
            <w:r>
              <w:rPr>
                <w:rtl/>
              </w:rPr>
              <w:t xml:space="preserve">(6). </w:t>
            </w:r>
            <w:r w:rsidRPr="00C9040A">
              <w:rPr>
                <w:rtl/>
              </w:rPr>
              <w:t>في « بس » : « كما »</w:t>
            </w:r>
            <w:r>
              <w:rPr>
                <w:rtl/>
              </w:rPr>
              <w:t>.</w:t>
            </w:r>
          </w:p>
        </w:tc>
      </w:tr>
    </w:tbl>
    <w:p w:rsidR="008A74EB" w:rsidRPr="00C9040A" w:rsidRDefault="006C577F" w:rsidP="004A4E41">
      <w:pPr>
        <w:pStyle w:val="libFootnote0"/>
        <w:rPr>
          <w:rtl/>
          <w:lang w:bidi="fa-IR"/>
        </w:rPr>
      </w:pPr>
      <w:r>
        <w:rPr>
          <w:rtl/>
        </w:rPr>
        <w:t>(7).</w:t>
      </w:r>
      <w:r w:rsidR="008A74EB" w:rsidRPr="00C9040A">
        <w:rPr>
          <w:rtl/>
        </w:rPr>
        <w:t xml:space="preserve"> احتمل كون « آخذ » على صيغة التفضيل عطفاً على « شرّاً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w:t>
      </w:r>
      <w:r w:rsidR="008A74EB" w:rsidRPr="00993B55">
        <w:rPr>
          <w:rStyle w:val="libFootnoteBoldChar"/>
          <w:rtl/>
        </w:rPr>
        <w:t>شرح المازندراني</w:t>
      </w:r>
      <w:r w:rsidR="008A74EB" w:rsidRPr="00C9040A">
        <w:rPr>
          <w:rtl/>
        </w:rPr>
        <w:t xml:space="preserve"> : « قوله : قال أبوجعفر</w:t>
      </w:r>
      <w:r w:rsidR="008A74EB">
        <w:rPr>
          <w:rtl/>
        </w:rPr>
        <w:t xml:space="preserve"> ..</w:t>
      </w:r>
      <w:r w:rsidR="008A74EB" w:rsidRPr="00C9040A">
        <w:rPr>
          <w:rtl/>
        </w:rPr>
        <w:t xml:space="preserve">. ، الظاهر أنّه من كلام أبي الحسن الرضا نقلاً عن جدّه </w:t>
      </w:r>
      <w:r w:rsidR="00117575" w:rsidRPr="00117575">
        <w:rPr>
          <w:rStyle w:val="libFootnoteAlaemChar"/>
          <w:rtl/>
        </w:rPr>
        <w:t>عليهما‌السلام</w:t>
      </w:r>
      <w:r w:rsidR="008A74EB" w:rsidRPr="00C9040A">
        <w:rPr>
          <w:rtl/>
        </w:rPr>
        <w:t>. ويحتمل أن يكون من المصنّف نقلاً لحديث آخر بحذف الإسناد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ف » : « واتّقوا »</w:t>
      </w:r>
      <w:r w:rsidR="008A74EB">
        <w:rPr>
          <w:rtl/>
        </w:rPr>
        <w:t>.</w:t>
      </w:r>
      <w:r w:rsidR="008A74EB" w:rsidRPr="00C9040A">
        <w:rPr>
          <w:rtl/>
        </w:rPr>
        <w:t xml:space="preserve"> وفي </w:t>
      </w:r>
      <w:r w:rsidR="008A74EB" w:rsidRPr="00993B55">
        <w:rPr>
          <w:rStyle w:val="libFootnoteBoldChar"/>
          <w:rtl/>
        </w:rPr>
        <w:t>الوافي</w:t>
      </w:r>
      <w:r w:rsidR="008A74EB" w:rsidRPr="00C9040A">
        <w:rPr>
          <w:rtl/>
        </w:rPr>
        <w:t xml:space="preserve"> : « فاتّقوا الله ، من كلام الرضا </w:t>
      </w:r>
      <w:r w:rsidR="00117575" w:rsidRPr="00117575">
        <w:rPr>
          <w:rStyle w:val="libFootnoteAlaemChar"/>
          <w:rtl/>
        </w:rPr>
        <w:t>عليه‌السلام</w:t>
      </w:r>
      <w:r w:rsidR="008A74EB" w:rsidRPr="00C9040A">
        <w:rPr>
          <w:rtl/>
        </w:rPr>
        <w:t xml:space="preserve">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w:t>
      </w:r>
      <w:r w:rsidR="008A74EB" w:rsidRPr="00993B55">
        <w:rPr>
          <w:rStyle w:val="libFootnoteBoldChar"/>
          <w:rtl/>
        </w:rPr>
        <w:t>الوافي</w:t>
      </w:r>
      <w:r w:rsidR="008A74EB" w:rsidRPr="00C9040A">
        <w:rPr>
          <w:rtl/>
        </w:rPr>
        <w:t xml:space="preserve"> : « جواب « لولا » محذوف ، يعني : لولا مدافعة الله عنّا وانتقامه لنا لما بقي منّا أثر بسبب إذاعتكم حديثنا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يُدَافِعُ عَنْ أَوْلِيَائِهِ ، وَيَنْتَقِمُ لِأَوْلِيَائِهِ مِنْ </w:t>
      </w:r>
      <w:r w:rsidR="006C577F" w:rsidRPr="006C577F">
        <w:rPr>
          <w:rStyle w:val="libFootnotenumChar"/>
          <w:rtl/>
        </w:rPr>
        <w:t>(1)</w:t>
      </w:r>
      <w:r w:rsidRPr="00C9040A">
        <w:rPr>
          <w:rtl/>
          <w:lang w:bidi="fa-IR"/>
        </w:rPr>
        <w:t xml:space="preserve"> أَعْدَائِهِ.</w:t>
      </w:r>
    </w:p>
    <w:p w:rsidR="008A74EB" w:rsidRPr="00C9040A" w:rsidRDefault="008A74EB" w:rsidP="009F5E0B">
      <w:pPr>
        <w:pStyle w:val="libNormal"/>
        <w:rPr>
          <w:rtl/>
          <w:lang w:bidi="fa-IR"/>
        </w:rPr>
      </w:pPr>
      <w:r>
        <w:rPr>
          <w:rtl/>
          <w:lang w:bidi="fa-IR"/>
        </w:rPr>
        <w:t>أَ</w:t>
      </w:r>
      <w:r w:rsidRPr="00C9040A">
        <w:rPr>
          <w:rtl/>
          <w:lang w:bidi="fa-IR"/>
        </w:rPr>
        <w:t xml:space="preserve">مَا رَأَيْتَ مَا </w:t>
      </w:r>
      <w:r w:rsidR="006C577F" w:rsidRPr="006C577F">
        <w:rPr>
          <w:rStyle w:val="libFootnotenumChar"/>
          <w:rtl/>
        </w:rPr>
        <w:t>(2)</w:t>
      </w:r>
      <w:r w:rsidRPr="00C9040A">
        <w:rPr>
          <w:rtl/>
          <w:lang w:bidi="fa-IR"/>
        </w:rPr>
        <w:t xml:space="preserve"> صَنَعَ اللهُ بِآلِ بَرْمَكَ ، وَمَا انْتَقَمَ اللهُ </w:t>
      </w:r>
      <w:r w:rsidR="006C577F" w:rsidRPr="006C577F">
        <w:rPr>
          <w:rStyle w:val="libFootnotenumChar"/>
          <w:rtl/>
        </w:rPr>
        <w:t>(3)</w:t>
      </w:r>
      <w:r w:rsidRPr="00C9040A">
        <w:rPr>
          <w:rtl/>
          <w:lang w:bidi="fa-IR"/>
        </w:rPr>
        <w:t xml:space="preserve"> لِأَبِي الْحَسَنِ </w:t>
      </w:r>
      <w:r w:rsidRPr="0003660B">
        <w:rPr>
          <w:rStyle w:val="libAlaemChar"/>
          <w:rtl/>
        </w:rPr>
        <w:t>عليه‌السلام</w:t>
      </w:r>
      <w:r w:rsidRPr="00C9040A">
        <w:rPr>
          <w:rtl/>
          <w:lang w:bidi="fa-IR"/>
        </w:rPr>
        <w:t xml:space="preserve"> ، وَقَدْ كَانَ بَنُو الْأَشْعَثِ عَلى خَطَرٍ </w:t>
      </w:r>
      <w:r w:rsidR="006C577F" w:rsidRPr="006C577F">
        <w:rPr>
          <w:rStyle w:val="libFootnotenumChar"/>
          <w:rtl/>
        </w:rPr>
        <w:t>(4)</w:t>
      </w:r>
      <w:r w:rsidRPr="00C9040A">
        <w:rPr>
          <w:rtl/>
          <w:lang w:bidi="fa-IR"/>
        </w:rPr>
        <w:t xml:space="preserve"> عَظِيمٍ ، فَدَفَعَ اللهُ عَنْهُمْ بِوَلَايَتِهِمْ لِأَبِي الْحَسَنِ </w:t>
      </w:r>
      <w:r w:rsidRPr="0003660B">
        <w:rPr>
          <w:rStyle w:val="libAlaemChar"/>
          <w:rtl/>
        </w:rPr>
        <w:t>عليه‌السلام</w:t>
      </w:r>
      <w:r w:rsidRPr="00C9040A">
        <w:rPr>
          <w:rtl/>
          <w:lang w:bidi="fa-IR"/>
        </w:rPr>
        <w:t xml:space="preserve"> ، وَ</w:t>
      </w:r>
      <w:r>
        <w:rPr>
          <w:rFonts w:hint="cs"/>
          <w:rtl/>
          <w:lang w:bidi="fa-IR"/>
        </w:rPr>
        <w:t xml:space="preserve"> </w:t>
      </w:r>
      <w:r w:rsidR="006C577F" w:rsidRPr="006C577F">
        <w:rPr>
          <w:rStyle w:val="libFootnotenumChar"/>
          <w:rtl/>
        </w:rPr>
        <w:t>(5)</w:t>
      </w:r>
      <w:r w:rsidRPr="00C9040A">
        <w:rPr>
          <w:rtl/>
          <w:lang w:bidi="fa-IR"/>
        </w:rPr>
        <w:t xml:space="preserve"> أَنْتُمْ بِالْعِرَاقِ تَرَوْنَ أَعْمَالَ </w:t>
      </w:r>
      <w:r w:rsidR="006C577F" w:rsidRPr="006C577F">
        <w:rPr>
          <w:rStyle w:val="libFootnotenumChar"/>
          <w:rtl/>
        </w:rPr>
        <w:t>(6)</w:t>
      </w:r>
      <w:r w:rsidR="009F5E0B" w:rsidRPr="00C9040A">
        <w:rPr>
          <w:rtl/>
          <w:lang w:bidi="fa-IR"/>
        </w:rPr>
        <w:t xml:space="preserve"> </w:t>
      </w:r>
      <w:r w:rsidRPr="00C9040A">
        <w:rPr>
          <w:rtl/>
          <w:lang w:bidi="fa-IR"/>
        </w:rPr>
        <w:t xml:space="preserve">هؤُلَاءِ </w:t>
      </w:r>
      <w:r w:rsidR="006C577F" w:rsidRPr="006C577F">
        <w:rPr>
          <w:rStyle w:val="libFootnotenumChar"/>
          <w:rtl/>
        </w:rPr>
        <w:t>(7)</w:t>
      </w:r>
      <w:r w:rsidRPr="00C9040A">
        <w:rPr>
          <w:rtl/>
          <w:lang w:bidi="fa-IR"/>
        </w:rPr>
        <w:t xml:space="preserve"> الْفَرَاعِنَةِ ، وَمَا أَمْهَلَ </w:t>
      </w:r>
      <w:r w:rsidR="006C577F" w:rsidRPr="006C577F">
        <w:rPr>
          <w:rStyle w:val="libFootnotenumChar"/>
          <w:rtl/>
        </w:rPr>
        <w:t>(8)</w:t>
      </w:r>
      <w:r w:rsidRPr="00C9040A">
        <w:rPr>
          <w:rtl/>
          <w:lang w:bidi="fa-IR"/>
        </w:rPr>
        <w:t xml:space="preserve"> اللهُ </w:t>
      </w:r>
      <w:r w:rsidR="006C577F" w:rsidRPr="006C577F">
        <w:rPr>
          <w:rStyle w:val="libFootnotenumChar"/>
          <w:rtl/>
        </w:rPr>
        <w:t>(9)</w:t>
      </w:r>
      <w:r w:rsidRPr="00C9040A">
        <w:rPr>
          <w:rtl/>
          <w:lang w:bidi="fa-IR"/>
        </w:rPr>
        <w:t xml:space="preserve"> لَهُمْ ، فَعَلَيْكُمْ بِتَقْوَى اللهِ ، وَلَا تَغُرَّنَّكُمُ </w:t>
      </w:r>
      <w:r w:rsidR="006C577F" w:rsidRPr="006C577F">
        <w:rPr>
          <w:rStyle w:val="libFootnotenumChar"/>
          <w:rtl/>
        </w:rPr>
        <w:t>(10)</w:t>
      </w:r>
      <w:r w:rsidRPr="00C9040A">
        <w:rPr>
          <w:rtl/>
          <w:lang w:bidi="fa-IR"/>
        </w:rPr>
        <w:t xml:space="preserve"> الدُّنْيَا ، وَلَا تَغْتَرُّوا بِمَنْ قَدْ </w:t>
      </w:r>
      <w:r w:rsidR="006C577F" w:rsidRPr="006C577F">
        <w:rPr>
          <w:rStyle w:val="libFootnotenumChar"/>
          <w:rtl/>
        </w:rPr>
        <w:t>(11)</w:t>
      </w:r>
      <w:r w:rsidRPr="00C9040A">
        <w:rPr>
          <w:rtl/>
          <w:lang w:bidi="fa-IR"/>
        </w:rPr>
        <w:t xml:space="preserve"> أُمْهِلَ </w:t>
      </w:r>
      <w:r w:rsidR="006C577F" w:rsidRPr="006C577F">
        <w:rPr>
          <w:rStyle w:val="libFootnotenumChar"/>
          <w:rtl/>
        </w:rPr>
        <w:t>(12)</w:t>
      </w:r>
      <w:r w:rsidRPr="00C9040A">
        <w:rPr>
          <w:rtl/>
          <w:lang w:bidi="fa-IR"/>
        </w:rPr>
        <w:t xml:space="preserve"> لَهُ </w:t>
      </w:r>
      <w:r w:rsidRPr="005B567D">
        <w:rPr>
          <w:rStyle w:val="libFootnotenumChar"/>
          <w:rtl/>
        </w:rPr>
        <w:t>(13)</w:t>
      </w:r>
      <w:r w:rsidRPr="00C9040A">
        <w:rPr>
          <w:rtl/>
          <w:lang w:bidi="fa-IR"/>
        </w:rPr>
        <w:t xml:space="preserve"> ، فَكَأَنَّ </w:t>
      </w:r>
      <w:r w:rsidRPr="005B567D">
        <w:rPr>
          <w:rStyle w:val="libFootnotenumChar"/>
          <w:rtl/>
        </w:rPr>
        <w:t>(14)</w:t>
      </w:r>
      <w:r w:rsidRPr="00C9040A">
        <w:rPr>
          <w:rtl/>
          <w:lang w:bidi="fa-IR"/>
        </w:rPr>
        <w:t xml:space="preserve"> الْأَمْرَ قَدْ وَصَلَ إِلَيْكُمْ »</w:t>
      </w:r>
      <w:r>
        <w:rPr>
          <w:rtl/>
          <w:lang w:bidi="fa-IR"/>
        </w:rPr>
        <w:t>.</w:t>
      </w:r>
      <w:r w:rsidRPr="00C9040A">
        <w:rPr>
          <w:rtl/>
          <w:lang w:bidi="fa-IR"/>
        </w:rPr>
        <w:t xml:space="preserve"> </w:t>
      </w:r>
      <w:r w:rsidRPr="005B567D">
        <w:rPr>
          <w:rStyle w:val="libFootnotenumChar"/>
          <w:rtl/>
        </w:rPr>
        <w:t>(15)</w:t>
      </w:r>
      <w:r w:rsidRPr="00C9040A">
        <w:rPr>
          <w:rtl/>
          <w:lang w:bidi="fa-IR"/>
        </w:rPr>
        <w:t xml:space="preserve"> ‌</w:t>
      </w:r>
    </w:p>
    <w:p w:rsidR="008A74EB" w:rsidRPr="00C9040A" w:rsidRDefault="008A74EB" w:rsidP="008A74EB">
      <w:pPr>
        <w:pStyle w:val="libNormal"/>
        <w:rPr>
          <w:rtl/>
          <w:lang w:bidi="fa-IR"/>
        </w:rPr>
      </w:pPr>
      <w:r w:rsidRPr="004C0078">
        <w:rPr>
          <w:rtl/>
        </w:rPr>
        <w:t>2274</w:t>
      </w:r>
      <w:r w:rsidRPr="00261CB0">
        <w:rPr>
          <w:rStyle w:val="libBold2Char"/>
          <w:rtl/>
        </w:rPr>
        <w:t xml:space="preserve"> / 11.</w:t>
      </w:r>
      <w:r w:rsidRPr="00C9040A">
        <w:rPr>
          <w:rtl/>
          <w:lang w:bidi="fa-IR"/>
        </w:rPr>
        <w:t xml:space="preserve"> الْحُسَيْنُ بْنُ مُحَمَّدٍ ، عَنْ مُعَلَّى بْنِ مُحَمَّدٍ ، عَنِ الْحَسَنِ بْنِ عَلِيٍّ الْوَشَّاءِ </w:t>
      </w:r>
      <w:r w:rsidRPr="005B567D">
        <w:rPr>
          <w:rStyle w:val="libFootnotenumChar"/>
          <w:rtl/>
        </w:rPr>
        <w:t>(16)</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بر » : « عن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بس » </w:t>
      </w:r>
      <w:r w:rsidR="008A74EB">
        <w:rPr>
          <w:rtl/>
        </w:rPr>
        <w:t xml:space="preserve">: </w:t>
      </w:r>
      <w:r w:rsidR="0084262C">
        <w:rPr>
          <w:rtl/>
        </w:rPr>
        <w:t>-</w:t>
      </w:r>
      <w:r w:rsidR="008A74EB" w:rsidRPr="00C9040A">
        <w:rPr>
          <w:rtl/>
        </w:rPr>
        <w:t xml:space="preserve"> « ما »</w:t>
      </w:r>
      <w:r w:rsidR="008A74EB">
        <w:rPr>
          <w:rtl/>
        </w:rPr>
        <w:t>.</w:t>
      </w:r>
      <w:r w:rsidR="008A74EB" w:rsidRPr="00C9040A">
        <w:rPr>
          <w:rtl/>
        </w:rPr>
        <w:t xml:space="preserve"> في </w:t>
      </w:r>
      <w:r w:rsidR="008A74EB" w:rsidRPr="00993B55">
        <w:rPr>
          <w:rStyle w:val="libFootnoteBoldChar"/>
          <w:rtl/>
        </w:rPr>
        <w:t>الوافي</w:t>
      </w:r>
      <w:r w:rsidR="008A74EB" w:rsidRPr="00C9040A">
        <w:rPr>
          <w:rtl/>
        </w:rPr>
        <w:t xml:space="preserve"> : « أما رأيت ، بيان للمدافعة والانتقام ، وأراد بما صنع الله استيصالهم بسبب‌عداوتهم لأبي الحسن </w:t>
      </w:r>
      <w:r w:rsidR="00117575" w:rsidRPr="00117575">
        <w:rPr>
          <w:rStyle w:val="libFootnoteAlaemChar"/>
          <w:rtl/>
        </w:rPr>
        <w:t>عليه‌السلام</w:t>
      </w:r>
      <w:r w:rsidR="008A74EB" w:rsidRPr="00C9040A">
        <w:rPr>
          <w:rtl/>
        </w:rPr>
        <w:t xml:space="preserve"> وإعانتهم على قتله. وأراد بأبي الحسن أباه موسى </w:t>
      </w:r>
      <w:r w:rsidR="00117575" w:rsidRPr="00117575">
        <w:rPr>
          <w:rStyle w:val="libFootnoteAlaemChar"/>
          <w:rtl/>
        </w:rPr>
        <w:t>عليه‌السلام</w:t>
      </w:r>
      <w:r w:rsidR="008A74EB" w:rsidRPr="00C9040A">
        <w:rPr>
          <w:rtl/>
        </w:rPr>
        <w:t xml:space="preserve">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ب ، ز ، ص ، ض ، ف ، </w:t>
      </w:r>
      <w:r w:rsidR="006D3162">
        <w:rPr>
          <w:rtl/>
        </w:rPr>
        <w:t xml:space="preserve">ه </w:t>
      </w:r>
      <w:r w:rsidR="008A74EB" w:rsidRPr="00C9040A">
        <w:rPr>
          <w:rtl/>
        </w:rPr>
        <w:t xml:space="preserve">، بر ، بف » والوافي </w:t>
      </w:r>
      <w:r w:rsidR="008A74EB">
        <w:rPr>
          <w:rtl/>
        </w:rPr>
        <w:t xml:space="preserve">: </w:t>
      </w:r>
      <w:r w:rsidR="0084262C">
        <w:rPr>
          <w:rtl/>
        </w:rPr>
        <w:t>-</w:t>
      </w:r>
      <w:r w:rsidR="008A74EB" w:rsidRPr="00C9040A">
        <w:rPr>
          <w:rtl/>
        </w:rPr>
        <w:t xml:space="preserve"> « الله »</w:t>
      </w:r>
      <w:r w:rsidR="008A74EB">
        <w:rPr>
          <w:rtl/>
        </w:rPr>
        <w:t>.</w:t>
      </w:r>
      <w:r w:rsidR="008A74EB" w:rsidRPr="00C9040A">
        <w:rPr>
          <w:rtl/>
        </w:rPr>
        <w:t xml:space="preserve"> وفي حاشية « بر » : + « به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بر » : « خطب »</w:t>
      </w:r>
      <w:r w:rsidR="008A74EB">
        <w:rPr>
          <w:rtl/>
        </w:rPr>
        <w:t>.</w:t>
      </w:r>
      <w:r w:rsidR="008A74EB" w:rsidRPr="00C9040A">
        <w:rPr>
          <w:rtl/>
        </w:rPr>
        <w:t xml:space="preserve"> </w:t>
      </w:r>
      <w:r w:rsidR="008A74EB">
        <w:rPr>
          <w:rtl/>
        </w:rPr>
        <w:t>و «</w:t>
      </w:r>
      <w:r w:rsidR="008A74EB" w:rsidRPr="00C9040A">
        <w:rPr>
          <w:rtl/>
        </w:rPr>
        <w:t xml:space="preserve"> الخَطَر » بالتحريك : الإشراف على الهلاك.</w:t>
      </w:r>
    </w:p>
    <w:p w:rsidR="008A74EB" w:rsidRPr="00C9040A" w:rsidRDefault="006C577F" w:rsidP="004A4E41">
      <w:pPr>
        <w:pStyle w:val="libFootnote0"/>
        <w:rPr>
          <w:rtl/>
          <w:lang w:bidi="fa-IR"/>
        </w:rPr>
      </w:pPr>
      <w:r>
        <w:rPr>
          <w:rtl/>
        </w:rPr>
        <w:t>(5).</w:t>
      </w:r>
      <w:r w:rsidR="008A74EB" w:rsidRPr="00C9040A">
        <w:rPr>
          <w:rtl/>
        </w:rPr>
        <w:t xml:space="preserve"> في « ص ، ض ، ف ، </w:t>
      </w:r>
      <w:r w:rsidR="006D3162">
        <w:rPr>
          <w:rtl/>
        </w:rPr>
        <w:t xml:space="preserve">ه </w:t>
      </w:r>
      <w:r w:rsidR="008A74EB" w:rsidRPr="00C9040A">
        <w:rPr>
          <w:rtl/>
        </w:rPr>
        <w:t xml:space="preserve">، بف » والبحار ، ج 75 </w:t>
      </w:r>
      <w:r w:rsidR="008A74EB">
        <w:rPr>
          <w:rtl/>
        </w:rPr>
        <w:t xml:space="preserve">: </w:t>
      </w:r>
      <w:r w:rsidR="0084262C">
        <w:rPr>
          <w:rtl/>
        </w:rPr>
        <w:t>-</w:t>
      </w:r>
      <w:r w:rsidR="008A74EB" w:rsidRPr="00C9040A">
        <w:rPr>
          <w:rtl/>
        </w:rPr>
        <w:t xml:space="preserve"> « </w:t>
      </w:r>
      <w:r w:rsidR="008A74EB">
        <w:rPr>
          <w:rtl/>
        </w:rPr>
        <w:t>و ».</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 د » </w:t>
      </w:r>
      <w:r w:rsidR="008A74EB">
        <w:rPr>
          <w:rtl/>
        </w:rPr>
        <w:t xml:space="preserve">: </w:t>
      </w:r>
      <w:r w:rsidR="0084262C">
        <w:rPr>
          <w:rtl/>
        </w:rPr>
        <w:t>-</w:t>
      </w:r>
      <w:r w:rsidR="008A74EB" w:rsidRPr="00C9040A">
        <w:rPr>
          <w:rtl/>
        </w:rPr>
        <w:t xml:space="preserve"> « أعمال »</w:t>
      </w:r>
      <w:r w:rsidR="008A74EB">
        <w:rPr>
          <w:rtl/>
        </w:rPr>
        <w:t>.</w:t>
      </w:r>
      <w:r w:rsidR="008A74EB" w:rsidRPr="00C9040A">
        <w:rPr>
          <w:rtl/>
        </w:rPr>
        <w:t xml:space="preserve"> وفي « </w:t>
      </w:r>
      <w:r w:rsidR="006D3162">
        <w:rPr>
          <w:rtl/>
        </w:rPr>
        <w:t xml:space="preserve">ه </w:t>
      </w:r>
      <w:r w:rsidR="008A74EB" w:rsidRPr="00C9040A">
        <w:rPr>
          <w:rtl/>
        </w:rPr>
        <w:t>» : « الأعمال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w:t>
      </w:r>
      <w:r w:rsidR="006D3162">
        <w:rPr>
          <w:rtl/>
        </w:rPr>
        <w:t xml:space="preserve">ه </w:t>
      </w:r>
      <w:r w:rsidR="008A74EB" w:rsidRPr="00C9040A">
        <w:rPr>
          <w:rtl/>
        </w:rPr>
        <w:t>» : « لهؤلاء »</w:t>
      </w:r>
      <w:r w:rsidR="008A74EB">
        <w:rPr>
          <w:rtl/>
        </w:rPr>
        <w:t>.</w:t>
      </w:r>
    </w:p>
    <w:tbl>
      <w:tblPr>
        <w:tblStyle w:val="TableGrid"/>
        <w:bidiVisual/>
        <w:tblW w:w="0" w:type="auto"/>
        <w:tblLook w:val="04A0" w:firstRow="1" w:lastRow="0" w:firstColumn="1" w:lastColumn="0" w:noHBand="0" w:noVBand="1"/>
      </w:tblPr>
      <w:tblGrid>
        <w:gridCol w:w="4006"/>
        <w:gridCol w:w="4006"/>
      </w:tblGrid>
      <w:tr w:rsidR="00121A84" w:rsidTr="00121A84">
        <w:tc>
          <w:tcPr>
            <w:tcW w:w="4006" w:type="dxa"/>
          </w:tcPr>
          <w:p w:rsidR="00121A84" w:rsidRDefault="00121A84" w:rsidP="004A4E41">
            <w:pPr>
              <w:pStyle w:val="libFootnote0"/>
              <w:rPr>
                <w:rtl/>
                <w:lang w:bidi="fa-IR"/>
              </w:rPr>
            </w:pPr>
            <w:r>
              <w:rPr>
                <w:rtl/>
              </w:rPr>
              <w:t>(8).</w:t>
            </w:r>
            <w:r w:rsidRPr="00C9040A">
              <w:rPr>
                <w:rtl/>
              </w:rPr>
              <w:t xml:space="preserve"> في « ف » : « أسهل »</w:t>
            </w:r>
            <w:r>
              <w:rPr>
                <w:rtl/>
              </w:rPr>
              <w:t>.</w:t>
            </w:r>
            <w:r w:rsidRPr="00C9040A">
              <w:rPr>
                <w:rtl/>
              </w:rPr>
              <w:t xml:space="preserve"> وفي « </w:t>
            </w:r>
            <w:r>
              <w:rPr>
                <w:rtl/>
              </w:rPr>
              <w:t xml:space="preserve">ه </w:t>
            </w:r>
            <w:r w:rsidRPr="00C9040A">
              <w:rPr>
                <w:rtl/>
              </w:rPr>
              <w:t>» : « ا</w:t>
            </w:r>
            <w:r>
              <w:rPr>
                <w:rFonts w:hint="cs"/>
                <w:rtl/>
              </w:rPr>
              <w:t>ُ</w:t>
            </w:r>
            <w:r>
              <w:rPr>
                <w:rtl/>
              </w:rPr>
              <w:t>مهِل</w:t>
            </w:r>
            <w:r w:rsidRPr="00C9040A">
              <w:rPr>
                <w:rtl/>
              </w:rPr>
              <w:t>»</w:t>
            </w:r>
            <w:r>
              <w:rPr>
                <w:rtl/>
              </w:rPr>
              <w:t>.</w:t>
            </w:r>
          </w:p>
        </w:tc>
        <w:tc>
          <w:tcPr>
            <w:tcW w:w="4006" w:type="dxa"/>
          </w:tcPr>
          <w:p w:rsidR="00121A84" w:rsidRDefault="00121A84" w:rsidP="004A4E41">
            <w:pPr>
              <w:pStyle w:val="libFootnote0"/>
              <w:rPr>
                <w:rtl/>
                <w:lang w:bidi="fa-IR"/>
              </w:rPr>
            </w:pPr>
            <w:r>
              <w:rPr>
                <w:rtl/>
              </w:rPr>
              <w:t>(9).</w:t>
            </w:r>
            <w:r w:rsidRPr="00C9040A">
              <w:rPr>
                <w:rtl/>
              </w:rPr>
              <w:t xml:space="preserve"> في « ف ، </w:t>
            </w:r>
            <w:r>
              <w:rPr>
                <w:rtl/>
              </w:rPr>
              <w:t xml:space="preserve">ه </w:t>
            </w:r>
            <w:r w:rsidRPr="00C9040A">
              <w:rPr>
                <w:rtl/>
              </w:rPr>
              <w:t xml:space="preserve">» </w:t>
            </w:r>
            <w:r>
              <w:rPr>
                <w:rtl/>
              </w:rPr>
              <w:t>: -</w:t>
            </w:r>
            <w:r w:rsidRPr="00C9040A">
              <w:rPr>
                <w:rtl/>
              </w:rPr>
              <w:t xml:space="preserve"> « الله »</w:t>
            </w:r>
            <w:r>
              <w:rPr>
                <w:rtl/>
              </w:rPr>
              <w:t>.</w:t>
            </w:r>
          </w:p>
        </w:tc>
      </w:tr>
    </w:tbl>
    <w:p w:rsidR="008A74EB" w:rsidRPr="00C9040A" w:rsidRDefault="006C577F" w:rsidP="004A4E41">
      <w:pPr>
        <w:pStyle w:val="libFootnote0"/>
        <w:rPr>
          <w:rtl/>
          <w:lang w:bidi="fa-IR"/>
        </w:rPr>
      </w:pPr>
      <w:r>
        <w:rPr>
          <w:rtl/>
        </w:rPr>
        <w:t>(10).</w:t>
      </w:r>
      <w:r w:rsidR="008A74EB" w:rsidRPr="00C9040A">
        <w:rPr>
          <w:rtl/>
        </w:rPr>
        <w:t xml:space="preserve"> هكذا في النسخ التي قوبلت. وفي المطبوع : + « [ الحياة ]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في « ب ، د ، ز ، </w:t>
      </w:r>
      <w:r w:rsidR="006D3162">
        <w:rPr>
          <w:rtl/>
        </w:rPr>
        <w:t xml:space="preserve">ه </w:t>
      </w:r>
      <w:r w:rsidR="008A74EB" w:rsidRPr="00C9040A">
        <w:rPr>
          <w:rtl/>
        </w:rPr>
        <w:t xml:space="preserve">، بر ، بف » وشرح المازندراني والوافي </w:t>
      </w:r>
      <w:r w:rsidR="008A74EB">
        <w:rPr>
          <w:rtl/>
        </w:rPr>
        <w:t xml:space="preserve">: </w:t>
      </w:r>
      <w:r w:rsidR="0084262C">
        <w:rPr>
          <w:rtl/>
        </w:rPr>
        <w:t>-</w:t>
      </w:r>
      <w:r w:rsidR="008A74EB" w:rsidRPr="00C9040A">
        <w:rPr>
          <w:rtl/>
        </w:rPr>
        <w:t xml:space="preserve"> « قد »</w:t>
      </w:r>
      <w:r w:rsidR="008A74EB">
        <w:rPr>
          <w:rtl/>
        </w:rPr>
        <w:t>.</w:t>
      </w:r>
    </w:p>
    <w:tbl>
      <w:tblPr>
        <w:tblStyle w:val="TableGrid"/>
        <w:bidiVisual/>
        <w:tblW w:w="0" w:type="auto"/>
        <w:tblLook w:val="04A0" w:firstRow="1" w:lastRow="0" w:firstColumn="1" w:lastColumn="0" w:noHBand="0" w:noVBand="1"/>
      </w:tblPr>
      <w:tblGrid>
        <w:gridCol w:w="4006"/>
        <w:gridCol w:w="4006"/>
      </w:tblGrid>
      <w:tr w:rsidR="00945B40" w:rsidTr="00945B40">
        <w:tc>
          <w:tcPr>
            <w:tcW w:w="4006" w:type="dxa"/>
          </w:tcPr>
          <w:p w:rsidR="00945B40" w:rsidRDefault="00945B40" w:rsidP="004A4E41">
            <w:pPr>
              <w:pStyle w:val="libFootnote0"/>
              <w:rPr>
                <w:rtl/>
              </w:rPr>
            </w:pPr>
            <w:r>
              <w:rPr>
                <w:rtl/>
              </w:rPr>
              <w:t>(12).</w:t>
            </w:r>
            <w:r w:rsidRPr="00C9040A">
              <w:rPr>
                <w:rtl/>
              </w:rPr>
              <w:t xml:space="preserve"> في « بس ، بف » : + « الله »</w:t>
            </w:r>
            <w:r>
              <w:rPr>
                <w:rtl/>
              </w:rPr>
              <w:t>.</w:t>
            </w:r>
          </w:p>
        </w:tc>
        <w:tc>
          <w:tcPr>
            <w:tcW w:w="4006" w:type="dxa"/>
          </w:tcPr>
          <w:p w:rsidR="00945B40" w:rsidRDefault="00945B40" w:rsidP="004A4E41">
            <w:pPr>
              <w:pStyle w:val="libFootnote0"/>
              <w:rPr>
                <w:rtl/>
              </w:rPr>
            </w:pPr>
            <w:r>
              <w:rPr>
                <w:rtl/>
              </w:rPr>
              <w:t>(13)</w:t>
            </w:r>
            <w:r w:rsidRPr="00C9040A">
              <w:rPr>
                <w:rtl/>
              </w:rPr>
              <w:t xml:space="preserve"> في « ج ، ص ، بف » : « لهم »</w:t>
            </w:r>
            <w:r>
              <w:rPr>
                <w:rtl/>
              </w:rPr>
              <w:t>.</w:t>
            </w:r>
          </w:p>
        </w:tc>
      </w:tr>
    </w:tbl>
    <w:p w:rsidR="008A74EB" w:rsidRPr="00C9040A" w:rsidRDefault="008A74EB" w:rsidP="004A4E41">
      <w:pPr>
        <w:pStyle w:val="libFootnote0"/>
        <w:rPr>
          <w:rtl/>
          <w:lang w:bidi="fa-IR"/>
        </w:rPr>
      </w:pPr>
      <w:r>
        <w:rPr>
          <w:rtl/>
        </w:rPr>
        <w:t>(14)</w:t>
      </w:r>
      <w:r w:rsidRPr="00C9040A">
        <w:rPr>
          <w:rtl/>
        </w:rPr>
        <w:t xml:space="preserve"> في « </w:t>
      </w:r>
      <w:r w:rsidR="006D3162">
        <w:rPr>
          <w:rtl/>
        </w:rPr>
        <w:t xml:space="preserve">ه </w:t>
      </w:r>
      <w:r w:rsidRPr="00C9040A">
        <w:rPr>
          <w:rtl/>
        </w:rPr>
        <w:t>» : « فكان »</w:t>
      </w:r>
      <w:r>
        <w:rPr>
          <w:rtl/>
        </w:rPr>
        <w:t>.</w:t>
      </w:r>
      <w:r w:rsidRPr="00C9040A">
        <w:rPr>
          <w:rtl/>
        </w:rPr>
        <w:t xml:space="preserve"> وفي « بر » : « وكأنّ »</w:t>
      </w:r>
      <w:r>
        <w:rPr>
          <w:rtl/>
        </w:rPr>
        <w:t>.</w:t>
      </w:r>
    </w:p>
    <w:p w:rsidR="008A74EB" w:rsidRPr="00C9040A" w:rsidRDefault="008A74EB" w:rsidP="00E95DAA">
      <w:pPr>
        <w:pStyle w:val="libFootnote0"/>
        <w:rPr>
          <w:rtl/>
          <w:lang w:bidi="fa-IR"/>
        </w:rPr>
      </w:pPr>
      <w:r>
        <w:rPr>
          <w:rtl/>
        </w:rPr>
        <w:t>(15)</w:t>
      </w:r>
      <w:r w:rsidRPr="00C9040A">
        <w:rPr>
          <w:rtl/>
        </w:rPr>
        <w:t xml:space="preserve"> </w:t>
      </w:r>
      <w:r w:rsidRPr="00993B55">
        <w:rPr>
          <w:rStyle w:val="libFootnoteBoldChar"/>
          <w:rtl/>
        </w:rPr>
        <w:t>قرب الإسناد</w:t>
      </w:r>
      <w:r w:rsidRPr="00C9040A">
        <w:rPr>
          <w:rtl/>
        </w:rPr>
        <w:t xml:space="preserve"> ، ص 380 ، ح 1340 </w:t>
      </w:r>
      <w:r>
        <w:rPr>
          <w:rtl/>
        </w:rPr>
        <w:t>و 1</w:t>
      </w:r>
      <w:r w:rsidRPr="00C9040A">
        <w:rPr>
          <w:rtl/>
        </w:rPr>
        <w:t xml:space="preserve">341 ، بسنده عن أحمد بن محمّد بن أبي‌نصر ، مع زيادة في أوّله. وفي </w:t>
      </w:r>
      <w:r w:rsidRPr="00993B55">
        <w:rPr>
          <w:rStyle w:val="libFootnoteBoldChar"/>
          <w:rtl/>
        </w:rPr>
        <w:t>الكافي</w:t>
      </w:r>
      <w:r w:rsidRPr="00C9040A">
        <w:rPr>
          <w:rtl/>
        </w:rPr>
        <w:t xml:space="preserve"> ، كتاب الإيمان والكفر ، باب الصمت وحفظ اللسان ، ح 1839 ؛ و</w:t>
      </w:r>
      <w:r w:rsidRPr="00993B55">
        <w:rPr>
          <w:rStyle w:val="libFootnoteBoldChar"/>
          <w:rtl/>
        </w:rPr>
        <w:t>الفقيه</w:t>
      </w:r>
      <w:r w:rsidRPr="00C9040A">
        <w:rPr>
          <w:rtl/>
        </w:rPr>
        <w:t xml:space="preserve"> ، ج 4 ، ص 416 ، ح 5903 ، بسند آخر ، من قوله : « في حكمة آل داود » إلى قوله : « عارفاً بأهل زمانه » مع اختلاف يسير</w:t>
      </w:r>
      <w:r w:rsidR="00E95DAA">
        <w:rPr>
          <w:rFonts w:hint="cs"/>
          <w:rtl/>
        </w:rPr>
        <w:t>.</w:t>
      </w:r>
      <w:r w:rsidRPr="00993B55">
        <w:rPr>
          <w:rStyle w:val="libFootnoteBoldChar"/>
          <w:rtl/>
        </w:rPr>
        <w:t>الوافي</w:t>
      </w:r>
      <w:r w:rsidRPr="00C9040A">
        <w:rPr>
          <w:rtl/>
        </w:rPr>
        <w:t xml:space="preserve"> ، ج 5 ، ص 701 ، ح 2909 ؛ </w:t>
      </w:r>
      <w:r w:rsidRPr="00993B55">
        <w:rPr>
          <w:rStyle w:val="libFootnoteBoldChar"/>
          <w:rtl/>
        </w:rPr>
        <w:t>البحار</w:t>
      </w:r>
      <w:r w:rsidRPr="00C9040A">
        <w:rPr>
          <w:rtl/>
        </w:rPr>
        <w:t xml:space="preserve"> ، ج 48 ، ص 249 ، ح 58 ، من قوله : « فلولا أنّ الله يدافع عن أوليائه » إلى قوله : « فدفع الله عنهم بولايتهم لأبي الحسن </w:t>
      </w:r>
      <w:r w:rsidR="00117575" w:rsidRPr="00117575">
        <w:rPr>
          <w:rStyle w:val="libFootnoteAlaemChar"/>
          <w:rtl/>
        </w:rPr>
        <w:t>عليه‌السلام</w:t>
      </w:r>
      <w:r w:rsidRPr="00C9040A">
        <w:rPr>
          <w:rtl/>
        </w:rPr>
        <w:t xml:space="preserve"> » ؛ وج 75 ، ص 77 ، ح 27.</w:t>
      </w:r>
    </w:p>
    <w:p w:rsidR="008A74EB" w:rsidRPr="00C9040A" w:rsidRDefault="008A74EB" w:rsidP="004A4E41">
      <w:pPr>
        <w:pStyle w:val="libFootnote0"/>
        <w:rPr>
          <w:rtl/>
          <w:lang w:bidi="fa-IR"/>
        </w:rPr>
      </w:pPr>
      <w:r>
        <w:rPr>
          <w:rtl/>
        </w:rPr>
        <w:t>(16)</w:t>
      </w:r>
      <w:r w:rsidRPr="00C9040A">
        <w:rPr>
          <w:rtl/>
        </w:rPr>
        <w:t xml:space="preserve"> في « </w:t>
      </w:r>
      <w:r w:rsidR="006D3162">
        <w:rPr>
          <w:rtl/>
        </w:rPr>
        <w:t xml:space="preserve">ه </w:t>
      </w:r>
      <w:r w:rsidRPr="00C9040A">
        <w:rPr>
          <w:rtl/>
        </w:rPr>
        <w:t xml:space="preserve">» </w:t>
      </w:r>
      <w:r>
        <w:rPr>
          <w:rtl/>
        </w:rPr>
        <w:t xml:space="preserve">: </w:t>
      </w:r>
      <w:r w:rsidR="0084262C">
        <w:rPr>
          <w:rtl/>
        </w:rPr>
        <w:t>-</w:t>
      </w:r>
      <w:r w:rsidRPr="00C9040A">
        <w:rPr>
          <w:rtl/>
        </w:rPr>
        <w:t xml:space="preserve"> « الوشّاء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عَنْ عُمَرَ بْنِ أَبَانٍ ، عَنْ أَبِي بَصِيرٍ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سَمِعْتُهُ </w:t>
      </w:r>
      <w:r w:rsidR="006C577F" w:rsidRPr="006C577F">
        <w:rPr>
          <w:rStyle w:val="libFootnotenumChar"/>
          <w:rtl/>
        </w:rPr>
        <w:t>(1)</w:t>
      </w:r>
      <w:r w:rsidRPr="00C9040A">
        <w:rPr>
          <w:rtl/>
          <w:lang w:bidi="fa-IR"/>
        </w:rPr>
        <w:t xml:space="preserve"> يَقُولُ : « قَالَ رَسُولُ اللهِ </w:t>
      </w:r>
      <w:r w:rsidR="004A4E41" w:rsidRPr="004A4E41">
        <w:rPr>
          <w:rStyle w:val="libAlaemChar"/>
          <w:rtl/>
        </w:rPr>
        <w:t>صلى‌الله‌عليه‌وآله</w:t>
      </w:r>
      <w:r w:rsidRPr="00C9040A">
        <w:rPr>
          <w:rtl/>
          <w:lang w:bidi="fa-IR"/>
        </w:rPr>
        <w:t xml:space="preserve"> : طُوبى لِعَبْدٍ نُوَمَةٍ </w:t>
      </w:r>
      <w:r w:rsidR="006C577F" w:rsidRPr="006C577F">
        <w:rPr>
          <w:rStyle w:val="libFootnotenumChar"/>
          <w:rtl/>
        </w:rPr>
        <w:t>(2)</w:t>
      </w:r>
      <w:r w:rsidRPr="00C9040A">
        <w:rPr>
          <w:rtl/>
          <w:lang w:bidi="fa-IR"/>
        </w:rPr>
        <w:t xml:space="preserve"> عَرَفَهُ اللهُ </w:t>
      </w:r>
      <w:r w:rsidR="006C577F" w:rsidRPr="006C577F">
        <w:rPr>
          <w:rStyle w:val="libFootnotenumChar"/>
          <w:rtl/>
        </w:rPr>
        <w:t>(3)</w:t>
      </w:r>
      <w:r w:rsidRPr="00C9040A">
        <w:rPr>
          <w:rtl/>
          <w:lang w:bidi="fa-IR"/>
        </w:rPr>
        <w:t xml:space="preserve"> وَلَمْ يَعْرِفْهُ النَّاسُ ، أُولئِكَ مَصَابِيحُ الْهُدى ، وَيَنَابِيعُ الْعِلْمِ ، يَنْجَلِي </w:t>
      </w:r>
      <w:r w:rsidR="006C577F" w:rsidRPr="006C577F">
        <w:rPr>
          <w:rStyle w:val="libFootnotenumChar"/>
          <w:rtl/>
        </w:rPr>
        <w:t>(4)</w:t>
      </w:r>
      <w:r w:rsidRPr="00C9040A">
        <w:rPr>
          <w:rtl/>
          <w:lang w:bidi="fa-IR"/>
        </w:rPr>
        <w:t xml:space="preserve"> عَنْهُمْ كُلُّ فِتْنَةٍ مُظْلِمَةٍ ، لَيْسُوا بِالْمَذَايِيعِ الْبُذُرِ </w:t>
      </w:r>
      <w:r w:rsidR="006C577F" w:rsidRPr="006C577F">
        <w:rPr>
          <w:rStyle w:val="libFootnotenumChar"/>
          <w:rtl/>
        </w:rPr>
        <w:t>(5)</w:t>
      </w:r>
      <w:r w:rsidRPr="00C9040A">
        <w:rPr>
          <w:rtl/>
          <w:lang w:bidi="fa-IR"/>
        </w:rPr>
        <w:t xml:space="preserve"> ، وَلَا بِالْجُفَاةِ </w:t>
      </w:r>
      <w:r w:rsidR="006C577F" w:rsidRPr="006C577F">
        <w:rPr>
          <w:rStyle w:val="libFootnotenumChar"/>
          <w:rtl/>
        </w:rPr>
        <w:t>(6)</w:t>
      </w:r>
      <w:r w:rsidRPr="005B567D">
        <w:rPr>
          <w:rStyle w:val="libFootnotenumChar"/>
          <w:rtl/>
        </w:rPr>
        <w:t xml:space="preserve"> </w:t>
      </w:r>
      <w:r w:rsidRPr="00C9040A">
        <w:rPr>
          <w:rtl/>
          <w:lang w:bidi="fa-IR"/>
        </w:rPr>
        <w:t>الْمُرَائِينَ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4C0078">
        <w:rPr>
          <w:rtl/>
        </w:rPr>
        <w:t>2275</w:t>
      </w:r>
      <w:r w:rsidRPr="00261CB0">
        <w:rPr>
          <w:rStyle w:val="libBold2Char"/>
          <w:rtl/>
        </w:rPr>
        <w:t xml:space="preserve"> / 12.</w:t>
      </w:r>
      <w:r w:rsidRPr="00C9040A">
        <w:rPr>
          <w:rtl/>
          <w:lang w:bidi="fa-IR"/>
        </w:rPr>
        <w:t xml:space="preserve"> عَلِيُّ بْنُ إِبْرَاهِيمَ ، عَنْ مُحَمَّدِ بْنِ عِيسى ، عَنْ يُونُسَ ، عَنْ أَبِي الْحَسَنِ الْأَصْبَهَانِيِّ </w:t>
      </w:r>
      <w:r w:rsidR="006C577F" w:rsidRPr="006C577F">
        <w:rPr>
          <w:rStyle w:val="libFootnotenumChar"/>
          <w:rtl/>
        </w:rPr>
        <w:t>(8)</w:t>
      </w:r>
      <w:r w:rsidRPr="00C9040A">
        <w:rPr>
          <w:rtl/>
          <w:lang w:bidi="fa-IR"/>
        </w:rPr>
        <w:t xml:space="preserve"> :</w:t>
      </w:r>
    </w:p>
    <w:p w:rsidR="008A74EB" w:rsidRPr="00C9040A" w:rsidRDefault="008A74EB" w:rsidP="008A74EB">
      <w:pPr>
        <w:pStyle w:val="libNormal"/>
        <w:rPr>
          <w:rtl/>
          <w:lang w:bidi="fa-IR"/>
        </w:rPr>
      </w:pPr>
      <w:r w:rsidRPr="00C9040A">
        <w:rPr>
          <w:rtl/>
          <w:lang w:bidi="fa-IR"/>
        </w:rPr>
        <w:t xml:space="preserve">عَنْ أَبِي عَبْدِاللهِ </w:t>
      </w:r>
      <w:r w:rsidRPr="0003660B">
        <w:rPr>
          <w:rStyle w:val="libAlaemChar"/>
          <w:rtl/>
        </w:rPr>
        <w:t>عليه‌السلام</w:t>
      </w:r>
      <w:r w:rsidRPr="00C9040A">
        <w:rPr>
          <w:rtl/>
          <w:lang w:bidi="fa-IR"/>
        </w:rPr>
        <w:t xml:space="preserve"> ، قَالَ : « قَالَ أَمِيرُ الْمُؤْمِنِينَ </w:t>
      </w:r>
      <w:r w:rsidRPr="0003660B">
        <w:rPr>
          <w:rStyle w:val="libAlaemChar"/>
          <w:rtl/>
        </w:rPr>
        <w:t>عليه‌السلام</w:t>
      </w:r>
      <w:r w:rsidRPr="00C9040A">
        <w:rPr>
          <w:rtl/>
          <w:lang w:bidi="fa-IR"/>
        </w:rPr>
        <w:t xml:space="preserve"> : طُوبى لِكُلِّ عَبْدٍ نُوَمَةٍ لَايُؤْبَهُ </w:t>
      </w:r>
      <w:r w:rsidR="006C577F" w:rsidRPr="006C577F">
        <w:rPr>
          <w:rStyle w:val="libFootnotenumChar"/>
          <w:rtl/>
        </w:rPr>
        <w:t>(9)</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w:t>
      </w:r>
      <w:r w:rsidR="006D3162">
        <w:rPr>
          <w:rtl/>
        </w:rPr>
        <w:t xml:space="preserve">ه </w:t>
      </w:r>
      <w:r w:rsidR="008A74EB" w:rsidRPr="00C9040A">
        <w:rPr>
          <w:rtl/>
        </w:rPr>
        <w:t xml:space="preserve">» : « قال : سمعت أباعبدالله </w:t>
      </w:r>
      <w:r w:rsidR="00117575" w:rsidRPr="00117575">
        <w:rPr>
          <w:rStyle w:val="libFootnoteAlaemChar"/>
          <w:rtl/>
        </w:rPr>
        <w:t xml:space="preserve">عليه‌السلام </w:t>
      </w:r>
      <w:r w:rsidR="008A74EB" w:rsidRPr="00C9040A">
        <w:rPr>
          <w:rtl/>
        </w:rPr>
        <w:t xml:space="preserve">» بدل « عن أبي عبدالله </w:t>
      </w:r>
      <w:r w:rsidR="00117575" w:rsidRPr="00117575">
        <w:rPr>
          <w:rStyle w:val="libFootnoteAlaemChar"/>
          <w:rtl/>
        </w:rPr>
        <w:t>عليه‌السلام</w:t>
      </w:r>
      <w:r w:rsidR="008A74EB" w:rsidRPr="00C9040A">
        <w:rPr>
          <w:rtl/>
        </w:rPr>
        <w:t xml:space="preserve"> ، قال : سمعته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w:t>
      </w:r>
      <w:r w:rsidR="006D3162">
        <w:rPr>
          <w:rtl/>
        </w:rPr>
        <w:t xml:space="preserve">ه </w:t>
      </w:r>
      <w:r w:rsidR="008A74EB" w:rsidRPr="00C9040A">
        <w:rPr>
          <w:rtl/>
        </w:rPr>
        <w:t xml:space="preserve">» </w:t>
      </w:r>
      <w:r w:rsidR="008A74EB">
        <w:rPr>
          <w:rtl/>
        </w:rPr>
        <w:t xml:space="preserve">: </w:t>
      </w:r>
      <w:r w:rsidR="0084262C">
        <w:rPr>
          <w:rtl/>
        </w:rPr>
        <w:t>-</w:t>
      </w:r>
      <w:r w:rsidR="008A74EB" w:rsidRPr="00C9040A">
        <w:rPr>
          <w:rtl/>
        </w:rPr>
        <w:t xml:space="preserve"> « نومة »</w:t>
      </w:r>
      <w:r w:rsidR="008A74EB">
        <w:rPr>
          <w:rtl/>
        </w:rPr>
        <w:t>.</w:t>
      </w:r>
      <w:r w:rsidR="008A74EB" w:rsidRPr="00C9040A">
        <w:rPr>
          <w:rtl/>
        </w:rPr>
        <w:t xml:space="preserve"> وفي « بر » : + « لا يؤبه »</w:t>
      </w:r>
      <w:r w:rsidR="008A74EB">
        <w:rPr>
          <w:rtl/>
        </w:rPr>
        <w:t>.</w:t>
      </w:r>
      <w:r w:rsidR="008A74EB" w:rsidRPr="00C9040A">
        <w:rPr>
          <w:rtl/>
        </w:rPr>
        <w:t xml:space="preserve"> </w:t>
      </w:r>
      <w:r w:rsidR="008A74EB">
        <w:rPr>
          <w:rtl/>
        </w:rPr>
        <w:t>و «</w:t>
      </w:r>
      <w:r w:rsidR="008A74EB" w:rsidRPr="00C9040A">
        <w:rPr>
          <w:rtl/>
        </w:rPr>
        <w:t xml:space="preserve"> النومة » بالضمّ وسكون الواو : الرجل الضعيف. وعن أبي‌عبيدة : هو الخامل الذِّكر الغامِضُ في الناس الذي لا يعرف الشرَّ وأهله. وقال الدريدي في كتاب الجمهرة : رجلٌ نُوْمَة ؛ إذا كان خاملاً. ونُوَمَة ، بفتح الواو : إذا كان كثير النوم. </w:t>
      </w:r>
      <w:r w:rsidR="008A74EB" w:rsidRPr="00993B55">
        <w:rPr>
          <w:rStyle w:val="libFootnoteBoldChar"/>
          <w:rtl/>
        </w:rPr>
        <w:t>مجمع البحرين</w:t>
      </w:r>
      <w:r w:rsidR="008A74EB" w:rsidRPr="00C9040A">
        <w:rPr>
          <w:rtl/>
        </w:rPr>
        <w:t xml:space="preserve"> ، ج 6 ، ص 181 ( نوم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w:t>
      </w:r>
      <w:r w:rsidR="008A74EB" w:rsidRPr="00993B55">
        <w:rPr>
          <w:rStyle w:val="libFootnoteBoldChar"/>
          <w:rtl/>
        </w:rPr>
        <w:t>مرآة العقول</w:t>
      </w:r>
      <w:r w:rsidR="008A74EB" w:rsidRPr="00C9040A">
        <w:rPr>
          <w:rtl/>
        </w:rPr>
        <w:t xml:space="preserve"> : « قوله : عرفه الله ، على بناء المجرّد</w:t>
      </w:r>
      <w:r w:rsidR="008A74EB">
        <w:rPr>
          <w:rtl/>
        </w:rPr>
        <w:t xml:space="preserve"> ..</w:t>
      </w:r>
      <w:r w:rsidR="008A74EB" w:rsidRPr="00C9040A">
        <w:rPr>
          <w:rtl/>
        </w:rPr>
        <w:t xml:space="preserve">. ويمكن أن يقرأ على بناء التفعيل ، أي‌عرّفه الله نفسه‌وأولياءه ودينه بتوسّط حججه </w:t>
      </w:r>
      <w:r w:rsidR="00117575" w:rsidRPr="00117575">
        <w:rPr>
          <w:rStyle w:val="libFootnoteAlaemChar"/>
          <w:rtl/>
        </w:rPr>
        <w:t>عليهم‌السلام</w:t>
      </w:r>
      <w:r w:rsidR="008A74EB" w:rsidRPr="00C9040A">
        <w:rPr>
          <w:rtl/>
        </w:rPr>
        <w:t xml:space="preserve"> ولم تكن معرفته من الناس ، أي‌من سائر الناس ممّن لا يجوز أخذ العلم عنه لكنّه بعيد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ب ، ف » : « يتجلّى »</w:t>
      </w:r>
      <w:r w:rsidR="008A74EB">
        <w:rPr>
          <w:rtl/>
        </w:rPr>
        <w:t>.</w:t>
      </w:r>
      <w:r w:rsidR="008A74EB" w:rsidRPr="00C9040A">
        <w:rPr>
          <w:rtl/>
        </w:rPr>
        <w:t xml:space="preserve"> وفي « ج ، د ، </w:t>
      </w:r>
      <w:r w:rsidR="006D3162">
        <w:rPr>
          <w:rtl/>
        </w:rPr>
        <w:t xml:space="preserve">ه </w:t>
      </w:r>
      <w:r w:rsidR="008A74EB" w:rsidRPr="00C9040A">
        <w:rPr>
          <w:rtl/>
        </w:rPr>
        <w:t>» : « تتجلّى »</w:t>
      </w:r>
      <w:r w:rsidR="008A74EB">
        <w:rPr>
          <w:rtl/>
        </w:rPr>
        <w:t>.</w:t>
      </w:r>
      <w:r w:rsidR="008A74EB" w:rsidRPr="00C9040A">
        <w:rPr>
          <w:rtl/>
        </w:rPr>
        <w:t xml:space="preserve"> وفي « ص ، بر ، بف » : « تنجلي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 البُذْر » جمع : بَذور. يقال : بَذَرتُ الكلام بين الناس كما تُبذر الحبوب ، أي‌أفشيته وفرّقته. </w:t>
      </w:r>
      <w:r w:rsidR="008A74EB" w:rsidRPr="00993B55">
        <w:rPr>
          <w:rStyle w:val="libFootnoteBoldChar"/>
          <w:rtl/>
        </w:rPr>
        <w:t>النهاية</w:t>
      </w:r>
      <w:r w:rsidR="008A74EB" w:rsidRPr="00C9040A">
        <w:rPr>
          <w:rtl/>
        </w:rPr>
        <w:t xml:space="preserve"> ، ج 1 ، ص 110 ( بذر )</w:t>
      </w:r>
      <w:r w:rsidR="008A74EB">
        <w:rPr>
          <w:rtl/>
        </w:rPr>
        <w:t>.</w:t>
      </w:r>
      <w:r w:rsidR="008A74EB" w:rsidRPr="00C9040A">
        <w:rPr>
          <w:rtl/>
        </w:rPr>
        <w:t xml:space="preserve"> وفي </w:t>
      </w:r>
      <w:r w:rsidR="008A74EB" w:rsidRPr="00993B55">
        <w:rPr>
          <w:rStyle w:val="libFootnoteBoldChar"/>
          <w:rtl/>
        </w:rPr>
        <w:t>الوافي</w:t>
      </w:r>
      <w:r w:rsidR="008A74EB" w:rsidRPr="00C9040A">
        <w:rPr>
          <w:rtl/>
        </w:rPr>
        <w:t xml:space="preserve"> : « والمذاييع ، جمع مذياع. وهو من لايكتم السرّ. والبُذر</w:t>
      </w:r>
      <w:r w:rsidR="008A74EB">
        <w:rPr>
          <w:rtl/>
        </w:rPr>
        <w:t xml:space="preserve"> </w:t>
      </w:r>
      <w:r w:rsidR="0084262C">
        <w:rPr>
          <w:rtl/>
        </w:rPr>
        <w:t>-</w:t>
      </w:r>
      <w:r w:rsidR="008A74EB">
        <w:rPr>
          <w:rtl/>
        </w:rPr>
        <w:t xml:space="preserve"> </w:t>
      </w:r>
      <w:r w:rsidR="008A74EB" w:rsidRPr="00C9040A">
        <w:rPr>
          <w:rtl/>
        </w:rPr>
        <w:t>بالضمّ</w:t>
      </w:r>
      <w:r w:rsidR="008A74EB">
        <w:rPr>
          <w:rtl/>
        </w:rPr>
        <w:t xml:space="preserve"> </w:t>
      </w:r>
      <w:r w:rsidR="0084262C">
        <w:rPr>
          <w:rtl/>
        </w:rPr>
        <w:t>-</w:t>
      </w:r>
      <w:r w:rsidR="008A74EB">
        <w:rPr>
          <w:rtl/>
        </w:rPr>
        <w:t xml:space="preserve"> </w:t>
      </w:r>
      <w:r w:rsidR="008A74EB" w:rsidRPr="00C9040A">
        <w:rPr>
          <w:rtl/>
        </w:rPr>
        <w:t>جمع البَذُور والبذير ، وهو النمّام ومن لايستطيع كتم سرّه ، وككتف كثير الكلام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جفا عليه : ثَقُل. والجَفاء : نقيض الصِّلَة ، ويُقصر. ورجل جافي الخِلْقَة والخُلْق : كَزّ غليظ. </w:t>
      </w:r>
      <w:r w:rsidR="008A74EB" w:rsidRPr="00993B55">
        <w:rPr>
          <w:rStyle w:val="libFootnoteBoldChar"/>
          <w:rtl/>
        </w:rPr>
        <w:t>القاموس المحيط</w:t>
      </w:r>
      <w:r w:rsidR="008A74EB" w:rsidRPr="00C9040A">
        <w:rPr>
          <w:rtl/>
        </w:rPr>
        <w:t xml:space="preserve"> ، ج 2 ، ص 1668 ( جفا )</w:t>
      </w:r>
      <w:r w:rsidR="008A74EB">
        <w:rPr>
          <w:rtl/>
        </w:rPr>
        <w:t>.</w:t>
      </w:r>
      <w:r w:rsidR="008A74EB" w:rsidRPr="00C9040A">
        <w:rPr>
          <w:rtl/>
        </w:rPr>
        <w:t xml:space="preserve"> وجفاني فلانٌ : فعل بي ماساءني. </w:t>
      </w:r>
      <w:r w:rsidR="008A74EB" w:rsidRPr="00993B55">
        <w:rPr>
          <w:rStyle w:val="libFootnoteBoldChar"/>
          <w:rtl/>
        </w:rPr>
        <w:t>أساس البلاغة</w:t>
      </w:r>
      <w:r w:rsidR="008A74EB" w:rsidRPr="00C9040A">
        <w:rPr>
          <w:rtl/>
        </w:rPr>
        <w:t xml:space="preserve"> ، ص 61 ( جفو )</w:t>
      </w:r>
      <w:r w:rsidR="008A74EB">
        <w:rPr>
          <w:rtl/>
        </w:rPr>
        <w:t>.</w:t>
      </w:r>
      <w:r w:rsidR="008A74EB" w:rsidRPr="00C9040A">
        <w:rPr>
          <w:rtl/>
        </w:rPr>
        <w:t xml:space="preserve"> وفي </w:t>
      </w:r>
      <w:r w:rsidR="008A74EB" w:rsidRPr="00993B55">
        <w:rPr>
          <w:rStyle w:val="libFootnoteBoldChar"/>
          <w:rtl/>
        </w:rPr>
        <w:t>الوافي</w:t>
      </w:r>
      <w:r w:rsidR="008A74EB" w:rsidRPr="00C9040A">
        <w:rPr>
          <w:rtl/>
        </w:rPr>
        <w:t xml:space="preserve"> : « كأنّه جعله لانقباضه مقابلاً لمنبسط اللسان الكثير الكلام. والمراد النهي عن طرفي الإفراط والتفريط ولزوم الوسط »</w:t>
      </w:r>
      <w:r w:rsidR="008A74EB">
        <w:rPr>
          <w:rtl/>
        </w:rPr>
        <w:t>.</w:t>
      </w:r>
    </w:p>
    <w:p w:rsidR="008A74EB" w:rsidRPr="00C9040A" w:rsidRDefault="006C577F" w:rsidP="00E95DAA">
      <w:pPr>
        <w:pStyle w:val="libFootnote0"/>
        <w:rPr>
          <w:rtl/>
          <w:lang w:bidi="fa-IR"/>
        </w:rPr>
      </w:pPr>
      <w:r>
        <w:rPr>
          <w:rtl/>
        </w:rPr>
        <w:t>(7).</w:t>
      </w:r>
      <w:r w:rsidR="008A74EB" w:rsidRPr="00C9040A">
        <w:rPr>
          <w:rtl/>
        </w:rPr>
        <w:t xml:space="preserve"> راجع : </w:t>
      </w:r>
      <w:r w:rsidR="008A74EB" w:rsidRPr="00993B55">
        <w:rPr>
          <w:rStyle w:val="libFootnoteBoldChar"/>
          <w:rtl/>
        </w:rPr>
        <w:t>الخصال</w:t>
      </w:r>
      <w:r w:rsidR="008A74EB" w:rsidRPr="00C9040A">
        <w:rPr>
          <w:rtl/>
        </w:rPr>
        <w:t xml:space="preserve"> ، ص 27 ، باب الواحد ، ح 98 ؛ و</w:t>
      </w:r>
      <w:r w:rsidR="008A74EB" w:rsidRPr="00993B55">
        <w:rPr>
          <w:rStyle w:val="libFootnoteBoldChar"/>
          <w:rtl/>
        </w:rPr>
        <w:t xml:space="preserve">معاني الأخبار </w:t>
      </w:r>
      <w:r w:rsidR="008A74EB" w:rsidRPr="00C9040A">
        <w:rPr>
          <w:rtl/>
        </w:rPr>
        <w:t>، ص 380 ، ح 8</w:t>
      </w:r>
      <w:r w:rsidR="00E95DAA">
        <w:rPr>
          <w:rFonts w:hint="cs"/>
          <w:rtl/>
        </w:rPr>
        <w:t>.</w:t>
      </w:r>
      <w:r w:rsidR="008A74EB" w:rsidRPr="00993B55">
        <w:rPr>
          <w:rStyle w:val="libFootnoteBoldChar"/>
          <w:rtl/>
        </w:rPr>
        <w:t>الوافي</w:t>
      </w:r>
      <w:r w:rsidR="008A74EB" w:rsidRPr="00C9040A">
        <w:rPr>
          <w:rtl/>
        </w:rPr>
        <w:t xml:space="preserve"> ، ج 5 ، ص 702 ، ح 2910 ؛ </w:t>
      </w:r>
      <w:r w:rsidR="008A74EB" w:rsidRPr="00993B55">
        <w:rPr>
          <w:rStyle w:val="libFootnoteBoldChar"/>
          <w:rtl/>
        </w:rPr>
        <w:t>الوسائل</w:t>
      </w:r>
      <w:r w:rsidR="008A74EB" w:rsidRPr="00C9040A">
        <w:rPr>
          <w:rtl/>
        </w:rPr>
        <w:t xml:space="preserve"> ، ج 16 ، ص 248 ، ح 21478 ؛ </w:t>
      </w:r>
      <w:r w:rsidR="008A74EB" w:rsidRPr="00993B55">
        <w:rPr>
          <w:rStyle w:val="libFootnoteBoldChar"/>
          <w:rtl/>
        </w:rPr>
        <w:t>البحار</w:t>
      </w:r>
      <w:r w:rsidR="008A74EB" w:rsidRPr="00C9040A">
        <w:rPr>
          <w:rtl/>
        </w:rPr>
        <w:t xml:space="preserve"> ، ج 75 ، ص 79 ، ح 28.</w:t>
      </w:r>
    </w:p>
    <w:p w:rsidR="008A74EB" w:rsidRPr="00C9040A" w:rsidRDefault="006C577F" w:rsidP="004A4E41">
      <w:pPr>
        <w:pStyle w:val="libFootnote0"/>
        <w:rPr>
          <w:rtl/>
          <w:lang w:bidi="fa-IR"/>
        </w:rPr>
      </w:pPr>
      <w:r>
        <w:rPr>
          <w:rtl/>
        </w:rPr>
        <w:t>(8).</w:t>
      </w:r>
      <w:r w:rsidR="008A74EB" w:rsidRPr="00C9040A">
        <w:rPr>
          <w:rtl/>
        </w:rPr>
        <w:t xml:space="preserve"> في « د ، ز » : « الإصفهاني »</w:t>
      </w:r>
      <w:r w:rsidR="008A74EB">
        <w:rPr>
          <w:rtl/>
        </w:rPr>
        <w:t>.</w:t>
      </w:r>
      <w:r w:rsidR="008A74EB" w:rsidRPr="00C9040A">
        <w:rPr>
          <w:rtl/>
        </w:rPr>
        <w:t xml:space="preserve"> وفي الكافي ، ح 2805 : + « عمّن ذكره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 لا يؤبه » : لا يُحْتَفل به لحقارته. </w:t>
      </w:r>
      <w:r w:rsidR="008A74EB" w:rsidRPr="00993B55">
        <w:rPr>
          <w:rStyle w:val="libFootnoteBoldChar"/>
          <w:rtl/>
        </w:rPr>
        <w:t>النهاية</w:t>
      </w:r>
      <w:r w:rsidR="008A74EB" w:rsidRPr="00C9040A">
        <w:rPr>
          <w:rtl/>
        </w:rPr>
        <w:t xml:space="preserve"> ، ج 1 ، ص 18 ( أبه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لَهُ ، يَعْرِفُ </w:t>
      </w:r>
      <w:r w:rsidR="006C577F" w:rsidRPr="006C577F">
        <w:rPr>
          <w:rStyle w:val="libFootnotenumChar"/>
          <w:rtl/>
        </w:rPr>
        <w:t>(1)</w:t>
      </w:r>
      <w:r w:rsidRPr="00C9040A">
        <w:rPr>
          <w:rtl/>
          <w:lang w:bidi="fa-IR"/>
        </w:rPr>
        <w:t xml:space="preserve"> النَّاسَ وَلَا يَعْرِفُهُ </w:t>
      </w:r>
      <w:r w:rsidR="006C577F" w:rsidRPr="006C577F">
        <w:rPr>
          <w:rStyle w:val="libFootnotenumChar"/>
          <w:rtl/>
        </w:rPr>
        <w:t>(2)</w:t>
      </w:r>
      <w:r w:rsidRPr="00C9040A">
        <w:rPr>
          <w:rtl/>
          <w:lang w:bidi="fa-IR"/>
        </w:rPr>
        <w:t xml:space="preserve"> النَّاسُ ، يَعْرِفُهُ </w:t>
      </w:r>
      <w:r w:rsidR="006C577F" w:rsidRPr="006C577F">
        <w:rPr>
          <w:rStyle w:val="libFootnotenumChar"/>
          <w:rtl/>
        </w:rPr>
        <w:t>(3)</w:t>
      </w:r>
      <w:r w:rsidRPr="00C9040A">
        <w:rPr>
          <w:rtl/>
          <w:lang w:bidi="fa-IR"/>
        </w:rPr>
        <w:t xml:space="preserve"> اللهُ مِنْهُ </w:t>
      </w:r>
      <w:r w:rsidR="006C577F" w:rsidRPr="006C577F">
        <w:rPr>
          <w:rStyle w:val="libFootnotenumChar"/>
          <w:rtl/>
        </w:rPr>
        <w:t>(4)</w:t>
      </w:r>
      <w:r w:rsidRPr="00C9040A">
        <w:rPr>
          <w:rtl/>
          <w:lang w:bidi="fa-IR"/>
        </w:rPr>
        <w:t xml:space="preserve"> بِرِضْوَانٍ </w:t>
      </w:r>
      <w:r w:rsidR="006C577F" w:rsidRPr="006C577F">
        <w:rPr>
          <w:rStyle w:val="libFootnotenumChar"/>
          <w:rtl/>
        </w:rPr>
        <w:t>(5)</w:t>
      </w:r>
      <w:r w:rsidRPr="00C9040A">
        <w:rPr>
          <w:rtl/>
          <w:lang w:bidi="fa-IR"/>
        </w:rPr>
        <w:t xml:space="preserve"> ، أُولئِكَ مَصَابِيحُ الْهُدى ، تَنْجَلِي </w:t>
      </w:r>
      <w:r w:rsidR="006C577F" w:rsidRPr="006C577F">
        <w:rPr>
          <w:rStyle w:val="libFootnotenumChar"/>
          <w:rtl/>
        </w:rPr>
        <w:t>(6)</w:t>
      </w:r>
      <w:r w:rsidRPr="005B567D">
        <w:rPr>
          <w:rStyle w:val="libFootnotenumChar"/>
          <w:rtl/>
        </w:rPr>
        <w:t xml:space="preserve"> </w:t>
      </w:r>
      <w:r w:rsidRPr="00C9040A">
        <w:rPr>
          <w:rtl/>
          <w:lang w:bidi="fa-IR"/>
        </w:rPr>
        <w:t xml:space="preserve">عَنْهُمْ </w:t>
      </w:r>
      <w:r w:rsidR="006C577F" w:rsidRPr="006C577F">
        <w:rPr>
          <w:rStyle w:val="libFootnotenumChar"/>
          <w:rtl/>
        </w:rPr>
        <w:t>(7)</w:t>
      </w:r>
      <w:r w:rsidRPr="00C9040A">
        <w:rPr>
          <w:rtl/>
          <w:lang w:bidi="fa-IR"/>
        </w:rPr>
        <w:t xml:space="preserve"> كُلُّ فِتْنَةٍ مُظْلِمَةٍ </w:t>
      </w:r>
      <w:r w:rsidR="006C577F" w:rsidRPr="006C577F">
        <w:rPr>
          <w:rStyle w:val="libFootnotenumChar"/>
          <w:rtl/>
        </w:rPr>
        <w:t>(8)</w:t>
      </w:r>
      <w:r w:rsidRPr="00C9040A">
        <w:rPr>
          <w:rtl/>
          <w:lang w:bidi="fa-IR"/>
        </w:rPr>
        <w:t xml:space="preserve"> ، وَيُفْتَحُ </w:t>
      </w:r>
      <w:r w:rsidR="006C577F" w:rsidRPr="006C577F">
        <w:rPr>
          <w:rStyle w:val="libFootnotenumChar"/>
          <w:rtl/>
        </w:rPr>
        <w:t>(9)</w:t>
      </w:r>
      <w:r w:rsidRPr="00C9040A">
        <w:rPr>
          <w:rtl/>
          <w:lang w:bidi="fa-IR"/>
        </w:rPr>
        <w:t xml:space="preserve"> لَهُمْ </w:t>
      </w:r>
      <w:r w:rsidR="006C577F" w:rsidRPr="006C577F">
        <w:rPr>
          <w:rStyle w:val="libFootnotenumChar"/>
          <w:rtl/>
        </w:rPr>
        <w:t>(10)</w:t>
      </w:r>
      <w:r w:rsidRPr="00C9040A">
        <w:rPr>
          <w:rtl/>
          <w:lang w:bidi="fa-IR"/>
        </w:rPr>
        <w:t xml:space="preserve"> بَابُ كُلِّ رَحْمَةٍ ، لَيْسُوا بِالْبُذُرِ </w:t>
      </w:r>
      <w:r w:rsidR="006C577F" w:rsidRPr="006C577F">
        <w:rPr>
          <w:rStyle w:val="libFootnotenumChar"/>
          <w:rtl/>
        </w:rPr>
        <w:t>(11)</w:t>
      </w:r>
      <w:r w:rsidRPr="00C9040A">
        <w:rPr>
          <w:rtl/>
          <w:lang w:bidi="fa-IR"/>
        </w:rPr>
        <w:t xml:space="preserve"> الْمَذَايِيعِ ، وَلَا الْجُفَاةِ الْمُرَائِينَ »</w:t>
      </w:r>
      <w:r>
        <w:rPr>
          <w:rtl/>
          <w:lang w:bidi="fa-IR"/>
        </w:rPr>
        <w:t>.</w:t>
      </w:r>
    </w:p>
    <w:p w:rsidR="008A74EB" w:rsidRPr="00C9040A" w:rsidRDefault="008A74EB" w:rsidP="008A74EB">
      <w:pPr>
        <w:pStyle w:val="libNormal"/>
        <w:rPr>
          <w:rtl/>
          <w:lang w:bidi="fa-IR"/>
        </w:rPr>
      </w:pPr>
      <w:r w:rsidRPr="00C9040A">
        <w:rPr>
          <w:rtl/>
          <w:lang w:bidi="fa-IR"/>
        </w:rPr>
        <w:t xml:space="preserve">وَقَالَ : « قُولُوا الْخَيْرَ ؛ تُعْرَفُوا بِهِ ، وَاعْمَلُوا الْخَيْرَ </w:t>
      </w:r>
      <w:r w:rsidR="006C577F" w:rsidRPr="006C577F">
        <w:rPr>
          <w:rStyle w:val="libFootnotenumChar"/>
          <w:rtl/>
        </w:rPr>
        <w:t>(12)</w:t>
      </w:r>
      <w:r w:rsidRPr="00C9040A">
        <w:rPr>
          <w:rtl/>
          <w:lang w:bidi="fa-IR"/>
        </w:rPr>
        <w:t xml:space="preserve"> ؛ تَكُونُوا مِنْ أَهْلِهِ ، وَلَا تَكُونُوا عُجُلاً </w:t>
      </w:r>
      <w:r w:rsidRPr="005B567D">
        <w:rPr>
          <w:rStyle w:val="libFootnotenumChar"/>
          <w:rtl/>
        </w:rPr>
        <w:t>(13)</w:t>
      </w:r>
      <w:r w:rsidRPr="00C9040A">
        <w:rPr>
          <w:rtl/>
          <w:lang w:bidi="fa-IR"/>
        </w:rPr>
        <w:t xml:space="preserve"> مَذَايِيعَ ؛ فَإِنَّ خِيَارَكُمُ الَّذِينَ إِذَا نُظِرَ إِلَيْهِمْ ذُكِرَ </w:t>
      </w:r>
      <w:r w:rsidRPr="005B567D">
        <w:rPr>
          <w:rStyle w:val="libFootnotenumChar"/>
          <w:rtl/>
        </w:rPr>
        <w:t>(14)</w:t>
      </w:r>
      <w:r w:rsidRPr="00C9040A">
        <w:rPr>
          <w:rtl/>
          <w:lang w:bidi="fa-IR"/>
        </w:rPr>
        <w:t xml:space="preserve"> اللهُ ، وَشِرَارَكُمُ الْمَشَّاؤُونَ بِالنَّمِيمَةِ ، الْمُفَرِّقُونَ بَيْنَ الْأَحِبَّةِ ، الْمُبْتَغُونَ لِلْبُرَآءِ </w:t>
      </w:r>
      <w:r w:rsidRPr="005B567D">
        <w:rPr>
          <w:rStyle w:val="libFootnotenumChar"/>
          <w:rtl/>
        </w:rPr>
        <w:t>(15)</w:t>
      </w:r>
      <w:r w:rsidRPr="00C9040A">
        <w:rPr>
          <w:rtl/>
          <w:lang w:bidi="fa-IR"/>
        </w:rPr>
        <w:t xml:space="preserve"> الْمَعَايِبَ »</w:t>
      </w:r>
      <w:r>
        <w:rPr>
          <w:rtl/>
          <w:lang w:bidi="fa-IR"/>
        </w:rPr>
        <w:t>.</w:t>
      </w:r>
      <w:r w:rsidRPr="00C9040A">
        <w:rPr>
          <w:rtl/>
          <w:lang w:bidi="fa-IR"/>
        </w:rPr>
        <w:t xml:space="preserve"> </w:t>
      </w:r>
      <w:r w:rsidRPr="005B567D">
        <w:rPr>
          <w:rStyle w:val="libFootnotenumChar"/>
          <w:rtl/>
        </w:rPr>
        <w:t>(16)</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1D0716" w:rsidTr="001D0716">
        <w:tc>
          <w:tcPr>
            <w:tcW w:w="4006" w:type="dxa"/>
          </w:tcPr>
          <w:p w:rsidR="001D0716" w:rsidRDefault="001D0716" w:rsidP="004A4E41">
            <w:pPr>
              <w:pStyle w:val="libFootnote0"/>
              <w:rPr>
                <w:rtl/>
              </w:rPr>
            </w:pPr>
            <w:r>
              <w:rPr>
                <w:rtl/>
              </w:rPr>
              <w:t>(1). في « ف » : «عرف</w:t>
            </w:r>
            <w:r w:rsidRPr="00C9040A">
              <w:rPr>
                <w:rtl/>
              </w:rPr>
              <w:t>»</w:t>
            </w:r>
            <w:r>
              <w:rPr>
                <w:rtl/>
              </w:rPr>
              <w:t>. وفي«ض</w:t>
            </w:r>
            <w:r w:rsidRPr="00C9040A">
              <w:rPr>
                <w:rtl/>
              </w:rPr>
              <w:t>» : « ليعرف »</w:t>
            </w:r>
            <w:r>
              <w:rPr>
                <w:rtl/>
              </w:rPr>
              <w:t>.</w:t>
            </w:r>
          </w:p>
        </w:tc>
        <w:tc>
          <w:tcPr>
            <w:tcW w:w="4006" w:type="dxa"/>
          </w:tcPr>
          <w:p w:rsidR="001D0716" w:rsidRDefault="001D0716" w:rsidP="004A4E41">
            <w:pPr>
              <w:pStyle w:val="libFootnote0"/>
              <w:rPr>
                <w:rtl/>
              </w:rPr>
            </w:pPr>
            <w:r>
              <w:rPr>
                <w:rtl/>
              </w:rPr>
              <w:t xml:space="preserve">(2). </w:t>
            </w:r>
            <w:r w:rsidRPr="00C9040A">
              <w:rPr>
                <w:rtl/>
              </w:rPr>
              <w:t>في « بس » : « ولا تعرفه »</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في « ص » ومرآة العقول : « يعرّفه »</w:t>
      </w:r>
      <w:r w:rsidR="008A74EB">
        <w:rPr>
          <w:rtl/>
        </w:rPr>
        <w:t>.</w:t>
      </w:r>
    </w:p>
    <w:p w:rsidR="008A74EB" w:rsidRPr="00C9040A" w:rsidRDefault="006C577F" w:rsidP="00BB4CB4">
      <w:pPr>
        <w:pStyle w:val="libFootnote0"/>
        <w:rPr>
          <w:rtl/>
          <w:lang w:bidi="fa-IR"/>
        </w:rPr>
      </w:pPr>
      <w:r>
        <w:rPr>
          <w:rtl/>
        </w:rPr>
        <w:t>(4).</w:t>
      </w:r>
      <w:r w:rsidR="008A74EB" w:rsidRPr="00C9040A">
        <w:rPr>
          <w:rtl/>
        </w:rPr>
        <w:t xml:space="preserve"> في </w:t>
      </w:r>
      <w:r w:rsidR="008A74EB" w:rsidRPr="00993B55">
        <w:rPr>
          <w:rStyle w:val="libFootnoteBoldChar"/>
          <w:rtl/>
        </w:rPr>
        <w:t>مرآة العقول</w:t>
      </w:r>
      <w:r w:rsidR="008A74EB" w:rsidRPr="00C9040A">
        <w:rPr>
          <w:rtl/>
        </w:rPr>
        <w:t xml:space="preserve"> : « قوله : « منه » متعلّق</w:t>
      </w:r>
      <w:r w:rsidR="008A74EB">
        <w:rPr>
          <w:rtl/>
        </w:rPr>
        <w:t xml:space="preserve"> ب</w:t>
      </w:r>
      <w:r w:rsidR="00BB4CB4">
        <w:rPr>
          <w:rFonts w:hint="cs"/>
          <w:rtl/>
        </w:rPr>
        <w:t>ـ</w:t>
      </w:r>
      <w:r w:rsidR="008A74EB">
        <w:rPr>
          <w:rtl/>
        </w:rPr>
        <w:t xml:space="preserve"> «</w:t>
      </w:r>
      <w:r w:rsidR="008A74EB" w:rsidRPr="00C9040A">
        <w:rPr>
          <w:rtl/>
        </w:rPr>
        <w:t xml:space="preserve"> يعرفه » أي من عنده ومن لدنه</w:t>
      </w:r>
      <w:r w:rsidR="008A74EB">
        <w:rPr>
          <w:rtl/>
        </w:rPr>
        <w:t xml:space="preserve"> ..</w:t>
      </w:r>
      <w:r w:rsidR="008A74EB" w:rsidRPr="00C9040A">
        <w:rPr>
          <w:rtl/>
        </w:rPr>
        <w:t>. وربّما يقرأ : منّه ، بفتح الميم وتشديد النون ، أي‌نعمته التي هي الإمام أو معرفته »</w:t>
      </w:r>
      <w:r w:rsidR="008A74EB">
        <w:rPr>
          <w:rtl/>
        </w:rPr>
        <w:t>.</w:t>
      </w:r>
      <w:r w:rsidR="00BB4CB4">
        <w:rPr>
          <w:rFonts w:hint="cs"/>
          <w:rtl/>
        </w:rPr>
        <w:t xml:space="preserve">     </w:t>
      </w:r>
      <w:r w:rsidR="00E6432D">
        <w:rPr>
          <w:rFonts w:hint="cs"/>
          <w:rtl/>
        </w:rPr>
        <w:t xml:space="preserve"> </w:t>
      </w:r>
      <w:r w:rsidR="00BB4CB4">
        <w:rPr>
          <w:rFonts w:hint="cs"/>
          <w:rtl/>
        </w:rPr>
        <w:t xml:space="preserve"> </w:t>
      </w:r>
      <w:r>
        <w:rPr>
          <w:rtl/>
        </w:rPr>
        <w:t>(5).</w:t>
      </w:r>
      <w:r w:rsidR="008A74EB" w:rsidRPr="00C9040A">
        <w:rPr>
          <w:rtl/>
        </w:rPr>
        <w:t xml:space="preserve"> في « ض » : + « منه »</w:t>
      </w:r>
      <w:r w:rsidR="008A74EB">
        <w:rPr>
          <w:rtl/>
        </w:rPr>
        <w:t>.</w:t>
      </w:r>
    </w:p>
    <w:p w:rsidR="008A74EB" w:rsidRPr="00C9040A" w:rsidRDefault="006C577F" w:rsidP="00BB4CB4">
      <w:pPr>
        <w:pStyle w:val="libFootnote0"/>
        <w:rPr>
          <w:rtl/>
          <w:lang w:bidi="fa-IR"/>
        </w:rPr>
      </w:pPr>
      <w:r>
        <w:rPr>
          <w:rtl/>
        </w:rPr>
        <w:t>(6).</w:t>
      </w:r>
      <w:r w:rsidR="008A74EB">
        <w:rPr>
          <w:rtl/>
        </w:rPr>
        <w:t xml:space="preserve"> </w:t>
      </w:r>
      <w:r w:rsidR="008A74EB" w:rsidRPr="00C9040A">
        <w:rPr>
          <w:rtl/>
        </w:rPr>
        <w:t>هكذا في « ج ، ص ، ض ، بر ، بس ، بف »</w:t>
      </w:r>
      <w:r w:rsidR="008A74EB">
        <w:rPr>
          <w:rtl/>
        </w:rPr>
        <w:t>.</w:t>
      </w:r>
      <w:r w:rsidR="008A74EB" w:rsidRPr="00C9040A">
        <w:rPr>
          <w:rtl/>
        </w:rPr>
        <w:t xml:space="preserve"> وفي « ب ، د ، </w:t>
      </w:r>
      <w:r w:rsidR="006D3162">
        <w:rPr>
          <w:rtl/>
        </w:rPr>
        <w:t xml:space="preserve">ه </w:t>
      </w:r>
      <w:r w:rsidR="008A74EB" w:rsidRPr="00C9040A">
        <w:rPr>
          <w:rtl/>
        </w:rPr>
        <w:t>» : « تتجلّى »</w:t>
      </w:r>
      <w:r w:rsidR="008A74EB">
        <w:rPr>
          <w:rtl/>
        </w:rPr>
        <w:t>.</w:t>
      </w:r>
      <w:r w:rsidR="008A74EB" w:rsidRPr="00C9040A">
        <w:rPr>
          <w:rtl/>
        </w:rPr>
        <w:t xml:space="preserve"> وفي « ز » : « يتجلّى »</w:t>
      </w:r>
      <w:r w:rsidR="008A74EB">
        <w:rPr>
          <w:rtl/>
        </w:rPr>
        <w:t>.</w:t>
      </w:r>
      <w:r w:rsidR="008A74EB" w:rsidRPr="00C9040A">
        <w:rPr>
          <w:rtl/>
        </w:rPr>
        <w:t xml:space="preserve"> وفي المطبوع : « ينجلي »</w:t>
      </w:r>
      <w:r w:rsidR="008A74EB">
        <w:rPr>
          <w:rtl/>
        </w:rPr>
        <w:t>.</w:t>
      </w:r>
      <w:r w:rsidR="00BB4CB4">
        <w:rPr>
          <w:rFonts w:hint="cs"/>
          <w:rtl/>
        </w:rPr>
        <w:t xml:space="preserve">                         </w:t>
      </w:r>
      <w:r w:rsidR="00E6432D">
        <w:rPr>
          <w:rFonts w:hint="cs"/>
          <w:rtl/>
        </w:rPr>
        <w:t xml:space="preserve"> </w:t>
      </w:r>
      <w:r w:rsidR="00B120D5">
        <w:rPr>
          <w:rFonts w:hint="cs"/>
          <w:rtl/>
        </w:rPr>
        <w:t xml:space="preserve">  </w:t>
      </w:r>
      <w:r w:rsidR="00E6432D">
        <w:rPr>
          <w:rFonts w:hint="cs"/>
          <w:rtl/>
        </w:rPr>
        <w:t xml:space="preserve"> </w:t>
      </w:r>
      <w:r w:rsidR="00BB4CB4">
        <w:rPr>
          <w:rFonts w:hint="cs"/>
          <w:rtl/>
        </w:rPr>
        <w:t xml:space="preserve">  </w:t>
      </w:r>
      <w:r w:rsidR="00E6432D">
        <w:rPr>
          <w:rFonts w:hint="cs"/>
          <w:rtl/>
        </w:rPr>
        <w:t xml:space="preserve"> </w:t>
      </w:r>
      <w:r>
        <w:rPr>
          <w:rtl/>
        </w:rPr>
        <w:t>(7).</w:t>
      </w:r>
      <w:r w:rsidR="008A74EB" w:rsidRPr="00C9040A">
        <w:rPr>
          <w:rtl/>
        </w:rPr>
        <w:t xml:space="preserve"> في « ز ، ص » : « منهم »</w:t>
      </w:r>
      <w:r w:rsidR="008A74EB">
        <w:rPr>
          <w:rtl/>
        </w:rPr>
        <w:t>.</w:t>
      </w:r>
    </w:p>
    <w:tbl>
      <w:tblPr>
        <w:tblStyle w:val="TableGrid"/>
        <w:bidiVisual/>
        <w:tblW w:w="0" w:type="auto"/>
        <w:tblLook w:val="04A0" w:firstRow="1" w:lastRow="0" w:firstColumn="1" w:lastColumn="0" w:noHBand="0" w:noVBand="1"/>
      </w:tblPr>
      <w:tblGrid>
        <w:gridCol w:w="4006"/>
        <w:gridCol w:w="4006"/>
      </w:tblGrid>
      <w:tr w:rsidR="00BB4CB4" w:rsidTr="00BB4CB4">
        <w:tc>
          <w:tcPr>
            <w:tcW w:w="4006" w:type="dxa"/>
          </w:tcPr>
          <w:p w:rsidR="00BB4CB4" w:rsidRDefault="00E6432D" w:rsidP="004A4E41">
            <w:pPr>
              <w:pStyle w:val="libFootnote0"/>
              <w:rPr>
                <w:rtl/>
                <w:lang w:bidi="fa-IR"/>
              </w:rPr>
            </w:pPr>
            <w:r>
              <w:rPr>
                <w:rtl/>
              </w:rPr>
              <w:t>(8). في «ب</w:t>
            </w:r>
            <w:r w:rsidRPr="00C9040A">
              <w:rPr>
                <w:rtl/>
              </w:rPr>
              <w:t xml:space="preserve">، ز ، </w:t>
            </w:r>
            <w:r>
              <w:rPr>
                <w:rtl/>
              </w:rPr>
              <w:t>ه ، بف</w:t>
            </w:r>
            <w:r w:rsidRPr="00C9040A">
              <w:rPr>
                <w:rtl/>
              </w:rPr>
              <w:t xml:space="preserve">» والوافي </w:t>
            </w:r>
            <w:r>
              <w:rPr>
                <w:rtl/>
              </w:rPr>
              <w:t>: -</w:t>
            </w:r>
            <w:r w:rsidRPr="00C9040A">
              <w:rPr>
                <w:rtl/>
              </w:rPr>
              <w:t xml:space="preserve"> « مظلمة »</w:t>
            </w:r>
            <w:r>
              <w:rPr>
                <w:rtl/>
              </w:rPr>
              <w:t>.</w:t>
            </w:r>
          </w:p>
        </w:tc>
        <w:tc>
          <w:tcPr>
            <w:tcW w:w="4006" w:type="dxa"/>
          </w:tcPr>
          <w:p w:rsidR="00BB4CB4" w:rsidRDefault="00E6432D" w:rsidP="004A4E41">
            <w:pPr>
              <w:pStyle w:val="libFootnote0"/>
              <w:rPr>
                <w:rtl/>
              </w:rPr>
            </w:pPr>
            <w:r>
              <w:rPr>
                <w:rtl/>
              </w:rPr>
              <w:t>(9).</w:t>
            </w:r>
            <w:r w:rsidRPr="00C9040A">
              <w:rPr>
                <w:rtl/>
              </w:rPr>
              <w:t xml:space="preserve"> في « ف » : « ويفتتح »</w:t>
            </w:r>
            <w:r>
              <w:rPr>
                <w:rtl/>
              </w:rPr>
              <w:t>.</w:t>
            </w:r>
          </w:p>
        </w:tc>
      </w:tr>
      <w:tr w:rsidR="00BB4CB4" w:rsidTr="00BB4CB4">
        <w:tc>
          <w:tcPr>
            <w:tcW w:w="4006" w:type="dxa"/>
          </w:tcPr>
          <w:p w:rsidR="00BB4CB4" w:rsidRDefault="00E6432D" w:rsidP="004A4E41">
            <w:pPr>
              <w:pStyle w:val="libFootnote0"/>
              <w:rPr>
                <w:rtl/>
              </w:rPr>
            </w:pPr>
            <w:r>
              <w:rPr>
                <w:rtl/>
              </w:rPr>
              <w:t>(10).</w:t>
            </w:r>
            <w:r w:rsidRPr="00C9040A">
              <w:rPr>
                <w:rtl/>
              </w:rPr>
              <w:t xml:space="preserve"> في « بر » : + « كلّ »</w:t>
            </w:r>
            <w:r>
              <w:rPr>
                <w:rtl/>
              </w:rPr>
              <w:t>.</w:t>
            </w:r>
          </w:p>
        </w:tc>
        <w:tc>
          <w:tcPr>
            <w:tcW w:w="4006" w:type="dxa"/>
          </w:tcPr>
          <w:p w:rsidR="00BB4CB4" w:rsidRDefault="00E6432D" w:rsidP="004A4E41">
            <w:pPr>
              <w:pStyle w:val="libFootnote0"/>
              <w:rPr>
                <w:rtl/>
              </w:rPr>
            </w:pPr>
            <w:r>
              <w:rPr>
                <w:rtl/>
              </w:rPr>
              <w:t>(11).</w:t>
            </w:r>
            <w:r w:rsidRPr="00C9040A">
              <w:rPr>
                <w:rtl/>
              </w:rPr>
              <w:t xml:space="preserve"> في « ض ، </w:t>
            </w:r>
            <w:r>
              <w:rPr>
                <w:rtl/>
              </w:rPr>
              <w:t xml:space="preserve">ه </w:t>
            </w:r>
            <w:r w:rsidRPr="00C9040A">
              <w:rPr>
                <w:rtl/>
              </w:rPr>
              <w:t>» : « البذر »</w:t>
            </w:r>
            <w:r>
              <w:rPr>
                <w:rtl/>
              </w:rPr>
              <w:t>.</w:t>
            </w:r>
          </w:p>
        </w:tc>
      </w:tr>
    </w:tbl>
    <w:p w:rsidR="008A74EB" w:rsidRPr="00C9040A" w:rsidRDefault="006C577F" w:rsidP="004A4E41">
      <w:pPr>
        <w:pStyle w:val="libFootnote0"/>
        <w:rPr>
          <w:rtl/>
          <w:lang w:bidi="fa-IR"/>
        </w:rPr>
      </w:pPr>
      <w:r>
        <w:rPr>
          <w:rtl/>
        </w:rPr>
        <w:t>(12).</w:t>
      </w:r>
      <w:r w:rsidR="008A74EB" w:rsidRPr="00C9040A">
        <w:rPr>
          <w:rtl/>
        </w:rPr>
        <w:t xml:space="preserve"> في الوسائل ، ح 21479 : « بالخير »</w:t>
      </w:r>
      <w:r w:rsidR="008A74EB">
        <w:rPr>
          <w:rtl/>
        </w:rPr>
        <w:t>.</w:t>
      </w:r>
      <w:r w:rsidR="008A74EB" w:rsidRPr="00C9040A">
        <w:rPr>
          <w:rtl/>
        </w:rPr>
        <w:t xml:space="preserve"> وفي الوسائل ، ح 21142 : « به »</w:t>
      </w:r>
      <w:r w:rsidR="008A74EB">
        <w:rPr>
          <w:rtl/>
        </w:rPr>
        <w:t>.</w:t>
      </w:r>
    </w:p>
    <w:p w:rsidR="008A74EB" w:rsidRPr="00C9040A" w:rsidRDefault="008A74EB" w:rsidP="00026A02">
      <w:pPr>
        <w:pStyle w:val="libFootnote0"/>
        <w:rPr>
          <w:rtl/>
          <w:lang w:bidi="fa-IR"/>
        </w:rPr>
      </w:pPr>
      <w:r>
        <w:rPr>
          <w:rtl/>
        </w:rPr>
        <w:t>(13)</w:t>
      </w:r>
      <w:r w:rsidRPr="00C9040A">
        <w:rPr>
          <w:rtl/>
        </w:rPr>
        <w:t xml:space="preserve"> في الوسائل : + « مراءين »</w:t>
      </w:r>
      <w:r>
        <w:rPr>
          <w:rtl/>
        </w:rPr>
        <w:t>.</w:t>
      </w:r>
      <w:r w:rsidRPr="00C9040A">
        <w:rPr>
          <w:rtl/>
        </w:rPr>
        <w:t xml:space="preserve"> وفي </w:t>
      </w:r>
      <w:r w:rsidRPr="00993B55">
        <w:rPr>
          <w:rStyle w:val="libFootnoteBoldChar"/>
          <w:rtl/>
        </w:rPr>
        <w:t>شرح المازندراني</w:t>
      </w:r>
      <w:r w:rsidRPr="00C9040A">
        <w:rPr>
          <w:rtl/>
        </w:rPr>
        <w:t xml:space="preserve"> ، ج 9 ، ص 126 : « العُجَّل ، بضمّ العين وتشديد الجيم‌المفتوحة : جمع عاجل »</w:t>
      </w:r>
      <w:r>
        <w:rPr>
          <w:rtl/>
        </w:rPr>
        <w:t>.</w:t>
      </w:r>
      <w:r w:rsidR="00026A02">
        <w:rPr>
          <w:rFonts w:hint="cs"/>
          <w:rtl/>
        </w:rPr>
        <w:t xml:space="preserve">                              </w:t>
      </w:r>
      <w:r>
        <w:rPr>
          <w:rtl/>
        </w:rPr>
        <w:t>(14)</w:t>
      </w:r>
      <w:r w:rsidRPr="00C9040A">
        <w:rPr>
          <w:rtl/>
        </w:rPr>
        <w:t xml:space="preserve"> في « ف ، </w:t>
      </w:r>
      <w:r w:rsidR="006D3162">
        <w:rPr>
          <w:rtl/>
        </w:rPr>
        <w:t xml:space="preserve">ه </w:t>
      </w:r>
      <w:r w:rsidRPr="00C9040A">
        <w:rPr>
          <w:rtl/>
        </w:rPr>
        <w:t>» : « ذكروا »</w:t>
      </w:r>
      <w:r>
        <w:rPr>
          <w:rtl/>
        </w:rPr>
        <w:t>.</w:t>
      </w:r>
    </w:p>
    <w:p w:rsidR="008A74EB" w:rsidRPr="00C9040A" w:rsidRDefault="008A74EB" w:rsidP="004A4E41">
      <w:pPr>
        <w:pStyle w:val="libFootnote0"/>
        <w:rPr>
          <w:rtl/>
          <w:lang w:bidi="fa-IR"/>
        </w:rPr>
      </w:pPr>
      <w:r>
        <w:rPr>
          <w:rtl/>
        </w:rPr>
        <w:t>(15)</w:t>
      </w:r>
      <w:r w:rsidRPr="00C9040A">
        <w:rPr>
          <w:rtl/>
        </w:rPr>
        <w:t xml:space="preserve"> أي الطالبون لمن برأ من العيب مطلقاً أو ظاهر العيوب الخفيّة ليظهروه للناس ، أو يفتروا عليهم حسداً وبغياً. أصل البُرْء ، والبَراء ، والتبرّي : التفصّي ممّا يكره مجاورته ؛ ولذلك قيل : برأت من المرض ، وبَرِئتُ من فلان ، وتبرّأتُ وأبرأته من كذا ، وبرّأته ، ورجل بري‌ء ، وقوم بُرَآء وبريؤون. راجع : </w:t>
      </w:r>
      <w:r w:rsidRPr="00993B55">
        <w:rPr>
          <w:rStyle w:val="libFootnoteBoldChar"/>
          <w:rtl/>
        </w:rPr>
        <w:t>مرآة العقول</w:t>
      </w:r>
      <w:r w:rsidRPr="00C9040A">
        <w:rPr>
          <w:rtl/>
        </w:rPr>
        <w:t xml:space="preserve"> ، ج 9 ، ص 199 ؛ </w:t>
      </w:r>
      <w:r w:rsidRPr="00993B55">
        <w:rPr>
          <w:rStyle w:val="libFootnoteBoldChar"/>
          <w:rtl/>
        </w:rPr>
        <w:t>المفردات</w:t>
      </w:r>
      <w:r w:rsidRPr="00C9040A">
        <w:rPr>
          <w:rtl/>
        </w:rPr>
        <w:t xml:space="preserve"> للراغب ، ص 121 ( برأ )</w:t>
      </w:r>
      <w:r>
        <w:rPr>
          <w:rtl/>
        </w:rPr>
        <w:t>.</w:t>
      </w:r>
    </w:p>
    <w:p w:rsidR="008A74EB" w:rsidRPr="00C9040A" w:rsidRDefault="008A74EB" w:rsidP="004A4E41">
      <w:pPr>
        <w:pStyle w:val="libFootnote0"/>
        <w:rPr>
          <w:rtl/>
          <w:lang w:bidi="fa-IR"/>
        </w:rPr>
      </w:pPr>
      <w:r>
        <w:rPr>
          <w:rtl/>
        </w:rPr>
        <w:t>(16)</w:t>
      </w:r>
      <w:r w:rsidRPr="00C9040A">
        <w:rPr>
          <w:rtl/>
        </w:rPr>
        <w:t xml:space="preserve"> </w:t>
      </w:r>
      <w:r w:rsidRPr="00993B55">
        <w:rPr>
          <w:rStyle w:val="libFootnoteBoldChar"/>
          <w:rtl/>
        </w:rPr>
        <w:t>الكافي</w:t>
      </w:r>
      <w:r w:rsidRPr="00C9040A">
        <w:rPr>
          <w:rtl/>
        </w:rPr>
        <w:t xml:space="preserve"> ، كتاب الإيمان والكفر ، باب النميمة ، ح 2805 ، من قوله : « شراركم المشّاؤون بالنميمة »</w:t>
      </w:r>
      <w:r>
        <w:rPr>
          <w:rtl/>
        </w:rPr>
        <w:t>.</w:t>
      </w:r>
      <w:r w:rsidRPr="00C9040A">
        <w:rPr>
          <w:rtl/>
        </w:rPr>
        <w:t xml:space="preserve"> </w:t>
      </w:r>
      <w:r w:rsidRPr="00993B55">
        <w:rPr>
          <w:rStyle w:val="libFootnoteBoldChar"/>
          <w:rtl/>
        </w:rPr>
        <w:t>وفيه</w:t>
      </w:r>
      <w:r w:rsidRPr="00C9040A">
        <w:rPr>
          <w:rtl/>
        </w:rPr>
        <w:t xml:space="preserve"> ، نفس الباب ، ح 2803 ؛ </w:t>
      </w:r>
      <w:r w:rsidRPr="00993B55">
        <w:rPr>
          <w:rStyle w:val="libFootnoteBoldChar"/>
          <w:rtl/>
        </w:rPr>
        <w:t>الزهد</w:t>
      </w:r>
      <w:r w:rsidRPr="00C9040A">
        <w:rPr>
          <w:rtl/>
        </w:rPr>
        <w:t xml:space="preserve"> ، ص 66 ، ح 8 ، بسند آخر عن أبي عبدالله </w:t>
      </w:r>
      <w:r w:rsidR="00117575" w:rsidRPr="002603D8">
        <w:rPr>
          <w:rStyle w:val="libFootnoteAlaemChar"/>
          <w:rtl/>
        </w:rPr>
        <w:t>عليه‌السلام</w:t>
      </w:r>
      <w:r w:rsidRPr="00C9040A">
        <w:rPr>
          <w:rtl/>
        </w:rPr>
        <w:t xml:space="preserve"> عن رسول الله </w:t>
      </w:r>
      <w:r w:rsidR="004A4E41" w:rsidRPr="002603D8">
        <w:rPr>
          <w:rStyle w:val="libFootnoteAlaemChar"/>
          <w:rtl/>
        </w:rPr>
        <w:t>صلى‌الله‌عليه‌وآله</w:t>
      </w:r>
      <w:r w:rsidRPr="00C9040A">
        <w:rPr>
          <w:rtl/>
        </w:rPr>
        <w:t xml:space="preserve"> ؛ </w:t>
      </w:r>
      <w:r w:rsidRPr="00993B55">
        <w:rPr>
          <w:rStyle w:val="libFootnoteBoldChar"/>
          <w:rtl/>
        </w:rPr>
        <w:t>الفقيه</w:t>
      </w:r>
      <w:r w:rsidRPr="00C9040A">
        <w:rPr>
          <w:rtl/>
        </w:rPr>
        <w:t xml:space="preserve"> ، ج 4 ، ص 375 ، ح 5762 ، ذيل وصايا النبيّ </w:t>
      </w:r>
      <w:r w:rsidR="004A4E41" w:rsidRPr="002603D8">
        <w:rPr>
          <w:rStyle w:val="libFootnoteAlaemChar"/>
          <w:rtl/>
        </w:rPr>
        <w:t>صلى‌الله‌عليه‌وآله</w:t>
      </w:r>
      <w:r w:rsidRPr="00C9040A">
        <w:rPr>
          <w:rtl/>
        </w:rPr>
        <w:t xml:space="preserve"> لعليّ </w:t>
      </w:r>
      <w:r w:rsidR="00117575" w:rsidRPr="002603D8">
        <w:rPr>
          <w:rStyle w:val="libFootnoteAlaemChar"/>
          <w:rtl/>
        </w:rPr>
        <w:t>عليه‌السلام</w:t>
      </w:r>
      <w:r w:rsidRPr="00C9040A">
        <w:rPr>
          <w:rtl/>
        </w:rPr>
        <w:t xml:space="preserve"> ، بسند آخر عن جعفر بن محمّد ، عن آبائه </w:t>
      </w:r>
      <w:r w:rsidR="00117575" w:rsidRPr="002603D8">
        <w:rPr>
          <w:rStyle w:val="libFootnoteAlaemChar"/>
          <w:rtl/>
        </w:rPr>
        <w:t>عليهم‌السلام</w:t>
      </w:r>
      <w:r w:rsidRPr="00C9040A">
        <w:rPr>
          <w:rtl/>
        </w:rPr>
        <w:t xml:space="preserve"> عن النبيّ </w:t>
      </w:r>
      <w:r w:rsidR="004A4E41" w:rsidRPr="002603D8">
        <w:rPr>
          <w:rStyle w:val="libFootnoteAlaemChar"/>
          <w:rtl/>
        </w:rPr>
        <w:t>صلى‌الله‌عليه‌وآله</w:t>
      </w:r>
      <w:r w:rsidRPr="00C9040A">
        <w:rPr>
          <w:rtl/>
        </w:rPr>
        <w:t xml:space="preserve"> ؛ وفي </w:t>
      </w:r>
      <w:r w:rsidRPr="00993B55">
        <w:rPr>
          <w:rStyle w:val="libFootnoteBoldChar"/>
          <w:rtl/>
        </w:rPr>
        <w:t>الخصال</w:t>
      </w:r>
      <w:r w:rsidRPr="00C9040A">
        <w:rPr>
          <w:rtl/>
        </w:rPr>
        <w:t xml:space="preserve"> ، ص 182 ، باب الثلاثة ، ذيل ح 249 ؛ </w:t>
      </w:r>
      <w:r w:rsidRPr="00AC2E2F">
        <w:rPr>
          <w:rStyle w:val="libFootnoteBoldChar"/>
          <w:rtl/>
        </w:rPr>
        <w:t>والأمالي للطوسي</w:t>
      </w:r>
      <w:r w:rsidRPr="00C9040A">
        <w:rPr>
          <w:rtl/>
        </w:rPr>
        <w:t xml:space="preserve"> ، ص 462 ، المجلس 16 ، ضمن ح 36 ، بسند آخر عن جعفر بن محمّد ، عن آبائه </w:t>
      </w:r>
      <w:r w:rsidR="00117575" w:rsidRPr="002603D8">
        <w:rPr>
          <w:rStyle w:val="libFootnoteAlaemChar"/>
          <w:rtl/>
        </w:rPr>
        <w:t>عليهم‌السلام</w:t>
      </w:r>
      <w:r w:rsidRPr="00C9040A">
        <w:rPr>
          <w:rtl/>
        </w:rPr>
        <w:t xml:space="preserve"> عن رسول الله </w:t>
      </w:r>
      <w:r w:rsidR="004A4E41" w:rsidRPr="002603D8">
        <w:rPr>
          <w:rStyle w:val="libFootnoteAlaemChar"/>
          <w:rtl/>
        </w:rPr>
        <w:t>صلى‌الله‌عليه‌وآله</w:t>
      </w:r>
      <w:r w:rsidRPr="00C9040A">
        <w:rPr>
          <w:rtl/>
        </w:rPr>
        <w:t xml:space="preserve"> ، وفي كلّها من قوله : « شراركم المشّاؤون » مع </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8835BA">
        <w:rPr>
          <w:rtl/>
        </w:rPr>
        <w:t>2276</w:t>
      </w:r>
      <w:r w:rsidRPr="00261CB0">
        <w:rPr>
          <w:rStyle w:val="libBold2Char"/>
          <w:rtl/>
        </w:rPr>
        <w:t xml:space="preserve"> / 13.</w:t>
      </w:r>
      <w:r w:rsidRPr="00C9040A">
        <w:rPr>
          <w:rtl/>
          <w:lang w:bidi="fa-IR"/>
        </w:rPr>
        <w:t xml:space="preserve"> عِدَّةٌ مِنْ أَصْحَابِنَا ، عَنْ أَحْمَدَ بْنِ مُحَمَّدٍ ، عَنْ عُثْمَانَ بْنِ عِيسى ، عَمَّنْ أَخْبَرَهُ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كُفُّوا أَلْسِنَتَكُمْ ، وَالْزَمُوا بُيُوتَكُمْ ؛ فَإِنَّهُ لَايُصِيبُكُمْ أَمْرٌ تُخَصُّونَ بِهِ أَبَداً </w:t>
      </w:r>
      <w:r w:rsidR="006C577F" w:rsidRPr="006C577F">
        <w:rPr>
          <w:rStyle w:val="libFootnotenumChar"/>
          <w:rtl/>
        </w:rPr>
        <w:t>(1)</w:t>
      </w:r>
      <w:r w:rsidRPr="00C9040A">
        <w:rPr>
          <w:rtl/>
          <w:lang w:bidi="fa-IR"/>
        </w:rPr>
        <w:t xml:space="preserve"> ، وَلَا تَزَالُ </w:t>
      </w:r>
      <w:r w:rsidR="006C577F" w:rsidRPr="006C577F">
        <w:rPr>
          <w:rStyle w:val="libFootnotenumChar"/>
          <w:rtl/>
        </w:rPr>
        <w:t>(2)</w:t>
      </w:r>
      <w:r w:rsidRPr="00C9040A">
        <w:rPr>
          <w:rtl/>
          <w:lang w:bidi="fa-IR"/>
        </w:rPr>
        <w:t xml:space="preserve"> الزَّيْدِيَّةُ لَكُمْ وِقَاءً </w:t>
      </w:r>
      <w:r w:rsidR="006C577F" w:rsidRPr="006C577F">
        <w:rPr>
          <w:rStyle w:val="libFootnotenumChar"/>
          <w:rtl/>
        </w:rPr>
        <w:t>(3)</w:t>
      </w:r>
      <w:r w:rsidRPr="00C9040A">
        <w:rPr>
          <w:rtl/>
          <w:lang w:bidi="fa-IR"/>
        </w:rPr>
        <w:t xml:space="preserve"> أَبَداً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8835BA">
        <w:rPr>
          <w:rtl/>
        </w:rPr>
        <w:t>2277</w:t>
      </w:r>
      <w:r w:rsidRPr="00261CB0">
        <w:rPr>
          <w:rStyle w:val="libBold2Char"/>
          <w:rtl/>
        </w:rPr>
        <w:t xml:space="preserve"> / 14.</w:t>
      </w:r>
      <w:r w:rsidRPr="00C9040A">
        <w:rPr>
          <w:rtl/>
          <w:lang w:bidi="fa-IR"/>
        </w:rPr>
        <w:t xml:space="preserve"> عَنْهُ </w:t>
      </w:r>
      <w:r w:rsidR="006C577F" w:rsidRPr="006C577F">
        <w:rPr>
          <w:rStyle w:val="libFootnotenumChar"/>
          <w:rtl/>
        </w:rPr>
        <w:t>(5)</w:t>
      </w:r>
      <w:r w:rsidRPr="00C9040A">
        <w:rPr>
          <w:rtl/>
          <w:lang w:bidi="fa-IR"/>
        </w:rPr>
        <w:t xml:space="preserve"> ، عَنْ عُثْمَانَ بْنِ عِيسى :</w:t>
      </w:r>
    </w:p>
    <w:p w:rsidR="008A74EB" w:rsidRPr="00C9040A" w:rsidRDefault="008A74EB" w:rsidP="008A74EB">
      <w:pPr>
        <w:pStyle w:val="libNormal"/>
        <w:rPr>
          <w:rtl/>
          <w:lang w:bidi="fa-IR"/>
        </w:rPr>
      </w:pPr>
      <w:r w:rsidRPr="00C9040A">
        <w:rPr>
          <w:rtl/>
          <w:lang w:bidi="fa-IR"/>
        </w:rPr>
        <w:t xml:space="preserve">عَنْ أَبِي الْحَسَنِ </w:t>
      </w:r>
      <w:r w:rsidR="006C577F" w:rsidRPr="006C577F">
        <w:rPr>
          <w:rStyle w:val="libFootnotenumChar"/>
          <w:rtl/>
        </w:rPr>
        <w:t>(6)</w:t>
      </w:r>
      <w:r w:rsidRPr="005B567D">
        <w:rPr>
          <w:rStyle w:val="libFootnotenumChar"/>
          <w:rtl/>
        </w:rPr>
        <w:t xml:space="preserve"> </w:t>
      </w:r>
      <w:r w:rsidRPr="00C9040A">
        <w:rPr>
          <w:rtl/>
          <w:lang w:bidi="fa-IR"/>
        </w:rPr>
        <w:t xml:space="preserve">صَلَوَاتُ اللهِ عَلَيْهِ ، قَالَ : « إِنْ كَانَ فِي يَدِكَ هذِهِ شَيْ‌ءٌ ، فَإِنِ اسْتَطَعْتَ </w:t>
      </w:r>
      <w:r w:rsidR="006C577F" w:rsidRPr="006C577F">
        <w:rPr>
          <w:rStyle w:val="libFootnotenumChar"/>
          <w:rtl/>
        </w:rPr>
        <w:t>(7)</w:t>
      </w:r>
      <w:r w:rsidRPr="00C9040A">
        <w:rPr>
          <w:rtl/>
          <w:lang w:bidi="fa-IR"/>
        </w:rPr>
        <w:t xml:space="preserve"> أَنْ لَاتَعْلَمَ هذِهِ ، فَافْعَلْ »</w:t>
      </w:r>
      <w:r>
        <w:rPr>
          <w:rtl/>
          <w:lang w:bidi="fa-IR"/>
        </w:rPr>
        <w:t>.</w:t>
      </w:r>
    </w:p>
    <w:p w:rsidR="008A74EB" w:rsidRPr="00C9040A" w:rsidRDefault="008A74EB" w:rsidP="008A74EB">
      <w:pPr>
        <w:pStyle w:val="libNormal"/>
        <w:rPr>
          <w:rtl/>
          <w:lang w:bidi="fa-IR"/>
        </w:rPr>
      </w:pPr>
      <w:r w:rsidRPr="00C9040A">
        <w:rPr>
          <w:rtl/>
          <w:lang w:bidi="fa-IR"/>
        </w:rPr>
        <w:t xml:space="preserve">قَالَ : وَكَانَ عِنْدَهُ إِنْسَانٌ ، فَتَذَاكَرُوا الْإِذَاعَةَ ، فَقَالَ : « احْفَظْ لِسَانَكَ ؛ تُعَزَّ ، وَلَا تُمَكِّنِ النَّاسَ مِنْ قِيَادِ </w:t>
      </w:r>
      <w:r w:rsidR="006C577F" w:rsidRPr="006C577F">
        <w:rPr>
          <w:rStyle w:val="libFootnotenumChar"/>
          <w:rtl/>
        </w:rPr>
        <w:t>(8)</w:t>
      </w:r>
      <w:r w:rsidRPr="00C9040A">
        <w:rPr>
          <w:rtl/>
          <w:lang w:bidi="fa-IR"/>
        </w:rPr>
        <w:t xml:space="preserve"> رَقَبَتِكَ ؛ فَتَذِلَّ </w:t>
      </w:r>
      <w:r w:rsidR="006C577F" w:rsidRPr="006C577F">
        <w:rPr>
          <w:rStyle w:val="libFootnotenumChar"/>
          <w:rtl/>
        </w:rPr>
        <w:t>(9)</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2603D8" w:rsidP="00D557A4">
      <w:pPr>
        <w:pStyle w:val="libFootnote0"/>
        <w:rPr>
          <w:rtl/>
          <w:lang w:bidi="fa-IR"/>
        </w:rPr>
      </w:pPr>
      <w:r>
        <w:rPr>
          <w:rFonts w:hint="cs"/>
          <w:rtl/>
        </w:rPr>
        <w:t xml:space="preserve">= </w:t>
      </w:r>
      <w:r w:rsidR="008A74EB" w:rsidRPr="00C9040A">
        <w:rPr>
          <w:rtl/>
        </w:rPr>
        <w:t xml:space="preserve">اختلاف يسير. </w:t>
      </w:r>
      <w:r w:rsidR="008A74EB" w:rsidRPr="00993B55">
        <w:rPr>
          <w:rStyle w:val="libFootnoteBoldChar"/>
          <w:rtl/>
        </w:rPr>
        <w:t>المحاسن</w:t>
      </w:r>
      <w:r w:rsidR="008A74EB" w:rsidRPr="00C9040A">
        <w:rPr>
          <w:rtl/>
        </w:rPr>
        <w:t xml:space="preserve"> ، ص 15 ، كتاب القرائن ، ح 42 ، عن محمّد بن عيسى بن يقطين ، عن يونس بن عبدالرحمن ؛ </w:t>
      </w:r>
      <w:r w:rsidR="008A74EB" w:rsidRPr="00993B55">
        <w:rPr>
          <w:rStyle w:val="libFootnoteBoldChar"/>
          <w:rtl/>
        </w:rPr>
        <w:t>تحف العقول</w:t>
      </w:r>
      <w:r w:rsidR="008A74EB" w:rsidRPr="00C9040A">
        <w:rPr>
          <w:rtl/>
        </w:rPr>
        <w:t xml:space="preserve"> ، ص 216 ، عن عليّ </w:t>
      </w:r>
      <w:r w:rsidR="00117575" w:rsidRPr="00117575">
        <w:rPr>
          <w:rStyle w:val="libFootnoteAlaemChar"/>
          <w:rtl/>
        </w:rPr>
        <w:t>عليه‌السلام</w:t>
      </w:r>
      <w:r w:rsidR="008A74EB" w:rsidRPr="00C9040A">
        <w:rPr>
          <w:rtl/>
        </w:rPr>
        <w:t xml:space="preserve"> ، وتمام الرواية فيهما : « قولوا الخير » إلى « تكونوا من أهله »</w:t>
      </w:r>
      <w:r w:rsidR="00D557A4">
        <w:rPr>
          <w:rFonts w:hint="cs"/>
          <w:rtl/>
        </w:rPr>
        <w:t>.</w:t>
      </w:r>
      <w:r w:rsidR="008A74EB" w:rsidRPr="00993B55">
        <w:rPr>
          <w:rStyle w:val="libFootnoteBoldChar"/>
          <w:rtl/>
        </w:rPr>
        <w:t>الوافي</w:t>
      </w:r>
      <w:r w:rsidR="008A74EB" w:rsidRPr="00C9040A">
        <w:rPr>
          <w:rtl/>
        </w:rPr>
        <w:t xml:space="preserve"> ، ج 5 ، ص 702 ، ح 2911 ؛ </w:t>
      </w:r>
      <w:r w:rsidR="008A74EB" w:rsidRPr="00993B55">
        <w:rPr>
          <w:rStyle w:val="libFootnoteBoldChar"/>
          <w:rtl/>
        </w:rPr>
        <w:t>الوسائل</w:t>
      </w:r>
      <w:r w:rsidR="008A74EB" w:rsidRPr="00C9040A">
        <w:rPr>
          <w:rtl/>
        </w:rPr>
        <w:t xml:space="preserve"> ، ج 16 ، ص 123 ، ح 21142 ، من قوله : « قولوا الخير » إلى « تكونوا من أهله » ؛ </w:t>
      </w:r>
      <w:r w:rsidR="008A74EB" w:rsidRPr="00993B55">
        <w:rPr>
          <w:rStyle w:val="libFootnoteBoldChar"/>
          <w:rtl/>
        </w:rPr>
        <w:t>وفيه</w:t>
      </w:r>
      <w:r w:rsidR="008A74EB" w:rsidRPr="00C9040A">
        <w:rPr>
          <w:rtl/>
        </w:rPr>
        <w:t xml:space="preserve"> ، ج 16 ، ص 248 ، ح 21479 ؛ </w:t>
      </w:r>
      <w:r w:rsidR="008A74EB" w:rsidRPr="00993B55">
        <w:rPr>
          <w:rStyle w:val="libFootnoteBoldChar"/>
          <w:rtl/>
        </w:rPr>
        <w:t>البحار</w:t>
      </w:r>
      <w:r w:rsidR="008A74EB" w:rsidRPr="00C9040A">
        <w:rPr>
          <w:rtl/>
        </w:rPr>
        <w:t xml:space="preserve"> ، ج 75 ، ص 80 ، ح 29.</w:t>
      </w:r>
    </w:p>
    <w:tbl>
      <w:tblPr>
        <w:tblStyle w:val="TableGrid"/>
        <w:bidiVisual/>
        <w:tblW w:w="0" w:type="auto"/>
        <w:tblLook w:val="04A0" w:firstRow="1" w:lastRow="0" w:firstColumn="1" w:lastColumn="0" w:noHBand="0" w:noVBand="1"/>
      </w:tblPr>
      <w:tblGrid>
        <w:gridCol w:w="4006"/>
        <w:gridCol w:w="4006"/>
      </w:tblGrid>
      <w:tr w:rsidR="00C56D85" w:rsidTr="00C56D85">
        <w:tc>
          <w:tcPr>
            <w:tcW w:w="4006" w:type="dxa"/>
          </w:tcPr>
          <w:p w:rsidR="00C56D85" w:rsidRDefault="00C56D85" w:rsidP="004A4E41">
            <w:pPr>
              <w:pStyle w:val="libFootnote0"/>
              <w:rPr>
                <w:rtl/>
              </w:rPr>
            </w:pPr>
            <w:r>
              <w:rPr>
                <w:rtl/>
              </w:rPr>
              <w:t xml:space="preserve">(1). </w:t>
            </w:r>
            <w:r w:rsidRPr="00C9040A">
              <w:rPr>
                <w:rtl/>
              </w:rPr>
              <w:t>في الغيبة : + « ويصيب العامّة »</w:t>
            </w:r>
            <w:r>
              <w:rPr>
                <w:rtl/>
              </w:rPr>
              <w:t>.</w:t>
            </w:r>
          </w:p>
        </w:tc>
        <w:tc>
          <w:tcPr>
            <w:tcW w:w="4006" w:type="dxa"/>
          </w:tcPr>
          <w:p w:rsidR="00C56D85" w:rsidRDefault="00C56D85" w:rsidP="004A4E41">
            <w:pPr>
              <w:pStyle w:val="libFootnote0"/>
              <w:rPr>
                <w:rtl/>
              </w:rPr>
            </w:pPr>
            <w:r>
              <w:rPr>
                <w:rtl/>
              </w:rPr>
              <w:t xml:space="preserve">(2). </w:t>
            </w:r>
            <w:r w:rsidRPr="00C9040A">
              <w:rPr>
                <w:rtl/>
              </w:rPr>
              <w:t xml:space="preserve">في « </w:t>
            </w:r>
            <w:r>
              <w:rPr>
                <w:rtl/>
              </w:rPr>
              <w:t xml:space="preserve">ه </w:t>
            </w:r>
            <w:r w:rsidRPr="00C9040A">
              <w:rPr>
                <w:rtl/>
              </w:rPr>
              <w:t>، بر ، بف » : « ولا يزال »</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في حاشية « ف » : « وقاية »</w:t>
      </w:r>
      <w:r w:rsidR="008A74EB">
        <w:rPr>
          <w:rtl/>
        </w:rPr>
        <w:t>.</w:t>
      </w:r>
    </w:p>
    <w:p w:rsidR="008A74EB" w:rsidRPr="00C9040A" w:rsidRDefault="006C577F" w:rsidP="00974792">
      <w:pPr>
        <w:pStyle w:val="libFootnote0"/>
        <w:rPr>
          <w:rtl/>
          <w:lang w:bidi="fa-IR"/>
        </w:rPr>
      </w:pPr>
      <w:r>
        <w:rPr>
          <w:rtl/>
        </w:rPr>
        <w:t>(4).</w:t>
      </w:r>
      <w:r w:rsidR="008A74EB" w:rsidRPr="00C9040A">
        <w:rPr>
          <w:rtl/>
        </w:rPr>
        <w:t xml:space="preserve"> </w:t>
      </w:r>
      <w:r w:rsidR="008A74EB" w:rsidRPr="00993B55">
        <w:rPr>
          <w:rStyle w:val="libFootnoteBoldChar"/>
          <w:rtl/>
        </w:rPr>
        <w:t>الغيبة</w:t>
      </w:r>
      <w:r w:rsidR="008A74EB" w:rsidRPr="00C9040A">
        <w:rPr>
          <w:rtl/>
        </w:rPr>
        <w:t xml:space="preserve"> للنعماني ، ص 197 ، ح 7 ، بسند آخر عن عليّ بن أسباط ، عن بعض أصحابه ، عن أبي‌عبدالله </w:t>
      </w:r>
      <w:r w:rsidR="00117575" w:rsidRPr="00117575">
        <w:rPr>
          <w:rStyle w:val="libFootnoteAlaemChar"/>
          <w:rtl/>
        </w:rPr>
        <w:t>عليه‌السلام</w:t>
      </w:r>
      <w:r w:rsidR="00974792">
        <w:rPr>
          <w:rFonts w:hint="cs"/>
          <w:rtl/>
        </w:rPr>
        <w:t>.</w:t>
      </w:r>
      <w:r w:rsidR="008A74EB" w:rsidRPr="00993B55">
        <w:rPr>
          <w:rStyle w:val="libFootnoteBoldChar"/>
          <w:rtl/>
        </w:rPr>
        <w:t>الوافي</w:t>
      </w:r>
      <w:r w:rsidR="008A74EB" w:rsidRPr="00C9040A">
        <w:rPr>
          <w:rtl/>
        </w:rPr>
        <w:t xml:space="preserve"> ، ج 5 ، ص 703 ، ح 2912 ؛ </w:t>
      </w:r>
      <w:r w:rsidR="008A74EB" w:rsidRPr="00993B55">
        <w:rPr>
          <w:rStyle w:val="libFootnoteBoldChar"/>
          <w:rtl/>
        </w:rPr>
        <w:t>الوسائل</w:t>
      </w:r>
      <w:r w:rsidR="008A74EB" w:rsidRPr="00C9040A">
        <w:rPr>
          <w:rtl/>
        </w:rPr>
        <w:t xml:space="preserve"> ، ج 16 ، ص 248 ، ح 21480 ، إلى قوله : « والزموا بيوتكم » ؛ </w:t>
      </w:r>
      <w:r w:rsidR="008A74EB" w:rsidRPr="00993B55">
        <w:rPr>
          <w:rStyle w:val="libFootnoteBoldChar"/>
          <w:rtl/>
        </w:rPr>
        <w:t>البحار</w:t>
      </w:r>
      <w:r w:rsidR="008A74EB" w:rsidRPr="00C9040A">
        <w:rPr>
          <w:rtl/>
        </w:rPr>
        <w:t xml:space="preserve"> ، ج 75 ، ص 82 ، ح 30.</w:t>
      </w:r>
    </w:p>
    <w:p w:rsidR="008A74EB" w:rsidRPr="00C9040A" w:rsidRDefault="006C577F" w:rsidP="004A4E41">
      <w:pPr>
        <w:pStyle w:val="libFootnote0"/>
        <w:rPr>
          <w:rtl/>
          <w:lang w:bidi="fa-IR"/>
        </w:rPr>
      </w:pPr>
      <w:r>
        <w:rPr>
          <w:rtl/>
        </w:rPr>
        <w:t>(5).</w:t>
      </w:r>
      <w:r w:rsidR="008A74EB" w:rsidRPr="00C9040A">
        <w:rPr>
          <w:rtl/>
        </w:rPr>
        <w:t xml:space="preserve"> الضمير راجع إلى أحمد بن محمّد المذكور في السند السابق.</w:t>
      </w:r>
    </w:p>
    <w:tbl>
      <w:tblPr>
        <w:tblStyle w:val="TableGrid"/>
        <w:bidiVisual/>
        <w:tblW w:w="0" w:type="auto"/>
        <w:tblLook w:val="04A0" w:firstRow="1" w:lastRow="0" w:firstColumn="1" w:lastColumn="0" w:noHBand="0" w:noVBand="1"/>
      </w:tblPr>
      <w:tblGrid>
        <w:gridCol w:w="4006"/>
        <w:gridCol w:w="4006"/>
      </w:tblGrid>
      <w:tr w:rsidR="00974792" w:rsidTr="00974792">
        <w:tc>
          <w:tcPr>
            <w:tcW w:w="4006" w:type="dxa"/>
          </w:tcPr>
          <w:p w:rsidR="00974792" w:rsidRDefault="00974792" w:rsidP="004A4E41">
            <w:pPr>
              <w:pStyle w:val="libFootnote0"/>
              <w:rPr>
                <w:rtl/>
              </w:rPr>
            </w:pPr>
            <w:r>
              <w:rPr>
                <w:rtl/>
              </w:rPr>
              <w:t xml:space="preserve">(6). </w:t>
            </w:r>
            <w:r w:rsidRPr="00C9040A">
              <w:rPr>
                <w:rtl/>
              </w:rPr>
              <w:t>في « ز » : + « الرضا »</w:t>
            </w:r>
            <w:r>
              <w:rPr>
                <w:rtl/>
              </w:rPr>
              <w:t>.</w:t>
            </w:r>
          </w:p>
        </w:tc>
        <w:tc>
          <w:tcPr>
            <w:tcW w:w="4006" w:type="dxa"/>
          </w:tcPr>
          <w:p w:rsidR="00974792" w:rsidRDefault="00974792" w:rsidP="004A4E41">
            <w:pPr>
              <w:pStyle w:val="libFootnote0"/>
              <w:rPr>
                <w:rtl/>
              </w:rPr>
            </w:pPr>
            <w:r>
              <w:rPr>
                <w:rtl/>
              </w:rPr>
              <w:t>(7). في «ه»والوافي:«فاستطعت»بدل«فإن استطعت</w:t>
            </w:r>
            <w:r w:rsidRPr="00C9040A">
              <w:rPr>
                <w:rtl/>
              </w:rPr>
              <w:t>»</w:t>
            </w:r>
            <w:r>
              <w:rPr>
                <w:rtl/>
              </w:rPr>
              <w:t>.</w:t>
            </w:r>
          </w:p>
        </w:tc>
      </w:tr>
    </w:tbl>
    <w:p w:rsidR="008A74EB" w:rsidRPr="00C9040A" w:rsidRDefault="006C577F" w:rsidP="004A4E41">
      <w:pPr>
        <w:pStyle w:val="libFootnote0"/>
        <w:rPr>
          <w:rtl/>
          <w:lang w:bidi="fa-IR"/>
        </w:rPr>
      </w:pPr>
      <w:r>
        <w:rPr>
          <w:rtl/>
        </w:rPr>
        <w:t>(8).</w:t>
      </w:r>
      <w:r w:rsidR="008A74EB" w:rsidRPr="00C9040A">
        <w:rPr>
          <w:rtl/>
        </w:rPr>
        <w:t xml:space="preserve"> في « </w:t>
      </w:r>
      <w:r w:rsidR="006D3162">
        <w:rPr>
          <w:rtl/>
        </w:rPr>
        <w:t xml:space="preserve">ه </w:t>
      </w:r>
      <w:r w:rsidR="008A74EB" w:rsidRPr="00C9040A">
        <w:rPr>
          <w:rtl/>
        </w:rPr>
        <w:t xml:space="preserve">» : « قيادك </w:t>
      </w:r>
      <w:r w:rsidR="008A74EB">
        <w:rPr>
          <w:rtl/>
        </w:rPr>
        <w:t>و ».</w:t>
      </w:r>
      <w:r w:rsidR="008A74EB" w:rsidRPr="00C9040A">
        <w:rPr>
          <w:rtl/>
        </w:rPr>
        <w:t xml:space="preserve"> </w:t>
      </w:r>
      <w:r w:rsidR="008A74EB">
        <w:rPr>
          <w:rtl/>
        </w:rPr>
        <w:t>و «</w:t>
      </w:r>
      <w:r w:rsidR="008A74EB" w:rsidRPr="00C9040A">
        <w:rPr>
          <w:rtl/>
        </w:rPr>
        <w:t xml:space="preserve"> القِيادُ » : حبل تُقاد به الدابّة. وتمكين الناس من القياد كناية عن الحبس والإذلال والأخذ الشديد وتسليط المخالفين على الإنسان بسبب ترك التقيّة وإفشاء الأسرار عندهم. راجع : </w:t>
      </w:r>
      <w:r w:rsidR="008A74EB" w:rsidRPr="00993B55">
        <w:rPr>
          <w:rStyle w:val="libFootnoteBoldChar"/>
          <w:rtl/>
        </w:rPr>
        <w:t>الصحاح</w:t>
      </w:r>
      <w:r w:rsidR="008A74EB" w:rsidRPr="00C9040A">
        <w:rPr>
          <w:rtl/>
        </w:rPr>
        <w:t xml:space="preserve"> ، ج 2 ، ص 529 ( قيد ) ؛ </w:t>
      </w:r>
      <w:r w:rsidR="008A74EB" w:rsidRPr="00993B55">
        <w:rPr>
          <w:rStyle w:val="libFootnoteBoldChar"/>
          <w:rtl/>
        </w:rPr>
        <w:t>شرح المازندراني</w:t>
      </w:r>
      <w:r w:rsidR="008A74EB" w:rsidRPr="00C9040A">
        <w:rPr>
          <w:rtl/>
        </w:rPr>
        <w:t xml:space="preserve"> ، ج 9 ، ص 127 ؛ </w:t>
      </w:r>
      <w:r w:rsidR="008A74EB" w:rsidRPr="00993B55">
        <w:rPr>
          <w:rStyle w:val="libFootnoteBoldChar"/>
          <w:rtl/>
        </w:rPr>
        <w:t>مرآة العقول</w:t>
      </w:r>
      <w:r w:rsidR="008A74EB" w:rsidRPr="00C9040A">
        <w:rPr>
          <w:rtl/>
        </w:rPr>
        <w:t xml:space="preserve"> ، ج 9 ، ص 201.</w:t>
      </w:r>
    </w:p>
    <w:p w:rsidR="008A74EB" w:rsidRPr="00C9040A" w:rsidRDefault="006C577F" w:rsidP="004A4E41">
      <w:pPr>
        <w:pStyle w:val="libFootnote0"/>
        <w:rPr>
          <w:rtl/>
          <w:lang w:bidi="fa-IR"/>
        </w:rPr>
      </w:pPr>
      <w:r>
        <w:rPr>
          <w:rtl/>
        </w:rPr>
        <w:t>(9).</w:t>
      </w:r>
      <w:r w:rsidR="008A74EB" w:rsidRPr="00C9040A">
        <w:rPr>
          <w:rtl/>
        </w:rPr>
        <w:t xml:space="preserve"> في « </w:t>
      </w:r>
      <w:r w:rsidR="006D3162">
        <w:rPr>
          <w:rtl/>
        </w:rPr>
        <w:t xml:space="preserve">ه </w:t>
      </w:r>
      <w:r w:rsidR="008A74EB" w:rsidRPr="00C9040A">
        <w:rPr>
          <w:rtl/>
        </w:rPr>
        <w:t xml:space="preserve">» </w:t>
      </w:r>
      <w:r w:rsidR="008A74EB">
        <w:rPr>
          <w:rtl/>
        </w:rPr>
        <w:t xml:space="preserve">: </w:t>
      </w:r>
      <w:r w:rsidR="0084262C">
        <w:rPr>
          <w:rtl/>
        </w:rPr>
        <w:t>-</w:t>
      </w:r>
      <w:r w:rsidR="008A74EB" w:rsidRPr="00C9040A">
        <w:rPr>
          <w:rtl/>
        </w:rPr>
        <w:t xml:space="preserve"> « فتذلّ »</w:t>
      </w:r>
      <w:r w:rsidR="008A74EB">
        <w:rPr>
          <w:rtl/>
        </w:rPr>
        <w:t>.</w:t>
      </w:r>
      <w:r w:rsidR="008A74EB" w:rsidRPr="00C9040A">
        <w:rPr>
          <w:rtl/>
        </w:rPr>
        <w:t xml:space="preserve"> وفي الكافي ، ح 1823 : « من قيادك فتذلّ رقبتك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w:t>
      </w:r>
      <w:r w:rsidR="008A74EB" w:rsidRPr="00993B55">
        <w:rPr>
          <w:rStyle w:val="libFootnoteBoldChar"/>
          <w:rtl/>
        </w:rPr>
        <w:t>الكافي</w:t>
      </w:r>
      <w:r w:rsidR="008A74EB" w:rsidRPr="00C9040A">
        <w:rPr>
          <w:rtl/>
        </w:rPr>
        <w:t xml:space="preserve"> ، كتاب الإيمان والكفر ، باب الصمت وحفظ اللسان ، ح 1823 ، وفيه : « عنه ، عن عثمان بن عيسى ، </w:t>
      </w:r>
      <w:r w:rsidR="000527ED">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074841">
        <w:rPr>
          <w:rtl/>
        </w:rPr>
        <w:t>2278</w:t>
      </w:r>
      <w:r w:rsidRPr="00261CB0">
        <w:rPr>
          <w:rStyle w:val="libBold2Char"/>
          <w:rtl/>
        </w:rPr>
        <w:t xml:space="preserve"> / 15.</w:t>
      </w:r>
      <w:r w:rsidRPr="00C9040A">
        <w:rPr>
          <w:rtl/>
          <w:lang w:bidi="fa-IR"/>
        </w:rPr>
        <w:t xml:space="preserve"> مُحَمَّدُ بْنُ يَحْيى ، عَنْ أَحْمَدَ بْنِ مُحَمَّدِ بْنِ عِيسى ، عَنْ عَلِيِّ بْنِ الْحَكَمِ ، عَنْ خَالِدِ بْنِ نَجِيحٍ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إِنَّ أَمْرَنَا مَسْتُورٌ مُقَنَّعٌ بِالْمِيثَاقِ </w:t>
      </w:r>
      <w:r w:rsidR="006C577F" w:rsidRPr="006C577F">
        <w:rPr>
          <w:rStyle w:val="libFootnotenumChar"/>
          <w:rtl/>
        </w:rPr>
        <w:t>(1)</w:t>
      </w:r>
      <w:r w:rsidRPr="00C9040A">
        <w:rPr>
          <w:rtl/>
          <w:lang w:bidi="fa-IR"/>
        </w:rPr>
        <w:t xml:space="preserve"> ، فَمَنْ هَتَكَ عَل</w:t>
      </w:r>
      <w:r w:rsidR="00B120D5">
        <w:rPr>
          <w:rtl/>
          <w:lang w:bidi="fa-IR"/>
        </w:rPr>
        <w:t>َيْنَا أَذَلَّهُ اللهُ</w:t>
      </w:r>
      <w:r w:rsidRPr="00C9040A">
        <w:rPr>
          <w:rtl/>
          <w:lang w:bidi="fa-IR"/>
        </w:rPr>
        <w:t>»</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074841">
        <w:rPr>
          <w:rtl/>
        </w:rPr>
        <w:t>2279</w:t>
      </w:r>
      <w:r w:rsidRPr="00261CB0">
        <w:rPr>
          <w:rStyle w:val="libBold2Char"/>
          <w:rtl/>
        </w:rPr>
        <w:t xml:space="preserve"> / 16.</w:t>
      </w:r>
      <w:r w:rsidRPr="00C9040A">
        <w:rPr>
          <w:rtl/>
          <w:lang w:bidi="fa-IR"/>
        </w:rPr>
        <w:t xml:space="preserve"> الْحُسَيْنُ بْنُ مُحَمَّدٍ ، وَمُحَمَّدُ بْنُ يَحْيى جَمِيعاً ، عَنْ عَلِيِّ بْنِ مُحَمَّدِ بْنِ سَعْدٍ ، عَنْ مُحَمَّدِ بْنِ مُسْلِمٍ </w:t>
      </w:r>
      <w:r w:rsidR="006C577F" w:rsidRPr="006C577F">
        <w:rPr>
          <w:rStyle w:val="libFootnotenumChar"/>
          <w:rtl/>
        </w:rPr>
        <w:t>(3)</w:t>
      </w:r>
      <w:r w:rsidRPr="00C9040A">
        <w:rPr>
          <w:rtl/>
          <w:lang w:bidi="fa-IR"/>
        </w:rPr>
        <w:t xml:space="preserve"> ، عَنْ مُحَمَّدِ بْنِ سَعِيدِ بْنِ غَزْوَانَ ، عَنْ عَلِيِّ بْنِ الْحَكَمِ ، عَنْ عُمَرَ بْنِ أَبَانٍ ، عَنْ عِيسَى بْنِ أَبِي مَنْصُورٍ ، قَالَ :</w:t>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 « نَفَسُ الْمَهْمُومِ لَنَا الْمُغْتَمِّ لِظُلْمِنَا </w:t>
      </w:r>
      <w:r w:rsidR="006C577F" w:rsidRPr="006C577F">
        <w:rPr>
          <w:rStyle w:val="libFootnotenumChar"/>
          <w:rtl/>
        </w:rPr>
        <w:t>(4)</w:t>
      </w:r>
      <w:r w:rsidRPr="00C9040A">
        <w:rPr>
          <w:rtl/>
          <w:lang w:bidi="fa-IR"/>
        </w:rPr>
        <w:t xml:space="preserve"> تَسْبِيحٌ ، وَهَمُّهُ لِأَمْرِنَا عِبَادَةٌ ، وَكِتْمَانُهُ لِسِرِّنَا </w:t>
      </w:r>
      <w:r w:rsidR="006C577F" w:rsidRPr="006C577F">
        <w:rPr>
          <w:rStyle w:val="libFootnotenumChar"/>
          <w:rtl/>
        </w:rPr>
        <w:t>(5)</w:t>
      </w:r>
      <w:r w:rsidRPr="00C9040A">
        <w:rPr>
          <w:rtl/>
          <w:lang w:bidi="fa-IR"/>
        </w:rPr>
        <w:t xml:space="preserve"> جِهَادٌ فِي سَبِيلِ اللهِ »</w:t>
      </w:r>
      <w:r>
        <w:rPr>
          <w:rtl/>
          <w:lang w:bidi="fa-IR"/>
        </w:rPr>
        <w:t>.</w:t>
      </w:r>
    </w:p>
    <w:p w:rsidR="008A74EB" w:rsidRPr="00C9040A" w:rsidRDefault="008A74EB" w:rsidP="008A74EB">
      <w:pPr>
        <w:pStyle w:val="libNormal"/>
        <w:rPr>
          <w:rtl/>
          <w:lang w:bidi="fa-IR"/>
        </w:rPr>
      </w:pPr>
      <w:r w:rsidRPr="00C9040A">
        <w:rPr>
          <w:rtl/>
          <w:lang w:bidi="fa-IR"/>
        </w:rPr>
        <w:t xml:space="preserve">قَالَ لِي مُحَمَّدُ بْنُ سَعِيدٍ : اكْتُبْ هذَا بِالذَّهَبِ ؛ فَمَا كَتَبْتَ </w:t>
      </w:r>
      <w:r w:rsidR="006C577F" w:rsidRPr="006C577F">
        <w:rPr>
          <w:rStyle w:val="libFootnotenumChar"/>
          <w:rtl/>
        </w:rPr>
        <w:t>(6)</w:t>
      </w:r>
      <w:r w:rsidRPr="005B567D">
        <w:rPr>
          <w:rStyle w:val="libFootnotenumChar"/>
          <w:rtl/>
        </w:rPr>
        <w:t xml:space="preserve"> </w:t>
      </w:r>
      <w:r w:rsidRPr="00C9040A">
        <w:rPr>
          <w:rtl/>
          <w:lang w:bidi="fa-IR"/>
        </w:rPr>
        <w:t xml:space="preserve">شَيْئاً أَحْسَنَ مِنْهُ. </w:t>
      </w:r>
      <w:r w:rsidR="006C577F" w:rsidRPr="006C577F">
        <w:rPr>
          <w:rStyle w:val="libFootnotenumChar"/>
          <w:rtl/>
        </w:rPr>
        <w:t>(7)</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D135DA" w:rsidP="00D135DA">
      <w:pPr>
        <w:pStyle w:val="libFootnote0"/>
        <w:rPr>
          <w:rtl/>
          <w:lang w:bidi="fa-IR"/>
        </w:rPr>
      </w:pPr>
      <w:r>
        <w:rPr>
          <w:rFonts w:hint="cs"/>
          <w:rtl/>
        </w:rPr>
        <w:t xml:space="preserve">= </w:t>
      </w:r>
      <w:r>
        <w:rPr>
          <w:rtl/>
        </w:rPr>
        <w:t>قال :</w:t>
      </w:r>
      <w:r w:rsidR="008A74EB" w:rsidRPr="00C9040A">
        <w:rPr>
          <w:rtl/>
        </w:rPr>
        <w:t>حضرت أبا الحسن صلوات الله عليه ، وقال له رجل : أوصني ، فقال له : احفظ لسانك</w:t>
      </w:r>
      <w:r w:rsidR="008A74EB">
        <w:rPr>
          <w:rtl/>
        </w:rPr>
        <w:t xml:space="preserve"> ..</w:t>
      </w:r>
      <w:r w:rsidR="008A74EB" w:rsidRPr="00C9040A">
        <w:rPr>
          <w:rtl/>
        </w:rPr>
        <w:t>. »</w:t>
      </w:r>
      <w:r w:rsidR="008A74EB">
        <w:rPr>
          <w:rtl/>
        </w:rPr>
        <w:t>.</w:t>
      </w:r>
      <w:r w:rsidR="008A74EB" w:rsidRPr="00C9040A">
        <w:rPr>
          <w:rtl/>
        </w:rPr>
        <w:t xml:space="preserve"> </w:t>
      </w:r>
      <w:r w:rsidR="008A74EB" w:rsidRPr="00993B55">
        <w:rPr>
          <w:rStyle w:val="libFootnoteBoldChar"/>
          <w:rtl/>
        </w:rPr>
        <w:t>قرب الإسناد</w:t>
      </w:r>
      <w:r w:rsidR="008A74EB" w:rsidRPr="00C9040A">
        <w:rPr>
          <w:rtl/>
        </w:rPr>
        <w:t xml:space="preserve"> ، ص 309 ، ح 1204 ، وفيه : « محمّد بن الحسين ، عن عثمان بن عيسى ، عن أبي‌الحسن الأوّل </w:t>
      </w:r>
      <w:r w:rsidR="00117575" w:rsidRPr="00117575">
        <w:rPr>
          <w:rStyle w:val="libFootnoteAlaemChar"/>
          <w:rtl/>
        </w:rPr>
        <w:t xml:space="preserve">عليه‌السلام </w:t>
      </w:r>
      <w:r w:rsidR="008A74EB" w:rsidRPr="00C9040A">
        <w:rPr>
          <w:rtl/>
        </w:rPr>
        <w:t>، قال : سمعته يقول لرجل : لا تمكّن الناس من قيادك فتذلّ »</w:t>
      </w:r>
      <w:r>
        <w:rPr>
          <w:rFonts w:hint="cs"/>
          <w:rtl/>
        </w:rPr>
        <w:t>.</w:t>
      </w:r>
      <w:r w:rsidR="008A74EB" w:rsidRPr="00993B55">
        <w:rPr>
          <w:rStyle w:val="libFootnoteBoldChar"/>
          <w:rtl/>
        </w:rPr>
        <w:t>الوافي</w:t>
      </w:r>
      <w:r w:rsidR="008A74EB" w:rsidRPr="00C9040A">
        <w:rPr>
          <w:rtl/>
        </w:rPr>
        <w:t xml:space="preserve"> ، ج 5 ، ص 703 ، ح 2913 ؛ </w:t>
      </w:r>
      <w:r w:rsidR="008A74EB" w:rsidRPr="00993B55">
        <w:rPr>
          <w:rStyle w:val="libFootnoteBoldChar"/>
          <w:rtl/>
        </w:rPr>
        <w:t>الوسائل</w:t>
      </w:r>
      <w:r w:rsidR="008A74EB" w:rsidRPr="00C9040A">
        <w:rPr>
          <w:rtl/>
        </w:rPr>
        <w:t xml:space="preserve"> ، ج 16 ، ص 248 ، ح 21481 ؛ </w:t>
      </w:r>
      <w:r w:rsidR="008A74EB" w:rsidRPr="00993B55">
        <w:rPr>
          <w:rStyle w:val="libFootnoteBoldChar"/>
          <w:rtl/>
        </w:rPr>
        <w:t>البحار</w:t>
      </w:r>
      <w:r w:rsidR="008A74EB" w:rsidRPr="00C9040A">
        <w:rPr>
          <w:rtl/>
        </w:rPr>
        <w:t xml:space="preserve"> ، ج 75 ، ص 82 ، ح 31.</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w:t>
      </w:r>
      <w:r w:rsidR="008A74EB" w:rsidRPr="00993B55">
        <w:rPr>
          <w:rStyle w:val="libFootnoteBoldChar"/>
          <w:rtl/>
        </w:rPr>
        <w:t>المرآة</w:t>
      </w:r>
      <w:r w:rsidR="008A74EB" w:rsidRPr="00C9040A">
        <w:rPr>
          <w:rtl/>
        </w:rPr>
        <w:t xml:space="preserve"> : « المقنّع ، اسم مفعول على بناء التفعيل ، أي مستور ، وأصله من القناع. « بالميثاق » أي بالعهد الذي‌أخذ الله ورسوله والأئمّة </w:t>
      </w:r>
      <w:r w:rsidR="00117575" w:rsidRPr="00117575">
        <w:rPr>
          <w:rStyle w:val="libFootnoteAlaemChar"/>
          <w:rtl/>
        </w:rPr>
        <w:t>عليهم‌السلام</w:t>
      </w:r>
      <w:r w:rsidR="008A74EB" w:rsidRPr="00C9040A">
        <w:rPr>
          <w:rtl/>
        </w:rPr>
        <w:t xml:space="preserve"> أن يكتموه عن غير أهله »</w:t>
      </w:r>
      <w:r w:rsidR="008A74EB">
        <w:rPr>
          <w:rtl/>
        </w:rPr>
        <w:t>.</w:t>
      </w:r>
    </w:p>
    <w:p w:rsidR="008A74EB" w:rsidRPr="00C9040A" w:rsidRDefault="006C577F" w:rsidP="00D135DA">
      <w:pPr>
        <w:pStyle w:val="libFootnote0"/>
        <w:rPr>
          <w:rtl/>
          <w:lang w:bidi="fa-IR"/>
        </w:rPr>
      </w:pPr>
      <w:r>
        <w:rPr>
          <w:rtl/>
        </w:rPr>
        <w:t>(2).</w:t>
      </w:r>
      <w:r w:rsidR="008A74EB">
        <w:rPr>
          <w:rtl/>
        </w:rPr>
        <w:t xml:space="preserve"> </w:t>
      </w:r>
      <w:r w:rsidR="008A74EB" w:rsidRPr="00993B55">
        <w:rPr>
          <w:rStyle w:val="libFootnoteBoldChar"/>
          <w:rtl/>
        </w:rPr>
        <w:t>بصائر الدرجات</w:t>
      </w:r>
      <w:r w:rsidR="008A74EB" w:rsidRPr="00C9040A">
        <w:rPr>
          <w:rtl/>
        </w:rPr>
        <w:t xml:space="preserve"> ، ص 28 ، ح 2 </w:t>
      </w:r>
      <w:r w:rsidR="008A74EB">
        <w:rPr>
          <w:rtl/>
        </w:rPr>
        <w:t>و 3</w:t>
      </w:r>
      <w:r w:rsidR="008A74EB" w:rsidRPr="00C9040A">
        <w:rPr>
          <w:rtl/>
        </w:rPr>
        <w:t xml:space="preserve"> ، بسند آخر ، مع اختلاف يسير</w:t>
      </w:r>
      <w:r w:rsidR="00D135DA">
        <w:rPr>
          <w:rFonts w:hint="cs"/>
          <w:rtl/>
        </w:rPr>
        <w:t>.</w:t>
      </w:r>
      <w:r w:rsidR="008A74EB" w:rsidRPr="00993B55">
        <w:rPr>
          <w:rStyle w:val="libFootnoteBoldChar"/>
          <w:rtl/>
        </w:rPr>
        <w:t>الوافي</w:t>
      </w:r>
      <w:r w:rsidR="008A74EB" w:rsidRPr="00C9040A">
        <w:rPr>
          <w:rtl/>
        </w:rPr>
        <w:t xml:space="preserve"> ، ج 5 ، ص 703 ، ح 2914 ؛ </w:t>
      </w:r>
      <w:r w:rsidR="008A74EB" w:rsidRPr="00993B55">
        <w:rPr>
          <w:rStyle w:val="libFootnoteBoldChar"/>
          <w:rtl/>
        </w:rPr>
        <w:t>البحار</w:t>
      </w:r>
      <w:r w:rsidR="008A74EB" w:rsidRPr="00C9040A">
        <w:rPr>
          <w:rtl/>
        </w:rPr>
        <w:t xml:space="preserve"> ، ج 75 ، ص 83 ، ح 32.</w:t>
      </w:r>
    </w:p>
    <w:p w:rsidR="008A74EB" w:rsidRPr="00C9040A" w:rsidRDefault="006C577F" w:rsidP="004A4E41">
      <w:pPr>
        <w:pStyle w:val="libFootnote0"/>
        <w:rPr>
          <w:rtl/>
          <w:lang w:bidi="fa-IR"/>
        </w:rPr>
      </w:pPr>
      <w:r>
        <w:rPr>
          <w:rtl/>
        </w:rPr>
        <w:t>(3).</w:t>
      </w:r>
      <w:r w:rsidR="008A74EB" w:rsidRPr="00C9040A">
        <w:rPr>
          <w:rtl/>
        </w:rPr>
        <w:t xml:space="preserve"> تقدّم في </w:t>
      </w:r>
      <w:r w:rsidR="008A74EB" w:rsidRPr="00993B55">
        <w:rPr>
          <w:rStyle w:val="libFootnoteBoldChar"/>
          <w:rtl/>
        </w:rPr>
        <w:t>الكافي</w:t>
      </w:r>
      <w:r w:rsidR="008A74EB" w:rsidRPr="00C9040A">
        <w:rPr>
          <w:rtl/>
        </w:rPr>
        <w:t xml:space="preserve"> ، ذيل ح 1644 أنّ الصواب في العنوان هو « محمّد بن أسلم » فلاحظ.</w:t>
      </w:r>
    </w:p>
    <w:tbl>
      <w:tblPr>
        <w:tblStyle w:val="TableGrid"/>
        <w:bidiVisual/>
        <w:tblW w:w="0" w:type="auto"/>
        <w:tblLook w:val="04A0" w:firstRow="1" w:lastRow="0" w:firstColumn="1" w:lastColumn="0" w:noHBand="0" w:noVBand="1"/>
      </w:tblPr>
      <w:tblGrid>
        <w:gridCol w:w="4006"/>
        <w:gridCol w:w="4006"/>
      </w:tblGrid>
      <w:tr w:rsidR="00D135DA" w:rsidTr="00D135DA">
        <w:tc>
          <w:tcPr>
            <w:tcW w:w="4006" w:type="dxa"/>
          </w:tcPr>
          <w:p w:rsidR="00D135DA" w:rsidRDefault="00D135DA" w:rsidP="004A4E41">
            <w:pPr>
              <w:pStyle w:val="libFootnote0"/>
              <w:rPr>
                <w:rtl/>
              </w:rPr>
            </w:pPr>
            <w:r>
              <w:rPr>
                <w:rtl/>
              </w:rPr>
              <w:t>(4).</w:t>
            </w:r>
            <w:r w:rsidRPr="00C9040A">
              <w:rPr>
                <w:rtl/>
              </w:rPr>
              <w:t xml:space="preserve"> في الوسائل : « لمظلمتنا »</w:t>
            </w:r>
            <w:r>
              <w:rPr>
                <w:rtl/>
              </w:rPr>
              <w:t>.</w:t>
            </w:r>
          </w:p>
        </w:tc>
        <w:tc>
          <w:tcPr>
            <w:tcW w:w="4006" w:type="dxa"/>
          </w:tcPr>
          <w:p w:rsidR="00D135DA" w:rsidRDefault="00D135DA" w:rsidP="00D135DA">
            <w:pPr>
              <w:pStyle w:val="libFootnote0"/>
              <w:rPr>
                <w:rtl/>
              </w:rPr>
            </w:pPr>
            <w:r>
              <w:rPr>
                <w:rtl/>
              </w:rPr>
              <w:t>(5). في«ص،ه</w:t>
            </w:r>
            <w:r w:rsidRPr="00C9040A">
              <w:rPr>
                <w:rtl/>
              </w:rPr>
              <w:t>،</w:t>
            </w:r>
            <w:r>
              <w:rPr>
                <w:rtl/>
              </w:rPr>
              <w:t>بر»وحاشية«ض</w:t>
            </w:r>
            <w:r w:rsidRPr="00C9040A">
              <w:rPr>
                <w:rtl/>
              </w:rPr>
              <w:t>» والوافي : « سرّنا »</w:t>
            </w:r>
            <w:r>
              <w:rPr>
                <w:rtl/>
              </w:rPr>
              <w:t>.</w:t>
            </w:r>
          </w:p>
        </w:tc>
      </w:tr>
    </w:tbl>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w:t>
      </w:r>
      <w:r w:rsidR="008A74EB" w:rsidRPr="00993B55">
        <w:rPr>
          <w:rStyle w:val="libFootnoteBoldChar"/>
          <w:rtl/>
        </w:rPr>
        <w:t>المرآة</w:t>
      </w:r>
      <w:r w:rsidR="008A74EB" w:rsidRPr="00C9040A">
        <w:rPr>
          <w:rtl/>
        </w:rPr>
        <w:t xml:space="preserve"> : « فما كتبت ، بالخطاب ، ويحتمل التكلّم »</w:t>
      </w:r>
      <w:r w:rsidR="008A74EB">
        <w:rPr>
          <w:rtl/>
        </w:rPr>
        <w:t>.</w:t>
      </w:r>
    </w:p>
    <w:p w:rsidR="008A74EB" w:rsidRPr="00C9040A" w:rsidRDefault="006C577F" w:rsidP="00D135DA">
      <w:pPr>
        <w:pStyle w:val="libFootnote0"/>
        <w:rPr>
          <w:rtl/>
          <w:lang w:bidi="fa-IR"/>
        </w:rPr>
      </w:pPr>
      <w:r>
        <w:rPr>
          <w:rtl/>
        </w:rPr>
        <w:t>(7).</w:t>
      </w:r>
      <w:r w:rsidR="008A74EB" w:rsidRPr="00C9040A">
        <w:rPr>
          <w:rtl/>
        </w:rPr>
        <w:t xml:space="preserve"> </w:t>
      </w:r>
      <w:r w:rsidR="008A74EB" w:rsidRPr="0034021D">
        <w:rPr>
          <w:rStyle w:val="libFootnoteBoldChar"/>
          <w:rtl/>
        </w:rPr>
        <w:t>الأمالي للمفيد</w:t>
      </w:r>
      <w:r w:rsidR="008A74EB" w:rsidRPr="00C9040A">
        <w:rPr>
          <w:rtl/>
        </w:rPr>
        <w:t xml:space="preserve"> ، ص 338 ، المجلس 40 ، ح 3 ، بسنده عن محمّد بن سعيد بن غزوان وعيسى بن أبي‌منصور ، عن أبان بن تغلب ، عن أبي‌عبدالله </w:t>
      </w:r>
      <w:r w:rsidR="00117575" w:rsidRPr="00117575">
        <w:rPr>
          <w:rStyle w:val="libFootnoteAlaemChar"/>
          <w:rtl/>
        </w:rPr>
        <w:t>عليه‌السلام</w:t>
      </w:r>
      <w:r w:rsidR="008A74EB" w:rsidRPr="00C9040A">
        <w:rPr>
          <w:rtl/>
        </w:rPr>
        <w:t xml:space="preserve"> ؛ </w:t>
      </w:r>
      <w:r w:rsidR="008A74EB" w:rsidRPr="00993B55">
        <w:rPr>
          <w:rStyle w:val="libFootnoteBoldChar"/>
          <w:rtl/>
        </w:rPr>
        <w:t>الأمالي</w:t>
      </w:r>
      <w:r w:rsidR="008A74EB" w:rsidRPr="00B120D5">
        <w:rPr>
          <w:rStyle w:val="libFootnoteBoldChar"/>
          <w:rtl/>
        </w:rPr>
        <w:t xml:space="preserve"> للطوسي</w:t>
      </w:r>
      <w:r w:rsidR="008A74EB" w:rsidRPr="00C9040A">
        <w:rPr>
          <w:rtl/>
        </w:rPr>
        <w:t xml:space="preserve"> ، ص 115 ، المجلس 4 ، ح 32 ، بسنده عن محمّد بن سعيد بن غزوان ، عن عيسى بن أبي‌منصور ، عن أبان بن تغلب ، عن أبي‌عبدالله </w:t>
      </w:r>
      <w:r w:rsidR="00117575" w:rsidRPr="00117575">
        <w:rPr>
          <w:rStyle w:val="libFootnoteAlaemChar"/>
          <w:rtl/>
        </w:rPr>
        <w:t xml:space="preserve">عليه‌السلام </w:t>
      </w:r>
      <w:r w:rsidR="008A74EB" w:rsidRPr="00C9040A">
        <w:rPr>
          <w:rtl/>
        </w:rPr>
        <w:t>، وفيهما مع اختلاف يسير</w:t>
      </w:r>
      <w:r w:rsidR="00D135DA">
        <w:rPr>
          <w:rFonts w:hint="cs"/>
          <w:rtl/>
        </w:rPr>
        <w:t>.</w:t>
      </w:r>
      <w:r w:rsidR="008A74EB" w:rsidRPr="00993B55">
        <w:rPr>
          <w:rStyle w:val="libFootnoteBoldChar"/>
          <w:rtl/>
        </w:rPr>
        <w:t>الوافي</w:t>
      </w:r>
      <w:r w:rsidR="008A74EB" w:rsidRPr="00C9040A">
        <w:rPr>
          <w:rtl/>
        </w:rPr>
        <w:t xml:space="preserve"> ، ج 5 ، ص 704 ، ح 2915 ؛ </w:t>
      </w:r>
      <w:r w:rsidR="008A74EB" w:rsidRPr="00993B55">
        <w:rPr>
          <w:rStyle w:val="libFootnoteBoldChar"/>
          <w:rtl/>
        </w:rPr>
        <w:t>الوسائل</w:t>
      </w:r>
      <w:r w:rsidR="008A74EB" w:rsidRPr="00C9040A">
        <w:rPr>
          <w:rtl/>
        </w:rPr>
        <w:t xml:space="preserve"> ، ج 16 ، ص 249 ، ح 21485 ؛ </w:t>
      </w:r>
      <w:r w:rsidR="008A74EB" w:rsidRPr="00993B55">
        <w:rPr>
          <w:rStyle w:val="libFootnoteBoldChar"/>
          <w:rtl/>
        </w:rPr>
        <w:t>البحار</w:t>
      </w:r>
      <w:r w:rsidR="008A74EB" w:rsidRPr="00C9040A">
        <w:rPr>
          <w:rtl/>
        </w:rPr>
        <w:t xml:space="preserve"> ، ج 75 ، ص 83 ، ح 33.</w:t>
      </w:r>
    </w:p>
    <w:p w:rsidR="004B7F34" w:rsidRDefault="004B7F34" w:rsidP="004B7F34">
      <w:pPr>
        <w:pStyle w:val="libNormal"/>
        <w:rPr>
          <w:rtl/>
          <w:lang w:bidi="fa-IR"/>
        </w:rPr>
      </w:pPr>
      <w:r>
        <w:rPr>
          <w:rtl/>
          <w:lang w:bidi="fa-IR"/>
        </w:rPr>
        <w:br w:type="page"/>
      </w:r>
    </w:p>
    <w:p w:rsidR="008A74EB" w:rsidRPr="00C9040A" w:rsidRDefault="008A74EB" w:rsidP="008A74EB">
      <w:pPr>
        <w:pStyle w:val="Heading2Center"/>
        <w:rPr>
          <w:rtl/>
          <w:lang w:bidi="fa-IR"/>
        </w:rPr>
      </w:pPr>
      <w:bookmarkStart w:id="307" w:name="_Toc343795690"/>
      <w:bookmarkStart w:id="308" w:name="_Toc459810814"/>
      <w:bookmarkStart w:id="309" w:name="_Toc35348720"/>
      <w:r w:rsidRPr="00C9040A">
        <w:rPr>
          <w:rtl/>
          <w:lang w:bidi="fa-IR"/>
        </w:rPr>
        <w:t>99</w:t>
      </w:r>
      <w:r>
        <w:rPr>
          <w:rtl/>
          <w:lang w:bidi="fa-IR"/>
        </w:rPr>
        <w:t xml:space="preserve"> </w:t>
      </w:r>
      <w:r w:rsidR="0084262C">
        <w:rPr>
          <w:rtl/>
          <w:lang w:bidi="fa-IR"/>
        </w:rPr>
        <w:t>-</w:t>
      </w:r>
      <w:r>
        <w:rPr>
          <w:rtl/>
          <w:lang w:bidi="fa-IR"/>
        </w:rPr>
        <w:t xml:space="preserve"> </w:t>
      </w:r>
      <w:r w:rsidRPr="00C9040A">
        <w:rPr>
          <w:rtl/>
          <w:lang w:bidi="fa-IR"/>
        </w:rPr>
        <w:t xml:space="preserve">بَابُ الْمُؤْمِنِ وَعَلَامَاتِهِ وَصِفَاتِهِ </w:t>
      </w:r>
      <w:r w:rsidR="006C577F" w:rsidRPr="006C577F">
        <w:rPr>
          <w:rStyle w:val="libFootnotenumChar"/>
          <w:rtl/>
        </w:rPr>
        <w:t>(1)</w:t>
      </w:r>
      <w:r w:rsidRPr="00C9040A">
        <w:rPr>
          <w:rtl/>
          <w:lang w:bidi="fa-IR"/>
        </w:rPr>
        <w:t xml:space="preserve"> ‌</w:t>
      </w:r>
      <w:bookmarkEnd w:id="307"/>
      <w:bookmarkEnd w:id="308"/>
      <w:bookmarkEnd w:id="309"/>
    </w:p>
    <w:p w:rsidR="008A74EB" w:rsidRPr="00C9040A" w:rsidRDefault="008A74EB" w:rsidP="008A74EB">
      <w:pPr>
        <w:pStyle w:val="libNormal"/>
        <w:rPr>
          <w:rtl/>
          <w:lang w:bidi="fa-IR"/>
        </w:rPr>
      </w:pPr>
      <w:r w:rsidRPr="00074841">
        <w:rPr>
          <w:rtl/>
        </w:rPr>
        <w:t>2280</w:t>
      </w:r>
      <w:r w:rsidRPr="00261CB0">
        <w:rPr>
          <w:rStyle w:val="libBold2Char"/>
          <w:rtl/>
        </w:rPr>
        <w:t xml:space="preserve"> / 1.</w:t>
      </w:r>
      <w:r w:rsidRPr="00C9040A">
        <w:rPr>
          <w:rtl/>
          <w:lang w:bidi="fa-IR"/>
        </w:rPr>
        <w:t xml:space="preserve"> مُحَمَّدُ بْنُ جَعْفَرٍ </w:t>
      </w:r>
      <w:r w:rsidR="006C577F" w:rsidRPr="006C577F">
        <w:rPr>
          <w:rStyle w:val="libFootnotenumChar"/>
          <w:rtl/>
        </w:rPr>
        <w:t>(2)</w:t>
      </w:r>
      <w:r w:rsidRPr="00C9040A">
        <w:rPr>
          <w:rtl/>
          <w:lang w:bidi="fa-IR"/>
        </w:rPr>
        <w:t xml:space="preserve"> ، عَنْ مُحَمَّدِ بْنِ إِسْمَاعِيلَ ، عَنْ عَبْدِ اللهِ بْنِ دَاهِرٍ ، عَنِ الْحَسَنِ بْنِ يَحْيى ، عَنْ قُثَمَ بْنِ أَبِي قَتَادَةَ الْحَرَّانِيِّ </w:t>
      </w:r>
      <w:r w:rsidR="006C577F" w:rsidRPr="006C577F">
        <w:rPr>
          <w:rStyle w:val="libFootnotenumChar"/>
          <w:rtl/>
        </w:rPr>
        <w:t>(3)</w:t>
      </w:r>
      <w:r w:rsidRPr="00C9040A">
        <w:rPr>
          <w:rtl/>
          <w:lang w:bidi="fa-IR"/>
        </w:rPr>
        <w:t xml:space="preserve"> ، عَنْ عَبْدِ اللهِ بْنِ يُونُسَ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قَامَ رَجُلٌ</w:t>
      </w:r>
      <w:r>
        <w:rPr>
          <w:rtl/>
          <w:lang w:bidi="fa-IR"/>
        </w:rPr>
        <w:t xml:space="preserve"> </w:t>
      </w:r>
      <w:r w:rsidR="0084262C">
        <w:rPr>
          <w:rtl/>
          <w:lang w:bidi="fa-IR"/>
        </w:rPr>
        <w:t>-</w:t>
      </w:r>
      <w:r>
        <w:rPr>
          <w:rtl/>
          <w:lang w:bidi="fa-IR"/>
        </w:rPr>
        <w:t xml:space="preserve"> </w:t>
      </w:r>
      <w:r w:rsidRPr="00C9040A">
        <w:rPr>
          <w:rtl/>
          <w:lang w:bidi="fa-IR"/>
        </w:rPr>
        <w:t>يُقَالُ لَهُ : هَمَّامٌ ، وَكَانَ عَابِداً نَاسِكاً مُجْتَهِداً</w:t>
      </w:r>
      <w:r>
        <w:rPr>
          <w:rtl/>
          <w:lang w:bidi="fa-IR"/>
        </w:rPr>
        <w:t xml:space="preserve"> </w:t>
      </w:r>
      <w:r w:rsidR="0084262C">
        <w:rPr>
          <w:rtl/>
          <w:lang w:bidi="fa-IR"/>
        </w:rPr>
        <w:t>-</w:t>
      </w:r>
      <w:r>
        <w:rPr>
          <w:rtl/>
          <w:lang w:bidi="fa-IR"/>
        </w:rPr>
        <w:t xml:space="preserve"> </w:t>
      </w:r>
      <w:r w:rsidRPr="00C9040A">
        <w:rPr>
          <w:rtl/>
          <w:lang w:bidi="fa-IR"/>
        </w:rPr>
        <w:t xml:space="preserve">إِلى أَمِيرِ الْمُؤْمِنِينَ </w:t>
      </w:r>
      <w:r w:rsidRPr="0003660B">
        <w:rPr>
          <w:rStyle w:val="libAlaemChar"/>
          <w:rtl/>
        </w:rPr>
        <w:t>عليه‌السلام</w:t>
      </w:r>
      <w:r w:rsidRPr="00C9040A">
        <w:rPr>
          <w:rtl/>
          <w:lang w:bidi="fa-IR"/>
        </w:rPr>
        <w:t xml:space="preserve"> وَهُوَ يَخْطُبُ ، فَقَالَ : يَا أَمِيرَ الْمُؤْمِنِينَ </w:t>
      </w:r>
      <w:r w:rsidR="006C577F" w:rsidRPr="006C577F">
        <w:rPr>
          <w:rStyle w:val="libFootnotenumChar"/>
          <w:rtl/>
        </w:rPr>
        <w:t>(4)</w:t>
      </w:r>
      <w:r w:rsidRPr="00C9040A">
        <w:rPr>
          <w:rtl/>
          <w:lang w:bidi="fa-IR"/>
        </w:rPr>
        <w:t xml:space="preserve"> ، صِفْ لَنَا </w:t>
      </w:r>
      <w:r w:rsidR="006C577F" w:rsidRPr="006C577F">
        <w:rPr>
          <w:rStyle w:val="libFootnotenumChar"/>
          <w:rtl/>
        </w:rPr>
        <w:t>(5)</w:t>
      </w:r>
      <w:r w:rsidRPr="00C9040A">
        <w:rPr>
          <w:rtl/>
          <w:lang w:bidi="fa-IR"/>
        </w:rPr>
        <w:t xml:space="preserve"> صِفَةَ الْمُؤْمِنِ كَأَنَّنَا نَنْظُرُ إِلَيْهِ.</w:t>
      </w:r>
    </w:p>
    <w:p w:rsidR="008A74EB" w:rsidRPr="00C9040A" w:rsidRDefault="008A74EB" w:rsidP="008A74EB">
      <w:pPr>
        <w:pStyle w:val="libNormal"/>
        <w:rPr>
          <w:rtl/>
          <w:lang w:bidi="fa-IR"/>
        </w:rPr>
      </w:pPr>
      <w:r w:rsidRPr="00C9040A">
        <w:rPr>
          <w:rtl/>
          <w:lang w:bidi="fa-IR"/>
        </w:rPr>
        <w:t xml:space="preserve">فَقَالَ : يَا هَمَّامُ ، الْمُؤْمِنُ هُوَ الْكَيِّسُ </w:t>
      </w:r>
      <w:r w:rsidR="006C577F" w:rsidRPr="006C577F">
        <w:rPr>
          <w:rStyle w:val="libFootnotenumChar"/>
          <w:rtl/>
        </w:rPr>
        <w:t>(6)</w:t>
      </w:r>
      <w:r w:rsidRPr="005B567D">
        <w:rPr>
          <w:rStyle w:val="libFootnotenumChar"/>
          <w:rtl/>
        </w:rPr>
        <w:t xml:space="preserve"> </w:t>
      </w:r>
      <w:r w:rsidRPr="00C9040A">
        <w:rPr>
          <w:rtl/>
          <w:lang w:bidi="fa-IR"/>
        </w:rPr>
        <w:t xml:space="preserve">الْفَطِنُ </w:t>
      </w:r>
      <w:r w:rsidR="006C577F" w:rsidRPr="006C577F">
        <w:rPr>
          <w:rStyle w:val="libFootnotenumChar"/>
          <w:rtl/>
        </w:rPr>
        <w:t>(7)</w:t>
      </w:r>
      <w:r w:rsidRPr="00C9040A">
        <w:rPr>
          <w:rtl/>
          <w:lang w:bidi="fa-IR"/>
        </w:rPr>
        <w:t xml:space="preserve"> ، بِشْرُهُ فِي وَجْهِهِ ، وَحُزْنُهُ فِي قَلْبِهِ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w:t>
      </w:r>
      <w:r w:rsidR="006D3162">
        <w:rPr>
          <w:rtl/>
        </w:rPr>
        <w:t xml:space="preserve">ه </w:t>
      </w:r>
      <w:r w:rsidR="008A74EB" w:rsidRPr="00C9040A">
        <w:rPr>
          <w:rtl/>
        </w:rPr>
        <w:t>، بر » : « وصفاته وعلاماته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ز ، </w:t>
      </w:r>
      <w:r w:rsidR="006D3162">
        <w:rPr>
          <w:rtl/>
        </w:rPr>
        <w:t xml:space="preserve">ه </w:t>
      </w:r>
      <w:r w:rsidR="008A74EB" w:rsidRPr="00C9040A">
        <w:rPr>
          <w:rtl/>
        </w:rPr>
        <w:t>» وحاشية « بر » والبحار : « محمّد بن يحيى »</w:t>
      </w:r>
      <w:r w:rsidR="008A74EB">
        <w:rPr>
          <w:rtl/>
        </w:rPr>
        <w:t>.</w:t>
      </w:r>
      <w:r w:rsidR="008A74EB" w:rsidRPr="00C9040A">
        <w:rPr>
          <w:rtl/>
        </w:rPr>
        <w:t xml:space="preserve"> وفي « ص » : « محمّد بن يحيى ، عن جعفر »</w:t>
      </w:r>
      <w:r w:rsidR="008A74EB">
        <w:rPr>
          <w:rtl/>
        </w:rPr>
        <w:t>.</w:t>
      </w:r>
      <w:r w:rsidR="008A74EB" w:rsidRPr="00C9040A">
        <w:rPr>
          <w:rtl/>
        </w:rPr>
        <w:t xml:space="preserve"> وكلاهماسهو ؛ فإنّ محمّد بن جعفر هذا ، هو محمّد بن جعفر الأسدي الكوفي الذي يقال له : محمّد بن أبي‌عبدالله ؛ روى هو كتاب محمّد بن إسماعيل البرمكي ، والبرمكي روى كتاب عبدالله بن داهر الأحمري. راجع : </w:t>
      </w:r>
      <w:r w:rsidR="008A74EB" w:rsidRPr="00993B55">
        <w:rPr>
          <w:rStyle w:val="libFootnoteBoldChar"/>
          <w:rtl/>
        </w:rPr>
        <w:t>رجال النجاشي</w:t>
      </w:r>
      <w:r w:rsidR="008A74EB" w:rsidRPr="00C9040A">
        <w:rPr>
          <w:rtl/>
        </w:rPr>
        <w:t xml:space="preserve"> ، ص 228 ، الرقم 602 ؛ وص 341 ، الرقم 915 ؛ وص 373 ، الرقم 1020.</w:t>
      </w:r>
    </w:p>
    <w:p w:rsidR="008A74EB" w:rsidRPr="00C9040A" w:rsidRDefault="008A74EB" w:rsidP="004A4E41">
      <w:pPr>
        <w:pStyle w:val="libFootnote0"/>
        <w:rPr>
          <w:rtl/>
          <w:lang w:bidi="fa-IR"/>
        </w:rPr>
      </w:pPr>
      <w:r w:rsidRPr="00323A39">
        <w:rPr>
          <w:rtl/>
        </w:rPr>
        <w:t xml:space="preserve">ثمّ إنّ ماورد في </w:t>
      </w:r>
      <w:r w:rsidRPr="00993B55">
        <w:rPr>
          <w:rStyle w:val="libFootnoteBoldChar"/>
          <w:rtl/>
        </w:rPr>
        <w:t>التوحيد</w:t>
      </w:r>
      <w:r w:rsidRPr="00323A39">
        <w:rPr>
          <w:rtl/>
        </w:rPr>
        <w:t xml:space="preserve"> للصدوق ، ص 308 ، ح 2 من توسّط الحسين بن الحسن بين محمّد بن إسماعيل البرمكي وعبدالله بن داهر ، فاحتمال وقوع الخلل فيه غير منفيّ ؛ فقد روى محمّد بن إسماعيل البرمكي ، عن عبدالله بن داهر في </w:t>
      </w:r>
      <w:r w:rsidRPr="00993B55">
        <w:rPr>
          <w:rStyle w:val="libFootnoteBoldChar"/>
          <w:rtl/>
        </w:rPr>
        <w:t>علل الشرائع</w:t>
      </w:r>
      <w:r w:rsidRPr="00323A39">
        <w:rPr>
          <w:rtl/>
        </w:rPr>
        <w:t xml:space="preserve"> ، ص 161 ، ح 1 ؛ و</w:t>
      </w:r>
      <w:r w:rsidRPr="00993B55">
        <w:rPr>
          <w:rStyle w:val="libFootnoteBoldChar"/>
          <w:rtl/>
        </w:rPr>
        <w:t>الخصال</w:t>
      </w:r>
      <w:r w:rsidRPr="00323A39">
        <w:rPr>
          <w:rtl/>
        </w:rPr>
        <w:t xml:space="preserve"> ، ص 58 ، ذيل ح 78 أيضاً مباشرة.</w:t>
      </w:r>
    </w:p>
    <w:p w:rsidR="008A74EB" w:rsidRPr="00C9040A" w:rsidRDefault="006C577F" w:rsidP="004A4E41">
      <w:pPr>
        <w:pStyle w:val="libFootnote0"/>
        <w:rPr>
          <w:rtl/>
          <w:lang w:bidi="fa-IR"/>
        </w:rPr>
      </w:pPr>
      <w:r>
        <w:rPr>
          <w:rtl/>
        </w:rPr>
        <w:t>(3).</w:t>
      </w:r>
      <w:r w:rsidR="008A74EB" w:rsidRPr="00C9040A">
        <w:rPr>
          <w:rtl/>
        </w:rPr>
        <w:t xml:space="preserve"> هكذا في « ب ، ف ، جر »</w:t>
      </w:r>
      <w:r w:rsidR="008A74EB">
        <w:rPr>
          <w:rtl/>
        </w:rPr>
        <w:t>.</w:t>
      </w:r>
      <w:r w:rsidR="008A74EB" w:rsidRPr="00C9040A">
        <w:rPr>
          <w:rtl/>
        </w:rPr>
        <w:t xml:space="preserve"> وفي « ج ، د ، ز ، </w:t>
      </w:r>
      <w:r w:rsidR="006D3162">
        <w:rPr>
          <w:rtl/>
        </w:rPr>
        <w:t xml:space="preserve">ه </w:t>
      </w:r>
      <w:r w:rsidR="008A74EB" w:rsidRPr="00C9040A">
        <w:rPr>
          <w:rtl/>
        </w:rPr>
        <w:t>، بر ، بس ، بف » والمطبوع : « قثم أبي‌قتادة الحرّاني »</w:t>
      </w:r>
      <w:r w:rsidR="008A74EB">
        <w:rPr>
          <w:rtl/>
        </w:rPr>
        <w:t>.</w:t>
      </w:r>
    </w:p>
    <w:p w:rsidR="008A74EB" w:rsidRPr="00C9040A" w:rsidRDefault="008A74EB" w:rsidP="004A4E41">
      <w:pPr>
        <w:pStyle w:val="libFootnote0"/>
        <w:rPr>
          <w:rtl/>
          <w:lang w:bidi="fa-IR"/>
        </w:rPr>
      </w:pPr>
      <w:r w:rsidRPr="00323A39">
        <w:rPr>
          <w:rtl/>
        </w:rPr>
        <w:t xml:space="preserve">والظاهر أنّ الصواب ما أثبتناه ؛ فقد ذكر ابن حبّان في كتابه </w:t>
      </w:r>
      <w:r w:rsidRPr="00993B55">
        <w:rPr>
          <w:rStyle w:val="libFootnoteBoldChar"/>
          <w:rtl/>
        </w:rPr>
        <w:t>الثقات</w:t>
      </w:r>
      <w:r w:rsidRPr="00323A39">
        <w:rPr>
          <w:rtl/>
        </w:rPr>
        <w:t xml:space="preserve"> ، ج 9 ، ص 25 ، قثم بن أبي‌قتادة ، أبا ا</w:t>
      </w:r>
      <w:r w:rsidR="00D135DA">
        <w:rPr>
          <w:rFonts w:hint="cs"/>
          <w:rtl/>
        </w:rPr>
        <w:t>ً</w:t>
      </w:r>
      <w:r w:rsidRPr="00323A39">
        <w:rPr>
          <w:rtl/>
        </w:rPr>
        <w:t>سامة الحرّاني ، وأما قثم أبوقتادة فلم نجده في موضع ، مع الفحص الأكيد.</w:t>
      </w:r>
    </w:p>
    <w:p w:rsidR="008A74EB" w:rsidRPr="00C9040A" w:rsidRDefault="008A74EB" w:rsidP="004A4E41">
      <w:pPr>
        <w:pStyle w:val="libFootnote0"/>
        <w:rPr>
          <w:rtl/>
          <w:lang w:bidi="fa-IR"/>
        </w:rPr>
      </w:pPr>
      <w:r w:rsidRPr="00323A39">
        <w:rPr>
          <w:rtl/>
        </w:rPr>
        <w:t xml:space="preserve">يؤيّد ما استظهرناه ما ورد في الطبعة الحجريّة من الكتاب ؛ من « قسم بن أبي‌قتادة الحرّاني ». وكذا ماورد في </w:t>
      </w:r>
      <w:r w:rsidRPr="00993B55">
        <w:rPr>
          <w:rStyle w:val="libFootnoteBoldChar"/>
          <w:rtl/>
        </w:rPr>
        <w:t>التوحيد</w:t>
      </w:r>
      <w:r w:rsidRPr="00323A39">
        <w:rPr>
          <w:rtl/>
        </w:rPr>
        <w:t xml:space="preserve"> ، ص 308 ، ح 3 من رواية عبدالله بن داهر عن الحسين بن يحيى الكوفي ، عن قثم بن قتادة ، عن عبدالله بن يونس.</w:t>
      </w:r>
    </w:p>
    <w:p w:rsidR="008A74EB" w:rsidRPr="00C9040A" w:rsidRDefault="008A74EB" w:rsidP="004A4E41">
      <w:pPr>
        <w:pStyle w:val="libFootnote0"/>
        <w:rPr>
          <w:rtl/>
          <w:lang w:bidi="fa-IR"/>
        </w:rPr>
      </w:pPr>
      <w:r w:rsidRPr="00323A39">
        <w:rPr>
          <w:rtl/>
        </w:rPr>
        <w:t>ثم</w:t>
      </w:r>
      <w:r w:rsidR="00D135DA">
        <w:rPr>
          <w:rtl/>
        </w:rPr>
        <w:t>ّ إنّ أباقتادة الحرّاني ليس إل</w:t>
      </w:r>
      <w:r w:rsidR="00D135DA">
        <w:rPr>
          <w:rFonts w:hint="cs"/>
          <w:rtl/>
        </w:rPr>
        <w:t>ّ</w:t>
      </w:r>
      <w:r w:rsidR="00D135DA">
        <w:rPr>
          <w:rtl/>
        </w:rPr>
        <w:t>ا</w:t>
      </w:r>
      <w:r w:rsidRPr="00323A39">
        <w:rPr>
          <w:rtl/>
        </w:rPr>
        <w:t xml:space="preserve">واحداً ، وهو عبدالله بن واقد الحرّاني. راجع </w:t>
      </w:r>
      <w:r w:rsidRPr="00993B55">
        <w:rPr>
          <w:rStyle w:val="libFootnoteBoldChar"/>
          <w:rtl/>
        </w:rPr>
        <w:t>: تهذيب الكمال</w:t>
      </w:r>
      <w:r w:rsidRPr="00323A39">
        <w:rPr>
          <w:rtl/>
        </w:rPr>
        <w:t xml:space="preserve"> ، ج 16 ، ص 259 ، الرقم 3638 ؛ وج 34 ، ص 197 ، وهذا مؤيّد آخر لصحّة ما أثبتناه.</w:t>
      </w:r>
    </w:p>
    <w:tbl>
      <w:tblPr>
        <w:tblStyle w:val="TableGrid"/>
        <w:bidiVisual/>
        <w:tblW w:w="0" w:type="auto"/>
        <w:tblLook w:val="04A0" w:firstRow="1" w:lastRow="0" w:firstColumn="1" w:lastColumn="0" w:noHBand="0" w:noVBand="1"/>
      </w:tblPr>
      <w:tblGrid>
        <w:gridCol w:w="4006"/>
        <w:gridCol w:w="4006"/>
      </w:tblGrid>
      <w:tr w:rsidR="00D135DA" w:rsidTr="00D135DA">
        <w:tc>
          <w:tcPr>
            <w:tcW w:w="4006" w:type="dxa"/>
          </w:tcPr>
          <w:p w:rsidR="00D135DA" w:rsidRDefault="00D135DA" w:rsidP="004A4E41">
            <w:pPr>
              <w:pStyle w:val="libFootnote0"/>
              <w:rPr>
                <w:rtl/>
              </w:rPr>
            </w:pPr>
            <w:r>
              <w:rPr>
                <w:rtl/>
              </w:rPr>
              <w:t>(4).</w:t>
            </w:r>
            <w:r w:rsidRPr="00C9040A">
              <w:rPr>
                <w:rtl/>
              </w:rPr>
              <w:t xml:space="preserve"> في « بف » </w:t>
            </w:r>
            <w:r>
              <w:rPr>
                <w:rtl/>
              </w:rPr>
              <w:t>: -</w:t>
            </w:r>
            <w:r w:rsidRPr="00C9040A">
              <w:rPr>
                <w:rtl/>
              </w:rPr>
              <w:t xml:space="preserve"> « يا أميرالمؤمنين »</w:t>
            </w:r>
            <w:r>
              <w:rPr>
                <w:rtl/>
              </w:rPr>
              <w:t>.</w:t>
            </w:r>
          </w:p>
        </w:tc>
        <w:tc>
          <w:tcPr>
            <w:tcW w:w="4006" w:type="dxa"/>
          </w:tcPr>
          <w:p w:rsidR="00D135DA" w:rsidRDefault="00D135DA" w:rsidP="004A4E41">
            <w:pPr>
              <w:pStyle w:val="libFootnote0"/>
              <w:rPr>
                <w:rtl/>
              </w:rPr>
            </w:pPr>
            <w:r>
              <w:rPr>
                <w:rtl/>
              </w:rPr>
              <w:t>(5).</w:t>
            </w:r>
            <w:r w:rsidRPr="00C9040A">
              <w:rPr>
                <w:rtl/>
              </w:rPr>
              <w:t xml:space="preserve"> في « بف » : « لي »</w:t>
            </w:r>
            <w:r>
              <w:rPr>
                <w:rtl/>
              </w:rPr>
              <w:t>.</w:t>
            </w:r>
          </w:p>
        </w:tc>
      </w:tr>
    </w:tbl>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 الكيّس » : العاقل. وقد كاس يكيس كَيْساً. والكَيْس : العقل. </w:t>
      </w:r>
      <w:r w:rsidR="008A74EB" w:rsidRPr="00993B55">
        <w:rPr>
          <w:rStyle w:val="libFootnoteBoldChar"/>
          <w:rtl/>
        </w:rPr>
        <w:t>النهاية</w:t>
      </w:r>
      <w:r w:rsidR="008A74EB" w:rsidRPr="00C9040A">
        <w:rPr>
          <w:rtl/>
        </w:rPr>
        <w:t xml:space="preserve"> ، ج 4 ، ص 217 ( كيس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 الفِطْنَة » : الحِذق ، وضدّه : الغَباوة. وقيل : الفِطْنة : الفهم. </w:t>
      </w:r>
      <w:r w:rsidR="004C4E66">
        <w:rPr>
          <w:rtl/>
        </w:rPr>
        <w:t>وقيل : الفَطانة : جودة استعدادِ</w:t>
      </w:r>
      <w:r w:rsidR="008A74EB" w:rsidRPr="00C9040A">
        <w:rPr>
          <w:rtl/>
        </w:rPr>
        <w:t xml:space="preserve">الذهن لإدراك </w:t>
      </w:r>
      <w:r w:rsidR="006E5164">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أَوْسَعُ شَيْ‌ءٍ صَدْراً ، وَأَذَلُّ شَيْ‌ءٍ نَفْساً ، زَاجِرٌ عَنْ كُلِّ فَانٍ ، حَاضٌّ </w:t>
      </w:r>
      <w:r w:rsidR="006C577F" w:rsidRPr="006C577F">
        <w:rPr>
          <w:rStyle w:val="libFootnotenumChar"/>
          <w:rtl/>
        </w:rPr>
        <w:t>(1)</w:t>
      </w:r>
      <w:r w:rsidRPr="00C9040A">
        <w:rPr>
          <w:rtl/>
          <w:lang w:bidi="fa-IR"/>
        </w:rPr>
        <w:t xml:space="preserve"> عَلى كُلِّ حَسَنٍ ، لَاحَقُودٌ وَلَا حَسُودٌ ، وَلَا وَثَّابٌ </w:t>
      </w:r>
      <w:r w:rsidR="006C577F" w:rsidRPr="006C577F">
        <w:rPr>
          <w:rStyle w:val="libFootnotenumChar"/>
          <w:rtl/>
        </w:rPr>
        <w:t>(2)</w:t>
      </w:r>
      <w:r w:rsidRPr="00C9040A">
        <w:rPr>
          <w:rtl/>
          <w:lang w:bidi="fa-IR"/>
        </w:rPr>
        <w:t xml:space="preserve"> وَلَا سَبَّابٌ ، وَلَا عَيَّابٌ وَلَا مُغْتَابٌ ، يَكْرَهُ الرِّفْعَةَ ، وَيَشْنَأُ السُّمْعَةَ </w:t>
      </w:r>
      <w:r w:rsidR="006C577F" w:rsidRPr="006C577F">
        <w:rPr>
          <w:rStyle w:val="libFootnotenumChar"/>
          <w:rtl/>
        </w:rPr>
        <w:t>(3)</w:t>
      </w:r>
      <w:r w:rsidRPr="00C9040A">
        <w:rPr>
          <w:rtl/>
          <w:lang w:bidi="fa-IR"/>
        </w:rPr>
        <w:t xml:space="preserve"> ، طَوِيلُ الْغَمِّ </w:t>
      </w:r>
      <w:r w:rsidR="006C577F" w:rsidRPr="006C577F">
        <w:rPr>
          <w:rStyle w:val="libFootnotenumChar"/>
          <w:rtl/>
        </w:rPr>
        <w:t>(4)</w:t>
      </w:r>
      <w:r w:rsidRPr="00C9040A">
        <w:rPr>
          <w:rtl/>
          <w:lang w:bidi="fa-IR"/>
        </w:rPr>
        <w:t xml:space="preserve"> ، بَعِيدُ </w:t>
      </w:r>
      <w:r w:rsidR="006C577F" w:rsidRPr="006C577F">
        <w:rPr>
          <w:rStyle w:val="libFootnotenumChar"/>
          <w:rtl/>
        </w:rPr>
        <w:t>(5)</w:t>
      </w:r>
      <w:r w:rsidRPr="00C9040A">
        <w:rPr>
          <w:rtl/>
          <w:lang w:bidi="fa-IR"/>
        </w:rPr>
        <w:t xml:space="preserve"> الْهَمِّ ، كَثِيرُ الصَّمْتِ ، وَقُورٌ </w:t>
      </w:r>
      <w:r w:rsidR="006C577F" w:rsidRPr="006C577F">
        <w:rPr>
          <w:rStyle w:val="libFootnotenumChar"/>
          <w:rtl/>
        </w:rPr>
        <w:t>(6)</w:t>
      </w:r>
      <w:r w:rsidRPr="005B567D">
        <w:rPr>
          <w:rStyle w:val="libFootnotenumChar"/>
          <w:rtl/>
        </w:rPr>
        <w:t xml:space="preserve"> </w:t>
      </w:r>
      <w:r w:rsidRPr="00C9040A">
        <w:rPr>
          <w:rtl/>
          <w:lang w:bidi="fa-IR"/>
        </w:rPr>
        <w:t xml:space="preserve">، ذَكُورٌ ، صَبُورٌ ، شَكُورٌ ، مَغْمُومٌ بِفِكْرِهِ ، مَسْرُورٌ </w:t>
      </w:r>
      <w:r w:rsidR="006C577F" w:rsidRPr="006C577F">
        <w:rPr>
          <w:rStyle w:val="libFootnotenumChar"/>
          <w:rtl/>
        </w:rPr>
        <w:t>(7)</w:t>
      </w:r>
      <w:r w:rsidRPr="00C9040A">
        <w:rPr>
          <w:rtl/>
          <w:lang w:bidi="fa-IR"/>
        </w:rPr>
        <w:t xml:space="preserve"> بِفَقْرِهِ ، سَهْل</w:t>
      </w:r>
      <w:r>
        <w:rPr>
          <w:rFonts w:hint="cs"/>
          <w:rtl/>
          <w:lang w:bidi="fa-IR"/>
        </w:rPr>
        <w:t xml:space="preserve"> </w:t>
      </w:r>
      <w:r w:rsidRPr="00C9040A">
        <w:rPr>
          <w:rtl/>
          <w:lang w:bidi="fa-IR"/>
        </w:rPr>
        <w:t xml:space="preserve">الْخَلِيقَةِ </w:t>
      </w:r>
      <w:r w:rsidR="006C577F" w:rsidRPr="006C577F">
        <w:rPr>
          <w:rStyle w:val="libFootnotenumChar"/>
          <w:rtl/>
        </w:rPr>
        <w:t>(8)</w:t>
      </w:r>
      <w:r w:rsidRPr="00C9040A">
        <w:rPr>
          <w:rtl/>
          <w:lang w:bidi="fa-IR"/>
        </w:rPr>
        <w:t xml:space="preserve"> ، لَيِّنُ الْعَرِيكَةِ </w:t>
      </w:r>
      <w:r w:rsidR="006C577F" w:rsidRPr="006C577F">
        <w:rPr>
          <w:rStyle w:val="libFootnotenumChar"/>
          <w:rtl/>
        </w:rPr>
        <w:t>(9)</w:t>
      </w:r>
      <w:r w:rsidRPr="00C9040A">
        <w:rPr>
          <w:rtl/>
          <w:lang w:bidi="fa-IR"/>
        </w:rPr>
        <w:t xml:space="preserve"> ، رَصِينُ </w:t>
      </w:r>
      <w:r w:rsidR="006C577F" w:rsidRPr="006C577F">
        <w:rPr>
          <w:rStyle w:val="libFootnotenumChar"/>
          <w:rtl/>
        </w:rPr>
        <w:t>(10)</w:t>
      </w:r>
      <w:r w:rsidRPr="00C9040A">
        <w:rPr>
          <w:rtl/>
          <w:lang w:bidi="fa-IR"/>
        </w:rPr>
        <w:t xml:space="preserve"> الْوَفَاءِ ، قَلِيلُ الْأَذى ، لَامُتَأَفِّكٌ </w:t>
      </w:r>
      <w:r w:rsidR="006C577F" w:rsidRPr="006C577F">
        <w:rPr>
          <w:rStyle w:val="libFootnotenumChar"/>
          <w:rtl/>
        </w:rPr>
        <w:t>(11)</w:t>
      </w:r>
      <w:r w:rsidRPr="00C9040A">
        <w:rPr>
          <w:rtl/>
          <w:lang w:bidi="fa-IR"/>
        </w:rPr>
        <w:t xml:space="preserve"> ‌</w:t>
      </w:r>
      <w:r w:rsidR="00626772">
        <w:rPr>
          <w:rFonts w:hint="cs"/>
          <w:rtl/>
          <w:lang w:bidi="fa-IR"/>
        </w:rPr>
        <w:t>.....................................................</w:t>
      </w:r>
      <w:r w:rsidR="00626772">
        <w:rPr>
          <w:rFonts w:hint="cs"/>
          <w:rtl/>
          <w:lang w:bidi="fa-IR"/>
        </w:rPr>
        <w:tab/>
      </w:r>
    </w:p>
    <w:p w:rsidR="008A74EB" w:rsidRPr="00C9040A" w:rsidRDefault="008A74EB" w:rsidP="008A74EB">
      <w:pPr>
        <w:pStyle w:val="libLine"/>
        <w:rPr>
          <w:rtl/>
          <w:lang w:bidi="fa-IR"/>
        </w:rPr>
      </w:pPr>
      <w:r w:rsidRPr="00C9040A">
        <w:rPr>
          <w:rtl/>
          <w:lang w:bidi="fa-IR"/>
        </w:rPr>
        <w:t>__________________</w:t>
      </w:r>
    </w:p>
    <w:p w:rsidR="008A74EB" w:rsidRPr="00C9040A" w:rsidRDefault="005B636A" w:rsidP="004A4E41">
      <w:pPr>
        <w:pStyle w:val="libFootnote0"/>
        <w:rPr>
          <w:rtl/>
          <w:lang w:bidi="fa-IR"/>
        </w:rPr>
      </w:pPr>
      <w:r>
        <w:rPr>
          <w:rFonts w:hint="cs"/>
          <w:rtl/>
        </w:rPr>
        <w:t xml:space="preserve">= </w:t>
      </w:r>
      <w:r w:rsidR="008A74EB" w:rsidRPr="00C9040A">
        <w:rPr>
          <w:rtl/>
        </w:rPr>
        <w:t xml:space="preserve">ما يرد عليه من الغير. </w:t>
      </w:r>
      <w:r w:rsidR="008A74EB" w:rsidRPr="00993B55">
        <w:rPr>
          <w:rStyle w:val="libFootnoteBoldChar"/>
          <w:rtl/>
        </w:rPr>
        <w:t>تاج العروس</w:t>
      </w:r>
      <w:r w:rsidR="008A74EB" w:rsidRPr="00C9040A">
        <w:rPr>
          <w:rtl/>
        </w:rPr>
        <w:t xml:space="preserve"> ، ج 18 ، ص 434 ( فطن )</w:t>
      </w:r>
      <w:r w:rsidR="008A74EB">
        <w:rPr>
          <w:rtl/>
        </w:rPr>
        <w:t>.</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 حضّه » : حثّه. </w:t>
      </w:r>
      <w:r w:rsidR="008A74EB" w:rsidRPr="00993B55">
        <w:rPr>
          <w:rStyle w:val="libFootnoteBoldChar"/>
          <w:rtl/>
        </w:rPr>
        <w:t>الصحاح</w:t>
      </w:r>
      <w:r w:rsidR="008A74EB" w:rsidRPr="00C9040A">
        <w:rPr>
          <w:rtl/>
        </w:rPr>
        <w:t xml:space="preserve"> ، ج 2 ، ص 1071 ( حضض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قوله </w:t>
      </w:r>
      <w:r w:rsidR="00117575" w:rsidRPr="00117575">
        <w:rPr>
          <w:rStyle w:val="libFootnoteAlaemChar"/>
          <w:rtl/>
        </w:rPr>
        <w:t xml:space="preserve">عليه‌السلام </w:t>
      </w:r>
      <w:r w:rsidR="008A74EB" w:rsidRPr="00C9040A">
        <w:rPr>
          <w:rtl/>
        </w:rPr>
        <w:t>: « ولاوثّاب » ، أي لايثب ولايطفر في وجوه الناس بالمنازعة والمعارضة ؛ من الوَثْب ، وهوالطَفْر ، وحيث إنّ هذه الصفة من لواز</w:t>
      </w:r>
      <w:r w:rsidR="00A66D77">
        <w:rPr>
          <w:rtl/>
        </w:rPr>
        <w:t>م الحمق وخفّة العقل فسّره العل</w:t>
      </w:r>
      <w:r w:rsidR="00A66D77">
        <w:rPr>
          <w:rFonts w:hint="cs"/>
          <w:rtl/>
        </w:rPr>
        <w:t>ّ</w:t>
      </w:r>
      <w:r w:rsidR="00A66D77">
        <w:rPr>
          <w:rtl/>
        </w:rPr>
        <w:t>ا</w:t>
      </w:r>
      <w:r w:rsidR="008A74EB" w:rsidRPr="00C9040A">
        <w:rPr>
          <w:rtl/>
        </w:rPr>
        <w:t>مة الفيض بالطيش ، حيث قال : « الوثبة : الطيش »</w:t>
      </w:r>
      <w:r w:rsidR="008A74EB">
        <w:rPr>
          <w:rtl/>
        </w:rPr>
        <w:t>.</w:t>
      </w:r>
      <w:r w:rsidR="008A74EB" w:rsidRPr="00C9040A">
        <w:rPr>
          <w:rtl/>
        </w:rPr>
        <w:t xml:space="preserve"> راجع : </w:t>
      </w:r>
      <w:r w:rsidR="008A74EB" w:rsidRPr="00993B55">
        <w:rPr>
          <w:rStyle w:val="libFootnoteBoldChar"/>
          <w:rtl/>
        </w:rPr>
        <w:t>لسان العرب</w:t>
      </w:r>
      <w:r w:rsidR="008A74EB" w:rsidRPr="00C9040A">
        <w:rPr>
          <w:rtl/>
        </w:rPr>
        <w:t xml:space="preserve"> ، ج 1 ، ص 793 ( وثب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أي يبغض الرياء.</w:t>
      </w:r>
    </w:p>
    <w:p w:rsidR="008A74EB" w:rsidRPr="00C9040A" w:rsidRDefault="006C577F" w:rsidP="004A4E41">
      <w:pPr>
        <w:pStyle w:val="libFootnote0"/>
        <w:rPr>
          <w:rtl/>
          <w:lang w:bidi="fa-IR"/>
        </w:rPr>
      </w:pPr>
      <w:r>
        <w:rPr>
          <w:rtl/>
        </w:rPr>
        <w:t>(4).</w:t>
      </w:r>
      <w:r w:rsidR="008A74EB" w:rsidRPr="00C9040A">
        <w:rPr>
          <w:rtl/>
        </w:rPr>
        <w:t xml:space="preserve"> في </w:t>
      </w:r>
      <w:r w:rsidR="008A74EB" w:rsidRPr="00993B55">
        <w:rPr>
          <w:rStyle w:val="libFootnoteBoldChar"/>
          <w:rtl/>
        </w:rPr>
        <w:t>مرآة العقول</w:t>
      </w:r>
      <w:r w:rsidR="008A74EB" w:rsidRPr="00C9040A">
        <w:rPr>
          <w:rtl/>
        </w:rPr>
        <w:t xml:space="preserve"> ، ج 9 ، ص 204 : « طويل الغمّ ، أي لما تستقبله من سكرات الموت وأحوال القبر وأهوال الآخرة. « بعيد الهمّ » إمّا تأكيد للفقرة السابقة ، فإنّ الهم</w:t>
      </w:r>
      <w:r w:rsidR="00A66D77">
        <w:rPr>
          <w:rtl/>
        </w:rPr>
        <w:t>ّ والغمّ متقاربان ، أي يهتمّ لل</w:t>
      </w:r>
      <w:r w:rsidR="008A74EB" w:rsidRPr="00C9040A">
        <w:rPr>
          <w:rtl/>
        </w:rPr>
        <w:t>ا</w:t>
      </w:r>
      <w:r w:rsidR="00A66D77">
        <w:rPr>
          <w:rFonts w:hint="cs"/>
          <w:rtl/>
        </w:rPr>
        <w:t>ُ</w:t>
      </w:r>
      <w:r w:rsidR="008A74EB" w:rsidRPr="00C9040A">
        <w:rPr>
          <w:rtl/>
        </w:rPr>
        <w:t>مور البعيدة عنه من ا</w:t>
      </w:r>
      <w:r w:rsidR="00A66D77">
        <w:rPr>
          <w:rFonts w:hint="cs"/>
          <w:rtl/>
        </w:rPr>
        <w:t>ُ</w:t>
      </w:r>
      <w:r w:rsidR="008A74EB" w:rsidRPr="00C9040A">
        <w:rPr>
          <w:rtl/>
        </w:rPr>
        <w:t>مور الآخرة. أو المراد بالهمّ القصد ، أي هو عالي الهمّة لايرضى بالدون من الدنيا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بف » : « كثير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w:t>
      </w:r>
      <w:r w:rsidR="008A74EB" w:rsidRPr="00993B55">
        <w:rPr>
          <w:rStyle w:val="libFootnoteBoldChar"/>
          <w:rtl/>
        </w:rPr>
        <w:t>المرآة</w:t>
      </w:r>
      <w:r w:rsidR="008A74EB" w:rsidRPr="00C9040A">
        <w:rPr>
          <w:rtl/>
        </w:rPr>
        <w:t xml:space="preserve"> : « أي ذو وقار ورزانة ، لايستعجل في الامور ، ولايبادر في الغضب ، ولا تجرّه الشهوات إلى ما لاينبغي فعله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w:t>
      </w:r>
      <w:r w:rsidR="006D3162">
        <w:rPr>
          <w:rtl/>
        </w:rPr>
        <w:t xml:space="preserve">ه </w:t>
      </w:r>
      <w:r w:rsidR="008A74EB" w:rsidRPr="00C9040A">
        <w:rPr>
          <w:rtl/>
        </w:rPr>
        <w:t>» : « مشهور »</w:t>
      </w:r>
      <w:r w:rsidR="008A74EB">
        <w:rPr>
          <w:rtl/>
        </w:rPr>
        <w:t>.</w:t>
      </w:r>
      <w:r w:rsidR="008A74EB" w:rsidRPr="00C9040A">
        <w:rPr>
          <w:rtl/>
        </w:rPr>
        <w:t xml:space="preserve"> وفي </w:t>
      </w:r>
      <w:r w:rsidR="008A74EB" w:rsidRPr="00993B55">
        <w:rPr>
          <w:rStyle w:val="libFootnoteBoldChar"/>
          <w:rtl/>
        </w:rPr>
        <w:t>المرآة</w:t>
      </w:r>
      <w:r w:rsidR="008A74EB" w:rsidRPr="00C9040A">
        <w:rPr>
          <w:rtl/>
        </w:rPr>
        <w:t xml:space="preserve"> : « مغموم بفكره ، أي بسبب فكره في ا</w:t>
      </w:r>
      <w:r w:rsidR="00A66D77">
        <w:rPr>
          <w:rFonts w:hint="cs"/>
          <w:rtl/>
        </w:rPr>
        <w:t>ُ</w:t>
      </w:r>
      <w:r w:rsidR="008A74EB" w:rsidRPr="00C9040A">
        <w:rPr>
          <w:rtl/>
        </w:rPr>
        <w:t>مور الآخرة. « مسرور بفقره » لعلمه بقلّةخطره ، ويسر الحساب في الآخرة ، وقلّة تكاليف الله فيه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 الخليقة » : الخُلُق ، والخليقة : الطبيعة. والجمع : الخلائق. أي ليس في طبعه خشونة وغلظة. راجع : </w:t>
      </w:r>
      <w:r w:rsidR="008A74EB" w:rsidRPr="00993B55">
        <w:rPr>
          <w:rStyle w:val="libFootnoteBoldChar"/>
          <w:rtl/>
        </w:rPr>
        <w:t>ترتيب كتاب العين</w:t>
      </w:r>
      <w:r w:rsidR="008A74EB" w:rsidRPr="00C9040A">
        <w:rPr>
          <w:rtl/>
        </w:rPr>
        <w:t xml:space="preserve"> ، ج 1 ، ص 521 ( خلق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 العَريكة » : الطبيعة. وفلان ليِّن العريكة : إذا كان سلساً مطاوعاً منقاداً قليل الخلاف والنُّفور. </w:t>
      </w:r>
      <w:r w:rsidR="008A74EB" w:rsidRPr="00993B55">
        <w:rPr>
          <w:rStyle w:val="libFootnoteBoldChar"/>
          <w:rtl/>
        </w:rPr>
        <w:t>النهاية</w:t>
      </w:r>
      <w:r w:rsidR="008A74EB" w:rsidRPr="00C9040A">
        <w:rPr>
          <w:rtl/>
        </w:rPr>
        <w:t xml:space="preserve"> ، ج 3 ، ص 222 ( عرك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رصنتُ الشي‌ءَ أرصنُه رَصناً : أكملتُه. وأرصنته : أحكمتُه. والرَّصين : المحكم الثابت. </w:t>
      </w:r>
      <w:r w:rsidR="008A74EB" w:rsidRPr="00993B55">
        <w:rPr>
          <w:rStyle w:val="libFootnoteBoldChar"/>
          <w:rtl/>
        </w:rPr>
        <w:t>الصحاح</w:t>
      </w:r>
      <w:r w:rsidR="008A74EB" w:rsidRPr="00C9040A">
        <w:rPr>
          <w:rtl/>
        </w:rPr>
        <w:t xml:space="preserve"> ، ج 5 ، ص 2144 ( رصن )</w:t>
      </w:r>
      <w:r w:rsidR="008A74EB">
        <w:rPr>
          <w:rtl/>
        </w:rPr>
        <w:t>.</w:t>
      </w:r>
      <w:r w:rsidR="008A74EB" w:rsidRPr="00C9040A">
        <w:rPr>
          <w:rtl/>
        </w:rPr>
        <w:t xml:space="preserve"> وقال في </w:t>
      </w:r>
      <w:r w:rsidR="008A74EB" w:rsidRPr="00993B55">
        <w:rPr>
          <w:rStyle w:val="libFootnoteBoldChar"/>
          <w:rtl/>
        </w:rPr>
        <w:t>المرآة</w:t>
      </w:r>
      <w:r w:rsidR="008A74EB" w:rsidRPr="00C9040A">
        <w:rPr>
          <w:rtl/>
        </w:rPr>
        <w:t xml:space="preserve"> : « وما في بعض نسخ </w:t>
      </w:r>
      <w:r w:rsidR="008A74EB" w:rsidRPr="00993B55">
        <w:rPr>
          <w:rStyle w:val="libFootnoteBoldChar"/>
          <w:rtl/>
        </w:rPr>
        <w:t>الكافي</w:t>
      </w:r>
      <w:r w:rsidR="008A74EB" w:rsidRPr="00C9040A">
        <w:rPr>
          <w:rtl/>
        </w:rPr>
        <w:t xml:space="preserve"> بالضاد المعجمة تصحيف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في حاشية « بف » : « مُتَفتِّك »</w:t>
      </w:r>
      <w:r w:rsidR="008A74EB">
        <w:rPr>
          <w:rtl/>
        </w:rPr>
        <w:t>.</w:t>
      </w:r>
      <w:r w:rsidR="008A74EB" w:rsidRPr="00C9040A">
        <w:rPr>
          <w:rtl/>
        </w:rPr>
        <w:t xml:space="preserve"> </w:t>
      </w:r>
      <w:r w:rsidR="008A74EB">
        <w:rPr>
          <w:rtl/>
        </w:rPr>
        <w:t>و «</w:t>
      </w:r>
      <w:r w:rsidR="008A74EB" w:rsidRPr="00C9040A">
        <w:rPr>
          <w:rtl/>
        </w:rPr>
        <w:t xml:space="preserve"> المتأفّك » : من لا يبالي أن ينسب إليه الإفك ، أي‌الكذب ؛ قاله المازندراني. وأمّا المجلسي ، فإنّه قال : « كأنّه مبالغة في الإفك بمعنى الكذب ، أي‌لا يكذب كثيراً ، أو المعنى لا يكذب على </w:t>
      </w:r>
      <w:r w:rsidR="00A66D77">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وَلَا مُتَهَتِّكٌ </w:t>
      </w:r>
      <w:r w:rsidR="006C577F" w:rsidRPr="006C577F">
        <w:rPr>
          <w:rStyle w:val="libFootnotenumChar"/>
          <w:rtl/>
        </w:rPr>
        <w:t>(1)</w:t>
      </w:r>
      <w:r w:rsidR="00E269B5" w:rsidRPr="00E269B5">
        <w:rPr>
          <w:rStyle w:val="libNormalChar"/>
          <w:rFonts w:hint="cs"/>
          <w:rtl/>
        </w:rPr>
        <w:t>.</w:t>
      </w:r>
    </w:p>
    <w:p w:rsidR="008A74EB" w:rsidRPr="00C9040A" w:rsidRDefault="008A74EB" w:rsidP="00E269B5">
      <w:pPr>
        <w:pStyle w:val="libNormal"/>
        <w:rPr>
          <w:rtl/>
          <w:lang w:bidi="fa-IR"/>
        </w:rPr>
      </w:pPr>
      <w:r w:rsidRPr="00C9040A">
        <w:rPr>
          <w:rtl/>
          <w:lang w:bidi="fa-IR"/>
        </w:rPr>
        <w:t xml:space="preserve">إِنْ ضَحِكَ لَمْ يَخْرَقْ </w:t>
      </w:r>
      <w:r w:rsidR="006C577F" w:rsidRPr="006C577F">
        <w:rPr>
          <w:rStyle w:val="libFootnotenumChar"/>
          <w:rtl/>
        </w:rPr>
        <w:t>(2)</w:t>
      </w:r>
      <w:r w:rsidRPr="00C9040A">
        <w:rPr>
          <w:rtl/>
          <w:lang w:bidi="fa-IR"/>
        </w:rPr>
        <w:t xml:space="preserve"> ، وَإِنْ غَضِبَ لَمْ يَنْزَقْ </w:t>
      </w:r>
      <w:r w:rsidR="006C577F" w:rsidRPr="006C577F">
        <w:rPr>
          <w:rStyle w:val="libFootnotenumChar"/>
          <w:rtl/>
        </w:rPr>
        <w:t>(3)</w:t>
      </w:r>
      <w:r w:rsidRPr="00C9040A">
        <w:rPr>
          <w:rtl/>
          <w:lang w:bidi="fa-IR"/>
        </w:rPr>
        <w:t xml:space="preserve"> ؛ ضِحْكُهُ تَبَسُّمٌ ، وَاسْتِفْهَامُهُ تَعَلُّمٌ ، وَمُرَاجَعَتُهُ تَفَهُّمٌ ، كَثِيرٌ عِلْمُهُ ، عَظِيمٌ حِلْمُهُ ، كَثِيرُ الرَّحْمَةِ ، لَايَبْخَلُ </w:t>
      </w:r>
      <w:r w:rsidR="006C577F" w:rsidRPr="006C577F">
        <w:rPr>
          <w:rStyle w:val="libFootnotenumChar"/>
          <w:rtl/>
        </w:rPr>
        <w:t>(4)</w:t>
      </w:r>
      <w:r w:rsidRPr="00C9040A">
        <w:rPr>
          <w:rtl/>
          <w:lang w:bidi="fa-IR"/>
        </w:rPr>
        <w:t xml:space="preserve"> ، وَلَا يَعْجَلُ ، وَلَا يَضْجَرُ </w:t>
      </w:r>
      <w:r w:rsidR="006C577F" w:rsidRPr="006C577F">
        <w:rPr>
          <w:rStyle w:val="libFootnotenumChar"/>
          <w:rtl/>
        </w:rPr>
        <w:t>(5)</w:t>
      </w:r>
      <w:r w:rsidRPr="00C9040A">
        <w:rPr>
          <w:rtl/>
          <w:lang w:bidi="fa-IR"/>
        </w:rPr>
        <w:t xml:space="preserve"> ، وَلَا يَبْطَرُ </w:t>
      </w:r>
      <w:r w:rsidR="006C577F" w:rsidRPr="006C577F">
        <w:rPr>
          <w:rStyle w:val="libFootnotenumChar"/>
          <w:rtl/>
        </w:rPr>
        <w:t>(6)</w:t>
      </w:r>
      <w:r w:rsidR="00E269B5" w:rsidRPr="00C9040A">
        <w:rPr>
          <w:rtl/>
          <w:lang w:bidi="fa-IR"/>
        </w:rPr>
        <w:t xml:space="preserve"> </w:t>
      </w:r>
      <w:r w:rsidRPr="00C9040A">
        <w:rPr>
          <w:rtl/>
          <w:lang w:bidi="fa-IR"/>
        </w:rPr>
        <w:t xml:space="preserve">، وَلَا يَحِيفُ </w:t>
      </w:r>
      <w:r w:rsidR="006C577F" w:rsidRPr="006C577F">
        <w:rPr>
          <w:rStyle w:val="libFootnotenumChar"/>
          <w:rtl/>
        </w:rPr>
        <w:t>(7)</w:t>
      </w:r>
      <w:r w:rsidRPr="00C9040A">
        <w:rPr>
          <w:rtl/>
          <w:lang w:bidi="fa-IR"/>
        </w:rPr>
        <w:t xml:space="preserve"> فِي حُكْمِهِ ، وَلَا يَجُورُ </w:t>
      </w:r>
      <w:r w:rsidR="006C577F" w:rsidRPr="006C577F">
        <w:rPr>
          <w:rStyle w:val="libFootnotenumChar"/>
          <w:rtl/>
        </w:rPr>
        <w:t>(8)</w:t>
      </w:r>
      <w:r w:rsidRPr="00C9040A">
        <w:rPr>
          <w:rtl/>
          <w:lang w:bidi="fa-IR"/>
        </w:rPr>
        <w:t xml:space="preserve"> فِي عِلْمِهِ ، نَفْسُهُ أَصْلَبُ مِنَ الصَّلْدِ </w:t>
      </w:r>
      <w:r w:rsidR="006C577F" w:rsidRPr="006C577F">
        <w:rPr>
          <w:rStyle w:val="libFootnotenumChar"/>
          <w:rtl/>
        </w:rPr>
        <w:t>(9)</w:t>
      </w:r>
      <w:r w:rsidRPr="00C9040A">
        <w:rPr>
          <w:rtl/>
          <w:lang w:bidi="fa-IR"/>
        </w:rPr>
        <w:t xml:space="preserve"> ، وَمُكَادَحَتُهُ </w:t>
      </w:r>
      <w:r w:rsidR="006C577F" w:rsidRPr="006C577F">
        <w:rPr>
          <w:rStyle w:val="libFootnotenumChar"/>
          <w:rtl/>
        </w:rPr>
        <w:t>(10)</w:t>
      </w:r>
      <w:r w:rsidRPr="00C9040A">
        <w:rPr>
          <w:rtl/>
          <w:lang w:bidi="fa-IR"/>
        </w:rPr>
        <w:t xml:space="preserve"> أَحْلى مِنَ الشَّهْدِ ،</w:t>
      </w:r>
      <w:r w:rsidR="00E269B5">
        <w:rPr>
          <w:rFonts w:hint="cs"/>
          <w:rtl/>
          <w:lang w:bidi="fa-IR"/>
        </w:rPr>
        <w:t>...........................................</w:t>
      </w:r>
      <w:r w:rsidR="00E269B5">
        <w:rPr>
          <w:rFonts w:hint="cs"/>
          <w:rtl/>
          <w:lang w:bidi="fa-IR"/>
        </w:rPr>
        <w:tab/>
      </w:r>
    </w:p>
    <w:p w:rsidR="008A74EB" w:rsidRPr="00C9040A" w:rsidRDefault="008A74EB" w:rsidP="008A74EB">
      <w:pPr>
        <w:pStyle w:val="libLine"/>
        <w:rPr>
          <w:rtl/>
          <w:lang w:bidi="fa-IR"/>
        </w:rPr>
      </w:pPr>
      <w:r w:rsidRPr="00C9040A">
        <w:rPr>
          <w:rtl/>
          <w:lang w:bidi="fa-IR"/>
        </w:rPr>
        <w:t>__________________</w:t>
      </w:r>
    </w:p>
    <w:p w:rsidR="008A74EB" w:rsidRPr="00C9040A" w:rsidRDefault="00E269B5" w:rsidP="004A4E41">
      <w:pPr>
        <w:pStyle w:val="libFootnote0"/>
        <w:rPr>
          <w:rtl/>
          <w:lang w:bidi="fa-IR"/>
        </w:rPr>
      </w:pPr>
      <w:r>
        <w:rPr>
          <w:rFonts w:hint="cs"/>
          <w:rtl/>
        </w:rPr>
        <w:t xml:space="preserve">= </w:t>
      </w:r>
      <w:r w:rsidR="008A74EB" w:rsidRPr="00C9040A">
        <w:rPr>
          <w:rtl/>
        </w:rPr>
        <w:t>الناس. وفي بعض النسخ : لا مستأفك ، أي‌لا يكذب على الناس فيكذبوا عليه ، فكأنّه طلب منهم الإفك »</w:t>
      </w:r>
      <w:r w:rsidR="008A74EB">
        <w:rPr>
          <w:rtl/>
        </w:rPr>
        <w:t>.</w:t>
      </w:r>
      <w:r w:rsidR="008A74EB" w:rsidRPr="00C9040A">
        <w:rPr>
          <w:rtl/>
        </w:rPr>
        <w:t xml:space="preserve"> راجع : </w:t>
      </w:r>
      <w:r w:rsidR="008A74EB" w:rsidRPr="00993B55">
        <w:rPr>
          <w:rStyle w:val="libFootnoteBoldChar"/>
          <w:rtl/>
        </w:rPr>
        <w:t>شرح المازندراني</w:t>
      </w:r>
      <w:r w:rsidR="008A74EB" w:rsidRPr="00C9040A">
        <w:rPr>
          <w:rtl/>
        </w:rPr>
        <w:t xml:space="preserve"> ، ج 9 ، ص 130 ؛ </w:t>
      </w:r>
      <w:r w:rsidR="008A74EB" w:rsidRPr="00993B55">
        <w:rPr>
          <w:rStyle w:val="libFootnoteBoldChar"/>
          <w:rtl/>
        </w:rPr>
        <w:t>مرآة العقول</w:t>
      </w:r>
      <w:r w:rsidR="008A74EB" w:rsidRPr="00C9040A">
        <w:rPr>
          <w:rtl/>
        </w:rPr>
        <w:t xml:space="preserve"> ، ج 9 ، ص 206.</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هتك السِّترَ وغيرَه يَهْتكه فانهتك وتهتّك : جذبه فقطعه من موضعه ، أو شقّ منه جزءاً فبدا ماوراءه. ورجل مُنْهَتِكٌ ومُتَهتِّك ومُسْتَهْتِكٌ : لا يبالي أن يُهتَك ستره. </w:t>
      </w:r>
      <w:r w:rsidR="008A74EB" w:rsidRPr="00993B55">
        <w:rPr>
          <w:rStyle w:val="libFootnoteBoldChar"/>
          <w:rtl/>
        </w:rPr>
        <w:t>القاموس المحيط</w:t>
      </w:r>
      <w:r w:rsidR="008A74EB" w:rsidRPr="00C9040A">
        <w:rPr>
          <w:rtl/>
        </w:rPr>
        <w:t xml:space="preserve"> ، ج 2 ، ص 1267 ( هتك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 لم يخرق » من الخَرْق بمعنى الشقّ ، والمعنى : إن ضحك لم يشقّ فاه ولم يفتحه كثيراً حتّى يبلغ القهقهة كماهو شأن الكرماء ، أو من الخُرْق والخَرَق بمعنى الحمق ، والمعنى : لا يبالغ في الضحك حتّى ينتهي إلى الخرق والسفه والحمق ، بل يقتصر على التبسّم. راجع : </w:t>
      </w:r>
      <w:r w:rsidR="008A74EB" w:rsidRPr="00993B55">
        <w:rPr>
          <w:rStyle w:val="libFootnoteBoldChar"/>
          <w:rtl/>
        </w:rPr>
        <w:t>القاموس المحيط</w:t>
      </w:r>
      <w:r w:rsidR="008A74EB" w:rsidRPr="00C9040A">
        <w:rPr>
          <w:rtl/>
        </w:rPr>
        <w:t xml:space="preserve"> ، ج 2 ، ص 1167 ( خرق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 النَّزق » : خِفّةٌ في كلّ أمر ، وعجلة في جهل وحمق. </w:t>
      </w:r>
      <w:r w:rsidR="008A74EB" w:rsidRPr="00993B55">
        <w:rPr>
          <w:rStyle w:val="libFootnoteBoldChar"/>
          <w:rtl/>
        </w:rPr>
        <w:t>ترتيب الكتاب العين</w:t>
      </w:r>
      <w:r w:rsidR="008A74EB" w:rsidRPr="00C9040A">
        <w:rPr>
          <w:rtl/>
        </w:rPr>
        <w:t xml:space="preserve"> ، ج 3 ، ص 1780 ( نزق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حاشية « ج » : « ولا يبخل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 وربّما يقرأ بالنون ثمّ الجيم من النجل ، وهو الرمي بالشي‌ء ، أي لا يرمي بالكلام من غير رويّة. وهو تصحيف »</w:t>
      </w:r>
      <w:r w:rsidR="008A74EB">
        <w:rPr>
          <w:rtl/>
        </w:rPr>
        <w:t>.</w:t>
      </w:r>
      <w:r w:rsidR="008A74EB" w:rsidRPr="00C9040A">
        <w:rPr>
          <w:rtl/>
        </w:rPr>
        <w:t xml:space="preserve"> راجع أيضاً : </w:t>
      </w:r>
      <w:r w:rsidR="008A74EB" w:rsidRPr="00993B55">
        <w:rPr>
          <w:rStyle w:val="libFootnoteBoldChar"/>
          <w:rtl/>
        </w:rPr>
        <w:t>البحار</w:t>
      </w:r>
      <w:r w:rsidR="008A74EB" w:rsidRPr="00C9040A">
        <w:rPr>
          <w:rtl/>
        </w:rPr>
        <w:t xml:space="preserve"> ، ج 67 ، ص 371.</w:t>
      </w:r>
    </w:p>
    <w:p w:rsidR="008A74EB" w:rsidRPr="00C9040A" w:rsidRDefault="006C577F" w:rsidP="004A4E41">
      <w:pPr>
        <w:pStyle w:val="libFootnote0"/>
        <w:rPr>
          <w:rtl/>
          <w:lang w:bidi="fa-IR"/>
        </w:rPr>
      </w:pPr>
      <w:r>
        <w:rPr>
          <w:rtl/>
        </w:rPr>
        <w:t>(5).</w:t>
      </w:r>
      <w:r w:rsidR="008A74EB" w:rsidRPr="00C9040A">
        <w:rPr>
          <w:rtl/>
        </w:rPr>
        <w:t xml:space="preserve"> الضَجْر : القلق والاضطراب من الغمّ ، يقال : ضجر من الشي‌ء ، أي اغتمّ وقلق واضطرب منه. راجع : </w:t>
      </w:r>
      <w:r w:rsidR="008A74EB" w:rsidRPr="00993B55">
        <w:rPr>
          <w:rStyle w:val="libFootnoteBoldChar"/>
          <w:rtl/>
        </w:rPr>
        <w:t>الصحاح</w:t>
      </w:r>
      <w:r w:rsidR="008A74EB" w:rsidRPr="00C9040A">
        <w:rPr>
          <w:rtl/>
        </w:rPr>
        <w:t xml:space="preserve"> ، ج 2 ، ص 719 ؛ </w:t>
      </w:r>
      <w:r w:rsidR="008A74EB" w:rsidRPr="00993B55">
        <w:rPr>
          <w:rStyle w:val="libFootnoteBoldChar"/>
          <w:rtl/>
        </w:rPr>
        <w:t>مجمع البحرين</w:t>
      </w:r>
      <w:r w:rsidR="008A74EB" w:rsidRPr="00C9040A">
        <w:rPr>
          <w:rtl/>
        </w:rPr>
        <w:t xml:space="preserve"> ، ج 3 ، ص 371 ( ضجر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البَطَر : الأَشَر ، وهو شدّة الفرح ، والنشاط ، وقلّة احتمال النعمة ، والدهش ، والحيرة ، والطغيان عند النعمة وطول الغنى ، وكراهية الشي‌ء من غير أن يستحقّ الكراهة ؛ وفعل الكلّ : كفرح. راجع : </w:t>
      </w:r>
      <w:r w:rsidR="008A74EB" w:rsidRPr="00993B55">
        <w:rPr>
          <w:rStyle w:val="libFootnoteBoldChar"/>
          <w:rtl/>
        </w:rPr>
        <w:t>الصحاح</w:t>
      </w:r>
      <w:r w:rsidR="008A74EB" w:rsidRPr="00C9040A">
        <w:rPr>
          <w:rtl/>
        </w:rPr>
        <w:t xml:space="preserve"> ، ج 2 ، ص 592 ؛ </w:t>
      </w:r>
      <w:r w:rsidR="008A74EB" w:rsidRPr="00993B55">
        <w:rPr>
          <w:rStyle w:val="libFootnoteBoldChar"/>
          <w:rtl/>
        </w:rPr>
        <w:t>النهاية</w:t>
      </w:r>
      <w:r w:rsidR="008A74EB" w:rsidRPr="00C9040A">
        <w:rPr>
          <w:rtl/>
        </w:rPr>
        <w:t xml:space="preserve"> ، ج 1 ، ص 135 ؛ </w:t>
      </w:r>
      <w:r w:rsidR="008A74EB" w:rsidRPr="00993B55">
        <w:rPr>
          <w:rStyle w:val="libFootnoteBoldChar"/>
          <w:rtl/>
        </w:rPr>
        <w:t>القاموس المحيط</w:t>
      </w:r>
      <w:r w:rsidR="008A74EB" w:rsidRPr="00C9040A">
        <w:rPr>
          <w:rtl/>
        </w:rPr>
        <w:t xml:space="preserve"> ، ج 1 ، ص 503 ( بطر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حاف يحيف حَيْفاً : جار وظَلَم ، وسواء كان حاكماً أو غير حاكم ، فهو حائف. </w:t>
      </w:r>
      <w:r w:rsidR="008A74EB" w:rsidRPr="00993B55">
        <w:rPr>
          <w:rStyle w:val="libFootnoteBoldChar"/>
          <w:rtl/>
        </w:rPr>
        <w:t>المصباح المنير</w:t>
      </w:r>
      <w:r w:rsidR="008A74EB" w:rsidRPr="00C9040A">
        <w:rPr>
          <w:rtl/>
        </w:rPr>
        <w:t xml:space="preserve"> ، ص 159 ( حيف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w:t>
      </w:r>
      <w:r w:rsidR="008A74EB" w:rsidRPr="00993B55">
        <w:rPr>
          <w:rStyle w:val="libFootnoteBoldChar"/>
          <w:rtl/>
        </w:rPr>
        <w:t>مرآة العقول</w:t>
      </w:r>
      <w:r w:rsidR="008A74EB" w:rsidRPr="00C9040A">
        <w:rPr>
          <w:rtl/>
        </w:rPr>
        <w:t xml:space="preserve"> : « أي لايظلم أحداً بسبب علمه وربّما يقرأ : يجوز ، بالزاى ، أي‌لا يتجاوز عن العلم الضروري إلى غيره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حجرٌ صَلْد : صُلْب أملس. كناية عن شدّة تحمّله للميثاق ، أو عن عدم عدوله عن الحقّ. راجع : </w:t>
      </w:r>
      <w:r w:rsidR="008A74EB" w:rsidRPr="00993B55">
        <w:rPr>
          <w:rStyle w:val="libFootnoteBoldChar"/>
          <w:rtl/>
        </w:rPr>
        <w:t>الصحاح</w:t>
      </w:r>
      <w:r w:rsidR="008A74EB" w:rsidRPr="00C9040A">
        <w:rPr>
          <w:rtl/>
        </w:rPr>
        <w:t xml:space="preserve"> ، ج 2 ، ص 498 ( صلد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 الكَدْح » : العمل والسعي والكسب ، يقال : هو يَكدَح في كذا ، أي‌ي</w:t>
      </w:r>
      <w:r w:rsidR="00AC6EC2">
        <w:rPr>
          <w:rtl/>
        </w:rPr>
        <w:t>َكِدّ. وهو يكدح لعياله وتكتدح،</w:t>
      </w:r>
      <w:r w:rsidR="008A74EB" w:rsidRPr="00C9040A">
        <w:rPr>
          <w:rtl/>
        </w:rPr>
        <w:t>أي‌</w:t>
      </w:r>
      <w:r w:rsidR="00AC6EC2">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DB4E6A">
      <w:pPr>
        <w:pStyle w:val="libNormal0"/>
        <w:rPr>
          <w:rtl/>
          <w:lang w:bidi="fa-IR"/>
        </w:rPr>
      </w:pPr>
      <w:r w:rsidRPr="00C9040A">
        <w:rPr>
          <w:rtl/>
          <w:lang w:bidi="fa-IR"/>
        </w:rPr>
        <w:t xml:space="preserve">لَاجَشِعٌ </w:t>
      </w:r>
      <w:r w:rsidR="006C577F" w:rsidRPr="006C577F">
        <w:rPr>
          <w:rStyle w:val="libFootnotenumChar"/>
          <w:rtl/>
        </w:rPr>
        <w:t>(1)</w:t>
      </w:r>
      <w:r w:rsidRPr="00C9040A">
        <w:rPr>
          <w:rtl/>
          <w:lang w:bidi="fa-IR"/>
        </w:rPr>
        <w:t xml:space="preserve"> ، وَلَا هَلِعٌ </w:t>
      </w:r>
      <w:r w:rsidR="006C577F" w:rsidRPr="006C577F">
        <w:rPr>
          <w:rStyle w:val="libFootnotenumChar"/>
          <w:rtl/>
        </w:rPr>
        <w:t>(2)</w:t>
      </w:r>
      <w:r w:rsidRPr="00C9040A">
        <w:rPr>
          <w:rtl/>
          <w:lang w:bidi="fa-IR"/>
        </w:rPr>
        <w:t xml:space="preserve"> ، وَلَا عَنِفٌ </w:t>
      </w:r>
      <w:r w:rsidR="006C577F" w:rsidRPr="006C577F">
        <w:rPr>
          <w:rStyle w:val="libFootnotenumChar"/>
          <w:rtl/>
        </w:rPr>
        <w:t>(3)</w:t>
      </w:r>
      <w:r w:rsidRPr="00C9040A">
        <w:rPr>
          <w:rtl/>
          <w:lang w:bidi="fa-IR"/>
        </w:rPr>
        <w:t xml:space="preserve"> ، وَلَا صَلِفٌ </w:t>
      </w:r>
      <w:r w:rsidR="006C577F" w:rsidRPr="006C577F">
        <w:rPr>
          <w:rStyle w:val="libFootnotenumChar"/>
          <w:rtl/>
        </w:rPr>
        <w:t>(4)</w:t>
      </w:r>
      <w:r w:rsidRPr="00C9040A">
        <w:rPr>
          <w:rtl/>
          <w:lang w:bidi="fa-IR"/>
        </w:rPr>
        <w:t xml:space="preserve"> ، وَلَا مُتَكَلِّفٌ ، وَلَا مُتَعَمِّقٌ </w:t>
      </w:r>
      <w:r w:rsidR="006C577F" w:rsidRPr="006C577F">
        <w:rPr>
          <w:rStyle w:val="libFootnotenumChar"/>
          <w:rtl/>
        </w:rPr>
        <w:t>(5)</w:t>
      </w:r>
      <w:r w:rsidRPr="00C9040A">
        <w:rPr>
          <w:rtl/>
          <w:lang w:bidi="fa-IR"/>
        </w:rPr>
        <w:t xml:space="preserve"> ، جَمِيلُ الْمُنَازَعَةِ </w:t>
      </w:r>
      <w:r w:rsidR="006C577F" w:rsidRPr="006C577F">
        <w:rPr>
          <w:rStyle w:val="libFootnotenumChar"/>
          <w:rtl/>
        </w:rPr>
        <w:t>(6)</w:t>
      </w:r>
      <w:r w:rsidR="00DB4E6A" w:rsidRPr="00C9040A">
        <w:rPr>
          <w:rtl/>
          <w:lang w:bidi="fa-IR"/>
        </w:rPr>
        <w:t xml:space="preserve"> </w:t>
      </w:r>
      <w:r w:rsidRPr="00C9040A">
        <w:rPr>
          <w:rtl/>
          <w:lang w:bidi="fa-IR"/>
        </w:rPr>
        <w:t xml:space="preserve">، كَرِيمُ الْمُرَاجَعَةِ ، عَدْلٌ إِنْ غَضِبَ ، رَفِيقٌ إِنْ طَلَبَ </w:t>
      </w:r>
      <w:r w:rsidR="006C577F" w:rsidRPr="006C577F">
        <w:rPr>
          <w:rStyle w:val="libFootnotenumChar"/>
          <w:rtl/>
        </w:rPr>
        <w:t>(7)</w:t>
      </w:r>
      <w:r w:rsidRPr="00C9040A">
        <w:rPr>
          <w:rtl/>
          <w:lang w:bidi="fa-IR"/>
        </w:rPr>
        <w:t xml:space="preserve"> ، لَايَتَهَوَّرُ </w:t>
      </w:r>
      <w:r w:rsidR="006C577F" w:rsidRPr="006C577F">
        <w:rPr>
          <w:rStyle w:val="libFootnotenumChar"/>
          <w:rtl/>
        </w:rPr>
        <w:t>(8)</w:t>
      </w:r>
      <w:r w:rsidRPr="00C9040A">
        <w:rPr>
          <w:rtl/>
          <w:lang w:bidi="fa-IR"/>
        </w:rPr>
        <w:t xml:space="preserve"> ، وَلَا يَتَهَتَّكُ ، وَلَا يَتَجَبَّرُ ، خَالِصُ الْوُدِّ ، وَثِيقُ الْعَهْدِ ، وَفِيُّ الْعَقْدِ ، شَفِيقٌ ، وَصُولٌ ، حَلِيمٌ ، خَمُولٌ </w:t>
      </w:r>
      <w:r w:rsidR="006C577F" w:rsidRPr="006C577F">
        <w:rPr>
          <w:rStyle w:val="libFootnotenumChar"/>
          <w:rtl/>
        </w:rPr>
        <w:t>(9)</w:t>
      </w:r>
      <w:r w:rsidRPr="00C9040A">
        <w:rPr>
          <w:rtl/>
          <w:lang w:bidi="fa-IR"/>
        </w:rPr>
        <w:t xml:space="preserve"> ، قَلِيلُ الْفُضُولِ </w:t>
      </w:r>
      <w:r w:rsidR="006C577F" w:rsidRPr="006C577F">
        <w:rPr>
          <w:rStyle w:val="libFootnotenumChar"/>
          <w:rtl/>
        </w:rPr>
        <w:t>(10)</w:t>
      </w:r>
      <w:r w:rsidRPr="00C9040A">
        <w:rPr>
          <w:rtl/>
          <w:lang w:bidi="fa-IR"/>
        </w:rPr>
        <w:t xml:space="preserve"> ، رَاضٍ عَنِ اللهِ عَزَّ وَجَلَّ ، مُخَالِفٌ لِهَوَاهُ ،</w:t>
      </w:r>
      <w:r w:rsidR="00DB4E6A">
        <w:rPr>
          <w:rFonts w:hint="cs"/>
          <w:rtl/>
          <w:lang w:bidi="fa-IR"/>
        </w:rPr>
        <w:t>.............................</w:t>
      </w:r>
      <w:r w:rsidR="00DB4E6A">
        <w:rPr>
          <w:rFonts w:hint="cs"/>
          <w:rtl/>
          <w:lang w:bidi="fa-IR"/>
        </w:rPr>
        <w:tab/>
      </w:r>
    </w:p>
    <w:p w:rsidR="008A74EB" w:rsidRPr="00C9040A" w:rsidRDefault="008A74EB" w:rsidP="008A74EB">
      <w:pPr>
        <w:pStyle w:val="libLine"/>
        <w:rPr>
          <w:rtl/>
          <w:lang w:bidi="fa-IR"/>
        </w:rPr>
      </w:pPr>
      <w:r w:rsidRPr="00C9040A">
        <w:rPr>
          <w:rtl/>
          <w:lang w:bidi="fa-IR"/>
        </w:rPr>
        <w:t>__________________</w:t>
      </w:r>
    </w:p>
    <w:p w:rsidR="008A74EB" w:rsidRPr="00C9040A" w:rsidRDefault="00DB4E6A" w:rsidP="004A4E41">
      <w:pPr>
        <w:pStyle w:val="libFootnote0"/>
        <w:rPr>
          <w:rtl/>
          <w:lang w:bidi="fa-IR"/>
        </w:rPr>
      </w:pPr>
      <w:r>
        <w:rPr>
          <w:rFonts w:hint="cs"/>
          <w:rtl/>
        </w:rPr>
        <w:t xml:space="preserve">= </w:t>
      </w:r>
      <w:r w:rsidR="008A74EB" w:rsidRPr="00C9040A">
        <w:rPr>
          <w:rtl/>
        </w:rPr>
        <w:t xml:space="preserve">يكتسب لهم. </w:t>
      </w:r>
      <w:r w:rsidR="008A74EB" w:rsidRPr="00993B55">
        <w:rPr>
          <w:rStyle w:val="libFootnoteBoldChar"/>
          <w:rtl/>
        </w:rPr>
        <w:t>الصحاح</w:t>
      </w:r>
      <w:r w:rsidR="008A74EB" w:rsidRPr="00C9040A">
        <w:rPr>
          <w:rtl/>
        </w:rPr>
        <w:t xml:space="preserve"> ، ج 1 ، ص 398 ( كدح )</w:t>
      </w:r>
      <w:r w:rsidR="008A74EB">
        <w:rPr>
          <w:rtl/>
        </w:rPr>
        <w:t>.</w:t>
      </w:r>
    </w:p>
    <w:p w:rsidR="008A74EB" w:rsidRDefault="008A74EB" w:rsidP="004A4E41">
      <w:pPr>
        <w:pStyle w:val="libFootnote0"/>
        <w:rPr>
          <w:rtl/>
        </w:rPr>
      </w:pPr>
      <w:r w:rsidRPr="00323A39">
        <w:rPr>
          <w:rtl/>
        </w:rPr>
        <w:t xml:space="preserve">في </w:t>
      </w:r>
      <w:r w:rsidRPr="00993B55">
        <w:rPr>
          <w:rStyle w:val="libFootnoteBoldChar"/>
          <w:rtl/>
        </w:rPr>
        <w:t>شرح المازندراني</w:t>
      </w:r>
      <w:r w:rsidRPr="00323A39">
        <w:rPr>
          <w:rtl/>
        </w:rPr>
        <w:t xml:space="preserve"> : « وصف عمله ومبالغته في الخيرات بأنّه أحلى من العسل في مذاقه ، وميل طبعه اللطيف إليه » ، وقال الفيض في </w:t>
      </w:r>
      <w:r w:rsidRPr="00993B55">
        <w:rPr>
          <w:rStyle w:val="libFootnoteBoldChar"/>
          <w:rtl/>
        </w:rPr>
        <w:t>الوافي</w:t>
      </w:r>
      <w:r w:rsidRPr="00323A39">
        <w:rPr>
          <w:rtl/>
        </w:rPr>
        <w:t xml:space="preserve"> : « الكدح : الكدّ والسعي ، وحلاوة مكادحته لحلاوة ثمرتها ويقينه في نيلها ؛ فإنّ التعب في سبيل المحبوب راحة » ، وقال المجلسي في </w:t>
      </w:r>
      <w:r w:rsidRPr="00993B55">
        <w:rPr>
          <w:rStyle w:val="libFootnoteBoldChar"/>
          <w:rtl/>
        </w:rPr>
        <w:t>مرآة العقول</w:t>
      </w:r>
      <w:r w:rsidRPr="00323A39">
        <w:rPr>
          <w:rtl/>
        </w:rPr>
        <w:t xml:space="preserve"> : « قيل : المكادحة : المنازعة ، أي‌منازعته لرفقه فيها أحلى من العسل ، وأقول : يحتمل أن يكون المعنى أنّ سعيه في تحصيل المعيشة والا</w:t>
      </w:r>
      <w:r w:rsidR="008B0D4B">
        <w:rPr>
          <w:rFonts w:hint="cs"/>
          <w:rtl/>
        </w:rPr>
        <w:t>ُ</w:t>
      </w:r>
      <w:r w:rsidRPr="00323A39">
        <w:rPr>
          <w:rtl/>
        </w:rPr>
        <w:t>مور الدنيويّة لمساهلته فيها حسن لطيف ».</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 الجَشَعُ » : أشدّ الحِرص وأسوَؤه ، أو أن تأخذ نصيبك وتطمع في نصيب غيرك. </w:t>
      </w:r>
      <w:r w:rsidR="008A74EB" w:rsidRPr="00993B55">
        <w:rPr>
          <w:rStyle w:val="libFootnoteBoldChar"/>
          <w:rtl/>
        </w:rPr>
        <w:t>القاموس المحيط</w:t>
      </w:r>
      <w:r w:rsidR="008A74EB" w:rsidRPr="00C9040A">
        <w:rPr>
          <w:rtl/>
        </w:rPr>
        <w:t xml:space="preserve"> ، ج 2 ، ص 954 ( جشع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 الهلع » : أشدّ الجزع والضَّجَر. ورجل هَلِعٌ هَلُوعٌ هِلواع وهِلْواعَة : جَزوع حريص. </w:t>
      </w:r>
      <w:r w:rsidR="008A74EB" w:rsidRPr="00993B55">
        <w:rPr>
          <w:rStyle w:val="libFootnoteBoldChar"/>
          <w:rtl/>
        </w:rPr>
        <w:t>النهاية</w:t>
      </w:r>
      <w:r w:rsidR="008A74EB" w:rsidRPr="00C9040A">
        <w:rPr>
          <w:rtl/>
        </w:rPr>
        <w:t xml:space="preserve"> ، ج 5 ، ص 269 ؛ </w:t>
      </w:r>
      <w:r w:rsidR="008A74EB" w:rsidRPr="00993B55">
        <w:rPr>
          <w:rStyle w:val="libFootnoteBoldChar"/>
          <w:rtl/>
        </w:rPr>
        <w:t>ترتيب كتاب العين</w:t>
      </w:r>
      <w:r w:rsidR="008A74EB" w:rsidRPr="00C9040A">
        <w:rPr>
          <w:rtl/>
        </w:rPr>
        <w:t xml:space="preserve"> ، ج 3 ، ص 1894 ( هلع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عَنُف به وعليه عُنْفاً : إذا لم يَرفُق به. وكلّ ما في الرِّفق من الخير ففي العنف من الشرّ مثله. </w:t>
      </w:r>
      <w:r w:rsidR="008A74EB" w:rsidRPr="00993B55">
        <w:rPr>
          <w:rStyle w:val="libFootnoteBoldChar"/>
          <w:rtl/>
        </w:rPr>
        <w:t>المصباح المنير</w:t>
      </w:r>
      <w:r w:rsidR="008A74EB" w:rsidRPr="00C9040A">
        <w:rPr>
          <w:rtl/>
        </w:rPr>
        <w:t xml:space="preserve"> ، ص 432 ؛ </w:t>
      </w:r>
      <w:r w:rsidR="008A74EB" w:rsidRPr="00993B55">
        <w:rPr>
          <w:rStyle w:val="libFootnoteBoldChar"/>
          <w:rtl/>
        </w:rPr>
        <w:t>النهاية</w:t>
      </w:r>
      <w:r w:rsidR="008A74EB" w:rsidRPr="00C9040A">
        <w:rPr>
          <w:rtl/>
        </w:rPr>
        <w:t xml:space="preserve"> ، ج 3 ، ص 309 ( عنف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 الصَّلَف » : التكلّم بما يكرهه صاحبك ، والتمدّح بما ليس عندك ، أو مجاوزة قدر الظرف والادّعاء فوق ذلك تكبّراً ، وهو صَلِف من صلافى وصُلَفاء وصَلِفين. </w:t>
      </w:r>
      <w:r w:rsidR="008A74EB" w:rsidRPr="00993B55">
        <w:rPr>
          <w:rStyle w:val="libFootnoteBoldChar"/>
          <w:rtl/>
        </w:rPr>
        <w:t>القاموس المحيط</w:t>
      </w:r>
      <w:r w:rsidR="008A74EB" w:rsidRPr="00C9040A">
        <w:rPr>
          <w:rtl/>
        </w:rPr>
        <w:t xml:space="preserve"> ، ج 2 ، ص 1104 ( صلف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 المتعمّق » : المبالغ في الأمر ، المتشدّد فيه ، الذي يطلب أقصى غايته. والمراد عدم المبالغة في الا</w:t>
      </w:r>
      <w:r w:rsidR="008B0D4B">
        <w:rPr>
          <w:rFonts w:hint="cs"/>
          <w:rtl/>
        </w:rPr>
        <w:t>ُ</w:t>
      </w:r>
      <w:r w:rsidR="008A74EB" w:rsidRPr="00C9040A">
        <w:rPr>
          <w:rtl/>
        </w:rPr>
        <w:t xml:space="preserve">مور الدنيويّة. راجع : </w:t>
      </w:r>
      <w:r w:rsidR="008A74EB" w:rsidRPr="00993B55">
        <w:rPr>
          <w:rStyle w:val="libFootnoteBoldChar"/>
          <w:rtl/>
        </w:rPr>
        <w:t>النهاية</w:t>
      </w:r>
      <w:r w:rsidR="008A74EB" w:rsidRPr="00C9040A">
        <w:rPr>
          <w:rtl/>
        </w:rPr>
        <w:t xml:space="preserve"> ، ج 3 ، ص 299 ( عمق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 التنازع » </w:t>
      </w:r>
      <w:r w:rsidR="008A74EB">
        <w:rPr>
          <w:rtl/>
        </w:rPr>
        <w:t>و «</w:t>
      </w:r>
      <w:r w:rsidR="008A74EB" w:rsidRPr="00C9040A">
        <w:rPr>
          <w:rtl/>
        </w:rPr>
        <w:t xml:space="preserve"> المنازعة » : المجاذبة. ويعبَّر بهما عن المخاصمة والمجادلة. </w:t>
      </w:r>
      <w:r w:rsidR="008A74EB" w:rsidRPr="00993B55">
        <w:rPr>
          <w:rStyle w:val="libFootnoteBoldChar"/>
          <w:rtl/>
        </w:rPr>
        <w:t>المفردات</w:t>
      </w:r>
      <w:r w:rsidR="008A74EB" w:rsidRPr="00C9040A">
        <w:rPr>
          <w:rtl/>
        </w:rPr>
        <w:t xml:space="preserve"> للراغب ، ص 798 ( نزع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احتمل في « طلب » البناء للفاعل والمفعول باعتبارين. راجع : </w:t>
      </w:r>
      <w:r w:rsidR="008A74EB" w:rsidRPr="00993B55">
        <w:rPr>
          <w:rStyle w:val="libFootnoteBoldChar"/>
          <w:rtl/>
        </w:rPr>
        <w:t>شرح المازندراني</w:t>
      </w:r>
      <w:r w:rsidR="008A74EB" w:rsidRPr="00C9040A">
        <w:rPr>
          <w:rtl/>
        </w:rPr>
        <w:t xml:space="preserve"> ، ج 9 ، ص 132 ؛ </w:t>
      </w:r>
      <w:r w:rsidR="008A74EB" w:rsidRPr="00993B55">
        <w:rPr>
          <w:rStyle w:val="libFootnoteBoldChar"/>
          <w:rtl/>
        </w:rPr>
        <w:t>مرآة العقول</w:t>
      </w:r>
      <w:r w:rsidR="008A74EB" w:rsidRPr="00C9040A">
        <w:rPr>
          <w:rtl/>
        </w:rPr>
        <w:t xml:space="preserve"> ، ج 9 ، ص 209.</w:t>
      </w:r>
    </w:p>
    <w:p w:rsidR="008A74EB" w:rsidRPr="00C9040A" w:rsidRDefault="006C577F" w:rsidP="004A4E41">
      <w:pPr>
        <w:pStyle w:val="libFootnote0"/>
        <w:rPr>
          <w:rtl/>
          <w:lang w:bidi="fa-IR"/>
        </w:rPr>
      </w:pPr>
      <w:r>
        <w:rPr>
          <w:rtl/>
        </w:rPr>
        <w:t>(8).</w:t>
      </w:r>
      <w:r w:rsidR="008A74EB" w:rsidRPr="00C9040A">
        <w:rPr>
          <w:rtl/>
        </w:rPr>
        <w:t xml:space="preserve"> « التَّهَوُّر » : الوقوع في الشي‌ء بقلّة مبالاة. </w:t>
      </w:r>
      <w:r w:rsidR="008A74EB" w:rsidRPr="00993B55">
        <w:rPr>
          <w:rStyle w:val="libFootnoteBoldChar"/>
          <w:rtl/>
        </w:rPr>
        <w:t>الصحاح</w:t>
      </w:r>
      <w:r w:rsidR="008A74EB" w:rsidRPr="00C9040A">
        <w:rPr>
          <w:rtl/>
        </w:rPr>
        <w:t xml:space="preserve"> ، ج 2 ، ص 856 ( هور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د ، بس » والوافي والبحار : « حمول » بالمهملة. وفي </w:t>
      </w:r>
      <w:r w:rsidR="008A74EB" w:rsidRPr="00993B55">
        <w:rPr>
          <w:rStyle w:val="libFootnoteBoldChar"/>
          <w:rtl/>
        </w:rPr>
        <w:t>المرآة</w:t>
      </w:r>
      <w:r w:rsidR="008A74EB" w:rsidRPr="00C9040A">
        <w:rPr>
          <w:rtl/>
        </w:rPr>
        <w:t xml:space="preserve"> : « في أكثر النسخ بالخاء المعجمة ، وفي بعضهابالحاء المهملة ؛ فعلى الأوّل المعنى أنّه خامل الذكر ، غير مشهور بين الناس ، وكأنّه محمول على أنّه لايحبّ الشهرة ولا يسعى فيها ، لا أنّ الشهرة مطلقاً مذمومة. وعلى الثاني : إمّا المراد به الحلم تأكيداً ، أو المراد بالحليم : العاقل ؛ أو أنّه يتحمّل المشاقّ للمؤمنين. والأوّل أظهر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فَضَل فَضْلاً : زاد. وخُذِ الفضل ، أي‌الزيادة. والجمع : فُضول. وقد استُعمل الجمع استعمال المفرد فيما </w:t>
      </w:r>
      <w:r w:rsidR="008B0D4B">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لَا يَغْلُظُ </w:t>
      </w:r>
      <w:r w:rsidR="006C577F" w:rsidRPr="006C577F">
        <w:rPr>
          <w:rStyle w:val="libFootnotenumChar"/>
          <w:rtl/>
        </w:rPr>
        <w:t>(1)</w:t>
      </w:r>
      <w:r w:rsidRPr="00C9040A">
        <w:rPr>
          <w:rtl/>
          <w:lang w:bidi="fa-IR"/>
        </w:rPr>
        <w:t xml:space="preserve"> عَلى مَنْ دُونَهُ </w:t>
      </w:r>
      <w:r w:rsidR="006C577F" w:rsidRPr="006C577F">
        <w:rPr>
          <w:rStyle w:val="libFootnotenumChar"/>
          <w:rtl/>
        </w:rPr>
        <w:t>(2)</w:t>
      </w:r>
      <w:r w:rsidRPr="00C9040A">
        <w:rPr>
          <w:rtl/>
          <w:lang w:bidi="fa-IR"/>
        </w:rPr>
        <w:t xml:space="preserve"> ، وَلَا يَخُوضُ فِيمَا لَايَعْنِيهِ ، نَاصِرٌ لِلدِّينِ ، مُحَامٍ عَنِ </w:t>
      </w:r>
      <w:r w:rsidR="006C577F" w:rsidRPr="006C577F">
        <w:rPr>
          <w:rStyle w:val="libFootnotenumChar"/>
          <w:rtl/>
        </w:rPr>
        <w:t>(3)</w:t>
      </w:r>
      <w:r w:rsidRPr="00C9040A">
        <w:rPr>
          <w:rtl/>
          <w:lang w:bidi="fa-IR"/>
        </w:rPr>
        <w:t xml:space="preserve"> الْمُؤْمِنِينَ ، كَهْفٌ لِلْمُسْلِمِينَ ، لَايَخْرِقُ </w:t>
      </w:r>
      <w:r w:rsidR="006C577F" w:rsidRPr="006C577F">
        <w:rPr>
          <w:rStyle w:val="libFootnotenumChar"/>
          <w:rtl/>
        </w:rPr>
        <w:t>(4)</w:t>
      </w:r>
      <w:r w:rsidRPr="00C9040A">
        <w:rPr>
          <w:rtl/>
          <w:lang w:bidi="fa-IR"/>
        </w:rPr>
        <w:t xml:space="preserve"> الثَّنَاءُ سَمْعَهُ ، وَلَا يَنْكِي </w:t>
      </w:r>
      <w:r w:rsidR="006C577F" w:rsidRPr="006C577F">
        <w:rPr>
          <w:rStyle w:val="libFootnotenumChar"/>
          <w:rtl/>
        </w:rPr>
        <w:t>(5)</w:t>
      </w:r>
      <w:r w:rsidRPr="00C9040A">
        <w:rPr>
          <w:rtl/>
          <w:lang w:bidi="fa-IR"/>
        </w:rPr>
        <w:t xml:space="preserve"> الطَّمَعُ قَلْبَهُ ، وَلَا يَصْرِفُ اللَّعِبُ حُكْمَهُ </w:t>
      </w:r>
      <w:r w:rsidR="006C577F" w:rsidRPr="006C577F">
        <w:rPr>
          <w:rStyle w:val="libFootnotenumChar"/>
          <w:rtl/>
        </w:rPr>
        <w:t>(6)</w:t>
      </w:r>
      <w:r w:rsidRPr="005B567D">
        <w:rPr>
          <w:rStyle w:val="libFootnotenumChar"/>
          <w:rtl/>
        </w:rPr>
        <w:t xml:space="preserve"> </w:t>
      </w:r>
      <w:r w:rsidRPr="00C9040A">
        <w:rPr>
          <w:rtl/>
          <w:lang w:bidi="fa-IR"/>
        </w:rPr>
        <w:t xml:space="preserve">، وَلَا يُطْلِعُ </w:t>
      </w:r>
      <w:r w:rsidR="006C577F" w:rsidRPr="006C577F">
        <w:rPr>
          <w:rStyle w:val="libFootnotenumChar"/>
          <w:rtl/>
        </w:rPr>
        <w:t>(7)</w:t>
      </w:r>
      <w:r w:rsidRPr="00C9040A">
        <w:rPr>
          <w:rtl/>
          <w:lang w:bidi="fa-IR"/>
        </w:rPr>
        <w:t xml:space="preserve"> الْجَاهِلَ عِلْمَهُ ، قَوَّالٌ ، عَمَّالٌ ، عَالِمٌ ، حَازِمٌ </w:t>
      </w:r>
      <w:r w:rsidR="006C577F" w:rsidRPr="006C577F">
        <w:rPr>
          <w:rStyle w:val="libFootnotenumChar"/>
          <w:rtl/>
        </w:rPr>
        <w:t>(8)</w:t>
      </w:r>
      <w:r w:rsidRPr="00C9040A">
        <w:rPr>
          <w:rtl/>
          <w:lang w:bidi="fa-IR"/>
        </w:rPr>
        <w:t xml:space="preserve"> ، لَا بِفَحَّاشٍ ، وَلَا بِطَيَّاشٍ </w:t>
      </w:r>
      <w:r w:rsidR="006C577F" w:rsidRPr="006C577F">
        <w:rPr>
          <w:rStyle w:val="libFootnotenumChar"/>
          <w:rtl/>
        </w:rPr>
        <w:t>(9)</w:t>
      </w:r>
      <w:r w:rsidRPr="00C9040A">
        <w:rPr>
          <w:rtl/>
          <w:lang w:bidi="fa-IR"/>
        </w:rPr>
        <w:t xml:space="preserve"> ، وَصُولٌ فِي غَيْرِ عُنْفٍ ، بَذُولٌ فِي غَيْرِ سَرَفٍ ، لَابِخَتَّالٍ </w:t>
      </w:r>
      <w:r w:rsidR="006C577F" w:rsidRPr="006C577F">
        <w:rPr>
          <w:rStyle w:val="libFootnotenumChar"/>
          <w:rtl/>
        </w:rPr>
        <w:t>(10)</w:t>
      </w:r>
      <w:r w:rsidRPr="00C9040A">
        <w:rPr>
          <w:rtl/>
          <w:lang w:bidi="fa-IR"/>
        </w:rPr>
        <w:t xml:space="preserve"> ، وَلَا بِغَدَّارٍ ، وَلَا يَقْتَفِي أَثَراً </w:t>
      </w:r>
      <w:r w:rsidR="006C577F" w:rsidRPr="006C577F">
        <w:rPr>
          <w:rStyle w:val="libFootnotenumChar"/>
          <w:rtl/>
        </w:rPr>
        <w:t>(11)</w:t>
      </w:r>
      <w:r w:rsidRPr="00C9040A">
        <w:rPr>
          <w:rtl/>
          <w:lang w:bidi="fa-IR"/>
        </w:rPr>
        <w:t xml:space="preserve"> ،</w:t>
      </w:r>
      <w:r w:rsidR="009E4820">
        <w:rPr>
          <w:rFonts w:hint="cs"/>
          <w:rtl/>
          <w:lang w:bidi="fa-IR"/>
        </w:rPr>
        <w:t>..</w:t>
      </w:r>
    </w:p>
    <w:p w:rsidR="008A74EB" w:rsidRPr="00C9040A" w:rsidRDefault="008A74EB" w:rsidP="008A74EB">
      <w:pPr>
        <w:pStyle w:val="libLine"/>
        <w:rPr>
          <w:rtl/>
          <w:lang w:bidi="fa-IR"/>
        </w:rPr>
      </w:pPr>
      <w:r w:rsidRPr="00C9040A">
        <w:rPr>
          <w:rtl/>
          <w:lang w:bidi="fa-IR"/>
        </w:rPr>
        <w:t>__________________</w:t>
      </w:r>
    </w:p>
    <w:p w:rsidR="008A74EB" w:rsidRPr="00C9040A" w:rsidRDefault="009E4820" w:rsidP="004A4E41">
      <w:pPr>
        <w:pStyle w:val="libFootnote0"/>
        <w:rPr>
          <w:rtl/>
          <w:lang w:bidi="fa-IR"/>
        </w:rPr>
      </w:pPr>
      <w:r>
        <w:rPr>
          <w:rFonts w:hint="cs"/>
          <w:rtl/>
        </w:rPr>
        <w:t xml:space="preserve">= </w:t>
      </w:r>
      <w:r w:rsidR="008A74EB" w:rsidRPr="00C9040A">
        <w:rPr>
          <w:rtl/>
        </w:rPr>
        <w:t xml:space="preserve">لا خير فيه. والمراد : زيادات القول والفعل. راجع : </w:t>
      </w:r>
      <w:r w:rsidR="008A74EB" w:rsidRPr="00993B55">
        <w:rPr>
          <w:rStyle w:val="libFootnoteBoldChar"/>
          <w:rtl/>
        </w:rPr>
        <w:t>المصباح المنير</w:t>
      </w:r>
      <w:r w:rsidR="008A74EB" w:rsidRPr="00C9040A">
        <w:rPr>
          <w:rtl/>
        </w:rPr>
        <w:t xml:space="preserve"> ، ص 475 ( فضل )</w:t>
      </w:r>
      <w:r w:rsidR="008A74EB">
        <w:rPr>
          <w:rtl/>
        </w:rPr>
        <w:t>.</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ج » : « لا يغلِّظ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 لا يغلظ ، على بناء الإفعال. يقال : أغلظ له في القول ، أي‌خشن. أوعلى بناء التفعيل. أو على بناء المجرّد ، ككَرُم »</w:t>
      </w:r>
      <w:r w:rsidR="008A74EB">
        <w:rPr>
          <w:rtl/>
        </w:rPr>
        <w:t>.</w:t>
      </w:r>
      <w:r w:rsidR="008A74EB" w:rsidRPr="00C9040A">
        <w:rPr>
          <w:rtl/>
        </w:rPr>
        <w:t xml:space="preserve"> وهو الظاهر من شرح المازندراني.</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w:t>
      </w:r>
      <w:r w:rsidR="006D3162">
        <w:rPr>
          <w:rtl/>
        </w:rPr>
        <w:t xml:space="preserve">ه </w:t>
      </w:r>
      <w:r w:rsidR="008A74EB" w:rsidRPr="00C9040A">
        <w:rPr>
          <w:rtl/>
        </w:rPr>
        <w:t>، بر » وحاشية « د » والوافي : « من يؤذيه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بس » : + « المسلمين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w:t>
      </w:r>
      <w:r w:rsidR="008A74EB" w:rsidRPr="00993B55">
        <w:rPr>
          <w:rStyle w:val="libFootnoteBoldChar"/>
          <w:rtl/>
        </w:rPr>
        <w:t>شرح المازندراني</w:t>
      </w:r>
      <w:r w:rsidR="008A74EB" w:rsidRPr="00C9040A">
        <w:rPr>
          <w:rtl/>
        </w:rPr>
        <w:t xml:space="preserve"> : « أي لا يشقّه ولا يدخل فيه ؛ لأنّه يتأبّى من استماعه ويستكرهه »</w:t>
      </w:r>
      <w:r w:rsidR="008A74EB">
        <w:rPr>
          <w:rtl/>
        </w:rPr>
        <w:t>.</w:t>
      </w:r>
      <w:r w:rsidR="008A74EB" w:rsidRPr="00C9040A">
        <w:rPr>
          <w:rtl/>
        </w:rPr>
        <w:t xml:space="preserve"> وقال الفيض </w:t>
      </w:r>
      <w:r w:rsidR="008A74EB" w:rsidRPr="00993B55">
        <w:rPr>
          <w:rStyle w:val="libFootnoteBoldChar"/>
          <w:rtl/>
        </w:rPr>
        <w:t>في‌الوافي</w:t>
      </w:r>
      <w:r w:rsidR="008A74EB" w:rsidRPr="00C9040A">
        <w:rPr>
          <w:rtl/>
        </w:rPr>
        <w:t xml:space="preserve"> : « نفي الخرق والنكاية كناية عن عدم التأثّر بهما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 كأنّ المراد بالخرق الشقّ ، وعدمه كناية عن عدم التأثير فيه كأنّه لم يسمعه. وما قيل من أنّه على بناء الإفعال ، أي‌لا يصير سمعه ذا خرق وأحمق ، فلا يخفى بعده »</w:t>
      </w:r>
      <w:r w:rsidR="008A74EB">
        <w:rPr>
          <w:rtl/>
        </w:rPr>
        <w:t>.</w:t>
      </w:r>
      <w:r w:rsidR="008A74EB" w:rsidRPr="00C9040A">
        <w:rPr>
          <w:rtl/>
        </w:rPr>
        <w:t xml:space="preserve"> وخرقتُ الثوب : إذا شققته ، وخرقتُ الأرض : إذا قطعتها فبلغت أقصاها. </w:t>
      </w:r>
      <w:r w:rsidR="008A74EB" w:rsidRPr="00993B55">
        <w:rPr>
          <w:rStyle w:val="libFootnoteBoldChar"/>
          <w:rtl/>
        </w:rPr>
        <w:t>ترتيب كتاب العين</w:t>
      </w:r>
      <w:r w:rsidR="008A74EB" w:rsidRPr="00C9040A">
        <w:rPr>
          <w:rtl/>
        </w:rPr>
        <w:t xml:space="preserve"> ، ج 1 ، ص 479 ( خرق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w:t>
      </w:r>
      <w:r w:rsidR="008A74EB" w:rsidRPr="00993B55">
        <w:rPr>
          <w:rStyle w:val="libFootnoteBoldChar"/>
          <w:rtl/>
        </w:rPr>
        <w:t>مرآة العقول</w:t>
      </w:r>
      <w:r w:rsidR="008A74EB" w:rsidRPr="00C9040A">
        <w:rPr>
          <w:rtl/>
        </w:rPr>
        <w:t xml:space="preserve"> : « يمكن أن يقرأ مهموزاً وغير مهموز »</w:t>
      </w:r>
      <w:r w:rsidR="008A74EB">
        <w:rPr>
          <w:rtl/>
        </w:rPr>
        <w:t>.</w:t>
      </w:r>
      <w:r w:rsidR="008A74EB" w:rsidRPr="00C9040A">
        <w:rPr>
          <w:rtl/>
        </w:rPr>
        <w:t xml:space="preserve"> يقال : نكيت في العدوّ أنكي نِكايةً فأنا ناكٍ ، إذا أكثرت فيهم الجراح والقتل فوهنوا لذلك. وقد يهمزلغة فيه. يقال : نكأتُ القَرْحة أنكَؤُها : إذا قشرتها. والمراد : عدم تأثير الطمع وعدم استقراره في قلبه. راجع : </w:t>
      </w:r>
      <w:r w:rsidR="008A74EB" w:rsidRPr="00993B55">
        <w:rPr>
          <w:rStyle w:val="libFootnoteBoldChar"/>
          <w:rtl/>
        </w:rPr>
        <w:t>النهاية</w:t>
      </w:r>
      <w:r w:rsidR="008A74EB" w:rsidRPr="00C9040A">
        <w:rPr>
          <w:rtl/>
        </w:rPr>
        <w:t xml:space="preserve"> ، ج 5 ، ص 117 ( نكا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ب » : « حِكمَه » على صيغة الجمع.</w:t>
      </w:r>
    </w:p>
    <w:p w:rsidR="008A74EB" w:rsidRPr="00C9040A" w:rsidRDefault="006C577F" w:rsidP="004A4E41">
      <w:pPr>
        <w:pStyle w:val="libFootnote0"/>
        <w:rPr>
          <w:rtl/>
          <w:lang w:bidi="fa-IR"/>
        </w:rPr>
      </w:pPr>
      <w:r>
        <w:rPr>
          <w:rtl/>
        </w:rPr>
        <w:t>(7).</w:t>
      </w:r>
      <w:r w:rsidR="008A74EB" w:rsidRPr="00C9040A">
        <w:rPr>
          <w:rtl/>
        </w:rPr>
        <w:t xml:space="preserve"> قال المازندراني : « أي لا يعلم الجاهل علمه ، يقال : اطّلعه على افتعله إذا علمه ، أو لا يعلو الجاهل علمه ولا يبلغ مبلغه ، من طلع الجبل كمنع ونصر وعلم إذا علاه ، وذلك لأنّه حكيم يضع علمه وحكمته في موضعه ويمنعه عن غير أهله »</w:t>
      </w:r>
      <w:r w:rsidR="008A74EB">
        <w:rPr>
          <w:rtl/>
        </w:rPr>
        <w:t>.</w:t>
      </w:r>
      <w:r w:rsidR="008A74EB" w:rsidRPr="00C9040A">
        <w:rPr>
          <w:rtl/>
        </w:rPr>
        <w:t xml:space="preserve"> وصرّح المجلسي بكونه من باب الإفعال. وطلع الكوكب طلوعاً ومَطْلِعاً : ظهر ، كأطلع ، وعلى الأمر طلوعاً : علمه. </w:t>
      </w:r>
      <w:r w:rsidR="008A74EB" w:rsidRPr="00993B55">
        <w:rPr>
          <w:rStyle w:val="libFootnoteBoldChar"/>
          <w:rtl/>
        </w:rPr>
        <w:t>القاموس المحيط</w:t>
      </w:r>
      <w:r w:rsidR="008A74EB" w:rsidRPr="00C9040A">
        <w:rPr>
          <w:rtl/>
        </w:rPr>
        <w:t xml:space="preserve"> ، ج 2 ، ص 997 ( طلع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 د » : « جازم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 الطَّيش » : النَّزَقُ والخفّة. والرجل طيّاش. </w:t>
      </w:r>
      <w:r w:rsidR="008A74EB" w:rsidRPr="00993B55">
        <w:rPr>
          <w:rStyle w:val="libFootnoteBoldChar"/>
          <w:rtl/>
        </w:rPr>
        <w:t>الصحاح</w:t>
      </w:r>
      <w:r w:rsidR="008A74EB" w:rsidRPr="00C9040A">
        <w:rPr>
          <w:rtl/>
        </w:rPr>
        <w:t xml:space="preserve"> ، ج 3 ، ص 1009 ( طيش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 ج » والبحار : « ولا بختّال »</w:t>
      </w:r>
      <w:r w:rsidR="008A74EB">
        <w:rPr>
          <w:rtl/>
        </w:rPr>
        <w:t>.</w:t>
      </w:r>
      <w:r w:rsidR="008A74EB" w:rsidRPr="00C9040A">
        <w:rPr>
          <w:rtl/>
        </w:rPr>
        <w:t xml:space="preserve"> وخَتَله يَختِله : خدعه وراوغَه. </w:t>
      </w:r>
      <w:r w:rsidR="008A74EB" w:rsidRPr="00993B55">
        <w:rPr>
          <w:rStyle w:val="libFootnoteBoldChar"/>
          <w:rtl/>
        </w:rPr>
        <w:t>النهاية</w:t>
      </w:r>
      <w:r w:rsidR="008A74EB" w:rsidRPr="00C9040A">
        <w:rPr>
          <w:rtl/>
        </w:rPr>
        <w:t xml:space="preserve"> ، ج 2 ، ص 9 ( ختل )</w:t>
      </w:r>
      <w:r w:rsidR="008A74EB">
        <w:rPr>
          <w:rtl/>
        </w:rPr>
        <w:t>.</w:t>
      </w:r>
      <w:r w:rsidR="008A74EB" w:rsidRPr="00C9040A">
        <w:rPr>
          <w:rtl/>
        </w:rPr>
        <w:t xml:space="preserve"> وفي </w:t>
      </w:r>
      <w:r w:rsidR="008A74EB" w:rsidRPr="00013684">
        <w:rPr>
          <w:rtl/>
        </w:rPr>
        <w:t>الوافي</w:t>
      </w:r>
      <w:r w:rsidR="008A74EB" w:rsidRPr="00C9040A">
        <w:rPr>
          <w:rtl/>
        </w:rPr>
        <w:t xml:space="preserve"> ومرآة العقول : « ولا بختّارٍ »</w:t>
      </w:r>
      <w:r w:rsidR="008A74EB">
        <w:rPr>
          <w:rtl/>
        </w:rPr>
        <w:t>.</w:t>
      </w:r>
      <w:r w:rsidR="008A74EB" w:rsidRPr="00C9040A">
        <w:rPr>
          <w:rtl/>
        </w:rPr>
        <w:t xml:space="preserve"> والختر : الغدر والخديعة.</w:t>
      </w:r>
    </w:p>
    <w:p w:rsidR="008A74EB" w:rsidRPr="00C9040A" w:rsidRDefault="006C577F" w:rsidP="004A4E41">
      <w:pPr>
        <w:pStyle w:val="libFootnote0"/>
        <w:rPr>
          <w:rtl/>
          <w:lang w:bidi="fa-IR"/>
        </w:rPr>
      </w:pPr>
      <w:r>
        <w:rPr>
          <w:rtl/>
        </w:rPr>
        <w:t>(11).</w:t>
      </w:r>
      <w:r w:rsidR="008A74EB" w:rsidRPr="00C9040A">
        <w:rPr>
          <w:rtl/>
        </w:rPr>
        <w:t xml:space="preserve"> في </w:t>
      </w:r>
      <w:r w:rsidR="008A74EB" w:rsidRPr="00993B55">
        <w:rPr>
          <w:rStyle w:val="libFootnoteBoldChar"/>
          <w:rtl/>
        </w:rPr>
        <w:t>الوافي</w:t>
      </w:r>
      <w:r w:rsidR="008A74EB" w:rsidRPr="00C9040A">
        <w:rPr>
          <w:rtl/>
        </w:rPr>
        <w:t xml:space="preserve"> : « نفي اقتفاء الأثر كناية عن عدم التجسّس لعيوب الناس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وَلَا يَحِيفُ </w:t>
      </w:r>
      <w:r w:rsidR="006C577F" w:rsidRPr="006C577F">
        <w:rPr>
          <w:rStyle w:val="libFootnotenumChar"/>
          <w:rtl/>
        </w:rPr>
        <w:t>(1)</w:t>
      </w:r>
      <w:r w:rsidRPr="00C9040A">
        <w:rPr>
          <w:rtl/>
          <w:lang w:bidi="fa-IR"/>
        </w:rPr>
        <w:t xml:space="preserve"> بَشَراً ، رَفِيقٌ بِالْخَلْقِ ، سَاعٍ </w:t>
      </w:r>
      <w:r w:rsidR="006C577F" w:rsidRPr="006C577F">
        <w:rPr>
          <w:rStyle w:val="libFootnotenumChar"/>
          <w:rtl/>
        </w:rPr>
        <w:t>(2)</w:t>
      </w:r>
      <w:r w:rsidRPr="00C9040A">
        <w:rPr>
          <w:rtl/>
          <w:lang w:bidi="fa-IR"/>
        </w:rPr>
        <w:t xml:space="preserve"> فِي الْأَرْضِ ، عَوْنٌ لِلضَّعِيفِ ، غَوْثٌ لِلْمَلْهُوفِ </w:t>
      </w:r>
      <w:r w:rsidR="006C577F" w:rsidRPr="006C577F">
        <w:rPr>
          <w:rStyle w:val="libFootnotenumChar"/>
          <w:rtl/>
        </w:rPr>
        <w:t>(3)</w:t>
      </w:r>
      <w:r w:rsidRPr="00C9040A">
        <w:rPr>
          <w:rtl/>
          <w:lang w:bidi="fa-IR"/>
        </w:rPr>
        <w:t xml:space="preserve"> ، لَا </w:t>
      </w:r>
      <w:r w:rsidR="006C577F" w:rsidRPr="006C577F">
        <w:rPr>
          <w:rStyle w:val="libFootnotenumChar"/>
          <w:rtl/>
        </w:rPr>
        <w:t>(4)</w:t>
      </w:r>
      <w:r w:rsidRPr="00C9040A">
        <w:rPr>
          <w:rtl/>
          <w:lang w:bidi="fa-IR"/>
        </w:rPr>
        <w:t xml:space="preserve"> يَهْتِكُ سِتْراً ، وَلَا يَكْشِفُ سِرّاً ، كَثِيرُ الْبَلْوى ، قَلِيلُ الشَّكْوى.</w:t>
      </w:r>
    </w:p>
    <w:p w:rsidR="008A74EB" w:rsidRPr="00C9040A" w:rsidRDefault="008A74EB" w:rsidP="009E4820">
      <w:pPr>
        <w:pStyle w:val="libNormal"/>
        <w:rPr>
          <w:rtl/>
          <w:lang w:bidi="fa-IR"/>
        </w:rPr>
      </w:pPr>
      <w:r w:rsidRPr="00C9040A">
        <w:rPr>
          <w:rtl/>
          <w:lang w:bidi="fa-IR"/>
        </w:rPr>
        <w:t xml:space="preserve">إِنْ رَأى خَيْراً ذَكَرَهُ ، وَإِنْ عَايَنَ </w:t>
      </w:r>
      <w:r w:rsidR="006C577F" w:rsidRPr="006C577F">
        <w:rPr>
          <w:rStyle w:val="libFootnotenumChar"/>
          <w:rtl/>
        </w:rPr>
        <w:t>(5)</w:t>
      </w:r>
      <w:r w:rsidRPr="00C9040A">
        <w:rPr>
          <w:rtl/>
          <w:lang w:bidi="fa-IR"/>
        </w:rPr>
        <w:t xml:space="preserve"> شَرّاً سَتَرَهُ ، يَسْتُرُ الْعَيْبَ ، وَيَحْفَظُ الْغَيْبَ ، وَيُقِيلُ </w:t>
      </w:r>
      <w:r w:rsidR="006C577F" w:rsidRPr="006C577F">
        <w:rPr>
          <w:rStyle w:val="libFootnotenumChar"/>
          <w:rtl/>
        </w:rPr>
        <w:t>(6)</w:t>
      </w:r>
      <w:r w:rsidR="009E4820" w:rsidRPr="00C9040A">
        <w:rPr>
          <w:rtl/>
          <w:lang w:bidi="fa-IR"/>
        </w:rPr>
        <w:t xml:space="preserve"> </w:t>
      </w:r>
      <w:r w:rsidRPr="00C9040A">
        <w:rPr>
          <w:rtl/>
          <w:lang w:bidi="fa-IR"/>
        </w:rPr>
        <w:t xml:space="preserve">الْعَثْرَةَ ، وَيَغْفِرُ الزَّلَّةَ ، لَايَطَّلِعُ عَلى نُصْحٍ فَيَذَرَهُ </w:t>
      </w:r>
      <w:r w:rsidR="006C577F" w:rsidRPr="006C577F">
        <w:rPr>
          <w:rStyle w:val="libFootnotenumChar"/>
          <w:rtl/>
        </w:rPr>
        <w:t>(7)</w:t>
      </w:r>
      <w:r w:rsidRPr="00C9040A">
        <w:rPr>
          <w:rtl/>
          <w:lang w:bidi="fa-IR"/>
        </w:rPr>
        <w:t xml:space="preserve"> ، وَلَا يَدَعُ جِنْحَ </w:t>
      </w:r>
      <w:r w:rsidR="006C577F" w:rsidRPr="006C577F">
        <w:rPr>
          <w:rStyle w:val="libFootnotenumChar"/>
          <w:rtl/>
        </w:rPr>
        <w:t>(8)</w:t>
      </w:r>
      <w:r w:rsidRPr="00C9040A">
        <w:rPr>
          <w:rtl/>
          <w:lang w:bidi="fa-IR"/>
        </w:rPr>
        <w:t xml:space="preserve"> حَيْفٍ فَيُصْلِحَهُ ، أَمِينٌ ، رَصِينٌ </w:t>
      </w:r>
      <w:r w:rsidR="006C577F" w:rsidRPr="006C577F">
        <w:rPr>
          <w:rStyle w:val="libFootnotenumChar"/>
          <w:rtl/>
        </w:rPr>
        <w:t>(9)</w:t>
      </w:r>
      <w:r w:rsidRPr="00C9040A">
        <w:rPr>
          <w:rtl/>
          <w:lang w:bidi="fa-IR"/>
        </w:rPr>
        <w:t xml:space="preserve"> ، تَقِيٌّ ، نَقِيٌّ ، زَكِيٌّ </w:t>
      </w:r>
      <w:r w:rsidR="006C577F" w:rsidRPr="006C577F">
        <w:rPr>
          <w:rStyle w:val="libFootnotenumChar"/>
          <w:rtl/>
        </w:rPr>
        <w:t>(10)</w:t>
      </w:r>
      <w:r w:rsidRPr="00C9040A">
        <w:rPr>
          <w:rtl/>
          <w:lang w:bidi="fa-IR"/>
        </w:rPr>
        <w:t xml:space="preserve"> ، رَضِيٌّ ، يَقْبَلُ الْعُذْرَ ، وَيُجْمِلُ </w:t>
      </w:r>
      <w:r w:rsidR="006C577F" w:rsidRPr="006C577F">
        <w:rPr>
          <w:rStyle w:val="libFootnotenumChar"/>
          <w:rtl/>
        </w:rPr>
        <w:t>(11)</w:t>
      </w:r>
      <w:r w:rsidRPr="00C9040A">
        <w:rPr>
          <w:rtl/>
          <w:lang w:bidi="fa-IR"/>
        </w:rPr>
        <w:t xml:space="preserve"> الذِّكْرَ ، وَيُحْسِنُ بِالنَّاسِ الظَّنَّ ، وَيَتَّهِمُ عَلَى الْعَيْبِ </w:t>
      </w:r>
      <w:r w:rsidR="006C577F" w:rsidRPr="006C577F">
        <w:rPr>
          <w:rStyle w:val="libFootnotenumChar"/>
          <w:rtl/>
        </w:rPr>
        <w:t>(12)</w:t>
      </w:r>
      <w:r w:rsidRPr="00C9040A">
        <w:rPr>
          <w:rtl/>
          <w:lang w:bidi="fa-IR"/>
        </w:rPr>
        <w:t xml:space="preserve"> نَفْسَهُ ، يُحِبُّ فِي اللهِ بِفِقْهٍ وَعِلْمٍ ، وَيَقْطَعُ فِي اللهِ بِحَزْمٍ </w:t>
      </w:r>
      <w:r w:rsidRPr="005B567D">
        <w:rPr>
          <w:rStyle w:val="libFootnotenumChar"/>
          <w:rtl/>
        </w:rPr>
        <w:t>(13)</w:t>
      </w:r>
      <w:r w:rsidRPr="00C9040A">
        <w:rPr>
          <w:rtl/>
          <w:lang w:bidi="fa-IR"/>
        </w:rPr>
        <w:t xml:space="preserve"> وَعَزْمٍ ، لَايَخْرَقُ بِهِ فَرَحٌ </w:t>
      </w:r>
      <w:r w:rsidRPr="005B567D">
        <w:rPr>
          <w:rStyle w:val="libFootnotenumChar"/>
          <w:rtl/>
        </w:rPr>
        <w:t>(14)</w:t>
      </w:r>
      <w:r w:rsidRPr="00C9040A">
        <w:rPr>
          <w:rtl/>
          <w:lang w:bidi="fa-IR"/>
        </w:rPr>
        <w:t xml:space="preserve"> ، وَلَا يَطِيشُ </w:t>
      </w:r>
      <w:r w:rsidRPr="005B567D">
        <w:rPr>
          <w:rStyle w:val="libFootnotenumChar"/>
          <w:rtl/>
        </w:rPr>
        <w:t>(15)</w:t>
      </w:r>
      <w:r w:rsidRPr="00C9040A">
        <w:rPr>
          <w:rtl/>
          <w:lang w:bidi="fa-IR"/>
        </w:rPr>
        <w:t xml:space="preserve"> بِهِ‌</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ص ، </w:t>
      </w:r>
      <w:r w:rsidR="006D3162">
        <w:rPr>
          <w:rtl/>
        </w:rPr>
        <w:t xml:space="preserve">ه </w:t>
      </w:r>
      <w:r w:rsidR="008A74EB" w:rsidRPr="00C9040A">
        <w:rPr>
          <w:rtl/>
        </w:rPr>
        <w:t>» والبحار : « لا يخيف »</w:t>
      </w:r>
      <w:r w:rsidR="008A74EB">
        <w:rPr>
          <w:rtl/>
        </w:rPr>
        <w:t>.</w:t>
      </w:r>
      <w:r w:rsidR="008A74EB" w:rsidRPr="00C9040A">
        <w:rPr>
          <w:rtl/>
        </w:rPr>
        <w:t xml:space="preserve"> وفي « ض » : « لا يجيف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ض » : « وساع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 الملهوف » : المكروب. </w:t>
      </w:r>
      <w:r w:rsidR="008A74EB" w:rsidRPr="00993B55">
        <w:rPr>
          <w:rStyle w:val="libFootnoteBoldChar"/>
          <w:rtl/>
        </w:rPr>
        <w:t>النهاية</w:t>
      </w:r>
      <w:r w:rsidR="008A74EB" w:rsidRPr="00C9040A">
        <w:rPr>
          <w:rtl/>
        </w:rPr>
        <w:t xml:space="preserve"> ، ج 4 ، ص 282 ( لهف )</w:t>
      </w:r>
      <w:r w:rsidR="008A74EB">
        <w:rPr>
          <w:rtl/>
        </w:rPr>
        <w:t>.</w:t>
      </w:r>
    </w:p>
    <w:tbl>
      <w:tblPr>
        <w:tblStyle w:val="TableGrid"/>
        <w:bidiVisual/>
        <w:tblW w:w="0" w:type="auto"/>
        <w:tblLook w:val="04A0" w:firstRow="1" w:lastRow="0" w:firstColumn="1" w:lastColumn="0" w:noHBand="0" w:noVBand="1"/>
      </w:tblPr>
      <w:tblGrid>
        <w:gridCol w:w="4006"/>
        <w:gridCol w:w="4006"/>
      </w:tblGrid>
      <w:tr w:rsidR="009E4820" w:rsidTr="009E4820">
        <w:tc>
          <w:tcPr>
            <w:tcW w:w="4006" w:type="dxa"/>
          </w:tcPr>
          <w:p w:rsidR="009E4820" w:rsidRDefault="009E4820" w:rsidP="004A4E41">
            <w:pPr>
              <w:pStyle w:val="libFootnote0"/>
              <w:rPr>
                <w:rtl/>
              </w:rPr>
            </w:pPr>
            <w:r>
              <w:rPr>
                <w:rtl/>
              </w:rPr>
              <w:t>(4).</w:t>
            </w:r>
            <w:r w:rsidRPr="00C9040A">
              <w:rPr>
                <w:rtl/>
              </w:rPr>
              <w:t xml:space="preserve"> في « ز ، بس » : « ولا »</w:t>
            </w:r>
            <w:r>
              <w:rPr>
                <w:rtl/>
              </w:rPr>
              <w:t>.</w:t>
            </w:r>
          </w:p>
        </w:tc>
        <w:tc>
          <w:tcPr>
            <w:tcW w:w="4006" w:type="dxa"/>
          </w:tcPr>
          <w:p w:rsidR="009E4820" w:rsidRDefault="009E4820" w:rsidP="004A4E41">
            <w:pPr>
              <w:pStyle w:val="libFootnote0"/>
              <w:rPr>
                <w:rtl/>
              </w:rPr>
            </w:pPr>
            <w:r>
              <w:rPr>
                <w:rtl/>
              </w:rPr>
              <w:t>(5).</w:t>
            </w:r>
            <w:r w:rsidRPr="00C9040A">
              <w:rPr>
                <w:rtl/>
              </w:rPr>
              <w:t xml:space="preserve"> في « ف » : « عابر »</w:t>
            </w:r>
            <w:r>
              <w:rPr>
                <w:rtl/>
              </w:rPr>
              <w:t>.</w:t>
            </w:r>
          </w:p>
        </w:tc>
      </w:tr>
    </w:tbl>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ج » : « يقبل »</w:t>
      </w:r>
      <w:r w:rsidR="008A74EB">
        <w:rPr>
          <w:rtl/>
        </w:rPr>
        <w:t>.</w:t>
      </w:r>
      <w:r w:rsidR="008A74EB" w:rsidRPr="00C9040A">
        <w:rPr>
          <w:rtl/>
        </w:rPr>
        <w:t xml:space="preserve"> وأقال الله عثرته : رفعه من سقوطه. ومنه الإقالة في البيع ؛ لأنّها رفع العقد. </w:t>
      </w:r>
      <w:r w:rsidR="008A74EB" w:rsidRPr="00993B55">
        <w:rPr>
          <w:rStyle w:val="libFootnoteBoldChar"/>
          <w:rtl/>
        </w:rPr>
        <w:t>المصباح المنير</w:t>
      </w:r>
      <w:r w:rsidR="008A74EB" w:rsidRPr="00C9040A">
        <w:rPr>
          <w:rtl/>
        </w:rPr>
        <w:t xml:space="preserve"> ، ص 521 ( قيل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w:t>
      </w:r>
      <w:r w:rsidR="008A74EB" w:rsidRPr="00993B55">
        <w:rPr>
          <w:rStyle w:val="libFootnoteBoldChar"/>
          <w:rtl/>
        </w:rPr>
        <w:t>مرآة العقول</w:t>
      </w:r>
      <w:r w:rsidR="008A74EB" w:rsidRPr="00C9040A">
        <w:rPr>
          <w:rtl/>
        </w:rPr>
        <w:t xml:space="preserve"> : « أي إذا اطّلع على نصح لأخيه لايتركه ، بل يذكره له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w:t>
      </w:r>
      <w:r w:rsidR="008A74EB" w:rsidRPr="00993B55">
        <w:rPr>
          <w:rStyle w:val="libFootnoteBoldChar"/>
          <w:rtl/>
        </w:rPr>
        <w:t>مرآةالعقول</w:t>
      </w:r>
      <w:r w:rsidR="008A74EB" w:rsidRPr="00C9040A">
        <w:rPr>
          <w:rtl/>
        </w:rPr>
        <w:t xml:space="preserve"> : « الحاصل أنّه لا يدع شيئاً من الظلم يقع منه ، أو من غيره على أحد ؛ بل يصلحه ، أو لا يصدر منه شي‌ء من الظلم ، فيحتاج إلى أن يصلحه. وفي بعض النسخ : جنف ، بالجيم والنون ، وهو محرّكة : الميل والجور »</w:t>
      </w:r>
      <w:r w:rsidR="008A74EB">
        <w:rPr>
          <w:rtl/>
        </w:rPr>
        <w:t>.</w:t>
      </w:r>
      <w:r w:rsidR="008A74EB" w:rsidRPr="00C9040A">
        <w:rPr>
          <w:rtl/>
        </w:rPr>
        <w:t xml:space="preserve"> </w:t>
      </w:r>
      <w:r w:rsidR="008A74EB">
        <w:rPr>
          <w:rtl/>
        </w:rPr>
        <w:t>و «</w:t>
      </w:r>
      <w:r w:rsidR="008A74EB" w:rsidRPr="00C9040A">
        <w:rPr>
          <w:rtl/>
        </w:rPr>
        <w:t xml:space="preserve"> الجِنح » : الجانب والكَنَف والناحية. ومن الليل : الطائفة. ويضمّ. </w:t>
      </w:r>
      <w:r w:rsidR="008A74EB" w:rsidRPr="00993B55">
        <w:rPr>
          <w:rStyle w:val="libFootnoteBoldChar"/>
          <w:rtl/>
        </w:rPr>
        <w:t>القاموس المحيط</w:t>
      </w:r>
      <w:r w:rsidR="008A74EB" w:rsidRPr="00C9040A">
        <w:rPr>
          <w:rtl/>
        </w:rPr>
        <w:t xml:space="preserve"> ، ج 1 ، ص 329 ( جنح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ب ، ج ، د ، ض ، ف ، </w:t>
      </w:r>
      <w:r w:rsidR="006D3162">
        <w:rPr>
          <w:rtl/>
        </w:rPr>
        <w:t xml:space="preserve">ه </w:t>
      </w:r>
      <w:r w:rsidR="008A74EB" w:rsidRPr="00C9040A">
        <w:rPr>
          <w:rtl/>
        </w:rPr>
        <w:t xml:space="preserve">، بر ، بس » : « رضين » بالضاد المعجمة. </w:t>
      </w:r>
      <w:r w:rsidR="008A74EB">
        <w:rPr>
          <w:rtl/>
        </w:rPr>
        <w:t>و «</w:t>
      </w:r>
      <w:r w:rsidR="008A74EB" w:rsidRPr="00C9040A">
        <w:rPr>
          <w:rtl/>
        </w:rPr>
        <w:t xml:space="preserve"> الرصين » : المحكم الثابت. راجع : </w:t>
      </w:r>
      <w:r w:rsidR="008A74EB" w:rsidRPr="00993B55">
        <w:rPr>
          <w:rStyle w:val="libFootnoteBoldChar"/>
          <w:rtl/>
        </w:rPr>
        <w:t>الصحاح</w:t>
      </w:r>
      <w:r w:rsidR="008A74EB" w:rsidRPr="00C9040A">
        <w:rPr>
          <w:rtl/>
        </w:rPr>
        <w:t xml:space="preserve"> ، ج 5 ، ص 2124 ؛ </w:t>
      </w:r>
      <w:r w:rsidR="008A74EB" w:rsidRPr="00993B55">
        <w:rPr>
          <w:rStyle w:val="libFootnoteBoldChar"/>
          <w:rtl/>
        </w:rPr>
        <w:t>لسان العرب</w:t>
      </w:r>
      <w:r w:rsidR="008A74EB" w:rsidRPr="00C9040A">
        <w:rPr>
          <w:rtl/>
        </w:rPr>
        <w:t xml:space="preserve"> ، ج 13 ، ص 181 ( رصن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حاشية « د » : « ذكيّ » بالذال. </w:t>
      </w:r>
      <w:r w:rsidR="008A74EB">
        <w:rPr>
          <w:rtl/>
        </w:rPr>
        <w:t>و «</w:t>
      </w:r>
      <w:r w:rsidR="008A74EB" w:rsidRPr="00C9040A">
        <w:rPr>
          <w:rtl/>
        </w:rPr>
        <w:t xml:space="preserve"> زكيّ » أي طاهر من العيوب. </w:t>
      </w:r>
      <w:r w:rsidR="008A74EB">
        <w:rPr>
          <w:rtl/>
        </w:rPr>
        <w:t>و «</w:t>
      </w:r>
      <w:r w:rsidR="008A74EB" w:rsidRPr="00C9040A">
        <w:rPr>
          <w:rtl/>
        </w:rPr>
        <w:t xml:space="preserve"> ذكيّ » أي يدرك المطالب العليّة من المبادي الخفيّة بسهولة.</w:t>
      </w:r>
    </w:p>
    <w:p w:rsidR="008A74EB" w:rsidRPr="00C9040A" w:rsidRDefault="006C577F" w:rsidP="004A4E41">
      <w:pPr>
        <w:pStyle w:val="libFootnote0"/>
        <w:rPr>
          <w:rtl/>
          <w:lang w:bidi="fa-IR"/>
        </w:rPr>
      </w:pPr>
      <w:r>
        <w:rPr>
          <w:rtl/>
        </w:rPr>
        <w:t>(11).</w:t>
      </w:r>
      <w:r w:rsidR="008A74EB" w:rsidRPr="00C9040A">
        <w:rPr>
          <w:rtl/>
        </w:rPr>
        <w:t xml:space="preserve"> في « بر » : « ويجمّل » بالتشديد. وفي « بس » : « ويحمل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هكذا في « ف » ومرآة العقول والوافي. ويكون « على » بمعنى الباء ، أي‌يتّهم بالعيب نفسه. وفي أكثر النسخ‌والمطبوع : « الغيب » بالغين المعجمة ، فيكون « على » بمعنى « في »</w:t>
      </w:r>
      <w:r w:rsidR="008A74EB">
        <w:rPr>
          <w:rtl/>
        </w:rPr>
        <w:t>.</w:t>
      </w:r>
    </w:p>
    <w:p w:rsidR="008A74EB" w:rsidRPr="00C9040A" w:rsidRDefault="008A74EB" w:rsidP="004A4E41">
      <w:pPr>
        <w:pStyle w:val="libFootnote0"/>
        <w:rPr>
          <w:rtl/>
          <w:lang w:bidi="fa-IR"/>
        </w:rPr>
      </w:pPr>
      <w:r>
        <w:rPr>
          <w:rtl/>
        </w:rPr>
        <w:t>(13)</w:t>
      </w:r>
      <w:r w:rsidRPr="00C9040A">
        <w:rPr>
          <w:rtl/>
        </w:rPr>
        <w:t xml:space="preserve"> في « د ، </w:t>
      </w:r>
      <w:r w:rsidR="006D3162">
        <w:rPr>
          <w:rtl/>
        </w:rPr>
        <w:t xml:space="preserve">ه </w:t>
      </w:r>
      <w:r w:rsidRPr="00C9040A">
        <w:rPr>
          <w:rtl/>
        </w:rPr>
        <w:t>، » : « يجزم »</w:t>
      </w:r>
      <w:r>
        <w:rPr>
          <w:rtl/>
        </w:rPr>
        <w:t>.</w:t>
      </w:r>
    </w:p>
    <w:p w:rsidR="008A74EB" w:rsidRPr="00C9040A" w:rsidRDefault="008A74EB" w:rsidP="004A4E41">
      <w:pPr>
        <w:pStyle w:val="libFootnote0"/>
        <w:rPr>
          <w:rtl/>
          <w:lang w:bidi="fa-IR"/>
        </w:rPr>
      </w:pPr>
      <w:r>
        <w:rPr>
          <w:rtl/>
        </w:rPr>
        <w:t>(14)</w:t>
      </w:r>
      <w:r w:rsidRPr="00C9040A">
        <w:rPr>
          <w:rtl/>
        </w:rPr>
        <w:t xml:space="preserve"> في « بر » : « فرج » بالجيم المعجمة. وفي </w:t>
      </w:r>
      <w:r w:rsidRPr="00993B55">
        <w:rPr>
          <w:rStyle w:val="libFootnoteBoldChar"/>
          <w:rtl/>
        </w:rPr>
        <w:t>مرآة العقول</w:t>
      </w:r>
      <w:r w:rsidRPr="00C9040A">
        <w:rPr>
          <w:rtl/>
        </w:rPr>
        <w:t xml:space="preserve"> : « أي لايصير الفرح سبباً لخرقه وسفهه »</w:t>
      </w:r>
      <w:r>
        <w:rPr>
          <w:rtl/>
        </w:rPr>
        <w:t>.</w:t>
      </w:r>
    </w:p>
    <w:p w:rsidR="008A74EB" w:rsidRPr="00C9040A" w:rsidRDefault="008A74EB" w:rsidP="004A4E41">
      <w:pPr>
        <w:pStyle w:val="libFootnote0"/>
        <w:rPr>
          <w:rtl/>
          <w:lang w:bidi="fa-IR"/>
        </w:rPr>
      </w:pPr>
      <w:r>
        <w:rPr>
          <w:rtl/>
        </w:rPr>
        <w:t>(15)</w:t>
      </w:r>
      <w:r w:rsidRPr="00C9040A">
        <w:rPr>
          <w:rtl/>
        </w:rPr>
        <w:t xml:space="preserve"> في « ض » : « ولا يبطش »</w:t>
      </w:r>
      <w:r>
        <w:rPr>
          <w:rtl/>
        </w:rPr>
        <w:t>.</w:t>
      </w:r>
      <w:r w:rsidRPr="00C9040A">
        <w:rPr>
          <w:rtl/>
        </w:rPr>
        <w:t xml:space="preserve"> وطاش السَّهم عن الهدف طَيْشاً : انحرف عنه فلم يصبْه ، فهو طائش وطيّاش. </w:t>
      </w:r>
      <w:r w:rsidR="00505F89">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0C0FB9">
      <w:pPr>
        <w:pStyle w:val="libNormal0"/>
        <w:rPr>
          <w:rtl/>
          <w:lang w:bidi="fa-IR"/>
        </w:rPr>
      </w:pPr>
      <w:r w:rsidRPr="00C9040A">
        <w:rPr>
          <w:rtl/>
          <w:lang w:bidi="fa-IR"/>
        </w:rPr>
        <w:t xml:space="preserve">مَرَحٌ </w:t>
      </w:r>
      <w:r w:rsidR="006C577F" w:rsidRPr="006C577F">
        <w:rPr>
          <w:rStyle w:val="libFootnotenumChar"/>
          <w:rtl/>
        </w:rPr>
        <w:t>(1)</w:t>
      </w:r>
      <w:r w:rsidRPr="00C9040A">
        <w:rPr>
          <w:rtl/>
          <w:lang w:bidi="fa-IR"/>
        </w:rPr>
        <w:t xml:space="preserve"> ، مُذَكِّرٌ لِلْعَالِمِ ، مُعَلِّمٌ لِلْجَاهِلِ ، لَايُتَوَقَّعُ لَهُ بَائِقَةٌ </w:t>
      </w:r>
      <w:r w:rsidR="006C577F" w:rsidRPr="006C577F">
        <w:rPr>
          <w:rStyle w:val="libFootnotenumChar"/>
          <w:rtl/>
        </w:rPr>
        <w:t>(2)</w:t>
      </w:r>
      <w:r w:rsidRPr="00C9040A">
        <w:rPr>
          <w:rtl/>
          <w:lang w:bidi="fa-IR"/>
        </w:rPr>
        <w:t xml:space="preserve"> ، وَلَا يُخَافُ لَهُ </w:t>
      </w:r>
      <w:r w:rsidR="006C577F" w:rsidRPr="006C577F">
        <w:rPr>
          <w:rStyle w:val="libFootnotenumChar"/>
          <w:rtl/>
        </w:rPr>
        <w:t>(3)</w:t>
      </w:r>
      <w:r w:rsidRPr="00C9040A">
        <w:rPr>
          <w:rtl/>
          <w:lang w:bidi="fa-IR"/>
        </w:rPr>
        <w:t xml:space="preserve"> غَائِلَةٌ </w:t>
      </w:r>
      <w:r w:rsidR="006C577F" w:rsidRPr="006C577F">
        <w:rPr>
          <w:rStyle w:val="libFootnotenumChar"/>
          <w:rtl/>
        </w:rPr>
        <w:t>(4)</w:t>
      </w:r>
      <w:r w:rsidRPr="00C9040A">
        <w:rPr>
          <w:rtl/>
          <w:lang w:bidi="fa-IR"/>
        </w:rPr>
        <w:t xml:space="preserve"> ، كُلُّ سَعْيٍ أَخْلَصُ عِنْدَهُ مِنْ سَعْيِهِ ، وَكُلُّ نَفْسٍ أَصْلَحُ عِنْدَهُ </w:t>
      </w:r>
      <w:r w:rsidR="006C577F" w:rsidRPr="006C577F">
        <w:rPr>
          <w:rStyle w:val="libFootnotenumChar"/>
          <w:rtl/>
        </w:rPr>
        <w:t>(5)</w:t>
      </w:r>
      <w:r w:rsidRPr="00C9040A">
        <w:rPr>
          <w:rtl/>
          <w:lang w:bidi="fa-IR"/>
        </w:rPr>
        <w:t xml:space="preserve"> مِنْ نَفْسِهِ ، عَالِمٌ بِعَيْبِهِ ، شَاغِلٌ بِغَمِّهِ ، لَا يَثِقُ بِغَيْرِ رَبِّهِ ، غَرِيبٌ </w:t>
      </w:r>
      <w:r w:rsidR="006C577F" w:rsidRPr="006C577F">
        <w:rPr>
          <w:rStyle w:val="libFootnotenumChar"/>
          <w:rtl/>
        </w:rPr>
        <w:t>(6)</w:t>
      </w:r>
      <w:r w:rsidR="000C0FB9" w:rsidRPr="00C9040A">
        <w:rPr>
          <w:rtl/>
          <w:lang w:bidi="fa-IR"/>
        </w:rPr>
        <w:t xml:space="preserve"> </w:t>
      </w:r>
      <w:r w:rsidRPr="00C9040A">
        <w:rPr>
          <w:rtl/>
          <w:lang w:bidi="fa-IR"/>
        </w:rPr>
        <w:t xml:space="preserve">، وَحِيدٌ ، جَرِيدٌ </w:t>
      </w:r>
      <w:r w:rsidR="006C577F" w:rsidRPr="006C577F">
        <w:rPr>
          <w:rStyle w:val="libFootnotenumChar"/>
          <w:rtl/>
        </w:rPr>
        <w:t>(7)</w:t>
      </w:r>
      <w:r w:rsidRPr="00C9040A">
        <w:rPr>
          <w:rtl/>
          <w:lang w:bidi="fa-IR"/>
        </w:rPr>
        <w:t xml:space="preserve"> ، حَزِينٌ </w:t>
      </w:r>
      <w:r w:rsidR="006C577F" w:rsidRPr="006C577F">
        <w:rPr>
          <w:rStyle w:val="libFootnotenumChar"/>
          <w:rtl/>
        </w:rPr>
        <w:t>(8)</w:t>
      </w:r>
      <w:r w:rsidRPr="00C9040A">
        <w:rPr>
          <w:rtl/>
          <w:lang w:bidi="fa-IR"/>
        </w:rPr>
        <w:t xml:space="preserve"> ، يُحِبُّ فِي اللهِ ، وَيُجَاهِدُ فِي اللهِ لِيَتَّبِعَ </w:t>
      </w:r>
      <w:r w:rsidR="006C577F" w:rsidRPr="006C577F">
        <w:rPr>
          <w:rStyle w:val="libFootnotenumChar"/>
          <w:rtl/>
        </w:rPr>
        <w:t>(9)</w:t>
      </w:r>
      <w:r w:rsidRPr="00C9040A">
        <w:rPr>
          <w:rtl/>
          <w:lang w:bidi="fa-IR"/>
        </w:rPr>
        <w:t xml:space="preserve"> رِضَاهُ ، وَلَا يَنْتَقِمُ لِنَفْسِهِ بِنَفْسِهِ ، وَلَا يُوَالِي فِي سَخَطِ رَبِّهِ ، مُجَالِسٌ لِأَهْلِ الْفَقْرِ ، مُصَادِقٌ لِأَهْلِ الصِّدْقِ ، مُؤَازِرٌ </w:t>
      </w:r>
      <w:r w:rsidR="006C577F" w:rsidRPr="006C577F">
        <w:rPr>
          <w:rStyle w:val="libFootnotenumChar"/>
          <w:rtl/>
        </w:rPr>
        <w:t>(10)</w:t>
      </w:r>
      <w:r w:rsidRPr="00C9040A">
        <w:rPr>
          <w:rtl/>
          <w:lang w:bidi="fa-IR"/>
        </w:rPr>
        <w:t xml:space="preserve"> لِأَهْلِ الْحَقِّ ، عَوْنٌ لِلْغَرِيبِ </w:t>
      </w:r>
      <w:r w:rsidR="006C577F" w:rsidRPr="006C577F">
        <w:rPr>
          <w:rStyle w:val="libFootnotenumChar"/>
          <w:rtl/>
        </w:rPr>
        <w:t>(11)</w:t>
      </w:r>
      <w:r w:rsidRPr="00C9040A">
        <w:rPr>
          <w:rtl/>
          <w:lang w:bidi="fa-IR"/>
        </w:rPr>
        <w:t xml:space="preserve"> ، أَبٌ لِلْيَتِيمِ ، بَعْلٌ لِلْأَرْمَلَةِ </w:t>
      </w:r>
      <w:r w:rsidR="006C577F" w:rsidRPr="006C577F">
        <w:rPr>
          <w:rStyle w:val="libFootnotenumChar"/>
          <w:rtl/>
        </w:rPr>
        <w:t>(12)</w:t>
      </w:r>
      <w:r w:rsidRPr="00C9040A">
        <w:rPr>
          <w:rtl/>
          <w:lang w:bidi="fa-IR"/>
        </w:rPr>
        <w:t xml:space="preserve"> ، حَفِيٌّ </w:t>
      </w:r>
      <w:r w:rsidRPr="005B567D">
        <w:rPr>
          <w:rStyle w:val="libFootnotenumChar"/>
          <w:rtl/>
        </w:rPr>
        <w:t>(13)</w:t>
      </w:r>
      <w:r w:rsidRPr="00C9040A">
        <w:rPr>
          <w:rtl/>
          <w:lang w:bidi="fa-IR"/>
        </w:rPr>
        <w:t xml:space="preserve"> بِأَهْلِ </w:t>
      </w:r>
      <w:r w:rsidRPr="005B567D">
        <w:rPr>
          <w:rStyle w:val="libFootnotenumChar"/>
          <w:rtl/>
        </w:rPr>
        <w:t>(14)</w:t>
      </w:r>
      <w:r w:rsidRPr="00C9040A">
        <w:rPr>
          <w:rtl/>
          <w:lang w:bidi="fa-IR"/>
        </w:rPr>
        <w:t xml:space="preserve"> الْمَسْكَنَةِ ، مَرْجُوٌّ لِكُلِّ كَرِيهَةٍ </w:t>
      </w:r>
      <w:r w:rsidRPr="005B567D">
        <w:rPr>
          <w:rStyle w:val="libFootnotenumChar"/>
          <w:rtl/>
        </w:rPr>
        <w:t>(15)</w:t>
      </w:r>
      <w:r w:rsidRPr="00C9040A">
        <w:rPr>
          <w:rtl/>
          <w:lang w:bidi="fa-IR"/>
        </w:rPr>
        <w:t xml:space="preserve"> ، مَأْمُولٌ لِكُلِّ‌</w:t>
      </w:r>
      <w:r w:rsidR="000C0FB9">
        <w:rPr>
          <w:rFonts w:hint="cs"/>
          <w:rtl/>
          <w:lang w:bidi="fa-IR"/>
        </w:rPr>
        <w:t>..........................</w:t>
      </w:r>
      <w:r w:rsidR="000C0FB9">
        <w:rPr>
          <w:rFonts w:hint="cs"/>
          <w:rtl/>
          <w:lang w:bidi="fa-IR"/>
        </w:rPr>
        <w:tab/>
      </w:r>
    </w:p>
    <w:p w:rsidR="008A74EB" w:rsidRPr="00C9040A" w:rsidRDefault="008A74EB" w:rsidP="008A74EB">
      <w:pPr>
        <w:pStyle w:val="libLine"/>
        <w:rPr>
          <w:rtl/>
          <w:lang w:bidi="fa-IR"/>
        </w:rPr>
      </w:pPr>
      <w:r w:rsidRPr="00C9040A">
        <w:rPr>
          <w:rtl/>
          <w:lang w:bidi="fa-IR"/>
        </w:rPr>
        <w:t>__________________</w:t>
      </w:r>
    </w:p>
    <w:p w:rsidR="008A74EB" w:rsidRPr="00C9040A" w:rsidRDefault="00016E77" w:rsidP="004A4E41">
      <w:pPr>
        <w:pStyle w:val="libFootnote0"/>
        <w:rPr>
          <w:rtl/>
          <w:lang w:bidi="fa-IR"/>
        </w:rPr>
      </w:pPr>
      <w:r w:rsidRPr="00016E77">
        <w:rPr>
          <w:rFonts w:hint="cs"/>
          <w:rtl/>
        </w:rPr>
        <w:t xml:space="preserve">= </w:t>
      </w:r>
      <w:r w:rsidR="008A74EB" w:rsidRPr="00993B55">
        <w:rPr>
          <w:rStyle w:val="libFootnoteBoldChar"/>
          <w:rtl/>
        </w:rPr>
        <w:t>المصباح المنير</w:t>
      </w:r>
      <w:r w:rsidR="008A74EB" w:rsidRPr="00C9040A">
        <w:rPr>
          <w:rtl/>
        </w:rPr>
        <w:t xml:space="preserve"> ، ص 383 ( طيش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 أي لا يصير شدّة فرحه سبباً لنزقه وخفّته وذهاب عقله أو عدوله عن الحقّ وميله إلى الباطل »</w:t>
      </w:r>
      <w:r w:rsidR="008A74EB">
        <w:rPr>
          <w:rtl/>
        </w:rPr>
        <w:t>.</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بر » وحاشية « ج » : « ترح »</w:t>
      </w:r>
      <w:r w:rsidR="008A74EB">
        <w:rPr>
          <w:rtl/>
        </w:rPr>
        <w:t>.</w:t>
      </w:r>
      <w:r w:rsidR="008A74EB" w:rsidRPr="00C9040A">
        <w:rPr>
          <w:rtl/>
        </w:rPr>
        <w:t xml:space="preserve"> ومَرِحَ مَرَحاً فهو مَرِح ، مثل فَرِحَ ، وزناً ومعنى. وقيل : أشدّ من الفرح. </w:t>
      </w:r>
      <w:r w:rsidR="008A74EB" w:rsidRPr="00993B55">
        <w:rPr>
          <w:rStyle w:val="libFootnoteBoldChar"/>
          <w:rtl/>
        </w:rPr>
        <w:t>المصباح المنير</w:t>
      </w:r>
      <w:r w:rsidR="008A74EB" w:rsidRPr="00C9040A">
        <w:rPr>
          <w:rtl/>
        </w:rPr>
        <w:t xml:space="preserve"> ، ص 568 ( مرح )</w:t>
      </w:r>
      <w:r w:rsidR="008A74EB">
        <w:rPr>
          <w:rtl/>
        </w:rPr>
        <w:t>.</w:t>
      </w:r>
    </w:p>
    <w:p w:rsidR="008A74EB" w:rsidRPr="00C9040A" w:rsidRDefault="006C577F" w:rsidP="00016E77">
      <w:pPr>
        <w:pStyle w:val="libFootnote0"/>
        <w:rPr>
          <w:rtl/>
          <w:lang w:bidi="fa-IR"/>
        </w:rPr>
      </w:pPr>
      <w:r>
        <w:rPr>
          <w:rtl/>
        </w:rPr>
        <w:t>(2).</w:t>
      </w:r>
      <w:r w:rsidR="008A74EB">
        <w:rPr>
          <w:rtl/>
        </w:rPr>
        <w:t xml:space="preserve"> </w:t>
      </w:r>
      <w:r w:rsidR="008A74EB" w:rsidRPr="00C9040A">
        <w:rPr>
          <w:rtl/>
        </w:rPr>
        <w:t xml:space="preserve">« البائقة » : النازلة ، وهي الداهية والشَّرّ الشديد. وجمعها : بوائق. </w:t>
      </w:r>
      <w:r w:rsidR="008A74EB" w:rsidRPr="00993B55">
        <w:rPr>
          <w:rStyle w:val="libFootnoteBoldChar"/>
          <w:rtl/>
        </w:rPr>
        <w:t>المصباح المنير</w:t>
      </w:r>
      <w:r w:rsidR="008A74EB" w:rsidRPr="00C9040A">
        <w:rPr>
          <w:rtl/>
        </w:rPr>
        <w:t xml:space="preserve"> ، ص 66 ؛ </w:t>
      </w:r>
      <w:r w:rsidR="008A74EB" w:rsidRPr="00993B55">
        <w:rPr>
          <w:rStyle w:val="libFootnoteBoldChar"/>
          <w:rtl/>
        </w:rPr>
        <w:t>القاموس المحيط</w:t>
      </w:r>
      <w:r w:rsidR="008A74EB" w:rsidRPr="00C9040A">
        <w:rPr>
          <w:rtl/>
        </w:rPr>
        <w:t xml:space="preserve"> ، ج 2 ، ص 1156 ( بوق )</w:t>
      </w:r>
      <w:r w:rsidR="008A74EB">
        <w:rPr>
          <w:rtl/>
        </w:rPr>
        <w:t>.</w:t>
      </w:r>
      <w:r w:rsidR="00016E77">
        <w:rPr>
          <w:rFonts w:hint="cs"/>
          <w:rtl/>
        </w:rPr>
        <w:t xml:space="preserve">                         </w:t>
      </w:r>
      <w:r>
        <w:rPr>
          <w:rtl/>
        </w:rPr>
        <w:t>(3).</w:t>
      </w:r>
      <w:r w:rsidR="008A74EB" w:rsidRPr="00C9040A">
        <w:rPr>
          <w:rtl/>
        </w:rPr>
        <w:t xml:space="preserve"> في « </w:t>
      </w:r>
      <w:r w:rsidR="006D3162">
        <w:rPr>
          <w:rtl/>
        </w:rPr>
        <w:t xml:space="preserve">ه </w:t>
      </w:r>
      <w:r w:rsidR="008A74EB" w:rsidRPr="00C9040A">
        <w:rPr>
          <w:rtl/>
        </w:rPr>
        <w:t>» : « عليه »</w:t>
      </w:r>
      <w:r w:rsidR="008A74EB">
        <w:rPr>
          <w:rtl/>
        </w:rPr>
        <w:t>.</w:t>
      </w:r>
    </w:p>
    <w:p w:rsidR="008A74EB" w:rsidRPr="00C9040A" w:rsidRDefault="006C577F" w:rsidP="00016E77">
      <w:pPr>
        <w:pStyle w:val="libFootnote0"/>
        <w:rPr>
          <w:rtl/>
          <w:lang w:bidi="fa-IR"/>
        </w:rPr>
      </w:pPr>
      <w:r>
        <w:rPr>
          <w:rtl/>
        </w:rPr>
        <w:t>(4).</w:t>
      </w:r>
      <w:r w:rsidR="008A74EB" w:rsidRPr="00C9040A">
        <w:rPr>
          <w:rtl/>
        </w:rPr>
        <w:t xml:space="preserve"> « الغائلة » : الفساد والشرّ. وغائلة العبد : إباقُه وفجوره ونحو ذلك. والجمع : الغوائل. وقال الكسائي : الغوائل : الدواهي. </w:t>
      </w:r>
      <w:r w:rsidR="008A74EB" w:rsidRPr="00993B55">
        <w:rPr>
          <w:rStyle w:val="libFootnoteBoldChar"/>
          <w:rtl/>
        </w:rPr>
        <w:t>المصباح المنير</w:t>
      </w:r>
      <w:r w:rsidR="008A74EB" w:rsidRPr="00C9040A">
        <w:rPr>
          <w:rtl/>
        </w:rPr>
        <w:t xml:space="preserve"> ، ص 457 ( غول )</w:t>
      </w:r>
      <w:r w:rsidR="008A74EB">
        <w:rPr>
          <w:rtl/>
        </w:rPr>
        <w:t>.</w:t>
      </w:r>
      <w:r w:rsidR="00016E77">
        <w:rPr>
          <w:rFonts w:hint="cs"/>
          <w:rtl/>
        </w:rPr>
        <w:t xml:space="preserve">               </w:t>
      </w:r>
      <w:r>
        <w:rPr>
          <w:rtl/>
        </w:rPr>
        <w:t>(5).</w:t>
      </w:r>
      <w:r w:rsidR="00016E77">
        <w:rPr>
          <w:rtl/>
        </w:rPr>
        <w:t xml:space="preserve"> في«ص،ض،ف،ه،بف»:</w:t>
      </w:r>
      <w:r w:rsidR="008A74EB" w:rsidRPr="00C9040A">
        <w:rPr>
          <w:rtl/>
        </w:rPr>
        <w:t>« عن</w:t>
      </w:r>
      <w:r w:rsidR="00016E77">
        <w:rPr>
          <w:rtl/>
        </w:rPr>
        <w:t>ده</w:t>
      </w:r>
      <w:r w:rsidR="00016E77">
        <w:rPr>
          <w:rFonts w:hint="cs"/>
          <w:rtl/>
        </w:rPr>
        <w:t xml:space="preserve"> </w:t>
      </w:r>
      <w:r w:rsidR="00016E77">
        <w:rPr>
          <w:rtl/>
        </w:rPr>
        <w:t>أصلح</w:t>
      </w:r>
      <w:r w:rsidR="008A74EB" w:rsidRPr="00C9040A">
        <w:rPr>
          <w:rtl/>
        </w:rPr>
        <w:t>»</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ج ، ز ، ص ، ف » وشرح المازندراني والوافي ومرآة العقول والبحار : « قريب »</w:t>
      </w:r>
      <w:r w:rsidR="008A74EB">
        <w:rPr>
          <w:rtl/>
        </w:rPr>
        <w:t>.</w:t>
      </w:r>
      <w:r w:rsidR="008A74EB" w:rsidRPr="00C9040A">
        <w:rPr>
          <w:rtl/>
        </w:rPr>
        <w:t xml:space="preserve"> ولكن استظهر المجلسي‌في </w:t>
      </w:r>
      <w:r w:rsidR="008A74EB" w:rsidRPr="00993B55">
        <w:rPr>
          <w:rStyle w:val="libFootnoteBoldChar"/>
          <w:rtl/>
        </w:rPr>
        <w:t xml:space="preserve">البحار </w:t>
      </w:r>
      <w:r w:rsidR="008A74EB" w:rsidRPr="009648AB">
        <w:rPr>
          <w:rtl/>
        </w:rPr>
        <w:t>و</w:t>
      </w:r>
      <w:r w:rsidR="008A74EB" w:rsidRPr="00993B55">
        <w:rPr>
          <w:rStyle w:val="libFootnoteBoldChar"/>
          <w:rtl/>
        </w:rPr>
        <w:t>المرآة</w:t>
      </w:r>
      <w:r w:rsidR="008A74EB" w:rsidRPr="00C9040A">
        <w:rPr>
          <w:rtl/>
        </w:rPr>
        <w:t xml:space="preserve"> : « غريب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ض ، </w:t>
      </w:r>
      <w:r w:rsidR="006D3162">
        <w:rPr>
          <w:rtl/>
        </w:rPr>
        <w:t xml:space="preserve">ه </w:t>
      </w:r>
      <w:r w:rsidR="008A74EB" w:rsidRPr="00C9040A">
        <w:rPr>
          <w:rtl/>
        </w:rPr>
        <w:t xml:space="preserve">، بر » والوافي ومرآة العقول والبحار </w:t>
      </w:r>
      <w:r w:rsidR="008A74EB">
        <w:rPr>
          <w:rtl/>
        </w:rPr>
        <w:t xml:space="preserve">: </w:t>
      </w:r>
      <w:r w:rsidR="0084262C">
        <w:rPr>
          <w:rtl/>
        </w:rPr>
        <w:t>-</w:t>
      </w:r>
      <w:r w:rsidR="008A74EB" w:rsidRPr="00C9040A">
        <w:rPr>
          <w:rtl/>
        </w:rPr>
        <w:t xml:space="preserve"> « جريد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 ج ، د ، ف ، بس » وشرح المازندراني </w:t>
      </w:r>
      <w:r w:rsidR="008A74EB">
        <w:rPr>
          <w:rtl/>
        </w:rPr>
        <w:t xml:space="preserve">: </w:t>
      </w:r>
      <w:r w:rsidR="0084262C">
        <w:rPr>
          <w:rtl/>
        </w:rPr>
        <w:t>-</w:t>
      </w:r>
      <w:r w:rsidR="008A74EB" w:rsidRPr="00C9040A">
        <w:rPr>
          <w:rtl/>
        </w:rPr>
        <w:t xml:space="preserve"> « حزين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بر » والوافي : « ليبتغ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 آزره » : ظاهره وعاونه على أمر. </w:t>
      </w:r>
      <w:r w:rsidR="008A74EB" w:rsidRPr="00993B55">
        <w:rPr>
          <w:rStyle w:val="libFootnoteBoldChar"/>
          <w:rtl/>
        </w:rPr>
        <w:t>ترتيب كتاب العين</w:t>
      </w:r>
      <w:r w:rsidR="008A74EB" w:rsidRPr="00C9040A">
        <w:rPr>
          <w:rtl/>
        </w:rPr>
        <w:t xml:space="preserve"> ، ج 1 ، ص 80 ( أزر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هكذا في « د ، ج ، ص ، ف ، </w:t>
      </w:r>
      <w:r w:rsidR="006D3162">
        <w:rPr>
          <w:rtl/>
        </w:rPr>
        <w:t xml:space="preserve">ه </w:t>
      </w:r>
      <w:r w:rsidR="008A74EB" w:rsidRPr="00C9040A">
        <w:rPr>
          <w:rtl/>
        </w:rPr>
        <w:t>» وشرح المازندراني والوافي ومرآة العقول والبحار. وفي سائر النسخ والمطبوع : « للقريب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 الأرملة » : المرأة التي مات زوجها ، سواء كانت غنيّة أو فقيرة ، أو هي المحتاجة المسكينة. راجع : </w:t>
      </w:r>
      <w:r w:rsidR="008A74EB" w:rsidRPr="00993B55">
        <w:rPr>
          <w:rStyle w:val="libFootnoteBoldChar"/>
          <w:rtl/>
        </w:rPr>
        <w:t>النهاية</w:t>
      </w:r>
      <w:r w:rsidR="008A74EB" w:rsidRPr="00C9040A">
        <w:rPr>
          <w:rtl/>
        </w:rPr>
        <w:t xml:space="preserve"> ، ج 2 ، ص 266 ؛ </w:t>
      </w:r>
      <w:r w:rsidR="008A74EB" w:rsidRPr="00993B55">
        <w:rPr>
          <w:rStyle w:val="libFootnoteBoldChar"/>
          <w:rtl/>
        </w:rPr>
        <w:t>القاموس المحيط</w:t>
      </w:r>
      <w:r w:rsidR="008A74EB" w:rsidRPr="00C9040A">
        <w:rPr>
          <w:rtl/>
        </w:rPr>
        <w:t xml:space="preserve"> ، ج 2 ، ص 1332 ( رمل )</w:t>
      </w:r>
      <w:r w:rsidR="008A74EB">
        <w:rPr>
          <w:rtl/>
        </w:rPr>
        <w:t>.</w:t>
      </w:r>
    </w:p>
    <w:p w:rsidR="008A74EB" w:rsidRPr="00C9040A" w:rsidRDefault="008A74EB" w:rsidP="004715A3">
      <w:pPr>
        <w:pStyle w:val="libFootnote0"/>
        <w:rPr>
          <w:rtl/>
          <w:lang w:bidi="fa-IR"/>
        </w:rPr>
      </w:pPr>
      <w:r>
        <w:rPr>
          <w:rtl/>
        </w:rPr>
        <w:t>(13)</w:t>
      </w:r>
      <w:r w:rsidRPr="00C9040A">
        <w:rPr>
          <w:rtl/>
        </w:rPr>
        <w:t xml:space="preserve"> « الحفيّ » : البَرُّ اللطيف. ويقال : حفيتُ بفلان وتحفّيت به ، إذا عُنيتَ بإكرامه. </w:t>
      </w:r>
      <w:r w:rsidRPr="00993B55">
        <w:rPr>
          <w:rStyle w:val="libFootnoteBoldChar"/>
          <w:rtl/>
        </w:rPr>
        <w:t>المفردات</w:t>
      </w:r>
      <w:r w:rsidRPr="00C9040A">
        <w:rPr>
          <w:rtl/>
        </w:rPr>
        <w:t xml:space="preserve"> للراغب ، ص 246 ( حفي )</w:t>
      </w:r>
      <w:r>
        <w:rPr>
          <w:rtl/>
        </w:rPr>
        <w:t>.</w:t>
      </w:r>
      <w:r w:rsidR="004715A3">
        <w:rPr>
          <w:rFonts w:hint="cs"/>
          <w:rtl/>
        </w:rPr>
        <w:t xml:space="preserve">                                               </w:t>
      </w:r>
      <w:r>
        <w:rPr>
          <w:rtl/>
        </w:rPr>
        <w:t>(14)</w:t>
      </w:r>
      <w:r w:rsidRPr="00C9040A">
        <w:rPr>
          <w:rtl/>
        </w:rPr>
        <w:t xml:space="preserve"> في شرح المازندراني : « لأهل »</w:t>
      </w:r>
      <w:r>
        <w:rPr>
          <w:rtl/>
        </w:rPr>
        <w:t>.</w:t>
      </w:r>
    </w:p>
    <w:p w:rsidR="008A74EB" w:rsidRPr="00C9040A" w:rsidRDefault="008A74EB" w:rsidP="004A4E41">
      <w:pPr>
        <w:pStyle w:val="libFootnote0"/>
        <w:rPr>
          <w:rtl/>
          <w:lang w:bidi="fa-IR"/>
        </w:rPr>
      </w:pPr>
      <w:r>
        <w:rPr>
          <w:rtl/>
        </w:rPr>
        <w:t>(15)</w:t>
      </w:r>
      <w:r w:rsidRPr="00C9040A">
        <w:rPr>
          <w:rtl/>
        </w:rPr>
        <w:t xml:space="preserve"> في الوافي : « كريمة »</w:t>
      </w:r>
      <w:r>
        <w:rPr>
          <w:rtl/>
        </w:rPr>
        <w:t>.</w:t>
      </w:r>
      <w:r w:rsidRPr="00C9040A">
        <w:rPr>
          <w:rtl/>
        </w:rPr>
        <w:t xml:space="preserve"> </w:t>
      </w:r>
      <w:r>
        <w:rPr>
          <w:rtl/>
        </w:rPr>
        <w:t>و «</w:t>
      </w:r>
      <w:r w:rsidRPr="00C9040A">
        <w:rPr>
          <w:rtl/>
        </w:rPr>
        <w:t xml:space="preserve"> الكريهة » : الشدّة في الحرب. </w:t>
      </w:r>
      <w:r w:rsidRPr="00993B55">
        <w:rPr>
          <w:rStyle w:val="libFootnoteBoldChar"/>
          <w:rtl/>
        </w:rPr>
        <w:t>الصحاح</w:t>
      </w:r>
      <w:r w:rsidRPr="00C9040A">
        <w:rPr>
          <w:rtl/>
        </w:rPr>
        <w:t xml:space="preserve"> ، ج 6 ، ص 2247 ( كره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شِدَّةٍ </w:t>
      </w:r>
      <w:r w:rsidR="006C577F" w:rsidRPr="006C577F">
        <w:rPr>
          <w:rStyle w:val="libFootnotenumChar"/>
          <w:rtl/>
        </w:rPr>
        <w:t>(1)</w:t>
      </w:r>
      <w:r w:rsidRPr="00C9040A">
        <w:rPr>
          <w:rtl/>
          <w:lang w:bidi="fa-IR"/>
        </w:rPr>
        <w:t xml:space="preserve"> ، هَشَّاشٌ </w:t>
      </w:r>
      <w:r w:rsidR="006C577F" w:rsidRPr="006C577F">
        <w:rPr>
          <w:rStyle w:val="libFootnotenumChar"/>
          <w:rtl/>
        </w:rPr>
        <w:t>(2)</w:t>
      </w:r>
      <w:r w:rsidRPr="00C9040A">
        <w:rPr>
          <w:rtl/>
          <w:lang w:bidi="fa-IR"/>
        </w:rPr>
        <w:t xml:space="preserve"> ، بَشَّاشٌ </w:t>
      </w:r>
      <w:r w:rsidR="006C577F" w:rsidRPr="006C577F">
        <w:rPr>
          <w:rStyle w:val="libFootnotenumChar"/>
          <w:rtl/>
        </w:rPr>
        <w:t>(3)</w:t>
      </w:r>
      <w:r w:rsidRPr="00C9040A">
        <w:rPr>
          <w:rtl/>
          <w:lang w:bidi="fa-IR"/>
        </w:rPr>
        <w:t xml:space="preserve"> ، لَابِعَبَّاسٍ وَلَا بِجَسَّاسٍ </w:t>
      </w:r>
      <w:r w:rsidR="006C577F" w:rsidRPr="006C577F">
        <w:rPr>
          <w:rStyle w:val="libFootnotenumChar"/>
          <w:rtl/>
        </w:rPr>
        <w:t>(4)</w:t>
      </w:r>
      <w:r w:rsidRPr="00C9040A">
        <w:rPr>
          <w:rtl/>
          <w:lang w:bidi="fa-IR"/>
        </w:rPr>
        <w:t xml:space="preserve"> ، صَلِيبٌ ، كَظَّامٌ ، بَسَّامٌ </w:t>
      </w:r>
      <w:r w:rsidR="006C577F" w:rsidRPr="006C577F">
        <w:rPr>
          <w:rStyle w:val="libFootnotenumChar"/>
          <w:rtl/>
        </w:rPr>
        <w:t>(5)</w:t>
      </w:r>
      <w:r w:rsidRPr="00C9040A">
        <w:rPr>
          <w:rtl/>
          <w:lang w:bidi="fa-IR"/>
        </w:rPr>
        <w:t xml:space="preserve"> ، دَقِيقُ النَّظَرِ ، عَظِيمُ الْحَذَرِ.</w:t>
      </w:r>
    </w:p>
    <w:p w:rsidR="008A74EB" w:rsidRPr="00C9040A" w:rsidRDefault="008A74EB" w:rsidP="004715A3">
      <w:pPr>
        <w:pStyle w:val="libNormal"/>
        <w:rPr>
          <w:rtl/>
          <w:lang w:bidi="fa-IR"/>
        </w:rPr>
      </w:pPr>
      <w:r w:rsidRPr="00C9040A">
        <w:rPr>
          <w:rtl/>
          <w:lang w:bidi="fa-IR"/>
        </w:rPr>
        <w:t xml:space="preserve">لَا يَجْهَلُ ، وَإِنْ جُهِلَ عَلَيْهِ </w:t>
      </w:r>
      <w:r w:rsidR="006C577F" w:rsidRPr="006C577F">
        <w:rPr>
          <w:rStyle w:val="libFootnotenumChar"/>
          <w:rtl/>
        </w:rPr>
        <w:t>(6)</w:t>
      </w:r>
      <w:r w:rsidR="004715A3" w:rsidRPr="00C9040A">
        <w:rPr>
          <w:rtl/>
          <w:lang w:bidi="fa-IR"/>
        </w:rPr>
        <w:t xml:space="preserve"> </w:t>
      </w:r>
      <w:r w:rsidRPr="00C9040A">
        <w:rPr>
          <w:rtl/>
          <w:lang w:bidi="fa-IR"/>
        </w:rPr>
        <w:t xml:space="preserve">يَحْلُمُ </w:t>
      </w:r>
      <w:r w:rsidR="006C577F" w:rsidRPr="006C577F">
        <w:rPr>
          <w:rStyle w:val="libFootnotenumChar"/>
          <w:rtl/>
        </w:rPr>
        <w:t>(7)</w:t>
      </w:r>
      <w:r w:rsidRPr="00C9040A">
        <w:rPr>
          <w:rtl/>
          <w:lang w:bidi="fa-IR"/>
        </w:rPr>
        <w:t xml:space="preserve"> ، لَايَبْخَلُ </w:t>
      </w:r>
      <w:r w:rsidR="006C577F" w:rsidRPr="006C577F">
        <w:rPr>
          <w:rStyle w:val="libFootnotenumChar"/>
          <w:rtl/>
        </w:rPr>
        <w:t>(8)</w:t>
      </w:r>
      <w:r w:rsidRPr="00C9040A">
        <w:rPr>
          <w:rtl/>
          <w:lang w:bidi="fa-IR"/>
        </w:rPr>
        <w:t xml:space="preserve"> ، وَإِنْ بُخِلَ </w:t>
      </w:r>
      <w:r w:rsidR="006C577F" w:rsidRPr="006C577F">
        <w:rPr>
          <w:rStyle w:val="libFootnotenumChar"/>
          <w:rtl/>
        </w:rPr>
        <w:t>(9)</w:t>
      </w:r>
      <w:r w:rsidRPr="00C9040A">
        <w:rPr>
          <w:rtl/>
          <w:lang w:bidi="fa-IR"/>
        </w:rPr>
        <w:t xml:space="preserve"> عَلَيْهِ </w:t>
      </w:r>
      <w:r w:rsidR="006C577F" w:rsidRPr="006C577F">
        <w:rPr>
          <w:rStyle w:val="libFootnotenumChar"/>
          <w:rtl/>
        </w:rPr>
        <w:t>(10)</w:t>
      </w:r>
      <w:r w:rsidRPr="00C9040A">
        <w:rPr>
          <w:rtl/>
          <w:lang w:bidi="fa-IR"/>
        </w:rPr>
        <w:t xml:space="preserve"> صَبَرَ ، عَقَلَ فَاسْتَحْيَا ، وَقَنِعَ فَاسْتَغْنى ، حَيَاؤُهُ </w:t>
      </w:r>
      <w:r w:rsidR="006C577F" w:rsidRPr="006C577F">
        <w:rPr>
          <w:rStyle w:val="libFootnotenumChar"/>
          <w:rtl/>
        </w:rPr>
        <w:t>(11)</w:t>
      </w:r>
      <w:r w:rsidRPr="00C9040A">
        <w:rPr>
          <w:rtl/>
          <w:lang w:bidi="fa-IR"/>
        </w:rPr>
        <w:t xml:space="preserve"> يَعْلُو شَهْوَتَهُ ، وَوُدُّهُ يَعْلُو حَسَدَهُ </w:t>
      </w:r>
      <w:r w:rsidR="006C577F" w:rsidRPr="006C577F">
        <w:rPr>
          <w:rStyle w:val="libFootnotenumChar"/>
          <w:rtl/>
        </w:rPr>
        <w:t>(12)</w:t>
      </w:r>
      <w:r w:rsidRPr="00C9040A">
        <w:rPr>
          <w:rtl/>
          <w:lang w:bidi="fa-IR"/>
        </w:rPr>
        <w:t xml:space="preserve"> ، وَعَفْوُهُ يَعْلُو حِقْدَهُ ، لَايَنْطِقُ بِغَيْرِ</w:t>
      </w:r>
      <w:r w:rsidR="004715A3">
        <w:rPr>
          <w:rtl/>
          <w:lang w:bidi="fa-IR"/>
        </w:rPr>
        <w:t xml:space="preserve"> صَوَابٍ ، وَلَا يَلْبَسُ إِل</w:t>
      </w:r>
      <w:r w:rsidR="004715A3">
        <w:rPr>
          <w:rFonts w:hint="cs"/>
          <w:rtl/>
          <w:lang w:bidi="fa-IR"/>
        </w:rPr>
        <w:t>َّ</w:t>
      </w:r>
      <w:r w:rsidR="004715A3">
        <w:rPr>
          <w:rtl/>
          <w:lang w:bidi="fa-IR"/>
        </w:rPr>
        <w:t>ا</w:t>
      </w:r>
      <w:r w:rsidRPr="00C9040A">
        <w:rPr>
          <w:rtl/>
          <w:lang w:bidi="fa-IR"/>
        </w:rPr>
        <w:t xml:space="preserve"> الِاقْتِصَادَ ، مَشْيُهُ </w:t>
      </w:r>
      <w:r w:rsidRPr="005B567D">
        <w:rPr>
          <w:rStyle w:val="libFootnotenumChar"/>
          <w:rtl/>
        </w:rPr>
        <w:t>(13)</w:t>
      </w:r>
      <w:r w:rsidRPr="00C9040A">
        <w:rPr>
          <w:rtl/>
          <w:lang w:bidi="fa-IR"/>
        </w:rPr>
        <w:t xml:space="preserve"> التَّوَاضُعُ ، خَاضِعٌ </w:t>
      </w:r>
      <w:r w:rsidRPr="005B567D">
        <w:rPr>
          <w:rStyle w:val="libFootnotenumChar"/>
          <w:rtl/>
        </w:rPr>
        <w:t>(14)</w:t>
      </w:r>
      <w:r w:rsidRPr="00C9040A">
        <w:rPr>
          <w:rtl/>
          <w:lang w:bidi="fa-IR"/>
        </w:rPr>
        <w:t xml:space="preserve"> لِرَبِّهِ بِطَاعَتِهِ ، رَاضٍ </w:t>
      </w:r>
      <w:r w:rsidRPr="005B567D">
        <w:rPr>
          <w:rStyle w:val="libFootnotenumChar"/>
          <w:rtl/>
        </w:rPr>
        <w:t>(15)</w:t>
      </w:r>
      <w:r w:rsidRPr="00C9040A">
        <w:rPr>
          <w:rtl/>
          <w:lang w:bidi="fa-IR"/>
        </w:rPr>
        <w:t xml:space="preserve"> عَنْهُ فِي كُلِّ حَالَاتِهِ ، نِيَّتُهُ خَالِصَةٌ ، أَعْمَالُهُ لَيْسَ فِيهَا غِشٌّ </w:t>
      </w:r>
      <w:r w:rsidRPr="005B567D">
        <w:rPr>
          <w:rStyle w:val="libFootnotenumChar"/>
          <w:rtl/>
        </w:rPr>
        <w:t>(16)</w:t>
      </w:r>
      <w:r w:rsidRPr="00C9040A">
        <w:rPr>
          <w:rtl/>
          <w:lang w:bidi="fa-IR"/>
        </w:rPr>
        <w:t xml:space="preserve"> وَلَا خَدِيعَةٌ ، نَظَرُهُ عِبْرَةٌ ، وسُكُوتُهُ </w:t>
      </w:r>
      <w:r w:rsidRPr="005B567D">
        <w:rPr>
          <w:rStyle w:val="libFootnotenumChar"/>
          <w:rtl/>
        </w:rPr>
        <w:t>(17)</w:t>
      </w:r>
      <w:r w:rsidRPr="00C9040A">
        <w:rPr>
          <w:rtl/>
          <w:lang w:bidi="fa-IR"/>
        </w:rPr>
        <w:t xml:space="preserve"> فِكْرَةٌ ، وَكَلَامُهُ حِكْمَةٌ ، مُنَاصِحاً مُتَبَاذِلاً مُتَوَاخِياً ، نَاصِحٌ‌</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ف ، </w:t>
      </w:r>
      <w:r w:rsidR="006D3162">
        <w:rPr>
          <w:rtl/>
        </w:rPr>
        <w:t xml:space="preserve">ه </w:t>
      </w:r>
      <w:r w:rsidR="008A74EB" w:rsidRPr="00C9040A">
        <w:rPr>
          <w:rtl/>
        </w:rPr>
        <w:t>» : « شديدة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 الهَشّ » : كلّ شي‌ء فيه رَخاوة. ورجل هشّ : إذا هشَّ إلى إخوانه. والمشاشة : الارتياح والخفّة للمعروف. راجع : </w:t>
      </w:r>
      <w:r w:rsidR="008A74EB" w:rsidRPr="00993B55">
        <w:rPr>
          <w:rStyle w:val="libFootnoteBoldChar"/>
          <w:rtl/>
        </w:rPr>
        <w:t>ترتيب كتاب العين</w:t>
      </w:r>
      <w:r w:rsidR="008A74EB" w:rsidRPr="00C9040A">
        <w:rPr>
          <w:rtl/>
        </w:rPr>
        <w:t xml:space="preserve"> ، ج 3 ، ص 1887 ( هشّ )</w:t>
      </w:r>
      <w:r w:rsidR="008A74EB">
        <w:rPr>
          <w:rtl/>
        </w:rPr>
        <w:t>.</w:t>
      </w:r>
    </w:p>
    <w:p w:rsidR="008A74EB" w:rsidRPr="00C9040A" w:rsidRDefault="006C577F" w:rsidP="00FA2887">
      <w:pPr>
        <w:pStyle w:val="libFootnote0"/>
        <w:rPr>
          <w:rtl/>
          <w:lang w:bidi="fa-IR"/>
        </w:rPr>
      </w:pPr>
      <w:r>
        <w:rPr>
          <w:rtl/>
        </w:rPr>
        <w:t>(3).</w:t>
      </w:r>
      <w:r w:rsidR="008A74EB" w:rsidRPr="00C9040A">
        <w:rPr>
          <w:rtl/>
        </w:rPr>
        <w:t xml:space="preserve"> في « بر » : « بشّاش هشّاش »</w:t>
      </w:r>
      <w:r w:rsidR="008A74EB">
        <w:rPr>
          <w:rtl/>
        </w:rPr>
        <w:t>.</w:t>
      </w:r>
      <w:r w:rsidR="008A74EB" w:rsidRPr="00C9040A">
        <w:rPr>
          <w:rtl/>
        </w:rPr>
        <w:t xml:space="preserve"> </w:t>
      </w:r>
      <w:r w:rsidR="008A74EB">
        <w:rPr>
          <w:rtl/>
        </w:rPr>
        <w:t>و «</w:t>
      </w:r>
      <w:r w:rsidR="008A74EB" w:rsidRPr="00C9040A">
        <w:rPr>
          <w:rtl/>
        </w:rPr>
        <w:t xml:space="preserve"> البشّ » : اللطف في المسألة والإقبال على أخيك. ورجل هشّ بشّ. والبشاشة : طلاقة الوجه. راجع : </w:t>
      </w:r>
      <w:r w:rsidR="008A74EB" w:rsidRPr="00993B55">
        <w:rPr>
          <w:rStyle w:val="libFootnoteBoldChar"/>
          <w:rtl/>
        </w:rPr>
        <w:t>ترتيب كتاب العين</w:t>
      </w:r>
      <w:r w:rsidR="008A74EB" w:rsidRPr="00C9040A">
        <w:rPr>
          <w:rtl/>
        </w:rPr>
        <w:t xml:space="preserve"> ، ج 1 ، ص 165 ( بشّ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جسّ الأخبار وتجسّسها : تتبّعها. ومنه الجاسوس ؛ لأنّه يتتبّع الأخبار ويفحص عن بواطن الا</w:t>
      </w:r>
      <w:r w:rsidR="00FA2887">
        <w:rPr>
          <w:rFonts w:hint="cs"/>
          <w:rtl/>
        </w:rPr>
        <w:t>ُ</w:t>
      </w:r>
      <w:r w:rsidR="008A74EB" w:rsidRPr="00C9040A">
        <w:rPr>
          <w:rtl/>
        </w:rPr>
        <w:t xml:space="preserve">مور. </w:t>
      </w:r>
      <w:r w:rsidR="008A74EB" w:rsidRPr="00993B55">
        <w:rPr>
          <w:rStyle w:val="libFootnoteBoldChar"/>
          <w:rtl/>
        </w:rPr>
        <w:t>المصباح المنير</w:t>
      </w:r>
      <w:r w:rsidR="008A74EB" w:rsidRPr="00C9040A">
        <w:rPr>
          <w:rtl/>
        </w:rPr>
        <w:t xml:space="preserve"> ، ص 101 ( جسس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 البسّام » : كثير التبسّم ، وهو أقلّ الضحك وأحسنه. راجع : </w:t>
      </w:r>
      <w:r w:rsidR="008A74EB" w:rsidRPr="00993B55">
        <w:rPr>
          <w:rStyle w:val="libFootnoteBoldChar"/>
          <w:rtl/>
        </w:rPr>
        <w:t>الصحاح</w:t>
      </w:r>
      <w:r w:rsidR="008A74EB" w:rsidRPr="00C9040A">
        <w:rPr>
          <w:rtl/>
        </w:rPr>
        <w:t xml:space="preserve"> ، ج 5 ، ص 1872 ؛ </w:t>
      </w:r>
      <w:r w:rsidR="008A74EB" w:rsidRPr="00993B55">
        <w:rPr>
          <w:rStyle w:val="libFootnoteBoldChar"/>
          <w:rtl/>
        </w:rPr>
        <w:t>لسان العرب</w:t>
      </w:r>
      <w:r w:rsidR="008A74EB" w:rsidRPr="00C9040A">
        <w:rPr>
          <w:rtl/>
        </w:rPr>
        <w:t xml:space="preserve"> ، ج 12 ، ص 50 ( بسم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هو يجهل على قومه : يُتسافَه عليهم. </w:t>
      </w:r>
      <w:r w:rsidR="008A74EB" w:rsidRPr="00993B55">
        <w:rPr>
          <w:rStyle w:val="libFootnoteBoldChar"/>
          <w:rtl/>
        </w:rPr>
        <w:t>أساس البلاغة</w:t>
      </w:r>
      <w:r w:rsidR="008A74EB" w:rsidRPr="00C9040A">
        <w:rPr>
          <w:rtl/>
        </w:rPr>
        <w:t xml:space="preserve"> ، ص 67 ( جهل )</w:t>
      </w:r>
      <w:r w:rsidR="008A74EB">
        <w:rPr>
          <w:rtl/>
        </w:rPr>
        <w:t>.</w:t>
      </w:r>
    </w:p>
    <w:p w:rsidR="008A74EB" w:rsidRPr="00C9040A" w:rsidRDefault="006C577F" w:rsidP="00FA2887">
      <w:pPr>
        <w:pStyle w:val="libFootnote0"/>
        <w:rPr>
          <w:rtl/>
          <w:lang w:bidi="fa-IR"/>
        </w:rPr>
      </w:pPr>
      <w:r>
        <w:rPr>
          <w:rtl/>
        </w:rPr>
        <w:t>(7).</w:t>
      </w:r>
      <w:r w:rsidR="008A74EB" w:rsidRPr="00C9040A">
        <w:rPr>
          <w:rtl/>
        </w:rPr>
        <w:t xml:space="preserve"> في « ب ، ج ، د ، ض ، ف ، </w:t>
      </w:r>
      <w:r w:rsidR="006D3162">
        <w:rPr>
          <w:rtl/>
        </w:rPr>
        <w:t xml:space="preserve">ه </w:t>
      </w:r>
      <w:r w:rsidR="008A74EB" w:rsidRPr="00C9040A">
        <w:rPr>
          <w:rtl/>
        </w:rPr>
        <w:t xml:space="preserve">، بر ، بس ، بف » والوافي والبحار </w:t>
      </w:r>
      <w:r w:rsidR="008A74EB">
        <w:rPr>
          <w:rtl/>
        </w:rPr>
        <w:t xml:space="preserve">: </w:t>
      </w:r>
      <w:r w:rsidR="0084262C">
        <w:rPr>
          <w:rtl/>
        </w:rPr>
        <w:t>-</w:t>
      </w:r>
      <w:r w:rsidR="008A74EB" w:rsidRPr="00C9040A">
        <w:rPr>
          <w:rtl/>
        </w:rPr>
        <w:t xml:space="preserve"> « لا يجهل ، وإن جهل عليه يحلم »</w:t>
      </w:r>
      <w:r w:rsidR="008A74EB">
        <w:rPr>
          <w:rtl/>
        </w:rPr>
        <w:t>.</w:t>
      </w:r>
      <w:r w:rsidR="008A74EB" w:rsidRPr="00C9040A">
        <w:rPr>
          <w:rtl/>
        </w:rPr>
        <w:t xml:space="preserve"> وفي « ز ، ص » </w:t>
      </w:r>
      <w:r w:rsidR="008A74EB">
        <w:rPr>
          <w:rtl/>
        </w:rPr>
        <w:t xml:space="preserve">: </w:t>
      </w:r>
      <w:r w:rsidR="0084262C">
        <w:rPr>
          <w:rtl/>
        </w:rPr>
        <w:t>-</w:t>
      </w:r>
      <w:r w:rsidR="008A74EB" w:rsidRPr="00C9040A">
        <w:rPr>
          <w:rtl/>
        </w:rPr>
        <w:t xml:space="preserve"> « يحلم »</w:t>
      </w:r>
      <w:r w:rsidR="008A74EB">
        <w:rPr>
          <w:rtl/>
        </w:rPr>
        <w:t>.</w:t>
      </w:r>
      <w:r w:rsidR="00B120D5">
        <w:rPr>
          <w:rFonts w:hint="cs"/>
          <w:rtl/>
        </w:rPr>
        <w:t xml:space="preserve">                  </w:t>
      </w:r>
      <w:r w:rsidR="00FA2887">
        <w:rPr>
          <w:rFonts w:hint="cs"/>
          <w:rtl/>
        </w:rPr>
        <w:t xml:space="preserve">         </w:t>
      </w:r>
      <w:r>
        <w:rPr>
          <w:rtl/>
        </w:rPr>
        <w:t>(8).</w:t>
      </w:r>
      <w:r w:rsidR="008A74EB" w:rsidRPr="00C9040A">
        <w:rPr>
          <w:rtl/>
        </w:rPr>
        <w:t xml:space="preserve"> في « بس » : « لا يتحمّل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بس » : « وإن يخل »</w:t>
      </w:r>
      <w:r w:rsidR="008A74EB">
        <w:rPr>
          <w:rtl/>
        </w:rPr>
        <w:t>.</w:t>
      </w:r>
      <w:r w:rsidR="008A74EB" w:rsidRPr="00C9040A">
        <w:rPr>
          <w:rtl/>
        </w:rPr>
        <w:t xml:space="preserve"> وفي شرح المازندراني : « لاينجل ، وإن نجل » من النجل وهو اظهار العيب ونحوه ، والطعن بمقدم الرجل ليسقطه كما يفعله المصارع ، والرمي بالشي‌ء.</w:t>
      </w:r>
    </w:p>
    <w:tbl>
      <w:tblPr>
        <w:tblStyle w:val="TableGrid"/>
        <w:bidiVisual/>
        <w:tblW w:w="0" w:type="auto"/>
        <w:tblLook w:val="04A0" w:firstRow="1" w:lastRow="0" w:firstColumn="1" w:lastColumn="0" w:noHBand="0" w:noVBand="1"/>
      </w:tblPr>
      <w:tblGrid>
        <w:gridCol w:w="4006"/>
        <w:gridCol w:w="4006"/>
      </w:tblGrid>
      <w:tr w:rsidR="00FA2887" w:rsidTr="00FA2887">
        <w:tc>
          <w:tcPr>
            <w:tcW w:w="4006" w:type="dxa"/>
          </w:tcPr>
          <w:p w:rsidR="00FA2887" w:rsidRDefault="00FA2887" w:rsidP="004A4E41">
            <w:pPr>
              <w:pStyle w:val="libFootnote0"/>
              <w:rPr>
                <w:rtl/>
              </w:rPr>
            </w:pPr>
            <w:r>
              <w:rPr>
                <w:rtl/>
              </w:rPr>
              <w:t>(10). في « بس » وحاشية « د،ز</w:t>
            </w:r>
            <w:r w:rsidRPr="00C9040A">
              <w:rPr>
                <w:rtl/>
              </w:rPr>
              <w:t>، بف » : « عنه »</w:t>
            </w:r>
            <w:r>
              <w:rPr>
                <w:rtl/>
              </w:rPr>
              <w:t>.</w:t>
            </w:r>
          </w:p>
        </w:tc>
        <w:tc>
          <w:tcPr>
            <w:tcW w:w="4006" w:type="dxa"/>
          </w:tcPr>
          <w:p w:rsidR="00FA2887" w:rsidRDefault="00FA2887" w:rsidP="004A4E41">
            <w:pPr>
              <w:pStyle w:val="libFootnote0"/>
              <w:rPr>
                <w:rtl/>
              </w:rPr>
            </w:pPr>
            <w:r>
              <w:rPr>
                <w:rtl/>
              </w:rPr>
              <w:t>(11).</w:t>
            </w:r>
            <w:r w:rsidRPr="00C9040A">
              <w:rPr>
                <w:rtl/>
              </w:rPr>
              <w:t xml:space="preserve"> في « </w:t>
            </w:r>
            <w:r>
              <w:rPr>
                <w:rtl/>
              </w:rPr>
              <w:t xml:space="preserve">ه </w:t>
            </w:r>
            <w:r w:rsidRPr="00C9040A">
              <w:rPr>
                <w:rtl/>
              </w:rPr>
              <w:t>» : « حياه » بحذف الهمزة تخفيفاً.</w:t>
            </w:r>
          </w:p>
        </w:tc>
      </w:tr>
      <w:tr w:rsidR="00FA2887" w:rsidTr="00FA2887">
        <w:tc>
          <w:tcPr>
            <w:tcW w:w="4006" w:type="dxa"/>
          </w:tcPr>
          <w:p w:rsidR="00FA2887" w:rsidRDefault="00FA2887" w:rsidP="004A4E41">
            <w:pPr>
              <w:pStyle w:val="libFootnote0"/>
              <w:rPr>
                <w:rtl/>
              </w:rPr>
            </w:pPr>
            <w:r>
              <w:rPr>
                <w:rtl/>
              </w:rPr>
              <w:t>(12).</w:t>
            </w:r>
            <w:r w:rsidRPr="00C9040A">
              <w:rPr>
                <w:rtl/>
              </w:rPr>
              <w:t xml:space="preserve"> في « بس » : « جسده »</w:t>
            </w:r>
            <w:r>
              <w:rPr>
                <w:rtl/>
              </w:rPr>
              <w:t>.</w:t>
            </w:r>
          </w:p>
        </w:tc>
        <w:tc>
          <w:tcPr>
            <w:tcW w:w="4006" w:type="dxa"/>
          </w:tcPr>
          <w:p w:rsidR="00FA2887" w:rsidRDefault="00FA2887" w:rsidP="004A4E41">
            <w:pPr>
              <w:pStyle w:val="libFootnote0"/>
              <w:rPr>
                <w:rtl/>
              </w:rPr>
            </w:pPr>
            <w:r>
              <w:rPr>
                <w:rtl/>
              </w:rPr>
              <w:t>(13) في«ب»:«مشيّته</w:t>
            </w:r>
            <w:r w:rsidRPr="00C9040A">
              <w:rPr>
                <w:rtl/>
              </w:rPr>
              <w:t>»</w:t>
            </w:r>
            <w:r>
              <w:rPr>
                <w:rtl/>
              </w:rPr>
              <w:t>.</w:t>
            </w:r>
            <w:r w:rsidRPr="00C9040A">
              <w:rPr>
                <w:rtl/>
              </w:rPr>
              <w:t>وفي مرآة العقول : « ومشيه »</w:t>
            </w:r>
            <w:r>
              <w:rPr>
                <w:rtl/>
              </w:rPr>
              <w:t>.</w:t>
            </w:r>
          </w:p>
        </w:tc>
      </w:tr>
      <w:tr w:rsidR="00FA2887" w:rsidTr="00FA2887">
        <w:tc>
          <w:tcPr>
            <w:tcW w:w="4006" w:type="dxa"/>
          </w:tcPr>
          <w:p w:rsidR="00FA2887" w:rsidRDefault="00FA2887" w:rsidP="004A4E41">
            <w:pPr>
              <w:pStyle w:val="libFootnote0"/>
              <w:rPr>
                <w:rtl/>
              </w:rPr>
            </w:pPr>
            <w:r>
              <w:rPr>
                <w:rtl/>
              </w:rPr>
              <w:t>(14)</w:t>
            </w:r>
            <w:r w:rsidRPr="00C9040A">
              <w:rPr>
                <w:rtl/>
              </w:rPr>
              <w:t xml:space="preserve"> في « ف » : « خاض »</w:t>
            </w:r>
            <w:r>
              <w:rPr>
                <w:rtl/>
              </w:rPr>
              <w:t>.</w:t>
            </w:r>
          </w:p>
        </w:tc>
        <w:tc>
          <w:tcPr>
            <w:tcW w:w="4006" w:type="dxa"/>
          </w:tcPr>
          <w:p w:rsidR="00FA2887" w:rsidRDefault="00FA2887" w:rsidP="004A4E41">
            <w:pPr>
              <w:pStyle w:val="libFootnote0"/>
              <w:rPr>
                <w:rtl/>
              </w:rPr>
            </w:pPr>
            <w:r>
              <w:rPr>
                <w:rtl/>
              </w:rPr>
              <w:t>(15)</w:t>
            </w:r>
            <w:r w:rsidRPr="00C9040A">
              <w:rPr>
                <w:rtl/>
              </w:rPr>
              <w:t xml:space="preserve"> في « ف » : « راضياً »</w:t>
            </w:r>
            <w:r>
              <w:rPr>
                <w:rtl/>
              </w:rPr>
              <w:t>.</w:t>
            </w:r>
          </w:p>
        </w:tc>
      </w:tr>
    </w:tbl>
    <w:p w:rsidR="008A74EB" w:rsidRPr="00C9040A" w:rsidRDefault="008A74EB" w:rsidP="004A4E41">
      <w:pPr>
        <w:pStyle w:val="libFootnote0"/>
        <w:rPr>
          <w:rtl/>
          <w:lang w:bidi="fa-IR"/>
        </w:rPr>
      </w:pPr>
      <w:r>
        <w:rPr>
          <w:rtl/>
        </w:rPr>
        <w:t>(16)</w:t>
      </w:r>
      <w:r w:rsidRPr="00C9040A">
        <w:rPr>
          <w:rtl/>
        </w:rPr>
        <w:t xml:space="preserve"> في « </w:t>
      </w:r>
      <w:r w:rsidR="006D3162">
        <w:rPr>
          <w:rtl/>
        </w:rPr>
        <w:t xml:space="preserve">ه </w:t>
      </w:r>
      <w:r w:rsidRPr="00C9040A">
        <w:rPr>
          <w:rtl/>
        </w:rPr>
        <w:t>» : « مكر »</w:t>
      </w:r>
      <w:r>
        <w:rPr>
          <w:rtl/>
        </w:rPr>
        <w:t>.</w:t>
      </w:r>
    </w:p>
    <w:p w:rsidR="008A74EB" w:rsidRPr="00C9040A" w:rsidRDefault="008A74EB" w:rsidP="004A4E41">
      <w:pPr>
        <w:pStyle w:val="libFootnote0"/>
        <w:rPr>
          <w:rtl/>
          <w:lang w:bidi="fa-IR"/>
        </w:rPr>
      </w:pPr>
      <w:r>
        <w:rPr>
          <w:rtl/>
        </w:rPr>
        <w:t>(17)</w:t>
      </w:r>
      <w:r w:rsidRPr="00C9040A">
        <w:rPr>
          <w:rtl/>
        </w:rPr>
        <w:t xml:space="preserve"> هكذا في « ب ، ص ، ض ، ف ، </w:t>
      </w:r>
      <w:r w:rsidR="006D3162">
        <w:rPr>
          <w:rtl/>
        </w:rPr>
        <w:t xml:space="preserve">ه </w:t>
      </w:r>
      <w:r w:rsidRPr="00C9040A">
        <w:rPr>
          <w:rtl/>
        </w:rPr>
        <w:t>، بر ، بف » والوافي ومرآة العقول والبحار. وفي سائر النسخ والمطبوع : « سكوته » بدون الواو.</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فِي السِّرِّ وَالْعَلَانِيَةِ ، لَايَهْجُرُ أَخَاهُ وَلَا يَغْتَابُهُ ، وَلَا يَمْكُرُ بِهِ ، وَلَا يَأْسَفُ عَلى مَا فَاتَهُ ، وَلَا يَحْزَنُ عَلى مَا أَصَابَهُ ، وَلَا يَرْجُو مَا لَايَجُوزُ لَهُ الرَّجَاءُ ، وَلَا يَفْشَلُ فِي الشِّدَّةِ </w:t>
      </w:r>
      <w:r w:rsidR="006C577F" w:rsidRPr="006C577F">
        <w:rPr>
          <w:rStyle w:val="libFootnotenumChar"/>
          <w:rtl/>
        </w:rPr>
        <w:t>(1)</w:t>
      </w:r>
      <w:r w:rsidRPr="00C9040A">
        <w:rPr>
          <w:rtl/>
          <w:lang w:bidi="fa-IR"/>
        </w:rPr>
        <w:t xml:space="preserve"> ، وَلَا يَبْطَرُ </w:t>
      </w:r>
      <w:r w:rsidR="006C577F" w:rsidRPr="006C577F">
        <w:rPr>
          <w:rStyle w:val="libFootnotenumChar"/>
          <w:rtl/>
        </w:rPr>
        <w:t>(2)</w:t>
      </w:r>
      <w:r w:rsidRPr="00C9040A">
        <w:rPr>
          <w:rtl/>
          <w:lang w:bidi="fa-IR"/>
        </w:rPr>
        <w:t xml:space="preserve"> فِي الرَّخَاءِ </w:t>
      </w:r>
      <w:r w:rsidR="006C577F" w:rsidRPr="006C577F">
        <w:rPr>
          <w:rStyle w:val="libFootnotenumChar"/>
          <w:rtl/>
        </w:rPr>
        <w:t>(3)</w:t>
      </w:r>
      <w:r w:rsidRPr="00C9040A">
        <w:rPr>
          <w:rtl/>
          <w:lang w:bidi="fa-IR"/>
        </w:rPr>
        <w:t xml:space="preserve"> ، يَمْزُجُ الْحِلْمَ بِالْعِلْمِ </w:t>
      </w:r>
      <w:r w:rsidR="006C577F" w:rsidRPr="006C577F">
        <w:rPr>
          <w:rStyle w:val="libFootnotenumChar"/>
          <w:rtl/>
        </w:rPr>
        <w:t>(4)</w:t>
      </w:r>
      <w:r w:rsidRPr="00C9040A">
        <w:rPr>
          <w:rtl/>
          <w:lang w:bidi="fa-IR"/>
        </w:rPr>
        <w:t xml:space="preserve"> ، وَالْعَقْلَ بِالصَّبْرِ.</w:t>
      </w:r>
    </w:p>
    <w:p w:rsidR="008A74EB" w:rsidRPr="00C9040A" w:rsidRDefault="008A74EB" w:rsidP="008A74EB">
      <w:pPr>
        <w:pStyle w:val="libNormal"/>
        <w:rPr>
          <w:rtl/>
          <w:lang w:bidi="fa-IR"/>
        </w:rPr>
      </w:pPr>
      <w:r w:rsidRPr="00C9040A">
        <w:rPr>
          <w:rtl/>
          <w:lang w:bidi="fa-IR"/>
        </w:rPr>
        <w:t xml:space="preserve">تَرَاهُ بَعِيداً كَسَلُهُ ، دَائِماً نَشَاطُهُ ، قَرِيباً أَمَلُهُ ، قَلِيلاً </w:t>
      </w:r>
      <w:r w:rsidR="006C577F" w:rsidRPr="006C577F">
        <w:rPr>
          <w:rStyle w:val="libFootnotenumChar"/>
          <w:rtl/>
        </w:rPr>
        <w:t>(5)</w:t>
      </w:r>
      <w:r w:rsidRPr="00C9040A">
        <w:rPr>
          <w:rtl/>
          <w:lang w:bidi="fa-IR"/>
        </w:rPr>
        <w:t xml:space="preserve"> زَلَلُهُ ، مُتَوَقِّعاً لِأَجَلِهِ ، خَاشِعاً قَلْبُهُ ، ذَاكِراً رَبَّهُ ، قَانِعَةً </w:t>
      </w:r>
      <w:r w:rsidR="006C577F" w:rsidRPr="006C577F">
        <w:rPr>
          <w:rStyle w:val="libFootnotenumChar"/>
          <w:rtl/>
        </w:rPr>
        <w:t>(6)</w:t>
      </w:r>
      <w:r w:rsidRPr="005B567D">
        <w:rPr>
          <w:rStyle w:val="libFootnotenumChar"/>
          <w:rtl/>
        </w:rPr>
        <w:t xml:space="preserve"> </w:t>
      </w:r>
      <w:r w:rsidRPr="00C9040A">
        <w:rPr>
          <w:rtl/>
          <w:lang w:bidi="fa-IR"/>
        </w:rPr>
        <w:t xml:space="preserve">نَفْسُهُ ، مَنْفِيّاً جَهْلُهُ ، سَهْلاً أَمْرُهُ ، حَزِيناً لِذَنْبِهِ ، مَيِّتَةً شَهْوَتُهُ ، كَظُوماً غَيْظَهُ ، صَافِياً </w:t>
      </w:r>
      <w:r w:rsidR="006C577F" w:rsidRPr="006C577F">
        <w:rPr>
          <w:rStyle w:val="libFootnotenumChar"/>
          <w:rtl/>
        </w:rPr>
        <w:t>(7)</w:t>
      </w:r>
      <w:r w:rsidRPr="00C9040A">
        <w:rPr>
          <w:rtl/>
          <w:lang w:bidi="fa-IR"/>
        </w:rPr>
        <w:t xml:space="preserve"> خُلُقُهُ ، آمِناً مِنْهُ </w:t>
      </w:r>
      <w:r w:rsidR="006C577F" w:rsidRPr="006C577F">
        <w:rPr>
          <w:rStyle w:val="libFootnotenumChar"/>
          <w:rtl/>
        </w:rPr>
        <w:t>(8)</w:t>
      </w:r>
      <w:r w:rsidRPr="00C9040A">
        <w:rPr>
          <w:rtl/>
          <w:lang w:bidi="fa-IR"/>
        </w:rPr>
        <w:t xml:space="preserve"> جَارُهُ ، ضَعِيفاً كِبْرُهُ ، قَانِعاً بِالَّذِي قُدِّرَ لَهُ ، مَتِيناً </w:t>
      </w:r>
      <w:r w:rsidR="006C577F" w:rsidRPr="006C577F">
        <w:rPr>
          <w:rStyle w:val="libFootnotenumChar"/>
          <w:rtl/>
        </w:rPr>
        <w:t>(9)</w:t>
      </w:r>
      <w:r w:rsidRPr="00C9040A">
        <w:rPr>
          <w:rtl/>
          <w:lang w:bidi="fa-IR"/>
        </w:rPr>
        <w:t xml:space="preserve"> صَبْرُهُ ، مُحْكَماً أَمْرُهُ ، كَثِيراً ذِكْرُهُ ، يُخَالِطُ النَّاسَ لِيَعْلَمَ ، وَيَصْمُتُ لِيَسْلَمَ ، وَيَسْأَلُ لِيَفْهَمَ ، وَيَتَّجِرُ </w:t>
      </w:r>
      <w:r w:rsidR="006C577F" w:rsidRPr="006C577F">
        <w:rPr>
          <w:rStyle w:val="libFootnotenumChar"/>
          <w:rtl/>
        </w:rPr>
        <w:t>(10)</w:t>
      </w:r>
      <w:r w:rsidRPr="00C9040A">
        <w:rPr>
          <w:rtl/>
          <w:lang w:bidi="fa-IR"/>
        </w:rPr>
        <w:t xml:space="preserve"> لِيَغْنَمَ ، لَايُنْصِتُ </w:t>
      </w:r>
      <w:r w:rsidR="006C577F" w:rsidRPr="006C577F">
        <w:rPr>
          <w:rStyle w:val="libFootnotenumChar"/>
          <w:rtl/>
        </w:rPr>
        <w:t>(11)</w:t>
      </w:r>
      <w:r w:rsidRPr="00C9040A">
        <w:rPr>
          <w:rtl/>
          <w:lang w:bidi="fa-IR"/>
        </w:rPr>
        <w:t xml:space="preserve"> لِلْخَبَرِ </w:t>
      </w:r>
      <w:r w:rsidR="006C577F" w:rsidRPr="006C577F">
        <w:rPr>
          <w:rStyle w:val="libFootnotenumChar"/>
          <w:rtl/>
        </w:rPr>
        <w:t>(12)</w:t>
      </w:r>
      <w:r w:rsidRPr="00C9040A">
        <w:rPr>
          <w:rtl/>
          <w:lang w:bidi="fa-IR"/>
        </w:rPr>
        <w:t xml:space="preserve"> لِيَفْخَرَ </w:t>
      </w:r>
      <w:r w:rsidRPr="005B567D">
        <w:rPr>
          <w:rStyle w:val="libFootnotenumChar"/>
          <w:rtl/>
        </w:rPr>
        <w:t>(13)</w:t>
      </w:r>
      <w:r w:rsidRPr="00C9040A">
        <w:rPr>
          <w:rtl/>
          <w:lang w:bidi="fa-IR"/>
        </w:rPr>
        <w:t xml:space="preserve"> بِهِ </w:t>
      </w:r>
      <w:r w:rsidRPr="005B567D">
        <w:rPr>
          <w:rStyle w:val="libFootnotenumChar"/>
          <w:rtl/>
        </w:rPr>
        <w:t>(14)</w:t>
      </w:r>
      <w:r w:rsidRPr="00C9040A">
        <w:rPr>
          <w:rtl/>
          <w:lang w:bidi="fa-IR"/>
        </w:rPr>
        <w:t xml:space="preserve"> ، وَلَا يَتَكَلَّمُ لِيَتَجَبَّرَ بِهِ </w:t>
      </w:r>
      <w:r w:rsidRPr="005B567D">
        <w:rPr>
          <w:rStyle w:val="libFootnotenumChar"/>
          <w:rtl/>
        </w:rPr>
        <w:t>(15)</w:t>
      </w:r>
      <w:r w:rsidRPr="00C9040A">
        <w:rPr>
          <w:rtl/>
          <w:lang w:bidi="fa-IR"/>
        </w:rPr>
        <w:t xml:space="preserve"> عَلى مَنْ سِوَاهُ ، نَفْسُهُ مِنْهُ فِي عَنَاءٍ ، وَالنَّاسُ مِنْهُ فِي رَاحَةٍ ، أَتْعَبَ نَفْسَهُ لِآخِرَتِهِ ، فَأَرَاحَ </w:t>
      </w:r>
      <w:r w:rsidRPr="005B567D">
        <w:rPr>
          <w:rStyle w:val="libFootnotenumChar"/>
          <w:rtl/>
        </w:rPr>
        <w:t>(16)</w:t>
      </w:r>
      <w:r w:rsidRPr="00C9040A">
        <w:rPr>
          <w:rtl/>
          <w:lang w:bidi="fa-IR"/>
        </w:rPr>
        <w:t xml:space="preserve"> النَّاسَ مِنْ نَفْسِهِ ، إِنْ بُغِيَ عَلَيْهِ صَبَرَ حَتّى يَكُونَ اللهُ الَّذِي يَنْتَصِرُ لَهُ ، بُعْدُهُ‌</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ز » : + « ولا يفرح بما أتاه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ف » : « ولا ينظر »</w:t>
      </w:r>
      <w:r w:rsidR="008A74EB">
        <w:rPr>
          <w:rtl/>
        </w:rPr>
        <w:t>.</w:t>
      </w:r>
      <w:r w:rsidR="008A74EB" w:rsidRPr="00C9040A">
        <w:rPr>
          <w:rtl/>
        </w:rPr>
        <w:t xml:space="preserve"> </w:t>
      </w:r>
      <w:r w:rsidR="008A74EB">
        <w:rPr>
          <w:rtl/>
        </w:rPr>
        <w:t>و «</w:t>
      </w:r>
      <w:r w:rsidR="008A74EB" w:rsidRPr="00C9040A">
        <w:rPr>
          <w:rtl/>
        </w:rPr>
        <w:t xml:space="preserve"> البَطَر » في معنىً : كالحيرة والدَّهش. يقال : لا يُبْطِرَنّ جهلُ فلان حلمك ، أي‌لا يُدهشك. وفي معنىً : كالأشِرو غَمْطِ النِّعمة. يقال : بطر فلان نعمة الله ، أي‌كأنّه مَرِح حتّى جاوز الشُّكرَ فتركه وراءه. ترتيب كتاب العين ، ج 1 ، ص 170 ( بطر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بس » : « الرجاء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ز » وحاشية « ف » والوافي ومرآة العقول : « العلم بالحلم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w:t>
      </w:r>
      <w:r w:rsidR="006D3162">
        <w:rPr>
          <w:rtl/>
        </w:rPr>
        <w:t xml:space="preserve">ه </w:t>
      </w:r>
      <w:r w:rsidR="008A74EB" w:rsidRPr="00C9040A">
        <w:rPr>
          <w:rtl/>
        </w:rPr>
        <w:t>» : « قليل » ، أي‌هو قليل. وكذا فيما يأتي.</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حاشية « ف » : « قانعاً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بس » : « ماقياً »</w:t>
      </w:r>
      <w:r w:rsidR="008A74EB">
        <w:rPr>
          <w:rtl/>
        </w:rPr>
        <w:t>.</w:t>
      </w:r>
    </w:p>
    <w:tbl>
      <w:tblPr>
        <w:tblStyle w:val="TableGrid"/>
        <w:bidiVisual/>
        <w:tblW w:w="0" w:type="auto"/>
        <w:tblLook w:val="04A0" w:firstRow="1" w:lastRow="0" w:firstColumn="1" w:lastColumn="0" w:noHBand="0" w:noVBand="1"/>
      </w:tblPr>
      <w:tblGrid>
        <w:gridCol w:w="4006"/>
        <w:gridCol w:w="4006"/>
      </w:tblGrid>
      <w:tr w:rsidR="004329CD" w:rsidTr="004329CD">
        <w:tc>
          <w:tcPr>
            <w:tcW w:w="4006" w:type="dxa"/>
          </w:tcPr>
          <w:p w:rsidR="004329CD" w:rsidRDefault="004329CD" w:rsidP="004A4E41">
            <w:pPr>
              <w:pStyle w:val="libFootnote0"/>
              <w:rPr>
                <w:rtl/>
              </w:rPr>
            </w:pPr>
            <w:r>
              <w:rPr>
                <w:rtl/>
              </w:rPr>
              <w:t>(8).</w:t>
            </w:r>
            <w:r w:rsidRPr="00C9040A">
              <w:rPr>
                <w:rtl/>
              </w:rPr>
              <w:t xml:space="preserve"> في « ج » </w:t>
            </w:r>
            <w:r>
              <w:rPr>
                <w:rtl/>
              </w:rPr>
              <w:t>: -</w:t>
            </w:r>
            <w:r w:rsidRPr="00C9040A">
              <w:rPr>
                <w:rtl/>
              </w:rPr>
              <w:t xml:space="preserve"> « منه »</w:t>
            </w:r>
            <w:r>
              <w:rPr>
                <w:rtl/>
              </w:rPr>
              <w:t>.</w:t>
            </w:r>
          </w:p>
        </w:tc>
        <w:tc>
          <w:tcPr>
            <w:tcW w:w="4006" w:type="dxa"/>
          </w:tcPr>
          <w:p w:rsidR="004329CD" w:rsidRDefault="004329CD" w:rsidP="004A4E41">
            <w:pPr>
              <w:pStyle w:val="libFootnote0"/>
              <w:rPr>
                <w:rtl/>
              </w:rPr>
            </w:pPr>
            <w:r>
              <w:rPr>
                <w:rtl/>
              </w:rPr>
              <w:t>(9). في «د،ص،ه»:«مبيناً</w:t>
            </w:r>
            <w:r w:rsidRPr="00C9040A">
              <w:rPr>
                <w:rtl/>
              </w:rPr>
              <w:t>»</w:t>
            </w:r>
            <w:r>
              <w:rPr>
                <w:rtl/>
              </w:rPr>
              <w:t>.وفي</w:t>
            </w:r>
            <w:r w:rsidRPr="00C9040A">
              <w:rPr>
                <w:rtl/>
              </w:rPr>
              <w:t>« ض » : « متبيّناً »</w:t>
            </w:r>
            <w:r>
              <w:rPr>
                <w:rtl/>
              </w:rPr>
              <w:t>.</w:t>
            </w:r>
          </w:p>
        </w:tc>
      </w:tr>
      <w:tr w:rsidR="004329CD" w:rsidTr="004329CD">
        <w:tc>
          <w:tcPr>
            <w:tcW w:w="4006" w:type="dxa"/>
          </w:tcPr>
          <w:p w:rsidR="004329CD" w:rsidRDefault="004329CD" w:rsidP="004A4E41">
            <w:pPr>
              <w:pStyle w:val="libFootnote0"/>
              <w:rPr>
                <w:rtl/>
              </w:rPr>
            </w:pPr>
            <w:r>
              <w:rPr>
                <w:rtl/>
              </w:rPr>
              <w:t>(10).</w:t>
            </w:r>
            <w:r w:rsidRPr="00C9040A">
              <w:rPr>
                <w:rtl/>
              </w:rPr>
              <w:t xml:space="preserve"> في « ض » : « ويتجبّر »</w:t>
            </w:r>
            <w:r>
              <w:rPr>
                <w:rtl/>
              </w:rPr>
              <w:t>.</w:t>
            </w:r>
          </w:p>
        </w:tc>
        <w:tc>
          <w:tcPr>
            <w:tcW w:w="4006" w:type="dxa"/>
          </w:tcPr>
          <w:p w:rsidR="004329CD" w:rsidRDefault="004329CD" w:rsidP="004A4E41">
            <w:pPr>
              <w:pStyle w:val="libFootnote0"/>
              <w:rPr>
                <w:rtl/>
              </w:rPr>
            </w:pPr>
            <w:r>
              <w:rPr>
                <w:rtl/>
              </w:rPr>
              <w:t>(11).</w:t>
            </w:r>
            <w:r w:rsidRPr="00C9040A">
              <w:rPr>
                <w:rtl/>
              </w:rPr>
              <w:t xml:space="preserve"> في « ب » : « لا ينصب »</w:t>
            </w:r>
            <w:r>
              <w:rPr>
                <w:rtl/>
              </w:rPr>
              <w:t>.</w:t>
            </w:r>
          </w:p>
        </w:tc>
      </w:tr>
    </w:tbl>
    <w:p w:rsidR="008A74EB" w:rsidRPr="00C9040A" w:rsidRDefault="006C577F" w:rsidP="004A4E41">
      <w:pPr>
        <w:pStyle w:val="libFootnote0"/>
        <w:rPr>
          <w:rtl/>
          <w:lang w:bidi="fa-IR"/>
        </w:rPr>
      </w:pPr>
      <w:r>
        <w:rPr>
          <w:rtl/>
        </w:rPr>
        <w:t>(12).</w:t>
      </w:r>
      <w:r w:rsidR="008A74EB" w:rsidRPr="00C9040A">
        <w:rPr>
          <w:rtl/>
        </w:rPr>
        <w:t xml:space="preserve"> في « ب ، ج ، د ، ص ، ض ، </w:t>
      </w:r>
      <w:r w:rsidR="006D3162">
        <w:rPr>
          <w:rtl/>
        </w:rPr>
        <w:t xml:space="preserve">ه </w:t>
      </w:r>
      <w:r w:rsidR="008A74EB" w:rsidRPr="00C9040A">
        <w:rPr>
          <w:rtl/>
        </w:rPr>
        <w:t>، بف » والوافي والبحار : « للخير »</w:t>
      </w:r>
      <w:r w:rsidR="008A74EB">
        <w:rPr>
          <w:rtl/>
        </w:rPr>
        <w:t>.</w:t>
      </w:r>
      <w:r w:rsidR="008A74EB" w:rsidRPr="00C9040A">
        <w:rPr>
          <w:rtl/>
        </w:rPr>
        <w:t xml:space="preserve"> وفي « بس » : « للجزء »</w:t>
      </w:r>
      <w:r w:rsidR="008A74EB">
        <w:rPr>
          <w:rtl/>
        </w:rPr>
        <w:t>.</w:t>
      </w:r>
    </w:p>
    <w:p w:rsidR="008A74EB" w:rsidRPr="00C9040A" w:rsidRDefault="008A74EB" w:rsidP="00D742E7">
      <w:pPr>
        <w:pStyle w:val="libFootnote0"/>
        <w:rPr>
          <w:rtl/>
          <w:lang w:bidi="fa-IR"/>
        </w:rPr>
      </w:pPr>
      <w:r>
        <w:rPr>
          <w:rtl/>
        </w:rPr>
        <w:t>(13)</w:t>
      </w:r>
      <w:r w:rsidRPr="00C9040A">
        <w:rPr>
          <w:rtl/>
        </w:rPr>
        <w:t xml:space="preserve"> هكذا في « ب ، د. ز ، </w:t>
      </w:r>
      <w:r w:rsidR="006D3162">
        <w:rPr>
          <w:rtl/>
        </w:rPr>
        <w:t xml:space="preserve">ه </w:t>
      </w:r>
      <w:r w:rsidRPr="00C9040A">
        <w:rPr>
          <w:rtl/>
        </w:rPr>
        <w:t>، بف » وشرح المازندراني والوافي ومرآة العقول والبحار. وفي سائر النسخ والمطبوع : « ليفجر »</w:t>
      </w:r>
      <w:r>
        <w:rPr>
          <w:rtl/>
        </w:rPr>
        <w:t>.</w:t>
      </w:r>
      <w:r w:rsidR="00D742E7">
        <w:rPr>
          <w:rFonts w:hint="cs"/>
          <w:rtl/>
        </w:rPr>
        <w:t xml:space="preserve">                                           </w:t>
      </w:r>
      <w:r w:rsidR="00B120D5">
        <w:rPr>
          <w:rFonts w:hint="cs"/>
          <w:rtl/>
        </w:rPr>
        <w:t xml:space="preserve">   </w:t>
      </w:r>
      <w:r w:rsidR="00D742E7">
        <w:rPr>
          <w:rFonts w:hint="cs"/>
          <w:rtl/>
        </w:rPr>
        <w:t xml:space="preserve">    </w:t>
      </w:r>
      <w:r>
        <w:rPr>
          <w:rtl/>
        </w:rPr>
        <w:t>(14)</w:t>
      </w:r>
      <w:r w:rsidRPr="00C9040A">
        <w:rPr>
          <w:rtl/>
        </w:rPr>
        <w:t xml:space="preserve"> في حاشية « ج » </w:t>
      </w:r>
      <w:r>
        <w:rPr>
          <w:rtl/>
        </w:rPr>
        <w:t xml:space="preserve">: </w:t>
      </w:r>
      <w:r w:rsidR="0084262C">
        <w:rPr>
          <w:rtl/>
        </w:rPr>
        <w:t>-</w:t>
      </w:r>
      <w:r w:rsidRPr="00C9040A">
        <w:rPr>
          <w:rtl/>
        </w:rPr>
        <w:t xml:space="preserve"> « به »</w:t>
      </w:r>
      <w:r>
        <w:rPr>
          <w:rtl/>
        </w:rPr>
        <w:t>.</w:t>
      </w:r>
    </w:p>
    <w:tbl>
      <w:tblPr>
        <w:tblStyle w:val="TableGrid"/>
        <w:bidiVisual/>
        <w:tblW w:w="0" w:type="auto"/>
        <w:tblLook w:val="04A0" w:firstRow="1" w:lastRow="0" w:firstColumn="1" w:lastColumn="0" w:noHBand="0" w:noVBand="1"/>
      </w:tblPr>
      <w:tblGrid>
        <w:gridCol w:w="4006"/>
        <w:gridCol w:w="4006"/>
      </w:tblGrid>
      <w:tr w:rsidR="00D742E7" w:rsidTr="00D742E7">
        <w:tc>
          <w:tcPr>
            <w:tcW w:w="4006" w:type="dxa"/>
          </w:tcPr>
          <w:p w:rsidR="00D742E7" w:rsidRDefault="00D742E7" w:rsidP="004A4E41">
            <w:pPr>
              <w:pStyle w:val="libFootnote0"/>
              <w:rPr>
                <w:rtl/>
              </w:rPr>
            </w:pPr>
            <w:r>
              <w:rPr>
                <w:rtl/>
              </w:rPr>
              <w:t>(15)</w:t>
            </w:r>
            <w:r w:rsidRPr="00C9040A">
              <w:rPr>
                <w:rtl/>
              </w:rPr>
              <w:t xml:space="preserve"> في شرح المازندراني </w:t>
            </w:r>
            <w:r>
              <w:rPr>
                <w:rtl/>
              </w:rPr>
              <w:t>: -</w:t>
            </w:r>
            <w:r w:rsidRPr="00C9040A">
              <w:rPr>
                <w:rtl/>
              </w:rPr>
              <w:t xml:space="preserve"> « به »</w:t>
            </w:r>
            <w:r>
              <w:rPr>
                <w:rtl/>
              </w:rPr>
              <w:t>.</w:t>
            </w:r>
          </w:p>
        </w:tc>
        <w:tc>
          <w:tcPr>
            <w:tcW w:w="4006" w:type="dxa"/>
          </w:tcPr>
          <w:p w:rsidR="00D742E7" w:rsidRDefault="00D742E7" w:rsidP="004A4E41">
            <w:pPr>
              <w:pStyle w:val="libFootnote0"/>
              <w:rPr>
                <w:rtl/>
              </w:rPr>
            </w:pPr>
            <w:r>
              <w:rPr>
                <w:rtl/>
              </w:rPr>
              <w:t>(16)</w:t>
            </w:r>
            <w:r w:rsidRPr="00C9040A">
              <w:rPr>
                <w:rtl/>
              </w:rPr>
              <w:t xml:space="preserve"> في « </w:t>
            </w:r>
            <w:r>
              <w:rPr>
                <w:rtl/>
              </w:rPr>
              <w:t xml:space="preserve">ه </w:t>
            </w:r>
            <w:r w:rsidRPr="00C9040A">
              <w:rPr>
                <w:rtl/>
              </w:rPr>
              <w:t>» : « وأراح »</w:t>
            </w:r>
            <w:r>
              <w:rPr>
                <w:rtl/>
              </w:rPr>
              <w:t>.</w:t>
            </w:r>
          </w:p>
        </w:tc>
      </w:tr>
    </w:tbl>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مِمَّنْ </w:t>
      </w:r>
      <w:r w:rsidR="006C577F" w:rsidRPr="006C577F">
        <w:rPr>
          <w:rStyle w:val="libFootnotenumChar"/>
          <w:rtl/>
        </w:rPr>
        <w:t>(1)</w:t>
      </w:r>
      <w:r w:rsidRPr="00C9040A">
        <w:rPr>
          <w:rtl/>
          <w:lang w:bidi="fa-IR"/>
        </w:rPr>
        <w:t xml:space="preserve"> تَبَاعَدَ مِنْهُ بُغْضٌ وَنَزَاهَةٌ </w:t>
      </w:r>
      <w:r w:rsidR="006C577F" w:rsidRPr="006C577F">
        <w:rPr>
          <w:rStyle w:val="libFootnotenumChar"/>
          <w:rtl/>
        </w:rPr>
        <w:t>(2)</w:t>
      </w:r>
      <w:r w:rsidRPr="00C9040A">
        <w:rPr>
          <w:rtl/>
          <w:lang w:bidi="fa-IR"/>
        </w:rPr>
        <w:t xml:space="preserve"> ، وَدُنُوُّهُ مِمَّنْ دَنَا مِنْهُ لِينٌ وَرَحْمَةٌ ، لَيْسَ تَبَاعُدُهُ تَكَبُّراً وَلَا عَظَمَةً ، وَلَا دُنُوُّهُ </w:t>
      </w:r>
      <w:r w:rsidR="006C577F" w:rsidRPr="006C577F">
        <w:rPr>
          <w:rStyle w:val="libFootnotenumChar"/>
          <w:rtl/>
        </w:rPr>
        <w:t>(3)</w:t>
      </w:r>
      <w:r w:rsidRPr="00C9040A">
        <w:rPr>
          <w:rtl/>
          <w:lang w:bidi="fa-IR"/>
        </w:rPr>
        <w:t xml:space="preserve"> خَدِيعَةً وَلَا خِلَابَةً </w:t>
      </w:r>
      <w:r w:rsidR="006C577F" w:rsidRPr="006C577F">
        <w:rPr>
          <w:rStyle w:val="libFootnotenumChar"/>
          <w:rtl/>
        </w:rPr>
        <w:t>(4)</w:t>
      </w:r>
      <w:r w:rsidRPr="00C9040A">
        <w:rPr>
          <w:rtl/>
          <w:lang w:bidi="fa-IR"/>
        </w:rPr>
        <w:t xml:space="preserve"> ، بَلْ يَقْتَدِي بِمَنْ كَانَ قَبْلَهُ مِنْ أَهْلِ الْخَيْرِ ، فَهُوَ إِمَامٌ لِمَنْ بَعْدَهُ مِنْ أَهْلِ الْبِرِّ »</w:t>
      </w:r>
      <w:r>
        <w:rPr>
          <w:rtl/>
          <w:lang w:bidi="fa-IR"/>
        </w:rPr>
        <w:t>.</w:t>
      </w:r>
    </w:p>
    <w:p w:rsidR="008A74EB" w:rsidRPr="00C9040A" w:rsidRDefault="008A74EB" w:rsidP="008A74EB">
      <w:pPr>
        <w:pStyle w:val="libNormal"/>
        <w:rPr>
          <w:rtl/>
          <w:lang w:bidi="fa-IR"/>
        </w:rPr>
      </w:pPr>
      <w:r w:rsidRPr="00C9040A">
        <w:rPr>
          <w:rtl/>
          <w:lang w:bidi="fa-IR"/>
        </w:rPr>
        <w:t xml:space="preserve">قَالَ : « فَصَاحَ هَمَّامٌ صَيْحَةً ، ثُمَّ وَقَعَ مَغْشِيّاً عَلَيْهِ ، فَقَالَ أَمِيرُ الْمُؤْمِنِينَ </w:t>
      </w:r>
      <w:r w:rsidRPr="0003660B">
        <w:rPr>
          <w:rStyle w:val="libAlaemChar"/>
          <w:rtl/>
        </w:rPr>
        <w:t>عليه‌السلام</w:t>
      </w:r>
      <w:r w:rsidRPr="00C9040A">
        <w:rPr>
          <w:rtl/>
          <w:lang w:bidi="fa-IR"/>
        </w:rPr>
        <w:t xml:space="preserve"> : أَمَا وَاللهِ ، لَقَدْ كُنْتُ أَخَافُهَا عَلَيْهِ ، وَقَالَ : هكَذَا تَصْنَعُ الْمَوْعِظَةُ </w:t>
      </w:r>
      <w:r w:rsidR="006C577F" w:rsidRPr="006C577F">
        <w:rPr>
          <w:rStyle w:val="libFootnotenumChar"/>
          <w:rtl/>
        </w:rPr>
        <w:t>(5)</w:t>
      </w:r>
      <w:r w:rsidRPr="00C9040A">
        <w:rPr>
          <w:rtl/>
          <w:lang w:bidi="fa-IR"/>
        </w:rPr>
        <w:t xml:space="preserve"> الْبَالِغَةُ بِأَهْلِهَا ، فَقَالَ لَهُ قَائِلٌ : فَمَا بَالُكَ يَا أَمِيرَ الْمُؤْمِنِينَ</w:t>
      </w:r>
      <w:r>
        <w:rPr>
          <w:rtl/>
          <w:lang w:bidi="fa-IR"/>
        </w:rPr>
        <w:t>؟</w:t>
      </w:r>
      <w:r w:rsidRPr="00C9040A">
        <w:rPr>
          <w:rtl/>
          <w:lang w:bidi="fa-IR"/>
        </w:rPr>
        <w:t xml:space="preserve"> فَقَالَ : إِنَّ لِكُلٍّ أَجَلاً لَايَعْدُوهُ </w:t>
      </w:r>
      <w:r w:rsidR="006C577F" w:rsidRPr="006C577F">
        <w:rPr>
          <w:rStyle w:val="libFootnotenumChar"/>
          <w:rtl/>
        </w:rPr>
        <w:t>(6)</w:t>
      </w:r>
      <w:r w:rsidRPr="005B567D">
        <w:rPr>
          <w:rStyle w:val="libFootnotenumChar"/>
          <w:rtl/>
        </w:rPr>
        <w:t xml:space="preserve"> </w:t>
      </w:r>
      <w:r w:rsidRPr="00C9040A">
        <w:rPr>
          <w:rtl/>
          <w:lang w:bidi="fa-IR"/>
        </w:rPr>
        <w:t xml:space="preserve">، وَسَبَباً لَايُجَاوِزُهُ ، فَمَهْلاً لَاتُعِدْ </w:t>
      </w:r>
      <w:r w:rsidR="006C577F" w:rsidRPr="006C577F">
        <w:rPr>
          <w:rStyle w:val="libFootnotenumChar"/>
          <w:rtl/>
        </w:rPr>
        <w:t>(7)</w:t>
      </w:r>
      <w:r w:rsidRPr="00C9040A">
        <w:rPr>
          <w:rtl/>
          <w:lang w:bidi="fa-IR"/>
        </w:rPr>
        <w:t xml:space="preserve"> ، فَإِنَّمَا نَفَثَ </w:t>
      </w:r>
      <w:r w:rsidR="006C577F" w:rsidRPr="006C577F">
        <w:rPr>
          <w:rStyle w:val="libFootnotenumChar"/>
          <w:rtl/>
        </w:rPr>
        <w:t>(8)</w:t>
      </w:r>
      <w:r w:rsidRPr="00C9040A">
        <w:rPr>
          <w:rtl/>
          <w:lang w:bidi="fa-IR"/>
        </w:rPr>
        <w:t xml:space="preserve"> عَلى لِسَانِكَ شَيْطَانٌ </w:t>
      </w:r>
      <w:r w:rsidR="006C577F" w:rsidRPr="006C577F">
        <w:rPr>
          <w:rStyle w:val="libFootnotenumChar"/>
          <w:rtl/>
        </w:rPr>
        <w:t>(9)</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حاشية « ج » : « ممّا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نهج البلاغه وكتاب سليم : « ممّن تباعد عنه زهد ونزاهة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w:t>
      </w:r>
      <w:r w:rsidR="006D3162">
        <w:rPr>
          <w:rtl/>
        </w:rPr>
        <w:t xml:space="preserve">ه </w:t>
      </w:r>
      <w:r w:rsidR="008A74EB" w:rsidRPr="00C9040A">
        <w:rPr>
          <w:rtl/>
        </w:rPr>
        <w:t xml:space="preserve">» : + « بمكر </w:t>
      </w:r>
      <w:r w:rsidR="008A74EB">
        <w:rPr>
          <w:rtl/>
        </w:rPr>
        <w:t>و ».</w:t>
      </w:r>
    </w:p>
    <w:p w:rsidR="008A74EB" w:rsidRPr="00C9040A" w:rsidRDefault="006C577F" w:rsidP="004A4E41">
      <w:pPr>
        <w:pStyle w:val="libFootnote0"/>
        <w:rPr>
          <w:rtl/>
          <w:lang w:bidi="fa-IR"/>
        </w:rPr>
      </w:pPr>
      <w:r>
        <w:rPr>
          <w:rtl/>
        </w:rPr>
        <w:t>(4).</w:t>
      </w:r>
      <w:r w:rsidR="008A74EB" w:rsidRPr="00C9040A">
        <w:rPr>
          <w:rtl/>
        </w:rPr>
        <w:t xml:space="preserve"> « الخلابة » : المخادعة. </w:t>
      </w:r>
      <w:r w:rsidR="008A74EB" w:rsidRPr="00993B55">
        <w:rPr>
          <w:rStyle w:val="libFootnoteBoldChar"/>
          <w:rtl/>
        </w:rPr>
        <w:t>ترتيب كتاب العين</w:t>
      </w:r>
      <w:r w:rsidR="008A74EB" w:rsidRPr="00C9040A">
        <w:rPr>
          <w:rtl/>
        </w:rPr>
        <w:t xml:space="preserve"> ، ج 1 ، ص 512 ( خلب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ج ، د ، ف » وحاشية « ض » وشرح المازندراني ومرآة العقول والبحار : « المواعظ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 ج ، ز ، ف ، بر ، بف » وحاشية « </w:t>
      </w:r>
      <w:r w:rsidR="006D3162">
        <w:rPr>
          <w:rtl/>
        </w:rPr>
        <w:t xml:space="preserve">ه </w:t>
      </w:r>
      <w:r w:rsidR="008A74EB" w:rsidRPr="00C9040A">
        <w:rPr>
          <w:rtl/>
        </w:rPr>
        <w:t>» وشرح المازندراني والوافي ومرآة العقول والبحار : « لن يعدوه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الوافي : « ولا تعد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أي‌ألقى ؛ من النَّفْث بالفم ، وهو شبيه بالنفخ ، وهو أقلّ من ال</w:t>
      </w:r>
      <w:r w:rsidR="001C7A8C">
        <w:rPr>
          <w:rtl/>
        </w:rPr>
        <w:t>تَّفْل ؛ لأنّ التفل لا يكون إل</w:t>
      </w:r>
      <w:r w:rsidR="001C7A8C">
        <w:rPr>
          <w:rFonts w:hint="cs"/>
          <w:rtl/>
        </w:rPr>
        <w:t>ّ</w:t>
      </w:r>
      <w:r w:rsidR="001C7A8C">
        <w:rPr>
          <w:rtl/>
        </w:rPr>
        <w:t>ا</w:t>
      </w:r>
      <w:r w:rsidR="008A74EB" w:rsidRPr="00C9040A">
        <w:rPr>
          <w:rtl/>
        </w:rPr>
        <w:t xml:space="preserve">ومعه شي‌ء من الريق. </w:t>
      </w:r>
      <w:r w:rsidR="008A74EB" w:rsidRPr="00993B55">
        <w:rPr>
          <w:rStyle w:val="libFootnoteBoldChar"/>
          <w:rtl/>
        </w:rPr>
        <w:t>النهاية</w:t>
      </w:r>
      <w:r w:rsidR="008A74EB" w:rsidRPr="00C9040A">
        <w:rPr>
          <w:rtl/>
        </w:rPr>
        <w:t xml:space="preserve"> ، ج 5 ، ص 88 ( نفث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ف » : « الشيطان »</w:t>
      </w:r>
      <w:r w:rsidR="008A74EB">
        <w:rPr>
          <w:rtl/>
        </w:rPr>
        <w:t>.</w:t>
      </w:r>
      <w:r w:rsidR="008A74EB" w:rsidRPr="00C9040A">
        <w:rPr>
          <w:rtl/>
        </w:rPr>
        <w:t xml:space="preserve"> وفي الوافي : « قول السائل : « فما بالك » أي لم تقع مغشيّاً عليك</w:t>
      </w:r>
      <w:r w:rsidR="008A74EB">
        <w:rPr>
          <w:rtl/>
        </w:rPr>
        <w:t>؟</w:t>
      </w:r>
      <w:r w:rsidR="008A74EB" w:rsidRPr="00C9040A">
        <w:rPr>
          <w:rtl/>
        </w:rPr>
        <w:t xml:space="preserve"> أو ذكرت له ذلك مع خوفك عليه الموت</w:t>
      </w:r>
      <w:r w:rsidR="008A74EB">
        <w:rPr>
          <w:rtl/>
        </w:rPr>
        <w:t>؟</w:t>
      </w:r>
      <w:r w:rsidR="008A74EB" w:rsidRPr="00C9040A">
        <w:rPr>
          <w:rtl/>
        </w:rPr>
        <w:t xml:space="preserve"> فأجابه </w:t>
      </w:r>
      <w:r w:rsidR="00117575" w:rsidRPr="00117575">
        <w:rPr>
          <w:rStyle w:val="libFootnoteAlaemChar"/>
          <w:rtl/>
        </w:rPr>
        <w:t>عليه‌السلام</w:t>
      </w:r>
      <w:r w:rsidR="008A74EB" w:rsidRPr="00C9040A">
        <w:rPr>
          <w:rtl/>
        </w:rPr>
        <w:t xml:space="preserve"> بالإشارة إلى السبب البعيد ، وهو الأجل المحكوم به القضاء الإلهي. وهو جواب مقنع للسامع ، مع أنّه حقّ وصدق. وأمّا السبب القريب للفرق بينه وبين همّام ونحوه ، فقوّة نفسه القدسيّة على قبول الواردات الإلهيّة وتعوّده بها وبلوغ رياضته حدّ السكينة عند ورود أكثرها ، وضعف نفس همّام عمّا ورد عليه من خوف الله ورجائه ، وأيضاً فإنّه </w:t>
      </w:r>
      <w:r w:rsidR="00117575" w:rsidRPr="00117575">
        <w:rPr>
          <w:rStyle w:val="libFootnoteAlaemChar"/>
          <w:rtl/>
        </w:rPr>
        <w:t>عليه‌السلام</w:t>
      </w:r>
      <w:r w:rsidR="008A74EB" w:rsidRPr="00C9040A">
        <w:rPr>
          <w:rtl/>
        </w:rPr>
        <w:t xml:space="preserve"> كان متّصفاً بهذه الصفات لم يفقدها حتّى يتحسّر على فقدها. قيل : ولم يجب </w:t>
      </w:r>
      <w:r w:rsidR="00117575" w:rsidRPr="00117575">
        <w:rPr>
          <w:rStyle w:val="libFootnoteAlaemChar"/>
          <w:rtl/>
        </w:rPr>
        <w:t>عليه‌السلام</w:t>
      </w:r>
      <w:r w:rsidR="008A74EB" w:rsidRPr="00C9040A">
        <w:rPr>
          <w:rtl/>
        </w:rPr>
        <w:t xml:space="preserve"> بمثل هذا الجواب ؛ لاستلزامه تفضيل نفسه ، أو لقصور فهم السائل ونهيه له عن مثل هذا السؤال ، والتنفير عنه بكونه من نفثات الشيطان لوضعه له في غير موضعه ، وهو من آثار الشيطان ، وبالله العصمة والتوفيق. إن قيل : كيف جاز منه </w:t>
      </w:r>
      <w:r w:rsidR="00117575" w:rsidRPr="00117575">
        <w:rPr>
          <w:rStyle w:val="libFootnoteAlaemChar"/>
          <w:rtl/>
        </w:rPr>
        <w:t>عليه‌السلام</w:t>
      </w:r>
      <w:r w:rsidR="008A74EB" w:rsidRPr="00C9040A">
        <w:rPr>
          <w:rtl/>
        </w:rPr>
        <w:t xml:space="preserve"> أن يجيبه مع غلبة ظنّه بهلاكه ، وهو كالطبيب يعطي كلاًّ من المرضى بحسب احتمال طبيعته من الدواء</w:t>
      </w:r>
      <w:r w:rsidR="008A74EB">
        <w:rPr>
          <w:rtl/>
        </w:rPr>
        <w:t>؟</w:t>
      </w:r>
      <w:r w:rsidR="008A74EB" w:rsidRPr="00C9040A">
        <w:rPr>
          <w:rtl/>
        </w:rPr>
        <w:t xml:space="preserve"> قلت : إنّه لم يكن يغلب على ظنّه إلاّ</w:t>
      </w:r>
      <w:r w:rsidR="008A74EB">
        <w:rPr>
          <w:rFonts w:hint="cs"/>
          <w:rtl/>
        </w:rPr>
        <w:t xml:space="preserve"> </w:t>
      </w:r>
      <w:r w:rsidR="008A74EB" w:rsidRPr="00C9040A">
        <w:rPr>
          <w:rtl/>
        </w:rPr>
        <w:t xml:space="preserve">الصعقة عن الوجد الشديد ، فأمّا أنّ تلك الصعقة فيها موته ، فلم يكن مظنوناً له ؛ كذا قاله ابن ميثم </w:t>
      </w:r>
      <w:r w:rsidR="00117575" w:rsidRPr="00117575">
        <w:rPr>
          <w:rStyle w:val="libFootnoteAlaemChar"/>
          <w:rtl/>
        </w:rPr>
        <w:t>رحمه‌الله</w:t>
      </w:r>
      <w:r w:rsidR="008A74EB" w:rsidRPr="00C9040A">
        <w:rPr>
          <w:rtl/>
        </w:rPr>
        <w:t xml:space="preserve"> »</w:t>
      </w:r>
      <w:r w:rsidR="008A74EB">
        <w:rPr>
          <w:rtl/>
        </w:rPr>
        <w:t>.</w:t>
      </w:r>
    </w:p>
    <w:p w:rsidR="008A74EB" w:rsidRDefault="006C577F" w:rsidP="004A4E41">
      <w:pPr>
        <w:pStyle w:val="libFootnote0"/>
        <w:rPr>
          <w:rtl/>
        </w:rPr>
      </w:pPr>
      <w:r>
        <w:rPr>
          <w:rtl/>
        </w:rPr>
        <w:t>(10).</w:t>
      </w:r>
      <w:r w:rsidR="008A74EB" w:rsidRPr="00C9040A">
        <w:rPr>
          <w:rtl/>
        </w:rPr>
        <w:t xml:space="preserve"> </w:t>
      </w:r>
      <w:r w:rsidR="008A74EB" w:rsidRPr="0034021D">
        <w:rPr>
          <w:rStyle w:val="libFootnoteBoldChar"/>
          <w:rtl/>
        </w:rPr>
        <w:t>الأمالي للصدوق</w:t>
      </w:r>
      <w:r w:rsidR="008A74EB" w:rsidRPr="00C9040A">
        <w:rPr>
          <w:rtl/>
        </w:rPr>
        <w:t xml:space="preserve"> ، ص 572 ، المجلس 84 ، ح 2 ؛ وصفات الشيعة ، ص 23 ، ح 35 ، بسند آخر عن جعفر بن</w:t>
      </w:r>
      <w:r w:rsidR="00B538E9">
        <w:rPr>
          <w:rFonts w:hint="cs"/>
          <w:rtl/>
        </w:rPr>
        <w:t xml:space="preserve"> =</w:t>
      </w:r>
    </w:p>
    <w:p w:rsidR="004B7F34" w:rsidRDefault="004B7F34" w:rsidP="004B7F34">
      <w:pPr>
        <w:pStyle w:val="libNormal"/>
        <w:rPr>
          <w:rtl/>
        </w:rPr>
      </w:pPr>
      <w:r>
        <w:rPr>
          <w:rtl/>
        </w:rPr>
        <w:br w:type="page"/>
      </w:r>
    </w:p>
    <w:p w:rsidR="008A74EB" w:rsidRPr="00C9040A" w:rsidRDefault="008A74EB" w:rsidP="008A74EB">
      <w:pPr>
        <w:pStyle w:val="libNormal"/>
        <w:rPr>
          <w:rtl/>
          <w:lang w:bidi="fa-IR"/>
        </w:rPr>
      </w:pPr>
      <w:r w:rsidRPr="00D102C6">
        <w:rPr>
          <w:rtl/>
        </w:rPr>
        <w:t>2281</w:t>
      </w:r>
      <w:r w:rsidRPr="00261CB0">
        <w:rPr>
          <w:rStyle w:val="libBold2Char"/>
          <w:rtl/>
        </w:rPr>
        <w:t xml:space="preserve"> / 2.</w:t>
      </w:r>
      <w:r w:rsidRPr="00C9040A">
        <w:rPr>
          <w:rtl/>
          <w:lang w:bidi="fa-IR"/>
        </w:rPr>
        <w:t xml:space="preserve"> عَلِيُّ بْنُ إِبْرَاهِيمَ ، عَنْ أَبِيهِ ، عَنِ ابْنِ مَحْبُوبٍ ، عَنْ جَمِيلِ بْنِ صَالِحٍ ، عَنْ عَبْدِ اللهِ </w:t>
      </w:r>
      <w:r w:rsidR="006C577F" w:rsidRPr="006C577F">
        <w:rPr>
          <w:rStyle w:val="libFootnotenumChar"/>
          <w:rtl/>
        </w:rPr>
        <w:t>(1)</w:t>
      </w:r>
      <w:r w:rsidRPr="00C9040A">
        <w:rPr>
          <w:rtl/>
          <w:lang w:bidi="fa-IR"/>
        </w:rPr>
        <w:t xml:space="preserve"> بْنِ غَالِبٍ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يَنْبَغِي لِلْمُؤْمِنِ أَنْ يَكُونَ فِيهِ ثَمَانُ </w:t>
      </w:r>
      <w:r w:rsidR="006C577F" w:rsidRPr="006C577F">
        <w:rPr>
          <w:rStyle w:val="libFootnotenumChar"/>
          <w:rtl/>
        </w:rPr>
        <w:t>(2)</w:t>
      </w:r>
      <w:r w:rsidRPr="00C9040A">
        <w:rPr>
          <w:rtl/>
          <w:lang w:bidi="fa-IR"/>
        </w:rPr>
        <w:t xml:space="preserve"> خِصَالٍ : وَقُورٌ عِنْدَ الْهَزَاهِزِ </w:t>
      </w:r>
      <w:r w:rsidR="006C577F" w:rsidRPr="006C577F">
        <w:rPr>
          <w:rStyle w:val="libFootnotenumChar"/>
          <w:rtl/>
        </w:rPr>
        <w:t>(3)</w:t>
      </w:r>
      <w:r w:rsidRPr="00C9040A">
        <w:rPr>
          <w:rtl/>
          <w:lang w:bidi="fa-IR"/>
        </w:rPr>
        <w:t xml:space="preserve"> ، صَبُورٌ عِنْدَ الْبَلَاءِ ، شَكُورٌ عِنْدَ الرَّخَاءِ ، قَانِعٌ </w:t>
      </w:r>
      <w:r w:rsidR="006C577F" w:rsidRPr="006C577F">
        <w:rPr>
          <w:rStyle w:val="libFootnotenumChar"/>
          <w:rtl/>
        </w:rPr>
        <w:t>(4)</w:t>
      </w:r>
      <w:r w:rsidRPr="00C9040A">
        <w:rPr>
          <w:rtl/>
          <w:lang w:bidi="fa-IR"/>
        </w:rPr>
        <w:t xml:space="preserve"> بِمَا رَزَقَهُ اللهُ ، لَايَظْلِمُ الْأَعْدَاءَ ، وَلَا يَتَحَامَلُ </w:t>
      </w:r>
      <w:r w:rsidR="006C577F" w:rsidRPr="006C577F">
        <w:rPr>
          <w:rStyle w:val="libFootnotenumChar"/>
          <w:rtl/>
        </w:rPr>
        <w:t>(5)</w:t>
      </w:r>
      <w:r w:rsidRPr="00C9040A">
        <w:rPr>
          <w:rtl/>
          <w:lang w:bidi="fa-IR"/>
        </w:rPr>
        <w:t xml:space="preserve"> لِلْأَصْدِقَاءِ ، بَدَنُهُ مِنْهُ فِي تَعَبٍ </w:t>
      </w:r>
      <w:r w:rsidR="006C577F" w:rsidRPr="006C577F">
        <w:rPr>
          <w:rStyle w:val="libFootnotenumChar"/>
          <w:rtl/>
        </w:rPr>
        <w:t>(6)</w:t>
      </w:r>
      <w:r w:rsidRPr="005B567D">
        <w:rPr>
          <w:rStyle w:val="libFootnotenumChar"/>
          <w:rtl/>
        </w:rPr>
        <w:t xml:space="preserve"> </w:t>
      </w:r>
      <w:r w:rsidRPr="00C9040A">
        <w:rPr>
          <w:rtl/>
          <w:lang w:bidi="fa-IR"/>
        </w:rPr>
        <w:t xml:space="preserve">وَالنَّاسُ مِنْهُ فِي رَاحَةٍ ، إِنَّ الْعِلْمَ </w:t>
      </w:r>
      <w:r w:rsidR="006C577F" w:rsidRPr="006C577F">
        <w:rPr>
          <w:rStyle w:val="libFootnotenumChar"/>
          <w:rtl/>
        </w:rPr>
        <w:t>(7)</w:t>
      </w:r>
      <w:r w:rsidRPr="00C9040A">
        <w:rPr>
          <w:rtl/>
          <w:lang w:bidi="fa-IR"/>
        </w:rPr>
        <w:t xml:space="preserve"> خَلِيلُ الْمُؤْمِنِ ، وَالْحِلْمَ </w:t>
      </w:r>
      <w:r w:rsidR="006C577F" w:rsidRPr="006C577F">
        <w:rPr>
          <w:rStyle w:val="libFootnotenumChar"/>
          <w:rtl/>
        </w:rPr>
        <w:t>(8)</w:t>
      </w:r>
      <w:r w:rsidRPr="00C9040A">
        <w:rPr>
          <w:rtl/>
          <w:lang w:bidi="fa-IR"/>
        </w:rPr>
        <w:t xml:space="preserve"> وَزِيرُهُ ، وَالصَّبْرَ </w:t>
      </w:r>
      <w:r w:rsidR="006C577F" w:rsidRPr="006C577F">
        <w:rPr>
          <w:rStyle w:val="libFootnotenumChar"/>
          <w:rtl/>
        </w:rPr>
        <w:t>(9)</w:t>
      </w:r>
      <w:r w:rsidRPr="00C9040A">
        <w:rPr>
          <w:rtl/>
          <w:lang w:bidi="fa-IR"/>
        </w:rPr>
        <w:t xml:space="preserve"> أَمِيرُ جُنُودِهِ ، وَالرِّفْقَ أَخُوهُ ، وَاللِّينَ </w:t>
      </w:r>
      <w:r w:rsidR="006C577F" w:rsidRPr="006C577F">
        <w:rPr>
          <w:rStyle w:val="libFootnotenumChar"/>
          <w:rtl/>
        </w:rPr>
        <w:t>(10)</w:t>
      </w:r>
      <w:r w:rsidRPr="00C9040A">
        <w:rPr>
          <w:rtl/>
          <w:lang w:bidi="fa-IR"/>
        </w:rPr>
        <w:t xml:space="preserve"> وَالِدُهُ »</w:t>
      </w:r>
      <w:r>
        <w:rPr>
          <w:rtl/>
          <w:lang w:bidi="fa-IR"/>
        </w:rPr>
        <w:t>.</w:t>
      </w:r>
      <w:r w:rsidRPr="00C9040A">
        <w:rPr>
          <w:rtl/>
          <w:lang w:bidi="fa-IR"/>
        </w:rPr>
        <w:t xml:space="preserve"> </w:t>
      </w:r>
      <w:r w:rsidR="006C577F" w:rsidRPr="006C577F">
        <w:rPr>
          <w:rStyle w:val="libFootnotenumChar"/>
          <w:rtl/>
        </w:rPr>
        <w:t>(11)</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5B13B6" w:rsidP="005B13B6">
      <w:pPr>
        <w:pStyle w:val="libFootnote0"/>
        <w:rPr>
          <w:rtl/>
          <w:lang w:bidi="fa-IR"/>
        </w:rPr>
      </w:pPr>
      <w:r>
        <w:rPr>
          <w:rFonts w:hint="cs"/>
          <w:rtl/>
        </w:rPr>
        <w:t xml:space="preserve">= </w:t>
      </w:r>
      <w:r w:rsidR="008A74EB" w:rsidRPr="00C9040A">
        <w:rPr>
          <w:rtl/>
        </w:rPr>
        <w:t xml:space="preserve">محمّد ، عن أبيه ، عن أميرالمؤمنين </w:t>
      </w:r>
      <w:r w:rsidR="00117575" w:rsidRPr="00117575">
        <w:rPr>
          <w:rStyle w:val="libFootnoteAlaemChar"/>
          <w:rtl/>
        </w:rPr>
        <w:t>عليهم‌السلام</w:t>
      </w:r>
      <w:r w:rsidR="008A74EB" w:rsidRPr="00C9040A">
        <w:rPr>
          <w:rtl/>
        </w:rPr>
        <w:t xml:space="preserve">. </w:t>
      </w:r>
      <w:r w:rsidR="008A74EB" w:rsidRPr="00993B55">
        <w:rPr>
          <w:rStyle w:val="libFootnoteBoldChar"/>
          <w:rtl/>
        </w:rPr>
        <w:t>كتاب سليم بن قيس</w:t>
      </w:r>
      <w:r w:rsidR="008A74EB" w:rsidRPr="00C9040A">
        <w:rPr>
          <w:rtl/>
        </w:rPr>
        <w:t xml:space="preserve"> ، ص 849 ، ح 43 ، عن أبان بن أبي‌عيّاش ، عن سليم ، عن أميرالمؤمنين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نهج البلاغة</w:t>
      </w:r>
      <w:r w:rsidR="008A74EB" w:rsidRPr="00C9040A">
        <w:rPr>
          <w:rtl/>
        </w:rPr>
        <w:t xml:space="preserve"> ، ص 303 ، الخطبة 193 ، وفي كلّها مع اختلاف. وفي </w:t>
      </w:r>
      <w:r w:rsidR="008A74EB" w:rsidRPr="00993B55">
        <w:rPr>
          <w:rStyle w:val="libFootnoteBoldChar"/>
          <w:rtl/>
        </w:rPr>
        <w:t>نهج البلاغه</w:t>
      </w:r>
      <w:r w:rsidR="008A74EB" w:rsidRPr="00C9040A">
        <w:rPr>
          <w:rtl/>
        </w:rPr>
        <w:t xml:space="preserve"> ، ص 533 ، الحكمة 333 ، قطعة منه. </w:t>
      </w:r>
      <w:r w:rsidR="008A74EB" w:rsidRPr="00993B55">
        <w:rPr>
          <w:rStyle w:val="libFootnoteBoldChar"/>
          <w:rtl/>
        </w:rPr>
        <w:t>تحف العقول</w:t>
      </w:r>
      <w:r w:rsidR="008A74EB" w:rsidRPr="00C9040A">
        <w:rPr>
          <w:rtl/>
        </w:rPr>
        <w:t xml:space="preserve"> ، ص 159 ، مع اختلاف وتقدّم وتأخّر في بعض فقراته</w:t>
      </w:r>
      <w:r>
        <w:rPr>
          <w:rFonts w:hint="cs"/>
          <w:rtl/>
        </w:rPr>
        <w:t>.</w:t>
      </w:r>
      <w:r w:rsidR="008A74EB" w:rsidRPr="00993B55">
        <w:rPr>
          <w:rStyle w:val="libFootnoteBoldChar"/>
          <w:rtl/>
        </w:rPr>
        <w:t>الوافي</w:t>
      </w:r>
      <w:r w:rsidR="008A74EB" w:rsidRPr="00C9040A">
        <w:rPr>
          <w:rtl/>
        </w:rPr>
        <w:t xml:space="preserve"> ، ج 4 ، ص 153 ، ح 1747 ؛ </w:t>
      </w:r>
      <w:r w:rsidR="008A74EB" w:rsidRPr="00993B55">
        <w:rPr>
          <w:rStyle w:val="libFootnoteBoldChar"/>
          <w:rtl/>
        </w:rPr>
        <w:t>البحار</w:t>
      </w:r>
      <w:r w:rsidR="008A74EB" w:rsidRPr="00C9040A">
        <w:rPr>
          <w:rtl/>
        </w:rPr>
        <w:t xml:space="preserve"> ، ج 67 ، ص 365 ، ح 70.</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تقدّم الخبر في </w:t>
      </w:r>
      <w:r w:rsidR="008A74EB" w:rsidRPr="00993B55">
        <w:rPr>
          <w:rStyle w:val="libFootnoteBoldChar"/>
          <w:rtl/>
        </w:rPr>
        <w:t>الكافي</w:t>
      </w:r>
      <w:r w:rsidR="008A74EB" w:rsidRPr="00C9040A">
        <w:rPr>
          <w:rtl/>
        </w:rPr>
        <w:t xml:space="preserve"> ، ح 1539 ، بسند آخر عن الحسن بن محبوب ، عن جميل بن صالح ، عن عبدالملك بن غالب. وتكلّمنا هناك حول الصواب في العنوان ، فلاحظ.</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الكافي ، ح 1539 : « ثماني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 الهزاهز » : الفتن يهتزّ فيها الناس. </w:t>
      </w:r>
      <w:r w:rsidR="008A74EB" w:rsidRPr="00993B55">
        <w:rPr>
          <w:rStyle w:val="libFootnoteBoldChar"/>
          <w:rtl/>
        </w:rPr>
        <w:t>المصباح المنير</w:t>
      </w:r>
      <w:r w:rsidR="008A74EB" w:rsidRPr="00C9040A">
        <w:rPr>
          <w:rtl/>
        </w:rPr>
        <w:t xml:space="preserve"> ، ص 637 ( هزز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ج » ، بس » : « قانعاً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حاشية « بر » : « ولا يتجاهل »</w:t>
      </w:r>
      <w:r w:rsidR="008A74EB">
        <w:rPr>
          <w:rtl/>
        </w:rPr>
        <w:t>.</w:t>
      </w:r>
      <w:r w:rsidR="008A74EB" w:rsidRPr="00C9040A">
        <w:rPr>
          <w:rtl/>
        </w:rPr>
        <w:t xml:space="preserve"> وتحامَلَ الشي‌ء : تكلّفه على مشقّة ، وتحامل في الأمر وبه : تكلّفه على مشقّة ، وعليه : كلّفه ما لا يطيق. قال المجلسي : « أي لا يحمل الوزر لأجلهم ، أو لا يتحمّل عنهم ما لا يطيق الإتيان به من الا</w:t>
      </w:r>
      <w:r w:rsidR="00052FDA">
        <w:rPr>
          <w:rFonts w:hint="cs"/>
          <w:rtl/>
        </w:rPr>
        <w:t>ُ</w:t>
      </w:r>
      <w:r w:rsidR="008A74EB" w:rsidRPr="00C9040A">
        <w:rPr>
          <w:rtl/>
        </w:rPr>
        <w:t>مور الشاقّة فيعجز عنها ، والأوّل أظهر معنى ، والثاني لفظاً »</w:t>
      </w:r>
      <w:r w:rsidR="008A74EB">
        <w:rPr>
          <w:rtl/>
        </w:rPr>
        <w:t>.</w:t>
      </w:r>
      <w:r w:rsidR="008A74EB" w:rsidRPr="00C9040A">
        <w:rPr>
          <w:rtl/>
        </w:rPr>
        <w:t xml:space="preserve"> راجع : </w:t>
      </w:r>
      <w:r w:rsidR="008A74EB" w:rsidRPr="00993B55">
        <w:rPr>
          <w:rStyle w:val="libFootnoteBoldChar"/>
          <w:rtl/>
        </w:rPr>
        <w:t>النهاية</w:t>
      </w:r>
      <w:r w:rsidR="008A74EB" w:rsidRPr="00C9040A">
        <w:rPr>
          <w:rtl/>
        </w:rPr>
        <w:t xml:space="preserve"> ، ج 1 ، ص 443 ؛ </w:t>
      </w:r>
      <w:r w:rsidR="008A74EB" w:rsidRPr="00993B55">
        <w:rPr>
          <w:rStyle w:val="libFootnoteBoldChar"/>
          <w:rtl/>
        </w:rPr>
        <w:t>القاموس المحيط</w:t>
      </w:r>
      <w:r w:rsidR="008A74EB" w:rsidRPr="00C9040A">
        <w:rPr>
          <w:rtl/>
        </w:rPr>
        <w:t xml:space="preserve"> ، ج 2 ، ص 1306 ( حمل ) ؛ </w:t>
      </w:r>
      <w:r w:rsidR="008A74EB" w:rsidRPr="00993B55">
        <w:rPr>
          <w:rStyle w:val="libFootnoteBoldChar"/>
          <w:rtl/>
        </w:rPr>
        <w:t>مرآة العقول</w:t>
      </w:r>
      <w:r w:rsidR="008A74EB" w:rsidRPr="00C9040A">
        <w:rPr>
          <w:rtl/>
        </w:rPr>
        <w:t xml:space="preserve"> ، ج 9 ، ص 225.</w:t>
      </w:r>
    </w:p>
    <w:tbl>
      <w:tblPr>
        <w:tblStyle w:val="TableGrid"/>
        <w:bidiVisual/>
        <w:tblW w:w="0" w:type="auto"/>
        <w:tblLook w:val="04A0" w:firstRow="1" w:lastRow="0" w:firstColumn="1" w:lastColumn="0" w:noHBand="0" w:noVBand="1"/>
      </w:tblPr>
      <w:tblGrid>
        <w:gridCol w:w="4006"/>
        <w:gridCol w:w="4006"/>
      </w:tblGrid>
      <w:tr w:rsidR="00052FDA" w:rsidTr="00052FDA">
        <w:tc>
          <w:tcPr>
            <w:tcW w:w="4006" w:type="dxa"/>
          </w:tcPr>
          <w:p w:rsidR="00052FDA" w:rsidRDefault="00052FDA" w:rsidP="004A4E41">
            <w:pPr>
              <w:pStyle w:val="libFootnote0"/>
              <w:rPr>
                <w:rtl/>
              </w:rPr>
            </w:pPr>
            <w:r>
              <w:rPr>
                <w:rtl/>
              </w:rPr>
              <w:t xml:space="preserve">(6). </w:t>
            </w:r>
            <w:r w:rsidRPr="00C9040A">
              <w:rPr>
                <w:rtl/>
              </w:rPr>
              <w:t xml:space="preserve">في « </w:t>
            </w:r>
            <w:r>
              <w:rPr>
                <w:rtl/>
              </w:rPr>
              <w:t xml:space="preserve">ه </w:t>
            </w:r>
            <w:r w:rsidRPr="00C9040A">
              <w:rPr>
                <w:rtl/>
              </w:rPr>
              <w:t>» : « التعب »</w:t>
            </w:r>
            <w:r>
              <w:rPr>
                <w:rtl/>
              </w:rPr>
              <w:t>.</w:t>
            </w:r>
          </w:p>
        </w:tc>
        <w:tc>
          <w:tcPr>
            <w:tcW w:w="4006" w:type="dxa"/>
          </w:tcPr>
          <w:p w:rsidR="00052FDA" w:rsidRDefault="00052FDA" w:rsidP="004A4E41">
            <w:pPr>
              <w:pStyle w:val="libFootnote0"/>
              <w:rPr>
                <w:rtl/>
              </w:rPr>
            </w:pPr>
            <w:r>
              <w:rPr>
                <w:rtl/>
              </w:rPr>
              <w:t>(7).</w:t>
            </w:r>
            <w:r w:rsidRPr="00C9040A">
              <w:rPr>
                <w:rtl/>
              </w:rPr>
              <w:t xml:space="preserve"> في « </w:t>
            </w:r>
            <w:r>
              <w:rPr>
                <w:rtl/>
              </w:rPr>
              <w:t xml:space="preserve">ه </w:t>
            </w:r>
            <w:r w:rsidRPr="00C9040A">
              <w:rPr>
                <w:rtl/>
              </w:rPr>
              <w:t>» : « العليم »</w:t>
            </w:r>
            <w:r>
              <w:rPr>
                <w:rtl/>
              </w:rPr>
              <w:t>.</w:t>
            </w:r>
          </w:p>
        </w:tc>
      </w:tr>
      <w:tr w:rsidR="00052FDA" w:rsidTr="00052FDA">
        <w:tc>
          <w:tcPr>
            <w:tcW w:w="4006" w:type="dxa"/>
          </w:tcPr>
          <w:p w:rsidR="00052FDA" w:rsidRDefault="00052FDA" w:rsidP="004A4E41">
            <w:pPr>
              <w:pStyle w:val="libFootnote0"/>
              <w:rPr>
                <w:rtl/>
              </w:rPr>
            </w:pPr>
            <w:r>
              <w:rPr>
                <w:rtl/>
              </w:rPr>
              <w:t>(8).</w:t>
            </w:r>
            <w:r w:rsidRPr="00C9040A">
              <w:rPr>
                <w:rtl/>
              </w:rPr>
              <w:t xml:space="preserve"> في « </w:t>
            </w:r>
            <w:r>
              <w:rPr>
                <w:rtl/>
              </w:rPr>
              <w:t xml:space="preserve">ه </w:t>
            </w:r>
            <w:r w:rsidRPr="00C9040A">
              <w:rPr>
                <w:rtl/>
              </w:rPr>
              <w:t>» : « والعلم »</w:t>
            </w:r>
            <w:r>
              <w:rPr>
                <w:rtl/>
              </w:rPr>
              <w:t>.</w:t>
            </w:r>
          </w:p>
        </w:tc>
        <w:tc>
          <w:tcPr>
            <w:tcW w:w="4006" w:type="dxa"/>
          </w:tcPr>
          <w:p w:rsidR="00052FDA" w:rsidRDefault="00052FDA" w:rsidP="004A4E41">
            <w:pPr>
              <w:pStyle w:val="libFootnote0"/>
              <w:rPr>
                <w:rtl/>
              </w:rPr>
            </w:pPr>
            <w:r>
              <w:rPr>
                <w:rtl/>
              </w:rPr>
              <w:t>(9).</w:t>
            </w:r>
            <w:r w:rsidRPr="00C9040A">
              <w:rPr>
                <w:rtl/>
              </w:rPr>
              <w:t xml:space="preserve"> في الكافي ، ح 1539 : « والعقل »</w:t>
            </w:r>
            <w:r>
              <w:rPr>
                <w:rtl/>
              </w:rPr>
              <w:t>.</w:t>
            </w:r>
          </w:p>
        </w:tc>
      </w:tr>
    </w:tbl>
    <w:p w:rsidR="008A74EB" w:rsidRPr="00C9040A" w:rsidRDefault="006C577F" w:rsidP="004A4E41">
      <w:pPr>
        <w:pStyle w:val="libFootnote0"/>
        <w:rPr>
          <w:rtl/>
          <w:lang w:bidi="fa-IR"/>
        </w:rPr>
      </w:pPr>
      <w:r>
        <w:rPr>
          <w:rtl/>
        </w:rPr>
        <w:t>(10).</w:t>
      </w:r>
      <w:r w:rsidR="008A74EB" w:rsidRPr="00C9040A">
        <w:rPr>
          <w:rtl/>
        </w:rPr>
        <w:t xml:space="preserve"> في حاشية « ج » : « والدين »</w:t>
      </w:r>
      <w:r w:rsidR="008A74EB">
        <w:rPr>
          <w:rtl/>
        </w:rPr>
        <w:t>.</w:t>
      </w:r>
      <w:r w:rsidR="008A74EB" w:rsidRPr="00C9040A">
        <w:rPr>
          <w:rtl/>
        </w:rPr>
        <w:t xml:space="preserve"> وفي الكافي ، ح 1539 والبحار : « والبرّ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 وقرأ بعض الأفاضل : والدين ، مكان قوله : واللين ، أي‌هو والده الروحاني ؛ فإنّ الوالد سبب للحياة الجسمانيّة الفانيّة ، والدين سبب للحياة الروحانيّة الأبديّة. وهذا أظهر وأنسب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w:t>
      </w:r>
      <w:r w:rsidR="008A74EB" w:rsidRPr="00993B55">
        <w:rPr>
          <w:rStyle w:val="libFootnoteBoldChar"/>
          <w:rtl/>
        </w:rPr>
        <w:t>الكافي</w:t>
      </w:r>
      <w:r w:rsidR="008A74EB" w:rsidRPr="00C9040A">
        <w:rPr>
          <w:rtl/>
        </w:rPr>
        <w:t xml:space="preserve"> ، كتاب الإيمان والكفر ، باب خصال المؤمن ، ح 1539 ؛ و</w:t>
      </w:r>
      <w:r w:rsidR="008A74EB" w:rsidRPr="0034021D">
        <w:rPr>
          <w:rStyle w:val="libFootnoteBoldChar"/>
          <w:rtl/>
        </w:rPr>
        <w:t>الأمالي للصدوق</w:t>
      </w:r>
      <w:r w:rsidR="008A74EB" w:rsidRPr="00C9040A">
        <w:rPr>
          <w:rtl/>
        </w:rPr>
        <w:t xml:space="preserve"> ، ص 592 ، المجلس 86 ، </w:t>
      </w:r>
      <w:r w:rsidR="00ED0B73">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DD664D">
        <w:rPr>
          <w:rtl/>
        </w:rPr>
        <w:t>2282</w:t>
      </w:r>
      <w:r w:rsidRPr="00261CB0">
        <w:rPr>
          <w:rStyle w:val="libBold2Char"/>
          <w:rtl/>
        </w:rPr>
        <w:t xml:space="preserve"> / 3.</w:t>
      </w:r>
      <w:r w:rsidRPr="00C9040A">
        <w:rPr>
          <w:rtl/>
          <w:lang w:bidi="fa-IR"/>
        </w:rPr>
        <w:t xml:space="preserve"> أَبُو عَلِيٍّ الْأَشْعَرِيُّ ، عَنْ مُحَمَّدِ بْنِ عَبْدِ الْجَبَّارِ ، عَنِ ابْنِ فَضَّالٍ ، عَنْ مَنْصُورِ بْنِ يُونُسَ ، عَنْ أَبِي حَمْزَةَ :</w:t>
      </w:r>
    </w:p>
    <w:p w:rsidR="008A74EB" w:rsidRPr="00C9040A" w:rsidRDefault="008A74EB" w:rsidP="008A74EB">
      <w:pPr>
        <w:pStyle w:val="libNormal"/>
        <w:rPr>
          <w:rtl/>
          <w:lang w:bidi="fa-IR"/>
        </w:rPr>
      </w:pPr>
      <w:r w:rsidRPr="00C9040A">
        <w:rPr>
          <w:rtl/>
          <w:lang w:bidi="fa-IR"/>
        </w:rPr>
        <w:t xml:space="preserve">عَنْ عَلِيِّ بْنِ الْحُسَيْنِ </w:t>
      </w:r>
      <w:r w:rsidRPr="0003660B">
        <w:rPr>
          <w:rStyle w:val="libAlaemChar"/>
          <w:rtl/>
        </w:rPr>
        <w:t>عليهما‌السلام</w:t>
      </w:r>
      <w:r w:rsidRPr="00C9040A">
        <w:rPr>
          <w:rtl/>
          <w:lang w:bidi="fa-IR"/>
        </w:rPr>
        <w:t xml:space="preserve"> ، قَالَ : « الْمُؤْمِنُ يَصْمُتُ </w:t>
      </w:r>
      <w:r w:rsidR="006C577F" w:rsidRPr="006C577F">
        <w:rPr>
          <w:rStyle w:val="libFootnotenumChar"/>
          <w:rtl/>
        </w:rPr>
        <w:t>(1)</w:t>
      </w:r>
      <w:r w:rsidRPr="00C9040A">
        <w:rPr>
          <w:rtl/>
          <w:lang w:bidi="fa-IR"/>
        </w:rPr>
        <w:t xml:space="preserve"> لِيَسْلَمَ ، وَيَنْطِقُ لِيَغْنَمَ </w:t>
      </w:r>
      <w:r w:rsidR="006C577F" w:rsidRPr="006C577F">
        <w:rPr>
          <w:rStyle w:val="libFootnotenumChar"/>
          <w:rtl/>
        </w:rPr>
        <w:t>(2)</w:t>
      </w:r>
      <w:r w:rsidRPr="00C9040A">
        <w:rPr>
          <w:rtl/>
          <w:lang w:bidi="fa-IR"/>
        </w:rPr>
        <w:t xml:space="preserve"> ، لَا يُحَدِّثُ أَمَانَتَهُ الْأَصْدِقَاءَ ، وَلَا يَكْتُمُ شَهَادَتَهُ مِنَ الْبُعَدَاءِ </w:t>
      </w:r>
      <w:r w:rsidR="006C577F" w:rsidRPr="006C577F">
        <w:rPr>
          <w:rStyle w:val="libFootnotenumChar"/>
          <w:rtl/>
        </w:rPr>
        <w:t>(3)</w:t>
      </w:r>
      <w:r w:rsidRPr="00C9040A">
        <w:rPr>
          <w:rtl/>
          <w:lang w:bidi="fa-IR"/>
        </w:rPr>
        <w:t xml:space="preserve"> ، وَلَا يَعْمَلُ شَيْئاً مِنَ الْخَيْرِ رِيَاءً ، وَلَا يَتْرُكُهُ حَيَاءً ، إِنْ </w:t>
      </w:r>
      <w:r w:rsidR="006C577F" w:rsidRPr="006C577F">
        <w:rPr>
          <w:rStyle w:val="libFootnotenumChar"/>
          <w:rtl/>
        </w:rPr>
        <w:t>(4)</w:t>
      </w:r>
      <w:r w:rsidRPr="00C9040A">
        <w:rPr>
          <w:rtl/>
          <w:lang w:bidi="fa-IR"/>
        </w:rPr>
        <w:t xml:space="preserve"> زُكِّيَ خَافَ مِمَّا </w:t>
      </w:r>
      <w:r w:rsidR="006C577F" w:rsidRPr="006C577F">
        <w:rPr>
          <w:rStyle w:val="libFootnotenumChar"/>
          <w:rtl/>
        </w:rPr>
        <w:t>(5)</w:t>
      </w:r>
      <w:r w:rsidRPr="00C9040A">
        <w:rPr>
          <w:rtl/>
          <w:lang w:bidi="fa-IR"/>
        </w:rPr>
        <w:t xml:space="preserve"> يَقُولُونَ ، وَيَسْتَغْفِرُ اللهَ لِمَا </w:t>
      </w:r>
      <w:r w:rsidR="006C577F" w:rsidRPr="006C577F">
        <w:rPr>
          <w:rStyle w:val="libFootnotenumChar"/>
          <w:rtl/>
        </w:rPr>
        <w:t>(6)</w:t>
      </w:r>
      <w:r w:rsidRPr="005B567D">
        <w:rPr>
          <w:rStyle w:val="libFootnotenumChar"/>
          <w:rtl/>
        </w:rPr>
        <w:t xml:space="preserve"> </w:t>
      </w:r>
      <w:r w:rsidRPr="00C9040A">
        <w:rPr>
          <w:rtl/>
          <w:lang w:bidi="fa-IR"/>
        </w:rPr>
        <w:t xml:space="preserve">لَايَعْلَمُونَ ، لَا يَغُرُّهُ </w:t>
      </w:r>
      <w:r w:rsidR="006C577F" w:rsidRPr="006C577F">
        <w:rPr>
          <w:rStyle w:val="libFootnotenumChar"/>
          <w:rtl/>
        </w:rPr>
        <w:t>(7)</w:t>
      </w:r>
      <w:r w:rsidRPr="00C9040A">
        <w:rPr>
          <w:rtl/>
          <w:lang w:bidi="fa-IR"/>
        </w:rPr>
        <w:t xml:space="preserve"> قَوْلُ مَنْ جَهِلَهُ ، وَيَخَافُ إِحْصَاءَ مَا عَمِلَهُ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Normal"/>
        <w:rPr>
          <w:rtl/>
          <w:lang w:bidi="fa-IR"/>
        </w:rPr>
      </w:pPr>
      <w:r w:rsidRPr="00DD664D">
        <w:rPr>
          <w:rtl/>
        </w:rPr>
        <w:t>2283</w:t>
      </w:r>
      <w:r w:rsidRPr="00261CB0">
        <w:rPr>
          <w:rStyle w:val="libBold2Char"/>
          <w:rtl/>
        </w:rPr>
        <w:t xml:space="preserve"> / 4.</w:t>
      </w:r>
      <w:r w:rsidRPr="00C9040A">
        <w:rPr>
          <w:rtl/>
          <w:lang w:bidi="fa-IR"/>
        </w:rPr>
        <w:t xml:space="preserve"> عِدَّةٌ مِنْ أَصْحَابِنَا ، عَنْ أَحْمَدَ بْنِ مُحَمَّدِ بْنِ خَالِدٍ ، عَنْ بَعْضِ مَنْ رَوَاهُ :</w:t>
      </w:r>
    </w:p>
    <w:p w:rsidR="008A74EB" w:rsidRPr="00C9040A" w:rsidRDefault="008A74EB" w:rsidP="008A74EB">
      <w:pPr>
        <w:pStyle w:val="libNormal"/>
        <w:rPr>
          <w:rtl/>
          <w:lang w:bidi="fa-IR"/>
        </w:rPr>
      </w:pPr>
      <w:r w:rsidRPr="00C9040A">
        <w:rPr>
          <w:rtl/>
          <w:lang w:bidi="fa-IR"/>
        </w:rPr>
        <w:t xml:space="preserve">رَفَعَهُ إِلى أَبِي عَبْدِ اللهِ </w:t>
      </w:r>
      <w:r w:rsidRPr="0003660B">
        <w:rPr>
          <w:rStyle w:val="libAlaemChar"/>
          <w:rtl/>
        </w:rPr>
        <w:t>عليه‌السلام</w:t>
      </w:r>
      <w:r w:rsidRPr="00C9040A">
        <w:rPr>
          <w:rtl/>
          <w:lang w:bidi="fa-IR"/>
        </w:rPr>
        <w:t xml:space="preserve"> ، قَالَ : « الْمُؤْمِنُ </w:t>
      </w:r>
      <w:r w:rsidR="006C577F" w:rsidRPr="006C577F">
        <w:rPr>
          <w:rStyle w:val="libFootnotenumChar"/>
          <w:rtl/>
        </w:rPr>
        <w:t>(9)</w:t>
      </w:r>
      <w:r w:rsidRPr="00C9040A">
        <w:rPr>
          <w:rtl/>
          <w:lang w:bidi="fa-IR"/>
        </w:rPr>
        <w:t xml:space="preserve"> لَهُ قُوَّةٌ فِي دِينٍ </w:t>
      </w:r>
      <w:r w:rsidR="006C577F" w:rsidRPr="006C577F">
        <w:rPr>
          <w:rStyle w:val="libFootnotenumChar"/>
          <w:rtl/>
        </w:rPr>
        <w:t>(10)</w:t>
      </w:r>
      <w:r w:rsidRPr="00C9040A">
        <w:rPr>
          <w:rtl/>
          <w:lang w:bidi="fa-IR"/>
        </w:rPr>
        <w:t xml:space="preserve"> ، وَحَزْمٌ فِي لِينٍ ، وَإِيمَانٌ فِي يَقِينٍ ، وَحِرْصٌ فِي فِقْهٍ ، وَنَشَاطٌ فِي هُدًى ، وَبِرٌّ فِي اسْتِقَامَةٍ ، وَعِلْمٌ فِي‌</w:t>
      </w:r>
    </w:p>
    <w:p w:rsidR="008A74EB" w:rsidRPr="00C9040A" w:rsidRDefault="008A74EB" w:rsidP="008A74EB">
      <w:pPr>
        <w:pStyle w:val="libLine"/>
        <w:rPr>
          <w:rtl/>
          <w:lang w:bidi="fa-IR"/>
        </w:rPr>
      </w:pPr>
      <w:r w:rsidRPr="00C9040A">
        <w:rPr>
          <w:rtl/>
          <w:lang w:bidi="fa-IR"/>
        </w:rPr>
        <w:t>__________________</w:t>
      </w:r>
    </w:p>
    <w:p w:rsidR="008A74EB" w:rsidRPr="00C9040A" w:rsidRDefault="003D4E14" w:rsidP="005C1EDA">
      <w:pPr>
        <w:pStyle w:val="libFootnote0"/>
        <w:rPr>
          <w:rtl/>
          <w:lang w:bidi="fa-IR"/>
        </w:rPr>
      </w:pPr>
      <w:r>
        <w:rPr>
          <w:rFonts w:hint="cs"/>
          <w:rtl/>
        </w:rPr>
        <w:t xml:space="preserve">= </w:t>
      </w:r>
      <w:r w:rsidR="008A74EB" w:rsidRPr="00C9040A">
        <w:rPr>
          <w:rtl/>
        </w:rPr>
        <w:t>ح 17 ؛ و</w:t>
      </w:r>
      <w:r w:rsidR="008A74EB" w:rsidRPr="00993B55">
        <w:rPr>
          <w:rStyle w:val="libFootnoteBoldChar"/>
          <w:rtl/>
        </w:rPr>
        <w:t>الخصال</w:t>
      </w:r>
      <w:r w:rsidR="008A74EB" w:rsidRPr="00C9040A">
        <w:rPr>
          <w:rtl/>
        </w:rPr>
        <w:t xml:space="preserve"> ، ص 406 ، ح 1 ، بسند آخر عن الحسن بن محبوب. وفي </w:t>
      </w:r>
      <w:r w:rsidR="008A74EB" w:rsidRPr="00993B55">
        <w:rPr>
          <w:rStyle w:val="libFootnoteBoldChar"/>
          <w:rtl/>
        </w:rPr>
        <w:t>الفقيه</w:t>
      </w:r>
      <w:r w:rsidR="008A74EB" w:rsidRPr="00C9040A">
        <w:rPr>
          <w:rtl/>
        </w:rPr>
        <w:t xml:space="preserve"> ، ج 4 ، ص 352 ، ح 5762 ، ضمن وصايا النبيّ </w:t>
      </w:r>
      <w:r w:rsidR="004A4E41" w:rsidRPr="007171EB">
        <w:rPr>
          <w:rStyle w:val="libFootnoteAlaemChar"/>
          <w:rtl/>
        </w:rPr>
        <w:t>صلى‌الله‌عليه‌وآله</w:t>
      </w:r>
      <w:r w:rsidR="008A74EB" w:rsidRPr="00C9040A">
        <w:rPr>
          <w:rtl/>
        </w:rPr>
        <w:t xml:space="preserve"> لعليّ </w:t>
      </w:r>
      <w:r w:rsidR="00117575" w:rsidRPr="00117575">
        <w:rPr>
          <w:rStyle w:val="libFootnoteAlaemChar"/>
          <w:rtl/>
        </w:rPr>
        <w:t>عليه‌السلام</w:t>
      </w:r>
      <w:r w:rsidR="008A74EB" w:rsidRPr="00C9040A">
        <w:rPr>
          <w:rtl/>
        </w:rPr>
        <w:t xml:space="preserve"> ؛ و</w:t>
      </w:r>
      <w:r w:rsidR="008A74EB" w:rsidRPr="00993B55">
        <w:rPr>
          <w:rStyle w:val="libFootnoteBoldChar"/>
          <w:rtl/>
        </w:rPr>
        <w:t>الخصال</w:t>
      </w:r>
      <w:r w:rsidR="008A74EB" w:rsidRPr="00C9040A">
        <w:rPr>
          <w:rtl/>
        </w:rPr>
        <w:t xml:space="preserve"> ، ص 406 ، باب الثمانية ، ح 2 ، بسند آخر عن جعفر بن محمّد ، عن آبائه </w:t>
      </w:r>
      <w:r w:rsidR="00117575" w:rsidRPr="00117575">
        <w:rPr>
          <w:rStyle w:val="libFootnoteAlaemChar"/>
          <w:rtl/>
        </w:rPr>
        <w:t>عليهم‌السلام</w:t>
      </w:r>
      <w:r w:rsidR="008A74EB" w:rsidRPr="00C9040A">
        <w:rPr>
          <w:rtl/>
        </w:rPr>
        <w:t xml:space="preserve"> عن النبيّ </w:t>
      </w:r>
      <w:r w:rsidR="004A4E41" w:rsidRPr="007171EB">
        <w:rPr>
          <w:rStyle w:val="libFootnoteAlaemChar"/>
          <w:rtl/>
        </w:rPr>
        <w:t>صلى‌الله‌عليه‌وآله</w:t>
      </w:r>
      <w:r w:rsidR="008A74EB" w:rsidRPr="00C9040A">
        <w:rPr>
          <w:rtl/>
        </w:rPr>
        <w:t xml:space="preserve"> ، إلى قوله : « والناس منه في راحة »</w:t>
      </w:r>
      <w:r w:rsidR="008A74EB">
        <w:rPr>
          <w:rtl/>
        </w:rPr>
        <w:t>.</w:t>
      </w:r>
      <w:r w:rsidR="008A74EB" w:rsidRPr="00C9040A">
        <w:rPr>
          <w:rtl/>
        </w:rPr>
        <w:t xml:space="preserve"> </w:t>
      </w:r>
      <w:r w:rsidR="008A74EB" w:rsidRPr="00993B55">
        <w:rPr>
          <w:rStyle w:val="libFootnoteBoldChar"/>
          <w:rtl/>
        </w:rPr>
        <w:t>تحف العقول</w:t>
      </w:r>
      <w:r w:rsidR="008A74EB" w:rsidRPr="00C9040A">
        <w:rPr>
          <w:rtl/>
        </w:rPr>
        <w:t xml:space="preserve"> ، ص 361</w:t>
      </w:r>
      <w:r w:rsidR="005C1EDA">
        <w:rPr>
          <w:rFonts w:hint="cs"/>
          <w:rtl/>
        </w:rPr>
        <w:t>.</w:t>
      </w:r>
      <w:r w:rsidR="008A74EB" w:rsidRPr="00993B55">
        <w:rPr>
          <w:rStyle w:val="libFootnoteBoldChar"/>
          <w:rtl/>
        </w:rPr>
        <w:t>الوافي</w:t>
      </w:r>
      <w:r w:rsidR="008A74EB" w:rsidRPr="00C9040A">
        <w:rPr>
          <w:rtl/>
        </w:rPr>
        <w:t xml:space="preserve"> ، ج 4 ، ص 158 ، ح 1748 ؛ </w:t>
      </w:r>
      <w:r w:rsidR="008A74EB" w:rsidRPr="00993B55">
        <w:rPr>
          <w:rStyle w:val="libFootnoteBoldChar"/>
          <w:rtl/>
        </w:rPr>
        <w:t>الوسائل</w:t>
      </w:r>
      <w:r w:rsidR="008A74EB" w:rsidRPr="00C9040A">
        <w:rPr>
          <w:rtl/>
        </w:rPr>
        <w:t xml:space="preserve"> ، ج 15 ، ص 185 ، ذيل ح 20235 ؛ </w:t>
      </w:r>
      <w:r w:rsidR="008A74EB" w:rsidRPr="00993B55">
        <w:rPr>
          <w:rStyle w:val="libFootnoteBoldChar"/>
          <w:rtl/>
        </w:rPr>
        <w:t>البحار</w:t>
      </w:r>
      <w:r w:rsidR="008A74EB" w:rsidRPr="00C9040A">
        <w:rPr>
          <w:rtl/>
        </w:rPr>
        <w:t xml:space="preserve"> ، ج 67 ، ص 268 ، ح 1.</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الوسائل : « يُنصِتُ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ف ، </w:t>
      </w:r>
      <w:r w:rsidR="006D3162">
        <w:rPr>
          <w:rtl/>
        </w:rPr>
        <w:t xml:space="preserve">ه </w:t>
      </w:r>
      <w:r w:rsidR="008A74EB" w:rsidRPr="00C9040A">
        <w:rPr>
          <w:rtl/>
        </w:rPr>
        <w:t>» وحاشية « بر ، بف » : « ليعلم »</w:t>
      </w:r>
      <w:r w:rsidR="008A74EB">
        <w:rPr>
          <w:rtl/>
        </w:rPr>
        <w:t>.</w:t>
      </w:r>
      <w:r w:rsidR="008A74EB" w:rsidRPr="00C9040A">
        <w:rPr>
          <w:rtl/>
        </w:rPr>
        <w:t xml:space="preserve"> وفي حاشية « </w:t>
      </w:r>
      <w:r w:rsidR="006D3162">
        <w:rPr>
          <w:rtl/>
        </w:rPr>
        <w:t xml:space="preserve">ه </w:t>
      </w:r>
      <w:r w:rsidR="008A74EB" w:rsidRPr="00C9040A">
        <w:rPr>
          <w:rtl/>
        </w:rPr>
        <w:t>» : « ليفهم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ز » : « الأعداء »</w:t>
      </w:r>
      <w:r w:rsidR="008A74EB">
        <w:rPr>
          <w:rtl/>
        </w:rPr>
        <w:t>.</w:t>
      </w:r>
      <w:r w:rsidR="008A74EB" w:rsidRPr="00C9040A">
        <w:rPr>
          <w:rtl/>
        </w:rPr>
        <w:t xml:space="preserve"> وفي « ص » : + « من الأعداء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ب » : « وإن »</w:t>
      </w:r>
      <w:r w:rsidR="008A74EB">
        <w:rPr>
          <w:rtl/>
        </w:rPr>
        <w:t>.</w:t>
      </w:r>
    </w:p>
    <w:tbl>
      <w:tblPr>
        <w:tblStyle w:val="TableGrid"/>
        <w:bidiVisual/>
        <w:tblW w:w="0" w:type="auto"/>
        <w:tblLook w:val="04A0" w:firstRow="1" w:lastRow="0" w:firstColumn="1" w:lastColumn="0" w:noHBand="0" w:noVBand="1"/>
      </w:tblPr>
      <w:tblGrid>
        <w:gridCol w:w="4006"/>
        <w:gridCol w:w="4006"/>
      </w:tblGrid>
      <w:tr w:rsidR="005C1EDA" w:rsidTr="005C1EDA">
        <w:tc>
          <w:tcPr>
            <w:tcW w:w="4006" w:type="dxa"/>
          </w:tcPr>
          <w:p w:rsidR="005C1EDA" w:rsidRDefault="005C1EDA" w:rsidP="004A4E41">
            <w:pPr>
              <w:pStyle w:val="libFootnote0"/>
              <w:rPr>
                <w:rtl/>
              </w:rPr>
            </w:pPr>
            <w:r>
              <w:rPr>
                <w:rtl/>
              </w:rPr>
              <w:t>(5).</w:t>
            </w:r>
            <w:r w:rsidRPr="00C9040A">
              <w:rPr>
                <w:rtl/>
              </w:rPr>
              <w:t xml:space="preserve"> في الوسائل : « ما »</w:t>
            </w:r>
            <w:r>
              <w:rPr>
                <w:rtl/>
              </w:rPr>
              <w:t>.</w:t>
            </w:r>
          </w:p>
        </w:tc>
        <w:tc>
          <w:tcPr>
            <w:tcW w:w="4006" w:type="dxa"/>
          </w:tcPr>
          <w:p w:rsidR="005C1EDA" w:rsidRDefault="005C1EDA" w:rsidP="004A4E41">
            <w:pPr>
              <w:pStyle w:val="libFootnote0"/>
              <w:rPr>
                <w:rtl/>
              </w:rPr>
            </w:pPr>
            <w:r>
              <w:rPr>
                <w:rtl/>
              </w:rPr>
              <w:t xml:space="preserve">(6). </w:t>
            </w:r>
            <w:r w:rsidRPr="00C9040A">
              <w:rPr>
                <w:rtl/>
              </w:rPr>
              <w:t xml:space="preserve">في « </w:t>
            </w:r>
            <w:r>
              <w:rPr>
                <w:rtl/>
              </w:rPr>
              <w:t xml:space="preserve">ه </w:t>
            </w:r>
            <w:r w:rsidRPr="00C9040A">
              <w:rPr>
                <w:rtl/>
              </w:rPr>
              <w:t>» : « ممّا »</w:t>
            </w:r>
            <w:r>
              <w:rPr>
                <w:rtl/>
              </w:rPr>
              <w:t>.</w:t>
            </w:r>
          </w:p>
        </w:tc>
      </w:tr>
    </w:tbl>
    <w:p w:rsidR="008A74EB" w:rsidRPr="00C9040A" w:rsidRDefault="006C577F" w:rsidP="004A4E41">
      <w:pPr>
        <w:pStyle w:val="libFootnote0"/>
        <w:rPr>
          <w:rtl/>
          <w:lang w:bidi="fa-IR"/>
        </w:rPr>
      </w:pPr>
      <w:r>
        <w:rPr>
          <w:rtl/>
        </w:rPr>
        <w:t>(7).</w:t>
      </w:r>
      <w:r w:rsidR="008A74EB" w:rsidRPr="00C9040A">
        <w:rPr>
          <w:rtl/>
        </w:rPr>
        <w:t xml:space="preserve"> في « ض » : « ولا يغرّه »</w:t>
      </w:r>
      <w:r w:rsidR="008A74EB">
        <w:rPr>
          <w:rtl/>
        </w:rPr>
        <w:t>.</w:t>
      </w:r>
      <w:r w:rsidR="008A74EB" w:rsidRPr="00C9040A">
        <w:rPr>
          <w:rtl/>
        </w:rPr>
        <w:t xml:space="preserve"> وفي « ف ، بف » : « لا يعزّه »</w:t>
      </w:r>
      <w:r w:rsidR="008A74EB">
        <w:rPr>
          <w:rtl/>
        </w:rPr>
        <w:t>.</w:t>
      </w:r>
      <w:r w:rsidR="008A74EB" w:rsidRPr="00C9040A">
        <w:rPr>
          <w:rtl/>
        </w:rPr>
        <w:t xml:space="preserve"> وفي « </w:t>
      </w:r>
      <w:r w:rsidR="006D3162">
        <w:rPr>
          <w:rtl/>
        </w:rPr>
        <w:t xml:space="preserve">ه </w:t>
      </w:r>
      <w:r w:rsidR="008A74EB" w:rsidRPr="00C9040A">
        <w:rPr>
          <w:rtl/>
        </w:rPr>
        <w:t>» : « لا يغيّره »</w:t>
      </w:r>
      <w:r w:rsidR="008A74EB">
        <w:rPr>
          <w:rtl/>
        </w:rPr>
        <w:t>.</w:t>
      </w:r>
    </w:p>
    <w:p w:rsidR="008A74EB" w:rsidRPr="00C9040A" w:rsidRDefault="006C577F" w:rsidP="005D3F88">
      <w:pPr>
        <w:pStyle w:val="libFootnote0"/>
        <w:rPr>
          <w:rtl/>
          <w:lang w:bidi="fa-IR"/>
        </w:rPr>
      </w:pPr>
      <w:r>
        <w:rPr>
          <w:rtl/>
        </w:rPr>
        <w:t>(8).</w:t>
      </w:r>
      <w:r w:rsidR="008A74EB" w:rsidRPr="00C9040A">
        <w:rPr>
          <w:rtl/>
        </w:rPr>
        <w:t xml:space="preserve"> </w:t>
      </w:r>
      <w:r w:rsidR="008A74EB" w:rsidRPr="00993B55">
        <w:rPr>
          <w:rStyle w:val="libFootnoteBoldChar"/>
          <w:rtl/>
        </w:rPr>
        <w:t>الكافي</w:t>
      </w:r>
      <w:r w:rsidR="008A74EB" w:rsidRPr="00C9040A">
        <w:rPr>
          <w:rtl/>
        </w:rPr>
        <w:t xml:space="preserve"> ، كتاب الإيمان والكفر ، باب الحلم ، ح 1812 ، بسند آخر عن أبي حمزة ، من دون الإسناد إلى المعصوم </w:t>
      </w:r>
      <w:r w:rsidR="00117575" w:rsidRPr="00117575">
        <w:rPr>
          <w:rStyle w:val="libFootnoteAlaemChar"/>
          <w:rtl/>
        </w:rPr>
        <w:t>عليه‌السلام</w:t>
      </w:r>
      <w:r w:rsidR="008A74EB" w:rsidRPr="00C9040A">
        <w:rPr>
          <w:rtl/>
        </w:rPr>
        <w:t xml:space="preserve"> ؛ </w:t>
      </w:r>
      <w:r w:rsidR="008A74EB" w:rsidRPr="0034021D">
        <w:rPr>
          <w:rStyle w:val="libFootnoteBoldChar"/>
          <w:rtl/>
        </w:rPr>
        <w:t>الأمالي للصدوق</w:t>
      </w:r>
      <w:r w:rsidR="008A74EB" w:rsidRPr="00C9040A">
        <w:rPr>
          <w:rtl/>
        </w:rPr>
        <w:t xml:space="preserve"> ، ص 493 ، المجلس 74 ، ضمن ح 12 ، بسند آخر عن أبي‌حمزة الثمالي ، وفيهما مع اختلاف يسير</w:t>
      </w:r>
      <w:r w:rsidR="005D3F88">
        <w:rPr>
          <w:rFonts w:hint="cs"/>
          <w:rtl/>
        </w:rPr>
        <w:t>.</w:t>
      </w:r>
      <w:r w:rsidR="008A74EB" w:rsidRPr="00993B55">
        <w:rPr>
          <w:rStyle w:val="libFootnoteBoldChar"/>
          <w:rtl/>
        </w:rPr>
        <w:t>الوافي</w:t>
      </w:r>
      <w:r w:rsidR="008A74EB" w:rsidRPr="00C9040A">
        <w:rPr>
          <w:rtl/>
        </w:rPr>
        <w:t xml:space="preserve"> ، ج 4 ، ص 158 ، ح 1749 ؛ </w:t>
      </w:r>
      <w:r w:rsidR="008A74EB" w:rsidRPr="00993B55">
        <w:rPr>
          <w:rStyle w:val="libFootnoteBoldChar"/>
          <w:rtl/>
        </w:rPr>
        <w:t>الوسائل</w:t>
      </w:r>
      <w:r w:rsidR="008A74EB" w:rsidRPr="00C9040A">
        <w:rPr>
          <w:rtl/>
        </w:rPr>
        <w:t xml:space="preserve"> ، ج 15 ، ص 186 ، ح 20238 ؛ </w:t>
      </w:r>
      <w:r w:rsidR="008A74EB" w:rsidRPr="00993B55">
        <w:rPr>
          <w:rStyle w:val="libFootnoteBoldChar"/>
          <w:rtl/>
        </w:rPr>
        <w:t>البحار</w:t>
      </w:r>
      <w:r w:rsidR="008A74EB" w:rsidRPr="00C9040A">
        <w:rPr>
          <w:rtl/>
        </w:rPr>
        <w:t xml:space="preserve"> ، ج 67 ، ص 270 ، ح 2.</w:t>
      </w:r>
    </w:p>
    <w:p w:rsidR="008A74EB" w:rsidRPr="00C9040A" w:rsidRDefault="006C577F" w:rsidP="004A4E41">
      <w:pPr>
        <w:pStyle w:val="libFootnote0"/>
        <w:rPr>
          <w:rtl/>
          <w:lang w:bidi="fa-IR"/>
        </w:rPr>
      </w:pPr>
      <w:r>
        <w:rPr>
          <w:rtl/>
        </w:rPr>
        <w:t>(9).</w:t>
      </w:r>
      <w:r w:rsidR="008A74EB" w:rsidRPr="00C9040A">
        <w:rPr>
          <w:rtl/>
        </w:rPr>
        <w:t xml:space="preserve"> في « ف » : + « من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 ف » : + « الله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حِلْمٍ ، وَكَيْسٌ </w:t>
      </w:r>
      <w:r w:rsidR="006C577F" w:rsidRPr="006C577F">
        <w:rPr>
          <w:rStyle w:val="libFootnotenumChar"/>
          <w:rtl/>
        </w:rPr>
        <w:t>(1)</w:t>
      </w:r>
      <w:r w:rsidRPr="00C9040A">
        <w:rPr>
          <w:rtl/>
          <w:lang w:bidi="fa-IR"/>
        </w:rPr>
        <w:t xml:space="preserve"> فِي رِفْقٍ ، وَسَخَاءٌ فِي حَقٍّ ، وَقَصْدٌ فِي غِنًى ، وَتَجَمُّلٌ </w:t>
      </w:r>
      <w:r w:rsidR="006C577F" w:rsidRPr="006C577F">
        <w:rPr>
          <w:rStyle w:val="libFootnotenumChar"/>
          <w:rtl/>
        </w:rPr>
        <w:t>(2)</w:t>
      </w:r>
      <w:r w:rsidRPr="00C9040A">
        <w:rPr>
          <w:rtl/>
          <w:lang w:bidi="fa-IR"/>
        </w:rPr>
        <w:t xml:space="preserve"> فِي فَاقَةٍ ، وَعَفْوٌ فِي قُدْرَةٍ ، وَطَاعَةٌ لِلّهِ </w:t>
      </w:r>
      <w:r w:rsidR="006C577F" w:rsidRPr="006C577F">
        <w:rPr>
          <w:rStyle w:val="libFootnotenumChar"/>
          <w:rtl/>
        </w:rPr>
        <w:t>(3)</w:t>
      </w:r>
      <w:r w:rsidRPr="00C9040A">
        <w:rPr>
          <w:rtl/>
          <w:lang w:bidi="fa-IR"/>
        </w:rPr>
        <w:t xml:space="preserve"> فِي نَصِيحَةٍ ، وَانْتِهَاءٌ فِي شَهْوَةٍ ، وَوَرَعٌ فِي رَغْبَةٍ ، وَحِرْصٌ </w:t>
      </w:r>
      <w:r w:rsidR="006C577F" w:rsidRPr="006C577F">
        <w:rPr>
          <w:rStyle w:val="libFootnotenumChar"/>
          <w:rtl/>
        </w:rPr>
        <w:t>(4)</w:t>
      </w:r>
      <w:r w:rsidRPr="00C9040A">
        <w:rPr>
          <w:rtl/>
          <w:lang w:bidi="fa-IR"/>
        </w:rPr>
        <w:t xml:space="preserve"> فِي جِهَادٍ </w:t>
      </w:r>
      <w:r w:rsidR="006C577F" w:rsidRPr="006C577F">
        <w:rPr>
          <w:rStyle w:val="libFootnotenumChar"/>
          <w:rtl/>
        </w:rPr>
        <w:t>(5)</w:t>
      </w:r>
      <w:r w:rsidRPr="00C9040A">
        <w:rPr>
          <w:rtl/>
          <w:lang w:bidi="fa-IR"/>
        </w:rPr>
        <w:t xml:space="preserve"> ، وَصَلَاةٌ فِي شُغُلٍ </w:t>
      </w:r>
      <w:r w:rsidR="006C577F" w:rsidRPr="006C577F">
        <w:rPr>
          <w:rStyle w:val="libFootnotenumChar"/>
          <w:rtl/>
        </w:rPr>
        <w:t>(6)</w:t>
      </w:r>
      <w:r w:rsidRPr="005B567D">
        <w:rPr>
          <w:rStyle w:val="libFootnotenumChar"/>
          <w:rtl/>
        </w:rPr>
        <w:t xml:space="preserve"> </w:t>
      </w:r>
      <w:r w:rsidRPr="00C9040A">
        <w:rPr>
          <w:rtl/>
          <w:lang w:bidi="fa-IR"/>
        </w:rPr>
        <w:t>، وَصَبْرٌ فِي شِدَّةٍ ، وَفِي الْهَزَاهِزِ وَقُورٌ ، وَ</w:t>
      </w:r>
      <w:r>
        <w:rPr>
          <w:rFonts w:hint="cs"/>
          <w:rtl/>
          <w:lang w:bidi="fa-IR"/>
        </w:rPr>
        <w:t xml:space="preserve"> </w:t>
      </w:r>
      <w:r w:rsidR="006C577F" w:rsidRPr="006C577F">
        <w:rPr>
          <w:rStyle w:val="libFootnotenumChar"/>
          <w:rtl/>
        </w:rPr>
        <w:t>(7)</w:t>
      </w:r>
      <w:r w:rsidRPr="00C9040A">
        <w:rPr>
          <w:rtl/>
          <w:lang w:bidi="fa-IR"/>
        </w:rPr>
        <w:t xml:space="preserve"> فِي الْمَكَارِهِ صَبُورٌ ، وَفِي الرَّخَاءِ شَكُورٌ ، وَ</w:t>
      </w:r>
      <w:r>
        <w:rPr>
          <w:rFonts w:hint="cs"/>
          <w:rtl/>
          <w:lang w:bidi="fa-IR"/>
        </w:rPr>
        <w:t xml:space="preserve"> </w:t>
      </w:r>
      <w:r w:rsidR="006C577F" w:rsidRPr="006C577F">
        <w:rPr>
          <w:rStyle w:val="libFootnotenumChar"/>
          <w:rtl/>
        </w:rPr>
        <w:t>(8)</w:t>
      </w:r>
      <w:r w:rsidRPr="00C9040A">
        <w:rPr>
          <w:rtl/>
          <w:lang w:bidi="fa-IR"/>
        </w:rPr>
        <w:t xml:space="preserve"> لَايَغْتَابُ وَلَا يَتَكَبَّرُ ، وَلَا يَقْطَعُ الرَّحِمَ ، وَلَيْسَ بِوَاهِنٍ وَلَا فَظٍّ </w:t>
      </w:r>
      <w:r w:rsidR="006C577F" w:rsidRPr="006C577F">
        <w:rPr>
          <w:rStyle w:val="libFootnotenumChar"/>
          <w:rtl/>
        </w:rPr>
        <w:t>(9)</w:t>
      </w:r>
      <w:r w:rsidRPr="00C9040A">
        <w:rPr>
          <w:rtl/>
          <w:lang w:bidi="fa-IR"/>
        </w:rPr>
        <w:t xml:space="preserve"> وَلَا غَلِيظٍ ، وَ</w:t>
      </w:r>
      <w:r>
        <w:rPr>
          <w:rFonts w:hint="cs"/>
          <w:rtl/>
          <w:lang w:bidi="fa-IR"/>
        </w:rPr>
        <w:t xml:space="preserve"> </w:t>
      </w:r>
      <w:r w:rsidR="006C577F" w:rsidRPr="006C577F">
        <w:rPr>
          <w:rStyle w:val="libFootnotenumChar"/>
          <w:rtl/>
        </w:rPr>
        <w:t>(10)</w:t>
      </w:r>
      <w:r w:rsidRPr="00C9040A">
        <w:rPr>
          <w:rtl/>
          <w:lang w:bidi="fa-IR"/>
        </w:rPr>
        <w:t xml:space="preserve"> لَايَسْبِقُهُ بَصَرُهُ </w:t>
      </w:r>
      <w:r w:rsidR="006C577F" w:rsidRPr="006C577F">
        <w:rPr>
          <w:rStyle w:val="libFootnotenumChar"/>
          <w:rtl/>
        </w:rPr>
        <w:t>(11)</w:t>
      </w:r>
      <w:r w:rsidRPr="00C9040A">
        <w:rPr>
          <w:rtl/>
          <w:lang w:bidi="fa-IR"/>
        </w:rPr>
        <w:t xml:space="preserve"> ، وَلَا يَفْضَحُهُ بَطْنُهُ ، وَلَا يَغْلِبُهُ فَرْجُهُ ، وَلَا يَحْسُدُ النَّاسَ ، يُعَيَّرُ وَلَا يُعَيِّرُ ، وَلَا يُسْرِفُ </w:t>
      </w:r>
      <w:r w:rsidR="006C577F" w:rsidRPr="006C577F">
        <w:rPr>
          <w:rStyle w:val="libFootnotenumChar"/>
          <w:rtl/>
        </w:rPr>
        <w:t>(12)</w:t>
      </w:r>
      <w:r w:rsidRPr="00C9040A">
        <w:rPr>
          <w:rtl/>
          <w:lang w:bidi="fa-IR"/>
        </w:rPr>
        <w:t xml:space="preserve"> ، يَنْصُرُ الْمَظْلُومَ ، وَيَرْحَمُ الْمِسْكِينَ ، نَفْسُهُ مِنْهُ فِي عَنَاءٍ ، وَالنَّاسُ مِنْهُ فِي رَاحَةٍ ، لَايَرْغَبُ فِي عِزِّ </w:t>
      </w:r>
      <w:r w:rsidRPr="005B567D">
        <w:rPr>
          <w:rStyle w:val="libFootnotenumChar"/>
          <w:rtl/>
        </w:rPr>
        <w:t>(13)</w:t>
      </w:r>
      <w:r w:rsidRPr="00C9040A">
        <w:rPr>
          <w:rtl/>
          <w:lang w:bidi="fa-IR"/>
        </w:rPr>
        <w:t xml:space="preserve"> الدُّنْيَا ، وَلَا يَجْزَعُ مِنْ ذُلِّهَا </w:t>
      </w:r>
      <w:r w:rsidRPr="005B567D">
        <w:rPr>
          <w:rStyle w:val="libFootnotenumChar"/>
          <w:rtl/>
        </w:rPr>
        <w:t>(14)</w:t>
      </w:r>
      <w:r w:rsidRPr="00C9040A">
        <w:rPr>
          <w:rtl/>
          <w:lang w:bidi="fa-IR"/>
        </w:rPr>
        <w:t xml:space="preserve"> ، لِلنَّاسِ هَمٌّ قَدْ أَقْبَلُوا عَلَيْهِ ، وَ</w:t>
      </w:r>
      <w:r>
        <w:rPr>
          <w:rFonts w:hint="cs"/>
          <w:rtl/>
          <w:lang w:bidi="fa-IR"/>
        </w:rPr>
        <w:t xml:space="preserve"> </w:t>
      </w:r>
      <w:r w:rsidRPr="005B567D">
        <w:rPr>
          <w:rStyle w:val="libFootnotenumChar"/>
          <w:rtl/>
        </w:rPr>
        <w:t>(15)</w:t>
      </w:r>
      <w:r w:rsidRPr="00C9040A">
        <w:rPr>
          <w:rtl/>
          <w:lang w:bidi="fa-IR"/>
        </w:rPr>
        <w:t xml:space="preserve"> لَهُ هَمٌّ قَدْ شَغَلَهُ ، لَايُرى فِي حُكْمِهِ </w:t>
      </w:r>
      <w:r w:rsidRPr="005B567D">
        <w:rPr>
          <w:rStyle w:val="libFootnotenumChar"/>
          <w:rtl/>
        </w:rPr>
        <w:t>(16)</w:t>
      </w:r>
      <w:r w:rsidRPr="00C9040A">
        <w:rPr>
          <w:rtl/>
          <w:lang w:bidi="fa-IR"/>
        </w:rPr>
        <w:t xml:space="preserve"> نَقْصٌ ، وَلَا </w:t>
      </w:r>
      <w:r w:rsidRPr="005B567D">
        <w:rPr>
          <w:rStyle w:val="libFootnotenumChar"/>
          <w:rtl/>
        </w:rPr>
        <w:t>(17)</w:t>
      </w:r>
      <w:r w:rsidRPr="00C9040A">
        <w:rPr>
          <w:rtl/>
          <w:lang w:bidi="fa-IR"/>
        </w:rPr>
        <w:t xml:space="preserve"> فِي رَأْيِهِ‌</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الخصال وصفات الشيعة : « وشكر »</w:t>
      </w:r>
      <w:r w:rsidR="008A74EB">
        <w:rPr>
          <w:rtl/>
        </w:rPr>
        <w:t>.</w:t>
      </w:r>
      <w:r w:rsidR="008A74EB" w:rsidRPr="00C9040A">
        <w:rPr>
          <w:rtl/>
        </w:rPr>
        <w:t xml:space="preserve"> </w:t>
      </w:r>
      <w:r w:rsidR="008A74EB">
        <w:rPr>
          <w:rtl/>
        </w:rPr>
        <w:t>و «</w:t>
      </w:r>
      <w:r w:rsidR="008A74EB" w:rsidRPr="00C9040A">
        <w:rPr>
          <w:rtl/>
        </w:rPr>
        <w:t xml:space="preserve"> الْكَيْس » : العقل. والكيس في الا</w:t>
      </w:r>
      <w:r w:rsidR="007316A8">
        <w:rPr>
          <w:rFonts w:hint="cs"/>
          <w:rtl/>
        </w:rPr>
        <w:t>ُ</w:t>
      </w:r>
      <w:r w:rsidR="008A74EB" w:rsidRPr="00C9040A">
        <w:rPr>
          <w:rtl/>
        </w:rPr>
        <w:t xml:space="preserve">مور ، يجري مجرى الرفق فيها. </w:t>
      </w:r>
      <w:r w:rsidR="008A74EB" w:rsidRPr="00993B55">
        <w:rPr>
          <w:rStyle w:val="libFootnoteBoldChar"/>
          <w:rtl/>
        </w:rPr>
        <w:t>النهاية</w:t>
      </w:r>
      <w:r w:rsidR="008A74EB" w:rsidRPr="00C9040A">
        <w:rPr>
          <w:rtl/>
        </w:rPr>
        <w:t xml:space="preserve"> ، ج 4 ، ص 217 ( كيس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بر ، بف » والوسائل : « وتحمّل » بالحاء المهملة. وفي </w:t>
      </w:r>
      <w:r w:rsidR="008A74EB" w:rsidRPr="00993B55">
        <w:rPr>
          <w:rStyle w:val="libFootnoteBoldChar"/>
          <w:rtl/>
        </w:rPr>
        <w:t>مرآة العقول</w:t>
      </w:r>
      <w:r w:rsidR="008A74EB" w:rsidRPr="00C9040A">
        <w:rPr>
          <w:rtl/>
        </w:rPr>
        <w:t xml:space="preserve"> : « وقد يقرأ بالحاء المهملة ، أي‌تحمّل وصبر في الفقر »</w:t>
      </w:r>
      <w:r w:rsidR="008A74EB">
        <w:rPr>
          <w:rtl/>
        </w:rPr>
        <w:t>.</w:t>
      </w:r>
    </w:p>
    <w:tbl>
      <w:tblPr>
        <w:tblStyle w:val="TableGrid"/>
        <w:bidiVisual/>
        <w:tblW w:w="0" w:type="auto"/>
        <w:tblLook w:val="04A0" w:firstRow="1" w:lastRow="0" w:firstColumn="1" w:lastColumn="0" w:noHBand="0" w:noVBand="1"/>
      </w:tblPr>
      <w:tblGrid>
        <w:gridCol w:w="4006"/>
        <w:gridCol w:w="4006"/>
      </w:tblGrid>
      <w:tr w:rsidR="007316A8" w:rsidTr="007316A8">
        <w:tc>
          <w:tcPr>
            <w:tcW w:w="4006" w:type="dxa"/>
          </w:tcPr>
          <w:p w:rsidR="007316A8" w:rsidRDefault="007316A8" w:rsidP="004A4E41">
            <w:pPr>
              <w:pStyle w:val="libFootnote0"/>
              <w:rPr>
                <w:rtl/>
              </w:rPr>
            </w:pPr>
            <w:r>
              <w:rPr>
                <w:rtl/>
              </w:rPr>
              <w:t>(3).</w:t>
            </w:r>
            <w:r w:rsidRPr="00C9040A">
              <w:rPr>
                <w:rtl/>
              </w:rPr>
              <w:t xml:space="preserve"> وفي الخصال وصفات الشيعة </w:t>
            </w:r>
            <w:r>
              <w:rPr>
                <w:rtl/>
              </w:rPr>
              <w:t>: -</w:t>
            </w:r>
            <w:r w:rsidRPr="00C9040A">
              <w:rPr>
                <w:rtl/>
              </w:rPr>
              <w:t xml:space="preserve"> « لله »</w:t>
            </w:r>
            <w:r>
              <w:rPr>
                <w:rtl/>
              </w:rPr>
              <w:t>.</w:t>
            </w:r>
          </w:p>
        </w:tc>
        <w:tc>
          <w:tcPr>
            <w:tcW w:w="4006" w:type="dxa"/>
          </w:tcPr>
          <w:p w:rsidR="007316A8" w:rsidRDefault="007316A8" w:rsidP="004A4E41">
            <w:pPr>
              <w:pStyle w:val="libFootnote0"/>
              <w:rPr>
                <w:rtl/>
              </w:rPr>
            </w:pPr>
            <w:r>
              <w:rPr>
                <w:rtl/>
              </w:rPr>
              <w:t>(4).</w:t>
            </w:r>
            <w:r w:rsidRPr="00C9040A">
              <w:rPr>
                <w:rtl/>
              </w:rPr>
              <w:t xml:space="preserve"> في « ف » : « وحصن »</w:t>
            </w:r>
            <w:r>
              <w:rPr>
                <w:rtl/>
              </w:rPr>
              <w:t>.</w:t>
            </w:r>
          </w:p>
        </w:tc>
      </w:tr>
    </w:tbl>
    <w:p w:rsidR="008A74EB" w:rsidRPr="00C9040A" w:rsidRDefault="006C577F" w:rsidP="004A4E41">
      <w:pPr>
        <w:pStyle w:val="libFootnote0"/>
        <w:rPr>
          <w:rtl/>
          <w:lang w:bidi="fa-IR"/>
        </w:rPr>
      </w:pPr>
      <w:r>
        <w:rPr>
          <w:rtl/>
        </w:rPr>
        <w:t>(5).</w:t>
      </w:r>
      <w:r w:rsidR="008A74EB" w:rsidRPr="00C9040A">
        <w:rPr>
          <w:rtl/>
        </w:rPr>
        <w:t xml:space="preserve"> في « ض ، </w:t>
      </w:r>
      <w:r w:rsidR="006D3162">
        <w:rPr>
          <w:rtl/>
        </w:rPr>
        <w:t xml:space="preserve">ه </w:t>
      </w:r>
      <w:r w:rsidR="008A74EB" w:rsidRPr="00C9040A">
        <w:rPr>
          <w:rtl/>
        </w:rPr>
        <w:t>» وحاشية « ز » : « اجتهاد »</w:t>
      </w:r>
      <w:r w:rsidR="008A74EB">
        <w:rPr>
          <w:rtl/>
        </w:rPr>
        <w:t>.</w:t>
      </w:r>
    </w:p>
    <w:p w:rsidR="008A74EB" w:rsidRPr="00C9040A" w:rsidRDefault="006C577F" w:rsidP="007E6CAA">
      <w:pPr>
        <w:pStyle w:val="libFootnote0"/>
        <w:rPr>
          <w:rtl/>
          <w:lang w:bidi="fa-IR"/>
        </w:rPr>
      </w:pPr>
      <w:r>
        <w:rPr>
          <w:rtl/>
        </w:rPr>
        <w:t>(6).</w:t>
      </w:r>
      <w:r w:rsidR="008A74EB">
        <w:rPr>
          <w:rtl/>
        </w:rPr>
        <w:t xml:space="preserve"> </w:t>
      </w:r>
      <w:r w:rsidR="008A74EB" w:rsidRPr="00C9040A">
        <w:rPr>
          <w:rtl/>
        </w:rPr>
        <w:t xml:space="preserve">في </w:t>
      </w:r>
      <w:r w:rsidR="008A74EB" w:rsidRPr="00993B55">
        <w:rPr>
          <w:rStyle w:val="libFootnoteBoldChar"/>
          <w:rtl/>
        </w:rPr>
        <w:t>الوافي</w:t>
      </w:r>
      <w:r w:rsidR="008A74EB" w:rsidRPr="00C9040A">
        <w:rPr>
          <w:rtl/>
        </w:rPr>
        <w:t xml:space="preserve"> : « لعلّ المراد بالصلاة في الشغل ذكر الله في أشغاله ، أو أنّ المراد أنّه لايشغله أشغاله عن إتيان الصلاة ، بل يدع الشغل ويأتي الصلاة ثمّ يعود إليه ؛ ويشملهما قوله سبحانه : </w:t>
      </w:r>
      <w:r w:rsidR="008A74EB" w:rsidRPr="007E6CAA">
        <w:rPr>
          <w:rStyle w:val="libFootnoteAlaemChar"/>
          <w:rtl/>
        </w:rPr>
        <w:t>(</w:t>
      </w:r>
      <w:r w:rsidR="008A74EB" w:rsidRPr="00883DD5">
        <w:rPr>
          <w:rStyle w:val="libFootnoteAieChar"/>
          <w:rFonts w:hint="cs"/>
          <w:rtl/>
        </w:rPr>
        <w:t xml:space="preserve"> </w:t>
      </w:r>
      <w:r w:rsidR="008A74EB" w:rsidRPr="00883DD5">
        <w:rPr>
          <w:rStyle w:val="libFootnoteAieChar"/>
          <w:rtl/>
        </w:rPr>
        <w:t>رِج</w:t>
      </w:r>
      <w:r w:rsidR="007E6CAA">
        <w:rPr>
          <w:rStyle w:val="libFootnoteAieChar"/>
          <w:rFonts w:hint="cs"/>
          <w:rtl/>
        </w:rPr>
        <w:t>َ</w:t>
      </w:r>
      <w:r w:rsidR="008A74EB" w:rsidRPr="00883DD5">
        <w:rPr>
          <w:rStyle w:val="libFootnoteAieChar"/>
          <w:rtl/>
        </w:rPr>
        <w:t>الٌ ل</w:t>
      </w:r>
      <w:r w:rsidR="007E6CAA">
        <w:rPr>
          <w:rStyle w:val="libFootnoteAieChar"/>
          <w:rFonts w:hint="cs"/>
          <w:rtl/>
        </w:rPr>
        <w:t>َّ</w:t>
      </w:r>
      <w:r w:rsidR="008A74EB" w:rsidRPr="00883DD5">
        <w:rPr>
          <w:rStyle w:val="libFootnoteAieChar"/>
          <w:rtl/>
        </w:rPr>
        <w:t>ا تُلْهِيهِمْ تِج</w:t>
      </w:r>
      <w:r w:rsidR="007E6CAA">
        <w:rPr>
          <w:rStyle w:val="libFootnoteAieChar"/>
          <w:rFonts w:hint="cs"/>
          <w:rtl/>
        </w:rPr>
        <w:t>َ</w:t>
      </w:r>
      <w:r w:rsidR="008A74EB" w:rsidRPr="00883DD5">
        <w:rPr>
          <w:rStyle w:val="libFootnoteAieChar"/>
          <w:rtl/>
        </w:rPr>
        <w:t>ارَةٌ وَل</w:t>
      </w:r>
      <w:r w:rsidR="007E6CAA">
        <w:rPr>
          <w:rStyle w:val="libFootnoteAieChar"/>
          <w:rFonts w:hint="cs"/>
          <w:rtl/>
        </w:rPr>
        <w:t>َ</w:t>
      </w:r>
      <w:r w:rsidR="008A74EB" w:rsidRPr="00883DD5">
        <w:rPr>
          <w:rStyle w:val="libFootnoteAieChar"/>
          <w:rtl/>
        </w:rPr>
        <w:t>ا بَيْعٌ عَنْ ذِكْرِ اللهِ</w:t>
      </w:r>
      <w:r w:rsidR="008A74EB" w:rsidRPr="007E6CAA">
        <w:rPr>
          <w:rStyle w:val="libFootnoteAlaemChar"/>
          <w:rtl/>
        </w:rPr>
        <w:t>)</w:t>
      </w:r>
      <w:r w:rsidR="008A74EB" w:rsidRPr="00C9040A">
        <w:rPr>
          <w:rtl/>
        </w:rPr>
        <w:t>. [ النور (24) : 37 ] »</w:t>
      </w:r>
      <w:r w:rsidR="008A74EB">
        <w:rPr>
          <w:rtl/>
        </w:rPr>
        <w:t>.</w:t>
      </w:r>
      <w:r w:rsidR="007E6CAA">
        <w:rPr>
          <w:rFonts w:hint="cs"/>
          <w:rtl/>
        </w:rPr>
        <w:t xml:space="preserve">                                    </w:t>
      </w:r>
      <w:r>
        <w:rPr>
          <w:rtl/>
        </w:rPr>
        <w:t>(7).</w:t>
      </w:r>
      <w:r w:rsidR="008A74EB" w:rsidRPr="00C9040A">
        <w:rPr>
          <w:rtl/>
        </w:rPr>
        <w:t xml:space="preserve"> في « ز » </w:t>
      </w:r>
      <w:r w:rsidR="008A74EB">
        <w:rPr>
          <w:rtl/>
        </w:rPr>
        <w:t xml:space="preserve">: </w:t>
      </w:r>
      <w:r w:rsidR="0084262C">
        <w:rPr>
          <w:rtl/>
        </w:rPr>
        <w:t>-</w:t>
      </w:r>
      <w:r w:rsidR="008A74EB" w:rsidRPr="00C9040A">
        <w:rPr>
          <w:rtl/>
        </w:rPr>
        <w:t xml:space="preserve"> « </w:t>
      </w:r>
      <w:r w:rsidR="008A74EB">
        <w:rPr>
          <w:rtl/>
        </w:rPr>
        <w:t>و ».</w:t>
      </w:r>
    </w:p>
    <w:p w:rsidR="008A74EB" w:rsidRPr="00C9040A" w:rsidRDefault="006C577F" w:rsidP="004A4E41">
      <w:pPr>
        <w:pStyle w:val="libFootnote0"/>
        <w:rPr>
          <w:rtl/>
          <w:lang w:bidi="fa-IR"/>
        </w:rPr>
      </w:pPr>
      <w:r>
        <w:rPr>
          <w:rtl/>
        </w:rPr>
        <w:t>(8).</w:t>
      </w:r>
      <w:r w:rsidR="008A74EB" w:rsidRPr="00C9040A">
        <w:rPr>
          <w:rtl/>
        </w:rPr>
        <w:t xml:space="preserve"> في « </w:t>
      </w:r>
      <w:r w:rsidR="006D3162">
        <w:rPr>
          <w:rtl/>
        </w:rPr>
        <w:t xml:space="preserve">ه </w:t>
      </w:r>
      <w:r w:rsidR="008A74EB" w:rsidRPr="00C9040A">
        <w:rPr>
          <w:rtl/>
        </w:rPr>
        <w:t xml:space="preserve">» وشرح المازندراني </w:t>
      </w:r>
      <w:r w:rsidR="008A74EB">
        <w:rPr>
          <w:rtl/>
        </w:rPr>
        <w:t xml:space="preserve">: </w:t>
      </w:r>
      <w:r w:rsidR="0084262C">
        <w:rPr>
          <w:rtl/>
        </w:rPr>
        <w:t>-</w:t>
      </w:r>
      <w:r w:rsidR="008A74EB" w:rsidRPr="00C9040A">
        <w:rPr>
          <w:rtl/>
        </w:rPr>
        <w:t xml:space="preserve"> « </w:t>
      </w:r>
      <w:r w:rsidR="008A74EB">
        <w:rPr>
          <w:rtl/>
        </w:rPr>
        <w:t>و ».</w:t>
      </w:r>
    </w:p>
    <w:p w:rsidR="008A74EB" w:rsidRPr="00C9040A" w:rsidRDefault="006C577F" w:rsidP="004A4E41">
      <w:pPr>
        <w:pStyle w:val="libFootnote0"/>
        <w:rPr>
          <w:rtl/>
          <w:lang w:bidi="fa-IR"/>
        </w:rPr>
      </w:pPr>
      <w:r>
        <w:rPr>
          <w:rtl/>
        </w:rPr>
        <w:t>(9).</w:t>
      </w:r>
      <w:r w:rsidR="008A74EB" w:rsidRPr="00C9040A">
        <w:rPr>
          <w:rtl/>
        </w:rPr>
        <w:t xml:space="preserve"> رجل فظّ : أي‌سيِّئ الخلق ، وفلان أفظّ من فلان ، أي‌أصعب خُلُقاً وأشرس. </w:t>
      </w:r>
      <w:r w:rsidR="008A74EB" w:rsidRPr="00993B55">
        <w:rPr>
          <w:rStyle w:val="libFootnoteBoldChar"/>
          <w:rtl/>
        </w:rPr>
        <w:t>النهاية</w:t>
      </w:r>
      <w:r w:rsidR="008A74EB" w:rsidRPr="00C9040A">
        <w:rPr>
          <w:rtl/>
        </w:rPr>
        <w:t xml:space="preserve"> ، ج 3 ، ص 459 ( فظظ )</w:t>
      </w:r>
      <w:r w:rsidR="008A74EB">
        <w:rPr>
          <w:rtl/>
        </w:rPr>
        <w:t>.</w:t>
      </w:r>
    </w:p>
    <w:tbl>
      <w:tblPr>
        <w:tblStyle w:val="TableGrid"/>
        <w:bidiVisual/>
        <w:tblW w:w="0" w:type="auto"/>
        <w:tblLook w:val="04A0" w:firstRow="1" w:lastRow="0" w:firstColumn="1" w:lastColumn="0" w:noHBand="0" w:noVBand="1"/>
      </w:tblPr>
      <w:tblGrid>
        <w:gridCol w:w="4006"/>
        <w:gridCol w:w="4006"/>
      </w:tblGrid>
      <w:tr w:rsidR="007E6CAA" w:rsidTr="007E6CAA">
        <w:tc>
          <w:tcPr>
            <w:tcW w:w="4006" w:type="dxa"/>
          </w:tcPr>
          <w:p w:rsidR="007E6CAA" w:rsidRDefault="007E6CAA" w:rsidP="004A4E41">
            <w:pPr>
              <w:pStyle w:val="libFootnote0"/>
              <w:rPr>
                <w:rtl/>
              </w:rPr>
            </w:pPr>
            <w:r>
              <w:rPr>
                <w:rtl/>
              </w:rPr>
              <w:t>(10).</w:t>
            </w:r>
            <w:r w:rsidRPr="00C9040A">
              <w:rPr>
                <w:rtl/>
              </w:rPr>
              <w:t xml:space="preserve"> في « ج ، ص ، بف » </w:t>
            </w:r>
            <w:r>
              <w:rPr>
                <w:rtl/>
              </w:rPr>
              <w:t>: -</w:t>
            </w:r>
            <w:r w:rsidRPr="00C9040A">
              <w:rPr>
                <w:rtl/>
              </w:rPr>
              <w:t xml:space="preserve"> « </w:t>
            </w:r>
            <w:r>
              <w:rPr>
                <w:rtl/>
              </w:rPr>
              <w:t>و ».</w:t>
            </w:r>
          </w:p>
        </w:tc>
        <w:tc>
          <w:tcPr>
            <w:tcW w:w="4006" w:type="dxa"/>
          </w:tcPr>
          <w:p w:rsidR="007E6CAA" w:rsidRDefault="007E6CAA" w:rsidP="004A4E41">
            <w:pPr>
              <w:pStyle w:val="libFootnote0"/>
              <w:rPr>
                <w:rtl/>
              </w:rPr>
            </w:pPr>
            <w:r>
              <w:rPr>
                <w:rtl/>
              </w:rPr>
              <w:t>(11). في «ف»:</w:t>
            </w:r>
            <w:r w:rsidR="007C561F">
              <w:rPr>
                <w:rtl/>
              </w:rPr>
              <w:t>«بسوء</w:t>
            </w:r>
            <w:r w:rsidRPr="00C9040A">
              <w:rPr>
                <w:rtl/>
              </w:rPr>
              <w:t>»</w:t>
            </w:r>
            <w:r>
              <w:rPr>
                <w:rtl/>
              </w:rPr>
              <w:t>.</w:t>
            </w:r>
            <w:r w:rsidR="007C561F">
              <w:rPr>
                <w:rtl/>
              </w:rPr>
              <w:t>وفي صفات الشيعة:</w:t>
            </w:r>
            <w:r w:rsidRPr="00C9040A">
              <w:rPr>
                <w:rtl/>
              </w:rPr>
              <w:t>« بطره »</w:t>
            </w:r>
            <w:r>
              <w:rPr>
                <w:rtl/>
              </w:rPr>
              <w:t>.</w:t>
            </w:r>
          </w:p>
        </w:tc>
      </w:tr>
    </w:tbl>
    <w:p w:rsidR="008A74EB" w:rsidRPr="00C9040A" w:rsidRDefault="006C577F" w:rsidP="004A4E41">
      <w:pPr>
        <w:pStyle w:val="libFootnote0"/>
        <w:rPr>
          <w:rtl/>
          <w:lang w:bidi="fa-IR"/>
        </w:rPr>
      </w:pPr>
      <w:r>
        <w:rPr>
          <w:rtl/>
        </w:rPr>
        <w:t>(12).</w:t>
      </w:r>
      <w:r w:rsidR="008A74EB" w:rsidRPr="00C9040A">
        <w:rPr>
          <w:rtl/>
        </w:rPr>
        <w:t xml:space="preserve"> في </w:t>
      </w:r>
      <w:r w:rsidR="008A74EB" w:rsidRPr="00993B55">
        <w:rPr>
          <w:rStyle w:val="libFootnoteBoldChar"/>
          <w:rtl/>
        </w:rPr>
        <w:t>الوافي</w:t>
      </w:r>
      <w:r w:rsidR="008A74EB" w:rsidRPr="00C9040A">
        <w:rPr>
          <w:rtl/>
        </w:rPr>
        <w:t xml:space="preserve"> : « وفي بعض النسخ : لا يحسد الناس بعزّ</w:t>
      </w:r>
      <w:r w:rsidR="008A74EB">
        <w:rPr>
          <w:rtl/>
        </w:rPr>
        <w:t xml:space="preserve"> </w:t>
      </w:r>
      <w:r w:rsidR="0084262C">
        <w:rPr>
          <w:rtl/>
        </w:rPr>
        <w:t>-</w:t>
      </w:r>
      <w:r w:rsidR="008A74EB">
        <w:rPr>
          <w:rtl/>
        </w:rPr>
        <w:t xml:space="preserve"> </w:t>
      </w:r>
      <w:r w:rsidR="008A74EB" w:rsidRPr="00C9040A">
        <w:rPr>
          <w:rtl/>
        </w:rPr>
        <w:t>أي‌بسبب عزّه</w:t>
      </w:r>
      <w:r w:rsidR="008A74EB">
        <w:rPr>
          <w:rtl/>
        </w:rPr>
        <w:t xml:space="preserve"> </w:t>
      </w:r>
      <w:r w:rsidR="0084262C">
        <w:rPr>
          <w:rtl/>
        </w:rPr>
        <w:t>-</w:t>
      </w:r>
      <w:r w:rsidR="008A74EB">
        <w:rPr>
          <w:rtl/>
        </w:rPr>
        <w:t xml:space="preserve"> </w:t>
      </w:r>
      <w:r w:rsidR="008A74EB" w:rsidRPr="00C9040A">
        <w:rPr>
          <w:rtl/>
        </w:rPr>
        <w:t>ولا يقتر ولا يسرف. ولعلّه الأصحّ »</w:t>
      </w:r>
      <w:r w:rsidR="008A74EB">
        <w:rPr>
          <w:rtl/>
        </w:rPr>
        <w:t>.</w:t>
      </w:r>
      <w:r w:rsidR="008A74EB" w:rsidRPr="00C9040A">
        <w:rPr>
          <w:rtl/>
        </w:rPr>
        <w:t xml:space="preserve"> وكذا قاله في </w:t>
      </w:r>
      <w:r w:rsidR="008A74EB" w:rsidRPr="00993B55">
        <w:rPr>
          <w:rStyle w:val="libFootnoteBoldChar"/>
          <w:rtl/>
        </w:rPr>
        <w:t>مرآة العقول</w:t>
      </w:r>
      <w:r w:rsidR="008A74EB" w:rsidRPr="00C9040A">
        <w:rPr>
          <w:rtl/>
        </w:rPr>
        <w:t xml:space="preserve"> ، </w:t>
      </w:r>
      <w:r w:rsidR="005930AC">
        <w:rPr>
          <w:rtl/>
        </w:rPr>
        <w:t>إل</w:t>
      </w:r>
      <w:r w:rsidR="005930AC">
        <w:rPr>
          <w:rFonts w:hint="cs"/>
          <w:rtl/>
        </w:rPr>
        <w:t>ّ</w:t>
      </w:r>
      <w:r w:rsidR="005930AC">
        <w:rPr>
          <w:rtl/>
        </w:rPr>
        <w:t>ا</w:t>
      </w:r>
      <w:r w:rsidR="008A74EB">
        <w:rPr>
          <w:rtl/>
        </w:rPr>
        <w:t xml:space="preserve"> أنّ</w:t>
      </w:r>
      <w:r w:rsidR="008A74EB" w:rsidRPr="00C9040A">
        <w:rPr>
          <w:rtl/>
        </w:rPr>
        <w:t xml:space="preserve"> فيه : « ولعلّه أصوب »</w:t>
      </w:r>
      <w:r w:rsidR="008A74EB">
        <w:rPr>
          <w:rtl/>
        </w:rPr>
        <w:t>.</w:t>
      </w:r>
    </w:p>
    <w:tbl>
      <w:tblPr>
        <w:tblStyle w:val="TableGrid"/>
        <w:bidiVisual/>
        <w:tblW w:w="0" w:type="auto"/>
        <w:tblLook w:val="04A0" w:firstRow="1" w:lastRow="0" w:firstColumn="1" w:lastColumn="0" w:noHBand="0" w:noVBand="1"/>
      </w:tblPr>
      <w:tblGrid>
        <w:gridCol w:w="4006"/>
        <w:gridCol w:w="4006"/>
      </w:tblGrid>
      <w:tr w:rsidR="005930AC" w:rsidTr="005930AC">
        <w:tc>
          <w:tcPr>
            <w:tcW w:w="4006" w:type="dxa"/>
          </w:tcPr>
          <w:p w:rsidR="005930AC" w:rsidRDefault="005930AC" w:rsidP="004A4E41">
            <w:pPr>
              <w:pStyle w:val="libFootnote0"/>
              <w:rPr>
                <w:rtl/>
                <w:lang w:bidi="fa-IR"/>
              </w:rPr>
            </w:pPr>
            <w:r>
              <w:rPr>
                <w:rtl/>
              </w:rPr>
              <w:t>(13)</w:t>
            </w:r>
            <w:r w:rsidRPr="00C9040A">
              <w:rPr>
                <w:rtl/>
              </w:rPr>
              <w:t xml:space="preserve"> في « ف » : « غنى »</w:t>
            </w:r>
            <w:r>
              <w:rPr>
                <w:rtl/>
              </w:rPr>
              <w:t>.</w:t>
            </w:r>
          </w:p>
        </w:tc>
        <w:tc>
          <w:tcPr>
            <w:tcW w:w="4006" w:type="dxa"/>
          </w:tcPr>
          <w:p w:rsidR="005930AC" w:rsidRDefault="005930AC" w:rsidP="004A4E41">
            <w:pPr>
              <w:pStyle w:val="libFootnote0"/>
              <w:rPr>
                <w:rtl/>
                <w:lang w:bidi="fa-IR"/>
              </w:rPr>
            </w:pPr>
            <w:r>
              <w:rPr>
                <w:rtl/>
              </w:rPr>
              <w:t>(14)</w:t>
            </w:r>
            <w:r w:rsidR="00B658B0">
              <w:rPr>
                <w:rtl/>
              </w:rPr>
              <w:t xml:space="preserve"> في«ب»: «في ذلّها</w:t>
            </w:r>
            <w:r w:rsidRPr="00C9040A">
              <w:rPr>
                <w:rtl/>
              </w:rPr>
              <w:t>»</w:t>
            </w:r>
            <w:r>
              <w:rPr>
                <w:rtl/>
              </w:rPr>
              <w:t>.</w:t>
            </w:r>
            <w:r w:rsidRPr="00C9040A">
              <w:rPr>
                <w:rtl/>
              </w:rPr>
              <w:t>وفي الخصال : « من ألمها »</w:t>
            </w:r>
            <w:r>
              <w:rPr>
                <w:rtl/>
              </w:rPr>
              <w:t>.</w:t>
            </w:r>
          </w:p>
        </w:tc>
      </w:tr>
    </w:tbl>
    <w:p w:rsidR="008A74EB" w:rsidRPr="00C9040A" w:rsidRDefault="008A74EB" w:rsidP="004A4E41">
      <w:pPr>
        <w:pStyle w:val="libFootnote0"/>
        <w:rPr>
          <w:rtl/>
          <w:lang w:bidi="fa-IR"/>
        </w:rPr>
      </w:pPr>
      <w:r>
        <w:rPr>
          <w:rtl/>
        </w:rPr>
        <w:t>(15)</w:t>
      </w:r>
      <w:r w:rsidRPr="00C9040A">
        <w:rPr>
          <w:rtl/>
        </w:rPr>
        <w:t xml:space="preserve"> في « بر ، بف » </w:t>
      </w:r>
      <w:r>
        <w:rPr>
          <w:rtl/>
        </w:rPr>
        <w:t xml:space="preserve">: </w:t>
      </w:r>
      <w:r w:rsidR="0084262C">
        <w:rPr>
          <w:rtl/>
        </w:rPr>
        <w:t>-</w:t>
      </w:r>
      <w:r w:rsidRPr="00C9040A">
        <w:rPr>
          <w:rtl/>
        </w:rPr>
        <w:t xml:space="preserve"> « </w:t>
      </w:r>
      <w:r>
        <w:rPr>
          <w:rtl/>
        </w:rPr>
        <w:t>و ».</w:t>
      </w:r>
    </w:p>
    <w:p w:rsidR="008A74EB" w:rsidRPr="00C9040A" w:rsidRDefault="008A74EB" w:rsidP="004A4E41">
      <w:pPr>
        <w:pStyle w:val="libFootnote0"/>
        <w:rPr>
          <w:rtl/>
          <w:lang w:bidi="fa-IR"/>
        </w:rPr>
      </w:pPr>
      <w:r>
        <w:rPr>
          <w:rtl/>
        </w:rPr>
        <w:t>(16)</w:t>
      </w:r>
      <w:r w:rsidRPr="00C9040A">
        <w:rPr>
          <w:rtl/>
        </w:rPr>
        <w:t xml:space="preserve"> في « ج ، د ، ص » وحاشية « بر » : « علمه »</w:t>
      </w:r>
      <w:r>
        <w:rPr>
          <w:rtl/>
        </w:rPr>
        <w:t>.</w:t>
      </w:r>
      <w:r w:rsidRPr="00C9040A">
        <w:rPr>
          <w:rtl/>
        </w:rPr>
        <w:t xml:space="preserve"> وفي الوسائل والخصال وصفات الشيعة : « حلمه »</w:t>
      </w:r>
      <w:r>
        <w:rPr>
          <w:rtl/>
        </w:rPr>
        <w:t>.</w:t>
      </w:r>
    </w:p>
    <w:p w:rsidR="008A74EB" w:rsidRPr="00C9040A" w:rsidRDefault="008A74EB" w:rsidP="004A4E41">
      <w:pPr>
        <w:pStyle w:val="libFootnote0"/>
        <w:rPr>
          <w:rtl/>
          <w:lang w:bidi="fa-IR"/>
        </w:rPr>
      </w:pPr>
      <w:r>
        <w:rPr>
          <w:rtl/>
        </w:rPr>
        <w:t>(17)</w:t>
      </w:r>
      <w:r w:rsidRPr="00C9040A">
        <w:rPr>
          <w:rtl/>
        </w:rPr>
        <w:t xml:space="preserve"> في « د » : « ولا يرى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وَهْنٌ ، وَلَا فِي دِينِهِ ضَيَاعٌ </w:t>
      </w:r>
      <w:r w:rsidR="006C577F" w:rsidRPr="006C577F">
        <w:rPr>
          <w:rStyle w:val="libFootnotenumChar"/>
          <w:rtl/>
        </w:rPr>
        <w:t>(1)</w:t>
      </w:r>
      <w:r w:rsidRPr="00C9040A">
        <w:rPr>
          <w:rtl/>
          <w:lang w:bidi="fa-IR"/>
        </w:rPr>
        <w:t xml:space="preserve"> ، يُرْشِدُ مَنِ اسْتَشَارَهُ ، وَيُسَاعِدُ مَنْ سَاعَدَهُ ، وَيَكِيعُ </w:t>
      </w:r>
      <w:r w:rsidR="006C577F" w:rsidRPr="006C577F">
        <w:rPr>
          <w:rStyle w:val="libFootnotenumChar"/>
          <w:rtl/>
        </w:rPr>
        <w:t>(2)</w:t>
      </w:r>
      <w:r w:rsidRPr="00C9040A">
        <w:rPr>
          <w:rtl/>
          <w:lang w:bidi="fa-IR"/>
        </w:rPr>
        <w:t xml:space="preserve"> عَنِ الْخَنَا </w:t>
      </w:r>
      <w:r w:rsidR="006C577F" w:rsidRPr="006C577F">
        <w:rPr>
          <w:rStyle w:val="libFootnotenumChar"/>
          <w:rtl/>
        </w:rPr>
        <w:t>(3)</w:t>
      </w:r>
      <w:r w:rsidRPr="00C9040A">
        <w:rPr>
          <w:rtl/>
          <w:lang w:bidi="fa-IR"/>
        </w:rPr>
        <w:t xml:space="preserve"> وَالْجَهْلِ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DD664D">
        <w:rPr>
          <w:rtl/>
        </w:rPr>
        <w:t>2284</w:t>
      </w:r>
      <w:r w:rsidRPr="00261CB0">
        <w:rPr>
          <w:rStyle w:val="libBold2Char"/>
          <w:rtl/>
        </w:rPr>
        <w:t xml:space="preserve"> / 5.</w:t>
      </w:r>
      <w:r w:rsidRPr="00C9040A">
        <w:rPr>
          <w:rtl/>
          <w:lang w:bidi="fa-IR"/>
        </w:rPr>
        <w:t xml:space="preserve"> عَنْهُ </w:t>
      </w:r>
      <w:r w:rsidR="006C577F" w:rsidRPr="006C577F">
        <w:rPr>
          <w:rStyle w:val="libFootnotenumChar"/>
          <w:rtl/>
        </w:rPr>
        <w:t>(5)</w:t>
      </w:r>
      <w:r w:rsidRPr="00C9040A">
        <w:rPr>
          <w:rtl/>
          <w:lang w:bidi="fa-IR"/>
        </w:rPr>
        <w:t xml:space="preserve"> ، عَنْ بَعْضِ أَصْحَابِنَا رَفَعَهُ :</w:t>
      </w:r>
    </w:p>
    <w:p w:rsidR="008A74EB" w:rsidRPr="00C9040A" w:rsidRDefault="008A74EB" w:rsidP="0019181B">
      <w:pPr>
        <w:pStyle w:val="libNormal"/>
        <w:rPr>
          <w:rtl/>
          <w:lang w:bidi="fa-IR"/>
        </w:rPr>
      </w:pPr>
      <w:r w:rsidRPr="00C9040A">
        <w:rPr>
          <w:rtl/>
          <w:lang w:bidi="fa-IR"/>
        </w:rPr>
        <w:t xml:space="preserve">عَنْ أَحَدِهِمَا </w:t>
      </w:r>
      <w:r w:rsidRPr="0003660B">
        <w:rPr>
          <w:rStyle w:val="libAlaemChar"/>
          <w:rtl/>
        </w:rPr>
        <w:t>عليهما‌السلام</w:t>
      </w:r>
      <w:r w:rsidRPr="00C9040A">
        <w:rPr>
          <w:rtl/>
          <w:lang w:bidi="fa-IR"/>
        </w:rPr>
        <w:t xml:space="preserve"> ، قَالَ : « مَرَّ أَمِيرُ الْمُؤْمِنِينَ </w:t>
      </w:r>
      <w:r w:rsidRPr="0003660B">
        <w:rPr>
          <w:rStyle w:val="libAlaemChar"/>
          <w:rtl/>
        </w:rPr>
        <w:t>عليه‌السلام</w:t>
      </w:r>
      <w:r w:rsidRPr="00C9040A">
        <w:rPr>
          <w:rtl/>
          <w:lang w:bidi="fa-IR"/>
        </w:rPr>
        <w:t xml:space="preserve"> بِمَجْلِسٍ مِنْ قُرَيْشٍ ، فَإِذَا </w:t>
      </w:r>
      <w:r w:rsidR="006C577F" w:rsidRPr="006C577F">
        <w:rPr>
          <w:rStyle w:val="libFootnotenumChar"/>
          <w:rtl/>
        </w:rPr>
        <w:t>(6)</w:t>
      </w:r>
      <w:r w:rsidR="0019181B" w:rsidRPr="00C9040A">
        <w:rPr>
          <w:rtl/>
          <w:lang w:bidi="fa-IR"/>
        </w:rPr>
        <w:t xml:space="preserve"> </w:t>
      </w:r>
      <w:r w:rsidRPr="00C9040A">
        <w:rPr>
          <w:rtl/>
          <w:lang w:bidi="fa-IR"/>
        </w:rPr>
        <w:t xml:space="preserve">هُوَ بِقَوْمٍ </w:t>
      </w:r>
      <w:r w:rsidR="006C577F" w:rsidRPr="006C577F">
        <w:rPr>
          <w:rStyle w:val="libFootnotenumChar"/>
          <w:rtl/>
        </w:rPr>
        <w:t>(7)</w:t>
      </w:r>
      <w:r w:rsidRPr="00C9040A">
        <w:rPr>
          <w:rtl/>
          <w:lang w:bidi="fa-IR"/>
        </w:rPr>
        <w:t xml:space="preserve"> بِيضٍ </w:t>
      </w:r>
      <w:r w:rsidR="006C577F" w:rsidRPr="006C577F">
        <w:rPr>
          <w:rStyle w:val="libFootnotenumChar"/>
          <w:rtl/>
        </w:rPr>
        <w:t>(8)</w:t>
      </w:r>
      <w:r w:rsidRPr="00C9040A">
        <w:rPr>
          <w:rtl/>
          <w:lang w:bidi="fa-IR"/>
        </w:rPr>
        <w:t xml:space="preserve"> ثِيَابُهُمْ ، صَافِيَةٍ أَلْوَانُهُمْ ، كَثِيرٍ ضِحْكُهُمْ ، يُشِيرُونَ بِأَصَابِعِهِمْ إِلى مَنْ يَمُرُّ </w:t>
      </w:r>
      <w:r w:rsidR="006C577F" w:rsidRPr="006C577F">
        <w:rPr>
          <w:rStyle w:val="libFootnotenumChar"/>
          <w:rtl/>
        </w:rPr>
        <w:t>(9)</w:t>
      </w:r>
      <w:r w:rsidRPr="00C9040A">
        <w:rPr>
          <w:rtl/>
          <w:lang w:bidi="fa-IR"/>
        </w:rPr>
        <w:t xml:space="preserve"> بِهِمْ ، ثُمَّ مَرَّ </w:t>
      </w:r>
      <w:r w:rsidRPr="0003660B">
        <w:rPr>
          <w:rStyle w:val="libAlaemChar"/>
          <w:rtl/>
        </w:rPr>
        <w:t>عليه‌السلام</w:t>
      </w:r>
      <w:r w:rsidRPr="00C9040A">
        <w:rPr>
          <w:rtl/>
          <w:lang w:bidi="fa-IR"/>
        </w:rPr>
        <w:t xml:space="preserve"> بِمَجْلِسٍ لِلْأَوْسِ </w:t>
      </w:r>
      <w:r w:rsidR="006C577F" w:rsidRPr="006C577F">
        <w:rPr>
          <w:rStyle w:val="libFootnotenumChar"/>
          <w:rtl/>
        </w:rPr>
        <w:t>(10)</w:t>
      </w:r>
      <w:r w:rsidRPr="00C9040A">
        <w:rPr>
          <w:rtl/>
          <w:lang w:bidi="fa-IR"/>
        </w:rPr>
        <w:t xml:space="preserve"> وَالْخَزْرَجِ ، فَإِذَا قَوْمٌ </w:t>
      </w:r>
      <w:r w:rsidR="006C577F" w:rsidRPr="006C577F">
        <w:rPr>
          <w:rStyle w:val="libFootnotenumChar"/>
          <w:rtl/>
        </w:rPr>
        <w:t>(11)</w:t>
      </w:r>
      <w:r w:rsidRPr="00C9040A">
        <w:rPr>
          <w:rtl/>
          <w:lang w:bidi="fa-IR"/>
        </w:rPr>
        <w:t xml:space="preserve"> بُلِيَتْ مِنْهُمُ الْأَبْدَانُ ، وَدَقَّتْ مِنْهُمُ الرِّقَابُ ، وَاصْفَرَّتْ مِنْهُمُ الْأَلْوَانُ ، وَقَدْ تَوَاضَعُوا </w:t>
      </w:r>
      <w:r w:rsidR="006C577F" w:rsidRPr="006C577F">
        <w:rPr>
          <w:rStyle w:val="libFootnotenumChar"/>
          <w:rtl/>
        </w:rPr>
        <w:t>(12)</w:t>
      </w:r>
      <w:r w:rsidRPr="00C9040A">
        <w:rPr>
          <w:rtl/>
          <w:lang w:bidi="fa-IR"/>
        </w:rPr>
        <w:t xml:space="preserve"> بِالْكَلَامِ ، فَتَعَجَّبَ </w:t>
      </w:r>
      <w:r w:rsidRPr="005B567D">
        <w:rPr>
          <w:rStyle w:val="libFootnotenumChar"/>
          <w:rtl/>
        </w:rPr>
        <w:t>(13)</w:t>
      </w:r>
      <w:r w:rsidRPr="00C9040A">
        <w:rPr>
          <w:rtl/>
          <w:lang w:bidi="fa-IR"/>
        </w:rPr>
        <w:t xml:space="preserve"> عَلِيٌّ </w:t>
      </w:r>
      <w:r w:rsidRPr="0003660B">
        <w:rPr>
          <w:rStyle w:val="libAlaemChar"/>
          <w:rtl/>
        </w:rPr>
        <w:t>عليه‌السلام</w:t>
      </w:r>
      <w:r w:rsidRPr="00C9040A">
        <w:rPr>
          <w:rtl/>
          <w:lang w:bidi="fa-IR"/>
        </w:rPr>
        <w:t xml:space="preserve"> مِنْ ذلِكَ ، وَدَخَلَ </w:t>
      </w:r>
      <w:r w:rsidRPr="005B567D">
        <w:rPr>
          <w:rStyle w:val="libFootnotenumChar"/>
          <w:rtl/>
        </w:rPr>
        <w:t>(14)</w:t>
      </w:r>
      <w:r w:rsidRPr="00C9040A">
        <w:rPr>
          <w:rtl/>
          <w:lang w:bidi="fa-IR"/>
        </w:rPr>
        <w:t xml:space="preserve"> عَلى رَسُولِ اللهِ </w:t>
      </w:r>
      <w:r w:rsidR="004A4E41" w:rsidRPr="004A4E41">
        <w:rPr>
          <w:rStyle w:val="libAlaemChar"/>
          <w:rtl/>
        </w:rPr>
        <w:t>صلى‌الله‌عليه‌وآله</w:t>
      </w:r>
      <w:r w:rsidRPr="00C9040A">
        <w:rPr>
          <w:rtl/>
          <w:lang w:bidi="fa-IR"/>
        </w:rPr>
        <w:t xml:space="preserve"> ، فَقَالَ : بِأَبِي أَنْتَ وَأُمِّي ، إِنِّي </w:t>
      </w:r>
      <w:r w:rsidRPr="005B567D">
        <w:rPr>
          <w:rStyle w:val="libFootnotenumChar"/>
          <w:rtl/>
        </w:rPr>
        <w:t>(15)</w:t>
      </w:r>
      <w:r w:rsidRPr="00C9040A">
        <w:rPr>
          <w:rtl/>
          <w:lang w:bidi="fa-IR"/>
        </w:rPr>
        <w:t xml:space="preserve"> مَرَرْتُ بِمَجْلِسٍ لِآلِ </w:t>
      </w:r>
      <w:r w:rsidRPr="005B567D">
        <w:rPr>
          <w:rStyle w:val="libFootnotenumChar"/>
          <w:rtl/>
        </w:rPr>
        <w:t>(16)</w:t>
      </w:r>
      <w:r w:rsidRPr="00C9040A">
        <w:rPr>
          <w:rtl/>
          <w:lang w:bidi="fa-IR"/>
        </w:rPr>
        <w:t xml:space="preserve"> فُلَانٍ ، ثُمَّ‌</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w:t>
      </w:r>
      <w:r w:rsidR="008A74EB" w:rsidRPr="00993B55">
        <w:rPr>
          <w:rStyle w:val="libFootnoteBoldChar"/>
          <w:rtl/>
        </w:rPr>
        <w:t>مرآة العقول</w:t>
      </w:r>
      <w:r w:rsidR="008A74EB" w:rsidRPr="00C9040A">
        <w:rPr>
          <w:rtl/>
        </w:rPr>
        <w:t xml:space="preserve"> : « أي دينه قويّ متين ، لايضيّع بالشكوك والشبهات ولا بارتكاب المعاصي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ص » وحاشية « د » : « يكنع » وفي الوافي : « يكتع » والكلّ متقاربة المعنى. </w:t>
      </w:r>
      <w:r w:rsidR="008A74EB">
        <w:rPr>
          <w:rtl/>
        </w:rPr>
        <w:t>و «</w:t>
      </w:r>
      <w:r w:rsidR="008A74EB" w:rsidRPr="00C9040A">
        <w:rPr>
          <w:rtl/>
        </w:rPr>
        <w:t xml:space="preserve"> يكيع » أي‌يهاب ويَجبُن. </w:t>
      </w:r>
      <w:r w:rsidR="008A74EB" w:rsidRPr="00993B55">
        <w:rPr>
          <w:rStyle w:val="libFootnoteBoldChar"/>
          <w:rtl/>
        </w:rPr>
        <w:t>القاموس المحيط</w:t>
      </w:r>
      <w:r w:rsidR="008A74EB" w:rsidRPr="00C9040A">
        <w:rPr>
          <w:rtl/>
        </w:rPr>
        <w:t xml:space="preserve"> ، ج 2 ، ص 1018 ( كيع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 الخنا » : الفحش في القول. </w:t>
      </w:r>
      <w:r w:rsidR="008A74EB" w:rsidRPr="00993B55">
        <w:rPr>
          <w:rStyle w:val="libFootnoteBoldChar"/>
          <w:rtl/>
        </w:rPr>
        <w:t>النهاية</w:t>
      </w:r>
      <w:r w:rsidR="008A74EB" w:rsidRPr="00C9040A">
        <w:rPr>
          <w:rtl/>
        </w:rPr>
        <w:t xml:space="preserve"> ، ج 2 ، ص 86 ( خنا )</w:t>
      </w:r>
      <w:r w:rsidR="008A74EB">
        <w:rPr>
          <w:rtl/>
        </w:rPr>
        <w:t>.</w:t>
      </w:r>
    </w:p>
    <w:p w:rsidR="008A74EB" w:rsidRPr="00C9040A" w:rsidRDefault="006C577F" w:rsidP="00F14525">
      <w:pPr>
        <w:pStyle w:val="libFootnote0"/>
        <w:rPr>
          <w:rtl/>
          <w:lang w:bidi="fa-IR"/>
        </w:rPr>
      </w:pPr>
      <w:r>
        <w:rPr>
          <w:rtl/>
        </w:rPr>
        <w:t>(4).</w:t>
      </w:r>
      <w:r w:rsidR="008A74EB" w:rsidRPr="00C9040A">
        <w:rPr>
          <w:rtl/>
        </w:rPr>
        <w:t xml:space="preserve"> </w:t>
      </w:r>
      <w:r w:rsidR="008A74EB" w:rsidRPr="00993B55">
        <w:rPr>
          <w:rStyle w:val="libFootnoteBoldChar"/>
          <w:rtl/>
        </w:rPr>
        <w:t>الخصال</w:t>
      </w:r>
      <w:r w:rsidR="008A74EB" w:rsidRPr="00C9040A">
        <w:rPr>
          <w:rtl/>
        </w:rPr>
        <w:t xml:space="preserve"> ، ص 571 ، أبواب الخمسين ومافوقه ، ح 2 ، بسنده عن الحسن بن عليّ ، عن أبي سليمان الحلواني ، أو عن رجل عنه ، عن أبي‌عبدالله </w:t>
      </w:r>
      <w:r w:rsidR="00117575" w:rsidRPr="00117575">
        <w:rPr>
          <w:rStyle w:val="libFootnoteAlaemChar"/>
          <w:rtl/>
        </w:rPr>
        <w:t>عليه‌السلام</w:t>
      </w:r>
      <w:r w:rsidR="008A74EB" w:rsidRPr="00C9040A">
        <w:rPr>
          <w:rtl/>
        </w:rPr>
        <w:t xml:space="preserve"> ؛ </w:t>
      </w:r>
      <w:r w:rsidR="008A74EB" w:rsidRPr="00993B55">
        <w:rPr>
          <w:rStyle w:val="libFootnoteBoldChar"/>
          <w:rtl/>
        </w:rPr>
        <w:t>صفات الشيعة</w:t>
      </w:r>
      <w:r w:rsidR="008A74EB" w:rsidRPr="00C9040A">
        <w:rPr>
          <w:rtl/>
        </w:rPr>
        <w:t xml:space="preserve"> ، ص 34 ، ح 54 ، بسنده عن محمّد بن أحمد ، عن رجل ، عن أبي‌عبدالله </w:t>
      </w:r>
      <w:r w:rsidR="00117575" w:rsidRPr="00117575">
        <w:rPr>
          <w:rStyle w:val="libFootnoteAlaemChar"/>
          <w:rtl/>
        </w:rPr>
        <w:t>عليه‌السلام</w:t>
      </w:r>
      <w:r w:rsidR="008A74EB" w:rsidRPr="00C9040A">
        <w:rPr>
          <w:rtl/>
        </w:rPr>
        <w:t xml:space="preserve"> ، وفيهما مع اختلاف يسير</w:t>
      </w:r>
      <w:r w:rsidR="00F14525">
        <w:rPr>
          <w:rFonts w:hint="cs"/>
          <w:rtl/>
        </w:rPr>
        <w:t>.</w:t>
      </w:r>
      <w:r w:rsidR="008A74EB" w:rsidRPr="00993B55">
        <w:rPr>
          <w:rStyle w:val="libFootnoteBoldChar"/>
          <w:rtl/>
        </w:rPr>
        <w:t>الوافي</w:t>
      </w:r>
      <w:r w:rsidR="008A74EB" w:rsidRPr="00C9040A">
        <w:rPr>
          <w:rtl/>
        </w:rPr>
        <w:t xml:space="preserve"> ، ج 4 ، ص 159 ، ح 1751 ؛ </w:t>
      </w:r>
      <w:r w:rsidR="008A74EB" w:rsidRPr="00993B55">
        <w:rPr>
          <w:rStyle w:val="libFootnoteBoldChar"/>
          <w:rtl/>
        </w:rPr>
        <w:t>الوسائل</w:t>
      </w:r>
      <w:r w:rsidR="008A74EB" w:rsidRPr="00C9040A">
        <w:rPr>
          <w:rtl/>
        </w:rPr>
        <w:t xml:space="preserve"> ، ج 15 ، ص 187 ، ح 20240 ؛ </w:t>
      </w:r>
      <w:r w:rsidR="008A74EB" w:rsidRPr="00993B55">
        <w:rPr>
          <w:rStyle w:val="libFootnoteBoldChar"/>
          <w:rtl/>
        </w:rPr>
        <w:t>البحار</w:t>
      </w:r>
      <w:r w:rsidR="008A74EB" w:rsidRPr="00C9040A">
        <w:rPr>
          <w:rtl/>
        </w:rPr>
        <w:t xml:space="preserve"> ، ج 67 ، ص 271 ، ح 3.</w:t>
      </w:r>
    </w:p>
    <w:p w:rsidR="008A74EB" w:rsidRPr="00C9040A" w:rsidRDefault="006C577F" w:rsidP="004A4E41">
      <w:pPr>
        <w:pStyle w:val="libFootnote0"/>
        <w:rPr>
          <w:rtl/>
          <w:lang w:bidi="fa-IR"/>
        </w:rPr>
      </w:pPr>
      <w:r>
        <w:rPr>
          <w:rtl/>
        </w:rPr>
        <w:t>(5).</w:t>
      </w:r>
      <w:r w:rsidR="008A74EB" w:rsidRPr="00C9040A">
        <w:rPr>
          <w:rtl/>
        </w:rPr>
        <w:t xml:space="preserve"> الضمير راجع إلى أحمد بن محمّد بن خالد المذكور في السند السابق.</w:t>
      </w:r>
    </w:p>
    <w:tbl>
      <w:tblPr>
        <w:tblStyle w:val="TableGrid"/>
        <w:bidiVisual/>
        <w:tblW w:w="0" w:type="auto"/>
        <w:tblLook w:val="04A0" w:firstRow="1" w:lastRow="0" w:firstColumn="1" w:lastColumn="0" w:noHBand="0" w:noVBand="1"/>
      </w:tblPr>
      <w:tblGrid>
        <w:gridCol w:w="4006"/>
        <w:gridCol w:w="4006"/>
      </w:tblGrid>
      <w:tr w:rsidR="00F14525" w:rsidTr="00F14525">
        <w:tc>
          <w:tcPr>
            <w:tcW w:w="4006" w:type="dxa"/>
          </w:tcPr>
          <w:p w:rsidR="00F14525" w:rsidRDefault="00F14525" w:rsidP="004A4E41">
            <w:pPr>
              <w:pStyle w:val="libFootnote0"/>
              <w:rPr>
                <w:rtl/>
              </w:rPr>
            </w:pPr>
            <w:r>
              <w:rPr>
                <w:rtl/>
              </w:rPr>
              <w:t xml:space="preserve">(6). </w:t>
            </w:r>
            <w:r w:rsidRPr="00C9040A">
              <w:rPr>
                <w:rtl/>
              </w:rPr>
              <w:t xml:space="preserve">في « ض ، </w:t>
            </w:r>
            <w:r>
              <w:rPr>
                <w:rtl/>
              </w:rPr>
              <w:t xml:space="preserve">ه </w:t>
            </w:r>
            <w:r w:rsidRPr="00C9040A">
              <w:rPr>
                <w:rtl/>
              </w:rPr>
              <w:t>» : « وإذا »</w:t>
            </w:r>
            <w:r>
              <w:rPr>
                <w:rtl/>
              </w:rPr>
              <w:t>.</w:t>
            </w:r>
          </w:p>
        </w:tc>
        <w:tc>
          <w:tcPr>
            <w:tcW w:w="4006" w:type="dxa"/>
          </w:tcPr>
          <w:p w:rsidR="00F14525" w:rsidRDefault="00F14525" w:rsidP="004A4E41">
            <w:pPr>
              <w:pStyle w:val="libFootnote0"/>
              <w:rPr>
                <w:rtl/>
              </w:rPr>
            </w:pPr>
            <w:r>
              <w:rPr>
                <w:rtl/>
              </w:rPr>
              <w:t>(7).</w:t>
            </w:r>
            <w:r w:rsidR="002E1FAF">
              <w:rPr>
                <w:rtl/>
              </w:rPr>
              <w:t xml:space="preserve"> في «ض</w:t>
            </w:r>
            <w:r w:rsidRPr="00C9040A">
              <w:rPr>
                <w:rtl/>
              </w:rPr>
              <w:t xml:space="preserve">، </w:t>
            </w:r>
            <w:r>
              <w:rPr>
                <w:rtl/>
              </w:rPr>
              <w:t xml:space="preserve">ه </w:t>
            </w:r>
            <w:r w:rsidRPr="00C9040A">
              <w:rPr>
                <w:rtl/>
              </w:rPr>
              <w:t>» : « هم قوم » بدل « هو بقوم »</w:t>
            </w:r>
            <w:r>
              <w:rPr>
                <w:rtl/>
              </w:rPr>
              <w:t>.</w:t>
            </w:r>
          </w:p>
        </w:tc>
      </w:tr>
    </w:tbl>
    <w:p w:rsidR="008A74EB" w:rsidRPr="00C9040A" w:rsidRDefault="006C577F" w:rsidP="004A4E41">
      <w:pPr>
        <w:pStyle w:val="libFootnote0"/>
        <w:rPr>
          <w:rtl/>
          <w:lang w:bidi="fa-IR"/>
        </w:rPr>
      </w:pPr>
      <w:r>
        <w:rPr>
          <w:rtl/>
        </w:rPr>
        <w:t>(8).</w:t>
      </w:r>
      <w:r w:rsidR="008A74EB" w:rsidRPr="00C9040A">
        <w:rPr>
          <w:rtl/>
        </w:rPr>
        <w:t xml:space="preserve"> في </w:t>
      </w:r>
      <w:r w:rsidR="008A74EB" w:rsidRPr="00993B55">
        <w:rPr>
          <w:rStyle w:val="libFootnoteBoldChar"/>
          <w:rtl/>
        </w:rPr>
        <w:t>مرآة العقول</w:t>
      </w:r>
      <w:r w:rsidR="008A74EB" w:rsidRPr="00C9040A">
        <w:rPr>
          <w:rtl/>
        </w:rPr>
        <w:t xml:space="preserve"> : « ويحتمل فيه وفي نظائره الجرّ والرفع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ص ، ض ، </w:t>
      </w:r>
      <w:r w:rsidR="006D3162">
        <w:rPr>
          <w:rtl/>
        </w:rPr>
        <w:t xml:space="preserve">ه </w:t>
      </w:r>
      <w:r w:rsidR="008A74EB" w:rsidRPr="00C9040A">
        <w:rPr>
          <w:rtl/>
        </w:rPr>
        <w:t>، بف » : « مرّ »</w:t>
      </w:r>
      <w:r w:rsidR="008A74EB">
        <w:rPr>
          <w:rtl/>
        </w:rPr>
        <w:t>.</w:t>
      </w:r>
      <w:r w:rsidR="008A74EB" w:rsidRPr="00C9040A">
        <w:rPr>
          <w:rtl/>
        </w:rPr>
        <w:t xml:space="preserve"> وفي مرآة العقول : « يشيرون بأصابع</w:t>
      </w:r>
      <w:r w:rsidR="00B120D5">
        <w:rPr>
          <w:rtl/>
        </w:rPr>
        <w:t>هم ، استهزاءٌ وإشارة إلى عيوبهم</w:t>
      </w:r>
      <w:r w:rsidR="008A74EB" w:rsidRPr="00C9040A">
        <w:rPr>
          <w:rtl/>
        </w:rPr>
        <w:t>»</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 ب ، بف » : « الأوس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في « ز ، ص ، ض ، ف ، </w:t>
      </w:r>
      <w:r w:rsidR="006D3162">
        <w:rPr>
          <w:rtl/>
        </w:rPr>
        <w:t xml:space="preserve">ه </w:t>
      </w:r>
      <w:r w:rsidR="008A74EB" w:rsidRPr="00C9040A">
        <w:rPr>
          <w:rtl/>
        </w:rPr>
        <w:t>، بف » والوافي والبحار : « أقوام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في « ص ، </w:t>
      </w:r>
      <w:r w:rsidR="006D3162">
        <w:rPr>
          <w:rtl/>
        </w:rPr>
        <w:t xml:space="preserve">ه </w:t>
      </w:r>
      <w:r w:rsidR="008A74EB" w:rsidRPr="00C9040A">
        <w:rPr>
          <w:rtl/>
        </w:rPr>
        <w:t>» : « تواصفوا »</w:t>
      </w:r>
      <w:r w:rsidR="008A74EB">
        <w:rPr>
          <w:rtl/>
        </w:rPr>
        <w:t>.</w:t>
      </w:r>
    </w:p>
    <w:p w:rsidR="008A74EB" w:rsidRPr="00C9040A" w:rsidRDefault="008A74EB" w:rsidP="004A4E41">
      <w:pPr>
        <w:pStyle w:val="libFootnote0"/>
        <w:rPr>
          <w:rtl/>
          <w:lang w:bidi="fa-IR"/>
        </w:rPr>
      </w:pPr>
      <w:r>
        <w:rPr>
          <w:rtl/>
        </w:rPr>
        <w:t>(13)</w:t>
      </w:r>
      <w:r w:rsidRPr="00C9040A">
        <w:rPr>
          <w:rtl/>
        </w:rPr>
        <w:t xml:space="preserve"> في « ب » : + « أميرالمؤمنين »</w:t>
      </w:r>
      <w:r>
        <w:rPr>
          <w:rtl/>
        </w:rPr>
        <w:t>.</w:t>
      </w:r>
      <w:r w:rsidRPr="00C9040A">
        <w:rPr>
          <w:rtl/>
        </w:rPr>
        <w:t xml:space="preserve"> وفي حاشية « د » : « فعجب »</w:t>
      </w:r>
      <w:r>
        <w:rPr>
          <w:rtl/>
        </w:rPr>
        <w:t>.</w:t>
      </w:r>
    </w:p>
    <w:tbl>
      <w:tblPr>
        <w:tblStyle w:val="TableGrid"/>
        <w:bidiVisual/>
        <w:tblW w:w="0" w:type="auto"/>
        <w:tblLook w:val="04A0" w:firstRow="1" w:lastRow="0" w:firstColumn="1" w:lastColumn="0" w:noHBand="0" w:noVBand="1"/>
      </w:tblPr>
      <w:tblGrid>
        <w:gridCol w:w="4006"/>
        <w:gridCol w:w="4006"/>
      </w:tblGrid>
      <w:tr w:rsidR="002E1FAF" w:rsidTr="002E1FAF">
        <w:tc>
          <w:tcPr>
            <w:tcW w:w="4006" w:type="dxa"/>
          </w:tcPr>
          <w:p w:rsidR="002E1FAF" w:rsidRDefault="002E1FAF" w:rsidP="004A4E41">
            <w:pPr>
              <w:pStyle w:val="libFootnote0"/>
              <w:rPr>
                <w:rtl/>
              </w:rPr>
            </w:pPr>
            <w:r>
              <w:rPr>
                <w:rtl/>
              </w:rPr>
              <w:t>(14)</w:t>
            </w:r>
            <w:r w:rsidRPr="00C9040A">
              <w:rPr>
                <w:rtl/>
              </w:rPr>
              <w:t xml:space="preserve"> في « ض » : « فدخل »</w:t>
            </w:r>
            <w:r>
              <w:rPr>
                <w:rtl/>
              </w:rPr>
              <w:t>.</w:t>
            </w:r>
          </w:p>
        </w:tc>
        <w:tc>
          <w:tcPr>
            <w:tcW w:w="4006" w:type="dxa"/>
          </w:tcPr>
          <w:p w:rsidR="002E1FAF" w:rsidRDefault="002E1FAF" w:rsidP="004A4E41">
            <w:pPr>
              <w:pStyle w:val="libFootnote0"/>
              <w:rPr>
                <w:rtl/>
              </w:rPr>
            </w:pPr>
            <w:r>
              <w:rPr>
                <w:rtl/>
              </w:rPr>
              <w:t>(15)</w:t>
            </w:r>
            <w:r w:rsidRPr="00C9040A">
              <w:rPr>
                <w:rtl/>
              </w:rPr>
              <w:t xml:space="preserve"> في « </w:t>
            </w:r>
            <w:r>
              <w:rPr>
                <w:rtl/>
              </w:rPr>
              <w:t xml:space="preserve">ه </w:t>
            </w:r>
            <w:r w:rsidRPr="00C9040A">
              <w:rPr>
                <w:rtl/>
              </w:rPr>
              <w:t xml:space="preserve">» </w:t>
            </w:r>
            <w:r>
              <w:rPr>
                <w:rtl/>
              </w:rPr>
              <w:t>: -</w:t>
            </w:r>
            <w:r w:rsidRPr="00C9040A">
              <w:rPr>
                <w:rtl/>
              </w:rPr>
              <w:t xml:space="preserve"> « إنّي »</w:t>
            </w:r>
            <w:r>
              <w:rPr>
                <w:rtl/>
              </w:rPr>
              <w:t>.</w:t>
            </w:r>
          </w:p>
        </w:tc>
      </w:tr>
    </w:tbl>
    <w:p w:rsidR="008A74EB" w:rsidRPr="00C9040A" w:rsidRDefault="008A74EB" w:rsidP="004A4E41">
      <w:pPr>
        <w:pStyle w:val="libFootnote0"/>
        <w:rPr>
          <w:rtl/>
          <w:lang w:bidi="fa-IR"/>
        </w:rPr>
      </w:pPr>
      <w:r>
        <w:rPr>
          <w:rtl/>
        </w:rPr>
        <w:t>(16)</w:t>
      </w:r>
      <w:r w:rsidRPr="00C9040A">
        <w:rPr>
          <w:rtl/>
        </w:rPr>
        <w:t xml:space="preserve"> في « </w:t>
      </w:r>
      <w:r w:rsidR="006D3162">
        <w:rPr>
          <w:rtl/>
        </w:rPr>
        <w:t xml:space="preserve">ه </w:t>
      </w:r>
      <w:r w:rsidRPr="00C9040A">
        <w:rPr>
          <w:rtl/>
        </w:rPr>
        <w:t>» : « آل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وَصَفَهُمْ ، وَ</w:t>
      </w:r>
      <w:r>
        <w:rPr>
          <w:rFonts w:hint="cs"/>
          <w:rtl/>
          <w:lang w:bidi="fa-IR"/>
        </w:rPr>
        <w:t xml:space="preserve"> </w:t>
      </w:r>
      <w:r w:rsidR="006C577F" w:rsidRPr="006C577F">
        <w:rPr>
          <w:rStyle w:val="libFootnotenumChar"/>
          <w:rtl/>
        </w:rPr>
        <w:t>(1)</w:t>
      </w:r>
      <w:r w:rsidRPr="00C9040A">
        <w:rPr>
          <w:rtl/>
          <w:lang w:bidi="fa-IR"/>
        </w:rPr>
        <w:t xml:space="preserve"> مَرَرْتُ بِمَجْلِسٍ لِلْأَوْسِ </w:t>
      </w:r>
      <w:r w:rsidR="006C577F" w:rsidRPr="006C577F">
        <w:rPr>
          <w:rStyle w:val="libFootnotenumChar"/>
          <w:rtl/>
        </w:rPr>
        <w:t>(2)</w:t>
      </w:r>
      <w:r w:rsidRPr="00C9040A">
        <w:rPr>
          <w:rtl/>
          <w:lang w:bidi="fa-IR"/>
        </w:rPr>
        <w:t xml:space="preserve"> وَالْخَزْرَجِ ، فَوَصَفَهُمْ. ثُمَّ قَالَ </w:t>
      </w:r>
      <w:r w:rsidRPr="0003660B">
        <w:rPr>
          <w:rStyle w:val="libAlaemChar"/>
          <w:rtl/>
        </w:rPr>
        <w:t>عليه‌السلام</w:t>
      </w:r>
      <w:r w:rsidRPr="00C9040A">
        <w:rPr>
          <w:rtl/>
          <w:lang w:bidi="fa-IR"/>
        </w:rPr>
        <w:t xml:space="preserve"> : وَجَمِيعٌ مُؤْمِنُونَ ، فَأَخْبِرْنِي يَا رَسُولَ اللهِ ، بِصِفَةِ الْمُؤْمِنِ.</w:t>
      </w:r>
    </w:p>
    <w:p w:rsidR="008A74EB" w:rsidRPr="00C9040A" w:rsidRDefault="008A74EB" w:rsidP="008A74EB">
      <w:pPr>
        <w:pStyle w:val="libNormal"/>
        <w:rPr>
          <w:rtl/>
          <w:lang w:bidi="fa-IR"/>
        </w:rPr>
      </w:pPr>
      <w:r w:rsidRPr="00C9040A">
        <w:rPr>
          <w:rtl/>
          <w:lang w:bidi="fa-IR"/>
        </w:rPr>
        <w:t xml:space="preserve">فَنَكَسَ </w:t>
      </w:r>
      <w:r w:rsidR="006C577F" w:rsidRPr="006C577F">
        <w:rPr>
          <w:rStyle w:val="libFootnotenumChar"/>
          <w:rtl/>
        </w:rPr>
        <w:t>(3)</w:t>
      </w:r>
      <w:r w:rsidRPr="00C9040A">
        <w:rPr>
          <w:rtl/>
          <w:lang w:bidi="fa-IR"/>
        </w:rPr>
        <w:t xml:space="preserve"> رَسُولُ اللهِ </w:t>
      </w:r>
      <w:r w:rsidR="004A4E41" w:rsidRPr="004A4E41">
        <w:rPr>
          <w:rStyle w:val="libAlaemChar"/>
          <w:rtl/>
        </w:rPr>
        <w:t>صلى‌الله‌عليه‌وآله</w:t>
      </w:r>
      <w:r w:rsidRPr="00C9040A">
        <w:rPr>
          <w:rtl/>
          <w:lang w:bidi="fa-IR"/>
        </w:rPr>
        <w:t xml:space="preserve"> </w:t>
      </w:r>
      <w:r w:rsidR="006C577F" w:rsidRPr="006C577F">
        <w:rPr>
          <w:rStyle w:val="libFootnotenumChar"/>
          <w:rtl/>
        </w:rPr>
        <w:t>(4)</w:t>
      </w:r>
      <w:r w:rsidRPr="00C9040A">
        <w:rPr>
          <w:rtl/>
          <w:lang w:bidi="fa-IR"/>
        </w:rPr>
        <w:t xml:space="preserve"> ، ثُمَّ رَفَعَ رَأْسَهُ </w:t>
      </w:r>
      <w:r w:rsidR="006C577F" w:rsidRPr="006C577F">
        <w:rPr>
          <w:rStyle w:val="libFootnotenumChar"/>
          <w:rtl/>
        </w:rPr>
        <w:t>(5)</w:t>
      </w:r>
      <w:r w:rsidRPr="00C9040A">
        <w:rPr>
          <w:rtl/>
          <w:lang w:bidi="fa-IR"/>
        </w:rPr>
        <w:t xml:space="preserve"> ، فَقَالَ : عِشْرُونَ خَصْلَةً </w:t>
      </w:r>
      <w:r w:rsidR="006C577F" w:rsidRPr="006C577F">
        <w:rPr>
          <w:rStyle w:val="libFootnotenumChar"/>
          <w:rtl/>
        </w:rPr>
        <w:t>(6)</w:t>
      </w:r>
      <w:r w:rsidRPr="005B567D">
        <w:rPr>
          <w:rStyle w:val="libFootnotenumChar"/>
          <w:rtl/>
        </w:rPr>
        <w:t xml:space="preserve"> </w:t>
      </w:r>
      <w:r w:rsidRPr="00C9040A">
        <w:rPr>
          <w:rtl/>
          <w:lang w:bidi="fa-IR"/>
        </w:rPr>
        <w:t xml:space="preserve">فِي الْمُؤْمِنِ ، فَإِنْ لَمْ تَكُنْ </w:t>
      </w:r>
      <w:r w:rsidR="006C577F" w:rsidRPr="006C577F">
        <w:rPr>
          <w:rStyle w:val="libFootnotenumChar"/>
          <w:rtl/>
        </w:rPr>
        <w:t>(7)</w:t>
      </w:r>
      <w:r w:rsidRPr="00C9040A">
        <w:rPr>
          <w:rtl/>
          <w:lang w:bidi="fa-IR"/>
        </w:rPr>
        <w:t xml:space="preserve"> فِيهِ لَمْ يَكْمُلْ إِيمَانُهُ.</w:t>
      </w:r>
    </w:p>
    <w:p w:rsidR="008A74EB" w:rsidRPr="00C9040A" w:rsidRDefault="008A74EB" w:rsidP="008A74EB">
      <w:pPr>
        <w:pStyle w:val="libNormal"/>
        <w:rPr>
          <w:rtl/>
          <w:lang w:bidi="fa-IR"/>
        </w:rPr>
      </w:pPr>
      <w:r w:rsidRPr="00C9040A">
        <w:rPr>
          <w:rtl/>
          <w:lang w:bidi="fa-IR"/>
        </w:rPr>
        <w:t xml:space="preserve">إِنَّ مِنْ أَخْلَاقِ الْمُؤْمِنِينَ يَا عَلِيُّ : الْحَاضِرُونَ الصَّلَاةَ </w:t>
      </w:r>
      <w:r w:rsidR="006C577F" w:rsidRPr="006C577F">
        <w:rPr>
          <w:rStyle w:val="libFootnotenumChar"/>
          <w:rtl/>
        </w:rPr>
        <w:t>(8)</w:t>
      </w:r>
      <w:r w:rsidRPr="00C9040A">
        <w:rPr>
          <w:rtl/>
          <w:lang w:bidi="fa-IR"/>
        </w:rPr>
        <w:t xml:space="preserve"> ، وَالْمُسَارِعُونَ </w:t>
      </w:r>
      <w:r w:rsidR="006C577F" w:rsidRPr="006C577F">
        <w:rPr>
          <w:rStyle w:val="libFootnotenumChar"/>
          <w:rtl/>
        </w:rPr>
        <w:t>(9)</w:t>
      </w:r>
      <w:r w:rsidRPr="00C9040A">
        <w:rPr>
          <w:rtl/>
          <w:lang w:bidi="fa-IR"/>
        </w:rPr>
        <w:t xml:space="preserve"> إِلَى الزَّكَاةِ ، وَالْمُطْعِمُونَ الْمِسْكِينَ </w:t>
      </w:r>
      <w:r w:rsidR="006C577F" w:rsidRPr="006C577F">
        <w:rPr>
          <w:rStyle w:val="libFootnotenumChar"/>
          <w:rtl/>
        </w:rPr>
        <w:t>(10)</w:t>
      </w:r>
      <w:r w:rsidRPr="00C9040A">
        <w:rPr>
          <w:rtl/>
          <w:lang w:bidi="fa-IR"/>
        </w:rPr>
        <w:t xml:space="preserve"> ، الْمَاسِحُونَ رَأْسَ </w:t>
      </w:r>
      <w:r w:rsidR="006C577F" w:rsidRPr="006C577F">
        <w:rPr>
          <w:rStyle w:val="libFootnotenumChar"/>
          <w:rtl/>
        </w:rPr>
        <w:t>(11)</w:t>
      </w:r>
      <w:r w:rsidRPr="00C9040A">
        <w:rPr>
          <w:rtl/>
          <w:lang w:bidi="fa-IR"/>
        </w:rPr>
        <w:t xml:space="preserve"> الْيَتِيمِ ، الْمُطَهِّرُونَ أَطْمَارَهُمْ </w:t>
      </w:r>
      <w:r w:rsidR="006C577F" w:rsidRPr="006C577F">
        <w:rPr>
          <w:rStyle w:val="libFootnotenumChar"/>
          <w:rtl/>
        </w:rPr>
        <w:t>(12)</w:t>
      </w:r>
      <w:r w:rsidRPr="00C9040A">
        <w:rPr>
          <w:rtl/>
          <w:lang w:bidi="fa-IR"/>
        </w:rPr>
        <w:t xml:space="preserve"> ، الْمُتَّزِرُونَ </w:t>
      </w:r>
      <w:r w:rsidRPr="005B567D">
        <w:rPr>
          <w:rStyle w:val="libFootnotenumChar"/>
          <w:rtl/>
        </w:rPr>
        <w:t>(13)</w:t>
      </w:r>
      <w:r w:rsidRPr="00C9040A">
        <w:rPr>
          <w:rtl/>
          <w:lang w:bidi="fa-IR"/>
        </w:rPr>
        <w:t xml:space="preserve"> عَلى أَوْسَاطِهِمُ ؛ الَّذِينَ إِنْ </w:t>
      </w:r>
      <w:r w:rsidRPr="005B567D">
        <w:rPr>
          <w:rStyle w:val="libFootnotenumChar"/>
          <w:rtl/>
        </w:rPr>
        <w:t>(14)</w:t>
      </w:r>
      <w:r w:rsidRPr="00C9040A">
        <w:rPr>
          <w:rtl/>
          <w:lang w:bidi="fa-IR"/>
        </w:rPr>
        <w:t xml:space="preserve"> حَدَّثُوا لَمْ يَكْذِبُوا </w:t>
      </w:r>
      <w:r w:rsidRPr="005B567D">
        <w:rPr>
          <w:rStyle w:val="libFootnotenumChar"/>
          <w:rtl/>
        </w:rPr>
        <w:t>(15)</w:t>
      </w:r>
      <w:r w:rsidRPr="00C9040A">
        <w:rPr>
          <w:rtl/>
          <w:lang w:bidi="fa-IR"/>
        </w:rPr>
        <w:t xml:space="preserve"> ،</w:t>
      </w:r>
      <w:r w:rsidR="004360A3">
        <w:rPr>
          <w:rFonts w:hint="cs"/>
          <w:rtl/>
          <w:lang w:bidi="fa-IR"/>
        </w:rPr>
        <w:t>..............................</w:t>
      </w:r>
      <w:r w:rsidR="004360A3">
        <w:rPr>
          <w:rFonts w:hint="cs"/>
          <w:rtl/>
          <w:lang w:bidi="fa-IR"/>
        </w:rPr>
        <w:tab/>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4360A3" w:rsidTr="004360A3">
        <w:tc>
          <w:tcPr>
            <w:tcW w:w="4006" w:type="dxa"/>
          </w:tcPr>
          <w:p w:rsidR="004360A3" w:rsidRDefault="004360A3" w:rsidP="004A4E41">
            <w:pPr>
              <w:pStyle w:val="libFootnote0"/>
              <w:rPr>
                <w:rtl/>
              </w:rPr>
            </w:pPr>
            <w:r>
              <w:rPr>
                <w:rtl/>
              </w:rPr>
              <w:t xml:space="preserve">(1). </w:t>
            </w:r>
            <w:r w:rsidRPr="00C9040A">
              <w:rPr>
                <w:rtl/>
              </w:rPr>
              <w:t>في « بس » : « ثمّ »</w:t>
            </w:r>
            <w:r>
              <w:rPr>
                <w:rtl/>
              </w:rPr>
              <w:t>.</w:t>
            </w:r>
          </w:p>
        </w:tc>
        <w:tc>
          <w:tcPr>
            <w:tcW w:w="4006" w:type="dxa"/>
          </w:tcPr>
          <w:p w:rsidR="004360A3" w:rsidRDefault="004360A3" w:rsidP="004360A3">
            <w:pPr>
              <w:pStyle w:val="libFootnote0"/>
              <w:rPr>
                <w:rtl/>
              </w:rPr>
            </w:pPr>
            <w:r>
              <w:rPr>
                <w:rtl/>
              </w:rPr>
              <w:t>(2). في «ب» :«</w:t>
            </w:r>
            <w:r w:rsidRPr="00C9040A">
              <w:rPr>
                <w:rtl/>
              </w:rPr>
              <w:t>الأوس »</w:t>
            </w:r>
            <w:r>
              <w:rPr>
                <w:rtl/>
              </w:rPr>
              <w:t>.</w:t>
            </w:r>
            <w:r w:rsidRPr="00C9040A">
              <w:rPr>
                <w:rtl/>
              </w:rPr>
              <w:t xml:space="preserve"> وفي «</w:t>
            </w:r>
            <w:r>
              <w:rPr>
                <w:rtl/>
              </w:rPr>
              <w:t>ف »: «لآل أوس</w:t>
            </w:r>
            <w:r w:rsidRPr="00C9040A">
              <w:rPr>
                <w:rtl/>
              </w:rPr>
              <w:t>»</w:t>
            </w:r>
            <w:r>
              <w:rPr>
                <w:rtl/>
              </w:rPr>
              <w:t>.</w:t>
            </w:r>
          </w:p>
        </w:tc>
      </w:tr>
      <w:tr w:rsidR="004360A3" w:rsidTr="004360A3">
        <w:tc>
          <w:tcPr>
            <w:tcW w:w="4006" w:type="dxa"/>
          </w:tcPr>
          <w:p w:rsidR="004360A3" w:rsidRDefault="004360A3" w:rsidP="004A4E41">
            <w:pPr>
              <w:pStyle w:val="libFootnote0"/>
              <w:rPr>
                <w:rtl/>
              </w:rPr>
            </w:pPr>
            <w:r>
              <w:rPr>
                <w:rtl/>
              </w:rPr>
              <w:t>(3).</w:t>
            </w:r>
            <w:r w:rsidRPr="00C9040A">
              <w:rPr>
                <w:rtl/>
              </w:rPr>
              <w:t xml:space="preserve"> في « </w:t>
            </w:r>
            <w:r>
              <w:rPr>
                <w:rtl/>
              </w:rPr>
              <w:t xml:space="preserve">ه </w:t>
            </w:r>
            <w:r w:rsidRPr="00C9040A">
              <w:rPr>
                <w:rtl/>
              </w:rPr>
              <w:t>» : « فنكّس » بالتشديد.</w:t>
            </w:r>
          </w:p>
        </w:tc>
        <w:tc>
          <w:tcPr>
            <w:tcW w:w="4006" w:type="dxa"/>
          </w:tcPr>
          <w:p w:rsidR="004360A3" w:rsidRDefault="004360A3" w:rsidP="004A4E41">
            <w:pPr>
              <w:pStyle w:val="libFootnote0"/>
              <w:rPr>
                <w:rtl/>
              </w:rPr>
            </w:pPr>
            <w:r>
              <w:rPr>
                <w:rtl/>
              </w:rPr>
              <w:t>(4).</w:t>
            </w:r>
            <w:r w:rsidRPr="00C9040A">
              <w:rPr>
                <w:rtl/>
              </w:rPr>
              <w:t xml:space="preserve"> في « ب ، </w:t>
            </w:r>
            <w:r>
              <w:rPr>
                <w:rtl/>
              </w:rPr>
              <w:t xml:space="preserve">ه </w:t>
            </w:r>
            <w:r w:rsidRPr="00C9040A">
              <w:rPr>
                <w:rtl/>
              </w:rPr>
              <w:t>» : + « رأسه »</w:t>
            </w:r>
            <w:r>
              <w:rPr>
                <w:rtl/>
              </w:rPr>
              <w:t>.</w:t>
            </w:r>
          </w:p>
        </w:tc>
      </w:tr>
    </w:tbl>
    <w:p w:rsidR="008A74EB" w:rsidRPr="00C9040A" w:rsidRDefault="006C577F" w:rsidP="004A4E41">
      <w:pPr>
        <w:pStyle w:val="libFootnote0"/>
        <w:rPr>
          <w:rtl/>
          <w:lang w:bidi="fa-IR"/>
        </w:rPr>
      </w:pPr>
      <w:r>
        <w:rPr>
          <w:rtl/>
        </w:rPr>
        <w:t>(5).</w:t>
      </w:r>
      <w:r w:rsidR="008A74EB" w:rsidRPr="00C9040A">
        <w:rPr>
          <w:rtl/>
        </w:rPr>
        <w:t xml:space="preserve"> في « </w:t>
      </w:r>
      <w:r w:rsidR="006D3162">
        <w:rPr>
          <w:rtl/>
        </w:rPr>
        <w:t xml:space="preserve">ه </w:t>
      </w:r>
      <w:r w:rsidR="008A74EB" w:rsidRPr="00C9040A">
        <w:rPr>
          <w:rtl/>
        </w:rPr>
        <w:t xml:space="preserve">» </w:t>
      </w:r>
      <w:r w:rsidR="008A74EB">
        <w:rPr>
          <w:rtl/>
        </w:rPr>
        <w:t xml:space="preserve">: </w:t>
      </w:r>
      <w:r w:rsidR="0084262C">
        <w:rPr>
          <w:rtl/>
        </w:rPr>
        <w:t>-</w:t>
      </w:r>
      <w:r w:rsidR="008A74EB" w:rsidRPr="00C9040A">
        <w:rPr>
          <w:rtl/>
        </w:rPr>
        <w:t xml:space="preserve"> « رأسه »</w:t>
      </w:r>
      <w:r w:rsidR="008A74EB">
        <w:rPr>
          <w:rtl/>
        </w:rPr>
        <w:t>.</w:t>
      </w:r>
    </w:p>
    <w:p w:rsidR="008A74EB" w:rsidRPr="00C9040A" w:rsidRDefault="006C577F" w:rsidP="004360A3">
      <w:pPr>
        <w:pStyle w:val="libFootnote0"/>
        <w:rPr>
          <w:rtl/>
          <w:lang w:bidi="fa-IR"/>
        </w:rPr>
      </w:pPr>
      <w:r>
        <w:rPr>
          <w:rtl/>
        </w:rPr>
        <w:t>(6).</w:t>
      </w:r>
      <w:r w:rsidR="008A74EB">
        <w:rPr>
          <w:rtl/>
        </w:rPr>
        <w:t xml:space="preserve"> </w:t>
      </w:r>
      <w:r w:rsidR="008A74EB" w:rsidRPr="00C9040A">
        <w:rPr>
          <w:rtl/>
        </w:rPr>
        <w:t>المعدود من الخصال تسع عشرة ، وكأنّ واحدة منها سقطت من قلم النسّاخ أو الرواة ، قال الفيض : « ولا يبعد أن يكون تلك : رحماء</w:t>
      </w:r>
      <w:r w:rsidR="004360A3">
        <w:rPr>
          <w:rtl/>
        </w:rPr>
        <w:t xml:space="preserve"> بينهم » ، وقال المجلسي : « إل</w:t>
      </w:r>
      <w:r w:rsidR="004360A3">
        <w:rPr>
          <w:rFonts w:hint="cs"/>
          <w:rtl/>
        </w:rPr>
        <w:t>ّ</w:t>
      </w:r>
      <w:r w:rsidR="004360A3">
        <w:rPr>
          <w:rtl/>
        </w:rPr>
        <w:t>ا</w:t>
      </w:r>
      <w:r w:rsidR="008A74EB" w:rsidRPr="00C9040A">
        <w:rPr>
          <w:rtl/>
        </w:rPr>
        <w:t xml:space="preserve"> أن يقال : المطهّرون أطمارهم ، مشتملة على خصلتين : التطهير ولبس أخلاق الثياب ، وقيل : الدعاء في آخر الخبر إشارة إلى العشرين وهي التقوى »</w:t>
      </w:r>
      <w:r w:rsidR="008A74EB">
        <w:rPr>
          <w:rtl/>
        </w:rPr>
        <w:t>.</w:t>
      </w:r>
      <w:r w:rsidR="008A74EB" w:rsidRPr="00C9040A">
        <w:rPr>
          <w:rtl/>
        </w:rPr>
        <w:t xml:space="preserve"> راجع : </w:t>
      </w:r>
      <w:r w:rsidR="008A74EB" w:rsidRPr="00993B55">
        <w:rPr>
          <w:rStyle w:val="libFootnoteBoldChar"/>
          <w:rtl/>
        </w:rPr>
        <w:t>الوافي</w:t>
      </w:r>
      <w:r w:rsidR="008A74EB" w:rsidRPr="00C9040A">
        <w:rPr>
          <w:rtl/>
        </w:rPr>
        <w:t xml:space="preserve"> ، ج 4 ، ص 161 ؛ </w:t>
      </w:r>
      <w:r w:rsidR="008A74EB" w:rsidRPr="00993B55">
        <w:rPr>
          <w:rStyle w:val="libFootnoteBoldChar"/>
          <w:rtl/>
        </w:rPr>
        <w:t>مرآة العقول</w:t>
      </w:r>
      <w:r w:rsidR="008A74EB" w:rsidRPr="00C9040A">
        <w:rPr>
          <w:rtl/>
        </w:rPr>
        <w:t xml:space="preserve"> ، ج 9 ، ص 236.</w:t>
      </w:r>
      <w:r w:rsidR="004360A3">
        <w:rPr>
          <w:rFonts w:hint="cs"/>
          <w:rtl/>
        </w:rPr>
        <w:t xml:space="preserve">  </w:t>
      </w:r>
      <w:r>
        <w:rPr>
          <w:rtl/>
        </w:rPr>
        <w:t>(7).</w:t>
      </w:r>
      <w:r w:rsidR="008A74EB" w:rsidRPr="00C9040A">
        <w:rPr>
          <w:rtl/>
        </w:rPr>
        <w:t xml:space="preserve"> في « ب ، ص ، بر ، بس ، بف » والبحار : « لم يكنّ »</w:t>
      </w:r>
      <w:r w:rsidR="008A74EB">
        <w:rPr>
          <w:rtl/>
        </w:rPr>
        <w:t>.</w:t>
      </w:r>
    </w:p>
    <w:tbl>
      <w:tblPr>
        <w:tblStyle w:val="TableGrid"/>
        <w:bidiVisual/>
        <w:tblW w:w="0" w:type="auto"/>
        <w:tblLook w:val="04A0" w:firstRow="1" w:lastRow="0" w:firstColumn="1" w:lastColumn="0" w:noHBand="0" w:noVBand="1"/>
      </w:tblPr>
      <w:tblGrid>
        <w:gridCol w:w="4006"/>
        <w:gridCol w:w="4006"/>
      </w:tblGrid>
      <w:tr w:rsidR="004360A3" w:rsidTr="004360A3">
        <w:tc>
          <w:tcPr>
            <w:tcW w:w="4006" w:type="dxa"/>
          </w:tcPr>
          <w:p w:rsidR="004360A3" w:rsidRDefault="004360A3" w:rsidP="004A4E41">
            <w:pPr>
              <w:pStyle w:val="libFootnote0"/>
              <w:rPr>
                <w:rtl/>
              </w:rPr>
            </w:pPr>
            <w:r>
              <w:rPr>
                <w:rtl/>
              </w:rPr>
              <w:t>(8).</w:t>
            </w:r>
            <w:r w:rsidRPr="00C9040A">
              <w:rPr>
                <w:rtl/>
              </w:rPr>
              <w:t xml:space="preserve"> في « </w:t>
            </w:r>
            <w:r>
              <w:rPr>
                <w:rtl/>
              </w:rPr>
              <w:t xml:space="preserve">ه </w:t>
            </w:r>
            <w:r w:rsidRPr="00C9040A">
              <w:rPr>
                <w:rtl/>
              </w:rPr>
              <w:t>» : « لصلاة »</w:t>
            </w:r>
            <w:r>
              <w:rPr>
                <w:rtl/>
              </w:rPr>
              <w:t>.</w:t>
            </w:r>
          </w:p>
        </w:tc>
        <w:tc>
          <w:tcPr>
            <w:tcW w:w="4006" w:type="dxa"/>
          </w:tcPr>
          <w:p w:rsidR="004360A3" w:rsidRDefault="004360A3" w:rsidP="004A4E41">
            <w:pPr>
              <w:pStyle w:val="libFootnote0"/>
              <w:rPr>
                <w:rtl/>
              </w:rPr>
            </w:pPr>
            <w:r>
              <w:rPr>
                <w:rtl/>
              </w:rPr>
              <w:t>(9).</w:t>
            </w:r>
            <w:r w:rsidRPr="00C9040A">
              <w:rPr>
                <w:rtl/>
              </w:rPr>
              <w:t xml:space="preserve"> في « ب » : « والسارعون »</w:t>
            </w:r>
            <w:r>
              <w:rPr>
                <w:rtl/>
              </w:rPr>
              <w:t>.</w:t>
            </w:r>
          </w:p>
        </w:tc>
      </w:tr>
    </w:tbl>
    <w:p w:rsidR="008A74EB" w:rsidRPr="00C9040A" w:rsidRDefault="006C577F" w:rsidP="004A4E41">
      <w:pPr>
        <w:pStyle w:val="libFootnote0"/>
        <w:rPr>
          <w:rtl/>
          <w:lang w:bidi="fa-IR"/>
        </w:rPr>
      </w:pPr>
      <w:r>
        <w:rPr>
          <w:rtl/>
        </w:rPr>
        <w:t>(10).</w:t>
      </w:r>
      <w:r w:rsidR="008A74EB" w:rsidRPr="00C9040A">
        <w:rPr>
          <w:rtl/>
        </w:rPr>
        <w:t xml:space="preserve"> في الوسائل : « للمسكين »</w:t>
      </w:r>
      <w:r w:rsidR="008A74EB">
        <w:rPr>
          <w:rtl/>
        </w:rPr>
        <w:t>.</w:t>
      </w:r>
      <w:r w:rsidR="008A74EB" w:rsidRPr="00C9040A">
        <w:rPr>
          <w:rtl/>
        </w:rPr>
        <w:t xml:space="preserve"> وفي البحار : « المساكين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في « ج » : « والماسحون »</w:t>
      </w:r>
      <w:r w:rsidR="008A74EB">
        <w:rPr>
          <w:rtl/>
        </w:rPr>
        <w:t>.</w:t>
      </w:r>
      <w:r w:rsidR="008A74EB" w:rsidRPr="00C9040A">
        <w:rPr>
          <w:rtl/>
        </w:rPr>
        <w:t xml:space="preserve"> وفي الوسائل : « لرأس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 الطمر » : الثوب الخَلَق ، أو الكساء البالي من غير الصوف. وجمعه : أطمار. </w:t>
      </w:r>
      <w:r w:rsidR="008A74EB" w:rsidRPr="00993B55">
        <w:rPr>
          <w:rStyle w:val="libFootnoteBoldChar"/>
          <w:rtl/>
        </w:rPr>
        <w:t>القاموس المحيط</w:t>
      </w:r>
      <w:r w:rsidR="008A74EB" w:rsidRPr="00C9040A">
        <w:rPr>
          <w:rtl/>
        </w:rPr>
        <w:t xml:space="preserve"> ، ج 1 ، ص 604 ( طمر )</w:t>
      </w:r>
      <w:r w:rsidR="008A74EB">
        <w:rPr>
          <w:rtl/>
        </w:rPr>
        <w:t>.</w:t>
      </w:r>
    </w:p>
    <w:p w:rsidR="008A74EB" w:rsidRPr="00C9040A" w:rsidRDefault="008A74EB" w:rsidP="00113A82">
      <w:pPr>
        <w:pStyle w:val="libFootnote0"/>
        <w:rPr>
          <w:rtl/>
          <w:lang w:bidi="fa-IR"/>
        </w:rPr>
      </w:pPr>
      <w:r>
        <w:rPr>
          <w:rtl/>
        </w:rPr>
        <w:t>(13)</w:t>
      </w:r>
      <w:r w:rsidRPr="00C9040A">
        <w:rPr>
          <w:rtl/>
        </w:rPr>
        <w:t xml:space="preserve"> في « </w:t>
      </w:r>
      <w:r w:rsidR="006D3162">
        <w:rPr>
          <w:rtl/>
        </w:rPr>
        <w:t xml:space="preserve">ه </w:t>
      </w:r>
      <w:r w:rsidRPr="00C9040A">
        <w:rPr>
          <w:rtl/>
        </w:rPr>
        <w:t>» : « المؤتزرون »</w:t>
      </w:r>
      <w:r>
        <w:rPr>
          <w:rtl/>
        </w:rPr>
        <w:t>.</w:t>
      </w:r>
      <w:r w:rsidRPr="00C9040A">
        <w:rPr>
          <w:rtl/>
        </w:rPr>
        <w:t xml:space="preserve"> وفي </w:t>
      </w:r>
      <w:r w:rsidRPr="00993B55">
        <w:rPr>
          <w:rStyle w:val="libFootnoteBoldChar"/>
          <w:rtl/>
        </w:rPr>
        <w:t>الوافي</w:t>
      </w:r>
      <w:r w:rsidRPr="00C9040A">
        <w:rPr>
          <w:rtl/>
        </w:rPr>
        <w:t xml:space="preserve"> : « إمّا كناية عن اجتهادهم البليغ في العبادة ، أو محمول على ظاهره »</w:t>
      </w:r>
      <w:r>
        <w:rPr>
          <w:rtl/>
        </w:rPr>
        <w:t>.</w:t>
      </w:r>
      <w:r w:rsidRPr="00C9040A">
        <w:rPr>
          <w:rtl/>
        </w:rPr>
        <w:t xml:space="preserve"> وفي </w:t>
      </w:r>
      <w:r w:rsidRPr="004360A3">
        <w:rPr>
          <w:rStyle w:val="libFootnoteBoldChar"/>
          <w:rtl/>
        </w:rPr>
        <w:t>مرآة العقول</w:t>
      </w:r>
      <w:r w:rsidRPr="00C9040A">
        <w:rPr>
          <w:rtl/>
        </w:rPr>
        <w:t xml:space="preserve"> : « أي يشدّون المئزر على وسطهم احتياطاً لستر العورة ، فإنّهم كانوا لايلبسون السراويل. أو المراد شدّ الوسط بالإزار كالمنطقة ليجمع الثياب</w:t>
      </w:r>
      <w:r>
        <w:rPr>
          <w:rtl/>
        </w:rPr>
        <w:t xml:space="preserve"> ..</w:t>
      </w:r>
      <w:r w:rsidRPr="00C9040A">
        <w:rPr>
          <w:rtl/>
        </w:rPr>
        <w:t>. »</w:t>
      </w:r>
      <w:r>
        <w:rPr>
          <w:rtl/>
        </w:rPr>
        <w:t>.</w:t>
      </w:r>
      <w:r w:rsidRPr="00C9040A">
        <w:rPr>
          <w:rtl/>
        </w:rPr>
        <w:t xml:space="preserve"> </w:t>
      </w:r>
      <w:r>
        <w:rPr>
          <w:rtl/>
        </w:rPr>
        <w:t>و «</w:t>
      </w:r>
      <w:r w:rsidRPr="00C9040A">
        <w:rPr>
          <w:rtl/>
        </w:rPr>
        <w:t xml:space="preserve"> اتّزرتُ » : لبست الإزار. وأصله بهمزتين ، الا</w:t>
      </w:r>
      <w:r w:rsidR="00113A82">
        <w:rPr>
          <w:rFonts w:hint="cs"/>
          <w:rtl/>
        </w:rPr>
        <w:t>ُ</w:t>
      </w:r>
      <w:r w:rsidRPr="00C9040A">
        <w:rPr>
          <w:rtl/>
        </w:rPr>
        <w:t xml:space="preserve">ولى همزة وصل ، والثانية فاء افتعلت. راجع : </w:t>
      </w:r>
      <w:r w:rsidRPr="00993B55">
        <w:rPr>
          <w:rStyle w:val="libFootnoteBoldChar"/>
          <w:rtl/>
        </w:rPr>
        <w:t>النهاية</w:t>
      </w:r>
      <w:r w:rsidRPr="00C9040A">
        <w:rPr>
          <w:rtl/>
        </w:rPr>
        <w:t xml:space="preserve"> ، ج 1 ، ص 44 ؛ و</w:t>
      </w:r>
      <w:r w:rsidRPr="00993B55">
        <w:rPr>
          <w:rStyle w:val="libFootnoteBoldChar"/>
          <w:rtl/>
        </w:rPr>
        <w:t>مصباح المنير</w:t>
      </w:r>
      <w:r w:rsidRPr="00C9040A">
        <w:rPr>
          <w:rtl/>
        </w:rPr>
        <w:t xml:space="preserve"> ، ص 13 ؛ و</w:t>
      </w:r>
      <w:r w:rsidRPr="00993B55">
        <w:rPr>
          <w:rStyle w:val="libFootnoteBoldChar"/>
          <w:rtl/>
        </w:rPr>
        <w:t>القاموس المحيط</w:t>
      </w:r>
      <w:r w:rsidRPr="00C9040A">
        <w:rPr>
          <w:rtl/>
        </w:rPr>
        <w:t xml:space="preserve"> ، ج 1 ، ص 491 ( أزر )</w:t>
      </w:r>
      <w:r>
        <w:rPr>
          <w:rtl/>
        </w:rPr>
        <w:t>.</w:t>
      </w:r>
      <w:r w:rsidR="00113A82">
        <w:rPr>
          <w:rFonts w:hint="cs"/>
          <w:rtl/>
        </w:rPr>
        <w:t xml:space="preserve">                        </w:t>
      </w:r>
      <w:r>
        <w:rPr>
          <w:rtl/>
        </w:rPr>
        <w:t>(14)</w:t>
      </w:r>
      <w:r w:rsidRPr="00C9040A">
        <w:rPr>
          <w:rtl/>
        </w:rPr>
        <w:t xml:space="preserve"> في « </w:t>
      </w:r>
      <w:r w:rsidR="006D3162">
        <w:rPr>
          <w:rtl/>
        </w:rPr>
        <w:t xml:space="preserve">ه </w:t>
      </w:r>
      <w:r w:rsidRPr="00C9040A">
        <w:rPr>
          <w:rtl/>
        </w:rPr>
        <w:t>» : « إذا »</w:t>
      </w:r>
      <w:r>
        <w:rPr>
          <w:rtl/>
        </w:rPr>
        <w:t>.</w:t>
      </w:r>
      <w:r w:rsidRPr="00C9040A">
        <w:rPr>
          <w:rtl/>
        </w:rPr>
        <w:t xml:space="preserve"> وفي مرآة العقول : « وإن »</w:t>
      </w:r>
      <w:r>
        <w:rPr>
          <w:rtl/>
        </w:rPr>
        <w:t>.</w:t>
      </w:r>
    </w:p>
    <w:p w:rsidR="008A74EB" w:rsidRPr="00C9040A" w:rsidRDefault="008A74EB" w:rsidP="004A4E41">
      <w:pPr>
        <w:pStyle w:val="libFootnote0"/>
        <w:rPr>
          <w:rtl/>
          <w:lang w:bidi="fa-IR"/>
        </w:rPr>
      </w:pPr>
      <w:r>
        <w:rPr>
          <w:rtl/>
        </w:rPr>
        <w:t>(15)</w:t>
      </w:r>
      <w:r w:rsidRPr="00C9040A">
        <w:rPr>
          <w:rtl/>
        </w:rPr>
        <w:t xml:space="preserve"> « إن حدّثوا لم يكذبوا » ، كأنّه تأكيد لجملة « وإذا تكلّموا صدقوا » ففيه شائبة تكرار ، ولكن يمكن أن يراد بالتحديث نقل الأحاديث والأخبار ، وبالتكلّم غيره ، أو يقرأ : حدّثوا على بناء المجهول من التفعيل ، ولم يكذّبوا على بناء المعلوم من التفعيل. راجع : </w:t>
      </w:r>
      <w:r w:rsidRPr="00993B55">
        <w:rPr>
          <w:rStyle w:val="libFootnoteBoldChar"/>
          <w:rtl/>
        </w:rPr>
        <w:t>شرح المازندراني</w:t>
      </w:r>
      <w:r w:rsidRPr="00C9040A">
        <w:rPr>
          <w:rtl/>
        </w:rPr>
        <w:t xml:space="preserve"> ، ج 9 ، ص 149 ؛ </w:t>
      </w:r>
      <w:r w:rsidRPr="00993B55">
        <w:rPr>
          <w:rStyle w:val="libFootnoteBoldChar"/>
          <w:rtl/>
        </w:rPr>
        <w:t>مرآة العقول</w:t>
      </w:r>
      <w:r w:rsidRPr="00C9040A">
        <w:rPr>
          <w:rtl/>
        </w:rPr>
        <w:t xml:space="preserve"> ، ج 9 ، ص 235.</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وَإِذَا </w:t>
      </w:r>
      <w:r w:rsidR="006C577F" w:rsidRPr="006C577F">
        <w:rPr>
          <w:rStyle w:val="libFootnotenumChar"/>
          <w:rtl/>
        </w:rPr>
        <w:t>(1)</w:t>
      </w:r>
      <w:r w:rsidRPr="00C9040A">
        <w:rPr>
          <w:rtl/>
          <w:lang w:bidi="fa-IR"/>
        </w:rPr>
        <w:t xml:space="preserve"> وَعَدُوا لَمْ يُخْلِفُوا ، وَإِذَا </w:t>
      </w:r>
      <w:r w:rsidR="006C577F" w:rsidRPr="006C577F">
        <w:rPr>
          <w:rStyle w:val="libFootnotenumChar"/>
          <w:rtl/>
        </w:rPr>
        <w:t>(2)</w:t>
      </w:r>
      <w:r w:rsidRPr="00C9040A">
        <w:rPr>
          <w:rtl/>
          <w:lang w:bidi="fa-IR"/>
        </w:rPr>
        <w:t xml:space="preserve"> ائْتُمِنُوا لَمْ يَخُونُوا ، وَإِذَا </w:t>
      </w:r>
      <w:r w:rsidR="006C577F" w:rsidRPr="006C577F">
        <w:rPr>
          <w:rStyle w:val="libFootnotenumChar"/>
          <w:rtl/>
        </w:rPr>
        <w:t>(3)</w:t>
      </w:r>
      <w:r w:rsidRPr="00C9040A">
        <w:rPr>
          <w:rtl/>
          <w:lang w:bidi="fa-IR"/>
        </w:rPr>
        <w:t xml:space="preserve"> تَكَلَّمُوا صَدَقُوا ، رُهْبَانٌ بِاللَّيْلِ </w:t>
      </w:r>
      <w:r w:rsidR="006C577F" w:rsidRPr="006C577F">
        <w:rPr>
          <w:rStyle w:val="libFootnotenumChar"/>
          <w:rtl/>
        </w:rPr>
        <w:t>(4)</w:t>
      </w:r>
      <w:r w:rsidRPr="00C9040A">
        <w:rPr>
          <w:rtl/>
          <w:lang w:bidi="fa-IR"/>
        </w:rPr>
        <w:t xml:space="preserve"> ، أُسُدٌ </w:t>
      </w:r>
      <w:r w:rsidR="006C577F" w:rsidRPr="006C577F">
        <w:rPr>
          <w:rStyle w:val="libFootnotenumChar"/>
          <w:rtl/>
        </w:rPr>
        <w:t>(5)</w:t>
      </w:r>
      <w:r w:rsidRPr="00C9040A">
        <w:rPr>
          <w:rtl/>
          <w:lang w:bidi="fa-IR"/>
        </w:rPr>
        <w:t xml:space="preserve"> بِالنَّهَارِ </w:t>
      </w:r>
      <w:r w:rsidR="006C577F" w:rsidRPr="006C577F">
        <w:rPr>
          <w:rStyle w:val="libFootnotenumChar"/>
          <w:rtl/>
        </w:rPr>
        <w:t>(6)</w:t>
      </w:r>
      <w:r w:rsidRPr="005B567D">
        <w:rPr>
          <w:rStyle w:val="libFootnotenumChar"/>
          <w:rtl/>
        </w:rPr>
        <w:t xml:space="preserve"> </w:t>
      </w:r>
      <w:r w:rsidRPr="00C9040A">
        <w:rPr>
          <w:rtl/>
          <w:lang w:bidi="fa-IR"/>
        </w:rPr>
        <w:t xml:space="preserve">، صَائِمُونَ النَّهَارَ ، قَائِمُونَ اللَّيْلَ </w:t>
      </w:r>
      <w:r w:rsidR="006C577F" w:rsidRPr="006C577F">
        <w:rPr>
          <w:rStyle w:val="libFootnotenumChar"/>
          <w:rtl/>
        </w:rPr>
        <w:t>(7)</w:t>
      </w:r>
      <w:r w:rsidRPr="00C9040A">
        <w:rPr>
          <w:rtl/>
          <w:lang w:bidi="fa-IR"/>
        </w:rPr>
        <w:t xml:space="preserve"> ، لَايُؤْذُونَ جَاراً ، وَلَا يَتَأَذّى بِهِمْ جَارٌ ؛ الَّذِينَ مَشْيُهُمْ </w:t>
      </w:r>
      <w:r w:rsidR="006C577F" w:rsidRPr="006C577F">
        <w:rPr>
          <w:rStyle w:val="libFootnotenumChar"/>
          <w:rtl/>
        </w:rPr>
        <w:t>(8)</w:t>
      </w:r>
      <w:r w:rsidRPr="00C9040A">
        <w:rPr>
          <w:rtl/>
          <w:lang w:bidi="fa-IR"/>
        </w:rPr>
        <w:t xml:space="preserve"> عَلى الْأَرْضِ هَوْنٌ </w:t>
      </w:r>
      <w:r w:rsidR="006C577F" w:rsidRPr="006C577F">
        <w:rPr>
          <w:rStyle w:val="libFootnotenumChar"/>
          <w:rtl/>
        </w:rPr>
        <w:t>(9)</w:t>
      </w:r>
      <w:r w:rsidRPr="00C9040A">
        <w:rPr>
          <w:rtl/>
          <w:lang w:bidi="fa-IR"/>
        </w:rPr>
        <w:t xml:space="preserve"> ، وَخُطَاهُمْ إِلى بُيُوتِ الْأَرَامِلِ </w:t>
      </w:r>
      <w:r w:rsidR="006C577F" w:rsidRPr="006C577F">
        <w:rPr>
          <w:rStyle w:val="libFootnotenumChar"/>
          <w:rtl/>
        </w:rPr>
        <w:t>(10)</w:t>
      </w:r>
      <w:r w:rsidRPr="00C9040A">
        <w:rPr>
          <w:rtl/>
          <w:lang w:bidi="fa-IR"/>
        </w:rPr>
        <w:t xml:space="preserve"> ، وَعَلى أَثَرِ الْجَنَائِزِ ؛ جَعَلَنَا اللهُ وَإِيَّاكُمْ مِنَ الْمُتَّقِينَ »</w:t>
      </w:r>
      <w:r>
        <w:rPr>
          <w:rtl/>
          <w:lang w:bidi="fa-IR"/>
        </w:rPr>
        <w:t>.</w:t>
      </w:r>
      <w:r w:rsidRPr="00C9040A">
        <w:rPr>
          <w:rtl/>
          <w:lang w:bidi="fa-IR"/>
        </w:rPr>
        <w:t xml:space="preserve"> </w:t>
      </w:r>
      <w:r w:rsidR="006C577F" w:rsidRPr="006C577F">
        <w:rPr>
          <w:rStyle w:val="libFootnotenumChar"/>
          <w:rtl/>
        </w:rPr>
        <w:t>(11)</w:t>
      </w:r>
      <w:r w:rsidRPr="00C9040A">
        <w:rPr>
          <w:rtl/>
          <w:lang w:bidi="fa-IR"/>
        </w:rPr>
        <w:t xml:space="preserve"> ‌</w:t>
      </w:r>
    </w:p>
    <w:p w:rsidR="008A74EB" w:rsidRPr="00C9040A" w:rsidRDefault="008A74EB" w:rsidP="008A74EB">
      <w:pPr>
        <w:pStyle w:val="libNormal"/>
        <w:rPr>
          <w:rtl/>
          <w:lang w:bidi="fa-IR"/>
        </w:rPr>
      </w:pPr>
      <w:r w:rsidRPr="00DD664D">
        <w:rPr>
          <w:rtl/>
        </w:rPr>
        <w:t>2285</w:t>
      </w:r>
      <w:r w:rsidRPr="00261CB0">
        <w:rPr>
          <w:rStyle w:val="libBold2Char"/>
          <w:rtl/>
        </w:rPr>
        <w:t xml:space="preserve"> / 6.</w:t>
      </w:r>
      <w:r w:rsidRPr="00C9040A">
        <w:rPr>
          <w:rtl/>
          <w:lang w:bidi="fa-IR"/>
        </w:rPr>
        <w:t xml:space="preserve"> عَلِيُّ بْنُ إِبْرَاهِيمَ ، عَنْ أَبِيهِ ، عَنِ ابْنِ أَبِي عُمَيْرٍ ، عَنِ الْقَاسِمِ بْنِ عُرْوَةَ ، عَنْ أَبِي الْعَبَّاسِ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مَنْ سَرَّتْهُ حَسَنَتُهُ وَسَاءَتْهُ سَيِّئَتُهُ </w:t>
      </w:r>
      <w:r w:rsidR="006C577F" w:rsidRPr="006C577F">
        <w:rPr>
          <w:rStyle w:val="libFootnotenumChar"/>
          <w:rtl/>
        </w:rPr>
        <w:t>(12)</w:t>
      </w:r>
      <w:r w:rsidRPr="00C9040A">
        <w:rPr>
          <w:rtl/>
          <w:lang w:bidi="fa-IR"/>
        </w:rPr>
        <w:t xml:space="preserve"> ،</w:t>
      </w:r>
      <w:r w:rsidR="00113A82">
        <w:rPr>
          <w:rFonts w:hint="cs"/>
          <w:rtl/>
          <w:lang w:bidi="fa-IR"/>
        </w:rPr>
        <w:t>.................</w:t>
      </w:r>
      <w:r w:rsidR="00113A82">
        <w:rPr>
          <w:rFonts w:hint="cs"/>
          <w:rtl/>
          <w:lang w:bidi="fa-IR"/>
        </w:rPr>
        <w:tab/>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د ، بس » وحاشية « ض ، ف » والوسائل : « وإن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ج ، د ، بس » وحاشية « ف » والوسائل : « وإن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ج ، د ، ز ، ض ، </w:t>
      </w:r>
      <w:r w:rsidR="006D3162">
        <w:rPr>
          <w:rtl/>
        </w:rPr>
        <w:t xml:space="preserve">ه </w:t>
      </w:r>
      <w:r w:rsidR="008A74EB" w:rsidRPr="00C9040A">
        <w:rPr>
          <w:rtl/>
        </w:rPr>
        <w:t>، بر ، بس ، بف » والوافي : « وإن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د ، ض ، ف » وحاشية « ج » والوسائل : « الليل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 رهبان بالليل ، أي يمضون إلى الخلوات ويتضرّعون رهبة من الله ، أو يتحمّلون مشقّة السهر والعبادة كالرهبان. وفسّر الرهبانيّة في قوله تعالى : </w:t>
      </w:r>
      <w:r w:rsidR="008A74EB" w:rsidRPr="00113A82">
        <w:rPr>
          <w:rStyle w:val="libFootnoteAlaemChar"/>
          <w:rtl/>
        </w:rPr>
        <w:t>(</w:t>
      </w:r>
      <w:r w:rsidR="008A74EB" w:rsidRPr="00883DD5">
        <w:rPr>
          <w:rStyle w:val="libFootnoteAieChar"/>
          <w:rFonts w:hint="cs"/>
          <w:rtl/>
        </w:rPr>
        <w:t xml:space="preserve"> </w:t>
      </w:r>
      <w:r w:rsidR="008A74EB" w:rsidRPr="00883DD5">
        <w:rPr>
          <w:rStyle w:val="libFootnoteAieChar"/>
          <w:rtl/>
        </w:rPr>
        <w:t>وَرَهْبانِيَّةً ابْتَدَعُوها</w:t>
      </w:r>
      <w:r w:rsidR="008A74EB" w:rsidRPr="00883DD5">
        <w:rPr>
          <w:rStyle w:val="libFootnoteAieChar"/>
          <w:rFonts w:hint="cs"/>
          <w:rtl/>
        </w:rPr>
        <w:t xml:space="preserve"> </w:t>
      </w:r>
      <w:r w:rsidR="008A74EB" w:rsidRPr="00113A82">
        <w:rPr>
          <w:rStyle w:val="libFootnoteAlaemChar"/>
          <w:rtl/>
        </w:rPr>
        <w:t>)</w:t>
      </w:r>
      <w:r w:rsidR="008A74EB" w:rsidRPr="00C9040A">
        <w:rPr>
          <w:rtl/>
        </w:rPr>
        <w:t xml:space="preserve"> [ الحديد (57) : 27 ] بصلاة الليل »</w:t>
      </w:r>
      <w:r w:rsidR="008A74EB">
        <w:rPr>
          <w:rtl/>
        </w:rPr>
        <w:t>.</w:t>
      </w:r>
    </w:p>
    <w:tbl>
      <w:tblPr>
        <w:tblStyle w:val="TableGrid"/>
        <w:bidiVisual/>
        <w:tblW w:w="0" w:type="auto"/>
        <w:tblLook w:val="04A0" w:firstRow="1" w:lastRow="0" w:firstColumn="1" w:lastColumn="0" w:noHBand="0" w:noVBand="1"/>
      </w:tblPr>
      <w:tblGrid>
        <w:gridCol w:w="4006"/>
        <w:gridCol w:w="4006"/>
      </w:tblGrid>
      <w:tr w:rsidR="00113A82" w:rsidTr="00113A82">
        <w:tc>
          <w:tcPr>
            <w:tcW w:w="4006" w:type="dxa"/>
          </w:tcPr>
          <w:p w:rsidR="00113A82" w:rsidRDefault="00113A82" w:rsidP="004A4E41">
            <w:pPr>
              <w:pStyle w:val="libFootnote0"/>
              <w:rPr>
                <w:rtl/>
              </w:rPr>
            </w:pPr>
            <w:r>
              <w:rPr>
                <w:rtl/>
              </w:rPr>
              <w:t>(5).</w:t>
            </w:r>
            <w:r w:rsidRPr="00C9040A">
              <w:rPr>
                <w:rtl/>
              </w:rPr>
              <w:t xml:space="preserve"> في « بر » : « أشدّاء »</w:t>
            </w:r>
            <w:r>
              <w:rPr>
                <w:rtl/>
              </w:rPr>
              <w:t>.</w:t>
            </w:r>
          </w:p>
        </w:tc>
        <w:tc>
          <w:tcPr>
            <w:tcW w:w="4006" w:type="dxa"/>
          </w:tcPr>
          <w:p w:rsidR="00113A82" w:rsidRDefault="00113A82" w:rsidP="004A4E41">
            <w:pPr>
              <w:pStyle w:val="libFootnote0"/>
              <w:rPr>
                <w:rtl/>
              </w:rPr>
            </w:pPr>
            <w:r>
              <w:rPr>
                <w:rtl/>
              </w:rPr>
              <w:t xml:space="preserve">(6). </w:t>
            </w:r>
            <w:r w:rsidRPr="00C9040A">
              <w:rPr>
                <w:rtl/>
              </w:rPr>
              <w:t>في حاشية « ج » : « النهار »</w:t>
            </w:r>
            <w:r>
              <w:rPr>
                <w:rtl/>
              </w:rPr>
              <w:t>.</w:t>
            </w:r>
          </w:p>
        </w:tc>
      </w:tr>
    </w:tbl>
    <w:p w:rsidR="008A74EB" w:rsidRPr="00C9040A" w:rsidRDefault="006C577F" w:rsidP="00113A82">
      <w:pPr>
        <w:pStyle w:val="libFootnote0"/>
        <w:rPr>
          <w:rtl/>
          <w:lang w:bidi="fa-IR"/>
        </w:rPr>
      </w:pPr>
      <w:r>
        <w:rPr>
          <w:rtl/>
        </w:rPr>
        <w:t>(7).</w:t>
      </w:r>
      <w:r w:rsidR="008A74EB" w:rsidRPr="00C9040A">
        <w:rPr>
          <w:rtl/>
        </w:rPr>
        <w:t xml:space="preserve"> في </w:t>
      </w:r>
      <w:r w:rsidR="008A74EB" w:rsidRPr="00993B55">
        <w:rPr>
          <w:rStyle w:val="libFootnoteBoldChar"/>
          <w:rtl/>
        </w:rPr>
        <w:t>مرآة العقول</w:t>
      </w:r>
      <w:r w:rsidR="008A74EB" w:rsidRPr="00C9040A">
        <w:rPr>
          <w:rtl/>
        </w:rPr>
        <w:t xml:space="preserve"> : « الفرق بينه وبين رهبان الليل أنّ الرهبان إشارة إلى التضرّع والرهبة ، أو التخلّي والترهّب. وقيام الليل للصلاة لايستلزم شيئاً من ذلك »</w:t>
      </w:r>
      <w:r w:rsidR="008A74EB">
        <w:rPr>
          <w:rtl/>
        </w:rPr>
        <w:t>.</w:t>
      </w:r>
      <w:r w:rsidR="00113A82">
        <w:rPr>
          <w:rFonts w:hint="cs"/>
          <w:rtl/>
        </w:rPr>
        <w:t xml:space="preserve">                    </w:t>
      </w:r>
      <w:r>
        <w:rPr>
          <w:rtl/>
        </w:rPr>
        <w:t>(8).</w:t>
      </w:r>
      <w:r w:rsidR="008A74EB" w:rsidRPr="00C9040A">
        <w:rPr>
          <w:rtl/>
        </w:rPr>
        <w:t xml:space="preserve"> في « ص ، ف » : « يمشون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ص ، ف ، </w:t>
      </w:r>
      <w:r w:rsidR="006D3162">
        <w:rPr>
          <w:rtl/>
        </w:rPr>
        <w:t xml:space="preserve">ه </w:t>
      </w:r>
      <w:r w:rsidR="008A74EB" w:rsidRPr="00C9040A">
        <w:rPr>
          <w:rtl/>
        </w:rPr>
        <w:t>» : « هوناً »</w:t>
      </w:r>
      <w:r w:rsidR="008A74EB">
        <w:rPr>
          <w:rtl/>
        </w:rPr>
        <w:t>.</w:t>
      </w:r>
      <w:r w:rsidR="008A74EB" w:rsidRPr="00C9040A">
        <w:rPr>
          <w:rtl/>
        </w:rPr>
        <w:t xml:space="preserve"> </w:t>
      </w:r>
      <w:r w:rsidR="008A74EB">
        <w:rPr>
          <w:rtl/>
        </w:rPr>
        <w:t>و «</w:t>
      </w:r>
      <w:r w:rsidR="008A74EB" w:rsidRPr="00C9040A">
        <w:rPr>
          <w:rtl/>
        </w:rPr>
        <w:t xml:space="preserve"> الهَوْن » : مصدر الهيِّن في معنى السكينة والوقار. </w:t>
      </w:r>
      <w:r w:rsidR="008A74EB" w:rsidRPr="00993B55">
        <w:rPr>
          <w:rStyle w:val="libFootnoteBoldChar"/>
          <w:rtl/>
        </w:rPr>
        <w:t>ترتيب كتاب العين</w:t>
      </w:r>
      <w:r w:rsidR="008A74EB" w:rsidRPr="00C9040A">
        <w:rPr>
          <w:rtl/>
        </w:rPr>
        <w:t xml:space="preserve"> ، ج 3 ، ص 1909 ( هون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عن ابن السكّيت : « الأرامل : المساكين من رجال ونساء ، ويقال لهم وإن لم يكن فيهم نساء »</w:t>
      </w:r>
      <w:r w:rsidR="008A74EB">
        <w:rPr>
          <w:rtl/>
        </w:rPr>
        <w:t>.</w:t>
      </w:r>
      <w:r w:rsidR="008A74EB" w:rsidRPr="00C9040A">
        <w:rPr>
          <w:rtl/>
        </w:rPr>
        <w:t xml:space="preserve"> وقال ابن الأثير : « الأرامل : المساكين من رجال ونساء ، ويقال لكلّ واحد من الفريقين على انفراده : أرامل ، وهو بالنساء أخصّ وأكثر استعمالاً ، والواحد : أرمل وأرملة</w:t>
      </w:r>
      <w:r w:rsidR="008A74EB">
        <w:rPr>
          <w:rtl/>
        </w:rPr>
        <w:t xml:space="preserve"> ..</w:t>
      </w:r>
      <w:r w:rsidR="008A74EB" w:rsidRPr="00C9040A">
        <w:rPr>
          <w:rtl/>
        </w:rPr>
        <w:t xml:space="preserve">. فالأرمل : الذي ماتت زوجته ، والأرملة : التي مات زوجها ، وسواء كانا غنيّين أو فقيرين. راجع : </w:t>
      </w:r>
      <w:r w:rsidR="008A74EB" w:rsidRPr="00993B55">
        <w:rPr>
          <w:rStyle w:val="libFootnoteBoldChar"/>
          <w:rtl/>
        </w:rPr>
        <w:t>الصحاح</w:t>
      </w:r>
      <w:r w:rsidR="008A74EB" w:rsidRPr="00C9040A">
        <w:rPr>
          <w:rtl/>
        </w:rPr>
        <w:t xml:space="preserve"> ، ج 4 ، ص 1713 ؛ </w:t>
      </w:r>
      <w:r w:rsidR="008A74EB" w:rsidRPr="00993B55">
        <w:rPr>
          <w:rStyle w:val="libFootnoteBoldChar"/>
          <w:rtl/>
        </w:rPr>
        <w:t>النهاية</w:t>
      </w:r>
      <w:r w:rsidR="008A74EB" w:rsidRPr="00C9040A">
        <w:rPr>
          <w:rtl/>
        </w:rPr>
        <w:t xml:space="preserve"> ، ج 2 ، ص 266 ( رمل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w:t>
      </w:r>
      <w:r w:rsidR="008A74EB" w:rsidRPr="0034021D">
        <w:rPr>
          <w:rStyle w:val="libFootnoteBoldChar"/>
          <w:rtl/>
        </w:rPr>
        <w:t>الأمالي للصدوق</w:t>
      </w:r>
      <w:r w:rsidR="008A74EB" w:rsidRPr="00C9040A">
        <w:rPr>
          <w:rtl/>
        </w:rPr>
        <w:t xml:space="preserve"> ، ص 547 ، المجلس 81 ، ح 16 ، بسند آخر عن الأصبغ بن نباتة ، عن أمير المؤمنين </w:t>
      </w:r>
      <w:r w:rsidR="00117575" w:rsidRPr="00117575">
        <w:rPr>
          <w:rStyle w:val="libFootnoteAlaemChar"/>
          <w:rtl/>
        </w:rPr>
        <w:t>عليه‌السلام</w:t>
      </w:r>
      <w:r w:rsidR="008A74EB" w:rsidRPr="00C9040A">
        <w:rPr>
          <w:rtl/>
        </w:rPr>
        <w:t xml:space="preserve"> ، من قوله : « فأخبرني يا رسول الله بصفة المؤمن » مع اختلاف يسير </w:t>
      </w:r>
      <w:r w:rsidR="000F0E72">
        <w:rPr>
          <w:rFonts w:hint="cs"/>
          <w:rtl/>
        </w:rPr>
        <w:t>.</w:t>
      </w:r>
      <w:r w:rsidR="008A74EB" w:rsidRPr="00993B55">
        <w:rPr>
          <w:rStyle w:val="libFootnoteBoldChar"/>
          <w:rtl/>
        </w:rPr>
        <w:t>الوافي</w:t>
      </w:r>
      <w:r w:rsidR="008A74EB" w:rsidRPr="00C9040A">
        <w:rPr>
          <w:rtl/>
        </w:rPr>
        <w:t xml:space="preserve"> ، ج 4 ، ص 160 ، ح 1752 ؛ </w:t>
      </w:r>
      <w:r w:rsidR="008A74EB" w:rsidRPr="00993B55">
        <w:rPr>
          <w:rStyle w:val="libFootnoteBoldChar"/>
          <w:rtl/>
        </w:rPr>
        <w:t>الوسائل</w:t>
      </w:r>
      <w:r w:rsidR="008A74EB" w:rsidRPr="00C9040A">
        <w:rPr>
          <w:rtl/>
        </w:rPr>
        <w:t xml:space="preserve"> ، ج 15 ، ص 188 ، ح 20241 ، من قوله : « فأخبرني يا رسول الله بصفة المؤمن » ؛ </w:t>
      </w:r>
      <w:r w:rsidR="008A74EB" w:rsidRPr="00993B55">
        <w:rPr>
          <w:rStyle w:val="libFootnoteBoldChar"/>
          <w:rtl/>
        </w:rPr>
        <w:t>البحار</w:t>
      </w:r>
      <w:r w:rsidR="008A74EB" w:rsidRPr="00C9040A">
        <w:rPr>
          <w:rtl/>
        </w:rPr>
        <w:t xml:space="preserve"> ، ج 67 ، ص 276 ، ح 4.</w:t>
      </w:r>
    </w:p>
    <w:p w:rsidR="008A74EB" w:rsidRPr="00C9040A" w:rsidRDefault="006C577F" w:rsidP="004A4E41">
      <w:pPr>
        <w:pStyle w:val="libFootnote0"/>
        <w:rPr>
          <w:rtl/>
          <w:lang w:bidi="fa-IR"/>
        </w:rPr>
      </w:pPr>
      <w:r>
        <w:rPr>
          <w:rtl/>
        </w:rPr>
        <w:t>(12).</w:t>
      </w:r>
      <w:r w:rsidR="008A74EB" w:rsidRPr="00C9040A">
        <w:rPr>
          <w:rtl/>
        </w:rPr>
        <w:t xml:space="preserve"> في « ج ، بر » وشرح المازندراني والوافي ومرآة العقول والبحار وصفات الشيعة : « من سرّته حسنة وساءته</w:t>
      </w:r>
      <w:r w:rsidR="000F0E72">
        <w:rPr>
          <w:rFonts w:hint="cs"/>
          <w:rtl/>
        </w:rPr>
        <w:t xml:space="preserve"> </w:t>
      </w:r>
      <w:r w:rsidR="000F0E72">
        <w:rPr>
          <w:rtl/>
        </w:rPr>
        <w:t>‌سيّئة</w:t>
      </w:r>
      <w:r w:rsidR="008A74EB" w:rsidRPr="00C9040A">
        <w:rPr>
          <w:rtl/>
        </w:rPr>
        <w:t>»</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فَهُوَ مُؤْمِنٌ »</w:t>
      </w:r>
      <w:r>
        <w:rPr>
          <w:rtl/>
          <w:lang w:bidi="fa-IR"/>
        </w:rPr>
        <w:t>.</w:t>
      </w:r>
      <w:r w:rsidRPr="00C9040A">
        <w:rPr>
          <w:rtl/>
          <w:lang w:bidi="fa-IR"/>
        </w:rPr>
        <w:t xml:space="preserve"> </w:t>
      </w:r>
      <w:r w:rsidR="006C577F" w:rsidRPr="006C577F">
        <w:rPr>
          <w:rStyle w:val="libFootnotenumChar"/>
          <w:rtl/>
        </w:rPr>
        <w:t>(1)</w:t>
      </w:r>
      <w:r w:rsidRPr="00C9040A">
        <w:rPr>
          <w:rtl/>
          <w:lang w:bidi="fa-IR"/>
        </w:rPr>
        <w:t xml:space="preserve"> ‌</w:t>
      </w:r>
    </w:p>
    <w:p w:rsidR="008A74EB" w:rsidRPr="00C9040A" w:rsidRDefault="008A74EB" w:rsidP="008A74EB">
      <w:pPr>
        <w:pStyle w:val="libNormal"/>
        <w:rPr>
          <w:rtl/>
          <w:lang w:bidi="fa-IR"/>
        </w:rPr>
      </w:pPr>
      <w:r w:rsidRPr="00BB634E">
        <w:rPr>
          <w:rtl/>
        </w:rPr>
        <w:t>2286</w:t>
      </w:r>
      <w:r w:rsidRPr="00261CB0">
        <w:rPr>
          <w:rStyle w:val="libBold2Char"/>
          <w:rtl/>
        </w:rPr>
        <w:t xml:space="preserve"> / 7.</w:t>
      </w:r>
      <w:r w:rsidRPr="00C9040A">
        <w:rPr>
          <w:rtl/>
          <w:lang w:bidi="fa-IR"/>
        </w:rPr>
        <w:t xml:space="preserve"> مُحَمَّدُ بْنُ يَحْيى ، عَنْ أَحْمَدَ بْنِ مُحَمَّدِ بْنِ عِيسى ، عَنْ مُحَمَّدِ بْنِ الْحَسَنِ بْنِ زَعْلَانَ </w:t>
      </w:r>
      <w:r w:rsidR="006C577F" w:rsidRPr="006C577F">
        <w:rPr>
          <w:rStyle w:val="libFootnotenumChar"/>
          <w:rtl/>
        </w:rPr>
        <w:t>(2)</w:t>
      </w:r>
      <w:r w:rsidRPr="00C9040A">
        <w:rPr>
          <w:rtl/>
          <w:lang w:bidi="fa-IR"/>
        </w:rPr>
        <w:t xml:space="preserve"> ، عَنْ أَبِي إِسْحَاقَ الْخُرَاسَانِيِّ ، عَنْ عَمْرِو بْنِ جُمَيْعٍ الْعَبْدِيِّ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شِيعَتُنَا </w:t>
      </w:r>
      <w:r w:rsidR="006C577F" w:rsidRPr="006C577F">
        <w:rPr>
          <w:rStyle w:val="libFootnotenumChar"/>
          <w:rtl/>
        </w:rPr>
        <w:t>(3)</w:t>
      </w:r>
      <w:r w:rsidRPr="00C9040A">
        <w:rPr>
          <w:rtl/>
          <w:lang w:bidi="fa-IR"/>
        </w:rPr>
        <w:t xml:space="preserve"> الشَّاحِبُونَ </w:t>
      </w:r>
      <w:r w:rsidR="006C577F" w:rsidRPr="006C577F">
        <w:rPr>
          <w:rStyle w:val="libFootnotenumChar"/>
          <w:rtl/>
        </w:rPr>
        <w:t>(4)</w:t>
      </w:r>
      <w:r w:rsidRPr="00C9040A">
        <w:rPr>
          <w:rtl/>
          <w:lang w:bidi="fa-IR"/>
        </w:rPr>
        <w:t xml:space="preserve"> الذَّابِلُونَ </w:t>
      </w:r>
      <w:r w:rsidR="006C577F" w:rsidRPr="006C577F">
        <w:rPr>
          <w:rStyle w:val="libFootnotenumChar"/>
          <w:rtl/>
        </w:rPr>
        <w:t>(5)</w:t>
      </w:r>
      <w:r w:rsidRPr="00C9040A">
        <w:rPr>
          <w:rtl/>
          <w:lang w:bidi="fa-IR"/>
        </w:rPr>
        <w:t xml:space="preserve"> النَّاحِلُونَ </w:t>
      </w:r>
      <w:r w:rsidR="006C577F" w:rsidRPr="006C577F">
        <w:rPr>
          <w:rStyle w:val="libFootnotenumChar"/>
          <w:rtl/>
        </w:rPr>
        <w:t>(6)</w:t>
      </w:r>
      <w:r w:rsidRPr="005B567D">
        <w:rPr>
          <w:rStyle w:val="libFootnotenumChar"/>
          <w:rtl/>
        </w:rPr>
        <w:t xml:space="preserve"> </w:t>
      </w:r>
      <w:r w:rsidRPr="00C9040A">
        <w:rPr>
          <w:rtl/>
          <w:lang w:bidi="fa-IR"/>
        </w:rPr>
        <w:t xml:space="preserve">، الَّذِينَ إِذَا جَنَّهُمُ </w:t>
      </w:r>
      <w:r w:rsidR="006C577F" w:rsidRPr="006C577F">
        <w:rPr>
          <w:rStyle w:val="libFootnotenumChar"/>
          <w:rtl/>
        </w:rPr>
        <w:t>(7)</w:t>
      </w:r>
      <w:r w:rsidRPr="00C9040A">
        <w:rPr>
          <w:rtl/>
          <w:lang w:bidi="fa-IR"/>
        </w:rPr>
        <w:t xml:space="preserve"> اللَّيْلُ </w:t>
      </w:r>
      <w:r w:rsidR="006C577F" w:rsidRPr="006C577F">
        <w:rPr>
          <w:rStyle w:val="libFootnotenumChar"/>
          <w:rtl/>
        </w:rPr>
        <w:t>(8)</w:t>
      </w:r>
      <w:r w:rsidRPr="00C9040A">
        <w:rPr>
          <w:rtl/>
          <w:lang w:bidi="fa-IR"/>
        </w:rPr>
        <w:t xml:space="preserve"> ، اسْتَقْبَلُوهُ بِحُزْنٍ </w:t>
      </w:r>
      <w:r w:rsidR="006C577F" w:rsidRPr="006C577F">
        <w:rPr>
          <w:rStyle w:val="libFootnotenumChar"/>
          <w:rtl/>
        </w:rPr>
        <w:t>(9)</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993B55">
        <w:rPr>
          <w:rStyle w:val="libFootnoteBoldChar"/>
          <w:rtl/>
        </w:rPr>
        <w:t>التوحيد</w:t>
      </w:r>
      <w:r w:rsidR="008A74EB" w:rsidRPr="00C9040A">
        <w:rPr>
          <w:rtl/>
        </w:rPr>
        <w:t xml:space="preserve"> ، ص 407 ، ضمن الحديث الطويل 6 ، عن أحمد بن زياد بن جعفر الصمداني ، عن عليّ بن إبراهيم بن هاشم ، عن أبيه ، عن محمّد بن أبي‌عمير ، عن موسى بن جعفر </w:t>
      </w:r>
      <w:r w:rsidR="00117575" w:rsidRPr="00117575">
        <w:rPr>
          <w:rStyle w:val="libFootnoteAlaemChar"/>
          <w:rtl/>
        </w:rPr>
        <w:t xml:space="preserve">عليه‌السلام </w:t>
      </w:r>
      <w:r w:rsidR="008A74EB" w:rsidRPr="00C9040A">
        <w:rPr>
          <w:rtl/>
        </w:rPr>
        <w:t xml:space="preserve">. وفي </w:t>
      </w:r>
      <w:r w:rsidR="008A74EB" w:rsidRPr="0034021D">
        <w:rPr>
          <w:rStyle w:val="libFootnoteBoldChar"/>
          <w:rtl/>
        </w:rPr>
        <w:t>الأمالي للصدوق</w:t>
      </w:r>
      <w:r w:rsidR="008A74EB" w:rsidRPr="000F0E72">
        <w:rPr>
          <w:rStyle w:val="libFootnoteBoldChar"/>
          <w:rtl/>
        </w:rPr>
        <w:t xml:space="preserve"> </w:t>
      </w:r>
      <w:r w:rsidR="008A74EB" w:rsidRPr="00C9040A">
        <w:rPr>
          <w:rtl/>
        </w:rPr>
        <w:t xml:space="preserve">، ص 199 ، المجلس 36 ، ذيل ح 8 ؛ </w:t>
      </w:r>
      <w:r w:rsidR="008A74EB" w:rsidRPr="000F0E72">
        <w:rPr>
          <w:rStyle w:val="libFootnoteBoldChar"/>
          <w:rtl/>
        </w:rPr>
        <w:t>وصفات الشيعة</w:t>
      </w:r>
      <w:r w:rsidR="008A74EB" w:rsidRPr="00C9040A">
        <w:rPr>
          <w:rtl/>
        </w:rPr>
        <w:t xml:space="preserve"> ، ص 32 ، ح 44 ، بسند آخر عن أبي‌عبدالله ، عن آبائه </w:t>
      </w:r>
      <w:r w:rsidR="00117575" w:rsidRPr="00117575">
        <w:rPr>
          <w:rStyle w:val="libFootnoteAlaemChar"/>
          <w:rtl/>
        </w:rPr>
        <w:t>عليهم‌السلام</w:t>
      </w:r>
      <w:r w:rsidR="008A74EB" w:rsidRPr="00C9040A">
        <w:rPr>
          <w:rtl/>
        </w:rPr>
        <w:t xml:space="preserve"> عن رسول الله </w:t>
      </w:r>
      <w:r w:rsidR="004A4E41" w:rsidRPr="00B120D5">
        <w:rPr>
          <w:rStyle w:val="libFootnoteAlaemChar"/>
          <w:rtl/>
        </w:rPr>
        <w:t>صلى‌الله‌عليه‌وآله</w:t>
      </w:r>
      <w:r w:rsidR="008A74EB" w:rsidRPr="00C9040A">
        <w:rPr>
          <w:rtl/>
        </w:rPr>
        <w:t xml:space="preserve"> ، مع اختلاف يسير. </w:t>
      </w:r>
      <w:r w:rsidR="008A74EB" w:rsidRPr="00993B55">
        <w:rPr>
          <w:rStyle w:val="libFootnoteBoldChar"/>
          <w:rtl/>
        </w:rPr>
        <w:t>الخصال</w:t>
      </w:r>
      <w:r w:rsidR="008A74EB" w:rsidRPr="00C9040A">
        <w:rPr>
          <w:rtl/>
        </w:rPr>
        <w:t xml:space="preserve"> ، ص 47 ، باب الاثنين ، ح 49 ؛ </w:t>
      </w:r>
      <w:r w:rsidR="008A74EB" w:rsidRPr="00993B55">
        <w:rPr>
          <w:rStyle w:val="libFootnoteBoldChar"/>
          <w:rtl/>
        </w:rPr>
        <w:t>عيون الأخبار</w:t>
      </w:r>
      <w:r w:rsidR="008A74EB" w:rsidRPr="00C9040A">
        <w:rPr>
          <w:rtl/>
        </w:rPr>
        <w:t xml:space="preserve"> ، ج 1 ، ص 137 ، ضمن ح 35 ، مع زيادة في آخره ، وفيهما مرسلاً عن النبيّ </w:t>
      </w:r>
      <w:r w:rsidR="004A4E41" w:rsidRPr="000F0E72">
        <w:rPr>
          <w:rStyle w:val="libFootnoteAlaemChar"/>
          <w:rtl/>
        </w:rPr>
        <w:t>صلى‌الله‌عليه‌وآله</w:t>
      </w:r>
      <w:r w:rsidR="008A74EB" w:rsidRPr="00C9040A">
        <w:rPr>
          <w:rtl/>
        </w:rPr>
        <w:t xml:space="preserve"> </w:t>
      </w:r>
      <w:r w:rsidR="000F0E72">
        <w:rPr>
          <w:rFonts w:hint="cs"/>
          <w:rtl/>
        </w:rPr>
        <w:t>.</w:t>
      </w:r>
      <w:r w:rsidR="008A74EB" w:rsidRPr="00993B55">
        <w:rPr>
          <w:rStyle w:val="libFootnoteBoldChar"/>
          <w:rtl/>
        </w:rPr>
        <w:t>الوافي</w:t>
      </w:r>
      <w:r w:rsidR="008A74EB" w:rsidRPr="00C9040A">
        <w:rPr>
          <w:rtl/>
        </w:rPr>
        <w:t xml:space="preserve"> ، ج 4 ، ص 161 ، ح 1753 ؛ </w:t>
      </w:r>
      <w:r w:rsidR="008A74EB" w:rsidRPr="00993B55">
        <w:rPr>
          <w:rStyle w:val="libFootnoteBoldChar"/>
          <w:rtl/>
        </w:rPr>
        <w:t>الوسائل</w:t>
      </w:r>
      <w:r w:rsidR="008A74EB" w:rsidRPr="00C9040A">
        <w:rPr>
          <w:rtl/>
        </w:rPr>
        <w:t xml:space="preserve"> ، ج 1 ، ص 106 ، ح 259 ؛ وج 16 ، ص 61 ، ح 20982 ؛ </w:t>
      </w:r>
      <w:r w:rsidR="008A74EB" w:rsidRPr="00993B55">
        <w:rPr>
          <w:rStyle w:val="libFootnoteBoldChar"/>
          <w:rtl/>
        </w:rPr>
        <w:t>البحار</w:t>
      </w:r>
      <w:r w:rsidR="008A74EB" w:rsidRPr="00C9040A">
        <w:rPr>
          <w:rtl/>
        </w:rPr>
        <w:t xml:space="preserve"> ، ج 67 ، ص 350 ، ح 53.</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ب ، ج ، د ، ز ، ض ، بر ، بس » وال</w:t>
      </w:r>
      <w:r w:rsidR="000F0E72">
        <w:rPr>
          <w:rtl/>
        </w:rPr>
        <w:t>وسائل : « محمّد بن الحسن بن عل</w:t>
      </w:r>
      <w:r w:rsidR="000F0E72">
        <w:rPr>
          <w:rFonts w:hint="cs"/>
          <w:rtl/>
        </w:rPr>
        <w:t>ّ</w:t>
      </w:r>
      <w:r w:rsidR="000F0E72">
        <w:rPr>
          <w:rtl/>
        </w:rPr>
        <w:t>ا</w:t>
      </w:r>
      <w:r w:rsidR="008A74EB" w:rsidRPr="00C9040A">
        <w:rPr>
          <w:rtl/>
        </w:rPr>
        <w:t>ن »</w:t>
      </w:r>
      <w:r w:rsidR="008A74EB">
        <w:rPr>
          <w:rtl/>
        </w:rPr>
        <w:t>.</w:t>
      </w:r>
      <w:r w:rsidR="008A74EB" w:rsidRPr="00C9040A">
        <w:rPr>
          <w:rtl/>
        </w:rPr>
        <w:t xml:space="preserve"> وفي « ص ، </w:t>
      </w:r>
      <w:r w:rsidR="006D3162">
        <w:rPr>
          <w:rtl/>
        </w:rPr>
        <w:t xml:space="preserve">ه </w:t>
      </w:r>
      <w:r w:rsidR="008A74EB" w:rsidRPr="00C9040A">
        <w:rPr>
          <w:rtl/>
        </w:rPr>
        <w:t>» والبحار « محمّد بن الحسن زعلان »</w:t>
      </w:r>
      <w:r w:rsidR="008A74EB">
        <w:rPr>
          <w:rtl/>
        </w:rPr>
        <w:t>.</w:t>
      </w:r>
      <w:r w:rsidR="008A74EB" w:rsidRPr="00C9040A">
        <w:rPr>
          <w:rtl/>
        </w:rPr>
        <w:t xml:space="preserve"> وفي « بف » : « محمّد بن الحسن علان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هكذا في « ب ، ج ، د ، ز ، ص ، ض ، ف ، </w:t>
      </w:r>
      <w:r w:rsidR="006D3162">
        <w:rPr>
          <w:rtl/>
        </w:rPr>
        <w:t xml:space="preserve">ه </w:t>
      </w:r>
      <w:r w:rsidR="008A74EB" w:rsidRPr="00C9040A">
        <w:rPr>
          <w:rtl/>
        </w:rPr>
        <w:t>، بر ، بس ، بف » وشرح المازندراني والوافي ومرآة العقول. وفي‌المطبوع : + « هم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w:t>
      </w:r>
      <w:r w:rsidR="006D3162">
        <w:rPr>
          <w:rtl/>
        </w:rPr>
        <w:t xml:space="preserve">ه </w:t>
      </w:r>
      <w:r w:rsidR="008A74EB" w:rsidRPr="00C9040A">
        <w:rPr>
          <w:rtl/>
        </w:rPr>
        <w:t>» : « السيّاحون »</w:t>
      </w:r>
      <w:r w:rsidR="008A74EB">
        <w:rPr>
          <w:rtl/>
        </w:rPr>
        <w:t>.</w:t>
      </w:r>
      <w:r w:rsidR="008A74EB" w:rsidRPr="00C9040A">
        <w:rPr>
          <w:rtl/>
        </w:rPr>
        <w:t xml:space="preserve"> وفي « بف » والوافي : « السائحون » أي الملازم للمساجد ، والسيح : الذهاب في الأرض للعبادة. وفي حاشية « ب ، بر » : « الشاحون »</w:t>
      </w:r>
      <w:r w:rsidR="008A74EB">
        <w:rPr>
          <w:rtl/>
        </w:rPr>
        <w:t>.</w:t>
      </w:r>
      <w:r w:rsidR="008A74EB" w:rsidRPr="00C9040A">
        <w:rPr>
          <w:rtl/>
        </w:rPr>
        <w:t xml:space="preserve"> وشَحِبَ يشحَبُ شحوباً ، أي‌تغيّر من سفر أو هُزال أو عملٍ أو جوع. </w:t>
      </w:r>
      <w:r w:rsidR="008A74EB" w:rsidRPr="00993B55">
        <w:rPr>
          <w:rStyle w:val="libFootnoteBoldChar"/>
          <w:rtl/>
        </w:rPr>
        <w:t>ترتيب كتاب العين</w:t>
      </w:r>
      <w:r w:rsidR="008A74EB" w:rsidRPr="00C9040A">
        <w:rPr>
          <w:rtl/>
        </w:rPr>
        <w:t xml:space="preserve"> ، ج 2 ، ص 892 ؛ </w:t>
      </w:r>
      <w:r w:rsidR="008A74EB" w:rsidRPr="00993B55">
        <w:rPr>
          <w:rStyle w:val="libFootnoteBoldChar"/>
          <w:rtl/>
        </w:rPr>
        <w:t>القاموس المحيط</w:t>
      </w:r>
      <w:r w:rsidR="008A74EB" w:rsidRPr="00C9040A">
        <w:rPr>
          <w:rtl/>
        </w:rPr>
        <w:t xml:space="preserve"> ، ج 1 ، ص 181 ( شحب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الذابل : من قَلَّ ماء بشرته وذهبت نُدُوّته ونَضارته ، يقال : ذبلت بشرته ، أي قلّ ماء جلده وذهبت نضارته ، أو هو اليابس الشفه ، يقال : ذبل فوه يذبُل ، إذا جفّ ويبس ريقه ، وذبل النبات ، إذا ذوي ، أي يبس من الحرّ. راجع : </w:t>
      </w:r>
      <w:r w:rsidR="008A74EB" w:rsidRPr="00993B55">
        <w:rPr>
          <w:rStyle w:val="libFootnoteBoldChar"/>
          <w:rtl/>
        </w:rPr>
        <w:t>النهاية</w:t>
      </w:r>
      <w:r w:rsidR="008A74EB" w:rsidRPr="00C9040A">
        <w:rPr>
          <w:rtl/>
        </w:rPr>
        <w:t xml:space="preserve"> ، ج 2 ، ص 155 ؛ </w:t>
      </w:r>
      <w:r w:rsidR="008A74EB" w:rsidRPr="00993B55">
        <w:rPr>
          <w:rStyle w:val="libFootnoteBoldChar"/>
          <w:rtl/>
        </w:rPr>
        <w:t>لسان العرب</w:t>
      </w:r>
      <w:r w:rsidR="008A74EB" w:rsidRPr="00C9040A">
        <w:rPr>
          <w:rtl/>
        </w:rPr>
        <w:t xml:space="preserve"> ، ج 11 ، ص 255 ( ذبل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نحل الجسم يَنْحَلُ نحولاً فهو ناحل ، وأنحله الهمّ ، أي‌أهزله. </w:t>
      </w:r>
      <w:r w:rsidR="008A74EB" w:rsidRPr="00993B55">
        <w:rPr>
          <w:rStyle w:val="libFootnoteBoldChar"/>
          <w:rtl/>
        </w:rPr>
        <w:t>ترتيب كتاب العين</w:t>
      </w:r>
      <w:r w:rsidR="008A74EB" w:rsidRPr="00C9040A">
        <w:rPr>
          <w:rtl/>
        </w:rPr>
        <w:t xml:space="preserve"> ، ج 3 ، ص 1767 ( نحل )</w:t>
      </w:r>
      <w:r w:rsidR="008A74EB">
        <w:rPr>
          <w:rtl/>
        </w:rPr>
        <w:t>.</w:t>
      </w:r>
    </w:p>
    <w:p w:rsidR="008A74EB" w:rsidRPr="00C9040A" w:rsidRDefault="006C577F" w:rsidP="000F0E72">
      <w:pPr>
        <w:pStyle w:val="libFootnote0"/>
        <w:rPr>
          <w:rtl/>
          <w:lang w:bidi="fa-IR"/>
        </w:rPr>
      </w:pPr>
      <w:r>
        <w:rPr>
          <w:rtl/>
        </w:rPr>
        <w:t>(7).</w:t>
      </w:r>
      <w:r w:rsidR="008A74EB" w:rsidRPr="00C9040A">
        <w:rPr>
          <w:rtl/>
        </w:rPr>
        <w:t xml:space="preserve"> في « ض » : « أجنّهم »</w:t>
      </w:r>
      <w:r w:rsidR="008A74EB">
        <w:rPr>
          <w:rtl/>
        </w:rPr>
        <w:t>.</w:t>
      </w:r>
      <w:r w:rsidR="008A74EB" w:rsidRPr="00C9040A">
        <w:rPr>
          <w:rtl/>
        </w:rPr>
        <w:t xml:space="preserve"> يقال : أجَنّه الليل ، وجنّ عليهم الليل : إذا أظلم حتّى يستره بظلمة. </w:t>
      </w:r>
      <w:r w:rsidR="008A74EB" w:rsidRPr="00993B55">
        <w:rPr>
          <w:rStyle w:val="libFootnoteBoldChar"/>
          <w:rtl/>
        </w:rPr>
        <w:t>ترتيب كتاب العين</w:t>
      </w:r>
      <w:r w:rsidR="008A74EB" w:rsidRPr="00C9040A">
        <w:rPr>
          <w:rtl/>
        </w:rPr>
        <w:t xml:space="preserve"> ، ج 1 ، ص 324 ( جنّ )</w:t>
      </w:r>
      <w:r w:rsidR="008A74EB">
        <w:rPr>
          <w:rtl/>
        </w:rPr>
        <w:t>.</w:t>
      </w:r>
      <w:r w:rsidR="000F0E72">
        <w:rPr>
          <w:rFonts w:hint="cs"/>
          <w:rtl/>
        </w:rPr>
        <w:t xml:space="preserve">                            </w:t>
      </w:r>
      <w:r>
        <w:rPr>
          <w:rtl/>
        </w:rPr>
        <w:t>(8).</w:t>
      </w:r>
      <w:r w:rsidR="008A74EB" w:rsidRPr="00C9040A">
        <w:rPr>
          <w:rtl/>
        </w:rPr>
        <w:t xml:space="preserve"> في « ز » : + « عليهم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ز » : « الحزن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w:t>
      </w:r>
      <w:r w:rsidR="008A74EB" w:rsidRPr="00993B55">
        <w:rPr>
          <w:rStyle w:val="libFootnoteBoldChar"/>
          <w:rtl/>
        </w:rPr>
        <w:t>الخصال</w:t>
      </w:r>
      <w:r w:rsidR="008A74EB" w:rsidRPr="00C9040A">
        <w:rPr>
          <w:rtl/>
        </w:rPr>
        <w:t xml:space="preserve"> ، ص 444 ، باب العشرة ، ح 40 ؛ </w:t>
      </w:r>
      <w:r w:rsidR="008A74EB" w:rsidRPr="000F0E72">
        <w:rPr>
          <w:rStyle w:val="libFootnoteBoldChar"/>
          <w:rtl/>
        </w:rPr>
        <w:t>و</w:t>
      </w:r>
      <w:r w:rsidR="008A74EB" w:rsidRPr="00993B55">
        <w:rPr>
          <w:rStyle w:val="libFootnoteBoldChar"/>
          <w:rtl/>
        </w:rPr>
        <w:t>صفات الشيعة</w:t>
      </w:r>
      <w:r w:rsidR="008A74EB" w:rsidRPr="00C9040A">
        <w:rPr>
          <w:rtl/>
        </w:rPr>
        <w:t xml:space="preserve"> ، ص 10 ، ح 19 ، بسند آخر عن أبي‌جعفر </w:t>
      </w:r>
      <w:r w:rsidR="00117575" w:rsidRPr="00117575">
        <w:rPr>
          <w:rStyle w:val="libFootnoteAlaemChar"/>
          <w:rtl/>
        </w:rPr>
        <w:t>عليه‌السلام</w:t>
      </w:r>
      <w:r w:rsidR="008A74EB" w:rsidRPr="00C9040A">
        <w:rPr>
          <w:rtl/>
        </w:rPr>
        <w:t xml:space="preserve"> ، مع اختلاف يسير وزيادة. </w:t>
      </w:r>
      <w:r w:rsidR="008A74EB" w:rsidRPr="00993B55">
        <w:rPr>
          <w:rStyle w:val="libFootnoteBoldChar"/>
          <w:rtl/>
        </w:rPr>
        <w:t>وفيه</w:t>
      </w:r>
      <w:r w:rsidR="008A74EB" w:rsidRPr="00C9040A">
        <w:rPr>
          <w:rtl/>
        </w:rPr>
        <w:t xml:space="preserve"> ، ص 13 ، ح 24 ، بسند آخر عن أبي‌جعفر </w:t>
      </w:r>
      <w:r w:rsidR="00117575" w:rsidRPr="00117575">
        <w:rPr>
          <w:rStyle w:val="libFootnoteAlaemChar"/>
          <w:rtl/>
        </w:rPr>
        <w:t xml:space="preserve">عليه‌السلام </w:t>
      </w:r>
      <w:r w:rsidR="008A74EB" w:rsidRPr="00C9040A">
        <w:rPr>
          <w:rtl/>
        </w:rPr>
        <w:t xml:space="preserve"> ، إلى قوله : « الذابلون الناحلون » ، مع </w:t>
      </w:r>
      <w:r w:rsidR="000F0E72">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BB634E">
        <w:rPr>
          <w:rtl/>
        </w:rPr>
        <w:t>2287</w:t>
      </w:r>
      <w:r w:rsidRPr="00261CB0">
        <w:rPr>
          <w:rStyle w:val="libBold2Char"/>
          <w:rtl/>
        </w:rPr>
        <w:t xml:space="preserve"> / 8.</w:t>
      </w:r>
      <w:r w:rsidRPr="00C9040A">
        <w:rPr>
          <w:rtl/>
          <w:lang w:bidi="fa-IR"/>
        </w:rPr>
        <w:t xml:space="preserve"> عَلِيُّ بْنُ إِبْرَاهِيمَ ، عَنْ أَبِيهِ ، عَنْ حَمَّادِ بْنِ عِيسى ، عَنْ إِبْرَاهِيمَ بْنِ عُمَرَ الْيَمَانِيِّ ، عَنْ رَجُلٍ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شِيعَتُنَا أَهْلُ الْهُدى ، وَأَهْلُ </w:t>
      </w:r>
      <w:r w:rsidR="006C577F" w:rsidRPr="006C577F">
        <w:rPr>
          <w:rStyle w:val="libFootnotenumChar"/>
          <w:rtl/>
        </w:rPr>
        <w:t>(1)</w:t>
      </w:r>
      <w:r w:rsidRPr="00C9040A">
        <w:rPr>
          <w:rtl/>
          <w:lang w:bidi="fa-IR"/>
        </w:rPr>
        <w:t xml:space="preserve"> التُّقى </w:t>
      </w:r>
      <w:r w:rsidR="006C577F" w:rsidRPr="006C577F">
        <w:rPr>
          <w:rStyle w:val="libFootnotenumChar"/>
          <w:rtl/>
        </w:rPr>
        <w:t>(2)</w:t>
      </w:r>
      <w:r w:rsidRPr="00C9040A">
        <w:rPr>
          <w:rtl/>
          <w:lang w:bidi="fa-IR"/>
        </w:rPr>
        <w:t xml:space="preserve"> ، وَأَهْلُ الْخَيْرِ ، وَأَهْلُ الْإِيمَانِ ، وَأَهْلُ الْفَتْحِ وَ</w:t>
      </w:r>
      <w:r>
        <w:rPr>
          <w:rFonts w:hint="cs"/>
          <w:rtl/>
          <w:lang w:bidi="fa-IR"/>
        </w:rPr>
        <w:t xml:space="preserve"> </w:t>
      </w:r>
      <w:r w:rsidR="006C577F" w:rsidRPr="006C577F">
        <w:rPr>
          <w:rStyle w:val="libFootnotenumChar"/>
          <w:rtl/>
        </w:rPr>
        <w:t>(3)</w:t>
      </w:r>
      <w:r w:rsidRPr="00C9040A">
        <w:rPr>
          <w:rtl/>
          <w:lang w:bidi="fa-IR"/>
        </w:rPr>
        <w:t xml:space="preserve"> الظَّفَرِ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BB634E">
        <w:rPr>
          <w:rtl/>
        </w:rPr>
        <w:t>2288</w:t>
      </w:r>
      <w:r w:rsidRPr="00261CB0">
        <w:rPr>
          <w:rStyle w:val="libBold2Char"/>
          <w:rtl/>
        </w:rPr>
        <w:t xml:space="preserve"> / 9.</w:t>
      </w:r>
      <w:r w:rsidRPr="00C9040A">
        <w:rPr>
          <w:rtl/>
          <w:lang w:bidi="fa-IR"/>
        </w:rPr>
        <w:t xml:space="preserve"> مُحَمَّدُ بْنُ يَحْيى ، عَنْ أَحْمَدَ بْنِ مُحَمَّدِ بْنِ عِيسى ، عَنْ مُحَمَّدِ بْنِ إِسْمَاعِيلَ ، عَنْ مَنْصُورٍ بُزُرْجَ ، عَنْ مُفَضَّلٍ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إِيَّاكَ </w:t>
      </w:r>
      <w:r w:rsidR="006C577F" w:rsidRPr="006C577F">
        <w:rPr>
          <w:rStyle w:val="libFootnotenumChar"/>
          <w:rtl/>
        </w:rPr>
        <w:t>(5)</w:t>
      </w:r>
      <w:r w:rsidRPr="00C9040A">
        <w:rPr>
          <w:rtl/>
          <w:lang w:bidi="fa-IR"/>
        </w:rPr>
        <w:t xml:space="preserve"> وَالسَّفِلَةَ </w:t>
      </w:r>
      <w:r w:rsidR="006C577F" w:rsidRPr="006C577F">
        <w:rPr>
          <w:rStyle w:val="libFootnotenumChar"/>
          <w:rtl/>
        </w:rPr>
        <w:t>(6)</w:t>
      </w:r>
      <w:r w:rsidRPr="005B567D">
        <w:rPr>
          <w:rStyle w:val="libFootnotenumChar"/>
          <w:rtl/>
        </w:rPr>
        <w:t xml:space="preserve"> </w:t>
      </w:r>
      <w:r w:rsidRPr="00C9040A">
        <w:rPr>
          <w:rtl/>
          <w:lang w:bidi="fa-IR"/>
        </w:rPr>
        <w:t xml:space="preserve">، فَإِنَّمَا </w:t>
      </w:r>
      <w:r w:rsidR="006C577F" w:rsidRPr="006C577F">
        <w:rPr>
          <w:rStyle w:val="libFootnotenumChar"/>
          <w:rtl/>
        </w:rPr>
        <w:t>(7)</w:t>
      </w:r>
      <w:r w:rsidRPr="00C9040A">
        <w:rPr>
          <w:rtl/>
          <w:lang w:bidi="fa-IR"/>
        </w:rPr>
        <w:t xml:space="preserve"> شِيعَةُ </w:t>
      </w:r>
      <w:r w:rsidR="006C577F" w:rsidRPr="006C577F">
        <w:rPr>
          <w:rStyle w:val="libFootnotenumChar"/>
          <w:rtl/>
        </w:rPr>
        <w:t>(8)</w:t>
      </w:r>
      <w:r w:rsidRPr="00C9040A">
        <w:rPr>
          <w:rtl/>
          <w:lang w:bidi="fa-IR"/>
        </w:rPr>
        <w:t xml:space="preserve"> عَلِيٍّ </w:t>
      </w:r>
      <w:r w:rsidRPr="0003660B">
        <w:rPr>
          <w:rStyle w:val="libAlaemChar"/>
          <w:rtl/>
        </w:rPr>
        <w:t>عليه‌السلام</w:t>
      </w:r>
      <w:r w:rsidRPr="00C9040A">
        <w:rPr>
          <w:rtl/>
          <w:lang w:bidi="fa-IR"/>
        </w:rPr>
        <w:t xml:space="preserve"> مَنْ عَفَّ </w:t>
      </w:r>
      <w:r w:rsidR="006C577F" w:rsidRPr="006C577F">
        <w:rPr>
          <w:rStyle w:val="libFootnotenumChar"/>
          <w:rtl/>
        </w:rPr>
        <w:t>(9)</w:t>
      </w:r>
      <w:r w:rsidRPr="00C9040A">
        <w:rPr>
          <w:rtl/>
          <w:lang w:bidi="fa-IR"/>
        </w:rPr>
        <w:t xml:space="preserve"> بَطْنُهُ وَفَرْجُهُ ، وَاشْتَدَّ جِهَادُهُ </w:t>
      </w:r>
      <w:r w:rsidR="006C577F" w:rsidRPr="006C577F">
        <w:rPr>
          <w:rStyle w:val="libFootnotenumChar"/>
          <w:rtl/>
        </w:rPr>
        <w:t>(10)</w:t>
      </w:r>
      <w:r w:rsidRPr="00C9040A">
        <w:rPr>
          <w:rtl/>
          <w:lang w:bidi="fa-IR"/>
        </w:rPr>
        <w:t xml:space="preserve"> ، وَعَمِلَ لِخَالِقِهِ ، وَرَجَا ثَوَابَهُ ، وَخَافَ عِقَابَهُ ، فَإِذَا رَأَيْتَ أُولئِكَ ، فَأُولئِكَ شِيعَةُ جَعْفَرٍ </w:t>
      </w:r>
      <w:r w:rsidRPr="0003660B">
        <w:rPr>
          <w:rStyle w:val="libAlaemChar"/>
          <w:rtl/>
        </w:rPr>
        <w:t>عليه‌السلام</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(11)</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56572" w:rsidP="004A4E41">
      <w:pPr>
        <w:pStyle w:val="libFootnote0"/>
        <w:rPr>
          <w:rtl/>
          <w:lang w:bidi="fa-IR"/>
        </w:rPr>
      </w:pPr>
      <w:r>
        <w:rPr>
          <w:rFonts w:hint="cs"/>
          <w:rtl/>
        </w:rPr>
        <w:t xml:space="preserve">= </w:t>
      </w:r>
      <w:r w:rsidR="008A74EB" w:rsidRPr="00C9040A">
        <w:rPr>
          <w:rtl/>
        </w:rPr>
        <w:t xml:space="preserve">اختلاف يسير وزيادة في آخره </w:t>
      </w:r>
      <w:r>
        <w:rPr>
          <w:rFonts w:hint="cs"/>
          <w:rtl/>
        </w:rPr>
        <w:t>.</w:t>
      </w:r>
      <w:r w:rsidR="008A74EB" w:rsidRPr="00993B55">
        <w:rPr>
          <w:rStyle w:val="libFootnoteBoldChar"/>
          <w:rtl/>
        </w:rPr>
        <w:t>الوافي</w:t>
      </w:r>
      <w:r w:rsidR="008A74EB" w:rsidRPr="00C9040A">
        <w:rPr>
          <w:rtl/>
        </w:rPr>
        <w:t xml:space="preserve"> ، ج 4 ، ص 169 ، ح 1774 ؛ </w:t>
      </w:r>
      <w:r w:rsidR="008A74EB" w:rsidRPr="00993B55">
        <w:rPr>
          <w:rStyle w:val="libFootnoteBoldChar"/>
          <w:rtl/>
        </w:rPr>
        <w:t>الوسائل</w:t>
      </w:r>
      <w:r w:rsidR="008A74EB" w:rsidRPr="00C9040A">
        <w:rPr>
          <w:rtl/>
        </w:rPr>
        <w:t xml:space="preserve"> ، ج 1 ، ص 86 ، ح 203 ؛ </w:t>
      </w:r>
      <w:r w:rsidR="008A74EB" w:rsidRPr="00993B55">
        <w:rPr>
          <w:rStyle w:val="libFootnoteBoldChar"/>
          <w:rtl/>
        </w:rPr>
        <w:t>البحار</w:t>
      </w:r>
      <w:r w:rsidR="008A74EB" w:rsidRPr="00C9040A">
        <w:rPr>
          <w:rtl/>
        </w:rPr>
        <w:t xml:space="preserve"> ، ج 68 ، ص 186 ، ح 40.</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w:t>
      </w:r>
      <w:r w:rsidR="006D3162">
        <w:rPr>
          <w:rtl/>
        </w:rPr>
        <w:t xml:space="preserve">ه </w:t>
      </w:r>
      <w:r w:rsidR="008A74EB" w:rsidRPr="00C9040A">
        <w:rPr>
          <w:rtl/>
        </w:rPr>
        <w:t xml:space="preserve">» </w:t>
      </w:r>
      <w:r w:rsidR="008A74EB">
        <w:rPr>
          <w:rtl/>
        </w:rPr>
        <w:t xml:space="preserve">: </w:t>
      </w:r>
      <w:r w:rsidR="0084262C">
        <w:rPr>
          <w:rtl/>
        </w:rPr>
        <w:t>-</w:t>
      </w:r>
      <w:r w:rsidR="008A74EB" w:rsidRPr="00C9040A">
        <w:rPr>
          <w:rtl/>
        </w:rPr>
        <w:t xml:space="preserve"> « أهل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ب ، ف ، بر ، بف » والوافي : « التقوى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w:t>
      </w:r>
      <w:r w:rsidR="006D3162">
        <w:rPr>
          <w:rtl/>
        </w:rPr>
        <w:t xml:space="preserve">ه </w:t>
      </w:r>
      <w:r w:rsidR="008A74EB" w:rsidRPr="00C9040A">
        <w:rPr>
          <w:rtl/>
        </w:rPr>
        <w:t>» : + « أهل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الوافي</w:t>
      </w:r>
      <w:r w:rsidR="008A74EB" w:rsidRPr="00C9040A">
        <w:rPr>
          <w:rtl/>
        </w:rPr>
        <w:t xml:space="preserve"> ، ج 4 ، ص 170 ، ح 1775 ؛ </w:t>
      </w:r>
      <w:r w:rsidR="008A74EB" w:rsidRPr="00993B55">
        <w:rPr>
          <w:rStyle w:val="libFootnoteBoldChar"/>
          <w:rtl/>
        </w:rPr>
        <w:t>البحار</w:t>
      </w:r>
      <w:r w:rsidR="008A74EB" w:rsidRPr="00C9040A">
        <w:rPr>
          <w:rtl/>
        </w:rPr>
        <w:t xml:space="preserve"> ، ج 68 ، ص 186 ، ح 41.</w:t>
      </w:r>
    </w:p>
    <w:p w:rsidR="008A74EB" w:rsidRPr="00C9040A" w:rsidRDefault="006C577F" w:rsidP="004A4E41">
      <w:pPr>
        <w:pStyle w:val="libFootnote0"/>
        <w:rPr>
          <w:rtl/>
          <w:lang w:bidi="fa-IR"/>
        </w:rPr>
      </w:pPr>
      <w:r>
        <w:rPr>
          <w:rtl/>
        </w:rPr>
        <w:t>(5).</w:t>
      </w:r>
      <w:r w:rsidR="008A74EB" w:rsidRPr="00C9040A">
        <w:rPr>
          <w:rtl/>
        </w:rPr>
        <w:t xml:space="preserve"> في شرح المازندراني : « وإيّاك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w:t>
      </w:r>
      <w:r w:rsidR="008A74EB" w:rsidRPr="00993B55">
        <w:rPr>
          <w:rStyle w:val="libFootnoteBoldChar"/>
          <w:rtl/>
        </w:rPr>
        <w:t>مرآة العقول</w:t>
      </w:r>
      <w:r w:rsidR="008A74EB" w:rsidRPr="00C9040A">
        <w:rPr>
          <w:rtl/>
        </w:rPr>
        <w:t xml:space="preserve"> : « أقول : ربما يقرأ : سَفَلة ، بالتحريك ، جمع سافل »</w:t>
      </w:r>
      <w:r w:rsidR="008A74EB">
        <w:rPr>
          <w:rtl/>
        </w:rPr>
        <w:t>.</w:t>
      </w:r>
      <w:r w:rsidR="008A74EB" w:rsidRPr="00C9040A">
        <w:rPr>
          <w:rtl/>
        </w:rPr>
        <w:t xml:space="preserve"> </w:t>
      </w:r>
      <w:r w:rsidR="008A74EB">
        <w:rPr>
          <w:rtl/>
        </w:rPr>
        <w:t>و «</w:t>
      </w:r>
      <w:r w:rsidR="008A74EB" w:rsidRPr="00C9040A">
        <w:rPr>
          <w:rtl/>
        </w:rPr>
        <w:t xml:space="preserve"> السَّفِلَة » : السُقاط من الناس. يقال : هو من السَّفِلَة ، ولا يقال : هو سَفِلَة. </w:t>
      </w:r>
      <w:r w:rsidR="008A74EB" w:rsidRPr="00993B55">
        <w:rPr>
          <w:rStyle w:val="libFootnoteBoldChar"/>
          <w:rtl/>
        </w:rPr>
        <w:t>النهاية</w:t>
      </w:r>
      <w:r w:rsidR="008A74EB" w:rsidRPr="00C9040A">
        <w:rPr>
          <w:rtl/>
        </w:rPr>
        <w:t xml:space="preserve"> ، ج 2 ، ص 376 ( سفل )</w:t>
      </w:r>
      <w:r w:rsidR="008A74EB">
        <w:rPr>
          <w:rtl/>
        </w:rPr>
        <w:t>.</w:t>
      </w:r>
    </w:p>
    <w:tbl>
      <w:tblPr>
        <w:tblStyle w:val="TableGrid"/>
        <w:bidiVisual/>
        <w:tblW w:w="0" w:type="auto"/>
        <w:tblLook w:val="04A0" w:firstRow="1" w:lastRow="0" w:firstColumn="1" w:lastColumn="0" w:noHBand="0" w:noVBand="1"/>
      </w:tblPr>
      <w:tblGrid>
        <w:gridCol w:w="4006"/>
        <w:gridCol w:w="4006"/>
      </w:tblGrid>
      <w:tr w:rsidR="00656572" w:rsidTr="00656572">
        <w:tc>
          <w:tcPr>
            <w:tcW w:w="4006" w:type="dxa"/>
          </w:tcPr>
          <w:p w:rsidR="00656572" w:rsidRDefault="00656572" w:rsidP="004A4E41">
            <w:pPr>
              <w:pStyle w:val="libFootnote0"/>
              <w:rPr>
                <w:rtl/>
              </w:rPr>
            </w:pPr>
            <w:r>
              <w:rPr>
                <w:rtl/>
              </w:rPr>
              <w:t>(7).</w:t>
            </w:r>
            <w:r w:rsidRPr="00C9040A">
              <w:rPr>
                <w:rtl/>
              </w:rPr>
              <w:t xml:space="preserve"> في « ز » : « وإنّما »</w:t>
            </w:r>
            <w:r>
              <w:rPr>
                <w:rtl/>
              </w:rPr>
              <w:t>.</w:t>
            </w:r>
          </w:p>
        </w:tc>
        <w:tc>
          <w:tcPr>
            <w:tcW w:w="4006" w:type="dxa"/>
          </w:tcPr>
          <w:p w:rsidR="00656572" w:rsidRDefault="00656572" w:rsidP="004A4E41">
            <w:pPr>
              <w:pStyle w:val="libFootnote0"/>
              <w:rPr>
                <w:rtl/>
              </w:rPr>
            </w:pPr>
            <w:r>
              <w:rPr>
                <w:rtl/>
              </w:rPr>
              <w:t>(8).</w:t>
            </w:r>
            <w:r w:rsidRPr="00C9040A">
              <w:rPr>
                <w:rtl/>
              </w:rPr>
              <w:t xml:space="preserve"> في حاشية « بر » : « شيعتنا »</w:t>
            </w:r>
            <w:r>
              <w:rPr>
                <w:rtl/>
              </w:rPr>
              <w:t>.</w:t>
            </w:r>
          </w:p>
        </w:tc>
      </w:tr>
    </w:tbl>
    <w:p w:rsidR="008A74EB" w:rsidRPr="00C9040A" w:rsidRDefault="006C577F" w:rsidP="00656572">
      <w:pPr>
        <w:pStyle w:val="libFootnote0"/>
        <w:rPr>
          <w:rtl/>
          <w:lang w:bidi="fa-IR"/>
        </w:rPr>
      </w:pPr>
      <w:r>
        <w:rPr>
          <w:rtl/>
        </w:rPr>
        <w:t>(9).</w:t>
      </w:r>
      <w:r w:rsidR="008A74EB" w:rsidRPr="00C9040A">
        <w:rPr>
          <w:rtl/>
        </w:rPr>
        <w:t xml:space="preserve"> عفّ عن الحرام يَعِفّ عفّاً وعِفّةً وعفافاً وعفافَةً ، أي‌كفّ ، فهو عَفٌّ وعفيف. </w:t>
      </w:r>
      <w:r w:rsidR="008A74EB" w:rsidRPr="00993B55">
        <w:rPr>
          <w:rStyle w:val="libFootnoteBoldChar"/>
          <w:rtl/>
        </w:rPr>
        <w:t>الصحاح</w:t>
      </w:r>
      <w:r w:rsidR="008A74EB" w:rsidRPr="00C9040A">
        <w:rPr>
          <w:rtl/>
        </w:rPr>
        <w:t xml:space="preserve"> ، ج 4 ، ص 1405 ( عفف )</w:t>
      </w:r>
      <w:r w:rsidR="008A74EB">
        <w:rPr>
          <w:rtl/>
        </w:rPr>
        <w:t>.</w:t>
      </w:r>
      <w:r w:rsidR="00656572">
        <w:rPr>
          <w:rFonts w:hint="cs"/>
          <w:rtl/>
        </w:rPr>
        <w:t xml:space="preserve">                                                  </w:t>
      </w:r>
      <w:r>
        <w:rPr>
          <w:rtl/>
        </w:rPr>
        <w:t>(10).</w:t>
      </w:r>
      <w:r w:rsidR="008A74EB" w:rsidRPr="00C9040A">
        <w:rPr>
          <w:rtl/>
        </w:rPr>
        <w:t xml:space="preserve"> في حاشية « ب » : « اجتهاده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w:t>
      </w:r>
      <w:r w:rsidR="008A74EB" w:rsidRPr="00993B55">
        <w:rPr>
          <w:rStyle w:val="libFootnoteBoldChar"/>
          <w:rtl/>
        </w:rPr>
        <w:t>الخصال</w:t>
      </w:r>
      <w:r w:rsidR="008A74EB" w:rsidRPr="00C9040A">
        <w:rPr>
          <w:rtl/>
        </w:rPr>
        <w:t xml:space="preserve"> ، ص 295 ، باب الخمسة ، ح 63 ، بسند آخر عن المفضّل بن عمر ؛ </w:t>
      </w:r>
      <w:r w:rsidR="008A74EB" w:rsidRPr="00993B55">
        <w:rPr>
          <w:rStyle w:val="libFootnoteBoldChar"/>
          <w:rtl/>
        </w:rPr>
        <w:t>صفات الشيعة</w:t>
      </w:r>
      <w:r w:rsidR="008A74EB" w:rsidRPr="00C9040A">
        <w:rPr>
          <w:rtl/>
        </w:rPr>
        <w:t xml:space="preserve"> ، ص 11 ، ح 21 ، بسند آخر عن المفضّل. </w:t>
      </w:r>
      <w:r w:rsidR="008A74EB" w:rsidRPr="00993B55">
        <w:rPr>
          <w:rStyle w:val="libFootnoteBoldChar"/>
          <w:rtl/>
        </w:rPr>
        <w:t>وفيه</w:t>
      </w:r>
      <w:r w:rsidR="008A74EB" w:rsidRPr="00C9040A">
        <w:rPr>
          <w:rtl/>
        </w:rPr>
        <w:t xml:space="preserve"> ، ص 7 ، ح 12 ، بسنده عن أحمد بن عبدالله يرفعه ، عن أبي‌</w:t>
      </w:r>
      <w:r w:rsidR="00656572">
        <w:rPr>
          <w:rFonts w:hint="cs"/>
          <w:rtl/>
        </w:rPr>
        <w:t xml:space="preserve"> </w:t>
      </w:r>
      <w:r w:rsidR="008A74EB" w:rsidRPr="00C9040A">
        <w:rPr>
          <w:rtl/>
        </w:rPr>
        <w:t>عبد</w:t>
      </w:r>
      <w:r w:rsidR="00656572">
        <w:rPr>
          <w:rFonts w:hint="cs"/>
          <w:rtl/>
        </w:rPr>
        <w:t xml:space="preserve"> </w:t>
      </w:r>
      <w:r w:rsidR="008A74EB" w:rsidRPr="00C9040A">
        <w:rPr>
          <w:rtl/>
        </w:rPr>
        <w:t xml:space="preserve">الله </w:t>
      </w:r>
      <w:r w:rsidR="00117575" w:rsidRPr="00117575">
        <w:rPr>
          <w:rStyle w:val="libFootnoteAlaemChar"/>
          <w:rtl/>
        </w:rPr>
        <w:t xml:space="preserve">عليه‌السلام </w:t>
      </w:r>
      <w:r w:rsidR="008A74EB" w:rsidRPr="00C9040A">
        <w:rPr>
          <w:rtl/>
        </w:rPr>
        <w:t xml:space="preserve">، إلى قوله : « وخاف عقابه » مع اختلاف يسير ، وفي كلّها : « إنّما شيعة جعفر </w:t>
      </w:r>
      <w:r w:rsidR="00117575" w:rsidRPr="00117575">
        <w:rPr>
          <w:rStyle w:val="libFootnoteAlaemChar"/>
          <w:rtl/>
        </w:rPr>
        <w:t>عليه‌السلام</w:t>
      </w:r>
      <w:r w:rsidR="008A74EB" w:rsidRPr="00C9040A">
        <w:rPr>
          <w:rtl/>
        </w:rPr>
        <w:t xml:space="preserve"> »</w:t>
      </w:r>
      <w:r w:rsidR="008A74EB">
        <w:rPr>
          <w:rtl/>
        </w:rPr>
        <w:t>.</w:t>
      </w:r>
      <w:r w:rsidR="008A74EB" w:rsidRPr="00C9040A">
        <w:rPr>
          <w:rtl/>
        </w:rPr>
        <w:t xml:space="preserve"> وفي </w:t>
      </w:r>
      <w:r w:rsidR="008A74EB" w:rsidRPr="00993B55">
        <w:rPr>
          <w:rStyle w:val="libFootnoteBoldChar"/>
          <w:rtl/>
        </w:rPr>
        <w:t>الكافي</w:t>
      </w:r>
      <w:r w:rsidR="008A74EB" w:rsidRPr="00C9040A">
        <w:rPr>
          <w:rtl/>
        </w:rPr>
        <w:t xml:space="preserve"> ، كتاب الإيمان والكفر ، باب الورع ، ذيل ح 1633 ، بسند آخر ، وفيه : « إنّما أصحابي من اشتدّ ورعه ، وعمل لخالقه ، ورجا ثوا به ، فهؤلاء أصحابي » </w:t>
      </w:r>
      <w:r w:rsidR="00656572">
        <w:rPr>
          <w:rFonts w:hint="cs"/>
          <w:rtl/>
        </w:rPr>
        <w:t>.</w:t>
      </w:r>
      <w:r w:rsidR="008A74EB" w:rsidRPr="00993B55">
        <w:rPr>
          <w:rStyle w:val="libFootnoteBoldChar"/>
          <w:rtl/>
        </w:rPr>
        <w:t>الوافي</w:t>
      </w:r>
      <w:r w:rsidR="008A74EB" w:rsidRPr="00C9040A">
        <w:rPr>
          <w:rtl/>
        </w:rPr>
        <w:t xml:space="preserve"> ، ج 4 ، ص 170 ، ح 1776 ؛ </w:t>
      </w:r>
      <w:r w:rsidR="008A74EB" w:rsidRPr="00993B55">
        <w:rPr>
          <w:rStyle w:val="libFootnoteBoldChar"/>
          <w:rtl/>
        </w:rPr>
        <w:t>الوسائل</w:t>
      </w:r>
      <w:r w:rsidR="008A74EB" w:rsidRPr="00C9040A">
        <w:rPr>
          <w:rtl/>
        </w:rPr>
        <w:t xml:space="preserve"> ، ج 1 ، ص 86 ، ح 204 ؛ </w:t>
      </w:r>
      <w:r w:rsidR="008A74EB" w:rsidRPr="00993B55">
        <w:rPr>
          <w:rStyle w:val="libFootnoteBoldChar"/>
          <w:rtl/>
        </w:rPr>
        <w:t>البحار</w:t>
      </w:r>
      <w:r w:rsidR="008A74EB" w:rsidRPr="00C9040A">
        <w:rPr>
          <w:rtl/>
        </w:rPr>
        <w:t xml:space="preserve"> ، ج 68 ، ص 187 ، ح 42.</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BB634E">
        <w:rPr>
          <w:rtl/>
        </w:rPr>
        <w:t>2289</w:t>
      </w:r>
      <w:r w:rsidRPr="00261CB0">
        <w:rPr>
          <w:rStyle w:val="libBold2Char"/>
          <w:rtl/>
        </w:rPr>
        <w:t xml:space="preserve"> / 10.</w:t>
      </w:r>
      <w:r w:rsidRPr="00C9040A">
        <w:rPr>
          <w:rtl/>
          <w:lang w:bidi="fa-IR"/>
        </w:rPr>
        <w:t xml:space="preserve"> عِدَّةٌ مِنْ أَصْحَابِنَا ، عَنْ سَهْلِ بْنِ زِيَادٍ ، عَنِ ابْنِ مَحْبُوبٍ ، عَنْ عَلِيِّ بْنِ رِئَابٍ ، عَنِ ابْنِ أَبِي يَعْفُورٍ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إِنَّ شِيعَةَ عَلِيٍّ </w:t>
      </w:r>
      <w:r w:rsidRPr="0003660B">
        <w:rPr>
          <w:rStyle w:val="libAlaemChar"/>
          <w:rtl/>
        </w:rPr>
        <w:t>عليه‌السلام</w:t>
      </w:r>
      <w:r w:rsidRPr="00C9040A">
        <w:rPr>
          <w:rtl/>
          <w:lang w:bidi="fa-IR"/>
        </w:rPr>
        <w:t xml:space="preserve"> كَانُوا خُمْصَ</w:t>
      </w:r>
      <w:r>
        <w:rPr>
          <w:rFonts w:hint="cs"/>
          <w:rtl/>
          <w:lang w:bidi="fa-IR"/>
        </w:rPr>
        <w:t xml:space="preserve"> </w:t>
      </w:r>
      <w:r w:rsidR="006C577F" w:rsidRPr="006C577F">
        <w:rPr>
          <w:rStyle w:val="libFootnotenumChar"/>
          <w:rtl/>
        </w:rPr>
        <w:t>(1)</w:t>
      </w:r>
      <w:r w:rsidRPr="00C9040A">
        <w:rPr>
          <w:rtl/>
          <w:lang w:bidi="fa-IR"/>
        </w:rPr>
        <w:t xml:space="preserve"> الْبُطُونِ ، ذُبُلَ الشِّفَاهِ </w:t>
      </w:r>
      <w:r w:rsidR="006C577F" w:rsidRPr="006C577F">
        <w:rPr>
          <w:rStyle w:val="libFootnotenumChar"/>
          <w:rtl/>
        </w:rPr>
        <w:t>(2)</w:t>
      </w:r>
      <w:r w:rsidRPr="00C9040A">
        <w:rPr>
          <w:rtl/>
          <w:lang w:bidi="fa-IR"/>
        </w:rPr>
        <w:t xml:space="preserve">، أَهْلَ </w:t>
      </w:r>
      <w:r w:rsidR="006C577F" w:rsidRPr="006C577F">
        <w:rPr>
          <w:rStyle w:val="libFootnotenumChar"/>
          <w:rtl/>
        </w:rPr>
        <w:t>(3)</w:t>
      </w:r>
      <w:r w:rsidRPr="00C9040A">
        <w:rPr>
          <w:rtl/>
          <w:lang w:bidi="fa-IR"/>
        </w:rPr>
        <w:t xml:space="preserve"> رَأْفَةٍ وَعِلْمٍ وَحِلْمٍ ، يُعْرَفُونَ </w:t>
      </w:r>
      <w:r w:rsidR="006C577F" w:rsidRPr="006C577F">
        <w:rPr>
          <w:rStyle w:val="libFootnotenumChar"/>
          <w:rtl/>
        </w:rPr>
        <w:t>(4)</w:t>
      </w:r>
      <w:r w:rsidRPr="00C9040A">
        <w:rPr>
          <w:rtl/>
          <w:lang w:bidi="fa-IR"/>
        </w:rPr>
        <w:t xml:space="preserve"> بِالرَّهْبَانِيَّةِ </w:t>
      </w:r>
      <w:r w:rsidR="006C577F" w:rsidRPr="006C577F">
        <w:rPr>
          <w:rStyle w:val="libFootnotenumChar"/>
          <w:rtl/>
        </w:rPr>
        <w:t>(5)</w:t>
      </w:r>
      <w:r w:rsidRPr="00C9040A">
        <w:rPr>
          <w:rtl/>
          <w:lang w:bidi="fa-IR"/>
        </w:rPr>
        <w:t xml:space="preserve"> ، فَأَعِينُوا عَلى مَا أَنْتُمْ عَلَيْهِ بِالْوَرَعِ وَالِاجْتِهَادِ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Normal"/>
        <w:rPr>
          <w:rtl/>
          <w:lang w:bidi="fa-IR"/>
        </w:rPr>
      </w:pPr>
      <w:r w:rsidRPr="00BB634E">
        <w:rPr>
          <w:rtl/>
        </w:rPr>
        <w:t>2290</w:t>
      </w:r>
      <w:r w:rsidRPr="00261CB0">
        <w:rPr>
          <w:rStyle w:val="libBold2Char"/>
          <w:rtl/>
        </w:rPr>
        <w:t xml:space="preserve"> / 11.</w:t>
      </w:r>
      <w:r w:rsidRPr="00C9040A">
        <w:rPr>
          <w:rtl/>
          <w:lang w:bidi="fa-IR"/>
        </w:rPr>
        <w:t xml:space="preserve"> عَلِيُّ بْنُ إِبْرَاهِيمَ ، عَنْ مُحَمَّدِ بْنِ عِيسى ، عَنْ يُونُسَ ، عَنْ صَفْوَانَ الْجَمَّالِ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إِنَّمَا الْمُؤْمِنُ الَّذِي </w:t>
      </w:r>
      <w:r w:rsidR="006C577F" w:rsidRPr="006C577F">
        <w:rPr>
          <w:rStyle w:val="libFootnotenumChar"/>
          <w:rtl/>
        </w:rPr>
        <w:t>(7)</w:t>
      </w:r>
      <w:r w:rsidRPr="00C9040A">
        <w:rPr>
          <w:rtl/>
          <w:lang w:bidi="fa-IR"/>
        </w:rPr>
        <w:t xml:space="preserve"> إِذَا غَضِبَ ، لَمْ يُخْرِجْهُ غَضَبُهُ مِنْ </w:t>
      </w:r>
      <w:r w:rsidR="006C577F" w:rsidRPr="006C577F">
        <w:rPr>
          <w:rStyle w:val="libFootnotenumChar"/>
          <w:rtl/>
        </w:rPr>
        <w:t>(8)</w:t>
      </w:r>
      <w:r w:rsidRPr="00C9040A">
        <w:rPr>
          <w:rtl/>
          <w:lang w:bidi="fa-IR"/>
        </w:rPr>
        <w:t xml:space="preserve"> حَقٍّ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قرأ المازندراني : خَمْص مصدراً أو خَمِص وصفاً ، وكذا في ذبل ، ثمّ قال : « وهما هنا إمّا مصدران والحمل‌للمبالغة ، أو صفتان والإفراد لإسنادهما إلى الظاهر ، وأمّا قراءة خُمُص بضمّتين جمع خميص ، كرغف جمع رغيف ، وقراءة ذُبَّل بالضمّ وفتح الباء المشدّدة جمع ذابل كطُلَّبَ جمع طالب فبعيدة »</w:t>
      </w:r>
      <w:r w:rsidR="008A74EB">
        <w:rPr>
          <w:rtl/>
        </w:rPr>
        <w:t>.</w:t>
      </w:r>
      <w:r w:rsidR="008A74EB" w:rsidRPr="00C9040A">
        <w:rPr>
          <w:rtl/>
        </w:rPr>
        <w:t xml:space="preserve"> وأمّا المجلسي ، فإنّه قال : « والخمص</w:t>
      </w:r>
      <w:r w:rsidR="008A74EB">
        <w:rPr>
          <w:rtl/>
        </w:rPr>
        <w:t xml:space="preserve"> </w:t>
      </w:r>
      <w:r w:rsidR="0084262C">
        <w:rPr>
          <w:rtl/>
        </w:rPr>
        <w:t>-</w:t>
      </w:r>
      <w:r w:rsidR="008A74EB">
        <w:rPr>
          <w:rtl/>
        </w:rPr>
        <w:t xml:space="preserve"> </w:t>
      </w:r>
      <w:r w:rsidR="008A74EB" w:rsidRPr="00C9040A">
        <w:rPr>
          <w:rtl/>
        </w:rPr>
        <w:t>بالضمّ</w:t>
      </w:r>
      <w:r w:rsidR="008A74EB">
        <w:rPr>
          <w:rtl/>
        </w:rPr>
        <w:t xml:space="preserve"> </w:t>
      </w:r>
      <w:r w:rsidR="0084262C">
        <w:rPr>
          <w:rtl/>
        </w:rPr>
        <w:t>-</w:t>
      </w:r>
      <w:r w:rsidR="008A74EB">
        <w:rPr>
          <w:rtl/>
        </w:rPr>
        <w:t xml:space="preserve"> </w:t>
      </w:r>
      <w:r w:rsidR="008A74EB" w:rsidRPr="00C9040A">
        <w:rPr>
          <w:rtl/>
        </w:rPr>
        <w:t>: أخمص ، أو بالفتح : مصدر ، والحمل للمبالغة. وربّما يقرأ خُمُصاً بضمّتين جمع خميص كرغف ورغيف. والذبل قد يقرأ بالفتح مصدراً ، والحمل كما مرّ ، أو بالضمّ أو بضمّتين أو كركّع والجميع جمع ذابل »</w:t>
      </w:r>
      <w:r w:rsidR="008A74EB">
        <w:rPr>
          <w:rtl/>
        </w:rPr>
        <w:t>.</w:t>
      </w:r>
      <w:r w:rsidR="008A74EB" w:rsidRPr="00C9040A">
        <w:rPr>
          <w:rtl/>
        </w:rPr>
        <w:t xml:space="preserve"> راجع : </w:t>
      </w:r>
      <w:r w:rsidR="008A74EB" w:rsidRPr="00993B55">
        <w:rPr>
          <w:rStyle w:val="libFootnoteBoldChar"/>
          <w:rtl/>
        </w:rPr>
        <w:t>شرح المازندراني</w:t>
      </w:r>
      <w:r w:rsidR="008A74EB" w:rsidRPr="00C9040A">
        <w:rPr>
          <w:rtl/>
        </w:rPr>
        <w:t xml:space="preserve"> ، ج 9 ، ص 151</w:t>
      </w:r>
      <w:r w:rsidR="008A74EB">
        <w:rPr>
          <w:rtl/>
        </w:rPr>
        <w:t xml:space="preserve"> </w:t>
      </w:r>
      <w:r w:rsidR="0084262C">
        <w:rPr>
          <w:rtl/>
        </w:rPr>
        <w:t>-</w:t>
      </w:r>
      <w:r w:rsidR="008A74EB">
        <w:rPr>
          <w:rtl/>
        </w:rPr>
        <w:t xml:space="preserve"> </w:t>
      </w:r>
      <w:r w:rsidR="008A74EB" w:rsidRPr="00C9040A">
        <w:rPr>
          <w:rtl/>
        </w:rPr>
        <w:t xml:space="preserve">152 ؛ </w:t>
      </w:r>
      <w:r w:rsidR="008A74EB" w:rsidRPr="00993B55">
        <w:rPr>
          <w:rStyle w:val="libFootnoteBoldChar"/>
          <w:rtl/>
        </w:rPr>
        <w:t>مرآة العقول</w:t>
      </w:r>
      <w:r w:rsidR="008A74EB" w:rsidRPr="00C9040A">
        <w:rPr>
          <w:rtl/>
        </w:rPr>
        <w:t xml:space="preserve"> ، ج 9 ، ص 240.</w:t>
      </w:r>
    </w:p>
    <w:p w:rsidR="008A74EB" w:rsidRPr="00C9040A" w:rsidRDefault="008A74EB" w:rsidP="00656572">
      <w:pPr>
        <w:pStyle w:val="libFootnote0"/>
        <w:rPr>
          <w:rtl/>
          <w:lang w:bidi="fa-IR"/>
        </w:rPr>
      </w:pPr>
      <w:r w:rsidRPr="00656572">
        <w:rPr>
          <w:rtl/>
        </w:rPr>
        <w:t>ورجل خُمصان وخميص الحشا ، أي</w:t>
      </w:r>
      <w:r w:rsidR="00656572">
        <w:rPr>
          <w:rFonts w:hint="cs"/>
          <w:rtl/>
        </w:rPr>
        <w:t xml:space="preserve"> </w:t>
      </w:r>
      <w:r w:rsidRPr="00656572">
        <w:rPr>
          <w:rtl/>
        </w:rPr>
        <w:t>‌ضامر البطن. والجمع : خِماص. وامرأة خميصة وخمصانة. وفلان خميص البطن من أموال الناس ، أي‌</w:t>
      </w:r>
      <w:r w:rsidR="00656572">
        <w:rPr>
          <w:rFonts w:hint="cs"/>
          <w:rtl/>
        </w:rPr>
        <w:t xml:space="preserve"> </w:t>
      </w:r>
      <w:r w:rsidRPr="00656572">
        <w:rPr>
          <w:rtl/>
        </w:rPr>
        <w:t xml:space="preserve">عفيف عنها ، وهم خُماص البطون. </w:t>
      </w:r>
      <w:r w:rsidRPr="00993B55">
        <w:rPr>
          <w:rStyle w:val="libFootnoteBoldChar"/>
          <w:rtl/>
        </w:rPr>
        <w:t>الصحاح</w:t>
      </w:r>
      <w:r w:rsidRPr="00656572">
        <w:rPr>
          <w:rtl/>
        </w:rPr>
        <w:t xml:space="preserve"> ، ج 3 ، ص 38 ؛ </w:t>
      </w:r>
      <w:r w:rsidRPr="00993B55">
        <w:rPr>
          <w:rStyle w:val="libFootnoteBoldChar"/>
          <w:rtl/>
        </w:rPr>
        <w:t>ترتيب كتاب العين</w:t>
      </w:r>
      <w:r w:rsidRPr="00656572">
        <w:rPr>
          <w:rtl/>
        </w:rPr>
        <w:t xml:space="preserve"> ، ج 1 ، ص 528 ( خمص ).</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الذُبُل : جمع ذابِل ، وذابل الشفه : يابسها ، يقال : ذبل فوه يذبُل ، أي جفّ وذهب ريقه ، وذبل النبات ، إذا ذوي ، أي يبس من الحرّ. راجع : </w:t>
      </w:r>
      <w:r w:rsidR="008A74EB" w:rsidRPr="00993B55">
        <w:rPr>
          <w:rStyle w:val="libFootnoteBoldChar"/>
          <w:rtl/>
        </w:rPr>
        <w:t>النهاية</w:t>
      </w:r>
      <w:r w:rsidR="008A74EB" w:rsidRPr="00C9040A">
        <w:rPr>
          <w:rtl/>
        </w:rPr>
        <w:t xml:space="preserve"> ، ج 2 ، ص 155 ؛ </w:t>
      </w:r>
      <w:r w:rsidR="008A74EB" w:rsidRPr="00993B55">
        <w:rPr>
          <w:rStyle w:val="libFootnoteBoldChar"/>
          <w:rtl/>
        </w:rPr>
        <w:t>لسان العرب</w:t>
      </w:r>
      <w:r w:rsidR="008A74EB" w:rsidRPr="00C9040A">
        <w:rPr>
          <w:rtl/>
        </w:rPr>
        <w:t xml:space="preserve"> ، ج 11 ، ص 255 ( ذبل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ض » وصفات الشيعة : « وأهل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ز » : « تعرفون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هي من رَهْبَنة النصارى. وأصلها من الرَّهبة : الخوف. كانوا يترهّبون بالتخلّي من أشغال الدنيا ، وترك ملاذّها ، والزهد فيها. </w:t>
      </w:r>
      <w:r w:rsidR="008A74EB" w:rsidRPr="00993B55">
        <w:rPr>
          <w:rStyle w:val="libFootnoteBoldChar"/>
          <w:rtl/>
        </w:rPr>
        <w:t>النهاية</w:t>
      </w:r>
      <w:r w:rsidR="008A74EB" w:rsidRPr="00C9040A">
        <w:rPr>
          <w:rtl/>
        </w:rPr>
        <w:t xml:space="preserve"> ، ج 2 ، ص 280 ( رهب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صفات الشيعة</w:t>
      </w:r>
      <w:r w:rsidR="008A74EB" w:rsidRPr="00C9040A">
        <w:rPr>
          <w:rtl/>
        </w:rPr>
        <w:t xml:space="preserve"> ، ص 9 ، ح 18 ، بسند آخر </w:t>
      </w:r>
      <w:r w:rsidR="00656572">
        <w:rPr>
          <w:rFonts w:hint="cs"/>
          <w:rtl/>
        </w:rPr>
        <w:t>.</w:t>
      </w:r>
      <w:r w:rsidR="008A74EB" w:rsidRPr="00993B55">
        <w:rPr>
          <w:rStyle w:val="libFootnoteBoldChar"/>
          <w:rtl/>
        </w:rPr>
        <w:t>الوافي</w:t>
      </w:r>
      <w:r w:rsidR="008A74EB" w:rsidRPr="00C9040A">
        <w:rPr>
          <w:rtl/>
        </w:rPr>
        <w:t xml:space="preserve"> ، ج 4 ، ص 170 ، ح 1777 ؛ </w:t>
      </w:r>
      <w:r w:rsidR="008A74EB" w:rsidRPr="00993B55">
        <w:rPr>
          <w:rStyle w:val="libFootnoteBoldChar"/>
          <w:rtl/>
        </w:rPr>
        <w:t>الوسائل</w:t>
      </w:r>
      <w:r w:rsidR="008A74EB" w:rsidRPr="00C9040A">
        <w:rPr>
          <w:rtl/>
        </w:rPr>
        <w:t xml:space="preserve"> ، ج 1 ، ص 87 ، ح 205 ؛ وج 15 ، ص 189 ، ح 20242 ؛ </w:t>
      </w:r>
      <w:r w:rsidR="008A74EB" w:rsidRPr="00993B55">
        <w:rPr>
          <w:rStyle w:val="libFootnoteBoldChar"/>
          <w:rtl/>
        </w:rPr>
        <w:t>البحار</w:t>
      </w:r>
      <w:r w:rsidR="008A74EB" w:rsidRPr="00C9040A">
        <w:rPr>
          <w:rtl/>
        </w:rPr>
        <w:t xml:space="preserve"> ، ج 68 ، ص 188 ، ح 43.</w:t>
      </w:r>
    </w:p>
    <w:tbl>
      <w:tblPr>
        <w:tblStyle w:val="TableGrid"/>
        <w:bidiVisual/>
        <w:tblW w:w="0" w:type="auto"/>
        <w:tblLook w:val="04A0" w:firstRow="1" w:lastRow="0" w:firstColumn="1" w:lastColumn="0" w:noHBand="0" w:noVBand="1"/>
      </w:tblPr>
      <w:tblGrid>
        <w:gridCol w:w="4006"/>
        <w:gridCol w:w="4006"/>
      </w:tblGrid>
      <w:tr w:rsidR="00656572" w:rsidTr="00656572">
        <w:tc>
          <w:tcPr>
            <w:tcW w:w="4006" w:type="dxa"/>
          </w:tcPr>
          <w:p w:rsidR="00656572" w:rsidRDefault="00656572" w:rsidP="004A4E41">
            <w:pPr>
              <w:pStyle w:val="libFootnote0"/>
              <w:rPr>
                <w:rtl/>
                <w:lang w:bidi="fa-IR"/>
              </w:rPr>
            </w:pPr>
            <w:r>
              <w:rPr>
                <w:rtl/>
              </w:rPr>
              <w:t>(7).</w:t>
            </w:r>
            <w:r w:rsidRPr="00C9040A">
              <w:rPr>
                <w:rtl/>
              </w:rPr>
              <w:t xml:space="preserve"> في « ز » </w:t>
            </w:r>
            <w:r>
              <w:rPr>
                <w:rtl/>
              </w:rPr>
              <w:t>: -</w:t>
            </w:r>
            <w:r w:rsidRPr="00C9040A">
              <w:rPr>
                <w:rtl/>
              </w:rPr>
              <w:t xml:space="preserve"> « الذي »</w:t>
            </w:r>
            <w:r>
              <w:rPr>
                <w:rtl/>
              </w:rPr>
              <w:t>.</w:t>
            </w:r>
          </w:p>
        </w:tc>
        <w:tc>
          <w:tcPr>
            <w:tcW w:w="4006" w:type="dxa"/>
          </w:tcPr>
          <w:p w:rsidR="00656572" w:rsidRDefault="00656572" w:rsidP="004A4E41">
            <w:pPr>
              <w:pStyle w:val="libFootnote0"/>
              <w:rPr>
                <w:rtl/>
                <w:lang w:bidi="fa-IR"/>
              </w:rPr>
            </w:pPr>
            <w:r>
              <w:rPr>
                <w:rtl/>
              </w:rPr>
              <w:t>(8).</w:t>
            </w:r>
            <w:r w:rsidRPr="00C9040A">
              <w:rPr>
                <w:rtl/>
              </w:rPr>
              <w:t xml:space="preserve"> في « ف » : « عن »</w:t>
            </w:r>
            <w:r>
              <w:rPr>
                <w:rtl/>
              </w:rPr>
              <w:t>.</w:t>
            </w:r>
          </w:p>
        </w:tc>
      </w:tr>
    </w:tbl>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وَإِذَا رَضِيَ ، لَمْ يُدْخِلْهُ رِضَاهُ فِي بَاطِلٍ ؛ وَإِذَا قَدَرَ ، لَمْ يَأْخُذْ أَكْثَرَ مِمَّا لَهُ </w:t>
      </w:r>
      <w:r w:rsidR="006C577F" w:rsidRPr="006C577F">
        <w:rPr>
          <w:rStyle w:val="libFootnotenumChar"/>
          <w:rtl/>
        </w:rPr>
        <w:t>(1)</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6F4BA9">
        <w:rPr>
          <w:rtl/>
        </w:rPr>
        <w:t>2291</w:t>
      </w:r>
      <w:r w:rsidRPr="00261CB0">
        <w:rPr>
          <w:rStyle w:val="libBold2Char"/>
          <w:rtl/>
        </w:rPr>
        <w:t xml:space="preserve"> / 12.</w:t>
      </w:r>
      <w:r w:rsidRPr="00C9040A">
        <w:rPr>
          <w:rtl/>
          <w:lang w:bidi="fa-IR"/>
        </w:rPr>
        <w:t xml:space="preserve"> مُحَمَّدُ بْنُ يَحْيى ، عَنْ أَحْمَدَ بْنِ مُحَمَّدِ بْنِ عِيسى ، عَنْ عَلِيِّ بْنِ النُّعْمَانِ ، عَنِ ابْنِ مُسْكَانَ ، عَنْ سُلَيْمَانَ بْنِ خَالِدٍ ، عَنْ أَبِي جَعْفَرٍ </w:t>
      </w:r>
      <w:r w:rsidRPr="0003660B">
        <w:rPr>
          <w:rStyle w:val="libAlaemChar"/>
          <w:rtl/>
        </w:rPr>
        <w:t>عليه‌السلام</w:t>
      </w:r>
      <w:r w:rsidRPr="00C9040A">
        <w:rPr>
          <w:rtl/>
          <w:lang w:bidi="fa-IR"/>
        </w:rPr>
        <w:t xml:space="preserve"> ، قَالَ :</w:t>
      </w:r>
    </w:p>
    <w:p w:rsidR="008A74EB" w:rsidRPr="00C9040A" w:rsidRDefault="008A74EB" w:rsidP="008A74EB">
      <w:pPr>
        <w:pStyle w:val="libNormal"/>
        <w:rPr>
          <w:rtl/>
          <w:lang w:bidi="fa-IR"/>
        </w:rPr>
      </w:pPr>
      <w:r w:rsidRPr="00C9040A">
        <w:rPr>
          <w:rtl/>
          <w:lang w:bidi="fa-IR"/>
        </w:rPr>
        <w:t xml:space="preserve">قَالَ أَبُو جَعْفَرٍ </w:t>
      </w:r>
      <w:r w:rsidRPr="0003660B">
        <w:rPr>
          <w:rStyle w:val="libAlaemChar"/>
          <w:rtl/>
        </w:rPr>
        <w:t>عليه‌السلام</w:t>
      </w:r>
      <w:r w:rsidRPr="00C9040A">
        <w:rPr>
          <w:rtl/>
          <w:lang w:bidi="fa-IR"/>
        </w:rPr>
        <w:t xml:space="preserve"> </w:t>
      </w:r>
      <w:r w:rsidR="006C577F" w:rsidRPr="006C577F">
        <w:rPr>
          <w:rStyle w:val="libFootnotenumChar"/>
          <w:rtl/>
        </w:rPr>
        <w:t>(3)</w:t>
      </w:r>
      <w:r>
        <w:rPr>
          <w:rtl/>
          <w:lang w:bidi="fa-IR"/>
        </w:rPr>
        <w:t xml:space="preserve"> : « يَا سُلَيْمَانُ ، أَ</w:t>
      </w:r>
      <w:r w:rsidRPr="00C9040A">
        <w:rPr>
          <w:rtl/>
          <w:lang w:bidi="fa-IR"/>
        </w:rPr>
        <w:t xml:space="preserve">تَدْرِي </w:t>
      </w:r>
      <w:r w:rsidR="006C577F" w:rsidRPr="006C577F">
        <w:rPr>
          <w:rStyle w:val="libFootnotenumChar"/>
          <w:rtl/>
        </w:rPr>
        <w:t>(4)</w:t>
      </w:r>
      <w:r w:rsidRPr="00C9040A">
        <w:rPr>
          <w:rtl/>
          <w:lang w:bidi="fa-IR"/>
        </w:rPr>
        <w:t xml:space="preserve"> مَنِ الْمُسْلِمُ</w:t>
      </w:r>
      <w:r>
        <w:rPr>
          <w:rtl/>
          <w:lang w:bidi="fa-IR"/>
        </w:rPr>
        <w:t>؟</w:t>
      </w:r>
      <w:r w:rsidRPr="00C9040A">
        <w:rPr>
          <w:rtl/>
          <w:lang w:bidi="fa-IR"/>
        </w:rPr>
        <w:t xml:space="preserve"> » قُلْتُ : جُعِلْتُ فِدَاكَ ، أَنْتَ أَعْلَمُ ، قَالَ : « الْمُسْلِمُ مَنْ سَلِمَ الْمُسْلِمُونَ مِنْ لِسَانِهِ وَيَدِهِ </w:t>
      </w:r>
      <w:r w:rsidR="006C577F" w:rsidRPr="006C577F">
        <w:rPr>
          <w:rStyle w:val="libFootnotenumChar"/>
          <w:rtl/>
        </w:rPr>
        <w:t>(5)</w:t>
      </w:r>
      <w:r w:rsidRPr="00C9040A">
        <w:rPr>
          <w:rtl/>
          <w:lang w:bidi="fa-IR"/>
        </w:rPr>
        <w:t xml:space="preserve"> »</w:t>
      </w:r>
      <w:r>
        <w:rPr>
          <w:rtl/>
          <w:lang w:bidi="fa-IR"/>
        </w:rPr>
        <w:t>.</w:t>
      </w:r>
    </w:p>
    <w:p w:rsidR="008A74EB" w:rsidRPr="00C9040A" w:rsidRDefault="008A74EB" w:rsidP="008A74EB">
      <w:pPr>
        <w:pStyle w:val="libNormal"/>
        <w:rPr>
          <w:rtl/>
          <w:lang w:bidi="fa-IR"/>
        </w:rPr>
      </w:pPr>
      <w:r w:rsidRPr="00C9040A">
        <w:rPr>
          <w:rtl/>
          <w:lang w:bidi="fa-IR"/>
        </w:rPr>
        <w:t xml:space="preserve">ثُمَّ قَالَ : « وَتَدْرِي </w:t>
      </w:r>
      <w:r w:rsidR="006C577F" w:rsidRPr="006C577F">
        <w:rPr>
          <w:rStyle w:val="libFootnotenumChar"/>
          <w:rtl/>
        </w:rPr>
        <w:t>(6)</w:t>
      </w:r>
      <w:r w:rsidRPr="005B567D">
        <w:rPr>
          <w:rStyle w:val="libFootnotenumChar"/>
          <w:rtl/>
        </w:rPr>
        <w:t xml:space="preserve"> </w:t>
      </w:r>
      <w:r w:rsidRPr="00C9040A">
        <w:rPr>
          <w:rtl/>
          <w:lang w:bidi="fa-IR"/>
        </w:rPr>
        <w:t>مَنِ الْمُؤْمِنُ</w:t>
      </w:r>
      <w:r>
        <w:rPr>
          <w:rtl/>
          <w:lang w:bidi="fa-IR"/>
        </w:rPr>
        <w:t>؟</w:t>
      </w:r>
      <w:r w:rsidRPr="00C9040A">
        <w:rPr>
          <w:rtl/>
          <w:lang w:bidi="fa-IR"/>
        </w:rPr>
        <w:t xml:space="preserve"> » قَالَ </w:t>
      </w:r>
      <w:r w:rsidR="006C577F" w:rsidRPr="006C577F">
        <w:rPr>
          <w:rStyle w:val="libFootnotenumChar"/>
          <w:rtl/>
        </w:rPr>
        <w:t>(7)</w:t>
      </w:r>
      <w:r w:rsidRPr="00C9040A">
        <w:rPr>
          <w:rtl/>
          <w:lang w:bidi="fa-IR"/>
        </w:rPr>
        <w:t xml:space="preserve"> : قُلْتُ : أَنْتَ أَعْلَمُ ، قَالَ </w:t>
      </w:r>
      <w:r w:rsidR="006C577F" w:rsidRPr="006C577F">
        <w:rPr>
          <w:rStyle w:val="libFootnotenumChar"/>
          <w:rtl/>
        </w:rPr>
        <w:t>(8)</w:t>
      </w:r>
      <w:r w:rsidRPr="00C9040A">
        <w:rPr>
          <w:rtl/>
          <w:lang w:bidi="fa-IR"/>
        </w:rPr>
        <w:t xml:space="preserve"> : « الْمُؤْمِنُ مَنِ ائْتَمَنَهُ الْمُسْلِمُونَ </w:t>
      </w:r>
      <w:r w:rsidR="006C577F" w:rsidRPr="006C577F">
        <w:rPr>
          <w:rStyle w:val="libFootnotenumChar"/>
          <w:rtl/>
        </w:rPr>
        <w:t>(9)</w:t>
      </w:r>
      <w:r w:rsidRPr="00C9040A">
        <w:rPr>
          <w:rtl/>
          <w:lang w:bidi="fa-IR"/>
        </w:rPr>
        <w:t xml:space="preserve"> عَلى أَمْوَالِهِمْ وَأَنْفُسِهِمْ ، وَالْمُسْلِمُ حَرَامٌ عَلَى الْمُسْلِمِ أَنْ يَظْلِمَهُ ، أَوْ يَخْذُلَهُ </w:t>
      </w:r>
      <w:r w:rsidR="006C577F" w:rsidRPr="006C577F">
        <w:rPr>
          <w:rStyle w:val="libFootnotenumChar"/>
          <w:rtl/>
        </w:rPr>
        <w:t>(10)</w:t>
      </w:r>
      <w:r w:rsidRPr="00C9040A">
        <w:rPr>
          <w:rtl/>
          <w:lang w:bidi="fa-IR"/>
        </w:rPr>
        <w:t xml:space="preserve"> ، أَوْ يَدْفَعَهُ دَفْعَةً تُعَنِّتُهُ </w:t>
      </w:r>
      <w:r w:rsidR="006C577F" w:rsidRPr="006C577F">
        <w:rPr>
          <w:rStyle w:val="libFootnotenumChar"/>
          <w:rtl/>
        </w:rPr>
        <w:t>(11)</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(12)</w:t>
      </w:r>
      <w:r w:rsidRPr="00C9040A">
        <w:rPr>
          <w:rtl/>
          <w:lang w:bidi="fa-IR"/>
        </w:rPr>
        <w:t xml:space="preserve"> ‌</w:t>
      </w:r>
    </w:p>
    <w:p w:rsidR="008A74EB" w:rsidRPr="00C9040A" w:rsidRDefault="008A74EB" w:rsidP="008A74EB">
      <w:pPr>
        <w:pStyle w:val="libNormal"/>
        <w:rPr>
          <w:rtl/>
          <w:lang w:bidi="fa-IR"/>
        </w:rPr>
      </w:pPr>
      <w:r w:rsidRPr="006F4BA9">
        <w:rPr>
          <w:rtl/>
        </w:rPr>
        <w:t>2292</w:t>
      </w:r>
      <w:r w:rsidRPr="00261CB0">
        <w:rPr>
          <w:rStyle w:val="libBold2Char"/>
          <w:rtl/>
        </w:rPr>
        <w:t xml:space="preserve"> / 13.</w:t>
      </w:r>
      <w:r w:rsidRPr="00C9040A">
        <w:rPr>
          <w:rtl/>
          <w:lang w:bidi="fa-IR"/>
        </w:rPr>
        <w:t xml:space="preserve"> مُحَمَّدُ بْنُ يَحْيى ، عَنْ أَحْمَدَ بْنِ مُحَمَّدٍ ، عَنِ الْحَسَنِ بْنِ مَحْبُوبٍ ، عَنْ أَبِي أَيُّوبَ ، عَنْ أَبِي عُبَيْدَةَ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د ، ف ، </w:t>
      </w:r>
      <w:r w:rsidR="006D3162">
        <w:rPr>
          <w:rtl/>
        </w:rPr>
        <w:t xml:space="preserve">ه </w:t>
      </w:r>
      <w:r w:rsidR="008A74EB" w:rsidRPr="00C9040A">
        <w:rPr>
          <w:rtl/>
        </w:rPr>
        <w:t xml:space="preserve">» وصفات الشيعة : « من ماله » ، واختلاف النسخة يتوقّف على وصل « من » وفصله. راجع : </w:t>
      </w:r>
      <w:r w:rsidR="008A74EB" w:rsidRPr="00993B55">
        <w:rPr>
          <w:rStyle w:val="libFootnoteBoldChar"/>
          <w:rtl/>
        </w:rPr>
        <w:t>مرآة العقول</w:t>
      </w:r>
      <w:r w:rsidR="008A74EB" w:rsidRPr="00C9040A">
        <w:rPr>
          <w:rtl/>
        </w:rPr>
        <w:t xml:space="preserve"> ، ج 9 ، ص 241.</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صفات الشيعة</w:t>
      </w:r>
      <w:r w:rsidR="008A74EB" w:rsidRPr="00C9040A">
        <w:rPr>
          <w:rtl/>
        </w:rPr>
        <w:t xml:space="preserve"> ، ص 26 ، ح 36 ، عن أبيه ، عن سعد بن عبدالله ، عن صفوان بن مهران ، مع اختلاف يسير </w:t>
      </w:r>
      <w:r w:rsidR="001919B8">
        <w:rPr>
          <w:rFonts w:hint="cs"/>
          <w:rtl/>
        </w:rPr>
        <w:t>.</w:t>
      </w:r>
      <w:r w:rsidR="008A74EB" w:rsidRPr="00993B55">
        <w:rPr>
          <w:rStyle w:val="libFootnoteBoldChar"/>
          <w:rtl/>
        </w:rPr>
        <w:t>الوافي</w:t>
      </w:r>
      <w:r w:rsidR="008A74EB" w:rsidRPr="00C9040A">
        <w:rPr>
          <w:rtl/>
        </w:rPr>
        <w:t xml:space="preserve"> ، ج 4 ، ص 161 ، ح 1754 ؛ </w:t>
      </w:r>
      <w:r w:rsidR="008A74EB" w:rsidRPr="00993B55">
        <w:rPr>
          <w:rStyle w:val="libFootnoteBoldChar"/>
          <w:rtl/>
        </w:rPr>
        <w:t>الوسائل</w:t>
      </w:r>
      <w:r w:rsidR="008A74EB" w:rsidRPr="00C9040A">
        <w:rPr>
          <w:rtl/>
        </w:rPr>
        <w:t xml:space="preserve"> ، ج 15 ، ص 358 ، ح 20731 ؛ </w:t>
      </w:r>
      <w:r w:rsidR="008A74EB" w:rsidRPr="00993B55">
        <w:rPr>
          <w:rStyle w:val="libFootnoteBoldChar"/>
          <w:rtl/>
        </w:rPr>
        <w:t>البحار</w:t>
      </w:r>
      <w:r w:rsidR="008A74EB" w:rsidRPr="00C9040A">
        <w:rPr>
          <w:rtl/>
        </w:rPr>
        <w:t xml:space="preserve"> ، ج 67 ، ص 354 ، ح 55.</w:t>
      </w:r>
    </w:p>
    <w:tbl>
      <w:tblPr>
        <w:tblStyle w:val="TableGrid"/>
        <w:bidiVisual/>
        <w:tblW w:w="0" w:type="auto"/>
        <w:tblLook w:val="04A0" w:firstRow="1" w:lastRow="0" w:firstColumn="1" w:lastColumn="0" w:noHBand="0" w:noVBand="1"/>
      </w:tblPr>
      <w:tblGrid>
        <w:gridCol w:w="4006"/>
        <w:gridCol w:w="4006"/>
      </w:tblGrid>
      <w:tr w:rsidR="001919B8" w:rsidTr="001919B8">
        <w:tc>
          <w:tcPr>
            <w:tcW w:w="4006" w:type="dxa"/>
          </w:tcPr>
          <w:p w:rsidR="001919B8" w:rsidRDefault="001919B8" w:rsidP="004A4E41">
            <w:pPr>
              <w:pStyle w:val="libFootnote0"/>
              <w:rPr>
                <w:rtl/>
              </w:rPr>
            </w:pPr>
            <w:r>
              <w:rPr>
                <w:rtl/>
              </w:rPr>
              <w:t>(3).</w:t>
            </w:r>
            <w:r w:rsidRPr="00C9040A">
              <w:rPr>
                <w:rtl/>
              </w:rPr>
              <w:t xml:space="preserve"> في « </w:t>
            </w:r>
            <w:r>
              <w:rPr>
                <w:rtl/>
              </w:rPr>
              <w:t xml:space="preserve">ه </w:t>
            </w:r>
            <w:r w:rsidRPr="00C9040A">
              <w:rPr>
                <w:rtl/>
              </w:rPr>
              <w:t xml:space="preserve">» </w:t>
            </w:r>
            <w:r>
              <w:rPr>
                <w:rtl/>
              </w:rPr>
              <w:t>: -</w:t>
            </w:r>
            <w:r w:rsidRPr="00C9040A">
              <w:rPr>
                <w:rtl/>
              </w:rPr>
              <w:t xml:space="preserve"> « قال أبو جعفر </w:t>
            </w:r>
            <w:r w:rsidRPr="00117575">
              <w:rPr>
                <w:rStyle w:val="libFootnoteAlaemChar"/>
                <w:rtl/>
              </w:rPr>
              <w:t>عليه‌السلام</w:t>
            </w:r>
            <w:r w:rsidRPr="00C9040A">
              <w:rPr>
                <w:rtl/>
              </w:rPr>
              <w:t xml:space="preserve"> »</w:t>
            </w:r>
            <w:r>
              <w:rPr>
                <w:rtl/>
              </w:rPr>
              <w:t>.</w:t>
            </w:r>
          </w:p>
        </w:tc>
        <w:tc>
          <w:tcPr>
            <w:tcW w:w="4006" w:type="dxa"/>
          </w:tcPr>
          <w:p w:rsidR="001919B8" w:rsidRDefault="001919B8" w:rsidP="004A4E41">
            <w:pPr>
              <w:pStyle w:val="libFootnote0"/>
              <w:rPr>
                <w:rtl/>
              </w:rPr>
            </w:pPr>
            <w:r>
              <w:rPr>
                <w:rtl/>
              </w:rPr>
              <w:t>(4).</w:t>
            </w:r>
            <w:r w:rsidRPr="00C9040A">
              <w:rPr>
                <w:rtl/>
              </w:rPr>
              <w:t xml:space="preserve"> في « ف ، </w:t>
            </w:r>
            <w:r>
              <w:rPr>
                <w:rtl/>
              </w:rPr>
              <w:t xml:space="preserve">ه </w:t>
            </w:r>
            <w:r w:rsidRPr="00C9040A">
              <w:rPr>
                <w:rtl/>
              </w:rPr>
              <w:t>» : « تدري » بدون الهمزة.</w:t>
            </w:r>
          </w:p>
        </w:tc>
      </w:tr>
      <w:tr w:rsidR="001919B8" w:rsidTr="001919B8">
        <w:tc>
          <w:tcPr>
            <w:tcW w:w="4006" w:type="dxa"/>
          </w:tcPr>
          <w:p w:rsidR="001919B8" w:rsidRDefault="001919B8" w:rsidP="004A4E41">
            <w:pPr>
              <w:pStyle w:val="libFootnote0"/>
              <w:rPr>
                <w:rtl/>
              </w:rPr>
            </w:pPr>
            <w:r>
              <w:rPr>
                <w:rtl/>
              </w:rPr>
              <w:t>(5).</w:t>
            </w:r>
            <w:r w:rsidRPr="00C9040A">
              <w:rPr>
                <w:rtl/>
              </w:rPr>
              <w:t xml:space="preserve"> في « </w:t>
            </w:r>
            <w:r>
              <w:rPr>
                <w:rtl/>
              </w:rPr>
              <w:t xml:space="preserve">ه </w:t>
            </w:r>
            <w:r w:rsidRPr="00C9040A">
              <w:rPr>
                <w:rtl/>
              </w:rPr>
              <w:t>» : « يده ولسانه »</w:t>
            </w:r>
            <w:r>
              <w:rPr>
                <w:rtl/>
              </w:rPr>
              <w:t>.</w:t>
            </w:r>
          </w:p>
        </w:tc>
        <w:tc>
          <w:tcPr>
            <w:tcW w:w="4006" w:type="dxa"/>
          </w:tcPr>
          <w:p w:rsidR="001919B8" w:rsidRDefault="001919B8" w:rsidP="004A4E41">
            <w:pPr>
              <w:pStyle w:val="libFootnote0"/>
              <w:rPr>
                <w:rtl/>
              </w:rPr>
            </w:pPr>
            <w:r>
              <w:rPr>
                <w:rtl/>
              </w:rPr>
              <w:t xml:space="preserve">(6). </w:t>
            </w:r>
            <w:r w:rsidRPr="00C9040A">
              <w:rPr>
                <w:rtl/>
              </w:rPr>
              <w:t>في « ص » : « أوَتدري »</w:t>
            </w:r>
            <w:r>
              <w:rPr>
                <w:rtl/>
              </w:rPr>
              <w:t>.</w:t>
            </w:r>
          </w:p>
        </w:tc>
      </w:tr>
      <w:tr w:rsidR="001919B8" w:rsidTr="001919B8">
        <w:tc>
          <w:tcPr>
            <w:tcW w:w="4006" w:type="dxa"/>
          </w:tcPr>
          <w:p w:rsidR="001919B8" w:rsidRDefault="001919B8" w:rsidP="004A4E41">
            <w:pPr>
              <w:pStyle w:val="libFootnote0"/>
              <w:rPr>
                <w:rtl/>
              </w:rPr>
            </w:pPr>
            <w:r>
              <w:rPr>
                <w:rtl/>
              </w:rPr>
              <w:t>(7).</w:t>
            </w:r>
            <w:r w:rsidRPr="00C9040A">
              <w:rPr>
                <w:rtl/>
              </w:rPr>
              <w:t xml:space="preserve"> في « ص ، </w:t>
            </w:r>
            <w:r>
              <w:rPr>
                <w:rtl/>
              </w:rPr>
              <w:t xml:space="preserve">ه </w:t>
            </w:r>
            <w:r w:rsidRPr="00C9040A">
              <w:rPr>
                <w:rtl/>
              </w:rPr>
              <w:t xml:space="preserve">» </w:t>
            </w:r>
            <w:r>
              <w:rPr>
                <w:rtl/>
              </w:rPr>
              <w:t>: -</w:t>
            </w:r>
            <w:r w:rsidRPr="00C9040A">
              <w:rPr>
                <w:rtl/>
              </w:rPr>
              <w:t xml:space="preserve"> « قال »</w:t>
            </w:r>
            <w:r>
              <w:rPr>
                <w:rtl/>
              </w:rPr>
              <w:t>.</w:t>
            </w:r>
          </w:p>
        </w:tc>
        <w:tc>
          <w:tcPr>
            <w:tcW w:w="4006" w:type="dxa"/>
          </w:tcPr>
          <w:p w:rsidR="001919B8" w:rsidRDefault="001919B8" w:rsidP="004A4E41">
            <w:pPr>
              <w:pStyle w:val="libFootnote0"/>
              <w:rPr>
                <w:rtl/>
              </w:rPr>
            </w:pPr>
            <w:r>
              <w:rPr>
                <w:rtl/>
              </w:rPr>
              <w:t>(8).</w:t>
            </w:r>
            <w:r w:rsidRPr="00C9040A">
              <w:rPr>
                <w:rtl/>
              </w:rPr>
              <w:t xml:space="preserve"> هكذا في ا</w:t>
            </w:r>
            <w:r>
              <w:rPr>
                <w:rtl/>
              </w:rPr>
              <w:t>لنسخ والوافي. وفي المطبوع : + «[إنّ]</w:t>
            </w:r>
            <w:r w:rsidRPr="00C9040A">
              <w:rPr>
                <w:rtl/>
              </w:rPr>
              <w:t>»</w:t>
            </w:r>
            <w:r>
              <w:rPr>
                <w:rtl/>
              </w:rPr>
              <w:t>.</w:t>
            </w:r>
          </w:p>
        </w:tc>
      </w:tr>
    </w:tbl>
    <w:p w:rsidR="008A74EB" w:rsidRPr="00C9040A" w:rsidRDefault="006C577F" w:rsidP="004A4E41">
      <w:pPr>
        <w:pStyle w:val="libFootnote0"/>
        <w:rPr>
          <w:rtl/>
          <w:lang w:bidi="fa-IR"/>
        </w:rPr>
      </w:pPr>
      <w:r>
        <w:rPr>
          <w:rtl/>
        </w:rPr>
        <w:t>(9).</w:t>
      </w:r>
      <w:r w:rsidR="008A74EB" w:rsidRPr="00C9040A">
        <w:rPr>
          <w:rtl/>
        </w:rPr>
        <w:t xml:space="preserve"> في شرح المازندراني : « المؤمنون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 بس » : « أن يخذله أو يظلمه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 ولا يخذله ، أ</w:t>
      </w:r>
      <w:r w:rsidR="001919B8">
        <w:rPr>
          <w:rtl/>
        </w:rPr>
        <w:t>ي‌لا يترك نصرته مع القدرة عليها</w:t>
      </w:r>
      <w:r w:rsidR="008A74EB" w:rsidRPr="00C9040A">
        <w:rPr>
          <w:rtl/>
        </w:rPr>
        <w:t>»</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في </w:t>
      </w:r>
      <w:r w:rsidR="008A74EB" w:rsidRPr="00993B55">
        <w:rPr>
          <w:rStyle w:val="libFootnoteBoldChar"/>
          <w:rtl/>
        </w:rPr>
        <w:t>مرآة العقول</w:t>
      </w:r>
      <w:r w:rsidR="008A74EB" w:rsidRPr="00C9040A">
        <w:rPr>
          <w:rtl/>
        </w:rPr>
        <w:t xml:space="preserve"> : « أي إذا لم يقدر على نصرته يجب عليه أن يعتذر منه ، ويردّه بردّ جميل ، ولا يدفعه دفعة تلقيه تلك الدفعة في العنت والمشقّة »</w:t>
      </w:r>
      <w:r w:rsidR="008A74EB">
        <w:rPr>
          <w:rtl/>
        </w:rPr>
        <w:t>.</w:t>
      </w:r>
      <w:r w:rsidR="008A74EB" w:rsidRPr="00C9040A">
        <w:rPr>
          <w:rtl/>
        </w:rPr>
        <w:t xml:space="preserve"> </w:t>
      </w:r>
      <w:r w:rsidR="008A74EB">
        <w:rPr>
          <w:rtl/>
        </w:rPr>
        <w:t>و «</w:t>
      </w:r>
      <w:r w:rsidR="008A74EB" w:rsidRPr="00C9040A">
        <w:rPr>
          <w:rtl/>
        </w:rPr>
        <w:t xml:space="preserve"> العَنَت » : المشقّة. وتعنّته : أدخل عليه الأذى. </w:t>
      </w:r>
      <w:r w:rsidR="008A74EB" w:rsidRPr="00993B55">
        <w:rPr>
          <w:rStyle w:val="libFootnoteBoldChar"/>
          <w:rtl/>
        </w:rPr>
        <w:t>المصباح المنير</w:t>
      </w:r>
      <w:r w:rsidR="008A74EB" w:rsidRPr="00C9040A">
        <w:rPr>
          <w:rtl/>
        </w:rPr>
        <w:t xml:space="preserve"> ، ص 431 ( عنت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w:t>
      </w:r>
      <w:r w:rsidR="008A74EB" w:rsidRPr="00993B55">
        <w:rPr>
          <w:rStyle w:val="libFootnoteBoldChar"/>
          <w:rtl/>
        </w:rPr>
        <w:t>معاني الأخبار</w:t>
      </w:r>
      <w:r w:rsidR="008A74EB" w:rsidRPr="00C9040A">
        <w:rPr>
          <w:rtl/>
        </w:rPr>
        <w:t xml:space="preserve"> ، ص 239 ، ح 1 ، بسند آخر ، وتمام الرواية فيه : « المسلم من سلم الناس من يده ولسانه ، والمؤمن من ائتمنه الناس على أموالهم وأنفسهم » </w:t>
      </w:r>
      <w:r w:rsidR="001919B8">
        <w:rPr>
          <w:rFonts w:hint="cs"/>
          <w:rtl/>
        </w:rPr>
        <w:t>.</w:t>
      </w:r>
      <w:r w:rsidR="008A74EB" w:rsidRPr="00993B55">
        <w:rPr>
          <w:rStyle w:val="libFootnoteBoldChar"/>
          <w:rtl/>
        </w:rPr>
        <w:t>الوافي</w:t>
      </w:r>
      <w:r w:rsidR="008A74EB" w:rsidRPr="00C9040A">
        <w:rPr>
          <w:rtl/>
        </w:rPr>
        <w:t xml:space="preserve"> ، ج 4 ، ص 161 ، ح 1755 ؛ </w:t>
      </w:r>
      <w:r w:rsidR="008A74EB" w:rsidRPr="00993B55">
        <w:rPr>
          <w:rStyle w:val="libFootnoteBoldChar"/>
          <w:rtl/>
        </w:rPr>
        <w:t>الوسائل</w:t>
      </w:r>
      <w:r w:rsidR="008A74EB" w:rsidRPr="00C9040A">
        <w:rPr>
          <w:rtl/>
        </w:rPr>
        <w:t xml:space="preserve"> ، ج 12 ، ص 278 ، ذيل ح 16300 ؛ </w:t>
      </w:r>
      <w:r w:rsidR="008A74EB" w:rsidRPr="00993B55">
        <w:rPr>
          <w:rStyle w:val="libFootnoteBoldChar"/>
          <w:rtl/>
        </w:rPr>
        <w:t>البحار</w:t>
      </w:r>
      <w:r w:rsidR="008A74EB" w:rsidRPr="00C9040A">
        <w:rPr>
          <w:rtl/>
        </w:rPr>
        <w:t xml:space="preserve"> ، ج 67 ، ص 354 ، ح 56.</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إِنَّمَا الْمُؤْمِنُ الَّذِي إِذَا رَضِيَ ، لَمْ يُدْخِلْهُ رِضَاهُ فِي إِثْمٍ وَلَا بَاطِلٍ ؛ وَإِذَا </w:t>
      </w:r>
      <w:r w:rsidR="006C577F" w:rsidRPr="006C577F">
        <w:rPr>
          <w:rStyle w:val="libFootnotenumChar"/>
          <w:rtl/>
        </w:rPr>
        <w:t>(1)</w:t>
      </w:r>
      <w:r w:rsidRPr="00C9040A">
        <w:rPr>
          <w:rtl/>
          <w:lang w:bidi="fa-IR"/>
        </w:rPr>
        <w:t xml:space="preserve"> سَخِطَ ، لَمْ يُخْرِجْهُ سَخَطُهُ مِنْ قَوْلِ الْحَقِّ ؛ وَالَّذِي إِذَا قَدَرَ ، لَمْ تُخْرِجْهُ </w:t>
      </w:r>
      <w:r w:rsidR="006C577F" w:rsidRPr="006C577F">
        <w:rPr>
          <w:rStyle w:val="libFootnotenumChar"/>
          <w:rtl/>
        </w:rPr>
        <w:t>(2)</w:t>
      </w:r>
      <w:r w:rsidRPr="00C9040A">
        <w:rPr>
          <w:rtl/>
          <w:lang w:bidi="fa-IR"/>
        </w:rPr>
        <w:t xml:space="preserve"> قُدْرَتُهُ إِلَى التَّعَدِّي إِلى مَا لَيْسَ لَهُ بِحَقٍّ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6F4BA9">
        <w:rPr>
          <w:rtl/>
        </w:rPr>
        <w:t>2293</w:t>
      </w:r>
      <w:r w:rsidRPr="00261CB0">
        <w:rPr>
          <w:rStyle w:val="libBold2Char"/>
          <w:rtl/>
        </w:rPr>
        <w:t xml:space="preserve"> / 14.</w:t>
      </w:r>
      <w:r w:rsidRPr="00C9040A">
        <w:rPr>
          <w:rtl/>
          <w:lang w:bidi="fa-IR"/>
        </w:rPr>
        <w:t xml:space="preserve"> عِدَّةٌ مِنْ أَصْحَابِنَا ، عَنْ أَحْمَدَ بْنِ مُحَمَّدِ بْنِ خَالِدٍ ، عَنْ أَبِيهِ ، عَنْ أَبِي الْبَخْتَرِيِّ رَفَعَهُ </w:t>
      </w:r>
      <w:r w:rsidR="006C577F" w:rsidRPr="006C577F">
        <w:rPr>
          <w:rStyle w:val="libFootnotenumChar"/>
          <w:rtl/>
        </w:rPr>
        <w:t>(4)</w:t>
      </w:r>
      <w:r w:rsidRPr="00C9040A">
        <w:rPr>
          <w:rtl/>
          <w:lang w:bidi="fa-IR"/>
        </w:rPr>
        <w:t xml:space="preserve"> ، قَالَ :</w:t>
      </w:r>
    </w:p>
    <w:p w:rsidR="008A74EB" w:rsidRPr="00C9040A" w:rsidRDefault="008A74EB" w:rsidP="008A74EB">
      <w:pPr>
        <w:pStyle w:val="libNormal"/>
        <w:rPr>
          <w:rtl/>
          <w:lang w:bidi="fa-IR"/>
        </w:rPr>
      </w:pPr>
      <w:r w:rsidRPr="00C9040A">
        <w:rPr>
          <w:rtl/>
          <w:lang w:bidi="fa-IR"/>
        </w:rPr>
        <w:t xml:space="preserve">سَمِعْتُهُ يَقُولُ : « الْمُؤْمِنُونَ هَيِّنُونَ </w:t>
      </w:r>
      <w:r w:rsidR="006C577F" w:rsidRPr="006C577F">
        <w:rPr>
          <w:rStyle w:val="libFootnotenumChar"/>
          <w:rtl/>
        </w:rPr>
        <w:t>(5)</w:t>
      </w:r>
      <w:r w:rsidRPr="00C9040A">
        <w:rPr>
          <w:rtl/>
          <w:lang w:bidi="fa-IR"/>
        </w:rPr>
        <w:t xml:space="preserve"> لَيِّنُونَ </w:t>
      </w:r>
      <w:r w:rsidR="006C577F" w:rsidRPr="006C577F">
        <w:rPr>
          <w:rStyle w:val="libFootnotenumChar"/>
          <w:rtl/>
        </w:rPr>
        <w:t>(6)</w:t>
      </w:r>
      <w:r w:rsidRPr="005B567D">
        <w:rPr>
          <w:rStyle w:val="libFootnotenumChar"/>
          <w:rtl/>
        </w:rPr>
        <w:t xml:space="preserve"> </w:t>
      </w:r>
      <w:r w:rsidRPr="00C9040A">
        <w:rPr>
          <w:rtl/>
          <w:lang w:bidi="fa-IR"/>
        </w:rPr>
        <w:t xml:space="preserve">، كَالْجَمَلِ الْأَنِفِ </w:t>
      </w:r>
      <w:r w:rsidR="006C577F" w:rsidRPr="006C577F">
        <w:rPr>
          <w:rStyle w:val="libFootnotenumChar"/>
          <w:rtl/>
        </w:rPr>
        <w:t>(7)</w:t>
      </w:r>
      <w:r w:rsidRPr="00C9040A">
        <w:rPr>
          <w:rtl/>
          <w:lang w:bidi="fa-IR"/>
        </w:rPr>
        <w:t xml:space="preserve"> ، إِنْ </w:t>
      </w:r>
      <w:r w:rsidR="006C577F" w:rsidRPr="006C577F">
        <w:rPr>
          <w:rStyle w:val="libFootnotenumChar"/>
          <w:rtl/>
        </w:rPr>
        <w:t>(8)</w:t>
      </w:r>
      <w:r w:rsidRPr="00C9040A">
        <w:rPr>
          <w:rtl/>
          <w:lang w:bidi="fa-IR"/>
        </w:rPr>
        <w:t xml:space="preserve"> قِيدَ انْقَادَ ، وَإِنْ أُنِيخَ عَلى صَخْرَةٍ اسْتَنَاخَ »</w:t>
      </w:r>
      <w:r>
        <w:rPr>
          <w:rtl/>
          <w:lang w:bidi="fa-IR"/>
        </w:rPr>
        <w:t>.</w:t>
      </w:r>
      <w:r w:rsidRPr="00C9040A">
        <w:rPr>
          <w:rtl/>
          <w:lang w:bidi="fa-IR"/>
        </w:rPr>
        <w:t xml:space="preserve"> </w:t>
      </w:r>
      <w:r w:rsidR="006C577F" w:rsidRPr="006C577F">
        <w:rPr>
          <w:rStyle w:val="libFootnotenumChar"/>
          <w:rtl/>
        </w:rPr>
        <w:t>(9)</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347187" w:rsidTr="00347187">
        <w:tc>
          <w:tcPr>
            <w:tcW w:w="4006" w:type="dxa"/>
          </w:tcPr>
          <w:p w:rsidR="00347187" w:rsidRDefault="00347187" w:rsidP="004A4E41">
            <w:pPr>
              <w:pStyle w:val="libFootnote0"/>
              <w:rPr>
                <w:rtl/>
              </w:rPr>
            </w:pPr>
            <w:r>
              <w:rPr>
                <w:rtl/>
              </w:rPr>
              <w:t xml:space="preserve">(1). </w:t>
            </w:r>
            <w:r w:rsidRPr="00C9040A">
              <w:rPr>
                <w:rtl/>
              </w:rPr>
              <w:t>في الوسائل : « وإن »</w:t>
            </w:r>
            <w:r>
              <w:rPr>
                <w:rtl/>
              </w:rPr>
              <w:t>.</w:t>
            </w:r>
          </w:p>
        </w:tc>
        <w:tc>
          <w:tcPr>
            <w:tcW w:w="4006" w:type="dxa"/>
          </w:tcPr>
          <w:p w:rsidR="00347187" w:rsidRDefault="00347187" w:rsidP="004A4E41">
            <w:pPr>
              <w:pStyle w:val="libFootnote0"/>
              <w:rPr>
                <w:rtl/>
              </w:rPr>
            </w:pPr>
            <w:r>
              <w:rPr>
                <w:rtl/>
              </w:rPr>
              <w:t>(2).في«ج،ز،ف»والوافي والبحار ، ج 67 :«</w:t>
            </w:r>
            <w:r w:rsidRPr="00C9040A">
              <w:rPr>
                <w:rtl/>
              </w:rPr>
              <w:t>لم يخرجه»</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w:t>
      </w:r>
      <w:r w:rsidR="008A74EB" w:rsidRPr="00993B55">
        <w:rPr>
          <w:rStyle w:val="libFootnoteBoldChar"/>
          <w:rtl/>
        </w:rPr>
        <w:t>الخصال</w:t>
      </w:r>
      <w:r w:rsidR="008A74EB" w:rsidRPr="00C9040A">
        <w:rPr>
          <w:rtl/>
        </w:rPr>
        <w:t xml:space="preserve"> ، ص 105 ، باب الثلاثة ، ح 65 ، بسنده عن أحمد بن محمّد بن عيسى ، عن الحسن بن محبوب </w:t>
      </w:r>
      <w:r w:rsidR="00347187">
        <w:rPr>
          <w:rFonts w:hint="cs"/>
          <w:rtl/>
        </w:rPr>
        <w:t>.</w:t>
      </w:r>
      <w:r w:rsidR="008A74EB" w:rsidRPr="00993B55">
        <w:rPr>
          <w:rStyle w:val="libFootnoteBoldChar"/>
          <w:rtl/>
        </w:rPr>
        <w:t>الوافي</w:t>
      </w:r>
      <w:r w:rsidR="008A74EB" w:rsidRPr="00C9040A">
        <w:rPr>
          <w:rtl/>
        </w:rPr>
        <w:t xml:space="preserve"> ، ج 4 ، ص 162 ، ح 1757 ؛ </w:t>
      </w:r>
      <w:r w:rsidR="008A74EB" w:rsidRPr="00993B55">
        <w:rPr>
          <w:rStyle w:val="libFootnoteBoldChar"/>
          <w:rtl/>
        </w:rPr>
        <w:t>الوسائل</w:t>
      </w:r>
      <w:r w:rsidR="008A74EB" w:rsidRPr="00C9040A">
        <w:rPr>
          <w:rtl/>
        </w:rPr>
        <w:t xml:space="preserve"> ، ج 15 ، ص 192 ، ح 20252 ؛ </w:t>
      </w:r>
      <w:r w:rsidR="008A74EB" w:rsidRPr="00993B55">
        <w:rPr>
          <w:rStyle w:val="libFootnoteBoldChar"/>
          <w:rtl/>
        </w:rPr>
        <w:t>البحار</w:t>
      </w:r>
      <w:r w:rsidR="008A74EB" w:rsidRPr="00C9040A">
        <w:rPr>
          <w:rtl/>
        </w:rPr>
        <w:t xml:space="preserve"> ، ج 67 ، ص 355 ، ح 57 ؛ وج 75 ، ص 235.</w:t>
      </w:r>
    </w:p>
    <w:p w:rsidR="008A74EB" w:rsidRPr="00C9040A" w:rsidRDefault="006C577F" w:rsidP="004A4E41">
      <w:pPr>
        <w:pStyle w:val="libFootnote0"/>
        <w:rPr>
          <w:rtl/>
          <w:lang w:bidi="fa-IR"/>
        </w:rPr>
      </w:pPr>
      <w:r>
        <w:rPr>
          <w:rtl/>
        </w:rPr>
        <w:t>(4).</w:t>
      </w:r>
      <w:r w:rsidR="008A74EB" w:rsidRPr="00C9040A">
        <w:rPr>
          <w:rtl/>
        </w:rPr>
        <w:t xml:space="preserve"> في « بس » </w:t>
      </w:r>
      <w:r w:rsidR="008A74EB">
        <w:rPr>
          <w:rtl/>
        </w:rPr>
        <w:t xml:space="preserve">: </w:t>
      </w:r>
      <w:r w:rsidR="0084262C">
        <w:rPr>
          <w:rtl/>
        </w:rPr>
        <w:t>-</w:t>
      </w:r>
      <w:r w:rsidR="008A74EB" w:rsidRPr="00C9040A">
        <w:rPr>
          <w:rtl/>
        </w:rPr>
        <w:t xml:space="preserve"> « رفعه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هان الشي‌ء هوناً : لان وسَهُل ، فهو هيّن. ويجوز التخفيف فيقال : هَيْن ، لين. وأكثر ماجاء المدح بالتخفيف.</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هينون ولينون » بالتخفيف تخفيف الهَيِّن واللَيِّن وبالتشديد ، قيل : هما في كلا الحالين بمعنى واحد ، وقال ابن الأثير : « قال ابن الأعرابي : العرب تمدح بالهَيْن اللين مخفّفين ، وتذمّ بهما مثقّلين. وهَيِّن : فَيْعل من الهَوْن ، وهو السكينة والوقار والسهولة فعينه واو ، وشي‌ء هَيْنٌ وهَيِّنٌ ، أي‌سهل »</w:t>
      </w:r>
      <w:r w:rsidR="008A74EB">
        <w:rPr>
          <w:rtl/>
        </w:rPr>
        <w:t>.</w:t>
      </w:r>
      <w:r w:rsidR="008A74EB" w:rsidRPr="00C9040A">
        <w:rPr>
          <w:rtl/>
        </w:rPr>
        <w:t xml:space="preserve"> واللين : ضدّ الخشونة. قال المازندراني « والمقصود بيان حسن أخلاقهم وأنّهم سهل الانقياد لحكم الله تعالى فيما أمر ونهى »</w:t>
      </w:r>
      <w:r w:rsidR="008A74EB">
        <w:rPr>
          <w:rtl/>
        </w:rPr>
        <w:t>.</w:t>
      </w:r>
      <w:r w:rsidR="008A74EB" w:rsidRPr="00C9040A">
        <w:rPr>
          <w:rtl/>
        </w:rPr>
        <w:t xml:space="preserve"> راجع : </w:t>
      </w:r>
      <w:r w:rsidR="008A74EB" w:rsidRPr="00993B55">
        <w:rPr>
          <w:rStyle w:val="libFootnoteBoldChar"/>
          <w:rtl/>
        </w:rPr>
        <w:t>الصحاح</w:t>
      </w:r>
      <w:r w:rsidR="008A74EB" w:rsidRPr="00C9040A">
        <w:rPr>
          <w:rtl/>
        </w:rPr>
        <w:t xml:space="preserve"> ، ج 6 ، ص 2198 ؛ </w:t>
      </w:r>
      <w:r w:rsidR="008A74EB" w:rsidRPr="00993B55">
        <w:rPr>
          <w:rStyle w:val="libFootnoteBoldChar"/>
          <w:rtl/>
        </w:rPr>
        <w:t>النهاية</w:t>
      </w:r>
      <w:r w:rsidR="008A74EB" w:rsidRPr="00C9040A">
        <w:rPr>
          <w:rtl/>
        </w:rPr>
        <w:t xml:space="preserve"> ، ج 5 ، ص 289 ؛ </w:t>
      </w:r>
      <w:r w:rsidR="008A74EB" w:rsidRPr="00993B55">
        <w:rPr>
          <w:rStyle w:val="libFootnoteBoldChar"/>
          <w:rtl/>
        </w:rPr>
        <w:t>شرح المازندراني</w:t>
      </w:r>
      <w:r w:rsidR="008A74EB" w:rsidRPr="00C9040A">
        <w:rPr>
          <w:rtl/>
        </w:rPr>
        <w:t xml:space="preserve"> ، ج 9 ، ص 153 ؛ </w:t>
      </w:r>
      <w:r w:rsidR="008A74EB" w:rsidRPr="00993B55">
        <w:rPr>
          <w:rStyle w:val="libFootnoteBoldChar"/>
          <w:rtl/>
        </w:rPr>
        <w:t>الوافي</w:t>
      </w:r>
      <w:r w:rsidR="008A74EB" w:rsidRPr="00C9040A">
        <w:rPr>
          <w:rtl/>
        </w:rPr>
        <w:t xml:space="preserve"> ، ج 4 ، ص 163 ؛ </w:t>
      </w:r>
      <w:r w:rsidR="008A74EB" w:rsidRPr="00993B55">
        <w:rPr>
          <w:rStyle w:val="libFootnoteBoldChar"/>
          <w:rtl/>
        </w:rPr>
        <w:t>مرآة العقول</w:t>
      </w:r>
      <w:r w:rsidR="008A74EB" w:rsidRPr="00C9040A">
        <w:rPr>
          <w:rtl/>
        </w:rPr>
        <w:t xml:space="preserve"> ، ج 9 ، ص 243.</w:t>
      </w:r>
    </w:p>
    <w:p w:rsidR="008A74EB" w:rsidRPr="00C9040A" w:rsidRDefault="006C577F" w:rsidP="004A4E41">
      <w:pPr>
        <w:pStyle w:val="libFootnote0"/>
        <w:rPr>
          <w:rtl/>
          <w:lang w:bidi="fa-IR"/>
        </w:rPr>
      </w:pPr>
      <w:r>
        <w:rPr>
          <w:rtl/>
        </w:rPr>
        <w:t>(7).</w:t>
      </w:r>
      <w:r w:rsidR="008A74EB" w:rsidRPr="00C9040A">
        <w:rPr>
          <w:rtl/>
        </w:rPr>
        <w:t xml:space="preserve"> في « ب ، ج ، ص ، ف ، </w:t>
      </w:r>
      <w:r w:rsidR="006D3162">
        <w:rPr>
          <w:rtl/>
        </w:rPr>
        <w:t xml:space="preserve">ه </w:t>
      </w:r>
      <w:r w:rsidR="008A74EB" w:rsidRPr="00C9040A">
        <w:rPr>
          <w:rtl/>
        </w:rPr>
        <w:t>» والوافي : « الالف » من الا</w:t>
      </w:r>
      <w:r w:rsidR="00347187">
        <w:rPr>
          <w:rFonts w:hint="cs"/>
          <w:rtl/>
        </w:rPr>
        <w:t>ُ</w:t>
      </w:r>
      <w:r w:rsidR="008A74EB" w:rsidRPr="00C9040A">
        <w:rPr>
          <w:rtl/>
        </w:rPr>
        <w:t>لفة ، أي الذي لايكون وحشيّاً. وفي « د ، ض ، بر » والوسائل : « الآلف »</w:t>
      </w:r>
      <w:r w:rsidR="008A74EB">
        <w:rPr>
          <w:rtl/>
        </w:rPr>
        <w:t>.</w:t>
      </w:r>
      <w:r w:rsidR="008A74EB" w:rsidRPr="00C9040A">
        <w:rPr>
          <w:rtl/>
        </w:rPr>
        <w:t xml:space="preserve"> </w:t>
      </w:r>
      <w:r w:rsidR="008A74EB">
        <w:rPr>
          <w:rtl/>
        </w:rPr>
        <w:t>و «</w:t>
      </w:r>
      <w:r w:rsidR="008A74EB" w:rsidRPr="00C9040A">
        <w:rPr>
          <w:rtl/>
        </w:rPr>
        <w:t xml:space="preserve"> الأنف » : المألوف ، وهو الذي عقر الخِشاش أنفه ، فهو لا يمتنع على قائده للوجع الذي به. وقيل : الأنف : الذَّلول ، يقال : أنف البعير أنَفَاً ، فهو أنف : إذا اشتكى أنفه من الخِشاش. ويروى : كالجمل الآنف ، بالمدّ وهو بمعناه. </w:t>
      </w:r>
      <w:r w:rsidR="008A74EB" w:rsidRPr="00993B55">
        <w:rPr>
          <w:rStyle w:val="libFootnoteBoldChar"/>
          <w:rtl/>
        </w:rPr>
        <w:t>النهاية</w:t>
      </w:r>
      <w:r w:rsidR="008A74EB" w:rsidRPr="00C9040A">
        <w:rPr>
          <w:rtl/>
        </w:rPr>
        <w:t xml:space="preserve"> ، ج 1 ، ص 75 ( أنف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هكذا في النسخ والوافي ومرآة العقول والوسائل والبحار. وفي المطبوع : « إذا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w:t>
      </w:r>
      <w:r w:rsidR="008A74EB" w:rsidRPr="00993B55">
        <w:rPr>
          <w:rStyle w:val="libFootnoteBoldChar"/>
          <w:rtl/>
        </w:rPr>
        <w:t>الجعفريّات</w:t>
      </w:r>
      <w:r w:rsidR="008A74EB" w:rsidRPr="00C9040A">
        <w:rPr>
          <w:rtl/>
        </w:rPr>
        <w:t xml:space="preserve"> ، ص 170 ، بسند آخر عن جعفر بن محمّد ، عن آبائه </w:t>
      </w:r>
      <w:r w:rsidR="00117575" w:rsidRPr="00117575">
        <w:rPr>
          <w:rStyle w:val="libFootnoteAlaemChar"/>
          <w:rtl/>
        </w:rPr>
        <w:t>عليهم‌السلام</w:t>
      </w:r>
      <w:r w:rsidR="008A74EB" w:rsidRPr="00C9040A">
        <w:rPr>
          <w:rtl/>
        </w:rPr>
        <w:t xml:space="preserve"> عن رسول الله </w:t>
      </w:r>
      <w:r w:rsidR="004A4E41" w:rsidRPr="00347187">
        <w:rPr>
          <w:rStyle w:val="libFootnoteAlaemChar"/>
          <w:rtl/>
        </w:rPr>
        <w:t>صلى‌الله‌عليه‌وآله</w:t>
      </w:r>
      <w:r w:rsidR="008A74EB" w:rsidRPr="00C9040A">
        <w:rPr>
          <w:rtl/>
        </w:rPr>
        <w:t xml:space="preserve"> ، وتمام الرواية فيه : « المؤمنون هيّنون ليّنون كالجمل الأنوف إن استَنَخْتَه أناخ » </w:t>
      </w:r>
      <w:r w:rsidR="00347187">
        <w:rPr>
          <w:rFonts w:hint="cs"/>
          <w:rtl/>
        </w:rPr>
        <w:t>.</w:t>
      </w:r>
      <w:r w:rsidR="008A74EB" w:rsidRPr="00993B55">
        <w:rPr>
          <w:rStyle w:val="libFootnoteBoldChar"/>
          <w:rtl/>
        </w:rPr>
        <w:t>الوافي</w:t>
      </w:r>
      <w:r w:rsidR="008A74EB" w:rsidRPr="00C9040A">
        <w:rPr>
          <w:rtl/>
        </w:rPr>
        <w:t xml:space="preserve"> ، ج 4 ، ص 162 ، ح 1758 ؛ </w:t>
      </w:r>
      <w:r w:rsidR="008A74EB" w:rsidRPr="00993B55">
        <w:rPr>
          <w:rStyle w:val="libFootnoteBoldChar"/>
          <w:rtl/>
        </w:rPr>
        <w:t>الوسائل</w:t>
      </w:r>
      <w:r w:rsidR="008A74EB" w:rsidRPr="00C9040A">
        <w:rPr>
          <w:rtl/>
        </w:rPr>
        <w:t xml:space="preserve"> ، ج 12 ، ص 159 ، ح 15944 ؛ </w:t>
      </w:r>
      <w:r w:rsidR="008A74EB" w:rsidRPr="00993B55">
        <w:rPr>
          <w:rStyle w:val="libFootnoteBoldChar"/>
          <w:rtl/>
        </w:rPr>
        <w:t>البحار</w:t>
      </w:r>
      <w:r w:rsidR="008A74EB" w:rsidRPr="00C9040A">
        <w:rPr>
          <w:rtl/>
        </w:rPr>
        <w:t xml:space="preserve"> ، ج 67 ، ص 355 ، ح 58.</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B00017">
        <w:rPr>
          <w:rtl/>
        </w:rPr>
        <w:t>2294</w:t>
      </w:r>
      <w:r w:rsidRPr="00261CB0">
        <w:rPr>
          <w:rStyle w:val="libBold2Char"/>
          <w:rtl/>
        </w:rPr>
        <w:t xml:space="preserve"> / 15.</w:t>
      </w:r>
      <w:r w:rsidRPr="00C9040A">
        <w:rPr>
          <w:rtl/>
          <w:lang w:bidi="fa-IR"/>
        </w:rPr>
        <w:t xml:space="preserve"> عَلِيُّ بْنُ إِبْرَاهِيمَ ، عَنْ أَبِيهِ ، عَنِ النَّوْفَلِيِّ ، عَنِ السَّكُونِيِّ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ثَلَاثَةٌ مِنْ عَلَامَاتِ الْمُؤْمِنِ : الْعِلْمُ بِاللهِ ، وَمَنْ يُحِبُّ ، وَمَنْ يَكْرَهُ </w:t>
      </w:r>
      <w:r w:rsidR="006C577F" w:rsidRPr="006C577F">
        <w:rPr>
          <w:rStyle w:val="libFootnotenumChar"/>
          <w:rtl/>
        </w:rPr>
        <w:t>(1)</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B00017">
        <w:rPr>
          <w:rtl/>
        </w:rPr>
        <w:t>2295</w:t>
      </w:r>
      <w:r w:rsidRPr="00261CB0">
        <w:rPr>
          <w:rStyle w:val="libBold2Char"/>
          <w:rtl/>
        </w:rPr>
        <w:t xml:space="preserve"> / 16.</w:t>
      </w:r>
      <w:r w:rsidRPr="00C9040A">
        <w:rPr>
          <w:rtl/>
          <w:lang w:bidi="fa-IR"/>
        </w:rPr>
        <w:t xml:space="preserve"> وَبِهذَا الْإِسْنَادِ ، قَالَ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C9040A">
        <w:rPr>
          <w:rtl/>
          <w:lang w:bidi="fa-IR"/>
        </w:rPr>
        <w:t xml:space="preserve">« قَالَ رَسُولُ اللهِ </w:t>
      </w:r>
      <w:r w:rsidR="004A4E41" w:rsidRPr="004A4E41">
        <w:rPr>
          <w:rStyle w:val="libAlaemChar"/>
          <w:rtl/>
        </w:rPr>
        <w:t>صلى‌الله‌عليه‌وآله</w:t>
      </w:r>
      <w:r w:rsidRPr="00C9040A">
        <w:rPr>
          <w:rtl/>
          <w:lang w:bidi="fa-IR"/>
        </w:rPr>
        <w:t xml:space="preserve"> : الْمُؤْمِنُ كَمِثْلِ شَجَرَةٍ </w:t>
      </w:r>
      <w:r w:rsidR="006C577F" w:rsidRPr="006C577F">
        <w:rPr>
          <w:rStyle w:val="libFootnotenumChar"/>
          <w:rtl/>
        </w:rPr>
        <w:t>(4)</w:t>
      </w:r>
      <w:r w:rsidRPr="00C9040A">
        <w:rPr>
          <w:rtl/>
          <w:lang w:bidi="fa-IR"/>
        </w:rPr>
        <w:t xml:space="preserve"> لَايَتَحَاتُّ </w:t>
      </w:r>
      <w:r w:rsidR="006C577F" w:rsidRPr="006C577F">
        <w:rPr>
          <w:rStyle w:val="libFootnotenumChar"/>
          <w:rtl/>
        </w:rPr>
        <w:t>(5)</w:t>
      </w:r>
      <w:r w:rsidRPr="00C9040A">
        <w:rPr>
          <w:rtl/>
          <w:lang w:bidi="fa-IR"/>
        </w:rPr>
        <w:t xml:space="preserve"> وَرَقُهَا فِي شِتَاءٍ وَلَا </w:t>
      </w:r>
      <w:r w:rsidR="006C577F" w:rsidRPr="006C577F">
        <w:rPr>
          <w:rStyle w:val="libFootnotenumChar"/>
          <w:rtl/>
        </w:rPr>
        <w:t>(6)</w:t>
      </w:r>
      <w:r w:rsidRPr="005B567D">
        <w:rPr>
          <w:rStyle w:val="libFootnotenumChar"/>
          <w:rtl/>
        </w:rPr>
        <w:t xml:space="preserve"> </w:t>
      </w:r>
      <w:r w:rsidRPr="00C9040A">
        <w:rPr>
          <w:rtl/>
          <w:lang w:bidi="fa-IR"/>
        </w:rPr>
        <w:t>صَيْفٍ ، قَالُوا : يَا رَسُولَ اللهِ ، وَ</w:t>
      </w:r>
      <w:r>
        <w:rPr>
          <w:rFonts w:hint="cs"/>
          <w:rtl/>
          <w:lang w:bidi="fa-IR"/>
        </w:rPr>
        <w:t xml:space="preserve"> </w:t>
      </w:r>
      <w:r w:rsidR="006C577F" w:rsidRPr="006C577F">
        <w:rPr>
          <w:rStyle w:val="libFootnotenumChar"/>
          <w:rtl/>
        </w:rPr>
        <w:t>(7)</w:t>
      </w:r>
      <w:r w:rsidRPr="00C9040A">
        <w:rPr>
          <w:rtl/>
          <w:lang w:bidi="fa-IR"/>
        </w:rPr>
        <w:t xml:space="preserve"> مَا هِيَ</w:t>
      </w:r>
      <w:r>
        <w:rPr>
          <w:rtl/>
          <w:lang w:bidi="fa-IR"/>
        </w:rPr>
        <w:t>؟</w:t>
      </w:r>
      <w:r w:rsidRPr="00C9040A">
        <w:rPr>
          <w:rtl/>
          <w:lang w:bidi="fa-IR"/>
        </w:rPr>
        <w:t xml:space="preserve"> قَالَ : النَّخْلَةُ </w:t>
      </w:r>
      <w:r w:rsidR="006C577F" w:rsidRPr="006C577F">
        <w:rPr>
          <w:rStyle w:val="libFootnotenumChar"/>
          <w:rtl/>
        </w:rPr>
        <w:t>(8)</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(9)</w:t>
      </w:r>
      <w:r w:rsidRPr="00C9040A">
        <w:rPr>
          <w:rtl/>
          <w:lang w:bidi="fa-IR"/>
        </w:rPr>
        <w:t xml:space="preserve"> ‌</w:t>
      </w:r>
    </w:p>
    <w:p w:rsidR="008A74EB" w:rsidRPr="00C9040A" w:rsidRDefault="008A74EB" w:rsidP="008A74EB">
      <w:pPr>
        <w:pStyle w:val="libNormal"/>
        <w:rPr>
          <w:rtl/>
          <w:lang w:bidi="fa-IR"/>
        </w:rPr>
      </w:pPr>
      <w:r w:rsidRPr="00B00017">
        <w:rPr>
          <w:rtl/>
        </w:rPr>
        <w:t>2296</w:t>
      </w:r>
      <w:r w:rsidRPr="00261CB0">
        <w:rPr>
          <w:rStyle w:val="libBold2Char"/>
          <w:rtl/>
        </w:rPr>
        <w:t xml:space="preserve"> / 17.</w:t>
      </w:r>
      <w:r w:rsidRPr="00C9040A">
        <w:rPr>
          <w:rtl/>
          <w:lang w:bidi="fa-IR"/>
        </w:rPr>
        <w:t xml:space="preserve"> عِدَّةٌ مِنْ أَصْحَابِنَا ، عَنْ سَهْلِ بْنِ زِيَادٍ ، عَنْ مُحَمَّدِ بْنِ أُورَمَةَ ، عَنْ أَبِي إِبْرَاهِيمَ الْأَعْجَمِيِّ ، عَنْ بَعْضِ أَصْحَابِنَا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الْمُؤْمِنُ حَلِيمٌ لَايَجْهَلُ ، وَإِنْ جُهِلَ عَلَيْهِ يَحْلُمُ </w:t>
      </w:r>
      <w:r w:rsidR="006C577F" w:rsidRPr="006C577F">
        <w:rPr>
          <w:rStyle w:val="libFootnotenumChar"/>
          <w:rtl/>
        </w:rPr>
        <w:t>(10)</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w:t>
      </w:r>
      <w:r w:rsidR="006D3162">
        <w:rPr>
          <w:rtl/>
        </w:rPr>
        <w:t xml:space="preserve">ه </w:t>
      </w:r>
      <w:r w:rsidR="008A74EB" w:rsidRPr="00C9040A">
        <w:rPr>
          <w:rtl/>
        </w:rPr>
        <w:t>» : « يكرم »</w:t>
      </w:r>
      <w:r w:rsidR="008A74EB">
        <w:rPr>
          <w:rtl/>
        </w:rPr>
        <w:t>.</w:t>
      </w:r>
      <w:r w:rsidR="008A74EB" w:rsidRPr="00C9040A">
        <w:rPr>
          <w:rtl/>
        </w:rPr>
        <w:t xml:space="preserve"> وفي الكافي ، ح 1885 والمحاسن : « يبغض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الكافي</w:t>
      </w:r>
      <w:r w:rsidR="008A74EB" w:rsidRPr="00C9040A">
        <w:rPr>
          <w:rtl/>
        </w:rPr>
        <w:t xml:space="preserve"> ، كتاب الإيمان والكفر ، باب الحبّ في الله والبغض في الله ، ح 1885 ؛ </w:t>
      </w:r>
      <w:r w:rsidR="008A74EB" w:rsidRPr="00347187">
        <w:rPr>
          <w:rStyle w:val="libFootnoteBoldChar"/>
          <w:rtl/>
        </w:rPr>
        <w:t>وا</w:t>
      </w:r>
      <w:r w:rsidR="008A74EB" w:rsidRPr="00993B55">
        <w:rPr>
          <w:rStyle w:val="libFootnoteBoldChar"/>
          <w:rtl/>
        </w:rPr>
        <w:t xml:space="preserve">لمحاسن </w:t>
      </w:r>
      <w:r w:rsidR="008A74EB" w:rsidRPr="00C9040A">
        <w:rPr>
          <w:rtl/>
        </w:rPr>
        <w:t xml:space="preserve">، ص 263 ، كتاب مصابيح الظلم ، ح 332 ؛ </w:t>
      </w:r>
      <w:r w:rsidR="008A74EB" w:rsidRPr="00347187">
        <w:rPr>
          <w:rStyle w:val="libFootnoteBoldChar"/>
          <w:rtl/>
        </w:rPr>
        <w:t>و</w:t>
      </w:r>
      <w:r w:rsidR="008A74EB" w:rsidRPr="00993B55">
        <w:rPr>
          <w:rStyle w:val="libFootnoteBoldChar"/>
          <w:rtl/>
        </w:rPr>
        <w:t xml:space="preserve">صفات الشيعة </w:t>
      </w:r>
      <w:r w:rsidR="008A74EB" w:rsidRPr="00C9040A">
        <w:rPr>
          <w:rtl/>
        </w:rPr>
        <w:t xml:space="preserve">، ص 30 ، ح 42 ، بسند آخر. </w:t>
      </w:r>
      <w:r w:rsidR="008A74EB" w:rsidRPr="00993B55">
        <w:rPr>
          <w:rStyle w:val="libFootnoteBoldChar"/>
          <w:rtl/>
        </w:rPr>
        <w:t>الجعفريّات</w:t>
      </w:r>
      <w:r w:rsidR="008A74EB" w:rsidRPr="00C9040A">
        <w:rPr>
          <w:rtl/>
        </w:rPr>
        <w:t xml:space="preserve"> ، ص 231 ، بسند آخر عن جعفر بن محمّد ، عن آبائه ، عن أميرالمؤمنين </w:t>
      </w:r>
      <w:r w:rsidR="00117575" w:rsidRPr="00117575">
        <w:rPr>
          <w:rStyle w:val="libFootnoteAlaemChar"/>
          <w:rtl/>
        </w:rPr>
        <w:t>عليهم‌السلام</w:t>
      </w:r>
      <w:r w:rsidR="008A74EB" w:rsidRPr="00C9040A">
        <w:rPr>
          <w:rtl/>
        </w:rPr>
        <w:t xml:space="preserve"> ، وفي كلّها مع اختلاف يسير </w:t>
      </w:r>
      <w:r w:rsidR="00347187">
        <w:rPr>
          <w:rFonts w:hint="cs"/>
          <w:rtl/>
        </w:rPr>
        <w:t>.</w:t>
      </w:r>
      <w:r w:rsidR="008A74EB" w:rsidRPr="00993B55">
        <w:rPr>
          <w:rStyle w:val="libFootnoteBoldChar"/>
          <w:rtl/>
        </w:rPr>
        <w:t>الوافي</w:t>
      </w:r>
      <w:r w:rsidR="008A74EB" w:rsidRPr="00C9040A">
        <w:rPr>
          <w:rtl/>
        </w:rPr>
        <w:t xml:space="preserve"> ، ج 4 ، ص 163 ، ح 1760 ؛ </w:t>
      </w:r>
      <w:r w:rsidR="008A74EB" w:rsidRPr="00993B55">
        <w:rPr>
          <w:rStyle w:val="libFootnoteBoldChar"/>
          <w:rtl/>
        </w:rPr>
        <w:t>الوسائل</w:t>
      </w:r>
      <w:r w:rsidR="008A74EB" w:rsidRPr="00C9040A">
        <w:rPr>
          <w:rtl/>
        </w:rPr>
        <w:t xml:space="preserve"> ، ج 16 ، ص 168 ، ح 21255 ؛ </w:t>
      </w:r>
      <w:r w:rsidR="008A74EB" w:rsidRPr="00993B55">
        <w:rPr>
          <w:rStyle w:val="libFootnoteBoldChar"/>
          <w:rtl/>
        </w:rPr>
        <w:t>البحار</w:t>
      </w:r>
      <w:r w:rsidR="008A74EB" w:rsidRPr="00C9040A">
        <w:rPr>
          <w:rtl/>
        </w:rPr>
        <w:t xml:space="preserve"> ، ج 67 ، ص 357 ، ح 60.</w:t>
      </w:r>
    </w:p>
    <w:p w:rsidR="008A74EB" w:rsidRPr="00C9040A" w:rsidRDefault="006C577F" w:rsidP="004A4E41">
      <w:pPr>
        <w:pStyle w:val="libFootnote0"/>
        <w:rPr>
          <w:rtl/>
          <w:lang w:bidi="fa-IR"/>
        </w:rPr>
      </w:pPr>
      <w:r>
        <w:rPr>
          <w:rtl/>
        </w:rPr>
        <w:t>(3).</w:t>
      </w:r>
      <w:r w:rsidR="008A74EB" w:rsidRPr="00C9040A">
        <w:rPr>
          <w:rtl/>
        </w:rPr>
        <w:t xml:space="preserve"> الضمير المستتر في « قال » راجع إلى أبي عبدالله </w:t>
      </w:r>
      <w:r w:rsidR="00117575" w:rsidRPr="00117575">
        <w:rPr>
          <w:rStyle w:val="libFootnoteAlaemChar"/>
          <w:rtl/>
        </w:rPr>
        <w:t>عليه‌السلام</w:t>
      </w:r>
      <w:r w:rsidR="008A74EB" w:rsidRPr="00C9040A">
        <w:rPr>
          <w:rtl/>
        </w:rPr>
        <w:t xml:space="preserve"> ، فيُعلم المراد من « بهذا الإسناد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w:t>
      </w:r>
      <w:r w:rsidR="008A74EB" w:rsidRPr="00993B55">
        <w:rPr>
          <w:rStyle w:val="libFootnoteBoldChar"/>
          <w:rtl/>
        </w:rPr>
        <w:t>مرآة العقول</w:t>
      </w:r>
      <w:r w:rsidR="008A74EB" w:rsidRPr="00C9040A">
        <w:rPr>
          <w:rtl/>
        </w:rPr>
        <w:t xml:space="preserve"> ، ج 9 ، ص 244 : « كمثل شجرة ، بالتحريك ، أي‌مثل المؤمن كمثلها. أو بكسر الميم ، فالكاف</w:t>
      </w:r>
      <w:r w:rsidR="00347187">
        <w:rPr>
          <w:rFonts w:hint="cs"/>
          <w:rtl/>
        </w:rPr>
        <w:t xml:space="preserve"> </w:t>
      </w:r>
      <w:r w:rsidR="008A74EB" w:rsidRPr="00C9040A">
        <w:rPr>
          <w:rtl/>
        </w:rPr>
        <w:t>‌زائدة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ج ، ص ، ف ، بس » ومرآة العقول : « تتحاتّ » وهو باعتبار جنس الورق لا بأس به. وتحاتّت الشجرة : تساقط ورَقها. </w:t>
      </w:r>
      <w:r w:rsidR="008A74EB" w:rsidRPr="00993B55">
        <w:rPr>
          <w:rStyle w:val="libFootnoteBoldChar"/>
          <w:rtl/>
        </w:rPr>
        <w:t>المصباح المنير</w:t>
      </w:r>
      <w:r w:rsidR="008A74EB" w:rsidRPr="00C9040A">
        <w:rPr>
          <w:rtl/>
        </w:rPr>
        <w:t xml:space="preserve"> ، ص 120 ( حتت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ف » : + « في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ز » </w:t>
      </w:r>
      <w:r w:rsidR="008A74EB">
        <w:rPr>
          <w:rtl/>
        </w:rPr>
        <w:t xml:space="preserve">: </w:t>
      </w:r>
      <w:r w:rsidR="0084262C">
        <w:rPr>
          <w:rtl/>
        </w:rPr>
        <w:t>-</w:t>
      </w:r>
      <w:r w:rsidR="008A74EB" w:rsidRPr="00C9040A">
        <w:rPr>
          <w:rtl/>
        </w:rPr>
        <w:t xml:space="preserve"> « </w:t>
      </w:r>
      <w:r w:rsidR="008A74EB">
        <w:rPr>
          <w:rtl/>
        </w:rPr>
        <w:t>و ».</w:t>
      </w:r>
    </w:p>
    <w:p w:rsidR="008A74EB" w:rsidRPr="00C9040A" w:rsidRDefault="006C577F" w:rsidP="004A4E41">
      <w:pPr>
        <w:pStyle w:val="libFootnote0"/>
        <w:rPr>
          <w:rtl/>
          <w:lang w:bidi="fa-IR"/>
        </w:rPr>
      </w:pPr>
      <w:r>
        <w:rPr>
          <w:rtl/>
        </w:rPr>
        <w:t>(8).</w:t>
      </w:r>
      <w:r w:rsidR="008A74EB" w:rsidRPr="00C9040A">
        <w:rPr>
          <w:rtl/>
        </w:rPr>
        <w:t xml:space="preserve"> في « ف » : « هي النخلة »</w:t>
      </w:r>
      <w:r w:rsidR="008A74EB">
        <w:rPr>
          <w:rtl/>
        </w:rPr>
        <w:t>.</w:t>
      </w:r>
      <w:r w:rsidR="008A74EB" w:rsidRPr="00C9040A">
        <w:rPr>
          <w:rtl/>
        </w:rPr>
        <w:t xml:space="preserve"> وفي الوافي : « يعني أنّه مستقيم الأحوال ، ينتفع منه دائماً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w:t>
      </w:r>
      <w:r w:rsidR="008A74EB" w:rsidRPr="00993B55">
        <w:rPr>
          <w:rStyle w:val="libFootnoteBoldChar"/>
          <w:rtl/>
        </w:rPr>
        <w:t>الجعفريّات</w:t>
      </w:r>
      <w:r w:rsidR="008A74EB" w:rsidRPr="00C9040A">
        <w:rPr>
          <w:rtl/>
        </w:rPr>
        <w:t xml:space="preserve"> ، ص 193 ، بسند آخر عن أبي‌عبدالله ، عن آبائه </w:t>
      </w:r>
      <w:r w:rsidR="00117575" w:rsidRPr="00117575">
        <w:rPr>
          <w:rStyle w:val="libFootnoteAlaemChar"/>
          <w:rtl/>
        </w:rPr>
        <w:t>عليهم‌السلام</w:t>
      </w:r>
      <w:r w:rsidR="008A74EB" w:rsidRPr="00C9040A">
        <w:rPr>
          <w:rtl/>
        </w:rPr>
        <w:t xml:space="preserve"> عن رسول الله </w:t>
      </w:r>
      <w:r w:rsidR="004A4E41" w:rsidRPr="00347187">
        <w:rPr>
          <w:rStyle w:val="libFootnoteAlaemChar"/>
          <w:rtl/>
        </w:rPr>
        <w:t>صلى‌الله‌عليه‌وآله</w:t>
      </w:r>
      <w:r w:rsidR="008A74EB" w:rsidRPr="00C9040A">
        <w:rPr>
          <w:rtl/>
        </w:rPr>
        <w:t xml:space="preserve"> </w:t>
      </w:r>
      <w:r w:rsidR="00347187">
        <w:rPr>
          <w:rFonts w:hint="cs"/>
          <w:rtl/>
        </w:rPr>
        <w:t>.</w:t>
      </w:r>
      <w:r w:rsidR="008A74EB" w:rsidRPr="00993B55">
        <w:rPr>
          <w:rStyle w:val="libFootnoteBoldChar"/>
          <w:rtl/>
        </w:rPr>
        <w:t>الوافي</w:t>
      </w:r>
      <w:r w:rsidR="008A74EB" w:rsidRPr="00C9040A">
        <w:rPr>
          <w:rtl/>
        </w:rPr>
        <w:t xml:space="preserve"> ، ج 4 ، ص 163 ، ح 1761.</w:t>
      </w:r>
    </w:p>
    <w:p w:rsidR="008A74EB" w:rsidRPr="00C9040A" w:rsidRDefault="006C577F" w:rsidP="004A4E41">
      <w:pPr>
        <w:pStyle w:val="libFootnote0"/>
        <w:rPr>
          <w:rtl/>
          <w:lang w:bidi="fa-IR"/>
        </w:rPr>
      </w:pPr>
      <w:r>
        <w:rPr>
          <w:rtl/>
        </w:rPr>
        <w:t>(10).</w:t>
      </w:r>
      <w:r w:rsidR="008A74EB" w:rsidRPr="00C9040A">
        <w:rPr>
          <w:rtl/>
        </w:rPr>
        <w:t xml:space="preserve"> في « </w:t>
      </w:r>
      <w:r w:rsidR="006D3162">
        <w:rPr>
          <w:rtl/>
        </w:rPr>
        <w:t xml:space="preserve">ه </w:t>
      </w:r>
      <w:r w:rsidR="008A74EB" w:rsidRPr="00C9040A">
        <w:rPr>
          <w:rtl/>
        </w:rPr>
        <w:t>» : « تحلّم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وَلَا يَظْلِمُ ، وَإِنْ ظُلِمَ غَفَرَ ؛ وَلَا يَبْخَلُ </w:t>
      </w:r>
      <w:r w:rsidR="006C577F" w:rsidRPr="006C577F">
        <w:rPr>
          <w:rStyle w:val="libFootnotenumChar"/>
          <w:rtl/>
        </w:rPr>
        <w:t>(1)</w:t>
      </w:r>
      <w:r w:rsidRPr="00C9040A">
        <w:rPr>
          <w:rtl/>
          <w:lang w:bidi="fa-IR"/>
        </w:rPr>
        <w:t xml:space="preserve"> ، وَإِنْ بُخِلَ </w:t>
      </w:r>
      <w:r w:rsidR="006C577F" w:rsidRPr="006C577F">
        <w:rPr>
          <w:rStyle w:val="libFootnotenumChar"/>
          <w:rtl/>
        </w:rPr>
        <w:t>(2)</w:t>
      </w:r>
      <w:r w:rsidRPr="00C9040A">
        <w:rPr>
          <w:rtl/>
          <w:lang w:bidi="fa-IR"/>
        </w:rPr>
        <w:t xml:space="preserve"> عَلَيْهِ صَبَرَ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B00017">
        <w:rPr>
          <w:rtl/>
        </w:rPr>
        <w:t>2297</w:t>
      </w:r>
      <w:r w:rsidRPr="00261CB0">
        <w:rPr>
          <w:rStyle w:val="libBold2Char"/>
          <w:rtl/>
        </w:rPr>
        <w:t xml:space="preserve"> / 18.</w:t>
      </w:r>
      <w:r w:rsidRPr="00C9040A">
        <w:rPr>
          <w:rtl/>
          <w:lang w:bidi="fa-IR"/>
        </w:rPr>
        <w:t xml:space="preserve"> عِدَّةٌ مِنْ أَصْحَابِنَا ، عَنْ أَحْمَدَ بْنِ مُحَمَّدِ بْنِ خَالِدٍ ، عَنْ إِسْمَاعِيلَ بْنِ مِهْرَانَ ، عَنْ مُنْذِرِ بْنِ جَيْفَرٍ </w:t>
      </w:r>
      <w:r w:rsidR="006C577F" w:rsidRPr="006C577F">
        <w:rPr>
          <w:rStyle w:val="libFootnotenumChar"/>
          <w:rtl/>
        </w:rPr>
        <w:t>(4)</w:t>
      </w:r>
      <w:r w:rsidRPr="00C9040A">
        <w:rPr>
          <w:rtl/>
          <w:lang w:bidi="fa-IR"/>
        </w:rPr>
        <w:t xml:space="preserve"> ، عَنْ آدَمَ أَبِي الْحُسَيْنِ </w:t>
      </w:r>
      <w:r w:rsidR="006C577F" w:rsidRPr="006C577F">
        <w:rPr>
          <w:rStyle w:val="libFootnotenumChar"/>
          <w:rtl/>
        </w:rPr>
        <w:t>(5)</w:t>
      </w:r>
      <w:r w:rsidRPr="00C9040A">
        <w:rPr>
          <w:rtl/>
          <w:lang w:bidi="fa-IR"/>
        </w:rPr>
        <w:t xml:space="preserve"> اللُّؤْلُؤِيِّ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الْمُؤْمِنُ مَنْ طَابَ مَكْسَبُهُ ، وَحَسُنَتْ خَلِيقَتُهُ ، وَصَحَّتْ سَرِيرَتُهُ ، وَأَنْفَقَ الْفَضْلَ مِنْ مَالِهِ ، وَأَمْسَكَ الْفَضْلَ مِنْ كَلَامِهِ ، وَكَفَى النَّاسَ شَرَّهُ </w:t>
      </w:r>
      <w:r w:rsidR="006C577F" w:rsidRPr="006C577F">
        <w:rPr>
          <w:rStyle w:val="libFootnotenumChar"/>
          <w:rtl/>
        </w:rPr>
        <w:t>(6)</w:t>
      </w:r>
      <w:r w:rsidRPr="005B567D">
        <w:rPr>
          <w:rStyle w:val="libFootnotenumChar"/>
          <w:rtl/>
        </w:rPr>
        <w:t xml:space="preserve"> </w:t>
      </w:r>
      <w:r w:rsidRPr="00C9040A">
        <w:rPr>
          <w:rtl/>
          <w:lang w:bidi="fa-IR"/>
        </w:rPr>
        <w:t>، وَأَنْصَفَ النَّاسَ مِنْ نَفْسِهِ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B00017">
        <w:rPr>
          <w:rtl/>
        </w:rPr>
        <w:t>2298</w:t>
      </w:r>
      <w:r w:rsidRPr="00261CB0">
        <w:rPr>
          <w:rStyle w:val="libBold2Char"/>
          <w:rtl/>
        </w:rPr>
        <w:t xml:space="preserve"> / 19.</w:t>
      </w:r>
      <w:r w:rsidRPr="00C9040A">
        <w:rPr>
          <w:rtl/>
          <w:lang w:bidi="fa-IR"/>
        </w:rPr>
        <w:t xml:space="preserve"> أَبُو عَلِيٍّ الْأَشْعَرِيُّ ، عَنْ مُحَمَّدِ بْنِ عَبْدِ الْجَبَّارِ ، عَنِ الْحَسَنِ </w:t>
      </w:r>
      <w:r w:rsidR="006C577F" w:rsidRPr="006C577F">
        <w:rPr>
          <w:rStyle w:val="libFootnotenumChar"/>
          <w:rtl/>
        </w:rPr>
        <w:t>(8)</w:t>
      </w:r>
      <w:r w:rsidRPr="00C9040A">
        <w:rPr>
          <w:rtl/>
          <w:lang w:bidi="fa-IR"/>
        </w:rPr>
        <w:t xml:space="preserve"> بْنِ عَلِيٍّ ، عَنْ أَبِي كَهْمَسٍ </w:t>
      </w:r>
      <w:r w:rsidR="006C577F" w:rsidRPr="006C577F">
        <w:rPr>
          <w:rStyle w:val="libFootnotenumChar"/>
          <w:rtl/>
        </w:rPr>
        <w:t>(9)</w:t>
      </w:r>
      <w:r w:rsidRPr="00C9040A">
        <w:rPr>
          <w:rtl/>
          <w:lang w:bidi="fa-IR"/>
        </w:rPr>
        <w:t xml:space="preserve"> ، عَنْ سُلَيْمَانَ بْنِ خَالِدٍ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Pr>
          <w:rtl/>
          <w:lang w:bidi="fa-IR"/>
        </w:rPr>
        <w:t xml:space="preserve"> : أَ</w:t>
      </w:r>
      <w:r w:rsidRPr="00C9040A">
        <w:rPr>
          <w:rtl/>
          <w:lang w:bidi="fa-IR"/>
        </w:rPr>
        <w:t>لَا</w:t>
      </w:r>
      <w:r>
        <w:rPr>
          <w:rFonts w:hint="cs"/>
          <w:rtl/>
          <w:lang w:bidi="fa-IR"/>
        </w:rPr>
        <w:t xml:space="preserve"> </w:t>
      </w:r>
      <w:r w:rsidRPr="00C9040A">
        <w:rPr>
          <w:rtl/>
          <w:lang w:bidi="fa-IR"/>
        </w:rPr>
        <w:t xml:space="preserve">أُنَبِّئُكُمْ بِالْمُؤْمِنِ </w:t>
      </w:r>
      <w:r w:rsidR="006C577F" w:rsidRPr="006C577F">
        <w:rPr>
          <w:rStyle w:val="libFootnotenumChar"/>
          <w:rtl/>
        </w:rPr>
        <w:t>(10)</w:t>
      </w:r>
      <w:r>
        <w:rPr>
          <w:rtl/>
          <w:lang w:bidi="fa-IR"/>
        </w:rPr>
        <w:t>؟</w:t>
      </w:r>
      <w:r w:rsidRPr="00C9040A">
        <w:rPr>
          <w:rtl/>
          <w:lang w:bidi="fa-IR"/>
        </w:rPr>
        <w:t xml:space="preserve"> مَنِ ائْتَمَنَهُ‌</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ف » : « ولا يبجل »</w:t>
      </w:r>
      <w:r w:rsidR="008A74EB">
        <w:rPr>
          <w:rtl/>
        </w:rPr>
        <w:t>.</w:t>
      </w:r>
      <w:r w:rsidR="008A74EB" w:rsidRPr="00C9040A">
        <w:rPr>
          <w:rtl/>
        </w:rPr>
        <w:t xml:space="preserve"> وفي حاشية « ف » وشرح المازندراني ومرآة العقول : « لا ينجل » ، أي‌لا يطعن.</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ف » : « وإن بجل »</w:t>
      </w:r>
      <w:r w:rsidR="008A74EB">
        <w:rPr>
          <w:rtl/>
        </w:rPr>
        <w:t>.</w:t>
      </w:r>
      <w:r w:rsidR="008A74EB" w:rsidRPr="00C9040A">
        <w:rPr>
          <w:rtl/>
        </w:rPr>
        <w:t xml:space="preserve"> وفي حاشية « ف » وشرح المازندراني : « وإن نجل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w:t>
      </w:r>
      <w:r w:rsidR="008A74EB" w:rsidRPr="00993B55">
        <w:rPr>
          <w:rStyle w:val="libFootnoteBoldChar"/>
          <w:rtl/>
        </w:rPr>
        <w:t>الوافي</w:t>
      </w:r>
      <w:r w:rsidR="008A74EB" w:rsidRPr="00C9040A">
        <w:rPr>
          <w:rtl/>
        </w:rPr>
        <w:t xml:space="preserve"> ، ج 4 ، ص 164 ، ح 1762 ؛ </w:t>
      </w:r>
      <w:r w:rsidR="008A74EB" w:rsidRPr="00993B55">
        <w:rPr>
          <w:rStyle w:val="libFootnoteBoldChar"/>
          <w:rtl/>
        </w:rPr>
        <w:t>الوسائل</w:t>
      </w:r>
      <w:r w:rsidR="008A74EB" w:rsidRPr="00C9040A">
        <w:rPr>
          <w:rtl/>
        </w:rPr>
        <w:t xml:space="preserve"> ، ج 15 ، ص 189 ، ح 20243 ؛ </w:t>
      </w:r>
      <w:r w:rsidR="008A74EB" w:rsidRPr="00993B55">
        <w:rPr>
          <w:rStyle w:val="libFootnoteBoldChar"/>
          <w:rtl/>
        </w:rPr>
        <w:t>البحار</w:t>
      </w:r>
      <w:r w:rsidR="008A74EB" w:rsidRPr="00C9040A">
        <w:rPr>
          <w:rtl/>
        </w:rPr>
        <w:t xml:space="preserve"> ، ج 67 ، ص 358 ، ح 61.</w:t>
      </w:r>
    </w:p>
    <w:p w:rsidR="008A74EB" w:rsidRPr="00C9040A" w:rsidRDefault="006C577F" w:rsidP="004A4E41">
      <w:pPr>
        <w:pStyle w:val="libFootnote0"/>
        <w:rPr>
          <w:rtl/>
          <w:lang w:bidi="fa-IR"/>
        </w:rPr>
      </w:pPr>
      <w:r>
        <w:rPr>
          <w:rtl/>
        </w:rPr>
        <w:t>(4).</w:t>
      </w:r>
      <w:r w:rsidR="008A74EB" w:rsidRPr="00C9040A">
        <w:rPr>
          <w:rtl/>
        </w:rPr>
        <w:t xml:space="preserve"> في « د ، بر ، بس ، بف » : « خنفر »</w:t>
      </w:r>
      <w:r w:rsidR="008A74EB">
        <w:rPr>
          <w:rtl/>
        </w:rPr>
        <w:t>.</w:t>
      </w:r>
      <w:r w:rsidR="008A74EB" w:rsidRPr="00C9040A">
        <w:rPr>
          <w:rtl/>
        </w:rPr>
        <w:t xml:space="preserve"> وفي « ص » : « خُنْفَر »</w:t>
      </w:r>
      <w:r w:rsidR="008A74EB">
        <w:rPr>
          <w:rtl/>
        </w:rPr>
        <w:t>.</w:t>
      </w:r>
      <w:r w:rsidR="008A74EB" w:rsidRPr="00C9040A">
        <w:rPr>
          <w:rtl/>
        </w:rPr>
        <w:t xml:space="preserve"> وهو سهو ؛ فقد ذكر الشيخ الطوسي في </w:t>
      </w:r>
      <w:r w:rsidR="008A74EB" w:rsidRPr="00993B55">
        <w:rPr>
          <w:rStyle w:val="libFootnoteBoldChar"/>
          <w:rtl/>
        </w:rPr>
        <w:t>الفهرست</w:t>
      </w:r>
      <w:r w:rsidR="008A74EB" w:rsidRPr="00C9040A">
        <w:rPr>
          <w:rtl/>
        </w:rPr>
        <w:t xml:space="preserve"> ، ص 467 ، الرقم 767 ؛ وفي كتابه </w:t>
      </w:r>
      <w:r w:rsidR="008A74EB" w:rsidRPr="00993B55">
        <w:rPr>
          <w:rStyle w:val="libFootnoteBoldChar"/>
          <w:rtl/>
        </w:rPr>
        <w:t>الرجال</w:t>
      </w:r>
      <w:r w:rsidR="008A74EB" w:rsidRPr="00C9040A">
        <w:rPr>
          <w:rtl/>
        </w:rPr>
        <w:t xml:space="preserve"> ، ص 309 ، الرقم 4565 : منذر بن جيفر العبدي.</w:t>
      </w:r>
    </w:p>
    <w:p w:rsidR="008A74EB" w:rsidRPr="00C9040A" w:rsidRDefault="006C577F" w:rsidP="00347187">
      <w:pPr>
        <w:pStyle w:val="libFootnote0"/>
        <w:rPr>
          <w:rtl/>
          <w:lang w:bidi="fa-IR"/>
        </w:rPr>
      </w:pPr>
      <w:r>
        <w:rPr>
          <w:rtl/>
        </w:rPr>
        <w:t>(5).</w:t>
      </w:r>
      <w:r w:rsidR="008A74EB" w:rsidRPr="00C9040A">
        <w:rPr>
          <w:rtl/>
        </w:rPr>
        <w:t xml:space="preserve"> في النسخ والبحار : « الحسن »</w:t>
      </w:r>
      <w:r w:rsidR="008A74EB">
        <w:rPr>
          <w:rtl/>
        </w:rPr>
        <w:t>.</w:t>
      </w:r>
      <w:r w:rsidR="008A74EB" w:rsidRPr="00C9040A">
        <w:rPr>
          <w:rtl/>
        </w:rPr>
        <w:t xml:space="preserve"> والظاهر أنّ آدم هذا ، هو آدم بن المتوكّل أبوالحسين بيّاع اللؤلؤ. راجع : </w:t>
      </w:r>
      <w:r w:rsidR="008A74EB" w:rsidRPr="00993B55">
        <w:rPr>
          <w:rStyle w:val="libFootnoteBoldChar"/>
          <w:rtl/>
        </w:rPr>
        <w:t>رجال النجاشي</w:t>
      </w:r>
      <w:r w:rsidR="008A74EB" w:rsidRPr="00C9040A">
        <w:rPr>
          <w:rtl/>
        </w:rPr>
        <w:t xml:space="preserve"> ، ص 104 ، الرقم 260.</w:t>
      </w:r>
      <w:r w:rsidR="00347187">
        <w:rPr>
          <w:rFonts w:hint="cs"/>
          <w:rtl/>
        </w:rPr>
        <w:t xml:space="preserve">          </w:t>
      </w:r>
      <w:r>
        <w:rPr>
          <w:rtl/>
        </w:rPr>
        <w:t>(6).</w:t>
      </w:r>
      <w:r w:rsidR="008A74EB">
        <w:rPr>
          <w:rtl/>
        </w:rPr>
        <w:t xml:space="preserve"> </w:t>
      </w:r>
      <w:r w:rsidR="008A74EB" w:rsidRPr="00C9040A">
        <w:rPr>
          <w:rtl/>
        </w:rPr>
        <w:t>في الخصال : « من شرّه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الخصال</w:t>
      </w:r>
      <w:r w:rsidR="008A74EB" w:rsidRPr="00C9040A">
        <w:rPr>
          <w:rtl/>
        </w:rPr>
        <w:t xml:space="preserve"> ، ص 351 ، باب السبعة ، ح 30 ، عن محمّد بن الحسن ، عن محمّد بن يحيى العطّار ، عن محمّد بن يحيى ، عن أحمد بن محمّد وغيره ، بإسناده رفعاه إلى أمير المؤمنين </w:t>
      </w:r>
      <w:r w:rsidR="00117575" w:rsidRPr="00117575">
        <w:rPr>
          <w:rStyle w:val="libFootnoteAlaemChar"/>
          <w:rtl/>
        </w:rPr>
        <w:t xml:space="preserve">عليه‌السلام </w:t>
      </w:r>
      <w:r w:rsidR="00347187">
        <w:rPr>
          <w:rFonts w:hint="cs"/>
          <w:rtl/>
        </w:rPr>
        <w:t>.</w:t>
      </w:r>
      <w:r w:rsidR="008A74EB" w:rsidRPr="00993B55">
        <w:rPr>
          <w:rStyle w:val="libFootnoteBoldChar"/>
          <w:rtl/>
        </w:rPr>
        <w:t>الوافي</w:t>
      </w:r>
      <w:r w:rsidR="008A74EB" w:rsidRPr="00C9040A">
        <w:rPr>
          <w:rtl/>
        </w:rPr>
        <w:t xml:space="preserve"> ، ج 4 ، ص 164 ، ح 1763 ؛ </w:t>
      </w:r>
      <w:r w:rsidR="008A74EB" w:rsidRPr="00993B55">
        <w:rPr>
          <w:rStyle w:val="libFootnoteBoldChar"/>
          <w:rtl/>
        </w:rPr>
        <w:t>الوسائل</w:t>
      </w:r>
      <w:r w:rsidR="008A74EB" w:rsidRPr="00C9040A">
        <w:rPr>
          <w:rtl/>
        </w:rPr>
        <w:t xml:space="preserve"> ، ج 15 ، ص 189 ، ح 20244 ؛ </w:t>
      </w:r>
      <w:r w:rsidR="008A74EB" w:rsidRPr="00993B55">
        <w:rPr>
          <w:rStyle w:val="libFootnoteBoldChar"/>
          <w:rtl/>
        </w:rPr>
        <w:t>البحار</w:t>
      </w:r>
      <w:r w:rsidR="008A74EB" w:rsidRPr="00C9040A">
        <w:rPr>
          <w:rtl/>
        </w:rPr>
        <w:t xml:space="preserve"> ، ج 67 ، ص 293 ، ذيل ح 16.</w:t>
      </w:r>
    </w:p>
    <w:p w:rsidR="008A74EB" w:rsidRPr="00C9040A" w:rsidRDefault="006C577F" w:rsidP="004A4E41">
      <w:pPr>
        <w:pStyle w:val="libFootnote0"/>
        <w:rPr>
          <w:rtl/>
          <w:lang w:bidi="fa-IR"/>
        </w:rPr>
      </w:pPr>
      <w:r>
        <w:rPr>
          <w:rtl/>
        </w:rPr>
        <w:t>(8).</w:t>
      </w:r>
      <w:r w:rsidR="008A74EB" w:rsidRPr="00C9040A">
        <w:rPr>
          <w:rtl/>
        </w:rPr>
        <w:t xml:space="preserve"> في الوسائل : « الحسين »</w:t>
      </w:r>
      <w:r w:rsidR="008A74EB">
        <w:rPr>
          <w:rtl/>
        </w:rPr>
        <w:t>.</w:t>
      </w:r>
      <w:r w:rsidR="008A74EB" w:rsidRPr="00C9040A">
        <w:rPr>
          <w:rtl/>
        </w:rPr>
        <w:t xml:space="preserve"> وهو سهو ظاهراً. والمراد من الحسن بن عليّ هو [ الحسن بن عليّ ] بن فضّال</w:t>
      </w:r>
      <w:r w:rsidR="00347187">
        <w:rPr>
          <w:rFonts w:hint="cs"/>
          <w:rtl/>
        </w:rPr>
        <w:t xml:space="preserve"> </w:t>
      </w:r>
      <w:r w:rsidR="008A74EB" w:rsidRPr="00C9040A">
        <w:rPr>
          <w:rtl/>
        </w:rPr>
        <w:t xml:space="preserve">‌الراوي عن أبي كهمس في </w:t>
      </w:r>
      <w:r w:rsidR="008A74EB" w:rsidRPr="00993B55">
        <w:rPr>
          <w:rStyle w:val="libFootnoteBoldChar"/>
          <w:rtl/>
        </w:rPr>
        <w:t>التهذيب</w:t>
      </w:r>
      <w:r w:rsidR="008A74EB" w:rsidRPr="00C9040A">
        <w:rPr>
          <w:rtl/>
        </w:rPr>
        <w:t xml:space="preserve"> ، ج 4 ، ص 37 ، ح 95 ، و</w:t>
      </w:r>
      <w:r w:rsidR="008A74EB" w:rsidRPr="00993B55">
        <w:rPr>
          <w:rStyle w:val="libFootnoteBoldChar"/>
          <w:rtl/>
        </w:rPr>
        <w:t>المحاسن</w:t>
      </w:r>
      <w:r w:rsidR="008A74EB" w:rsidRPr="00C9040A">
        <w:rPr>
          <w:rtl/>
        </w:rPr>
        <w:t xml:space="preserve"> ، ص 160 ، ح 103.</w:t>
      </w:r>
    </w:p>
    <w:p w:rsidR="008A74EB" w:rsidRPr="00C9040A" w:rsidRDefault="006C577F" w:rsidP="004A4E41">
      <w:pPr>
        <w:pStyle w:val="libFootnote0"/>
        <w:rPr>
          <w:rtl/>
          <w:lang w:bidi="fa-IR"/>
        </w:rPr>
      </w:pPr>
      <w:r>
        <w:rPr>
          <w:rtl/>
        </w:rPr>
        <w:t>(9).</w:t>
      </w:r>
      <w:r w:rsidR="008A74EB" w:rsidRPr="00C9040A">
        <w:rPr>
          <w:rtl/>
        </w:rPr>
        <w:t xml:space="preserve"> في البحار : « كهمش »</w:t>
      </w:r>
      <w:r w:rsidR="008A74EB">
        <w:rPr>
          <w:rtl/>
        </w:rPr>
        <w:t>.</w:t>
      </w:r>
      <w:r w:rsidR="008A74EB" w:rsidRPr="00C9040A">
        <w:rPr>
          <w:rtl/>
        </w:rPr>
        <w:t xml:space="preserve"> والمتكرّر في الأسناد والمذكور في </w:t>
      </w:r>
      <w:r w:rsidR="008A74EB" w:rsidRPr="00993B55">
        <w:rPr>
          <w:rStyle w:val="libFootnoteBoldChar"/>
          <w:rtl/>
        </w:rPr>
        <w:t>رجال النجاشي</w:t>
      </w:r>
      <w:r w:rsidR="008A74EB" w:rsidRPr="00C9040A">
        <w:rPr>
          <w:rtl/>
        </w:rPr>
        <w:t xml:space="preserve"> ، ص 436 ، الرقم 1170 ، </w:t>
      </w:r>
      <w:r w:rsidR="008A74EB" w:rsidRPr="00347187">
        <w:rPr>
          <w:rStyle w:val="libFootnoteBoldChar"/>
          <w:rtl/>
        </w:rPr>
        <w:t>و</w:t>
      </w:r>
      <w:r w:rsidR="008A74EB" w:rsidRPr="0034021D">
        <w:rPr>
          <w:rStyle w:val="libFootnoteBoldChar"/>
          <w:rtl/>
        </w:rPr>
        <w:t>الفهرست للطوسي</w:t>
      </w:r>
      <w:r w:rsidR="008A74EB" w:rsidRPr="00C9040A">
        <w:rPr>
          <w:rtl/>
        </w:rPr>
        <w:t xml:space="preserve"> ، ص 541 ، الرقم 888 ، </w:t>
      </w:r>
      <w:r w:rsidR="008A74EB" w:rsidRPr="00347187">
        <w:rPr>
          <w:rStyle w:val="libFootnoteBoldChar"/>
          <w:rtl/>
        </w:rPr>
        <w:t>و</w:t>
      </w:r>
      <w:r w:rsidR="008A74EB" w:rsidRPr="00993B55">
        <w:rPr>
          <w:rStyle w:val="libFootnoteBoldChar"/>
          <w:rtl/>
        </w:rPr>
        <w:t>رجال البرقي</w:t>
      </w:r>
      <w:r w:rsidR="008A74EB" w:rsidRPr="00C9040A">
        <w:rPr>
          <w:rtl/>
        </w:rPr>
        <w:t xml:space="preserve"> ، ص 43 هو أبو كهمس. راجع : </w:t>
      </w:r>
      <w:r w:rsidR="008A74EB" w:rsidRPr="00993B55">
        <w:rPr>
          <w:rStyle w:val="libFootnoteBoldChar"/>
          <w:rtl/>
        </w:rPr>
        <w:t>معجم رجال الحديث</w:t>
      </w:r>
      <w:r w:rsidR="008A74EB" w:rsidRPr="00C9040A">
        <w:rPr>
          <w:rtl/>
        </w:rPr>
        <w:t xml:space="preserve"> ، ج 22 ، ص 209</w:t>
      </w:r>
      <w:r w:rsidR="008A74EB">
        <w:rPr>
          <w:rtl/>
        </w:rPr>
        <w:t xml:space="preserve"> </w:t>
      </w:r>
      <w:r w:rsidR="0084262C">
        <w:rPr>
          <w:rtl/>
        </w:rPr>
        <w:t>-</w:t>
      </w:r>
      <w:r w:rsidR="008A74EB">
        <w:rPr>
          <w:rtl/>
        </w:rPr>
        <w:t xml:space="preserve"> </w:t>
      </w:r>
      <w:r w:rsidR="008A74EB" w:rsidRPr="00C9040A">
        <w:rPr>
          <w:rtl/>
        </w:rPr>
        <w:t>211.</w:t>
      </w:r>
    </w:p>
    <w:p w:rsidR="008A74EB" w:rsidRPr="00C9040A" w:rsidRDefault="006C577F" w:rsidP="004A4E41">
      <w:pPr>
        <w:pStyle w:val="libFootnote0"/>
        <w:rPr>
          <w:rtl/>
          <w:lang w:bidi="fa-IR"/>
        </w:rPr>
      </w:pPr>
      <w:r>
        <w:rPr>
          <w:rtl/>
        </w:rPr>
        <w:t>(10).</w:t>
      </w:r>
      <w:r w:rsidR="008A74EB" w:rsidRPr="00C9040A">
        <w:rPr>
          <w:rtl/>
        </w:rPr>
        <w:t xml:space="preserve"> في « د ، ز ، ف ، بف » : + « المؤمن »</w:t>
      </w:r>
      <w:r w:rsidR="008A74EB">
        <w:rPr>
          <w:rtl/>
        </w:rPr>
        <w:t>.</w:t>
      </w:r>
      <w:r w:rsidR="008A74EB" w:rsidRPr="00C9040A">
        <w:rPr>
          <w:rtl/>
        </w:rPr>
        <w:t xml:space="preserve"> وفي « ج » : « المؤمن » بدون الباء. وفي حاشية « بر » : « بالمسلم »</w:t>
      </w:r>
      <w:r w:rsidR="008A74EB">
        <w:rPr>
          <w:rtl/>
        </w:rPr>
        <w:t>.</w:t>
      </w:r>
      <w:r w:rsidR="008A74EB" w:rsidRPr="00C9040A">
        <w:rPr>
          <w:rtl/>
        </w:rPr>
        <w:t xml:space="preserve"> وفي‌الوسائل : « المؤمن » بدل « ألا ا</w:t>
      </w:r>
      <w:r w:rsidR="00347187">
        <w:rPr>
          <w:rFonts w:hint="cs"/>
          <w:rtl/>
        </w:rPr>
        <w:t>ُ</w:t>
      </w:r>
      <w:r w:rsidR="008A74EB" w:rsidRPr="00C9040A">
        <w:rPr>
          <w:rtl/>
        </w:rPr>
        <w:t>نبّئكم بالمؤمن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الْمُؤْمِنُونَ </w:t>
      </w:r>
      <w:r w:rsidR="006C577F" w:rsidRPr="006C577F">
        <w:rPr>
          <w:rStyle w:val="libFootnotenumChar"/>
          <w:rtl/>
        </w:rPr>
        <w:t>(1)</w:t>
      </w:r>
      <w:r w:rsidRPr="00C9040A">
        <w:rPr>
          <w:rtl/>
          <w:lang w:bidi="fa-IR"/>
        </w:rPr>
        <w:t xml:space="preserve"> عَلى أَنْفُسِهِمْ وَأَمْوَالِهِمْ </w:t>
      </w:r>
      <w:r w:rsidR="006C577F" w:rsidRPr="006C577F">
        <w:rPr>
          <w:rStyle w:val="libFootnotenumChar"/>
          <w:rtl/>
        </w:rPr>
        <w:t>(2)</w:t>
      </w:r>
      <w:r>
        <w:rPr>
          <w:rtl/>
          <w:lang w:bidi="fa-IR"/>
        </w:rPr>
        <w:t xml:space="preserve"> ؛ أَ</w:t>
      </w:r>
      <w:r w:rsidRPr="00C9040A">
        <w:rPr>
          <w:rtl/>
          <w:lang w:bidi="fa-IR"/>
        </w:rPr>
        <w:t>لَا</w:t>
      </w:r>
      <w:r>
        <w:rPr>
          <w:rFonts w:hint="cs"/>
          <w:rtl/>
          <w:lang w:bidi="fa-IR"/>
        </w:rPr>
        <w:t xml:space="preserve"> </w:t>
      </w:r>
      <w:r w:rsidRPr="00C9040A">
        <w:rPr>
          <w:rtl/>
          <w:lang w:bidi="fa-IR"/>
        </w:rPr>
        <w:t xml:space="preserve">أُنَبِّئُكُمْ بِالْمُسْلِمِ </w:t>
      </w:r>
      <w:r w:rsidR="006C577F" w:rsidRPr="006C577F">
        <w:rPr>
          <w:rStyle w:val="libFootnotenumChar"/>
          <w:rtl/>
        </w:rPr>
        <w:t>(3)</w:t>
      </w:r>
      <w:r>
        <w:rPr>
          <w:rtl/>
          <w:lang w:bidi="fa-IR"/>
        </w:rPr>
        <w:t>؟</w:t>
      </w:r>
      <w:r w:rsidRPr="00C9040A">
        <w:rPr>
          <w:rtl/>
          <w:lang w:bidi="fa-IR"/>
        </w:rPr>
        <w:t xml:space="preserve"> مَنْ سَلِمَ الْمُسْلِمُونَ مِنْ لِسَانِهِ وَيَدِهِ </w:t>
      </w:r>
      <w:r w:rsidR="006C577F" w:rsidRPr="006C577F">
        <w:rPr>
          <w:rStyle w:val="libFootnotenumChar"/>
          <w:rtl/>
        </w:rPr>
        <w:t>(4)</w:t>
      </w:r>
      <w:r w:rsidRPr="00C9040A">
        <w:rPr>
          <w:rtl/>
          <w:lang w:bidi="fa-IR"/>
        </w:rPr>
        <w:t xml:space="preserve"> ؛ وَالْمُهَاجِرُ مَنْ هَجَرَ </w:t>
      </w:r>
      <w:r w:rsidR="006C577F" w:rsidRPr="006C577F">
        <w:rPr>
          <w:rStyle w:val="libFootnotenumChar"/>
          <w:rtl/>
        </w:rPr>
        <w:t>(5)</w:t>
      </w:r>
      <w:r w:rsidRPr="00C9040A">
        <w:rPr>
          <w:rtl/>
          <w:lang w:bidi="fa-IR"/>
        </w:rPr>
        <w:t xml:space="preserve"> السَّيِّئَاتِ وَتَرَكَ مَا حَرَّمَ اللهُ </w:t>
      </w:r>
      <w:r w:rsidR="006C577F" w:rsidRPr="006C577F">
        <w:rPr>
          <w:rStyle w:val="libFootnotenumChar"/>
          <w:rtl/>
        </w:rPr>
        <w:t>(6)</w:t>
      </w:r>
      <w:r w:rsidRPr="005B567D">
        <w:rPr>
          <w:rStyle w:val="libFootnotenumChar"/>
          <w:rtl/>
        </w:rPr>
        <w:t xml:space="preserve"> </w:t>
      </w:r>
      <w:r w:rsidRPr="00C9040A">
        <w:rPr>
          <w:rtl/>
          <w:lang w:bidi="fa-IR"/>
        </w:rPr>
        <w:t>، وَالْمُؤْمِنُ حَرَامٌ عَلَى الْمُؤْمِنِ أَنْ يَظْلِمَهُ ، أَوْ يَخْذُلَهُ ، أَوْ يَغْتَابَهُ ، أَوْ يَدْفَعَهُ دَفْعَةً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B00017">
        <w:rPr>
          <w:rtl/>
        </w:rPr>
        <w:t>2299</w:t>
      </w:r>
      <w:r w:rsidRPr="00261CB0">
        <w:rPr>
          <w:rStyle w:val="libBold2Char"/>
          <w:rtl/>
        </w:rPr>
        <w:t xml:space="preserve"> / 20.</w:t>
      </w:r>
      <w:r w:rsidRPr="00C9040A">
        <w:rPr>
          <w:rtl/>
          <w:lang w:bidi="fa-IR"/>
        </w:rPr>
        <w:t xml:space="preserve"> مُحَمَّدُ بْنُ يَحْيى ، عَنْ أَحْمَدَ بْنِ مُحَمَّدِ بْنِ عِيسى ، عَنْ مُحَمَّدِ بْنِ سِنَانٍ ، عَنْ مُفَضَّلِ بْنِ عُمَرَ ، عَنْ أَبِي أَيُّوبَ الْعَطَّارِ ، عَنْ جَابِرٍ ، قَالَ :</w:t>
      </w:r>
    </w:p>
    <w:p w:rsidR="008A74EB" w:rsidRPr="00C9040A" w:rsidRDefault="008A74EB" w:rsidP="008A74EB">
      <w:pPr>
        <w:pStyle w:val="libNormal"/>
        <w:rPr>
          <w:rtl/>
          <w:lang w:bidi="fa-IR"/>
        </w:rPr>
      </w:pPr>
      <w:r w:rsidRPr="00C9040A">
        <w:rPr>
          <w:rtl/>
          <w:lang w:bidi="fa-IR"/>
        </w:rPr>
        <w:t xml:space="preserve">قَالَ أَبُو جَعْفَرٍ </w:t>
      </w:r>
      <w:r w:rsidRPr="0003660B">
        <w:rPr>
          <w:rStyle w:val="libAlaemChar"/>
          <w:rtl/>
        </w:rPr>
        <w:t>عليه‌السلام</w:t>
      </w:r>
      <w:r w:rsidRPr="00C9040A">
        <w:rPr>
          <w:rtl/>
          <w:lang w:bidi="fa-IR"/>
        </w:rPr>
        <w:t xml:space="preserve"> : « إِنَّمَا شِيعَةُ عَلِيٍّ </w:t>
      </w:r>
      <w:r w:rsidRPr="0003660B">
        <w:rPr>
          <w:rStyle w:val="libAlaemChar"/>
          <w:rtl/>
        </w:rPr>
        <w:t>عليه‌السلام</w:t>
      </w:r>
      <w:r w:rsidRPr="00C9040A">
        <w:rPr>
          <w:rtl/>
          <w:lang w:bidi="fa-IR"/>
        </w:rPr>
        <w:t xml:space="preserve"> الْحُلَمَاءُ الْعُلَمَاءُ </w:t>
      </w:r>
      <w:r w:rsidR="006C577F" w:rsidRPr="006C577F">
        <w:rPr>
          <w:rStyle w:val="libFootnotenumChar"/>
          <w:rtl/>
        </w:rPr>
        <w:t>(8)</w:t>
      </w:r>
      <w:r w:rsidRPr="00C9040A">
        <w:rPr>
          <w:rtl/>
          <w:lang w:bidi="fa-IR"/>
        </w:rPr>
        <w:t xml:space="preserve"> ، الذُّبُلُ الشِّفَاهِ ، تُعْرَفُ </w:t>
      </w:r>
      <w:r w:rsidR="006C577F" w:rsidRPr="006C577F">
        <w:rPr>
          <w:rStyle w:val="libFootnotenumChar"/>
          <w:rtl/>
        </w:rPr>
        <w:t>(9)</w:t>
      </w:r>
      <w:r w:rsidRPr="00C9040A">
        <w:rPr>
          <w:rtl/>
          <w:lang w:bidi="fa-IR"/>
        </w:rPr>
        <w:t xml:space="preserve"> الرَّهْبَانِيَّةُ عَلى </w:t>
      </w:r>
      <w:r w:rsidR="006C577F" w:rsidRPr="006C577F">
        <w:rPr>
          <w:rStyle w:val="libFootnotenumChar"/>
          <w:rtl/>
        </w:rPr>
        <w:t>(10)</w:t>
      </w:r>
      <w:r w:rsidRPr="00C9040A">
        <w:rPr>
          <w:rtl/>
          <w:lang w:bidi="fa-IR"/>
        </w:rPr>
        <w:t xml:space="preserve"> وُجُوهِهِمْ »</w:t>
      </w:r>
      <w:r>
        <w:rPr>
          <w:rtl/>
          <w:lang w:bidi="fa-IR"/>
        </w:rPr>
        <w:t>.</w:t>
      </w:r>
      <w:r w:rsidRPr="00C9040A">
        <w:rPr>
          <w:rtl/>
          <w:lang w:bidi="fa-IR"/>
        </w:rPr>
        <w:t xml:space="preserve"> </w:t>
      </w:r>
      <w:r w:rsidR="006C577F" w:rsidRPr="006C577F">
        <w:rPr>
          <w:rStyle w:val="libFootnotenumChar"/>
          <w:rtl/>
        </w:rPr>
        <w:t>(11)</w:t>
      </w:r>
      <w:r w:rsidRPr="00C9040A">
        <w:rPr>
          <w:rtl/>
          <w:lang w:bidi="fa-IR"/>
        </w:rPr>
        <w:t xml:space="preserve"> ‌</w:t>
      </w:r>
    </w:p>
    <w:p w:rsidR="008A74EB" w:rsidRPr="00C9040A" w:rsidRDefault="008A74EB" w:rsidP="008A74EB">
      <w:pPr>
        <w:pStyle w:val="libNormal"/>
        <w:rPr>
          <w:rtl/>
          <w:lang w:bidi="fa-IR"/>
        </w:rPr>
      </w:pPr>
      <w:r w:rsidRPr="00261CB0">
        <w:rPr>
          <w:rStyle w:val="libBold2Char"/>
          <w:rtl/>
        </w:rPr>
        <w:t>2300 / 21.</w:t>
      </w:r>
      <w:r w:rsidRPr="00C9040A">
        <w:rPr>
          <w:rtl/>
          <w:lang w:bidi="fa-IR"/>
        </w:rPr>
        <w:t xml:space="preserve"> عِدَّةٌ مِنْ أَصْحَابِنَا ، عَنْ أَحْمَدَ بْنِ مُحَمَّدِ بْنِ خَالِدٍ ، عَنِ الْحَسَنِ بْنِ مَحْبُوبٍ ، عَنْ عَبْدِ اللهِ بْنِ سِنَانٍ ، عَنْ مَعْرُوفِ بْنِ خَرَّبُوذَ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صَلّى </w:t>
      </w:r>
      <w:r w:rsidR="006C577F" w:rsidRPr="006C577F">
        <w:rPr>
          <w:rStyle w:val="libFootnotenumChar"/>
          <w:rtl/>
        </w:rPr>
        <w:t>(12)</w:t>
      </w:r>
      <w:r w:rsidRPr="00C9040A">
        <w:rPr>
          <w:rtl/>
          <w:lang w:bidi="fa-IR"/>
        </w:rPr>
        <w:t xml:space="preserve"> أَمِيرُ الْمُؤْمِنِينَ </w:t>
      </w:r>
      <w:r w:rsidRPr="0003660B">
        <w:rPr>
          <w:rStyle w:val="libAlaemChar"/>
          <w:rtl/>
        </w:rPr>
        <w:t>عليه‌السلام</w:t>
      </w:r>
      <w:r w:rsidRPr="00C9040A">
        <w:rPr>
          <w:rtl/>
          <w:lang w:bidi="fa-IR"/>
        </w:rPr>
        <w:t xml:space="preserve"> بِالنَّاسِ الصُّبْحَ بِالْعِرَاقِ ، فَلَمَّا </w:t>
      </w:r>
      <w:r w:rsidRPr="005B567D">
        <w:rPr>
          <w:rStyle w:val="libFootnotenumChar"/>
          <w:rtl/>
        </w:rPr>
        <w:t>(13)</w:t>
      </w:r>
      <w:r w:rsidRPr="00C9040A">
        <w:rPr>
          <w:rtl/>
          <w:lang w:bidi="fa-IR"/>
        </w:rPr>
        <w:t xml:space="preserve"> انْصَرَفَ وَعَظَهُمْ ، فَبَكى وَأَبْكَاهُمْ مِنْ خَوْفِ اللهِ ، ثُمَّ قَالَ : أَمَا وَاللهِ ، لَقَدْ عَهِدْتُ أَقْوَاماً‌</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ب » وحاشية « ض ، ف » : « المسلمون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ز ، ف » : « أموالهم وأنفسهم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ج ، د ، ز ، ف ، بف » : « المسلم »</w:t>
      </w:r>
      <w:r w:rsidR="008A74EB">
        <w:rPr>
          <w:rtl/>
        </w:rPr>
        <w:t>.</w:t>
      </w:r>
    </w:p>
    <w:tbl>
      <w:tblPr>
        <w:tblStyle w:val="TableGrid"/>
        <w:bidiVisual/>
        <w:tblW w:w="0" w:type="auto"/>
        <w:tblLook w:val="04A0" w:firstRow="1" w:lastRow="0" w:firstColumn="1" w:lastColumn="0" w:noHBand="0" w:noVBand="1"/>
      </w:tblPr>
      <w:tblGrid>
        <w:gridCol w:w="4006"/>
        <w:gridCol w:w="4006"/>
      </w:tblGrid>
      <w:tr w:rsidR="00347187" w:rsidTr="00347187">
        <w:tc>
          <w:tcPr>
            <w:tcW w:w="4006" w:type="dxa"/>
          </w:tcPr>
          <w:p w:rsidR="00347187" w:rsidRDefault="00347187" w:rsidP="004A4E41">
            <w:pPr>
              <w:pStyle w:val="libFootnote0"/>
              <w:rPr>
                <w:rtl/>
              </w:rPr>
            </w:pPr>
            <w:r>
              <w:rPr>
                <w:rtl/>
              </w:rPr>
              <w:t>(4).</w:t>
            </w:r>
            <w:r w:rsidRPr="00C9040A">
              <w:rPr>
                <w:rtl/>
              </w:rPr>
              <w:t xml:space="preserve"> في « ب ، </w:t>
            </w:r>
            <w:r>
              <w:rPr>
                <w:rtl/>
              </w:rPr>
              <w:t xml:space="preserve">ه </w:t>
            </w:r>
            <w:r w:rsidRPr="00C9040A">
              <w:rPr>
                <w:rtl/>
              </w:rPr>
              <w:t>» والوسائل : « يده ولسانه »</w:t>
            </w:r>
            <w:r>
              <w:rPr>
                <w:rtl/>
              </w:rPr>
              <w:t>.</w:t>
            </w:r>
          </w:p>
        </w:tc>
        <w:tc>
          <w:tcPr>
            <w:tcW w:w="4006" w:type="dxa"/>
          </w:tcPr>
          <w:p w:rsidR="00347187" w:rsidRDefault="00347187" w:rsidP="004A4E41">
            <w:pPr>
              <w:pStyle w:val="libFootnote0"/>
              <w:rPr>
                <w:rtl/>
              </w:rPr>
            </w:pPr>
            <w:r>
              <w:rPr>
                <w:rtl/>
              </w:rPr>
              <w:t>(5).</w:t>
            </w:r>
            <w:r w:rsidRPr="00C9040A">
              <w:rPr>
                <w:rtl/>
              </w:rPr>
              <w:t xml:space="preserve"> في « ز ، ف » : « هاجر »</w:t>
            </w:r>
            <w:r>
              <w:rPr>
                <w:rtl/>
              </w:rPr>
              <w:t>.</w:t>
            </w:r>
          </w:p>
        </w:tc>
      </w:tr>
    </w:tbl>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ز ، بف » : + « عليه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المحاسن</w:t>
      </w:r>
      <w:r w:rsidR="008A74EB" w:rsidRPr="00C9040A">
        <w:rPr>
          <w:rtl/>
        </w:rPr>
        <w:t xml:space="preserve"> ، ص 285 ، كتاب مصابيح الظلم ، ح 426 ، بسند آخر عن أبي‌النعمان ، عن أبي‌جعفر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الفقيه</w:t>
      </w:r>
      <w:r w:rsidR="008A74EB" w:rsidRPr="00C9040A">
        <w:rPr>
          <w:rtl/>
        </w:rPr>
        <w:t xml:space="preserve"> ، ج 4 ، ص 362 ، ح 5762 ، ضمن وصايا النبيّ لعليّ </w:t>
      </w:r>
      <w:r w:rsidR="00117575" w:rsidRPr="00117575">
        <w:rPr>
          <w:rStyle w:val="libFootnoteAlaemChar"/>
          <w:rtl/>
        </w:rPr>
        <w:t>عليه‌السلام</w:t>
      </w:r>
      <w:r w:rsidR="008A74EB" w:rsidRPr="00C9040A">
        <w:rPr>
          <w:rtl/>
        </w:rPr>
        <w:t xml:space="preserve"> ، بسند آخر عن جعفر بن محمّد ، عن آبائه </w:t>
      </w:r>
      <w:r w:rsidR="00117575" w:rsidRPr="00117575">
        <w:rPr>
          <w:rStyle w:val="libFootnoteAlaemChar"/>
          <w:rtl/>
        </w:rPr>
        <w:t>عليهم‌السلام</w:t>
      </w:r>
      <w:r w:rsidR="008A74EB" w:rsidRPr="00C9040A">
        <w:rPr>
          <w:rtl/>
        </w:rPr>
        <w:t xml:space="preserve"> عن النبيّ </w:t>
      </w:r>
      <w:r w:rsidR="004A4E41" w:rsidRPr="00347187">
        <w:rPr>
          <w:rStyle w:val="libFootnoteAlaemChar"/>
          <w:rtl/>
        </w:rPr>
        <w:t>صلى‌الله‌عليه‌وآله</w:t>
      </w:r>
      <w:r w:rsidR="008A74EB" w:rsidRPr="00C9040A">
        <w:rPr>
          <w:rtl/>
        </w:rPr>
        <w:t xml:space="preserve">. </w:t>
      </w:r>
      <w:r w:rsidR="008A74EB" w:rsidRPr="00993B55">
        <w:rPr>
          <w:rStyle w:val="libFootnoteBoldChar"/>
          <w:rtl/>
        </w:rPr>
        <w:t>صفات الشيعة</w:t>
      </w:r>
      <w:r w:rsidR="008A74EB" w:rsidRPr="00C9040A">
        <w:rPr>
          <w:rtl/>
        </w:rPr>
        <w:t xml:space="preserve"> ، ص 31 ، ح 43 ، بسند آخر عن أبي‌عبدالله </w:t>
      </w:r>
      <w:r w:rsidR="00117575" w:rsidRPr="00117575">
        <w:rPr>
          <w:rStyle w:val="libFootnoteAlaemChar"/>
          <w:rtl/>
        </w:rPr>
        <w:t>عليه‌السلام</w:t>
      </w:r>
      <w:r w:rsidR="008A74EB" w:rsidRPr="00C9040A">
        <w:rPr>
          <w:rtl/>
        </w:rPr>
        <w:t xml:space="preserve"> عن النبيّ </w:t>
      </w:r>
      <w:r w:rsidR="004A4E41" w:rsidRPr="00347187">
        <w:rPr>
          <w:rStyle w:val="libFootnoteAlaemChar"/>
          <w:rtl/>
        </w:rPr>
        <w:t>صلى‌الله‌عليه‌وآله</w:t>
      </w:r>
      <w:r w:rsidR="008A74EB" w:rsidRPr="00C9040A">
        <w:rPr>
          <w:rtl/>
        </w:rPr>
        <w:t xml:space="preserve">. </w:t>
      </w:r>
      <w:r w:rsidR="008A74EB" w:rsidRPr="00993B55">
        <w:rPr>
          <w:rStyle w:val="libFootnoteBoldChar"/>
          <w:rtl/>
        </w:rPr>
        <w:t>علل الشرائع</w:t>
      </w:r>
      <w:r w:rsidR="008A74EB" w:rsidRPr="00C9040A">
        <w:rPr>
          <w:rtl/>
        </w:rPr>
        <w:t xml:space="preserve"> ، ص 523 ، ضمن ح 2 ، بسند آخر عن جعفر بن محمّد ، عن أبيه </w:t>
      </w:r>
      <w:r w:rsidR="00117575" w:rsidRPr="00117575">
        <w:rPr>
          <w:rStyle w:val="libFootnoteAlaemChar"/>
          <w:rtl/>
        </w:rPr>
        <w:t>عليهما‌السلام</w:t>
      </w:r>
      <w:r w:rsidR="008A74EB" w:rsidRPr="00C9040A">
        <w:rPr>
          <w:rtl/>
        </w:rPr>
        <w:t xml:space="preserve"> عن النبيّ </w:t>
      </w:r>
      <w:r w:rsidR="004A4E41" w:rsidRPr="00347187">
        <w:rPr>
          <w:rStyle w:val="libFootnoteAlaemChar"/>
          <w:rtl/>
        </w:rPr>
        <w:t>صلى‌الله‌عليه‌وآله</w:t>
      </w:r>
      <w:r w:rsidR="008A74EB" w:rsidRPr="00C9040A">
        <w:rPr>
          <w:rtl/>
        </w:rPr>
        <w:t xml:space="preserve"> ، وفي كلّها إلى قوله : « وترك ما حرّم الله » مع اختلاف يسير </w:t>
      </w:r>
      <w:r w:rsidR="00347187">
        <w:rPr>
          <w:rFonts w:hint="cs"/>
          <w:rtl/>
        </w:rPr>
        <w:t>.</w:t>
      </w:r>
      <w:r w:rsidR="008A74EB" w:rsidRPr="00993B55">
        <w:rPr>
          <w:rStyle w:val="libFootnoteBoldChar"/>
          <w:rtl/>
        </w:rPr>
        <w:t>الوافي</w:t>
      </w:r>
      <w:r w:rsidR="008A74EB" w:rsidRPr="00C9040A">
        <w:rPr>
          <w:rtl/>
        </w:rPr>
        <w:t xml:space="preserve"> ، ج 4 ، ص 162 ، ح 1756 ؛ </w:t>
      </w:r>
      <w:r w:rsidR="008A74EB" w:rsidRPr="00993B55">
        <w:rPr>
          <w:rStyle w:val="libFootnoteBoldChar"/>
          <w:rtl/>
        </w:rPr>
        <w:t>الوسائل</w:t>
      </w:r>
      <w:r w:rsidR="008A74EB" w:rsidRPr="00C9040A">
        <w:rPr>
          <w:rtl/>
        </w:rPr>
        <w:t xml:space="preserve"> ، ج 12 ، ص 278 ، ح 16300 ؛ </w:t>
      </w:r>
      <w:r w:rsidR="008A74EB" w:rsidRPr="00993B55">
        <w:rPr>
          <w:rStyle w:val="libFootnoteBoldChar"/>
          <w:rtl/>
        </w:rPr>
        <w:t>البحار</w:t>
      </w:r>
      <w:r w:rsidR="008A74EB" w:rsidRPr="00C9040A">
        <w:rPr>
          <w:rtl/>
        </w:rPr>
        <w:t xml:space="preserve"> ، ج 67 ، ص 358 ، ح 62.</w:t>
      </w:r>
    </w:p>
    <w:tbl>
      <w:tblPr>
        <w:tblStyle w:val="TableGrid"/>
        <w:bidiVisual/>
        <w:tblW w:w="0" w:type="auto"/>
        <w:tblLook w:val="04A0" w:firstRow="1" w:lastRow="0" w:firstColumn="1" w:lastColumn="0" w:noHBand="0" w:noVBand="1"/>
      </w:tblPr>
      <w:tblGrid>
        <w:gridCol w:w="4006"/>
        <w:gridCol w:w="4006"/>
      </w:tblGrid>
      <w:tr w:rsidR="00FD7A07" w:rsidTr="00FD7A07">
        <w:tc>
          <w:tcPr>
            <w:tcW w:w="4006" w:type="dxa"/>
          </w:tcPr>
          <w:p w:rsidR="00FD7A07" w:rsidRDefault="00FD7A07" w:rsidP="004A4E41">
            <w:pPr>
              <w:pStyle w:val="libFootnote0"/>
              <w:rPr>
                <w:rtl/>
              </w:rPr>
            </w:pPr>
            <w:r>
              <w:rPr>
                <w:rtl/>
              </w:rPr>
              <w:t>(8).</w:t>
            </w:r>
            <w:r w:rsidRPr="00C9040A">
              <w:rPr>
                <w:rtl/>
              </w:rPr>
              <w:t xml:space="preserve"> في شرح المازندراني : « العلماء الحلماء »</w:t>
            </w:r>
            <w:r>
              <w:rPr>
                <w:rtl/>
              </w:rPr>
              <w:t>.</w:t>
            </w:r>
          </w:p>
        </w:tc>
        <w:tc>
          <w:tcPr>
            <w:tcW w:w="4006" w:type="dxa"/>
          </w:tcPr>
          <w:p w:rsidR="00FD7A07" w:rsidRDefault="00FD7A07" w:rsidP="004A4E41">
            <w:pPr>
              <w:pStyle w:val="libFootnote0"/>
              <w:rPr>
                <w:rtl/>
              </w:rPr>
            </w:pPr>
            <w:r>
              <w:rPr>
                <w:rtl/>
              </w:rPr>
              <w:t>(9).</w:t>
            </w:r>
            <w:r w:rsidRPr="00C9040A">
              <w:rPr>
                <w:rtl/>
              </w:rPr>
              <w:t xml:space="preserve"> في « بر » : « يعرف »</w:t>
            </w:r>
            <w:r>
              <w:rPr>
                <w:rtl/>
              </w:rPr>
              <w:t>.</w:t>
            </w:r>
          </w:p>
        </w:tc>
      </w:tr>
    </w:tbl>
    <w:p w:rsidR="008A74EB" w:rsidRPr="00C9040A" w:rsidRDefault="006C577F" w:rsidP="004A4E41">
      <w:pPr>
        <w:pStyle w:val="libFootnote0"/>
        <w:rPr>
          <w:rtl/>
          <w:lang w:bidi="fa-IR"/>
        </w:rPr>
      </w:pPr>
      <w:r>
        <w:rPr>
          <w:rtl/>
        </w:rPr>
        <w:t>(10).</w:t>
      </w:r>
      <w:r w:rsidR="008A74EB" w:rsidRPr="00C9040A">
        <w:rPr>
          <w:rtl/>
        </w:rPr>
        <w:t xml:space="preserve"> في « ص » : « عن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w:t>
      </w:r>
      <w:r w:rsidR="008A74EB" w:rsidRPr="00993B55">
        <w:rPr>
          <w:rStyle w:val="libFootnoteBoldChar"/>
          <w:rtl/>
        </w:rPr>
        <w:t>الوافي</w:t>
      </w:r>
      <w:r w:rsidR="008A74EB" w:rsidRPr="00C9040A">
        <w:rPr>
          <w:rtl/>
        </w:rPr>
        <w:t xml:space="preserve"> ، ج 4 ، ص 171 ، ح 1778 ؛ </w:t>
      </w:r>
      <w:r w:rsidR="008A74EB" w:rsidRPr="00993B55">
        <w:rPr>
          <w:rStyle w:val="libFootnoteBoldChar"/>
          <w:rtl/>
        </w:rPr>
        <w:t>البحار</w:t>
      </w:r>
      <w:r w:rsidR="008A74EB" w:rsidRPr="00C9040A">
        <w:rPr>
          <w:rtl/>
        </w:rPr>
        <w:t xml:space="preserve"> ، ج 68 ، ص 189 ، ح 44.</w:t>
      </w:r>
    </w:p>
    <w:tbl>
      <w:tblPr>
        <w:tblStyle w:val="TableGrid"/>
        <w:bidiVisual/>
        <w:tblW w:w="0" w:type="auto"/>
        <w:tblLook w:val="04A0" w:firstRow="1" w:lastRow="0" w:firstColumn="1" w:lastColumn="0" w:noHBand="0" w:noVBand="1"/>
      </w:tblPr>
      <w:tblGrid>
        <w:gridCol w:w="4006"/>
        <w:gridCol w:w="4006"/>
      </w:tblGrid>
      <w:tr w:rsidR="00FD7A07" w:rsidTr="00FD7A07">
        <w:tc>
          <w:tcPr>
            <w:tcW w:w="4006" w:type="dxa"/>
          </w:tcPr>
          <w:p w:rsidR="00FD7A07" w:rsidRDefault="00FD7A07" w:rsidP="004A4E41">
            <w:pPr>
              <w:pStyle w:val="libFootnote0"/>
              <w:rPr>
                <w:rtl/>
              </w:rPr>
            </w:pPr>
            <w:r>
              <w:rPr>
                <w:rtl/>
              </w:rPr>
              <w:t>(12).</w:t>
            </w:r>
            <w:r w:rsidRPr="00C9040A">
              <w:rPr>
                <w:rtl/>
              </w:rPr>
              <w:t xml:space="preserve"> في « ب » : + « عليّ »</w:t>
            </w:r>
            <w:r>
              <w:rPr>
                <w:rtl/>
              </w:rPr>
              <w:t>.</w:t>
            </w:r>
          </w:p>
        </w:tc>
        <w:tc>
          <w:tcPr>
            <w:tcW w:w="4006" w:type="dxa"/>
          </w:tcPr>
          <w:p w:rsidR="00FD7A07" w:rsidRDefault="00FD7A07" w:rsidP="004A4E41">
            <w:pPr>
              <w:pStyle w:val="libFootnote0"/>
              <w:rPr>
                <w:rtl/>
              </w:rPr>
            </w:pPr>
            <w:r>
              <w:rPr>
                <w:rtl/>
              </w:rPr>
              <w:t>(13)</w:t>
            </w:r>
            <w:r w:rsidRPr="00C9040A">
              <w:rPr>
                <w:rtl/>
              </w:rPr>
              <w:t xml:space="preserve"> في « </w:t>
            </w:r>
            <w:r>
              <w:rPr>
                <w:rtl/>
              </w:rPr>
              <w:t xml:space="preserve">ه </w:t>
            </w:r>
            <w:r w:rsidRPr="00C9040A">
              <w:rPr>
                <w:rtl/>
              </w:rPr>
              <w:t>» : + « أن »</w:t>
            </w:r>
            <w:r>
              <w:rPr>
                <w:rtl/>
              </w:rPr>
              <w:t>.</w:t>
            </w:r>
          </w:p>
        </w:tc>
      </w:tr>
    </w:tbl>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عَلى عَهْدِ خَلِيلِي رَسُولِ اللهِ </w:t>
      </w:r>
      <w:r w:rsidR="004A4E41" w:rsidRPr="004A4E41">
        <w:rPr>
          <w:rStyle w:val="libAlaemChar"/>
          <w:rtl/>
        </w:rPr>
        <w:t>صلى‌الله‌عليه‌وآله</w:t>
      </w:r>
      <w:r w:rsidRPr="00C9040A">
        <w:rPr>
          <w:rtl/>
          <w:lang w:bidi="fa-IR"/>
        </w:rPr>
        <w:t xml:space="preserve"> ، وَ</w:t>
      </w:r>
      <w:r>
        <w:rPr>
          <w:rFonts w:hint="cs"/>
          <w:rtl/>
          <w:lang w:bidi="fa-IR"/>
        </w:rPr>
        <w:t xml:space="preserve"> </w:t>
      </w:r>
      <w:r w:rsidR="006C577F" w:rsidRPr="006C577F">
        <w:rPr>
          <w:rStyle w:val="libFootnotenumChar"/>
          <w:rtl/>
        </w:rPr>
        <w:t>(1)</w:t>
      </w:r>
      <w:r w:rsidRPr="00C9040A">
        <w:rPr>
          <w:rtl/>
          <w:lang w:bidi="fa-IR"/>
        </w:rPr>
        <w:t xml:space="preserve"> إِنَّهُمْ لَيُصْبِحُونَ وَيُمْسُونَ شُعْثاً </w:t>
      </w:r>
      <w:r w:rsidR="006C577F" w:rsidRPr="006C577F">
        <w:rPr>
          <w:rStyle w:val="libFootnotenumChar"/>
          <w:rtl/>
        </w:rPr>
        <w:t>(2)</w:t>
      </w:r>
      <w:r w:rsidRPr="00C9040A">
        <w:rPr>
          <w:rtl/>
          <w:lang w:bidi="fa-IR"/>
        </w:rPr>
        <w:t xml:space="preserve"> غُبْراً </w:t>
      </w:r>
      <w:r w:rsidR="006C577F" w:rsidRPr="006C577F">
        <w:rPr>
          <w:rStyle w:val="libFootnotenumChar"/>
          <w:rtl/>
        </w:rPr>
        <w:t>(3)</w:t>
      </w:r>
      <w:r w:rsidRPr="00C9040A">
        <w:rPr>
          <w:rtl/>
          <w:lang w:bidi="fa-IR"/>
        </w:rPr>
        <w:t xml:space="preserve"> خُمْصاً </w:t>
      </w:r>
      <w:r w:rsidR="006C577F" w:rsidRPr="006C577F">
        <w:rPr>
          <w:rStyle w:val="libFootnotenumChar"/>
          <w:rtl/>
        </w:rPr>
        <w:t>(4)</w:t>
      </w:r>
      <w:r w:rsidRPr="00C9040A">
        <w:rPr>
          <w:rtl/>
          <w:lang w:bidi="fa-IR"/>
        </w:rPr>
        <w:t xml:space="preserve"> ، بَيْنَ أَعْيُنِهِمْ كَرُكَبِ </w:t>
      </w:r>
      <w:r w:rsidR="006C577F" w:rsidRPr="006C577F">
        <w:rPr>
          <w:rStyle w:val="libFootnotenumChar"/>
          <w:rtl/>
        </w:rPr>
        <w:t>(5)</w:t>
      </w:r>
      <w:r w:rsidRPr="00C9040A">
        <w:rPr>
          <w:rtl/>
          <w:lang w:bidi="fa-IR"/>
        </w:rPr>
        <w:t xml:space="preserve"> الْمِعْزى </w:t>
      </w:r>
      <w:r w:rsidR="006C577F" w:rsidRPr="006C577F">
        <w:rPr>
          <w:rStyle w:val="libFootnotenumChar"/>
          <w:rtl/>
        </w:rPr>
        <w:t>(6)</w:t>
      </w:r>
      <w:r w:rsidRPr="005B567D">
        <w:rPr>
          <w:rStyle w:val="libFootnotenumChar"/>
          <w:rtl/>
        </w:rPr>
        <w:t xml:space="preserve"> </w:t>
      </w:r>
      <w:r w:rsidRPr="00C9040A">
        <w:rPr>
          <w:rtl/>
          <w:lang w:bidi="fa-IR"/>
        </w:rPr>
        <w:t xml:space="preserve">، يَبِيتُونَ لِرَبِّهِمْ سُجَّداً وَقِيَاماً ، يُرَاوِحُونَ بَيْنَ أَقْدَامِهِمْ وَجِبَاهِهِمْ </w:t>
      </w:r>
      <w:r w:rsidR="006C577F" w:rsidRPr="006C577F">
        <w:rPr>
          <w:rStyle w:val="libFootnotenumChar"/>
          <w:rtl/>
        </w:rPr>
        <w:t>(7)</w:t>
      </w:r>
      <w:r w:rsidRPr="00C9040A">
        <w:rPr>
          <w:rtl/>
          <w:lang w:bidi="fa-IR"/>
        </w:rPr>
        <w:t xml:space="preserve"> ، يُنَاجُونَ رَبَّهُمْ ، وَيَسْأَلُونَهُ </w:t>
      </w:r>
      <w:r w:rsidR="006C577F" w:rsidRPr="006C577F">
        <w:rPr>
          <w:rStyle w:val="libFootnotenumChar"/>
          <w:rtl/>
        </w:rPr>
        <w:t>(8)</w:t>
      </w:r>
      <w:r w:rsidRPr="00C9040A">
        <w:rPr>
          <w:rtl/>
          <w:lang w:bidi="fa-IR"/>
        </w:rPr>
        <w:t xml:space="preserve"> فَكَاكَ رِقَابِهِمْ مِنَ النَّارِ ، وَاللهِ لَقَدْ رَأَيْتُهُمْ مَعَ </w:t>
      </w:r>
      <w:r w:rsidR="006C577F" w:rsidRPr="006C577F">
        <w:rPr>
          <w:rStyle w:val="libFootnotenumChar"/>
          <w:rtl/>
        </w:rPr>
        <w:t>(9)</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ض » </w:t>
      </w:r>
      <w:r w:rsidR="008A74EB">
        <w:rPr>
          <w:rtl/>
        </w:rPr>
        <w:t xml:space="preserve">: </w:t>
      </w:r>
      <w:r w:rsidR="0084262C">
        <w:rPr>
          <w:rtl/>
        </w:rPr>
        <w:t>-</w:t>
      </w:r>
      <w:r w:rsidR="008A74EB" w:rsidRPr="00C9040A">
        <w:rPr>
          <w:rtl/>
        </w:rPr>
        <w:t xml:space="preserve"> « </w:t>
      </w:r>
      <w:r w:rsidR="008A74EB">
        <w:rPr>
          <w:rtl/>
        </w:rPr>
        <w:t>و ».</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الشُّعْثُ ، بضمّ الشين وسكون</w:t>
      </w:r>
      <w:r w:rsidR="00FD7A07">
        <w:rPr>
          <w:rtl/>
        </w:rPr>
        <w:t xml:space="preserve"> العين : جمع الأشعث ، قال العل</w:t>
      </w:r>
      <w:r w:rsidR="00FD7A07">
        <w:rPr>
          <w:rFonts w:hint="cs"/>
          <w:rtl/>
        </w:rPr>
        <w:t>ّ</w:t>
      </w:r>
      <w:r w:rsidR="00FD7A07">
        <w:rPr>
          <w:rtl/>
        </w:rPr>
        <w:t>ا</w:t>
      </w:r>
      <w:r w:rsidR="008A74EB" w:rsidRPr="00C9040A">
        <w:rPr>
          <w:rtl/>
        </w:rPr>
        <w:t>مة المازندراني في شرحه : « والأشعث : المنتشر أمره ، والمتغيّر لونه ، والمتلبّد شعره لقلّه تعهّده بالدهن ، والمتّسخ ثوبه من غير استحداد ولا تنظّف »</w:t>
      </w:r>
      <w:r w:rsidR="008A74EB">
        <w:rPr>
          <w:rtl/>
        </w:rPr>
        <w:t>.</w:t>
      </w:r>
      <w:r w:rsidR="008A74EB" w:rsidRPr="00C9040A">
        <w:rPr>
          <w:rtl/>
        </w:rPr>
        <w:t xml:space="preserve"> راجع : </w:t>
      </w:r>
      <w:r w:rsidR="008A74EB" w:rsidRPr="00993B55">
        <w:rPr>
          <w:rStyle w:val="libFootnoteBoldChar"/>
          <w:rtl/>
        </w:rPr>
        <w:t>المصباح المنير</w:t>
      </w:r>
      <w:r w:rsidR="008A74EB" w:rsidRPr="00C9040A">
        <w:rPr>
          <w:rtl/>
        </w:rPr>
        <w:t xml:space="preserve"> ، ص 314 ( شعث )</w:t>
      </w:r>
      <w:r w:rsidR="008A74EB">
        <w:rPr>
          <w:rtl/>
        </w:rPr>
        <w:t>.</w:t>
      </w:r>
    </w:p>
    <w:p w:rsidR="008A74EB" w:rsidRPr="00C9040A" w:rsidRDefault="008A74EB" w:rsidP="004A4E41">
      <w:pPr>
        <w:pStyle w:val="libFootnote0"/>
        <w:rPr>
          <w:rtl/>
          <w:lang w:bidi="fa-IR"/>
        </w:rPr>
      </w:pPr>
      <w:r w:rsidRPr="00323A39">
        <w:rPr>
          <w:rtl/>
        </w:rPr>
        <w:t xml:space="preserve">وفي </w:t>
      </w:r>
      <w:r w:rsidRPr="00993B55">
        <w:rPr>
          <w:rStyle w:val="libFootnoteBoldChar"/>
          <w:rtl/>
        </w:rPr>
        <w:t>مرآة العقول</w:t>
      </w:r>
      <w:r w:rsidRPr="00323A39">
        <w:rPr>
          <w:rtl/>
        </w:rPr>
        <w:t xml:space="preserve"> : « فإن قيل : التمشّط والتدهّن والتنظّف كلّها مستحبّة مطلوبة للشارع ، فكيف مدحهم </w:t>
      </w:r>
      <w:r w:rsidR="00117575" w:rsidRPr="00117575">
        <w:rPr>
          <w:rStyle w:val="libFootnoteAlaemChar"/>
          <w:rtl/>
        </w:rPr>
        <w:t>عليهم‌السلام</w:t>
      </w:r>
      <w:r w:rsidRPr="00323A39">
        <w:rPr>
          <w:rtl/>
        </w:rPr>
        <w:t xml:space="preserve"> بتركها؟ قلنا : يحتمل أن يكون تلك الأحوال لفقرهم وعدم قدرتهم على إزالتها ، فالمدح على صبرهم على الفقر. أو المعنى أنّهم لايهتمّون بإزالتها زائداً على المستحبّ ، أو يقال : إذا كان تركها لشدّة الاهتمام بالعبادة وغلبة خوف الآخرة يكون ممدوحاً ».</w:t>
      </w:r>
    </w:p>
    <w:p w:rsidR="008A74EB" w:rsidRPr="00C9040A" w:rsidRDefault="006C577F" w:rsidP="004A4E41">
      <w:pPr>
        <w:pStyle w:val="libFootnote0"/>
        <w:rPr>
          <w:rtl/>
          <w:lang w:bidi="fa-IR"/>
        </w:rPr>
      </w:pPr>
      <w:r>
        <w:rPr>
          <w:rtl/>
        </w:rPr>
        <w:t>(3).</w:t>
      </w:r>
      <w:r w:rsidR="008A74EB" w:rsidRPr="00C9040A">
        <w:rPr>
          <w:rtl/>
        </w:rPr>
        <w:t xml:space="preserve"> الغُبْر » بضمّ الغين وسكون الباء : جمع الأغبر ، وهو المتلطّخ بالغبار ، أو هو الذي لونه الغُبْرة ، وهو لون الغبار. راجع : </w:t>
      </w:r>
      <w:r w:rsidR="008A74EB" w:rsidRPr="00993B55">
        <w:rPr>
          <w:rStyle w:val="libFootnoteBoldChar"/>
          <w:rtl/>
        </w:rPr>
        <w:t>لسان العرب</w:t>
      </w:r>
      <w:r w:rsidR="008A74EB" w:rsidRPr="00C9040A">
        <w:rPr>
          <w:rtl/>
        </w:rPr>
        <w:t xml:space="preserve"> ، ج 5 ، ص 5 ( غبر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الأمالي : « يمشون شعثاء غبراء خمصاء » بدل « يمسون</w:t>
      </w:r>
      <w:r w:rsidR="008A74EB">
        <w:rPr>
          <w:rtl/>
        </w:rPr>
        <w:t xml:space="preserve"> </w:t>
      </w:r>
      <w:r w:rsidR="0084262C">
        <w:rPr>
          <w:rtl/>
        </w:rPr>
        <w:t>-</w:t>
      </w:r>
      <w:r w:rsidR="008A74EB">
        <w:rPr>
          <w:rtl/>
        </w:rPr>
        <w:t xml:space="preserve"> </w:t>
      </w:r>
      <w:r w:rsidR="008A74EB" w:rsidRPr="00C9040A">
        <w:rPr>
          <w:rtl/>
        </w:rPr>
        <w:t>إلى</w:t>
      </w:r>
      <w:r w:rsidR="008A74EB">
        <w:rPr>
          <w:rtl/>
        </w:rPr>
        <w:t xml:space="preserve"> </w:t>
      </w:r>
      <w:r w:rsidR="0084262C">
        <w:rPr>
          <w:rtl/>
        </w:rPr>
        <w:t>-</w:t>
      </w:r>
      <w:r w:rsidR="008A74EB">
        <w:rPr>
          <w:rtl/>
        </w:rPr>
        <w:t xml:space="preserve"> </w:t>
      </w:r>
      <w:r w:rsidR="008A74EB" w:rsidRPr="00C9040A">
        <w:rPr>
          <w:rtl/>
        </w:rPr>
        <w:t>خمصاً »</w:t>
      </w:r>
      <w:r w:rsidR="008A74EB">
        <w:rPr>
          <w:rtl/>
        </w:rPr>
        <w:t>.</w:t>
      </w:r>
      <w:r w:rsidR="008A74EB" w:rsidRPr="00C9040A">
        <w:rPr>
          <w:rtl/>
        </w:rPr>
        <w:t xml:space="preserve"> </w:t>
      </w:r>
      <w:r w:rsidR="008A74EB">
        <w:rPr>
          <w:rtl/>
        </w:rPr>
        <w:t>و «</w:t>
      </w:r>
      <w:r w:rsidR="008A74EB" w:rsidRPr="00C9040A">
        <w:rPr>
          <w:rtl/>
        </w:rPr>
        <w:t xml:space="preserve"> الخمص » بضمّتين : جمع الخ</w:t>
      </w:r>
      <w:r w:rsidR="00FD7A07">
        <w:rPr>
          <w:rtl/>
        </w:rPr>
        <w:t>ميص ، وهو الجائع ، اختاره العل</w:t>
      </w:r>
      <w:r w:rsidR="00FD7A07">
        <w:rPr>
          <w:rFonts w:hint="cs"/>
          <w:rtl/>
        </w:rPr>
        <w:t>ّ</w:t>
      </w:r>
      <w:r w:rsidR="00FD7A07">
        <w:rPr>
          <w:rtl/>
        </w:rPr>
        <w:t>ا</w:t>
      </w:r>
      <w:r w:rsidR="008A74EB" w:rsidRPr="00C9040A">
        <w:rPr>
          <w:rtl/>
        </w:rPr>
        <w:t>مة المازندراني ، أو بضمّ الأوّل وسكون الثاني : جمع الأخمص ، وهو ضامر البطن ؛ من الخَمْص. والخَمَص والمخمصة : الجوع ، وهو خلاء</w:t>
      </w:r>
      <w:r w:rsidR="00401459">
        <w:rPr>
          <w:rtl/>
        </w:rPr>
        <w:t xml:space="preserve"> البطن من الطعام ؛ اختاره العل</w:t>
      </w:r>
      <w:r w:rsidR="00401459">
        <w:rPr>
          <w:rFonts w:hint="cs"/>
          <w:rtl/>
        </w:rPr>
        <w:t>ّ</w:t>
      </w:r>
      <w:r w:rsidR="00401459">
        <w:rPr>
          <w:rtl/>
        </w:rPr>
        <w:t>ا</w:t>
      </w:r>
      <w:r w:rsidR="008A74EB" w:rsidRPr="00C9040A">
        <w:rPr>
          <w:rtl/>
        </w:rPr>
        <w:t>مة المجلسي ، ثمّ قال : « أي بطونهم خالية إمّا لل</w:t>
      </w:r>
      <w:r w:rsidR="00401459">
        <w:rPr>
          <w:rtl/>
        </w:rPr>
        <w:t>صوم أو للفقر ، أو لايشبعون لئل</w:t>
      </w:r>
      <w:r w:rsidR="00401459">
        <w:rPr>
          <w:rFonts w:hint="cs"/>
          <w:rtl/>
        </w:rPr>
        <w:t>ّ</w:t>
      </w:r>
      <w:r w:rsidR="00401459">
        <w:rPr>
          <w:rtl/>
        </w:rPr>
        <w:t>ا</w:t>
      </w:r>
      <w:r w:rsidR="008A74EB" w:rsidRPr="00C9040A">
        <w:rPr>
          <w:rtl/>
        </w:rPr>
        <w:t xml:space="preserve"> يكسلوا في العبادة ، وقد مرّ »</w:t>
      </w:r>
      <w:r w:rsidR="008A74EB">
        <w:rPr>
          <w:rtl/>
        </w:rPr>
        <w:t>.</w:t>
      </w:r>
      <w:r w:rsidR="008A74EB" w:rsidRPr="00C9040A">
        <w:rPr>
          <w:rtl/>
        </w:rPr>
        <w:t xml:space="preserve"> راجع : </w:t>
      </w:r>
      <w:r w:rsidR="008A74EB" w:rsidRPr="00993B55">
        <w:rPr>
          <w:rStyle w:val="libFootnoteBoldChar"/>
          <w:rtl/>
        </w:rPr>
        <w:t>الصحاح</w:t>
      </w:r>
      <w:r w:rsidR="008A74EB" w:rsidRPr="00C9040A">
        <w:rPr>
          <w:rtl/>
        </w:rPr>
        <w:t xml:space="preserve"> ، ج 3 ، ص 38 ؛ </w:t>
      </w:r>
      <w:r w:rsidR="008A74EB" w:rsidRPr="00993B55">
        <w:rPr>
          <w:rStyle w:val="libFootnoteBoldChar"/>
          <w:rtl/>
        </w:rPr>
        <w:t>لسان العرب</w:t>
      </w:r>
      <w:r w:rsidR="008A74EB" w:rsidRPr="00C9040A">
        <w:rPr>
          <w:rtl/>
        </w:rPr>
        <w:t xml:space="preserve"> ، ج 7 ، ص 30 ( خمص )</w:t>
      </w:r>
      <w:r w:rsidR="008A74EB">
        <w:rPr>
          <w:rtl/>
        </w:rPr>
        <w:t>.</w:t>
      </w:r>
      <w:r w:rsidR="008A74EB" w:rsidRPr="00C9040A">
        <w:rPr>
          <w:rtl/>
        </w:rPr>
        <w:t xml:space="preserve"> هذا وقد نقلنا وجوهاً في ضبط هذه الكلمة ونظائرها ذيل الحديث 10 من هذا الباب.</w:t>
      </w:r>
    </w:p>
    <w:p w:rsidR="008A74EB" w:rsidRPr="00C9040A" w:rsidRDefault="006C577F" w:rsidP="004A4E41">
      <w:pPr>
        <w:pStyle w:val="libFootnote0"/>
        <w:rPr>
          <w:rtl/>
          <w:lang w:bidi="fa-IR"/>
        </w:rPr>
      </w:pPr>
      <w:r>
        <w:rPr>
          <w:rtl/>
        </w:rPr>
        <w:t>(5).</w:t>
      </w:r>
      <w:r w:rsidR="008A74EB" w:rsidRPr="00C9040A">
        <w:rPr>
          <w:rtl/>
        </w:rPr>
        <w:t xml:space="preserve"> في « ز » : « فكركب »</w:t>
      </w:r>
      <w:r w:rsidR="008A74EB">
        <w:rPr>
          <w:rtl/>
        </w:rPr>
        <w:t>.</w:t>
      </w:r>
      <w:r w:rsidR="008A74EB" w:rsidRPr="00C9040A">
        <w:rPr>
          <w:rtl/>
        </w:rPr>
        <w:t xml:space="preserve"> </w:t>
      </w:r>
      <w:r w:rsidR="008A74EB">
        <w:rPr>
          <w:rtl/>
        </w:rPr>
        <w:t>و «</w:t>
      </w:r>
      <w:r w:rsidR="008A74EB" w:rsidRPr="00C9040A">
        <w:rPr>
          <w:rtl/>
        </w:rPr>
        <w:t xml:space="preserve"> الرُّكَب » : جمع الرُّكْبَة ، وهو موصل ما بين أسافل أطراف الفخذ وأطراف الساق ، أوموصل الوظيف والذراع ، أو مرفق الذراع من كلّ شي‌ء. راجع : </w:t>
      </w:r>
      <w:r w:rsidR="008A74EB" w:rsidRPr="00993B55">
        <w:rPr>
          <w:rStyle w:val="libFootnoteBoldChar"/>
          <w:rtl/>
        </w:rPr>
        <w:t>لسان العرب</w:t>
      </w:r>
      <w:r w:rsidR="008A74EB" w:rsidRPr="00C9040A">
        <w:rPr>
          <w:rtl/>
        </w:rPr>
        <w:t xml:space="preserve"> ، ج 1 ، ص 433 ؛ </w:t>
      </w:r>
      <w:r w:rsidR="008A74EB" w:rsidRPr="00993B55">
        <w:rPr>
          <w:rStyle w:val="libFootnoteBoldChar"/>
          <w:rtl/>
        </w:rPr>
        <w:t>القاموس المحيط</w:t>
      </w:r>
      <w:r w:rsidR="008A74EB" w:rsidRPr="00C9040A">
        <w:rPr>
          <w:rtl/>
        </w:rPr>
        <w:t xml:space="preserve"> ، ج 1 ، ص 170 ( ركب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401459">
        <w:rPr>
          <w:rtl/>
        </w:rPr>
        <w:t>« الم</w:t>
      </w:r>
      <w:r w:rsidR="00401459">
        <w:rPr>
          <w:rFonts w:hint="cs"/>
          <w:rtl/>
        </w:rPr>
        <w:t>ـَ</w:t>
      </w:r>
      <w:r w:rsidR="008A74EB" w:rsidRPr="00C9040A">
        <w:rPr>
          <w:rtl/>
        </w:rPr>
        <w:t xml:space="preserve">عْز » : اسم جنس لا واحد له من لفظه ، وهو اسم جامع لذوات الشعر من الغنم ، والواحدة : شاة وكذلك المِعْزى ، وألفها للإلحاق ، لا للتأنيث ولهذا ينوّن في النكرة ويصغّر على مُعَيز ، ولو كانت الألف للتأنيث لم تحذف. وقال الفرّاء : المعزى مؤنّثة. راجع : </w:t>
      </w:r>
      <w:r w:rsidR="008A74EB" w:rsidRPr="00993B55">
        <w:rPr>
          <w:rStyle w:val="libFootnoteBoldChar"/>
          <w:rtl/>
        </w:rPr>
        <w:t>ترتيب كتاب العين</w:t>
      </w:r>
      <w:r w:rsidR="008A74EB" w:rsidRPr="00C9040A">
        <w:rPr>
          <w:rtl/>
        </w:rPr>
        <w:t xml:space="preserve"> ، ج 3 ، ص 1714 ؛ </w:t>
      </w:r>
      <w:r w:rsidR="008A74EB" w:rsidRPr="00993B55">
        <w:rPr>
          <w:rStyle w:val="libFootnoteBoldChar"/>
          <w:rtl/>
        </w:rPr>
        <w:t>الصحاح</w:t>
      </w:r>
      <w:r w:rsidR="008A74EB" w:rsidRPr="00C9040A">
        <w:rPr>
          <w:rtl/>
        </w:rPr>
        <w:t xml:space="preserve"> ، ج 3 ، ص 890 ؛ </w:t>
      </w:r>
      <w:r w:rsidR="008A74EB" w:rsidRPr="00993B55">
        <w:rPr>
          <w:rStyle w:val="libFootnoteBoldChar"/>
          <w:rtl/>
        </w:rPr>
        <w:t>المصباح المنير</w:t>
      </w:r>
      <w:r w:rsidR="008A74EB" w:rsidRPr="00C9040A">
        <w:rPr>
          <w:rtl/>
        </w:rPr>
        <w:t xml:space="preserve"> ، ص 575 ( معز )</w:t>
      </w:r>
      <w:r w:rsidR="008A74EB">
        <w:rPr>
          <w:rtl/>
        </w:rPr>
        <w:t>.</w:t>
      </w:r>
    </w:p>
    <w:p w:rsidR="008A74EB" w:rsidRPr="00C9040A" w:rsidRDefault="006C577F" w:rsidP="00401459">
      <w:pPr>
        <w:pStyle w:val="libFootnote0"/>
        <w:rPr>
          <w:rtl/>
          <w:lang w:bidi="fa-IR"/>
        </w:rPr>
      </w:pPr>
      <w:r>
        <w:rPr>
          <w:rtl/>
        </w:rPr>
        <w:t>(7).</w:t>
      </w:r>
      <w:r w:rsidR="008A74EB" w:rsidRPr="00C9040A">
        <w:rPr>
          <w:rtl/>
        </w:rPr>
        <w:t xml:space="preserve"> في « ز ، ف » : « جباههم وأقدامهم »</w:t>
      </w:r>
      <w:r w:rsidR="008A74EB">
        <w:rPr>
          <w:rtl/>
        </w:rPr>
        <w:t>.</w:t>
      </w:r>
      <w:r w:rsidR="008A74EB" w:rsidRPr="00C9040A">
        <w:rPr>
          <w:rtl/>
        </w:rPr>
        <w:t xml:space="preserve"> وفي </w:t>
      </w:r>
      <w:r w:rsidR="008A74EB" w:rsidRPr="00993B55">
        <w:rPr>
          <w:rStyle w:val="libFootnoteBoldChar"/>
          <w:rtl/>
        </w:rPr>
        <w:t>الوافي</w:t>
      </w:r>
      <w:r w:rsidR="008A74EB" w:rsidRPr="00C9040A">
        <w:rPr>
          <w:rtl/>
        </w:rPr>
        <w:t xml:space="preserve"> : « المراوحة بين الأقدام والجباه أن يقوم على القدمين مرّة ، ويضع جبهته على الأرض ا</w:t>
      </w:r>
      <w:r w:rsidR="00401459">
        <w:rPr>
          <w:rFonts w:hint="cs"/>
          <w:rtl/>
        </w:rPr>
        <w:t>ُ</w:t>
      </w:r>
      <w:r w:rsidR="008A74EB" w:rsidRPr="00C9040A">
        <w:rPr>
          <w:rtl/>
        </w:rPr>
        <w:t>خرى »</w:t>
      </w:r>
      <w:r w:rsidR="008A74EB">
        <w:rPr>
          <w:rtl/>
        </w:rPr>
        <w:t>.</w:t>
      </w:r>
      <w:r w:rsidR="00401459">
        <w:rPr>
          <w:rFonts w:hint="cs"/>
          <w:rtl/>
        </w:rPr>
        <w:t xml:space="preserve">                        </w:t>
      </w:r>
      <w:r>
        <w:rPr>
          <w:rtl/>
        </w:rPr>
        <w:t>(8).</w:t>
      </w:r>
      <w:r w:rsidR="008A74EB" w:rsidRPr="00C9040A">
        <w:rPr>
          <w:rtl/>
        </w:rPr>
        <w:t xml:space="preserve"> في « ج » : « ويسألون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ب » : « على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هذَا وَهُمْ خَائِفُونَ مُشْفِقُونَ »</w:t>
      </w:r>
      <w:r>
        <w:rPr>
          <w:rtl/>
          <w:lang w:bidi="fa-IR"/>
        </w:rPr>
        <w:t>.</w:t>
      </w:r>
      <w:r w:rsidRPr="00C9040A">
        <w:rPr>
          <w:rtl/>
          <w:lang w:bidi="fa-IR"/>
        </w:rPr>
        <w:t xml:space="preserve"> </w:t>
      </w:r>
      <w:r w:rsidR="006C577F" w:rsidRPr="006C577F">
        <w:rPr>
          <w:rStyle w:val="libFootnotenumChar"/>
          <w:rtl/>
        </w:rPr>
        <w:t>(1)</w:t>
      </w:r>
      <w:r w:rsidRPr="00C9040A">
        <w:rPr>
          <w:rtl/>
          <w:lang w:bidi="fa-IR"/>
        </w:rPr>
        <w:t xml:space="preserve"> ‌</w:t>
      </w:r>
    </w:p>
    <w:p w:rsidR="008A74EB" w:rsidRPr="00C9040A" w:rsidRDefault="008A74EB" w:rsidP="008A74EB">
      <w:pPr>
        <w:pStyle w:val="libNormal"/>
        <w:rPr>
          <w:rtl/>
          <w:lang w:bidi="fa-IR"/>
        </w:rPr>
      </w:pPr>
      <w:r w:rsidRPr="00A42066">
        <w:rPr>
          <w:rtl/>
        </w:rPr>
        <w:t>2301</w:t>
      </w:r>
      <w:r w:rsidRPr="00261CB0">
        <w:rPr>
          <w:rStyle w:val="libBold2Char"/>
          <w:rtl/>
        </w:rPr>
        <w:t xml:space="preserve"> / 22.</w:t>
      </w:r>
      <w:r w:rsidRPr="00C9040A">
        <w:rPr>
          <w:rtl/>
          <w:lang w:bidi="fa-IR"/>
        </w:rPr>
        <w:t xml:space="preserve"> عَنْهُ </w:t>
      </w:r>
      <w:r w:rsidR="006C577F" w:rsidRPr="006C577F">
        <w:rPr>
          <w:rStyle w:val="libFootnotenumChar"/>
          <w:rtl/>
        </w:rPr>
        <w:t>(2)</w:t>
      </w:r>
      <w:r w:rsidRPr="00C9040A">
        <w:rPr>
          <w:rtl/>
          <w:lang w:bidi="fa-IR"/>
        </w:rPr>
        <w:t xml:space="preserve"> ، عَنِ السِّنْدِيِّ بْنِ مُحَمَّدٍ ، عَنْ مُحَمَّدِ بْنِ الصَّلْتِ ، عَنْ أَبِي حَمْزَةَ :</w:t>
      </w:r>
    </w:p>
    <w:p w:rsidR="008A74EB" w:rsidRPr="00C9040A" w:rsidRDefault="008A74EB" w:rsidP="008A74EB">
      <w:pPr>
        <w:pStyle w:val="libNormal"/>
        <w:rPr>
          <w:rtl/>
          <w:lang w:bidi="fa-IR"/>
        </w:rPr>
      </w:pPr>
      <w:r w:rsidRPr="00C9040A">
        <w:rPr>
          <w:rtl/>
          <w:lang w:bidi="fa-IR"/>
        </w:rPr>
        <w:t xml:space="preserve">عَنْ عَلِيِّ بْنِ الْحُسَيْنِ </w:t>
      </w:r>
      <w:r w:rsidRPr="0003660B">
        <w:rPr>
          <w:rStyle w:val="libAlaemChar"/>
          <w:rtl/>
        </w:rPr>
        <w:t>عليهما‌السلام</w:t>
      </w:r>
      <w:r w:rsidRPr="00C9040A">
        <w:rPr>
          <w:rtl/>
          <w:lang w:bidi="fa-IR"/>
        </w:rPr>
        <w:t xml:space="preserve"> ، قَالَ : « صَلّى أَمِيرُ الْمُؤْمِنِينَ </w:t>
      </w:r>
      <w:r w:rsidRPr="0003660B">
        <w:rPr>
          <w:rStyle w:val="libAlaemChar"/>
          <w:rtl/>
        </w:rPr>
        <w:t>عليه‌السلام</w:t>
      </w:r>
      <w:r w:rsidRPr="00C9040A">
        <w:rPr>
          <w:rtl/>
          <w:lang w:bidi="fa-IR"/>
        </w:rPr>
        <w:t xml:space="preserve"> الْفَجْرَ ، ثُمَّ لَمْ يَزَلْ فِي مَوْضِعِهِ حَتّى صَارَتِ الشَّمْسُ عَلى </w:t>
      </w:r>
      <w:r w:rsidR="006C577F" w:rsidRPr="006C577F">
        <w:rPr>
          <w:rStyle w:val="libFootnotenumChar"/>
          <w:rtl/>
        </w:rPr>
        <w:t>(3)</w:t>
      </w:r>
      <w:r w:rsidRPr="00C9040A">
        <w:rPr>
          <w:rtl/>
          <w:lang w:bidi="fa-IR"/>
        </w:rPr>
        <w:t xml:space="preserve"> قِيدِ </w:t>
      </w:r>
      <w:r w:rsidR="006C577F" w:rsidRPr="006C577F">
        <w:rPr>
          <w:rStyle w:val="libFootnotenumChar"/>
          <w:rtl/>
        </w:rPr>
        <w:t>(4)</w:t>
      </w:r>
      <w:r w:rsidRPr="00C9040A">
        <w:rPr>
          <w:rtl/>
          <w:lang w:bidi="fa-IR"/>
        </w:rPr>
        <w:t xml:space="preserve"> رُمْحٍ ، وَأَقْبَلَ </w:t>
      </w:r>
      <w:r w:rsidR="006C577F" w:rsidRPr="006C577F">
        <w:rPr>
          <w:rStyle w:val="libFootnotenumChar"/>
          <w:rtl/>
        </w:rPr>
        <w:t>(5)</w:t>
      </w:r>
      <w:r w:rsidRPr="00C9040A">
        <w:rPr>
          <w:rtl/>
          <w:lang w:bidi="fa-IR"/>
        </w:rPr>
        <w:t xml:space="preserve"> عَلَى النَّاسِ بِوَجْهِهِ ، فَقَالَ : وَاللهِ لَقَدْ أَدْرَكْتُ أَقْوَاماً يَبِيتُونَ </w:t>
      </w:r>
      <w:r w:rsidR="006C577F" w:rsidRPr="006C577F">
        <w:rPr>
          <w:rStyle w:val="libFootnotenumChar"/>
          <w:rtl/>
        </w:rPr>
        <w:t>(6)</w:t>
      </w:r>
      <w:r w:rsidRPr="005B567D">
        <w:rPr>
          <w:rStyle w:val="libFootnotenumChar"/>
          <w:rtl/>
        </w:rPr>
        <w:t xml:space="preserve"> </w:t>
      </w:r>
      <w:r w:rsidRPr="00C9040A">
        <w:rPr>
          <w:rtl/>
          <w:lang w:bidi="fa-IR"/>
        </w:rPr>
        <w:t xml:space="preserve">لِرَبِّهِمْ سُجَّداً وَقِيَاماً ، يُخَالِفُونَ </w:t>
      </w:r>
      <w:r w:rsidR="006C577F" w:rsidRPr="006C577F">
        <w:rPr>
          <w:rStyle w:val="libFootnotenumChar"/>
          <w:rtl/>
        </w:rPr>
        <w:t>(7)</w:t>
      </w:r>
      <w:r w:rsidRPr="00C9040A">
        <w:rPr>
          <w:rtl/>
          <w:lang w:bidi="fa-IR"/>
        </w:rPr>
        <w:t xml:space="preserve"> بَيْنَ جِبَاهِهِمْ وَرُكَبِهِمْ ، كَأَنَّ زَفِيرَ النَّارِ فِي آذَانِهِمْ ؛ إِذَا </w:t>
      </w:r>
      <w:r w:rsidR="006C577F" w:rsidRPr="006C577F">
        <w:rPr>
          <w:rStyle w:val="libFootnotenumChar"/>
          <w:rtl/>
        </w:rPr>
        <w:t>(8)</w:t>
      </w:r>
      <w:r w:rsidRPr="00C9040A">
        <w:rPr>
          <w:rtl/>
          <w:lang w:bidi="fa-IR"/>
        </w:rPr>
        <w:t xml:space="preserve"> ذُكِرَ اللهُ عِنْدَهُمْ مَادُوا </w:t>
      </w:r>
      <w:r w:rsidR="006C577F" w:rsidRPr="006C577F">
        <w:rPr>
          <w:rStyle w:val="libFootnotenumChar"/>
          <w:rtl/>
        </w:rPr>
        <w:t>(9)</w:t>
      </w:r>
      <w:r w:rsidRPr="00C9040A">
        <w:rPr>
          <w:rtl/>
          <w:lang w:bidi="fa-IR"/>
        </w:rPr>
        <w:t xml:space="preserve"> كَمَا يَمِيدُ </w:t>
      </w:r>
      <w:r w:rsidR="006C577F" w:rsidRPr="006C577F">
        <w:rPr>
          <w:rStyle w:val="libFootnotenumChar"/>
          <w:rtl/>
        </w:rPr>
        <w:t>(10)</w:t>
      </w:r>
      <w:r w:rsidRPr="00C9040A">
        <w:rPr>
          <w:rtl/>
          <w:lang w:bidi="fa-IR"/>
        </w:rPr>
        <w:t xml:space="preserve"> الشَّجَرُ ، كَأَنَّمَا </w:t>
      </w:r>
      <w:r w:rsidR="006C577F" w:rsidRPr="006C577F">
        <w:rPr>
          <w:rStyle w:val="libFootnotenumChar"/>
          <w:rtl/>
        </w:rPr>
        <w:t>(11)</w:t>
      </w:r>
      <w:r w:rsidRPr="00C9040A">
        <w:rPr>
          <w:rtl/>
          <w:lang w:bidi="fa-IR"/>
        </w:rPr>
        <w:t xml:space="preserve"> الْقَوْمُ بَاتُوا </w:t>
      </w:r>
      <w:r w:rsidR="006C577F" w:rsidRPr="006C577F">
        <w:rPr>
          <w:rStyle w:val="libFootnotenumChar"/>
          <w:rtl/>
        </w:rPr>
        <w:t>(12)</w:t>
      </w:r>
      <w:r w:rsidR="00401459">
        <w:rPr>
          <w:rtl/>
          <w:lang w:bidi="fa-IR"/>
        </w:rPr>
        <w:t xml:space="preserve"> غَافِلِينَ</w:t>
      </w:r>
      <w:r w:rsidRPr="00C9040A">
        <w:rPr>
          <w:rtl/>
          <w:lang w:bidi="fa-IR"/>
        </w:rPr>
        <w:t>»</w:t>
      </w:r>
      <w:r>
        <w:rPr>
          <w:rtl/>
          <w:lang w:bidi="fa-IR"/>
        </w:rPr>
        <w:t>.</w:t>
      </w:r>
    </w:p>
    <w:p w:rsidR="008A74EB" w:rsidRPr="00C9040A" w:rsidRDefault="008A74EB" w:rsidP="008A74EB">
      <w:pPr>
        <w:pStyle w:val="libNormal"/>
        <w:rPr>
          <w:rtl/>
          <w:lang w:bidi="fa-IR"/>
        </w:rPr>
      </w:pPr>
      <w:r w:rsidRPr="00C9040A">
        <w:rPr>
          <w:rtl/>
          <w:lang w:bidi="fa-IR"/>
        </w:rPr>
        <w:t>قَالَ : « ثُمَّ قَامَ ، فَمَا رُئِيَ ضَاحِكاً حَتّى قُبِضَ صَلَوَاتُ اللهِ عَلَيْهِ »</w:t>
      </w:r>
      <w:r>
        <w:rPr>
          <w:rtl/>
          <w:lang w:bidi="fa-IR"/>
        </w:rPr>
        <w:t>.</w:t>
      </w:r>
      <w:r w:rsidRPr="00C9040A">
        <w:rPr>
          <w:rtl/>
          <w:lang w:bidi="fa-IR"/>
        </w:rPr>
        <w:t xml:space="preserve"> </w:t>
      </w:r>
      <w:r w:rsidRPr="005B567D">
        <w:rPr>
          <w:rStyle w:val="libFootnotenumChar"/>
          <w:rtl/>
        </w:rPr>
        <w:t>(13)</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993B55">
        <w:rPr>
          <w:rStyle w:val="libFootnoteBoldChar"/>
          <w:rtl/>
        </w:rPr>
        <w:t>الأمال</w:t>
      </w:r>
      <w:r w:rsidR="008A74EB" w:rsidRPr="00401459">
        <w:rPr>
          <w:rStyle w:val="libFootnoteBoldChar"/>
          <w:rtl/>
        </w:rPr>
        <w:t>ي للطوسي</w:t>
      </w:r>
      <w:r w:rsidR="008A74EB" w:rsidRPr="00C9040A">
        <w:rPr>
          <w:rtl/>
        </w:rPr>
        <w:t xml:space="preserve"> ، ص 102 ، المجلس 4 ، ح 11 ، بسند آخر عن أحمد بن محمّد بن عيسى ، عن الحسن بن محبوب ، مع اختلاف يسير </w:t>
      </w:r>
      <w:r w:rsidR="00401459">
        <w:rPr>
          <w:rFonts w:hint="cs"/>
          <w:rtl/>
        </w:rPr>
        <w:t>.</w:t>
      </w:r>
      <w:r w:rsidR="008A74EB" w:rsidRPr="00993B55">
        <w:rPr>
          <w:rStyle w:val="libFootnoteBoldChar"/>
          <w:rtl/>
        </w:rPr>
        <w:t>الوافي</w:t>
      </w:r>
      <w:r w:rsidR="008A74EB" w:rsidRPr="00C9040A">
        <w:rPr>
          <w:rtl/>
        </w:rPr>
        <w:t xml:space="preserve"> ، ج 4 ، ص 174 ، ح 1784 ؛ </w:t>
      </w:r>
      <w:r w:rsidR="008A74EB" w:rsidRPr="00993B55">
        <w:rPr>
          <w:rStyle w:val="libFootnoteBoldChar"/>
          <w:rtl/>
        </w:rPr>
        <w:t>الوسائل</w:t>
      </w:r>
      <w:r w:rsidR="008A74EB" w:rsidRPr="00C9040A">
        <w:rPr>
          <w:rtl/>
        </w:rPr>
        <w:t xml:space="preserve"> ، ج 1 ، ص 87 ، ح 206 ؛ </w:t>
      </w:r>
      <w:r w:rsidR="008A74EB" w:rsidRPr="00993B55">
        <w:rPr>
          <w:rStyle w:val="libFootnoteBoldChar"/>
          <w:rtl/>
        </w:rPr>
        <w:t>البحار</w:t>
      </w:r>
      <w:r w:rsidR="008A74EB" w:rsidRPr="00C9040A">
        <w:rPr>
          <w:rtl/>
        </w:rPr>
        <w:t xml:space="preserve"> ، ج 69 ، ص 303 ، ح 25.</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الظاهر رجوع الضمير إلى أحمد بن محمّد بن خالد المذكور في السند السابق ؛ فقد روى هو بعنوان أحمد بن أبي</w:t>
      </w:r>
      <w:r w:rsidR="00401459">
        <w:rPr>
          <w:rFonts w:hint="cs"/>
          <w:rtl/>
        </w:rPr>
        <w:t xml:space="preserve"> </w:t>
      </w:r>
      <w:r w:rsidR="008A74EB" w:rsidRPr="00C9040A">
        <w:rPr>
          <w:rtl/>
        </w:rPr>
        <w:t xml:space="preserve">‌عبدالله كتاب سندي بن محمّد. راجع : </w:t>
      </w:r>
      <w:r w:rsidR="008A74EB" w:rsidRPr="0034021D">
        <w:rPr>
          <w:rStyle w:val="libFootnoteBoldChar"/>
          <w:rtl/>
        </w:rPr>
        <w:t>الفهرست للطوسي</w:t>
      </w:r>
      <w:r w:rsidR="008A74EB" w:rsidRPr="00C9040A">
        <w:rPr>
          <w:rtl/>
        </w:rPr>
        <w:t xml:space="preserve"> ، ص 228 ، الرقم 341.</w:t>
      </w:r>
    </w:p>
    <w:p w:rsidR="008A74EB" w:rsidRPr="00C9040A" w:rsidRDefault="006C577F" w:rsidP="004A4E41">
      <w:pPr>
        <w:pStyle w:val="libFootnote0"/>
        <w:rPr>
          <w:rtl/>
          <w:lang w:bidi="fa-IR"/>
        </w:rPr>
      </w:pPr>
      <w:r>
        <w:rPr>
          <w:rtl/>
        </w:rPr>
        <w:t>(3).</w:t>
      </w:r>
      <w:r w:rsidR="008A74EB" w:rsidRPr="00C9040A">
        <w:rPr>
          <w:rtl/>
        </w:rPr>
        <w:t xml:space="preserve"> في « ب » : « في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ص ، </w:t>
      </w:r>
      <w:r w:rsidR="006D3162">
        <w:rPr>
          <w:rtl/>
        </w:rPr>
        <w:t xml:space="preserve">ه </w:t>
      </w:r>
      <w:r w:rsidR="008A74EB" w:rsidRPr="00C9040A">
        <w:rPr>
          <w:rtl/>
        </w:rPr>
        <w:t>» وشرح المازندراني : « قدر »</w:t>
      </w:r>
      <w:r w:rsidR="008A74EB">
        <w:rPr>
          <w:rtl/>
        </w:rPr>
        <w:t>.</w:t>
      </w:r>
      <w:r w:rsidR="008A74EB" w:rsidRPr="00C9040A">
        <w:rPr>
          <w:rtl/>
        </w:rPr>
        <w:t xml:space="preserve"> والقيد : المقدار. راجع : </w:t>
      </w:r>
      <w:r w:rsidR="008A74EB" w:rsidRPr="00993B55">
        <w:rPr>
          <w:rStyle w:val="libFootnoteBoldChar"/>
          <w:rtl/>
        </w:rPr>
        <w:t>لسان العرب</w:t>
      </w:r>
      <w:r w:rsidR="00401459">
        <w:rPr>
          <w:rtl/>
        </w:rPr>
        <w:t xml:space="preserve"> ، ج 5 ، ص 196 (قيد</w:t>
      </w:r>
      <w:r w:rsidR="008A74EB" w:rsidRPr="00C9040A">
        <w:rPr>
          <w:rtl/>
        </w:rPr>
        <w:t>)</w:t>
      </w:r>
      <w:r w:rsidR="008A74EB">
        <w:rPr>
          <w:rtl/>
        </w:rPr>
        <w:t>.</w:t>
      </w:r>
    </w:p>
    <w:tbl>
      <w:tblPr>
        <w:tblStyle w:val="TableGrid"/>
        <w:bidiVisual/>
        <w:tblW w:w="0" w:type="auto"/>
        <w:tblLook w:val="04A0" w:firstRow="1" w:lastRow="0" w:firstColumn="1" w:lastColumn="0" w:noHBand="0" w:noVBand="1"/>
      </w:tblPr>
      <w:tblGrid>
        <w:gridCol w:w="4006"/>
        <w:gridCol w:w="4006"/>
      </w:tblGrid>
      <w:tr w:rsidR="00401459" w:rsidTr="00401459">
        <w:tc>
          <w:tcPr>
            <w:tcW w:w="4006" w:type="dxa"/>
          </w:tcPr>
          <w:p w:rsidR="00401459" w:rsidRDefault="00401459" w:rsidP="004A4E41">
            <w:pPr>
              <w:pStyle w:val="libFootnote0"/>
              <w:rPr>
                <w:rtl/>
                <w:lang w:bidi="fa-IR"/>
              </w:rPr>
            </w:pPr>
            <w:r>
              <w:rPr>
                <w:rtl/>
              </w:rPr>
              <w:t>(5).</w:t>
            </w:r>
            <w:r w:rsidRPr="00C9040A">
              <w:rPr>
                <w:rtl/>
              </w:rPr>
              <w:t xml:space="preserve"> في « </w:t>
            </w:r>
            <w:r>
              <w:rPr>
                <w:rtl/>
              </w:rPr>
              <w:t xml:space="preserve">ه </w:t>
            </w:r>
            <w:r w:rsidRPr="00C9040A">
              <w:rPr>
                <w:rtl/>
              </w:rPr>
              <w:t>» : « فأقبل »</w:t>
            </w:r>
            <w:r>
              <w:rPr>
                <w:rtl/>
              </w:rPr>
              <w:t>.</w:t>
            </w:r>
          </w:p>
        </w:tc>
        <w:tc>
          <w:tcPr>
            <w:tcW w:w="4006" w:type="dxa"/>
          </w:tcPr>
          <w:p w:rsidR="00401459" w:rsidRDefault="00401459" w:rsidP="004A4E41">
            <w:pPr>
              <w:pStyle w:val="libFootnote0"/>
              <w:rPr>
                <w:rtl/>
                <w:lang w:bidi="fa-IR"/>
              </w:rPr>
            </w:pPr>
            <w:r>
              <w:rPr>
                <w:rtl/>
              </w:rPr>
              <w:t xml:space="preserve">(6). </w:t>
            </w:r>
            <w:r w:rsidRPr="00C9040A">
              <w:rPr>
                <w:rtl/>
              </w:rPr>
              <w:t>في « ب » : « تبيتون »</w:t>
            </w:r>
            <w:r>
              <w:rPr>
                <w:rtl/>
              </w:rPr>
              <w:t>.</w:t>
            </w:r>
          </w:p>
        </w:tc>
      </w:tr>
    </w:tbl>
    <w:p w:rsidR="008A74EB" w:rsidRPr="00C9040A" w:rsidRDefault="006C577F" w:rsidP="00401459">
      <w:pPr>
        <w:pStyle w:val="libFootnote0"/>
        <w:rPr>
          <w:rtl/>
          <w:lang w:bidi="fa-IR"/>
        </w:rPr>
      </w:pPr>
      <w:r>
        <w:rPr>
          <w:rtl/>
        </w:rPr>
        <w:t>(7).</w:t>
      </w:r>
      <w:r w:rsidR="008A74EB" w:rsidRPr="00C9040A">
        <w:rPr>
          <w:rtl/>
        </w:rPr>
        <w:t xml:space="preserve"> في </w:t>
      </w:r>
      <w:r w:rsidR="008A74EB" w:rsidRPr="00993B55">
        <w:rPr>
          <w:rStyle w:val="libFootnoteBoldChar"/>
          <w:rtl/>
        </w:rPr>
        <w:t>شرح المازندراني</w:t>
      </w:r>
      <w:r w:rsidR="008A74EB" w:rsidRPr="00C9040A">
        <w:rPr>
          <w:rtl/>
        </w:rPr>
        <w:t xml:space="preserve"> : « أي يضعون جباههم على التراب خلف وضع رُكبهم</w:t>
      </w:r>
      <w:r w:rsidR="00401459">
        <w:rPr>
          <w:rtl/>
        </w:rPr>
        <w:t xml:space="preserve"> عليه ، يأتون بأحدهما عقب الآخر</w:t>
      </w:r>
      <w:r w:rsidR="008A74EB" w:rsidRPr="00C9040A">
        <w:rPr>
          <w:rtl/>
        </w:rPr>
        <w:t>»</w:t>
      </w:r>
      <w:r w:rsidR="008A74EB">
        <w:rPr>
          <w:rtl/>
        </w:rPr>
        <w:t>.</w:t>
      </w:r>
      <w:r w:rsidR="00401459">
        <w:rPr>
          <w:rFonts w:hint="cs"/>
          <w:rtl/>
        </w:rPr>
        <w:t xml:space="preserve">                                   </w:t>
      </w:r>
      <w:r>
        <w:rPr>
          <w:rtl/>
        </w:rPr>
        <w:t>(8).</w:t>
      </w:r>
      <w:r w:rsidR="008A74EB" w:rsidRPr="00C9040A">
        <w:rPr>
          <w:rtl/>
        </w:rPr>
        <w:t xml:space="preserve"> في شرح المازندراني : « وإذا »</w:t>
      </w:r>
      <w:r w:rsidR="008A74EB">
        <w:rPr>
          <w:rtl/>
        </w:rPr>
        <w:t>.</w:t>
      </w:r>
    </w:p>
    <w:p w:rsidR="008A74EB" w:rsidRPr="00C9040A" w:rsidRDefault="006C577F" w:rsidP="00401459">
      <w:pPr>
        <w:pStyle w:val="libFootnote0"/>
        <w:rPr>
          <w:rtl/>
          <w:lang w:bidi="fa-IR"/>
        </w:rPr>
      </w:pPr>
      <w:r>
        <w:rPr>
          <w:rtl/>
        </w:rPr>
        <w:t>(9).</w:t>
      </w:r>
      <w:r w:rsidR="008A74EB" w:rsidRPr="00C9040A">
        <w:rPr>
          <w:rtl/>
        </w:rPr>
        <w:t xml:space="preserve"> ماد يميد : مال وتحرّك. </w:t>
      </w:r>
      <w:r w:rsidR="008A74EB" w:rsidRPr="00993B55">
        <w:rPr>
          <w:rStyle w:val="libFootnoteBoldChar"/>
          <w:rtl/>
        </w:rPr>
        <w:t>النهاية</w:t>
      </w:r>
      <w:r w:rsidR="008A74EB" w:rsidRPr="00C9040A">
        <w:rPr>
          <w:rtl/>
        </w:rPr>
        <w:t xml:space="preserve"> ، ج 4 ، ص 379 ( ميد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 مادوا ، أي‌</w:t>
      </w:r>
      <w:r w:rsidR="00401459">
        <w:rPr>
          <w:rFonts w:hint="cs"/>
          <w:rtl/>
        </w:rPr>
        <w:t xml:space="preserve"> </w:t>
      </w:r>
      <w:r w:rsidR="008A74EB" w:rsidRPr="00C9040A">
        <w:rPr>
          <w:rtl/>
        </w:rPr>
        <w:t>اضطربوا وتحرّكوا واقشعرّوا من الخوف »</w:t>
      </w:r>
      <w:r w:rsidR="008A74EB">
        <w:rPr>
          <w:rtl/>
        </w:rPr>
        <w:t>.</w:t>
      </w:r>
      <w:r w:rsidR="00401459">
        <w:rPr>
          <w:rFonts w:hint="cs"/>
          <w:rtl/>
        </w:rPr>
        <w:t xml:space="preserve">                    </w:t>
      </w:r>
      <w:r>
        <w:rPr>
          <w:rtl/>
        </w:rPr>
        <w:t>(10).</w:t>
      </w:r>
      <w:r w:rsidR="008A74EB" w:rsidRPr="00C9040A">
        <w:rPr>
          <w:rtl/>
        </w:rPr>
        <w:t xml:space="preserve"> في « </w:t>
      </w:r>
      <w:r w:rsidR="006D3162">
        <w:rPr>
          <w:rtl/>
        </w:rPr>
        <w:t xml:space="preserve">ه </w:t>
      </w:r>
      <w:r w:rsidR="008A74EB" w:rsidRPr="00C9040A">
        <w:rPr>
          <w:rtl/>
        </w:rPr>
        <w:t>، بس » : « تميد » باعتبار جنس الشجر.</w:t>
      </w:r>
    </w:p>
    <w:p w:rsidR="008A74EB" w:rsidRPr="00C9040A" w:rsidRDefault="006C577F" w:rsidP="004A4E41">
      <w:pPr>
        <w:pStyle w:val="libFootnote0"/>
        <w:rPr>
          <w:rtl/>
          <w:lang w:bidi="fa-IR"/>
        </w:rPr>
      </w:pPr>
      <w:r>
        <w:rPr>
          <w:rtl/>
        </w:rPr>
        <w:t>(11).</w:t>
      </w:r>
      <w:r w:rsidR="008A74EB" w:rsidRPr="00C9040A">
        <w:rPr>
          <w:rtl/>
        </w:rPr>
        <w:t xml:space="preserve"> في « </w:t>
      </w:r>
      <w:r w:rsidR="006D3162">
        <w:rPr>
          <w:rtl/>
        </w:rPr>
        <w:t xml:space="preserve">ه </w:t>
      </w:r>
      <w:r w:rsidR="008A74EB" w:rsidRPr="00C9040A">
        <w:rPr>
          <w:rtl/>
        </w:rPr>
        <w:t>» : « كأنّ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في البحار : « ماباتوا »</w:t>
      </w:r>
      <w:r w:rsidR="008A74EB">
        <w:rPr>
          <w:rtl/>
        </w:rPr>
        <w:t>.</w:t>
      </w:r>
      <w:r w:rsidR="008A74EB" w:rsidRPr="00C9040A">
        <w:rPr>
          <w:rtl/>
        </w:rPr>
        <w:t xml:space="preserve"> وفي مرآة العقول : « وفي بعض النسخ : ماتوا ، أي‌كأنّهم بسبب غفلتهم أموات غير أحياء »</w:t>
      </w:r>
      <w:r w:rsidR="008A74EB">
        <w:rPr>
          <w:rtl/>
        </w:rPr>
        <w:t>.</w:t>
      </w:r>
    </w:p>
    <w:p w:rsidR="008A74EB" w:rsidRPr="00C9040A" w:rsidRDefault="008A74EB" w:rsidP="004A4E41">
      <w:pPr>
        <w:pStyle w:val="libFootnote0"/>
        <w:rPr>
          <w:rtl/>
          <w:lang w:bidi="fa-IR"/>
        </w:rPr>
      </w:pPr>
      <w:r>
        <w:rPr>
          <w:rtl/>
        </w:rPr>
        <w:t>(13)</w:t>
      </w:r>
      <w:r w:rsidRPr="00C9040A">
        <w:rPr>
          <w:rtl/>
        </w:rPr>
        <w:t xml:space="preserve"> </w:t>
      </w:r>
      <w:r w:rsidRPr="00993B55">
        <w:rPr>
          <w:rStyle w:val="libFootnoteBoldChar"/>
          <w:rtl/>
        </w:rPr>
        <w:t>الزهد</w:t>
      </w:r>
      <w:r w:rsidRPr="00C9040A">
        <w:rPr>
          <w:rtl/>
        </w:rPr>
        <w:t xml:space="preserve"> ، ص 84 ، ح 53 ؛ و</w:t>
      </w:r>
      <w:r w:rsidRPr="0034021D">
        <w:rPr>
          <w:rStyle w:val="libFootnoteBoldChar"/>
          <w:rtl/>
        </w:rPr>
        <w:t>الأمالي للمفيد</w:t>
      </w:r>
      <w:r w:rsidRPr="00C9040A">
        <w:rPr>
          <w:rtl/>
        </w:rPr>
        <w:t xml:space="preserve"> ، ص 196 ، المجلس 23 ، ح 30 ، بسند آخر عن أميرالمؤمنين </w:t>
      </w:r>
      <w:r w:rsidR="00117575" w:rsidRPr="00117575">
        <w:rPr>
          <w:rStyle w:val="libFootnoteAlaemChar"/>
          <w:rtl/>
        </w:rPr>
        <w:t xml:space="preserve">عليه‌السلام </w:t>
      </w:r>
      <w:r w:rsidRPr="00C9040A">
        <w:rPr>
          <w:rtl/>
        </w:rPr>
        <w:t xml:space="preserve">. </w:t>
      </w:r>
      <w:r w:rsidRPr="00993B55">
        <w:rPr>
          <w:rStyle w:val="libFootnoteBoldChar"/>
          <w:rtl/>
        </w:rPr>
        <w:t>الإرشاد</w:t>
      </w:r>
      <w:r w:rsidRPr="00C9040A">
        <w:rPr>
          <w:rtl/>
        </w:rPr>
        <w:t xml:space="preserve"> ، ج 1 ، ص 236 ، مرسلاً عن صعصعة بن صوحان العبدي ، عن أميرالمؤمنين </w:t>
      </w:r>
      <w:r w:rsidR="00117575" w:rsidRPr="00117575">
        <w:rPr>
          <w:rStyle w:val="libFootnoteAlaemChar"/>
          <w:rtl/>
        </w:rPr>
        <w:t>عليه‌السلام</w:t>
      </w:r>
      <w:r w:rsidR="00401459">
        <w:rPr>
          <w:rtl/>
        </w:rPr>
        <w:t xml:space="preserve"> ، وفي كلّها مع</w:t>
      </w:r>
      <w:r w:rsidR="00401459">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A42066">
        <w:rPr>
          <w:rtl/>
        </w:rPr>
        <w:t>2302</w:t>
      </w:r>
      <w:r w:rsidRPr="00261CB0">
        <w:rPr>
          <w:rStyle w:val="libBold2Char"/>
          <w:rtl/>
        </w:rPr>
        <w:t xml:space="preserve"> / 23.</w:t>
      </w:r>
      <w:r w:rsidRPr="00C9040A">
        <w:rPr>
          <w:rtl/>
          <w:lang w:bidi="fa-IR"/>
        </w:rPr>
        <w:t xml:space="preserve"> عَلِيُّ بْنُ إِبْرَاهِيمَ ، عَنْ صَالِحِ بْنِ السِّنْدِيِّ ، عَنْ جَعْفَرِ بْنِ بَشِيرٍ ، عَنِ الْمُفَضَّلِ بْنِ عُمَرَ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إِذَا أَرَدْتَ أَنْ تَعْرِفَ أَصْحَابِي ، فَانْظُرْ </w:t>
      </w:r>
      <w:r w:rsidR="006C577F" w:rsidRPr="006C577F">
        <w:rPr>
          <w:rStyle w:val="libFootnotenumChar"/>
          <w:rtl/>
        </w:rPr>
        <w:t>(1)</w:t>
      </w:r>
      <w:r w:rsidRPr="00C9040A">
        <w:rPr>
          <w:rtl/>
          <w:lang w:bidi="fa-IR"/>
        </w:rPr>
        <w:t xml:space="preserve"> مَنِ اشْتَدَّ وَرَعُهُ ، وَخَافَ خَالِقَهُ ، وَرَجَا ثَوَابَهُ ، فَإِذَا </w:t>
      </w:r>
      <w:r w:rsidR="006C577F" w:rsidRPr="006C577F">
        <w:rPr>
          <w:rStyle w:val="libFootnotenumChar"/>
          <w:rtl/>
        </w:rPr>
        <w:t>(2)</w:t>
      </w:r>
      <w:r w:rsidRPr="00C9040A">
        <w:rPr>
          <w:rtl/>
          <w:lang w:bidi="fa-IR"/>
        </w:rPr>
        <w:t xml:space="preserve"> رَأَيْتَ هؤُلَاءِ ، فَهؤُلَاءِ أَصْحَابِي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A42066">
        <w:rPr>
          <w:rtl/>
        </w:rPr>
        <w:t>2303</w:t>
      </w:r>
      <w:r w:rsidRPr="00261CB0">
        <w:rPr>
          <w:rStyle w:val="libBold2Char"/>
          <w:rtl/>
        </w:rPr>
        <w:t xml:space="preserve"> / 24.</w:t>
      </w:r>
      <w:r w:rsidRPr="00C9040A">
        <w:rPr>
          <w:rtl/>
          <w:lang w:bidi="fa-IR"/>
        </w:rPr>
        <w:t xml:space="preserve"> عِدَّةٌ مِنْ أَصْحَابِنَا ، عَنْ أَحْمَدَ بْنِ مُحَمَّدِ بْنِ خَالِدٍ ، عَنْ مُحَمَّدِ بْنِ الْحَسَنِ بْنِ شَمُّونٍ ، عَنْ عَبْدِ اللهِ بْنِ عَمْرِو بْنِ الْأَشْعَثِ ، عَنْ عَبْدِ اللهِ بْنِ حَمَّادٍ الْأَنْصَارِيِّ ، عَنْ عَمْرِو بْنِ أَبِي الْمِقْدَامِ ، عَنْ أَبِيهِ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قَالَ أَمِيرُ الْمُؤْمِنِينَ </w:t>
      </w:r>
      <w:r w:rsidRPr="0003660B">
        <w:rPr>
          <w:rStyle w:val="libAlaemChar"/>
          <w:rtl/>
        </w:rPr>
        <w:t>عليه‌السلام</w:t>
      </w:r>
      <w:r w:rsidRPr="00C9040A">
        <w:rPr>
          <w:rtl/>
          <w:lang w:bidi="fa-IR"/>
        </w:rPr>
        <w:t xml:space="preserve"> : شِيعَتُنَا الْمُتَبَاذِلُونَ فِي وَلَايَتِنَا ، الْمُتَحَابُّونَ فِي مَوَدَّتِنَا ، الْمُتَزَاوِرُونَ </w:t>
      </w:r>
      <w:r w:rsidR="006C577F" w:rsidRPr="006C577F">
        <w:rPr>
          <w:rStyle w:val="libFootnotenumChar"/>
          <w:rtl/>
        </w:rPr>
        <w:t>(4)</w:t>
      </w:r>
      <w:r w:rsidRPr="00C9040A">
        <w:rPr>
          <w:rtl/>
          <w:lang w:bidi="fa-IR"/>
        </w:rPr>
        <w:t xml:space="preserve"> فِي إِحْيَاءِ أَمْرِنَا ؛ الَّذِينَ إِنْ </w:t>
      </w:r>
      <w:r w:rsidR="006C577F" w:rsidRPr="006C577F">
        <w:rPr>
          <w:rStyle w:val="libFootnotenumChar"/>
          <w:rtl/>
        </w:rPr>
        <w:t>(5)</w:t>
      </w:r>
      <w:r w:rsidRPr="00C9040A">
        <w:rPr>
          <w:rtl/>
          <w:lang w:bidi="fa-IR"/>
        </w:rPr>
        <w:t xml:space="preserve"> غَضِبُوا لَمْ يَظْلِمُوا ، وَإِنْ رَضُوا لَمْ يُسْرِفُوا ، بَرَكَةٌ عَلى مَنْ جَاوَرُوا ، سِلْمٌ لِمَنْ خَالَطُوا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Normal"/>
        <w:rPr>
          <w:rtl/>
          <w:lang w:bidi="fa-IR"/>
        </w:rPr>
      </w:pPr>
      <w:r w:rsidRPr="00A42066">
        <w:rPr>
          <w:rtl/>
        </w:rPr>
        <w:t>2304</w:t>
      </w:r>
      <w:r w:rsidRPr="00261CB0">
        <w:rPr>
          <w:rStyle w:val="libBold2Char"/>
          <w:rtl/>
        </w:rPr>
        <w:t xml:space="preserve"> / 25.</w:t>
      </w:r>
      <w:r w:rsidRPr="00C9040A">
        <w:rPr>
          <w:rtl/>
          <w:lang w:bidi="fa-IR"/>
        </w:rPr>
        <w:t xml:space="preserve"> عَنْهُ </w:t>
      </w:r>
      <w:r w:rsidR="006C577F" w:rsidRPr="006C577F">
        <w:rPr>
          <w:rStyle w:val="libFootnotenumChar"/>
          <w:rtl/>
        </w:rPr>
        <w:t>(7)</w:t>
      </w:r>
      <w:r w:rsidRPr="00C9040A">
        <w:rPr>
          <w:rtl/>
          <w:lang w:bidi="fa-IR"/>
        </w:rPr>
        <w:t xml:space="preserve"> ، عَنْ مُحَمَّدِ بْنِ عَلِيٍّ ، عَنْ مُحَمَّدِ بْنِ سِنَانٍ ، عَنْ عِيسَى النَّهْرِتِيرِيِّ </w:t>
      </w:r>
      <w:r w:rsidR="006C577F" w:rsidRPr="006C577F">
        <w:rPr>
          <w:rStyle w:val="libFootnotenumChar"/>
          <w:rtl/>
        </w:rPr>
        <w:t>(8)</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401459" w:rsidP="004A4E41">
      <w:pPr>
        <w:pStyle w:val="libFootnote0"/>
        <w:rPr>
          <w:rtl/>
          <w:lang w:bidi="fa-IR"/>
        </w:rPr>
      </w:pPr>
      <w:r>
        <w:rPr>
          <w:rFonts w:hint="cs"/>
          <w:rtl/>
        </w:rPr>
        <w:t xml:space="preserve">= </w:t>
      </w:r>
      <w:r w:rsidR="008A74EB" w:rsidRPr="00C9040A">
        <w:rPr>
          <w:rtl/>
        </w:rPr>
        <w:t xml:space="preserve">اختلاف </w:t>
      </w:r>
      <w:r>
        <w:rPr>
          <w:rFonts w:hint="cs"/>
          <w:rtl/>
        </w:rPr>
        <w:t>.</w:t>
      </w:r>
      <w:r w:rsidR="008A74EB" w:rsidRPr="00993B55">
        <w:rPr>
          <w:rStyle w:val="libFootnoteBoldChar"/>
          <w:rtl/>
        </w:rPr>
        <w:t>الوافي</w:t>
      </w:r>
      <w:r w:rsidR="008A74EB" w:rsidRPr="00C9040A">
        <w:rPr>
          <w:rtl/>
        </w:rPr>
        <w:t xml:space="preserve"> ، ج 4 ، ص 174 ، ح 1785 ؛ </w:t>
      </w:r>
      <w:r w:rsidR="008A74EB" w:rsidRPr="00993B55">
        <w:rPr>
          <w:rStyle w:val="libFootnoteBoldChar"/>
          <w:rtl/>
        </w:rPr>
        <w:t>البحار</w:t>
      </w:r>
      <w:r w:rsidR="008A74EB" w:rsidRPr="00C9040A">
        <w:rPr>
          <w:rtl/>
        </w:rPr>
        <w:t xml:space="preserve"> ، ج 41 ، ص 24 ، ح 17 ؛ وج 42 ، ص 247 ، ح 49 ؛ وج 67 ، ص 360 ، ح 63.</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هكذا في النسخ والوافي. وفي المطبوع : + « إلى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هكذا في « ب ، ج ، د ، ص ، ض ، ف ، </w:t>
      </w:r>
      <w:r w:rsidR="006D3162">
        <w:rPr>
          <w:rtl/>
        </w:rPr>
        <w:t xml:space="preserve">ه </w:t>
      </w:r>
      <w:r w:rsidR="008A74EB" w:rsidRPr="00C9040A">
        <w:rPr>
          <w:rtl/>
        </w:rPr>
        <w:t>، بر ، بس ، بف » والوافي والبحار. وفي « ز » والمطبوع : « وإذا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w:t>
      </w:r>
      <w:r w:rsidR="008A74EB" w:rsidRPr="00993B55">
        <w:rPr>
          <w:rStyle w:val="libFootnoteBoldChar"/>
          <w:rtl/>
        </w:rPr>
        <w:t>الكافي</w:t>
      </w:r>
      <w:r w:rsidR="008A74EB" w:rsidRPr="00C9040A">
        <w:rPr>
          <w:rtl/>
        </w:rPr>
        <w:t xml:space="preserve"> ، كتاب الإيمان والكفر ، باب الورع ، ذيل ح 1633 ، بسند آخر مع اختلاف يسير </w:t>
      </w:r>
      <w:r w:rsidR="00211540">
        <w:rPr>
          <w:rFonts w:hint="cs"/>
          <w:rtl/>
        </w:rPr>
        <w:t>.</w:t>
      </w:r>
      <w:r w:rsidR="008A74EB" w:rsidRPr="00993B55">
        <w:rPr>
          <w:rStyle w:val="libFootnoteBoldChar"/>
          <w:rtl/>
        </w:rPr>
        <w:t>الوافي</w:t>
      </w:r>
      <w:r w:rsidR="008A74EB" w:rsidRPr="00C9040A">
        <w:rPr>
          <w:rtl/>
        </w:rPr>
        <w:t xml:space="preserve"> ، ج 4 ، ص 171 ، ح 1780 ؛ </w:t>
      </w:r>
      <w:r w:rsidR="008A74EB" w:rsidRPr="00993B55">
        <w:rPr>
          <w:rStyle w:val="libFootnoteBoldChar"/>
          <w:rtl/>
        </w:rPr>
        <w:t>الوسائل</w:t>
      </w:r>
      <w:r w:rsidR="008A74EB" w:rsidRPr="00C9040A">
        <w:rPr>
          <w:rtl/>
        </w:rPr>
        <w:t xml:space="preserve"> ، ج 15 ، ص 244 ، ح 20398 ؛ </w:t>
      </w:r>
      <w:r w:rsidR="008A74EB" w:rsidRPr="00993B55">
        <w:rPr>
          <w:rStyle w:val="libFootnoteBoldChar"/>
          <w:rtl/>
        </w:rPr>
        <w:t>البحار</w:t>
      </w:r>
      <w:r w:rsidR="008A74EB" w:rsidRPr="00C9040A">
        <w:rPr>
          <w:rtl/>
        </w:rPr>
        <w:t xml:space="preserve"> ، ج 68 ، ص 189 ، ح 45.</w:t>
      </w:r>
    </w:p>
    <w:p w:rsidR="008A74EB" w:rsidRPr="00C9040A" w:rsidRDefault="006C577F" w:rsidP="004A4E41">
      <w:pPr>
        <w:pStyle w:val="libFootnote0"/>
        <w:rPr>
          <w:rtl/>
          <w:lang w:bidi="fa-IR"/>
        </w:rPr>
      </w:pPr>
      <w:r>
        <w:rPr>
          <w:rtl/>
        </w:rPr>
        <w:t>(4).</w:t>
      </w:r>
      <w:r w:rsidR="008A74EB" w:rsidRPr="00C9040A">
        <w:rPr>
          <w:rtl/>
        </w:rPr>
        <w:t xml:space="preserve"> في حاشية « ف » : « المتوازرون »</w:t>
      </w:r>
      <w:r w:rsidR="008A74EB">
        <w:rPr>
          <w:rtl/>
        </w:rPr>
        <w:t>.</w:t>
      </w:r>
      <w:r w:rsidR="008A74EB" w:rsidRPr="00C9040A">
        <w:rPr>
          <w:rtl/>
        </w:rPr>
        <w:t xml:space="preserve"> والتزاور : زيارة بعضهم بعضاً.</w:t>
      </w:r>
    </w:p>
    <w:p w:rsidR="008A74EB" w:rsidRPr="00C9040A" w:rsidRDefault="006C577F" w:rsidP="004A4E41">
      <w:pPr>
        <w:pStyle w:val="libFootnote0"/>
        <w:rPr>
          <w:rtl/>
          <w:lang w:bidi="fa-IR"/>
        </w:rPr>
      </w:pPr>
      <w:r>
        <w:rPr>
          <w:rtl/>
        </w:rPr>
        <w:t>(5).</w:t>
      </w:r>
      <w:r w:rsidR="008A74EB" w:rsidRPr="00C9040A">
        <w:rPr>
          <w:rtl/>
        </w:rPr>
        <w:t xml:space="preserve"> في « ب ، بر » : « إذا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الخصال</w:t>
      </w:r>
      <w:r w:rsidR="008A74EB" w:rsidRPr="00C9040A">
        <w:rPr>
          <w:rtl/>
        </w:rPr>
        <w:t xml:space="preserve"> ، ص 397 ، باب السبعة ، ح 104 ، بسند آخر عن ظريف بن ناصح ، عن عمرو بن أبي‌المقدام ، عن محمّد بن عليّ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صفات الشيعة</w:t>
      </w:r>
      <w:r w:rsidR="008A74EB" w:rsidRPr="00C9040A">
        <w:rPr>
          <w:rtl/>
        </w:rPr>
        <w:t xml:space="preserve"> ، ص 13 ، ح 23 ، بسند آخر عن ظريف بن ناصح ، رفعه إلى محمّد بن عليّ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تحف العقول</w:t>
      </w:r>
      <w:r w:rsidR="008A74EB" w:rsidRPr="00C9040A">
        <w:rPr>
          <w:rtl/>
        </w:rPr>
        <w:t xml:space="preserve"> ، ص 300 ، عن الباقر </w:t>
      </w:r>
      <w:r w:rsidR="00117575" w:rsidRPr="00117575">
        <w:rPr>
          <w:rStyle w:val="libFootnoteAlaemChar"/>
          <w:rtl/>
        </w:rPr>
        <w:t>عليه‌السلام</w:t>
      </w:r>
      <w:r w:rsidR="008A74EB" w:rsidRPr="00C9040A">
        <w:rPr>
          <w:rtl/>
        </w:rPr>
        <w:t xml:space="preserve"> ، وفي كلّها من دون الإسناد إلى أميرالمؤمنين </w:t>
      </w:r>
      <w:r w:rsidR="00117575" w:rsidRPr="00117575">
        <w:rPr>
          <w:rStyle w:val="libFootnoteAlaemChar"/>
          <w:rtl/>
        </w:rPr>
        <w:t>عليه‌السلام</w:t>
      </w:r>
      <w:r w:rsidR="008A74EB" w:rsidRPr="00C9040A">
        <w:rPr>
          <w:rtl/>
        </w:rPr>
        <w:t xml:space="preserve"> ، مع اختلاف يسير </w:t>
      </w:r>
      <w:r w:rsidR="00211540">
        <w:rPr>
          <w:rFonts w:hint="cs"/>
          <w:rtl/>
        </w:rPr>
        <w:t>.</w:t>
      </w:r>
      <w:r w:rsidR="008A74EB" w:rsidRPr="00993B55">
        <w:rPr>
          <w:rStyle w:val="libFootnoteBoldChar"/>
          <w:rtl/>
        </w:rPr>
        <w:t>الوافي</w:t>
      </w:r>
      <w:r w:rsidR="008A74EB" w:rsidRPr="00C9040A">
        <w:rPr>
          <w:rtl/>
        </w:rPr>
        <w:t xml:space="preserve"> ، ج 4 ، ص 171 ، ح 1781 ؛ </w:t>
      </w:r>
      <w:r w:rsidR="008A74EB" w:rsidRPr="00993B55">
        <w:rPr>
          <w:rStyle w:val="libFootnoteBoldChar"/>
          <w:rtl/>
        </w:rPr>
        <w:t>الوسائل</w:t>
      </w:r>
      <w:r w:rsidR="008A74EB" w:rsidRPr="00C9040A">
        <w:rPr>
          <w:rtl/>
        </w:rPr>
        <w:t xml:space="preserve"> ، ج 15 ، ص 190 ، ح 20245 ؛ </w:t>
      </w:r>
      <w:r w:rsidR="008A74EB" w:rsidRPr="00993B55">
        <w:rPr>
          <w:rStyle w:val="libFootnoteBoldChar"/>
          <w:rtl/>
        </w:rPr>
        <w:t>البحار</w:t>
      </w:r>
      <w:r w:rsidR="008A74EB" w:rsidRPr="00C9040A">
        <w:rPr>
          <w:rtl/>
        </w:rPr>
        <w:t xml:space="preserve"> ، ج 68 ، ص 190 ، ح 46.</w:t>
      </w:r>
    </w:p>
    <w:p w:rsidR="008A74EB" w:rsidRPr="00C9040A" w:rsidRDefault="006C577F" w:rsidP="004A4E41">
      <w:pPr>
        <w:pStyle w:val="libFootnote0"/>
        <w:rPr>
          <w:rtl/>
          <w:lang w:bidi="fa-IR"/>
        </w:rPr>
      </w:pPr>
      <w:r>
        <w:rPr>
          <w:rtl/>
        </w:rPr>
        <w:t>(7).</w:t>
      </w:r>
      <w:r w:rsidR="008A74EB" w:rsidRPr="00C9040A">
        <w:rPr>
          <w:rtl/>
        </w:rPr>
        <w:t xml:space="preserve"> الضمير راجع إلى أحمد بن محمّد بن خالد المذكور في السند السابق.</w:t>
      </w:r>
    </w:p>
    <w:p w:rsidR="008A74EB" w:rsidRPr="00C9040A" w:rsidRDefault="006C577F" w:rsidP="004A4E41">
      <w:pPr>
        <w:pStyle w:val="libFootnote0"/>
        <w:rPr>
          <w:rtl/>
          <w:lang w:bidi="fa-IR"/>
        </w:rPr>
      </w:pPr>
      <w:r>
        <w:rPr>
          <w:rtl/>
        </w:rPr>
        <w:t>(8).</w:t>
      </w:r>
      <w:r w:rsidR="008A74EB" w:rsidRPr="00C9040A">
        <w:rPr>
          <w:rtl/>
        </w:rPr>
        <w:t xml:space="preserve"> هكذا في « جص » وحاشية « بع »</w:t>
      </w:r>
      <w:r w:rsidR="008A74EB">
        <w:rPr>
          <w:rtl/>
        </w:rPr>
        <w:t>.</w:t>
      </w:r>
      <w:r w:rsidR="008A74EB" w:rsidRPr="00C9040A">
        <w:rPr>
          <w:rtl/>
        </w:rPr>
        <w:t xml:space="preserve"> وفي « د ، ز ، ض ، بر ، بس ، بف » : « النهربيري »</w:t>
      </w:r>
      <w:r w:rsidR="008A74EB">
        <w:rPr>
          <w:rtl/>
        </w:rPr>
        <w:t>.</w:t>
      </w:r>
      <w:r w:rsidR="008A74EB" w:rsidRPr="00C9040A">
        <w:rPr>
          <w:rtl/>
        </w:rPr>
        <w:t xml:space="preserve"> </w:t>
      </w:r>
      <w:r w:rsidR="00211540" w:rsidRPr="00C9040A">
        <w:rPr>
          <w:rtl/>
        </w:rPr>
        <w:t>وفي « ص » : « البهربيري »</w:t>
      </w:r>
      <w:r w:rsidR="00211540">
        <w:rPr>
          <w:rtl/>
        </w:rPr>
        <w:t>.</w:t>
      </w:r>
      <w:r w:rsidR="00211540">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مَنْ عَرَفَ اللهَ وَعَظَّمَهُ </w:t>
      </w:r>
      <w:r w:rsidR="006C577F" w:rsidRPr="006C577F">
        <w:rPr>
          <w:rStyle w:val="libFootnotenumChar"/>
          <w:rtl/>
        </w:rPr>
        <w:t>(1)</w:t>
      </w:r>
      <w:r w:rsidRPr="00C9040A">
        <w:rPr>
          <w:rtl/>
          <w:lang w:bidi="fa-IR"/>
        </w:rPr>
        <w:t xml:space="preserve"> مَنَعَ فَاهُ مِنَ الْكَلَامِ ، وَبَطْنَهُ مِنَ الطَّعَامِ ، وَعَفَا </w:t>
      </w:r>
      <w:r w:rsidR="006C577F" w:rsidRPr="006C577F">
        <w:rPr>
          <w:rStyle w:val="libFootnotenumChar"/>
          <w:rtl/>
        </w:rPr>
        <w:t>(2)</w:t>
      </w:r>
      <w:r w:rsidRPr="00C9040A">
        <w:rPr>
          <w:rtl/>
          <w:lang w:bidi="fa-IR"/>
        </w:rPr>
        <w:t xml:space="preserve"> نَفْسَهُ بِالصِّيَامِ وَالْقِيَامِ.</w:t>
      </w:r>
    </w:p>
    <w:p w:rsidR="008A74EB" w:rsidRPr="00C9040A" w:rsidRDefault="008A74EB" w:rsidP="008A74EB">
      <w:pPr>
        <w:pStyle w:val="libNormal"/>
        <w:rPr>
          <w:rtl/>
          <w:lang w:bidi="fa-IR"/>
        </w:rPr>
      </w:pPr>
      <w:r w:rsidRPr="00C9040A">
        <w:rPr>
          <w:rtl/>
          <w:lang w:bidi="fa-IR"/>
        </w:rPr>
        <w:t xml:space="preserve">قَالُوا : بِآبَائِنَا </w:t>
      </w:r>
      <w:r w:rsidR="006C577F" w:rsidRPr="006C577F">
        <w:rPr>
          <w:rStyle w:val="libFootnotenumChar"/>
          <w:rtl/>
        </w:rPr>
        <w:t>(3)</w:t>
      </w:r>
      <w:r w:rsidRPr="00C9040A">
        <w:rPr>
          <w:rtl/>
          <w:lang w:bidi="fa-IR"/>
        </w:rPr>
        <w:t xml:space="preserve"> وَأُمَّهَاتِنَا يَا رَسُولَ اللهِ </w:t>
      </w:r>
      <w:r w:rsidR="006C577F" w:rsidRPr="006C577F">
        <w:rPr>
          <w:rStyle w:val="libFootnotenumChar"/>
          <w:rtl/>
        </w:rPr>
        <w:t>(4)</w:t>
      </w:r>
      <w:r w:rsidRPr="00C9040A">
        <w:rPr>
          <w:rtl/>
          <w:lang w:bidi="fa-IR"/>
        </w:rPr>
        <w:t xml:space="preserve"> ، هؤُلَاءِ أَوْلِيَاءُ اللهِ</w:t>
      </w:r>
      <w:r>
        <w:rPr>
          <w:rtl/>
          <w:lang w:bidi="fa-IR"/>
        </w:rPr>
        <w:t>؟</w:t>
      </w:r>
    </w:p>
    <w:p w:rsidR="008A74EB" w:rsidRPr="00C9040A" w:rsidRDefault="008A74EB" w:rsidP="008A74EB">
      <w:pPr>
        <w:pStyle w:val="libNormal"/>
        <w:rPr>
          <w:rtl/>
          <w:lang w:bidi="fa-IR"/>
        </w:rPr>
      </w:pPr>
      <w:r w:rsidRPr="00C9040A">
        <w:rPr>
          <w:rtl/>
          <w:lang w:bidi="fa-IR"/>
        </w:rPr>
        <w:t xml:space="preserve">قَالَ : إِنَّ أَوْلِيَاءَ اللهِ سَكَتُوا ؛ فَكَانَ سُكُوتُهُمْ ذِكْراً </w:t>
      </w:r>
      <w:r w:rsidR="006C577F" w:rsidRPr="006C577F">
        <w:rPr>
          <w:rStyle w:val="libFootnotenumChar"/>
          <w:rtl/>
        </w:rPr>
        <w:t>(5)</w:t>
      </w:r>
      <w:r w:rsidRPr="00C9040A">
        <w:rPr>
          <w:rtl/>
          <w:lang w:bidi="fa-IR"/>
        </w:rPr>
        <w:t xml:space="preserve"> ، وَنَظَرُوا ؛ فَكَانَ نَظَرُهُمْ عِبْرَةً ، وَنَطَقُوا ؛ فَكَانَ نُطْقُهُمْ حِكْمَةً ، وَمَشَوْا ؛ فَكَانَ مَشْيُهُمْ بَيْنَ النَّاسِ بَرَكَةً ، لَوْ لَا</w:t>
      </w:r>
      <w:r>
        <w:rPr>
          <w:rFonts w:hint="cs"/>
          <w:rtl/>
          <w:lang w:bidi="fa-IR"/>
        </w:rPr>
        <w:t xml:space="preserve"> </w:t>
      </w:r>
      <w:r w:rsidRPr="00C9040A">
        <w:rPr>
          <w:rtl/>
          <w:lang w:bidi="fa-IR"/>
        </w:rPr>
        <w:t xml:space="preserve">الْآجَالُ الَّتِي قَدْ كُتِبَتْ </w:t>
      </w:r>
      <w:r w:rsidR="006C577F" w:rsidRPr="006C577F">
        <w:rPr>
          <w:rStyle w:val="libFootnotenumChar"/>
          <w:rtl/>
        </w:rPr>
        <w:t>(6)</w:t>
      </w:r>
      <w:r w:rsidRPr="005B567D">
        <w:rPr>
          <w:rStyle w:val="libFootnotenumChar"/>
          <w:rtl/>
        </w:rPr>
        <w:t xml:space="preserve"> </w:t>
      </w:r>
      <w:r w:rsidRPr="00C9040A">
        <w:rPr>
          <w:rtl/>
          <w:lang w:bidi="fa-IR"/>
        </w:rPr>
        <w:t xml:space="preserve">عَلَيْهِمْ ، لَمْ تَقِرَّ </w:t>
      </w:r>
      <w:r w:rsidR="006C577F" w:rsidRPr="006C577F">
        <w:rPr>
          <w:rStyle w:val="libFootnotenumChar"/>
          <w:rtl/>
        </w:rPr>
        <w:t>(7)</w:t>
      </w:r>
      <w:r w:rsidRPr="00C9040A">
        <w:rPr>
          <w:rtl/>
          <w:lang w:bidi="fa-IR"/>
        </w:rPr>
        <w:t xml:space="preserve"> أَرْوَاحُهُمْ فِي أَجْسَادِهِمْ ؛ خَوْفاً مِنَ الْعَذَابِ </w:t>
      </w:r>
      <w:r w:rsidR="006C577F" w:rsidRPr="006C577F">
        <w:rPr>
          <w:rStyle w:val="libFootnotenumChar"/>
          <w:rtl/>
        </w:rPr>
        <w:t>(8)</w:t>
      </w:r>
      <w:r w:rsidRPr="00C9040A">
        <w:rPr>
          <w:rtl/>
          <w:lang w:bidi="fa-IR"/>
        </w:rPr>
        <w:t xml:space="preserve"> ، وَشَوْقاً إِلَى الثَّوَابِ »</w:t>
      </w:r>
      <w:r>
        <w:rPr>
          <w:rtl/>
          <w:lang w:bidi="fa-IR"/>
        </w:rPr>
        <w:t>.</w:t>
      </w:r>
      <w:r w:rsidRPr="00C9040A">
        <w:rPr>
          <w:rtl/>
          <w:lang w:bidi="fa-IR"/>
        </w:rPr>
        <w:t xml:space="preserve"> </w:t>
      </w:r>
      <w:r w:rsidR="006C577F" w:rsidRPr="006C577F">
        <w:rPr>
          <w:rStyle w:val="libFootnotenumChar"/>
          <w:rtl/>
        </w:rPr>
        <w:t>(9)</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211540" w:rsidP="004A4E41">
      <w:pPr>
        <w:pStyle w:val="libFootnote0"/>
        <w:rPr>
          <w:rtl/>
          <w:lang w:bidi="fa-IR"/>
        </w:rPr>
      </w:pPr>
      <w:r>
        <w:rPr>
          <w:rFonts w:hint="cs"/>
          <w:rtl/>
        </w:rPr>
        <w:t xml:space="preserve">= </w:t>
      </w:r>
      <w:r w:rsidR="008A74EB" w:rsidRPr="00C9040A">
        <w:rPr>
          <w:rtl/>
        </w:rPr>
        <w:t xml:space="preserve">وفي « </w:t>
      </w:r>
      <w:r w:rsidR="006D3162">
        <w:rPr>
          <w:rtl/>
        </w:rPr>
        <w:t xml:space="preserve">ه </w:t>
      </w:r>
      <w:r w:rsidR="008A74EB" w:rsidRPr="00C9040A">
        <w:rPr>
          <w:rtl/>
        </w:rPr>
        <w:t>» : « النهرنيري »</w:t>
      </w:r>
      <w:r w:rsidR="008A74EB">
        <w:rPr>
          <w:rtl/>
        </w:rPr>
        <w:t>.</w:t>
      </w:r>
      <w:r w:rsidR="008A74EB" w:rsidRPr="00C9040A">
        <w:rPr>
          <w:rtl/>
        </w:rPr>
        <w:t xml:space="preserve"> وفي حاشية « د » : « النهري »</w:t>
      </w:r>
      <w:r w:rsidR="008A74EB">
        <w:rPr>
          <w:rtl/>
        </w:rPr>
        <w:t>.</w:t>
      </w:r>
      <w:r w:rsidR="008A74EB" w:rsidRPr="00C9040A">
        <w:rPr>
          <w:rtl/>
        </w:rPr>
        <w:t xml:space="preserve"> وفي حاشية « ض » والوسائل : « النهرسيري »</w:t>
      </w:r>
      <w:r w:rsidR="008A74EB">
        <w:rPr>
          <w:rtl/>
        </w:rPr>
        <w:t>.</w:t>
      </w:r>
      <w:r w:rsidR="008A74EB" w:rsidRPr="00C9040A">
        <w:rPr>
          <w:rtl/>
        </w:rPr>
        <w:t xml:space="preserve"> وفي المطبوع والبحار : « النهريري »</w:t>
      </w:r>
      <w:r w:rsidR="008A74EB">
        <w:rPr>
          <w:rtl/>
        </w:rPr>
        <w:t>.</w:t>
      </w:r>
    </w:p>
    <w:p w:rsidR="008A74EB" w:rsidRPr="00C9040A" w:rsidRDefault="008A74EB" w:rsidP="004A4E41">
      <w:pPr>
        <w:pStyle w:val="libFootnote0"/>
        <w:rPr>
          <w:rtl/>
          <w:lang w:bidi="fa-IR"/>
        </w:rPr>
      </w:pPr>
      <w:r w:rsidRPr="00323A39">
        <w:rPr>
          <w:rtl/>
        </w:rPr>
        <w:t xml:space="preserve">والمذكور من هذه الألقاب في ما يترقّب منه ذلك هو النهري والنهرتيري. أمّا النهري ، فلا نتكلّم حوله لاتّفاق النسخ على خلافه. وأمّا النهرتيري فقد ذكره السمعاني في كتابه </w:t>
      </w:r>
      <w:r w:rsidRPr="00993B55">
        <w:rPr>
          <w:rStyle w:val="libFootnoteBoldChar"/>
          <w:rtl/>
        </w:rPr>
        <w:t>الأنساب</w:t>
      </w:r>
      <w:r w:rsidRPr="00323A39">
        <w:rPr>
          <w:rtl/>
        </w:rPr>
        <w:t xml:space="preserve"> ، ج 5 ، ص 435 وقال : « هذه النسبة إلى قرية يقال لها : نهرُتيري بنواحي البصرة ». والمذكور في </w:t>
      </w:r>
      <w:r w:rsidRPr="00993B55">
        <w:rPr>
          <w:rStyle w:val="libFootnoteBoldChar"/>
          <w:rtl/>
        </w:rPr>
        <w:t>رجال الطوسي</w:t>
      </w:r>
      <w:r w:rsidRPr="00323A39">
        <w:rPr>
          <w:rtl/>
        </w:rPr>
        <w:t xml:space="preserve"> ، ص 258 ، الرقم 3654 ، أيضاً ، هو عيسى النهرتيري.</w:t>
      </w:r>
    </w:p>
    <w:p w:rsidR="008A74EB" w:rsidRDefault="008A74EB" w:rsidP="004A4E41">
      <w:pPr>
        <w:pStyle w:val="libFootnote0"/>
        <w:rPr>
          <w:rtl/>
        </w:rPr>
      </w:pPr>
      <w:r w:rsidRPr="00323A39">
        <w:rPr>
          <w:rtl/>
        </w:rPr>
        <w:t xml:space="preserve">ويؤكّد ذلك أنّ المجلسي نقل في </w:t>
      </w:r>
      <w:r w:rsidRPr="00993B55">
        <w:rPr>
          <w:rStyle w:val="libFootnoteBoldChar"/>
          <w:rtl/>
        </w:rPr>
        <w:t>مرآة العقول</w:t>
      </w:r>
      <w:r w:rsidRPr="00323A39">
        <w:rPr>
          <w:rtl/>
        </w:rPr>
        <w:t xml:space="preserve"> ، من بعض نسخ </w:t>
      </w:r>
      <w:r w:rsidRPr="00993B55">
        <w:rPr>
          <w:rStyle w:val="libFootnoteBoldChar"/>
          <w:rtl/>
        </w:rPr>
        <w:t>الكافي</w:t>
      </w:r>
      <w:r w:rsidRPr="00323A39">
        <w:rPr>
          <w:rtl/>
        </w:rPr>
        <w:t xml:space="preserve"> : « النهرتيري ».</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شرح المازندراني : « وعظمته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ب ، بف » : « وعفّى »</w:t>
      </w:r>
      <w:r w:rsidR="008A74EB">
        <w:rPr>
          <w:rtl/>
        </w:rPr>
        <w:t>.</w:t>
      </w:r>
      <w:r w:rsidR="008A74EB" w:rsidRPr="00C9040A">
        <w:rPr>
          <w:rtl/>
        </w:rPr>
        <w:t xml:space="preserve"> وفي « ج ، د » والوافي ومرآة العقول والوسائل والأمالي ، ص 303 </w:t>
      </w:r>
      <w:r w:rsidR="008A74EB">
        <w:rPr>
          <w:rtl/>
        </w:rPr>
        <w:t>و 5</w:t>
      </w:r>
      <w:r w:rsidR="008A74EB" w:rsidRPr="00C9040A">
        <w:rPr>
          <w:rtl/>
        </w:rPr>
        <w:t xml:space="preserve">52 : « عنّى » من « عني » ، أي‌آذاها وكلّفها ما يشقّ عليها. وفي « </w:t>
      </w:r>
      <w:r w:rsidR="006D3162">
        <w:rPr>
          <w:rtl/>
        </w:rPr>
        <w:t xml:space="preserve">ه </w:t>
      </w:r>
      <w:r w:rsidR="008A74EB" w:rsidRPr="00C9040A">
        <w:rPr>
          <w:rtl/>
        </w:rPr>
        <w:t>» : « عنى » ، أي‌شغلها بالصيام والقيام.</w:t>
      </w:r>
    </w:p>
    <w:p w:rsidR="008A74EB" w:rsidRPr="00C9040A" w:rsidRDefault="008A74EB" w:rsidP="004A4E41">
      <w:pPr>
        <w:pStyle w:val="libFootnote0"/>
        <w:rPr>
          <w:rtl/>
          <w:lang w:bidi="fa-IR"/>
        </w:rPr>
      </w:pPr>
      <w:r w:rsidRPr="00323A39">
        <w:rPr>
          <w:rtl/>
        </w:rPr>
        <w:t xml:space="preserve">وعفا الشي‌ء : درس ولم يبقَ له أثر ، وعفا الشي‌ء يعفو : صفا وخَلُص. والعَفو من البلاد : مالا أثر لأحدٍ فيها بملك. وعفت الإبل المرعى : تناولَته قريباً. </w:t>
      </w:r>
      <w:r w:rsidRPr="00993B55">
        <w:rPr>
          <w:rStyle w:val="libFootnoteBoldChar"/>
          <w:rtl/>
        </w:rPr>
        <w:t>النهاية</w:t>
      </w:r>
      <w:r w:rsidRPr="00323A39">
        <w:rPr>
          <w:rtl/>
        </w:rPr>
        <w:t xml:space="preserve"> ، ج 3 ، ص 266 ؛ </w:t>
      </w:r>
      <w:r w:rsidRPr="00993B55">
        <w:rPr>
          <w:rStyle w:val="libFootnoteBoldChar"/>
          <w:rtl/>
        </w:rPr>
        <w:t>القاموس المحيط</w:t>
      </w:r>
      <w:r w:rsidRPr="00323A39">
        <w:rPr>
          <w:rtl/>
        </w:rPr>
        <w:t xml:space="preserve"> ، ج 2 ، ص 1721 ( عفو ).</w:t>
      </w:r>
    </w:p>
    <w:tbl>
      <w:tblPr>
        <w:tblStyle w:val="TableGrid"/>
        <w:bidiVisual/>
        <w:tblW w:w="0" w:type="auto"/>
        <w:tblLook w:val="04A0" w:firstRow="1" w:lastRow="0" w:firstColumn="1" w:lastColumn="0" w:noHBand="0" w:noVBand="1"/>
      </w:tblPr>
      <w:tblGrid>
        <w:gridCol w:w="4006"/>
        <w:gridCol w:w="4006"/>
      </w:tblGrid>
      <w:tr w:rsidR="00211540" w:rsidTr="00211540">
        <w:tc>
          <w:tcPr>
            <w:tcW w:w="4006" w:type="dxa"/>
          </w:tcPr>
          <w:p w:rsidR="00211540" w:rsidRDefault="00211540" w:rsidP="004A4E41">
            <w:pPr>
              <w:pStyle w:val="libFootnote0"/>
              <w:rPr>
                <w:rtl/>
              </w:rPr>
            </w:pPr>
            <w:r>
              <w:rPr>
                <w:rtl/>
              </w:rPr>
              <w:t>(3).</w:t>
            </w:r>
            <w:r w:rsidRPr="00C9040A">
              <w:rPr>
                <w:rtl/>
              </w:rPr>
              <w:t xml:space="preserve"> في « </w:t>
            </w:r>
            <w:r>
              <w:rPr>
                <w:rtl/>
              </w:rPr>
              <w:t xml:space="preserve">ه </w:t>
            </w:r>
            <w:r w:rsidRPr="00C9040A">
              <w:rPr>
                <w:rtl/>
              </w:rPr>
              <w:t>» : + « نفديك »</w:t>
            </w:r>
            <w:r>
              <w:rPr>
                <w:rtl/>
              </w:rPr>
              <w:t>.</w:t>
            </w:r>
          </w:p>
        </w:tc>
        <w:tc>
          <w:tcPr>
            <w:tcW w:w="4006" w:type="dxa"/>
          </w:tcPr>
          <w:p w:rsidR="00211540" w:rsidRDefault="00211540" w:rsidP="004A4E41">
            <w:pPr>
              <w:pStyle w:val="libFootnote0"/>
              <w:rPr>
                <w:rtl/>
              </w:rPr>
            </w:pPr>
            <w:r>
              <w:rPr>
                <w:rtl/>
              </w:rPr>
              <w:t>(4).</w:t>
            </w:r>
            <w:r w:rsidRPr="00C9040A">
              <w:rPr>
                <w:rtl/>
              </w:rPr>
              <w:t xml:space="preserve"> في « </w:t>
            </w:r>
            <w:r>
              <w:rPr>
                <w:rtl/>
              </w:rPr>
              <w:t xml:space="preserve">ه </w:t>
            </w:r>
            <w:r w:rsidRPr="00C9040A">
              <w:rPr>
                <w:rtl/>
              </w:rPr>
              <w:t>» : + « صلّى الله عليك »</w:t>
            </w:r>
            <w:r>
              <w:rPr>
                <w:rtl/>
              </w:rPr>
              <w:t>.</w:t>
            </w:r>
          </w:p>
        </w:tc>
      </w:tr>
    </w:tbl>
    <w:p w:rsidR="008A74EB" w:rsidRPr="00C9040A" w:rsidRDefault="006C577F" w:rsidP="004A4E41">
      <w:pPr>
        <w:pStyle w:val="libFootnote0"/>
        <w:rPr>
          <w:rtl/>
          <w:lang w:bidi="fa-IR"/>
        </w:rPr>
      </w:pPr>
      <w:r>
        <w:rPr>
          <w:rtl/>
        </w:rPr>
        <w:t>(5).</w:t>
      </w:r>
      <w:r w:rsidR="008A74EB" w:rsidRPr="00C9040A">
        <w:rPr>
          <w:rtl/>
        </w:rPr>
        <w:t xml:space="preserve"> في الأمالي ، ص 303 : « فكان سكوتهم فكراً ، وتكلّموا فكان كلامهم ذكراً » بدل « فكان سكوتهم ذكراً »</w:t>
      </w:r>
      <w:r w:rsidR="008A74EB">
        <w:rPr>
          <w:rtl/>
        </w:rPr>
        <w:t>.</w:t>
      </w:r>
    </w:p>
    <w:tbl>
      <w:tblPr>
        <w:tblStyle w:val="TableGrid"/>
        <w:bidiVisual/>
        <w:tblW w:w="0" w:type="auto"/>
        <w:tblLook w:val="04A0" w:firstRow="1" w:lastRow="0" w:firstColumn="1" w:lastColumn="0" w:noHBand="0" w:noVBand="1"/>
      </w:tblPr>
      <w:tblGrid>
        <w:gridCol w:w="4006"/>
        <w:gridCol w:w="4006"/>
      </w:tblGrid>
      <w:tr w:rsidR="00211540" w:rsidTr="00211540">
        <w:tc>
          <w:tcPr>
            <w:tcW w:w="4006" w:type="dxa"/>
          </w:tcPr>
          <w:p w:rsidR="00211540" w:rsidRDefault="00211540" w:rsidP="004A4E41">
            <w:pPr>
              <w:pStyle w:val="libFootnote0"/>
              <w:rPr>
                <w:rtl/>
                <w:lang w:bidi="fa-IR"/>
              </w:rPr>
            </w:pPr>
            <w:r>
              <w:rPr>
                <w:rtl/>
              </w:rPr>
              <w:t xml:space="preserve">(6). </w:t>
            </w:r>
            <w:r w:rsidRPr="00C9040A">
              <w:rPr>
                <w:rtl/>
              </w:rPr>
              <w:t>في البحار : « كتب الله »</w:t>
            </w:r>
            <w:r>
              <w:rPr>
                <w:rtl/>
              </w:rPr>
              <w:t>.</w:t>
            </w:r>
          </w:p>
        </w:tc>
        <w:tc>
          <w:tcPr>
            <w:tcW w:w="4006" w:type="dxa"/>
          </w:tcPr>
          <w:p w:rsidR="00211540" w:rsidRDefault="00211540" w:rsidP="004A4E41">
            <w:pPr>
              <w:pStyle w:val="libFootnote0"/>
              <w:rPr>
                <w:rtl/>
                <w:lang w:bidi="fa-IR"/>
              </w:rPr>
            </w:pPr>
            <w:r>
              <w:rPr>
                <w:rtl/>
              </w:rPr>
              <w:t>(7).</w:t>
            </w:r>
            <w:r w:rsidRPr="00C9040A">
              <w:rPr>
                <w:rtl/>
              </w:rPr>
              <w:t xml:space="preserve"> في الأمالي ، ص 303 </w:t>
            </w:r>
            <w:r>
              <w:rPr>
                <w:rtl/>
              </w:rPr>
              <w:t>و 5</w:t>
            </w:r>
            <w:r w:rsidRPr="00C9040A">
              <w:rPr>
                <w:rtl/>
              </w:rPr>
              <w:t>52 « لم تستقرّ »</w:t>
            </w:r>
            <w:r>
              <w:rPr>
                <w:rtl/>
              </w:rPr>
              <w:t>.</w:t>
            </w:r>
          </w:p>
        </w:tc>
      </w:tr>
    </w:tbl>
    <w:p w:rsidR="008A74EB" w:rsidRPr="00C9040A" w:rsidRDefault="006C577F" w:rsidP="004A4E41">
      <w:pPr>
        <w:pStyle w:val="libFootnote0"/>
        <w:rPr>
          <w:rtl/>
          <w:lang w:bidi="fa-IR"/>
        </w:rPr>
      </w:pPr>
      <w:r>
        <w:rPr>
          <w:rtl/>
        </w:rPr>
        <w:t>(8).</w:t>
      </w:r>
      <w:r w:rsidR="008A74EB" w:rsidRPr="00C9040A">
        <w:rPr>
          <w:rtl/>
        </w:rPr>
        <w:t xml:space="preserve"> في الوسائل : « العقاب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w:t>
      </w:r>
      <w:r w:rsidR="008A74EB" w:rsidRPr="0034021D">
        <w:rPr>
          <w:rStyle w:val="libFootnoteBoldChar"/>
          <w:rtl/>
        </w:rPr>
        <w:t>الأمالي للصدوق</w:t>
      </w:r>
      <w:r w:rsidR="008A74EB" w:rsidRPr="00C9040A">
        <w:rPr>
          <w:rtl/>
        </w:rPr>
        <w:t xml:space="preserve"> ، ص 303 ، المجلس 50 ، ح 7 ، بسنده عن أحمد بن محمّد بن خالد ، عن محمّد بن عليّ الكوفي ، عن محمّد بن سنان ، عن عيسى النهريري ، عن الصادق ، عن آبائه </w:t>
      </w:r>
      <w:r w:rsidR="00117575" w:rsidRPr="00117575">
        <w:rPr>
          <w:rStyle w:val="libFootnoteAlaemChar"/>
          <w:rtl/>
        </w:rPr>
        <w:t>عليهم‌السلام</w:t>
      </w:r>
      <w:r w:rsidR="008A74EB" w:rsidRPr="00C9040A">
        <w:rPr>
          <w:rtl/>
        </w:rPr>
        <w:t xml:space="preserve"> عن النبيّ </w:t>
      </w:r>
      <w:r w:rsidR="004A4E41" w:rsidRPr="000A1883">
        <w:rPr>
          <w:rStyle w:val="libFootnoteAlaemChar"/>
          <w:rtl/>
        </w:rPr>
        <w:t>صلى‌الله‌عليه‌وآله</w:t>
      </w:r>
      <w:r w:rsidR="008A74EB" w:rsidRPr="00C9040A">
        <w:rPr>
          <w:rtl/>
        </w:rPr>
        <w:t xml:space="preserve"> ؛ </w:t>
      </w:r>
      <w:r w:rsidR="008A74EB" w:rsidRPr="00993B55">
        <w:rPr>
          <w:rStyle w:val="libFootnoteBoldChar"/>
          <w:rtl/>
        </w:rPr>
        <w:t>وفيه</w:t>
      </w:r>
      <w:r w:rsidR="008A74EB" w:rsidRPr="00C9040A">
        <w:rPr>
          <w:rtl/>
        </w:rPr>
        <w:t xml:space="preserve"> ، ص 552 ، المجلس 82 ، ح 6 ، بسنده عن محمّد بن عليّ الكوفي ، عن محمّد بن سنان ، عن عيسى النهريزي ، </w:t>
      </w:r>
      <w:r w:rsidR="000A1883">
        <w:rPr>
          <w:rFonts w:hint="cs"/>
          <w:rtl/>
        </w:rPr>
        <w:t>عن =</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944A25">
        <w:rPr>
          <w:rtl/>
        </w:rPr>
        <w:t>2305</w:t>
      </w:r>
      <w:r w:rsidRPr="00261CB0">
        <w:rPr>
          <w:rStyle w:val="libBold2Char"/>
          <w:rtl/>
        </w:rPr>
        <w:t xml:space="preserve"> / 26.</w:t>
      </w:r>
      <w:r w:rsidRPr="00C9040A">
        <w:rPr>
          <w:rtl/>
          <w:lang w:bidi="fa-IR"/>
        </w:rPr>
        <w:t xml:space="preserve"> عَنْهُ </w:t>
      </w:r>
      <w:r w:rsidR="006C577F" w:rsidRPr="006C577F">
        <w:rPr>
          <w:rStyle w:val="libFootnotenumChar"/>
          <w:rtl/>
        </w:rPr>
        <w:t>(1)</w:t>
      </w:r>
      <w:r w:rsidRPr="00C9040A">
        <w:rPr>
          <w:rtl/>
          <w:lang w:bidi="fa-IR"/>
        </w:rPr>
        <w:t xml:space="preserve"> ، عَنْ بَعْضِ أَصْحَابِهِ مِنَ الْعِرَاقِيِّينَ رَفَعَهُ ، قَالَ :</w:t>
      </w:r>
    </w:p>
    <w:p w:rsidR="008A74EB" w:rsidRPr="00C9040A" w:rsidRDefault="008A74EB" w:rsidP="008A74EB">
      <w:pPr>
        <w:pStyle w:val="libNormal"/>
        <w:rPr>
          <w:rtl/>
          <w:lang w:bidi="fa-IR"/>
        </w:rPr>
      </w:pPr>
      <w:r w:rsidRPr="00C9040A">
        <w:rPr>
          <w:rtl/>
          <w:lang w:bidi="fa-IR"/>
        </w:rPr>
        <w:t xml:space="preserve">خَطَبَ النَّاسَ </w:t>
      </w:r>
      <w:r w:rsidR="006C577F" w:rsidRPr="006C577F">
        <w:rPr>
          <w:rStyle w:val="libFootnotenumChar"/>
          <w:rtl/>
        </w:rPr>
        <w:t>(2)</w:t>
      </w:r>
      <w:r w:rsidRPr="00C9040A">
        <w:rPr>
          <w:rtl/>
          <w:lang w:bidi="fa-IR"/>
        </w:rPr>
        <w:t xml:space="preserve"> الْحَسَنُ بْنُ عَلِيٍّ صَلَوَاتُ اللهِ عَلَيْهِمَا ، فَقَالَ : « أَيُّهَا النَّاسُ ، أَنَا </w:t>
      </w:r>
      <w:r w:rsidR="006C577F" w:rsidRPr="006C577F">
        <w:rPr>
          <w:rStyle w:val="libFootnotenumChar"/>
          <w:rtl/>
        </w:rPr>
        <w:t>(3)</w:t>
      </w:r>
      <w:r w:rsidRPr="00C9040A">
        <w:rPr>
          <w:rtl/>
          <w:lang w:bidi="fa-IR"/>
        </w:rPr>
        <w:t xml:space="preserve"> أُخْبِرُكُمْ عَنْ أَخٍ </w:t>
      </w:r>
      <w:r w:rsidR="006C577F" w:rsidRPr="006C577F">
        <w:rPr>
          <w:rStyle w:val="libFootnotenumChar"/>
          <w:rtl/>
        </w:rPr>
        <w:t>(4)</w:t>
      </w:r>
      <w:r w:rsidRPr="00C9040A">
        <w:rPr>
          <w:rtl/>
          <w:lang w:bidi="fa-IR"/>
        </w:rPr>
        <w:t xml:space="preserve"> لِي كَانَ مِنْ </w:t>
      </w:r>
      <w:r w:rsidR="006C577F" w:rsidRPr="006C577F">
        <w:rPr>
          <w:rStyle w:val="libFootnotenumChar"/>
          <w:rtl/>
        </w:rPr>
        <w:t>(5)</w:t>
      </w:r>
      <w:r w:rsidRPr="00C9040A">
        <w:rPr>
          <w:rtl/>
          <w:lang w:bidi="fa-IR"/>
        </w:rPr>
        <w:t xml:space="preserve"> أَعْظَمِ النَّاسِ فِي عَيْنِي ، وَكَانَ رَأْسُ مَا عَظُمَ بِهِ </w:t>
      </w:r>
      <w:r w:rsidR="006C577F" w:rsidRPr="006C577F">
        <w:rPr>
          <w:rStyle w:val="libFootnotenumChar"/>
          <w:rtl/>
        </w:rPr>
        <w:t>(6)</w:t>
      </w:r>
      <w:r w:rsidRPr="005B567D">
        <w:rPr>
          <w:rStyle w:val="libFootnotenumChar"/>
          <w:rtl/>
        </w:rPr>
        <w:t xml:space="preserve"> </w:t>
      </w:r>
      <w:r w:rsidRPr="00C9040A">
        <w:rPr>
          <w:rtl/>
          <w:lang w:bidi="fa-IR"/>
        </w:rPr>
        <w:t xml:space="preserve">فِي عَيْنِي صِغَرَ الدُّنْيَا فِي عَيْنِهِ ، كَانَ خَارِجاً مِنْ سُلْطَانِ بَطْنِهِ ؛ فَلَا يَشْتَهِي </w:t>
      </w:r>
      <w:r w:rsidR="006C577F" w:rsidRPr="006C577F">
        <w:rPr>
          <w:rStyle w:val="libFootnotenumChar"/>
          <w:rtl/>
        </w:rPr>
        <w:t>(7)</w:t>
      </w:r>
      <w:r w:rsidRPr="00C9040A">
        <w:rPr>
          <w:rtl/>
          <w:lang w:bidi="fa-IR"/>
        </w:rPr>
        <w:t xml:space="preserve"> مَا لَايَجِدُ ، وَلَا يُكْثِرُ إِذَا وَجَدَ ، كَانَ خَارِجاً مِنْ سُلْطَانِ فَرْجِهِ ؛ فَلَا يَسْتَخِفُّ </w:t>
      </w:r>
      <w:r w:rsidR="006C577F" w:rsidRPr="006C577F">
        <w:rPr>
          <w:rStyle w:val="libFootnotenumChar"/>
          <w:rtl/>
        </w:rPr>
        <w:t>(8)</w:t>
      </w:r>
      <w:r w:rsidRPr="00C9040A">
        <w:rPr>
          <w:rtl/>
          <w:lang w:bidi="fa-IR"/>
        </w:rPr>
        <w:t xml:space="preserve"> لَهُ عَقْلَهُ وَلَا رَأْيَهُ ، كَانَ خَارِجاً مِنْ سُلْطَانِ الْجَهَالَةِ ؛ فَلَا يَمُدُّ يَد</w:t>
      </w:r>
      <w:r w:rsidR="000A1883">
        <w:rPr>
          <w:rtl/>
          <w:lang w:bidi="fa-IR"/>
        </w:rPr>
        <w:t>َهُ إِل</w:t>
      </w:r>
      <w:r w:rsidR="000A1883">
        <w:rPr>
          <w:rFonts w:hint="cs"/>
          <w:rtl/>
          <w:lang w:bidi="fa-IR"/>
        </w:rPr>
        <w:t>َّ</w:t>
      </w:r>
      <w:r w:rsidR="000A1883">
        <w:rPr>
          <w:rtl/>
          <w:lang w:bidi="fa-IR"/>
        </w:rPr>
        <w:t>ا</w:t>
      </w:r>
      <w:r w:rsidRPr="00C9040A">
        <w:rPr>
          <w:rtl/>
          <w:lang w:bidi="fa-IR"/>
        </w:rPr>
        <w:t xml:space="preserve"> عَلى ثِقَةٍ لِمَنْفَعَةٍ </w:t>
      </w:r>
      <w:r w:rsidR="006C577F" w:rsidRPr="006C577F">
        <w:rPr>
          <w:rStyle w:val="libFootnotenumChar"/>
          <w:rtl/>
        </w:rPr>
        <w:t>(9)</w:t>
      </w:r>
      <w:r w:rsidRPr="00C9040A">
        <w:rPr>
          <w:rtl/>
          <w:lang w:bidi="fa-IR"/>
        </w:rPr>
        <w:t xml:space="preserve"> ، كَانَ لَايَتَشَهّى </w:t>
      </w:r>
      <w:r w:rsidR="006C577F" w:rsidRPr="006C577F">
        <w:rPr>
          <w:rStyle w:val="libFootnotenumChar"/>
          <w:rtl/>
        </w:rPr>
        <w:t>(10)</w:t>
      </w:r>
      <w:r w:rsidRPr="00C9040A">
        <w:rPr>
          <w:rtl/>
          <w:lang w:bidi="fa-IR"/>
        </w:rPr>
        <w:t xml:space="preserve"> وَلَا يَتَسَخَّطُ وَلَا يَتَبَرَّمُ </w:t>
      </w:r>
      <w:r w:rsidR="006C577F" w:rsidRPr="006C577F">
        <w:rPr>
          <w:rStyle w:val="libFootnotenumChar"/>
          <w:rtl/>
        </w:rPr>
        <w:t>(11)</w:t>
      </w:r>
      <w:r w:rsidRPr="00C9040A">
        <w:rPr>
          <w:rtl/>
          <w:lang w:bidi="fa-IR"/>
        </w:rPr>
        <w:t xml:space="preserve"> ، كَانَ أَكْثَرَ دَهْرِهِ صَمَّاتاً </w:t>
      </w:r>
      <w:r w:rsidR="006C577F" w:rsidRPr="006C577F">
        <w:rPr>
          <w:rStyle w:val="libFootnotenumChar"/>
          <w:rtl/>
        </w:rPr>
        <w:t>(12)</w:t>
      </w:r>
      <w:r w:rsidRPr="00C9040A">
        <w:rPr>
          <w:rtl/>
          <w:lang w:bidi="fa-IR"/>
        </w:rPr>
        <w:t xml:space="preserve"> ، فَإِذَا قَالَ ، بَذَّ </w:t>
      </w:r>
      <w:r w:rsidRPr="005B567D">
        <w:rPr>
          <w:rStyle w:val="libFootnotenumChar"/>
          <w:rtl/>
        </w:rPr>
        <w:t>(13)</w:t>
      </w:r>
      <w:r w:rsidRPr="00C9040A">
        <w:rPr>
          <w:rtl/>
          <w:lang w:bidi="fa-IR"/>
        </w:rPr>
        <w:t xml:space="preserve"> الْقَائِلِينَ ، كَانَ‌</w:t>
      </w:r>
    </w:p>
    <w:p w:rsidR="008A74EB" w:rsidRPr="00C9040A" w:rsidRDefault="008A74EB" w:rsidP="008A74EB">
      <w:pPr>
        <w:pStyle w:val="libLine"/>
        <w:rPr>
          <w:rtl/>
          <w:lang w:bidi="fa-IR"/>
        </w:rPr>
      </w:pPr>
      <w:r w:rsidRPr="00C9040A">
        <w:rPr>
          <w:rtl/>
          <w:lang w:bidi="fa-IR"/>
        </w:rPr>
        <w:t>__________________</w:t>
      </w:r>
    </w:p>
    <w:p w:rsidR="008A74EB" w:rsidRPr="00C9040A" w:rsidRDefault="000A1883" w:rsidP="004A4E41">
      <w:pPr>
        <w:pStyle w:val="libFootnote0"/>
        <w:rPr>
          <w:rtl/>
          <w:lang w:bidi="fa-IR"/>
        </w:rPr>
      </w:pPr>
      <w:r>
        <w:rPr>
          <w:rFonts w:hint="cs"/>
          <w:rtl/>
        </w:rPr>
        <w:t xml:space="preserve">= </w:t>
      </w:r>
      <w:r w:rsidR="008A74EB" w:rsidRPr="00C9040A">
        <w:rPr>
          <w:rtl/>
        </w:rPr>
        <w:t xml:space="preserve">عن الصادق ، عن آبائه </w:t>
      </w:r>
      <w:r w:rsidR="00117575" w:rsidRPr="00117575">
        <w:rPr>
          <w:rStyle w:val="libFootnoteAlaemChar"/>
          <w:rtl/>
        </w:rPr>
        <w:t>عليهم‌السلام</w:t>
      </w:r>
      <w:r w:rsidR="008A74EB" w:rsidRPr="00C9040A">
        <w:rPr>
          <w:rtl/>
        </w:rPr>
        <w:t xml:space="preserve"> عن النبيّ </w:t>
      </w:r>
      <w:r w:rsidR="004A4E41" w:rsidRPr="000A1883">
        <w:rPr>
          <w:rStyle w:val="libFootnoteAlaemChar"/>
          <w:rtl/>
        </w:rPr>
        <w:t>صلى‌الله‌عليه‌وآله</w:t>
      </w:r>
      <w:r w:rsidR="008A74EB" w:rsidRPr="00C9040A">
        <w:rPr>
          <w:rtl/>
        </w:rPr>
        <w:t xml:space="preserve"> </w:t>
      </w:r>
      <w:r>
        <w:rPr>
          <w:rFonts w:hint="cs"/>
          <w:rtl/>
        </w:rPr>
        <w:t>.</w:t>
      </w:r>
      <w:r w:rsidR="008A74EB" w:rsidRPr="00993B55">
        <w:rPr>
          <w:rStyle w:val="libFootnoteBoldChar"/>
          <w:rtl/>
        </w:rPr>
        <w:t>الوافي</w:t>
      </w:r>
      <w:r w:rsidR="008A74EB" w:rsidRPr="00C9040A">
        <w:rPr>
          <w:rtl/>
        </w:rPr>
        <w:t xml:space="preserve"> ، ج 4 ، ص 175 ، ح 1786 ؛ </w:t>
      </w:r>
      <w:r w:rsidR="008A74EB" w:rsidRPr="00993B55">
        <w:rPr>
          <w:rStyle w:val="libFootnoteBoldChar"/>
          <w:rtl/>
        </w:rPr>
        <w:t>الوسائل</w:t>
      </w:r>
      <w:r w:rsidR="008A74EB" w:rsidRPr="00C9040A">
        <w:rPr>
          <w:rtl/>
        </w:rPr>
        <w:t xml:space="preserve"> ، ج 1 ، ص 87 ، ح 207 ؛ </w:t>
      </w:r>
      <w:r w:rsidR="008A74EB" w:rsidRPr="00993B55">
        <w:rPr>
          <w:rStyle w:val="libFootnoteBoldChar"/>
          <w:rtl/>
        </w:rPr>
        <w:t>البحار</w:t>
      </w:r>
      <w:r w:rsidR="008A74EB" w:rsidRPr="00C9040A">
        <w:rPr>
          <w:rtl/>
        </w:rPr>
        <w:t xml:space="preserve"> ، ج 69 ، ص 288 ، ح 23.</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الضمير راجع إلى أحمد بن محمّد بن خالد.</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ض ، </w:t>
      </w:r>
      <w:r w:rsidR="006D3162">
        <w:rPr>
          <w:rtl/>
        </w:rPr>
        <w:t xml:space="preserve">ه </w:t>
      </w:r>
      <w:r w:rsidR="008A74EB" w:rsidRPr="00C9040A">
        <w:rPr>
          <w:rtl/>
        </w:rPr>
        <w:t xml:space="preserve">» </w:t>
      </w:r>
      <w:r w:rsidR="008A74EB">
        <w:rPr>
          <w:rtl/>
        </w:rPr>
        <w:t xml:space="preserve">: </w:t>
      </w:r>
      <w:r w:rsidR="0084262C">
        <w:rPr>
          <w:rtl/>
        </w:rPr>
        <w:t>-</w:t>
      </w:r>
      <w:r w:rsidR="008A74EB" w:rsidRPr="00C9040A">
        <w:rPr>
          <w:rtl/>
        </w:rPr>
        <w:t xml:space="preserve"> « الناس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ب » : « أما »</w:t>
      </w:r>
      <w:r w:rsidR="008A74EB">
        <w:rPr>
          <w:rtl/>
        </w:rPr>
        <w:t>.</w:t>
      </w:r>
      <w:r w:rsidR="008A74EB" w:rsidRPr="00C9040A">
        <w:rPr>
          <w:rtl/>
        </w:rPr>
        <w:t xml:space="preserve"> وفي « ز ، ف » والبحار : « إنّما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ف » وحاشية « ج ، د » : « بأخ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w:t>
      </w:r>
      <w:r w:rsidR="006D3162">
        <w:rPr>
          <w:rtl/>
        </w:rPr>
        <w:t xml:space="preserve">ه </w:t>
      </w:r>
      <w:r w:rsidR="008A74EB" w:rsidRPr="00C9040A">
        <w:rPr>
          <w:rtl/>
        </w:rPr>
        <w:t xml:space="preserve">» </w:t>
      </w:r>
      <w:r w:rsidR="008A74EB">
        <w:rPr>
          <w:rtl/>
        </w:rPr>
        <w:t xml:space="preserve">: </w:t>
      </w:r>
      <w:r w:rsidR="0084262C">
        <w:rPr>
          <w:rtl/>
        </w:rPr>
        <w:t>-</w:t>
      </w:r>
      <w:r w:rsidR="008A74EB" w:rsidRPr="00C9040A">
        <w:rPr>
          <w:rtl/>
        </w:rPr>
        <w:t xml:space="preserve"> « من »</w:t>
      </w:r>
      <w:r w:rsidR="008A74EB">
        <w:rPr>
          <w:rtl/>
        </w:rPr>
        <w:t>.</w:t>
      </w:r>
    </w:p>
    <w:tbl>
      <w:tblPr>
        <w:tblStyle w:val="TableGrid"/>
        <w:bidiVisual/>
        <w:tblW w:w="0" w:type="auto"/>
        <w:tblLook w:val="04A0" w:firstRow="1" w:lastRow="0" w:firstColumn="1" w:lastColumn="0" w:noHBand="0" w:noVBand="1"/>
      </w:tblPr>
      <w:tblGrid>
        <w:gridCol w:w="4006"/>
        <w:gridCol w:w="4006"/>
      </w:tblGrid>
      <w:tr w:rsidR="000A1883" w:rsidTr="000A1883">
        <w:tc>
          <w:tcPr>
            <w:tcW w:w="4006" w:type="dxa"/>
          </w:tcPr>
          <w:p w:rsidR="000A1883" w:rsidRDefault="000A1883" w:rsidP="004A4E41">
            <w:pPr>
              <w:pStyle w:val="libFootnote0"/>
              <w:rPr>
                <w:rtl/>
              </w:rPr>
            </w:pPr>
            <w:r>
              <w:rPr>
                <w:rtl/>
              </w:rPr>
              <w:t xml:space="preserve">(6). </w:t>
            </w:r>
            <w:r w:rsidRPr="00C9040A">
              <w:rPr>
                <w:rtl/>
              </w:rPr>
              <w:t xml:space="preserve">في « ض » </w:t>
            </w:r>
            <w:r>
              <w:rPr>
                <w:rtl/>
              </w:rPr>
              <w:t>: -</w:t>
            </w:r>
            <w:r w:rsidRPr="00C9040A">
              <w:rPr>
                <w:rtl/>
              </w:rPr>
              <w:t xml:space="preserve"> « به »</w:t>
            </w:r>
            <w:r>
              <w:rPr>
                <w:rtl/>
              </w:rPr>
              <w:t>.</w:t>
            </w:r>
          </w:p>
        </w:tc>
        <w:tc>
          <w:tcPr>
            <w:tcW w:w="4006" w:type="dxa"/>
          </w:tcPr>
          <w:p w:rsidR="000A1883" w:rsidRDefault="000A1883" w:rsidP="004A4E41">
            <w:pPr>
              <w:pStyle w:val="libFootnote0"/>
              <w:rPr>
                <w:rtl/>
              </w:rPr>
            </w:pPr>
            <w:r>
              <w:rPr>
                <w:rtl/>
              </w:rPr>
              <w:t>(7).</w:t>
            </w:r>
            <w:r w:rsidRPr="00C9040A">
              <w:rPr>
                <w:rtl/>
              </w:rPr>
              <w:t xml:space="preserve"> في « بس » : « فلا يشهى »</w:t>
            </w:r>
            <w:r>
              <w:rPr>
                <w:rtl/>
              </w:rPr>
              <w:t>.</w:t>
            </w:r>
          </w:p>
        </w:tc>
      </w:tr>
    </w:tbl>
    <w:p w:rsidR="008A74EB" w:rsidRPr="00C9040A" w:rsidRDefault="006C577F" w:rsidP="004A4E41">
      <w:pPr>
        <w:pStyle w:val="libFootnote0"/>
        <w:rPr>
          <w:rtl/>
          <w:lang w:bidi="fa-IR"/>
        </w:rPr>
      </w:pPr>
      <w:r>
        <w:rPr>
          <w:rtl/>
        </w:rPr>
        <w:t>(8).</w:t>
      </w:r>
      <w:r w:rsidR="008A74EB" w:rsidRPr="00C9040A">
        <w:rPr>
          <w:rtl/>
        </w:rPr>
        <w:t xml:space="preserve"> قال في </w:t>
      </w:r>
      <w:r w:rsidR="008A74EB" w:rsidRPr="00993B55">
        <w:rPr>
          <w:rStyle w:val="libFootnoteBoldChar"/>
          <w:rtl/>
        </w:rPr>
        <w:t>مرآة العقول</w:t>
      </w:r>
      <w:r w:rsidR="008A74EB" w:rsidRPr="00C9040A">
        <w:rPr>
          <w:rtl/>
        </w:rPr>
        <w:t xml:space="preserve"> ، ج 9 ، ص 260 : « هذه الفقرة تحتمل وجوهاً :</w:t>
      </w:r>
      <w:r w:rsidR="008A74EB">
        <w:rPr>
          <w:rtl/>
        </w:rPr>
        <w:t xml:space="preserve"> ..</w:t>
      </w:r>
      <w:r w:rsidR="008A74EB" w:rsidRPr="00C9040A">
        <w:rPr>
          <w:rtl/>
        </w:rPr>
        <w:t>. الثالث : أن يقرأ : يستخفّ ، على بناء</w:t>
      </w:r>
      <w:r w:rsidR="000A1883">
        <w:rPr>
          <w:rFonts w:hint="cs"/>
          <w:rtl/>
        </w:rPr>
        <w:t xml:space="preserve"> </w:t>
      </w:r>
      <w:r w:rsidR="008A74EB" w:rsidRPr="00C9040A">
        <w:rPr>
          <w:rtl/>
        </w:rPr>
        <w:t>المجهول وعقله ورأيه مرفوعين وضمير له إمّا راجع إلى الأخ أو إلى الفرج. وماقيل : إنّ يستخفّ على بناء المعلوم ، وعقله ورأيه مرفوعان ، وضمير له للأخ ، فلا يساعده ما مرّ من معاني الاستخفاف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w:t>
      </w:r>
      <w:r w:rsidR="008A74EB" w:rsidRPr="00993B55">
        <w:rPr>
          <w:rStyle w:val="libFootnoteBoldChar"/>
          <w:rtl/>
        </w:rPr>
        <w:t>مرآة العقول</w:t>
      </w:r>
      <w:r w:rsidR="008A74EB" w:rsidRPr="00C9040A">
        <w:rPr>
          <w:rtl/>
        </w:rPr>
        <w:t xml:space="preserve"> : « فلا يمدّ يده ، أي إلى أخذ شي‌ء ؛ كناية عن ارتكاب الا</w:t>
      </w:r>
      <w:r w:rsidR="000A1883">
        <w:rPr>
          <w:rFonts w:hint="cs"/>
          <w:rtl/>
        </w:rPr>
        <w:t>ُ</w:t>
      </w:r>
      <w:r w:rsidR="000A1883">
        <w:rPr>
          <w:rtl/>
        </w:rPr>
        <w:t>مور « إل</w:t>
      </w:r>
      <w:r w:rsidR="000A1883">
        <w:rPr>
          <w:rFonts w:hint="cs"/>
          <w:rtl/>
        </w:rPr>
        <w:t>ّ</w:t>
      </w:r>
      <w:r w:rsidR="000A1883">
        <w:rPr>
          <w:rtl/>
        </w:rPr>
        <w:t>ا</w:t>
      </w:r>
      <w:r w:rsidR="008A74EB" w:rsidRPr="00C9040A">
        <w:rPr>
          <w:rtl/>
        </w:rPr>
        <w:t xml:space="preserve"> على ثقة » واعتماد بأنّه ينفعه</w:t>
      </w:r>
      <w:r w:rsidR="000A1883">
        <w:rPr>
          <w:rFonts w:hint="cs"/>
          <w:rtl/>
        </w:rPr>
        <w:t xml:space="preserve"> </w:t>
      </w:r>
      <w:r w:rsidR="008A74EB" w:rsidRPr="00C9040A">
        <w:rPr>
          <w:rtl/>
        </w:rPr>
        <w:t>‌نفعاً عظيماً في الآخرة أو في الدنيا أيضاً إذا لم يضرّ بالآخرة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 بس » : « لا يشتهي »</w:t>
      </w:r>
      <w:r w:rsidR="008A74EB">
        <w:rPr>
          <w:rtl/>
        </w:rPr>
        <w:t>.</w:t>
      </w:r>
      <w:r w:rsidR="008A74EB" w:rsidRPr="00C9040A">
        <w:rPr>
          <w:rtl/>
        </w:rPr>
        <w:t xml:space="preserve"> وفي </w:t>
      </w:r>
      <w:r w:rsidR="008A74EB" w:rsidRPr="000A1883">
        <w:rPr>
          <w:rStyle w:val="libFootnoteBoldChar"/>
          <w:rtl/>
        </w:rPr>
        <w:t>المرآة</w:t>
      </w:r>
      <w:r w:rsidR="008A74EB" w:rsidRPr="00C9040A">
        <w:rPr>
          <w:rtl/>
        </w:rPr>
        <w:t xml:space="preserve"> : « لايتشهّى ، أي لايكثر شهوة الأشياء. ولايتسخّط ، أي لايسخط كثيراً لفقد المشتهيات ، أو لايغضب لإيذاء الخلق له أو لقلّة عطائهم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في « </w:t>
      </w:r>
      <w:r w:rsidR="006D3162">
        <w:rPr>
          <w:rtl/>
        </w:rPr>
        <w:t xml:space="preserve">ه </w:t>
      </w:r>
      <w:r w:rsidR="008A74EB" w:rsidRPr="00C9040A">
        <w:rPr>
          <w:rtl/>
        </w:rPr>
        <w:t xml:space="preserve">» : « لا يبترم </w:t>
      </w:r>
      <w:r w:rsidR="008A74EB">
        <w:rPr>
          <w:rtl/>
        </w:rPr>
        <w:t>و ».</w:t>
      </w:r>
      <w:r w:rsidR="008A74EB" w:rsidRPr="00C9040A">
        <w:rPr>
          <w:rtl/>
        </w:rPr>
        <w:t xml:space="preserve"> وبَرِمت بكذا ، أي‌ضَجِرتُ منه بَرَماً. ومنه التبرّم. وأبرمني فلان : أضجرني. والمعنى : أي لايضجر ولايملّ من حوائج الخلق وكثرة سؤالهم وسوء معاشرتهم. راجع : </w:t>
      </w:r>
      <w:r w:rsidR="008A74EB" w:rsidRPr="00993B55">
        <w:rPr>
          <w:rStyle w:val="libFootnoteBoldChar"/>
          <w:rtl/>
        </w:rPr>
        <w:t>ترتيب كتاب العين</w:t>
      </w:r>
      <w:r w:rsidR="000A1883">
        <w:rPr>
          <w:rtl/>
        </w:rPr>
        <w:t xml:space="preserve"> ، ج 1 ، ص 76 (</w:t>
      </w:r>
      <w:r w:rsidR="008A74EB" w:rsidRPr="00C9040A">
        <w:rPr>
          <w:rtl/>
        </w:rPr>
        <w:t>برم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في « </w:t>
      </w:r>
      <w:r w:rsidR="006D3162">
        <w:rPr>
          <w:rtl/>
        </w:rPr>
        <w:t xml:space="preserve">ه </w:t>
      </w:r>
      <w:r w:rsidR="008A74EB" w:rsidRPr="00C9040A">
        <w:rPr>
          <w:rtl/>
        </w:rPr>
        <w:t>» : « صامتاً »</w:t>
      </w:r>
      <w:r w:rsidR="008A74EB">
        <w:rPr>
          <w:rtl/>
        </w:rPr>
        <w:t>.</w:t>
      </w:r>
      <w:r w:rsidR="008A74EB" w:rsidRPr="00C9040A">
        <w:rPr>
          <w:rtl/>
        </w:rPr>
        <w:t xml:space="preserve"> وقال في </w:t>
      </w:r>
      <w:r w:rsidR="008A74EB" w:rsidRPr="00993B55">
        <w:rPr>
          <w:rStyle w:val="libFootnoteBoldChar"/>
          <w:rtl/>
        </w:rPr>
        <w:t>مرآة العقول</w:t>
      </w:r>
      <w:r w:rsidR="008A74EB" w:rsidRPr="00C9040A">
        <w:rPr>
          <w:rtl/>
        </w:rPr>
        <w:t xml:space="preserve"> : « وقرئ بضمّ الصاد وتخفيف</w:t>
      </w:r>
      <w:r w:rsidR="000A1883">
        <w:rPr>
          <w:rtl/>
        </w:rPr>
        <w:t xml:space="preserve"> الميم مصدراً ، فالحمل للمبالغة</w:t>
      </w:r>
      <w:r w:rsidR="008A74EB" w:rsidRPr="00C9040A">
        <w:rPr>
          <w:rtl/>
        </w:rPr>
        <w:t>»</w:t>
      </w:r>
      <w:r w:rsidR="008A74EB">
        <w:rPr>
          <w:rtl/>
        </w:rPr>
        <w:t>.</w:t>
      </w:r>
    </w:p>
    <w:p w:rsidR="008A74EB" w:rsidRPr="00C9040A" w:rsidRDefault="008A74EB" w:rsidP="004A4E41">
      <w:pPr>
        <w:pStyle w:val="libFootnote0"/>
        <w:rPr>
          <w:rtl/>
          <w:lang w:bidi="fa-IR"/>
        </w:rPr>
      </w:pPr>
      <w:r>
        <w:rPr>
          <w:rtl/>
        </w:rPr>
        <w:t>(13)</w:t>
      </w:r>
      <w:r w:rsidRPr="00C9040A">
        <w:rPr>
          <w:rtl/>
        </w:rPr>
        <w:t xml:space="preserve"> أي‌</w:t>
      </w:r>
      <w:r w:rsidR="000A1883">
        <w:rPr>
          <w:rFonts w:hint="cs"/>
          <w:rtl/>
        </w:rPr>
        <w:t xml:space="preserve"> </w:t>
      </w:r>
      <w:r w:rsidRPr="00C9040A">
        <w:rPr>
          <w:rtl/>
        </w:rPr>
        <w:t xml:space="preserve">سبقهم وغلبهم. </w:t>
      </w:r>
      <w:r w:rsidRPr="00993B55">
        <w:rPr>
          <w:rStyle w:val="libFootnoteBoldChar"/>
          <w:rtl/>
        </w:rPr>
        <w:t>النهاية</w:t>
      </w:r>
      <w:r w:rsidRPr="00C9040A">
        <w:rPr>
          <w:rtl/>
        </w:rPr>
        <w:t xml:space="preserve"> ، ج 1 ، ص 110 ( بذذ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لَا يَدْخُلُ فِي مِرَاءٍ </w:t>
      </w:r>
      <w:r w:rsidR="006C577F" w:rsidRPr="006C577F">
        <w:rPr>
          <w:rStyle w:val="libFootnotenumChar"/>
          <w:rtl/>
        </w:rPr>
        <w:t>(1)</w:t>
      </w:r>
      <w:r w:rsidRPr="00C9040A">
        <w:rPr>
          <w:rtl/>
          <w:lang w:bidi="fa-IR"/>
        </w:rPr>
        <w:t xml:space="preserve"> ، وَلَا يُشَارِكُ فِي دَعْوًى ، وَلَا يُدْلِي بِحُجَّةٍ حَتّى يَرى </w:t>
      </w:r>
      <w:r w:rsidR="006C577F" w:rsidRPr="006C577F">
        <w:rPr>
          <w:rStyle w:val="libFootnotenumChar"/>
          <w:rtl/>
        </w:rPr>
        <w:t>(2)</w:t>
      </w:r>
      <w:r w:rsidRPr="00C9040A">
        <w:rPr>
          <w:rtl/>
          <w:lang w:bidi="fa-IR"/>
        </w:rPr>
        <w:t xml:space="preserve"> قَاضِياً ، وَ</w:t>
      </w:r>
      <w:r>
        <w:rPr>
          <w:rFonts w:hint="cs"/>
          <w:rtl/>
          <w:lang w:bidi="fa-IR"/>
        </w:rPr>
        <w:t xml:space="preserve"> </w:t>
      </w:r>
      <w:r w:rsidR="006C577F" w:rsidRPr="006C577F">
        <w:rPr>
          <w:rStyle w:val="libFootnotenumChar"/>
          <w:rtl/>
        </w:rPr>
        <w:t>(3)</w:t>
      </w:r>
      <w:r w:rsidRPr="00C9040A">
        <w:rPr>
          <w:rtl/>
          <w:lang w:bidi="fa-IR"/>
        </w:rPr>
        <w:t xml:space="preserve"> كَانَ لَايَغْفُلُ عَنْ إِخْوَانِهِ ، وَلَايَخُصُّ نَفْسَهُ بِشَيْ‌ءٍ دُونَهُمْ ، كَانَ ضَعِيفاً مُسْتَضْعَفاً ، فَإِذَا </w:t>
      </w:r>
      <w:r w:rsidR="006C577F" w:rsidRPr="006C577F">
        <w:rPr>
          <w:rStyle w:val="libFootnotenumChar"/>
          <w:rtl/>
        </w:rPr>
        <w:t>(4)</w:t>
      </w:r>
      <w:r w:rsidRPr="00C9040A">
        <w:rPr>
          <w:rtl/>
          <w:lang w:bidi="fa-IR"/>
        </w:rPr>
        <w:t xml:space="preserve"> جَاءَ الْجِدُّ </w:t>
      </w:r>
      <w:r w:rsidR="006C577F" w:rsidRPr="006C577F">
        <w:rPr>
          <w:rStyle w:val="libFootnotenumChar"/>
          <w:rtl/>
        </w:rPr>
        <w:t>(5)</w:t>
      </w:r>
      <w:r w:rsidRPr="00C9040A">
        <w:rPr>
          <w:rtl/>
          <w:lang w:bidi="fa-IR"/>
        </w:rPr>
        <w:t xml:space="preserve"> كَانَ لَيْثاً عَادِياً </w:t>
      </w:r>
      <w:r w:rsidR="006C577F" w:rsidRPr="006C577F">
        <w:rPr>
          <w:rStyle w:val="libFootnotenumChar"/>
          <w:rtl/>
        </w:rPr>
        <w:t>(6)</w:t>
      </w:r>
      <w:r w:rsidRPr="005B567D">
        <w:rPr>
          <w:rStyle w:val="libFootnotenumChar"/>
          <w:rtl/>
        </w:rPr>
        <w:t xml:space="preserve"> </w:t>
      </w:r>
      <w:r w:rsidRPr="00C9040A">
        <w:rPr>
          <w:rtl/>
          <w:lang w:bidi="fa-IR"/>
        </w:rPr>
        <w:t xml:space="preserve">، كَانَ لَايَلُومُ أَحَداً فِيمَا يَقَعُ الْعُذْرُ فِي مِثْلِهِ حَتّى يَرَى اعْتِذَاراً </w:t>
      </w:r>
      <w:r w:rsidR="006C577F" w:rsidRPr="006C577F">
        <w:rPr>
          <w:rStyle w:val="libFootnotenumChar"/>
          <w:rtl/>
        </w:rPr>
        <w:t>(7)</w:t>
      </w:r>
      <w:r w:rsidRPr="00C9040A">
        <w:rPr>
          <w:rtl/>
          <w:lang w:bidi="fa-IR"/>
        </w:rPr>
        <w:t xml:space="preserve"> ، كَانَ </w:t>
      </w:r>
      <w:r w:rsidR="006C577F" w:rsidRPr="006C577F">
        <w:rPr>
          <w:rStyle w:val="libFootnotenumChar"/>
          <w:rtl/>
        </w:rPr>
        <w:t>(8)</w:t>
      </w:r>
      <w:r w:rsidRPr="00C9040A">
        <w:rPr>
          <w:rtl/>
          <w:lang w:bidi="fa-IR"/>
        </w:rPr>
        <w:t xml:space="preserve"> يَفْعَلُ مَا يَقُولُ ، وَيَفْعَلُ مَا لَايَقُولُ ، كَانَ </w:t>
      </w:r>
      <w:r w:rsidR="006C577F" w:rsidRPr="006C577F">
        <w:rPr>
          <w:rStyle w:val="libFootnotenumChar"/>
          <w:rtl/>
        </w:rPr>
        <w:t>(9)</w:t>
      </w:r>
      <w:r w:rsidRPr="00C9040A">
        <w:rPr>
          <w:rtl/>
          <w:lang w:bidi="fa-IR"/>
        </w:rPr>
        <w:t xml:space="preserve"> إِذَا ابْتَزَّهُ </w:t>
      </w:r>
      <w:r w:rsidR="006C577F" w:rsidRPr="006C577F">
        <w:rPr>
          <w:rStyle w:val="libFootnotenumChar"/>
          <w:rtl/>
        </w:rPr>
        <w:t>(10)</w:t>
      </w:r>
      <w:r w:rsidRPr="00C9040A">
        <w:rPr>
          <w:rtl/>
          <w:lang w:bidi="fa-IR"/>
        </w:rPr>
        <w:t xml:space="preserve"> أَمْرَانِ لَايَدْرِي أَيُّهُمَا أَفْضَلُ ، نَظَرَ إِلى أَقْرَبِهِمَا إِلَى الْهَوى فَخَالَفَهُ ، كَانَ </w:t>
      </w:r>
      <w:r w:rsidR="006C577F" w:rsidRPr="006C577F">
        <w:rPr>
          <w:rStyle w:val="libFootnotenumChar"/>
          <w:rtl/>
        </w:rPr>
        <w:t>(11)</w:t>
      </w:r>
      <w:r w:rsidR="00287E79">
        <w:rPr>
          <w:rtl/>
          <w:lang w:bidi="fa-IR"/>
        </w:rPr>
        <w:t xml:space="preserve"> لَايَشْكُو وَجَعاً إِل</w:t>
      </w:r>
      <w:r w:rsidR="00287E79">
        <w:rPr>
          <w:rFonts w:hint="cs"/>
          <w:rtl/>
          <w:lang w:bidi="fa-IR"/>
        </w:rPr>
        <w:t>َّ</w:t>
      </w:r>
      <w:r w:rsidR="00287E79">
        <w:rPr>
          <w:rtl/>
          <w:lang w:bidi="fa-IR"/>
        </w:rPr>
        <w:t>ا</w:t>
      </w:r>
      <w:r w:rsidRPr="00C9040A">
        <w:rPr>
          <w:rtl/>
          <w:lang w:bidi="fa-IR"/>
        </w:rPr>
        <w:t xml:space="preserve"> عِنْدَ مَنْ يَرْجُو عِنْدَهُ الْب</w:t>
      </w:r>
      <w:r w:rsidR="003041D8">
        <w:rPr>
          <w:rtl/>
          <w:lang w:bidi="fa-IR"/>
        </w:rPr>
        <w:t>ُرْءَ ، وَلَا يَسْتَشِيرُ إِل</w:t>
      </w:r>
      <w:r w:rsidR="003041D8">
        <w:rPr>
          <w:rFonts w:hint="cs"/>
          <w:rtl/>
          <w:lang w:bidi="fa-IR"/>
        </w:rPr>
        <w:t>ّ</w:t>
      </w:r>
      <w:r w:rsidR="003041D8">
        <w:rPr>
          <w:rtl/>
          <w:lang w:bidi="fa-IR"/>
        </w:rPr>
        <w:t>ا</w:t>
      </w:r>
      <w:r w:rsidRPr="00C9040A">
        <w:rPr>
          <w:rtl/>
          <w:lang w:bidi="fa-IR"/>
        </w:rPr>
        <w:t xml:space="preserve"> مَنْ يَرْجُو عِنْدَهُ النَّصِيحَةَ ، كَانَ لَايَتَبَرَّمُ وَلَا يَتَسَخَّطُ وَلَا يَتَشَكّى وَلَا يَتَشَهّى وَلَا يَنْتَقِمُ ، وَلَا يَغْفُلُ عَنِ الْعَدُوِّ ؛ فَعَلَيْكُمْ بِمِثْلِ هذِهِ الْأَخْلَاقِ الْكَرِيمَةِ‌</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ماريته ا</w:t>
      </w:r>
      <w:r w:rsidR="004C693A">
        <w:rPr>
          <w:rFonts w:hint="cs"/>
          <w:rtl/>
        </w:rPr>
        <w:t>ُ</w:t>
      </w:r>
      <w:r w:rsidR="008A74EB" w:rsidRPr="00C9040A">
        <w:rPr>
          <w:rtl/>
        </w:rPr>
        <w:t xml:space="preserve">ماريه مماراةً ومِراءً : جادلته. </w:t>
      </w:r>
      <w:r w:rsidR="008A74EB" w:rsidRPr="00993B55">
        <w:rPr>
          <w:rStyle w:val="libFootnoteBoldChar"/>
          <w:rtl/>
        </w:rPr>
        <w:t>المصباح المنير</w:t>
      </w:r>
      <w:r w:rsidR="008A74EB" w:rsidRPr="00C9040A">
        <w:rPr>
          <w:rtl/>
        </w:rPr>
        <w:t xml:space="preserve"> ، ص 570 ( مرى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 </w:t>
      </w:r>
      <w:r w:rsidR="006D3162">
        <w:rPr>
          <w:rtl/>
        </w:rPr>
        <w:t xml:space="preserve">ه </w:t>
      </w:r>
      <w:r w:rsidR="008A74EB" w:rsidRPr="00C9040A">
        <w:rPr>
          <w:rtl/>
        </w:rPr>
        <w:t>» : « يعطى »</w:t>
      </w:r>
      <w:r w:rsidR="008A74EB">
        <w:rPr>
          <w:rtl/>
        </w:rPr>
        <w:t>.</w:t>
      </w:r>
      <w:r w:rsidR="008A74EB" w:rsidRPr="00C9040A">
        <w:rPr>
          <w:rtl/>
        </w:rPr>
        <w:t xml:space="preserve"> وقرأه بعض الأفاضل : يُرِي ، على بناء الإفعال ، على ما نقل عنه المجلسي في </w:t>
      </w:r>
      <w:r w:rsidR="008A74EB" w:rsidRPr="00993B55">
        <w:rPr>
          <w:rStyle w:val="libFootnoteBoldChar"/>
          <w:rtl/>
        </w:rPr>
        <w:t>مرآة العقول</w:t>
      </w:r>
      <w:r w:rsidR="008A74EB" w:rsidRPr="00C9040A">
        <w:rPr>
          <w:rtl/>
        </w:rPr>
        <w:t xml:space="preserve"> ، ثمّ قال : « وفسّر القاضي بالبرهان القاطع الفاصل بين الحقّ والباطل ، أي‌كان لا يتعرّض للدعوى </w:t>
      </w:r>
      <w:r w:rsidR="004C693A">
        <w:rPr>
          <w:rtl/>
        </w:rPr>
        <w:t>إل</w:t>
      </w:r>
      <w:r w:rsidR="004C693A">
        <w:rPr>
          <w:rFonts w:hint="cs"/>
          <w:rtl/>
        </w:rPr>
        <w:t>ّ</w:t>
      </w:r>
      <w:r w:rsidR="004C693A">
        <w:rPr>
          <w:rtl/>
        </w:rPr>
        <w:t>ا</w:t>
      </w:r>
      <w:r w:rsidR="008A74EB">
        <w:rPr>
          <w:rtl/>
        </w:rPr>
        <w:t xml:space="preserve"> أن</w:t>
      </w:r>
      <w:r w:rsidR="008A74EB" w:rsidRPr="00C9040A">
        <w:rPr>
          <w:rtl/>
        </w:rPr>
        <w:t xml:space="preserve"> يظهر حجّة قاطعة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w:t>
      </w:r>
      <w:r w:rsidR="006D3162">
        <w:rPr>
          <w:rtl/>
        </w:rPr>
        <w:t xml:space="preserve">ه </w:t>
      </w:r>
      <w:r w:rsidR="008A74EB" w:rsidRPr="00C9040A">
        <w:rPr>
          <w:rtl/>
        </w:rPr>
        <w:t xml:space="preserve">» </w:t>
      </w:r>
      <w:r w:rsidR="008A74EB">
        <w:rPr>
          <w:rtl/>
        </w:rPr>
        <w:t xml:space="preserve">: </w:t>
      </w:r>
      <w:r w:rsidR="0084262C">
        <w:rPr>
          <w:rtl/>
        </w:rPr>
        <w:t>-</w:t>
      </w:r>
      <w:r w:rsidR="008A74EB" w:rsidRPr="00C9040A">
        <w:rPr>
          <w:rtl/>
        </w:rPr>
        <w:t xml:space="preserve"> « </w:t>
      </w:r>
      <w:r w:rsidR="008A74EB">
        <w:rPr>
          <w:rtl/>
        </w:rPr>
        <w:t>و ».</w:t>
      </w:r>
    </w:p>
    <w:p w:rsidR="008A74EB" w:rsidRPr="00C9040A" w:rsidRDefault="006C577F" w:rsidP="004A4E41">
      <w:pPr>
        <w:pStyle w:val="libFootnote0"/>
        <w:rPr>
          <w:rtl/>
          <w:lang w:bidi="fa-IR"/>
        </w:rPr>
      </w:pPr>
      <w:r>
        <w:rPr>
          <w:rtl/>
        </w:rPr>
        <w:t>(4).</w:t>
      </w:r>
      <w:r w:rsidR="008A74EB" w:rsidRPr="00C9040A">
        <w:rPr>
          <w:rtl/>
        </w:rPr>
        <w:t xml:space="preserve"> في مرآة العقول : « وإذا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الجِدُّ في الأمر : الاجتهاد. وهو مصدر ، يقال منه : جدّ يجدّ. والاسم : الجِدّ. وجدّ في كلامه جِدّاً : ضدّ هزل. والاسم منه : الجِدّ أيضاً. </w:t>
      </w:r>
      <w:r w:rsidR="008A74EB" w:rsidRPr="00993B55">
        <w:rPr>
          <w:rStyle w:val="libFootnoteBoldChar"/>
          <w:rtl/>
        </w:rPr>
        <w:t>المصباح المنير</w:t>
      </w:r>
      <w:r w:rsidR="008A74EB" w:rsidRPr="00C9040A">
        <w:rPr>
          <w:rtl/>
        </w:rPr>
        <w:t xml:space="preserve"> ، ص 92 ( جدد )</w:t>
      </w:r>
      <w:r w:rsidR="008A74EB">
        <w:rPr>
          <w:rtl/>
        </w:rPr>
        <w:t>.</w:t>
      </w:r>
      <w:r w:rsidR="008A74EB" w:rsidRPr="00C9040A">
        <w:rPr>
          <w:rtl/>
        </w:rPr>
        <w:t xml:space="preserve"> والمراد به هنا المحاربة والمجاهدة. </w:t>
      </w:r>
      <w:r w:rsidR="008A74EB" w:rsidRPr="00993B55">
        <w:rPr>
          <w:rStyle w:val="libFootnoteBoldChar"/>
          <w:rtl/>
        </w:rPr>
        <w:t>شرح المازندراني</w:t>
      </w:r>
      <w:r w:rsidR="008A74EB" w:rsidRPr="00C9040A">
        <w:rPr>
          <w:rtl/>
        </w:rPr>
        <w:t xml:space="preserve"> ، ج 9 ، ص 162 ؛ </w:t>
      </w:r>
      <w:r w:rsidR="008A74EB" w:rsidRPr="00993B55">
        <w:rPr>
          <w:rStyle w:val="libFootnoteBoldChar"/>
          <w:rtl/>
        </w:rPr>
        <w:t>مرآة العقول</w:t>
      </w:r>
      <w:r w:rsidR="008A74EB" w:rsidRPr="00C9040A">
        <w:rPr>
          <w:rtl/>
        </w:rPr>
        <w:t xml:space="preserve"> ، ج 9 ، ص 263.</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ض ، ف » : « غادياً » بالغين المعجمة ، أي‌</w:t>
      </w:r>
      <w:r w:rsidR="004C693A">
        <w:rPr>
          <w:rFonts w:hint="cs"/>
          <w:rtl/>
        </w:rPr>
        <w:t xml:space="preserve"> </w:t>
      </w:r>
      <w:r w:rsidR="008A74EB" w:rsidRPr="00C9040A">
        <w:rPr>
          <w:rtl/>
        </w:rPr>
        <w:t xml:space="preserve">باكراً. وفي </w:t>
      </w:r>
      <w:r w:rsidR="008A74EB" w:rsidRPr="00993B55">
        <w:rPr>
          <w:rStyle w:val="libFootnoteBoldChar"/>
          <w:rtl/>
        </w:rPr>
        <w:t>شرح المازندراني</w:t>
      </w:r>
      <w:r w:rsidR="008A74EB" w:rsidRPr="00C9040A">
        <w:rPr>
          <w:rtl/>
        </w:rPr>
        <w:t xml:space="preserve"> : « وقرئ : غادياً ، بالغين المعجمة أيضاً »</w:t>
      </w:r>
      <w:r w:rsidR="008A74EB">
        <w:rPr>
          <w:rtl/>
        </w:rPr>
        <w:t>.</w:t>
      </w:r>
      <w:r w:rsidR="008A74EB" w:rsidRPr="00C9040A">
        <w:rPr>
          <w:rtl/>
        </w:rPr>
        <w:t xml:space="preserve"> والسَّبُع العادي ، أي‌</w:t>
      </w:r>
      <w:r w:rsidR="004C693A">
        <w:rPr>
          <w:rFonts w:hint="cs"/>
          <w:rtl/>
        </w:rPr>
        <w:t xml:space="preserve"> </w:t>
      </w:r>
      <w:r w:rsidR="008A74EB" w:rsidRPr="00C9040A">
        <w:rPr>
          <w:rtl/>
        </w:rPr>
        <w:t xml:space="preserve">الظالم الذي يفترس الناس. </w:t>
      </w:r>
      <w:r w:rsidR="008A74EB" w:rsidRPr="00993B55">
        <w:rPr>
          <w:rStyle w:val="libFootnoteBoldChar"/>
          <w:rtl/>
        </w:rPr>
        <w:t>النهاية</w:t>
      </w:r>
      <w:r w:rsidR="008A74EB" w:rsidRPr="00C9040A">
        <w:rPr>
          <w:rtl/>
        </w:rPr>
        <w:t xml:space="preserve"> ، ج 3 ، ص 193 ( عدا )</w:t>
      </w:r>
      <w:r w:rsidR="008A74EB">
        <w:rPr>
          <w:rtl/>
        </w:rPr>
        <w:t>.</w:t>
      </w:r>
      <w:r w:rsidR="008A74EB" w:rsidRPr="00C9040A">
        <w:rPr>
          <w:rtl/>
        </w:rPr>
        <w:t xml:space="preserve"> وفي </w:t>
      </w:r>
      <w:r w:rsidR="008A74EB" w:rsidRPr="00993B55">
        <w:rPr>
          <w:rStyle w:val="libFootnoteBoldChar"/>
          <w:rtl/>
        </w:rPr>
        <w:t>شرح المازندراني</w:t>
      </w:r>
      <w:r w:rsidR="008A74EB" w:rsidRPr="00C9040A">
        <w:rPr>
          <w:rtl/>
        </w:rPr>
        <w:t xml:space="preserve"> : « يعني إن كان وقت المجاهدة مع أعداء الدين فهو بمنزلة الأسد في الهيبة والقوّة والصولة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w:t>
      </w:r>
      <w:r w:rsidR="008A74EB" w:rsidRPr="00993B55">
        <w:rPr>
          <w:rStyle w:val="libFootnoteBoldChar"/>
          <w:rtl/>
        </w:rPr>
        <w:t>شرح المازندراني</w:t>
      </w:r>
      <w:r w:rsidR="008A74EB" w:rsidRPr="00C9040A">
        <w:rPr>
          <w:rtl/>
        </w:rPr>
        <w:t xml:space="preserve"> : « أي كان من عادته الحسنة أن لايسرع بملامة أحد إذا قصّر في حقّه ؛ لإمكان أن يكون له عذر. وليس المقصود اللوم بعد الاعتذار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مرآة العقول : « وكان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ج » : « وكان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w:t>
      </w:r>
      <w:r w:rsidR="008A74EB" w:rsidRPr="00993B55">
        <w:rPr>
          <w:rStyle w:val="libFootnoteBoldChar"/>
          <w:rtl/>
        </w:rPr>
        <w:t>مرآة العقول</w:t>
      </w:r>
      <w:r w:rsidR="008A74EB" w:rsidRPr="00C9040A">
        <w:rPr>
          <w:rtl/>
        </w:rPr>
        <w:t xml:space="preserve"> : « أي استلبه وغلبه وأخذه قهراً ؛ كناية عن شدّة ميله إليهما وحصول الدواعي في كلّ منهما. ولا يبعد أن يكون في الأصل : انبراه ، بالنون والباء الموحّدة على الحذف والإيصال ، أي‌</w:t>
      </w:r>
      <w:r w:rsidR="004C693A">
        <w:rPr>
          <w:rFonts w:hint="cs"/>
          <w:rtl/>
        </w:rPr>
        <w:t xml:space="preserve"> </w:t>
      </w:r>
      <w:r w:rsidR="008A74EB" w:rsidRPr="00C9040A">
        <w:rPr>
          <w:rtl/>
        </w:rPr>
        <w:t>اعتراض له »</w:t>
      </w:r>
      <w:r w:rsidR="008A74EB">
        <w:rPr>
          <w:rtl/>
        </w:rPr>
        <w:t>.</w:t>
      </w:r>
      <w:r w:rsidR="008A74EB" w:rsidRPr="00C9040A">
        <w:rPr>
          <w:rtl/>
        </w:rPr>
        <w:t xml:space="preserve"> </w:t>
      </w:r>
      <w:r w:rsidR="008A74EB">
        <w:rPr>
          <w:rtl/>
        </w:rPr>
        <w:t>و «</w:t>
      </w:r>
      <w:r w:rsidR="008A74EB" w:rsidRPr="00C9040A">
        <w:rPr>
          <w:rtl/>
        </w:rPr>
        <w:t xml:space="preserve"> البَزّ » : الغلبة ، كالابتزاز. </w:t>
      </w:r>
      <w:r w:rsidR="008A74EB" w:rsidRPr="00993B55">
        <w:rPr>
          <w:rStyle w:val="libFootnoteBoldChar"/>
          <w:rtl/>
        </w:rPr>
        <w:t>القاموس المحيط</w:t>
      </w:r>
      <w:r w:rsidR="008A74EB" w:rsidRPr="00C9040A">
        <w:rPr>
          <w:rtl/>
        </w:rPr>
        <w:t xml:space="preserve"> ، ج 1 ، ص 695 ( بزز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في البحار : « وكان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إِنْ أَطَقْتُمُوهَا ، فَإِنْ </w:t>
      </w:r>
      <w:r w:rsidR="006C577F" w:rsidRPr="006C577F">
        <w:rPr>
          <w:rStyle w:val="libFootnotenumChar"/>
          <w:rtl/>
        </w:rPr>
        <w:t>(1)</w:t>
      </w:r>
      <w:r w:rsidRPr="00C9040A">
        <w:rPr>
          <w:rtl/>
          <w:lang w:bidi="fa-IR"/>
        </w:rPr>
        <w:t xml:space="preserve"> لَمْ تُطِيقُوهَا كُلَّهَا </w:t>
      </w:r>
      <w:r w:rsidR="006C577F" w:rsidRPr="006C577F">
        <w:rPr>
          <w:rStyle w:val="libFootnotenumChar"/>
          <w:rtl/>
        </w:rPr>
        <w:t>(2)</w:t>
      </w:r>
      <w:r w:rsidRPr="00C9040A">
        <w:rPr>
          <w:rtl/>
          <w:lang w:bidi="fa-IR"/>
        </w:rPr>
        <w:t xml:space="preserve"> ، فَأَخْذُ الْقَلِيلِ خَيْرٌ مِنْ تَرْكِ الْكَثِيرِ ، و</w:t>
      </w:r>
      <w:r w:rsidR="004C693A">
        <w:rPr>
          <w:rtl/>
          <w:lang w:bidi="fa-IR"/>
        </w:rPr>
        <w:t>َلَا حَوْلَ وَلَا قُوَّةَ إِل</w:t>
      </w:r>
      <w:r w:rsidR="004C693A">
        <w:rPr>
          <w:rFonts w:hint="cs"/>
          <w:rtl/>
          <w:lang w:bidi="fa-IR"/>
        </w:rPr>
        <w:t>َّ</w:t>
      </w:r>
      <w:r w:rsidR="004C693A">
        <w:rPr>
          <w:rtl/>
          <w:lang w:bidi="fa-IR"/>
        </w:rPr>
        <w:t>ا</w:t>
      </w:r>
      <w:r w:rsidRPr="00C9040A">
        <w:rPr>
          <w:rtl/>
          <w:lang w:bidi="fa-IR"/>
        </w:rPr>
        <w:t xml:space="preserve"> بِاللهِ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4C693A" w:rsidRDefault="008A74EB" w:rsidP="004C693A">
      <w:pPr>
        <w:pStyle w:val="libNormal"/>
        <w:rPr>
          <w:rtl/>
          <w:lang w:bidi="fa-IR"/>
        </w:rPr>
      </w:pPr>
      <w:r w:rsidRPr="00544ABA">
        <w:rPr>
          <w:rtl/>
        </w:rPr>
        <w:t>2306</w:t>
      </w:r>
      <w:r w:rsidRPr="00261CB0">
        <w:rPr>
          <w:rStyle w:val="libBold2Char"/>
          <w:rtl/>
        </w:rPr>
        <w:t xml:space="preserve"> / 27.</w:t>
      </w:r>
      <w:r w:rsidRPr="00C9040A">
        <w:rPr>
          <w:rtl/>
          <w:lang w:bidi="fa-IR"/>
        </w:rPr>
        <w:t xml:space="preserve"> عَلِيُّ بْنُ إِبْرَاهِيمَ ، عَنْ مُحَمَّدِ بْنِ عِيسى ، عَنْ يُونُسَ ، عَنْ مِهْزَمٍ ؛</w:t>
      </w:r>
    </w:p>
    <w:p w:rsidR="004C693A" w:rsidRDefault="004C693A" w:rsidP="004C693A">
      <w:pPr>
        <w:pStyle w:val="libNormal"/>
        <w:rPr>
          <w:rtl/>
          <w:lang w:bidi="fa-IR"/>
        </w:rPr>
      </w:pPr>
      <w:r>
        <w:rPr>
          <w:rFonts w:hint="cs"/>
          <w:rtl/>
          <w:lang w:bidi="fa-IR"/>
        </w:rPr>
        <w:t xml:space="preserve">             </w:t>
      </w:r>
      <w:r w:rsidR="008A74EB" w:rsidRPr="00C9040A">
        <w:rPr>
          <w:rtl/>
          <w:lang w:bidi="fa-IR"/>
        </w:rPr>
        <w:t>وَبَعْضُ أَصْحَابِنَا ، عَنْ مُحَمَّدِ بْنِ عَلِيٍّ ، عَنْ مُحَمَّدِ بْنِ إِسْحَاقَ الْكَاهِلِيِّ ؛</w:t>
      </w:r>
    </w:p>
    <w:p w:rsidR="008A74EB" w:rsidRPr="00C9040A" w:rsidRDefault="004C693A" w:rsidP="004C693A">
      <w:pPr>
        <w:pStyle w:val="libNormal"/>
        <w:rPr>
          <w:rtl/>
          <w:lang w:bidi="fa-IR"/>
        </w:rPr>
      </w:pPr>
      <w:r>
        <w:rPr>
          <w:rFonts w:hint="cs"/>
          <w:rtl/>
          <w:lang w:bidi="fa-IR"/>
        </w:rPr>
        <w:t xml:space="preserve">             </w:t>
      </w:r>
      <w:r w:rsidR="008A74EB" w:rsidRPr="00C9040A">
        <w:rPr>
          <w:rtl/>
          <w:lang w:bidi="fa-IR"/>
        </w:rPr>
        <w:t>وَأَبُو عَلِيٍّ الْأَشْعَرِيُّ ، عَنِ الْحَسَنِ بْنِ عَلِيٍّ الْكُوفِيِّ ، عَنِ الْعَبَّاسِ بْنِ عَامِرٍ ، عَنْ رَبِيعِ بْنِ مُحَمَّدٍ جَمِيعاً ، عَنْ مِهْزَمٍ الْأَسَدِيِّ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يَا مِهْزَمُ ، شِيعَتُنَا </w:t>
      </w:r>
      <w:r w:rsidR="006C577F" w:rsidRPr="006C577F">
        <w:rPr>
          <w:rStyle w:val="libFootnotenumChar"/>
          <w:rtl/>
        </w:rPr>
        <w:t>(4)</w:t>
      </w:r>
      <w:r w:rsidRPr="00C9040A">
        <w:rPr>
          <w:rtl/>
          <w:lang w:bidi="fa-IR"/>
        </w:rPr>
        <w:t xml:space="preserve"> مَنْ لَايَعْدُو </w:t>
      </w:r>
      <w:r w:rsidR="006C577F" w:rsidRPr="006C577F">
        <w:rPr>
          <w:rStyle w:val="libFootnotenumChar"/>
          <w:rtl/>
        </w:rPr>
        <w:t>(5)</w:t>
      </w:r>
      <w:r w:rsidRPr="00C9040A">
        <w:rPr>
          <w:rtl/>
          <w:lang w:bidi="fa-IR"/>
        </w:rPr>
        <w:t xml:space="preserve"> صَوْتُهُ سَمْعَهُ ، وَلَا شَحْنَاؤُهُ </w:t>
      </w:r>
      <w:r w:rsidR="006C577F" w:rsidRPr="006C577F">
        <w:rPr>
          <w:rStyle w:val="libFootnotenumChar"/>
          <w:rtl/>
        </w:rPr>
        <w:t>(6)</w:t>
      </w:r>
      <w:r w:rsidRPr="005B567D">
        <w:rPr>
          <w:rStyle w:val="libFootnotenumChar"/>
          <w:rtl/>
        </w:rPr>
        <w:t xml:space="preserve"> </w:t>
      </w:r>
      <w:r w:rsidRPr="00C9040A">
        <w:rPr>
          <w:rtl/>
          <w:lang w:bidi="fa-IR"/>
        </w:rPr>
        <w:t xml:space="preserve">بَدَنَهُ </w:t>
      </w:r>
      <w:r w:rsidR="006C577F" w:rsidRPr="006C577F">
        <w:rPr>
          <w:rStyle w:val="libFootnotenumChar"/>
          <w:rtl/>
        </w:rPr>
        <w:t>(7)</w:t>
      </w:r>
      <w:r w:rsidRPr="00C9040A">
        <w:rPr>
          <w:rtl/>
          <w:lang w:bidi="fa-IR"/>
        </w:rPr>
        <w:t xml:space="preserve"> ، وَلَا يَمْتَدِحُ </w:t>
      </w:r>
      <w:r w:rsidR="006C577F" w:rsidRPr="006C577F">
        <w:rPr>
          <w:rStyle w:val="libFootnotenumChar"/>
          <w:rtl/>
        </w:rPr>
        <w:t>(8)</w:t>
      </w:r>
      <w:r w:rsidRPr="00C9040A">
        <w:rPr>
          <w:rtl/>
          <w:lang w:bidi="fa-IR"/>
        </w:rPr>
        <w:t xml:space="preserve"> بِنَا مُعْلِناً ، وَلَا يُجَالِسُ لَنَا عَائِباً </w:t>
      </w:r>
      <w:r w:rsidR="006C577F" w:rsidRPr="006C577F">
        <w:rPr>
          <w:rStyle w:val="libFootnotenumChar"/>
          <w:rtl/>
        </w:rPr>
        <w:t>(9)</w:t>
      </w:r>
      <w:r w:rsidRPr="00C9040A">
        <w:rPr>
          <w:rtl/>
          <w:lang w:bidi="fa-IR"/>
        </w:rPr>
        <w:t xml:space="preserve"> ، وَلَا يُخَاصِمُ لَنَا قَالِياً </w:t>
      </w:r>
      <w:r w:rsidR="006C577F" w:rsidRPr="006C577F">
        <w:rPr>
          <w:rStyle w:val="libFootnotenumChar"/>
          <w:rtl/>
        </w:rPr>
        <w:t>(10)</w:t>
      </w:r>
      <w:r w:rsidRPr="00C9040A">
        <w:rPr>
          <w:rtl/>
          <w:lang w:bidi="fa-IR"/>
        </w:rPr>
        <w:t xml:space="preserve"> ؛ إِنْ لَقِيَ‌</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4C693A" w:rsidTr="004C693A">
        <w:tc>
          <w:tcPr>
            <w:tcW w:w="4006" w:type="dxa"/>
          </w:tcPr>
          <w:p w:rsidR="004C693A" w:rsidRDefault="004C693A" w:rsidP="004A4E41">
            <w:pPr>
              <w:pStyle w:val="libFootnote0"/>
              <w:rPr>
                <w:rtl/>
              </w:rPr>
            </w:pPr>
            <w:r>
              <w:rPr>
                <w:rtl/>
              </w:rPr>
              <w:t xml:space="preserve">(1). </w:t>
            </w:r>
            <w:r w:rsidRPr="00C9040A">
              <w:rPr>
                <w:rtl/>
              </w:rPr>
              <w:t xml:space="preserve">في « </w:t>
            </w:r>
            <w:r>
              <w:rPr>
                <w:rtl/>
              </w:rPr>
              <w:t xml:space="preserve">ه </w:t>
            </w:r>
            <w:r w:rsidRPr="00C9040A">
              <w:rPr>
                <w:rtl/>
              </w:rPr>
              <w:t>» : « وإن »</w:t>
            </w:r>
            <w:r>
              <w:rPr>
                <w:rtl/>
              </w:rPr>
              <w:t>.</w:t>
            </w:r>
          </w:p>
        </w:tc>
        <w:tc>
          <w:tcPr>
            <w:tcW w:w="4006" w:type="dxa"/>
          </w:tcPr>
          <w:p w:rsidR="004C693A" w:rsidRDefault="004C693A" w:rsidP="004A4E41">
            <w:pPr>
              <w:pStyle w:val="libFootnote0"/>
              <w:rPr>
                <w:rtl/>
              </w:rPr>
            </w:pPr>
            <w:r>
              <w:rPr>
                <w:rtl/>
              </w:rPr>
              <w:t xml:space="preserve">(2). </w:t>
            </w:r>
            <w:r w:rsidRPr="00C9040A">
              <w:rPr>
                <w:rtl/>
              </w:rPr>
              <w:t xml:space="preserve">في « ز » </w:t>
            </w:r>
            <w:r>
              <w:rPr>
                <w:rtl/>
              </w:rPr>
              <w:t>: -</w:t>
            </w:r>
            <w:r w:rsidRPr="00C9040A">
              <w:rPr>
                <w:rtl/>
              </w:rPr>
              <w:t xml:space="preserve"> « كلّها »</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w:t>
      </w:r>
      <w:r w:rsidR="008A74EB" w:rsidRPr="00993B55">
        <w:rPr>
          <w:rStyle w:val="libFootnoteBoldChar"/>
          <w:rtl/>
        </w:rPr>
        <w:t>تحف العقول</w:t>
      </w:r>
      <w:r w:rsidR="008A74EB" w:rsidRPr="00C9040A">
        <w:rPr>
          <w:rtl/>
        </w:rPr>
        <w:t xml:space="preserve"> ، ص 234 ، عن الحسن بن عليّ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نهج البلاغة</w:t>
      </w:r>
      <w:r w:rsidR="008A74EB" w:rsidRPr="00C9040A">
        <w:rPr>
          <w:rtl/>
        </w:rPr>
        <w:t xml:space="preserve"> ، ص 526 ، الحكمة 289 ، وفيهما مع اختلاف </w:t>
      </w:r>
      <w:r w:rsidR="004C693A">
        <w:rPr>
          <w:rFonts w:hint="cs"/>
          <w:rtl/>
        </w:rPr>
        <w:t>.</w:t>
      </w:r>
      <w:r w:rsidR="008A74EB" w:rsidRPr="00993B55">
        <w:rPr>
          <w:rStyle w:val="libFootnoteBoldChar"/>
          <w:rtl/>
        </w:rPr>
        <w:t>الوافي</w:t>
      </w:r>
      <w:r w:rsidR="008A74EB" w:rsidRPr="00C9040A">
        <w:rPr>
          <w:rtl/>
        </w:rPr>
        <w:t xml:space="preserve"> ، ج 4 ، ص 176 ، ح 1787 ؛ </w:t>
      </w:r>
      <w:r w:rsidR="008A74EB" w:rsidRPr="00993B55">
        <w:rPr>
          <w:rStyle w:val="libFootnoteBoldChar"/>
          <w:rtl/>
        </w:rPr>
        <w:t>البحار</w:t>
      </w:r>
      <w:r w:rsidR="008A74EB" w:rsidRPr="00C9040A">
        <w:rPr>
          <w:rtl/>
        </w:rPr>
        <w:t xml:space="preserve"> ، ج 69 ، ص 294 ، ح 24.</w:t>
      </w:r>
    </w:p>
    <w:p w:rsidR="008A74EB" w:rsidRPr="00C9040A" w:rsidRDefault="006C577F" w:rsidP="004A4E41">
      <w:pPr>
        <w:pStyle w:val="libFootnote0"/>
        <w:rPr>
          <w:rtl/>
          <w:lang w:bidi="fa-IR"/>
        </w:rPr>
      </w:pPr>
      <w:r>
        <w:rPr>
          <w:rtl/>
        </w:rPr>
        <w:t>(4).</w:t>
      </w:r>
      <w:r w:rsidR="008A74EB" w:rsidRPr="00C9040A">
        <w:rPr>
          <w:rtl/>
        </w:rPr>
        <w:t xml:space="preserve"> في « ص » : « شيعتنا يا مهزم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د » وحاشية « بف » : « لا يعلو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ج 9 ، ص 267 : « من لا يعدو ، أي</w:t>
      </w:r>
      <w:r w:rsidR="004C693A">
        <w:rPr>
          <w:rFonts w:hint="cs"/>
          <w:rtl/>
        </w:rPr>
        <w:t xml:space="preserve"> </w:t>
      </w:r>
      <w:r w:rsidR="008A74EB" w:rsidRPr="00C9040A">
        <w:rPr>
          <w:rtl/>
        </w:rPr>
        <w:t>‌يتجاوز. وفي بعض النسخ : لا يعلو صوته سمعه ، كأنّه كناية عن عدم رفع الصوت كثيراً ، ويحمل على ما إذا لم يحتج إلى الرفع لسماع الناس</w:t>
      </w:r>
      <w:r w:rsidR="008A74EB">
        <w:rPr>
          <w:rtl/>
        </w:rPr>
        <w:t xml:space="preserve"> ..</w:t>
      </w:r>
      <w:r w:rsidR="008A74EB" w:rsidRPr="00C9040A">
        <w:rPr>
          <w:rtl/>
        </w:rPr>
        <w:t>. أو على الدعاء والتلاوة والعبادة ؛ فإنّ خفض الصوت فيها أبعد من الرياء. ويمكن أن يكون المراد بالسمع الإسماع كما ورد في اللغة ، أو يكون بالإضافة إلى المفعول ، أي</w:t>
      </w:r>
      <w:r w:rsidR="004C693A">
        <w:rPr>
          <w:rFonts w:hint="cs"/>
          <w:rtl/>
        </w:rPr>
        <w:t xml:space="preserve"> </w:t>
      </w:r>
      <w:r w:rsidR="008A74EB" w:rsidRPr="00C9040A">
        <w:rPr>
          <w:rtl/>
        </w:rPr>
        <w:t>‌السمع منه ، أي</w:t>
      </w:r>
      <w:r w:rsidR="004C693A">
        <w:rPr>
          <w:rFonts w:hint="cs"/>
          <w:rtl/>
        </w:rPr>
        <w:t xml:space="preserve"> </w:t>
      </w:r>
      <w:r w:rsidR="008A74EB" w:rsidRPr="00C9040A">
        <w:rPr>
          <w:rtl/>
        </w:rPr>
        <w:t>‌لا يرفع الصوت زائداً على إسماع الناس ، أو يكون بضمّ السين وتشديد الميم المفتوحة جمع سامع ، أي‌لا يتجاوز صوته السامعين منه. وقرئ السمع بضمّتين جمع سمو</w:t>
      </w:r>
      <w:r w:rsidR="004C693A">
        <w:rPr>
          <w:rtl/>
        </w:rPr>
        <w:t>ع بالفتح ، أي‌لا يقول شيئاً إل</w:t>
      </w:r>
      <w:r w:rsidR="004C693A">
        <w:rPr>
          <w:rFonts w:hint="cs"/>
          <w:rtl/>
        </w:rPr>
        <w:t>ّ</w:t>
      </w:r>
      <w:r w:rsidR="004C693A">
        <w:rPr>
          <w:rtl/>
        </w:rPr>
        <w:t>ا</w:t>
      </w:r>
      <w:r w:rsidR="004C693A">
        <w:rPr>
          <w:rFonts w:hint="cs"/>
          <w:rtl/>
        </w:rPr>
        <w:t xml:space="preserve"> </w:t>
      </w:r>
      <w:r w:rsidR="008A74EB" w:rsidRPr="00C9040A">
        <w:rPr>
          <w:rtl/>
        </w:rPr>
        <w:t>لمن يسمع قوله ويقبل منه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 ج » : « شحناه » بتخفيف الهمزة. </w:t>
      </w:r>
      <w:r w:rsidR="008A74EB">
        <w:rPr>
          <w:rtl/>
        </w:rPr>
        <w:t>و «</w:t>
      </w:r>
      <w:r w:rsidR="008A74EB" w:rsidRPr="00C9040A">
        <w:rPr>
          <w:rtl/>
        </w:rPr>
        <w:t xml:space="preserve"> الشحناء » : العداوة والبغضاء. وشحِنت عليه شَحْناً : حقدت وأظهرت العداوة. </w:t>
      </w:r>
      <w:r w:rsidR="008A74EB" w:rsidRPr="00993B55">
        <w:rPr>
          <w:rStyle w:val="libFootnoteBoldChar"/>
          <w:rtl/>
        </w:rPr>
        <w:t>المصباح المنير</w:t>
      </w:r>
      <w:r w:rsidR="008A74EB" w:rsidRPr="00C9040A">
        <w:rPr>
          <w:rtl/>
        </w:rPr>
        <w:t xml:space="preserve"> ، ص 306 ( شحن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 أي لا يتجاوز عداوته بدنه ، أي‌</w:t>
      </w:r>
      <w:r w:rsidR="004C693A">
        <w:rPr>
          <w:rFonts w:hint="cs"/>
          <w:rtl/>
        </w:rPr>
        <w:t xml:space="preserve"> </w:t>
      </w:r>
      <w:r w:rsidR="008A74EB" w:rsidRPr="00C9040A">
        <w:rPr>
          <w:rtl/>
        </w:rPr>
        <w:t>يعادي نفسه ولا يعادي غيره ، وإن عادى غيره في الله لا يظهره تقيّة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ب ، ج ، د ، ز ، ض ، ف ، بر ، بس » وشرح المازندراني والوسائل : « يديه » ، أي لا</w:t>
      </w:r>
      <w:r w:rsidR="004C693A">
        <w:rPr>
          <w:rFonts w:hint="cs"/>
          <w:rtl/>
        </w:rPr>
        <w:t xml:space="preserve"> </w:t>
      </w:r>
      <w:r w:rsidR="008A74EB" w:rsidRPr="00C9040A">
        <w:rPr>
          <w:rtl/>
        </w:rPr>
        <w:t>تغلب عليه عداوته ، بل‌</w:t>
      </w:r>
      <w:r w:rsidR="004C693A">
        <w:rPr>
          <w:rFonts w:hint="cs"/>
          <w:rtl/>
        </w:rPr>
        <w:t xml:space="preserve"> </w:t>
      </w:r>
      <w:r w:rsidR="008A74EB" w:rsidRPr="00C9040A">
        <w:rPr>
          <w:rtl/>
        </w:rPr>
        <w:t>هي بيده واختياره.</w:t>
      </w:r>
    </w:p>
    <w:p w:rsidR="008A74EB" w:rsidRPr="00C9040A" w:rsidRDefault="006C577F" w:rsidP="004A4E41">
      <w:pPr>
        <w:pStyle w:val="libFootnote0"/>
        <w:rPr>
          <w:rtl/>
          <w:lang w:bidi="fa-IR"/>
        </w:rPr>
      </w:pPr>
      <w:r>
        <w:rPr>
          <w:rtl/>
        </w:rPr>
        <w:t>(8).</w:t>
      </w:r>
      <w:r w:rsidR="008A74EB" w:rsidRPr="00C9040A">
        <w:rPr>
          <w:rtl/>
        </w:rPr>
        <w:t xml:space="preserve"> في « </w:t>
      </w:r>
      <w:r w:rsidR="006D3162">
        <w:rPr>
          <w:rtl/>
        </w:rPr>
        <w:t xml:space="preserve">ه </w:t>
      </w:r>
      <w:r w:rsidR="008A74EB" w:rsidRPr="00C9040A">
        <w:rPr>
          <w:rtl/>
        </w:rPr>
        <w:t>» : « ولا يمدح »</w:t>
      </w:r>
      <w:r w:rsidR="008A74EB">
        <w:rPr>
          <w:rtl/>
        </w:rPr>
        <w:t>.</w:t>
      </w:r>
      <w:r w:rsidR="008A74EB" w:rsidRPr="00C9040A">
        <w:rPr>
          <w:rtl/>
        </w:rPr>
        <w:t xml:space="preserve"> وفي « بر » وحاشية « ج ، بف » والوافي : « ولا يتمدّح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ز » : « غالياً »</w:t>
      </w:r>
      <w:r w:rsidR="008A74EB">
        <w:rPr>
          <w:rtl/>
        </w:rPr>
        <w:t>.</w:t>
      </w:r>
      <w:r w:rsidR="008A74EB" w:rsidRPr="00C9040A">
        <w:rPr>
          <w:rtl/>
        </w:rPr>
        <w:t xml:space="preserve"> وفي الغيبة للنعماني : « ولا يمدح بنا معلناً ، ولايخاصم بنا قالياً ولا يجالس لنا غائباً » بدل « ولا يمتدح</w:t>
      </w:r>
      <w:r w:rsidR="008A74EB">
        <w:rPr>
          <w:rtl/>
        </w:rPr>
        <w:t xml:space="preserve"> </w:t>
      </w:r>
      <w:r w:rsidR="0084262C">
        <w:rPr>
          <w:rtl/>
        </w:rPr>
        <w:t>-</w:t>
      </w:r>
      <w:r w:rsidR="008A74EB">
        <w:rPr>
          <w:rtl/>
        </w:rPr>
        <w:t xml:space="preserve"> </w:t>
      </w:r>
      <w:r w:rsidR="008A74EB" w:rsidRPr="00C9040A">
        <w:rPr>
          <w:rtl/>
        </w:rPr>
        <w:t>إلى</w:t>
      </w:r>
      <w:r w:rsidR="008A74EB">
        <w:rPr>
          <w:rtl/>
        </w:rPr>
        <w:t xml:space="preserve"> </w:t>
      </w:r>
      <w:r w:rsidR="0084262C">
        <w:rPr>
          <w:rtl/>
        </w:rPr>
        <w:t>-</w:t>
      </w:r>
      <w:r w:rsidR="008A74EB">
        <w:rPr>
          <w:rtl/>
        </w:rPr>
        <w:t xml:space="preserve"> </w:t>
      </w:r>
      <w:r w:rsidR="008A74EB" w:rsidRPr="00C9040A">
        <w:rPr>
          <w:rtl/>
        </w:rPr>
        <w:t>قالياً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 ز » </w:t>
      </w:r>
      <w:r w:rsidR="008A74EB">
        <w:rPr>
          <w:rtl/>
        </w:rPr>
        <w:t xml:space="preserve">: </w:t>
      </w:r>
      <w:r w:rsidR="0084262C">
        <w:rPr>
          <w:rtl/>
        </w:rPr>
        <w:t>-</w:t>
      </w:r>
      <w:r w:rsidR="008A74EB" w:rsidRPr="00C9040A">
        <w:rPr>
          <w:rtl/>
        </w:rPr>
        <w:t xml:space="preserve"> « ولا يخاصم لنا قالياً »</w:t>
      </w:r>
      <w:r w:rsidR="008A74EB">
        <w:rPr>
          <w:rtl/>
        </w:rPr>
        <w:t>.</w:t>
      </w:r>
      <w:r w:rsidR="008A74EB" w:rsidRPr="00C9040A">
        <w:rPr>
          <w:rtl/>
        </w:rPr>
        <w:t xml:space="preserve"> وفي الوسائل : + « </w:t>
      </w:r>
      <w:r w:rsidR="008A74EB">
        <w:rPr>
          <w:rtl/>
        </w:rPr>
        <w:t>و ».</w:t>
      </w:r>
      <w:r w:rsidR="008A74EB" w:rsidRPr="00C9040A">
        <w:rPr>
          <w:rtl/>
        </w:rPr>
        <w:t xml:space="preserve"> </w:t>
      </w:r>
      <w:r w:rsidR="008A74EB">
        <w:rPr>
          <w:rtl/>
        </w:rPr>
        <w:t>و «</w:t>
      </w:r>
      <w:r w:rsidR="008A74EB" w:rsidRPr="00C9040A">
        <w:rPr>
          <w:rtl/>
        </w:rPr>
        <w:t xml:space="preserve"> القِلى » : البُغض. يقال : قلاه يقليه قِلًى وقَلًى : </w:t>
      </w:r>
      <w:r w:rsidR="00EA213E">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مُؤْمِناً أَكْرَمَهُ ، وَإِنْ لَقِيَ جَاهِلاً هَجَرَهُ »</w:t>
      </w:r>
      <w:r>
        <w:rPr>
          <w:rtl/>
          <w:lang w:bidi="fa-IR"/>
        </w:rPr>
        <w:t>.</w:t>
      </w:r>
    </w:p>
    <w:p w:rsidR="008A74EB" w:rsidRPr="00C9040A" w:rsidRDefault="008A74EB" w:rsidP="008A74EB">
      <w:pPr>
        <w:pStyle w:val="libNormal"/>
        <w:rPr>
          <w:rtl/>
          <w:lang w:bidi="fa-IR"/>
        </w:rPr>
      </w:pPr>
      <w:r w:rsidRPr="00C9040A">
        <w:rPr>
          <w:rtl/>
          <w:lang w:bidi="fa-IR"/>
        </w:rPr>
        <w:t xml:space="preserve">قُلْتُ : جُعِلْتُ فِدَاكَ ، فَكَيْفَ أَصْنَعُ </w:t>
      </w:r>
      <w:r w:rsidR="006C577F" w:rsidRPr="006C577F">
        <w:rPr>
          <w:rStyle w:val="libFootnotenumChar"/>
          <w:rtl/>
        </w:rPr>
        <w:t>(1)</w:t>
      </w:r>
      <w:r w:rsidRPr="00C9040A">
        <w:rPr>
          <w:rtl/>
          <w:lang w:bidi="fa-IR"/>
        </w:rPr>
        <w:t xml:space="preserve"> بِهؤُلَاءِ الْمُتَشَيِّعَةِ</w:t>
      </w:r>
      <w:r>
        <w:rPr>
          <w:rtl/>
          <w:lang w:bidi="fa-IR"/>
        </w:rPr>
        <w:t>؟</w:t>
      </w:r>
    </w:p>
    <w:p w:rsidR="008A74EB" w:rsidRPr="00C9040A" w:rsidRDefault="008A74EB" w:rsidP="008A74EB">
      <w:pPr>
        <w:pStyle w:val="libNormal"/>
        <w:rPr>
          <w:rtl/>
          <w:lang w:bidi="fa-IR"/>
        </w:rPr>
      </w:pPr>
      <w:r w:rsidRPr="00C9040A">
        <w:rPr>
          <w:rtl/>
          <w:lang w:bidi="fa-IR"/>
        </w:rPr>
        <w:t xml:space="preserve">قَالَ </w:t>
      </w:r>
      <w:r w:rsidR="006C577F" w:rsidRPr="006C577F">
        <w:rPr>
          <w:rStyle w:val="libFootnotenumChar"/>
          <w:rtl/>
        </w:rPr>
        <w:t>(2)</w:t>
      </w:r>
      <w:r w:rsidRPr="00C9040A">
        <w:rPr>
          <w:rtl/>
          <w:lang w:bidi="fa-IR"/>
        </w:rPr>
        <w:t xml:space="preserve"> : « فِيهِمُ التَّمْيِيزُ </w:t>
      </w:r>
      <w:r w:rsidR="006C577F" w:rsidRPr="006C577F">
        <w:rPr>
          <w:rStyle w:val="libFootnotenumChar"/>
          <w:rtl/>
        </w:rPr>
        <w:t>(3)</w:t>
      </w:r>
      <w:r w:rsidRPr="00C9040A">
        <w:rPr>
          <w:rtl/>
          <w:lang w:bidi="fa-IR"/>
        </w:rPr>
        <w:t xml:space="preserve"> ، وَفِيهِمُ التَّبْدِيلُ ، وَفِيهِمُ التَّمْحِيصُ </w:t>
      </w:r>
      <w:r w:rsidR="006C577F" w:rsidRPr="006C577F">
        <w:rPr>
          <w:rStyle w:val="libFootnotenumChar"/>
          <w:rtl/>
        </w:rPr>
        <w:t>(4)</w:t>
      </w:r>
      <w:r w:rsidRPr="00C9040A">
        <w:rPr>
          <w:rtl/>
          <w:lang w:bidi="fa-IR"/>
        </w:rPr>
        <w:t xml:space="preserve"> ، تَأْتِي </w:t>
      </w:r>
      <w:r w:rsidR="006C577F" w:rsidRPr="006C577F">
        <w:rPr>
          <w:rStyle w:val="libFootnotenumChar"/>
          <w:rtl/>
        </w:rPr>
        <w:t>(5)</w:t>
      </w:r>
      <w:r w:rsidRPr="00C9040A">
        <w:rPr>
          <w:rtl/>
          <w:lang w:bidi="fa-IR"/>
        </w:rPr>
        <w:t xml:space="preserve"> عَلَيْهِمْ سِنُونَ </w:t>
      </w:r>
      <w:r w:rsidR="006C577F" w:rsidRPr="006C577F">
        <w:rPr>
          <w:rStyle w:val="libFootnotenumChar"/>
          <w:rtl/>
        </w:rPr>
        <w:t>(6)</w:t>
      </w:r>
      <w:r w:rsidRPr="005B567D">
        <w:rPr>
          <w:rStyle w:val="libFootnotenumChar"/>
          <w:rtl/>
        </w:rPr>
        <w:t xml:space="preserve"> </w:t>
      </w:r>
      <w:r w:rsidRPr="00C9040A">
        <w:rPr>
          <w:rtl/>
          <w:lang w:bidi="fa-IR"/>
        </w:rPr>
        <w:t xml:space="preserve">تُفْنِيهِمْ ، وَطَاعُونٌ يَقْتُلُهُمْ ، وَاخْتِلَافٌ يُبَدِّدُهُمْ ؛ شِيعَتُنَا مَنْ لَايَهِرُّ </w:t>
      </w:r>
      <w:r w:rsidR="006C577F" w:rsidRPr="006C577F">
        <w:rPr>
          <w:rStyle w:val="libFootnotenumChar"/>
          <w:rtl/>
        </w:rPr>
        <w:t>(7)</w:t>
      </w:r>
      <w:r w:rsidRPr="00C9040A">
        <w:rPr>
          <w:rtl/>
          <w:lang w:bidi="fa-IR"/>
        </w:rPr>
        <w:t xml:space="preserve"> هَرِيرَ الْكَلْبِ ، وَلَا يَطْمَعُ طَمَعَ الْغُرَابِ ، وَلَا يَسْأَلُ عَدُوَّنَا وَإِنْ مَاتَ جُوعاً »</w:t>
      </w:r>
      <w:r>
        <w:rPr>
          <w:rtl/>
          <w:lang w:bidi="fa-IR"/>
        </w:rPr>
        <w:t>.</w:t>
      </w:r>
    </w:p>
    <w:p w:rsidR="008A74EB" w:rsidRPr="00C9040A" w:rsidRDefault="008A74EB" w:rsidP="008A74EB">
      <w:pPr>
        <w:pStyle w:val="libNormal"/>
        <w:rPr>
          <w:rtl/>
          <w:lang w:bidi="fa-IR"/>
        </w:rPr>
      </w:pPr>
      <w:r w:rsidRPr="00C9040A">
        <w:rPr>
          <w:rtl/>
          <w:lang w:bidi="fa-IR"/>
        </w:rPr>
        <w:t xml:space="preserve">قُلْتُ </w:t>
      </w:r>
      <w:r w:rsidR="006C577F" w:rsidRPr="006C577F">
        <w:rPr>
          <w:rStyle w:val="libFootnotenumChar"/>
          <w:rtl/>
        </w:rPr>
        <w:t>(8)</w:t>
      </w:r>
      <w:r w:rsidRPr="00C9040A">
        <w:rPr>
          <w:rtl/>
          <w:lang w:bidi="fa-IR"/>
        </w:rPr>
        <w:t xml:space="preserve"> : جُعِلْتُ فِدَاكَ ، فَأَيْنَ أَطْلُبُ هؤُلَاءِ</w:t>
      </w:r>
      <w:r>
        <w:rPr>
          <w:rtl/>
          <w:lang w:bidi="fa-IR"/>
        </w:rPr>
        <w:t>؟</w:t>
      </w:r>
    </w:p>
    <w:p w:rsidR="008A74EB" w:rsidRPr="00C9040A" w:rsidRDefault="008A74EB" w:rsidP="008A74EB">
      <w:pPr>
        <w:pStyle w:val="libNormal"/>
        <w:rPr>
          <w:rtl/>
          <w:lang w:bidi="fa-IR"/>
        </w:rPr>
      </w:pPr>
      <w:r w:rsidRPr="00C9040A">
        <w:rPr>
          <w:rtl/>
          <w:lang w:bidi="fa-IR"/>
        </w:rPr>
        <w:t xml:space="preserve">قَالَ : « فِي أَطْرَافِ الْأَرْضِ ، أُولئِكَ الْخَفِيضُ </w:t>
      </w:r>
      <w:r w:rsidR="006C577F" w:rsidRPr="006C577F">
        <w:rPr>
          <w:rStyle w:val="libFootnotenumChar"/>
          <w:rtl/>
        </w:rPr>
        <w:t>(9)</w:t>
      </w:r>
      <w:r w:rsidRPr="00C9040A">
        <w:rPr>
          <w:rtl/>
          <w:lang w:bidi="fa-IR"/>
        </w:rPr>
        <w:t xml:space="preserve"> عَيْشُهُمْ ، الْمُنْتَقِلَةُ </w:t>
      </w:r>
      <w:r w:rsidR="006C577F" w:rsidRPr="006C577F">
        <w:rPr>
          <w:rStyle w:val="libFootnotenumChar"/>
          <w:rtl/>
        </w:rPr>
        <w:t>(10)</w:t>
      </w:r>
      <w:r w:rsidRPr="00C9040A">
        <w:rPr>
          <w:rtl/>
          <w:lang w:bidi="fa-IR"/>
        </w:rPr>
        <w:t xml:space="preserve"> دِيَارُهُمْ ؛ إِنْ شَهِدُوا لَمْ يُعْرَفُوا ، وَإِنْ غَابُوا لَمْ يُفْتَقَدُوا ، وَ</w:t>
      </w:r>
      <w:r>
        <w:rPr>
          <w:rFonts w:hint="cs"/>
          <w:rtl/>
          <w:lang w:bidi="fa-IR"/>
        </w:rPr>
        <w:t xml:space="preserve"> </w:t>
      </w:r>
      <w:r w:rsidR="006C577F" w:rsidRPr="006C577F">
        <w:rPr>
          <w:rStyle w:val="libFootnotenumChar"/>
          <w:rtl/>
        </w:rPr>
        <w:t>(11)</w:t>
      </w:r>
      <w:r w:rsidRPr="00C9040A">
        <w:rPr>
          <w:rtl/>
          <w:lang w:bidi="fa-IR"/>
        </w:rPr>
        <w:t xml:space="preserve"> مِنَ الْمَوْتِ لَايَجْزَعُونَ ، وَفِي الْقُبُورِ يَتَزَاوَرُونَ ، وَ</w:t>
      </w:r>
      <w:r>
        <w:rPr>
          <w:rFonts w:hint="cs"/>
          <w:rtl/>
          <w:lang w:bidi="fa-IR"/>
        </w:rPr>
        <w:t xml:space="preserve"> </w:t>
      </w:r>
      <w:r w:rsidR="006C577F" w:rsidRPr="006C577F">
        <w:rPr>
          <w:rStyle w:val="libFootnotenumChar"/>
          <w:rtl/>
        </w:rPr>
        <w:t>(12)</w:t>
      </w:r>
      <w:r w:rsidRPr="00C9040A">
        <w:rPr>
          <w:rtl/>
          <w:lang w:bidi="fa-IR"/>
        </w:rPr>
        <w:t xml:space="preserve"> إِنْ لَجَأَ إِلَيْهِمْ ذُو حَاجَةٍ مِنْهُمْ رَحِمُوهُ ، لَنْ تَخْتَلِفَ </w:t>
      </w:r>
      <w:r w:rsidRPr="005B567D">
        <w:rPr>
          <w:rStyle w:val="libFootnotenumChar"/>
          <w:rtl/>
        </w:rPr>
        <w:t>(13)</w:t>
      </w:r>
      <w:r w:rsidRPr="00C9040A">
        <w:rPr>
          <w:rtl/>
          <w:lang w:bidi="fa-IR"/>
        </w:rPr>
        <w:t xml:space="preserve"> قُلُوبُهُمْ وَإِنِ اخْتَلَفَ </w:t>
      </w:r>
      <w:r w:rsidRPr="005B567D">
        <w:rPr>
          <w:rStyle w:val="libFootnotenumChar"/>
          <w:rtl/>
        </w:rPr>
        <w:t>(14)</w:t>
      </w:r>
      <w:r w:rsidRPr="00C9040A">
        <w:rPr>
          <w:rtl/>
          <w:lang w:bidi="fa-IR"/>
        </w:rPr>
        <w:t xml:space="preserve"> بِهِمُ الدَّارُ </w:t>
      </w:r>
      <w:r w:rsidRPr="005B567D">
        <w:rPr>
          <w:rStyle w:val="libFootnotenumChar"/>
          <w:rtl/>
        </w:rPr>
        <w:t>(15)</w:t>
      </w:r>
      <w:r w:rsidRPr="00C9040A">
        <w:rPr>
          <w:rtl/>
          <w:lang w:bidi="fa-IR"/>
        </w:rPr>
        <w:t xml:space="preserve"> »</w:t>
      </w:r>
      <w:r>
        <w:rPr>
          <w:rtl/>
          <w:lang w:bidi="fa-IR"/>
        </w:rPr>
        <w:t>.</w:t>
      </w:r>
    </w:p>
    <w:p w:rsidR="008A74EB" w:rsidRPr="00C9040A" w:rsidRDefault="008A74EB" w:rsidP="008A74EB">
      <w:pPr>
        <w:pStyle w:val="libLine"/>
        <w:rPr>
          <w:rtl/>
          <w:lang w:bidi="fa-IR"/>
        </w:rPr>
      </w:pPr>
      <w:r w:rsidRPr="00C9040A">
        <w:rPr>
          <w:rtl/>
          <w:lang w:bidi="fa-IR"/>
        </w:rPr>
        <w:t>__________________</w:t>
      </w:r>
    </w:p>
    <w:p w:rsidR="008A74EB" w:rsidRPr="00C9040A" w:rsidRDefault="0044427E" w:rsidP="004A4E41">
      <w:pPr>
        <w:pStyle w:val="libFootnote0"/>
        <w:rPr>
          <w:rtl/>
          <w:lang w:bidi="fa-IR"/>
        </w:rPr>
      </w:pPr>
      <w:r>
        <w:rPr>
          <w:rFonts w:hint="cs"/>
          <w:rtl/>
        </w:rPr>
        <w:t xml:space="preserve">= </w:t>
      </w:r>
      <w:r w:rsidR="008A74EB" w:rsidRPr="00C9040A">
        <w:rPr>
          <w:rtl/>
        </w:rPr>
        <w:t xml:space="preserve">إذا أبغضه. </w:t>
      </w:r>
      <w:r w:rsidR="008A74EB" w:rsidRPr="00993B55">
        <w:rPr>
          <w:rStyle w:val="libFootnoteBoldChar"/>
          <w:rtl/>
        </w:rPr>
        <w:t>النهاية</w:t>
      </w:r>
      <w:r w:rsidR="008A74EB" w:rsidRPr="00C9040A">
        <w:rPr>
          <w:rtl/>
        </w:rPr>
        <w:t xml:space="preserve"> ، ج 4 ، ص 105 ( قلا )</w:t>
      </w:r>
      <w:r w:rsidR="008A74EB">
        <w:rPr>
          <w:rtl/>
        </w:rPr>
        <w:t>.</w:t>
      </w:r>
    </w:p>
    <w:tbl>
      <w:tblPr>
        <w:tblStyle w:val="TableGrid"/>
        <w:bidiVisual/>
        <w:tblW w:w="0" w:type="auto"/>
        <w:tblLook w:val="04A0" w:firstRow="1" w:lastRow="0" w:firstColumn="1" w:lastColumn="0" w:noHBand="0" w:noVBand="1"/>
      </w:tblPr>
      <w:tblGrid>
        <w:gridCol w:w="4006"/>
        <w:gridCol w:w="4006"/>
      </w:tblGrid>
      <w:tr w:rsidR="0044427E" w:rsidTr="0044427E">
        <w:tc>
          <w:tcPr>
            <w:tcW w:w="4006" w:type="dxa"/>
          </w:tcPr>
          <w:p w:rsidR="0044427E" w:rsidRDefault="0044427E" w:rsidP="004A4E41">
            <w:pPr>
              <w:pStyle w:val="libFootnote0"/>
              <w:rPr>
                <w:rtl/>
                <w:lang w:bidi="fa-IR"/>
              </w:rPr>
            </w:pPr>
            <w:r>
              <w:rPr>
                <w:rtl/>
              </w:rPr>
              <w:t xml:space="preserve">(1). </w:t>
            </w:r>
            <w:r w:rsidRPr="00C9040A">
              <w:rPr>
                <w:rtl/>
              </w:rPr>
              <w:t>في « ب » : « يصنع »</w:t>
            </w:r>
            <w:r>
              <w:rPr>
                <w:rtl/>
              </w:rPr>
              <w:t>.</w:t>
            </w:r>
          </w:p>
        </w:tc>
        <w:tc>
          <w:tcPr>
            <w:tcW w:w="4006" w:type="dxa"/>
          </w:tcPr>
          <w:p w:rsidR="0044427E" w:rsidRDefault="0044427E" w:rsidP="004A4E41">
            <w:pPr>
              <w:pStyle w:val="libFootnote0"/>
              <w:rPr>
                <w:rtl/>
                <w:lang w:bidi="fa-IR"/>
              </w:rPr>
            </w:pPr>
            <w:r>
              <w:rPr>
                <w:rtl/>
              </w:rPr>
              <w:t>(2). في «</w:t>
            </w:r>
            <w:r w:rsidRPr="00C9040A">
              <w:rPr>
                <w:rtl/>
              </w:rPr>
              <w:t>ز ، ص ، ف » وحاشية « بر » : « فقال »</w:t>
            </w:r>
            <w:r>
              <w:rPr>
                <w:rtl/>
              </w:rPr>
              <w:t>.</w:t>
            </w:r>
          </w:p>
        </w:tc>
      </w:tr>
      <w:tr w:rsidR="0044427E" w:rsidTr="0044427E">
        <w:tc>
          <w:tcPr>
            <w:tcW w:w="4006" w:type="dxa"/>
          </w:tcPr>
          <w:p w:rsidR="0044427E" w:rsidRDefault="0044427E" w:rsidP="004A4E41">
            <w:pPr>
              <w:pStyle w:val="libFootnote0"/>
              <w:rPr>
                <w:rtl/>
                <w:lang w:bidi="fa-IR"/>
              </w:rPr>
            </w:pPr>
            <w:r>
              <w:rPr>
                <w:rtl/>
              </w:rPr>
              <w:t>(3).</w:t>
            </w:r>
            <w:r w:rsidRPr="00C9040A">
              <w:rPr>
                <w:rtl/>
              </w:rPr>
              <w:t xml:space="preserve"> في حاشية « ض » : « التميز »</w:t>
            </w:r>
            <w:r>
              <w:rPr>
                <w:rtl/>
              </w:rPr>
              <w:t>.</w:t>
            </w:r>
          </w:p>
        </w:tc>
        <w:tc>
          <w:tcPr>
            <w:tcW w:w="4006" w:type="dxa"/>
          </w:tcPr>
          <w:p w:rsidR="0044427E" w:rsidRDefault="0044427E" w:rsidP="004A4E41">
            <w:pPr>
              <w:pStyle w:val="libFootnote0"/>
              <w:rPr>
                <w:rtl/>
                <w:lang w:bidi="fa-IR"/>
              </w:rPr>
            </w:pPr>
            <w:r>
              <w:rPr>
                <w:rtl/>
              </w:rPr>
              <w:t>(4).</w:t>
            </w:r>
            <w:r w:rsidRPr="00C9040A">
              <w:rPr>
                <w:rtl/>
              </w:rPr>
              <w:t xml:space="preserve"> في « ف » : « فيهم التمحيص وفيهم التبديل »</w:t>
            </w:r>
            <w:r>
              <w:rPr>
                <w:rtl/>
              </w:rPr>
              <w:t>.</w:t>
            </w:r>
          </w:p>
        </w:tc>
      </w:tr>
    </w:tbl>
    <w:p w:rsidR="008A74EB" w:rsidRPr="00C9040A" w:rsidRDefault="006C577F" w:rsidP="004A4E41">
      <w:pPr>
        <w:pStyle w:val="libFootnote0"/>
        <w:rPr>
          <w:rtl/>
          <w:lang w:bidi="fa-IR"/>
        </w:rPr>
      </w:pPr>
      <w:r>
        <w:rPr>
          <w:rtl/>
        </w:rPr>
        <w:t>(5).</w:t>
      </w:r>
      <w:r w:rsidR="008A74EB" w:rsidRPr="00C9040A">
        <w:rPr>
          <w:rtl/>
        </w:rPr>
        <w:t xml:space="preserve"> في « ص » والوافي : « يأتي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السِنون : جمع السَّنَة ، وهي الجَدْب والقَحْط. راجع : </w:t>
      </w:r>
      <w:r w:rsidR="008A74EB" w:rsidRPr="00993B55">
        <w:rPr>
          <w:rStyle w:val="libFootnoteBoldChar"/>
          <w:rtl/>
        </w:rPr>
        <w:t>المصباح المنير</w:t>
      </w:r>
      <w:r w:rsidR="008A74EB" w:rsidRPr="00C9040A">
        <w:rPr>
          <w:rtl/>
        </w:rPr>
        <w:t xml:space="preserve"> ، ص 292 ؛ </w:t>
      </w:r>
      <w:r w:rsidR="008A74EB" w:rsidRPr="00993B55">
        <w:rPr>
          <w:rStyle w:val="libFootnoteBoldChar"/>
          <w:rtl/>
        </w:rPr>
        <w:t>القاموس المحيط</w:t>
      </w:r>
      <w:r w:rsidR="008A74EB" w:rsidRPr="00C9040A">
        <w:rPr>
          <w:rtl/>
        </w:rPr>
        <w:t xml:space="preserve"> ، ج 2 ، ص 1701 ( سنو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هرّ الكلبُ إليه يَهِرُّ هَريراً : هو صوتُه دون نُباحه من قلّة صبره على البرد. </w:t>
      </w:r>
      <w:r w:rsidR="008A74EB" w:rsidRPr="00993B55">
        <w:rPr>
          <w:rStyle w:val="libFootnoteBoldChar"/>
          <w:rtl/>
        </w:rPr>
        <w:t>القاموس المحيط</w:t>
      </w:r>
      <w:r w:rsidR="008A74EB" w:rsidRPr="00C9040A">
        <w:rPr>
          <w:rtl/>
        </w:rPr>
        <w:t xml:space="preserve"> ، ج 1 ، ص 687 ( هرر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 أي لا يجزع عند المصائب أو لا يصول على الناس بغير سبب كالكلب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 ز ، ف » : « فقلت »</w:t>
      </w:r>
      <w:r w:rsidR="008A74EB">
        <w:rPr>
          <w:rtl/>
        </w:rPr>
        <w:t>.</w:t>
      </w:r>
    </w:p>
    <w:p w:rsidR="008A74EB" w:rsidRPr="00C9040A" w:rsidRDefault="006C577F" w:rsidP="0044427E">
      <w:pPr>
        <w:pStyle w:val="libFootnote0"/>
        <w:rPr>
          <w:rtl/>
          <w:lang w:bidi="fa-IR"/>
        </w:rPr>
      </w:pPr>
      <w:r>
        <w:rPr>
          <w:rtl/>
        </w:rPr>
        <w:t>(9).</w:t>
      </w:r>
      <w:r w:rsidR="008A74EB" w:rsidRPr="00C9040A">
        <w:rPr>
          <w:rtl/>
        </w:rPr>
        <w:t xml:space="preserve"> خَفُضَ عَيشُه : سهل ووَطُؤ ، يخفُض خفضاً ، وهو في خفضٍ من العيش ، ومخفوض وخفيض. </w:t>
      </w:r>
      <w:r w:rsidR="008A74EB" w:rsidRPr="00993B55">
        <w:rPr>
          <w:rStyle w:val="libFootnoteBoldChar"/>
          <w:rtl/>
        </w:rPr>
        <w:t>أساس</w:t>
      </w:r>
      <w:r w:rsidR="0044427E">
        <w:rPr>
          <w:rStyle w:val="libFootnoteBoldChar"/>
          <w:rFonts w:hint="cs"/>
          <w:rtl/>
        </w:rPr>
        <w:t xml:space="preserve"> </w:t>
      </w:r>
      <w:r w:rsidR="008A74EB" w:rsidRPr="00993B55">
        <w:rPr>
          <w:rStyle w:val="libFootnoteBoldChar"/>
          <w:rtl/>
        </w:rPr>
        <w:t>‌البلاغة</w:t>
      </w:r>
      <w:r w:rsidR="008A74EB" w:rsidRPr="00C9040A">
        <w:rPr>
          <w:rtl/>
        </w:rPr>
        <w:t xml:space="preserve"> ، ص 116 ( خفض )</w:t>
      </w:r>
      <w:r w:rsidR="008A74EB">
        <w:rPr>
          <w:rtl/>
        </w:rPr>
        <w:t>.</w:t>
      </w:r>
      <w:r w:rsidR="0044427E">
        <w:rPr>
          <w:rFonts w:hint="cs"/>
          <w:rtl/>
        </w:rPr>
        <w:t xml:space="preserve">                                </w:t>
      </w:r>
      <w:r w:rsidR="00C822D0">
        <w:rPr>
          <w:rFonts w:hint="cs"/>
          <w:rtl/>
        </w:rPr>
        <w:t xml:space="preserve">   </w:t>
      </w:r>
      <w:r w:rsidR="0044427E">
        <w:rPr>
          <w:rFonts w:hint="cs"/>
          <w:rtl/>
        </w:rPr>
        <w:t xml:space="preserve">     </w:t>
      </w:r>
      <w:r>
        <w:rPr>
          <w:rtl/>
        </w:rPr>
        <w:t>(10).</w:t>
      </w:r>
      <w:r w:rsidR="008A74EB" w:rsidRPr="00C9040A">
        <w:rPr>
          <w:rtl/>
        </w:rPr>
        <w:t xml:space="preserve"> في « ف » : « المتنقّلة »</w:t>
      </w:r>
      <w:r w:rsidR="008A74EB">
        <w:rPr>
          <w:rtl/>
        </w:rPr>
        <w:t>.</w:t>
      </w:r>
    </w:p>
    <w:tbl>
      <w:tblPr>
        <w:tblStyle w:val="TableGrid"/>
        <w:bidiVisual/>
        <w:tblW w:w="0" w:type="auto"/>
        <w:tblLook w:val="04A0" w:firstRow="1" w:lastRow="0" w:firstColumn="1" w:lastColumn="0" w:noHBand="0" w:noVBand="1"/>
      </w:tblPr>
      <w:tblGrid>
        <w:gridCol w:w="4006"/>
        <w:gridCol w:w="4006"/>
      </w:tblGrid>
      <w:tr w:rsidR="0044427E" w:rsidTr="0044427E">
        <w:tc>
          <w:tcPr>
            <w:tcW w:w="4006" w:type="dxa"/>
          </w:tcPr>
          <w:p w:rsidR="0044427E" w:rsidRDefault="0044427E" w:rsidP="004A4E41">
            <w:pPr>
              <w:pStyle w:val="libFootnote0"/>
              <w:rPr>
                <w:rtl/>
              </w:rPr>
            </w:pPr>
            <w:r>
              <w:rPr>
                <w:rtl/>
              </w:rPr>
              <w:t>(11).</w:t>
            </w:r>
            <w:r w:rsidRPr="00C9040A">
              <w:rPr>
                <w:rtl/>
              </w:rPr>
              <w:t xml:space="preserve"> في « ز » </w:t>
            </w:r>
            <w:r>
              <w:rPr>
                <w:rtl/>
              </w:rPr>
              <w:t>: -</w:t>
            </w:r>
            <w:r w:rsidRPr="00C9040A">
              <w:rPr>
                <w:rtl/>
              </w:rPr>
              <w:t xml:space="preserve"> « </w:t>
            </w:r>
            <w:r>
              <w:rPr>
                <w:rtl/>
              </w:rPr>
              <w:t>و ».</w:t>
            </w:r>
          </w:p>
        </w:tc>
        <w:tc>
          <w:tcPr>
            <w:tcW w:w="4006" w:type="dxa"/>
          </w:tcPr>
          <w:p w:rsidR="0044427E" w:rsidRDefault="0044427E" w:rsidP="004A4E41">
            <w:pPr>
              <w:pStyle w:val="libFootnote0"/>
              <w:rPr>
                <w:rtl/>
              </w:rPr>
            </w:pPr>
            <w:r>
              <w:rPr>
                <w:rtl/>
              </w:rPr>
              <w:t>(12).</w:t>
            </w:r>
            <w:r w:rsidRPr="00C9040A">
              <w:rPr>
                <w:rtl/>
              </w:rPr>
              <w:t xml:space="preserve"> في « </w:t>
            </w:r>
            <w:r>
              <w:rPr>
                <w:rtl/>
              </w:rPr>
              <w:t xml:space="preserve">ه </w:t>
            </w:r>
            <w:r w:rsidRPr="00C9040A">
              <w:rPr>
                <w:rtl/>
              </w:rPr>
              <w:t xml:space="preserve">» </w:t>
            </w:r>
            <w:r>
              <w:rPr>
                <w:rtl/>
              </w:rPr>
              <w:t>: -</w:t>
            </w:r>
            <w:r w:rsidRPr="00C9040A">
              <w:rPr>
                <w:rtl/>
              </w:rPr>
              <w:t xml:space="preserve"> « </w:t>
            </w:r>
            <w:r>
              <w:rPr>
                <w:rtl/>
              </w:rPr>
              <w:t>و ».</w:t>
            </w:r>
          </w:p>
        </w:tc>
      </w:tr>
    </w:tbl>
    <w:p w:rsidR="008A74EB" w:rsidRPr="00C9040A" w:rsidRDefault="008A74EB" w:rsidP="004A4E41">
      <w:pPr>
        <w:pStyle w:val="libFootnote0"/>
        <w:rPr>
          <w:rtl/>
          <w:lang w:bidi="fa-IR"/>
        </w:rPr>
      </w:pPr>
      <w:r>
        <w:rPr>
          <w:rtl/>
        </w:rPr>
        <w:t>(13)</w:t>
      </w:r>
      <w:r w:rsidRPr="00C9040A">
        <w:rPr>
          <w:rtl/>
        </w:rPr>
        <w:t xml:space="preserve"> في « ج ، ض ، </w:t>
      </w:r>
      <w:r w:rsidR="006D3162">
        <w:rPr>
          <w:rtl/>
        </w:rPr>
        <w:t xml:space="preserve">ه </w:t>
      </w:r>
      <w:r w:rsidRPr="00C9040A">
        <w:rPr>
          <w:rtl/>
        </w:rPr>
        <w:t>، بر » : « لن يختلف »</w:t>
      </w:r>
      <w:r>
        <w:rPr>
          <w:rtl/>
        </w:rPr>
        <w:t>.</w:t>
      </w:r>
      <w:r w:rsidRPr="00C9040A">
        <w:rPr>
          <w:rtl/>
        </w:rPr>
        <w:t xml:space="preserve"> وفي « ص » : « لن يخلف »</w:t>
      </w:r>
      <w:r>
        <w:rPr>
          <w:rtl/>
        </w:rPr>
        <w:t>.</w:t>
      </w:r>
      <w:r w:rsidRPr="00C9040A">
        <w:rPr>
          <w:rtl/>
        </w:rPr>
        <w:t xml:space="preserve"> وفي « ف » : « لن يتخلّف »</w:t>
      </w:r>
      <w:r>
        <w:rPr>
          <w:rtl/>
        </w:rPr>
        <w:t>.</w:t>
      </w:r>
    </w:p>
    <w:p w:rsidR="008A74EB" w:rsidRPr="00C9040A" w:rsidRDefault="008A74EB" w:rsidP="004A4E41">
      <w:pPr>
        <w:pStyle w:val="libFootnote0"/>
        <w:rPr>
          <w:rtl/>
          <w:lang w:bidi="fa-IR"/>
        </w:rPr>
      </w:pPr>
      <w:r>
        <w:rPr>
          <w:rtl/>
        </w:rPr>
        <w:t>(14)</w:t>
      </w:r>
      <w:r w:rsidRPr="00C9040A">
        <w:rPr>
          <w:rtl/>
        </w:rPr>
        <w:t xml:space="preserve"> في « ج ، د ، ض ، </w:t>
      </w:r>
      <w:r w:rsidR="006D3162">
        <w:rPr>
          <w:rtl/>
        </w:rPr>
        <w:t xml:space="preserve">ه </w:t>
      </w:r>
      <w:r w:rsidRPr="00C9040A">
        <w:rPr>
          <w:rtl/>
        </w:rPr>
        <w:t>، بف » وشرح المازندراني والوافي ومرآة العقول : « وإن اختلفت »</w:t>
      </w:r>
      <w:r>
        <w:rPr>
          <w:rtl/>
        </w:rPr>
        <w:t>.</w:t>
      </w:r>
    </w:p>
    <w:p w:rsidR="008A74EB" w:rsidRPr="00C9040A" w:rsidRDefault="008A74EB" w:rsidP="004A4E41">
      <w:pPr>
        <w:pStyle w:val="libFootnote0"/>
        <w:rPr>
          <w:rtl/>
          <w:lang w:bidi="fa-IR"/>
        </w:rPr>
      </w:pPr>
      <w:r>
        <w:rPr>
          <w:rtl/>
        </w:rPr>
        <w:t>(15)</w:t>
      </w:r>
      <w:r w:rsidRPr="00C9040A">
        <w:rPr>
          <w:rtl/>
        </w:rPr>
        <w:t xml:space="preserve"> في « ب ، </w:t>
      </w:r>
      <w:r w:rsidR="006D3162">
        <w:rPr>
          <w:rtl/>
        </w:rPr>
        <w:t xml:space="preserve">ه </w:t>
      </w:r>
      <w:r w:rsidRPr="00C9040A">
        <w:rPr>
          <w:rtl/>
        </w:rPr>
        <w:t>، بر » وحاشية « ف » وشرح المازندراني والوافي ومرآة العقول : « الديار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ثُمَّ قَالَ : « قَالَ رَسُولُ اللهِ </w:t>
      </w:r>
      <w:r w:rsidR="004A4E41" w:rsidRPr="004A4E41">
        <w:rPr>
          <w:rStyle w:val="libAlaemChar"/>
          <w:rtl/>
        </w:rPr>
        <w:t>صلى‌الله‌عليه‌وآله</w:t>
      </w:r>
      <w:r w:rsidRPr="00C9040A">
        <w:rPr>
          <w:rtl/>
          <w:lang w:bidi="fa-IR"/>
        </w:rPr>
        <w:t xml:space="preserve"> : أَنَا الْمَدِينَةُ </w:t>
      </w:r>
      <w:r w:rsidR="006C577F" w:rsidRPr="006C577F">
        <w:rPr>
          <w:rStyle w:val="libFootnotenumChar"/>
          <w:rtl/>
        </w:rPr>
        <w:t>(1)</w:t>
      </w:r>
      <w:r w:rsidRPr="00C9040A">
        <w:rPr>
          <w:rtl/>
          <w:lang w:bidi="fa-IR"/>
        </w:rPr>
        <w:t xml:space="preserve"> وَعَلِيٌّ </w:t>
      </w:r>
      <w:r w:rsidRPr="0003660B">
        <w:rPr>
          <w:rStyle w:val="libAlaemChar"/>
          <w:rtl/>
        </w:rPr>
        <w:t>عليه‌السلام</w:t>
      </w:r>
      <w:r w:rsidRPr="00C9040A">
        <w:rPr>
          <w:rtl/>
          <w:lang w:bidi="fa-IR"/>
        </w:rPr>
        <w:t xml:space="preserve"> الْبَابُ ، وَكَذَبَ مَنْ زَعَمَ أَنَّهُ يَدْخُلُ الْمَدِينَةَ لَامِنْ قِبَلِ الْبَابِ ، وَكَذَبَ مَنْ زَعَمَ أَنَّهُ يُحِبُّنِي وَيُبْغِضُ عَلِيّاً صَلَوَاتُ اللهِ عَلَيْهِ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8D49D2">
        <w:rPr>
          <w:rtl/>
        </w:rPr>
        <w:t>2307</w:t>
      </w:r>
      <w:r w:rsidRPr="00261CB0">
        <w:rPr>
          <w:rStyle w:val="libBold2Char"/>
          <w:rtl/>
        </w:rPr>
        <w:t xml:space="preserve"> / 28.</w:t>
      </w:r>
      <w:r w:rsidRPr="00C9040A">
        <w:rPr>
          <w:rtl/>
          <w:lang w:bidi="fa-IR"/>
        </w:rPr>
        <w:t xml:space="preserve"> عِدَّةٌ مِنْ أَصْحَابِنَا ، عَنْ أَحْمَدَ بْنِ مُحَمَّدِ بْنِ خَالِدٍ ، عَنْ عُثْمَانَ بْنِ عِيسى ، عَنْ سَمَاعَةَ بْنِ مِهْرَانَ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قَالَ : « مَنْ عَامَلَ النَّاسَ فَلَمْ يَظْلِمْهُمْ </w:t>
      </w:r>
      <w:r w:rsidR="006C577F" w:rsidRPr="006C577F">
        <w:rPr>
          <w:rStyle w:val="libFootnotenumChar"/>
          <w:rtl/>
        </w:rPr>
        <w:t>(3)</w:t>
      </w:r>
      <w:r w:rsidRPr="00C9040A">
        <w:rPr>
          <w:rtl/>
          <w:lang w:bidi="fa-IR"/>
        </w:rPr>
        <w:t xml:space="preserve"> ، وَحَدَّثَهُمْ فَلَمْ يَكْذِبْهُمْ ، وَوَعَدَهُمْ </w:t>
      </w:r>
      <w:r w:rsidR="006C577F" w:rsidRPr="006C577F">
        <w:rPr>
          <w:rStyle w:val="libFootnotenumChar"/>
          <w:rtl/>
        </w:rPr>
        <w:t>(4)</w:t>
      </w:r>
      <w:r w:rsidRPr="00C9040A">
        <w:rPr>
          <w:rtl/>
          <w:lang w:bidi="fa-IR"/>
        </w:rPr>
        <w:t xml:space="preserve"> فَلَمْ يُخْلِفْهُمْ </w:t>
      </w:r>
      <w:r w:rsidR="006C577F" w:rsidRPr="006C577F">
        <w:rPr>
          <w:rStyle w:val="libFootnotenumChar"/>
          <w:rtl/>
        </w:rPr>
        <w:t>(5)</w:t>
      </w:r>
      <w:r w:rsidRPr="00C9040A">
        <w:rPr>
          <w:rtl/>
          <w:lang w:bidi="fa-IR"/>
        </w:rPr>
        <w:t xml:space="preserve"> ، كَانَ مِمَّنْ حُرِّمَتْ غِيبَتُهُ ، وَكَمَلَتْ مُرُوءَتُهُ </w:t>
      </w:r>
      <w:r w:rsidR="006C577F" w:rsidRPr="006C577F">
        <w:rPr>
          <w:rStyle w:val="libFootnotenumChar"/>
          <w:rtl/>
        </w:rPr>
        <w:t>(6)</w:t>
      </w:r>
      <w:r w:rsidRPr="005B567D">
        <w:rPr>
          <w:rStyle w:val="libFootnotenumChar"/>
          <w:rtl/>
        </w:rPr>
        <w:t xml:space="preserve"> </w:t>
      </w:r>
      <w:r w:rsidRPr="00C9040A">
        <w:rPr>
          <w:rtl/>
          <w:lang w:bidi="fa-IR"/>
        </w:rPr>
        <w:t>، وَظَهَرَ عَدْلُهُ ، وَوَجَبَتْ أُخُوَّتُهُ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8D49D2">
        <w:rPr>
          <w:rtl/>
        </w:rPr>
        <w:t>2308</w:t>
      </w:r>
      <w:r w:rsidRPr="00261CB0">
        <w:rPr>
          <w:rStyle w:val="libBold2Char"/>
          <w:rtl/>
        </w:rPr>
        <w:t xml:space="preserve"> / 29.</w:t>
      </w:r>
      <w:r w:rsidRPr="00C9040A">
        <w:rPr>
          <w:rtl/>
          <w:lang w:bidi="fa-IR"/>
        </w:rPr>
        <w:t xml:space="preserve"> عَنْهُ </w:t>
      </w:r>
      <w:r w:rsidR="006C577F" w:rsidRPr="006C577F">
        <w:rPr>
          <w:rStyle w:val="libFootnotenumChar"/>
          <w:rtl/>
        </w:rPr>
        <w:t>(8)</w:t>
      </w:r>
      <w:r w:rsidRPr="00C9040A">
        <w:rPr>
          <w:rtl/>
          <w:lang w:bidi="fa-IR"/>
        </w:rPr>
        <w:t xml:space="preserve"> ، عَنِ ابْنِ فَضَّالٍ ، عَنْ عَاصِمِ بْنِ حُمَيْدٍ ، عَنْ أَبِي حَمْزَةَ الثُّمَالِيِّ ، عَنْ عَبْدِ اللهِ بْنِ الْحَسَنِ </w:t>
      </w:r>
      <w:r w:rsidR="006C577F" w:rsidRPr="006C577F">
        <w:rPr>
          <w:rStyle w:val="libFootnotenumChar"/>
          <w:rtl/>
        </w:rPr>
        <w:t>(9)</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ب ، ز » : « أنا مدينة العلم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الغيب</w:t>
      </w:r>
      <w:r w:rsidR="008A74EB" w:rsidRPr="004006C8">
        <w:rPr>
          <w:rStyle w:val="libFootnoteBoldChar"/>
          <w:rtl/>
        </w:rPr>
        <w:t>ة للنعماني</w:t>
      </w:r>
      <w:r w:rsidR="008A74EB" w:rsidRPr="00C9040A">
        <w:rPr>
          <w:rtl/>
        </w:rPr>
        <w:t xml:space="preserve"> ، ص 203 ، ح 4 ، بسند آخر ، مع زيادة. </w:t>
      </w:r>
      <w:r w:rsidR="008A74EB" w:rsidRPr="00993B55">
        <w:rPr>
          <w:rStyle w:val="libFootnoteBoldChar"/>
          <w:rtl/>
        </w:rPr>
        <w:t>تحف العقول</w:t>
      </w:r>
      <w:r w:rsidR="008A74EB" w:rsidRPr="00C9040A">
        <w:rPr>
          <w:rtl/>
        </w:rPr>
        <w:t xml:space="preserve"> ، ص 378 ، وفيهما إلى قوله : « وإن اختلفت بهم الدار » مع اختلاف يسير. </w:t>
      </w:r>
      <w:r w:rsidR="008A74EB" w:rsidRPr="00993B55">
        <w:rPr>
          <w:rStyle w:val="libFootnoteBoldChar"/>
          <w:rtl/>
        </w:rPr>
        <w:t>صفات الشيعة</w:t>
      </w:r>
      <w:r w:rsidR="008A74EB" w:rsidRPr="00C9040A">
        <w:rPr>
          <w:rtl/>
        </w:rPr>
        <w:t xml:space="preserve"> ، ص 17 ، ح 34 ، بسند آخر ؛ </w:t>
      </w:r>
      <w:r w:rsidR="008A74EB" w:rsidRPr="00993B55">
        <w:rPr>
          <w:rStyle w:val="libFootnoteBoldChar"/>
          <w:rtl/>
        </w:rPr>
        <w:t>وفيه</w:t>
      </w:r>
      <w:r w:rsidR="008A74EB" w:rsidRPr="00C9040A">
        <w:rPr>
          <w:rtl/>
        </w:rPr>
        <w:t xml:space="preserve"> ، ص 13 ، ح 25 ، بسند آخر عن أبي‌جعفر </w:t>
      </w:r>
      <w:r w:rsidR="00117575" w:rsidRPr="00117575">
        <w:rPr>
          <w:rStyle w:val="libFootnoteAlaemChar"/>
          <w:rtl/>
        </w:rPr>
        <w:t xml:space="preserve">عليه‌السلام </w:t>
      </w:r>
      <w:r w:rsidR="008A74EB" w:rsidRPr="00C9040A">
        <w:rPr>
          <w:rtl/>
        </w:rPr>
        <w:t xml:space="preserve"> ، وفيهما إلى قوله : « وفي القبور يتزاورون » مع اختلاف </w:t>
      </w:r>
      <w:r w:rsidR="004006C8">
        <w:rPr>
          <w:rFonts w:hint="cs"/>
          <w:rtl/>
        </w:rPr>
        <w:t>.</w:t>
      </w:r>
      <w:r w:rsidR="008A74EB" w:rsidRPr="00993B55">
        <w:rPr>
          <w:rStyle w:val="libFootnoteBoldChar"/>
          <w:rtl/>
        </w:rPr>
        <w:t>الوافي</w:t>
      </w:r>
      <w:r w:rsidR="008A74EB" w:rsidRPr="00C9040A">
        <w:rPr>
          <w:rtl/>
        </w:rPr>
        <w:t xml:space="preserve"> ، ج 4 ، ص 172 ، ح 1782 ؛ </w:t>
      </w:r>
      <w:r w:rsidR="008A74EB" w:rsidRPr="00993B55">
        <w:rPr>
          <w:rStyle w:val="libFootnoteBoldChar"/>
          <w:rtl/>
        </w:rPr>
        <w:t>الوسائل</w:t>
      </w:r>
      <w:r w:rsidR="008A74EB" w:rsidRPr="00C9040A">
        <w:rPr>
          <w:rtl/>
        </w:rPr>
        <w:t xml:space="preserve"> ، ج 15 ، ص 192 ، ح 20253 ، إلى قوله : « ولا يسأل عدوّنا وإن مات جوعاً » ؛ </w:t>
      </w:r>
      <w:r w:rsidR="008A74EB" w:rsidRPr="00993B55">
        <w:rPr>
          <w:rStyle w:val="libFootnoteBoldChar"/>
          <w:rtl/>
        </w:rPr>
        <w:t>البحار</w:t>
      </w:r>
      <w:r w:rsidR="008A74EB" w:rsidRPr="00C9040A">
        <w:rPr>
          <w:rtl/>
        </w:rPr>
        <w:t xml:space="preserve"> ، ج 68 ، ص 180 ، ح 39.</w:t>
      </w:r>
    </w:p>
    <w:p w:rsidR="008A74EB" w:rsidRPr="00C9040A" w:rsidRDefault="006C577F" w:rsidP="004A4E41">
      <w:pPr>
        <w:pStyle w:val="libFootnote0"/>
        <w:rPr>
          <w:rtl/>
          <w:lang w:bidi="fa-IR"/>
        </w:rPr>
      </w:pPr>
      <w:r>
        <w:rPr>
          <w:rtl/>
        </w:rPr>
        <w:t>(3).</w:t>
      </w:r>
      <w:r w:rsidR="008A74EB" w:rsidRPr="00C9040A">
        <w:rPr>
          <w:rtl/>
        </w:rPr>
        <w:t xml:space="preserve"> في « </w:t>
      </w:r>
      <w:r w:rsidR="006D3162">
        <w:rPr>
          <w:rtl/>
        </w:rPr>
        <w:t xml:space="preserve">ه </w:t>
      </w:r>
      <w:r w:rsidR="008A74EB" w:rsidRPr="00C9040A">
        <w:rPr>
          <w:rtl/>
        </w:rPr>
        <w:t>» : « فلن يظلمهم »</w:t>
      </w:r>
      <w:r w:rsidR="008A74EB">
        <w:rPr>
          <w:rtl/>
        </w:rPr>
        <w:t>.</w:t>
      </w:r>
      <w:r w:rsidR="008A74EB" w:rsidRPr="00C9040A">
        <w:rPr>
          <w:rtl/>
        </w:rPr>
        <w:t xml:space="preserve"> وفي حاشية « بس » : « فلا يظلمهم »</w:t>
      </w:r>
      <w:r w:rsidR="008A74EB">
        <w:rPr>
          <w:rtl/>
        </w:rPr>
        <w:t>.</w:t>
      </w:r>
    </w:p>
    <w:tbl>
      <w:tblPr>
        <w:tblStyle w:val="TableGrid"/>
        <w:bidiVisual/>
        <w:tblW w:w="0" w:type="auto"/>
        <w:tblLook w:val="04A0" w:firstRow="1" w:lastRow="0" w:firstColumn="1" w:lastColumn="0" w:noHBand="0" w:noVBand="1"/>
      </w:tblPr>
      <w:tblGrid>
        <w:gridCol w:w="4006"/>
        <w:gridCol w:w="4006"/>
      </w:tblGrid>
      <w:tr w:rsidR="004006C8" w:rsidTr="004006C8">
        <w:tc>
          <w:tcPr>
            <w:tcW w:w="4006" w:type="dxa"/>
          </w:tcPr>
          <w:p w:rsidR="004006C8" w:rsidRDefault="004006C8" w:rsidP="004A4E41">
            <w:pPr>
              <w:pStyle w:val="libFootnote0"/>
              <w:rPr>
                <w:rtl/>
              </w:rPr>
            </w:pPr>
            <w:r>
              <w:rPr>
                <w:rtl/>
              </w:rPr>
              <w:t>(4).</w:t>
            </w:r>
            <w:r w:rsidRPr="00C9040A">
              <w:rPr>
                <w:rtl/>
              </w:rPr>
              <w:t xml:space="preserve"> في الوسائل ، ح 10772 : « وواعدهم »</w:t>
            </w:r>
            <w:r>
              <w:rPr>
                <w:rtl/>
              </w:rPr>
              <w:t>.</w:t>
            </w:r>
          </w:p>
        </w:tc>
        <w:tc>
          <w:tcPr>
            <w:tcW w:w="4006" w:type="dxa"/>
          </w:tcPr>
          <w:p w:rsidR="004006C8" w:rsidRDefault="004006C8" w:rsidP="004A4E41">
            <w:pPr>
              <w:pStyle w:val="libFootnote0"/>
              <w:rPr>
                <w:rtl/>
              </w:rPr>
            </w:pPr>
            <w:r>
              <w:rPr>
                <w:rtl/>
              </w:rPr>
              <w:t>(5).</w:t>
            </w:r>
            <w:r w:rsidRPr="00C9040A">
              <w:rPr>
                <w:rtl/>
              </w:rPr>
              <w:t xml:space="preserve"> في « </w:t>
            </w:r>
            <w:r>
              <w:rPr>
                <w:rtl/>
              </w:rPr>
              <w:t xml:space="preserve">ه </w:t>
            </w:r>
            <w:r w:rsidRPr="00C9040A">
              <w:rPr>
                <w:rtl/>
              </w:rPr>
              <w:t>» : « فلن يخلفهم »</w:t>
            </w:r>
            <w:r>
              <w:rPr>
                <w:rtl/>
              </w:rPr>
              <w:t>.</w:t>
            </w:r>
          </w:p>
        </w:tc>
      </w:tr>
    </w:tbl>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حاشية « بر » : « مودّته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الخصال</w:t>
      </w:r>
      <w:r w:rsidR="008A74EB" w:rsidRPr="00C9040A">
        <w:rPr>
          <w:rtl/>
        </w:rPr>
        <w:t xml:space="preserve"> ، ص 208 ، باب الأربعة ، ح 29 ، بسند آخر. </w:t>
      </w:r>
      <w:r w:rsidR="008A74EB" w:rsidRPr="00993B55">
        <w:rPr>
          <w:rStyle w:val="libFootnoteBoldChar"/>
          <w:rtl/>
        </w:rPr>
        <w:t>وفيه</w:t>
      </w:r>
      <w:r w:rsidR="008A74EB" w:rsidRPr="00C9040A">
        <w:rPr>
          <w:rtl/>
        </w:rPr>
        <w:t xml:space="preserve"> ، ص 208 ، ح 28 ؛ </w:t>
      </w:r>
      <w:r w:rsidR="008A74EB" w:rsidRPr="00993B55">
        <w:rPr>
          <w:rStyle w:val="libFootnoteBoldChar"/>
          <w:rtl/>
        </w:rPr>
        <w:t>وعيون الأخبار</w:t>
      </w:r>
      <w:r w:rsidR="008A74EB" w:rsidRPr="00C9040A">
        <w:rPr>
          <w:rtl/>
        </w:rPr>
        <w:t xml:space="preserve"> ، ج 2 ، ص 30 ، ح 34 ؛ </w:t>
      </w:r>
      <w:r w:rsidR="008A74EB" w:rsidRPr="004006C8">
        <w:rPr>
          <w:rStyle w:val="libFootnoteBoldChar"/>
          <w:rtl/>
        </w:rPr>
        <w:t>و</w:t>
      </w:r>
      <w:r w:rsidR="008A74EB" w:rsidRPr="00993B55">
        <w:rPr>
          <w:rStyle w:val="libFootnoteBoldChar"/>
          <w:rtl/>
        </w:rPr>
        <w:t xml:space="preserve">صحيفة الرضا </w:t>
      </w:r>
      <w:r w:rsidR="00117575" w:rsidRPr="00117575">
        <w:rPr>
          <w:rStyle w:val="libFootnoteAlaemChar"/>
          <w:rtl/>
        </w:rPr>
        <w:t xml:space="preserve">عليه‌السلام </w:t>
      </w:r>
      <w:r w:rsidR="008A74EB" w:rsidRPr="00C9040A">
        <w:rPr>
          <w:rtl/>
        </w:rPr>
        <w:t xml:space="preserve">، ص 47 ، ح 30 ، بسند آخر عن الرضا ، عن آبائه </w:t>
      </w:r>
      <w:r w:rsidR="00117575" w:rsidRPr="00117575">
        <w:rPr>
          <w:rStyle w:val="libFootnoteAlaemChar"/>
          <w:rtl/>
        </w:rPr>
        <w:t>عليهم‌السلام</w:t>
      </w:r>
      <w:r w:rsidR="008A74EB" w:rsidRPr="00C9040A">
        <w:rPr>
          <w:rtl/>
        </w:rPr>
        <w:t xml:space="preserve"> عن رسول الله </w:t>
      </w:r>
      <w:r w:rsidR="004A4E41" w:rsidRPr="004006C8">
        <w:rPr>
          <w:rStyle w:val="libFootnoteAlaemChar"/>
          <w:rtl/>
        </w:rPr>
        <w:t>صلى‌الله‌عليه‌وآله</w:t>
      </w:r>
      <w:r w:rsidR="008A74EB" w:rsidRPr="00C9040A">
        <w:rPr>
          <w:rtl/>
        </w:rPr>
        <w:t xml:space="preserve">. </w:t>
      </w:r>
      <w:r w:rsidR="008A74EB" w:rsidRPr="00993B55">
        <w:rPr>
          <w:rStyle w:val="libFootnoteBoldChar"/>
          <w:rtl/>
        </w:rPr>
        <w:t>تحف العقول</w:t>
      </w:r>
      <w:r w:rsidR="008A74EB" w:rsidRPr="00C9040A">
        <w:rPr>
          <w:rtl/>
        </w:rPr>
        <w:t xml:space="preserve"> ، ص 57 ، عن النبيّ </w:t>
      </w:r>
      <w:r w:rsidR="004A4E41" w:rsidRPr="00C822D0">
        <w:rPr>
          <w:rStyle w:val="libFootnoteAlaemChar"/>
          <w:rtl/>
        </w:rPr>
        <w:t>صلى‌الله‌عليه‌وآله</w:t>
      </w:r>
      <w:r w:rsidR="008A74EB" w:rsidRPr="00C9040A">
        <w:rPr>
          <w:rtl/>
        </w:rPr>
        <w:t xml:space="preserve"> ، وفي كلّها مع اختلاف يسير </w:t>
      </w:r>
      <w:r w:rsidR="004006C8">
        <w:rPr>
          <w:rFonts w:hint="cs"/>
          <w:rtl/>
        </w:rPr>
        <w:t>.</w:t>
      </w:r>
      <w:r w:rsidR="008A74EB" w:rsidRPr="00993B55">
        <w:rPr>
          <w:rStyle w:val="libFootnoteBoldChar"/>
          <w:rtl/>
        </w:rPr>
        <w:t>الوافي</w:t>
      </w:r>
      <w:r w:rsidR="008A74EB" w:rsidRPr="00C9040A">
        <w:rPr>
          <w:rtl/>
        </w:rPr>
        <w:t xml:space="preserve"> ، ج 4 ، ص 569 ، ح 2589 ؛ </w:t>
      </w:r>
      <w:r w:rsidR="008A74EB" w:rsidRPr="00993B55">
        <w:rPr>
          <w:rStyle w:val="libFootnoteBoldChar"/>
          <w:rtl/>
        </w:rPr>
        <w:t>الوسائل</w:t>
      </w:r>
      <w:r w:rsidR="008A74EB" w:rsidRPr="00C9040A">
        <w:rPr>
          <w:rtl/>
        </w:rPr>
        <w:t xml:space="preserve"> ، ج 8 ، ص 315 ، ح 10772 ؛ وج 12 ، ص 278 ، ح 16301 ؛ </w:t>
      </w:r>
      <w:r w:rsidR="008A74EB" w:rsidRPr="00993B55">
        <w:rPr>
          <w:rStyle w:val="libFootnoteBoldChar"/>
          <w:rtl/>
        </w:rPr>
        <w:t>البحار</w:t>
      </w:r>
      <w:r w:rsidR="008A74EB" w:rsidRPr="00C9040A">
        <w:rPr>
          <w:rtl/>
        </w:rPr>
        <w:t xml:space="preserve"> ، ج 75 ، ص 236.</w:t>
      </w:r>
    </w:p>
    <w:p w:rsidR="008A74EB" w:rsidRPr="00C9040A" w:rsidRDefault="006C577F" w:rsidP="004A4E41">
      <w:pPr>
        <w:pStyle w:val="libFootnote0"/>
        <w:rPr>
          <w:rtl/>
          <w:lang w:bidi="fa-IR"/>
        </w:rPr>
      </w:pPr>
      <w:r>
        <w:rPr>
          <w:rtl/>
        </w:rPr>
        <w:t>(8).</w:t>
      </w:r>
      <w:r w:rsidR="008A74EB" w:rsidRPr="00C9040A">
        <w:rPr>
          <w:rtl/>
        </w:rPr>
        <w:t xml:space="preserve"> الضمير راجع إلى أحمد بن محمّد بن خالد المذكور في السند السابق.</w:t>
      </w:r>
    </w:p>
    <w:p w:rsidR="008A74EB" w:rsidRPr="00C9040A" w:rsidRDefault="006C577F" w:rsidP="004A4E41">
      <w:pPr>
        <w:pStyle w:val="libFootnote0"/>
        <w:rPr>
          <w:rtl/>
          <w:lang w:bidi="fa-IR"/>
        </w:rPr>
      </w:pPr>
      <w:r>
        <w:rPr>
          <w:rtl/>
        </w:rPr>
        <w:t>(9).</w:t>
      </w:r>
      <w:r w:rsidR="008A74EB" w:rsidRPr="00C9040A">
        <w:rPr>
          <w:rtl/>
        </w:rPr>
        <w:t xml:space="preserve"> في « </w:t>
      </w:r>
      <w:r w:rsidR="006D3162">
        <w:rPr>
          <w:rtl/>
        </w:rPr>
        <w:t xml:space="preserve">ه </w:t>
      </w:r>
      <w:r w:rsidR="008A74EB" w:rsidRPr="00C9040A">
        <w:rPr>
          <w:rtl/>
        </w:rPr>
        <w:t>» : « الحسين »</w:t>
      </w:r>
      <w:r w:rsidR="008A74EB">
        <w:rPr>
          <w:rtl/>
        </w:rPr>
        <w:t>.</w:t>
      </w:r>
      <w:r w:rsidR="008A74EB" w:rsidRPr="00C9040A">
        <w:rPr>
          <w:rtl/>
        </w:rPr>
        <w:t xml:space="preserve"> وهو سهو ؛ فإنّ عبدالله هذا ، هو عبدالله المحض ابن الحسن بن الحسن بن عليّ بن </w:t>
      </w:r>
      <w:r w:rsidR="004006C8">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عَنْ أُمِّهِ فَاطِمَةَ بِنْتِ </w:t>
      </w:r>
      <w:r w:rsidR="006C577F" w:rsidRPr="006C577F">
        <w:rPr>
          <w:rStyle w:val="libFootnotenumChar"/>
          <w:rtl/>
        </w:rPr>
        <w:t>(1)</w:t>
      </w:r>
      <w:r w:rsidRPr="00C9040A">
        <w:rPr>
          <w:rtl/>
          <w:lang w:bidi="fa-IR"/>
        </w:rPr>
        <w:t xml:space="preserve"> الْحُسَيْنِ بْنِ عَلِيٍّ </w:t>
      </w:r>
      <w:r w:rsidR="006C577F" w:rsidRPr="006C577F">
        <w:rPr>
          <w:rStyle w:val="libFootnotenumChar"/>
          <w:rtl/>
        </w:rPr>
        <w:t>(2)</w:t>
      </w:r>
      <w:r w:rsidRPr="00C9040A">
        <w:rPr>
          <w:rtl/>
          <w:lang w:bidi="fa-IR"/>
        </w:rPr>
        <w:t xml:space="preserve"> </w:t>
      </w:r>
      <w:r w:rsidRPr="0003660B">
        <w:rPr>
          <w:rStyle w:val="libAlaemChar"/>
          <w:rtl/>
        </w:rPr>
        <w:t>عليهما‌السلام</w:t>
      </w:r>
      <w:r w:rsidRPr="00C9040A">
        <w:rPr>
          <w:rtl/>
          <w:lang w:bidi="fa-IR"/>
        </w:rPr>
        <w:t xml:space="preserve"> ، قَالَ </w:t>
      </w:r>
      <w:r w:rsidR="006C577F" w:rsidRPr="006C577F">
        <w:rPr>
          <w:rStyle w:val="libFootnotenumChar"/>
          <w:rtl/>
        </w:rPr>
        <w:t>(3)</w:t>
      </w:r>
      <w:r w:rsidRPr="00C9040A">
        <w:rPr>
          <w:rtl/>
          <w:lang w:bidi="fa-IR"/>
        </w:rPr>
        <w:t xml:space="preserve"> : قَالَ رَسُولُ اللهِ </w:t>
      </w:r>
      <w:r w:rsidR="004A4E41" w:rsidRPr="004A4E41">
        <w:rPr>
          <w:rStyle w:val="libAlaemChar"/>
          <w:rtl/>
        </w:rPr>
        <w:t>صلى‌الله‌عليه‌وآله</w:t>
      </w:r>
      <w:r w:rsidRPr="00C9040A">
        <w:rPr>
          <w:rtl/>
          <w:lang w:bidi="fa-IR"/>
        </w:rPr>
        <w:t xml:space="preserve"> : « ثَلَاثُ خِصَالٍ مَنْ كُنَّ فِيهِ اسْتَكْمَلَ </w:t>
      </w:r>
      <w:r w:rsidR="006C577F" w:rsidRPr="006C577F">
        <w:rPr>
          <w:rStyle w:val="libFootnotenumChar"/>
          <w:rtl/>
        </w:rPr>
        <w:t>(4)</w:t>
      </w:r>
      <w:r w:rsidRPr="00C9040A">
        <w:rPr>
          <w:rtl/>
          <w:lang w:bidi="fa-IR"/>
        </w:rPr>
        <w:t xml:space="preserve"> خِصَالَ الْإِيمَانِ </w:t>
      </w:r>
      <w:r w:rsidR="006C577F" w:rsidRPr="006C577F">
        <w:rPr>
          <w:rStyle w:val="libFootnotenumChar"/>
          <w:rtl/>
        </w:rPr>
        <w:t>(5)</w:t>
      </w:r>
      <w:r w:rsidRPr="00C9040A">
        <w:rPr>
          <w:rtl/>
          <w:lang w:bidi="fa-IR"/>
        </w:rPr>
        <w:t xml:space="preserve"> : إِذَا رَضِيَ لَمْ يُدْخِلْهُ رِضَاهُ فِي بَاطِلٍ </w:t>
      </w:r>
      <w:r w:rsidR="006C577F" w:rsidRPr="006C577F">
        <w:rPr>
          <w:rStyle w:val="libFootnotenumChar"/>
          <w:rtl/>
        </w:rPr>
        <w:t>(6)</w:t>
      </w:r>
      <w:r w:rsidRPr="005B567D">
        <w:rPr>
          <w:rStyle w:val="libFootnotenumChar"/>
          <w:rtl/>
        </w:rPr>
        <w:t xml:space="preserve"> </w:t>
      </w:r>
      <w:r w:rsidRPr="00C9040A">
        <w:rPr>
          <w:rtl/>
          <w:lang w:bidi="fa-IR"/>
        </w:rPr>
        <w:t xml:space="preserve">، وَإِذَا </w:t>
      </w:r>
      <w:r w:rsidR="006C577F" w:rsidRPr="006C577F">
        <w:rPr>
          <w:rStyle w:val="libFootnotenumChar"/>
          <w:rtl/>
        </w:rPr>
        <w:t>(7)</w:t>
      </w:r>
      <w:r w:rsidRPr="00C9040A">
        <w:rPr>
          <w:rtl/>
          <w:lang w:bidi="fa-IR"/>
        </w:rPr>
        <w:t xml:space="preserve"> غَضِبَ لَمْ يُخْرِجْهُ الْغَضَبُ </w:t>
      </w:r>
      <w:r w:rsidR="006C577F" w:rsidRPr="006C577F">
        <w:rPr>
          <w:rStyle w:val="libFootnotenumChar"/>
          <w:rtl/>
        </w:rPr>
        <w:t>(8)</w:t>
      </w:r>
      <w:r w:rsidRPr="00C9040A">
        <w:rPr>
          <w:rtl/>
          <w:lang w:bidi="fa-IR"/>
        </w:rPr>
        <w:t xml:space="preserve"> مِنَ الْحَقِّ ، وَإِذَا قَدَرَ لَمْ يَتَعَاطَ </w:t>
      </w:r>
      <w:r w:rsidR="006C577F" w:rsidRPr="006C577F">
        <w:rPr>
          <w:rStyle w:val="libFootnotenumChar"/>
          <w:rtl/>
        </w:rPr>
        <w:t>(9)</w:t>
      </w:r>
      <w:r w:rsidRPr="00C9040A">
        <w:rPr>
          <w:rtl/>
          <w:lang w:bidi="fa-IR"/>
        </w:rPr>
        <w:t xml:space="preserve"> مَا لَيْسَ لَهُ »</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r w:rsidRPr="00C9040A">
        <w:t>‌</w:t>
      </w:r>
    </w:p>
    <w:p w:rsidR="008A74EB" w:rsidRPr="00C9040A" w:rsidRDefault="008A74EB" w:rsidP="008A74EB">
      <w:pPr>
        <w:pStyle w:val="libNormal"/>
        <w:rPr>
          <w:rtl/>
          <w:lang w:bidi="fa-IR"/>
        </w:rPr>
      </w:pPr>
      <w:r w:rsidRPr="008D49D2">
        <w:rPr>
          <w:rtl/>
        </w:rPr>
        <w:t>2309</w:t>
      </w:r>
      <w:r w:rsidRPr="00261CB0">
        <w:rPr>
          <w:rStyle w:val="libBold2Char"/>
          <w:rtl/>
        </w:rPr>
        <w:t xml:space="preserve"> / 30.</w:t>
      </w:r>
      <w:r w:rsidRPr="00C9040A">
        <w:rPr>
          <w:rtl/>
          <w:lang w:bidi="fa-IR"/>
        </w:rPr>
        <w:t xml:space="preserve"> عَنْهُ </w:t>
      </w:r>
      <w:r w:rsidR="006C577F" w:rsidRPr="006C577F">
        <w:rPr>
          <w:rStyle w:val="libFootnotenumChar"/>
          <w:rtl/>
        </w:rPr>
        <w:t>(11)</w:t>
      </w:r>
      <w:r w:rsidRPr="00C9040A">
        <w:rPr>
          <w:rtl/>
          <w:lang w:bidi="fa-IR"/>
        </w:rPr>
        <w:t xml:space="preserve"> ، عَنْ أَبِيهِ ، عَنْ عَبْدِ اللهِ بْنِ الْقَاسِمِ ، عَنْ أَبِي بَصِيرٍ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أَمِيرُ الْمُؤْمِنِينَ </w:t>
      </w:r>
      <w:r w:rsidRPr="0003660B">
        <w:rPr>
          <w:rStyle w:val="libAlaemChar"/>
          <w:rtl/>
        </w:rPr>
        <w:t>عليه‌السلام</w:t>
      </w:r>
      <w:r w:rsidRPr="00C9040A">
        <w:rPr>
          <w:rtl/>
          <w:lang w:bidi="fa-IR"/>
        </w:rPr>
        <w:t xml:space="preserve"> : إِنَّ لِأَهْلِ الدِّينِ عَلَامَاتٍ‌</w:t>
      </w:r>
    </w:p>
    <w:p w:rsidR="008A74EB" w:rsidRPr="00C9040A" w:rsidRDefault="008A74EB" w:rsidP="008A74EB">
      <w:pPr>
        <w:pStyle w:val="libLine"/>
        <w:rPr>
          <w:rtl/>
          <w:lang w:bidi="fa-IR"/>
        </w:rPr>
      </w:pPr>
      <w:r w:rsidRPr="00C9040A">
        <w:rPr>
          <w:rtl/>
          <w:lang w:bidi="fa-IR"/>
        </w:rPr>
        <w:t>__________________</w:t>
      </w:r>
    </w:p>
    <w:p w:rsidR="008A74EB" w:rsidRPr="00C9040A" w:rsidRDefault="004006C8" w:rsidP="004A4E41">
      <w:pPr>
        <w:pStyle w:val="libFootnote0"/>
        <w:rPr>
          <w:rtl/>
          <w:lang w:bidi="fa-IR"/>
        </w:rPr>
      </w:pPr>
      <w:r>
        <w:rPr>
          <w:rFonts w:hint="cs"/>
          <w:rtl/>
        </w:rPr>
        <w:t xml:space="preserve">= </w:t>
      </w:r>
      <w:r w:rsidR="008A74EB" w:rsidRPr="00C9040A">
        <w:rPr>
          <w:rtl/>
        </w:rPr>
        <w:t>أبي‌طالب ، وا</w:t>
      </w:r>
      <w:r>
        <w:rPr>
          <w:rFonts w:hint="cs"/>
          <w:rtl/>
        </w:rPr>
        <w:t>ُ</w:t>
      </w:r>
      <w:r w:rsidR="008A74EB" w:rsidRPr="00C9040A">
        <w:rPr>
          <w:rtl/>
        </w:rPr>
        <w:t xml:space="preserve">مّه هي فاطمة بنت الحسين بن عليّ بن أبي‌طالب. راجع : </w:t>
      </w:r>
      <w:r w:rsidR="008A74EB" w:rsidRPr="00993B55">
        <w:rPr>
          <w:rStyle w:val="libFootnoteBoldChar"/>
          <w:rtl/>
        </w:rPr>
        <w:t>تهذيب الأنساب</w:t>
      </w:r>
      <w:r w:rsidR="008A74EB" w:rsidRPr="00C9040A">
        <w:rPr>
          <w:rtl/>
        </w:rPr>
        <w:t xml:space="preserve"> ، ص 34.</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w:t>
      </w:r>
      <w:r w:rsidR="006D3162">
        <w:rPr>
          <w:rtl/>
        </w:rPr>
        <w:t xml:space="preserve">ه </w:t>
      </w:r>
      <w:r w:rsidR="008A74EB" w:rsidRPr="00C9040A">
        <w:rPr>
          <w:rtl/>
        </w:rPr>
        <w:t>» : « ابنة »</w:t>
      </w:r>
      <w:r w:rsidR="008A74EB">
        <w:rPr>
          <w:rtl/>
        </w:rPr>
        <w:t>.</w:t>
      </w:r>
    </w:p>
    <w:p w:rsidR="008A74EB" w:rsidRPr="00C9040A" w:rsidRDefault="006C577F" w:rsidP="004006C8">
      <w:pPr>
        <w:pStyle w:val="libFootnote0"/>
        <w:rPr>
          <w:rtl/>
          <w:lang w:bidi="fa-IR"/>
        </w:rPr>
      </w:pPr>
      <w:r>
        <w:rPr>
          <w:rtl/>
        </w:rPr>
        <w:t>(2).</w:t>
      </w:r>
      <w:r w:rsidR="008A74EB">
        <w:rPr>
          <w:rtl/>
        </w:rPr>
        <w:t xml:space="preserve"> </w:t>
      </w:r>
      <w:r w:rsidR="008A74EB" w:rsidRPr="00C9040A">
        <w:rPr>
          <w:rtl/>
        </w:rPr>
        <w:t xml:space="preserve">الظاهر سقوط الواسطة من السند ؛ فقد روى الصدوق الخبر في </w:t>
      </w:r>
      <w:r w:rsidR="008A74EB" w:rsidRPr="00993B55">
        <w:rPr>
          <w:rStyle w:val="libFootnoteBoldChar"/>
          <w:rtl/>
        </w:rPr>
        <w:t>الخصال</w:t>
      </w:r>
      <w:r w:rsidR="008A74EB" w:rsidRPr="00C9040A">
        <w:rPr>
          <w:rtl/>
        </w:rPr>
        <w:t xml:space="preserve"> ، ص 105 ، ح 66 ، بسنده عن فاطمة بنت الحسين بن عليّ </w:t>
      </w:r>
      <w:r w:rsidR="008A74EB" w:rsidRPr="004006C8">
        <w:rPr>
          <w:rStyle w:val="libFootnoteAlaemChar"/>
          <w:rtl/>
        </w:rPr>
        <w:t>عليها‌السلام</w:t>
      </w:r>
      <w:r w:rsidR="008A74EB" w:rsidRPr="00C9040A">
        <w:rPr>
          <w:rtl/>
        </w:rPr>
        <w:t xml:space="preserve"> ، عن أبيها </w:t>
      </w:r>
      <w:r w:rsidR="00117575" w:rsidRPr="00117575">
        <w:rPr>
          <w:rStyle w:val="libFootnoteAlaemChar"/>
          <w:rtl/>
        </w:rPr>
        <w:t>عليه‌السلام</w:t>
      </w:r>
      <w:r w:rsidR="008A74EB" w:rsidRPr="00C9040A">
        <w:rPr>
          <w:rtl/>
        </w:rPr>
        <w:t xml:space="preserve"> ، قال : قال رسول الله </w:t>
      </w:r>
      <w:r w:rsidR="004A4E41" w:rsidRPr="004006C8">
        <w:rPr>
          <w:rStyle w:val="libFootnoteAlaemChar"/>
          <w:rtl/>
        </w:rPr>
        <w:t>صلى‌الله‌عليه‌وآله</w:t>
      </w:r>
      <w:r w:rsidR="008A74EB" w:rsidRPr="00C9040A">
        <w:rPr>
          <w:rtl/>
        </w:rPr>
        <w:t xml:space="preserve">. وكذا الشيخ الطوسي رواه في أماليه ، ص 603 ، المجلس 27 ، ح 1249 ، بسنده عن فاطمة بنت الحسين </w:t>
      </w:r>
      <w:r w:rsidR="008A74EB" w:rsidRPr="004006C8">
        <w:rPr>
          <w:rStyle w:val="libFootnoteAlaemChar"/>
          <w:rtl/>
        </w:rPr>
        <w:t>عليها‌السلام</w:t>
      </w:r>
      <w:r w:rsidR="008A74EB" w:rsidRPr="00C9040A">
        <w:rPr>
          <w:rtl/>
        </w:rPr>
        <w:t xml:space="preserve"> ، عن أبيها الحسين ، عن أبيه </w:t>
      </w:r>
      <w:r w:rsidR="00117575" w:rsidRPr="00117575">
        <w:rPr>
          <w:rStyle w:val="libFootnoteAlaemChar"/>
          <w:rtl/>
        </w:rPr>
        <w:t>عليهما‌السلام</w:t>
      </w:r>
      <w:r w:rsidR="008A74EB" w:rsidRPr="00C9040A">
        <w:rPr>
          <w:rtl/>
        </w:rPr>
        <w:t xml:space="preserve"> ، قال : قال رسول الله </w:t>
      </w:r>
      <w:r w:rsidR="004006C8" w:rsidRPr="004006C8">
        <w:rPr>
          <w:rStyle w:val="libFootnoteAlaemChar"/>
          <w:rtl/>
        </w:rPr>
        <w:t>صلى‌الله‌عليه‌وآله</w:t>
      </w:r>
      <w:r w:rsidR="008A74EB" w:rsidRPr="00C9040A">
        <w:rPr>
          <w:rtl/>
        </w:rPr>
        <w:t>.</w:t>
      </w:r>
    </w:p>
    <w:p w:rsidR="008A74EB" w:rsidRPr="00C9040A" w:rsidRDefault="006C577F" w:rsidP="004A4E41">
      <w:pPr>
        <w:pStyle w:val="libFootnote0"/>
        <w:rPr>
          <w:rtl/>
          <w:lang w:bidi="fa-IR"/>
        </w:rPr>
      </w:pPr>
      <w:r>
        <w:rPr>
          <w:rtl/>
        </w:rPr>
        <w:t>(3).</w:t>
      </w:r>
      <w:r w:rsidR="008A74EB" w:rsidRPr="00C9040A">
        <w:rPr>
          <w:rtl/>
        </w:rPr>
        <w:t xml:space="preserve"> كذا في النسخ. وهو يؤيّد أنّ الناقل عن النبيّ </w:t>
      </w:r>
      <w:r w:rsidR="004A4E41" w:rsidRPr="004006C8">
        <w:rPr>
          <w:rStyle w:val="libFootnoteAlaemChar"/>
          <w:rtl/>
        </w:rPr>
        <w:t>صلى‌الله‌عليه‌وآله</w:t>
      </w:r>
      <w:r w:rsidR="008A74EB" w:rsidRPr="00C9040A">
        <w:rPr>
          <w:rtl/>
        </w:rPr>
        <w:t xml:space="preserve"> غيرها. وفي المحاسن : « قالت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المحاسن : « ليستكمل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بس » : + « إيمانه »</w:t>
      </w:r>
      <w:r w:rsidR="008A74EB">
        <w:rPr>
          <w:rtl/>
        </w:rPr>
        <w:t>.</w:t>
      </w:r>
      <w:r w:rsidR="008A74EB" w:rsidRPr="00C9040A">
        <w:rPr>
          <w:rtl/>
        </w:rPr>
        <w:t xml:space="preserve"> وفي المحاسن والخصال والاختصاص </w:t>
      </w:r>
      <w:r w:rsidR="008A74EB" w:rsidRPr="00AC2E2F">
        <w:rPr>
          <w:rStyle w:val="libFootnoteBoldChar"/>
          <w:rtl/>
        </w:rPr>
        <w:t>والأمالي للطوسي</w:t>
      </w:r>
      <w:r w:rsidR="008A74EB" w:rsidRPr="00C9040A">
        <w:rPr>
          <w:rtl/>
        </w:rPr>
        <w:t xml:space="preserve"> وتحف العقول : + « الذي »</w:t>
      </w:r>
      <w:r w:rsidR="008A74EB">
        <w:rPr>
          <w:rtl/>
        </w:rPr>
        <w:t>.</w:t>
      </w:r>
    </w:p>
    <w:tbl>
      <w:tblPr>
        <w:tblStyle w:val="TableGrid"/>
        <w:bidiVisual/>
        <w:tblW w:w="0" w:type="auto"/>
        <w:tblLook w:val="04A0" w:firstRow="1" w:lastRow="0" w:firstColumn="1" w:lastColumn="0" w:noHBand="0" w:noVBand="1"/>
      </w:tblPr>
      <w:tblGrid>
        <w:gridCol w:w="4006"/>
        <w:gridCol w:w="4006"/>
      </w:tblGrid>
      <w:tr w:rsidR="009B2452" w:rsidTr="009B2452">
        <w:tc>
          <w:tcPr>
            <w:tcW w:w="4006" w:type="dxa"/>
          </w:tcPr>
          <w:p w:rsidR="009B2452" w:rsidRDefault="009B2452" w:rsidP="004A4E41">
            <w:pPr>
              <w:pStyle w:val="libFootnote0"/>
              <w:rPr>
                <w:rtl/>
              </w:rPr>
            </w:pPr>
            <w:r>
              <w:rPr>
                <w:rtl/>
              </w:rPr>
              <w:t xml:space="preserve">(6). </w:t>
            </w:r>
            <w:r w:rsidRPr="00C9040A">
              <w:rPr>
                <w:rtl/>
              </w:rPr>
              <w:t>في الخصال : « في إثم ولا باطل »</w:t>
            </w:r>
            <w:r>
              <w:rPr>
                <w:rtl/>
              </w:rPr>
              <w:t>.</w:t>
            </w:r>
          </w:p>
        </w:tc>
        <w:tc>
          <w:tcPr>
            <w:tcW w:w="4006" w:type="dxa"/>
          </w:tcPr>
          <w:p w:rsidR="009B2452" w:rsidRDefault="009B2452" w:rsidP="004A4E41">
            <w:pPr>
              <w:pStyle w:val="libFootnote0"/>
              <w:rPr>
                <w:rtl/>
              </w:rPr>
            </w:pPr>
            <w:r>
              <w:rPr>
                <w:rtl/>
              </w:rPr>
              <w:t>(7).</w:t>
            </w:r>
            <w:r w:rsidRPr="00C9040A">
              <w:rPr>
                <w:rtl/>
              </w:rPr>
              <w:t xml:space="preserve"> في حاشية « ف » : « وإن »</w:t>
            </w:r>
            <w:r>
              <w:rPr>
                <w:rtl/>
              </w:rPr>
              <w:t>.</w:t>
            </w:r>
          </w:p>
        </w:tc>
      </w:tr>
    </w:tbl>
    <w:p w:rsidR="008A74EB" w:rsidRPr="00C9040A" w:rsidRDefault="006C577F" w:rsidP="004A4E41">
      <w:pPr>
        <w:pStyle w:val="libFootnote0"/>
        <w:rPr>
          <w:rtl/>
          <w:lang w:bidi="fa-IR"/>
        </w:rPr>
      </w:pPr>
      <w:r>
        <w:rPr>
          <w:rtl/>
        </w:rPr>
        <w:t>(8).</w:t>
      </w:r>
      <w:r w:rsidR="008A74EB" w:rsidRPr="00C9040A">
        <w:rPr>
          <w:rtl/>
        </w:rPr>
        <w:t xml:space="preserve"> في المحاسن والاختصاص : « غضبه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التعاطي : تناول ما لا يحقّ ولايجوز تناوله. لسان العرب ، ج 15 ، ص 69 ( عطا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w:t>
      </w:r>
      <w:r w:rsidR="008A74EB" w:rsidRPr="00993B55">
        <w:rPr>
          <w:rStyle w:val="libFootnoteBoldChar"/>
          <w:rtl/>
        </w:rPr>
        <w:t>المحاسن</w:t>
      </w:r>
      <w:r w:rsidR="008A74EB" w:rsidRPr="00C9040A">
        <w:rPr>
          <w:rtl/>
        </w:rPr>
        <w:t xml:space="preserve"> ، ص 6 ، كتاب القرائن ، ح 12 ، عن ابن فضّال ، عن عاصم بن حمزة ، عن عبدالله بن الحسن ، عن ا</w:t>
      </w:r>
      <w:r w:rsidR="009B2452">
        <w:rPr>
          <w:rFonts w:hint="cs"/>
          <w:rtl/>
        </w:rPr>
        <w:t>ُ</w:t>
      </w:r>
      <w:r w:rsidR="008A74EB" w:rsidRPr="00C9040A">
        <w:rPr>
          <w:rtl/>
        </w:rPr>
        <w:t xml:space="preserve">مّه فاطمة بنت الحسين ، عن رسول الله </w:t>
      </w:r>
      <w:r w:rsidR="004A4E41" w:rsidRPr="009B2452">
        <w:rPr>
          <w:rStyle w:val="libFootnoteAlaemChar"/>
          <w:rtl/>
        </w:rPr>
        <w:t>صلى‌الله‌عليه‌وآله</w:t>
      </w:r>
      <w:r w:rsidR="008A74EB" w:rsidRPr="00C9040A">
        <w:rPr>
          <w:rtl/>
        </w:rPr>
        <w:t xml:space="preserve">. </w:t>
      </w:r>
      <w:r w:rsidR="008A74EB" w:rsidRPr="00993B55">
        <w:rPr>
          <w:rStyle w:val="libFootnoteBoldChar"/>
          <w:rtl/>
        </w:rPr>
        <w:t>الخصال</w:t>
      </w:r>
      <w:r w:rsidR="008A74EB" w:rsidRPr="00C9040A">
        <w:rPr>
          <w:rtl/>
        </w:rPr>
        <w:t xml:space="preserve"> ، ص 105 ، باب الثلاثة ، ح 66 ، بسنده عن أحمد بن محمّد بن خالد ، عن الحسن بن عليّ بن فضّال ،</w:t>
      </w:r>
      <w:r w:rsidR="008A74EB">
        <w:rPr>
          <w:rtl/>
        </w:rPr>
        <w:t xml:space="preserve"> ..</w:t>
      </w:r>
      <w:r w:rsidR="008A74EB" w:rsidRPr="00C9040A">
        <w:rPr>
          <w:rtl/>
        </w:rPr>
        <w:t>. عن ا</w:t>
      </w:r>
      <w:r w:rsidR="009B2452">
        <w:rPr>
          <w:rFonts w:hint="cs"/>
          <w:rtl/>
        </w:rPr>
        <w:t>ُ</w:t>
      </w:r>
      <w:r w:rsidR="008A74EB" w:rsidRPr="00C9040A">
        <w:rPr>
          <w:rtl/>
        </w:rPr>
        <w:t xml:space="preserve">مّه فاطمة بنت الحسين بن علي ، عن أبيها </w:t>
      </w:r>
      <w:r w:rsidR="00117575" w:rsidRPr="00117575">
        <w:rPr>
          <w:rStyle w:val="libFootnoteAlaemChar"/>
          <w:rtl/>
        </w:rPr>
        <w:t>عليهم‌السلام</w:t>
      </w:r>
      <w:r w:rsidR="008A74EB" w:rsidRPr="00C9040A">
        <w:rPr>
          <w:rtl/>
        </w:rPr>
        <w:t xml:space="preserve"> عن رسول الله </w:t>
      </w:r>
      <w:r w:rsidR="004A4E41" w:rsidRPr="009B2452">
        <w:rPr>
          <w:rStyle w:val="libFootnoteAlaemChar"/>
          <w:rtl/>
        </w:rPr>
        <w:t>صلى‌الله‌عليه‌وآله</w:t>
      </w:r>
      <w:r w:rsidR="008A74EB" w:rsidRPr="00C9040A">
        <w:rPr>
          <w:rtl/>
        </w:rPr>
        <w:t xml:space="preserve"> ؛ </w:t>
      </w:r>
      <w:r w:rsidR="008A74EB" w:rsidRPr="00993B55">
        <w:rPr>
          <w:rStyle w:val="libFootnoteBoldChar"/>
          <w:rtl/>
        </w:rPr>
        <w:t>الأمال</w:t>
      </w:r>
      <w:r w:rsidR="008A74EB" w:rsidRPr="009B2452">
        <w:rPr>
          <w:rStyle w:val="libFootnoteBoldChar"/>
          <w:rtl/>
        </w:rPr>
        <w:t>ي للطوسي</w:t>
      </w:r>
      <w:r w:rsidR="008A74EB" w:rsidRPr="00C9040A">
        <w:rPr>
          <w:rtl/>
        </w:rPr>
        <w:t xml:space="preserve"> ، ص 603 ، المجلس 27 ، ح 5 ، بسنده عن الحسن بن عليّ بن فضّال ، عن عاصم بن حميد الحنّاط ، عن أبي‌حمزة ثابت بن أبي‌صفيّة ، عن أبي‌</w:t>
      </w:r>
      <w:r w:rsidR="009B2452">
        <w:rPr>
          <w:rFonts w:hint="cs"/>
          <w:rtl/>
        </w:rPr>
        <w:t xml:space="preserve"> </w:t>
      </w:r>
      <w:r w:rsidR="008A74EB" w:rsidRPr="00C9040A">
        <w:rPr>
          <w:rtl/>
        </w:rPr>
        <w:t xml:space="preserve">جعفر محمّد بن عليّ ، عن آبائه </w:t>
      </w:r>
      <w:r w:rsidR="00117575" w:rsidRPr="00117575">
        <w:rPr>
          <w:rStyle w:val="libFootnoteAlaemChar"/>
          <w:rtl/>
        </w:rPr>
        <w:t>عليهم‌السلام</w:t>
      </w:r>
      <w:r w:rsidR="008A74EB" w:rsidRPr="00C9040A">
        <w:rPr>
          <w:rtl/>
        </w:rPr>
        <w:t xml:space="preserve"> ، قال عاصم : وحدّثني أبوحمزة عن عبدالله بن الحسن بن الحسن ، عن ا</w:t>
      </w:r>
      <w:r w:rsidR="009B2452">
        <w:rPr>
          <w:rFonts w:hint="cs"/>
          <w:rtl/>
        </w:rPr>
        <w:t>ُ</w:t>
      </w:r>
      <w:r w:rsidR="008A74EB" w:rsidRPr="00C9040A">
        <w:rPr>
          <w:rtl/>
        </w:rPr>
        <w:t xml:space="preserve">مّه فاطمة بنت الحسين </w:t>
      </w:r>
      <w:r w:rsidR="00117575" w:rsidRPr="00117575">
        <w:rPr>
          <w:rStyle w:val="libFootnoteAlaemChar"/>
          <w:rtl/>
        </w:rPr>
        <w:t xml:space="preserve">عليه‌السلام </w:t>
      </w:r>
      <w:r w:rsidR="008A74EB" w:rsidRPr="00C9040A">
        <w:rPr>
          <w:rtl/>
        </w:rPr>
        <w:t xml:space="preserve">عن أبيها الحسين ، عن أبيه </w:t>
      </w:r>
      <w:r w:rsidR="00117575" w:rsidRPr="00117575">
        <w:rPr>
          <w:rStyle w:val="libFootnoteAlaemChar"/>
          <w:rtl/>
        </w:rPr>
        <w:t>عليهما‌السلام</w:t>
      </w:r>
      <w:r w:rsidR="008A74EB" w:rsidRPr="00C9040A">
        <w:rPr>
          <w:rtl/>
        </w:rPr>
        <w:t xml:space="preserve"> عن رسول الله </w:t>
      </w:r>
      <w:r w:rsidR="004A4E41" w:rsidRPr="009B2452">
        <w:rPr>
          <w:rStyle w:val="libFootnoteAlaemChar"/>
          <w:rtl/>
        </w:rPr>
        <w:t>صلى‌الله‌عليه‌وآله</w:t>
      </w:r>
      <w:r w:rsidR="008A74EB" w:rsidRPr="00C9040A">
        <w:rPr>
          <w:rtl/>
        </w:rPr>
        <w:t xml:space="preserve"> ؛ </w:t>
      </w:r>
      <w:r w:rsidR="008A74EB" w:rsidRPr="00993B55">
        <w:rPr>
          <w:rStyle w:val="libFootnoteBoldChar"/>
          <w:rtl/>
        </w:rPr>
        <w:t>الاختصاص</w:t>
      </w:r>
      <w:r w:rsidR="008A74EB" w:rsidRPr="00C9040A">
        <w:rPr>
          <w:rtl/>
        </w:rPr>
        <w:t xml:space="preserve"> ، ص 233 ، مرسلاً عن أبي‌حمزة ، عن فاطمة بنت الحسين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الخصال</w:t>
      </w:r>
      <w:r w:rsidR="008A74EB" w:rsidRPr="00C9040A">
        <w:rPr>
          <w:rtl/>
        </w:rPr>
        <w:t xml:space="preserve"> ، ص 106 ، باب الثلاثة ح 67 ، بسند آخر عن أبي‌عبدالله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تحف العقول</w:t>
      </w:r>
      <w:r w:rsidR="008A74EB" w:rsidRPr="00C9040A">
        <w:rPr>
          <w:rtl/>
        </w:rPr>
        <w:t xml:space="preserve"> ، ص 43. راجع : </w:t>
      </w:r>
      <w:r w:rsidR="008A74EB" w:rsidRPr="00993B55">
        <w:rPr>
          <w:rStyle w:val="libFootnoteBoldChar"/>
          <w:rtl/>
        </w:rPr>
        <w:t>الفقيه</w:t>
      </w:r>
      <w:r w:rsidR="008A74EB" w:rsidRPr="00C9040A">
        <w:rPr>
          <w:rtl/>
        </w:rPr>
        <w:t xml:space="preserve"> ، ج 4 ، ص 407 ، ح 5882 ؛ </w:t>
      </w:r>
      <w:r w:rsidR="008A74EB" w:rsidRPr="009B2452">
        <w:rPr>
          <w:rStyle w:val="libFootnoteBoldChar"/>
          <w:rtl/>
        </w:rPr>
        <w:t>و</w:t>
      </w:r>
      <w:r w:rsidR="008A74EB" w:rsidRPr="0034021D">
        <w:rPr>
          <w:rStyle w:val="libFootnoteBoldChar"/>
          <w:rtl/>
        </w:rPr>
        <w:t>الأمالي للصدوق</w:t>
      </w:r>
      <w:r w:rsidR="008A74EB" w:rsidRPr="00C9040A">
        <w:rPr>
          <w:rtl/>
        </w:rPr>
        <w:t xml:space="preserve"> ، ص 20 ، المجلس 6 ، ح 3 ؛ </w:t>
      </w:r>
      <w:r w:rsidR="008A74EB" w:rsidRPr="009B2452">
        <w:rPr>
          <w:rStyle w:val="libFootnoteBoldChar"/>
          <w:rtl/>
        </w:rPr>
        <w:t>و</w:t>
      </w:r>
      <w:r w:rsidR="008A74EB" w:rsidRPr="00993B55">
        <w:rPr>
          <w:rStyle w:val="libFootnoteBoldChar"/>
          <w:rtl/>
        </w:rPr>
        <w:t>معاني الأخبار</w:t>
      </w:r>
      <w:r w:rsidR="008A74EB" w:rsidRPr="00C9040A">
        <w:rPr>
          <w:rtl/>
        </w:rPr>
        <w:t xml:space="preserve"> ، ص 366 ، ح 1 </w:t>
      </w:r>
      <w:r w:rsidR="009B2452">
        <w:rPr>
          <w:rFonts w:hint="cs"/>
          <w:rtl/>
        </w:rPr>
        <w:t>.</w:t>
      </w:r>
      <w:r w:rsidR="008A74EB" w:rsidRPr="00993B55">
        <w:rPr>
          <w:rStyle w:val="libFootnoteBoldChar"/>
          <w:rtl/>
        </w:rPr>
        <w:t>الوافي</w:t>
      </w:r>
      <w:r w:rsidR="008A74EB" w:rsidRPr="00C9040A">
        <w:rPr>
          <w:rtl/>
        </w:rPr>
        <w:t xml:space="preserve"> ، ج 4 ، ص 164 ، ح 1764 ؛ </w:t>
      </w:r>
      <w:r w:rsidR="008A74EB" w:rsidRPr="00993B55">
        <w:rPr>
          <w:rStyle w:val="libFootnoteBoldChar"/>
          <w:rtl/>
        </w:rPr>
        <w:t>الوسائل</w:t>
      </w:r>
      <w:r w:rsidR="008A74EB" w:rsidRPr="00C9040A">
        <w:rPr>
          <w:rtl/>
        </w:rPr>
        <w:t xml:space="preserve"> ، ج 15 ، ص 190 ، ح 20246 ؛ </w:t>
      </w:r>
      <w:r w:rsidR="008A74EB" w:rsidRPr="00993B55">
        <w:rPr>
          <w:rStyle w:val="libFootnoteBoldChar"/>
          <w:rtl/>
        </w:rPr>
        <w:t>البحار</w:t>
      </w:r>
      <w:r w:rsidR="008A74EB" w:rsidRPr="00C9040A">
        <w:rPr>
          <w:rtl/>
        </w:rPr>
        <w:t xml:space="preserve"> ، ج 67 ، ص 300 ، ذيل ح 28.</w:t>
      </w:r>
    </w:p>
    <w:p w:rsidR="008A74EB" w:rsidRPr="00C9040A" w:rsidRDefault="006C577F" w:rsidP="004A4E41">
      <w:pPr>
        <w:pStyle w:val="libFootnote0"/>
        <w:rPr>
          <w:rtl/>
          <w:lang w:bidi="fa-IR"/>
        </w:rPr>
      </w:pPr>
      <w:r>
        <w:rPr>
          <w:rtl/>
        </w:rPr>
        <w:t>(11).</w:t>
      </w:r>
      <w:r w:rsidR="008A74EB" w:rsidRPr="00C9040A">
        <w:rPr>
          <w:rtl/>
        </w:rPr>
        <w:t xml:space="preserve"> الضمير راجع إلى أحمد بن محمّد بن خالد.</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يُعْرَفُونَ بِهَا : صِدْقَ الْحَدِيثِ ، وَأَدَاءَ الْأَمَانَةِ ، وَوَفَاءً بِالْعَهْدِ </w:t>
      </w:r>
      <w:r w:rsidR="006C577F" w:rsidRPr="006C577F">
        <w:rPr>
          <w:rStyle w:val="libFootnotenumChar"/>
          <w:rtl/>
        </w:rPr>
        <w:t>(1)</w:t>
      </w:r>
      <w:r w:rsidRPr="00C9040A">
        <w:rPr>
          <w:rtl/>
          <w:lang w:bidi="fa-IR"/>
        </w:rPr>
        <w:t xml:space="preserve"> ، وَصِلَةَ الْأَرْحَامِ ، وَرَحْمَةَ الضُّعَفَاءِ ، وَقِلَّةَ الْمُرَاقَبَةِ </w:t>
      </w:r>
      <w:r w:rsidR="006C577F" w:rsidRPr="006C577F">
        <w:rPr>
          <w:rStyle w:val="libFootnotenumChar"/>
          <w:rtl/>
        </w:rPr>
        <w:t>(2)</w:t>
      </w:r>
      <w:r w:rsidRPr="00C9040A">
        <w:rPr>
          <w:rtl/>
          <w:lang w:bidi="fa-IR"/>
        </w:rPr>
        <w:t xml:space="preserve"> لِلنِّسَاءِ</w:t>
      </w:r>
      <w:r>
        <w:rPr>
          <w:rtl/>
          <w:lang w:bidi="fa-IR"/>
        </w:rPr>
        <w:t xml:space="preserve"> </w:t>
      </w:r>
      <w:r w:rsidR="0084262C">
        <w:rPr>
          <w:rtl/>
          <w:lang w:bidi="fa-IR"/>
        </w:rPr>
        <w:t>-</w:t>
      </w:r>
      <w:r>
        <w:rPr>
          <w:rtl/>
          <w:lang w:bidi="fa-IR"/>
        </w:rPr>
        <w:t xml:space="preserve"> </w:t>
      </w:r>
      <w:r w:rsidRPr="00C9040A">
        <w:rPr>
          <w:rtl/>
          <w:lang w:bidi="fa-IR"/>
        </w:rPr>
        <w:t xml:space="preserve">أَوْ قَالَ </w:t>
      </w:r>
      <w:r w:rsidR="006C577F" w:rsidRPr="006C577F">
        <w:rPr>
          <w:rStyle w:val="libFootnotenumChar"/>
          <w:rtl/>
        </w:rPr>
        <w:t>(3)</w:t>
      </w:r>
      <w:r w:rsidRPr="00C9040A">
        <w:rPr>
          <w:rtl/>
          <w:lang w:bidi="fa-IR"/>
        </w:rPr>
        <w:t xml:space="preserve"> : قِلَّةَ الْمُوَاتَاةِ </w:t>
      </w:r>
      <w:r w:rsidR="006C577F" w:rsidRPr="006C577F">
        <w:rPr>
          <w:rStyle w:val="libFootnotenumChar"/>
          <w:rtl/>
        </w:rPr>
        <w:t>(4)</w:t>
      </w:r>
      <w:r w:rsidRPr="00C9040A">
        <w:rPr>
          <w:rtl/>
          <w:lang w:bidi="fa-IR"/>
        </w:rPr>
        <w:t xml:space="preserve"> لِلنِّسَاءِ </w:t>
      </w:r>
      <w:r w:rsidR="006C577F" w:rsidRPr="006C577F">
        <w:rPr>
          <w:rStyle w:val="libFootnotenumChar"/>
          <w:rtl/>
        </w:rPr>
        <w:t>(5)</w:t>
      </w:r>
      <w:r>
        <w:rPr>
          <w:rtl/>
          <w:lang w:bidi="fa-IR"/>
        </w:rPr>
        <w:t xml:space="preserve"> </w:t>
      </w:r>
      <w:r w:rsidR="0084262C">
        <w:rPr>
          <w:rtl/>
          <w:lang w:bidi="fa-IR"/>
        </w:rPr>
        <w:t>-</w:t>
      </w:r>
      <w:r>
        <w:rPr>
          <w:rtl/>
          <w:lang w:bidi="fa-IR"/>
        </w:rPr>
        <w:t xml:space="preserve"> </w:t>
      </w:r>
      <w:r w:rsidRPr="00C9040A">
        <w:rPr>
          <w:rtl/>
          <w:lang w:bidi="fa-IR"/>
        </w:rPr>
        <w:t xml:space="preserve">وَبَذْلَ الْمَعْرُوفِ ، وَحُسْنَ الْخُلُقِ </w:t>
      </w:r>
      <w:r w:rsidR="006C577F" w:rsidRPr="006C577F">
        <w:rPr>
          <w:rStyle w:val="libFootnotenumChar"/>
          <w:rtl/>
        </w:rPr>
        <w:t>(6)</w:t>
      </w:r>
      <w:r w:rsidRPr="005B567D">
        <w:rPr>
          <w:rStyle w:val="libFootnotenumChar"/>
          <w:rtl/>
        </w:rPr>
        <w:t xml:space="preserve"> </w:t>
      </w:r>
      <w:r w:rsidRPr="00C9040A">
        <w:rPr>
          <w:rtl/>
          <w:lang w:bidi="fa-IR"/>
        </w:rPr>
        <w:t xml:space="preserve">، وَسَعَةَ الْخُلُقِ ، وَاتِّبَاعَ الْعِلْمِ وَمَا يُقَرِّبُ </w:t>
      </w:r>
      <w:r w:rsidR="006C577F" w:rsidRPr="006C577F">
        <w:rPr>
          <w:rStyle w:val="libFootnotenumChar"/>
          <w:rtl/>
        </w:rPr>
        <w:t>(7)</w:t>
      </w:r>
      <w:r w:rsidRPr="00C9040A">
        <w:rPr>
          <w:rtl/>
          <w:lang w:bidi="fa-IR"/>
        </w:rPr>
        <w:t xml:space="preserve"> إِلَى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زُلْفى </w:t>
      </w:r>
      <w:r w:rsidR="006C577F" w:rsidRPr="006C577F">
        <w:rPr>
          <w:rStyle w:val="libFootnotenumChar"/>
          <w:rtl/>
        </w:rPr>
        <w:t>(8)</w:t>
      </w:r>
      <w:r w:rsidRPr="00C9040A">
        <w:rPr>
          <w:rtl/>
          <w:lang w:bidi="fa-IR"/>
        </w:rPr>
        <w:t xml:space="preserve"> ، طُوبى لَهُمْ وَحُسْنُ مَآبٍ ؛ وَطُوبى </w:t>
      </w:r>
      <w:r w:rsidR="006C577F" w:rsidRPr="006C577F">
        <w:rPr>
          <w:rStyle w:val="libFootnotenumChar"/>
          <w:rtl/>
        </w:rPr>
        <w:t>(9)</w:t>
      </w:r>
      <w:r w:rsidRPr="00C9040A">
        <w:rPr>
          <w:rtl/>
          <w:lang w:bidi="fa-IR"/>
        </w:rPr>
        <w:t xml:space="preserve"> شَجَرَةٌ فِي الْجَنَّةِ أَصْلُهَا فِي دَارِ النَّبِيِّ مُحَمَّدٍ </w:t>
      </w:r>
      <w:r w:rsidR="006C577F" w:rsidRPr="006C577F">
        <w:rPr>
          <w:rStyle w:val="libFootnotenumChar"/>
          <w:rtl/>
        </w:rPr>
        <w:t>(10)</w:t>
      </w:r>
      <w:r w:rsidRPr="00C9040A">
        <w:rPr>
          <w:rtl/>
          <w:lang w:bidi="fa-IR"/>
        </w:rPr>
        <w:t xml:space="preserve"> </w:t>
      </w:r>
      <w:r w:rsidR="004A4E41" w:rsidRPr="004A4E41">
        <w:rPr>
          <w:rStyle w:val="libAlaemChar"/>
          <w:rtl/>
        </w:rPr>
        <w:t>صلى‌الله‌عليه‌وآله</w:t>
      </w:r>
      <w:r w:rsidRPr="00C9040A">
        <w:rPr>
          <w:rtl/>
          <w:lang w:bidi="fa-IR"/>
        </w:rPr>
        <w:t xml:space="preserve"> ، وَلَيْسَ مِنْ </w:t>
      </w:r>
      <w:r w:rsidR="006C577F" w:rsidRPr="006C577F">
        <w:rPr>
          <w:rStyle w:val="libFootnotenumChar"/>
          <w:rtl/>
        </w:rPr>
        <w:t>(11)</w:t>
      </w:r>
      <w:r w:rsidR="009B2452">
        <w:rPr>
          <w:rtl/>
          <w:lang w:bidi="fa-IR"/>
        </w:rPr>
        <w:t xml:space="preserve"> مُؤْمِنٍ إِل</w:t>
      </w:r>
      <w:r w:rsidR="009B2452">
        <w:rPr>
          <w:rFonts w:hint="cs"/>
          <w:rtl/>
          <w:lang w:bidi="fa-IR"/>
        </w:rPr>
        <w:t>َّ</w:t>
      </w:r>
      <w:r w:rsidR="009B2452">
        <w:rPr>
          <w:rtl/>
          <w:lang w:bidi="fa-IR"/>
        </w:rPr>
        <w:t>ا</w:t>
      </w:r>
      <w:r w:rsidRPr="00C9040A">
        <w:rPr>
          <w:rtl/>
          <w:lang w:bidi="fa-IR"/>
        </w:rPr>
        <w:t xml:space="preserve"> وَفِي دَارِهِ غُصْنٌ مِنْهَا ، لَايَخْطُرُ </w:t>
      </w:r>
      <w:r w:rsidR="006C577F" w:rsidRPr="006C577F">
        <w:rPr>
          <w:rStyle w:val="libFootnotenumChar"/>
          <w:rtl/>
        </w:rPr>
        <w:t>(12)</w:t>
      </w:r>
      <w:r w:rsidRPr="00C9040A">
        <w:rPr>
          <w:rtl/>
          <w:lang w:bidi="fa-IR"/>
        </w:rPr>
        <w:t xml:space="preserve"> عَلى </w:t>
      </w:r>
      <w:r w:rsidR="009B2452">
        <w:rPr>
          <w:rtl/>
          <w:lang w:bidi="fa-IR"/>
        </w:rPr>
        <w:t>قَلْبِهِ شَهْوَةُ شَيْ‌ءٍ إِل</w:t>
      </w:r>
      <w:r w:rsidR="009B2452">
        <w:rPr>
          <w:rFonts w:hint="cs"/>
          <w:rtl/>
          <w:lang w:bidi="fa-IR"/>
        </w:rPr>
        <w:t>َّ</w:t>
      </w:r>
      <w:r w:rsidR="009B2452">
        <w:rPr>
          <w:rtl/>
          <w:lang w:bidi="fa-IR"/>
        </w:rPr>
        <w:t>ا</w:t>
      </w:r>
      <w:r w:rsidRPr="00C9040A">
        <w:rPr>
          <w:rtl/>
          <w:lang w:bidi="fa-IR"/>
        </w:rPr>
        <w:t xml:space="preserve"> أَتَاهُ بِهِ ذلِكَ </w:t>
      </w:r>
      <w:r w:rsidRPr="005B567D">
        <w:rPr>
          <w:rStyle w:val="libFootnotenumChar"/>
          <w:rtl/>
        </w:rPr>
        <w:t>(13)</w:t>
      </w:r>
      <w:r w:rsidRPr="00C9040A">
        <w:rPr>
          <w:rtl/>
          <w:lang w:bidi="fa-IR"/>
        </w:rPr>
        <w:t xml:space="preserve"> ، وَلَوْ أَنَّ رَاكِباً مُجِدّاً سَارَ فِي ظِلِّهَا مِائَةَ عَامٍ ، مَا خَرَجَ مِنْهُ </w:t>
      </w:r>
      <w:r w:rsidRPr="005B567D">
        <w:rPr>
          <w:rStyle w:val="libFootnotenumChar"/>
          <w:rtl/>
        </w:rPr>
        <w:t>(14)</w:t>
      </w:r>
      <w:r w:rsidRPr="00C9040A">
        <w:rPr>
          <w:rtl/>
          <w:lang w:bidi="fa-IR"/>
        </w:rPr>
        <w:t xml:space="preserve"> ؛ وَلَوْ طَارَ مِنْ أَسْفَلِهَا غُرَابٌ ، مَا بَلَغَ أَعْلَاهَا حَتّى يَسْقُطَ هَرِماً ، أَلَا فَفِي هذَا فَارْغَبُوا ، إِنَّ الْمُؤْمِنَ مِنْ </w:t>
      </w:r>
      <w:r w:rsidRPr="005B567D">
        <w:rPr>
          <w:rStyle w:val="libFootnotenumChar"/>
          <w:rtl/>
        </w:rPr>
        <w:t>(15)</w:t>
      </w:r>
      <w:r w:rsidRPr="00C9040A">
        <w:rPr>
          <w:rtl/>
          <w:lang w:bidi="fa-IR"/>
        </w:rPr>
        <w:t xml:space="preserve"> نَفْسِهِ </w:t>
      </w:r>
      <w:r w:rsidRPr="005B567D">
        <w:rPr>
          <w:rStyle w:val="libFootnotenumChar"/>
          <w:rtl/>
        </w:rPr>
        <w:t>(16)</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9B2452" w:rsidTr="009B2452">
        <w:tc>
          <w:tcPr>
            <w:tcW w:w="4006" w:type="dxa"/>
          </w:tcPr>
          <w:p w:rsidR="009B2452" w:rsidRDefault="009B2452" w:rsidP="004A4E41">
            <w:pPr>
              <w:pStyle w:val="libFootnote0"/>
              <w:rPr>
                <w:rtl/>
              </w:rPr>
            </w:pPr>
            <w:r>
              <w:rPr>
                <w:rtl/>
              </w:rPr>
              <w:t xml:space="preserve">(1). </w:t>
            </w:r>
            <w:r w:rsidRPr="00C9040A">
              <w:rPr>
                <w:rtl/>
              </w:rPr>
              <w:t>في الوافي والوسائل : « العهد »</w:t>
            </w:r>
            <w:r>
              <w:rPr>
                <w:rtl/>
              </w:rPr>
              <w:t>.</w:t>
            </w:r>
          </w:p>
        </w:tc>
        <w:tc>
          <w:tcPr>
            <w:tcW w:w="4006" w:type="dxa"/>
          </w:tcPr>
          <w:p w:rsidR="009B2452" w:rsidRDefault="009B2452" w:rsidP="009B2452">
            <w:pPr>
              <w:pStyle w:val="libFootnote0"/>
              <w:rPr>
                <w:rtl/>
              </w:rPr>
            </w:pPr>
            <w:r>
              <w:rPr>
                <w:rtl/>
              </w:rPr>
              <w:t xml:space="preserve">(2). </w:t>
            </w:r>
            <w:r w:rsidRPr="00C9040A">
              <w:rPr>
                <w:rtl/>
              </w:rPr>
              <w:t>في «</w:t>
            </w:r>
            <w:r>
              <w:rPr>
                <w:rtl/>
              </w:rPr>
              <w:t>ه</w:t>
            </w:r>
            <w:r w:rsidRPr="00C9040A">
              <w:rPr>
                <w:rtl/>
              </w:rPr>
              <w:t>» : « المنافثة »</w:t>
            </w:r>
            <w:r>
              <w:rPr>
                <w:rtl/>
              </w:rPr>
              <w:t>. وفي الوسائل : «المواقعة</w:t>
            </w:r>
            <w:r w:rsidRPr="00C9040A">
              <w:rPr>
                <w:rtl/>
              </w:rPr>
              <w:t>»</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في الأمالي وصفات الشيعة </w:t>
      </w:r>
      <w:r w:rsidR="008A74EB">
        <w:rPr>
          <w:rtl/>
        </w:rPr>
        <w:t xml:space="preserve">: </w:t>
      </w:r>
      <w:r w:rsidR="0084262C">
        <w:rPr>
          <w:rtl/>
        </w:rPr>
        <w:t>-</w:t>
      </w:r>
      <w:r w:rsidR="008A74EB" w:rsidRPr="00C9040A">
        <w:rPr>
          <w:rtl/>
        </w:rPr>
        <w:t xml:space="preserve"> « قلّة المراقبة للنساء ، أو قال »</w:t>
      </w:r>
      <w:r w:rsidR="008A74EB">
        <w:rPr>
          <w:rtl/>
        </w:rPr>
        <w:t>.</w:t>
      </w:r>
      <w:r w:rsidR="008A74EB" w:rsidRPr="00C9040A">
        <w:rPr>
          <w:rtl/>
        </w:rPr>
        <w:t xml:space="preserve"> وفي الوسائل : + « </w:t>
      </w:r>
      <w:r w:rsidR="008A74EB">
        <w:rPr>
          <w:rtl/>
        </w:rPr>
        <w:t>و ».</w:t>
      </w:r>
    </w:p>
    <w:p w:rsidR="008A74EB" w:rsidRPr="00C9040A" w:rsidRDefault="006C577F" w:rsidP="004A4E41">
      <w:pPr>
        <w:pStyle w:val="libFootnote0"/>
        <w:rPr>
          <w:rtl/>
          <w:lang w:bidi="fa-IR"/>
        </w:rPr>
      </w:pPr>
      <w:r>
        <w:rPr>
          <w:rtl/>
        </w:rPr>
        <w:t>(4).</w:t>
      </w:r>
      <w:r w:rsidR="008A74EB" w:rsidRPr="00C9040A">
        <w:rPr>
          <w:rtl/>
        </w:rPr>
        <w:t xml:space="preserve"> في « بر » : « المواساة »</w:t>
      </w:r>
      <w:r w:rsidR="008A74EB">
        <w:rPr>
          <w:rtl/>
        </w:rPr>
        <w:t>.</w:t>
      </w:r>
      <w:r w:rsidR="008A74EB" w:rsidRPr="00C9040A">
        <w:rPr>
          <w:rtl/>
        </w:rPr>
        <w:t xml:space="preserve"> والمواتاة : المطاوعة والموافقة.</w:t>
      </w:r>
    </w:p>
    <w:p w:rsidR="008A74EB" w:rsidRPr="00C9040A" w:rsidRDefault="006C577F" w:rsidP="004A4E41">
      <w:pPr>
        <w:pStyle w:val="libFootnote0"/>
        <w:rPr>
          <w:rtl/>
          <w:lang w:bidi="fa-IR"/>
        </w:rPr>
      </w:pPr>
      <w:r>
        <w:rPr>
          <w:rtl/>
        </w:rPr>
        <w:t>(5).</w:t>
      </w:r>
      <w:r w:rsidR="008A74EB" w:rsidRPr="00C9040A">
        <w:rPr>
          <w:rtl/>
        </w:rPr>
        <w:t xml:space="preserve"> في « بس » </w:t>
      </w:r>
      <w:r w:rsidR="008A74EB">
        <w:rPr>
          <w:rtl/>
        </w:rPr>
        <w:t xml:space="preserve">: </w:t>
      </w:r>
      <w:r w:rsidR="0084262C">
        <w:rPr>
          <w:rtl/>
        </w:rPr>
        <w:t>-</w:t>
      </w:r>
      <w:r w:rsidR="008A74EB" w:rsidRPr="00C9040A">
        <w:rPr>
          <w:rtl/>
        </w:rPr>
        <w:t xml:space="preserve"> « للنساء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w:t>
      </w:r>
      <w:r w:rsidR="008A74EB" w:rsidRPr="00993B55">
        <w:rPr>
          <w:rStyle w:val="libFootnoteBoldChar"/>
          <w:rtl/>
        </w:rPr>
        <w:t>مرآة العقول</w:t>
      </w:r>
      <w:r w:rsidR="008A74EB" w:rsidRPr="00C9040A">
        <w:rPr>
          <w:rtl/>
        </w:rPr>
        <w:t xml:space="preserve"> ، ج 9 ، ص 275 : « الظاهر أنّ الخلق بالضمّ في الموضعين</w:t>
      </w:r>
      <w:r w:rsidR="008A74EB">
        <w:rPr>
          <w:rtl/>
        </w:rPr>
        <w:t xml:space="preserve"> ..</w:t>
      </w:r>
      <w:r w:rsidR="008A74EB" w:rsidRPr="00C9040A">
        <w:rPr>
          <w:rtl/>
        </w:rPr>
        <w:t>. وربّما يقرأ الأوّل بالفتح ؛ فإنّ‌</w:t>
      </w:r>
      <w:r w:rsidR="009B2452">
        <w:rPr>
          <w:rFonts w:hint="cs"/>
          <w:rtl/>
        </w:rPr>
        <w:t xml:space="preserve"> </w:t>
      </w:r>
      <w:r w:rsidR="008A74EB" w:rsidRPr="00C9040A">
        <w:rPr>
          <w:rtl/>
        </w:rPr>
        <w:t>الظاهر عنوان الباطل ، لكن هذا ليس كلّيّاً ؛ فإنّ حسن الخلق قد يوجد في غير أهل الدين</w:t>
      </w:r>
      <w:r w:rsidR="008A74EB">
        <w:rPr>
          <w:rtl/>
        </w:rPr>
        <w:t xml:space="preserve"> ..</w:t>
      </w:r>
      <w:r w:rsidR="008A74EB" w:rsidRPr="00C9040A">
        <w:rPr>
          <w:rtl/>
        </w:rPr>
        <w:t>. وقيل : المراد حسن الأعضاء الظاهرة بالأعمال الفاضلة ؛ فإنّه من علامات أهل الدين »</w:t>
      </w:r>
      <w:r w:rsidR="008A74EB">
        <w:rPr>
          <w:rtl/>
        </w:rPr>
        <w:t>.</w:t>
      </w:r>
      <w:r w:rsidR="008A74EB" w:rsidRPr="00C9040A">
        <w:rPr>
          <w:rtl/>
        </w:rPr>
        <w:t xml:space="preserve"> وفي الوسائل : « الجوار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ز » : « تقرّب » باعتبار المعنى المراد من الموصول. وفي مرآة العقول : « يقرّبهم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الأمالي وصفات الشيعة </w:t>
      </w:r>
      <w:r w:rsidR="008A74EB">
        <w:rPr>
          <w:rtl/>
        </w:rPr>
        <w:t xml:space="preserve">: </w:t>
      </w:r>
      <w:r w:rsidR="0084262C">
        <w:rPr>
          <w:rtl/>
        </w:rPr>
        <w:t>-</w:t>
      </w:r>
      <w:r w:rsidR="008A74EB" w:rsidRPr="00C9040A">
        <w:rPr>
          <w:rtl/>
        </w:rPr>
        <w:t xml:space="preserve"> « زلفى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w:t>
      </w:r>
      <w:r w:rsidR="008A74EB" w:rsidRPr="00993B55">
        <w:rPr>
          <w:rStyle w:val="libFootnoteBoldChar"/>
          <w:rtl/>
        </w:rPr>
        <w:t>الوافي</w:t>
      </w:r>
      <w:r w:rsidR="008A74EB" w:rsidRPr="00C9040A">
        <w:rPr>
          <w:rtl/>
        </w:rPr>
        <w:t xml:space="preserve"> : « تأويل طوبى : العلم ؛ فإنّ لكلّ نعيم من الجنّة مثالاً في الدنيا ، ومثال طوبى شجرة العلوم الدينيّة</w:t>
      </w:r>
      <w:r w:rsidR="00525AA7">
        <w:rPr>
          <w:rFonts w:hint="cs"/>
          <w:rtl/>
        </w:rPr>
        <w:t xml:space="preserve"> </w:t>
      </w:r>
      <w:r w:rsidR="008A74EB" w:rsidRPr="00C9040A">
        <w:rPr>
          <w:rtl/>
        </w:rPr>
        <w:t xml:space="preserve">التي أصلها في دار النبيّ </w:t>
      </w:r>
      <w:r w:rsidR="004A4E41" w:rsidRPr="00525AA7">
        <w:rPr>
          <w:rStyle w:val="libFootnoteAlaemChar"/>
          <w:rtl/>
        </w:rPr>
        <w:t>صلى‌الله‌عليه‌وآله</w:t>
      </w:r>
      <w:r w:rsidR="008A74EB" w:rsidRPr="00C9040A">
        <w:rPr>
          <w:rtl/>
        </w:rPr>
        <w:t xml:space="preserve"> الذي هو مدينة العلم ، وفي دار كلّ مؤمن غصن منها ، وإنّما شهوات المؤمن ومثوباته في الآخرة فروع معارفه وأعماله الصالحة في الدنيا ، فإنّ المعرفة بذر المشاهدة ، والعمل الصالح غرس النعيم ، </w:t>
      </w:r>
      <w:r w:rsidR="00525AA7">
        <w:rPr>
          <w:rtl/>
        </w:rPr>
        <w:t>إل</w:t>
      </w:r>
      <w:r w:rsidR="00525AA7">
        <w:rPr>
          <w:rFonts w:hint="cs"/>
          <w:rtl/>
        </w:rPr>
        <w:t>ّ</w:t>
      </w:r>
      <w:r w:rsidR="00525AA7">
        <w:rPr>
          <w:rtl/>
        </w:rPr>
        <w:t>ا</w:t>
      </w:r>
      <w:r w:rsidR="008A74EB">
        <w:rPr>
          <w:rtl/>
        </w:rPr>
        <w:t xml:space="preserve"> أنّ</w:t>
      </w:r>
      <w:r w:rsidR="008A74EB" w:rsidRPr="00C9040A">
        <w:rPr>
          <w:rtl/>
        </w:rPr>
        <w:t xml:space="preserve"> م</w:t>
      </w:r>
      <w:r w:rsidR="00525AA7">
        <w:rPr>
          <w:rtl/>
        </w:rPr>
        <w:t>ن لم يذق لم يعرف ، ولا يذوق إل</w:t>
      </w:r>
      <w:r w:rsidR="00525AA7">
        <w:rPr>
          <w:rFonts w:hint="cs"/>
          <w:rtl/>
        </w:rPr>
        <w:t>ّ</w:t>
      </w:r>
      <w:r w:rsidR="00525AA7">
        <w:rPr>
          <w:rtl/>
        </w:rPr>
        <w:t>ا</w:t>
      </w:r>
      <w:r w:rsidR="00525AA7">
        <w:rPr>
          <w:rFonts w:hint="cs"/>
          <w:rtl/>
        </w:rPr>
        <w:t xml:space="preserve"> </w:t>
      </w:r>
      <w:r w:rsidR="008A74EB" w:rsidRPr="00C9040A">
        <w:rPr>
          <w:rtl/>
        </w:rPr>
        <w:t>من أخلص دينه لله</w:t>
      </w:r>
      <w:r w:rsidR="00525AA7">
        <w:rPr>
          <w:rFonts w:hint="cs"/>
          <w:rtl/>
        </w:rPr>
        <w:t xml:space="preserve"> </w:t>
      </w:r>
      <w:r w:rsidR="008A74EB" w:rsidRPr="00C9040A">
        <w:rPr>
          <w:rtl/>
        </w:rPr>
        <w:t>‌وقوي إيمانه بالله بأن يتّصف بصفات المؤمن المذكورة في هذا الباب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 ب ، ص ، </w:t>
      </w:r>
      <w:r w:rsidR="006D3162">
        <w:rPr>
          <w:rtl/>
        </w:rPr>
        <w:t xml:space="preserve">ه </w:t>
      </w:r>
      <w:r w:rsidR="008A74EB" w:rsidRPr="00C9040A">
        <w:rPr>
          <w:rtl/>
        </w:rPr>
        <w:t xml:space="preserve">» والوافي والأمالي وصفات الشيعة </w:t>
      </w:r>
      <w:r w:rsidR="008A74EB">
        <w:rPr>
          <w:rtl/>
        </w:rPr>
        <w:t xml:space="preserve">: </w:t>
      </w:r>
      <w:r w:rsidR="0084262C">
        <w:rPr>
          <w:rtl/>
        </w:rPr>
        <w:t>-</w:t>
      </w:r>
      <w:r w:rsidR="008A74EB" w:rsidRPr="00C9040A">
        <w:rPr>
          <w:rtl/>
        </w:rPr>
        <w:t xml:space="preserve"> « محمّد »</w:t>
      </w:r>
      <w:r w:rsidR="008A74EB">
        <w:rPr>
          <w:rtl/>
        </w:rPr>
        <w:t>.</w:t>
      </w:r>
    </w:p>
    <w:tbl>
      <w:tblPr>
        <w:tblStyle w:val="TableGrid"/>
        <w:bidiVisual/>
        <w:tblW w:w="0" w:type="auto"/>
        <w:tblLook w:val="04A0" w:firstRow="1" w:lastRow="0" w:firstColumn="1" w:lastColumn="0" w:noHBand="0" w:noVBand="1"/>
      </w:tblPr>
      <w:tblGrid>
        <w:gridCol w:w="4006"/>
        <w:gridCol w:w="4006"/>
      </w:tblGrid>
      <w:tr w:rsidR="00525AA7" w:rsidTr="00525AA7">
        <w:tc>
          <w:tcPr>
            <w:tcW w:w="4006" w:type="dxa"/>
          </w:tcPr>
          <w:p w:rsidR="00525AA7" w:rsidRDefault="00525AA7" w:rsidP="004A4E41">
            <w:pPr>
              <w:pStyle w:val="libFootnote0"/>
              <w:rPr>
                <w:rtl/>
              </w:rPr>
            </w:pPr>
            <w:r>
              <w:rPr>
                <w:rtl/>
              </w:rPr>
              <w:t>(11).</w:t>
            </w:r>
            <w:r w:rsidRPr="00C9040A">
              <w:rPr>
                <w:rtl/>
              </w:rPr>
              <w:t xml:space="preserve"> في صفات الشيعة </w:t>
            </w:r>
            <w:r>
              <w:rPr>
                <w:rtl/>
              </w:rPr>
              <w:t>: -</w:t>
            </w:r>
            <w:r w:rsidRPr="00C9040A">
              <w:rPr>
                <w:rtl/>
              </w:rPr>
              <w:t xml:space="preserve"> « من »</w:t>
            </w:r>
            <w:r>
              <w:rPr>
                <w:rtl/>
              </w:rPr>
              <w:t>.</w:t>
            </w:r>
          </w:p>
        </w:tc>
        <w:tc>
          <w:tcPr>
            <w:tcW w:w="4006" w:type="dxa"/>
          </w:tcPr>
          <w:p w:rsidR="00525AA7" w:rsidRDefault="00525AA7" w:rsidP="004A4E41">
            <w:pPr>
              <w:pStyle w:val="libFootnote0"/>
              <w:rPr>
                <w:rtl/>
              </w:rPr>
            </w:pPr>
            <w:r>
              <w:rPr>
                <w:rtl/>
              </w:rPr>
              <w:t>(12).</w:t>
            </w:r>
            <w:r w:rsidRPr="00C9040A">
              <w:rPr>
                <w:rtl/>
              </w:rPr>
              <w:t xml:space="preserve"> في الأمالي : « لا تخطر »</w:t>
            </w:r>
            <w:r>
              <w:rPr>
                <w:rtl/>
              </w:rPr>
              <w:t>.</w:t>
            </w:r>
          </w:p>
        </w:tc>
      </w:tr>
      <w:tr w:rsidR="00525AA7" w:rsidTr="00525AA7">
        <w:tc>
          <w:tcPr>
            <w:tcW w:w="4006" w:type="dxa"/>
          </w:tcPr>
          <w:p w:rsidR="00525AA7" w:rsidRDefault="00525AA7" w:rsidP="004A4E41">
            <w:pPr>
              <w:pStyle w:val="libFootnote0"/>
              <w:rPr>
                <w:rtl/>
              </w:rPr>
            </w:pPr>
            <w:r>
              <w:rPr>
                <w:rtl/>
              </w:rPr>
              <w:t>(13)</w:t>
            </w:r>
            <w:r w:rsidRPr="00C9040A">
              <w:rPr>
                <w:rtl/>
              </w:rPr>
              <w:t xml:space="preserve"> في الأمالي وصفات الشيعة : + « الغُصن »</w:t>
            </w:r>
            <w:r>
              <w:rPr>
                <w:rtl/>
              </w:rPr>
              <w:t>.</w:t>
            </w:r>
          </w:p>
        </w:tc>
        <w:tc>
          <w:tcPr>
            <w:tcW w:w="4006" w:type="dxa"/>
          </w:tcPr>
          <w:p w:rsidR="00525AA7" w:rsidRDefault="00525AA7" w:rsidP="004A4E41">
            <w:pPr>
              <w:pStyle w:val="libFootnote0"/>
              <w:rPr>
                <w:rtl/>
              </w:rPr>
            </w:pPr>
            <w:r>
              <w:rPr>
                <w:rtl/>
              </w:rPr>
              <w:t>(14)</w:t>
            </w:r>
            <w:r w:rsidRPr="00C9040A">
              <w:rPr>
                <w:rtl/>
              </w:rPr>
              <w:t xml:space="preserve"> في « بر » وحاشية « ف » والأمالي : « منها »</w:t>
            </w:r>
            <w:r>
              <w:rPr>
                <w:rtl/>
              </w:rPr>
              <w:t>.</w:t>
            </w:r>
          </w:p>
        </w:tc>
      </w:tr>
    </w:tbl>
    <w:p w:rsidR="008A74EB" w:rsidRPr="00C9040A" w:rsidRDefault="008A74EB" w:rsidP="004A4E41">
      <w:pPr>
        <w:pStyle w:val="libFootnote0"/>
        <w:rPr>
          <w:rtl/>
          <w:lang w:bidi="fa-IR"/>
        </w:rPr>
      </w:pPr>
      <w:r>
        <w:rPr>
          <w:rtl/>
        </w:rPr>
        <w:t>(15)</w:t>
      </w:r>
      <w:r w:rsidRPr="00C9040A">
        <w:rPr>
          <w:rtl/>
        </w:rPr>
        <w:t xml:space="preserve"> قال في </w:t>
      </w:r>
      <w:r w:rsidRPr="00993B55">
        <w:rPr>
          <w:rStyle w:val="libFootnoteBoldChar"/>
          <w:rtl/>
        </w:rPr>
        <w:t>مرآة العقول</w:t>
      </w:r>
      <w:r w:rsidRPr="00C9040A">
        <w:rPr>
          <w:rtl/>
        </w:rPr>
        <w:t xml:space="preserve"> : « من ، بكسر الميم ، وقد يقرأ بالفتح اسم موصول ، أي</w:t>
      </w:r>
      <w:r w:rsidR="00525AA7">
        <w:rPr>
          <w:rFonts w:hint="cs"/>
          <w:rtl/>
        </w:rPr>
        <w:t xml:space="preserve"> </w:t>
      </w:r>
      <w:r w:rsidRPr="00C9040A">
        <w:rPr>
          <w:rtl/>
        </w:rPr>
        <w:t>‌مشغول بإصلاح نفسه لا يلتفت إلى‌عيوب غيره ، ولا إلى التعرّض لضررهم »</w:t>
      </w:r>
      <w:r>
        <w:rPr>
          <w:rtl/>
        </w:rPr>
        <w:t>.</w:t>
      </w:r>
    </w:p>
    <w:p w:rsidR="008A74EB" w:rsidRPr="00C9040A" w:rsidRDefault="008A74EB" w:rsidP="004A4E41">
      <w:pPr>
        <w:pStyle w:val="libFootnote0"/>
        <w:rPr>
          <w:rtl/>
          <w:lang w:bidi="fa-IR"/>
        </w:rPr>
      </w:pPr>
      <w:r>
        <w:rPr>
          <w:rtl/>
        </w:rPr>
        <w:t>(16)</w:t>
      </w:r>
      <w:r w:rsidRPr="00C9040A">
        <w:rPr>
          <w:rtl/>
        </w:rPr>
        <w:t xml:space="preserve"> في الوسائل والأمالي وصفات الشيعة : « نفسه منه » بدل « من نفسه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فِي شُغُلٍ وَالنَّاسُ مِنْهُ فِي رَاحَةٍ ؛ إِذَا جَنَّ عَلَيْهِ اللَّيْلُ افْتَرَشَ وَجْهَهُ ، وَسَجَدَ 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بِمَكَارِمِ بَدَنِهِ ، يُنَاجِي الَّذِي خَلَقَهُ فِي فَكَاكِ رَقَبَتِهِ ، أَلَا </w:t>
      </w:r>
      <w:r w:rsidR="006C577F" w:rsidRPr="006C577F">
        <w:rPr>
          <w:rStyle w:val="libFootnotenumChar"/>
          <w:rtl/>
        </w:rPr>
        <w:t>(1)</w:t>
      </w:r>
      <w:r w:rsidRPr="00C9040A">
        <w:rPr>
          <w:rtl/>
          <w:lang w:bidi="fa-IR"/>
        </w:rPr>
        <w:t xml:space="preserve"> فَهكَذَا كُونُوا </w:t>
      </w:r>
      <w:r w:rsidR="006C577F" w:rsidRPr="006C577F">
        <w:rPr>
          <w:rStyle w:val="libFootnotenumChar"/>
          <w:rtl/>
        </w:rPr>
        <w:t>(2)</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525AA7" w:rsidRDefault="008A74EB" w:rsidP="00525AA7">
      <w:pPr>
        <w:pStyle w:val="libNormal"/>
        <w:rPr>
          <w:rtl/>
          <w:lang w:bidi="fa-IR"/>
        </w:rPr>
      </w:pPr>
      <w:r w:rsidRPr="001523C1">
        <w:rPr>
          <w:rtl/>
        </w:rPr>
        <w:t>2310</w:t>
      </w:r>
      <w:r w:rsidRPr="00261CB0">
        <w:rPr>
          <w:rStyle w:val="libBold2Char"/>
          <w:rtl/>
        </w:rPr>
        <w:t xml:space="preserve"> / 31.</w:t>
      </w:r>
      <w:r w:rsidRPr="00C9040A">
        <w:rPr>
          <w:rtl/>
          <w:lang w:bidi="fa-IR"/>
        </w:rPr>
        <w:t xml:space="preserve"> عَنْهُ </w:t>
      </w:r>
      <w:r w:rsidR="006C577F" w:rsidRPr="006C577F">
        <w:rPr>
          <w:rStyle w:val="libFootnotenumChar"/>
          <w:rtl/>
        </w:rPr>
        <w:t>(4)</w:t>
      </w:r>
      <w:r w:rsidRPr="00C9040A">
        <w:rPr>
          <w:rtl/>
          <w:lang w:bidi="fa-IR"/>
        </w:rPr>
        <w:t xml:space="preserve"> ، عَنْ إِسْمَاعِيلَ بْنِ مِهْرَانَ ، عَنْ سَيْفِ بْنِ عَمِيرَةَ ، عَنْ سُلَيْمَانَ بْنِ عَمْرٍو </w:t>
      </w:r>
      <w:r w:rsidR="006C577F" w:rsidRPr="006C577F">
        <w:rPr>
          <w:rStyle w:val="libFootnotenumChar"/>
          <w:rtl/>
        </w:rPr>
        <w:t>(5)</w:t>
      </w:r>
      <w:r w:rsidRPr="00C9040A">
        <w:rPr>
          <w:rtl/>
          <w:lang w:bidi="fa-IR"/>
        </w:rPr>
        <w:t xml:space="preserve"> النَّخَعِيِّ ؛</w:t>
      </w:r>
    </w:p>
    <w:p w:rsidR="008A74EB" w:rsidRPr="00C9040A" w:rsidRDefault="00525AA7" w:rsidP="00525AA7">
      <w:pPr>
        <w:pStyle w:val="libNormal"/>
        <w:rPr>
          <w:rtl/>
          <w:lang w:bidi="fa-IR"/>
        </w:rPr>
      </w:pPr>
      <w:r>
        <w:rPr>
          <w:rFonts w:hint="cs"/>
          <w:rtl/>
          <w:lang w:bidi="fa-IR"/>
        </w:rPr>
        <w:t xml:space="preserve">             </w:t>
      </w:r>
      <w:r w:rsidR="008A74EB" w:rsidRPr="00C9040A">
        <w:rPr>
          <w:rtl/>
          <w:lang w:bidi="fa-IR"/>
        </w:rPr>
        <w:t xml:space="preserve">قَالَ </w:t>
      </w:r>
      <w:r w:rsidR="006C577F" w:rsidRPr="006C577F">
        <w:rPr>
          <w:rStyle w:val="libFootnotenumChar"/>
          <w:rtl/>
        </w:rPr>
        <w:t>(6)</w:t>
      </w:r>
      <w:r w:rsidR="008A74EB" w:rsidRPr="005B567D">
        <w:rPr>
          <w:rStyle w:val="libFootnotenumChar"/>
          <w:rtl/>
        </w:rPr>
        <w:t xml:space="preserve"> </w:t>
      </w:r>
      <w:r w:rsidR="008A74EB" w:rsidRPr="00C9040A">
        <w:rPr>
          <w:rtl/>
          <w:lang w:bidi="fa-IR"/>
        </w:rPr>
        <w:t xml:space="preserve">: وَحَدَّثَنِي </w:t>
      </w:r>
      <w:r w:rsidR="006C577F" w:rsidRPr="006C577F">
        <w:rPr>
          <w:rStyle w:val="libFootnotenumChar"/>
          <w:rtl/>
        </w:rPr>
        <w:t>(7)</w:t>
      </w:r>
      <w:r w:rsidR="008A74EB" w:rsidRPr="00C9040A">
        <w:rPr>
          <w:rtl/>
          <w:lang w:bidi="fa-IR"/>
        </w:rPr>
        <w:t xml:space="preserve"> الْحُسَيْنُ بْنُ سَيْفٍ ، عَنْ أَخِيهِ عَلِيٍّ ، عَنْ سُلَيْمَانَ ، عَمَّنْ ذَكَرَهُ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سُئِلَ النَّبِيُّ </w:t>
      </w:r>
      <w:r w:rsidR="004A4E41" w:rsidRPr="004A4E41">
        <w:rPr>
          <w:rStyle w:val="libAlaemChar"/>
          <w:rtl/>
        </w:rPr>
        <w:t>صلى‌الله‌عليه‌وآله</w:t>
      </w:r>
      <w:r w:rsidRPr="00C9040A">
        <w:rPr>
          <w:rtl/>
          <w:lang w:bidi="fa-IR"/>
        </w:rPr>
        <w:t xml:space="preserve"> عَنْ خِيَارِ الْعِبَادِ ، فَقَالَ : الَّذِينَ إِذَا أَحْسَنُوا اسْتَبْشَرُوا ، وَإِذَا أَسَاؤُوا اسْتَغْفَرُوا ، وَإِذَا أُعْطُوا شَكَرُوا ، وَإِذَا ابْتُلُوا صَبَرُوا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w:t>
      </w:r>
      <w:r w:rsidR="006D3162">
        <w:rPr>
          <w:rtl/>
        </w:rPr>
        <w:t xml:space="preserve">ه </w:t>
      </w:r>
      <w:r w:rsidR="008A74EB" w:rsidRPr="00C9040A">
        <w:rPr>
          <w:rtl/>
        </w:rPr>
        <w:t xml:space="preserve">» </w:t>
      </w:r>
      <w:r w:rsidR="008A74EB">
        <w:rPr>
          <w:rtl/>
        </w:rPr>
        <w:t xml:space="preserve">: </w:t>
      </w:r>
      <w:r w:rsidR="0084262C">
        <w:rPr>
          <w:rtl/>
        </w:rPr>
        <w:t>-</w:t>
      </w:r>
      <w:r w:rsidR="008A74EB" w:rsidRPr="00C9040A">
        <w:rPr>
          <w:rtl/>
        </w:rPr>
        <w:t xml:space="preserve"> « ألا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ج ، د ، ض ، </w:t>
      </w:r>
      <w:r w:rsidR="006D3162">
        <w:rPr>
          <w:rtl/>
        </w:rPr>
        <w:t xml:space="preserve">ه </w:t>
      </w:r>
      <w:r w:rsidR="008A74EB" w:rsidRPr="00C9040A">
        <w:rPr>
          <w:rtl/>
        </w:rPr>
        <w:t>، بر ، بس ، بف » والوافي والوسائل : « فكونوا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w:t>
      </w:r>
      <w:r w:rsidR="008A74EB" w:rsidRPr="0034021D">
        <w:rPr>
          <w:rStyle w:val="libFootnoteBoldChar"/>
          <w:rtl/>
        </w:rPr>
        <w:t>الأمالي للصدوق</w:t>
      </w:r>
      <w:r w:rsidR="008A74EB" w:rsidRPr="00C9040A">
        <w:rPr>
          <w:rtl/>
        </w:rPr>
        <w:t xml:space="preserve"> ، ص 221 ، المجلس 59 ، ح 7 ، بسنده عن أحمد بن محمّد بن عيسى ، عن أبيه ، عن عبدالله بن قاسم ؛ </w:t>
      </w:r>
      <w:r w:rsidR="008A74EB" w:rsidRPr="00993B55">
        <w:rPr>
          <w:rStyle w:val="libFootnoteBoldChar"/>
          <w:rtl/>
        </w:rPr>
        <w:t>صفات الشيعة</w:t>
      </w:r>
      <w:r w:rsidR="008A74EB" w:rsidRPr="00C9040A">
        <w:rPr>
          <w:rtl/>
        </w:rPr>
        <w:t xml:space="preserve"> ، ص 46 ، ح 66 ، بسنده عن أبي بصير ، وفيهما : « عن أبي‌عبدالله ، عن آبائه ، عن أميرالمؤمنين </w:t>
      </w:r>
      <w:r w:rsidR="00117575" w:rsidRPr="00117575">
        <w:rPr>
          <w:rStyle w:val="libFootnoteAlaemChar"/>
          <w:rtl/>
        </w:rPr>
        <w:t>عليهم‌السلام</w:t>
      </w:r>
      <w:r w:rsidR="008A74EB" w:rsidRPr="00C9040A">
        <w:rPr>
          <w:rtl/>
        </w:rPr>
        <w:t xml:space="preserve"> »</w:t>
      </w:r>
      <w:r w:rsidR="008A74EB">
        <w:rPr>
          <w:rtl/>
        </w:rPr>
        <w:t>.</w:t>
      </w:r>
      <w:r w:rsidR="008A74EB" w:rsidRPr="00C9040A">
        <w:rPr>
          <w:rtl/>
        </w:rPr>
        <w:t xml:space="preserve"> </w:t>
      </w:r>
      <w:r w:rsidR="008A74EB" w:rsidRPr="00993B55">
        <w:rPr>
          <w:rStyle w:val="libFootnoteBoldChar"/>
          <w:rtl/>
        </w:rPr>
        <w:t>الخصال</w:t>
      </w:r>
      <w:r w:rsidR="008A74EB" w:rsidRPr="00C9040A">
        <w:rPr>
          <w:rtl/>
        </w:rPr>
        <w:t xml:space="preserve"> ، ص 483 ، ح 56 ، بسند آخر عن أبي‌بصير ، عن أبي‌جعفر ، عن أميرالمؤمنين </w:t>
      </w:r>
      <w:r w:rsidR="00117575" w:rsidRPr="00117575">
        <w:rPr>
          <w:rStyle w:val="libFootnoteAlaemChar"/>
          <w:rtl/>
        </w:rPr>
        <w:t>عليهما‌السلام</w:t>
      </w:r>
      <w:r w:rsidR="008A74EB" w:rsidRPr="00C9040A">
        <w:rPr>
          <w:rtl/>
        </w:rPr>
        <w:t xml:space="preserve">. </w:t>
      </w:r>
      <w:r w:rsidR="008A74EB" w:rsidRPr="00993B55">
        <w:rPr>
          <w:rStyle w:val="libFootnoteBoldChar"/>
          <w:rtl/>
        </w:rPr>
        <w:t xml:space="preserve">تفسير العيّاشي </w:t>
      </w:r>
      <w:r w:rsidR="008A74EB" w:rsidRPr="00C9040A">
        <w:rPr>
          <w:rtl/>
        </w:rPr>
        <w:t xml:space="preserve">، ج 2 ، ص 213 ، ح 50 ، عن أبي‌بصير ، عن أبي‌جعفر ، عن أميرالمؤمنين </w:t>
      </w:r>
      <w:r w:rsidR="00117575" w:rsidRPr="00117575">
        <w:rPr>
          <w:rStyle w:val="libFootnoteAlaemChar"/>
          <w:rtl/>
        </w:rPr>
        <w:t>عليهما‌السلام</w:t>
      </w:r>
      <w:r w:rsidR="008A74EB" w:rsidRPr="00C9040A">
        <w:rPr>
          <w:rtl/>
        </w:rPr>
        <w:t xml:space="preserve">. </w:t>
      </w:r>
      <w:r w:rsidR="008A74EB" w:rsidRPr="00993B55">
        <w:rPr>
          <w:rStyle w:val="libFootnoteBoldChar"/>
          <w:rtl/>
        </w:rPr>
        <w:t>تحف العقول</w:t>
      </w:r>
      <w:r w:rsidR="008A74EB" w:rsidRPr="00C9040A">
        <w:rPr>
          <w:rtl/>
        </w:rPr>
        <w:t xml:space="preserve"> ، ص 211 ، عن أميرالمؤمنين </w:t>
      </w:r>
      <w:r w:rsidR="00117575" w:rsidRPr="00117575">
        <w:rPr>
          <w:rStyle w:val="libFootnoteAlaemChar"/>
          <w:rtl/>
        </w:rPr>
        <w:t>عليه‌السلام</w:t>
      </w:r>
      <w:r w:rsidR="008A74EB" w:rsidRPr="00C9040A">
        <w:rPr>
          <w:rtl/>
        </w:rPr>
        <w:t xml:space="preserve"> ، إلى قوله : « طوبى لهم وحسن مآب » ، وفي الثلاثة الأخيرة مع اختلاف يسير </w:t>
      </w:r>
      <w:r w:rsidR="00525AA7">
        <w:rPr>
          <w:rFonts w:hint="cs"/>
          <w:rtl/>
        </w:rPr>
        <w:t>.</w:t>
      </w:r>
      <w:r w:rsidR="008A74EB" w:rsidRPr="00993B55">
        <w:rPr>
          <w:rStyle w:val="libFootnoteBoldChar"/>
          <w:rtl/>
        </w:rPr>
        <w:t>الوافي</w:t>
      </w:r>
      <w:r w:rsidR="008A74EB" w:rsidRPr="00C9040A">
        <w:rPr>
          <w:rtl/>
        </w:rPr>
        <w:t xml:space="preserve"> ، ج 4 ، ص 165 ، ح 1765 ؛ </w:t>
      </w:r>
      <w:r w:rsidR="008A74EB" w:rsidRPr="00993B55">
        <w:rPr>
          <w:rStyle w:val="libFootnoteBoldChar"/>
          <w:rtl/>
        </w:rPr>
        <w:t>الوسائل</w:t>
      </w:r>
      <w:r w:rsidR="008A74EB" w:rsidRPr="00C9040A">
        <w:rPr>
          <w:rtl/>
        </w:rPr>
        <w:t xml:space="preserve"> ، ج 15 ، ص 190 ، ح 20247 ؛ </w:t>
      </w:r>
      <w:r w:rsidR="008A74EB" w:rsidRPr="00993B55">
        <w:rPr>
          <w:rStyle w:val="libFootnoteBoldChar"/>
          <w:rtl/>
        </w:rPr>
        <w:t>البحار</w:t>
      </w:r>
      <w:r w:rsidR="008A74EB" w:rsidRPr="00C9040A">
        <w:rPr>
          <w:rtl/>
        </w:rPr>
        <w:t xml:space="preserve"> ، ج 69 ، ص 364 ، ح 1.</w:t>
      </w:r>
    </w:p>
    <w:p w:rsidR="008A74EB" w:rsidRPr="00C9040A" w:rsidRDefault="006C577F" w:rsidP="004A4E41">
      <w:pPr>
        <w:pStyle w:val="libFootnote0"/>
        <w:rPr>
          <w:rtl/>
          <w:lang w:bidi="fa-IR"/>
        </w:rPr>
      </w:pPr>
      <w:r>
        <w:rPr>
          <w:rtl/>
        </w:rPr>
        <w:t>(4).</w:t>
      </w:r>
      <w:r w:rsidR="008A74EB" w:rsidRPr="00C9040A">
        <w:rPr>
          <w:rtl/>
        </w:rPr>
        <w:t xml:space="preserve"> الضمير راجع إلى أحمد بن محمّد بن خالد.</w:t>
      </w:r>
    </w:p>
    <w:p w:rsidR="008A74EB" w:rsidRPr="00C9040A" w:rsidRDefault="006C577F" w:rsidP="004A4E41">
      <w:pPr>
        <w:pStyle w:val="libFootnote0"/>
        <w:rPr>
          <w:rtl/>
          <w:lang w:bidi="fa-IR"/>
        </w:rPr>
      </w:pPr>
      <w:r>
        <w:rPr>
          <w:rtl/>
        </w:rPr>
        <w:t>(5).</w:t>
      </w:r>
      <w:r w:rsidR="008A74EB" w:rsidRPr="00C9040A">
        <w:rPr>
          <w:rtl/>
        </w:rPr>
        <w:t xml:space="preserve"> في « ز ، ص ، ف ، </w:t>
      </w:r>
      <w:r w:rsidR="006D3162">
        <w:rPr>
          <w:rtl/>
        </w:rPr>
        <w:t xml:space="preserve">ه </w:t>
      </w:r>
      <w:r w:rsidR="008A74EB" w:rsidRPr="00C9040A">
        <w:rPr>
          <w:rtl/>
        </w:rPr>
        <w:t>» والوسائل : « عمر »</w:t>
      </w:r>
      <w:r w:rsidR="008A74EB">
        <w:rPr>
          <w:rtl/>
        </w:rPr>
        <w:t>.</w:t>
      </w:r>
      <w:r w:rsidR="00525AA7">
        <w:rPr>
          <w:rtl/>
        </w:rPr>
        <w:t xml:space="preserve"> إل</w:t>
      </w:r>
      <w:r w:rsidR="00525AA7">
        <w:rPr>
          <w:rFonts w:hint="cs"/>
          <w:rtl/>
        </w:rPr>
        <w:t>ّ</w:t>
      </w:r>
      <w:r w:rsidR="00525AA7">
        <w:rPr>
          <w:rtl/>
        </w:rPr>
        <w:t>ا</w:t>
      </w:r>
      <w:r w:rsidR="008A74EB" w:rsidRPr="00C9040A">
        <w:rPr>
          <w:rtl/>
        </w:rPr>
        <w:t xml:space="preserve"> أنّ في الوسائل بإسقاط « النخعي »</w:t>
      </w:r>
      <w:r w:rsidR="008A74EB">
        <w:rPr>
          <w:rtl/>
        </w:rPr>
        <w:t>.</w:t>
      </w:r>
      <w:r w:rsidR="008A74EB" w:rsidRPr="00C9040A">
        <w:rPr>
          <w:rtl/>
        </w:rPr>
        <w:t xml:space="preserve"> وهو سهو ؛ فإنّ المذكور في كتب الرجال هو سليمان بن عمرو النخعي. راجع : </w:t>
      </w:r>
      <w:r w:rsidR="008A74EB" w:rsidRPr="00993B55">
        <w:rPr>
          <w:rStyle w:val="libFootnoteBoldChar"/>
          <w:rtl/>
        </w:rPr>
        <w:t>رجال البرقي</w:t>
      </w:r>
      <w:r w:rsidR="008A74EB" w:rsidRPr="00C9040A">
        <w:rPr>
          <w:rtl/>
        </w:rPr>
        <w:t xml:space="preserve"> ، ص 32 ؛ </w:t>
      </w:r>
      <w:r w:rsidR="008A74EB" w:rsidRPr="00993B55">
        <w:rPr>
          <w:rStyle w:val="libFootnoteBoldChar"/>
          <w:rtl/>
        </w:rPr>
        <w:t>رجال الطوسي</w:t>
      </w:r>
      <w:r w:rsidR="008A74EB" w:rsidRPr="00C9040A">
        <w:rPr>
          <w:rtl/>
        </w:rPr>
        <w:t xml:space="preserve"> ، ص 217 ، الرقم 2864. وتبيّن بذلك وقوع التصحيف في ماورد في </w:t>
      </w:r>
      <w:r w:rsidR="008A74EB" w:rsidRPr="0034021D">
        <w:rPr>
          <w:rStyle w:val="libFootnoteBoldChar"/>
          <w:rtl/>
        </w:rPr>
        <w:t>الأمالي للصدوق</w:t>
      </w:r>
      <w:r w:rsidR="008A74EB" w:rsidRPr="00C9040A">
        <w:rPr>
          <w:rtl/>
        </w:rPr>
        <w:t xml:space="preserve"> ، ص 19 ، المجلس 3 ، ح 4 ؛ </w:t>
      </w:r>
      <w:r w:rsidR="008A74EB" w:rsidRPr="007E43EF">
        <w:rPr>
          <w:rStyle w:val="libFootnoteBoldChar"/>
          <w:rtl/>
        </w:rPr>
        <w:t>و</w:t>
      </w:r>
      <w:r w:rsidR="008A74EB" w:rsidRPr="00993B55">
        <w:rPr>
          <w:rStyle w:val="libFootnoteBoldChar"/>
          <w:rtl/>
        </w:rPr>
        <w:t xml:space="preserve">الخصال </w:t>
      </w:r>
      <w:r w:rsidR="008A74EB" w:rsidRPr="00C9040A">
        <w:rPr>
          <w:rtl/>
        </w:rPr>
        <w:t>، ص 317 ، ح 99 ؛ من نقل الصدوق الخبر بسنده عن أحمد بن أبي عبد الله البرقي ، عن إسماعيل بن مهران ، عن سيف بن عميرة ، عن سليمان بن جعفر النخعي.</w:t>
      </w:r>
    </w:p>
    <w:p w:rsidR="008A74EB" w:rsidRPr="00C9040A" w:rsidRDefault="006C577F" w:rsidP="007E43EF">
      <w:pPr>
        <w:pStyle w:val="libFootnote0"/>
        <w:rPr>
          <w:rtl/>
          <w:lang w:bidi="fa-IR"/>
        </w:rPr>
      </w:pPr>
      <w:r>
        <w:rPr>
          <w:rtl/>
        </w:rPr>
        <w:t>(6).</w:t>
      </w:r>
      <w:r w:rsidR="008A74EB">
        <w:rPr>
          <w:rtl/>
        </w:rPr>
        <w:t xml:space="preserve"> </w:t>
      </w:r>
      <w:r w:rsidR="008A74EB" w:rsidRPr="00C9040A">
        <w:rPr>
          <w:rtl/>
        </w:rPr>
        <w:t xml:space="preserve">الضمير المستتر في « قال » راجع إلى أحمد بن محمّد بن خالد ؛ فقد روى هو عن الحسين بن سيف في </w:t>
      </w:r>
      <w:r w:rsidR="008A74EB" w:rsidRPr="00993B55">
        <w:rPr>
          <w:rStyle w:val="libFootnoteBoldChar"/>
          <w:rtl/>
        </w:rPr>
        <w:t>كتابه</w:t>
      </w:r>
      <w:r w:rsidR="007E43EF">
        <w:rPr>
          <w:rStyle w:val="libFootnoteBoldChar"/>
          <w:rFonts w:hint="cs"/>
          <w:rtl/>
        </w:rPr>
        <w:t xml:space="preserve"> </w:t>
      </w:r>
      <w:r w:rsidR="008A74EB" w:rsidRPr="00993B55">
        <w:rPr>
          <w:rStyle w:val="libFootnoteBoldChar"/>
          <w:rtl/>
        </w:rPr>
        <w:t>‌المحاسن</w:t>
      </w:r>
      <w:r w:rsidR="008A74EB" w:rsidRPr="00C9040A">
        <w:rPr>
          <w:rtl/>
        </w:rPr>
        <w:t xml:space="preserve"> ، ص 27 ، ح 7 ؛ وص 356 ، ح 59 ؛ وص 485 ، ح 533 ؛ وص 486 ، ح 542. ووردت روايته عن الحسين بن سيف ، عن أخيه عليّ ، عن سليمان بن عمرو في </w:t>
      </w:r>
      <w:r w:rsidR="008A74EB" w:rsidRPr="00993B55">
        <w:rPr>
          <w:rStyle w:val="libFootnoteBoldChar"/>
          <w:rtl/>
        </w:rPr>
        <w:t>المحاسن</w:t>
      </w:r>
      <w:r w:rsidR="008A74EB" w:rsidRPr="00C9040A">
        <w:rPr>
          <w:rtl/>
        </w:rPr>
        <w:t xml:space="preserve"> ، ج 2 ، ص 486 ، ح 543. فعليه ، في السند تحويل.</w:t>
      </w:r>
      <w:r w:rsidR="007E43EF">
        <w:rPr>
          <w:rFonts w:hint="cs"/>
          <w:rtl/>
        </w:rPr>
        <w:t xml:space="preserve">                            </w:t>
      </w:r>
      <w:r>
        <w:rPr>
          <w:rtl/>
        </w:rPr>
        <w:t>(7).</w:t>
      </w:r>
      <w:r w:rsidR="008A74EB" w:rsidRPr="00C9040A">
        <w:rPr>
          <w:rtl/>
        </w:rPr>
        <w:t xml:space="preserve"> في « </w:t>
      </w:r>
      <w:r w:rsidR="006D3162">
        <w:rPr>
          <w:rtl/>
        </w:rPr>
        <w:t xml:space="preserve">ه </w:t>
      </w:r>
      <w:r w:rsidR="008A74EB" w:rsidRPr="00C9040A">
        <w:rPr>
          <w:rtl/>
        </w:rPr>
        <w:t>» : + « به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وَإِذَا غَضِبُوا غَفَرُوا »</w:t>
      </w:r>
      <w:r>
        <w:rPr>
          <w:rtl/>
          <w:lang w:bidi="fa-IR"/>
        </w:rPr>
        <w:t>.</w:t>
      </w:r>
      <w:r w:rsidRPr="00C9040A">
        <w:rPr>
          <w:rtl/>
          <w:lang w:bidi="fa-IR"/>
        </w:rPr>
        <w:t xml:space="preserve"> </w:t>
      </w:r>
      <w:r w:rsidR="006C577F" w:rsidRPr="006C577F">
        <w:rPr>
          <w:rStyle w:val="libFootnotenumChar"/>
          <w:rtl/>
        </w:rPr>
        <w:t>(1)</w:t>
      </w:r>
      <w:r w:rsidRPr="00C9040A">
        <w:rPr>
          <w:rtl/>
          <w:lang w:bidi="fa-IR"/>
        </w:rPr>
        <w:t xml:space="preserve"> ‌</w:t>
      </w:r>
    </w:p>
    <w:p w:rsidR="008A74EB" w:rsidRPr="00C9040A" w:rsidRDefault="008A74EB" w:rsidP="008A74EB">
      <w:pPr>
        <w:pStyle w:val="libNormal"/>
        <w:rPr>
          <w:rtl/>
          <w:lang w:bidi="fa-IR"/>
        </w:rPr>
      </w:pPr>
      <w:r w:rsidRPr="001523C1">
        <w:rPr>
          <w:rtl/>
        </w:rPr>
        <w:t>2311</w:t>
      </w:r>
      <w:r w:rsidRPr="00261CB0">
        <w:rPr>
          <w:rStyle w:val="libBold2Char"/>
          <w:rtl/>
        </w:rPr>
        <w:t xml:space="preserve"> / 32.</w:t>
      </w:r>
      <w:r w:rsidRPr="00C9040A">
        <w:rPr>
          <w:rtl/>
          <w:lang w:bidi="fa-IR"/>
        </w:rPr>
        <w:t xml:space="preserve"> وَبِإِسْنَادِهِ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قَالَ النَّبِيُّ </w:t>
      </w:r>
      <w:r w:rsidR="004A4E41" w:rsidRPr="004A4E41">
        <w:rPr>
          <w:rStyle w:val="libAlaemChar"/>
          <w:rtl/>
        </w:rPr>
        <w:t>صلى‌الله‌عليه‌وآله</w:t>
      </w:r>
      <w:r w:rsidRPr="00C9040A">
        <w:rPr>
          <w:rtl/>
          <w:lang w:bidi="fa-IR"/>
        </w:rPr>
        <w:t xml:space="preserve"> : إِنَّ خِيَارَكُمْ </w:t>
      </w:r>
      <w:r w:rsidR="006C577F" w:rsidRPr="006C577F">
        <w:rPr>
          <w:rStyle w:val="libFootnotenumChar"/>
          <w:rtl/>
        </w:rPr>
        <w:t>(3)</w:t>
      </w:r>
      <w:r w:rsidRPr="00C9040A">
        <w:rPr>
          <w:rtl/>
          <w:lang w:bidi="fa-IR"/>
        </w:rPr>
        <w:t xml:space="preserve"> أُولُو النُّهى ، قِيلَ : يَا </w:t>
      </w:r>
      <w:r w:rsidR="006C577F" w:rsidRPr="006C577F">
        <w:rPr>
          <w:rStyle w:val="libFootnotenumChar"/>
          <w:rtl/>
        </w:rPr>
        <w:t>(4)</w:t>
      </w:r>
      <w:r w:rsidRPr="00C9040A">
        <w:rPr>
          <w:rtl/>
          <w:lang w:bidi="fa-IR"/>
        </w:rPr>
        <w:t xml:space="preserve"> رَسُولَ اللهِ ، وَمَنْ </w:t>
      </w:r>
      <w:r w:rsidR="006C577F" w:rsidRPr="006C577F">
        <w:rPr>
          <w:rStyle w:val="libFootnotenumChar"/>
          <w:rtl/>
        </w:rPr>
        <w:t>(5)</w:t>
      </w:r>
      <w:r w:rsidRPr="00C9040A">
        <w:rPr>
          <w:rtl/>
          <w:lang w:bidi="fa-IR"/>
        </w:rPr>
        <w:t xml:space="preserve"> أُولُو النُّهى</w:t>
      </w:r>
      <w:r>
        <w:rPr>
          <w:rtl/>
          <w:lang w:bidi="fa-IR"/>
        </w:rPr>
        <w:t>؟</w:t>
      </w:r>
      <w:r w:rsidRPr="00C9040A">
        <w:rPr>
          <w:rtl/>
          <w:lang w:bidi="fa-IR"/>
        </w:rPr>
        <w:t xml:space="preserve"> قَالَ : هُمْ أُولُو الْأَخْلَاقِ الْحَسَنَةِ ، وَالْأَحْلَامِ الرَّزِينَةِ </w:t>
      </w:r>
      <w:r w:rsidR="006C577F" w:rsidRPr="006C577F">
        <w:rPr>
          <w:rStyle w:val="libFootnotenumChar"/>
          <w:rtl/>
        </w:rPr>
        <w:t>(6)</w:t>
      </w:r>
      <w:r w:rsidRPr="005B567D">
        <w:rPr>
          <w:rStyle w:val="libFootnotenumChar"/>
          <w:rtl/>
        </w:rPr>
        <w:t xml:space="preserve"> </w:t>
      </w:r>
      <w:r w:rsidRPr="00C9040A">
        <w:rPr>
          <w:rtl/>
          <w:lang w:bidi="fa-IR"/>
        </w:rPr>
        <w:t xml:space="preserve">، وَصَلَةُ الْأَرْحَامِ </w:t>
      </w:r>
      <w:r w:rsidR="006C577F" w:rsidRPr="006C577F">
        <w:rPr>
          <w:rStyle w:val="libFootnotenumChar"/>
          <w:rtl/>
        </w:rPr>
        <w:t>(7)</w:t>
      </w:r>
      <w:r w:rsidRPr="00C9040A">
        <w:rPr>
          <w:rtl/>
          <w:lang w:bidi="fa-IR"/>
        </w:rPr>
        <w:t xml:space="preserve"> ، وَالْبَرَرَةُ بِالْأُمَّهَاتِ وَالْآبَاءِ ، وَالْمُتَعَاهِدُونَ </w:t>
      </w:r>
      <w:r w:rsidR="006C577F" w:rsidRPr="006C577F">
        <w:rPr>
          <w:rStyle w:val="libFootnotenumChar"/>
          <w:rtl/>
        </w:rPr>
        <w:t>(8)</w:t>
      </w:r>
      <w:r w:rsidRPr="00C9040A">
        <w:rPr>
          <w:rtl/>
          <w:lang w:bidi="fa-IR"/>
        </w:rPr>
        <w:t xml:space="preserve"> لِلْفُقَرَاءِ وَ</w:t>
      </w:r>
      <w:r>
        <w:rPr>
          <w:rFonts w:hint="cs"/>
          <w:rtl/>
          <w:lang w:bidi="fa-IR"/>
        </w:rPr>
        <w:t xml:space="preserve"> </w:t>
      </w:r>
      <w:r w:rsidR="006C577F" w:rsidRPr="006C577F">
        <w:rPr>
          <w:rStyle w:val="libFootnotenumChar"/>
          <w:rtl/>
        </w:rPr>
        <w:t>(9)</w:t>
      </w:r>
      <w:r w:rsidRPr="00C9040A">
        <w:rPr>
          <w:rtl/>
          <w:lang w:bidi="fa-IR"/>
        </w:rPr>
        <w:t xml:space="preserve"> الْجِيرَانِ وَالْيَتَامى ، وَيُطْعِمُونَ الطَّعَامَ ، وَيُفْشُونَ </w:t>
      </w:r>
      <w:r w:rsidR="006C577F" w:rsidRPr="006C577F">
        <w:rPr>
          <w:rStyle w:val="libFootnotenumChar"/>
          <w:rtl/>
        </w:rPr>
        <w:t>(10)</w:t>
      </w:r>
      <w:r w:rsidRPr="00C9040A">
        <w:rPr>
          <w:rtl/>
          <w:lang w:bidi="fa-IR"/>
        </w:rPr>
        <w:t xml:space="preserve"> السَّلَامَ فِي الْعَالَمِ ، وَيُصَلُّونَ وَالنَّاسُ نِيَامٌ غَافِلُونَ »</w:t>
      </w:r>
      <w:r>
        <w:rPr>
          <w:rtl/>
          <w:lang w:bidi="fa-IR"/>
        </w:rPr>
        <w:t>.</w:t>
      </w:r>
      <w:r w:rsidRPr="00C9040A">
        <w:rPr>
          <w:rtl/>
          <w:lang w:bidi="fa-IR"/>
        </w:rPr>
        <w:t xml:space="preserve"> </w:t>
      </w:r>
      <w:r w:rsidR="006C577F" w:rsidRPr="006C577F">
        <w:rPr>
          <w:rStyle w:val="libFootnotenumChar"/>
          <w:rtl/>
        </w:rPr>
        <w:t>(11)</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34021D">
        <w:rPr>
          <w:rStyle w:val="libFootnoteBoldChar"/>
          <w:rtl/>
        </w:rPr>
        <w:t>الأمالي للصدوق</w:t>
      </w:r>
      <w:r w:rsidR="008A74EB" w:rsidRPr="00C9040A">
        <w:rPr>
          <w:rtl/>
        </w:rPr>
        <w:t xml:space="preserve"> ، ص 10 ، المجلس 3 ، ح 4 ؛ </w:t>
      </w:r>
      <w:r w:rsidR="008A74EB" w:rsidRPr="007E43EF">
        <w:rPr>
          <w:rStyle w:val="libFootnoteBoldChar"/>
          <w:rtl/>
        </w:rPr>
        <w:t>و</w:t>
      </w:r>
      <w:r w:rsidR="008A74EB" w:rsidRPr="00993B55">
        <w:rPr>
          <w:rStyle w:val="libFootnoteBoldChar"/>
          <w:rtl/>
        </w:rPr>
        <w:t>الخصال</w:t>
      </w:r>
      <w:r w:rsidR="008A74EB" w:rsidRPr="00C9040A">
        <w:rPr>
          <w:rtl/>
        </w:rPr>
        <w:t xml:space="preserve"> ، ص 317 ، باب الخمسة ، ح 99 ، عن محمّد بن الحسن بن أحمد بن الوليد ، عن محمّد بن الحسن الصفّار ، عن أحمد بن أبي‌عبدالله البرقي ، عن إسماعيل بن مهران ، عن سيف بن عميرة ، عن سليمان بن جعفر النخعي ، عن محمّد بن مسلم وغيره ، عن أبي‌جعفر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صفات الشيعة</w:t>
      </w:r>
      <w:r w:rsidR="008A74EB" w:rsidRPr="00C9040A">
        <w:rPr>
          <w:rtl/>
        </w:rPr>
        <w:t xml:space="preserve"> ، ص 45 ، ح 64 ، بسند آخر ومع اختلاف يسير. </w:t>
      </w:r>
      <w:r w:rsidR="008A74EB" w:rsidRPr="00993B55">
        <w:rPr>
          <w:rStyle w:val="libFootnoteBoldChar"/>
          <w:rtl/>
        </w:rPr>
        <w:t>تحف العقول</w:t>
      </w:r>
      <w:r w:rsidR="008A74EB" w:rsidRPr="00C9040A">
        <w:rPr>
          <w:rtl/>
        </w:rPr>
        <w:t xml:space="preserve"> ، ص 445 ، عن الرضا </w:t>
      </w:r>
      <w:r w:rsidR="00117575" w:rsidRPr="00117575">
        <w:rPr>
          <w:rStyle w:val="libFootnoteAlaemChar"/>
          <w:rtl/>
        </w:rPr>
        <w:t xml:space="preserve">عليه‌السلام </w:t>
      </w:r>
      <w:r w:rsidR="008A74EB" w:rsidRPr="00C9040A">
        <w:rPr>
          <w:rtl/>
        </w:rPr>
        <w:t xml:space="preserve"> ؛ </w:t>
      </w:r>
      <w:r w:rsidR="008A74EB" w:rsidRPr="00993B55">
        <w:rPr>
          <w:rStyle w:val="libFootnoteBoldChar"/>
          <w:rtl/>
        </w:rPr>
        <w:t>فقه الرضا</w:t>
      </w:r>
      <w:r w:rsidR="008A74EB" w:rsidRPr="00C9040A">
        <w:rPr>
          <w:rtl/>
        </w:rPr>
        <w:t xml:space="preserve"> </w:t>
      </w:r>
      <w:r w:rsidR="00117575" w:rsidRPr="00117575">
        <w:rPr>
          <w:rStyle w:val="libFootnoteAlaemChar"/>
          <w:rtl/>
        </w:rPr>
        <w:t>عليه‌السلام</w:t>
      </w:r>
      <w:r w:rsidR="008A74EB" w:rsidRPr="00C9040A">
        <w:rPr>
          <w:rtl/>
        </w:rPr>
        <w:t xml:space="preserve"> ، ص 354. وفي </w:t>
      </w:r>
      <w:r w:rsidR="008A74EB" w:rsidRPr="00993B55">
        <w:rPr>
          <w:rStyle w:val="libFootnoteBoldChar"/>
          <w:rtl/>
        </w:rPr>
        <w:t>الكافي</w:t>
      </w:r>
      <w:r w:rsidR="008A74EB" w:rsidRPr="00C9040A">
        <w:rPr>
          <w:rtl/>
        </w:rPr>
        <w:t xml:space="preserve"> ، كتاب الصيام ، باب كراهية الصوم في السفر ، ح 6499 ؛ و</w:t>
      </w:r>
      <w:r w:rsidR="008A74EB" w:rsidRPr="00993B55">
        <w:rPr>
          <w:rStyle w:val="libFootnoteBoldChar"/>
          <w:rtl/>
        </w:rPr>
        <w:t xml:space="preserve">الفقيه </w:t>
      </w:r>
      <w:r w:rsidR="008A74EB" w:rsidRPr="00C9040A">
        <w:rPr>
          <w:rtl/>
        </w:rPr>
        <w:t>، ج 2 ، ص 141 ، ح 1978 ، بسند آخر هكذا : « خيار ا</w:t>
      </w:r>
      <w:r w:rsidR="007E43EF">
        <w:rPr>
          <w:rFonts w:hint="cs"/>
          <w:rtl/>
        </w:rPr>
        <w:t>ُ</w:t>
      </w:r>
      <w:r w:rsidR="008A74EB" w:rsidRPr="00C9040A">
        <w:rPr>
          <w:rtl/>
        </w:rPr>
        <w:t xml:space="preserve">مّتي الذين إذا سافروا أفطروا وقصّروا ، وإذا أحسنوا استبشروا ، وإذا أساؤوا استغفروا » مع زيادة في آخره </w:t>
      </w:r>
      <w:r w:rsidR="007E43EF">
        <w:rPr>
          <w:rFonts w:hint="cs"/>
          <w:rtl/>
        </w:rPr>
        <w:t>.</w:t>
      </w:r>
      <w:r w:rsidR="008A74EB" w:rsidRPr="00993B55">
        <w:rPr>
          <w:rStyle w:val="libFootnoteBoldChar"/>
          <w:rtl/>
        </w:rPr>
        <w:t>الوافي</w:t>
      </w:r>
      <w:r w:rsidR="008A74EB" w:rsidRPr="00C9040A">
        <w:rPr>
          <w:rtl/>
        </w:rPr>
        <w:t xml:space="preserve"> ، ج 4 ، ص 166 ، ح 1766 ؛ </w:t>
      </w:r>
      <w:r w:rsidR="008A74EB" w:rsidRPr="00993B55">
        <w:rPr>
          <w:rStyle w:val="libFootnoteBoldChar"/>
          <w:rtl/>
        </w:rPr>
        <w:t>الوسائل</w:t>
      </w:r>
      <w:r w:rsidR="008A74EB" w:rsidRPr="00C9040A">
        <w:rPr>
          <w:rtl/>
        </w:rPr>
        <w:t xml:space="preserve"> ، ج 1 ، ص 106 ، ح 260 ؛ وج 15 ، ص 191 ، ح 20248 ؛ </w:t>
      </w:r>
      <w:r w:rsidR="008A74EB" w:rsidRPr="00993B55">
        <w:rPr>
          <w:rStyle w:val="libFootnoteBoldChar"/>
          <w:rtl/>
        </w:rPr>
        <w:t>البحار</w:t>
      </w:r>
      <w:r w:rsidR="008A74EB" w:rsidRPr="00C9040A">
        <w:rPr>
          <w:rtl/>
        </w:rPr>
        <w:t xml:space="preserve"> ، ج 69 ، ص 305 ، ح 26.</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الظاهر أنّ المراد من « بإسناده » ، هو الإسناد المتقدّم في الحديث السابق ، إلى أبي‌جعفر </w:t>
      </w:r>
      <w:r w:rsidR="00117575" w:rsidRPr="00117575">
        <w:rPr>
          <w:rStyle w:val="libFootnoteAlaemChar"/>
          <w:rtl/>
        </w:rPr>
        <w:t xml:space="preserve">عليه‌السلام </w:t>
      </w:r>
      <w:r w:rsidR="008A74EB" w:rsidRPr="00C9040A">
        <w:rPr>
          <w:rtl/>
        </w:rPr>
        <w:t>.</w:t>
      </w:r>
    </w:p>
    <w:tbl>
      <w:tblPr>
        <w:tblStyle w:val="TableGrid"/>
        <w:bidiVisual/>
        <w:tblW w:w="0" w:type="auto"/>
        <w:tblLook w:val="04A0" w:firstRow="1" w:lastRow="0" w:firstColumn="1" w:lastColumn="0" w:noHBand="0" w:noVBand="1"/>
      </w:tblPr>
      <w:tblGrid>
        <w:gridCol w:w="4006"/>
        <w:gridCol w:w="4006"/>
      </w:tblGrid>
      <w:tr w:rsidR="007E43EF" w:rsidTr="007E43EF">
        <w:tc>
          <w:tcPr>
            <w:tcW w:w="4006" w:type="dxa"/>
          </w:tcPr>
          <w:p w:rsidR="007E43EF" w:rsidRDefault="007E43EF" w:rsidP="004A4E41">
            <w:pPr>
              <w:pStyle w:val="libFootnote0"/>
              <w:rPr>
                <w:rtl/>
              </w:rPr>
            </w:pPr>
            <w:r>
              <w:rPr>
                <w:rtl/>
              </w:rPr>
              <w:t>(3).</w:t>
            </w:r>
            <w:r w:rsidRPr="00C9040A">
              <w:rPr>
                <w:rtl/>
              </w:rPr>
              <w:t xml:space="preserve"> في « </w:t>
            </w:r>
            <w:r>
              <w:rPr>
                <w:rtl/>
              </w:rPr>
              <w:t xml:space="preserve">ه </w:t>
            </w:r>
            <w:r w:rsidRPr="00C9040A">
              <w:rPr>
                <w:rtl/>
              </w:rPr>
              <w:t>» : « أخياركم »</w:t>
            </w:r>
            <w:r>
              <w:rPr>
                <w:rtl/>
              </w:rPr>
              <w:t>.</w:t>
            </w:r>
          </w:p>
        </w:tc>
        <w:tc>
          <w:tcPr>
            <w:tcW w:w="4006" w:type="dxa"/>
          </w:tcPr>
          <w:p w:rsidR="007E43EF" w:rsidRDefault="007E43EF" w:rsidP="004A4E41">
            <w:pPr>
              <w:pStyle w:val="libFootnote0"/>
              <w:rPr>
                <w:rtl/>
              </w:rPr>
            </w:pPr>
            <w:r>
              <w:rPr>
                <w:rtl/>
              </w:rPr>
              <w:t>(4).</w:t>
            </w:r>
            <w:r w:rsidRPr="00C9040A">
              <w:rPr>
                <w:rtl/>
              </w:rPr>
              <w:t xml:space="preserve"> في « ف » </w:t>
            </w:r>
            <w:r>
              <w:rPr>
                <w:rtl/>
              </w:rPr>
              <w:t>: -</w:t>
            </w:r>
            <w:r w:rsidRPr="00C9040A">
              <w:rPr>
                <w:rtl/>
              </w:rPr>
              <w:t xml:space="preserve"> « يا »</w:t>
            </w:r>
            <w:r>
              <w:rPr>
                <w:rtl/>
              </w:rPr>
              <w:t>.</w:t>
            </w:r>
          </w:p>
        </w:tc>
      </w:tr>
    </w:tbl>
    <w:p w:rsidR="008A74EB" w:rsidRPr="00C9040A" w:rsidRDefault="006C577F" w:rsidP="004A4E41">
      <w:pPr>
        <w:pStyle w:val="libFootnote0"/>
        <w:rPr>
          <w:rtl/>
          <w:lang w:bidi="fa-IR"/>
        </w:rPr>
      </w:pPr>
      <w:r>
        <w:rPr>
          <w:rtl/>
        </w:rPr>
        <w:t>(5).</w:t>
      </w:r>
      <w:r w:rsidR="008A74EB" w:rsidRPr="00C9040A">
        <w:rPr>
          <w:rtl/>
        </w:rPr>
        <w:t xml:space="preserve"> في « ب ، ج ، د ، بف » والوافي والوسائل : « من » بدون الواو. وفي « ف » : « وما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الأحلام الرزينة » أي العقول المتينة.</w:t>
      </w:r>
    </w:p>
    <w:p w:rsidR="008A74EB" w:rsidRPr="00C9040A" w:rsidRDefault="006C577F" w:rsidP="004A4E41">
      <w:pPr>
        <w:pStyle w:val="libFootnote0"/>
        <w:rPr>
          <w:rtl/>
          <w:lang w:bidi="fa-IR"/>
        </w:rPr>
      </w:pPr>
      <w:r>
        <w:rPr>
          <w:rtl/>
        </w:rPr>
        <w:t>(7).</w:t>
      </w:r>
      <w:r w:rsidR="008A74EB" w:rsidRPr="00C9040A">
        <w:rPr>
          <w:rtl/>
        </w:rPr>
        <w:t xml:space="preserve"> في </w:t>
      </w:r>
      <w:r w:rsidR="008A74EB" w:rsidRPr="00993B55">
        <w:rPr>
          <w:rStyle w:val="libFootnoteBoldChar"/>
          <w:rtl/>
        </w:rPr>
        <w:t>مرآة العقول</w:t>
      </w:r>
      <w:r w:rsidR="008A74EB" w:rsidRPr="00C9040A">
        <w:rPr>
          <w:rtl/>
        </w:rPr>
        <w:t xml:space="preserve"> : « وصلة الأرحام ، عطف على الأحلام. ويمكن أن تكون الواو جزء الكلمة ، والصاد مفتوحة</w:t>
      </w:r>
      <w:r w:rsidR="007E43EF">
        <w:rPr>
          <w:rFonts w:hint="cs"/>
          <w:rtl/>
        </w:rPr>
        <w:t xml:space="preserve"> </w:t>
      </w:r>
      <w:r w:rsidR="008A74EB" w:rsidRPr="00C9040A">
        <w:rPr>
          <w:rtl/>
        </w:rPr>
        <w:t>جمع واصل</w:t>
      </w:r>
      <w:r w:rsidR="008A74EB">
        <w:rPr>
          <w:rtl/>
        </w:rPr>
        <w:t xml:space="preserve"> ..</w:t>
      </w:r>
      <w:r w:rsidR="008A74EB" w:rsidRPr="00C9040A">
        <w:rPr>
          <w:rtl/>
        </w:rPr>
        <w:t>. ويمكن على الاحتمال الثاني</w:t>
      </w:r>
      <w:r w:rsidR="008A74EB">
        <w:rPr>
          <w:rtl/>
        </w:rPr>
        <w:t xml:space="preserve"> ..</w:t>
      </w:r>
      <w:r w:rsidR="008A74EB" w:rsidRPr="00C9040A">
        <w:rPr>
          <w:rtl/>
        </w:rPr>
        <w:t>. نصب « الوصلة » على المدح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هكذا في « د ، ض » والوافي والوسائل ، وهو مقتضى السياق. وفي سائر النسخ والمطبوع : « والمتعاهدين »</w:t>
      </w:r>
      <w:r w:rsidR="008A74EB">
        <w:rPr>
          <w:rtl/>
        </w:rPr>
        <w:t>.</w:t>
      </w:r>
      <w:r w:rsidR="008A74EB" w:rsidRPr="00C9040A">
        <w:rPr>
          <w:rtl/>
        </w:rPr>
        <w:t xml:space="preserve"> وقال في </w:t>
      </w:r>
      <w:r w:rsidR="008A74EB" w:rsidRPr="00993B55">
        <w:rPr>
          <w:rStyle w:val="libFootnoteBoldChar"/>
          <w:rtl/>
        </w:rPr>
        <w:t>مرآة العقول</w:t>
      </w:r>
      <w:r w:rsidR="008A74EB" w:rsidRPr="00C9040A">
        <w:rPr>
          <w:rtl/>
        </w:rPr>
        <w:t xml:space="preserve"> : « والمتعاهدين ، في أكثر النسخ بالنصبِ ، فيكون نصباً على المدح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الوسائل </w:t>
      </w:r>
      <w:r w:rsidR="008A74EB">
        <w:rPr>
          <w:rtl/>
        </w:rPr>
        <w:t xml:space="preserve">: </w:t>
      </w:r>
      <w:r w:rsidR="0084262C">
        <w:rPr>
          <w:rtl/>
        </w:rPr>
        <w:t>-</w:t>
      </w:r>
      <w:r w:rsidR="008A74EB" w:rsidRPr="00C9040A">
        <w:rPr>
          <w:rtl/>
        </w:rPr>
        <w:t xml:space="preserve"> « للفقراء </w:t>
      </w:r>
      <w:r w:rsidR="008A74EB">
        <w:rPr>
          <w:rtl/>
        </w:rPr>
        <w:t>و ».</w:t>
      </w:r>
    </w:p>
    <w:p w:rsidR="008A74EB" w:rsidRPr="00C9040A" w:rsidRDefault="006C577F" w:rsidP="004A4E41">
      <w:pPr>
        <w:pStyle w:val="libFootnote0"/>
        <w:rPr>
          <w:rtl/>
          <w:lang w:bidi="fa-IR"/>
        </w:rPr>
      </w:pPr>
      <w:r>
        <w:rPr>
          <w:rtl/>
        </w:rPr>
        <w:t>(10).</w:t>
      </w:r>
      <w:r w:rsidR="008A74EB" w:rsidRPr="00C9040A">
        <w:rPr>
          <w:rtl/>
        </w:rPr>
        <w:t xml:space="preserve"> فَشَت ، أي كَثُرت وانتشرت. </w:t>
      </w:r>
      <w:r w:rsidR="008A74EB" w:rsidRPr="00993B55">
        <w:rPr>
          <w:rStyle w:val="libFootnoteBoldChar"/>
          <w:rtl/>
        </w:rPr>
        <w:t>النهاية</w:t>
      </w:r>
      <w:r w:rsidR="008A74EB" w:rsidRPr="00C9040A">
        <w:rPr>
          <w:rtl/>
        </w:rPr>
        <w:t xml:space="preserve"> ، ج 3 ، ص 449 ( فشا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w:t>
      </w:r>
      <w:r w:rsidR="008A74EB" w:rsidRPr="00993B55">
        <w:rPr>
          <w:rStyle w:val="libFootnoteBoldChar"/>
          <w:rtl/>
        </w:rPr>
        <w:t>الكافي</w:t>
      </w:r>
      <w:r w:rsidR="008A74EB" w:rsidRPr="00C9040A">
        <w:rPr>
          <w:rtl/>
        </w:rPr>
        <w:t xml:space="preserve"> ، كتاب الزكاة ، باب فضل إطعام الطعام ، ح 6197 ، بسنده آخر عن أبي عبدالله </w:t>
      </w:r>
      <w:r w:rsidR="00117575" w:rsidRPr="00117575">
        <w:rPr>
          <w:rStyle w:val="libFootnoteAlaemChar"/>
          <w:rtl/>
        </w:rPr>
        <w:t xml:space="preserve">عليه‌السلام </w:t>
      </w:r>
      <w:r w:rsidR="008A74EB" w:rsidRPr="00C9040A">
        <w:rPr>
          <w:rtl/>
        </w:rPr>
        <w:t xml:space="preserve">عن رسول الله </w:t>
      </w:r>
      <w:r w:rsidR="004A4E41" w:rsidRPr="007E43EF">
        <w:rPr>
          <w:rStyle w:val="libFootnoteAlaemChar"/>
          <w:rtl/>
        </w:rPr>
        <w:t>صلى‌الله‌عليه‌وآله</w:t>
      </w:r>
      <w:r w:rsidR="008A74EB" w:rsidRPr="00C9040A">
        <w:rPr>
          <w:rtl/>
        </w:rPr>
        <w:t xml:space="preserve"> ، من قوله : « ويطعمون الطعام » مع اختلاف يسير </w:t>
      </w:r>
      <w:r w:rsidR="007E43EF">
        <w:rPr>
          <w:rFonts w:hint="cs"/>
          <w:rtl/>
        </w:rPr>
        <w:t>.</w:t>
      </w:r>
      <w:r w:rsidR="008A74EB" w:rsidRPr="00993B55">
        <w:rPr>
          <w:rStyle w:val="libFootnoteBoldChar"/>
          <w:rtl/>
        </w:rPr>
        <w:t>الوافي</w:t>
      </w:r>
      <w:r w:rsidR="008A74EB" w:rsidRPr="00C9040A">
        <w:rPr>
          <w:rtl/>
        </w:rPr>
        <w:t xml:space="preserve"> ، ج 4 ، ص 166 ، ح 1767 ؛ </w:t>
      </w:r>
      <w:r w:rsidR="008A74EB" w:rsidRPr="00993B55">
        <w:rPr>
          <w:rStyle w:val="libFootnoteBoldChar"/>
          <w:rtl/>
        </w:rPr>
        <w:t>الوسائل</w:t>
      </w:r>
      <w:r w:rsidR="008A74EB" w:rsidRPr="00C9040A">
        <w:rPr>
          <w:rtl/>
        </w:rPr>
        <w:t xml:space="preserve"> ، ج 15 ، ص 191 ، ح 20249 ؛ </w:t>
      </w:r>
      <w:r w:rsidR="008A74EB" w:rsidRPr="00993B55">
        <w:rPr>
          <w:rStyle w:val="libFootnoteBoldChar"/>
          <w:rtl/>
        </w:rPr>
        <w:t>البحار</w:t>
      </w:r>
      <w:r w:rsidR="008A74EB" w:rsidRPr="00C9040A">
        <w:rPr>
          <w:rtl/>
        </w:rPr>
        <w:t xml:space="preserve"> ، ج 69 ، ص 305 ، ح 27.</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1523C1">
        <w:rPr>
          <w:rtl/>
        </w:rPr>
        <w:t>2312</w:t>
      </w:r>
      <w:r w:rsidRPr="00261CB0">
        <w:rPr>
          <w:rStyle w:val="libBold2Char"/>
          <w:rtl/>
        </w:rPr>
        <w:t xml:space="preserve"> / 33.</w:t>
      </w:r>
      <w:r w:rsidRPr="00C9040A">
        <w:rPr>
          <w:rtl/>
          <w:lang w:bidi="fa-IR"/>
        </w:rPr>
        <w:t xml:space="preserve"> عَنْهُ ، عَنِ الْهَيْثَمِ النَّهْدِيِّ </w:t>
      </w:r>
      <w:r w:rsidR="006C577F" w:rsidRPr="006C577F">
        <w:rPr>
          <w:rStyle w:val="libFootnotenumChar"/>
          <w:rtl/>
        </w:rPr>
        <w:t>(1)</w:t>
      </w:r>
      <w:r w:rsidRPr="00C9040A">
        <w:rPr>
          <w:rtl/>
          <w:lang w:bidi="fa-IR"/>
        </w:rPr>
        <w:t xml:space="preserve"> ، عَنْ عَبْدِ الْعَزِيزِ بْنِ عُمَرَ ، عَنْ بَعْضِ أَصْحَابِهِ </w:t>
      </w:r>
      <w:r w:rsidR="006C577F" w:rsidRPr="006C577F">
        <w:rPr>
          <w:rStyle w:val="libFootnotenumChar"/>
          <w:rtl/>
        </w:rPr>
        <w:t>(2)</w:t>
      </w:r>
      <w:r w:rsidRPr="00C9040A">
        <w:rPr>
          <w:rtl/>
          <w:lang w:bidi="fa-IR"/>
        </w:rPr>
        <w:t xml:space="preserve"> ، عَنْ يَحْيَى بْنِ عِمْرَانَ الْحَلَبِيِّ ، قَالَ :</w:t>
      </w:r>
    </w:p>
    <w:p w:rsidR="008A74EB" w:rsidRPr="00C9040A" w:rsidRDefault="008A74EB" w:rsidP="008A74EB">
      <w:pPr>
        <w:pStyle w:val="libNormal"/>
        <w:rPr>
          <w:rtl/>
          <w:lang w:bidi="fa-IR"/>
        </w:rPr>
      </w:pPr>
      <w:r w:rsidRPr="00C9040A">
        <w:rPr>
          <w:rtl/>
          <w:lang w:bidi="fa-IR"/>
        </w:rPr>
        <w:t xml:space="preserve">قُلْتُ لِأَبِي عَبْدِ اللهِ </w:t>
      </w:r>
      <w:r w:rsidRPr="0003660B">
        <w:rPr>
          <w:rStyle w:val="libAlaemChar"/>
          <w:rtl/>
        </w:rPr>
        <w:t>عليه‌السلام</w:t>
      </w:r>
      <w:r w:rsidRPr="00C9040A">
        <w:rPr>
          <w:rtl/>
          <w:lang w:bidi="fa-IR"/>
        </w:rPr>
        <w:t xml:space="preserve"> : أَيُّ الْخِصَالِ بِالْمَرْءِ أَجْمَلُ</w:t>
      </w:r>
      <w:r>
        <w:rPr>
          <w:rtl/>
          <w:lang w:bidi="fa-IR"/>
        </w:rPr>
        <w:t>؟</w:t>
      </w:r>
    </w:p>
    <w:p w:rsidR="008A74EB" w:rsidRPr="00C9040A" w:rsidRDefault="008A74EB" w:rsidP="008A74EB">
      <w:pPr>
        <w:pStyle w:val="libNormal"/>
        <w:rPr>
          <w:rtl/>
          <w:lang w:bidi="fa-IR"/>
        </w:rPr>
      </w:pPr>
      <w:r w:rsidRPr="00C9040A">
        <w:rPr>
          <w:rtl/>
          <w:lang w:bidi="fa-IR"/>
        </w:rPr>
        <w:t>فَقَالَ : « وَقَارٌ بِلَا مَهَابَةٍ ، وَسَمَاحٌ بِلَا طَلَبِ مُكَافَأَةٍ ، وَتَشَاغُلٌ بِغَيْرِ مَتَاعِ الدُّنْيَا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1523C1">
        <w:rPr>
          <w:rtl/>
        </w:rPr>
        <w:t>2313</w:t>
      </w:r>
      <w:r w:rsidRPr="00261CB0">
        <w:rPr>
          <w:rStyle w:val="libBold2Char"/>
          <w:rtl/>
        </w:rPr>
        <w:t xml:space="preserve"> / 34.</w:t>
      </w:r>
      <w:r w:rsidRPr="00C9040A">
        <w:rPr>
          <w:rtl/>
          <w:lang w:bidi="fa-IR"/>
        </w:rPr>
        <w:t xml:space="preserve"> مُحَمَّدُ بْنُ يَحْيى ، عَنْ أَحْمَدَ بْنِ مُحَمَّدِ بْنِ عِيسى ، عَنِ الْحَسَنِ بْ</w:t>
      </w:r>
      <w:r w:rsidR="007E43EF">
        <w:rPr>
          <w:rtl/>
          <w:lang w:bidi="fa-IR"/>
        </w:rPr>
        <w:t>نِ مَحْبُوبٍ ، عَنْ أَبِي وَل</w:t>
      </w:r>
      <w:r w:rsidR="007E43EF">
        <w:rPr>
          <w:rFonts w:hint="cs"/>
          <w:rtl/>
          <w:lang w:bidi="fa-IR"/>
        </w:rPr>
        <w:t>َّ</w:t>
      </w:r>
      <w:r w:rsidR="007E43EF">
        <w:rPr>
          <w:rtl/>
          <w:lang w:bidi="fa-IR"/>
        </w:rPr>
        <w:t>ا</w:t>
      </w:r>
      <w:r w:rsidRPr="00C9040A">
        <w:rPr>
          <w:rtl/>
          <w:lang w:bidi="fa-IR"/>
        </w:rPr>
        <w:t>دٍ الْحَنَّاطِ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كَانَ عَلِيُّ بْنُ الْحُسَيْنِ </w:t>
      </w:r>
      <w:r w:rsidRPr="0003660B">
        <w:rPr>
          <w:rStyle w:val="libAlaemChar"/>
          <w:rtl/>
        </w:rPr>
        <w:t>عليهما‌السلام</w:t>
      </w:r>
      <w:r w:rsidRPr="00C9040A">
        <w:rPr>
          <w:rtl/>
          <w:lang w:bidi="fa-IR"/>
        </w:rPr>
        <w:t xml:space="preserve"> يَقُولُ : إِنَّ الْمَعْرِفَةَ بِكَمَالِ دِينِ الْمُسْلِمِ تَرْكُهُ الْكَلَامَ فِيمَا لَايَعْنِيهِ ، وَقِلَّةُ مِرَائِهِ </w:t>
      </w:r>
      <w:r w:rsidR="006C577F" w:rsidRPr="006C577F">
        <w:rPr>
          <w:rStyle w:val="libFootnotenumChar"/>
          <w:rtl/>
        </w:rPr>
        <w:t>(4)</w:t>
      </w:r>
      <w:r w:rsidRPr="00C9040A">
        <w:rPr>
          <w:rtl/>
          <w:lang w:bidi="fa-IR"/>
        </w:rPr>
        <w:t xml:space="preserve"> ، وَحِلْمُهُ ، وَصَبْرُهُ ، وَحُسْنُ خُلُقِهِ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963595">
      <w:pPr>
        <w:pStyle w:val="libNormal"/>
        <w:rPr>
          <w:rtl/>
          <w:lang w:bidi="fa-IR"/>
        </w:rPr>
      </w:pPr>
      <w:r w:rsidRPr="001523C1">
        <w:rPr>
          <w:rtl/>
        </w:rPr>
        <w:t>2314</w:t>
      </w:r>
      <w:r w:rsidRPr="00261CB0">
        <w:rPr>
          <w:rStyle w:val="libBold2Char"/>
          <w:rtl/>
        </w:rPr>
        <w:t xml:space="preserve"> / 35.</w:t>
      </w:r>
      <w:r w:rsidRPr="00C9040A">
        <w:rPr>
          <w:rtl/>
          <w:lang w:bidi="fa-IR"/>
        </w:rPr>
        <w:t xml:space="preserve"> عَلِيُّ بْنُ إِبْرَاهِيمَ ، عَنْ مُحَمَّدِ بْنِ عِيسى ، عَنْ يُونُسَ ، عَنْ مُحَمَّدِ بْنِ عَرَفَةَ :</w:t>
      </w:r>
      <w:r w:rsidR="00963595">
        <w:rPr>
          <w:rFonts w:hint="cs"/>
          <w:rtl/>
          <w:lang w:bidi="fa-IR"/>
        </w:rPr>
        <w:t xml:space="preserve"> </w:t>
      </w: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النَّبِيُّ </w:t>
      </w:r>
      <w:r w:rsidR="004A4E41" w:rsidRPr="004A4E41">
        <w:rPr>
          <w:rStyle w:val="libAlaemChar"/>
          <w:rtl/>
        </w:rPr>
        <w:t>صلى‌الله‌عليه‌وآله</w:t>
      </w:r>
      <w:r>
        <w:rPr>
          <w:rtl/>
          <w:lang w:bidi="fa-IR"/>
        </w:rPr>
        <w:t xml:space="preserve"> : أَ</w:t>
      </w:r>
      <w:r w:rsidRPr="00C9040A">
        <w:rPr>
          <w:rtl/>
          <w:lang w:bidi="fa-IR"/>
        </w:rPr>
        <w:t>لَا</w:t>
      </w:r>
      <w:r>
        <w:rPr>
          <w:rFonts w:hint="cs"/>
          <w:rtl/>
          <w:lang w:bidi="fa-IR"/>
        </w:rPr>
        <w:t xml:space="preserve"> </w:t>
      </w:r>
      <w:r w:rsidRPr="00C9040A">
        <w:rPr>
          <w:rtl/>
          <w:lang w:bidi="fa-IR"/>
        </w:rPr>
        <w:t>أُخْبِرُكُمْ بِأَشْبَهِكُمْ بِي</w:t>
      </w:r>
      <w:r>
        <w:rPr>
          <w:rtl/>
          <w:lang w:bidi="fa-IR"/>
        </w:rPr>
        <w:t>؟</w:t>
      </w:r>
      <w:r w:rsidRPr="00C9040A">
        <w:rPr>
          <w:rtl/>
          <w:lang w:bidi="fa-IR"/>
        </w:rPr>
        <w:t xml:space="preserve"> قَالُوا : بَلى‌</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الهيثم النهدي هو الهيثم بن أبي‌</w:t>
      </w:r>
      <w:r w:rsidR="00963595">
        <w:rPr>
          <w:rFonts w:hint="cs"/>
          <w:rtl/>
        </w:rPr>
        <w:t xml:space="preserve"> </w:t>
      </w:r>
      <w:r w:rsidR="008A74EB" w:rsidRPr="00C9040A">
        <w:rPr>
          <w:rtl/>
        </w:rPr>
        <w:t xml:space="preserve">مسروق عبدالله النهدي ، كما في </w:t>
      </w:r>
      <w:r w:rsidR="008A74EB" w:rsidRPr="00993B55">
        <w:rPr>
          <w:rStyle w:val="libFootnoteBoldChar"/>
          <w:rtl/>
        </w:rPr>
        <w:t>رجال النجاشي</w:t>
      </w:r>
      <w:r w:rsidR="008A74EB" w:rsidRPr="00C9040A">
        <w:rPr>
          <w:rtl/>
        </w:rPr>
        <w:t xml:space="preserve"> ، ص 437 ، الرقم 1175. وروى أحمد بن محمّد بن خالد في </w:t>
      </w:r>
      <w:r w:rsidR="008A74EB" w:rsidRPr="00993B55">
        <w:rPr>
          <w:rStyle w:val="libFootnoteBoldChar"/>
          <w:rtl/>
        </w:rPr>
        <w:t>المحاسن</w:t>
      </w:r>
      <w:r w:rsidR="008A74EB" w:rsidRPr="00C9040A">
        <w:rPr>
          <w:rtl/>
        </w:rPr>
        <w:t xml:space="preserve"> ، ص 144 ، ح 47 عن الهيثم بن عبدالله النهدي ، فالضمير في « عنه » راجع إلى أحمد بن محمّد بن خالد المصرّح باسمه في سند الحديث 28.</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بف » : « أصحابنا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w:t>
      </w:r>
      <w:r w:rsidR="008A74EB" w:rsidRPr="0034021D">
        <w:rPr>
          <w:rStyle w:val="libFootnoteBoldChar"/>
          <w:rtl/>
        </w:rPr>
        <w:t>الأمالي للصدوق</w:t>
      </w:r>
      <w:r w:rsidR="008A74EB" w:rsidRPr="00C9040A">
        <w:rPr>
          <w:rtl/>
        </w:rPr>
        <w:t xml:space="preserve"> ، ص 289 ، المجلس 48 ، ح 8 ؛ و</w:t>
      </w:r>
      <w:r w:rsidR="008A74EB" w:rsidRPr="00993B55">
        <w:rPr>
          <w:rStyle w:val="libFootnoteBoldChar"/>
          <w:rtl/>
        </w:rPr>
        <w:t>الخصال</w:t>
      </w:r>
      <w:r w:rsidR="008A74EB" w:rsidRPr="00C9040A">
        <w:rPr>
          <w:rtl/>
        </w:rPr>
        <w:t xml:space="preserve"> ، ص 92 ، باب الثلاثة ، ح 36 ، بسند آخر عن الهيثم بن أبي مسروق النهدي ، عن عبدالعزيز بن عمر ، عن أحمد بن عمر الحلبي ، عن أبي‌عبدالله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فقه الرضا</w:t>
      </w:r>
      <w:r w:rsidR="008A74EB" w:rsidRPr="00C9040A">
        <w:rPr>
          <w:rtl/>
        </w:rPr>
        <w:t xml:space="preserve"> </w:t>
      </w:r>
      <w:r w:rsidR="00117575" w:rsidRPr="00117575">
        <w:rPr>
          <w:rStyle w:val="libFootnoteAlaemChar"/>
          <w:rtl/>
        </w:rPr>
        <w:t xml:space="preserve">عليه‌السلام </w:t>
      </w:r>
      <w:r w:rsidR="008A74EB" w:rsidRPr="00C9040A">
        <w:rPr>
          <w:rtl/>
        </w:rPr>
        <w:t xml:space="preserve">، ص 354 </w:t>
      </w:r>
      <w:r w:rsidR="008A74EB" w:rsidRPr="00993B55">
        <w:rPr>
          <w:rStyle w:val="libFootnoteBoldChar"/>
          <w:rtl/>
        </w:rPr>
        <w:t>الوافي</w:t>
      </w:r>
      <w:r w:rsidR="008A74EB" w:rsidRPr="00C9040A">
        <w:rPr>
          <w:rtl/>
        </w:rPr>
        <w:t xml:space="preserve"> ، ج 4 ، ص 167 ، ح 1768 ؛ </w:t>
      </w:r>
      <w:r w:rsidR="008A74EB" w:rsidRPr="00993B55">
        <w:rPr>
          <w:rStyle w:val="libFootnoteBoldChar"/>
          <w:rtl/>
        </w:rPr>
        <w:t>البحار</w:t>
      </w:r>
      <w:r w:rsidR="008A74EB" w:rsidRPr="00C9040A">
        <w:rPr>
          <w:rtl/>
        </w:rPr>
        <w:t xml:space="preserve"> ، ج 69 ، ص 367 ، ح 2.</w:t>
      </w:r>
    </w:p>
    <w:p w:rsidR="008A74EB" w:rsidRPr="00C9040A" w:rsidRDefault="006C577F" w:rsidP="004A4E41">
      <w:pPr>
        <w:pStyle w:val="libFootnote0"/>
        <w:rPr>
          <w:rtl/>
          <w:lang w:bidi="fa-IR"/>
        </w:rPr>
      </w:pPr>
      <w:r>
        <w:rPr>
          <w:rtl/>
        </w:rPr>
        <w:t>(4).</w:t>
      </w:r>
      <w:r w:rsidR="008A74EB" w:rsidRPr="00C9040A">
        <w:rPr>
          <w:rtl/>
        </w:rPr>
        <w:t xml:space="preserve"> « المراء » : الجدال. والتماري والمماراة : المجادلة على مذهب الشكّ والريبة. ويقال للمناظرة : مماراة ؛ لأنّ كلّ واحد منهما يستخرج ما عند صاحبه ويمتريه كما يمتري الحالبُ اللبن من الضرع. </w:t>
      </w:r>
      <w:r w:rsidR="008A74EB" w:rsidRPr="00993B55">
        <w:rPr>
          <w:rStyle w:val="libFootnoteBoldChar"/>
          <w:rtl/>
        </w:rPr>
        <w:t>النهاية</w:t>
      </w:r>
      <w:r w:rsidR="008A74EB" w:rsidRPr="00C9040A">
        <w:rPr>
          <w:rtl/>
        </w:rPr>
        <w:t xml:space="preserve"> ، ج 4 ، ص 322 ( مرا )</w:t>
      </w:r>
      <w:r w:rsidR="008A74EB">
        <w:rPr>
          <w:rtl/>
        </w:rPr>
        <w:t>.</w:t>
      </w:r>
      <w:r w:rsidR="008A74EB" w:rsidRPr="00C9040A">
        <w:rPr>
          <w:rtl/>
        </w:rPr>
        <w:t xml:space="preserve"> وفي </w:t>
      </w:r>
      <w:r w:rsidR="008A74EB" w:rsidRPr="00993B55">
        <w:rPr>
          <w:rStyle w:val="libFootnoteBoldChar"/>
          <w:rtl/>
        </w:rPr>
        <w:t>الوافي</w:t>
      </w:r>
      <w:r w:rsidR="008A74EB" w:rsidRPr="00C9040A">
        <w:rPr>
          <w:rtl/>
        </w:rPr>
        <w:t xml:space="preserve"> : « المراء : المجادلة والاعتراض على كلام من غير غرض ديني »</w:t>
      </w:r>
      <w:r w:rsidR="008A74EB">
        <w:rPr>
          <w:rtl/>
        </w:rPr>
        <w:t>.</w:t>
      </w:r>
    </w:p>
    <w:p w:rsidR="008A74EB" w:rsidRPr="00C9040A" w:rsidRDefault="006C577F" w:rsidP="00963595">
      <w:pPr>
        <w:pStyle w:val="libFootnote0"/>
        <w:rPr>
          <w:rtl/>
          <w:lang w:bidi="fa-IR"/>
        </w:rPr>
      </w:pPr>
      <w:r>
        <w:rPr>
          <w:rtl/>
        </w:rPr>
        <w:t>(5).</w:t>
      </w:r>
      <w:r w:rsidR="008A74EB" w:rsidRPr="00C9040A">
        <w:rPr>
          <w:rtl/>
        </w:rPr>
        <w:t xml:space="preserve"> </w:t>
      </w:r>
      <w:r w:rsidR="008A74EB" w:rsidRPr="00993B55">
        <w:rPr>
          <w:rStyle w:val="libFootnoteBoldChar"/>
          <w:rtl/>
        </w:rPr>
        <w:t>الخصال</w:t>
      </w:r>
      <w:r w:rsidR="008A74EB" w:rsidRPr="00C9040A">
        <w:rPr>
          <w:rtl/>
        </w:rPr>
        <w:t xml:space="preserve"> ، ص 290 ، باب الخمسة ، ح 50 ، بسند آخر عن أحمد بن محمّد بن عيسى. </w:t>
      </w:r>
      <w:r w:rsidR="008A74EB" w:rsidRPr="0034021D">
        <w:rPr>
          <w:rStyle w:val="libFootnoteBoldChar"/>
          <w:rtl/>
        </w:rPr>
        <w:t>الأمالي للمفيد</w:t>
      </w:r>
      <w:r w:rsidR="008A74EB" w:rsidRPr="00C9040A">
        <w:rPr>
          <w:rtl/>
        </w:rPr>
        <w:t xml:space="preserve"> ، ص 34 ، المجلس 4 ، ح 9 ، بسند آخر عن أبي‌عبدالله ، عن أبيه ، عن عليّ بن الحسين </w:t>
      </w:r>
      <w:r w:rsidR="00117575" w:rsidRPr="00117575">
        <w:rPr>
          <w:rStyle w:val="libFootnoteAlaemChar"/>
          <w:rtl/>
        </w:rPr>
        <w:t>عليهم‌السلام</w:t>
      </w:r>
      <w:r w:rsidR="008A74EB" w:rsidRPr="00C9040A">
        <w:rPr>
          <w:rtl/>
        </w:rPr>
        <w:t xml:space="preserve"> عن رسول الله </w:t>
      </w:r>
      <w:r w:rsidR="004A4E41" w:rsidRPr="00963595">
        <w:rPr>
          <w:rStyle w:val="libFootnoteAlaemChar"/>
          <w:rtl/>
        </w:rPr>
        <w:t>صلى‌الله‌عليه‌وآله</w:t>
      </w:r>
      <w:r w:rsidR="008A74EB" w:rsidRPr="00C9040A">
        <w:rPr>
          <w:rtl/>
        </w:rPr>
        <w:t xml:space="preserve"> ، وتمام الرواية فيه : « من حسن إسلام المرء تركه الكلام فيما لا يعنيه »</w:t>
      </w:r>
      <w:r w:rsidR="008A74EB">
        <w:rPr>
          <w:rtl/>
        </w:rPr>
        <w:t>.</w:t>
      </w:r>
      <w:r w:rsidR="008A74EB" w:rsidRPr="00C9040A">
        <w:rPr>
          <w:rtl/>
        </w:rPr>
        <w:t xml:space="preserve"> </w:t>
      </w:r>
      <w:r w:rsidR="008A74EB" w:rsidRPr="00993B55">
        <w:rPr>
          <w:rStyle w:val="libFootnoteBoldChar"/>
          <w:rtl/>
        </w:rPr>
        <w:t>تحف العقول</w:t>
      </w:r>
      <w:r w:rsidR="008A74EB" w:rsidRPr="00C9040A">
        <w:rPr>
          <w:rtl/>
        </w:rPr>
        <w:t xml:space="preserve"> ، ص 279 ، عن عليّ بن الحسين </w:t>
      </w:r>
      <w:r w:rsidR="00117575" w:rsidRPr="00117575">
        <w:rPr>
          <w:rStyle w:val="libFootnoteAlaemChar"/>
          <w:rtl/>
        </w:rPr>
        <w:t xml:space="preserve">عليه‌السلام </w:t>
      </w:r>
      <w:r w:rsidR="00963595">
        <w:rPr>
          <w:rFonts w:hint="cs"/>
          <w:rtl/>
        </w:rPr>
        <w:t>.</w:t>
      </w:r>
      <w:r w:rsidR="008A74EB" w:rsidRPr="00993B55">
        <w:rPr>
          <w:rStyle w:val="libFootnoteBoldChar"/>
          <w:rtl/>
        </w:rPr>
        <w:t>الوافي</w:t>
      </w:r>
      <w:r w:rsidR="008A74EB" w:rsidRPr="00C9040A">
        <w:rPr>
          <w:rtl/>
        </w:rPr>
        <w:t xml:space="preserve"> ، ج 4 ، ص 167 ، ح 1769 ؛ </w:t>
      </w:r>
      <w:r w:rsidR="008A74EB" w:rsidRPr="00993B55">
        <w:rPr>
          <w:rStyle w:val="libFootnoteBoldChar"/>
          <w:rtl/>
        </w:rPr>
        <w:t>الوسائل</w:t>
      </w:r>
      <w:r w:rsidR="008A74EB" w:rsidRPr="00C9040A">
        <w:rPr>
          <w:rtl/>
        </w:rPr>
        <w:t xml:space="preserve"> ، ج 15 ، ص 191 ، ح 20250 ؛ </w:t>
      </w:r>
      <w:r w:rsidR="008A74EB" w:rsidRPr="00993B55">
        <w:rPr>
          <w:rStyle w:val="libFootnoteBoldChar"/>
          <w:rtl/>
        </w:rPr>
        <w:t>البحار</w:t>
      </w:r>
      <w:r w:rsidR="008A74EB" w:rsidRPr="00C9040A">
        <w:rPr>
          <w:rtl/>
        </w:rPr>
        <w:t xml:space="preserve"> ، ج 67 ، ص 361 ، ح 64.</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يَا رَسُولَ اللهِ </w:t>
      </w:r>
      <w:r w:rsidR="006C577F" w:rsidRPr="006C577F">
        <w:rPr>
          <w:rStyle w:val="libFootnotenumChar"/>
          <w:rtl/>
        </w:rPr>
        <w:t>(1)</w:t>
      </w:r>
      <w:r w:rsidRPr="00C9040A">
        <w:rPr>
          <w:rtl/>
          <w:lang w:bidi="fa-IR"/>
        </w:rPr>
        <w:t xml:space="preserve"> ، قَالَ : أَحْسَنُكُمْ خُلُقاً ، وَأَلْيَنُكُمْ كَنَفاً </w:t>
      </w:r>
      <w:r w:rsidR="006C577F" w:rsidRPr="006C577F">
        <w:rPr>
          <w:rStyle w:val="libFootnotenumChar"/>
          <w:rtl/>
        </w:rPr>
        <w:t>(2)</w:t>
      </w:r>
      <w:r w:rsidRPr="00C9040A">
        <w:rPr>
          <w:rtl/>
          <w:lang w:bidi="fa-IR"/>
        </w:rPr>
        <w:t xml:space="preserve"> ، وَأَبَرُّكُمْ بِقَرَابَتِهِ ، وَأَشَدُّكُمْ حُبّاًلِإِخْوَانِهِ فِي دِينِهِ ، وَأَصْبَرُكُمْ عَلَى الْحَقِّ ، وَأَكْظَمُكُمْ لِلْغَيْظِ ، وَأَحْسَنُكُمْ عَفْواً ، وَأَشَدُّكُمْ مِنْ نَفْسِهِ إِنْصَافاً فِي الرِّضَا وَالْغَضَبِ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326C11">
        <w:rPr>
          <w:rtl/>
        </w:rPr>
        <w:t>2315</w:t>
      </w:r>
      <w:r w:rsidRPr="00261CB0">
        <w:rPr>
          <w:rStyle w:val="libBold2Char"/>
          <w:rtl/>
        </w:rPr>
        <w:t xml:space="preserve"> / 36.</w:t>
      </w:r>
      <w:r w:rsidRPr="00C9040A">
        <w:rPr>
          <w:rtl/>
          <w:lang w:bidi="fa-IR"/>
        </w:rPr>
        <w:t xml:space="preserve"> مُحَمَّدُ بْنُ يَحْيى ، عَنْ أَحْمَدَ بْنِ مُحَمَّدٍ ، عَنِ ابْنِ مَحْبُوبٍ ، عَنْ مَالِكِ بْنِ عَطِيَّةَ ، عَنْ أَبِي حَمْزَةَ :</w:t>
      </w:r>
    </w:p>
    <w:p w:rsidR="008A74EB" w:rsidRPr="00C9040A" w:rsidRDefault="008A74EB" w:rsidP="008A74EB">
      <w:pPr>
        <w:pStyle w:val="libNormal"/>
        <w:rPr>
          <w:rtl/>
          <w:lang w:bidi="fa-IR"/>
        </w:rPr>
      </w:pPr>
      <w:r w:rsidRPr="00C9040A">
        <w:rPr>
          <w:rtl/>
          <w:lang w:bidi="fa-IR"/>
        </w:rPr>
        <w:t xml:space="preserve">عَنْ عَلِيِّ بْنِ الْحُسَيْنِ </w:t>
      </w:r>
      <w:r w:rsidRPr="0003660B">
        <w:rPr>
          <w:rStyle w:val="libAlaemChar"/>
          <w:rtl/>
        </w:rPr>
        <w:t>عليهما‌السلام</w:t>
      </w:r>
      <w:r w:rsidRPr="00C9040A">
        <w:rPr>
          <w:rtl/>
          <w:lang w:bidi="fa-IR"/>
        </w:rPr>
        <w:t xml:space="preserve"> ، قَالَ : « مِنْ أَخْلَاقِ الْمُؤْمِنِ الْإِنْفَاقُ عَلى قَدْرِ الْإِقْتَارِ ، وَالتَّوَسُّعُ </w:t>
      </w:r>
      <w:r w:rsidR="006C577F" w:rsidRPr="006C577F">
        <w:rPr>
          <w:rStyle w:val="libFootnotenumChar"/>
          <w:rtl/>
        </w:rPr>
        <w:t>(4)</w:t>
      </w:r>
      <w:r w:rsidRPr="00C9040A">
        <w:rPr>
          <w:rtl/>
          <w:lang w:bidi="fa-IR"/>
        </w:rPr>
        <w:t xml:space="preserve"> عَلى قَدْرِ التَّوَسُّعِ ، وَإِنْصَافُ النَّاسِ </w:t>
      </w:r>
      <w:r w:rsidR="006C577F" w:rsidRPr="006C577F">
        <w:rPr>
          <w:rStyle w:val="libFootnotenumChar"/>
          <w:rtl/>
        </w:rPr>
        <w:t>(5)</w:t>
      </w:r>
      <w:r w:rsidRPr="00C9040A">
        <w:rPr>
          <w:rtl/>
          <w:lang w:bidi="fa-IR"/>
        </w:rPr>
        <w:t xml:space="preserve"> ، وَابْتِدَاؤُهُ </w:t>
      </w:r>
      <w:r w:rsidR="006C577F" w:rsidRPr="006C577F">
        <w:rPr>
          <w:rStyle w:val="libFootnotenumChar"/>
          <w:rtl/>
        </w:rPr>
        <w:t>(6)</w:t>
      </w:r>
      <w:r w:rsidRPr="005B567D">
        <w:rPr>
          <w:rStyle w:val="libFootnotenumChar"/>
          <w:rtl/>
        </w:rPr>
        <w:t xml:space="preserve"> </w:t>
      </w:r>
      <w:r w:rsidRPr="00C9040A">
        <w:rPr>
          <w:rtl/>
          <w:lang w:bidi="fa-IR"/>
        </w:rPr>
        <w:t>إِيَّاهُمْ بِالسَّلَامِ عَلَيْهِمْ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326C11">
        <w:rPr>
          <w:rtl/>
        </w:rPr>
        <w:t>2316</w:t>
      </w:r>
      <w:r w:rsidRPr="00261CB0">
        <w:rPr>
          <w:rStyle w:val="libBold2Char"/>
          <w:rtl/>
        </w:rPr>
        <w:t xml:space="preserve"> / 37.</w:t>
      </w:r>
      <w:r w:rsidRPr="00C9040A">
        <w:rPr>
          <w:rtl/>
          <w:lang w:bidi="fa-IR"/>
        </w:rPr>
        <w:t xml:space="preserve"> مُحَمَّدُ بْنُ يَحْيى ، عَنْ أَحْمَدَ بْنِ مُحَمَّدِ بْنِ عِيسى ، عَنِ ابْنِ فَضَّالٍ ، عَنِ ابْنِ بُكَيْرٍ ، عَنْ زُرَارَةَ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الْمُؤْمِنُ أَصْلَبُ مِنَ الْجَبَلِ ، الْجَبَلُ </w:t>
      </w:r>
      <w:r w:rsidR="006C577F" w:rsidRPr="006C577F">
        <w:rPr>
          <w:rStyle w:val="libFootnotenumChar"/>
          <w:rtl/>
        </w:rPr>
        <w:t>(8)</w:t>
      </w:r>
      <w:r w:rsidRPr="00C9040A">
        <w:rPr>
          <w:rtl/>
          <w:lang w:bidi="fa-IR"/>
        </w:rPr>
        <w:t xml:space="preserve"> ‌</w:t>
      </w:r>
      <w:r w:rsidR="00963595">
        <w:rPr>
          <w:rFonts w:hint="cs"/>
          <w:rtl/>
          <w:lang w:bidi="fa-IR"/>
        </w:rPr>
        <w:t>............</w:t>
      </w:r>
      <w:r w:rsidR="00963595">
        <w:rPr>
          <w:rFonts w:hint="cs"/>
          <w:rtl/>
          <w:lang w:bidi="fa-IR"/>
        </w:rPr>
        <w:tab/>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هكذا في جميع النسخ والمصادر والشروح. وفي المطبوع </w:t>
      </w:r>
      <w:r w:rsidR="008A74EB">
        <w:rPr>
          <w:rtl/>
        </w:rPr>
        <w:t xml:space="preserve">: </w:t>
      </w:r>
      <w:r w:rsidR="0084262C">
        <w:rPr>
          <w:rtl/>
        </w:rPr>
        <w:t>-</w:t>
      </w:r>
      <w:r w:rsidR="008A74EB" w:rsidRPr="00C9040A">
        <w:rPr>
          <w:rtl/>
        </w:rPr>
        <w:t xml:space="preserve"> « رسول الله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 الكنف » : الجانب. وكنفا الطائر : جناحاه. </w:t>
      </w:r>
      <w:r w:rsidR="008A74EB" w:rsidRPr="00993B55">
        <w:rPr>
          <w:rStyle w:val="libFootnoteBoldChar"/>
          <w:rtl/>
        </w:rPr>
        <w:t>الصحاح</w:t>
      </w:r>
      <w:r w:rsidR="008A74EB" w:rsidRPr="00C9040A">
        <w:rPr>
          <w:rtl/>
        </w:rPr>
        <w:t xml:space="preserve"> ، ج 4 ، ص 1424 ( كنف )</w:t>
      </w:r>
      <w:r w:rsidR="008A74EB">
        <w:rPr>
          <w:rtl/>
        </w:rPr>
        <w:t>.</w:t>
      </w:r>
    </w:p>
    <w:p w:rsidR="008A74EB" w:rsidRPr="00C9040A" w:rsidRDefault="008A74EB" w:rsidP="004A4E41">
      <w:pPr>
        <w:pStyle w:val="libFootnote0"/>
        <w:rPr>
          <w:rtl/>
          <w:lang w:bidi="fa-IR"/>
        </w:rPr>
      </w:pPr>
      <w:r w:rsidRPr="00323A39">
        <w:rPr>
          <w:rtl/>
        </w:rPr>
        <w:t xml:space="preserve">قال في </w:t>
      </w:r>
      <w:r w:rsidRPr="00993B55">
        <w:rPr>
          <w:rStyle w:val="libFootnoteBoldChar"/>
          <w:rtl/>
        </w:rPr>
        <w:t>مرآة العقول</w:t>
      </w:r>
      <w:r w:rsidRPr="00323A39">
        <w:rPr>
          <w:rtl/>
        </w:rPr>
        <w:t xml:space="preserve"> ، ج 9 ، ص 279 : « وا</w:t>
      </w:r>
      <w:r w:rsidR="00963595">
        <w:rPr>
          <w:rFonts w:hint="cs"/>
          <w:rtl/>
        </w:rPr>
        <w:t>ُ</w:t>
      </w:r>
      <w:r w:rsidRPr="00323A39">
        <w:rPr>
          <w:rtl/>
        </w:rPr>
        <w:t>لينكم كنفاً ، أي</w:t>
      </w:r>
      <w:r w:rsidR="00963595">
        <w:rPr>
          <w:rFonts w:hint="cs"/>
          <w:rtl/>
        </w:rPr>
        <w:t xml:space="preserve"> </w:t>
      </w:r>
      <w:r w:rsidRPr="00323A39">
        <w:rPr>
          <w:rtl/>
        </w:rPr>
        <w:t xml:space="preserve">‌لا يتأذّى من مجاورتهم ومجالستهم ومن ناحيتهم أحد ... وفي </w:t>
      </w:r>
      <w:r w:rsidRPr="00993B55">
        <w:rPr>
          <w:rStyle w:val="libFootnoteBoldChar"/>
          <w:rtl/>
        </w:rPr>
        <w:t>النهاية</w:t>
      </w:r>
      <w:r w:rsidRPr="00323A39">
        <w:rPr>
          <w:rtl/>
        </w:rPr>
        <w:t xml:space="preserve"> ، فيه : ألا ا</w:t>
      </w:r>
      <w:r w:rsidR="00963595">
        <w:rPr>
          <w:rFonts w:hint="cs"/>
          <w:rtl/>
        </w:rPr>
        <w:t>ُ</w:t>
      </w:r>
      <w:r w:rsidRPr="00323A39">
        <w:rPr>
          <w:rtl/>
        </w:rPr>
        <w:t>خبركم بأحبّكم إليّ وأقربكم منّي مَجالِسَ يوم القيامة؟ ا</w:t>
      </w:r>
      <w:r w:rsidR="00963595">
        <w:rPr>
          <w:rFonts w:hint="cs"/>
          <w:rtl/>
        </w:rPr>
        <w:t>ُ</w:t>
      </w:r>
      <w:r w:rsidRPr="00323A39">
        <w:rPr>
          <w:rtl/>
        </w:rPr>
        <w:t xml:space="preserve">حاسنكم أخلاقاً ، الموطّؤون أكنافاً ، الذين يألفون ويؤلفون. هذا مثل ، وحقيقته من التوطئة ، وهي التمهيد والتذليل. وفراش وَطي‌ء : لا يؤذي جنب النائم. والأكناف : الجوانب. أراد الذين جوانبهم وطيئة يتمكّن فيها من يصاحبهم ولا يتأذّى ». راجع : </w:t>
      </w:r>
      <w:r w:rsidRPr="00993B55">
        <w:rPr>
          <w:rStyle w:val="libFootnoteBoldChar"/>
          <w:rtl/>
        </w:rPr>
        <w:t>النهاية</w:t>
      </w:r>
      <w:r w:rsidRPr="00323A39">
        <w:rPr>
          <w:rtl/>
        </w:rPr>
        <w:t xml:space="preserve"> ، ج 5 ، ص 201 ( وطأ ) ، وراجع أيضاً : </w:t>
      </w:r>
      <w:r w:rsidRPr="00993B55">
        <w:rPr>
          <w:rStyle w:val="libFootnoteBoldChar"/>
          <w:rtl/>
        </w:rPr>
        <w:t>أساس البلاغة</w:t>
      </w:r>
      <w:r w:rsidRPr="00323A39">
        <w:rPr>
          <w:rtl/>
        </w:rPr>
        <w:t xml:space="preserve"> ، ص 419 ( لين ).</w:t>
      </w:r>
    </w:p>
    <w:p w:rsidR="008A74EB" w:rsidRPr="00C9040A" w:rsidRDefault="006C577F" w:rsidP="004A4E41">
      <w:pPr>
        <w:pStyle w:val="libFootnote0"/>
        <w:rPr>
          <w:rtl/>
          <w:lang w:bidi="fa-IR"/>
        </w:rPr>
      </w:pPr>
      <w:r>
        <w:rPr>
          <w:rtl/>
        </w:rPr>
        <w:t>(3).</w:t>
      </w:r>
      <w:r w:rsidR="008A74EB" w:rsidRPr="00C9040A">
        <w:rPr>
          <w:rtl/>
        </w:rPr>
        <w:t xml:space="preserve"> </w:t>
      </w:r>
      <w:r w:rsidR="008A74EB" w:rsidRPr="00993B55">
        <w:rPr>
          <w:rStyle w:val="libFootnoteBoldChar"/>
          <w:rtl/>
        </w:rPr>
        <w:t>الفقيه</w:t>
      </w:r>
      <w:r w:rsidR="008A74EB" w:rsidRPr="00C9040A">
        <w:rPr>
          <w:rtl/>
        </w:rPr>
        <w:t xml:space="preserve"> ، ج 4 ، ص 368 ، ح 5762 ، ضمن وصايا النبيّ </w:t>
      </w:r>
      <w:r w:rsidR="004A4E41" w:rsidRPr="00963595">
        <w:rPr>
          <w:rStyle w:val="libFootnoteAlaemChar"/>
          <w:rtl/>
        </w:rPr>
        <w:t>صلى‌الله‌عليه‌وآله</w:t>
      </w:r>
      <w:r w:rsidR="008A74EB" w:rsidRPr="00C9040A">
        <w:rPr>
          <w:rtl/>
        </w:rPr>
        <w:t xml:space="preserve"> لعليّ </w:t>
      </w:r>
      <w:r w:rsidR="00117575" w:rsidRPr="00117575">
        <w:rPr>
          <w:rStyle w:val="libFootnoteAlaemChar"/>
          <w:rtl/>
        </w:rPr>
        <w:t>عليه‌السلام</w:t>
      </w:r>
      <w:r w:rsidR="008A74EB" w:rsidRPr="00C9040A">
        <w:rPr>
          <w:rtl/>
        </w:rPr>
        <w:t xml:space="preserve"> ، بسند آخر عن جعفر بن محمّد ، عن آبائه </w:t>
      </w:r>
      <w:r w:rsidR="00117575" w:rsidRPr="00117575">
        <w:rPr>
          <w:rStyle w:val="libFootnoteAlaemChar"/>
          <w:rtl/>
        </w:rPr>
        <w:t>عليهم‌السلام</w:t>
      </w:r>
      <w:r w:rsidR="008A74EB" w:rsidRPr="00C9040A">
        <w:rPr>
          <w:rtl/>
        </w:rPr>
        <w:t xml:space="preserve"> عن النبيّ </w:t>
      </w:r>
      <w:r w:rsidR="004A4E41" w:rsidRPr="00963595">
        <w:rPr>
          <w:rStyle w:val="libFootnoteAlaemChar"/>
          <w:rtl/>
        </w:rPr>
        <w:t>صلى‌الله‌عليه‌وآله</w:t>
      </w:r>
      <w:r w:rsidR="008A74EB" w:rsidRPr="00C9040A">
        <w:rPr>
          <w:rtl/>
        </w:rPr>
        <w:t xml:space="preserve">. </w:t>
      </w:r>
      <w:r w:rsidR="008A74EB" w:rsidRPr="00993B55">
        <w:rPr>
          <w:rStyle w:val="libFootnoteBoldChar"/>
          <w:rtl/>
        </w:rPr>
        <w:t>تحف العقول</w:t>
      </w:r>
      <w:r w:rsidR="008A74EB" w:rsidRPr="00C9040A">
        <w:rPr>
          <w:rtl/>
        </w:rPr>
        <w:t xml:space="preserve"> ، ص 48 ، عن النبيّ </w:t>
      </w:r>
      <w:r w:rsidR="004A4E41" w:rsidRPr="00963595">
        <w:rPr>
          <w:rStyle w:val="libFootnoteAlaemChar"/>
          <w:rtl/>
        </w:rPr>
        <w:t>صلى‌الله‌عليه‌وآله</w:t>
      </w:r>
      <w:r w:rsidR="008A74EB" w:rsidRPr="00C9040A">
        <w:rPr>
          <w:rtl/>
        </w:rPr>
        <w:t xml:space="preserve"> ، وفيهما مع اختلاف </w:t>
      </w:r>
      <w:r w:rsidR="00963595">
        <w:rPr>
          <w:rFonts w:hint="cs"/>
          <w:rtl/>
        </w:rPr>
        <w:t>.</w:t>
      </w:r>
      <w:r w:rsidR="008A74EB" w:rsidRPr="00993B55">
        <w:rPr>
          <w:rStyle w:val="libFootnoteBoldChar"/>
          <w:rtl/>
        </w:rPr>
        <w:t>الوافي</w:t>
      </w:r>
      <w:r w:rsidR="008A74EB" w:rsidRPr="00C9040A">
        <w:rPr>
          <w:rtl/>
        </w:rPr>
        <w:t xml:space="preserve"> ، ج 4 ، ص 167 ، ح 1770 ؛ </w:t>
      </w:r>
      <w:r w:rsidR="008A74EB" w:rsidRPr="00993B55">
        <w:rPr>
          <w:rStyle w:val="libFootnoteBoldChar"/>
          <w:rtl/>
        </w:rPr>
        <w:t>الوسائل</w:t>
      </w:r>
      <w:r w:rsidR="008A74EB" w:rsidRPr="00C9040A">
        <w:rPr>
          <w:rtl/>
        </w:rPr>
        <w:t xml:space="preserve"> ، ج 15 ، ص 193 ، ح 20254 ؛ </w:t>
      </w:r>
      <w:r w:rsidR="008A74EB" w:rsidRPr="00993B55">
        <w:rPr>
          <w:rStyle w:val="libFootnoteBoldChar"/>
          <w:rtl/>
        </w:rPr>
        <w:t>البحار</w:t>
      </w:r>
      <w:r w:rsidR="008A74EB" w:rsidRPr="00C9040A">
        <w:rPr>
          <w:rtl/>
        </w:rPr>
        <w:t xml:space="preserve"> ، ج 69 ، ص 306 ، ح 28.</w:t>
      </w:r>
    </w:p>
    <w:p w:rsidR="008A74EB" w:rsidRPr="00C9040A" w:rsidRDefault="006C577F" w:rsidP="004A4E41">
      <w:pPr>
        <w:pStyle w:val="libFootnote0"/>
        <w:rPr>
          <w:rtl/>
          <w:lang w:bidi="fa-IR"/>
        </w:rPr>
      </w:pPr>
      <w:r>
        <w:rPr>
          <w:rtl/>
        </w:rPr>
        <w:t>(4).</w:t>
      </w:r>
      <w:r w:rsidR="008A74EB" w:rsidRPr="00C9040A">
        <w:rPr>
          <w:rtl/>
        </w:rPr>
        <w:t xml:space="preserve"> في « </w:t>
      </w:r>
      <w:r w:rsidR="006D3162">
        <w:rPr>
          <w:rtl/>
        </w:rPr>
        <w:t xml:space="preserve">ه </w:t>
      </w:r>
      <w:r w:rsidR="008A74EB" w:rsidRPr="00C9040A">
        <w:rPr>
          <w:rtl/>
        </w:rPr>
        <w:t>» : « والوسع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ب ، ض ، </w:t>
      </w:r>
      <w:r w:rsidR="006D3162">
        <w:rPr>
          <w:rtl/>
        </w:rPr>
        <w:t xml:space="preserve">ه </w:t>
      </w:r>
      <w:r w:rsidR="008A74EB" w:rsidRPr="00C9040A">
        <w:rPr>
          <w:rtl/>
        </w:rPr>
        <w:t>» وحاشية « ف ، بر » والوافي : + « من نفسه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ب » : « وابتداء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تحف العقول</w:t>
      </w:r>
      <w:r w:rsidR="008A74EB" w:rsidRPr="00C9040A">
        <w:rPr>
          <w:rtl/>
        </w:rPr>
        <w:t xml:space="preserve"> ، ص 282 </w:t>
      </w:r>
      <w:r w:rsidR="00963595">
        <w:rPr>
          <w:rFonts w:hint="cs"/>
          <w:rtl/>
        </w:rPr>
        <w:t>.</w:t>
      </w:r>
      <w:r w:rsidR="008A74EB" w:rsidRPr="00993B55">
        <w:rPr>
          <w:rStyle w:val="libFootnoteBoldChar"/>
          <w:rtl/>
        </w:rPr>
        <w:t>الوافي</w:t>
      </w:r>
      <w:r w:rsidR="008A74EB" w:rsidRPr="00C9040A">
        <w:rPr>
          <w:rtl/>
        </w:rPr>
        <w:t xml:space="preserve"> ، ج 4 ، ص 168 ، ح 1771 ؛ </w:t>
      </w:r>
      <w:r w:rsidR="008A74EB" w:rsidRPr="00993B55">
        <w:rPr>
          <w:rStyle w:val="libFootnoteBoldChar"/>
          <w:rtl/>
        </w:rPr>
        <w:t>الوسائل</w:t>
      </w:r>
      <w:r w:rsidR="008A74EB" w:rsidRPr="00C9040A">
        <w:rPr>
          <w:rtl/>
        </w:rPr>
        <w:t xml:space="preserve"> ، ج 12 ، ص 55 ، ح 15632 ؛ وج 15 ، ص 192 ، ح 20251 ؛ </w:t>
      </w:r>
      <w:r w:rsidR="008A74EB" w:rsidRPr="00993B55">
        <w:rPr>
          <w:rStyle w:val="libFootnoteBoldChar"/>
          <w:rtl/>
        </w:rPr>
        <w:t>البحار</w:t>
      </w:r>
      <w:r w:rsidR="008A74EB" w:rsidRPr="00C9040A">
        <w:rPr>
          <w:rtl/>
        </w:rPr>
        <w:t xml:space="preserve"> ، ج 67 ، ص 361 ، ح 65.</w:t>
      </w:r>
    </w:p>
    <w:p w:rsidR="008A74EB" w:rsidRPr="00C9040A" w:rsidRDefault="006C577F" w:rsidP="004A4E41">
      <w:pPr>
        <w:pStyle w:val="libFootnote0"/>
        <w:rPr>
          <w:rtl/>
          <w:lang w:bidi="fa-IR"/>
        </w:rPr>
      </w:pPr>
      <w:r>
        <w:rPr>
          <w:rtl/>
        </w:rPr>
        <w:t>(8).</w:t>
      </w:r>
      <w:r w:rsidR="008A74EB" w:rsidRPr="00C9040A">
        <w:rPr>
          <w:rtl/>
        </w:rPr>
        <w:t xml:space="preserve"> في البحار </w:t>
      </w:r>
      <w:r w:rsidR="008A74EB">
        <w:rPr>
          <w:rtl/>
        </w:rPr>
        <w:t xml:space="preserve">: </w:t>
      </w:r>
      <w:r w:rsidR="0084262C">
        <w:rPr>
          <w:rtl/>
        </w:rPr>
        <w:t>-</w:t>
      </w:r>
      <w:r w:rsidR="008A74EB" w:rsidRPr="00C9040A">
        <w:rPr>
          <w:rtl/>
        </w:rPr>
        <w:t xml:space="preserve"> « الجبل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يُسْتَقَلُّ </w:t>
      </w:r>
      <w:r w:rsidR="006C577F" w:rsidRPr="006C577F">
        <w:rPr>
          <w:rStyle w:val="libFootnotenumChar"/>
          <w:rtl/>
        </w:rPr>
        <w:t>(1)</w:t>
      </w:r>
      <w:r w:rsidRPr="00C9040A">
        <w:rPr>
          <w:rtl/>
          <w:lang w:bidi="fa-IR"/>
        </w:rPr>
        <w:t xml:space="preserve"> مِنْهُ ، وَالْمُؤْمِنُ لَايُسْتَقَلُّ مِنْ دِينِهِ شَيْ‌ءٌ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326C11">
        <w:rPr>
          <w:rtl/>
        </w:rPr>
        <w:t>2317</w:t>
      </w:r>
      <w:r w:rsidRPr="00261CB0">
        <w:rPr>
          <w:rStyle w:val="libBold2Char"/>
          <w:rtl/>
        </w:rPr>
        <w:t xml:space="preserve"> / 38.</w:t>
      </w:r>
      <w:r w:rsidRPr="00C9040A">
        <w:rPr>
          <w:rtl/>
          <w:lang w:bidi="fa-IR"/>
        </w:rPr>
        <w:t xml:space="preserve"> عَلِيُّ بْنُ إِبْرَاهِيمَ ، عَنْ صَالِحِ بْنِ السِّنْدِيِّ ، عَنْ جَعْفَرِ بْنِ بَشِيرٍ ، عَنْ إِسْحَاقَ بْنِ عَمَّارٍ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الْمُؤْمِنُ حَسَنُ الْمَعُونَةِ ، خَفِيفُ الْمَؤُونَةِ ، جَيِّدُ التَّدْبِيرِ لِمَعِيشَتِهِ </w:t>
      </w:r>
      <w:r w:rsidR="006C577F" w:rsidRPr="006C577F">
        <w:rPr>
          <w:rStyle w:val="libFootnotenumChar"/>
          <w:rtl/>
        </w:rPr>
        <w:t>(3)</w:t>
      </w:r>
      <w:r w:rsidRPr="00C9040A">
        <w:rPr>
          <w:rtl/>
          <w:lang w:bidi="fa-IR"/>
        </w:rPr>
        <w:t xml:space="preserve"> ، لَايُلْسَعُ </w:t>
      </w:r>
      <w:r w:rsidR="006C577F" w:rsidRPr="006C577F">
        <w:rPr>
          <w:rStyle w:val="libFootnotenumChar"/>
          <w:rtl/>
        </w:rPr>
        <w:t>(4)</w:t>
      </w:r>
      <w:r w:rsidRPr="00C9040A">
        <w:rPr>
          <w:rtl/>
          <w:lang w:bidi="fa-IR"/>
        </w:rPr>
        <w:t xml:space="preserve"> مِنْ جُحْرٍ مَرَّتَيْنِ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326C11">
        <w:rPr>
          <w:rtl/>
        </w:rPr>
        <w:t>2318</w:t>
      </w:r>
      <w:r w:rsidRPr="00261CB0">
        <w:rPr>
          <w:rStyle w:val="libBold2Char"/>
          <w:rtl/>
        </w:rPr>
        <w:t xml:space="preserve"> / 39.</w:t>
      </w:r>
      <w:r w:rsidRPr="00C9040A">
        <w:rPr>
          <w:rtl/>
          <w:lang w:bidi="fa-IR"/>
        </w:rPr>
        <w:t xml:space="preserve"> عَلِيُّ بْنُ مُحَمَّدِ بْنِ بُنْدَارَ ، عَنْ إِبْرَاهِيمَ بْنِ إِسْحَاقَ ، عَنْ سَهْلِ بْنِ الْحَارِثِ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w:t>
      </w:r>
      <w:r w:rsidR="006D3162">
        <w:rPr>
          <w:rtl/>
        </w:rPr>
        <w:t xml:space="preserve">ه </w:t>
      </w:r>
      <w:r w:rsidR="008A74EB" w:rsidRPr="00C9040A">
        <w:rPr>
          <w:rtl/>
        </w:rPr>
        <w:t>» والوافي : « يستفلّ » في الموضعين. وفي البحار : « تستقلّ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 من القلّة ، أي</w:t>
      </w:r>
      <w:r w:rsidR="00963595">
        <w:rPr>
          <w:rFonts w:hint="cs"/>
          <w:rtl/>
        </w:rPr>
        <w:t xml:space="preserve"> </w:t>
      </w:r>
      <w:r w:rsidR="008A74EB" w:rsidRPr="00C9040A">
        <w:rPr>
          <w:rtl/>
        </w:rPr>
        <w:t>‌ينقص ويؤخذ منه بعضاً بالفأس والمعول ونحوهما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الكافي</w:t>
      </w:r>
      <w:r w:rsidR="008A74EB" w:rsidRPr="00C9040A">
        <w:rPr>
          <w:rtl/>
        </w:rPr>
        <w:t xml:space="preserve"> ، كتاب الجهاد ، باب كراهة التعرّض لما لا يطيق ، ح 8346 ؛ </w:t>
      </w:r>
      <w:r w:rsidR="008A74EB" w:rsidRPr="00963595">
        <w:rPr>
          <w:rStyle w:val="libFootnoteBoldChar"/>
          <w:rtl/>
        </w:rPr>
        <w:t>وا</w:t>
      </w:r>
      <w:r w:rsidR="008A74EB" w:rsidRPr="00993B55">
        <w:rPr>
          <w:rStyle w:val="libFootnoteBoldChar"/>
          <w:rtl/>
        </w:rPr>
        <w:t xml:space="preserve">لتهذيب </w:t>
      </w:r>
      <w:r w:rsidR="008A74EB" w:rsidRPr="00C9040A">
        <w:rPr>
          <w:rtl/>
        </w:rPr>
        <w:t xml:space="preserve">، ج 6 ، ص 179 ، ح 367 ، بسند آخر ، مع اختلاف يسير وزيادة في أوّله. وفي </w:t>
      </w:r>
      <w:r w:rsidR="008A74EB" w:rsidRPr="00993B55">
        <w:rPr>
          <w:rStyle w:val="libFootnoteBoldChar"/>
          <w:rtl/>
        </w:rPr>
        <w:t>صفات الشيعة</w:t>
      </w:r>
      <w:r w:rsidR="008A74EB" w:rsidRPr="00C9040A">
        <w:rPr>
          <w:rtl/>
        </w:rPr>
        <w:t xml:space="preserve"> ، ص 30 ، ذيل ح 42 ؛ </w:t>
      </w:r>
      <w:r w:rsidR="008A74EB" w:rsidRPr="00963595">
        <w:rPr>
          <w:rStyle w:val="libFootnoteBoldChar"/>
          <w:rtl/>
        </w:rPr>
        <w:t>و</w:t>
      </w:r>
      <w:r w:rsidR="008A74EB" w:rsidRPr="00993B55">
        <w:rPr>
          <w:rStyle w:val="libFootnoteBoldChar"/>
          <w:rtl/>
        </w:rPr>
        <w:t>علل الشرائع</w:t>
      </w:r>
      <w:r w:rsidR="008A74EB" w:rsidRPr="00C9040A">
        <w:rPr>
          <w:rtl/>
        </w:rPr>
        <w:t xml:space="preserve"> ، ص 557 ، ذيل ح 1 ، بسند آخر عن أبي‌عبدالله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تفسير العيّاشي</w:t>
      </w:r>
      <w:r w:rsidR="008A74EB" w:rsidRPr="00C9040A">
        <w:rPr>
          <w:rtl/>
        </w:rPr>
        <w:t xml:space="preserve"> ، ج 2 ، ص 301 ، ذيل ح 111 ، عن أبي‌عبدالله </w:t>
      </w:r>
      <w:r w:rsidR="00117575" w:rsidRPr="00117575">
        <w:rPr>
          <w:rStyle w:val="libFootnoteAlaemChar"/>
          <w:rtl/>
        </w:rPr>
        <w:t>عليه‌السلام</w:t>
      </w:r>
      <w:r w:rsidR="008A74EB" w:rsidRPr="00C9040A">
        <w:rPr>
          <w:rtl/>
        </w:rPr>
        <w:t xml:space="preserve"> ، وفي الثلاثة الأخيرة مع اختلاف </w:t>
      </w:r>
      <w:r w:rsidR="00963595">
        <w:rPr>
          <w:rFonts w:hint="cs"/>
          <w:rtl/>
        </w:rPr>
        <w:t>.</w:t>
      </w:r>
      <w:r w:rsidR="008A74EB" w:rsidRPr="00993B55">
        <w:rPr>
          <w:rStyle w:val="libFootnoteBoldChar"/>
          <w:rtl/>
        </w:rPr>
        <w:t>الوافي</w:t>
      </w:r>
      <w:r w:rsidR="008A74EB" w:rsidRPr="00C9040A">
        <w:rPr>
          <w:rtl/>
        </w:rPr>
        <w:t xml:space="preserve"> ، ج 5 ، ص 819 ، ح 3088 ؛ </w:t>
      </w:r>
      <w:r w:rsidR="008A74EB" w:rsidRPr="00993B55">
        <w:rPr>
          <w:rStyle w:val="libFootnoteBoldChar"/>
          <w:rtl/>
        </w:rPr>
        <w:t>البحار</w:t>
      </w:r>
      <w:r w:rsidR="008A74EB" w:rsidRPr="00C9040A">
        <w:rPr>
          <w:rtl/>
        </w:rPr>
        <w:t xml:space="preserve"> ، ج 67 ، ص 362 ، ح 66.</w:t>
      </w:r>
    </w:p>
    <w:p w:rsidR="008A74EB" w:rsidRPr="00C9040A" w:rsidRDefault="006C577F" w:rsidP="004A4E41">
      <w:pPr>
        <w:pStyle w:val="libFootnote0"/>
        <w:rPr>
          <w:rtl/>
          <w:lang w:bidi="fa-IR"/>
        </w:rPr>
      </w:pPr>
      <w:r>
        <w:rPr>
          <w:rtl/>
        </w:rPr>
        <w:t>(3).</w:t>
      </w:r>
      <w:r w:rsidR="008A74EB" w:rsidRPr="00C9040A">
        <w:rPr>
          <w:rtl/>
        </w:rPr>
        <w:t xml:space="preserve"> في « ج » : « لعيشه »</w:t>
      </w:r>
      <w:r w:rsidR="008A74EB">
        <w:rPr>
          <w:rtl/>
        </w:rPr>
        <w:t>.</w:t>
      </w:r>
      <w:r w:rsidR="008A74EB" w:rsidRPr="00C9040A">
        <w:rPr>
          <w:rtl/>
        </w:rPr>
        <w:t xml:space="preserve"> وفي « </w:t>
      </w:r>
      <w:r w:rsidR="006D3162">
        <w:rPr>
          <w:rtl/>
        </w:rPr>
        <w:t xml:space="preserve">ه </w:t>
      </w:r>
      <w:r w:rsidR="008A74EB" w:rsidRPr="00C9040A">
        <w:rPr>
          <w:rtl/>
        </w:rPr>
        <w:t>» : « للمعيشة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الوسائل : + « ولايلسع »</w:t>
      </w:r>
      <w:r w:rsidR="008A74EB">
        <w:rPr>
          <w:rtl/>
        </w:rPr>
        <w:t>.</w:t>
      </w:r>
      <w:r w:rsidR="008A74EB" w:rsidRPr="00C9040A">
        <w:rPr>
          <w:rtl/>
        </w:rPr>
        <w:t xml:space="preserve"> ولَسَعتْه العقرب والزنبور : وهو الضرب بالذَنَب واللَّدغ بالفم. </w:t>
      </w:r>
      <w:r w:rsidR="008A74EB">
        <w:rPr>
          <w:rtl/>
        </w:rPr>
        <w:t>و «</w:t>
      </w:r>
      <w:r w:rsidR="008A74EB" w:rsidRPr="00C9040A">
        <w:rPr>
          <w:rtl/>
        </w:rPr>
        <w:t xml:space="preserve"> الجُحْر » : ثقب الحيّة. وهو استعارة هاهنا ، أي‌لا يُدهى المؤمن من جهة واحدة مرّتين ؛ فإنّه بالا</w:t>
      </w:r>
      <w:r w:rsidR="00963595">
        <w:rPr>
          <w:rFonts w:hint="cs"/>
          <w:rtl/>
        </w:rPr>
        <w:t>ُ</w:t>
      </w:r>
      <w:r w:rsidR="008A74EB" w:rsidRPr="00C9040A">
        <w:rPr>
          <w:rtl/>
        </w:rPr>
        <w:t xml:space="preserve">ولى يعتبر. </w:t>
      </w:r>
      <w:r w:rsidR="008A74EB" w:rsidRPr="00993B55">
        <w:rPr>
          <w:rStyle w:val="libFootnoteBoldChar"/>
          <w:rtl/>
        </w:rPr>
        <w:t>أساس البلاغة</w:t>
      </w:r>
      <w:r w:rsidR="008A74EB" w:rsidRPr="00C9040A">
        <w:rPr>
          <w:rtl/>
        </w:rPr>
        <w:t xml:space="preserve"> ، ص 408 ؛ </w:t>
      </w:r>
      <w:r w:rsidR="008A74EB" w:rsidRPr="00993B55">
        <w:rPr>
          <w:rStyle w:val="libFootnoteBoldChar"/>
          <w:rtl/>
        </w:rPr>
        <w:t>النهاية</w:t>
      </w:r>
      <w:r w:rsidR="008A74EB" w:rsidRPr="00C9040A">
        <w:rPr>
          <w:rtl/>
        </w:rPr>
        <w:t xml:space="preserve"> ، ج 4 ، ص 248 ( لسع )</w:t>
      </w:r>
      <w:r w:rsidR="008A74EB">
        <w:rPr>
          <w:rtl/>
        </w:rPr>
        <w:t>.</w:t>
      </w:r>
    </w:p>
    <w:p w:rsidR="008A74EB" w:rsidRPr="00C9040A" w:rsidRDefault="006C577F" w:rsidP="00C822D0">
      <w:pPr>
        <w:pStyle w:val="libFootnote0"/>
        <w:rPr>
          <w:rtl/>
          <w:lang w:bidi="fa-IR"/>
        </w:rPr>
      </w:pPr>
      <w:r>
        <w:rPr>
          <w:rtl/>
        </w:rPr>
        <w:t>(5).</w:t>
      </w:r>
      <w:r w:rsidR="008A74EB" w:rsidRPr="00C9040A">
        <w:rPr>
          <w:rtl/>
        </w:rPr>
        <w:t xml:space="preserve"> </w:t>
      </w:r>
      <w:r w:rsidR="008A74EB" w:rsidRPr="00993B55">
        <w:rPr>
          <w:rStyle w:val="libFootnoteBoldChar"/>
          <w:rtl/>
        </w:rPr>
        <w:t>الفقيه</w:t>
      </w:r>
      <w:r w:rsidR="008A74EB" w:rsidRPr="00C9040A">
        <w:rPr>
          <w:rtl/>
        </w:rPr>
        <w:t xml:space="preserve"> ، ج 4 ، ص 378 ، ح 5785 ؛ </w:t>
      </w:r>
      <w:r w:rsidR="008A74EB" w:rsidRPr="00993B55">
        <w:rPr>
          <w:rStyle w:val="libFootnoteBoldChar"/>
          <w:rtl/>
        </w:rPr>
        <w:t>علل الشرائع</w:t>
      </w:r>
      <w:r w:rsidR="008A74EB" w:rsidRPr="00C9040A">
        <w:rPr>
          <w:rtl/>
        </w:rPr>
        <w:t xml:space="preserve"> ، ص 49 ، ذيل الحديث الطويل 1 ، وفيهما مرسلاً عن النبيّ </w:t>
      </w:r>
      <w:r w:rsidR="004A4E41" w:rsidRPr="00963595">
        <w:rPr>
          <w:rStyle w:val="libFootnoteAlaemChar"/>
          <w:rtl/>
        </w:rPr>
        <w:t>صلى‌الله‌عليه‌وآله</w:t>
      </w:r>
      <w:r w:rsidR="008A74EB" w:rsidRPr="00C9040A">
        <w:rPr>
          <w:rtl/>
        </w:rPr>
        <w:t xml:space="preserve"> ، هكذا : « لا يلسع المؤمن من جحر مرّتين » ؛ </w:t>
      </w:r>
      <w:r w:rsidR="008A74EB" w:rsidRPr="00993B55">
        <w:rPr>
          <w:rStyle w:val="libFootnoteBoldChar"/>
          <w:rtl/>
        </w:rPr>
        <w:t>تنزيه الأنبياء</w:t>
      </w:r>
      <w:r w:rsidR="008A74EB" w:rsidRPr="00C9040A">
        <w:rPr>
          <w:rtl/>
        </w:rPr>
        <w:t xml:space="preserve"> </w:t>
      </w:r>
      <w:r w:rsidR="00117575" w:rsidRPr="00117575">
        <w:rPr>
          <w:rStyle w:val="libFootnoteAlaemChar"/>
          <w:rtl/>
        </w:rPr>
        <w:t>عليهم‌السلام</w:t>
      </w:r>
      <w:r w:rsidR="008A74EB" w:rsidRPr="00C9040A">
        <w:rPr>
          <w:rtl/>
        </w:rPr>
        <w:t xml:space="preserve"> ، ص 74 ، مرسلاً عن النبيّ </w:t>
      </w:r>
      <w:r w:rsidR="004A4E41" w:rsidRPr="00963595">
        <w:rPr>
          <w:rStyle w:val="libFootnoteAlaemChar"/>
          <w:rtl/>
        </w:rPr>
        <w:t>صلى‌الله‌عليه‌وآله</w:t>
      </w:r>
      <w:r w:rsidR="008A74EB" w:rsidRPr="00C9040A">
        <w:rPr>
          <w:rtl/>
        </w:rPr>
        <w:t xml:space="preserve"> ، وتمام الرواية فيه : « لن يلدغ المؤمن من جحر مرّتين » ؛ </w:t>
      </w:r>
      <w:r w:rsidR="008A74EB" w:rsidRPr="00993B55">
        <w:rPr>
          <w:rStyle w:val="libFootnoteBoldChar"/>
          <w:rtl/>
        </w:rPr>
        <w:t>الاختصاص</w:t>
      </w:r>
      <w:r w:rsidR="008A74EB" w:rsidRPr="00C9040A">
        <w:rPr>
          <w:rtl/>
        </w:rPr>
        <w:t xml:space="preserve"> ، ص 245 ، مرسلاً عن الصادق </w:t>
      </w:r>
      <w:r w:rsidR="00C822D0" w:rsidRPr="00117575">
        <w:rPr>
          <w:rStyle w:val="libFootnoteAlaemChar"/>
          <w:rtl/>
        </w:rPr>
        <w:t>عليه‌السلام</w:t>
      </w:r>
      <w:r w:rsidR="00C822D0" w:rsidRPr="00C9040A">
        <w:rPr>
          <w:rtl/>
        </w:rPr>
        <w:t xml:space="preserve"> </w:t>
      </w:r>
      <w:r w:rsidR="008A74EB" w:rsidRPr="00C9040A">
        <w:rPr>
          <w:rtl/>
        </w:rPr>
        <w:t xml:space="preserve">، وتمام الرواية فيه : « لا يلسع العاقل من جحر مرّتين » </w:t>
      </w:r>
      <w:r w:rsidR="00963595">
        <w:rPr>
          <w:rFonts w:hint="cs"/>
          <w:rtl/>
        </w:rPr>
        <w:t>.</w:t>
      </w:r>
      <w:r w:rsidR="008A74EB" w:rsidRPr="00993B55">
        <w:rPr>
          <w:rStyle w:val="libFootnoteBoldChar"/>
          <w:rtl/>
        </w:rPr>
        <w:t>الوافي</w:t>
      </w:r>
      <w:r w:rsidR="008A74EB" w:rsidRPr="00C9040A">
        <w:rPr>
          <w:rtl/>
        </w:rPr>
        <w:t xml:space="preserve"> ، ج 4 ، ص 168 ، ح 1772 ؛ </w:t>
      </w:r>
      <w:r w:rsidR="008A74EB" w:rsidRPr="00993B55">
        <w:rPr>
          <w:rStyle w:val="libFootnoteBoldChar"/>
          <w:rtl/>
        </w:rPr>
        <w:t>الوسائل</w:t>
      </w:r>
      <w:r w:rsidR="008A74EB" w:rsidRPr="00C9040A">
        <w:rPr>
          <w:rtl/>
        </w:rPr>
        <w:t xml:space="preserve"> ، ج 15 ، ص 193 ، ح 20255 ؛ </w:t>
      </w:r>
      <w:r w:rsidR="008A74EB" w:rsidRPr="00993B55">
        <w:rPr>
          <w:rStyle w:val="libFootnoteBoldChar"/>
          <w:rtl/>
        </w:rPr>
        <w:t>البحار</w:t>
      </w:r>
      <w:r w:rsidR="008A74EB" w:rsidRPr="00C9040A">
        <w:rPr>
          <w:rtl/>
        </w:rPr>
        <w:t xml:space="preserve"> ، ج 67 ، ص 362 ، ح 67.</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لم نجد عنوان سهل بن الحارث في ما تتبّعنا من الأسناد وكتب الرجال ، والخبر رواه الشيخ الصدوق في </w:t>
      </w:r>
      <w:r w:rsidR="008A74EB" w:rsidRPr="00993B55">
        <w:rPr>
          <w:rStyle w:val="libFootnoteBoldChar"/>
          <w:rtl/>
        </w:rPr>
        <w:t>الخصال</w:t>
      </w:r>
      <w:r w:rsidR="008A74EB" w:rsidRPr="00C9040A">
        <w:rPr>
          <w:rtl/>
        </w:rPr>
        <w:t xml:space="preserve"> ، ص 82 ، ح 7 ؛ وفي </w:t>
      </w:r>
      <w:r w:rsidR="008A74EB" w:rsidRPr="00993B55">
        <w:rPr>
          <w:rStyle w:val="libFootnoteBoldChar"/>
          <w:rtl/>
        </w:rPr>
        <w:t>عيون الأخبار</w:t>
      </w:r>
      <w:r w:rsidR="008A74EB" w:rsidRPr="00C9040A">
        <w:rPr>
          <w:rtl/>
        </w:rPr>
        <w:t xml:space="preserve"> ، ج 1 ، ص 252 ، ح 9 ، بسنده عن محمّد بن أحمد [ بن يحيى بن عمران الأشعري ] قال : حدّثني سهل بن زياد ، عن الحارث بن الدلهاث مولى الرضا </w:t>
      </w:r>
      <w:r w:rsidR="00117575" w:rsidRPr="00117575">
        <w:rPr>
          <w:rStyle w:val="libFootnoteAlaemChar"/>
          <w:rtl/>
        </w:rPr>
        <w:t xml:space="preserve">عليه‌السلام </w:t>
      </w:r>
      <w:r w:rsidR="008A74EB" w:rsidRPr="00C9040A">
        <w:rPr>
          <w:rtl/>
        </w:rPr>
        <w:t xml:space="preserve">، قال : سمعت أبا الحسن </w:t>
      </w:r>
      <w:r w:rsidR="00117575" w:rsidRPr="00117575">
        <w:rPr>
          <w:rStyle w:val="libFootnoteAlaemChar"/>
          <w:rtl/>
        </w:rPr>
        <w:t>عليه‌السلام</w:t>
      </w:r>
      <w:r w:rsidR="008A74EB" w:rsidRPr="00C9040A">
        <w:rPr>
          <w:rtl/>
        </w:rPr>
        <w:t xml:space="preserve"> يقول.</w:t>
      </w:r>
    </w:p>
    <w:p w:rsidR="008A74EB" w:rsidRPr="00C9040A" w:rsidRDefault="008A74EB" w:rsidP="004A4E41">
      <w:pPr>
        <w:pStyle w:val="libFootnote0"/>
        <w:rPr>
          <w:rtl/>
          <w:lang w:bidi="fa-IR"/>
        </w:rPr>
      </w:pPr>
      <w:r w:rsidRPr="0082575F">
        <w:rPr>
          <w:rtl/>
        </w:rPr>
        <w:t>فعليه ، الظاهر وقوع التحريف في ما نحن فيه ، والصواب « سهل ، عن الحارث بن الدلهاث مولى الرضا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عَنِ الدِّلْهَاثِ مَوْلَى الرِّضَا </w:t>
      </w:r>
      <w:r w:rsidRPr="0003660B">
        <w:rPr>
          <w:rStyle w:val="libAlaemChar"/>
          <w:rtl/>
        </w:rPr>
        <w:t>عليه‌السلام</w:t>
      </w:r>
      <w:r w:rsidRPr="00C9040A">
        <w:rPr>
          <w:rtl/>
          <w:lang w:bidi="fa-IR"/>
        </w:rPr>
        <w:t xml:space="preserve"> ، قَالَ : سَمِعْتُ الرِّضَا </w:t>
      </w:r>
      <w:r w:rsidRPr="0003660B">
        <w:rPr>
          <w:rStyle w:val="libAlaemChar"/>
          <w:rtl/>
        </w:rPr>
        <w:t>عليه‌السلام</w:t>
      </w:r>
      <w:r w:rsidRPr="00C9040A">
        <w:rPr>
          <w:rtl/>
          <w:lang w:bidi="fa-IR"/>
        </w:rPr>
        <w:t xml:space="preserve"> يَقُولُ : « لَا يَكُونُ الْمُؤْمِنُ مُؤْمِناً حَتّى يَكُونَ </w:t>
      </w:r>
      <w:r w:rsidR="006C577F" w:rsidRPr="006C577F">
        <w:rPr>
          <w:rStyle w:val="libFootnotenumChar"/>
          <w:rtl/>
        </w:rPr>
        <w:t>(1)</w:t>
      </w:r>
      <w:r w:rsidRPr="00C9040A">
        <w:rPr>
          <w:rtl/>
          <w:lang w:bidi="fa-IR"/>
        </w:rPr>
        <w:t xml:space="preserve"> فِيهِ ثَلَاثُ خِصَالٍ : سُنَّةٌ مِنْ رَبِّهِ ، وَسُنَّةٌ مِنْ نَبِيِّهِ ، وَسُنَّةٌ مِنْ وَلِيِّهِ.</w:t>
      </w:r>
    </w:p>
    <w:p w:rsidR="008A74EB" w:rsidRPr="00C9040A" w:rsidRDefault="008A74EB" w:rsidP="008A74EB">
      <w:pPr>
        <w:pStyle w:val="libNormal"/>
        <w:rPr>
          <w:rtl/>
          <w:lang w:bidi="fa-IR"/>
        </w:rPr>
      </w:pPr>
      <w:r w:rsidRPr="00C9040A">
        <w:rPr>
          <w:rtl/>
          <w:lang w:bidi="fa-IR"/>
        </w:rPr>
        <w:t xml:space="preserve">فَأَمَّا </w:t>
      </w:r>
      <w:r w:rsidR="006C577F" w:rsidRPr="006C577F">
        <w:rPr>
          <w:rStyle w:val="libFootnotenumChar"/>
          <w:rtl/>
        </w:rPr>
        <w:t>(2)</w:t>
      </w:r>
      <w:r w:rsidRPr="00C9040A">
        <w:rPr>
          <w:rtl/>
          <w:lang w:bidi="fa-IR"/>
        </w:rPr>
        <w:t xml:space="preserve"> السُّنَّةُ </w:t>
      </w:r>
      <w:r w:rsidR="006C577F" w:rsidRPr="006C577F">
        <w:rPr>
          <w:rStyle w:val="libFootnotenumChar"/>
          <w:rtl/>
        </w:rPr>
        <w:t>(3)</w:t>
      </w:r>
      <w:r w:rsidRPr="00C9040A">
        <w:rPr>
          <w:rtl/>
          <w:lang w:bidi="fa-IR"/>
        </w:rPr>
        <w:t xml:space="preserve"> مِنْ رَبِّهِ ، فَكِتْمَانُ </w:t>
      </w:r>
      <w:r w:rsidR="006C577F" w:rsidRPr="006C577F">
        <w:rPr>
          <w:rStyle w:val="libFootnotenumChar"/>
          <w:rtl/>
        </w:rPr>
        <w:t>(4)</w:t>
      </w:r>
      <w:r w:rsidRPr="00C9040A">
        <w:rPr>
          <w:rtl/>
          <w:lang w:bidi="fa-IR"/>
        </w:rPr>
        <w:t xml:space="preserve"> سِرِّهِ ؛ قَالَ اللهُ عَزَّ وَجَلَّ : </w:t>
      </w:r>
      <w:r w:rsidRPr="0003660B">
        <w:rPr>
          <w:rStyle w:val="libAlaemChar"/>
          <w:rtl/>
        </w:rPr>
        <w:t>(</w:t>
      </w:r>
      <w:r w:rsidRPr="006A2246">
        <w:rPr>
          <w:rStyle w:val="libAieChar"/>
          <w:rtl/>
        </w:rPr>
        <w:t xml:space="preserve"> عالِمُ الْغَيْبِ فَلا يُظْهِرُ عَلى غَيْبِهِ أَحَداً </w:t>
      </w:r>
      <w:r w:rsidR="00963595">
        <w:rPr>
          <w:rStyle w:val="libAieChar"/>
          <w:rFonts w:hint="cs"/>
          <w:rtl/>
        </w:rPr>
        <w:t xml:space="preserve">* </w:t>
      </w:r>
      <w:r w:rsidR="00963595">
        <w:rPr>
          <w:rStyle w:val="libAieChar"/>
          <w:rtl/>
        </w:rPr>
        <w:t>إِل</w:t>
      </w:r>
      <w:r w:rsidR="00963595">
        <w:rPr>
          <w:rStyle w:val="libAieChar"/>
          <w:rFonts w:hint="cs"/>
          <w:rtl/>
        </w:rPr>
        <w:t>ّ</w:t>
      </w:r>
      <w:r w:rsidR="00963595">
        <w:rPr>
          <w:rStyle w:val="libAieChar"/>
          <w:rtl/>
        </w:rPr>
        <w:t>ا</w:t>
      </w:r>
      <w:r w:rsidRPr="006A2246">
        <w:rPr>
          <w:rStyle w:val="libAieChar"/>
          <w:rtl/>
        </w:rPr>
        <w:t xml:space="preserve"> مَنِ ارْتَضى مِنْ رَسُولٍ </w:t>
      </w:r>
      <w:r w:rsidRPr="0003660B">
        <w:rPr>
          <w:rStyle w:val="libAlaemChar"/>
          <w:rtl/>
        </w:rPr>
        <w:t>)</w:t>
      </w:r>
      <w:r w:rsidRPr="00C9040A">
        <w:rPr>
          <w:rtl/>
          <w:lang w:bidi="fa-IR"/>
        </w:rPr>
        <w:t xml:space="preserve"> </w:t>
      </w:r>
      <w:r w:rsidR="006C577F" w:rsidRPr="006C577F">
        <w:rPr>
          <w:rStyle w:val="libFootnotenumChar"/>
          <w:rtl/>
        </w:rPr>
        <w:t>(5)</w:t>
      </w:r>
      <w:r w:rsidR="00963595" w:rsidRPr="00963595">
        <w:rPr>
          <w:rFonts w:hint="cs"/>
          <w:rtl/>
        </w:rPr>
        <w:t>.</w:t>
      </w:r>
    </w:p>
    <w:p w:rsidR="008A74EB" w:rsidRPr="00C9040A" w:rsidRDefault="008A74EB" w:rsidP="002E775C">
      <w:pPr>
        <w:pStyle w:val="libNormal"/>
        <w:rPr>
          <w:rtl/>
          <w:lang w:bidi="fa-IR"/>
        </w:rPr>
      </w:pPr>
      <w:r w:rsidRPr="00C9040A">
        <w:rPr>
          <w:rtl/>
          <w:lang w:bidi="fa-IR"/>
        </w:rPr>
        <w:t xml:space="preserve">وَأَمَّا السُّنَّةُ </w:t>
      </w:r>
      <w:r w:rsidR="006C577F" w:rsidRPr="006C577F">
        <w:rPr>
          <w:rStyle w:val="libFootnotenumChar"/>
          <w:rtl/>
        </w:rPr>
        <w:t>(6)</w:t>
      </w:r>
      <w:r w:rsidRPr="005B567D">
        <w:rPr>
          <w:rStyle w:val="libFootnotenumChar"/>
          <w:rtl/>
        </w:rPr>
        <w:t xml:space="preserve"> </w:t>
      </w:r>
      <w:r w:rsidRPr="00C9040A">
        <w:rPr>
          <w:rtl/>
          <w:lang w:bidi="fa-IR"/>
        </w:rPr>
        <w:t>مِنْ نَبِيِّهِ ، فَمُدَارَاةُ النَّاسِ ؛ فَإِنَّ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أَمَرَ نَبِيَّهُ </w:t>
      </w:r>
      <w:r w:rsidR="004A4E41" w:rsidRPr="004A4E41">
        <w:rPr>
          <w:rStyle w:val="libAlaemChar"/>
          <w:rtl/>
        </w:rPr>
        <w:t>صلى‌الله‌عليه‌وآله</w:t>
      </w:r>
      <w:r w:rsidRPr="00C9040A">
        <w:rPr>
          <w:rtl/>
          <w:lang w:bidi="fa-IR"/>
        </w:rPr>
        <w:t xml:space="preserve"> بِمُدَارَاةِ النَّاسِ ، فَقَالَ : </w:t>
      </w:r>
      <w:r w:rsidRPr="0003660B">
        <w:rPr>
          <w:rStyle w:val="libAlaemChar"/>
          <w:rtl/>
        </w:rPr>
        <w:t>(</w:t>
      </w:r>
      <w:r w:rsidRPr="006A2246">
        <w:rPr>
          <w:rStyle w:val="libAieChar"/>
          <w:rtl/>
        </w:rPr>
        <w:t xml:space="preserve"> خُذِ الْعَفْوَ وَأْمُرْ بِالْعُرْفِ </w:t>
      </w:r>
      <w:r w:rsidRPr="0003660B">
        <w:rPr>
          <w:rStyle w:val="libAlaemChar"/>
          <w:rtl/>
        </w:rPr>
        <w:t>)</w:t>
      </w:r>
      <w:r w:rsidRPr="00C9040A">
        <w:rPr>
          <w:rtl/>
          <w:lang w:bidi="fa-IR"/>
        </w:rPr>
        <w:t xml:space="preserve"> </w:t>
      </w:r>
      <w:r w:rsidR="006C577F" w:rsidRPr="006C577F">
        <w:rPr>
          <w:rStyle w:val="libFootnotenumChar"/>
          <w:rtl/>
        </w:rPr>
        <w:t>(7)</w:t>
      </w:r>
      <w:r w:rsidR="002E775C" w:rsidRPr="002E775C">
        <w:rPr>
          <w:rFonts w:hint="cs"/>
          <w:rtl/>
        </w:rPr>
        <w:t>.</w:t>
      </w:r>
    </w:p>
    <w:p w:rsidR="008A74EB" w:rsidRPr="00C9040A" w:rsidRDefault="008A74EB" w:rsidP="008A74EB">
      <w:pPr>
        <w:pStyle w:val="libNormal"/>
        <w:rPr>
          <w:rtl/>
          <w:lang w:bidi="fa-IR"/>
        </w:rPr>
      </w:pPr>
      <w:r w:rsidRPr="00C9040A">
        <w:rPr>
          <w:rtl/>
          <w:lang w:bidi="fa-IR"/>
        </w:rPr>
        <w:t xml:space="preserve">وَأَمَّا السُّنَّةُ </w:t>
      </w:r>
      <w:r w:rsidR="006C577F" w:rsidRPr="006C577F">
        <w:rPr>
          <w:rStyle w:val="libFootnotenumChar"/>
          <w:rtl/>
        </w:rPr>
        <w:t>(8)</w:t>
      </w:r>
      <w:r w:rsidRPr="00C9040A">
        <w:rPr>
          <w:rtl/>
          <w:lang w:bidi="fa-IR"/>
        </w:rPr>
        <w:t xml:space="preserve"> مِنْ وَلِيِّهِ ، فَالصَّبْرُ فِي </w:t>
      </w:r>
      <w:r w:rsidR="006C577F" w:rsidRPr="006C577F">
        <w:rPr>
          <w:rStyle w:val="libFootnotenumChar"/>
          <w:rtl/>
        </w:rPr>
        <w:t>(9)</w:t>
      </w:r>
      <w:r w:rsidRPr="00C9040A">
        <w:rPr>
          <w:rtl/>
          <w:lang w:bidi="fa-IR"/>
        </w:rPr>
        <w:t xml:space="preserve"> الْبَأْسَاءِ </w:t>
      </w:r>
      <w:r w:rsidR="006C577F" w:rsidRPr="006C577F">
        <w:rPr>
          <w:rStyle w:val="libFootnotenumChar"/>
          <w:rtl/>
        </w:rPr>
        <w:t>(10)</w:t>
      </w:r>
      <w:r w:rsidRPr="00C9040A">
        <w:rPr>
          <w:rtl/>
          <w:lang w:bidi="fa-IR"/>
        </w:rPr>
        <w:t xml:space="preserve"> وَالضَّرَّاءِ </w:t>
      </w:r>
      <w:r w:rsidR="006C577F" w:rsidRPr="006C577F">
        <w:rPr>
          <w:rStyle w:val="libFootnotenumChar"/>
          <w:rtl/>
        </w:rPr>
        <w:t>(11)</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(12)</w:t>
      </w:r>
      <w:r w:rsidRPr="00C9040A">
        <w:rPr>
          <w:rtl/>
          <w:lang w:bidi="fa-IR"/>
        </w:rPr>
        <w:t>‌</w:t>
      </w:r>
    </w:p>
    <w:p w:rsidR="008A74EB" w:rsidRPr="00C9040A" w:rsidRDefault="008A74EB" w:rsidP="008A74EB">
      <w:pPr>
        <w:pStyle w:val="libLine"/>
        <w:rPr>
          <w:rtl/>
          <w:lang w:bidi="fa-IR"/>
        </w:rPr>
      </w:pPr>
      <w:r w:rsidRPr="00C9040A">
        <w:rPr>
          <w:rtl/>
          <w:lang w:bidi="fa-IR"/>
        </w:rPr>
        <w:t>__________________</w:t>
      </w:r>
    </w:p>
    <w:p w:rsidR="008A74EB" w:rsidRPr="00C9040A" w:rsidRDefault="002E775C" w:rsidP="004A4E41">
      <w:pPr>
        <w:pStyle w:val="libFootnote0"/>
        <w:rPr>
          <w:rtl/>
          <w:lang w:bidi="fa-IR"/>
        </w:rPr>
      </w:pPr>
      <w:r>
        <w:rPr>
          <w:rFonts w:hint="cs"/>
          <w:rtl/>
        </w:rPr>
        <w:t xml:space="preserve">= </w:t>
      </w:r>
      <w:r w:rsidR="008A74EB" w:rsidRPr="00323A39">
        <w:rPr>
          <w:rtl/>
        </w:rPr>
        <w:t xml:space="preserve">يؤيّد ذلك أنّ الخبر رواه الشيخ الصدوق في </w:t>
      </w:r>
      <w:r w:rsidR="008A74EB" w:rsidRPr="00993B55">
        <w:rPr>
          <w:rStyle w:val="libFootnoteBoldChar"/>
          <w:rtl/>
        </w:rPr>
        <w:t>معاني الأخبار</w:t>
      </w:r>
      <w:r w:rsidR="008A74EB" w:rsidRPr="00323A39">
        <w:rPr>
          <w:rtl/>
        </w:rPr>
        <w:t xml:space="preserve"> ، ص 184 ، ح 1 ؛ وفي </w:t>
      </w:r>
      <w:r w:rsidR="008A74EB" w:rsidRPr="00993B55">
        <w:rPr>
          <w:rStyle w:val="libFootnoteBoldChar"/>
          <w:rtl/>
        </w:rPr>
        <w:t>الأمالي</w:t>
      </w:r>
      <w:r w:rsidR="008A74EB" w:rsidRPr="00323A39">
        <w:rPr>
          <w:rtl/>
        </w:rPr>
        <w:t xml:space="preserve"> ، ص 270 ، المجلس 53 ، ح 8 ، بسند آخر عن سهل بن زياد الآدمي عن مبارك مولى الرضا.</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ص ، </w:t>
      </w:r>
      <w:r w:rsidR="006D3162">
        <w:rPr>
          <w:rtl/>
        </w:rPr>
        <w:t xml:space="preserve">ه </w:t>
      </w:r>
      <w:r w:rsidR="008A74EB" w:rsidRPr="00C9040A">
        <w:rPr>
          <w:rtl/>
        </w:rPr>
        <w:t>، بر » : « تكون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بر » : « وأمّا »</w:t>
      </w:r>
      <w:r w:rsidR="008A74EB">
        <w:rPr>
          <w:rtl/>
        </w:rPr>
        <w:t>.</w:t>
      </w:r>
    </w:p>
    <w:tbl>
      <w:tblPr>
        <w:tblStyle w:val="TableGrid"/>
        <w:bidiVisual/>
        <w:tblW w:w="0" w:type="auto"/>
        <w:tblLook w:val="04A0" w:firstRow="1" w:lastRow="0" w:firstColumn="1" w:lastColumn="0" w:noHBand="0" w:noVBand="1"/>
      </w:tblPr>
      <w:tblGrid>
        <w:gridCol w:w="4006"/>
        <w:gridCol w:w="4006"/>
      </w:tblGrid>
      <w:tr w:rsidR="002E775C" w:rsidTr="002E775C">
        <w:tc>
          <w:tcPr>
            <w:tcW w:w="4006" w:type="dxa"/>
          </w:tcPr>
          <w:p w:rsidR="002E775C" w:rsidRDefault="002E775C" w:rsidP="004A4E41">
            <w:pPr>
              <w:pStyle w:val="libFootnote0"/>
              <w:rPr>
                <w:rtl/>
              </w:rPr>
            </w:pPr>
            <w:r>
              <w:rPr>
                <w:rtl/>
              </w:rPr>
              <w:t>(3).</w:t>
            </w:r>
            <w:r w:rsidRPr="00C9040A">
              <w:rPr>
                <w:rtl/>
              </w:rPr>
              <w:t xml:space="preserve"> في « ض ، </w:t>
            </w:r>
            <w:r>
              <w:rPr>
                <w:rtl/>
              </w:rPr>
              <w:t xml:space="preserve">ه </w:t>
            </w:r>
            <w:r w:rsidRPr="00C9040A">
              <w:rPr>
                <w:rtl/>
              </w:rPr>
              <w:t>» : + « التي »</w:t>
            </w:r>
            <w:r>
              <w:rPr>
                <w:rtl/>
              </w:rPr>
              <w:t>.</w:t>
            </w:r>
          </w:p>
        </w:tc>
        <w:tc>
          <w:tcPr>
            <w:tcW w:w="4006" w:type="dxa"/>
          </w:tcPr>
          <w:p w:rsidR="002E775C" w:rsidRDefault="002E775C" w:rsidP="004A4E41">
            <w:pPr>
              <w:pStyle w:val="libFootnote0"/>
              <w:rPr>
                <w:rtl/>
              </w:rPr>
            </w:pPr>
            <w:r>
              <w:rPr>
                <w:rtl/>
              </w:rPr>
              <w:t>(4).</w:t>
            </w:r>
            <w:r w:rsidRPr="00C9040A">
              <w:rPr>
                <w:rtl/>
              </w:rPr>
              <w:t xml:space="preserve"> في الخصال وصفات الشيعة والعيون : « كتمان »</w:t>
            </w:r>
            <w:r>
              <w:rPr>
                <w:rtl/>
              </w:rPr>
              <w:t>.</w:t>
            </w:r>
          </w:p>
        </w:tc>
      </w:tr>
      <w:tr w:rsidR="002E775C" w:rsidTr="002E775C">
        <w:tc>
          <w:tcPr>
            <w:tcW w:w="4006" w:type="dxa"/>
          </w:tcPr>
          <w:p w:rsidR="002E775C" w:rsidRDefault="002E775C" w:rsidP="004A4E41">
            <w:pPr>
              <w:pStyle w:val="libFootnote0"/>
              <w:rPr>
                <w:rtl/>
              </w:rPr>
            </w:pPr>
            <w:r>
              <w:rPr>
                <w:rtl/>
              </w:rPr>
              <w:t>(5).</w:t>
            </w:r>
            <w:r w:rsidRPr="00C9040A">
              <w:rPr>
                <w:rtl/>
              </w:rPr>
              <w:t xml:space="preserve"> الجنّ (72) : 26 </w:t>
            </w:r>
            <w:r>
              <w:rPr>
                <w:rtl/>
              </w:rPr>
              <w:t>و 2</w:t>
            </w:r>
            <w:r w:rsidRPr="00C9040A">
              <w:rPr>
                <w:rtl/>
              </w:rPr>
              <w:t>7.</w:t>
            </w:r>
          </w:p>
        </w:tc>
        <w:tc>
          <w:tcPr>
            <w:tcW w:w="4006" w:type="dxa"/>
          </w:tcPr>
          <w:p w:rsidR="002E775C" w:rsidRDefault="002E775C" w:rsidP="004A4E41">
            <w:pPr>
              <w:pStyle w:val="libFootnote0"/>
              <w:rPr>
                <w:rtl/>
              </w:rPr>
            </w:pPr>
            <w:r>
              <w:rPr>
                <w:rtl/>
              </w:rPr>
              <w:t xml:space="preserve">(6). </w:t>
            </w:r>
            <w:r w:rsidRPr="00C9040A">
              <w:rPr>
                <w:rtl/>
              </w:rPr>
              <w:t xml:space="preserve">في « ض ، </w:t>
            </w:r>
            <w:r>
              <w:rPr>
                <w:rtl/>
              </w:rPr>
              <w:t xml:space="preserve">ه </w:t>
            </w:r>
            <w:r w:rsidRPr="00C9040A">
              <w:rPr>
                <w:rtl/>
              </w:rPr>
              <w:t>» : + « التي »</w:t>
            </w:r>
            <w:r>
              <w:rPr>
                <w:rtl/>
              </w:rPr>
              <w:t>.</w:t>
            </w:r>
          </w:p>
        </w:tc>
      </w:tr>
    </w:tbl>
    <w:p w:rsidR="008A74EB" w:rsidRPr="00C9040A" w:rsidRDefault="006C577F" w:rsidP="004A4E41">
      <w:pPr>
        <w:pStyle w:val="libFootnote0"/>
        <w:rPr>
          <w:rtl/>
          <w:lang w:bidi="fa-IR"/>
        </w:rPr>
      </w:pPr>
      <w:r>
        <w:rPr>
          <w:rtl/>
        </w:rPr>
        <w:t>(7).</w:t>
      </w:r>
      <w:r w:rsidR="008A74EB" w:rsidRPr="00C9040A">
        <w:rPr>
          <w:rtl/>
        </w:rPr>
        <w:t xml:space="preserve"> الأعراف </w:t>
      </w:r>
      <w:r w:rsidR="00425BED">
        <w:rPr>
          <w:rtl/>
        </w:rPr>
        <w:t>(7)</w:t>
      </w:r>
      <w:r w:rsidR="008A74EB" w:rsidRPr="00C9040A">
        <w:rPr>
          <w:rtl/>
        </w:rPr>
        <w:t xml:space="preserve"> : 199. وفي « ب ، ج ، بس » ومرآة العقول : « بالمعروف »</w:t>
      </w:r>
      <w:r w:rsidR="008A74EB">
        <w:rPr>
          <w:rtl/>
        </w:rPr>
        <w:t>.</w:t>
      </w:r>
      <w:r w:rsidR="008A74EB" w:rsidRPr="00C9040A">
        <w:rPr>
          <w:rtl/>
        </w:rPr>
        <w:t xml:space="preserve"> قال في المرآة : « وأقول : روى الصدوق</w:t>
      </w:r>
      <w:r w:rsidR="008A74EB">
        <w:rPr>
          <w:rtl/>
        </w:rPr>
        <w:t xml:space="preserve"> </w:t>
      </w:r>
      <w:r w:rsidR="0084262C">
        <w:rPr>
          <w:rtl/>
        </w:rPr>
        <w:t>-</w:t>
      </w:r>
      <w:r w:rsidR="008A74EB">
        <w:rPr>
          <w:rtl/>
        </w:rPr>
        <w:t xml:space="preserve"> </w:t>
      </w:r>
      <w:r w:rsidR="00117575" w:rsidRPr="00117575">
        <w:rPr>
          <w:rStyle w:val="libFootnoteAlaemChar"/>
          <w:rtl/>
        </w:rPr>
        <w:t>قدس‌سره</w:t>
      </w:r>
      <w:r w:rsidR="008A74EB">
        <w:rPr>
          <w:rtl/>
        </w:rPr>
        <w:t xml:space="preserve"> </w:t>
      </w:r>
      <w:r w:rsidR="0084262C">
        <w:rPr>
          <w:rtl/>
        </w:rPr>
        <w:t>-</w:t>
      </w:r>
      <w:r w:rsidR="008A74EB">
        <w:rPr>
          <w:rtl/>
        </w:rPr>
        <w:t xml:space="preserve"> </w:t>
      </w:r>
      <w:r w:rsidR="008A74EB" w:rsidRPr="00C9040A">
        <w:rPr>
          <w:rtl/>
        </w:rPr>
        <w:t>في العيون هذا الخبر عن هذا الراوي</w:t>
      </w:r>
      <w:r w:rsidR="008A74EB">
        <w:rPr>
          <w:rFonts w:hint="cs"/>
          <w:rtl/>
        </w:rPr>
        <w:t xml:space="preserve"> </w:t>
      </w:r>
      <w:r w:rsidR="008A74EB" w:rsidRPr="00425BED">
        <w:rPr>
          <w:rStyle w:val="libFootnoteAlaemChar"/>
          <w:rtl/>
        </w:rPr>
        <w:t>(</w:t>
      </w:r>
      <w:r w:rsidR="008A74EB" w:rsidRPr="00883DD5">
        <w:rPr>
          <w:rStyle w:val="libFootnoteAieChar"/>
          <w:rFonts w:hint="cs"/>
          <w:rtl/>
        </w:rPr>
        <w:t xml:space="preserve"> </w:t>
      </w:r>
      <w:r w:rsidR="008A74EB" w:rsidRPr="00883DD5">
        <w:rPr>
          <w:rStyle w:val="libFootnoteAieChar"/>
          <w:rtl/>
        </w:rPr>
        <w:t>وَأَعْرِضْ عَنِ الْجاهِلِينَ</w:t>
      </w:r>
      <w:r w:rsidR="008A74EB" w:rsidRPr="00883DD5">
        <w:rPr>
          <w:rStyle w:val="libFootnoteAieChar"/>
          <w:rFonts w:hint="cs"/>
          <w:rtl/>
        </w:rPr>
        <w:t xml:space="preserve"> </w:t>
      </w:r>
      <w:r w:rsidR="008A74EB" w:rsidRPr="00425BED">
        <w:rPr>
          <w:rStyle w:val="libFootnoteAlaemChar"/>
          <w:rtl/>
        </w:rPr>
        <w:t>)</w:t>
      </w:r>
      <w:r w:rsidR="008A74EB" w:rsidRPr="00C9040A">
        <w:rPr>
          <w:rtl/>
        </w:rPr>
        <w:t xml:space="preserve"> موجود فيه. وزاد في آخره أيضاً : قال الله عزّ وجلّ : </w:t>
      </w:r>
      <w:r w:rsidR="008A74EB" w:rsidRPr="00425BED">
        <w:rPr>
          <w:rStyle w:val="libFootnoteAlaemChar"/>
          <w:rtl/>
        </w:rPr>
        <w:t>(</w:t>
      </w:r>
      <w:r w:rsidR="008A74EB" w:rsidRPr="00883DD5">
        <w:rPr>
          <w:rStyle w:val="libFootnoteAieChar"/>
          <w:rFonts w:hint="cs"/>
          <w:rtl/>
        </w:rPr>
        <w:t xml:space="preserve"> </w:t>
      </w:r>
      <w:r w:rsidR="008A74EB" w:rsidRPr="00883DD5">
        <w:rPr>
          <w:rStyle w:val="libFootnoteAieChar"/>
          <w:rtl/>
        </w:rPr>
        <w:t>وَالصّ</w:t>
      </w:r>
      <w:r w:rsidR="00425BED">
        <w:rPr>
          <w:rStyle w:val="libFootnoteAieChar"/>
          <w:rFonts w:hint="cs"/>
          <w:rtl/>
        </w:rPr>
        <w:t>َ</w:t>
      </w:r>
      <w:r w:rsidR="008A74EB" w:rsidRPr="00883DD5">
        <w:rPr>
          <w:rStyle w:val="libFootnoteAieChar"/>
          <w:rtl/>
        </w:rPr>
        <w:t>ابِرِينَ فِي الْبَأْس</w:t>
      </w:r>
      <w:r w:rsidR="00425BED">
        <w:rPr>
          <w:rStyle w:val="libFootnoteAieChar"/>
          <w:rFonts w:hint="cs"/>
          <w:rtl/>
        </w:rPr>
        <w:t>َ</w:t>
      </w:r>
      <w:r w:rsidR="008A74EB" w:rsidRPr="00883DD5">
        <w:rPr>
          <w:rStyle w:val="libFootnoteAieChar"/>
          <w:rtl/>
        </w:rPr>
        <w:t>اءِ وَالضَّرّ</w:t>
      </w:r>
      <w:r w:rsidR="00425BED">
        <w:rPr>
          <w:rStyle w:val="libFootnoteAieChar"/>
          <w:rFonts w:hint="cs"/>
          <w:rtl/>
        </w:rPr>
        <w:t>َ</w:t>
      </w:r>
      <w:r w:rsidR="008A74EB" w:rsidRPr="00883DD5">
        <w:rPr>
          <w:rStyle w:val="libFootnoteAieChar"/>
          <w:rtl/>
        </w:rPr>
        <w:t>اءِ</w:t>
      </w:r>
      <w:r w:rsidR="008A74EB" w:rsidRPr="00883DD5">
        <w:rPr>
          <w:rStyle w:val="libFootnoteAieChar"/>
          <w:rFonts w:hint="cs"/>
          <w:rtl/>
        </w:rPr>
        <w:t xml:space="preserve"> </w:t>
      </w:r>
      <w:r w:rsidR="008A74EB" w:rsidRPr="00425BED">
        <w:rPr>
          <w:rStyle w:val="libFootnoteAlaemChar"/>
          <w:rtl/>
        </w:rPr>
        <w:t>)</w:t>
      </w:r>
      <w:r w:rsidR="008A74EB" w:rsidRPr="00C9040A">
        <w:rPr>
          <w:rtl/>
        </w:rPr>
        <w:t xml:space="preserve"> [ البقرة </w:t>
      </w:r>
      <w:r w:rsidR="00425BED">
        <w:rPr>
          <w:rtl/>
        </w:rPr>
        <w:t>(2)</w:t>
      </w:r>
      <w:r w:rsidR="008A74EB" w:rsidRPr="00C9040A">
        <w:rPr>
          <w:rtl/>
        </w:rPr>
        <w:t xml:space="preserve"> : 177 ] وكأنّه سقط من النسّاخ »</w:t>
      </w:r>
      <w:r w:rsidR="008A74EB">
        <w:rPr>
          <w:rtl/>
        </w:rPr>
        <w:t>.</w:t>
      </w:r>
      <w:r w:rsidR="008A74EB" w:rsidRPr="00C9040A">
        <w:rPr>
          <w:rtl/>
        </w:rPr>
        <w:t xml:space="preserve"> وفي الأمالي والخصال وصفات الشيعة والعيون والمعاني : + </w:t>
      </w:r>
      <w:r w:rsidR="008A74EB" w:rsidRPr="00425BED">
        <w:rPr>
          <w:rStyle w:val="libFootnoteAlaemChar"/>
          <w:rtl/>
        </w:rPr>
        <w:t>(</w:t>
      </w:r>
      <w:r w:rsidR="008A74EB" w:rsidRPr="00883DD5">
        <w:rPr>
          <w:rStyle w:val="libFootnoteAieChar"/>
          <w:rFonts w:hint="cs"/>
          <w:rtl/>
        </w:rPr>
        <w:t xml:space="preserve"> </w:t>
      </w:r>
      <w:r w:rsidR="008A74EB" w:rsidRPr="00883DD5">
        <w:rPr>
          <w:rStyle w:val="libFootnoteAieChar"/>
          <w:rtl/>
        </w:rPr>
        <w:t>وَأَعْرِضْ عَنِ الْج</w:t>
      </w:r>
      <w:r w:rsidR="00425BED">
        <w:rPr>
          <w:rStyle w:val="libFootnoteAieChar"/>
          <w:rFonts w:hint="cs"/>
          <w:rtl/>
        </w:rPr>
        <w:t>َ</w:t>
      </w:r>
      <w:r w:rsidR="008A74EB" w:rsidRPr="00883DD5">
        <w:rPr>
          <w:rStyle w:val="libFootnoteAieChar"/>
          <w:rtl/>
        </w:rPr>
        <w:t>اهِلِينَ</w:t>
      </w:r>
      <w:r w:rsidR="008A74EB" w:rsidRPr="00883DD5">
        <w:rPr>
          <w:rStyle w:val="libFootnoteAieChar"/>
          <w:rFonts w:hint="cs"/>
          <w:rtl/>
        </w:rPr>
        <w:t xml:space="preserve"> </w:t>
      </w:r>
      <w:r w:rsidR="008A74EB" w:rsidRPr="00425BED">
        <w:rPr>
          <w:rStyle w:val="libFootnoteAlaemChar"/>
          <w:rtl/>
        </w:rPr>
        <w:t>)</w:t>
      </w:r>
      <w:r w:rsidR="008A74EB" w:rsidRPr="00C9040A">
        <w:rPr>
          <w:rtl/>
        </w:rPr>
        <w:t>.</w:t>
      </w:r>
    </w:p>
    <w:tbl>
      <w:tblPr>
        <w:tblStyle w:val="TableGrid"/>
        <w:bidiVisual/>
        <w:tblW w:w="0" w:type="auto"/>
        <w:tblLook w:val="04A0" w:firstRow="1" w:lastRow="0" w:firstColumn="1" w:lastColumn="0" w:noHBand="0" w:noVBand="1"/>
      </w:tblPr>
      <w:tblGrid>
        <w:gridCol w:w="4006"/>
        <w:gridCol w:w="4006"/>
      </w:tblGrid>
      <w:tr w:rsidR="00425BED" w:rsidTr="00425BED">
        <w:tc>
          <w:tcPr>
            <w:tcW w:w="4006" w:type="dxa"/>
          </w:tcPr>
          <w:p w:rsidR="00425BED" w:rsidRDefault="00425BED" w:rsidP="004A4E41">
            <w:pPr>
              <w:pStyle w:val="libFootnote0"/>
              <w:rPr>
                <w:rtl/>
              </w:rPr>
            </w:pPr>
            <w:r>
              <w:rPr>
                <w:rtl/>
              </w:rPr>
              <w:t>(8).</w:t>
            </w:r>
            <w:r w:rsidRPr="00C9040A">
              <w:rPr>
                <w:rtl/>
              </w:rPr>
              <w:t xml:space="preserve"> في « ض ، </w:t>
            </w:r>
            <w:r>
              <w:rPr>
                <w:rtl/>
              </w:rPr>
              <w:t xml:space="preserve">ه </w:t>
            </w:r>
            <w:r w:rsidRPr="00C9040A">
              <w:rPr>
                <w:rtl/>
              </w:rPr>
              <w:t>» : + « التي »</w:t>
            </w:r>
            <w:r>
              <w:rPr>
                <w:rtl/>
              </w:rPr>
              <w:t>.</w:t>
            </w:r>
          </w:p>
        </w:tc>
        <w:tc>
          <w:tcPr>
            <w:tcW w:w="4006" w:type="dxa"/>
          </w:tcPr>
          <w:p w:rsidR="00425BED" w:rsidRDefault="00425BED" w:rsidP="004A4E41">
            <w:pPr>
              <w:pStyle w:val="libFootnote0"/>
              <w:rPr>
                <w:rtl/>
              </w:rPr>
            </w:pPr>
            <w:r>
              <w:rPr>
                <w:rtl/>
              </w:rPr>
              <w:t>(9).</w:t>
            </w:r>
            <w:r w:rsidRPr="00C9040A">
              <w:rPr>
                <w:rtl/>
              </w:rPr>
              <w:t xml:space="preserve"> في « </w:t>
            </w:r>
            <w:r>
              <w:rPr>
                <w:rtl/>
              </w:rPr>
              <w:t xml:space="preserve">ه </w:t>
            </w:r>
            <w:r w:rsidRPr="00C9040A">
              <w:rPr>
                <w:rtl/>
              </w:rPr>
              <w:t>» : « على »</w:t>
            </w:r>
            <w:r>
              <w:rPr>
                <w:rtl/>
              </w:rPr>
              <w:t>.</w:t>
            </w:r>
          </w:p>
        </w:tc>
      </w:tr>
    </w:tbl>
    <w:p w:rsidR="008A74EB" w:rsidRPr="00C9040A" w:rsidRDefault="006C577F" w:rsidP="004A4E41">
      <w:pPr>
        <w:pStyle w:val="libFootnote0"/>
        <w:rPr>
          <w:rtl/>
          <w:lang w:bidi="fa-IR"/>
        </w:rPr>
      </w:pPr>
      <w:r>
        <w:rPr>
          <w:rtl/>
        </w:rPr>
        <w:t>(10).</w:t>
      </w:r>
      <w:r w:rsidR="008A74EB" w:rsidRPr="00C9040A">
        <w:rPr>
          <w:rtl/>
        </w:rPr>
        <w:t xml:space="preserve"> « البأساء » : الشدّة. الصحاح ، ج 3 ، ص 907 ( بأس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في الأمالي والمعاني : + « يقول الله عزّ وجلّ : </w:t>
      </w:r>
      <w:r w:rsidR="008A74EB" w:rsidRPr="00C437B6">
        <w:rPr>
          <w:rStyle w:val="libFootnoteAlaemChar"/>
          <w:rtl/>
        </w:rPr>
        <w:t>(</w:t>
      </w:r>
      <w:r w:rsidR="008A74EB" w:rsidRPr="00883DD5">
        <w:rPr>
          <w:rStyle w:val="libFootnoteAieChar"/>
          <w:rFonts w:hint="cs"/>
          <w:rtl/>
        </w:rPr>
        <w:t xml:space="preserve"> </w:t>
      </w:r>
      <w:r w:rsidR="008A74EB" w:rsidRPr="00883DD5">
        <w:rPr>
          <w:rStyle w:val="libFootnoteAieChar"/>
          <w:rtl/>
        </w:rPr>
        <w:t>وَالصّ</w:t>
      </w:r>
      <w:r w:rsidR="00C437B6">
        <w:rPr>
          <w:rStyle w:val="libFootnoteAieChar"/>
          <w:rFonts w:hint="cs"/>
          <w:rtl/>
        </w:rPr>
        <w:t>َ</w:t>
      </w:r>
      <w:r w:rsidR="008A74EB" w:rsidRPr="00883DD5">
        <w:rPr>
          <w:rStyle w:val="libFootnoteAieChar"/>
          <w:rtl/>
        </w:rPr>
        <w:t>ابِرِينَ فِي الْبَأْساءِ وَالضَّرّ</w:t>
      </w:r>
      <w:r w:rsidR="00C437B6">
        <w:rPr>
          <w:rStyle w:val="libFootnoteAieChar"/>
          <w:rFonts w:hint="cs"/>
          <w:rtl/>
        </w:rPr>
        <w:t>َ</w:t>
      </w:r>
      <w:r w:rsidR="008A74EB" w:rsidRPr="00883DD5">
        <w:rPr>
          <w:rStyle w:val="libFootnoteAieChar"/>
          <w:rtl/>
        </w:rPr>
        <w:t>اءِ ... وَأُول</w:t>
      </w:r>
      <w:r w:rsidR="00C437B6">
        <w:rPr>
          <w:rStyle w:val="libFootnoteAieChar"/>
          <w:rFonts w:hint="cs"/>
          <w:rtl/>
        </w:rPr>
        <w:t>َ</w:t>
      </w:r>
      <w:r w:rsidR="008A74EB" w:rsidRPr="00883DD5">
        <w:rPr>
          <w:rStyle w:val="libFootnoteAieChar"/>
          <w:rtl/>
        </w:rPr>
        <w:t>ئِكَ هُمُ الْمُتَّقُونَ</w:t>
      </w:r>
      <w:r w:rsidR="008A74EB" w:rsidRPr="00883DD5">
        <w:rPr>
          <w:rStyle w:val="libFootnoteAieChar"/>
          <w:rFonts w:hint="cs"/>
          <w:rtl/>
        </w:rPr>
        <w:t xml:space="preserve"> </w:t>
      </w:r>
      <w:r w:rsidR="008A74EB" w:rsidRPr="00C437B6">
        <w:rPr>
          <w:rStyle w:val="libFootnoteAlaemChar"/>
          <w:rtl/>
        </w:rPr>
        <w:t>)</w:t>
      </w:r>
      <w:r w:rsidR="008A74EB" w:rsidRPr="00C9040A">
        <w:rPr>
          <w:rtl/>
        </w:rPr>
        <w:t xml:space="preserve"> »</w:t>
      </w:r>
      <w:r w:rsidR="008A74EB">
        <w:rPr>
          <w:rtl/>
        </w:rPr>
        <w:t>.</w:t>
      </w:r>
      <w:r w:rsidR="008A74EB" w:rsidRPr="00C9040A">
        <w:rPr>
          <w:rtl/>
        </w:rPr>
        <w:t xml:space="preserve"> وفي الخصال وصفات الشيعة والعيون : + « فإنّ الله عزّ وجلّ يقول : </w:t>
      </w:r>
      <w:r w:rsidR="008A74EB" w:rsidRPr="00C437B6">
        <w:rPr>
          <w:rStyle w:val="libFootnoteAlaemChar"/>
          <w:rtl/>
        </w:rPr>
        <w:t>(</w:t>
      </w:r>
      <w:r w:rsidR="008A74EB" w:rsidRPr="00883DD5">
        <w:rPr>
          <w:rStyle w:val="libFootnoteAieChar"/>
          <w:rFonts w:hint="cs"/>
          <w:rtl/>
        </w:rPr>
        <w:t xml:space="preserve"> </w:t>
      </w:r>
      <w:r w:rsidR="008A74EB" w:rsidRPr="00883DD5">
        <w:rPr>
          <w:rStyle w:val="libFootnoteAieChar"/>
          <w:rtl/>
        </w:rPr>
        <w:t>وَالصّ</w:t>
      </w:r>
      <w:r w:rsidR="00C437B6">
        <w:rPr>
          <w:rStyle w:val="libFootnoteAieChar"/>
          <w:rFonts w:hint="cs"/>
          <w:rtl/>
        </w:rPr>
        <w:t>َ</w:t>
      </w:r>
      <w:r w:rsidR="008A74EB" w:rsidRPr="00883DD5">
        <w:rPr>
          <w:rStyle w:val="libFootnoteAieChar"/>
          <w:rtl/>
        </w:rPr>
        <w:t>ابِرِينَ فِي الْبَأْس</w:t>
      </w:r>
      <w:r w:rsidR="00C437B6">
        <w:rPr>
          <w:rStyle w:val="libFootnoteAieChar"/>
          <w:rFonts w:hint="cs"/>
          <w:rtl/>
        </w:rPr>
        <w:t>َ</w:t>
      </w:r>
      <w:r w:rsidR="008A74EB" w:rsidRPr="00883DD5">
        <w:rPr>
          <w:rStyle w:val="libFootnoteAieChar"/>
          <w:rtl/>
        </w:rPr>
        <w:t>اءِ وَالضَّرّ</w:t>
      </w:r>
      <w:r w:rsidR="00C437B6">
        <w:rPr>
          <w:rStyle w:val="libFootnoteAieChar"/>
          <w:rFonts w:hint="cs"/>
          <w:rtl/>
        </w:rPr>
        <w:t>َ</w:t>
      </w:r>
      <w:r w:rsidR="008A74EB" w:rsidRPr="00883DD5">
        <w:rPr>
          <w:rStyle w:val="libFootnoteAieChar"/>
          <w:rtl/>
        </w:rPr>
        <w:t>اءِ</w:t>
      </w:r>
      <w:r w:rsidR="008A74EB" w:rsidRPr="00883DD5">
        <w:rPr>
          <w:rStyle w:val="libFootnoteAieChar"/>
          <w:rFonts w:hint="cs"/>
          <w:rtl/>
        </w:rPr>
        <w:t xml:space="preserve"> </w:t>
      </w:r>
      <w:r w:rsidR="008A74EB" w:rsidRPr="00C437B6">
        <w:rPr>
          <w:rStyle w:val="libFootnoteAlaemChar"/>
          <w:rtl/>
        </w:rPr>
        <w:t>)</w:t>
      </w:r>
      <w:r w:rsidR="008A74EB" w:rsidRPr="00C9040A">
        <w:rPr>
          <w:rtl/>
        </w:rPr>
        <w:t xml:space="preserve"> »</w:t>
      </w:r>
      <w:r w:rsidR="008A74EB">
        <w:rPr>
          <w:rtl/>
        </w:rPr>
        <w:t>.</w:t>
      </w:r>
      <w:r w:rsidR="008A74EB" w:rsidRPr="00C9040A">
        <w:rPr>
          <w:rtl/>
        </w:rPr>
        <w:t xml:space="preserve"> </w:t>
      </w:r>
      <w:r w:rsidR="008A74EB">
        <w:rPr>
          <w:rtl/>
        </w:rPr>
        <w:t>و «</w:t>
      </w:r>
      <w:r w:rsidR="008A74EB" w:rsidRPr="00C9040A">
        <w:rPr>
          <w:rtl/>
        </w:rPr>
        <w:t xml:space="preserve"> الضرّاء » : الزَّمانة والشدّة ، والنقص في الأموال والأنفس. </w:t>
      </w:r>
      <w:r w:rsidR="008A74EB" w:rsidRPr="00993B55">
        <w:rPr>
          <w:rStyle w:val="libFootnoteBoldChar"/>
          <w:rtl/>
        </w:rPr>
        <w:t>القاموس المحيط</w:t>
      </w:r>
      <w:r w:rsidR="008A74EB" w:rsidRPr="00C9040A">
        <w:rPr>
          <w:rtl/>
        </w:rPr>
        <w:t xml:space="preserve"> ، ج 1 ، ص 601 ( ضرر )</w:t>
      </w:r>
      <w:r w:rsidR="008A74EB">
        <w:rPr>
          <w:rtl/>
        </w:rPr>
        <w:t>.</w:t>
      </w:r>
    </w:p>
    <w:p w:rsidR="008A74EB" w:rsidRPr="00C9040A" w:rsidRDefault="006C577F" w:rsidP="00C437B6">
      <w:pPr>
        <w:pStyle w:val="libFootnote0"/>
        <w:rPr>
          <w:rtl/>
          <w:lang w:bidi="fa-IR"/>
        </w:rPr>
      </w:pPr>
      <w:r>
        <w:rPr>
          <w:rtl/>
        </w:rPr>
        <w:t>(12).</w:t>
      </w:r>
      <w:r w:rsidR="008A74EB" w:rsidRPr="00C9040A">
        <w:rPr>
          <w:rtl/>
        </w:rPr>
        <w:t xml:space="preserve"> </w:t>
      </w:r>
      <w:r w:rsidR="008A74EB" w:rsidRPr="00993B55">
        <w:rPr>
          <w:rStyle w:val="libFootnoteBoldChar"/>
          <w:rtl/>
        </w:rPr>
        <w:t>الخصال</w:t>
      </w:r>
      <w:r w:rsidR="008A74EB" w:rsidRPr="00C9040A">
        <w:rPr>
          <w:rtl/>
        </w:rPr>
        <w:t xml:space="preserve"> ، ص 82 ، باب الثلاثة ، ح 7 ؛ و</w:t>
      </w:r>
      <w:r w:rsidR="008A74EB" w:rsidRPr="00993B55">
        <w:rPr>
          <w:rStyle w:val="libFootnoteBoldChar"/>
          <w:rtl/>
        </w:rPr>
        <w:t>صفات الشيعة</w:t>
      </w:r>
      <w:r w:rsidR="008A74EB" w:rsidRPr="00C9040A">
        <w:rPr>
          <w:rtl/>
        </w:rPr>
        <w:t xml:space="preserve"> ، ص 37 ، ح 61 ؛ و</w:t>
      </w:r>
      <w:r w:rsidR="008A74EB" w:rsidRPr="00993B55">
        <w:rPr>
          <w:rStyle w:val="libFootnoteBoldChar"/>
          <w:rtl/>
        </w:rPr>
        <w:t xml:space="preserve">عيون الأخبار </w:t>
      </w:r>
      <w:r w:rsidR="008A74EB" w:rsidRPr="00C9040A">
        <w:rPr>
          <w:rtl/>
        </w:rPr>
        <w:t xml:space="preserve">، ج 1 ، ص 256 ، ح 9 ، بسند آخر عن سهل بن زياد ، عن الحارث بن الدلهاث. وفي </w:t>
      </w:r>
      <w:r w:rsidR="008A74EB" w:rsidRPr="0034021D">
        <w:rPr>
          <w:rStyle w:val="libFootnoteBoldChar"/>
          <w:rtl/>
        </w:rPr>
        <w:t>الأمالي للصدوق</w:t>
      </w:r>
      <w:r w:rsidR="008A74EB" w:rsidRPr="00C9040A">
        <w:rPr>
          <w:rtl/>
        </w:rPr>
        <w:t xml:space="preserve"> ، ص 329 ، المجلس 53 ، ح 8 ؛ و</w:t>
      </w:r>
      <w:r w:rsidR="008A74EB" w:rsidRPr="00993B55">
        <w:rPr>
          <w:rStyle w:val="libFootnoteBoldChar"/>
          <w:rtl/>
        </w:rPr>
        <w:t>معاني الأخبار</w:t>
      </w:r>
      <w:r w:rsidR="008A74EB" w:rsidRPr="00C9040A">
        <w:rPr>
          <w:rtl/>
        </w:rPr>
        <w:t xml:space="preserve"> ، ص 184 ، ح 1 ، بسند آخر عن سهل بن زياد الآدمي ، عن مبارك مولى الرضا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تحف العقول</w:t>
      </w:r>
      <w:r w:rsidR="008A74EB" w:rsidRPr="00C9040A">
        <w:rPr>
          <w:rtl/>
        </w:rPr>
        <w:t xml:space="preserve"> ، ص 442 ، مع اختلاف يسير</w:t>
      </w:r>
      <w:r w:rsidR="00C437B6">
        <w:rPr>
          <w:rFonts w:hint="cs"/>
          <w:rtl/>
        </w:rPr>
        <w:t>.</w:t>
      </w:r>
      <w:r w:rsidR="008A74EB" w:rsidRPr="00993B55">
        <w:rPr>
          <w:rStyle w:val="libFootnoteBoldChar"/>
          <w:rtl/>
        </w:rPr>
        <w:t>الوافي</w:t>
      </w:r>
      <w:r w:rsidR="008A74EB" w:rsidRPr="00C9040A">
        <w:rPr>
          <w:rtl/>
        </w:rPr>
        <w:t xml:space="preserve"> ، ج 4 ، ص 168 ، ح 1773 ؛ </w:t>
      </w:r>
      <w:r w:rsidR="008A74EB" w:rsidRPr="00993B55">
        <w:rPr>
          <w:rStyle w:val="libFootnoteBoldChar"/>
          <w:rtl/>
        </w:rPr>
        <w:t>الوسائل</w:t>
      </w:r>
      <w:r w:rsidR="008A74EB" w:rsidRPr="00C9040A">
        <w:rPr>
          <w:rtl/>
        </w:rPr>
        <w:t xml:space="preserve"> ، ج 15 ، ص 193 ، ح 20256 ؛ </w:t>
      </w:r>
      <w:r w:rsidR="008A74EB" w:rsidRPr="00993B55">
        <w:rPr>
          <w:rStyle w:val="libFootnoteBoldChar"/>
          <w:rtl/>
        </w:rPr>
        <w:t>البحار</w:t>
      </w:r>
      <w:r w:rsidR="008A74EB" w:rsidRPr="00C9040A">
        <w:rPr>
          <w:rtl/>
        </w:rPr>
        <w:t xml:space="preserve"> ، ج 24 ، ص 39 ، ذيل ح 17 ؛ وج 67 ، ص 280 ، ذيل ح 5.</w:t>
      </w:r>
    </w:p>
    <w:p w:rsidR="004B7F34" w:rsidRDefault="004B7F34" w:rsidP="004B7F34">
      <w:pPr>
        <w:pStyle w:val="libNormal"/>
        <w:rPr>
          <w:rtl/>
          <w:lang w:bidi="fa-IR"/>
        </w:rPr>
      </w:pPr>
      <w:r>
        <w:rPr>
          <w:rtl/>
          <w:lang w:bidi="fa-IR"/>
        </w:rPr>
        <w:br w:type="page"/>
      </w:r>
    </w:p>
    <w:p w:rsidR="008A74EB" w:rsidRPr="00C9040A" w:rsidRDefault="008A74EB" w:rsidP="008A74EB">
      <w:pPr>
        <w:pStyle w:val="Heading2Center"/>
        <w:rPr>
          <w:rtl/>
          <w:lang w:bidi="fa-IR"/>
        </w:rPr>
      </w:pPr>
      <w:bookmarkStart w:id="310" w:name="_Toc343795691"/>
      <w:bookmarkStart w:id="311" w:name="_Toc459810815"/>
      <w:bookmarkStart w:id="312" w:name="_Toc35348721"/>
      <w:r w:rsidRPr="00C9040A">
        <w:rPr>
          <w:rtl/>
          <w:lang w:bidi="fa-IR"/>
        </w:rPr>
        <w:t>100</w:t>
      </w:r>
      <w:r>
        <w:rPr>
          <w:rtl/>
          <w:lang w:bidi="fa-IR"/>
        </w:rPr>
        <w:t xml:space="preserve"> </w:t>
      </w:r>
      <w:r w:rsidR="0084262C">
        <w:rPr>
          <w:rtl/>
          <w:lang w:bidi="fa-IR"/>
        </w:rPr>
        <w:t>-</w:t>
      </w:r>
      <w:r>
        <w:rPr>
          <w:rtl/>
          <w:lang w:bidi="fa-IR"/>
        </w:rPr>
        <w:t xml:space="preserve"> </w:t>
      </w:r>
      <w:r w:rsidRPr="00C9040A">
        <w:rPr>
          <w:rtl/>
          <w:lang w:bidi="fa-IR"/>
        </w:rPr>
        <w:t xml:space="preserve">بَابٌ فِي </w:t>
      </w:r>
      <w:r w:rsidR="006C577F" w:rsidRPr="006C577F">
        <w:rPr>
          <w:rStyle w:val="libFootnotenumChar"/>
          <w:rtl/>
        </w:rPr>
        <w:t>(1)</w:t>
      </w:r>
      <w:r>
        <w:rPr>
          <w:rtl/>
        </w:rPr>
        <w:t xml:space="preserve"> </w:t>
      </w:r>
      <w:r w:rsidRPr="00C9040A">
        <w:rPr>
          <w:rtl/>
          <w:lang w:bidi="fa-IR"/>
        </w:rPr>
        <w:t xml:space="preserve">قِلَّةِ عَدَدِ الْمُؤْمِنِينَ </w:t>
      </w:r>
      <w:r w:rsidR="006C577F" w:rsidRPr="006C577F">
        <w:rPr>
          <w:rStyle w:val="libFootnotenumChar"/>
          <w:rtl/>
        </w:rPr>
        <w:t>(2)</w:t>
      </w:r>
      <w:r w:rsidRPr="00C9040A">
        <w:rPr>
          <w:rtl/>
          <w:lang w:bidi="fa-IR"/>
        </w:rPr>
        <w:t xml:space="preserve"> ‌</w:t>
      </w:r>
      <w:bookmarkEnd w:id="310"/>
      <w:bookmarkEnd w:id="311"/>
      <w:bookmarkEnd w:id="312"/>
    </w:p>
    <w:p w:rsidR="008A74EB" w:rsidRPr="00C9040A" w:rsidRDefault="008A74EB" w:rsidP="008A74EB">
      <w:pPr>
        <w:pStyle w:val="libNormal"/>
        <w:rPr>
          <w:rtl/>
          <w:lang w:bidi="fa-IR"/>
        </w:rPr>
      </w:pPr>
      <w:r w:rsidRPr="00DD74C1">
        <w:rPr>
          <w:rtl/>
        </w:rPr>
        <w:t>2319</w:t>
      </w:r>
      <w:r w:rsidRPr="00261CB0">
        <w:rPr>
          <w:rStyle w:val="libBold2Char"/>
          <w:rtl/>
        </w:rPr>
        <w:t xml:space="preserve"> / 1.</w:t>
      </w:r>
      <w:r w:rsidRPr="00C9040A">
        <w:rPr>
          <w:rtl/>
          <w:lang w:bidi="fa-IR"/>
        </w:rPr>
        <w:t xml:space="preserve"> مُحَمَّدُ بْنُ يَحْيى ، عَنْ أَحْمَدَ بْنِ مُحَمَّدِ بْنِ عِيسى ، عَنْ مُحَمَّدِ بْنِ سِنَانٍ ، عَنْ قُتَيْبَةَ الْأَعْشى ، قَالَ :</w:t>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 « الْمُؤْمِنَةُ أَعَزُّ </w:t>
      </w:r>
      <w:r w:rsidR="006C577F" w:rsidRPr="006C577F">
        <w:rPr>
          <w:rStyle w:val="libFootnotenumChar"/>
          <w:rtl/>
        </w:rPr>
        <w:t>(3)</w:t>
      </w:r>
      <w:r w:rsidRPr="00C9040A">
        <w:rPr>
          <w:rtl/>
          <w:lang w:bidi="fa-IR"/>
        </w:rPr>
        <w:t xml:space="preserve"> مِنَ الْمُؤْمِنِ ، وَ</w:t>
      </w:r>
      <w:r>
        <w:rPr>
          <w:rFonts w:hint="cs"/>
          <w:rtl/>
          <w:lang w:bidi="fa-IR"/>
        </w:rPr>
        <w:t xml:space="preserve"> </w:t>
      </w:r>
      <w:r w:rsidR="006C577F" w:rsidRPr="006C577F">
        <w:rPr>
          <w:rStyle w:val="libFootnotenumChar"/>
          <w:rtl/>
        </w:rPr>
        <w:t>(4)</w:t>
      </w:r>
      <w:r w:rsidRPr="00C9040A">
        <w:rPr>
          <w:rtl/>
          <w:lang w:bidi="fa-IR"/>
        </w:rPr>
        <w:t xml:space="preserve"> الْمُؤْمِنُ أَعَزُّ مِنَ الْكِبْرِيتِ الْأَحْمَرِ </w:t>
      </w:r>
      <w:r w:rsidR="006C577F" w:rsidRPr="006C577F">
        <w:rPr>
          <w:rStyle w:val="libFootnotenumChar"/>
          <w:rtl/>
        </w:rPr>
        <w:t>(5)</w:t>
      </w:r>
      <w:r w:rsidRPr="00C9040A">
        <w:rPr>
          <w:rtl/>
          <w:lang w:bidi="fa-IR"/>
        </w:rPr>
        <w:t xml:space="preserve"> ؛ فَمَنْ رَأى مِنْكُمُ الْكِبْرِيتَ الْأَحْمَرَ</w:t>
      </w:r>
      <w:r>
        <w:rPr>
          <w:rtl/>
          <w:lang w:bidi="fa-IR"/>
        </w:rPr>
        <w:t>؟</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Normal"/>
        <w:rPr>
          <w:rtl/>
          <w:lang w:bidi="fa-IR"/>
        </w:rPr>
      </w:pPr>
      <w:r w:rsidRPr="00DD74C1">
        <w:rPr>
          <w:rtl/>
        </w:rPr>
        <w:t>2320</w:t>
      </w:r>
      <w:r w:rsidRPr="00261CB0">
        <w:rPr>
          <w:rStyle w:val="libBold2Char"/>
          <w:rtl/>
        </w:rPr>
        <w:t xml:space="preserve"> / 2.</w:t>
      </w:r>
      <w:r w:rsidRPr="00C9040A">
        <w:rPr>
          <w:rtl/>
          <w:lang w:bidi="fa-IR"/>
        </w:rPr>
        <w:t xml:space="preserve"> عِدَّةٌ مِنْ أَصْحَابِنَا ، عَنْ سَهْلِ بْنِ زِيَادٍ ، عَنِ ابْنِ أَبِي نَجْرَانَ ، عَنْ مُثَنًّى الْحَنَّاطِ ، عَنْ كَامِلٍ التَّمَّارِ ، قَالَ :</w:t>
      </w:r>
    </w:p>
    <w:p w:rsidR="008A74EB" w:rsidRPr="00C9040A" w:rsidRDefault="008A74EB" w:rsidP="008A74EB">
      <w:pPr>
        <w:pStyle w:val="libNormal"/>
        <w:rPr>
          <w:rtl/>
          <w:lang w:bidi="fa-IR"/>
        </w:rPr>
      </w:pPr>
      <w:r w:rsidRPr="00C9040A">
        <w:rPr>
          <w:rtl/>
          <w:lang w:bidi="fa-IR"/>
        </w:rPr>
        <w:t xml:space="preserve">سَمِعْتُ أَبَا جَعْفَرٍ </w:t>
      </w:r>
      <w:r w:rsidRPr="0003660B">
        <w:rPr>
          <w:rStyle w:val="libAlaemChar"/>
          <w:rtl/>
        </w:rPr>
        <w:t>عليه‌السلام</w:t>
      </w:r>
      <w:r w:rsidRPr="00C9040A">
        <w:rPr>
          <w:rtl/>
          <w:lang w:bidi="fa-IR"/>
        </w:rPr>
        <w:t xml:space="preserve"> يَقُولُ : « النَّاسُ كُلُّهُمْ بَهَائِمُ</w:t>
      </w:r>
      <w:r>
        <w:rPr>
          <w:rtl/>
          <w:lang w:bidi="fa-IR"/>
        </w:rPr>
        <w:t xml:space="preserve"> </w:t>
      </w:r>
      <w:r w:rsidR="0084262C">
        <w:rPr>
          <w:rtl/>
          <w:lang w:bidi="fa-IR"/>
        </w:rPr>
        <w:t>-</w:t>
      </w:r>
      <w:r>
        <w:rPr>
          <w:rtl/>
          <w:lang w:bidi="fa-IR"/>
        </w:rPr>
        <w:t xml:space="preserve"> </w:t>
      </w:r>
      <w:r w:rsidRPr="00C9040A">
        <w:rPr>
          <w:rtl/>
          <w:lang w:bidi="fa-IR"/>
        </w:rPr>
        <w:t>ثَلَاثاً</w:t>
      </w:r>
      <w:r>
        <w:rPr>
          <w:rtl/>
          <w:lang w:bidi="fa-IR"/>
        </w:rPr>
        <w:t xml:space="preserve"> </w:t>
      </w:r>
      <w:r w:rsidR="0084262C">
        <w:rPr>
          <w:rtl/>
          <w:lang w:bidi="fa-IR"/>
        </w:rPr>
        <w:t>-</w:t>
      </w:r>
      <w:r>
        <w:rPr>
          <w:rtl/>
          <w:lang w:bidi="fa-IR"/>
        </w:rPr>
        <w:t xml:space="preserve"> </w:t>
      </w:r>
      <w:r w:rsidR="00DA17E5">
        <w:rPr>
          <w:rtl/>
          <w:lang w:bidi="fa-IR"/>
        </w:rPr>
        <w:t>إِل</w:t>
      </w:r>
      <w:r w:rsidR="00DA17E5">
        <w:rPr>
          <w:rFonts w:hint="cs"/>
          <w:rtl/>
          <w:lang w:bidi="fa-IR"/>
        </w:rPr>
        <w:t>َّ</w:t>
      </w:r>
      <w:r w:rsidR="00DA17E5">
        <w:rPr>
          <w:rtl/>
          <w:lang w:bidi="fa-IR"/>
        </w:rPr>
        <w:t>ا</w:t>
      </w:r>
      <w:r w:rsidRPr="00C9040A">
        <w:rPr>
          <w:rtl/>
          <w:lang w:bidi="fa-IR"/>
        </w:rPr>
        <w:t xml:space="preserve"> قَلِيلاً </w:t>
      </w:r>
      <w:r w:rsidR="006C577F" w:rsidRPr="006C577F">
        <w:rPr>
          <w:rStyle w:val="libFootnotenumChar"/>
          <w:rtl/>
        </w:rPr>
        <w:t>(7)</w:t>
      </w:r>
      <w:r w:rsidRPr="00C9040A">
        <w:rPr>
          <w:rtl/>
          <w:lang w:bidi="fa-IR"/>
        </w:rPr>
        <w:t xml:space="preserve"> مِنَ الْمُؤْمِنِينَ ، وَالْمُؤْمِنُ غَرِيبٌ </w:t>
      </w:r>
      <w:r w:rsidR="006C577F" w:rsidRPr="006C577F">
        <w:rPr>
          <w:rStyle w:val="libFootnotenumChar"/>
          <w:rtl/>
        </w:rPr>
        <w:t>(8)</w:t>
      </w:r>
      <w:r>
        <w:rPr>
          <w:rtl/>
          <w:lang w:bidi="fa-IR"/>
        </w:rPr>
        <w:t xml:space="preserve"> </w:t>
      </w:r>
      <w:r w:rsidR="0084262C">
        <w:rPr>
          <w:rtl/>
          <w:lang w:bidi="fa-IR"/>
        </w:rPr>
        <w:t>-</w:t>
      </w:r>
      <w:r>
        <w:rPr>
          <w:rtl/>
          <w:lang w:bidi="fa-IR"/>
        </w:rPr>
        <w:t xml:space="preserve"> </w:t>
      </w:r>
      <w:r w:rsidRPr="00C9040A">
        <w:rPr>
          <w:rtl/>
          <w:lang w:bidi="fa-IR"/>
        </w:rPr>
        <w:t>ثَلَاثَ مَرَّاتٍ</w:t>
      </w:r>
      <w:r>
        <w:rPr>
          <w:rtl/>
          <w:lang w:bidi="fa-IR"/>
        </w:rPr>
        <w:t xml:space="preserve"> </w:t>
      </w:r>
      <w:r w:rsidR="0084262C">
        <w:rPr>
          <w:rtl/>
          <w:lang w:bidi="fa-IR"/>
        </w:rPr>
        <w:t>-</w:t>
      </w:r>
      <w:r>
        <w:rPr>
          <w:rtl/>
          <w:lang w:bidi="fa-IR"/>
        </w:rPr>
        <w:t xml:space="preserve"> </w:t>
      </w:r>
      <w:r w:rsidRPr="00C9040A">
        <w:rPr>
          <w:rtl/>
          <w:lang w:bidi="fa-IR"/>
        </w:rPr>
        <w:t>»</w:t>
      </w:r>
      <w:r>
        <w:rPr>
          <w:rtl/>
          <w:lang w:bidi="fa-IR"/>
        </w:rPr>
        <w:t>.</w:t>
      </w:r>
      <w:r w:rsidRPr="00C9040A">
        <w:rPr>
          <w:rtl/>
          <w:lang w:bidi="fa-IR"/>
        </w:rPr>
        <w:t xml:space="preserve"> </w:t>
      </w:r>
      <w:r w:rsidR="006C577F" w:rsidRPr="006C577F">
        <w:rPr>
          <w:rStyle w:val="libFootnotenumChar"/>
          <w:rtl/>
        </w:rPr>
        <w:t>(9)</w:t>
      </w:r>
      <w:r w:rsidRPr="00C9040A">
        <w:rPr>
          <w:rtl/>
          <w:lang w:bidi="fa-IR"/>
        </w:rPr>
        <w:t xml:space="preserve"> ‌</w:t>
      </w:r>
    </w:p>
    <w:p w:rsidR="008A74EB" w:rsidRPr="00C9040A" w:rsidRDefault="008A74EB" w:rsidP="008A74EB">
      <w:pPr>
        <w:pStyle w:val="libNormal"/>
        <w:rPr>
          <w:rtl/>
          <w:lang w:bidi="fa-IR"/>
        </w:rPr>
      </w:pPr>
      <w:r w:rsidRPr="00DD74C1">
        <w:rPr>
          <w:rtl/>
        </w:rPr>
        <w:t>2321</w:t>
      </w:r>
      <w:r w:rsidRPr="00261CB0">
        <w:rPr>
          <w:rStyle w:val="libBold2Char"/>
          <w:rtl/>
        </w:rPr>
        <w:t xml:space="preserve"> / 3.</w:t>
      </w:r>
      <w:r w:rsidRPr="00C9040A">
        <w:rPr>
          <w:rtl/>
          <w:lang w:bidi="fa-IR"/>
        </w:rPr>
        <w:t xml:space="preserve"> عَلِيُّ بْنُ إِبْرَاهِيمَ ، عَنْ أَبِيهِ ، عَنِ ابْنِ مَحْبُوبٍ </w:t>
      </w:r>
      <w:r w:rsidR="006C577F" w:rsidRPr="006C577F">
        <w:rPr>
          <w:rStyle w:val="libFootnotenumChar"/>
          <w:rtl/>
        </w:rPr>
        <w:t>(10)</w:t>
      </w:r>
      <w:r w:rsidR="00DA17E5">
        <w:rPr>
          <w:rtl/>
          <w:lang w:bidi="fa-IR"/>
        </w:rPr>
        <w:t xml:space="preserve"> </w:t>
      </w:r>
      <w:r w:rsidR="00DA17E5">
        <w:rPr>
          <w:rFonts w:hint="cs"/>
          <w:rtl/>
          <w:lang w:bidi="fa-IR"/>
        </w:rPr>
        <w:t>..................</w:t>
      </w:r>
      <w:r w:rsidR="00DA17E5">
        <w:rPr>
          <w:rFonts w:hint="cs"/>
          <w:rtl/>
          <w:lang w:bidi="fa-IR"/>
        </w:rPr>
        <w:tab/>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201739" w:rsidTr="00201739">
        <w:tc>
          <w:tcPr>
            <w:tcW w:w="4006" w:type="dxa"/>
          </w:tcPr>
          <w:p w:rsidR="00201739" w:rsidRDefault="00201739" w:rsidP="004A4E41">
            <w:pPr>
              <w:pStyle w:val="libFootnote0"/>
              <w:rPr>
                <w:rtl/>
              </w:rPr>
            </w:pPr>
            <w:r>
              <w:rPr>
                <w:rtl/>
              </w:rPr>
              <w:t xml:space="preserve">(1). </w:t>
            </w:r>
            <w:r w:rsidRPr="00C9040A">
              <w:rPr>
                <w:rtl/>
              </w:rPr>
              <w:t xml:space="preserve">في « ض » ومرآة العقول </w:t>
            </w:r>
            <w:r>
              <w:rPr>
                <w:rtl/>
              </w:rPr>
              <w:t>: -</w:t>
            </w:r>
            <w:r w:rsidRPr="00C9040A">
              <w:rPr>
                <w:rtl/>
              </w:rPr>
              <w:t xml:space="preserve"> « في »</w:t>
            </w:r>
            <w:r>
              <w:rPr>
                <w:rtl/>
              </w:rPr>
              <w:t>.</w:t>
            </w:r>
          </w:p>
        </w:tc>
        <w:tc>
          <w:tcPr>
            <w:tcW w:w="4006" w:type="dxa"/>
          </w:tcPr>
          <w:p w:rsidR="00201739" w:rsidRDefault="00201739" w:rsidP="004A4E41">
            <w:pPr>
              <w:pStyle w:val="libFootnote0"/>
              <w:rPr>
                <w:rtl/>
              </w:rPr>
            </w:pPr>
            <w:r>
              <w:rPr>
                <w:rtl/>
              </w:rPr>
              <w:t xml:space="preserve">(2). </w:t>
            </w:r>
            <w:r w:rsidRPr="00C9040A">
              <w:rPr>
                <w:rtl/>
              </w:rPr>
              <w:t>في شرح المازندراني : « باب في قلّة المؤمن »</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عزّ الشي‌ء : قلّ فلا يكاد يوجد ، فهو عزيز. </w:t>
      </w:r>
      <w:r w:rsidR="008A74EB" w:rsidRPr="00993B55">
        <w:rPr>
          <w:rStyle w:val="libFootnoteBoldChar"/>
          <w:rtl/>
        </w:rPr>
        <w:t>القاموس المحيط</w:t>
      </w:r>
      <w:r w:rsidR="008A74EB" w:rsidRPr="00C9040A">
        <w:rPr>
          <w:rtl/>
        </w:rPr>
        <w:t xml:space="preserve"> ، ج 1 ، ص 712 ( عزز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ض » </w:t>
      </w:r>
      <w:r w:rsidR="008A74EB">
        <w:rPr>
          <w:rtl/>
        </w:rPr>
        <w:t xml:space="preserve">: </w:t>
      </w:r>
      <w:r w:rsidR="0084262C">
        <w:rPr>
          <w:rtl/>
        </w:rPr>
        <w:t>-</w:t>
      </w:r>
      <w:r w:rsidR="008A74EB" w:rsidRPr="00C9040A">
        <w:rPr>
          <w:rtl/>
        </w:rPr>
        <w:t xml:space="preserve"> « </w:t>
      </w:r>
      <w:r w:rsidR="008A74EB">
        <w:rPr>
          <w:rtl/>
        </w:rPr>
        <w:t>و ».</w:t>
      </w:r>
    </w:p>
    <w:p w:rsidR="008A74EB" w:rsidRPr="00C9040A" w:rsidRDefault="006C577F" w:rsidP="004A4E41">
      <w:pPr>
        <w:pStyle w:val="libFootnote0"/>
        <w:rPr>
          <w:rtl/>
          <w:lang w:bidi="fa-IR"/>
        </w:rPr>
      </w:pPr>
      <w:r>
        <w:rPr>
          <w:rtl/>
        </w:rPr>
        <w:t>(5).</w:t>
      </w:r>
      <w:r w:rsidR="008A74EB" w:rsidRPr="00C9040A">
        <w:rPr>
          <w:rtl/>
        </w:rPr>
        <w:t xml:space="preserve"> في </w:t>
      </w:r>
      <w:r w:rsidR="008A74EB" w:rsidRPr="00993B55">
        <w:rPr>
          <w:rStyle w:val="libFootnoteBoldChar"/>
          <w:rtl/>
        </w:rPr>
        <w:t>مرآة العقول</w:t>
      </w:r>
      <w:r w:rsidR="008A74EB" w:rsidRPr="00C9040A">
        <w:rPr>
          <w:rtl/>
        </w:rPr>
        <w:t xml:space="preserve"> ، ج 9 ، ص 285 : « المشهور أنّ الكبريت الأحمر هو الجوهر الذي يطلبه أصحاب الكيميا ، وهو الإكسير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الوافي</w:t>
      </w:r>
      <w:r w:rsidR="008A74EB" w:rsidRPr="00C9040A">
        <w:rPr>
          <w:rtl/>
        </w:rPr>
        <w:t xml:space="preserve"> ، ج 5 ، ص 727 ، ح 2937 ؛ </w:t>
      </w:r>
      <w:r w:rsidR="008A74EB" w:rsidRPr="00993B55">
        <w:rPr>
          <w:rStyle w:val="libFootnoteBoldChar"/>
          <w:rtl/>
        </w:rPr>
        <w:t>البحار</w:t>
      </w:r>
      <w:r w:rsidR="008A74EB" w:rsidRPr="00C9040A">
        <w:rPr>
          <w:rtl/>
        </w:rPr>
        <w:t xml:space="preserve"> ، ج 67 ، ص 159 ، ح 3.</w:t>
      </w:r>
    </w:p>
    <w:p w:rsidR="008A74EB" w:rsidRPr="00C9040A" w:rsidRDefault="006C577F" w:rsidP="004A4E41">
      <w:pPr>
        <w:pStyle w:val="libFootnote0"/>
        <w:rPr>
          <w:rtl/>
          <w:lang w:bidi="fa-IR"/>
        </w:rPr>
      </w:pPr>
      <w:r>
        <w:rPr>
          <w:rtl/>
        </w:rPr>
        <w:t>(7).</w:t>
      </w:r>
      <w:r w:rsidR="008A74EB" w:rsidRPr="00C9040A">
        <w:rPr>
          <w:rtl/>
        </w:rPr>
        <w:t xml:space="preserve"> هكذا في حاشية « بج » ومرآة العقول عن بعض النسخ ، وهو الصواب. وفي معظم النسخ والمطبوع والمصادر : « قليل » ، ولاتساعده القواعد النحويّة. وفي « </w:t>
      </w:r>
      <w:r w:rsidR="006D3162">
        <w:rPr>
          <w:rtl/>
        </w:rPr>
        <w:t xml:space="preserve">ه </w:t>
      </w:r>
      <w:r w:rsidR="008A74EB" w:rsidRPr="00C9040A">
        <w:rPr>
          <w:rtl/>
        </w:rPr>
        <w:t>» وحاشية « ض » : « القليل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 ب ، ج ، د ، </w:t>
      </w:r>
      <w:r w:rsidR="006D3162">
        <w:rPr>
          <w:rtl/>
        </w:rPr>
        <w:t xml:space="preserve">ه </w:t>
      </w:r>
      <w:r w:rsidR="008A74EB" w:rsidRPr="00C9040A">
        <w:rPr>
          <w:rtl/>
        </w:rPr>
        <w:t>، بس » وحاشية « ض ، ف ، بف » وشرح المازندراني : « عزيز »</w:t>
      </w:r>
      <w:r w:rsidR="008A74EB">
        <w:rPr>
          <w:rtl/>
        </w:rPr>
        <w:t>.</w:t>
      </w:r>
    </w:p>
    <w:p w:rsidR="008A74EB" w:rsidRPr="00C9040A" w:rsidRDefault="006C577F" w:rsidP="002F1965">
      <w:pPr>
        <w:pStyle w:val="libFootnote0"/>
        <w:rPr>
          <w:rtl/>
          <w:lang w:bidi="fa-IR"/>
        </w:rPr>
      </w:pPr>
      <w:r>
        <w:rPr>
          <w:rtl/>
        </w:rPr>
        <w:t>(9).</w:t>
      </w:r>
      <w:r w:rsidR="008A74EB" w:rsidRPr="00C9040A">
        <w:rPr>
          <w:rtl/>
        </w:rPr>
        <w:t xml:space="preserve"> </w:t>
      </w:r>
      <w:r w:rsidR="008A74EB" w:rsidRPr="00993B55">
        <w:rPr>
          <w:rStyle w:val="libFootnoteBoldChar"/>
          <w:rtl/>
        </w:rPr>
        <w:t>بصائر الدرجات</w:t>
      </w:r>
      <w:r w:rsidR="008A74EB" w:rsidRPr="00C9040A">
        <w:rPr>
          <w:rtl/>
        </w:rPr>
        <w:t xml:space="preserve"> ، ص 522 ، ذيل ح 13 ، بسنده آخر عن كامل التمّار ، مع اختلاف يسير. راجع : </w:t>
      </w:r>
      <w:r w:rsidR="008A74EB" w:rsidRPr="00993B55">
        <w:rPr>
          <w:rStyle w:val="libFootnoteBoldChar"/>
          <w:rtl/>
        </w:rPr>
        <w:t>المحاسن</w:t>
      </w:r>
      <w:r w:rsidR="008A74EB" w:rsidRPr="00C9040A">
        <w:rPr>
          <w:rtl/>
        </w:rPr>
        <w:t xml:space="preserve"> ، ص 271 ، كتاب مصابيح الظلم ، ح 366 ؛ وص 272 ، ح 367</w:t>
      </w:r>
      <w:r w:rsidR="002F1965">
        <w:rPr>
          <w:rFonts w:hint="cs"/>
          <w:rtl/>
        </w:rPr>
        <w:t>.</w:t>
      </w:r>
      <w:r w:rsidR="008A74EB" w:rsidRPr="00993B55">
        <w:rPr>
          <w:rStyle w:val="libFootnoteBoldChar"/>
          <w:rtl/>
        </w:rPr>
        <w:t>الوافي</w:t>
      </w:r>
      <w:r w:rsidR="008A74EB" w:rsidRPr="00C9040A">
        <w:rPr>
          <w:rtl/>
        </w:rPr>
        <w:t xml:space="preserve"> ، ج 5 ، ص 727 ، ح 2938 ؛ </w:t>
      </w:r>
      <w:r w:rsidR="008A74EB" w:rsidRPr="00993B55">
        <w:rPr>
          <w:rStyle w:val="libFootnoteBoldChar"/>
          <w:rtl/>
        </w:rPr>
        <w:t>البحار</w:t>
      </w:r>
      <w:r w:rsidR="008A74EB" w:rsidRPr="00C9040A">
        <w:rPr>
          <w:rtl/>
        </w:rPr>
        <w:t xml:space="preserve"> ، ج 67 ، ص 159 ، ح 4.</w:t>
      </w:r>
    </w:p>
    <w:p w:rsidR="008A74EB" w:rsidRPr="00C9040A" w:rsidRDefault="006C577F" w:rsidP="004A4E41">
      <w:pPr>
        <w:pStyle w:val="libFootnote0"/>
        <w:rPr>
          <w:rtl/>
          <w:lang w:bidi="fa-IR"/>
        </w:rPr>
      </w:pPr>
      <w:r>
        <w:rPr>
          <w:rtl/>
        </w:rPr>
        <w:t>(10).</w:t>
      </w:r>
      <w:r w:rsidR="008A74EB" w:rsidRPr="00C9040A">
        <w:rPr>
          <w:rtl/>
        </w:rPr>
        <w:t xml:space="preserve"> في « </w:t>
      </w:r>
      <w:r w:rsidR="006D3162">
        <w:rPr>
          <w:rtl/>
        </w:rPr>
        <w:t xml:space="preserve">ه </w:t>
      </w:r>
      <w:r w:rsidR="008A74EB" w:rsidRPr="00C9040A">
        <w:rPr>
          <w:rtl/>
        </w:rPr>
        <w:t xml:space="preserve">» </w:t>
      </w:r>
      <w:r w:rsidR="008A74EB">
        <w:rPr>
          <w:rtl/>
        </w:rPr>
        <w:t xml:space="preserve">: </w:t>
      </w:r>
      <w:r w:rsidR="0084262C">
        <w:rPr>
          <w:rtl/>
        </w:rPr>
        <w:t>-</w:t>
      </w:r>
      <w:r w:rsidR="008A74EB" w:rsidRPr="00C9040A">
        <w:rPr>
          <w:rtl/>
        </w:rPr>
        <w:t xml:space="preserve"> « عن ابن محبوب »</w:t>
      </w:r>
      <w:r w:rsidR="008A74EB">
        <w:rPr>
          <w:rtl/>
        </w:rPr>
        <w:t>.</w:t>
      </w:r>
      <w:r w:rsidR="008A74EB" w:rsidRPr="00C9040A">
        <w:rPr>
          <w:rtl/>
        </w:rPr>
        <w:t xml:space="preserve"> وهو سهو ؛ فقد توسّط [ الحسن ] بن محبوب بين إبراهيم بن هاشم‌</w:t>
      </w:r>
      <w:r w:rsidR="008A74EB">
        <w:rPr>
          <w:rFonts w:hint="cs"/>
          <w:rtl/>
        </w:rPr>
        <w:t xml:space="preserve"> </w:t>
      </w:r>
      <w:r w:rsidR="002F1965">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عَنِ </w:t>
      </w:r>
      <w:r w:rsidR="006C577F" w:rsidRPr="006C577F">
        <w:rPr>
          <w:rStyle w:val="libFootnotenumChar"/>
          <w:rtl/>
        </w:rPr>
        <w:t>(1)</w:t>
      </w:r>
      <w:r w:rsidRPr="00C9040A">
        <w:rPr>
          <w:rtl/>
          <w:lang w:bidi="fa-IR"/>
        </w:rPr>
        <w:t xml:space="preserve"> ابْنِ رِئَابٍ قَالَ :</w:t>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لِأَبِي بَصِيرٍ : « أَمَا وَاللهِ ، لَوْ أَنِّي أَجِدُ مِنْكُمْ ثَلَاثَةَ </w:t>
      </w:r>
      <w:r w:rsidR="006C577F" w:rsidRPr="006C577F">
        <w:rPr>
          <w:rStyle w:val="libFootnotenumChar"/>
          <w:rtl/>
        </w:rPr>
        <w:t>(2)</w:t>
      </w:r>
      <w:r w:rsidRPr="00C9040A">
        <w:rPr>
          <w:rtl/>
          <w:lang w:bidi="fa-IR"/>
        </w:rPr>
        <w:t xml:space="preserve"> مُؤْمِنِينَ يَكْتُمُونَ حَدِيثِي ، مَا اسْتَحْلَلْتُ أَنْ أَكْتُمَهُمْ </w:t>
      </w:r>
      <w:r w:rsidR="006C577F" w:rsidRPr="006C577F">
        <w:rPr>
          <w:rStyle w:val="libFootnotenumChar"/>
          <w:rtl/>
        </w:rPr>
        <w:t>(3)</w:t>
      </w:r>
      <w:r w:rsidRPr="00C9040A">
        <w:rPr>
          <w:rtl/>
          <w:lang w:bidi="fa-IR"/>
        </w:rPr>
        <w:t xml:space="preserve"> حَدِيثاً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DD74C1">
        <w:rPr>
          <w:rtl/>
        </w:rPr>
        <w:t>2322</w:t>
      </w:r>
      <w:r w:rsidRPr="00261CB0">
        <w:rPr>
          <w:rStyle w:val="libBold2Char"/>
          <w:rtl/>
        </w:rPr>
        <w:t xml:space="preserve"> / 4.</w:t>
      </w:r>
      <w:r w:rsidRPr="00C9040A">
        <w:rPr>
          <w:rtl/>
          <w:lang w:bidi="fa-IR"/>
        </w:rPr>
        <w:t xml:space="preserve"> مُحَمَّدُ بْنُ الْحَسَنِ </w:t>
      </w:r>
      <w:r w:rsidR="006C577F" w:rsidRPr="006C577F">
        <w:rPr>
          <w:rStyle w:val="libFootnotenumChar"/>
          <w:rtl/>
        </w:rPr>
        <w:t>(5)</w:t>
      </w:r>
      <w:r w:rsidRPr="00C9040A">
        <w:rPr>
          <w:rtl/>
          <w:lang w:bidi="fa-IR"/>
        </w:rPr>
        <w:t xml:space="preserve"> وَعَلِيُّ بْنُ مُحَمَّدِ بْنِ بُنْدَارَ ، عَنْ إِبْرَاهِيمَ بْنِ إِسْحَاقَ ، عَنْ عَبْدِ اللهِ بْنِ حَمَّادٍ الْأَنْصَارِيِّ ، عَنْ سَدِيرٍ الصَّيْرَفِيِّ ، قَالَ :</w:t>
      </w:r>
    </w:p>
    <w:p w:rsidR="008A74EB" w:rsidRPr="00C9040A" w:rsidRDefault="008A74EB" w:rsidP="008A74EB">
      <w:pPr>
        <w:pStyle w:val="libNormal"/>
        <w:rPr>
          <w:rtl/>
          <w:lang w:bidi="fa-IR"/>
        </w:rPr>
      </w:pPr>
      <w:r w:rsidRPr="00C9040A">
        <w:rPr>
          <w:rtl/>
          <w:lang w:bidi="fa-IR"/>
        </w:rPr>
        <w:t xml:space="preserve">دَخَلْتُ عَلى أَبِي عَبْدِ اللهِ </w:t>
      </w:r>
      <w:r w:rsidRPr="0003660B">
        <w:rPr>
          <w:rStyle w:val="libAlaemChar"/>
          <w:rtl/>
        </w:rPr>
        <w:t>عليه‌السلام</w:t>
      </w:r>
      <w:r w:rsidRPr="00C9040A">
        <w:rPr>
          <w:rtl/>
          <w:lang w:bidi="fa-IR"/>
        </w:rPr>
        <w:t xml:space="preserve"> ، فَقُلْتُ لَهُ : وَاللهِ </w:t>
      </w:r>
      <w:r w:rsidR="006C577F" w:rsidRPr="006C577F">
        <w:rPr>
          <w:rStyle w:val="libFootnotenumChar"/>
          <w:rtl/>
        </w:rPr>
        <w:t>(6)</w:t>
      </w:r>
      <w:r w:rsidRPr="005B567D">
        <w:rPr>
          <w:rStyle w:val="libFootnotenumChar"/>
          <w:rtl/>
        </w:rPr>
        <w:t xml:space="preserve"> </w:t>
      </w:r>
      <w:r w:rsidRPr="00C9040A">
        <w:rPr>
          <w:rtl/>
          <w:lang w:bidi="fa-IR"/>
        </w:rPr>
        <w:t xml:space="preserve">مَا يَسَعُكَ الْقُعُودُ ، فَقَالَ </w:t>
      </w:r>
      <w:r w:rsidR="006C577F" w:rsidRPr="006C577F">
        <w:rPr>
          <w:rStyle w:val="libFootnotenumChar"/>
          <w:rtl/>
        </w:rPr>
        <w:t>(7)</w:t>
      </w:r>
      <w:r w:rsidRPr="00C9040A">
        <w:rPr>
          <w:rtl/>
          <w:lang w:bidi="fa-IR"/>
        </w:rPr>
        <w:t xml:space="preserve"> : « وَ</w:t>
      </w:r>
      <w:r>
        <w:rPr>
          <w:rFonts w:hint="cs"/>
          <w:rtl/>
          <w:lang w:bidi="fa-IR"/>
        </w:rPr>
        <w:t xml:space="preserve"> </w:t>
      </w:r>
      <w:r w:rsidR="006C577F" w:rsidRPr="006C577F">
        <w:rPr>
          <w:rStyle w:val="libFootnotenumChar"/>
          <w:rtl/>
        </w:rPr>
        <w:t>(8)</w:t>
      </w:r>
      <w:r w:rsidRPr="00C9040A">
        <w:rPr>
          <w:rtl/>
          <w:lang w:bidi="fa-IR"/>
        </w:rPr>
        <w:t xml:space="preserve"> لِمَ يَا سَدِيرُ</w:t>
      </w:r>
      <w:r>
        <w:rPr>
          <w:rtl/>
          <w:lang w:bidi="fa-IR"/>
        </w:rPr>
        <w:t>؟</w:t>
      </w:r>
      <w:r w:rsidRPr="00C9040A">
        <w:rPr>
          <w:rtl/>
          <w:lang w:bidi="fa-IR"/>
        </w:rPr>
        <w:t xml:space="preserve"> » قُلْتُ : لِكَثْرَةِ مَوَالِيكَ وَشِيعَتِكَ وَأَنْصَارِكَ ؛ وَاللهِ لَوْ كَانَ لِأَمِيرِ الْمُؤْمِنِينَ </w:t>
      </w:r>
      <w:r w:rsidRPr="0003660B">
        <w:rPr>
          <w:rStyle w:val="libAlaemChar"/>
          <w:rtl/>
        </w:rPr>
        <w:t>عليه‌السلام</w:t>
      </w:r>
      <w:r w:rsidRPr="00C9040A">
        <w:rPr>
          <w:rtl/>
          <w:lang w:bidi="fa-IR"/>
        </w:rPr>
        <w:t xml:space="preserve"> مَا لَكَ مِنَ الشِّيعَةِ وَالْأَنْصَارِ وَالْمَوَالِي ، مَا طَمِعَ فِيهِ تَيْمٌ وَلَا عَدِيٌّ ، فَقَالَ : « يَا سَدِيرُ ، وَكَمْ عَسى </w:t>
      </w:r>
      <w:r w:rsidR="006C577F" w:rsidRPr="006C577F">
        <w:rPr>
          <w:rStyle w:val="libFootnotenumChar"/>
          <w:rtl/>
        </w:rPr>
        <w:t>(9)</w:t>
      </w:r>
      <w:r w:rsidRPr="00C9040A">
        <w:rPr>
          <w:rtl/>
          <w:lang w:bidi="fa-IR"/>
        </w:rPr>
        <w:t xml:space="preserve"> أَنْ يَكُونُوا » </w:t>
      </w:r>
      <w:r w:rsidR="006C577F" w:rsidRPr="006C577F">
        <w:rPr>
          <w:rStyle w:val="libFootnotenumChar"/>
          <w:rtl/>
        </w:rPr>
        <w:t>(10)</w:t>
      </w:r>
      <w:r w:rsidRPr="00C9040A">
        <w:rPr>
          <w:rtl/>
          <w:lang w:bidi="fa-IR"/>
        </w:rPr>
        <w:t xml:space="preserve"> قُلْتُ : مِائَةَ أَلْفٍ ، قَالَ : « مِائَةَ أَلْفٍ</w:t>
      </w:r>
      <w:r>
        <w:rPr>
          <w:rtl/>
          <w:lang w:bidi="fa-IR"/>
        </w:rPr>
        <w:t>؟!</w:t>
      </w:r>
      <w:r w:rsidRPr="00C9040A">
        <w:rPr>
          <w:rtl/>
          <w:lang w:bidi="fa-IR"/>
        </w:rPr>
        <w:t xml:space="preserve"> » قُلْتُ : نَعَمْ ، وَمِائَتَيْ أَلْفٍ ، قَالَ </w:t>
      </w:r>
      <w:r w:rsidR="006C577F" w:rsidRPr="006C577F">
        <w:rPr>
          <w:rStyle w:val="libFootnotenumChar"/>
          <w:rtl/>
        </w:rPr>
        <w:t>(11)</w:t>
      </w:r>
      <w:r w:rsidRPr="00C9040A">
        <w:rPr>
          <w:rtl/>
          <w:lang w:bidi="fa-IR"/>
        </w:rPr>
        <w:t xml:space="preserve"> : « مِائَتَيْ أَلْفٍ</w:t>
      </w:r>
      <w:r>
        <w:rPr>
          <w:rtl/>
          <w:lang w:bidi="fa-IR"/>
        </w:rPr>
        <w:t>؟!</w:t>
      </w:r>
      <w:r w:rsidRPr="00C9040A">
        <w:rPr>
          <w:rtl/>
          <w:lang w:bidi="fa-IR"/>
        </w:rPr>
        <w:t xml:space="preserve"> » قُلْتُ : نَعَمْ ، وَنِصْفَ الدُّنْيَا.</w:t>
      </w:r>
    </w:p>
    <w:p w:rsidR="008A74EB" w:rsidRPr="00C9040A" w:rsidRDefault="008A74EB" w:rsidP="008A74EB">
      <w:pPr>
        <w:pStyle w:val="libNormal"/>
        <w:rPr>
          <w:rtl/>
          <w:lang w:bidi="fa-IR"/>
        </w:rPr>
      </w:pPr>
      <w:r w:rsidRPr="00C9040A">
        <w:rPr>
          <w:rtl/>
          <w:lang w:bidi="fa-IR"/>
        </w:rPr>
        <w:t>قَالَ : فَسَكَتَ عَنِّي ، ثُمَّ قَالَ : « يَخِفُّ عَلَيْكَ أَنْ تَبْلُغَ مَعَنَا إِلى يَنْبُعَ</w:t>
      </w:r>
      <w:r>
        <w:rPr>
          <w:rtl/>
          <w:lang w:bidi="fa-IR"/>
        </w:rPr>
        <w:t>؟</w:t>
      </w:r>
      <w:r w:rsidRPr="00C9040A">
        <w:rPr>
          <w:rtl/>
          <w:lang w:bidi="fa-IR"/>
        </w:rPr>
        <w:t xml:space="preserve"> » قُلْتُ :</w:t>
      </w:r>
      <w:r>
        <w:rPr>
          <w:rFonts w:hint="cs"/>
          <w:rtl/>
          <w:lang w:bidi="fa-IR"/>
        </w:rPr>
        <w:t xml:space="preserve"> </w:t>
      </w:r>
      <w:r w:rsidRPr="00C9040A">
        <w:rPr>
          <w:rtl/>
          <w:lang w:bidi="fa-IR"/>
        </w:rPr>
        <w:t xml:space="preserve">نَعَمْ ، فَأَمَرَ بِحِمَارٍ وَبَغْلٍ أَنْ يُسْرَجَا </w:t>
      </w:r>
      <w:r w:rsidR="006C577F" w:rsidRPr="006C577F">
        <w:rPr>
          <w:rStyle w:val="libFootnotenumChar"/>
          <w:rtl/>
        </w:rPr>
        <w:t>(12)</w:t>
      </w:r>
      <w:r w:rsidRPr="00C9040A">
        <w:rPr>
          <w:rtl/>
          <w:lang w:bidi="fa-IR"/>
        </w:rPr>
        <w:t xml:space="preserve"> ، فَبَادَرْتُ ، فَرَكِبْتُ الْحِمَارَ ، فَقَالَ : « يَا سَدِيرُ ،</w:t>
      </w:r>
    </w:p>
    <w:p w:rsidR="008A74EB" w:rsidRPr="00C9040A" w:rsidRDefault="008A74EB" w:rsidP="008A74EB">
      <w:pPr>
        <w:pStyle w:val="libLine"/>
        <w:rPr>
          <w:rtl/>
          <w:lang w:bidi="fa-IR"/>
        </w:rPr>
      </w:pPr>
      <w:r w:rsidRPr="00C9040A">
        <w:rPr>
          <w:rtl/>
          <w:lang w:bidi="fa-IR"/>
        </w:rPr>
        <w:t>__________________</w:t>
      </w:r>
    </w:p>
    <w:p w:rsidR="008A74EB" w:rsidRPr="00C9040A" w:rsidRDefault="00222199" w:rsidP="004A4E41">
      <w:pPr>
        <w:pStyle w:val="libFootnote0"/>
        <w:rPr>
          <w:rtl/>
          <w:lang w:bidi="fa-IR"/>
        </w:rPr>
      </w:pPr>
      <w:r>
        <w:rPr>
          <w:rFonts w:hint="cs"/>
          <w:rtl/>
        </w:rPr>
        <w:t xml:space="preserve">= </w:t>
      </w:r>
      <w:r w:rsidR="008A74EB" w:rsidRPr="00C9040A">
        <w:rPr>
          <w:rtl/>
        </w:rPr>
        <w:t xml:space="preserve">وبين [ عليّ ] بن رئاب في غير واحدٍ من الأسناد. راجع : </w:t>
      </w:r>
      <w:r w:rsidR="008A74EB" w:rsidRPr="00993B55">
        <w:rPr>
          <w:rStyle w:val="libFootnoteBoldChar"/>
          <w:rtl/>
        </w:rPr>
        <w:t>معجم رجال الحديث</w:t>
      </w:r>
      <w:r w:rsidR="008A74EB" w:rsidRPr="00C9040A">
        <w:rPr>
          <w:rtl/>
        </w:rPr>
        <w:t xml:space="preserve"> ، ج 5 ، ص 339 ، ص 359</w:t>
      </w:r>
      <w:r w:rsidR="008A74EB">
        <w:rPr>
          <w:rtl/>
        </w:rPr>
        <w:t xml:space="preserve"> </w:t>
      </w:r>
      <w:r w:rsidR="0084262C">
        <w:rPr>
          <w:rtl/>
        </w:rPr>
        <w:t>-</w:t>
      </w:r>
      <w:r w:rsidR="008A74EB">
        <w:rPr>
          <w:rtl/>
        </w:rPr>
        <w:t xml:space="preserve"> </w:t>
      </w:r>
      <w:r w:rsidR="008A74EB" w:rsidRPr="00C9040A">
        <w:rPr>
          <w:rtl/>
        </w:rPr>
        <w:t>361 ؛ وج 23 ، ص 244</w:t>
      </w:r>
      <w:r w:rsidR="008A74EB">
        <w:rPr>
          <w:rtl/>
        </w:rPr>
        <w:t xml:space="preserve"> </w:t>
      </w:r>
      <w:r w:rsidR="0084262C">
        <w:rPr>
          <w:rtl/>
        </w:rPr>
        <w:t>-</w:t>
      </w:r>
      <w:r w:rsidR="008A74EB">
        <w:rPr>
          <w:rtl/>
        </w:rPr>
        <w:t xml:space="preserve"> </w:t>
      </w:r>
      <w:r w:rsidR="008A74EB" w:rsidRPr="00C9040A">
        <w:rPr>
          <w:rtl/>
        </w:rPr>
        <w:t>245 ؛ وص 270</w:t>
      </w:r>
      <w:r w:rsidR="008A74EB">
        <w:rPr>
          <w:rtl/>
        </w:rPr>
        <w:t xml:space="preserve"> </w:t>
      </w:r>
      <w:r w:rsidR="0084262C">
        <w:rPr>
          <w:rtl/>
        </w:rPr>
        <w:t>-</w:t>
      </w:r>
      <w:r w:rsidR="008A74EB">
        <w:rPr>
          <w:rtl/>
        </w:rPr>
        <w:t xml:space="preserve"> </w:t>
      </w:r>
      <w:r w:rsidR="008A74EB" w:rsidRPr="00C9040A">
        <w:rPr>
          <w:rtl/>
        </w:rPr>
        <w:t>271.</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حاشية « بر » : + « عليّ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w:t>
      </w:r>
      <w:r w:rsidR="008A74EB" w:rsidRPr="00993B55">
        <w:rPr>
          <w:rStyle w:val="libFootnoteBoldChar"/>
          <w:rtl/>
        </w:rPr>
        <w:t>مرآة العقول</w:t>
      </w:r>
      <w:r w:rsidR="008A74EB" w:rsidRPr="00C9040A">
        <w:rPr>
          <w:rtl/>
        </w:rPr>
        <w:t xml:space="preserve"> : « ثلاثة ، إمّا بالتنوين </w:t>
      </w:r>
      <w:r w:rsidR="008A74EB">
        <w:rPr>
          <w:rtl/>
        </w:rPr>
        <w:t>و «</w:t>
      </w:r>
      <w:r w:rsidR="008A74EB" w:rsidRPr="00C9040A">
        <w:rPr>
          <w:rtl/>
        </w:rPr>
        <w:t xml:space="preserve"> مؤمنين » صفتها أو بالإضافة ، فمؤمنين تميز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ب » : « أن أكتم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الوافي</w:t>
      </w:r>
      <w:r w:rsidR="008A74EB" w:rsidRPr="00C9040A">
        <w:rPr>
          <w:rtl/>
        </w:rPr>
        <w:t xml:space="preserve"> ، ج 5 ، ص 727 ، ح 2939 ؛ </w:t>
      </w:r>
      <w:r w:rsidR="008A74EB" w:rsidRPr="00993B55">
        <w:rPr>
          <w:rStyle w:val="libFootnoteBoldChar"/>
          <w:rtl/>
        </w:rPr>
        <w:t>البحار</w:t>
      </w:r>
      <w:r w:rsidR="008A74EB" w:rsidRPr="00C9040A">
        <w:rPr>
          <w:rtl/>
        </w:rPr>
        <w:t xml:space="preserve"> ، ج 67 ، ص 160 ، ح 5.</w:t>
      </w:r>
    </w:p>
    <w:p w:rsidR="008A74EB" w:rsidRPr="00C9040A" w:rsidRDefault="006C577F" w:rsidP="004A4E41">
      <w:pPr>
        <w:pStyle w:val="libFootnote0"/>
        <w:rPr>
          <w:rtl/>
          <w:lang w:bidi="fa-IR"/>
        </w:rPr>
      </w:pPr>
      <w:r>
        <w:rPr>
          <w:rtl/>
        </w:rPr>
        <w:t>(5).</w:t>
      </w:r>
      <w:r w:rsidR="008A74EB" w:rsidRPr="00C9040A">
        <w:rPr>
          <w:rtl/>
        </w:rPr>
        <w:t xml:space="preserve"> في حاشية « بف » : + « الصفّار » ، والظاهر أنّه تفسير لمحمّد بن الحسن.</w:t>
      </w:r>
    </w:p>
    <w:tbl>
      <w:tblPr>
        <w:tblStyle w:val="TableGrid"/>
        <w:bidiVisual/>
        <w:tblW w:w="0" w:type="auto"/>
        <w:tblLook w:val="04A0" w:firstRow="1" w:lastRow="0" w:firstColumn="1" w:lastColumn="0" w:noHBand="0" w:noVBand="1"/>
      </w:tblPr>
      <w:tblGrid>
        <w:gridCol w:w="4006"/>
        <w:gridCol w:w="4006"/>
      </w:tblGrid>
      <w:tr w:rsidR="00222199" w:rsidTr="00222199">
        <w:tc>
          <w:tcPr>
            <w:tcW w:w="4006" w:type="dxa"/>
          </w:tcPr>
          <w:p w:rsidR="00222199" w:rsidRDefault="00222199" w:rsidP="004A4E41">
            <w:pPr>
              <w:pStyle w:val="libFootnote0"/>
              <w:rPr>
                <w:rtl/>
              </w:rPr>
            </w:pPr>
            <w:r>
              <w:rPr>
                <w:rtl/>
              </w:rPr>
              <w:t xml:space="preserve">(6). </w:t>
            </w:r>
            <w:r w:rsidRPr="00C9040A">
              <w:rPr>
                <w:rtl/>
              </w:rPr>
              <w:t xml:space="preserve">في « ف » </w:t>
            </w:r>
            <w:r>
              <w:rPr>
                <w:rtl/>
              </w:rPr>
              <w:t>: -</w:t>
            </w:r>
            <w:r w:rsidRPr="00C9040A">
              <w:rPr>
                <w:rtl/>
              </w:rPr>
              <w:t xml:space="preserve"> « والله »</w:t>
            </w:r>
            <w:r>
              <w:rPr>
                <w:rtl/>
              </w:rPr>
              <w:t>.</w:t>
            </w:r>
          </w:p>
        </w:tc>
        <w:tc>
          <w:tcPr>
            <w:tcW w:w="4006" w:type="dxa"/>
          </w:tcPr>
          <w:p w:rsidR="00222199" w:rsidRDefault="00222199" w:rsidP="004A4E41">
            <w:pPr>
              <w:pStyle w:val="libFootnote0"/>
              <w:rPr>
                <w:rtl/>
              </w:rPr>
            </w:pPr>
            <w:r>
              <w:rPr>
                <w:rtl/>
              </w:rPr>
              <w:t>(7).</w:t>
            </w:r>
            <w:r w:rsidRPr="00C9040A">
              <w:rPr>
                <w:rtl/>
              </w:rPr>
              <w:t xml:space="preserve"> في « ف ، بف » والبحار : « وقال »</w:t>
            </w:r>
            <w:r>
              <w:rPr>
                <w:rtl/>
              </w:rPr>
              <w:t>.</w:t>
            </w:r>
          </w:p>
        </w:tc>
      </w:tr>
      <w:tr w:rsidR="00222199" w:rsidTr="00222199">
        <w:tc>
          <w:tcPr>
            <w:tcW w:w="4006" w:type="dxa"/>
          </w:tcPr>
          <w:p w:rsidR="00222199" w:rsidRDefault="00222199" w:rsidP="004A4E41">
            <w:pPr>
              <w:pStyle w:val="libFootnote0"/>
              <w:rPr>
                <w:rtl/>
              </w:rPr>
            </w:pPr>
            <w:r>
              <w:rPr>
                <w:rtl/>
              </w:rPr>
              <w:t>(8).</w:t>
            </w:r>
            <w:r w:rsidRPr="00C9040A">
              <w:rPr>
                <w:rtl/>
              </w:rPr>
              <w:t xml:space="preserve"> في البحار ، ج 67 </w:t>
            </w:r>
            <w:r>
              <w:rPr>
                <w:rtl/>
              </w:rPr>
              <w:t>: -</w:t>
            </w:r>
            <w:r w:rsidRPr="00C9040A">
              <w:rPr>
                <w:rtl/>
              </w:rPr>
              <w:t xml:space="preserve"> « </w:t>
            </w:r>
            <w:r>
              <w:rPr>
                <w:rtl/>
              </w:rPr>
              <w:t>و ».</w:t>
            </w:r>
          </w:p>
        </w:tc>
        <w:tc>
          <w:tcPr>
            <w:tcW w:w="4006" w:type="dxa"/>
          </w:tcPr>
          <w:p w:rsidR="00222199" w:rsidRDefault="00222199" w:rsidP="004A4E41">
            <w:pPr>
              <w:pStyle w:val="libFootnote0"/>
              <w:rPr>
                <w:rtl/>
              </w:rPr>
            </w:pPr>
            <w:r>
              <w:rPr>
                <w:rtl/>
              </w:rPr>
              <w:t>(9).</w:t>
            </w:r>
            <w:r w:rsidRPr="00C9040A">
              <w:rPr>
                <w:rtl/>
              </w:rPr>
              <w:t xml:space="preserve"> في « </w:t>
            </w:r>
            <w:r>
              <w:rPr>
                <w:rtl/>
              </w:rPr>
              <w:t xml:space="preserve">ه </w:t>
            </w:r>
            <w:r w:rsidRPr="00C9040A">
              <w:rPr>
                <w:rtl/>
              </w:rPr>
              <w:t>» : « ترى »</w:t>
            </w:r>
            <w:r>
              <w:rPr>
                <w:rtl/>
              </w:rPr>
              <w:t>.</w:t>
            </w:r>
          </w:p>
        </w:tc>
      </w:tr>
    </w:tbl>
    <w:p w:rsidR="008A74EB" w:rsidRPr="00C9040A" w:rsidRDefault="006C577F" w:rsidP="004A4E41">
      <w:pPr>
        <w:pStyle w:val="libFootnote0"/>
        <w:rPr>
          <w:rtl/>
          <w:lang w:bidi="fa-IR"/>
        </w:rPr>
      </w:pPr>
      <w:r>
        <w:rPr>
          <w:rtl/>
        </w:rPr>
        <w:t>(10).</w:t>
      </w:r>
      <w:r w:rsidR="008A74EB" w:rsidRPr="00C9040A">
        <w:rPr>
          <w:rtl/>
        </w:rPr>
        <w:t xml:space="preserve"> في « ج ، ز » والوافي والبحار ، ج 47 : « أن تكونوا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في « ج ، ز ، ف ، بر » والوافي : « فقال »</w:t>
      </w:r>
      <w:r w:rsidR="008A74EB">
        <w:rPr>
          <w:rtl/>
        </w:rPr>
        <w:t>.</w:t>
      </w:r>
      <w:r w:rsidR="008A74EB" w:rsidRPr="00C9040A">
        <w:rPr>
          <w:rtl/>
        </w:rPr>
        <w:t xml:space="preserve"> وفي « ض » والبحار : « فقال </w:t>
      </w:r>
      <w:r w:rsidR="008A74EB">
        <w:rPr>
          <w:rtl/>
        </w:rPr>
        <w:t>و ».</w:t>
      </w:r>
    </w:p>
    <w:p w:rsidR="008A74EB" w:rsidRPr="00C9040A" w:rsidRDefault="006C577F" w:rsidP="004A4E41">
      <w:pPr>
        <w:pStyle w:val="libFootnote0"/>
        <w:rPr>
          <w:rtl/>
          <w:lang w:bidi="fa-IR"/>
        </w:rPr>
      </w:pPr>
      <w:r>
        <w:rPr>
          <w:rtl/>
        </w:rPr>
        <w:t>(12).</w:t>
      </w:r>
      <w:r w:rsidR="008A74EB" w:rsidRPr="00C9040A">
        <w:rPr>
          <w:rtl/>
        </w:rPr>
        <w:t xml:space="preserve"> في « ج » : « أن يسرّجا » بالتشديد.</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تَرى </w:t>
      </w:r>
      <w:r w:rsidR="006C577F" w:rsidRPr="006C577F">
        <w:rPr>
          <w:rStyle w:val="libFootnotenumChar"/>
          <w:rtl/>
        </w:rPr>
        <w:t>(1)</w:t>
      </w:r>
      <w:r w:rsidRPr="00C9040A">
        <w:rPr>
          <w:rtl/>
          <w:lang w:bidi="fa-IR"/>
        </w:rPr>
        <w:t xml:space="preserve"> أَنْ تُؤْثِرَنِي بِالْحِمَارِ</w:t>
      </w:r>
      <w:r>
        <w:rPr>
          <w:rtl/>
          <w:lang w:bidi="fa-IR"/>
        </w:rPr>
        <w:t>؟</w:t>
      </w:r>
      <w:r w:rsidRPr="00C9040A">
        <w:rPr>
          <w:rtl/>
          <w:lang w:bidi="fa-IR"/>
        </w:rPr>
        <w:t xml:space="preserve"> » قُلْتُ : الْبَغْلُ أَزْيَنُ وَأَنْبَلُ </w:t>
      </w:r>
      <w:r w:rsidR="006C577F" w:rsidRPr="006C577F">
        <w:rPr>
          <w:rStyle w:val="libFootnotenumChar"/>
          <w:rtl/>
        </w:rPr>
        <w:t>(2)</w:t>
      </w:r>
      <w:r w:rsidRPr="00C9040A">
        <w:rPr>
          <w:rtl/>
          <w:lang w:bidi="fa-IR"/>
        </w:rPr>
        <w:t xml:space="preserve"> ، قَالَ : « الْحِمَارُ أَرْفَقُ بِي </w:t>
      </w:r>
      <w:r w:rsidR="006C577F" w:rsidRPr="006C577F">
        <w:rPr>
          <w:rStyle w:val="libFootnotenumChar"/>
          <w:rtl/>
        </w:rPr>
        <w:t>(3)</w:t>
      </w:r>
      <w:r w:rsidRPr="00C9040A">
        <w:rPr>
          <w:rtl/>
          <w:lang w:bidi="fa-IR"/>
        </w:rPr>
        <w:t xml:space="preserve"> »</w:t>
      </w:r>
      <w:r>
        <w:rPr>
          <w:rtl/>
          <w:lang w:bidi="fa-IR"/>
        </w:rPr>
        <w:t>.</w:t>
      </w:r>
      <w:r w:rsidRPr="00C9040A">
        <w:rPr>
          <w:rtl/>
          <w:lang w:bidi="fa-IR"/>
        </w:rPr>
        <w:t xml:space="preserve"> فَنَزَلْتُ ، فَرَكِبَ الْحِمَارَ ، وَرَكِبْتُ </w:t>
      </w:r>
      <w:r w:rsidR="006C577F" w:rsidRPr="006C577F">
        <w:rPr>
          <w:rStyle w:val="libFootnotenumChar"/>
          <w:rtl/>
        </w:rPr>
        <w:t>(4)</w:t>
      </w:r>
      <w:r w:rsidRPr="00C9040A">
        <w:rPr>
          <w:rtl/>
          <w:lang w:bidi="fa-IR"/>
        </w:rPr>
        <w:t xml:space="preserve"> الْبَغْلَ ، فَمَضَيْنَا ، فَحَانَتِ </w:t>
      </w:r>
      <w:r w:rsidR="006C577F" w:rsidRPr="006C577F">
        <w:rPr>
          <w:rStyle w:val="libFootnotenumChar"/>
          <w:rtl/>
        </w:rPr>
        <w:t>(5)</w:t>
      </w:r>
      <w:r w:rsidRPr="00C9040A">
        <w:rPr>
          <w:rtl/>
          <w:lang w:bidi="fa-IR"/>
        </w:rPr>
        <w:t xml:space="preserve"> الصَّلَاةُ ، فَقَالَ : « يَا سَدِيرُ ، انْزِلْ بِنَا نُصَلِّ </w:t>
      </w:r>
      <w:r w:rsidR="006C577F" w:rsidRPr="006C577F">
        <w:rPr>
          <w:rStyle w:val="libFootnotenumChar"/>
          <w:rtl/>
        </w:rPr>
        <w:t>(6)</w:t>
      </w:r>
      <w:r w:rsidRPr="00C9040A">
        <w:rPr>
          <w:rtl/>
          <w:lang w:bidi="fa-IR"/>
        </w:rPr>
        <w:t>»</w:t>
      </w:r>
      <w:r>
        <w:rPr>
          <w:rtl/>
          <w:lang w:bidi="fa-IR"/>
        </w:rPr>
        <w:t>.</w:t>
      </w:r>
    </w:p>
    <w:p w:rsidR="008A74EB" w:rsidRPr="00C9040A" w:rsidRDefault="008A74EB" w:rsidP="008A74EB">
      <w:pPr>
        <w:pStyle w:val="libNormal"/>
        <w:rPr>
          <w:rtl/>
          <w:lang w:bidi="fa-IR"/>
        </w:rPr>
      </w:pPr>
      <w:r w:rsidRPr="00C9040A">
        <w:rPr>
          <w:rtl/>
          <w:lang w:bidi="fa-IR"/>
        </w:rPr>
        <w:t xml:space="preserve">ثُمَّ قَالَ : « هذِهِ أَرْضٌ سَبِخَةٌ </w:t>
      </w:r>
      <w:r w:rsidR="006C577F" w:rsidRPr="006C577F">
        <w:rPr>
          <w:rStyle w:val="libFootnotenumChar"/>
          <w:rtl/>
        </w:rPr>
        <w:t>(7)</w:t>
      </w:r>
      <w:r w:rsidRPr="00C9040A">
        <w:rPr>
          <w:rtl/>
          <w:lang w:bidi="fa-IR"/>
        </w:rPr>
        <w:t xml:space="preserve"> لَاتَجُوزُ </w:t>
      </w:r>
      <w:r w:rsidR="006C577F" w:rsidRPr="006C577F">
        <w:rPr>
          <w:rStyle w:val="libFootnotenumChar"/>
          <w:rtl/>
        </w:rPr>
        <w:t>(8)</w:t>
      </w:r>
      <w:r w:rsidRPr="00C9040A">
        <w:rPr>
          <w:rtl/>
          <w:lang w:bidi="fa-IR"/>
        </w:rPr>
        <w:t xml:space="preserve"> الصَّلَاةُ فِيهَا » فَسِرْنَا حَتّى صِرْنَا إِلى أَرْضٍ حَمْرَاءَ ، وَنَظَرَ إِلى غُلَامٍ يَرْعى جِدَاءً ، فَقَالَ : « وَاللهِ يَا سَدِيرُ </w:t>
      </w:r>
      <w:r w:rsidR="006C577F" w:rsidRPr="006C577F">
        <w:rPr>
          <w:rStyle w:val="libFootnotenumChar"/>
          <w:rtl/>
        </w:rPr>
        <w:t>(9)</w:t>
      </w:r>
      <w:r w:rsidRPr="00C9040A">
        <w:rPr>
          <w:rtl/>
          <w:lang w:bidi="fa-IR"/>
        </w:rPr>
        <w:t xml:space="preserve"> ، لَوْ كَانَ لِي شِيعَةٌ بِعَدَدِ هذِهِ الْجِدَاءِ ، مَا </w:t>
      </w:r>
      <w:r w:rsidR="006C577F" w:rsidRPr="006C577F">
        <w:rPr>
          <w:rStyle w:val="libFootnotenumChar"/>
          <w:rtl/>
        </w:rPr>
        <w:t>(10)</w:t>
      </w:r>
      <w:r w:rsidRPr="00C9040A">
        <w:rPr>
          <w:rtl/>
          <w:lang w:bidi="fa-IR"/>
        </w:rPr>
        <w:t xml:space="preserve"> وَسِعَنِي الْقُعُودُ » وَنَزَلْنَا وَصَلَّيْنَا ، فَلَمَّا فَرَغْنَا مِنَ الصَّلَاةِ ، عَطَفْتُ عَلَى </w:t>
      </w:r>
      <w:r w:rsidR="006C577F" w:rsidRPr="006C577F">
        <w:rPr>
          <w:rStyle w:val="libFootnotenumChar"/>
          <w:rtl/>
        </w:rPr>
        <w:t>(11)</w:t>
      </w:r>
      <w:r w:rsidRPr="00C9040A">
        <w:rPr>
          <w:rtl/>
          <w:lang w:bidi="fa-IR"/>
        </w:rPr>
        <w:t xml:space="preserve"> الْجِدَاءِ ، فَعَدَدْتُهَا ، فَإِذَا هِيَ سَبْعَةَ عَشَرَ. </w:t>
      </w:r>
      <w:r w:rsidR="006C577F" w:rsidRPr="006C577F">
        <w:rPr>
          <w:rStyle w:val="libFootnotenumChar"/>
          <w:rtl/>
        </w:rPr>
        <w:t>(12)</w:t>
      </w:r>
      <w:r w:rsidRPr="00C9040A">
        <w:rPr>
          <w:rtl/>
          <w:lang w:bidi="fa-IR"/>
        </w:rPr>
        <w:t xml:space="preserve"> ‌</w:t>
      </w:r>
    </w:p>
    <w:p w:rsidR="008A74EB" w:rsidRPr="00C9040A" w:rsidRDefault="008A74EB" w:rsidP="008A74EB">
      <w:pPr>
        <w:pStyle w:val="libNormal"/>
        <w:rPr>
          <w:rtl/>
          <w:lang w:bidi="fa-IR"/>
        </w:rPr>
      </w:pPr>
      <w:r w:rsidRPr="00DD74C1">
        <w:rPr>
          <w:rtl/>
        </w:rPr>
        <w:t>2323</w:t>
      </w:r>
      <w:r w:rsidRPr="00261CB0">
        <w:rPr>
          <w:rStyle w:val="libBold2Char"/>
          <w:rtl/>
        </w:rPr>
        <w:t xml:space="preserve"> / 5.</w:t>
      </w:r>
      <w:r w:rsidRPr="00C9040A">
        <w:rPr>
          <w:rtl/>
          <w:lang w:bidi="fa-IR"/>
        </w:rPr>
        <w:t xml:space="preserve"> مُحَمَّدُ بْنُ يَحْيى ، عَنْ أَحْمَدَ بْنِ مُحَمَّدِ بْنِ عِيسى ، عَنْ مُحَمَّدِ بْنِ سِنَانٍ ، عَنْ عَمَّارِ بْنِ مَرْوَانَ ، عَنْ سَمَاعَةَ بْنِ مِهْرَانَ ، قَالَ :</w:t>
      </w:r>
    </w:p>
    <w:p w:rsidR="008A74EB" w:rsidRPr="00C9040A" w:rsidRDefault="008A74EB" w:rsidP="008A74EB">
      <w:pPr>
        <w:pStyle w:val="libNormal"/>
        <w:rPr>
          <w:rtl/>
          <w:lang w:bidi="fa-IR"/>
        </w:rPr>
      </w:pPr>
      <w:r w:rsidRPr="00C9040A">
        <w:rPr>
          <w:rtl/>
          <w:lang w:bidi="fa-IR"/>
        </w:rPr>
        <w:t xml:space="preserve">قَالَ لِي عَبْدٌ صَالِحٌ صَلَوَاتُ اللهِ عَلَيْهِ : « يَا سَمَاعَةُ ، أَمِنُوا </w:t>
      </w:r>
      <w:r w:rsidRPr="005B567D">
        <w:rPr>
          <w:rStyle w:val="libFootnotenumChar"/>
          <w:rtl/>
        </w:rPr>
        <w:t>(13)</w:t>
      </w:r>
      <w:r w:rsidRPr="00C9040A">
        <w:rPr>
          <w:rtl/>
          <w:lang w:bidi="fa-IR"/>
        </w:rPr>
        <w:t xml:space="preserve"> عَلى فُرُشِهِمْ وَأَخَافُونِي </w:t>
      </w:r>
      <w:r w:rsidRPr="005B567D">
        <w:rPr>
          <w:rStyle w:val="libFootnotenumChar"/>
          <w:rtl/>
        </w:rPr>
        <w:t>(14)</w:t>
      </w:r>
      <w:r w:rsidRPr="00C9040A">
        <w:rPr>
          <w:rtl/>
          <w:lang w:bidi="fa-IR"/>
        </w:rPr>
        <w:t xml:space="preserve"> ، أَمَا وَاللهِ ، لَقَدْ كَانَتِ الدُّنْيَا وَمَا فِيهَا </w:t>
      </w:r>
      <w:r w:rsidRPr="005B567D">
        <w:rPr>
          <w:rStyle w:val="libFootnotenumChar"/>
          <w:rtl/>
        </w:rPr>
        <w:t>(15)</w:t>
      </w:r>
      <w:r w:rsidR="00222199">
        <w:rPr>
          <w:rtl/>
          <w:lang w:bidi="fa-IR"/>
        </w:rPr>
        <w:t xml:space="preserve"> إِل</w:t>
      </w:r>
      <w:r w:rsidR="00222199">
        <w:rPr>
          <w:rFonts w:hint="cs"/>
          <w:rtl/>
          <w:lang w:bidi="fa-IR"/>
        </w:rPr>
        <w:t>َّ</w:t>
      </w:r>
      <w:r w:rsidR="00222199">
        <w:rPr>
          <w:rtl/>
          <w:lang w:bidi="fa-IR"/>
        </w:rPr>
        <w:t>ا</w:t>
      </w:r>
      <w:r w:rsidRPr="00C9040A">
        <w:rPr>
          <w:rtl/>
          <w:lang w:bidi="fa-IR"/>
        </w:rPr>
        <w:t xml:space="preserve"> وَاحِدٌ يَعْبُدُ اللهَ ، وَلَوْ كَانَ مَعَهُ غَيْرُهُ لَأَضَافَهُ اللهُ‌</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هكذا في النسخ التي قوبلت والوافي والبحار. وفي المطبوع : « أترى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النُّبل</w:t>
      </w:r>
      <w:r w:rsidR="008A74EB">
        <w:rPr>
          <w:rtl/>
        </w:rPr>
        <w:t xml:space="preserve"> </w:t>
      </w:r>
      <w:r w:rsidR="0084262C">
        <w:rPr>
          <w:rtl/>
        </w:rPr>
        <w:t>-</w:t>
      </w:r>
      <w:r w:rsidR="008A74EB">
        <w:rPr>
          <w:rtl/>
        </w:rPr>
        <w:t xml:space="preserve"> </w:t>
      </w:r>
      <w:r w:rsidR="008A74EB" w:rsidRPr="00C9040A">
        <w:rPr>
          <w:rtl/>
        </w:rPr>
        <w:t>بالضمّ</w:t>
      </w:r>
      <w:r w:rsidR="008A74EB">
        <w:rPr>
          <w:rtl/>
        </w:rPr>
        <w:t xml:space="preserve"> </w:t>
      </w:r>
      <w:r w:rsidR="0084262C">
        <w:rPr>
          <w:rtl/>
        </w:rPr>
        <w:t>-</w:t>
      </w:r>
      <w:r w:rsidR="008A74EB">
        <w:rPr>
          <w:rtl/>
        </w:rPr>
        <w:t xml:space="preserve"> </w:t>
      </w:r>
      <w:r w:rsidR="008A74EB" w:rsidRPr="00C9040A">
        <w:rPr>
          <w:rtl/>
        </w:rPr>
        <w:t xml:space="preserve">: الذكاء والنجابة. </w:t>
      </w:r>
      <w:r w:rsidR="008A74EB" w:rsidRPr="00993B55">
        <w:rPr>
          <w:rStyle w:val="libFootnoteBoldChar"/>
          <w:rtl/>
        </w:rPr>
        <w:t>القاموس المحيط</w:t>
      </w:r>
      <w:r w:rsidR="008A74EB" w:rsidRPr="00C9040A">
        <w:rPr>
          <w:rtl/>
        </w:rPr>
        <w:t xml:space="preserve"> ، ج 2 ، ص 1399 ( نبل )</w:t>
      </w:r>
      <w:r w:rsidR="008A74EB">
        <w:rPr>
          <w:rtl/>
        </w:rPr>
        <w:t>.</w:t>
      </w:r>
    </w:p>
    <w:tbl>
      <w:tblPr>
        <w:tblStyle w:val="TableGrid"/>
        <w:bidiVisual/>
        <w:tblW w:w="0" w:type="auto"/>
        <w:tblLook w:val="04A0" w:firstRow="1" w:lastRow="0" w:firstColumn="1" w:lastColumn="0" w:noHBand="0" w:noVBand="1"/>
      </w:tblPr>
      <w:tblGrid>
        <w:gridCol w:w="4006"/>
        <w:gridCol w:w="4006"/>
      </w:tblGrid>
      <w:tr w:rsidR="00E87FF7" w:rsidTr="00E87FF7">
        <w:tc>
          <w:tcPr>
            <w:tcW w:w="4006" w:type="dxa"/>
          </w:tcPr>
          <w:p w:rsidR="00E87FF7" w:rsidRDefault="00E87FF7" w:rsidP="004A4E41">
            <w:pPr>
              <w:pStyle w:val="libFootnote0"/>
              <w:rPr>
                <w:rtl/>
              </w:rPr>
            </w:pPr>
            <w:r>
              <w:rPr>
                <w:rtl/>
              </w:rPr>
              <w:t>(3).</w:t>
            </w:r>
            <w:r w:rsidRPr="00C9040A">
              <w:rPr>
                <w:rtl/>
              </w:rPr>
              <w:t xml:space="preserve"> في « </w:t>
            </w:r>
            <w:r>
              <w:rPr>
                <w:rtl/>
              </w:rPr>
              <w:t xml:space="preserve">ه </w:t>
            </w:r>
            <w:r w:rsidRPr="00C9040A">
              <w:rPr>
                <w:rtl/>
              </w:rPr>
              <w:t>» : « لي »</w:t>
            </w:r>
            <w:r>
              <w:rPr>
                <w:rtl/>
              </w:rPr>
              <w:t>.</w:t>
            </w:r>
          </w:p>
        </w:tc>
        <w:tc>
          <w:tcPr>
            <w:tcW w:w="4006" w:type="dxa"/>
          </w:tcPr>
          <w:p w:rsidR="00E87FF7" w:rsidRDefault="00E87FF7" w:rsidP="004A4E41">
            <w:pPr>
              <w:pStyle w:val="libFootnote0"/>
              <w:rPr>
                <w:rtl/>
              </w:rPr>
            </w:pPr>
            <w:r>
              <w:rPr>
                <w:rtl/>
              </w:rPr>
              <w:t>(4).</w:t>
            </w:r>
            <w:r w:rsidRPr="00C9040A">
              <w:rPr>
                <w:rtl/>
              </w:rPr>
              <w:t xml:space="preserve"> في « ف » : « فركبت »</w:t>
            </w:r>
            <w:r>
              <w:rPr>
                <w:rtl/>
              </w:rPr>
              <w:t>.</w:t>
            </w:r>
          </w:p>
        </w:tc>
      </w:tr>
    </w:tbl>
    <w:p w:rsidR="008A74EB" w:rsidRPr="00C9040A" w:rsidRDefault="006C577F" w:rsidP="004A4E41">
      <w:pPr>
        <w:pStyle w:val="libFootnote0"/>
        <w:rPr>
          <w:rtl/>
          <w:lang w:bidi="fa-IR"/>
        </w:rPr>
      </w:pPr>
      <w:r>
        <w:rPr>
          <w:rtl/>
        </w:rPr>
        <w:t>(5).</w:t>
      </w:r>
      <w:r w:rsidR="008A74EB" w:rsidRPr="00C9040A">
        <w:rPr>
          <w:rtl/>
        </w:rPr>
        <w:t xml:space="preserve"> في « ج ، ز ، بف » وحاشية « بر » : « فجاءت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هكذا في جميع النسخ التي قوبلت. وفي المطبوع والبحار : « نصلّي »</w:t>
      </w:r>
      <w:r w:rsidR="008A74EB">
        <w:rPr>
          <w:rtl/>
        </w:rPr>
        <w:t>.</w:t>
      </w:r>
    </w:p>
    <w:p w:rsidR="008A74EB" w:rsidRPr="00C9040A" w:rsidRDefault="006C577F" w:rsidP="00052457">
      <w:pPr>
        <w:pStyle w:val="libFootnote0"/>
        <w:rPr>
          <w:rtl/>
          <w:lang w:bidi="fa-IR"/>
        </w:rPr>
      </w:pPr>
      <w:r>
        <w:rPr>
          <w:rtl/>
        </w:rPr>
        <w:t>(7).</w:t>
      </w:r>
      <w:r w:rsidR="008A74EB" w:rsidRPr="00C9040A">
        <w:rPr>
          <w:rtl/>
        </w:rPr>
        <w:t xml:space="preserve"> قال الخليل : « أرضٌ سَبِخَةٌ ، أي ذات ملح ونزّ » ، والنزّ : ما يتحلّب من الأرض من الماء ، وقال ابن الأثير : « هي‌الأرض التي تعلوها ال</w:t>
      </w:r>
      <w:r w:rsidR="00852F07">
        <w:rPr>
          <w:rFonts w:hint="cs"/>
          <w:rtl/>
        </w:rPr>
        <w:t>ـ</w:t>
      </w:r>
      <w:r w:rsidR="00852F07">
        <w:rPr>
          <w:rtl/>
        </w:rPr>
        <w:t>مُلُوحة ولا تكاد تنبت إل</w:t>
      </w:r>
      <w:r w:rsidR="00852F07">
        <w:rPr>
          <w:rFonts w:hint="cs"/>
          <w:rtl/>
        </w:rPr>
        <w:t>ّ</w:t>
      </w:r>
      <w:r w:rsidR="00852F07">
        <w:rPr>
          <w:rtl/>
        </w:rPr>
        <w:t>ا</w:t>
      </w:r>
      <w:r w:rsidR="008A74EB" w:rsidRPr="00C9040A">
        <w:rPr>
          <w:rtl/>
        </w:rPr>
        <w:t>بعض الشجر »</w:t>
      </w:r>
      <w:r w:rsidR="008A74EB">
        <w:rPr>
          <w:rtl/>
        </w:rPr>
        <w:t>.</w:t>
      </w:r>
      <w:r w:rsidR="008A74EB" w:rsidRPr="00C9040A">
        <w:rPr>
          <w:rtl/>
        </w:rPr>
        <w:t xml:space="preserve"> راجع : </w:t>
      </w:r>
      <w:r w:rsidR="008A74EB" w:rsidRPr="00993B55">
        <w:rPr>
          <w:rStyle w:val="libFootnoteBoldChar"/>
          <w:rtl/>
        </w:rPr>
        <w:t>ترتيب كتاب العين</w:t>
      </w:r>
      <w:r w:rsidR="008A74EB" w:rsidRPr="00C9040A">
        <w:rPr>
          <w:rtl/>
        </w:rPr>
        <w:t xml:space="preserve"> ، ج 2 ، ص 782 ؛ </w:t>
      </w:r>
      <w:r w:rsidR="008A74EB" w:rsidRPr="00993B55">
        <w:rPr>
          <w:rStyle w:val="libFootnoteBoldChar"/>
          <w:rtl/>
        </w:rPr>
        <w:t>النهاية</w:t>
      </w:r>
      <w:r w:rsidR="008A74EB" w:rsidRPr="00C9040A">
        <w:rPr>
          <w:rtl/>
        </w:rPr>
        <w:t xml:space="preserve"> ، ج 2 ، ص 333 ( سبخ )</w:t>
      </w:r>
      <w:r w:rsidR="008A74EB">
        <w:rPr>
          <w:rtl/>
        </w:rPr>
        <w:t>.</w:t>
      </w:r>
      <w:r w:rsidR="00052457">
        <w:rPr>
          <w:rFonts w:hint="cs"/>
          <w:rtl/>
        </w:rPr>
        <w:t xml:space="preserve">              </w:t>
      </w:r>
      <w:r w:rsidR="00C822D0">
        <w:rPr>
          <w:rFonts w:hint="cs"/>
          <w:rtl/>
        </w:rPr>
        <w:t xml:space="preserve">  </w:t>
      </w:r>
      <w:r w:rsidR="00052457">
        <w:rPr>
          <w:rFonts w:hint="cs"/>
          <w:rtl/>
        </w:rPr>
        <w:t xml:space="preserve">        </w:t>
      </w:r>
      <w:r>
        <w:rPr>
          <w:rtl/>
        </w:rPr>
        <w:t>(8).</w:t>
      </w:r>
      <w:r w:rsidR="008A74EB" w:rsidRPr="00C9040A">
        <w:rPr>
          <w:rtl/>
        </w:rPr>
        <w:t xml:space="preserve"> في « ص ، </w:t>
      </w:r>
      <w:r w:rsidR="006D3162">
        <w:rPr>
          <w:rtl/>
        </w:rPr>
        <w:t xml:space="preserve">ه </w:t>
      </w:r>
      <w:r w:rsidR="008A74EB" w:rsidRPr="00C9040A">
        <w:rPr>
          <w:rtl/>
        </w:rPr>
        <w:t>، بر » والبحار : « لا يجوز »</w:t>
      </w:r>
      <w:r w:rsidR="008A74EB">
        <w:rPr>
          <w:rtl/>
        </w:rPr>
        <w:t>.</w:t>
      </w:r>
    </w:p>
    <w:tbl>
      <w:tblPr>
        <w:tblStyle w:val="TableGrid"/>
        <w:bidiVisual/>
        <w:tblW w:w="0" w:type="auto"/>
        <w:tblLook w:val="04A0" w:firstRow="1" w:lastRow="0" w:firstColumn="1" w:lastColumn="0" w:noHBand="0" w:noVBand="1"/>
      </w:tblPr>
      <w:tblGrid>
        <w:gridCol w:w="4006"/>
        <w:gridCol w:w="4006"/>
      </w:tblGrid>
      <w:tr w:rsidR="00052457" w:rsidTr="00052457">
        <w:tc>
          <w:tcPr>
            <w:tcW w:w="4006" w:type="dxa"/>
          </w:tcPr>
          <w:p w:rsidR="00052457" w:rsidRDefault="00052457" w:rsidP="004A4E41">
            <w:pPr>
              <w:pStyle w:val="libFootnote0"/>
              <w:rPr>
                <w:rtl/>
              </w:rPr>
            </w:pPr>
            <w:r>
              <w:rPr>
                <w:rtl/>
              </w:rPr>
              <w:t>(9).</w:t>
            </w:r>
            <w:r w:rsidRPr="00C9040A">
              <w:rPr>
                <w:rtl/>
              </w:rPr>
              <w:t xml:space="preserve"> في « </w:t>
            </w:r>
            <w:r>
              <w:rPr>
                <w:rtl/>
              </w:rPr>
              <w:t xml:space="preserve">ه </w:t>
            </w:r>
            <w:r w:rsidRPr="00C9040A">
              <w:rPr>
                <w:rtl/>
              </w:rPr>
              <w:t xml:space="preserve">» </w:t>
            </w:r>
            <w:r>
              <w:rPr>
                <w:rtl/>
              </w:rPr>
              <w:t>: -</w:t>
            </w:r>
            <w:r w:rsidRPr="00C9040A">
              <w:rPr>
                <w:rtl/>
              </w:rPr>
              <w:t xml:space="preserve"> « يا سدير »</w:t>
            </w:r>
            <w:r>
              <w:rPr>
                <w:rtl/>
              </w:rPr>
              <w:t>.</w:t>
            </w:r>
          </w:p>
        </w:tc>
        <w:tc>
          <w:tcPr>
            <w:tcW w:w="4006" w:type="dxa"/>
          </w:tcPr>
          <w:p w:rsidR="00052457" w:rsidRDefault="00052457" w:rsidP="004A4E41">
            <w:pPr>
              <w:pStyle w:val="libFootnote0"/>
              <w:rPr>
                <w:rtl/>
              </w:rPr>
            </w:pPr>
            <w:r>
              <w:rPr>
                <w:rtl/>
              </w:rPr>
              <w:t>(10).</w:t>
            </w:r>
            <w:r w:rsidRPr="00C9040A">
              <w:rPr>
                <w:rtl/>
              </w:rPr>
              <w:t xml:space="preserve"> في « ز ، بف » : « لما »</w:t>
            </w:r>
            <w:r>
              <w:rPr>
                <w:rtl/>
              </w:rPr>
              <w:t>.</w:t>
            </w:r>
          </w:p>
        </w:tc>
      </w:tr>
    </w:tbl>
    <w:p w:rsidR="008A74EB" w:rsidRPr="00C9040A" w:rsidRDefault="006C577F" w:rsidP="004A4E41">
      <w:pPr>
        <w:pStyle w:val="libFootnote0"/>
        <w:rPr>
          <w:rtl/>
          <w:lang w:bidi="fa-IR"/>
        </w:rPr>
      </w:pPr>
      <w:r>
        <w:rPr>
          <w:rtl/>
        </w:rPr>
        <w:t>(11).</w:t>
      </w:r>
      <w:r w:rsidR="008A74EB" w:rsidRPr="00C9040A">
        <w:rPr>
          <w:rtl/>
        </w:rPr>
        <w:t xml:space="preserve"> في « ب » </w:t>
      </w:r>
      <w:r w:rsidR="008A74EB">
        <w:rPr>
          <w:rtl/>
        </w:rPr>
        <w:t xml:space="preserve">: </w:t>
      </w:r>
      <w:r w:rsidR="0084262C">
        <w:rPr>
          <w:rtl/>
        </w:rPr>
        <w:t>-</w:t>
      </w:r>
      <w:r w:rsidR="008A74EB" w:rsidRPr="00C9040A">
        <w:rPr>
          <w:rtl/>
        </w:rPr>
        <w:t xml:space="preserve"> « على »</w:t>
      </w:r>
      <w:r w:rsidR="008A74EB">
        <w:rPr>
          <w:rtl/>
        </w:rPr>
        <w:t>.</w:t>
      </w:r>
      <w:r w:rsidR="008A74EB" w:rsidRPr="00C9040A">
        <w:rPr>
          <w:rtl/>
        </w:rPr>
        <w:t xml:space="preserve"> وفي « ج ، د ، ز ، ص ، ف ، </w:t>
      </w:r>
      <w:r w:rsidR="006D3162">
        <w:rPr>
          <w:rtl/>
        </w:rPr>
        <w:t xml:space="preserve">ه </w:t>
      </w:r>
      <w:r w:rsidR="008A74EB" w:rsidRPr="00C9040A">
        <w:rPr>
          <w:rtl/>
        </w:rPr>
        <w:t>، بر » والوافي والبحار : « إلى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w:t>
      </w:r>
      <w:r w:rsidR="008A74EB" w:rsidRPr="00993B55">
        <w:rPr>
          <w:rStyle w:val="libFootnoteBoldChar"/>
          <w:rtl/>
        </w:rPr>
        <w:t>الوافي</w:t>
      </w:r>
      <w:r w:rsidR="008A74EB" w:rsidRPr="00C9040A">
        <w:rPr>
          <w:rtl/>
        </w:rPr>
        <w:t xml:space="preserve"> ، ج 5 ، ص 728 ، ح 2940 ؛ </w:t>
      </w:r>
      <w:r w:rsidR="008A74EB" w:rsidRPr="00993B55">
        <w:rPr>
          <w:rStyle w:val="libFootnoteBoldChar"/>
          <w:rtl/>
        </w:rPr>
        <w:t>البحار</w:t>
      </w:r>
      <w:r w:rsidR="008A74EB" w:rsidRPr="00C9040A">
        <w:rPr>
          <w:rtl/>
        </w:rPr>
        <w:t xml:space="preserve"> ، ج 47 ، ص 372 ، ح 93 ؛ وج 67 ، ص 160 ، ح 6.</w:t>
      </w:r>
    </w:p>
    <w:p w:rsidR="008A74EB" w:rsidRPr="00C9040A" w:rsidRDefault="008A74EB" w:rsidP="004A4E41">
      <w:pPr>
        <w:pStyle w:val="libFootnote0"/>
        <w:rPr>
          <w:rtl/>
          <w:lang w:bidi="fa-IR"/>
        </w:rPr>
      </w:pPr>
      <w:r>
        <w:rPr>
          <w:rtl/>
        </w:rPr>
        <w:t>(13)</w:t>
      </w:r>
      <w:r w:rsidRPr="00C9040A">
        <w:rPr>
          <w:rtl/>
        </w:rPr>
        <w:t xml:space="preserve"> في « ز » : « آمنوا »</w:t>
      </w:r>
      <w:r>
        <w:rPr>
          <w:rtl/>
        </w:rPr>
        <w:t>.</w:t>
      </w:r>
    </w:p>
    <w:p w:rsidR="008A74EB" w:rsidRPr="00C9040A" w:rsidRDefault="008A74EB" w:rsidP="00776714">
      <w:pPr>
        <w:pStyle w:val="libFootnote0"/>
        <w:rPr>
          <w:rtl/>
          <w:lang w:bidi="fa-IR"/>
        </w:rPr>
      </w:pPr>
      <w:r>
        <w:rPr>
          <w:rtl/>
        </w:rPr>
        <w:t>(14)</w:t>
      </w:r>
      <w:r w:rsidRPr="00C9040A">
        <w:rPr>
          <w:rtl/>
        </w:rPr>
        <w:t xml:space="preserve"> في </w:t>
      </w:r>
      <w:r w:rsidRPr="00993B55">
        <w:rPr>
          <w:rStyle w:val="libFootnoteBoldChar"/>
          <w:rtl/>
        </w:rPr>
        <w:t>المرآة</w:t>
      </w:r>
      <w:r w:rsidRPr="00C9040A">
        <w:rPr>
          <w:rtl/>
        </w:rPr>
        <w:t xml:space="preserve"> : « وأخافوني ، أي بالإذاعة وترك التقيّة. والضمير في « آمنوا » راجع إلى المدّعين للتشيّع الذين لم يطيعوا أئمّتهم »</w:t>
      </w:r>
      <w:r>
        <w:rPr>
          <w:rtl/>
        </w:rPr>
        <w:t>.</w:t>
      </w:r>
      <w:r w:rsidR="00776714">
        <w:rPr>
          <w:rFonts w:hint="cs"/>
          <w:rtl/>
        </w:rPr>
        <w:t xml:space="preserve">                                          </w:t>
      </w:r>
      <w:r>
        <w:rPr>
          <w:rtl/>
        </w:rPr>
        <w:t>(15)</w:t>
      </w:r>
      <w:r w:rsidR="00776714">
        <w:rPr>
          <w:rtl/>
        </w:rPr>
        <w:t xml:space="preserve"> «ومافيها»،الواو</w:t>
      </w:r>
      <w:r w:rsidR="00776714">
        <w:rPr>
          <w:rFonts w:hint="cs"/>
          <w:rtl/>
        </w:rPr>
        <w:t xml:space="preserve"> </w:t>
      </w:r>
      <w:r w:rsidR="00776714">
        <w:rPr>
          <w:rtl/>
        </w:rPr>
        <w:t>حاليّة،و</w:t>
      </w:r>
      <w:r>
        <w:rPr>
          <w:rtl/>
        </w:rPr>
        <w:t>«</w:t>
      </w:r>
      <w:r w:rsidR="00776714">
        <w:rPr>
          <w:rtl/>
        </w:rPr>
        <w:t>ما»نافية،و</w:t>
      </w:r>
      <w:r>
        <w:rPr>
          <w:rtl/>
        </w:rPr>
        <w:t>«</w:t>
      </w:r>
      <w:r w:rsidRPr="00C9040A">
        <w:rPr>
          <w:rtl/>
        </w:rPr>
        <w:t xml:space="preserve"> كانت » تامّة.</w:t>
      </w:r>
    </w:p>
    <w:p w:rsidR="004B7F34" w:rsidRDefault="004B7F34" w:rsidP="004B7F34">
      <w:pPr>
        <w:pStyle w:val="libNormal"/>
        <w:rPr>
          <w:rtl/>
          <w:lang w:bidi="fa-IR"/>
        </w:rPr>
      </w:pPr>
      <w:r>
        <w:rPr>
          <w:rtl/>
          <w:lang w:bidi="fa-IR"/>
        </w:rPr>
        <w:br w:type="page"/>
      </w:r>
    </w:p>
    <w:p w:rsidR="008A74EB" w:rsidRPr="00C9040A" w:rsidRDefault="0084262C" w:rsidP="008A74EB">
      <w:pPr>
        <w:pStyle w:val="libNormal0"/>
        <w:rPr>
          <w:rtl/>
          <w:lang w:bidi="fa-IR"/>
        </w:rPr>
      </w:pPr>
      <w:r>
        <w:rPr>
          <w:rtl/>
          <w:lang w:bidi="fa-IR"/>
        </w:rPr>
        <w:t>-</w:t>
      </w:r>
      <w:r w:rsidR="008A74EB" w:rsidRPr="00C9040A">
        <w:rPr>
          <w:rtl/>
          <w:lang w:bidi="fa-IR"/>
        </w:rPr>
        <w:t xml:space="preserve"> عَزَّ وَجَلَّ</w:t>
      </w:r>
      <w:r w:rsidR="008A74EB">
        <w:rPr>
          <w:rtl/>
          <w:lang w:bidi="fa-IR"/>
        </w:rPr>
        <w:t xml:space="preserve"> </w:t>
      </w:r>
      <w:r>
        <w:rPr>
          <w:rtl/>
          <w:lang w:bidi="fa-IR"/>
        </w:rPr>
        <w:t>-</w:t>
      </w:r>
      <w:r w:rsidR="008A74EB">
        <w:rPr>
          <w:rtl/>
          <w:lang w:bidi="fa-IR"/>
        </w:rPr>
        <w:t xml:space="preserve"> </w:t>
      </w:r>
      <w:r w:rsidR="008A74EB" w:rsidRPr="00C9040A">
        <w:rPr>
          <w:rtl/>
          <w:lang w:bidi="fa-IR"/>
        </w:rPr>
        <w:t xml:space="preserve">إِلَيْهِ حَيْثُ يَقُولُ </w:t>
      </w:r>
      <w:r w:rsidR="006C577F" w:rsidRPr="006C577F">
        <w:rPr>
          <w:rStyle w:val="libFootnotenumChar"/>
          <w:rtl/>
        </w:rPr>
        <w:t>(1)</w:t>
      </w:r>
      <w:r w:rsidR="008A74EB" w:rsidRPr="00C9040A">
        <w:rPr>
          <w:rtl/>
          <w:lang w:bidi="fa-IR"/>
        </w:rPr>
        <w:t xml:space="preserve"> : </w:t>
      </w:r>
      <w:r w:rsidR="008A74EB" w:rsidRPr="0003660B">
        <w:rPr>
          <w:rStyle w:val="libAlaemChar"/>
          <w:rtl/>
        </w:rPr>
        <w:t>(</w:t>
      </w:r>
      <w:r w:rsidR="008A74EB" w:rsidRPr="006A2246">
        <w:rPr>
          <w:rStyle w:val="libAieChar"/>
          <w:rtl/>
        </w:rPr>
        <w:t xml:space="preserve"> إِنَّ إِبْراهِيمَ كانَ أُمَّةً قانِتاً لِلّهِ حَنِيفاً وَلَمْ يَكُ مِنَ الْمُشْرِكِينَ </w:t>
      </w:r>
      <w:r w:rsidR="008A74EB" w:rsidRPr="0003660B">
        <w:rPr>
          <w:rStyle w:val="libAlaemChar"/>
          <w:rtl/>
        </w:rPr>
        <w:t>)</w:t>
      </w:r>
      <w:r w:rsidR="008A74EB" w:rsidRPr="00C9040A">
        <w:rPr>
          <w:rtl/>
          <w:lang w:bidi="fa-IR"/>
        </w:rPr>
        <w:t xml:space="preserve"> </w:t>
      </w:r>
      <w:r w:rsidR="006C577F" w:rsidRPr="006C577F">
        <w:rPr>
          <w:rStyle w:val="libFootnotenumChar"/>
          <w:rtl/>
        </w:rPr>
        <w:t>(2)</w:t>
      </w:r>
      <w:r w:rsidR="008A74EB" w:rsidRPr="00C9040A">
        <w:rPr>
          <w:rtl/>
          <w:lang w:bidi="fa-IR"/>
        </w:rPr>
        <w:t xml:space="preserve"> فَغَبَرَ </w:t>
      </w:r>
      <w:r w:rsidR="006C577F" w:rsidRPr="006C577F">
        <w:rPr>
          <w:rStyle w:val="libFootnotenumChar"/>
          <w:rtl/>
        </w:rPr>
        <w:t>(3)</w:t>
      </w:r>
      <w:r w:rsidR="008A74EB" w:rsidRPr="00C9040A">
        <w:rPr>
          <w:rtl/>
          <w:lang w:bidi="fa-IR"/>
        </w:rPr>
        <w:t xml:space="preserve"> بِذلِكَ مَا شَاءَ اللهُ.</w:t>
      </w:r>
    </w:p>
    <w:p w:rsidR="008A74EB" w:rsidRPr="00C9040A" w:rsidRDefault="008A74EB" w:rsidP="008A74EB">
      <w:pPr>
        <w:pStyle w:val="libNormal"/>
        <w:rPr>
          <w:rtl/>
          <w:lang w:bidi="fa-IR"/>
        </w:rPr>
      </w:pPr>
      <w:r w:rsidRPr="00C9040A">
        <w:rPr>
          <w:rtl/>
          <w:lang w:bidi="fa-IR"/>
        </w:rPr>
        <w:t xml:space="preserve">ثُمَّ إِنَّ اللهَ آنَسَهُ بِإِسْمَاعِيلَ وَإِسْحَاقَ ، فَصَارُوا ثَلَاثَةً ، أَمَا وَاللهِ ، إِنَّ الْمُؤْمِنَ لَقَلِيلٌ ، وَإِنَّ أَهْلَ الْكُفْرِ </w:t>
      </w:r>
      <w:r w:rsidR="006C577F" w:rsidRPr="006C577F">
        <w:rPr>
          <w:rStyle w:val="libFootnotenumChar"/>
          <w:rtl/>
        </w:rPr>
        <w:t>(4)</w:t>
      </w:r>
      <w:r w:rsidRPr="00C9040A">
        <w:rPr>
          <w:rtl/>
          <w:lang w:bidi="fa-IR"/>
        </w:rPr>
        <w:t xml:space="preserve"> لَكَثِيرٌ </w:t>
      </w:r>
      <w:r w:rsidR="006C577F" w:rsidRPr="006C577F">
        <w:rPr>
          <w:rStyle w:val="libFootnotenumChar"/>
          <w:rtl/>
        </w:rPr>
        <w:t>(5)</w:t>
      </w:r>
      <w:r>
        <w:rPr>
          <w:rtl/>
          <w:lang w:bidi="fa-IR"/>
        </w:rPr>
        <w:t xml:space="preserve"> ، أَ</w:t>
      </w:r>
      <w:r w:rsidRPr="00C9040A">
        <w:rPr>
          <w:rtl/>
          <w:lang w:bidi="fa-IR"/>
        </w:rPr>
        <w:t xml:space="preserve">تَدْرِي لِمَ ذَاكَ </w:t>
      </w:r>
      <w:r w:rsidR="006C577F" w:rsidRPr="006C577F">
        <w:rPr>
          <w:rStyle w:val="libFootnotenumChar"/>
          <w:rtl/>
        </w:rPr>
        <w:t>(6)</w:t>
      </w:r>
      <w:r w:rsidRPr="00DE0AB5">
        <w:rPr>
          <w:rtl/>
        </w:rPr>
        <w:t xml:space="preserve">؟ </w:t>
      </w:r>
      <w:r w:rsidRPr="00C9040A">
        <w:rPr>
          <w:rtl/>
          <w:lang w:bidi="fa-IR"/>
        </w:rPr>
        <w:t>» فَقُلْتُ : لَا</w:t>
      </w:r>
      <w:r>
        <w:rPr>
          <w:rFonts w:hint="cs"/>
          <w:rtl/>
          <w:lang w:bidi="fa-IR"/>
        </w:rPr>
        <w:t xml:space="preserve"> </w:t>
      </w:r>
      <w:r w:rsidRPr="00C9040A">
        <w:rPr>
          <w:rtl/>
          <w:lang w:bidi="fa-IR"/>
        </w:rPr>
        <w:t xml:space="preserve">أَدْرِي جُعِلْتُ فِدَاكَ ، فَقَالَ : « صُيِّرُوا أُنْساً لِلْمُؤْمِنِينَ </w:t>
      </w:r>
      <w:r w:rsidR="006C577F" w:rsidRPr="006C577F">
        <w:rPr>
          <w:rStyle w:val="libFootnotenumChar"/>
          <w:rtl/>
        </w:rPr>
        <w:t>(7)</w:t>
      </w:r>
      <w:r w:rsidRPr="00C9040A">
        <w:rPr>
          <w:rtl/>
          <w:lang w:bidi="fa-IR"/>
        </w:rPr>
        <w:t xml:space="preserve"> ، يَبُثُّونَ إِلَيْهِمْ مَا </w:t>
      </w:r>
      <w:r w:rsidR="006C577F" w:rsidRPr="006C577F">
        <w:rPr>
          <w:rStyle w:val="libFootnotenumChar"/>
          <w:rtl/>
        </w:rPr>
        <w:t>(8)</w:t>
      </w:r>
      <w:r w:rsidRPr="00C9040A">
        <w:rPr>
          <w:rtl/>
          <w:lang w:bidi="fa-IR"/>
        </w:rPr>
        <w:t xml:space="preserve"> فِي صُدُورِهِمْ ، فَيَسْتَرِيحُونَ إِلى ذلِكَ ، وَيَسْكُنُونَ إِلَيْهِ »</w:t>
      </w:r>
      <w:r>
        <w:rPr>
          <w:rtl/>
          <w:lang w:bidi="fa-IR"/>
        </w:rPr>
        <w:t>.</w:t>
      </w:r>
      <w:r w:rsidRPr="00C9040A">
        <w:rPr>
          <w:rtl/>
          <w:lang w:bidi="fa-IR"/>
        </w:rPr>
        <w:t xml:space="preserve"> </w:t>
      </w:r>
      <w:r w:rsidR="006C577F" w:rsidRPr="006C577F">
        <w:rPr>
          <w:rStyle w:val="libFootnotenumChar"/>
          <w:rtl/>
        </w:rPr>
        <w:t>(9)</w:t>
      </w:r>
      <w:r w:rsidRPr="00C9040A">
        <w:rPr>
          <w:rtl/>
          <w:lang w:bidi="fa-IR"/>
        </w:rPr>
        <w:t xml:space="preserve"> ‌</w:t>
      </w:r>
    </w:p>
    <w:p w:rsidR="008A74EB" w:rsidRPr="00C9040A" w:rsidRDefault="008A74EB" w:rsidP="008A74EB">
      <w:pPr>
        <w:pStyle w:val="libNormal"/>
        <w:rPr>
          <w:rtl/>
          <w:lang w:bidi="fa-IR"/>
        </w:rPr>
      </w:pPr>
      <w:r w:rsidRPr="00DD74C1">
        <w:rPr>
          <w:rtl/>
        </w:rPr>
        <w:t>2324</w:t>
      </w:r>
      <w:r w:rsidRPr="00261CB0">
        <w:rPr>
          <w:rStyle w:val="libBold2Char"/>
          <w:rtl/>
        </w:rPr>
        <w:t xml:space="preserve"> / 6.</w:t>
      </w:r>
      <w:r w:rsidRPr="00C9040A">
        <w:rPr>
          <w:rtl/>
          <w:lang w:bidi="fa-IR"/>
        </w:rPr>
        <w:t xml:space="preserve"> عِدَّةٌ مِنْ أَصْحَابِنَا ، عَنْ سَهْلِ بْنِ زِيَادٍ ، عَنْ مُحَمَّدِ بْنِ أُورَمَةَ ، عَنِ النَّضْرِ ، عَنْ يَحْيى ، عَنْ </w:t>
      </w:r>
      <w:r w:rsidR="006C577F" w:rsidRPr="006C577F">
        <w:rPr>
          <w:rStyle w:val="libFootnotenumChar"/>
          <w:rtl/>
        </w:rPr>
        <w:t>(10)</w:t>
      </w:r>
      <w:r w:rsidRPr="00C9040A">
        <w:rPr>
          <w:rtl/>
          <w:lang w:bidi="fa-IR"/>
        </w:rPr>
        <w:t xml:space="preserve"> أَبِي خَالِدٍ الْقَمَّاطِ ، عَنْ حُمْرَانَ بْنِ أَعْيَنَ ، قَالَ :</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776714" w:rsidTr="00776714">
        <w:tc>
          <w:tcPr>
            <w:tcW w:w="4006" w:type="dxa"/>
          </w:tcPr>
          <w:p w:rsidR="00776714" w:rsidRDefault="00776714" w:rsidP="004A4E41">
            <w:pPr>
              <w:pStyle w:val="libFootnote0"/>
              <w:rPr>
                <w:rtl/>
              </w:rPr>
            </w:pPr>
            <w:r>
              <w:rPr>
                <w:rtl/>
              </w:rPr>
              <w:t xml:space="preserve">(1). </w:t>
            </w:r>
            <w:r w:rsidRPr="00C9040A">
              <w:rPr>
                <w:rtl/>
              </w:rPr>
              <w:t>في « بر » : « قال »</w:t>
            </w:r>
            <w:r>
              <w:rPr>
                <w:rtl/>
              </w:rPr>
              <w:t>.</w:t>
            </w:r>
          </w:p>
        </w:tc>
        <w:tc>
          <w:tcPr>
            <w:tcW w:w="4006" w:type="dxa"/>
          </w:tcPr>
          <w:p w:rsidR="00776714" w:rsidRDefault="00776714" w:rsidP="004A4E41">
            <w:pPr>
              <w:pStyle w:val="libFootnote0"/>
              <w:rPr>
                <w:rtl/>
              </w:rPr>
            </w:pPr>
            <w:r>
              <w:rPr>
                <w:rtl/>
              </w:rPr>
              <w:t xml:space="preserve">(2). </w:t>
            </w:r>
            <w:r w:rsidRPr="00C9040A">
              <w:rPr>
                <w:rtl/>
              </w:rPr>
              <w:t>النحل (16) : 120.</w:t>
            </w:r>
          </w:p>
        </w:tc>
      </w:tr>
    </w:tbl>
    <w:p w:rsidR="008A74EB" w:rsidRPr="00C9040A" w:rsidRDefault="006C577F" w:rsidP="004A4E41">
      <w:pPr>
        <w:pStyle w:val="libFootnote0"/>
        <w:rPr>
          <w:rtl/>
          <w:lang w:bidi="fa-IR"/>
        </w:rPr>
      </w:pPr>
      <w:r>
        <w:rPr>
          <w:rtl/>
        </w:rPr>
        <w:t>(3).</w:t>
      </w:r>
      <w:r w:rsidR="008A74EB" w:rsidRPr="00C9040A">
        <w:rPr>
          <w:rtl/>
        </w:rPr>
        <w:t xml:space="preserve"> في « ج » وحاشية « ب ، ص ، ض ، ف ، بر » والبحار وتفسير العيّاشي : « فصبر »</w:t>
      </w:r>
      <w:r w:rsidR="008A74EB">
        <w:rPr>
          <w:rtl/>
        </w:rPr>
        <w:t>.</w:t>
      </w:r>
      <w:r w:rsidR="008A74EB" w:rsidRPr="00C9040A">
        <w:rPr>
          <w:rtl/>
        </w:rPr>
        <w:t xml:space="preserve"> وفي « ز » : « فصير »</w:t>
      </w:r>
      <w:r w:rsidR="008A74EB">
        <w:rPr>
          <w:rtl/>
        </w:rPr>
        <w:t>.</w:t>
      </w:r>
      <w:r w:rsidR="008A74EB" w:rsidRPr="00C9040A">
        <w:rPr>
          <w:rtl/>
        </w:rPr>
        <w:t xml:space="preserve"> وفي « </w:t>
      </w:r>
      <w:r w:rsidR="006D3162">
        <w:rPr>
          <w:rtl/>
        </w:rPr>
        <w:t xml:space="preserve">ه </w:t>
      </w:r>
      <w:r w:rsidR="008A74EB" w:rsidRPr="00C9040A">
        <w:rPr>
          <w:rtl/>
        </w:rPr>
        <w:t>» : « فعمل »</w:t>
      </w:r>
      <w:r w:rsidR="008A74EB">
        <w:rPr>
          <w:rtl/>
        </w:rPr>
        <w:t>.</w:t>
      </w:r>
      <w:r w:rsidR="008A74EB" w:rsidRPr="00C9040A">
        <w:rPr>
          <w:rtl/>
        </w:rPr>
        <w:t xml:space="preserve"> وفي مرآة العقول عن بعض النسخ : « فعبر »</w:t>
      </w:r>
      <w:r w:rsidR="008A74EB">
        <w:rPr>
          <w:rtl/>
        </w:rPr>
        <w:t>.</w:t>
      </w:r>
      <w:r w:rsidR="008A74EB" w:rsidRPr="00C9040A">
        <w:rPr>
          <w:rtl/>
        </w:rPr>
        <w:t xml:space="preserve"> </w:t>
      </w:r>
      <w:r w:rsidR="008A74EB">
        <w:rPr>
          <w:rtl/>
        </w:rPr>
        <w:t>و «</w:t>
      </w:r>
      <w:r w:rsidR="008A74EB" w:rsidRPr="00C9040A">
        <w:rPr>
          <w:rtl/>
        </w:rPr>
        <w:t xml:space="preserve"> غبر » ، أي مضى ، فهو الغابر ، أي الماضي وقد يكون بمعنى الباقي ، فهو من الأضداد ، وعن الأزهري : المعروف الكثير أنّ الغابر الباقي ، وقال غير واحد من الأئمّة : إنّه يكون بمعنى الماضي. راجع : </w:t>
      </w:r>
      <w:r w:rsidR="008A74EB" w:rsidRPr="00993B55">
        <w:rPr>
          <w:rStyle w:val="libFootnoteBoldChar"/>
          <w:rtl/>
        </w:rPr>
        <w:t>الصحاح</w:t>
      </w:r>
      <w:r w:rsidR="008A74EB" w:rsidRPr="00C9040A">
        <w:rPr>
          <w:rtl/>
        </w:rPr>
        <w:t xml:space="preserve"> ، ج 2 ، ص 765 ؛ </w:t>
      </w:r>
      <w:r w:rsidR="008A74EB" w:rsidRPr="00993B55">
        <w:rPr>
          <w:rStyle w:val="libFootnoteBoldChar"/>
          <w:rtl/>
        </w:rPr>
        <w:t>النهاية</w:t>
      </w:r>
      <w:r w:rsidR="00C822D0">
        <w:rPr>
          <w:rtl/>
        </w:rPr>
        <w:t xml:space="preserve"> ، ج 3 ، ص 337 ( غبر</w:t>
      </w:r>
      <w:r w:rsidR="008A74EB" w:rsidRPr="00C9040A">
        <w:rPr>
          <w:rtl/>
        </w:rPr>
        <w:t>)</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w:t>
      </w:r>
      <w:r w:rsidR="008A74EB" w:rsidRPr="00993B55">
        <w:rPr>
          <w:rStyle w:val="libFootnoteBoldChar"/>
          <w:rtl/>
        </w:rPr>
        <w:t>الوافي</w:t>
      </w:r>
      <w:r w:rsidR="008A74EB" w:rsidRPr="00C9040A">
        <w:rPr>
          <w:rtl/>
        </w:rPr>
        <w:t xml:space="preserve"> : « يعني بهم من كان في زيّ المؤمنين وفي عدادهم »</w:t>
      </w:r>
      <w:r w:rsidR="008A74EB">
        <w:rPr>
          <w:rtl/>
        </w:rPr>
        <w:t>.</w:t>
      </w:r>
      <w:r w:rsidR="008A74EB" w:rsidRPr="00C9040A">
        <w:rPr>
          <w:rtl/>
        </w:rPr>
        <w:t xml:space="preserve"> وفي </w:t>
      </w:r>
      <w:r w:rsidR="008A74EB" w:rsidRPr="00993B55">
        <w:rPr>
          <w:rStyle w:val="libFootnoteBoldChar"/>
          <w:rtl/>
        </w:rPr>
        <w:t>المرآة</w:t>
      </w:r>
      <w:r w:rsidR="008A74EB" w:rsidRPr="00C9040A">
        <w:rPr>
          <w:rtl/>
        </w:rPr>
        <w:t xml:space="preserve"> : «</w:t>
      </w:r>
      <w:r w:rsidR="00302B8F">
        <w:rPr>
          <w:rtl/>
        </w:rPr>
        <w:t xml:space="preserve"> الكفر هنا مقابل الإيمان‌الكامل</w:t>
      </w:r>
      <w:r w:rsidR="008A74EB" w:rsidRPr="00C9040A">
        <w:rPr>
          <w:rtl/>
        </w:rPr>
        <w:t>»</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ب ، د ، ص ، ض ، بس ، بف » ومرآة العقول والبحار : « كثير »</w:t>
      </w:r>
      <w:r w:rsidR="008A74EB">
        <w:rPr>
          <w:rtl/>
        </w:rPr>
        <w:t>.</w:t>
      </w:r>
    </w:p>
    <w:tbl>
      <w:tblPr>
        <w:tblStyle w:val="TableGrid"/>
        <w:bidiVisual/>
        <w:tblW w:w="0" w:type="auto"/>
        <w:tblLook w:val="04A0" w:firstRow="1" w:lastRow="0" w:firstColumn="1" w:lastColumn="0" w:noHBand="0" w:noVBand="1"/>
      </w:tblPr>
      <w:tblGrid>
        <w:gridCol w:w="4006"/>
        <w:gridCol w:w="4006"/>
      </w:tblGrid>
      <w:tr w:rsidR="00302B8F" w:rsidTr="00302B8F">
        <w:tc>
          <w:tcPr>
            <w:tcW w:w="4006" w:type="dxa"/>
          </w:tcPr>
          <w:p w:rsidR="00302B8F" w:rsidRDefault="00302B8F" w:rsidP="004A4E41">
            <w:pPr>
              <w:pStyle w:val="libFootnote0"/>
              <w:rPr>
                <w:rtl/>
              </w:rPr>
            </w:pPr>
            <w:r>
              <w:rPr>
                <w:rtl/>
              </w:rPr>
              <w:t xml:space="preserve">(6). </w:t>
            </w:r>
            <w:r w:rsidRPr="00C9040A">
              <w:rPr>
                <w:rtl/>
              </w:rPr>
              <w:t xml:space="preserve">في « ز ، ض ، </w:t>
            </w:r>
            <w:r>
              <w:rPr>
                <w:rtl/>
              </w:rPr>
              <w:t xml:space="preserve">ه </w:t>
            </w:r>
            <w:r w:rsidRPr="00C9040A">
              <w:rPr>
                <w:rtl/>
              </w:rPr>
              <w:t>» ومرآة العقول : « ذلك »</w:t>
            </w:r>
            <w:r>
              <w:rPr>
                <w:rtl/>
              </w:rPr>
              <w:t>.</w:t>
            </w:r>
          </w:p>
        </w:tc>
        <w:tc>
          <w:tcPr>
            <w:tcW w:w="4006" w:type="dxa"/>
          </w:tcPr>
          <w:p w:rsidR="00302B8F" w:rsidRDefault="00302B8F" w:rsidP="004A4E41">
            <w:pPr>
              <w:pStyle w:val="libFootnote0"/>
              <w:rPr>
                <w:rtl/>
              </w:rPr>
            </w:pPr>
            <w:r>
              <w:rPr>
                <w:rtl/>
              </w:rPr>
              <w:t>(7).</w:t>
            </w:r>
            <w:r w:rsidRPr="00C9040A">
              <w:rPr>
                <w:rtl/>
              </w:rPr>
              <w:t xml:space="preserve"> في شرح المازندراني : « للمؤمن »</w:t>
            </w:r>
            <w:r>
              <w:rPr>
                <w:rtl/>
              </w:rPr>
              <w:t>.</w:t>
            </w:r>
          </w:p>
        </w:tc>
      </w:tr>
    </w:tbl>
    <w:p w:rsidR="008A74EB" w:rsidRPr="00C9040A" w:rsidRDefault="006C577F" w:rsidP="004A4E41">
      <w:pPr>
        <w:pStyle w:val="libFootnote0"/>
        <w:rPr>
          <w:rtl/>
          <w:lang w:bidi="fa-IR"/>
        </w:rPr>
      </w:pPr>
      <w:r>
        <w:rPr>
          <w:rtl/>
        </w:rPr>
        <w:t>(8).</w:t>
      </w:r>
      <w:r w:rsidR="008A74EB" w:rsidRPr="00C9040A">
        <w:rPr>
          <w:rtl/>
        </w:rPr>
        <w:t xml:space="preserve"> في « بف » : « عمّا »</w:t>
      </w:r>
      <w:r w:rsidR="008A74EB">
        <w:rPr>
          <w:rtl/>
        </w:rPr>
        <w:t>.</w:t>
      </w:r>
    </w:p>
    <w:p w:rsidR="008A74EB" w:rsidRPr="00C9040A" w:rsidRDefault="006C577F" w:rsidP="007A4315">
      <w:pPr>
        <w:pStyle w:val="libFootnote0"/>
        <w:rPr>
          <w:rtl/>
          <w:lang w:bidi="fa-IR"/>
        </w:rPr>
      </w:pPr>
      <w:r>
        <w:rPr>
          <w:rtl/>
        </w:rPr>
        <w:t>(9).</w:t>
      </w:r>
      <w:r w:rsidR="008A74EB" w:rsidRPr="00C9040A">
        <w:rPr>
          <w:rtl/>
        </w:rPr>
        <w:t xml:space="preserve"> </w:t>
      </w:r>
      <w:r w:rsidR="008A74EB" w:rsidRPr="00993B55">
        <w:rPr>
          <w:rStyle w:val="libFootnoteBoldChar"/>
          <w:rtl/>
        </w:rPr>
        <w:t>تفسير العيّاشي</w:t>
      </w:r>
      <w:r w:rsidR="008A74EB" w:rsidRPr="00C9040A">
        <w:rPr>
          <w:rtl/>
        </w:rPr>
        <w:t xml:space="preserve"> ، ج 2 ، ص 274 ، ح 84 ، عن سماعة بن مهران ، إلى قوله : « فصاروا ثلاثة » مع اختلاف يسير</w:t>
      </w:r>
      <w:r w:rsidR="007A4315">
        <w:rPr>
          <w:rFonts w:hint="cs"/>
          <w:rtl/>
        </w:rPr>
        <w:t>.</w:t>
      </w:r>
      <w:r w:rsidR="008A74EB" w:rsidRPr="00993B55">
        <w:rPr>
          <w:rStyle w:val="libFootnoteBoldChar"/>
          <w:rtl/>
        </w:rPr>
        <w:t>الوافي</w:t>
      </w:r>
      <w:r w:rsidR="008A74EB" w:rsidRPr="00C9040A">
        <w:rPr>
          <w:rtl/>
        </w:rPr>
        <w:t xml:space="preserve"> ، ج 5 ، ص 728 ، ح 2941 ؛ </w:t>
      </w:r>
      <w:r w:rsidR="008A74EB" w:rsidRPr="00993B55">
        <w:rPr>
          <w:rStyle w:val="libFootnoteBoldChar"/>
          <w:rtl/>
        </w:rPr>
        <w:t>البحار</w:t>
      </w:r>
      <w:r w:rsidR="008A74EB" w:rsidRPr="00C9040A">
        <w:rPr>
          <w:rtl/>
        </w:rPr>
        <w:t xml:space="preserve"> ، ج 47 ، ص</w:t>
      </w:r>
      <w:r w:rsidR="007A4315">
        <w:rPr>
          <w:rtl/>
        </w:rPr>
        <w:t xml:space="preserve"> 373 ، ح 94 ؛ وج 67 ، ص 162 ، ح</w:t>
      </w:r>
      <w:r w:rsidR="008A74EB" w:rsidRPr="00C9040A">
        <w:rPr>
          <w:rtl/>
        </w:rPr>
        <w:t>7.</w:t>
      </w:r>
    </w:p>
    <w:p w:rsidR="008A74EB" w:rsidRPr="00C9040A" w:rsidRDefault="006C577F" w:rsidP="004A4E41">
      <w:pPr>
        <w:pStyle w:val="libFootnote0"/>
        <w:rPr>
          <w:rtl/>
          <w:lang w:bidi="fa-IR"/>
        </w:rPr>
      </w:pPr>
      <w:r>
        <w:rPr>
          <w:rtl/>
        </w:rPr>
        <w:t>(10).</w:t>
      </w:r>
      <w:r w:rsidR="008A74EB" w:rsidRPr="00C9040A">
        <w:rPr>
          <w:rtl/>
        </w:rPr>
        <w:t xml:space="preserve"> هكذا في حاشية « ض ، ف »</w:t>
      </w:r>
      <w:r w:rsidR="008A74EB">
        <w:rPr>
          <w:rtl/>
        </w:rPr>
        <w:t>.</w:t>
      </w:r>
      <w:r w:rsidR="008A74EB" w:rsidRPr="00C9040A">
        <w:rPr>
          <w:rtl/>
        </w:rPr>
        <w:t xml:space="preserve"> وفي النسخ والمطبوع : « بن »</w:t>
      </w:r>
      <w:r w:rsidR="008A74EB">
        <w:rPr>
          <w:rtl/>
        </w:rPr>
        <w:t>.</w:t>
      </w:r>
    </w:p>
    <w:p w:rsidR="008A74EB" w:rsidRPr="00C9040A" w:rsidRDefault="008A74EB" w:rsidP="004A4E41">
      <w:pPr>
        <w:pStyle w:val="libFootnote0"/>
        <w:rPr>
          <w:rtl/>
          <w:lang w:bidi="fa-IR"/>
        </w:rPr>
      </w:pPr>
      <w:r w:rsidRPr="00323A39">
        <w:rPr>
          <w:rtl/>
        </w:rPr>
        <w:t xml:space="preserve">والصواب ما أثبتناه. والمراد من « النضر ، عن يحيى » هو « النضر بن سويد ، عن يحيى بن عمران الحلبي » ؛ فإنّ النضر بن سويد روى كتاب يحيى الحلبي ، وروايته عنه في الأسناد كثيرة. راجع : </w:t>
      </w:r>
      <w:r w:rsidRPr="0034021D">
        <w:rPr>
          <w:rStyle w:val="libFootnoteBoldChar"/>
          <w:rtl/>
        </w:rPr>
        <w:t>الفهرست للطوسي</w:t>
      </w:r>
      <w:r w:rsidRPr="00323A39">
        <w:rPr>
          <w:rtl/>
        </w:rPr>
        <w:t xml:space="preserve"> ، ص 501 ، الرقم 790 ؛ </w:t>
      </w:r>
      <w:r w:rsidRPr="00993B55">
        <w:rPr>
          <w:rStyle w:val="libFootnoteBoldChar"/>
          <w:rtl/>
        </w:rPr>
        <w:t>معجم رجال الحديث</w:t>
      </w:r>
      <w:r w:rsidRPr="00323A39">
        <w:rPr>
          <w:rtl/>
        </w:rPr>
        <w:t xml:space="preserve"> ، ج 19 ، ص 387 </w:t>
      </w:r>
      <w:r w:rsidR="0084262C" w:rsidRPr="00323A39">
        <w:rPr>
          <w:rtl/>
        </w:rPr>
        <w:t>-</w:t>
      </w:r>
      <w:r w:rsidRPr="00323A39">
        <w:rPr>
          <w:rtl/>
        </w:rPr>
        <w:t xml:space="preserve"> 389.</w:t>
      </w:r>
    </w:p>
    <w:p w:rsidR="008A74EB" w:rsidRPr="00C9040A" w:rsidRDefault="008A74EB" w:rsidP="004A4E41">
      <w:pPr>
        <w:pStyle w:val="libFootnote0"/>
        <w:rPr>
          <w:rtl/>
          <w:lang w:bidi="fa-IR"/>
        </w:rPr>
      </w:pPr>
      <w:r w:rsidRPr="0082575F">
        <w:rPr>
          <w:rtl/>
        </w:rPr>
        <w:t xml:space="preserve">هذا ، وقد روى النضر بن سويد ، عن يحيى بن عمران الحلبي ، عن أبي‌خالد القمّاط ، عن حمران بن أعين ، في </w:t>
      </w:r>
      <w:r w:rsidR="007A4315">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قُلْتُ لِأَبِي جَعْفَرٍ </w:t>
      </w:r>
      <w:r w:rsidRPr="0003660B">
        <w:rPr>
          <w:rStyle w:val="libAlaemChar"/>
          <w:rtl/>
        </w:rPr>
        <w:t>عليه‌السلام</w:t>
      </w:r>
      <w:r w:rsidRPr="00C9040A">
        <w:rPr>
          <w:rtl/>
          <w:lang w:bidi="fa-IR"/>
        </w:rPr>
        <w:t xml:space="preserve"> : جُعِلْتُ فِدَاكَ ، مَا أَقَلَّنَا</w:t>
      </w:r>
      <w:r>
        <w:rPr>
          <w:rtl/>
          <w:lang w:bidi="fa-IR"/>
        </w:rPr>
        <w:t>؟!</w:t>
      </w:r>
      <w:r w:rsidRPr="00C9040A">
        <w:rPr>
          <w:rtl/>
          <w:lang w:bidi="fa-IR"/>
        </w:rPr>
        <w:t xml:space="preserve"> لَوِ اجْتَمَعْنَا عَلى شَاةٍ مَا </w:t>
      </w:r>
      <w:r>
        <w:rPr>
          <w:rtl/>
          <w:lang w:bidi="fa-IR"/>
        </w:rPr>
        <w:t>أَفْنَيْنَاهَا ، فَقَالَ : «أَ</w:t>
      </w:r>
      <w:r w:rsidRPr="00C9040A">
        <w:rPr>
          <w:rtl/>
          <w:lang w:bidi="fa-IR"/>
        </w:rPr>
        <w:t>لَا</w:t>
      </w:r>
      <w:r>
        <w:rPr>
          <w:rFonts w:hint="cs"/>
          <w:rtl/>
          <w:lang w:bidi="fa-IR"/>
        </w:rPr>
        <w:t xml:space="preserve"> </w:t>
      </w:r>
      <w:r w:rsidRPr="00C9040A">
        <w:rPr>
          <w:rtl/>
          <w:lang w:bidi="fa-IR"/>
        </w:rPr>
        <w:t>أُحَدِّثُكَ بِأَعْجَبَ مِنْ ذلِكَ</w:t>
      </w:r>
      <w:r>
        <w:rPr>
          <w:rtl/>
          <w:lang w:bidi="fa-IR"/>
        </w:rPr>
        <w:t>؟</w:t>
      </w:r>
      <w:r w:rsidRPr="00C9040A">
        <w:rPr>
          <w:rtl/>
          <w:lang w:bidi="fa-IR"/>
        </w:rPr>
        <w:t xml:space="preserve"> الْمُهَاجِرُون</w:t>
      </w:r>
      <w:r w:rsidR="008D7A15">
        <w:rPr>
          <w:rtl/>
          <w:lang w:bidi="fa-IR"/>
        </w:rPr>
        <w:t>َ وَالْأَنْصَارُ ذَهَبُوا إِل</w:t>
      </w:r>
      <w:r w:rsidR="008D7A15">
        <w:rPr>
          <w:rFonts w:hint="cs"/>
          <w:rtl/>
          <w:lang w:bidi="fa-IR"/>
        </w:rPr>
        <w:t>َّ</w:t>
      </w:r>
      <w:r w:rsidR="008D7A15">
        <w:rPr>
          <w:rtl/>
          <w:lang w:bidi="fa-IR"/>
        </w:rPr>
        <w:t>ا</w:t>
      </w:r>
      <w:r>
        <w:rPr>
          <w:rtl/>
          <w:lang w:bidi="fa-IR"/>
        </w:rPr>
        <w:t xml:space="preserve"> </w:t>
      </w:r>
      <w:r w:rsidR="0084262C">
        <w:rPr>
          <w:rtl/>
          <w:lang w:bidi="fa-IR"/>
        </w:rPr>
        <w:t>-</w:t>
      </w:r>
      <w:r>
        <w:rPr>
          <w:rtl/>
          <w:lang w:bidi="fa-IR"/>
        </w:rPr>
        <w:t xml:space="preserve"> </w:t>
      </w:r>
      <w:r w:rsidRPr="00C9040A">
        <w:rPr>
          <w:rtl/>
          <w:lang w:bidi="fa-IR"/>
        </w:rPr>
        <w:t>وَ</w:t>
      </w:r>
      <w:r>
        <w:rPr>
          <w:rFonts w:hint="cs"/>
          <w:rtl/>
          <w:lang w:bidi="fa-IR"/>
        </w:rPr>
        <w:t xml:space="preserve"> </w:t>
      </w:r>
      <w:r w:rsidR="006C577F" w:rsidRPr="006C577F">
        <w:rPr>
          <w:rStyle w:val="libFootnotenumChar"/>
          <w:rtl/>
        </w:rPr>
        <w:t>(1)</w:t>
      </w:r>
      <w:r w:rsidRPr="00C9040A">
        <w:rPr>
          <w:rtl/>
          <w:lang w:bidi="fa-IR"/>
        </w:rPr>
        <w:t xml:space="preserve"> أَشَارَ بِيَدِهِ </w:t>
      </w:r>
      <w:r w:rsidR="006C577F" w:rsidRPr="006C577F">
        <w:rPr>
          <w:rStyle w:val="libFootnotenumChar"/>
          <w:rtl/>
        </w:rPr>
        <w:t>(2)</w:t>
      </w:r>
      <w:r>
        <w:rPr>
          <w:rtl/>
          <w:lang w:bidi="fa-IR"/>
        </w:rPr>
        <w:t xml:space="preserve"> </w:t>
      </w:r>
      <w:r w:rsidR="0084262C">
        <w:rPr>
          <w:rtl/>
          <w:lang w:bidi="fa-IR"/>
        </w:rPr>
        <w:t>-</w:t>
      </w:r>
      <w:r>
        <w:rPr>
          <w:rtl/>
          <w:lang w:bidi="fa-IR"/>
        </w:rPr>
        <w:t xml:space="preserve"> ثَلَاثَةً</w:t>
      </w:r>
      <w:r w:rsidRPr="00C9040A">
        <w:rPr>
          <w:rtl/>
          <w:lang w:bidi="fa-IR"/>
        </w:rPr>
        <w:t>»</w:t>
      </w:r>
      <w:r>
        <w:rPr>
          <w:rtl/>
          <w:lang w:bidi="fa-IR"/>
        </w:rPr>
        <w:t>.</w:t>
      </w:r>
    </w:p>
    <w:p w:rsidR="008A74EB" w:rsidRPr="00C9040A" w:rsidRDefault="008A74EB" w:rsidP="008A74EB">
      <w:pPr>
        <w:pStyle w:val="libNormal"/>
        <w:rPr>
          <w:rtl/>
          <w:lang w:bidi="fa-IR"/>
        </w:rPr>
      </w:pPr>
      <w:r w:rsidRPr="00C9040A">
        <w:rPr>
          <w:rtl/>
          <w:lang w:bidi="fa-IR"/>
        </w:rPr>
        <w:t xml:space="preserve">قَالَ حُمْرَانُ : فَقُلْتُ : جُعِلْتُ فِدَاكَ </w:t>
      </w:r>
      <w:r w:rsidR="006C577F" w:rsidRPr="006C577F">
        <w:rPr>
          <w:rStyle w:val="libFootnotenumChar"/>
          <w:rtl/>
        </w:rPr>
        <w:t>(3)</w:t>
      </w:r>
      <w:r w:rsidRPr="00C9040A">
        <w:rPr>
          <w:rtl/>
          <w:lang w:bidi="fa-IR"/>
        </w:rPr>
        <w:t xml:space="preserve"> ، مَا حَالُ عَمَّارٍ</w:t>
      </w:r>
      <w:r>
        <w:rPr>
          <w:rtl/>
          <w:lang w:bidi="fa-IR"/>
        </w:rPr>
        <w:t>؟</w:t>
      </w:r>
    </w:p>
    <w:p w:rsidR="008A74EB" w:rsidRPr="00C9040A" w:rsidRDefault="008A74EB" w:rsidP="008A74EB">
      <w:pPr>
        <w:pStyle w:val="libNormal"/>
        <w:rPr>
          <w:rtl/>
          <w:lang w:bidi="fa-IR"/>
        </w:rPr>
      </w:pPr>
      <w:r w:rsidRPr="00C9040A">
        <w:rPr>
          <w:rtl/>
          <w:lang w:bidi="fa-IR"/>
        </w:rPr>
        <w:t xml:space="preserve">قَالَ </w:t>
      </w:r>
      <w:r w:rsidR="006C577F" w:rsidRPr="006C577F">
        <w:rPr>
          <w:rStyle w:val="libFootnotenumChar"/>
          <w:rtl/>
        </w:rPr>
        <w:t>(4)</w:t>
      </w:r>
      <w:r w:rsidRPr="00C9040A">
        <w:rPr>
          <w:rtl/>
          <w:lang w:bidi="fa-IR"/>
        </w:rPr>
        <w:t xml:space="preserve"> : « رَحِمَ اللهُ عَمَّاراً </w:t>
      </w:r>
      <w:r w:rsidR="006C577F" w:rsidRPr="006C577F">
        <w:rPr>
          <w:rStyle w:val="libFootnotenumChar"/>
          <w:rtl/>
        </w:rPr>
        <w:t>(5)</w:t>
      </w:r>
      <w:r w:rsidRPr="00C9040A">
        <w:rPr>
          <w:rtl/>
          <w:lang w:bidi="fa-IR"/>
        </w:rPr>
        <w:t xml:space="preserve"> أَبَا الْيَقْظَانِ بَايَعَ وَقُتِلَ شَهِيداً »</w:t>
      </w:r>
      <w:r>
        <w:rPr>
          <w:rtl/>
          <w:lang w:bidi="fa-IR"/>
        </w:rPr>
        <w:t>.</w:t>
      </w:r>
      <w:r w:rsidRPr="00C9040A">
        <w:rPr>
          <w:rtl/>
          <w:lang w:bidi="fa-IR"/>
        </w:rPr>
        <w:t xml:space="preserve"> فَقُلْتُ فِي نَفْسِي : مَا شَيْ‌ءٌ أَفْضَلَ مِنَ الشَّهَادَةِ ، فَنَظَرَ إِلَيَّ ، فَقَالَ : « لَعَلَّكَ تَرى أَنَّهُ مِثْلُ الثَّلَاثَةِ ، أَيْهَاتَ أَيْهَاتَ </w:t>
      </w:r>
      <w:r w:rsidR="006C577F" w:rsidRPr="006C577F">
        <w:rPr>
          <w:rStyle w:val="libFootnotenumChar"/>
          <w:rtl/>
        </w:rPr>
        <w:t>(6)</w:t>
      </w:r>
      <w:r w:rsidRPr="005B567D">
        <w:rPr>
          <w:rStyle w:val="libFootnotenumChar"/>
          <w:rtl/>
        </w:rPr>
        <w:t xml:space="preserve"> </w:t>
      </w:r>
      <w:r w:rsidRPr="00C9040A">
        <w:rPr>
          <w:rtl/>
          <w:lang w:bidi="fa-IR"/>
        </w:rPr>
        <w:t>»</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DD74C1">
        <w:rPr>
          <w:rtl/>
        </w:rPr>
        <w:t>2325</w:t>
      </w:r>
      <w:r w:rsidRPr="00261CB0">
        <w:rPr>
          <w:rStyle w:val="libBold2Char"/>
          <w:rtl/>
        </w:rPr>
        <w:t xml:space="preserve"> / 7.</w:t>
      </w:r>
      <w:r w:rsidRPr="00C9040A">
        <w:rPr>
          <w:rtl/>
          <w:lang w:bidi="fa-IR"/>
        </w:rPr>
        <w:t xml:space="preserve"> الْحُسَيْنُ بْنُ مُحَمَّدٍ ، عَنْ مُعَلَّى بْنِ مُحَمَّدٍ ، عَنْ أَحْمَدَ بْنِ مُحَمَّدِ بْنِ عَبْدِ اللهِ ، عَنْ عَلِيِّ بْنِ جَعْفَرٍ ، قَالَ :</w:t>
      </w:r>
    </w:p>
    <w:p w:rsidR="008A74EB" w:rsidRPr="00C9040A" w:rsidRDefault="008A74EB" w:rsidP="008A74EB">
      <w:pPr>
        <w:pStyle w:val="libNormal"/>
        <w:rPr>
          <w:rtl/>
          <w:lang w:bidi="fa-IR"/>
        </w:rPr>
      </w:pPr>
      <w:r w:rsidRPr="00C9040A">
        <w:rPr>
          <w:rtl/>
          <w:lang w:bidi="fa-IR"/>
        </w:rPr>
        <w:t xml:space="preserve">سَمِعْتُ أَبَا الْحَسَنِ </w:t>
      </w:r>
      <w:r w:rsidRPr="0003660B">
        <w:rPr>
          <w:rStyle w:val="libAlaemChar"/>
          <w:rtl/>
        </w:rPr>
        <w:t>عليه‌السلام</w:t>
      </w:r>
      <w:r w:rsidRPr="00C9040A">
        <w:rPr>
          <w:rtl/>
          <w:lang w:bidi="fa-IR"/>
        </w:rPr>
        <w:t xml:space="preserve"> يَقُولُ : « لَيْسَ كُلُّ مَنْ قَالَ </w:t>
      </w:r>
      <w:r w:rsidR="006C577F" w:rsidRPr="006C577F">
        <w:rPr>
          <w:rStyle w:val="libFootnotenumChar"/>
          <w:rtl/>
        </w:rPr>
        <w:t>(8)</w:t>
      </w:r>
      <w:r w:rsidRPr="00C9040A">
        <w:rPr>
          <w:rtl/>
          <w:lang w:bidi="fa-IR"/>
        </w:rPr>
        <w:t xml:space="preserve"> بِوَلَايَتِنَا مُؤْمِناً ، وَلكِنْ جُعِلُوا </w:t>
      </w:r>
      <w:r w:rsidR="006C577F" w:rsidRPr="006C577F">
        <w:rPr>
          <w:rStyle w:val="libFootnotenumChar"/>
          <w:rtl/>
        </w:rPr>
        <w:t>(9)</w:t>
      </w:r>
      <w:r w:rsidRPr="00C9040A">
        <w:rPr>
          <w:rtl/>
          <w:lang w:bidi="fa-IR"/>
        </w:rPr>
        <w:t xml:space="preserve"> أُنْساً لِلْمُؤْمِنِينَ </w:t>
      </w:r>
      <w:r w:rsidR="006C577F" w:rsidRPr="006C577F">
        <w:rPr>
          <w:rStyle w:val="libFootnotenumChar"/>
          <w:rtl/>
        </w:rPr>
        <w:t>(10)</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(11)</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723455" w:rsidP="004A4E41">
      <w:pPr>
        <w:pStyle w:val="libFootnote0"/>
        <w:rPr>
          <w:rtl/>
          <w:lang w:bidi="fa-IR"/>
        </w:rPr>
      </w:pPr>
      <w:r w:rsidRPr="00723455">
        <w:rPr>
          <w:rStyle w:val="libFootnoteAlaemChar"/>
          <w:rFonts w:hint="cs"/>
          <w:rtl/>
        </w:rPr>
        <w:t xml:space="preserve">= </w:t>
      </w:r>
      <w:r w:rsidR="008A74EB" w:rsidRPr="00993B55">
        <w:rPr>
          <w:rStyle w:val="libFootnoteBoldChar"/>
          <w:rtl/>
        </w:rPr>
        <w:t>المحاسن</w:t>
      </w:r>
      <w:r w:rsidR="008A74EB" w:rsidRPr="00323A39">
        <w:rPr>
          <w:rtl/>
        </w:rPr>
        <w:t xml:space="preserve"> ، ص 232 ، ح 183 ، والخبر تقدّم في </w:t>
      </w:r>
      <w:r w:rsidR="008A74EB" w:rsidRPr="00993B55">
        <w:rPr>
          <w:rStyle w:val="libFootnoteBoldChar"/>
          <w:rtl/>
        </w:rPr>
        <w:t>الكافي</w:t>
      </w:r>
      <w:r w:rsidR="008A74EB" w:rsidRPr="00323A39">
        <w:rPr>
          <w:rtl/>
        </w:rPr>
        <w:t xml:space="preserve"> ، ح 2224 بنفس السند. فراجع. وأمّا رواية محمّد بن ا</w:t>
      </w:r>
      <w:r>
        <w:rPr>
          <w:rFonts w:hint="cs"/>
          <w:rtl/>
        </w:rPr>
        <w:t>ُ</w:t>
      </w:r>
      <w:r w:rsidR="008A74EB" w:rsidRPr="00323A39">
        <w:rPr>
          <w:rtl/>
        </w:rPr>
        <w:t xml:space="preserve">ورمة عن النضر بن سويد ، فقد وردت في </w:t>
      </w:r>
      <w:r w:rsidR="008A74EB" w:rsidRPr="00993B55">
        <w:rPr>
          <w:rStyle w:val="libFootnoteBoldChar"/>
          <w:rtl/>
        </w:rPr>
        <w:t>الكافي</w:t>
      </w:r>
      <w:r w:rsidR="008A74EB" w:rsidRPr="00323A39">
        <w:rPr>
          <w:rtl/>
        </w:rPr>
        <w:t xml:space="preserve"> ، ح 3006 ؛ و</w:t>
      </w:r>
      <w:r w:rsidR="008A74EB" w:rsidRPr="00993B55">
        <w:rPr>
          <w:rStyle w:val="libFootnoteBoldChar"/>
          <w:rtl/>
        </w:rPr>
        <w:t>كامل الزيارات</w:t>
      </w:r>
      <w:r w:rsidR="008A74EB" w:rsidRPr="00323A39">
        <w:rPr>
          <w:rtl/>
        </w:rPr>
        <w:t xml:space="preserve"> ، ص 322 ، ح 13.</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حاشية « بر » : « وقد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يعني أشار </w:t>
      </w:r>
      <w:r w:rsidR="00117575" w:rsidRPr="00117575">
        <w:rPr>
          <w:rStyle w:val="libFootnoteAlaemChar"/>
          <w:rtl/>
        </w:rPr>
        <w:t>عليه‌السلام</w:t>
      </w:r>
      <w:r w:rsidR="008A74EB" w:rsidRPr="00C9040A">
        <w:rPr>
          <w:rtl/>
        </w:rPr>
        <w:t xml:space="preserve"> بثلاث أصابع من يده. والمراد بالثلاثة : سلمان وأبوذرّ ومقداد. وللمزيد راجع : </w:t>
      </w:r>
      <w:r w:rsidR="008A74EB" w:rsidRPr="00993B55">
        <w:rPr>
          <w:rStyle w:val="libFootnoteBoldChar"/>
          <w:rtl/>
        </w:rPr>
        <w:t>رجال الكشّي</w:t>
      </w:r>
      <w:r w:rsidR="008A74EB" w:rsidRPr="00C9040A">
        <w:rPr>
          <w:rtl/>
        </w:rPr>
        <w:t xml:space="preserve"> ، ص 8 ، ح 17 ؛ وص 11 ، ح 24.</w:t>
      </w:r>
    </w:p>
    <w:p w:rsidR="008A74EB" w:rsidRPr="00C9040A" w:rsidRDefault="006C577F" w:rsidP="004A4E41">
      <w:pPr>
        <w:pStyle w:val="libFootnote0"/>
        <w:rPr>
          <w:rtl/>
          <w:lang w:bidi="fa-IR"/>
        </w:rPr>
      </w:pPr>
      <w:r>
        <w:rPr>
          <w:rtl/>
        </w:rPr>
        <w:t>(3).</w:t>
      </w:r>
      <w:r w:rsidR="008A74EB" w:rsidRPr="00C9040A">
        <w:rPr>
          <w:rtl/>
        </w:rPr>
        <w:t xml:space="preserve"> في « ب » : « قلت » بدل « قال حمران : فقلت : جعلت فداك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د ، </w:t>
      </w:r>
      <w:r w:rsidR="006D3162">
        <w:rPr>
          <w:rtl/>
        </w:rPr>
        <w:t xml:space="preserve">ه </w:t>
      </w:r>
      <w:r w:rsidR="008A74EB" w:rsidRPr="00C9040A">
        <w:rPr>
          <w:rtl/>
        </w:rPr>
        <w:t>» : « فقال »</w:t>
      </w:r>
      <w:r w:rsidR="008A74EB">
        <w:rPr>
          <w:rtl/>
        </w:rPr>
        <w:t>.</w:t>
      </w:r>
      <w:r w:rsidR="008A74EB" w:rsidRPr="00C9040A">
        <w:rPr>
          <w:rtl/>
        </w:rPr>
        <w:t xml:space="preserve"> وفي « ف » : + « فقال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w:t>
      </w:r>
      <w:r w:rsidR="006D3162">
        <w:rPr>
          <w:rtl/>
        </w:rPr>
        <w:t xml:space="preserve">ه </w:t>
      </w:r>
      <w:r w:rsidR="008A74EB" w:rsidRPr="00C9040A">
        <w:rPr>
          <w:rtl/>
        </w:rPr>
        <w:t xml:space="preserve">» : + « </w:t>
      </w:r>
      <w:r w:rsidR="00117575" w:rsidRPr="004A6EEC">
        <w:rPr>
          <w:rtl/>
        </w:rPr>
        <w:t>رضي‌</w:t>
      </w:r>
      <w:r w:rsidR="004A6EEC">
        <w:rPr>
          <w:rFonts w:hint="cs"/>
          <w:rtl/>
        </w:rPr>
        <w:t xml:space="preserve"> </w:t>
      </w:r>
      <w:r w:rsidR="00117575" w:rsidRPr="004A6EEC">
        <w:rPr>
          <w:rtl/>
        </w:rPr>
        <w:t>الله‌</w:t>
      </w:r>
      <w:r w:rsidR="004A6EEC">
        <w:rPr>
          <w:rFonts w:hint="cs"/>
          <w:rtl/>
        </w:rPr>
        <w:t xml:space="preserve"> </w:t>
      </w:r>
      <w:r w:rsidR="00117575" w:rsidRPr="004A6EEC">
        <w:rPr>
          <w:rtl/>
        </w:rPr>
        <w:t>عنه</w:t>
      </w:r>
      <w:r w:rsidR="008A74EB" w:rsidRPr="00C9040A">
        <w:rPr>
          <w:rtl/>
        </w:rPr>
        <w:t xml:space="preserve">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ج » : « هيهات هيهات »</w:t>
      </w:r>
      <w:r w:rsidR="008A74EB">
        <w:rPr>
          <w:rtl/>
        </w:rPr>
        <w:t>.</w:t>
      </w:r>
      <w:r w:rsidR="008A74EB" w:rsidRPr="00C9040A">
        <w:rPr>
          <w:rtl/>
        </w:rPr>
        <w:t xml:space="preserve"> </w:t>
      </w:r>
      <w:r w:rsidR="008A74EB">
        <w:rPr>
          <w:rtl/>
        </w:rPr>
        <w:t>و «</w:t>
      </w:r>
      <w:r w:rsidR="008A74EB" w:rsidRPr="00C9040A">
        <w:rPr>
          <w:rtl/>
        </w:rPr>
        <w:t xml:space="preserve"> أيهات » : لغة في هيهات. ومعناها البعد. </w:t>
      </w:r>
      <w:r w:rsidR="008A74EB" w:rsidRPr="00993B55">
        <w:rPr>
          <w:rStyle w:val="libFootnoteBoldChar"/>
          <w:rtl/>
        </w:rPr>
        <w:t>القاموس المحيط</w:t>
      </w:r>
      <w:r w:rsidR="008A74EB" w:rsidRPr="00C9040A">
        <w:rPr>
          <w:rtl/>
        </w:rPr>
        <w:t xml:space="preserve"> ، ج 2 ، ص 1632 </w:t>
      </w:r>
      <w:r w:rsidR="008A74EB">
        <w:rPr>
          <w:rtl/>
        </w:rPr>
        <w:t>و 1</w:t>
      </w:r>
      <w:r w:rsidR="008A74EB" w:rsidRPr="00C9040A">
        <w:rPr>
          <w:rtl/>
        </w:rPr>
        <w:t>649 ( أيه ) و</w:t>
      </w:r>
      <w:r w:rsidR="008A74EB">
        <w:rPr>
          <w:rFonts w:hint="cs"/>
          <w:rtl/>
        </w:rPr>
        <w:t xml:space="preserve"> </w:t>
      </w:r>
      <w:r w:rsidR="008A74EB" w:rsidRPr="00C9040A">
        <w:rPr>
          <w:rtl/>
        </w:rPr>
        <w:t>( هيه )</w:t>
      </w:r>
      <w:r w:rsidR="008A74EB">
        <w:rPr>
          <w:rtl/>
        </w:rPr>
        <w:t>.</w:t>
      </w:r>
    </w:p>
    <w:p w:rsidR="008A74EB" w:rsidRPr="00C9040A" w:rsidRDefault="006C577F" w:rsidP="004A6EEC">
      <w:pPr>
        <w:pStyle w:val="libFootnote0"/>
        <w:rPr>
          <w:rtl/>
          <w:lang w:bidi="fa-IR"/>
        </w:rPr>
      </w:pPr>
      <w:r>
        <w:rPr>
          <w:rtl/>
        </w:rPr>
        <w:t>(7).</w:t>
      </w:r>
      <w:r w:rsidR="008A74EB" w:rsidRPr="00C9040A">
        <w:rPr>
          <w:rtl/>
        </w:rPr>
        <w:t xml:space="preserve"> راجع : </w:t>
      </w:r>
      <w:r w:rsidR="008A74EB" w:rsidRPr="00993B55">
        <w:rPr>
          <w:rStyle w:val="libFootnoteBoldChar"/>
          <w:rtl/>
        </w:rPr>
        <w:t>رجال الكشّي</w:t>
      </w:r>
      <w:r w:rsidR="008A74EB" w:rsidRPr="00C9040A">
        <w:rPr>
          <w:rtl/>
        </w:rPr>
        <w:t xml:space="preserve"> ، ص 11 ، ح 24</w:t>
      </w:r>
      <w:r w:rsidR="004A6EEC">
        <w:rPr>
          <w:rFonts w:hint="cs"/>
          <w:rtl/>
        </w:rPr>
        <w:t>.</w:t>
      </w:r>
      <w:r w:rsidR="008A74EB" w:rsidRPr="00993B55">
        <w:rPr>
          <w:rStyle w:val="libFootnoteBoldChar"/>
          <w:rtl/>
        </w:rPr>
        <w:t>الوافي</w:t>
      </w:r>
      <w:r w:rsidR="008A74EB" w:rsidRPr="00C9040A">
        <w:rPr>
          <w:rtl/>
        </w:rPr>
        <w:t xml:space="preserve"> ، ج 5 ، ص 729 ، ح 2943 ؛ </w:t>
      </w:r>
      <w:r w:rsidR="008A74EB" w:rsidRPr="00993B55">
        <w:rPr>
          <w:rStyle w:val="libFootnoteBoldChar"/>
          <w:rtl/>
        </w:rPr>
        <w:t>البحار</w:t>
      </w:r>
      <w:r w:rsidR="008A74EB" w:rsidRPr="00C9040A">
        <w:rPr>
          <w:rtl/>
        </w:rPr>
        <w:t xml:space="preserve"> ، ج 22 ، ص 344 ، ح 54 ؛ وج 67 ، ص 164 ، ح 8.</w:t>
      </w:r>
    </w:p>
    <w:tbl>
      <w:tblPr>
        <w:tblStyle w:val="TableGrid"/>
        <w:bidiVisual/>
        <w:tblW w:w="0" w:type="auto"/>
        <w:tblLook w:val="04A0" w:firstRow="1" w:lastRow="0" w:firstColumn="1" w:lastColumn="0" w:noHBand="0" w:noVBand="1"/>
      </w:tblPr>
      <w:tblGrid>
        <w:gridCol w:w="4006"/>
        <w:gridCol w:w="4006"/>
      </w:tblGrid>
      <w:tr w:rsidR="004A6EEC" w:rsidTr="004A6EEC">
        <w:tc>
          <w:tcPr>
            <w:tcW w:w="4006" w:type="dxa"/>
          </w:tcPr>
          <w:p w:rsidR="004A6EEC" w:rsidRDefault="004A6EEC" w:rsidP="004A4E41">
            <w:pPr>
              <w:pStyle w:val="libFootnote0"/>
              <w:rPr>
                <w:rtl/>
              </w:rPr>
            </w:pPr>
            <w:r>
              <w:rPr>
                <w:rtl/>
              </w:rPr>
              <w:t>(8).</w:t>
            </w:r>
            <w:r w:rsidRPr="00C9040A">
              <w:rPr>
                <w:rtl/>
              </w:rPr>
              <w:t xml:space="preserve"> في حاشية « ض ، بر » والبحار : « يقول »</w:t>
            </w:r>
            <w:r>
              <w:rPr>
                <w:rtl/>
              </w:rPr>
              <w:t>.</w:t>
            </w:r>
          </w:p>
        </w:tc>
        <w:tc>
          <w:tcPr>
            <w:tcW w:w="4006" w:type="dxa"/>
          </w:tcPr>
          <w:p w:rsidR="004A6EEC" w:rsidRDefault="004A6EEC" w:rsidP="004A4E41">
            <w:pPr>
              <w:pStyle w:val="libFootnote0"/>
              <w:rPr>
                <w:rtl/>
              </w:rPr>
            </w:pPr>
            <w:r>
              <w:rPr>
                <w:rtl/>
              </w:rPr>
              <w:t>(9).</w:t>
            </w:r>
            <w:r w:rsidRPr="00C9040A">
              <w:rPr>
                <w:rtl/>
              </w:rPr>
              <w:t xml:space="preserve"> في « ز » : « جعل »</w:t>
            </w:r>
            <w:r>
              <w:rPr>
                <w:rtl/>
              </w:rPr>
              <w:t>.</w:t>
            </w:r>
          </w:p>
        </w:tc>
      </w:tr>
    </w:tbl>
    <w:p w:rsidR="008A74EB" w:rsidRPr="00C9040A" w:rsidRDefault="006C577F" w:rsidP="004A4E41">
      <w:pPr>
        <w:pStyle w:val="libFootnote0"/>
        <w:rPr>
          <w:rtl/>
          <w:lang w:bidi="fa-IR"/>
        </w:rPr>
      </w:pPr>
      <w:r>
        <w:rPr>
          <w:rtl/>
        </w:rPr>
        <w:t>(10).</w:t>
      </w:r>
      <w:r w:rsidR="008A74EB" w:rsidRPr="00C9040A">
        <w:rPr>
          <w:rtl/>
        </w:rPr>
        <w:t xml:space="preserve"> في « ف » : « للمسلمين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w:t>
      </w:r>
      <w:r w:rsidR="008A74EB" w:rsidRPr="00993B55">
        <w:rPr>
          <w:rStyle w:val="libFootnoteBoldChar"/>
          <w:rtl/>
        </w:rPr>
        <w:t>الوافي</w:t>
      </w:r>
      <w:r w:rsidR="008A74EB" w:rsidRPr="00C9040A">
        <w:rPr>
          <w:rtl/>
        </w:rPr>
        <w:t xml:space="preserve"> ، ج 5 ، ص 729 ، ح 2942 ؛ </w:t>
      </w:r>
      <w:r w:rsidR="008A74EB" w:rsidRPr="00993B55">
        <w:rPr>
          <w:rStyle w:val="libFootnoteBoldChar"/>
          <w:rtl/>
        </w:rPr>
        <w:t>البحار</w:t>
      </w:r>
      <w:r w:rsidR="008A74EB" w:rsidRPr="00C9040A">
        <w:rPr>
          <w:rtl/>
        </w:rPr>
        <w:t xml:space="preserve"> ، ج 67 ، ص 165 ، ح 9.</w:t>
      </w:r>
    </w:p>
    <w:p w:rsidR="004B7F34" w:rsidRDefault="004B7F34" w:rsidP="004B7F34">
      <w:pPr>
        <w:pStyle w:val="libNormal"/>
        <w:rPr>
          <w:rtl/>
          <w:lang w:bidi="fa-IR"/>
        </w:rPr>
      </w:pPr>
      <w:r>
        <w:rPr>
          <w:rtl/>
          <w:lang w:bidi="fa-IR"/>
        </w:rPr>
        <w:br w:type="page"/>
      </w:r>
    </w:p>
    <w:p w:rsidR="008A74EB" w:rsidRPr="00C9040A" w:rsidRDefault="008A74EB" w:rsidP="008A74EB">
      <w:pPr>
        <w:pStyle w:val="Heading2Center"/>
        <w:rPr>
          <w:rtl/>
          <w:lang w:bidi="fa-IR"/>
        </w:rPr>
      </w:pPr>
      <w:bookmarkStart w:id="313" w:name="_Toc343795692"/>
      <w:bookmarkStart w:id="314" w:name="_Toc459810816"/>
      <w:bookmarkStart w:id="315" w:name="_Toc35348722"/>
      <w:r w:rsidRPr="00C9040A">
        <w:rPr>
          <w:rtl/>
          <w:lang w:bidi="fa-IR"/>
        </w:rPr>
        <w:t>101</w:t>
      </w:r>
      <w:r>
        <w:rPr>
          <w:rtl/>
          <w:lang w:bidi="fa-IR"/>
        </w:rPr>
        <w:t xml:space="preserve"> </w:t>
      </w:r>
      <w:r w:rsidR="0084262C">
        <w:rPr>
          <w:rtl/>
          <w:lang w:bidi="fa-IR"/>
        </w:rPr>
        <w:t>-</w:t>
      </w:r>
      <w:r>
        <w:rPr>
          <w:rtl/>
          <w:lang w:bidi="fa-IR"/>
        </w:rPr>
        <w:t xml:space="preserve"> </w:t>
      </w:r>
      <w:r w:rsidRPr="00C9040A">
        <w:rPr>
          <w:rtl/>
          <w:lang w:bidi="fa-IR"/>
        </w:rPr>
        <w:t xml:space="preserve">بَابُ </w:t>
      </w:r>
      <w:r w:rsidRPr="00543B65">
        <w:rPr>
          <w:rtl/>
        </w:rPr>
        <w:t>الرِّضَا</w:t>
      </w:r>
      <w:r w:rsidRPr="00C9040A">
        <w:rPr>
          <w:rtl/>
          <w:lang w:bidi="fa-IR"/>
        </w:rPr>
        <w:t xml:space="preserve"> بِمَوْهِبَةِ الْإِيمَانِ وَالصَّبْرِ عَلى كُلِّ شَيْ‌ءٍ بَعْدَهُ‌</w:t>
      </w:r>
      <w:bookmarkEnd w:id="313"/>
      <w:bookmarkEnd w:id="314"/>
      <w:bookmarkEnd w:id="315"/>
    </w:p>
    <w:p w:rsidR="008A74EB" w:rsidRPr="00C9040A" w:rsidRDefault="008A74EB" w:rsidP="008A74EB">
      <w:pPr>
        <w:pStyle w:val="libNormal"/>
        <w:rPr>
          <w:rtl/>
          <w:lang w:bidi="fa-IR"/>
        </w:rPr>
      </w:pPr>
      <w:r w:rsidRPr="00543B65">
        <w:rPr>
          <w:rtl/>
        </w:rPr>
        <w:t>2326</w:t>
      </w:r>
      <w:r w:rsidRPr="00261CB0">
        <w:rPr>
          <w:rStyle w:val="libBold2Char"/>
          <w:rtl/>
        </w:rPr>
        <w:t xml:space="preserve"> / 1.</w:t>
      </w:r>
      <w:r w:rsidRPr="00C9040A">
        <w:rPr>
          <w:rtl/>
          <w:lang w:bidi="fa-IR"/>
        </w:rPr>
        <w:t xml:space="preserve"> عِدَّةٌ مِنْ أَصْحَابِنَا ، عَنْ أَحْمَدَ بْنِ مُحَمَّدٍ </w:t>
      </w:r>
      <w:r w:rsidR="006C577F" w:rsidRPr="006C577F">
        <w:rPr>
          <w:rStyle w:val="libFootnotenumChar"/>
          <w:rtl/>
        </w:rPr>
        <w:t>(1)</w:t>
      </w:r>
      <w:r w:rsidRPr="00C9040A">
        <w:rPr>
          <w:rtl/>
          <w:lang w:bidi="fa-IR"/>
        </w:rPr>
        <w:t xml:space="preserve"> ، عَنِ ابْنِ فَضَّالٍ ، عَنِ ابْنِ بُكَيْرٍ ، عَنْ فُضَيْلِ بْنِ يَسَارٍ ، عَنْ عَبْدِ الْوَاحِدِ بْنِ الْمُخْتَارِ الْأَنْصَارِيِّ ، قَالَ :</w:t>
      </w:r>
    </w:p>
    <w:p w:rsidR="008A74EB" w:rsidRPr="00C9040A" w:rsidRDefault="008A74EB" w:rsidP="008A74EB">
      <w:pPr>
        <w:pStyle w:val="libNormal"/>
        <w:rPr>
          <w:rtl/>
          <w:lang w:bidi="fa-IR"/>
        </w:rPr>
      </w:pPr>
      <w:r w:rsidRPr="00C9040A">
        <w:rPr>
          <w:rtl/>
          <w:lang w:bidi="fa-IR"/>
        </w:rPr>
        <w:t xml:space="preserve">قَالَ أَبُو جَعْفَرٍ </w:t>
      </w:r>
      <w:r w:rsidRPr="0003660B">
        <w:rPr>
          <w:rStyle w:val="libAlaemChar"/>
          <w:rtl/>
        </w:rPr>
        <w:t>عليه‌السلام</w:t>
      </w:r>
      <w:r w:rsidRPr="00C9040A">
        <w:rPr>
          <w:rtl/>
          <w:lang w:bidi="fa-IR"/>
        </w:rPr>
        <w:t xml:space="preserve"> : « يَا عَبْدَ الْوَاحِدِ ، مَا يَضُرُّ </w:t>
      </w:r>
      <w:r w:rsidR="006C577F" w:rsidRPr="006C577F">
        <w:rPr>
          <w:rStyle w:val="libFootnotenumChar"/>
          <w:rtl/>
        </w:rPr>
        <w:t>(2)</w:t>
      </w:r>
      <w:r w:rsidRPr="00C9040A">
        <w:rPr>
          <w:rtl/>
          <w:lang w:bidi="fa-IR"/>
        </w:rPr>
        <w:t xml:space="preserve"> رَجُلاً</w:t>
      </w:r>
      <w:r>
        <w:rPr>
          <w:rtl/>
          <w:lang w:bidi="fa-IR"/>
        </w:rPr>
        <w:t xml:space="preserve"> </w:t>
      </w:r>
      <w:r w:rsidR="0084262C">
        <w:rPr>
          <w:rtl/>
          <w:lang w:bidi="fa-IR"/>
        </w:rPr>
        <w:t>-</w:t>
      </w:r>
      <w:r>
        <w:rPr>
          <w:rtl/>
          <w:lang w:bidi="fa-IR"/>
        </w:rPr>
        <w:t xml:space="preserve"> </w:t>
      </w:r>
      <w:r w:rsidRPr="00C9040A">
        <w:rPr>
          <w:rtl/>
          <w:lang w:bidi="fa-IR"/>
        </w:rPr>
        <w:t xml:space="preserve">إِذَا كَانَ عَلى ذَا </w:t>
      </w:r>
      <w:r w:rsidR="006C577F" w:rsidRPr="006C577F">
        <w:rPr>
          <w:rStyle w:val="libFootnotenumChar"/>
          <w:rtl/>
        </w:rPr>
        <w:t>(3)</w:t>
      </w:r>
      <w:r w:rsidRPr="00C9040A">
        <w:rPr>
          <w:rtl/>
          <w:lang w:bidi="fa-IR"/>
        </w:rPr>
        <w:t xml:space="preserve"> الرَّأْيِ</w:t>
      </w:r>
      <w:r>
        <w:rPr>
          <w:rtl/>
          <w:lang w:bidi="fa-IR"/>
        </w:rPr>
        <w:t xml:space="preserve"> </w:t>
      </w:r>
      <w:r w:rsidR="0084262C">
        <w:rPr>
          <w:rtl/>
          <w:lang w:bidi="fa-IR"/>
        </w:rPr>
        <w:t>-</w:t>
      </w:r>
      <w:r>
        <w:rPr>
          <w:rtl/>
          <w:lang w:bidi="fa-IR"/>
        </w:rPr>
        <w:t xml:space="preserve"> </w:t>
      </w:r>
      <w:r w:rsidRPr="00C9040A">
        <w:rPr>
          <w:rtl/>
          <w:lang w:bidi="fa-IR"/>
        </w:rPr>
        <w:t xml:space="preserve">مَا قَالَ النَّاسُ لَهُ وَلَوْ قَالُوا : مَجْنُونٌ ؛ وَمَا </w:t>
      </w:r>
      <w:r w:rsidR="006C577F" w:rsidRPr="006C577F">
        <w:rPr>
          <w:rStyle w:val="libFootnotenumChar"/>
          <w:rtl/>
        </w:rPr>
        <w:t>(4)</w:t>
      </w:r>
      <w:r w:rsidRPr="00C9040A">
        <w:rPr>
          <w:rtl/>
          <w:lang w:bidi="fa-IR"/>
        </w:rPr>
        <w:t xml:space="preserve"> يَضُرُّهُ وَلَوْ كَانَ عَلى رَأْسِ جَبَلٍ يَعْبُدُ اللهَ حَتّى يَجِيئَهُ الْمَوْتُ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543B65">
        <w:rPr>
          <w:rtl/>
        </w:rPr>
        <w:t>2327</w:t>
      </w:r>
      <w:r w:rsidRPr="00261CB0">
        <w:rPr>
          <w:rStyle w:val="libBold2Char"/>
          <w:rtl/>
        </w:rPr>
        <w:t xml:space="preserve"> / 2.</w:t>
      </w:r>
      <w:r w:rsidRPr="00C9040A">
        <w:rPr>
          <w:rtl/>
          <w:lang w:bidi="fa-IR"/>
        </w:rPr>
        <w:t xml:space="preserve"> عَلِيُّ بْنُ إِبْرَاهِيمَ ، عَنْ مُحَمَّدِ بْنِ عِيسى ، عَنْ يُونُسَ ، عَنِ ابْنِ مُسْكَانَ ، عَنْ مُعَلَّى بْنِ خُنَيْسٍ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قَالَ اللهُ تَبَارَكَ وَتَعَالى : لَوْ </w:t>
      </w:r>
      <w:r w:rsidR="00C72C20">
        <w:rPr>
          <w:rtl/>
          <w:lang w:bidi="fa-IR"/>
        </w:rPr>
        <w:t>لَمْ يَكُنْ فِي الْأَرْضِ إِل</w:t>
      </w:r>
      <w:r w:rsidR="00C72C20">
        <w:rPr>
          <w:rFonts w:hint="cs"/>
          <w:rtl/>
          <w:lang w:bidi="fa-IR"/>
        </w:rPr>
        <w:t>َّ</w:t>
      </w:r>
      <w:r w:rsidR="00C72C20">
        <w:rPr>
          <w:rtl/>
          <w:lang w:bidi="fa-IR"/>
        </w:rPr>
        <w:t>ا</w:t>
      </w:r>
      <w:r w:rsidRPr="00C9040A">
        <w:rPr>
          <w:rtl/>
          <w:lang w:bidi="fa-IR"/>
        </w:rPr>
        <w:t xml:space="preserve"> مُؤْمِنٌ وَاحِدٌ ، لَاسْتَغْنَيْتُ بِهِ </w:t>
      </w:r>
      <w:r w:rsidR="006C577F" w:rsidRPr="006C577F">
        <w:rPr>
          <w:rStyle w:val="libFootnotenumChar"/>
          <w:rtl/>
        </w:rPr>
        <w:t>(6)</w:t>
      </w:r>
      <w:r w:rsidRPr="005B567D">
        <w:rPr>
          <w:rStyle w:val="libFootnotenumChar"/>
          <w:rtl/>
        </w:rPr>
        <w:t xml:space="preserve"> </w:t>
      </w:r>
      <w:r w:rsidRPr="00C9040A">
        <w:rPr>
          <w:rtl/>
          <w:lang w:bidi="fa-IR"/>
        </w:rPr>
        <w:t xml:space="preserve">عَنْ جَمِيعِ خَلْقِي ، وَلَجَعَلْتُ لَهُ مِنْ إِيمَانِهِ أُنْساً لَايَحْتَاجُ </w:t>
      </w:r>
      <w:r w:rsidR="006C577F" w:rsidRPr="006C577F">
        <w:rPr>
          <w:rStyle w:val="libFootnotenumChar"/>
          <w:rtl/>
        </w:rPr>
        <w:t>(7)</w:t>
      </w:r>
      <w:r w:rsidRPr="00C9040A">
        <w:rPr>
          <w:rtl/>
          <w:lang w:bidi="fa-IR"/>
        </w:rPr>
        <w:t xml:space="preserve"> إِلى أَحَدٍ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Normal"/>
        <w:rPr>
          <w:rtl/>
          <w:lang w:bidi="fa-IR"/>
        </w:rPr>
      </w:pPr>
      <w:r w:rsidRPr="00543B65">
        <w:rPr>
          <w:rtl/>
        </w:rPr>
        <w:t>2328</w:t>
      </w:r>
      <w:r w:rsidRPr="00261CB0">
        <w:rPr>
          <w:rStyle w:val="libBold2Char"/>
          <w:rtl/>
        </w:rPr>
        <w:t xml:space="preserve"> / 3.</w:t>
      </w:r>
      <w:r w:rsidRPr="00C9040A">
        <w:rPr>
          <w:rtl/>
          <w:lang w:bidi="fa-IR"/>
        </w:rPr>
        <w:t xml:space="preserve"> مُحَمَّدُ بْنُ يَحْيى ، عَنْ أَحْمَدَ بْنِ مُحَمَّدِ بْنِ عِيسى ، عَنْ أَحْمَدَ بْنِ مُحَمَّدِ بْنِ‌</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البحار : « العدّة ، عن البرقي ، عن أحمد بن محمّد »</w:t>
      </w:r>
      <w:r w:rsidR="008A74EB">
        <w:rPr>
          <w:rtl/>
        </w:rPr>
        <w:t>.</w:t>
      </w:r>
      <w:r w:rsidR="008A74EB" w:rsidRPr="00C9040A">
        <w:rPr>
          <w:rtl/>
        </w:rPr>
        <w:t xml:space="preserve"> وهو سهو واضح.</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w:t>
      </w:r>
      <w:r w:rsidR="008A74EB" w:rsidRPr="00993B55">
        <w:rPr>
          <w:rStyle w:val="libFootnoteBoldChar"/>
          <w:rtl/>
        </w:rPr>
        <w:t>مرآة العقول</w:t>
      </w:r>
      <w:r w:rsidR="008A74EB" w:rsidRPr="00C9040A">
        <w:rPr>
          <w:rtl/>
        </w:rPr>
        <w:t xml:space="preserve"> ، ج 9 ، ص 292 : « ما يضرّ ، ما نافية ، ويحتمل الاستفهام على الإنكار » ، وكذا في « ما يضرّه » حيث قال : « وهو أيضاً يحتمل الاستفهام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ذ ، </w:t>
      </w:r>
      <w:r w:rsidR="006D3162">
        <w:rPr>
          <w:rtl/>
        </w:rPr>
        <w:t xml:space="preserve">ه </w:t>
      </w:r>
      <w:r w:rsidR="008A74EB" w:rsidRPr="00C9040A">
        <w:rPr>
          <w:rtl/>
        </w:rPr>
        <w:t>» : « هذا »</w:t>
      </w:r>
      <w:r w:rsidR="008A74EB">
        <w:rPr>
          <w:rtl/>
        </w:rPr>
        <w:t>.</w:t>
      </w:r>
      <w:r w:rsidR="008A74EB" w:rsidRPr="00C9040A">
        <w:rPr>
          <w:rtl/>
        </w:rPr>
        <w:t xml:space="preserve"> وفي </w:t>
      </w:r>
      <w:r w:rsidR="008A74EB" w:rsidRPr="00993B55">
        <w:rPr>
          <w:rStyle w:val="libFootnoteBoldChar"/>
          <w:rtl/>
        </w:rPr>
        <w:t>المرآة</w:t>
      </w:r>
      <w:r w:rsidR="008A74EB" w:rsidRPr="00C9040A">
        <w:rPr>
          <w:rtl/>
        </w:rPr>
        <w:t xml:space="preserve"> : « على ذا الرأي ، أي على هذا الرأي ، وهو التشيّع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ز » : « ولا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الوافي</w:t>
      </w:r>
      <w:r w:rsidR="008A74EB" w:rsidRPr="00C9040A">
        <w:rPr>
          <w:rtl/>
        </w:rPr>
        <w:t xml:space="preserve"> ، ج 5 ، ص 741 ، ح 2957 ؛ </w:t>
      </w:r>
      <w:r w:rsidR="008A74EB" w:rsidRPr="00993B55">
        <w:rPr>
          <w:rStyle w:val="libFootnoteBoldChar"/>
          <w:rtl/>
        </w:rPr>
        <w:t>البحار</w:t>
      </w:r>
      <w:r w:rsidR="008A74EB" w:rsidRPr="00C9040A">
        <w:rPr>
          <w:rtl/>
        </w:rPr>
        <w:t xml:space="preserve"> ، ج 67 ، ص 153 ، ح 12.</w:t>
      </w:r>
    </w:p>
    <w:tbl>
      <w:tblPr>
        <w:tblStyle w:val="TableGrid"/>
        <w:bidiVisual/>
        <w:tblW w:w="0" w:type="auto"/>
        <w:tblLook w:val="04A0" w:firstRow="1" w:lastRow="0" w:firstColumn="1" w:lastColumn="0" w:noHBand="0" w:noVBand="1"/>
      </w:tblPr>
      <w:tblGrid>
        <w:gridCol w:w="4006"/>
        <w:gridCol w:w="4006"/>
      </w:tblGrid>
      <w:tr w:rsidR="00C72C20" w:rsidTr="00C72C20">
        <w:tc>
          <w:tcPr>
            <w:tcW w:w="4006" w:type="dxa"/>
          </w:tcPr>
          <w:p w:rsidR="00C72C20" w:rsidRDefault="00C72C20" w:rsidP="004A4E41">
            <w:pPr>
              <w:pStyle w:val="libFootnote0"/>
              <w:rPr>
                <w:rtl/>
              </w:rPr>
            </w:pPr>
            <w:r>
              <w:rPr>
                <w:rtl/>
              </w:rPr>
              <w:t xml:space="preserve">(6). </w:t>
            </w:r>
            <w:r w:rsidRPr="00C9040A">
              <w:rPr>
                <w:rtl/>
              </w:rPr>
              <w:t xml:space="preserve">في « </w:t>
            </w:r>
            <w:r>
              <w:rPr>
                <w:rtl/>
              </w:rPr>
              <w:t xml:space="preserve">ه </w:t>
            </w:r>
            <w:r w:rsidRPr="00C9040A">
              <w:rPr>
                <w:rtl/>
              </w:rPr>
              <w:t xml:space="preserve">» </w:t>
            </w:r>
            <w:r>
              <w:rPr>
                <w:rtl/>
              </w:rPr>
              <w:t>: -</w:t>
            </w:r>
            <w:r w:rsidRPr="00C9040A">
              <w:rPr>
                <w:rtl/>
              </w:rPr>
              <w:t xml:space="preserve"> « به »</w:t>
            </w:r>
            <w:r>
              <w:rPr>
                <w:rtl/>
              </w:rPr>
              <w:t>.</w:t>
            </w:r>
          </w:p>
        </w:tc>
        <w:tc>
          <w:tcPr>
            <w:tcW w:w="4006" w:type="dxa"/>
          </w:tcPr>
          <w:p w:rsidR="00C72C20" w:rsidRDefault="00C72C20" w:rsidP="004A4E41">
            <w:pPr>
              <w:pStyle w:val="libFootnote0"/>
              <w:rPr>
                <w:rtl/>
              </w:rPr>
            </w:pPr>
            <w:r>
              <w:rPr>
                <w:rtl/>
              </w:rPr>
              <w:t>(7).</w:t>
            </w:r>
            <w:r w:rsidRPr="00C9040A">
              <w:rPr>
                <w:rtl/>
              </w:rPr>
              <w:t xml:space="preserve"> في المحاسن : + « معه »</w:t>
            </w:r>
            <w:r>
              <w:rPr>
                <w:rtl/>
              </w:rPr>
              <w:t>.</w:t>
            </w:r>
            <w:r w:rsidRPr="00C9040A">
              <w:rPr>
                <w:rtl/>
              </w:rPr>
              <w:t xml:space="preserve"> وفي المؤمن : + « فيه »</w:t>
            </w:r>
            <w:r>
              <w:rPr>
                <w:rtl/>
              </w:rPr>
              <w:t>.</w:t>
            </w:r>
          </w:p>
        </w:tc>
      </w:tr>
    </w:tbl>
    <w:p w:rsidR="008A74EB" w:rsidRPr="00C9040A" w:rsidRDefault="006C577F" w:rsidP="004745F8">
      <w:pPr>
        <w:pStyle w:val="libFootnote0"/>
        <w:rPr>
          <w:rtl/>
          <w:lang w:bidi="fa-IR"/>
        </w:rPr>
      </w:pPr>
      <w:r>
        <w:rPr>
          <w:rtl/>
        </w:rPr>
        <w:t>(8).</w:t>
      </w:r>
      <w:r w:rsidR="008A74EB" w:rsidRPr="00C9040A">
        <w:rPr>
          <w:rtl/>
        </w:rPr>
        <w:t xml:space="preserve"> </w:t>
      </w:r>
      <w:r w:rsidR="008A74EB" w:rsidRPr="00993B55">
        <w:rPr>
          <w:rStyle w:val="libFootnoteBoldChar"/>
          <w:rtl/>
        </w:rPr>
        <w:t>المحاسن</w:t>
      </w:r>
      <w:r w:rsidR="008A74EB" w:rsidRPr="00C9040A">
        <w:rPr>
          <w:rtl/>
        </w:rPr>
        <w:t xml:space="preserve"> ، ص 159 ، كتاب الصفوة ، ح 99 ، بسند آخر عن أبي‌عبدالله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المؤمن</w:t>
      </w:r>
      <w:r w:rsidR="008A74EB" w:rsidRPr="00C9040A">
        <w:rPr>
          <w:rtl/>
        </w:rPr>
        <w:t xml:space="preserve"> ، ص 36 ، ح 80 ، عن أبي‌جعفر </w:t>
      </w:r>
      <w:r w:rsidR="00117575" w:rsidRPr="00117575">
        <w:rPr>
          <w:rStyle w:val="libFootnoteAlaemChar"/>
          <w:rtl/>
        </w:rPr>
        <w:t xml:space="preserve">عليه‌السلام </w:t>
      </w:r>
      <w:r w:rsidR="008A74EB" w:rsidRPr="00C9040A">
        <w:rPr>
          <w:rtl/>
        </w:rPr>
        <w:t xml:space="preserve">، وفيهما مع زيادة في أوّله. </w:t>
      </w:r>
      <w:r w:rsidR="008A74EB" w:rsidRPr="00993B55">
        <w:rPr>
          <w:rStyle w:val="libFootnoteBoldChar"/>
          <w:rtl/>
        </w:rPr>
        <w:t>الكافي</w:t>
      </w:r>
      <w:r w:rsidR="008A74EB" w:rsidRPr="00C9040A">
        <w:rPr>
          <w:rtl/>
        </w:rPr>
        <w:t xml:space="preserve"> ، كتاب الإيمان والكفر ، باب من آذى المسلمين واحتقرهم ، ح 2735 ، بسند آخر عن أبي‌عبدالله </w:t>
      </w:r>
      <w:r w:rsidR="00117575" w:rsidRPr="00117575">
        <w:rPr>
          <w:rStyle w:val="libFootnoteAlaemChar"/>
          <w:rtl/>
        </w:rPr>
        <w:t>عليه‌السلام</w:t>
      </w:r>
      <w:r w:rsidR="008A74EB" w:rsidRPr="00C9040A">
        <w:rPr>
          <w:rtl/>
        </w:rPr>
        <w:t xml:space="preserve"> ، مع اختلاف ، وفي كلّها من دون الإسناد إلى النبيّ </w:t>
      </w:r>
      <w:r w:rsidR="004A4E41" w:rsidRPr="004745F8">
        <w:rPr>
          <w:rStyle w:val="libFootnoteAlaemChar"/>
          <w:rtl/>
        </w:rPr>
        <w:t>صلى‌الله‌عليه‌وآله</w:t>
      </w:r>
      <w:r w:rsidR="004745F8">
        <w:rPr>
          <w:rFonts w:hint="cs"/>
          <w:rtl/>
        </w:rPr>
        <w:t>.</w:t>
      </w:r>
      <w:r w:rsidR="008A74EB" w:rsidRPr="00993B55">
        <w:rPr>
          <w:rStyle w:val="libFootnoteBoldChar"/>
          <w:rtl/>
        </w:rPr>
        <w:t>الوافي</w:t>
      </w:r>
      <w:r w:rsidR="008A74EB" w:rsidRPr="00C9040A">
        <w:rPr>
          <w:rtl/>
        </w:rPr>
        <w:t xml:space="preserve"> ، ج 5 ، ص 741 ، ح 2956 ؛ </w:t>
      </w:r>
      <w:r w:rsidR="008A74EB" w:rsidRPr="00993B55">
        <w:rPr>
          <w:rStyle w:val="libFootnoteBoldChar"/>
          <w:rtl/>
        </w:rPr>
        <w:t>البحار</w:t>
      </w:r>
      <w:r w:rsidR="008A74EB" w:rsidRPr="00C9040A">
        <w:rPr>
          <w:rtl/>
        </w:rPr>
        <w:t xml:space="preserve"> ، ج 67 ، ص 154 ، ح 13.</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أَبِي نَصْرٍ ، عَنِ الْحُسَيْنِ بْنِ مُوسى ، عَنِ الْفُضَيْلِ </w:t>
      </w:r>
      <w:r w:rsidR="006C577F" w:rsidRPr="006C577F">
        <w:rPr>
          <w:rStyle w:val="libFootnotenumChar"/>
          <w:rtl/>
        </w:rPr>
        <w:t>(1)</w:t>
      </w:r>
      <w:r w:rsidRPr="00C9040A">
        <w:rPr>
          <w:rtl/>
          <w:lang w:bidi="fa-IR"/>
        </w:rPr>
        <w:t xml:space="preserve"> بْنِ يَسَارٍ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مَا يُبَالِي </w:t>
      </w:r>
      <w:r w:rsidR="006C577F" w:rsidRPr="006C577F">
        <w:rPr>
          <w:rStyle w:val="libFootnotenumChar"/>
          <w:rtl/>
        </w:rPr>
        <w:t>(2)</w:t>
      </w:r>
      <w:r w:rsidRPr="00C9040A">
        <w:rPr>
          <w:rtl/>
          <w:lang w:bidi="fa-IR"/>
        </w:rPr>
        <w:t xml:space="preserve"> مَنْ عَرَّفَهُ اللهُ هذَا الْأَمْرَ أَنْ يَكُونَ عَلى قُلَّةِ جَبَلٍ يَأْكُلُ مِنْ نَبَاتِ الْأَرْضِ حَتّى يَأْتِيَهُ الْمَوْتُ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543B65">
        <w:rPr>
          <w:rtl/>
        </w:rPr>
        <w:t>2329</w:t>
      </w:r>
      <w:r w:rsidRPr="00261CB0">
        <w:rPr>
          <w:rStyle w:val="libBold2Char"/>
          <w:rtl/>
        </w:rPr>
        <w:t xml:space="preserve"> / 4.</w:t>
      </w:r>
      <w:r w:rsidRPr="00C9040A">
        <w:rPr>
          <w:rtl/>
          <w:lang w:bidi="fa-IR"/>
        </w:rPr>
        <w:t xml:space="preserve"> عَلِيُّ بْنُ إِبْرَاهِيمَ ، عَنْ مُحَمَّدِ بْنِ عِيسى ، عَنْ يُونُسَ ، عَنْ كُلَيْبِ بْنِ مُعَاوِيَةَ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سَمِعْتُهُ يَقُولُ : « مَا يَنْبَغِي </w:t>
      </w:r>
      <w:r w:rsidR="006C577F" w:rsidRPr="006C577F">
        <w:rPr>
          <w:rStyle w:val="libFootnotenumChar"/>
          <w:rtl/>
        </w:rPr>
        <w:t>(4)</w:t>
      </w:r>
      <w:r w:rsidRPr="00C9040A">
        <w:rPr>
          <w:rtl/>
          <w:lang w:bidi="fa-IR"/>
        </w:rPr>
        <w:t xml:space="preserve"> لِلْمُؤْمِنِ أَنْ يَسْتَوْحِشَ إِلى أَخِيهِ فَمَنْ دُونَهُ </w:t>
      </w:r>
      <w:r w:rsidR="006C577F" w:rsidRPr="006C577F">
        <w:rPr>
          <w:rStyle w:val="libFootnotenumChar"/>
          <w:rtl/>
        </w:rPr>
        <w:t>(5)</w:t>
      </w:r>
      <w:r w:rsidRPr="00C9040A">
        <w:rPr>
          <w:rtl/>
          <w:lang w:bidi="fa-IR"/>
        </w:rPr>
        <w:t xml:space="preserve"> ، الْمُؤْمِنُ عَزِيزٌ فِي دِينِهِ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Normal"/>
        <w:rPr>
          <w:rtl/>
          <w:lang w:bidi="fa-IR"/>
        </w:rPr>
      </w:pPr>
      <w:r w:rsidRPr="00543B65">
        <w:rPr>
          <w:rtl/>
        </w:rPr>
        <w:t>2330</w:t>
      </w:r>
      <w:r w:rsidRPr="00261CB0">
        <w:rPr>
          <w:rStyle w:val="libBold2Char"/>
          <w:rtl/>
        </w:rPr>
        <w:t xml:space="preserve"> / 5.</w:t>
      </w:r>
      <w:r w:rsidRPr="00C9040A">
        <w:rPr>
          <w:rtl/>
          <w:lang w:bidi="fa-IR"/>
        </w:rPr>
        <w:t xml:space="preserve"> عَنْهُ </w:t>
      </w:r>
      <w:r w:rsidR="006C577F" w:rsidRPr="006C577F">
        <w:rPr>
          <w:rStyle w:val="libFootnotenumChar"/>
          <w:rtl/>
        </w:rPr>
        <w:t>(7)</w:t>
      </w:r>
      <w:r w:rsidRPr="00C9040A">
        <w:rPr>
          <w:rtl/>
          <w:lang w:bidi="fa-IR"/>
        </w:rPr>
        <w:t xml:space="preserve"> ، عَنْ أَحْمَدَ بْنِ مُحَمَّدٍ ، عَنْ مُحَمَّدِ بْنِ خَالِدٍ ، عَنْ فَضَالَةَ بْنِ أَيُّوبَ ، عَنْ عُمَرَ بْنِ أَبَانٍ وَسَيْفِ بْنِ عَمِيرَةَ ، عَنْ فُضَيْلِ بْنِ يَسَارٍ ، قَالَ :</w:t>
      </w:r>
    </w:p>
    <w:p w:rsidR="008A74EB" w:rsidRPr="00C9040A" w:rsidRDefault="008A74EB" w:rsidP="008A74EB">
      <w:pPr>
        <w:pStyle w:val="libNormal"/>
        <w:rPr>
          <w:rtl/>
          <w:lang w:bidi="fa-IR"/>
        </w:rPr>
      </w:pPr>
      <w:r w:rsidRPr="00C9040A">
        <w:rPr>
          <w:rtl/>
          <w:lang w:bidi="fa-IR"/>
        </w:rPr>
        <w:t xml:space="preserve">دَخَلْتُ عَلى أَبِي عَبْدِ اللهِ </w:t>
      </w:r>
      <w:r w:rsidRPr="0003660B">
        <w:rPr>
          <w:rStyle w:val="libAlaemChar"/>
          <w:rtl/>
        </w:rPr>
        <w:t>عليه‌السلام</w:t>
      </w:r>
      <w:r w:rsidRPr="00C9040A">
        <w:rPr>
          <w:rtl/>
          <w:lang w:bidi="fa-IR"/>
        </w:rPr>
        <w:t xml:space="preserve"> فِي مَرْضَةٍ مَر</w:t>
      </w:r>
      <w:r w:rsidR="003463F4">
        <w:rPr>
          <w:rtl/>
          <w:lang w:bidi="fa-IR"/>
        </w:rPr>
        <w:t>ِضَهَا لَمْ يَبْقَ مِنْهُ إِل</w:t>
      </w:r>
      <w:r w:rsidR="003463F4">
        <w:rPr>
          <w:rFonts w:hint="cs"/>
          <w:rtl/>
          <w:lang w:bidi="fa-IR"/>
        </w:rPr>
        <w:t>َّ</w:t>
      </w:r>
      <w:r w:rsidR="003463F4">
        <w:rPr>
          <w:rtl/>
          <w:lang w:bidi="fa-IR"/>
        </w:rPr>
        <w:t>ا</w:t>
      </w:r>
      <w:r w:rsidRPr="00C9040A">
        <w:rPr>
          <w:rtl/>
          <w:lang w:bidi="fa-IR"/>
        </w:rPr>
        <w:t xml:space="preserve"> رَأْسُهُ </w:t>
      </w:r>
      <w:r w:rsidRPr="0003660B">
        <w:rPr>
          <w:rStyle w:val="libAlaemChar"/>
          <w:rtl/>
        </w:rPr>
        <w:t>عليه‌السلام</w:t>
      </w:r>
      <w:r w:rsidRPr="00C9040A">
        <w:rPr>
          <w:rtl/>
          <w:lang w:bidi="fa-IR"/>
        </w:rPr>
        <w:t xml:space="preserve"> ، فَقَالَ :</w:t>
      </w:r>
      <w:r>
        <w:rPr>
          <w:rFonts w:hint="cs"/>
          <w:rtl/>
          <w:lang w:bidi="fa-IR"/>
        </w:rPr>
        <w:t xml:space="preserve"> </w:t>
      </w:r>
      <w:r w:rsidRPr="00C9040A">
        <w:rPr>
          <w:rtl/>
          <w:lang w:bidi="fa-IR"/>
        </w:rPr>
        <w:t xml:space="preserve">« يَا فُضَيْلُ ، إِنَّنِي </w:t>
      </w:r>
      <w:r w:rsidR="006C577F" w:rsidRPr="006C577F">
        <w:rPr>
          <w:rStyle w:val="libFootnotenumChar"/>
          <w:rtl/>
        </w:rPr>
        <w:t>(8)</w:t>
      </w:r>
      <w:r w:rsidRPr="00C9040A">
        <w:rPr>
          <w:rtl/>
          <w:lang w:bidi="fa-IR"/>
        </w:rPr>
        <w:t xml:space="preserve"> كَثِيراً مَا أَقُولُ : مَا عَلى رَجُلٍ </w:t>
      </w:r>
      <w:r w:rsidR="006C577F" w:rsidRPr="006C577F">
        <w:rPr>
          <w:rStyle w:val="libFootnotenumChar"/>
          <w:rtl/>
        </w:rPr>
        <w:t>(9)</w:t>
      </w:r>
      <w:r w:rsidRPr="00C9040A">
        <w:rPr>
          <w:rtl/>
          <w:lang w:bidi="fa-IR"/>
        </w:rPr>
        <w:t xml:space="preserve"> عَرَّفَهُ اللهُ هذَا الْأَمْرَ لَوْ كَانَ فِي </w:t>
      </w:r>
      <w:r w:rsidR="006C577F" w:rsidRPr="006C577F">
        <w:rPr>
          <w:rStyle w:val="libFootnotenumChar"/>
          <w:rtl/>
        </w:rPr>
        <w:t>(10)</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هكذا في النسخ والطبعة القديمة. وفي المطبوع : « فضيل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w:t>
      </w:r>
      <w:r w:rsidR="006D3162">
        <w:rPr>
          <w:rtl/>
        </w:rPr>
        <w:t xml:space="preserve">ه </w:t>
      </w:r>
      <w:r w:rsidR="008A74EB" w:rsidRPr="00C9040A">
        <w:rPr>
          <w:rtl/>
        </w:rPr>
        <w:t>» : « ماضرّ »</w:t>
      </w:r>
      <w:r w:rsidR="008A74EB">
        <w:rPr>
          <w:rtl/>
        </w:rPr>
        <w:t>.</w:t>
      </w:r>
      <w:r w:rsidR="008A74EB" w:rsidRPr="00C9040A">
        <w:rPr>
          <w:rtl/>
        </w:rPr>
        <w:t xml:space="preserve"> وفي المرآة : « ما يبالي ، خبر. أو المعنى : ينبغي أن لايبالي من عرّفه الله هذا الأمر ، أي دين‌الإماميّة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w:t>
      </w:r>
      <w:r w:rsidR="008A74EB" w:rsidRPr="00993B55">
        <w:rPr>
          <w:rStyle w:val="libFootnoteBoldChar"/>
          <w:rtl/>
        </w:rPr>
        <w:t>الوافي</w:t>
      </w:r>
      <w:r w:rsidR="008A74EB" w:rsidRPr="00C9040A">
        <w:rPr>
          <w:rtl/>
        </w:rPr>
        <w:t xml:space="preserve"> ، ج 5 ، ص 741 ، ح 2958 ؛ </w:t>
      </w:r>
      <w:r w:rsidR="008A74EB" w:rsidRPr="00993B55">
        <w:rPr>
          <w:rStyle w:val="libFootnoteBoldChar"/>
          <w:rtl/>
        </w:rPr>
        <w:t>البحار</w:t>
      </w:r>
      <w:r w:rsidR="008A74EB" w:rsidRPr="00C9040A">
        <w:rPr>
          <w:rtl/>
        </w:rPr>
        <w:t xml:space="preserve"> ، ج 67 ، ص 154 ، ح 14.</w:t>
      </w:r>
    </w:p>
    <w:p w:rsidR="008A74EB" w:rsidRPr="00C9040A" w:rsidRDefault="006C577F" w:rsidP="004A4E41">
      <w:pPr>
        <w:pStyle w:val="libFootnote0"/>
        <w:rPr>
          <w:rtl/>
          <w:lang w:bidi="fa-IR"/>
        </w:rPr>
      </w:pPr>
      <w:r>
        <w:rPr>
          <w:rtl/>
        </w:rPr>
        <w:t>(4).</w:t>
      </w:r>
      <w:r w:rsidR="008A74EB" w:rsidRPr="00C9040A">
        <w:rPr>
          <w:rtl/>
        </w:rPr>
        <w:t xml:space="preserve"> في « ص ، ض ، </w:t>
      </w:r>
      <w:r w:rsidR="006D3162">
        <w:rPr>
          <w:rtl/>
        </w:rPr>
        <w:t xml:space="preserve">ه </w:t>
      </w:r>
      <w:r w:rsidR="008A74EB" w:rsidRPr="00C9040A">
        <w:rPr>
          <w:rtl/>
        </w:rPr>
        <w:t>» : « لا ينبغي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w:t>
      </w:r>
      <w:r w:rsidR="008A74EB" w:rsidRPr="00993B55">
        <w:rPr>
          <w:rStyle w:val="libFootnoteBoldChar"/>
          <w:rtl/>
        </w:rPr>
        <w:t>المرآة</w:t>
      </w:r>
      <w:r w:rsidR="008A74EB" w:rsidRPr="00C9040A">
        <w:rPr>
          <w:rtl/>
        </w:rPr>
        <w:t xml:space="preserve"> : « وأقول : في بعض النسخ : عمّن دونه ، وفي بعضها : عن دونه ، فهو صلة للاستيحاش ، أي‌يأنس بأخيه مستوحشاً عمّن هو غيره »</w:t>
      </w:r>
      <w:r w:rsidR="008A74EB">
        <w:rPr>
          <w:rtl/>
        </w:rPr>
        <w:t>.</w:t>
      </w:r>
      <w:r w:rsidR="008A74EB" w:rsidRPr="00C9040A">
        <w:rPr>
          <w:rtl/>
        </w:rPr>
        <w:t xml:space="preserve"> وفي الوافي : « ضمَّن الاستيحاش معنى الاستيناس ، فعدّاه</w:t>
      </w:r>
      <w:r w:rsidR="008A74EB">
        <w:rPr>
          <w:rtl/>
        </w:rPr>
        <w:t xml:space="preserve"> ب</w:t>
      </w:r>
      <w:r w:rsidR="003463F4">
        <w:rPr>
          <w:rFonts w:hint="cs"/>
          <w:rtl/>
        </w:rPr>
        <w:t>ـ</w:t>
      </w:r>
      <w:r w:rsidR="008A74EB">
        <w:rPr>
          <w:rtl/>
        </w:rPr>
        <w:t xml:space="preserve"> «</w:t>
      </w:r>
      <w:r w:rsidR="008A74EB" w:rsidRPr="00C9040A">
        <w:rPr>
          <w:rtl/>
        </w:rPr>
        <w:t xml:space="preserve"> إلى »</w:t>
      </w:r>
      <w:r w:rsidR="008A74EB">
        <w:rPr>
          <w:rtl/>
        </w:rPr>
        <w:t>.</w:t>
      </w:r>
      <w:r w:rsidR="008A74EB" w:rsidRPr="00C9040A">
        <w:rPr>
          <w:rtl/>
        </w:rPr>
        <w:t xml:space="preserve"> وإنّما لاينبغي له ذلك لأنّه ذلّ ، فلعلّ أخاه الذي ليس في مرتبته لايرغب في صحبته »</w:t>
      </w:r>
      <w:r w:rsidR="008A74EB">
        <w:rPr>
          <w:rtl/>
        </w:rPr>
        <w:t>.</w:t>
      </w:r>
    </w:p>
    <w:p w:rsidR="008A74EB" w:rsidRPr="00C9040A" w:rsidRDefault="006C577F" w:rsidP="003463F4">
      <w:pPr>
        <w:pStyle w:val="libFootnote0"/>
        <w:rPr>
          <w:rtl/>
          <w:lang w:bidi="fa-IR"/>
        </w:rPr>
      </w:pPr>
      <w:r>
        <w:rPr>
          <w:rtl/>
        </w:rPr>
        <w:t>(6).</w:t>
      </w:r>
      <w:r w:rsidR="008A74EB">
        <w:rPr>
          <w:rtl/>
        </w:rPr>
        <w:t xml:space="preserve"> </w:t>
      </w:r>
      <w:r w:rsidR="008A74EB" w:rsidRPr="00993B55">
        <w:rPr>
          <w:rStyle w:val="libFootnoteBoldChar"/>
          <w:rtl/>
        </w:rPr>
        <w:t>مصادقة الإخوان</w:t>
      </w:r>
      <w:r w:rsidR="008A74EB" w:rsidRPr="00C9040A">
        <w:rPr>
          <w:rtl/>
        </w:rPr>
        <w:t xml:space="preserve"> ، ص 48 ، وفيه : « عن يونس بن عبدالرحمن ، عن كليب بن معاوية ، قال : سمعته يقول</w:t>
      </w:r>
      <w:r w:rsidR="008A74EB">
        <w:rPr>
          <w:rtl/>
        </w:rPr>
        <w:t xml:space="preserve"> ..</w:t>
      </w:r>
      <w:r w:rsidR="008A74EB" w:rsidRPr="00C9040A">
        <w:rPr>
          <w:rtl/>
        </w:rPr>
        <w:t>. »</w:t>
      </w:r>
      <w:r w:rsidR="003463F4">
        <w:rPr>
          <w:rFonts w:hint="cs"/>
          <w:rtl/>
        </w:rPr>
        <w:t>.</w:t>
      </w:r>
      <w:r w:rsidR="008A74EB" w:rsidRPr="00993B55">
        <w:rPr>
          <w:rStyle w:val="libFootnoteBoldChar"/>
          <w:rtl/>
        </w:rPr>
        <w:t>الوافي</w:t>
      </w:r>
      <w:r w:rsidR="008A74EB" w:rsidRPr="00C9040A">
        <w:rPr>
          <w:rtl/>
        </w:rPr>
        <w:t xml:space="preserve"> ، ج 5 ، ص 743 ، ح 2963 ؛ </w:t>
      </w:r>
      <w:r w:rsidR="008A74EB" w:rsidRPr="00993B55">
        <w:rPr>
          <w:rStyle w:val="libFootnoteBoldChar"/>
          <w:rtl/>
        </w:rPr>
        <w:t>البحار</w:t>
      </w:r>
      <w:r w:rsidR="008A74EB" w:rsidRPr="00C9040A">
        <w:rPr>
          <w:rtl/>
        </w:rPr>
        <w:t xml:space="preserve"> ، ج 67 ، ص 150 ، ح 10.</w:t>
      </w:r>
    </w:p>
    <w:p w:rsidR="008A74EB" w:rsidRPr="00C9040A" w:rsidRDefault="006C577F" w:rsidP="004A4E41">
      <w:pPr>
        <w:pStyle w:val="libFootnote0"/>
        <w:rPr>
          <w:rtl/>
          <w:lang w:bidi="fa-IR"/>
        </w:rPr>
      </w:pPr>
      <w:r>
        <w:rPr>
          <w:rtl/>
        </w:rPr>
        <w:t>(7).</w:t>
      </w:r>
      <w:r w:rsidR="008A74EB" w:rsidRPr="00C9040A">
        <w:rPr>
          <w:rtl/>
        </w:rPr>
        <w:t xml:space="preserve"> الظاهر رجوع الضمير إلى عليّ بن إبراهيم المذكور في السند السابق ؛ فقد روى عليّ بن إبراهيم ، عن أحمدبن محمّد ، عن محمّد بن خالد في </w:t>
      </w:r>
      <w:r w:rsidR="008A74EB" w:rsidRPr="00993B55">
        <w:rPr>
          <w:rStyle w:val="libFootnoteBoldChar"/>
          <w:rtl/>
        </w:rPr>
        <w:t>الكافي</w:t>
      </w:r>
      <w:r w:rsidR="008A74EB" w:rsidRPr="00C9040A">
        <w:rPr>
          <w:rtl/>
        </w:rPr>
        <w:t xml:space="preserve"> ، ح 1134 </w:t>
      </w:r>
      <w:r w:rsidR="008A74EB">
        <w:rPr>
          <w:rtl/>
        </w:rPr>
        <w:t>و 5</w:t>
      </w:r>
      <w:r w:rsidR="008A74EB" w:rsidRPr="00C9040A">
        <w:rPr>
          <w:rtl/>
        </w:rPr>
        <w:t xml:space="preserve">736 </w:t>
      </w:r>
      <w:r w:rsidR="008A74EB">
        <w:rPr>
          <w:rtl/>
        </w:rPr>
        <w:t>و 1</w:t>
      </w:r>
      <w:r w:rsidR="008A74EB" w:rsidRPr="00C9040A">
        <w:rPr>
          <w:rtl/>
        </w:rPr>
        <w:t>5252.</w:t>
      </w:r>
    </w:p>
    <w:p w:rsidR="008A74EB" w:rsidRPr="00C9040A" w:rsidRDefault="006C577F" w:rsidP="004A4E41">
      <w:pPr>
        <w:pStyle w:val="libFootnote0"/>
        <w:rPr>
          <w:rtl/>
          <w:lang w:bidi="fa-IR"/>
        </w:rPr>
      </w:pPr>
      <w:r>
        <w:rPr>
          <w:rtl/>
        </w:rPr>
        <w:t>(8).</w:t>
      </w:r>
      <w:r w:rsidR="008A74EB" w:rsidRPr="00C9040A">
        <w:rPr>
          <w:rtl/>
        </w:rPr>
        <w:t xml:space="preserve"> في « </w:t>
      </w:r>
      <w:r w:rsidR="006D3162">
        <w:rPr>
          <w:rtl/>
        </w:rPr>
        <w:t xml:space="preserve">ه </w:t>
      </w:r>
      <w:r w:rsidR="008A74EB" w:rsidRPr="00C9040A">
        <w:rPr>
          <w:rtl/>
        </w:rPr>
        <w:t>» : « إنّي »</w:t>
      </w:r>
      <w:r w:rsidR="008A74EB">
        <w:rPr>
          <w:rtl/>
        </w:rPr>
        <w:t>.</w:t>
      </w:r>
    </w:p>
    <w:p w:rsidR="008A74EB" w:rsidRPr="00C9040A" w:rsidRDefault="006C577F" w:rsidP="003463F4">
      <w:pPr>
        <w:pStyle w:val="libFootnote0"/>
        <w:rPr>
          <w:rtl/>
          <w:lang w:bidi="fa-IR"/>
        </w:rPr>
      </w:pPr>
      <w:r>
        <w:rPr>
          <w:rtl/>
        </w:rPr>
        <w:t>(9).</w:t>
      </w:r>
      <w:r w:rsidR="008A74EB" w:rsidRPr="00C9040A">
        <w:rPr>
          <w:rtl/>
        </w:rPr>
        <w:t xml:space="preserve"> في </w:t>
      </w:r>
      <w:r w:rsidR="008A74EB" w:rsidRPr="00993B55">
        <w:rPr>
          <w:rStyle w:val="libFootnoteBoldChar"/>
          <w:rtl/>
        </w:rPr>
        <w:t>مرآة العقول</w:t>
      </w:r>
      <w:r w:rsidR="008A74EB" w:rsidRPr="00C9040A">
        <w:rPr>
          <w:rtl/>
        </w:rPr>
        <w:t xml:space="preserve"> : « ما ، في قوله : ما على رجل ، نافية ، أو استفهاميّة للإنكار. وحاصلهما واحد ، أي‌لا ضرر أو لا وحشة عليه »</w:t>
      </w:r>
      <w:r w:rsidR="008A74EB">
        <w:rPr>
          <w:rtl/>
        </w:rPr>
        <w:t>.</w:t>
      </w:r>
      <w:r w:rsidR="003463F4">
        <w:rPr>
          <w:rFonts w:hint="cs"/>
          <w:rtl/>
        </w:rPr>
        <w:t xml:space="preserve">                                              </w:t>
      </w:r>
      <w:r>
        <w:rPr>
          <w:rtl/>
        </w:rPr>
        <w:t>(10).</w:t>
      </w:r>
      <w:r w:rsidR="008A74EB" w:rsidRPr="00C9040A">
        <w:rPr>
          <w:rtl/>
        </w:rPr>
        <w:t xml:space="preserve"> في « ب » : « على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رَأْسِ جَبَلٍ حَتّى يَأْتِيَهُ الْمَوْتُ.</w:t>
      </w:r>
    </w:p>
    <w:p w:rsidR="008A74EB" w:rsidRPr="00C9040A" w:rsidRDefault="008A74EB" w:rsidP="008A74EB">
      <w:pPr>
        <w:pStyle w:val="libNormal"/>
        <w:rPr>
          <w:rtl/>
          <w:lang w:bidi="fa-IR"/>
        </w:rPr>
      </w:pPr>
      <w:r w:rsidRPr="00C9040A">
        <w:rPr>
          <w:rtl/>
          <w:lang w:bidi="fa-IR"/>
        </w:rPr>
        <w:t xml:space="preserve">يَا فُضَيْلَ بْنَ يَسَارٍ ، إِنَّ النَّاسَ أَخَذُوا يَمِيناً وَشِمَالاً ، وَإِنَّا وَشِيعَتَنَا هُدِينَا </w:t>
      </w:r>
      <w:r w:rsidR="006C577F" w:rsidRPr="006C577F">
        <w:rPr>
          <w:rStyle w:val="libFootnotenumChar"/>
          <w:rtl/>
        </w:rPr>
        <w:t>(1)</w:t>
      </w:r>
      <w:r w:rsidRPr="00C9040A">
        <w:rPr>
          <w:rtl/>
          <w:lang w:bidi="fa-IR"/>
        </w:rPr>
        <w:t xml:space="preserve"> الصِّرَاطَ الْمُسْتَقِيمَ ؛ يَا فُضَيْلَ بْنَ يَسَارٍ ، إِنَّ الْمُؤْمِنَ لَوْ أَصْبَحَ لَهُ مَا بَيْنَ الْمَشْرِقِ وَالْمَغْرِبِ ، كَانَ ذلِكَ خَيْراً لَهُ ، وَلَوْ أَصْبَحَ مُقَطَّعاً أَعْضَاؤُهُ </w:t>
      </w:r>
      <w:r w:rsidR="006C577F" w:rsidRPr="006C577F">
        <w:rPr>
          <w:rStyle w:val="libFootnotenumChar"/>
          <w:rtl/>
        </w:rPr>
        <w:t>(2)</w:t>
      </w:r>
      <w:r w:rsidRPr="00C9040A">
        <w:rPr>
          <w:rtl/>
          <w:lang w:bidi="fa-IR"/>
        </w:rPr>
        <w:t xml:space="preserve"> ، كَانَ ذلِكَ خَيْراً لَهُ.</w:t>
      </w:r>
    </w:p>
    <w:p w:rsidR="008A74EB" w:rsidRPr="00C9040A" w:rsidRDefault="008A74EB" w:rsidP="008A74EB">
      <w:pPr>
        <w:pStyle w:val="libNormal"/>
        <w:rPr>
          <w:rtl/>
          <w:lang w:bidi="fa-IR"/>
        </w:rPr>
      </w:pPr>
      <w:r w:rsidRPr="00C9040A">
        <w:rPr>
          <w:rtl/>
          <w:lang w:bidi="fa-IR"/>
        </w:rPr>
        <w:t xml:space="preserve">يَا فُضَيْلَ بْنَ يَسَارٍ ، إِنَّ اللهَ </w:t>
      </w:r>
      <w:r w:rsidR="003463F4">
        <w:rPr>
          <w:rtl/>
          <w:lang w:bidi="fa-IR"/>
        </w:rPr>
        <w:t>لَايَفْعَلُ بِالْمُؤْمِنِ إِل</w:t>
      </w:r>
      <w:r w:rsidR="003463F4">
        <w:rPr>
          <w:rFonts w:hint="cs"/>
          <w:rtl/>
          <w:lang w:bidi="fa-IR"/>
        </w:rPr>
        <w:t>َّ</w:t>
      </w:r>
      <w:r w:rsidR="003463F4">
        <w:rPr>
          <w:rtl/>
          <w:lang w:bidi="fa-IR"/>
        </w:rPr>
        <w:t>ا</w:t>
      </w:r>
      <w:r w:rsidRPr="00C9040A">
        <w:rPr>
          <w:rtl/>
          <w:lang w:bidi="fa-IR"/>
        </w:rPr>
        <w:t xml:space="preserve"> مَا هُوَ خَيْرٌ لَهُ ؛ يَا فُضَيْلَ بْنَ يَسَارٍ ، لَوْ عَدَلَتِ الدُّنْيَا عِنْدَ اللهِ جَنَاحَ بَعُوضَةٍ ، مَا سَقى عَدُوَّهُ مِنْهَا </w:t>
      </w:r>
      <w:r w:rsidR="006C577F" w:rsidRPr="006C577F">
        <w:rPr>
          <w:rStyle w:val="libFootnotenumChar"/>
          <w:rtl/>
        </w:rPr>
        <w:t>(3)</w:t>
      </w:r>
      <w:r w:rsidRPr="00C9040A">
        <w:rPr>
          <w:rtl/>
          <w:lang w:bidi="fa-IR"/>
        </w:rPr>
        <w:t xml:space="preserve"> شَرْبَةَ مَاءٍ </w:t>
      </w:r>
      <w:r w:rsidR="006C577F" w:rsidRPr="006C577F">
        <w:rPr>
          <w:rStyle w:val="libFootnotenumChar"/>
          <w:rtl/>
        </w:rPr>
        <w:t>(4)</w:t>
      </w:r>
      <w:r w:rsidRPr="00C9040A">
        <w:rPr>
          <w:rtl/>
          <w:lang w:bidi="fa-IR"/>
        </w:rPr>
        <w:t xml:space="preserve"> ؛ يَا فُضَيْلَ بْنَ يَسَارٍ </w:t>
      </w:r>
      <w:r w:rsidR="006C577F" w:rsidRPr="006C577F">
        <w:rPr>
          <w:rStyle w:val="libFootnotenumChar"/>
          <w:rtl/>
        </w:rPr>
        <w:t>(5)</w:t>
      </w:r>
      <w:r w:rsidRPr="00C9040A">
        <w:rPr>
          <w:rtl/>
          <w:lang w:bidi="fa-IR"/>
        </w:rPr>
        <w:t xml:space="preserve"> ، إِنَّهُ مَنْ كَانَ هَمُّهُ هَمّاً وَاحِداً </w:t>
      </w:r>
      <w:r w:rsidR="006C577F" w:rsidRPr="006C577F">
        <w:rPr>
          <w:rStyle w:val="libFootnotenumChar"/>
          <w:rtl/>
        </w:rPr>
        <w:t>(6)</w:t>
      </w:r>
      <w:r w:rsidRPr="005B567D">
        <w:rPr>
          <w:rStyle w:val="libFootnotenumChar"/>
          <w:rtl/>
        </w:rPr>
        <w:t xml:space="preserve"> </w:t>
      </w:r>
      <w:r w:rsidRPr="00C9040A">
        <w:rPr>
          <w:rtl/>
          <w:lang w:bidi="fa-IR"/>
        </w:rPr>
        <w:t xml:space="preserve">، كَفَاهُ </w:t>
      </w:r>
      <w:r w:rsidR="006C577F" w:rsidRPr="006C577F">
        <w:rPr>
          <w:rStyle w:val="libFootnotenumChar"/>
          <w:rtl/>
        </w:rPr>
        <w:t>(7)</w:t>
      </w:r>
      <w:r w:rsidRPr="00C9040A">
        <w:rPr>
          <w:rtl/>
          <w:lang w:bidi="fa-IR"/>
        </w:rPr>
        <w:t xml:space="preserve"> اللهُ </w:t>
      </w:r>
      <w:r w:rsidR="006C577F" w:rsidRPr="006C577F">
        <w:rPr>
          <w:rStyle w:val="libFootnotenumChar"/>
          <w:rtl/>
        </w:rPr>
        <w:t>(8)</w:t>
      </w:r>
      <w:r w:rsidRPr="00C9040A">
        <w:rPr>
          <w:rtl/>
          <w:lang w:bidi="fa-IR"/>
        </w:rPr>
        <w:t xml:space="preserve"> هَمَّهُ ؛ وَمَنْ كَانَ هَمُّهُ فِي كُلِّ وَادٍ ، لَمْ يُبَالِ اللهُ بِأَيِّ وَادٍ هَلَكَ »</w:t>
      </w:r>
      <w:r>
        <w:rPr>
          <w:rtl/>
          <w:lang w:bidi="fa-IR"/>
        </w:rPr>
        <w:t>.</w:t>
      </w:r>
      <w:r w:rsidRPr="00C9040A">
        <w:rPr>
          <w:rtl/>
          <w:lang w:bidi="fa-IR"/>
        </w:rPr>
        <w:t xml:space="preserve"> </w:t>
      </w:r>
      <w:r w:rsidR="006C577F" w:rsidRPr="006C577F">
        <w:rPr>
          <w:rStyle w:val="libFootnotenumChar"/>
          <w:rtl/>
        </w:rPr>
        <w:t>(9)</w:t>
      </w:r>
      <w:r w:rsidRPr="00C9040A">
        <w:rPr>
          <w:rtl/>
          <w:lang w:bidi="fa-IR"/>
        </w:rPr>
        <w:t xml:space="preserve"> ‌</w:t>
      </w:r>
    </w:p>
    <w:p w:rsidR="008A74EB" w:rsidRPr="00C9040A" w:rsidRDefault="008A74EB" w:rsidP="008A74EB">
      <w:pPr>
        <w:pStyle w:val="libNormal"/>
        <w:rPr>
          <w:rtl/>
          <w:lang w:bidi="fa-IR"/>
        </w:rPr>
      </w:pPr>
      <w:r w:rsidRPr="00543B65">
        <w:rPr>
          <w:rtl/>
        </w:rPr>
        <w:t>2331</w:t>
      </w:r>
      <w:r w:rsidRPr="00261CB0">
        <w:rPr>
          <w:rStyle w:val="libBold2Char"/>
          <w:rtl/>
        </w:rPr>
        <w:t xml:space="preserve"> / 6.</w:t>
      </w:r>
      <w:r w:rsidRPr="00C9040A">
        <w:rPr>
          <w:rtl/>
          <w:lang w:bidi="fa-IR"/>
        </w:rPr>
        <w:t xml:space="preserve"> مُحَمَّدُ بْنُ يَحْيى ، عَنْ أَحْمَدَ بْنِ مُحَمَّدٍ ، عَنْ مُحَمَّدِ بْنِ سِنَانٍ ، عَنِ ابْنِ مُسْكَانَ ، عَنْ مَنْصُورٍ الصَّيْقَلِ وَالْمُعَلَّى بْنِ خُنَيْسٍ ، قَالَا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ص » : + « معاً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ص ، </w:t>
      </w:r>
      <w:r w:rsidR="006D3162">
        <w:rPr>
          <w:rtl/>
        </w:rPr>
        <w:t xml:space="preserve">ه </w:t>
      </w:r>
      <w:r w:rsidR="008A74EB" w:rsidRPr="00C9040A">
        <w:rPr>
          <w:rtl/>
        </w:rPr>
        <w:t>» : « أعضاءً »</w:t>
      </w:r>
      <w:r w:rsidR="008A74EB">
        <w:rPr>
          <w:rtl/>
        </w:rPr>
        <w:t>.</w:t>
      </w:r>
      <w:r w:rsidR="008A74EB" w:rsidRPr="00C9040A">
        <w:rPr>
          <w:rtl/>
        </w:rPr>
        <w:t xml:space="preserve"> وفي مرآة العقول : « ومنهم من قرأ : أعضاءً ، بالنصب على التمييز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ض ، </w:t>
      </w:r>
      <w:r w:rsidR="006D3162">
        <w:rPr>
          <w:rtl/>
        </w:rPr>
        <w:t xml:space="preserve">ه </w:t>
      </w:r>
      <w:r w:rsidR="008A74EB" w:rsidRPr="00C9040A">
        <w:rPr>
          <w:rtl/>
        </w:rPr>
        <w:t>» : « منها عدوّه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ب ، د ، ز ، </w:t>
      </w:r>
      <w:r w:rsidR="006D3162">
        <w:rPr>
          <w:rtl/>
        </w:rPr>
        <w:t xml:space="preserve">ه </w:t>
      </w:r>
      <w:r w:rsidR="008A74EB" w:rsidRPr="00C9040A">
        <w:rPr>
          <w:rtl/>
        </w:rPr>
        <w:t xml:space="preserve">، بف » </w:t>
      </w:r>
      <w:r w:rsidR="008A74EB">
        <w:rPr>
          <w:rtl/>
        </w:rPr>
        <w:t xml:space="preserve">: </w:t>
      </w:r>
      <w:r w:rsidR="0084262C">
        <w:rPr>
          <w:rtl/>
        </w:rPr>
        <w:t>-</w:t>
      </w:r>
      <w:r w:rsidR="008A74EB" w:rsidRPr="00C9040A">
        <w:rPr>
          <w:rtl/>
        </w:rPr>
        <w:t xml:space="preserve"> « ماء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w:t>
      </w:r>
      <w:r w:rsidR="006D3162">
        <w:rPr>
          <w:rtl/>
        </w:rPr>
        <w:t xml:space="preserve">ه </w:t>
      </w:r>
      <w:r w:rsidR="008A74EB" w:rsidRPr="00C9040A">
        <w:rPr>
          <w:rtl/>
        </w:rPr>
        <w:t xml:space="preserve">» </w:t>
      </w:r>
      <w:r w:rsidR="008A74EB">
        <w:rPr>
          <w:rtl/>
        </w:rPr>
        <w:t xml:space="preserve">: </w:t>
      </w:r>
      <w:r w:rsidR="0084262C">
        <w:rPr>
          <w:rtl/>
        </w:rPr>
        <w:t>-</w:t>
      </w:r>
      <w:r w:rsidR="008A74EB" w:rsidRPr="00C9040A">
        <w:rPr>
          <w:rtl/>
        </w:rPr>
        <w:t xml:space="preserve"> « بن يسار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w:t>
      </w:r>
      <w:r w:rsidR="008A74EB" w:rsidRPr="00993B55">
        <w:rPr>
          <w:rStyle w:val="libFootnoteBoldChar"/>
          <w:rtl/>
        </w:rPr>
        <w:t>مرآة العقول</w:t>
      </w:r>
      <w:r w:rsidR="008A74EB" w:rsidRPr="00C9040A">
        <w:rPr>
          <w:rtl/>
        </w:rPr>
        <w:t xml:space="preserve"> ، ج 9 ، ص 296 : « من كان مقصوده أمراً واحداً وهو طلب دين الحقّ ورضاء الله تعالى وقربه وطاعته ولم يخلطه بالأغراض النفسانيّة والأهواء الباطلة ، فإنّ الحقّ واحد وللباطل شعب كثيرة « كفاه الله همّه » أي أعانه على تحصيل ذلك المقصود ونصره على النفس والشيطان وجنود الجهل « ومن كان همّه في كلّ وادٍ » من أودية الضلالة والجهالة « لم يبال الله بأيّ واد هلك » أي صرف الله لطفه وتوفيقه عنه ، وتركه مع نفسه وأهوائها حتّى يهلك باختيار واحد من الأديان الباطلة »</w:t>
      </w:r>
      <w:r w:rsidR="008A74EB">
        <w:rPr>
          <w:rtl/>
        </w:rPr>
        <w:t>.</w:t>
      </w:r>
    </w:p>
    <w:tbl>
      <w:tblPr>
        <w:tblStyle w:val="TableGrid"/>
        <w:bidiVisual/>
        <w:tblW w:w="0" w:type="auto"/>
        <w:tblLook w:val="04A0" w:firstRow="1" w:lastRow="0" w:firstColumn="1" w:lastColumn="0" w:noHBand="0" w:noVBand="1"/>
      </w:tblPr>
      <w:tblGrid>
        <w:gridCol w:w="4006"/>
        <w:gridCol w:w="4006"/>
      </w:tblGrid>
      <w:tr w:rsidR="00EB2272" w:rsidTr="00EB2272">
        <w:tc>
          <w:tcPr>
            <w:tcW w:w="4006" w:type="dxa"/>
          </w:tcPr>
          <w:p w:rsidR="00EB2272" w:rsidRDefault="00EB2272" w:rsidP="004A4E41">
            <w:pPr>
              <w:pStyle w:val="libFootnote0"/>
              <w:rPr>
                <w:rtl/>
              </w:rPr>
            </w:pPr>
            <w:r>
              <w:rPr>
                <w:rtl/>
              </w:rPr>
              <w:t>(7).</w:t>
            </w:r>
            <w:r w:rsidRPr="00C9040A">
              <w:rPr>
                <w:rtl/>
              </w:rPr>
              <w:t xml:space="preserve"> في « بر » وحاشية « ص » والوافي : « كفى »</w:t>
            </w:r>
            <w:r>
              <w:rPr>
                <w:rtl/>
              </w:rPr>
              <w:t>.</w:t>
            </w:r>
          </w:p>
        </w:tc>
        <w:tc>
          <w:tcPr>
            <w:tcW w:w="4006" w:type="dxa"/>
          </w:tcPr>
          <w:p w:rsidR="00EB2272" w:rsidRDefault="00EB2272" w:rsidP="004A4E41">
            <w:pPr>
              <w:pStyle w:val="libFootnote0"/>
              <w:rPr>
                <w:rtl/>
              </w:rPr>
            </w:pPr>
            <w:r>
              <w:rPr>
                <w:rtl/>
              </w:rPr>
              <w:t>(8).</w:t>
            </w:r>
            <w:r w:rsidRPr="00C9040A">
              <w:rPr>
                <w:rtl/>
              </w:rPr>
              <w:t xml:space="preserve"> في « </w:t>
            </w:r>
            <w:r>
              <w:rPr>
                <w:rtl/>
              </w:rPr>
              <w:t xml:space="preserve">ه </w:t>
            </w:r>
            <w:r w:rsidRPr="00C9040A">
              <w:rPr>
                <w:rtl/>
              </w:rPr>
              <w:t>» : + « كلّ »</w:t>
            </w:r>
            <w:r>
              <w:rPr>
                <w:rtl/>
              </w:rPr>
              <w:t>.</w:t>
            </w:r>
          </w:p>
        </w:tc>
      </w:tr>
    </w:tbl>
    <w:p w:rsidR="008A74EB" w:rsidRPr="00C9040A" w:rsidRDefault="006C577F" w:rsidP="008972B2">
      <w:pPr>
        <w:pStyle w:val="libFootnote0"/>
        <w:rPr>
          <w:rtl/>
          <w:lang w:bidi="fa-IR"/>
        </w:rPr>
      </w:pPr>
      <w:r>
        <w:rPr>
          <w:rtl/>
        </w:rPr>
        <w:t>(9).</w:t>
      </w:r>
      <w:r w:rsidR="008A74EB" w:rsidRPr="00C9040A">
        <w:rPr>
          <w:rtl/>
        </w:rPr>
        <w:t xml:space="preserve"> راجع : </w:t>
      </w:r>
      <w:r w:rsidR="008A74EB" w:rsidRPr="00993B55">
        <w:rPr>
          <w:rStyle w:val="libFootnoteBoldChar"/>
          <w:rtl/>
        </w:rPr>
        <w:t>الفقيه</w:t>
      </w:r>
      <w:r w:rsidR="008A74EB" w:rsidRPr="00C9040A">
        <w:rPr>
          <w:rtl/>
        </w:rPr>
        <w:t xml:space="preserve"> ، ج 4 ، ص 362 ، ح 5762 ، ضمن وصايا النبيّ </w:t>
      </w:r>
      <w:r w:rsidR="004A4E41" w:rsidRPr="008972B2">
        <w:rPr>
          <w:rStyle w:val="libFootnoteAlaemChar"/>
          <w:rtl/>
        </w:rPr>
        <w:t>صلى‌الله‌عليه‌وآله</w:t>
      </w:r>
      <w:r w:rsidR="008A74EB" w:rsidRPr="00C9040A">
        <w:rPr>
          <w:rtl/>
        </w:rPr>
        <w:t xml:space="preserve"> لعليّ </w:t>
      </w:r>
      <w:r w:rsidR="00117575" w:rsidRPr="00117575">
        <w:rPr>
          <w:rStyle w:val="libFootnoteAlaemChar"/>
          <w:rtl/>
        </w:rPr>
        <w:t>عليه‌السلام</w:t>
      </w:r>
      <w:r w:rsidR="008A74EB" w:rsidRPr="00C9040A">
        <w:rPr>
          <w:rtl/>
        </w:rPr>
        <w:t xml:space="preserve"> ؛ و</w:t>
      </w:r>
      <w:r w:rsidR="008A74EB" w:rsidRPr="0034021D">
        <w:rPr>
          <w:rStyle w:val="libFootnoteBoldChar"/>
          <w:rtl/>
        </w:rPr>
        <w:t>الأمالي للصدوق</w:t>
      </w:r>
      <w:r w:rsidR="008A74EB" w:rsidRPr="00C9040A">
        <w:rPr>
          <w:rtl/>
        </w:rPr>
        <w:t xml:space="preserve"> ، ص 234 ، المجلس 41 ، ذيل ح 7 ؛ </w:t>
      </w:r>
      <w:r w:rsidR="008A74EB" w:rsidRPr="00AC2E2F">
        <w:rPr>
          <w:rStyle w:val="libFootnoteBoldChar"/>
          <w:rtl/>
        </w:rPr>
        <w:t>والأمالي للطوسي</w:t>
      </w:r>
      <w:r w:rsidR="008A74EB" w:rsidRPr="00C9040A">
        <w:rPr>
          <w:rtl/>
        </w:rPr>
        <w:t xml:space="preserve"> ، ص 531 ، المجلس 19 ، ح 1 ، ضمن وصايا النبيّ </w:t>
      </w:r>
      <w:r w:rsidR="004A4E41" w:rsidRPr="008972B2">
        <w:rPr>
          <w:rStyle w:val="libFootnoteAlaemChar"/>
          <w:rtl/>
        </w:rPr>
        <w:t>صلى‌الله‌عليه‌وآله</w:t>
      </w:r>
      <w:r w:rsidR="008A74EB" w:rsidRPr="00C9040A">
        <w:rPr>
          <w:rtl/>
        </w:rPr>
        <w:t xml:space="preserve"> لأبي‌ذرّ </w:t>
      </w:r>
      <w:r w:rsidR="00117575" w:rsidRPr="00117575">
        <w:rPr>
          <w:rStyle w:val="libFootnoteAlaemChar"/>
          <w:rtl/>
        </w:rPr>
        <w:t>رضي‌الله‌عنه</w:t>
      </w:r>
      <w:r w:rsidR="008A74EB" w:rsidRPr="00C9040A">
        <w:rPr>
          <w:rtl/>
        </w:rPr>
        <w:t xml:space="preserve"> ؛ </w:t>
      </w:r>
      <w:r w:rsidR="008A74EB" w:rsidRPr="00993B55">
        <w:rPr>
          <w:rStyle w:val="libFootnoteBoldChar"/>
          <w:rtl/>
        </w:rPr>
        <w:t>الاختصاص</w:t>
      </w:r>
      <w:r w:rsidR="008A74EB" w:rsidRPr="00C9040A">
        <w:rPr>
          <w:rtl/>
        </w:rPr>
        <w:t xml:space="preserve"> ، ص 243 وفي كلّها قطعة : « لو عدلت الدنيا عند الله</w:t>
      </w:r>
      <w:r w:rsidR="008A74EB">
        <w:rPr>
          <w:rtl/>
        </w:rPr>
        <w:t xml:space="preserve"> </w:t>
      </w:r>
      <w:r w:rsidR="0084262C">
        <w:rPr>
          <w:rtl/>
        </w:rPr>
        <w:t>-</w:t>
      </w:r>
      <w:r w:rsidR="008A74EB">
        <w:rPr>
          <w:rtl/>
        </w:rPr>
        <w:t xml:space="preserve"> </w:t>
      </w:r>
      <w:r w:rsidR="008A74EB" w:rsidRPr="00C9040A">
        <w:rPr>
          <w:rtl/>
        </w:rPr>
        <w:t>إلى</w:t>
      </w:r>
      <w:r w:rsidR="008A74EB">
        <w:rPr>
          <w:rtl/>
        </w:rPr>
        <w:t xml:space="preserve"> </w:t>
      </w:r>
      <w:r w:rsidR="0084262C">
        <w:rPr>
          <w:rtl/>
        </w:rPr>
        <w:t>-</w:t>
      </w:r>
      <w:r w:rsidR="008A74EB">
        <w:rPr>
          <w:rtl/>
        </w:rPr>
        <w:t xml:space="preserve"> </w:t>
      </w:r>
      <w:r w:rsidR="008A74EB" w:rsidRPr="00C9040A">
        <w:rPr>
          <w:rtl/>
        </w:rPr>
        <w:t>شربة ماء »</w:t>
      </w:r>
      <w:r w:rsidR="008972B2">
        <w:rPr>
          <w:rFonts w:hint="cs"/>
          <w:rtl/>
        </w:rPr>
        <w:t>.</w:t>
      </w:r>
      <w:r w:rsidR="008A74EB" w:rsidRPr="00993B55">
        <w:rPr>
          <w:rStyle w:val="libFootnoteBoldChar"/>
          <w:rtl/>
        </w:rPr>
        <w:t>الوافي</w:t>
      </w:r>
      <w:r w:rsidR="008A74EB" w:rsidRPr="00C9040A">
        <w:rPr>
          <w:rtl/>
        </w:rPr>
        <w:t xml:space="preserve"> ، ج 5 ، ص 741 ، ح 2959 ؛ </w:t>
      </w:r>
      <w:r w:rsidR="008A74EB" w:rsidRPr="00993B55">
        <w:rPr>
          <w:rStyle w:val="libFootnoteBoldChar"/>
          <w:rtl/>
        </w:rPr>
        <w:t>البحار</w:t>
      </w:r>
      <w:r w:rsidR="008A74EB" w:rsidRPr="00C9040A">
        <w:rPr>
          <w:rtl/>
        </w:rPr>
        <w:t xml:space="preserve"> ، ج 67 ، ص 150 ، ح 11.</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سَمِعْنَا أَبَا عَبْدِ اللهِ </w:t>
      </w:r>
      <w:r w:rsidRPr="0003660B">
        <w:rPr>
          <w:rStyle w:val="libAlaemChar"/>
          <w:rtl/>
        </w:rPr>
        <w:t>عليه‌السلام</w:t>
      </w:r>
      <w:r w:rsidRPr="00C9040A">
        <w:rPr>
          <w:rtl/>
          <w:lang w:bidi="fa-IR"/>
        </w:rPr>
        <w:t xml:space="preserve"> يَقُولُ : « قَالَ رَسُولُ اللهِ </w:t>
      </w:r>
      <w:r w:rsidR="004A4E41" w:rsidRPr="004A4E41">
        <w:rPr>
          <w:rStyle w:val="libAlaemChar"/>
          <w:rtl/>
        </w:rPr>
        <w:t>صلى‌الله‌عليه‌وآله</w:t>
      </w:r>
      <w:r w:rsidRPr="00C9040A">
        <w:rPr>
          <w:rtl/>
          <w:lang w:bidi="fa-IR"/>
        </w:rPr>
        <w:t xml:space="preserve"> : قَالَ اللهُ عَزَّ وَجَلَّ : مَا تَرَدَّدْتُ </w:t>
      </w:r>
      <w:r w:rsidR="006C577F" w:rsidRPr="006C577F">
        <w:rPr>
          <w:rStyle w:val="libFootnotenumChar"/>
          <w:rtl/>
        </w:rPr>
        <w:t>(1)</w:t>
      </w:r>
      <w:r w:rsidRPr="00C9040A">
        <w:rPr>
          <w:rtl/>
          <w:lang w:bidi="fa-IR"/>
        </w:rPr>
        <w:t xml:space="preserve"> فِي شَيْ‌ءٍ أَنَا فَاعِلُهُ كَتَرَدُّدِي فِي مَوْتِ </w:t>
      </w:r>
      <w:r w:rsidR="006C577F" w:rsidRPr="006C577F">
        <w:rPr>
          <w:rStyle w:val="libFootnotenumChar"/>
          <w:rtl/>
        </w:rPr>
        <w:t>(2)</w:t>
      </w:r>
      <w:r w:rsidRPr="00C9040A">
        <w:rPr>
          <w:rtl/>
          <w:lang w:bidi="fa-IR"/>
        </w:rPr>
        <w:t xml:space="preserve"> عَبْدِيَ الْمُؤْمِنِ ، إِنَّنِي </w:t>
      </w:r>
      <w:r w:rsidR="006C577F" w:rsidRPr="006C577F">
        <w:rPr>
          <w:rStyle w:val="libFootnotenumChar"/>
          <w:rtl/>
        </w:rPr>
        <w:t>(3)</w:t>
      </w:r>
      <w:r w:rsidRPr="00C9040A">
        <w:rPr>
          <w:rtl/>
          <w:lang w:bidi="fa-IR"/>
        </w:rPr>
        <w:t xml:space="preserve"> لَأُحِبُّ لِقَاءَهُ ، وَ</w:t>
      </w:r>
      <w:r>
        <w:rPr>
          <w:rFonts w:hint="cs"/>
          <w:rtl/>
          <w:lang w:bidi="fa-IR"/>
        </w:rPr>
        <w:t xml:space="preserve"> </w:t>
      </w:r>
      <w:r w:rsidR="006C577F" w:rsidRPr="006C577F">
        <w:rPr>
          <w:rStyle w:val="libFootnotenumChar"/>
          <w:rtl/>
        </w:rPr>
        <w:t>(4)</w:t>
      </w:r>
      <w:r w:rsidRPr="00C9040A">
        <w:rPr>
          <w:rtl/>
          <w:lang w:bidi="fa-IR"/>
        </w:rPr>
        <w:t xml:space="preserve"> يَكْرَهُ الْمَوْتَ ، فَأَصْرِفُهُ </w:t>
      </w:r>
      <w:r w:rsidR="006C577F" w:rsidRPr="006C577F">
        <w:rPr>
          <w:rStyle w:val="libFootnotenumChar"/>
          <w:rtl/>
        </w:rPr>
        <w:t>(5)</w:t>
      </w:r>
      <w:r w:rsidRPr="00C9040A">
        <w:rPr>
          <w:rtl/>
          <w:lang w:bidi="fa-IR"/>
        </w:rPr>
        <w:t xml:space="preserve"> عَنْهُ ؛ وَإِنَّهُ لَيَدْعُونِي ، فَأُجِيبُهُ ؛ وَإِنَّهُ </w:t>
      </w:r>
      <w:r w:rsidR="006C577F" w:rsidRPr="006C577F">
        <w:rPr>
          <w:rStyle w:val="libFootnotenumChar"/>
          <w:rtl/>
        </w:rPr>
        <w:t>(6)</w:t>
      </w:r>
      <w:r w:rsidRPr="005B567D">
        <w:rPr>
          <w:rStyle w:val="libFootnotenumChar"/>
          <w:rtl/>
        </w:rPr>
        <w:t xml:space="preserve"> </w:t>
      </w:r>
      <w:r w:rsidRPr="00C9040A">
        <w:rPr>
          <w:rtl/>
          <w:lang w:bidi="fa-IR"/>
        </w:rPr>
        <w:t>لَيَسْأَلُنِي ، فَأُعْطِيهِ ، وَلَوْ ل</w:t>
      </w:r>
      <w:r w:rsidR="008972B2">
        <w:rPr>
          <w:rtl/>
          <w:lang w:bidi="fa-IR"/>
        </w:rPr>
        <w:t>َمْ يَكُنْ فِي الدُّنْيَا إِل</w:t>
      </w:r>
      <w:r w:rsidR="008972B2">
        <w:rPr>
          <w:rFonts w:hint="cs"/>
          <w:rtl/>
          <w:lang w:bidi="fa-IR"/>
        </w:rPr>
        <w:t>َّ</w:t>
      </w:r>
      <w:r w:rsidR="008972B2">
        <w:rPr>
          <w:rtl/>
          <w:lang w:bidi="fa-IR"/>
        </w:rPr>
        <w:t>ا</w:t>
      </w:r>
      <w:r w:rsidRPr="00C9040A">
        <w:rPr>
          <w:rtl/>
          <w:lang w:bidi="fa-IR"/>
        </w:rPr>
        <w:t xml:space="preserve"> وَاحِدٌ مِنْ عَبِيدِي مُؤْمِنٌ ، لَاسْتَغْنَيْتُ بِهِ عَنْ جَمِيعِ خَلْقِي ، وَلَجَعَلْتُ لَهُ مِنْ إِيمَانِهِ أُنْساً لَايَسْتَوْحِشُ </w:t>
      </w:r>
      <w:r w:rsidR="006C577F" w:rsidRPr="006C577F">
        <w:rPr>
          <w:rStyle w:val="libFootnotenumChar"/>
          <w:rtl/>
        </w:rPr>
        <w:t>(7)</w:t>
      </w:r>
      <w:r w:rsidRPr="00C9040A">
        <w:rPr>
          <w:rtl/>
          <w:lang w:bidi="fa-IR"/>
        </w:rPr>
        <w:t xml:space="preserve"> إِلى أَحَدٍ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w:t>
      </w:r>
      <w:r w:rsidR="008A74EB" w:rsidRPr="00993B55">
        <w:rPr>
          <w:rStyle w:val="libFootnoteBoldChar"/>
          <w:rtl/>
        </w:rPr>
        <w:t>المرآة</w:t>
      </w:r>
      <w:r w:rsidR="008A74EB" w:rsidRPr="00C9040A">
        <w:rPr>
          <w:rtl/>
        </w:rPr>
        <w:t xml:space="preserve"> : « هذا الحديث من الأحاديث المشهورة بين الفريقين ، ومن المعلوم أنّه لم يرد التردّد المعهود من‌الخلق في الا</w:t>
      </w:r>
      <w:r w:rsidR="008972B2">
        <w:rPr>
          <w:rFonts w:hint="cs"/>
          <w:rtl/>
        </w:rPr>
        <w:t>ُ</w:t>
      </w:r>
      <w:r w:rsidR="008A74EB" w:rsidRPr="00C9040A">
        <w:rPr>
          <w:rtl/>
        </w:rPr>
        <w:t xml:space="preserve">مور التي يقصدونها فيتردّدون في إمضائها إمّا لجهلم بعواقبها أو لقلّة ثقتهم بالتمكّن منها لمانع ونحوه ، ولهذا قال : « أنا فاعله » أي لامحالة أنا أفعله لحتم القضاء بفعله ، أو المراد به التردّد في التقديم والتأخير ، لا في أصل الفعل. وعلى التقديرين فلابدّ فيه من تأويل ، وفيه وجوه عند الخاصّة والعامّة » وللمزيد راجع : </w:t>
      </w:r>
      <w:r w:rsidR="008A74EB" w:rsidRPr="00993B55">
        <w:rPr>
          <w:rStyle w:val="libFootnoteBoldChar"/>
          <w:rtl/>
        </w:rPr>
        <w:t>مرآة العقول</w:t>
      </w:r>
      <w:r w:rsidR="008A74EB" w:rsidRPr="00C9040A">
        <w:rPr>
          <w:rtl/>
        </w:rPr>
        <w:t xml:space="preserve"> ، ج 9 ، ص 297.</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حاشية « ج ، بر » : « قبض روح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ض ، </w:t>
      </w:r>
      <w:r w:rsidR="006D3162">
        <w:rPr>
          <w:rtl/>
        </w:rPr>
        <w:t xml:space="preserve">ه </w:t>
      </w:r>
      <w:r w:rsidR="008A74EB" w:rsidRPr="00C9040A">
        <w:rPr>
          <w:rtl/>
        </w:rPr>
        <w:t>» والمؤمن ، ص 33 والمصادقة : « إنّي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المصادقة : « وهو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ض ، </w:t>
      </w:r>
      <w:r w:rsidR="006D3162">
        <w:rPr>
          <w:rtl/>
        </w:rPr>
        <w:t xml:space="preserve">ه </w:t>
      </w:r>
      <w:r w:rsidR="008A74EB" w:rsidRPr="00C9040A">
        <w:rPr>
          <w:rtl/>
        </w:rPr>
        <w:t>» : « وأصرفه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ف » : « فإنّه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ز » : + « به »</w:t>
      </w:r>
      <w:r w:rsidR="008A74EB">
        <w:rPr>
          <w:rtl/>
        </w:rPr>
        <w:t>.</w:t>
      </w:r>
      <w:r w:rsidR="008A74EB" w:rsidRPr="00C9040A">
        <w:rPr>
          <w:rtl/>
        </w:rPr>
        <w:t xml:space="preserve"> وضمّن الاستيحاش معنى الاستيناس لتعديته بإلى. راجع : </w:t>
      </w:r>
      <w:r w:rsidR="008A74EB" w:rsidRPr="00993B55">
        <w:rPr>
          <w:rStyle w:val="libFootnoteBoldChar"/>
          <w:rtl/>
        </w:rPr>
        <w:t>الوافي</w:t>
      </w:r>
      <w:r w:rsidR="008A74EB" w:rsidRPr="00C9040A">
        <w:rPr>
          <w:rtl/>
        </w:rPr>
        <w:t xml:space="preserve"> ، ج 5 ، ص 743.</w:t>
      </w:r>
    </w:p>
    <w:p w:rsidR="008A74EB" w:rsidRPr="00C9040A" w:rsidRDefault="006C577F" w:rsidP="008972B2">
      <w:pPr>
        <w:pStyle w:val="libFootnote0"/>
        <w:rPr>
          <w:rtl/>
          <w:lang w:bidi="fa-IR"/>
        </w:rPr>
      </w:pPr>
      <w:r>
        <w:rPr>
          <w:rtl/>
        </w:rPr>
        <w:t>(8).</w:t>
      </w:r>
      <w:r w:rsidR="008A74EB" w:rsidRPr="00C9040A">
        <w:rPr>
          <w:rtl/>
        </w:rPr>
        <w:t xml:space="preserve"> </w:t>
      </w:r>
      <w:r w:rsidR="008A74EB" w:rsidRPr="00993B55">
        <w:rPr>
          <w:rStyle w:val="libFootnoteBoldChar"/>
          <w:rtl/>
        </w:rPr>
        <w:t>الكافي</w:t>
      </w:r>
      <w:r w:rsidR="008A74EB" w:rsidRPr="00C9040A">
        <w:rPr>
          <w:rtl/>
        </w:rPr>
        <w:t xml:space="preserve"> ، كتاب الإيمان والكفر ، باب من آذى المسلمين واحتقرهم ، ح 2745 ، بسند آخر عن ابن مسكان ، عن معلّى بن خنيس ، إلى قوله : « وإنّه ليدعوني فا</w:t>
      </w:r>
      <w:r w:rsidR="008972B2">
        <w:rPr>
          <w:rFonts w:hint="cs"/>
          <w:rtl/>
        </w:rPr>
        <w:t>ُ</w:t>
      </w:r>
      <w:r w:rsidR="008A74EB" w:rsidRPr="00C9040A">
        <w:rPr>
          <w:rtl/>
        </w:rPr>
        <w:t xml:space="preserve">جيبه » مع اختلاف يسير ؛ </w:t>
      </w:r>
      <w:r w:rsidR="008A74EB" w:rsidRPr="00993B55">
        <w:rPr>
          <w:rStyle w:val="libFootnoteBoldChar"/>
          <w:rtl/>
        </w:rPr>
        <w:t>مصادقة الإخوان</w:t>
      </w:r>
      <w:r w:rsidR="008A74EB" w:rsidRPr="00C9040A">
        <w:rPr>
          <w:rtl/>
        </w:rPr>
        <w:t xml:space="preserve"> ، ص 74 ، ح 1 ، عن منصور الصيقل والمعلّى بن خنيس ؛ </w:t>
      </w:r>
      <w:r w:rsidR="008A74EB" w:rsidRPr="00993B55">
        <w:rPr>
          <w:rStyle w:val="libFootnoteBoldChar"/>
          <w:rtl/>
        </w:rPr>
        <w:t>المؤمن</w:t>
      </w:r>
      <w:r w:rsidR="008A74EB" w:rsidRPr="00C9040A">
        <w:rPr>
          <w:rtl/>
        </w:rPr>
        <w:t xml:space="preserve"> ، ص 33 ، ح 63 ، عن أبي‌عبدالله </w:t>
      </w:r>
      <w:r w:rsidR="00117575" w:rsidRPr="00117575">
        <w:rPr>
          <w:rStyle w:val="libFootnoteAlaemChar"/>
          <w:rtl/>
        </w:rPr>
        <w:t>عليه‌السلام</w:t>
      </w:r>
      <w:r w:rsidR="008A74EB" w:rsidRPr="00C9040A">
        <w:rPr>
          <w:rtl/>
        </w:rPr>
        <w:t xml:space="preserve"> ، وفي كلّها مع زيادة في أوّله. </w:t>
      </w:r>
      <w:r w:rsidR="008A74EB" w:rsidRPr="00993B55">
        <w:rPr>
          <w:rStyle w:val="libFootnoteBoldChar"/>
          <w:rtl/>
        </w:rPr>
        <w:t>المحاسن</w:t>
      </w:r>
      <w:r w:rsidR="008A74EB" w:rsidRPr="00C9040A">
        <w:rPr>
          <w:rtl/>
        </w:rPr>
        <w:t xml:space="preserve"> ، ص 159</w:t>
      </w:r>
      <w:r w:rsidR="008A74EB">
        <w:rPr>
          <w:rtl/>
        </w:rPr>
        <w:t xml:space="preserve"> </w:t>
      </w:r>
      <w:r w:rsidR="0084262C">
        <w:rPr>
          <w:rtl/>
        </w:rPr>
        <w:t>-</w:t>
      </w:r>
      <w:r w:rsidR="008A74EB">
        <w:rPr>
          <w:rtl/>
        </w:rPr>
        <w:t xml:space="preserve"> </w:t>
      </w:r>
      <w:r w:rsidR="008A74EB" w:rsidRPr="00C9040A">
        <w:rPr>
          <w:rtl/>
        </w:rPr>
        <w:t xml:space="preserve">160 ، كتاب الصفوة ، ح 99 </w:t>
      </w:r>
      <w:r w:rsidR="008A74EB">
        <w:rPr>
          <w:rtl/>
        </w:rPr>
        <w:t>و 1</w:t>
      </w:r>
      <w:r w:rsidR="008A74EB" w:rsidRPr="00C9040A">
        <w:rPr>
          <w:rtl/>
        </w:rPr>
        <w:t xml:space="preserve">00 ، بسند آخر. </w:t>
      </w:r>
      <w:r w:rsidR="008A74EB" w:rsidRPr="00993B55">
        <w:rPr>
          <w:rStyle w:val="libFootnoteBoldChar"/>
          <w:rtl/>
        </w:rPr>
        <w:t>المؤمن</w:t>
      </w:r>
      <w:r w:rsidR="008A74EB" w:rsidRPr="00C9040A">
        <w:rPr>
          <w:rtl/>
        </w:rPr>
        <w:t xml:space="preserve"> ، ص 36 ، ح 80 ، عن أبي‌جعفر </w:t>
      </w:r>
      <w:r w:rsidR="00117575" w:rsidRPr="00117575">
        <w:rPr>
          <w:rStyle w:val="libFootnoteAlaemChar"/>
          <w:rtl/>
        </w:rPr>
        <w:t>عليه‌السلام</w:t>
      </w:r>
      <w:r w:rsidR="008A74EB" w:rsidRPr="00C9040A">
        <w:rPr>
          <w:rtl/>
        </w:rPr>
        <w:t xml:space="preserve"> ، وفي الثلاثة الأخيرة مع اختلاف يسير. وفي </w:t>
      </w:r>
      <w:r w:rsidR="008A74EB" w:rsidRPr="00993B55">
        <w:rPr>
          <w:rStyle w:val="libFootnoteBoldChar"/>
          <w:rtl/>
        </w:rPr>
        <w:t>الكافي</w:t>
      </w:r>
      <w:r w:rsidR="008A74EB" w:rsidRPr="00C9040A">
        <w:rPr>
          <w:rtl/>
        </w:rPr>
        <w:t xml:space="preserve"> ، كتاب الإيمان والكفر ، باب من آذى المسلمين واحتقرهم ، ح 2741 ؛ و</w:t>
      </w:r>
      <w:r w:rsidR="008A74EB" w:rsidRPr="00993B55">
        <w:rPr>
          <w:rStyle w:val="libFootnoteBoldChar"/>
          <w:rtl/>
        </w:rPr>
        <w:t xml:space="preserve">المحاسن </w:t>
      </w:r>
      <w:r w:rsidR="008A74EB" w:rsidRPr="00C9040A">
        <w:rPr>
          <w:rtl/>
        </w:rPr>
        <w:t xml:space="preserve">، ص 291 ، كتاب مصابيح الظلم ، ح 443 ، بسند آخر ، مع زيادة في أوّله. </w:t>
      </w:r>
      <w:r w:rsidR="008A74EB" w:rsidRPr="00993B55">
        <w:rPr>
          <w:rStyle w:val="libFootnoteBoldChar"/>
          <w:rtl/>
        </w:rPr>
        <w:t>المؤمن</w:t>
      </w:r>
      <w:r w:rsidR="008A74EB" w:rsidRPr="00C9040A">
        <w:rPr>
          <w:rtl/>
        </w:rPr>
        <w:t xml:space="preserve"> ، ص 32 ، ضمن ح 61 ، وفيه : « عن أبي‌عبدالله </w:t>
      </w:r>
      <w:r w:rsidR="00117575" w:rsidRPr="00117575">
        <w:rPr>
          <w:rStyle w:val="libFootnoteAlaemChar"/>
          <w:rtl/>
        </w:rPr>
        <w:t>عليه‌السلام</w:t>
      </w:r>
      <w:r w:rsidR="008A74EB" w:rsidRPr="00C9040A">
        <w:rPr>
          <w:rtl/>
        </w:rPr>
        <w:t xml:space="preserve"> قال : نزل جبرئيل على النبيّ </w:t>
      </w:r>
      <w:r w:rsidR="004A4E41" w:rsidRPr="008972B2">
        <w:rPr>
          <w:rStyle w:val="libFootnoteAlaemChar"/>
          <w:rtl/>
        </w:rPr>
        <w:t>صلى‌الله‌عليه‌وآله</w:t>
      </w:r>
      <w:r w:rsidR="008A74EB" w:rsidRPr="00C9040A">
        <w:rPr>
          <w:rtl/>
        </w:rPr>
        <w:t xml:space="preserve"> فقال</w:t>
      </w:r>
      <w:r w:rsidR="008A74EB">
        <w:rPr>
          <w:rtl/>
        </w:rPr>
        <w:t xml:space="preserve"> ..</w:t>
      </w:r>
      <w:r w:rsidR="008A74EB" w:rsidRPr="00C9040A">
        <w:rPr>
          <w:rtl/>
        </w:rPr>
        <w:t xml:space="preserve">. » وفي الثلاثة الأخيرة إلى قوله : « ويكره الموت فأصرفه عنه » مع اختلاف يسير. وفي </w:t>
      </w:r>
      <w:r w:rsidR="008A74EB" w:rsidRPr="00993B55">
        <w:rPr>
          <w:rStyle w:val="libFootnoteBoldChar"/>
          <w:rtl/>
        </w:rPr>
        <w:t>المؤمن</w:t>
      </w:r>
      <w:r w:rsidR="008A74EB" w:rsidRPr="00C9040A">
        <w:rPr>
          <w:rtl/>
        </w:rPr>
        <w:t xml:space="preserve"> ، ح 62 ، عن أبي‌جعفر </w:t>
      </w:r>
      <w:r w:rsidR="00117575" w:rsidRPr="00117575">
        <w:rPr>
          <w:rStyle w:val="libFootnoteAlaemChar"/>
          <w:rtl/>
        </w:rPr>
        <w:t>عليه‌السلام</w:t>
      </w:r>
      <w:r w:rsidR="008A74EB" w:rsidRPr="00C9040A">
        <w:rPr>
          <w:rtl/>
        </w:rPr>
        <w:t xml:space="preserve"> ؛ وفي </w:t>
      </w:r>
      <w:r w:rsidR="008A74EB" w:rsidRPr="00993B55">
        <w:rPr>
          <w:rStyle w:val="libFootnoteBoldChar"/>
          <w:rtl/>
        </w:rPr>
        <w:t>الكافي</w:t>
      </w:r>
      <w:r w:rsidR="008A74EB" w:rsidRPr="00C9040A">
        <w:rPr>
          <w:rtl/>
        </w:rPr>
        <w:t xml:space="preserve"> ، كتاب الإيمان والكفر ، باب من آذى المسلمين واحتقرهم ، ضمن ح 2742 ، بسند آخر عن أبي‌جعفر </w:t>
      </w:r>
      <w:r w:rsidR="00117575" w:rsidRPr="00117575">
        <w:rPr>
          <w:rStyle w:val="libFootnoteAlaemChar"/>
          <w:rtl/>
        </w:rPr>
        <w:t>عليه‌السلام</w:t>
      </w:r>
      <w:r w:rsidR="008A74EB" w:rsidRPr="00C9040A">
        <w:rPr>
          <w:rtl/>
        </w:rPr>
        <w:t xml:space="preserve"> عن النبيّ </w:t>
      </w:r>
      <w:r w:rsidR="004A4E41" w:rsidRPr="008972B2">
        <w:rPr>
          <w:rStyle w:val="libFootnoteAlaemChar"/>
          <w:rtl/>
        </w:rPr>
        <w:t>صلى‌الله‌عليه‌وآله</w:t>
      </w:r>
      <w:r w:rsidR="008A74EB" w:rsidRPr="00C9040A">
        <w:rPr>
          <w:rtl/>
        </w:rPr>
        <w:t xml:space="preserve">. وفي </w:t>
      </w:r>
      <w:r w:rsidR="008A74EB" w:rsidRPr="00993B55">
        <w:rPr>
          <w:rStyle w:val="libFootnoteBoldChar"/>
          <w:rtl/>
        </w:rPr>
        <w:t>التوحيد</w:t>
      </w:r>
      <w:r w:rsidR="008A74EB" w:rsidRPr="00C9040A">
        <w:rPr>
          <w:rtl/>
        </w:rPr>
        <w:t xml:space="preserve"> ، ص 398 ، ضمن ح 1 ؛ و</w:t>
      </w:r>
      <w:r w:rsidR="008A74EB" w:rsidRPr="00993B55">
        <w:rPr>
          <w:rStyle w:val="libFootnoteBoldChar"/>
          <w:rtl/>
        </w:rPr>
        <w:t>علل الشرائع</w:t>
      </w:r>
      <w:r w:rsidR="008A74EB" w:rsidRPr="00C9040A">
        <w:rPr>
          <w:rtl/>
        </w:rPr>
        <w:t xml:space="preserve"> ، ص 12 ، ضمن ح 7 ، بسند آخر عن النبيّ </w:t>
      </w:r>
      <w:r w:rsidR="004A4E41" w:rsidRPr="008972B2">
        <w:rPr>
          <w:rStyle w:val="libFootnoteAlaemChar"/>
          <w:rtl/>
        </w:rPr>
        <w:t>صلى‌الله‌عليه‌وآله</w:t>
      </w:r>
      <w:r w:rsidR="008A74EB" w:rsidRPr="00C9040A">
        <w:rPr>
          <w:rtl/>
        </w:rPr>
        <w:t xml:space="preserve"> ، وفي الأربعة الأخيرة إلى قوله : « وإنّه ليسألني فا</w:t>
      </w:r>
      <w:r w:rsidR="008972B2">
        <w:rPr>
          <w:rFonts w:hint="cs"/>
          <w:rtl/>
        </w:rPr>
        <w:t>ُ</w:t>
      </w:r>
      <w:r w:rsidR="008A74EB" w:rsidRPr="00C9040A">
        <w:rPr>
          <w:rtl/>
        </w:rPr>
        <w:t>عطيه » مع اختلاف يسير</w:t>
      </w:r>
      <w:r w:rsidR="008972B2">
        <w:rPr>
          <w:rFonts w:hint="cs"/>
          <w:rtl/>
        </w:rPr>
        <w:t>.</w:t>
      </w:r>
      <w:r w:rsidR="008A74EB" w:rsidRPr="00993B55">
        <w:rPr>
          <w:rStyle w:val="libFootnoteBoldChar"/>
          <w:rtl/>
        </w:rPr>
        <w:t>الوافي</w:t>
      </w:r>
      <w:r w:rsidR="008A74EB" w:rsidRPr="00C9040A">
        <w:rPr>
          <w:rtl/>
        </w:rPr>
        <w:t xml:space="preserve"> ، ج 5 ، ص 742 ، ح 2960 ؛ </w:t>
      </w:r>
      <w:r w:rsidR="008A74EB" w:rsidRPr="00993B55">
        <w:rPr>
          <w:rStyle w:val="libFootnoteBoldChar"/>
          <w:rtl/>
        </w:rPr>
        <w:t>البحار</w:t>
      </w:r>
      <w:r w:rsidR="008A74EB" w:rsidRPr="00C9040A">
        <w:rPr>
          <w:rtl/>
        </w:rPr>
        <w:t xml:space="preserve"> ، ج 67 ، ضمن 154 ، ح 15.</w:t>
      </w:r>
    </w:p>
    <w:p w:rsidR="004B7F34" w:rsidRDefault="004B7F34" w:rsidP="004B7F34">
      <w:pPr>
        <w:pStyle w:val="libNormal"/>
        <w:rPr>
          <w:rtl/>
          <w:lang w:bidi="fa-IR"/>
        </w:rPr>
      </w:pPr>
      <w:r>
        <w:rPr>
          <w:rtl/>
          <w:lang w:bidi="fa-IR"/>
        </w:rPr>
        <w:br w:type="page"/>
      </w:r>
    </w:p>
    <w:p w:rsidR="008A74EB" w:rsidRPr="00C9040A" w:rsidRDefault="008A74EB" w:rsidP="008A74EB">
      <w:pPr>
        <w:pStyle w:val="Heading2Center"/>
        <w:rPr>
          <w:rtl/>
          <w:lang w:bidi="fa-IR"/>
        </w:rPr>
      </w:pPr>
      <w:bookmarkStart w:id="316" w:name="_Toc343795693"/>
      <w:bookmarkStart w:id="317" w:name="_Toc459810817"/>
      <w:bookmarkStart w:id="318" w:name="_Toc35348723"/>
      <w:r w:rsidRPr="00C9040A">
        <w:rPr>
          <w:rtl/>
          <w:lang w:bidi="fa-IR"/>
        </w:rPr>
        <w:t>102</w:t>
      </w:r>
      <w:r>
        <w:rPr>
          <w:rtl/>
          <w:lang w:bidi="fa-IR"/>
        </w:rPr>
        <w:t xml:space="preserve"> </w:t>
      </w:r>
      <w:r w:rsidR="0084262C">
        <w:rPr>
          <w:rtl/>
          <w:lang w:bidi="fa-IR"/>
        </w:rPr>
        <w:t>-</w:t>
      </w:r>
      <w:r>
        <w:rPr>
          <w:rtl/>
          <w:lang w:bidi="fa-IR"/>
        </w:rPr>
        <w:t xml:space="preserve"> </w:t>
      </w:r>
      <w:r w:rsidRPr="00C9040A">
        <w:rPr>
          <w:rtl/>
          <w:lang w:bidi="fa-IR"/>
        </w:rPr>
        <w:t>بَابٌ فِي سُكُونِ الْمُؤْمِنِ إِلَى الْمُؤْمِنِ‌</w:t>
      </w:r>
      <w:bookmarkEnd w:id="316"/>
      <w:bookmarkEnd w:id="317"/>
      <w:bookmarkEnd w:id="318"/>
    </w:p>
    <w:p w:rsidR="008A74EB" w:rsidRPr="00C9040A" w:rsidRDefault="008A74EB" w:rsidP="008A74EB">
      <w:pPr>
        <w:pStyle w:val="libNormal"/>
        <w:rPr>
          <w:rtl/>
          <w:lang w:bidi="fa-IR"/>
        </w:rPr>
      </w:pPr>
      <w:r w:rsidRPr="00543B65">
        <w:rPr>
          <w:rtl/>
        </w:rPr>
        <w:t>2332</w:t>
      </w:r>
      <w:r w:rsidRPr="00261CB0">
        <w:rPr>
          <w:rStyle w:val="libBold2Char"/>
          <w:rtl/>
        </w:rPr>
        <w:t xml:space="preserve"> / 1.</w:t>
      </w:r>
      <w:r w:rsidRPr="00C9040A">
        <w:rPr>
          <w:rtl/>
          <w:lang w:bidi="fa-IR"/>
        </w:rPr>
        <w:t xml:space="preserve"> عَلِيُّ بْنُ إِبْرَاهِيمَ ، عَنْ مُحَمَّدِ بْنِ عِيسَى بْنِ عُبَيْدٍ ، عَنْ يُونُسَ ، عَمَّنْ ذَكَرَهُ :</w:t>
      </w:r>
    </w:p>
    <w:p w:rsidR="008A74EB" w:rsidRPr="00C9040A" w:rsidRDefault="008A74EB" w:rsidP="008972B2">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إِنَّ الْمُؤْمِنَ لَيَسْكُنُ إِلَى الْمُؤْمِنِ ، كَمَا يَسْكُنُ الظَّمْآنُ إِلَى الْمَاءِ الْبَارِدِ »</w:t>
      </w:r>
      <w:r>
        <w:rPr>
          <w:rtl/>
          <w:lang w:bidi="fa-IR"/>
        </w:rPr>
        <w:t>.</w:t>
      </w:r>
      <w:r w:rsidRPr="00C9040A">
        <w:rPr>
          <w:rtl/>
          <w:lang w:bidi="fa-IR"/>
        </w:rPr>
        <w:t xml:space="preserve"> </w:t>
      </w:r>
      <w:r w:rsidR="006C577F" w:rsidRPr="006C577F">
        <w:rPr>
          <w:rStyle w:val="libFootnotenumChar"/>
          <w:rtl/>
        </w:rPr>
        <w:t>(1)</w:t>
      </w:r>
    </w:p>
    <w:p w:rsidR="008A74EB" w:rsidRPr="00C9040A" w:rsidRDefault="008A74EB" w:rsidP="008A74EB">
      <w:pPr>
        <w:pStyle w:val="Heading2Center"/>
        <w:rPr>
          <w:rtl/>
          <w:lang w:bidi="fa-IR"/>
        </w:rPr>
      </w:pPr>
      <w:bookmarkStart w:id="319" w:name="_Toc343795694"/>
      <w:bookmarkStart w:id="320" w:name="_Toc459810818"/>
      <w:bookmarkStart w:id="321" w:name="_Toc35348724"/>
      <w:r w:rsidRPr="00C9040A">
        <w:rPr>
          <w:rtl/>
          <w:lang w:bidi="fa-IR"/>
        </w:rPr>
        <w:t>103</w:t>
      </w:r>
      <w:r>
        <w:rPr>
          <w:rtl/>
          <w:lang w:bidi="fa-IR"/>
        </w:rPr>
        <w:t xml:space="preserve"> </w:t>
      </w:r>
      <w:r w:rsidR="0084262C">
        <w:rPr>
          <w:rtl/>
          <w:lang w:bidi="fa-IR"/>
        </w:rPr>
        <w:t>-</w:t>
      </w:r>
      <w:r>
        <w:rPr>
          <w:rtl/>
          <w:lang w:bidi="fa-IR"/>
        </w:rPr>
        <w:t xml:space="preserve"> </w:t>
      </w:r>
      <w:r w:rsidRPr="00C9040A">
        <w:rPr>
          <w:rtl/>
          <w:lang w:bidi="fa-IR"/>
        </w:rPr>
        <w:t>بَابٌ فِيمَا يَدْفَعُ اللهُ بِالْمُؤْمِنِ‌</w:t>
      </w:r>
      <w:bookmarkEnd w:id="319"/>
      <w:bookmarkEnd w:id="320"/>
      <w:bookmarkEnd w:id="321"/>
    </w:p>
    <w:p w:rsidR="008A74EB" w:rsidRPr="00C9040A" w:rsidRDefault="008A74EB" w:rsidP="008A74EB">
      <w:pPr>
        <w:pStyle w:val="libNormal"/>
        <w:rPr>
          <w:rtl/>
          <w:lang w:bidi="fa-IR"/>
        </w:rPr>
      </w:pPr>
      <w:r w:rsidRPr="00543B65">
        <w:rPr>
          <w:rtl/>
        </w:rPr>
        <w:t>2333</w:t>
      </w:r>
      <w:r w:rsidRPr="00261CB0">
        <w:rPr>
          <w:rStyle w:val="libBold2Char"/>
          <w:rtl/>
        </w:rPr>
        <w:t xml:space="preserve"> / 1.</w:t>
      </w:r>
      <w:r w:rsidRPr="00C9040A">
        <w:rPr>
          <w:rtl/>
          <w:lang w:bidi="fa-IR"/>
        </w:rPr>
        <w:t xml:space="preserve"> مُحَمَّدُ بْنُ يَحْيى ، عَنْ عَلِيِّ بْنِ الْحَسَنِ التَّيْمِيِّ </w:t>
      </w:r>
      <w:r w:rsidR="006C577F" w:rsidRPr="006C577F">
        <w:rPr>
          <w:rStyle w:val="libFootnotenumChar"/>
          <w:rtl/>
        </w:rPr>
        <w:t>(2)</w:t>
      </w:r>
      <w:r w:rsidRPr="00C9040A">
        <w:rPr>
          <w:rtl/>
          <w:lang w:bidi="fa-IR"/>
        </w:rPr>
        <w:t xml:space="preserve"> ، عَنْ مُحَمَّدِ بْنِ عَبْدِ اللهِ بْنِ زُرَارَةَ ، عَنْ مُحَمَّدِ بْنِ الْفُضَيْلِ ، عَنْ أَبِي حَمْزَةَ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إِنَّ اللهَ لَيَدْفَعُ بِالْمُؤْمِنِ الْوَاحِدِ عَنِ الْقَرْيَةِ الْفَنَاءَ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C73ACF">
        <w:rPr>
          <w:rtl/>
        </w:rPr>
        <w:t>2334</w:t>
      </w:r>
      <w:r w:rsidRPr="00261CB0">
        <w:rPr>
          <w:rStyle w:val="libBold2Char"/>
          <w:rtl/>
        </w:rPr>
        <w:t xml:space="preserve"> / 2.</w:t>
      </w:r>
      <w:r w:rsidRPr="00C9040A">
        <w:rPr>
          <w:rtl/>
          <w:lang w:bidi="fa-IR"/>
        </w:rPr>
        <w:t xml:space="preserve"> مُحَمَّدُ بْنُ يَحْيى ، عَنْ أَحْمَدَ بْنِ مُحَمَّدٍ ، عَنِ ابْنِ مَحْبُوبٍ ، عَنْ عَبْدِ اللهِ بْنِ سِنَانٍ ، عَنْ أَبِي حَمْزَةَ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لَا يُصِيبُ قَرْيَةً عَذَابٌ وَفِيهَا سَبْعَةٌ مِنَ الْمُؤْمِنِينَ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C73ACF">
        <w:rPr>
          <w:rtl/>
        </w:rPr>
        <w:t>2335</w:t>
      </w:r>
      <w:r w:rsidRPr="00261CB0">
        <w:rPr>
          <w:rStyle w:val="libBold2Char"/>
          <w:rtl/>
        </w:rPr>
        <w:t xml:space="preserve"> / 3.</w:t>
      </w:r>
      <w:r w:rsidRPr="00C9040A">
        <w:rPr>
          <w:rtl/>
          <w:lang w:bidi="fa-IR"/>
        </w:rPr>
        <w:t xml:space="preserve"> عَلِيُّ بْنُ إِبْرَاهِيمَ ، عَنْ أَبِيهِ ، عَنِ ابْنِ أَبِي عُمَيْرٍ ، عَنْ غَيْرِ وَاحِدٍ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9A767F">
      <w:pPr>
        <w:pStyle w:val="libFootnote0"/>
        <w:rPr>
          <w:rtl/>
          <w:lang w:bidi="fa-IR"/>
        </w:rPr>
      </w:pPr>
      <w:r>
        <w:rPr>
          <w:rtl/>
        </w:rPr>
        <w:t>(1).</w:t>
      </w:r>
      <w:r w:rsidR="008A74EB">
        <w:rPr>
          <w:rtl/>
        </w:rPr>
        <w:t xml:space="preserve"> </w:t>
      </w:r>
      <w:r w:rsidR="008A74EB" w:rsidRPr="00993B55">
        <w:rPr>
          <w:rStyle w:val="libFootnoteBoldChar"/>
          <w:rtl/>
        </w:rPr>
        <w:t>الجعفريّات</w:t>
      </w:r>
      <w:r w:rsidR="008A74EB" w:rsidRPr="00C9040A">
        <w:rPr>
          <w:rtl/>
        </w:rPr>
        <w:t xml:space="preserve"> ، ص 197 ، بسند آخر عن جعفر بن محمّد ، عن آبائه </w:t>
      </w:r>
      <w:r w:rsidR="00117575" w:rsidRPr="00117575">
        <w:rPr>
          <w:rStyle w:val="libFootnoteAlaemChar"/>
          <w:rtl/>
        </w:rPr>
        <w:t>عليهم‌السلام</w:t>
      </w:r>
      <w:r w:rsidR="008A74EB" w:rsidRPr="00C9040A">
        <w:rPr>
          <w:rtl/>
        </w:rPr>
        <w:t xml:space="preserve"> عن رسول الله </w:t>
      </w:r>
      <w:r w:rsidR="004A4E41" w:rsidRPr="009A767F">
        <w:rPr>
          <w:rStyle w:val="libFootnoteAlaemChar"/>
          <w:rtl/>
        </w:rPr>
        <w:t>صلى‌الله‌عليه‌وآله</w:t>
      </w:r>
      <w:r w:rsidR="009A767F">
        <w:rPr>
          <w:rFonts w:hint="cs"/>
          <w:rtl/>
        </w:rPr>
        <w:t>.</w:t>
      </w:r>
      <w:r w:rsidR="008A74EB" w:rsidRPr="00993B55">
        <w:rPr>
          <w:rStyle w:val="libFootnoteBoldChar"/>
          <w:rtl/>
        </w:rPr>
        <w:t>الوافي</w:t>
      </w:r>
      <w:r w:rsidR="008A74EB" w:rsidRPr="00C9040A">
        <w:rPr>
          <w:rtl/>
        </w:rPr>
        <w:t xml:space="preserve"> ، ج 5 ، ص 743 ، ح 2962 ؛ </w:t>
      </w:r>
      <w:r w:rsidR="008A74EB" w:rsidRPr="00993B55">
        <w:rPr>
          <w:rStyle w:val="libFootnoteBoldChar"/>
          <w:rtl/>
        </w:rPr>
        <w:t>البحار</w:t>
      </w:r>
      <w:r w:rsidR="008A74EB" w:rsidRPr="00C9040A">
        <w:rPr>
          <w:rtl/>
        </w:rPr>
        <w:t xml:space="preserve"> ، ج 67 ، ص 165 ، ح 10.</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ز » وحاشية « بر » : « الميثمي »</w:t>
      </w:r>
      <w:r w:rsidR="008A74EB">
        <w:rPr>
          <w:rtl/>
        </w:rPr>
        <w:t>.</w:t>
      </w:r>
      <w:r w:rsidR="008A74EB" w:rsidRPr="00C9040A">
        <w:rPr>
          <w:rtl/>
        </w:rPr>
        <w:t xml:space="preserve"> وهو سهو ؛ فإنّ عليّ بن الحسن الراوي عن محمّد بن عبدالله بن زرارة ، هوعليّ بن الحسن بن فضّال ، وهو يلقّب في أسناده تارة بالتيمي ، وا</w:t>
      </w:r>
      <w:r w:rsidR="00C20752">
        <w:rPr>
          <w:rFonts w:hint="cs"/>
          <w:rtl/>
        </w:rPr>
        <w:t>ُ</w:t>
      </w:r>
      <w:r w:rsidR="008A74EB" w:rsidRPr="00C9040A">
        <w:rPr>
          <w:rtl/>
        </w:rPr>
        <w:t xml:space="preserve">خرى بالتيمُلي ؛ لأنّهم من موالي تيم الله ، كما ورد في ترجمة أبيه. راجع : </w:t>
      </w:r>
      <w:r w:rsidR="008A74EB" w:rsidRPr="00993B55">
        <w:rPr>
          <w:rStyle w:val="libFootnoteBoldChar"/>
          <w:rtl/>
        </w:rPr>
        <w:t>رجال النجاشي</w:t>
      </w:r>
      <w:r w:rsidR="008A74EB" w:rsidRPr="00C9040A">
        <w:rPr>
          <w:rtl/>
        </w:rPr>
        <w:t xml:space="preserve"> ، ص 34 ، الرقم 72 ؛ </w:t>
      </w:r>
      <w:r w:rsidR="008A74EB" w:rsidRPr="00993B55">
        <w:rPr>
          <w:rStyle w:val="libFootnoteBoldChar"/>
          <w:rtl/>
        </w:rPr>
        <w:t>رجال البرقي</w:t>
      </w:r>
      <w:r w:rsidR="008A74EB" w:rsidRPr="00C9040A">
        <w:rPr>
          <w:rtl/>
        </w:rPr>
        <w:t xml:space="preserve"> ، ص 54 ؛ </w:t>
      </w:r>
      <w:r w:rsidR="008A74EB" w:rsidRPr="0034021D">
        <w:rPr>
          <w:rStyle w:val="libFootnoteBoldChar"/>
          <w:rtl/>
        </w:rPr>
        <w:t>الفهرست للطوسي</w:t>
      </w:r>
      <w:r w:rsidR="008A74EB" w:rsidRPr="00C9040A">
        <w:rPr>
          <w:rtl/>
        </w:rPr>
        <w:t xml:space="preserve"> ، ص 123 ، الرقم 164 ؛ </w:t>
      </w:r>
      <w:r w:rsidR="008A74EB" w:rsidRPr="00993B55">
        <w:rPr>
          <w:rStyle w:val="libFootnoteBoldChar"/>
          <w:rtl/>
        </w:rPr>
        <w:t>معجم رجال الحديث</w:t>
      </w:r>
      <w:r w:rsidR="008A74EB" w:rsidRPr="00C9040A">
        <w:rPr>
          <w:rtl/>
        </w:rPr>
        <w:t xml:space="preserve"> ، ج 11 ، ص 345 ، الرقم 8016 ، وص 346 ، الرقم 8017 ، وص 566 ؛ </w:t>
      </w:r>
      <w:r w:rsidR="008A74EB" w:rsidRPr="00993B55">
        <w:rPr>
          <w:rStyle w:val="libFootnoteBoldChar"/>
          <w:rtl/>
        </w:rPr>
        <w:t>الأنساب</w:t>
      </w:r>
      <w:r w:rsidR="008A74EB" w:rsidRPr="00C9040A">
        <w:rPr>
          <w:rtl/>
        </w:rPr>
        <w:t xml:space="preserve"> للسمعاني ، ج 1 ، ص 497</w:t>
      </w:r>
      <w:r w:rsidR="008A74EB">
        <w:rPr>
          <w:rtl/>
        </w:rPr>
        <w:t xml:space="preserve"> </w:t>
      </w:r>
      <w:r w:rsidR="0084262C">
        <w:rPr>
          <w:rtl/>
        </w:rPr>
        <w:t>-</w:t>
      </w:r>
      <w:r w:rsidR="008A74EB">
        <w:rPr>
          <w:rtl/>
        </w:rPr>
        <w:t xml:space="preserve"> </w:t>
      </w:r>
      <w:r w:rsidR="008A74EB" w:rsidRPr="00C9040A">
        <w:rPr>
          <w:rtl/>
        </w:rPr>
        <w:t>498.</w:t>
      </w:r>
    </w:p>
    <w:p w:rsidR="008A74EB" w:rsidRPr="00C9040A" w:rsidRDefault="006C577F" w:rsidP="004A4E41">
      <w:pPr>
        <w:pStyle w:val="libFootnote0"/>
        <w:rPr>
          <w:rtl/>
          <w:lang w:bidi="fa-IR"/>
        </w:rPr>
      </w:pPr>
      <w:r>
        <w:rPr>
          <w:rtl/>
        </w:rPr>
        <w:t>(3).</w:t>
      </w:r>
      <w:r w:rsidR="008A74EB" w:rsidRPr="00C9040A">
        <w:rPr>
          <w:rtl/>
        </w:rPr>
        <w:t xml:space="preserve"> </w:t>
      </w:r>
      <w:r w:rsidR="008A74EB" w:rsidRPr="00993B55">
        <w:rPr>
          <w:rStyle w:val="libFootnoteBoldChar"/>
          <w:rtl/>
        </w:rPr>
        <w:t>الوافي</w:t>
      </w:r>
      <w:r w:rsidR="008A74EB" w:rsidRPr="00C9040A">
        <w:rPr>
          <w:rtl/>
        </w:rPr>
        <w:t xml:space="preserve"> ، ج 5 ، ص 755 ، ح 2978 ؛ </w:t>
      </w:r>
      <w:r w:rsidR="008A74EB" w:rsidRPr="00993B55">
        <w:rPr>
          <w:rStyle w:val="libFootnoteBoldChar"/>
          <w:rtl/>
        </w:rPr>
        <w:t>البحار</w:t>
      </w:r>
      <w:r w:rsidR="008A74EB" w:rsidRPr="00C9040A">
        <w:rPr>
          <w:rtl/>
        </w:rPr>
        <w:t xml:space="preserve"> ، ج 67 ، ص 143 ، ح 1.</w:t>
      </w:r>
    </w:p>
    <w:p w:rsidR="008A74EB" w:rsidRPr="00C9040A" w:rsidRDefault="006C577F" w:rsidP="00C20752">
      <w:pPr>
        <w:pStyle w:val="libFootnote0"/>
        <w:rPr>
          <w:rtl/>
          <w:lang w:bidi="fa-IR"/>
        </w:rPr>
      </w:pPr>
      <w:r>
        <w:rPr>
          <w:rtl/>
        </w:rPr>
        <w:t>(4).</w:t>
      </w:r>
      <w:r w:rsidR="008A74EB" w:rsidRPr="00C9040A">
        <w:rPr>
          <w:rtl/>
        </w:rPr>
        <w:t xml:space="preserve"> </w:t>
      </w:r>
      <w:r w:rsidR="008A74EB" w:rsidRPr="00993B55">
        <w:rPr>
          <w:rStyle w:val="libFootnoteBoldChar"/>
          <w:rtl/>
        </w:rPr>
        <w:t>الاختصاص</w:t>
      </w:r>
      <w:r w:rsidR="008A74EB" w:rsidRPr="00C9040A">
        <w:rPr>
          <w:rtl/>
        </w:rPr>
        <w:t xml:space="preserve"> ، ص 30 ، وفيه : « عن ربعي ، عن عمر بن يزيد ، قال : سمعت أباعبدالله </w:t>
      </w:r>
      <w:r w:rsidR="00117575" w:rsidRPr="00117575">
        <w:rPr>
          <w:rStyle w:val="libFootnoteAlaemChar"/>
          <w:rtl/>
        </w:rPr>
        <w:t>عليه‌السلام</w:t>
      </w:r>
      <w:r w:rsidR="008A74EB" w:rsidRPr="00C9040A">
        <w:rPr>
          <w:rtl/>
        </w:rPr>
        <w:t xml:space="preserve"> يقول : ما عذّب الله قرية فيها سبعة من المؤمنين »</w:t>
      </w:r>
      <w:r w:rsidR="00C20752">
        <w:rPr>
          <w:rFonts w:hint="cs"/>
          <w:rtl/>
        </w:rPr>
        <w:t>.</w:t>
      </w:r>
      <w:r w:rsidR="008A74EB" w:rsidRPr="00993B55">
        <w:rPr>
          <w:rStyle w:val="libFootnoteBoldChar"/>
          <w:rtl/>
        </w:rPr>
        <w:t>الوافي</w:t>
      </w:r>
      <w:r w:rsidR="008A74EB" w:rsidRPr="00C9040A">
        <w:rPr>
          <w:rtl/>
        </w:rPr>
        <w:t xml:space="preserve"> ، ج 5 ، ص 755 ، ح 2979 ؛ </w:t>
      </w:r>
      <w:r w:rsidR="008A74EB" w:rsidRPr="00993B55">
        <w:rPr>
          <w:rStyle w:val="libFootnoteBoldChar"/>
          <w:rtl/>
        </w:rPr>
        <w:t>البحار</w:t>
      </w:r>
      <w:r w:rsidR="008A74EB" w:rsidRPr="00C9040A">
        <w:rPr>
          <w:rtl/>
        </w:rPr>
        <w:t xml:space="preserve"> ، ج 67 ، ص 143 ، ح 2.</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قِيلَ لَهُ فِي الْعَذَابِ : إِذَا نَزَلَ بِقَوْمٍ يُصِيبُ </w:t>
      </w:r>
      <w:r w:rsidR="006C577F" w:rsidRPr="006C577F">
        <w:rPr>
          <w:rStyle w:val="libFootnotenumChar"/>
          <w:rtl/>
        </w:rPr>
        <w:t>(1)</w:t>
      </w:r>
      <w:r w:rsidRPr="00C9040A">
        <w:rPr>
          <w:rtl/>
          <w:lang w:bidi="fa-IR"/>
        </w:rPr>
        <w:t xml:space="preserve"> الْمُؤْمِنِينَ</w:t>
      </w:r>
      <w:r>
        <w:rPr>
          <w:rtl/>
          <w:lang w:bidi="fa-IR"/>
        </w:rPr>
        <w:t>؟</w:t>
      </w:r>
      <w:r>
        <w:rPr>
          <w:rFonts w:hint="cs"/>
          <w:rtl/>
          <w:lang w:bidi="fa-IR"/>
        </w:rPr>
        <w:t xml:space="preserve"> </w:t>
      </w:r>
      <w:r w:rsidRPr="00C9040A">
        <w:rPr>
          <w:rtl/>
          <w:lang w:bidi="fa-IR"/>
        </w:rPr>
        <w:t xml:space="preserve">قَالَ : « نَعَمْ ، وَلكِنْ يَخْلُصُونَ </w:t>
      </w:r>
      <w:r w:rsidR="006C577F" w:rsidRPr="006C577F">
        <w:rPr>
          <w:rStyle w:val="libFootnotenumChar"/>
          <w:rtl/>
        </w:rPr>
        <w:t>(2)</w:t>
      </w:r>
      <w:r w:rsidRPr="00C9040A">
        <w:rPr>
          <w:rtl/>
          <w:lang w:bidi="fa-IR"/>
        </w:rPr>
        <w:t xml:space="preserve"> بَعْدَهُ </w:t>
      </w:r>
      <w:r w:rsidR="006C577F" w:rsidRPr="006C577F">
        <w:rPr>
          <w:rStyle w:val="libFootnotenumChar"/>
          <w:rtl/>
        </w:rPr>
        <w:t>(3)</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Heading2Center"/>
        <w:rPr>
          <w:rtl/>
          <w:lang w:bidi="fa-IR"/>
        </w:rPr>
      </w:pPr>
      <w:bookmarkStart w:id="322" w:name="_Toc343795695"/>
      <w:bookmarkStart w:id="323" w:name="_Toc459810819"/>
      <w:bookmarkStart w:id="324" w:name="_Toc35348725"/>
      <w:r w:rsidRPr="00C9040A">
        <w:rPr>
          <w:rtl/>
          <w:lang w:bidi="fa-IR"/>
        </w:rPr>
        <w:t>104</w:t>
      </w:r>
      <w:r>
        <w:rPr>
          <w:rtl/>
          <w:lang w:bidi="fa-IR"/>
        </w:rPr>
        <w:t xml:space="preserve"> </w:t>
      </w:r>
      <w:r w:rsidR="0084262C">
        <w:rPr>
          <w:rtl/>
          <w:lang w:bidi="fa-IR"/>
        </w:rPr>
        <w:t>-</w:t>
      </w:r>
      <w:r>
        <w:rPr>
          <w:rtl/>
          <w:lang w:bidi="fa-IR"/>
        </w:rPr>
        <w:t xml:space="preserve"> </w:t>
      </w:r>
      <w:r w:rsidRPr="00C9040A">
        <w:rPr>
          <w:rtl/>
          <w:lang w:bidi="fa-IR"/>
        </w:rPr>
        <w:t xml:space="preserve">بَابٌ فِي أَنَّ الْمُؤْمِنَ </w:t>
      </w:r>
      <w:r w:rsidR="006C577F" w:rsidRPr="006C577F">
        <w:rPr>
          <w:rStyle w:val="libFootnotenumChar"/>
          <w:rtl/>
        </w:rPr>
        <w:t>(5)</w:t>
      </w:r>
      <w:r>
        <w:rPr>
          <w:rtl/>
        </w:rPr>
        <w:t xml:space="preserve"> </w:t>
      </w:r>
      <w:r w:rsidRPr="00C9040A">
        <w:rPr>
          <w:rtl/>
          <w:lang w:bidi="fa-IR"/>
        </w:rPr>
        <w:t>صِنْفَانِ‌</w:t>
      </w:r>
      <w:bookmarkEnd w:id="322"/>
      <w:bookmarkEnd w:id="323"/>
      <w:bookmarkEnd w:id="324"/>
    </w:p>
    <w:p w:rsidR="008A74EB" w:rsidRPr="00C9040A" w:rsidRDefault="008A74EB" w:rsidP="008A74EB">
      <w:pPr>
        <w:pStyle w:val="libNormal"/>
        <w:rPr>
          <w:rtl/>
          <w:lang w:bidi="fa-IR"/>
        </w:rPr>
      </w:pPr>
      <w:r w:rsidRPr="007A2CA5">
        <w:rPr>
          <w:rtl/>
        </w:rPr>
        <w:t>2336</w:t>
      </w:r>
      <w:r w:rsidRPr="00261CB0">
        <w:rPr>
          <w:rStyle w:val="libBold2Char"/>
          <w:rtl/>
        </w:rPr>
        <w:t xml:space="preserve"> / 1.</w:t>
      </w:r>
      <w:r w:rsidRPr="00C9040A">
        <w:rPr>
          <w:rtl/>
          <w:lang w:bidi="fa-IR"/>
        </w:rPr>
        <w:t xml:space="preserve"> مُحَمَّدُ بْنُ يَحْيى ، عَنْ أَحْمَدَ بْنِ مُحَمَّدٍ </w:t>
      </w:r>
      <w:r w:rsidR="006C577F" w:rsidRPr="006C577F">
        <w:rPr>
          <w:rStyle w:val="libFootnotenumChar"/>
          <w:rtl/>
        </w:rPr>
        <w:t>(6)</w:t>
      </w:r>
      <w:r w:rsidRPr="005B567D">
        <w:rPr>
          <w:rStyle w:val="libFootnotenumChar"/>
          <w:rtl/>
        </w:rPr>
        <w:t xml:space="preserve"> </w:t>
      </w:r>
      <w:r w:rsidRPr="00C9040A">
        <w:rPr>
          <w:rtl/>
          <w:lang w:bidi="fa-IR"/>
        </w:rPr>
        <w:t xml:space="preserve">، عَنْ مُحَمَّدِ بْنِ سِنَانٍ ، عَنْ نُصَيْرٍ أَبِي الْحَكَمِ الْخَثْعَمِيِّ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الْمُؤْمِنُ مُؤْمِنَانِ : فَمُؤْمِنٌ صَدَقَ </w:t>
      </w:r>
      <w:r w:rsidR="006C577F" w:rsidRPr="006C577F">
        <w:rPr>
          <w:rStyle w:val="libFootnotenumChar"/>
          <w:rtl/>
        </w:rPr>
        <w:t>(8)</w:t>
      </w:r>
      <w:r w:rsidRPr="00C9040A">
        <w:rPr>
          <w:rtl/>
          <w:lang w:bidi="fa-IR"/>
        </w:rPr>
        <w:t xml:space="preserve"> بِعَهْدِ اللهِ </w:t>
      </w:r>
      <w:r w:rsidR="006C577F" w:rsidRPr="006C577F">
        <w:rPr>
          <w:rStyle w:val="libFootnotenumChar"/>
          <w:rtl/>
        </w:rPr>
        <w:t>(9)</w:t>
      </w:r>
      <w:r w:rsidRPr="00C9040A">
        <w:rPr>
          <w:rtl/>
          <w:lang w:bidi="fa-IR"/>
        </w:rPr>
        <w:t xml:space="preserve"> ، وَوَفى بِشَرْطِهِ ، وَذلِكَ قَوْلُ اللهِ عَزَّ وَجَلَّ : </w:t>
      </w:r>
      <w:r w:rsidRPr="0003660B">
        <w:rPr>
          <w:rStyle w:val="libAlaemChar"/>
          <w:rtl/>
        </w:rPr>
        <w:t>(</w:t>
      </w:r>
      <w:r w:rsidRPr="00381A3A">
        <w:rPr>
          <w:rtl/>
        </w:rPr>
        <w:t xml:space="preserve"> </w:t>
      </w:r>
      <w:r w:rsidRPr="006A2246">
        <w:rPr>
          <w:rStyle w:val="libAieChar"/>
          <w:rtl/>
        </w:rPr>
        <w:t>رِجالٌ صَدَقُوا ما عاهَدُوا اللهَ عَلَيْهِ</w:t>
      </w:r>
      <w:r w:rsidRPr="00381A3A">
        <w:rPr>
          <w:rtl/>
        </w:rPr>
        <w:t xml:space="preserve"> </w:t>
      </w:r>
      <w:r w:rsidRPr="0003660B">
        <w:rPr>
          <w:rStyle w:val="libAlaemChar"/>
          <w:rtl/>
        </w:rPr>
        <w:t>)</w:t>
      </w:r>
      <w:r w:rsidRPr="00C9040A">
        <w:rPr>
          <w:rtl/>
          <w:lang w:bidi="fa-IR"/>
        </w:rPr>
        <w:t xml:space="preserve"> </w:t>
      </w:r>
      <w:r w:rsidR="006C577F" w:rsidRPr="006C577F">
        <w:rPr>
          <w:rStyle w:val="libFootnotenumChar"/>
          <w:rtl/>
        </w:rPr>
        <w:t>(10)</w:t>
      </w:r>
      <w:r w:rsidRPr="00C9040A">
        <w:rPr>
          <w:rtl/>
          <w:lang w:bidi="fa-IR"/>
        </w:rPr>
        <w:t xml:space="preserve"> فَذلِكَ الَّذِي </w:t>
      </w:r>
      <w:r w:rsidR="006C577F" w:rsidRPr="006C577F">
        <w:rPr>
          <w:rStyle w:val="libFootnotenumChar"/>
          <w:rtl/>
        </w:rPr>
        <w:t>(11)</w:t>
      </w:r>
      <w:r w:rsidRPr="00C9040A">
        <w:rPr>
          <w:rtl/>
          <w:lang w:bidi="fa-IR"/>
        </w:rPr>
        <w:t xml:space="preserve"> لَا تُصِيبُهُ </w:t>
      </w:r>
      <w:r w:rsidR="006C577F" w:rsidRPr="006C577F">
        <w:rPr>
          <w:rStyle w:val="libFootnotenumChar"/>
          <w:rtl/>
        </w:rPr>
        <w:t>(12)</w:t>
      </w:r>
      <w:r w:rsidRPr="00C9040A">
        <w:rPr>
          <w:rtl/>
          <w:lang w:bidi="fa-IR"/>
        </w:rPr>
        <w:t xml:space="preserve"> أَهْوَالُ الدُّنْيَا وَلَا أَهْوَالُ الْآخِرَةِ ، وَذلِكَ مِمَّنْ يَشْفَعُ </w:t>
      </w:r>
      <w:r w:rsidRPr="005B567D">
        <w:rPr>
          <w:rStyle w:val="libFootnotenumChar"/>
          <w:rtl/>
        </w:rPr>
        <w:t>(13)</w:t>
      </w:r>
      <w:r w:rsidRPr="00C9040A">
        <w:rPr>
          <w:rtl/>
          <w:lang w:bidi="fa-IR"/>
        </w:rPr>
        <w:t xml:space="preserve"> وَلَا يُشْفَعُ لَهُ ؛ وَمُؤْمِنٌ‌</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C20752" w:rsidTr="00C20752">
        <w:tc>
          <w:tcPr>
            <w:tcW w:w="4006" w:type="dxa"/>
          </w:tcPr>
          <w:p w:rsidR="00C20752" w:rsidRDefault="00C20752" w:rsidP="004A4E41">
            <w:pPr>
              <w:pStyle w:val="libFootnote0"/>
              <w:rPr>
                <w:rtl/>
              </w:rPr>
            </w:pPr>
            <w:r>
              <w:rPr>
                <w:rtl/>
              </w:rPr>
              <w:t xml:space="preserve">(1). </w:t>
            </w:r>
            <w:r w:rsidRPr="00C9040A">
              <w:rPr>
                <w:rtl/>
              </w:rPr>
              <w:t>في « ز » : « أيصيب »</w:t>
            </w:r>
            <w:r>
              <w:rPr>
                <w:rtl/>
              </w:rPr>
              <w:t>.</w:t>
            </w:r>
          </w:p>
        </w:tc>
        <w:tc>
          <w:tcPr>
            <w:tcW w:w="4006" w:type="dxa"/>
          </w:tcPr>
          <w:p w:rsidR="00C20752" w:rsidRDefault="00C20752" w:rsidP="004A4E41">
            <w:pPr>
              <w:pStyle w:val="libFootnote0"/>
              <w:rPr>
                <w:rtl/>
              </w:rPr>
            </w:pPr>
            <w:r>
              <w:rPr>
                <w:rtl/>
              </w:rPr>
              <w:t xml:space="preserve">(2). </w:t>
            </w:r>
            <w:r w:rsidRPr="00C9040A">
              <w:rPr>
                <w:rtl/>
              </w:rPr>
              <w:t xml:space="preserve">في حاشية « ز ، </w:t>
            </w:r>
            <w:r>
              <w:rPr>
                <w:rtl/>
              </w:rPr>
              <w:t xml:space="preserve">ه </w:t>
            </w:r>
            <w:r w:rsidRPr="00C9040A">
              <w:rPr>
                <w:rtl/>
              </w:rPr>
              <w:t>» : « يخلّصون » بالتشديد.</w:t>
            </w:r>
          </w:p>
        </w:tc>
      </w:tr>
    </w:tbl>
    <w:p w:rsidR="008A74EB" w:rsidRPr="00C9040A" w:rsidRDefault="006C577F" w:rsidP="004A4E41">
      <w:pPr>
        <w:pStyle w:val="libFootnote0"/>
        <w:rPr>
          <w:rtl/>
          <w:lang w:bidi="fa-IR"/>
        </w:rPr>
      </w:pPr>
      <w:r>
        <w:rPr>
          <w:rtl/>
        </w:rPr>
        <w:t>(3).</w:t>
      </w:r>
      <w:r w:rsidR="008A74EB" w:rsidRPr="00C9040A">
        <w:rPr>
          <w:rtl/>
        </w:rPr>
        <w:t xml:space="preserve"> في </w:t>
      </w:r>
      <w:r w:rsidR="008A74EB" w:rsidRPr="00993B55">
        <w:rPr>
          <w:rStyle w:val="libFootnoteBoldChar"/>
          <w:rtl/>
        </w:rPr>
        <w:t>مرآة العقول</w:t>
      </w:r>
      <w:r w:rsidR="008A74EB" w:rsidRPr="00C9040A">
        <w:rPr>
          <w:rtl/>
        </w:rPr>
        <w:t xml:space="preserve"> ، ج 9 ، ص 302 : « بعده ، أي في البرزخ والقيامة</w:t>
      </w:r>
      <w:r w:rsidR="008A74EB">
        <w:rPr>
          <w:rtl/>
        </w:rPr>
        <w:t xml:space="preserve"> ..</w:t>
      </w:r>
      <w:r w:rsidR="008A74EB" w:rsidRPr="00C9040A">
        <w:rPr>
          <w:rtl/>
        </w:rPr>
        <w:t>. ويشكل الجمع بينه وبين الخبرين السابقين ، ويمكن الجمع بوجوه : الأوّل : حمل العذاب في الأوّلين على نوع منه كعذاب الاستيصال ، كما أنّه سبحانه أخرج لوطاً وأهله من بين قومه ثمّ أنزل العذاب عليهم ، وهذا الخبر على نوع آخر كالوباء والقحط. الثاني : أن يحمل هذا على النادر ، وما مرّ على الغالب على بعض الوجوه. الثالث : حمل هذا على أقلّ من السبعة ، وحمل الواحد على النادر. وما قيل من أنّ المراد بالخلاص الخلاص في الدنيا فهو بعيد ، مع أنّه لاينفع في رفع التنافي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الوافي</w:t>
      </w:r>
      <w:r w:rsidR="008A74EB" w:rsidRPr="00C9040A">
        <w:rPr>
          <w:rtl/>
        </w:rPr>
        <w:t xml:space="preserve"> ، ج 5 ، ص 777 ، ح 3029 ؛ </w:t>
      </w:r>
      <w:r w:rsidR="008A74EB" w:rsidRPr="00993B55">
        <w:rPr>
          <w:rStyle w:val="libFootnoteBoldChar"/>
          <w:rtl/>
        </w:rPr>
        <w:t>البحار</w:t>
      </w:r>
      <w:r w:rsidR="008A74EB" w:rsidRPr="00C9040A">
        <w:rPr>
          <w:rtl/>
        </w:rPr>
        <w:t xml:space="preserve"> ، ج 67 ، ص 144 ، ح 3.</w:t>
      </w:r>
    </w:p>
    <w:tbl>
      <w:tblPr>
        <w:tblStyle w:val="TableGrid"/>
        <w:bidiVisual/>
        <w:tblW w:w="0" w:type="auto"/>
        <w:tblLook w:val="04A0" w:firstRow="1" w:lastRow="0" w:firstColumn="1" w:lastColumn="0" w:noHBand="0" w:noVBand="1"/>
      </w:tblPr>
      <w:tblGrid>
        <w:gridCol w:w="4006"/>
        <w:gridCol w:w="4006"/>
      </w:tblGrid>
      <w:tr w:rsidR="00C65ABA" w:rsidTr="00C65ABA">
        <w:tc>
          <w:tcPr>
            <w:tcW w:w="4006" w:type="dxa"/>
          </w:tcPr>
          <w:p w:rsidR="00C65ABA" w:rsidRDefault="00C65ABA" w:rsidP="004A4E41">
            <w:pPr>
              <w:pStyle w:val="libFootnote0"/>
              <w:rPr>
                <w:rtl/>
              </w:rPr>
            </w:pPr>
            <w:r>
              <w:rPr>
                <w:rtl/>
              </w:rPr>
              <w:t>(5).</w:t>
            </w:r>
            <w:r w:rsidRPr="00C9040A">
              <w:rPr>
                <w:rtl/>
              </w:rPr>
              <w:t xml:space="preserve"> في « ب ، ج ، د ، ص ، </w:t>
            </w:r>
            <w:r>
              <w:rPr>
                <w:rtl/>
              </w:rPr>
              <w:t xml:space="preserve">ه </w:t>
            </w:r>
            <w:r w:rsidRPr="00C9040A">
              <w:rPr>
                <w:rtl/>
              </w:rPr>
              <w:t>» : « المؤمنين »</w:t>
            </w:r>
            <w:r>
              <w:rPr>
                <w:rtl/>
              </w:rPr>
              <w:t>.</w:t>
            </w:r>
          </w:p>
        </w:tc>
        <w:tc>
          <w:tcPr>
            <w:tcW w:w="4006" w:type="dxa"/>
          </w:tcPr>
          <w:p w:rsidR="00C65ABA" w:rsidRDefault="00C65ABA" w:rsidP="004A4E41">
            <w:pPr>
              <w:pStyle w:val="libFootnote0"/>
              <w:rPr>
                <w:rtl/>
              </w:rPr>
            </w:pPr>
            <w:r>
              <w:rPr>
                <w:rtl/>
              </w:rPr>
              <w:t xml:space="preserve">(6). </w:t>
            </w:r>
            <w:r w:rsidRPr="00C9040A">
              <w:rPr>
                <w:rtl/>
              </w:rPr>
              <w:t xml:space="preserve">في « ض ، بر » </w:t>
            </w:r>
            <w:r>
              <w:rPr>
                <w:rtl/>
              </w:rPr>
              <w:t>: -</w:t>
            </w:r>
            <w:r w:rsidRPr="00C9040A">
              <w:rPr>
                <w:rtl/>
              </w:rPr>
              <w:t xml:space="preserve"> « بن محمّد »</w:t>
            </w:r>
            <w:r>
              <w:rPr>
                <w:rtl/>
              </w:rPr>
              <w:t>.</w:t>
            </w:r>
          </w:p>
        </w:tc>
      </w:tr>
    </w:tbl>
    <w:p w:rsidR="008A74EB" w:rsidRPr="00C9040A" w:rsidRDefault="006C577F" w:rsidP="00E66C72">
      <w:pPr>
        <w:pStyle w:val="libFootnote0"/>
        <w:rPr>
          <w:rtl/>
          <w:lang w:bidi="fa-IR"/>
        </w:rPr>
      </w:pPr>
      <w:r>
        <w:rPr>
          <w:rtl/>
        </w:rPr>
        <w:t>(7).</w:t>
      </w:r>
      <w:r w:rsidR="008A74EB" w:rsidRPr="00C9040A">
        <w:rPr>
          <w:rtl/>
        </w:rPr>
        <w:t xml:space="preserve"> استظهرنا فيما قدّمناه في </w:t>
      </w:r>
      <w:r w:rsidR="008A74EB" w:rsidRPr="00993B55">
        <w:rPr>
          <w:rStyle w:val="libFootnoteBoldChar"/>
          <w:rtl/>
        </w:rPr>
        <w:t>الكافي</w:t>
      </w:r>
      <w:r w:rsidR="008A74EB" w:rsidRPr="00C9040A">
        <w:rPr>
          <w:rtl/>
        </w:rPr>
        <w:t xml:space="preserve"> ، ذيل ح 198 اتّحاد نصير هذا ، مع نصر أبي‌الحكم الخثعمي المذكور في أصحاب الصادق </w:t>
      </w:r>
      <w:r w:rsidR="00117575" w:rsidRPr="00117575">
        <w:rPr>
          <w:rStyle w:val="libFootnoteAlaemChar"/>
          <w:rtl/>
        </w:rPr>
        <w:t>عليه‌السلام</w:t>
      </w:r>
      <w:r w:rsidR="008A74EB" w:rsidRPr="00C9040A">
        <w:rPr>
          <w:rtl/>
        </w:rPr>
        <w:t xml:space="preserve"> ، فراجع.</w:t>
      </w:r>
      <w:r w:rsidR="00E66C72">
        <w:rPr>
          <w:rFonts w:hint="cs"/>
          <w:rtl/>
        </w:rPr>
        <w:t xml:space="preserve">                   </w:t>
      </w:r>
      <w:r w:rsidR="00C822D0">
        <w:rPr>
          <w:rFonts w:hint="cs"/>
          <w:rtl/>
        </w:rPr>
        <w:t xml:space="preserve">   </w:t>
      </w:r>
      <w:r w:rsidR="00E66C72">
        <w:rPr>
          <w:rFonts w:hint="cs"/>
          <w:rtl/>
        </w:rPr>
        <w:t xml:space="preserve">       </w:t>
      </w:r>
      <w:r>
        <w:rPr>
          <w:rtl/>
        </w:rPr>
        <w:t>(8).</w:t>
      </w:r>
      <w:r w:rsidR="008A74EB" w:rsidRPr="00C9040A">
        <w:rPr>
          <w:rtl/>
        </w:rPr>
        <w:t xml:space="preserve"> في « </w:t>
      </w:r>
      <w:r w:rsidR="006D3162">
        <w:rPr>
          <w:rtl/>
        </w:rPr>
        <w:t xml:space="preserve">ه </w:t>
      </w:r>
      <w:r w:rsidR="008A74EB" w:rsidRPr="00C9040A">
        <w:rPr>
          <w:rtl/>
        </w:rPr>
        <w:t>» : « صدّق » بالتشديد.</w:t>
      </w:r>
    </w:p>
    <w:p w:rsidR="008A74EB" w:rsidRPr="00C9040A" w:rsidRDefault="006C577F" w:rsidP="004A4E41">
      <w:pPr>
        <w:pStyle w:val="libFootnote0"/>
        <w:rPr>
          <w:rtl/>
          <w:lang w:bidi="fa-IR"/>
        </w:rPr>
      </w:pPr>
      <w:r>
        <w:rPr>
          <w:rtl/>
        </w:rPr>
        <w:t>(9).</w:t>
      </w:r>
      <w:r w:rsidR="008A74EB" w:rsidRPr="00C9040A">
        <w:rPr>
          <w:rtl/>
        </w:rPr>
        <w:t xml:space="preserve"> في « ص » : « صدق الله بعهده » وفي </w:t>
      </w:r>
      <w:r w:rsidR="008A74EB" w:rsidRPr="00993B55">
        <w:rPr>
          <w:rStyle w:val="libFootnoteBoldChar"/>
          <w:rtl/>
        </w:rPr>
        <w:t>مرآة العقول</w:t>
      </w:r>
      <w:r w:rsidR="008A74EB" w:rsidRPr="00C9040A">
        <w:rPr>
          <w:rtl/>
        </w:rPr>
        <w:t xml:space="preserve"> ، ج 9 ، ص 304 : « قيل : الباء بمعنى في ، أي‌في عهد الله. فقوله : صدق ، كنصر بالتخفيف</w:t>
      </w:r>
      <w:r w:rsidR="008A74EB">
        <w:rPr>
          <w:rtl/>
        </w:rPr>
        <w:t xml:space="preserve"> ..</w:t>
      </w:r>
      <w:r w:rsidR="008A74EB" w:rsidRPr="00C9040A">
        <w:rPr>
          <w:rtl/>
        </w:rPr>
        <w:t>. ويمكن أن يقرأ : صدّق ، بالتشديد ، بياناً لحاصل معنى الآية ، أي‌صدّقوا بعهد الله وماوعدهم من الثواب وما اشترط في الثواب من الإيمان والعمل الصالح. والأوّل أظهر »</w:t>
      </w:r>
      <w:r w:rsidR="008A74EB">
        <w:rPr>
          <w:rtl/>
        </w:rPr>
        <w:t>.</w:t>
      </w:r>
    </w:p>
    <w:tbl>
      <w:tblPr>
        <w:tblStyle w:val="TableGrid"/>
        <w:bidiVisual/>
        <w:tblW w:w="0" w:type="auto"/>
        <w:tblLook w:val="04A0" w:firstRow="1" w:lastRow="0" w:firstColumn="1" w:lastColumn="0" w:noHBand="0" w:noVBand="1"/>
      </w:tblPr>
      <w:tblGrid>
        <w:gridCol w:w="4006"/>
        <w:gridCol w:w="4006"/>
      </w:tblGrid>
      <w:tr w:rsidR="006D2D04" w:rsidTr="006D2D04">
        <w:tc>
          <w:tcPr>
            <w:tcW w:w="4006" w:type="dxa"/>
          </w:tcPr>
          <w:p w:rsidR="006D2D04" w:rsidRDefault="006D2D04" w:rsidP="004A4E41">
            <w:pPr>
              <w:pStyle w:val="libFootnote0"/>
              <w:rPr>
                <w:rtl/>
              </w:rPr>
            </w:pPr>
            <w:r>
              <w:rPr>
                <w:rtl/>
              </w:rPr>
              <w:t>(10).</w:t>
            </w:r>
            <w:r w:rsidRPr="00C9040A">
              <w:rPr>
                <w:rtl/>
              </w:rPr>
              <w:t xml:space="preserve"> الأحزاب (33) : 23.</w:t>
            </w:r>
          </w:p>
        </w:tc>
        <w:tc>
          <w:tcPr>
            <w:tcW w:w="4006" w:type="dxa"/>
          </w:tcPr>
          <w:p w:rsidR="006D2D04" w:rsidRDefault="006D2D04" w:rsidP="004A4E41">
            <w:pPr>
              <w:pStyle w:val="libFootnote0"/>
              <w:rPr>
                <w:rtl/>
              </w:rPr>
            </w:pPr>
            <w:r>
              <w:rPr>
                <w:rtl/>
              </w:rPr>
              <w:t>(11).</w:t>
            </w:r>
            <w:r w:rsidRPr="00C9040A">
              <w:rPr>
                <w:rtl/>
              </w:rPr>
              <w:t xml:space="preserve"> في « ض ، </w:t>
            </w:r>
            <w:r>
              <w:rPr>
                <w:rtl/>
              </w:rPr>
              <w:t xml:space="preserve">ه </w:t>
            </w:r>
            <w:r w:rsidRPr="00C9040A">
              <w:rPr>
                <w:rtl/>
              </w:rPr>
              <w:t xml:space="preserve">» </w:t>
            </w:r>
            <w:r>
              <w:rPr>
                <w:rtl/>
              </w:rPr>
              <w:t>: -</w:t>
            </w:r>
            <w:r w:rsidRPr="00C9040A">
              <w:rPr>
                <w:rtl/>
              </w:rPr>
              <w:t xml:space="preserve"> « الذي »</w:t>
            </w:r>
            <w:r>
              <w:rPr>
                <w:rtl/>
              </w:rPr>
              <w:t>.</w:t>
            </w:r>
          </w:p>
        </w:tc>
      </w:tr>
    </w:tbl>
    <w:p w:rsidR="008A74EB" w:rsidRPr="00C9040A" w:rsidRDefault="006C577F" w:rsidP="004A4E41">
      <w:pPr>
        <w:pStyle w:val="libFootnote0"/>
        <w:rPr>
          <w:rtl/>
          <w:lang w:bidi="fa-IR"/>
        </w:rPr>
      </w:pPr>
      <w:r>
        <w:rPr>
          <w:rtl/>
        </w:rPr>
        <w:t>(12).</w:t>
      </w:r>
      <w:r w:rsidR="008A74EB" w:rsidRPr="00C9040A">
        <w:rPr>
          <w:rtl/>
        </w:rPr>
        <w:t xml:space="preserve"> في « ب ، ج ، د ، ز ، ض ، ف ، </w:t>
      </w:r>
      <w:r w:rsidR="006D3162">
        <w:rPr>
          <w:rtl/>
        </w:rPr>
        <w:t xml:space="preserve">ه </w:t>
      </w:r>
      <w:r w:rsidR="008A74EB" w:rsidRPr="00C9040A">
        <w:rPr>
          <w:rtl/>
        </w:rPr>
        <w:t>، بر ، بس » والوافي : « لا يصيبه »</w:t>
      </w:r>
      <w:r w:rsidR="008A74EB">
        <w:rPr>
          <w:rtl/>
        </w:rPr>
        <w:t>.</w:t>
      </w:r>
    </w:p>
    <w:p w:rsidR="008A74EB" w:rsidRPr="00C9040A" w:rsidRDefault="008A74EB" w:rsidP="004A4E41">
      <w:pPr>
        <w:pStyle w:val="libFootnote0"/>
        <w:rPr>
          <w:rtl/>
          <w:lang w:bidi="fa-IR"/>
        </w:rPr>
      </w:pPr>
      <w:r>
        <w:rPr>
          <w:rtl/>
        </w:rPr>
        <w:t>(13)</w:t>
      </w:r>
      <w:r w:rsidRPr="00C9040A">
        <w:rPr>
          <w:rtl/>
        </w:rPr>
        <w:t xml:space="preserve"> في « ب ، ف » : « يشفّع » بالتشديد.</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كَخَامَةِ </w:t>
      </w:r>
      <w:r w:rsidR="006C577F" w:rsidRPr="006C577F">
        <w:rPr>
          <w:rStyle w:val="libFootnotenumChar"/>
          <w:rtl/>
        </w:rPr>
        <w:t>(1)</w:t>
      </w:r>
      <w:r w:rsidRPr="00C9040A">
        <w:rPr>
          <w:rtl/>
          <w:lang w:bidi="fa-IR"/>
        </w:rPr>
        <w:t xml:space="preserve"> الزَّرْعِ تَعْوَجُّ </w:t>
      </w:r>
      <w:r w:rsidR="006C577F" w:rsidRPr="006C577F">
        <w:rPr>
          <w:rStyle w:val="libFootnotenumChar"/>
          <w:rtl/>
        </w:rPr>
        <w:t>(2)</w:t>
      </w:r>
      <w:r w:rsidRPr="00C9040A">
        <w:rPr>
          <w:rtl/>
          <w:lang w:bidi="fa-IR"/>
        </w:rPr>
        <w:t xml:space="preserve"> أَحْيَاناً ، وَتَقُومُ </w:t>
      </w:r>
      <w:r w:rsidR="006C577F" w:rsidRPr="006C577F">
        <w:rPr>
          <w:rStyle w:val="libFootnotenumChar"/>
          <w:rtl/>
        </w:rPr>
        <w:t>(3)</w:t>
      </w:r>
      <w:r w:rsidRPr="00C9040A">
        <w:rPr>
          <w:rtl/>
          <w:lang w:bidi="fa-IR"/>
        </w:rPr>
        <w:t xml:space="preserve"> أَحْيَاناً ، فَذلِكَ </w:t>
      </w:r>
      <w:r w:rsidR="006C577F" w:rsidRPr="006C577F">
        <w:rPr>
          <w:rStyle w:val="libFootnotenumChar"/>
          <w:rtl/>
        </w:rPr>
        <w:t>(4)</w:t>
      </w:r>
      <w:r w:rsidRPr="00C9040A">
        <w:rPr>
          <w:rtl/>
          <w:lang w:bidi="fa-IR"/>
        </w:rPr>
        <w:t xml:space="preserve"> مِمَّنْ تُصِيبُهُ </w:t>
      </w:r>
      <w:r w:rsidR="006C577F" w:rsidRPr="006C577F">
        <w:rPr>
          <w:rStyle w:val="libFootnotenumChar"/>
          <w:rtl/>
        </w:rPr>
        <w:t>(5)</w:t>
      </w:r>
      <w:r w:rsidRPr="00C9040A">
        <w:rPr>
          <w:rtl/>
          <w:lang w:bidi="fa-IR"/>
        </w:rPr>
        <w:t xml:space="preserve"> أَهْوَالُ الدُّنْيَا وَأَهْوَالُ الْآخِرَةِ ، وَذلِكَ مِمَّنْ يُشْفَعُ لَهُ وَلَا يَشْفَعُ </w:t>
      </w:r>
      <w:r w:rsidR="006C577F" w:rsidRPr="006C577F">
        <w:rPr>
          <w:rStyle w:val="libFootnotenumChar"/>
          <w:rtl/>
        </w:rPr>
        <w:t>(6)</w:t>
      </w:r>
      <w:r w:rsidRPr="00C9040A">
        <w:rPr>
          <w:rtl/>
          <w:lang w:bidi="fa-IR"/>
        </w:rPr>
        <w:t>»</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7A2CA5">
        <w:rPr>
          <w:rtl/>
        </w:rPr>
        <w:t>2337</w:t>
      </w:r>
      <w:r w:rsidRPr="00261CB0">
        <w:rPr>
          <w:rStyle w:val="libBold2Char"/>
          <w:rtl/>
        </w:rPr>
        <w:t xml:space="preserve"> / 2.</w:t>
      </w:r>
      <w:r w:rsidRPr="00C9040A">
        <w:rPr>
          <w:rtl/>
          <w:lang w:bidi="fa-IR"/>
        </w:rPr>
        <w:t xml:space="preserve"> عِدَّةٌ مِنْ أَصْحَابِنَا ، عَنْ سَهْلِ بْنِ زِيَادٍ ، عَنْ مُحَمَّدِ بْنِ عَبْدِ اللهِ ، عَنْ خَالِدٍ الْعَمِّيِّ </w:t>
      </w:r>
      <w:r w:rsidR="006C577F" w:rsidRPr="006C577F">
        <w:rPr>
          <w:rStyle w:val="libFootnotenumChar"/>
          <w:rtl/>
        </w:rPr>
        <w:t>(8)</w:t>
      </w:r>
      <w:r w:rsidRPr="00C9040A">
        <w:rPr>
          <w:rtl/>
          <w:lang w:bidi="fa-IR"/>
        </w:rPr>
        <w:t xml:space="preserve"> ، عَنْ خَضِرِ بْنِ عَمْرٍو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سَمِعْتُهُ يَقُولُ : « الْمُؤْمِنُ مُؤْمِنَانِ : مُؤْمِنٌ وَفى لِلّهِ </w:t>
      </w:r>
      <w:r w:rsidR="006C577F" w:rsidRPr="006C577F">
        <w:rPr>
          <w:rStyle w:val="libFootnotenumChar"/>
          <w:rtl/>
        </w:rPr>
        <w:t>(9)</w:t>
      </w:r>
      <w:r w:rsidRPr="00C9040A">
        <w:rPr>
          <w:rtl/>
          <w:lang w:bidi="fa-IR"/>
        </w:rPr>
        <w:t xml:space="preserve"> بشُرُوطِهِ الَّتِي اشْتَرَطَهَا </w:t>
      </w:r>
      <w:r w:rsidR="006C577F" w:rsidRPr="006C577F">
        <w:rPr>
          <w:rStyle w:val="libFootnotenumChar"/>
          <w:rtl/>
        </w:rPr>
        <w:t>(10)</w:t>
      </w:r>
      <w:r w:rsidRPr="00C9040A">
        <w:rPr>
          <w:rtl/>
          <w:lang w:bidi="fa-IR"/>
        </w:rPr>
        <w:t xml:space="preserve"> عَلَيْهِ ، فَذلِكَ </w:t>
      </w:r>
      <w:r w:rsidR="006C577F" w:rsidRPr="006C577F">
        <w:rPr>
          <w:rStyle w:val="libFootnotenumChar"/>
          <w:rtl/>
        </w:rPr>
        <w:t>(11)</w:t>
      </w:r>
      <w:r w:rsidRPr="00C9040A">
        <w:rPr>
          <w:rtl/>
          <w:lang w:bidi="fa-IR"/>
        </w:rPr>
        <w:t xml:space="preserve"> مَعَ النَّبِيِّينَ وَالصِّدِّيقِينَ وَالشُّهَدَاءِ وَالصَّالِحِينَ ، وَحَسُنَ أُولئِكَ رَفِيقاً ، وَذلِكَ </w:t>
      </w:r>
      <w:r w:rsidR="006C577F" w:rsidRPr="006C577F">
        <w:rPr>
          <w:rStyle w:val="libFootnotenumChar"/>
          <w:rtl/>
        </w:rPr>
        <w:t>(12)</w:t>
      </w:r>
      <w:r w:rsidRPr="00C9040A">
        <w:rPr>
          <w:rtl/>
          <w:lang w:bidi="fa-IR"/>
        </w:rPr>
        <w:t xml:space="preserve"> مِمَّنْ </w:t>
      </w:r>
      <w:r w:rsidRPr="005B567D">
        <w:rPr>
          <w:rStyle w:val="libFootnotenumChar"/>
          <w:rtl/>
        </w:rPr>
        <w:t>(13)</w:t>
      </w:r>
      <w:r w:rsidRPr="00C9040A">
        <w:rPr>
          <w:rtl/>
          <w:lang w:bidi="fa-IR"/>
        </w:rPr>
        <w:t xml:space="preserve"> يَشْفَعُ وَلَا يُشْفَعُ لَهُ ، وَذلِكَ مِمَّنْ لَاتُصِيبُهُ </w:t>
      </w:r>
      <w:r w:rsidRPr="005B567D">
        <w:rPr>
          <w:rStyle w:val="libFootnotenumChar"/>
          <w:rtl/>
        </w:rPr>
        <w:t>(14)</w:t>
      </w:r>
      <w:r w:rsidRPr="00C9040A">
        <w:rPr>
          <w:rtl/>
          <w:lang w:bidi="fa-IR"/>
        </w:rPr>
        <w:t xml:space="preserve"> أَهْوَالُ الدُّنْيَا ، وَلَا أَهْوَالُ الْآخِرَةِ ؛ وَمُؤْمِنٌ زَلَّتْ بِهِ قَدَمٌ ، فَذلِكَ كَخَامَةِ الزَّرْعِ ، كَيْفَمَا كَفَأَتْهُ </w:t>
      </w:r>
      <w:r w:rsidRPr="005B567D">
        <w:rPr>
          <w:rStyle w:val="libFootnotenumChar"/>
          <w:rtl/>
        </w:rPr>
        <w:t>(15)</w:t>
      </w:r>
      <w:r w:rsidRPr="00C9040A">
        <w:rPr>
          <w:rtl/>
          <w:lang w:bidi="fa-IR"/>
        </w:rPr>
        <w:t xml:space="preserve"> الرِّيحُ انْكَفَأَ ، وَذلِكَ مِمَّنْ </w:t>
      </w:r>
      <w:r w:rsidRPr="005B567D">
        <w:rPr>
          <w:rStyle w:val="libFootnotenumChar"/>
          <w:rtl/>
        </w:rPr>
        <w:t>(16)</w:t>
      </w:r>
      <w:r w:rsidRPr="00C9040A">
        <w:rPr>
          <w:rtl/>
          <w:lang w:bidi="fa-IR"/>
        </w:rPr>
        <w:t xml:space="preserve"> تُصِيبُهُ </w:t>
      </w:r>
      <w:r w:rsidRPr="005B567D">
        <w:rPr>
          <w:rStyle w:val="libFootnotenumChar"/>
          <w:rtl/>
        </w:rPr>
        <w:t>(17)</w:t>
      </w:r>
      <w:r w:rsidRPr="00C9040A">
        <w:rPr>
          <w:rtl/>
          <w:lang w:bidi="fa-IR"/>
        </w:rPr>
        <w:t xml:space="preserve"> أَهْوَالُ الدُّنْيَا وَ</w:t>
      </w:r>
      <w:r>
        <w:rPr>
          <w:rFonts w:hint="cs"/>
          <w:rtl/>
          <w:lang w:bidi="fa-IR"/>
        </w:rPr>
        <w:t xml:space="preserve"> </w:t>
      </w:r>
      <w:r w:rsidRPr="005B567D">
        <w:rPr>
          <w:rStyle w:val="libFootnotenumChar"/>
          <w:rtl/>
        </w:rPr>
        <w:t>(18)</w:t>
      </w:r>
      <w:r w:rsidRPr="00C9040A">
        <w:rPr>
          <w:rtl/>
          <w:lang w:bidi="fa-IR"/>
        </w:rPr>
        <w:t xml:space="preserve"> الْآخِرَةِ ، وَيُشْفَعُ لَهُ وَهُوَ عَلى خَيْرٍ »</w:t>
      </w:r>
      <w:r>
        <w:rPr>
          <w:rtl/>
          <w:lang w:bidi="fa-IR"/>
        </w:rPr>
        <w:t>.</w:t>
      </w:r>
      <w:r w:rsidRPr="00C9040A">
        <w:rPr>
          <w:rtl/>
          <w:lang w:bidi="fa-IR"/>
        </w:rPr>
        <w:t xml:space="preserve"> </w:t>
      </w:r>
      <w:r w:rsidRPr="005B567D">
        <w:rPr>
          <w:rStyle w:val="libFootnotenumChar"/>
          <w:rtl/>
        </w:rPr>
        <w:t>(19)</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 الخامة » : الطاقة الغَضّة اللَّيّنَةُ من الزرع ، وأوّل ما نبت على ساق. راجع : </w:t>
      </w:r>
      <w:r w:rsidR="008A74EB" w:rsidRPr="00993B55">
        <w:rPr>
          <w:rStyle w:val="libFootnoteBoldChar"/>
          <w:rtl/>
        </w:rPr>
        <w:t>النهاية</w:t>
      </w:r>
      <w:r w:rsidR="006D2D04">
        <w:rPr>
          <w:rtl/>
        </w:rPr>
        <w:t xml:space="preserve"> ، ج 2 ، ص 89 (خوم</w:t>
      </w:r>
      <w:r w:rsidR="008A74EB" w:rsidRPr="00C9040A">
        <w:rPr>
          <w:rtl/>
        </w:rPr>
        <w:t>)</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ز ، </w:t>
      </w:r>
      <w:r w:rsidR="006D3162">
        <w:rPr>
          <w:rtl/>
        </w:rPr>
        <w:t xml:space="preserve">ه </w:t>
      </w:r>
      <w:r w:rsidR="008A74EB" w:rsidRPr="00C9040A">
        <w:rPr>
          <w:rtl/>
        </w:rPr>
        <w:t>» وشرح المازندراني والوافي ومرآة العقول : « يعوّج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ز ، </w:t>
      </w:r>
      <w:r w:rsidR="006D3162">
        <w:rPr>
          <w:rtl/>
        </w:rPr>
        <w:t xml:space="preserve">ه </w:t>
      </w:r>
      <w:r w:rsidR="008A74EB" w:rsidRPr="00C9040A">
        <w:rPr>
          <w:rtl/>
        </w:rPr>
        <w:t>» وشرح المازندراني والوافي ومرآة العقول على ما يظهر منه : « ويقوم »</w:t>
      </w:r>
      <w:r w:rsidR="008A74EB">
        <w:rPr>
          <w:rtl/>
        </w:rPr>
        <w:t>.</w:t>
      </w:r>
    </w:p>
    <w:tbl>
      <w:tblPr>
        <w:tblStyle w:val="TableGrid"/>
        <w:bidiVisual/>
        <w:tblW w:w="0" w:type="auto"/>
        <w:tblLook w:val="04A0" w:firstRow="1" w:lastRow="0" w:firstColumn="1" w:lastColumn="0" w:noHBand="0" w:noVBand="1"/>
      </w:tblPr>
      <w:tblGrid>
        <w:gridCol w:w="4006"/>
        <w:gridCol w:w="4006"/>
      </w:tblGrid>
      <w:tr w:rsidR="006D2D04" w:rsidTr="006D2D04">
        <w:tc>
          <w:tcPr>
            <w:tcW w:w="4006" w:type="dxa"/>
          </w:tcPr>
          <w:p w:rsidR="006D2D04" w:rsidRDefault="006D2D04" w:rsidP="004A4E41">
            <w:pPr>
              <w:pStyle w:val="libFootnote0"/>
              <w:rPr>
                <w:rtl/>
              </w:rPr>
            </w:pPr>
            <w:r>
              <w:rPr>
                <w:rtl/>
              </w:rPr>
              <w:t>(4).</w:t>
            </w:r>
            <w:r w:rsidRPr="00C9040A">
              <w:rPr>
                <w:rtl/>
              </w:rPr>
              <w:t xml:space="preserve"> في « ب » : « وذلك »</w:t>
            </w:r>
            <w:r>
              <w:rPr>
                <w:rtl/>
              </w:rPr>
              <w:t>.</w:t>
            </w:r>
          </w:p>
        </w:tc>
        <w:tc>
          <w:tcPr>
            <w:tcW w:w="4006" w:type="dxa"/>
          </w:tcPr>
          <w:p w:rsidR="006D2D04" w:rsidRDefault="006D2D04" w:rsidP="004A4E41">
            <w:pPr>
              <w:pStyle w:val="libFootnote0"/>
              <w:rPr>
                <w:rtl/>
              </w:rPr>
            </w:pPr>
            <w:r>
              <w:rPr>
                <w:rtl/>
              </w:rPr>
              <w:t>(5). في«د،ز،ص،ض،ف،ه</w:t>
            </w:r>
            <w:r w:rsidRPr="00C9040A">
              <w:rPr>
                <w:rtl/>
              </w:rPr>
              <w:t>، بف » : « يصيبه »</w:t>
            </w:r>
            <w:r>
              <w:rPr>
                <w:rtl/>
              </w:rPr>
              <w:t>.</w:t>
            </w:r>
          </w:p>
        </w:tc>
      </w:tr>
    </w:tbl>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د » : « ولا يشفّع » بالتشديد.</w:t>
      </w:r>
    </w:p>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الوافي</w:t>
      </w:r>
      <w:r w:rsidR="008A74EB" w:rsidRPr="00C9040A">
        <w:rPr>
          <w:rtl/>
        </w:rPr>
        <w:t xml:space="preserve"> ، ج 5 ، ص 753 ، ح 2976 ؛ البحار ، ج 67 ، ص 189 ، ح 1.</w:t>
      </w:r>
    </w:p>
    <w:tbl>
      <w:tblPr>
        <w:tblStyle w:val="TableGrid"/>
        <w:bidiVisual/>
        <w:tblW w:w="0" w:type="auto"/>
        <w:tblLook w:val="04A0" w:firstRow="1" w:lastRow="0" w:firstColumn="1" w:lastColumn="0" w:noHBand="0" w:noVBand="1"/>
      </w:tblPr>
      <w:tblGrid>
        <w:gridCol w:w="4006"/>
        <w:gridCol w:w="4006"/>
      </w:tblGrid>
      <w:tr w:rsidR="00C23985" w:rsidTr="00C23985">
        <w:tc>
          <w:tcPr>
            <w:tcW w:w="4006" w:type="dxa"/>
          </w:tcPr>
          <w:p w:rsidR="00C23985" w:rsidRDefault="00C23985" w:rsidP="004A4E41">
            <w:pPr>
              <w:pStyle w:val="libFootnote0"/>
              <w:rPr>
                <w:rtl/>
              </w:rPr>
            </w:pPr>
            <w:r>
              <w:rPr>
                <w:rtl/>
              </w:rPr>
              <w:t>(8). في «ج،ه،بر،</w:t>
            </w:r>
            <w:r w:rsidRPr="00C9040A">
              <w:rPr>
                <w:rtl/>
              </w:rPr>
              <w:t>بف ، جر » والبحار : « القمّي »</w:t>
            </w:r>
            <w:r>
              <w:rPr>
                <w:rtl/>
              </w:rPr>
              <w:t>.</w:t>
            </w:r>
          </w:p>
        </w:tc>
        <w:tc>
          <w:tcPr>
            <w:tcW w:w="4006" w:type="dxa"/>
          </w:tcPr>
          <w:p w:rsidR="00C23985" w:rsidRDefault="00C23985" w:rsidP="004A4E41">
            <w:pPr>
              <w:pStyle w:val="libFootnote0"/>
              <w:rPr>
                <w:rtl/>
              </w:rPr>
            </w:pPr>
            <w:r>
              <w:rPr>
                <w:rtl/>
              </w:rPr>
              <w:t>(9).</w:t>
            </w:r>
            <w:r w:rsidRPr="00C9040A">
              <w:rPr>
                <w:rtl/>
              </w:rPr>
              <w:t xml:space="preserve"> في « ز ، ص » : « الله » بدون اللام.</w:t>
            </w:r>
          </w:p>
        </w:tc>
      </w:tr>
    </w:tbl>
    <w:p w:rsidR="008A74EB" w:rsidRPr="00C9040A" w:rsidRDefault="006C577F" w:rsidP="004A4E41">
      <w:pPr>
        <w:pStyle w:val="libFootnote0"/>
        <w:rPr>
          <w:rtl/>
          <w:lang w:bidi="fa-IR"/>
        </w:rPr>
      </w:pPr>
      <w:r>
        <w:rPr>
          <w:rtl/>
        </w:rPr>
        <w:t>(10).</w:t>
      </w:r>
      <w:r w:rsidR="008A74EB" w:rsidRPr="00C9040A">
        <w:rPr>
          <w:rtl/>
        </w:rPr>
        <w:t xml:space="preserve"> هكذا في « ب ، د ، ص ، ض ، </w:t>
      </w:r>
      <w:r w:rsidR="006D3162">
        <w:rPr>
          <w:rtl/>
        </w:rPr>
        <w:t xml:space="preserve">ه </w:t>
      </w:r>
      <w:r w:rsidR="008A74EB" w:rsidRPr="00C9040A">
        <w:rPr>
          <w:rtl/>
        </w:rPr>
        <w:t>، بر ، بس ، بف » والوافي والبحار. وفي سائر النسخ والمطبوع : « شرطها »</w:t>
      </w:r>
      <w:r w:rsidR="008A74EB">
        <w:rPr>
          <w:rtl/>
        </w:rPr>
        <w:t>.</w:t>
      </w:r>
    </w:p>
    <w:tbl>
      <w:tblPr>
        <w:tblStyle w:val="TableGrid"/>
        <w:bidiVisual/>
        <w:tblW w:w="0" w:type="auto"/>
        <w:tblLook w:val="04A0" w:firstRow="1" w:lastRow="0" w:firstColumn="1" w:lastColumn="0" w:noHBand="0" w:noVBand="1"/>
      </w:tblPr>
      <w:tblGrid>
        <w:gridCol w:w="4006"/>
        <w:gridCol w:w="4006"/>
      </w:tblGrid>
      <w:tr w:rsidR="0091581F" w:rsidTr="0091581F">
        <w:tc>
          <w:tcPr>
            <w:tcW w:w="4006" w:type="dxa"/>
          </w:tcPr>
          <w:p w:rsidR="0091581F" w:rsidRDefault="0091581F" w:rsidP="004A4E41">
            <w:pPr>
              <w:pStyle w:val="libFootnote0"/>
              <w:rPr>
                <w:rtl/>
                <w:lang w:bidi="fa-IR"/>
              </w:rPr>
            </w:pPr>
            <w:r>
              <w:rPr>
                <w:rtl/>
              </w:rPr>
              <w:t>(11).</w:t>
            </w:r>
            <w:r w:rsidRPr="00C9040A">
              <w:rPr>
                <w:rtl/>
              </w:rPr>
              <w:t xml:space="preserve"> في « ض » : « فلذلك »</w:t>
            </w:r>
            <w:r>
              <w:rPr>
                <w:rtl/>
              </w:rPr>
              <w:t>.</w:t>
            </w:r>
          </w:p>
        </w:tc>
        <w:tc>
          <w:tcPr>
            <w:tcW w:w="4006" w:type="dxa"/>
          </w:tcPr>
          <w:p w:rsidR="0091581F" w:rsidRDefault="0091581F" w:rsidP="004A4E41">
            <w:pPr>
              <w:pStyle w:val="libFootnote0"/>
              <w:rPr>
                <w:rtl/>
                <w:lang w:bidi="fa-IR"/>
              </w:rPr>
            </w:pPr>
            <w:r>
              <w:rPr>
                <w:rtl/>
              </w:rPr>
              <w:t>(12).</w:t>
            </w:r>
            <w:r w:rsidRPr="00C9040A">
              <w:rPr>
                <w:rtl/>
              </w:rPr>
              <w:t xml:space="preserve"> في « </w:t>
            </w:r>
            <w:r>
              <w:rPr>
                <w:rtl/>
              </w:rPr>
              <w:t xml:space="preserve">ه </w:t>
            </w:r>
            <w:r w:rsidRPr="00C9040A">
              <w:rPr>
                <w:rtl/>
              </w:rPr>
              <w:t>» : « فذلك »</w:t>
            </w:r>
            <w:r>
              <w:rPr>
                <w:rtl/>
              </w:rPr>
              <w:t>.</w:t>
            </w:r>
          </w:p>
        </w:tc>
      </w:tr>
    </w:tbl>
    <w:p w:rsidR="008A74EB" w:rsidRPr="00C9040A" w:rsidRDefault="008A74EB" w:rsidP="004A4E41">
      <w:pPr>
        <w:pStyle w:val="libFootnote0"/>
        <w:rPr>
          <w:rtl/>
          <w:lang w:bidi="fa-IR"/>
        </w:rPr>
      </w:pPr>
      <w:r>
        <w:rPr>
          <w:rtl/>
        </w:rPr>
        <w:t>(13)</w:t>
      </w:r>
      <w:r w:rsidRPr="00C9040A">
        <w:rPr>
          <w:rtl/>
        </w:rPr>
        <w:t xml:space="preserve"> هكذا في « ب ، ز ، ص ، ض ، بر ، بس ، بف » والوافي والبحار. وفي سائر النسخ والمطبوع : « من »</w:t>
      </w:r>
      <w:r>
        <w:rPr>
          <w:rtl/>
        </w:rPr>
        <w:t>.</w:t>
      </w:r>
    </w:p>
    <w:p w:rsidR="008A74EB" w:rsidRPr="00C9040A" w:rsidRDefault="008A74EB" w:rsidP="004A4E41">
      <w:pPr>
        <w:pStyle w:val="libFootnote0"/>
        <w:rPr>
          <w:rtl/>
          <w:lang w:bidi="fa-IR"/>
        </w:rPr>
      </w:pPr>
      <w:r>
        <w:rPr>
          <w:rtl/>
        </w:rPr>
        <w:t>(14)</w:t>
      </w:r>
      <w:r w:rsidRPr="00C9040A">
        <w:rPr>
          <w:rtl/>
        </w:rPr>
        <w:t xml:space="preserve"> في « ج ، ز ، ض ، </w:t>
      </w:r>
      <w:r w:rsidR="006D3162">
        <w:rPr>
          <w:rtl/>
        </w:rPr>
        <w:t xml:space="preserve">ه </w:t>
      </w:r>
      <w:r w:rsidRPr="00C9040A">
        <w:rPr>
          <w:rtl/>
        </w:rPr>
        <w:t>، بر ، بف » والبحار : « لا يصيبه »</w:t>
      </w:r>
      <w:r>
        <w:rPr>
          <w:rtl/>
        </w:rPr>
        <w:t>.</w:t>
      </w:r>
    </w:p>
    <w:p w:rsidR="008A74EB" w:rsidRPr="00C9040A" w:rsidRDefault="008A74EB" w:rsidP="004A4E41">
      <w:pPr>
        <w:pStyle w:val="libFootnote0"/>
        <w:rPr>
          <w:rtl/>
          <w:lang w:bidi="fa-IR"/>
        </w:rPr>
      </w:pPr>
      <w:r>
        <w:rPr>
          <w:rtl/>
        </w:rPr>
        <w:t>(15)</w:t>
      </w:r>
      <w:r w:rsidRPr="00C9040A">
        <w:rPr>
          <w:rtl/>
        </w:rPr>
        <w:t xml:space="preserve"> في « ب » : « كفاه »</w:t>
      </w:r>
      <w:r>
        <w:rPr>
          <w:rtl/>
        </w:rPr>
        <w:t>.</w:t>
      </w:r>
      <w:r w:rsidRPr="00C9040A">
        <w:rPr>
          <w:rtl/>
        </w:rPr>
        <w:t xml:space="preserve"> وفي حاشية « ب ، ص » والبحار : « كفته »</w:t>
      </w:r>
      <w:r>
        <w:rPr>
          <w:rtl/>
        </w:rPr>
        <w:t>.</w:t>
      </w:r>
      <w:r w:rsidRPr="00C9040A">
        <w:rPr>
          <w:rtl/>
        </w:rPr>
        <w:t xml:space="preserve"> وكَفَأَه : قَلَبَه. </w:t>
      </w:r>
      <w:r w:rsidRPr="00993B55">
        <w:rPr>
          <w:rStyle w:val="libFootnoteBoldChar"/>
          <w:rtl/>
        </w:rPr>
        <w:t>لسان العرب</w:t>
      </w:r>
      <w:r w:rsidRPr="00C9040A">
        <w:rPr>
          <w:rtl/>
        </w:rPr>
        <w:t xml:space="preserve"> ، ج 1 ، ص 140 ( كفأ )</w:t>
      </w:r>
      <w:r>
        <w:rPr>
          <w:rtl/>
        </w:rPr>
        <w:t>.</w:t>
      </w:r>
    </w:p>
    <w:tbl>
      <w:tblPr>
        <w:tblStyle w:val="TableGrid"/>
        <w:bidiVisual/>
        <w:tblW w:w="0" w:type="auto"/>
        <w:tblLook w:val="04A0" w:firstRow="1" w:lastRow="0" w:firstColumn="1" w:lastColumn="0" w:noHBand="0" w:noVBand="1"/>
      </w:tblPr>
      <w:tblGrid>
        <w:gridCol w:w="4006"/>
        <w:gridCol w:w="4006"/>
      </w:tblGrid>
      <w:tr w:rsidR="00D6224B" w:rsidTr="00D6224B">
        <w:tc>
          <w:tcPr>
            <w:tcW w:w="4006" w:type="dxa"/>
          </w:tcPr>
          <w:p w:rsidR="00D6224B" w:rsidRDefault="00D6224B" w:rsidP="004A4E41">
            <w:pPr>
              <w:pStyle w:val="libFootnote0"/>
              <w:rPr>
                <w:rtl/>
              </w:rPr>
            </w:pPr>
            <w:r>
              <w:rPr>
                <w:rtl/>
              </w:rPr>
              <w:t>(16)</w:t>
            </w:r>
            <w:r w:rsidRPr="00C9040A">
              <w:rPr>
                <w:rtl/>
              </w:rPr>
              <w:t xml:space="preserve"> في البحار : « من »</w:t>
            </w:r>
            <w:r>
              <w:rPr>
                <w:rtl/>
              </w:rPr>
              <w:t>.</w:t>
            </w:r>
          </w:p>
        </w:tc>
        <w:tc>
          <w:tcPr>
            <w:tcW w:w="4006" w:type="dxa"/>
          </w:tcPr>
          <w:p w:rsidR="00D6224B" w:rsidRDefault="00D6224B" w:rsidP="004A4E41">
            <w:pPr>
              <w:pStyle w:val="libFootnote0"/>
              <w:rPr>
                <w:rtl/>
              </w:rPr>
            </w:pPr>
            <w:r>
              <w:rPr>
                <w:rtl/>
              </w:rPr>
              <w:t>(17)</w:t>
            </w:r>
            <w:r w:rsidRPr="00C9040A">
              <w:rPr>
                <w:rtl/>
              </w:rPr>
              <w:t xml:space="preserve"> في « </w:t>
            </w:r>
            <w:r>
              <w:rPr>
                <w:rtl/>
              </w:rPr>
              <w:t xml:space="preserve">ه </w:t>
            </w:r>
            <w:r w:rsidRPr="00C9040A">
              <w:rPr>
                <w:rtl/>
              </w:rPr>
              <w:t>» : « يصيبه »</w:t>
            </w:r>
            <w:r>
              <w:rPr>
                <w:rtl/>
              </w:rPr>
              <w:t>.</w:t>
            </w:r>
          </w:p>
        </w:tc>
      </w:tr>
    </w:tbl>
    <w:p w:rsidR="008A74EB" w:rsidRPr="00C9040A" w:rsidRDefault="008A74EB" w:rsidP="004A4E41">
      <w:pPr>
        <w:pStyle w:val="libFootnote0"/>
        <w:rPr>
          <w:rtl/>
          <w:lang w:bidi="fa-IR"/>
        </w:rPr>
      </w:pPr>
      <w:r>
        <w:rPr>
          <w:rtl/>
        </w:rPr>
        <w:t>(18)</w:t>
      </w:r>
      <w:r w:rsidRPr="00C9040A">
        <w:rPr>
          <w:rtl/>
        </w:rPr>
        <w:t xml:space="preserve"> في « ب ، ج ، د ، ز ، ض ، بر » والبحار : + « أهوال »</w:t>
      </w:r>
      <w:r>
        <w:rPr>
          <w:rtl/>
        </w:rPr>
        <w:t>.</w:t>
      </w:r>
    </w:p>
    <w:p w:rsidR="008A74EB" w:rsidRPr="00C9040A" w:rsidRDefault="008A74EB" w:rsidP="004A4E41">
      <w:pPr>
        <w:pStyle w:val="libFootnote0"/>
        <w:rPr>
          <w:rtl/>
          <w:lang w:bidi="fa-IR"/>
        </w:rPr>
      </w:pPr>
      <w:r>
        <w:rPr>
          <w:rtl/>
        </w:rPr>
        <w:t>(19)</w:t>
      </w:r>
      <w:r w:rsidRPr="00C9040A">
        <w:rPr>
          <w:rtl/>
        </w:rPr>
        <w:t xml:space="preserve"> </w:t>
      </w:r>
      <w:r w:rsidRPr="00993B55">
        <w:rPr>
          <w:rStyle w:val="libFootnoteBoldChar"/>
          <w:rtl/>
        </w:rPr>
        <w:t>الوافي</w:t>
      </w:r>
      <w:r w:rsidRPr="00C9040A">
        <w:rPr>
          <w:rtl/>
        </w:rPr>
        <w:t xml:space="preserve"> ، ج 5 ، ص 753 ، ح 2977 ؛ </w:t>
      </w:r>
      <w:r w:rsidRPr="00993B55">
        <w:rPr>
          <w:rStyle w:val="libFootnoteBoldChar"/>
          <w:rtl/>
        </w:rPr>
        <w:t>البحار</w:t>
      </w:r>
      <w:r w:rsidRPr="00C9040A">
        <w:rPr>
          <w:rtl/>
        </w:rPr>
        <w:t xml:space="preserve"> ، ج 67 ، ص 192 ، ح 2.</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7A2CA5">
        <w:rPr>
          <w:rtl/>
        </w:rPr>
        <w:t>2338</w:t>
      </w:r>
      <w:r w:rsidRPr="00261CB0">
        <w:rPr>
          <w:rStyle w:val="libBold2Char"/>
          <w:rtl/>
        </w:rPr>
        <w:t xml:space="preserve"> / 3.</w:t>
      </w:r>
      <w:r w:rsidRPr="00C9040A">
        <w:rPr>
          <w:rtl/>
          <w:lang w:bidi="fa-IR"/>
        </w:rPr>
        <w:t xml:space="preserve"> عِدَّةٌ مِنْ أَصْحَابِنَا ، عَنْ أَحْمَدَ بْنِ مُحَمَّدِ بْنِ خَالِدٍ ، عَنْ إِسْمَاعِيلَ بْنِ مِهْرَانَ ، عَنْ يُونُسَ بْنِ يَعْقُوبَ ، عَنْ أَبِي مَرْيَمَ الْأَنْصَارِيِّ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قَامَ رَجُلٌ بِالْبَصْرَةِ إِلى أَمِيرِ الْمُؤْمِنِينَ </w:t>
      </w:r>
      <w:r w:rsidRPr="0003660B">
        <w:rPr>
          <w:rStyle w:val="libAlaemChar"/>
          <w:rtl/>
        </w:rPr>
        <w:t>عليه‌السلام</w:t>
      </w:r>
      <w:r w:rsidRPr="00C9040A">
        <w:rPr>
          <w:rtl/>
          <w:lang w:bidi="fa-IR"/>
        </w:rPr>
        <w:t xml:space="preserve"> ، فَقَالَ : يَا أَمِيرَ الْمُؤْمِنِينَ ، أَخْبِرْنَا عَنِ الْإِخْوَانِ ، فَقَالَ </w:t>
      </w:r>
      <w:r w:rsidRPr="0003660B">
        <w:rPr>
          <w:rStyle w:val="libAlaemChar"/>
          <w:rtl/>
        </w:rPr>
        <w:t>عليه‌السلام</w:t>
      </w:r>
      <w:r w:rsidRPr="00C9040A">
        <w:rPr>
          <w:rtl/>
          <w:lang w:bidi="fa-IR"/>
        </w:rPr>
        <w:t xml:space="preserve"> : الْإِخْوَانُ صِنْفَانِ : إِخْوَانُ الثِّقَةِ ، وَإِخْوَانُ الْمُكَاشَرَةِ </w:t>
      </w:r>
      <w:r w:rsidR="006C577F" w:rsidRPr="006C577F">
        <w:rPr>
          <w:rStyle w:val="libFootnotenumChar"/>
          <w:rtl/>
        </w:rPr>
        <w:t>(1)</w:t>
      </w:r>
    </w:p>
    <w:p w:rsidR="008A74EB" w:rsidRPr="00C9040A" w:rsidRDefault="008A74EB" w:rsidP="008A74EB">
      <w:pPr>
        <w:pStyle w:val="libNormal"/>
        <w:rPr>
          <w:rtl/>
          <w:lang w:bidi="fa-IR"/>
        </w:rPr>
      </w:pPr>
      <w:r w:rsidRPr="00C9040A">
        <w:rPr>
          <w:rtl/>
          <w:lang w:bidi="fa-IR"/>
        </w:rPr>
        <w:t xml:space="preserve">فَأَمَّا إِخْوَانُ الثِّقَةِ ، فَهُمُ : الْكَفُّ ، وَالْجَنَاحُ </w:t>
      </w:r>
      <w:r w:rsidR="006C577F" w:rsidRPr="006C577F">
        <w:rPr>
          <w:rStyle w:val="libFootnotenumChar"/>
          <w:rtl/>
        </w:rPr>
        <w:t>(2)</w:t>
      </w:r>
      <w:r w:rsidRPr="00C9040A">
        <w:rPr>
          <w:rtl/>
          <w:lang w:bidi="fa-IR"/>
        </w:rPr>
        <w:t xml:space="preserve"> ، وَالْأَهْلُ ، وَالْمَالُ ، فَإِذَا </w:t>
      </w:r>
      <w:r w:rsidR="006C577F" w:rsidRPr="006C577F">
        <w:rPr>
          <w:rStyle w:val="libFootnotenumChar"/>
          <w:rtl/>
        </w:rPr>
        <w:t>(3)</w:t>
      </w:r>
      <w:r w:rsidRPr="00C9040A">
        <w:rPr>
          <w:rtl/>
          <w:lang w:bidi="fa-IR"/>
        </w:rPr>
        <w:t xml:space="preserve"> كُنْتَ مِنْ أَخِيكَ عَلى حَدِّ الثِّقَةِ ، فَابْذُلْ لَهُ مَالَكَ وَبَدَنَكَ </w:t>
      </w:r>
      <w:r w:rsidR="006C577F" w:rsidRPr="006C577F">
        <w:rPr>
          <w:rStyle w:val="libFootnotenumChar"/>
          <w:rtl/>
        </w:rPr>
        <w:t>(4)</w:t>
      </w:r>
      <w:r w:rsidRPr="00C9040A">
        <w:rPr>
          <w:rtl/>
          <w:lang w:bidi="fa-IR"/>
        </w:rPr>
        <w:t xml:space="preserve"> ، وَصَافِ مَنْ صَافَاهُ ، وَعَادِ مَنْ عَادَاهُ ، وَاكْتُمْ سِرَّهُ وَعَيْبَهُ </w:t>
      </w:r>
      <w:r w:rsidR="006C577F" w:rsidRPr="006C577F">
        <w:rPr>
          <w:rStyle w:val="libFootnotenumChar"/>
          <w:rtl/>
        </w:rPr>
        <w:t>(5)</w:t>
      </w:r>
      <w:r w:rsidRPr="00C9040A">
        <w:rPr>
          <w:rtl/>
          <w:lang w:bidi="fa-IR"/>
        </w:rPr>
        <w:t xml:space="preserve"> ، وَأَظْهِرْ مِنْهُ الْحَسَنَ ، وَاعْلَمْ أَيُّهَا السَّائِلُ أَنَّهُمْ أَقَلُّ مِنَ الْكِبْرِيتِ الْأَحْمَرِ.</w:t>
      </w:r>
    </w:p>
    <w:p w:rsidR="008A74EB" w:rsidRPr="00C9040A" w:rsidRDefault="008A74EB" w:rsidP="008A74EB">
      <w:pPr>
        <w:pStyle w:val="libNormal"/>
        <w:rPr>
          <w:rtl/>
          <w:lang w:bidi="fa-IR"/>
        </w:rPr>
      </w:pPr>
      <w:r w:rsidRPr="00C9040A">
        <w:rPr>
          <w:rtl/>
          <w:lang w:bidi="fa-IR"/>
        </w:rPr>
        <w:t xml:space="preserve">وَأَمَّا إِخْوَانُ الْمُكَاشَرَةِ ، فَإِنَّكَ تُصِيبُ لَذَّتَكَ مِنْهُمْ ، فَلَا تَقْطَعَنَّ ذلِكَ مِنْهُمْ ، وَلَا تَطْلُبَنَّ مَا وَرَاءَ ذلِكَ مِنْ </w:t>
      </w:r>
      <w:r w:rsidR="006C577F" w:rsidRPr="006C577F">
        <w:rPr>
          <w:rStyle w:val="libFootnotenumChar"/>
          <w:rtl/>
        </w:rPr>
        <w:t>(6)</w:t>
      </w:r>
      <w:r w:rsidRPr="005B567D">
        <w:rPr>
          <w:rStyle w:val="libFootnotenumChar"/>
          <w:rtl/>
        </w:rPr>
        <w:t xml:space="preserve"> </w:t>
      </w:r>
      <w:r w:rsidRPr="00C9040A">
        <w:rPr>
          <w:rtl/>
          <w:lang w:bidi="fa-IR"/>
        </w:rPr>
        <w:t xml:space="preserve">ضَمِيرِهِمْ ، وَابْذُلْ لَهُمْ مَا بَذَلُوا لَكَ مِنْ </w:t>
      </w:r>
      <w:r w:rsidR="006C577F" w:rsidRPr="006C577F">
        <w:rPr>
          <w:rStyle w:val="libFootnotenumChar"/>
          <w:rtl/>
        </w:rPr>
        <w:t>(7)</w:t>
      </w:r>
      <w:r w:rsidRPr="00C9040A">
        <w:rPr>
          <w:rtl/>
          <w:lang w:bidi="fa-IR"/>
        </w:rPr>
        <w:t xml:space="preserve"> طَلَاقَةِ الْوَجْهِ وَحَلَاوَةِ اللِّسَانِ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 الكشْر » : ظهور الأسنان للضحك. وكاشره : إذا ضحك في وجهه وباسطه. </w:t>
      </w:r>
      <w:r w:rsidR="008A74EB" w:rsidRPr="00993B55">
        <w:rPr>
          <w:rStyle w:val="libFootnoteBoldChar"/>
          <w:rtl/>
        </w:rPr>
        <w:t>النهاية</w:t>
      </w:r>
      <w:r w:rsidR="008A74EB" w:rsidRPr="00C9040A">
        <w:rPr>
          <w:rtl/>
        </w:rPr>
        <w:t xml:space="preserve"> ، ج 4 ، ص 176 ( كشر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w:t>
      </w:r>
      <w:r w:rsidR="006D3162">
        <w:rPr>
          <w:rtl/>
        </w:rPr>
        <w:t xml:space="preserve">ه </w:t>
      </w:r>
      <w:r w:rsidR="008A74EB" w:rsidRPr="00C9040A">
        <w:rPr>
          <w:rtl/>
        </w:rPr>
        <w:t>» : « الجناح واليد » بدل « الكفّ والجناح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بس » والمصادقة : « وإذا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المصادقة وتحف العقول : « ويدك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المصادقة : « وأعنه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بر » والوافي : « عن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مرآة العقول : « منهم »</w:t>
      </w:r>
      <w:r w:rsidR="008A74EB">
        <w:rPr>
          <w:rtl/>
        </w:rPr>
        <w:t>.</w:t>
      </w:r>
    </w:p>
    <w:p w:rsidR="008A74EB" w:rsidRPr="00C9040A" w:rsidRDefault="006C577F" w:rsidP="00E53B29">
      <w:pPr>
        <w:pStyle w:val="libFootnote0"/>
        <w:rPr>
          <w:rtl/>
          <w:lang w:bidi="fa-IR"/>
        </w:rPr>
      </w:pPr>
      <w:r>
        <w:rPr>
          <w:rtl/>
        </w:rPr>
        <w:t>(8).</w:t>
      </w:r>
      <w:r w:rsidR="008A74EB" w:rsidRPr="00C9040A">
        <w:rPr>
          <w:rtl/>
        </w:rPr>
        <w:t xml:space="preserve"> </w:t>
      </w:r>
      <w:r w:rsidR="008A74EB" w:rsidRPr="00993B55">
        <w:rPr>
          <w:rStyle w:val="libFootnoteBoldChar"/>
          <w:rtl/>
        </w:rPr>
        <w:t>الخصال</w:t>
      </w:r>
      <w:r w:rsidR="008A74EB" w:rsidRPr="00C9040A">
        <w:rPr>
          <w:rtl/>
        </w:rPr>
        <w:t xml:space="preserve"> ، ص 49 ، باب الاثنين ، ح 56 ، بسنده عن إسماعيل بن مهران ، عن محمّد بن حفص ، عن يعقوب بن بشير ، عن جابر ، عن أبي‌جعفر </w:t>
      </w:r>
      <w:r w:rsidR="00117575" w:rsidRPr="00117575">
        <w:rPr>
          <w:rStyle w:val="libFootnoteAlaemChar"/>
          <w:rtl/>
        </w:rPr>
        <w:t>عليه‌السلام</w:t>
      </w:r>
      <w:r w:rsidR="008A74EB" w:rsidRPr="00C9040A">
        <w:rPr>
          <w:rtl/>
        </w:rPr>
        <w:t xml:space="preserve"> ؛ </w:t>
      </w:r>
      <w:r w:rsidR="008A74EB" w:rsidRPr="00993B55">
        <w:rPr>
          <w:rStyle w:val="libFootnoteBoldChar"/>
          <w:rtl/>
        </w:rPr>
        <w:t>مصادقة الإخوان</w:t>
      </w:r>
      <w:r w:rsidR="008A74EB" w:rsidRPr="00C9040A">
        <w:rPr>
          <w:rtl/>
        </w:rPr>
        <w:t xml:space="preserve"> ، ص 29 ، ح 1 ، بسنده عن يونس بن عبدالرحمن ، عن أبي‌جعفر الثاني </w:t>
      </w:r>
      <w:r w:rsidR="00117575" w:rsidRPr="00117575">
        <w:rPr>
          <w:rStyle w:val="libFootnoteAlaemChar"/>
          <w:rtl/>
        </w:rPr>
        <w:t>عليه‌السلام</w:t>
      </w:r>
      <w:r w:rsidR="008A74EB" w:rsidRPr="00C9040A">
        <w:rPr>
          <w:rtl/>
        </w:rPr>
        <w:t xml:space="preserve"> ؛ </w:t>
      </w:r>
      <w:r w:rsidR="008A74EB" w:rsidRPr="00993B55">
        <w:rPr>
          <w:rStyle w:val="libFootnoteBoldChar"/>
          <w:rtl/>
        </w:rPr>
        <w:t>الاختصاص</w:t>
      </w:r>
      <w:r w:rsidR="008A74EB" w:rsidRPr="00C9040A">
        <w:rPr>
          <w:rtl/>
        </w:rPr>
        <w:t xml:space="preserve"> ، ص 251 ، عن يونس بن عبدالرحمن ، عن أبي‌مريم. </w:t>
      </w:r>
      <w:r w:rsidR="008A74EB" w:rsidRPr="00993B55">
        <w:rPr>
          <w:rStyle w:val="libFootnoteBoldChar"/>
          <w:rtl/>
        </w:rPr>
        <w:t>تحف العقول</w:t>
      </w:r>
      <w:r w:rsidR="008A74EB" w:rsidRPr="00C9040A">
        <w:rPr>
          <w:rtl/>
        </w:rPr>
        <w:t xml:space="preserve"> ، ص 204 ، عن أميرالمؤمنين </w:t>
      </w:r>
      <w:r w:rsidR="00117575" w:rsidRPr="00117575">
        <w:rPr>
          <w:rStyle w:val="libFootnoteAlaemChar"/>
          <w:rtl/>
        </w:rPr>
        <w:t>عليه‌السلام</w:t>
      </w:r>
      <w:r w:rsidR="008A74EB" w:rsidRPr="00C9040A">
        <w:rPr>
          <w:rtl/>
        </w:rPr>
        <w:t xml:space="preserve"> ، وفي كلّها مع اختلاف يسير</w:t>
      </w:r>
      <w:r w:rsidR="00E53B29">
        <w:rPr>
          <w:rFonts w:hint="cs"/>
          <w:rtl/>
        </w:rPr>
        <w:t>.</w:t>
      </w:r>
      <w:r w:rsidR="008A74EB" w:rsidRPr="00993B55">
        <w:rPr>
          <w:rStyle w:val="libFootnoteBoldChar"/>
          <w:rtl/>
        </w:rPr>
        <w:t>الوافي</w:t>
      </w:r>
      <w:r w:rsidR="008A74EB" w:rsidRPr="00C9040A">
        <w:rPr>
          <w:rtl/>
        </w:rPr>
        <w:t xml:space="preserve"> ، ج 5 ، ص 569 ، ح 2590 ؛ </w:t>
      </w:r>
      <w:r w:rsidR="008A74EB" w:rsidRPr="00993B55">
        <w:rPr>
          <w:rStyle w:val="libFootnoteBoldChar"/>
          <w:rtl/>
        </w:rPr>
        <w:t>الوسائل</w:t>
      </w:r>
      <w:r w:rsidR="008A74EB" w:rsidRPr="00C9040A">
        <w:rPr>
          <w:rtl/>
        </w:rPr>
        <w:t xml:space="preserve"> ، ج 12 ، ص 13 ، ذيل ح 15515 ؛ </w:t>
      </w:r>
      <w:r w:rsidR="008A74EB" w:rsidRPr="00993B55">
        <w:rPr>
          <w:rStyle w:val="libFootnoteBoldChar"/>
          <w:rtl/>
        </w:rPr>
        <w:t>البحار</w:t>
      </w:r>
      <w:r w:rsidR="008A74EB" w:rsidRPr="00C9040A">
        <w:rPr>
          <w:rtl/>
        </w:rPr>
        <w:t xml:space="preserve"> ، ج 67 ، ص 193 ، ح 3.</w:t>
      </w:r>
    </w:p>
    <w:p w:rsidR="004B7F34" w:rsidRDefault="004B7F34" w:rsidP="004B7F34">
      <w:pPr>
        <w:pStyle w:val="libNormal"/>
        <w:rPr>
          <w:rtl/>
          <w:lang w:bidi="fa-IR"/>
        </w:rPr>
      </w:pPr>
      <w:r>
        <w:rPr>
          <w:rtl/>
          <w:lang w:bidi="fa-IR"/>
        </w:rPr>
        <w:br w:type="page"/>
      </w:r>
    </w:p>
    <w:p w:rsidR="008A74EB" w:rsidRPr="00C9040A" w:rsidRDefault="008A74EB" w:rsidP="008A74EB">
      <w:pPr>
        <w:pStyle w:val="Heading2Center"/>
        <w:rPr>
          <w:rtl/>
          <w:lang w:bidi="fa-IR"/>
        </w:rPr>
      </w:pPr>
      <w:bookmarkStart w:id="325" w:name="_Toc343795696"/>
      <w:bookmarkStart w:id="326" w:name="_Toc459810820"/>
      <w:bookmarkStart w:id="327" w:name="_Toc35348726"/>
      <w:r w:rsidRPr="00C9040A">
        <w:rPr>
          <w:rtl/>
          <w:lang w:bidi="fa-IR"/>
        </w:rPr>
        <w:t>105</w:t>
      </w:r>
      <w:r>
        <w:rPr>
          <w:rtl/>
          <w:lang w:bidi="fa-IR"/>
        </w:rPr>
        <w:t xml:space="preserve"> </w:t>
      </w:r>
      <w:r w:rsidR="0084262C">
        <w:rPr>
          <w:rtl/>
          <w:lang w:bidi="fa-IR"/>
        </w:rPr>
        <w:t>-</w:t>
      </w:r>
      <w:r>
        <w:rPr>
          <w:rtl/>
          <w:lang w:bidi="fa-IR"/>
        </w:rPr>
        <w:t xml:space="preserve"> </w:t>
      </w:r>
      <w:r w:rsidRPr="00C9040A">
        <w:rPr>
          <w:rtl/>
          <w:lang w:bidi="fa-IR"/>
        </w:rPr>
        <w:t xml:space="preserve">بَابُ مَا أَخَذَهُ اللهُ عَلَى الْمُؤْمِنِ مِنَ الصَّبْرِ عَلى مَا يَلْحَقُهُ فِيمَا ابْتُلِيَ بِهِ </w:t>
      </w:r>
      <w:r w:rsidR="006C577F" w:rsidRPr="006C577F">
        <w:rPr>
          <w:rStyle w:val="libFootnotenumChar"/>
          <w:rtl/>
        </w:rPr>
        <w:t>(1)</w:t>
      </w:r>
      <w:r w:rsidRPr="00C9040A">
        <w:rPr>
          <w:rtl/>
          <w:lang w:bidi="fa-IR"/>
        </w:rPr>
        <w:t xml:space="preserve"> ‌</w:t>
      </w:r>
      <w:bookmarkEnd w:id="325"/>
      <w:bookmarkEnd w:id="326"/>
      <w:bookmarkEnd w:id="327"/>
    </w:p>
    <w:p w:rsidR="008A74EB" w:rsidRPr="00C9040A" w:rsidRDefault="008A74EB" w:rsidP="008A74EB">
      <w:pPr>
        <w:pStyle w:val="libNormal"/>
        <w:rPr>
          <w:rtl/>
          <w:lang w:bidi="fa-IR"/>
        </w:rPr>
      </w:pPr>
      <w:r w:rsidRPr="007A2CA5">
        <w:rPr>
          <w:rtl/>
        </w:rPr>
        <w:t>2339</w:t>
      </w:r>
      <w:r w:rsidRPr="00261CB0">
        <w:rPr>
          <w:rStyle w:val="libBold2Char"/>
          <w:rtl/>
        </w:rPr>
        <w:t xml:space="preserve"> / 1.</w:t>
      </w:r>
      <w:r w:rsidRPr="00C9040A">
        <w:rPr>
          <w:rtl/>
          <w:lang w:bidi="fa-IR"/>
        </w:rPr>
        <w:t xml:space="preserve"> مُحَمَّدُ بْنُ يَحْيى ، عَنْ أَحْمَدَ بْنِ مُحَمَّدِ بْنِ عِيسى ، عَنْ عَلِيِّ بْنِ النُّعْمَانِ ، عَنْ دَاوُدَ بْنِ فَرْقَدٍ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أَخَذَ اللهُ مِيثَاقَ الْمُؤْمِنِ عَلى أَنْ لَاتُصَدَّقَ </w:t>
      </w:r>
      <w:r w:rsidR="006C577F" w:rsidRPr="006C577F">
        <w:rPr>
          <w:rStyle w:val="libFootnotenumChar"/>
          <w:rtl/>
        </w:rPr>
        <w:t>(2)</w:t>
      </w:r>
      <w:r w:rsidRPr="00C9040A">
        <w:rPr>
          <w:rtl/>
          <w:lang w:bidi="fa-IR"/>
        </w:rPr>
        <w:t xml:space="preserve"> مَقَالَتُهُ ، وَلَا يَنْتَصِفَ </w:t>
      </w:r>
      <w:r w:rsidR="006C577F" w:rsidRPr="006C577F">
        <w:rPr>
          <w:rStyle w:val="libFootnotenumChar"/>
          <w:rtl/>
        </w:rPr>
        <w:t>(3)</w:t>
      </w:r>
      <w:r w:rsidRPr="00C9040A">
        <w:rPr>
          <w:rtl/>
          <w:lang w:bidi="fa-IR"/>
        </w:rPr>
        <w:t xml:space="preserve"> مِنْ عَدُوِّهِ ، وَمَا مِنْ مُؤْمِنٍ يَشْفِي </w:t>
      </w:r>
      <w:r w:rsidR="006C577F" w:rsidRPr="006C577F">
        <w:rPr>
          <w:rStyle w:val="libFootnotenumChar"/>
          <w:rtl/>
        </w:rPr>
        <w:t>(4)</w:t>
      </w:r>
      <w:r w:rsidR="00E53B29">
        <w:rPr>
          <w:rtl/>
          <w:lang w:bidi="fa-IR"/>
        </w:rPr>
        <w:t xml:space="preserve"> نَفْسَهُ إِل</w:t>
      </w:r>
      <w:r w:rsidR="00E53B29">
        <w:rPr>
          <w:rFonts w:hint="cs"/>
          <w:rtl/>
          <w:lang w:bidi="fa-IR"/>
        </w:rPr>
        <w:t>َّ</w:t>
      </w:r>
      <w:r w:rsidR="00E53B29">
        <w:rPr>
          <w:rtl/>
          <w:lang w:bidi="fa-IR"/>
        </w:rPr>
        <w:t>ا</w:t>
      </w:r>
      <w:r w:rsidRPr="00C9040A">
        <w:rPr>
          <w:rtl/>
          <w:lang w:bidi="fa-IR"/>
        </w:rPr>
        <w:t xml:space="preserve"> بِفَضِيحَتِهَا ؛ لِأَنَّ كُلَّ مُؤْمِنٍ مُلْجَمٌ</w:t>
      </w:r>
      <w:r w:rsidR="006C577F" w:rsidRPr="006C577F">
        <w:rPr>
          <w:rStyle w:val="libFootnotenumChar"/>
          <w:rtl/>
        </w:rPr>
        <w:t>(5)</w:t>
      </w:r>
      <w:r w:rsidRPr="00C9040A">
        <w:rPr>
          <w:rtl/>
          <w:lang w:bidi="fa-IR"/>
        </w:rPr>
        <w:t>»</w:t>
      </w:r>
      <w:r>
        <w:rPr>
          <w:rtl/>
          <w:lang w:bidi="fa-IR"/>
        </w:rPr>
        <w:t>.</w:t>
      </w:r>
      <w:r w:rsidR="006C577F" w:rsidRPr="006C577F">
        <w:rPr>
          <w:rStyle w:val="libFootnotenumChar"/>
          <w:rtl/>
        </w:rPr>
        <w:t>(6)</w:t>
      </w:r>
    </w:p>
    <w:p w:rsidR="00E53B29" w:rsidRDefault="008A74EB" w:rsidP="00E53B29">
      <w:pPr>
        <w:pStyle w:val="libNormal"/>
        <w:rPr>
          <w:rtl/>
          <w:lang w:bidi="fa-IR"/>
        </w:rPr>
      </w:pPr>
      <w:r w:rsidRPr="007A2CA5">
        <w:rPr>
          <w:rtl/>
        </w:rPr>
        <w:t>2340</w:t>
      </w:r>
      <w:r w:rsidRPr="00261CB0">
        <w:rPr>
          <w:rStyle w:val="libBold2Char"/>
          <w:rtl/>
        </w:rPr>
        <w:t xml:space="preserve"> / 2.</w:t>
      </w:r>
      <w:r w:rsidRPr="00C9040A">
        <w:rPr>
          <w:rtl/>
          <w:lang w:bidi="fa-IR"/>
        </w:rPr>
        <w:t xml:space="preserve"> عِدَّةٌ مِنْ أَصْحَابِنَا ، عَنْ سَهْلِ بْنِ زِيَادٍ ؛</w:t>
      </w:r>
    </w:p>
    <w:p w:rsidR="008A74EB" w:rsidRPr="00C9040A" w:rsidRDefault="008A74EB" w:rsidP="00E53B29">
      <w:pPr>
        <w:pStyle w:val="libNormal"/>
        <w:rPr>
          <w:rtl/>
          <w:lang w:bidi="fa-IR"/>
        </w:rPr>
      </w:pPr>
      <w:r w:rsidRPr="00C9040A">
        <w:rPr>
          <w:rtl/>
          <w:lang w:bidi="fa-IR"/>
        </w:rPr>
        <w:t>وَمُحَمَّدُ بْنُ يَحْيى ، عَنْ أَحْمَدَ بْنِ مُحَمَّدٍ جَمِيعاً ، عَنِ ابْنِ مَحْبُوبٍ ، عَنْ أَبِي حَمْزَةَ الثُّمَالِيِّ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إِنَّ اللهَ أَخَذَ مِيثَاقَ الْمُؤْمِنِ عَلى بَلَايَا أَرْبَعٍ أَيْسَرُهَا </w:t>
      </w:r>
      <w:r w:rsidR="006C577F" w:rsidRPr="006C577F">
        <w:rPr>
          <w:rStyle w:val="libFootnotenumChar"/>
          <w:rtl/>
        </w:rPr>
        <w:t>(7)</w:t>
      </w:r>
      <w:r w:rsidRPr="00C9040A">
        <w:rPr>
          <w:rtl/>
          <w:lang w:bidi="fa-IR"/>
        </w:rPr>
        <w:t xml:space="preserve"> عَلَيْهِ مُؤْمِنٌ يَقُولُ بِقَوْلِهِ يَحْسُدُهُ </w:t>
      </w:r>
      <w:r w:rsidR="006C577F" w:rsidRPr="006C577F">
        <w:rPr>
          <w:rStyle w:val="libFootnotenumChar"/>
          <w:rtl/>
        </w:rPr>
        <w:t>(8)</w:t>
      </w:r>
      <w:r w:rsidRPr="00C9040A">
        <w:rPr>
          <w:rtl/>
          <w:lang w:bidi="fa-IR"/>
        </w:rPr>
        <w:t xml:space="preserve"> ، أَوْ </w:t>
      </w:r>
      <w:r w:rsidR="006C577F" w:rsidRPr="006C577F">
        <w:rPr>
          <w:rStyle w:val="libFootnotenumChar"/>
          <w:rtl/>
        </w:rPr>
        <w:t>(9)</w:t>
      </w:r>
      <w:r w:rsidRPr="00C9040A">
        <w:rPr>
          <w:rtl/>
          <w:lang w:bidi="fa-IR"/>
        </w:rPr>
        <w:t xml:space="preserve"> مُنَافِقٌ يَقْفُو </w:t>
      </w:r>
      <w:r w:rsidR="006C577F" w:rsidRPr="006C577F">
        <w:rPr>
          <w:rStyle w:val="libFootnotenumChar"/>
          <w:rtl/>
        </w:rPr>
        <w:t>(10)</w:t>
      </w:r>
      <w:r w:rsidRPr="00C9040A">
        <w:rPr>
          <w:rtl/>
          <w:lang w:bidi="fa-IR"/>
        </w:rPr>
        <w:t xml:space="preserve"> أَثَرَهُ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6E6FEE">
      <w:pPr>
        <w:pStyle w:val="libFootnote0"/>
        <w:rPr>
          <w:rtl/>
          <w:lang w:bidi="fa-IR"/>
        </w:rPr>
      </w:pPr>
      <w:r>
        <w:rPr>
          <w:rtl/>
        </w:rPr>
        <w:t>(1).</w:t>
      </w:r>
      <w:r w:rsidR="008A74EB">
        <w:rPr>
          <w:rtl/>
        </w:rPr>
        <w:t xml:space="preserve"> </w:t>
      </w:r>
      <w:r w:rsidR="008A74EB" w:rsidRPr="00C9040A">
        <w:rPr>
          <w:rtl/>
        </w:rPr>
        <w:t xml:space="preserve">في </w:t>
      </w:r>
      <w:r w:rsidR="008A74EB" w:rsidRPr="00993B55">
        <w:rPr>
          <w:rStyle w:val="libFootnoteBoldChar"/>
          <w:rtl/>
        </w:rPr>
        <w:t>مرآة العقول</w:t>
      </w:r>
      <w:r w:rsidR="008A74EB" w:rsidRPr="00C9040A">
        <w:rPr>
          <w:rtl/>
        </w:rPr>
        <w:t xml:space="preserve"> ، ج 9 ، ص 311 : « أي ما يلحقه من الهمّ والغمّ فيما ابتلي به من الا</w:t>
      </w:r>
      <w:r w:rsidR="006E6FEE">
        <w:rPr>
          <w:rFonts w:hint="cs"/>
          <w:rtl/>
        </w:rPr>
        <w:t>ُ</w:t>
      </w:r>
      <w:r w:rsidR="008A74EB" w:rsidRPr="00C9040A">
        <w:rPr>
          <w:rtl/>
        </w:rPr>
        <w:t>مور الأربعة المذكورة في الأخبار ، أو ما يلحقه من معاشرة الخلق »</w:t>
      </w:r>
      <w:r w:rsidR="008A74EB">
        <w:rPr>
          <w:rtl/>
        </w:rPr>
        <w:t>.</w:t>
      </w:r>
      <w:r w:rsidR="006E6FEE">
        <w:rPr>
          <w:rFonts w:hint="cs"/>
          <w:rtl/>
        </w:rPr>
        <w:t xml:space="preserve">                           </w:t>
      </w:r>
      <w:r>
        <w:rPr>
          <w:rtl/>
        </w:rPr>
        <w:t>(2).</w:t>
      </w:r>
      <w:r w:rsidR="008A74EB">
        <w:rPr>
          <w:rtl/>
        </w:rPr>
        <w:t xml:space="preserve"> </w:t>
      </w:r>
      <w:r w:rsidR="008A74EB" w:rsidRPr="00C9040A">
        <w:rPr>
          <w:rtl/>
        </w:rPr>
        <w:t>في « ب ، ص ، بف » : « لا يصدّق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 لا ينتصف » ، أي‌لا ينتقم. وقراءته مبنيّاً للمفعول أيضاً صحيحة.</w:t>
      </w:r>
    </w:p>
    <w:p w:rsidR="008A74EB" w:rsidRPr="00C9040A" w:rsidRDefault="006C577F" w:rsidP="004A4E41">
      <w:pPr>
        <w:pStyle w:val="libFootnote0"/>
        <w:rPr>
          <w:rtl/>
          <w:lang w:bidi="fa-IR"/>
        </w:rPr>
      </w:pPr>
      <w:r>
        <w:rPr>
          <w:rtl/>
        </w:rPr>
        <w:t>(4).</w:t>
      </w:r>
      <w:r w:rsidR="008A74EB" w:rsidRPr="00C9040A">
        <w:rPr>
          <w:rtl/>
        </w:rPr>
        <w:t xml:space="preserve"> في « ب » والوافي : « يشفّي » بالتشديد.</w:t>
      </w:r>
    </w:p>
    <w:p w:rsidR="008A74EB" w:rsidRPr="00C9040A" w:rsidRDefault="006C577F" w:rsidP="004A4E41">
      <w:pPr>
        <w:pStyle w:val="libFootnote0"/>
        <w:rPr>
          <w:rtl/>
          <w:lang w:bidi="fa-IR"/>
        </w:rPr>
      </w:pPr>
      <w:r>
        <w:rPr>
          <w:rtl/>
        </w:rPr>
        <w:t>(5).</w:t>
      </w:r>
      <w:r w:rsidR="008A74EB" w:rsidRPr="00C9040A">
        <w:rPr>
          <w:rtl/>
        </w:rPr>
        <w:t xml:space="preserve"> في </w:t>
      </w:r>
      <w:r w:rsidR="008A74EB" w:rsidRPr="00993B55">
        <w:rPr>
          <w:rStyle w:val="libFootnoteBoldChar"/>
          <w:rtl/>
        </w:rPr>
        <w:t>الوافي</w:t>
      </w:r>
      <w:r w:rsidR="008A74EB" w:rsidRPr="00C9040A">
        <w:rPr>
          <w:rtl/>
        </w:rPr>
        <w:t xml:space="preserve"> : « يعني إذا أراد المؤمن أن يُشفّي غيظه بالانتقام من عدوّه افتضح ، وذلك لأنّه ليس بمطلق العنان ، خليع العذار ، يقول ما يشاء ويفعل ما يريد ؛ إذ هو مأمور بالتقيّة والكتمان ، والخوف من العصيان ، والخشية من الرحمن ، ولأنّ زمام أمره بيدالله سبحانه ؛ لأنّه فوّض أمره إليه ، فيفعل به ما يشاء ممّا فيه مصلحته »</w:t>
      </w:r>
      <w:r w:rsidR="008A74EB">
        <w:rPr>
          <w:rtl/>
        </w:rPr>
        <w:t>.</w:t>
      </w:r>
    </w:p>
    <w:p w:rsidR="008A74EB" w:rsidRPr="00C9040A" w:rsidRDefault="006C577F" w:rsidP="006E6FEE">
      <w:pPr>
        <w:pStyle w:val="libFootnote0"/>
        <w:rPr>
          <w:rtl/>
          <w:lang w:bidi="fa-IR"/>
        </w:rPr>
      </w:pPr>
      <w:r>
        <w:rPr>
          <w:rtl/>
        </w:rPr>
        <w:t>(6).</w:t>
      </w:r>
      <w:r w:rsidR="008A74EB">
        <w:rPr>
          <w:rtl/>
        </w:rPr>
        <w:t xml:space="preserve"> </w:t>
      </w:r>
      <w:r w:rsidR="008A74EB" w:rsidRPr="00993B55">
        <w:rPr>
          <w:rStyle w:val="libFootnoteBoldChar"/>
          <w:rtl/>
        </w:rPr>
        <w:t>الخصال</w:t>
      </w:r>
      <w:r w:rsidR="008A74EB" w:rsidRPr="00C9040A">
        <w:rPr>
          <w:rtl/>
        </w:rPr>
        <w:t xml:space="preserve"> ، ص 229 ، باب الأربعة ، ح 69 ؛ و</w:t>
      </w:r>
      <w:r w:rsidR="008A74EB" w:rsidRPr="00993B55">
        <w:rPr>
          <w:rStyle w:val="libFootnoteBoldChar"/>
          <w:rtl/>
        </w:rPr>
        <w:t xml:space="preserve">علل الشرائع </w:t>
      </w:r>
      <w:r w:rsidR="008A74EB" w:rsidRPr="00C9040A">
        <w:rPr>
          <w:rtl/>
        </w:rPr>
        <w:t xml:space="preserve">، ص 605 ، ح 77 ، بسند آخر ، مع اختلاف يسير. </w:t>
      </w:r>
      <w:r w:rsidR="008A74EB" w:rsidRPr="00993B55">
        <w:rPr>
          <w:rStyle w:val="libFootnoteBoldChar"/>
          <w:rtl/>
        </w:rPr>
        <w:t>المؤمن</w:t>
      </w:r>
      <w:r w:rsidR="008A74EB" w:rsidRPr="00C9040A">
        <w:rPr>
          <w:rtl/>
        </w:rPr>
        <w:t xml:space="preserve"> ، ص 25 ، ح 38 ، عن أبي عبدالله </w:t>
      </w:r>
      <w:r w:rsidR="00117575" w:rsidRPr="00117575">
        <w:rPr>
          <w:rStyle w:val="libFootnoteAlaemChar"/>
          <w:rtl/>
        </w:rPr>
        <w:t>عليه‌السلام</w:t>
      </w:r>
      <w:r w:rsidR="008A74EB" w:rsidRPr="00C9040A">
        <w:rPr>
          <w:rtl/>
        </w:rPr>
        <w:t xml:space="preserve"> ، إلى قوله : « ولا ينتصف من عدوّه »</w:t>
      </w:r>
      <w:r w:rsidR="006E6FEE">
        <w:rPr>
          <w:rFonts w:hint="cs"/>
          <w:rtl/>
        </w:rPr>
        <w:t>.</w:t>
      </w:r>
      <w:r w:rsidR="008A74EB" w:rsidRPr="00993B55">
        <w:rPr>
          <w:rStyle w:val="libFootnoteBoldChar"/>
          <w:rtl/>
        </w:rPr>
        <w:t>الوافي</w:t>
      </w:r>
      <w:r w:rsidR="008A74EB" w:rsidRPr="00C9040A">
        <w:rPr>
          <w:rtl/>
        </w:rPr>
        <w:t xml:space="preserve"> ، ج 5 ، ص 757 ، ح 2981 ؛ </w:t>
      </w:r>
      <w:r w:rsidR="008A74EB" w:rsidRPr="00993B55">
        <w:rPr>
          <w:rStyle w:val="libFootnoteBoldChar"/>
          <w:rtl/>
        </w:rPr>
        <w:t>البحار</w:t>
      </w:r>
      <w:r w:rsidR="008A74EB" w:rsidRPr="00C9040A">
        <w:rPr>
          <w:rtl/>
        </w:rPr>
        <w:t xml:space="preserve"> ، ج 68 ، ص 215 ، ح 5.</w:t>
      </w:r>
    </w:p>
    <w:p w:rsidR="008A74EB" w:rsidRPr="00C9040A" w:rsidRDefault="006C577F" w:rsidP="004A4E41">
      <w:pPr>
        <w:pStyle w:val="libFootnote0"/>
        <w:rPr>
          <w:rtl/>
          <w:lang w:bidi="fa-IR"/>
        </w:rPr>
      </w:pPr>
      <w:r>
        <w:rPr>
          <w:rtl/>
        </w:rPr>
        <w:t>(7).</w:t>
      </w:r>
      <w:r w:rsidR="008A74EB" w:rsidRPr="00C9040A">
        <w:rPr>
          <w:rtl/>
        </w:rPr>
        <w:t xml:space="preserve"> في « ب ، </w:t>
      </w:r>
      <w:r w:rsidR="006D3162">
        <w:rPr>
          <w:rtl/>
        </w:rPr>
        <w:t xml:space="preserve">ه </w:t>
      </w:r>
      <w:r w:rsidR="008A74EB" w:rsidRPr="00C9040A">
        <w:rPr>
          <w:rtl/>
        </w:rPr>
        <w:t>» وحاشية « د ، ض ، بر ، بس » والوافي ومرآة العقول والوسائل والبحار : « أشدّها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مرآة العقول : « يقول بقوله ، أي يعتقد مذهبه ويدّعي التشيّع ، لكنّه ليس بمؤمن كامل ، بل يغلبه الحسد »</w:t>
      </w:r>
      <w:r w:rsidR="008A74EB">
        <w:rPr>
          <w:rtl/>
        </w:rPr>
        <w:t>.</w:t>
      </w:r>
    </w:p>
    <w:tbl>
      <w:tblPr>
        <w:tblStyle w:val="TableGrid"/>
        <w:bidiVisual/>
        <w:tblW w:w="0" w:type="auto"/>
        <w:tblLook w:val="04A0" w:firstRow="1" w:lastRow="0" w:firstColumn="1" w:lastColumn="0" w:noHBand="0" w:noVBand="1"/>
      </w:tblPr>
      <w:tblGrid>
        <w:gridCol w:w="4006"/>
        <w:gridCol w:w="4006"/>
      </w:tblGrid>
      <w:tr w:rsidR="006E6FEE" w:rsidTr="006E6FEE">
        <w:tc>
          <w:tcPr>
            <w:tcW w:w="4006" w:type="dxa"/>
          </w:tcPr>
          <w:p w:rsidR="006E6FEE" w:rsidRDefault="006E6FEE" w:rsidP="004A4E41">
            <w:pPr>
              <w:pStyle w:val="libFootnote0"/>
              <w:rPr>
                <w:rtl/>
              </w:rPr>
            </w:pPr>
            <w:r>
              <w:rPr>
                <w:rtl/>
              </w:rPr>
              <w:t>(9).</w:t>
            </w:r>
            <w:r w:rsidRPr="00C9040A">
              <w:rPr>
                <w:rtl/>
              </w:rPr>
              <w:t xml:space="preserve"> في « </w:t>
            </w:r>
            <w:r>
              <w:rPr>
                <w:rtl/>
              </w:rPr>
              <w:t xml:space="preserve">ه </w:t>
            </w:r>
            <w:r w:rsidRPr="00C9040A">
              <w:rPr>
                <w:rtl/>
              </w:rPr>
              <w:t xml:space="preserve">» : « </w:t>
            </w:r>
            <w:r>
              <w:rPr>
                <w:rtl/>
              </w:rPr>
              <w:t>و ».</w:t>
            </w:r>
          </w:p>
        </w:tc>
        <w:tc>
          <w:tcPr>
            <w:tcW w:w="4006" w:type="dxa"/>
          </w:tcPr>
          <w:p w:rsidR="006E6FEE" w:rsidRDefault="006E6FEE" w:rsidP="004A4E41">
            <w:pPr>
              <w:pStyle w:val="libFootnote0"/>
              <w:rPr>
                <w:rtl/>
              </w:rPr>
            </w:pPr>
            <w:r>
              <w:rPr>
                <w:rtl/>
              </w:rPr>
              <w:t>(10).</w:t>
            </w:r>
            <w:r w:rsidR="00A17E8C">
              <w:rPr>
                <w:rtl/>
              </w:rPr>
              <w:t xml:space="preserve"> قفوتُ أثره:</w:t>
            </w:r>
            <w:r w:rsidRPr="00C9040A">
              <w:rPr>
                <w:rtl/>
              </w:rPr>
              <w:t>تَبِعْته.</w:t>
            </w:r>
            <w:r w:rsidRPr="00993B55">
              <w:rPr>
                <w:rStyle w:val="libFootnoteBoldChar"/>
                <w:rtl/>
              </w:rPr>
              <w:t>المصباح المنير</w:t>
            </w:r>
            <w:r w:rsidR="00A17E8C">
              <w:rPr>
                <w:rtl/>
              </w:rPr>
              <w:t>،ص512(قفو</w:t>
            </w:r>
            <w:r w:rsidRPr="00C9040A">
              <w:rPr>
                <w:rtl/>
              </w:rPr>
              <w:t>)</w:t>
            </w:r>
            <w:r>
              <w:rPr>
                <w:rtl/>
              </w:rPr>
              <w:t>.</w:t>
            </w:r>
          </w:p>
        </w:tc>
      </w:tr>
    </w:tbl>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أَوْ </w:t>
      </w:r>
      <w:r w:rsidR="006C577F" w:rsidRPr="006C577F">
        <w:rPr>
          <w:rStyle w:val="libFootnotenumChar"/>
          <w:rtl/>
        </w:rPr>
        <w:t>(1)</w:t>
      </w:r>
      <w:r w:rsidRPr="00C9040A">
        <w:rPr>
          <w:rtl/>
          <w:lang w:bidi="fa-IR"/>
        </w:rPr>
        <w:t xml:space="preserve"> شَيْطَانٌ يُغْوِيهِ </w:t>
      </w:r>
      <w:r w:rsidR="006C577F" w:rsidRPr="006C577F">
        <w:rPr>
          <w:rStyle w:val="libFootnotenumChar"/>
          <w:rtl/>
        </w:rPr>
        <w:t>(2)</w:t>
      </w:r>
      <w:r w:rsidRPr="00C9040A">
        <w:rPr>
          <w:rtl/>
          <w:lang w:bidi="fa-IR"/>
        </w:rPr>
        <w:t xml:space="preserve"> ، أَوْ كَافِرٌ يَرى جِهَادَهُ ، فَمَا بَقَاءُ الْمُؤْمِنِ بَعْدَ هذَا</w:t>
      </w:r>
      <w:r>
        <w:rPr>
          <w:rtl/>
          <w:lang w:bidi="fa-IR"/>
        </w:rPr>
        <w:t>؟</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7A2CA5">
        <w:rPr>
          <w:rtl/>
        </w:rPr>
        <w:t>2341</w:t>
      </w:r>
      <w:r w:rsidRPr="00261CB0">
        <w:rPr>
          <w:rStyle w:val="libBold2Char"/>
          <w:rtl/>
        </w:rPr>
        <w:t xml:space="preserve"> / 3.</w:t>
      </w:r>
      <w:r w:rsidRPr="00C9040A">
        <w:rPr>
          <w:rtl/>
          <w:lang w:bidi="fa-IR"/>
        </w:rPr>
        <w:t xml:space="preserve"> عِدَّةٌ مِنْ أَصْحَابِنَا ، عَنْ أَحْمَدَ بْنِ مُحَمَّدِ بْنِ خَالِدٍ ، عَنْ عُثْمَانَ بْنِ عِيسى ، عَنِ ابْنِ مُسْكَانَ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مَا أَفْلَتَ </w:t>
      </w:r>
      <w:r w:rsidR="006C577F" w:rsidRPr="006C577F">
        <w:rPr>
          <w:rStyle w:val="libFootnotenumChar"/>
          <w:rtl/>
        </w:rPr>
        <w:t>(4)</w:t>
      </w:r>
      <w:r w:rsidRPr="00C9040A">
        <w:rPr>
          <w:rtl/>
          <w:lang w:bidi="fa-IR"/>
        </w:rPr>
        <w:t xml:space="preserve"> الْمُؤْمِنُ مِنْ وَاحِدَةٍ مِنْ ثَلَاثٍ </w:t>
      </w:r>
      <w:r w:rsidR="006C577F" w:rsidRPr="006C577F">
        <w:rPr>
          <w:rStyle w:val="libFootnotenumChar"/>
          <w:rtl/>
        </w:rPr>
        <w:t>(5)</w:t>
      </w:r>
      <w:r>
        <w:rPr>
          <w:rtl/>
          <w:lang w:bidi="fa-IR"/>
        </w:rPr>
        <w:t xml:space="preserve"> </w:t>
      </w:r>
      <w:r w:rsidR="0084262C">
        <w:rPr>
          <w:rtl/>
          <w:lang w:bidi="fa-IR"/>
        </w:rPr>
        <w:t>-</w:t>
      </w:r>
      <w:r>
        <w:rPr>
          <w:rtl/>
          <w:lang w:bidi="fa-IR"/>
        </w:rPr>
        <w:t xml:space="preserve"> </w:t>
      </w:r>
      <w:r w:rsidRPr="00C9040A">
        <w:rPr>
          <w:rtl/>
          <w:lang w:bidi="fa-IR"/>
        </w:rPr>
        <w:t xml:space="preserve">وَلَرُبَّمَا اجْتَمَعَتِ الثَّلَاثُ </w:t>
      </w:r>
      <w:r w:rsidR="006C577F" w:rsidRPr="006C577F">
        <w:rPr>
          <w:rStyle w:val="libFootnotenumChar"/>
          <w:rtl/>
        </w:rPr>
        <w:t>(6)</w:t>
      </w:r>
      <w:r w:rsidRPr="005B567D">
        <w:rPr>
          <w:rStyle w:val="libFootnotenumChar"/>
          <w:rtl/>
        </w:rPr>
        <w:t xml:space="preserve"> </w:t>
      </w:r>
      <w:r w:rsidRPr="00C9040A">
        <w:rPr>
          <w:rtl/>
          <w:lang w:bidi="fa-IR"/>
        </w:rPr>
        <w:t>عَلَيْهِ</w:t>
      </w:r>
      <w:r>
        <w:rPr>
          <w:rtl/>
          <w:lang w:bidi="fa-IR"/>
        </w:rPr>
        <w:t xml:space="preserve"> </w:t>
      </w:r>
      <w:r w:rsidR="0084262C">
        <w:rPr>
          <w:rtl/>
          <w:lang w:bidi="fa-IR"/>
        </w:rPr>
        <w:t>-</w:t>
      </w:r>
      <w:r>
        <w:rPr>
          <w:rtl/>
          <w:lang w:bidi="fa-IR"/>
        </w:rPr>
        <w:t xml:space="preserve"> </w:t>
      </w:r>
      <w:r w:rsidRPr="00C9040A">
        <w:rPr>
          <w:rtl/>
          <w:lang w:bidi="fa-IR"/>
        </w:rPr>
        <w:t xml:space="preserve">: إِمَّا بُغْضُ </w:t>
      </w:r>
      <w:r w:rsidR="006C577F" w:rsidRPr="006C577F">
        <w:rPr>
          <w:rStyle w:val="libFootnotenumChar"/>
          <w:rtl/>
        </w:rPr>
        <w:t>(7)</w:t>
      </w:r>
      <w:r w:rsidRPr="00C9040A">
        <w:rPr>
          <w:rtl/>
          <w:lang w:bidi="fa-IR"/>
        </w:rPr>
        <w:t xml:space="preserve"> مَنْ يَكُونُ مَعَهُ فِي الدَّارِ يُغْلِقُ عَلَيْهِ بَابَهُ يُؤْذِيهِ </w:t>
      </w:r>
      <w:r w:rsidR="006C577F" w:rsidRPr="006C577F">
        <w:rPr>
          <w:rStyle w:val="libFootnotenumChar"/>
          <w:rtl/>
        </w:rPr>
        <w:t>(8)</w:t>
      </w:r>
      <w:r w:rsidRPr="00C9040A">
        <w:rPr>
          <w:rtl/>
          <w:lang w:bidi="fa-IR"/>
        </w:rPr>
        <w:t xml:space="preserve"> ، أَوْ جَارٌ </w:t>
      </w:r>
      <w:r w:rsidR="006C577F" w:rsidRPr="006C577F">
        <w:rPr>
          <w:rStyle w:val="libFootnotenumChar"/>
          <w:rtl/>
        </w:rPr>
        <w:t>(9)</w:t>
      </w:r>
      <w:r w:rsidRPr="00C9040A">
        <w:rPr>
          <w:rtl/>
          <w:lang w:bidi="fa-IR"/>
        </w:rPr>
        <w:t xml:space="preserve"> يُؤْذِيهِ ، أَوْ مَنْ فِي طَرِيقِهِ إِلى حَوَائِجِهِ يُؤْذِيهِ ؛ وَلَوْ أَنَّ مُؤْمِناً عَلى قُلَّةِ جَبَلٍ ، لَبَعَثَ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إِلَيْهِ </w:t>
      </w:r>
      <w:r w:rsidR="006C577F" w:rsidRPr="006C577F">
        <w:rPr>
          <w:rStyle w:val="libFootnotenumChar"/>
          <w:rtl/>
        </w:rPr>
        <w:t>(10)</w:t>
      </w:r>
      <w:r w:rsidRPr="00C9040A">
        <w:rPr>
          <w:rtl/>
          <w:lang w:bidi="fa-IR"/>
        </w:rPr>
        <w:t xml:space="preserve"> شَيْطَاناً يُؤْذِيهِ </w:t>
      </w:r>
      <w:r w:rsidR="006C577F" w:rsidRPr="006C577F">
        <w:rPr>
          <w:rStyle w:val="libFootnotenumChar"/>
          <w:rtl/>
        </w:rPr>
        <w:t>(11)</w:t>
      </w:r>
      <w:r w:rsidRPr="00C9040A">
        <w:rPr>
          <w:rtl/>
          <w:lang w:bidi="fa-IR"/>
        </w:rPr>
        <w:t xml:space="preserve"> ، وَيَجْعَلُ اللهُ </w:t>
      </w:r>
      <w:r w:rsidR="006C577F" w:rsidRPr="006C577F">
        <w:rPr>
          <w:rStyle w:val="libFootnotenumChar"/>
          <w:rtl/>
        </w:rPr>
        <w:t>(12)</w:t>
      </w:r>
      <w:r w:rsidRPr="00C9040A">
        <w:rPr>
          <w:rtl/>
          <w:lang w:bidi="fa-IR"/>
        </w:rPr>
        <w:t xml:space="preserve"> لَهُ مِنْ إِيمَانِهِ أُنْساً لَايَسْتَوْحِشُ‌</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w:t>
      </w:r>
      <w:r w:rsidR="006D3162">
        <w:rPr>
          <w:rtl/>
        </w:rPr>
        <w:t xml:space="preserve">ه </w:t>
      </w:r>
      <w:r w:rsidR="008A74EB" w:rsidRPr="00C9040A">
        <w:rPr>
          <w:rtl/>
        </w:rPr>
        <w:t xml:space="preserve">» : « </w:t>
      </w:r>
      <w:r w:rsidR="008A74EB">
        <w:rPr>
          <w:rtl/>
        </w:rPr>
        <w:t>و ».</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w:t>
      </w:r>
      <w:r w:rsidR="008A74EB" w:rsidRPr="00993B55">
        <w:rPr>
          <w:rStyle w:val="libFootnoteBoldChar"/>
          <w:rtl/>
        </w:rPr>
        <w:t>مرآة العقول</w:t>
      </w:r>
      <w:r w:rsidR="008A74EB" w:rsidRPr="00C9040A">
        <w:rPr>
          <w:rtl/>
        </w:rPr>
        <w:t xml:space="preserve"> : « وربّما يقرأ : يغوّيه ، على بناء التفعيل ، أي‌ينسبه إلى الغواية. وهو بعيد »</w:t>
      </w:r>
      <w:r w:rsidR="008A74EB">
        <w:rPr>
          <w:rtl/>
        </w:rPr>
        <w:t>.</w:t>
      </w:r>
    </w:p>
    <w:p w:rsidR="008A74EB" w:rsidRPr="00C9040A" w:rsidRDefault="006C577F" w:rsidP="00670214">
      <w:pPr>
        <w:pStyle w:val="libFootnote0"/>
        <w:rPr>
          <w:rtl/>
          <w:lang w:bidi="fa-IR"/>
        </w:rPr>
      </w:pPr>
      <w:r>
        <w:rPr>
          <w:rtl/>
        </w:rPr>
        <w:t>(3).</w:t>
      </w:r>
      <w:r w:rsidR="008A74EB" w:rsidRPr="00C9040A">
        <w:rPr>
          <w:rtl/>
        </w:rPr>
        <w:t xml:space="preserve"> </w:t>
      </w:r>
      <w:r w:rsidR="008A74EB" w:rsidRPr="0034021D">
        <w:rPr>
          <w:rStyle w:val="libFootnoteBoldChar"/>
          <w:rtl/>
        </w:rPr>
        <w:t>الأمالي للصدوق</w:t>
      </w:r>
      <w:r w:rsidR="008A74EB" w:rsidRPr="00C9040A">
        <w:rPr>
          <w:rtl/>
        </w:rPr>
        <w:t xml:space="preserve"> ، ص 492 ، المجلس 74 ، ح 9 ؛ و</w:t>
      </w:r>
      <w:r w:rsidR="008A74EB" w:rsidRPr="00993B55">
        <w:rPr>
          <w:rStyle w:val="libFootnoteBoldChar"/>
          <w:rtl/>
        </w:rPr>
        <w:t>الخصال</w:t>
      </w:r>
      <w:r w:rsidR="008A74EB" w:rsidRPr="00C9040A">
        <w:rPr>
          <w:rtl/>
        </w:rPr>
        <w:t xml:space="preserve"> ، ص 229 ، باب الأربعة ، ح 70 ، بسند آخر عن أبي‌عبدالله </w:t>
      </w:r>
      <w:r w:rsidR="00117575" w:rsidRPr="00117575">
        <w:rPr>
          <w:rStyle w:val="libFootnoteAlaemChar"/>
          <w:rtl/>
        </w:rPr>
        <w:t>عليه‌السلام</w:t>
      </w:r>
      <w:r w:rsidR="008A74EB" w:rsidRPr="00C9040A">
        <w:rPr>
          <w:rtl/>
        </w:rPr>
        <w:t xml:space="preserve"> ، من دون الإسناد إلى النبيّ </w:t>
      </w:r>
      <w:r w:rsidR="004A4E41" w:rsidRPr="00670214">
        <w:rPr>
          <w:rStyle w:val="libFootnoteAlaemChar"/>
          <w:rtl/>
        </w:rPr>
        <w:t>صلى‌الله‌عليه‌وآله</w:t>
      </w:r>
      <w:r w:rsidR="008A74EB" w:rsidRPr="00C9040A">
        <w:rPr>
          <w:rtl/>
        </w:rPr>
        <w:t xml:space="preserve">. </w:t>
      </w:r>
      <w:r w:rsidR="008A74EB" w:rsidRPr="00993B55">
        <w:rPr>
          <w:rStyle w:val="libFootnoteBoldChar"/>
          <w:rtl/>
        </w:rPr>
        <w:t>المؤمن</w:t>
      </w:r>
      <w:r w:rsidR="008A74EB" w:rsidRPr="00C9040A">
        <w:rPr>
          <w:rtl/>
        </w:rPr>
        <w:t xml:space="preserve"> ، ص 21 ، ح 20 ، عن أبي‌حمزة ، عن أبي‌جعفر </w:t>
      </w:r>
      <w:r w:rsidR="00117575" w:rsidRPr="00117575">
        <w:rPr>
          <w:rStyle w:val="libFootnoteAlaemChar"/>
          <w:rtl/>
        </w:rPr>
        <w:t>عليه‌السلام</w:t>
      </w:r>
      <w:r w:rsidR="008A74EB" w:rsidRPr="00C9040A">
        <w:rPr>
          <w:rtl/>
        </w:rPr>
        <w:t xml:space="preserve"> ، وفي كلّها مع اختلاف وزيادة</w:t>
      </w:r>
      <w:r w:rsidR="00670214">
        <w:rPr>
          <w:rFonts w:hint="cs"/>
          <w:rtl/>
        </w:rPr>
        <w:t>.</w:t>
      </w:r>
      <w:r w:rsidR="008A74EB" w:rsidRPr="00993B55">
        <w:rPr>
          <w:rStyle w:val="libFootnoteBoldChar"/>
          <w:rtl/>
        </w:rPr>
        <w:t>الوافي</w:t>
      </w:r>
      <w:r w:rsidR="008A74EB" w:rsidRPr="00C9040A">
        <w:rPr>
          <w:rtl/>
        </w:rPr>
        <w:t xml:space="preserve"> ، ج 5 ، ص 757 ، ح 2982 ؛ </w:t>
      </w:r>
      <w:r w:rsidR="008A74EB" w:rsidRPr="00993B55">
        <w:rPr>
          <w:rStyle w:val="libFootnoteBoldChar"/>
          <w:rtl/>
        </w:rPr>
        <w:t>الوسائل</w:t>
      </w:r>
      <w:r w:rsidR="008A74EB" w:rsidRPr="00C9040A">
        <w:rPr>
          <w:rtl/>
        </w:rPr>
        <w:t xml:space="preserve"> ، ج 12 ، ص 181 ، ح 16019 ؛ </w:t>
      </w:r>
      <w:r w:rsidR="008A74EB" w:rsidRPr="00993B55">
        <w:rPr>
          <w:rStyle w:val="libFootnoteBoldChar"/>
          <w:rtl/>
        </w:rPr>
        <w:t>البحار</w:t>
      </w:r>
      <w:r w:rsidR="008A74EB" w:rsidRPr="00C9040A">
        <w:rPr>
          <w:rtl/>
        </w:rPr>
        <w:t xml:space="preserve"> ، ج 68 ، ص 216 ، ح 6.</w:t>
      </w:r>
    </w:p>
    <w:p w:rsidR="008A74EB" w:rsidRPr="00C9040A" w:rsidRDefault="006C577F" w:rsidP="004A4E41">
      <w:pPr>
        <w:pStyle w:val="libFootnote0"/>
        <w:rPr>
          <w:rtl/>
          <w:lang w:bidi="fa-IR"/>
        </w:rPr>
      </w:pPr>
      <w:r>
        <w:rPr>
          <w:rtl/>
        </w:rPr>
        <w:t>(4).</w:t>
      </w:r>
      <w:r w:rsidR="008A74EB" w:rsidRPr="00C9040A">
        <w:rPr>
          <w:rtl/>
        </w:rPr>
        <w:t xml:space="preserve"> الإفلات : التخلّص من الشي‌ء فجأة من غير تمكّث. راجع : </w:t>
      </w:r>
      <w:r w:rsidR="008A74EB" w:rsidRPr="00993B55">
        <w:rPr>
          <w:rStyle w:val="libFootnoteBoldChar"/>
          <w:rtl/>
        </w:rPr>
        <w:t>النهاية</w:t>
      </w:r>
      <w:r w:rsidR="008A74EB" w:rsidRPr="00C9040A">
        <w:rPr>
          <w:rtl/>
        </w:rPr>
        <w:t xml:space="preserve"> ، ج 3 ، ص 467 ( فلت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الوسائل : « ثلاثة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ج ، د ، بف » وشرح المازندراني والبحار : « الثلاثة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ج ، د ، ز ، ص ، بر » وشرح المازندراني ومرآة العقول والبحار : « بعض »</w:t>
      </w:r>
      <w:r w:rsidR="008A74EB">
        <w:rPr>
          <w:rtl/>
        </w:rPr>
        <w:t>.</w:t>
      </w:r>
      <w:r w:rsidR="008A74EB" w:rsidRPr="00C9040A">
        <w:rPr>
          <w:rtl/>
        </w:rPr>
        <w:t xml:space="preserve"> قال في </w:t>
      </w:r>
      <w:r w:rsidR="008A74EB" w:rsidRPr="00993B55">
        <w:rPr>
          <w:rStyle w:val="libFootnoteBoldChar"/>
          <w:rtl/>
        </w:rPr>
        <w:t>المرآة</w:t>
      </w:r>
      <w:r w:rsidR="008A74EB" w:rsidRPr="00C9040A">
        <w:rPr>
          <w:rtl/>
        </w:rPr>
        <w:t xml:space="preserve"> : « والظاهر أنّ « بعض » مبتدأ ، </w:t>
      </w:r>
      <w:r w:rsidR="008A74EB">
        <w:rPr>
          <w:rtl/>
        </w:rPr>
        <w:t>و «</w:t>
      </w:r>
      <w:r w:rsidR="008A74EB" w:rsidRPr="00C9040A">
        <w:rPr>
          <w:rtl/>
        </w:rPr>
        <w:t xml:space="preserve"> يؤذيه » خبره. ويحتمل أن يكون « بعض » خبر مبتدأ محذوف ، </w:t>
      </w:r>
      <w:r w:rsidR="008A74EB">
        <w:rPr>
          <w:rtl/>
        </w:rPr>
        <w:t>و «</w:t>
      </w:r>
      <w:r w:rsidR="008A74EB" w:rsidRPr="00C9040A">
        <w:rPr>
          <w:rtl/>
        </w:rPr>
        <w:t xml:space="preserve"> يؤذيه » صفة أو حالاً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الوافي </w:t>
      </w:r>
      <w:r w:rsidR="008A74EB">
        <w:rPr>
          <w:rtl/>
        </w:rPr>
        <w:t xml:space="preserve">: </w:t>
      </w:r>
      <w:r w:rsidR="0084262C">
        <w:rPr>
          <w:rtl/>
        </w:rPr>
        <w:t>-</w:t>
      </w:r>
      <w:r w:rsidR="008A74EB" w:rsidRPr="00C9040A">
        <w:rPr>
          <w:rtl/>
        </w:rPr>
        <w:t xml:space="preserve"> « يؤذيه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w:t>
      </w:r>
      <w:r w:rsidR="006D3162">
        <w:rPr>
          <w:rtl/>
        </w:rPr>
        <w:t xml:space="preserve">ه </w:t>
      </w:r>
      <w:r w:rsidR="008A74EB" w:rsidRPr="00C9040A">
        <w:rPr>
          <w:rtl/>
        </w:rPr>
        <w:t>» والبحار : « جاره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 ض » وحاشية « د ، بر » : « عليه »</w:t>
      </w:r>
      <w:r w:rsidR="008A74EB">
        <w:rPr>
          <w:rtl/>
        </w:rPr>
        <w:t>.</w:t>
      </w:r>
    </w:p>
    <w:p w:rsidR="008A74EB" w:rsidRPr="00C9040A" w:rsidRDefault="006C577F" w:rsidP="00D70EE6">
      <w:pPr>
        <w:pStyle w:val="libFootnote0"/>
        <w:rPr>
          <w:rtl/>
          <w:lang w:bidi="fa-IR"/>
        </w:rPr>
      </w:pPr>
      <w:r>
        <w:rPr>
          <w:rtl/>
        </w:rPr>
        <w:t>(11).</w:t>
      </w:r>
      <w:r w:rsidR="008A74EB" w:rsidRPr="00C9040A">
        <w:rPr>
          <w:rtl/>
        </w:rPr>
        <w:t xml:space="preserve"> في </w:t>
      </w:r>
      <w:r w:rsidR="008A74EB" w:rsidRPr="00993B55">
        <w:rPr>
          <w:rStyle w:val="libFootnoteBoldChar"/>
          <w:rtl/>
        </w:rPr>
        <w:t>المرآة</w:t>
      </w:r>
      <w:r w:rsidR="008A74EB" w:rsidRPr="00C9040A">
        <w:rPr>
          <w:rtl/>
        </w:rPr>
        <w:t xml:space="preserve"> : « وذكروا لتسليط الشياطين والكفرة على المؤمنين وجوهاً من الحكمة : الأوّل : أنّه لكفّارة ذنوبه. الثاني : أنّه لاختبار صبره وإدراجه في الصابرين. الثالث : أنّه لتزهيده في الدنيا لئلاّ يفتتن بها ويطمئنّ إليها ، فيشقّ عليه الخروج منها. الرابع : توسّله إلى جناب الحقّ سبحانه في الضرّاء وسلوكه مسلك الدعاء لدفع ما يصيبه من البلاء ، فترتفع بذلك درجته. الخامس : وحشته عن المخلوقين وا</w:t>
      </w:r>
      <w:r w:rsidR="00D70EE6">
        <w:rPr>
          <w:rFonts w:hint="cs"/>
          <w:rtl/>
        </w:rPr>
        <w:t>ُ</w:t>
      </w:r>
      <w:r w:rsidR="008A74EB" w:rsidRPr="00C9040A">
        <w:rPr>
          <w:rtl/>
        </w:rPr>
        <w:t>نسه بربّ العالمين</w:t>
      </w:r>
      <w:r w:rsidR="008A74EB">
        <w:rPr>
          <w:rtl/>
        </w:rPr>
        <w:t xml:space="preserve"> ..</w:t>
      </w:r>
      <w:r w:rsidR="008A74EB" w:rsidRPr="00C9040A">
        <w:rPr>
          <w:rtl/>
        </w:rPr>
        <w:t>. والغرض من هذا الحديث وأمثاله حثّ المؤمن على الاستعداد لتحمّل النوائب والمصائب وأنواع البلاء بالصبر والشكر والرضا بالقضاء »</w:t>
      </w:r>
      <w:r w:rsidR="008A74EB">
        <w:rPr>
          <w:rtl/>
        </w:rPr>
        <w:t>.</w:t>
      </w:r>
      <w:r w:rsidR="00D70EE6">
        <w:rPr>
          <w:rFonts w:hint="cs"/>
          <w:rtl/>
        </w:rPr>
        <w:t xml:space="preserve">   </w:t>
      </w:r>
      <w:r>
        <w:rPr>
          <w:rtl/>
        </w:rPr>
        <w:t>(12).</w:t>
      </w:r>
      <w:r w:rsidR="008A74EB" w:rsidRPr="00C9040A">
        <w:rPr>
          <w:rtl/>
        </w:rPr>
        <w:t xml:space="preserve"> في « </w:t>
      </w:r>
      <w:r w:rsidR="006D3162">
        <w:rPr>
          <w:rtl/>
        </w:rPr>
        <w:t xml:space="preserve">ه </w:t>
      </w:r>
      <w:r w:rsidR="008A74EB" w:rsidRPr="00C9040A">
        <w:rPr>
          <w:rtl/>
        </w:rPr>
        <w:t xml:space="preserve">» والوسائل </w:t>
      </w:r>
      <w:r w:rsidR="008A74EB">
        <w:rPr>
          <w:rtl/>
        </w:rPr>
        <w:t xml:space="preserve">: </w:t>
      </w:r>
      <w:r w:rsidR="0084262C">
        <w:rPr>
          <w:rtl/>
        </w:rPr>
        <w:t>-</w:t>
      </w:r>
      <w:r w:rsidR="008A74EB" w:rsidRPr="00C9040A">
        <w:rPr>
          <w:rtl/>
        </w:rPr>
        <w:t xml:space="preserve"> « الله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مَعَهُ إِلى أَحَدٍ »</w:t>
      </w:r>
      <w:r>
        <w:rPr>
          <w:rtl/>
          <w:lang w:bidi="fa-IR"/>
        </w:rPr>
        <w:t>.</w:t>
      </w:r>
      <w:r w:rsidRPr="00C9040A">
        <w:rPr>
          <w:rtl/>
          <w:lang w:bidi="fa-IR"/>
        </w:rPr>
        <w:t xml:space="preserve"> </w:t>
      </w:r>
      <w:r w:rsidR="006C577F" w:rsidRPr="006C577F">
        <w:rPr>
          <w:rStyle w:val="libFootnotenumChar"/>
          <w:rtl/>
        </w:rPr>
        <w:t>(1)</w:t>
      </w:r>
      <w:r w:rsidRPr="00C9040A">
        <w:rPr>
          <w:rtl/>
          <w:lang w:bidi="fa-IR"/>
        </w:rPr>
        <w:t xml:space="preserve"> ‌</w:t>
      </w:r>
    </w:p>
    <w:p w:rsidR="008A74EB" w:rsidRPr="00C9040A" w:rsidRDefault="008A74EB" w:rsidP="008A74EB">
      <w:pPr>
        <w:pStyle w:val="libNormal"/>
        <w:rPr>
          <w:rtl/>
          <w:lang w:bidi="fa-IR"/>
        </w:rPr>
      </w:pPr>
      <w:r w:rsidRPr="007A2CA5">
        <w:rPr>
          <w:rtl/>
        </w:rPr>
        <w:t>2342</w:t>
      </w:r>
      <w:r w:rsidRPr="00261CB0">
        <w:rPr>
          <w:rStyle w:val="libBold2Char"/>
          <w:rtl/>
        </w:rPr>
        <w:t xml:space="preserve"> / 4.</w:t>
      </w:r>
      <w:r w:rsidRPr="00C9040A">
        <w:rPr>
          <w:rtl/>
          <w:lang w:bidi="fa-IR"/>
        </w:rPr>
        <w:t xml:space="preserve"> عِدَّةٌ مِنْ أَصْحَابِنَا ، عَنْ سَهْلِ بْنِ زِيَادٍ ، عَنْ أَحْمَدَ بْنِ مُحَمَّدِ بْنِ أَبِي نَصْرٍ ، عَنْ دَاوُدَ بْنِ سِرْحَانَ ، قَالَ :</w:t>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 « أَرْبَعٌ </w:t>
      </w:r>
      <w:r w:rsidR="006C577F" w:rsidRPr="006C577F">
        <w:rPr>
          <w:rStyle w:val="libFootnotenumChar"/>
          <w:rtl/>
        </w:rPr>
        <w:t>(2)</w:t>
      </w:r>
      <w:r w:rsidRPr="00C9040A">
        <w:rPr>
          <w:rtl/>
          <w:lang w:bidi="fa-IR"/>
        </w:rPr>
        <w:t xml:space="preserve"> لَايَخْلُو مِنْهُنَّ </w:t>
      </w:r>
      <w:r w:rsidR="006C577F" w:rsidRPr="006C577F">
        <w:rPr>
          <w:rStyle w:val="libFootnotenumChar"/>
          <w:rtl/>
        </w:rPr>
        <w:t>(3)</w:t>
      </w:r>
      <w:r w:rsidRPr="00C9040A">
        <w:rPr>
          <w:rtl/>
          <w:lang w:bidi="fa-IR"/>
        </w:rPr>
        <w:t xml:space="preserve"> الْمُؤْمِنُ ، أَوْ وَاحِدَةٍ مِنْهُنَّ :</w:t>
      </w:r>
      <w:r>
        <w:rPr>
          <w:rFonts w:hint="cs"/>
          <w:rtl/>
          <w:lang w:bidi="fa-IR"/>
        </w:rPr>
        <w:t xml:space="preserve"> </w:t>
      </w:r>
      <w:r w:rsidRPr="00C9040A">
        <w:rPr>
          <w:rtl/>
          <w:lang w:bidi="fa-IR"/>
        </w:rPr>
        <w:t>مُؤْمِنٌ يَحْسُدُهُ</w:t>
      </w:r>
      <w:r>
        <w:rPr>
          <w:rtl/>
          <w:lang w:bidi="fa-IR"/>
        </w:rPr>
        <w:t xml:space="preserve"> </w:t>
      </w:r>
      <w:r w:rsidR="0084262C">
        <w:rPr>
          <w:rtl/>
          <w:lang w:bidi="fa-IR"/>
        </w:rPr>
        <w:t>-</w:t>
      </w:r>
      <w:r>
        <w:rPr>
          <w:rtl/>
          <w:lang w:bidi="fa-IR"/>
        </w:rPr>
        <w:t xml:space="preserve"> </w:t>
      </w:r>
      <w:r w:rsidRPr="00C9040A">
        <w:rPr>
          <w:rtl/>
          <w:lang w:bidi="fa-IR"/>
        </w:rPr>
        <w:t xml:space="preserve">وَهُوَ أَشَدُّهُنَّ </w:t>
      </w:r>
      <w:r w:rsidR="006C577F" w:rsidRPr="006C577F">
        <w:rPr>
          <w:rStyle w:val="libFootnotenumChar"/>
          <w:rtl/>
        </w:rPr>
        <w:t>(4)</w:t>
      </w:r>
      <w:r w:rsidRPr="00C9040A">
        <w:rPr>
          <w:rtl/>
          <w:lang w:bidi="fa-IR"/>
        </w:rPr>
        <w:t xml:space="preserve"> عَلَيْهِ</w:t>
      </w:r>
      <w:r>
        <w:rPr>
          <w:rtl/>
          <w:lang w:bidi="fa-IR"/>
        </w:rPr>
        <w:t xml:space="preserve"> </w:t>
      </w:r>
      <w:r w:rsidR="0084262C">
        <w:rPr>
          <w:rtl/>
          <w:lang w:bidi="fa-IR"/>
        </w:rPr>
        <w:t>-</w:t>
      </w:r>
      <w:r>
        <w:rPr>
          <w:rtl/>
          <w:lang w:bidi="fa-IR"/>
        </w:rPr>
        <w:t xml:space="preserve"> </w:t>
      </w:r>
      <w:r w:rsidRPr="00C9040A">
        <w:rPr>
          <w:rtl/>
          <w:lang w:bidi="fa-IR"/>
        </w:rPr>
        <w:t xml:space="preserve">وَمُنَافِقٌ يَقْفُو أَثَرَهُ ، أَوْ </w:t>
      </w:r>
      <w:r w:rsidR="006C577F" w:rsidRPr="006C577F">
        <w:rPr>
          <w:rStyle w:val="libFootnotenumChar"/>
          <w:rtl/>
        </w:rPr>
        <w:t>(5)</w:t>
      </w:r>
      <w:r w:rsidRPr="00C9040A">
        <w:rPr>
          <w:rtl/>
          <w:lang w:bidi="fa-IR"/>
        </w:rPr>
        <w:t xml:space="preserve"> عَدُوٌّ يُجَاهِدُهُ ، أَوْ شَيْطَانٌ يُغْوِيهِ »</w:t>
      </w:r>
      <w:r>
        <w:rPr>
          <w:rtl/>
          <w:lang w:bidi="fa-IR"/>
        </w:rPr>
        <w:t>.</w:t>
      </w:r>
      <w:r w:rsidR="006C577F" w:rsidRPr="006C577F">
        <w:rPr>
          <w:rStyle w:val="libFootnotenumChar"/>
          <w:rtl/>
        </w:rPr>
        <w:t>(6)</w:t>
      </w:r>
      <w:r w:rsidRPr="00C9040A">
        <w:rPr>
          <w:rtl/>
          <w:lang w:bidi="fa-IR"/>
        </w:rPr>
        <w:t>‌</w:t>
      </w:r>
    </w:p>
    <w:p w:rsidR="008A74EB" w:rsidRPr="00C9040A" w:rsidRDefault="008A74EB" w:rsidP="008A74EB">
      <w:pPr>
        <w:pStyle w:val="libNormal"/>
        <w:rPr>
          <w:rtl/>
          <w:lang w:bidi="fa-IR"/>
        </w:rPr>
      </w:pPr>
      <w:r w:rsidRPr="007A2CA5">
        <w:rPr>
          <w:rtl/>
        </w:rPr>
        <w:t>2343</w:t>
      </w:r>
      <w:r w:rsidRPr="00261CB0">
        <w:rPr>
          <w:rStyle w:val="libBold2Char"/>
          <w:rtl/>
        </w:rPr>
        <w:t xml:space="preserve"> / 5.</w:t>
      </w:r>
      <w:r w:rsidRPr="00C9040A">
        <w:rPr>
          <w:rtl/>
          <w:lang w:bidi="fa-IR"/>
        </w:rPr>
        <w:t xml:space="preserve"> مُحَمَّدُ بْنُ يَحْيى ، عَنْ أَحْمَدَ بْنِ مُحَمَّدِ بْنِ عِيسى </w:t>
      </w:r>
      <w:r w:rsidR="006C577F" w:rsidRPr="006C577F">
        <w:rPr>
          <w:rStyle w:val="libFootnotenumChar"/>
          <w:rtl/>
        </w:rPr>
        <w:t>(7)</w:t>
      </w:r>
      <w:r w:rsidRPr="00C9040A">
        <w:rPr>
          <w:rtl/>
          <w:lang w:bidi="fa-IR"/>
        </w:rPr>
        <w:t xml:space="preserve"> ، عَنِ ابْنِ سِنَانٍ </w:t>
      </w:r>
      <w:r w:rsidR="006C577F" w:rsidRPr="006C577F">
        <w:rPr>
          <w:rStyle w:val="libFootnotenumChar"/>
          <w:rtl/>
        </w:rPr>
        <w:t>(8)</w:t>
      </w:r>
      <w:r w:rsidRPr="00C9040A">
        <w:rPr>
          <w:rtl/>
          <w:lang w:bidi="fa-IR"/>
        </w:rPr>
        <w:t xml:space="preserve"> ، عَنْ عَمَّارِ بْنِ مَرْوَانَ ، عَنْ سَمَاعَةَ بْنِ مِهْرَانَ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جَعَلَ وَلِيَّهُ فِي الدُّنْيَا غَرَضاً </w:t>
      </w:r>
      <w:r w:rsidR="006C577F" w:rsidRPr="006C577F">
        <w:rPr>
          <w:rStyle w:val="libFootnotenumChar"/>
          <w:rtl/>
        </w:rPr>
        <w:t>(9)</w:t>
      </w:r>
      <w:r w:rsidR="00C822D0">
        <w:rPr>
          <w:rtl/>
          <w:lang w:bidi="fa-IR"/>
        </w:rPr>
        <w:t xml:space="preserve"> لِعَدُوِّهِ</w:t>
      </w:r>
      <w:r w:rsidRPr="00C9040A">
        <w:rPr>
          <w:rtl/>
          <w:lang w:bidi="fa-IR"/>
        </w:rPr>
        <w:t>»</w:t>
      </w:r>
      <w:r>
        <w:rPr>
          <w:rtl/>
          <w:lang w:bidi="fa-IR"/>
        </w:rPr>
        <w:t>.</w:t>
      </w:r>
      <w:r w:rsidR="006C577F" w:rsidRPr="006C577F">
        <w:rPr>
          <w:rStyle w:val="libFootnotenumChar"/>
          <w:rtl/>
        </w:rPr>
        <w:t>(10)</w:t>
      </w:r>
      <w:r w:rsidRPr="00C9040A">
        <w:rPr>
          <w:rtl/>
          <w:lang w:bidi="fa-IR"/>
        </w:rPr>
        <w:t xml:space="preserve"> ‌</w:t>
      </w:r>
    </w:p>
    <w:p w:rsidR="008A74EB" w:rsidRPr="00C9040A" w:rsidRDefault="008A74EB" w:rsidP="008A74EB">
      <w:pPr>
        <w:pStyle w:val="libNormal"/>
        <w:rPr>
          <w:rtl/>
          <w:lang w:bidi="fa-IR"/>
        </w:rPr>
      </w:pPr>
      <w:r w:rsidRPr="007A2CA5">
        <w:rPr>
          <w:rtl/>
        </w:rPr>
        <w:t>2344</w:t>
      </w:r>
      <w:r w:rsidRPr="00261CB0">
        <w:rPr>
          <w:rStyle w:val="libBold2Char"/>
          <w:rtl/>
        </w:rPr>
        <w:t xml:space="preserve"> / 6.</w:t>
      </w:r>
      <w:r w:rsidRPr="00C9040A">
        <w:rPr>
          <w:rtl/>
          <w:lang w:bidi="fa-IR"/>
        </w:rPr>
        <w:t xml:space="preserve"> عِدَّةٌ مِنْ أَصْحَابِنَا ، عَنْ أَحْمَدَ بْنِ مُحَمَّدِ بْنِ خَالِدٍ ، عَنْ عُثْمَانَ بْنِ عِيسى ، عَنْ‌</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CD3BD1">
      <w:pPr>
        <w:pStyle w:val="libFootnote0"/>
        <w:rPr>
          <w:rtl/>
          <w:lang w:bidi="fa-IR"/>
        </w:rPr>
      </w:pPr>
      <w:r>
        <w:rPr>
          <w:rtl/>
        </w:rPr>
        <w:t>(1).</w:t>
      </w:r>
      <w:r w:rsidR="008A74EB">
        <w:rPr>
          <w:rtl/>
        </w:rPr>
        <w:t xml:space="preserve"> </w:t>
      </w:r>
      <w:r w:rsidR="008A74EB" w:rsidRPr="00993B55">
        <w:rPr>
          <w:rStyle w:val="libFootnoteBoldChar"/>
          <w:rtl/>
        </w:rPr>
        <w:t>علل الشرائع</w:t>
      </w:r>
      <w:r w:rsidR="008A74EB" w:rsidRPr="00C9040A">
        <w:rPr>
          <w:rtl/>
        </w:rPr>
        <w:t xml:space="preserve"> ، ص 44 ، ذيل ح 2 ، بسند آخر ؛ </w:t>
      </w:r>
      <w:r w:rsidR="008A74EB" w:rsidRPr="00993B55">
        <w:rPr>
          <w:rStyle w:val="libFootnoteBoldChar"/>
          <w:rtl/>
        </w:rPr>
        <w:t>وفيه</w:t>
      </w:r>
      <w:r w:rsidR="008A74EB" w:rsidRPr="00C9040A">
        <w:rPr>
          <w:rtl/>
        </w:rPr>
        <w:t xml:space="preserve"> ، ح 3 ، بسند آخر عن عليّ بن الحسين ، عن أبيه </w:t>
      </w:r>
      <w:r w:rsidR="00117575" w:rsidRPr="00CD3BD1">
        <w:rPr>
          <w:rStyle w:val="libFootnoteAlaemChar"/>
          <w:rtl/>
        </w:rPr>
        <w:t>عليهما‌السلام</w:t>
      </w:r>
      <w:r w:rsidR="008A74EB" w:rsidRPr="00C9040A">
        <w:rPr>
          <w:rtl/>
        </w:rPr>
        <w:t xml:space="preserve"> عن رسول الله </w:t>
      </w:r>
      <w:r w:rsidR="004A4E41" w:rsidRPr="00CD3BD1">
        <w:rPr>
          <w:rStyle w:val="libFootnoteAlaemChar"/>
          <w:rtl/>
        </w:rPr>
        <w:t>صلى‌الله‌عليه‌وآله</w:t>
      </w:r>
      <w:r w:rsidR="008A74EB" w:rsidRPr="00C9040A">
        <w:rPr>
          <w:rtl/>
        </w:rPr>
        <w:t xml:space="preserve"> ، مع زيادة في أوّله ، وفيهما من قوله : « ولو أنّ مؤمناً » إلى قوله : « شيطاناً يؤذيه » مع اختلاف يسير</w:t>
      </w:r>
      <w:r w:rsidR="00CD3BD1">
        <w:rPr>
          <w:rFonts w:hint="cs"/>
          <w:rtl/>
        </w:rPr>
        <w:t>.</w:t>
      </w:r>
      <w:r w:rsidR="008A74EB" w:rsidRPr="00993B55">
        <w:rPr>
          <w:rStyle w:val="libFootnoteBoldChar"/>
          <w:rtl/>
        </w:rPr>
        <w:t>الوافي</w:t>
      </w:r>
      <w:r w:rsidR="008A74EB" w:rsidRPr="00C9040A">
        <w:rPr>
          <w:rtl/>
        </w:rPr>
        <w:t xml:space="preserve"> ، ج 5 ، ص 757 ، ح 2983 ؛ </w:t>
      </w:r>
      <w:r w:rsidR="008A74EB" w:rsidRPr="00993B55">
        <w:rPr>
          <w:rStyle w:val="libFootnoteBoldChar"/>
          <w:rtl/>
        </w:rPr>
        <w:t>الوسائل</w:t>
      </w:r>
      <w:r w:rsidR="008A74EB" w:rsidRPr="00C9040A">
        <w:rPr>
          <w:rtl/>
        </w:rPr>
        <w:t xml:space="preserve"> ، ج 12 ، ص 122 ، ح 15826 ؛ </w:t>
      </w:r>
      <w:r w:rsidR="008A74EB" w:rsidRPr="00993B55">
        <w:rPr>
          <w:rStyle w:val="libFootnoteBoldChar"/>
          <w:rtl/>
        </w:rPr>
        <w:t>البحار</w:t>
      </w:r>
      <w:r w:rsidR="008A74EB" w:rsidRPr="00C9040A">
        <w:rPr>
          <w:rtl/>
        </w:rPr>
        <w:t xml:space="preserve"> ، ج 68 ، ص 218 ، ح 7.</w:t>
      </w:r>
    </w:p>
    <w:tbl>
      <w:tblPr>
        <w:tblStyle w:val="TableGrid"/>
        <w:bidiVisual/>
        <w:tblW w:w="0" w:type="auto"/>
        <w:tblLook w:val="04A0" w:firstRow="1" w:lastRow="0" w:firstColumn="1" w:lastColumn="0" w:noHBand="0" w:noVBand="1"/>
      </w:tblPr>
      <w:tblGrid>
        <w:gridCol w:w="4006"/>
        <w:gridCol w:w="4006"/>
      </w:tblGrid>
      <w:tr w:rsidR="00CD3BD1" w:rsidTr="00CD3BD1">
        <w:tc>
          <w:tcPr>
            <w:tcW w:w="4006" w:type="dxa"/>
          </w:tcPr>
          <w:p w:rsidR="00CD3BD1" w:rsidRDefault="00CD3BD1" w:rsidP="004A4E41">
            <w:pPr>
              <w:pStyle w:val="libFootnote0"/>
              <w:rPr>
                <w:rtl/>
              </w:rPr>
            </w:pPr>
            <w:r>
              <w:rPr>
                <w:rtl/>
              </w:rPr>
              <w:t xml:space="preserve">(2). </w:t>
            </w:r>
            <w:r w:rsidRPr="00C9040A">
              <w:rPr>
                <w:rtl/>
              </w:rPr>
              <w:t xml:space="preserve">في « </w:t>
            </w:r>
            <w:r>
              <w:rPr>
                <w:rtl/>
              </w:rPr>
              <w:t xml:space="preserve">ه </w:t>
            </w:r>
            <w:r w:rsidRPr="00C9040A">
              <w:rPr>
                <w:rtl/>
              </w:rPr>
              <w:t>» : « أربعة »</w:t>
            </w:r>
            <w:r>
              <w:rPr>
                <w:rtl/>
              </w:rPr>
              <w:t>.</w:t>
            </w:r>
          </w:p>
        </w:tc>
        <w:tc>
          <w:tcPr>
            <w:tcW w:w="4006" w:type="dxa"/>
          </w:tcPr>
          <w:p w:rsidR="00CD3BD1" w:rsidRDefault="00CD3BD1" w:rsidP="004A4E41">
            <w:pPr>
              <w:pStyle w:val="libFootnote0"/>
              <w:rPr>
                <w:rtl/>
              </w:rPr>
            </w:pPr>
            <w:r>
              <w:rPr>
                <w:rtl/>
              </w:rPr>
              <w:t>(3).</w:t>
            </w:r>
            <w:r w:rsidRPr="00C9040A">
              <w:rPr>
                <w:rtl/>
              </w:rPr>
              <w:t xml:space="preserve"> في « </w:t>
            </w:r>
            <w:r>
              <w:rPr>
                <w:rtl/>
              </w:rPr>
              <w:t xml:space="preserve">ه </w:t>
            </w:r>
            <w:r w:rsidRPr="00C9040A">
              <w:rPr>
                <w:rtl/>
              </w:rPr>
              <w:t>» : « منها »</w:t>
            </w:r>
            <w:r>
              <w:rPr>
                <w:rtl/>
              </w:rPr>
              <w:t>.</w:t>
            </w:r>
          </w:p>
        </w:tc>
      </w:tr>
      <w:tr w:rsidR="00CD3BD1" w:rsidTr="00CD3BD1">
        <w:tc>
          <w:tcPr>
            <w:tcW w:w="4006" w:type="dxa"/>
          </w:tcPr>
          <w:p w:rsidR="00CD3BD1" w:rsidRDefault="00CD3BD1" w:rsidP="004A4E41">
            <w:pPr>
              <w:pStyle w:val="libFootnote0"/>
              <w:rPr>
                <w:rtl/>
              </w:rPr>
            </w:pPr>
            <w:r>
              <w:rPr>
                <w:rtl/>
              </w:rPr>
              <w:t>(4).</w:t>
            </w:r>
            <w:r w:rsidRPr="00C9040A">
              <w:rPr>
                <w:rtl/>
              </w:rPr>
              <w:t xml:space="preserve"> في حاشية « ج ، ض » : « أيسرهنّ »</w:t>
            </w:r>
            <w:r>
              <w:rPr>
                <w:rtl/>
              </w:rPr>
              <w:t>.</w:t>
            </w:r>
          </w:p>
        </w:tc>
        <w:tc>
          <w:tcPr>
            <w:tcW w:w="4006" w:type="dxa"/>
          </w:tcPr>
          <w:p w:rsidR="00CD3BD1" w:rsidRDefault="00CD3BD1" w:rsidP="004A4E41">
            <w:pPr>
              <w:pStyle w:val="libFootnote0"/>
              <w:rPr>
                <w:rtl/>
              </w:rPr>
            </w:pPr>
            <w:r>
              <w:rPr>
                <w:rtl/>
              </w:rPr>
              <w:t>(5).</w:t>
            </w:r>
            <w:r w:rsidRPr="00C9040A">
              <w:rPr>
                <w:rtl/>
              </w:rPr>
              <w:t xml:space="preserve"> في مرآة العقول : « </w:t>
            </w:r>
            <w:r>
              <w:rPr>
                <w:rtl/>
              </w:rPr>
              <w:t>و ».</w:t>
            </w:r>
          </w:p>
        </w:tc>
      </w:tr>
    </w:tbl>
    <w:p w:rsidR="008A74EB" w:rsidRPr="00C9040A" w:rsidRDefault="006C577F" w:rsidP="00F32DA2">
      <w:pPr>
        <w:pStyle w:val="libFootnote0"/>
        <w:rPr>
          <w:rtl/>
          <w:lang w:bidi="fa-IR"/>
        </w:rPr>
      </w:pPr>
      <w:r>
        <w:rPr>
          <w:rtl/>
        </w:rPr>
        <w:t>(6).</w:t>
      </w:r>
      <w:r w:rsidR="008A74EB">
        <w:rPr>
          <w:rtl/>
        </w:rPr>
        <w:t xml:space="preserve"> </w:t>
      </w:r>
      <w:r w:rsidR="008A74EB" w:rsidRPr="0034021D">
        <w:rPr>
          <w:rStyle w:val="libFootnoteBoldChar"/>
          <w:rtl/>
        </w:rPr>
        <w:t>الأمالي للصدوق</w:t>
      </w:r>
      <w:r w:rsidR="008A74EB" w:rsidRPr="00C9040A">
        <w:rPr>
          <w:rtl/>
        </w:rPr>
        <w:t xml:space="preserve"> ، ص 492 ، المجلس 74 ، ح 9 ؛ و</w:t>
      </w:r>
      <w:r w:rsidR="008A74EB" w:rsidRPr="00993B55">
        <w:rPr>
          <w:rStyle w:val="libFootnoteBoldChar"/>
          <w:rtl/>
        </w:rPr>
        <w:t xml:space="preserve">الخصال </w:t>
      </w:r>
      <w:r w:rsidR="008A74EB" w:rsidRPr="00C9040A">
        <w:rPr>
          <w:rtl/>
        </w:rPr>
        <w:t xml:space="preserve">، ص 229 ، باب الأربعة ، ح 70 ، بسند آخر عن أبي‌عبدالله </w:t>
      </w:r>
      <w:r w:rsidR="00117575" w:rsidRPr="00117575">
        <w:rPr>
          <w:rStyle w:val="libFootnoteAlaemChar"/>
          <w:rtl/>
        </w:rPr>
        <w:t>عليه‌السلام</w:t>
      </w:r>
      <w:r w:rsidR="008A74EB" w:rsidRPr="00C9040A">
        <w:rPr>
          <w:rtl/>
        </w:rPr>
        <w:t xml:space="preserve"> ، من دون الإسناد إلى النبيّ </w:t>
      </w:r>
      <w:r w:rsidR="004A4E41" w:rsidRPr="00F32DA2">
        <w:rPr>
          <w:rStyle w:val="libFootnoteAlaemChar"/>
          <w:rtl/>
        </w:rPr>
        <w:t>صلى‌الله‌عليه‌وآله</w:t>
      </w:r>
      <w:r w:rsidR="008A74EB" w:rsidRPr="00C9040A">
        <w:rPr>
          <w:rtl/>
        </w:rPr>
        <w:t xml:space="preserve"> ، مع اختلاف يسير وزيادة في آخره</w:t>
      </w:r>
      <w:r w:rsidR="00F32DA2">
        <w:rPr>
          <w:rFonts w:hint="cs"/>
          <w:rtl/>
        </w:rPr>
        <w:t>.</w:t>
      </w:r>
      <w:r w:rsidR="008A74EB" w:rsidRPr="00993B55">
        <w:rPr>
          <w:rStyle w:val="libFootnoteBoldChar"/>
          <w:rtl/>
        </w:rPr>
        <w:t>الوافي</w:t>
      </w:r>
      <w:r w:rsidR="008A74EB" w:rsidRPr="00C9040A">
        <w:rPr>
          <w:rtl/>
        </w:rPr>
        <w:t xml:space="preserve"> ، ج 5 ، ص 758 ، ح 2984 ؛ </w:t>
      </w:r>
      <w:r w:rsidR="008A74EB" w:rsidRPr="00993B55">
        <w:rPr>
          <w:rStyle w:val="libFootnoteBoldChar"/>
          <w:rtl/>
        </w:rPr>
        <w:t>الوسائل</w:t>
      </w:r>
      <w:r w:rsidR="008A74EB" w:rsidRPr="00C9040A">
        <w:rPr>
          <w:rtl/>
        </w:rPr>
        <w:t xml:space="preserve"> ، ج 12 ، ص 181 ، ح 16020 ؛ </w:t>
      </w:r>
      <w:r w:rsidR="008A74EB" w:rsidRPr="00993B55">
        <w:rPr>
          <w:rStyle w:val="libFootnoteBoldChar"/>
          <w:rtl/>
        </w:rPr>
        <w:t>البحار</w:t>
      </w:r>
      <w:r w:rsidR="008A74EB" w:rsidRPr="00C9040A">
        <w:rPr>
          <w:rtl/>
        </w:rPr>
        <w:t xml:space="preserve"> ، ج 68 ، ص 219 ، ح 8.</w:t>
      </w:r>
    </w:p>
    <w:tbl>
      <w:tblPr>
        <w:tblStyle w:val="TableGrid"/>
        <w:bidiVisual/>
        <w:tblW w:w="0" w:type="auto"/>
        <w:tblLook w:val="04A0" w:firstRow="1" w:lastRow="0" w:firstColumn="1" w:lastColumn="0" w:noHBand="0" w:noVBand="1"/>
      </w:tblPr>
      <w:tblGrid>
        <w:gridCol w:w="4006"/>
        <w:gridCol w:w="4006"/>
      </w:tblGrid>
      <w:tr w:rsidR="00F32DA2" w:rsidTr="00F32DA2">
        <w:tc>
          <w:tcPr>
            <w:tcW w:w="4006" w:type="dxa"/>
          </w:tcPr>
          <w:p w:rsidR="00F32DA2" w:rsidRDefault="00F32DA2" w:rsidP="004A4E41">
            <w:pPr>
              <w:pStyle w:val="libFootnote0"/>
              <w:rPr>
                <w:rtl/>
              </w:rPr>
            </w:pPr>
            <w:r>
              <w:rPr>
                <w:rtl/>
              </w:rPr>
              <w:t>(7).</w:t>
            </w:r>
            <w:r w:rsidRPr="00C9040A">
              <w:rPr>
                <w:rtl/>
              </w:rPr>
              <w:t xml:space="preserve"> في « </w:t>
            </w:r>
            <w:r>
              <w:rPr>
                <w:rtl/>
              </w:rPr>
              <w:t xml:space="preserve">ه </w:t>
            </w:r>
            <w:r w:rsidRPr="00C9040A">
              <w:rPr>
                <w:rtl/>
              </w:rPr>
              <w:t xml:space="preserve">» </w:t>
            </w:r>
            <w:r>
              <w:rPr>
                <w:rtl/>
              </w:rPr>
              <w:t>: -</w:t>
            </w:r>
            <w:r w:rsidRPr="00C9040A">
              <w:rPr>
                <w:rtl/>
              </w:rPr>
              <w:t xml:space="preserve"> « بن عيسى »</w:t>
            </w:r>
            <w:r>
              <w:rPr>
                <w:rtl/>
              </w:rPr>
              <w:t>.</w:t>
            </w:r>
          </w:p>
        </w:tc>
        <w:tc>
          <w:tcPr>
            <w:tcW w:w="4006" w:type="dxa"/>
          </w:tcPr>
          <w:p w:rsidR="00F32DA2" w:rsidRDefault="00F32DA2" w:rsidP="004A4E41">
            <w:pPr>
              <w:pStyle w:val="libFootnote0"/>
              <w:rPr>
                <w:rtl/>
              </w:rPr>
            </w:pPr>
            <w:r>
              <w:rPr>
                <w:rtl/>
              </w:rPr>
              <w:t>(8).</w:t>
            </w:r>
            <w:r w:rsidRPr="00C9040A">
              <w:rPr>
                <w:rtl/>
              </w:rPr>
              <w:t xml:space="preserve"> في « ص ، </w:t>
            </w:r>
            <w:r>
              <w:rPr>
                <w:rtl/>
              </w:rPr>
              <w:t xml:space="preserve">ه </w:t>
            </w:r>
            <w:r w:rsidRPr="00C9040A">
              <w:rPr>
                <w:rtl/>
              </w:rPr>
              <w:t>» : + « عن محمّد بن سنان »</w:t>
            </w:r>
            <w:r>
              <w:rPr>
                <w:rtl/>
              </w:rPr>
              <w:t>.</w:t>
            </w:r>
          </w:p>
        </w:tc>
      </w:tr>
    </w:tbl>
    <w:p w:rsidR="008A74EB" w:rsidRPr="00C9040A" w:rsidRDefault="006C577F" w:rsidP="004A4E41">
      <w:pPr>
        <w:pStyle w:val="libFootnote0"/>
        <w:rPr>
          <w:rtl/>
          <w:lang w:bidi="fa-IR"/>
        </w:rPr>
      </w:pPr>
      <w:r>
        <w:rPr>
          <w:rtl/>
        </w:rPr>
        <w:t>(9).</w:t>
      </w:r>
      <w:r w:rsidR="008A74EB" w:rsidRPr="00C9040A">
        <w:rPr>
          <w:rtl/>
        </w:rPr>
        <w:t xml:space="preserve"> « الغَرَض » : الهَدَف الذي يُرمى إليه. والجمع : أغراض. وتقول : غَرَضُه كذا ، على التشبيه بذلك ، أي‌مرماه‌الذي يقصده. </w:t>
      </w:r>
      <w:r w:rsidR="008A74EB" w:rsidRPr="00993B55">
        <w:rPr>
          <w:rStyle w:val="libFootnoteBoldChar"/>
          <w:rtl/>
        </w:rPr>
        <w:t>المصباح المنير</w:t>
      </w:r>
      <w:r w:rsidR="008A74EB" w:rsidRPr="00C9040A">
        <w:rPr>
          <w:rtl/>
        </w:rPr>
        <w:t xml:space="preserve"> ، ص 445 ( غرض )</w:t>
      </w:r>
      <w:r w:rsidR="008A74EB">
        <w:rPr>
          <w:rtl/>
        </w:rPr>
        <w:t>.</w:t>
      </w:r>
      <w:r w:rsidR="008A74EB" w:rsidRPr="00C9040A">
        <w:rPr>
          <w:rtl/>
        </w:rPr>
        <w:t xml:space="preserve"> وقال في </w:t>
      </w:r>
      <w:r w:rsidR="008A74EB" w:rsidRPr="00993B55">
        <w:rPr>
          <w:rStyle w:val="libFootnoteBoldChar"/>
          <w:rtl/>
        </w:rPr>
        <w:t>المرآة</w:t>
      </w:r>
      <w:r w:rsidR="008A74EB" w:rsidRPr="00C9040A">
        <w:rPr>
          <w:rtl/>
        </w:rPr>
        <w:t xml:space="preserve"> : « أي جعل محبّه في الدنيا هدفاً لسهام عداوة عدوّه وحيله وشروره »</w:t>
      </w:r>
      <w:r w:rsidR="008A74EB">
        <w:rPr>
          <w:rtl/>
        </w:rPr>
        <w:t>.</w:t>
      </w:r>
    </w:p>
    <w:p w:rsidR="008A74EB" w:rsidRPr="00C9040A" w:rsidRDefault="006C577F" w:rsidP="00F32DA2">
      <w:pPr>
        <w:pStyle w:val="libFootnote0"/>
        <w:rPr>
          <w:rtl/>
          <w:lang w:bidi="fa-IR"/>
        </w:rPr>
      </w:pPr>
      <w:r>
        <w:rPr>
          <w:rtl/>
        </w:rPr>
        <w:t>(10).</w:t>
      </w:r>
      <w:r w:rsidR="008A74EB" w:rsidRPr="00C9040A">
        <w:rPr>
          <w:rtl/>
        </w:rPr>
        <w:t xml:space="preserve"> </w:t>
      </w:r>
      <w:r w:rsidR="008A74EB" w:rsidRPr="00993B55">
        <w:rPr>
          <w:rStyle w:val="libFootnoteBoldChar"/>
          <w:rtl/>
        </w:rPr>
        <w:t>المؤمن</w:t>
      </w:r>
      <w:r w:rsidR="008A74EB" w:rsidRPr="00C9040A">
        <w:rPr>
          <w:rtl/>
        </w:rPr>
        <w:t xml:space="preserve"> ، ص 20 ، ح 17 ، عن سماعة</w:t>
      </w:r>
      <w:r w:rsidR="00F32DA2">
        <w:rPr>
          <w:rFonts w:hint="cs"/>
          <w:rtl/>
        </w:rPr>
        <w:t>.</w:t>
      </w:r>
      <w:r w:rsidR="008A74EB" w:rsidRPr="00993B55">
        <w:rPr>
          <w:rStyle w:val="libFootnoteBoldChar"/>
          <w:rtl/>
        </w:rPr>
        <w:t>الوافي</w:t>
      </w:r>
      <w:r w:rsidR="008A74EB" w:rsidRPr="00C9040A">
        <w:rPr>
          <w:rtl/>
        </w:rPr>
        <w:t xml:space="preserve"> ، ج 5 ، ص 759 ، ح 2990 ؛ </w:t>
      </w:r>
      <w:r w:rsidR="008A74EB" w:rsidRPr="00993B55">
        <w:rPr>
          <w:rStyle w:val="libFootnoteBoldChar"/>
          <w:rtl/>
        </w:rPr>
        <w:t>البحار</w:t>
      </w:r>
      <w:r w:rsidR="008A74EB" w:rsidRPr="00C9040A">
        <w:rPr>
          <w:rtl/>
        </w:rPr>
        <w:t xml:space="preserve"> ، ج 68 ، ص 221 ، ح 10.</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مُحَمَّدِ بْنِ عَجْلَانَ ، قَالَ :</w:t>
      </w:r>
    </w:p>
    <w:p w:rsidR="008A74EB" w:rsidRPr="00C9040A" w:rsidRDefault="008A74EB" w:rsidP="00AB6833">
      <w:pPr>
        <w:pStyle w:val="libNormal"/>
        <w:rPr>
          <w:rtl/>
          <w:lang w:bidi="fa-IR"/>
        </w:rPr>
      </w:pPr>
      <w:r w:rsidRPr="00C9040A">
        <w:rPr>
          <w:rtl/>
          <w:lang w:bidi="fa-IR"/>
        </w:rPr>
        <w:t xml:space="preserve">كُنْتُ عِنْدَ أَبِي عَبْدِ اللهِ </w:t>
      </w:r>
      <w:r w:rsidRPr="0003660B">
        <w:rPr>
          <w:rStyle w:val="libAlaemChar"/>
          <w:rtl/>
        </w:rPr>
        <w:t>عليه‌السلام</w:t>
      </w:r>
      <w:r w:rsidRPr="00C9040A">
        <w:rPr>
          <w:rtl/>
          <w:lang w:bidi="fa-IR"/>
        </w:rPr>
        <w:t xml:space="preserve"> ، فَشَكَا إِلَيْهِ رَجُلٌ الْحَاجَةَ ، فَقَالَ لَهُ </w:t>
      </w:r>
      <w:r w:rsidR="006C577F" w:rsidRPr="006C577F">
        <w:rPr>
          <w:rStyle w:val="libFootnotenumChar"/>
          <w:rtl/>
        </w:rPr>
        <w:t>(1)</w:t>
      </w:r>
      <w:r w:rsidRPr="00C9040A">
        <w:rPr>
          <w:rtl/>
          <w:lang w:bidi="fa-IR"/>
        </w:rPr>
        <w:t xml:space="preserve"> : « اصْبِرْ ؛ فَإِنَّ </w:t>
      </w:r>
      <w:r w:rsidR="006C577F" w:rsidRPr="006C577F">
        <w:rPr>
          <w:rStyle w:val="libFootnotenumChar"/>
          <w:rtl/>
        </w:rPr>
        <w:t>(2)</w:t>
      </w:r>
      <w:r w:rsidRPr="00C9040A">
        <w:rPr>
          <w:rtl/>
          <w:lang w:bidi="fa-IR"/>
        </w:rPr>
        <w:t xml:space="preserve"> اللهَ سَيَجْعَلُ لَكَ فَرَجاً » قَالَ : ثُمَّ سَكَتَ سَاعَةً ، ثُمَّ أَقْبَلَ عَلَى الرَّجُلِ ، فَقَالَ : « أَخْبِرْنِي عَنْ سِجْنِ الْكُوفَةِ ، كَيْفَ هُوَ</w:t>
      </w:r>
      <w:r>
        <w:rPr>
          <w:rtl/>
          <w:lang w:bidi="fa-IR"/>
        </w:rPr>
        <w:t>؟</w:t>
      </w:r>
      <w:r w:rsidRPr="00C9040A">
        <w:rPr>
          <w:rtl/>
          <w:lang w:bidi="fa-IR"/>
        </w:rPr>
        <w:t xml:space="preserve"> » فَقَالَ : أَصْلَحَكَ اللهُ ، ضَيِّقٌ مُنْتِنٌ ، وَأَهْلُهُ بِأَسْوَا حَالٍ ، قَالَ :</w:t>
      </w:r>
      <w:r>
        <w:rPr>
          <w:rFonts w:hint="cs"/>
          <w:rtl/>
          <w:lang w:bidi="fa-IR"/>
        </w:rPr>
        <w:t xml:space="preserve"> </w:t>
      </w:r>
      <w:r w:rsidRPr="00C9040A">
        <w:rPr>
          <w:rtl/>
          <w:lang w:bidi="fa-IR"/>
        </w:rPr>
        <w:t xml:space="preserve">« فَإِنَّمَا أَنْتَ فِي السِّجْنِ فَتُرِيدُ أَنْ تَكُونَ فِيهِ </w:t>
      </w:r>
      <w:r w:rsidR="006C577F" w:rsidRPr="006C577F">
        <w:rPr>
          <w:rStyle w:val="libFootnotenumChar"/>
          <w:rtl/>
        </w:rPr>
        <w:t>(3)</w:t>
      </w:r>
      <w:r w:rsidRPr="00C9040A">
        <w:rPr>
          <w:rtl/>
          <w:lang w:bidi="fa-IR"/>
        </w:rPr>
        <w:t xml:space="preserve"> فِي </w:t>
      </w:r>
      <w:r w:rsidR="006C577F" w:rsidRPr="006C577F">
        <w:rPr>
          <w:rStyle w:val="libFootnotenumChar"/>
          <w:rtl/>
        </w:rPr>
        <w:t>(4)</w:t>
      </w:r>
      <w:r w:rsidRPr="00C9040A">
        <w:rPr>
          <w:rtl/>
          <w:lang w:bidi="fa-IR"/>
        </w:rPr>
        <w:t xml:space="preserve"> سَعَةٍ</w:t>
      </w:r>
      <w:r>
        <w:rPr>
          <w:rtl/>
          <w:lang w:bidi="fa-IR"/>
        </w:rPr>
        <w:t>؟ أَ</w:t>
      </w:r>
      <w:r w:rsidRPr="00C9040A">
        <w:rPr>
          <w:rtl/>
          <w:lang w:bidi="fa-IR"/>
        </w:rPr>
        <w:t>مَا عَلِمْتَ أَنَّ الدُّنْيَا سِجْنُ الْمُؤْمِنِ »</w:t>
      </w:r>
      <w:r>
        <w:rPr>
          <w:rtl/>
          <w:lang w:bidi="fa-IR"/>
        </w:rPr>
        <w:t>.</w:t>
      </w:r>
      <w:r w:rsidRPr="00C9040A">
        <w:rPr>
          <w:rtl/>
          <w:lang w:bidi="fa-IR"/>
        </w:rPr>
        <w:t xml:space="preserve"> </w:t>
      </w:r>
      <w:r w:rsidR="006C577F" w:rsidRPr="006C577F">
        <w:rPr>
          <w:rStyle w:val="libFootnotenumChar"/>
          <w:rtl/>
        </w:rPr>
        <w:t>(5)</w:t>
      </w:r>
    </w:p>
    <w:p w:rsidR="008A74EB" w:rsidRPr="00C9040A" w:rsidRDefault="008A74EB" w:rsidP="008A74EB">
      <w:pPr>
        <w:pStyle w:val="libNormal"/>
        <w:rPr>
          <w:rtl/>
          <w:lang w:bidi="fa-IR"/>
        </w:rPr>
      </w:pPr>
      <w:r w:rsidRPr="007A2CA5">
        <w:rPr>
          <w:rtl/>
        </w:rPr>
        <w:t>2345</w:t>
      </w:r>
      <w:r w:rsidRPr="00261CB0">
        <w:rPr>
          <w:rStyle w:val="libBold2Char"/>
          <w:rtl/>
        </w:rPr>
        <w:t xml:space="preserve"> / 7.</w:t>
      </w:r>
      <w:r w:rsidRPr="00C9040A">
        <w:rPr>
          <w:rtl/>
          <w:lang w:bidi="fa-IR"/>
        </w:rPr>
        <w:t xml:space="preserve"> عَنْهُ </w:t>
      </w:r>
      <w:r w:rsidR="006C577F" w:rsidRPr="006C577F">
        <w:rPr>
          <w:rStyle w:val="libFootnotenumChar"/>
          <w:rtl/>
        </w:rPr>
        <w:t>(6)</w:t>
      </w:r>
      <w:r w:rsidRPr="00C9040A">
        <w:rPr>
          <w:rtl/>
          <w:lang w:bidi="fa-IR"/>
        </w:rPr>
        <w:t>، عَنْ مُحَمَّدِ بْنِ عَلِيٍّ ، عَنْ إِبْرَاهِيمَ الْحَذَّاءِ ، عَنْ مُحَمَّدِ بْنِ صَغِيرٍ ، عَنْ جَدِّهِ شُعَيْبٍ ، قَالَ :</w:t>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 « الدُّنْيَا سِجْنُ الْمُؤْمِنِ ، فَأَيُّ سِجْنٍ </w:t>
      </w:r>
      <w:r w:rsidR="006C577F" w:rsidRPr="006C577F">
        <w:rPr>
          <w:rStyle w:val="libFootnotenumChar"/>
          <w:rtl/>
        </w:rPr>
        <w:t>(7)</w:t>
      </w:r>
      <w:r w:rsidRPr="00C9040A">
        <w:rPr>
          <w:rtl/>
          <w:lang w:bidi="fa-IR"/>
        </w:rPr>
        <w:t xml:space="preserve"> جَاءَ مِنْهُ خَيْرٌ</w:t>
      </w:r>
      <w:r>
        <w:rPr>
          <w:rtl/>
          <w:lang w:bidi="fa-IR"/>
        </w:rPr>
        <w:t>؟</w:t>
      </w:r>
      <w:r w:rsidRPr="00C9040A">
        <w:rPr>
          <w:rtl/>
          <w:lang w:bidi="fa-IR"/>
        </w:rPr>
        <w:t xml:space="preserve"> »</w:t>
      </w:r>
      <w:r>
        <w:rPr>
          <w:rtl/>
          <w:lang w:bidi="fa-IR"/>
        </w:rPr>
        <w:t>.</w:t>
      </w:r>
      <w:r w:rsidR="006C577F" w:rsidRPr="006C577F">
        <w:rPr>
          <w:rStyle w:val="libFootnotenumChar"/>
          <w:rtl/>
        </w:rPr>
        <w:t>(8)</w:t>
      </w:r>
      <w:r w:rsidRPr="00C9040A">
        <w:rPr>
          <w:rtl/>
          <w:lang w:bidi="fa-IR"/>
        </w:rPr>
        <w:t>‌</w:t>
      </w:r>
    </w:p>
    <w:p w:rsidR="008A74EB" w:rsidRPr="00C9040A" w:rsidRDefault="008A74EB" w:rsidP="008A74EB">
      <w:pPr>
        <w:pStyle w:val="libNormal"/>
        <w:rPr>
          <w:rtl/>
          <w:lang w:bidi="fa-IR"/>
        </w:rPr>
      </w:pPr>
      <w:r w:rsidRPr="007A2CA5">
        <w:rPr>
          <w:rtl/>
        </w:rPr>
        <w:t>2346</w:t>
      </w:r>
      <w:r w:rsidRPr="00261CB0">
        <w:rPr>
          <w:rStyle w:val="libBold2Char"/>
          <w:rtl/>
        </w:rPr>
        <w:t xml:space="preserve"> / 8.</w:t>
      </w:r>
      <w:r w:rsidRPr="00C9040A">
        <w:rPr>
          <w:rtl/>
          <w:lang w:bidi="fa-IR"/>
        </w:rPr>
        <w:t xml:space="preserve"> مُحَمَّدُ بْنُ يَحْيى ، عَنْ أَحْمَدَ بْنِ مُحَمَّدِ بْنِ عِيسى ، عَنِ الْحَجَّالِ ، عَنْ‌</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ب ، د ، ز ، ض ، </w:t>
      </w:r>
      <w:r w:rsidR="006D3162">
        <w:rPr>
          <w:rtl/>
        </w:rPr>
        <w:t xml:space="preserve">ه </w:t>
      </w:r>
      <w:r w:rsidR="008A74EB" w:rsidRPr="00C9040A">
        <w:rPr>
          <w:rtl/>
        </w:rPr>
        <w:t xml:space="preserve">، بر ، بس ، بف » والوافي والبحار والمؤمن </w:t>
      </w:r>
      <w:r w:rsidR="008A74EB">
        <w:rPr>
          <w:rtl/>
        </w:rPr>
        <w:t xml:space="preserve">: </w:t>
      </w:r>
      <w:r w:rsidR="0084262C">
        <w:rPr>
          <w:rtl/>
        </w:rPr>
        <w:t>-</w:t>
      </w:r>
      <w:r w:rsidR="008A74EB" w:rsidRPr="00C9040A">
        <w:rPr>
          <w:rtl/>
        </w:rPr>
        <w:t xml:space="preserve"> « له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ب » : « إنّ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w:t>
      </w:r>
      <w:r w:rsidR="006D3162">
        <w:rPr>
          <w:rtl/>
        </w:rPr>
        <w:t xml:space="preserve">ه </w:t>
      </w:r>
      <w:r w:rsidR="008A74EB" w:rsidRPr="00C9040A">
        <w:rPr>
          <w:rtl/>
        </w:rPr>
        <w:t xml:space="preserve">» </w:t>
      </w:r>
      <w:r w:rsidR="008A74EB">
        <w:rPr>
          <w:rtl/>
        </w:rPr>
        <w:t xml:space="preserve">: </w:t>
      </w:r>
      <w:r w:rsidR="0084262C">
        <w:rPr>
          <w:rtl/>
        </w:rPr>
        <w:t>-</w:t>
      </w:r>
      <w:r w:rsidR="008A74EB" w:rsidRPr="00C9040A">
        <w:rPr>
          <w:rtl/>
        </w:rPr>
        <w:t xml:space="preserve"> « فيه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ب ، بر » وحاشية « ص » : « على »</w:t>
      </w:r>
      <w:r w:rsidR="008A74EB">
        <w:rPr>
          <w:rtl/>
        </w:rPr>
        <w:t>.</w:t>
      </w:r>
    </w:p>
    <w:p w:rsidR="008A74EB" w:rsidRPr="00C9040A" w:rsidRDefault="006C577F" w:rsidP="00C61F67">
      <w:pPr>
        <w:pStyle w:val="libFootnote0"/>
        <w:rPr>
          <w:rtl/>
          <w:lang w:bidi="fa-IR"/>
        </w:rPr>
      </w:pPr>
      <w:r>
        <w:rPr>
          <w:rtl/>
        </w:rPr>
        <w:t>(5).</w:t>
      </w:r>
      <w:r w:rsidR="008A74EB" w:rsidRPr="00C9040A">
        <w:rPr>
          <w:rtl/>
        </w:rPr>
        <w:t xml:space="preserve"> </w:t>
      </w:r>
      <w:r w:rsidR="008A74EB" w:rsidRPr="00993B55">
        <w:rPr>
          <w:rStyle w:val="libFootnoteBoldChar"/>
          <w:rtl/>
        </w:rPr>
        <w:t>المؤمن</w:t>
      </w:r>
      <w:r w:rsidR="008A74EB" w:rsidRPr="00C9040A">
        <w:rPr>
          <w:rtl/>
        </w:rPr>
        <w:t xml:space="preserve"> ، ص 26 ، ح 43 ، عن محمّد بن عجلان</w:t>
      </w:r>
      <w:r w:rsidR="00C61F67">
        <w:rPr>
          <w:rFonts w:hint="cs"/>
          <w:rtl/>
        </w:rPr>
        <w:t>.</w:t>
      </w:r>
      <w:r w:rsidR="008A74EB" w:rsidRPr="00993B55">
        <w:rPr>
          <w:rStyle w:val="libFootnoteBoldChar"/>
          <w:rtl/>
        </w:rPr>
        <w:t>الوافي</w:t>
      </w:r>
      <w:r w:rsidR="008A74EB" w:rsidRPr="00C9040A">
        <w:rPr>
          <w:rtl/>
        </w:rPr>
        <w:t xml:space="preserve"> ، ج 5 ، ص 759 ، ح 2991 ؛ ال</w:t>
      </w:r>
      <w:r w:rsidR="008A74EB" w:rsidRPr="00993B55">
        <w:rPr>
          <w:rStyle w:val="libFootnoteBoldChar"/>
          <w:rtl/>
        </w:rPr>
        <w:t>ب</w:t>
      </w:r>
      <w:r w:rsidR="008A74EB" w:rsidRPr="00C9040A">
        <w:rPr>
          <w:rtl/>
        </w:rPr>
        <w:t>حار ، ج 68 ، ص 219 ، ح 9.</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الضمير راجع إلى أحمد بن محمّد بن خالد المذكور في السند السابق.</w:t>
      </w:r>
    </w:p>
    <w:p w:rsidR="008A74EB" w:rsidRPr="00C9040A" w:rsidRDefault="006C577F" w:rsidP="004A4E41">
      <w:pPr>
        <w:pStyle w:val="libFootnote0"/>
        <w:rPr>
          <w:rtl/>
          <w:lang w:bidi="fa-IR"/>
        </w:rPr>
      </w:pPr>
      <w:r>
        <w:rPr>
          <w:rtl/>
        </w:rPr>
        <w:t>(7).</w:t>
      </w:r>
      <w:r w:rsidR="008A74EB" w:rsidRPr="00C9040A">
        <w:rPr>
          <w:rtl/>
        </w:rPr>
        <w:t xml:space="preserve"> في </w:t>
      </w:r>
      <w:r w:rsidR="008A74EB" w:rsidRPr="00993B55">
        <w:rPr>
          <w:rStyle w:val="libFootnoteBoldChar"/>
          <w:rtl/>
        </w:rPr>
        <w:t>مرآة العقول</w:t>
      </w:r>
      <w:r w:rsidR="008A74EB" w:rsidRPr="00C9040A">
        <w:rPr>
          <w:rtl/>
        </w:rPr>
        <w:t xml:space="preserve"> : « فأيّ سجن ، استفهام للإنكار ، والمعني أنّه ينبغي للمؤمن أن لايتوقّع الرفاهية في الدنيا »</w:t>
      </w:r>
      <w:r w:rsidR="008A74EB">
        <w:rPr>
          <w:rtl/>
        </w:rPr>
        <w:t>.</w:t>
      </w:r>
    </w:p>
    <w:p w:rsidR="008A74EB" w:rsidRPr="00C9040A" w:rsidRDefault="006C577F" w:rsidP="00F813FB">
      <w:pPr>
        <w:pStyle w:val="libFootnote0"/>
        <w:rPr>
          <w:rtl/>
          <w:lang w:bidi="fa-IR"/>
        </w:rPr>
      </w:pPr>
      <w:r>
        <w:rPr>
          <w:rtl/>
        </w:rPr>
        <w:t>(8).</w:t>
      </w:r>
      <w:r w:rsidR="008A74EB" w:rsidRPr="00C9040A">
        <w:rPr>
          <w:rtl/>
        </w:rPr>
        <w:t xml:space="preserve"> </w:t>
      </w:r>
      <w:r w:rsidR="008A74EB" w:rsidRPr="00993B55">
        <w:rPr>
          <w:rStyle w:val="libFootnoteBoldChar"/>
          <w:rtl/>
        </w:rPr>
        <w:t>الجعفريّات</w:t>
      </w:r>
      <w:r w:rsidR="008A74EB" w:rsidRPr="00C9040A">
        <w:rPr>
          <w:rtl/>
        </w:rPr>
        <w:t xml:space="preserve"> ، ص 204 ، بسنده عن جعفر بن محمّد ، عن آبائه </w:t>
      </w:r>
      <w:r w:rsidR="00117575" w:rsidRPr="00C61F67">
        <w:rPr>
          <w:rStyle w:val="libFootnoteAlaemChar"/>
          <w:rtl/>
        </w:rPr>
        <w:t>عليهم‌السلام</w:t>
      </w:r>
      <w:r w:rsidR="008A74EB" w:rsidRPr="00C9040A">
        <w:rPr>
          <w:rtl/>
        </w:rPr>
        <w:t xml:space="preserve"> عن رسول الله </w:t>
      </w:r>
      <w:r w:rsidR="004A4E41" w:rsidRPr="00C61F67">
        <w:rPr>
          <w:rStyle w:val="libFootnoteAlaemChar"/>
          <w:rtl/>
        </w:rPr>
        <w:t>صلى‌الله‌عليه‌وآله</w:t>
      </w:r>
      <w:r w:rsidR="008A74EB" w:rsidRPr="00C9040A">
        <w:rPr>
          <w:rtl/>
        </w:rPr>
        <w:t xml:space="preserve">. </w:t>
      </w:r>
      <w:r w:rsidR="008A74EB" w:rsidRPr="00993B55">
        <w:rPr>
          <w:rStyle w:val="libFootnoteBoldChar"/>
          <w:rtl/>
        </w:rPr>
        <w:t>الخصال</w:t>
      </w:r>
      <w:r w:rsidR="008A74EB" w:rsidRPr="00C9040A">
        <w:rPr>
          <w:rtl/>
        </w:rPr>
        <w:t xml:space="preserve"> ، ص 108 ، ح 74 ، بسند آخر عن أبي‌الحسن الأوّل ، عن أبي‌عبدالله </w:t>
      </w:r>
      <w:r w:rsidR="00117575" w:rsidRPr="00C61F67">
        <w:rPr>
          <w:rStyle w:val="libFootnoteAlaemChar"/>
          <w:rtl/>
        </w:rPr>
        <w:t>عليهما‌السلام</w:t>
      </w:r>
      <w:r w:rsidR="008A74EB" w:rsidRPr="00C9040A">
        <w:rPr>
          <w:rtl/>
        </w:rPr>
        <w:t xml:space="preserve"> ، وفيهما مع زيادة في آخره. </w:t>
      </w:r>
      <w:r w:rsidR="008A74EB" w:rsidRPr="00993B55">
        <w:rPr>
          <w:rStyle w:val="libFootnoteBoldChar"/>
          <w:rtl/>
        </w:rPr>
        <w:t>الأمالي</w:t>
      </w:r>
      <w:r w:rsidR="008A74EB" w:rsidRPr="00C9040A">
        <w:rPr>
          <w:rtl/>
        </w:rPr>
        <w:t xml:space="preserve"> للطوسي ، ص 346 ، المجلس 12 ، ح 55 ، بسند آخر ، عن النبيّ </w:t>
      </w:r>
      <w:r w:rsidR="004A4E41" w:rsidRPr="00C61F67">
        <w:rPr>
          <w:rStyle w:val="libFootnoteAlaemChar"/>
          <w:rtl/>
        </w:rPr>
        <w:t>صلى‌الله‌عليه‌وآله</w:t>
      </w:r>
      <w:r w:rsidR="008A74EB" w:rsidRPr="00C9040A">
        <w:rPr>
          <w:rtl/>
        </w:rPr>
        <w:t xml:space="preserve"> ، مع زيادة في أوّله ؛ </w:t>
      </w:r>
      <w:r w:rsidR="008A74EB" w:rsidRPr="00993B55">
        <w:rPr>
          <w:rStyle w:val="libFootnoteBoldChar"/>
          <w:rtl/>
        </w:rPr>
        <w:t>وفيه</w:t>
      </w:r>
      <w:r w:rsidR="008A74EB" w:rsidRPr="00C9040A">
        <w:rPr>
          <w:rtl/>
        </w:rPr>
        <w:t xml:space="preserve"> ، ص 529 ، المجلس 19 ، ضمن ح 1 ، بسند آخر ، عن النبيّ </w:t>
      </w:r>
      <w:r w:rsidR="004A4E41" w:rsidRPr="00C61F67">
        <w:rPr>
          <w:rStyle w:val="libFootnoteAlaemChar"/>
          <w:rtl/>
        </w:rPr>
        <w:t>صلى‌الله‌عليه‌وآله</w:t>
      </w:r>
      <w:r w:rsidR="008A74EB" w:rsidRPr="00C9040A">
        <w:rPr>
          <w:rtl/>
        </w:rPr>
        <w:t xml:space="preserve">. </w:t>
      </w:r>
      <w:r w:rsidR="008A74EB" w:rsidRPr="00993B55">
        <w:rPr>
          <w:rStyle w:val="libFootnoteBoldChar"/>
          <w:rtl/>
        </w:rPr>
        <w:t>معاني الأخبار</w:t>
      </w:r>
      <w:r w:rsidR="008A74EB" w:rsidRPr="00C9040A">
        <w:rPr>
          <w:rtl/>
        </w:rPr>
        <w:t xml:space="preserve"> ، ص 288 ، ضمن ح 3 ، عن عليّ بن الحسين ، عن أبيه </w:t>
      </w:r>
      <w:r w:rsidR="00117575" w:rsidRPr="00C61F67">
        <w:rPr>
          <w:rStyle w:val="libFootnoteAlaemChar"/>
          <w:rtl/>
        </w:rPr>
        <w:t>عليهم‌السلام</w:t>
      </w:r>
      <w:r w:rsidR="008A74EB" w:rsidRPr="00C9040A">
        <w:rPr>
          <w:rtl/>
        </w:rPr>
        <w:t xml:space="preserve"> عن رسول الله </w:t>
      </w:r>
      <w:r w:rsidR="004A4E41" w:rsidRPr="00C61F67">
        <w:rPr>
          <w:rStyle w:val="libFootnoteAlaemChar"/>
          <w:rtl/>
        </w:rPr>
        <w:t>صلى‌الله‌عليه‌وآله</w:t>
      </w:r>
      <w:r w:rsidR="008A74EB" w:rsidRPr="00C9040A">
        <w:rPr>
          <w:rtl/>
        </w:rPr>
        <w:t xml:space="preserve"> ؛ </w:t>
      </w:r>
      <w:r w:rsidR="008A74EB" w:rsidRPr="00993B55">
        <w:rPr>
          <w:rStyle w:val="libFootnoteBoldChar"/>
          <w:rtl/>
        </w:rPr>
        <w:t>تصحيح الاعتقاد</w:t>
      </w:r>
      <w:r w:rsidR="008A74EB" w:rsidRPr="00C9040A">
        <w:rPr>
          <w:rtl/>
        </w:rPr>
        <w:t xml:space="preserve"> ، ص 96 ، مرسلاً عن آل محمّد </w:t>
      </w:r>
      <w:r w:rsidR="00117575" w:rsidRPr="00C61F67">
        <w:rPr>
          <w:rStyle w:val="libFootnoteAlaemChar"/>
          <w:rtl/>
        </w:rPr>
        <w:t>عليهم‌السلام</w:t>
      </w:r>
      <w:r w:rsidR="008A74EB" w:rsidRPr="00C9040A">
        <w:rPr>
          <w:rtl/>
        </w:rPr>
        <w:t xml:space="preserve"> ؛ </w:t>
      </w:r>
      <w:r w:rsidR="008A74EB" w:rsidRPr="00993B55">
        <w:rPr>
          <w:rStyle w:val="libFootnoteBoldChar"/>
          <w:rtl/>
        </w:rPr>
        <w:t>تحف العقول</w:t>
      </w:r>
      <w:r w:rsidR="008A74EB" w:rsidRPr="00C9040A">
        <w:rPr>
          <w:rtl/>
        </w:rPr>
        <w:t xml:space="preserve"> ، ص 53 ، عن النبيّ </w:t>
      </w:r>
      <w:r w:rsidR="004A4E41" w:rsidRPr="00C61F67">
        <w:rPr>
          <w:rStyle w:val="libFootnoteAlaemChar"/>
          <w:rtl/>
        </w:rPr>
        <w:t>صلى‌الله‌عليه‌وآله</w:t>
      </w:r>
      <w:r w:rsidR="008A74EB" w:rsidRPr="00C9040A">
        <w:rPr>
          <w:rtl/>
        </w:rPr>
        <w:t xml:space="preserve"> ؛ </w:t>
      </w:r>
      <w:r w:rsidR="008A74EB" w:rsidRPr="00993B55">
        <w:rPr>
          <w:rStyle w:val="libFootnoteBoldChar"/>
          <w:rtl/>
        </w:rPr>
        <w:t>وفيه</w:t>
      </w:r>
      <w:r w:rsidR="008A74EB" w:rsidRPr="00C9040A">
        <w:rPr>
          <w:rtl/>
        </w:rPr>
        <w:t xml:space="preserve"> ، ص 363 ، عن جعفر بن محمّد </w:t>
      </w:r>
      <w:r w:rsidR="00117575" w:rsidRPr="00C61F67">
        <w:rPr>
          <w:rStyle w:val="libFootnoteAlaemChar"/>
          <w:rtl/>
        </w:rPr>
        <w:t>عليهما‌السلام</w:t>
      </w:r>
      <w:r w:rsidR="008A74EB" w:rsidRPr="00C9040A">
        <w:rPr>
          <w:rtl/>
        </w:rPr>
        <w:t xml:space="preserve"> ، وفي الثلاثة الأخيرة مع زيادة في آخره ، ولم يرد في كلّها فقرة : « فأيّ سجن جاء منه خيرٌ »</w:t>
      </w:r>
      <w:r w:rsidR="00F813FB">
        <w:rPr>
          <w:rFonts w:hint="cs"/>
          <w:rtl/>
        </w:rPr>
        <w:t>.</w:t>
      </w:r>
      <w:r w:rsidR="008A74EB" w:rsidRPr="00993B55">
        <w:rPr>
          <w:rStyle w:val="libFootnoteBoldChar"/>
          <w:rtl/>
        </w:rPr>
        <w:t>الوافي</w:t>
      </w:r>
      <w:r w:rsidR="008A74EB" w:rsidRPr="00C9040A">
        <w:rPr>
          <w:rtl/>
        </w:rPr>
        <w:t xml:space="preserve"> ، ج 5 ، ص 760 ، ح 2992 ؛ </w:t>
      </w:r>
      <w:r w:rsidR="008A74EB" w:rsidRPr="00993B55">
        <w:rPr>
          <w:rStyle w:val="libFootnoteBoldChar"/>
          <w:rtl/>
        </w:rPr>
        <w:t>البحار</w:t>
      </w:r>
      <w:r w:rsidR="008A74EB" w:rsidRPr="00C9040A">
        <w:rPr>
          <w:rtl/>
        </w:rPr>
        <w:t xml:space="preserve"> ، ج 68 ، ص 221 ، ح 11.</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دَاوُدَ بْنِ أَبِي يَزِيدَ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الْمُؤْمِنُ مُكَفَّرٌ </w:t>
      </w:r>
      <w:r w:rsidR="006C577F" w:rsidRPr="006C577F">
        <w:rPr>
          <w:rStyle w:val="libFootnotenumChar"/>
          <w:rtl/>
        </w:rPr>
        <w:t>(1)</w:t>
      </w:r>
      <w:r w:rsidRPr="00C9040A">
        <w:rPr>
          <w:rtl/>
          <w:lang w:bidi="fa-IR"/>
        </w:rPr>
        <w:t xml:space="preserve"> »</w:t>
      </w:r>
      <w:r>
        <w:rPr>
          <w:rtl/>
          <w:lang w:bidi="fa-IR"/>
        </w:rPr>
        <w:t>.</w:t>
      </w:r>
    </w:p>
    <w:p w:rsidR="008A74EB" w:rsidRPr="00C9040A" w:rsidRDefault="00134FB3" w:rsidP="008A74EB">
      <w:pPr>
        <w:pStyle w:val="libNormal"/>
        <w:rPr>
          <w:rtl/>
          <w:lang w:bidi="fa-IR"/>
        </w:rPr>
      </w:pPr>
      <w:r>
        <w:rPr>
          <w:rFonts w:hint="cs"/>
          <w:rtl/>
          <w:lang w:bidi="fa-IR"/>
        </w:rPr>
        <w:t xml:space="preserve">* </w:t>
      </w:r>
      <w:r w:rsidR="008A74EB" w:rsidRPr="00C9040A">
        <w:rPr>
          <w:rtl/>
          <w:lang w:bidi="fa-IR"/>
        </w:rPr>
        <w:t xml:space="preserve">وَفِي رِوَايَةٍ أُخْرى : « وَذلِكَ أَنَّ مَعْرُوفَهُ يَصْعَدُ إِلَى اللهِ ، فَلَا يُنْشَرُ </w:t>
      </w:r>
      <w:r w:rsidR="006C577F" w:rsidRPr="006C577F">
        <w:rPr>
          <w:rStyle w:val="libFootnotenumChar"/>
          <w:rtl/>
        </w:rPr>
        <w:t>(2)</w:t>
      </w:r>
      <w:r w:rsidR="008A74EB" w:rsidRPr="00C9040A">
        <w:rPr>
          <w:rtl/>
          <w:lang w:bidi="fa-IR"/>
        </w:rPr>
        <w:t xml:space="preserve"> فِي النَّاسِ ، وَالْكَافِرُ مَشْكُورٌ »</w:t>
      </w:r>
      <w:r w:rsidR="008A74EB">
        <w:rPr>
          <w:rtl/>
          <w:lang w:bidi="fa-IR"/>
        </w:rPr>
        <w:t>.</w:t>
      </w:r>
      <w:r w:rsidR="008A74EB" w:rsidRPr="00C9040A">
        <w:rPr>
          <w:rtl/>
          <w:lang w:bidi="fa-IR"/>
        </w:rPr>
        <w:t xml:space="preserve"> </w:t>
      </w:r>
      <w:r w:rsidR="006C577F" w:rsidRPr="006C577F">
        <w:rPr>
          <w:rStyle w:val="libFootnotenumChar"/>
          <w:rtl/>
        </w:rPr>
        <w:t>(3)</w:t>
      </w:r>
      <w:r w:rsidR="008A74EB" w:rsidRPr="00C9040A">
        <w:rPr>
          <w:rtl/>
          <w:lang w:bidi="fa-IR"/>
        </w:rPr>
        <w:t xml:space="preserve"> ‌</w:t>
      </w:r>
    </w:p>
    <w:p w:rsidR="008A74EB" w:rsidRPr="00C9040A" w:rsidRDefault="008A74EB" w:rsidP="008A74EB">
      <w:pPr>
        <w:pStyle w:val="libNormal"/>
        <w:rPr>
          <w:rtl/>
          <w:lang w:bidi="fa-IR"/>
        </w:rPr>
      </w:pPr>
      <w:r w:rsidRPr="007A2CA5">
        <w:rPr>
          <w:rtl/>
        </w:rPr>
        <w:t>2347</w:t>
      </w:r>
      <w:r w:rsidRPr="00261CB0">
        <w:rPr>
          <w:rStyle w:val="libBold2Char"/>
          <w:rtl/>
        </w:rPr>
        <w:t xml:space="preserve"> / 9.</w:t>
      </w:r>
      <w:r w:rsidRPr="00C9040A">
        <w:rPr>
          <w:rtl/>
          <w:lang w:bidi="fa-IR"/>
        </w:rPr>
        <w:t xml:space="preserve"> عَلِيُّ بْنُ إِبْرَاهِيمَ ، عَنْ أَبِيهِ ، عَنِ ابْنِ أَبِي عُمَيْرٍ ، عَنْ عَبْدِ اللهِ بْنِ سِنَانٍ :</w:t>
      </w:r>
    </w:p>
    <w:p w:rsidR="008A74EB" w:rsidRPr="00C9040A" w:rsidRDefault="008A74EB" w:rsidP="00134FB3">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w:t>
      </w:r>
      <w:r w:rsidR="00134FB3">
        <w:rPr>
          <w:rtl/>
          <w:lang w:bidi="fa-IR"/>
        </w:rPr>
        <w:t>الَ : « مَا مِنْ مُؤْمِنٍ إِل</w:t>
      </w:r>
      <w:r w:rsidR="00134FB3">
        <w:rPr>
          <w:rFonts w:hint="cs"/>
          <w:rtl/>
          <w:lang w:bidi="fa-IR"/>
        </w:rPr>
        <w:t>َّ</w:t>
      </w:r>
      <w:r w:rsidR="00134FB3">
        <w:rPr>
          <w:rtl/>
          <w:lang w:bidi="fa-IR"/>
        </w:rPr>
        <w:t>ا</w:t>
      </w:r>
      <w:r w:rsidRPr="00C9040A">
        <w:rPr>
          <w:rtl/>
          <w:lang w:bidi="fa-IR"/>
        </w:rPr>
        <w:t xml:space="preserve"> وَقَدْ وَكَّلَ اللهُ </w:t>
      </w:r>
      <w:r w:rsidR="006C577F" w:rsidRPr="006C577F">
        <w:rPr>
          <w:rStyle w:val="libFootnotenumChar"/>
          <w:rtl/>
        </w:rPr>
        <w:t>(4)</w:t>
      </w:r>
      <w:r w:rsidRPr="00C9040A">
        <w:rPr>
          <w:rtl/>
          <w:lang w:bidi="fa-IR"/>
        </w:rPr>
        <w:t xml:space="preserve"> بِهِ أَرْبَعَةً : شَيْطَاناً </w:t>
      </w:r>
      <w:r w:rsidR="006C577F" w:rsidRPr="006C577F">
        <w:rPr>
          <w:rStyle w:val="libFootnotenumChar"/>
          <w:rtl/>
        </w:rPr>
        <w:t>(5)</w:t>
      </w:r>
      <w:r w:rsidRPr="00C9040A">
        <w:rPr>
          <w:rtl/>
          <w:lang w:bidi="fa-IR"/>
        </w:rPr>
        <w:t xml:space="preserve"> يُغْوِيهِ يُرِيدُ أَنْ يُضِلَّهُ ، وَكَافِراً </w:t>
      </w:r>
      <w:r w:rsidR="006C577F" w:rsidRPr="006C577F">
        <w:rPr>
          <w:rStyle w:val="libFootnotenumChar"/>
          <w:rtl/>
        </w:rPr>
        <w:t>(6)</w:t>
      </w:r>
      <w:r w:rsidRPr="005B567D">
        <w:rPr>
          <w:rStyle w:val="libFootnotenumChar"/>
          <w:rtl/>
        </w:rPr>
        <w:t xml:space="preserve"> </w:t>
      </w:r>
      <w:r w:rsidRPr="00C9040A">
        <w:rPr>
          <w:rtl/>
          <w:lang w:bidi="fa-IR"/>
        </w:rPr>
        <w:t xml:space="preserve">يَغْتَالُهُ </w:t>
      </w:r>
      <w:r w:rsidR="006C577F" w:rsidRPr="006C577F">
        <w:rPr>
          <w:rStyle w:val="libFootnotenumChar"/>
          <w:rtl/>
        </w:rPr>
        <w:t>(7)</w:t>
      </w:r>
      <w:r w:rsidRPr="00C9040A">
        <w:rPr>
          <w:rtl/>
          <w:lang w:bidi="fa-IR"/>
        </w:rPr>
        <w:t xml:space="preserve"> ، وَمُؤْمِناً يَحْسُدُهُ</w:t>
      </w:r>
      <w:r>
        <w:rPr>
          <w:rtl/>
          <w:lang w:bidi="fa-IR"/>
        </w:rPr>
        <w:t xml:space="preserve"> </w:t>
      </w:r>
      <w:r w:rsidR="0084262C">
        <w:rPr>
          <w:rtl/>
          <w:lang w:bidi="fa-IR"/>
        </w:rPr>
        <w:t>-</w:t>
      </w:r>
      <w:r>
        <w:rPr>
          <w:rtl/>
          <w:lang w:bidi="fa-IR"/>
        </w:rPr>
        <w:t xml:space="preserve"> </w:t>
      </w:r>
      <w:r w:rsidRPr="00C9040A">
        <w:rPr>
          <w:rtl/>
          <w:lang w:bidi="fa-IR"/>
        </w:rPr>
        <w:t>وَهُوَ أَشَدُّهُمْ عَلَيْهِ</w:t>
      </w:r>
      <w:r>
        <w:rPr>
          <w:rtl/>
          <w:lang w:bidi="fa-IR"/>
        </w:rPr>
        <w:t xml:space="preserve"> </w:t>
      </w:r>
      <w:r w:rsidR="0084262C">
        <w:rPr>
          <w:rtl/>
          <w:lang w:bidi="fa-IR"/>
        </w:rPr>
        <w:t>-</w:t>
      </w:r>
      <w:r>
        <w:rPr>
          <w:rtl/>
          <w:lang w:bidi="fa-IR"/>
        </w:rPr>
        <w:t xml:space="preserve"> </w:t>
      </w:r>
      <w:r w:rsidRPr="00C9040A">
        <w:rPr>
          <w:rtl/>
          <w:lang w:bidi="fa-IR"/>
        </w:rPr>
        <w:t xml:space="preserve">وَمُنَافِقاً يَتَتَبَّعُ </w:t>
      </w:r>
      <w:r w:rsidR="006C577F" w:rsidRPr="006C577F">
        <w:rPr>
          <w:rStyle w:val="libFootnotenumChar"/>
          <w:rtl/>
        </w:rPr>
        <w:t>(8)</w:t>
      </w:r>
      <w:r w:rsidR="00C822D0">
        <w:rPr>
          <w:rtl/>
          <w:lang w:bidi="fa-IR"/>
        </w:rPr>
        <w:t xml:space="preserve"> عَثَرَاتِهِ</w:t>
      </w:r>
      <w:r w:rsidRPr="00C9040A">
        <w:rPr>
          <w:rtl/>
          <w:lang w:bidi="fa-IR"/>
        </w:rPr>
        <w:t>»</w:t>
      </w:r>
      <w:r>
        <w:rPr>
          <w:rtl/>
          <w:lang w:bidi="fa-IR"/>
        </w:rPr>
        <w:t>.</w:t>
      </w:r>
      <w:r w:rsidRPr="00C9040A">
        <w:rPr>
          <w:rtl/>
          <w:lang w:bidi="fa-IR"/>
        </w:rPr>
        <w:t xml:space="preserve"> </w:t>
      </w:r>
      <w:r w:rsidR="006C577F" w:rsidRPr="006C577F">
        <w:rPr>
          <w:rStyle w:val="libFootnotenumChar"/>
          <w:rtl/>
        </w:rPr>
        <w:t>(9)</w:t>
      </w:r>
    </w:p>
    <w:p w:rsidR="008A74EB" w:rsidRPr="00C9040A" w:rsidRDefault="008A74EB" w:rsidP="008A74EB">
      <w:pPr>
        <w:pStyle w:val="libNormal"/>
        <w:rPr>
          <w:rtl/>
          <w:lang w:bidi="fa-IR"/>
        </w:rPr>
      </w:pPr>
      <w:r w:rsidRPr="007A2CA5">
        <w:rPr>
          <w:rtl/>
        </w:rPr>
        <w:t>2348</w:t>
      </w:r>
      <w:r w:rsidRPr="00261CB0">
        <w:rPr>
          <w:rStyle w:val="libBold2Char"/>
          <w:rtl/>
        </w:rPr>
        <w:t xml:space="preserve"> / 10.</w:t>
      </w:r>
      <w:r w:rsidRPr="00C9040A">
        <w:rPr>
          <w:rtl/>
          <w:lang w:bidi="fa-IR"/>
        </w:rPr>
        <w:t xml:space="preserve"> عِدَّةٌ مِنْ أَصْحَابِنَا ، عَنْ سَهْلِ بْنِ زِيَادٍ ، عَنِ ابْنِ مَحْبُوبٍ ، عَنْ عَمْرِو بْنِ شِمْرٍ ، عَنْ جَابِرٍ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سَمِعْتُهُ يَقُولُ : « إِذَا مَاتَ الْمُؤْمِنُ ، خَلّى </w:t>
      </w:r>
      <w:r w:rsidR="006C577F" w:rsidRPr="006C577F">
        <w:rPr>
          <w:rStyle w:val="libFootnotenumChar"/>
          <w:rtl/>
        </w:rPr>
        <w:t>(10)</w:t>
      </w:r>
      <w:r w:rsidRPr="00C9040A">
        <w:rPr>
          <w:rtl/>
          <w:lang w:bidi="fa-IR"/>
        </w:rPr>
        <w:t xml:space="preserve"> عَلى جِيرَانِهِ‌</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ال</w:t>
      </w:r>
      <w:r w:rsidR="00F33344">
        <w:rPr>
          <w:rFonts w:hint="cs"/>
          <w:rtl/>
        </w:rPr>
        <w:t>ـ</w:t>
      </w:r>
      <w:r w:rsidR="008A74EB" w:rsidRPr="00C9040A">
        <w:rPr>
          <w:rtl/>
        </w:rPr>
        <w:t xml:space="preserve">مُكَفَّرُ كمعظّم : المجحود النعمة مع إحسانه وهو ضدّ للمشكور. أي لايشكر الناس معروفه. ويفسّره رواية الصدوق في </w:t>
      </w:r>
      <w:r w:rsidR="008A74EB" w:rsidRPr="00993B55">
        <w:rPr>
          <w:rStyle w:val="libFootnoteBoldChar"/>
          <w:rtl/>
        </w:rPr>
        <w:t>علل الشرائع</w:t>
      </w:r>
      <w:r w:rsidR="008A74EB" w:rsidRPr="00C9040A">
        <w:rPr>
          <w:rtl/>
        </w:rPr>
        <w:t xml:space="preserve"> ، ص 560 ، ح 3 ، بسنده عن الحسين بن موسى ، عن أبيه ، عن موسى‌بن جعفر ، عن أبيه ، عن جدّه ، عن عليّ بن الحسين ، عن أبيه ، عن عليّ بن أبي طالب </w:t>
      </w:r>
      <w:r w:rsidR="00117575" w:rsidRPr="00117575">
        <w:rPr>
          <w:rStyle w:val="libFootnoteAlaemChar"/>
          <w:rtl/>
        </w:rPr>
        <w:t>عليهم‌السلام</w:t>
      </w:r>
      <w:r w:rsidR="008A74EB" w:rsidRPr="00C9040A">
        <w:rPr>
          <w:rtl/>
        </w:rPr>
        <w:t xml:space="preserve"> قال : « كان رسول الله </w:t>
      </w:r>
      <w:r w:rsidR="004A4E41" w:rsidRPr="00F33344">
        <w:rPr>
          <w:rStyle w:val="libFootnoteAlaemChar"/>
          <w:rtl/>
        </w:rPr>
        <w:t>صلى‌الله‌عليه‌وآله</w:t>
      </w:r>
      <w:r w:rsidR="008A74EB" w:rsidRPr="00C9040A">
        <w:rPr>
          <w:rtl/>
        </w:rPr>
        <w:t xml:space="preserve"> مكفّراً لايشكر معروفه ، ولقد كان معروفه على القريشي والعربي والعجمي ، ومن كان أعظم معروفاً من رسول الله </w:t>
      </w:r>
      <w:r w:rsidR="004A4E41" w:rsidRPr="00F33344">
        <w:rPr>
          <w:rStyle w:val="libFootnoteAlaemChar"/>
          <w:rtl/>
        </w:rPr>
        <w:t>صلى‌الله‌عليه‌وآله</w:t>
      </w:r>
      <w:r w:rsidR="008A74EB" w:rsidRPr="00C9040A">
        <w:rPr>
          <w:rtl/>
        </w:rPr>
        <w:t xml:space="preserve"> على هذا الخلق ؛ وكذلك نحن أهل البيت مكفّرون لايشكروننا ، وخيار المؤمنين مكفّرون لايشكر معروفهم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ب ، بر » وحاشية « ص » والوافي : « فلا ينتشر »</w:t>
      </w:r>
      <w:r w:rsidR="008A74EB">
        <w:rPr>
          <w:rtl/>
        </w:rPr>
        <w:t>.</w:t>
      </w:r>
    </w:p>
    <w:p w:rsidR="008A74EB" w:rsidRPr="00C9040A" w:rsidRDefault="006C577F" w:rsidP="00F33344">
      <w:pPr>
        <w:pStyle w:val="libFootnote0"/>
        <w:rPr>
          <w:rtl/>
          <w:lang w:bidi="fa-IR"/>
        </w:rPr>
      </w:pPr>
      <w:r>
        <w:rPr>
          <w:rtl/>
        </w:rPr>
        <w:t>(3).</w:t>
      </w:r>
      <w:r w:rsidR="008A74EB" w:rsidRPr="00C9040A">
        <w:rPr>
          <w:rtl/>
        </w:rPr>
        <w:t xml:space="preserve"> </w:t>
      </w:r>
      <w:r w:rsidR="008A74EB" w:rsidRPr="00993B55">
        <w:rPr>
          <w:rStyle w:val="libFootnoteBoldChar"/>
          <w:rtl/>
        </w:rPr>
        <w:t>علل الشرائع</w:t>
      </w:r>
      <w:r w:rsidR="008A74EB" w:rsidRPr="00C9040A">
        <w:rPr>
          <w:rtl/>
        </w:rPr>
        <w:t xml:space="preserve"> ، ص 560 ، ح 1 ، بسند آخر ، مع زيادة في آخره</w:t>
      </w:r>
      <w:r w:rsidR="00F33344">
        <w:rPr>
          <w:rFonts w:hint="cs"/>
          <w:rtl/>
        </w:rPr>
        <w:t>.</w:t>
      </w:r>
      <w:r w:rsidR="008A74EB" w:rsidRPr="00993B55">
        <w:rPr>
          <w:rStyle w:val="libFootnoteBoldChar"/>
          <w:rtl/>
        </w:rPr>
        <w:t>الوافي</w:t>
      </w:r>
      <w:r w:rsidR="008A74EB" w:rsidRPr="00C9040A">
        <w:rPr>
          <w:rtl/>
        </w:rPr>
        <w:t xml:space="preserve"> ، ج 5 ، ص 760 ، ح 2993 </w:t>
      </w:r>
      <w:r w:rsidR="008A74EB">
        <w:rPr>
          <w:rtl/>
        </w:rPr>
        <w:t>و 2</w:t>
      </w:r>
      <w:r w:rsidR="008A74EB" w:rsidRPr="00C9040A">
        <w:rPr>
          <w:rtl/>
        </w:rPr>
        <w:t xml:space="preserve">994 ؛ </w:t>
      </w:r>
      <w:r w:rsidR="008A74EB" w:rsidRPr="00993B55">
        <w:rPr>
          <w:rStyle w:val="libFootnoteBoldChar"/>
          <w:rtl/>
        </w:rPr>
        <w:t>الوسائل</w:t>
      </w:r>
      <w:r w:rsidR="008A74EB" w:rsidRPr="00C9040A">
        <w:rPr>
          <w:rtl/>
        </w:rPr>
        <w:t xml:space="preserve"> ، ج 16 ، ص 308 ، ح 21620 ؛ </w:t>
      </w:r>
      <w:r w:rsidR="008A74EB" w:rsidRPr="00993B55">
        <w:rPr>
          <w:rStyle w:val="libFootnoteBoldChar"/>
          <w:rtl/>
        </w:rPr>
        <w:t>البحار</w:t>
      </w:r>
      <w:r w:rsidR="008A74EB" w:rsidRPr="00C9040A">
        <w:rPr>
          <w:rtl/>
        </w:rPr>
        <w:t xml:space="preserve"> ، ج 67 ، ص 260 ، ح 3.</w:t>
      </w:r>
    </w:p>
    <w:tbl>
      <w:tblPr>
        <w:tblStyle w:val="TableGrid"/>
        <w:bidiVisual/>
        <w:tblW w:w="0" w:type="auto"/>
        <w:tblLook w:val="04A0" w:firstRow="1" w:lastRow="0" w:firstColumn="1" w:lastColumn="0" w:noHBand="0" w:noVBand="1"/>
      </w:tblPr>
      <w:tblGrid>
        <w:gridCol w:w="4006"/>
        <w:gridCol w:w="4006"/>
      </w:tblGrid>
      <w:tr w:rsidR="00F33344" w:rsidTr="00F33344">
        <w:tc>
          <w:tcPr>
            <w:tcW w:w="4006" w:type="dxa"/>
          </w:tcPr>
          <w:p w:rsidR="00F33344" w:rsidRDefault="00F33344" w:rsidP="004A4E41">
            <w:pPr>
              <w:pStyle w:val="libFootnote0"/>
              <w:rPr>
                <w:rtl/>
              </w:rPr>
            </w:pPr>
            <w:r>
              <w:rPr>
                <w:rtl/>
              </w:rPr>
              <w:t>(4).</w:t>
            </w:r>
            <w:r w:rsidRPr="00C9040A">
              <w:rPr>
                <w:rtl/>
              </w:rPr>
              <w:t xml:space="preserve"> في « بف » </w:t>
            </w:r>
            <w:r>
              <w:rPr>
                <w:rtl/>
              </w:rPr>
              <w:t>: -</w:t>
            </w:r>
            <w:r w:rsidRPr="00C9040A">
              <w:rPr>
                <w:rtl/>
              </w:rPr>
              <w:t xml:space="preserve"> « الله »</w:t>
            </w:r>
            <w:r>
              <w:rPr>
                <w:rtl/>
              </w:rPr>
              <w:t>.</w:t>
            </w:r>
          </w:p>
        </w:tc>
        <w:tc>
          <w:tcPr>
            <w:tcW w:w="4006" w:type="dxa"/>
          </w:tcPr>
          <w:p w:rsidR="00F33344" w:rsidRDefault="00F33344" w:rsidP="004A4E41">
            <w:pPr>
              <w:pStyle w:val="libFootnote0"/>
              <w:rPr>
                <w:rtl/>
              </w:rPr>
            </w:pPr>
            <w:r>
              <w:rPr>
                <w:rtl/>
              </w:rPr>
              <w:t>(5).</w:t>
            </w:r>
            <w:r w:rsidRPr="00C9040A">
              <w:rPr>
                <w:rtl/>
              </w:rPr>
              <w:t xml:space="preserve"> في « ز ، بف » : « شيطان »</w:t>
            </w:r>
            <w:r>
              <w:rPr>
                <w:rtl/>
              </w:rPr>
              <w:t>.</w:t>
            </w:r>
          </w:p>
        </w:tc>
      </w:tr>
      <w:tr w:rsidR="00F33344" w:rsidTr="00F33344">
        <w:tc>
          <w:tcPr>
            <w:tcW w:w="4006" w:type="dxa"/>
          </w:tcPr>
          <w:p w:rsidR="00F33344" w:rsidRDefault="00F33344" w:rsidP="004A4E41">
            <w:pPr>
              <w:pStyle w:val="libFootnote0"/>
              <w:rPr>
                <w:rtl/>
              </w:rPr>
            </w:pPr>
            <w:r>
              <w:rPr>
                <w:rtl/>
              </w:rPr>
              <w:t xml:space="preserve">(6). </w:t>
            </w:r>
            <w:r w:rsidRPr="00C9040A">
              <w:rPr>
                <w:rtl/>
              </w:rPr>
              <w:t>في « ز » : « وكافر »</w:t>
            </w:r>
            <w:r>
              <w:rPr>
                <w:rtl/>
              </w:rPr>
              <w:t>.</w:t>
            </w:r>
          </w:p>
        </w:tc>
        <w:tc>
          <w:tcPr>
            <w:tcW w:w="4006" w:type="dxa"/>
          </w:tcPr>
          <w:p w:rsidR="00F33344" w:rsidRDefault="00F33344" w:rsidP="004A4E41">
            <w:pPr>
              <w:pStyle w:val="libFootnote0"/>
              <w:rPr>
                <w:rtl/>
              </w:rPr>
            </w:pPr>
            <w:r>
              <w:rPr>
                <w:rtl/>
              </w:rPr>
              <w:t>(7).</w:t>
            </w:r>
            <w:r w:rsidRPr="00C9040A">
              <w:rPr>
                <w:rtl/>
              </w:rPr>
              <w:t xml:space="preserve"> في حاشية</w:t>
            </w:r>
            <w:r w:rsidR="00D61ABE">
              <w:rPr>
                <w:rtl/>
              </w:rPr>
              <w:t xml:space="preserve"> «ض» ومرآة العقول والبحار: «</w:t>
            </w:r>
            <w:r w:rsidRPr="00C9040A">
              <w:rPr>
                <w:rtl/>
              </w:rPr>
              <w:t>يق</w:t>
            </w:r>
            <w:r w:rsidR="00D61ABE">
              <w:rPr>
                <w:rtl/>
              </w:rPr>
              <w:t>اتله</w:t>
            </w:r>
            <w:r w:rsidRPr="00C9040A">
              <w:rPr>
                <w:rtl/>
              </w:rPr>
              <w:t>»</w:t>
            </w:r>
            <w:r>
              <w:rPr>
                <w:rtl/>
              </w:rPr>
              <w:t>.</w:t>
            </w:r>
          </w:p>
        </w:tc>
      </w:tr>
    </w:tbl>
    <w:p w:rsidR="008A74EB" w:rsidRPr="00C9040A" w:rsidRDefault="006C577F" w:rsidP="004A4E41">
      <w:pPr>
        <w:pStyle w:val="libFootnote0"/>
        <w:rPr>
          <w:rtl/>
          <w:lang w:bidi="fa-IR"/>
        </w:rPr>
      </w:pPr>
      <w:r>
        <w:rPr>
          <w:rtl/>
        </w:rPr>
        <w:t>(8).</w:t>
      </w:r>
      <w:r w:rsidR="008A74EB" w:rsidRPr="00C9040A">
        <w:rPr>
          <w:rtl/>
        </w:rPr>
        <w:t xml:space="preserve"> في « ب ، ج ، د ، ز ، ض ، </w:t>
      </w:r>
      <w:r w:rsidR="006D3162">
        <w:rPr>
          <w:rtl/>
        </w:rPr>
        <w:t xml:space="preserve">ه </w:t>
      </w:r>
      <w:r w:rsidR="008A74EB" w:rsidRPr="00C9040A">
        <w:rPr>
          <w:rtl/>
        </w:rPr>
        <w:t>» والوافي والبحار : « يتبع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 يتبع ، كيعلم ، أو على بناء الافتعال ، أي‌يتفحّص ويتطلّب عثراته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w:t>
      </w:r>
      <w:r w:rsidR="008A74EB" w:rsidRPr="00993B55">
        <w:rPr>
          <w:rStyle w:val="libFootnoteBoldChar"/>
          <w:rtl/>
        </w:rPr>
        <w:t>الوافي</w:t>
      </w:r>
      <w:r w:rsidR="008A74EB" w:rsidRPr="00C9040A">
        <w:rPr>
          <w:rtl/>
        </w:rPr>
        <w:t xml:space="preserve"> ، ج 5 ، ص 758 ، ح 2985 ؛ </w:t>
      </w:r>
      <w:r w:rsidR="008A74EB" w:rsidRPr="00993B55">
        <w:rPr>
          <w:rStyle w:val="libFootnoteBoldChar"/>
          <w:rtl/>
        </w:rPr>
        <w:t>البحار</w:t>
      </w:r>
      <w:r w:rsidR="008A74EB" w:rsidRPr="00C9040A">
        <w:rPr>
          <w:rtl/>
        </w:rPr>
        <w:t xml:space="preserve"> ، ج 68 ، ص 221 ، ح 12.</w:t>
      </w:r>
    </w:p>
    <w:p w:rsidR="008A74EB" w:rsidRPr="00C9040A" w:rsidRDefault="006C577F" w:rsidP="004A4E41">
      <w:pPr>
        <w:pStyle w:val="libFootnote0"/>
        <w:rPr>
          <w:rtl/>
          <w:lang w:bidi="fa-IR"/>
        </w:rPr>
      </w:pPr>
      <w:r>
        <w:rPr>
          <w:rtl/>
        </w:rPr>
        <w:t>(10).</w:t>
      </w:r>
      <w:r w:rsidR="008A74EB" w:rsidRPr="00C9040A">
        <w:rPr>
          <w:rtl/>
        </w:rPr>
        <w:t xml:space="preserve"> على بناء المعلوم ، والضمير المستتر راجع إلى الموت ، والإسناد مجازي. ويجوز فيه البناء على المجهول </w:t>
      </w:r>
      <w:r w:rsidR="00652B42">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مِنَ الشَّيَاطِينِ </w:t>
      </w:r>
      <w:r w:rsidR="006C577F" w:rsidRPr="006C577F">
        <w:rPr>
          <w:rStyle w:val="libFootnotenumChar"/>
          <w:rtl/>
        </w:rPr>
        <w:t>(1)</w:t>
      </w:r>
      <w:r w:rsidRPr="00C9040A">
        <w:rPr>
          <w:rtl/>
          <w:lang w:bidi="fa-IR"/>
        </w:rPr>
        <w:t xml:space="preserve"> عَدَدَ رَبِيعَةَ وَمُضَرَ ، كَانُوا مُشْتَغِلِينَ بِهِ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7A2CA5">
        <w:rPr>
          <w:rtl/>
        </w:rPr>
        <w:t>2349</w:t>
      </w:r>
      <w:r w:rsidRPr="00261CB0">
        <w:rPr>
          <w:rStyle w:val="libBold2Char"/>
          <w:rtl/>
        </w:rPr>
        <w:t xml:space="preserve"> / 11.</w:t>
      </w:r>
      <w:r w:rsidRPr="00C9040A">
        <w:rPr>
          <w:rtl/>
          <w:lang w:bidi="fa-IR"/>
        </w:rPr>
        <w:t xml:space="preserve"> سَهْلُ بْنُ زِيَادٍ </w:t>
      </w:r>
      <w:r w:rsidR="006C577F" w:rsidRPr="006C577F">
        <w:rPr>
          <w:rStyle w:val="libFootnotenumChar"/>
          <w:rtl/>
        </w:rPr>
        <w:t>(3)</w:t>
      </w:r>
      <w:r w:rsidRPr="00C9040A">
        <w:rPr>
          <w:rtl/>
          <w:lang w:bidi="fa-IR"/>
        </w:rPr>
        <w:t xml:space="preserve"> ، عَنْ يَحْيَى بْنِ الْمُبَارَكِ ، عَنْ عَبْدِ اللهِ بْنِ جَبَلَةَ ، عَنْ إِسْحَاقَ بْنِ عَمَّارٍ :</w:t>
      </w:r>
    </w:p>
    <w:p w:rsidR="008A74EB" w:rsidRPr="00C9040A" w:rsidRDefault="008A74EB" w:rsidP="00110B61">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مَا كَانَ وَلَا يَكُونُ وَ</w:t>
      </w:r>
      <w:r w:rsidR="00110B61">
        <w:rPr>
          <w:rtl/>
          <w:lang w:bidi="fa-IR"/>
        </w:rPr>
        <w:t>لَيْسَ بِكَائِنٍ مُؤْمِنٌ إِل</w:t>
      </w:r>
      <w:r w:rsidR="00110B61">
        <w:rPr>
          <w:rFonts w:hint="cs"/>
          <w:rtl/>
          <w:lang w:bidi="fa-IR"/>
        </w:rPr>
        <w:t>َّ</w:t>
      </w:r>
      <w:r w:rsidR="00110B61">
        <w:rPr>
          <w:rtl/>
          <w:lang w:bidi="fa-IR"/>
        </w:rPr>
        <w:t>ا</w:t>
      </w:r>
      <w:r w:rsidRPr="00C9040A">
        <w:rPr>
          <w:rtl/>
          <w:lang w:bidi="fa-IR"/>
        </w:rPr>
        <w:t xml:space="preserve"> وَلَهُ جَارٌ يُؤْذِيهِ ، وَلَوْ أَنَّ مُؤْمِناً فِي جَزِيرَةٍ مِنْ جَزَائِرِ الْبَحْرِ ، لَابْتَعَثَ </w:t>
      </w:r>
      <w:r w:rsidR="006C577F" w:rsidRPr="006C577F">
        <w:rPr>
          <w:rStyle w:val="libFootnotenumChar"/>
          <w:rtl/>
        </w:rPr>
        <w:t>(4)</w:t>
      </w:r>
      <w:r w:rsidRPr="00C9040A">
        <w:rPr>
          <w:rtl/>
          <w:lang w:bidi="fa-IR"/>
        </w:rPr>
        <w:t xml:space="preserve"> اللهُ </w:t>
      </w:r>
      <w:r w:rsidR="006C577F" w:rsidRPr="006C577F">
        <w:rPr>
          <w:rStyle w:val="libFootnotenumChar"/>
          <w:rtl/>
        </w:rPr>
        <w:t>(5)</w:t>
      </w:r>
      <w:r w:rsidRPr="00C9040A">
        <w:rPr>
          <w:rtl/>
          <w:lang w:bidi="fa-IR"/>
        </w:rPr>
        <w:t xml:space="preserve"> لَهُ </w:t>
      </w:r>
      <w:r w:rsidR="006C577F" w:rsidRPr="006C577F">
        <w:rPr>
          <w:rStyle w:val="libFootnotenumChar"/>
          <w:rtl/>
        </w:rPr>
        <w:t>(6)</w:t>
      </w:r>
      <w:r w:rsidRPr="005B567D">
        <w:rPr>
          <w:rStyle w:val="libFootnotenumChar"/>
          <w:rtl/>
        </w:rPr>
        <w:t xml:space="preserve"> </w:t>
      </w:r>
      <w:r w:rsidRPr="00C9040A">
        <w:rPr>
          <w:rtl/>
          <w:lang w:bidi="fa-IR"/>
        </w:rPr>
        <w:t>مَنْ يُؤْذِيهِ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7A2CA5">
        <w:rPr>
          <w:rtl/>
        </w:rPr>
        <w:t>2350</w:t>
      </w:r>
      <w:r w:rsidRPr="00261CB0">
        <w:rPr>
          <w:rStyle w:val="libBold2Char"/>
          <w:rtl/>
        </w:rPr>
        <w:t xml:space="preserve"> / 12.</w:t>
      </w:r>
      <w:r w:rsidRPr="00C9040A">
        <w:rPr>
          <w:rtl/>
          <w:lang w:bidi="fa-IR"/>
        </w:rPr>
        <w:t xml:space="preserve"> مُحَمَّدُ بْنُ يَحْيى ، عَنْ أَحْمَدَ بْنِ مُحَمَّدِ بْنِ عِيسى ، عَنْ عَلِيِّ بْنِ الْحَكَمِ ، عَنْ أَبِي أَيُّوبَ ، عَنْ إِسْحَاقَ بْنِ عَمَّارٍ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مَا كَانَ فِيمَا مَضى ، وَلَا فِيمَا بَقِيَ ، وَلَا فِيمَ</w:t>
      </w:r>
      <w:r w:rsidR="00110B61">
        <w:rPr>
          <w:rtl/>
          <w:lang w:bidi="fa-IR"/>
        </w:rPr>
        <w:t>ا أَنْتُمْ فِيهِ مُؤْمِنٌ إِل</w:t>
      </w:r>
      <w:r w:rsidR="00110B61">
        <w:rPr>
          <w:rFonts w:hint="cs"/>
          <w:rtl/>
          <w:lang w:bidi="fa-IR"/>
        </w:rPr>
        <w:t>َّ</w:t>
      </w:r>
      <w:r w:rsidR="00110B61">
        <w:rPr>
          <w:rtl/>
          <w:lang w:bidi="fa-IR"/>
        </w:rPr>
        <w:t>ا</w:t>
      </w:r>
      <w:r w:rsidRPr="00C9040A">
        <w:rPr>
          <w:rtl/>
          <w:lang w:bidi="fa-IR"/>
        </w:rPr>
        <w:t xml:space="preserve"> وَلَهُ جَارٌ يُؤْذِيهِ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Normal"/>
        <w:rPr>
          <w:rtl/>
          <w:lang w:bidi="fa-IR"/>
        </w:rPr>
      </w:pPr>
      <w:r w:rsidRPr="007A2CA5">
        <w:rPr>
          <w:rtl/>
        </w:rPr>
        <w:t>2351</w:t>
      </w:r>
      <w:r w:rsidRPr="00261CB0">
        <w:rPr>
          <w:rStyle w:val="libBold2Char"/>
          <w:rtl/>
        </w:rPr>
        <w:t xml:space="preserve"> / 13.</w:t>
      </w:r>
      <w:r w:rsidRPr="00C9040A">
        <w:rPr>
          <w:rtl/>
          <w:lang w:bidi="fa-IR"/>
        </w:rPr>
        <w:t xml:space="preserve"> عَلِيُّ بْنُ إِبْرَاهِيمَ ، عَنْ أَبِيهِ ، عَنِ ابْنِ أَبِي عُمَيْرٍ ، عَنْ مُعَاوِيَةَ بْنِ عَمَّارٍ :</w:t>
      </w:r>
    </w:p>
    <w:p w:rsidR="008A74EB" w:rsidRPr="00C9040A" w:rsidRDefault="008A74EB" w:rsidP="00110B61">
      <w:pPr>
        <w:pStyle w:val="libNormal"/>
        <w:rPr>
          <w:rtl/>
          <w:lang w:bidi="fa-IR"/>
        </w:rPr>
      </w:pPr>
      <w:r w:rsidRPr="00C9040A">
        <w:rPr>
          <w:rtl/>
          <w:lang w:bidi="fa-IR"/>
        </w:rPr>
        <w:t xml:space="preserve">عَنْ أَبِي عَبْدِ اللهِ </w:t>
      </w:r>
      <w:r w:rsidR="00110B61" w:rsidRPr="0003660B">
        <w:rPr>
          <w:rStyle w:val="libAlaemChar"/>
          <w:rtl/>
        </w:rPr>
        <w:t>عليه‌السلام</w:t>
      </w:r>
      <w:r w:rsidR="00110B61" w:rsidRPr="00C9040A">
        <w:rPr>
          <w:rtl/>
          <w:lang w:bidi="fa-IR"/>
        </w:rPr>
        <w:t xml:space="preserve"> </w:t>
      </w:r>
      <w:r w:rsidRPr="00C9040A">
        <w:rPr>
          <w:rtl/>
          <w:lang w:bidi="fa-IR"/>
        </w:rPr>
        <w:t>، قَالَ : سَمِعْتُهُ يَقُولُ : « مَا كَانَ وَلَا يَكُونُ إِلى أَنْ تَ</w:t>
      </w:r>
      <w:r w:rsidR="00110B61">
        <w:rPr>
          <w:rtl/>
          <w:lang w:bidi="fa-IR"/>
        </w:rPr>
        <w:t>قُومَ السَّاعَةُ مُؤْمِنٌ إِل</w:t>
      </w:r>
      <w:r w:rsidR="00110B61">
        <w:rPr>
          <w:rFonts w:hint="cs"/>
          <w:rtl/>
          <w:lang w:bidi="fa-IR"/>
        </w:rPr>
        <w:t>َّ</w:t>
      </w:r>
      <w:r w:rsidR="00110B61">
        <w:rPr>
          <w:rtl/>
          <w:lang w:bidi="fa-IR"/>
        </w:rPr>
        <w:t>ا</w:t>
      </w:r>
      <w:r w:rsidRPr="00C9040A">
        <w:rPr>
          <w:rtl/>
          <w:lang w:bidi="fa-IR"/>
        </w:rPr>
        <w:t xml:space="preserve"> وَلَهُ جَارٌ يُؤْذِيهِ »</w:t>
      </w:r>
      <w:r>
        <w:rPr>
          <w:rtl/>
          <w:lang w:bidi="fa-IR"/>
        </w:rPr>
        <w:t>.</w:t>
      </w:r>
      <w:r w:rsidRPr="00C9040A">
        <w:rPr>
          <w:rtl/>
          <w:lang w:bidi="fa-IR"/>
        </w:rPr>
        <w:t xml:space="preserve"> </w:t>
      </w:r>
      <w:r w:rsidR="006C577F" w:rsidRPr="006C577F">
        <w:rPr>
          <w:rStyle w:val="libFootnotenumChar"/>
          <w:rtl/>
        </w:rPr>
        <w:t>(9)</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110B61" w:rsidP="004A4E41">
      <w:pPr>
        <w:pStyle w:val="libFootnote0"/>
        <w:rPr>
          <w:rtl/>
          <w:lang w:bidi="fa-IR"/>
        </w:rPr>
      </w:pPr>
      <w:r>
        <w:rPr>
          <w:rFonts w:hint="cs"/>
          <w:rtl/>
        </w:rPr>
        <w:t xml:space="preserve">= </w:t>
      </w:r>
      <w:r w:rsidR="008A74EB" w:rsidRPr="00C9040A">
        <w:rPr>
          <w:rtl/>
        </w:rPr>
        <w:t xml:space="preserve">أيضاً. والتخلية هنا ضمّنت معنى الاستيلاء ، يعني يخلّى بين الشياطين المشتغلين به أيّام حياته وبين جيرانه. وربيعة ومضر قبيلتان صارتا مثلاً في الكثرة. راجع : </w:t>
      </w:r>
      <w:r w:rsidR="008A74EB" w:rsidRPr="00993B55">
        <w:rPr>
          <w:rStyle w:val="libFootnoteBoldChar"/>
          <w:rtl/>
        </w:rPr>
        <w:t>الوافي</w:t>
      </w:r>
      <w:r w:rsidR="008A74EB" w:rsidRPr="00C9040A">
        <w:rPr>
          <w:rtl/>
        </w:rPr>
        <w:t xml:space="preserve"> ، ج 5 ، ص 758 ؛ </w:t>
      </w:r>
      <w:r w:rsidR="008A74EB" w:rsidRPr="00993B55">
        <w:rPr>
          <w:rStyle w:val="libFootnoteBoldChar"/>
          <w:rtl/>
        </w:rPr>
        <w:t>مرآة العقول</w:t>
      </w:r>
      <w:r w:rsidR="008A74EB" w:rsidRPr="00C9040A">
        <w:rPr>
          <w:rtl/>
        </w:rPr>
        <w:t xml:space="preserve"> ، ج 9 ، ص 319.</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w:t>
      </w:r>
      <w:r w:rsidR="006D3162">
        <w:rPr>
          <w:rtl/>
        </w:rPr>
        <w:t xml:space="preserve">ه </w:t>
      </w:r>
      <w:r w:rsidR="008A74EB" w:rsidRPr="00C9040A">
        <w:rPr>
          <w:rtl/>
        </w:rPr>
        <w:t>» : « الشيطان »</w:t>
      </w:r>
      <w:r w:rsidR="008A74EB">
        <w:rPr>
          <w:rtl/>
        </w:rPr>
        <w:t>.</w:t>
      </w:r>
      <w:r w:rsidR="008A74EB" w:rsidRPr="00C9040A">
        <w:rPr>
          <w:rtl/>
        </w:rPr>
        <w:t xml:space="preserve"> وفي شرح المازندراني </w:t>
      </w:r>
      <w:r w:rsidR="008A74EB">
        <w:rPr>
          <w:rtl/>
        </w:rPr>
        <w:t xml:space="preserve">: </w:t>
      </w:r>
      <w:r w:rsidR="0084262C">
        <w:rPr>
          <w:rtl/>
        </w:rPr>
        <w:t>-</w:t>
      </w:r>
      <w:r w:rsidR="008A74EB" w:rsidRPr="00C9040A">
        <w:rPr>
          <w:rtl/>
        </w:rPr>
        <w:t xml:space="preserve"> « من الشياطين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الوافي</w:t>
      </w:r>
      <w:r w:rsidR="008A74EB" w:rsidRPr="00C9040A">
        <w:rPr>
          <w:rtl/>
        </w:rPr>
        <w:t xml:space="preserve"> ، ج 5 ، ص 758 ، ح 2986 ؛ </w:t>
      </w:r>
      <w:r w:rsidR="008A74EB" w:rsidRPr="00993B55">
        <w:rPr>
          <w:rStyle w:val="libFootnoteBoldChar"/>
          <w:rtl/>
        </w:rPr>
        <w:t>البحار</w:t>
      </w:r>
      <w:r w:rsidR="008A74EB" w:rsidRPr="00C9040A">
        <w:rPr>
          <w:rtl/>
        </w:rPr>
        <w:t xml:space="preserve"> ، ج 68 ، ص 222 ، ح 13.</w:t>
      </w:r>
    </w:p>
    <w:p w:rsidR="008A74EB" w:rsidRPr="00C9040A" w:rsidRDefault="006C577F" w:rsidP="004A4E41">
      <w:pPr>
        <w:pStyle w:val="libFootnote0"/>
        <w:rPr>
          <w:rtl/>
          <w:lang w:bidi="fa-IR"/>
        </w:rPr>
      </w:pPr>
      <w:r>
        <w:rPr>
          <w:rtl/>
        </w:rPr>
        <w:t>(3).</w:t>
      </w:r>
      <w:r w:rsidR="008A74EB" w:rsidRPr="00C9040A">
        <w:rPr>
          <w:rtl/>
        </w:rPr>
        <w:t xml:space="preserve"> السند معلّق على سابقه. ويروي عن سهل بن زياد ، عدّة من أصحابنا.</w:t>
      </w:r>
    </w:p>
    <w:p w:rsidR="008A74EB" w:rsidRPr="00C9040A" w:rsidRDefault="006C577F" w:rsidP="004A4E41">
      <w:pPr>
        <w:pStyle w:val="libFootnote0"/>
        <w:rPr>
          <w:rtl/>
          <w:lang w:bidi="fa-IR"/>
        </w:rPr>
      </w:pPr>
      <w:r>
        <w:rPr>
          <w:rtl/>
        </w:rPr>
        <w:t>(4).</w:t>
      </w:r>
      <w:r w:rsidR="008A74EB" w:rsidRPr="00C9040A">
        <w:rPr>
          <w:rtl/>
        </w:rPr>
        <w:t xml:space="preserve"> في « ب ، ج ، </w:t>
      </w:r>
      <w:r w:rsidR="006D3162">
        <w:rPr>
          <w:rtl/>
        </w:rPr>
        <w:t xml:space="preserve">ه </w:t>
      </w:r>
      <w:r w:rsidR="008A74EB" w:rsidRPr="00C9040A">
        <w:rPr>
          <w:rtl/>
        </w:rPr>
        <w:t>، بر ، بف » والوافي والبحار : « لا نبعث »</w:t>
      </w:r>
      <w:r w:rsidR="008A74EB">
        <w:rPr>
          <w:rtl/>
        </w:rPr>
        <w:t>.</w:t>
      </w:r>
      <w:r w:rsidR="008A74EB" w:rsidRPr="00C9040A">
        <w:rPr>
          <w:rtl/>
        </w:rPr>
        <w:t xml:space="preserve"> وفي الوسائل : « لبعث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بر » والوافي ومرآة العقول والبحار </w:t>
      </w:r>
      <w:r w:rsidR="008A74EB">
        <w:rPr>
          <w:rtl/>
        </w:rPr>
        <w:t xml:space="preserve">: </w:t>
      </w:r>
      <w:r w:rsidR="0084262C">
        <w:rPr>
          <w:rtl/>
        </w:rPr>
        <w:t>-</w:t>
      </w:r>
      <w:r w:rsidR="008A74EB" w:rsidRPr="00C9040A">
        <w:rPr>
          <w:rtl/>
        </w:rPr>
        <w:t xml:space="preserve"> « الله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ض » : « إليه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الوافي</w:t>
      </w:r>
      <w:r w:rsidR="008A74EB" w:rsidRPr="00C9040A">
        <w:rPr>
          <w:rtl/>
        </w:rPr>
        <w:t xml:space="preserve"> ، ج 5 ، ص 759 ، ح 2987 ؛ </w:t>
      </w:r>
      <w:r w:rsidR="008A74EB" w:rsidRPr="00993B55">
        <w:rPr>
          <w:rStyle w:val="libFootnoteBoldChar"/>
          <w:rtl/>
        </w:rPr>
        <w:t>الوسائل</w:t>
      </w:r>
      <w:r w:rsidR="008A74EB" w:rsidRPr="00C9040A">
        <w:rPr>
          <w:rtl/>
        </w:rPr>
        <w:t xml:space="preserve"> ، ج 12 ، ص 122 ، ح 15827 ؛ </w:t>
      </w:r>
      <w:r w:rsidR="008A74EB" w:rsidRPr="00993B55">
        <w:rPr>
          <w:rStyle w:val="libFootnoteBoldChar"/>
          <w:rtl/>
        </w:rPr>
        <w:t>البحار</w:t>
      </w:r>
      <w:r w:rsidR="008A74EB" w:rsidRPr="00C9040A">
        <w:rPr>
          <w:rtl/>
        </w:rPr>
        <w:t xml:space="preserve"> ، ج 68 ، ص 223 ، ح 14.</w:t>
      </w:r>
    </w:p>
    <w:p w:rsidR="008A74EB" w:rsidRPr="00C9040A" w:rsidRDefault="006C577F" w:rsidP="004A4E41">
      <w:pPr>
        <w:pStyle w:val="libFootnote0"/>
        <w:rPr>
          <w:rtl/>
          <w:lang w:bidi="fa-IR"/>
        </w:rPr>
      </w:pPr>
      <w:r>
        <w:rPr>
          <w:rtl/>
        </w:rPr>
        <w:t>(8).</w:t>
      </w:r>
      <w:r w:rsidR="008A74EB" w:rsidRPr="00C9040A">
        <w:rPr>
          <w:rtl/>
        </w:rPr>
        <w:t xml:space="preserve"> </w:t>
      </w:r>
      <w:r w:rsidR="008A74EB" w:rsidRPr="00993B55">
        <w:rPr>
          <w:rStyle w:val="libFootnoteBoldChar"/>
          <w:rtl/>
        </w:rPr>
        <w:t>الوافي</w:t>
      </w:r>
      <w:r w:rsidR="008A74EB" w:rsidRPr="00C9040A">
        <w:rPr>
          <w:rtl/>
        </w:rPr>
        <w:t xml:space="preserve"> ، ج 5 ، ص 759 ، ح 2988 ؛ </w:t>
      </w:r>
      <w:r w:rsidR="008A74EB" w:rsidRPr="00993B55">
        <w:rPr>
          <w:rStyle w:val="libFootnoteBoldChar"/>
          <w:rtl/>
        </w:rPr>
        <w:t>الوسائل</w:t>
      </w:r>
      <w:r w:rsidR="008A74EB" w:rsidRPr="00C9040A">
        <w:rPr>
          <w:rtl/>
        </w:rPr>
        <w:t xml:space="preserve"> ، ج 12 ، ص 122 ، ح 15828 ؛ </w:t>
      </w:r>
      <w:r w:rsidR="008A74EB" w:rsidRPr="00993B55">
        <w:rPr>
          <w:rStyle w:val="libFootnoteBoldChar"/>
          <w:rtl/>
        </w:rPr>
        <w:t>البحار</w:t>
      </w:r>
      <w:r w:rsidR="008A74EB" w:rsidRPr="00C9040A">
        <w:rPr>
          <w:rtl/>
        </w:rPr>
        <w:t xml:space="preserve"> ، ج 68 ، ص 223 ، ح 15.</w:t>
      </w:r>
    </w:p>
    <w:p w:rsidR="008A74EB" w:rsidRPr="00C9040A" w:rsidRDefault="006C577F" w:rsidP="004A4E41">
      <w:pPr>
        <w:pStyle w:val="libFootnote0"/>
        <w:rPr>
          <w:rtl/>
          <w:lang w:bidi="fa-IR"/>
        </w:rPr>
      </w:pPr>
      <w:r>
        <w:rPr>
          <w:rtl/>
        </w:rPr>
        <w:t>(9).</w:t>
      </w:r>
      <w:r w:rsidR="008A74EB" w:rsidRPr="00C9040A">
        <w:rPr>
          <w:rtl/>
        </w:rPr>
        <w:t xml:space="preserve"> </w:t>
      </w:r>
      <w:r w:rsidR="008A74EB" w:rsidRPr="00993B55">
        <w:rPr>
          <w:rStyle w:val="libFootnoteBoldChar"/>
          <w:rtl/>
        </w:rPr>
        <w:t>صحيفة الرضا</w:t>
      </w:r>
      <w:r w:rsidR="008A74EB" w:rsidRPr="00C9040A">
        <w:rPr>
          <w:rtl/>
        </w:rPr>
        <w:t xml:space="preserve"> </w:t>
      </w:r>
      <w:r w:rsidR="00117575" w:rsidRPr="00117575">
        <w:rPr>
          <w:rStyle w:val="libFootnoteAlaemChar"/>
          <w:rtl/>
        </w:rPr>
        <w:t>عليه‌السلام</w:t>
      </w:r>
      <w:r w:rsidR="008A74EB" w:rsidRPr="00C9040A">
        <w:rPr>
          <w:rtl/>
        </w:rPr>
        <w:t xml:space="preserve"> ، ص 88 ، ح 6 ؛ و</w:t>
      </w:r>
      <w:r w:rsidR="008A74EB" w:rsidRPr="00993B55">
        <w:rPr>
          <w:rStyle w:val="libFootnoteBoldChar"/>
          <w:rtl/>
        </w:rPr>
        <w:t>عيون الأخبار</w:t>
      </w:r>
      <w:r w:rsidR="008A74EB" w:rsidRPr="00C9040A">
        <w:rPr>
          <w:rtl/>
        </w:rPr>
        <w:t xml:space="preserve"> ، ج 2 ، ص 33 ، ح 59 ، بسند آخر عن الرضا ، عن آبائه </w:t>
      </w:r>
      <w:r w:rsidR="00117575" w:rsidRPr="00117575">
        <w:rPr>
          <w:rStyle w:val="libFootnoteAlaemChar"/>
          <w:rtl/>
        </w:rPr>
        <w:t>عليهم‌السلام</w:t>
      </w:r>
      <w:r w:rsidR="008A74EB" w:rsidRPr="00C9040A">
        <w:rPr>
          <w:rtl/>
        </w:rPr>
        <w:t xml:space="preserve"> عن </w:t>
      </w:r>
      <w:r w:rsidR="00C438F6">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Heading2Center"/>
        <w:rPr>
          <w:rtl/>
          <w:lang w:bidi="fa-IR"/>
        </w:rPr>
      </w:pPr>
      <w:bookmarkStart w:id="328" w:name="_Toc343795697"/>
      <w:bookmarkStart w:id="329" w:name="_Toc459810821"/>
      <w:bookmarkStart w:id="330" w:name="_Toc35348727"/>
      <w:r w:rsidRPr="00C9040A">
        <w:rPr>
          <w:rtl/>
          <w:lang w:bidi="fa-IR"/>
        </w:rPr>
        <w:t>106</w:t>
      </w:r>
      <w:r>
        <w:rPr>
          <w:rtl/>
          <w:lang w:bidi="fa-IR"/>
        </w:rPr>
        <w:t xml:space="preserve"> </w:t>
      </w:r>
      <w:r w:rsidR="0084262C">
        <w:rPr>
          <w:rtl/>
          <w:lang w:bidi="fa-IR"/>
        </w:rPr>
        <w:t>-</w:t>
      </w:r>
      <w:r>
        <w:rPr>
          <w:rtl/>
          <w:lang w:bidi="fa-IR"/>
        </w:rPr>
        <w:t xml:space="preserve"> </w:t>
      </w:r>
      <w:r w:rsidRPr="00C9040A">
        <w:rPr>
          <w:rtl/>
          <w:lang w:bidi="fa-IR"/>
        </w:rPr>
        <w:t xml:space="preserve">بَابُ شِدَّةِ </w:t>
      </w:r>
      <w:r w:rsidR="006C577F" w:rsidRPr="006C577F">
        <w:rPr>
          <w:rStyle w:val="libFootnotenumChar"/>
          <w:rtl/>
        </w:rPr>
        <w:t>(1)</w:t>
      </w:r>
      <w:r>
        <w:rPr>
          <w:rtl/>
        </w:rPr>
        <w:t xml:space="preserve"> </w:t>
      </w:r>
      <w:r w:rsidRPr="00C9040A">
        <w:rPr>
          <w:rtl/>
          <w:lang w:bidi="fa-IR"/>
        </w:rPr>
        <w:t xml:space="preserve">ابْتِلَاءِ </w:t>
      </w:r>
      <w:r w:rsidR="006C577F" w:rsidRPr="006C577F">
        <w:rPr>
          <w:rStyle w:val="libFootnotenumChar"/>
          <w:rtl/>
        </w:rPr>
        <w:t>(2)</w:t>
      </w:r>
      <w:r>
        <w:rPr>
          <w:rtl/>
        </w:rPr>
        <w:t xml:space="preserve"> </w:t>
      </w:r>
      <w:r w:rsidRPr="00C9040A">
        <w:rPr>
          <w:rtl/>
          <w:lang w:bidi="fa-IR"/>
        </w:rPr>
        <w:t>الْمُؤْمِنِ‌</w:t>
      </w:r>
      <w:bookmarkEnd w:id="328"/>
      <w:bookmarkEnd w:id="329"/>
      <w:bookmarkEnd w:id="330"/>
    </w:p>
    <w:p w:rsidR="008A74EB" w:rsidRPr="00C9040A" w:rsidRDefault="008A74EB" w:rsidP="008A74EB">
      <w:pPr>
        <w:pStyle w:val="libNormal"/>
        <w:rPr>
          <w:rtl/>
          <w:lang w:bidi="fa-IR"/>
        </w:rPr>
      </w:pPr>
      <w:r w:rsidRPr="007A2CA5">
        <w:rPr>
          <w:rtl/>
        </w:rPr>
        <w:t>2352</w:t>
      </w:r>
      <w:r w:rsidRPr="00261CB0">
        <w:rPr>
          <w:rStyle w:val="libBold2Char"/>
          <w:rtl/>
        </w:rPr>
        <w:t xml:space="preserve"> / 1.</w:t>
      </w:r>
      <w:r w:rsidRPr="00C9040A">
        <w:rPr>
          <w:rtl/>
          <w:lang w:bidi="fa-IR"/>
        </w:rPr>
        <w:t xml:space="preserve"> عَلِيُّ بْنُ إِبْرَاهِيمَ </w:t>
      </w:r>
      <w:r w:rsidR="006C577F" w:rsidRPr="006C577F">
        <w:rPr>
          <w:rStyle w:val="libFootnotenumChar"/>
          <w:rtl/>
        </w:rPr>
        <w:t>(3)</w:t>
      </w:r>
      <w:r w:rsidRPr="00C9040A">
        <w:rPr>
          <w:rtl/>
          <w:lang w:bidi="fa-IR"/>
        </w:rPr>
        <w:t xml:space="preserve"> ، عَنْ أَبِيهِ ، عَنِ ابْنِ أَبِي عُمَيْرٍ ، عَنْ هِشَامِ بْنِ سَالِمٍ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إِنَّ أَشَدَّ النَّاسِ بَلَاءً </w:t>
      </w:r>
      <w:r w:rsidR="006C577F" w:rsidRPr="006C577F">
        <w:rPr>
          <w:rStyle w:val="libFootnotenumChar"/>
          <w:rtl/>
        </w:rPr>
        <w:t>(4)</w:t>
      </w:r>
      <w:r w:rsidRPr="00C9040A">
        <w:rPr>
          <w:rtl/>
          <w:lang w:bidi="fa-IR"/>
        </w:rPr>
        <w:t xml:space="preserve"> الْأَنْبِيَاءُ ، ثُمَّ الَّذِينَ يَلُونَهُمْ ، ثُمَّ الْأَمْثَلُ فَالْأَمْثَلُ </w:t>
      </w:r>
      <w:r w:rsidR="006C577F" w:rsidRPr="006C577F">
        <w:rPr>
          <w:rStyle w:val="libFootnotenumChar"/>
          <w:rtl/>
        </w:rPr>
        <w:t>(5)</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Normal"/>
        <w:rPr>
          <w:rtl/>
          <w:lang w:bidi="fa-IR"/>
        </w:rPr>
      </w:pPr>
      <w:r w:rsidRPr="007A2CA5">
        <w:rPr>
          <w:rtl/>
        </w:rPr>
        <w:t>2353</w:t>
      </w:r>
      <w:r w:rsidRPr="00261CB0">
        <w:rPr>
          <w:rStyle w:val="libBold2Char"/>
          <w:rtl/>
        </w:rPr>
        <w:t xml:space="preserve"> / 2.</w:t>
      </w:r>
      <w:r w:rsidRPr="00C9040A">
        <w:rPr>
          <w:rtl/>
          <w:lang w:bidi="fa-IR"/>
        </w:rPr>
        <w:t xml:space="preserve"> مُحَمَّدُ بْنُ يَحْيى ، عَنْ أَحْمَدَ بْنِ مُحَمَّدِ بْنِ عِيسى ، عَنِ الْحَسَنِ بْنِ مَحْبُوبٍ ، عَنْ عَبْدِ الرَّحْمنِ بْنِ الْحَجَّاجِ ، قَالَ :</w:t>
      </w:r>
    </w:p>
    <w:p w:rsidR="008A74EB" w:rsidRPr="00C9040A" w:rsidRDefault="008A74EB" w:rsidP="008A74EB">
      <w:pPr>
        <w:pStyle w:val="libNormal"/>
        <w:rPr>
          <w:rtl/>
          <w:lang w:bidi="fa-IR"/>
        </w:rPr>
      </w:pPr>
      <w:r w:rsidRPr="00C9040A">
        <w:rPr>
          <w:rtl/>
          <w:lang w:bidi="fa-IR"/>
        </w:rPr>
        <w:t xml:space="preserve">ذُكِرَ عِنْدَ أَبِي عَبْدِ اللهِ </w:t>
      </w:r>
      <w:r w:rsidRPr="0003660B">
        <w:rPr>
          <w:rStyle w:val="libAlaemChar"/>
          <w:rtl/>
        </w:rPr>
        <w:t>عليه‌السلام</w:t>
      </w:r>
      <w:r w:rsidRPr="00C9040A">
        <w:rPr>
          <w:rtl/>
          <w:lang w:bidi="fa-IR"/>
        </w:rPr>
        <w:t xml:space="preserve"> الْبَلَاءُ ، وَمَا يَخُصُّ </w:t>
      </w:r>
      <w:r w:rsidR="006C577F" w:rsidRPr="006C577F">
        <w:rPr>
          <w:rStyle w:val="libFootnotenumChar"/>
          <w:rtl/>
        </w:rPr>
        <w:t>(7)</w:t>
      </w:r>
      <w:r w:rsidRPr="00C9040A">
        <w:rPr>
          <w:rtl/>
          <w:lang w:bidi="fa-IR"/>
        </w:rPr>
        <w:t xml:space="preserve">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بِهِ </w:t>
      </w:r>
      <w:r w:rsidR="006C577F" w:rsidRPr="006C577F">
        <w:rPr>
          <w:rStyle w:val="libFootnotenumChar"/>
          <w:rtl/>
        </w:rPr>
        <w:t>(8)</w:t>
      </w:r>
      <w:r w:rsidRPr="00C9040A">
        <w:rPr>
          <w:rtl/>
          <w:lang w:bidi="fa-IR"/>
        </w:rPr>
        <w:t xml:space="preserve"> الْمُؤْمِنَ ، فَقَالَ :</w:t>
      </w:r>
    </w:p>
    <w:p w:rsidR="008A74EB" w:rsidRPr="00C9040A" w:rsidRDefault="008A74EB" w:rsidP="008A74EB">
      <w:pPr>
        <w:pStyle w:val="libLine"/>
        <w:rPr>
          <w:rtl/>
          <w:lang w:bidi="fa-IR"/>
        </w:rPr>
      </w:pPr>
      <w:r w:rsidRPr="00C9040A">
        <w:rPr>
          <w:rtl/>
          <w:lang w:bidi="fa-IR"/>
        </w:rPr>
        <w:t>__________________</w:t>
      </w:r>
    </w:p>
    <w:p w:rsidR="008A74EB" w:rsidRPr="00C9040A" w:rsidRDefault="00A317DB" w:rsidP="00ED63FC">
      <w:pPr>
        <w:pStyle w:val="libFootnote0"/>
        <w:rPr>
          <w:rtl/>
          <w:lang w:bidi="fa-IR"/>
        </w:rPr>
      </w:pPr>
      <w:r>
        <w:rPr>
          <w:rFonts w:hint="cs"/>
          <w:rtl/>
        </w:rPr>
        <w:t xml:space="preserve">= </w:t>
      </w:r>
      <w:r w:rsidR="008A74EB" w:rsidRPr="00C9040A">
        <w:rPr>
          <w:rtl/>
        </w:rPr>
        <w:t xml:space="preserve">رسول الله </w:t>
      </w:r>
      <w:r w:rsidR="004A4E41" w:rsidRPr="00C75AE8">
        <w:rPr>
          <w:rStyle w:val="libFootnoteAlaemChar"/>
          <w:rtl/>
        </w:rPr>
        <w:t>صلى‌الله‌عليه‌وآله</w:t>
      </w:r>
      <w:r w:rsidR="008A74EB" w:rsidRPr="00C9040A">
        <w:rPr>
          <w:rtl/>
        </w:rPr>
        <w:t xml:space="preserve">. </w:t>
      </w:r>
      <w:r w:rsidR="008A74EB" w:rsidRPr="00993B55">
        <w:rPr>
          <w:rStyle w:val="libFootnoteBoldChar"/>
          <w:rtl/>
        </w:rPr>
        <w:t>الأمالي</w:t>
      </w:r>
      <w:r w:rsidR="008A74EB" w:rsidRPr="00C9040A">
        <w:rPr>
          <w:rtl/>
        </w:rPr>
        <w:t xml:space="preserve"> للطوسي ، ص 280 ، المجلس 10 ، ح 77 ، بسند آخر عن عليّ بن محمّد ، عن آبائه ، عن الصادق </w:t>
      </w:r>
      <w:r w:rsidR="00117575" w:rsidRPr="00117575">
        <w:rPr>
          <w:rStyle w:val="libFootnoteAlaemChar"/>
          <w:rtl/>
        </w:rPr>
        <w:t>عليهم‌السلام</w:t>
      </w:r>
      <w:r w:rsidR="008A74EB" w:rsidRPr="00C9040A">
        <w:rPr>
          <w:rtl/>
        </w:rPr>
        <w:t xml:space="preserve"> ، وفي كلّها مع اختلاف يسير</w:t>
      </w:r>
      <w:r w:rsidR="00ED63FC">
        <w:rPr>
          <w:rFonts w:hint="cs"/>
          <w:rtl/>
        </w:rPr>
        <w:t>.</w:t>
      </w:r>
      <w:r w:rsidR="008A74EB" w:rsidRPr="00993B55">
        <w:rPr>
          <w:rStyle w:val="libFootnoteBoldChar"/>
          <w:rtl/>
        </w:rPr>
        <w:t>الوافي</w:t>
      </w:r>
      <w:r w:rsidR="008A74EB" w:rsidRPr="00C9040A">
        <w:rPr>
          <w:rtl/>
        </w:rPr>
        <w:t xml:space="preserve"> ، ج 5 ، ص 759 ، ح 2989 ؛ </w:t>
      </w:r>
      <w:r w:rsidR="008A74EB" w:rsidRPr="00993B55">
        <w:rPr>
          <w:rStyle w:val="libFootnoteBoldChar"/>
          <w:rtl/>
        </w:rPr>
        <w:t>الوسائل</w:t>
      </w:r>
      <w:r w:rsidR="008A74EB" w:rsidRPr="00C9040A">
        <w:rPr>
          <w:rtl/>
        </w:rPr>
        <w:t xml:space="preserve"> ، ج 12 ، ص 123 ، ح 15829 ؛ </w:t>
      </w:r>
      <w:r w:rsidR="008A74EB" w:rsidRPr="00993B55">
        <w:rPr>
          <w:rStyle w:val="libFootnoteBoldChar"/>
          <w:rtl/>
        </w:rPr>
        <w:t>البحار</w:t>
      </w:r>
      <w:r w:rsidR="008A74EB" w:rsidRPr="00C9040A">
        <w:rPr>
          <w:rtl/>
        </w:rPr>
        <w:t xml:space="preserve"> ، ج 68 ، ص 223 ، ح 16.</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ب ، ص ، بف » </w:t>
      </w:r>
      <w:r w:rsidR="008A74EB">
        <w:rPr>
          <w:rtl/>
        </w:rPr>
        <w:t xml:space="preserve">: </w:t>
      </w:r>
      <w:r w:rsidR="0084262C">
        <w:rPr>
          <w:rtl/>
        </w:rPr>
        <w:t>-</w:t>
      </w:r>
      <w:r w:rsidR="008A74EB" w:rsidRPr="00C9040A">
        <w:rPr>
          <w:rtl/>
        </w:rPr>
        <w:t xml:space="preserve"> « شدّة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ب ، ض » : « بلاء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بس » </w:t>
      </w:r>
      <w:r w:rsidR="008A74EB">
        <w:rPr>
          <w:rtl/>
        </w:rPr>
        <w:t xml:space="preserve">: </w:t>
      </w:r>
      <w:r w:rsidR="0084262C">
        <w:rPr>
          <w:rtl/>
        </w:rPr>
        <w:t>-</w:t>
      </w:r>
      <w:r w:rsidR="008A74EB" w:rsidRPr="00C9040A">
        <w:rPr>
          <w:rtl/>
        </w:rPr>
        <w:t xml:space="preserve"> « بن إبراهيم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w:t>
      </w:r>
      <w:r w:rsidR="008A74EB" w:rsidRPr="00993B55">
        <w:rPr>
          <w:rStyle w:val="libFootnoteBoldChar"/>
          <w:rtl/>
        </w:rPr>
        <w:t>مرآة العقول</w:t>
      </w:r>
      <w:r w:rsidR="008A74EB" w:rsidRPr="00C9040A">
        <w:rPr>
          <w:rtl/>
        </w:rPr>
        <w:t xml:space="preserve"> ، ج 9 ، ص 321 : « البلاء ما يختبر ويمتحن من خير أو شرّ وأكثر ما يأتي مطلقاً الشرّ ، وما ا</w:t>
      </w:r>
      <w:r w:rsidR="00ED63FC">
        <w:rPr>
          <w:rFonts w:hint="cs"/>
          <w:rtl/>
        </w:rPr>
        <w:t>ُ</w:t>
      </w:r>
      <w:r w:rsidR="008A74EB" w:rsidRPr="00C9040A">
        <w:rPr>
          <w:rtl/>
        </w:rPr>
        <w:t xml:space="preserve">ريدبه الخير يأتي مقيّداً ، كما قال تعالى : </w:t>
      </w:r>
      <w:r w:rsidR="008A74EB" w:rsidRPr="00ED63FC">
        <w:rPr>
          <w:rStyle w:val="libFootnoteAlaemChar"/>
          <w:rtl/>
        </w:rPr>
        <w:t>(</w:t>
      </w:r>
      <w:r w:rsidR="008A74EB" w:rsidRPr="00883DD5">
        <w:rPr>
          <w:rStyle w:val="libFootnoteAieChar"/>
          <w:rFonts w:hint="cs"/>
          <w:rtl/>
        </w:rPr>
        <w:t xml:space="preserve"> </w:t>
      </w:r>
      <w:r w:rsidR="008A74EB" w:rsidRPr="00883DD5">
        <w:rPr>
          <w:rStyle w:val="libFootnoteAieChar"/>
          <w:rtl/>
        </w:rPr>
        <w:t>بَل</w:t>
      </w:r>
      <w:r w:rsidR="00ED63FC">
        <w:rPr>
          <w:rStyle w:val="libFootnoteAieChar"/>
          <w:rFonts w:hint="cs"/>
          <w:rtl/>
        </w:rPr>
        <w:t>َ</w:t>
      </w:r>
      <w:r w:rsidR="008A74EB" w:rsidRPr="00883DD5">
        <w:rPr>
          <w:rStyle w:val="libFootnoteAieChar"/>
          <w:rtl/>
        </w:rPr>
        <w:t>اءً حَسَناً</w:t>
      </w:r>
      <w:r w:rsidR="008A74EB" w:rsidRPr="00883DD5">
        <w:rPr>
          <w:rStyle w:val="libFootnoteAieChar"/>
          <w:rFonts w:hint="cs"/>
          <w:rtl/>
        </w:rPr>
        <w:t xml:space="preserve"> </w:t>
      </w:r>
      <w:r w:rsidR="008A74EB" w:rsidRPr="00ED63FC">
        <w:rPr>
          <w:rStyle w:val="libFootnoteAlaemChar"/>
          <w:rtl/>
        </w:rPr>
        <w:t>)</w:t>
      </w:r>
      <w:r w:rsidR="008A74EB" w:rsidRPr="00C9040A">
        <w:rPr>
          <w:rtl/>
        </w:rPr>
        <w:t xml:space="preserve"> [ الأنفال </w:t>
      </w:r>
      <w:r w:rsidR="00ED63FC">
        <w:rPr>
          <w:rtl/>
        </w:rPr>
        <w:t>(8)</w:t>
      </w:r>
      <w:r w:rsidR="008A74EB" w:rsidRPr="00C9040A">
        <w:rPr>
          <w:rtl/>
        </w:rPr>
        <w:t xml:space="preserve"> : 17 ]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 الأمثل فالأمثل » ، أي‌الأشرف فالأشرف ، والأعلى فالأعلى في الرتبة والمنزلة. يقال : هذا أمثل من هذا ، أي‌أفضل وأدنى إلى الخير. وأماثل الناس : خيارهم. </w:t>
      </w:r>
      <w:r w:rsidR="008A74EB" w:rsidRPr="00993B55">
        <w:rPr>
          <w:rStyle w:val="libFootnoteBoldChar"/>
          <w:rtl/>
        </w:rPr>
        <w:t>النهاية</w:t>
      </w:r>
      <w:r w:rsidR="008A74EB" w:rsidRPr="00C9040A">
        <w:rPr>
          <w:rtl/>
        </w:rPr>
        <w:t xml:space="preserve"> ، ج 4 ، ص 296 ( مثل )</w:t>
      </w:r>
      <w:r w:rsidR="008A74EB">
        <w:rPr>
          <w:rtl/>
        </w:rPr>
        <w:t>.</w:t>
      </w:r>
    </w:p>
    <w:p w:rsidR="008A74EB" w:rsidRPr="00C9040A" w:rsidRDefault="006C577F" w:rsidP="00ED63FC">
      <w:pPr>
        <w:pStyle w:val="libFootnote0"/>
        <w:rPr>
          <w:rtl/>
          <w:lang w:bidi="fa-IR"/>
        </w:rPr>
      </w:pPr>
      <w:r>
        <w:rPr>
          <w:rtl/>
        </w:rPr>
        <w:t>(6).</w:t>
      </w:r>
      <w:r w:rsidR="008A74EB">
        <w:rPr>
          <w:rtl/>
        </w:rPr>
        <w:t xml:space="preserve"> </w:t>
      </w:r>
      <w:r w:rsidR="008A74EB" w:rsidRPr="00993B55">
        <w:rPr>
          <w:rStyle w:val="libFootnoteBoldChar"/>
          <w:rtl/>
        </w:rPr>
        <w:t>الأمالي</w:t>
      </w:r>
      <w:r w:rsidR="008A74EB" w:rsidRPr="00C9040A">
        <w:rPr>
          <w:rtl/>
        </w:rPr>
        <w:t xml:space="preserve"> للطوسي ، ص 659 ، المجلس 35 ، ح 7 ، بسنده عن محمّد بن أبي‌عمير. </w:t>
      </w:r>
      <w:r w:rsidR="008A74EB" w:rsidRPr="00993B55">
        <w:rPr>
          <w:rStyle w:val="libFootnoteBoldChar"/>
          <w:rtl/>
        </w:rPr>
        <w:t>الخصال</w:t>
      </w:r>
      <w:r w:rsidR="008A74EB" w:rsidRPr="00C9040A">
        <w:rPr>
          <w:rtl/>
        </w:rPr>
        <w:t xml:space="preserve"> ، ص 399 ، باب السبعة ، ضمن ح 108 ، بسند آخر عن جعفر بن محمّد ، عن أبيه </w:t>
      </w:r>
      <w:r w:rsidR="00117575" w:rsidRPr="00117575">
        <w:rPr>
          <w:rStyle w:val="libFootnoteAlaemChar"/>
          <w:rtl/>
        </w:rPr>
        <w:t>عليهما‌السلام</w:t>
      </w:r>
      <w:r w:rsidR="008A74EB" w:rsidRPr="00C9040A">
        <w:rPr>
          <w:rtl/>
        </w:rPr>
        <w:t xml:space="preserve"> عن النبيّ </w:t>
      </w:r>
      <w:r w:rsidR="004A4E41" w:rsidRPr="00ED63FC">
        <w:rPr>
          <w:rStyle w:val="libFootnoteAlaemChar"/>
          <w:rtl/>
        </w:rPr>
        <w:t>صلى‌الله‌عليه‌وآله</w:t>
      </w:r>
      <w:r w:rsidR="008A74EB" w:rsidRPr="00C9040A">
        <w:rPr>
          <w:rtl/>
        </w:rPr>
        <w:t xml:space="preserve"> ؛ </w:t>
      </w:r>
      <w:r w:rsidR="008A74EB" w:rsidRPr="00993B55">
        <w:rPr>
          <w:rStyle w:val="libFootnoteBoldChar"/>
          <w:rtl/>
        </w:rPr>
        <w:t>الأمالي</w:t>
      </w:r>
      <w:r w:rsidR="008A74EB" w:rsidRPr="00C9040A">
        <w:rPr>
          <w:rtl/>
        </w:rPr>
        <w:t xml:space="preserve"> للطوسي ، ص 465 ، المجلس 16 ، ضمن ح 37 ، بسند آخر عن النبيّ </w:t>
      </w:r>
      <w:r w:rsidR="004A4E41" w:rsidRPr="00ED63FC">
        <w:rPr>
          <w:rStyle w:val="libFootnoteAlaemChar"/>
          <w:rtl/>
        </w:rPr>
        <w:t>صلى‌الله‌عليه‌وآله</w:t>
      </w:r>
      <w:r w:rsidR="008A74EB" w:rsidRPr="00C9040A">
        <w:rPr>
          <w:rtl/>
        </w:rPr>
        <w:t xml:space="preserve">. </w:t>
      </w:r>
      <w:r w:rsidR="008A74EB" w:rsidRPr="00993B55">
        <w:rPr>
          <w:rStyle w:val="libFootnoteBoldChar"/>
          <w:rtl/>
        </w:rPr>
        <w:t>تنزيه الأنبياء</w:t>
      </w:r>
      <w:r w:rsidR="008A74EB" w:rsidRPr="00C9040A">
        <w:rPr>
          <w:rtl/>
        </w:rPr>
        <w:t xml:space="preserve"> ، ص 61 ، مرسلاً عن النبيّ </w:t>
      </w:r>
      <w:r w:rsidR="004A4E41" w:rsidRPr="00ED63FC">
        <w:rPr>
          <w:rStyle w:val="libFootnoteAlaemChar"/>
          <w:rtl/>
        </w:rPr>
        <w:t>صلى‌الله‌عليه‌وآله</w:t>
      </w:r>
      <w:r w:rsidR="008A74EB" w:rsidRPr="00C9040A">
        <w:rPr>
          <w:rtl/>
        </w:rPr>
        <w:t xml:space="preserve"> ؛ </w:t>
      </w:r>
      <w:r w:rsidR="008A74EB" w:rsidRPr="00993B55">
        <w:rPr>
          <w:rStyle w:val="libFootnoteBoldChar"/>
          <w:rtl/>
        </w:rPr>
        <w:t>تفسير العيّاشي</w:t>
      </w:r>
      <w:r w:rsidR="008A74EB" w:rsidRPr="00C9040A">
        <w:rPr>
          <w:rtl/>
        </w:rPr>
        <w:t xml:space="preserve"> ، ج 2 ، ص 719 ، ضمن ح 61 ، عن إسماعيل بن جابر ، عن أبي‌عبدالله </w:t>
      </w:r>
      <w:r w:rsidR="00117575" w:rsidRPr="00117575">
        <w:rPr>
          <w:rStyle w:val="libFootnoteAlaemChar"/>
          <w:rtl/>
        </w:rPr>
        <w:t>عليه‌السلام</w:t>
      </w:r>
      <w:r w:rsidR="008A74EB" w:rsidRPr="00C9040A">
        <w:rPr>
          <w:rtl/>
        </w:rPr>
        <w:t xml:space="preserve"> ؛ </w:t>
      </w:r>
      <w:r w:rsidR="008A74EB" w:rsidRPr="00993B55">
        <w:rPr>
          <w:rStyle w:val="libFootnoteBoldChar"/>
          <w:rtl/>
        </w:rPr>
        <w:t>مصباح الشريعة</w:t>
      </w:r>
      <w:r w:rsidR="008A74EB" w:rsidRPr="00C9040A">
        <w:rPr>
          <w:rtl/>
        </w:rPr>
        <w:t xml:space="preserve"> ، ص 183 ، الباب 87 ، ضمن الحديث ، عن الصادق </w:t>
      </w:r>
      <w:r w:rsidR="00117575" w:rsidRPr="00ED63FC">
        <w:rPr>
          <w:rStyle w:val="libFootnoteAlaemChar"/>
          <w:rtl/>
        </w:rPr>
        <w:t>عليه‌السلام</w:t>
      </w:r>
      <w:r w:rsidR="008A74EB" w:rsidRPr="00C9040A">
        <w:rPr>
          <w:rtl/>
        </w:rPr>
        <w:t xml:space="preserve"> عن النبيّ </w:t>
      </w:r>
      <w:r w:rsidR="004A4E41" w:rsidRPr="00ED63FC">
        <w:rPr>
          <w:rStyle w:val="libFootnoteAlaemChar"/>
          <w:rtl/>
        </w:rPr>
        <w:t>صلى‌الله‌عليه‌وآله</w:t>
      </w:r>
      <w:r w:rsidR="008A74EB" w:rsidRPr="00C9040A">
        <w:rPr>
          <w:rtl/>
        </w:rPr>
        <w:t xml:space="preserve"> ، وفي الخمسة الأخيرة مع اختلاف يسير</w:t>
      </w:r>
      <w:r w:rsidR="00ED63FC">
        <w:rPr>
          <w:rFonts w:hint="cs"/>
          <w:rtl/>
        </w:rPr>
        <w:t>.</w:t>
      </w:r>
      <w:r w:rsidR="008A74EB" w:rsidRPr="00993B55">
        <w:rPr>
          <w:rStyle w:val="libFootnoteBoldChar"/>
          <w:rtl/>
        </w:rPr>
        <w:t>الوافي</w:t>
      </w:r>
      <w:r w:rsidR="008A74EB" w:rsidRPr="00C9040A">
        <w:rPr>
          <w:rtl/>
        </w:rPr>
        <w:t xml:space="preserve"> ، ج 5 ، ص 763 ، ح 2999 ؛ </w:t>
      </w:r>
      <w:r w:rsidR="008A74EB" w:rsidRPr="00993B55">
        <w:rPr>
          <w:rStyle w:val="libFootnoteBoldChar"/>
          <w:rtl/>
        </w:rPr>
        <w:t>الوسائل</w:t>
      </w:r>
      <w:r w:rsidR="008A74EB" w:rsidRPr="00C9040A">
        <w:rPr>
          <w:rtl/>
        </w:rPr>
        <w:t xml:space="preserve"> ، ج 3 ، ص 262 ، ح 3588 ؛ </w:t>
      </w:r>
      <w:r w:rsidR="008A74EB" w:rsidRPr="00993B55">
        <w:rPr>
          <w:rStyle w:val="libFootnoteBoldChar"/>
          <w:rtl/>
        </w:rPr>
        <w:t>البحار</w:t>
      </w:r>
      <w:r w:rsidR="008A74EB" w:rsidRPr="00C9040A">
        <w:rPr>
          <w:rtl/>
        </w:rPr>
        <w:t xml:space="preserve"> ، ج 67 ، ص 200 ، ح 3.</w:t>
      </w:r>
    </w:p>
    <w:p w:rsidR="008A74EB" w:rsidRPr="00C9040A" w:rsidRDefault="006C577F" w:rsidP="004A4E41">
      <w:pPr>
        <w:pStyle w:val="libFootnote0"/>
        <w:rPr>
          <w:rtl/>
          <w:lang w:bidi="fa-IR"/>
        </w:rPr>
      </w:pPr>
      <w:r>
        <w:rPr>
          <w:rtl/>
        </w:rPr>
        <w:t>(7).</w:t>
      </w:r>
      <w:r w:rsidR="008A74EB" w:rsidRPr="00C9040A">
        <w:rPr>
          <w:rtl/>
        </w:rPr>
        <w:t xml:space="preserve"> في « بر » : « يمحض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 </w:t>
      </w:r>
      <w:r w:rsidR="006D3162">
        <w:rPr>
          <w:rtl/>
        </w:rPr>
        <w:t xml:space="preserve">ه </w:t>
      </w:r>
      <w:r w:rsidR="008A74EB" w:rsidRPr="00C9040A">
        <w:rPr>
          <w:rtl/>
        </w:rPr>
        <w:t>» : « به جلّ وعزّ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 سُئِلَ رَسُولُ اللهِ </w:t>
      </w:r>
      <w:r w:rsidR="004A4E41" w:rsidRPr="004A4E41">
        <w:rPr>
          <w:rStyle w:val="libAlaemChar"/>
          <w:rtl/>
        </w:rPr>
        <w:t>صلى‌الله‌عليه‌وآله</w:t>
      </w:r>
      <w:r w:rsidRPr="00C9040A">
        <w:rPr>
          <w:rtl/>
          <w:lang w:bidi="fa-IR"/>
        </w:rPr>
        <w:t xml:space="preserve"> : مَنْ أَشَدُّ النَّاسِ بَلَاءً فِي الدُّنْيَا</w:t>
      </w:r>
      <w:r>
        <w:rPr>
          <w:rtl/>
          <w:lang w:bidi="fa-IR"/>
        </w:rPr>
        <w:t>؟</w:t>
      </w:r>
      <w:r w:rsidRPr="00C9040A">
        <w:rPr>
          <w:rtl/>
          <w:lang w:bidi="fa-IR"/>
        </w:rPr>
        <w:t xml:space="preserve"> فَقَالَ </w:t>
      </w:r>
      <w:r w:rsidRPr="0003660B">
        <w:rPr>
          <w:rStyle w:val="libAlaemChar"/>
          <w:rtl/>
        </w:rPr>
        <w:t>عليه‌السلام</w:t>
      </w:r>
      <w:r w:rsidRPr="00C9040A">
        <w:rPr>
          <w:rtl/>
          <w:lang w:bidi="fa-IR"/>
        </w:rPr>
        <w:t xml:space="preserve"> : النَّبِيُّونَ ، ثُمَّ الْأَمْثَلُ فَالْأَمْثَلُ ، وَيُبْتَلَى الْمُؤْمِنُ بَعْدُ عَلى قَدْرِ إِيمَانِهِ وَحُسْنِ أَعْمَالِهِ </w:t>
      </w:r>
      <w:r w:rsidR="006C577F" w:rsidRPr="006C577F">
        <w:rPr>
          <w:rStyle w:val="libFootnotenumChar"/>
          <w:rtl/>
        </w:rPr>
        <w:t>(1)</w:t>
      </w:r>
      <w:r w:rsidRPr="00C9040A">
        <w:rPr>
          <w:rtl/>
          <w:lang w:bidi="fa-IR"/>
        </w:rPr>
        <w:t xml:space="preserve"> ؛ فَمَنْ صَحَّ إِيمَانُهُ وَحَسُنَ عَمَلُهُ اشْتَدَّ بَلَاؤُهُ ، وَمَنْ سَخُفَ إِيمَانُهُ </w:t>
      </w:r>
      <w:r w:rsidR="006C577F" w:rsidRPr="006C577F">
        <w:rPr>
          <w:rStyle w:val="libFootnotenumChar"/>
          <w:rtl/>
        </w:rPr>
        <w:t>(2)</w:t>
      </w:r>
      <w:r w:rsidRPr="00C9040A">
        <w:rPr>
          <w:rtl/>
          <w:lang w:bidi="fa-IR"/>
        </w:rPr>
        <w:t xml:space="preserve"> وَضَعُفَ عَمَلُهُ قَلَّ بَلَاؤُهُ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9E269E">
        <w:rPr>
          <w:rtl/>
        </w:rPr>
        <w:t>2354</w:t>
      </w:r>
      <w:r w:rsidRPr="00261CB0">
        <w:rPr>
          <w:rStyle w:val="libBold2Char"/>
          <w:rtl/>
        </w:rPr>
        <w:t xml:space="preserve"> / 3.</w:t>
      </w:r>
      <w:r w:rsidRPr="00C9040A">
        <w:rPr>
          <w:rtl/>
          <w:lang w:bidi="fa-IR"/>
        </w:rPr>
        <w:t xml:space="preserve"> مُحَمَّدُ بْنُ يَحْيى ، عَنْ أَحْمَدَ بْنِ مُحَمَّدِ بْنِ عِيسى ، عَنْ مُحَمَّدِ بْنِ سِنَانٍ </w:t>
      </w:r>
      <w:r w:rsidR="006C577F" w:rsidRPr="006C577F">
        <w:rPr>
          <w:rStyle w:val="libFootnotenumChar"/>
          <w:rtl/>
        </w:rPr>
        <w:t>(4)</w:t>
      </w:r>
      <w:r w:rsidRPr="00C9040A">
        <w:rPr>
          <w:rtl/>
          <w:lang w:bidi="fa-IR"/>
        </w:rPr>
        <w:t xml:space="preserve"> ، عَنْ عَمَّارِ بْنِ مَرْوَانَ ، عَنْ زَيْدٍ الشَّحَّامِ :</w:t>
      </w:r>
    </w:p>
    <w:p w:rsidR="008A74EB" w:rsidRPr="00C9040A" w:rsidRDefault="008A74EB" w:rsidP="00ED63FC">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إِنَّ عَظِيمَ الْأَجْرِ لَمَعَ </w:t>
      </w:r>
      <w:r w:rsidR="006C577F" w:rsidRPr="006C577F">
        <w:rPr>
          <w:rStyle w:val="libFootnotenumChar"/>
          <w:rtl/>
        </w:rPr>
        <w:t>(5)</w:t>
      </w:r>
      <w:r w:rsidRPr="00C9040A">
        <w:rPr>
          <w:rtl/>
          <w:lang w:bidi="fa-IR"/>
        </w:rPr>
        <w:t xml:space="preserve"> عَظِيمِ الْبَلَاءِ ، وَ</w:t>
      </w:r>
      <w:r w:rsidR="00ED63FC">
        <w:rPr>
          <w:rtl/>
          <w:lang w:bidi="fa-IR"/>
        </w:rPr>
        <w:t>مَا أَحَبَّ اللهُ قَوْماً إِل</w:t>
      </w:r>
      <w:r w:rsidR="00ED63FC">
        <w:rPr>
          <w:rFonts w:hint="cs"/>
          <w:rtl/>
          <w:lang w:bidi="fa-IR"/>
        </w:rPr>
        <w:t>َّ</w:t>
      </w:r>
      <w:r w:rsidR="00ED63FC">
        <w:rPr>
          <w:rtl/>
          <w:lang w:bidi="fa-IR"/>
        </w:rPr>
        <w:t>ا</w:t>
      </w:r>
      <w:r w:rsidRPr="00C9040A">
        <w:rPr>
          <w:rtl/>
          <w:lang w:bidi="fa-IR"/>
        </w:rPr>
        <w:t xml:space="preserve"> ابْتَلَاهُمْ »</w:t>
      </w:r>
      <w:r>
        <w:rPr>
          <w:rtl/>
          <w:lang w:bidi="fa-IR"/>
        </w:rPr>
        <w:t>.</w:t>
      </w:r>
      <w:r w:rsidRPr="00C9040A">
        <w:rPr>
          <w:rtl/>
          <w:lang w:bidi="fa-IR"/>
        </w:rPr>
        <w:t xml:space="preserve"> </w:t>
      </w:r>
      <w:r w:rsidR="006C577F" w:rsidRPr="006C577F">
        <w:rPr>
          <w:rStyle w:val="libFootnotenumChar"/>
          <w:rtl/>
        </w:rPr>
        <w:t>(6)</w:t>
      </w:r>
    </w:p>
    <w:p w:rsidR="00ED63FC" w:rsidRDefault="008A74EB" w:rsidP="00ED63FC">
      <w:pPr>
        <w:pStyle w:val="libNormal"/>
        <w:rPr>
          <w:rtl/>
          <w:lang w:bidi="fa-IR"/>
        </w:rPr>
      </w:pPr>
      <w:r w:rsidRPr="009E269E">
        <w:rPr>
          <w:rtl/>
        </w:rPr>
        <w:t>2355</w:t>
      </w:r>
      <w:r w:rsidRPr="00261CB0">
        <w:rPr>
          <w:rStyle w:val="libBold2Char"/>
          <w:rtl/>
        </w:rPr>
        <w:t xml:space="preserve"> / 4.</w:t>
      </w:r>
      <w:r w:rsidRPr="00C9040A">
        <w:rPr>
          <w:rtl/>
          <w:lang w:bidi="fa-IR"/>
        </w:rPr>
        <w:t xml:space="preserve"> عَلِيُّ بْنُ إِبْرَاهِيمَ ، عَنْ أَبِيهِ ؛</w:t>
      </w:r>
    </w:p>
    <w:p w:rsidR="008A74EB" w:rsidRPr="00C9040A" w:rsidRDefault="008A74EB" w:rsidP="00ED63FC">
      <w:pPr>
        <w:pStyle w:val="libNormal"/>
        <w:rPr>
          <w:rtl/>
          <w:lang w:bidi="fa-IR"/>
        </w:rPr>
      </w:pPr>
      <w:r w:rsidRPr="00C9040A">
        <w:rPr>
          <w:rtl/>
          <w:lang w:bidi="fa-IR"/>
        </w:rPr>
        <w:t xml:space="preserve">وَمُحَمَّدُ بْنُ إِسْمَاعِيلَ ، عَنِ الْفَضْلِ بْنِ شَاذَانَ جَمِيعاً ، عَنْ حَمَّادِ بْنِ عِيسى ، عَنْ رِبْعِيِّ بْنِ عَبْدِ اللهِ ، عَنِ الْفُضَيْلِ </w:t>
      </w:r>
      <w:r w:rsidR="006C577F" w:rsidRPr="006C577F">
        <w:rPr>
          <w:rStyle w:val="libFootnotenumChar"/>
          <w:rtl/>
        </w:rPr>
        <w:t>(7)</w:t>
      </w:r>
      <w:r w:rsidRPr="00C9040A">
        <w:rPr>
          <w:rtl/>
          <w:lang w:bidi="fa-IR"/>
        </w:rPr>
        <w:t xml:space="preserve"> بْنِ يَسَارٍ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أَشَدُّ النَّاسِ بَلَاءً الْأَنْبِيَاءُ ، ثُمَّ الْأَوْصِيَاءُ ، ثُمَّ الْأَمَاثِلُ‌</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شرح المازندراني : « عمله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أي‌نقص إيمانه ، من السُّخْف : وهو رِقَّة العقل ونقصانه. </w:t>
      </w:r>
      <w:r w:rsidR="008A74EB" w:rsidRPr="00993B55">
        <w:rPr>
          <w:rStyle w:val="libFootnoteBoldChar"/>
          <w:rtl/>
        </w:rPr>
        <w:t>مجمع البحرين</w:t>
      </w:r>
      <w:r w:rsidR="008A74EB" w:rsidRPr="00C9040A">
        <w:rPr>
          <w:rtl/>
        </w:rPr>
        <w:t xml:space="preserve"> ، ج 5 ، ص 69 ( سخف )</w:t>
      </w:r>
      <w:r w:rsidR="008A74EB">
        <w:rPr>
          <w:rtl/>
        </w:rPr>
        <w:t>.</w:t>
      </w:r>
    </w:p>
    <w:p w:rsidR="008A74EB" w:rsidRPr="00C9040A" w:rsidRDefault="006C577F" w:rsidP="00ED63FC">
      <w:pPr>
        <w:pStyle w:val="libFootnote0"/>
        <w:rPr>
          <w:rtl/>
          <w:lang w:bidi="fa-IR"/>
        </w:rPr>
      </w:pPr>
      <w:r>
        <w:rPr>
          <w:rtl/>
        </w:rPr>
        <w:t>(3).</w:t>
      </w:r>
      <w:r w:rsidR="008A74EB" w:rsidRPr="00C9040A">
        <w:rPr>
          <w:rtl/>
        </w:rPr>
        <w:t xml:space="preserve"> </w:t>
      </w:r>
      <w:r w:rsidR="008A74EB" w:rsidRPr="00993B55">
        <w:rPr>
          <w:rStyle w:val="libFootnoteBoldChar"/>
          <w:rtl/>
        </w:rPr>
        <w:t>الكافي</w:t>
      </w:r>
      <w:r w:rsidR="008A74EB" w:rsidRPr="00C9040A">
        <w:rPr>
          <w:rtl/>
        </w:rPr>
        <w:t xml:space="preserve"> ، كتاب الإيمان والكفر ، باب شدّة ابتلاء المؤمن ، ح 2380 ؛ </w:t>
      </w:r>
      <w:r w:rsidR="008A74EB" w:rsidRPr="00993B55">
        <w:rPr>
          <w:rStyle w:val="libFootnoteBoldChar"/>
          <w:rtl/>
        </w:rPr>
        <w:t>علل الشرائع</w:t>
      </w:r>
      <w:r w:rsidR="008A74EB" w:rsidRPr="00C9040A">
        <w:rPr>
          <w:rtl/>
        </w:rPr>
        <w:t xml:space="preserve"> ، ص 44 ، ح 1 ، وفيهما بسند آخر : « إنّ في كتاب عليّ أن أشدّ الناس بلاءاً</w:t>
      </w:r>
      <w:r w:rsidR="008A74EB">
        <w:rPr>
          <w:rtl/>
        </w:rPr>
        <w:t xml:space="preserve"> ..</w:t>
      </w:r>
      <w:r w:rsidR="008A74EB" w:rsidRPr="00C9040A">
        <w:rPr>
          <w:rtl/>
        </w:rPr>
        <w:t xml:space="preserve">. » ، مع اختلاف يسير وزيادة. </w:t>
      </w:r>
      <w:r w:rsidR="008A74EB" w:rsidRPr="00993B55">
        <w:rPr>
          <w:rStyle w:val="libFootnoteBoldChar"/>
          <w:rtl/>
        </w:rPr>
        <w:t>تحف العقول</w:t>
      </w:r>
      <w:r w:rsidR="008A74EB" w:rsidRPr="00C9040A">
        <w:rPr>
          <w:rtl/>
        </w:rPr>
        <w:t xml:space="preserve"> ، ص 39 ، عن النبيّ </w:t>
      </w:r>
      <w:r w:rsidR="004A4E41" w:rsidRPr="00ED63FC">
        <w:rPr>
          <w:rStyle w:val="libFootnoteAlaemChar"/>
          <w:rtl/>
        </w:rPr>
        <w:t>صلى‌الله‌عليه‌وآله</w:t>
      </w:r>
      <w:r w:rsidR="00ED63FC">
        <w:rPr>
          <w:rFonts w:hint="cs"/>
          <w:rtl/>
        </w:rPr>
        <w:t>.</w:t>
      </w:r>
      <w:r w:rsidR="008A74EB" w:rsidRPr="00993B55">
        <w:rPr>
          <w:rStyle w:val="libFootnoteBoldChar"/>
          <w:rtl/>
        </w:rPr>
        <w:t>الوافي</w:t>
      </w:r>
      <w:r w:rsidR="008A74EB" w:rsidRPr="00C9040A">
        <w:rPr>
          <w:rtl/>
        </w:rPr>
        <w:t xml:space="preserve"> ، ج 5 ، ص 763 ، ح 3001 ؛ </w:t>
      </w:r>
      <w:r w:rsidR="008A74EB" w:rsidRPr="00993B55">
        <w:rPr>
          <w:rStyle w:val="libFootnoteBoldChar"/>
          <w:rtl/>
        </w:rPr>
        <w:t>الوسائل</w:t>
      </w:r>
      <w:r w:rsidR="008A74EB" w:rsidRPr="00C9040A">
        <w:rPr>
          <w:rtl/>
        </w:rPr>
        <w:t xml:space="preserve"> ، ج 3 ، ص 261 ، ح 3584 ؛ </w:t>
      </w:r>
      <w:r w:rsidR="008A74EB" w:rsidRPr="00993B55">
        <w:rPr>
          <w:rStyle w:val="libFootnoteBoldChar"/>
          <w:rtl/>
        </w:rPr>
        <w:t>البحار</w:t>
      </w:r>
      <w:r w:rsidR="008A74EB" w:rsidRPr="00C9040A">
        <w:rPr>
          <w:rtl/>
        </w:rPr>
        <w:t xml:space="preserve"> ، ج 67 ، ص 207 ، ح 6.</w:t>
      </w:r>
    </w:p>
    <w:tbl>
      <w:tblPr>
        <w:tblStyle w:val="TableGrid"/>
        <w:bidiVisual/>
        <w:tblW w:w="0" w:type="auto"/>
        <w:tblLook w:val="04A0" w:firstRow="1" w:lastRow="0" w:firstColumn="1" w:lastColumn="0" w:noHBand="0" w:noVBand="1"/>
      </w:tblPr>
      <w:tblGrid>
        <w:gridCol w:w="4006"/>
        <w:gridCol w:w="4006"/>
      </w:tblGrid>
      <w:tr w:rsidR="00ED63FC" w:rsidTr="00ED63FC">
        <w:tc>
          <w:tcPr>
            <w:tcW w:w="4006" w:type="dxa"/>
          </w:tcPr>
          <w:p w:rsidR="00ED63FC" w:rsidRDefault="00ED63FC" w:rsidP="004A4E41">
            <w:pPr>
              <w:pStyle w:val="libFootnote0"/>
              <w:rPr>
                <w:rtl/>
              </w:rPr>
            </w:pPr>
            <w:r>
              <w:rPr>
                <w:rtl/>
              </w:rPr>
              <w:t>(4).</w:t>
            </w:r>
            <w:r w:rsidRPr="00C9040A">
              <w:rPr>
                <w:rtl/>
              </w:rPr>
              <w:t xml:space="preserve"> في الكافي ، ح 1799 : + « وعليّ بن النعمان »</w:t>
            </w:r>
            <w:r>
              <w:rPr>
                <w:rtl/>
              </w:rPr>
              <w:t>.</w:t>
            </w:r>
          </w:p>
        </w:tc>
        <w:tc>
          <w:tcPr>
            <w:tcW w:w="4006" w:type="dxa"/>
          </w:tcPr>
          <w:p w:rsidR="00ED63FC" w:rsidRDefault="00ED63FC" w:rsidP="004A4E41">
            <w:pPr>
              <w:pStyle w:val="libFootnote0"/>
              <w:rPr>
                <w:rtl/>
              </w:rPr>
            </w:pPr>
            <w:r>
              <w:rPr>
                <w:rtl/>
              </w:rPr>
              <w:t>(5).</w:t>
            </w:r>
            <w:r w:rsidRPr="00C9040A">
              <w:rPr>
                <w:rtl/>
              </w:rPr>
              <w:t xml:space="preserve"> في « </w:t>
            </w:r>
            <w:r>
              <w:rPr>
                <w:rtl/>
              </w:rPr>
              <w:t>ه »:«مع</w:t>
            </w:r>
            <w:r w:rsidRPr="00C9040A">
              <w:rPr>
                <w:rtl/>
              </w:rPr>
              <w:t>»</w:t>
            </w:r>
            <w:r>
              <w:rPr>
                <w:rtl/>
              </w:rPr>
              <w:t>. وفي الكافي، ح 1799:«لَمِن</w:t>
            </w:r>
            <w:r w:rsidRPr="00C9040A">
              <w:rPr>
                <w:rtl/>
              </w:rPr>
              <w:t>»</w:t>
            </w:r>
            <w:r>
              <w:rPr>
                <w:rtl/>
              </w:rPr>
              <w:t>.</w:t>
            </w:r>
          </w:p>
        </w:tc>
      </w:tr>
    </w:tbl>
    <w:p w:rsidR="008A74EB" w:rsidRPr="00C9040A" w:rsidRDefault="006C577F" w:rsidP="005759BB">
      <w:pPr>
        <w:pStyle w:val="libFootnote0"/>
        <w:rPr>
          <w:rtl/>
          <w:lang w:bidi="fa-IR"/>
        </w:rPr>
      </w:pPr>
      <w:r>
        <w:rPr>
          <w:rtl/>
        </w:rPr>
        <w:t>(6).</w:t>
      </w:r>
      <w:r w:rsidR="008A74EB">
        <w:rPr>
          <w:rtl/>
        </w:rPr>
        <w:t xml:space="preserve"> </w:t>
      </w:r>
      <w:r w:rsidR="008A74EB" w:rsidRPr="00993B55">
        <w:rPr>
          <w:rStyle w:val="libFootnoteBoldChar"/>
          <w:rtl/>
        </w:rPr>
        <w:t>الكافي</w:t>
      </w:r>
      <w:r w:rsidR="008A74EB" w:rsidRPr="00C9040A">
        <w:rPr>
          <w:rtl/>
        </w:rPr>
        <w:t xml:space="preserve"> ، كتاب الإيمان والكفر ، باب كظم الغيظ ، ح 1799 ، مع زيادة في أوّله. </w:t>
      </w:r>
      <w:r w:rsidR="008A74EB" w:rsidRPr="00993B55">
        <w:rPr>
          <w:rStyle w:val="libFootnoteBoldChar"/>
          <w:rtl/>
        </w:rPr>
        <w:t>الخصال</w:t>
      </w:r>
      <w:r w:rsidR="008A74EB" w:rsidRPr="00C9040A">
        <w:rPr>
          <w:rtl/>
        </w:rPr>
        <w:t xml:space="preserve"> ، ص 18 ، باب الواحد ، ح 64 ، عن أبيه ، عن محمّد بن يحيى العطّار ، عن سهل بن زياد الآدميّ ، عن الحسن بن الحسين اللؤلؤي ، عن محمّد بن سنان ، عن زيد أبي‌ا</w:t>
      </w:r>
      <w:r w:rsidR="005759BB">
        <w:rPr>
          <w:rFonts w:hint="cs"/>
          <w:rtl/>
        </w:rPr>
        <w:t>ُ</w:t>
      </w:r>
      <w:r w:rsidR="008A74EB" w:rsidRPr="00C9040A">
        <w:rPr>
          <w:rtl/>
        </w:rPr>
        <w:t xml:space="preserve">سامة الشحّام ، عن أبي‌عبدالله </w:t>
      </w:r>
      <w:r w:rsidR="00117575" w:rsidRPr="00117575">
        <w:rPr>
          <w:rStyle w:val="libFootnoteAlaemChar"/>
          <w:rtl/>
        </w:rPr>
        <w:t>عليه‌السلام</w:t>
      </w:r>
      <w:r w:rsidR="008A74EB" w:rsidRPr="00C9040A">
        <w:rPr>
          <w:rtl/>
        </w:rPr>
        <w:t xml:space="preserve"> عن رسول‌الله </w:t>
      </w:r>
      <w:r w:rsidR="004A4E41" w:rsidRPr="005759BB">
        <w:rPr>
          <w:rStyle w:val="libFootnoteAlaemChar"/>
          <w:rtl/>
        </w:rPr>
        <w:t>صلى‌الله‌عليه‌وآله</w:t>
      </w:r>
      <w:r w:rsidR="008A74EB" w:rsidRPr="00C9040A">
        <w:rPr>
          <w:rtl/>
        </w:rPr>
        <w:t xml:space="preserve"> ، وفيه مع اختلاف يسير وزيادة في آخره. </w:t>
      </w:r>
      <w:r w:rsidR="008A74EB" w:rsidRPr="00993B55">
        <w:rPr>
          <w:rStyle w:val="libFootnoteBoldChar"/>
          <w:rtl/>
        </w:rPr>
        <w:t>المؤمن</w:t>
      </w:r>
      <w:r w:rsidR="008A74EB" w:rsidRPr="00C9040A">
        <w:rPr>
          <w:rtl/>
        </w:rPr>
        <w:t xml:space="preserve"> ، ص 24 ، ح 36 ، عن أبي عبدالله </w:t>
      </w:r>
      <w:r w:rsidR="00117575" w:rsidRPr="00117575">
        <w:rPr>
          <w:rStyle w:val="libFootnoteAlaemChar"/>
          <w:rtl/>
        </w:rPr>
        <w:t>عليه‌السلام</w:t>
      </w:r>
      <w:r w:rsidR="008A74EB" w:rsidRPr="00C9040A">
        <w:rPr>
          <w:rtl/>
        </w:rPr>
        <w:t xml:space="preserve"> ، مع زيادة في أوّله ؛ </w:t>
      </w:r>
      <w:r w:rsidR="008A74EB" w:rsidRPr="00993B55">
        <w:rPr>
          <w:rStyle w:val="libFootnoteBoldChar"/>
          <w:rtl/>
        </w:rPr>
        <w:t>تحف العقول</w:t>
      </w:r>
      <w:r w:rsidR="008A74EB" w:rsidRPr="00C9040A">
        <w:rPr>
          <w:rtl/>
        </w:rPr>
        <w:t xml:space="preserve"> ، ص 41 ، عن النبيّ </w:t>
      </w:r>
      <w:r w:rsidR="004A4E41" w:rsidRPr="005759BB">
        <w:rPr>
          <w:rStyle w:val="libFootnoteAlaemChar"/>
          <w:rtl/>
        </w:rPr>
        <w:t>صلى‌الله‌عليه‌وآله</w:t>
      </w:r>
      <w:r w:rsidR="008A74EB" w:rsidRPr="00C9040A">
        <w:rPr>
          <w:rtl/>
        </w:rPr>
        <w:t xml:space="preserve"> ، مع اختلاف يسير وزيادة في آخره</w:t>
      </w:r>
      <w:r w:rsidR="005759BB">
        <w:rPr>
          <w:rFonts w:hint="cs"/>
          <w:rtl/>
        </w:rPr>
        <w:t>.</w:t>
      </w:r>
      <w:r w:rsidR="008A74EB" w:rsidRPr="00993B55">
        <w:rPr>
          <w:rStyle w:val="libFootnoteBoldChar"/>
          <w:rtl/>
        </w:rPr>
        <w:t>الوافي</w:t>
      </w:r>
      <w:r w:rsidR="008A74EB" w:rsidRPr="00C9040A">
        <w:rPr>
          <w:rtl/>
        </w:rPr>
        <w:t xml:space="preserve"> ، ج 5 ، ص 765 ، ح 3005 ؛ </w:t>
      </w:r>
      <w:r w:rsidR="008A74EB" w:rsidRPr="00993B55">
        <w:rPr>
          <w:rStyle w:val="libFootnoteBoldChar"/>
          <w:rtl/>
        </w:rPr>
        <w:t>الوسائل</w:t>
      </w:r>
      <w:r w:rsidR="008A74EB" w:rsidRPr="00C9040A">
        <w:rPr>
          <w:rtl/>
        </w:rPr>
        <w:t xml:space="preserve"> ، ج 3 ، ص 263 ، ح 3593 ؛ </w:t>
      </w:r>
      <w:r w:rsidR="008A74EB" w:rsidRPr="00993B55">
        <w:rPr>
          <w:rStyle w:val="libFootnoteBoldChar"/>
          <w:rtl/>
        </w:rPr>
        <w:t>البحار</w:t>
      </w:r>
      <w:r w:rsidR="008A74EB" w:rsidRPr="00C9040A">
        <w:rPr>
          <w:rtl/>
        </w:rPr>
        <w:t xml:space="preserve"> ، ج 67 ، ص 207 ، ح 7.</w:t>
      </w:r>
    </w:p>
    <w:p w:rsidR="008A74EB" w:rsidRPr="00C9040A" w:rsidRDefault="006C577F" w:rsidP="004A4E41">
      <w:pPr>
        <w:pStyle w:val="libFootnote0"/>
        <w:rPr>
          <w:rtl/>
          <w:lang w:bidi="fa-IR"/>
        </w:rPr>
      </w:pPr>
      <w:r>
        <w:rPr>
          <w:rtl/>
        </w:rPr>
        <w:t>(7).</w:t>
      </w:r>
      <w:r w:rsidR="008A74EB" w:rsidRPr="00C9040A">
        <w:rPr>
          <w:rtl/>
        </w:rPr>
        <w:t xml:space="preserve"> هكذا في النسخ والطبعة القديمة والوسائل. وفي المطبوع : « فضيل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فَالْأَمَاثِلُ </w:t>
      </w:r>
      <w:r w:rsidR="006C577F" w:rsidRPr="006C577F">
        <w:rPr>
          <w:rStyle w:val="libFootnotenumChar"/>
          <w:rtl/>
        </w:rPr>
        <w:t>(1)</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9E269E">
        <w:rPr>
          <w:rtl/>
        </w:rPr>
        <w:t>2356</w:t>
      </w:r>
      <w:r w:rsidRPr="00261CB0">
        <w:rPr>
          <w:rStyle w:val="libBold2Char"/>
          <w:rtl/>
        </w:rPr>
        <w:t xml:space="preserve"> / 5.</w:t>
      </w:r>
      <w:r w:rsidRPr="00C9040A">
        <w:rPr>
          <w:rtl/>
          <w:lang w:bidi="fa-IR"/>
        </w:rPr>
        <w:t xml:space="preserve"> عِدَّةٌ مِنْ أَصْحَابِنَا ، عَنْ سَهْلِ بْنِ زِيَادٍ ، عَنِ ابْنِ مَحْبُوبٍ ، عَنِ ابْنِ رِئَابٍ ، عَنْ أَبِي بَصِيرٍ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إِنَّ 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عِبَاداً فِي الْأَرْضِ مِنْ خَالِصِ عِبَادِهِ ، مَا يُنْزِلُ </w:t>
      </w:r>
      <w:r w:rsidR="006C577F" w:rsidRPr="006C577F">
        <w:rPr>
          <w:rStyle w:val="libFootnotenumChar"/>
          <w:rtl/>
        </w:rPr>
        <w:t>(3)</w:t>
      </w:r>
      <w:r w:rsidRPr="00C9040A">
        <w:rPr>
          <w:rtl/>
          <w:lang w:bidi="fa-IR"/>
        </w:rPr>
        <w:t xml:space="preserve"> مِنَ السَّمَاءِ تُحْفَةً </w:t>
      </w:r>
      <w:r w:rsidR="006C577F" w:rsidRPr="006C577F">
        <w:rPr>
          <w:rStyle w:val="libFootnotenumChar"/>
          <w:rtl/>
        </w:rPr>
        <w:t>(4)</w:t>
      </w:r>
      <w:r w:rsidR="005759BB">
        <w:rPr>
          <w:rtl/>
          <w:lang w:bidi="fa-IR"/>
        </w:rPr>
        <w:t xml:space="preserve"> إِلَى الْأَرْضِ إِل</w:t>
      </w:r>
      <w:r w:rsidR="005759BB">
        <w:rPr>
          <w:rFonts w:hint="cs"/>
          <w:rtl/>
          <w:lang w:bidi="fa-IR"/>
        </w:rPr>
        <w:t>َّ</w:t>
      </w:r>
      <w:r w:rsidR="005759BB">
        <w:rPr>
          <w:rtl/>
          <w:lang w:bidi="fa-IR"/>
        </w:rPr>
        <w:t>ا</w:t>
      </w:r>
      <w:r w:rsidRPr="00C9040A">
        <w:rPr>
          <w:rtl/>
          <w:lang w:bidi="fa-IR"/>
        </w:rPr>
        <w:t xml:space="preserve"> صَرَفَهَا عَنْهُمْ إِلى غَيْرِهِمْ ، وَلَا </w:t>
      </w:r>
      <w:r w:rsidR="006C577F" w:rsidRPr="006C577F">
        <w:rPr>
          <w:rStyle w:val="libFootnotenumChar"/>
          <w:rtl/>
        </w:rPr>
        <w:t>(5)</w:t>
      </w:r>
      <w:r w:rsidR="00BE6BED">
        <w:rPr>
          <w:rtl/>
          <w:lang w:bidi="fa-IR"/>
        </w:rPr>
        <w:t xml:space="preserve"> بَلِيَّةً إِل</w:t>
      </w:r>
      <w:r w:rsidR="00BE6BED">
        <w:rPr>
          <w:rFonts w:hint="cs"/>
          <w:rtl/>
          <w:lang w:bidi="fa-IR"/>
        </w:rPr>
        <w:t>َّ</w:t>
      </w:r>
      <w:r w:rsidR="00BE6BED">
        <w:rPr>
          <w:rtl/>
          <w:lang w:bidi="fa-IR"/>
        </w:rPr>
        <w:t>ا</w:t>
      </w:r>
      <w:r w:rsidRPr="00C9040A">
        <w:rPr>
          <w:rtl/>
          <w:lang w:bidi="fa-IR"/>
        </w:rPr>
        <w:t xml:space="preserve"> صَرَفَهَا إِلَيْهِمْ »</w:t>
      </w:r>
      <w:r>
        <w:rPr>
          <w:rtl/>
          <w:lang w:bidi="fa-IR"/>
        </w:rPr>
        <w:t>.</w:t>
      </w:r>
      <w:r w:rsidRPr="00C9040A">
        <w:rPr>
          <w:rtl/>
          <w:lang w:bidi="fa-IR"/>
        </w:rPr>
        <w:t xml:space="preserve"> </w:t>
      </w:r>
      <w:r w:rsidR="006C577F" w:rsidRPr="006C577F">
        <w:rPr>
          <w:rStyle w:val="libFootnotenumChar"/>
          <w:rtl/>
        </w:rPr>
        <w:t>(6)</w:t>
      </w:r>
    </w:p>
    <w:p w:rsidR="008A74EB" w:rsidRPr="00C9040A" w:rsidRDefault="008A74EB" w:rsidP="008A74EB">
      <w:pPr>
        <w:pStyle w:val="libNormal"/>
        <w:rPr>
          <w:rtl/>
          <w:lang w:bidi="fa-IR"/>
        </w:rPr>
      </w:pPr>
      <w:r w:rsidRPr="009E269E">
        <w:rPr>
          <w:rtl/>
        </w:rPr>
        <w:t>2357</w:t>
      </w:r>
      <w:r w:rsidRPr="00261CB0">
        <w:rPr>
          <w:rStyle w:val="libBold2Char"/>
          <w:rtl/>
        </w:rPr>
        <w:t xml:space="preserve"> / 6.</w:t>
      </w:r>
      <w:r w:rsidRPr="00C9040A">
        <w:rPr>
          <w:rtl/>
          <w:lang w:bidi="fa-IR"/>
        </w:rPr>
        <w:t xml:space="preserve"> عِدَّةٌ مِنْ أَصْحَابِنَا ، عَنْ أَحْمَدَ بْنِ مُحَمَّدِ بْنِ خَالِدٍ ، عَنْ أَحْمَدَ بْنِ عُبَيْدٍ ، عَنِ الْحُسَيْنِ </w:t>
      </w:r>
      <w:r w:rsidR="006C577F" w:rsidRPr="006C577F">
        <w:rPr>
          <w:rStyle w:val="libFootnotenumChar"/>
          <w:rtl/>
        </w:rPr>
        <w:t>(7)</w:t>
      </w:r>
      <w:r w:rsidRPr="00C9040A">
        <w:rPr>
          <w:rtl/>
          <w:lang w:bidi="fa-IR"/>
        </w:rPr>
        <w:t xml:space="preserve"> بْنِ عُلْوَانَ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أَنَّهُ قَالَ</w:t>
      </w:r>
      <w:r>
        <w:rPr>
          <w:rtl/>
          <w:lang w:bidi="fa-IR"/>
        </w:rPr>
        <w:t xml:space="preserve"> </w:t>
      </w:r>
      <w:r w:rsidR="0084262C">
        <w:rPr>
          <w:rtl/>
          <w:lang w:bidi="fa-IR"/>
        </w:rPr>
        <w:t>-</w:t>
      </w:r>
      <w:r>
        <w:rPr>
          <w:rtl/>
          <w:lang w:bidi="fa-IR"/>
        </w:rPr>
        <w:t xml:space="preserve"> </w:t>
      </w:r>
      <w:r w:rsidRPr="00C9040A">
        <w:rPr>
          <w:rtl/>
          <w:lang w:bidi="fa-IR"/>
        </w:rPr>
        <w:t>وَعِنْدَهُ سَدِيرٌ</w:t>
      </w:r>
      <w:r>
        <w:rPr>
          <w:rtl/>
          <w:lang w:bidi="fa-IR"/>
        </w:rPr>
        <w:t xml:space="preserve"> </w:t>
      </w:r>
      <w:r w:rsidR="0084262C">
        <w:rPr>
          <w:rtl/>
          <w:lang w:bidi="fa-IR"/>
        </w:rPr>
        <w:t>-</w:t>
      </w:r>
      <w:r>
        <w:rPr>
          <w:rtl/>
          <w:lang w:bidi="fa-IR"/>
        </w:rPr>
        <w:t xml:space="preserve"> </w:t>
      </w:r>
      <w:r w:rsidRPr="00C9040A">
        <w:rPr>
          <w:rtl/>
          <w:lang w:bidi="fa-IR"/>
        </w:rPr>
        <w:t xml:space="preserve">: « إِنَّ اللهَ إِذَا أَحَبَّ عَبْداً غَتَّهُ </w:t>
      </w:r>
      <w:r w:rsidR="006C577F" w:rsidRPr="006C577F">
        <w:rPr>
          <w:rStyle w:val="libFootnotenumChar"/>
          <w:rtl/>
        </w:rPr>
        <w:t>(8)</w:t>
      </w:r>
      <w:r w:rsidRPr="00C9040A">
        <w:rPr>
          <w:rtl/>
          <w:lang w:bidi="fa-IR"/>
        </w:rPr>
        <w:t xml:space="preserve"> بِالْبَلَاءِ غَتّاً ، وَإِنَّا وَإِيَّاكُمْ يَا سَدِيرُ ، لَنُصْبِحُ بِهِ وَنُمْسِي »</w:t>
      </w:r>
      <w:r>
        <w:rPr>
          <w:rtl/>
          <w:lang w:bidi="fa-IR"/>
        </w:rPr>
        <w:t>.</w:t>
      </w:r>
      <w:r w:rsidRPr="00C9040A">
        <w:rPr>
          <w:rtl/>
          <w:lang w:bidi="fa-IR"/>
        </w:rPr>
        <w:t xml:space="preserve"> </w:t>
      </w:r>
      <w:r w:rsidR="006C577F" w:rsidRPr="006C577F">
        <w:rPr>
          <w:rStyle w:val="libFootnotenumChar"/>
          <w:rtl/>
        </w:rPr>
        <w:t>(9)</w:t>
      </w:r>
      <w:r w:rsidRPr="00C9040A">
        <w:rPr>
          <w:rtl/>
          <w:lang w:bidi="fa-IR"/>
        </w:rPr>
        <w:t xml:space="preserve"> ‌</w:t>
      </w:r>
    </w:p>
    <w:p w:rsidR="008A74EB" w:rsidRPr="00C9040A" w:rsidRDefault="008A74EB" w:rsidP="008A74EB">
      <w:pPr>
        <w:pStyle w:val="libNormal"/>
        <w:rPr>
          <w:rtl/>
          <w:lang w:bidi="fa-IR"/>
        </w:rPr>
      </w:pPr>
      <w:r w:rsidRPr="009E269E">
        <w:rPr>
          <w:rtl/>
        </w:rPr>
        <w:t>2358</w:t>
      </w:r>
      <w:r w:rsidRPr="00261CB0">
        <w:rPr>
          <w:rStyle w:val="libBold2Char"/>
          <w:rtl/>
        </w:rPr>
        <w:t xml:space="preserve"> / 7.</w:t>
      </w:r>
      <w:r w:rsidRPr="00C9040A">
        <w:rPr>
          <w:rtl/>
          <w:lang w:bidi="fa-IR"/>
        </w:rPr>
        <w:t xml:space="preserve"> مُحَمَّدُ بْنُ يَحْيى ، عَنْ أَحْمَدَ بْنِ مُحَمَّدِ بْنِ عِيسى ، عَنْ مُحَمَّدِ بْنِ سِنَانٍ ، عَنِ الْوَلِيدِ بْنِ الْعَلَا </w:t>
      </w:r>
      <w:r w:rsidR="006C577F" w:rsidRPr="006C577F">
        <w:rPr>
          <w:rStyle w:val="libFootnotenumChar"/>
          <w:rtl/>
        </w:rPr>
        <w:t>(10)</w:t>
      </w:r>
      <w:r w:rsidRPr="00C9040A">
        <w:rPr>
          <w:rtl/>
          <w:lang w:bidi="fa-IR"/>
        </w:rPr>
        <w:t xml:space="preserve"> ، عَنْ‌</w:t>
      </w:r>
      <w:r w:rsidR="005B4F82">
        <w:rPr>
          <w:rFonts w:hint="cs"/>
          <w:rtl/>
          <w:lang w:bidi="fa-IR"/>
        </w:rPr>
        <w:t>...........................................................</w:t>
      </w:r>
      <w:r w:rsidR="005B4F82">
        <w:rPr>
          <w:rFonts w:hint="cs"/>
          <w:rtl/>
          <w:lang w:bidi="fa-IR"/>
        </w:rPr>
        <w:tab/>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w:t>
      </w:r>
      <w:r w:rsidR="006D3162">
        <w:rPr>
          <w:rtl/>
        </w:rPr>
        <w:t xml:space="preserve">ه </w:t>
      </w:r>
      <w:r w:rsidR="008A74EB" w:rsidRPr="00C9040A">
        <w:rPr>
          <w:rtl/>
        </w:rPr>
        <w:t>» : « الأمثل فالأمثل »</w:t>
      </w:r>
      <w:r w:rsidR="008A74EB">
        <w:rPr>
          <w:rtl/>
        </w:rPr>
        <w:t>.</w:t>
      </w:r>
    </w:p>
    <w:p w:rsidR="008A74EB" w:rsidRPr="00C9040A" w:rsidRDefault="006C577F" w:rsidP="001B67EA">
      <w:pPr>
        <w:pStyle w:val="libFootnote0"/>
        <w:rPr>
          <w:rtl/>
          <w:lang w:bidi="fa-IR"/>
        </w:rPr>
      </w:pPr>
      <w:r>
        <w:rPr>
          <w:rtl/>
        </w:rPr>
        <w:t>(2).</w:t>
      </w:r>
      <w:r w:rsidR="008A74EB">
        <w:rPr>
          <w:rtl/>
        </w:rPr>
        <w:t xml:space="preserve"> </w:t>
      </w:r>
      <w:r w:rsidR="008A74EB" w:rsidRPr="00993B55">
        <w:rPr>
          <w:rStyle w:val="libFootnoteBoldChar"/>
          <w:rtl/>
        </w:rPr>
        <w:t>تحف العقول</w:t>
      </w:r>
      <w:r w:rsidR="008A74EB" w:rsidRPr="00C9040A">
        <w:rPr>
          <w:rtl/>
        </w:rPr>
        <w:t xml:space="preserve"> ، ص 39 ، عن النبيّ </w:t>
      </w:r>
      <w:r w:rsidR="004A4E41" w:rsidRPr="001B67EA">
        <w:rPr>
          <w:rStyle w:val="libFootnoteAlaemChar"/>
          <w:rtl/>
        </w:rPr>
        <w:t>صلى‌الله‌عليه‌وآله</w:t>
      </w:r>
      <w:r w:rsidR="008A74EB" w:rsidRPr="00C9040A">
        <w:rPr>
          <w:rtl/>
        </w:rPr>
        <w:t xml:space="preserve"> ، مع اختلاف يسير وزيادة في آخره</w:t>
      </w:r>
      <w:r w:rsidR="001B67EA">
        <w:rPr>
          <w:rFonts w:hint="cs"/>
          <w:rtl/>
        </w:rPr>
        <w:t>.</w:t>
      </w:r>
      <w:r w:rsidR="008A74EB" w:rsidRPr="00993B55">
        <w:rPr>
          <w:rStyle w:val="libFootnoteBoldChar"/>
          <w:rtl/>
        </w:rPr>
        <w:t>الوافي</w:t>
      </w:r>
      <w:r w:rsidR="008A74EB" w:rsidRPr="00C9040A">
        <w:rPr>
          <w:rtl/>
        </w:rPr>
        <w:t xml:space="preserve"> ، ج 5 ، ص 763 ، ح 3000 ؛ </w:t>
      </w:r>
      <w:r w:rsidR="008A74EB" w:rsidRPr="00993B55">
        <w:rPr>
          <w:rStyle w:val="libFootnoteBoldChar"/>
          <w:rtl/>
        </w:rPr>
        <w:t>الوسائل</w:t>
      </w:r>
      <w:r w:rsidR="008A74EB" w:rsidRPr="00C9040A">
        <w:rPr>
          <w:rtl/>
        </w:rPr>
        <w:t xml:space="preserve"> ، ج 3 ، ص 262 ، ح 3589.</w:t>
      </w:r>
      <w:r w:rsidR="001B67EA">
        <w:rPr>
          <w:rFonts w:hint="cs"/>
          <w:rtl/>
        </w:rPr>
        <w:t xml:space="preserve">           </w:t>
      </w:r>
      <w:r>
        <w:rPr>
          <w:rtl/>
        </w:rPr>
        <w:t>(3).</w:t>
      </w:r>
      <w:r w:rsidR="001B67EA">
        <w:rPr>
          <w:rtl/>
        </w:rPr>
        <w:t xml:space="preserve"> في«ج»:«ما تنزّل</w:t>
      </w:r>
      <w:r w:rsidR="008A74EB" w:rsidRPr="00C9040A">
        <w:rPr>
          <w:rtl/>
        </w:rPr>
        <w:t>»</w:t>
      </w:r>
      <w:r w:rsidR="008A74EB">
        <w:rPr>
          <w:rtl/>
        </w:rPr>
        <w:t>.</w:t>
      </w:r>
      <w:r w:rsidR="008A74EB" w:rsidRPr="00C9040A">
        <w:rPr>
          <w:rtl/>
        </w:rPr>
        <w:t>ويحتمل كونه على بناء المجرّد.</w:t>
      </w:r>
    </w:p>
    <w:p w:rsidR="008A74EB" w:rsidRPr="00C9040A" w:rsidRDefault="006C577F" w:rsidP="004A4E41">
      <w:pPr>
        <w:pStyle w:val="libFootnote0"/>
        <w:rPr>
          <w:rtl/>
          <w:lang w:bidi="fa-IR"/>
        </w:rPr>
      </w:pPr>
      <w:r>
        <w:rPr>
          <w:rtl/>
        </w:rPr>
        <w:t>(4).</w:t>
      </w:r>
      <w:r w:rsidR="008A74EB" w:rsidRPr="00C9040A">
        <w:rPr>
          <w:rtl/>
        </w:rPr>
        <w:t xml:space="preserve"> « التُّحْفَة » : ما أتْحفتَ به الرجلَ من البِرّ واللُّطف. وكذلك « التُّحَفَة »</w:t>
      </w:r>
      <w:r w:rsidR="008A74EB">
        <w:rPr>
          <w:rtl/>
        </w:rPr>
        <w:t>.</w:t>
      </w:r>
      <w:r w:rsidR="008A74EB" w:rsidRPr="00C9040A">
        <w:rPr>
          <w:rtl/>
        </w:rPr>
        <w:t xml:space="preserve"> </w:t>
      </w:r>
      <w:r w:rsidR="008A74EB" w:rsidRPr="00993B55">
        <w:rPr>
          <w:rStyle w:val="libFootnoteBoldChar"/>
          <w:rtl/>
        </w:rPr>
        <w:t>الصحاح</w:t>
      </w:r>
      <w:r w:rsidR="002F4546">
        <w:rPr>
          <w:rtl/>
        </w:rPr>
        <w:t xml:space="preserve"> ، ج 4 ، ص 1333 (تحف</w:t>
      </w:r>
      <w:r w:rsidR="008A74EB" w:rsidRPr="00C9040A">
        <w:rPr>
          <w:rtl/>
        </w:rPr>
        <w:t>)</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ض » : + « تنزل من السماء »</w:t>
      </w:r>
      <w:r w:rsidR="008A74EB">
        <w:rPr>
          <w:rtl/>
        </w:rPr>
        <w:t>.</w:t>
      </w:r>
      <w:r w:rsidR="008A74EB" w:rsidRPr="00C9040A">
        <w:rPr>
          <w:rtl/>
        </w:rPr>
        <w:t xml:space="preserve"> وفي « </w:t>
      </w:r>
      <w:r w:rsidR="006D3162">
        <w:rPr>
          <w:rtl/>
        </w:rPr>
        <w:t xml:space="preserve">ه </w:t>
      </w:r>
      <w:r w:rsidR="008A74EB" w:rsidRPr="00C9040A">
        <w:rPr>
          <w:rtl/>
        </w:rPr>
        <w:t>» : + « ينزل من السماء »</w:t>
      </w:r>
      <w:r w:rsidR="008A74EB">
        <w:rPr>
          <w:rtl/>
        </w:rPr>
        <w:t>.</w:t>
      </w:r>
      <w:r w:rsidR="008A74EB" w:rsidRPr="00C9040A">
        <w:rPr>
          <w:rtl/>
        </w:rPr>
        <w:t xml:space="preserve"> وفي الوافي : + « ينزل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الوافي</w:t>
      </w:r>
      <w:r w:rsidR="008A74EB" w:rsidRPr="00C9040A">
        <w:rPr>
          <w:rtl/>
        </w:rPr>
        <w:t xml:space="preserve"> ، ج 5 ، ص 766 ، ح 3009 ؛ </w:t>
      </w:r>
      <w:r w:rsidR="008A74EB" w:rsidRPr="00993B55">
        <w:rPr>
          <w:rStyle w:val="libFootnoteBoldChar"/>
          <w:rtl/>
        </w:rPr>
        <w:t>الوسائل</w:t>
      </w:r>
      <w:r w:rsidR="008A74EB" w:rsidRPr="00C9040A">
        <w:rPr>
          <w:rtl/>
        </w:rPr>
        <w:t xml:space="preserve"> ، ج 3 ، ص 264 ، ح 3597 ؛ </w:t>
      </w:r>
      <w:r w:rsidR="008A74EB" w:rsidRPr="00993B55">
        <w:rPr>
          <w:rStyle w:val="libFootnoteBoldChar"/>
          <w:rtl/>
        </w:rPr>
        <w:t>البحار</w:t>
      </w:r>
      <w:r w:rsidR="008A74EB" w:rsidRPr="00C9040A">
        <w:rPr>
          <w:rtl/>
        </w:rPr>
        <w:t xml:space="preserve"> ، ج 67 ، ص 207 ، ح 8.</w:t>
      </w:r>
    </w:p>
    <w:p w:rsidR="008A74EB" w:rsidRPr="00C9040A" w:rsidRDefault="006C577F" w:rsidP="004A4E41">
      <w:pPr>
        <w:pStyle w:val="libFootnote0"/>
        <w:rPr>
          <w:rtl/>
          <w:lang w:bidi="fa-IR"/>
        </w:rPr>
      </w:pPr>
      <w:r>
        <w:rPr>
          <w:rtl/>
        </w:rPr>
        <w:t>(7).</w:t>
      </w:r>
      <w:r w:rsidR="008A74EB" w:rsidRPr="00C9040A">
        <w:rPr>
          <w:rtl/>
        </w:rPr>
        <w:t xml:space="preserve"> في « ز ، </w:t>
      </w:r>
      <w:r w:rsidR="006D3162">
        <w:rPr>
          <w:rtl/>
        </w:rPr>
        <w:t xml:space="preserve">ه </w:t>
      </w:r>
      <w:r w:rsidR="008A74EB" w:rsidRPr="00C9040A">
        <w:rPr>
          <w:rtl/>
        </w:rPr>
        <w:t>» : « الحسن »</w:t>
      </w:r>
      <w:r w:rsidR="008A74EB">
        <w:rPr>
          <w:rtl/>
        </w:rPr>
        <w:t>.</w:t>
      </w:r>
      <w:r w:rsidR="008A74EB" w:rsidRPr="00C9040A">
        <w:rPr>
          <w:rtl/>
        </w:rPr>
        <w:t xml:space="preserve"> وقد روى أحمد بن محمّد بن خالد ، عن أحمد بن عبيد ، عن الحسين بن علوان في </w:t>
      </w:r>
      <w:r w:rsidR="008A74EB" w:rsidRPr="00993B55">
        <w:rPr>
          <w:rStyle w:val="libFootnoteBoldChar"/>
          <w:rtl/>
        </w:rPr>
        <w:t>المحاسن</w:t>
      </w:r>
      <w:r w:rsidR="008A74EB" w:rsidRPr="00C9040A">
        <w:rPr>
          <w:rtl/>
        </w:rPr>
        <w:t xml:space="preserve"> ، ص 42 ، ح 54 ؛ وص 141 ، ح 34 ؛ وص 534 ، ح 798.</w:t>
      </w:r>
    </w:p>
    <w:p w:rsidR="008A74EB" w:rsidRPr="00C9040A" w:rsidRDefault="006C577F" w:rsidP="004A4E41">
      <w:pPr>
        <w:pStyle w:val="libFootnote0"/>
        <w:rPr>
          <w:rtl/>
          <w:lang w:bidi="fa-IR"/>
        </w:rPr>
      </w:pPr>
      <w:r>
        <w:rPr>
          <w:rtl/>
        </w:rPr>
        <w:t>(8).</w:t>
      </w:r>
      <w:r w:rsidR="008A74EB" w:rsidRPr="00C9040A">
        <w:rPr>
          <w:rtl/>
        </w:rPr>
        <w:t xml:space="preserve"> غتّه في الماء ، أي‌غطّه. وغَتّه بالأمر ، أي‌كَدّه. والغَتُّ : أن تُتْبِع القولَ القولَ ، والشُربَ الشربَ. </w:t>
      </w:r>
      <w:r w:rsidR="008A74EB" w:rsidRPr="00993B55">
        <w:rPr>
          <w:rStyle w:val="libFootnoteBoldChar"/>
          <w:rtl/>
        </w:rPr>
        <w:t>الصحاح</w:t>
      </w:r>
      <w:r w:rsidR="008A74EB" w:rsidRPr="00C9040A">
        <w:rPr>
          <w:rtl/>
        </w:rPr>
        <w:t xml:space="preserve"> ، ج 1 ، ص 256 ، </w:t>
      </w:r>
      <w:r w:rsidR="008A74EB" w:rsidRPr="00993B55">
        <w:rPr>
          <w:rStyle w:val="libFootnoteBoldChar"/>
          <w:rtl/>
        </w:rPr>
        <w:t>ترتيب كتاب العين</w:t>
      </w:r>
      <w:r w:rsidR="008A74EB" w:rsidRPr="00C9040A">
        <w:rPr>
          <w:rtl/>
        </w:rPr>
        <w:t xml:space="preserve"> ، ج 2 ، ص 1328 ( غتت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w:t>
      </w:r>
      <w:r w:rsidR="008A74EB" w:rsidRPr="00993B55">
        <w:rPr>
          <w:rStyle w:val="libFootnoteBoldChar"/>
          <w:rtl/>
        </w:rPr>
        <w:t>الوافي</w:t>
      </w:r>
      <w:r w:rsidR="008A74EB" w:rsidRPr="00C9040A">
        <w:rPr>
          <w:rtl/>
        </w:rPr>
        <w:t xml:space="preserve"> ، ج 5 ، ص 765 ، ح 3007 ؛ </w:t>
      </w:r>
      <w:r w:rsidR="008A74EB" w:rsidRPr="00993B55">
        <w:rPr>
          <w:rStyle w:val="libFootnoteBoldChar"/>
          <w:rtl/>
        </w:rPr>
        <w:t>الوسائل</w:t>
      </w:r>
      <w:r w:rsidR="008A74EB" w:rsidRPr="00C9040A">
        <w:rPr>
          <w:rtl/>
        </w:rPr>
        <w:t xml:space="preserve"> ، ج 3 ، ص 263 ، ح 3594 ؛ </w:t>
      </w:r>
      <w:r w:rsidR="008A74EB" w:rsidRPr="00993B55">
        <w:rPr>
          <w:rStyle w:val="libFootnoteBoldChar"/>
          <w:rtl/>
        </w:rPr>
        <w:t>البحار</w:t>
      </w:r>
      <w:r w:rsidR="008A74EB" w:rsidRPr="00C9040A">
        <w:rPr>
          <w:rtl/>
        </w:rPr>
        <w:t xml:space="preserve"> ، ج 67 ، ص 208 ، ح 9.</w:t>
      </w:r>
    </w:p>
    <w:p w:rsidR="008A74EB" w:rsidRPr="00C9040A" w:rsidRDefault="006C577F" w:rsidP="004A4E41">
      <w:pPr>
        <w:pStyle w:val="libFootnote0"/>
        <w:rPr>
          <w:rtl/>
          <w:lang w:bidi="fa-IR"/>
        </w:rPr>
      </w:pPr>
      <w:r>
        <w:rPr>
          <w:rtl/>
        </w:rPr>
        <w:t>(10).</w:t>
      </w:r>
      <w:r w:rsidR="008A74EB" w:rsidRPr="00C9040A">
        <w:rPr>
          <w:rtl/>
        </w:rPr>
        <w:t xml:space="preserve"> هكذا في « ب ، ج ، د ، ص ، ض ، </w:t>
      </w:r>
      <w:r w:rsidR="006D3162">
        <w:rPr>
          <w:rtl/>
        </w:rPr>
        <w:t xml:space="preserve">ه </w:t>
      </w:r>
      <w:r w:rsidR="008A74EB" w:rsidRPr="00C9040A">
        <w:rPr>
          <w:rtl/>
        </w:rPr>
        <w:t>، بر ، بس ، بف ، جر »</w:t>
      </w:r>
      <w:r w:rsidR="008A74EB">
        <w:rPr>
          <w:rtl/>
        </w:rPr>
        <w:t>.</w:t>
      </w:r>
      <w:r w:rsidR="008A74EB" w:rsidRPr="00C9040A">
        <w:rPr>
          <w:rtl/>
        </w:rPr>
        <w:t xml:space="preserve"> وفي « ز » : « معلّى »</w:t>
      </w:r>
      <w:r w:rsidR="008A74EB">
        <w:rPr>
          <w:rtl/>
        </w:rPr>
        <w:t>.</w:t>
      </w:r>
      <w:r w:rsidR="008A74EB" w:rsidRPr="00C9040A">
        <w:rPr>
          <w:rtl/>
        </w:rPr>
        <w:t xml:space="preserve"> وفي المطبوع : « علاء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حَمَّادٍ </w:t>
      </w:r>
      <w:r w:rsidR="006C577F" w:rsidRPr="006C577F">
        <w:rPr>
          <w:rStyle w:val="libFootnotenumChar"/>
          <w:rtl/>
        </w:rPr>
        <w:t>(1)</w:t>
      </w:r>
      <w:r w:rsidRPr="00C9040A">
        <w:rPr>
          <w:rtl/>
          <w:lang w:bidi="fa-IR"/>
        </w:rPr>
        <w:t xml:space="preserve"> ، عَنْ أَبِيهِ :</w:t>
      </w:r>
    </w:p>
    <w:p w:rsidR="008A74EB" w:rsidRPr="00C9040A" w:rsidRDefault="008A74EB" w:rsidP="0092289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إِنَّ اللهَ</w:t>
      </w:r>
      <w:r>
        <w:rPr>
          <w:rtl/>
          <w:lang w:bidi="fa-IR"/>
        </w:rPr>
        <w:t xml:space="preserve"> </w:t>
      </w:r>
      <w:r w:rsidR="0084262C">
        <w:rPr>
          <w:rtl/>
          <w:lang w:bidi="fa-IR"/>
        </w:rPr>
        <w:t>-</w:t>
      </w:r>
      <w:r>
        <w:rPr>
          <w:rtl/>
          <w:lang w:bidi="fa-IR"/>
        </w:rPr>
        <w:t xml:space="preserve"> </w:t>
      </w:r>
      <w:r w:rsidRPr="00C9040A">
        <w:rPr>
          <w:rtl/>
          <w:lang w:bidi="fa-IR"/>
        </w:rPr>
        <w:t>تَبَارَكَ وَتَعَالى</w:t>
      </w:r>
      <w:r>
        <w:rPr>
          <w:rtl/>
          <w:lang w:bidi="fa-IR"/>
        </w:rPr>
        <w:t xml:space="preserve"> </w:t>
      </w:r>
      <w:r w:rsidR="0084262C">
        <w:rPr>
          <w:rtl/>
          <w:lang w:bidi="fa-IR"/>
        </w:rPr>
        <w:t>-</w:t>
      </w:r>
      <w:r>
        <w:rPr>
          <w:rtl/>
          <w:lang w:bidi="fa-IR"/>
        </w:rPr>
        <w:t xml:space="preserve"> </w:t>
      </w:r>
      <w:r w:rsidRPr="00C9040A">
        <w:rPr>
          <w:rtl/>
          <w:lang w:bidi="fa-IR"/>
        </w:rPr>
        <w:t xml:space="preserve">إِذَا </w:t>
      </w:r>
      <w:r w:rsidR="006C577F" w:rsidRPr="006C577F">
        <w:rPr>
          <w:rStyle w:val="libFootnotenumChar"/>
          <w:rtl/>
        </w:rPr>
        <w:t>(2)</w:t>
      </w:r>
      <w:r w:rsidRPr="00C9040A">
        <w:rPr>
          <w:rtl/>
          <w:lang w:bidi="fa-IR"/>
        </w:rPr>
        <w:t xml:space="preserve"> أَحَبَّ عَبْداً غَتَّهُ بِالْبَلَاءِ غَتّاً </w:t>
      </w:r>
      <w:r w:rsidR="006C577F" w:rsidRPr="006C577F">
        <w:rPr>
          <w:rStyle w:val="libFootnotenumChar"/>
          <w:rtl/>
        </w:rPr>
        <w:t>(3)</w:t>
      </w:r>
      <w:r w:rsidRPr="00C9040A">
        <w:rPr>
          <w:rtl/>
          <w:lang w:bidi="fa-IR"/>
        </w:rPr>
        <w:t xml:space="preserve"> ، وَثَجَّهُ بِالْبَلَاءِ ثَجّاً </w:t>
      </w:r>
      <w:r w:rsidR="006C577F" w:rsidRPr="006C577F">
        <w:rPr>
          <w:rStyle w:val="libFootnotenumChar"/>
          <w:rtl/>
        </w:rPr>
        <w:t>(4)</w:t>
      </w:r>
      <w:r w:rsidRPr="00C9040A">
        <w:rPr>
          <w:rtl/>
          <w:lang w:bidi="fa-IR"/>
        </w:rPr>
        <w:t xml:space="preserve"> ، فَإِذَا دَعَاهُ ، قَالَ : لَبَّيْكَ عَبْدِي ، لَئِنْ عَجَّلْتُ لَكَ مَا سَأَلْتَ ، إِنِّي عَلى ذلِكَ لَقَادِرٌ ؛ وَلَئِنِ </w:t>
      </w:r>
      <w:r w:rsidR="006C577F" w:rsidRPr="006C577F">
        <w:rPr>
          <w:rStyle w:val="libFootnotenumChar"/>
          <w:rtl/>
        </w:rPr>
        <w:t>(5)</w:t>
      </w:r>
      <w:r w:rsidRPr="00C9040A">
        <w:rPr>
          <w:rtl/>
          <w:lang w:bidi="fa-IR"/>
        </w:rPr>
        <w:t xml:space="preserve"> ادَّخَرْتُ </w:t>
      </w:r>
      <w:r w:rsidR="006C577F" w:rsidRPr="006C577F">
        <w:rPr>
          <w:rStyle w:val="libFootnotenumChar"/>
          <w:rtl/>
        </w:rPr>
        <w:t>(6)</w:t>
      </w:r>
      <w:r w:rsidRPr="00C9040A">
        <w:rPr>
          <w:rtl/>
          <w:lang w:bidi="fa-IR"/>
        </w:rPr>
        <w:t xml:space="preserve">لَكَ </w:t>
      </w:r>
      <w:r w:rsidR="006C577F" w:rsidRPr="006C577F">
        <w:rPr>
          <w:rStyle w:val="libFootnotenumChar"/>
          <w:rtl/>
        </w:rPr>
        <w:t>(7)</w:t>
      </w:r>
      <w:r w:rsidRPr="00C9040A">
        <w:rPr>
          <w:rtl/>
          <w:lang w:bidi="fa-IR"/>
        </w:rPr>
        <w:t xml:space="preserve"> ، فَمَا ادَّخَرْتُ لَكَ فَهُوَ </w:t>
      </w:r>
      <w:r w:rsidR="006C577F" w:rsidRPr="006C577F">
        <w:rPr>
          <w:rStyle w:val="libFootnotenumChar"/>
          <w:rtl/>
        </w:rPr>
        <w:t>(8)</w:t>
      </w:r>
      <w:r w:rsidRPr="00C9040A">
        <w:rPr>
          <w:rtl/>
          <w:lang w:bidi="fa-IR"/>
        </w:rPr>
        <w:t xml:space="preserve"> خَيْرٌ لَكَ »</w:t>
      </w:r>
      <w:r>
        <w:rPr>
          <w:rtl/>
          <w:lang w:bidi="fa-IR"/>
        </w:rPr>
        <w:t>.</w:t>
      </w:r>
      <w:r w:rsidRPr="00C9040A">
        <w:rPr>
          <w:rtl/>
          <w:lang w:bidi="fa-IR"/>
        </w:rPr>
        <w:t xml:space="preserve"> </w:t>
      </w:r>
      <w:r w:rsidR="006C577F" w:rsidRPr="006C577F">
        <w:rPr>
          <w:rStyle w:val="libFootnotenumChar"/>
          <w:rtl/>
        </w:rPr>
        <w:t>(9)</w:t>
      </w:r>
    </w:p>
    <w:p w:rsidR="008A74EB" w:rsidRPr="00C9040A" w:rsidRDefault="008A74EB" w:rsidP="008A74EB">
      <w:pPr>
        <w:pStyle w:val="libNormal"/>
        <w:rPr>
          <w:rtl/>
          <w:lang w:bidi="fa-IR"/>
        </w:rPr>
      </w:pPr>
      <w:r w:rsidRPr="00EF4731">
        <w:rPr>
          <w:rtl/>
        </w:rPr>
        <w:t>2359</w:t>
      </w:r>
      <w:r w:rsidRPr="00261CB0">
        <w:rPr>
          <w:rStyle w:val="libBold2Char"/>
          <w:rtl/>
        </w:rPr>
        <w:t xml:space="preserve"> / 8.</w:t>
      </w:r>
      <w:r w:rsidRPr="00C9040A">
        <w:rPr>
          <w:rtl/>
          <w:lang w:bidi="fa-IR"/>
        </w:rPr>
        <w:t xml:space="preserve"> عَنْهُ ، عَنْ أَحْمَدَ بْنِ مُحَمَّدٍ ، عَنِ ابْنِ مَحْبُوبٍ ، عَنْ زَيْدٍ الزَّرَّادِ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إِنَّ عَظِيمَ الْبَلَاءِ يُكَافَأُ بِهِ </w:t>
      </w:r>
      <w:r w:rsidR="006C577F" w:rsidRPr="006C577F">
        <w:rPr>
          <w:rStyle w:val="libFootnotenumChar"/>
          <w:rtl/>
        </w:rPr>
        <w:t>(10)</w:t>
      </w:r>
      <w:r w:rsidRPr="00C9040A">
        <w:rPr>
          <w:rtl/>
          <w:lang w:bidi="fa-IR"/>
        </w:rPr>
        <w:t xml:space="preserve"> عَظِيمُ الْجَزَاءِ ، فَإِذَا أَحَبَّ اللهُ عَبْداً ابْتَلَاهُ </w:t>
      </w:r>
      <w:r w:rsidR="006C577F" w:rsidRPr="006C577F">
        <w:rPr>
          <w:rStyle w:val="libFootnotenumChar"/>
          <w:rtl/>
        </w:rPr>
        <w:t>(11)</w:t>
      </w:r>
      <w:r w:rsidRPr="00C9040A">
        <w:rPr>
          <w:rtl/>
          <w:lang w:bidi="fa-IR"/>
        </w:rPr>
        <w:t xml:space="preserve"> بِعَظِيمِ الْبَلَاءِ ، فَمَنْ رَضِيَ فَلَهُ عِنْدَ اللهِ الرِّضَا ، وَمَنْ سَخِطَ </w:t>
      </w:r>
      <w:r w:rsidR="006C577F" w:rsidRPr="006C577F">
        <w:rPr>
          <w:rStyle w:val="libFootnotenumChar"/>
          <w:rtl/>
        </w:rPr>
        <w:t>(12)</w:t>
      </w:r>
      <w:r w:rsidRPr="00C9040A">
        <w:rPr>
          <w:rtl/>
          <w:lang w:bidi="fa-IR"/>
        </w:rPr>
        <w:t xml:space="preserve"> الْبَلَاءَ </w:t>
      </w:r>
      <w:r w:rsidRPr="005B567D">
        <w:rPr>
          <w:rStyle w:val="libFootnotenumChar"/>
          <w:rtl/>
        </w:rPr>
        <w:t>(13)</w:t>
      </w:r>
      <w:r w:rsidRPr="00C9040A">
        <w:rPr>
          <w:rtl/>
          <w:lang w:bidi="fa-IR"/>
        </w:rPr>
        <w:t xml:space="preserve"> فَلَهُ عِنْدَ اللهِ </w:t>
      </w:r>
      <w:r w:rsidRPr="005B567D">
        <w:rPr>
          <w:rStyle w:val="libFootnotenumChar"/>
          <w:rtl/>
        </w:rPr>
        <w:t>(14)</w:t>
      </w:r>
      <w:r w:rsidRPr="00C9040A">
        <w:rPr>
          <w:rtl/>
          <w:lang w:bidi="fa-IR"/>
        </w:rPr>
        <w:t xml:space="preserve"> السَّخَطُ »</w:t>
      </w:r>
      <w:r>
        <w:rPr>
          <w:rtl/>
          <w:lang w:bidi="fa-IR"/>
        </w:rPr>
        <w:t>.</w:t>
      </w:r>
      <w:r w:rsidRPr="00C9040A">
        <w:rPr>
          <w:rtl/>
          <w:lang w:bidi="fa-IR"/>
        </w:rPr>
        <w:t xml:space="preserve"> </w:t>
      </w:r>
      <w:r w:rsidRPr="005B567D">
        <w:rPr>
          <w:rStyle w:val="libFootnotenumChar"/>
          <w:rtl/>
        </w:rPr>
        <w:t>(15)</w:t>
      </w:r>
      <w:r w:rsidRPr="00C9040A">
        <w:rPr>
          <w:rtl/>
          <w:lang w:bidi="fa-IR"/>
        </w:rPr>
        <w:t xml:space="preserve"> ‌</w:t>
      </w:r>
    </w:p>
    <w:p w:rsidR="008A74EB" w:rsidRPr="00C9040A" w:rsidRDefault="008A74EB" w:rsidP="008A74EB">
      <w:pPr>
        <w:pStyle w:val="libNormal"/>
        <w:rPr>
          <w:rtl/>
          <w:lang w:bidi="fa-IR"/>
        </w:rPr>
      </w:pPr>
      <w:r w:rsidRPr="00EF4731">
        <w:rPr>
          <w:rtl/>
        </w:rPr>
        <w:t>2360</w:t>
      </w:r>
      <w:r w:rsidRPr="00261CB0">
        <w:rPr>
          <w:rStyle w:val="libBold2Char"/>
          <w:rtl/>
        </w:rPr>
        <w:t xml:space="preserve"> / 9.</w:t>
      </w:r>
      <w:r w:rsidRPr="00C9040A">
        <w:rPr>
          <w:rtl/>
          <w:lang w:bidi="fa-IR"/>
        </w:rPr>
        <w:t xml:space="preserve"> عَنْهُ ، عَنْ أَحْمَدَ بْنِ مُحَمَّدٍ ، عَنْ عَلِيِّ بْنِ الْحَكَمِ ، عَنْ زَكَرِيَّا بْنِ الْحُرِّ </w:t>
      </w:r>
      <w:r w:rsidRPr="005B567D">
        <w:rPr>
          <w:rStyle w:val="libFootnotenumChar"/>
          <w:rtl/>
        </w:rPr>
        <w:t>(16)</w:t>
      </w:r>
      <w:r w:rsidRPr="00C9040A">
        <w:rPr>
          <w:rtl/>
          <w:lang w:bidi="fa-IR"/>
        </w:rPr>
        <w:t xml:space="preserve"> ، عَنْ‌</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لم نعرف حمّاداً هذا. والخبر مذكور في </w:t>
      </w:r>
      <w:r w:rsidR="008A74EB" w:rsidRPr="00993B55">
        <w:rPr>
          <w:rStyle w:val="libFootnoteBoldChar"/>
          <w:rtl/>
        </w:rPr>
        <w:t>التمحيص</w:t>
      </w:r>
      <w:r w:rsidR="008A74EB" w:rsidRPr="00C9040A">
        <w:rPr>
          <w:rtl/>
        </w:rPr>
        <w:t xml:space="preserve"> ، ص 34 ، ح 25 ، عن سدير ، عن أبي‌جعفر </w:t>
      </w:r>
      <w:r w:rsidR="00117575" w:rsidRPr="00117575">
        <w:rPr>
          <w:rStyle w:val="libFootnoteAlaemChar"/>
          <w:rtl/>
        </w:rPr>
        <w:t xml:space="preserve">عليه‌السلام </w:t>
      </w:r>
      <w:r w:rsidR="008A74EB" w:rsidRPr="00C9040A">
        <w:rPr>
          <w:rtl/>
        </w:rPr>
        <w:t xml:space="preserve">. فعليه يحتمل وقوع التصحيف في العنوان وأنّ الصواب هو « حنان » والمراد به حنان بن سدير الراوي عن أبيه. راجع : </w:t>
      </w:r>
      <w:r w:rsidR="008A74EB" w:rsidRPr="00993B55">
        <w:rPr>
          <w:rStyle w:val="libFootnoteBoldChar"/>
          <w:rtl/>
        </w:rPr>
        <w:t xml:space="preserve">معجم رجال الحديث </w:t>
      </w:r>
      <w:r w:rsidR="008A74EB" w:rsidRPr="00C9040A">
        <w:rPr>
          <w:rtl/>
        </w:rPr>
        <w:t>، ج 8 ، ص 381</w:t>
      </w:r>
      <w:r w:rsidR="008A74EB">
        <w:rPr>
          <w:rtl/>
        </w:rPr>
        <w:t xml:space="preserve"> </w:t>
      </w:r>
      <w:r w:rsidR="0084262C">
        <w:rPr>
          <w:rtl/>
        </w:rPr>
        <w:t>-</w:t>
      </w:r>
      <w:r w:rsidR="008A74EB">
        <w:rPr>
          <w:rtl/>
        </w:rPr>
        <w:t xml:space="preserve"> </w:t>
      </w:r>
      <w:r w:rsidR="008A74EB" w:rsidRPr="00C9040A">
        <w:rPr>
          <w:rtl/>
        </w:rPr>
        <w:t>384.</w:t>
      </w:r>
    </w:p>
    <w:tbl>
      <w:tblPr>
        <w:tblStyle w:val="TableGrid"/>
        <w:bidiVisual/>
        <w:tblW w:w="0" w:type="auto"/>
        <w:tblLook w:val="04A0" w:firstRow="1" w:lastRow="0" w:firstColumn="1" w:lastColumn="0" w:noHBand="0" w:noVBand="1"/>
      </w:tblPr>
      <w:tblGrid>
        <w:gridCol w:w="4006"/>
        <w:gridCol w:w="4006"/>
      </w:tblGrid>
      <w:tr w:rsidR="00150E50" w:rsidTr="00150E50">
        <w:tc>
          <w:tcPr>
            <w:tcW w:w="4006" w:type="dxa"/>
          </w:tcPr>
          <w:p w:rsidR="00150E50" w:rsidRDefault="00150E50" w:rsidP="004A4E41">
            <w:pPr>
              <w:pStyle w:val="libFootnote0"/>
              <w:rPr>
                <w:rtl/>
              </w:rPr>
            </w:pPr>
            <w:r>
              <w:rPr>
                <w:rtl/>
              </w:rPr>
              <w:t xml:space="preserve">(2). </w:t>
            </w:r>
            <w:r w:rsidRPr="00C9040A">
              <w:rPr>
                <w:rtl/>
              </w:rPr>
              <w:t>في الوسائل : « إذ »</w:t>
            </w:r>
            <w:r>
              <w:rPr>
                <w:rtl/>
              </w:rPr>
              <w:t>.</w:t>
            </w:r>
          </w:p>
        </w:tc>
        <w:tc>
          <w:tcPr>
            <w:tcW w:w="4006" w:type="dxa"/>
          </w:tcPr>
          <w:p w:rsidR="00150E50" w:rsidRDefault="00150E50" w:rsidP="004A4E41">
            <w:pPr>
              <w:pStyle w:val="libFootnote0"/>
              <w:rPr>
                <w:rtl/>
              </w:rPr>
            </w:pPr>
            <w:r>
              <w:rPr>
                <w:rtl/>
              </w:rPr>
              <w:t>(3).</w:t>
            </w:r>
            <w:r w:rsidRPr="00C9040A">
              <w:rPr>
                <w:rtl/>
              </w:rPr>
              <w:t xml:space="preserve"> في المؤمن : « غثّه بالبلاء غثّاً »</w:t>
            </w:r>
            <w:r>
              <w:rPr>
                <w:rtl/>
              </w:rPr>
              <w:t>.</w:t>
            </w:r>
          </w:p>
        </w:tc>
      </w:tr>
    </w:tbl>
    <w:p w:rsidR="008A74EB" w:rsidRPr="00C9040A" w:rsidRDefault="006C577F" w:rsidP="004A4E41">
      <w:pPr>
        <w:pStyle w:val="libFootnote0"/>
        <w:rPr>
          <w:rtl/>
          <w:lang w:bidi="fa-IR"/>
        </w:rPr>
      </w:pPr>
      <w:r>
        <w:rPr>
          <w:rtl/>
        </w:rPr>
        <w:t>(4).</w:t>
      </w:r>
      <w:r w:rsidR="008A74EB" w:rsidRPr="00C9040A">
        <w:rPr>
          <w:rtl/>
        </w:rPr>
        <w:t xml:space="preserve"> أي صبّه عليه وأسال. </w:t>
      </w:r>
      <w:r w:rsidR="008A74EB">
        <w:rPr>
          <w:rtl/>
        </w:rPr>
        <w:t>و «</w:t>
      </w:r>
      <w:r w:rsidR="008A74EB" w:rsidRPr="00C9040A">
        <w:rPr>
          <w:rtl/>
        </w:rPr>
        <w:t xml:space="preserve"> الثجّ » : شدّة انصباب المطرو الدم. </w:t>
      </w:r>
      <w:r w:rsidR="008A74EB" w:rsidRPr="00993B55">
        <w:rPr>
          <w:rStyle w:val="libFootnoteBoldChar"/>
          <w:rtl/>
        </w:rPr>
        <w:t>ترتيب كتاب العين</w:t>
      </w:r>
      <w:r w:rsidR="008A74EB" w:rsidRPr="00C9040A">
        <w:rPr>
          <w:rtl/>
        </w:rPr>
        <w:t xml:space="preserve"> ، ج 1 ، ص 237 ( ثجّ )</w:t>
      </w:r>
      <w:r w:rsidR="008A74EB">
        <w:rPr>
          <w:rtl/>
        </w:rPr>
        <w:t>.</w:t>
      </w:r>
    </w:p>
    <w:tbl>
      <w:tblPr>
        <w:tblStyle w:val="TableGrid"/>
        <w:bidiVisual/>
        <w:tblW w:w="0" w:type="auto"/>
        <w:tblLook w:val="04A0" w:firstRow="1" w:lastRow="0" w:firstColumn="1" w:lastColumn="0" w:noHBand="0" w:noVBand="1"/>
      </w:tblPr>
      <w:tblGrid>
        <w:gridCol w:w="4006"/>
        <w:gridCol w:w="4006"/>
      </w:tblGrid>
      <w:tr w:rsidR="00F03FC6" w:rsidTr="00F03FC6">
        <w:tc>
          <w:tcPr>
            <w:tcW w:w="4006" w:type="dxa"/>
          </w:tcPr>
          <w:p w:rsidR="00F03FC6" w:rsidRDefault="00F03FC6" w:rsidP="004A4E41">
            <w:pPr>
              <w:pStyle w:val="libFootnote0"/>
              <w:rPr>
                <w:rtl/>
                <w:lang w:bidi="fa-IR"/>
              </w:rPr>
            </w:pPr>
            <w:r>
              <w:rPr>
                <w:rtl/>
              </w:rPr>
              <w:t>(5).</w:t>
            </w:r>
            <w:r w:rsidRPr="00C9040A">
              <w:rPr>
                <w:rtl/>
              </w:rPr>
              <w:t xml:space="preserve"> في حاشية « ض » : « ولكن »</w:t>
            </w:r>
            <w:r>
              <w:rPr>
                <w:rtl/>
              </w:rPr>
              <w:t>.</w:t>
            </w:r>
          </w:p>
        </w:tc>
        <w:tc>
          <w:tcPr>
            <w:tcW w:w="4006" w:type="dxa"/>
          </w:tcPr>
          <w:p w:rsidR="00F03FC6" w:rsidRDefault="00F03FC6" w:rsidP="004A4E41">
            <w:pPr>
              <w:pStyle w:val="libFootnote0"/>
              <w:rPr>
                <w:rtl/>
                <w:lang w:bidi="fa-IR"/>
              </w:rPr>
            </w:pPr>
            <w:r>
              <w:rPr>
                <w:rtl/>
              </w:rPr>
              <w:t xml:space="preserve">(6). </w:t>
            </w:r>
            <w:r w:rsidR="00D05C36">
              <w:rPr>
                <w:rtl/>
              </w:rPr>
              <w:t>في «بس»:«أذخرت</w:t>
            </w:r>
            <w:r w:rsidRPr="00C9040A">
              <w:rPr>
                <w:rtl/>
              </w:rPr>
              <w:t>» بالذال المعجمة في الموضعين.</w:t>
            </w:r>
          </w:p>
        </w:tc>
      </w:tr>
    </w:tbl>
    <w:p w:rsidR="008A74EB" w:rsidRPr="00C9040A" w:rsidRDefault="006C577F" w:rsidP="004A4E41">
      <w:pPr>
        <w:pStyle w:val="libFootnote0"/>
        <w:rPr>
          <w:rtl/>
          <w:lang w:bidi="fa-IR"/>
        </w:rPr>
      </w:pPr>
      <w:r>
        <w:rPr>
          <w:rtl/>
        </w:rPr>
        <w:t>(7).</w:t>
      </w:r>
      <w:r w:rsidR="008A74EB" w:rsidRPr="00C9040A">
        <w:rPr>
          <w:rtl/>
        </w:rPr>
        <w:t xml:space="preserve"> في « بر » </w:t>
      </w:r>
      <w:r w:rsidR="008A74EB">
        <w:rPr>
          <w:rtl/>
        </w:rPr>
        <w:t xml:space="preserve">: </w:t>
      </w:r>
      <w:r w:rsidR="0084262C">
        <w:rPr>
          <w:rtl/>
        </w:rPr>
        <w:t>-</w:t>
      </w:r>
      <w:r w:rsidR="008A74EB" w:rsidRPr="00C9040A">
        <w:rPr>
          <w:rtl/>
        </w:rPr>
        <w:t xml:space="preserve"> « لك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 ب ، ج ، د ، ض ، </w:t>
      </w:r>
      <w:r w:rsidR="006D3162">
        <w:rPr>
          <w:rtl/>
        </w:rPr>
        <w:t xml:space="preserve">ه </w:t>
      </w:r>
      <w:r w:rsidR="008A74EB" w:rsidRPr="00C9040A">
        <w:rPr>
          <w:rtl/>
        </w:rPr>
        <w:t xml:space="preserve">، بر ، بس ، بف » وشرح المازندراني والوافي </w:t>
      </w:r>
      <w:r w:rsidR="008A74EB">
        <w:rPr>
          <w:rtl/>
        </w:rPr>
        <w:t xml:space="preserve">: </w:t>
      </w:r>
      <w:r w:rsidR="0084262C">
        <w:rPr>
          <w:rtl/>
        </w:rPr>
        <w:t>-</w:t>
      </w:r>
      <w:r w:rsidR="008A74EB" w:rsidRPr="00C9040A">
        <w:rPr>
          <w:rtl/>
        </w:rPr>
        <w:t xml:space="preserve"> « فهو »</w:t>
      </w:r>
      <w:r w:rsidR="008A74EB">
        <w:rPr>
          <w:rtl/>
        </w:rPr>
        <w:t>.</w:t>
      </w:r>
    </w:p>
    <w:p w:rsidR="008A74EB" w:rsidRPr="00C9040A" w:rsidRDefault="006C577F" w:rsidP="004A2D6C">
      <w:pPr>
        <w:pStyle w:val="libFootnote0"/>
        <w:rPr>
          <w:rtl/>
          <w:lang w:bidi="fa-IR"/>
        </w:rPr>
      </w:pPr>
      <w:r>
        <w:rPr>
          <w:rtl/>
        </w:rPr>
        <w:t>(9).</w:t>
      </w:r>
      <w:r w:rsidR="008A74EB" w:rsidRPr="00C9040A">
        <w:rPr>
          <w:rtl/>
        </w:rPr>
        <w:t xml:space="preserve"> </w:t>
      </w:r>
      <w:r w:rsidR="008A74EB" w:rsidRPr="00993B55">
        <w:rPr>
          <w:rStyle w:val="libFootnoteBoldChar"/>
          <w:rtl/>
        </w:rPr>
        <w:t>المؤمن</w:t>
      </w:r>
      <w:r w:rsidR="008A74EB" w:rsidRPr="00C9040A">
        <w:rPr>
          <w:rtl/>
        </w:rPr>
        <w:t xml:space="preserve"> ، ص 25 ، ح 39 ، عن أبي جعفر </w:t>
      </w:r>
      <w:r w:rsidR="00117575" w:rsidRPr="00117575">
        <w:rPr>
          <w:rStyle w:val="libFootnoteAlaemChar"/>
          <w:rtl/>
        </w:rPr>
        <w:t>عليه‌السلام</w:t>
      </w:r>
      <w:r w:rsidR="004A2D6C">
        <w:rPr>
          <w:rFonts w:hint="cs"/>
          <w:rtl/>
        </w:rPr>
        <w:t>.</w:t>
      </w:r>
      <w:r w:rsidR="008A74EB" w:rsidRPr="00993B55">
        <w:rPr>
          <w:rStyle w:val="libFootnoteBoldChar"/>
          <w:rtl/>
        </w:rPr>
        <w:t>الوافي</w:t>
      </w:r>
      <w:r w:rsidR="008A74EB" w:rsidRPr="00C9040A">
        <w:rPr>
          <w:rtl/>
        </w:rPr>
        <w:t xml:space="preserve"> ، ج 5 ، ص 765 ، ح 3006 ؛ </w:t>
      </w:r>
      <w:r w:rsidR="008A74EB" w:rsidRPr="00993B55">
        <w:rPr>
          <w:rStyle w:val="libFootnoteBoldChar"/>
          <w:rtl/>
        </w:rPr>
        <w:t>الوسائل</w:t>
      </w:r>
      <w:r w:rsidR="008A74EB" w:rsidRPr="00C9040A">
        <w:rPr>
          <w:rtl/>
        </w:rPr>
        <w:t xml:space="preserve"> ، ج 3 ، ص 264 ، ح 3598 ؛ </w:t>
      </w:r>
      <w:r w:rsidR="008A74EB" w:rsidRPr="00993B55">
        <w:rPr>
          <w:rStyle w:val="libFootnoteBoldChar"/>
          <w:rtl/>
        </w:rPr>
        <w:t>البحار</w:t>
      </w:r>
      <w:r w:rsidR="008A74EB" w:rsidRPr="00C9040A">
        <w:rPr>
          <w:rtl/>
        </w:rPr>
        <w:t xml:space="preserve"> ، ج 67 ، ص 208 ، ح 10.</w:t>
      </w:r>
      <w:r w:rsidR="004A2D6C">
        <w:rPr>
          <w:rFonts w:hint="cs"/>
          <w:rtl/>
        </w:rPr>
        <w:t xml:space="preserve">    </w:t>
      </w:r>
      <w:r>
        <w:rPr>
          <w:rtl/>
        </w:rPr>
        <w:t>(10).</w:t>
      </w:r>
      <w:r w:rsidR="008A74EB" w:rsidRPr="00C9040A">
        <w:rPr>
          <w:rtl/>
        </w:rPr>
        <w:t xml:space="preserve"> في « </w:t>
      </w:r>
      <w:r w:rsidR="006D3162">
        <w:rPr>
          <w:rtl/>
        </w:rPr>
        <w:t xml:space="preserve">ه </w:t>
      </w:r>
      <w:r w:rsidR="008A74EB" w:rsidRPr="00C9040A">
        <w:rPr>
          <w:rtl/>
        </w:rPr>
        <w:t xml:space="preserve">» </w:t>
      </w:r>
      <w:r w:rsidR="008A74EB">
        <w:rPr>
          <w:rtl/>
        </w:rPr>
        <w:t xml:space="preserve">: </w:t>
      </w:r>
      <w:r w:rsidR="0084262C">
        <w:rPr>
          <w:rtl/>
        </w:rPr>
        <w:t>-</w:t>
      </w:r>
      <w:r w:rsidR="008A74EB" w:rsidRPr="00C9040A">
        <w:rPr>
          <w:rtl/>
        </w:rPr>
        <w:t xml:space="preserve"> « به »</w:t>
      </w:r>
      <w:r w:rsidR="008A74EB">
        <w:rPr>
          <w:rtl/>
        </w:rPr>
        <w:t>.</w:t>
      </w:r>
    </w:p>
    <w:tbl>
      <w:tblPr>
        <w:tblStyle w:val="TableGrid"/>
        <w:bidiVisual/>
        <w:tblW w:w="0" w:type="auto"/>
        <w:tblLook w:val="04A0" w:firstRow="1" w:lastRow="0" w:firstColumn="1" w:lastColumn="0" w:noHBand="0" w:noVBand="1"/>
      </w:tblPr>
      <w:tblGrid>
        <w:gridCol w:w="4006"/>
        <w:gridCol w:w="4006"/>
      </w:tblGrid>
      <w:tr w:rsidR="00872A76" w:rsidTr="00872A76">
        <w:tc>
          <w:tcPr>
            <w:tcW w:w="4006" w:type="dxa"/>
          </w:tcPr>
          <w:p w:rsidR="00872A76" w:rsidRDefault="00872A76" w:rsidP="004A4E41">
            <w:pPr>
              <w:pStyle w:val="libFootnote0"/>
              <w:rPr>
                <w:rtl/>
              </w:rPr>
            </w:pPr>
            <w:r>
              <w:rPr>
                <w:rtl/>
              </w:rPr>
              <w:t>(11).</w:t>
            </w:r>
            <w:r w:rsidRPr="00C9040A">
              <w:rPr>
                <w:rtl/>
              </w:rPr>
              <w:t xml:space="preserve"> في البحار : + « الله »</w:t>
            </w:r>
            <w:r>
              <w:rPr>
                <w:rtl/>
              </w:rPr>
              <w:t>.</w:t>
            </w:r>
          </w:p>
        </w:tc>
        <w:tc>
          <w:tcPr>
            <w:tcW w:w="4006" w:type="dxa"/>
          </w:tcPr>
          <w:p w:rsidR="00872A76" w:rsidRDefault="00872A76" w:rsidP="004A4E41">
            <w:pPr>
              <w:pStyle w:val="libFootnote0"/>
              <w:rPr>
                <w:rtl/>
              </w:rPr>
            </w:pPr>
            <w:r>
              <w:rPr>
                <w:rtl/>
              </w:rPr>
              <w:t>(12).</w:t>
            </w:r>
            <w:r w:rsidRPr="00C9040A">
              <w:rPr>
                <w:rtl/>
              </w:rPr>
              <w:t xml:space="preserve"> في « </w:t>
            </w:r>
            <w:r>
              <w:rPr>
                <w:rtl/>
              </w:rPr>
              <w:t xml:space="preserve">ه </w:t>
            </w:r>
            <w:r w:rsidRPr="00C9040A">
              <w:rPr>
                <w:rtl/>
              </w:rPr>
              <w:t>» : « تسخّط »</w:t>
            </w:r>
            <w:r>
              <w:rPr>
                <w:rtl/>
              </w:rPr>
              <w:t>.</w:t>
            </w:r>
          </w:p>
        </w:tc>
      </w:tr>
    </w:tbl>
    <w:p w:rsidR="008A74EB" w:rsidRPr="00C9040A" w:rsidRDefault="008A74EB" w:rsidP="004A4E41">
      <w:pPr>
        <w:pStyle w:val="libFootnote0"/>
        <w:rPr>
          <w:rtl/>
          <w:lang w:bidi="fa-IR"/>
        </w:rPr>
      </w:pPr>
      <w:r>
        <w:rPr>
          <w:rtl/>
        </w:rPr>
        <w:t>(13)</w:t>
      </w:r>
      <w:r w:rsidRPr="00C9040A">
        <w:rPr>
          <w:rtl/>
        </w:rPr>
        <w:t xml:space="preserve"> في مرآة العقول : « القضاء »</w:t>
      </w:r>
      <w:r>
        <w:rPr>
          <w:rtl/>
        </w:rPr>
        <w:t>.</w:t>
      </w:r>
    </w:p>
    <w:p w:rsidR="008A74EB" w:rsidRPr="00C9040A" w:rsidRDefault="008A74EB" w:rsidP="004A4E41">
      <w:pPr>
        <w:pStyle w:val="libFootnote0"/>
        <w:rPr>
          <w:rtl/>
          <w:lang w:bidi="fa-IR"/>
        </w:rPr>
      </w:pPr>
      <w:r>
        <w:rPr>
          <w:rtl/>
        </w:rPr>
        <w:t>(14)</w:t>
      </w:r>
      <w:r w:rsidRPr="00C9040A">
        <w:rPr>
          <w:rtl/>
        </w:rPr>
        <w:t xml:space="preserve"> في « ز ، ص ، بف » والوافي والوسائل وتحف العقول والخصال </w:t>
      </w:r>
      <w:r>
        <w:rPr>
          <w:rtl/>
        </w:rPr>
        <w:t xml:space="preserve">: </w:t>
      </w:r>
      <w:r w:rsidR="0084262C">
        <w:rPr>
          <w:rtl/>
        </w:rPr>
        <w:t>-</w:t>
      </w:r>
      <w:r w:rsidRPr="00C9040A">
        <w:rPr>
          <w:rtl/>
        </w:rPr>
        <w:t xml:space="preserve"> « عند الله »</w:t>
      </w:r>
      <w:r>
        <w:rPr>
          <w:rtl/>
        </w:rPr>
        <w:t>.</w:t>
      </w:r>
    </w:p>
    <w:p w:rsidR="008A74EB" w:rsidRPr="00C9040A" w:rsidRDefault="008A74EB" w:rsidP="00872A76">
      <w:pPr>
        <w:pStyle w:val="libFootnote0"/>
        <w:rPr>
          <w:rtl/>
          <w:lang w:bidi="fa-IR"/>
        </w:rPr>
      </w:pPr>
      <w:r>
        <w:rPr>
          <w:rtl/>
        </w:rPr>
        <w:t>(15)</w:t>
      </w:r>
      <w:r w:rsidRPr="00C9040A">
        <w:rPr>
          <w:rtl/>
        </w:rPr>
        <w:t xml:space="preserve"> </w:t>
      </w:r>
      <w:r w:rsidRPr="00993B55">
        <w:rPr>
          <w:rStyle w:val="libFootnoteBoldChar"/>
          <w:rtl/>
        </w:rPr>
        <w:t>الخصال</w:t>
      </w:r>
      <w:r w:rsidRPr="00C9040A">
        <w:rPr>
          <w:rtl/>
        </w:rPr>
        <w:t xml:space="preserve"> ، ص 18 ، باب الواحد ، ح 64 ، بسند آخر عن أبي‌عبدالله </w:t>
      </w:r>
      <w:r w:rsidR="00117575" w:rsidRPr="00117575">
        <w:rPr>
          <w:rStyle w:val="libFootnoteAlaemChar"/>
          <w:rtl/>
        </w:rPr>
        <w:t>عليه‌السلام</w:t>
      </w:r>
      <w:r w:rsidRPr="00C9040A">
        <w:rPr>
          <w:rtl/>
        </w:rPr>
        <w:t xml:space="preserve"> ، من دون الإسناد إلى النبيّ </w:t>
      </w:r>
      <w:r w:rsidR="004A4E41" w:rsidRPr="00872A76">
        <w:rPr>
          <w:rStyle w:val="libFootnoteAlaemChar"/>
          <w:rtl/>
        </w:rPr>
        <w:t>صلى‌الله‌عليه‌وآله</w:t>
      </w:r>
      <w:r w:rsidRPr="00C9040A">
        <w:rPr>
          <w:rtl/>
        </w:rPr>
        <w:t xml:space="preserve">. </w:t>
      </w:r>
      <w:r w:rsidRPr="00993B55">
        <w:rPr>
          <w:rStyle w:val="libFootnoteBoldChar"/>
          <w:rtl/>
        </w:rPr>
        <w:t>تحف العقول</w:t>
      </w:r>
      <w:r w:rsidRPr="00C9040A">
        <w:rPr>
          <w:rtl/>
        </w:rPr>
        <w:t xml:space="preserve"> ، ص 41 ، عن رسول الله </w:t>
      </w:r>
      <w:r w:rsidR="004A4E41" w:rsidRPr="00872A76">
        <w:rPr>
          <w:rStyle w:val="libFootnoteAlaemChar"/>
          <w:rtl/>
        </w:rPr>
        <w:t>صلى‌الله‌عليه‌وآله</w:t>
      </w:r>
      <w:r w:rsidR="00872A76">
        <w:rPr>
          <w:rFonts w:hint="cs"/>
          <w:rtl/>
        </w:rPr>
        <w:t>.</w:t>
      </w:r>
      <w:r w:rsidRPr="00993B55">
        <w:rPr>
          <w:rStyle w:val="libFootnoteBoldChar"/>
          <w:rtl/>
        </w:rPr>
        <w:t>الوافي</w:t>
      </w:r>
      <w:r w:rsidRPr="00C9040A">
        <w:rPr>
          <w:rtl/>
        </w:rPr>
        <w:t xml:space="preserve"> ، ج 5 ، ص 766 ، ح 3008 ؛ </w:t>
      </w:r>
      <w:r w:rsidRPr="00993B55">
        <w:rPr>
          <w:rStyle w:val="libFootnoteBoldChar"/>
          <w:rtl/>
        </w:rPr>
        <w:t>الوسائل</w:t>
      </w:r>
      <w:r w:rsidRPr="00C9040A">
        <w:rPr>
          <w:rtl/>
        </w:rPr>
        <w:t xml:space="preserve"> ، ج 3 ، ص 252 ، ح 3553 ؛ </w:t>
      </w:r>
      <w:r w:rsidRPr="00993B55">
        <w:rPr>
          <w:rStyle w:val="libFootnoteBoldChar"/>
          <w:rtl/>
        </w:rPr>
        <w:t>البحار</w:t>
      </w:r>
      <w:r w:rsidRPr="00C9040A">
        <w:rPr>
          <w:rtl/>
        </w:rPr>
        <w:t xml:space="preserve"> ، ج 67 ، ص 209 ، ح 11.</w:t>
      </w:r>
      <w:r w:rsidR="00872A76">
        <w:rPr>
          <w:rFonts w:hint="cs"/>
          <w:rtl/>
        </w:rPr>
        <w:t xml:space="preserve">  </w:t>
      </w:r>
      <w:r>
        <w:rPr>
          <w:rtl/>
        </w:rPr>
        <w:t>(16)</w:t>
      </w:r>
      <w:r w:rsidRPr="00C9040A">
        <w:rPr>
          <w:rtl/>
        </w:rPr>
        <w:t xml:space="preserve"> في « </w:t>
      </w:r>
      <w:r w:rsidR="006D3162">
        <w:rPr>
          <w:rtl/>
        </w:rPr>
        <w:t xml:space="preserve">ه </w:t>
      </w:r>
      <w:r w:rsidRPr="00C9040A">
        <w:rPr>
          <w:rtl/>
        </w:rPr>
        <w:t>» : « الحسن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جَابِرِ بْنِ يَزِيدَ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إِنَّمَا يُبْتَلَى الْمُؤْمِنُ فِي الدُّنْيَا عَلى قَدْرِ دِينِهِ</w:t>
      </w:r>
      <w:r>
        <w:rPr>
          <w:rtl/>
          <w:lang w:bidi="fa-IR"/>
        </w:rPr>
        <w:t xml:space="preserve"> </w:t>
      </w:r>
      <w:r w:rsidR="0084262C">
        <w:rPr>
          <w:rtl/>
          <w:lang w:bidi="fa-IR"/>
        </w:rPr>
        <w:t>-</w:t>
      </w:r>
      <w:r>
        <w:rPr>
          <w:rtl/>
          <w:lang w:bidi="fa-IR"/>
        </w:rPr>
        <w:t xml:space="preserve"> </w:t>
      </w:r>
      <w:r w:rsidRPr="00C9040A">
        <w:rPr>
          <w:rtl/>
          <w:lang w:bidi="fa-IR"/>
        </w:rPr>
        <w:t xml:space="preserve">أَوْ قَالَ </w:t>
      </w:r>
      <w:r w:rsidR="0084262C">
        <w:rPr>
          <w:rtl/>
          <w:lang w:bidi="fa-IR"/>
        </w:rPr>
        <w:t>-</w:t>
      </w:r>
      <w:r>
        <w:rPr>
          <w:rtl/>
          <w:lang w:bidi="fa-IR"/>
        </w:rPr>
        <w:t xml:space="preserve"> :</w:t>
      </w:r>
      <w:r>
        <w:rPr>
          <w:rFonts w:hint="cs"/>
          <w:rtl/>
          <w:lang w:bidi="fa-IR"/>
        </w:rPr>
        <w:t xml:space="preserve"> </w:t>
      </w:r>
      <w:r w:rsidRPr="00C9040A">
        <w:rPr>
          <w:rtl/>
          <w:lang w:bidi="fa-IR"/>
        </w:rPr>
        <w:t>عَلى حَسَبِ دِينِهِ »</w:t>
      </w:r>
      <w:r>
        <w:rPr>
          <w:rtl/>
          <w:lang w:bidi="fa-IR"/>
        </w:rPr>
        <w:t>.</w:t>
      </w:r>
      <w:r w:rsidRPr="00C9040A">
        <w:rPr>
          <w:rtl/>
          <w:lang w:bidi="fa-IR"/>
        </w:rPr>
        <w:t xml:space="preserve"> </w:t>
      </w:r>
      <w:r w:rsidR="006C577F" w:rsidRPr="006C577F">
        <w:rPr>
          <w:rStyle w:val="libFootnotenumChar"/>
          <w:rtl/>
        </w:rPr>
        <w:t>(1)</w:t>
      </w:r>
      <w:r w:rsidRPr="00C9040A">
        <w:rPr>
          <w:rtl/>
          <w:lang w:bidi="fa-IR"/>
        </w:rPr>
        <w:t xml:space="preserve"> ‌</w:t>
      </w:r>
    </w:p>
    <w:p w:rsidR="008A74EB" w:rsidRPr="00C9040A" w:rsidRDefault="008A74EB" w:rsidP="008A74EB">
      <w:pPr>
        <w:pStyle w:val="libNormal"/>
        <w:rPr>
          <w:rtl/>
          <w:lang w:bidi="fa-IR"/>
        </w:rPr>
      </w:pPr>
      <w:r w:rsidRPr="00EF4731">
        <w:rPr>
          <w:rtl/>
        </w:rPr>
        <w:t>2361</w:t>
      </w:r>
      <w:r w:rsidRPr="00261CB0">
        <w:rPr>
          <w:rStyle w:val="libBold2Char"/>
          <w:rtl/>
        </w:rPr>
        <w:t xml:space="preserve"> / 10.</w:t>
      </w:r>
      <w:r w:rsidRPr="00C9040A">
        <w:rPr>
          <w:rtl/>
          <w:lang w:bidi="fa-IR"/>
        </w:rPr>
        <w:t xml:space="preserve"> عِدَّةٌ مِنْ أَصْحَابِنَا ، عَنْ أَحْمَدَ بْنِ أَبِي عَبْدِ اللهِ ، عَنْ بَعْضِ أَصْحَابِهِ ، عَنْ مُحَمَّدِ بْنِ الْمُثَنَّى الْحَضْرَمِيِّ ، عَنْ مُحَمَّدِ بْنِ بُهْلُولِ بْنِ مُسْلِمٍ الْعَبْدِيِّ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إِنَّمَا الْمُؤْمِنُ بِمَنْزِلَةِ كِفَّةِ </w:t>
      </w:r>
      <w:r w:rsidR="006C577F" w:rsidRPr="006C577F">
        <w:rPr>
          <w:rStyle w:val="libFootnotenumChar"/>
          <w:rtl/>
        </w:rPr>
        <w:t>(2)</w:t>
      </w:r>
      <w:r w:rsidRPr="00C9040A">
        <w:rPr>
          <w:rtl/>
          <w:lang w:bidi="fa-IR"/>
        </w:rPr>
        <w:t xml:space="preserve"> الْمِيزَانِ ، كُلَّمَا زِيدَ </w:t>
      </w:r>
      <w:r w:rsidR="006C577F" w:rsidRPr="006C577F">
        <w:rPr>
          <w:rStyle w:val="libFootnotenumChar"/>
          <w:rtl/>
        </w:rPr>
        <w:t>(3)</w:t>
      </w:r>
      <w:r w:rsidRPr="00C9040A">
        <w:rPr>
          <w:rtl/>
          <w:lang w:bidi="fa-IR"/>
        </w:rPr>
        <w:t xml:space="preserve"> فِي إِيمَانِهِ زِيدَ </w:t>
      </w:r>
      <w:r w:rsidR="006C577F" w:rsidRPr="006C577F">
        <w:rPr>
          <w:rStyle w:val="libFootnotenumChar"/>
          <w:rtl/>
        </w:rPr>
        <w:t>(4)</w:t>
      </w:r>
      <w:r w:rsidRPr="00C9040A">
        <w:rPr>
          <w:rtl/>
          <w:lang w:bidi="fa-IR"/>
        </w:rPr>
        <w:t xml:space="preserve"> فِي بَلَائِهِ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EF4731">
        <w:rPr>
          <w:rtl/>
        </w:rPr>
        <w:t>2362</w:t>
      </w:r>
      <w:r w:rsidRPr="00261CB0">
        <w:rPr>
          <w:rStyle w:val="libBold2Char"/>
          <w:rtl/>
        </w:rPr>
        <w:t xml:space="preserve"> / 11.</w:t>
      </w:r>
      <w:r w:rsidRPr="00C9040A">
        <w:rPr>
          <w:rtl/>
          <w:lang w:bidi="fa-IR"/>
        </w:rPr>
        <w:t xml:space="preserve"> عَلِيُّ بْنُ إِبْرَاهِيمَ ، عَنْ أَبِيهِ ، عَنِ ابْنِ أَبِي عُمَيْرٍ ، عَنْ أَبِي أَيُّوبَ ، عَنْ مُحَمَّدِ بْنِ مُسْلِمٍ ، قَالَ :</w:t>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 « الْمُؤْمِنُ لَايَمْضِي </w:t>
      </w:r>
      <w:r w:rsidR="006C577F" w:rsidRPr="006C577F">
        <w:rPr>
          <w:rStyle w:val="libFootnotenumChar"/>
          <w:rtl/>
        </w:rPr>
        <w:t>(6)</w:t>
      </w:r>
      <w:r w:rsidRPr="005B567D">
        <w:rPr>
          <w:rStyle w:val="libFootnotenumChar"/>
          <w:rtl/>
        </w:rPr>
        <w:t xml:space="preserve"> </w:t>
      </w:r>
      <w:r w:rsidRPr="00C9040A">
        <w:rPr>
          <w:rtl/>
          <w:lang w:bidi="fa-IR"/>
        </w:rPr>
        <w:t>عَلَ</w:t>
      </w:r>
      <w:r w:rsidR="00F64E9D">
        <w:rPr>
          <w:rtl/>
          <w:lang w:bidi="fa-IR"/>
        </w:rPr>
        <w:t>يْهِ أَرْبَعُونَ لَيْلَةً إِل</w:t>
      </w:r>
      <w:r w:rsidR="00F64E9D">
        <w:rPr>
          <w:rFonts w:hint="cs"/>
          <w:rtl/>
          <w:lang w:bidi="fa-IR"/>
        </w:rPr>
        <w:t>َّ</w:t>
      </w:r>
      <w:r w:rsidR="00F64E9D">
        <w:rPr>
          <w:rtl/>
          <w:lang w:bidi="fa-IR"/>
        </w:rPr>
        <w:t>ا</w:t>
      </w:r>
      <w:r w:rsidRPr="00C9040A">
        <w:rPr>
          <w:rtl/>
          <w:lang w:bidi="fa-IR"/>
        </w:rPr>
        <w:t xml:space="preserve"> عَرَضَ لَهُ </w:t>
      </w:r>
      <w:r w:rsidR="006C577F" w:rsidRPr="006C577F">
        <w:rPr>
          <w:rStyle w:val="libFootnotenumChar"/>
          <w:rtl/>
        </w:rPr>
        <w:t>(7)</w:t>
      </w:r>
      <w:r w:rsidRPr="00C9040A">
        <w:rPr>
          <w:rtl/>
          <w:lang w:bidi="fa-IR"/>
        </w:rPr>
        <w:t xml:space="preserve"> أَمْرٌ يَحْزُنُهُ ، يُذَكَّرُ بِهِ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Normal"/>
        <w:rPr>
          <w:rtl/>
          <w:lang w:bidi="fa-IR"/>
        </w:rPr>
      </w:pPr>
      <w:r w:rsidRPr="00EF4731">
        <w:rPr>
          <w:rtl/>
        </w:rPr>
        <w:t>2363</w:t>
      </w:r>
      <w:r w:rsidRPr="00261CB0">
        <w:rPr>
          <w:rStyle w:val="libBold2Char"/>
          <w:rtl/>
        </w:rPr>
        <w:t xml:space="preserve"> / 12.</w:t>
      </w:r>
      <w:r w:rsidRPr="00C9040A">
        <w:rPr>
          <w:rtl/>
          <w:lang w:bidi="fa-IR"/>
        </w:rPr>
        <w:t xml:space="preserve"> مُحَمَّدُ بْنُ يَحْيى ، عَنْ مُحَمَّدِ بْنِ الْحُسَيْنِ ، عَنْ صَفْوَانَ ، عَنْ مُعَاوِيَةَ بْنِ عَمَّارٍ ، عَنْ نَاجِيَةَ ، قَالَ :</w:t>
      </w:r>
    </w:p>
    <w:p w:rsidR="008A74EB" w:rsidRPr="00C9040A" w:rsidRDefault="008A74EB" w:rsidP="008A74EB">
      <w:pPr>
        <w:pStyle w:val="libNormal"/>
        <w:rPr>
          <w:rtl/>
          <w:lang w:bidi="fa-IR"/>
        </w:rPr>
      </w:pPr>
      <w:r w:rsidRPr="00C9040A">
        <w:rPr>
          <w:rtl/>
          <w:lang w:bidi="fa-IR"/>
        </w:rPr>
        <w:t xml:space="preserve">قُلْتُ لِأَبِي جَعْفَرٍ </w:t>
      </w:r>
      <w:r w:rsidRPr="0003660B">
        <w:rPr>
          <w:rStyle w:val="libAlaemChar"/>
          <w:rtl/>
        </w:rPr>
        <w:t>عليه‌السلام</w:t>
      </w:r>
      <w:r w:rsidRPr="00C9040A">
        <w:rPr>
          <w:rtl/>
          <w:lang w:bidi="fa-IR"/>
        </w:rPr>
        <w:t xml:space="preserve"> : إِنَّ الْمُغِيرَةَ يَقُولُ : إِنَّ الْمُؤْمِنَ لَايُبْتَلى بِالْجُذَامِ ، وَلَا بِالْبَرَصِ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993B55">
        <w:rPr>
          <w:rStyle w:val="libFootnoteBoldChar"/>
          <w:rtl/>
        </w:rPr>
        <w:t>الوافي</w:t>
      </w:r>
      <w:r w:rsidR="008A74EB" w:rsidRPr="00C9040A">
        <w:rPr>
          <w:rtl/>
        </w:rPr>
        <w:t xml:space="preserve"> ، ج 5 ، ص 764 ، ح 3003 ؛ </w:t>
      </w:r>
      <w:r w:rsidR="008A74EB" w:rsidRPr="00993B55">
        <w:rPr>
          <w:rStyle w:val="libFootnoteBoldChar"/>
          <w:rtl/>
        </w:rPr>
        <w:t>الوسائل</w:t>
      </w:r>
      <w:r w:rsidR="008A74EB" w:rsidRPr="00C9040A">
        <w:rPr>
          <w:rtl/>
        </w:rPr>
        <w:t xml:space="preserve"> ، ج 3 ، ص 264 ، ح 3599 ؛ </w:t>
      </w:r>
      <w:r w:rsidR="008A74EB" w:rsidRPr="00993B55">
        <w:rPr>
          <w:rStyle w:val="libFootnoteBoldChar"/>
          <w:rtl/>
        </w:rPr>
        <w:t>البحار</w:t>
      </w:r>
      <w:r w:rsidR="008A74EB" w:rsidRPr="00C9040A">
        <w:rPr>
          <w:rtl/>
        </w:rPr>
        <w:t xml:space="preserve"> ، ج 67 ، ص 210 ، ح 12.</w:t>
      </w:r>
    </w:p>
    <w:tbl>
      <w:tblPr>
        <w:tblStyle w:val="TableGrid"/>
        <w:bidiVisual/>
        <w:tblW w:w="0" w:type="auto"/>
        <w:tblLook w:val="04A0" w:firstRow="1" w:lastRow="0" w:firstColumn="1" w:lastColumn="0" w:noHBand="0" w:noVBand="1"/>
      </w:tblPr>
      <w:tblGrid>
        <w:gridCol w:w="4006"/>
        <w:gridCol w:w="4006"/>
      </w:tblGrid>
      <w:tr w:rsidR="00F64E9D" w:rsidTr="00F64E9D">
        <w:tc>
          <w:tcPr>
            <w:tcW w:w="4006" w:type="dxa"/>
          </w:tcPr>
          <w:p w:rsidR="00F64E9D" w:rsidRDefault="00F64E9D" w:rsidP="004A4E41">
            <w:pPr>
              <w:pStyle w:val="libFootnote0"/>
              <w:rPr>
                <w:rtl/>
              </w:rPr>
            </w:pPr>
            <w:r>
              <w:rPr>
                <w:rtl/>
              </w:rPr>
              <w:t xml:space="preserve">(2). </w:t>
            </w:r>
            <w:r w:rsidRPr="00C9040A">
              <w:rPr>
                <w:rtl/>
              </w:rPr>
              <w:t>يجوز فيه فتح الكاف أيضاً.</w:t>
            </w:r>
          </w:p>
        </w:tc>
        <w:tc>
          <w:tcPr>
            <w:tcW w:w="4006" w:type="dxa"/>
          </w:tcPr>
          <w:p w:rsidR="00F64E9D" w:rsidRDefault="00F64E9D" w:rsidP="004A4E41">
            <w:pPr>
              <w:pStyle w:val="libFootnote0"/>
              <w:rPr>
                <w:rtl/>
              </w:rPr>
            </w:pPr>
            <w:r>
              <w:rPr>
                <w:rtl/>
              </w:rPr>
              <w:t>(3).</w:t>
            </w:r>
            <w:r w:rsidRPr="00C9040A">
              <w:rPr>
                <w:rtl/>
              </w:rPr>
              <w:t xml:space="preserve"> في « ب ، ج ، ص » : « زاد »</w:t>
            </w:r>
            <w:r>
              <w:rPr>
                <w:rtl/>
              </w:rPr>
              <w:t>.</w:t>
            </w:r>
          </w:p>
        </w:tc>
      </w:tr>
    </w:tbl>
    <w:p w:rsidR="008A74EB" w:rsidRPr="00C9040A" w:rsidRDefault="006C577F" w:rsidP="004A4E41">
      <w:pPr>
        <w:pStyle w:val="libFootnote0"/>
        <w:rPr>
          <w:rtl/>
          <w:lang w:bidi="fa-IR"/>
        </w:rPr>
      </w:pPr>
      <w:r>
        <w:rPr>
          <w:rtl/>
        </w:rPr>
        <w:t>(4).</w:t>
      </w:r>
      <w:r w:rsidR="008A74EB" w:rsidRPr="00C9040A">
        <w:rPr>
          <w:rtl/>
        </w:rPr>
        <w:t xml:space="preserve"> في « ص » : « زاد »</w:t>
      </w:r>
      <w:r w:rsidR="008A74EB">
        <w:rPr>
          <w:rtl/>
        </w:rPr>
        <w:t>.</w:t>
      </w:r>
      <w:r w:rsidR="008A74EB" w:rsidRPr="00C9040A">
        <w:rPr>
          <w:rtl/>
        </w:rPr>
        <w:t xml:space="preserve"> وفي « </w:t>
      </w:r>
      <w:r w:rsidR="006D3162">
        <w:rPr>
          <w:rtl/>
        </w:rPr>
        <w:t xml:space="preserve">ه </w:t>
      </w:r>
      <w:r w:rsidR="008A74EB" w:rsidRPr="00C9040A">
        <w:rPr>
          <w:rtl/>
        </w:rPr>
        <w:t>» : « يزيد »</w:t>
      </w:r>
      <w:r w:rsidR="008A74EB">
        <w:rPr>
          <w:rtl/>
        </w:rPr>
        <w:t>.</w:t>
      </w:r>
    </w:p>
    <w:p w:rsidR="008A74EB" w:rsidRPr="00C9040A" w:rsidRDefault="006C577F" w:rsidP="00122CAB">
      <w:pPr>
        <w:pStyle w:val="libFootnote0"/>
        <w:rPr>
          <w:rtl/>
          <w:lang w:bidi="fa-IR"/>
        </w:rPr>
      </w:pPr>
      <w:r>
        <w:rPr>
          <w:rtl/>
        </w:rPr>
        <w:t>(5).</w:t>
      </w:r>
      <w:r w:rsidR="008A74EB" w:rsidRPr="00C9040A">
        <w:rPr>
          <w:rtl/>
        </w:rPr>
        <w:t xml:space="preserve"> </w:t>
      </w:r>
      <w:r w:rsidR="008A74EB" w:rsidRPr="00993B55">
        <w:rPr>
          <w:rStyle w:val="libFootnoteBoldChar"/>
          <w:rtl/>
        </w:rPr>
        <w:t>الأمالي</w:t>
      </w:r>
      <w:r w:rsidR="008A74EB" w:rsidRPr="00C9040A">
        <w:rPr>
          <w:rtl/>
        </w:rPr>
        <w:t xml:space="preserve"> للطوسي ، ص 631 ، المجلس 31 ، ح 1 ، بسند آخر عن أبي‌الحسن موسى بن جعفر </w:t>
      </w:r>
      <w:r w:rsidR="00117575" w:rsidRPr="00117575">
        <w:rPr>
          <w:rStyle w:val="libFootnoteAlaemChar"/>
          <w:rtl/>
        </w:rPr>
        <w:t>عليهما‌السلام</w:t>
      </w:r>
      <w:r w:rsidR="008A74EB" w:rsidRPr="00C9040A">
        <w:rPr>
          <w:rtl/>
        </w:rPr>
        <w:t xml:space="preserve">. </w:t>
      </w:r>
      <w:r w:rsidR="008A74EB" w:rsidRPr="00993B55">
        <w:rPr>
          <w:rStyle w:val="libFootnoteBoldChar"/>
          <w:rtl/>
        </w:rPr>
        <w:t>تحف العقول</w:t>
      </w:r>
      <w:r w:rsidR="008A74EB" w:rsidRPr="00C9040A">
        <w:rPr>
          <w:rtl/>
        </w:rPr>
        <w:t xml:space="preserve"> ، ص 408 ، عن موسى بن جعفر </w:t>
      </w:r>
      <w:r w:rsidR="00117575" w:rsidRPr="00117575">
        <w:rPr>
          <w:rStyle w:val="libFootnoteAlaemChar"/>
          <w:rtl/>
        </w:rPr>
        <w:t>عليهما‌السلام</w:t>
      </w:r>
      <w:r w:rsidR="008A74EB" w:rsidRPr="00C9040A">
        <w:rPr>
          <w:rtl/>
        </w:rPr>
        <w:t xml:space="preserve"> ، وفيهما مع اختلاف يسير</w:t>
      </w:r>
      <w:r w:rsidR="00122CAB">
        <w:rPr>
          <w:rFonts w:hint="cs"/>
          <w:rtl/>
        </w:rPr>
        <w:t>.</w:t>
      </w:r>
      <w:r w:rsidR="008A74EB" w:rsidRPr="00993B55">
        <w:rPr>
          <w:rStyle w:val="libFootnoteBoldChar"/>
          <w:rtl/>
        </w:rPr>
        <w:t>الوافي</w:t>
      </w:r>
      <w:r w:rsidR="008A74EB" w:rsidRPr="00C9040A">
        <w:rPr>
          <w:rtl/>
        </w:rPr>
        <w:t xml:space="preserve"> ، ج 5 ، ص 764 ، ح 3004 ؛ </w:t>
      </w:r>
      <w:r w:rsidR="008A74EB" w:rsidRPr="00993B55">
        <w:rPr>
          <w:rStyle w:val="libFootnoteBoldChar"/>
          <w:rtl/>
        </w:rPr>
        <w:t>الوسائل</w:t>
      </w:r>
      <w:r w:rsidR="008A74EB" w:rsidRPr="00C9040A">
        <w:rPr>
          <w:rtl/>
        </w:rPr>
        <w:t xml:space="preserve"> ، ج 3 ، ص 264 ، ح 3595 ؛ </w:t>
      </w:r>
      <w:r w:rsidR="008A74EB" w:rsidRPr="00993B55">
        <w:rPr>
          <w:rStyle w:val="libFootnoteBoldChar"/>
          <w:rtl/>
        </w:rPr>
        <w:t>البحار</w:t>
      </w:r>
      <w:r w:rsidR="008A74EB" w:rsidRPr="00C9040A">
        <w:rPr>
          <w:rtl/>
        </w:rPr>
        <w:t xml:space="preserve"> ، ج 67 ، ص 210 ، ح 13.</w:t>
      </w:r>
    </w:p>
    <w:tbl>
      <w:tblPr>
        <w:tblStyle w:val="TableGrid"/>
        <w:bidiVisual/>
        <w:tblW w:w="0" w:type="auto"/>
        <w:tblLook w:val="04A0" w:firstRow="1" w:lastRow="0" w:firstColumn="1" w:lastColumn="0" w:noHBand="0" w:noVBand="1"/>
      </w:tblPr>
      <w:tblGrid>
        <w:gridCol w:w="4006"/>
        <w:gridCol w:w="4006"/>
      </w:tblGrid>
      <w:tr w:rsidR="00122CAB" w:rsidTr="00122CAB">
        <w:tc>
          <w:tcPr>
            <w:tcW w:w="4006" w:type="dxa"/>
          </w:tcPr>
          <w:p w:rsidR="00122CAB" w:rsidRDefault="00122CAB" w:rsidP="004A4E41">
            <w:pPr>
              <w:pStyle w:val="libFootnote0"/>
              <w:rPr>
                <w:rtl/>
              </w:rPr>
            </w:pPr>
            <w:r>
              <w:rPr>
                <w:rtl/>
              </w:rPr>
              <w:t xml:space="preserve">(6). </w:t>
            </w:r>
            <w:r w:rsidRPr="00C9040A">
              <w:rPr>
                <w:rtl/>
              </w:rPr>
              <w:t>في « ج ، ز » : « لا تمضي »</w:t>
            </w:r>
            <w:r>
              <w:rPr>
                <w:rtl/>
              </w:rPr>
              <w:t>.</w:t>
            </w:r>
          </w:p>
        </w:tc>
        <w:tc>
          <w:tcPr>
            <w:tcW w:w="4006" w:type="dxa"/>
          </w:tcPr>
          <w:p w:rsidR="00122CAB" w:rsidRDefault="00122CAB" w:rsidP="004A4E41">
            <w:pPr>
              <w:pStyle w:val="libFootnote0"/>
              <w:rPr>
                <w:rtl/>
              </w:rPr>
            </w:pPr>
            <w:r>
              <w:rPr>
                <w:rtl/>
              </w:rPr>
              <w:t>(7).</w:t>
            </w:r>
            <w:r w:rsidRPr="00C9040A">
              <w:rPr>
                <w:rtl/>
              </w:rPr>
              <w:t xml:space="preserve"> في « ز » : « عليه »</w:t>
            </w:r>
            <w:r>
              <w:rPr>
                <w:rtl/>
              </w:rPr>
              <w:t>.</w:t>
            </w:r>
          </w:p>
        </w:tc>
      </w:tr>
    </w:tbl>
    <w:p w:rsidR="008A74EB" w:rsidRPr="00C9040A" w:rsidRDefault="006C577F" w:rsidP="00534F43">
      <w:pPr>
        <w:pStyle w:val="libFootnote0"/>
        <w:rPr>
          <w:rtl/>
          <w:lang w:bidi="fa-IR"/>
        </w:rPr>
      </w:pPr>
      <w:r>
        <w:rPr>
          <w:rtl/>
        </w:rPr>
        <w:t>(8).</w:t>
      </w:r>
      <w:r w:rsidR="008A74EB" w:rsidRPr="00C9040A">
        <w:rPr>
          <w:rtl/>
        </w:rPr>
        <w:t xml:space="preserve"> </w:t>
      </w:r>
      <w:r w:rsidR="008A74EB" w:rsidRPr="00993B55">
        <w:rPr>
          <w:rStyle w:val="libFootnoteBoldChar"/>
          <w:rtl/>
        </w:rPr>
        <w:t>المؤمن</w:t>
      </w:r>
      <w:r w:rsidR="008A74EB" w:rsidRPr="00C9040A">
        <w:rPr>
          <w:rtl/>
        </w:rPr>
        <w:t xml:space="preserve"> ، ص 23 ، ح 30 ، عن محمّد بن مسلم</w:t>
      </w:r>
      <w:r w:rsidR="00534F43">
        <w:rPr>
          <w:rFonts w:hint="cs"/>
          <w:rtl/>
        </w:rPr>
        <w:t>.</w:t>
      </w:r>
      <w:r w:rsidR="008A74EB" w:rsidRPr="00993B55">
        <w:rPr>
          <w:rStyle w:val="libFootnoteBoldChar"/>
          <w:rtl/>
        </w:rPr>
        <w:t>الوافي</w:t>
      </w:r>
      <w:r w:rsidR="008A74EB" w:rsidRPr="00C9040A">
        <w:rPr>
          <w:rtl/>
        </w:rPr>
        <w:t xml:space="preserve"> ، ج 5 ، ص 760 ، ح 2995 ؛ </w:t>
      </w:r>
      <w:r w:rsidR="008A74EB" w:rsidRPr="00993B55">
        <w:rPr>
          <w:rStyle w:val="libFootnoteBoldChar"/>
          <w:rtl/>
        </w:rPr>
        <w:t>الوسائل</w:t>
      </w:r>
      <w:r w:rsidR="008A74EB" w:rsidRPr="00C9040A">
        <w:rPr>
          <w:rtl/>
        </w:rPr>
        <w:t xml:space="preserve"> ، ج 3 ، ص 262 ، ح 3590 ؛ </w:t>
      </w:r>
      <w:r w:rsidR="008A74EB" w:rsidRPr="00993B55">
        <w:rPr>
          <w:rStyle w:val="libFootnoteBoldChar"/>
          <w:rtl/>
        </w:rPr>
        <w:t>البحار</w:t>
      </w:r>
      <w:r w:rsidR="008A74EB" w:rsidRPr="00C9040A">
        <w:rPr>
          <w:rtl/>
        </w:rPr>
        <w:t xml:space="preserve"> ، ج 67 ، ص 211 ، ح 14.</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وَلَا بِكَذَا ، وَلَا بِكَذَا </w:t>
      </w:r>
      <w:r w:rsidR="006C577F" w:rsidRPr="006C577F">
        <w:rPr>
          <w:rStyle w:val="libFootnotenumChar"/>
          <w:rtl/>
        </w:rPr>
        <w:t>(1)</w:t>
      </w:r>
      <w:r>
        <w:rPr>
          <w:rtl/>
          <w:lang w:bidi="fa-IR"/>
        </w:rPr>
        <w:t>؟</w:t>
      </w:r>
    </w:p>
    <w:p w:rsidR="008A74EB" w:rsidRPr="00C9040A" w:rsidRDefault="008A74EB" w:rsidP="008A74EB">
      <w:pPr>
        <w:pStyle w:val="libNormal"/>
        <w:rPr>
          <w:rtl/>
          <w:lang w:bidi="fa-IR"/>
        </w:rPr>
      </w:pPr>
      <w:r w:rsidRPr="00C9040A">
        <w:rPr>
          <w:rtl/>
          <w:lang w:bidi="fa-IR"/>
        </w:rPr>
        <w:t xml:space="preserve">فَقَالَ : « إِنْ كَانَ لَغَافِلاً عَنْ صَاحِبِ يَاسِينَ </w:t>
      </w:r>
      <w:r w:rsidR="006C577F" w:rsidRPr="006C577F">
        <w:rPr>
          <w:rStyle w:val="libFootnotenumChar"/>
          <w:rtl/>
        </w:rPr>
        <w:t>(2)</w:t>
      </w:r>
      <w:r w:rsidRPr="00C9040A">
        <w:rPr>
          <w:rtl/>
          <w:lang w:bidi="fa-IR"/>
        </w:rPr>
        <w:t xml:space="preserve"> إِنَّهُ كَانَ مُكَنَّعاً </w:t>
      </w:r>
      <w:r w:rsidR="006C577F" w:rsidRPr="006C577F">
        <w:rPr>
          <w:rStyle w:val="libFootnotenumChar"/>
          <w:rtl/>
        </w:rPr>
        <w:t>(3)</w:t>
      </w:r>
      <w:r w:rsidRPr="00C9040A">
        <w:rPr>
          <w:rtl/>
          <w:lang w:bidi="fa-IR"/>
        </w:rPr>
        <w:t xml:space="preserve"> »</w:t>
      </w:r>
      <w:r>
        <w:rPr>
          <w:rtl/>
          <w:lang w:bidi="fa-IR"/>
        </w:rPr>
        <w:t>.</w:t>
      </w:r>
      <w:r w:rsidRPr="00C9040A">
        <w:rPr>
          <w:rtl/>
          <w:lang w:bidi="fa-IR"/>
        </w:rPr>
        <w:t xml:space="preserve"> ثُمَّ رَدَّ أَصَابِعَهُ ، فَقَالَ :</w:t>
      </w:r>
      <w:r>
        <w:rPr>
          <w:rFonts w:hint="cs"/>
          <w:rtl/>
          <w:lang w:bidi="fa-IR"/>
        </w:rPr>
        <w:t xml:space="preserve"> </w:t>
      </w:r>
      <w:r w:rsidRPr="00C9040A">
        <w:rPr>
          <w:rtl/>
          <w:lang w:bidi="fa-IR"/>
        </w:rPr>
        <w:t xml:space="preserve">« كَأَنِّي أَنْظُرُ إِلى تَكْنِيعِهِ </w:t>
      </w:r>
      <w:r w:rsidR="006C577F" w:rsidRPr="006C577F">
        <w:rPr>
          <w:rStyle w:val="libFootnotenumChar"/>
          <w:rtl/>
        </w:rPr>
        <w:t>(4)</w:t>
      </w:r>
      <w:r w:rsidRPr="00C9040A">
        <w:rPr>
          <w:rtl/>
          <w:lang w:bidi="fa-IR"/>
        </w:rPr>
        <w:t xml:space="preserve"> أَتَاهُمْ ، فَأَنْذَرَهُمْ ، ثُمَّ عَادَ إِلَيْهِمْ مِنَ الْغَدِ ، فَقَتَلُوهُ »</w:t>
      </w:r>
      <w:r>
        <w:rPr>
          <w:rtl/>
          <w:lang w:bidi="fa-IR"/>
        </w:rPr>
        <w:t>.</w:t>
      </w:r>
    </w:p>
    <w:p w:rsidR="008A74EB" w:rsidRPr="00C9040A" w:rsidRDefault="008A74EB" w:rsidP="008A74EB">
      <w:pPr>
        <w:pStyle w:val="libNormal"/>
        <w:rPr>
          <w:rtl/>
          <w:lang w:bidi="fa-IR"/>
        </w:rPr>
      </w:pPr>
      <w:r w:rsidRPr="00C9040A">
        <w:rPr>
          <w:rtl/>
          <w:lang w:bidi="fa-IR"/>
        </w:rPr>
        <w:t xml:space="preserve">ثُمَّ قَالَ : « إِنَّ </w:t>
      </w:r>
      <w:r w:rsidR="006C577F" w:rsidRPr="006C577F">
        <w:rPr>
          <w:rStyle w:val="libFootnotenumChar"/>
          <w:rtl/>
        </w:rPr>
        <w:t>(5)</w:t>
      </w:r>
      <w:r w:rsidRPr="00C9040A">
        <w:rPr>
          <w:rtl/>
          <w:lang w:bidi="fa-IR"/>
        </w:rPr>
        <w:t xml:space="preserve"> الْمُؤْمِنَ يُبْتَلى بِكُلِّ بَلِيَّةٍ ، </w:t>
      </w:r>
      <w:r w:rsidR="00534F43">
        <w:rPr>
          <w:rtl/>
          <w:lang w:bidi="fa-IR"/>
        </w:rPr>
        <w:t>وَيَمُوتُ بِكُلِّ مِيتَةٍ إِل</w:t>
      </w:r>
      <w:r w:rsidR="00534F43">
        <w:rPr>
          <w:rFonts w:hint="cs"/>
          <w:rtl/>
          <w:lang w:bidi="fa-IR"/>
        </w:rPr>
        <w:t>َّ</w:t>
      </w:r>
      <w:r w:rsidR="00534F43">
        <w:rPr>
          <w:rtl/>
          <w:lang w:bidi="fa-IR"/>
        </w:rPr>
        <w:t>ا</w:t>
      </w:r>
      <w:r w:rsidRPr="00C9040A">
        <w:rPr>
          <w:rtl/>
          <w:lang w:bidi="fa-IR"/>
        </w:rPr>
        <w:t xml:space="preserve"> أَنَّهُ لَايَقْتُلُ نَفْسَهُ »</w:t>
      </w:r>
      <w:r>
        <w:rPr>
          <w:rtl/>
          <w:lang w:bidi="fa-IR"/>
        </w:rPr>
        <w:t>.</w:t>
      </w:r>
      <w:r w:rsidRPr="00C9040A">
        <w:rPr>
          <w:rtl/>
          <w:lang w:bidi="fa-IR"/>
        </w:rPr>
        <w:t xml:space="preserve"> </w:t>
      </w:r>
      <w:r w:rsidR="006C577F" w:rsidRPr="006C577F">
        <w:rPr>
          <w:rStyle w:val="libFootnotenumChar"/>
          <w:rtl/>
        </w:rPr>
        <w:t>(6)</w:t>
      </w:r>
    </w:p>
    <w:p w:rsidR="008A74EB" w:rsidRPr="00C9040A" w:rsidRDefault="008A74EB" w:rsidP="008A74EB">
      <w:pPr>
        <w:pStyle w:val="libNormal"/>
        <w:rPr>
          <w:rtl/>
          <w:lang w:bidi="fa-IR"/>
        </w:rPr>
      </w:pPr>
      <w:r w:rsidRPr="00EF4731">
        <w:rPr>
          <w:rtl/>
        </w:rPr>
        <w:t>2364</w:t>
      </w:r>
      <w:r w:rsidRPr="00261CB0">
        <w:rPr>
          <w:rStyle w:val="libBold2Char"/>
          <w:rtl/>
        </w:rPr>
        <w:t xml:space="preserve"> / 13.</w:t>
      </w:r>
      <w:r w:rsidRPr="00C9040A">
        <w:rPr>
          <w:rtl/>
          <w:lang w:bidi="fa-IR"/>
        </w:rPr>
        <w:t xml:space="preserve"> عِدَّةٌ مِنْ أَصْحَابِنَا ، عَنْ أَحْمَدَ بْنِ أَبِي عَبْدِ اللهِ ، عَنْ أَبِيهِ </w:t>
      </w:r>
      <w:r w:rsidR="006C577F" w:rsidRPr="006C577F">
        <w:rPr>
          <w:rStyle w:val="libFootnotenumChar"/>
          <w:rtl/>
        </w:rPr>
        <w:t>(7)</w:t>
      </w:r>
      <w:r w:rsidRPr="00C9040A">
        <w:rPr>
          <w:rtl/>
          <w:lang w:bidi="fa-IR"/>
        </w:rPr>
        <w:t xml:space="preserve"> ، عَنْ إِبْرَاهِيمَ بْنِ مُحَمَّدٍ الْأَشْعَرِيِّ ، عَنْ عُبَيْدِ بْنِ زُرَارَةَ ، قَالَ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شرح المازندراني : « وكذا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w:t>
      </w:r>
      <w:r w:rsidR="008A74EB" w:rsidRPr="00993B55">
        <w:rPr>
          <w:rStyle w:val="libFootnoteBoldChar"/>
          <w:rtl/>
        </w:rPr>
        <w:t>الوافي</w:t>
      </w:r>
      <w:r w:rsidR="008A74EB" w:rsidRPr="00C9040A">
        <w:rPr>
          <w:rtl/>
        </w:rPr>
        <w:t xml:space="preserve"> : « صاحب ياسين هو حبيب بن إسرائيل النجّار </w:t>
      </w:r>
      <w:r w:rsidR="00117575" w:rsidRPr="00117575">
        <w:rPr>
          <w:rStyle w:val="libFootnoteAlaemChar"/>
          <w:rtl/>
        </w:rPr>
        <w:t>رضي‌الله‌عنه</w:t>
      </w:r>
      <w:r w:rsidR="008A74EB" w:rsidRPr="00C9040A">
        <w:rPr>
          <w:rtl/>
        </w:rPr>
        <w:t xml:space="preserve"> ، وهو الذي جاء من أقصى المدينة يسعى ، وكان‌ممّن آمن بنبيّنا </w:t>
      </w:r>
      <w:r w:rsidR="004A4E41" w:rsidRPr="00534F43">
        <w:rPr>
          <w:rStyle w:val="libFootnoteAlaemChar"/>
          <w:rtl/>
        </w:rPr>
        <w:t>صلى‌الله‌عليه‌وآله</w:t>
      </w:r>
      <w:r w:rsidR="008A74EB" w:rsidRPr="00C9040A">
        <w:rPr>
          <w:rtl/>
        </w:rPr>
        <w:t xml:space="preserve"> وبينهما ستّمائة سنة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ب ، ص » : « مكتّعاً »</w:t>
      </w:r>
      <w:r w:rsidR="008A74EB">
        <w:rPr>
          <w:rtl/>
        </w:rPr>
        <w:t>.</w:t>
      </w:r>
      <w:r w:rsidR="008A74EB" w:rsidRPr="00C9040A">
        <w:rPr>
          <w:rtl/>
        </w:rPr>
        <w:t xml:space="preserve"> </w:t>
      </w:r>
      <w:r w:rsidR="008A74EB">
        <w:rPr>
          <w:rtl/>
        </w:rPr>
        <w:t>و «</w:t>
      </w:r>
      <w:r w:rsidR="008A74EB" w:rsidRPr="00C9040A">
        <w:rPr>
          <w:rtl/>
        </w:rPr>
        <w:t xml:space="preserve"> ال</w:t>
      </w:r>
      <w:r w:rsidR="00534F43">
        <w:rPr>
          <w:rFonts w:hint="cs"/>
          <w:rtl/>
        </w:rPr>
        <w:t>ـ</w:t>
      </w:r>
      <w:r w:rsidR="008A74EB" w:rsidRPr="00C9040A">
        <w:rPr>
          <w:rtl/>
        </w:rPr>
        <w:t xml:space="preserve">مُكَنَّعُ » : الذي قُفّعت يداه ، أي تقبّضت ، أو هوالذي يبست يداه وشلّت ، أو هو الذي قطعت يداه. راجع : </w:t>
      </w:r>
      <w:r w:rsidR="008A74EB" w:rsidRPr="00993B55">
        <w:rPr>
          <w:rStyle w:val="libFootnoteBoldChar"/>
          <w:rtl/>
        </w:rPr>
        <w:t>النهاية</w:t>
      </w:r>
      <w:r w:rsidR="008A74EB" w:rsidRPr="00C9040A">
        <w:rPr>
          <w:rtl/>
        </w:rPr>
        <w:t xml:space="preserve"> ، ج 4 ، ص 204 ؛ </w:t>
      </w:r>
      <w:r w:rsidR="008A74EB" w:rsidRPr="00993B55">
        <w:rPr>
          <w:rStyle w:val="libFootnoteBoldChar"/>
          <w:rtl/>
        </w:rPr>
        <w:t>لسان العرب</w:t>
      </w:r>
      <w:r w:rsidR="008A74EB" w:rsidRPr="00C9040A">
        <w:rPr>
          <w:rtl/>
        </w:rPr>
        <w:t xml:space="preserve"> ، ج 8 ، ص 315 ؛ </w:t>
      </w:r>
      <w:r w:rsidR="008A74EB" w:rsidRPr="00993B55">
        <w:rPr>
          <w:rStyle w:val="libFootnoteBoldChar"/>
          <w:rtl/>
        </w:rPr>
        <w:t>القاموس المحيط</w:t>
      </w:r>
      <w:r w:rsidR="008A74EB" w:rsidRPr="00C9040A">
        <w:rPr>
          <w:rtl/>
        </w:rPr>
        <w:t xml:space="preserve"> ، ج 2 ، ص 1017 ( كنع )</w:t>
      </w:r>
      <w:r w:rsidR="008A74EB">
        <w:rPr>
          <w:rtl/>
        </w:rPr>
        <w:t>.</w:t>
      </w:r>
      <w:r w:rsidR="008A74EB" w:rsidRPr="00C9040A">
        <w:rPr>
          <w:rtl/>
        </w:rPr>
        <w:t xml:space="preserve"> وفي </w:t>
      </w:r>
      <w:r w:rsidR="008A74EB" w:rsidRPr="00993B55">
        <w:rPr>
          <w:rStyle w:val="libFootnoteBoldChar"/>
          <w:rtl/>
        </w:rPr>
        <w:t>الوافي</w:t>
      </w:r>
      <w:r w:rsidR="008A74EB" w:rsidRPr="00C9040A">
        <w:rPr>
          <w:rtl/>
        </w:rPr>
        <w:t xml:space="preserve"> : « المكنّع ، بتشديد النون المفتوحة : أشلّ اليد أو مقطوعها. وفي بعض النسخ بالتاء المثنّاة من فوق ، وهو من رجعت أصابعه إلى كفّه وظهرت مفاصل اصول الأصابع. وردّ أصابعه </w:t>
      </w:r>
      <w:r w:rsidR="00117575" w:rsidRPr="00117575">
        <w:rPr>
          <w:rStyle w:val="libFootnoteAlaemChar"/>
          <w:rtl/>
        </w:rPr>
        <w:t>عليه‌السلام</w:t>
      </w:r>
      <w:r w:rsidR="008A74EB" w:rsidRPr="00C9040A">
        <w:rPr>
          <w:rtl/>
        </w:rPr>
        <w:t xml:space="preserve"> يؤيّد النسخة الثانية ؛ إذ لا ردّ في الأشلّ والأقطع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ب ، ض ، بس » : « تكتيعه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ب » </w:t>
      </w:r>
      <w:r w:rsidR="008A74EB">
        <w:rPr>
          <w:rtl/>
        </w:rPr>
        <w:t xml:space="preserve">: </w:t>
      </w:r>
      <w:r w:rsidR="0084262C">
        <w:rPr>
          <w:rtl/>
        </w:rPr>
        <w:t>-</w:t>
      </w:r>
      <w:r w:rsidR="008A74EB" w:rsidRPr="00C9040A">
        <w:rPr>
          <w:rtl/>
        </w:rPr>
        <w:t xml:space="preserve"> « إنّ »</w:t>
      </w:r>
      <w:r w:rsidR="008A74EB">
        <w:rPr>
          <w:rtl/>
        </w:rPr>
        <w:t>.</w:t>
      </w:r>
    </w:p>
    <w:p w:rsidR="008A74EB" w:rsidRPr="00C9040A" w:rsidRDefault="006C577F" w:rsidP="00534F43">
      <w:pPr>
        <w:pStyle w:val="libFootnote0"/>
        <w:rPr>
          <w:rtl/>
          <w:lang w:bidi="fa-IR"/>
        </w:rPr>
      </w:pPr>
      <w:r>
        <w:rPr>
          <w:rtl/>
        </w:rPr>
        <w:t>(6).</w:t>
      </w:r>
      <w:r w:rsidR="008A74EB">
        <w:rPr>
          <w:rtl/>
        </w:rPr>
        <w:t xml:space="preserve"> </w:t>
      </w:r>
      <w:r w:rsidR="008A74EB" w:rsidRPr="00993B55">
        <w:rPr>
          <w:rStyle w:val="libFootnoteBoldChar"/>
          <w:rtl/>
        </w:rPr>
        <w:t>الكافي</w:t>
      </w:r>
      <w:r w:rsidR="008A74EB" w:rsidRPr="00C9040A">
        <w:rPr>
          <w:rtl/>
        </w:rPr>
        <w:t xml:space="preserve"> ، كتاب الجنائز ، باب علل الموت وأنّ المؤمن يموت بكلّ ميتة ، ح 4248 ، من قوله : « إنّ المؤمن يبتلى »</w:t>
      </w:r>
      <w:r w:rsidR="008A74EB">
        <w:rPr>
          <w:rtl/>
        </w:rPr>
        <w:t>.</w:t>
      </w:r>
      <w:r w:rsidR="008A74EB" w:rsidRPr="00C9040A">
        <w:rPr>
          <w:rtl/>
        </w:rPr>
        <w:t xml:space="preserve"> </w:t>
      </w:r>
      <w:r w:rsidR="008A74EB" w:rsidRPr="00993B55">
        <w:rPr>
          <w:rStyle w:val="libFootnoteBoldChar"/>
          <w:rtl/>
        </w:rPr>
        <w:t>كتاب سليم بن قيس</w:t>
      </w:r>
      <w:r w:rsidR="008A74EB" w:rsidRPr="00C9040A">
        <w:rPr>
          <w:rtl/>
        </w:rPr>
        <w:t xml:space="preserve"> ، ص 663 ، ح 12 ، ضمن خطبة أميرالمؤمنين </w:t>
      </w:r>
      <w:r w:rsidR="00117575" w:rsidRPr="00117575">
        <w:rPr>
          <w:rStyle w:val="libFootnoteAlaemChar"/>
          <w:rtl/>
        </w:rPr>
        <w:t xml:space="preserve">عليه‌السلام </w:t>
      </w:r>
      <w:r w:rsidR="008A74EB" w:rsidRPr="00C9040A">
        <w:rPr>
          <w:rtl/>
        </w:rPr>
        <w:t>، عن أبان ، عن سليم ، من قوله : « إنّ المؤمن يبتلى » مع اختلاف يسير وزيادة في آخره</w:t>
      </w:r>
      <w:r w:rsidR="00534F43">
        <w:rPr>
          <w:rFonts w:hint="cs"/>
          <w:rtl/>
        </w:rPr>
        <w:t>.</w:t>
      </w:r>
      <w:r w:rsidR="008A74EB" w:rsidRPr="00993B55">
        <w:rPr>
          <w:rStyle w:val="libFootnoteBoldChar"/>
          <w:rtl/>
        </w:rPr>
        <w:t>الوافي</w:t>
      </w:r>
      <w:r w:rsidR="008A74EB" w:rsidRPr="00C9040A">
        <w:rPr>
          <w:rtl/>
        </w:rPr>
        <w:t xml:space="preserve"> ، ج 5 ، ص 775 ، ح 3024 ؛ </w:t>
      </w:r>
      <w:r w:rsidR="008A74EB" w:rsidRPr="00993B55">
        <w:rPr>
          <w:rStyle w:val="libFootnoteBoldChar"/>
          <w:rtl/>
        </w:rPr>
        <w:t>الوسائل</w:t>
      </w:r>
      <w:r w:rsidR="008A74EB" w:rsidRPr="00C9040A">
        <w:rPr>
          <w:rtl/>
        </w:rPr>
        <w:t xml:space="preserve"> ، ج 29 ، ص 24 ، ح 35061 ، من قوله : « إنّ المؤمن يبتلى » ؛ </w:t>
      </w:r>
      <w:r w:rsidR="008A74EB" w:rsidRPr="00993B55">
        <w:rPr>
          <w:rStyle w:val="libFootnoteBoldChar"/>
          <w:rtl/>
        </w:rPr>
        <w:t>البحار</w:t>
      </w:r>
      <w:r w:rsidR="008A74EB" w:rsidRPr="00C9040A">
        <w:rPr>
          <w:rtl/>
        </w:rPr>
        <w:t xml:space="preserve"> ، ج 14 ، ص 274 ، ح 6 ، إلى قوله : « ثمّ عاد إليهم من الغد فقتلوه » ؛ وج 67 ، ص 201 ، ح 4.</w:t>
      </w:r>
    </w:p>
    <w:p w:rsidR="008A74EB" w:rsidRPr="00C9040A" w:rsidRDefault="006C577F" w:rsidP="004A4E41">
      <w:pPr>
        <w:pStyle w:val="libFootnote0"/>
        <w:rPr>
          <w:rtl/>
          <w:lang w:bidi="fa-IR"/>
        </w:rPr>
      </w:pPr>
      <w:r>
        <w:rPr>
          <w:rtl/>
        </w:rPr>
        <w:t>(7).</w:t>
      </w:r>
      <w:r w:rsidR="008A74EB" w:rsidRPr="00C9040A">
        <w:rPr>
          <w:rtl/>
        </w:rPr>
        <w:t xml:space="preserve"> في الوسائل </w:t>
      </w:r>
      <w:r w:rsidR="008A74EB">
        <w:rPr>
          <w:rtl/>
        </w:rPr>
        <w:t xml:space="preserve">: </w:t>
      </w:r>
      <w:r w:rsidR="0084262C">
        <w:rPr>
          <w:rtl/>
        </w:rPr>
        <w:t>-</w:t>
      </w:r>
      <w:r w:rsidR="008A74EB" w:rsidRPr="00C9040A">
        <w:rPr>
          <w:rtl/>
        </w:rPr>
        <w:t xml:space="preserve"> « عن أبيه »</w:t>
      </w:r>
      <w:r w:rsidR="008A74EB">
        <w:rPr>
          <w:rtl/>
        </w:rPr>
        <w:t>.</w:t>
      </w:r>
      <w:r w:rsidR="008A74EB" w:rsidRPr="00C9040A">
        <w:rPr>
          <w:rtl/>
        </w:rPr>
        <w:t xml:space="preserve"> وهو سهو ؛ فإنّه مضافاً إلى ما ورد في الحديث الخامس عشر من نفس الباب‌و</w:t>
      </w:r>
      <w:r w:rsidR="008A74EB" w:rsidRPr="00993B55">
        <w:rPr>
          <w:rStyle w:val="libFootnoteBoldChar"/>
          <w:rtl/>
        </w:rPr>
        <w:t>الكافي</w:t>
      </w:r>
      <w:r w:rsidR="008A74EB" w:rsidRPr="00C9040A">
        <w:rPr>
          <w:rtl/>
        </w:rPr>
        <w:t xml:space="preserve"> ، ح 6123 ، من رواية أحمد بن محمّد بن خالد وأحمد بن أبي عبدالله</w:t>
      </w:r>
      <w:r w:rsidR="008A74EB">
        <w:rPr>
          <w:rtl/>
        </w:rPr>
        <w:t xml:space="preserve"> </w:t>
      </w:r>
      <w:r w:rsidR="0084262C">
        <w:rPr>
          <w:rtl/>
        </w:rPr>
        <w:t>-</w:t>
      </w:r>
      <w:r w:rsidR="008A74EB">
        <w:rPr>
          <w:rtl/>
        </w:rPr>
        <w:t xml:space="preserve"> </w:t>
      </w:r>
      <w:r w:rsidR="008A74EB" w:rsidRPr="00C9040A">
        <w:rPr>
          <w:rtl/>
        </w:rPr>
        <w:t>والمراد منهما واحد</w:t>
      </w:r>
      <w:r w:rsidR="008A74EB">
        <w:rPr>
          <w:rtl/>
        </w:rPr>
        <w:t xml:space="preserve"> </w:t>
      </w:r>
      <w:r w:rsidR="0084262C">
        <w:rPr>
          <w:rtl/>
        </w:rPr>
        <w:t>-</w:t>
      </w:r>
      <w:r w:rsidR="008A74EB">
        <w:rPr>
          <w:rtl/>
        </w:rPr>
        <w:t xml:space="preserve"> </w:t>
      </w:r>
      <w:r w:rsidR="008A74EB" w:rsidRPr="00C9040A">
        <w:rPr>
          <w:rtl/>
        </w:rPr>
        <w:t xml:space="preserve">عن أبيه ، عن إبراهيم بن محمّد الأشعري ، وما ورد في </w:t>
      </w:r>
      <w:r w:rsidR="008A74EB" w:rsidRPr="00993B55">
        <w:rPr>
          <w:rStyle w:val="libFootnoteBoldChar"/>
          <w:rtl/>
        </w:rPr>
        <w:t>بصائر الدرجات</w:t>
      </w:r>
      <w:r w:rsidR="008A74EB" w:rsidRPr="00C9040A">
        <w:rPr>
          <w:rtl/>
        </w:rPr>
        <w:t xml:space="preserve"> ، ص 242 ، ح 1 ، من رواية أبي عبدالله البرقي</w:t>
      </w:r>
      <w:r w:rsidR="008A74EB">
        <w:rPr>
          <w:rtl/>
        </w:rPr>
        <w:t xml:space="preserve"> </w:t>
      </w:r>
      <w:r w:rsidR="0084262C">
        <w:rPr>
          <w:rtl/>
        </w:rPr>
        <w:t>-</w:t>
      </w:r>
      <w:r w:rsidR="008A74EB">
        <w:rPr>
          <w:rtl/>
        </w:rPr>
        <w:t xml:space="preserve"> </w:t>
      </w:r>
      <w:r w:rsidR="008A74EB" w:rsidRPr="00C9040A">
        <w:rPr>
          <w:rtl/>
        </w:rPr>
        <w:t>وهو والد أحمد بن أبي عبدالله</w:t>
      </w:r>
      <w:r w:rsidR="008A74EB">
        <w:rPr>
          <w:rtl/>
        </w:rPr>
        <w:t xml:space="preserve"> </w:t>
      </w:r>
      <w:r w:rsidR="0084262C">
        <w:rPr>
          <w:rtl/>
        </w:rPr>
        <w:t>-</w:t>
      </w:r>
      <w:r w:rsidR="008A74EB">
        <w:rPr>
          <w:rtl/>
        </w:rPr>
        <w:t xml:space="preserve"> </w:t>
      </w:r>
      <w:r w:rsidR="008A74EB" w:rsidRPr="00C9040A">
        <w:rPr>
          <w:rtl/>
        </w:rPr>
        <w:t xml:space="preserve">عن إبراهيم بن محمّد الأشعري ، يكون رواة إبراهيم بن محمّد الأشعري ، كابن فضّال وابن أبي نصر وصفوان بن يحيى ، هم في طبقة مشايخ أحمد بن أبي عبدالله. راجع : </w:t>
      </w:r>
      <w:r w:rsidR="008A74EB" w:rsidRPr="00993B55">
        <w:rPr>
          <w:rStyle w:val="libFootnoteBoldChar"/>
          <w:rtl/>
        </w:rPr>
        <w:t>معجم رجال الحديث</w:t>
      </w:r>
      <w:r w:rsidR="008A74EB" w:rsidRPr="00C9040A">
        <w:rPr>
          <w:rtl/>
        </w:rPr>
        <w:t xml:space="preserve"> ، ج 1 ، ص 272 ، الرقم 249.</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 « إِنَّ الْمُؤْمِنَ مِنَ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لَبِأَفْضَلِ مَكَانٍ </w:t>
      </w:r>
      <w:r w:rsidR="006C577F" w:rsidRPr="006C577F">
        <w:rPr>
          <w:rStyle w:val="libFootnotenumChar"/>
          <w:rtl/>
        </w:rPr>
        <w:t>(1)</w:t>
      </w:r>
      <w:r>
        <w:rPr>
          <w:rtl/>
          <w:lang w:bidi="fa-IR"/>
        </w:rPr>
        <w:t xml:space="preserve"> </w:t>
      </w:r>
      <w:r w:rsidR="0084262C">
        <w:rPr>
          <w:rtl/>
          <w:lang w:bidi="fa-IR"/>
        </w:rPr>
        <w:t>-</w:t>
      </w:r>
      <w:r>
        <w:rPr>
          <w:rtl/>
          <w:lang w:bidi="fa-IR"/>
        </w:rPr>
        <w:t xml:space="preserve"> </w:t>
      </w:r>
      <w:r w:rsidRPr="00C9040A">
        <w:rPr>
          <w:rtl/>
          <w:lang w:bidi="fa-IR"/>
        </w:rPr>
        <w:t>ثَلَاثاً</w:t>
      </w:r>
      <w:r>
        <w:rPr>
          <w:rtl/>
          <w:lang w:bidi="fa-IR"/>
        </w:rPr>
        <w:t xml:space="preserve"> </w:t>
      </w:r>
      <w:r w:rsidR="0084262C">
        <w:rPr>
          <w:rtl/>
          <w:lang w:bidi="fa-IR"/>
        </w:rPr>
        <w:t>-</w:t>
      </w:r>
      <w:r>
        <w:rPr>
          <w:rtl/>
          <w:lang w:bidi="fa-IR"/>
        </w:rPr>
        <w:t xml:space="preserve"> </w:t>
      </w:r>
      <w:r w:rsidRPr="00C9040A">
        <w:rPr>
          <w:rtl/>
          <w:lang w:bidi="fa-IR"/>
        </w:rPr>
        <w:t xml:space="preserve">إِنَّهُ لَيَبْتَلِيهِ بِالْبَلَاءِ ، ثُمَّ يَنْزِعُ </w:t>
      </w:r>
      <w:r w:rsidR="006C577F" w:rsidRPr="006C577F">
        <w:rPr>
          <w:rStyle w:val="libFootnotenumChar"/>
          <w:rtl/>
        </w:rPr>
        <w:t>(2)</w:t>
      </w:r>
      <w:r w:rsidRPr="00C9040A">
        <w:rPr>
          <w:rtl/>
          <w:lang w:bidi="fa-IR"/>
        </w:rPr>
        <w:t xml:space="preserve"> نَفْسَهُ </w:t>
      </w:r>
      <w:r w:rsidR="006C577F" w:rsidRPr="006C577F">
        <w:rPr>
          <w:rStyle w:val="libFootnotenumChar"/>
          <w:rtl/>
        </w:rPr>
        <w:t>(3)</w:t>
      </w:r>
      <w:r w:rsidRPr="00C9040A">
        <w:rPr>
          <w:rtl/>
          <w:lang w:bidi="fa-IR"/>
        </w:rPr>
        <w:t xml:space="preserve"> عُضْواً عُضْواً مِنْ جَسَدِهِ و</w:t>
      </w:r>
      <w:r w:rsidR="00C822D0">
        <w:rPr>
          <w:rtl/>
          <w:lang w:bidi="fa-IR"/>
        </w:rPr>
        <w:t>َهُوَ يَحْمَدُ اللهَ عَلى ذلِكَ</w:t>
      </w:r>
      <w:r w:rsidRPr="00C9040A">
        <w:rPr>
          <w:rtl/>
          <w:lang w:bidi="fa-IR"/>
        </w:rPr>
        <w:t>»</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D17CE2">
        <w:rPr>
          <w:rtl/>
        </w:rPr>
        <w:t>2365</w:t>
      </w:r>
      <w:r w:rsidRPr="00261CB0">
        <w:rPr>
          <w:rStyle w:val="libBold2Char"/>
          <w:rtl/>
        </w:rPr>
        <w:t xml:space="preserve"> / 14.</w:t>
      </w:r>
      <w:r w:rsidRPr="00C9040A">
        <w:rPr>
          <w:rtl/>
          <w:lang w:bidi="fa-IR"/>
        </w:rPr>
        <w:t xml:space="preserve"> مُحَمَّدُ بْنُ يَحْيى ، عَنْ أَحْمَدَ بْنِ مُحَمَّدِ بْنِ عِيسى ، عَنْ عَلِيِّ بْنِ الْحَكَمِ ، عَنْ فُضَيْلِ بْنِ عُثْمَانَ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إِنَّ فِي الْجَنَّةِ مَنْزِلَةً </w:t>
      </w:r>
      <w:r w:rsidR="006C577F" w:rsidRPr="006C577F">
        <w:rPr>
          <w:rStyle w:val="libFootnotenumChar"/>
          <w:rtl/>
        </w:rPr>
        <w:t>(5)</w:t>
      </w:r>
      <w:r w:rsidR="00534F43">
        <w:rPr>
          <w:rtl/>
          <w:lang w:bidi="fa-IR"/>
        </w:rPr>
        <w:t xml:space="preserve"> لَايَبْلُغُهَا عَبْدٌ إِل</w:t>
      </w:r>
      <w:r w:rsidR="00534F43">
        <w:rPr>
          <w:rFonts w:hint="cs"/>
          <w:rtl/>
          <w:lang w:bidi="fa-IR"/>
        </w:rPr>
        <w:t>َّ</w:t>
      </w:r>
      <w:r w:rsidR="00534F43">
        <w:rPr>
          <w:rtl/>
          <w:lang w:bidi="fa-IR"/>
        </w:rPr>
        <w:t>ا</w:t>
      </w:r>
      <w:r w:rsidRPr="00C9040A">
        <w:rPr>
          <w:rtl/>
          <w:lang w:bidi="fa-IR"/>
        </w:rPr>
        <w:t xml:space="preserve"> بِالِابْتِلَاءِ </w:t>
      </w:r>
      <w:r w:rsidR="006C577F" w:rsidRPr="006C577F">
        <w:rPr>
          <w:rStyle w:val="libFootnotenumChar"/>
          <w:rtl/>
        </w:rPr>
        <w:t>(6)</w:t>
      </w:r>
      <w:r w:rsidRPr="005B567D">
        <w:rPr>
          <w:rStyle w:val="libFootnotenumChar"/>
          <w:rtl/>
        </w:rPr>
        <w:t xml:space="preserve"> </w:t>
      </w:r>
      <w:r w:rsidR="00C822D0">
        <w:rPr>
          <w:rtl/>
          <w:lang w:bidi="fa-IR"/>
        </w:rPr>
        <w:t>فِي جَسَدِهِ</w:t>
      </w:r>
      <w:r w:rsidRPr="00C9040A">
        <w:rPr>
          <w:rtl/>
          <w:lang w:bidi="fa-IR"/>
        </w:rPr>
        <w:t>»</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D17CE2">
        <w:rPr>
          <w:rtl/>
        </w:rPr>
        <w:t>2366</w:t>
      </w:r>
      <w:r w:rsidRPr="00261CB0">
        <w:rPr>
          <w:rStyle w:val="libBold2Char"/>
          <w:rtl/>
        </w:rPr>
        <w:t xml:space="preserve"> / 15.</w:t>
      </w:r>
      <w:r w:rsidRPr="00C9040A">
        <w:rPr>
          <w:rtl/>
          <w:lang w:bidi="fa-IR"/>
        </w:rPr>
        <w:t xml:space="preserve"> عِدَّةٌ مِنْ أَصْحَابِنَا ، عَنْ أَحْمَدَ بْنِ مُحَمَّدِ بْنِ خَالِدٍ ، عَنْ أَبِيهِ ، عَنْ إِبْرَاهِيمَ بْنِ مُحَمَّدٍ الْأَشْعَرِيِّ </w:t>
      </w:r>
      <w:r w:rsidR="006C577F" w:rsidRPr="006C577F">
        <w:rPr>
          <w:rStyle w:val="libFootnotenumChar"/>
          <w:rtl/>
        </w:rPr>
        <w:t>(8)</w:t>
      </w:r>
      <w:r w:rsidRPr="00C9040A">
        <w:rPr>
          <w:rtl/>
          <w:lang w:bidi="fa-IR"/>
        </w:rPr>
        <w:t xml:space="preserve"> ، عَنْ أَبِي يَحْيَى الْحَنَّاطِ </w:t>
      </w:r>
      <w:r w:rsidR="006C577F" w:rsidRPr="006C577F">
        <w:rPr>
          <w:rStyle w:val="libFootnotenumChar"/>
          <w:rtl/>
        </w:rPr>
        <w:t>(9)</w:t>
      </w:r>
      <w:r w:rsidRPr="00C9040A">
        <w:rPr>
          <w:rtl/>
          <w:lang w:bidi="fa-IR"/>
        </w:rPr>
        <w:t xml:space="preserve"> ، عَنْ عَبْدِ اللهِ بْنِ أَبِي يَعْفُورٍ ، قَالَ :</w:t>
      </w:r>
    </w:p>
    <w:p w:rsidR="008A74EB" w:rsidRPr="00C9040A" w:rsidRDefault="008A74EB" w:rsidP="008A74EB">
      <w:pPr>
        <w:pStyle w:val="libNormal"/>
        <w:rPr>
          <w:rtl/>
          <w:lang w:bidi="fa-IR"/>
        </w:rPr>
      </w:pPr>
      <w:r w:rsidRPr="00C9040A">
        <w:rPr>
          <w:rtl/>
          <w:lang w:bidi="fa-IR"/>
        </w:rPr>
        <w:t xml:space="preserve">شَكَوْتُ إِلى أَبِي عَبْدِ اللهِ </w:t>
      </w:r>
      <w:r w:rsidRPr="0003660B">
        <w:rPr>
          <w:rStyle w:val="libAlaemChar"/>
          <w:rtl/>
        </w:rPr>
        <w:t>عليه‌السلام</w:t>
      </w:r>
      <w:r w:rsidRPr="00C9040A">
        <w:rPr>
          <w:rtl/>
          <w:lang w:bidi="fa-IR"/>
        </w:rPr>
        <w:t xml:space="preserve"> مَا أَلْقى مِنَ الْأَوْجَاعِ</w:t>
      </w:r>
      <w:r>
        <w:rPr>
          <w:rtl/>
          <w:lang w:bidi="fa-IR"/>
        </w:rPr>
        <w:t xml:space="preserve"> </w:t>
      </w:r>
      <w:r w:rsidR="0084262C">
        <w:rPr>
          <w:rtl/>
          <w:lang w:bidi="fa-IR"/>
        </w:rPr>
        <w:t>-</w:t>
      </w:r>
      <w:r>
        <w:rPr>
          <w:rtl/>
          <w:lang w:bidi="fa-IR"/>
        </w:rPr>
        <w:t xml:space="preserve"> </w:t>
      </w:r>
      <w:r w:rsidRPr="00C9040A">
        <w:rPr>
          <w:rtl/>
          <w:lang w:bidi="fa-IR"/>
        </w:rPr>
        <w:t xml:space="preserve">وَكَانَ مِسْقَاماً </w:t>
      </w:r>
      <w:r w:rsidR="006C577F" w:rsidRPr="006C577F">
        <w:rPr>
          <w:rStyle w:val="libFootnotenumChar"/>
          <w:rtl/>
        </w:rPr>
        <w:t>(10)</w:t>
      </w:r>
      <w:r>
        <w:rPr>
          <w:rtl/>
          <w:lang w:bidi="fa-IR"/>
        </w:rPr>
        <w:t xml:space="preserve"> </w:t>
      </w:r>
      <w:r w:rsidR="0084262C">
        <w:rPr>
          <w:rtl/>
          <w:lang w:bidi="fa-IR"/>
        </w:rPr>
        <w:t>-</w:t>
      </w:r>
      <w:r>
        <w:rPr>
          <w:rtl/>
          <w:lang w:bidi="fa-IR"/>
        </w:rPr>
        <w:t xml:space="preserve"> </w:t>
      </w:r>
      <w:r w:rsidRPr="00C9040A">
        <w:rPr>
          <w:rtl/>
          <w:lang w:bidi="fa-IR"/>
        </w:rPr>
        <w:t>فَقَالَ لِي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ب ، ص ، ض ، بر » : + « إنّ المؤمن من الله عزّ وجلّ لبأفضل مكان »</w:t>
      </w:r>
      <w:r w:rsidR="008A74EB">
        <w:rPr>
          <w:rtl/>
        </w:rPr>
        <w:t>.</w:t>
      </w:r>
      <w:r w:rsidR="008A74EB" w:rsidRPr="00C9040A">
        <w:rPr>
          <w:rtl/>
        </w:rPr>
        <w:t xml:space="preserve"> وفي « ج ، د ، ز ، </w:t>
      </w:r>
      <w:r w:rsidR="006D3162">
        <w:rPr>
          <w:rtl/>
        </w:rPr>
        <w:t xml:space="preserve">ه </w:t>
      </w:r>
      <w:r w:rsidR="00C822D0">
        <w:rPr>
          <w:rtl/>
        </w:rPr>
        <w:t>، بس</w:t>
      </w:r>
      <w:r w:rsidR="008A74EB" w:rsidRPr="00C9040A">
        <w:rPr>
          <w:rtl/>
        </w:rPr>
        <w:t>» : + « إنّ المؤمن‌بأفضل مكان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ز » : « لينزع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w:t>
      </w:r>
      <w:r w:rsidR="008A74EB" w:rsidRPr="00993B55">
        <w:rPr>
          <w:rStyle w:val="libFootnoteBoldChar"/>
          <w:rtl/>
        </w:rPr>
        <w:t>مرآة العقول</w:t>
      </w:r>
      <w:r w:rsidR="008A74EB" w:rsidRPr="00C9040A">
        <w:rPr>
          <w:rtl/>
        </w:rPr>
        <w:t xml:space="preserve"> : « قال بعضهم : النفس ، بضمّ النون والفاء ، جمع نفيس ، أي‌يقطع أعظاءه النفيسة بالجذام. ولا يخفى ما فيه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الوافي</w:t>
      </w:r>
      <w:r w:rsidR="008A74EB" w:rsidRPr="00C9040A">
        <w:rPr>
          <w:rtl/>
        </w:rPr>
        <w:t xml:space="preserve"> ، ج 5 ، ص 761 ، ح 2996 ؛ </w:t>
      </w:r>
      <w:r w:rsidR="008A74EB" w:rsidRPr="00993B55">
        <w:rPr>
          <w:rStyle w:val="libFootnoteBoldChar"/>
          <w:rtl/>
        </w:rPr>
        <w:t>الوسائل</w:t>
      </w:r>
      <w:r w:rsidR="008A74EB" w:rsidRPr="00C9040A">
        <w:rPr>
          <w:rtl/>
        </w:rPr>
        <w:t xml:space="preserve"> ، ج 3 ، ص 248 ، ح 3537 ؛ </w:t>
      </w:r>
      <w:r w:rsidR="008A74EB" w:rsidRPr="00993B55">
        <w:rPr>
          <w:rStyle w:val="libFootnoteBoldChar"/>
          <w:rtl/>
        </w:rPr>
        <w:t>البحار</w:t>
      </w:r>
      <w:r w:rsidR="008A74EB" w:rsidRPr="00C9040A">
        <w:rPr>
          <w:rtl/>
        </w:rPr>
        <w:t xml:space="preserve"> ، ج 67 ، ص 211 ، ح 15.</w:t>
      </w:r>
    </w:p>
    <w:p w:rsidR="008A74EB" w:rsidRPr="00C9040A" w:rsidRDefault="006C577F" w:rsidP="004A4E41">
      <w:pPr>
        <w:pStyle w:val="libFootnote0"/>
        <w:rPr>
          <w:rtl/>
          <w:lang w:bidi="fa-IR"/>
        </w:rPr>
      </w:pPr>
      <w:r>
        <w:rPr>
          <w:rtl/>
        </w:rPr>
        <w:t>(5).</w:t>
      </w:r>
      <w:r w:rsidR="008A74EB" w:rsidRPr="00C9040A">
        <w:rPr>
          <w:rtl/>
        </w:rPr>
        <w:t xml:space="preserve"> في حاشية « ص » : « منزلاً » ، ويأباه تأنيث الضمير في « لا يبلغها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ز » : « بابتلاء »</w:t>
      </w:r>
      <w:r w:rsidR="008A74EB">
        <w:rPr>
          <w:rtl/>
        </w:rPr>
        <w:t>.</w:t>
      </w:r>
      <w:r w:rsidR="008A74EB" w:rsidRPr="00C9040A">
        <w:rPr>
          <w:rtl/>
        </w:rPr>
        <w:t xml:space="preserve"> وفي « </w:t>
      </w:r>
      <w:r w:rsidR="006D3162">
        <w:rPr>
          <w:rtl/>
        </w:rPr>
        <w:t xml:space="preserve">ه </w:t>
      </w:r>
      <w:r w:rsidR="008A74EB" w:rsidRPr="00C9040A">
        <w:rPr>
          <w:rtl/>
        </w:rPr>
        <w:t>» : « بالبلاء »</w:t>
      </w:r>
      <w:r w:rsidR="008A74EB">
        <w:rPr>
          <w:rtl/>
        </w:rPr>
        <w:t>.</w:t>
      </w:r>
    </w:p>
    <w:p w:rsidR="008A74EB" w:rsidRPr="00C9040A" w:rsidRDefault="006C577F" w:rsidP="00F27419">
      <w:pPr>
        <w:pStyle w:val="libFootnote0"/>
        <w:rPr>
          <w:rtl/>
          <w:lang w:bidi="fa-IR"/>
        </w:rPr>
      </w:pPr>
      <w:r>
        <w:rPr>
          <w:rtl/>
        </w:rPr>
        <w:t>(7).</w:t>
      </w:r>
      <w:r w:rsidR="008A74EB" w:rsidRPr="00C9040A">
        <w:rPr>
          <w:rtl/>
        </w:rPr>
        <w:t xml:space="preserve"> </w:t>
      </w:r>
      <w:r w:rsidR="008A74EB" w:rsidRPr="00993B55">
        <w:rPr>
          <w:rStyle w:val="libFootnoteBoldChar"/>
          <w:rtl/>
        </w:rPr>
        <w:t>الوافي</w:t>
      </w:r>
      <w:r w:rsidR="008A74EB" w:rsidRPr="00C9040A">
        <w:rPr>
          <w:rtl/>
        </w:rPr>
        <w:t xml:space="preserve"> ، ج 5 ، ص 770 ، ح 3017 ؛ </w:t>
      </w:r>
      <w:r w:rsidR="008A74EB" w:rsidRPr="00993B55">
        <w:rPr>
          <w:rStyle w:val="libFootnoteBoldChar"/>
          <w:rtl/>
        </w:rPr>
        <w:t>الوسائل</w:t>
      </w:r>
      <w:r w:rsidR="008A74EB" w:rsidRPr="00C9040A">
        <w:rPr>
          <w:rtl/>
        </w:rPr>
        <w:t xml:space="preserve"> ، ج 3 ، ص 258 ، ح 3570 ؛ وص 261 ، ح 3585 ؛ </w:t>
      </w:r>
      <w:r w:rsidR="008A74EB" w:rsidRPr="00993B55">
        <w:rPr>
          <w:rStyle w:val="libFootnoteBoldChar"/>
          <w:rtl/>
        </w:rPr>
        <w:t>البحار</w:t>
      </w:r>
      <w:r w:rsidR="008A74EB" w:rsidRPr="00C9040A">
        <w:rPr>
          <w:rtl/>
        </w:rPr>
        <w:t xml:space="preserve"> ، ج 67 ، ص 212 ، ح 16.</w:t>
      </w:r>
      <w:r w:rsidR="00F27419">
        <w:rPr>
          <w:rFonts w:hint="cs"/>
          <w:rtl/>
        </w:rPr>
        <w:t xml:space="preserve">               </w:t>
      </w:r>
      <w:r>
        <w:rPr>
          <w:rtl/>
        </w:rPr>
        <w:t>(8).</w:t>
      </w:r>
      <w:r w:rsidR="008A74EB" w:rsidRPr="00C9040A">
        <w:rPr>
          <w:rtl/>
        </w:rPr>
        <w:t xml:space="preserve"> في « </w:t>
      </w:r>
      <w:r w:rsidR="006D3162">
        <w:rPr>
          <w:rtl/>
        </w:rPr>
        <w:t xml:space="preserve">ه </w:t>
      </w:r>
      <w:r w:rsidR="008A74EB" w:rsidRPr="00C9040A">
        <w:rPr>
          <w:rtl/>
        </w:rPr>
        <w:t xml:space="preserve">» </w:t>
      </w:r>
      <w:r w:rsidR="008A74EB">
        <w:rPr>
          <w:rtl/>
        </w:rPr>
        <w:t xml:space="preserve">: </w:t>
      </w:r>
      <w:r w:rsidR="0084262C">
        <w:rPr>
          <w:rtl/>
        </w:rPr>
        <w:t>-</w:t>
      </w:r>
      <w:r w:rsidR="008A74EB" w:rsidRPr="00C9040A">
        <w:rPr>
          <w:rtl/>
        </w:rPr>
        <w:t xml:space="preserve"> « الأشعري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ز ، بس » : « الخيّاط » ، والمذكور في كتب الرجال هو أبويحيى الحنّاط. راجع : </w:t>
      </w:r>
      <w:r w:rsidR="008A74EB" w:rsidRPr="00993B55">
        <w:rPr>
          <w:rStyle w:val="libFootnoteBoldChar"/>
          <w:rtl/>
        </w:rPr>
        <w:t>رجال النجاشي</w:t>
      </w:r>
      <w:r w:rsidR="008A74EB" w:rsidRPr="00C9040A">
        <w:rPr>
          <w:rtl/>
        </w:rPr>
        <w:t xml:space="preserve"> ، ص 456 ، الرقم 1236 ؛ </w:t>
      </w:r>
      <w:r w:rsidR="008A74EB" w:rsidRPr="00993B55">
        <w:rPr>
          <w:rStyle w:val="libFootnoteBoldChar"/>
          <w:rtl/>
        </w:rPr>
        <w:t>رجال البرقي</w:t>
      </w:r>
      <w:r w:rsidR="008A74EB" w:rsidRPr="00C9040A">
        <w:rPr>
          <w:rtl/>
        </w:rPr>
        <w:t xml:space="preserve"> ، ص 32 ؛ </w:t>
      </w:r>
      <w:r w:rsidR="008A74EB" w:rsidRPr="0034021D">
        <w:rPr>
          <w:rStyle w:val="libFootnoteBoldChar"/>
          <w:rtl/>
        </w:rPr>
        <w:t>الفهرست للطوسي</w:t>
      </w:r>
      <w:r w:rsidR="008A74EB" w:rsidRPr="00C9040A">
        <w:rPr>
          <w:rtl/>
        </w:rPr>
        <w:t xml:space="preserve"> ، ص 535 ، الرقم 869 ؛ </w:t>
      </w:r>
      <w:r w:rsidR="008A74EB" w:rsidRPr="00993B55">
        <w:rPr>
          <w:rStyle w:val="libFootnoteBoldChar"/>
          <w:rtl/>
        </w:rPr>
        <w:t>رجال الطوسي</w:t>
      </w:r>
      <w:r w:rsidR="008A74EB" w:rsidRPr="00C9040A">
        <w:rPr>
          <w:rtl/>
        </w:rPr>
        <w:t xml:space="preserve"> ، ص 347 ، الرقم 5187.</w:t>
      </w:r>
    </w:p>
    <w:p w:rsidR="008A74EB" w:rsidRPr="00C9040A" w:rsidRDefault="006C577F" w:rsidP="004A4E41">
      <w:pPr>
        <w:pStyle w:val="libFootnote0"/>
        <w:rPr>
          <w:rtl/>
          <w:lang w:bidi="fa-IR"/>
        </w:rPr>
      </w:pPr>
      <w:r>
        <w:rPr>
          <w:rtl/>
        </w:rPr>
        <w:t>(10).</w:t>
      </w:r>
      <w:r w:rsidR="008A74EB" w:rsidRPr="00C9040A">
        <w:rPr>
          <w:rtl/>
        </w:rPr>
        <w:t xml:space="preserve"> في </w:t>
      </w:r>
      <w:r w:rsidR="008A74EB" w:rsidRPr="00993B55">
        <w:rPr>
          <w:rStyle w:val="libFootnoteBoldChar"/>
          <w:rtl/>
        </w:rPr>
        <w:t>مرآة العقول</w:t>
      </w:r>
      <w:r w:rsidR="008A74EB" w:rsidRPr="00C9040A">
        <w:rPr>
          <w:rtl/>
        </w:rPr>
        <w:t xml:space="preserve"> : « هذا كلام أبي يحيى ، وضمير « كان » عائد إلى « عبدالله »</w:t>
      </w:r>
      <w:r w:rsidR="008A74EB">
        <w:rPr>
          <w:rtl/>
        </w:rPr>
        <w:t>.</w:t>
      </w:r>
      <w:r w:rsidR="008A74EB" w:rsidRPr="00C9040A">
        <w:rPr>
          <w:rtl/>
        </w:rPr>
        <w:t xml:space="preserve"> والمسقام</w:t>
      </w:r>
      <w:r w:rsidR="008A74EB">
        <w:rPr>
          <w:rtl/>
        </w:rPr>
        <w:t xml:space="preserve"> </w:t>
      </w:r>
      <w:r w:rsidR="0084262C">
        <w:rPr>
          <w:rtl/>
        </w:rPr>
        <w:t>-</w:t>
      </w:r>
      <w:r w:rsidR="008A74EB">
        <w:rPr>
          <w:rtl/>
        </w:rPr>
        <w:t xml:space="preserve"> </w:t>
      </w:r>
      <w:r w:rsidR="008A74EB" w:rsidRPr="00C9040A">
        <w:rPr>
          <w:rtl/>
        </w:rPr>
        <w:t>بالكسر</w:t>
      </w:r>
      <w:r w:rsidR="008A74EB">
        <w:rPr>
          <w:rtl/>
        </w:rPr>
        <w:t xml:space="preserve"> </w:t>
      </w:r>
      <w:r w:rsidR="0084262C">
        <w:rPr>
          <w:rtl/>
        </w:rPr>
        <w:t>-</w:t>
      </w:r>
      <w:r w:rsidR="008A74EB">
        <w:rPr>
          <w:rtl/>
        </w:rPr>
        <w:t xml:space="preserve"> </w:t>
      </w:r>
      <w:r w:rsidR="008A74EB" w:rsidRPr="00C9040A">
        <w:rPr>
          <w:rtl/>
        </w:rPr>
        <w:t>الكثير السقم‌والمرض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F27419">
      <w:pPr>
        <w:pStyle w:val="libNormal0"/>
        <w:rPr>
          <w:rtl/>
          <w:lang w:bidi="fa-IR"/>
        </w:rPr>
      </w:pPr>
      <w:r w:rsidRPr="00C9040A">
        <w:rPr>
          <w:rtl/>
          <w:lang w:bidi="fa-IR"/>
        </w:rPr>
        <w:t xml:space="preserve">« يَا عَبْدَ اللهِ </w:t>
      </w:r>
      <w:r w:rsidR="006C577F" w:rsidRPr="006C577F">
        <w:rPr>
          <w:rStyle w:val="libFootnotenumChar"/>
          <w:rtl/>
        </w:rPr>
        <w:t>(1)</w:t>
      </w:r>
      <w:r w:rsidRPr="00C9040A">
        <w:rPr>
          <w:rtl/>
          <w:lang w:bidi="fa-IR"/>
        </w:rPr>
        <w:t xml:space="preserve"> ، لَوْ يَعْلَمُ الْمُؤْمِنُ مَا لَهُ مِنَ الْأَجْرِ </w:t>
      </w:r>
      <w:r w:rsidR="006C577F" w:rsidRPr="006C577F">
        <w:rPr>
          <w:rStyle w:val="libFootnotenumChar"/>
          <w:rtl/>
        </w:rPr>
        <w:t>(2)</w:t>
      </w:r>
      <w:r w:rsidRPr="00C9040A">
        <w:rPr>
          <w:rtl/>
          <w:lang w:bidi="fa-IR"/>
        </w:rPr>
        <w:t xml:space="preserve"> فِي الْمَصَائِبِ ، لَتَمَنّى </w:t>
      </w:r>
      <w:r w:rsidR="00C822D0">
        <w:rPr>
          <w:rtl/>
          <w:lang w:bidi="fa-IR"/>
        </w:rPr>
        <w:t>أَنَّهُ قُرِّضَ بِالْمَقَارِيضِ</w:t>
      </w:r>
      <w:r w:rsidRPr="00C9040A">
        <w:rPr>
          <w:rtl/>
          <w:lang w:bidi="fa-IR"/>
        </w:rPr>
        <w:t>»</w:t>
      </w:r>
      <w:r>
        <w:rPr>
          <w:rtl/>
          <w:lang w:bidi="fa-IR"/>
        </w:rPr>
        <w:t>.</w:t>
      </w:r>
      <w:r w:rsidRPr="00C9040A">
        <w:rPr>
          <w:rtl/>
          <w:lang w:bidi="fa-IR"/>
        </w:rPr>
        <w:t xml:space="preserve"> </w:t>
      </w:r>
      <w:r w:rsidR="006C577F" w:rsidRPr="006C577F">
        <w:rPr>
          <w:rStyle w:val="libFootnotenumChar"/>
          <w:rtl/>
        </w:rPr>
        <w:t>(3)</w:t>
      </w:r>
    </w:p>
    <w:p w:rsidR="008A74EB" w:rsidRPr="00C9040A" w:rsidRDefault="008A74EB" w:rsidP="008A74EB">
      <w:pPr>
        <w:pStyle w:val="libNormal"/>
        <w:rPr>
          <w:rtl/>
          <w:lang w:bidi="fa-IR"/>
        </w:rPr>
      </w:pPr>
      <w:r w:rsidRPr="00D17CE2">
        <w:rPr>
          <w:rtl/>
        </w:rPr>
        <w:t>2367</w:t>
      </w:r>
      <w:r w:rsidRPr="00261CB0">
        <w:rPr>
          <w:rStyle w:val="libBold2Char"/>
          <w:rtl/>
        </w:rPr>
        <w:t xml:space="preserve"> / 16.</w:t>
      </w:r>
      <w:r w:rsidRPr="00C9040A">
        <w:rPr>
          <w:rtl/>
          <w:lang w:bidi="fa-IR"/>
        </w:rPr>
        <w:t xml:space="preserve"> مُحَمَّدُ بْنُ يَحْيى ، عَنْ أَحْمَدَ بْنِ مُحَمَّدٍ ، عَنْ مُحَمَّدِ بْنِ سِنَانٍ ، عَنْ يُونُسَ بْنِ رِبَاطٍ ، قَالَ :</w:t>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 « إِنَّ أَهْلَ الْحَقِّ لَمْ يَزَالُوا مُنْذُ كَانُوا فِي شِدَّةٍ ، أَمَا إِنَّ ذلِكَ إِلى مُدَّةٍ قَلِيلَةٍ ، وَعَافِيَةٍ طَوِيلَةٍ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D17CE2">
        <w:rPr>
          <w:rtl/>
        </w:rPr>
        <w:t>2368</w:t>
      </w:r>
      <w:r w:rsidRPr="00261CB0">
        <w:rPr>
          <w:rStyle w:val="libBold2Char"/>
          <w:rtl/>
        </w:rPr>
        <w:t xml:space="preserve"> / 17.</w:t>
      </w:r>
      <w:r w:rsidRPr="00C9040A">
        <w:rPr>
          <w:rtl/>
          <w:lang w:bidi="fa-IR"/>
        </w:rPr>
        <w:t xml:space="preserve"> عَلِيُّ بْنُ إِبْرَاهِيمَ ، عَنْ أَبِيهِ ، عَنْ بَعْضِ أَصْحَابِهِ ، عَنْ حُسَيْنِ </w:t>
      </w:r>
      <w:r w:rsidR="006C577F" w:rsidRPr="006C577F">
        <w:rPr>
          <w:rStyle w:val="libFootnotenumChar"/>
          <w:rtl/>
        </w:rPr>
        <w:t>(5)</w:t>
      </w:r>
      <w:r w:rsidRPr="00C9040A">
        <w:rPr>
          <w:rtl/>
          <w:lang w:bidi="fa-IR"/>
        </w:rPr>
        <w:t xml:space="preserve"> بْنِ الْمُخْتَارِ ، عَنْ أَبِي أُسَامَةَ ، عَنْ حُمْرَانَ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إِنَّ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لَيَتَعَاهَدُ </w:t>
      </w:r>
      <w:r w:rsidR="006C577F" w:rsidRPr="006C577F">
        <w:rPr>
          <w:rStyle w:val="libFootnotenumChar"/>
          <w:rtl/>
        </w:rPr>
        <w:t>(6)</w:t>
      </w:r>
      <w:r w:rsidRPr="005B567D">
        <w:rPr>
          <w:rStyle w:val="libFootnotenumChar"/>
          <w:rtl/>
        </w:rPr>
        <w:t xml:space="preserve"> </w:t>
      </w:r>
      <w:r w:rsidRPr="00C9040A">
        <w:rPr>
          <w:rtl/>
          <w:lang w:bidi="fa-IR"/>
        </w:rPr>
        <w:t xml:space="preserve">الْمُؤْمِنَ بِالْبَلَاءِ ، كَمَا يَتَعَاهَدُ الرَّجُلُ أَهْلَهُ بِالْهَدِيَّةِ مِنَ الْغَيْبَةِ ، وَيَحْمِيهِ </w:t>
      </w:r>
      <w:r w:rsidR="006C577F" w:rsidRPr="006C577F">
        <w:rPr>
          <w:rStyle w:val="libFootnotenumChar"/>
          <w:rtl/>
        </w:rPr>
        <w:t>(7)</w:t>
      </w:r>
      <w:r w:rsidRPr="00C9040A">
        <w:rPr>
          <w:rtl/>
          <w:lang w:bidi="fa-IR"/>
        </w:rPr>
        <w:t xml:space="preserve"> الدُّنْيَا ، كَمَا يَحْمِي الطَّبِيبُ الْمَرِيضَ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Normal"/>
        <w:rPr>
          <w:rtl/>
          <w:lang w:bidi="fa-IR"/>
        </w:rPr>
      </w:pPr>
      <w:r w:rsidRPr="00D17CE2">
        <w:rPr>
          <w:rtl/>
        </w:rPr>
        <w:t>2369</w:t>
      </w:r>
      <w:r w:rsidRPr="00261CB0">
        <w:rPr>
          <w:rStyle w:val="libBold2Char"/>
          <w:rtl/>
        </w:rPr>
        <w:t xml:space="preserve"> / 18.</w:t>
      </w:r>
      <w:r w:rsidRPr="00C9040A">
        <w:rPr>
          <w:rtl/>
          <w:lang w:bidi="fa-IR"/>
        </w:rPr>
        <w:t xml:space="preserve"> عَلِيٌّ </w:t>
      </w:r>
      <w:r w:rsidR="006C577F" w:rsidRPr="006C577F">
        <w:rPr>
          <w:rStyle w:val="libFootnotenumChar"/>
          <w:rtl/>
        </w:rPr>
        <w:t>(9)</w:t>
      </w:r>
      <w:r w:rsidRPr="00C9040A">
        <w:rPr>
          <w:rtl/>
          <w:lang w:bidi="fa-IR"/>
        </w:rPr>
        <w:t xml:space="preserve"> ، عَنْ أَبِيهِ ، عَنْ عَبْدِ اللهِ بْنِ الْمُغِيرَةِ ، عَنْ مُحَمَّدِ بْنِ يَحْيَى الْخَثْعَمِيِّ </w:t>
      </w:r>
      <w:r w:rsidR="006C577F" w:rsidRPr="006C577F">
        <w:rPr>
          <w:rStyle w:val="libFootnotenumChar"/>
          <w:rtl/>
        </w:rPr>
        <w:t>(10)</w:t>
      </w:r>
      <w:r w:rsidRPr="00C9040A">
        <w:rPr>
          <w:rtl/>
          <w:lang w:bidi="fa-IR"/>
        </w:rPr>
        <w:t>،</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ب » : « أبوعبدالله </w:t>
      </w:r>
      <w:r w:rsidR="00117575" w:rsidRPr="00117575">
        <w:rPr>
          <w:rStyle w:val="libFootnoteAlaemChar"/>
          <w:rtl/>
        </w:rPr>
        <w:t xml:space="preserve">عليه‌السلام </w:t>
      </w:r>
      <w:r w:rsidR="008A74EB" w:rsidRPr="00C9040A">
        <w:rPr>
          <w:rtl/>
        </w:rPr>
        <w:t>» بدل « يا عبدالله »</w:t>
      </w:r>
      <w:r w:rsidR="008A74EB">
        <w:rPr>
          <w:rtl/>
        </w:rPr>
        <w:t>.</w:t>
      </w:r>
      <w:r w:rsidR="008A74EB" w:rsidRPr="00C9040A">
        <w:rPr>
          <w:rtl/>
        </w:rPr>
        <w:t xml:space="preserve"> وفي الوسائل </w:t>
      </w:r>
      <w:r w:rsidR="008A74EB">
        <w:rPr>
          <w:rtl/>
        </w:rPr>
        <w:t xml:space="preserve">: </w:t>
      </w:r>
      <w:r w:rsidR="0084262C">
        <w:rPr>
          <w:rtl/>
        </w:rPr>
        <w:t>-</w:t>
      </w:r>
      <w:r w:rsidR="008A74EB" w:rsidRPr="00C9040A">
        <w:rPr>
          <w:rtl/>
        </w:rPr>
        <w:t xml:space="preserve"> « يا عبدالله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البحار : « الجزاء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w:t>
      </w:r>
      <w:r w:rsidR="008A74EB" w:rsidRPr="00993B55">
        <w:rPr>
          <w:rStyle w:val="libFootnoteBoldChar"/>
          <w:rtl/>
        </w:rPr>
        <w:t>الوافي</w:t>
      </w:r>
      <w:r w:rsidR="008A74EB" w:rsidRPr="00C9040A">
        <w:rPr>
          <w:rtl/>
        </w:rPr>
        <w:t xml:space="preserve"> ، ج 5 ، ص 770 ، ح 3018 ؛ </w:t>
      </w:r>
      <w:r w:rsidR="008A74EB" w:rsidRPr="00993B55">
        <w:rPr>
          <w:rStyle w:val="libFootnoteBoldChar"/>
          <w:rtl/>
        </w:rPr>
        <w:t>الوسائل</w:t>
      </w:r>
      <w:r w:rsidR="008A74EB" w:rsidRPr="00C9040A">
        <w:rPr>
          <w:rtl/>
        </w:rPr>
        <w:t xml:space="preserve"> ، ج 3 ، ص 264 ، ح 3596 ؛ </w:t>
      </w:r>
      <w:r w:rsidR="008A74EB" w:rsidRPr="00993B55">
        <w:rPr>
          <w:rStyle w:val="libFootnoteBoldChar"/>
          <w:rtl/>
        </w:rPr>
        <w:t>البحار</w:t>
      </w:r>
      <w:r w:rsidR="008A74EB" w:rsidRPr="00C9040A">
        <w:rPr>
          <w:rtl/>
        </w:rPr>
        <w:t xml:space="preserve"> ، ج 67 ، ص 212 ، ح 17.</w:t>
      </w:r>
    </w:p>
    <w:p w:rsidR="008A74EB" w:rsidRPr="00C9040A" w:rsidRDefault="006C577F" w:rsidP="00F27419">
      <w:pPr>
        <w:pStyle w:val="libFootnote0"/>
        <w:rPr>
          <w:rtl/>
          <w:lang w:bidi="fa-IR"/>
        </w:rPr>
      </w:pPr>
      <w:r>
        <w:rPr>
          <w:rtl/>
        </w:rPr>
        <w:t>(4).</w:t>
      </w:r>
      <w:r w:rsidR="008A74EB" w:rsidRPr="00C9040A">
        <w:rPr>
          <w:rtl/>
        </w:rPr>
        <w:t xml:space="preserve"> </w:t>
      </w:r>
      <w:r w:rsidR="008A74EB" w:rsidRPr="00993B55">
        <w:rPr>
          <w:rStyle w:val="libFootnoteBoldChar"/>
          <w:rtl/>
        </w:rPr>
        <w:t>الغيبة</w:t>
      </w:r>
      <w:r w:rsidR="008A74EB" w:rsidRPr="00C9040A">
        <w:rPr>
          <w:rtl/>
        </w:rPr>
        <w:t xml:space="preserve"> للنعماني ، ص 285 ، ح 4 ، بسندين آخرين عن محمّد بن سنان. </w:t>
      </w:r>
      <w:r w:rsidR="008A74EB" w:rsidRPr="00993B55">
        <w:rPr>
          <w:rStyle w:val="libFootnoteBoldChar"/>
          <w:rtl/>
        </w:rPr>
        <w:t>المؤمن</w:t>
      </w:r>
      <w:r w:rsidR="008A74EB" w:rsidRPr="00C9040A">
        <w:rPr>
          <w:rtl/>
        </w:rPr>
        <w:t xml:space="preserve"> ، ص 20 ، ح 16 ، عن يونس بن رباط</w:t>
      </w:r>
      <w:r w:rsidR="00F27419">
        <w:rPr>
          <w:rFonts w:hint="cs"/>
          <w:rtl/>
        </w:rPr>
        <w:t>.</w:t>
      </w:r>
      <w:r w:rsidR="008A74EB" w:rsidRPr="00993B55">
        <w:rPr>
          <w:rStyle w:val="libFootnoteBoldChar"/>
          <w:rtl/>
        </w:rPr>
        <w:t>الوافي</w:t>
      </w:r>
      <w:r w:rsidR="008A74EB" w:rsidRPr="00C9040A">
        <w:rPr>
          <w:rtl/>
        </w:rPr>
        <w:t xml:space="preserve"> ، ج 5 ، ص 761 ، ح 2997 ؛ </w:t>
      </w:r>
      <w:r w:rsidR="008A74EB" w:rsidRPr="00993B55">
        <w:rPr>
          <w:rStyle w:val="libFootnoteBoldChar"/>
          <w:rtl/>
        </w:rPr>
        <w:t>الوسائل</w:t>
      </w:r>
      <w:r w:rsidR="008A74EB" w:rsidRPr="00C9040A">
        <w:rPr>
          <w:rtl/>
        </w:rPr>
        <w:t xml:space="preserve"> ، ج 3 ، ص 261 ، ح 3586 ؛ </w:t>
      </w:r>
      <w:r w:rsidR="008A74EB" w:rsidRPr="00993B55">
        <w:rPr>
          <w:rStyle w:val="libFootnoteBoldChar"/>
          <w:rtl/>
        </w:rPr>
        <w:t>البحار</w:t>
      </w:r>
      <w:r w:rsidR="008A74EB" w:rsidRPr="00C9040A">
        <w:rPr>
          <w:rtl/>
        </w:rPr>
        <w:t xml:space="preserve"> ، ج 67 ، ص 213 ، ح 18.</w:t>
      </w:r>
    </w:p>
    <w:p w:rsidR="008A74EB" w:rsidRPr="00C9040A" w:rsidRDefault="006C577F" w:rsidP="004A4E41">
      <w:pPr>
        <w:pStyle w:val="libFootnote0"/>
        <w:rPr>
          <w:rtl/>
          <w:lang w:bidi="fa-IR"/>
        </w:rPr>
      </w:pPr>
      <w:r>
        <w:rPr>
          <w:rtl/>
        </w:rPr>
        <w:t>(5).</w:t>
      </w:r>
      <w:r w:rsidR="008A74EB" w:rsidRPr="00C9040A">
        <w:rPr>
          <w:rtl/>
        </w:rPr>
        <w:t xml:space="preserve"> هكذا في النسخ. وفي المطبوع : « الحسين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تعهّده وتعاهده : تفقّده وأحدث العهد به. </w:t>
      </w:r>
      <w:r w:rsidR="008A74EB" w:rsidRPr="00993B55">
        <w:rPr>
          <w:rStyle w:val="libFootnoteBoldChar"/>
          <w:rtl/>
        </w:rPr>
        <w:t>القاموس المحيط</w:t>
      </w:r>
      <w:r w:rsidR="008A74EB" w:rsidRPr="00C9040A">
        <w:rPr>
          <w:rtl/>
        </w:rPr>
        <w:t xml:space="preserve"> ، ج 1 ، ص 441 ( عهد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أي يمنعه الدنيا. وحَمَى المريضَ ما يضرُّه حِمْيةً : منعه إيّاه. واحْتَمى هو من ذلك وتحمّى : امتنع. </w:t>
      </w:r>
      <w:r w:rsidR="008A74EB" w:rsidRPr="00993B55">
        <w:rPr>
          <w:rStyle w:val="libFootnoteBoldChar"/>
          <w:rtl/>
        </w:rPr>
        <w:t>لسان العرب</w:t>
      </w:r>
      <w:r w:rsidR="008A74EB" w:rsidRPr="00C9040A">
        <w:rPr>
          <w:rtl/>
        </w:rPr>
        <w:t xml:space="preserve"> ، ج 14 ، ص 197 ( حما )</w:t>
      </w:r>
      <w:r w:rsidR="008A74EB">
        <w:rPr>
          <w:rtl/>
        </w:rPr>
        <w:t>.</w:t>
      </w:r>
    </w:p>
    <w:p w:rsidR="008A74EB" w:rsidRPr="00C9040A" w:rsidRDefault="006C577F" w:rsidP="00F27419">
      <w:pPr>
        <w:pStyle w:val="libFootnote0"/>
        <w:rPr>
          <w:rtl/>
          <w:lang w:bidi="fa-IR"/>
        </w:rPr>
      </w:pPr>
      <w:r>
        <w:rPr>
          <w:rtl/>
        </w:rPr>
        <w:t>(8).</w:t>
      </w:r>
      <w:r w:rsidR="008A74EB" w:rsidRPr="00C9040A">
        <w:rPr>
          <w:rtl/>
        </w:rPr>
        <w:t xml:space="preserve"> </w:t>
      </w:r>
      <w:r w:rsidR="008A74EB" w:rsidRPr="00993B55">
        <w:rPr>
          <w:rStyle w:val="libFootnoteBoldChar"/>
          <w:rtl/>
        </w:rPr>
        <w:t>المؤمن</w:t>
      </w:r>
      <w:r w:rsidR="008A74EB" w:rsidRPr="00C9040A">
        <w:rPr>
          <w:rtl/>
        </w:rPr>
        <w:t xml:space="preserve"> ، ص 21 ، ذيل ح 21 ، عن حمران. </w:t>
      </w:r>
      <w:r w:rsidR="008A74EB" w:rsidRPr="00993B55">
        <w:rPr>
          <w:rStyle w:val="libFootnoteBoldChar"/>
          <w:rtl/>
        </w:rPr>
        <w:t>تحف العقول</w:t>
      </w:r>
      <w:r w:rsidR="008A74EB" w:rsidRPr="00C9040A">
        <w:rPr>
          <w:rtl/>
        </w:rPr>
        <w:t xml:space="preserve"> ، ص 300 ، وفيهما مع اختلاف يسير. وراجع : </w:t>
      </w:r>
      <w:r w:rsidR="008A74EB" w:rsidRPr="00993B55">
        <w:rPr>
          <w:rStyle w:val="libFootnoteBoldChar"/>
          <w:rtl/>
        </w:rPr>
        <w:t>المؤمن</w:t>
      </w:r>
      <w:r w:rsidR="008A74EB" w:rsidRPr="00C9040A">
        <w:rPr>
          <w:rtl/>
        </w:rPr>
        <w:t xml:space="preserve"> ، ص 22 ، ح 26 ، عن أبي عبدالله </w:t>
      </w:r>
      <w:r w:rsidR="00117575" w:rsidRPr="00117575">
        <w:rPr>
          <w:rStyle w:val="libFootnoteAlaemChar"/>
          <w:rtl/>
        </w:rPr>
        <w:t>عليه‌السلام</w:t>
      </w:r>
      <w:r w:rsidR="00F27419">
        <w:rPr>
          <w:rFonts w:hint="cs"/>
          <w:rtl/>
        </w:rPr>
        <w:t>.</w:t>
      </w:r>
      <w:r w:rsidR="008A74EB" w:rsidRPr="00993B55">
        <w:rPr>
          <w:rStyle w:val="libFootnoteBoldChar"/>
          <w:rtl/>
        </w:rPr>
        <w:t>الوافي</w:t>
      </w:r>
      <w:r w:rsidR="008A74EB" w:rsidRPr="00C9040A">
        <w:rPr>
          <w:rtl/>
        </w:rPr>
        <w:t xml:space="preserve"> ، ج 5 ، ص 769 ، ح 3015 ؛ </w:t>
      </w:r>
      <w:r w:rsidR="008A74EB" w:rsidRPr="00993B55">
        <w:rPr>
          <w:rStyle w:val="libFootnoteBoldChar"/>
          <w:rtl/>
        </w:rPr>
        <w:t>الوسائل</w:t>
      </w:r>
      <w:r w:rsidR="008A74EB" w:rsidRPr="00C9040A">
        <w:rPr>
          <w:rtl/>
        </w:rPr>
        <w:t xml:space="preserve"> ، ج 3 ، ص 263 ، ح 3592 ؛ </w:t>
      </w:r>
      <w:r w:rsidR="008A74EB" w:rsidRPr="00993B55">
        <w:rPr>
          <w:rStyle w:val="libFootnoteBoldChar"/>
          <w:rtl/>
        </w:rPr>
        <w:t>البحار</w:t>
      </w:r>
      <w:r w:rsidR="008A74EB" w:rsidRPr="00C9040A">
        <w:rPr>
          <w:rtl/>
        </w:rPr>
        <w:t xml:space="preserve"> ، ج 67 ، ص 213 ، ح 19.</w:t>
      </w:r>
      <w:r w:rsidR="00F27419">
        <w:rPr>
          <w:rFonts w:hint="cs"/>
          <w:rtl/>
        </w:rPr>
        <w:t xml:space="preserve">         </w:t>
      </w:r>
      <w:r>
        <w:rPr>
          <w:rtl/>
        </w:rPr>
        <w:t>(9).</w:t>
      </w:r>
      <w:r w:rsidR="008A74EB" w:rsidRPr="00C9040A">
        <w:rPr>
          <w:rtl/>
        </w:rPr>
        <w:t xml:space="preserve"> في « ب ، ج » : « عنه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 </w:t>
      </w:r>
      <w:r w:rsidR="006D3162">
        <w:rPr>
          <w:rtl/>
        </w:rPr>
        <w:t xml:space="preserve">ه </w:t>
      </w:r>
      <w:r w:rsidR="008A74EB" w:rsidRPr="00C9040A">
        <w:rPr>
          <w:rtl/>
        </w:rPr>
        <w:t xml:space="preserve">» </w:t>
      </w:r>
      <w:r w:rsidR="008A74EB">
        <w:rPr>
          <w:rtl/>
        </w:rPr>
        <w:t xml:space="preserve">: </w:t>
      </w:r>
      <w:r w:rsidR="0084262C">
        <w:rPr>
          <w:rtl/>
        </w:rPr>
        <w:t>-</w:t>
      </w:r>
      <w:r w:rsidR="008A74EB" w:rsidRPr="00C9040A">
        <w:rPr>
          <w:rtl/>
        </w:rPr>
        <w:t xml:space="preserve"> « الخثعمي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عَنْ مُحَمَّدِ بْنِ بُهْلُولٍ الْعَبْدِيِّ ، قَالَ :</w:t>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 « لَمْ يُؤْمِنِ </w:t>
      </w:r>
      <w:r w:rsidR="006C577F" w:rsidRPr="006C577F">
        <w:rPr>
          <w:rStyle w:val="libFootnotenumChar"/>
          <w:rtl/>
        </w:rPr>
        <w:t>(1)</w:t>
      </w:r>
      <w:r w:rsidRPr="00C9040A">
        <w:rPr>
          <w:rtl/>
          <w:lang w:bidi="fa-IR"/>
        </w:rPr>
        <w:t xml:space="preserve"> اللهُ </w:t>
      </w:r>
      <w:r w:rsidR="006C577F" w:rsidRPr="006C577F">
        <w:rPr>
          <w:rStyle w:val="libFootnotenumChar"/>
          <w:rtl/>
        </w:rPr>
        <w:t>(2)</w:t>
      </w:r>
      <w:r w:rsidRPr="00C9040A">
        <w:rPr>
          <w:rtl/>
          <w:lang w:bidi="fa-IR"/>
        </w:rPr>
        <w:t xml:space="preserve"> الْمُؤْمِنَ مِنْ هَزَاهِزِ </w:t>
      </w:r>
      <w:r w:rsidR="006C577F" w:rsidRPr="006C577F">
        <w:rPr>
          <w:rStyle w:val="libFootnotenumChar"/>
          <w:rtl/>
        </w:rPr>
        <w:t>(3)</w:t>
      </w:r>
      <w:r w:rsidRPr="00C9040A">
        <w:rPr>
          <w:rtl/>
          <w:lang w:bidi="fa-IR"/>
        </w:rPr>
        <w:t xml:space="preserve"> الدُّنْيَا ، وَلكِنَّهُ آمَنَهُ </w:t>
      </w:r>
      <w:r w:rsidR="006C577F" w:rsidRPr="006C577F">
        <w:rPr>
          <w:rStyle w:val="libFootnotenumChar"/>
          <w:rtl/>
        </w:rPr>
        <w:t>(4)</w:t>
      </w:r>
      <w:r w:rsidRPr="00C9040A">
        <w:rPr>
          <w:rtl/>
          <w:lang w:bidi="fa-IR"/>
        </w:rPr>
        <w:t xml:space="preserve"> مِنَ الْعَمى </w:t>
      </w:r>
      <w:r w:rsidR="006C577F" w:rsidRPr="006C577F">
        <w:rPr>
          <w:rStyle w:val="libFootnotenumChar"/>
          <w:rtl/>
        </w:rPr>
        <w:t>(5)</w:t>
      </w:r>
      <w:r w:rsidRPr="00C9040A">
        <w:rPr>
          <w:rtl/>
          <w:lang w:bidi="fa-IR"/>
        </w:rPr>
        <w:t xml:space="preserve"> فِيهَا وَالشَّقَاءِ </w:t>
      </w:r>
      <w:r w:rsidR="006C577F" w:rsidRPr="006C577F">
        <w:rPr>
          <w:rStyle w:val="libFootnotenumChar"/>
          <w:rtl/>
        </w:rPr>
        <w:t>(6)</w:t>
      </w:r>
      <w:r w:rsidRPr="005B567D">
        <w:rPr>
          <w:rStyle w:val="libFootnotenumChar"/>
          <w:rtl/>
        </w:rPr>
        <w:t xml:space="preserve"> </w:t>
      </w:r>
      <w:r w:rsidRPr="00C9040A">
        <w:rPr>
          <w:rtl/>
          <w:lang w:bidi="fa-IR"/>
        </w:rPr>
        <w:t>فِي الْآخِرَةِ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0F0400">
        <w:rPr>
          <w:rtl/>
        </w:rPr>
        <w:t>2370</w:t>
      </w:r>
      <w:r w:rsidRPr="00261CB0">
        <w:rPr>
          <w:rStyle w:val="libBold2Char"/>
          <w:rtl/>
        </w:rPr>
        <w:t xml:space="preserve"> / 19.</w:t>
      </w:r>
      <w:r w:rsidRPr="00C9040A">
        <w:rPr>
          <w:rtl/>
          <w:lang w:bidi="fa-IR"/>
        </w:rPr>
        <w:t xml:space="preserve"> عَلِيُّ بْنُ إِبْرَاهِيمَ ، عَنْ أَبِيهِ ، عَنِ ابْنِ أَبِي عُمَيْرٍ ، عَنْ حُسَيْنِ بْنِ نُعَيْمٍ الصَّحَّافِ ، عَنْ ذَرِيحٍ الْمُحَارِبِيِّ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كَانَ عَلِيُّ بْنُ الْحُسَيْنِ </w:t>
      </w:r>
      <w:r w:rsidRPr="0003660B">
        <w:rPr>
          <w:rStyle w:val="libAlaemChar"/>
          <w:rtl/>
        </w:rPr>
        <w:t>عليهما‌السلام</w:t>
      </w:r>
      <w:r w:rsidRPr="00C9040A">
        <w:rPr>
          <w:rtl/>
          <w:lang w:bidi="fa-IR"/>
        </w:rPr>
        <w:t xml:space="preserve"> يَقُولُ : إِنِّي لَأَكْرَهُ لِلرَّجُلِ </w:t>
      </w:r>
      <w:r w:rsidR="006C577F" w:rsidRPr="006C577F">
        <w:rPr>
          <w:rStyle w:val="libFootnotenumChar"/>
          <w:rtl/>
        </w:rPr>
        <w:t>(8)</w:t>
      </w:r>
      <w:r w:rsidRPr="00C9040A">
        <w:rPr>
          <w:rtl/>
          <w:lang w:bidi="fa-IR"/>
        </w:rPr>
        <w:t xml:space="preserve"> أَنْ يُعَافى فِي الدُّنْيَا ، فَلَا يُصِيبَهُ شَيْ‌ءٌ مِنَ الْمَصَائِبِ »</w:t>
      </w:r>
      <w:r>
        <w:rPr>
          <w:rtl/>
          <w:lang w:bidi="fa-IR"/>
        </w:rPr>
        <w:t>.</w:t>
      </w:r>
      <w:r w:rsidRPr="00C9040A">
        <w:rPr>
          <w:rtl/>
          <w:lang w:bidi="fa-IR"/>
        </w:rPr>
        <w:t xml:space="preserve"> </w:t>
      </w:r>
      <w:r w:rsidR="006C577F" w:rsidRPr="006C577F">
        <w:rPr>
          <w:rStyle w:val="libFootnotenumChar"/>
          <w:rtl/>
        </w:rPr>
        <w:t>(9)</w:t>
      </w:r>
      <w:r w:rsidRPr="00C9040A">
        <w:rPr>
          <w:rtl/>
          <w:lang w:bidi="fa-IR"/>
        </w:rPr>
        <w:t xml:space="preserve"> ‌</w:t>
      </w:r>
    </w:p>
    <w:p w:rsidR="008A74EB" w:rsidRPr="00C9040A" w:rsidRDefault="008A74EB" w:rsidP="008A74EB">
      <w:pPr>
        <w:pStyle w:val="libNormal"/>
        <w:rPr>
          <w:rtl/>
          <w:lang w:bidi="fa-IR"/>
        </w:rPr>
      </w:pPr>
      <w:r w:rsidRPr="000F0400">
        <w:rPr>
          <w:rtl/>
        </w:rPr>
        <w:t>2371</w:t>
      </w:r>
      <w:r w:rsidRPr="00261CB0">
        <w:rPr>
          <w:rStyle w:val="libBold2Char"/>
          <w:rtl/>
        </w:rPr>
        <w:t xml:space="preserve"> / 20.</w:t>
      </w:r>
      <w:r w:rsidRPr="00C9040A">
        <w:rPr>
          <w:rtl/>
          <w:lang w:bidi="fa-IR"/>
        </w:rPr>
        <w:t xml:space="preserve"> عِدَّةٌ مِنْ أَصْحَابِنَا ، عَنْ أَحْمَدَ بْنِ أَبِي عَبْدِ اللهِ ، عَنْ نُوحِ بْنِ شُعَيْبٍ ، عَنْ أَبِي دَاوُدَ الْمُسْتَرِقِّ رَفَعَهُ ، قَالَ :</w:t>
      </w:r>
    </w:p>
    <w:p w:rsidR="008A74EB" w:rsidRPr="00C9040A" w:rsidRDefault="008A74EB" w:rsidP="00DA363D">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دُعِيَ النَّبِيُّ </w:t>
      </w:r>
      <w:r w:rsidR="00DA363D" w:rsidRPr="004A4E41">
        <w:rPr>
          <w:rStyle w:val="libAlaemChar"/>
          <w:rtl/>
        </w:rPr>
        <w:t>صلى‌الله‌عليه‌وآله</w:t>
      </w:r>
      <w:r w:rsidR="00DA363D" w:rsidRPr="00C9040A">
        <w:rPr>
          <w:rtl/>
          <w:lang w:bidi="fa-IR"/>
        </w:rPr>
        <w:t xml:space="preserve"> </w:t>
      </w:r>
      <w:r w:rsidRPr="00C9040A">
        <w:rPr>
          <w:rtl/>
          <w:lang w:bidi="fa-IR"/>
        </w:rPr>
        <w:t xml:space="preserve">إِلى طَعَامٍ ، فَلَمَّا </w:t>
      </w:r>
      <w:r w:rsidR="006C577F" w:rsidRPr="006C577F">
        <w:rPr>
          <w:rStyle w:val="libFootnotenumChar"/>
          <w:rtl/>
        </w:rPr>
        <w:t>(10)</w:t>
      </w:r>
      <w:r w:rsidRPr="00C9040A">
        <w:rPr>
          <w:rtl/>
          <w:lang w:bidi="fa-IR"/>
        </w:rPr>
        <w:t xml:space="preserve"> دَخَلَ مَنْزِلَ الرَّجُلِ ، نَظَرَ إِلى دَجَاجَةٍ فَوْقَ حَائِطٍ </w:t>
      </w:r>
      <w:r w:rsidR="006C577F" w:rsidRPr="006C577F">
        <w:rPr>
          <w:rStyle w:val="libFootnotenumChar"/>
          <w:rtl/>
        </w:rPr>
        <w:t>(11)</w:t>
      </w:r>
      <w:r w:rsidRPr="00C9040A">
        <w:rPr>
          <w:rtl/>
          <w:lang w:bidi="fa-IR"/>
        </w:rPr>
        <w:t xml:space="preserve"> قَدْ بَاضَتْ ، فَتَقَعُ </w:t>
      </w:r>
      <w:r w:rsidR="006C577F" w:rsidRPr="006C577F">
        <w:rPr>
          <w:rStyle w:val="libFootnotenumChar"/>
          <w:rtl/>
        </w:rPr>
        <w:t>(12)</w:t>
      </w:r>
      <w:r w:rsidRPr="00C9040A">
        <w:rPr>
          <w:rtl/>
          <w:lang w:bidi="fa-IR"/>
        </w:rPr>
        <w:t xml:space="preserve"> الْبَيْضَةُ عَلى وَتِدٍ فِي حَائِطٍ ، فَثَبَتَتْ عَلَيْهِ ،</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9E2399" w:rsidTr="009E2399">
        <w:tc>
          <w:tcPr>
            <w:tcW w:w="4006" w:type="dxa"/>
          </w:tcPr>
          <w:p w:rsidR="009E2399" w:rsidRDefault="009E2399" w:rsidP="004A4E41">
            <w:pPr>
              <w:pStyle w:val="libFootnote0"/>
              <w:rPr>
                <w:rtl/>
              </w:rPr>
            </w:pPr>
            <w:r>
              <w:rPr>
                <w:rtl/>
              </w:rPr>
              <w:t xml:space="preserve">(1). </w:t>
            </w:r>
            <w:r w:rsidRPr="00C9040A">
              <w:rPr>
                <w:rtl/>
              </w:rPr>
              <w:t xml:space="preserve">في « </w:t>
            </w:r>
            <w:r>
              <w:rPr>
                <w:rtl/>
              </w:rPr>
              <w:t xml:space="preserve">ه </w:t>
            </w:r>
            <w:r w:rsidRPr="00C9040A">
              <w:rPr>
                <w:rtl/>
              </w:rPr>
              <w:t>» : « لا يؤمن »</w:t>
            </w:r>
            <w:r>
              <w:rPr>
                <w:rtl/>
              </w:rPr>
              <w:t>.</w:t>
            </w:r>
          </w:p>
        </w:tc>
        <w:tc>
          <w:tcPr>
            <w:tcW w:w="4006" w:type="dxa"/>
          </w:tcPr>
          <w:p w:rsidR="009E2399" w:rsidRDefault="009E2399" w:rsidP="004A4E41">
            <w:pPr>
              <w:pStyle w:val="libFootnote0"/>
              <w:rPr>
                <w:rtl/>
              </w:rPr>
            </w:pPr>
            <w:r>
              <w:rPr>
                <w:rtl/>
              </w:rPr>
              <w:t xml:space="preserve">(2). </w:t>
            </w:r>
            <w:r w:rsidRPr="00C9040A">
              <w:rPr>
                <w:rtl/>
              </w:rPr>
              <w:t xml:space="preserve">في « </w:t>
            </w:r>
            <w:r>
              <w:rPr>
                <w:rtl/>
              </w:rPr>
              <w:t xml:space="preserve">ه </w:t>
            </w:r>
            <w:r w:rsidRPr="00C9040A">
              <w:rPr>
                <w:rtl/>
              </w:rPr>
              <w:t xml:space="preserve">» </w:t>
            </w:r>
            <w:r>
              <w:rPr>
                <w:rtl/>
              </w:rPr>
              <w:t>: -</w:t>
            </w:r>
            <w:r w:rsidRPr="00C9040A">
              <w:rPr>
                <w:rtl/>
              </w:rPr>
              <w:t xml:space="preserve"> « الله »</w:t>
            </w:r>
            <w:r>
              <w:rPr>
                <w:rtl/>
              </w:rPr>
              <w:t>.</w:t>
            </w:r>
          </w:p>
        </w:tc>
      </w:tr>
    </w:tbl>
    <w:p w:rsidR="008A74EB" w:rsidRPr="00C9040A" w:rsidRDefault="006C577F" w:rsidP="00A220E9">
      <w:pPr>
        <w:pStyle w:val="libFootnote0"/>
        <w:rPr>
          <w:rtl/>
          <w:lang w:bidi="fa-IR"/>
        </w:rPr>
      </w:pPr>
      <w:r>
        <w:rPr>
          <w:rtl/>
        </w:rPr>
        <w:t>(3).</w:t>
      </w:r>
      <w:r w:rsidR="008A74EB" w:rsidRPr="00C9040A">
        <w:rPr>
          <w:rtl/>
        </w:rPr>
        <w:t xml:space="preserve"> « الهزاهز » : الفِتَن يهتزّ فيها الناس والهَزْهَزةُ : تحريك البلايا والحروب للناس. </w:t>
      </w:r>
      <w:r w:rsidR="008A74EB" w:rsidRPr="00993B55">
        <w:rPr>
          <w:rStyle w:val="libFootnoteBoldChar"/>
          <w:rtl/>
        </w:rPr>
        <w:t>لسان العرب</w:t>
      </w:r>
      <w:r w:rsidR="008A74EB" w:rsidRPr="00C9040A">
        <w:rPr>
          <w:rtl/>
        </w:rPr>
        <w:t xml:space="preserve"> ، ج 5 ، ص 424 ؛ </w:t>
      </w:r>
      <w:r w:rsidR="008A74EB" w:rsidRPr="00993B55">
        <w:rPr>
          <w:rStyle w:val="libFootnoteBoldChar"/>
          <w:rtl/>
        </w:rPr>
        <w:t>المصباح المنير</w:t>
      </w:r>
      <w:r w:rsidR="008A74EB" w:rsidRPr="00C9040A">
        <w:rPr>
          <w:rtl/>
        </w:rPr>
        <w:t xml:space="preserve"> ، ص 637 ( هزز )</w:t>
      </w:r>
      <w:r w:rsidR="008A74EB">
        <w:rPr>
          <w:rtl/>
        </w:rPr>
        <w:t>.</w:t>
      </w:r>
      <w:r w:rsidR="00A220E9">
        <w:rPr>
          <w:rFonts w:hint="cs"/>
          <w:rtl/>
        </w:rPr>
        <w:t xml:space="preserve">                     </w:t>
      </w:r>
      <w:r>
        <w:rPr>
          <w:rtl/>
        </w:rPr>
        <w:t>(4).</w:t>
      </w:r>
      <w:r w:rsidR="008A74EB" w:rsidRPr="00C9040A">
        <w:rPr>
          <w:rtl/>
        </w:rPr>
        <w:t xml:space="preserve"> في « بر » : « أمنه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w:t>
      </w:r>
      <w:r w:rsidR="008A74EB" w:rsidRPr="00993B55">
        <w:rPr>
          <w:rStyle w:val="libFootnoteBoldChar"/>
          <w:rtl/>
        </w:rPr>
        <w:t>الوافي</w:t>
      </w:r>
      <w:r w:rsidR="008A74EB" w:rsidRPr="00C9040A">
        <w:rPr>
          <w:rtl/>
        </w:rPr>
        <w:t xml:space="preserve"> : « والمراد بالعمى عمى القلب ، قال الله عزّوجلّ : </w:t>
      </w:r>
      <w:r w:rsidR="008A74EB" w:rsidRPr="00A220E9">
        <w:rPr>
          <w:rStyle w:val="libFootnoteAlaemChar"/>
          <w:rtl/>
        </w:rPr>
        <w:t>(</w:t>
      </w:r>
      <w:r w:rsidR="008A74EB" w:rsidRPr="00883DD5">
        <w:rPr>
          <w:rStyle w:val="libFootnoteAieChar"/>
          <w:rFonts w:hint="cs"/>
          <w:rtl/>
        </w:rPr>
        <w:t xml:space="preserve"> </w:t>
      </w:r>
      <w:r w:rsidR="008A74EB" w:rsidRPr="00883DD5">
        <w:rPr>
          <w:rStyle w:val="libFootnoteAieChar"/>
          <w:rtl/>
        </w:rPr>
        <w:t>فَإِنَّه</w:t>
      </w:r>
      <w:r w:rsidR="00A220E9">
        <w:rPr>
          <w:rStyle w:val="libFootnoteAieChar"/>
          <w:rFonts w:hint="cs"/>
          <w:rtl/>
        </w:rPr>
        <w:t>َ</w:t>
      </w:r>
      <w:r w:rsidR="008A74EB" w:rsidRPr="00883DD5">
        <w:rPr>
          <w:rStyle w:val="libFootnoteAieChar"/>
          <w:rtl/>
        </w:rPr>
        <w:t>ا ل</w:t>
      </w:r>
      <w:r w:rsidR="00A220E9">
        <w:rPr>
          <w:rStyle w:val="libFootnoteAieChar"/>
          <w:rFonts w:hint="cs"/>
          <w:rtl/>
        </w:rPr>
        <w:t>َ</w:t>
      </w:r>
      <w:r w:rsidR="008A74EB" w:rsidRPr="00883DD5">
        <w:rPr>
          <w:rStyle w:val="libFootnoteAieChar"/>
          <w:rtl/>
        </w:rPr>
        <w:t>ا تَعْمَى الْأَبْص</w:t>
      </w:r>
      <w:r w:rsidR="00A220E9">
        <w:rPr>
          <w:rStyle w:val="libFootnoteAieChar"/>
          <w:rFonts w:hint="cs"/>
          <w:rtl/>
        </w:rPr>
        <w:t>َ</w:t>
      </w:r>
      <w:r w:rsidR="008A74EB" w:rsidRPr="00883DD5">
        <w:rPr>
          <w:rStyle w:val="libFootnoteAieChar"/>
          <w:rtl/>
        </w:rPr>
        <w:t>ارُ وَل</w:t>
      </w:r>
      <w:r w:rsidR="00A220E9">
        <w:rPr>
          <w:rStyle w:val="libFootnoteAieChar"/>
          <w:rFonts w:hint="cs"/>
          <w:rtl/>
        </w:rPr>
        <w:t>َ</w:t>
      </w:r>
      <w:r w:rsidR="008A74EB" w:rsidRPr="00883DD5">
        <w:rPr>
          <w:rStyle w:val="libFootnoteAieChar"/>
          <w:rtl/>
        </w:rPr>
        <w:t>كِنْ تَعْمَى الْقُلُوبُ الَّتِي فِي الصُّدُورِ</w:t>
      </w:r>
      <w:r w:rsidR="008A74EB" w:rsidRPr="00883DD5">
        <w:rPr>
          <w:rStyle w:val="libFootnoteAieChar"/>
          <w:rFonts w:hint="cs"/>
          <w:rtl/>
        </w:rPr>
        <w:t xml:space="preserve"> </w:t>
      </w:r>
      <w:r w:rsidR="008A74EB" w:rsidRPr="00A220E9">
        <w:rPr>
          <w:rStyle w:val="libFootnoteAlaemChar"/>
          <w:rtl/>
        </w:rPr>
        <w:t>)</w:t>
      </w:r>
      <w:r w:rsidR="008A74EB" w:rsidRPr="00C9040A">
        <w:rPr>
          <w:rtl/>
        </w:rPr>
        <w:t xml:space="preserve"> [ الحجّ (22) : 46 ]</w:t>
      </w:r>
      <w:r w:rsidR="008A74EB">
        <w:rPr>
          <w:rtl/>
        </w:rPr>
        <w:t>.</w:t>
      </w:r>
      <w:r w:rsidR="008A74EB" w:rsidRPr="00C9040A">
        <w:rPr>
          <w:rtl/>
        </w:rPr>
        <w:t xml:space="preserve"> وأمّا عمى البصر فيه مكرمة ؛ روى الصدوق</w:t>
      </w:r>
      <w:r w:rsidR="008A74EB" w:rsidRPr="00A220E9">
        <w:rPr>
          <w:rtl/>
        </w:rPr>
        <w:t xml:space="preserve"> </w:t>
      </w:r>
      <w:r w:rsidR="00117575" w:rsidRPr="00A220E9">
        <w:rPr>
          <w:rtl/>
        </w:rPr>
        <w:t>رحمه</w:t>
      </w:r>
      <w:r w:rsidR="00A220E9">
        <w:rPr>
          <w:rFonts w:hint="cs"/>
          <w:rtl/>
        </w:rPr>
        <w:t xml:space="preserve"> </w:t>
      </w:r>
      <w:r w:rsidR="00117575" w:rsidRPr="00A220E9">
        <w:rPr>
          <w:rtl/>
        </w:rPr>
        <w:t>‌الله</w:t>
      </w:r>
      <w:r w:rsidR="008A74EB" w:rsidRPr="00C9040A">
        <w:rPr>
          <w:rtl/>
        </w:rPr>
        <w:t xml:space="preserve"> في </w:t>
      </w:r>
      <w:r w:rsidR="008A74EB" w:rsidRPr="00993B55">
        <w:rPr>
          <w:rStyle w:val="libFootnoteBoldChar"/>
          <w:rtl/>
        </w:rPr>
        <w:t>الخصال</w:t>
      </w:r>
      <w:r w:rsidR="008A74EB" w:rsidRPr="00C9040A">
        <w:rPr>
          <w:rtl/>
        </w:rPr>
        <w:t xml:space="preserve"> [ ص 13 ، ح 45 ] بإسناده عن أبي جعفر </w:t>
      </w:r>
      <w:r w:rsidR="00117575" w:rsidRPr="00117575">
        <w:rPr>
          <w:rStyle w:val="libFootnoteAlaemChar"/>
          <w:rtl/>
        </w:rPr>
        <w:t>عليه‌السلام</w:t>
      </w:r>
      <w:r w:rsidR="008A74EB" w:rsidRPr="00C9040A">
        <w:rPr>
          <w:rtl/>
        </w:rPr>
        <w:t xml:space="preserve"> : إذا أحبّ الله عبداً نظر إليه ، فإذا نظر إليه أتحفه بواحدة من ثلاث [ في </w:t>
      </w:r>
      <w:r w:rsidR="008A74EB" w:rsidRPr="00993B55">
        <w:rPr>
          <w:rStyle w:val="libFootnoteBoldChar"/>
          <w:rtl/>
        </w:rPr>
        <w:t>الخصال</w:t>
      </w:r>
      <w:r w:rsidR="008A74EB" w:rsidRPr="00C9040A">
        <w:rPr>
          <w:rtl/>
        </w:rPr>
        <w:t xml:space="preserve"> : من ثلاثة بواحدة ] : إمّا صداع ، وإمّا عمى ، وإمّا رمد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حاشية « ز » : « والتعب »</w:t>
      </w:r>
      <w:r w:rsidR="008A74EB">
        <w:rPr>
          <w:rtl/>
        </w:rPr>
        <w:t>.</w:t>
      </w:r>
    </w:p>
    <w:p w:rsidR="008A74EB" w:rsidRPr="00C9040A" w:rsidRDefault="006C577F" w:rsidP="00A220E9">
      <w:pPr>
        <w:pStyle w:val="libFootnote0"/>
        <w:rPr>
          <w:rtl/>
          <w:lang w:bidi="fa-IR"/>
        </w:rPr>
      </w:pPr>
      <w:r>
        <w:rPr>
          <w:rtl/>
        </w:rPr>
        <w:t>(7).</w:t>
      </w:r>
      <w:r w:rsidR="008A74EB" w:rsidRPr="00C9040A">
        <w:rPr>
          <w:rtl/>
        </w:rPr>
        <w:t xml:space="preserve"> </w:t>
      </w:r>
      <w:r w:rsidR="008A74EB" w:rsidRPr="00993B55">
        <w:rPr>
          <w:rStyle w:val="libFootnoteBoldChar"/>
          <w:rtl/>
        </w:rPr>
        <w:t>صفات الشيعة</w:t>
      </w:r>
      <w:r w:rsidR="008A74EB" w:rsidRPr="00C9040A">
        <w:rPr>
          <w:rtl/>
        </w:rPr>
        <w:t xml:space="preserve"> ، ص 33 ، ح 50 ؛ و</w:t>
      </w:r>
      <w:r w:rsidR="008A74EB" w:rsidRPr="00993B55">
        <w:rPr>
          <w:rStyle w:val="libFootnoteBoldChar"/>
          <w:rtl/>
        </w:rPr>
        <w:t xml:space="preserve">الغيبة </w:t>
      </w:r>
      <w:r w:rsidR="008A74EB" w:rsidRPr="00C9040A">
        <w:rPr>
          <w:rtl/>
        </w:rPr>
        <w:t>للنعماني ، ص 211 ، ضمن ح 19 ، بسند آخر ، مع اختلاف يسير</w:t>
      </w:r>
      <w:r w:rsidR="00A220E9">
        <w:rPr>
          <w:rFonts w:hint="cs"/>
          <w:rtl/>
        </w:rPr>
        <w:t>.</w:t>
      </w:r>
      <w:r w:rsidR="008A74EB" w:rsidRPr="00993B55">
        <w:rPr>
          <w:rStyle w:val="libFootnoteBoldChar"/>
          <w:rtl/>
        </w:rPr>
        <w:t>الوافي</w:t>
      </w:r>
      <w:r w:rsidR="008A74EB" w:rsidRPr="00C9040A">
        <w:rPr>
          <w:rtl/>
        </w:rPr>
        <w:t xml:space="preserve"> ، ج 5 ، ص 776 ، ح 3026 ؛ </w:t>
      </w:r>
      <w:r w:rsidR="008A74EB" w:rsidRPr="00993B55">
        <w:rPr>
          <w:rStyle w:val="libFootnoteBoldChar"/>
          <w:rtl/>
        </w:rPr>
        <w:t>البحار</w:t>
      </w:r>
      <w:r w:rsidR="008A74EB" w:rsidRPr="00C9040A">
        <w:rPr>
          <w:rtl/>
        </w:rPr>
        <w:t xml:space="preserve"> ، ج 67 ، ص 213 ، ح 20.</w:t>
      </w:r>
    </w:p>
    <w:tbl>
      <w:tblPr>
        <w:tblStyle w:val="TableGrid"/>
        <w:bidiVisual/>
        <w:tblW w:w="0" w:type="auto"/>
        <w:tblLook w:val="04A0" w:firstRow="1" w:lastRow="0" w:firstColumn="1" w:lastColumn="0" w:noHBand="0" w:noVBand="1"/>
      </w:tblPr>
      <w:tblGrid>
        <w:gridCol w:w="4006"/>
        <w:gridCol w:w="4006"/>
      </w:tblGrid>
      <w:tr w:rsidR="00A220E9" w:rsidTr="00A220E9">
        <w:tc>
          <w:tcPr>
            <w:tcW w:w="4006" w:type="dxa"/>
          </w:tcPr>
          <w:p w:rsidR="00A220E9" w:rsidRDefault="00A220E9" w:rsidP="004A4E41">
            <w:pPr>
              <w:pStyle w:val="libFootnote0"/>
              <w:rPr>
                <w:rtl/>
              </w:rPr>
            </w:pPr>
            <w:r>
              <w:rPr>
                <w:rtl/>
              </w:rPr>
              <w:t>(8).</w:t>
            </w:r>
            <w:r w:rsidRPr="00C9040A">
              <w:rPr>
                <w:rtl/>
              </w:rPr>
              <w:t xml:space="preserve"> في « </w:t>
            </w:r>
            <w:r>
              <w:rPr>
                <w:rtl/>
              </w:rPr>
              <w:t xml:space="preserve">ه </w:t>
            </w:r>
            <w:r w:rsidRPr="00C9040A">
              <w:rPr>
                <w:rtl/>
              </w:rPr>
              <w:t>» : « للعبد »</w:t>
            </w:r>
            <w:r>
              <w:rPr>
                <w:rtl/>
              </w:rPr>
              <w:t>.</w:t>
            </w:r>
          </w:p>
        </w:tc>
        <w:tc>
          <w:tcPr>
            <w:tcW w:w="4006" w:type="dxa"/>
          </w:tcPr>
          <w:p w:rsidR="00A220E9" w:rsidRDefault="00A220E9" w:rsidP="004A4E41">
            <w:pPr>
              <w:pStyle w:val="libFootnote0"/>
              <w:rPr>
                <w:rtl/>
              </w:rPr>
            </w:pPr>
            <w:r>
              <w:rPr>
                <w:rtl/>
              </w:rPr>
              <w:t>(9).</w:t>
            </w:r>
            <w:r w:rsidRPr="00C9040A">
              <w:rPr>
                <w:rtl/>
              </w:rPr>
              <w:t xml:space="preserve"> </w:t>
            </w:r>
            <w:r w:rsidRPr="00993B55">
              <w:rPr>
                <w:rStyle w:val="libFootnoteBoldChar"/>
                <w:rtl/>
              </w:rPr>
              <w:t>الوافي</w:t>
            </w:r>
            <w:r w:rsidRPr="00C9040A">
              <w:rPr>
                <w:rtl/>
              </w:rPr>
              <w:t xml:space="preserve"> ، ج 5 ، ص 767 ، ح 3010.</w:t>
            </w:r>
          </w:p>
        </w:tc>
      </w:tr>
      <w:tr w:rsidR="00A220E9" w:rsidTr="00A220E9">
        <w:tc>
          <w:tcPr>
            <w:tcW w:w="4006" w:type="dxa"/>
          </w:tcPr>
          <w:p w:rsidR="00A220E9" w:rsidRDefault="00A220E9" w:rsidP="004A4E41">
            <w:pPr>
              <w:pStyle w:val="libFootnote0"/>
              <w:rPr>
                <w:rtl/>
              </w:rPr>
            </w:pPr>
            <w:r>
              <w:rPr>
                <w:rtl/>
              </w:rPr>
              <w:t>(10).</w:t>
            </w:r>
            <w:r w:rsidRPr="00C9040A">
              <w:rPr>
                <w:rtl/>
              </w:rPr>
              <w:t xml:space="preserve"> في « </w:t>
            </w:r>
            <w:r>
              <w:rPr>
                <w:rtl/>
              </w:rPr>
              <w:t xml:space="preserve">ه </w:t>
            </w:r>
            <w:r w:rsidRPr="00C9040A">
              <w:rPr>
                <w:rtl/>
              </w:rPr>
              <w:t>» : + « أن »</w:t>
            </w:r>
            <w:r>
              <w:rPr>
                <w:rtl/>
              </w:rPr>
              <w:t>.</w:t>
            </w:r>
          </w:p>
        </w:tc>
        <w:tc>
          <w:tcPr>
            <w:tcW w:w="4006" w:type="dxa"/>
          </w:tcPr>
          <w:p w:rsidR="00A220E9" w:rsidRDefault="00A220E9" w:rsidP="004A4E41">
            <w:pPr>
              <w:pStyle w:val="libFootnote0"/>
              <w:rPr>
                <w:rtl/>
              </w:rPr>
            </w:pPr>
            <w:r>
              <w:rPr>
                <w:rtl/>
              </w:rPr>
              <w:t>(11).</w:t>
            </w:r>
            <w:r w:rsidRPr="00C9040A">
              <w:rPr>
                <w:rtl/>
              </w:rPr>
              <w:t xml:space="preserve"> في « ب » : « حائطه »</w:t>
            </w:r>
            <w:r>
              <w:rPr>
                <w:rtl/>
              </w:rPr>
              <w:t>.</w:t>
            </w:r>
          </w:p>
        </w:tc>
      </w:tr>
    </w:tbl>
    <w:p w:rsidR="008A74EB" w:rsidRPr="00C9040A" w:rsidRDefault="006C577F" w:rsidP="004A4E41">
      <w:pPr>
        <w:pStyle w:val="libFootnote0"/>
        <w:rPr>
          <w:rtl/>
          <w:lang w:bidi="fa-IR"/>
        </w:rPr>
      </w:pPr>
      <w:r>
        <w:rPr>
          <w:rtl/>
        </w:rPr>
        <w:t>(12).</w:t>
      </w:r>
      <w:r w:rsidR="008A74EB" w:rsidRPr="00C9040A">
        <w:rPr>
          <w:rtl/>
        </w:rPr>
        <w:t xml:space="preserve"> في « د » : « فوقعت »</w:t>
      </w:r>
      <w:r w:rsidR="008A74EB">
        <w:rPr>
          <w:rtl/>
        </w:rPr>
        <w:t>.</w:t>
      </w:r>
      <w:r w:rsidR="008A74EB" w:rsidRPr="00C9040A">
        <w:rPr>
          <w:rtl/>
        </w:rPr>
        <w:t xml:space="preserve"> وفي « ض » : « فتقع »</w:t>
      </w:r>
      <w:r w:rsidR="008A74EB">
        <w:rPr>
          <w:rtl/>
        </w:rPr>
        <w:t>.</w:t>
      </w:r>
      <w:r w:rsidR="008A74EB" w:rsidRPr="00C9040A">
        <w:rPr>
          <w:rtl/>
        </w:rPr>
        <w:t xml:space="preserve"> وفي الوافي : « فوقع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وَلَمْ تَسْقُطْ ، وَلَمْ تَنْكَسِرْ ، فَتَعَجَّبَ النَّبِيُّ </w:t>
      </w:r>
      <w:r w:rsidR="004A4E41" w:rsidRPr="004A4E41">
        <w:rPr>
          <w:rStyle w:val="libAlaemChar"/>
          <w:rtl/>
        </w:rPr>
        <w:t>صلى‌الله‌عليه‌وآله</w:t>
      </w:r>
      <w:r w:rsidRPr="00C9040A">
        <w:rPr>
          <w:rtl/>
          <w:lang w:bidi="fa-IR"/>
        </w:rPr>
        <w:t xml:space="preserve"> مِنْهَ</w:t>
      </w:r>
      <w:r>
        <w:rPr>
          <w:rtl/>
          <w:lang w:bidi="fa-IR"/>
        </w:rPr>
        <w:t>ا ، فَقَالَ لَهُ الرَّجُلُ : أَ</w:t>
      </w:r>
      <w:r w:rsidRPr="00C9040A">
        <w:rPr>
          <w:rtl/>
          <w:lang w:bidi="fa-IR"/>
        </w:rPr>
        <w:t xml:space="preserve">عَجِبْتَ </w:t>
      </w:r>
      <w:r w:rsidR="006C577F" w:rsidRPr="006C577F">
        <w:rPr>
          <w:rStyle w:val="libFootnotenumChar"/>
          <w:rtl/>
        </w:rPr>
        <w:t>(1)</w:t>
      </w:r>
      <w:r w:rsidRPr="00C9040A">
        <w:rPr>
          <w:rtl/>
          <w:lang w:bidi="fa-IR"/>
        </w:rPr>
        <w:t xml:space="preserve"> مِنْ هذِهِ الْبَيْضَةِ</w:t>
      </w:r>
      <w:r>
        <w:rPr>
          <w:rtl/>
          <w:lang w:bidi="fa-IR"/>
        </w:rPr>
        <w:t>؟</w:t>
      </w:r>
      <w:r w:rsidRPr="00C9040A">
        <w:rPr>
          <w:rtl/>
          <w:lang w:bidi="fa-IR"/>
        </w:rPr>
        <w:t xml:space="preserve"> فَوَ الَّذِي بَعَثَكَ بِالْحَقِّ مَا رُزِئْتُ </w:t>
      </w:r>
      <w:r w:rsidR="006C577F" w:rsidRPr="006C577F">
        <w:rPr>
          <w:rStyle w:val="libFootnotenumChar"/>
          <w:rtl/>
        </w:rPr>
        <w:t>(2)</w:t>
      </w:r>
      <w:r w:rsidRPr="00C9040A">
        <w:rPr>
          <w:rtl/>
          <w:lang w:bidi="fa-IR"/>
        </w:rPr>
        <w:t xml:space="preserve"> شَيْئاً قَطُّ »</w:t>
      </w:r>
      <w:r>
        <w:rPr>
          <w:rtl/>
          <w:lang w:bidi="fa-IR"/>
        </w:rPr>
        <w:t>.</w:t>
      </w:r>
    </w:p>
    <w:p w:rsidR="008A74EB" w:rsidRPr="00C9040A" w:rsidRDefault="008A74EB" w:rsidP="003E4001">
      <w:pPr>
        <w:pStyle w:val="libNormal"/>
        <w:rPr>
          <w:rtl/>
          <w:lang w:bidi="fa-IR"/>
        </w:rPr>
      </w:pPr>
      <w:r w:rsidRPr="00C9040A">
        <w:rPr>
          <w:rtl/>
          <w:lang w:bidi="fa-IR"/>
        </w:rPr>
        <w:t xml:space="preserve">قَالَ </w:t>
      </w:r>
      <w:r w:rsidR="006C577F" w:rsidRPr="006C577F">
        <w:rPr>
          <w:rStyle w:val="libFootnotenumChar"/>
          <w:rtl/>
        </w:rPr>
        <w:t>(3)</w:t>
      </w:r>
      <w:r w:rsidRPr="00C9040A">
        <w:rPr>
          <w:rtl/>
          <w:lang w:bidi="fa-IR"/>
        </w:rPr>
        <w:t xml:space="preserve"> : « فَنَهَضَ رَسُولُ اللهِ </w:t>
      </w:r>
      <w:r w:rsidR="006C577F" w:rsidRPr="006C577F">
        <w:rPr>
          <w:rStyle w:val="libFootnotenumChar"/>
          <w:rtl/>
        </w:rPr>
        <w:t>(4)</w:t>
      </w:r>
      <w:r w:rsidRPr="00C9040A">
        <w:rPr>
          <w:rtl/>
          <w:lang w:bidi="fa-IR"/>
        </w:rPr>
        <w:t xml:space="preserve"> </w:t>
      </w:r>
      <w:r w:rsidR="004A4E41" w:rsidRPr="004A4E41">
        <w:rPr>
          <w:rStyle w:val="libAlaemChar"/>
          <w:rtl/>
        </w:rPr>
        <w:t>صلى‌الله‌عليه‌وآله</w:t>
      </w:r>
      <w:r w:rsidRPr="00C9040A">
        <w:rPr>
          <w:rtl/>
          <w:lang w:bidi="fa-IR"/>
        </w:rPr>
        <w:t xml:space="preserve"> ، وَلَمْ يَأْكُلْ مِنْ طَعَامِهِ شَيْئاً ، وَقَالَ : مَنْ لَمْ يُرْزَأْ </w:t>
      </w:r>
      <w:r w:rsidR="006C577F" w:rsidRPr="006C577F">
        <w:rPr>
          <w:rStyle w:val="libFootnotenumChar"/>
          <w:rtl/>
        </w:rPr>
        <w:t>(5)</w:t>
      </w:r>
      <w:r w:rsidRPr="00C9040A">
        <w:rPr>
          <w:rtl/>
          <w:lang w:bidi="fa-IR"/>
        </w:rPr>
        <w:t xml:space="preserve"> فَمَا لِلّهِ فِيهِ مِنْ </w:t>
      </w:r>
      <w:r w:rsidR="006C577F" w:rsidRPr="006C577F">
        <w:rPr>
          <w:rStyle w:val="libFootnotenumChar"/>
          <w:rtl/>
        </w:rPr>
        <w:t>(6)</w:t>
      </w:r>
      <w:r w:rsidR="003E4001" w:rsidRPr="00C9040A">
        <w:rPr>
          <w:rtl/>
          <w:lang w:bidi="fa-IR"/>
        </w:rPr>
        <w:t xml:space="preserve"> </w:t>
      </w:r>
      <w:r w:rsidRPr="00C9040A">
        <w:rPr>
          <w:rtl/>
          <w:lang w:bidi="fa-IR"/>
        </w:rPr>
        <w:t>حَاجَةٍ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0F0400">
        <w:rPr>
          <w:rtl/>
        </w:rPr>
        <w:t>2372</w:t>
      </w:r>
      <w:r w:rsidRPr="00261CB0">
        <w:rPr>
          <w:rStyle w:val="libBold2Char"/>
          <w:rtl/>
        </w:rPr>
        <w:t xml:space="preserve"> / 21.</w:t>
      </w:r>
      <w:r w:rsidRPr="00C9040A">
        <w:rPr>
          <w:rtl/>
          <w:lang w:bidi="fa-IR"/>
        </w:rPr>
        <w:t xml:space="preserve"> عَنْهُ </w:t>
      </w:r>
      <w:r w:rsidR="006C577F" w:rsidRPr="006C577F">
        <w:rPr>
          <w:rStyle w:val="libFootnotenumChar"/>
          <w:rtl/>
        </w:rPr>
        <w:t>(8)</w:t>
      </w:r>
      <w:r w:rsidRPr="00C9040A">
        <w:rPr>
          <w:rtl/>
          <w:lang w:bidi="fa-IR"/>
        </w:rPr>
        <w:t xml:space="preserve"> ، عَنْ عَلِيِّ بْنِ الْحَكَمِ ، عَنْ أَبَانِ بْنِ عُثْمَانَ ، عَنْ عَبْدِ الرَّحْمنِ بْنِ أَبِي عَبْدِ اللهِ وَأَبِي بَصِيرٍ </w:t>
      </w:r>
      <w:r w:rsidR="006C577F" w:rsidRPr="006C577F">
        <w:rPr>
          <w:rStyle w:val="libFootnotenumChar"/>
          <w:rtl/>
        </w:rPr>
        <w:t>(9)</w:t>
      </w:r>
      <w:r w:rsidRPr="00C9040A">
        <w:rPr>
          <w:rtl/>
          <w:lang w:bidi="fa-IR"/>
        </w:rPr>
        <w:t xml:space="preserve">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لَاحَاجَةَ لِلّهِ فِيمَنْ لَيْسَ لَهُ </w:t>
      </w:r>
      <w:r w:rsidR="006C577F" w:rsidRPr="006C577F">
        <w:rPr>
          <w:rStyle w:val="libFootnotenumChar"/>
          <w:rtl/>
        </w:rPr>
        <w:t>(10)</w:t>
      </w:r>
      <w:r w:rsidRPr="00C9040A">
        <w:rPr>
          <w:rtl/>
          <w:lang w:bidi="fa-IR"/>
        </w:rPr>
        <w:t xml:space="preserve"> فِي‌</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w:t>
      </w:r>
      <w:r w:rsidR="006D3162">
        <w:rPr>
          <w:rtl/>
        </w:rPr>
        <w:t xml:space="preserve">ه </w:t>
      </w:r>
      <w:r w:rsidR="008A74EB" w:rsidRPr="00C9040A">
        <w:rPr>
          <w:rtl/>
        </w:rPr>
        <w:t>» : « عجبت » بدون الهمزة.</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ما رُزِئْتُ شيئاً » ، أي ما ا</w:t>
      </w:r>
      <w:r w:rsidR="003E4001">
        <w:rPr>
          <w:rFonts w:hint="cs"/>
          <w:rtl/>
        </w:rPr>
        <w:t>ُ</w:t>
      </w:r>
      <w:r w:rsidR="008A74EB" w:rsidRPr="00C9040A">
        <w:rPr>
          <w:rtl/>
        </w:rPr>
        <w:t>خذت وما ا</w:t>
      </w:r>
      <w:r w:rsidR="003E4001">
        <w:rPr>
          <w:rFonts w:hint="cs"/>
          <w:rtl/>
        </w:rPr>
        <w:t>ُ</w:t>
      </w:r>
      <w:r w:rsidR="008A74EB" w:rsidRPr="00C9040A">
        <w:rPr>
          <w:rtl/>
        </w:rPr>
        <w:t xml:space="preserve">صبت وما نُقِصتُ شيئاً ؛ من الرُّزْء ، وهو النقص ، يقال : ما رزأتُ من مالك شيئاً ، أي ما نقصت ولا أخذت ، وما رَزَأَ فلاناً شيئاً ، أي ما أصاب من ماله شيئاً ولانقص منه ، ومنه الرُّزء بمعنى المصيبة. راجع : </w:t>
      </w:r>
      <w:r w:rsidR="008A74EB" w:rsidRPr="00993B55">
        <w:rPr>
          <w:rStyle w:val="libFootnoteBoldChar"/>
          <w:rtl/>
        </w:rPr>
        <w:t>الصحاح</w:t>
      </w:r>
      <w:r w:rsidR="008A74EB" w:rsidRPr="00C9040A">
        <w:rPr>
          <w:rtl/>
        </w:rPr>
        <w:t xml:space="preserve"> ، ج 1 ، ص 53 ؛ </w:t>
      </w:r>
      <w:r w:rsidR="008A74EB" w:rsidRPr="00993B55">
        <w:rPr>
          <w:rStyle w:val="libFootnoteBoldChar"/>
          <w:rtl/>
        </w:rPr>
        <w:t>النهاية</w:t>
      </w:r>
      <w:r w:rsidR="008A74EB" w:rsidRPr="00C9040A">
        <w:rPr>
          <w:rtl/>
        </w:rPr>
        <w:t xml:space="preserve"> ، ج 2 ، ص 218 ؛ </w:t>
      </w:r>
      <w:r w:rsidR="008A74EB" w:rsidRPr="00993B55">
        <w:rPr>
          <w:rStyle w:val="libFootnoteBoldChar"/>
          <w:rtl/>
        </w:rPr>
        <w:t>لسان العرب</w:t>
      </w:r>
      <w:r w:rsidR="008A74EB" w:rsidRPr="00C9040A">
        <w:rPr>
          <w:rtl/>
        </w:rPr>
        <w:t xml:space="preserve"> ، ج 1 ، ص 85 ( رزأ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ب ، د ، ز ، ض ، </w:t>
      </w:r>
      <w:r w:rsidR="006D3162">
        <w:rPr>
          <w:rtl/>
        </w:rPr>
        <w:t xml:space="preserve">ه </w:t>
      </w:r>
      <w:r w:rsidR="008A74EB" w:rsidRPr="00C9040A">
        <w:rPr>
          <w:rtl/>
        </w:rPr>
        <w:t xml:space="preserve">، بر ، بس ، بف » والوافي </w:t>
      </w:r>
      <w:r w:rsidR="008A74EB">
        <w:rPr>
          <w:rtl/>
        </w:rPr>
        <w:t xml:space="preserve">: </w:t>
      </w:r>
      <w:r w:rsidR="0084262C">
        <w:rPr>
          <w:rtl/>
        </w:rPr>
        <w:t>-</w:t>
      </w:r>
      <w:r w:rsidR="008A74EB" w:rsidRPr="00C9040A">
        <w:rPr>
          <w:rtl/>
        </w:rPr>
        <w:t xml:space="preserve"> « قال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ز ، ض ، </w:t>
      </w:r>
      <w:r w:rsidR="006D3162">
        <w:rPr>
          <w:rtl/>
        </w:rPr>
        <w:t xml:space="preserve">ه </w:t>
      </w:r>
      <w:r w:rsidR="008A74EB" w:rsidRPr="00C9040A">
        <w:rPr>
          <w:rtl/>
        </w:rPr>
        <w:t>» : « النبيّ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ب ، بر » : « لم يُرْزَ » ، وهو بقلب الهمزة ياءً تخفيفاً وحذفها بالجزم.</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 </w:t>
      </w:r>
      <w:r w:rsidR="006D3162">
        <w:rPr>
          <w:rtl/>
        </w:rPr>
        <w:t xml:space="preserve">ه </w:t>
      </w:r>
      <w:r w:rsidR="008A74EB" w:rsidRPr="00C9040A">
        <w:rPr>
          <w:rtl/>
        </w:rPr>
        <w:t xml:space="preserve">» </w:t>
      </w:r>
      <w:r w:rsidR="008A74EB">
        <w:rPr>
          <w:rtl/>
        </w:rPr>
        <w:t xml:space="preserve">: </w:t>
      </w:r>
      <w:r w:rsidR="0084262C">
        <w:rPr>
          <w:rtl/>
        </w:rPr>
        <w:t>-</w:t>
      </w:r>
      <w:r w:rsidR="008A74EB" w:rsidRPr="00C9040A">
        <w:rPr>
          <w:rtl/>
        </w:rPr>
        <w:t xml:space="preserve"> « من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الوافي</w:t>
      </w:r>
      <w:r w:rsidR="008A74EB" w:rsidRPr="00C9040A">
        <w:rPr>
          <w:rtl/>
        </w:rPr>
        <w:t xml:space="preserve"> ، ج 5 ، ص 767 ، ح 3011 ؛ </w:t>
      </w:r>
      <w:r w:rsidR="008A74EB" w:rsidRPr="00993B55">
        <w:rPr>
          <w:rStyle w:val="libFootnoteBoldChar"/>
          <w:rtl/>
        </w:rPr>
        <w:t>البحار</w:t>
      </w:r>
      <w:r w:rsidR="008A74EB" w:rsidRPr="00C9040A">
        <w:rPr>
          <w:rtl/>
        </w:rPr>
        <w:t xml:space="preserve"> ، ج 22 ، ص 130 ، ح 107 ؛ وج 67 ، ص 214 ، ح 21.</w:t>
      </w:r>
    </w:p>
    <w:p w:rsidR="008A74EB" w:rsidRPr="00C9040A" w:rsidRDefault="006C577F" w:rsidP="004A4E41">
      <w:pPr>
        <w:pStyle w:val="libFootnote0"/>
        <w:rPr>
          <w:rtl/>
          <w:lang w:bidi="fa-IR"/>
        </w:rPr>
      </w:pPr>
      <w:r>
        <w:rPr>
          <w:rtl/>
        </w:rPr>
        <w:t>(8).</w:t>
      </w:r>
      <w:r w:rsidR="008A74EB" w:rsidRPr="00C9040A">
        <w:rPr>
          <w:rtl/>
        </w:rPr>
        <w:t xml:space="preserve"> الضمير راجع إلى أحمد بن أبي‌عبدالله المذكور في السند السابق.</w:t>
      </w:r>
    </w:p>
    <w:p w:rsidR="008A74EB" w:rsidRPr="00C9040A" w:rsidRDefault="006C577F" w:rsidP="004A4E41">
      <w:pPr>
        <w:pStyle w:val="libFootnote0"/>
        <w:rPr>
          <w:rtl/>
          <w:lang w:bidi="fa-IR"/>
        </w:rPr>
      </w:pPr>
      <w:r>
        <w:rPr>
          <w:rtl/>
        </w:rPr>
        <w:t>(9).</w:t>
      </w:r>
      <w:r w:rsidR="008A74EB" w:rsidRPr="00C9040A">
        <w:rPr>
          <w:rtl/>
        </w:rPr>
        <w:t xml:space="preserve"> هكذا ظاهر </w:t>
      </w:r>
      <w:r w:rsidR="008A74EB" w:rsidRPr="00993B55">
        <w:rPr>
          <w:rStyle w:val="libFootnoteBoldChar"/>
          <w:rtl/>
        </w:rPr>
        <w:t>الوافي</w:t>
      </w:r>
      <w:r w:rsidR="008A74EB" w:rsidRPr="00C9040A">
        <w:rPr>
          <w:rtl/>
        </w:rPr>
        <w:t xml:space="preserve"> ، المؤيّد بالمخطوطتين من </w:t>
      </w:r>
      <w:r w:rsidR="008A74EB" w:rsidRPr="00993B55">
        <w:rPr>
          <w:rStyle w:val="libFootnoteBoldChar"/>
          <w:rtl/>
        </w:rPr>
        <w:t>الكافي</w:t>
      </w:r>
      <w:r w:rsidR="008A74EB" w:rsidRPr="00C9040A">
        <w:rPr>
          <w:rtl/>
        </w:rPr>
        <w:t xml:space="preserve"> كما في هامش </w:t>
      </w:r>
      <w:r w:rsidR="008A74EB" w:rsidRPr="00993B55">
        <w:rPr>
          <w:rStyle w:val="libFootnoteBoldChar"/>
          <w:rtl/>
        </w:rPr>
        <w:t>الوافي</w:t>
      </w:r>
      <w:r w:rsidR="008A74EB" w:rsidRPr="00C9040A">
        <w:rPr>
          <w:rtl/>
        </w:rPr>
        <w:t xml:space="preserve">. وفي « ب ، ج ، د » : « عبدالرحمن ، عن أبي‌عبدالله </w:t>
      </w:r>
      <w:r w:rsidR="00117575" w:rsidRPr="00117575">
        <w:rPr>
          <w:rStyle w:val="libFootnoteAlaemChar"/>
          <w:rtl/>
        </w:rPr>
        <w:t>عليه‌السلام</w:t>
      </w:r>
      <w:r w:rsidR="008A74EB" w:rsidRPr="00C9040A">
        <w:rPr>
          <w:rtl/>
        </w:rPr>
        <w:t xml:space="preserve"> قال : قال رسول الله »</w:t>
      </w:r>
      <w:r w:rsidR="008A74EB">
        <w:rPr>
          <w:rtl/>
        </w:rPr>
        <w:t>.</w:t>
      </w:r>
      <w:r w:rsidR="008A74EB" w:rsidRPr="00C9040A">
        <w:rPr>
          <w:rtl/>
        </w:rPr>
        <w:t xml:space="preserve"> وفي « ز ، ص ، ض ، </w:t>
      </w:r>
      <w:r w:rsidR="006D3162">
        <w:rPr>
          <w:rtl/>
        </w:rPr>
        <w:t xml:space="preserve">ه </w:t>
      </w:r>
      <w:r w:rsidR="008A74EB" w:rsidRPr="00C9040A">
        <w:rPr>
          <w:rtl/>
        </w:rPr>
        <w:t xml:space="preserve">، بف » والمطبوع : « عبدالرحمن ، عن أبي عبدالله </w:t>
      </w:r>
      <w:r w:rsidR="00117575" w:rsidRPr="00117575">
        <w:rPr>
          <w:rStyle w:val="libFootnoteAlaemChar"/>
          <w:rtl/>
        </w:rPr>
        <w:t>عليه‌السلام</w:t>
      </w:r>
      <w:r w:rsidR="008A74EB" w:rsidRPr="00C9040A">
        <w:rPr>
          <w:rtl/>
        </w:rPr>
        <w:t xml:space="preserve"> ، وأبي بصير ، عن أبي عبدالله </w:t>
      </w:r>
      <w:r w:rsidR="00117575" w:rsidRPr="00117575">
        <w:rPr>
          <w:rStyle w:val="libFootnoteAlaemChar"/>
          <w:rtl/>
        </w:rPr>
        <w:t>عليه‌السلام</w:t>
      </w:r>
      <w:r w:rsidR="008A74EB" w:rsidRPr="00C9040A">
        <w:rPr>
          <w:rtl/>
        </w:rPr>
        <w:t xml:space="preserve"> »</w:t>
      </w:r>
      <w:r w:rsidR="008A74EB">
        <w:rPr>
          <w:rtl/>
        </w:rPr>
        <w:t>.</w:t>
      </w:r>
      <w:r w:rsidR="008A74EB" w:rsidRPr="00C9040A">
        <w:rPr>
          <w:rtl/>
        </w:rPr>
        <w:t xml:space="preserve"> وفي « بر » : « عبدالرحمن وأبي‌بصير ، عن أبي‌عبدالله </w:t>
      </w:r>
      <w:r w:rsidR="00117575" w:rsidRPr="00117575">
        <w:rPr>
          <w:rStyle w:val="libFootnoteAlaemChar"/>
          <w:rtl/>
        </w:rPr>
        <w:t>عليه‌السلام</w:t>
      </w:r>
      <w:r w:rsidR="008A74EB" w:rsidRPr="00C9040A">
        <w:rPr>
          <w:rtl/>
        </w:rPr>
        <w:t xml:space="preserve"> »</w:t>
      </w:r>
      <w:r w:rsidR="008A74EB">
        <w:rPr>
          <w:rtl/>
        </w:rPr>
        <w:t>.</w:t>
      </w:r>
      <w:r w:rsidR="008A74EB" w:rsidRPr="00C9040A">
        <w:rPr>
          <w:rtl/>
        </w:rPr>
        <w:t xml:space="preserve"> وفي « بس » : « عبدالرحمن ، عن أبي‌عبدالله </w:t>
      </w:r>
      <w:r w:rsidR="00117575" w:rsidRPr="00117575">
        <w:rPr>
          <w:rStyle w:val="libFootnoteAlaemChar"/>
          <w:rtl/>
        </w:rPr>
        <w:t xml:space="preserve">عليه‌السلام </w:t>
      </w:r>
      <w:r w:rsidR="008A74EB" w:rsidRPr="00C9040A">
        <w:rPr>
          <w:rtl/>
        </w:rPr>
        <w:t>، وأبي‌بصير ، قال : قال رسول الله »</w:t>
      </w:r>
      <w:r w:rsidR="008A74EB">
        <w:rPr>
          <w:rtl/>
        </w:rPr>
        <w:t>.</w:t>
      </w:r>
    </w:p>
    <w:p w:rsidR="008A74EB" w:rsidRPr="00C9040A" w:rsidRDefault="008A74EB" w:rsidP="004A4E41">
      <w:pPr>
        <w:pStyle w:val="libFootnote0"/>
        <w:rPr>
          <w:rtl/>
          <w:lang w:bidi="fa-IR"/>
        </w:rPr>
      </w:pPr>
      <w:r w:rsidRPr="00323A39">
        <w:rPr>
          <w:rtl/>
        </w:rPr>
        <w:t xml:space="preserve">والظاهر أنّ الصواب ما أثبتناه ، كما يظهر بأدنى تأمّل ؛ فإنّه يستبعد وقوع العطف على نحو ماورد في المطبوع والنسخ الموافقة له ؛ لعدم مبرّر له. ووقوع عبارة « أبي‌عبدالله » في انتهاء السند قبل أبي‌بصير ، يؤكّد وقوع التحريف في السند. هذا ، وقد أكثر أبان [ بن عثمان ] من الرواية عن عبدالرحمن بن أبي عبدالله ، راجع : </w:t>
      </w:r>
      <w:r w:rsidRPr="00993B55">
        <w:rPr>
          <w:rStyle w:val="libFootnoteBoldChar"/>
          <w:rtl/>
        </w:rPr>
        <w:t>معجم رجال الحديث</w:t>
      </w:r>
      <w:r w:rsidRPr="00323A39">
        <w:rPr>
          <w:rtl/>
        </w:rPr>
        <w:t xml:space="preserve"> ، ج 1 ، ص 388 </w:t>
      </w:r>
      <w:r w:rsidR="0084262C" w:rsidRPr="00323A39">
        <w:rPr>
          <w:rtl/>
        </w:rPr>
        <w:t>-</w:t>
      </w:r>
      <w:r w:rsidRPr="00323A39">
        <w:rPr>
          <w:rtl/>
        </w:rPr>
        <w:t xml:space="preserve"> 391 ؛ وص 421 </w:t>
      </w:r>
      <w:r w:rsidR="0084262C" w:rsidRPr="00323A39">
        <w:rPr>
          <w:rtl/>
        </w:rPr>
        <w:t>-</w:t>
      </w:r>
      <w:r w:rsidRPr="00323A39">
        <w:rPr>
          <w:rtl/>
        </w:rPr>
        <w:t xml:space="preserve"> 425.</w:t>
      </w:r>
    </w:p>
    <w:p w:rsidR="008A74EB" w:rsidRPr="00C9040A" w:rsidRDefault="006C577F" w:rsidP="000E39AF">
      <w:pPr>
        <w:pStyle w:val="libFootnote0"/>
        <w:rPr>
          <w:rtl/>
          <w:lang w:bidi="fa-IR"/>
        </w:rPr>
      </w:pPr>
      <w:r>
        <w:rPr>
          <w:rtl/>
        </w:rPr>
        <w:t>(10).</w:t>
      </w:r>
      <w:r w:rsidR="008A74EB" w:rsidRPr="00C9040A">
        <w:rPr>
          <w:rtl/>
        </w:rPr>
        <w:t xml:space="preserve"> في </w:t>
      </w:r>
      <w:r w:rsidR="008A74EB" w:rsidRPr="00993B55">
        <w:rPr>
          <w:rStyle w:val="libFootnoteBoldChar"/>
          <w:rtl/>
        </w:rPr>
        <w:t>مرآة</w:t>
      </w:r>
      <w:r w:rsidR="008A74EB" w:rsidRPr="00C9040A">
        <w:rPr>
          <w:rtl/>
        </w:rPr>
        <w:t xml:space="preserve"> العقول ، ج 9 ، ص 338 : « ليس له ، أي لله. وإرجاعه إلى المؤمن كم</w:t>
      </w:r>
      <w:r w:rsidR="000E39AF">
        <w:rPr>
          <w:rtl/>
        </w:rPr>
        <w:t>ا زعم بعيد. والظاهر</w:t>
      </w:r>
      <w:r w:rsidR="008A74EB" w:rsidRPr="00C9040A">
        <w:rPr>
          <w:rtl/>
        </w:rPr>
        <w:t>أنّ المراد</w:t>
      </w:r>
      <w:r w:rsidR="000E39AF">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مَالِهِ وَبَدَنِهِ </w:t>
      </w:r>
      <w:r w:rsidR="006C577F" w:rsidRPr="006C577F">
        <w:rPr>
          <w:rStyle w:val="libFootnotenumChar"/>
          <w:rtl/>
        </w:rPr>
        <w:t>(1)</w:t>
      </w:r>
      <w:r w:rsidRPr="00C9040A">
        <w:rPr>
          <w:rtl/>
          <w:lang w:bidi="fa-IR"/>
        </w:rPr>
        <w:t xml:space="preserve"> نَصِيبٌ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0F0400">
        <w:rPr>
          <w:rtl/>
        </w:rPr>
        <w:t>2373</w:t>
      </w:r>
      <w:r w:rsidRPr="00261CB0">
        <w:rPr>
          <w:rStyle w:val="libBold2Char"/>
          <w:rtl/>
        </w:rPr>
        <w:t xml:space="preserve"> / 22.</w:t>
      </w:r>
      <w:r w:rsidRPr="00C9040A">
        <w:rPr>
          <w:rtl/>
          <w:lang w:bidi="fa-IR"/>
        </w:rPr>
        <w:t xml:space="preserve"> مُحَمَّدُ بْنُ يَحْيى ، عَنْ أَحْمَدَ بْنِ مُحَمَّدٍ ، عَنْ مُحَمَّدِ بْنِ سِنَانٍ ، عَنْ عُثْمَانَ النَّوَّاءِ ، عَمَّنْ ذَكَرَهُ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w:t>
      </w:r>
      <w:r w:rsidR="006C577F" w:rsidRPr="006C577F">
        <w:rPr>
          <w:rStyle w:val="libFootnotenumChar"/>
          <w:rtl/>
        </w:rPr>
        <w:t>(3)</w:t>
      </w:r>
      <w:r w:rsidRPr="00C9040A">
        <w:rPr>
          <w:rtl/>
          <w:lang w:bidi="fa-IR"/>
        </w:rPr>
        <w:t xml:space="preserve"> ، قَالَ : « إِنَّ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يَبْتَلِي الْمُؤْمِنَ بِكُلِّ بَلِيَّةٍ ، وَيُمِيتُهُ بِكُلِّ مِيتَةٍ ، وَلَا يَبْ</w:t>
      </w:r>
      <w:r>
        <w:rPr>
          <w:rtl/>
          <w:lang w:bidi="fa-IR"/>
        </w:rPr>
        <w:t>تَلِيهِ بِذَهَابِ عَقْلِهِ ، أَ</w:t>
      </w:r>
      <w:r w:rsidRPr="00C9040A">
        <w:rPr>
          <w:rtl/>
          <w:lang w:bidi="fa-IR"/>
        </w:rPr>
        <w:t xml:space="preserve">مَا تَرى أَيُّوبَ </w:t>
      </w:r>
      <w:r w:rsidR="006C577F" w:rsidRPr="006C577F">
        <w:rPr>
          <w:rStyle w:val="libFootnotenumChar"/>
          <w:rtl/>
        </w:rPr>
        <w:t>(4)</w:t>
      </w:r>
      <w:r w:rsidRPr="00C9040A">
        <w:rPr>
          <w:rtl/>
          <w:lang w:bidi="fa-IR"/>
        </w:rPr>
        <w:t xml:space="preserve"> كَيْفَ سُلِّطَ </w:t>
      </w:r>
      <w:r w:rsidR="006C577F" w:rsidRPr="006C577F">
        <w:rPr>
          <w:rStyle w:val="libFootnotenumChar"/>
          <w:rtl/>
        </w:rPr>
        <w:t>(5)</w:t>
      </w:r>
      <w:r w:rsidRPr="00C9040A">
        <w:rPr>
          <w:rtl/>
          <w:lang w:bidi="fa-IR"/>
        </w:rPr>
        <w:t xml:space="preserve"> إِبْلِيسُ عَلى مَالِهِ ، وَعَلى </w:t>
      </w:r>
      <w:r w:rsidR="006C577F" w:rsidRPr="006C577F">
        <w:rPr>
          <w:rStyle w:val="libFootnotenumChar"/>
          <w:rtl/>
        </w:rPr>
        <w:t>(6)</w:t>
      </w:r>
      <w:r w:rsidRPr="005B567D">
        <w:rPr>
          <w:rStyle w:val="libFootnotenumChar"/>
          <w:rtl/>
        </w:rPr>
        <w:t xml:space="preserve"> </w:t>
      </w:r>
      <w:r w:rsidRPr="00C9040A">
        <w:rPr>
          <w:rtl/>
          <w:lang w:bidi="fa-IR"/>
        </w:rPr>
        <w:t xml:space="preserve">وُلْدِهِ </w:t>
      </w:r>
      <w:r w:rsidR="006C577F" w:rsidRPr="006C577F">
        <w:rPr>
          <w:rStyle w:val="libFootnotenumChar"/>
          <w:rtl/>
        </w:rPr>
        <w:t>(7)</w:t>
      </w:r>
      <w:r w:rsidRPr="00C9040A">
        <w:rPr>
          <w:rtl/>
          <w:lang w:bidi="fa-IR"/>
        </w:rPr>
        <w:t xml:space="preserve"> ، وَعَلى أَهْلِهِ ، وَعَلى كُلِّ شَيْ‌ءٍ مِنْهُ ،</w:t>
      </w:r>
      <w:r w:rsidR="000E39AF">
        <w:rPr>
          <w:rFonts w:hint="cs"/>
          <w:rtl/>
          <w:lang w:bidi="fa-IR"/>
        </w:rPr>
        <w:t>...................................</w:t>
      </w:r>
      <w:r w:rsidR="000E39AF">
        <w:rPr>
          <w:rFonts w:hint="cs"/>
          <w:rtl/>
          <w:lang w:bidi="fa-IR"/>
        </w:rPr>
        <w:tab/>
      </w:r>
    </w:p>
    <w:p w:rsidR="008A74EB" w:rsidRPr="00C9040A" w:rsidRDefault="008A74EB" w:rsidP="008A74EB">
      <w:pPr>
        <w:pStyle w:val="libLine"/>
        <w:rPr>
          <w:rtl/>
          <w:lang w:bidi="fa-IR"/>
        </w:rPr>
      </w:pPr>
      <w:r w:rsidRPr="00C9040A">
        <w:rPr>
          <w:rtl/>
          <w:lang w:bidi="fa-IR"/>
        </w:rPr>
        <w:t>__________________</w:t>
      </w:r>
    </w:p>
    <w:p w:rsidR="008A74EB" w:rsidRPr="00C9040A" w:rsidRDefault="001922CB" w:rsidP="004A4E41">
      <w:pPr>
        <w:pStyle w:val="libFootnote0"/>
        <w:rPr>
          <w:rtl/>
          <w:lang w:bidi="fa-IR"/>
        </w:rPr>
      </w:pPr>
      <w:r>
        <w:rPr>
          <w:rFonts w:hint="cs"/>
          <w:rtl/>
        </w:rPr>
        <w:t xml:space="preserve">= </w:t>
      </w:r>
      <w:r w:rsidR="008A74EB" w:rsidRPr="00C9040A">
        <w:rPr>
          <w:rtl/>
        </w:rPr>
        <w:t>بالنصيب النقص الذي وقع بقضاء الله وقدره في ماله أو بدنه بغير اختياره ، ويحتمل شموله للاختياري أيضاً ، كأداء الحقوق الماليّة ، وإبلاء البدن بالطاعة »</w:t>
      </w:r>
      <w:r w:rsidR="008A74EB">
        <w:rPr>
          <w:rtl/>
        </w:rPr>
        <w:t>.</w:t>
      </w:r>
      <w:r w:rsidR="008A74EB" w:rsidRPr="00C9040A">
        <w:rPr>
          <w:rtl/>
        </w:rPr>
        <w:t xml:space="preserve"> وفي الوافي : « نصيب الله سبحانه في مال عبده وبدنه ما يأخذه منهما ليبلوه فيهما ، وهو زكاتهما ، كما يأتي بيانه ؛ قال الله تعالى : </w:t>
      </w:r>
      <w:r w:rsidR="008A74EB" w:rsidRPr="001922CB">
        <w:rPr>
          <w:rStyle w:val="libFootnoteAlaemChar"/>
          <w:rtl/>
        </w:rPr>
        <w:t>(</w:t>
      </w:r>
      <w:r w:rsidR="008A74EB" w:rsidRPr="00883DD5">
        <w:rPr>
          <w:rStyle w:val="libFootnoteAieChar"/>
          <w:rFonts w:hint="cs"/>
          <w:rtl/>
        </w:rPr>
        <w:t xml:space="preserve"> </w:t>
      </w:r>
      <w:r w:rsidR="008A74EB" w:rsidRPr="00883DD5">
        <w:rPr>
          <w:rStyle w:val="libFootnoteAieChar"/>
          <w:rtl/>
        </w:rPr>
        <w:t>لَتُبْلَوُنَّ فِي أَمْو</w:t>
      </w:r>
      <w:r>
        <w:rPr>
          <w:rStyle w:val="libFootnoteAieChar"/>
          <w:rFonts w:hint="cs"/>
          <w:rtl/>
        </w:rPr>
        <w:t>َ</w:t>
      </w:r>
      <w:r w:rsidR="008A74EB" w:rsidRPr="00883DD5">
        <w:rPr>
          <w:rStyle w:val="libFootnoteAieChar"/>
          <w:rtl/>
        </w:rPr>
        <w:t>الِكُمْ وَأَنْفُسِكُمْ وَلَتَسْمَعُنَّ مِنَ الَّذِينَ أُوتُوا الْكِت</w:t>
      </w:r>
      <w:r>
        <w:rPr>
          <w:rStyle w:val="libFootnoteAieChar"/>
          <w:rFonts w:hint="cs"/>
          <w:rtl/>
        </w:rPr>
        <w:t>َ</w:t>
      </w:r>
      <w:r w:rsidR="008A74EB" w:rsidRPr="00883DD5">
        <w:rPr>
          <w:rStyle w:val="libFootnoteAieChar"/>
          <w:rtl/>
        </w:rPr>
        <w:t>ابَ مِنْ قَبْلِكُمْ وَمِنَ الَّذِينَ أَشْرَكُوا أَذىً كَثِيراً وَإِنْ تَصْبِرُوا وَتَتَّقُوا فَإِنَّ ذلِكَ مِنْ عَزْمِ الْأُمُورِ</w:t>
      </w:r>
      <w:r w:rsidR="008A74EB" w:rsidRPr="00883DD5">
        <w:rPr>
          <w:rStyle w:val="libFootnoteAieChar"/>
          <w:rFonts w:hint="cs"/>
          <w:rtl/>
        </w:rPr>
        <w:t xml:space="preserve"> </w:t>
      </w:r>
      <w:r w:rsidR="008A74EB" w:rsidRPr="001922CB">
        <w:rPr>
          <w:rStyle w:val="libFootnoteAlaemChar"/>
          <w:rtl/>
        </w:rPr>
        <w:t>)</w:t>
      </w:r>
      <w:r w:rsidR="008A74EB" w:rsidRPr="00C9040A">
        <w:rPr>
          <w:rtl/>
        </w:rPr>
        <w:t xml:space="preserve"> [ آل عمران </w:t>
      </w:r>
      <w:r>
        <w:rPr>
          <w:rtl/>
        </w:rPr>
        <w:t>(3)</w:t>
      </w:r>
      <w:r w:rsidR="008A74EB" w:rsidRPr="00C9040A">
        <w:rPr>
          <w:rtl/>
        </w:rPr>
        <w:t xml:space="preserve"> : 186 ] »</w:t>
      </w:r>
      <w:r w:rsidR="008A74EB">
        <w:rPr>
          <w:rtl/>
        </w:rPr>
        <w:t>.</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نهج البلاغة وخصائص الأئمّة : « ونفسه »</w:t>
      </w:r>
      <w:r w:rsidR="008A74EB">
        <w:rPr>
          <w:rtl/>
        </w:rPr>
        <w:t>.</w:t>
      </w:r>
    </w:p>
    <w:p w:rsidR="008A74EB" w:rsidRPr="00C9040A" w:rsidRDefault="006C577F" w:rsidP="001922CB">
      <w:pPr>
        <w:pStyle w:val="libFootnote0"/>
        <w:rPr>
          <w:rtl/>
          <w:lang w:bidi="fa-IR"/>
        </w:rPr>
      </w:pPr>
      <w:r>
        <w:rPr>
          <w:rtl/>
        </w:rPr>
        <w:t>(2).</w:t>
      </w:r>
      <w:r w:rsidR="008A74EB">
        <w:rPr>
          <w:rtl/>
        </w:rPr>
        <w:t xml:space="preserve"> </w:t>
      </w:r>
      <w:r w:rsidR="008A74EB" w:rsidRPr="00993B55">
        <w:rPr>
          <w:rStyle w:val="libFootnoteBoldChar"/>
          <w:rtl/>
        </w:rPr>
        <w:t>نهج البلاغة</w:t>
      </w:r>
      <w:r w:rsidR="008A74EB" w:rsidRPr="00C9040A">
        <w:rPr>
          <w:rtl/>
        </w:rPr>
        <w:t xml:space="preserve"> ، ص 491 ، الحكمة 127 ؛ و</w:t>
      </w:r>
      <w:r w:rsidR="008A74EB" w:rsidRPr="00993B55">
        <w:rPr>
          <w:rStyle w:val="libFootnoteBoldChar"/>
          <w:rtl/>
        </w:rPr>
        <w:t>خصائص الأئمّة</w:t>
      </w:r>
      <w:r w:rsidR="008A74EB" w:rsidRPr="00C9040A">
        <w:rPr>
          <w:rtl/>
        </w:rPr>
        <w:t xml:space="preserve"> </w:t>
      </w:r>
      <w:r w:rsidR="00117575" w:rsidRPr="00117575">
        <w:rPr>
          <w:rStyle w:val="libFootnoteAlaemChar"/>
          <w:rtl/>
        </w:rPr>
        <w:t>عليهم‌السلام</w:t>
      </w:r>
      <w:r w:rsidR="008A74EB" w:rsidRPr="00C9040A">
        <w:rPr>
          <w:rtl/>
        </w:rPr>
        <w:t xml:space="preserve"> ، ص 101 ، مرسلاً عن عليّ </w:t>
      </w:r>
      <w:r w:rsidR="00117575" w:rsidRPr="00117575">
        <w:rPr>
          <w:rStyle w:val="libFootnoteAlaemChar"/>
          <w:rtl/>
        </w:rPr>
        <w:t>عليه‌السلام</w:t>
      </w:r>
      <w:r w:rsidR="008A74EB" w:rsidRPr="00C9040A">
        <w:rPr>
          <w:rtl/>
        </w:rPr>
        <w:t xml:space="preserve"> ، مع زيادة في أوّله</w:t>
      </w:r>
      <w:r w:rsidR="001922CB">
        <w:rPr>
          <w:rFonts w:hint="cs"/>
          <w:rtl/>
        </w:rPr>
        <w:t>.</w:t>
      </w:r>
      <w:r w:rsidR="008A74EB" w:rsidRPr="00993B55">
        <w:rPr>
          <w:rStyle w:val="libFootnoteBoldChar"/>
          <w:rtl/>
        </w:rPr>
        <w:t>الوافي</w:t>
      </w:r>
      <w:r w:rsidR="008A74EB" w:rsidRPr="00C9040A">
        <w:rPr>
          <w:rtl/>
        </w:rPr>
        <w:t xml:space="preserve"> ، ج 5 ، ص 767 ، ح 3012 ؛ </w:t>
      </w:r>
      <w:r w:rsidR="008A74EB" w:rsidRPr="00993B55">
        <w:rPr>
          <w:rStyle w:val="libFootnoteBoldChar"/>
          <w:rtl/>
        </w:rPr>
        <w:t>البحار</w:t>
      </w:r>
      <w:r w:rsidR="008A74EB" w:rsidRPr="00C9040A">
        <w:rPr>
          <w:rtl/>
        </w:rPr>
        <w:t xml:space="preserve"> ، ج 67 ، ص 215 ، ح 22.</w:t>
      </w:r>
    </w:p>
    <w:p w:rsidR="008A74EB" w:rsidRPr="00C9040A" w:rsidRDefault="006C577F" w:rsidP="004A4E41">
      <w:pPr>
        <w:pStyle w:val="libFootnote0"/>
        <w:rPr>
          <w:rtl/>
          <w:lang w:bidi="fa-IR"/>
        </w:rPr>
      </w:pPr>
      <w:r>
        <w:rPr>
          <w:rtl/>
        </w:rPr>
        <w:t>(3).</w:t>
      </w:r>
      <w:r w:rsidR="008A74EB" w:rsidRPr="00C9040A">
        <w:rPr>
          <w:rtl/>
        </w:rPr>
        <w:t xml:space="preserve"> في البحار ، ج 12 : + « أنّه »</w:t>
      </w:r>
      <w:r w:rsidR="008A74EB">
        <w:rPr>
          <w:rtl/>
        </w:rPr>
        <w:t>.</w:t>
      </w:r>
    </w:p>
    <w:p w:rsidR="008A74EB" w:rsidRPr="00C9040A" w:rsidRDefault="006C577F" w:rsidP="004A4E41">
      <w:pPr>
        <w:pStyle w:val="libFootnote0"/>
        <w:rPr>
          <w:rtl/>
          <w:lang w:bidi="fa-IR"/>
        </w:rPr>
      </w:pPr>
      <w:r>
        <w:rPr>
          <w:rtl/>
        </w:rPr>
        <w:t>(4).</w:t>
      </w:r>
      <w:r w:rsidR="001922CB">
        <w:rPr>
          <w:rtl/>
        </w:rPr>
        <w:t xml:space="preserve"> قال العل</w:t>
      </w:r>
      <w:r w:rsidR="001922CB">
        <w:rPr>
          <w:rFonts w:hint="cs"/>
          <w:rtl/>
        </w:rPr>
        <w:t>ّ</w:t>
      </w:r>
      <w:r w:rsidR="001922CB">
        <w:rPr>
          <w:rtl/>
        </w:rPr>
        <w:t>ا</w:t>
      </w:r>
      <w:r w:rsidR="008A74EB" w:rsidRPr="00C9040A">
        <w:rPr>
          <w:rtl/>
        </w:rPr>
        <w:t xml:space="preserve">مة الطباطبائي : « شاهد ذلك من كتاب الله قوله تعالى : </w:t>
      </w:r>
      <w:r w:rsidR="008A74EB" w:rsidRPr="001922CB">
        <w:rPr>
          <w:rStyle w:val="libFootnoteAlaemChar"/>
          <w:rtl/>
        </w:rPr>
        <w:t>(</w:t>
      </w:r>
      <w:r w:rsidR="008A74EB" w:rsidRPr="00883DD5">
        <w:rPr>
          <w:rStyle w:val="libFootnoteAieChar"/>
          <w:rFonts w:hint="cs"/>
          <w:rtl/>
        </w:rPr>
        <w:t xml:space="preserve"> </w:t>
      </w:r>
      <w:r w:rsidR="008A74EB" w:rsidRPr="00883DD5">
        <w:rPr>
          <w:rStyle w:val="libFootnoteAieChar"/>
          <w:rtl/>
        </w:rPr>
        <w:t>وَاذْكُرْ عَبْدَن</w:t>
      </w:r>
      <w:r w:rsidR="001922CB">
        <w:rPr>
          <w:rStyle w:val="libFootnoteAieChar"/>
          <w:rFonts w:hint="cs"/>
          <w:rtl/>
        </w:rPr>
        <w:t>َ</w:t>
      </w:r>
      <w:r w:rsidR="008A74EB" w:rsidRPr="00883DD5">
        <w:rPr>
          <w:rStyle w:val="libFootnoteAieChar"/>
          <w:rtl/>
        </w:rPr>
        <w:t>ا أَيُّوبَ إِذْ ن</w:t>
      </w:r>
      <w:r w:rsidR="001922CB">
        <w:rPr>
          <w:rStyle w:val="libFootnoteAieChar"/>
          <w:rFonts w:hint="cs"/>
          <w:rtl/>
        </w:rPr>
        <w:t>َ</w:t>
      </w:r>
      <w:r w:rsidR="008A74EB" w:rsidRPr="00883DD5">
        <w:rPr>
          <w:rStyle w:val="libFootnoteAieChar"/>
          <w:rtl/>
        </w:rPr>
        <w:t>اد</w:t>
      </w:r>
      <w:r w:rsidR="001922CB">
        <w:rPr>
          <w:rStyle w:val="libFootnoteAieChar"/>
          <w:rFonts w:hint="cs"/>
          <w:rtl/>
        </w:rPr>
        <w:t>َ</w:t>
      </w:r>
      <w:r w:rsidR="008A74EB" w:rsidRPr="00883DD5">
        <w:rPr>
          <w:rStyle w:val="libFootnoteAieChar"/>
          <w:rtl/>
        </w:rPr>
        <w:t>ى رَبَّهُ أَنِّي مَسَّنِيَ الشَّيْط</w:t>
      </w:r>
      <w:r w:rsidR="001922CB">
        <w:rPr>
          <w:rStyle w:val="libFootnoteAieChar"/>
          <w:rFonts w:hint="cs"/>
          <w:rtl/>
        </w:rPr>
        <w:t>َ</w:t>
      </w:r>
      <w:r w:rsidR="008A74EB" w:rsidRPr="00883DD5">
        <w:rPr>
          <w:rStyle w:val="libFootnoteAieChar"/>
          <w:rtl/>
        </w:rPr>
        <w:t>انُ بِنُصْبٍ وَعَذ</w:t>
      </w:r>
      <w:r w:rsidR="001922CB">
        <w:rPr>
          <w:rStyle w:val="libFootnoteAieChar"/>
          <w:rFonts w:hint="cs"/>
          <w:rtl/>
        </w:rPr>
        <w:t>َ</w:t>
      </w:r>
      <w:r w:rsidR="008A74EB" w:rsidRPr="00883DD5">
        <w:rPr>
          <w:rStyle w:val="libFootnoteAieChar"/>
          <w:rtl/>
        </w:rPr>
        <w:t>ابٍ</w:t>
      </w:r>
      <w:r w:rsidR="008A74EB" w:rsidRPr="00883DD5">
        <w:rPr>
          <w:rStyle w:val="libFootnoteAieChar"/>
          <w:rFonts w:hint="cs"/>
          <w:rtl/>
        </w:rPr>
        <w:t xml:space="preserve"> </w:t>
      </w:r>
      <w:r w:rsidR="008A74EB" w:rsidRPr="001922CB">
        <w:rPr>
          <w:rStyle w:val="libFootnoteAlaemChar"/>
          <w:rtl/>
        </w:rPr>
        <w:t>)</w:t>
      </w:r>
      <w:r w:rsidR="008A74EB" w:rsidRPr="00C9040A">
        <w:rPr>
          <w:rtl/>
        </w:rPr>
        <w:t xml:space="preserve"> [ ص (38) : 41 ]</w:t>
      </w:r>
      <w:r w:rsidR="008A74EB">
        <w:rPr>
          <w:rtl/>
        </w:rPr>
        <w:t>.</w:t>
      </w:r>
      <w:r w:rsidR="008A74EB" w:rsidRPr="00C9040A">
        <w:rPr>
          <w:rtl/>
        </w:rPr>
        <w:t xml:space="preserve"> فإن قلت : إطلاقُ قوله تعالى : </w:t>
      </w:r>
      <w:r w:rsidR="008A74EB" w:rsidRPr="001922CB">
        <w:rPr>
          <w:rStyle w:val="libFootnoteAlaemChar"/>
          <w:rtl/>
        </w:rPr>
        <w:t>(</w:t>
      </w:r>
      <w:r w:rsidR="008A74EB" w:rsidRPr="00883DD5">
        <w:rPr>
          <w:rStyle w:val="libFootnoteAieChar"/>
          <w:rFonts w:hint="cs"/>
          <w:rtl/>
        </w:rPr>
        <w:t xml:space="preserve"> </w:t>
      </w:r>
      <w:r w:rsidR="008A74EB" w:rsidRPr="00883DD5">
        <w:rPr>
          <w:rStyle w:val="libFootnoteAieChar"/>
          <w:rtl/>
        </w:rPr>
        <w:t>إِنَّ عِبادِي لَيْسَ لَكَ عَلَيْهِمْ سُلْط</w:t>
      </w:r>
      <w:r w:rsidR="001922CB">
        <w:rPr>
          <w:rStyle w:val="libFootnoteAieChar"/>
          <w:rFonts w:hint="cs"/>
          <w:rtl/>
        </w:rPr>
        <w:t>َ</w:t>
      </w:r>
      <w:r w:rsidR="008A74EB" w:rsidRPr="00883DD5">
        <w:rPr>
          <w:rStyle w:val="libFootnoteAieChar"/>
          <w:rtl/>
        </w:rPr>
        <w:t>انٌ</w:t>
      </w:r>
      <w:r w:rsidR="008A74EB" w:rsidRPr="00883DD5">
        <w:rPr>
          <w:rStyle w:val="libFootnoteAieChar"/>
          <w:rFonts w:hint="cs"/>
          <w:rtl/>
        </w:rPr>
        <w:t xml:space="preserve"> </w:t>
      </w:r>
      <w:r w:rsidR="008A74EB" w:rsidRPr="001922CB">
        <w:rPr>
          <w:rStyle w:val="libFootnoteAlaemChar"/>
          <w:rtl/>
        </w:rPr>
        <w:t>)</w:t>
      </w:r>
      <w:r w:rsidR="008A74EB" w:rsidRPr="00C9040A">
        <w:rPr>
          <w:rtl/>
        </w:rPr>
        <w:t xml:space="preserve"> الآية ينافي ذلك ، قلت : ذيل الآية يفسّر صدرها ، وهو قوله : </w:t>
      </w:r>
      <w:r w:rsidR="008A74EB" w:rsidRPr="001922CB">
        <w:rPr>
          <w:rStyle w:val="libFootnoteAlaemChar"/>
          <w:rtl/>
        </w:rPr>
        <w:t>(</w:t>
      </w:r>
      <w:r w:rsidR="008A74EB" w:rsidRPr="00883DD5">
        <w:rPr>
          <w:rStyle w:val="libFootnoteAieChar"/>
          <w:rFonts w:hint="cs"/>
          <w:rtl/>
        </w:rPr>
        <w:t xml:space="preserve"> </w:t>
      </w:r>
      <w:r w:rsidR="001922CB">
        <w:rPr>
          <w:rStyle w:val="libFootnoteAieChar"/>
          <w:rtl/>
        </w:rPr>
        <w:t>إِل</w:t>
      </w:r>
      <w:r w:rsidR="001922CB">
        <w:rPr>
          <w:rStyle w:val="libFootnoteAieChar"/>
          <w:rFonts w:hint="cs"/>
          <w:rtl/>
        </w:rPr>
        <w:t>ّ</w:t>
      </w:r>
      <w:r w:rsidR="001922CB">
        <w:rPr>
          <w:rStyle w:val="libFootnoteAieChar"/>
          <w:rtl/>
        </w:rPr>
        <w:t>ا</w:t>
      </w:r>
      <w:r w:rsidR="008A74EB" w:rsidRPr="00883DD5">
        <w:rPr>
          <w:rStyle w:val="libFootnoteAieChar"/>
          <w:rtl/>
        </w:rPr>
        <w:t xml:space="preserve"> مَنِ اتَّبَعَكَ مِنَ الْغاوِينَ</w:t>
      </w:r>
      <w:r w:rsidR="008A74EB" w:rsidRPr="00883DD5">
        <w:rPr>
          <w:rStyle w:val="libFootnoteAieChar"/>
          <w:rFonts w:hint="cs"/>
          <w:rtl/>
        </w:rPr>
        <w:t xml:space="preserve"> </w:t>
      </w:r>
      <w:r w:rsidR="008A74EB" w:rsidRPr="001922CB">
        <w:rPr>
          <w:rStyle w:val="libFootnoteAlaemChar"/>
          <w:rtl/>
        </w:rPr>
        <w:t>)</w:t>
      </w:r>
      <w:r w:rsidR="008A74EB" w:rsidRPr="00C9040A">
        <w:rPr>
          <w:rtl/>
        </w:rPr>
        <w:t xml:space="preserve"> [ الحجر (15) : 42 ] الآية.</w:t>
      </w:r>
    </w:p>
    <w:p w:rsidR="008A74EB" w:rsidRPr="00C9040A" w:rsidRDefault="008A74EB" w:rsidP="00C71060">
      <w:pPr>
        <w:pStyle w:val="libFootnote0"/>
        <w:rPr>
          <w:rtl/>
          <w:lang w:bidi="fa-IR"/>
        </w:rPr>
      </w:pPr>
      <w:r w:rsidRPr="00323A39">
        <w:rPr>
          <w:rtl/>
        </w:rPr>
        <w:t>توضيحه أنّ جميع الآيات الواردة في قصّة سجدة آدم تدلّ على أنّ إبليس شأنه الإغواء ، والإضلال يقابل الهداية ، وهما من الا</w:t>
      </w:r>
      <w:r w:rsidR="00C71060">
        <w:rPr>
          <w:rFonts w:hint="cs"/>
          <w:rtl/>
        </w:rPr>
        <w:t>ُ</w:t>
      </w:r>
      <w:r w:rsidRPr="00323A39">
        <w:rPr>
          <w:rtl/>
        </w:rPr>
        <w:t xml:space="preserve">مور القلبيّة المرتبطة بالإيمان والعمل ، فالذي اتّخذه لعنه الله ميداناً لعمله هو قلب الإنسان ، وعمله الإضلال عن صراط الإيمان والعمل الصالح ، والذي ردّ الله عليه وحفظ عباده من كيده فيه هو عبوديّتهم ، فعباده تعالى الواقعون في صراط العبوديّة مأمونون من كيده ، كما قال تعالى : </w:t>
      </w:r>
      <w:r w:rsidRPr="00C71060">
        <w:rPr>
          <w:rStyle w:val="libFootnoteAlaemChar"/>
          <w:rtl/>
        </w:rPr>
        <w:t>(</w:t>
      </w:r>
      <w:r w:rsidRPr="00883DD5">
        <w:rPr>
          <w:rStyle w:val="libFootnoteAieChar"/>
          <w:rFonts w:hint="cs"/>
          <w:rtl/>
        </w:rPr>
        <w:t xml:space="preserve"> </w:t>
      </w:r>
      <w:r w:rsidRPr="00883DD5">
        <w:rPr>
          <w:rStyle w:val="libFootnoteAieChar"/>
          <w:rtl/>
        </w:rPr>
        <w:t>إِنَّهُ لَيْسَ لَهُ سُلْط</w:t>
      </w:r>
      <w:r w:rsidR="00C71060">
        <w:rPr>
          <w:rStyle w:val="libFootnoteAieChar"/>
          <w:rFonts w:hint="cs"/>
          <w:rtl/>
        </w:rPr>
        <w:t>َ</w:t>
      </w:r>
      <w:r w:rsidRPr="00883DD5">
        <w:rPr>
          <w:rStyle w:val="libFootnoteAieChar"/>
          <w:rtl/>
        </w:rPr>
        <w:t xml:space="preserve">انٌ عَلَى الَّذِينَ </w:t>
      </w:r>
      <w:r w:rsidR="00C71060">
        <w:rPr>
          <w:rStyle w:val="libFootnoteAieChar"/>
          <w:rFonts w:hint="cs"/>
          <w:rtl/>
        </w:rPr>
        <w:t>ءَا</w:t>
      </w:r>
      <w:r w:rsidRPr="00883DD5">
        <w:rPr>
          <w:rStyle w:val="libFootnoteAieChar"/>
          <w:rtl/>
        </w:rPr>
        <w:t>مَنُوا وَعَلى رَبِّهِمْ يَتَوَكَّلُونَ</w:t>
      </w:r>
      <w:r w:rsidRPr="00883DD5">
        <w:rPr>
          <w:rStyle w:val="libFootnoteAieChar"/>
          <w:rFonts w:hint="cs"/>
          <w:rtl/>
        </w:rPr>
        <w:t xml:space="preserve"> </w:t>
      </w:r>
      <w:r w:rsidRPr="00C71060">
        <w:rPr>
          <w:rStyle w:val="libFootnoteAlaemChar"/>
          <w:rtl/>
        </w:rPr>
        <w:t>)</w:t>
      </w:r>
      <w:r w:rsidRPr="00323A39">
        <w:rPr>
          <w:rtl/>
        </w:rPr>
        <w:t xml:space="preserve"> الآية [ النحل (16) : 99 ] فالإيمان هو العبوديّة ، والتوكّل من لوازمها. وأمّا أجسام العباد وما يلحق بها فليست بمأمونة عن كيده ومكره ، فله أن يمسّ العبد المؤمن في غير عقله وإيمانه من جسم ، أو مال ، أو ولد ، أو نحو ذلك ، وأثره الإيذاء ، وأمّا ماوراء ذلك فلا. ومن هنا يظهر أنّ الوصف في قوله : </w:t>
      </w:r>
      <w:r w:rsidRPr="00C71060">
        <w:rPr>
          <w:rStyle w:val="libFootnoteAlaemChar"/>
          <w:rtl/>
        </w:rPr>
        <w:t>(</w:t>
      </w:r>
      <w:r w:rsidRPr="00883DD5">
        <w:rPr>
          <w:rStyle w:val="libFootnoteAieChar"/>
          <w:rFonts w:hint="cs"/>
          <w:rtl/>
        </w:rPr>
        <w:t xml:space="preserve"> </w:t>
      </w:r>
      <w:r w:rsidRPr="00883DD5">
        <w:rPr>
          <w:rStyle w:val="libFootnoteAieChar"/>
          <w:rtl/>
        </w:rPr>
        <w:t>إِنَّ عِب</w:t>
      </w:r>
      <w:r w:rsidR="00C71060">
        <w:rPr>
          <w:rStyle w:val="libFootnoteAieChar"/>
          <w:rFonts w:hint="cs"/>
          <w:rtl/>
        </w:rPr>
        <w:t>َ</w:t>
      </w:r>
      <w:r w:rsidRPr="00883DD5">
        <w:rPr>
          <w:rStyle w:val="libFootnoteAieChar"/>
          <w:rtl/>
        </w:rPr>
        <w:t>ادِي</w:t>
      </w:r>
      <w:r w:rsidRPr="00883DD5">
        <w:rPr>
          <w:rStyle w:val="libFootnoteAieChar"/>
          <w:rFonts w:hint="cs"/>
          <w:rtl/>
        </w:rPr>
        <w:t xml:space="preserve"> </w:t>
      </w:r>
      <w:r w:rsidRPr="00C71060">
        <w:rPr>
          <w:rStyle w:val="libFootnoteAlaemChar"/>
          <w:rtl/>
        </w:rPr>
        <w:t>)</w:t>
      </w:r>
      <w:r w:rsidRPr="00323A39">
        <w:rPr>
          <w:rtl/>
        </w:rPr>
        <w:t xml:space="preserve"> إلى آخره ، كالمشعر بالعلّيّة ».</w:t>
      </w:r>
    </w:p>
    <w:p w:rsidR="008A74EB" w:rsidRPr="00C9040A" w:rsidRDefault="006C577F" w:rsidP="004A4E41">
      <w:pPr>
        <w:pStyle w:val="libFootnote0"/>
        <w:rPr>
          <w:rtl/>
          <w:lang w:bidi="fa-IR"/>
        </w:rPr>
      </w:pPr>
      <w:r>
        <w:rPr>
          <w:rtl/>
        </w:rPr>
        <w:t>(5).</w:t>
      </w:r>
      <w:r w:rsidR="008A74EB" w:rsidRPr="00C9040A">
        <w:rPr>
          <w:rtl/>
        </w:rPr>
        <w:t xml:space="preserve"> في « ض » : + « عزّ وجلّ عليه »</w:t>
      </w:r>
      <w:r w:rsidR="008A74EB">
        <w:rPr>
          <w:rtl/>
        </w:rPr>
        <w:t>.</w:t>
      </w:r>
      <w:r w:rsidR="008A74EB" w:rsidRPr="00C9040A">
        <w:rPr>
          <w:rtl/>
        </w:rPr>
        <w:t xml:space="preserve"> وفي « </w:t>
      </w:r>
      <w:r w:rsidR="006D3162">
        <w:rPr>
          <w:rtl/>
        </w:rPr>
        <w:t xml:space="preserve">ه </w:t>
      </w:r>
      <w:r w:rsidR="008A74EB" w:rsidRPr="00C9040A">
        <w:rPr>
          <w:rtl/>
        </w:rPr>
        <w:t>» وحاشية « ض ، بر » والبحار ، ج 67 : + « الله »</w:t>
      </w:r>
      <w:r w:rsidR="008A74EB">
        <w:rPr>
          <w:rtl/>
        </w:rPr>
        <w:t>.</w:t>
      </w:r>
    </w:p>
    <w:tbl>
      <w:tblPr>
        <w:tblStyle w:val="TableGrid"/>
        <w:bidiVisual/>
        <w:tblW w:w="0" w:type="auto"/>
        <w:tblLook w:val="04A0" w:firstRow="1" w:lastRow="0" w:firstColumn="1" w:lastColumn="0" w:noHBand="0" w:noVBand="1"/>
      </w:tblPr>
      <w:tblGrid>
        <w:gridCol w:w="4006"/>
        <w:gridCol w:w="4006"/>
      </w:tblGrid>
      <w:tr w:rsidR="00C71060" w:rsidTr="00C71060">
        <w:tc>
          <w:tcPr>
            <w:tcW w:w="4006" w:type="dxa"/>
          </w:tcPr>
          <w:p w:rsidR="00C71060" w:rsidRDefault="00C71060" w:rsidP="004A4E41">
            <w:pPr>
              <w:pStyle w:val="libFootnote0"/>
              <w:rPr>
                <w:rtl/>
              </w:rPr>
            </w:pPr>
            <w:r>
              <w:rPr>
                <w:rtl/>
              </w:rPr>
              <w:t xml:space="preserve">(6). </w:t>
            </w:r>
            <w:r w:rsidRPr="00C9040A">
              <w:rPr>
                <w:rtl/>
              </w:rPr>
              <w:t xml:space="preserve">في الكافي ، ح 4250 </w:t>
            </w:r>
            <w:r>
              <w:rPr>
                <w:rtl/>
              </w:rPr>
              <w:t>: -</w:t>
            </w:r>
            <w:r w:rsidRPr="00C9040A">
              <w:rPr>
                <w:rtl/>
              </w:rPr>
              <w:t xml:space="preserve"> « على »</w:t>
            </w:r>
            <w:r>
              <w:rPr>
                <w:rtl/>
              </w:rPr>
              <w:t>.</w:t>
            </w:r>
          </w:p>
        </w:tc>
        <w:tc>
          <w:tcPr>
            <w:tcW w:w="4006" w:type="dxa"/>
          </w:tcPr>
          <w:p w:rsidR="00C71060" w:rsidRDefault="00C71060" w:rsidP="004A4E41">
            <w:pPr>
              <w:pStyle w:val="libFootnote0"/>
              <w:rPr>
                <w:rtl/>
              </w:rPr>
            </w:pPr>
            <w:r>
              <w:rPr>
                <w:rtl/>
              </w:rPr>
              <w:t>(7).</w:t>
            </w:r>
            <w:r w:rsidRPr="00C9040A">
              <w:rPr>
                <w:rtl/>
              </w:rPr>
              <w:t xml:space="preserve"> في « </w:t>
            </w:r>
            <w:r>
              <w:rPr>
                <w:rtl/>
              </w:rPr>
              <w:t xml:space="preserve">ه </w:t>
            </w:r>
            <w:r w:rsidRPr="00C9040A">
              <w:rPr>
                <w:rtl/>
              </w:rPr>
              <w:t xml:space="preserve">» </w:t>
            </w:r>
            <w:r>
              <w:rPr>
                <w:rtl/>
              </w:rPr>
              <w:t>: -</w:t>
            </w:r>
            <w:r w:rsidRPr="00C9040A">
              <w:rPr>
                <w:rtl/>
              </w:rPr>
              <w:t xml:space="preserve"> « وعلى ولده »</w:t>
            </w:r>
            <w:r>
              <w:rPr>
                <w:rtl/>
              </w:rPr>
              <w:t>.</w:t>
            </w:r>
          </w:p>
        </w:tc>
      </w:tr>
    </w:tbl>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وَلَمْ يُسَلَّطْ </w:t>
      </w:r>
      <w:r w:rsidR="006C577F" w:rsidRPr="006C577F">
        <w:rPr>
          <w:rStyle w:val="libFootnotenumChar"/>
          <w:rtl/>
        </w:rPr>
        <w:t>(1)</w:t>
      </w:r>
      <w:r w:rsidRPr="00C9040A">
        <w:rPr>
          <w:rtl/>
          <w:lang w:bidi="fa-IR"/>
        </w:rPr>
        <w:t xml:space="preserve"> عَلى عَقْلِهِ ، تُرِكَ لَهُ لِيُوَحِّدَ </w:t>
      </w:r>
      <w:r w:rsidR="006C577F" w:rsidRPr="006C577F">
        <w:rPr>
          <w:rStyle w:val="libFootnotenumChar"/>
          <w:rtl/>
        </w:rPr>
        <w:t>(2)</w:t>
      </w:r>
      <w:r w:rsidRPr="00C9040A">
        <w:rPr>
          <w:rtl/>
          <w:lang w:bidi="fa-IR"/>
        </w:rPr>
        <w:t xml:space="preserve"> اللهَ بِهِ</w:t>
      </w:r>
      <w:r>
        <w:rPr>
          <w:rtl/>
          <w:lang w:bidi="fa-IR"/>
        </w:rPr>
        <w:t>؟</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0F0400">
        <w:rPr>
          <w:rtl/>
        </w:rPr>
        <w:t>2374</w:t>
      </w:r>
      <w:r w:rsidRPr="00261CB0">
        <w:rPr>
          <w:rStyle w:val="libBold2Char"/>
          <w:rtl/>
        </w:rPr>
        <w:t xml:space="preserve"> / 23.</w:t>
      </w:r>
      <w:r w:rsidRPr="00C9040A">
        <w:rPr>
          <w:rtl/>
          <w:lang w:bidi="fa-IR"/>
        </w:rPr>
        <w:t xml:space="preserve"> مُحَمَّدُ بْنُ يَحْيى ، عَنْ أَحْمَدَ بْنِ </w:t>
      </w:r>
      <w:r w:rsidR="006C577F" w:rsidRPr="006C577F">
        <w:rPr>
          <w:rStyle w:val="libFootnotenumChar"/>
          <w:rtl/>
        </w:rPr>
        <w:t>(4)</w:t>
      </w:r>
      <w:r w:rsidRPr="00C9040A">
        <w:rPr>
          <w:rtl/>
          <w:lang w:bidi="fa-IR"/>
        </w:rPr>
        <w:t xml:space="preserve"> مُحَمَّدِ بْنِ عِيسى ، عَنِ ابْنِ فَضَّالٍ ، عَنْ عَلِيِّ بْنِ عُقْبَةَ ، عَنْ سُلَيْمَانَ بْنِ خَالِدٍ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إِنَّهُ لَيَكُونُ لِلْعَبْدِ مَنْزِلَةٌ عِنْدَ اللهِ ، فَمَا يَنَالُهَا </w:t>
      </w:r>
      <w:r w:rsidR="006C577F" w:rsidRPr="006C577F">
        <w:rPr>
          <w:rStyle w:val="libFootnotenumChar"/>
          <w:rtl/>
        </w:rPr>
        <w:t>(5)</w:t>
      </w:r>
      <w:r w:rsidR="00EE6F05">
        <w:rPr>
          <w:rtl/>
          <w:lang w:bidi="fa-IR"/>
        </w:rPr>
        <w:t xml:space="preserve"> إِل</w:t>
      </w:r>
      <w:r w:rsidR="00EE6F05">
        <w:rPr>
          <w:rFonts w:hint="cs"/>
          <w:rtl/>
          <w:lang w:bidi="fa-IR"/>
        </w:rPr>
        <w:t>َّ</w:t>
      </w:r>
      <w:r w:rsidR="00EE6F05">
        <w:rPr>
          <w:rtl/>
          <w:lang w:bidi="fa-IR"/>
        </w:rPr>
        <w:t>ا</w:t>
      </w:r>
      <w:r w:rsidRPr="00C9040A">
        <w:rPr>
          <w:rtl/>
          <w:lang w:bidi="fa-IR"/>
        </w:rPr>
        <w:t xml:space="preserve"> بِإِحْدى خَصْلَتَيْنِ : إِمَّا بِذَهَابِ مَالِهِ </w:t>
      </w:r>
      <w:r w:rsidR="006C577F" w:rsidRPr="006C577F">
        <w:rPr>
          <w:rStyle w:val="libFootnotenumChar"/>
          <w:rtl/>
        </w:rPr>
        <w:t>(6)</w:t>
      </w:r>
      <w:r w:rsidRPr="005B567D">
        <w:rPr>
          <w:rStyle w:val="libFootnotenumChar"/>
          <w:rtl/>
        </w:rPr>
        <w:t xml:space="preserve"> </w:t>
      </w:r>
      <w:r w:rsidRPr="00C9040A">
        <w:rPr>
          <w:rtl/>
          <w:lang w:bidi="fa-IR"/>
        </w:rPr>
        <w:t>، أَوْ بِبَلِيَّةٍ فِي جَسَدِهِ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0F0400">
        <w:rPr>
          <w:rtl/>
        </w:rPr>
        <w:t>2375</w:t>
      </w:r>
      <w:r w:rsidRPr="00261CB0">
        <w:rPr>
          <w:rStyle w:val="libBold2Char"/>
          <w:rtl/>
        </w:rPr>
        <w:t xml:space="preserve"> / 24.</w:t>
      </w:r>
      <w:r w:rsidRPr="00C9040A">
        <w:rPr>
          <w:rtl/>
          <w:lang w:bidi="fa-IR"/>
        </w:rPr>
        <w:t xml:space="preserve"> عَنْهُ </w:t>
      </w:r>
      <w:r w:rsidR="006C577F" w:rsidRPr="006C577F">
        <w:rPr>
          <w:rStyle w:val="libFootnotenumChar"/>
          <w:rtl/>
        </w:rPr>
        <w:t>(8)</w:t>
      </w:r>
      <w:r w:rsidRPr="00C9040A">
        <w:rPr>
          <w:rtl/>
          <w:lang w:bidi="fa-IR"/>
        </w:rPr>
        <w:t xml:space="preserve"> ، عَنِ ابْنِ فَضَّالٍ ، عَنْ مُثَنًّى الْحَنَّاطِ ، عَنْ أَبِي أُسَامَةَ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اللهُ عَزَّ وَجَلَّ : لَوْ لَا</w:t>
      </w:r>
      <w:r>
        <w:rPr>
          <w:rFonts w:hint="cs"/>
          <w:rtl/>
          <w:lang w:bidi="fa-IR"/>
        </w:rPr>
        <w:t xml:space="preserve"> </w:t>
      </w:r>
      <w:r w:rsidRPr="00C9040A">
        <w:rPr>
          <w:rtl/>
          <w:lang w:bidi="fa-IR"/>
        </w:rPr>
        <w:t xml:space="preserve">أَنْ يَجِدَ عَبْدِيَ الْمُؤْمِنُ فِي قَلْبِهِ </w:t>
      </w:r>
      <w:r w:rsidR="006C577F" w:rsidRPr="006C577F">
        <w:rPr>
          <w:rStyle w:val="libFootnotenumChar"/>
          <w:rtl/>
        </w:rPr>
        <w:t>(9)</w:t>
      </w:r>
      <w:r w:rsidRPr="00C9040A">
        <w:rPr>
          <w:rtl/>
          <w:lang w:bidi="fa-IR"/>
        </w:rPr>
        <w:t xml:space="preserve"> ، لَعَصَبْتُ </w:t>
      </w:r>
      <w:r w:rsidR="006C577F" w:rsidRPr="006C577F">
        <w:rPr>
          <w:rStyle w:val="libFootnotenumChar"/>
          <w:rtl/>
        </w:rPr>
        <w:t>(10)</w:t>
      </w:r>
      <w:r w:rsidRPr="00C9040A">
        <w:rPr>
          <w:rtl/>
          <w:lang w:bidi="fa-IR"/>
        </w:rPr>
        <w:t xml:space="preserve"> رَأْسَ الْكَافِرِ بِعِصَابَةِ حَدِيدٍ لَايُصْدَعُ </w:t>
      </w:r>
      <w:r w:rsidR="006C577F" w:rsidRPr="006C577F">
        <w:rPr>
          <w:rStyle w:val="libFootnotenumChar"/>
          <w:rtl/>
        </w:rPr>
        <w:t>(11)</w:t>
      </w:r>
      <w:r w:rsidRPr="00C9040A">
        <w:rPr>
          <w:rtl/>
          <w:lang w:bidi="fa-IR"/>
        </w:rPr>
        <w:t xml:space="preserve"> رَأْسُهُ أَبَداً »</w:t>
      </w:r>
      <w:r>
        <w:rPr>
          <w:rtl/>
          <w:lang w:bidi="fa-IR"/>
        </w:rPr>
        <w:t>.</w:t>
      </w:r>
      <w:r w:rsidRPr="00C9040A">
        <w:rPr>
          <w:rtl/>
          <w:lang w:bidi="fa-IR"/>
        </w:rPr>
        <w:t xml:space="preserve"> </w:t>
      </w:r>
      <w:r w:rsidR="006C577F" w:rsidRPr="006C577F">
        <w:rPr>
          <w:rStyle w:val="libFootnotenumChar"/>
          <w:rtl/>
        </w:rPr>
        <w:t>(12)</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بس » والكافي ، ح 4250 : « ولم يسلّطه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ب ، د ، ص ، </w:t>
      </w:r>
      <w:r w:rsidR="006D3162">
        <w:rPr>
          <w:rtl/>
        </w:rPr>
        <w:t xml:space="preserve">ه </w:t>
      </w:r>
      <w:r w:rsidR="008A74EB" w:rsidRPr="00C9040A">
        <w:rPr>
          <w:rtl/>
        </w:rPr>
        <w:t>، بر » والوافي والبحار ، ج 63 : « يوحّد »</w:t>
      </w:r>
      <w:r w:rsidR="008A74EB">
        <w:rPr>
          <w:rtl/>
        </w:rPr>
        <w:t>.</w:t>
      </w:r>
      <w:r w:rsidR="008A74EB" w:rsidRPr="00C9040A">
        <w:rPr>
          <w:rtl/>
        </w:rPr>
        <w:t xml:space="preserve"> وفي « ج » : « ليؤخذ »</w:t>
      </w:r>
      <w:r w:rsidR="008A74EB">
        <w:rPr>
          <w:rtl/>
        </w:rPr>
        <w:t>.</w:t>
      </w:r>
      <w:r w:rsidR="008A74EB" w:rsidRPr="00C9040A">
        <w:rPr>
          <w:rtl/>
        </w:rPr>
        <w:t xml:space="preserve"> وفي الكافي ، ح 4250 : « مايوحّد »</w:t>
      </w:r>
      <w:r w:rsidR="008A74EB">
        <w:rPr>
          <w:rtl/>
        </w:rPr>
        <w:t>.</w:t>
      </w:r>
    </w:p>
    <w:p w:rsidR="008A74EB" w:rsidRPr="00C9040A" w:rsidRDefault="006C577F" w:rsidP="00EE6F05">
      <w:pPr>
        <w:pStyle w:val="libFootnote0"/>
        <w:rPr>
          <w:rtl/>
          <w:lang w:bidi="fa-IR"/>
        </w:rPr>
      </w:pPr>
      <w:r>
        <w:rPr>
          <w:rtl/>
        </w:rPr>
        <w:t>(3).</w:t>
      </w:r>
      <w:r w:rsidR="008A74EB" w:rsidRPr="00C9040A">
        <w:rPr>
          <w:rtl/>
        </w:rPr>
        <w:t xml:space="preserve"> </w:t>
      </w:r>
      <w:r w:rsidR="008A74EB" w:rsidRPr="00993B55">
        <w:rPr>
          <w:rStyle w:val="libFootnoteBoldChar"/>
          <w:rtl/>
        </w:rPr>
        <w:t>الكافي</w:t>
      </w:r>
      <w:r w:rsidR="008A74EB" w:rsidRPr="00C9040A">
        <w:rPr>
          <w:rtl/>
        </w:rPr>
        <w:t xml:space="preserve"> ، كتاب الجنائز ، باب علل الموت وأنّ المؤمن يموت بكلّ ميتة ، ح 4250 ، عن عدّة من أصحابنا ، عن سهل بن زياد ، عن محمّد بن سنان</w:t>
      </w:r>
      <w:r w:rsidR="00EE6F05">
        <w:rPr>
          <w:rFonts w:hint="cs"/>
          <w:rtl/>
        </w:rPr>
        <w:t>.</w:t>
      </w:r>
      <w:r w:rsidR="008A74EB" w:rsidRPr="00993B55">
        <w:rPr>
          <w:rStyle w:val="libFootnoteBoldChar"/>
          <w:rtl/>
        </w:rPr>
        <w:t>الوافي</w:t>
      </w:r>
      <w:r w:rsidR="008A74EB" w:rsidRPr="00C9040A">
        <w:rPr>
          <w:rtl/>
        </w:rPr>
        <w:t xml:space="preserve"> ، ج 5 ، ص 777 ، ح 3027 ؛ </w:t>
      </w:r>
      <w:r w:rsidR="008A74EB" w:rsidRPr="00993B55">
        <w:rPr>
          <w:rStyle w:val="libFootnoteBoldChar"/>
          <w:rtl/>
        </w:rPr>
        <w:t>البحار</w:t>
      </w:r>
      <w:r w:rsidR="008A74EB" w:rsidRPr="00C9040A">
        <w:rPr>
          <w:rtl/>
        </w:rPr>
        <w:t xml:space="preserve"> ، ج 12 ، ص 341 ، ح 1 ؛ وج 63 ، ص 201 ، ح 18 ؛ وج 67 ، ص 206 ، ح 5.</w:t>
      </w:r>
    </w:p>
    <w:p w:rsidR="008A74EB" w:rsidRPr="00C9040A" w:rsidRDefault="006C577F" w:rsidP="00EE6F05">
      <w:pPr>
        <w:pStyle w:val="libFootnote0"/>
        <w:rPr>
          <w:rtl/>
          <w:lang w:bidi="fa-IR"/>
        </w:rPr>
      </w:pPr>
      <w:r>
        <w:rPr>
          <w:rtl/>
        </w:rPr>
        <w:t>(4).</w:t>
      </w:r>
      <w:r w:rsidR="008A74EB" w:rsidRPr="00C9040A">
        <w:rPr>
          <w:rtl/>
        </w:rPr>
        <w:t xml:space="preserve"> في البحار </w:t>
      </w:r>
      <w:r w:rsidR="008A74EB">
        <w:rPr>
          <w:rtl/>
        </w:rPr>
        <w:t xml:space="preserve">: </w:t>
      </w:r>
      <w:r w:rsidR="0084262C">
        <w:rPr>
          <w:rtl/>
        </w:rPr>
        <w:t>-</w:t>
      </w:r>
      <w:r w:rsidR="008A74EB" w:rsidRPr="00C9040A">
        <w:rPr>
          <w:rtl/>
        </w:rPr>
        <w:t xml:space="preserve"> « أحمد بن »</w:t>
      </w:r>
      <w:r w:rsidR="008A74EB">
        <w:rPr>
          <w:rtl/>
        </w:rPr>
        <w:t>.</w:t>
      </w:r>
      <w:r w:rsidR="008A74EB" w:rsidRPr="00C9040A">
        <w:rPr>
          <w:rtl/>
        </w:rPr>
        <w:t xml:space="preserve"> وهو سهو ؛ فقد روى محمّد بن يحيى ، عن أحمد بن محمّد [ بن عيسى ] عن [ الحسن بن عليّ ] بن فضّال في كثيرٍ من الأسناد جدّاً. ولم نجد في ما تتبّعنا توسّط محمّد بن عيسى بين محمّد بن يحيى وابن فضّال. راجع : </w:t>
      </w:r>
      <w:r w:rsidR="008A74EB" w:rsidRPr="00993B55">
        <w:rPr>
          <w:rStyle w:val="libFootnoteBoldChar"/>
          <w:rtl/>
        </w:rPr>
        <w:t>معجم رجال الحديث</w:t>
      </w:r>
      <w:r w:rsidR="008A74EB" w:rsidRPr="00C9040A">
        <w:rPr>
          <w:rtl/>
        </w:rPr>
        <w:t xml:space="preserve"> ، ج 2 ، ص 470</w:t>
      </w:r>
      <w:r w:rsidR="008A74EB">
        <w:rPr>
          <w:rtl/>
        </w:rPr>
        <w:t xml:space="preserve"> </w:t>
      </w:r>
      <w:r w:rsidR="0084262C">
        <w:rPr>
          <w:rtl/>
        </w:rPr>
        <w:t>-</w:t>
      </w:r>
      <w:r w:rsidR="008A74EB">
        <w:rPr>
          <w:rtl/>
        </w:rPr>
        <w:t xml:space="preserve"> </w:t>
      </w:r>
      <w:r w:rsidR="008A74EB" w:rsidRPr="00C9040A">
        <w:rPr>
          <w:rtl/>
        </w:rPr>
        <w:t>476 ؛ وص 496</w:t>
      </w:r>
      <w:r w:rsidR="008A74EB">
        <w:rPr>
          <w:rtl/>
        </w:rPr>
        <w:t xml:space="preserve"> </w:t>
      </w:r>
      <w:r w:rsidR="0084262C">
        <w:rPr>
          <w:rtl/>
        </w:rPr>
        <w:t>-</w:t>
      </w:r>
      <w:r w:rsidR="008A74EB">
        <w:rPr>
          <w:rtl/>
        </w:rPr>
        <w:t xml:space="preserve"> </w:t>
      </w:r>
      <w:r w:rsidR="008A74EB" w:rsidRPr="00C9040A">
        <w:rPr>
          <w:rtl/>
        </w:rPr>
        <w:t>497 ؛ وص 656</w:t>
      </w:r>
      <w:r w:rsidR="008A74EB">
        <w:rPr>
          <w:rtl/>
        </w:rPr>
        <w:t xml:space="preserve"> </w:t>
      </w:r>
      <w:r w:rsidR="0084262C">
        <w:rPr>
          <w:rtl/>
        </w:rPr>
        <w:t>-</w:t>
      </w:r>
      <w:r w:rsidR="008A74EB">
        <w:rPr>
          <w:rtl/>
        </w:rPr>
        <w:t xml:space="preserve"> </w:t>
      </w:r>
      <w:r w:rsidR="008A74EB" w:rsidRPr="00C9040A">
        <w:rPr>
          <w:rtl/>
        </w:rPr>
        <w:t>657 ؛ وص 665</w:t>
      </w:r>
      <w:r w:rsidR="008A74EB">
        <w:rPr>
          <w:rtl/>
        </w:rPr>
        <w:t xml:space="preserve"> </w:t>
      </w:r>
      <w:r w:rsidR="0084262C">
        <w:rPr>
          <w:rtl/>
        </w:rPr>
        <w:t>-</w:t>
      </w:r>
      <w:r w:rsidR="008A74EB">
        <w:rPr>
          <w:rtl/>
        </w:rPr>
        <w:t xml:space="preserve"> </w:t>
      </w:r>
      <w:r w:rsidR="008A74EB" w:rsidRPr="00C9040A">
        <w:rPr>
          <w:rtl/>
        </w:rPr>
        <w:t>666.</w:t>
      </w:r>
      <w:r w:rsidR="00EE6F05">
        <w:rPr>
          <w:rFonts w:hint="cs"/>
          <w:rtl/>
        </w:rPr>
        <w:t xml:space="preserve">                             </w:t>
      </w:r>
      <w:r>
        <w:rPr>
          <w:rtl/>
        </w:rPr>
        <w:t>(5).</w:t>
      </w:r>
      <w:r w:rsidR="008A74EB" w:rsidRPr="00C9040A">
        <w:rPr>
          <w:rtl/>
        </w:rPr>
        <w:t xml:space="preserve"> في « </w:t>
      </w:r>
      <w:r w:rsidR="006D3162">
        <w:rPr>
          <w:rtl/>
        </w:rPr>
        <w:t xml:space="preserve">ه </w:t>
      </w:r>
      <w:r w:rsidR="008A74EB" w:rsidRPr="00C9040A">
        <w:rPr>
          <w:rtl/>
        </w:rPr>
        <w:t>» وحاشية « ض » : « فلا ينالها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w:t>
      </w:r>
      <w:r w:rsidR="008A74EB" w:rsidRPr="00993B55">
        <w:rPr>
          <w:rStyle w:val="libFootnoteBoldChar"/>
          <w:rtl/>
        </w:rPr>
        <w:t>مرآة العقول</w:t>
      </w:r>
      <w:r w:rsidR="008A74EB" w:rsidRPr="00C9040A">
        <w:rPr>
          <w:rtl/>
        </w:rPr>
        <w:t xml:space="preserve"> : « بذهاب ماله ، بكسر اللام. وقد يقرأ بالفتح »</w:t>
      </w:r>
      <w:r w:rsidR="008A74EB">
        <w:rPr>
          <w:rtl/>
        </w:rPr>
        <w:t>.</w:t>
      </w:r>
    </w:p>
    <w:p w:rsidR="008A74EB" w:rsidRPr="00C9040A" w:rsidRDefault="006C577F" w:rsidP="00EE6F05">
      <w:pPr>
        <w:pStyle w:val="libFootnote0"/>
        <w:rPr>
          <w:rtl/>
          <w:lang w:bidi="fa-IR"/>
        </w:rPr>
      </w:pPr>
      <w:r>
        <w:rPr>
          <w:rtl/>
        </w:rPr>
        <w:t>(7).</w:t>
      </w:r>
      <w:r w:rsidR="008A74EB" w:rsidRPr="00C9040A">
        <w:rPr>
          <w:rtl/>
        </w:rPr>
        <w:t xml:space="preserve"> </w:t>
      </w:r>
      <w:r w:rsidR="008A74EB" w:rsidRPr="00993B55">
        <w:rPr>
          <w:rStyle w:val="libFootnoteBoldChar"/>
          <w:rtl/>
        </w:rPr>
        <w:t>المؤمن</w:t>
      </w:r>
      <w:r w:rsidR="008A74EB" w:rsidRPr="00C9040A">
        <w:rPr>
          <w:rtl/>
        </w:rPr>
        <w:t xml:space="preserve"> ، ص 28 ، ح 50 ، عن أبي عبدالله </w:t>
      </w:r>
      <w:r w:rsidR="00117575" w:rsidRPr="00117575">
        <w:rPr>
          <w:rStyle w:val="libFootnoteAlaemChar"/>
          <w:rtl/>
        </w:rPr>
        <w:t xml:space="preserve">عليه‌السلام </w:t>
      </w:r>
      <w:r w:rsidR="008A74EB" w:rsidRPr="00C9040A">
        <w:rPr>
          <w:rtl/>
        </w:rPr>
        <w:t xml:space="preserve"> ، مع اختلاف يسير</w:t>
      </w:r>
      <w:r w:rsidR="00EE6F05">
        <w:rPr>
          <w:rFonts w:hint="cs"/>
          <w:rtl/>
        </w:rPr>
        <w:t>.</w:t>
      </w:r>
      <w:r w:rsidR="008A74EB" w:rsidRPr="00993B55">
        <w:rPr>
          <w:rStyle w:val="libFootnoteBoldChar"/>
          <w:rtl/>
        </w:rPr>
        <w:t>الوافي</w:t>
      </w:r>
      <w:r w:rsidR="008A74EB" w:rsidRPr="00C9040A">
        <w:rPr>
          <w:rtl/>
        </w:rPr>
        <w:t xml:space="preserve"> ، ج 5 ، ص 769 ، ح 3016 ؛ </w:t>
      </w:r>
      <w:r w:rsidR="008A74EB" w:rsidRPr="00993B55">
        <w:rPr>
          <w:rStyle w:val="libFootnoteBoldChar"/>
          <w:rtl/>
        </w:rPr>
        <w:t>الوسائل</w:t>
      </w:r>
      <w:r w:rsidR="008A74EB" w:rsidRPr="00C9040A">
        <w:rPr>
          <w:rtl/>
        </w:rPr>
        <w:t xml:space="preserve"> ، ج 3 ، ص 262 ، ح 3587 ؛ </w:t>
      </w:r>
      <w:r w:rsidR="008A74EB" w:rsidRPr="00993B55">
        <w:rPr>
          <w:rStyle w:val="libFootnoteBoldChar"/>
          <w:rtl/>
        </w:rPr>
        <w:t>البحار</w:t>
      </w:r>
      <w:r w:rsidR="008A74EB" w:rsidRPr="00C9040A">
        <w:rPr>
          <w:rtl/>
        </w:rPr>
        <w:t xml:space="preserve"> ، ج 67 ، ص 215 ، ح 23.</w:t>
      </w:r>
    </w:p>
    <w:p w:rsidR="008A74EB" w:rsidRPr="00C9040A" w:rsidRDefault="006C577F" w:rsidP="004A4E41">
      <w:pPr>
        <w:pStyle w:val="libFootnote0"/>
        <w:rPr>
          <w:rtl/>
          <w:lang w:bidi="fa-IR"/>
        </w:rPr>
      </w:pPr>
      <w:r>
        <w:rPr>
          <w:rtl/>
        </w:rPr>
        <w:t>(8).</w:t>
      </w:r>
      <w:r w:rsidR="008A74EB" w:rsidRPr="00C9040A">
        <w:rPr>
          <w:rtl/>
        </w:rPr>
        <w:t xml:space="preserve"> الضمير راجع إلى أحمد بن محمّد بن عيسى المذكور في السند السابق.</w:t>
      </w:r>
    </w:p>
    <w:p w:rsidR="008A74EB" w:rsidRPr="00C9040A" w:rsidRDefault="006C577F" w:rsidP="00EE6F05">
      <w:pPr>
        <w:pStyle w:val="libFootnote0"/>
        <w:rPr>
          <w:rtl/>
          <w:lang w:bidi="fa-IR"/>
        </w:rPr>
      </w:pPr>
      <w:r>
        <w:rPr>
          <w:rtl/>
        </w:rPr>
        <w:t>(9).</w:t>
      </w:r>
      <w:r w:rsidR="008A74EB" w:rsidRPr="00C9040A">
        <w:rPr>
          <w:rtl/>
        </w:rPr>
        <w:t xml:space="preserve"> في </w:t>
      </w:r>
      <w:r w:rsidR="008A74EB" w:rsidRPr="00993B55">
        <w:rPr>
          <w:rStyle w:val="libFootnoteBoldChar"/>
          <w:rtl/>
        </w:rPr>
        <w:t>الوافي</w:t>
      </w:r>
      <w:r w:rsidR="008A74EB" w:rsidRPr="00C9040A">
        <w:rPr>
          <w:rtl/>
        </w:rPr>
        <w:t xml:space="preserve"> : « يعني لولا مخافة انكسار قلب المؤمن بوجده على ما يراه على الكافر من العافية المستمرّة ، لقوّيت رأس الكافر حتّى لايصدع أبداً »</w:t>
      </w:r>
      <w:r w:rsidR="008A74EB">
        <w:rPr>
          <w:rtl/>
        </w:rPr>
        <w:t>.</w:t>
      </w:r>
      <w:r w:rsidR="00EE6F05">
        <w:rPr>
          <w:rFonts w:hint="cs"/>
          <w:rtl/>
        </w:rPr>
        <w:t xml:space="preserve">                         </w:t>
      </w:r>
      <w:r>
        <w:rPr>
          <w:rtl/>
        </w:rPr>
        <w:t>(10).</w:t>
      </w:r>
      <w:r w:rsidR="008A74EB" w:rsidRPr="00C9040A">
        <w:rPr>
          <w:rtl/>
        </w:rPr>
        <w:t xml:space="preserve"> يجوز فيهما التشديد أيضاً.</w:t>
      </w:r>
    </w:p>
    <w:p w:rsidR="008A74EB" w:rsidRPr="00C9040A" w:rsidRDefault="006C577F" w:rsidP="004A4E41">
      <w:pPr>
        <w:pStyle w:val="libFootnote0"/>
        <w:rPr>
          <w:rtl/>
          <w:lang w:bidi="fa-IR"/>
        </w:rPr>
      </w:pPr>
      <w:r>
        <w:rPr>
          <w:rtl/>
        </w:rPr>
        <w:t>(11).</w:t>
      </w:r>
      <w:r w:rsidR="008A74EB" w:rsidRPr="00C9040A">
        <w:rPr>
          <w:rtl/>
        </w:rPr>
        <w:t xml:space="preserve"> يجوز فيهما التشديد أيضاً.</w:t>
      </w:r>
    </w:p>
    <w:p w:rsidR="008A74EB" w:rsidRPr="00C9040A" w:rsidRDefault="006C577F" w:rsidP="004A4E41">
      <w:pPr>
        <w:pStyle w:val="libFootnote0"/>
        <w:rPr>
          <w:rtl/>
          <w:lang w:bidi="fa-IR"/>
        </w:rPr>
      </w:pPr>
      <w:r>
        <w:rPr>
          <w:rtl/>
        </w:rPr>
        <w:t>(12).</w:t>
      </w:r>
      <w:r w:rsidR="008A74EB" w:rsidRPr="00C9040A">
        <w:rPr>
          <w:rtl/>
        </w:rPr>
        <w:t xml:space="preserve"> </w:t>
      </w:r>
      <w:r w:rsidR="008A74EB" w:rsidRPr="00993B55">
        <w:rPr>
          <w:rStyle w:val="libFootnoteBoldChar"/>
          <w:rtl/>
        </w:rPr>
        <w:t>الوافي</w:t>
      </w:r>
      <w:r w:rsidR="008A74EB" w:rsidRPr="00C9040A">
        <w:rPr>
          <w:rtl/>
        </w:rPr>
        <w:t xml:space="preserve"> ، ج 5 ، ص 770 ، ح 3020 ؛ </w:t>
      </w:r>
      <w:r w:rsidR="008A74EB" w:rsidRPr="00993B55">
        <w:rPr>
          <w:rStyle w:val="libFootnoteBoldChar"/>
          <w:rtl/>
        </w:rPr>
        <w:t>البحار</w:t>
      </w:r>
      <w:r w:rsidR="008A74EB" w:rsidRPr="00C9040A">
        <w:rPr>
          <w:rtl/>
        </w:rPr>
        <w:t xml:space="preserve"> ، ج 67 ، ص 216 ، ح 24.</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0F0400">
        <w:rPr>
          <w:rtl/>
        </w:rPr>
        <w:t>2376</w:t>
      </w:r>
      <w:r w:rsidRPr="00261CB0">
        <w:rPr>
          <w:rStyle w:val="libBold2Char"/>
          <w:rtl/>
        </w:rPr>
        <w:t xml:space="preserve"> / 25.</w:t>
      </w:r>
      <w:r w:rsidRPr="00C9040A">
        <w:rPr>
          <w:rtl/>
          <w:lang w:bidi="fa-IR"/>
        </w:rPr>
        <w:t xml:space="preserve"> عَلِيُّ بْنُ إِبْرَاهِيمَ ، عَنْ أَبِيهِ ، عَنِ ابْنِ أَبِي عُمَيْرٍ ، عَنْ حُسَيْنِ بْنِ عُثْمَانَ ، عَنْ عَبْدِ اللهِ بْنِ مُسْكَانَ ، عَنْ أَبِي بَصِيرٍ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مَثَلُ الْمُؤْمِنِ كَمَثَلِ خَامَةِ </w:t>
      </w:r>
      <w:r w:rsidR="006C577F" w:rsidRPr="006C577F">
        <w:rPr>
          <w:rStyle w:val="libFootnotenumChar"/>
          <w:rtl/>
        </w:rPr>
        <w:t>(1)</w:t>
      </w:r>
      <w:r w:rsidRPr="00C9040A">
        <w:rPr>
          <w:rtl/>
          <w:lang w:bidi="fa-IR"/>
        </w:rPr>
        <w:t xml:space="preserve"> الزَّرْعِ تُكْفِئُهَا </w:t>
      </w:r>
      <w:r w:rsidR="006C577F" w:rsidRPr="006C577F">
        <w:rPr>
          <w:rStyle w:val="libFootnotenumChar"/>
          <w:rtl/>
        </w:rPr>
        <w:t>(2)</w:t>
      </w:r>
      <w:r w:rsidRPr="00C9040A">
        <w:rPr>
          <w:rtl/>
          <w:lang w:bidi="fa-IR"/>
        </w:rPr>
        <w:t xml:space="preserve"> الرِّيَاحُ </w:t>
      </w:r>
      <w:r w:rsidR="006C577F" w:rsidRPr="006C577F">
        <w:rPr>
          <w:rStyle w:val="libFootnotenumChar"/>
          <w:rtl/>
        </w:rPr>
        <w:t>(3)</w:t>
      </w:r>
      <w:r w:rsidRPr="00C9040A">
        <w:rPr>
          <w:rtl/>
          <w:lang w:bidi="fa-IR"/>
        </w:rPr>
        <w:t xml:space="preserve"> كَذَا وَكَذَا ، وَكَذلِكَ الْمُؤْمِنُ تُكْفِئُهُ الْأَوْجَاعُ وَالْأَمْرَاضُ ؛ وَمَثَلُ الْمُنَافِقِ كَمَثَلِ الْإِرْزَبَّةِ </w:t>
      </w:r>
      <w:r w:rsidR="006C577F" w:rsidRPr="006C577F">
        <w:rPr>
          <w:rStyle w:val="libFootnotenumChar"/>
          <w:rtl/>
        </w:rPr>
        <w:t>(4)</w:t>
      </w:r>
      <w:r w:rsidRPr="00C9040A">
        <w:rPr>
          <w:rtl/>
          <w:lang w:bidi="fa-IR"/>
        </w:rPr>
        <w:t xml:space="preserve"> الْمُسْتَقِيمَةِ الَّتِي لَايُصِيبُهَا شَيْ‌ءٌ حَتّى يَأْتِيَهُ الْمَوْتُ ، فَيَقْصِفَهُ </w:t>
      </w:r>
      <w:r w:rsidR="006C577F" w:rsidRPr="006C577F">
        <w:rPr>
          <w:rStyle w:val="libFootnotenumChar"/>
          <w:rtl/>
        </w:rPr>
        <w:t>(5)</w:t>
      </w:r>
      <w:r w:rsidRPr="00C9040A">
        <w:rPr>
          <w:rtl/>
          <w:lang w:bidi="fa-IR"/>
        </w:rPr>
        <w:t xml:space="preserve"> قَصْفاً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Normal"/>
        <w:rPr>
          <w:rtl/>
          <w:lang w:bidi="fa-IR"/>
        </w:rPr>
      </w:pPr>
      <w:r w:rsidRPr="000F0400">
        <w:rPr>
          <w:rtl/>
        </w:rPr>
        <w:t>2377</w:t>
      </w:r>
      <w:r w:rsidRPr="00261CB0">
        <w:rPr>
          <w:rStyle w:val="libBold2Char"/>
          <w:rtl/>
        </w:rPr>
        <w:t xml:space="preserve"> / 26.</w:t>
      </w:r>
      <w:r w:rsidRPr="00C9040A">
        <w:rPr>
          <w:rtl/>
          <w:lang w:bidi="fa-IR"/>
        </w:rPr>
        <w:t xml:space="preserve"> عَلِيُّ بْنُ إِبْرَاهِيمَ ، عَنْ هَارُونَ بْنِ مُسْلِمٍ ، عَنْ مَسْعَدَةَ بْنِ صَدَقَةَ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6C577F" w:rsidRPr="006C577F">
        <w:rPr>
          <w:rStyle w:val="libFootnotenumChar"/>
          <w:rtl/>
        </w:rPr>
        <w:t>(7)</w:t>
      </w:r>
      <w:r w:rsidRPr="00C9040A">
        <w:rPr>
          <w:rtl/>
          <w:lang w:bidi="fa-IR"/>
        </w:rPr>
        <w:t xml:space="preserve"> </w:t>
      </w:r>
      <w:r w:rsidR="004A4E41" w:rsidRPr="004A4E41">
        <w:rPr>
          <w:rStyle w:val="libAlaemChar"/>
          <w:rtl/>
        </w:rPr>
        <w:t>صلى‌الله‌عليه‌وآله</w:t>
      </w:r>
      <w:r w:rsidRPr="00C9040A">
        <w:rPr>
          <w:rtl/>
          <w:lang w:bidi="fa-IR"/>
        </w:rPr>
        <w:t xml:space="preserve"> يَوْماً لِأَصْحَابِهِ : مَلْعُونٌ كُلُّ مَالٍ لَا يُزَكّى ، مَلْعُونٌ كُلُّ جَسَدٍ لَايُزَكّى وَلَوْ </w:t>
      </w:r>
      <w:r w:rsidR="006C577F" w:rsidRPr="006C577F">
        <w:rPr>
          <w:rStyle w:val="libFootnotenumChar"/>
          <w:rtl/>
        </w:rPr>
        <w:t>(8)</w:t>
      </w:r>
      <w:r w:rsidRPr="00C9040A">
        <w:rPr>
          <w:rtl/>
          <w:lang w:bidi="fa-IR"/>
        </w:rPr>
        <w:t xml:space="preserve"> فِي كُلِّ </w:t>
      </w:r>
      <w:r w:rsidR="006C577F" w:rsidRPr="006C577F">
        <w:rPr>
          <w:rStyle w:val="libFootnotenumChar"/>
          <w:rtl/>
        </w:rPr>
        <w:t>(9)</w:t>
      </w:r>
      <w:r w:rsidRPr="00C9040A">
        <w:rPr>
          <w:rtl/>
          <w:lang w:bidi="fa-IR"/>
        </w:rPr>
        <w:t xml:space="preserve"> أَرْبَعِينَ يَوْماً مَرَّةً ، فَقِيلَ : يَا رَسُولَ‌اللهِ ، أَمَّا زَكَاةُ الْمَالِ فَقَدْ عَرَفْنَاهَا </w:t>
      </w:r>
      <w:r w:rsidR="006C577F" w:rsidRPr="006C577F">
        <w:rPr>
          <w:rStyle w:val="libFootnotenumChar"/>
          <w:rtl/>
        </w:rPr>
        <w:t>(10)</w:t>
      </w:r>
      <w:r w:rsidRPr="00C9040A">
        <w:rPr>
          <w:rtl/>
          <w:lang w:bidi="fa-IR"/>
        </w:rPr>
        <w:t xml:space="preserve"> ، فَمَا زَكَاةُ الْأَجْسَادِ </w:t>
      </w:r>
      <w:r w:rsidR="006C577F" w:rsidRPr="006C577F">
        <w:rPr>
          <w:rStyle w:val="libFootnotenumChar"/>
          <w:rtl/>
        </w:rPr>
        <w:t>(11)</w:t>
      </w:r>
      <w:r>
        <w:rPr>
          <w:rtl/>
          <w:lang w:bidi="fa-IR"/>
        </w:rPr>
        <w:t>؟</w:t>
      </w:r>
      <w:r w:rsidRPr="00C9040A">
        <w:rPr>
          <w:rtl/>
          <w:lang w:bidi="fa-IR"/>
        </w:rPr>
        <w:t xml:space="preserve"> فَقَالَ لَهُمْ : أَنْ تُصَابَ بِآفَةٍ »</w:t>
      </w:r>
      <w:r>
        <w:rPr>
          <w:rtl/>
          <w:lang w:bidi="fa-IR"/>
        </w:rPr>
        <w:t>.</w:t>
      </w:r>
    </w:p>
    <w:p w:rsidR="008A74EB" w:rsidRPr="00C9040A" w:rsidRDefault="008A74EB" w:rsidP="008A74EB">
      <w:pPr>
        <w:pStyle w:val="libNormal"/>
        <w:rPr>
          <w:rtl/>
          <w:lang w:bidi="fa-IR"/>
        </w:rPr>
      </w:pPr>
      <w:r w:rsidRPr="00C9040A">
        <w:rPr>
          <w:rtl/>
          <w:lang w:bidi="fa-IR"/>
        </w:rPr>
        <w:t xml:space="preserve">قَالَ : « فَتَغَيَّرَتْ وُجُوهُ </w:t>
      </w:r>
      <w:r w:rsidR="006C577F" w:rsidRPr="006C577F">
        <w:rPr>
          <w:rStyle w:val="libFootnotenumChar"/>
          <w:rtl/>
        </w:rPr>
        <w:t>(12)</w:t>
      </w:r>
      <w:r w:rsidRPr="00C9040A">
        <w:rPr>
          <w:rtl/>
          <w:lang w:bidi="fa-IR"/>
        </w:rPr>
        <w:t xml:space="preserve"> الَّذِينَ سَمِعُوا ذلِكَ مِنْهُ ، فَلَمَّا رَآهُمْ قَدْ تَغَيَّرَتْ أَ</w:t>
      </w:r>
      <w:r>
        <w:rPr>
          <w:rtl/>
          <w:lang w:bidi="fa-IR"/>
        </w:rPr>
        <w:t>لْوَانُهُمْ ، قَالَ لَهُمْ : أَ</w:t>
      </w:r>
      <w:r w:rsidRPr="00C9040A">
        <w:rPr>
          <w:rtl/>
          <w:lang w:bidi="fa-IR"/>
        </w:rPr>
        <w:t xml:space="preserve">تَدْرُونَ </w:t>
      </w:r>
      <w:r w:rsidRPr="005B567D">
        <w:rPr>
          <w:rStyle w:val="libFootnotenumChar"/>
          <w:rtl/>
        </w:rPr>
        <w:t>(13)</w:t>
      </w:r>
      <w:r w:rsidRPr="00C9040A">
        <w:rPr>
          <w:rtl/>
          <w:lang w:bidi="fa-IR"/>
        </w:rPr>
        <w:t xml:space="preserve"> مَا عَنَيْتُ بِقَوْلِي </w:t>
      </w:r>
      <w:r w:rsidRPr="005B567D">
        <w:rPr>
          <w:rStyle w:val="libFootnotenumChar"/>
          <w:rtl/>
        </w:rPr>
        <w:t>(14)</w:t>
      </w:r>
      <w:r>
        <w:rPr>
          <w:rtl/>
          <w:lang w:bidi="fa-IR"/>
        </w:rPr>
        <w:t>؟</w:t>
      </w:r>
      <w:r w:rsidRPr="00C9040A">
        <w:rPr>
          <w:rtl/>
          <w:lang w:bidi="fa-IR"/>
        </w:rPr>
        <w:t xml:space="preserve"> قَالُوا : لَايَا رَسُولَ اللهِ ، قَالَ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 الخامة » : الطاقة الغَضّة اللَّيّنَة من الزرع. </w:t>
      </w:r>
      <w:r w:rsidR="008A74EB" w:rsidRPr="00993B55">
        <w:rPr>
          <w:rStyle w:val="libFootnoteBoldChar"/>
          <w:rtl/>
        </w:rPr>
        <w:t>النهاية</w:t>
      </w:r>
      <w:r w:rsidR="008A74EB" w:rsidRPr="00C9040A">
        <w:rPr>
          <w:rtl/>
        </w:rPr>
        <w:t xml:space="preserve"> ، ج 2 ، ص 89 ( خوم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بس » : « يكفيها » بقلب الهمزة ياءً. وكفأه : قَلَبَه. </w:t>
      </w:r>
      <w:r w:rsidR="008A74EB" w:rsidRPr="00993B55">
        <w:rPr>
          <w:rStyle w:val="libFootnoteBoldChar"/>
          <w:rtl/>
        </w:rPr>
        <w:t>لسان العرب</w:t>
      </w:r>
      <w:r w:rsidR="008A74EB" w:rsidRPr="00C9040A">
        <w:rPr>
          <w:rtl/>
        </w:rPr>
        <w:t xml:space="preserve"> ، ج 1 ، ص 140 ( كفأ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بر » : « الريح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حاشية « ج ، ض ، </w:t>
      </w:r>
      <w:r w:rsidR="006D3162">
        <w:rPr>
          <w:rtl/>
        </w:rPr>
        <w:t xml:space="preserve">ه </w:t>
      </w:r>
      <w:r w:rsidR="008A74EB" w:rsidRPr="00C9040A">
        <w:rPr>
          <w:rtl/>
        </w:rPr>
        <w:t xml:space="preserve">، بر » : « الأرْزة » ، وهو شجر الصنوبر. وهو الأنسب بالمقام بقرينة قبوله الموت. </w:t>
      </w:r>
      <w:r w:rsidR="008A74EB">
        <w:rPr>
          <w:rtl/>
        </w:rPr>
        <w:t>و «</w:t>
      </w:r>
      <w:r w:rsidR="008A74EB" w:rsidRPr="00C9040A">
        <w:rPr>
          <w:rtl/>
        </w:rPr>
        <w:t xml:space="preserve"> الإرْزَبّة » </w:t>
      </w:r>
      <w:r w:rsidR="008A74EB">
        <w:rPr>
          <w:rtl/>
        </w:rPr>
        <w:t>و «</w:t>
      </w:r>
      <w:r w:rsidR="008A74EB" w:rsidRPr="00C9040A">
        <w:rPr>
          <w:rtl/>
        </w:rPr>
        <w:t xml:space="preserve"> ال</w:t>
      </w:r>
      <w:r w:rsidR="00DE1333">
        <w:rPr>
          <w:rFonts w:hint="cs"/>
          <w:rtl/>
        </w:rPr>
        <w:t>ـ</w:t>
      </w:r>
      <w:r w:rsidR="008A74EB" w:rsidRPr="00C9040A">
        <w:rPr>
          <w:rtl/>
        </w:rPr>
        <w:t xml:space="preserve">مِرْزَبّة » : عُصَيَّة من حديد. </w:t>
      </w:r>
      <w:r w:rsidR="008A74EB" w:rsidRPr="00993B55">
        <w:rPr>
          <w:rStyle w:val="libFootnoteBoldChar"/>
          <w:rtl/>
        </w:rPr>
        <w:t>القاموس المحيط</w:t>
      </w:r>
      <w:r w:rsidR="008A74EB" w:rsidRPr="00C9040A">
        <w:rPr>
          <w:rtl/>
        </w:rPr>
        <w:t xml:space="preserve"> ، ج 1 ، ص 168 ( رزب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قصفتُ العُودَ فانقصف : مثل كسرتُه فانكسر وزناً ومعنى. وربّما استُعمل لازماً أيضاً ، فقيل : قصفته فَقَصف. </w:t>
      </w:r>
      <w:r w:rsidR="008A74EB" w:rsidRPr="00993B55">
        <w:rPr>
          <w:rStyle w:val="libFootnoteBoldChar"/>
          <w:rtl/>
        </w:rPr>
        <w:t>المصباح المنير</w:t>
      </w:r>
      <w:r w:rsidR="008A74EB" w:rsidRPr="00C9040A">
        <w:rPr>
          <w:rtl/>
        </w:rPr>
        <w:t xml:space="preserve"> ، ص 506 ( قصف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الوافي</w:t>
      </w:r>
      <w:r w:rsidR="008A74EB" w:rsidRPr="00C9040A">
        <w:rPr>
          <w:rtl/>
        </w:rPr>
        <w:t xml:space="preserve"> ، ج 5 ، ص 770 ، ح 3019 ؛ </w:t>
      </w:r>
      <w:r w:rsidR="008A74EB" w:rsidRPr="00993B55">
        <w:rPr>
          <w:rStyle w:val="libFootnoteBoldChar"/>
          <w:rtl/>
        </w:rPr>
        <w:t>البحار</w:t>
      </w:r>
      <w:r w:rsidR="008A74EB" w:rsidRPr="00C9040A">
        <w:rPr>
          <w:rtl/>
        </w:rPr>
        <w:t xml:space="preserve"> ، ج 67 ، ص 217 ، ح 25.</w:t>
      </w:r>
    </w:p>
    <w:p w:rsidR="008A74EB" w:rsidRPr="00C9040A" w:rsidRDefault="006C577F" w:rsidP="004A4E41">
      <w:pPr>
        <w:pStyle w:val="libFootnote0"/>
        <w:rPr>
          <w:rtl/>
          <w:lang w:bidi="fa-IR"/>
        </w:rPr>
      </w:pPr>
      <w:r>
        <w:rPr>
          <w:rtl/>
        </w:rPr>
        <w:t>(7).</w:t>
      </w:r>
      <w:r w:rsidR="008A74EB" w:rsidRPr="00C9040A">
        <w:rPr>
          <w:rtl/>
        </w:rPr>
        <w:t xml:space="preserve"> في « ب ، د ، ز ، ص ، بر ، بف » والوافي والبحار : « النبيّ »</w:t>
      </w:r>
      <w:r w:rsidR="008A74EB">
        <w:rPr>
          <w:rtl/>
        </w:rPr>
        <w:t>.</w:t>
      </w:r>
    </w:p>
    <w:tbl>
      <w:tblPr>
        <w:tblStyle w:val="TableGrid"/>
        <w:bidiVisual/>
        <w:tblW w:w="0" w:type="auto"/>
        <w:tblLook w:val="04A0" w:firstRow="1" w:lastRow="0" w:firstColumn="1" w:lastColumn="0" w:noHBand="0" w:noVBand="1"/>
      </w:tblPr>
      <w:tblGrid>
        <w:gridCol w:w="4006"/>
        <w:gridCol w:w="4006"/>
      </w:tblGrid>
      <w:tr w:rsidR="00DE1333" w:rsidTr="00DE1333">
        <w:tc>
          <w:tcPr>
            <w:tcW w:w="4006" w:type="dxa"/>
          </w:tcPr>
          <w:p w:rsidR="00DE1333" w:rsidRDefault="00DE1333" w:rsidP="004A4E41">
            <w:pPr>
              <w:pStyle w:val="libFootnote0"/>
              <w:rPr>
                <w:rtl/>
              </w:rPr>
            </w:pPr>
            <w:r>
              <w:rPr>
                <w:rtl/>
              </w:rPr>
              <w:t>(8).</w:t>
            </w:r>
            <w:r w:rsidRPr="00C9040A">
              <w:rPr>
                <w:rtl/>
              </w:rPr>
              <w:t xml:space="preserve"> في « ض ، </w:t>
            </w:r>
            <w:r>
              <w:rPr>
                <w:rtl/>
              </w:rPr>
              <w:t xml:space="preserve">ه </w:t>
            </w:r>
            <w:r w:rsidRPr="00C9040A">
              <w:rPr>
                <w:rtl/>
              </w:rPr>
              <w:t>» : « ولوكان »</w:t>
            </w:r>
            <w:r>
              <w:rPr>
                <w:rtl/>
              </w:rPr>
              <w:t>.</w:t>
            </w:r>
          </w:p>
        </w:tc>
        <w:tc>
          <w:tcPr>
            <w:tcW w:w="4006" w:type="dxa"/>
          </w:tcPr>
          <w:p w:rsidR="00DE1333" w:rsidRDefault="00DE1333" w:rsidP="004A4E41">
            <w:pPr>
              <w:pStyle w:val="libFootnote0"/>
              <w:rPr>
                <w:rtl/>
              </w:rPr>
            </w:pPr>
            <w:r>
              <w:rPr>
                <w:rtl/>
              </w:rPr>
              <w:t>(9).</w:t>
            </w:r>
            <w:r w:rsidRPr="00C9040A">
              <w:rPr>
                <w:rtl/>
              </w:rPr>
              <w:t xml:space="preserve"> في « ب » </w:t>
            </w:r>
            <w:r>
              <w:rPr>
                <w:rtl/>
              </w:rPr>
              <w:t>: -</w:t>
            </w:r>
            <w:r w:rsidRPr="00C9040A">
              <w:rPr>
                <w:rtl/>
              </w:rPr>
              <w:t xml:space="preserve"> « كلّ »</w:t>
            </w:r>
            <w:r>
              <w:rPr>
                <w:rtl/>
              </w:rPr>
              <w:t>.</w:t>
            </w:r>
          </w:p>
        </w:tc>
      </w:tr>
      <w:tr w:rsidR="00DE1333" w:rsidTr="00DE1333">
        <w:tc>
          <w:tcPr>
            <w:tcW w:w="4006" w:type="dxa"/>
          </w:tcPr>
          <w:p w:rsidR="00DE1333" w:rsidRDefault="00DE1333" w:rsidP="004A4E41">
            <w:pPr>
              <w:pStyle w:val="libFootnote0"/>
              <w:rPr>
                <w:rtl/>
              </w:rPr>
            </w:pPr>
            <w:r>
              <w:rPr>
                <w:rtl/>
              </w:rPr>
              <w:t>(10). في «ه</w:t>
            </w:r>
            <w:r w:rsidRPr="00C9040A">
              <w:rPr>
                <w:rtl/>
              </w:rPr>
              <w:t>» : « فعرفناه »</w:t>
            </w:r>
            <w:r>
              <w:rPr>
                <w:rtl/>
              </w:rPr>
              <w:t>. وفي « بر »: « عرفناه</w:t>
            </w:r>
            <w:r w:rsidRPr="00C9040A">
              <w:rPr>
                <w:rtl/>
              </w:rPr>
              <w:t>»</w:t>
            </w:r>
            <w:r>
              <w:rPr>
                <w:rtl/>
              </w:rPr>
              <w:t>.</w:t>
            </w:r>
          </w:p>
        </w:tc>
        <w:tc>
          <w:tcPr>
            <w:tcW w:w="4006" w:type="dxa"/>
          </w:tcPr>
          <w:p w:rsidR="00DE1333" w:rsidRDefault="00DE1333" w:rsidP="004A4E41">
            <w:pPr>
              <w:pStyle w:val="libFootnote0"/>
              <w:rPr>
                <w:rtl/>
              </w:rPr>
            </w:pPr>
            <w:r>
              <w:rPr>
                <w:rtl/>
              </w:rPr>
              <w:t>(11).</w:t>
            </w:r>
            <w:r w:rsidRPr="00C9040A">
              <w:rPr>
                <w:rtl/>
              </w:rPr>
              <w:t xml:space="preserve"> في « بر » : « الجسد »</w:t>
            </w:r>
            <w:r>
              <w:rPr>
                <w:rtl/>
              </w:rPr>
              <w:t>.</w:t>
            </w:r>
          </w:p>
        </w:tc>
      </w:tr>
    </w:tbl>
    <w:p w:rsidR="008A74EB" w:rsidRPr="00C9040A" w:rsidRDefault="006C577F" w:rsidP="004A4E41">
      <w:pPr>
        <w:pStyle w:val="libFootnote0"/>
        <w:rPr>
          <w:rtl/>
          <w:lang w:bidi="fa-IR"/>
        </w:rPr>
      </w:pPr>
      <w:r>
        <w:rPr>
          <w:rtl/>
        </w:rPr>
        <w:t>(12).</w:t>
      </w:r>
      <w:r w:rsidR="008A74EB" w:rsidRPr="00C9040A">
        <w:rPr>
          <w:rtl/>
        </w:rPr>
        <w:t xml:space="preserve"> في « ض ، </w:t>
      </w:r>
      <w:r w:rsidR="006D3162">
        <w:rPr>
          <w:rtl/>
        </w:rPr>
        <w:t xml:space="preserve">ه </w:t>
      </w:r>
      <w:r w:rsidR="008A74EB" w:rsidRPr="00C9040A">
        <w:rPr>
          <w:rtl/>
        </w:rPr>
        <w:t>» وقرب الإسناد : + « القوم »</w:t>
      </w:r>
      <w:r w:rsidR="008A74EB">
        <w:rPr>
          <w:rtl/>
        </w:rPr>
        <w:t>.</w:t>
      </w:r>
    </w:p>
    <w:p w:rsidR="008A74EB" w:rsidRPr="00C9040A" w:rsidRDefault="008A74EB" w:rsidP="004A4E41">
      <w:pPr>
        <w:pStyle w:val="libFootnote0"/>
        <w:rPr>
          <w:rtl/>
          <w:lang w:bidi="fa-IR"/>
        </w:rPr>
      </w:pPr>
      <w:r>
        <w:rPr>
          <w:rtl/>
        </w:rPr>
        <w:t>(13)</w:t>
      </w:r>
      <w:r w:rsidRPr="00C9040A">
        <w:rPr>
          <w:rtl/>
        </w:rPr>
        <w:t xml:space="preserve"> في « ج ، د ، ز ، ص ، </w:t>
      </w:r>
      <w:r w:rsidR="006D3162">
        <w:rPr>
          <w:rtl/>
        </w:rPr>
        <w:t xml:space="preserve">ه </w:t>
      </w:r>
      <w:r w:rsidRPr="00C9040A">
        <w:rPr>
          <w:rtl/>
        </w:rPr>
        <w:t>، بر ، بس ، بف » والوافي والبحار وقرب الإسناد : « هل تدرون »</w:t>
      </w:r>
      <w:r>
        <w:rPr>
          <w:rtl/>
        </w:rPr>
        <w:t>.</w:t>
      </w:r>
    </w:p>
    <w:p w:rsidR="008A74EB" w:rsidRPr="00C9040A" w:rsidRDefault="008A74EB" w:rsidP="004A4E41">
      <w:pPr>
        <w:pStyle w:val="libFootnote0"/>
        <w:rPr>
          <w:rtl/>
          <w:lang w:bidi="fa-IR"/>
        </w:rPr>
      </w:pPr>
      <w:r>
        <w:rPr>
          <w:rtl/>
        </w:rPr>
        <w:t>(14)</w:t>
      </w:r>
      <w:r w:rsidRPr="00C9040A">
        <w:rPr>
          <w:rtl/>
        </w:rPr>
        <w:t xml:space="preserve"> في « بس » : + « ذلك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بَلى </w:t>
      </w:r>
      <w:r w:rsidR="006C577F" w:rsidRPr="006C577F">
        <w:rPr>
          <w:rStyle w:val="libFootnotenumChar"/>
          <w:rtl/>
        </w:rPr>
        <w:t>(1)</w:t>
      </w:r>
      <w:r w:rsidRPr="00C9040A">
        <w:rPr>
          <w:rtl/>
          <w:lang w:bidi="fa-IR"/>
        </w:rPr>
        <w:t xml:space="preserve"> ، الرَّجُلُ يُخْدَشُ الْخَدْشَةَ ، وَيُنْكَبُ النَّكْبَةَ </w:t>
      </w:r>
      <w:r w:rsidR="006C577F" w:rsidRPr="006C577F">
        <w:rPr>
          <w:rStyle w:val="libFootnotenumChar"/>
          <w:rtl/>
        </w:rPr>
        <w:t>(2)</w:t>
      </w:r>
      <w:r w:rsidRPr="00C9040A">
        <w:rPr>
          <w:rtl/>
          <w:lang w:bidi="fa-IR"/>
        </w:rPr>
        <w:t xml:space="preserve"> ، وَيَعْثُرُ الْعَثْرَةَ ، وَيُمْرَضُ الْمَرْضَةَ ، وَيُشَاكُ الشَّوْكَةَ ، وَمَا أَشْبَهَ هذَا </w:t>
      </w:r>
      <w:r w:rsidR="006C577F" w:rsidRPr="006C577F">
        <w:rPr>
          <w:rStyle w:val="libFootnotenumChar"/>
          <w:rtl/>
        </w:rPr>
        <w:t>(3)</w:t>
      </w:r>
      <w:r w:rsidRPr="00C9040A">
        <w:rPr>
          <w:rtl/>
          <w:lang w:bidi="fa-IR"/>
        </w:rPr>
        <w:t xml:space="preserve"> ، حَتّى ذَكَرَ فِي </w:t>
      </w:r>
      <w:r w:rsidR="006C577F" w:rsidRPr="006C577F">
        <w:rPr>
          <w:rStyle w:val="libFootnotenumChar"/>
          <w:rtl/>
        </w:rPr>
        <w:t>(4)</w:t>
      </w:r>
      <w:r w:rsidRPr="00C9040A">
        <w:rPr>
          <w:rtl/>
          <w:lang w:bidi="fa-IR"/>
        </w:rPr>
        <w:t xml:space="preserve"> حَدِيثِهِ </w:t>
      </w:r>
      <w:r w:rsidR="006C577F" w:rsidRPr="006C577F">
        <w:rPr>
          <w:rStyle w:val="libFootnotenumChar"/>
          <w:rtl/>
        </w:rPr>
        <w:t>(5)</w:t>
      </w:r>
      <w:r w:rsidRPr="00C9040A">
        <w:rPr>
          <w:rtl/>
          <w:lang w:bidi="fa-IR"/>
        </w:rPr>
        <w:t xml:space="preserve"> اخْتِلَاجَ </w:t>
      </w:r>
      <w:r w:rsidR="006C577F" w:rsidRPr="006C577F">
        <w:rPr>
          <w:rStyle w:val="libFootnotenumChar"/>
          <w:rtl/>
        </w:rPr>
        <w:t>(6)</w:t>
      </w:r>
      <w:r w:rsidRPr="005B567D">
        <w:rPr>
          <w:rStyle w:val="libFootnotenumChar"/>
          <w:rtl/>
        </w:rPr>
        <w:t xml:space="preserve"> </w:t>
      </w:r>
      <w:r w:rsidRPr="00C9040A">
        <w:rPr>
          <w:rtl/>
          <w:lang w:bidi="fa-IR"/>
        </w:rPr>
        <w:t>الْعَيْنِ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0F0400">
        <w:rPr>
          <w:rtl/>
        </w:rPr>
        <w:t>2378</w:t>
      </w:r>
      <w:r w:rsidRPr="00261CB0">
        <w:rPr>
          <w:rStyle w:val="libBold2Char"/>
          <w:rtl/>
        </w:rPr>
        <w:t xml:space="preserve"> / 27.</w:t>
      </w:r>
      <w:r w:rsidRPr="00C9040A">
        <w:rPr>
          <w:rtl/>
          <w:lang w:bidi="fa-IR"/>
        </w:rPr>
        <w:t xml:space="preserve"> أَبُو عَلِيٍّ الْأَشْعَرِيُّ ، عَنْ مُحَمَّدِ بْنِ عَبْدِ الْجَبَّارِ ، عَنِ ابْنِ فَضَّالٍ ، عَنِ ابْنِ بُكَيْرٍ ، قَالَ :</w:t>
      </w:r>
    </w:p>
    <w:p w:rsidR="008A74EB" w:rsidRPr="00C9040A" w:rsidRDefault="008A74EB" w:rsidP="008118CB">
      <w:pPr>
        <w:pStyle w:val="libNormal"/>
        <w:rPr>
          <w:rtl/>
          <w:lang w:bidi="fa-IR"/>
        </w:rPr>
      </w:pPr>
      <w:r w:rsidRPr="00C9040A">
        <w:rPr>
          <w:rtl/>
          <w:lang w:bidi="fa-IR"/>
        </w:rPr>
        <w:t xml:space="preserve">سَأَلْتُ أَبَا عَبْدِ اللهِ </w:t>
      </w:r>
      <w:r w:rsidRPr="0003660B">
        <w:rPr>
          <w:rStyle w:val="libAlaemChar"/>
          <w:rtl/>
        </w:rPr>
        <w:t>عليه‌السلام</w:t>
      </w:r>
      <w:r>
        <w:rPr>
          <w:rtl/>
          <w:lang w:bidi="fa-IR"/>
        </w:rPr>
        <w:t xml:space="preserve"> : أَ</w:t>
      </w:r>
      <w:r w:rsidRPr="00C9040A">
        <w:rPr>
          <w:rtl/>
          <w:lang w:bidi="fa-IR"/>
        </w:rPr>
        <w:t xml:space="preserve">يُبْتَلَى الْمُؤْمِنُ بِالْجُذَامِ وَالْبَرَصِ </w:t>
      </w:r>
      <w:r w:rsidR="006C577F" w:rsidRPr="006C577F">
        <w:rPr>
          <w:rStyle w:val="libFootnotenumChar"/>
          <w:rtl/>
        </w:rPr>
        <w:t>(8)</w:t>
      </w:r>
      <w:r w:rsidRPr="00C9040A">
        <w:rPr>
          <w:rtl/>
          <w:lang w:bidi="fa-IR"/>
        </w:rPr>
        <w:t xml:space="preserve"> وَأَشْبَاهِ هذَا</w:t>
      </w:r>
      <w:r>
        <w:rPr>
          <w:rtl/>
          <w:lang w:bidi="fa-IR"/>
        </w:rPr>
        <w:t>؟</w:t>
      </w:r>
      <w:r w:rsidRPr="00C9040A">
        <w:rPr>
          <w:rtl/>
          <w:lang w:bidi="fa-IR"/>
        </w:rPr>
        <w:t xml:space="preserve"> قَالَ </w:t>
      </w:r>
      <w:r w:rsidR="006C577F" w:rsidRPr="006C577F">
        <w:rPr>
          <w:rStyle w:val="libFootnotenumChar"/>
          <w:rtl/>
        </w:rPr>
        <w:t>(9)</w:t>
      </w:r>
      <w:r w:rsidRPr="00C9040A">
        <w:rPr>
          <w:rtl/>
          <w:lang w:bidi="fa-IR"/>
        </w:rPr>
        <w:t xml:space="preserve"> :</w:t>
      </w:r>
      <w:r>
        <w:rPr>
          <w:rFonts w:hint="cs"/>
          <w:rtl/>
          <w:lang w:bidi="fa-IR"/>
        </w:rPr>
        <w:t xml:space="preserve"> </w:t>
      </w:r>
      <w:r w:rsidRPr="00C9040A">
        <w:rPr>
          <w:rtl/>
          <w:lang w:bidi="fa-IR"/>
        </w:rPr>
        <w:t>فَقَالَ : «</w:t>
      </w:r>
      <w:r w:rsidR="008118CB">
        <w:rPr>
          <w:rtl/>
          <w:lang w:bidi="fa-IR"/>
        </w:rPr>
        <w:t xml:space="preserve"> وَهَلْ كُتِبَ الْبَلَاءُ إِل</w:t>
      </w:r>
      <w:r w:rsidR="008118CB">
        <w:rPr>
          <w:rFonts w:hint="cs"/>
          <w:rtl/>
          <w:lang w:bidi="fa-IR"/>
        </w:rPr>
        <w:t>َّ</w:t>
      </w:r>
      <w:r w:rsidR="008118CB">
        <w:rPr>
          <w:rtl/>
          <w:lang w:bidi="fa-IR"/>
        </w:rPr>
        <w:t>ا</w:t>
      </w:r>
      <w:r w:rsidRPr="00C9040A">
        <w:rPr>
          <w:rtl/>
          <w:lang w:bidi="fa-IR"/>
        </w:rPr>
        <w:t xml:space="preserve"> عَلَى الْمُؤْمِنِ</w:t>
      </w:r>
      <w:r>
        <w:rPr>
          <w:rtl/>
          <w:lang w:bidi="fa-IR"/>
        </w:rPr>
        <w:t>؟</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(10)</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w:t>
      </w:r>
      <w:r w:rsidR="008A74EB" w:rsidRPr="00993B55">
        <w:rPr>
          <w:rStyle w:val="libFootnoteBoldChar"/>
          <w:rtl/>
        </w:rPr>
        <w:t>مرآة العقول</w:t>
      </w:r>
      <w:r w:rsidR="008A74EB" w:rsidRPr="00C9040A">
        <w:rPr>
          <w:rtl/>
        </w:rPr>
        <w:t xml:space="preserve"> ، ج 9 ، ص 349 : « قال : بلى ، أقول : كأنّه جواب عن سؤال مقدّر ، كأنّ القوم قالوا : ألا تفسّره لنا</w:t>
      </w:r>
      <w:r w:rsidR="008A74EB">
        <w:rPr>
          <w:rtl/>
        </w:rPr>
        <w:t>؟</w:t>
      </w:r>
      <w:r w:rsidR="008A74EB" w:rsidRPr="00C9040A">
        <w:rPr>
          <w:rtl/>
        </w:rPr>
        <w:t xml:space="preserve"> قال : بلى. وصحّف بعض الأفاضل فقرأ : بلى الرجل ، مصدراً مضافاً إلى الرجل أي‌خلقه ، كأنّ البلايا تبلي الجسد وتخلقها ، </w:t>
      </w:r>
      <w:r w:rsidR="008A74EB">
        <w:rPr>
          <w:rtl/>
        </w:rPr>
        <w:t>و «</w:t>
      </w:r>
      <w:r w:rsidR="008A74EB" w:rsidRPr="00C9040A">
        <w:rPr>
          <w:rtl/>
        </w:rPr>
        <w:t xml:space="preserve"> يخدش » صفة « الرجل » لأنّ اللام للعهد الذهني. ولا يخفى مافيه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w:t>
      </w:r>
      <w:r w:rsidR="006D3162">
        <w:rPr>
          <w:rtl/>
        </w:rPr>
        <w:t xml:space="preserve">ه </w:t>
      </w:r>
      <w:r w:rsidR="008A74EB" w:rsidRPr="00C9040A">
        <w:rPr>
          <w:rtl/>
        </w:rPr>
        <w:t>» : « وينكت النكتة »</w:t>
      </w:r>
      <w:r w:rsidR="008A74EB">
        <w:rPr>
          <w:rtl/>
        </w:rPr>
        <w:t>.</w:t>
      </w:r>
      <w:r w:rsidR="008A74EB" w:rsidRPr="00C9040A">
        <w:rPr>
          <w:rtl/>
        </w:rPr>
        <w:t xml:space="preserve"> وفي مرآة العقول : « النكبة » أن يقع رجله على الحجارة ونحوها ، أو يسقط على وجهه ، أو أصابته بليّة خفيفة من بلايا الدهر »</w:t>
      </w:r>
      <w:r w:rsidR="008A74EB">
        <w:rPr>
          <w:rtl/>
        </w:rPr>
        <w:t>.</w:t>
      </w:r>
    </w:p>
    <w:p w:rsidR="008A74EB" w:rsidRPr="00C9040A" w:rsidRDefault="006C577F" w:rsidP="00791A7E">
      <w:pPr>
        <w:pStyle w:val="libFootnote0"/>
        <w:rPr>
          <w:rtl/>
          <w:lang w:bidi="fa-IR"/>
        </w:rPr>
      </w:pPr>
      <w:r>
        <w:rPr>
          <w:rtl/>
        </w:rPr>
        <w:t>(3).</w:t>
      </w:r>
      <w:r w:rsidR="008A74EB" w:rsidRPr="00C9040A">
        <w:rPr>
          <w:rtl/>
        </w:rPr>
        <w:t xml:space="preserve"> في </w:t>
      </w:r>
      <w:r w:rsidR="008A74EB" w:rsidRPr="00993B55">
        <w:rPr>
          <w:rStyle w:val="libFootnoteBoldChar"/>
          <w:rtl/>
        </w:rPr>
        <w:t>شرح المازندراني</w:t>
      </w:r>
      <w:r w:rsidR="008A74EB" w:rsidRPr="00C9040A">
        <w:rPr>
          <w:rtl/>
        </w:rPr>
        <w:t xml:space="preserve"> ، ج 9 ، ص 206 : « وما أشبه هذا ، يحتمل أن يكون من كلام النبيّ </w:t>
      </w:r>
      <w:r w:rsidR="004A4E41" w:rsidRPr="00791A7E">
        <w:rPr>
          <w:rStyle w:val="libFootnoteAlaemChar"/>
          <w:rtl/>
        </w:rPr>
        <w:t>صلى‌الله‌عليه‌وآله</w:t>
      </w:r>
      <w:r w:rsidR="008A74EB" w:rsidRPr="00C9040A">
        <w:rPr>
          <w:rtl/>
        </w:rPr>
        <w:t xml:space="preserve"> ، وأن يكون من كلام الراوي »</w:t>
      </w:r>
      <w:r w:rsidR="008A74EB">
        <w:rPr>
          <w:rtl/>
        </w:rPr>
        <w:t>.</w:t>
      </w:r>
      <w:r w:rsidR="008A74EB" w:rsidRPr="00C9040A">
        <w:rPr>
          <w:rtl/>
        </w:rPr>
        <w:t xml:space="preserve"> وقال المجلسي في </w:t>
      </w:r>
      <w:r w:rsidR="008A74EB" w:rsidRPr="00993B55">
        <w:rPr>
          <w:rStyle w:val="libFootnoteBoldChar"/>
          <w:rtl/>
        </w:rPr>
        <w:t>مرآة العقول</w:t>
      </w:r>
      <w:r w:rsidR="008A74EB" w:rsidRPr="00C9040A">
        <w:rPr>
          <w:rtl/>
        </w:rPr>
        <w:t xml:space="preserve"> : « أقول : الظاهر أنّه من كلام الصادق </w:t>
      </w:r>
      <w:r w:rsidR="00117575" w:rsidRPr="00117575">
        <w:rPr>
          <w:rStyle w:val="libFootnoteAlaemChar"/>
          <w:rtl/>
        </w:rPr>
        <w:t>عليه‌السلام</w:t>
      </w:r>
      <w:r w:rsidR="008A74EB" w:rsidRPr="00C9040A">
        <w:rPr>
          <w:rtl/>
        </w:rPr>
        <w:t xml:space="preserve"> إلى آخر الخبر ، وضمير « حديثه » راجع إلى النبيّ </w:t>
      </w:r>
      <w:r w:rsidR="004A4E41" w:rsidRPr="00791A7E">
        <w:rPr>
          <w:rStyle w:val="libFootnoteAlaemChar"/>
          <w:rtl/>
        </w:rPr>
        <w:t>صلى‌الله‌عليه‌وآله</w:t>
      </w:r>
      <w:r w:rsidR="008A74EB" w:rsidRPr="00C9040A">
        <w:rPr>
          <w:rtl/>
        </w:rPr>
        <w:t xml:space="preserve"> »</w:t>
      </w:r>
      <w:r w:rsidR="008A74EB">
        <w:rPr>
          <w:rtl/>
        </w:rPr>
        <w:t>.</w:t>
      </w:r>
      <w:r w:rsidR="00791A7E">
        <w:rPr>
          <w:rFonts w:hint="cs"/>
          <w:rtl/>
        </w:rPr>
        <w:t xml:space="preserve">          </w:t>
      </w:r>
      <w:r>
        <w:rPr>
          <w:rtl/>
        </w:rPr>
        <w:t>(4).</w:t>
      </w:r>
      <w:r w:rsidR="008A74EB" w:rsidRPr="00C9040A">
        <w:rPr>
          <w:rtl/>
        </w:rPr>
        <w:t xml:space="preserve"> في « ج ، د ، </w:t>
      </w:r>
      <w:r w:rsidR="006D3162">
        <w:rPr>
          <w:rtl/>
        </w:rPr>
        <w:t xml:space="preserve">ه </w:t>
      </w:r>
      <w:r w:rsidR="008A74EB" w:rsidRPr="00C9040A">
        <w:rPr>
          <w:rtl/>
        </w:rPr>
        <w:t>» والبحار وقرب الإسناد : + « آخر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w:t>
      </w:r>
      <w:r w:rsidR="006D3162">
        <w:rPr>
          <w:rtl/>
        </w:rPr>
        <w:t xml:space="preserve">ه </w:t>
      </w:r>
      <w:r w:rsidR="008A74EB" w:rsidRPr="00C9040A">
        <w:rPr>
          <w:rtl/>
        </w:rPr>
        <w:t>» وقرب الإسناد : « الحديث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 الاختلاج » : الحركة والاضطراب. </w:t>
      </w:r>
      <w:r w:rsidR="008A74EB" w:rsidRPr="00993B55">
        <w:rPr>
          <w:rStyle w:val="libFootnoteBoldChar"/>
          <w:rtl/>
        </w:rPr>
        <w:t>النهاية</w:t>
      </w:r>
      <w:r w:rsidR="008A74EB" w:rsidRPr="00C9040A">
        <w:rPr>
          <w:rtl/>
        </w:rPr>
        <w:t xml:space="preserve"> ، ج 2 ، ص 60 ( خلج )</w:t>
      </w:r>
      <w:r w:rsidR="008A74EB">
        <w:rPr>
          <w:rtl/>
        </w:rPr>
        <w:t>.</w:t>
      </w:r>
    </w:p>
    <w:p w:rsidR="008A74EB" w:rsidRPr="00C9040A" w:rsidRDefault="006C577F" w:rsidP="00791A7E">
      <w:pPr>
        <w:pStyle w:val="libFootnote0"/>
        <w:rPr>
          <w:rtl/>
          <w:lang w:bidi="fa-IR"/>
        </w:rPr>
      </w:pPr>
      <w:r>
        <w:rPr>
          <w:rtl/>
        </w:rPr>
        <w:t>(7).</w:t>
      </w:r>
      <w:r w:rsidR="008A74EB" w:rsidRPr="00C9040A">
        <w:rPr>
          <w:rtl/>
        </w:rPr>
        <w:t xml:space="preserve"> </w:t>
      </w:r>
      <w:r w:rsidR="008A74EB" w:rsidRPr="00993B55">
        <w:rPr>
          <w:rStyle w:val="libFootnoteBoldChar"/>
          <w:rtl/>
        </w:rPr>
        <w:t>قرب الإسناد</w:t>
      </w:r>
      <w:r w:rsidR="008A74EB" w:rsidRPr="00C9040A">
        <w:rPr>
          <w:rtl/>
        </w:rPr>
        <w:t xml:space="preserve"> ، ص 67 ، ح 218 ، عن هارون بن مسلم. </w:t>
      </w:r>
      <w:r w:rsidR="008A74EB" w:rsidRPr="00993B55">
        <w:rPr>
          <w:rStyle w:val="libFootnoteBoldChar"/>
          <w:rtl/>
        </w:rPr>
        <w:t>الكافي</w:t>
      </w:r>
      <w:r w:rsidR="008A74EB" w:rsidRPr="00C9040A">
        <w:rPr>
          <w:rtl/>
        </w:rPr>
        <w:t xml:space="preserve"> ، كتاب الزكاة ، باب منع الزكاة ، ح 5752 ، بنفس السند عن أبي‌عبدالله </w:t>
      </w:r>
      <w:r w:rsidR="00117575" w:rsidRPr="00117575">
        <w:rPr>
          <w:rStyle w:val="libFootnoteAlaemChar"/>
          <w:rtl/>
        </w:rPr>
        <w:t>عليه‌السلام</w:t>
      </w:r>
      <w:r w:rsidR="008A74EB" w:rsidRPr="00C9040A">
        <w:rPr>
          <w:rtl/>
        </w:rPr>
        <w:t xml:space="preserve"> ، من دون الإسناد إلى النبيّ </w:t>
      </w:r>
      <w:r w:rsidR="004A4E41" w:rsidRPr="00791A7E">
        <w:rPr>
          <w:rStyle w:val="libFootnoteAlaemChar"/>
          <w:rtl/>
        </w:rPr>
        <w:t>صلى‌الله‌عليه‌وآله</w:t>
      </w:r>
      <w:r w:rsidR="008A74EB" w:rsidRPr="00C9040A">
        <w:rPr>
          <w:rtl/>
        </w:rPr>
        <w:t xml:space="preserve"> ؛ </w:t>
      </w:r>
      <w:r w:rsidR="008A74EB" w:rsidRPr="00993B55">
        <w:rPr>
          <w:rStyle w:val="libFootnoteBoldChar"/>
          <w:rtl/>
        </w:rPr>
        <w:t>وفيه</w:t>
      </w:r>
      <w:r w:rsidR="008A74EB" w:rsidRPr="00C9040A">
        <w:rPr>
          <w:rtl/>
        </w:rPr>
        <w:t xml:space="preserve"> ، ص 50 ، نفس الباب ، ح 8 ، بسند آخر ؛ </w:t>
      </w:r>
      <w:r w:rsidR="008A74EB" w:rsidRPr="00993B55">
        <w:rPr>
          <w:rStyle w:val="libFootnoteBoldChar"/>
          <w:rtl/>
        </w:rPr>
        <w:t>الفقيه</w:t>
      </w:r>
      <w:r w:rsidR="008A74EB" w:rsidRPr="00C9040A">
        <w:rPr>
          <w:rtl/>
        </w:rPr>
        <w:t xml:space="preserve"> ، ج 2 ، ص 10 ، ح 1586 ، بإسناده عن مسعدة ، عن أبي‌عبدالله </w:t>
      </w:r>
      <w:r w:rsidR="00117575" w:rsidRPr="00117575">
        <w:rPr>
          <w:rStyle w:val="libFootnoteAlaemChar"/>
          <w:rtl/>
        </w:rPr>
        <w:t xml:space="preserve">عليه‌السلام </w:t>
      </w:r>
      <w:r w:rsidR="008A74EB" w:rsidRPr="00C9040A">
        <w:rPr>
          <w:rtl/>
        </w:rPr>
        <w:t xml:space="preserve">، من دون الإسناد إلى النبيّ </w:t>
      </w:r>
      <w:r w:rsidR="004A4E41" w:rsidRPr="00791A7E">
        <w:rPr>
          <w:rStyle w:val="libFootnoteAlaemChar"/>
          <w:rtl/>
        </w:rPr>
        <w:t>صلى‌الله‌عليه‌وآله</w:t>
      </w:r>
      <w:r w:rsidR="008A74EB" w:rsidRPr="00C9040A">
        <w:rPr>
          <w:rtl/>
        </w:rPr>
        <w:t xml:space="preserve"> ، وتمام الرواية في الثلاثة الأخيرة : « ملعون ملعون مال لا يزكّى »</w:t>
      </w:r>
      <w:r w:rsidR="00791A7E">
        <w:rPr>
          <w:rFonts w:hint="cs"/>
          <w:rtl/>
        </w:rPr>
        <w:t>.</w:t>
      </w:r>
      <w:r w:rsidR="008A74EB" w:rsidRPr="00993B55">
        <w:rPr>
          <w:rStyle w:val="libFootnoteBoldChar"/>
          <w:rtl/>
        </w:rPr>
        <w:t>الوافي</w:t>
      </w:r>
      <w:r w:rsidR="008A74EB" w:rsidRPr="00C9040A">
        <w:rPr>
          <w:rtl/>
        </w:rPr>
        <w:t xml:space="preserve"> ، ج 5 ، ص 768 ، ح 3013 ؛ </w:t>
      </w:r>
      <w:r w:rsidR="008A74EB" w:rsidRPr="00993B55">
        <w:rPr>
          <w:rStyle w:val="libFootnoteBoldChar"/>
          <w:rtl/>
        </w:rPr>
        <w:t>البحار</w:t>
      </w:r>
      <w:r w:rsidR="008A74EB" w:rsidRPr="00C9040A">
        <w:rPr>
          <w:rtl/>
        </w:rPr>
        <w:t xml:space="preserve"> ، ج 67 ، ص 218 ، ح 26.</w:t>
      </w:r>
    </w:p>
    <w:p w:rsidR="008A74EB" w:rsidRPr="00C9040A" w:rsidRDefault="006C577F" w:rsidP="004A4E41">
      <w:pPr>
        <w:pStyle w:val="libFootnote0"/>
        <w:rPr>
          <w:rtl/>
          <w:lang w:bidi="fa-IR"/>
        </w:rPr>
      </w:pPr>
      <w:r>
        <w:rPr>
          <w:rtl/>
        </w:rPr>
        <w:t>(8).</w:t>
      </w:r>
      <w:r w:rsidR="008A74EB" w:rsidRPr="00C9040A">
        <w:rPr>
          <w:rtl/>
        </w:rPr>
        <w:t xml:space="preserve"> « البَرَص » : بياض يظهر في ظاهر البدن لفساد مزاج. </w:t>
      </w:r>
      <w:r w:rsidR="008A74EB" w:rsidRPr="00993B55">
        <w:rPr>
          <w:rStyle w:val="libFootnoteBoldChar"/>
          <w:rtl/>
        </w:rPr>
        <w:t>القاموس المحيط</w:t>
      </w:r>
      <w:r w:rsidR="008A74EB" w:rsidRPr="00C9040A">
        <w:rPr>
          <w:rtl/>
        </w:rPr>
        <w:t xml:space="preserve"> ، ج 1 ، ص 833 ( برص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ض ، </w:t>
      </w:r>
      <w:r w:rsidR="006D3162">
        <w:rPr>
          <w:rtl/>
        </w:rPr>
        <w:t xml:space="preserve">ه </w:t>
      </w:r>
      <w:r w:rsidR="008A74EB" w:rsidRPr="00C9040A">
        <w:rPr>
          <w:rtl/>
        </w:rPr>
        <w:t>» : « وأشباههما » بدل « وأشباه هذا</w:t>
      </w:r>
      <w:r w:rsidR="008A74EB">
        <w:rPr>
          <w:rtl/>
        </w:rPr>
        <w:t>؟</w:t>
      </w:r>
      <w:r w:rsidR="008A74EB" w:rsidRPr="00C9040A">
        <w:rPr>
          <w:rtl/>
        </w:rPr>
        <w:t xml:space="preserve"> قال »</w:t>
      </w:r>
      <w:r w:rsidR="008A74EB">
        <w:rPr>
          <w:rtl/>
        </w:rPr>
        <w:t>.</w:t>
      </w:r>
    </w:p>
    <w:p w:rsidR="008A74EB" w:rsidRPr="00C9040A" w:rsidRDefault="006C577F" w:rsidP="00791A7E">
      <w:pPr>
        <w:pStyle w:val="libFootnote0"/>
        <w:rPr>
          <w:rtl/>
          <w:lang w:bidi="fa-IR"/>
        </w:rPr>
      </w:pPr>
      <w:r>
        <w:rPr>
          <w:rtl/>
        </w:rPr>
        <w:t>(10).</w:t>
      </w:r>
      <w:r w:rsidR="008A74EB" w:rsidRPr="00C9040A">
        <w:rPr>
          <w:rtl/>
        </w:rPr>
        <w:t xml:space="preserve"> </w:t>
      </w:r>
      <w:r w:rsidR="008A74EB" w:rsidRPr="00993B55">
        <w:rPr>
          <w:rStyle w:val="libFootnoteBoldChar"/>
          <w:rtl/>
        </w:rPr>
        <w:t>قرب الإسناد</w:t>
      </w:r>
      <w:r w:rsidR="008A74EB" w:rsidRPr="00C9040A">
        <w:rPr>
          <w:rtl/>
        </w:rPr>
        <w:t xml:space="preserve"> ، ص 174 ، ح 638 ، عن محمّد بن الوليد ، عن عبدالله بن بكير. وفي </w:t>
      </w:r>
      <w:r w:rsidR="008A74EB" w:rsidRPr="00993B55">
        <w:rPr>
          <w:rStyle w:val="libFootnoteBoldChar"/>
          <w:rtl/>
        </w:rPr>
        <w:t>المحاسن</w:t>
      </w:r>
      <w:r w:rsidR="008A74EB" w:rsidRPr="00C9040A">
        <w:rPr>
          <w:rtl/>
        </w:rPr>
        <w:t xml:space="preserve"> ، ص 326 ، كتاب العلل ، ح 76 ؛ و</w:t>
      </w:r>
      <w:r w:rsidR="008A74EB" w:rsidRPr="00993B55">
        <w:rPr>
          <w:rStyle w:val="libFootnoteBoldChar"/>
          <w:rtl/>
        </w:rPr>
        <w:t xml:space="preserve">التهذيب </w:t>
      </w:r>
      <w:r w:rsidR="008A74EB" w:rsidRPr="00C9040A">
        <w:rPr>
          <w:rtl/>
        </w:rPr>
        <w:t>، ج 3 ، ص 27 ، ح 93 ؛ و</w:t>
      </w:r>
      <w:r w:rsidR="008A74EB" w:rsidRPr="00993B55">
        <w:rPr>
          <w:rStyle w:val="libFootnoteBoldChar"/>
          <w:rtl/>
        </w:rPr>
        <w:t>الاستبصار</w:t>
      </w:r>
      <w:r w:rsidR="008A74EB" w:rsidRPr="00C9040A">
        <w:rPr>
          <w:rtl/>
        </w:rPr>
        <w:t xml:space="preserve"> ، ج 1 ، ص 422 ، ح 1627 ، بسند آخر ، مع اختلاف يسير وزيادة</w:t>
      </w:r>
      <w:r w:rsidR="00791A7E">
        <w:rPr>
          <w:rFonts w:hint="cs"/>
          <w:rtl/>
        </w:rPr>
        <w:t>.</w:t>
      </w:r>
      <w:r w:rsidR="008A74EB" w:rsidRPr="00993B55">
        <w:rPr>
          <w:rStyle w:val="libFootnoteBoldChar"/>
          <w:rtl/>
        </w:rPr>
        <w:t>الوافي</w:t>
      </w:r>
      <w:r w:rsidR="008A74EB" w:rsidRPr="00C9040A">
        <w:rPr>
          <w:rtl/>
        </w:rPr>
        <w:t xml:space="preserve"> ، ج 5 ، ص 777 ، ح 3028 ؛ </w:t>
      </w:r>
      <w:r w:rsidR="008A74EB" w:rsidRPr="00993B55">
        <w:rPr>
          <w:rStyle w:val="libFootnoteBoldChar"/>
          <w:rtl/>
        </w:rPr>
        <w:t>الوسائل</w:t>
      </w:r>
      <w:r w:rsidR="008A74EB" w:rsidRPr="00C9040A">
        <w:rPr>
          <w:rtl/>
        </w:rPr>
        <w:t xml:space="preserve"> ، ج 3 ، ص 264 ، ح 3600 ؛ </w:t>
      </w:r>
      <w:r w:rsidR="008A74EB" w:rsidRPr="00993B55">
        <w:rPr>
          <w:rStyle w:val="libFootnoteBoldChar"/>
          <w:rtl/>
        </w:rPr>
        <w:t>البحار</w:t>
      </w:r>
      <w:r w:rsidR="008A74EB" w:rsidRPr="00C9040A">
        <w:rPr>
          <w:rtl/>
        </w:rPr>
        <w:t xml:space="preserve"> ، ج 67 ، ص 221 ، ح 27.</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0F0400">
        <w:rPr>
          <w:rtl/>
        </w:rPr>
        <w:t>2379</w:t>
      </w:r>
      <w:r w:rsidRPr="00261CB0">
        <w:rPr>
          <w:rStyle w:val="libBold2Char"/>
          <w:rtl/>
        </w:rPr>
        <w:t xml:space="preserve"> / 28.</w:t>
      </w:r>
      <w:r w:rsidRPr="00C9040A">
        <w:rPr>
          <w:rtl/>
          <w:lang w:bidi="fa-IR"/>
        </w:rPr>
        <w:t xml:space="preserve"> عَلِيُّ بْنُ إِبْرَاهِيمَ ، عَنْ أَبِيهِ ، عَنِ ابْنِ أَبِي عُمَيْرٍ ، عَمَّنْ رَوَاهُ ، عَنِ الْحَلَبِيِّ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إِنَّ الْمُؤْمِنَ لَيَكْرُمُ </w:t>
      </w:r>
      <w:r w:rsidR="006C577F" w:rsidRPr="006C577F">
        <w:rPr>
          <w:rStyle w:val="libFootnotenumChar"/>
          <w:rtl/>
        </w:rPr>
        <w:t>(1)</w:t>
      </w:r>
      <w:r w:rsidRPr="00C9040A">
        <w:rPr>
          <w:rtl/>
          <w:lang w:bidi="fa-IR"/>
        </w:rPr>
        <w:t xml:space="preserve"> عَلَى اللهِ حَتّى لَوْ سَأَلَهُ </w:t>
      </w:r>
      <w:r w:rsidR="006C577F" w:rsidRPr="006C577F">
        <w:rPr>
          <w:rStyle w:val="libFootnotenumChar"/>
          <w:rtl/>
        </w:rPr>
        <w:t>(2)</w:t>
      </w:r>
      <w:r w:rsidRPr="00C9040A">
        <w:rPr>
          <w:rtl/>
          <w:lang w:bidi="fa-IR"/>
        </w:rPr>
        <w:t xml:space="preserve"> الْجَنَّةَ بِمَا فِيهَا ، أَعْطَاهُ ذلِكَ مِنْ غَيْرِ أَنْ يَنْتَقِصَ </w:t>
      </w:r>
      <w:r w:rsidR="006C577F" w:rsidRPr="006C577F">
        <w:rPr>
          <w:rStyle w:val="libFootnotenumChar"/>
          <w:rtl/>
        </w:rPr>
        <w:t>(3)</w:t>
      </w:r>
      <w:r w:rsidRPr="00C9040A">
        <w:rPr>
          <w:rtl/>
          <w:lang w:bidi="fa-IR"/>
        </w:rPr>
        <w:t xml:space="preserve"> مِنْ مُلْكِهِ شَيْئاً </w:t>
      </w:r>
      <w:r w:rsidR="006C577F" w:rsidRPr="006C577F">
        <w:rPr>
          <w:rStyle w:val="libFootnotenumChar"/>
          <w:rtl/>
        </w:rPr>
        <w:t>(4)</w:t>
      </w:r>
      <w:r w:rsidRPr="00C9040A">
        <w:rPr>
          <w:rtl/>
          <w:lang w:bidi="fa-IR"/>
        </w:rPr>
        <w:t xml:space="preserve"> ؛ وَإِنَّ </w:t>
      </w:r>
      <w:r w:rsidR="006C577F" w:rsidRPr="006C577F">
        <w:rPr>
          <w:rStyle w:val="libFootnotenumChar"/>
          <w:rtl/>
        </w:rPr>
        <w:t>(5)</w:t>
      </w:r>
      <w:r w:rsidRPr="00C9040A">
        <w:rPr>
          <w:rtl/>
          <w:lang w:bidi="fa-IR"/>
        </w:rPr>
        <w:t xml:space="preserve"> الْكَافِرَ لَيَهُونُ </w:t>
      </w:r>
      <w:r w:rsidR="006C577F" w:rsidRPr="006C577F">
        <w:rPr>
          <w:rStyle w:val="libFootnotenumChar"/>
          <w:rtl/>
        </w:rPr>
        <w:t>(6)</w:t>
      </w:r>
      <w:r w:rsidRPr="005B567D">
        <w:rPr>
          <w:rStyle w:val="libFootnotenumChar"/>
          <w:rtl/>
        </w:rPr>
        <w:t xml:space="preserve"> </w:t>
      </w:r>
      <w:r w:rsidRPr="00C9040A">
        <w:rPr>
          <w:rtl/>
          <w:lang w:bidi="fa-IR"/>
        </w:rPr>
        <w:t xml:space="preserve">عَلَى اللهِ حَتّى لَوْ سَأَلَهُ الدُّنْيَا بِمَا فِيهَا ، أَعْطَاهُ ذلِكَ </w:t>
      </w:r>
      <w:r w:rsidR="006C577F" w:rsidRPr="006C577F">
        <w:rPr>
          <w:rStyle w:val="libFootnotenumChar"/>
          <w:rtl/>
        </w:rPr>
        <w:t>(7)</w:t>
      </w:r>
      <w:r w:rsidRPr="00C9040A">
        <w:rPr>
          <w:rtl/>
          <w:lang w:bidi="fa-IR"/>
        </w:rPr>
        <w:t xml:space="preserve"> مِنْ غَيْرِ أَنْ يَنْتَقِصَ </w:t>
      </w:r>
      <w:r w:rsidR="006C577F" w:rsidRPr="006C577F">
        <w:rPr>
          <w:rStyle w:val="libFootnotenumChar"/>
          <w:rtl/>
        </w:rPr>
        <w:t>(8)</w:t>
      </w:r>
      <w:r w:rsidRPr="00C9040A">
        <w:rPr>
          <w:rtl/>
          <w:lang w:bidi="fa-IR"/>
        </w:rPr>
        <w:t xml:space="preserve"> مِنْ مُلْكِهِ شَيْئاً </w:t>
      </w:r>
      <w:r w:rsidR="006C577F" w:rsidRPr="006C577F">
        <w:rPr>
          <w:rStyle w:val="libFootnotenumChar"/>
          <w:rtl/>
        </w:rPr>
        <w:t>(9)</w:t>
      </w:r>
      <w:r w:rsidRPr="00C9040A">
        <w:rPr>
          <w:rtl/>
          <w:lang w:bidi="fa-IR"/>
        </w:rPr>
        <w:t xml:space="preserve"> ؛ وَإِنَّ اللهَ لَيَتَعَاهَدُ عَبْدَهُ الْمُؤْمِنَ بِالْبَلَاءِ ، كَمَا يَتَعَاهَدُ الْغَائِبُ أَهْلَهُ بِالطُّرَفِ </w:t>
      </w:r>
      <w:r w:rsidR="006C577F" w:rsidRPr="006C577F">
        <w:rPr>
          <w:rStyle w:val="libFootnotenumChar"/>
          <w:rtl/>
        </w:rPr>
        <w:t>(10)</w:t>
      </w:r>
      <w:r w:rsidRPr="00C9040A">
        <w:rPr>
          <w:rtl/>
          <w:lang w:bidi="fa-IR"/>
        </w:rPr>
        <w:t xml:space="preserve"> ؛ وَإِنَّهُ </w:t>
      </w:r>
      <w:r w:rsidR="006C577F" w:rsidRPr="006C577F">
        <w:rPr>
          <w:rStyle w:val="libFootnotenumChar"/>
          <w:rtl/>
        </w:rPr>
        <w:t>(11)</w:t>
      </w:r>
      <w:r w:rsidRPr="00C9040A">
        <w:rPr>
          <w:rtl/>
          <w:lang w:bidi="fa-IR"/>
        </w:rPr>
        <w:t xml:space="preserve"> لَيَحْمِيهِ الدُّنْيَا ، كَمَا يَحْمِي الطَّبِيبُ الْمَرِيضَ »</w:t>
      </w:r>
      <w:r>
        <w:rPr>
          <w:rtl/>
          <w:lang w:bidi="fa-IR"/>
        </w:rPr>
        <w:t>.</w:t>
      </w:r>
      <w:r w:rsidRPr="00C9040A">
        <w:rPr>
          <w:rtl/>
          <w:lang w:bidi="fa-IR"/>
        </w:rPr>
        <w:t xml:space="preserve"> </w:t>
      </w:r>
      <w:r w:rsidR="006C577F" w:rsidRPr="006C577F">
        <w:rPr>
          <w:rStyle w:val="libFootnotenumChar"/>
          <w:rtl/>
        </w:rPr>
        <w:t>(12)</w:t>
      </w:r>
      <w:r w:rsidRPr="00C9040A">
        <w:rPr>
          <w:rtl/>
          <w:lang w:bidi="fa-IR"/>
        </w:rPr>
        <w:t xml:space="preserve"> ‌</w:t>
      </w:r>
    </w:p>
    <w:p w:rsidR="008A74EB" w:rsidRPr="00C9040A" w:rsidRDefault="008A74EB" w:rsidP="008A74EB">
      <w:pPr>
        <w:pStyle w:val="libNormal"/>
        <w:rPr>
          <w:rtl/>
          <w:lang w:bidi="fa-IR"/>
        </w:rPr>
      </w:pPr>
      <w:r w:rsidRPr="000F0400">
        <w:rPr>
          <w:rtl/>
        </w:rPr>
        <w:t>2380</w:t>
      </w:r>
      <w:r w:rsidRPr="00261CB0">
        <w:rPr>
          <w:rStyle w:val="libBold2Char"/>
          <w:rtl/>
        </w:rPr>
        <w:t xml:space="preserve"> / 29.</w:t>
      </w:r>
      <w:r w:rsidRPr="00C9040A">
        <w:rPr>
          <w:rtl/>
          <w:lang w:bidi="fa-IR"/>
        </w:rPr>
        <w:t xml:space="preserve"> عَلِيُّ بْنُ إِبْرَاهِيمَ ، عَنْ أَبِيهِ ، عَنِ ابْنِ مَحْبُوبٍ ، عَنْ سَمَاعَةَ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إِنَّ فِي كِتَابِ عَلِيٍّ </w:t>
      </w:r>
      <w:r w:rsidRPr="0003660B">
        <w:rPr>
          <w:rStyle w:val="libAlaemChar"/>
          <w:rtl/>
        </w:rPr>
        <w:t>عليه‌السلام</w:t>
      </w:r>
      <w:r w:rsidRPr="00C9040A">
        <w:rPr>
          <w:rtl/>
          <w:lang w:bidi="fa-IR"/>
        </w:rPr>
        <w:t xml:space="preserve"> : أَنَّ أَشَدَّ النَّاسِ بَلَاءً النَّبِيُّونَ ، ثُمَّ الْوَصِيُّونَ ، ثُمَّ الْأَمْثَلُ فَالْأَمْثَلُ ؛ وَإِنَّمَا يُبْتَلَى الْمُؤْمِنُ عَلى قَدْرِ أَعْمَالِهِ الْحَسَنَةِ </w:t>
      </w:r>
      <w:r w:rsidRPr="005B567D">
        <w:rPr>
          <w:rStyle w:val="libFootnotenumChar"/>
          <w:rtl/>
        </w:rPr>
        <w:t>(13)</w:t>
      </w:r>
      <w:r w:rsidRPr="00C9040A">
        <w:rPr>
          <w:rtl/>
          <w:lang w:bidi="fa-IR"/>
        </w:rPr>
        <w:t xml:space="preserve"> ، فَمَنْ صَحَّ دِينُهُ وَحَسُنَ عَمَلُهُ ، اشْتَدَّ بَلَاؤُهُ ، وَذلِكَ أَنَّ اللهَ </w:t>
      </w:r>
      <w:r w:rsidRPr="005B567D">
        <w:rPr>
          <w:rStyle w:val="libFootnotenumChar"/>
          <w:rtl/>
        </w:rPr>
        <w:t>(14)</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لَمْ يَجْعَلِ الدُّنْيَا ثَوَاباً‌</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791A7E" w:rsidTr="00791A7E">
        <w:tc>
          <w:tcPr>
            <w:tcW w:w="4006" w:type="dxa"/>
          </w:tcPr>
          <w:p w:rsidR="00791A7E" w:rsidRDefault="00791A7E" w:rsidP="004A4E41">
            <w:pPr>
              <w:pStyle w:val="libFootnote0"/>
              <w:rPr>
                <w:rtl/>
              </w:rPr>
            </w:pPr>
            <w:r>
              <w:rPr>
                <w:rtl/>
              </w:rPr>
              <w:t xml:space="preserve">(1). </w:t>
            </w:r>
            <w:r w:rsidRPr="00C9040A">
              <w:rPr>
                <w:rtl/>
              </w:rPr>
              <w:t xml:space="preserve">في « </w:t>
            </w:r>
            <w:r>
              <w:rPr>
                <w:rtl/>
              </w:rPr>
              <w:t xml:space="preserve">ه </w:t>
            </w:r>
            <w:r w:rsidRPr="00C9040A">
              <w:rPr>
                <w:rtl/>
              </w:rPr>
              <w:t>» : « مكرّم »</w:t>
            </w:r>
            <w:r>
              <w:rPr>
                <w:rtl/>
              </w:rPr>
              <w:t>.</w:t>
            </w:r>
          </w:p>
        </w:tc>
        <w:tc>
          <w:tcPr>
            <w:tcW w:w="4006" w:type="dxa"/>
          </w:tcPr>
          <w:p w:rsidR="00791A7E" w:rsidRDefault="00791A7E" w:rsidP="004A4E41">
            <w:pPr>
              <w:pStyle w:val="libFootnote0"/>
              <w:rPr>
                <w:rtl/>
              </w:rPr>
            </w:pPr>
            <w:r>
              <w:rPr>
                <w:rtl/>
              </w:rPr>
              <w:t xml:space="preserve">(2). </w:t>
            </w:r>
            <w:r w:rsidRPr="00C9040A">
              <w:rPr>
                <w:rtl/>
              </w:rPr>
              <w:t>في « ب » : « لوسأل »</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في « د » وحاشية « ب ، ج ، ص ، ض ، </w:t>
      </w:r>
      <w:r w:rsidR="006D3162">
        <w:rPr>
          <w:rtl/>
        </w:rPr>
        <w:t xml:space="preserve">ه </w:t>
      </w:r>
      <w:r w:rsidR="008A74EB" w:rsidRPr="00C9040A">
        <w:rPr>
          <w:rtl/>
        </w:rPr>
        <w:t>» وشرح المازندراني والوافي : « أن ينقص »</w:t>
      </w:r>
      <w:r w:rsidR="008A74EB">
        <w:rPr>
          <w:rtl/>
        </w:rPr>
        <w:t>.</w:t>
      </w:r>
    </w:p>
    <w:tbl>
      <w:tblPr>
        <w:tblStyle w:val="TableGrid"/>
        <w:bidiVisual/>
        <w:tblW w:w="0" w:type="auto"/>
        <w:tblLook w:val="04A0" w:firstRow="1" w:lastRow="0" w:firstColumn="1" w:lastColumn="0" w:noHBand="0" w:noVBand="1"/>
      </w:tblPr>
      <w:tblGrid>
        <w:gridCol w:w="4006"/>
        <w:gridCol w:w="4006"/>
      </w:tblGrid>
      <w:tr w:rsidR="00D272C3" w:rsidTr="00D272C3">
        <w:tc>
          <w:tcPr>
            <w:tcW w:w="4006" w:type="dxa"/>
          </w:tcPr>
          <w:p w:rsidR="00D272C3" w:rsidRDefault="00D272C3" w:rsidP="004A4E41">
            <w:pPr>
              <w:pStyle w:val="libFootnote0"/>
              <w:rPr>
                <w:rtl/>
                <w:lang w:bidi="fa-IR"/>
              </w:rPr>
            </w:pPr>
            <w:r>
              <w:rPr>
                <w:rtl/>
              </w:rPr>
              <w:t>(4).</w:t>
            </w:r>
            <w:r w:rsidRPr="00C9040A">
              <w:rPr>
                <w:rtl/>
              </w:rPr>
              <w:t xml:space="preserve"> في « ض » : « شي‌ء »</w:t>
            </w:r>
            <w:r>
              <w:rPr>
                <w:rtl/>
              </w:rPr>
              <w:t>.</w:t>
            </w:r>
          </w:p>
        </w:tc>
        <w:tc>
          <w:tcPr>
            <w:tcW w:w="4006" w:type="dxa"/>
          </w:tcPr>
          <w:p w:rsidR="00D272C3" w:rsidRDefault="00D272C3" w:rsidP="004A4E41">
            <w:pPr>
              <w:pStyle w:val="libFootnote0"/>
              <w:rPr>
                <w:rtl/>
                <w:lang w:bidi="fa-IR"/>
              </w:rPr>
            </w:pPr>
            <w:r>
              <w:rPr>
                <w:rtl/>
              </w:rPr>
              <w:t>(5).</w:t>
            </w:r>
            <w:r w:rsidRPr="00C9040A">
              <w:rPr>
                <w:rtl/>
              </w:rPr>
              <w:t xml:space="preserve"> في « ب » </w:t>
            </w:r>
            <w:r>
              <w:rPr>
                <w:rtl/>
              </w:rPr>
              <w:t>: -</w:t>
            </w:r>
            <w:r w:rsidRPr="00C9040A">
              <w:rPr>
                <w:rtl/>
              </w:rPr>
              <w:t xml:space="preserve"> « إنّ »</w:t>
            </w:r>
            <w:r>
              <w:rPr>
                <w:rtl/>
              </w:rPr>
              <w:t>.</w:t>
            </w:r>
          </w:p>
        </w:tc>
      </w:tr>
      <w:tr w:rsidR="00D272C3" w:rsidTr="00D272C3">
        <w:tc>
          <w:tcPr>
            <w:tcW w:w="4006" w:type="dxa"/>
          </w:tcPr>
          <w:p w:rsidR="00D272C3" w:rsidRDefault="000A2F0E" w:rsidP="004A4E41">
            <w:pPr>
              <w:pStyle w:val="libFootnote0"/>
              <w:rPr>
                <w:rtl/>
                <w:lang w:bidi="fa-IR"/>
              </w:rPr>
            </w:pPr>
            <w:r>
              <w:rPr>
                <w:rtl/>
              </w:rPr>
              <w:t xml:space="preserve">(6). </w:t>
            </w:r>
            <w:r w:rsidRPr="00C9040A">
              <w:rPr>
                <w:rtl/>
              </w:rPr>
              <w:t>في « ص » : « ليهوّن » بالتشديد.</w:t>
            </w:r>
          </w:p>
        </w:tc>
        <w:tc>
          <w:tcPr>
            <w:tcW w:w="4006" w:type="dxa"/>
          </w:tcPr>
          <w:p w:rsidR="00D272C3" w:rsidRDefault="000A2F0E" w:rsidP="004A4E41">
            <w:pPr>
              <w:pStyle w:val="libFootnote0"/>
              <w:rPr>
                <w:rtl/>
                <w:lang w:bidi="fa-IR"/>
              </w:rPr>
            </w:pPr>
            <w:r>
              <w:rPr>
                <w:rtl/>
              </w:rPr>
              <w:t>(7).</w:t>
            </w:r>
            <w:r w:rsidRPr="00C9040A">
              <w:rPr>
                <w:rtl/>
              </w:rPr>
              <w:t xml:space="preserve"> في « ض » والبحار </w:t>
            </w:r>
            <w:r>
              <w:rPr>
                <w:rtl/>
              </w:rPr>
              <w:t>: -</w:t>
            </w:r>
            <w:r w:rsidRPr="00C9040A">
              <w:rPr>
                <w:rtl/>
              </w:rPr>
              <w:t xml:space="preserve"> « ذلك »</w:t>
            </w:r>
            <w:r>
              <w:rPr>
                <w:rtl/>
              </w:rPr>
              <w:t>.</w:t>
            </w:r>
          </w:p>
        </w:tc>
      </w:tr>
    </w:tbl>
    <w:p w:rsidR="008A74EB" w:rsidRPr="00C9040A" w:rsidRDefault="006C577F" w:rsidP="004A4E41">
      <w:pPr>
        <w:pStyle w:val="libFootnote0"/>
        <w:rPr>
          <w:rtl/>
          <w:lang w:bidi="fa-IR"/>
        </w:rPr>
      </w:pPr>
      <w:r>
        <w:rPr>
          <w:rtl/>
        </w:rPr>
        <w:t>(8).</w:t>
      </w:r>
      <w:r w:rsidR="008A74EB" w:rsidRPr="00C9040A">
        <w:rPr>
          <w:rtl/>
        </w:rPr>
        <w:t xml:space="preserve"> في « ج ، </w:t>
      </w:r>
      <w:r w:rsidR="006D3162">
        <w:rPr>
          <w:rtl/>
        </w:rPr>
        <w:t xml:space="preserve">ه </w:t>
      </w:r>
      <w:r w:rsidR="008A74EB" w:rsidRPr="00C9040A">
        <w:rPr>
          <w:rtl/>
        </w:rPr>
        <w:t>» والوافي والبحار : « أن ينقص »</w:t>
      </w:r>
      <w:r w:rsidR="008A74EB">
        <w:rPr>
          <w:rtl/>
        </w:rPr>
        <w:t>.</w:t>
      </w:r>
      <w:r w:rsidR="008A74EB" w:rsidRPr="00C9040A">
        <w:rPr>
          <w:rtl/>
        </w:rPr>
        <w:t xml:space="preserve"> وفي مرآة العقول : « أن انتقص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ب » : « شي‌ء »</w:t>
      </w:r>
      <w:r w:rsidR="008A74EB">
        <w:rPr>
          <w:rtl/>
        </w:rPr>
        <w:t>.</w:t>
      </w:r>
    </w:p>
    <w:p w:rsidR="008A74EB" w:rsidRPr="00C9040A" w:rsidRDefault="006C577F" w:rsidP="00F54A49">
      <w:pPr>
        <w:pStyle w:val="libFootnote0"/>
        <w:rPr>
          <w:rtl/>
          <w:lang w:bidi="fa-IR"/>
        </w:rPr>
      </w:pPr>
      <w:r>
        <w:rPr>
          <w:rtl/>
        </w:rPr>
        <w:t>(10).</w:t>
      </w:r>
      <w:r w:rsidR="008A74EB" w:rsidRPr="00C9040A">
        <w:rPr>
          <w:rtl/>
        </w:rPr>
        <w:t xml:space="preserve"> « الطُّرَفَ » : واحده الطرفة ، وهي : ما يُسْتَطْرف ويُستَمْلَح. وأطرف فلاناً : أعطاه ما لم يعطه أحداً قبله. </w:t>
      </w:r>
      <w:r w:rsidR="008A74EB" w:rsidRPr="00993B55">
        <w:rPr>
          <w:rStyle w:val="libFootnoteBoldChar"/>
          <w:rtl/>
        </w:rPr>
        <w:t>مجمع‌البحرين</w:t>
      </w:r>
      <w:r w:rsidR="008A74EB" w:rsidRPr="00C9040A">
        <w:rPr>
          <w:rtl/>
        </w:rPr>
        <w:t xml:space="preserve"> ، ج 5 ، ص 89 ( طرف )</w:t>
      </w:r>
      <w:r w:rsidR="008A74EB">
        <w:rPr>
          <w:rtl/>
        </w:rPr>
        <w:t>.</w:t>
      </w:r>
      <w:r w:rsidR="00F54A49">
        <w:rPr>
          <w:rFonts w:hint="cs"/>
          <w:rtl/>
        </w:rPr>
        <w:t xml:space="preserve">              </w:t>
      </w:r>
      <w:r>
        <w:rPr>
          <w:rtl/>
        </w:rPr>
        <w:t>(11).</w:t>
      </w:r>
      <w:r w:rsidR="008A74EB" w:rsidRPr="00C9040A">
        <w:rPr>
          <w:rtl/>
        </w:rPr>
        <w:t xml:space="preserve"> في « بر » </w:t>
      </w:r>
      <w:r w:rsidR="008A74EB">
        <w:rPr>
          <w:rtl/>
        </w:rPr>
        <w:t xml:space="preserve">: </w:t>
      </w:r>
      <w:r w:rsidR="0084262C">
        <w:rPr>
          <w:rtl/>
        </w:rPr>
        <w:t>-</w:t>
      </w:r>
      <w:r w:rsidR="008A74EB" w:rsidRPr="00C9040A">
        <w:rPr>
          <w:rtl/>
        </w:rPr>
        <w:t xml:space="preserve"> « إنّه »</w:t>
      </w:r>
      <w:r w:rsidR="008A74EB">
        <w:rPr>
          <w:rtl/>
        </w:rPr>
        <w:t>.</w:t>
      </w:r>
    </w:p>
    <w:p w:rsidR="008A74EB" w:rsidRPr="00C9040A" w:rsidRDefault="006C577F" w:rsidP="00D73229">
      <w:pPr>
        <w:pStyle w:val="libFootnote0"/>
        <w:rPr>
          <w:rtl/>
          <w:lang w:bidi="fa-IR"/>
        </w:rPr>
      </w:pPr>
      <w:r>
        <w:rPr>
          <w:rtl/>
        </w:rPr>
        <w:t>(12).</w:t>
      </w:r>
      <w:r w:rsidR="008A74EB" w:rsidRPr="00C9040A">
        <w:rPr>
          <w:rtl/>
        </w:rPr>
        <w:t xml:space="preserve"> </w:t>
      </w:r>
      <w:r w:rsidR="008A74EB" w:rsidRPr="00993B55">
        <w:rPr>
          <w:rStyle w:val="libFootnoteBoldChar"/>
          <w:rtl/>
        </w:rPr>
        <w:t>المؤمن</w:t>
      </w:r>
      <w:r w:rsidR="008A74EB" w:rsidRPr="00C9040A">
        <w:rPr>
          <w:rtl/>
        </w:rPr>
        <w:t xml:space="preserve"> ، ص 21 ، ح 21 ، عن حمران ، عن أبي‌جعفر </w:t>
      </w:r>
      <w:r w:rsidR="00117575" w:rsidRPr="00117575">
        <w:rPr>
          <w:rStyle w:val="libFootnoteAlaemChar"/>
          <w:rtl/>
        </w:rPr>
        <w:t>عليه‌السلام</w:t>
      </w:r>
      <w:r w:rsidR="008A74EB" w:rsidRPr="00C9040A">
        <w:rPr>
          <w:rtl/>
        </w:rPr>
        <w:t xml:space="preserve"> ، مع اختلاف يسير وزيادة</w:t>
      </w:r>
      <w:r w:rsidR="00D73229">
        <w:rPr>
          <w:rFonts w:hint="cs"/>
          <w:rtl/>
        </w:rPr>
        <w:t>.</w:t>
      </w:r>
      <w:r w:rsidR="008A74EB" w:rsidRPr="00993B55">
        <w:rPr>
          <w:rStyle w:val="libFootnoteBoldChar"/>
          <w:rtl/>
        </w:rPr>
        <w:t>الوافي</w:t>
      </w:r>
      <w:r w:rsidR="008A74EB" w:rsidRPr="00C9040A">
        <w:rPr>
          <w:rtl/>
        </w:rPr>
        <w:t xml:space="preserve"> ، ج 5 ، ص 769 ، ح 3014 ؛ </w:t>
      </w:r>
      <w:r w:rsidR="008A74EB" w:rsidRPr="00993B55">
        <w:rPr>
          <w:rStyle w:val="libFootnoteBoldChar"/>
          <w:rtl/>
        </w:rPr>
        <w:t>الوسائل</w:t>
      </w:r>
      <w:r w:rsidR="008A74EB" w:rsidRPr="00C9040A">
        <w:rPr>
          <w:rtl/>
        </w:rPr>
        <w:t xml:space="preserve"> ، ج 3 ، ص 265 ، ح 3601 ، من قوله : « إنّ الله ليتعاهد عبده المؤمن » ؛ </w:t>
      </w:r>
      <w:r w:rsidR="008A74EB" w:rsidRPr="00993B55">
        <w:rPr>
          <w:rStyle w:val="libFootnoteBoldChar"/>
          <w:rtl/>
        </w:rPr>
        <w:t>البحار</w:t>
      </w:r>
      <w:r w:rsidR="008A74EB" w:rsidRPr="00C9040A">
        <w:rPr>
          <w:rtl/>
        </w:rPr>
        <w:t xml:space="preserve"> ، ج 67 ، ص 221 ، ح 28.</w:t>
      </w:r>
      <w:r w:rsidR="00D73229">
        <w:rPr>
          <w:rFonts w:hint="cs"/>
          <w:rtl/>
        </w:rPr>
        <w:t xml:space="preserve">                   </w:t>
      </w:r>
      <w:r w:rsidR="008A74EB">
        <w:rPr>
          <w:rtl/>
        </w:rPr>
        <w:t>(13)</w:t>
      </w:r>
      <w:r w:rsidR="008A74EB" w:rsidRPr="00C9040A">
        <w:rPr>
          <w:rtl/>
        </w:rPr>
        <w:t xml:space="preserve"> في « ب » : « على قلّة الحسنة »</w:t>
      </w:r>
      <w:r w:rsidR="008A74EB">
        <w:rPr>
          <w:rtl/>
        </w:rPr>
        <w:t>.</w:t>
      </w:r>
    </w:p>
    <w:p w:rsidR="008A74EB" w:rsidRPr="00C9040A" w:rsidRDefault="008A74EB" w:rsidP="004A4E41">
      <w:pPr>
        <w:pStyle w:val="libFootnote0"/>
        <w:rPr>
          <w:rtl/>
          <w:lang w:bidi="fa-IR"/>
        </w:rPr>
      </w:pPr>
      <w:r>
        <w:rPr>
          <w:rtl/>
        </w:rPr>
        <w:t>(14)</w:t>
      </w:r>
      <w:r w:rsidRPr="00C9040A">
        <w:rPr>
          <w:rtl/>
        </w:rPr>
        <w:t xml:space="preserve"> في </w:t>
      </w:r>
      <w:r w:rsidRPr="00993B55">
        <w:rPr>
          <w:rStyle w:val="libFootnoteBoldChar"/>
          <w:rtl/>
        </w:rPr>
        <w:t>الوافي</w:t>
      </w:r>
      <w:r w:rsidRPr="00C9040A">
        <w:rPr>
          <w:rtl/>
        </w:rPr>
        <w:t xml:space="preserve"> : « قوله </w:t>
      </w:r>
      <w:r w:rsidR="00117575" w:rsidRPr="00117575">
        <w:rPr>
          <w:rStyle w:val="libFootnoteAlaemChar"/>
          <w:rtl/>
        </w:rPr>
        <w:t xml:space="preserve">عليه‌السلام </w:t>
      </w:r>
      <w:r w:rsidRPr="00C9040A">
        <w:rPr>
          <w:rtl/>
        </w:rPr>
        <w:t>: وذلك أنّ الله ، دفعٌ لما يتوهّم أنّ المؤمن لكرامته على الله تعالى كان ينبغي أن‌لايبتلى ، أو يكون بلاؤه أقلّ من غيره. وتوجيهه أنّ المؤمن ل</w:t>
      </w:r>
      <w:r w:rsidR="00062083">
        <w:rPr>
          <w:rFonts w:hint="cs"/>
          <w:rtl/>
        </w:rPr>
        <w:t>ـ</w:t>
      </w:r>
      <w:r w:rsidRPr="00C9040A">
        <w:rPr>
          <w:rtl/>
        </w:rPr>
        <w:t>مّا كان محلّ ثوابه الآخرة دون الدنيا ، في</w:t>
      </w:r>
      <w:r w:rsidR="00062083">
        <w:rPr>
          <w:rtl/>
        </w:rPr>
        <w:t>نبغي أن لايكون له في الدنيا إل</w:t>
      </w:r>
      <w:r w:rsidR="00062083">
        <w:rPr>
          <w:rFonts w:hint="cs"/>
          <w:rtl/>
        </w:rPr>
        <w:t>ّ</w:t>
      </w:r>
      <w:r w:rsidR="00062083">
        <w:rPr>
          <w:rtl/>
        </w:rPr>
        <w:t>ا</w:t>
      </w:r>
      <w:r w:rsidRPr="00C9040A">
        <w:rPr>
          <w:rtl/>
        </w:rPr>
        <w:t>ما يوجب الثواب في الآخرة. وكلّما كان البلاء في الدنيا أعظم ، كان الثواب في الآخرة أعظم ؛ فينبغي أن يكون بلاؤه في الدنيا أشدّ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لِمُؤْمِنٍ ، وَلَا عُقُوبَةً </w:t>
      </w:r>
      <w:r w:rsidR="006C577F" w:rsidRPr="006C577F">
        <w:rPr>
          <w:rStyle w:val="libFootnotenumChar"/>
          <w:rtl/>
        </w:rPr>
        <w:t>(1)</w:t>
      </w:r>
      <w:r w:rsidRPr="00C9040A">
        <w:rPr>
          <w:rtl/>
          <w:lang w:bidi="fa-IR"/>
        </w:rPr>
        <w:t xml:space="preserve"> لِكَافِرٍ ، وَمَنْ سَخُفَ دِينُهُ وَضَعُفَ عَمَلُهُ ، قَلَّ بَلَاؤُهُ ؛ وَ</w:t>
      </w:r>
      <w:r>
        <w:rPr>
          <w:rFonts w:hint="cs"/>
          <w:rtl/>
          <w:lang w:bidi="fa-IR"/>
        </w:rPr>
        <w:t xml:space="preserve"> </w:t>
      </w:r>
      <w:r w:rsidR="006C577F" w:rsidRPr="006C577F">
        <w:rPr>
          <w:rStyle w:val="libFootnotenumChar"/>
          <w:rtl/>
        </w:rPr>
        <w:t>(2)</w:t>
      </w:r>
      <w:r w:rsidRPr="00C9040A">
        <w:rPr>
          <w:rtl/>
          <w:lang w:bidi="fa-IR"/>
        </w:rPr>
        <w:t xml:space="preserve"> أَنَّ الْبَلَاءَ أَسْرَعُ إِلَى الْمُؤْمِنِ التَّقِيِّ مِنَ الْمَطَرِ إِلى قَرَارِ </w:t>
      </w:r>
      <w:r w:rsidR="006C577F" w:rsidRPr="006C577F">
        <w:rPr>
          <w:rStyle w:val="libFootnotenumChar"/>
          <w:rtl/>
        </w:rPr>
        <w:t>(3)</w:t>
      </w:r>
      <w:r w:rsidRPr="00C9040A">
        <w:rPr>
          <w:rtl/>
          <w:lang w:bidi="fa-IR"/>
        </w:rPr>
        <w:t xml:space="preserve"> الْأَرْضِ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0F0400">
        <w:rPr>
          <w:rtl/>
        </w:rPr>
        <w:t>2381</w:t>
      </w:r>
      <w:r w:rsidRPr="00261CB0">
        <w:rPr>
          <w:rStyle w:val="libBold2Char"/>
          <w:rtl/>
        </w:rPr>
        <w:t xml:space="preserve"> / 30.</w:t>
      </w:r>
      <w:r w:rsidRPr="00C9040A">
        <w:rPr>
          <w:rtl/>
          <w:lang w:bidi="fa-IR"/>
        </w:rPr>
        <w:t xml:space="preserve"> مُحَمَّدُ بْنُ يَحْيى ، عَنْ أَحْمَدَ بْنِ مُحَمَّدِ بْنِ عِيسى </w:t>
      </w:r>
      <w:r w:rsidR="006C577F" w:rsidRPr="006C577F">
        <w:rPr>
          <w:rStyle w:val="libFootnotenumChar"/>
          <w:rtl/>
        </w:rPr>
        <w:t>(5)</w:t>
      </w:r>
      <w:r w:rsidRPr="00C9040A">
        <w:rPr>
          <w:rtl/>
          <w:lang w:bidi="fa-IR"/>
        </w:rPr>
        <w:t xml:space="preserve"> ، عَنْ عَلِيِّ بْنِ الْحَكَمِ ، عَنْ مَالِكِ بْنِ عَطِيَّةَ ، عَنْ يُونُسَ بْنِ عَمَّارٍ ، قَالَ :</w:t>
      </w:r>
    </w:p>
    <w:p w:rsidR="008A74EB" w:rsidRPr="00C9040A" w:rsidRDefault="008A74EB" w:rsidP="00062083">
      <w:pPr>
        <w:pStyle w:val="libNormal"/>
        <w:rPr>
          <w:rtl/>
          <w:lang w:bidi="fa-IR"/>
        </w:rPr>
      </w:pPr>
      <w:r w:rsidRPr="00C9040A">
        <w:rPr>
          <w:rtl/>
          <w:lang w:bidi="fa-IR"/>
        </w:rPr>
        <w:t xml:space="preserve">قُلْتُ لِأَبِي عَبْدِ اللهِ </w:t>
      </w:r>
      <w:r w:rsidRPr="0003660B">
        <w:rPr>
          <w:rStyle w:val="libAlaemChar"/>
          <w:rtl/>
        </w:rPr>
        <w:t>عليه‌السلام</w:t>
      </w:r>
      <w:r w:rsidRPr="00C9040A">
        <w:rPr>
          <w:rtl/>
          <w:lang w:bidi="fa-IR"/>
        </w:rPr>
        <w:t xml:space="preserve"> : إِنَّ </w:t>
      </w:r>
      <w:r w:rsidR="006C577F" w:rsidRPr="006C577F">
        <w:rPr>
          <w:rStyle w:val="libFootnotenumChar"/>
          <w:rtl/>
        </w:rPr>
        <w:t>(6)</w:t>
      </w:r>
      <w:r w:rsidR="00062083" w:rsidRPr="00C9040A">
        <w:rPr>
          <w:rtl/>
          <w:lang w:bidi="fa-IR"/>
        </w:rPr>
        <w:t xml:space="preserve"> </w:t>
      </w:r>
      <w:r w:rsidRPr="00C9040A">
        <w:rPr>
          <w:rtl/>
          <w:lang w:bidi="fa-IR"/>
        </w:rPr>
        <w:t xml:space="preserve">هذَا الَّذِي ظَهَرَ </w:t>
      </w:r>
      <w:r w:rsidR="006C577F" w:rsidRPr="006C577F">
        <w:rPr>
          <w:rStyle w:val="libFootnotenumChar"/>
          <w:rtl/>
        </w:rPr>
        <w:t>(7)</w:t>
      </w:r>
      <w:r w:rsidRPr="00C9040A">
        <w:rPr>
          <w:rtl/>
          <w:lang w:bidi="fa-IR"/>
        </w:rPr>
        <w:t xml:space="preserve"> بِوَجْهِي يَزْعُمُ النَّاسُ أَنَّ اللهَ لَمْ يَبْتَلِ بِهِ عَبْداً لَهُ فِيهِ حَاجَةٌ ، قَالَ : فَقَالَ لِي : « لَقَدْ كَانَ </w:t>
      </w:r>
      <w:r w:rsidR="006C577F" w:rsidRPr="006C577F">
        <w:rPr>
          <w:rStyle w:val="libFootnotenumChar"/>
          <w:rtl/>
        </w:rPr>
        <w:t>(8)</w:t>
      </w:r>
      <w:r w:rsidRPr="00C9040A">
        <w:rPr>
          <w:rtl/>
          <w:lang w:bidi="fa-IR"/>
        </w:rPr>
        <w:t xml:space="preserve"> مُؤْمِنُ آلِ فِرْعَوْنَ </w:t>
      </w:r>
      <w:r w:rsidR="006C577F" w:rsidRPr="006C577F">
        <w:rPr>
          <w:rStyle w:val="libFootnotenumChar"/>
          <w:rtl/>
        </w:rPr>
        <w:t>(9)</w:t>
      </w:r>
      <w:r w:rsidRPr="00C9040A">
        <w:rPr>
          <w:rtl/>
          <w:lang w:bidi="fa-IR"/>
        </w:rPr>
        <w:t xml:space="preserve"> مُكَنَّعَ </w:t>
      </w:r>
      <w:r w:rsidR="006C577F" w:rsidRPr="006C577F">
        <w:rPr>
          <w:rStyle w:val="libFootnotenumChar"/>
          <w:rtl/>
        </w:rPr>
        <w:t>(10)</w:t>
      </w:r>
      <w:r w:rsidRPr="00C9040A">
        <w:rPr>
          <w:rtl/>
          <w:lang w:bidi="fa-IR"/>
        </w:rPr>
        <w:t xml:space="preserve"> الْأَصَابِعِ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ج » : « عقاباً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ج ، د ، ص ، ض ، </w:t>
      </w:r>
      <w:r w:rsidR="006D3162">
        <w:rPr>
          <w:rtl/>
        </w:rPr>
        <w:t xml:space="preserve">ه </w:t>
      </w:r>
      <w:r w:rsidR="008A74EB" w:rsidRPr="00C9040A">
        <w:rPr>
          <w:rtl/>
        </w:rPr>
        <w:t xml:space="preserve">، بر ، بس ، بف » والوافي </w:t>
      </w:r>
      <w:r w:rsidR="008A74EB">
        <w:rPr>
          <w:rtl/>
        </w:rPr>
        <w:t xml:space="preserve">: </w:t>
      </w:r>
      <w:r w:rsidR="0084262C">
        <w:rPr>
          <w:rtl/>
        </w:rPr>
        <w:t>-</w:t>
      </w:r>
      <w:r w:rsidR="008A74EB" w:rsidRPr="00C9040A">
        <w:rPr>
          <w:rtl/>
        </w:rPr>
        <w:t xml:space="preserve"> « </w:t>
      </w:r>
      <w:r w:rsidR="008A74EB">
        <w:rPr>
          <w:rtl/>
        </w:rPr>
        <w:t>و ».</w:t>
      </w:r>
    </w:p>
    <w:p w:rsidR="008A74EB" w:rsidRPr="00C9040A" w:rsidRDefault="006C577F" w:rsidP="004A4E41">
      <w:pPr>
        <w:pStyle w:val="libFootnote0"/>
        <w:rPr>
          <w:rtl/>
          <w:lang w:bidi="fa-IR"/>
        </w:rPr>
      </w:pPr>
      <w:r>
        <w:rPr>
          <w:rtl/>
        </w:rPr>
        <w:t>(3).</w:t>
      </w:r>
      <w:r w:rsidR="008A74EB" w:rsidRPr="00C9040A">
        <w:rPr>
          <w:rtl/>
        </w:rPr>
        <w:t xml:space="preserve"> « القَرار » واحده : القَرارة. وهي المطمئنّ من الأرض وما يستقرّ فيه ماء المطر. </w:t>
      </w:r>
      <w:r w:rsidR="008A74EB" w:rsidRPr="00993B55">
        <w:rPr>
          <w:rStyle w:val="libFootnoteBoldChar"/>
          <w:rtl/>
        </w:rPr>
        <w:t>لسان العرب</w:t>
      </w:r>
      <w:r w:rsidR="008A74EB" w:rsidRPr="00C9040A">
        <w:rPr>
          <w:rtl/>
        </w:rPr>
        <w:t xml:space="preserve"> ، ج 5 ، ص 85 ( قرر )</w:t>
      </w:r>
      <w:r w:rsidR="008A74EB">
        <w:rPr>
          <w:rtl/>
        </w:rPr>
        <w:t>.</w:t>
      </w:r>
    </w:p>
    <w:p w:rsidR="008A74EB" w:rsidRPr="00C9040A" w:rsidRDefault="006C577F" w:rsidP="001A7C25">
      <w:pPr>
        <w:pStyle w:val="libFootnote0"/>
        <w:rPr>
          <w:rtl/>
          <w:lang w:bidi="fa-IR"/>
        </w:rPr>
      </w:pPr>
      <w:r>
        <w:rPr>
          <w:rtl/>
        </w:rPr>
        <w:t>(4).</w:t>
      </w:r>
      <w:r w:rsidR="008A74EB" w:rsidRPr="00C9040A">
        <w:rPr>
          <w:rtl/>
        </w:rPr>
        <w:t xml:space="preserve"> </w:t>
      </w:r>
      <w:r w:rsidR="008A74EB" w:rsidRPr="00993B55">
        <w:rPr>
          <w:rStyle w:val="libFootnoteBoldChar"/>
          <w:rtl/>
        </w:rPr>
        <w:t>علل الشرائع</w:t>
      </w:r>
      <w:r w:rsidR="008A74EB" w:rsidRPr="00C9040A">
        <w:rPr>
          <w:rtl/>
        </w:rPr>
        <w:t xml:space="preserve"> ، ص 44 ، ح 1 ، بسنده عن الحسن بن محبوب. </w:t>
      </w:r>
      <w:r w:rsidR="008A74EB" w:rsidRPr="00993B55">
        <w:rPr>
          <w:rStyle w:val="libFootnoteBoldChar"/>
          <w:rtl/>
        </w:rPr>
        <w:t>الكافي</w:t>
      </w:r>
      <w:r w:rsidR="008A74EB" w:rsidRPr="00C9040A">
        <w:rPr>
          <w:rtl/>
        </w:rPr>
        <w:t xml:space="preserve"> ، كتاب الإيمان والكفر ، باب شدّة ابتلاء المؤمن ، ح 2353 ، بسند آخر عن أبي‌عبدالله </w:t>
      </w:r>
      <w:r w:rsidR="00117575" w:rsidRPr="00117575">
        <w:rPr>
          <w:rStyle w:val="libFootnoteAlaemChar"/>
          <w:rtl/>
        </w:rPr>
        <w:t>عليه‌السلام</w:t>
      </w:r>
      <w:r w:rsidR="008A74EB" w:rsidRPr="00C9040A">
        <w:rPr>
          <w:rtl/>
        </w:rPr>
        <w:t xml:space="preserve"> عن النبيّ </w:t>
      </w:r>
      <w:r w:rsidR="004A4E41" w:rsidRPr="00062083">
        <w:rPr>
          <w:rStyle w:val="libFootnoteAlaemChar"/>
          <w:rtl/>
        </w:rPr>
        <w:t>صلى‌الله‌عليه‌وآله</w:t>
      </w:r>
      <w:r w:rsidR="008A74EB" w:rsidRPr="00C9040A">
        <w:rPr>
          <w:rtl/>
        </w:rPr>
        <w:t xml:space="preserve">. </w:t>
      </w:r>
      <w:r w:rsidR="008A74EB" w:rsidRPr="00993B55">
        <w:rPr>
          <w:rStyle w:val="libFootnoteBoldChar"/>
          <w:rtl/>
        </w:rPr>
        <w:t>تحف العقول</w:t>
      </w:r>
      <w:r w:rsidR="008A74EB" w:rsidRPr="00C9040A">
        <w:rPr>
          <w:rtl/>
        </w:rPr>
        <w:t xml:space="preserve"> ، ص 39 ، عن النبيّ </w:t>
      </w:r>
      <w:r w:rsidR="004A4E41" w:rsidRPr="00062083">
        <w:rPr>
          <w:rStyle w:val="libFootnoteAlaemChar"/>
          <w:rtl/>
        </w:rPr>
        <w:t>صلى‌الله‌عليه‌وآله</w:t>
      </w:r>
      <w:r w:rsidR="008A74EB" w:rsidRPr="00C9040A">
        <w:rPr>
          <w:rtl/>
        </w:rPr>
        <w:t xml:space="preserve"> ، وفيهما إلى قوله : « قلّ بلاؤه » مع اختلاف يسير</w:t>
      </w:r>
      <w:r w:rsidR="00062083">
        <w:rPr>
          <w:rFonts w:hint="cs"/>
          <w:rtl/>
        </w:rPr>
        <w:t>.</w:t>
      </w:r>
      <w:r w:rsidR="008A74EB" w:rsidRPr="00993B55">
        <w:rPr>
          <w:rStyle w:val="libFootnoteBoldChar"/>
          <w:rtl/>
        </w:rPr>
        <w:t>الوافي</w:t>
      </w:r>
      <w:r w:rsidR="008A74EB" w:rsidRPr="00C9040A">
        <w:rPr>
          <w:rtl/>
        </w:rPr>
        <w:t xml:space="preserve"> ، ج 5 ، ص 764 ، ح 3002 ؛ </w:t>
      </w:r>
      <w:r w:rsidR="008A74EB" w:rsidRPr="00993B55">
        <w:rPr>
          <w:rStyle w:val="libFootnoteBoldChar"/>
          <w:rtl/>
        </w:rPr>
        <w:t>الوسائل</w:t>
      </w:r>
      <w:r w:rsidR="008A74EB" w:rsidRPr="00C9040A">
        <w:rPr>
          <w:rtl/>
        </w:rPr>
        <w:t xml:space="preserve"> ، ج 3 ، ص 262 ، ح 3591 ؛ </w:t>
      </w:r>
      <w:r w:rsidR="008A74EB" w:rsidRPr="00993B55">
        <w:rPr>
          <w:rStyle w:val="libFootnoteBoldChar"/>
          <w:rtl/>
        </w:rPr>
        <w:t>البحار</w:t>
      </w:r>
      <w:r w:rsidR="008A74EB" w:rsidRPr="00C9040A">
        <w:rPr>
          <w:rtl/>
        </w:rPr>
        <w:t xml:space="preserve"> ، ج 67 ، ص 222 ، ح 29.</w:t>
      </w:r>
      <w:r w:rsidR="00062083">
        <w:rPr>
          <w:rFonts w:hint="cs"/>
          <w:rtl/>
        </w:rPr>
        <w:t xml:space="preserve"> </w:t>
      </w:r>
      <w:r w:rsidR="001A7C25">
        <w:rPr>
          <w:rFonts w:hint="cs"/>
          <w:rtl/>
        </w:rPr>
        <w:t xml:space="preserve"> </w:t>
      </w:r>
      <w:r>
        <w:rPr>
          <w:rtl/>
        </w:rPr>
        <w:t>(5).</w:t>
      </w:r>
      <w:r w:rsidR="001A7C25">
        <w:rPr>
          <w:rtl/>
        </w:rPr>
        <w:t>في الكافي،ح3405و</w:t>
      </w:r>
      <w:r w:rsidR="008A74EB">
        <w:rPr>
          <w:rtl/>
        </w:rPr>
        <w:t>5</w:t>
      </w:r>
      <w:r w:rsidR="001A7C25">
        <w:rPr>
          <w:rtl/>
        </w:rPr>
        <w:t>043:</w:t>
      </w:r>
      <w:r w:rsidR="0084262C">
        <w:rPr>
          <w:rtl/>
        </w:rPr>
        <w:t>-</w:t>
      </w:r>
      <w:r w:rsidR="001A7C25">
        <w:rPr>
          <w:rtl/>
        </w:rPr>
        <w:t>«بن</w:t>
      </w:r>
      <w:r w:rsidR="001A7C25">
        <w:rPr>
          <w:rFonts w:hint="cs"/>
          <w:rtl/>
        </w:rPr>
        <w:t xml:space="preserve"> </w:t>
      </w:r>
      <w:r w:rsidR="001A7C25">
        <w:rPr>
          <w:rtl/>
        </w:rPr>
        <w:t>عيسى</w:t>
      </w:r>
      <w:r w:rsidR="008A74EB" w:rsidRPr="00C9040A">
        <w:rPr>
          <w:rtl/>
        </w:rPr>
        <w:t>»</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الكافي ، ح 3405 </w:t>
      </w:r>
      <w:r w:rsidR="008A74EB">
        <w:rPr>
          <w:rtl/>
        </w:rPr>
        <w:t>و 5</w:t>
      </w:r>
      <w:r w:rsidR="008A74EB" w:rsidRPr="00C9040A">
        <w:rPr>
          <w:rtl/>
        </w:rPr>
        <w:t>043 : « جعلت فداك » بدل « إنّ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الكافي ، ح 3405 : « قد ظهر »</w:t>
      </w:r>
      <w:r w:rsidR="008A74EB">
        <w:rPr>
          <w:rtl/>
        </w:rPr>
        <w:t>.</w:t>
      </w:r>
      <w:r w:rsidR="008A74EB" w:rsidRPr="00C9040A">
        <w:rPr>
          <w:rtl/>
        </w:rPr>
        <w:t xml:space="preserve"> والآثار التي ظهرت بوجهه كان برصاً ، ويحتمل الجذام.</w:t>
      </w:r>
    </w:p>
    <w:p w:rsidR="008A74EB" w:rsidRPr="00C9040A" w:rsidRDefault="006C577F" w:rsidP="004A4E41">
      <w:pPr>
        <w:pStyle w:val="libFootnote0"/>
        <w:rPr>
          <w:rtl/>
          <w:lang w:bidi="fa-IR"/>
        </w:rPr>
      </w:pPr>
      <w:r>
        <w:rPr>
          <w:rtl/>
        </w:rPr>
        <w:t>(8).</w:t>
      </w:r>
      <w:r w:rsidR="008A74EB" w:rsidRPr="00C9040A">
        <w:rPr>
          <w:rtl/>
        </w:rPr>
        <w:t xml:space="preserve"> في </w:t>
      </w:r>
      <w:r w:rsidR="008A74EB" w:rsidRPr="00993B55">
        <w:rPr>
          <w:rStyle w:val="libFootnoteBoldChar"/>
          <w:rtl/>
        </w:rPr>
        <w:t>الكافي</w:t>
      </w:r>
      <w:r w:rsidR="008A74EB" w:rsidRPr="00C9040A">
        <w:rPr>
          <w:rtl/>
        </w:rPr>
        <w:t xml:space="preserve"> ، ح 3405 : « فقال لي : لا لقد كان »</w:t>
      </w:r>
      <w:r w:rsidR="008A74EB">
        <w:rPr>
          <w:rtl/>
        </w:rPr>
        <w:t>.</w:t>
      </w:r>
      <w:r w:rsidR="008A74EB" w:rsidRPr="00C9040A">
        <w:rPr>
          <w:rtl/>
        </w:rPr>
        <w:t xml:space="preserve"> وفي الكافي ، ح 5043 : « فقال : لا ، قد كان » كلاهما بدل « قال : فقال لي : لقد كان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هاهنا إشكال ، وهو أنّ الآية المذكورة هي حكاية قول مؤمن آل ياسين ، والمذكور هنا مؤمن آل فرعون. وُجّه الإشكال بوجوه : الأوّل : لعلّ ذكر مؤمن آل فرعون في هذا الخبر من اشتباه الرواة أو النسّاخ. الثاني : أنّ المراد بالفرعون هنا فرعون عيسى </w:t>
      </w:r>
      <w:r w:rsidR="00117575" w:rsidRPr="00117575">
        <w:rPr>
          <w:rStyle w:val="libFootnoteAlaemChar"/>
          <w:rtl/>
        </w:rPr>
        <w:t>عليه‌السلام</w:t>
      </w:r>
      <w:r w:rsidR="008A74EB" w:rsidRPr="00C9040A">
        <w:rPr>
          <w:rtl/>
        </w:rPr>
        <w:t xml:space="preserve"> ، والفرعون يطلق على كلّ جبّار متكبّر. الثالث : كونهما واحداً ، وكان طويل العمر جدّاً ومع إدراكه زمان موسى أدرك زمان عيسى </w:t>
      </w:r>
      <w:r w:rsidR="00117575" w:rsidRPr="00117575">
        <w:rPr>
          <w:rStyle w:val="libFootnoteAlaemChar"/>
          <w:rtl/>
        </w:rPr>
        <w:t>عليهما‌السلام</w:t>
      </w:r>
      <w:r w:rsidR="008A74EB" w:rsidRPr="00C9040A">
        <w:rPr>
          <w:rtl/>
        </w:rPr>
        <w:t>. قال المجلسي : « ولا يخفى بعد الوجهين</w:t>
      </w:r>
      <w:r w:rsidR="008A74EB">
        <w:rPr>
          <w:rtl/>
        </w:rPr>
        <w:t xml:space="preserve"> </w:t>
      </w:r>
      <w:r w:rsidR="0084262C">
        <w:rPr>
          <w:rtl/>
        </w:rPr>
        <w:t>-</w:t>
      </w:r>
      <w:r w:rsidR="008A74EB">
        <w:rPr>
          <w:rtl/>
        </w:rPr>
        <w:t xml:space="preserve"> </w:t>
      </w:r>
      <w:r w:rsidR="008A74EB" w:rsidRPr="00C9040A">
        <w:rPr>
          <w:rtl/>
        </w:rPr>
        <w:t>أي‌الأخيرين</w:t>
      </w:r>
      <w:r w:rsidR="008A74EB">
        <w:rPr>
          <w:rtl/>
        </w:rPr>
        <w:t xml:space="preserve"> </w:t>
      </w:r>
      <w:r w:rsidR="0084262C">
        <w:rPr>
          <w:rtl/>
        </w:rPr>
        <w:t>-</w:t>
      </w:r>
      <w:r w:rsidR="008A74EB">
        <w:rPr>
          <w:rtl/>
        </w:rPr>
        <w:t xml:space="preserve"> </w:t>
      </w:r>
      <w:r w:rsidR="008A74EB" w:rsidRPr="00C9040A">
        <w:rPr>
          <w:rtl/>
        </w:rPr>
        <w:t>لا سيّما الأخير ؛ فإنّه ينافيه أخبار كثيرة دالّة على تعدّد المؤمنين »</w:t>
      </w:r>
      <w:r w:rsidR="008A74EB">
        <w:rPr>
          <w:rtl/>
        </w:rPr>
        <w:t>.</w:t>
      </w:r>
      <w:r w:rsidR="008A74EB" w:rsidRPr="00C9040A">
        <w:rPr>
          <w:rtl/>
        </w:rPr>
        <w:t xml:space="preserve"> راجع : </w:t>
      </w:r>
      <w:r w:rsidR="008A74EB" w:rsidRPr="00993B55">
        <w:rPr>
          <w:rStyle w:val="libFootnoteBoldChar"/>
          <w:rtl/>
        </w:rPr>
        <w:t>شرح المازندراني</w:t>
      </w:r>
      <w:r w:rsidR="008A74EB" w:rsidRPr="00C9040A">
        <w:rPr>
          <w:rtl/>
        </w:rPr>
        <w:t xml:space="preserve"> ، ج 9 ، ص 207 ؛ </w:t>
      </w:r>
      <w:r w:rsidR="008A74EB" w:rsidRPr="00993B55">
        <w:rPr>
          <w:rStyle w:val="libFootnoteBoldChar"/>
          <w:rtl/>
        </w:rPr>
        <w:t>الوافي</w:t>
      </w:r>
      <w:r w:rsidR="008A74EB" w:rsidRPr="00C9040A">
        <w:rPr>
          <w:rtl/>
        </w:rPr>
        <w:t xml:space="preserve"> ، ج 5 ، ص 776 ؛ </w:t>
      </w:r>
      <w:r w:rsidR="008A74EB" w:rsidRPr="00993B55">
        <w:rPr>
          <w:rStyle w:val="libFootnoteBoldChar"/>
          <w:rtl/>
        </w:rPr>
        <w:t>مرآة العقول</w:t>
      </w:r>
      <w:r w:rsidR="008A74EB" w:rsidRPr="00C9040A">
        <w:rPr>
          <w:rtl/>
        </w:rPr>
        <w:t xml:space="preserve"> ، ج 9 ، ص 353.</w:t>
      </w:r>
    </w:p>
    <w:p w:rsidR="008A74EB" w:rsidRPr="00C9040A" w:rsidRDefault="006C577F" w:rsidP="004A4E41">
      <w:pPr>
        <w:pStyle w:val="libFootnote0"/>
        <w:rPr>
          <w:rtl/>
          <w:lang w:bidi="fa-IR"/>
        </w:rPr>
      </w:pPr>
      <w:r>
        <w:rPr>
          <w:rtl/>
        </w:rPr>
        <w:t>(10).</w:t>
      </w:r>
      <w:r w:rsidR="008A74EB" w:rsidRPr="00C9040A">
        <w:rPr>
          <w:rtl/>
        </w:rPr>
        <w:t xml:space="preserve"> في « ب ، ض » والكافي ، ح 5043 : « مكتّع »</w:t>
      </w:r>
      <w:r w:rsidR="008A74EB">
        <w:rPr>
          <w:rtl/>
        </w:rPr>
        <w:t>.</w:t>
      </w:r>
      <w:r w:rsidR="008A74EB" w:rsidRPr="00C9040A">
        <w:rPr>
          <w:rtl/>
        </w:rPr>
        <w:t xml:space="preserve"> </w:t>
      </w:r>
      <w:r w:rsidR="008A74EB">
        <w:rPr>
          <w:rtl/>
        </w:rPr>
        <w:t>و «</w:t>
      </w:r>
      <w:r w:rsidR="008A74EB" w:rsidRPr="00C9040A">
        <w:rPr>
          <w:rtl/>
        </w:rPr>
        <w:t xml:space="preserve"> مكنّع الأصابع » : أشلّها ، أي هو من رجعت أصابعه إلى كفّه وظهرت دواجيه ، وهي مفاصل ا</w:t>
      </w:r>
      <w:r w:rsidR="00AD7400">
        <w:rPr>
          <w:rFonts w:hint="cs"/>
          <w:rtl/>
        </w:rPr>
        <w:t>ُ</w:t>
      </w:r>
      <w:r w:rsidR="008A74EB" w:rsidRPr="00C9040A">
        <w:rPr>
          <w:rtl/>
        </w:rPr>
        <w:t xml:space="preserve">صول الأصابع. ويقال : كَنِعَت أصابِعُه كَنَعاً ، أي‌تَشَجَّتْ ويَبَست. راجع : </w:t>
      </w:r>
      <w:r w:rsidR="008A74EB" w:rsidRPr="00993B55">
        <w:rPr>
          <w:rStyle w:val="libFootnoteBoldChar"/>
          <w:rtl/>
        </w:rPr>
        <w:t>النهاية</w:t>
      </w:r>
      <w:r w:rsidR="008A74EB" w:rsidRPr="00C9040A">
        <w:rPr>
          <w:rtl/>
        </w:rPr>
        <w:t xml:space="preserve"> ، ج 4 ، ص 204 ؛ </w:t>
      </w:r>
      <w:r w:rsidR="008A74EB" w:rsidRPr="00993B55">
        <w:rPr>
          <w:rStyle w:val="libFootnoteBoldChar"/>
          <w:rtl/>
        </w:rPr>
        <w:t>مجمع البحرين</w:t>
      </w:r>
      <w:r w:rsidR="008A74EB" w:rsidRPr="00C9040A">
        <w:rPr>
          <w:rtl/>
        </w:rPr>
        <w:t xml:space="preserve"> ، ج 4 ، ص 386 ( كنع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فَكَانَ يَقُولُ هكَذَا ، وَيَمُدُّ يَدَيْهِ </w:t>
      </w:r>
      <w:r w:rsidR="006C577F" w:rsidRPr="006C577F">
        <w:rPr>
          <w:rStyle w:val="libFootnotenumChar"/>
          <w:rtl/>
        </w:rPr>
        <w:t>(1)</w:t>
      </w:r>
      <w:r w:rsidRPr="00C9040A">
        <w:rPr>
          <w:rtl/>
          <w:lang w:bidi="fa-IR"/>
        </w:rPr>
        <w:t xml:space="preserve"> ، وَيَقُولُ : </w:t>
      </w:r>
      <w:r w:rsidRPr="0003660B">
        <w:rPr>
          <w:rStyle w:val="libAlaemChar"/>
          <w:rtl/>
        </w:rPr>
        <w:t>(</w:t>
      </w:r>
      <w:r w:rsidRPr="006A2246">
        <w:rPr>
          <w:rStyle w:val="libAieChar"/>
          <w:rtl/>
        </w:rPr>
        <w:t xml:space="preserve"> ي</w:t>
      </w:r>
      <w:r w:rsidR="00AD7400">
        <w:rPr>
          <w:rStyle w:val="libAieChar"/>
          <w:rFonts w:hint="cs"/>
          <w:rtl/>
        </w:rPr>
        <w:t>َ</w:t>
      </w:r>
      <w:r w:rsidRPr="006A2246">
        <w:rPr>
          <w:rStyle w:val="libAieChar"/>
          <w:rtl/>
        </w:rPr>
        <w:t xml:space="preserve">ا قَوْمِ اتَّبِعُوا الْمُرْسَلِينَ </w:t>
      </w:r>
      <w:r w:rsidRPr="0003660B">
        <w:rPr>
          <w:rStyle w:val="libAlaemChar"/>
          <w:rtl/>
        </w:rPr>
        <w:t>)</w:t>
      </w:r>
      <w:r w:rsidRPr="00C9040A">
        <w:rPr>
          <w:rtl/>
          <w:lang w:bidi="fa-IR"/>
        </w:rPr>
        <w:t xml:space="preserve"> </w:t>
      </w:r>
      <w:r w:rsidR="006C577F" w:rsidRPr="006C577F">
        <w:rPr>
          <w:rStyle w:val="libFootnotenumChar"/>
          <w:rtl/>
        </w:rPr>
        <w:t>(2)</w:t>
      </w:r>
      <w:r w:rsidRPr="00C9040A">
        <w:rPr>
          <w:rtl/>
          <w:lang w:bidi="fa-IR"/>
        </w:rPr>
        <w:t xml:space="preserve"> »</w:t>
      </w:r>
      <w:r>
        <w:rPr>
          <w:rtl/>
          <w:lang w:bidi="fa-IR"/>
        </w:rPr>
        <w:t>.</w:t>
      </w:r>
    </w:p>
    <w:p w:rsidR="008A74EB" w:rsidRPr="00C9040A" w:rsidRDefault="008A74EB" w:rsidP="008A74EB">
      <w:pPr>
        <w:pStyle w:val="libNormal"/>
        <w:rPr>
          <w:rtl/>
          <w:lang w:bidi="fa-IR"/>
        </w:rPr>
      </w:pPr>
      <w:r w:rsidRPr="00C9040A">
        <w:rPr>
          <w:rtl/>
          <w:lang w:bidi="fa-IR"/>
        </w:rPr>
        <w:t xml:space="preserve">ثُمَّ </w:t>
      </w:r>
      <w:r w:rsidR="006C577F" w:rsidRPr="006C577F">
        <w:rPr>
          <w:rStyle w:val="libFootnotenumChar"/>
          <w:rtl/>
        </w:rPr>
        <w:t>(3)</w:t>
      </w:r>
      <w:r w:rsidRPr="00C9040A">
        <w:rPr>
          <w:rtl/>
          <w:lang w:bidi="fa-IR"/>
        </w:rPr>
        <w:t xml:space="preserve"> قَالَ لِي </w:t>
      </w:r>
      <w:r w:rsidR="006C577F" w:rsidRPr="006C577F">
        <w:rPr>
          <w:rStyle w:val="libFootnotenumChar"/>
          <w:rtl/>
        </w:rPr>
        <w:t>(4)</w:t>
      </w:r>
      <w:r w:rsidRPr="00C9040A">
        <w:rPr>
          <w:rtl/>
          <w:lang w:bidi="fa-IR"/>
        </w:rPr>
        <w:t xml:space="preserve"> : « إِذَا كَانَ الثُّلُثُ الْأَخِيرُ </w:t>
      </w:r>
      <w:r w:rsidR="006C577F" w:rsidRPr="006C577F">
        <w:rPr>
          <w:rStyle w:val="libFootnotenumChar"/>
          <w:rtl/>
        </w:rPr>
        <w:t>(5)</w:t>
      </w:r>
      <w:r w:rsidRPr="00C9040A">
        <w:rPr>
          <w:rtl/>
          <w:lang w:bidi="fa-IR"/>
        </w:rPr>
        <w:t xml:space="preserve"> مِنَ اللَّيْلِ فِي أَوَّلِهِ ، فَتَوَضَّ </w:t>
      </w:r>
      <w:r w:rsidR="006C577F" w:rsidRPr="006C577F">
        <w:rPr>
          <w:rStyle w:val="libFootnotenumChar"/>
          <w:rtl/>
        </w:rPr>
        <w:t>(6)</w:t>
      </w:r>
      <w:r w:rsidRPr="00C9040A">
        <w:rPr>
          <w:rtl/>
          <w:lang w:bidi="fa-IR"/>
        </w:rPr>
        <w:t>، وَ</w:t>
      </w:r>
      <w:r>
        <w:rPr>
          <w:rFonts w:hint="cs"/>
          <w:rtl/>
          <w:lang w:bidi="fa-IR"/>
        </w:rPr>
        <w:t xml:space="preserve"> </w:t>
      </w:r>
      <w:r w:rsidR="006C577F" w:rsidRPr="006C577F">
        <w:rPr>
          <w:rStyle w:val="libFootnotenumChar"/>
          <w:rtl/>
        </w:rPr>
        <w:t>(7)</w:t>
      </w:r>
      <w:r w:rsidRPr="00C9040A">
        <w:rPr>
          <w:rtl/>
          <w:lang w:bidi="fa-IR"/>
        </w:rPr>
        <w:t xml:space="preserve"> قُمْ إِلى صَلَاتِكَ الَّتِي تُصَلِّيهَا ، فَإِذَا كُنْتَ فِي السَّجْدَةِ الْأَخِيرَةِ مِنَ الرَّكْعَتَيْنِ الْأُولَيَيْنِ </w:t>
      </w:r>
      <w:r w:rsidR="006C577F" w:rsidRPr="006C577F">
        <w:rPr>
          <w:rStyle w:val="libFootnotenumChar"/>
          <w:rtl/>
        </w:rPr>
        <w:t>(8)</w:t>
      </w:r>
      <w:r w:rsidRPr="00C9040A">
        <w:rPr>
          <w:rtl/>
          <w:lang w:bidi="fa-IR"/>
        </w:rPr>
        <w:t xml:space="preserve"> ، فَقُلْ</w:t>
      </w:r>
      <w:r>
        <w:rPr>
          <w:rtl/>
          <w:lang w:bidi="fa-IR"/>
        </w:rPr>
        <w:t xml:space="preserve"> </w:t>
      </w:r>
      <w:r w:rsidR="0084262C">
        <w:rPr>
          <w:rtl/>
          <w:lang w:bidi="fa-IR"/>
        </w:rPr>
        <w:t>-</w:t>
      </w:r>
      <w:r>
        <w:rPr>
          <w:rtl/>
          <w:lang w:bidi="fa-IR"/>
        </w:rPr>
        <w:t xml:space="preserve"> </w:t>
      </w:r>
      <w:r w:rsidRPr="00C9040A">
        <w:rPr>
          <w:rtl/>
          <w:lang w:bidi="fa-IR"/>
        </w:rPr>
        <w:t>وَأَنْتَ سَاجِدٌ</w:t>
      </w:r>
      <w:r>
        <w:rPr>
          <w:rtl/>
          <w:lang w:bidi="fa-IR"/>
        </w:rPr>
        <w:t xml:space="preserve"> </w:t>
      </w:r>
      <w:r w:rsidR="0084262C">
        <w:rPr>
          <w:rtl/>
          <w:lang w:bidi="fa-IR"/>
        </w:rPr>
        <w:t>-</w:t>
      </w:r>
      <w:r>
        <w:rPr>
          <w:rtl/>
          <w:lang w:bidi="fa-IR"/>
        </w:rPr>
        <w:t xml:space="preserve"> </w:t>
      </w:r>
      <w:r w:rsidRPr="00C9040A">
        <w:rPr>
          <w:rtl/>
          <w:lang w:bidi="fa-IR"/>
        </w:rPr>
        <w:t xml:space="preserve">: يَا عَلِيُّ ، يَا عَظِيمُ ، يَا رَحْمَانُ ، يَا رَحِيمُ ، يَا سَامِعَ الدَّعَوَاتِ ، يَا مُعْطِيَ الْخَيْرَاتِ ، صَلِّ عَلى مُحَمَّدٍ وَآلِ مُحَمَّدٍ </w:t>
      </w:r>
      <w:r w:rsidR="006C577F" w:rsidRPr="006C577F">
        <w:rPr>
          <w:rStyle w:val="libFootnotenumChar"/>
          <w:rtl/>
        </w:rPr>
        <w:t>(9)</w:t>
      </w:r>
      <w:r w:rsidRPr="00C9040A">
        <w:rPr>
          <w:rtl/>
          <w:lang w:bidi="fa-IR"/>
        </w:rPr>
        <w:t xml:space="preserve"> ، وَأَعْطِنِي مِنْ خَيْرِ الدُّنْيَا وَالْآخِرَةِ مَا أَنْتَ أَهْلُهُ ، وَاصْرِفْ عَنِّي مِنْ </w:t>
      </w:r>
      <w:r w:rsidR="006C577F" w:rsidRPr="006C577F">
        <w:rPr>
          <w:rStyle w:val="libFootnotenumChar"/>
          <w:rtl/>
        </w:rPr>
        <w:t>(10)</w:t>
      </w:r>
      <w:r w:rsidRPr="00C9040A">
        <w:rPr>
          <w:rtl/>
          <w:lang w:bidi="fa-IR"/>
        </w:rPr>
        <w:t xml:space="preserve"> شَرِّ الدُّنْيَا وَالْآخِرَةِ مَا </w:t>
      </w:r>
      <w:r w:rsidR="006C577F" w:rsidRPr="006C577F">
        <w:rPr>
          <w:rStyle w:val="libFootnotenumChar"/>
          <w:rtl/>
        </w:rPr>
        <w:t>(11)</w:t>
      </w:r>
      <w:r w:rsidRPr="00C9040A">
        <w:rPr>
          <w:rtl/>
          <w:lang w:bidi="fa-IR"/>
        </w:rPr>
        <w:t xml:space="preserve"> أَنْتَ </w:t>
      </w:r>
      <w:r w:rsidR="006C577F" w:rsidRPr="006C577F">
        <w:rPr>
          <w:rStyle w:val="libFootnotenumChar"/>
          <w:rtl/>
        </w:rPr>
        <w:t>(12)</w:t>
      </w:r>
      <w:r w:rsidRPr="00C9040A">
        <w:rPr>
          <w:rtl/>
          <w:lang w:bidi="fa-IR"/>
        </w:rPr>
        <w:t xml:space="preserve"> أَهْلُهُ ، وَاذْهَبْ </w:t>
      </w:r>
      <w:r w:rsidRPr="005B567D">
        <w:rPr>
          <w:rStyle w:val="libFootnotenumChar"/>
          <w:rtl/>
        </w:rPr>
        <w:t>(13)</w:t>
      </w:r>
      <w:r w:rsidRPr="00C9040A">
        <w:rPr>
          <w:rtl/>
          <w:lang w:bidi="fa-IR"/>
        </w:rPr>
        <w:t xml:space="preserve"> عَنِّي بِهذَا </w:t>
      </w:r>
      <w:r w:rsidRPr="005B567D">
        <w:rPr>
          <w:rStyle w:val="libFootnotenumChar"/>
          <w:rtl/>
        </w:rPr>
        <w:t>(14)</w:t>
      </w:r>
      <w:r w:rsidRPr="00C9040A">
        <w:rPr>
          <w:rtl/>
          <w:lang w:bidi="fa-IR"/>
        </w:rPr>
        <w:t xml:space="preserve"> الْوَجَعِ </w:t>
      </w:r>
      <w:r w:rsidRPr="005B567D">
        <w:rPr>
          <w:rStyle w:val="libFootnotenumChar"/>
          <w:rtl/>
        </w:rPr>
        <w:t>(15)</w:t>
      </w:r>
      <w:r w:rsidRPr="00C9040A">
        <w:rPr>
          <w:rtl/>
          <w:lang w:bidi="fa-IR"/>
        </w:rPr>
        <w:t xml:space="preserve"> </w:t>
      </w:r>
      <w:r w:rsidR="0084262C">
        <w:rPr>
          <w:rtl/>
          <w:lang w:bidi="fa-IR"/>
        </w:rPr>
        <w:t>-</w:t>
      </w:r>
      <w:r w:rsidRPr="00C9040A">
        <w:rPr>
          <w:rtl/>
          <w:lang w:bidi="fa-IR"/>
        </w:rPr>
        <w:t xml:space="preserve"> وَتُسَمِّيهِ </w:t>
      </w:r>
      <w:r w:rsidRPr="005B567D">
        <w:rPr>
          <w:rStyle w:val="libFootnotenumChar"/>
          <w:rtl/>
        </w:rPr>
        <w:t>(16)</w:t>
      </w:r>
      <w:r>
        <w:rPr>
          <w:rtl/>
          <w:lang w:bidi="fa-IR"/>
        </w:rPr>
        <w:t xml:space="preserve"> </w:t>
      </w:r>
      <w:r w:rsidR="0084262C">
        <w:rPr>
          <w:rtl/>
          <w:lang w:bidi="fa-IR"/>
        </w:rPr>
        <w:t>-</w:t>
      </w:r>
      <w:r>
        <w:rPr>
          <w:rtl/>
          <w:lang w:bidi="fa-IR"/>
        </w:rPr>
        <w:t xml:space="preserve"> </w:t>
      </w:r>
      <w:r w:rsidRPr="00C9040A">
        <w:rPr>
          <w:rtl/>
          <w:lang w:bidi="fa-IR"/>
        </w:rPr>
        <w:t xml:space="preserve">فَإِنَّهُ قَدْ غَاظَنِي </w:t>
      </w:r>
      <w:r w:rsidRPr="005B567D">
        <w:rPr>
          <w:rStyle w:val="libFootnotenumChar"/>
          <w:rtl/>
        </w:rPr>
        <w:t>(17)</w:t>
      </w:r>
      <w:r w:rsidRPr="00C9040A">
        <w:rPr>
          <w:rtl/>
          <w:lang w:bidi="fa-IR"/>
        </w:rPr>
        <w:t xml:space="preserve"> وَأَحْزَنَنِي </w:t>
      </w:r>
      <w:r w:rsidRPr="005B567D">
        <w:rPr>
          <w:rStyle w:val="libFootnotenumChar"/>
          <w:rtl/>
        </w:rPr>
        <w:t>(18)</w:t>
      </w:r>
      <w:r w:rsidRPr="00C9040A">
        <w:rPr>
          <w:rtl/>
          <w:lang w:bidi="fa-IR"/>
        </w:rPr>
        <w:t xml:space="preserve"> ؛ وَأَلِحَّ فِي الدُّعَاءِ »</w:t>
      </w:r>
      <w:r>
        <w:rPr>
          <w:rtl/>
          <w:lang w:bidi="fa-IR"/>
        </w:rPr>
        <w:t>.</w:t>
      </w:r>
    </w:p>
    <w:p w:rsidR="008A74EB" w:rsidRPr="00C9040A" w:rsidRDefault="008A74EB" w:rsidP="008A74EB">
      <w:pPr>
        <w:pStyle w:val="libNormal"/>
        <w:rPr>
          <w:rtl/>
          <w:lang w:bidi="fa-IR"/>
        </w:rPr>
      </w:pPr>
      <w:r w:rsidRPr="00C9040A">
        <w:rPr>
          <w:rtl/>
          <w:lang w:bidi="fa-IR"/>
        </w:rPr>
        <w:t xml:space="preserve">قَالَ </w:t>
      </w:r>
      <w:r w:rsidRPr="005B567D">
        <w:rPr>
          <w:rStyle w:val="libFootnotenumChar"/>
          <w:rtl/>
        </w:rPr>
        <w:t>(19)</w:t>
      </w:r>
      <w:r w:rsidRPr="00C9040A">
        <w:rPr>
          <w:rtl/>
          <w:lang w:bidi="fa-IR"/>
        </w:rPr>
        <w:t xml:space="preserve"> : فَمَا وَصَلْتُ إِلَى الْكُوفَةِ حَتّى أَذْهَبَ </w:t>
      </w:r>
      <w:r w:rsidRPr="005B567D">
        <w:rPr>
          <w:rStyle w:val="libFootnotenumChar"/>
          <w:rtl/>
        </w:rPr>
        <w:t>(20)</w:t>
      </w:r>
      <w:r w:rsidRPr="00C9040A">
        <w:rPr>
          <w:rtl/>
          <w:lang w:bidi="fa-IR"/>
        </w:rPr>
        <w:t xml:space="preserve"> اللهُ بِهِ </w:t>
      </w:r>
      <w:r w:rsidRPr="005B567D">
        <w:rPr>
          <w:rStyle w:val="libFootnotenumChar"/>
          <w:rtl/>
        </w:rPr>
        <w:t>(21)</w:t>
      </w:r>
      <w:r w:rsidRPr="00C9040A">
        <w:rPr>
          <w:rtl/>
          <w:lang w:bidi="fa-IR"/>
        </w:rPr>
        <w:t xml:space="preserve"> عَنِّي كُلَّهُ. </w:t>
      </w:r>
      <w:r w:rsidRPr="005B567D">
        <w:rPr>
          <w:rStyle w:val="libFootnotenumChar"/>
          <w:rtl/>
        </w:rPr>
        <w:t>(22)</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w:t>
      </w:r>
      <w:r w:rsidR="006D3162">
        <w:rPr>
          <w:rtl/>
        </w:rPr>
        <w:t xml:space="preserve">ه </w:t>
      </w:r>
      <w:r w:rsidR="008A74EB" w:rsidRPr="00C9040A">
        <w:rPr>
          <w:rtl/>
        </w:rPr>
        <w:t xml:space="preserve">» والكافي ، ح 3405 </w:t>
      </w:r>
      <w:r w:rsidR="008A74EB">
        <w:rPr>
          <w:rtl/>
        </w:rPr>
        <w:t>و 5</w:t>
      </w:r>
      <w:r w:rsidR="008A74EB" w:rsidRPr="00C9040A">
        <w:rPr>
          <w:rtl/>
        </w:rPr>
        <w:t>043 والوافي : « يده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يس (36) : 20.</w:t>
      </w:r>
    </w:p>
    <w:p w:rsidR="008A74EB" w:rsidRPr="00C9040A" w:rsidRDefault="006C577F" w:rsidP="004A4E41">
      <w:pPr>
        <w:pStyle w:val="libFootnote0"/>
        <w:rPr>
          <w:rtl/>
          <w:lang w:bidi="fa-IR"/>
        </w:rPr>
      </w:pPr>
      <w:r>
        <w:rPr>
          <w:rtl/>
        </w:rPr>
        <w:t>(3).</w:t>
      </w:r>
      <w:r w:rsidR="008A74EB" w:rsidRPr="00C9040A">
        <w:rPr>
          <w:rtl/>
        </w:rPr>
        <w:t xml:space="preserve"> لم يرد في الوافي من هنا إلى آخر الحديث.</w:t>
      </w:r>
    </w:p>
    <w:tbl>
      <w:tblPr>
        <w:tblStyle w:val="TableGrid"/>
        <w:bidiVisual/>
        <w:tblW w:w="0" w:type="auto"/>
        <w:tblLook w:val="04A0" w:firstRow="1" w:lastRow="0" w:firstColumn="1" w:lastColumn="0" w:noHBand="0" w:noVBand="1"/>
      </w:tblPr>
      <w:tblGrid>
        <w:gridCol w:w="4006"/>
        <w:gridCol w:w="4006"/>
      </w:tblGrid>
      <w:tr w:rsidR="00AD7400" w:rsidTr="00AD7400">
        <w:tc>
          <w:tcPr>
            <w:tcW w:w="4006" w:type="dxa"/>
          </w:tcPr>
          <w:p w:rsidR="00AD7400" w:rsidRDefault="00AD7400" w:rsidP="004A4E41">
            <w:pPr>
              <w:pStyle w:val="libFootnote0"/>
              <w:rPr>
                <w:rtl/>
              </w:rPr>
            </w:pPr>
            <w:r>
              <w:rPr>
                <w:rtl/>
              </w:rPr>
              <w:t>(4).</w:t>
            </w:r>
            <w:r w:rsidRPr="00C9040A">
              <w:rPr>
                <w:rtl/>
              </w:rPr>
              <w:t xml:space="preserve"> في الكافي ، ح 3405 </w:t>
            </w:r>
            <w:r>
              <w:rPr>
                <w:rtl/>
              </w:rPr>
              <w:t>و 5</w:t>
            </w:r>
            <w:r w:rsidRPr="00C9040A">
              <w:rPr>
                <w:rtl/>
              </w:rPr>
              <w:t xml:space="preserve">043 </w:t>
            </w:r>
            <w:r>
              <w:rPr>
                <w:rtl/>
              </w:rPr>
              <w:t>: -</w:t>
            </w:r>
            <w:r w:rsidRPr="00C9040A">
              <w:rPr>
                <w:rtl/>
              </w:rPr>
              <w:t xml:space="preserve"> « لي »</w:t>
            </w:r>
            <w:r>
              <w:rPr>
                <w:rtl/>
              </w:rPr>
              <w:t>.</w:t>
            </w:r>
          </w:p>
        </w:tc>
        <w:tc>
          <w:tcPr>
            <w:tcW w:w="4006" w:type="dxa"/>
          </w:tcPr>
          <w:p w:rsidR="00AD7400" w:rsidRDefault="00AD7400" w:rsidP="004A4E41">
            <w:pPr>
              <w:pStyle w:val="libFootnote0"/>
              <w:rPr>
                <w:rtl/>
              </w:rPr>
            </w:pPr>
            <w:r>
              <w:rPr>
                <w:rtl/>
              </w:rPr>
              <w:t>(5).</w:t>
            </w:r>
            <w:r w:rsidRPr="00C9040A">
              <w:rPr>
                <w:rtl/>
              </w:rPr>
              <w:t xml:space="preserve"> في « </w:t>
            </w:r>
            <w:r>
              <w:rPr>
                <w:rtl/>
              </w:rPr>
              <w:t xml:space="preserve">ه </w:t>
            </w:r>
            <w:r w:rsidRPr="00C9040A">
              <w:rPr>
                <w:rtl/>
              </w:rPr>
              <w:t>» : « الآخر »</w:t>
            </w:r>
            <w:r>
              <w:rPr>
                <w:rtl/>
              </w:rPr>
              <w:t>.</w:t>
            </w:r>
          </w:p>
        </w:tc>
      </w:tr>
      <w:tr w:rsidR="00AD7400" w:rsidTr="00AD7400">
        <w:tc>
          <w:tcPr>
            <w:tcW w:w="4006" w:type="dxa"/>
          </w:tcPr>
          <w:p w:rsidR="00AD7400" w:rsidRDefault="00AD7400" w:rsidP="004A4E41">
            <w:pPr>
              <w:pStyle w:val="libFootnote0"/>
              <w:rPr>
                <w:rtl/>
              </w:rPr>
            </w:pPr>
            <w:r>
              <w:rPr>
                <w:rtl/>
              </w:rPr>
              <w:t xml:space="preserve">(6). </w:t>
            </w:r>
            <w:r w:rsidRPr="00C9040A">
              <w:rPr>
                <w:rtl/>
              </w:rPr>
              <w:t xml:space="preserve">في « ب » وحاشية « </w:t>
            </w:r>
            <w:r>
              <w:rPr>
                <w:rtl/>
              </w:rPr>
              <w:t xml:space="preserve">ه </w:t>
            </w:r>
            <w:r w:rsidRPr="00C9040A">
              <w:rPr>
                <w:rtl/>
              </w:rPr>
              <w:t>» : « فتوضّأ »</w:t>
            </w:r>
            <w:r>
              <w:rPr>
                <w:rtl/>
              </w:rPr>
              <w:t>.</w:t>
            </w:r>
          </w:p>
        </w:tc>
        <w:tc>
          <w:tcPr>
            <w:tcW w:w="4006" w:type="dxa"/>
          </w:tcPr>
          <w:p w:rsidR="00AD7400" w:rsidRDefault="00AD7400" w:rsidP="004A4E41">
            <w:pPr>
              <w:pStyle w:val="libFootnote0"/>
              <w:rPr>
                <w:rtl/>
              </w:rPr>
            </w:pPr>
            <w:r>
              <w:rPr>
                <w:rtl/>
              </w:rPr>
              <w:t>(7).</w:t>
            </w:r>
            <w:r w:rsidRPr="00C9040A">
              <w:rPr>
                <w:rtl/>
              </w:rPr>
              <w:t xml:space="preserve"> في الكافي ، ح 5043 : « ثمّ »</w:t>
            </w:r>
            <w:r>
              <w:rPr>
                <w:rtl/>
              </w:rPr>
              <w:t>.</w:t>
            </w:r>
          </w:p>
        </w:tc>
      </w:tr>
    </w:tbl>
    <w:p w:rsidR="008A74EB" w:rsidRPr="00C9040A" w:rsidRDefault="006C577F" w:rsidP="004A4E41">
      <w:pPr>
        <w:pStyle w:val="libFootnote0"/>
        <w:rPr>
          <w:rtl/>
          <w:lang w:bidi="fa-IR"/>
        </w:rPr>
      </w:pPr>
      <w:r>
        <w:rPr>
          <w:rtl/>
        </w:rPr>
        <w:t>(8).</w:t>
      </w:r>
      <w:r w:rsidR="008A74EB" w:rsidRPr="00C9040A">
        <w:rPr>
          <w:rtl/>
        </w:rPr>
        <w:t xml:space="preserve"> في « </w:t>
      </w:r>
      <w:r w:rsidR="006D3162">
        <w:rPr>
          <w:rtl/>
        </w:rPr>
        <w:t xml:space="preserve">ه </w:t>
      </w:r>
      <w:r w:rsidR="008A74EB" w:rsidRPr="00C9040A">
        <w:rPr>
          <w:rtl/>
        </w:rPr>
        <w:t>، بس ، بف » : « الأوّلتين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الكافي ، ح 5043 : « وأهل بيت محمّد » بدل « وآل محمّد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 </w:t>
      </w:r>
      <w:r w:rsidR="006D3162">
        <w:rPr>
          <w:rtl/>
        </w:rPr>
        <w:t xml:space="preserve">ه </w:t>
      </w:r>
      <w:r w:rsidR="008A74EB" w:rsidRPr="00C9040A">
        <w:rPr>
          <w:rtl/>
        </w:rPr>
        <w:t xml:space="preserve">» </w:t>
      </w:r>
      <w:r w:rsidR="008A74EB">
        <w:rPr>
          <w:rtl/>
        </w:rPr>
        <w:t xml:space="preserve">: </w:t>
      </w:r>
      <w:r w:rsidR="0084262C">
        <w:rPr>
          <w:rtl/>
        </w:rPr>
        <w:t>-</w:t>
      </w:r>
      <w:r w:rsidR="008A74EB" w:rsidRPr="00C9040A">
        <w:rPr>
          <w:rtl/>
        </w:rPr>
        <w:t xml:space="preserve"> « من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في « ض ، </w:t>
      </w:r>
      <w:r w:rsidR="006D3162">
        <w:rPr>
          <w:rtl/>
        </w:rPr>
        <w:t xml:space="preserve">ه </w:t>
      </w:r>
      <w:r w:rsidR="008A74EB" w:rsidRPr="00C9040A">
        <w:rPr>
          <w:rtl/>
        </w:rPr>
        <w:t>» وحاشية « بر » : « وما »</w:t>
      </w:r>
      <w:r w:rsidR="008A74EB">
        <w:rPr>
          <w:rtl/>
        </w:rPr>
        <w:t>.</w:t>
      </w:r>
    </w:p>
    <w:tbl>
      <w:tblPr>
        <w:tblStyle w:val="TableGrid"/>
        <w:bidiVisual/>
        <w:tblW w:w="0" w:type="auto"/>
        <w:tblLook w:val="04A0" w:firstRow="1" w:lastRow="0" w:firstColumn="1" w:lastColumn="0" w:noHBand="0" w:noVBand="1"/>
      </w:tblPr>
      <w:tblGrid>
        <w:gridCol w:w="4006"/>
        <w:gridCol w:w="4006"/>
      </w:tblGrid>
      <w:tr w:rsidR="00584F6A" w:rsidTr="00584F6A">
        <w:tc>
          <w:tcPr>
            <w:tcW w:w="4006" w:type="dxa"/>
          </w:tcPr>
          <w:p w:rsidR="00584F6A" w:rsidRDefault="00584F6A" w:rsidP="004A4E41">
            <w:pPr>
              <w:pStyle w:val="libFootnote0"/>
              <w:rPr>
                <w:rtl/>
              </w:rPr>
            </w:pPr>
            <w:r>
              <w:rPr>
                <w:rtl/>
              </w:rPr>
              <w:t>(12).</w:t>
            </w:r>
            <w:r w:rsidRPr="00C9040A">
              <w:rPr>
                <w:rtl/>
              </w:rPr>
              <w:t xml:space="preserve"> في « بر » والكافي ، ح 5043 : « أنا »</w:t>
            </w:r>
            <w:r>
              <w:rPr>
                <w:rtl/>
              </w:rPr>
              <w:t>.</w:t>
            </w:r>
          </w:p>
        </w:tc>
        <w:tc>
          <w:tcPr>
            <w:tcW w:w="4006" w:type="dxa"/>
          </w:tcPr>
          <w:p w:rsidR="00584F6A" w:rsidRDefault="00297A9E" w:rsidP="004A4E41">
            <w:pPr>
              <w:pStyle w:val="libFootnote0"/>
              <w:rPr>
                <w:rtl/>
              </w:rPr>
            </w:pPr>
            <w:r>
              <w:rPr>
                <w:rtl/>
              </w:rPr>
              <w:t>(13)</w:t>
            </w:r>
            <w:r w:rsidRPr="00C9040A">
              <w:rPr>
                <w:rtl/>
              </w:rPr>
              <w:t xml:space="preserve"> في « </w:t>
            </w:r>
            <w:r>
              <w:rPr>
                <w:rtl/>
              </w:rPr>
              <w:t xml:space="preserve">ه </w:t>
            </w:r>
            <w:r w:rsidRPr="00C9040A">
              <w:rPr>
                <w:rtl/>
              </w:rPr>
              <w:t>» وحاشية « بر » : « واصرف »</w:t>
            </w:r>
            <w:r>
              <w:rPr>
                <w:rtl/>
              </w:rPr>
              <w:t>.</w:t>
            </w:r>
          </w:p>
        </w:tc>
      </w:tr>
    </w:tbl>
    <w:p w:rsidR="008A74EB" w:rsidRPr="00C9040A" w:rsidRDefault="008A74EB" w:rsidP="004A4E41">
      <w:pPr>
        <w:pStyle w:val="libFootnote0"/>
        <w:rPr>
          <w:rtl/>
          <w:lang w:bidi="fa-IR"/>
        </w:rPr>
      </w:pPr>
      <w:r>
        <w:rPr>
          <w:rtl/>
        </w:rPr>
        <w:t>(14)</w:t>
      </w:r>
      <w:r w:rsidRPr="00C9040A">
        <w:rPr>
          <w:rtl/>
        </w:rPr>
        <w:t xml:space="preserve"> في « ز ، </w:t>
      </w:r>
      <w:r w:rsidR="006D3162">
        <w:rPr>
          <w:rtl/>
        </w:rPr>
        <w:t xml:space="preserve">ه </w:t>
      </w:r>
      <w:r w:rsidRPr="00C9040A">
        <w:rPr>
          <w:rtl/>
        </w:rPr>
        <w:t xml:space="preserve">» والكافي ، ح 3405 </w:t>
      </w:r>
      <w:r>
        <w:rPr>
          <w:rtl/>
        </w:rPr>
        <w:t>و 5</w:t>
      </w:r>
      <w:r w:rsidRPr="00C9040A">
        <w:rPr>
          <w:rtl/>
        </w:rPr>
        <w:t>043 : « هذا » بدون الباء.</w:t>
      </w:r>
    </w:p>
    <w:p w:rsidR="008A74EB" w:rsidRPr="00C9040A" w:rsidRDefault="008A74EB" w:rsidP="004A4E41">
      <w:pPr>
        <w:pStyle w:val="libFootnote0"/>
        <w:rPr>
          <w:rtl/>
          <w:lang w:bidi="fa-IR"/>
        </w:rPr>
      </w:pPr>
      <w:r>
        <w:rPr>
          <w:rtl/>
        </w:rPr>
        <w:t>(15)</w:t>
      </w:r>
      <w:r w:rsidRPr="00C9040A">
        <w:rPr>
          <w:rtl/>
        </w:rPr>
        <w:t xml:space="preserve"> في « </w:t>
      </w:r>
      <w:r w:rsidR="006D3162">
        <w:rPr>
          <w:rtl/>
        </w:rPr>
        <w:t xml:space="preserve">ه </w:t>
      </w:r>
      <w:r w:rsidRPr="00C9040A">
        <w:rPr>
          <w:rtl/>
        </w:rPr>
        <w:t>» : « البلاء »</w:t>
      </w:r>
      <w:r>
        <w:rPr>
          <w:rtl/>
        </w:rPr>
        <w:t>.</w:t>
      </w:r>
    </w:p>
    <w:p w:rsidR="008A74EB" w:rsidRPr="00C9040A" w:rsidRDefault="008A74EB" w:rsidP="004A4E41">
      <w:pPr>
        <w:pStyle w:val="libFootnote0"/>
        <w:rPr>
          <w:rtl/>
          <w:lang w:bidi="fa-IR"/>
        </w:rPr>
      </w:pPr>
      <w:r>
        <w:rPr>
          <w:rtl/>
        </w:rPr>
        <w:t>(16)</w:t>
      </w:r>
      <w:r w:rsidRPr="00C9040A">
        <w:rPr>
          <w:rtl/>
        </w:rPr>
        <w:t xml:space="preserve"> في « </w:t>
      </w:r>
      <w:r w:rsidR="006D3162">
        <w:rPr>
          <w:rtl/>
        </w:rPr>
        <w:t xml:space="preserve">ه </w:t>
      </w:r>
      <w:r w:rsidRPr="00C9040A">
        <w:rPr>
          <w:rtl/>
        </w:rPr>
        <w:t>» : « وشدّته »</w:t>
      </w:r>
      <w:r>
        <w:rPr>
          <w:rtl/>
        </w:rPr>
        <w:t>.</w:t>
      </w:r>
      <w:r w:rsidRPr="00C9040A">
        <w:rPr>
          <w:rtl/>
        </w:rPr>
        <w:t xml:space="preserve"> وفي الكافي ، ح 3405 : « وسمّه »</w:t>
      </w:r>
      <w:r>
        <w:rPr>
          <w:rtl/>
        </w:rPr>
        <w:t>.</w:t>
      </w:r>
    </w:p>
    <w:tbl>
      <w:tblPr>
        <w:tblStyle w:val="TableGrid"/>
        <w:bidiVisual/>
        <w:tblW w:w="0" w:type="auto"/>
        <w:tblLook w:val="04A0" w:firstRow="1" w:lastRow="0" w:firstColumn="1" w:lastColumn="0" w:noHBand="0" w:noVBand="1"/>
      </w:tblPr>
      <w:tblGrid>
        <w:gridCol w:w="4006"/>
        <w:gridCol w:w="4006"/>
      </w:tblGrid>
      <w:tr w:rsidR="00297A9E" w:rsidTr="00297A9E">
        <w:tc>
          <w:tcPr>
            <w:tcW w:w="4006" w:type="dxa"/>
          </w:tcPr>
          <w:p w:rsidR="00297A9E" w:rsidRDefault="00297A9E" w:rsidP="004A4E41">
            <w:pPr>
              <w:pStyle w:val="libFootnote0"/>
              <w:rPr>
                <w:rtl/>
              </w:rPr>
            </w:pPr>
            <w:r>
              <w:rPr>
                <w:rtl/>
              </w:rPr>
              <w:t>(17)</w:t>
            </w:r>
            <w:r w:rsidRPr="00C9040A">
              <w:rPr>
                <w:rtl/>
              </w:rPr>
              <w:t xml:space="preserve"> في « </w:t>
            </w:r>
            <w:r>
              <w:rPr>
                <w:rtl/>
              </w:rPr>
              <w:t xml:space="preserve">ه </w:t>
            </w:r>
            <w:r w:rsidRPr="00C9040A">
              <w:rPr>
                <w:rtl/>
              </w:rPr>
              <w:t>» : « قد أغاضني »</w:t>
            </w:r>
            <w:r>
              <w:rPr>
                <w:rtl/>
              </w:rPr>
              <w:t>.</w:t>
            </w:r>
          </w:p>
        </w:tc>
        <w:tc>
          <w:tcPr>
            <w:tcW w:w="4006" w:type="dxa"/>
          </w:tcPr>
          <w:p w:rsidR="00297A9E" w:rsidRDefault="00297A9E" w:rsidP="004A4E41">
            <w:pPr>
              <w:pStyle w:val="libFootnote0"/>
              <w:rPr>
                <w:rtl/>
              </w:rPr>
            </w:pPr>
            <w:r>
              <w:rPr>
                <w:rtl/>
              </w:rPr>
              <w:t>(18)</w:t>
            </w:r>
            <w:r w:rsidRPr="00C9040A">
              <w:rPr>
                <w:rtl/>
              </w:rPr>
              <w:t xml:space="preserve"> في « ز » : « وأحْرسني »</w:t>
            </w:r>
            <w:r>
              <w:rPr>
                <w:rtl/>
              </w:rPr>
              <w:t>.</w:t>
            </w:r>
          </w:p>
        </w:tc>
      </w:tr>
    </w:tbl>
    <w:p w:rsidR="008A74EB" w:rsidRPr="00C9040A" w:rsidRDefault="008A74EB" w:rsidP="004A4E41">
      <w:pPr>
        <w:pStyle w:val="libFootnote0"/>
        <w:rPr>
          <w:rtl/>
          <w:lang w:bidi="fa-IR"/>
        </w:rPr>
      </w:pPr>
      <w:r>
        <w:rPr>
          <w:rtl/>
        </w:rPr>
        <w:t>(19)</w:t>
      </w:r>
      <w:r w:rsidRPr="00C9040A">
        <w:rPr>
          <w:rtl/>
        </w:rPr>
        <w:t xml:space="preserve"> في « ب ، بس » </w:t>
      </w:r>
      <w:r>
        <w:rPr>
          <w:rtl/>
        </w:rPr>
        <w:t xml:space="preserve">: </w:t>
      </w:r>
      <w:r w:rsidR="0084262C">
        <w:rPr>
          <w:rtl/>
        </w:rPr>
        <w:t>-</w:t>
      </w:r>
      <w:r w:rsidRPr="00C9040A">
        <w:rPr>
          <w:rtl/>
        </w:rPr>
        <w:t xml:space="preserve"> « قال »</w:t>
      </w:r>
      <w:r>
        <w:rPr>
          <w:rtl/>
        </w:rPr>
        <w:t>.</w:t>
      </w:r>
      <w:r w:rsidRPr="00C9040A">
        <w:rPr>
          <w:rtl/>
        </w:rPr>
        <w:t xml:space="preserve"> وفي الكافي ، ح 5043 : + « ففعلت »</w:t>
      </w:r>
      <w:r>
        <w:rPr>
          <w:rtl/>
        </w:rPr>
        <w:t>.</w:t>
      </w:r>
    </w:p>
    <w:tbl>
      <w:tblPr>
        <w:tblStyle w:val="TableGrid"/>
        <w:bidiVisual/>
        <w:tblW w:w="0" w:type="auto"/>
        <w:tblLook w:val="04A0" w:firstRow="1" w:lastRow="0" w:firstColumn="1" w:lastColumn="0" w:noHBand="0" w:noVBand="1"/>
      </w:tblPr>
      <w:tblGrid>
        <w:gridCol w:w="4006"/>
        <w:gridCol w:w="4006"/>
      </w:tblGrid>
      <w:tr w:rsidR="00297A9E" w:rsidTr="00297A9E">
        <w:tc>
          <w:tcPr>
            <w:tcW w:w="4006" w:type="dxa"/>
          </w:tcPr>
          <w:p w:rsidR="00297A9E" w:rsidRDefault="00297A9E" w:rsidP="004A4E41">
            <w:pPr>
              <w:pStyle w:val="libFootnote0"/>
              <w:rPr>
                <w:rtl/>
                <w:lang w:bidi="fa-IR"/>
              </w:rPr>
            </w:pPr>
            <w:r>
              <w:rPr>
                <w:rtl/>
              </w:rPr>
              <w:t>(20)</w:t>
            </w:r>
            <w:r w:rsidRPr="00C9040A">
              <w:rPr>
                <w:rtl/>
              </w:rPr>
              <w:t xml:space="preserve"> في « ض ، </w:t>
            </w:r>
            <w:r>
              <w:rPr>
                <w:rtl/>
              </w:rPr>
              <w:t xml:space="preserve">ه </w:t>
            </w:r>
            <w:r w:rsidRPr="00C9040A">
              <w:rPr>
                <w:rtl/>
              </w:rPr>
              <w:t>» : « أذهبه »</w:t>
            </w:r>
            <w:r>
              <w:rPr>
                <w:rtl/>
              </w:rPr>
              <w:t>.</w:t>
            </w:r>
          </w:p>
        </w:tc>
        <w:tc>
          <w:tcPr>
            <w:tcW w:w="4006" w:type="dxa"/>
          </w:tcPr>
          <w:p w:rsidR="00297A9E" w:rsidRDefault="00297A9E" w:rsidP="004A4E41">
            <w:pPr>
              <w:pStyle w:val="libFootnote0"/>
              <w:rPr>
                <w:rtl/>
                <w:lang w:bidi="fa-IR"/>
              </w:rPr>
            </w:pPr>
            <w:r>
              <w:rPr>
                <w:rtl/>
              </w:rPr>
              <w:t>(21)</w:t>
            </w:r>
            <w:r w:rsidRPr="00C9040A">
              <w:rPr>
                <w:rtl/>
              </w:rPr>
              <w:t xml:space="preserve"> في « </w:t>
            </w:r>
            <w:r>
              <w:rPr>
                <w:rtl/>
              </w:rPr>
              <w:t xml:space="preserve">ه </w:t>
            </w:r>
            <w:r w:rsidRPr="00C9040A">
              <w:rPr>
                <w:rtl/>
              </w:rPr>
              <w:t xml:space="preserve">» والكافي ، ح 5043 </w:t>
            </w:r>
            <w:r>
              <w:rPr>
                <w:rtl/>
              </w:rPr>
              <w:t>: -</w:t>
            </w:r>
            <w:r w:rsidRPr="00C9040A">
              <w:rPr>
                <w:rtl/>
              </w:rPr>
              <w:t xml:space="preserve"> « به »</w:t>
            </w:r>
            <w:r>
              <w:rPr>
                <w:rtl/>
              </w:rPr>
              <w:t>.</w:t>
            </w:r>
          </w:p>
        </w:tc>
      </w:tr>
    </w:tbl>
    <w:p w:rsidR="008A74EB" w:rsidRPr="00C9040A" w:rsidRDefault="008A74EB" w:rsidP="004A4E41">
      <w:pPr>
        <w:pStyle w:val="libFootnote0"/>
        <w:rPr>
          <w:rtl/>
          <w:lang w:bidi="fa-IR"/>
        </w:rPr>
      </w:pPr>
      <w:r>
        <w:rPr>
          <w:rtl/>
        </w:rPr>
        <w:t>(22)</w:t>
      </w:r>
      <w:r w:rsidRPr="00C9040A">
        <w:rPr>
          <w:rtl/>
        </w:rPr>
        <w:t xml:space="preserve"> </w:t>
      </w:r>
      <w:r w:rsidRPr="00993B55">
        <w:rPr>
          <w:rStyle w:val="libFootnoteBoldChar"/>
          <w:rtl/>
        </w:rPr>
        <w:t>الكافي</w:t>
      </w:r>
      <w:r w:rsidRPr="00C9040A">
        <w:rPr>
          <w:rtl/>
        </w:rPr>
        <w:t xml:space="preserve"> ، كتاب الدعاء ، باب الدعاء للعلل والأمراض ، ح 3405 ؛ وكتاب الصلاة ، باب السجود والتسبيح والدعاء فيه</w:t>
      </w:r>
      <w:r>
        <w:rPr>
          <w:rtl/>
        </w:rPr>
        <w:t xml:space="preserve"> ..</w:t>
      </w:r>
      <w:r w:rsidRPr="00C9040A">
        <w:rPr>
          <w:rtl/>
        </w:rPr>
        <w:t xml:space="preserve">. ، ح 5043 </w:t>
      </w:r>
      <w:r w:rsidR="00297A9E">
        <w:rPr>
          <w:rFonts w:hint="cs"/>
          <w:rtl/>
        </w:rPr>
        <w:t>.</w:t>
      </w:r>
      <w:r w:rsidRPr="00993B55">
        <w:rPr>
          <w:rStyle w:val="libFootnoteBoldChar"/>
          <w:rtl/>
        </w:rPr>
        <w:t>الوافي</w:t>
      </w:r>
      <w:r w:rsidRPr="00C9040A">
        <w:rPr>
          <w:rtl/>
        </w:rPr>
        <w:t xml:space="preserve"> ، ج 5 ، ص 776 ، ح 3025 ؛ </w:t>
      </w:r>
      <w:r w:rsidRPr="00993B55">
        <w:rPr>
          <w:rStyle w:val="libFootnoteBoldChar"/>
          <w:rtl/>
        </w:rPr>
        <w:t>البحار</w:t>
      </w:r>
      <w:r w:rsidRPr="00C9040A">
        <w:rPr>
          <w:rtl/>
        </w:rPr>
        <w:t xml:space="preserve"> ، ج 67 ، ص 223 ، ح 30.</w:t>
      </w:r>
    </w:p>
    <w:p w:rsidR="004B7F34" w:rsidRDefault="004B7F34" w:rsidP="004B7F34">
      <w:pPr>
        <w:pStyle w:val="libNormal"/>
        <w:rPr>
          <w:rtl/>
          <w:lang w:bidi="fa-IR"/>
        </w:rPr>
      </w:pPr>
      <w:r>
        <w:rPr>
          <w:rtl/>
          <w:lang w:bidi="fa-IR"/>
        </w:rPr>
        <w:br w:type="page"/>
      </w:r>
    </w:p>
    <w:p w:rsidR="008A74EB" w:rsidRPr="00C9040A" w:rsidRDefault="008A74EB" w:rsidP="008A74EB">
      <w:pPr>
        <w:pStyle w:val="Heading2Center"/>
        <w:rPr>
          <w:rtl/>
          <w:lang w:bidi="fa-IR"/>
        </w:rPr>
      </w:pPr>
      <w:bookmarkStart w:id="331" w:name="_Toc343795698"/>
      <w:bookmarkStart w:id="332" w:name="_Toc459810822"/>
      <w:bookmarkStart w:id="333" w:name="_Toc35348728"/>
      <w:r w:rsidRPr="00C9040A">
        <w:rPr>
          <w:rtl/>
          <w:lang w:bidi="fa-IR"/>
        </w:rPr>
        <w:t>107</w:t>
      </w:r>
      <w:r>
        <w:rPr>
          <w:rtl/>
          <w:lang w:bidi="fa-IR"/>
        </w:rPr>
        <w:t xml:space="preserve"> </w:t>
      </w:r>
      <w:r w:rsidR="0084262C">
        <w:rPr>
          <w:rtl/>
          <w:lang w:bidi="fa-IR"/>
        </w:rPr>
        <w:t>-</w:t>
      </w:r>
      <w:r>
        <w:rPr>
          <w:rtl/>
          <w:lang w:bidi="fa-IR"/>
        </w:rPr>
        <w:t xml:space="preserve"> </w:t>
      </w:r>
      <w:r w:rsidRPr="00C9040A">
        <w:rPr>
          <w:rtl/>
          <w:lang w:bidi="fa-IR"/>
        </w:rPr>
        <w:t>بَابُ فَضْلِ فُقَرَاءِ الْمُسْلِمِينَ‌</w:t>
      </w:r>
      <w:bookmarkEnd w:id="331"/>
      <w:bookmarkEnd w:id="332"/>
      <w:bookmarkEnd w:id="333"/>
    </w:p>
    <w:p w:rsidR="008A74EB" w:rsidRPr="00C9040A" w:rsidRDefault="008A74EB" w:rsidP="008A74EB">
      <w:pPr>
        <w:pStyle w:val="libNormal"/>
        <w:rPr>
          <w:rtl/>
          <w:lang w:bidi="fa-IR"/>
        </w:rPr>
      </w:pPr>
      <w:r w:rsidRPr="00E92533">
        <w:rPr>
          <w:rtl/>
        </w:rPr>
        <w:t>2382</w:t>
      </w:r>
      <w:r w:rsidRPr="00261CB0">
        <w:rPr>
          <w:rStyle w:val="libBold2Char"/>
          <w:rtl/>
        </w:rPr>
        <w:t xml:space="preserve"> / 1.</w:t>
      </w:r>
      <w:r w:rsidRPr="00C9040A">
        <w:rPr>
          <w:rtl/>
          <w:lang w:bidi="fa-IR"/>
        </w:rPr>
        <w:t xml:space="preserve"> عَلِيُّ بْنُ إِبْرَاهِيمَ ، عَنْ مُحَمَّدِ بْنِ عِيسى ، عَنْ يُونُسَ ، عَنْ مُحَمَّدِ بْنِ سِنَانٍ ، عَنِ الْعَلَاءِ ، عَنِ ابْنِ أَبِي يَعْفُورٍ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إِنَّ فُقَرَاءَ الْمُسْلِمِينَ </w:t>
      </w:r>
      <w:r w:rsidR="006C577F" w:rsidRPr="006C577F">
        <w:rPr>
          <w:rStyle w:val="libFootnotenumChar"/>
          <w:rtl/>
        </w:rPr>
        <w:t>(1)</w:t>
      </w:r>
      <w:r w:rsidRPr="00C9040A">
        <w:rPr>
          <w:rtl/>
          <w:lang w:bidi="fa-IR"/>
        </w:rPr>
        <w:t xml:space="preserve"> يَتَقَلَّبُونَ </w:t>
      </w:r>
      <w:r w:rsidR="006C577F" w:rsidRPr="006C577F">
        <w:rPr>
          <w:rStyle w:val="libFootnotenumChar"/>
          <w:rtl/>
        </w:rPr>
        <w:t>(2)</w:t>
      </w:r>
      <w:r w:rsidRPr="00C9040A">
        <w:rPr>
          <w:rtl/>
          <w:lang w:bidi="fa-IR"/>
        </w:rPr>
        <w:t xml:space="preserve"> فِي رِيَاضِ الْجَنَّةِ قَبْلَ أَغْنِيَائِهِمْ بِأَرْبَعِينَ خَرِيفاً </w:t>
      </w:r>
      <w:r w:rsidR="006C577F" w:rsidRPr="006C577F">
        <w:rPr>
          <w:rStyle w:val="libFootnotenumChar"/>
          <w:rtl/>
        </w:rPr>
        <w:t>(3)</w:t>
      </w:r>
      <w:r w:rsidRPr="00C9040A">
        <w:rPr>
          <w:rtl/>
          <w:lang w:bidi="fa-IR"/>
        </w:rPr>
        <w:t xml:space="preserve"> »</w:t>
      </w:r>
      <w:r>
        <w:rPr>
          <w:rtl/>
          <w:lang w:bidi="fa-IR"/>
        </w:rPr>
        <w:t>.</w:t>
      </w:r>
    </w:p>
    <w:p w:rsidR="008A74EB" w:rsidRPr="00C9040A" w:rsidRDefault="008A74EB" w:rsidP="008A74EB">
      <w:pPr>
        <w:pStyle w:val="libNormal"/>
        <w:rPr>
          <w:rtl/>
          <w:lang w:bidi="fa-IR"/>
        </w:rPr>
      </w:pPr>
      <w:r w:rsidRPr="00C9040A">
        <w:rPr>
          <w:rtl/>
          <w:lang w:bidi="fa-IR"/>
        </w:rPr>
        <w:t xml:space="preserve">ثُمَّ </w:t>
      </w:r>
      <w:r w:rsidR="006C577F" w:rsidRPr="006C577F">
        <w:rPr>
          <w:rStyle w:val="libFootnotenumChar"/>
          <w:rtl/>
        </w:rPr>
        <w:t>(4)</w:t>
      </w:r>
      <w:r w:rsidRPr="00C9040A">
        <w:rPr>
          <w:rtl/>
          <w:lang w:bidi="fa-IR"/>
        </w:rPr>
        <w:t xml:space="preserve"> قَالَ : « سَأَضْرِبُ لَكَ مَثَلَ ذلِكَ </w:t>
      </w:r>
      <w:r w:rsidR="006C577F" w:rsidRPr="006C577F">
        <w:rPr>
          <w:rStyle w:val="libFootnotenumChar"/>
          <w:rtl/>
        </w:rPr>
        <w:t>(5)</w:t>
      </w:r>
      <w:r w:rsidRPr="00C9040A">
        <w:rPr>
          <w:rtl/>
          <w:lang w:bidi="fa-IR"/>
        </w:rPr>
        <w:t xml:space="preserve"> ، إِنَّمَا مَثَلُ ذلِكَ مَثَلُ سَفِينَتَيْنِ مُرَّ بِهِمَا عَلى عَاشِرٍ </w:t>
      </w:r>
      <w:r w:rsidR="006C577F" w:rsidRPr="006C577F">
        <w:rPr>
          <w:rStyle w:val="libFootnotenumChar"/>
          <w:rtl/>
        </w:rPr>
        <w:t>(6)</w:t>
      </w:r>
      <w:r w:rsidRPr="005B567D">
        <w:rPr>
          <w:rStyle w:val="libFootnotenumChar"/>
          <w:rtl/>
        </w:rPr>
        <w:t xml:space="preserve"> </w:t>
      </w:r>
      <w:r w:rsidRPr="00C9040A">
        <w:rPr>
          <w:rtl/>
          <w:lang w:bidi="fa-IR"/>
        </w:rPr>
        <w:t xml:space="preserve">، فَنَظَرَ فِي إِحْدَاهُمَا ، فَلَمْ يَرَ فِيهَا شَيْئاً ، فَقَالَ : أَسْرِبُوهَا </w:t>
      </w:r>
      <w:r w:rsidR="006C577F" w:rsidRPr="006C577F">
        <w:rPr>
          <w:rStyle w:val="libFootnotenumChar"/>
          <w:rtl/>
        </w:rPr>
        <w:t>(7)</w:t>
      </w:r>
      <w:r w:rsidRPr="00C9040A">
        <w:rPr>
          <w:rtl/>
          <w:lang w:bidi="fa-IR"/>
        </w:rPr>
        <w:t xml:space="preserve"> ، وَنَظَرَ </w:t>
      </w:r>
      <w:r w:rsidR="006C577F" w:rsidRPr="006C577F">
        <w:rPr>
          <w:rStyle w:val="libFootnotenumChar"/>
          <w:rtl/>
        </w:rPr>
        <w:t>(8)</w:t>
      </w:r>
      <w:r w:rsidRPr="00C9040A">
        <w:rPr>
          <w:rtl/>
          <w:lang w:bidi="fa-IR"/>
        </w:rPr>
        <w:t xml:space="preserve"> فِي الْأُخْرى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ج ، د ، بر » وحاشية « ب ، ز ، ص ، ض ، </w:t>
      </w:r>
      <w:r w:rsidR="006D3162">
        <w:rPr>
          <w:rtl/>
        </w:rPr>
        <w:t xml:space="preserve">ه </w:t>
      </w:r>
      <w:r w:rsidR="008A74EB" w:rsidRPr="00C9040A">
        <w:rPr>
          <w:rtl/>
        </w:rPr>
        <w:t>، بس ، بف » وشرح المازندراني والوافي والبحار : « المؤمنين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 التقلّب » : التصرّف. </w:t>
      </w:r>
      <w:r w:rsidR="008A74EB" w:rsidRPr="00993B55">
        <w:rPr>
          <w:rStyle w:val="libFootnoteBoldChar"/>
          <w:rtl/>
        </w:rPr>
        <w:t>المفردات</w:t>
      </w:r>
      <w:r w:rsidR="008A74EB" w:rsidRPr="00C9040A">
        <w:rPr>
          <w:rtl/>
        </w:rPr>
        <w:t xml:space="preserve"> للراغب ، ص 682 ( قلب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w:t>
      </w:r>
      <w:r w:rsidR="008A74EB" w:rsidRPr="00993B55">
        <w:rPr>
          <w:rStyle w:val="libFootnoteBoldChar"/>
          <w:rtl/>
        </w:rPr>
        <w:t>النهاية</w:t>
      </w:r>
      <w:r w:rsidR="008A74EB" w:rsidRPr="00C9040A">
        <w:rPr>
          <w:rtl/>
        </w:rPr>
        <w:t xml:space="preserve"> ، ج 2 ، ص 24 : « وفيه : فقراء ا</w:t>
      </w:r>
      <w:r w:rsidR="008512FA">
        <w:rPr>
          <w:rFonts w:hint="cs"/>
          <w:rtl/>
        </w:rPr>
        <w:t>ُ</w:t>
      </w:r>
      <w:r w:rsidR="008A74EB" w:rsidRPr="00C9040A">
        <w:rPr>
          <w:rtl/>
        </w:rPr>
        <w:t>مّتي يدخلون الجنّة قبل أغنيائهم بأربعين خريفاً. الخريف : الزمان المعروف من فصول السنة ما بين الصيف والشتاء ، ويريد به أربعين سنة ؛ لأنّ الخريف لايكون في الس</w:t>
      </w:r>
      <w:r w:rsidR="008512FA">
        <w:rPr>
          <w:rtl/>
        </w:rPr>
        <w:t>نة إل</w:t>
      </w:r>
      <w:r w:rsidR="008512FA">
        <w:rPr>
          <w:rFonts w:hint="cs"/>
          <w:rtl/>
        </w:rPr>
        <w:t>ّ</w:t>
      </w:r>
      <w:r w:rsidR="008512FA">
        <w:rPr>
          <w:rtl/>
        </w:rPr>
        <w:t>ا</w:t>
      </w:r>
      <w:r w:rsidR="008512FA">
        <w:rPr>
          <w:rFonts w:hint="cs"/>
          <w:rtl/>
        </w:rPr>
        <w:t xml:space="preserve"> </w:t>
      </w:r>
      <w:r w:rsidR="008A74EB" w:rsidRPr="00C9040A">
        <w:rPr>
          <w:rtl/>
        </w:rPr>
        <w:t>مرّة واحدة ، فإذا انقضى أربعون خريفاً فقد مضت أربعون سنة »</w:t>
      </w:r>
      <w:r w:rsidR="008A74EB">
        <w:rPr>
          <w:rtl/>
        </w:rPr>
        <w:t>.</w:t>
      </w:r>
    </w:p>
    <w:p w:rsidR="008A74EB" w:rsidRPr="00C9040A" w:rsidRDefault="008A74EB" w:rsidP="004A4E41">
      <w:pPr>
        <w:pStyle w:val="libFootnote0"/>
        <w:rPr>
          <w:rtl/>
          <w:lang w:bidi="fa-IR"/>
        </w:rPr>
      </w:pPr>
      <w:r w:rsidRPr="00323A39">
        <w:rPr>
          <w:rtl/>
        </w:rPr>
        <w:t xml:space="preserve">وفي </w:t>
      </w:r>
      <w:r w:rsidRPr="00993B55">
        <w:rPr>
          <w:rStyle w:val="libFootnoteBoldChar"/>
          <w:rtl/>
        </w:rPr>
        <w:t>الوافي</w:t>
      </w:r>
      <w:r w:rsidRPr="00323A39">
        <w:rPr>
          <w:rtl/>
        </w:rPr>
        <w:t xml:space="preserve"> : « وفي بعض الأخبار : إنّ الخريف ألف عام ، والعام ألف سنة ».</w:t>
      </w:r>
    </w:p>
    <w:p w:rsidR="008A74EB" w:rsidRPr="00C9040A" w:rsidRDefault="008A74EB" w:rsidP="004A4E41">
      <w:pPr>
        <w:pStyle w:val="libFootnote0"/>
        <w:rPr>
          <w:rtl/>
          <w:lang w:bidi="fa-IR"/>
        </w:rPr>
      </w:pPr>
      <w:r w:rsidRPr="00323A39">
        <w:rPr>
          <w:rtl/>
        </w:rPr>
        <w:t xml:space="preserve">وفي </w:t>
      </w:r>
      <w:r w:rsidRPr="00993B55">
        <w:rPr>
          <w:rStyle w:val="libFootnoteBoldChar"/>
          <w:rtl/>
        </w:rPr>
        <w:t>مرآة العقول</w:t>
      </w:r>
      <w:r w:rsidRPr="00323A39">
        <w:rPr>
          <w:rtl/>
        </w:rPr>
        <w:t xml:space="preserve"> ، ج 9 ، ص 355 : « روى في </w:t>
      </w:r>
      <w:r w:rsidRPr="00993B55">
        <w:rPr>
          <w:rStyle w:val="libFootnoteBoldChar"/>
          <w:rtl/>
        </w:rPr>
        <w:t>معاني الأخبار</w:t>
      </w:r>
      <w:r w:rsidRPr="00323A39">
        <w:rPr>
          <w:rtl/>
        </w:rPr>
        <w:t xml:space="preserve"> بإسناده عن أبي جعفر </w:t>
      </w:r>
      <w:r w:rsidR="00117575" w:rsidRPr="00117575">
        <w:rPr>
          <w:rStyle w:val="libFootnoteAlaemChar"/>
          <w:rtl/>
        </w:rPr>
        <w:t xml:space="preserve">عليه‌السلام </w:t>
      </w:r>
      <w:r w:rsidRPr="00323A39">
        <w:rPr>
          <w:rtl/>
        </w:rPr>
        <w:t xml:space="preserve"> قال : إنّ عبداً مكث في النار سبعين خريفاً ، والخريف سبعون سنة ، إلى آخر الخبر ، وفسّره صاحب </w:t>
      </w:r>
      <w:r w:rsidRPr="00993B55">
        <w:rPr>
          <w:rStyle w:val="libFootnoteBoldChar"/>
          <w:rtl/>
        </w:rPr>
        <w:t>المعالم</w:t>
      </w:r>
      <w:r w:rsidRPr="00323A39">
        <w:rPr>
          <w:rtl/>
        </w:rPr>
        <w:t xml:space="preserve"> بأكثر من ذلك ، وفي بعض الروايات أنّه ألف عام ، والعام ألف سنة ، وقيل : إنّ التفاوت بهذه المدّة إذا كان الأغنياء من أهل الصلاح والسداد ، وأدّوا الحقوق الواجبة ، ولم يكتسبوا من وجه الحرام ، فيكون حبسهم بمجرّد خروجهم من عهدة الحساب والس</w:t>
      </w:r>
      <w:r w:rsidR="008512FA">
        <w:rPr>
          <w:rtl/>
        </w:rPr>
        <w:t>ؤال عن مكسب المال ومخرجه ، وإل</w:t>
      </w:r>
      <w:r w:rsidR="008512FA">
        <w:rPr>
          <w:rFonts w:hint="cs"/>
          <w:rtl/>
        </w:rPr>
        <w:t>ّ</w:t>
      </w:r>
      <w:r w:rsidR="008512FA">
        <w:rPr>
          <w:rtl/>
        </w:rPr>
        <w:t>ا</w:t>
      </w:r>
      <w:r w:rsidRPr="00323A39">
        <w:rPr>
          <w:rtl/>
        </w:rPr>
        <w:t xml:space="preserve"> فهم على خطر عظيم ». وراجع : أيضاً : </w:t>
      </w:r>
      <w:r w:rsidRPr="00993B55">
        <w:rPr>
          <w:rStyle w:val="libFootnoteBoldChar"/>
          <w:rtl/>
        </w:rPr>
        <w:t>معاني الأخبار</w:t>
      </w:r>
      <w:r w:rsidRPr="00323A39">
        <w:rPr>
          <w:rtl/>
        </w:rPr>
        <w:t xml:space="preserve"> ، ص 226 ، ح 1.</w:t>
      </w:r>
    </w:p>
    <w:p w:rsidR="008A74EB" w:rsidRPr="00C9040A" w:rsidRDefault="006C577F" w:rsidP="004A4E41">
      <w:pPr>
        <w:pStyle w:val="libFootnote0"/>
        <w:rPr>
          <w:rtl/>
          <w:lang w:bidi="fa-IR"/>
        </w:rPr>
      </w:pPr>
      <w:r>
        <w:rPr>
          <w:rtl/>
        </w:rPr>
        <w:t>(4).</w:t>
      </w:r>
      <w:r w:rsidR="008A74EB" w:rsidRPr="00C9040A">
        <w:rPr>
          <w:rtl/>
        </w:rPr>
        <w:t xml:space="preserve"> في الوافي </w:t>
      </w:r>
      <w:r w:rsidR="008A74EB">
        <w:rPr>
          <w:rtl/>
        </w:rPr>
        <w:t xml:space="preserve">: </w:t>
      </w:r>
      <w:r w:rsidR="0084262C">
        <w:rPr>
          <w:rtl/>
        </w:rPr>
        <w:t>-</w:t>
      </w:r>
      <w:r w:rsidR="008A74EB" w:rsidRPr="00C9040A">
        <w:rPr>
          <w:rtl/>
        </w:rPr>
        <w:t xml:space="preserve"> « ثمّ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ص ، ض ، </w:t>
      </w:r>
      <w:r w:rsidR="006D3162">
        <w:rPr>
          <w:rtl/>
        </w:rPr>
        <w:t xml:space="preserve">ه </w:t>
      </w:r>
      <w:r w:rsidR="008A74EB" w:rsidRPr="00C9040A">
        <w:rPr>
          <w:rtl/>
        </w:rPr>
        <w:t>» : « مثلاً لذلك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العاشر » : من يأخذ العُشر. يقال : عَشَرتُ مالَه أعْشُر عُشْراً فأنا عاشر ، وعشّرته فأنا مُعَشِّر وعَشّار : إذا أخذتَ‌</w:t>
      </w:r>
      <w:r w:rsidR="009E0109">
        <w:rPr>
          <w:rFonts w:hint="cs"/>
          <w:rtl/>
        </w:rPr>
        <w:t xml:space="preserve"> </w:t>
      </w:r>
      <w:r w:rsidR="008A74EB" w:rsidRPr="00C9040A">
        <w:rPr>
          <w:rtl/>
        </w:rPr>
        <w:t xml:space="preserve">عُشره. </w:t>
      </w:r>
      <w:r w:rsidR="008A74EB" w:rsidRPr="00993B55">
        <w:rPr>
          <w:rStyle w:val="libFootnoteBoldChar"/>
          <w:rtl/>
        </w:rPr>
        <w:t>النهاية</w:t>
      </w:r>
      <w:r w:rsidR="008A74EB" w:rsidRPr="00C9040A">
        <w:rPr>
          <w:rtl/>
        </w:rPr>
        <w:t xml:space="preserve"> ، ج 3 ، ص 239 ( عشر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 أسرِبوها » : أرسلوها ؛ من السَّرَب : الذهاب في حدورٍ. يقال : سَرَب سَرْباً وسُروباً وانسرب انسراباً. والسارب : الذاهب على وجهه في الأرض. </w:t>
      </w:r>
      <w:r w:rsidR="008A74EB" w:rsidRPr="00993B55">
        <w:rPr>
          <w:rStyle w:val="libFootnoteBoldChar"/>
          <w:rtl/>
        </w:rPr>
        <w:t>المفردات</w:t>
      </w:r>
      <w:r w:rsidR="008A74EB" w:rsidRPr="009E0109">
        <w:rPr>
          <w:rStyle w:val="libFootnoteBoldChar"/>
          <w:rtl/>
        </w:rPr>
        <w:t xml:space="preserve"> للراغب</w:t>
      </w:r>
      <w:r w:rsidR="008A74EB" w:rsidRPr="00C9040A">
        <w:rPr>
          <w:rtl/>
        </w:rPr>
        <w:t xml:space="preserve"> ، ص 405 ؛ </w:t>
      </w:r>
      <w:r w:rsidR="008A74EB" w:rsidRPr="00993B55">
        <w:rPr>
          <w:rStyle w:val="libFootnoteBoldChar"/>
          <w:rtl/>
        </w:rPr>
        <w:t>القاموس المحيط</w:t>
      </w:r>
      <w:r w:rsidR="008A74EB" w:rsidRPr="00C9040A">
        <w:rPr>
          <w:rtl/>
        </w:rPr>
        <w:t xml:space="preserve"> ، ج 1 ، ص 177 ( سرب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 ج » : « فنظر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فَإِذَا هِيَ مَوْقُورَةٌ </w:t>
      </w:r>
      <w:r w:rsidR="006C577F" w:rsidRPr="006C577F">
        <w:rPr>
          <w:rStyle w:val="libFootnotenumChar"/>
          <w:rtl/>
        </w:rPr>
        <w:t>(1)</w:t>
      </w:r>
      <w:r w:rsidRPr="00C9040A">
        <w:rPr>
          <w:rtl/>
          <w:lang w:bidi="fa-IR"/>
        </w:rPr>
        <w:t xml:space="preserve"> ، فَقَالَ : احْبِسُوهَا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E92533">
        <w:rPr>
          <w:rtl/>
        </w:rPr>
        <w:t>2383</w:t>
      </w:r>
      <w:r w:rsidRPr="00261CB0">
        <w:rPr>
          <w:rStyle w:val="libBold2Char"/>
          <w:rtl/>
        </w:rPr>
        <w:t xml:space="preserve"> / 2.</w:t>
      </w:r>
      <w:r w:rsidRPr="00C9040A">
        <w:rPr>
          <w:rtl/>
          <w:lang w:bidi="fa-IR"/>
        </w:rPr>
        <w:t xml:space="preserve"> عِدَّةٌ مِنْ أَصْحَابِنَا ، عَنْ أَحْمَدَ بْنِ مُحَمَّدِ بْنِ خَالِدٍ ، عَنْ أ</w:t>
      </w:r>
      <w:r w:rsidR="009E0109">
        <w:rPr>
          <w:rtl/>
          <w:lang w:bidi="fa-IR"/>
        </w:rPr>
        <w:t>َبِيهِ ، عَنْ سَعْدَانَ ، قَالَ</w:t>
      </w:r>
      <w:r w:rsidRPr="00C9040A">
        <w:rPr>
          <w:rtl/>
          <w:lang w:bidi="fa-IR"/>
        </w:rPr>
        <w:t>:</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الْمَصَائِبُ مِنَحٌ </w:t>
      </w:r>
      <w:r w:rsidR="006C577F" w:rsidRPr="006C577F">
        <w:rPr>
          <w:rStyle w:val="libFootnotenumChar"/>
          <w:rtl/>
        </w:rPr>
        <w:t>(3)</w:t>
      </w:r>
      <w:r w:rsidRPr="00C9040A">
        <w:rPr>
          <w:rtl/>
          <w:lang w:bidi="fa-IR"/>
        </w:rPr>
        <w:t xml:space="preserve"> مِنَ اللهِ ، وَالْفَقْرُ مَخْزُونٌ عِنْدَ اللهِ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E92533">
        <w:rPr>
          <w:rtl/>
        </w:rPr>
        <w:t>2384</w:t>
      </w:r>
      <w:r w:rsidRPr="00261CB0">
        <w:rPr>
          <w:rStyle w:val="libBold2Char"/>
          <w:rtl/>
        </w:rPr>
        <w:t xml:space="preserve"> / 3.</w:t>
      </w:r>
      <w:r w:rsidRPr="00C9040A">
        <w:rPr>
          <w:rtl/>
          <w:lang w:bidi="fa-IR"/>
        </w:rPr>
        <w:t xml:space="preserve"> وَعَنْهُ </w:t>
      </w:r>
      <w:r w:rsidR="006C577F" w:rsidRPr="006C577F">
        <w:rPr>
          <w:rStyle w:val="libFootnotenumChar"/>
          <w:rtl/>
        </w:rPr>
        <w:t>(5)</w:t>
      </w:r>
      <w:r w:rsidRPr="00C9040A">
        <w:rPr>
          <w:rtl/>
          <w:lang w:bidi="fa-IR"/>
        </w:rPr>
        <w:t xml:space="preserve"> رَفَعَهُ :</w:t>
      </w:r>
    </w:p>
    <w:p w:rsidR="008A74EB" w:rsidRPr="00C9040A" w:rsidRDefault="008A74EB" w:rsidP="008A74EB">
      <w:pPr>
        <w:pStyle w:val="libNormal"/>
        <w:rPr>
          <w:rtl/>
          <w:lang w:bidi="fa-IR"/>
        </w:rPr>
      </w:pPr>
      <w:r w:rsidRPr="00C9040A">
        <w:rPr>
          <w:rtl/>
          <w:lang w:bidi="fa-IR"/>
        </w:rPr>
        <w:t xml:space="preserve">عَنْ </w:t>
      </w:r>
      <w:r w:rsidR="006C577F" w:rsidRPr="006C577F">
        <w:rPr>
          <w:rStyle w:val="libFootnotenumChar"/>
          <w:rtl/>
        </w:rPr>
        <w:t>(6)</w:t>
      </w:r>
      <w:r w:rsidRPr="005B567D">
        <w:rPr>
          <w:rStyle w:val="libFootnotenumChar"/>
          <w:rtl/>
        </w:rPr>
        <w:t xml:space="preserve"> </w:t>
      </w:r>
      <w:r w:rsidRPr="00C9040A">
        <w:rPr>
          <w:rtl/>
          <w:lang w:bidi="fa-IR"/>
        </w:rPr>
        <w:t xml:space="preserve">أَبِي عَبْدِ اللهِ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يَا عَلِيُّ ، إِنَّ اللهَ جَعَلَ الْفَقْرَ أَمَانَةً عِنْدَ خَلْقِهِ ، فَمَنْ سَتَرَهُ </w:t>
      </w:r>
      <w:r w:rsidR="006C577F" w:rsidRPr="006C577F">
        <w:rPr>
          <w:rStyle w:val="libFootnotenumChar"/>
          <w:rtl/>
        </w:rPr>
        <w:t>(7)</w:t>
      </w:r>
      <w:r w:rsidRPr="00C9040A">
        <w:rPr>
          <w:rtl/>
          <w:lang w:bidi="fa-IR"/>
        </w:rPr>
        <w:t xml:space="preserve"> ، أَعْطَاهُ اللهُ </w:t>
      </w:r>
      <w:r w:rsidR="006C577F" w:rsidRPr="006C577F">
        <w:rPr>
          <w:rStyle w:val="libFootnotenumChar"/>
          <w:rtl/>
        </w:rPr>
        <w:t>(8)</w:t>
      </w:r>
      <w:r w:rsidRPr="00C9040A">
        <w:rPr>
          <w:rtl/>
          <w:lang w:bidi="fa-IR"/>
        </w:rPr>
        <w:t xml:space="preserve"> مِثْلَ أَجْرِ الصَّائِمِ الْقَائِمِ ؛ وَمَنْ أَفْشَاهُ إِلى مَنْ يَقْدِرُ عَلى قَضَاءِ حَاجَتِهِ ، فَلَمْ يَفْعَلْ ، فَقَدْ قَتَلَهُ ، أَمَا إِنَّهُ مَا قَتَلَهُ بِسَيْفٍ وَلَا رُمْحٍ ، وَلكِنَّهُ </w:t>
      </w:r>
      <w:r w:rsidR="006C577F" w:rsidRPr="006C577F">
        <w:rPr>
          <w:rStyle w:val="libFootnotenumChar"/>
          <w:rtl/>
        </w:rPr>
        <w:t>(9)</w:t>
      </w:r>
      <w:r w:rsidRPr="00C9040A">
        <w:rPr>
          <w:rtl/>
          <w:lang w:bidi="fa-IR"/>
        </w:rPr>
        <w:t xml:space="preserve"> قَتَلَهُ بِمَا </w:t>
      </w:r>
      <w:r w:rsidR="006C577F" w:rsidRPr="006C577F">
        <w:rPr>
          <w:rStyle w:val="libFootnotenumChar"/>
          <w:rtl/>
        </w:rPr>
        <w:t>(10)</w:t>
      </w:r>
      <w:r w:rsidRPr="00C9040A">
        <w:rPr>
          <w:rtl/>
          <w:lang w:bidi="fa-IR"/>
        </w:rPr>
        <w:t xml:space="preserve"> نَكى </w:t>
      </w:r>
      <w:r w:rsidR="006C577F" w:rsidRPr="006C577F">
        <w:rPr>
          <w:rStyle w:val="libFootnotenumChar"/>
          <w:rtl/>
        </w:rPr>
        <w:t>(11)</w:t>
      </w:r>
      <w:r w:rsidRPr="00C9040A">
        <w:rPr>
          <w:rtl/>
          <w:lang w:bidi="fa-IR"/>
        </w:rPr>
        <w:t xml:space="preserve"> ‌</w:t>
      </w:r>
      <w:r w:rsidR="009E0109">
        <w:rPr>
          <w:rFonts w:hint="cs"/>
          <w:rtl/>
          <w:lang w:bidi="fa-IR"/>
        </w:rPr>
        <w:t>.................................................................</w:t>
      </w:r>
      <w:r w:rsidR="009E0109">
        <w:rPr>
          <w:rFonts w:hint="cs"/>
          <w:rtl/>
          <w:lang w:bidi="fa-IR"/>
        </w:rPr>
        <w:tab/>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ج ، د ، بس ، بف » وشرح المازندراني والوافي ومرآة العقول : « موقرة » من الإفعال. وفي « ب » والبحار والأمالي : « موقّرة » من التفعيل. </w:t>
      </w:r>
      <w:r w:rsidR="008A74EB">
        <w:rPr>
          <w:rtl/>
        </w:rPr>
        <w:t>و «</w:t>
      </w:r>
      <w:r w:rsidR="008A74EB" w:rsidRPr="00C9040A">
        <w:rPr>
          <w:rtl/>
        </w:rPr>
        <w:t xml:space="preserve"> الوِقْر » : الحِمْل الثقيل ، أو أعمّ. وجمعه : أوقار. وأوقر الدابّة إيقاراً وَقِرَة ، ودابّة وَقرى : موقَرة. ورجل مُوقَر : ذو وِقْر ، ونخلة موقِرة وموقَرَة وموقِر ومُوَقَّرَة وميقار ومُوقَر. </w:t>
      </w:r>
      <w:r w:rsidR="008A74EB" w:rsidRPr="00993B55">
        <w:rPr>
          <w:rStyle w:val="libFootnoteBoldChar"/>
          <w:rtl/>
        </w:rPr>
        <w:t>القاموس المحيط</w:t>
      </w:r>
      <w:r w:rsidR="008A74EB" w:rsidRPr="00C9040A">
        <w:rPr>
          <w:rtl/>
        </w:rPr>
        <w:t xml:space="preserve"> ، ج 1 ، ص 683 ( وقر )</w:t>
      </w:r>
      <w:r w:rsidR="008A74EB">
        <w:rPr>
          <w:rtl/>
        </w:rPr>
        <w:t>.</w:t>
      </w:r>
    </w:p>
    <w:p w:rsidR="008A74EB" w:rsidRPr="00C9040A" w:rsidRDefault="006C577F" w:rsidP="009E0109">
      <w:pPr>
        <w:pStyle w:val="libFootnote0"/>
        <w:rPr>
          <w:rtl/>
          <w:lang w:bidi="fa-IR"/>
        </w:rPr>
      </w:pPr>
      <w:r>
        <w:rPr>
          <w:rtl/>
        </w:rPr>
        <w:t>(2).</w:t>
      </w:r>
      <w:r w:rsidR="008A74EB">
        <w:rPr>
          <w:rtl/>
        </w:rPr>
        <w:t xml:space="preserve"> </w:t>
      </w:r>
      <w:r w:rsidR="008A74EB" w:rsidRPr="0034021D">
        <w:rPr>
          <w:rStyle w:val="libFootnoteBoldChar"/>
          <w:rtl/>
        </w:rPr>
        <w:t>الأمالي للمفيد</w:t>
      </w:r>
      <w:r w:rsidR="008A74EB" w:rsidRPr="00C9040A">
        <w:rPr>
          <w:rtl/>
        </w:rPr>
        <w:t xml:space="preserve"> ، ص 141 ، المجلس 17 ، ح 7 ، بسنده عن أحمد بن محمّد بن عيسى ، عن الحسن بن محبوب ، عن العلاء ، عن عبدالله بن أبي‌يعفور ، عن أبي‌جعفر </w:t>
      </w:r>
      <w:r w:rsidR="00117575" w:rsidRPr="00117575">
        <w:rPr>
          <w:rStyle w:val="libFootnoteAlaemChar"/>
          <w:rtl/>
        </w:rPr>
        <w:t xml:space="preserve">عليه‌السلام </w:t>
      </w:r>
      <w:r w:rsidR="009E0109">
        <w:rPr>
          <w:rFonts w:hint="cs"/>
          <w:rtl/>
        </w:rPr>
        <w:t>.</w:t>
      </w:r>
      <w:r w:rsidR="008A74EB" w:rsidRPr="00993B55">
        <w:rPr>
          <w:rStyle w:val="libFootnoteBoldChar"/>
          <w:rtl/>
        </w:rPr>
        <w:t>الوافي</w:t>
      </w:r>
      <w:r w:rsidR="008A74EB" w:rsidRPr="00C9040A">
        <w:rPr>
          <w:rtl/>
        </w:rPr>
        <w:t xml:space="preserve"> ، ج 5 ، ص 789 ، ح 3044 ؛ </w:t>
      </w:r>
      <w:r w:rsidR="008A74EB" w:rsidRPr="00993B55">
        <w:rPr>
          <w:rStyle w:val="libFootnoteBoldChar"/>
          <w:rtl/>
        </w:rPr>
        <w:t>البحار</w:t>
      </w:r>
      <w:r w:rsidR="008A74EB" w:rsidRPr="00C9040A">
        <w:rPr>
          <w:rtl/>
        </w:rPr>
        <w:t xml:space="preserve"> ، ج 72 ، ص 6 ، ح 4.</w:t>
      </w:r>
    </w:p>
    <w:p w:rsidR="008A74EB" w:rsidRPr="00C9040A" w:rsidRDefault="006C577F" w:rsidP="004A4E41">
      <w:pPr>
        <w:pStyle w:val="libFootnote0"/>
        <w:rPr>
          <w:rtl/>
          <w:lang w:bidi="fa-IR"/>
        </w:rPr>
      </w:pPr>
      <w:r>
        <w:rPr>
          <w:rtl/>
        </w:rPr>
        <w:t>(3).</w:t>
      </w:r>
      <w:r w:rsidR="008A74EB" w:rsidRPr="00C9040A">
        <w:rPr>
          <w:rtl/>
        </w:rPr>
        <w:t xml:space="preserve"> « المنح » : العَطا ، مَنَحه يمنَحه ويَم</w:t>
      </w:r>
      <w:r w:rsidR="009E0109">
        <w:rPr>
          <w:rtl/>
        </w:rPr>
        <w:t>ْنِحُه. والاسم : المِنْحَة والم</w:t>
      </w:r>
      <w:r w:rsidR="009E0109">
        <w:rPr>
          <w:rFonts w:hint="cs"/>
          <w:rtl/>
        </w:rPr>
        <w:t>ـَ</w:t>
      </w:r>
      <w:r w:rsidR="008A74EB" w:rsidRPr="00C9040A">
        <w:rPr>
          <w:rtl/>
        </w:rPr>
        <w:t xml:space="preserve">نِيحَة. </w:t>
      </w:r>
      <w:r w:rsidR="008A74EB" w:rsidRPr="00993B55">
        <w:rPr>
          <w:rStyle w:val="libFootnoteBoldChar"/>
          <w:rtl/>
        </w:rPr>
        <w:t>الصحاح</w:t>
      </w:r>
      <w:r w:rsidR="008A74EB" w:rsidRPr="00C9040A">
        <w:rPr>
          <w:rtl/>
        </w:rPr>
        <w:t xml:space="preserve"> ، ج 1 ، ص 408 ؛ </w:t>
      </w:r>
      <w:r w:rsidR="008A74EB" w:rsidRPr="00993B55">
        <w:rPr>
          <w:rStyle w:val="libFootnoteBoldChar"/>
          <w:rtl/>
        </w:rPr>
        <w:t>المصباح المنير</w:t>
      </w:r>
      <w:r w:rsidR="008A74EB" w:rsidRPr="00C9040A">
        <w:rPr>
          <w:rtl/>
        </w:rPr>
        <w:t xml:space="preserve"> ، ص 580 ( منح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الوافي</w:t>
      </w:r>
      <w:r w:rsidR="008A74EB" w:rsidRPr="00C9040A">
        <w:rPr>
          <w:rtl/>
        </w:rPr>
        <w:t xml:space="preserve"> ، ج 5 ، ص 789 ، ح 3045 ؛ </w:t>
      </w:r>
      <w:r w:rsidR="008A74EB" w:rsidRPr="00993B55">
        <w:rPr>
          <w:rStyle w:val="libFootnoteBoldChar"/>
          <w:rtl/>
        </w:rPr>
        <w:t>البحار</w:t>
      </w:r>
      <w:r w:rsidR="008A74EB" w:rsidRPr="00C9040A">
        <w:rPr>
          <w:rtl/>
        </w:rPr>
        <w:t xml:space="preserve"> ، ج 72 ، ص 7 ، ح 5.</w:t>
      </w:r>
    </w:p>
    <w:p w:rsidR="008A74EB" w:rsidRPr="00C9040A" w:rsidRDefault="006C577F" w:rsidP="004A4E41">
      <w:pPr>
        <w:pStyle w:val="libFootnote0"/>
        <w:rPr>
          <w:rtl/>
          <w:lang w:bidi="fa-IR"/>
        </w:rPr>
      </w:pPr>
      <w:r>
        <w:rPr>
          <w:rtl/>
        </w:rPr>
        <w:t>(5).</w:t>
      </w:r>
      <w:r w:rsidR="008A74EB" w:rsidRPr="00C9040A">
        <w:rPr>
          <w:rtl/>
        </w:rPr>
        <w:t xml:space="preserve"> الضمير راجع إلى أحمد بن محمّد بن خالد المذكور في السند السابق.</w:t>
      </w:r>
    </w:p>
    <w:tbl>
      <w:tblPr>
        <w:tblStyle w:val="TableGrid"/>
        <w:bidiVisual/>
        <w:tblW w:w="0" w:type="auto"/>
        <w:tblLook w:val="04A0" w:firstRow="1" w:lastRow="0" w:firstColumn="1" w:lastColumn="0" w:noHBand="0" w:noVBand="1"/>
      </w:tblPr>
      <w:tblGrid>
        <w:gridCol w:w="4006"/>
        <w:gridCol w:w="4006"/>
      </w:tblGrid>
      <w:tr w:rsidR="009E0109" w:rsidTr="009E0109">
        <w:tc>
          <w:tcPr>
            <w:tcW w:w="4006" w:type="dxa"/>
          </w:tcPr>
          <w:p w:rsidR="009E0109" w:rsidRDefault="009E0109" w:rsidP="004A4E41">
            <w:pPr>
              <w:pStyle w:val="libFootnote0"/>
              <w:rPr>
                <w:rtl/>
              </w:rPr>
            </w:pPr>
            <w:r>
              <w:rPr>
                <w:rtl/>
              </w:rPr>
              <w:t xml:space="preserve">(6). </w:t>
            </w:r>
            <w:r w:rsidRPr="00C9040A">
              <w:rPr>
                <w:rtl/>
              </w:rPr>
              <w:t xml:space="preserve">في « </w:t>
            </w:r>
            <w:r>
              <w:rPr>
                <w:rtl/>
              </w:rPr>
              <w:t xml:space="preserve">ه </w:t>
            </w:r>
            <w:r w:rsidRPr="00C9040A">
              <w:rPr>
                <w:rtl/>
              </w:rPr>
              <w:t>» وحاشية « بر » : « إلى »</w:t>
            </w:r>
            <w:r>
              <w:rPr>
                <w:rtl/>
              </w:rPr>
              <w:t>.</w:t>
            </w:r>
          </w:p>
        </w:tc>
        <w:tc>
          <w:tcPr>
            <w:tcW w:w="4006" w:type="dxa"/>
          </w:tcPr>
          <w:p w:rsidR="009E0109" w:rsidRDefault="009E0109" w:rsidP="004A4E41">
            <w:pPr>
              <w:pStyle w:val="libFootnote0"/>
              <w:rPr>
                <w:rtl/>
              </w:rPr>
            </w:pPr>
            <w:r>
              <w:rPr>
                <w:rtl/>
              </w:rPr>
              <w:t>(7).</w:t>
            </w:r>
            <w:r w:rsidRPr="00C9040A">
              <w:rPr>
                <w:rtl/>
              </w:rPr>
              <w:t xml:space="preserve"> في البحار : « سرّه »</w:t>
            </w:r>
            <w:r>
              <w:rPr>
                <w:rtl/>
              </w:rPr>
              <w:t>.</w:t>
            </w:r>
          </w:p>
        </w:tc>
      </w:tr>
    </w:tbl>
    <w:p w:rsidR="008A74EB" w:rsidRPr="00C9040A" w:rsidRDefault="006C577F" w:rsidP="004A4E41">
      <w:pPr>
        <w:pStyle w:val="libFootnote0"/>
        <w:rPr>
          <w:rtl/>
          <w:lang w:bidi="fa-IR"/>
        </w:rPr>
      </w:pPr>
      <w:r>
        <w:rPr>
          <w:rtl/>
        </w:rPr>
        <w:t>(8).</w:t>
      </w:r>
      <w:r w:rsidR="008A74EB" w:rsidRPr="00C9040A">
        <w:rPr>
          <w:rtl/>
        </w:rPr>
        <w:t xml:space="preserve"> في « </w:t>
      </w:r>
      <w:r w:rsidR="006D3162">
        <w:rPr>
          <w:rtl/>
        </w:rPr>
        <w:t xml:space="preserve">ه </w:t>
      </w:r>
      <w:r w:rsidR="008A74EB" w:rsidRPr="00C9040A">
        <w:rPr>
          <w:rtl/>
        </w:rPr>
        <w:t xml:space="preserve">» </w:t>
      </w:r>
      <w:r w:rsidR="008A74EB">
        <w:rPr>
          <w:rtl/>
        </w:rPr>
        <w:t xml:space="preserve">: </w:t>
      </w:r>
      <w:r w:rsidR="0084262C">
        <w:rPr>
          <w:rtl/>
        </w:rPr>
        <w:t>-</w:t>
      </w:r>
      <w:r w:rsidR="008A74EB" w:rsidRPr="00C9040A">
        <w:rPr>
          <w:rtl/>
        </w:rPr>
        <w:t xml:space="preserve"> « الله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بر » : « لكن »</w:t>
      </w:r>
      <w:r w:rsidR="008A74EB">
        <w:rPr>
          <w:rtl/>
        </w:rPr>
        <w:t>.</w:t>
      </w:r>
      <w:r w:rsidR="008A74EB" w:rsidRPr="00C9040A">
        <w:rPr>
          <w:rtl/>
        </w:rPr>
        <w:t xml:space="preserve"> وفي « بس » : « ولكن » كلاهما بدل « ولكنّه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 </w:t>
      </w:r>
      <w:r w:rsidR="006D3162">
        <w:rPr>
          <w:rtl/>
        </w:rPr>
        <w:t xml:space="preserve">ه </w:t>
      </w:r>
      <w:r w:rsidR="008A74EB" w:rsidRPr="00C9040A">
        <w:rPr>
          <w:rtl/>
        </w:rPr>
        <w:t>» : « ممّا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في « د » وشرح المازندراني : « نكأ »</w:t>
      </w:r>
      <w:r w:rsidR="008A74EB">
        <w:rPr>
          <w:rtl/>
        </w:rPr>
        <w:t>.</w:t>
      </w:r>
      <w:r w:rsidR="008A74EB" w:rsidRPr="00C9040A">
        <w:rPr>
          <w:rtl/>
        </w:rPr>
        <w:t xml:space="preserve"> يقال : نكيتُ في العدوّ أنكي نِكاية فأنا ناكٍ : إذا أكْثرتَ فيهم الجِراحَ والقتلَ </w:t>
      </w:r>
      <w:r w:rsidR="005E3F86">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مِنْ </w:t>
      </w:r>
      <w:r w:rsidR="006C577F" w:rsidRPr="006C577F">
        <w:rPr>
          <w:rStyle w:val="libFootnotenumChar"/>
          <w:rtl/>
        </w:rPr>
        <w:t>(1)</w:t>
      </w:r>
      <w:r w:rsidRPr="00C9040A">
        <w:rPr>
          <w:rtl/>
          <w:lang w:bidi="fa-IR"/>
        </w:rPr>
        <w:t xml:space="preserve"> قَلْبِهِ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9576D8">
        <w:rPr>
          <w:rtl/>
        </w:rPr>
        <w:t>2385</w:t>
      </w:r>
      <w:r w:rsidRPr="00261CB0">
        <w:rPr>
          <w:rStyle w:val="libBold2Char"/>
          <w:rtl/>
        </w:rPr>
        <w:t xml:space="preserve"> / 4.</w:t>
      </w:r>
      <w:r w:rsidRPr="00C9040A">
        <w:rPr>
          <w:rtl/>
          <w:lang w:bidi="fa-IR"/>
        </w:rPr>
        <w:t xml:space="preserve"> عَنْهُ </w:t>
      </w:r>
      <w:r w:rsidR="006C577F" w:rsidRPr="006C577F">
        <w:rPr>
          <w:rStyle w:val="libFootnotenumChar"/>
          <w:rtl/>
        </w:rPr>
        <w:t>(3)</w:t>
      </w:r>
      <w:r w:rsidRPr="00C9040A">
        <w:rPr>
          <w:rtl/>
          <w:lang w:bidi="fa-IR"/>
        </w:rPr>
        <w:t xml:space="preserve"> ، عَنْ مُحَمَّدِ بْنِ عَلِيٍّ ، عَنْ دَاوُدَ الْحَذَّاءِ ، عَنْ مُحَمَّدِ بْنِ صَغِيرٍ ، عَنْ جَدِّهِ شُعَيْبٍ ، عَنْ مُفَضَّلٍ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كُلَّمَا ازْدَادَ الْعَبْدُ إِيمَاناً ، ازْدَادَ ضِيقاً فِي مَعِيشَتِهِ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9576D8">
        <w:rPr>
          <w:rtl/>
        </w:rPr>
        <w:t>2386</w:t>
      </w:r>
      <w:r w:rsidRPr="00261CB0">
        <w:rPr>
          <w:rStyle w:val="libBold2Char"/>
          <w:rtl/>
        </w:rPr>
        <w:t xml:space="preserve"> / 5.</w:t>
      </w:r>
      <w:r w:rsidRPr="00C9040A">
        <w:rPr>
          <w:rtl/>
          <w:lang w:bidi="fa-IR"/>
        </w:rPr>
        <w:t xml:space="preserve"> وَبِإِسْنَادِهِ </w:t>
      </w:r>
      <w:r w:rsidR="006C577F" w:rsidRPr="006C577F">
        <w:rPr>
          <w:rStyle w:val="libFootnotenumChar"/>
          <w:rtl/>
        </w:rPr>
        <w:t>(5)</w:t>
      </w:r>
      <w:r w:rsidRPr="00C9040A">
        <w:rPr>
          <w:rtl/>
          <w:lang w:bidi="fa-IR"/>
        </w:rPr>
        <w:t xml:space="preserve">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لَوْ لَا</w:t>
      </w:r>
      <w:r>
        <w:rPr>
          <w:rFonts w:hint="cs"/>
          <w:rtl/>
          <w:lang w:bidi="fa-IR"/>
        </w:rPr>
        <w:t xml:space="preserve"> </w:t>
      </w:r>
      <w:r w:rsidRPr="00C9040A">
        <w:rPr>
          <w:rtl/>
          <w:lang w:bidi="fa-IR"/>
        </w:rPr>
        <w:t xml:space="preserve">إِلْحَاحُ الْمُؤْمِنِينَ عَلَى اللهِ فِي طَلَبِ الرِّزْقِ ، لَنَقَلَهُمْ </w:t>
      </w:r>
      <w:r w:rsidR="006C577F" w:rsidRPr="006C577F">
        <w:rPr>
          <w:rStyle w:val="libFootnotenumChar"/>
          <w:rtl/>
        </w:rPr>
        <w:t>(6)</w:t>
      </w:r>
      <w:r w:rsidRPr="005B567D">
        <w:rPr>
          <w:rStyle w:val="libFootnotenumChar"/>
          <w:rtl/>
        </w:rPr>
        <w:t xml:space="preserve"> </w:t>
      </w:r>
      <w:r w:rsidRPr="00C9040A">
        <w:rPr>
          <w:rtl/>
          <w:lang w:bidi="fa-IR"/>
        </w:rPr>
        <w:t xml:space="preserve">مِنَ الْحَالِ </w:t>
      </w:r>
      <w:r w:rsidR="006C577F" w:rsidRPr="006C577F">
        <w:rPr>
          <w:rStyle w:val="libFootnotenumChar"/>
          <w:rtl/>
        </w:rPr>
        <w:t>(7)</w:t>
      </w:r>
      <w:r w:rsidRPr="00C9040A">
        <w:rPr>
          <w:rtl/>
          <w:lang w:bidi="fa-IR"/>
        </w:rPr>
        <w:t xml:space="preserve"> الَّتِي </w:t>
      </w:r>
      <w:r w:rsidR="006C577F" w:rsidRPr="006C577F">
        <w:rPr>
          <w:rStyle w:val="libFootnotenumChar"/>
          <w:rtl/>
        </w:rPr>
        <w:t>(8)</w:t>
      </w:r>
      <w:r w:rsidRPr="00C9040A">
        <w:rPr>
          <w:rtl/>
          <w:lang w:bidi="fa-IR"/>
        </w:rPr>
        <w:t xml:space="preserve"> هُمْ فِيهَا إِلى حَالٍ </w:t>
      </w:r>
      <w:r w:rsidR="006C577F" w:rsidRPr="006C577F">
        <w:rPr>
          <w:rStyle w:val="libFootnotenumChar"/>
          <w:rtl/>
        </w:rPr>
        <w:t>(9)</w:t>
      </w:r>
      <w:r w:rsidRPr="00C9040A">
        <w:rPr>
          <w:rtl/>
          <w:lang w:bidi="fa-IR"/>
        </w:rPr>
        <w:t xml:space="preserve"> أَضْيَقَ مِنْهَا »</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Normal"/>
        <w:rPr>
          <w:rtl/>
          <w:lang w:bidi="fa-IR"/>
        </w:rPr>
      </w:pPr>
      <w:r w:rsidRPr="009576D8">
        <w:rPr>
          <w:rtl/>
        </w:rPr>
        <w:t>2387</w:t>
      </w:r>
      <w:r w:rsidRPr="00261CB0">
        <w:rPr>
          <w:rStyle w:val="libBold2Char"/>
          <w:rtl/>
        </w:rPr>
        <w:t xml:space="preserve"> / 6.</w:t>
      </w:r>
      <w:r w:rsidRPr="00C9040A">
        <w:rPr>
          <w:rtl/>
          <w:lang w:bidi="fa-IR"/>
        </w:rPr>
        <w:t xml:space="preserve"> عَنْهُ </w:t>
      </w:r>
      <w:r w:rsidR="006C577F" w:rsidRPr="006C577F">
        <w:rPr>
          <w:rStyle w:val="libFootnotenumChar"/>
          <w:rtl/>
        </w:rPr>
        <w:t>(11)</w:t>
      </w:r>
      <w:r w:rsidRPr="00C9040A">
        <w:rPr>
          <w:rtl/>
          <w:lang w:bidi="fa-IR"/>
        </w:rPr>
        <w:t xml:space="preserve"> ، عَنْ بَعْضِ أَصْحَابِهِ رَفَعَهُ ، قَالَ :</w:t>
      </w:r>
    </w:p>
    <w:p w:rsidR="008A74EB" w:rsidRPr="00C9040A" w:rsidRDefault="008A74EB" w:rsidP="008A74EB">
      <w:pPr>
        <w:pStyle w:val="libLine"/>
        <w:rPr>
          <w:rtl/>
          <w:lang w:bidi="fa-IR"/>
        </w:rPr>
      </w:pPr>
      <w:r w:rsidRPr="00C9040A">
        <w:rPr>
          <w:rtl/>
          <w:lang w:bidi="fa-IR"/>
        </w:rPr>
        <w:t>__________________</w:t>
      </w:r>
    </w:p>
    <w:p w:rsidR="008A74EB" w:rsidRPr="00C9040A" w:rsidRDefault="00CF2B2B" w:rsidP="004A4E41">
      <w:pPr>
        <w:pStyle w:val="libFootnote0"/>
        <w:rPr>
          <w:rtl/>
          <w:lang w:bidi="fa-IR"/>
        </w:rPr>
      </w:pPr>
      <w:r>
        <w:rPr>
          <w:rFonts w:hint="cs"/>
          <w:rtl/>
        </w:rPr>
        <w:t xml:space="preserve">= </w:t>
      </w:r>
      <w:r w:rsidR="008A74EB" w:rsidRPr="00C9040A">
        <w:rPr>
          <w:rtl/>
        </w:rPr>
        <w:t xml:space="preserve">فوهنوا لذلك. وقد يهمز لغة فيه. يقال : نكأت القَرْحةَ أنكؤُها : إذا قشرتها. والمراد جرح القلب وانكساره ووَغْر الصدر ، وهو توقّده من الغيظ. </w:t>
      </w:r>
      <w:r w:rsidR="008A74EB" w:rsidRPr="00993B55">
        <w:rPr>
          <w:rStyle w:val="libFootnoteBoldChar"/>
          <w:rtl/>
        </w:rPr>
        <w:t>النهاية</w:t>
      </w:r>
      <w:r w:rsidR="008A74EB" w:rsidRPr="00C9040A">
        <w:rPr>
          <w:rtl/>
        </w:rPr>
        <w:t xml:space="preserve"> ، ج 5 ، ص 117 ( نكا )</w:t>
      </w:r>
      <w:r w:rsidR="008A74EB">
        <w:rPr>
          <w:rtl/>
        </w:rPr>
        <w:t>.</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w:t>
      </w:r>
      <w:r w:rsidR="006D3162">
        <w:rPr>
          <w:rtl/>
        </w:rPr>
        <w:t xml:space="preserve">ه </w:t>
      </w:r>
      <w:r w:rsidR="008A74EB" w:rsidRPr="00C9040A">
        <w:rPr>
          <w:rtl/>
        </w:rPr>
        <w:t>» : « في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ثواب الأعمال</w:t>
      </w:r>
      <w:r w:rsidR="008A74EB" w:rsidRPr="00C9040A">
        <w:rPr>
          <w:rtl/>
        </w:rPr>
        <w:t xml:space="preserve"> ، ص 217 ، ح 1 ، بسنده عن عبدالله البصري ، يرفعه إلى أبي‌عبدالله </w:t>
      </w:r>
      <w:r w:rsidR="00117575" w:rsidRPr="00117575">
        <w:rPr>
          <w:rStyle w:val="libFootnoteAlaemChar"/>
          <w:rtl/>
        </w:rPr>
        <w:t>عليه‌السلام</w:t>
      </w:r>
      <w:r w:rsidR="008A74EB" w:rsidRPr="00C9040A">
        <w:rPr>
          <w:rtl/>
        </w:rPr>
        <w:t xml:space="preserve"> ، مع اختلاف يسير </w:t>
      </w:r>
      <w:r w:rsidR="00CF2B2B">
        <w:rPr>
          <w:rFonts w:hint="cs"/>
          <w:rtl/>
        </w:rPr>
        <w:t>.</w:t>
      </w:r>
      <w:r w:rsidR="008A74EB" w:rsidRPr="00993B55">
        <w:rPr>
          <w:rStyle w:val="libFootnoteBoldChar"/>
          <w:rtl/>
        </w:rPr>
        <w:t>الوافي</w:t>
      </w:r>
      <w:r w:rsidR="008A74EB" w:rsidRPr="00C9040A">
        <w:rPr>
          <w:rtl/>
        </w:rPr>
        <w:t xml:space="preserve"> ، ج 5 ، ص 790 ، ح 3047 ؛ </w:t>
      </w:r>
      <w:r w:rsidR="008A74EB" w:rsidRPr="00993B55">
        <w:rPr>
          <w:rStyle w:val="libFootnoteBoldChar"/>
          <w:rtl/>
        </w:rPr>
        <w:t>البحار</w:t>
      </w:r>
      <w:r w:rsidR="008A74EB" w:rsidRPr="00C9040A">
        <w:rPr>
          <w:rtl/>
        </w:rPr>
        <w:t xml:space="preserve"> ، ج 72 ، ص 8 ، ح 6.</w:t>
      </w:r>
    </w:p>
    <w:p w:rsidR="008A74EB" w:rsidRPr="00C9040A" w:rsidRDefault="006C577F" w:rsidP="004A4E41">
      <w:pPr>
        <w:pStyle w:val="libFootnote0"/>
        <w:rPr>
          <w:rtl/>
          <w:lang w:bidi="fa-IR"/>
        </w:rPr>
      </w:pPr>
      <w:r>
        <w:rPr>
          <w:rtl/>
        </w:rPr>
        <w:t>(3).</w:t>
      </w:r>
      <w:r w:rsidR="008A74EB" w:rsidRPr="00C9040A">
        <w:rPr>
          <w:rtl/>
        </w:rPr>
        <w:t xml:space="preserve"> الضمير راجع إلى أحمد بن محمّد بن خالد.</w:t>
      </w:r>
    </w:p>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الوافي</w:t>
      </w:r>
      <w:r w:rsidR="008A74EB" w:rsidRPr="00C9040A">
        <w:rPr>
          <w:rtl/>
        </w:rPr>
        <w:t xml:space="preserve"> ، ج 5 ، ص 785 ، ح 3035 ؛ </w:t>
      </w:r>
      <w:r w:rsidR="008A74EB" w:rsidRPr="00993B55">
        <w:rPr>
          <w:rStyle w:val="libFootnoteBoldChar"/>
          <w:rtl/>
        </w:rPr>
        <w:t>البحار</w:t>
      </w:r>
      <w:r w:rsidR="008A74EB" w:rsidRPr="00C9040A">
        <w:rPr>
          <w:rtl/>
        </w:rPr>
        <w:t xml:space="preserve"> ، ج 72 ، ص 8 ، ح 7.</w:t>
      </w:r>
    </w:p>
    <w:p w:rsidR="008A74EB" w:rsidRPr="00C9040A" w:rsidRDefault="006C577F" w:rsidP="004A4E41">
      <w:pPr>
        <w:pStyle w:val="libFootnote0"/>
        <w:rPr>
          <w:rtl/>
          <w:lang w:bidi="fa-IR"/>
        </w:rPr>
      </w:pPr>
      <w:r>
        <w:rPr>
          <w:rtl/>
        </w:rPr>
        <w:t>(5).</w:t>
      </w:r>
      <w:r w:rsidR="008A74EB" w:rsidRPr="00C9040A">
        <w:rPr>
          <w:rtl/>
        </w:rPr>
        <w:t xml:space="preserve"> الظاهر أنّ المراد من « بإسناده » هو السند المذكور إلى أبي‌عبدالله </w:t>
      </w:r>
      <w:r w:rsidR="00117575" w:rsidRPr="00117575">
        <w:rPr>
          <w:rStyle w:val="libFootnoteAlaemChar"/>
          <w:rtl/>
        </w:rPr>
        <w:t xml:space="preserve">عليه‌السلام </w:t>
      </w:r>
      <w:r w:rsidR="008A74EB" w:rsidRPr="00C9040A">
        <w:rPr>
          <w:rtl/>
        </w:rPr>
        <w:t xml:space="preserve">في الحديث المتقدّم. يؤيّد ذلك وقوع الضمير الراجع إلى أحمد بن محمّد بن خالد في صدر السندين 6 </w:t>
      </w:r>
      <w:r w:rsidR="008A74EB">
        <w:rPr>
          <w:rtl/>
        </w:rPr>
        <w:t>و 7</w:t>
      </w:r>
      <w:r w:rsidR="008A74EB" w:rsidRPr="00C9040A">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 ض ، </w:t>
      </w:r>
      <w:r w:rsidR="006D3162">
        <w:rPr>
          <w:rtl/>
        </w:rPr>
        <w:t xml:space="preserve">ه </w:t>
      </w:r>
      <w:r w:rsidR="008A74EB" w:rsidRPr="00C9040A">
        <w:rPr>
          <w:rtl/>
        </w:rPr>
        <w:t>» : + « الله جلّ وعزّ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بس » وحاشية « ج » : « الحالة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 ج » : « الذي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w:t>
      </w:r>
      <w:r w:rsidR="006D3162">
        <w:rPr>
          <w:rtl/>
        </w:rPr>
        <w:t xml:space="preserve">ه </w:t>
      </w:r>
      <w:r w:rsidR="008A74EB" w:rsidRPr="00C9040A">
        <w:rPr>
          <w:rtl/>
        </w:rPr>
        <w:t>» : + « هي »</w:t>
      </w:r>
      <w:r w:rsidR="008A74EB">
        <w:rPr>
          <w:rtl/>
        </w:rPr>
        <w:t>.</w:t>
      </w:r>
      <w:r w:rsidR="008A74EB" w:rsidRPr="00C9040A">
        <w:rPr>
          <w:rtl/>
        </w:rPr>
        <w:t xml:space="preserve"> وفي « بس » : « حالة »</w:t>
      </w:r>
      <w:r w:rsidR="008A74EB">
        <w:rPr>
          <w:rtl/>
        </w:rPr>
        <w:t>.</w:t>
      </w:r>
      <w:r w:rsidR="008A74EB" w:rsidRPr="00C9040A">
        <w:rPr>
          <w:rtl/>
        </w:rPr>
        <w:t xml:space="preserve"> وفي الوسائل : « ما هو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w:t>
      </w:r>
      <w:r w:rsidR="008A74EB" w:rsidRPr="00993B55">
        <w:rPr>
          <w:rStyle w:val="libFootnoteBoldChar"/>
          <w:rtl/>
        </w:rPr>
        <w:t>الوافي</w:t>
      </w:r>
      <w:r w:rsidR="008A74EB" w:rsidRPr="00C9040A">
        <w:rPr>
          <w:rtl/>
        </w:rPr>
        <w:t xml:space="preserve"> ، ج 5 ، ص 785 ، ح 3036 ؛ </w:t>
      </w:r>
      <w:r w:rsidR="008A74EB" w:rsidRPr="00993B55">
        <w:rPr>
          <w:rStyle w:val="libFootnoteBoldChar"/>
          <w:rtl/>
        </w:rPr>
        <w:t>الوسائل</w:t>
      </w:r>
      <w:r w:rsidR="008A74EB" w:rsidRPr="00C9040A">
        <w:rPr>
          <w:rtl/>
        </w:rPr>
        <w:t xml:space="preserve"> ، ج 7 ، ص 59 ، ح 8718 ؛ </w:t>
      </w:r>
      <w:r w:rsidR="008A74EB" w:rsidRPr="00993B55">
        <w:rPr>
          <w:rStyle w:val="libFootnoteBoldChar"/>
          <w:rtl/>
        </w:rPr>
        <w:t>البحار</w:t>
      </w:r>
      <w:r w:rsidR="008A74EB" w:rsidRPr="00C9040A">
        <w:rPr>
          <w:rtl/>
        </w:rPr>
        <w:t xml:space="preserve"> ، ج 72 ، ص 9 ، ذيل ح 7.</w:t>
      </w:r>
    </w:p>
    <w:p w:rsidR="008A74EB" w:rsidRPr="00C9040A" w:rsidRDefault="006C577F" w:rsidP="004A4E41">
      <w:pPr>
        <w:pStyle w:val="libFootnote0"/>
        <w:rPr>
          <w:rtl/>
          <w:lang w:bidi="fa-IR"/>
        </w:rPr>
      </w:pPr>
      <w:r>
        <w:rPr>
          <w:rtl/>
        </w:rPr>
        <w:t>(11).</w:t>
      </w:r>
      <w:r w:rsidR="008A74EB" w:rsidRPr="00C9040A">
        <w:rPr>
          <w:rtl/>
        </w:rPr>
        <w:t xml:space="preserve"> الضمير في هذا السند والسند الآتي راجع إلى أحمد بن محمّد بن خالد ، كما مرّ آنفاً ؛ فقد روى أحمد عن نوح بن شعيب في عدّة من أسناد </w:t>
      </w:r>
      <w:r w:rsidR="008A74EB" w:rsidRPr="00993B55">
        <w:rPr>
          <w:rStyle w:val="libFootnoteBoldChar"/>
          <w:rtl/>
        </w:rPr>
        <w:t>المحاسن</w:t>
      </w:r>
      <w:r w:rsidR="008A74EB" w:rsidRPr="00C9040A">
        <w:rPr>
          <w:rtl/>
        </w:rPr>
        <w:t xml:space="preserve"> ، ا</w:t>
      </w:r>
      <w:r w:rsidR="00CF2B2B">
        <w:rPr>
          <w:rFonts w:hint="cs"/>
          <w:rtl/>
        </w:rPr>
        <w:t>ُ</w:t>
      </w:r>
      <w:r w:rsidR="008A74EB" w:rsidRPr="00C9040A">
        <w:rPr>
          <w:rtl/>
        </w:rPr>
        <w:t xml:space="preserve">نظر على سبيل المثال : </w:t>
      </w:r>
      <w:r w:rsidR="008A74EB" w:rsidRPr="00993B55">
        <w:rPr>
          <w:rStyle w:val="libFootnoteBoldChar"/>
          <w:rtl/>
        </w:rPr>
        <w:t>المحاسن</w:t>
      </w:r>
      <w:r w:rsidR="008A74EB" w:rsidRPr="00C9040A">
        <w:rPr>
          <w:rtl/>
        </w:rPr>
        <w:t xml:space="preserve"> ، ص 423</w:t>
      </w:r>
      <w:r w:rsidR="008A74EB">
        <w:rPr>
          <w:rtl/>
        </w:rPr>
        <w:t xml:space="preserve"> </w:t>
      </w:r>
      <w:r w:rsidR="0084262C">
        <w:rPr>
          <w:rtl/>
        </w:rPr>
        <w:t>-</w:t>
      </w:r>
      <w:r w:rsidR="008A74EB">
        <w:rPr>
          <w:rtl/>
        </w:rPr>
        <w:t xml:space="preserve"> </w:t>
      </w:r>
      <w:r w:rsidR="008A74EB" w:rsidRPr="00C9040A">
        <w:rPr>
          <w:rtl/>
        </w:rPr>
        <w:t xml:space="preserve">500. وتقدّمت روايته عنه بعنوان أحمد بن أبي‌عبدالله في </w:t>
      </w:r>
      <w:r w:rsidR="008A74EB" w:rsidRPr="00993B55">
        <w:rPr>
          <w:rStyle w:val="libFootnoteBoldChar"/>
          <w:rtl/>
        </w:rPr>
        <w:t>الكافي</w:t>
      </w:r>
      <w:r w:rsidR="008A74EB" w:rsidRPr="00C9040A">
        <w:rPr>
          <w:rtl/>
        </w:rPr>
        <w:t xml:space="preserve"> ، ح 2371.</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مَا أُعْطِ</w:t>
      </w:r>
      <w:r w:rsidR="00CF2B2B">
        <w:rPr>
          <w:rtl/>
          <w:lang w:bidi="fa-IR"/>
        </w:rPr>
        <w:t>يَ عَبْدٌ مِنَ الدُّنْيَا إِل</w:t>
      </w:r>
      <w:r w:rsidR="00CF2B2B">
        <w:rPr>
          <w:rFonts w:hint="cs"/>
          <w:rtl/>
          <w:lang w:bidi="fa-IR"/>
        </w:rPr>
        <w:t>َّ</w:t>
      </w:r>
      <w:r w:rsidR="00CF2B2B">
        <w:rPr>
          <w:rtl/>
          <w:lang w:bidi="fa-IR"/>
        </w:rPr>
        <w:t>ا</w:t>
      </w:r>
      <w:r w:rsidRPr="00C9040A">
        <w:rPr>
          <w:rtl/>
          <w:lang w:bidi="fa-IR"/>
        </w:rPr>
        <w:t xml:space="preserve"> اعْتِبَاراً ، وَمَا زُوِيَ </w:t>
      </w:r>
      <w:r w:rsidR="006C577F" w:rsidRPr="006C577F">
        <w:rPr>
          <w:rStyle w:val="libFootnotenumChar"/>
          <w:rtl/>
        </w:rPr>
        <w:t>(1)</w:t>
      </w:r>
      <w:r w:rsidR="00CF2B2B">
        <w:rPr>
          <w:rtl/>
          <w:lang w:bidi="fa-IR"/>
        </w:rPr>
        <w:t xml:space="preserve"> عَنْهُ إِل</w:t>
      </w:r>
      <w:r w:rsidR="00CF2B2B">
        <w:rPr>
          <w:rFonts w:hint="cs"/>
          <w:rtl/>
          <w:lang w:bidi="fa-IR"/>
        </w:rPr>
        <w:t>َّ</w:t>
      </w:r>
      <w:r w:rsidR="00CF2B2B">
        <w:rPr>
          <w:rtl/>
          <w:lang w:bidi="fa-IR"/>
        </w:rPr>
        <w:t>ا</w:t>
      </w:r>
      <w:r w:rsidRPr="00C9040A">
        <w:rPr>
          <w:rtl/>
          <w:lang w:bidi="fa-IR"/>
        </w:rPr>
        <w:t xml:space="preserve"> اخْتِبَاراً</w:t>
      </w:r>
      <w:r w:rsidR="006C577F" w:rsidRPr="006C577F">
        <w:rPr>
          <w:rStyle w:val="libFootnotenumChar"/>
          <w:rtl/>
        </w:rPr>
        <w:t>(2)</w:t>
      </w:r>
      <w:r w:rsidRPr="00C9040A">
        <w:rPr>
          <w:rtl/>
          <w:lang w:bidi="fa-IR"/>
        </w:rPr>
        <w:t>»</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9576D8">
        <w:rPr>
          <w:rtl/>
        </w:rPr>
        <w:t>2388</w:t>
      </w:r>
      <w:r w:rsidRPr="00261CB0">
        <w:rPr>
          <w:rStyle w:val="libBold2Char"/>
          <w:rtl/>
        </w:rPr>
        <w:t xml:space="preserve"> / 7.</w:t>
      </w:r>
      <w:r w:rsidRPr="00C9040A">
        <w:rPr>
          <w:rtl/>
          <w:lang w:bidi="fa-IR"/>
        </w:rPr>
        <w:t xml:space="preserve"> عَنْهُ ، عَنْ نُوحِ بْنِ شُعَيْبٍ وَأَبِي إِسْحَاقَ الْخَفَّافِ ، عَنْ رَجُلٍ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لَيْسَ لِمُصَاصِ </w:t>
      </w:r>
      <w:r w:rsidR="006C577F" w:rsidRPr="006C577F">
        <w:rPr>
          <w:rStyle w:val="libFootnotenumChar"/>
          <w:rtl/>
        </w:rPr>
        <w:t>(4)</w:t>
      </w:r>
      <w:r w:rsidRPr="00C9040A">
        <w:rPr>
          <w:rtl/>
          <w:lang w:bidi="fa-IR"/>
        </w:rPr>
        <w:t xml:space="preserve"> شِيعَتِنَ</w:t>
      </w:r>
      <w:r w:rsidR="00CF2B2B">
        <w:rPr>
          <w:rtl/>
          <w:lang w:bidi="fa-IR"/>
        </w:rPr>
        <w:t>ا فِي دَوْلَةِ الْبَاطِلِ إِل</w:t>
      </w:r>
      <w:r w:rsidR="00CF2B2B">
        <w:rPr>
          <w:rFonts w:hint="cs"/>
          <w:rtl/>
          <w:lang w:bidi="fa-IR"/>
        </w:rPr>
        <w:t>َّ</w:t>
      </w:r>
      <w:r w:rsidR="00CF2B2B">
        <w:rPr>
          <w:rtl/>
          <w:lang w:bidi="fa-IR"/>
        </w:rPr>
        <w:t>ا</w:t>
      </w:r>
      <w:r w:rsidRPr="00C9040A">
        <w:rPr>
          <w:rtl/>
          <w:lang w:bidi="fa-IR"/>
        </w:rPr>
        <w:t xml:space="preserve"> الْقُوتُ ، شَرِّقُوا إِنْ شِئْتُمْ أَوْ غَرِّبُوا لَنْ تُرْزَقُوا </w:t>
      </w:r>
      <w:r w:rsidR="006C577F" w:rsidRPr="006C577F">
        <w:rPr>
          <w:rStyle w:val="libFootnotenumChar"/>
          <w:rtl/>
        </w:rPr>
        <w:t>(5)</w:t>
      </w:r>
      <w:r w:rsidR="00CF2B2B">
        <w:rPr>
          <w:rtl/>
          <w:lang w:bidi="fa-IR"/>
        </w:rPr>
        <w:t xml:space="preserve"> إِل</w:t>
      </w:r>
      <w:r w:rsidR="00CF2B2B">
        <w:rPr>
          <w:rFonts w:hint="cs"/>
          <w:rtl/>
          <w:lang w:bidi="fa-IR"/>
        </w:rPr>
        <w:t>َّ</w:t>
      </w:r>
      <w:r w:rsidR="00CF2B2B">
        <w:rPr>
          <w:rtl/>
          <w:lang w:bidi="fa-IR"/>
        </w:rPr>
        <w:t>ا</w:t>
      </w:r>
      <w:r w:rsidRPr="00C9040A">
        <w:rPr>
          <w:rtl/>
          <w:lang w:bidi="fa-IR"/>
        </w:rPr>
        <w:t xml:space="preserve"> الْقُوتَ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Normal"/>
        <w:rPr>
          <w:rtl/>
          <w:lang w:bidi="fa-IR"/>
        </w:rPr>
      </w:pPr>
      <w:r w:rsidRPr="009576D8">
        <w:rPr>
          <w:rtl/>
        </w:rPr>
        <w:t>2389</w:t>
      </w:r>
      <w:r w:rsidRPr="00261CB0">
        <w:rPr>
          <w:rStyle w:val="libBold2Char"/>
          <w:rtl/>
        </w:rPr>
        <w:t xml:space="preserve"> / 8.</w:t>
      </w:r>
      <w:r w:rsidRPr="00C9040A">
        <w:rPr>
          <w:rtl/>
          <w:lang w:bidi="fa-IR"/>
        </w:rPr>
        <w:t xml:space="preserve"> مُحَمَّدُ بْنُ يَحْيى ، عَنْ أَحْمَدَ بْنِ مُحَمَّدٍ ، عَنْ مُحَمَّدِ بْنِ الْحَسَنِ </w:t>
      </w:r>
      <w:r w:rsidR="006C577F" w:rsidRPr="006C577F">
        <w:rPr>
          <w:rStyle w:val="libFootnotenumChar"/>
          <w:rtl/>
        </w:rPr>
        <w:t>(7)</w:t>
      </w:r>
      <w:r w:rsidRPr="00C9040A">
        <w:rPr>
          <w:rtl/>
          <w:lang w:bidi="fa-IR"/>
        </w:rPr>
        <w:t xml:space="preserve"> الْأَشْعَرِيِّ ، عَنْ بَعْضِ مَشَايِخِهِ ، عَنْ إِدْرِيسَ بْنِ عَبْدِ اللهِ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النَّبِيُّ </w:t>
      </w:r>
      <w:r w:rsidR="004A4E41" w:rsidRPr="004A4E41">
        <w:rPr>
          <w:rStyle w:val="libAlaemChar"/>
          <w:rtl/>
        </w:rPr>
        <w:t>صلى‌الله‌عليه‌وآله</w:t>
      </w:r>
      <w:r w:rsidRPr="00C9040A">
        <w:rPr>
          <w:rtl/>
          <w:lang w:bidi="fa-IR"/>
        </w:rPr>
        <w:t xml:space="preserve"> : يَا عَلِيُّ ، الْحَاجَةُ أَمَانَةُ اللهِ عِنْدَ خَلْقِهِ ؛ فَمَنْ كَتَمَهَا عَلى نَفْسِهِ ، أَعْطَاهُ اللهُ ثَوَابَ مَنْ صَلّى ؛ وَمَنْ كَشَفَهَا إِلى مَنْ يَقْدِرُ أَنْ يُفَرِّجَ عَنْهُ ، وَلَمْ يَفْعَلْ ، فَقَدْ قَتَلَهُ ، أَمَا إِنَّهُ لَمْ يَقْتُلْهُ بِسَيْفٍ وَلَا سِنَانٍ </w:t>
      </w:r>
      <w:r w:rsidR="006C577F" w:rsidRPr="006C577F">
        <w:rPr>
          <w:rStyle w:val="libFootnotenumChar"/>
          <w:rtl/>
        </w:rPr>
        <w:t>(8)</w:t>
      </w:r>
      <w:r w:rsidRPr="00C9040A">
        <w:rPr>
          <w:rtl/>
          <w:lang w:bidi="fa-IR"/>
        </w:rPr>
        <w:t xml:space="preserve"> وَلَا سَهْمٍ ، وَلكِنْ </w:t>
      </w:r>
      <w:r w:rsidR="006C577F" w:rsidRPr="006C577F">
        <w:rPr>
          <w:rStyle w:val="libFootnotenumChar"/>
          <w:rtl/>
        </w:rPr>
        <w:t>(9)</w:t>
      </w:r>
      <w:r w:rsidRPr="00C9040A">
        <w:rPr>
          <w:rtl/>
          <w:lang w:bidi="fa-IR"/>
        </w:rPr>
        <w:t xml:space="preserve"> قَتَلَهُ بِمَا نَكى </w:t>
      </w:r>
      <w:r w:rsidR="006C577F" w:rsidRPr="006C577F">
        <w:rPr>
          <w:rStyle w:val="libFootnotenumChar"/>
          <w:rtl/>
        </w:rPr>
        <w:t>(10)</w:t>
      </w:r>
      <w:r w:rsidRPr="00C9040A">
        <w:rPr>
          <w:rtl/>
          <w:lang w:bidi="fa-IR"/>
        </w:rPr>
        <w:t xml:space="preserve"> مِنْ قَلْبِهِ »</w:t>
      </w:r>
      <w:r>
        <w:rPr>
          <w:rtl/>
          <w:lang w:bidi="fa-IR"/>
        </w:rPr>
        <w:t>.</w:t>
      </w:r>
      <w:r w:rsidRPr="00C9040A">
        <w:rPr>
          <w:rtl/>
          <w:lang w:bidi="fa-IR"/>
        </w:rPr>
        <w:t xml:space="preserve"> </w:t>
      </w:r>
      <w:r w:rsidR="006C577F" w:rsidRPr="006C577F">
        <w:rPr>
          <w:rStyle w:val="libFootnotenumChar"/>
          <w:rtl/>
        </w:rPr>
        <w:t>(11)</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ج ، </w:t>
      </w:r>
      <w:r w:rsidR="006D3162">
        <w:rPr>
          <w:rtl/>
        </w:rPr>
        <w:t xml:space="preserve">ه </w:t>
      </w:r>
      <w:r w:rsidR="008A74EB" w:rsidRPr="00C9040A">
        <w:rPr>
          <w:rtl/>
        </w:rPr>
        <w:t>» : « لا زوّي »</w:t>
      </w:r>
      <w:r w:rsidR="008A74EB">
        <w:rPr>
          <w:rtl/>
        </w:rPr>
        <w:t>.</w:t>
      </w:r>
      <w:r w:rsidR="008A74EB" w:rsidRPr="00C9040A">
        <w:rPr>
          <w:rtl/>
        </w:rPr>
        <w:t xml:space="preserve"> وفي « د ، ز ، ص » وشرح المازندراني والوافي والبحار : « لا زوي »</w:t>
      </w:r>
      <w:r w:rsidR="008A74EB">
        <w:rPr>
          <w:rtl/>
        </w:rPr>
        <w:t>.</w:t>
      </w:r>
      <w:r w:rsidR="008A74EB" w:rsidRPr="00C9040A">
        <w:rPr>
          <w:rtl/>
        </w:rPr>
        <w:t xml:space="preserve"> وزواه زيّاً وزُويّاً : نحّاه فانزوى ، والشي‌ءَ : جَمَعه وقَبَضَه. </w:t>
      </w:r>
      <w:r w:rsidR="008A74EB" w:rsidRPr="00993B55">
        <w:rPr>
          <w:rStyle w:val="libFootnoteBoldChar"/>
          <w:rtl/>
        </w:rPr>
        <w:t>القاموس المحيط</w:t>
      </w:r>
      <w:r w:rsidR="008A74EB" w:rsidRPr="00C9040A">
        <w:rPr>
          <w:rtl/>
        </w:rPr>
        <w:t xml:space="preserve"> ، ج 2 ، ص 1695 ( زوا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w:t>
      </w:r>
      <w:r w:rsidR="008A74EB" w:rsidRPr="00993B55">
        <w:rPr>
          <w:rStyle w:val="libFootnoteBoldChar"/>
          <w:rtl/>
        </w:rPr>
        <w:t>مرآة العقول</w:t>
      </w:r>
      <w:r w:rsidR="008A74EB" w:rsidRPr="00C9040A">
        <w:rPr>
          <w:rtl/>
        </w:rPr>
        <w:t xml:space="preserve"> :</w:t>
      </w:r>
      <w:r w:rsidR="00B23799">
        <w:rPr>
          <w:rtl/>
        </w:rPr>
        <w:t xml:space="preserve"> « قوله : إل</w:t>
      </w:r>
      <w:r w:rsidR="00B23799">
        <w:rPr>
          <w:rFonts w:hint="cs"/>
          <w:rtl/>
        </w:rPr>
        <w:t>ّ</w:t>
      </w:r>
      <w:r w:rsidR="00B23799">
        <w:rPr>
          <w:rtl/>
        </w:rPr>
        <w:t>ا</w:t>
      </w:r>
      <w:r w:rsidR="008A74EB">
        <w:rPr>
          <w:rFonts w:hint="cs"/>
          <w:rtl/>
        </w:rPr>
        <w:t xml:space="preserve"> </w:t>
      </w:r>
      <w:r w:rsidR="008A74EB" w:rsidRPr="00C9040A">
        <w:rPr>
          <w:rtl/>
        </w:rPr>
        <w:t>اختباراً ، في بعض النسخ بالياء المثنّاة التحتانيّة ، أي‌لأنّه اختاره وفضّله وأكرمه بذلك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w:t>
      </w:r>
      <w:r w:rsidR="008A74EB" w:rsidRPr="00993B55">
        <w:rPr>
          <w:rStyle w:val="libFootnoteBoldChar"/>
          <w:rtl/>
        </w:rPr>
        <w:t>الوافي</w:t>
      </w:r>
      <w:r w:rsidR="008A74EB" w:rsidRPr="00C9040A">
        <w:rPr>
          <w:rtl/>
        </w:rPr>
        <w:t xml:space="preserve"> ، ج 5 ، ص 785 ، ح 3038 ؛ </w:t>
      </w:r>
      <w:r w:rsidR="008A74EB" w:rsidRPr="00993B55">
        <w:rPr>
          <w:rStyle w:val="libFootnoteBoldChar"/>
          <w:rtl/>
        </w:rPr>
        <w:t>البحار</w:t>
      </w:r>
      <w:r w:rsidR="008A74EB" w:rsidRPr="00C9040A">
        <w:rPr>
          <w:rtl/>
        </w:rPr>
        <w:t xml:space="preserve"> ، ج 72 ، ص 9 ، ح 8.</w:t>
      </w:r>
    </w:p>
    <w:p w:rsidR="008A74EB" w:rsidRPr="00C9040A" w:rsidRDefault="006C577F" w:rsidP="004A4E41">
      <w:pPr>
        <w:pStyle w:val="libFootnote0"/>
        <w:rPr>
          <w:rtl/>
          <w:lang w:bidi="fa-IR"/>
        </w:rPr>
      </w:pPr>
      <w:r>
        <w:rPr>
          <w:rtl/>
        </w:rPr>
        <w:t>(4).</w:t>
      </w:r>
      <w:r w:rsidR="008A74EB" w:rsidRPr="00C9040A">
        <w:rPr>
          <w:rtl/>
        </w:rPr>
        <w:t xml:space="preserve"> « المصاص » : خالص كلّ شي‌ء. </w:t>
      </w:r>
      <w:r w:rsidR="008A74EB" w:rsidRPr="00993B55">
        <w:rPr>
          <w:rStyle w:val="libFootnoteBoldChar"/>
          <w:rtl/>
        </w:rPr>
        <w:t>النهاية</w:t>
      </w:r>
      <w:r w:rsidR="008A74EB" w:rsidRPr="00C9040A">
        <w:rPr>
          <w:rtl/>
        </w:rPr>
        <w:t xml:space="preserve"> ، ج 4 ، ص 337 ( مصص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البحار : « لم ترزقوا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الوافي</w:t>
      </w:r>
      <w:r w:rsidR="008A74EB" w:rsidRPr="00C9040A">
        <w:rPr>
          <w:rtl/>
        </w:rPr>
        <w:t xml:space="preserve"> ، ج 5 ، ص 785 ، ح 3039 ؛ </w:t>
      </w:r>
      <w:r w:rsidR="008A74EB" w:rsidRPr="00993B55">
        <w:rPr>
          <w:rStyle w:val="libFootnoteBoldChar"/>
          <w:rtl/>
        </w:rPr>
        <w:t>البحار</w:t>
      </w:r>
      <w:r w:rsidR="008A74EB" w:rsidRPr="00C9040A">
        <w:rPr>
          <w:rtl/>
        </w:rPr>
        <w:t xml:space="preserve"> ، ج 72 ، ص 10 ، ح 10.</w:t>
      </w:r>
    </w:p>
    <w:p w:rsidR="008A74EB" w:rsidRPr="00C9040A" w:rsidRDefault="006C577F" w:rsidP="00B23799">
      <w:pPr>
        <w:pStyle w:val="libFootnote0"/>
        <w:rPr>
          <w:rtl/>
          <w:lang w:bidi="fa-IR"/>
        </w:rPr>
      </w:pPr>
      <w:r>
        <w:rPr>
          <w:rtl/>
        </w:rPr>
        <w:t>(7).</w:t>
      </w:r>
      <w:r w:rsidR="008A74EB" w:rsidRPr="00C9040A">
        <w:rPr>
          <w:rtl/>
        </w:rPr>
        <w:t xml:space="preserve"> في « </w:t>
      </w:r>
      <w:r w:rsidR="006D3162">
        <w:rPr>
          <w:rtl/>
        </w:rPr>
        <w:t xml:space="preserve">ه </w:t>
      </w:r>
      <w:r w:rsidR="008A74EB" w:rsidRPr="00C9040A">
        <w:rPr>
          <w:rtl/>
        </w:rPr>
        <w:t>» : « الحسين »</w:t>
      </w:r>
      <w:r w:rsidR="008A74EB">
        <w:rPr>
          <w:rtl/>
        </w:rPr>
        <w:t>.</w:t>
      </w:r>
      <w:r w:rsidR="008A74EB" w:rsidRPr="00C9040A">
        <w:rPr>
          <w:rtl/>
        </w:rPr>
        <w:t xml:space="preserve"> وهو سهو ، ومحمّد بن الحسن هذا ، هو ابن أبي‌خالد الأشعري ، وتقدّم الكلام حوله </w:t>
      </w:r>
      <w:r w:rsidR="008A74EB" w:rsidRPr="00323A39">
        <w:rPr>
          <w:rtl/>
        </w:rPr>
        <w:t>في</w:t>
      </w:r>
      <w:r w:rsidR="008A74EB" w:rsidRPr="009576D8">
        <w:rPr>
          <w:rtl/>
        </w:rPr>
        <w:t>‌</w:t>
      </w:r>
      <w:r w:rsidR="008A74EB" w:rsidRPr="009576D8">
        <w:rPr>
          <w:rFonts w:hint="cs"/>
          <w:rtl/>
        </w:rPr>
        <w:t xml:space="preserve"> </w:t>
      </w:r>
      <w:r w:rsidR="008A74EB" w:rsidRPr="00993B55">
        <w:rPr>
          <w:rStyle w:val="libFootnoteBoldChar"/>
          <w:rtl/>
        </w:rPr>
        <w:t>الكافي</w:t>
      </w:r>
      <w:r w:rsidR="008A74EB" w:rsidRPr="00C9040A">
        <w:rPr>
          <w:rtl/>
        </w:rPr>
        <w:t xml:space="preserve"> ، ذيل ح 157 ، فراجع.</w:t>
      </w:r>
      <w:r w:rsidR="00B23799">
        <w:rPr>
          <w:rFonts w:hint="cs"/>
          <w:rtl/>
        </w:rPr>
        <w:t xml:space="preserve">               </w:t>
      </w:r>
      <w:r>
        <w:rPr>
          <w:rtl/>
        </w:rPr>
        <w:t>(8).</w:t>
      </w:r>
      <w:r w:rsidR="008A74EB" w:rsidRPr="00C9040A">
        <w:rPr>
          <w:rtl/>
        </w:rPr>
        <w:t xml:space="preserve"> في « </w:t>
      </w:r>
      <w:r w:rsidR="006D3162">
        <w:rPr>
          <w:rtl/>
        </w:rPr>
        <w:t xml:space="preserve">ه </w:t>
      </w:r>
      <w:r w:rsidR="008A74EB" w:rsidRPr="00C9040A">
        <w:rPr>
          <w:rtl/>
        </w:rPr>
        <w:t>» : « ولا بسنان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ض » وحاشية « بر » : « ولكنّه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 ج ، د » : « نكأ »</w:t>
      </w:r>
      <w:r w:rsidR="008A74EB">
        <w:rPr>
          <w:rtl/>
        </w:rPr>
        <w:t>.</w:t>
      </w:r>
      <w:r w:rsidR="008A74EB" w:rsidRPr="00C9040A">
        <w:rPr>
          <w:rtl/>
        </w:rPr>
        <w:t xml:space="preserve"> تقدّم ترجمته في الحديث 3 من هذا الباب.</w:t>
      </w:r>
    </w:p>
    <w:p w:rsidR="008A74EB" w:rsidRPr="00C9040A" w:rsidRDefault="006C577F" w:rsidP="004A4E41">
      <w:pPr>
        <w:pStyle w:val="libFootnote0"/>
        <w:rPr>
          <w:rtl/>
          <w:lang w:bidi="fa-IR"/>
        </w:rPr>
      </w:pPr>
      <w:r>
        <w:rPr>
          <w:rtl/>
        </w:rPr>
        <w:t>(11).</w:t>
      </w:r>
      <w:r w:rsidR="008A74EB" w:rsidRPr="00C9040A">
        <w:rPr>
          <w:rtl/>
        </w:rPr>
        <w:t xml:space="preserve"> </w:t>
      </w:r>
      <w:r w:rsidR="008A74EB" w:rsidRPr="00993B55">
        <w:rPr>
          <w:rStyle w:val="libFootnoteBoldChar"/>
          <w:rtl/>
        </w:rPr>
        <w:t>الوافي</w:t>
      </w:r>
      <w:r w:rsidR="008A74EB" w:rsidRPr="00C9040A">
        <w:rPr>
          <w:rtl/>
        </w:rPr>
        <w:t xml:space="preserve"> ، ج 5 ، ص 790 ، ح 3048 ؛ </w:t>
      </w:r>
      <w:r w:rsidR="008A74EB" w:rsidRPr="00993B55">
        <w:rPr>
          <w:rStyle w:val="libFootnoteBoldChar"/>
          <w:rtl/>
        </w:rPr>
        <w:t>البحار</w:t>
      </w:r>
      <w:r w:rsidR="008A74EB" w:rsidRPr="00C9040A">
        <w:rPr>
          <w:rtl/>
        </w:rPr>
        <w:t xml:space="preserve"> ، ج 72 ، ص 10 ، ح 9.</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7B030B">
        <w:rPr>
          <w:rtl/>
        </w:rPr>
        <w:t>2390</w:t>
      </w:r>
      <w:r w:rsidRPr="00261CB0">
        <w:rPr>
          <w:rStyle w:val="libBold2Char"/>
          <w:rtl/>
        </w:rPr>
        <w:t xml:space="preserve"> / 9.</w:t>
      </w:r>
      <w:r w:rsidRPr="00C9040A">
        <w:rPr>
          <w:rtl/>
          <w:lang w:bidi="fa-IR"/>
        </w:rPr>
        <w:t xml:space="preserve"> وَعَنْهُ ، عَنْ أَحْمَدَ ، عَنْ عَلِيِّ بْنِ الْحَكَمِ ، عَنْ سَعْدَانَ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إِنَّ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يَلْتَفِتُ يَوْمَ الْقِيَامَةِ </w:t>
      </w:r>
      <w:r w:rsidR="006C577F" w:rsidRPr="006C577F">
        <w:rPr>
          <w:rStyle w:val="libFootnotenumChar"/>
          <w:rtl/>
        </w:rPr>
        <w:t>(1)</w:t>
      </w:r>
      <w:r w:rsidRPr="00C9040A">
        <w:rPr>
          <w:rtl/>
          <w:lang w:bidi="fa-IR"/>
        </w:rPr>
        <w:t xml:space="preserve"> إِلى فُقَرَاءِ الْمُؤْمِنِينَ شَبِيهاً بِالْمُعْتَذِرِ إِلَيْهِمْ ، فَيَقُولُ : وَعِزَّتِي وَجَلَالِي </w:t>
      </w:r>
      <w:r w:rsidR="006C577F" w:rsidRPr="006C577F">
        <w:rPr>
          <w:rStyle w:val="libFootnotenumChar"/>
          <w:rtl/>
        </w:rPr>
        <w:t>(2)</w:t>
      </w:r>
      <w:r w:rsidRPr="00C9040A">
        <w:rPr>
          <w:rtl/>
          <w:lang w:bidi="fa-IR"/>
        </w:rPr>
        <w:t xml:space="preserve"> ، مَا أَفْقَرْتُكُمْ فِي الدُّنْيَا مِنْ هَوَانٍ بِكُمْ عَلَيَّ ، وَلَتَرَوُنَّ </w:t>
      </w:r>
      <w:r w:rsidR="006C577F" w:rsidRPr="006C577F">
        <w:rPr>
          <w:rStyle w:val="libFootnotenumChar"/>
          <w:rtl/>
        </w:rPr>
        <w:t>(3)</w:t>
      </w:r>
      <w:r w:rsidRPr="00C9040A">
        <w:rPr>
          <w:rtl/>
          <w:lang w:bidi="fa-IR"/>
        </w:rPr>
        <w:t xml:space="preserve"> مَا أَصْنَعُ </w:t>
      </w:r>
      <w:r w:rsidR="006C577F" w:rsidRPr="006C577F">
        <w:rPr>
          <w:rStyle w:val="libFootnotenumChar"/>
          <w:rtl/>
        </w:rPr>
        <w:t>(4)</w:t>
      </w:r>
      <w:r w:rsidRPr="00C9040A">
        <w:rPr>
          <w:rtl/>
          <w:lang w:bidi="fa-IR"/>
        </w:rPr>
        <w:t xml:space="preserve"> بِكُمُ الْيَوْمَ ، فَمَنْ زَوَّدَ أَحَداً </w:t>
      </w:r>
      <w:r w:rsidR="006C577F" w:rsidRPr="006C577F">
        <w:rPr>
          <w:rStyle w:val="libFootnotenumChar"/>
          <w:rtl/>
        </w:rPr>
        <w:t>(5)</w:t>
      </w:r>
      <w:r w:rsidRPr="00C9040A">
        <w:rPr>
          <w:rtl/>
          <w:lang w:bidi="fa-IR"/>
        </w:rPr>
        <w:t xml:space="preserve"> مِنْكُمْ فِي دَارِ الدُّنْيَا مَعْرُوفاً ، فَخُذُوا بِيَدِهِ ، فَأَدْخِلُوهُ </w:t>
      </w:r>
      <w:r w:rsidR="006C577F" w:rsidRPr="006C577F">
        <w:rPr>
          <w:rStyle w:val="libFootnotenumChar"/>
          <w:rtl/>
        </w:rPr>
        <w:t>(6)</w:t>
      </w:r>
      <w:r w:rsidRPr="005B567D">
        <w:rPr>
          <w:rStyle w:val="libFootnotenumChar"/>
          <w:rtl/>
        </w:rPr>
        <w:t xml:space="preserve"> </w:t>
      </w:r>
      <w:r w:rsidRPr="00C9040A">
        <w:rPr>
          <w:rtl/>
          <w:lang w:bidi="fa-IR"/>
        </w:rPr>
        <w:t>الْجَنَّةَ »</w:t>
      </w:r>
      <w:r>
        <w:rPr>
          <w:rtl/>
          <w:lang w:bidi="fa-IR"/>
        </w:rPr>
        <w:t>.</w:t>
      </w:r>
    </w:p>
    <w:p w:rsidR="008A74EB" w:rsidRPr="00C9040A" w:rsidRDefault="008A74EB" w:rsidP="008A74EB">
      <w:pPr>
        <w:pStyle w:val="libNormal"/>
        <w:rPr>
          <w:rtl/>
          <w:lang w:bidi="fa-IR"/>
        </w:rPr>
      </w:pPr>
      <w:r w:rsidRPr="00C9040A">
        <w:rPr>
          <w:rtl/>
          <w:lang w:bidi="fa-IR"/>
        </w:rPr>
        <w:t xml:space="preserve">قَالَ : « فَيَقُولُ رَجُلٌ مِنْهُمْ : يَا رَبِّ ، إِنَّ أَهْلَ الدُّنْيَا تَنَافَسُوا فِي دُنْيَاهُمْ ، فَنَكَحُوا النِّسَاءَ ، وَلَبِسُوا الثِّيَابَ اللَّيِّنَةَ ، وَأَكَلُوا الطَّعَامَ ، وَسَكَنُوا الدُّورَ ، وَرَكِبُوا الْمَشْهُورَ مِنَ الدَّوَابِّ ؛ فَأَعْطِنِي مِثْلَ مَا أَعْطَيْتَهُمْ ، فَيَقُولُ </w:t>
      </w:r>
      <w:r w:rsidR="006C577F" w:rsidRPr="006C577F">
        <w:rPr>
          <w:rStyle w:val="libFootnotenumChar"/>
          <w:rtl/>
        </w:rPr>
        <w:t>(7)</w:t>
      </w:r>
      <w:r w:rsidRPr="00C9040A">
        <w:rPr>
          <w:rtl/>
          <w:lang w:bidi="fa-IR"/>
        </w:rPr>
        <w:t xml:space="preserve"> تَبَارَكَ وَتَعَالى : لَكَ وَلِكُلِّ عَبْدٍ مِنْكُمْ مِثْلُ مَا أَعْطَيْتُ أَهْلَ الدُّنْيَا مُنْذُ كَانَتِ </w:t>
      </w:r>
      <w:r w:rsidR="006C577F" w:rsidRPr="006C577F">
        <w:rPr>
          <w:rStyle w:val="libFootnotenumChar"/>
          <w:rtl/>
        </w:rPr>
        <w:t>(8)</w:t>
      </w:r>
      <w:r w:rsidRPr="00C9040A">
        <w:rPr>
          <w:rtl/>
          <w:lang w:bidi="fa-IR"/>
        </w:rPr>
        <w:t xml:space="preserve"> الدُّنْيَا إِلى أَنِ انْقَضَتِ الدُّنْيَا سَبْعُونَ ضِعْفاً »</w:t>
      </w:r>
      <w:r>
        <w:rPr>
          <w:rtl/>
          <w:lang w:bidi="fa-IR"/>
        </w:rPr>
        <w:t>.</w:t>
      </w:r>
      <w:r w:rsidRPr="00C9040A">
        <w:rPr>
          <w:rtl/>
          <w:lang w:bidi="fa-IR"/>
        </w:rPr>
        <w:t xml:space="preserve"> </w:t>
      </w:r>
      <w:r w:rsidR="006C577F" w:rsidRPr="006C577F">
        <w:rPr>
          <w:rStyle w:val="libFootnotenumChar"/>
          <w:rtl/>
        </w:rPr>
        <w:t>(9)</w:t>
      </w:r>
      <w:r w:rsidRPr="00C9040A">
        <w:rPr>
          <w:rtl/>
          <w:lang w:bidi="fa-IR"/>
        </w:rPr>
        <w:t xml:space="preserve"> ‌</w:t>
      </w:r>
    </w:p>
    <w:p w:rsidR="008A74EB" w:rsidRPr="00C9040A" w:rsidRDefault="008A74EB" w:rsidP="008A74EB">
      <w:pPr>
        <w:pStyle w:val="libNormal"/>
        <w:rPr>
          <w:rtl/>
          <w:lang w:bidi="fa-IR"/>
        </w:rPr>
      </w:pPr>
      <w:r w:rsidRPr="007B030B">
        <w:rPr>
          <w:rtl/>
        </w:rPr>
        <w:t>2391</w:t>
      </w:r>
      <w:r w:rsidRPr="00261CB0">
        <w:rPr>
          <w:rStyle w:val="libBold2Char"/>
          <w:rtl/>
        </w:rPr>
        <w:t xml:space="preserve"> / 10.</w:t>
      </w:r>
      <w:r w:rsidRPr="00C9040A">
        <w:rPr>
          <w:rtl/>
          <w:lang w:bidi="fa-IR"/>
        </w:rPr>
        <w:t xml:space="preserve"> عِدَّةٌ مِنْ أَصْحَابِنَا ، عَنْ سَهْلِ بْنِ زِيَادٍ ، عَنْ إِبْرَاهِيمَ بْنِ عُقْبَةَ ، عَنْ إِسْمَاعِيلَ بْنِ سَهْلٍ وَإِسْمَاعِيلَ بْنِ عَبَّادٍ جَمِيعاً يَرْفَعَانِهِ :</w:t>
      </w:r>
    </w:p>
    <w:p w:rsidR="008A74EB" w:rsidRPr="00C9040A" w:rsidRDefault="008A74EB" w:rsidP="008A74EB">
      <w:pPr>
        <w:pStyle w:val="libNormal"/>
        <w:rPr>
          <w:rtl/>
          <w:lang w:bidi="fa-IR"/>
        </w:rPr>
      </w:pPr>
      <w:r w:rsidRPr="00C9040A">
        <w:rPr>
          <w:rtl/>
          <w:lang w:bidi="fa-IR"/>
        </w:rPr>
        <w:t xml:space="preserve">إِلى أَبِي عَبْدِ اللهِ </w:t>
      </w:r>
      <w:r w:rsidRPr="0003660B">
        <w:rPr>
          <w:rStyle w:val="libAlaemChar"/>
          <w:rtl/>
        </w:rPr>
        <w:t>عليه‌السلام</w:t>
      </w:r>
      <w:r w:rsidRPr="00C9040A">
        <w:rPr>
          <w:rtl/>
          <w:lang w:bidi="fa-IR"/>
        </w:rPr>
        <w:t xml:space="preserve"> ، قَالَ : « مَا كَانَ م</w:t>
      </w:r>
      <w:r w:rsidR="00620D92">
        <w:rPr>
          <w:rtl/>
          <w:lang w:bidi="fa-IR"/>
        </w:rPr>
        <w:t>ِنْ وُلْدِ آدَمَ مُؤْمِنٌ إِل</w:t>
      </w:r>
      <w:r w:rsidR="00620D92">
        <w:rPr>
          <w:rFonts w:hint="cs"/>
          <w:rtl/>
          <w:lang w:bidi="fa-IR"/>
        </w:rPr>
        <w:t>َّ</w:t>
      </w:r>
      <w:r w:rsidR="00620D92">
        <w:rPr>
          <w:rtl/>
          <w:lang w:bidi="fa-IR"/>
        </w:rPr>
        <w:t>ا فَقِيراً ، وَلَا كَافِرٌ إِل</w:t>
      </w:r>
      <w:r w:rsidR="00620D92">
        <w:rPr>
          <w:rFonts w:hint="cs"/>
          <w:rtl/>
          <w:lang w:bidi="fa-IR"/>
        </w:rPr>
        <w:t>َّ</w:t>
      </w:r>
      <w:r w:rsidR="00620D92">
        <w:rPr>
          <w:rtl/>
          <w:lang w:bidi="fa-IR"/>
        </w:rPr>
        <w:t>ا</w:t>
      </w:r>
      <w:r w:rsidRPr="00C9040A">
        <w:rPr>
          <w:rtl/>
          <w:lang w:bidi="fa-IR"/>
        </w:rPr>
        <w:t xml:space="preserve"> غَنِيّاً حَتّى جَاءَ إِبْرَاهِيمُ </w:t>
      </w:r>
      <w:r w:rsidRPr="0003660B">
        <w:rPr>
          <w:rStyle w:val="libAlaemChar"/>
          <w:rtl/>
        </w:rPr>
        <w:t>عليه‌السلام</w:t>
      </w:r>
      <w:r w:rsidRPr="00C9040A">
        <w:rPr>
          <w:rtl/>
          <w:lang w:bidi="fa-IR"/>
        </w:rPr>
        <w:t xml:space="preserve"> ، فَقَالَ : </w:t>
      </w:r>
      <w:r w:rsidRPr="0003660B">
        <w:rPr>
          <w:rStyle w:val="libAlaemChar"/>
          <w:rtl/>
        </w:rPr>
        <w:t>(</w:t>
      </w:r>
      <w:r w:rsidRPr="006A2246">
        <w:rPr>
          <w:rStyle w:val="libAieChar"/>
          <w:rtl/>
        </w:rPr>
        <w:t xml:space="preserve"> رَبَّنا ل</w:t>
      </w:r>
      <w:r w:rsidR="00620D92">
        <w:rPr>
          <w:rStyle w:val="libAieChar"/>
          <w:rFonts w:hint="cs"/>
          <w:rtl/>
        </w:rPr>
        <w:t>َ</w:t>
      </w:r>
      <w:r w:rsidRPr="006A2246">
        <w:rPr>
          <w:rStyle w:val="libAieChar"/>
          <w:rtl/>
        </w:rPr>
        <w:t xml:space="preserve">ا تَجْعَلْنا فِتْنَةً لِلَّذِينَ كَفَرُوا </w:t>
      </w:r>
      <w:r w:rsidRPr="0003660B">
        <w:rPr>
          <w:rStyle w:val="libAlaemChar"/>
          <w:rtl/>
        </w:rPr>
        <w:t>)</w:t>
      </w:r>
      <w:r w:rsidRPr="00C9040A">
        <w:rPr>
          <w:rtl/>
          <w:lang w:bidi="fa-IR"/>
        </w:rPr>
        <w:t xml:space="preserve"> </w:t>
      </w:r>
      <w:r w:rsidR="006C577F" w:rsidRPr="006C577F">
        <w:rPr>
          <w:rStyle w:val="libFootnotenumChar"/>
          <w:rtl/>
        </w:rPr>
        <w:t>(10)</w:t>
      </w:r>
      <w:r w:rsidRPr="00C9040A">
        <w:rPr>
          <w:rtl/>
          <w:lang w:bidi="fa-IR"/>
        </w:rPr>
        <w:t xml:space="preserve"> فَصَيَّرَ اللهُ فِي هؤُلَاءِ‌</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620D92" w:rsidTr="00620D92">
        <w:tc>
          <w:tcPr>
            <w:tcW w:w="4006" w:type="dxa"/>
          </w:tcPr>
          <w:p w:rsidR="00620D92" w:rsidRDefault="00620D92" w:rsidP="004A4E41">
            <w:pPr>
              <w:pStyle w:val="libFootnote0"/>
              <w:rPr>
                <w:rtl/>
              </w:rPr>
            </w:pPr>
            <w:r>
              <w:rPr>
                <w:rtl/>
              </w:rPr>
              <w:t xml:space="preserve">(1). </w:t>
            </w:r>
            <w:r w:rsidRPr="00C9040A">
              <w:rPr>
                <w:rtl/>
              </w:rPr>
              <w:t xml:space="preserve">في « </w:t>
            </w:r>
            <w:r>
              <w:rPr>
                <w:rtl/>
              </w:rPr>
              <w:t xml:space="preserve">ه </w:t>
            </w:r>
            <w:r w:rsidRPr="00C9040A">
              <w:rPr>
                <w:rtl/>
              </w:rPr>
              <w:t xml:space="preserve">» </w:t>
            </w:r>
            <w:r>
              <w:rPr>
                <w:rtl/>
              </w:rPr>
              <w:t>: -</w:t>
            </w:r>
            <w:r w:rsidRPr="00C9040A">
              <w:rPr>
                <w:rtl/>
              </w:rPr>
              <w:t xml:space="preserve"> « يوم القيامة »</w:t>
            </w:r>
            <w:r>
              <w:rPr>
                <w:rtl/>
              </w:rPr>
              <w:t>.</w:t>
            </w:r>
          </w:p>
        </w:tc>
        <w:tc>
          <w:tcPr>
            <w:tcW w:w="4006" w:type="dxa"/>
          </w:tcPr>
          <w:p w:rsidR="00620D92" w:rsidRDefault="00620D92" w:rsidP="004A4E41">
            <w:pPr>
              <w:pStyle w:val="libFootnote0"/>
              <w:rPr>
                <w:rtl/>
              </w:rPr>
            </w:pPr>
            <w:r>
              <w:rPr>
                <w:rtl/>
              </w:rPr>
              <w:t xml:space="preserve">(2). </w:t>
            </w:r>
            <w:r w:rsidRPr="00C9040A">
              <w:rPr>
                <w:rtl/>
              </w:rPr>
              <w:t xml:space="preserve">في « بر » والوافي </w:t>
            </w:r>
            <w:r>
              <w:rPr>
                <w:rtl/>
              </w:rPr>
              <w:t>: -</w:t>
            </w:r>
            <w:r w:rsidRPr="00C9040A">
              <w:rPr>
                <w:rtl/>
              </w:rPr>
              <w:t xml:space="preserve"> « وجلالي »</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في </w:t>
      </w:r>
      <w:r w:rsidR="008A74EB" w:rsidRPr="00993B55">
        <w:rPr>
          <w:rStyle w:val="libFootnoteBoldChar"/>
          <w:rtl/>
        </w:rPr>
        <w:t>مرآة العقول</w:t>
      </w:r>
      <w:r w:rsidR="008A74EB" w:rsidRPr="00C9040A">
        <w:rPr>
          <w:rtl/>
        </w:rPr>
        <w:t xml:space="preserve"> : « ولترون ، بسكون الواو وتخفيف النون ، أو بضمّ الواو وتشديد النون المؤكّد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w:t>
      </w:r>
      <w:r w:rsidR="008A74EB" w:rsidRPr="00993B55">
        <w:rPr>
          <w:rStyle w:val="libFootnoteBoldChar"/>
          <w:rtl/>
        </w:rPr>
        <w:t>مرآة العقول</w:t>
      </w:r>
      <w:r w:rsidR="008A74EB" w:rsidRPr="00C9040A">
        <w:rPr>
          <w:rtl/>
        </w:rPr>
        <w:t xml:space="preserve"> : « ما أصنع ، « ما » موصولة أو استفهاميّة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ب ، ج ، د ، ض ، </w:t>
      </w:r>
      <w:r w:rsidR="006D3162">
        <w:rPr>
          <w:rtl/>
        </w:rPr>
        <w:t xml:space="preserve">ه </w:t>
      </w:r>
      <w:r w:rsidR="008A74EB" w:rsidRPr="00C9040A">
        <w:rPr>
          <w:rtl/>
        </w:rPr>
        <w:t xml:space="preserve">، بر ، بس ، بف » وشرح المازندراني والوافي والبحار ، ج 7 </w:t>
      </w:r>
      <w:r w:rsidR="008A74EB">
        <w:rPr>
          <w:rtl/>
        </w:rPr>
        <w:t xml:space="preserve">: </w:t>
      </w:r>
      <w:r w:rsidR="0084262C">
        <w:rPr>
          <w:rtl/>
        </w:rPr>
        <w:t>-</w:t>
      </w:r>
      <w:r w:rsidR="008A74EB" w:rsidRPr="00C9040A">
        <w:rPr>
          <w:rtl/>
        </w:rPr>
        <w:t xml:space="preserve"> « أحداً »</w:t>
      </w:r>
      <w:r w:rsidR="008A74EB">
        <w:rPr>
          <w:rtl/>
        </w:rPr>
        <w:t>.</w:t>
      </w:r>
    </w:p>
    <w:tbl>
      <w:tblPr>
        <w:tblStyle w:val="TableGrid"/>
        <w:bidiVisual/>
        <w:tblW w:w="0" w:type="auto"/>
        <w:tblLook w:val="04A0" w:firstRow="1" w:lastRow="0" w:firstColumn="1" w:lastColumn="0" w:noHBand="0" w:noVBand="1"/>
      </w:tblPr>
      <w:tblGrid>
        <w:gridCol w:w="4006"/>
        <w:gridCol w:w="4006"/>
      </w:tblGrid>
      <w:tr w:rsidR="00620D92" w:rsidTr="00620D92">
        <w:tc>
          <w:tcPr>
            <w:tcW w:w="4006" w:type="dxa"/>
          </w:tcPr>
          <w:p w:rsidR="00620D92" w:rsidRDefault="00620D92" w:rsidP="004A4E41">
            <w:pPr>
              <w:pStyle w:val="libFootnote0"/>
              <w:rPr>
                <w:rtl/>
              </w:rPr>
            </w:pPr>
            <w:r>
              <w:rPr>
                <w:rtl/>
              </w:rPr>
              <w:t xml:space="preserve">(6). </w:t>
            </w:r>
            <w:r w:rsidRPr="00C9040A">
              <w:rPr>
                <w:rtl/>
              </w:rPr>
              <w:t>في « ب ، بس » : « وأدخلوه »</w:t>
            </w:r>
            <w:r>
              <w:rPr>
                <w:rtl/>
              </w:rPr>
              <w:t>.</w:t>
            </w:r>
          </w:p>
        </w:tc>
        <w:tc>
          <w:tcPr>
            <w:tcW w:w="4006" w:type="dxa"/>
          </w:tcPr>
          <w:p w:rsidR="00620D92" w:rsidRDefault="00620D92" w:rsidP="004A4E41">
            <w:pPr>
              <w:pStyle w:val="libFootnote0"/>
              <w:rPr>
                <w:rtl/>
              </w:rPr>
            </w:pPr>
            <w:r>
              <w:rPr>
                <w:rtl/>
              </w:rPr>
              <w:t>(7).</w:t>
            </w:r>
            <w:r w:rsidRPr="00C9040A">
              <w:rPr>
                <w:rtl/>
              </w:rPr>
              <w:t xml:space="preserve"> في الوافي : + « الله »</w:t>
            </w:r>
            <w:r>
              <w:rPr>
                <w:rtl/>
              </w:rPr>
              <w:t>.</w:t>
            </w:r>
          </w:p>
        </w:tc>
      </w:tr>
    </w:tbl>
    <w:p w:rsidR="008A74EB" w:rsidRPr="00C9040A" w:rsidRDefault="006C577F" w:rsidP="004A4E41">
      <w:pPr>
        <w:pStyle w:val="libFootnote0"/>
        <w:rPr>
          <w:rtl/>
          <w:lang w:bidi="fa-IR"/>
        </w:rPr>
      </w:pPr>
      <w:r>
        <w:rPr>
          <w:rtl/>
        </w:rPr>
        <w:t>(8).</w:t>
      </w:r>
      <w:r w:rsidR="008A74EB" w:rsidRPr="00C9040A">
        <w:rPr>
          <w:rtl/>
        </w:rPr>
        <w:t xml:space="preserve"> في « ج » : « كان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w:t>
      </w:r>
      <w:r w:rsidR="008A74EB" w:rsidRPr="00993B55">
        <w:rPr>
          <w:rStyle w:val="libFootnoteBoldChar"/>
          <w:rtl/>
        </w:rPr>
        <w:t>الوافي</w:t>
      </w:r>
      <w:r w:rsidR="008A74EB" w:rsidRPr="00C9040A">
        <w:rPr>
          <w:rtl/>
        </w:rPr>
        <w:t xml:space="preserve"> ، ج 5 ، ص 791 ، ح 3049 ؛ </w:t>
      </w:r>
      <w:r w:rsidR="008A74EB" w:rsidRPr="00993B55">
        <w:rPr>
          <w:rStyle w:val="libFootnoteBoldChar"/>
          <w:rtl/>
        </w:rPr>
        <w:t>البحار</w:t>
      </w:r>
      <w:r w:rsidR="008A74EB" w:rsidRPr="00C9040A">
        <w:rPr>
          <w:rtl/>
        </w:rPr>
        <w:t xml:space="preserve"> ، ج 7 ، ص 200 ، ح 77 ؛ وج 72 ، ص 11 ، ح 11.</w:t>
      </w:r>
    </w:p>
    <w:p w:rsidR="008A74EB" w:rsidRPr="00C9040A" w:rsidRDefault="006C577F" w:rsidP="004A4E41">
      <w:pPr>
        <w:pStyle w:val="libFootnote0"/>
        <w:rPr>
          <w:rtl/>
          <w:lang w:bidi="fa-IR"/>
        </w:rPr>
      </w:pPr>
      <w:r>
        <w:rPr>
          <w:rtl/>
        </w:rPr>
        <w:t>(10).</w:t>
      </w:r>
      <w:r w:rsidR="008A74EB" w:rsidRPr="00C9040A">
        <w:rPr>
          <w:rtl/>
        </w:rPr>
        <w:t xml:space="preserve"> الممتحنة (60) : 5. وهذا من تتمّة قول إبراهيم </w:t>
      </w:r>
      <w:r w:rsidR="00117575" w:rsidRPr="00117575">
        <w:rPr>
          <w:rStyle w:val="libFootnoteAlaemChar"/>
          <w:rtl/>
        </w:rPr>
        <w:t xml:space="preserve">عليه‌السلام </w:t>
      </w:r>
      <w:r w:rsidR="008A74EB" w:rsidRPr="00C9040A">
        <w:rPr>
          <w:rtl/>
        </w:rPr>
        <w:t>في سورة الممتحنة ، ومعناه : لاتعذّبنا بأيديهم ولا ببلاء من‌</w:t>
      </w:r>
      <w:r w:rsidR="00620D92">
        <w:rPr>
          <w:rFonts w:hint="cs"/>
          <w:rtl/>
        </w:rPr>
        <w:t xml:space="preserve"> </w:t>
      </w:r>
      <w:r w:rsidR="008A74EB" w:rsidRPr="00C9040A">
        <w:rPr>
          <w:rtl/>
        </w:rPr>
        <w:t xml:space="preserve">عندك فيقولوا : لو كان هؤلاء على الحقّ لما أصابهم هذا البلاء. والمعنى المستفاد من الخبر قريب من هذا ؛ لأنّ الفقر أيضاً بلاء يصير سبباً لافتتان الكفّار ، إمّا بأن يقولوا : لو كان هؤلاء على الحقّ لما ابتلوا بعموم الفقر فيهم ، أو بأن يفرّوا من الإسلام خوفاً من الفقر. راجع : </w:t>
      </w:r>
      <w:r w:rsidR="008A74EB" w:rsidRPr="00993B55">
        <w:rPr>
          <w:rStyle w:val="libFootnoteBoldChar"/>
          <w:rtl/>
        </w:rPr>
        <w:t>مرآة العقول</w:t>
      </w:r>
      <w:r w:rsidR="008A74EB" w:rsidRPr="00C9040A">
        <w:rPr>
          <w:rtl/>
        </w:rPr>
        <w:t xml:space="preserve"> ، ج 9 ، ص 362.</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أَمْوَالاً وَحَاجَةً ، وَفِي هؤُلَاءِ أَمْوَالاً وَحَاجَةً »</w:t>
      </w:r>
      <w:r>
        <w:rPr>
          <w:rtl/>
          <w:lang w:bidi="fa-IR"/>
        </w:rPr>
        <w:t>.</w:t>
      </w:r>
      <w:r w:rsidRPr="00C9040A">
        <w:rPr>
          <w:rtl/>
          <w:lang w:bidi="fa-IR"/>
        </w:rPr>
        <w:t xml:space="preserve"> </w:t>
      </w:r>
      <w:r w:rsidR="006C577F" w:rsidRPr="006C577F">
        <w:rPr>
          <w:rStyle w:val="libFootnotenumChar"/>
          <w:rtl/>
        </w:rPr>
        <w:t>(1)</w:t>
      </w:r>
      <w:r w:rsidRPr="00C9040A">
        <w:rPr>
          <w:rtl/>
          <w:lang w:bidi="fa-IR"/>
        </w:rPr>
        <w:t xml:space="preserve"> ‌</w:t>
      </w:r>
    </w:p>
    <w:p w:rsidR="008A74EB" w:rsidRPr="00C9040A" w:rsidRDefault="008A74EB" w:rsidP="008A74EB">
      <w:pPr>
        <w:pStyle w:val="libNormal"/>
        <w:rPr>
          <w:rtl/>
          <w:lang w:bidi="fa-IR"/>
        </w:rPr>
      </w:pPr>
      <w:r w:rsidRPr="007B030B">
        <w:rPr>
          <w:rtl/>
        </w:rPr>
        <w:t>2392</w:t>
      </w:r>
      <w:r w:rsidRPr="00261CB0">
        <w:rPr>
          <w:rStyle w:val="libBold2Char"/>
          <w:rtl/>
        </w:rPr>
        <w:t xml:space="preserve"> / 11.</w:t>
      </w:r>
      <w:r w:rsidRPr="00C9040A">
        <w:rPr>
          <w:rtl/>
          <w:lang w:bidi="fa-IR"/>
        </w:rPr>
        <w:t xml:space="preserve"> عِدَّةٌ مِنْ أَصْحَابِنَا ، عَنْ أَحْمَدَ بْنِ مُحَمَّدِ بْنِ خَالِدٍ ، عَنْ عُثْمَانَ بْنِ عِيسى ، عَمَّنْ ذَكَرَهُ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جَاءَ رَجُلٌ مُوسِرٌ إِلى رَسُولِ اللهِ </w:t>
      </w:r>
      <w:r w:rsidR="006C577F" w:rsidRPr="006C577F">
        <w:rPr>
          <w:rStyle w:val="libFootnotenumChar"/>
          <w:rtl/>
        </w:rPr>
        <w:t>(2)</w:t>
      </w:r>
      <w:r w:rsidRPr="00C9040A">
        <w:rPr>
          <w:rtl/>
          <w:lang w:bidi="fa-IR"/>
        </w:rPr>
        <w:t xml:space="preserve"> </w:t>
      </w:r>
      <w:r w:rsidR="004A4E41" w:rsidRPr="004A4E41">
        <w:rPr>
          <w:rStyle w:val="libAlaemChar"/>
          <w:rtl/>
        </w:rPr>
        <w:t>صلى‌الله‌عليه‌وآله</w:t>
      </w:r>
      <w:r w:rsidRPr="00C9040A">
        <w:rPr>
          <w:rtl/>
          <w:lang w:bidi="fa-IR"/>
        </w:rPr>
        <w:t xml:space="preserve"> نَقِيُّ الثَّوْبِ ، فَجَلَسَ إِلى </w:t>
      </w:r>
      <w:r w:rsidR="006C577F" w:rsidRPr="006C577F">
        <w:rPr>
          <w:rStyle w:val="libFootnotenumChar"/>
          <w:rtl/>
        </w:rPr>
        <w:t>(3)</w:t>
      </w:r>
      <w:r w:rsidRPr="00C9040A">
        <w:rPr>
          <w:rtl/>
          <w:lang w:bidi="fa-IR"/>
        </w:rPr>
        <w:t xml:space="preserve"> رَسُولِ اللهِ </w:t>
      </w:r>
      <w:r w:rsidR="004A4E41" w:rsidRPr="004A4E41">
        <w:rPr>
          <w:rStyle w:val="libAlaemChar"/>
          <w:rtl/>
        </w:rPr>
        <w:t>صلى‌الله‌عليه‌وآله</w:t>
      </w:r>
      <w:r w:rsidRPr="00C9040A">
        <w:rPr>
          <w:rtl/>
          <w:lang w:bidi="fa-IR"/>
        </w:rPr>
        <w:t xml:space="preserve"> ، فَجَاءَ رَجُلٌ مُعْسِرٌ دَرِنُ </w:t>
      </w:r>
      <w:r w:rsidR="006C577F" w:rsidRPr="006C577F">
        <w:rPr>
          <w:rStyle w:val="libFootnotenumChar"/>
          <w:rtl/>
        </w:rPr>
        <w:t>(4)</w:t>
      </w:r>
      <w:r w:rsidRPr="00C9040A">
        <w:rPr>
          <w:rtl/>
          <w:lang w:bidi="fa-IR"/>
        </w:rPr>
        <w:t xml:space="preserve"> الثَّوْبِ ، فَجَلَسَ إِلى </w:t>
      </w:r>
      <w:r w:rsidR="006C577F" w:rsidRPr="006C577F">
        <w:rPr>
          <w:rStyle w:val="libFootnotenumChar"/>
          <w:rtl/>
        </w:rPr>
        <w:t>(5)</w:t>
      </w:r>
      <w:r w:rsidRPr="00C9040A">
        <w:rPr>
          <w:rtl/>
          <w:lang w:bidi="fa-IR"/>
        </w:rPr>
        <w:t xml:space="preserve"> جَنْبِ </w:t>
      </w:r>
      <w:r w:rsidR="006C577F" w:rsidRPr="006C577F">
        <w:rPr>
          <w:rStyle w:val="libFootnotenumChar"/>
          <w:rtl/>
        </w:rPr>
        <w:t>(6)</w:t>
      </w:r>
      <w:r w:rsidRPr="005B567D">
        <w:rPr>
          <w:rStyle w:val="libFootnotenumChar"/>
          <w:rtl/>
        </w:rPr>
        <w:t xml:space="preserve"> </w:t>
      </w:r>
      <w:r w:rsidRPr="00C9040A">
        <w:rPr>
          <w:rtl/>
          <w:lang w:bidi="fa-IR"/>
        </w:rPr>
        <w:t xml:space="preserve">الْمُوسِرِ ، فَقَبَضَ الْمُوسِرُ ثِيَابَهُ </w:t>
      </w:r>
      <w:r w:rsidR="006C577F" w:rsidRPr="006C577F">
        <w:rPr>
          <w:rStyle w:val="libFootnotenumChar"/>
          <w:rtl/>
        </w:rPr>
        <w:t>(7)</w:t>
      </w:r>
      <w:r w:rsidRPr="00C9040A">
        <w:rPr>
          <w:rtl/>
          <w:lang w:bidi="fa-IR"/>
        </w:rPr>
        <w:t xml:space="preserve"> مِنْ تَحْتِ فَخِذَيْهِ </w:t>
      </w:r>
      <w:r w:rsidR="006C577F" w:rsidRPr="006C577F">
        <w:rPr>
          <w:rStyle w:val="libFootnotenumChar"/>
          <w:rtl/>
        </w:rPr>
        <w:t>(8)</w:t>
      </w:r>
      <w:r w:rsidRPr="00C9040A">
        <w:rPr>
          <w:rtl/>
          <w:lang w:bidi="fa-IR"/>
        </w:rPr>
        <w:t xml:space="preserve"> ، فَقَالَ لَهُ </w:t>
      </w:r>
      <w:r w:rsidR="006C577F" w:rsidRPr="006C577F">
        <w:rPr>
          <w:rStyle w:val="libFootnotenumChar"/>
          <w:rtl/>
        </w:rPr>
        <w:t>(9)</w:t>
      </w:r>
      <w:r w:rsidRPr="00C9040A">
        <w:rPr>
          <w:rtl/>
          <w:lang w:bidi="fa-IR"/>
        </w:rPr>
        <w:t xml:space="preserve"> رَسُولُ اللهِ </w:t>
      </w:r>
      <w:r w:rsidR="004A4E41" w:rsidRPr="004A4E41">
        <w:rPr>
          <w:rStyle w:val="libAlaemChar"/>
          <w:rtl/>
        </w:rPr>
        <w:t>صلى‌الله‌عليه‌وآله</w:t>
      </w:r>
      <w:r>
        <w:rPr>
          <w:rtl/>
          <w:lang w:bidi="fa-IR"/>
        </w:rPr>
        <w:t xml:space="preserve"> : أَ</w:t>
      </w:r>
      <w:r w:rsidRPr="00C9040A">
        <w:rPr>
          <w:rtl/>
          <w:lang w:bidi="fa-IR"/>
        </w:rPr>
        <w:t>خِفْتَ‌</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993B55">
        <w:rPr>
          <w:rStyle w:val="libFootnoteBoldChar"/>
          <w:rtl/>
        </w:rPr>
        <w:t>الوافي</w:t>
      </w:r>
      <w:r w:rsidR="008A74EB" w:rsidRPr="00C9040A">
        <w:rPr>
          <w:rtl/>
        </w:rPr>
        <w:t xml:space="preserve"> ، ج 5 ، ص 786 ، ح 3040 ؛ </w:t>
      </w:r>
      <w:r w:rsidR="008A74EB" w:rsidRPr="00993B55">
        <w:rPr>
          <w:rStyle w:val="libFootnoteBoldChar"/>
          <w:rtl/>
        </w:rPr>
        <w:t>البحار</w:t>
      </w:r>
      <w:r w:rsidR="008A74EB" w:rsidRPr="00C9040A">
        <w:rPr>
          <w:rtl/>
        </w:rPr>
        <w:t xml:space="preserve"> ، ج 72 ، ص 12 ، ح 12.</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ج » : « النبيّ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قال الشيخ البهائي في أربعينه ، ص 364 ، ذيل ح 29 : « إلى ، إمّا بمعنى مع ، كما قال بعض المفسّرين في قوله</w:t>
      </w:r>
      <w:r w:rsidR="0026622D">
        <w:rPr>
          <w:rFonts w:hint="cs"/>
          <w:rtl/>
        </w:rPr>
        <w:t xml:space="preserve"> </w:t>
      </w:r>
      <w:r w:rsidR="008A74EB" w:rsidRPr="00C9040A">
        <w:rPr>
          <w:rtl/>
        </w:rPr>
        <w:t xml:space="preserve">‌تعالى : </w:t>
      </w:r>
      <w:r w:rsidR="008A74EB" w:rsidRPr="0026622D">
        <w:rPr>
          <w:rStyle w:val="libFootnoteAlaemChar"/>
          <w:rtl/>
        </w:rPr>
        <w:t>(</w:t>
      </w:r>
      <w:r w:rsidR="008A74EB" w:rsidRPr="00883DD5">
        <w:rPr>
          <w:rStyle w:val="libFootnoteAieChar"/>
          <w:rFonts w:hint="cs"/>
          <w:rtl/>
        </w:rPr>
        <w:t xml:space="preserve"> </w:t>
      </w:r>
      <w:r w:rsidR="008A74EB" w:rsidRPr="00883DD5">
        <w:rPr>
          <w:rStyle w:val="libFootnoteAieChar"/>
          <w:rtl/>
        </w:rPr>
        <w:t>مَنْ أَنْص</w:t>
      </w:r>
      <w:r w:rsidR="0026622D">
        <w:rPr>
          <w:rStyle w:val="libFootnoteAieChar"/>
          <w:rFonts w:hint="cs"/>
          <w:rtl/>
        </w:rPr>
        <w:t>َ</w:t>
      </w:r>
      <w:r w:rsidR="008A74EB" w:rsidRPr="00883DD5">
        <w:rPr>
          <w:rStyle w:val="libFootnoteAieChar"/>
          <w:rtl/>
        </w:rPr>
        <w:t>ارِي إِلَى اللهِ</w:t>
      </w:r>
      <w:r w:rsidR="008A74EB" w:rsidRPr="00883DD5">
        <w:rPr>
          <w:rStyle w:val="libFootnoteAieChar"/>
          <w:rFonts w:hint="cs"/>
          <w:rtl/>
        </w:rPr>
        <w:t xml:space="preserve"> </w:t>
      </w:r>
      <w:r w:rsidR="008A74EB" w:rsidRPr="0026622D">
        <w:rPr>
          <w:rStyle w:val="libFootnoteAlaemChar"/>
          <w:rtl/>
        </w:rPr>
        <w:t>)</w:t>
      </w:r>
      <w:r w:rsidR="008A74EB" w:rsidRPr="00C9040A">
        <w:rPr>
          <w:rtl/>
        </w:rPr>
        <w:t xml:space="preserve"> [ آل عمران </w:t>
      </w:r>
      <w:r w:rsidR="0026622D">
        <w:rPr>
          <w:rtl/>
        </w:rPr>
        <w:t>(3)</w:t>
      </w:r>
      <w:r w:rsidR="008A74EB" w:rsidRPr="00C9040A">
        <w:rPr>
          <w:rtl/>
        </w:rPr>
        <w:t xml:space="preserve"> : 52 ؛ الصفّ (61) : 14 ] ، أو بمعنى « عند » ، كما في قول الشاعر : أشهى إليّ من الرحيق السلسل. ويجوز أن يضمّن « جلس » معنى توجّه ونحوه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w:t>
      </w:r>
      <w:r w:rsidR="006D3162">
        <w:rPr>
          <w:rtl/>
        </w:rPr>
        <w:t xml:space="preserve">ه </w:t>
      </w:r>
      <w:r w:rsidR="008A74EB" w:rsidRPr="00C9040A">
        <w:rPr>
          <w:rtl/>
        </w:rPr>
        <w:t>» : « دنس »</w:t>
      </w:r>
      <w:r w:rsidR="008A74EB">
        <w:rPr>
          <w:rtl/>
        </w:rPr>
        <w:t>.</w:t>
      </w:r>
      <w:r w:rsidR="008A74EB" w:rsidRPr="00C9040A">
        <w:rPr>
          <w:rtl/>
        </w:rPr>
        <w:t xml:space="preserve"> </w:t>
      </w:r>
      <w:r w:rsidR="008A74EB">
        <w:rPr>
          <w:rtl/>
        </w:rPr>
        <w:t>و «</w:t>
      </w:r>
      <w:r w:rsidR="008A74EB" w:rsidRPr="00C9040A">
        <w:rPr>
          <w:rtl/>
        </w:rPr>
        <w:t xml:space="preserve"> الدَّرَن » : الوسخ. </w:t>
      </w:r>
      <w:r w:rsidR="008A74EB" w:rsidRPr="00993B55">
        <w:rPr>
          <w:rStyle w:val="libFootnoteBoldChar"/>
          <w:rtl/>
        </w:rPr>
        <w:t>النهاية</w:t>
      </w:r>
      <w:r w:rsidR="008A74EB" w:rsidRPr="00C9040A">
        <w:rPr>
          <w:rtl/>
        </w:rPr>
        <w:t xml:space="preserve"> ، ج 2 ، ص 115 ( درن )</w:t>
      </w:r>
      <w:r w:rsidR="008A74EB">
        <w:rPr>
          <w:rtl/>
        </w:rPr>
        <w:t>.</w:t>
      </w:r>
    </w:p>
    <w:p w:rsidR="008A74EB" w:rsidRPr="00C9040A" w:rsidRDefault="006C577F" w:rsidP="0026622D">
      <w:pPr>
        <w:pStyle w:val="libFootnote0"/>
        <w:rPr>
          <w:rtl/>
          <w:lang w:bidi="fa-IR"/>
        </w:rPr>
      </w:pPr>
      <w:r>
        <w:rPr>
          <w:rtl/>
        </w:rPr>
        <w:t>(5).</w:t>
      </w:r>
      <w:r w:rsidR="008A74EB" w:rsidRPr="00C9040A">
        <w:rPr>
          <w:rtl/>
        </w:rPr>
        <w:t xml:space="preserve"> في « </w:t>
      </w:r>
      <w:r w:rsidR="006D3162">
        <w:rPr>
          <w:rtl/>
        </w:rPr>
        <w:t xml:space="preserve">ه </w:t>
      </w:r>
      <w:r w:rsidR="008A74EB" w:rsidRPr="00C9040A">
        <w:rPr>
          <w:rtl/>
        </w:rPr>
        <w:t xml:space="preserve">، بف » : + « جنب رسول الله </w:t>
      </w:r>
      <w:r w:rsidR="0026622D" w:rsidRPr="0026622D">
        <w:rPr>
          <w:rStyle w:val="libFootnoteAlaemChar"/>
          <w:rFonts w:eastAsiaTheme="minorHAnsi"/>
          <w:rtl/>
        </w:rPr>
        <w:t>صلى‌الله‌عليه‌وآله‌وسلم</w:t>
      </w:r>
      <w:r w:rsidR="008A74EB" w:rsidRPr="00C9040A">
        <w:rPr>
          <w:rtl/>
        </w:rPr>
        <w:t xml:space="preserve">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 </w:t>
      </w:r>
      <w:r w:rsidR="006D3162">
        <w:rPr>
          <w:rtl/>
        </w:rPr>
        <w:t xml:space="preserve">ه </w:t>
      </w:r>
      <w:r w:rsidR="008A74EB" w:rsidRPr="00C9040A">
        <w:rPr>
          <w:rtl/>
        </w:rPr>
        <w:t>» : « بجنب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w:t>
      </w:r>
      <w:r w:rsidR="006D3162">
        <w:rPr>
          <w:rtl/>
        </w:rPr>
        <w:t xml:space="preserve">ه </w:t>
      </w:r>
      <w:r w:rsidR="008A74EB" w:rsidRPr="00C9040A">
        <w:rPr>
          <w:rtl/>
        </w:rPr>
        <w:t>» : + « إليه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w:t>
      </w:r>
      <w:r w:rsidR="008A74EB" w:rsidRPr="00993B55">
        <w:rPr>
          <w:rStyle w:val="libFootnoteBoldChar"/>
          <w:rtl/>
        </w:rPr>
        <w:t>مرآة العقول</w:t>
      </w:r>
      <w:r w:rsidR="008A74EB" w:rsidRPr="00C9040A">
        <w:rPr>
          <w:rtl/>
        </w:rPr>
        <w:t xml:space="preserve"> ، ج 9 ، ص 363 : « قال الشيخ المتقدّم</w:t>
      </w:r>
      <w:r w:rsidR="008A74EB">
        <w:rPr>
          <w:rtl/>
        </w:rPr>
        <w:t xml:space="preserve"> </w:t>
      </w:r>
      <w:r w:rsidR="0084262C">
        <w:rPr>
          <w:rtl/>
        </w:rPr>
        <w:t>-</w:t>
      </w:r>
      <w:r w:rsidR="008A74EB">
        <w:rPr>
          <w:rtl/>
        </w:rPr>
        <w:t xml:space="preserve"> </w:t>
      </w:r>
      <w:r w:rsidR="008A74EB" w:rsidRPr="00C9040A">
        <w:rPr>
          <w:rtl/>
        </w:rPr>
        <w:t>أي الشيخ البهائي</w:t>
      </w:r>
      <w:r w:rsidR="008A74EB">
        <w:rPr>
          <w:rtl/>
        </w:rPr>
        <w:t xml:space="preserve"> </w:t>
      </w:r>
      <w:r w:rsidR="0084262C">
        <w:rPr>
          <w:rtl/>
        </w:rPr>
        <w:t>-</w:t>
      </w:r>
      <w:r w:rsidR="008A74EB">
        <w:rPr>
          <w:rtl/>
        </w:rPr>
        <w:t xml:space="preserve"> </w:t>
      </w:r>
      <w:r w:rsidR="00117575" w:rsidRPr="00117575">
        <w:rPr>
          <w:rStyle w:val="libFootnoteAlaemChar"/>
          <w:rtl/>
        </w:rPr>
        <w:t>رحمه‌الله</w:t>
      </w:r>
      <w:r w:rsidR="008A74EB" w:rsidRPr="00C9040A">
        <w:rPr>
          <w:rtl/>
        </w:rPr>
        <w:t xml:space="preserve"> : ضمير « فخذيه » يعود إلى الموسر ، أي جمع الموسر ثي</w:t>
      </w:r>
      <w:r w:rsidR="0026622D">
        <w:rPr>
          <w:rtl/>
        </w:rPr>
        <w:t>ابه وضمّها تحت فخذي نفسه ؛ لئل</w:t>
      </w:r>
      <w:r w:rsidR="0026622D">
        <w:rPr>
          <w:rFonts w:hint="cs"/>
          <w:rtl/>
        </w:rPr>
        <w:t>ّ</w:t>
      </w:r>
      <w:r w:rsidR="0026622D">
        <w:rPr>
          <w:rtl/>
        </w:rPr>
        <w:t>ا</w:t>
      </w:r>
      <w:r w:rsidR="008A74EB" w:rsidRPr="00C9040A">
        <w:rPr>
          <w:rtl/>
        </w:rPr>
        <w:t xml:space="preserve"> تلاصق ثياب المعسر. ويحتمل عوده إلى المعسر. </w:t>
      </w:r>
      <w:r w:rsidR="008A74EB">
        <w:rPr>
          <w:rtl/>
        </w:rPr>
        <w:t>و «</w:t>
      </w:r>
      <w:r w:rsidR="008A74EB" w:rsidRPr="00C9040A">
        <w:rPr>
          <w:rtl/>
        </w:rPr>
        <w:t xml:space="preserve"> من » على الأوّل إمّا بمعنى « في » ، أو زائدة على القول بجواز زيادتها في الإثبات ؛ وعلى الثاني لابتداء الغاية. والعود إلى الموسر أولى ، كما يرشد إليه قوله </w:t>
      </w:r>
      <w:r w:rsidR="00117575" w:rsidRPr="00117575">
        <w:rPr>
          <w:rStyle w:val="libFootnoteAlaemChar"/>
          <w:rtl/>
        </w:rPr>
        <w:t>عليه‌السلام</w:t>
      </w:r>
      <w:r w:rsidR="0026622D">
        <w:rPr>
          <w:rStyle w:val="libFootnoteAlaemChar"/>
          <w:rFonts w:hint="cs"/>
          <w:rtl/>
        </w:rPr>
        <w:t xml:space="preserve"> </w:t>
      </w:r>
      <w:r w:rsidR="008A74EB" w:rsidRPr="00C9040A">
        <w:rPr>
          <w:rtl/>
        </w:rPr>
        <w:t xml:space="preserve">: « فخفت أن يوسّخ ثيابك » ؛ لأنّ قوله </w:t>
      </w:r>
      <w:r w:rsidR="00117575" w:rsidRPr="00117575">
        <w:rPr>
          <w:rStyle w:val="libFootnoteAlaemChar"/>
          <w:rtl/>
        </w:rPr>
        <w:t xml:space="preserve">عليه‌السلام </w:t>
      </w:r>
      <w:r w:rsidR="008A74EB" w:rsidRPr="00C9040A">
        <w:rPr>
          <w:rtl/>
        </w:rPr>
        <w:t>: فخفت أن يوسّخ ثيابك ، الغرض منه مجرّد التقريع للموسر ، كما هو الغرض من التقريعين السابقين ؛ أعني قوله : خفت أن يمسّك من فقره شي‌ء ؛ خفت أن يصيبه من غناك شي‌ء ، وهذه التقريعات الثلاث منخرطة في سلك واحد. ولو كان ثياب الموسر تحت فخذي المعسر لأمكن أن يكون قبضها من تحت فخذيه خوفاً من أن يوسّخها.</w:t>
      </w:r>
    </w:p>
    <w:p w:rsidR="008A74EB" w:rsidRPr="00C9040A" w:rsidRDefault="008A74EB" w:rsidP="008A74EB">
      <w:pPr>
        <w:pStyle w:val="libNormal"/>
        <w:rPr>
          <w:rtl/>
          <w:lang w:bidi="fa-IR"/>
        </w:rPr>
      </w:pPr>
      <w:r w:rsidRPr="00323A39">
        <w:rPr>
          <w:rStyle w:val="libFootnote0Char"/>
          <w:rtl/>
        </w:rPr>
        <w:t xml:space="preserve">أقول : ما ذكره </w:t>
      </w:r>
      <w:r w:rsidRPr="0026622D">
        <w:rPr>
          <w:rStyle w:val="libFootnoteAlaemChar"/>
          <w:rtl/>
        </w:rPr>
        <w:t>قدس‌سره</w:t>
      </w:r>
      <w:r w:rsidRPr="00323A39">
        <w:rPr>
          <w:rStyle w:val="libFootnote0Char"/>
          <w:rtl/>
        </w:rPr>
        <w:t xml:space="preserve"> وإن كان التقريع فيه أظهر وبالأوّلين أنسب ، لكن لايصير هذا مجوّزاً لارتكاب بعض التكلّفات ؛ إذ يمكن أن يكون التقريع لأنّ سراية الوسخ في الملاصقة في المدّة القليلة نادرة ، أو لأنّ هذه مفسدة قليلة لايحسن لأجلها ارتكاب إيذاء المؤمن ». وراجع أيضاً : </w:t>
      </w:r>
      <w:r w:rsidRPr="00993B55">
        <w:rPr>
          <w:rStyle w:val="libFootnoteBoldChar"/>
          <w:rtl/>
        </w:rPr>
        <w:t>الأربعون</w:t>
      </w:r>
      <w:r w:rsidRPr="0026622D">
        <w:rPr>
          <w:rStyle w:val="libFootnoteBoldChar"/>
          <w:rtl/>
        </w:rPr>
        <w:t xml:space="preserve"> حديثاً</w:t>
      </w:r>
      <w:r w:rsidRPr="00323A39">
        <w:rPr>
          <w:rStyle w:val="libFootnote0Char"/>
          <w:rtl/>
        </w:rPr>
        <w:t xml:space="preserve"> للشيخ البهائي ، ص 364 ، ذيل ح 29.</w:t>
      </w:r>
    </w:p>
    <w:p w:rsidR="008A74EB" w:rsidRPr="00C9040A" w:rsidRDefault="006C577F" w:rsidP="004A4E41">
      <w:pPr>
        <w:pStyle w:val="libFootnote0"/>
        <w:rPr>
          <w:rtl/>
          <w:lang w:bidi="fa-IR"/>
        </w:rPr>
      </w:pPr>
      <w:r>
        <w:rPr>
          <w:rtl/>
        </w:rPr>
        <w:t>(9).</w:t>
      </w:r>
      <w:r w:rsidR="008A74EB" w:rsidRPr="00C9040A">
        <w:rPr>
          <w:rtl/>
        </w:rPr>
        <w:t xml:space="preserve"> في البحار ، ج 22 </w:t>
      </w:r>
      <w:r w:rsidR="008A74EB">
        <w:rPr>
          <w:rtl/>
        </w:rPr>
        <w:t xml:space="preserve">: </w:t>
      </w:r>
      <w:r w:rsidR="0084262C">
        <w:rPr>
          <w:rtl/>
        </w:rPr>
        <w:t>-</w:t>
      </w:r>
      <w:r w:rsidR="008A74EB" w:rsidRPr="00C9040A">
        <w:rPr>
          <w:rtl/>
        </w:rPr>
        <w:t xml:space="preserve"> « له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أَنْ يَمَسَّكَ </w:t>
      </w:r>
      <w:r w:rsidR="006C577F" w:rsidRPr="006C577F">
        <w:rPr>
          <w:rStyle w:val="libFootnotenumChar"/>
          <w:rtl/>
        </w:rPr>
        <w:t>(1)</w:t>
      </w:r>
      <w:r w:rsidRPr="00C9040A">
        <w:rPr>
          <w:rtl/>
          <w:lang w:bidi="fa-IR"/>
        </w:rPr>
        <w:t xml:space="preserve"> مِنْ فَقْرِهِ شَيْ‌ءٌ</w:t>
      </w:r>
      <w:r>
        <w:rPr>
          <w:rtl/>
          <w:lang w:bidi="fa-IR"/>
        </w:rPr>
        <w:t>؟</w:t>
      </w:r>
      <w:r w:rsidRPr="00C9040A">
        <w:rPr>
          <w:rtl/>
          <w:lang w:bidi="fa-IR"/>
        </w:rPr>
        <w:t xml:space="preserve"> قَالَ : لَا ، قَالَ </w:t>
      </w:r>
      <w:r w:rsidR="006C577F" w:rsidRPr="006C577F">
        <w:rPr>
          <w:rStyle w:val="libFootnotenumChar"/>
          <w:rtl/>
        </w:rPr>
        <w:t>(2)</w:t>
      </w:r>
      <w:r w:rsidRPr="00C9040A">
        <w:rPr>
          <w:rtl/>
          <w:lang w:bidi="fa-IR"/>
        </w:rPr>
        <w:t xml:space="preserve"> : فَخِفْتَ </w:t>
      </w:r>
      <w:r w:rsidR="006C577F" w:rsidRPr="006C577F">
        <w:rPr>
          <w:rStyle w:val="libFootnotenumChar"/>
          <w:rtl/>
        </w:rPr>
        <w:t>(3)</w:t>
      </w:r>
      <w:r w:rsidRPr="00C9040A">
        <w:rPr>
          <w:rtl/>
          <w:lang w:bidi="fa-IR"/>
        </w:rPr>
        <w:t xml:space="preserve"> أَنْ يُصِيبَهُ مِنْ غِنَاكَ شَيْ‌ءٌ</w:t>
      </w:r>
      <w:r>
        <w:rPr>
          <w:rtl/>
          <w:lang w:bidi="fa-IR"/>
        </w:rPr>
        <w:t>؟</w:t>
      </w:r>
      <w:r w:rsidRPr="00C9040A">
        <w:rPr>
          <w:rtl/>
          <w:lang w:bidi="fa-IR"/>
        </w:rPr>
        <w:t xml:space="preserve"> قَالَ :</w:t>
      </w:r>
      <w:r>
        <w:rPr>
          <w:rFonts w:hint="cs"/>
          <w:rtl/>
          <w:lang w:bidi="fa-IR"/>
        </w:rPr>
        <w:t xml:space="preserve"> </w:t>
      </w:r>
      <w:r w:rsidRPr="00C9040A">
        <w:rPr>
          <w:rtl/>
          <w:lang w:bidi="fa-IR"/>
        </w:rPr>
        <w:t xml:space="preserve">لَا ، قَالَ : فَخِفْتَ أَنْ يُوَسِّخَ </w:t>
      </w:r>
      <w:r w:rsidR="006C577F" w:rsidRPr="006C577F">
        <w:rPr>
          <w:rStyle w:val="libFootnotenumChar"/>
          <w:rtl/>
        </w:rPr>
        <w:t>(4)</w:t>
      </w:r>
      <w:r w:rsidRPr="00C9040A">
        <w:rPr>
          <w:rtl/>
          <w:lang w:bidi="fa-IR"/>
        </w:rPr>
        <w:t xml:space="preserve"> ثِيَابَكَ</w:t>
      </w:r>
      <w:r>
        <w:rPr>
          <w:rtl/>
          <w:lang w:bidi="fa-IR"/>
        </w:rPr>
        <w:t>؟</w:t>
      </w:r>
      <w:r w:rsidRPr="00C9040A">
        <w:rPr>
          <w:rtl/>
          <w:lang w:bidi="fa-IR"/>
        </w:rPr>
        <w:t xml:space="preserve"> قَالَ : لَا ، قَالَ : فَمَا حَمَلَكَ عَلى مَا صَنَعْتَ</w:t>
      </w:r>
      <w:r>
        <w:rPr>
          <w:rtl/>
          <w:lang w:bidi="fa-IR"/>
        </w:rPr>
        <w:t>؟</w:t>
      </w:r>
    </w:p>
    <w:p w:rsidR="008A74EB" w:rsidRPr="00C9040A" w:rsidRDefault="008A74EB" w:rsidP="008A74EB">
      <w:pPr>
        <w:pStyle w:val="libNormal"/>
        <w:rPr>
          <w:rtl/>
          <w:lang w:bidi="fa-IR"/>
        </w:rPr>
      </w:pPr>
      <w:r w:rsidRPr="00C9040A">
        <w:rPr>
          <w:rtl/>
          <w:lang w:bidi="fa-IR"/>
        </w:rPr>
        <w:t xml:space="preserve">فَقَالَ : يَا رَسُولَ اللهِ ، إِنَّ لِي قَرِيناً </w:t>
      </w:r>
      <w:r w:rsidR="006C577F" w:rsidRPr="006C577F">
        <w:rPr>
          <w:rStyle w:val="libFootnotenumChar"/>
          <w:rtl/>
        </w:rPr>
        <w:t>(5)</w:t>
      </w:r>
      <w:r w:rsidRPr="00C9040A">
        <w:rPr>
          <w:rtl/>
          <w:lang w:bidi="fa-IR"/>
        </w:rPr>
        <w:t xml:space="preserve"> يُزَيِّنُ لِي كُلَّ قَبِيحٍ ، وَيُقَبِّحُ لِي كُلَّ حَسَنٍ ، وَقَدْ </w:t>
      </w:r>
      <w:r w:rsidR="006C577F" w:rsidRPr="006C577F">
        <w:rPr>
          <w:rStyle w:val="libFootnotenumChar"/>
          <w:rtl/>
        </w:rPr>
        <w:t>(6)</w:t>
      </w:r>
      <w:r w:rsidRPr="005B567D">
        <w:rPr>
          <w:rStyle w:val="libFootnotenumChar"/>
          <w:rtl/>
        </w:rPr>
        <w:t xml:space="preserve"> </w:t>
      </w:r>
      <w:r w:rsidRPr="00C9040A">
        <w:rPr>
          <w:rtl/>
          <w:lang w:bidi="fa-IR"/>
        </w:rPr>
        <w:t>جَعَلْتُ لَهُ نِصْفَ مَالِي.</w:t>
      </w:r>
    </w:p>
    <w:p w:rsidR="008A74EB" w:rsidRPr="00C9040A" w:rsidRDefault="008A74EB" w:rsidP="008A74EB">
      <w:pPr>
        <w:pStyle w:val="libNormal"/>
        <w:rPr>
          <w:rtl/>
          <w:lang w:bidi="fa-IR"/>
        </w:rPr>
      </w:pPr>
      <w:r w:rsidRPr="00C9040A">
        <w:rPr>
          <w:rtl/>
          <w:lang w:bidi="fa-IR"/>
        </w:rPr>
        <w:t xml:space="preserve">فَقَالَ رَسُولُ اللهِ </w:t>
      </w:r>
      <w:r w:rsidR="004A4E41" w:rsidRPr="004A4E41">
        <w:rPr>
          <w:rStyle w:val="libAlaemChar"/>
          <w:rtl/>
        </w:rPr>
        <w:t>صلى‌الله‌عليه‌وآله</w:t>
      </w:r>
      <w:r>
        <w:rPr>
          <w:rtl/>
          <w:lang w:bidi="fa-IR"/>
        </w:rPr>
        <w:t xml:space="preserve"> لِلْمُعْسِرِ : أَ</w:t>
      </w:r>
      <w:r w:rsidRPr="00C9040A">
        <w:rPr>
          <w:rtl/>
          <w:lang w:bidi="fa-IR"/>
        </w:rPr>
        <w:t>تَقْبَلُ</w:t>
      </w:r>
      <w:r>
        <w:rPr>
          <w:rtl/>
          <w:lang w:bidi="fa-IR"/>
        </w:rPr>
        <w:t>؟</w:t>
      </w:r>
      <w:r w:rsidRPr="00C9040A">
        <w:rPr>
          <w:rtl/>
          <w:lang w:bidi="fa-IR"/>
        </w:rPr>
        <w:t xml:space="preserve"> قَالَ : لَا.</w:t>
      </w:r>
    </w:p>
    <w:p w:rsidR="008A74EB" w:rsidRPr="00C9040A" w:rsidRDefault="008A74EB" w:rsidP="008A74EB">
      <w:pPr>
        <w:pStyle w:val="libNormal"/>
        <w:rPr>
          <w:rtl/>
          <w:lang w:bidi="fa-IR"/>
        </w:rPr>
      </w:pPr>
      <w:r w:rsidRPr="00C9040A">
        <w:rPr>
          <w:rtl/>
          <w:lang w:bidi="fa-IR"/>
        </w:rPr>
        <w:t xml:space="preserve">فَقَالَ لَهُ الرَّجُلُ : وَلِمَ </w:t>
      </w:r>
      <w:r w:rsidR="006C577F" w:rsidRPr="006C577F">
        <w:rPr>
          <w:rStyle w:val="libFootnotenumChar"/>
          <w:rtl/>
        </w:rPr>
        <w:t>(7)</w:t>
      </w:r>
      <w:r>
        <w:rPr>
          <w:rtl/>
          <w:lang w:bidi="fa-IR"/>
        </w:rPr>
        <w:t>؟</w:t>
      </w:r>
      <w:r w:rsidRPr="00C9040A">
        <w:rPr>
          <w:rtl/>
          <w:lang w:bidi="fa-IR"/>
        </w:rPr>
        <w:t xml:space="preserve"> قَالَ : أَخَافُ أَنْ يَدْخُلَنِي </w:t>
      </w:r>
      <w:r w:rsidR="006C577F" w:rsidRPr="006C577F">
        <w:rPr>
          <w:rStyle w:val="libFootnotenumChar"/>
          <w:rtl/>
        </w:rPr>
        <w:t>(8)</w:t>
      </w:r>
      <w:r w:rsidRPr="00C9040A">
        <w:rPr>
          <w:rtl/>
          <w:lang w:bidi="fa-IR"/>
        </w:rPr>
        <w:t xml:space="preserve"> مَا دَخَلَكَ »</w:t>
      </w:r>
      <w:r>
        <w:rPr>
          <w:rtl/>
          <w:lang w:bidi="fa-IR"/>
        </w:rPr>
        <w:t>.</w:t>
      </w:r>
      <w:r w:rsidRPr="00C9040A">
        <w:rPr>
          <w:rtl/>
          <w:lang w:bidi="fa-IR"/>
        </w:rPr>
        <w:t xml:space="preserve"> </w:t>
      </w:r>
      <w:r w:rsidR="006C577F" w:rsidRPr="006C577F">
        <w:rPr>
          <w:rStyle w:val="libFootnotenumChar"/>
          <w:rtl/>
        </w:rPr>
        <w:t>(9)</w:t>
      </w:r>
      <w:r w:rsidRPr="00C9040A">
        <w:rPr>
          <w:rtl/>
          <w:lang w:bidi="fa-IR"/>
        </w:rPr>
        <w:t xml:space="preserve"> ‌</w:t>
      </w:r>
    </w:p>
    <w:p w:rsidR="008A74EB" w:rsidRPr="00C9040A" w:rsidRDefault="008A74EB" w:rsidP="008A74EB">
      <w:pPr>
        <w:pStyle w:val="libNormal"/>
        <w:rPr>
          <w:rtl/>
          <w:lang w:bidi="fa-IR"/>
        </w:rPr>
      </w:pPr>
      <w:r w:rsidRPr="007B030B">
        <w:rPr>
          <w:rtl/>
        </w:rPr>
        <w:t>2393</w:t>
      </w:r>
      <w:r w:rsidRPr="00261CB0">
        <w:rPr>
          <w:rStyle w:val="libBold2Char"/>
          <w:rtl/>
        </w:rPr>
        <w:t xml:space="preserve"> / 12.</w:t>
      </w:r>
      <w:r w:rsidRPr="00C9040A">
        <w:rPr>
          <w:rtl/>
          <w:lang w:bidi="fa-IR"/>
        </w:rPr>
        <w:t xml:space="preserve"> عَلِيُّ بْنُ إِبْرَاهِيمَ ، عَنْ عَلِيِّ بْنِ مُحَمَّدٍ الْقَاسَانِيِّ </w:t>
      </w:r>
      <w:r w:rsidR="006C577F" w:rsidRPr="006C577F">
        <w:rPr>
          <w:rStyle w:val="libFootnotenumChar"/>
          <w:rtl/>
        </w:rPr>
        <w:t>(10)</w:t>
      </w:r>
      <w:r w:rsidRPr="00C9040A">
        <w:rPr>
          <w:rtl/>
          <w:lang w:bidi="fa-IR"/>
        </w:rPr>
        <w:t xml:space="preserve"> ، عَنِ الْقَاسِمِ بْنِ مُحَمَّدٍ ، عَنْ سُلَيْمَانَ بْنِ دَاوُدَ الْمِنْقَرِيِّ ، عَنْ حَفْصِ بْنِ غِيَاثٍ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فِي مُنَاجَاةِ مُوسى </w:t>
      </w:r>
      <w:r w:rsidRPr="0003660B">
        <w:rPr>
          <w:rStyle w:val="libAlaemChar"/>
          <w:rtl/>
        </w:rPr>
        <w:t>عليه‌السلام</w:t>
      </w:r>
      <w:r w:rsidRPr="00C9040A">
        <w:rPr>
          <w:rtl/>
          <w:lang w:bidi="fa-IR"/>
        </w:rPr>
        <w:t xml:space="preserve"> : يَا مُوسى ، إِذَا رَأَيْتَ الْفَقْرَ مُقْبِلاً ، فَقُلْ : مَرْحَباً بِشِعَارِ </w:t>
      </w:r>
      <w:r w:rsidR="006C577F" w:rsidRPr="006C577F">
        <w:rPr>
          <w:rStyle w:val="libFootnotenumChar"/>
          <w:rtl/>
        </w:rPr>
        <w:t>(11)</w:t>
      </w:r>
      <w:r w:rsidRPr="00C9040A">
        <w:rPr>
          <w:rtl/>
          <w:lang w:bidi="fa-IR"/>
        </w:rPr>
        <w:t xml:space="preserve"> الصَّالِحِينَ ، وَإِذَا رَأَيْتَ الْغِنى مُقْبِلاً ، فَقُلْ</w:t>
      </w:r>
      <w:r w:rsidR="00C822D0">
        <w:rPr>
          <w:rtl/>
          <w:lang w:bidi="fa-IR"/>
        </w:rPr>
        <w:t xml:space="preserve"> : ذَنْبٌ عُجِّلَتْ عُقُوبَتُهُ</w:t>
      </w:r>
      <w:r w:rsidRPr="00C9040A">
        <w:rPr>
          <w:rtl/>
          <w:lang w:bidi="fa-IR"/>
        </w:rPr>
        <w:t>»</w:t>
      </w:r>
      <w:r>
        <w:rPr>
          <w:rtl/>
          <w:lang w:bidi="fa-IR"/>
        </w:rPr>
        <w:t>.</w:t>
      </w:r>
      <w:r w:rsidR="006C577F" w:rsidRPr="006C577F">
        <w:rPr>
          <w:rStyle w:val="libFootnotenumChar"/>
          <w:rtl/>
        </w:rPr>
        <w:t>(12)</w:t>
      </w:r>
      <w:r w:rsidRPr="00C9040A">
        <w:rPr>
          <w:rtl/>
          <w:lang w:bidi="fa-IR"/>
        </w:rPr>
        <w:t>‌</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2568AF" w:rsidTr="002568AF">
        <w:tc>
          <w:tcPr>
            <w:tcW w:w="4006" w:type="dxa"/>
          </w:tcPr>
          <w:p w:rsidR="002568AF" w:rsidRDefault="002568AF" w:rsidP="004A4E41">
            <w:pPr>
              <w:pStyle w:val="libFootnote0"/>
              <w:rPr>
                <w:rtl/>
              </w:rPr>
            </w:pPr>
            <w:r>
              <w:rPr>
                <w:rtl/>
              </w:rPr>
              <w:t xml:space="preserve">(1). </w:t>
            </w:r>
            <w:r w:rsidRPr="00C9040A">
              <w:rPr>
                <w:rtl/>
              </w:rPr>
              <w:t xml:space="preserve">في « </w:t>
            </w:r>
            <w:r>
              <w:rPr>
                <w:rtl/>
              </w:rPr>
              <w:t xml:space="preserve">ه </w:t>
            </w:r>
            <w:r w:rsidRPr="00C9040A">
              <w:rPr>
                <w:rtl/>
              </w:rPr>
              <w:t>» : « أن يصيبك »</w:t>
            </w:r>
            <w:r>
              <w:rPr>
                <w:rtl/>
              </w:rPr>
              <w:t>.</w:t>
            </w:r>
          </w:p>
        </w:tc>
        <w:tc>
          <w:tcPr>
            <w:tcW w:w="4006" w:type="dxa"/>
          </w:tcPr>
          <w:p w:rsidR="002568AF" w:rsidRDefault="002568AF" w:rsidP="004A4E41">
            <w:pPr>
              <w:pStyle w:val="libFootnote0"/>
              <w:rPr>
                <w:rtl/>
              </w:rPr>
            </w:pPr>
            <w:r>
              <w:rPr>
                <w:rtl/>
              </w:rPr>
              <w:t xml:space="preserve">(2). </w:t>
            </w:r>
            <w:r w:rsidRPr="00C9040A">
              <w:rPr>
                <w:rtl/>
              </w:rPr>
              <w:t>في « بر » : « فقال »</w:t>
            </w:r>
            <w:r>
              <w:rPr>
                <w:rtl/>
              </w:rPr>
              <w:t>.</w:t>
            </w:r>
          </w:p>
        </w:tc>
      </w:tr>
      <w:tr w:rsidR="002568AF" w:rsidTr="002568AF">
        <w:tc>
          <w:tcPr>
            <w:tcW w:w="4006" w:type="dxa"/>
          </w:tcPr>
          <w:p w:rsidR="002568AF" w:rsidRDefault="002568AF" w:rsidP="004A4E41">
            <w:pPr>
              <w:pStyle w:val="libFootnote0"/>
              <w:rPr>
                <w:rtl/>
              </w:rPr>
            </w:pPr>
            <w:r>
              <w:rPr>
                <w:rtl/>
              </w:rPr>
              <w:t>(3).</w:t>
            </w:r>
            <w:r w:rsidRPr="00C9040A">
              <w:rPr>
                <w:rtl/>
              </w:rPr>
              <w:t xml:space="preserve"> في « ب » : « أفخفت »</w:t>
            </w:r>
            <w:r>
              <w:rPr>
                <w:rtl/>
              </w:rPr>
              <w:t>.</w:t>
            </w:r>
          </w:p>
        </w:tc>
        <w:tc>
          <w:tcPr>
            <w:tcW w:w="4006" w:type="dxa"/>
          </w:tcPr>
          <w:p w:rsidR="002568AF" w:rsidRDefault="002568AF" w:rsidP="004A4E41">
            <w:pPr>
              <w:pStyle w:val="libFootnote0"/>
              <w:rPr>
                <w:rtl/>
              </w:rPr>
            </w:pPr>
            <w:r>
              <w:rPr>
                <w:rtl/>
              </w:rPr>
              <w:t>(4).</w:t>
            </w:r>
            <w:r w:rsidRPr="00C9040A">
              <w:rPr>
                <w:rtl/>
              </w:rPr>
              <w:t xml:space="preserve"> في « بر ، بف » والوافي : « أن توسّخ »</w:t>
            </w:r>
            <w:r>
              <w:rPr>
                <w:rtl/>
              </w:rPr>
              <w:t>.</w:t>
            </w:r>
          </w:p>
        </w:tc>
      </w:tr>
    </w:tbl>
    <w:p w:rsidR="008A74EB" w:rsidRPr="00C9040A" w:rsidRDefault="006C577F" w:rsidP="002568AF">
      <w:pPr>
        <w:pStyle w:val="libFootnote0"/>
        <w:rPr>
          <w:rtl/>
          <w:lang w:bidi="fa-IR"/>
        </w:rPr>
      </w:pPr>
      <w:r>
        <w:rPr>
          <w:rtl/>
        </w:rPr>
        <w:t>(5).</w:t>
      </w:r>
      <w:r w:rsidR="008A74EB" w:rsidRPr="00C9040A">
        <w:rPr>
          <w:rtl/>
        </w:rPr>
        <w:t xml:space="preserve"> في </w:t>
      </w:r>
      <w:r w:rsidR="008A74EB" w:rsidRPr="00993B55">
        <w:rPr>
          <w:rStyle w:val="libFootnoteBoldChar"/>
          <w:rtl/>
        </w:rPr>
        <w:t>الوافي</w:t>
      </w:r>
      <w:r w:rsidR="008A74EB" w:rsidRPr="00C9040A">
        <w:rPr>
          <w:rtl/>
        </w:rPr>
        <w:t xml:space="preserve"> : « إنّ لي قريناً ، أي شيطاناً يغويني ويجعل القبيح حسناً في نظري ، والحسن قبيحاً ، وهذا الصادر</w:t>
      </w:r>
      <w:r w:rsidR="002568AF">
        <w:rPr>
          <w:rFonts w:hint="cs"/>
          <w:rtl/>
        </w:rPr>
        <w:t xml:space="preserve"> </w:t>
      </w:r>
      <w:r w:rsidR="008A74EB" w:rsidRPr="00C9040A">
        <w:rPr>
          <w:rtl/>
        </w:rPr>
        <w:t>منّي من جملة إغوائه »</w:t>
      </w:r>
      <w:r w:rsidR="008A74EB">
        <w:rPr>
          <w:rtl/>
        </w:rPr>
        <w:t>.</w:t>
      </w:r>
      <w:r w:rsidR="002568AF">
        <w:rPr>
          <w:rtl/>
        </w:rPr>
        <w:t xml:space="preserve"> وقال العل</w:t>
      </w:r>
      <w:r w:rsidR="002568AF">
        <w:rPr>
          <w:rFonts w:hint="cs"/>
          <w:rtl/>
        </w:rPr>
        <w:t>ّ</w:t>
      </w:r>
      <w:r w:rsidR="002568AF">
        <w:rPr>
          <w:rtl/>
        </w:rPr>
        <w:t>ا</w:t>
      </w:r>
      <w:r w:rsidR="008A74EB" w:rsidRPr="00C9040A">
        <w:rPr>
          <w:rtl/>
        </w:rPr>
        <w:t xml:space="preserve">مة المجلسي في </w:t>
      </w:r>
      <w:r w:rsidR="008A74EB" w:rsidRPr="00993B55">
        <w:rPr>
          <w:rStyle w:val="libFootnoteBoldChar"/>
          <w:rtl/>
        </w:rPr>
        <w:t>المرآة</w:t>
      </w:r>
      <w:r w:rsidR="008A74EB" w:rsidRPr="00C9040A">
        <w:rPr>
          <w:rtl/>
        </w:rPr>
        <w:t xml:space="preserve"> بعد نقل ما في </w:t>
      </w:r>
      <w:r w:rsidR="008A74EB" w:rsidRPr="00993B55">
        <w:rPr>
          <w:rStyle w:val="libFootnoteBoldChar"/>
          <w:rtl/>
        </w:rPr>
        <w:t>الوافي</w:t>
      </w:r>
      <w:r w:rsidR="008A74EB" w:rsidRPr="00C9040A">
        <w:rPr>
          <w:rtl/>
        </w:rPr>
        <w:t xml:space="preserve"> : « ويمكن أيضاً أن يراد بالقرين النفس الأمّارة التي طغت وبغت بالمال »</w:t>
      </w:r>
      <w:r w:rsidR="008A74EB">
        <w:rPr>
          <w:rtl/>
        </w:rPr>
        <w:t>.</w:t>
      </w:r>
      <w:r w:rsidR="002568AF">
        <w:rPr>
          <w:rFonts w:hint="cs"/>
          <w:rtl/>
        </w:rPr>
        <w:t xml:space="preserve">                      </w:t>
      </w:r>
      <w:r w:rsidR="00C822D0">
        <w:rPr>
          <w:rFonts w:hint="cs"/>
          <w:rtl/>
        </w:rPr>
        <w:t xml:space="preserve">  </w:t>
      </w:r>
      <w:r w:rsidR="002568AF">
        <w:rPr>
          <w:rFonts w:hint="cs"/>
          <w:rtl/>
        </w:rPr>
        <w:t xml:space="preserve">    </w:t>
      </w:r>
      <w:r>
        <w:rPr>
          <w:rtl/>
        </w:rPr>
        <w:t>(6).</w:t>
      </w:r>
      <w:r w:rsidR="008A74EB">
        <w:rPr>
          <w:rtl/>
        </w:rPr>
        <w:t xml:space="preserve"> </w:t>
      </w:r>
      <w:r w:rsidR="008A74EB" w:rsidRPr="00C9040A">
        <w:rPr>
          <w:rtl/>
        </w:rPr>
        <w:t xml:space="preserve">في مرآة العقول </w:t>
      </w:r>
      <w:r w:rsidR="008A74EB">
        <w:rPr>
          <w:rtl/>
        </w:rPr>
        <w:t xml:space="preserve">: </w:t>
      </w:r>
      <w:r w:rsidR="0084262C">
        <w:rPr>
          <w:rtl/>
        </w:rPr>
        <w:t>-</w:t>
      </w:r>
      <w:r w:rsidR="008A74EB" w:rsidRPr="00C9040A">
        <w:rPr>
          <w:rtl/>
        </w:rPr>
        <w:t xml:space="preserve"> « قد »</w:t>
      </w:r>
      <w:r w:rsidR="008A74EB">
        <w:rPr>
          <w:rtl/>
        </w:rPr>
        <w:t>.</w:t>
      </w:r>
    </w:p>
    <w:tbl>
      <w:tblPr>
        <w:tblStyle w:val="TableGrid"/>
        <w:bidiVisual/>
        <w:tblW w:w="0" w:type="auto"/>
        <w:tblLook w:val="04A0" w:firstRow="1" w:lastRow="0" w:firstColumn="1" w:lastColumn="0" w:noHBand="0" w:noVBand="1"/>
      </w:tblPr>
      <w:tblGrid>
        <w:gridCol w:w="4006"/>
        <w:gridCol w:w="4006"/>
      </w:tblGrid>
      <w:tr w:rsidR="002568AF" w:rsidTr="002568AF">
        <w:tc>
          <w:tcPr>
            <w:tcW w:w="4006" w:type="dxa"/>
          </w:tcPr>
          <w:p w:rsidR="002568AF" w:rsidRDefault="002568AF" w:rsidP="004A4E41">
            <w:pPr>
              <w:pStyle w:val="libFootnote0"/>
              <w:rPr>
                <w:rtl/>
              </w:rPr>
            </w:pPr>
            <w:r>
              <w:rPr>
                <w:rtl/>
              </w:rPr>
              <w:t>(7).</w:t>
            </w:r>
            <w:r w:rsidRPr="00C9040A">
              <w:rPr>
                <w:rtl/>
              </w:rPr>
              <w:t xml:space="preserve"> في البحار ، ج 72 : « لِمَ » بدون الواو.</w:t>
            </w:r>
          </w:p>
        </w:tc>
        <w:tc>
          <w:tcPr>
            <w:tcW w:w="4006" w:type="dxa"/>
          </w:tcPr>
          <w:p w:rsidR="002568AF" w:rsidRDefault="002568AF" w:rsidP="004A4E41">
            <w:pPr>
              <w:pStyle w:val="libFootnote0"/>
              <w:rPr>
                <w:rtl/>
              </w:rPr>
            </w:pPr>
            <w:r>
              <w:rPr>
                <w:rtl/>
              </w:rPr>
              <w:t>(8).</w:t>
            </w:r>
            <w:r w:rsidRPr="00C9040A">
              <w:rPr>
                <w:rtl/>
              </w:rPr>
              <w:t xml:space="preserve"> في « ب » : + « مثل »</w:t>
            </w:r>
            <w:r>
              <w:rPr>
                <w:rtl/>
              </w:rPr>
              <w:t>.</w:t>
            </w:r>
          </w:p>
        </w:tc>
      </w:tr>
    </w:tbl>
    <w:p w:rsidR="008A74EB" w:rsidRPr="00C9040A" w:rsidRDefault="006C577F" w:rsidP="004A4E41">
      <w:pPr>
        <w:pStyle w:val="libFootnote0"/>
        <w:rPr>
          <w:rtl/>
          <w:lang w:bidi="fa-IR"/>
        </w:rPr>
      </w:pPr>
      <w:r>
        <w:rPr>
          <w:rtl/>
        </w:rPr>
        <w:t>(9).</w:t>
      </w:r>
      <w:r w:rsidR="008A74EB" w:rsidRPr="00C9040A">
        <w:rPr>
          <w:rtl/>
        </w:rPr>
        <w:t xml:space="preserve"> </w:t>
      </w:r>
      <w:r w:rsidR="008A74EB" w:rsidRPr="00993B55">
        <w:rPr>
          <w:rStyle w:val="libFootnoteBoldChar"/>
          <w:rtl/>
        </w:rPr>
        <w:t>الوافي</w:t>
      </w:r>
      <w:r w:rsidR="008A74EB" w:rsidRPr="00C9040A">
        <w:rPr>
          <w:rtl/>
        </w:rPr>
        <w:t xml:space="preserve"> ، ج 5 ، ص 792 ، ح 3052 ؛ </w:t>
      </w:r>
      <w:r w:rsidR="008A74EB" w:rsidRPr="00993B55">
        <w:rPr>
          <w:rStyle w:val="libFootnoteBoldChar"/>
          <w:rtl/>
        </w:rPr>
        <w:t>البحار</w:t>
      </w:r>
      <w:r w:rsidR="008A74EB" w:rsidRPr="00C9040A">
        <w:rPr>
          <w:rtl/>
        </w:rPr>
        <w:t xml:space="preserve"> ، ج 22 ، ص 130 ، ح 108 ؛ وج 72 ، ص 13 ، ح 13.</w:t>
      </w:r>
    </w:p>
    <w:p w:rsidR="008A74EB" w:rsidRPr="00C9040A" w:rsidRDefault="006C577F" w:rsidP="004A4E41">
      <w:pPr>
        <w:pStyle w:val="libFootnote0"/>
        <w:rPr>
          <w:rtl/>
          <w:lang w:bidi="fa-IR"/>
        </w:rPr>
      </w:pPr>
      <w:r>
        <w:rPr>
          <w:rtl/>
        </w:rPr>
        <w:t>(10).</w:t>
      </w:r>
      <w:r w:rsidR="008A74EB" w:rsidRPr="00C9040A">
        <w:rPr>
          <w:rtl/>
        </w:rPr>
        <w:t xml:space="preserve"> في « </w:t>
      </w:r>
      <w:r w:rsidR="006D3162">
        <w:rPr>
          <w:rtl/>
        </w:rPr>
        <w:t xml:space="preserve">ه </w:t>
      </w:r>
      <w:r w:rsidR="008A74EB" w:rsidRPr="00C9040A">
        <w:rPr>
          <w:rtl/>
        </w:rPr>
        <w:t>» : « القاشاني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أي‌</w:t>
      </w:r>
      <w:r w:rsidR="002568AF">
        <w:rPr>
          <w:rFonts w:hint="cs"/>
          <w:rtl/>
        </w:rPr>
        <w:t xml:space="preserve"> </w:t>
      </w:r>
      <w:r w:rsidR="008A74EB" w:rsidRPr="00C9040A">
        <w:rPr>
          <w:rtl/>
        </w:rPr>
        <w:t xml:space="preserve">علامة الصالحين. وشعار القوم في الحرب : علامتهم ليعرف بعضُهم بعضاً في ظلمة الليل. </w:t>
      </w:r>
      <w:r w:rsidR="008A74EB" w:rsidRPr="00993B55">
        <w:rPr>
          <w:rStyle w:val="libFootnoteBoldChar"/>
          <w:rtl/>
        </w:rPr>
        <w:t>مجمع</w:t>
      </w:r>
      <w:r w:rsidR="002568AF">
        <w:rPr>
          <w:rStyle w:val="libFootnoteBoldChar"/>
          <w:rFonts w:hint="cs"/>
          <w:rtl/>
        </w:rPr>
        <w:t xml:space="preserve"> </w:t>
      </w:r>
      <w:r w:rsidR="008A74EB" w:rsidRPr="00993B55">
        <w:rPr>
          <w:rStyle w:val="libFootnoteBoldChar"/>
          <w:rtl/>
        </w:rPr>
        <w:t xml:space="preserve">‌البحرين </w:t>
      </w:r>
      <w:r w:rsidR="008A74EB" w:rsidRPr="00C9040A">
        <w:rPr>
          <w:rtl/>
        </w:rPr>
        <w:t>، ج 3 ، ص 347 ( شعر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w:t>
      </w:r>
      <w:r w:rsidR="008A74EB" w:rsidRPr="00993B55">
        <w:rPr>
          <w:rStyle w:val="libFootnoteBoldChar"/>
          <w:rtl/>
        </w:rPr>
        <w:t>تفسير القمّي</w:t>
      </w:r>
      <w:r w:rsidR="008A74EB" w:rsidRPr="00C9040A">
        <w:rPr>
          <w:rtl/>
        </w:rPr>
        <w:t xml:space="preserve"> ، ج 1 ، ص 200 ، عن أبيه ، عن القاسم بن محمّد ، مع زيادة في آخره ؛ </w:t>
      </w:r>
      <w:r w:rsidR="008A74EB" w:rsidRPr="00993B55">
        <w:rPr>
          <w:rStyle w:val="libFootnoteBoldChar"/>
          <w:rtl/>
        </w:rPr>
        <w:t>وفيه</w:t>
      </w:r>
      <w:r w:rsidR="008A74EB" w:rsidRPr="00C9040A">
        <w:rPr>
          <w:rtl/>
        </w:rPr>
        <w:t xml:space="preserve"> ، ص 242 ، ضمن الحديث الطويل ، عن أبيه ، عن القاسم بن محمّد ؛ </w:t>
      </w:r>
      <w:r w:rsidR="008A74EB" w:rsidRPr="0034021D">
        <w:rPr>
          <w:rStyle w:val="libFootnoteBoldChar"/>
          <w:rtl/>
        </w:rPr>
        <w:t>الأمالي للصدوق</w:t>
      </w:r>
      <w:r w:rsidR="008A74EB" w:rsidRPr="00C9040A">
        <w:rPr>
          <w:rtl/>
        </w:rPr>
        <w:t xml:space="preserve"> ، ص 666 ، المجلس 95 ، ضمن الحديث الطويل 2 ، بسنده عن القاسم بن محمّد الأصبهاني. </w:t>
      </w:r>
      <w:r w:rsidR="008A74EB" w:rsidRPr="00993B55">
        <w:rPr>
          <w:rStyle w:val="libFootnoteBoldChar"/>
          <w:rtl/>
        </w:rPr>
        <w:t>الكافي</w:t>
      </w:r>
      <w:r w:rsidR="008A74EB" w:rsidRPr="00C9040A">
        <w:rPr>
          <w:rtl/>
        </w:rPr>
        <w:t xml:space="preserve"> ، كتاب الروضة ، ضمن الحديث 14823 ، بسند </w:t>
      </w:r>
      <w:r w:rsidR="002568AF">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531734">
        <w:rPr>
          <w:rtl/>
        </w:rPr>
        <w:t>2394</w:t>
      </w:r>
      <w:r w:rsidRPr="00261CB0">
        <w:rPr>
          <w:rStyle w:val="libBold2Char"/>
          <w:rtl/>
        </w:rPr>
        <w:t xml:space="preserve"> / 13.</w:t>
      </w:r>
      <w:r w:rsidRPr="00C9040A">
        <w:rPr>
          <w:rtl/>
          <w:lang w:bidi="fa-IR"/>
        </w:rPr>
        <w:t xml:space="preserve"> عَلِيُّ بْنُ إِبْرَاهِيمَ ، عَنْ أَبِيهِ ، عَنِ النَّوْفَلِيِّ ، عَنِ السَّكُونِيِّ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النَّبِيُّ </w:t>
      </w:r>
      <w:r w:rsidR="006C577F" w:rsidRPr="006C577F">
        <w:rPr>
          <w:rStyle w:val="libFootnotenumChar"/>
          <w:rtl/>
        </w:rPr>
        <w:t>(1)</w:t>
      </w:r>
      <w:r w:rsidRPr="00C9040A">
        <w:rPr>
          <w:rtl/>
          <w:lang w:bidi="fa-IR"/>
        </w:rPr>
        <w:t xml:space="preserve"> </w:t>
      </w:r>
      <w:r w:rsidR="004A4E41" w:rsidRPr="004A4E41">
        <w:rPr>
          <w:rStyle w:val="libAlaemChar"/>
          <w:rtl/>
        </w:rPr>
        <w:t>صلى‌الله‌عليه‌وآله</w:t>
      </w:r>
      <w:r w:rsidRPr="00C9040A">
        <w:rPr>
          <w:rtl/>
          <w:lang w:bidi="fa-IR"/>
        </w:rPr>
        <w:t xml:space="preserve"> : طُوبى لِلْمَسَاكِينِ </w:t>
      </w:r>
      <w:r w:rsidR="006C577F" w:rsidRPr="006C577F">
        <w:rPr>
          <w:rStyle w:val="libFootnotenumChar"/>
          <w:rtl/>
        </w:rPr>
        <w:t>(2)</w:t>
      </w:r>
      <w:r w:rsidRPr="00C9040A">
        <w:rPr>
          <w:rtl/>
          <w:lang w:bidi="fa-IR"/>
        </w:rPr>
        <w:t xml:space="preserve"> بِالصَّبْرِ ، وَ</w:t>
      </w:r>
      <w:r>
        <w:rPr>
          <w:rFonts w:hint="cs"/>
          <w:rtl/>
          <w:lang w:bidi="fa-IR"/>
        </w:rPr>
        <w:t xml:space="preserve"> </w:t>
      </w:r>
      <w:r w:rsidR="006C577F" w:rsidRPr="006C577F">
        <w:rPr>
          <w:rStyle w:val="libFootnotenumChar"/>
          <w:rtl/>
        </w:rPr>
        <w:t>(3)</w:t>
      </w:r>
      <w:r w:rsidRPr="00C9040A">
        <w:rPr>
          <w:rtl/>
          <w:lang w:bidi="fa-IR"/>
        </w:rPr>
        <w:t xml:space="preserve"> هُمُ الَّذِينَ يَرَوْنَ مَلَكُوتَ السَّمَاوَاتِ وَالْأَرْضِ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531734">
        <w:rPr>
          <w:rtl/>
        </w:rPr>
        <w:t>2395</w:t>
      </w:r>
      <w:r w:rsidRPr="00261CB0">
        <w:rPr>
          <w:rStyle w:val="libBold2Char"/>
          <w:rtl/>
        </w:rPr>
        <w:t xml:space="preserve"> / 14.</w:t>
      </w:r>
      <w:r w:rsidRPr="00C9040A">
        <w:rPr>
          <w:rtl/>
          <w:lang w:bidi="fa-IR"/>
        </w:rPr>
        <w:t xml:space="preserve"> وَبِإِسْنَادِهِ </w:t>
      </w:r>
      <w:r w:rsidR="006C577F" w:rsidRPr="006C577F">
        <w:rPr>
          <w:rStyle w:val="libFootnotenumChar"/>
          <w:rtl/>
        </w:rPr>
        <w:t>(5)</w:t>
      </w:r>
      <w:r w:rsidRPr="00C9040A">
        <w:rPr>
          <w:rtl/>
          <w:lang w:bidi="fa-IR"/>
        </w:rPr>
        <w:t xml:space="preserve"> ، قَالَ :</w:t>
      </w:r>
    </w:p>
    <w:p w:rsidR="008A74EB" w:rsidRPr="00C9040A" w:rsidRDefault="008A74EB" w:rsidP="008A74EB">
      <w:pPr>
        <w:pStyle w:val="libNormal"/>
        <w:rPr>
          <w:rtl/>
          <w:lang w:bidi="fa-IR"/>
        </w:rPr>
      </w:pPr>
      <w:r w:rsidRPr="00C9040A">
        <w:rPr>
          <w:rtl/>
          <w:lang w:bidi="fa-IR"/>
        </w:rPr>
        <w:t xml:space="preserve">« قَالَ النَّبِيُّ </w:t>
      </w:r>
      <w:r w:rsidR="006C577F" w:rsidRPr="006C577F">
        <w:rPr>
          <w:rStyle w:val="libFootnotenumChar"/>
          <w:rtl/>
        </w:rPr>
        <w:t>(6)</w:t>
      </w:r>
      <w:r w:rsidRPr="005B567D">
        <w:rPr>
          <w:rStyle w:val="libFootnotenumChar"/>
          <w:rtl/>
        </w:rPr>
        <w:t xml:space="preserve"> </w:t>
      </w:r>
      <w:r w:rsidR="004A4E41" w:rsidRPr="004A4E41">
        <w:rPr>
          <w:rStyle w:val="libAlaemChar"/>
          <w:rtl/>
        </w:rPr>
        <w:t>صلى‌الله‌عليه‌وآله</w:t>
      </w:r>
      <w:r w:rsidRPr="00C9040A">
        <w:rPr>
          <w:rtl/>
          <w:lang w:bidi="fa-IR"/>
        </w:rPr>
        <w:t xml:space="preserve"> : يَا مَعْشَرَ </w:t>
      </w:r>
      <w:r w:rsidR="006C577F" w:rsidRPr="006C577F">
        <w:rPr>
          <w:rStyle w:val="libFootnotenumChar"/>
          <w:rtl/>
        </w:rPr>
        <w:t>(7)</w:t>
      </w:r>
      <w:r w:rsidRPr="00C9040A">
        <w:rPr>
          <w:rtl/>
          <w:lang w:bidi="fa-IR"/>
        </w:rPr>
        <w:t xml:space="preserve"> الْمَسَاكِينِ </w:t>
      </w:r>
      <w:r w:rsidR="006C577F" w:rsidRPr="006C577F">
        <w:rPr>
          <w:rStyle w:val="libFootnotenumChar"/>
          <w:rtl/>
        </w:rPr>
        <w:t>(8)</w:t>
      </w:r>
      <w:r w:rsidRPr="00C9040A">
        <w:rPr>
          <w:rtl/>
          <w:lang w:bidi="fa-IR"/>
        </w:rPr>
        <w:t xml:space="preserve"> ، طِيبُوا نَفْساً </w:t>
      </w:r>
      <w:r w:rsidR="006C577F" w:rsidRPr="006C577F">
        <w:rPr>
          <w:rStyle w:val="libFootnotenumChar"/>
          <w:rtl/>
        </w:rPr>
        <w:t>(9)</w:t>
      </w:r>
      <w:r w:rsidRPr="00C9040A">
        <w:rPr>
          <w:rtl/>
          <w:lang w:bidi="fa-IR"/>
        </w:rPr>
        <w:t xml:space="preserve"> ، وَأَعْطُوا اللهَ الرِّضَا مِنْ قُلُوبِكُمْ ؛ يُثِبْكُمُ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عَلى فَقْرِكُمْ ، فَإِنْ </w:t>
      </w:r>
      <w:r w:rsidR="006C577F" w:rsidRPr="006C577F">
        <w:rPr>
          <w:rStyle w:val="libFootnotenumChar"/>
          <w:rtl/>
        </w:rPr>
        <w:t>(10)</w:t>
      </w:r>
      <w:r w:rsidRPr="00C9040A">
        <w:rPr>
          <w:rtl/>
          <w:lang w:bidi="fa-IR"/>
        </w:rPr>
        <w:t xml:space="preserve"> لَمْ تَفْعَلُوا فَلَا ثَوَابَ </w:t>
      </w:r>
      <w:r w:rsidR="006C577F" w:rsidRPr="006C577F">
        <w:rPr>
          <w:rStyle w:val="libFootnotenumChar"/>
          <w:rtl/>
        </w:rPr>
        <w:t>(11)</w:t>
      </w:r>
      <w:r w:rsidRPr="00C9040A">
        <w:rPr>
          <w:rtl/>
          <w:lang w:bidi="fa-IR"/>
        </w:rPr>
        <w:t xml:space="preserve"> لَكُمْ »</w:t>
      </w:r>
      <w:r>
        <w:rPr>
          <w:rtl/>
          <w:lang w:bidi="fa-IR"/>
        </w:rPr>
        <w:t>.</w:t>
      </w:r>
      <w:r w:rsidRPr="00C9040A">
        <w:rPr>
          <w:rtl/>
          <w:lang w:bidi="fa-IR"/>
        </w:rPr>
        <w:t xml:space="preserve"> </w:t>
      </w:r>
      <w:r w:rsidR="006C577F" w:rsidRPr="006C577F">
        <w:rPr>
          <w:rStyle w:val="libFootnotenumChar"/>
          <w:rtl/>
        </w:rPr>
        <w:t>(12)</w:t>
      </w:r>
      <w:r w:rsidRPr="00C9040A">
        <w:rPr>
          <w:rtl/>
          <w:lang w:bidi="fa-IR"/>
        </w:rPr>
        <w:t xml:space="preserve"> ‌</w:t>
      </w:r>
    </w:p>
    <w:p w:rsidR="008A74EB" w:rsidRPr="00C9040A" w:rsidRDefault="008A74EB" w:rsidP="008A74EB">
      <w:pPr>
        <w:pStyle w:val="libNormal"/>
        <w:rPr>
          <w:rtl/>
          <w:lang w:bidi="fa-IR"/>
        </w:rPr>
      </w:pPr>
      <w:r w:rsidRPr="00531734">
        <w:rPr>
          <w:rtl/>
        </w:rPr>
        <w:t>2396</w:t>
      </w:r>
      <w:r w:rsidRPr="00261CB0">
        <w:rPr>
          <w:rStyle w:val="libBold2Char"/>
          <w:rtl/>
        </w:rPr>
        <w:t xml:space="preserve"> / 15.</w:t>
      </w:r>
      <w:r w:rsidRPr="00C9040A">
        <w:rPr>
          <w:rtl/>
          <w:lang w:bidi="fa-IR"/>
        </w:rPr>
        <w:t xml:space="preserve"> عِدَّةٌ مِنْ أَصْحَابِنَا ، عَنْ أَحْمَدَ بْنِ مُحَمَّدٍ ، عَنْ أَحْمَدَ بْنِ مُحَمَّدِ بْنِ أَبِي نَصْرٍ </w:t>
      </w:r>
      <w:r w:rsidRPr="005B567D">
        <w:rPr>
          <w:rStyle w:val="libFootnotenumChar"/>
          <w:rtl/>
        </w:rPr>
        <w:t>(13)</w:t>
      </w:r>
      <w:r w:rsidRPr="00C9040A">
        <w:rPr>
          <w:rtl/>
          <w:lang w:bidi="fa-IR"/>
        </w:rPr>
        <w:t xml:space="preserve"> ، عَنْ عِيسَى الْفَرَّاءِ ، عَنْ مُحَمَّدِ بْنِ مُسْلِمٍ :</w:t>
      </w:r>
    </w:p>
    <w:p w:rsidR="008A74EB" w:rsidRPr="00C9040A" w:rsidRDefault="008A74EB" w:rsidP="008A74EB">
      <w:pPr>
        <w:pStyle w:val="libLine"/>
        <w:rPr>
          <w:rtl/>
          <w:lang w:bidi="fa-IR"/>
        </w:rPr>
      </w:pPr>
      <w:r w:rsidRPr="00C9040A">
        <w:rPr>
          <w:rtl/>
          <w:lang w:bidi="fa-IR"/>
        </w:rPr>
        <w:t>__________________</w:t>
      </w:r>
    </w:p>
    <w:p w:rsidR="008A74EB" w:rsidRPr="00C9040A" w:rsidRDefault="002568AF" w:rsidP="004A4E41">
      <w:pPr>
        <w:pStyle w:val="libFootnote0"/>
        <w:rPr>
          <w:rtl/>
          <w:lang w:bidi="fa-IR"/>
        </w:rPr>
      </w:pPr>
      <w:r>
        <w:rPr>
          <w:rFonts w:hint="cs"/>
          <w:rtl/>
        </w:rPr>
        <w:t xml:space="preserve">= </w:t>
      </w:r>
      <w:r w:rsidR="008A74EB" w:rsidRPr="00C9040A">
        <w:rPr>
          <w:rtl/>
        </w:rPr>
        <w:t xml:space="preserve">آخر ، عن عليّ بن عيسى رفعه ، من دون الإسناد إلى المعصوم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تحف العقول</w:t>
      </w:r>
      <w:r w:rsidR="008A74EB" w:rsidRPr="00C9040A">
        <w:rPr>
          <w:rtl/>
        </w:rPr>
        <w:t xml:space="preserve"> ، ص 493 ، ضمن مناجاة الله عزّ وجلّ لموسى بن عمران </w:t>
      </w:r>
      <w:r w:rsidR="00117575" w:rsidRPr="00117575">
        <w:rPr>
          <w:rStyle w:val="libFootnoteAlaemChar"/>
          <w:rtl/>
        </w:rPr>
        <w:t>عليه‌السلام</w:t>
      </w:r>
      <w:r w:rsidR="008A74EB" w:rsidRPr="00C9040A">
        <w:rPr>
          <w:rtl/>
        </w:rPr>
        <w:t xml:space="preserve"> ، من دون الإسناد إلى المعصوم </w:t>
      </w:r>
      <w:r w:rsidR="00117575" w:rsidRPr="00117575">
        <w:rPr>
          <w:rStyle w:val="libFootnoteAlaemChar"/>
          <w:rtl/>
        </w:rPr>
        <w:t>عليه‌السلام</w:t>
      </w:r>
      <w:r w:rsidR="008A74EB" w:rsidRPr="00C9040A">
        <w:rPr>
          <w:rtl/>
        </w:rPr>
        <w:t xml:space="preserve"> ، وفيهما مع اختلاف يسير </w:t>
      </w:r>
      <w:r>
        <w:rPr>
          <w:rFonts w:hint="cs"/>
          <w:rtl/>
        </w:rPr>
        <w:t>.</w:t>
      </w:r>
      <w:r w:rsidR="008A74EB" w:rsidRPr="00993B55">
        <w:rPr>
          <w:rStyle w:val="libFootnoteBoldChar"/>
          <w:rtl/>
        </w:rPr>
        <w:t>الوافي</w:t>
      </w:r>
      <w:r w:rsidR="008A74EB" w:rsidRPr="00C9040A">
        <w:rPr>
          <w:rtl/>
        </w:rPr>
        <w:t xml:space="preserve"> ، ج 5 ، ص 793 ، ح 3053 ؛ </w:t>
      </w:r>
      <w:r w:rsidR="008A74EB" w:rsidRPr="00993B55">
        <w:rPr>
          <w:rStyle w:val="libFootnoteBoldChar"/>
          <w:rtl/>
        </w:rPr>
        <w:t>البحار</w:t>
      </w:r>
      <w:r w:rsidR="008A74EB" w:rsidRPr="00C9040A">
        <w:rPr>
          <w:rtl/>
        </w:rPr>
        <w:t xml:space="preserve"> ، ج 72 ، ص 15 ، ح 14.</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ض ، </w:t>
      </w:r>
      <w:r w:rsidR="006D3162">
        <w:rPr>
          <w:rtl/>
        </w:rPr>
        <w:t xml:space="preserve">ه </w:t>
      </w:r>
      <w:r w:rsidR="008A74EB" w:rsidRPr="00C9040A">
        <w:rPr>
          <w:rtl/>
        </w:rPr>
        <w:t>» : « رسول الله »</w:t>
      </w:r>
      <w:r w:rsidR="008A74EB">
        <w:rPr>
          <w:rtl/>
        </w:rPr>
        <w:t>.</w:t>
      </w:r>
    </w:p>
    <w:p w:rsidR="008A74EB" w:rsidRPr="00C9040A" w:rsidRDefault="006C577F" w:rsidP="002568AF">
      <w:pPr>
        <w:pStyle w:val="libFootnote0"/>
        <w:rPr>
          <w:rtl/>
          <w:lang w:bidi="fa-IR"/>
        </w:rPr>
      </w:pPr>
      <w:r>
        <w:rPr>
          <w:rtl/>
        </w:rPr>
        <w:t>(2).</w:t>
      </w:r>
      <w:r w:rsidR="008A74EB">
        <w:rPr>
          <w:rtl/>
        </w:rPr>
        <w:t xml:space="preserve"> </w:t>
      </w:r>
      <w:r w:rsidR="008A74EB" w:rsidRPr="00C9040A">
        <w:rPr>
          <w:rtl/>
        </w:rPr>
        <w:t>في « ب » : « للمسكين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 لا يبعد أن يقرأ : المسّاكين ، بالتشديد للمبالغة ، أي‌</w:t>
      </w:r>
      <w:r w:rsidR="002568AF">
        <w:rPr>
          <w:rFonts w:hint="cs"/>
          <w:rtl/>
        </w:rPr>
        <w:t xml:space="preserve"> </w:t>
      </w:r>
      <w:r w:rsidR="008A74EB" w:rsidRPr="00C9040A">
        <w:rPr>
          <w:rtl/>
        </w:rPr>
        <w:t>المتمسّكين كثيراً بالصبر »</w:t>
      </w:r>
      <w:r w:rsidR="008A74EB">
        <w:rPr>
          <w:rtl/>
        </w:rPr>
        <w:t>.</w:t>
      </w:r>
      <w:r w:rsidR="002568AF">
        <w:rPr>
          <w:rFonts w:hint="cs"/>
          <w:rtl/>
        </w:rPr>
        <w:t xml:space="preserve">                                </w:t>
      </w:r>
      <w:r>
        <w:rPr>
          <w:rtl/>
        </w:rPr>
        <w:t>(3).</w:t>
      </w:r>
      <w:r w:rsidR="008A74EB" w:rsidRPr="00C9040A">
        <w:rPr>
          <w:rtl/>
        </w:rPr>
        <w:t xml:space="preserve"> في « </w:t>
      </w:r>
      <w:r w:rsidR="006D3162">
        <w:rPr>
          <w:rtl/>
        </w:rPr>
        <w:t xml:space="preserve">ه </w:t>
      </w:r>
      <w:r w:rsidR="008A74EB" w:rsidRPr="00C9040A">
        <w:rPr>
          <w:rtl/>
        </w:rPr>
        <w:t xml:space="preserve">» </w:t>
      </w:r>
      <w:r w:rsidR="008A74EB">
        <w:rPr>
          <w:rtl/>
        </w:rPr>
        <w:t xml:space="preserve">: </w:t>
      </w:r>
      <w:r w:rsidR="0084262C">
        <w:rPr>
          <w:rtl/>
        </w:rPr>
        <w:t>-</w:t>
      </w:r>
      <w:r w:rsidR="008A74EB" w:rsidRPr="00C9040A">
        <w:rPr>
          <w:rtl/>
        </w:rPr>
        <w:t xml:space="preserve"> « </w:t>
      </w:r>
      <w:r w:rsidR="008A74EB">
        <w:rPr>
          <w:rtl/>
        </w:rPr>
        <w:t>و ».</w:t>
      </w:r>
    </w:p>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الجعفريّات</w:t>
      </w:r>
      <w:r w:rsidR="008A74EB" w:rsidRPr="00C9040A">
        <w:rPr>
          <w:rtl/>
        </w:rPr>
        <w:t xml:space="preserve"> ، ص 165 ؛ </w:t>
      </w:r>
      <w:r w:rsidR="008A74EB" w:rsidRPr="00993B55">
        <w:rPr>
          <w:rStyle w:val="libFootnoteBoldChar"/>
          <w:rtl/>
        </w:rPr>
        <w:t>المقنعة</w:t>
      </w:r>
      <w:r w:rsidR="008A74EB" w:rsidRPr="00C9040A">
        <w:rPr>
          <w:rtl/>
        </w:rPr>
        <w:t xml:space="preserve"> ، ص 374 ، بسندهما عن أبي‌عبدالله ، عن آبائه </w:t>
      </w:r>
      <w:r w:rsidR="00117575" w:rsidRPr="00117575">
        <w:rPr>
          <w:rStyle w:val="libFootnoteAlaemChar"/>
          <w:rtl/>
        </w:rPr>
        <w:t>عليهم‌السلام</w:t>
      </w:r>
      <w:r w:rsidR="008A74EB" w:rsidRPr="00C9040A">
        <w:rPr>
          <w:rtl/>
        </w:rPr>
        <w:t xml:space="preserve"> عن رسول الله </w:t>
      </w:r>
      <w:r w:rsidR="004A4E41" w:rsidRPr="00C822D0">
        <w:rPr>
          <w:rStyle w:val="libFootnoteAlaemChar"/>
          <w:rtl/>
        </w:rPr>
        <w:t>صلى‌الله‌عليه‌وآله</w:t>
      </w:r>
      <w:r w:rsidR="008A74EB" w:rsidRPr="00C9040A">
        <w:rPr>
          <w:rtl/>
        </w:rPr>
        <w:t xml:space="preserve"> ، مع زيادة في أوّله </w:t>
      </w:r>
      <w:r w:rsidR="002568AF">
        <w:rPr>
          <w:rFonts w:hint="cs"/>
          <w:rtl/>
        </w:rPr>
        <w:t>.</w:t>
      </w:r>
      <w:r w:rsidR="008A74EB" w:rsidRPr="00993B55">
        <w:rPr>
          <w:rStyle w:val="libFootnoteBoldChar"/>
          <w:rtl/>
        </w:rPr>
        <w:t>الوافي</w:t>
      </w:r>
      <w:r w:rsidR="008A74EB" w:rsidRPr="00C9040A">
        <w:rPr>
          <w:rtl/>
        </w:rPr>
        <w:t xml:space="preserve"> ، ج 5 ، ص 793 ، ح 3054 ؛ </w:t>
      </w:r>
      <w:r w:rsidR="008A74EB" w:rsidRPr="00993B55">
        <w:rPr>
          <w:rStyle w:val="libFootnoteBoldChar"/>
          <w:rtl/>
        </w:rPr>
        <w:t>البحار</w:t>
      </w:r>
      <w:r w:rsidR="008A74EB" w:rsidRPr="00C9040A">
        <w:rPr>
          <w:rtl/>
        </w:rPr>
        <w:t xml:space="preserve"> ، ج 72 ، ص 15 ، ح 15.</w:t>
      </w:r>
    </w:p>
    <w:p w:rsidR="008A74EB" w:rsidRPr="00C9040A" w:rsidRDefault="006C577F" w:rsidP="004A4E41">
      <w:pPr>
        <w:pStyle w:val="libFootnote0"/>
        <w:rPr>
          <w:rtl/>
          <w:lang w:bidi="fa-IR"/>
        </w:rPr>
      </w:pPr>
      <w:r>
        <w:rPr>
          <w:rtl/>
        </w:rPr>
        <w:t>(5).</w:t>
      </w:r>
      <w:r w:rsidR="008A74EB" w:rsidRPr="00C9040A">
        <w:rPr>
          <w:rtl/>
        </w:rPr>
        <w:t xml:space="preserve"> المراد من « بإسناده » هو السند المتقدّم في الحديث السابق.</w:t>
      </w:r>
    </w:p>
    <w:tbl>
      <w:tblPr>
        <w:tblStyle w:val="TableGrid"/>
        <w:bidiVisual/>
        <w:tblW w:w="0" w:type="auto"/>
        <w:tblLook w:val="04A0" w:firstRow="1" w:lastRow="0" w:firstColumn="1" w:lastColumn="0" w:noHBand="0" w:noVBand="1"/>
      </w:tblPr>
      <w:tblGrid>
        <w:gridCol w:w="4006"/>
        <w:gridCol w:w="4006"/>
      </w:tblGrid>
      <w:tr w:rsidR="002568AF" w:rsidTr="002568AF">
        <w:tc>
          <w:tcPr>
            <w:tcW w:w="4006" w:type="dxa"/>
          </w:tcPr>
          <w:p w:rsidR="002568AF" w:rsidRDefault="002568AF" w:rsidP="004A4E41">
            <w:pPr>
              <w:pStyle w:val="libFootnote0"/>
              <w:rPr>
                <w:rtl/>
              </w:rPr>
            </w:pPr>
            <w:r>
              <w:rPr>
                <w:rtl/>
              </w:rPr>
              <w:t xml:space="preserve">(6). </w:t>
            </w:r>
            <w:r w:rsidRPr="00C9040A">
              <w:rPr>
                <w:rtl/>
              </w:rPr>
              <w:t>في « ز » وحاشية « د ، ص » : « رسول الله »</w:t>
            </w:r>
            <w:r>
              <w:rPr>
                <w:rtl/>
              </w:rPr>
              <w:t>.</w:t>
            </w:r>
          </w:p>
        </w:tc>
        <w:tc>
          <w:tcPr>
            <w:tcW w:w="4006" w:type="dxa"/>
          </w:tcPr>
          <w:p w:rsidR="002568AF" w:rsidRDefault="002568AF" w:rsidP="004A4E41">
            <w:pPr>
              <w:pStyle w:val="libFootnote0"/>
              <w:rPr>
                <w:rtl/>
              </w:rPr>
            </w:pPr>
            <w:r>
              <w:rPr>
                <w:rtl/>
              </w:rPr>
              <w:t>(7).</w:t>
            </w:r>
            <w:r w:rsidRPr="00C9040A">
              <w:rPr>
                <w:rtl/>
              </w:rPr>
              <w:t xml:space="preserve"> في « د » : « معاشر »</w:t>
            </w:r>
            <w:r>
              <w:rPr>
                <w:rtl/>
              </w:rPr>
              <w:t>.</w:t>
            </w:r>
          </w:p>
        </w:tc>
      </w:tr>
      <w:tr w:rsidR="002568AF" w:rsidTr="002568AF">
        <w:tc>
          <w:tcPr>
            <w:tcW w:w="4006" w:type="dxa"/>
          </w:tcPr>
          <w:p w:rsidR="002568AF" w:rsidRDefault="007B50F2" w:rsidP="004A4E41">
            <w:pPr>
              <w:pStyle w:val="libFootnote0"/>
              <w:rPr>
                <w:rtl/>
              </w:rPr>
            </w:pPr>
            <w:r>
              <w:rPr>
                <w:rtl/>
              </w:rPr>
              <w:t>(8).</w:t>
            </w:r>
            <w:r w:rsidRPr="00C9040A">
              <w:rPr>
                <w:rtl/>
              </w:rPr>
              <w:t xml:space="preserve"> في « </w:t>
            </w:r>
            <w:r>
              <w:rPr>
                <w:rtl/>
              </w:rPr>
              <w:t xml:space="preserve">ه </w:t>
            </w:r>
            <w:r w:rsidRPr="00C9040A">
              <w:rPr>
                <w:rtl/>
              </w:rPr>
              <w:t>» : « المسلمين »</w:t>
            </w:r>
            <w:r>
              <w:rPr>
                <w:rtl/>
              </w:rPr>
              <w:t>.</w:t>
            </w:r>
          </w:p>
        </w:tc>
        <w:tc>
          <w:tcPr>
            <w:tcW w:w="4006" w:type="dxa"/>
          </w:tcPr>
          <w:p w:rsidR="002568AF" w:rsidRDefault="007B50F2" w:rsidP="004A4E41">
            <w:pPr>
              <w:pStyle w:val="libFootnote0"/>
              <w:rPr>
                <w:rtl/>
              </w:rPr>
            </w:pPr>
            <w:r>
              <w:rPr>
                <w:rtl/>
              </w:rPr>
              <w:t>(9).</w:t>
            </w:r>
            <w:r w:rsidRPr="00C9040A">
              <w:rPr>
                <w:rtl/>
              </w:rPr>
              <w:t xml:space="preserve"> في حاشية « ص » : « أنفساً »</w:t>
            </w:r>
            <w:r>
              <w:rPr>
                <w:rtl/>
              </w:rPr>
              <w:t>.</w:t>
            </w:r>
          </w:p>
        </w:tc>
      </w:tr>
      <w:tr w:rsidR="002568AF" w:rsidTr="002568AF">
        <w:tc>
          <w:tcPr>
            <w:tcW w:w="4006" w:type="dxa"/>
          </w:tcPr>
          <w:p w:rsidR="002568AF" w:rsidRDefault="007B50F2" w:rsidP="004A4E41">
            <w:pPr>
              <w:pStyle w:val="libFootnote0"/>
              <w:rPr>
                <w:rtl/>
              </w:rPr>
            </w:pPr>
            <w:r>
              <w:rPr>
                <w:rtl/>
              </w:rPr>
              <w:t>(10).</w:t>
            </w:r>
            <w:r w:rsidRPr="00C9040A">
              <w:rPr>
                <w:rtl/>
              </w:rPr>
              <w:t xml:space="preserve"> في « ص » : « وإن »</w:t>
            </w:r>
            <w:r>
              <w:rPr>
                <w:rtl/>
              </w:rPr>
              <w:t>.</w:t>
            </w:r>
          </w:p>
        </w:tc>
        <w:tc>
          <w:tcPr>
            <w:tcW w:w="4006" w:type="dxa"/>
          </w:tcPr>
          <w:p w:rsidR="002568AF" w:rsidRDefault="007B50F2" w:rsidP="004A4E41">
            <w:pPr>
              <w:pStyle w:val="libFootnote0"/>
              <w:rPr>
                <w:rtl/>
              </w:rPr>
            </w:pPr>
            <w:r>
              <w:rPr>
                <w:rtl/>
              </w:rPr>
              <w:t>(11).</w:t>
            </w:r>
            <w:r w:rsidRPr="00C9040A">
              <w:rPr>
                <w:rtl/>
              </w:rPr>
              <w:t xml:space="preserve"> في « ب » : « فلا يثاب »</w:t>
            </w:r>
            <w:r>
              <w:rPr>
                <w:rtl/>
              </w:rPr>
              <w:t>.</w:t>
            </w:r>
          </w:p>
        </w:tc>
      </w:tr>
    </w:tbl>
    <w:p w:rsidR="008A74EB" w:rsidRPr="00C9040A" w:rsidRDefault="006C577F" w:rsidP="004A4E41">
      <w:pPr>
        <w:pStyle w:val="libFootnote0"/>
        <w:rPr>
          <w:rtl/>
          <w:lang w:bidi="fa-IR"/>
        </w:rPr>
      </w:pPr>
      <w:r>
        <w:rPr>
          <w:rtl/>
        </w:rPr>
        <w:t>(12).</w:t>
      </w:r>
      <w:r w:rsidR="008A74EB" w:rsidRPr="00C9040A">
        <w:rPr>
          <w:rtl/>
        </w:rPr>
        <w:t xml:space="preserve"> </w:t>
      </w:r>
      <w:r w:rsidR="008A74EB" w:rsidRPr="00993B55">
        <w:rPr>
          <w:rStyle w:val="libFootnoteBoldChar"/>
          <w:rtl/>
        </w:rPr>
        <w:t>ثواب الأعمال</w:t>
      </w:r>
      <w:r w:rsidR="008A74EB" w:rsidRPr="00C9040A">
        <w:rPr>
          <w:rtl/>
        </w:rPr>
        <w:t xml:space="preserve"> ، ص 218 ، ح 2 ، عن حمزة بن محمّد العلوي ، عن عليّ بن إبراهيم ، عن أبيه ، عن النوفلي ، عن السكوني ، عن أبي‌عبدالله ، عن آبائه </w:t>
      </w:r>
      <w:r w:rsidR="00117575" w:rsidRPr="00117575">
        <w:rPr>
          <w:rStyle w:val="libFootnoteAlaemChar"/>
          <w:rtl/>
        </w:rPr>
        <w:t>عليهم‌السلام</w:t>
      </w:r>
      <w:r w:rsidR="008A74EB" w:rsidRPr="00C9040A">
        <w:rPr>
          <w:rtl/>
        </w:rPr>
        <w:t xml:space="preserve"> عن رسول الله </w:t>
      </w:r>
      <w:r w:rsidR="004A4E41" w:rsidRPr="007B50F2">
        <w:rPr>
          <w:rStyle w:val="libFootnoteAlaemChar"/>
          <w:rtl/>
        </w:rPr>
        <w:t>صلى‌الله‌عليه‌وآله</w:t>
      </w:r>
      <w:r w:rsidR="008A74EB" w:rsidRPr="00C9040A">
        <w:rPr>
          <w:rtl/>
        </w:rPr>
        <w:t xml:space="preserve"> </w:t>
      </w:r>
      <w:r w:rsidR="007B50F2">
        <w:rPr>
          <w:rFonts w:hint="cs"/>
          <w:rtl/>
        </w:rPr>
        <w:t>.</w:t>
      </w:r>
      <w:r w:rsidR="008A74EB" w:rsidRPr="00993B55">
        <w:rPr>
          <w:rStyle w:val="libFootnoteBoldChar"/>
          <w:rtl/>
        </w:rPr>
        <w:t>الوافي</w:t>
      </w:r>
      <w:r w:rsidR="008A74EB" w:rsidRPr="00C9040A">
        <w:rPr>
          <w:rtl/>
        </w:rPr>
        <w:t xml:space="preserve"> ، ج 5 ، ص 793 ، ح 3055 ؛ </w:t>
      </w:r>
      <w:r w:rsidR="008A74EB" w:rsidRPr="00993B55">
        <w:rPr>
          <w:rStyle w:val="libFootnoteBoldChar"/>
          <w:rtl/>
        </w:rPr>
        <w:t>البحار</w:t>
      </w:r>
      <w:r w:rsidR="008A74EB" w:rsidRPr="00C9040A">
        <w:rPr>
          <w:rtl/>
        </w:rPr>
        <w:t xml:space="preserve"> ، ج 72 ، ص 17 ، ح 16.</w:t>
      </w:r>
    </w:p>
    <w:p w:rsidR="008A74EB" w:rsidRPr="00C9040A" w:rsidRDefault="008A74EB" w:rsidP="004A4E41">
      <w:pPr>
        <w:pStyle w:val="libFootnote0"/>
        <w:rPr>
          <w:rtl/>
          <w:lang w:bidi="fa-IR"/>
        </w:rPr>
      </w:pPr>
      <w:r>
        <w:rPr>
          <w:rtl/>
        </w:rPr>
        <w:t>(13)</w:t>
      </w:r>
      <w:r w:rsidRPr="00C9040A">
        <w:rPr>
          <w:rtl/>
        </w:rPr>
        <w:t xml:space="preserve"> هكذا في « ج ، ز ، </w:t>
      </w:r>
      <w:r w:rsidR="006D3162">
        <w:rPr>
          <w:rtl/>
        </w:rPr>
        <w:t xml:space="preserve">ه </w:t>
      </w:r>
      <w:r w:rsidRPr="00C9040A">
        <w:rPr>
          <w:rtl/>
        </w:rPr>
        <w:t>، بر ، بس ، بف ، جر »</w:t>
      </w:r>
      <w:r>
        <w:rPr>
          <w:rtl/>
        </w:rPr>
        <w:t>.</w:t>
      </w:r>
      <w:r w:rsidRPr="00C9040A">
        <w:rPr>
          <w:rtl/>
        </w:rPr>
        <w:t xml:space="preserve"> وفي « ب ، ص ، ض » والمطبوع : « عدّة من أصحابنا ، عن أحمد بن محمّد بن أبي‌نصر »</w:t>
      </w:r>
      <w:r>
        <w:rPr>
          <w:rtl/>
        </w:rPr>
        <w:t>.</w:t>
      </w:r>
      <w:r w:rsidRPr="00C9040A">
        <w:rPr>
          <w:rtl/>
        </w:rPr>
        <w:t xml:space="preserve"> وفي البحار : « عدّة من أصحابنا ، عن أحمد بن محمّد ، عن ابن أبي‌نصر »</w:t>
      </w:r>
      <w:r>
        <w:rPr>
          <w:rtl/>
        </w:rPr>
        <w:t>.</w:t>
      </w:r>
      <w:r w:rsidR="007B50F2">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إِذَا كَانَ يَوْمُ الْقِيَامَةِ ، أَمَرَ اللهُ</w:t>
      </w:r>
      <w:r>
        <w:rPr>
          <w:rtl/>
          <w:lang w:bidi="fa-IR"/>
        </w:rPr>
        <w:t xml:space="preserve"> </w:t>
      </w:r>
      <w:r w:rsidR="0084262C">
        <w:rPr>
          <w:rtl/>
          <w:lang w:bidi="fa-IR"/>
        </w:rPr>
        <w:t>-</w:t>
      </w:r>
      <w:r>
        <w:rPr>
          <w:rtl/>
          <w:lang w:bidi="fa-IR"/>
        </w:rPr>
        <w:t xml:space="preserve"> </w:t>
      </w:r>
      <w:r w:rsidRPr="00C9040A">
        <w:rPr>
          <w:rtl/>
          <w:lang w:bidi="fa-IR"/>
        </w:rPr>
        <w:t>تَبَارَكَ وَتَعَالى</w:t>
      </w:r>
      <w:r>
        <w:rPr>
          <w:rtl/>
          <w:lang w:bidi="fa-IR"/>
        </w:rPr>
        <w:t xml:space="preserve"> </w:t>
      </w:r>
      <w:r w:rsidR="0084262C">
        <w:rPr>
          <w:rtl/>
          <w:lang w:bidi="fa-IR"/>
        </w:rPr>
        <w:t>-</w:t>
      </w:r>
      <w:r>
        <w:rPr>
          <w:rtl/>
          <w:lang w:bidi="fa-IR"/>
        </w:rPr>
        <w:t xml:space="preserve"> </w:t>
      </w:r>
      <w:r w:rsidRPr="00C9040A">
        <w:rPr>
          <w:rtl/>
          <w:lang w:bidi="fa-IR"/>
        </w:rPr>
        <w:t>مُنَادِياً يُنَادِي بَيْنَ يَدَيْهِ : أَيْنَ الْفُقَرَاءُ</w:t>
      </w:r>
      <w:r>
        <w:rPr>
          <w:rtl/>
          <w:lang w:bidi="fa-IR"/>
        </w:rPr>
        <w:t>؟</w:t>
      </w:r>
      <w:r w:rsidRPr="00C9040A">
        <w:rPr>
          <w:rtl/>
          <w:lang w:bidi="fa-IR"/>
        </w:rPr>
        <w:t xml:space="preserve"> فَيَقُومُ عُنُقٌ </w:t>
      </w:r>
      <w:r w:rsidR="006C577F" w:rsidRPr="006C577F">
        <w:rPr>
          <w:rStyle w:val="libFootnotenumChar"/>
          <w:rtl/>
        </w:rPr>
        <w:t>(1)</w:t>
      </w:r>
      <w:r w:rsidRPr="00C9040A">
        <w:rPr>
          <w:rtl/>
          <w:lang w:bidi="fa-IR"/>
        </w:rPr>
        <w:t xml:space="preserve"> مِنَ النَّاسِ كَثِيرٌ ، فَيَقُولُ : عِبَادِي ، فَيَقُولُونَ : لَبَّيْكَ رَبَّنَا ، فَيَقُولُ : إِنِّي لَمْ أُفْقِرْكُمْ </w:t>
      </w:r>
      <w:r w:rsidR="006C577F" w:rsidRPr="006C577F">
        <w:rPr>
          <w:rStyle w:val="libFootnotenumChar"/>
          <w:rtl/>
        </w:rPr>
        <w:t>(2)</w:t>
      </w:r>
      <w:r w:rsidRPr="00C9040A">
        <w:rPr>
          <w:rtl/>
          <w:lang w:bidi="fa-IR"/>
        </w:rPr>
        <w:t xml:space="preserve"> لِهَوَانٍ بِكُمْ عَلَيَّ ، وَلكِنِّي </w:t>
      </w:r>
      <w:r w:rsidR="006C577F" w:rsidRPr="006C577F">
        <w:rPr>
          <w:rStyle w:val="libFootnotenumChar"/>
          <w:rtl/>
        </w:rPr>
        <w:t>(3)</w:t>
      </w:r>
      <w:r w:rsidRPr="00C9040A">
        <w:rPr>
          <w:rtl/>
          <w:lang w:bidi="fa-IR"/>
        </w:rPr>
        <w:t xml:space="preserve"> إِنَّمَا اخْتَرْتُكُمْ لِمِثْلِ هذَا الْيَوْمِ ، تَصَفَّحُوا وُجُوهَ النَّاسِ ، فَمَنْ صَنَعَ إِلَيْكُمْ م</w:t>
      </w:r>
      <w:r w:rsidR="007B50F2">
        <w:rPr>
          <w:rtl/>
          <w:lang w:bidi="fa-IR"/>
        </w:rPr>
        <w:t>َعْرُوفاً لَمْ يَصْنَعْهُ إِل</w:t>
      </w:r>
      <w:r w:rsidR="007B50F2">
        <w:rPr>
          <w:rFonts w:hint="cs"/>
          <w:rtl/>
          <w:lang w:bidi="fa-IR"/>
        </w:rPr>
        <w:t>َّ</w:t>
      </w:r>
      <w:r w:rsidR="007B50F2">
        <w:rPr>
          <w:rtl/>
          <w:lang w:bidi="fa-IR"/>
        </w:rPr>
        <w:t>ا</w:t>
      </w:r>
      <w:r w:rsidRPr="00C9040A">
        <w:rPr>
          <w:rtl/>
          <w:lang w:bidi="fa-IR"/>
        </w:rPr>
        <w:t xml:space="preserve"> فِيَّ ، فَكَافُوهُ عَنِّي بِالْجَنَّةِ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531734">
        <w:rPr>
          <w:rtl/>
        </w:rPr>
        <w:t>2397</w:t>
      </w:r>
      <w:r w:rsidRPr="00261CB0">
        <w:rPr>
          <w:rStyle w:val="libBold2Char"/>
          <w:rtl/>
        </w:rPr>
        <w:t xml:space="preserve"> / 16.</w:t>
      </w:r>
      <w:r w:rsidRPr="00C9040A">
        <w:rPr>
          <w:rtl/>
          <w:lang w:bidi="fa-IR"/>
        </w:rPr>
        <w:t xml:space="preserve"> مُحَمَّدُ بْنُ يَحْيى ، عَنْ أَحْمَدَ بْنِ مُحَمَّدِ بْنِ عِيسى ، عَنْ إِبْرَاهِيمَ الْحَذَّاءِ ، عَنْ مُحَمَّدِ بْنِ صَغِيرٍ ، عَنْ جَدِّهِ شُعَيْبٍ ، عَنْ مُفَضَّلٍ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لَوْ لَا</w:t>
      </w:r>
      <w:r>
        <w:rPr>
          <w:rFonts w:hint="cs"/>
          <w:rtl/>
          <w:lang w:bidi="fa-IR"/>
        </w:rPr>
        <w:t xml:space="preserve"> </w:t>
      </w:r>
      <w:r w:rsidRPr="00C9040A">
        <w:rPr>
          <w:rtl/>
          <w:lang w:bidi="fa-IR"/>
        </w:rPr>
        <w:t xml:space="preserve">إِلْحَاحُ هذِهِ الشِّيعَةِ عَلَى اللهِ فِي طَلَبِ الرِّزْقِ ، لَنَقَلَهُمْ مِنَ الْحَالِ الَّتِي هُمْ فِيهَا إِلى مَا هُوَ </w:t>
      </w:r>
      <w:r w:rsidR="006C577F" w:rsidRPr="006C577F">
        <w:rPr>
          <w:rStyle w:val="libFootnotenumChar"/>
          <w:rtl/>
        </w:rPr>
        <w:t>(5)</w:t>
      </w:r>
      <w:r w:rsidRPr="00C9040A">
        <w:rPr>
          <w:rtl/>
          <w:lang w:bidi="fa-IR"/>
        </w:rPr>
        <w:t xml:space="preserve"> أَضْيَقُ مِنْهَا </w:t>
      </w:r>
      <w:r w:rsidR="006C577F" w:rsidRPr="006C577F">
        <w:rPr>
          <w:rStyle w:val="libFootnotenumChar"/>
          <w:rtl/>
        </w:rPr>
        <w:t>(6)</w:t>
      </w:r>
      <w:r w:rsidRPr="005B567D">
        <w:rPr>
          <w:rStyle w:val="libFootnotenumChar"/>
          <w:rtl/>
        </w:rPr>
        <w:t xml:space="preserve"> </w:t>
      </w:r>
      <w:r w:rsidRPr="00C9040A">
        <w:rPr>
          <w:rtl/>
          <w:lang w:bidi="fa-IR"/>
        </w:rPr>
        <w:t>»</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531734">
        <w:rPr>
          <w:rtl/>
        </w:rPr>
        <w:t>2398</w:t>
      </w:r>
      <w:r w:rsidRPr="00261CB0">
        <w:rPr>
          <w:rStyle w:val="libBold2Char"/>
          <w:rtl/>
        </w:rPr>
        <w:t xml:space="preserve"> / 17.</w:t>
      </w:r>
      <w:r w:rsidRPr="00C9040A">
        <w:rPr>
          <w:rtl/>
          <w:lang w:bidi="fa-IR"/>
        </w:rPr>
        <w:t xml:space="preserve"> أَبُو عَلِيٍّ الْأَشْعَرِيُّ ، عَنْ مُحَمَّدِ بْنِ عَبْدِ الْجَبَّارِ ، عَنِ ابْنِ فَضَّالٍ ، عَنْ مُحَمَّدِ بْنِ الْحُسَيْنِ بْنِ كَثِيرٍ الْخَزَّازِ </w:t>
      </w:r>
      <w:r w:rsidR="006C577F" w:rsidRPr="006C577F">
        <w:rPr>
          <w:rStyle w:val="libFootnotenumChar"/>
          <w:rtl/>
        </w:rPr>
        <w:t>(8)</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7B50F2" w:rsidP="004A4E41">
      <w:pPr>
        <w:pStyle w:val="libFootnote0"/>
        <w:rPr>
          <w:rtl/>
          <w:lang w:bidi="fa-IR"/>
        </w:rPr>
      </w:pPr>
      <w:r>
        <w:rPr>
          <w:rFonts w:hint="cs"/>
          <w:rtl/>
        </w:rPr>
        <w:t xml:space="preserve">= </w:t>
      </w:r>
      <w:r w:rsidR="008A74EB" w:rsidRPr="0082575F">
        <w:rPr>
          <w:rtl/>
        </w:rPr>
        <w:t>هذا ، ووقوع السقط في المطبوع وما وافقه من النسخ</w:t>
      </w:r>
      <w:r w:rsidR="008A74EB">
        <w:rPr>
          <w:rtl/>
        </w:rPr>
        <w:t xml:space="preserve"> </w:t>
      </w:r>
      <w:r w:rsidR="0084262C">
        <w:rPr>
          <w:rtl/>
        </w:rPr>
        <w:t>-</w:t>
      </w:r>
      <w:r w:rsidR="008A74EB">
        <w:rPr>
          <w:rtl/>
        </w:rPr>
        <w:t xml:space="preserve"> </w:t>
      </w:r>
      <w:r w:rsidR="008A74EB" w:rsidRPr="0082575F">
        <w:rPr>
          <w:rtl/>
        </w:rPr>
        <w:t>لجواز النظر من « أحمد بن محمّد » الأوّل إلى « أحمد بن محمّد » الثاني</w:t>
      </w:r>
      <w:r w:rsidR="008A74EB">
        <w:rPr>
          <w:rtl/>
        </w:rPr>
        <w:t xml:space="preserve"> </w:t>
      </w:r>
      <w:r w:rsidR="0084262C">
        <w:rPr>
          <w:rtl/>
        </w:rPr>
        <w:t>-</w:t>
      </w:r>
      <w:r w:rsidR="008A74EB">
        <w:rPr>
          <w:rtl/>
        </w:rPr>
        <w:t xml:space="preserve"> </w:t>
      </w:r>
      <w:r w:rsidR="008A74EB" w:rsidRPr="0082575F">
        <w:rPr>
          <w:rtl/>
        </w:rPr>
        <w:t>واضح.</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 العنق » : الجماعة من الناس والرؤساء. </w:t>
      </w:r>
      <w:r w:rsidR="008A74EB" w:rsidRPr="00993B55">
        <w:rPr>
          <w:rStyle w:val="libFootnoteBoldChar"/>
          <w:rtl/>
        </w:rPr>
        <w:t>القاموس المحيط</w:t>
      </w:r>
      <w:r w:rsidR="008A74EB" w:rsidRPr="00C9040A">
        <w:rPr>
          <w:rtl/>
        </w:rPr>
        <w:t xml:space="preserve"> ، ج 2 ، ص 1210 ( عنق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حاشية « بر » : « لم أفقرتكم »</w:t>
      </w:r>
      <w:r w:rsidR="008A74EB">
        <w:rPr>
          <w:rtl/>
        </w:rPr>
        <w:t>.</w:t>
      </w:r>
      <w:r w:rsidR="008A74EB" w:rsidRPr="00C9040A">
        <w:rPr>
          <w:rtl/>
        </w:rPr>
        <w:t xml:space="preserve"> فيه ما لا يخفى بُعده.</w:t>
      </w:r>
    </w:p>
    <w:p w:rsidR="008A74EB" w:rsidRPr="00C9040A" w:rsidRDefault="006C577F" w:rsidP="004A4E41">
      <w:pPr>
        <w:pStyle w:val="libFootnote0"/>
        <w:rPr>
          <w:rtl/>
          <w:lang w:bidi="fa-IR"/>
        </w:rPr>
      </w:pPr>
      <w:r>
        <w:rPr>
          <w:rtl/>
        </w:rPr>
        <w:t>(3).</w:t>
      </w:r>
      <w:r w:rsidR="008A74EB" w:rsidRPr="00C9040A">
        <w:rPr>
          <w:rtl/>
        </w:rPr>
        <w:t xml:space="preserve"> في حاشية « بر » ومرآة العقول والبحار : « ولكن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ثواب الأعمال</w:t>
      </w:r>
      <w:r w:rsidR="008A74EB" w:rsidRPr="00C9040A">
        <w:rPr>
          <w:rtl/>
        </w:rPr>
        <w:t xml:space="preserve"> ، ص 218 ، ح 1 ، بسند آخر عن يعقوب بن يزيد ، عمّن ذكره ، عن أبي‌عبدالله </w:t>
      </w:r>
      <w:r w:rsidR="00117575" w:rsidRPr="00117575">
        <w:rPr>
          <w:rStyle w:val="libFootnoteAlaemChar"/>
          <w:rtl/>
        </w:rPr>
        <w:t>عليه‌السلام</w:t>
      </w:r>
      <w:r w:rsidR="008A74EB" w:rsidRPr="00C9040A">
        <w:rPr>
          <w:rtl/>
        </w:rPr>
        <w:t xml:space="preserve"> ، مع اختلاف يسير وزيادة </w:t>
      </w:r>
      <w:r w:rsidR="007B50F2">
        <w:rPr>
          <w:rFonts w:hint="cs"/>
          <w:rtl/>
        </w:rPr>
        <w:t>.</w:t>
      </w:r>
      <w:r w:rsidR="008A74EB" w:rsidRPr="00993B55">
        <w:rPr>
          <w:rStyle w:val="libFootnoteBoldChar"/>
          <w:rtl/>
        </w:rPr>
        <w:t>الوافي</w:t>
      </w:r>
      <w:r w:rsidR="008A74EB" w:rsidRPr="00C9040A">
        <w:rPr>
          <w:rtl/>
        </w:rPr>
        <w:t xml:space="preserve"> ، ج 5 ، ص 791 ، ح 3051 ؛ </w:t>
      </w:r>
      <w:r w:rsidR="008A74EB" w:rsidRPr="00993B55">
        <w:rPr>
          <w:rStyle w:val="libFootnoteBoldChar"/>
          <w:rtl/>
        </w:rPr>
        <w:t>البحار</w:t>
      </w:r>
      <w:r w:rsidR="008A74EB" w:rsidRPr="00C9040A">
        <w:rPr>
          <w:rtl/>
        </w:rPr>
        <w:t xml:space="preserve"> ، ج 7 ، ص 200 ، ح 78 ؛ وج 72 ، ص 24 ، ح 17.</w:t>
      </w:r>
    </w:p>
    <w:p w:rsidR="008A74EB" w:rsidRPr="00C9040A" w:rsidRDefault="006C577F" w:rsidP="004A4E41">
      <w:pPr>
        <w:pStyle w:val="libFootnote0"/>
        <w:rPr>
          <w:rtl/>
          <w:lang w:bidi="fa-IR"/>
        </w:rPr>
      </w:pPr>
      <w:r>
        <w:rPr>
          <w:rtl/>
        </w:rPr>
        <w:t>(5).</w:t>
      </w:r>
      <w:r w:rsidR="008A74EB" w:rsidRPr="00C9040A">
        <w:rPr>
          <w:rtl/>
        </w:rPr>
        <w:t xml:space="preserve"> في الوافي : « حال » بدل « ما هو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 ج ، د ، ص ، بر ، بس » وحاشية « بف » والبحار </w:t>
      </w:r>
      <w:r w:rsidR="008A74EB">
        <w:rPr>
          <w:rtl/>
        </w:rPr>
        <w:t xml:space="preserve">: </w:t>
      </w:r>
      <w:r w:rsidR="0084262C">
        <w:rPr>
          <w:rtl/>
        </w:rPr>
        <w:t>-</w:t>
      </w:r>
      <w:r w:rsidR="008A74EB" w:rsidRPr="00C9040A">
        <w:rPr>
          <w:rtl/>
        </w:rPr>
        <w:t xml:space="preserve"> « منها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الوافي</w:t>
      </w:r>
      <w:r w:rsidR="008A74EB" w:rsidRPr="00C9040A">
        <w:rPr>
          <w:rtl/>
        </w:rPr>
        <w:t xml:space="preserve"> ، ج 5 ، ص 785 ، ح 3037 ؛ </w:t>
      </w:r>
      <w:r w:rsidR="008A74EB" w:rsidRPr="00993B55">
        <w:rPr>
          <w:rStyle w:val="libFootnoteBoldChar"/>
          <w:rtl/>
        </w:rPr>
        <w:t>الوسائل</w:t>
      </w:r>
      <w:r w:rsidR="008A74EB" w:rsidRPr="00C9040A">
        <w:rPr>
          <w:rtl/>
        </w:rPr>
        <w:t xml:space="preserve"> ، ج 7 ، ص 59 ، ذيل ح 8718 ؛ </w:t>
      </w:r>
      <w:r w:rsidR="008A74EB" w:rsidRPr="00993B55">
        <w:rPr>
          <w:rStyle w:val="libFootnoteBoldChar"/>
          <w:rtl/>
        </w:rPr>
        <w:t>البحار</w:t>
      </w:r>
      <w:r w:rsidR="008A74EB" w:rsidRPr="00C9040A">
        <w:rPr>
          <w:rtl/>
        </w:rPr>
        <w:t xml:space="preserve"> ، ج 72 ، ص 24 ، ح 18.</w:t>
      </w:r>
    </w:p>
    <w:p w:rsidR="008A74EB" w:rsidRPr="00C9040A" w:rsidRDefault="006C577F" w:rsidP="004A4E41">
      <w:pPr>
        <w:pStyle w:val="libFootnote0"/>
        <w:rPr>
          <w:rtl/>
          <w:lang w:bidi="fa-IR"/>
        </w:rPr>
      </w:pPr>
      <w:r>
        <w:rPr>
          <w:rtl/>
        </w:rPr>
        <w:t>(8).</w:t>
      </w:r>
      <w:r w:rsidR="008A74EB" w:rsidRPr="00C9040A">
        <w:rPr>
          <w:rtl/>
        </w:rPr>
        <w:t xml:space="preserve"> في « بر ، بف » : « الخرّاز »</w:t>
      </w:r>
      <w:r w:rsidR="008A74EB">
        <w:rPr>
          <w:rtl/>
        </w:rPr>
        <w:t>.</w:t>
      </w:r>
      <w:r w:rsidR="008A74EB" w:rsidRPr="00C9040A">
        <w:rPr>
          <w:rtl/>
        </w:rPr>
        <w:t xml:space="preserve"> والظاهر صحّة « الخزّاز » ؛ فقد روى محمّد بن الحسين بن كثير الخزّاز ، عن أبيه في </w:t>
      </w:r>
      <w:r w:rsidR="008A74EB" w:rsidRPr="00993B55">
        <w:rPr>
          <w:rStyle w:val="libFootnoteBoldChar"/>
          <w:rtl/>
        </w:rPr>
        <w:t>الكافي</w:t>
      </w:r>
      <w:r w:rsidR="008A74EB" w:rsidRPr="00C9040A">
        <w:rPr>
          <w:rtl/>
        </w:rPr>
        <w:t xml:space="preserve"> ، ح 12486. والحسين بن كثير الخزّاز مذكور في رجال أبي‌عبدالله </w:t>
      </w:r>
      <w:r w:rsidR="00117575" w:rsidRPr="00117575">
        <w:rPr>
          <w:rStyle w:val="libFootnoteAlaemChar"/>
          <w:rtl/>
        </w:rPr>
        <w:t xml:space="preserve">عليه‌السلام </w:t>
      </w:r>
      <w:r w:rsidR="008A74EB" w:rsidRPr="00C9040A">
        <w:rPr>
          <w:rtl/>
        </w:rPr>
        <w:t xml:space="preserve">. راجع : </w:t>
      </w:r>
      <w:r w:rsidR="008A74EB" w:rsidRPr="00993B55">
        <w:rPr>
          <w:rStyle w:val="libFootnoteBoldChar"/>
          <w:rtl/>
        </w:rPr>
        <w:t>رجال الطوسي</w:t>
      </w:r>
      <w:r w:rsidR="008A74EB" w:rsidRPr="00C9040A">
        <w:rPr>
          <w:rtl/>
        </w:rPr>
        <w:t xml:space="preserve"> ، ص 184 ، الرقم 2234 </w:t>
      </w:r>
      <w:r w:rsidR="008A74EB">
        <w:rPr>
          <w:rtl/>
        </w:rPr>
        <w:t>و 2</w:t>
      </w:r>
      <w:r w:rsidR="008A74EB" w:rsidRPr="00C9040A">
        <w:rPr>
          <w:rtl/>
        </w:rPr>
        <w:t>235.</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قَالَ لِي </w:t>
      </w:r>
      <w:r w:rsidR="006C577F" w:rsidRPr="006C577F">
        <w:rPr>
          <w:rStyle w:val="libFootnotenumChar"/>
          <w:rtl/>
        </w:rPr>
        <w:t>(1)</w:t>
      </w:r>
      <w:r>
        <w:rPr>
          <w:rtl/>
          <w:lang w:bidi="fa-IR"/>
        </w:rPr>
        <w:t xml:space="preserve"> : « أَ</w:t>
      </w:r>
      <w:r w:rsidRPr="00C9040A">
        <w:rPr>
          <w:rtl/>
          <w:lang w:bidi="fa-IR"/>
        </w:rPr>
        <w:t>مَا تَدْخُلُ السُّوقَ</w:t>
      </w:r>
      <w:r>
        <w:rPr>
          <w:rtl/>
          <w:lang w:bidi="fa-IR"/>
        </w:rPr>
        <w:t>؟ أَ</w:t>
      </w:r>
      <w:r w:rsidRPr="00C9040A">
        <w:rPr>
          <w:rtl/>
          <w:lang w:bidi="fa-IR"/>
        </w:rPr>
        <w:t>مَا تَرَى الْفَاكِهَةَ تُبَاعُ وَالشَّيْ‌ءَ مِمَّا تَشْتَهِيهِ</w:t>
      </w:r>
      <w:r>
        <w:rPr>
          <w:rtl/>
          <w:lang w:bidi="fa-IR"/>
        </w:rPr>
        <w:t>؟</w:t>
      </w:r>
      <w:r w:rsidRPr="00C9040A">
        <w:rPr>
          <w:rtl/>
          <w:lang w:bidi="fa-IR"/>
        </w:rPr>
        <w:t xml:space="preserve"> » فَقُلْتُ : بَلى ، فَقَالَ : « أَمَا إِنَّ لَكَ بِكُلِّ مَا </w:t>
      </w:r>
      <w:r w:rsidR="006C577F" w:rsidRPr="006C577F">
        <w:rPr>
          <w:rStyle w:val="libFootnotenumChar"/>
          <w:rtl/>
        </w:rPr>
        <w:t>(2)</w:t>
      </w:r>
      <w:r w:rsidRPr="00C9040A">
        <w:rPr>
          <w:rtl/>
          <w:lang w:bidi="fa-IR"/>
        </w:rPr>
        <w:t xml:space="preserve"> تَرَاهُ فَلَا تَقْدِرُ عَلى شِرَائِهِ </w:t>
      </w:r>
      <w:r w:rsidR="006C577F" w:rsidRPr="006C577F">
        <w:rPr>
          <w:rStyle w:val="libFootnotenumChar"/>
          <w:rtl/>
        </w:rPr>
        <w:t>(3)</w:t>
      </w:r>
      <w:r w:rsidRPr="00C9040A">
        <w:rPr>
          <w:rtl/>
          <w:lang w:bidi="fa-IR"/>
        </w:rPr>
        <w:t xml:space="preserve"> حَسَنَةً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531734">
        <w:rPr>
          <w:rtl/>
        </w:rPr>
        <w:t>2399</w:t>
      </w:r>
      <w:r w:rsidRPr="00261CB0">
        <w:rPr>
          <w:rStyle w:val="libBold2Char"/>
          <w:rtl/>
        </w:rPr>
        <w:t xml:space="preserve"> / 18.</w:t>
      </w:r>
      <w:r w:rsidRPr="00C9040A">
        <w:rPr>
          <w:rtl/>
          <w:lang w:bidi="fa-IR"/>
        </w:rPr>
        <w:t xml:space="preserve"> مُحَمَّدُ بْنُ يَحْيى ، عَنْ أَحْمَدَ بْنِ مُحَمَّدِ بْنِ عِيسى ، عَنْ مُحَمَّدِ بْنِ سِنَانٍ ، عَنْ عَلِيِّ بْنِ عَفَّانَ </w:t>
      </w:r>
      <w:r w:rsidR="006C577F" w:rsidRPr="006C577F">
        <w:rPr>
          <w:rStyle w:val="libFootnotenumChar"/>
          <w:rtl/>
        </w:rPr>
        <w:t>(5)</w:t>
      </w:r>
      <w:r w:rsidRPr="00C9040A">
        <w:rPr>
          <w:rtl/>
          <w:lang w:bidi="fa-IR"/>
        </w:rPr>
        <w:t xml:space="preserve"> ، عَنْ مُفَضَّلِ بْنِ عُمَرَ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إِنَّ اللهَ</w:t>
      </w:r>
      <w:r>
        <w:rPr>
          <w:rtl/>
          <w:lang w:bidi="fa-IR"/>
        </w:rPr>
        <w:t xml:space="preserve"> </w:t>
      </w:r>
      <w:r w:rsidR="0084262C">
        <w:rPr>
          <w:rtl/>
          <w:lang w:bidi="fa-IR"/>
        </w:rPr>
        <w:t>-</w:t>
      </w:r>
      <w:r>
        <w:rPr>
          <w:rtl/>
          <w:lang w:bidi="fa-IR"/>
        </w:rPr>
        <w:t xml:space="preserve"> </w:t>
      </w:r>
      <w:r w:rsidRPr="00C9040A">
        <w:rPr>
          <w:rtl/>
          <w:lang w:bidi="fa-IR"/>
        </w:rPr>
        <w:t>جَلَّ ثَنَاؤُهُ</w:t>
      </w:r>
      <w:r>
        <w:rPr>
          <w:rtl/>
          <w:lang w:bidi="fa-IR"/>
        </w:rPr>
        <w:t xml:space="preserve"> </w:t>
      </w:r>
      <w:r w:rsidR="0084262C">
        <w:rPr>
          <w:rtl/>
          <w:lang w:bidi="fa-IR"/>
        </w:rPr>
        <w:t>-</w:t>
      </w:r>
      <w:r>
        <w:rPr>
          <w:rtl/>
          <w:lang w:bidi="fa-IR"/>
        </w:rPr>
        <w:t xml:space="preserve"> </w:t>
      </w:r>
      <w:r w:rsidRPr="00C9040A">
        <w:rPr>
          <w:rtl/>
          <w:lang w:bidi="fa-IR"/>
        </w:rPr>
        <w:t xml:space="preserve">لَيَعْتَذِرُ إِلى </w:t>
      </w:r>
      <w:r w:rsidR="006C577F" w:rsidRPr="006C577F">
        <w:rPr>
          <w:rStyle w:val="libFootnotenumChar"/>
          <w:rtl/>
        </w:rPr>
        <w:t>(6)</w:t>
      </w:r>
      <w:r w:rsidRPr="005B567D">
        <w:rPr>
          <w:rStyle w:val="libFootnotenumChar"/>
          <w:rtl/>
        </w:rPr>
        <w:t xml:space="preserve"> </w:t>
      </w:r>
      <w:r w:rsidRPr="00C9040A">
        <w:rPr>
          <w:rtl/>
          <w:lang w:bidi="fa-IR"/>
        </w:rPr>
        <w:t xml:space="preserve">عَبْدِهِ الْمُؤْمِنِ الْمُحْوِجِ </w:t>
      </w:r>
      <w:r w:rsidR="006C577F" w:rsidRPr="006C577F">
        <w:rPr>
          <w:rStyle w:val="libFootnotenumChar"/>
          <w:rtl/>
        </w:rPr>
        <w:t>(7)</w:t>
      </w:r>
      <w:r w:rsidRPr="00C9040A">
        <w:rPr>
          <w:rtl/>
          <w:lang w:bidi="fa-IR"/>
        </w:rPr>
        <w:t xml:space="preserve"> فِي الدُّنْيَا ، كَمَا يَعْتَذِرُ الْأَخُ إِلى أَخِيهِ </w:t>
      </w:r>
      <w:r w:rsidR="006C577F" w:rsidRPr="006C577F">
        <w:rPr>
          <w:rStyle w:val="libFootnotenumChar"/>
          <w:rtl/>
        </w:rPr>
        <w:t>(8)</w:t>
      </w:r>
      <w:r w:rsidRPr="00C9040A">
        <w:rPr>
          <w:rtl/>
          <w:lang w:bidi="fa-IR"/>
        </w:rPr>
        <w:t xml:space="preserve"> ، فَيَقُولُ : وَعِزَّتِي وَجَلَالِي </w:t>
      </w:r>
      <w:r w:rsidR="006C577F" w:rsidRPr="006C577F">
        <w:rPr>
          <w:rStyle w:val="libFootnotenumChar"/>
          <w:rtl/>
        </w:rPr>
        <w:t>(9)</w:t>
      </w:r>
      <w:r w:rsidRPr="00C9040A">
        <w:rPr>
          <w:rtl/>
          <w:lang w:bidi="fa-IR"/>
        </w:rPr>
        <w:t xml:space="preserve"> ، مَا أَحْوَجْتُكَ فِي الدُّنْيَا مِنْ هَوَانٍ كَانَ بِكَ عَلَيَّ ، فَارْفَعْ هذَا السَّجْفَ </w:t>
      </w:r>
      <w:r w:rsidR="006C577F" w:rsidRPr="006C577F">
        <w:rPr>
          <w:rStyle w:val="libFootnotenumChar"/>
          <w:rtl/>
        </w:rPr>
        <w:t>(10)</w:t>
      </w:r>
      <w:r w:rsidRPr="00C9040A">
        <w:rPr>
          <w:rtl/>
          <w:lang w:bidi="fa-IR"/>
        </w:rPr>
        <w:t xml:space="preserve"> ، فَانْظُرْ إِلى </w:t>
      </w:r>
      <w:r w:rsidR="006C577F" w:rsidRPr="006C577F">
        <w:rPr>
          <w:rStyle w:val="libFootnotenumChar"/>
          <w:rtl/>
        </w:rPr>
        <w:t>(11)</w:t>
      </w:r>
      <w:r w:rsidRPr="00C9040A">
        <w:rPr>
          <w:rtl/>
          <w:lang w:bidi="fa-IR"/>
        </w:rPr>
        <w:t xml:space="preserve"> مَا عَوَّضْتُكَ مِنَ الدُّنْيَا » قَالَ : « فَيَرْفَعُ </w:t>
      </w:r>
      <w:r w:rsidR="006C577F" w:rsidRPr="006C577F">
        <w:rPr>
          <w:rStyle w:val="libFootnotenumChar"/>
          <w:rtl/>
        </w:rPr>
        <w:t>(12)</w:t>
      </w:r>
      <w:r w:rsidRPr="00C9040A">
        <w:rPr>
          <w:rtl/>
          <w:lang w:bidi="fa-IR"/>
        </w:rPr>
        <w:t xml:space="preserve"> ، فَيَقُولُ : مَا ضَرَّنِي مَا مَنَعْتَنِي مَعَ مَا </w:t>
      </w:r>
      <w:r w:rsidRPr="005B567D">
        <w:rPr>
          <w:rStyle w:val="libFootnotenumChar"/>
          <w:rtl/>
        </w:rPr>
        <w:t>(13)</w:t>
      </w:r>
      <w:r w:rsidRPr="00C9040A">
        <w:rPr>
          <w:rtl/>
          <w:lang w:bidi="fa-IR"/>
        </w:rPr>
        <w:t xml:space="preserve"> عَوَّضْتَنِي »</w:t>
      </w:r>
      <w:r>
        <w:rPr>
          <w:rtl/>
          <w:lang w:bidi="fa-IR"/>
        </w:rPr>
        <w:t>.</w:t>
      </w:r>
      <w:r w:rsidRPr="00C9040A">
        <w:rPr>
          <w:rtl/>
          <w:lang w:bidi="fa-IR"/>
        </w:rPr>
        <w:t xml:space="preserve"> </w:t>
      </w:r>
      <w:r w:rsidRPr="005B567D">
        <w:rPr>
          <w:rStyle w:val="libFootnotenumChar"/>
          <w:rtl/>
        </w:rPr>
        <w:t>(14)</w:t>
      </w:r>
      <w:r w:rsidRPr="00C9040A">
        <w:rPr>
          <w:rtl/>
          <w:lang w:bidi="fa-IR"/>
        </w:rPr>
        <w:t xml:space="preserve"> ‌</w:t>
      </w:r>
    </w:p>
    <w:p w:rsidR="008A74EB" w:rsidRPr="00C9040A" w:rsidRDefault="008A74EB" w:rsidP="008A74EB">
      <w:pPr>
        <w:pStyle w:val="libNormal"/>
        <w:rPr>
          <w:rtl/>
          <w:lang w:bidi="fa-IR"/>
        </w:rPr>
      </w:pPr>
      <w:r w:rsidRPr="00531734">
        <w:rPr>
          <w:rtl/>
        </w:rPr>
        <w:t>2400</w:t>
      </w:r>
      <w:r w:rsidRPr="00261CB0">
        <w:rPr>
          <w:rStyle w:val="libBold2Char"/>
          <w:rtl/>
        </w:rPr>
        <w:t xml:space="preserve"> / 19.</w:t>
      </w:r>
      <w:r w:rsidRPr="00C9040A">
        <w:rPr>
          <w:rtl/>
          <w:lang w:bidi="fa-IR"/>
        </w:rPr>
        <w:t xml:space="preserve"> عَلِيُّ بْنُ إِبْرَاهِيمَ ، عَنْ أَبِيهِ ، عَنِ ابْنِ أَبِي عُمَيْرٍ ، عَنْ هِشَامِ بْنِ الْحَكَمِ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إِذَا كَانَ يَوْمُ الْقِيَامَةِ ، قَامَ عُنُقٌ مِنَ النَّاسِ حَتّى يَأْتُوا‌</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A96768" w:rsidTr="00A96768">
        <w:tc>
          <w:tcPr>
            <w:tcW w:w="4006" w:type="dxa"/>
          </w:tcPr>
          <w:p w:rsidR="00A96768" w:rsidRDefault="00A96768" w:rsidP="004A4E41">
            <w:pPr>
              <w:pStyle w:val="libFootnote0"/>
              <w:rPr>
                <w:rtl/>
              </w:rPr>
            </w:pPr>
            <w:r>
              <w:rPr>
                <w:rtl/>
              </w:rPr>
              <w:t xml:space="preserve">(1). </w:t>
            </w:r>
            <w:r w:rsidRPr="00C9040A">
              <w:rPr>
                <w:rtl/>
              </w:rPr>
              <w:t xml:space="preserve">في « بر » </w:t>
            </w:r>
            <w:r>
              <w:rPr>
                <w:rtl/>
              </w:rPr>
              <w:t>: -</w:t>
            </w:r>
            <w:r w:rsidRPr="00C9040A">
              <w:rPr>
                <w:rtl/>
              </w:rPr>
              <w:t xml:space="preserve"> « لي »</w:t>
            </w:r>
            <w:r>
              <w:rPr>
                <w:rtl/>
              </w:rPr>
              <w:t>.</w:t>
            </w:r>
          </w:p>
        </w:tc>
        <w:tc>
          <w:tcPr>
            <w:tcW w:w="4006" w:type="dxa"/>
          </w:tcPr>
          <w:p w:rsidR="00A96768" w:rsidRDefault="00A96768" w:rsidP="004A4E41">
            <w:pPr>
              <w:pStyle w:val="libFootnote0"/>
              <w:rPr>
                <w:rtl/>
              </w:rPr>
            </w:pPr>
            <w:r>
              <w:rPr>
                <w:rtl/>
              </w:rPr>
              <w:t xml:space="preserve">(2). </w:t>
            </w:r>
            <w:r w:rsidRPr="00C9040A">
              <w:rPr>
                <w:rtl/>
              </w:rPr>
              <w:t>في « بر » : « بما » بدل « بكلّ ما »</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في « ب ، د ، ض ، بر ، بس ، بف » والبحار : « شراه »</w:t>
      </w:r>
      <w:r w:rsidR="008A74EB">
        <w:rPr>
          <w:rtl/>
        </w:rPr>
        <w:t>.</w:t>
      </w:r>
      <w:r w:rsidR="008A74EB" w:rsidRPr="00C9040A">
        <w:rPr>
          <w:rtl/>
        </w:rPr>
        <w:t xml:space="preserve"> وفي ثواب الأعمال : + « وتصبر عليه »</w:t>
      </w:r>
      <w:r w:rsidR="008A74EB">
        <w:rPr>
          <w:rtl/>
        </w:rPr>
        <w:t>.</w:t>
      </w:r>
    </w:p>
    <w:p w:rsidR="008A74EB" w:rsidRPr="00C9040A" w:rsidRDefault="006C577F" w:rsidP="00A96768">
      <w:pPr>
        <w:pStyle w:val="libFootnote0"/>
        <w:rPr>
          <w:rtl/>
          <w:lang w:bidi="fa-IR"/>
        </w:rPr>
      </w:pPr>
      <w:r>
        <w:rPr>
          <w:rtl/>
        </w:rPr>
        <w:t>(4).</w:t>
      </w:r>
      <w:r w:rsidR="008A74EB" w:rsidRPr="00C9040A">
        <w:rPr>
          <w:rtl/>
        </w:rPr>
        <w:t xml:space="preserve"> </w:t>
      </w:r>
      <w:r w:rsidR="008A74EB" w:rsidRPr="00993B55">
        <w:rPr>
          <w:rStyle w:val="libFootnoteBoldChar"/>
          <w:rtl/>
        </w:rPr>
        <w:t>ثواب الأعمال</w:t>
      </w:r>
      <w:r w:rsidR="008A74EB" w:rsidRPr="00C9040A">
        <w:rPr>
          <w:rtl/>
        </w:rPr>
        <w:t xml:space="preserve"> ، ص 214 ، ح 1 ، بسنده عن محمّد بن أحمد بن يحيى بن عمران الأشعري ، يرفعه إلى أبي‌عبدالله </w:t>
      </w:r>
      <w:r w:rsidR="00117575" w:rsidRPr="00117575">
        <w:rPr>
          <w:rStyle w:val="libFootnoteAlaemChar"/>
          <w:rtl/>
        </w:rPr>
        <w:t>عليه‌السلام</w:t>
      </w:r>
      <w:r w:rsidR="00A96768">
        <w:rPr>
          <w:rFonts w:hint="cs"/>
          <w:rtl/>
        </w:rPr>
        <w:t>.</w:t>
      </w:r>
      <w:r w:rsidR="008A74EB" w:rsidRPr="00993B55">
        <w:rPr>
          <w:rStyle w:val="libFootnoteBoldChar"/>
          <w:rtl/>
        </w:rPr>
        <w:t>الوافي</w:t>
      </w:r>
      <w:r w:rsidR="008A74EB" w:rsidRPr="00C9040A">
        <w:rPr>
          <w:rtl/>
        </w:rPr>
        <w:t xml:space="preserve"> ، ج 5 ، ص 793 ، ح 3056 ؛ </w:t>
      </w:r>
      <w:r w:rsidR="008A74EB" w:rsidRPr="00993B55">
        <w:rPr>
          <w:rStyle w:val="libFootnoteBoldChar"/>
          <w:rtl/>
        </w:rPr>
        <w:t>البحار</w:t>
      </w:r>
      <w:r w:rsidR="008A74EB" w:rsidRPr="00C9040A">
        <w:rPr>
          <w:rtl/>
        </w:rPr>
        <w:t xml:space="preserve"> ، ج 72 ، ص 25 ، ح 19.</w:t>
      </w:r>
    </w:p>
    <w:p w:rsidR="008A74EB" w:rsidRPr="00C9040A" w:rsidRDefault="006C577F" w:rsidP="004A4E41">
      <w:pPr>
        <w:pStyle w:val="libFootnote0"/>
        <w:rPr>
          <w:rtl/>
          <w:lang w:bidi="fa-IR"/>
        </w:rPr>
      </w:pPr>
      <w:r>
        <w:rPr>
          <w:rtl/>
        </w:rPr>
        <w:t>(5).</w:t>
      </w:r>
      <w:r w:rsidR="008A74EB" w:rsidRPr="00C9040A">
        <w:rPr>
          <w:rtl/>
        </w:rPr>
        <w:t xml:space="preserve"> في « ب ، ز ، بر ، بس » وحاشية « ج ، ض » : « عثمان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ب » : « على »</w:t>
      </w:r>
      <w:r w:rsidR="008A74EB">
        <w:rPr>
          <w:rtl/>
        </w:rPr>
        <w:t>.</w:t>
      </w:r>
    </w:p>
    <w:p w:rsidR="008A74EB" w:rsidRPr="00C9040A" w:rsidRDefault="006C577F" w:rsidP="00A96768">
      <w:pPr>
        <w:pStyle w:val="libFootnote0"/>
        <w:rPr>
          <w:rtl/>
          <w:lang w:bidi="fa-IR"/>
        </w:rPr>
      </w:pPr>
      <w:r>
        <w:rPr>
          <w:rtl/>
        </w:rPr>
        <w:t>(7).</w:t>
      </w:r>
      <w:r w:rsidR="008A74EB" w:rsidRPr="00C9040A">
        <w:rPr>
          <w:rtl/>
        </w:rPr>
        <w:t xml:space="preserve"> في « </w:t>
      </w:r>
      <w:r w:rsidR="006D3162">
        <w:rPr>
          <w:rtl/>
        </w:rPr>
        <w:t xml:space="preserve">ه </w:t>
      </w:r>
      <w:r w:rsidR="00A96768">
        <w:rPr>
          <w:rtl/>
        </w:rPr>
        <w:t>» : « الم</w:t>
      </w:r>
      <w:r w:rsidR="00A96768">
        <w:rPr>
          <w:rFonts w:hint="cs"/>
          <w:rtl/>
        </w:rPr>
        <w:t>ـَ</w:t>
      </w:r>
      <w:r w:rsidR="008A74EB" w:rsidRPr="00C9040A">
        <w:rPr>
          <w:rtl/>
        </w:rPr>
        <w:t>حُوج » اسم المفعول من المجرّد. وفي مرآة العقول : « المحوج ، يحتمل كسر الواو وفتحها »</w:t>
      </w:r>
      <w:r w:rsidR="008A74EB">
        <w:rPr>
          <w:rtl/>
        </w:rPr>
        <w:t>.</w:t>
      </w:r>
      <w:r w:rsidR="008A74EB" w:rsidRPr="00C9040A">
        <w:rPr>
          <w:rtl/>
        </w:rPr>
        <w:t xml:space="preserve"> وحاج الرجل يحوج : إذا احتاج. وأحوج ، من الحاجة ، فهو مُحْوِج. وجمعه : محاويج. </w:t>
      </w:r>
      <w:r w:rsidR="008A74EB" w:rsidRPr="00993B55">
        <w:rPr>
          <w:rStyle w:val="libFootnoteBoldChar"/>
          <w:rtl/>
        </w:rPr>
        <w:t>المصباح المنير</w:t>
      </w:r>
      <w:r w:rsidR="008A74EB" w:rsidRPr="00C9040A">
        <w:rPr>
          <w:rtl/>
        </w:rPr>
        <w:t xml:space="preserve"> ، ص 155 ( حوج )</w:t>
      </w:r>
      <w:r w:rsidR="008A74EB">
        <w:rPr>
          <w:rtl/>
        </w:rPr>
        <w:t>.</w:t>
      </w:r>
      <w:r w:rsidR="00A96768">
        <w:rPr>
          <w:rFonts w:hint="cs"/>
          <w:rtl/>
        </w:rPr>
        <w:t xml:space="preserve">                                         </w:t>
      </w:r>
      <w:r w:rsidR="00C822D0">
        <w:rPr>
          <w:rFonts w:hint="cs"/>
          <w:rtl/>
        </w:rPr>
        <w:t xml:space="preserve">    </w:t>
      </w:r>
      <w:r w:rsidR="00A96768">
        <w:rPr>
          <w:rFonts w:hint="cs"/>
          <w:rtl/>
        </w:rPr>
        <w:t xml:space="preserve">           </w:t>
      </w:r>
      <w:r>
        <w:rPr>
          <w:rtl/>
        </w:rPr>
        <w:t>(8).</w:t>
      </w:r>
      <w:r w:rsidR="008A74EB" w:rsidRPr="00C9040A">
        <w:rPr>
          <w:rtl/>
        </w:rPr>
        <w:t xml:space="preserve"> في « بر » : « لأخيه »</w:t>
      </w:r>
      <w:r w:rsidR="008A74EB">
        <w:rPr>
          <w:rtl/>
        </w:rPr>
        <w:t>.</w:t>
      </w:r>
    </w:p>
    <w:tbl>
      <w:tblPr>
        <w:tblStyle w:val="TableGrid"/>
        <w:bidiVisual/>
        <w:tblW w:w="0" w:type="auto"/>
        <w:tblLook w:val="04A0" w:firstRow="1" w:lastRow="0" w:firstColumn="1" w:lastColumn="0" w:noHBand="0" w:noVBand="1"/>
      </w:tblPr>
      <w:tblGrid>
        <w:gridCol w:w="4006"/>
        <w:gridCol w:w="4006"/>
      </w:tblGrid>
      <w:tr w:rsidR="00A96768" w:rsidTr="00A96768">
        <w:tc>
          <w:tcPr>
            <w:tcW w:w="4006" w:type="dxa"/>
          </w:tcPr>
          <w:p w:rsidR="00A96768" w:rsidRDefault="00A96768" w:rsidP="004A4E41">
            <w:pPr>
              <w:pStyle w:val="libFootnote0"/>
              <w:rPr>
                <w:rtl/>
              </w:rPr>
            </w:pPr>
            <w:r>
              <w:rPr>
                <w:rtl/>
              </w:rPr>
              <w:t>(9).</w:t>
            </w:r>
            <w:r w:rsidRPr="00C9040A">
              <w:rPr>
                <w:rtl/>
              </w:rPr>
              <w:t xml:space="preserve"> في « ج ، ص ، بف » والوافي </w:t>
            </w:r>
            <w:r>
              <w:rPr>
                <w:rtl/>
              </w:rPr>
              <w:t>: -</w:t>
            </w:r>
            <w:r w:rsidRPr="00C9040A">
              <w:rPr>
                <w:rtl/>
              </w:rPr>
              <w:t xml:space="preserve"> « وجلالي »</w:t>
            </w:r>
            <w:r>
              <w:rPr>
                <w:rtl/>
              </w:rPr>
              <w:t>.</w:t>
            </w:r>
          </w:p>
        </w:tc>
        <w:tc>
          <w:tcPr>
            <w:tcW w:w="4006" w:type="dxa"/>
          </w:tcPr>
          <w:p w:rsidR="00A96768" w:rsidRDefault="00A96768" w:rsidP="00A96768">
            <w:pPr>
              <w:pStyle w:val="libFootnote0"/>
              <w:rPr>
                <w:rtl/>
              </w:rPr>
            </w:pPr>
            <w:r>
              <w:rPr>
                <w:rtl/>
              </w:rPr>
              <w:t>(10)</w:t>
            </w:r>
            <w:r>
              <w:rPr>
                <w:rFonts w:hint="cs"/>
                <w:rtl/>
              </w:rPr>
              <w:t>.</w:t>
            </w:r>
            <w:r>
              <w:rPr>
                <w:rtl/>
              </w:rPr>
              <w:t>«السجف»:</w:t>
            </w:r>
            <w:r w:rsidRPr="00C9040A">
              <w:rPr>
                <w:rtl/>
              </w:rPr>
              <w:t>السِّتْر.</w:t>
            </w:r>
            <w:r w:rsidRPr="00993B55">
              <w:rPr>
                <w:rStyle w:val="libFootnoteBoldChar"/>
                <w:rtl/>
              </w:rPr>
              <w:t>النهاية</w:t>
            </w:r>
            <w:r>
              <w:rPr>
                <w:rtl/>
              </w:rPr>
              <w:t>،ج2،ص343(</w:t>
            </w:r>
            <w:r w:rsidRPr="00C9040A">
              <w:rPr>
                <w:rtl/>
              </w:rPr>
              <w:t>سجف)</w:t>
            </w:r>
            <w:r>
              <w:rPr>
                <w:rtl/>
              </w:rPr>
              <w:t>.</w:t>
            </w:r>
          </w:p>
        </w:tc>
      </w:tr>
      <w:tr w:rsidR="00A96768" w:rsidTr="00A96768">
        <w:tc>
          <w:tcPr>
            <w:tcW w:w="4006" w:type="dxa"/>
          </w:tcPr>
          <w:p w:rsidR="00A96768" w:rsidRDefault="00A96768" w:rsidP="004A4E41">
            <w:pPr>
              <w:pStyle w:val="libFootnote0"/>
              <w:rPr>
                <w:rtl/>
              </w:rPr>
            </w:pPr>
            <w:r>
              <w:rPr>
                <w:rtl/>
              </w:rPr>
              <w:t>(11).</w:t>
            </w:r>
            <w:r w:rsidRPr="00C9040A">
              <w:rPr>
                <w:rtl/>
              </w:rPr>
              <w:t xml:space="preserve"> في « </w:t>
            </w:r>
            <w:r>
              <w:rPr>
                <w:rtl/>
              </w:rPr>
              <w:t xml:space="preserve">ه </w:t>
            </w:r>
            <w:r w:rsidRPr="00C9040A">
              <w:rPr>
                <w:rtl/>
              </w:rPr>
              <w:t xml:space="preserve">» </w:t>
            </w:r>
            <w:r>
              <w:rPr>
                <w:rtl/>
              </w:rPr>
              <w:t>: -</w:t>
            </w:r>
            <w:r w:rsidRPr="00C9040A">
              <w:rPr>
                <w:rtl/>
              </w:rPr>
              <w:t xml:space="preserve"> « إلى »</w:t>
            </w:r>
            <w:r>
              <w:rPr>
                <w:rtl/>
              </w:rPr>
              <w:t>.</w:t>
            </w:r>
          </w:p>
        </w:tc>
        <w:tc>
          <w:tcPr>
            <w:tcW w:w="4006" w:type="dxa"/>
          </w:tcPr>
          <w:p w:rsidR="00A96768" w:rsidRDefault="00A96768" w:rsidP="004A4E41">
            <w:pPr>
              <w:pStyle w:val="libFootnote0"/>
              <w:rPr>
                <w:rtl/>
              </w:rPr>
            </w:pPr>
            <w:r>
              <w:rPr>
                <w:rtl/>
              </w:rPr>
              <w:t>(12).</w:t>
            </w:r>
            <w:r w:rsidRPr="00C9040A">
              <w:rPr>
                <w:rtl/>
              </w:rPr>
              <w:t xml:space="preserve"> في « </w:t>
            </w:r>
            <w:r>
              <w:rPr>
                <w:rtl/>
              </w:rPr>
              <w:t xml:space="preserve">ه </w:t>
            </w:r>
            <w:r w:rsidRPr="00C9040A">
              <w:rPr>
                <w:rtl/>
              </w:rPr>
              <w:t>» : « فيرقع »</w:t>
            </w:r>
            <w:r>
              <w:rPr>
                <w:rtl/>
              </w:rPr>
              <w:t>.</w:t>
            </w:r>
          </w:p>
        </w:tc>
      </w:tr>
    </w:tbl>
    <w:p w:rsidR="008A74EB" w:rsidRPr="00C9040A" w:rsidRDefault="008A74EB" w:rsidP="004A4E41">
      <w:pPr>
        <w:pStyle w:val="libFootnote0"/>
        <w:rPr>
          <w:rtl/>
          <w:lang w:bidi="fa-IR"/>
        </w:rPr>
      </w:pPr>
      <w:r>
        <w:rPr>
          <w:rtl/>
        </w:rPr>
        <w:t>(13)</w:t>
      </w:r>
      <w:r w:rsidRPr="00C9040A">
        <w:rPr>
          <w:rtl/>
        </w:rPr>
        <w:t xml:space="preserve"> في « </w:t>
      </w:r>
      <w:r w:rsidR="006D3162">
        <w:rPr>
          <w:rtl/>
        </w:rPr>
        <w:t xml:space="preserve">ه </w:t>
      </w:r>
      <w:r w:rsidRPr="00C9040A">
        <w:rPr>
          <w:rtl/>
        </w:rPr>
        <w:t>» : « عمّا »</w:t>
      </w:r>
      <w:r>
        <w:rPr>
          <w:rtl/>
        </w:rPr>
        <w:t>.</w:t>
      </w:r>
    </w:p>
    <w:p w:rsidR="008A74EB" w:rsidRPr="00C9040A" w:rsidRDefault="008A74EB" w:rsidP="004A4E41">
      <w:pPr>
        <w:pStyle w:val="libFootnote0"/>
        <w:rPr>
          <w:rtl/>
          <w:lang w:bidi="fa-IR"/>
        </w:rPr>
      </w:pPr>
      <w:r>
        <w:rPr>
          <w:rtl/>
        </w:rPr>
        <w:t>(14)</w:t>
      </w:r>
      <w:r w:rsidRPr="00C9040A">
        <w:rPr>
          <w:rtl/>
        </w:rPr>
        <w:t xml:space="preserve"> </w:t>
      </w:r>
      <w:r w:rsidRPr="00993B55">
        <w:rPr>
          <w:rStyle w:val="libFootnoteBoldChar"/>
          <w:rtl/>
        </w:rPr>
        <w:t>المؤمن</w:t>
      </w:r>
      <w:r w:rsidRPr="00C9040A">
        <w:rPr>
          <w:rtl/>
        </w:rPr>
        <w:t xml:space="preserve"> ، ص 24 ، ح 35 ، عن أبي عبدالله </w:t>
      </w:r>
      <w:r w:rsidR="00117575" w:rsidRPr="00117575">
        <w:rPr>
          <w:rStyle w:val="libFootnoteAlaemChar"/>
          <w:rtl/>
        </w:rPr>
        <w:t xml:space="preserve">عليه‌السلام </w:t>
      </w:r>
      <w:r w:rsidRPr="00C9040A">
        <w:rPr>
          <w:rtl/>
        </w:rPr>
        <w:t xml:space="preserve">، مع اختلاف يسير </w:t>
      </w:r>
      <w:r w:rsidR="00A96768">
        <w:rPr>
          <w:rFonts w:hint="cs"/>
          <w:rtl/>
        </w:rPr>
        <w:t>.</w:t>
      </w:r>
      <w:r w:rsidRPr="00993B55">
        <w:rPr>
          <w:rStyle w:val="libFootnoteBoldChar"/>
          <w:rtl/>
        </w:rPr>
        <w:t>الوافي</w:t>
      </w:r>
      <w:r w:rsidRPr="00C9040A">
        <w:rPr>
          <w:rtl/>
        </w:rPr>
        <w:t xml:space="preserve"> ، ج 5 ، ص 791 ، ح 3050 ؛ </w:t>
      </w:r>
      <w:r w:rsidRPr="00993B55">
        <w:rPr>
          <w:rStyle w:val="libFootnoteBoldChar"/>
          <w:rtl/>
        </w:rPr>
        <w:t>البحار</w:t>
      </w:r>
      <w:r w:rsidRPr="00C9040A">
        <w:rPr>
          <w:rtl/>
        </w:rPr>
        <w:t xml:space="preserve"> ، ج 72 ، ص 25 ، ح 20.</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بَابَ الْجَنَّةِ ، فَيَضْرِبُوا </w:t>
      </w:r>
      <w:r w:rsidR="006C577F" w:rsidRPr="006C577F">
        <w:rPr>
          <w:rStyle w:val="libFootnotenumChar"/>
          <w:rtl/>
        </w:rPr>
        <w:t>(1)</w:t>
      </w:r>
      <w:r w:rsidRPr="00C9040A">
        <w:rPr>
          <w:rtl/>
          <w:lang w:bidi="fa-IR"/>
        </w:rPr>
        <w:t xml:space="preserve"> بَابَ الْجَنَّةِ </w:t>
      </w:r>
      <w:r w:rsidR="006C577F" w:rsidRPr="006C577F">
        <w:rPr>
          <w:rStyle w:val="libFootnotenumChar"/>
          <w:rtl/>
        </w:rPr>
        <w:t>(2)</w:t>
      </w:r>
      <w:r w:rsidRPr="00C9040A">
        <w:rPr>
          <w:rtl/>
          <w:lang w:bidi="fa-IR"/>
        </w:rPr>
        <w:t xml:space="preserve"> ، فَيُقَالُ لَهُمْ </w:t>
      </w:r>
      <w:r w:rsidR="006C577F" w:rsidRPr="006C577F">
        <w:rPr>
          <w:rStyle w:val="libFootnotenumChar"/>
          <w:rtl/>
        </w:rPr>
        <w:t>(3)</w:t>
      </w:r>
      <w:r w:rsidRPr="00C9040A">
        <w:rPr>
          <w:rtl/>
          <w:lang w:bidi="fa-IR"/>
        </w:rPr>
        <w:t xml:space="preserve"> : مَنْ </w:t>
      </w:r>
      <w:r w:rsidR="006C577F" w:rsidRPr="006C577F">
        <w:rPr>
          <w:rStyle w:val="libFootnotenumChar"/>
          <w:rtl/>
        </w:rPr>
        <w:t>(4)</w:t>
      </w:r>
      <w:r w:rsidRPr="00C9040A">
        <w:rPr>
          <w:rtl/>
          <w:lang w:bidi="fa-IR"/>
        </w:rPr>
        <w:t xml:space="preserve"> أَنْتُمْ</w:t>
      </w:r>
      <w:r>
        <w:rPr>
          <w:rtl/>
          <w:lang w:bidi="fa-IR"/>
        </w:rPr>
        <w:t>؟</w:t>
      </w:r>
      <w:r w:rsidRPr="00C9040A">
        <w:rPr>
          <w:rtl/>
          <w:lang w:bidi="fa-IR"/>
        </w:rPr>
        <w:t xml:space="preserve"> فَيَقُولُونَ : نَحْنُ الْفُقَرَاءُ ، فَيُقَالُ لَهُمْ : أَقَبْلَ الْحِسَابِ</w:t>
      </w:r>
      <w:r>
        <w:rPr>
          <w:rtl/>
          <w:lang w:bidi="fa-IR"/>
        </w:rPr>
        <w:t>؟</w:t>
      </w:r>
      <w:r w:rsidRPr="00C9040A">
        <w:rPr>
          <w:rtl/>
          <w:lang w:bidi="fa-IR"/>
        </w:rPr>
        <w:t xml:space="preserve"> فَيَقُولُونَ </w:t>
      </w:r>
      <w:r w:rsidR="006C577F" w:rsidRPr="006C577F">
        <w:rPr>
          <w:rStyle w:val="libFootnotenumChar"/>
          <w:rtl/>
        </w:rPr>
        <w:t>(5)</w:t>
      </w:r>
      <w:r w:rsidRPr="00C9040A">
        <w:rPr>
          <w:rtl/>
          <w:lang w:bidi="fa-IR"/>
        </w:rPr>
        <w:t xml:space="preserve"> : مَا أَعْطَيْتُمُونَا شَيْئاً </w:t>
      </w:r>
      <w:r w:rsidR="006C577F" w:rsidRPr="006C577F">
        <w:rPr>
          <w:rStyle w:val="libFootnotenumChar"/>
          <w:rtl/>
        </w:rPr>
        <w:t>(6)</w:t>
      </w:r>
      <w:r w:rsidRPr="005B567D">
        <w:rPr>
          <w:rStyle w:val="libFootnotenumChar"/>
          <w:rtl/>
        </w:rPr>
        <w:t xml:space="preserve"> </w:t>
      </w:r>
      <w:r w:rsidRPr="00C9040A">
        <w:rPr>
          <w:rtl/>
          <w:lang w:bidi="fa-IR"/>
        </w:rPr>
        <w:t xml:space="preserve">تُحَاسِبُونَّا عَلَيْهِ ، فَيَقُولُ اللهُ عَزَّ وَجَلَّ : صَدَقُوا ، ادْخُلُوا </w:t>
      </w:r>
      <w:r w:rsidR="006C577F" w:rsidRPr="006C577F">
        <w:rPr>
          <w:rStyle w:val="libFootnotenumChar"/>
          <w:rtl/>
        </w:rPr>
        <w:t>(7)</w:t>
      </w:r>
      <w:r w:rsidRPr="00C9040A">
        <w:rPr>
          <w:rtl/>
          <w:lang w:bidi="fa-IR"/>
        </w:rPr>
        <w:t xml:space="preserve"> الْجَنَّةَ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Normal"/>
        <w:rPr>
          <w:rtl/>
          <w:lang w:bidi="fa-IR"/>
        </w:rPr>
      </w:pPr>
      <w:r w:rsidRPr="00531734">
        <w:rPr>
          <w:rtl/>
        </w:rPr>
        <w:t>2401</w:t>
      </w:r>
      <w:r w:rsidRPr="00261CB0">
        <w:rPr>
          <w:rStyle w:val="libBold2Char"/>
          <w:rtl/>
        </w:rPr>
        <w:t xml:space="preserve"> / 20.</w:t>
      </w:r>
      <w:r w:rsidRPr="00C9040A">
        <w:rPr>
          <w:rtl/>
          <w:lang w:bidi="fa-IR"/>
        </w:rPr>
        <w:t xml:space="preserve"> عِدَّةٌ مِنْ أَصْحَابِنَا ، عَنْ أَحْمَدَ بْنِ مُحَمَّدِ بْنِ خَالِدٍ ، عَنْ عُثْمَانَ بْنِ عِيسى ، عَنْ مُبَارَكٍ غُلَامِ شُعَيْبٍ ، قَالَ :</w:t>
      </w:r>
    </w:p>
    <w:p w:rsidR="008A74EB" w:rsidRPr="00C9040A" w:rsidRDefault="008A74EB" w:rsidP="008A74EB">
      <w:pPr>
        <w:pStyle w:val="libNormal"/>
        <w:rPr>
          <w:rtl/>
          <w:lang w:bidi="fa-IR"/>
        </w:rPr>
      </w:pPr>
      <w:r w:rsidRPr="00C9040A">
        <w:rPr>
          <w:rtl/>
          <w:lang w:bidi="fa-IR"/>
        </w:rPr>
        <w:t xml:space="preserve">سَمِعْتُ أَبَا الْحَسَنِ مُوسى </w:t>
      </w:r>
      <w:r w:rsidR="006C577F" w:rsidRPr="006C577F">
        <w:rPr>
          <w:rStyle w:val="libFootnotenumChar"/>
          <w:rtl/>
        </w:rPr>
        <w:t>(9)</w:t>
      </w:r>
      <w:r w:rsidRPr="00C9040A">
        <w:rPr>
          <w:rtl/>
          <w:lang w:bidi="fa-IR"/>
        </w:rPr>
        <w:t xml:space="preserve"> </w:t>
      </w:r>
      <w:r w:rsidRPr="0003660B">
        <w:rPr>
          <w:rStyle w:val="libAlaemChar"/>
          <w:rtl/>
        </w:rPr>
        <w:t>عليه‌السلام</w:t>
      </w:r>
      <w:r w:rsidRPr="00C9040A">
        <w:rPr>
          <w:rtl/>
          <w:lang w:bidi="fa-IR"/>
        </w:rPr>
        <w:t xml:space="preserve"> يَقُولُ : « إِنَّ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يَقُولُ : إِنِّي لَمْ أُغْنِ الْغَنِيَّ لِكَرَامَةٍ بِهِ عَلَيَّ ، وَلَمْ أُفْقِرِ الْفَقِيرَ لِهَوَانٍ بِهِ عَلَيَّ ، وَهُوَ مِمَّا ابْتَلَيْتُ بِهِ الْأَغْنِيَاءَ بِالْفُقَرَاءِ ، وَلَوْ لَا الْفُقَرَاءُ لَمْ يَسْتَوْجِبِ الْأَغْنِيَاءُ الْجَنَّةَ »</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Normal"/>
        <w:rPr>
          <w:rtl/>
          <w:lang w:bidi="fa-IR"/>
        </w:rPr>
      </w:pPr>
      <w:r w:rsidRPr="00531734">
        <w:rPr>
          <w:rtl/>
        </w:rPr>
        <w:t>2402</w:t>
      </w:r>
      <w:r w:rsidRPr="00261CB0">
        <w:rPr>
          <w:rStyle w:val="libBold2Char"/>
          <w:rtl/>
        </w:rPr>
        <w:t xml:space="preserve"> / 21.</w:t>
      </w:r>
      <w:r w:rsidRPr="00C9040A">
        <w:rPr>
          <w:rtl/>
          <w:lang w:bidi="fa-IR"/>
        </w:rPr>
        <w:t xml:space="preserve"> عَلِيُّ بْنُ إِبْرَاهِيمَ ، عَنْ مُحَمَّدِ بْنِ عِيسى ، عَنْ يُونُسَ ، عَنْ إِسْحَاقَ بْنِ عِيسى ، عَنْ إِسْحَاقَ بْنِ عَمَّارٍ وَالْمُفَضَّلِ بْنِ عُمَرَ ، قَالَا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مَيَاسِيرُ </w:t>
      </w:r>
      <w:r w:rsidR="006C577F" w:rsidRPr="006C577F">
        <w:rPr>
          <w:rStyle w:val="libFootnotenumChar"/>
          <w:rtl/>
        </w:rPr>
        <w:t>(11)</w:t>
      </w:r>
      <w:r w:rsidRPr="00C9040A">
        <w:rPr>
          <w:rtl/>
          <w:lang w:bidi="fa-IR"/>
        </w:rPr>
        <w:t xml:space="preserve"> شِيعَتِنَا أُمَنَاؤُنَا عَلى مَحَاوِيجِهِمْ </w:t>
      </w:r>
      <w:r w:rsidR="006C577F" w:rsidRPr="006C577F">
        <w:rPr>
          <w:rStyle w:val="libFootnotenumChar"/>
          <w:rtl/>
        </w:rPr>
        <w:t>(12)</w:t>
      </w:r>
      <w:r w:rsidRPr="00C9040A">
        <w:rPr>
          <w:rtl/>
          <w:lang w:bidi="fa-IR"/>
        </w:rPr>
        <w:t xml:space="preserve"> ، فَاحْفَظُونَا‌</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w:t>
      </w:r>
      <w:r w:rsidR="006D3162">
        <w:rPr>
          <w:rtl/>
        </w:rPr>
        <w:t xml:space="preserve">ه </w:t>
      </w:r>
      <w:r w:rsidR="008A74EB" w:rsidRPr="00C9040A">
        <w:rPr>
          <w:rtl/>
        </w:rPr>
        <w:t>» : « فيضربون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w:t>
      </w:r>
      <w:r w:rsidR="006D3162">
        <w:rPr>
          <w:rtl/>
        </w:rPr>
        <w:t xml:space="preserve">ه </w:t>
      </w:r>
      <w:r w:rsidR="008A74EB" w:rsidRPr="00C9040A">
        <w:rPr>
          <w:rtl/>
        </w:rPr>
        <w:t>» : « الباب » بدل « باب الجنّة »</w:t>
      </w:r>
      <w:r w:rsidR="008A74EB">
        <w:rPr>
          <w:rtl/>
        </w:rPr>
        <w:t>.</w:t>
      </w:r>
    </w:p>
    <w:tbl>
      <w:tblPr>
        <w:tblStyle w:val="TableGrid"/>
        <w:bidiVisual/>
        <w:tblW w:w="0" w:type="auto"/>
        <w:tblLook w:val="04A0" w:firstRow="1" w:lastRow="0" w:firstColumn="1" w:lastColumn="0" w:noHBand="0" w:noVBand="1"/>
      </w:tblPr>
      <w:tblGrid>
        <w:gridCol w:w="4006"/>
        <w:gridCol w:w="4006"/>
      </w:tblGrid>
      <w:tr w:rsidR="00A96768" w:rsidTr="00A96768">
        <w:tc>
          <w:tcPr>
            <w:tcW w:w="4006" w:type="dxa"/>
          </w:tcPr>
          <w:p w:rsidR="00A96768" w:rsidRDefault="00A96768" w:rsidP="004A4E41">
            <w:pPr>
              <w:pStyle w:val="libFootnote0"/>
              <w:rPr>
                <w:rtl/>
              </w:rPr>
            </w:pPr>
            <w:r>
              <w:rPr>
                <w:rtl/>
              </w:rPr>
              <w:t>(3).</w:t>
            </w:r>
            <w:r w:rsidRPr="00C9040A">
              <w:rPr>
                <w:rtl/>
              </w:rPr>
              <w:t xml:space="preserve"> في « ج ، د ، بف » والوافي </w:t>
            </w:r>
            <w:r>
              <w:rPr>
                <w:rtl/>
              </w:rPr>
              <w:t>: -</w:t>
            </w:r>
            <w:r w:rsidRPr="00C9040A">
              <w:rPr>
                <w:rtl/>
              </w:rPr>
              <w:t xml:space="preserve"> « لهم »</w:t>
            </w:r>
            <w:r>
              <w:rPr>
                <w:rtl/>
              </w:rPr>
              <w:t>.</w:t>
            </w:r>
          </w:p>
        </w:tc>
        <w:tc>
          <w:tcPr>
            <w:tcW w:w="4006" w:type="dxa"/>
          </w:tcPr>
          <w:p w:rsidR="00A96768" w:rsidRDefault="00A96768" w:rsidP="004A4E41">
            <w:pPr>
              <w:pStyle w:val="libFootnote0"/>
              <w:rPr>
                <w:rtl/>
              </w:rPr>
            </w:pPr>
            <w:r>
              <w:rPr>
                <w:rtl/>
              </w:rPr>
              <w:t>(4).</w:t>
            </w:r>
            <w:r w:rsidRPr="00C9040A">
              <w:rPr>
                <w:rtl/>
              </w:rPr>
              <w:t xml:space="preserve"> في « ض » : « ما »</w:t>
            </w:r>
            <w:r>
              <w:rPr>
                <w:rtl/>
              </w:rPr>
              <w:t>.</w:t>
            </w:r>
          </w:p>
        </w:tc>
      </w:tr>
      <w:tr w:rsidR="00A96768" w:rsidTr="00A96768">
        <w:tc>
          <w:tcPr>
            <w:tcW w:w="4006" w:type="dxa"/>
          </w:tcPr>
          <w:p w:rsidR="00A96768" w:rsidRDefault="00A96768" w:rsidP="004A4E41">
            <w:pPr>
              <w:pStyle w:val="libFootnote0"/>
              <w:rPr>
                <w:rtl/>
              </w:rPr>
            </w:pPr>
            <w:r>
              <w:rPr>
                <w:rtl/>
              </w:rPr>
              <w:t>(5).</w:t>
            </w:r>
            <w:r w:rsidRPr="00C9040A">
              <w:rPr>
                <w:rtl/>
              </w:rPr>
              <w:t xml:space="preserve"> في « ف » : « فيقال »</w:t>
            </w:r>
            <w:r>
              <w:rPr>
                <w:rtl/>
              </w:rPr>
              <w:t>.</w:t>
            </w:r>
          </w:p>
        </w:tc>
        <w:tc>
          <w:tcPr>
            <w:tcW w:w="4006" w:type="dxa"/>
          </w:tcPr>
          <w:p w:rsidR="00A96768" w:rsidRDefault="00A96768" w:rsidP="004A4E41">
            <w:pPr>
              <w:pStyle w:val="libFootnote0"/>
              <w:rPr>
                <w:rtl/>
              </w:rPr>
            </w:pPr>
            <w:r>
              <w:rPr>
                <w:rtl/>
              </w:rPr>
              <w:t xml:space="preserve">(6). </w:t>
            </w:r>
            <w:r w:rsidRPr="00C9040A">
              <w:rPr>
                <w:rtl/>
              </w:rPr>
              <w:t>في « ف » : + « حتّى »</w:t>
            </w:r>
            <w:r>
              <w:rPr>
                <w:rtl/>
              </w:rPr>
              <w:t>.</w:t>
            </w:r>
          </w:p>
        </w:tc>
      </w:tr>
    </w:tbl>
    <w:p w:rsidR="008A74EB" w:rsidRPr="00C9040A" w:rsidRDefault="006C577F" w:rsidP="004A4E41">
      <w:pPr>
        <w:pStyle w:val="libFootnote0"/>
        <w:rPr>
          <w:rtl/>
          <w:lang w:bidi="fa-IR"/>
        </w:rPr>
      </w:pPr>
      <w:r>
        <w:rPr>
          <w:rtl/>
        </w:rPr>
        <w:t>(7).</w:t>
      </w:r>
      <w:r w:rsidR="008A74EB" w:rsidRPr="00C9040A">
        <w:rPr>
          <w:rtl/>
        </w:rPr>
        <w:t xml:space="preserve"> في </w:t>
      </w:r>
      <w:r w:rsidR="008A74EB" w:rsidRPr="00993B55">
        <w:rPr>
          <w:rStyle w:val="libFootnoteBoldChar"/>
          <w:rtl/>
        </w:rPr>
        <w:t>مرآة العقول</w:t>
      </w:r>
      <w:r w:rsidR="008A74EB" w:rsidRPr="00C9040A">
        <w:rPr>
          <w:rtl/>
        </w:rPr>
        <w:t xml:space="preserve"> : « المخاطب في « صدقوا » الملائكة ، وفي « ادخلوا » الفقراء ، إذا قرئ على بناء المجرّد كما هو الظاهر</w:t>
      </w:r>
      <w:r w:rsidR="008A74EB">
        <w:rPr>
          <w:rtl/>
        </w:rPr>
        <w:t xml:space="preserve"> ..</w:t>
      </w:r>
      <w:r w:rsidR="008A74EB" w:rsidRPr="00C9040A">
        <w:rPr>
          <w:rtl/>
        </w:rPr>
        <w:t>. ويمكن أن يقرأ على بناء الإفعال ، فالمخاطب الملائكة أيضاً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w:t>
      </w:r>
      <w:r w:rsidR="008A74EB" w:rsidRPr="00993B55">
        <w:rPr>
          <w:rStyle w:val="libFootnoteBoldChar"/>
          <w:rtl/>
        </w:rPr>
        <w:t>ثواب الأعمال</w:t>
      </w:r>
      <w:r w:rsidR="008A74EB" w:rsidRPr="00C9040A">
        <w:rPr>
          <w:rtl/>
        </w:rPr>
        <w:t xml:space="preserve"> ، ص 218 ، ح 1 ، بسنده عن يعقوب بن يزيد ، عمّن ذكره ، عن أبي‌عبدالله </w:t>
      </w:r>
      <w:r w:rsidR="00117575" w:rsidRPr="00117575">
        <w:rPr>
          <w:rStyle w:val="libFootnoteAlaemChar"/>
          <w:rtl/>
        </w:rPr>
        <w:t>عليه‌السلام</w:t>
      </w:r>
      <w:r w:rsidR="008A74EB" w:rsidRPr="00C9040A">
        <w:rPr>
          <w:rtl/>
        </w:rPr>
        <w:t xml:space="preserve"> ، مع اختلاف يسير وزيادة </w:t>
      </w:r>
      <w:r w:rsidR="00A96768">
        <w:rPr>
          <w:rFonts w:hint="cs"/>
          <w:rtl/>
        </w:rPr>
        <w:t>.</w:t>
      </w:r>
      <w:r w:rsidR="008A74EB" w:rsidRPr="00993B55">
        <w:rPr>
          <w:rStyle w:val="libFootnoteBoldChar"/>
          <w:rtl/>
        </w:rPr>
        <w:t>الوافي</w:t>
      </w:r>
      <w:r w:rsidR="008A74EB" w:rsidRPr="00C9040A">
        <w:rPr>
          <w:rtl/>
        </w:rPr>
        <w:t xml:space="preserve"> ، ج 5 ، ص 793 ، ح 3057 ؛ </w:t>
      </w:r>
      <w:r w:rsidR="008A74EB" w:rsidRPr="00993B55">
        <w:rPr>
          <w:rStyle w:val="libFootnoteBoldChar"/>
          <w:rtl/>
        </w:rPr>
        <w:t>البحار</w:t>
      </w:r>
      <w:r w:rsidR="008A74EB" w:rsidRPr="00C9040A">
        <w:rPr>
          <w:rtl/>
        </w:rPr>
        <w:t xml:space="preserve"> ، ج 72 ، ص 25 ، ح 21.</w:t>
      </w:r>
    </w:p>
    <w:p w:rsidR="008A74EB" w:rsidRPr="00C9040A" w:rsidRDefault="006C577F" w:rsidP="004A4E41">
      <w:pPr>
        <w:pStyle w:val="libFootnote0"/>
        <w:rPr>
          <w:rtl/>
          <w:lang w:bidi="fa-IR"/>
        </w:rPr>
      </w:pPr>
      <w:r>
        <w:rPr>
          <w:rtl/>
        </w:rPr>
        <w:t>(9).</w:t>
      </w:r>
      <w:r w:rsidR="008A74EB" w:rsidRPr="00C9040A">
        <w:rPr>
          <w:rtl/>
        </w:rPr>
        <w:t xml:space="preserve"> في « ض ، </w:t>
      </w:r>
      <w:r w:rsidR="006D3162">
        <w:rPr>
          <w:rtl/>
        </w:rPr>
        <w:t xml:space="preserve">ه </w:t>
      </w:r>
      <w:r w:rsidR="008A74EB" w:rsidRPr="00C9040A">
        <w:rPr>
          <w:rtl/>
        </w:rPr>
        <w:t xml:space="preserve">» </w:t>
      </w:r>
      <w:r w:rsidR="008A74EB">
        <w:rPr>
          <w:rtl/>
        </w:rPr>
        <w:t xml:space="preserve">: </w:t>
      </w:r>
      <w:r w:rsidR="0084262C">
        <w:rPr>
          <w:rtl/>
        </w:rPr>
        <w:t>-</w:t>
      </w:r>
      <w:r w:rsidR="008A74EB" w:rsidRPr="00C9040A">
        <w:rPr>
          <w:rtl/>
        </w:rPr>
        <w:t xml:space="preserve"> « موسى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w:t>
      </w:r>
      <w:r w:rsidR="008A74EB" w:rsidRPr="00993B55">
        <w:rPr>
          <w:rStyle w:val="libFootnoteBoldChar"/>
          <w:rtl/>
        </w:rPr>
        <w:t>الوافي</w:t>
      </w:r>
      <w:r w:rsidR="008A74EB" w:rsidRPr="00C9040A">
        <w:rPr>
          <w:rtl/>
        </w:rPr>
        <w:t xml:space="preserve"> ، ج 5 ، ص 794 ، ح 3059 ؛ </w:t>
      </w:r>
      <w:r w:rsidR="008A74EB" w:rsidRPr="00993B55">
        <w:rPr>
          <w:rStyle w:val="libFootnoteBoldChar"/>
          <w:rtl/>
        </w:rPr>
        <w:t>البحار</w:t>
      </w:r>
      <w:r w:rsidR="008A74EB" w:rsidRPr="00C9040A">
        <w:rPr>
          <w:rtl/>
        </w:rPr>
        <w:t xml:space="preserve"> ، ج 72 ، ص 26 ، ح 22.</w:t>
      </w:r>
    </w:p>
    <w:p w:rsidR="008A74EB" w:rsidRPr="00C9040A" w:rsidRDefault="006C577F" w:rsidP="004A4E41">
      <w:pPr>
        <w:pStyle w:val="libFootnote0"/>
        <w:rPr>
          <w:rtl/>
          <w:lang w:bidi="fa-IR"/>
        </w:rPr>
      </w:pPr>
      <w:r>
        <w:rPr>
          <w:rtl/>
        </w:rPr>
        <w:t>(11).</w:t>
      </w:r>
      <w:r w:rsidR="00331A17">
        <w:rPr>
          <w:rtl/>
        </w:rPr>
        <w:t xml:space="preserve"> « الم</w:t>
      </w:r>
      <w:r w:rsidR="00331A17">
        <w:rPr>
          <w:rFonts w:hint="cs"/>
          <w:rtl/>
        </w:rPr>
        <w:t>ـَ</w:t>
      </w:r>
      <w:r w:rsidR="008A74EB" w:rsidRPr="00C9040A">
        <w:rPr>
          <w:rtl/>
        </w:rPr>
        <w:t xml:space="preserve">يْسرة » مثلّثة السين : الغِنى. وأيسر يساراً : صار ذا غنى ، فهو مُوسِر ، وجمعه : مياسير. </w:t>
      </w:r>
      <w:r w:rsidR="008A74EB" w:rsidRPr="00993B55">
        <w:rPr>
          <w:rStyle w:val="libFootnoteBoldChar"/>
          <w:rtl/>
        </w:rPr>
        <w:t>القاموس المحيط</w:t>
      </w:r>
      <w:r w:rsidR="008A74EB" w:rsidRPr="00C9040A">
        <w:rPr>
          <w:rtl/>
        </w:rPr>
        <w:t xml:space="preserve"> ، ج 1 ، ص 691 ( يسر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حاج الرجل يحوج : إذا احتاج. وأحوج ، من الحاجة ، فهو مُحْوِج ، وجمعه : محاويج. </w:t>
      </w:r>
      <w:r w:rsidR="008A74EB" w:rsidRPr="00993B55">
        <w:rPr>
          <w:rStyle w:val="libFootnoteBoldChar"/>
          <w:rtl/>
        </w:rPr>
        <w:t>المصباح المنير</w:t>
      </w:r>
      <w:r w:rsidR="008A74EB" w:rsidRPr="00C9040A">
        <w:rPr>
          <w:rtl/>
        </w:rPr>
        <w:t xml:space="preserve"> ، ص 155 ( حوج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فِيهِمْ ؛ يَحْفَظْكُمُ اللهُ »</w:t>
      </w:r>
      <w:r>
        <w:rPr>
          <w:rtl/>
          <w:lang w:bidi="fa-IR"/>
        </w:rPr>
        <w:t>.</w:t>
      </w:r>
      <w:r w:rsidRPr="00C9040A">
        <w:rPr>
          <w:rtl/>
          <w:lang w:bidi="fa-IR"/>
        </w:rPr>
        <w:t xml:space="preserve"> </w:t>
      </w:r>
      <w:r w:rsidR="006C577F" w:rsidRPr="006C577F">
        <w:rPr>
          <w:rStyle w:val="libFootnotenumChar"/>
          <w:rtl/>
        </w:rPr>
        <w:t>(1)</w:t>
      </w:r>
      <w:r w:rsidRPr="00C9040A">
        <w:rPr>
          <w:rtl/>
          <w:lang w:bidi="fa-IR"/>
        </w:rPr>
        <w:t xml:space="preserve"> ‌</w:t>
      </w:r>
    </w:p>
    <w:p w:rsidR="008A74EB" w:rsidRPr="00C9040A" w:rsidRDefault="008A74EB" w:rsidP="008A74EB">
      <w:pPr>
        <w:pStyle w:val="libNormal"/>
        <w:rPr>
          <w:rtl/>
          <w:lang w:bidi="fa-IR"/>
        </w:rPr>
      </w:pPr>
      <w:r w:rsidRPr="00531734">
        <w:rPr>
          <w:rtl/>
        </w:rPr>
        <w:t>2403</w:t>
      </w:r>
      <w:r w:rsidRPr="00261CB0">
        <w:rPr>
          <w:rStyle w:val="libBold2Char"/>
          <w:rtl/>
        </w:rPr>
        <w:t xml:space="preserve"> / 22.</w:t>
      </w:r>
      <w:r w:rsidRPr="00C9040A">
        <w:rPr>
          <w:rtl/>
          <w:lang w:bidi="fa-IR"/>
        </w:rPr>
        <w:t xml:space="preserve"> عَلِيُّ بْنُ إِبْرَاهِيمَ ، عَنْ أَبِيهِ ، عَنِ ابْنِ أَبِي عُمَيْرٍ ، عَنْ هِشَامِ بْنِ سَالِمٍ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أَمِيرُ الْمُؤْمِنِينَ </w:t>
      </w:r>
      <w:r w:rsidRPr="0003660B">
        <w:rPr>
          <w:rStyle w:val="libAlaemChar"/>
          <w:rtl/>
        </w:rPr>
        <w:t>عليه‌السلام</w:t>
      </w:r>
      <w:r w:rsidRPr="00C9040A">
        <w:rPr>
          <w:rtl/>
          <w:lang w:bidi="fa-IR"/>
        </w:rPr>
        <w:t xml:space="preserve"> : الْفَقْرُ أَزْيَنُ لِلْمُؤْمِنِ </w:t>
      </w:r>
      <w:r w:rsidR="006C577F" w:rsidRPr="006C577F">
        <w:rPr>
          <w:rStyle w:val="libFootnotenumChar"/>
          <w:rtl/>
        </w:rPr>
        <w:t>(2)</w:t>
      </w:r>
      <w:r w:rsidRPr="00C9040A">
        <w:rPr>
          <w:rtl/>
          <w:lang w:bidi="fa-IR"/>
        </w:rPr>
        <w:t xml:space="preserve"> مِنَ الْعِذَارِ </w:t>
      </w:r>
      <w:r w:rsidR="006C577F" w:rsidRPr="006C577F">
        <w:rPr>
          <w:rStyle w:val="libFootnotenumChar"/>
          <w:rtl/>
        </w:rPr>
        <w:t>(3)</w:t>
      </w:r>
      <w:r w:rsidRPr="00C9040A">
        <w:rPr>
          <w:rtl/>
          <w:lang w:bidi="fa-IR"/>
        </w:rPr>
        <w:t xml:space="preserve"> عَلى</w:t>
      </w:r>
      <w:r>
        <w:rPr>
          <w:rFonts w:hint="cs"/>
          <w:rtl/>
          <w:lang w:bidi="fa-IR"/>
        </w:rPr>
        <w:t xml:space="preserve"> </w:t>
      </w:r>
      <w:r w:rsidRPr="00C9040A">
        <w:rPr>
          <w:rtl/>
          <w:lang w:bidi="fa-IR"/>
        </w:rPr>
        <w:t>خَدِّ الْفَرَسِ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531734">
        <w:rPr>
          <w:rtl/>
        </w:rPr>
        <w:t>2404</w:t>
      </w:r>
      <w:r w:rsidRPr="00261CB0">
        <w:rPr>
          <w:rStyle w:val="libBold2Char"/>
          <w:rtl/>
        </w:rPr>
        <w:t xml:space="preserve"> / 23.</w:t>
      </w:r>
      <w:r w:rsidRPr="00C9040A">
        <w:rPr>
          <w:rtl/>
          <w:lang w:bidi="fa-IR"/>
        </w:rPr>
        <w:t xml:space="preserve"> عِدَّةٌ مِنْ أَصْحَابِنَا ، عَنْ سَهْلِ بْنِ زِيَادٍ ، عَنِ ابْنِ مَحْبُوبٍ ، عَنْ عَبْدِ اللهِ بْنِ غَالِبٍ ، عَنْ أَبِيهِ ، عَنْ سَعِيدِ بْنِ الْمُسَيَّبِ ، قَالَ :</w:t>
      </w:r>
    </w:p>
    <w:p w:rsidR="008A74EB" w:rsidRPr="00C9040A" w:rsidRDefault="008A74EB" w:rsidP="008A74EB">
      <w:pPr>
        <w:pStyle w:val="libNormal"/>
        <w:rPr>
          <w:rtl/>
          <w:lang w:bidi="fa-IR"/>
        </w:rPr>
      </w:pPr>
      <w:r w:rsidRPr="00C9040A">
        <w:rPr>
          <w:rtl/>
          <w:lang w:bidi="fa-IR"/>
        </w:rPr>
        <w:t xml:space="preserve">سَأَلْتُ عَلِيَّ بْنَ الْحُسَيْنِ </w:t>
      </w:r>
      <w:r w:rsidRPr="0003660B">
        <w:rPr>
          <w:rStyle w:val="libAlaemChar"/>
          <w:rtl/>
        </w:rPr>
        <w:t>عليهما‌السلام</w:t>
      </w:r>
      <w:r w:rsidRPr="00C9040A">
        <w:rPr>
          <w:rtl/>
          <w:lang w:bidi="fa-IR"/>
        </w:rPr>
        <w:t xml:space="preserve"> ، عَنْ قَوْلِ اللهِ عَزَّ وَجَلَّ : </w:t>
      </w:r>
      <w:r w:rsidRPr="0003660B">
        <w:rPr>
          <w:rStyle w:val="libAlaemChar"/>
          <w:rtl/>
        </w:rPr>
        <w:t>(</w:t>
      </w:r>
      <w:r w:rsidRPr="006A2246">
        <w:rPr>
          <w:rStyle w:val="libAieChar"/>
          <w:rtl/>
        </w:rPr>
        <w:t xml:space="preserve"> وَلَوْ لا أَنْ يَكُونَ النّ</w:t>
      </w:r>
      <w:r w:rsidR="00331A17">
        <w:rPr>
          <w:rStyle w:val="libAieChar"/>
          <w:rFonts w:hint="cs"/>
          <w:rtl/>
        </w:rPr>
        <w:t>َ</w:t>
      </w:r>
      <w:r w:rsidRPr="006A2246">
        <w:rPr>
          <w:rStyle w:val="libAieChar"/>
          <w:rtl/>
        </w:rPr>
        <w:t xml:space="preserve">اسُ أُمَّةً واحِدَةً </w:t>
      </w:r>
      <w:r w:rsidRPr="0003660B">
        <w:rPr>
          <w:rStyle w:val="libAlaemChar"/>
          <w:rtl/>
        </w:rPr>
        <w:t>)</w:t>
      </w:r>
      <w:r w:rsidRPr="00C9040A">
        <w:rPr>
          <w:rtl/>
          <w:lang w:bidi="fa-IR"/>
        </w:rPr>
        <w:t xml:space="preserve"> قَالَ : « عَنى بِذلِكَ أُمَّةَ مُحَمَّدٍ </w:t>
      </w:r>
      <w:r w:rsidR="004A4E41" w:rsidRPr="004A4E41">
        <w:rPr>
          <w:rStyle w:val="libAlaemChar"/>
          <w:rtl/>
        </w:rPr>
        <w:t>صلى‌الله‌عليه‌وآله</w:t>
      </w:r>
      <w:r w:rsidRPr="00C9040A">
        <w:rPr>
          <w:rtl/>
          <w:lang w:bidi="fa-IR"/>
        </w:rPr>
        <w:t xml:space="preserve"> أَنْ يَكُونُوا عَلى دِينٍ وَاحِدٍ كُفَّاراً كُلَّهُمْ</w:t>
      </w:r>
      <w:r>
        <w:rPr>
          <w:rFonts w:hint="cs"/>
          <w:rtl/>
          <w:lang w:bidi="fa-IR"/>
        </w:rPr>
        <w:t xml:space="preserve"> </w:t>
      </w:r>
      <w:r w:rsidRPr="0003660B">
        <w:rPr>
          <w:rStyle w:val="libAlaemChar"/>
          <w:rtl/>
        </w:rPr>
        <w:t>(</w:t>
      </w:r>
      <w:r w:rsidRPr="006A2246">
        <w:rPr>
          <w:rStyle w:val="libAieChar"/>
          <w:rtl/>
        </w:rPr>
        <w:t xml:space="preserve"> لَجَعَلْنا لِمَنْ يَكْفُرُ بِالرَّحْمنِ لِبُيُوتِهِمْ سُقُفاً مِنْ فِضَّةٍ </w:t>
      </w:r>
      <w:r w:rsidRPr="0003660B">
        <w:rPr>
          <w:rStyle w:val="libAlaemChar"/>
          <w:rtl/>
        </w:rPr>
        <w:t>)</w:t>
      </w:r>
      <w:r w:rsidRPr="00C9040A">
        <w:rPr>
          <w:rtl/>
          <w:lang w:bidi="fa-IR"/>
        </w:rPr>
        <w:t xml:space="preserve"> </w:t>
      </w:r>
      <w:r w:rsidR="006C577F" w:rsidRPr="006C577F">
        <w:rPr>
          <w:rStyle w:val="libFootnotenumChar"/>
          <w:rtl/>
        </w:rPr>
        <w:t>(5)</w:t>
      </w:r>
      <w:r w:rsidRPr="00C9040A">
        <w:rPr>
          <w:rtl/>
          <w:lang w:bidi="fa-IR"/>
        </w:rPr>
        <w:t xml:space="preserve"> وَلَوْ فَعَلَ اللهُ </w:t>
      </w:r>
      <w:r w:rsidR="006C577F" w:rsidRPr="006C577F">
        <w:rPr>
          <w:rStyle w:val="libFootnotenumChar"/>
          <w:rtl/>
        </w:rPr>
        <w:t>(6)</w:t>
      </w:r>
      <w:r w:rsidRPr="005B567D">
        <w:rPr>
          <w:rStyle w:val="libFootnotenumChar"/>
          <w:rtl/>
        </w:rPr>
        <w:t xml:space="preserve"> </w:t>
      </w:r>
      <w:r w:rsidRPr="00C9040A">
        <w:rPr>
          <w:rtl/>
          <w:lang w:bidi="fa-IR"/>
        </w:rPr>
        <w:t xml:space="preserve">ذلِكَ بِأُمَّةِ مُحَمَّدٍ </w:t>
      </w:r>
      <w:r w:rsidR="004A4E41" w:rsidRPr="004A4E41">
        <w:rPr>
          <w:rStyle w:val="libAlaemChar"/>
          <w:rtl/>
        </w:rPr>
        <w:t>صلى‌الله‌عليه‌وآله</w:t>
      </w:r>
      <w:r w:rsidRPr="00C9040A">
        <w:rPr>
          <w:rtl/>
          <w:lang w:bidi="fa-IR"/>
        </w:rPr>
        <w:t xml:space="preserve"> لَحَزِنَ الْمُؤْمِنُونَ ، وَغَمَّهُمْ ذلِكَ ، وَلَمْ يُنَاكِحُوهُمْ وَلَمْ يُوَارِثُوهُمْ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993B55">
        <w:rPr>
          <w:rStyle w:val="libFootnoteBoldChar"/>
          <w:rtl/>
        </w:rPr>
        <w:t>الوافي</w:t>
      </w:r>
      <w:r w:rsidR="008A74EB" w:rsidRPr="00C9040A">
        <w:rPr>
          <w:rtl/>
        </w:rPr>
        <w:t xml:space="preserve"> ، ج 5 ، ص 794 ، ح 3060 ؛ </w:t>
      </w:r>
      <w:r w:rsidR="008A74EB" w:rsidRPr="00993B55">
        <w:rPr>
          <w:rStyle w:val="libFootnoteBoldChar"/>
          <w:rtl/>
        </w:rPr>
        <w:t>البحار</w:t>
      </w:r>
      <w:r w:rsidR="008A74EB" w:rsidRPr="00C9040A">
        <w:rPr>
          <w:rtl/>
        </w:rPr>
        <w:t xml:space="preserve"> ، ج 72 ، ص 27 ، ح 23.</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حاشية « ض ، بر » : « للمؤمنين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العِذاران من الفرس : كالعارضين من وجه الإنسان. ثمّ سمّي السَّير الذي يكون عليه من اللِّجام عِذاراً باسم موضعه. </w:t>
      </w:r>
      <w:r w:rsidR="008A74EB" w:rsidRPr="00993B55">
        <w:rPr>
          <w:rStyle w:val="libFootnoteBoldChar"/>
          <w:rtl/>
        </w:rPr>
        <w:t>النهاية</w:t>
      </w:r>
      <w:r w:rsidR="008A74EB" w:rsidRPr="00C9040A">
        <w:rPr>
          <w:rtl/>
        </w:rPr>
        <w:t xml:space="preserve"> ، ج 3 ، ص 198 ( عذر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الوافي</w:t>
      </w:r>
      <w:r w:rsidR="008A74EB" w:rsidRPr="00C9040A">
        <w:rPr>
          <w:rtl/>
        </w:rPr>
        <w:t xml:space="preserve"> ، ج 5 ، ص 794 ، ح 3058 ؛ </w:t>
      </w:r>
      <w:r w:rsidR="008A74EB" w:rsidRPr="00993B55">
        <w:rPr>
          <w:rStyle w:val="libFootnoteBoldChar"/>
          <w:rtl/>
        </w:rPr>
        <w:t>البحار</w:t>
      </w:r>
      <w:r w:rsidR="008A74EB" w:rsidRPr="00C9040A">
        <w:rPr>
          <w:rtl/>
        </w:rPr>
        <w:t xml:space="preserve"> ، ج 72 ، ص 28 ، ح 24.</w:t>
      </w:r>
    </w:p>
    <w:p w:rsidR="008A74EB" w:rsidRPr="00C9040A" w:rsidRDefault="006C577F" w:rsidP="004A4E41">
      <w:pPr>
        <w:pStyle w:val="libFootnote0"/>
        <w:rPr>
          <w:rtl/>
          <w:lang w:bidi="fa-IR"/>
        </w:rPr>
      </w:pPr>
      <w:r>
        <w:rPr>
          <w:rtl/>
        </w:rPr>
        <w:t>(5).</w:t>
      </w:r>
      <w:r w:rsidR="008A74EB" w:rsidRPr="00C9040A">
        <w:rPr>
          <w:rtl/>
        </w:rPr>
        <w:t xml:space="preserve"> الزخرف (43) : 33. وفي العلل : + </w:t>
      </w:r>
      <w:r w:rsidR="008A74EB" w:rsidRPr="00C822D0">
        <w:rPr>
          <w:rStyle w:val="libFootnoteAlaemChar"/>
          <w:rtl/>
        </w:rPr>
        <w:t>(</w:t>
      </w:r>
      <w:r w:rsidR="008A74EB" w:rsidRPr="00883DD5">
        <w:rPr>
          <w:rStyle w:val="libFootnoteAieChar"/>
          <w:rFonts w:hint="cs"/>
          <w:rtl/>
        </w:rPr>
        <w:t xml:space="preserve"> </w:t>
      </w:r>
      <w:r w:rsidR="008A74EB" w:rsidRPr="00883DD5">
        <w:rPr>
          <w:rStyle w:val="libFootnoteAieChar"/>
          <w:rtl/>
        </w:rPr>
        <w:t>وَمَعارِجَ عَلَيْها يَظْهَرُونَ</w:t>
      </w:r>
      <w:r w:rsidR="008A74EB" w:rsidRPr="00883DD5">
        <w:rPr>
          <w:rStyle w:val="libFootnoteAieChar"/>
          <w:rFonts w:hint="cs"/>
          <w:rtl/>
        </w:rPr>
        <w:t xml:space="preserve"> </w:t>
      </w:r>
      <w:r w:rsidR="008A74EB" w:rsidRPr="00C822D0">
        <w:rPr>
          <w:rStyle w:val="libFootnoteAlaemChar"/>
          <w:rtl/>
        </w:rPr>
        <w:t>)</w:t>
      </w:r>
      <w:r w:rsidR="008A74EB" w:rsidRPr="00C9040A">
        <w:rPr>
          <w:rtl/>
        </w:rPr>
        <w:t xml:space="preserve"> وفي </w:t>
      </w:r>
      <w:r w:rsidR="008A74EB" w:rsidRPr="00993B55">
        <w:rPr>
          <w:rStyle w:val="libFootnoteBoldChar"/>
          <w:rtl/>
        </w:rPr>
        <w:t>الوافي</w:t>
      </w:r>
      <w:r w:rsidR="008A74EB" w:rsidRPr="00C9040A">
        <w:rPr>
          <w:rtl/>
        </w:rPr>
        <w:t xml:space="preserve"> : « معنى الآية : لولا كراهة أن يجتمع‌</w:t>
      </w:r>
      <w:r w:rsidR="00331A17">
        <w:rPr>
          <w:rFonts w:hint="cs"/>
          <w:rtl/>
        </w:rPr>
        <w:t xml:space="preserve"> </w:t>
      </w:r>
      <w:r w:rsidR="008A74EB" w:rsidRPr="00C9040A">
        <w:rPr>
          <w:rtl/>
        </w:rPr>
        <w:t>الناس على الكفر لجعلنا للكفّار سقوفاً من فضّة</w:t>
      </w:r>
      <w:r w:rsidR="008A74EB">
        <w:rPr>
          <w:rtl/>
        </w:rPr>
        <w:t xml:space="preserve"> ..</w:t>
      </w:r>
      <w:r w:rsidR="008A74EB" w:rsidRPr="00C9040A">
        <w:rPr>
          <w:rtl/>
        </w:rPr>
        <w:t>. إلى آخرها. ومعنى الحديث : أنّها نزلت في هذه الا</w:t>
      </w:r>
      <w:r w:rsidR="00331A17">
        <w:rPr>
          <w:rFonts w:hint="cs"/>
          <w:rtl/>
        </w:rPr>
        <w:t>ُ</w:t>
      </w:r>
      <w:r w:rsidR="008A74EB" w:rsidRPr="00C9040A">
        <w:rPr>
          <w:rtl/>
        </w:rPr>
        <w:t>مّة خاصّة ، يعني لولاكراهة أن تجتمع هذه الا</w:t>
      </w:r>
      <w:r w:rsidR="00331A17">
        <w:rPr>
          <w:rFonts w:hint="cs"/>
          <w:rtl/>
        </w:rPr>
        <w:t>ُ</w:t>
      </w:r>
      <w:r w:rsidR="008A74EB" w:rsidRPr="00C9040A">
        <w:rPr>
          <w:rtl/>
        </w:rPr>
        <w:t>مّة يعني عامّتهم وجمهورهم على الكفر ، فيلحقوا بسائر الكفّار ويكونوا جميعاً ا</w:t>
      </w:r>
      <w:r w:rsidR="00331A17">
        <w:rPr>
          <w:rFonts w:hint="cs"/>
          <w:rtl/>
        </w:rPr>
        <w:t>ُ</w:t>
      </w:r>
      <w:r w:rsidR="00331A17">
        <w:rPr>
          <w:rtl/>
        </w:rPr>
        <w:t>مّة واحدة ، ولايبقى إل</w:t>
      </w:r>
      <w:r w:rsidR="00331A17">
        <w:rPr>
          <w:rFonts w:hint="cs"/>
          <w:rtl/>
        </w:rPr>
        <w:t>ّ</w:t>
      </w:r>
      <w:r w:rsidR="00331A17">
        <w:rPr>
          <w:rtl/>
        </w:rPr>
        <w:t>ا</w:t>
      </w:r>
      <w:r w:rsidR="00331A17">
        <w:rPr>
          <w:rFonts w:hint="cs"/>
          <w:rtl/>
        </w:rPr>
        <w:t xml:space="preserve"> </w:t>
      </w:r>
      <w:r w:rsidR="008A74EB" w:rsidRPr="00C9040A">
        <w:rPr>
          <w:rtl/>
        </w:rPr>
        <w:t>قليل ممّن محض الإيمان محضاً. فعبّر بالناس عن الأكثرين لقلّة المؤمنين ، فكأنّهم ليسوا منهم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شرح المازندراني والعلل </w:t>
      </w:r>
      <w:r w:rsidR="008A74EB">
        <w:rPr>
          <w:rtl/>
        </w:rPr>
        <w:t xml:space="preserve">: </w:t>
      </w:r>
      <w:r w:rsidR="0084262C">
        <w:rPr>
          <w:rtl/>
        </w:rPr>
        <w:t>-</w:t>
      </w:r>
      <w:r w:rsidR="008A74EB" w:rsidRPr="00C9040A">
        <w:rPr>
          <w:rtl/>
        </w:rPr>
        <w:t xml:space="preserve"> « الله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علل الشرائع</w:t>
      </w:r>
      <w:r w:rsidR="008A74EB" w:rsidRPr="00C9040A">
        <w:rPr>
          <w:rtl/>
        </w:rPr>
        <w:t xml:space="preserve"> ، ص 589 ، ح 33 ، بسنده عن الحسن بن محبوب </w:t>
      </w:r>
      <w:r w:rsidR="00331A17">
        <w:rPr>
          <w:rFonts w:hint="cs"/>
          <w:rtl/>
        </w:rPr>
        <w:t>.</w:t>
      </w:r>
      <w:r w:rsidR="008A74EB" w:rsidRPr="00993B55">
        <w:rPr>
          <w:rStyle w:val="libFootnoteBoldChar"/>
          <w:rtl/>
        </w:rPr>
        <w:t>الوافي</w:t>
      </w:r>
      <w:r w:rsidR="008A74EB" w:rsidRPr="00C9040A">
        <w:rPr>
          <w:rtl/>
        </w:rPr>
        <w:t xml:space="preserve"> ، ج 5 ، ص 786 ، ح 3041 ؛ </w:t>
      </w:r>
      <w:r w:rsidR="008A74EB" w:rsidRPr="00993B55">
        <w:rPr>
          <w:rStyle w:val="libFootnoteBoldChar"/>
          <w:rtl/>
        </w:rPr>
        <w:t>البحار</w:t>
      </w:r>
      <w:r w:rsidR="008A74EB" w:rsidRPr="00C9040A">
        <w:rPr>
          <w:rtl/>
        </w:rPr>
        <w:t xml:space="preserve"> ، ج 72 ، ص 28 ، ح 25.</w:t>
      </w:r>
    </w:p>
    <w:p w:rsidR="004B7F34" w:rsidRDefault="004B7F34" w:rsidP="004B7F34">
      <w:pPr>
        <w:pStyle w:val="libNormal"/>
        <w:rPr>
          <w:rtl/>
          <w:lang w:bidi="fa-IR"/>
        </w:rPr>
      </w:pPr>
      <w:r>
        <w:rPr>
          <w:rtl/>
          <w:lang w:bidi="fa-IR"/>
        </w:rPr>
        <w:br w:type="page"/>
      </w:r>
    </w:p>
    <w:p w:rsidR="008A74EB" w:rsidRPr="00C9040A" w:rsidRDefault="008A74EB" w:rsidP="008A74EB">
      <w:pPr>
        <w:pStyle w:val="Heading2Center"/>
        <w:rPr>
          <w:rtl/>
          <w:lang w:bidi="fa-IR"/>
        </w:rPr>
      </w:pPr>
      <w:bookmarkStart w:id="334" w:name="_Toc343795699"/>
      <w:bookmarkStart w:id="335" w:name="_Toc459810823"/>
      <w:bookmarkStart w:id="336" w:name="_Toc35348729"/>
      <w:r w:rsidRPr="00C9040A">
        <w:rPr>
          <w:rtl/>
          <w:lang w:bidi="fa-IR"/>
        </w:rPr>
        <w:t>108</w:t>
      </w:r>
      <w:r>
        <w:rPr>
          <w:rtl/>
          <w:lang w:bidi="fa-IR"/>
        </w:rPr>
        <w:t xml:space="preserve"> </w:t>
      </w:r>
      <w:r w:rsidR="0084262C">
        <w:rPr>
          <w:rtl/>
          <w:lang w:bidi="fa-IR"/>
        </w:rPr>
        <w:t>-</w:t>
      </w:r>
      <w:r>
        <w:rPr>
          <w:rtl/>
          <w:lang w:bidi="fa-IR"/>
        </w:rPr>
        <w:t xml:space="preserve"> </w:t>
      </w:r>
      <w:r w:rsidRPr="00C9040A">
        <w:rPr>
          <w:rtl/>
          <w:lang w:bidi="fa-IR"/>
        </w:rPr>
        <w:t xml:space="preserve">بَابٌ </w:t>
      </w:r>
      <w:r w:rsidR="006C577F" w:rsidRPr="006C577F">
        <w:rPr>
          <w:rStyle w:val="libFootnotenumChar"/>
          <w:rtl/>
        </w:rPr>
        <w:t>(1)</w:t>
      </w:r>
      <w:r w:rsidRPr="00C9040A">
        <w:rPr>
          <w:rtl/>
          <w:lang w:bidi="fa-IR"/>
        </w:rPr>
        <w:t xml:space="preserve"> ‌</w:t>
      </w:r>
      <w:bookmarkEnd w:id="334"/>
      <w:bookmarkEnd w:id="335"/>
      <w:bookmarkEnd w:id="336"/>
    </w:p>
    <w:p w:rsidR="008A74EB" w:rsidRPr="00C9040A" w:rsidRDefault="008A74EB" w:rsidP="008A74EB">
      <w:pPr>
        <w:pStyle w:val="libNormal"/>
        <w:rPr>
          <w:rtl/>
          <w:lang w:bidi="fa-IR"/>
        </w:rPr>
      </w:pPr>
      <w:r w:rsidRPr="00531734">
        <w:rPr>
          <w:rtl/>
        </w:rPr>
        <w:t>2405</w:t>
      </w:r>
      <w:r w:rsidRPr="00261CB0">
        <w:rPr>
          <w:rStyle w:val="libBold2Char"/>
          <w:rtl/>
        </w:rPr>
        <w:t xml:space="preserve"> / 1.</w:t>
      </w:r>
      <w:r w:rsidRPr="00C9040A">
        <w:rPr>
          <w:rtl/>
          <w:lang w:bidi="fa-IR"/>
        </w:rPr>
        <w:t xml:space="preserve"> مُحَمَّدُ بْنُ يَحْيى ، عَنْ أَحْمَدَ بْنِ مُحَمَّدٍ ، عَنْ مُحَمَّدِ بْنِ سِنَانٍ ، عَنْ أَبَانِ بْنِ عَبْدِ الْمَلِكِ ، قَالَ : حَدَّثَنِي بَكْرٌ الْأَرْقَطُ ، عَنْ أَبِي عَبْدِ اللهِ </w:t>
      </w:r>
      <w:r w:rsidRPr="0003660B">
        <w:rPr>
          <w:rStyle w:val="libAlaemChar"/>
          <w:rtl/>
        </w:rPr>
        <w:t>عليه‌السلام</w:t>
      </w:r>
      <w:r w:rsidRPr="00C9040A">
        <w:rPr>
          <w:rtl/>
          <w:lang w:bidi="fa-IR"/>
        </w:rPr>
        <w:t xml:space="preserve"> ، أَوْ </w:t>
      </w:r>
      <w:r w:rsidR="006C577F" w:rsidRPr="006C577F">
        <w:rPr>
          <w:rStyle w:val="libFootnotenumChar"/>
          <w:rtl/>
        </w:rPr>
        <w:t>(2)</w:t>
      </w:r>
      <w:r w:rsidRPr="00C9040A">
        <w:rPr>
          <w:rtl/>
          <w:lang w:bidi="fa-IR"/>
        </w:rPr>
        <w:t xml:space="preserve"> عَنْ شُعَيْبٍ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أَنَّهُ دَخَلَ عَلَيْهِ وَاحِدٌ ، فَقَالَ لَهُ </w:t>
      </w:r>
      <w:r w:rsidR="006C577F" w:rsidRPr="006C577F">
        <w:rPr>
          <w:rStyle w:val="libFootnotenumChar"/>
          <w:rtl/>
        </w:rPr>
        <w:t>(4)</w:t>
      </w:r>
      <w:r w:rsidRPr="00C9040A">
        <w:rPr>
          <w:rtl/>
          <w:lang w:bidi="fa-IR"/>
        </w:rPr>
        <w:t xml:space="preserve"> : أَصْلَحَكَ اللهُ ، إِنِّي رَجُلٌ مُنْقَطِعٌ إِلَيْكُمْ بِمَوَدَّتِي ، وَقَدْ أَصَابَتْنِي </w:t>
      </w:r>
      <w:r w:rsidR="006C577F" w:rsidRPr="006C577F">
        <w:rPr>
          <w:rStyle w:val="libFootnotenumChar"/>
          <w:rtl/>
        </w:rPr>
        <w:t>(5)</w:t>
      </w:r>
      <w:r w:rsidRPr="00C9040A">
        <w:rPr>
          <w:rtl/>
          <w:lang w:bidi="fa-IR"/>
        </w:rPr>
        <w:t xml:space="preserve"> حَاجَةٌ شَدِيدَةٌ ، وَقَدْ تَقَرَّبْتُ بِذلِكَ إِلى أَهْلِ بَيْتِي وَقَوْمِي ، فَلَمْ يَزِدْنِي بِذلِكَ </w:t>
      </w:r>
      <w:r w:rsidR="006C577F" w:rsidRPr="006C577F">
        <w:rPr>
          <w:rStyle w:val="libFootnotenumChar"/>
          <w:rtl/>
        </w:rPr>
        <w:t>(6)</w:t>
      </w:r>
      <w:r w:rsidRPr="005B567D">
        <w:rPr>
          <w:rStyle w:val="libFootnotenumChar"/>
          <w:rtl/>
        </w:rPr>
        <w:t xml:space="preserve"> </w:t>
      </w:r>
      <w:r w:rsidR="00331A17">
        <w:rPr>
          <w:rtl/>
          <w:lang w:bidi="fa-IR"/>
        </w:rPr>
        <w:t>مِنْهُمْ إِل</w:t>
      </w:r>
      <w:r w:rsidR="00331A17">
        <w:rPr>
          <w:rFonts w:hint="cs"/>
          <w:rtl/>
          <w:lang w:bidi="fa-IR"/>
        </w:rPr>
        <w:t>َّ</w:t>
      </w:r>
      <w:r w:rsidR="00331A17">
        <w:rPr>
          <w:rtl/>
          <w:lang w:bidi="fa-IR"/>
        </w:rPr>
        <w:t>ا</w:t>
      </w:r>
      <w:r w:rsidRPr="00C9040A">
        <w:rPr>
          <w:rtl/>
          <w:lang w:bidi="fa-IR"/>
        </w:rPr>
        <w:t xml:space="preserve"> بُعْداً.</w:t>
      </w:r>
    </w:p>
    <w:p w:rsidR="008A74EB" w:rsidRPr="00C9040A" w:rsidRDefault="008A74EB" w:rsidP="008A74EB">
      <w:pPr>
        <w:pStyle w:val="libNormal"/>
        <w:rPr>
          <w:rtl/>
          <w:lang w:bidi="fa-IR"/>
        </w:rPr>
      </w:pPr>
      <w:r w:rsidRPr="00C9040A">
        <w:rPr>
          <w:rtl/>
          <w:lang w:bidi="fa-IR"/>
        </w:rPr>
        <w:t>قَالَ : « فَمَا آتَاكَ اللهُ خَيْرٌ مِمَّا أَخَذَ مِنْكَ »</w:t>
      </w:r>
      <w:r>
        <w:rPr>
          <w:rtl/>
          <w:lang w:bidi="fa-IR"/>
        </w:rPr>
        <w:t>.</w:t>
      </w:r>
    </w:p>
    <w:p w:rsidR="008A74EB" w:rsidRPr="00C9040A" w:rsidRDefault="008A74EB" w:rsidP="008A74EB">
      <w:pPr>
        <w:pStyle w:val="libNormal"/>
        <w:rPr>
          <w:rtl/>
          <w:lang w:bidi="fa-IR"/>
        </w:rPr>
      </w:pPr>
      <w:r w:rsidRPr="00C9040A">
        <w:rPr>
          <w:rtl/>
          <w:lang w:bidi="fa-IR"/>
        </w:rPr>
        <w:t xml:space="preserve">قَالَ </w:t>
      </w:r>
      <w:r w:rsidR="006C577F" w:rsidRPr="006C577F">
        <w:rPr>
          <w:rStyle w:val="libFootnotenumChar"/>
          <w:rtl/>
        </w:rPr>
        <w:t>(7)</w:t>
      </w:r>
      <w:r w:rsidRPr="00C9040A">
        <w:rPr>
          <w:rtl/>
          <w:lang w:bidi="fa-IR"/>
        </w:rPr>
        <w:t xml:space="preserve"> : جُعِلْتُ فِدَاكَ ، ادْعُ </w:t>
      </w:r>
      <w:r w:rsidR="006C577F" w:rsidRPr="006C577F">
        <w:rPr>
          <w:rStyle w:val="libFootnotenumChar"/>
          <w:rtl/>
        </w:rPr>
        <w:t>(8)</w:t>
      </w:r>
      <w:r w:rsidRPr="00C9040A">
        <w:rPr>
          <w:rtl/>
          <w:lang w:bidi="fa-IR"/>
        </w:rPr>
        <w:t xml:space="preserve"> اللهَ لِي </w:t>
      </w:r>
      <w:r w:rsidR="006C577F" w:rsidRPr="006C577F">
        <w:rPr>
          <w:rStyle w:val="libFootnotenumChar"/>
          <w:rtl/>
        </w:rPr>
        <w:t>(9)</w:t>
      </w:r>
      <w:r w:rsidRPr="00C9040A">
        <w:rPr>
          <w:rtl/>
          <w:lang w:bidi="fa-IR"/>
        </w:rPr>
        <w:t xml:space="preserve"> أَنْ يُغْنِيَنِي عَنْ خَلْقِهِ.</w:t>
      </w:r>
    </w:p>
    <w:p w:rsidR="008A74EB" w:rsidRPr="00C9040A" w:rsidRDefault="008A74EB" w:rsidP="008A74EB">
      <w:pPr>
        <w:pStyle w:val="libNormal"/>
        <w:rPr>
          <w:rtl/>
          <w:lang w:bidi="fa-IR"/>
        </w:rPr>
      </w:pPr>
      <w:r w:rsidRPr="00C9040A">
        <w:rPr>
          <w:rtl/>
          <w:lang w:bidi="fa-IR"/>
        </w:rPr>
        <w:t xml:space="preserve">قَالَ : « إِنَّ اللهَ قَسَّمَ رِزْقَ مَنْ شَاءَ عَلى يَدَيْ </w:t>
      </w:r>
      <w:r w:rsidR="006C577F" w:rsidRPr="006C577F">
        <w:rPr>
          <w:rStyle w:val="libFootnotenumChar"/>
          <w:rtl/>
        </w:rPr>
        <w:t>(10)</w:t>
      </w:r>
      <w:r w:rsidRPr="00C9040A">
        <w:rPr>
          <w:rtl/>
          <w:lang w:bidi="fa-IR"/>
        </w:rPr>
        <w:t xml:space="preserve"> مَنْ شَاءَ </w:t>
      </w:r>
      <w:r w:rsidR="006C577F" w:rsidRPr="006C577F">
        <w:rPr>
          <w:rStyle w:val="libFootnotenumChar"/>
          <w:rtl/>
        </w:rPr>
        <w:t>(11)</w:t>
      </w:r>
      <w:r w:rsidRPr="00C9040A">
        <w:rPr>
          <w:rtl/>
          <w:lang w:bidi="fa-IR"/>
        </w:rPr>
        <w:t xml:space="preserve"> ، وَلكِنْ سَلِ </w:t>
      </w:r>
      <w:r w:rsidR="006C577F" w:rsidRPr="006C577F">
        <w:rPr>
          <w:rStyle w:val="libFootnotenumChar"/>
          <w:rtl/>
        </w:rPr>
        <w:t>(12)</w:t>
      </w:r>
      <w:r w:rsidRPr="00C9040A">
        <w:rPr>
          <w:rtl/>
          <w:lang w:bidi="fa-IR"/>
        </w:rPr>
        <w:t xml:space="preserve"> اللهَ أَنْ‌</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ص » : « باب آخر منه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ج 9 ، ص 374 : « إنّما جعله باباً آخر ولم يعنونه لأنّ أخباره مناسبة للباب الأوّل ، لكن بينهما فرق ؛ فإنّ الباب الأوّل كان معقوداً لفضل الفقر ، والخبران المذكوران في هذا الباب يظهر منهما الفرق بين الفقر الممدوح والمذموم. وقيل : لأنّ أخبار الباب السابق كانت تدلّ على م</w:t>
      </w:r>
      <w:r w:rsidR="00331A17">
        <w:rPr>
          <w:rtl/>
        </w:rPr>
        <w:t>دح الفقراء منطوقاً ، وهذان يدل</w:t>
      </w:r>
      <w:r w:rsidR="00331A17">
        <w:rPr>
          <w:rFonts w:hint="cs"/>
          <w:rtl/>
        </w:rPr>
        <w:t>ّ</w:t>
      </w:r>
      <w:r w:rsidR="00331A17">
        <w:rPr>
          <w:rtl/>
        </w:rPr>
        <w:t>ا</w:t>
      </w:r>
      <w:r w:rsidR="008A74EB" w:rsidRPr="00C9040A">
        <w:rPr>
          <w:rtl/>
        </w:rPr>
        <w:t>ن عليه مفهوماً. وكأنّ ما ذكرنا أظهر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الظاهر من السند عطف « شعيب ، عن أبي‌عبدالله </w:t>
      </w:r>
      <w:r w:rsidR="00117575" w:rsidRPr="00117575">
        <w:rPr>
          <w:rStyle w:val="libFootnoteAlaemChar"/>
          <w:rtl/>
        </w:rPr>
        <w:t>عليه‌السلام</w:t>
      </w:r>
      <w:r w:rsidR="008A74EB" w:rsidRPr="00C9040A">
        <w:rPr>
          <w:rtl/>
        </w:rPr>
        <w:t xml:space="preserve"> » على « أبي‌عبدالله </w:t>
      </w:r>
      <w:r w:rsidR="00117575" w:rsidRPr="00117575">
        <w:rPr>
          <w:rStyle w:val="libFootnoteAlaemChar"/>
          <w:rtl/>
        </w:rPr>
        <w:t xml:space="preserve">عليه‌السلام </w:t>
      </w:r>
      <w:r w:rsidR="008A74EB" w:rsidRPr="00C9040A">
        <w:rPr>
          <w:rtl/>
        </w:rPr>
        <w:t xml:space="preserve">» ، ومفاده الترديد في رواية بكر الأرقط عن أبي‌عبدالله </w:t>
      </w:r>
      <w:r w:rsidR="00117575" w:rsidRPr="00117575">
        <w:rPr>
          <w:rStyle w:val="libFootnoteAlaemChar"/>
          <w:rtl/>
        </w:rPr>
        <w:t>عليه‌السلام</w:t>
      </w:r>
      <w:r w:rsidR="008A74EB" w:rsidRPr="00C9040A">
        <w:rPr>
          <w:rtl/>
        </w:rPr>
        <w:t xml:space="preserve"> هل كانت مباشرة أو بتوسّط شعيب.</w:t>
      </w:r>
    </w:p>
    <w:p w:rsidR="008A74EB" w:rsidRPr="00C9040A" w:rsidRDefault="008A74EB" w:rsidP="004A4E41">
      <w:pPr>
        <w:pStyle w:val="libFootnote0"/>
        <w:rPr>
          <w:rtl/>
          <w:lang w:bidi="fa-IR"/>
        </w:rPr>
      </w:pPr>
      <w:r w:rsidRPr="0082575F">
        <w:rPr>
          <w:rtl/>
        </w:rPr>
        <w:t>هذا ، وفي الوسائل : « بكر الأرقط أو شعيب »</w:t>
      </w:r>
      <w:r>
        <w:rPr>
          <w:rtl/>
        </w:rPr>
        <w:t>.</w:t>
      </w:r>
    </w:p>
    <w:p w:rsidR="008A74EB" w:rsidRPr="00C9040A" w:rsidRDefault="006C577F" w:rsidP="004A4E41">
      <w:pPr>
        <w:pStyle w:val="libFootnote0"/>
        <w:rPr>
          <w:rtl/>
          <w:lang w:bidi="fa-IR"/>
        </w:rPr>
      </w:pPr>
      <w:r>
        <w:rPr>
          <w:rtl/>
        </w:rPr>
        <w:t>(3).</w:t>
      </w:r>
      <w:r w:rsidR="008A74EB" w:rsidRPr="00C9040A">
        <w:rPr>
          <w:rtl/>
        </w:rPr>
        <w:t xml:space="preserve"> في « د ، ز ، ف ، بر » : « شبيب »</w:t>
      </w:r>
      <w:r w:rsidR="008A74EB">
        <w:rPr>
          <w:rtl/>
        </w:rPr>
        <w:t>.</w:t>
      </w:r>
      <w:r w:rsidR="008A74EB" w:rsidRPr="00C9040A">
        <w:rPr>
          <w:rtl/>
        </w:rPr>
        <w:t xml:space="preserve"> وفي « </w:t>
      </w:r>
      <w:r w:rsidR="006D3162">
        <w:rPr>
          <w:rtl/>
        </w:rPr>
        <w:t xml:space="preserve">ه </w:t>
      </w:r>
      <w:r w:rsidR="008A74EB" w:rsidRPr="00C9040A">
        <w:rPr>
          <w:rtl/>
        </w:rPr>
        <w:t>» : « مسيّب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هكذا في النسخ التي قوبلت والوافي والبحار. وفي المطبوع </w:t>
      </w:r>
      <w:r w:rsidR="008A74EB">
        <w:rPr>
          <w:rtl/>
        </w:rPr>
        <w:t xml:space="preserve">: </w:t>
      </w:r>
      <w:r w:rsidR="0084262C">
        <w:rPr>
          <w:rtl/>
        </w:rPr>
        <w:t>-</w:t>
      </w:r>
      <w:r w:rsidR="008A74EB" w:rsidRPr="00C9040A">
        <w:rPr>
          <w:rtl/>
        </w:rPr>
        <w:t xml:space="preserve"> « له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w:t>
      </w:r>
      <w:r w:rsidR="006D3162">
        <w:rPr>
          <w:rtl/>
        </w:rPr>
        <w:t xml:space="preserve">ه </w:t>
      </w:r>
      <w:r w:rsidR="008A74EB" w:rsidRPr="00C9040A">
        <w:rPr>
          <w:rtl/>
        </w:rPr>
        <w:t>» : « أصابني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ض » : « ذلك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ب ، </w:t>
      </w:r>
      <w:r w:rsidR="006D3162">
        <w:rPr>
          <w:rtl/>
        </w:rPr>
        <w:t xml:space="preserve">ه </w:t>
      </w:r>
      <w:r w:rsidR="008A74EB" w:rsidRPr="00C9040A">
        <w:rPr>
          <w:rtl/>
        </w:rPr>
        <w:t>» : « قلت »</w:t>
      </w:r>
      <w:r w:rsidR="008A74EB">
        <w:rPr>
          <w:rtl/>
        </w:rPr>
        <w:t>.</w:t>
      </w:r>
      <w:r w:rsidR="008A74EB" w:rsidRPr="00C9040A">
        <w:rPr>
          <w:rtl/>
        </w:rPr>
        <w:t xml:space="preserve"> وفي « ض ، ف » : + « قلت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حاشية « ف » : « اسأل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ب ، ج ، د ، بف » والوافي والوسائل والبحار </w:t>
      </w:r>
      <w:r w:rsidR="008A74EB">
        <w:rPr>
          <w:rtl/>
        </w:rPr>
        <w:t xml:space="preserve">: </w:t>
      </w:r>
      <w:r w:rsidR="0084262C">
        <w:rPr>
          <w:rtl/>
        </w:rPr>
        <w:t>-</w:t>
      </w:r>
      <w:r w:rsidR="008A74EB" w:rsidRPr="00C9040A">
        <w:rPr>
          <w:rtl/>
        </w:rPr>
        <w:t xml:space="preserve"> « لي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 </w:t>
      </w:r>
      <w:r w:rsidR="006D3162">
        <w:rPr>
          <w:rtl/>
        </w:rPr>
        <w:t xml:space="preserve">ه </w:t>
      </w:r>
      <w:r w:rsidR="008A74EB" w:rsidRPr="00C9040A">
        <w:rPr>
          <w:rtl/>
        </w:rPr>
        <w:t>» : « يد »</w:t>
      </w:r>
      <w:r w:rsidR="008A74EB">
        <w:rPr>
          <w:rtl/>
        </w:rPr>
        <w:t>.</w:t>
      </w:r>
      <w:r w:rsidR="008A74EB" w:rsidRPr="00C9040A">
        <w:rPr>
          <w:rtl/>
        </w:rPr>
        <w:t xml:space="preserve"> وفي الوسائل </w:t>
      </w:r>
      <w:r w:rsidR="008A74EB">
        <w:rPr>
          <w:rtl/>
        </w:rPr>
        <w:t xml:space="preserve">: </w:t>
      </w:r>
      <w:r w:rsidR="0084262C">
        <w:rPr>
          <w:rtl/>
        </w:rPr>
        <w:t>-</w:t>
      </w:r>
      <w:r w:rsidR="008A74EB" w:rsidRPr="00C9040A">
        <w:rPr>
          <w:rtl/>
        </w:rPr>
        <w:t xml:space="preserve"> « يدي »</w:t>
      </w:r>
      <w:r w:rsidR="008A74EB">
        <w:rPr>
          <w:rtl/>
        </w:rPr>
        <w:t>.</w:t>
      </w:r>
    </w:p>
    <w:tbl>
      <w:tblPr>
        <w:tblStyle w:val="TableGrid"/>
        <w:bidiVisual/>
        <w:tblW w:w="0" w:type="auto"/>
        <w:tblLook w:val="04A0" w:firstRow="1" w:lastRow="0" w:firstColumn="1" w:lastColumn="0" w:noHBand="0" w:noVBand="1"/>
      </w:tblPr>
      <w:tblGrid>
        <w:gridCol w:w="4006"/>
        <w:gridCol w:w="4006"/>
      </w:tblGrid>
      <w:tr w:rsidR="003B7B5E" w:rsidTr="003B7B5E">
        <w:tc>
          <w:tcPr>
            <w:tcW w:w="4006" w:type="dxa"/>
          </w:tcPr>
          <w:p w:rsidR="003B7B5E" w:rsidRDefault="003B7B5E" w:rsidP="004A4E41">
            <w:pPr>
              <w:pStyle w:val="libFootnote0"/>
              <w:rPr>
                <w:rtl/>
              </w:rPr>
            </w:pPr>
            <w:r>
              <w:rPr>
                <w:rtl/>
              </w:rPr>
              <w:t>(11).</w:t>
            </w:r>
            <w:r w:rsidRPr="00C9040A">
              <w:rPr>
                <w:rtl/>
              </w:rPr>
              <w:t xml:space="preserve"> في الوسائل : « يشاء »</w:t>
            </w:r>
            <w:r>
              <w:rPr>
                <w:rtl/>
              </w:rPr>
              <w:t>.</w:t>
            </w:r>
          </w:p>
        </w:tc>
        <w:tc>
          <w:tcPr>
            <w:tcW w:w="4006" w:type="dxa"/>
          </w:tcPr>
          <w:p w:rsidR="003B7B5E" w:rsidRDefault="003B7B5E" w:rsidP="003B7B5E">
            <w:pPr>
              <w:pStyle w:val="libFootnote0"/>
              <w:rPr>
                <w:rtl/>
              </w:rPr>
            </w:pPr>
            <w:r>
              <w:rPr>
                <w:rtl/>
              </w:rPr>
              <w:t>(12). في «</w:t>
            </w:r>
            <w:r w:rsidRPr="00C9040A">
              <w:rPr>
                <w:rtl/>
              </w:rPr>
              <w:t>ج</w:t>
            </w:r>
            <w:r>
              <w:rPr>
                <w:rtl/>
              </w:rPr>
              <w:t>،ز» وحاشية «ض،بر</w:t>
            </w:r>
            <w:r w:rsidRPr="00C9040A">
              <w:rPr>
                <w:rtl/>
              </w:rPr>
              <w:t>» وال</w:t>
            </w:r>
            <w:r>
              <w:rPr>
                <w:rtl/>
              </w:rPr>
              <w:t>بحار:«اسأل</w:t>
            </w:r>
            <w:r w:rsidRPr="00C9040A">
              <w:rPr>
                <w:rtl/>
              </w:rPr>
              <w:t>»</w:t>
            </w:r>
            <w:r>
              <w:rPr>
                <w:rtl/>
              </w:rPr>
              <w:t>.</w:t>
            </w:r>
          </w:p>
        </w:tc>
      </w:tr>
    </w:tbl>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يُغْنِيَكَ </w:t>
      </w:r>
      <w:r w:rsidR="006C577F" w:rsidRPr="006C577F">
        <w:rPr>
          <w:rStyle w:val="libFootnotenumChar"/>
          <w:rtl/>
        </w:rPr>
        <w:t>(1)</w:t>
      </w:r>
      <w:r w:rsidRPr="00C9040A">
        <w:rPr>
          <w:rtl/>
          <w:lang w:bidi="fa-IR"/>
        </w:rPr>
        <w:t xml:space="preserve"> عَنِ الْحَاجَةِ الَّتِي تَضْطَرُّكَ إِلى لِئَامِ خَلْقِهِ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134198">
        <w:rPr>
          <w:rtl/>
        </w:rPr>
        <w:t>2406</w:t>
      </w:r>
      <w:r w:rsidRPr="00261CB0">
        <w:rPr>
          <w:rStyle w:val="libBold2Char"/>
          <w:rtl/>
        </w:rPr>
        <w:t xml:space="preserve"> / 2.</w:t>
      </w:r>
      <w:r w:rsidRPr="00C9040A">
        <w:rPr>
          <w:rtl/>
          <w:lang w:bidi="fa-IR"/>
        </w:rPr>
        <w:t xml:space="preserve"> عِدَّةٌ مِنْ أَصْحَابِنَا ، عَنْ سَهْلِ بْنِ زِيَادٍ ، عَنْ عَلِيِّ بْنِ أَسْبَاطٍ ، عَمَّنْ ذَكَرَهُ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الْفَقْرُ الْمَوْتُ الْأَحْمَرُ </w:t>
      </w:r>
      <w:r w:rsidR="006C577F" w:rsidRPr="006C577F">
        <w:rPr>
          <w:rStyle w:val="libFootnotenumChar"/>
          <w:rtl/>
        </w:rPr>
        <w:t>(3)</w:t>
      </w:r>
      <w:r w:rsidRPr="00C9040A">
        <w:rPr>
          <w:rtl/>
          <w:lang w:bidi="fa-IR"/>
        </w:rPr>
        <w:t xml:space="preserve"> »</w:t>
      </w:r>
      <w:r>
        <w:rPr>
          <w:rtl/>
          <w:lang w:bidi="fa-IR"/>
        </w:rPr>
        <w:t>.</w:t>
      </w:r>
      <w:r w:rsidRPr="00C9040A">
        <w:rPr>
          <w:rtl/>
          <w:lang w:bidi="fa-IR"/>
        </w:rPr>
        <w:t xml:space="preserve"> فَقُلْتُ لِأَبِي عَبْدِ اللهِ </w:t>
      </w:r>
      <w:r w:rsidRPr="0003660B">
        <w:rPr>
          <w:rStyle w:val="libAlaemChar"/>
          <w:rtl/>
        </w:rPr>
        <w:t>عليه‌السلام</w:t>
      </w:r>
      <w:r w:rsidRPr="00C9040A">
        <w:rPr>
          <w:rtl/>
          <w:lang w:bidi="fa-IR"/>
        </w:rPr>
        <w:t xml:space="preserve"> : الْفَقْرُ مِنَ الدِّينَارِ وَالدِّرْهَمِ</w:t>
      </w:r>
      <w:r>
        <w:rPr>
          <w:rtl/>
          <w:lang w:bidi="fa-IR"/>
        </w:rPr>
        <w:t>؟</w:t>
      </w:r>
      <w:r w:rsidRPr="00C9040A">
        <w:rPr>
          <w:rtl/>
          <w:lang w:bidi="fa-IR"/>
        </w:rPr>
        <w:t xml:space="preserve"> فَقَالَ : « لَا ، وَلكِنْ مِنَ الدِّينِ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Heading2Center"/>
        <w:rPr>
          <w:rtl/>
          <w:lang w:bidi="fa-IR"/>
        </w:rPr>
      </w:pPr>
      <w:bookmarkStart w:id="337" w:name="_Toc343795700"/>
      <w:bookmarkStart w:id="338" w:name="_Toc459810824"/>
      <w:bookmarkStart w:id="339" w:name="_Toc35348730"/>
      <w:r w:rsidRPr="00C9040A">
        <w:rPr>
          <w:rtl/>
          <w:lang w:bidi="fa-IR"/>
        </w:rPr>
        <w:t>109</w:t>
      </w:r>
      <w:r>
        <w:rPr>
          <w:rtl/>
          <w:lang w:bidi="fa-IR"/>
        </w:rPr>
        <w:t xml:space="preserve"> </w:t>
      </w:r>
      <w:r w:rsidR="0084262C">
        <w:rPr>
          <w:rtl/>
          <w:lang w:bidi="fa-IR"/>
        </w:rPr>
        <w:t>-</w:t>
      </w:r>
      <w:r>
        <w:rPr>
          <w:rtl/>
          <w:lang w:bidi="fa-IR"/>
        </w:rPr>
        <w:t xml:space="preserve"> </w:t>
      </w:r>
      <w:r w:rsidRPr="00C9040A">
        <w:rPr>
          <w:rtl/>
          <w:lang w:bidi="fa-IR"/>
        </w:rPr>
        <w:t xml:space="preserve">بَابُ أَنَّ لِلْقَلْبِ أُذُنَيْنِ يَنْفُثُ فِيهِمَا الْمَلَكُ وَالشَّيْطَانُ </w:t>
      </w:r>
      <w:r w:rsidR="006C577F" w:rsidRPr="006C577F">
        <w:rPr>
          <w:rStyle w:val="libFootnotenumChar"/>
          <w:rtl/>
        </w:rPr>
        <w:t>(5)</w:t>
      </w:r>
      <w:r w:rsidRPr="00C9040A">
        <w:rPr>
          <w:rtl/>
          <w:lang w:bidi="fa-IR"/>
        </w:rPr>
        <w:t xml:space="preserve"> ‌</w:t>
      </w:r>
      <w:bookmarkEnd w:id="337"/>
      <w:bookmarkEnd w:id="338"/>
      <w:bookmarkEnd w:id="339"/>
    </w:p>
    <w:p w:rsidR="008A74EB" w:rsidRPr="00C9040A" w:rsidRDefault="008A74EB" w:rsidP="008A74EB">
      <w:pPr>
        <w:pStyle w:val="libNormal"/>
        <w:rPr>
          <w:rtl/>
          <w:lang w:bidi="fa-IR"/>
        </w:rPr>
      </w:pPr>
      <w:r w:rsidRPr="00134198">
        <w:rPr>
          <w:rtl/>
        </w:rPr>
        <w:t>2407</w:t>
      </w:r>
      <w:r w:rsidRPr="00261CB0">
        <w:rPr>
          <w:rStyle w:val="libBold2Char"/>
          <w:rtl/>
        </w:rPr>
        <w:t xml:space="preserve"> / 1.</w:t>
      </w:r>
      <w:r w:rsidRPr="00C9040A">
        <w:rPr>
          <w:rtl/>
          <w:lang w:bidi="fa-IR"/>
        </w:rPr>
        <w:t xml:space="preserve"> عَلِيُّ بْنُ إِبْرَاهِيمَ ، عَنْ أَبِيهِ </w:t>
      </w:r>
      <w:r w:rsidR="006C577F" w:rsidRPr="006C577F">
        <w:rPr>
          <w:rStyle w:val="libFootnotenumChar"/>
          <w:rtl/>
        </w:rPr>
        <w:t>(6)</w:t>
      </w:r>
      <w:r w:rsidRPr="005B567D">
        <w:rPr>
          <w:rStyle w:val="libFootnotenumChar"/>
          <w:rtl/>
        </w:rPr>
        <w:t xml:space="preserve"> </w:t>
      </w:r>
      <w:r w:rsidRPr="00C9040A">
        <w:rPr>
          <w:rtl/>
          <w:lang w:bidi="fa-IR"/>
        </w:rPr>
        <w:t>، عَنِ ابْنِ أَبِي عُمَيْرٍ ، عَنْ حَمَّادٍ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w:t>
      </w:r>
      <w:r w:rsidR="003B7B5E">
        <w:rPr>
          <w:rtl/>
          <w:lang w:bidi="fa-IR"/>
        </w:rPr>
        <w:t>قَالَ : « مَا مِنْ قَلْبٍ إِل</w:t>
      </w:r>
      <w:r w:rsidR="003B7B5E">
        <w:rPr>
          <w:rFonts w:hint="cs"/>
          <w:rtl/>
          <w:lang w:bidi="fa-IR"/>
        </w:rPr>
        <w:t>َّ</w:t>
      </w:r>
      <w:r w:rsidR="003B7B5E">
        <w:rPr>
          <w:rtl/>
          <w:lang w:bidi="fa-IR"/>
        </w:rPr>
        <w:t>ا</w:t>
      </w:r>
      <w:r w:rsidRPr="00C9040A">
        <w:rPr>
          <w:rtl/>
          <w:lang w:bidi="fa-IR"/>
        </w:rPr>
        <w:t xml:space="preserve"> وَلَهُ أُذُنَانِ ، عَلى إِحْدَاهُمَا </w:t>
      </w:r>
      <w:r w:rsidR="006C577F" w:rsidRPr="006C577F">
        <w:rPr>
          <w:rStyle w:val="libFootnotenumChar"/>
          <w:rtl/>
        </w:rPr>
        <w:t>(7)</w:t>
      </w:r>
      <w:r w:rsidRPr="00C9040A">
        <w:rPr>
          <w:rtl/>
          <w:lang w:bidi="fa-IR"/>
        </w:rPr>
        <w:t xml:space="preserve"> مَلَكٌ مُرْشِدٌ ، وَعَلَى الْأُخْرى </w:t>
      </w:r>
      <w:r w:rsidR="006C577F" w:rsidRPr="006C577F">
        <w:rPr>
          <w:rStyle w:val="libFootnotenumChar"/>
          <w:rtl/>
        </w:rPr>
        <w:t>(8)</w:t>
      </w:r>
      <w:r w:rsidRPr="00C9040A">
        <w:rPr>
          <w:rtl/>
          <w:lang w:bidi="fa-IR"/>
        </w:rPr>
        <w:t xml:space="preserve"> شَيْطَانٌ مُفْتِنٌ </w:t>
      </w:r>
      <w:r w:rsidR="006C577F" w:rsidRPr="006C577F">
        <w:rPr>
          <w:rStyle w:val="libFootnotenumChar"/>
          <w:rtl/>
        </w:rPr>
        <w:t>(9)</w:t>
      </w:r>
      <w:r w:rsidRPr="00C9040A">
        <w:rPr>
          <w:rtl/>
          <w:lang w:bidi="fa-IR"/>
        </w:rPr>
        <w:t xml:space="preserve"> ، هذَا يَأْمُرُهُ ، وَهذَا يَزْجُرُهُ ، الشَّيْطَانُ يَأْمُرُهُ بِالْمَعَاصِي ، وَالْمَلَكُ يَزْجُرُهُ عَنْهَا ، وَهُوَ قَوْلُ اللهِ عَزَّ وَجَلَّ : </w:t>
      </w:r>
      <w:r w:rsidRPr="0003660B">
        <w:rPr>
          <w:rStyle w:val="libAlaemChar"/>
          <w:rtl/>
        </w:rPr>
        <w:t>(</w:t>
      </w:r>
      <w:r w:rsidRPr="006A2246">
        <w:rPr>
          <w:rStyle w:val="libAieChar"/>
          <w:rtl/>
        </w:rPr>
        <w:t xml:space="preserve"> عَنِ الْيَمِينِ وَعَنِ الشِّمالِ قَعِيدٌ </w:t>
      </w:r>
      <w:r w:rsidR="003B7B5E">
        <w:rPr>
          <w:rStyle w:val="libAieChar"/>
          <w:rFonts w:hint="cs"/>
          <w:rtl/>
        </w:rPr>
        <w:t xml:space="preserve">* </w:t>
      </w:r>
      <w:r w:rsidRPr="006A2246">
        <w:rPr>
          <w:rStyle w:val="libAieChar"/>
          <w:rtl/>
        </w:rPr>
        <w:t>ما يَلْفِظُ مِنْ</w:t>
      </w:r>
      <w:r w:rsidRPr="00C9040A">
        <w:rPr>
          <w:rtl/>
          <w:lang w:bidi="fa-IR"/>
        </w:rPr>
        <w:t>‌</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بر » : + « به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الوافي</w:t>
      </w:r>
      <w:r w:rsidR="008A74EB" w:rsidRPr="00C9040A">
        <w:rPr>
          <w:rtl/>
        </w:rPr>
        <w:t xml:space="preserve"> ، ج 5 ، ص 747 ، ح 2969 ؛ </w:t>
      </w:r>
      <w:r w:rsidR="008A74EB" w:rsidRPr="00993B55">
        <w:rPr>
          <w:rStyle w:val="libFootnoteBoldChar"/>
          <w:rtl/>
        </w:rPr>
        <w:t>الوسائل</w:t>
      </w:r>
      <w:r w:rsidR="008A74EB" w:rsidRPr="00C9040A">
        <w:rPr>
          <w:rtl/>
        </w:rPr>
        <w:t xml:space="preserve"> ، ج 7 ، ص 138 ، ح 8943 ، من قوله : « قال : جعلت فداك ، ا</w:t>
      </w:r>
      <w:r w:rsidR="003B7B5E">
        <w:rPr>
          <w:rFonts w:hint="cs"/>
          <w:rtl/>
        </w:rPr>
        <w:t>ُ</w:t>
      </w:r>
      <w:r w:rsidR="008A74EB" w:rsidRPr="00C9040A">
        <w:rPr>
          <w:rtl/>
        </w:rPr>
        <w:t xml:space="preserve">دع الله » ؛ </w:t>
      </w:r>
      <w:r w:rsidR="008A74EB" w:rsidRPr="00993B55">
        <w:rPr>
          <w:rStyle w:val="libFootnoteBoldChar"/>
          <w:rtl/>
        </w:rPr>
        <w:t>البحار</w:t>
      </w:r>
      <w:r w:rsidR="008A74EB" w:rsidRPr="00C9040A">
        <w:rPr>
          <w:rtl/>
        </w:rPr>
        <w:t xml:space="preserve"> ، ج 72 ، ص 4 ، ح 2.</w:t>
      </w:r>
    </w:p>
    <w:p w:rsidR="008A74EB" w:rsidRPr="00C9040A" w:rsidRDefault="006C577F" w:rsidP="00DE6C17">
      <w:pPr>
        <w:pStyle w:val="libFootnote0"/>
        <w:rPr>
          <w:rtl/>
          <w:lang w:bidi="fa-IR"/>
        </w:rPr>
      </w:pPr>
      <w:r>
        <w:rPr>
          <w:rtl/>
        </w:rPr>
        <w:t>(3).</w:t>
      </w:r>
      <w:r w:rsidR="008A74EB" w:rsidRPr="00C9040A">
        <w:rPr>
          <w:rtl/>
        </w:rPr>
        <w:t xml:space="preserve"> قد يستعار الموت للأحوال الشاقة كالفقر والذل وغير ذلك. والموت الأحمر : القتل ؛ لما فيه من حمرة الدم ، أو لشدته. يقال : موت أحمر ، أي‌شديد.</w:t>
      </w:r>
      <w:r w:rsidR="008A74EB" w:rsidRPr="00993B55">
        <w:rPr>
          <w:rStyle w:val="libFootnoteBoldChar"/>
          <w:rtl/>
        </w:rPr>
        <w:t>النهاية</w:t>
      </w:r>
      <w:r w:rsidR="008A74EB" w:rsidRPr="00C9040A">
        <w:rPr>
          <w:rtl/>
        </w:rPr>
        <w:t xml:space="preserve"> ، ج 4 ، ص 369 ( موت ) ؛ وج 1 ، ص 438 ( حمر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معاني الأخبار</w:t>
      </w:r>
      <w:r w:rsidR="008A74EB" w:rsidRPr="00C9040A">
        <w:rPr>
          <w:rtl/>
        </w:rPr>
        <w:t xml:space="preserve"> ، ص 259 ، ح 1 ، بسند آخر. </w:t>
      </w:r>
      <w:r w:rsidR="008A74EB" w:rsidRPr="00993B55">
        <w:rPr>
          <w:rStyle w:val="libFootnoteBoldChar"/>
          <w:rtl/>
        </w:rPr>
        <w:t>تحف العقول</w:t>
      </w:r>
      <w:r w:rsidR="008A74EB" w:rsidRPr="00C9040A">
        <w:rPr>
          <w:rtl/>
        </w:rPr>
        <w:t xml:space="preserve"> ، ص 6 ، عن النبي </w:t>
      </w:r>
      <w:r w:rsidR="004A4E41" w:rsidRPr="00DE6C17">
        <w:rPr>
          <w:rStyle w:val="libFootnoteAlaemChar"/>
          <w:rtl/>
        </w:rPr>
        <w:t>صلى‌الله‌عليه‌وآله</w:t>
      </w:r>
      <w:r w:rsidR="008A74EB" w:rsidRPr="00C9040A">
        <w:rPr>
          <w:rtl/>
        </w:rPr>
        <w:t xml:space="preserve"> ، ضمن وصي</w:t>
      </w:r>
      <w:r w:rsidR="00DE6C17">
        <w:rPr>
          <w:rFonts w:hint="cs"/>
          <w:rtl/>
        </w:rPr>
        <w:t>ّ</w:t>
      </w:r>
      <w:r w:rsidR="008A74EB" w:rsidRPr="00C9040A">
        <w:rPr>
          <w:rtl/>
        </w:rPr>
        <w:t>ته لعلي</w:t>
      </w:r>
      <w:r w:rsidR="00DE6C17">
        <w:rPr>
          <w:rFonts w:hint="cs"/>
          <w:rtl/>
        </w:rPr>
        <w:t>ّ</w:t>
      </w:r>
      <w:r w:rsidR="008A74EB" w:rsidRPr="00C9040A">
        <w:rPr>
          <w:rtl/>
        </w:rPr>
        <w:t xml:space="preserve"> </w:t>
      </w:r>
      <w:r w:rsidR="00117575" w:rsidRPr="00117575">
        <w:rPr>
          <w:rStyle w:val="libFootnoteAlaemChar"/>
          <w:rtl/>
        </w:rPr>
        <w:t>عليه‌السلام</w:t>
      </w:r>
      <w:r w:rsidR="008A74EB" w:rsidRPr="00C9040A">
        <w:rPr>
          <w:rtl/>
        </w:rPr>
        <w:t xml:space="preserve"> ، مع اختلاف يسير. راجع : </w:t>
      </w:r>
      <w:r w:rsidR="008A74EB" w:rsidRPr="00993B55">
        <w:rPr>
          <w:rStyle w:val="libFootnoteBoldChar"/>
          <w:rtl/>
        </w:rPr>
        <w:t>المحاسن</w:t>
      </w:r>
      <w:r w:rsidR="008A74EB" w:rsidRPr="00C9040A">
        <w:rPr>
          <w:rtl/>
        </w:rPr>
        <w:t xml:space="preserve"> ، ص 601 ، كتاب المنافع ، ح 16 ؛ </w:t>
      </w:r>
      <w:r w:rsidR="008A74EB" w:rsidRPr="00DE6C17">
        <w:rPr>
          <w:rStyle w:val="libFootnoteBoldChar"/>
          <w:rtl/>
        </w:rPr>
        <w:t>و</w:t>
      </w:r>
      <w:r w:rsidR="008A74EB" w:rsidRPr="00993B55">
        <w:rPr>
          <w:rStyle w:val="libFootnoteBoldChar"/>
          <w:rtl/>
        </w:rPr>
        <w:t xml:space="preserve">نهج البلاغة </w:t>
      </w:r>
      <w:r w:rsidR="008A74EB" w:rsidRPr="00C9040A">
        <w:rPr>
          <w:rtl/>
        </w:rPr>
        <w:t xml:space="preserve">، ص 500 ، الحكمة 163 ؛ </w:t>
      </w:r>
      <w:r w:rsidR="008A74EB" w:rsidRPr="00DE6C17">
        <w:rPr>
          <w:rStyle w:val="libFootnoteBoldChar"/>
          <w:rtl/>
        </w:rPr>
        <w:t>و</w:t>
      </w:r>
      <w:r w:rsidR="008A74EB" w:rsidRPr="00993B55">
        <w:rPr>
          <w:rStyle w:val="libFootnoteBoldChar"/>
          <w:rtl/>
        </w:rPr>
        <w:t>الاختصاص</w:t>
      </w:r>
      <w:r w:rsidR="008A74EB" w:rsidRPr="00C9040A">
        <w:rPr>
          <w:rtl/>
        </w:rPr>
        <w:t xml:space="preserve"> ، ص 226 ؛ </w:t>
      </w:r>
      <w:r w:rsidR="008A74EB" w:rsidRPr="00DE6C17">
        <w:rPr>
          <w:rStyle w:val="libFootnoteBoldChar"/>
          <w:rtl/>
        </w:rPr>
        <w:t>و</w:t>
      </w:r>
      <w:r w:rsidR="008A74EB" w:rsidRPr="0034021D">
        <w:rPr>
          <w:rStyle w:val="libFootnoteBoldChar"/>
          <w:rtl/>
        </w:rPr>
        <w:t>الأمالي للمفيد</w:t>
      </w:r>
      <w:r w:rsidR="008A74EB" w:rsidRPr="00C9040A">
        <w:rPr>
          <w:rtl/>
        </w:rPr>
        <w:t xml:space="preserve"> ، ص 188 ، المجلس 23 ، ح 15 ؛ </w:t>
      </w:r>
      <w:r w:rsidR="008A74EB" w:rsidRPr="00AC2E2F">
        <w:rPr>
          <w:rStyle w:val="libFootnoteBoldChar"/>
          <w:rtl/>
        </w:rPr>
        <w:t>والأمالي للطوسي</w:t>
      </w:r>
      <w:r w:rsidR="008A74EB" w:rsidRPr="00C9040A">
        <w:rPr>
          <w:rtl/>
        </w:rPr>
        <w:t xml:space="preserve"> ، ص 229 ، المجلس 8 ، ح 54 ، وفي كلها : « الفقر الموت الأكبر » </w:t>
      </w:r>
      <w:r w:rsidR="00DE6C17">
        <w:rPr>
          <w:rFonts w:hint="cs"/>
          <w:rtl/>
        </w:rPr>
        <w:t>.</w:t>
      </w:r>
      <w:r w:rsidR="008A74EB" w:rsidRPr="00993B55">
        <w:rPr>
          <w:rStyle w:val="libFootnoteBoldChar"/>
          <w:rtl/>
        </w:rPr>
        <w:t>الوافي</w:t>
      </w:r>
      <w:r w:rsidR="008A74EB" w:rsidRPr="00C9040A">
        <w:rPr>
          <w:rtl/>
        </w:rPr>
        <w:t xml:space="preserve"> ، ج 5 ، ص 747 ، ح 2968 ؛ </w:t>
      </w:r>
      <w:r w:rsidR="008A74EB" w:rsidRPr="00993B55">
        <w:rPr>
          <w:rStyle w:val="libFootnoteBoldChar"/>
          <w:rtl/>
        </w:rPr>
        <w:t>البحار</w:t>
      </w:r>
      <w:r w:rsidR="008A74EB" w:rsidRPr="00C9040A">
        <w:rPr>
          <w:rtl/>
        </w:rPr>
        <w:t xml:space="preserve"> ، ج 72 ، ص 5 ، ح 3.</w:t>
      </w:r>
    </w:p>
    <w:p w:rsidR="008A74EB" w:rsidRPr="00C9040A" w:rsidRDefault="006C577F" w:rsidP="004A4E41">
      <w:pPr>
        <w:pStyle w:val="libFootnote0"/>
        <w:rPr>
          <w:rtl/>
          <w:lang w:bidi="fa-IR"/>
        </w:rPr>
      </w:pPr>
      <w:r>
        <w:rPr>
          <w:rtl/>
        </w:rPr>
        <w:t>(5).</w:t>
      </w:r>
      <w:r w:rsidR="008A74EB" w:rsidRPr="00C9040A">
        <w:rPr>
          <w:rtl/>
        </w:rPr>
        <w:t xml:space="preserve"> في « </w:t>
      </w:r>
      <w:r w:rsidR="006D3162">
        <w:rPr>
          <w:rtl/>
        </w:rPr>
        <w:t xml:space="preserve">ه </w:t>
      </w:r>
      <w:r w:rsidR="008A74EB" w:rsidRPr="00C9040A">
        <w:rPr>
          <w:rtl/>
        </w:rPr>
        <w:t xml:space="preserve">» </w:t>
      </w:r>
      <w:r w:rsidR="008A74EB">
        <w:rPr>
          <w:rtl/>
        </w:rPr>
        <w:t xml:space="preserve">: </w:t>
      </w:r>
      <w:r w:rsidR="0084262C">
        <w:rPr>
          <w:rtl/>
        </w:rPr>
        <w:t>-</w:t>
      </w:r>
      <w:r w:rsidR="008A74EB" w:rsidRPr="00C9040A">
        <w:rPr>
          <w:rtl/>
        </w:rPr>
        <w:t xml:space="preserve"> « باب</w:t>
      </w:r>
      <w:r w:rsidR="008A74EB">
        <w:rPr>
          <w:rtl/>
        </w:rPr>
        <w:t xml:space="preserve"> </w:t>
      </w:r>
      <w:r w:rsidR="0084262C">
        <w:rPr>
          <w:rtl/>
        </w:rPr>
        <w:t>-</w:t>
      </w:r>
      <w:r w:rsidR="008A74EB">
        <w:rPr>
          <w:rtl/>
        </w:rPr>
        <w:t xml:space="preserve"> </w:t>
      </w:r>
      <w:r w:rsidR="008A74EB" w:rsidRPr="00C9040A">
        <w:rPr>
          <w:rtl/>
        </w:rPr>
        <w:t>إلى</w:t>
      </w:r>
      <w:r w:rsidR="008A74EB">
        <w:rPr>
          <w:rtl/>
        </w:rPr>
        <w:t xml:space="preserve"> </w:t>
      </w:r>
      <w:r w:rsidR="0084262C">
        <w:rPr>
          <w:rtl/>
        </w:rPr>
        <w:t>-</w:t>
      </w:r>
      <w:r w:rsidR="008A74EB">
        <w:rPr>
          <w:rtl/>
        </w:rPr>
        <w:t xml:space="preserve"> </w:t>
      </w:r>
      <w:r w:rsidR="008A74EB" w:rsidRPr="00C9040A">
        <w:rPr>
          <w:rtl/>
        </w:rPr>
        <w:t>الشيطان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البحار ، ج 70 </w:t>
      </w:r>
      <w:r w:rsidR="008A74EB">
        <w:rPr>
          <w:rtl/>
        </w:rPr>
        <w:t xml:space="preserve">: </w:t>
      </w:r>
      <w:r w:rsidR="0084262C">
        <w:rPr>
          <w:rtl/>
        </w:rPr>
        <w:t>-</w:t>
      </w:r>
      <w:r w:rsidR="008A74EB" w:rsidRPr="00C9040A">
        <w:rPr>
          <w:rtl/>
        </w:rPr>
        <w:t xml:space="preserve"> « عن أبيه »</w:t>
      </w:r>
      <w:r w:rsidR="008A74EB">
        <w:rPr>
          <w:rtl/>
        </w:rPr>
        <w:t>.</w:t>
      </w:r>
      <w:r w:rsidR="008A74EB" w:rsidRPr="00C9040A">
        <w:rPr>
          <w:rtl/>
        </w:rPr>
        <w:t xml:space="preserve"> وهو سهو واضح.</w:t>
      </w:r>
    </w:p>
    <w:p w:rsidR="008A74EB" w:rsidRPr="00C9040A" w:rsidRDefault="006C577F" w:rsidP="004A4E41">
      <w:pPr>
        <w:pStyle w:val="libFootnote0"/>
        <w:rPr>
          <w:rtl/>
          <w:lang w:bidi="fa-IR"/>
        </w:rPr>
      </w:pPr>
      <w:r>
        <w:rPr>
          <w:rtl/>
        </w:rPr>
        <w:t>(7).</w:t>
      </w:r>
      <w:r w:rsidR="008A74EB" w:rsidRPr="00C9040A">
        <w:rPr>
          <w:rtl/>
        </w:rPr>
        <w:t xml:space="preserve"> في « ض ، </w:t>
      </w:r>
      <w:r w:rsidR="006D3162">
        <w:rPr>
          <w:rtl/>
        </w:rPr>
        <w:t xml:space="preserve">ه </w:t>
      </w:r>
      <w:r w:rsidR="008A74EB" w:rsidRPr="00C9040A">
        <w:rPr>
          <w:rtl/>
        </w:rPr>
        <w:t>» والبحار ، ج 63 : « أحدهما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 </w:t>
      </w:r>
      <w:r w:rsidR="006D3162">
        <w:rPr>
          <w:rtl/>
        </w:rPr>
        <w:t xml:space="preserve">ه </w:t>
      </w:r>
      <w:r w:rsidR="008A74EB" w:rsidRPr="00C9040A">
        <w:rPr>
          <w:rtl/>
        </w:rPr>
        <w:t>» : « الآخر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د ، ف ، بر » : « مفتر »</w:t>
      </w:r>
      <w:r w:rsidR="008A74EB">
        <w:rPr>
          <w:rtl/>
        </w:rPr>
        <w:t>.</w:t>
      </w:r>
      <w:r w:rsidR="008A74EB" w:rsidRPr="00C9040A">
        <w:rPr>
          <w:rtl/>
        </w:rPr>
        <w:t xml:space="preserve"> وقوله : « مفتن » يجوز فيه على بناء الإفعال والتفعيل كما في </w:t>
      </w:r>
      <w:r w:rsidR="008A74EB" w:rsidRPr="00993B55">
        <w:rPr>
          <w:rStyle w:val="libFootnoteBoldChar"/>
          <w:rtl/>
        </w:rPr>
        <w:t>مرآة العقول</w:t>
      </w:r>
      <w:r w:rsidR="008A74EB" w:rsidRPr="00C9040A">
        <w:rPr>
          <w:rtl/>
        </w:rPr>
        <w:t xml:space="preserve"> ، ج 9 ، ص 387.</w:t>
      </w:r>
    </w:p>
    <w:p w:rsidR="004B7F34" w:rsidRDefault="004B7F34" w:rsidP="004B7F34">
      <w:pPr>
        <w:pStyle w:val="libNormal"/>
        <w:rPr>
          <w:rtl/>
          <w:lang w:bidi="fa-IR"/>
        </w:rPr>
      </w:pPr>
      <w:r>
        <w:rPr>
          <w:rtl/>
          <w:lang w:bidi="fa-IR"/>
        </w:rPr>
        <w:br w:type="page"/>
      </w:r>
    </w:p>
    <w:p w:rsidR="008A74EB" w:rsidRPr="00C9040A" w:rsidRDefault="00DE6C17" w:rsidP="008A74EB">
      <w:pPr>
        <w:pStyle w:val="libNormal0"/>
        <w:rPr>
          <w:rtl/>
          <w:lang w:bidi="fa-IR"/>
        </w:rPr>
      </w:pPr>
      <w:r>
        <w:rPr>
          <w:rStyle w:val="libAieChar"/>
          <w:rtl/>
        </w:rPr>
        <w:t>قَوْلٍ إِل</w:t>
      </w:r>
      <w:r>
        <w:rPr>
          <w:rStyle w:val="libAieChar"/>
          <w:rFonts w:hint="cs"/>
          <w:rtl/>
        </w:rPr>
        <w:t>ّ</w:t>
      </w:r>
      <w:r>
        <w:rPr>
          <w:rStyle w:val="libAieChar"/>
          <w:rtl/>
        </w:rPr>
        <w:t>ا</w:t>
      </w:r>
      <w:r w:rsidR="008A74EB" w:rsidRPr="006A2246">
        <w:rPr>
          <w:rStyle w:val="libAieChar"/>
          <w:rtl/>
        </w:rPr>
        <w:t xml:space="preserve"> لَدَيْهِ رَقِيبٌ عَتِيدٌ </w:t>
      </w:r>
      <w:r w:rsidR="008A74EB" w:rsidRPr="0003660B">
        <w:rPr>
          <w:rStyle w:val="libAlaemChar"/>
          <w:rtl/>
        </w:rPr>
        <w:t>)</w:t>
      </w:r>
      <w:r w:rsidR="008A74EB" w:rsidRPr="00C9040A">
        <w:rPr>
          <w:rtl/>
          <w:lang w:bidi="fa-IR"/>
        </w:rPr>
        <w:t xml:space="preserve"> </w:t>
      </w:r>
      <w:r w:rsidR="006C577F" w:rsidRPr="006C577F">
        <w:rPr>
          <w:rStyle w:val="libFootnotenumChar"/>
          <w:rtl/>
        </w:rPr>
        <w:t>(1)</w:t>
      </w:r>
      <w:r w:rsidR="008A74EB" w:rsidRPr="00C9040A">
        <w:rPr>
          <w:rtl/>
          <w:lang w:bidi="fa-IR"/>
        </w:rPr>
        <w:t xml:space="preserve"> »</w:t>
      </w:r>
      <w:r w:rsidR="008A74EB">
        <w:rPr>
          <w:rtl/>
          <w:lang w:bidi="fa-IR"/>
        </w:rPr>
        <w:t>.</w:t>
      </w:r>
      <w:r w:rsidR="008A74EB" w:rsidRPr="00C9040A">
        <w:rPr>
          <w:rtl/>
          <w:lang w:bidi="fa-IR"/>
        </w:rPr>
        <w:t xml:space="preserve"> </w:t>
      </w:r>
      <w:r w:rsidR="006C577F" w:rsidRPr="006C577F">
        <w:rPr>
          <w:rStyle w:val="libFootnotenumChar"/>
          <w:rtl/>
        </w:rPr>
        <w:t>(2)</w:t>
      </w:r>
      <w:r w:rsidR="008A74EB" w:rsidRPr="00C9040A">
        <w:rPr>
          <w:rtl/>
          <w:lang w:bidi="fa-IR"/>
        </w:rPr>
        <w:t xml:space="preserve"> ‌</w:t>
      </w:r>
    </w:p>
    <w:p w:rsidR="008A74EB" w:rsidRPr="00C9040A" w:rsidRDefault="008A74EB" w:rsidP="008A74EB">
      <w:pPr>
        <w:pStyle w:val="libNormal"/>
        <w:rPr>
          <w:rtl/>
          <w:lang w:bidi="fa-IR"/>
        </w:rPr>
      </w:pPr>
      <w:r w:rsidRPr="00134198">
        <w:rPr>
          <w:rtl/>
        </w:rPr>
        <w:t>2408</w:t>
      </w:r>
      <w:r w:rsidRPr="00261CB0">
        <w:rPr>
          <w:rStyle w:val="libBold2Char"/>
          <w:rtl/>
        </w:rPr>
        <w:t xml:space="preserve"> / 2.</w:t>
      </w:r>
      <w:r w:rsidRPr="00C9040A">
        <w:rPr>
          <w:rtl/>
          <w:lang w:bidi="fa-IR"/>
        </w:rPr>
        <w:t xml:space="preserve"> الْحُسَيْنُ بْنُ مُحَمَّدٍ ، عَنْ أَحْمَدَ بْنِ إِسْحَاقَ ، عَنْ سَعْدَانَ ، عَنْ أَبِي بَصِيرٍ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إِنَّ لِلْقَلْبِ أُذُنَيْنِ </w:t>
      </w:r>
      <w:r w:rsidR="006C577F" w:rsidRPr="006C577F">
        <w:rPr>
          <w:rStyle w:val="libFootnotenumChar"/>
          <w:rtl/>
        </w:rPr>
        <w:t>(3)</w:t>
      </w:r>
      <w:r w:rsidRPr="00C9040A">
        <w:rPr>
          <w:rtl/>
          <w:lang w:bidi="fa-IR"/>
        </w:rPr>
        <w:t xml:space="preserve"> ، فَإِذَا هَمَّ الْعَبْدُ بِذَنْبٍ ، قَالَ لَهُ رُوحُ الْإِيمَانِ : لَاتَفْعَلْ ، وَقَالَ لَهُ الشَّيْطَانُ : افْعَلْ ، وَإِذَا </w:t>
      </w:r>
      <w:r w:rsidR="006C577F" w:rsidRPr="006C577F">
        <w:rPr>
          <w:rStyle w:val="libFootnotenumChar"/>
          <w:rtl/>
        </w:rPr>
        <w:t>(4)</w:t>
      </w:r>
      <w:r w:rsidRPr="00C9040A">
        <w:rPr>
          <w:rtl/>
          <w:lang w:bidi="fa-IR"/>
        </w:rPr>
        <w:t xml:space="preserve"> كَانَ عَلى بَطْنِهَا </w:t>
      </w:r>
      <w:r w:rsidR="006C577F" w:rsidRPr="006C577F">
        <w:rPr>
          <w:rStyle w:val="libFootnotenumChar"/>
          <w:rtl/>
        </w:rPr>
        <w:t>(5)</w:t>
      </w:r>
      <w:r w:rsidRPr="00C9040A">
        <w:rPr>
          <w:rtl/>
          <w:lang w:bidi="fa-IR"/>
        </w:rPr>
        <w:t xml:space="preserve"> </w:t>
      </w:r>
      <w:r w:rsidR="00DE6C17">
        <w:rPr>
          <w:rtl/>
          <w:lang w:bidi="fa-IR"/>
        </w:rPr>
        <w:t>نُزِعَ مِنْهُ رُوحُ الْإِيمَانِ</w:t>
      </w:r>
      <w:r w:rsidRPr="00C9040A">
        <w:rPr>
          <w:rtl/>
          <w:lang w:bidi="fa-IR"/>
        </w:rPr>
        <w:t>»</w:t>
      </w:r>
      <w:r>
        <w:rPr>
          <w:rtl/>
          <w:lang w:bidi="fa-IR"/>
        </w:rPr>
        <w:t>.</w:t>
      </w:r>
      <w:r w:rsidR="006C577F" w:rsidRPr="006C577F">
        <w:rPr>
          <w:rStyle w:val="libFootnotenumChar"/>
          <w:rtl/>
        </w:rPr>
        <w:t>(6)</w:t>
      </w:r>
    </w:p>
    <w:p w:rsidR="008A74EB" w:rsidRPr="00C9040A" w:rsidRDefault="008A74EB" w:rsidP="008A74EB">
      <w:pPr>
        <w:pStyle w:val="libNormal"/>
        <w:rPr>
          <w:rtl/>
          <w:lang w:bidi="fa-IR"/>
        </w:rPr>
      </w:pPr>
      <w:r w:rsidRPr="00134198">
        <w:rPr>
          <w:rtl/>
        </w:rPr>
        <w:t>2409</w:t>
      </w:r>
      <w:r w:rsidRPr="00261CB0">
        <w:rPr>
          <w:rStyle w:val="libBold2Char"/>
          <w:rtl/>
        </w:rPr>
        <w:t xml:space="preserve"> / 3.</w:t>
      </w:r>
      <w:r w:rsidRPr="00C9040A">
        <w:rPr>
          <w:rtl/>
          <w:lang w:bidi="fa-IR"/>
        </w:rPr>
        <w:t xml:space="preserve"> مُحَمَّدُ بْنُ يَحْيى ، عَنْ أَحْمَدَ بْنِ مُحَمَّدِ بْنِ عِيسى ، عَنْ عَلِيِّ بْنِ الْحَكَمِ ، عَنْ سَيْفِ بْنِ عَمِيرَةَ ، عَنْ أَبَانِ بْنِ تَغْلِبَ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w:t>
      </w:r>
      <w:r w:rsidR="00DE6C17">
        <w:rPr>
          <w:rtl/>
          <w:lang w:bidi="fa-IR"/>
        </w:rPr>
        <w:t>الَ : « مَا مِنْ مُؤْمِنٍ إِل</w:t>
      </w:r>
      <w:r w:rsidR="00DE6C17">
        <w:rPr>
          <w:rFonts w:hint="cs"/>
          <w:rtl/>
          <w:lang w:bidi="fa-IR"/>
        </w:rPr>
        <w:t>َّ</w:t>
      </w:r>
      <w:r w:rsidR="00DE6C17">
        <w:rPr>
          <w:rtl/>
          <w:lang w:bidi="fa-IR"/>
        </w:rPr>
        <w:t>ا</w:t>
      </w:r>
      <w:r w:rsidRPr="00C9040A">
        <w:rPr>
          <w:rtl/>
          <w:lang w:bidi="fa-IR"/>
        </w:rPr>
        <w:t xml:space="preserve"> وَلِقَلْبِهِ أُذُنَانِ فِي جَوْفِهِ : أُذُنٌ يَنْفُثُ‌</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ق (50) : 17</w:t>
      </w:r>
      <w:r w:rsidR="008A74EB">
        <w:rPr>
          <w:rtl/>
        </w:rPr>
        <w:t xml:space="preserve"> </w:t>
      </w:r>
      <w:r w:rsidR="0084262C">
        <w:rPr>
          <w:rtl/>
        </w:rPr>
        <w:t>-</w:t>
      </w:r>
      <w:r w:rsidR="008A74EB">
        <w:rPr>
          <w:rtl/>
        </w:rPr>
        <w:t xml:space="preserve"> </w:t>
      </w:r>
      <w:r w:rsidR="008A74EB" w:rsidRPr="00C9040A">
        <w:rPr>
          <w:rtl/>
        </w:rPr>
        <w:t xml:space="preserve">18. وفي </w:t>
      </w:r>
      <w:r w:rsidR="008A74EB" w:rsidRPr="00993B55">
        <w:rPr>
          <w:rStyle w:val="libFootnoteBoldChar"/>
          <w:rtl/>
        </w:rPr>
        <w:t>الوافي</w:t>
      </w:r>
      <w:r w:rsidR="008A74EB" w:rsidRPr="00C9040A">
        <w:rPr>
          <w:rtl/>
        </w:rPr>
        <w:t xml:space="preserve"> : « المستفاد من هذا الحديث أنّ صاحب الشمال شيطان ، والمشهور أنّهما جميعاً ملكان ، كما يأتي في باب الهمّ بالسيّئة أو الحسنة ؛ </w:t>
      </w:r>
      <w:r w:rsidR="00DE6C17">
        <w:rPr>
          <w:rtl/>
        </w:rPr>
        <w:t>إل</w:t>
      </w:r>
      <w:r w:rsidR="00DE6C17">
        <w:rPr>
          <w:rFonts w:hint="cs"/>
          <w:rtl/>
        </w:rPr>
        <w:t>ّ</w:t>
      </w:r>
      <w:r w:rsidR="00DE6C17">
        <w:rPr>
          <w:rtl/>
        </w:rPr>
        <w:t>ا</w:t>
      </w:r>
      <w:r w:rsidR="008A74EB">
        <w:rPr>
          <w:rtl/>
        </w:rPr>
        <w:t xml:space="preserve"> أن</w:t>
      </w:r>
      <w:r w:rsidR="008A74EB" w:rsidRPr="00C9040A">
        <w:rPr>
          <w:rtl/>
        </w:rPr>
        <w:t xml:space="preserve"> يقال : إنّ المرشد والمفتّن غير الكاتبين الرقيبين »</w:t>
      </w:r>
      <w:r w:rsidR="008A74EB">
        <w:rPr>
          <w:rtl/>
        </w:rPr>
        <w:t>.</w:t>
      </w:r>
    </w:p>
    <w:p w:rsidR="008A74EB" w:rsidRPr="00C9040A" w:rsidRDefault="00DE6C17" w:rsidP="004A4E41">
      <w:pPr>
        <w:pStyle w:val="libFootnote0"/>
        <w:rPr>
          <w:rtl/>
          <w:lang w:bidi="fa-IR"/>
        </w:rPr>
      </w:pPr>
      <w:r>
        <w:rPr>
          <w:rtl/>
        </w:rPr>
        <w:t>وقال العل</w:t>
      </w:r>
      <w:r>
        <w:rPr>
          <w:rFonts w:hint="cs"/>
          <w:rtl/>
        </w:rPr>
        <w:t>ّ</w:t>
      </w:r>
      <w:r>
        <w:rPr>
          <w:rtl/>
        </w:rPr>
        <w:t>ا</w:t>
      </w:r>
      <w:r w:rsidR="008A74EB" w:rsidRPr="0082575F">
        <w:rPr>
          <w:rtl/>
        </w:rPr>
        <w:t>مة الطباطبائي : « إنّ غاية ما تدلّ عليه أنّ مع الإنسان من يراقبه ويحفظ عليه أقواله ، وإنّ هذا الرقيب قاعد عن يمين الإنسان وشماله ، فهو أكثر من واحد ؛ وأمّا أنّه من هو وهل هو ملك أو شيطان فلا دلالة فيها على ذلك ، ولذا صحّ أن ينطبق على ما في بعض الأخبار من أنّه شيطان وملك كما في هذا الخبر ، وعلى ما في آخر أنّهما ملكان كاتبان للحسنات والسيّئات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تفسير القمّي</w:t>
      </w:r>
      <w:r w:rsidR="008A74EB" w:rsidRPr="00C9040A">
        <w:rPr>
          <w:rtl/>
        </w:rPr>
        <w:t xml:space="preserve"> ، ج 1 ، ص 31 ، بسند آخر ؛ وج 2 ، ص 450 ، مرسلاً مع زيادة في آخره ، وفيهما إلى قوله : « هذا يأمره وهذا يزجره » مع اختلاف يسير </w:t>
      </w:r>
      <w:r w:rsidR="00DE6C17">
        <w:rPr>
          <w:rFonts w:hint="cs"/>
          <w:rtl/>
        </w:rPr>
        <w:t>.</w:t>
      </w:r>
      <w:r w:rsidR="008A74EB" w:rsidRPr="00993B55">
        <w:rPr>
          <w:rStyle w:val="libFootnoteBoldChar"/>
          <w:rtl/>
        </w:rPr>
        <w:t>الوافي</w:t>
      </w:r>
      <w:r w:rsidR="008A74EB" w:rsidRPr="00C9040A">
        <w:rPr>
          <w:rtl/>
        </w:rPr>
        <w:t xml:space="preserve"> ، ج 5 ، ص 1014 ، ح 3503 ؛ </w:t>
      </w:r>
      <w:r w:rsidR="008A74EB" w:rsidRPr="00993B55">
        <w:rPr>
          <w:rStyle w:val="libFootnoteBoldChar"/>
          <w:rtl/>
        </w:rPr>
        <w:t>البحار</w:t>
      </w:r>
      <w:r w:rsidR="008A74EB" w:rsidRPr="00C9040A">
        <w:rPr>
          <w:rtl/>
        </w:rPr>
        <w:t xml:space="preserve"> ، ج 63 ، ص 205 ، ح 34 ؛ وج 70 ، ص 33 ، ح 1.</w:t>
      </w:r>
    </w:p>
    <w:p w:rsidR="008A74EB" w:rsidRPr="00C9040A" w:rsidRDefault="006C577F" w:rsidP="004A4E41">
      <w:pPr>
        <w:pStyle w:val="libFootnote0"/>
        <w:rPr>
          <w:rtl/>
          <w:lang w:bidi="fa-IR"/>
        </w:rPr>
      </w:pPr>
      <w:r>
        <w:rPr>
          <w:rtl/>
        </w:rPr>
        <w:t>(3).</w:t>
      </w:r>
      <w:r w:rsidR="008A74EB" w:rsidRPr="00C9040A">
        <w:rPr>
          <w:rtl/>
        </w:rPr>
        <w:t xml:space="preserve"> في </w:t>
      </w:r>
      <w:r w:rsidR="008A74EB" w:rsidRPr="00993B55">
        <w:rPr>
          <w:rStyle w:val="libFootnoteBoldChar"/>
          <w:rtl/>
        </w:rPr>
        <w:t>مرآة العقول</w:t>
      </w:r>
      <w:r w:rsidR="008A74EB" w:rsidRPr="00C9040A">
        <w:rPr>
          <w:rtl/>
        </w:rPr>
        <w:t xml:space="preserve"> ، ج 9 ، ص 388 : « للنفس طريق إلى الخير وطريق إلى الشرّ ، وللخير مشقّة حاضرة زائلة ولذّة</w:t>
      </w:r>
      <w:r w:rsidR="00DE6C17">
        <w:rPr>
          <w:rFonts w:hint="cs"/>
          <w:rtl/>
        </w:rPr>
        <w:t xml:space="preserve"> </w:t>
      </w:r>
      <w:r w:rsidR="008A74EB" w:rsidRPr="00C9040A">
        <w:rPr>
          <w:rtl/>
        </w:rPr>
        <w:t>غائبة دائمة ، وللشرّ لذّة حاضرة فانية ومشقّة غائبة باقية ، والنفس يطلب اللذّة ويهرب عن المشقّة ، فهو دائماً متردّد بين الخير والشرّ ، فروح الإيمان يأمره بالخير وينهاه عن الشرّ ، والشيطان بالعكس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w:t>
      </w:r>
      <w:r w:rsidR="006D3162">
        <w:rPr>
          <w:rtl/>
        </w:rPr>
        <w:t xml:space="preserve">ه </w:t>
      </w:r>
      <w:r w:rsidR="008A74EB" w:rsidRPr="00C9040A">
        <w:rPr>
          <w:rtl/>
        </w:rPr>
        <w:t>» : « فإذا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w:t>
      </w:r>
      <w:r w:rsidR="008A74EB" w:rsidRPr="00993B55">
        <w:rPr>
          <w:rStyle w:val="libFootnoteBoldChar"/>
          <w:rtl/>
        </w:rPr>
        <w:t>الوافي</w:t>
      </w:r>
      <w:r w:rsidR="008A74EB" w:rsidRPr="00C9040A">
        <w:rPr>
          <w:rtl/>
        </w:rPr>
        <w:t xml:space="preserve"> : « المجرور في بطنها يعود إلى المزنيِّ بها ، كما وقع التصريح به في الأخبار الآتية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قرب الإسناد</w:t>
      </w:r>
      <w:r w:rsidR="008A74EB" w:rsidRPr="00C9040A">
        <w:rPr>
          <w:rtl/>
        </w:rPr>
        <w:t xml:space="preserve"> ، ص 33 ، ح 108 ، بسند آخر ، وتمام الرواية : « إنّ للقلب ا</w:t>
      </w:r>
      <w:r w:rsidR="00DE6C17">
        <w:rPr>
          <w:rFonts w:hint="cs"/>
          <w:rtl/>
        </w:rPr>
        <w:t>ُ</w:t>
      </w:r>
      <w:r w:rsidR="008A74EB" w:rsidRPr="00C9040A">
        <w:rPr>
          <w:rtl/>
        </w:rPr>
        <w:t xml:space="preserve">ذنين : روح الإيمان يسارّه بالخير ، والشيطان يسارّه بالشرّ ، فأيّهما ظهر على صاحبه غلبه » </w:t>
      </w:r>
      <w:r w:rsidR="00DE6C17">
        <w:rPr>
          <w:rFonts w:hint="cs"/>
          <w:rtl/>
        </w:rPr>
        <w:t>.</w:t>
      </w:r>
      <w:r w:rsidR="008A74EB" w:rsidRPr="00993B55">
        <w:rPr>
          <w:rStyle w:val="libFootnoteBoldChar"/>
          <w:rtl/>
        </w:rPr>
        <w:t>الوافي</w:t>
      </w:r>
      <w:r w:rsidR="008A74EB" w:rsidRPr="00C9040A">
        <w:rPr>
          <w:rtl/>
        </w:rPr>
        <w:t xml:space="preserve"> ، ج 5 ، ص 1014 ، ح 3502 ؛ </w:t>
      </w:r>
      <w:r w:rsidR="008A74EB" w:rsidRPr="00993B55">
        <w:rPr>
          <w:rStyle w:val="libFootnoteBoldChar"/>
          <w:rtl/>
        </w:rPr>
        <w:t>البحار</w:t>
      </w:r>
      <w:r w:rsidR="008A74EB" w:rsidRPr="00C9040A">
        <w:rPr>
          <w:rtl/>
        </w:rPr>
        <w:t xml:space="preserve"> ، ج 63 ، ص 206 ، ح 35 ؛ وج 69 ، ص 198 ، ح 16 ؛ وج 70 ، ص 44 ، ح 2.</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فِيهَا الْوَسْوَاسُ الْخَنَّاسُ </w:t>
      </w:r>
      <w:r w:rsidR="006C577F" w:rsidRPr="006C577F">
        <w:rPr>
          <w:rStyle w:val="libFootnotenumChar"/>
          <w:rtl/>
        </w:rPr>
        <w:t>(1)</w:t>
      </w:r>
      <w:r w:rsidRPr="00C9040A">
        <w:rPr>
          <w:rtl/>
          <w:lang w:bidi="fa-IR"/>
        </w:rPr>
        <w:t xml:space="preserve"> ، وَأُذُنٌ يَنْفُثُ فِيهَا الْمَلَكُ ، فَيُؤَيِّدُ اللهُ الْمُؤْمِنَ بِالْمَلَكِ ، فَذلِكَ </w:t>
      </w:r>
      <w:r w:rsidR="006C577F" w:rsidRPr="006C577F">
        <w:rPr>
          <w:rStyle w:val="libFootnotenumChar"/>
          <w:rtl/>
        </w:rPr>
        <w:t>(2)</w:t>
      </w:r>
      <w:r w:rsidRPr="00C9040A">
        <w:rPr>
          <w:rtl/>
          <w:lang w:bidi="fa-IR"/>
        </w:rPr>
        <w:t xml:space="preserve"> قَوْلُهُ : </w:t>
      </w:r>
      <w:r w:rsidRPr="0003660B">
        <w:rPr>
          <w:rStyle w:val="libAlaemChar"/>
          <w:rtl/>
        </w:rPr>
        <w:t>(</w:t>
      </w:r>
      <w:r w:rsidRPr="006A2246">
        <w:rPr>
          <w:rStyle w:val="libAieChar"/>
          <w:rtl/>
        </w:rPr>
        <w:t xml:space="preserve"> وَأَيَّدَهُمْ بِرُوحٍ مِنْهُ </w:t>
      </w:r>
      <w:r w:rsidRPr="0003660B">
        <w:rPr>
          <w:rStyle w:val="libAlaemChar"/>
          <w:rtl/>
        </w:rPr>
        <w:t>)</w:t>
      </w:r>
      <w:r w:rsidRPr="00C9040A">
        <w:rPr>
          <w:rtl/>
          <w:lang w:bidi="fa-IR"/>
        </w:rPr>
        <w:t xml:space="preserve"> </w:t>
      </w:r>
      <w:r w:rsidR="006C577F" w:rsidRPr="006C577F">
        <w:rPr>
          <w:rStyle w:val="libFootnotenumChar"/>
          <w:rtl/>
        </w:rPr>
        <w:t>(3)</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Heading2Center"/>
        <w:rPr>
          <w:rtl/>
          <w:lang w:bidi="fa-IR"/>
        </w:rPr>
      </w:pPr>
      <w:bookmarkStart w:id="340" w:name="_Toc343795701"/>
      <w:bookmarkStart w:id="341" w:name="_Toc459810825"/>
      <w:bookmarkStart w:id="342" w:name="_Toc35348731"/>
      <w:r w:rsidRPr="00C9040A">
        <w:rPr>
          <w:rtl/>
          <w:lang w:bidi="fa-IR"/>
        </w:rPr>
        <w:t>110</w:t>
      </w:r>
      <w:r>
        <w:rPr>
          <w:rtl/>
          <w:lang w:bidi="fa-IR"/>
        </w:rPr>
        <w:t xml:space="preserve"> </w:t>
      </w:r>
      <w:r w:rsidR="0084262C">
        <w:rPr>
          <w:rtl/>
          <w:lang w:bidi="fa-IR"/>
        </w:rPr>
        <w:t>-</w:t>
      </w:r>
      <w:r>
        <w:rPr>
          <w:rtl/>
          <w:lang w:bidi="fa-IR"/>
        </w:rPr>
        <w:t xml:space="preserve"> </w:t>
      </w:r>
      <w:r w:rsidRPr="00C9040A">
        <w:rPr>
          <w:rtl/>
          <w:lang w:bidi="fa-IR"/>
        </w:rPr>
        <w:t xml:space="preserve">بَابُ الرُّوحِ الَّذِي أُيِّدَ بِهِ الْمُؤْمِنُ </w:t>
      </w:r>
      <w:r w:rsidR="006C577F" w:rsidRPr="006C577F">
        <w:rPr>
          <w:rStyle w:val="libFootnotenumChar"/>
          <w:rtl/>
        </w:rPr>
        <w:t>(5)</w:t>
      </w:r>
      <w:r w:rsidRPr="00C9040A">
        <w:rPr>
          <w:rtl/>
          <w:lang w:bidi="fa-IR"/>
        </w:rPr>
        <w:t xml:space="preserve"> ‌</w:t>
      </w:r>
      <w:bookmarkEnd w:id="340"/>
      <w:bookmarkEnd w:id="341"/>
      <w:bookmarkEnd w:id="342"/>
    </w:p>
    <w:p w:rsidR="008A74EB" w:rsidRPr="00C9040A" w:rsidRDefault="008A74EB" w:rsidP="008A74EB">
      <w:pPr>
        <w:pStyle w:val="libNormal"/>
        <w:rPr>
          <w:rtl/>
          <w:lang w:bidi="fa-IR"/>
        </w:rPr>
      </w:pPr>
      <w:r w:rsidRPr="00134198">
        <w:rPr>
          <w:rtl/>
        </w:rPr>
        <w:t>2410</w:t>
      </w:r>
      <w:r w:rsidRPr="00261CB0">
        <w:rPr>
          <w:rStyle w:val="libBold2Char"/>
          <w:rtl/>
        </w:rPr>
        <w:t xml:space="preserve"> / 1.</w:t>
      </w:r>
      <w:r w:rsidRPr="00C9040A">
        <w:rPr>
          <w:rtl/>
          <w:lang w:bidi="fa-IR"/>
        </w:rPr>
        <w:t xml:space="preserve"> الْحُسَيْنُ بْنُ مُحَمَّدٍ وَمُحَمَّدُ بْنُ يَحْيى جَمِيعاً ، عَنْ عَلِيِّ بْنِ مُحَمَّدِ بْنِ سَعْدٍ ، عَنْ مُحَمَّدِ بْنِ سَالِمِ بْنِ أَبِي سَلَمَةَ </w:t>
      </w:r>
      <w:r w:rsidR="006C577F" w:rsidRPr="006C577F">
        <w:rPr>
          <w:rStyle w:val="libFootnotenumChar"/>
          <w:rtl/>
        </w:rPr>
        <w:t>(6)</w:t>
      </w:r>
      <w:r w:rsidRPr="005B567D">
        <w:rPr>
          <w:rStyle w:val="libFootnotenumChar"/>
          <w:rtl/>
        </w:rPr>
        <w:t xml:space="preserve"> </w:t>
      </w:r>
      <w:r w:rsidRPr="00C9040A">
        <w:rPr>
          <w:rtl/>
          <w:lang w:bidi="fa-IR"/>
        </w:rPr>
        <w:t>، عَنْ مُحَمَّدِ بْنِ سَعِيدِ بْنِ غَزْوَانَ ، عَنِ ابْنِ أَبِي نَجْرَانَ ، عَنْ مُحَمَّدِ بْنِ سِنَانٍ ، عَنْ أَبِي خَدِيجَةَ ، قَالَ :</w:t>
      </w:r>
    </w:p>
    <w:p w:rsidR="008A74EB" w:rsidRPr="00C9040A" w:rsidRDefault="008A74EB" w:rsidP="008A74EB">
      <w:pPr>
        <w:pStyle w:val="libNormal"/>
        <w:rPr>
          <w:rtl/>
          <w:lang w:bidi="fa-IR"/>
        </w:rPr>
      </w:pPr>
      <w:r w:rsidRPr="00C9040A">
        <w:rPr>
          <w:rtl/>
          <w:lang w:bidi="fa-IR"/>
        </w:rPr>
        <w:t xml:space="preserve">دَخَلْتُ عَلى أَبِي الْحَسَنِ </w:t>
      </w:r>
      <w:r w:rsidRPr="0003660B">
        <w:rPr>
          <w:rStyle w:val="libAlaemChar"/>
          <w:rtl/>
        </w:rPr>
        <w:t>عليه‌السلام</w:t>
      </w:r>
      <w:r w:rsidRPr="00C9040A">
        <w:rPr>
          <w:rtl/>
          <w:lang w:bidi="fa-IR"/>
        </w:rPr>
        <w:t xml:space="preserve"> ، فَقَالَ لِي : « إِنَّ اللهَ</w:t>
      </w:r>
      <w:r>
        <w:rPr>
          <w:rtl/>
          <w:lang w:bidi="fa-IR"/>
        </w:rPr>
        <w:t xml:space="preserve"> </w:t>
      </w:r>
      <w:r w:rsidR="0084262C">
        <w:rPr>
          <w:rtl/>
          <w:lang w:bidi="fa-IR"/>
        </w:rPr>
        <w:t>-</w:t>
      </w:r>
      <w:r>
        <w:rPr>
          <w:rtl/>
          <w:lang w:bidi="fa-IR"/>
        </w:rPr>
        <w:t xml:space="preserve"> </w:t>
      </w:r>
      <w:r w:rsidRPr="00C9040A">
        <w:rPr>
          <w:rtl/>
          <w:lang w:bidi="fa-IR"/>
        </w:rPr>
        <w:t>تَبَارَكَ وَتَعَالى</w:t>
      </w:r>
      <w:r>
        <w:rPr>
          <w:rtl/>
          <w:lang w:bidi="fa-IR"/>
        </w:rPr>
        <w:t xml:space="preserve"> </w:t>
      </w:r>
      <w:r w:rsidR="0084262C">
        <w:rPr>
          <w:rtl/>
          <w:lang w:bidi="fa-IR"/>
        </w:rPr>
        <w:t>-</w:t>
      </w:r>
      <w:r>
        <w:rPr>
          <w:rtl/>
          <w:lang w:bidi="fa-IR"/>
        </w:rPr>
        <w:t xml:space="preserve"> </w:t>
      </w:r>
      <w:r w:rsidRPr="00C9040A">
        <w:rPr>
          <w:rtl/>
          <w:lang w:bidi="fa-IR"/>
        </w:rPr>
        <w:t xml:space="preserve">أَيَّدَ الْمُؤْمِنَ بِرُوحٍ مِنْهُ </w:t>
      </w:r>
      <w:r w:rsidR="006C577F" w:rsidRPr="006C577F">
        <w:rPr>
          <w:rStyle w:val="libFootnotenumChar"/>
          <w:rtl/>
        </w:rPr>
        <w:t>(7)</w:t>
      </w:r>
      <w:r w:rsidRPr="00C9040A">
        <w:rPr>
          <w:rtl/>
          <w:lang w:bidi="fa-IR"/>
        </w:rPr>
        <w:t xml:space="preserve"> ، تَحْضُرُهُ </w:t>
      </w:r>
      <w:r w:rsidR="006C577F" w:rsidRPr="006C577F">
        <w:rPr>
          <w:rStyle w:val="libFootnotenumChar"/>
          <w:rtl/>
        </w:rPr>
        <w:t>(8)</w:t>
      </w:r>
      <w:r w:rsidRPr="00C9040A">
        <w:rPr>
          <w:rtl/>
          <w:lang w:bidi="fa-IR"/>
        </w:rPr>
        <w:t xml:space="preserve"> فِي كُلِّ وَقْتٍ يُحْسِنُ فِيهِ وَيَتَّقِي ، وَتَغِيبُ </w:t>
      </w:r>
      <w:r w:rsidR="006C577F" w:rsidRPr="006C577F">
        <w:rPr>
          <w:rStyle w:val="libFootnotenumChar"/>
          <w:rtl/>
        </w:rPr>
        <w:t>(9)</w:t>
      </w:r>
      <w:r w:rsidRPr="00C9040A">
        <w:rPr>
          <w:rtl/>
          <w:lang w:bidi="fa-IR"/>
        </w:rPr>
        <w:t xml:space="preserve"> عَنْهُ فِي كُلِّ وَقْتٍ‌</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خَنَستُ الرجلَ خَنْساً : أخّرته ، أو قبضته وزويته. ويستعمل لازماً أيضاً فيقال : خنس هو ، ومنه : الخَنّاس في‌</w:t>
      </w:r>
      <w:r w:rsidR="00A05670">
        <w:rPr>
          <w:rFonts w:hint="cs"/>
          <w:rtl/>
        </w:rPr>
        <w:t xml:space="preserve"> </w:t>
      </w:r>
      <w:r w:rsidR="008A74EB" w:rsidRPr="00C9040A">
        <w:rPr>
          <w:rtl/>
        </w:rPr>
        <w:t>صفة الشيطان ؛ لأنّه يخنس إذا سمع ذكر الله تعالى ، أي‌</w:t>
      </w:r>
      <w:r w:rsidR="00A05670">
        <w:rPr>
          <w:rFonts w:hint="cs"/>
          <w:rtl/>
        </w:rPr>
        <w:t xml:space="preserve"> </w:t>
      </w:r>
      <w:r w:rsidR="008A74EB" w:rsidRPr="00C9040A">
        <w:rPr>
          <w:rtl/>
        </w:rPr>
        <w:t xml:space="preserve">ينقبض. </w:t>
      </w:r>
      <w:r w:rsidR="008A74EB" w:rsidRPr="00993B55">
        <w:rPr>
          <w:rStyle w:val="libFootnoteBoldChar"/>
          <w:rtl/>
        </w:rPr>
        <w:t>المصباح المنير</w:t>
      </w:r>
      <w:r w:rsidR="008A74EB" w:rsidRPr="00C9040A">
        <w:rPr>
          <w:rtl/>
        </w:rPr>
        <w:t xml:space="preserve"> ، ص 183 ( خنس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البحار : « وذلك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المجادلة (58) : 22.</w:t>
      </w:r>
    </w:p>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الوافي</w:t>
      </w:r>
      <w:r w:rsidR="008A74EB" w:rsidRPr="00C9040A">
        <w:rPr>
          <w:rtl/>
        </w:rPr>
        <w:t xml:space="preserve"> ، ج 5 ، ص 1013 ، ح 3501 ؛ </w:t>
      </w:r>
      <w:r w:rsidR="008A74EB" w:rsidRPr="00993B55">
        <w:rPr>
          <w:rStyle w:val="libFootnoteBoldChar"/>
          <w:rtl/>
        </w:rPr>
        <w:t>البحار</w:t>
      </w:r>
      <w:r w:rsidR="008A74EB" w:rsidRPr="00C9040A">
        <w:rPr>
          <w:rtl/>
        </w:rPr>
        <w:t xml:space="preserve"> ، ج 69 ، ص 199 ، ح 17 ؛ وج 70 ، ص 47 ، ح 3.</w:t>
      </w:r>
    </w:p>
    <w:p w:rsidR="008A74EB" w:rsidRPr="00C9040A" w:rsidRDefault="006C577F" w:rsidP="004A4E41">
      <w:pPr>
        <w:pStyle w:val="libFootnote0"/>
        <w:rPr>
          <w:rtl/>
          <w:lang w:bidi="fa-IR"/>
        </w:rPr>
      </w:pPr>
      <w:r>
        <w:rPr>
          <w:rtl/>
        </w:rPr>
        <w:t>(5).</w:t>
      </w:r>
      <w:r w:rsidR="008A74EB" w:rsidRPr="00C9040A">
        <w:rPr>
          <w:rtl/>
        </w:rPr>
        <w:t xml:space="preserve"> في « </w:t>
      </w:r>
      <w:r w:rsidR="006D3162">
        <w:rPr>
          <w:rtl/>
        </w:rPr>
        <w:t xml:space="preserve">ه </w:t>
      </w:r>
      <w:r w:rsidR="008A74EB" w:rsidRPr="00C9040A">
        <w:rPr>
          <w:rtl/>
        </w:rPr>
        <w:t xml:space="preserve">» </w:t>
      </w:r>
      <w:r w:rsidR="008A74EB">
        <w:rPr>
          <w:rtl/>
        </w:rPr>
        <w:t xml:space="preserve">: </w:t>
      </w:r>
      <w:r w:rsidR="0084262C">
        <w:rPr>
          <w:rtl/>
        </w:rPr>
        <w:t>-</w:t>
      </w:r>
      <w:r w:rsidR="008A74EB" w:rsidRPr="00C9040A">
        <w:rPr>
          <w:rtl/>
        </w:rPr>
        <w:t xml:space="preserve"> « باب</w:t>
      </w:r>
      <w:r w:rsidR="008A74EB">
        <w:rPr>
          <w:rtl/>
        </w:rPr>
        <w:t xml:space="preserve"> </w:t>
      </w:r>
      <w:r w:rsidR="0084262C">
        <w:rPr>
          <w:rtl/>
        </w:rPr>
        <w:t>-</w:t>
      </w:r>
      <w:r w:rsidR="008A74EB">
        <w:rPr>
          <w:rtl/>
        </w:rPr>
        <w:t xml:space="preserve"> </w:t>
      </w:r>
      <w:r w:rsidR="008A74EB" w:rsidRPr="00C9040A">
        <w:rPr>
          <w:rtl/>
        </w:rPr>
        <w:t>إلى</w:t>
      </w:r>
      <w:r w:rsidR="008A74EB">
        <w:rPr>
          <w:rtl/>
        </w:rPr>
        <w:t xml:space="preserve"> </w:t>
      </w:r>
      <w:r w:rsidR="0084262C">
        <w:rPr>
          <w:rtl/>
        </w:rPr>
        <w:t>-</w:t>
      </w:r>
      <w:r w:rsidR="008A74EB">
        <w:rPr>
          <w:rtl/>
        </w:rPr>
        <w:t xml:space="preserve"> </w:t>
      </w:r>
      <w:r w:rsidR="008A74EB" w:rsidRPr="00C9040A">
        <w:rPr>
          <w:rtl/>
        </w:rPr>
        <w:t>المؤمن »</w:t>
      </w:r>
      <w:r w:rsidR="008A74EB">
        <w:rPr>
          <w:rtl/>
        </w:rPr>
        <w:t>.</w:t>
      </w:r>
    </w:p>
    <w:p w:rsidR="008A74EB" w:rsidRPr="00C9040A" w:rsidRDefault="006C577F" w:rsidP="00A05670">
      <w:pPr>
        <w:pStyle w:val="libFootnote0"/>
        <w:rPr>
          <w:rtl/>
          <w:lang w:bidi="fa-IR"/>
        </w:rPr>
      </w:pPr>
      <w:r>
        <w:rPr>
          <w:rtl/>
        </w:rPr>
        <w:t>(6).</w:t>
      </w:r>
      <w:r w:rsidR="008A74EB">
        <w:rPr>
          <w:rtl/>
        </w:rPr>
        <w:t xml:space="preserve"> </w:t>
      </w:r>
      <w:r w:rsidR="008A74EB" w:rsidRPr="00C9040A">
        <w:rPr>
          <w:rtl/>
        </w:rPr>
        <w:t xml:space="preserve">تقدّم في ذيل ح 1642 </w:t>
      </w:r>
      <w:r w:rsidR="008A74EB">
        <w:rPr>
          <w:rtl/>
        </w:rPr>
        <w:t>و 2</w:t>
      </w:r>
      <w:r w:rsidR="008A74EB" w:rsidRPr="00C9040A">
        <w:rPr>
          <w:rtl/>
        </w:rPr>
        <w:t>127 ، الإشارة إلى وقوع التصحيف في أسناد عليّ بن محمّد بن سعد ، عن محمّد</w:t>
      </w:r>
      <w:r w:rsidR="00A05670">
        <w:rPr>
          <w:rFonts w:hint="cs"/>
          <w:rtl/>
        </w:rPr>
        <w:t xml:space="preserve"> </w:t>
      </w:r>
      <w:r w:rsidR="008A74EB" w:rsidRPr="00C9040A">
        <w:rPr>
          <w:rtl/>
        </w:rPr>
        <w:t>بن سالم بن أبي‌سلمة ، وأنّ لفظة « سالم » قد يصحّف</w:t>
      </w:r>
      <w:r w:rsidR="008A74EB">
        <w:rPr>
          <w:rtl/>
        </w:rPr>
        <w:t xml:space="preserve"> ب</w:t>
      </w:r>
      <w:r w:rsidR="00A05670">
        <w:rPr>
          <w:rFonts w:hint="cs"/>
          <w:rtl/>
        </w:rPr>
        <w:t>ـ</w:t>
      </w:r>
      <w:r w:rsidR="008A74EB">
        <w:rPr>
          <w:rtl/>
        </w:rPr>
        <w:t xml:space="preserve"> «</w:t>
      </w:r>
      <w:r w:rsidR="008A74EB" w:rsidRPr="00C9040A">
        <w:rPr>
          <w:rtl/>
        </w:rPr>
        <w:t xml:space="preserve"> مسلم » </w:t>
      </w:r>
      <w:r w:rsidR="008A74EB">
        <w:rPr>
          <w:rtl/>
        </w:rPr>
        <w:t>و «</w:t>
      </w:r>
      <w:r w:rsidR="008A74EB" w:rsidRPr="00C9040A">
        <w:rPr>
          <w:rtl/>
        </w:rPr>
        <w:t xml:space="preserve"> سلمة » </w:t>
      </w:r>
      <w:r w:rsidR="008A74EB">
        <w:rPr>
          <w:rtl/>
        </w:rPr>
        <w:t>و «</w:t>
      </w:r>
      <w:r w:rsidR="008A74EB" w:rsidRPr="00C9040A">
        <w:rPr>
          <w:rtl/>
        </w:rPr>
        <w:t xml:space="preserve"> مسلمة » </w:t>
      </w:r>
      <w:r w:rsidR="008A74EB">
        <w:rPr>
          <w:rtl/>
        </w:rPr>
        <w:t>و «</w:t>
      </w:r>
      <w:r w:rsidR="008A74EB" w:rsidRPr="00C9040A">
        <w:rPr>
          <w:rtl/>
        </w:rPr>
        <w:t xml:space="preserve"> سليمان » ، والموجب لهذا الأمر هو حذف « الألف » عن لفظة « سالم » كما أشرنا إليه سابقاً.</w:t>
      </w:r>
    </w:p>
    <w:p w:rsidR="008A74EB" w:rsidRPr="00C9040A" w:rsidRDefault="008A74EB" w:rsidP="004A4E41">
      <w:pPr>
        <w:pStyle w:val="libFootnote0"/>
        <w:rPr>
          <w:rtl/>
          <w:lang w:bidi="fa-IR"/>
        </w:rPr>
      </w:pPr>
      <w:r w:rsidRPr="0082575F">
        <w:rPr>
          <w:rtl/>
        </w:rPr>
        <w:t>إذا تبيّن هذا ، فنقول : أكثر النسخ في ما نحن فيه مصحّفة ؛ فإنّ في « ج ، د ، ض ، بر ، بس ، بف » والمطبوع : « محمّد بن مسلم ، عن أبي‌سلمة »</w:t>
      </w:r>
      <w:r>
        <w:rPr>
          <w:rtl/>
        </w:rPr>
        <w:t>.</w:t>
      </w:r>
      <w:r w:rsidRPr="0082575F">
        <w:rPr>
          <w:rtl/>
        </w:rPr>
        <w:t xml:space="preserve"> وفي « ف » : « محمّد بن مسلم أبي‌سلمة »</w:t>
      </w:r>
      <w:r>
        <w:rPr>
          <w:rtl/>
        </w:rPr>
        <w:t>.</w:t>
      </w:r>
      <w:r w:rsidRPr="0082575F">
        <w:rPr>
          <w:rtl/>
        </w:rPr>
        <w:t xml:space="preserve"> وفي « جر » : « محمّد بن المسلم عن أبي سلمة »</w:t>
      </w:r>
      <w:r>
        <w:rPr>
          <w:rtl/>
        </w:rPr>
        <w:t>.</w:t>
      </w:r>
      <w:r w:rsidRPr="0082575F">
        <w:rPr>
          <w:rtl/>
        </w:rPr>
        <w:t xml:space="preserve"> وفي البحار : « محمّد بن مسلم بن أبي‌سلمة »</w:t>
      </w:r>
      <w:r>
        <w:rPr>
          <w:rtl/>
        </w:rPr>
        <w:t>.</w:t>
      </w:r>
    </w:p>
    <w:p w:rsidR="008A74EB" w:rsidRPr="00C9040A" w:rsidRDefault="008A74EB" w:rsidP="004A4E41">
      <w:pPr>
        <w:pStyle w:val="libFootnote0"/>
        <w:rPr>
          <w:rtl/>
          <w:lang w:bidi="fa-IR"/>
        </w:rPr>
      </w:pPr>
      <w:r w:rsidRPr="0082575F">
        <w:rPr>
          <w:rtl/>
        </w:rPr>
        <w:t xml:space="preserve">وأمّا ما أثبتناه فهو مأخوذ مؤلّف من نسخ أربع ؛ فإنّ في « ب ، </w:t>
      </w:r>
      <w:r w:rsidR="006D3162">
        <w:rPr>
          <w:rtl/>
        </w:rPr>
        <w:t xml:space="preserve">ه </w:t>
      </w:r>
      <w:r w:rsidRPr="0082575F">
        <w:rPr>
          <w:rtl/>
        </w:rPr>
        <w:t>، بس » : « محمّد بن مسلم بن أبي‌سلمة »</w:t>
      </w:r>
      <w:r>
        <w:rPr>
          <w:rtl/>
        </w:rPr>
        <w:t>.</w:t>
      </w:r>
      <w:r w:rsidRPr="0082575F">
        <w:rPr>
          <w:rtl/>
        </w:rPr>
        <w:t xml:space="preserve"> وفي « ص » : « محمّد بن سلم ، عن أبي‌سلمة »</w:t>
      </w:r>
      <w:r>
        <w:rPr>
          <w:rtl/>
        </w:rPr>
        <w:t>.</w:t>
      </w:r>
      <w:r w:rsidRPr="0082575F">
        <w:rPr>
          <w:rtl/>
        </w:rPr>
        <w:t xml:space="preserve"> والظاهر أنّ « سلم » في « ص » هو « سالم » قد حذفت الألف منه.</w:t>
      </w:r>
    </w:p>
    <w:p w:rsidR="008A74EB" w:rsidRPr="00C9040A" w:rsidRDefault="006C577F" w:rsidP="004A4E41">
      <w:pPr>
        <w:pStyle w:val="libFootnote0"/>
        <w:rPr>
          <w:rtl/>
          <w:lang w:bidi="fa-IR"/>
        </w:rPr>
      </w:pPr>
      <w:r>
        <w:rPr>
          <w:rtl/>
        </w:rPr>
        <w:t>(7).</w:t>
      </w:r>
      <w:r w:rsidR="008A74EB" w:rsidRPr="00C9040A">
        <w:rPr>
          <w:rtl/>
        </w:rPr>
        <w:t xml:space="preserve"> في « ج ، د ، ص ، ض ، </w:t>
      </w:r>
      <w:r w:rsidR="006D3162">
        <w:rPr>
          <w:rtl/>
        </w:rPr>
        <w:t xml:space="preserve">ه </w:t>
      </w:r>
      <w:r w:rsidR="008A74EB" w:rsidRPr="00C9040A">
        <w:rPr>
          <w:rtl/>
        </w:rPr>
        <w:t xml:space="preserve">، بر » والوافي </w:t>
      </w:r>
      <w:r w:rsidR="008A74EB">
        <w:rPr>
          <w:rtl/>
        </w:rPr>
        <w:t xml:space="preserve">: </w:t>
      </w:r>
      <w:r w:rsidR="0084262C">
        <w:rPr>
          <w:rtl/>
        </w:rPr>
        <w:t>-</w:t>
      </w:r>
      <w:r w:rsidR="008A74EB" w:rsidRPr="00C9040A">
        <w:rPr>
          <w:rtl/>
        </w:rPr>
        <w:t xml:space="preserve"> « منه »</w:t>
      </w:r>
      <w:r w:rsidR="008A74EB">
        <w:rPr>
          <w:rtl/>
        </w:rPr>
        <w:t>.</w:t>
      </w:r>
    </w:p>
    <w:p w:rsidR="008A74EB" w:rsidRPr="00C9040A" w:rsidRDefault="006C577F" w:rsidP="00A05670">
      <w:pPr>
        <w:pStyle w:val="libFootnote0"/>
        <w:rPr>
          <w:rtl/>
          <w:lang w:bidi="fa-IR"/>
        </w:rPr>
      </w:pPr>
      <w:r>
        <w:rPr>
          <w:rtl/>
        </w:rPr>
        <w:t>(8).</w:t>
      </w:r>
      <w:r w:rsidR="008A74EB" w:rsidRPr="00C9040A">
        <w:rPr>
          <w:rtl/>
        </w:rPr>
        <w:t xml:space="preserve"> في « ب » : « يحضر »</w:t>
      </w:r>
      <w:r w:rsidR="008A74EB">
        <w:rPr>
          <w:rtl/>
        </w:rPr>
        <w:t>.</w:t>
      </w:r>
      <w:r w:rsidR="008A74EB" w:rsidRPr="00C9040A">
        <w:rPr>
          <w:rtl/>
        </w:rPr>
        <w:t xml:space="preserve"> وفي « ج ، د ، ز ، ص ، ض ، ف ، </w:t>
      </w:r>
      <w:r w:rsidR="006D3162">
        <w:rPr>
          <w:rtl/>
        </w:rPr>
        <w:t xml:space="preserve">ه </w:t>
      </w:r>
      <w:r w:rsidR="008A74EB" w:rsidRPr="00C9040A">
        <w:rPr>
          <w:rtl/>
        </w:rPr>
        <w:t>، بر ، بس ، بف » والوسائل : «يحضره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ب ، ج ، د ، ز ، ص ، ض ، ف ، بر ، بس ، بف » والوسائل : « ويغيب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يُذْنِبُ فِيهِ وَيَعْتَدِي ، فَهِيَ مَعَهُ تَهْتَزُّ سُرُوراً عِنْدَ إِحْسَانِهِ ، وَتَسِيخُ </w:t>
      </w:r>
      <w:r w:rsidR="006C577F" w:rsidRPr="006C577F">
        <w:rPr>
          <w:rStyle w:val="libFootnotenumChar"/>
          <w:rtl/>
        </w:rPr>
        <w:t>(1)</w:t>
      </w:r>
      <w:r w:rsidRPr="00C9040A">
        <w:rPr>
          <w:rtl/>
          <w:lang w:bidi="fa-IR"/>
        </w:rPr>
        <w:t xml:space="preserve"> فِي الثَّرى </w:t>
      </w:r>
      <w:r w:rsidR="006C577F" w:rsidRPr="006C577F">
        <w:rPr>
          <w:rStyle w:val="libFootnotenumChar"/>
          <w:rtl/>
        </w:rPr>
        <w:t>(2)</w:t>
      </w:r>
      <w:r w:rsidRPr="00C9040A">
        <w:rPr>
          <w:rtl/>
          <w:lang w:bidi="fa-IR"/>
        </w:rPr>
        <w:t xml:space="preserve"> عِنْدَ إِسَاءَتِهِ ، فَتَعَاهَدُوا عِبَادَ اللهِ نِعَمَهُ بِإِصْلَاحِكُمْ أَنْفُسَكُمْ ؛ تَزْدَادُوا يَقِيناً ، وَتَرْبَحُوا نَفِيساً ثَمِيناً ؛ رَحِمَ اللهُ امْرَأً هَمَّ بِخَيْرٍ فَعَمِلَهُ ، أَوْ هَمَّ بِشَرٍّ فَارْتَدَعَ عَنْهُ »</w:t>
      </w:r>
      <w:r>
        <w:rPr>
          <w:rtl/>
          <w:lang w:bidi="fa-IR"/>
        </w:rPr>
        <w:t>.</w:t>
      </w:r>
      <w:r w:rsidRPr="00C9040A">
        <w:rPr>
          <w:rtl/>
          <w:lang w:bidi="fa-IR"/>
        </w:rPr>
        <w:t xml:space="preserve"> ثُمَّ قَالَ : « نَحْنُ نُؤَيِّدُ </w:t>
      </w:r>
      <w:r w:rsidR="006C577F" w:rsidRPr="006C577F">
        <w:rPr>
          <w:rStyle w:val="libFootnotenumChar"/>
          <w:rtl/>
        </w:rPr>
        <w:t>(3)</w:t>
      </w:r>
      <w:r w:rsidRPr="00C9040A">
        <w:rPr>
          <w:rtl/>
          <w:lang w:bidi="fa-IR"/>
        </w:rPr>
        <w:t xml:space="preserve"> الرُّوحَ بِالطَّاعَةِ لِلّهِ وَالْعَمَلِ لَهُ</w:t>
      </w:r>
      <w:r w:rsidR="006C577F" w:rsidRPr="006C577F">
        <w:rPr>
          <w:rStyle w:val="libFootnotenumChar"/>
          <w:rtl/>
        </w:rPr>
        <w:t>(4)</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(5)</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بف » : « ويسيخ »</w:t>
      </w:r>
      <w:r w:rsidR="008A74EB">
        <w:rPr>
          <w:rtl/>
        </w:rPr>
        <w:t>.</w:t>
      </w:r>
      <w:r w:rsidR="008A74EB" w:rsidRPr="00C9040A">
        <w:rPr>
          <w:rtl/>
        </w:rPr>
        <w:t xml:space="preserve"> وفي الوسائل : « تسيح » بدون الواو. وساخت قوائمه في الأرض سَوخاً ، وتسيخ سيخاً : هو مثل الغَرَق في الماء. وساخت بهم الأرض : خَسَفَتْ. </w:t>
      </w:r>
      <w:r w:rsidR="008A74EB" w:rsidRPr="00993B55">
        <w:rPr>
          <w:rStyle w:val="libFootnoteBoldChar"/>
          <w:rtl/>
        </w:rPr>
        <w:t>المصباح المنير</w:t>
      </w:r>
      <w:r w:rsidR="008A74EB" w:rsidRPr="00C9040A">
        <w:rPr>
          <w:rtl/>
        </w:rPr>
        <w:t xml:space="preserve"> ، ص 294 ( سوخ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 الثرى » : التُّراب ، وكلّ طين لا يكون لازباً إذا بُلّ. </w:t>
      </w:r>
      <w:r w:rsidR="008A74EB" w:rsidRPr="00993B55">
        <w:rPr>
          <w:rStyle w:val="libFootnoteBoldChar"/>
          <w:rtl/>
        </w:rPr>
        <w:t>ترتيب كتاب العين</w:t>
      </w:r>
      <w:r w:rsidR="008A74EB" w:rsidRPr="00C9040A">
        <w:rPr>
          <w:rtl/>
        </w:rPr>
        <w:t xml:space="preserve"> ، ج 1 ، ص 239 ( ثرو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ب ، ف ، بس » : « نزيد »</w:t>
      </w:r>
      <w:r w:rsidR="008A74EB">
        <w:rPr>
          <w:rtl/>
        </w:rPr>
        <w:t>.</w:t>
      </w:r>
      <w:r w:rsidR="008A74EB" w:rsidRPr="00C9040A">
        <w:rPr>
          <w:rtl/>
        </w:rPr>
        <w:t xml:space="preserve"> وفي الوسائل : « نريد »</w:t>
      </w:r>
      <w:r w:rsidR="008A74EB">
        <w:rPr>
          <w:rtl/>
        </w:rPr>
        <w:t>.</w:t>
      </w:r>
    </w:p>
    <w:p w:rsidR="008A74EB" w:rsidRPr="00C9040A" w:rsidRDefault="006C577F" w:rsidP="005205EA">
      <w:pPr>
        <w:pStyle w:val="libFootnote0"/>
        <w:rPr>
          <w:rtl/>
          <w:lang w:bidi="fa-IR"/>
        </w:rPr>
      </w:pPr>
      <w:r>
        <w:rPr>
          <w:rtl/>
        </w:rPr>
        <w:t>(4).</w:t>
      </w:r>
      <w:r w:rsidR="005205EA">
        <w:rPr>
          <w:rtl/>
        </w:rPr>
        <w:t xml:space="preserve"> قال العل</w:t>
      </w:r>
      <w:r w:rsidR="005205EA">
        <w:rPr>
          <w:rFonts w:hint="cs"/>
          <w:rtl/>
        </w:rPr>
        <w:t>ّ</w:t>
      </w:r>
      <w:r w:rsidR="005205EA">
        <w:rPr>
          <w:rtl/>
        </w:rPr>
        <w:t>ا</w:t>
      </w:r>
      <w:r w:rsidR="008A74EB" w:rsidRPr="00C9040A">
        <w:rPr>
          <w:rtl/>
        </w:rPr>
        <w:t xml:space="preserve">مة الطباطبائي في شرح الحديث وحقيقة الروح : « قال الله تعالى : </w:t>
      </w:r>
      <w:r w:rsidR="008A74EB" w:rsidRPr="005205EA">
        <w:rPr>
          <w:rStyle w:val="libFootnoteAlaemChar"/>
          <w:rtl/>
        </w:rPr>
        <w:t>(</w:t>
      </w:r>
      <w:r w:rsidR="008A74EB" w:rsidRPr="00883DD5">
        <w:rPr>
          <w:rStyle w:val="libFootnoteAieChar"/>
          <w:rFonts w:hint="cs"/>
          <w:rtl/>
        </w:rPr>
        <w:t xml:space="preserve"> </w:t>
      </w:r>
      <w:r w:rsidR="008A74EB" w:rsidRPr="00883DD5">
        <w:rPr>
          <w:rStyle w:val="libFootnoteAieChar"/>
          <w:rtl/>
        </w:rPr>
        <w:t>أَوَمَنْ كانَ مَيْتاً فَأَحْيَيْناهُ وَجَعَلْن</w:t>
      </w:r>
      <w:r w:rsidR="005205EA">
        <w:rPr>
          <w:rStyle w:val="libFootnoteAieChar"/>
          <w:rFonts w:hint="cs"/>
          <w:rtl/>
        </w:rPr>
        <w:t>َ</w:t>
      </w:r>
      <w:r w:rsidR="008A74EB" w:rsidRPr="00883DD5">
        <w:rPr>
          <w:rStyle w:val="libFootnoteAieChar"/>
          <w:rtl/>
        </w:rPr>
        <w:t>ا لَهُ نُوراً يَمْشِي بِهِ فِي النّ</w:t>
      </w:r>
      <w:r w:rsidR="005205EA">
        <w:rPr>
          <w:rStyle w:val="libFootnoteAieChar"/>
          <w:rFonts w:hint="cs"/>
          <w:rtl/>
        </w:rPr>
        <w:t>َ</w:t>
      </w:r>
      <w:r w:rsidR="008A74EB" w:rsidRPr="00883DD5">
        <w:rPr>
          <w:rStyle w:val="libFootnoteAieChar"/>
          <w:rtl/>
        </w:rPr>
        <w:t>اسِ كَمَنْ مَ</w:t>
      </w:r>
      <w:r w:rsidR="005205EA">
        <w:rPr>
          <w:rStyle w:val="libFootnoteAieChar"/>
          <w:rFonts w:hint="cs"/>
          <w:rtl/>
        </w:rPr>
        <w:t>ّ</w:t>
      </w:r>
      <w:r w:rsidR="008A74EB" w:rsidRPr="00883DD5">
        <w:rPr>
          <w:rStyle w:val="libFootnoteAieChar"/>
          <w:rtl/>
        </w:rPr>
        <w:t>ثَلُهُ فِي الظُّلُم</w:t>
      </w:r>
      <w:r w:rsidR="005205EA">
        <w:rPr>
          <w:rStyle w:val="libFootnoteAieChar"/>
          <w:rFonts w:hint="cs"/>
          <w:rtl/>
        </w:rPr>
        <w:t>َ</w:t>
      </w:r>
      <w:r w:rsidR="008A74EB" w:rsidRPr="00883DD5">
        <w:rPr>
          <w:rStyle w:val="libFootnoteAieChar"/>
          <w:rtl/>
        </w:rPr>
        <w:t>اتِ لَيْسَ بِخ</w:t>
      </w:r>
      <w:r w:rsidR="005205EA">
        <w:rPr>
          <w:rStyle w:val="libFootnoteAieChar"/>
          <w:rFonts w:hint="cs"/>
          <w:rtl/>
        </w:rPr>
        <w:t>َ</w:t>
      </w:r>
      <w:r w:rsidR="008A74EB" w:rsidRPr="00883DD5">
        <w:rPr>
          <w:rStyle w:val="libFootnoteAieChar"/>
          <w:rtl/>
        </w:rPr>
        <w:t>ارِجٍ مِنْه</w:t>
      </w:r>
      <w:r w:rsidR="005205EA">
        <w:rPr>
          <w:rStyle w:val="libFootnoteAieChar"/>
          <w:rFonts w:hint="cs"/>
          <w:rtl/>
        </w:rPr>
        <w:t>َ</w:t>
      </w:r>
      <w:r w:rsidR="008A74EB" w:rsidRPr="00883DD5">
        <w:rPr>
          <w:rStyle w:val="libFootnoteAieChar"/>
          <w:rtl/>
        </w:rPr>
        <w:t>ا</w:t>
      </w:r>
      <w:r w:rsidR="008A74EB" w:rsidRPr="00883DD5">
        <w:rPr>
          <w:rStyle w:val="libFootnoteAieChar"/>
          <w:rFonts w:hint="cs"/>
          <w:rtl/>
        </w:rPr>
        <w:t xml:space="preserve"> </w:t>
      </w:r>
      <w:r w:rsidR="008A74EB" w:rsidRPr="005205EA">
        <w:rPr>
          <w:rStyle w:val="libFootnoteAlaemChar"/>
          <w:rtl/>
        </w:rPr>
        <w:t>)</w:t>
      </w:r>
      <w:r w:rsidR="008A74EB" w:rsidRPr="00C9040A">
        <w:rPr>
          <w:rtl/>
        </w:rPr>
        <w:t xml:space="preserve"> الآية [ الأنعام </w:t>
      </w:r>
      <w:r>
        <w:rPr>
          <w:rtl/>
        </w:rPr>
        <w:t>(6).</w:t>
      </w:r>
      <w:r w:rsidR="008A74EB">
        <w:rPr>
          <w:rtl/>
        </w:rPr>
        <w:t xml:space="preserve"> </w:t>
      </w:r>
      <w:r w:rsidR="008A74EB" w:rsidRPr="00C9040A">
        <w:rPr>
          <w:rtl/>
        </w:rPr>
        <w:t xml:space="preserve">: 122 ] دلّت الآية على ما يخصّ الله تعالى به الإيمان في مقابل الكفر من الآثار ، وهو النور الذي يسري في أفعال العبد ، فيرى به الخير ويفرّقه من الشرّ ويميّز به النفع من الضرّ. والدَّليل على أنّ هذا النور لغاية الإبصار قوله تعالى : </w:t>
      </w:r>
      <w:r w:rsidR="008A74EB" w:rsidRPr="005205EA">
        <w:rPr>
          <w:rStyle w:val="libFootnoteAlaemChar"/>
          <w:rtl/>
        </w:rPr>
        <w:t>(</w:t>
      </w:r>
      <w:r w:rsidR="008A74EB" w:rsidRPr="00883DD5">
        <w:rPr>
          <w:rStyle w:val="libFootnoteAieChar"/>
          <w:rFonts w:hint="cs"/>
          <w:rtl/>
        </w:rPr>
        <w:t xml:space="preserve"> </w:t>
      </w:r>
      <w:r w:rsidR="008A74EB" w:rsidRPr="00883DD5">
        <w:rPr>
          <w:rStyle w:val="libFootnoteAieChar"/>
          <w:rtl/>
        </w:rPr>
        <w:t>إِنَّ الَّذِينَ اتَّقَوْا إِذا مَسَّهُمْ ط</w:t>
      </w:r>
      <w:r w:rsidR="005205EA">
        <w:rPr>
          <w:rStyle w:val="libFootnoteAieChar"/>
          <w:rFonts w:hint="cs"/>
          <w:rtl/>
        </w:rPr>
        <w:t>َآ</w:t>
      </w:r>
      <w:r w:rsidR="008A74EB" w:rsidRPr="00883DD5">
        <w:rPr>
          <w:rStyle w:val="libFootnoteAieChar"/>
          <w:rtl/>
        </w:rPr>
        <w:t>ئِفٌ مِنَ الشَّيْطانِ تَذَكَّرُوا فَإِذ</w:t>
      </w:r>
      <w:r w:rsidR="005205EA">
        <w:rPr>
          <w:rStyle w:val="libFootnoteAieChar"/>
          <w:rFonts w:hint="cs"/>
          <w:rtl/>
        </w:rPr>
        <w:t>َ</w:t>
      </w:r>
      <w:r w:rsidR="008A74EB" w:rsidRPr="00883DD5">
        <w:rPr>
          <w:rStyle w:val="libFootnoteAieChar"/>
          <w:rtl/>
        </w:rPr>
        <w:t>ا هُمْ مُ</w:t>
      </w:r>
      <w:r w:rsidR="005205EA">
        <w:rPr>
          <w:rStyle w:val="libFootnoteAieChar"/>
          <w:rFonts w:hint="cs"/>
          <w:rtl/>
        </w:rPr>
        <w:t>ّ</w:t>
      </w:r>
      <w:r w:rsidR="008A74EB" w:rsidRPr="00883DD5">
        <w:rPr>
          <w:rStyle w:val="libFootnoteAieChar"/>
          <w:rtl/>
        </w:rPr>
        <w:t>بْصِرُونَ</w:t>
      </w:r>
      <w:r w:rsidR="008A74EB" w:rsidRPr="00883DD5">
        <w:rPr>
          <w:rStyle w:val="libFootnoteAieChar"/>
          <w:rFonts w:hint="cs"/>
          <w:rtl/>
        </w:rPr>
        <w:t xml:space="preserve"> </w:t>
      </w:r>
      <w:r w:rsidR="008A74EB" w:rsidRPr="005205EA">
        <w:rPr>
          <w:rStyle w:val="libFootnoteAlaemChar"/>
          <w:rtl/>
        </w:rPr>
        <w:t>)</w:t>
      </w:r>
      <w:r w:rsidR="008A74EB" w:rsidRPr="00C9040A">
        <w:rPr>
          <w:rtl/>
        </w:rPr>
        <w:t xml:space="preserve"> [ الأعراف </w:t>
      </w:r>
      <w:r>
        <w:rPr>
          <w:rtl/>
        </w:rPr>
        <w:t>(7).</w:t>
      </w:r>
      <w:r w:rsidR="008A74EB" w:rsidRPr="00C9040A">
        <w:rPr>
          <w:rtl/>
        </w:rPr>
        <w:t xml:space="preserve"> : 201 ] وهذا النور الذي هونور الإبصار والإدراك من خواصّ الحياة ، كما أنَّ نور الإدراك الحسّيّ والخياليّ في الإنسان وسائر أنواع الحيوان لايتحقّق إلاّبعد تحقّق الحياة ، وهذه الحياة التي أثبتها الله تعالى للمؤمن حياة خاصّة زائدة على الحياة العامّة التي يشترك فيها المؤمن والكافر ، فللمؤمن حياتان وللكافر حياة واحدة ، ومن هنا يمكن للمتدبّر أن يحدس أنّ للمؤمن روحاً آخر وراء الروح الذي يشترك فيه المؤمن والكافر ؛ فإنّ خاصّة الحياة إنّما يترشّح من الروح ، واختلاف الخواصّ يؤدّي إلى اختلاف المبادي.</w:t>
      </w:r>
    </w:p>
    <w:p w:rsidR="008A74EB" w:rsidRPr="00C9040A" w:rsidRDefault="008A74EB" w:rsidP="005205EA">
      <w:pPr>
        <w:pStyle w:val="libFootnote0"/>
        <w:rPr>
          <w:rtl/>
          <w:lang w:bidi="fa-IR"/>
        </w:rPr>
      </w:pPr>
      <w:r w:rsidRPr="00323A39">
        <w:rPr>
          <w:rtl/>
        </w:rPr>
        <w:t xml:space="preserve">وهذا هو الذي يظهر من مثل قوله تعالى : </w:t>
      </w:r>
      <w:r w:rsidRPr="005205EA">
        <w:rPr>
          <w:rStyle w:val="libFootnoteAlaemChar"/>
          <w:rtl/>
        </w:rPr>
        <w:t>(</w:t>
      </w:r>
      <w:r w:rsidRPr="00883DD5">
        <w:rPr>
          <w:rStyle w:val="libFootnoteAieChar"/>
          <w:rFonts w:hint="cs"/>
          <w:rtl/>
        </w:rPr>
        <w:t xml:space="preserve"> </w:t>
      </w:r>
      <w:r w:rsidRPr="00883DD5">
        <w:rPr>
          <w:rStyle w:val="libFootnoteAieChar"/>
          <w:rtl/>
        </w:rPr>
        <w:t xml:space="preserve">لا تَجِدُ قَوْماً يُؤْمِنُونَ بِاللهِ وَالْيَوْمِ الْآخِرِ يُوادُّونَ مَنْ حَادَّ اللهَ وَرَسُولَهُ وَلَوْ كانُوا </w:t>
      </w:r>
      <w:r w:rsidR="005205EA">
        <w:rPr>
          <w:rStyle w:val="libFootnoteAieChar"/>
          <w:rFonts w:hint="cs"/>
          <w:rtl/>
        </w:rPr>
        <w:t>ءَا</w:t>
      </w:r>
      <w:r w:rsidRPr="00883DD5">
        <w:rPr>
          <w:rStyle w:val="libFootnoteAieChar"/>
          <w:rtl/>
        </w:rPr>
        <w:t>ب</w:t>
      </w:r>
      <w:r w:rsidR="005205EA">
        <w:rPr>
          <w:rStyle w:val="libFootnoteAieChar"/>
          <w:rFonts w:hint="cs"/>
          <w:rtl/>
        </w:rPr>
        <w:t>َآ</w:t>
      </w:r>
      <w:r w:rsidRPr="00883DD5">
        <w:rPr>
          <w:rStyle w:val="libFootnoteAieChar"/>
          <w:rtl/>
        </w:rPr>
        <w:t>ءَهُمْ أَوْ أَبْناءَهُمْ أَوْ إِخْوانَهُمْ أَوْ عَشِيرَتَهُمْ أُول</w:t>
      </w:r>
      <w:r w:rsidR="005205EA">
        <w:rPr>
          <w:rStyle w:val="libFootnoteAieChar"/>
          <w:rFonts w:hint="cs"/>
          <w:rtl/>
        </w:rPr>
        <w:t>َ</w:t>
      </w:r>
      <w:r w:rsidRPr="00883DD5">
        <w:rPr>
          <w:rStyle w:val="libFootnoteAieChar"/>
          <w:rtl/>
        </w:rPr>
        <w:t>ئِكَ كَتَبَ فِي قُلُوبِهِمُ الْإِيم</w:t>
      </w:r>
      <w:r w:rsidR="005205EA">
        <w:rPr>
          <w:rStyle w:val="libFootnoteAieChar"/>
          <w:rFonts w:hint="cs"/>
          <w:rtl/>
        </w:rPr>
        <w:t>َ</w:t>
      </w:r>
      <w:r w:rsidRPr="00883DD5">
        <w:rPr>
          <w:rStyle w:val="libFootnoteAieChar"/>
          <w:rtl/>
        </w:rPr>
        <w:t>انَ وَأَيَّدَهُمْ بِرُوحٍ مِنْهُ</w:t>
      </w:r>
      <w:r w:rsidRPr="00883DD5">
        <w:rPr>
          <w:rStyle w:val="libFootnoteAieChar"/>
          <w:rFonts w:hint="cs"/>
          <w:rtl/>
        </w:rPr>
        <w:t xml:space="preserve"> </w:t>
      </w:r>
      <w:r w:rsidRPr="005205EA">
        <w:rPr>
          <w:rStyle w:val="libFootnoteAlaemChar"/>
          <w:rtl/>
        </w:rPr>
        <w:t>)</w:t>
      </w:r>
      <w:r w:rsidRPr="00323A39">
        <w:rPr>
          <w:rtl/>
        </w:rPr>
        <w:t xml:space="preserve"> الآية [ المجادله (58) : 22 ] هو الذي تدلّ عليه هذه الرواية.</w:t>
      </w:r>
    </w:p>
    <w:p w:rsidR="008A74EB" w:rsidRPr="00C9040A" w:rsidRDefault="008A74EB" w:rsidP="004A4E41">
      <w:pPr>
        <w:pStyle w:val="libFootnote0"/>
        <w:rPr>
          <w:rtl/>
          <w:lang w:bidi="fa-IR"/>
        </w:rPr>
      </w:pPr>
      <w:r w:rsidRPr="00323A39">
        <w:rPr>
          <w:rtl/>
        </w:rPr>
        <w:t xml:space="preserve">وليست هذه الروح من الملائكة ؛ فإنّ الله أينما ذكر الروح عدَّه غير الملائكة كقوله : </w:t>
      </w:r>
      <w:r w:rsidRPr="005205EA">
        <w:rPr>
          <w:rStyle w:val="libFootnoteAlaemChar"/>
          <w:rtl/>
        </w:rPr>
        <w:t>(</w:t>
      </w:r>
      <w:r w:rsidRPr="00883DD5">
        <w:rPr>
          <w:rStyle w:val="libFootnoteAieChar"/>
          <w:rFonts w:hint="cs"/>
          <w:rtl/>
        </w:rPr>
        <w:t xml:space="preserve"> </w:t>
      </w:r>
      <w:r w:rsidRPr="00883DD5">
        <w:rPr>
          <w:rStyle w:val="libFootnoteAieChar"/>
          <w:rtl/>
        </w:rPr>
        <w:t>يُنَزِّلُ الْمَلائِكَةَ بِالرُّوحِ مِنْ أَمْرِهِ</w:t>
      </w:r>
      <w:r w:rsidRPr="005205EA">
        <w:rPr>
          <w:rStyle w:val="libFootnoteAlaemChar"/>
          <w:rtl/>
        </w:rPr>
        <w:t>)</w:t>
      </w:r>
      <w:r w:rsidRPr="00323A39">
        <w:rPr>
          <w:rtl/>
        </w:rPr>
        <w:t xml:space="preserve"> الآية [ النحل (16) : 2 ] وقوله : </w:t>
      </w:r>
      <w:r w:rsidRPr="005205EA">
        <w:rPr>
          <w:rStyle w:val="libFootnoteAlaemChar"/>
          <w:rtl/>
        </w:rPr>
        <w:t>(</w:t>
      </w:r>
      <w:r w:rsidRPr="00883DD5">
        <w:rPr>
          <w:rStyle w:val="libFootnoteAieChar"/>
          <w:rFonts w:hint="cs"/>
          <w:rtl/>
        </w:rPr>
        <w:t xml:space="preserve"> </w:t>
      </w:r>
      <w:r w:rsidRPr="00883DD5">
        <w:rPr>
          <w:rStyle w:val="libFootnoteAieChar"/>
          <w:rtl/>
        </w:rPr>
        <w:t>يَوْمَ يَقُومُ الرُّوحُ وَالْمَلائِكَةُ صَفًّا</w:t>
      </w:r>
      <w:r w:rsidRPr="00883DD5">
        <w:rPr>
          <w:rStyle w:val="libFootnoteAieChar"/>
          <w:rFonts w:hint="cs"/>
          <w:rtl/>
        </w:rPr>
        <w:t xml:space="preserve"> </w:t>
      </w:r>
      <w:r w:rsidRPr="005205EA">
        <w:rPr>
          <w:rStyle w:val="libFootnoteAlaemChar"/>
          <w:rtl/>
        </w:rPr>
        <w:t>)</w:t>
      </w:r>
      <w:r w:rsidRPr="00323A39">
        <w:rPr>
          <w:rtl/>
        </w:rPr>
        <w:t xml:space="preserve"> الآية [ النبأ (78) : 38 ] وقوله : </w:t>
      </w:r>
      <w:r w:rsidRPr="005205EA">
        <w:rPr>
          <w:rStyle w:val="libFootnoteAlaemChar"/>
          <w:rtl/>
        </w:rPr>
        <w:t>(</w:t>
      </w:r>
      <w:r w:rsidRPr="00883DD5">
        <w:rPr>
          <w:rStyle w:val="libFootnoteAieChar"/>
          <w:rFonts w:hint="cs"/>
          <w:rtl/>
        </w:rPr>
        <w:t xml:space="preserve"> </w:t>
      </w:r>
      <w:r w:rsidRPr="00883DD5">
        <w:rPr>
          <w:rStyle w:val="libFootnoteAieChar"/>
          <w:rtl/>
        </w:rPr>
        <w:t>تَنَزَّلُ الْمَلائِكَةُ وَالرُّوحُ فِيها</w:t>
      </w:r>
      <w:r w:rsidRPr="00883DD5">
        <w:rPr>
          <w:rStyle w:val="libFootnoteAieChar"/>
          <w:rFonts w:hint="cs"/>
          <w:rtl/>
        </w:rPr>
        <w:t xml:space="preserve"> </w:t>
      </w:r>
      <w:r w:rsidRPr="005205EA">
        <w:rPr>
          <w:rStyle w:val="libFootnoteAlaemChar"/>
          <w:rtl/>
        </w:rPr>
        <w:t>)</w:t>
      </w:r>
      <w:r w:rsidRPr="00323A39">
        <w:rPr>
          <w:rtl/>
        </w:rPr>
        <w:t xml:space="preserve"> الآية [ القدر (97) : 4 ] إلى غير ذلك ، فهذه الروح غير الملائكة الداعية إلى الخير ، كما أنّها غير الروح المشترك بين المؤمن والكافر على ما عرفت ، نعم يمكن أن يقال : إنّ هذه الروح ليست مغايرة للروح الإنساني بالعدد ، بل إنّما هي مغايرة لها بحسب المرتبة ، كما وقع نظيره في الرواية ؛ حيث عدَّ روح الحركة مغايرة لروح الشهوة ، مع أنّ المغايرة بينهما إنّما هي بحسب المرتبة دون العدد.</w:t>
      </w:r>
      <w:r w:rsidR="005205EA">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Heading2Center"/>
        <w:rPr>
          <w:rtl/>
          <w:lang w:bidi="fa-IR"/>
        </w:rPr>
      </w:pPr>
      <w:bookmarkStart w:id="343" w:name="_Toc343795702"/>
      <w:bookmarkStart w:id="344" w:name="_Toc459810826"/>
      <w:bookmarkStart w:id="345" w:name="_Toc35348732"/>
      <w:r w:rsidRPr="00C9040A">
        <w:rPr>
          <w:rtl/>
          <w:lang w:bidi="fa-IR"/>
        </w:rPr>
        <w:t>111</w:t>
      </w:r>
      <w:r>
        <w:rPr>
          <w:rtl/>
          <w:lang w:bidi="fa-IR"/>
        </w:rPr>
        <w:t xml:space="preserve"> </w:t>
      </w:r>
      <w:r w:rsidR="0084262C">
        <w:rPr>
          <w:rtl/>
          <w:lang w:bidi="fa-IR"/>
        </w:rPr>
        <w:t>-</w:t>
      </w:r>
      <w:r>
        <w:rPr>
          <w:rtl/>
          <w:lang w:bidi="fa-IR"/>
        </w:rPr>
        <w:t xml:space="preserve"> </w:t>
      </w:r>
      <w:r w:rsidRPr="00C9040A">
        <w:rPr>
          <w:rtl/>
          <w:lang w:bidi="fa-IR"/>
        </w:rPr>
        <w:t>بَابُ الذُّنُوبِ‌</w:t>
      </w:r>
      <w:bookmarkEnd w:id="343"/>
      <w:bookmarkEnd w:id="344"/>
      <w:bookmarkEnd w:id="345"/>
    </w:p>
    <w:p w:rsidR="008A74EB" w:rsidRPr="00C9040A" w:rsidRDefault="008A74EB" w:rsidP="008A74EB">
      <w:pPr>
        <w:pStyle w:val="libNormal"/>
        <w:rPr>
          <w:rtl/>
          <w:lang w:bidi="fa-IR"/>
        </w:rPr>
      </w:pPr>
      <w:r w:rsidRPr="00134198">
        <w:rPr>
          <w:rtl/>
        </w:rPr>
        <w:t>2411</w:t>
      </w:r>
      <w:r w:rsidRPr="00261CB0">
        <w:rPr>
          <w:rStyle w:val="libBold2Char"/>
          <w:rtl/>
        </w:rPr>
        <w:t xml:space="preserve"> / 1.</w:t>
      </w:r>
      <w:r w:rsidRPr="00C9040A">
        <w:rPr>
          <w:rtl/>
          <w:lang w:bidi="fa-IR"/>
        </w:rPr>
        <w:t xml:space="preserve"> مُحَمَّدُ بْنُ يَحْيى ، عَنْ أَحْمَدَ بْنِ مُحَمَّدِ بْنِ عِيسى ، عَنْ مُحَمَّدِ بْنِ سِنَانٍ ، عَنْ طَلْحَةَ بْنِ زَيْدٍ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كَانَ أَبِي </w:t>
      </w:r>
      <w:r w:rsidRPr="0003660B">
        <w:rPr>
          <w:rStyle w:val="libAlaemChar"/>
          <w:rtl/>
        </w:rPr>
        <w:t>عليه‌السلام</w:t>
      </w:r>
      <w:r w:rsidRPr="00C9040A">
        <w:rPr>
          <w:rtl/>
          <w:lang w:bidi="fa-IR"/>
        </w:rPr>
        <w:t xml:space="preserve"> </w:t>
      </w:r>
      <w:r w:rsidR="006C577F" w:rsidRPr="006C577F">
        <w:rPr>
          <w:rStyle w:val="libFootnotenumChar"/>
          <w:rtl/>
        </w:rPr>
        <w:t>(1)</w:t>
      </w:r>
      <w:r w:rsidRPr="00C9040A">
        <w:rPr>
          <w:rtl/>
          <w:lang w:bidi="fa-IR"/>
        </w:rPr>
        <w:t xml:space="preserve"> يَقُولُ : مَا مِنْ شَيْ‌ءٍ أَفْسَدَ لِلْقَلْبِ مِنْ خَطِيئَةٍ </w:t>
      </w:r>
      <w:r w:rsidR="006C577F" w:rsidRPr="006C577F">
        <w:rPr>
          <w:rStyle w:val="libFootnotenumChar"/>
          <w:rtl/>
        </w:rPr>
        <w:t>(2)</w:t>
      </w:r>
      <w:r w:rsidRPr="00C9040A">
        <w:rPr>
          <w:rtl/>
          <w:lang w:bidi="fa-IR"/>
        </w:rPr>
        <w:t xml:space="preserve"> ؛ إِنَّ الْقَلْبَ لَيُوَاقِعُ الْخَطِيئَةَ ، فَمَا تَزَالُ </w:t>
      </w:r>
      <w:r w:rsidR="006C577F" w:rsidRPr="006C577F">
        <w:rPr>
          <w:rStyle w:val="libFootnotenumChar"/>
          <w:rtl/>
        </w:rPr>
        <w:t>(3)</w:t>
      </w:r>
      <w:r w:rsidRPr="00C9040A">
        <w:rPr>
          <w:rtl/>
          <w:lang w:bidi="fa-IR"/>
        </w:rPr>
        <w:t xml:space="preserve"> بِهِ حَتّى تَغْلِبَ عَلَيْهِ ، فَيُصَيَّرَ </w:t>
      </w:r>
      <w:r w:rsidR="006C577F" w:rsidRPr="006C577F">
        <w:rPr>
          <w:rStyle w:val="libFootnotenumChar"/>
          <w:rtl/>
        </w:rPr>
        <w:t>(4)</w:t>
      </w:r>
      <w:r w:rsidR="00C822D0">
        <w:rPr>
          <w:rtl/>
          <w:lang w:bidi="fa-IR"/>
        </w:rPr>
        <w:t xml:space="preserve"> أَعْلَاهُ أَسْفَلَهُ</w:t>
      </w:r>
      <w:r w:rsidRPr="00C9040A">
        <w:rPr>
          <w:rtl/>
          <w:lang w:bidi="fa-IR"/>
        </w:rPr>
        <w:t>»</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134198">
        <w:rPr>
          <w:rtl/>
        </w:rPr>
        <w:t>2412</w:t>
      </w:r>
      <w:r w:rsidRPr="00261CB0">
        <w:rPr>
          <w:rStyle w:val="libBold2Char"/>
          <w:rtl/>
        </w:rPr>
        <w:t xml:space="preserve"> / 2.</w:t>
      </w:r>
      <w:r w:rsidRPr="00C9040A">
        <w:rPr>
          <w:rtl/>
          <w:lang w:bidi="fa-IR"/>
        </w:rPr>
        <w:t xml:space="preserve"> عِدَّةٌ مِنْ أَصْحَابِنَا ، عَنْ أَحْمَدَ بْنِ مُحَمَّدِ بْنِ خَالِدٍ ، عَنْ عُثْمَانَ بْنِ عِيسى ، عَنْ عَبْدِ اللهِ بْنِ مُسْكَانَ ، عَمَّنْ ذَكَرَهُ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فِي قَوْلِ اللهِ عَزَّ وَجَلَّ : </w:t>
      </w:r>
      <w:r w:rsidRPr="0003660B">
        <w:rPr>
          <w:rStyle w:val="libAlaemChar"/>
          <w:rtl/>
        </w:rPr>
        <w:t>(</w:t>
      </w:r>
      <w:r w:rsidRPr="006A2246">
        <w:rPr>
          <w:rStyle w:val="libAieChar"/>
          <w:rtl/>
        </w:rPr>
        <w:t xml:space="preserve"> فَما أَصْبَرَهُمْ عَلَى النّارِ </w:t>
      </w:r>
      <w:r w:rsidRPr="0003660B">
        <w:rPr>
          <w:rStyle w:val="libAlaemChar"/>
          <w:rtl/>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 xml:space="preserve">فَقَالَ </w:t>
      </w:r>
      <w:r w:rsidR="006C577F" w:rsidRPr="006C577F">
        <w:rPr>
          <w:rStyle w:val="libFootnotenumChar"/>
          <w:rtl/>
        </w:rPr>
        <w:t>(7)</w:t>
      </w:r>
      <w:r w:rsidRPr="00C9040A">
        <w:rPr>
          <w:rtl/>
          <w:lang w:bidi="fa-IR"/>
        </w:rPr>
        <w:t xml:space="preserve"> :</w:t>
      </w:r>
      <w:r>
        <w:rPr>
          <w:rFonts w:hint="cs"/>
          <w:rtl/>
          <w:lang w:bidi="fa-IR"/>
        </w:rPr>
        <w:t xml:space="preserve"> </w:t>
      </w:r>
      <w:r w:rsidRPr="00C9040A">
        <w:rPr>
          <w:rtl/>
          <w:lang w:bidi="fa-IR"/>
        </w:rPr>
        <w:t xml:space="preserve">« مَا أَصْبَرَهُمْ عَلى فِعْلِ </w:t>
      </w:r>
      <w:r w:rsidR="006C577F" w:rsidRPr="006C577F">
        <w:rPr>
          <w:rStyle w:val="libFootnotenumChar"/>
          <w:rtl/>
        </w:rPr>
        <w:t>(8)</w:t>
      </w:r>
      <w:r w:rsidRPr="00C9040A">
        <w:rPr>
          <w:rtl/>
          <w:lang w:bidi="fa-IR"/>
        </w:rPr>
        <w:t xml:space="preserve"> مَا يَعْلَمُونَ </w:t>
      </w:r>
      <w:r w:rsidR="006C577F" w:rsidRPr="006C577F">
        <w:rPr>
          <w:rStyle w:val="libFootnotenumChar"/>
          <w:rtl/>
        </w:rPr>
        <w:t>(9)</w:t>
      </w:r>
      <w:r w:rsidRPr="00C9040A">
        <w:rPr>
          <w:rtl/>
          <w:lang w:bidi="fa-IR"/>
        </w:rPr>
        <w:t xml:space="preserve"> أَنَّهُ يُصَيِّرُهُمْ‌</w:t>
      </w:r>
      <w:r w:rsidR="002225BE">
        <w:rPr>
          <w:rFonts w:hint="cs"/>
          <w:rtl/>
          <w:lang w:bidi="fa-IR"/>
        </w:rPr>
        <w:t>...................................</w:t>
      </w:r>
      <w:r w:rsidR="002225BE">
        <w:rPr>
          <w:rFonts w:hint="cs"/>
          <w:rtl/>
          <w:lang w:bidi="fa-IR"/>
        </w:rPr>
        <w:tab/>
      </w:r>
    </w:p>
    <w:p w:rsidR="008A74EB" w:rsidRPr="00C9040A" w:rsidRDefault="008A74EB" w:rsidP="008A74EB">
      <w:pPr>
        <w:pStyle w:val="libLine"/>
        <w:rPr>
          <w:rtl/>
          <w:lang w:bidi="fa-IR"/>
        </w:rPr>
      </w:pPr>
      <w:r w:rsidRPr="00C9040A">
        <w:rPr>
          <w:rtl/>
          <w:lang w:bidi="fa-IR"/>
        </w:rPr>
        <w:t>__________________</w:t>
      </w:r>
    </w:p>
    <w:p w:rsidR="008A74EB" w:rsidRPr="00C9040A" w:rsidRDefault="002225BE" w:rsidP="004A4E41">
      <w:pPr>
        <w:pStyle w:val="libFootnote0"/>
        <w:rPr>
          <w:rtl/>
          <w:lang w:bidi="fa-IR"/>
        </w:rPr>
      </w:pPr>
      <w:r>
        <w:rPr>
          <w:rFonts w:hint="cs"/>
          <w:rtl/>
        </w:rPr>
        <w:t xml:space="preserve">= </w:t>
      </w:r>
      <w:r w:rsidR="008A74EB" w:rsidRPr="0082575F">
        <w:rPr>
          <w:rtl/>
        </w:rPr>
        <w:t>وقوله : « تهتزّ سروراً » ، كناية عن تمكّنها في الإنسان وا</w:t>
      </w:r>
      <w:r>
        <w:rPr>
          <w:rFonts w:hint="cs"/>
          <w:rtl/>
        </w:rPr>
        <w:t>ُ</w:t>
      </w:r>
      <w:r w:rsidR="008A74EB" w:rsidRPr="0082575F">
        <w:rPr>
          <w:rtl/>
        </w:rPr>
        <w:t>لفتها له وا</w:t>
      </w:r>
      <w:r>
        <w:rPr>
          <w:rFonts w:hint="cs"/>
          <w:rtl/>
        </w:rPr>
        <w:t>ُ</w:t>
      </w:r>
      <w:r w:rsidR="008A74EB" w:rsidRPr="0082575F">
        <w:rPr>
          <w:rtl/>
        </w:rPr>
        <w:t>نسها به ، وقوله : « تسيخ في الثرى » كناية عن انفعالها وسقوطها عن الإنسان بعوده إلى ما كان عليه من الحال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الوافي</w:t>
      </w:r>
      <w:r w:rsidR="008A74EB" w:rsidRPr="00C9040A">
        <w:rPr>
          <w:rtl/>
        </w:rPr>
        <w:t xml:space="preserve"> ، ج 5 ، ص 1013 ، ح 3500 ؛ </w:t>
      </w:r>
      <w:r w:rsidR="008A74EB" w:rsidRPr="00993B55">
        <w:rPr>
          <w:rStyle w:val="libFootnoteBoldChar"/>
          <w:rtl/>
        </w:rPr>
        <w:t>الوسائل</w:t>
      </w:r>
      <w:r w:rsidR="008A74EB" w:rsidRPr="00C9040A">
        <w:rPr>
          <w:rtl/>
        </w:rPr>
        <w:t xml:space="preserve"> ، ج 15 ، ص 296 ، ح 20559 ؛ </w:t>
      </w:r>
      <w:r w:rsidR="008A74EB" w:rsidRPr="00993B55">
        <w:rPr>
          <w:rStyle w:val="libFootnoteBoldChar"/>
          <w:rtl/>
        </w:rPr>
        <w:t>البحار</w:t>
      </w:r>
      <w:r w:rsidR="008A74EB" w:rsidRPr="00C9040A">
        <w:rPr>
          <w:rtl/>
        </w:rPr>
        <w:t xml:space="preserve"> ، ج 69 ، ص 194 ، ح 10.</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w:t>
      </w:r>
      <w:r w:rsidR="006D3162">
        <w:rPr>
          <w:rtl/>
        </w:rPr>
        <w:t xml:space="preserve">ه </w:t>
      </w:r>
      <w:r w:rsidR="008A74EB" w:rsidRPr="00C9040A">
        <w:rPr>
          <w:rtl/>
        </w:rPr>
        <w:t xml:space="preserve">» </w:t>
      </w:r>
      <w:r w:rsidR="008A74EB">
        <w:rPr>
          <w:rtl/>
        </w:rPr>
        <w:t xml:space="preserve">: </w:t>
      </w:r>
      <w:r w:rsidR="0084262C">
        <w:rPr>
          <w:rtl/>
        </w:rPr>
        <w:t>-</w:t>
      </w:r>
      <w:r w:rsidR="008A74EB" w:rsidRPr="00C9040A">
        <w:rPr>
          <w:rtl/>
        </w:rPr>
        <w:t xml:space="preserve"> « قال كان أبي </w:t>
      </w:r>
      <w:r w:rsidR="00117575" w:rsidRPr="00117575">
        <w:rPr>
          <w:rStyle w:val="libFootnoteAlaemChar"/>
          <w:rtl/>
        </w:rPr>
        <w:t>عليه‌السلام</w:t>
      </w:r>
      <w:r w:rsidR="008A74EB" w:rsidRPr="00C9040A">
        <w:rPr>
          <w:rtl/>
        </w:rPr>
        <w:t xml:space="preserve">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البحار : « خطيئته »</w:t>
      </w:r>
      <w:r w:rsidR="008A74EB">
        <w:rPr>
          <w:rtl/>
        </w:rPr>
        <w:t>.</w:t>
      </w:r>
      <w:r w:rsidR="008A74EB" w:rsidRPr="00C9040A">
        <w:rPr>
          <w:rtl/>
        </w:rPr>
        <w:t xml:space="preserve"> وفي </w:t>
      </w:r>
      <w:r w:rsidR="008A74EB" w:rsidRPr="0034021D">
        <w:rPr>
          <w:rStyle w:val="libFootnoteBoldChar"/>
          <w:rtl/>
        </w:rPr>
        <w:t>الأمالي للصدوق</w:t>
      </w:r>
      <w:r w:rsidR="008A74EB" w:rsidRPr="00C9040A">
        <w:rPr>
          <w:rtl/>
        </w:rPr>
        <w:t xml:space="preserve"> </w:t>
      </w:r>
      <w:r w:rsidR="008A74EB" w:rsidRPr="00AC2E2F">
        <w:rPr>
          <w:rStyle w:val="libFootnoteBoldChar"/>
          <w:rtl/>
        </w:rPr>
        <w:t>والأمالي للطوسي</w:t>
      </w:r>
      <w:r w:rsidR="008A74EB" w:rsidRPr="00C9040A">
        <w:rPr>
          <w:rtl/>
        </w:rPr>
        <w:t xml:space="preserve"> : « الخطيئة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البحار : « فلا تزال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ب ، ج ، ص ، ف ، </w:t>
      </w:r>
      <w:r w:rsidR="006D3162">
        <w:rPr>
          <w:rtl/>
        </w:rPr>
        <w:t xml:space="preserve">ه </w:t>
      </w:r>
      <w:r w:rsidR="008A74EB" w:rsidRPr="00C9040A">
        <w:rPr>
          <w:rtl/>
        </w:rPr>
        <w:t>» ومرآة العقول : « فيصير »</w:t>
      </w:r>
      <w:r w:rsidR="008A74EB">
        <w:rPr>
          <w:rtl/>
        </w:rPr>
        <w:t>.</w:t>
      </w:r>
      <w:r w:rsidR="008A74EB" w:rsidRPr="00C9040A">
        <w:rPr>
          <w:rtl/>
        </w:rPr>
        <w:t xml:space="preserve"> وفي « ز ، بر ، بف » والوافي : « فتصيّر »</w:t>
      </w:r>
      <w:r w:rsidR="008A74EB">
        <w:rPr>
          <w:rtl/>
        </w:rPr>
        <w:t>.</w:t>
      </w:r>
      <w:r w:rsidR="008A74EB" w:rsidRPr="00C9040A">
        <w:rPr>
          <w:rtl/>
        </w:rPr>
        <w:t xml:space="preserve"> وهذا هو مقتضى السياق. وفي </w:t>
      </w:r>
      <w:r w:rsidR="008A74EB" w:rsidRPr="0034021D">
        <w:rPr>
          <w:rStyle w:val="libFootnoteBoldChar"/>
          <w:rtl/>
        </w:rPr>
        <w:t>الأمالي للصدوق</w:t>
      </w:r>
      <w:r w:rsidR="008A74EB" w:rsidRPr="00C9040A">
        <w:rPr>
          <w:rtl/>
        </w:rPr>
        <w:t xml:space="preserve"> والطوسي : + « أسفله أعلاه </w:t>
      </w:r>
      <w:r w:rsidR="008A74EB">
        <w:rPr>
          <w:rtl/>
        </w:rPr>
        <w:t>و ».</w:t>
      </w:r>
      <w:r w:rsidR="008A74EB" w:rsidRPr="00C9040A">
        <w:rPr>
          <w:rtl/>
        </w:rPr>
        <w:t xml:space="preserve"> وفي </w:t>
      </w:r>
      <w:r w:rsidR="008A74EB" w:rsidRPr="00993B55">
        <w:rPr>
          <w:rStyle w:val="libFootnoteBoldChar"/>
          <w:rtl/>
        </w:rPr>
        <w:t>الوافي</w:t>
      </w:r>
      <w:r w:rsidR="008A74EB" w:rsidRPr="00C9040A">
        <w:rPr>
          <w:rtl/>
        </w:rPr>
        <w:t xml:space="preserve"> : « يعني فما تزال تفعل تلك الخطيئة بالقلب وتؤثّر فيه بحلاوتها حتّى تجعل وجهه الذي إلى جانب الحقّ والآخرة إلى جانب الباطل والدنيا »</w:t>
      </w:r>
      <w:r w:rsidR="008A74EB">
        <w:rPr>
          <w:rtl/>
        </w:rPr>
        <w:t>.</w:t>
      </w:r>
    </w:p>
    <w:p w:rsidR="008A74EB" w:rsidRPr="00C9040A" w:rsidRDefault="006C577F" w:rsidP="002225BE">
      <w:pPr>
        <w:pStyle w:val="libFootnote0"/>
        <w:rPr>
          <w:rtl/>
          <w:lang w:bidi="fa-IR"/>
        </w:rPr>
      </w:pPr>
      <w:r>
        <w:rPr>
          <w:rtl/>
        </w:rPr>
        <w:t>(5).</w:t>
      </w:r>
      <w:r w:rsidR="008A74EB" w:rsidRPr="00C9040A">
        <w:rPr>
          <w:rtl/>
        </w:rPr>
        <w:t xml:space="preserve"> </w:t>
      </w:r>
      <w:r w:rsidR="008A74EB" w:rsidRPr="0034021D">
        <w:rPr>
          <w:rStyle w:val="libFootnoteBoldChar"/>
          <w:rtl/>
        </w:rPr>
        <w:t>الأمالي للصدوق</w:t>
      </w:r>
      <w:r w:rsidR="008A74EB" w:rsidRPr="00C9040A">
        <w:rPr>
          <w:rtl/>
        </w:rPr>
        <w:t xml:space="preserve"> ، ص 397 ، المجلس 62 ، ح 9 ؛ </w:t>
      </w:r>
      <w:r w:rsidR="008A74EB" w:rsidRPr="00AC2E2F">
        <w:rPr>
          <w:rStyle w:val="libFootnoteBoldChar"/>
          <w:rtl/>
        </w:rPr>
        <w:t>والأمالي للطوسي</w:t>
      </w:r>
      <w:r w:rsidR="008A74EB" w:rsidRPr="00C9040A">
        <w:rPr>
          <w:rtl/>
        </w:rPr>
        <w:t xml:space="preserve"> ، ص 438 ، المجلس 15 ، ح 36 ، بسندهما عن محمّد بن سنان </w:t>
      </w:r>
      <w:r w:rsidR="002225BE">
        <w:rPr>
          <w:rFonts w:hint="cs"/>
          <w:rtl/>
        </w:rPr>
        <w:t>.</w:t>
      </w:r>
      <w:r w:rsidR="008A74EB" w:rsidRPr="00993B55">
        <w:rPr>
          <w:rStyle w:val="libFootnoteBoldChar"/>
          <w:rtl/>
        </w:rPr>
        <w:t>الوافي</w:t>
      </w:r>
      <w:r w:rsidR="008A74EB" w:rsidRPr="00C9040A">
        <w:rPr>
          <w:rtl/>
        </w:rPr>
        <w:t xml:space="preserve"> ، ج 5 ، ص 999 ، ح 3461 ؛ </w:t>
      </w:r>
      <w:r w:rsidR="008A74EB" w:rsidRPr="00993B55">
        <w:rPr>
          <w:rStyle w:val="libFootnoteBoldChar"/>
          <w:rtl/>
        </w:rPr>
        <w:t>الوسائل</w:t>
      </w:r>
      <w:r w:rsidR="008A74EB" w:rsidRPr="00C9040A">
        <w:rPr>
          <w:rtl/>
        </w:rPr>
        <w:t xml:space="preserve"> ، ج 15 ، ص 301 ، ح 20572 ؛ </w:t>
      </w:r>
      <w:r w:rsidR="008A74EB" w:rsidRPr="00993B55">
        <w:rPr>
          <w:rStyle w:val="libFootnoteBoldChar"/>
          <w:rtl/>
        </w:rPr>
        <w:t>البحار</w:t>
      </w:r>
      <w:r w:rsidR="008A74EB" w:rsidRPr="00C9040A">
        <w:rPr>
          <w:rtl/>
        </w:rPr>
        <w:t xml:space="preserve"> ، ج 73 ، ص 312 ، ح 1.</w:t>
      </w:r>
      <w:r w:rsidR="002225BE">
        <w:rPr>
          <w:rFonts w:hint="cs"/>
          <w:rtl/>
        </w:rPr>
        <w:t xml:space="preserve">                 </w:t>
      </w:r>
      <w:r w:rsidR="00C822D0">
        <w:rPr>
          <w:rFonts w:hint="cs"/>
          <w:rtl/>
        </w:rPr>
        <w:t xml:space="preserve">  </w:t>
      </w:r>
      <w:r w:rsidR="002225BE">
        <w:rPr>
          <w:rFonts w:hint="cs"/>
          <w:rtl/>
        </w:rPr>
        <w:t xml:space="preserve">  </w:t>
      </w:r>
      <w:r>
        <w:rPr>
          <w:rtl/>
        </w:rPr>
        <w:t>(6).</w:t>
      </w:r>
      <w:r w:rsidR="008A74EB">
        <w:rPr>
          <w:rtl/>
        </w:rPr>
        <w:t xml:space="preserve"> </w:t>
      </w:r>
      <w:r w:rsidR="008A74EB" w:rsidRPr="00C9040A">
        <w:rPr>
          <w:rtl/>
        </w:rPr>
        <w:t xml:space="preserve">البقرة </w:t>
      </w:r>
      <w:r w:rsidR="002225BE">
        <w:rPr>
          <w:rtl/>
        </w:rPr>
        <w:t>(2)</w:t>
      </w:r>
      <w:r w:rsidR="008A74EB" w:rsidRPr="00C9040A">
        <w:rPr>
          <w:rtl/>
        </w:rPr>
        <w:t xml:space="preserve"> : 175.</w:t>
      </w:r>
    </w:p>
    <w:tbl>
      <w:tblPr>
        <w:tblStyle w:val="TableGrid"/>
        <w:bidiVisual/>
        <w:tblW w:w="0" w:type="auto"/>
        <w:tblLook w:val="04A0" w:firstRow="1" w:lastRow="0" w:firstColumn="1" w:lastColumn="0" w:noHBand="0" w:noVBand="1"/>
      </w:tblPr>
      <w:tblGrid>
        <w:gridCol w:w="4006"/>
        <w:gridCol w:w="4006"/>
      </w:tblGrid>
      <w:tr w:rsidR="002225BE" w:rsidTr="002225BE">
        <w:tc>
          <w:tcPr>
            <w:tcW w:w="4006" w:type="dxa"/>
          </w:tcPr>
          <w:p w:rsidR="002225BE" w:rsidRDefault="002225BE" w:rsidP="004A4E41">
            <w:pPr>
              <w:pStyle w:val="libFootnote0"/>
              <w:rPr>
                <w:rtl/>
              </w:rPr>
            </w:pPr>
            <w:r>
              <w:rPr>
                <w:rtl/>
              </w:rPr>
              <w:t>(7).</w:t>
            </w:r>
            <w:r w:rsidRPr="00C9040A">
              <w:rPr>
                <w:rtl/>
              </w:rPr>
              <w:t xml:space="preserve"> في « </w:t>
            </w:r>
            <w:r>
              <w:rPr>
                <w:rtl/>
              </w:rPr>
              <w:t xml:space="preserve">ه </w:t>
            </w:r>
            <w:r w:rsidRPr="00C9040A">
              <w:rPr>
                <w:rtl/>
              </w:rPr>
              <w:t>» : « قال »</w:t>
            </w:r>
            <w:r>
              <w:rPr>
                <w:rtl/>
              </w:rPr>
              <w:t>.</w:t>
            </w:r>
          </w:p>
        </w:tc>
        <w:tc>
          <w:tcPr>
            <w:tcW w:w="4006" w:type="dxa"/>
          </w:tcPr>
          <w:p w:rsidR="002225BE" w:rsidRDefault="002225BE" w:rsidP="004A4E41">
            <w:pPr>
              <w:pStyle w:val="libFootnote0"/>
              <w:rPr>
                <w:rtl/>
              </w:rPr>
            </w:pPr>
            <w:r>
              <w:rPr>
                <w:rtl/>
              </w:rPr>
              <w:t>(8).</w:t>
            </w:r>
            <w:r w:rsidRPr="00C9040A">
              <w:rPr>
                <w:rtl/>
              </w:rPr>
              <w:t xml:space="preserve"> في « </w:t>
            </w:r>
            <w:r>
              <w:rPr>
                <w:rtl/>
              </w:rPr>
              <w:t xml:space="preserve">ه </w:t>
            </w:r>
            <w:r w:rsidRPr="00C9040A">
              <w:rPr>
                <w:rtl/>
              </w:rPr>
              <w:t xml:space="preserve">» </w:t>
            </w:r>
            <w:r>
              <w:rPr>
                <w:rtl/>
              </w:rPr>
              <w:t>: -</w:t>
            </w:r>
            <w:r w:rsidRPr="00C9040A">
              <w:rPr>
                <w:rtl/>
              </w:rPr>
              <w:t xml:space="preserve"> « فعل »</w:t>
            </w:r>
            <w:r>
              <w:rPr>
                <w:rtl/>
              </w:rPr>
              <w:t>.</w:t>
            </w:r>
          </w:p>
        </w:tc>
      </w:tr>
    </w:tbl>
    <w:p w:rsidR="008A74EB" w:rsidRPr="00C9040A" w:rsidRDefault="006C577F" w:rsidP="004A4E41">
      <w:pPr>
        <w:pStyle w:val="libFootnote0"/>
        <w:rPr>
          <w:rtl/>
          <w:lang w:bidi="fa-IR"/>
        </w:rPr>
      </w:pPr>
      <w:r>
        <w:rPr>
          <w:rtl/>
        </w:rPr>
        <w:t>(9).</w:t>
      </w:r>
      <w:r w:rsidR="008A74EB" w:rsidRPr="00C9040A">
        <w:rPr>
          <w:rtl/>
        </w:rPr>
        <w:t xml:space="preserve"> في « بس ، بف » وحاشية « بر » : « ما يعملون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إِلَى النَّارِ</w:t>
      </w:r>
      <w:r>
        <w:rPr>
          <w:rtl/>
          <w:lang w:bidi="fa-IR"/>
        </w:rPr>
        <w:t>!</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(1)</w:t>
      </w:r>
      <w:r w:rsidRPr="00C9040A">
        <w:rPr>
          <w:rtl/>
          <w:lang w:bidi="fa-IR"/>
        </w:rPr>
        <w:t xml:space="preserve"> ‌</w:t>
      </w:r>
    </w:p>
    <w:p w:rsidR="008A74EB" w:rsidRPr="00C9040A" w:rsidRDefault="008A74EB" w:rsidP="008A74EB">
      <w:pPr>
        <w:pStyle w:val="libNormal"/>
        <w:rPr>
          <w:rtl/>
          <w:lang w:bidi="fa-IR"/>
        </w:rPr>
      </w:pPr>
      <w:r w:rsidRPr="00134198">
        <w:rPr>
          <w:rtl/>
        </w:rPr>
        <w:t>2413</w:t>
      </w:r>
      <w:r w:rsidRPr="00261CB0">
        <w:rPr>
          <w:rStyle w:val="libBold2Char"/>
          <w:rtl/>
        </w:rPr>
        <w:t xml:space="preserve"> / 3.</w:t>
      </w:r>
      <w:r w:rsidRPr="00C9040A">
        <w:rPr>
          <w:rtl/>
          <w:lang w:bidi="fa-IR"/>
        </w:rPr>
        <w:t xml:space="preserve"> عَنْهُ </w:t>
      </w:r>
      <w:r w:rsidR="006C577F" w:rsidRPr="006C577F">
        <w:rPr>
          <w:rStyle w:val="libFootnotenumChar"/>
          <w:rtl/>
        </w:rPr>
        <w:t>(2)</w:t>
      </w:r>
      <w:r w:rsidRPr="00C9040A">
        <w:rPr>
          <w:rtl/>
          <w:lang w:bidi="fa-IR"/>
        </w:rPr>
        <w:t xml:space="preserve"> ، عَنْ أَبِيهِ ، عَنِ النَّضْرِ بْنِ سُوَيْدٍ ، عَنْ هِشَامِ بْنِ سَالِمٍ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أَمَا إِنَّهُ لَيْسَ مِنْ عِرْقٍ يَضْرِبُ ، وَلَا نَكْبَةٍ ، وَل</w:t>
      </w:r>
      <w:r w:rsidR="002225BE">
        <w:rPr>
          <w:rtl/>
          <w:lang w:bidi="fa-IR"/>
        </w:rPr>
        <w:t>َا صُدَاعٍ ، وَلَا مَرَضٍ إِل</w:t>
      </w:r>
      <w:r w:rsidR="002225BE">
        <w:rPr>
          <w:rFonts w:hint="cs"/>
          <w:rtl/>
          <w:lang w:bidi="fa-IR"/>
        </w:rPr>
        <w:t>َّ</w:t>
      </w:r>
      <w:r w:rsidR="002225BE">
        <w:rPr>
          <w:rtl/>
          <w:lang w:bidi="fa-IR"/>
        </w:rPr>
        <w:t>ا</w:t>
      </w:r>
      <w:r w:rsidRPr="00C9040A">
        <w:rPr>
          <w:rtl/>
          <w:lang w:bidi="fa-IR"/>
        </w:rPr>
        <w:t xml:space="preserve"> بِذَنْبٍ ، وَذلِكَ قَوْلُ اللهِ</w:t>
      </w:r>
      <w:r>
        <w:rPr>
          <w:rtl/>
          <w:lang w:bidi="fa-IR"/>
        </w:rPr>
        <w:t xml:space="preserve"> </w:t>
      </w:r>
      <w:r w:rsidR="0084262C">
        <w:rPr>
          <w:rtl/>
          <w:lang w:bidi="fa-IR"/>
        </w:rPr>
        <w:t>-</w:t>
      </w:r>
      <w:r>
        <w:rPr>
          <w:rtl/>
          <w:lang w:bidi="fa-IR"/>
        </w:rPr>
        <w:t xml:space="preserve"> </w:t>
      </w:r>
      <w:r w:rsidRPr="00C9040A">
        <w:rPr>
          <w:rtl/>
          <w:lang w:bidi="fa-IR"/>
        </w:rPr>
        <w:t xml:space="preserve">عَزَّ وَجَلَّ </w:t>
      </w:r>
      <w:r w:rsidR="006C577F" w:rsidRPr="006C577F">
        <w:rPr>
          <w:rStyle w:val="libFootnotenumChar"/>
          <w:rtl/>
        </w:rPr>
        <w:t>(3)</w:t>
      </w:r>
      <w:r>
        <w:rPr>
          <w:rtl/>
          <w:lang w:bidi="fa-IR"/>
        </w:rPr>
        <w:t xml:space="preserve"> </w:t>
      </w:r>
      <w:r w:rsidR="0084262C">
        <w:rPr>
          <w:rtl/>
          <w:lang w:bidi="fa-IR"/>
        </w:rPr>
        <w:t>-</w:t>
      </w:r>
      <w:r>
        <w:rPr>
          <w:rtl/>
          <w:lang w:bidi="fa-IR"/>
        </w:rPr>
        <w:t xml:space="preserve"> </w:t>
      </w:r>
      <w:r w:rsidRPr="00C9040A">
        <w:rPr>
          <w:rtl/>
          <w:lang w:bidi="fa-IR"/>
        </w:rPr>
        <w:t xml:space="preserve">فِي كِتَابِهِ </w:t>
      </w:r>
      <w:r w:rsidR="006C577F" w:rsidRPr="006C577F">
        <w:rPr>
          <w:rStyle w:val="libFootnotenumChar"/>
          <w:rtl/>
        </w:rPr>
        <w:t>(4)</w:t>
      </w:r>
      <w:r w:rsidRPr="00C9040A">
        <w:rPr>
          <w:rtl/>
          <w:lang w:bidi="fa-IR"/>
        </w:rPr>
        <w:t xml:space="preserve"> : </w:t>
      </w:r>
      <w:r w:rsidRPr="0003660B">
        <w:rPr>
          <w:rStyle w:val="libAlaemChar"/>
          <w:rtl/>
        </w:rPr>
        <w:t>(</w:t>
      </w:r>
      <w:r w:rsidRPr="006A2246">
        <w:rPr>
          <w:rStyle w:val="libAieChar"/>
          <w:rtl/>
        </w:rPr>
        <w:t xml:space="preserve"> وَما أَصابَكُمْ مِنْ مُصِيبَةٍ فَبِما كَسَبَتْ أَيْدِيكُمْ وَيَعْفُوا عَنْ كَثِيرٍ </w:t>
      </w:r>
      <w:r w:rsidRPr="0003660B">
        <w:rPr>
          <w:rStyle w:val="libAlaemChar"/>
          <w:rtl/>
        </w:rPr>
        <w:t>)</w:t>
      </w:r>
      <w:r w:rsidRPr="00C9040A">
        <w:rPr>
          <w:rtl/>
          <w:lang w:bidi="fa-IR"/>
        </w:rPr>
        <w:t xml:space="preserve"> </w:t>
      </w:r>
      <w:r w:rsidR="006C577F" w:rsidRPr="006C577F">
        <w:rPr>
          <w:rStyle w:val="libFootnotenumChar"/>
          <w:rtl/>
        </w:rPr>
        <w:t>(5)</w:t>
      </w:r>
      <w:r w:rsidRPr="00C9040A">
        <w:rPr>
          <w:rtl/>
          <w:lang w:bidi="fa-IR"/>
        </w:rPr>
        <w:t xml:space="preserve"> »</w:t>
      </w:r>
      <w:r>
        <w:rPr>
          <w:rtl/>
          <w:lang w:bidi="fa-IR"/>
        </w:rPr>
        <w:t>.</w:t>
      </w:r>
      <w:r w:rsidRPr="00C9040A">
        <w:rPr>
          <w:rtl/>
          <w:lang w:bidi="fa-IR"/>
        </w:rPr>
        <w:t xml:space="preserve"> قَالَ : ثُمَّ قَالَ </w:t>
      </w:r>
      <w:r w:rsidR="006C577F" w:rsidRPr="006C577F">
        <w:rPr>
          <w:rStyle w:val="libFootnotenumChar"/>
          <w:rtl/>
        </w:rPr>
        <w:t>(6)</w:t>
      </w:r>
      <w:r w:rsidRPr="005B567D">
        <w:rPr>
          <w:rStyle w:val="libFootnotenumChar"/>
          <w:rtl/>
        </w:rPr>
        <w:t xml:space="preserve"> </w:t>
      </w:r>
      <w:r w:rsidRPr="00C9040A">
        <w:rPr>
          <w:rtl/>
          <w:lang w:bidi="fa-IR"/>
        </w:rPr>
        <w:t>: « وَ</w:t>
      </w:r>
      <w:r>
        <w:rPr>
          <w:rFonts w:hint="cs"/>
          <w:rtl/>
          <w:lang w:bidi="fa-IR"/>
        </w:rPr>
        <w:t xml:space="preserve"> </w:t>
      </w:r>
      <w:r w:rsidR="006C577F" w:rsidRPr="006C577F">
        <w:rPr>
          <w:rStyle w:val="libFootnotenumChar"/>
          <w:rtl/>
        </w:rPr>
        <w:t>(7)</w:t>
      </w:r>
      <w:r w:rsidRPr="00C9040A">
        <w:rPr>
          <w:rtl/>
          <w:lang w:bidi="fa-IR"/>
        </w:rPr>
        <w:t xml:space="preserve"> مَا يَعْفُو اللهُ أَكْثَرُ مِمَّا يُؤَاخِذُ بِهِ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Normal"/>
        <w:rPr>
          <w:rtl/>
          <w:lang w:bidi="fa-IR"/>
        </w:rPr>
      </w:pPr>
      <w:r w:rsidRPr="00134198">
        <w:rPr>
          <w:rtl/>
        </w:rPr>
        <w:t>2414</w:t>
      </w:r>
      <w:r w:rsidRPr="00261CB0">
        <w:rPr>
          <w:rStyle w:val="libBold2Char"/>
          <w:rtl/>
        </w:rPr>
        <w:t xml:space="preserve"> / 4.</w:t>
      </w:r>
      <w:r w:rsidRPr="00C9040A">
        <w:rPr>
          <w:rtl/>
          <w:lang w:bidi="fa-IR"/>
        </w:rPr>
        <w:t xml:space="preserve"> عَلِيُّ بْنُ إِبْرَاهِيمَ ، عَنْ أَبِيهِ ، عَنْ حَمَّادٍ ، عَنْ حَرِيزٍ ، عَنِ الْفُضَيْلِ بْنِ يَسَارٍ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مَا مِنْ </w:t>
      </w:r>
      <w:r w:rsidR="006C577F" w:rsidRPr="006C577F">
        <w:rPr>
          <w:rStyle w:val="libFootnotenumChar"/>
          <w:rtl/>
        </w:rPr>
        <w:t>(9)</w:t>
      </w:r>
      <w:r w:rsidRPr="00C9040A">
        <w:rPr>
          <w:rtl/>
          <w:lang w:bidi="fa-IR"/>
        </w:rPr>
        <w:t xml:space="preserve"> نَكْبَةٍ تُصِيبُ </w:t>
      </w:r>
      <w:r w:rsidR="006C577F" w:rsidRPr="006C577F">
        <w:rPr>
          <w:rStyle w:val="libFootnotenumChar"/>
          <w:rtl/>
        </w:rPr>
        <w:t>(10)</w:t>
      </w:r>
      <w:r w:rsidR="00F41DEE">
        <w:rPr>
          <w:rtl/>
          <w:lang w:bidi="fa-IR"/>
        </w:rPr>
        <w:t xml:space="preserve"> الْعَبْدَ إِل</w:t>
      </w:r>
      <w:r w:rsidR="00F41DEE">
        <w:rPr>
          <w:rFonts w:hint="cs"/>
          <w:rtl/>
          <w:lang w:bidi="fa-IR"/>
        </w:rPr>
        <w:t>َّ</w:t>
      </w:r>
      <w:r w:rsidR="00F41DEE">
        <w:rPr>
          <w:rtl/>
          <w:lang w:bidi="fa-IR"/>
        </w:rPr>
        <w:t>ا</w:t>
      </w:r>
      <w:r w:rsidRPr="00C9040A">
        <w:rPr>
          <w:rtl/>
          <w:lang w:bidi="fa-IR"/>
        </w:rPr>
        <w:t xml:space="preserve"> بِذَنْبٍ ، وَمَا يَعْفُو اللهُ عَنْهُ </w:t>
      </w:r>
      <w:r w:rsidR="006C577F" w:rsidRPr="006C577F">
        <w:rPr>
          <w:rStyle w:val="libFootnotenumChar"/>
          <w:rtl/>
        </w:rPr>
        <w:t>(11)</w:t>
      </w:r>
      <w:r w:rsidRPr="00C9040A">
        <w:rPr>
          <w:rtl/>
          <w:lang w:bidi="fa-IR"/>
        </w:rPr>
        <w:t xml:space="preserve"> أَكْثَرُ »</w:t>
      </w:r>
      <w:r>
        <w:rPr>
          <w:rtl/>
          <w:lang w:bidi="fa-IR"/>
        </w:rPr>
        <w:t>.</w:t>
      </w:r>
      <w:r w:rsidRPr="00C9040A">
        <w:rPr>
          <w:rtl/>
          <w:lang w:bidi="fa-IR"/>
        </w:rPr>
        <w:t xml:space="preserve"> </w:t>
      </w:r>
      <w:r w:rsidR="006C577F" w:rsidRPr="006C577F">
        <w:rPr>
          <w:rStyle w:val="libFootnotenumChar"/>
          <w:rtl/>
        </w:rPr>
        <w:t>(12)</w:t>
      </w:r>
      <w:r w:rsidRPr="00C9040A">
        <w:rPr>
          <w:rtl/>
          <w:lang w:bidi="fa-IR"/>
        </w:rPr>
        <w:t xml:space="preserve"> ‌</w:t>
      </w:r>
    </w:p>
    <w:p w:rsidR="008A74EB" w:rsidRPr="00C9040A" w:rsidRDefault="008A74EB" w:rsidP="008A74EB">
      <w:pPr>
        <w:pStyle w:val="libNormal"/>
        <w:rPr>
          <w:rtl/>
          <w:lang w:bidi="fa-IR"/>
        </w:rPr>
      </w:pPr>
      <w:r w:rsidRPr="00134198">
        <w:rPr>
          <w:rtl/>
        </w:rPr>
        <w:t>2415</w:t>
      </w:r>
      <w:r w:rsidRPr="00261CB0">
        <w:rPr>
          <w:rStyle w:val="libBold2Char"/>
          <w:rtl/>
        </w:rPr>
        <w:t xml:space="preserve"> / 5.</w:t>
      </w:r>
      <w:r w:rsidRPr="00C9040A">
        <w:rPr>
          <w:rtl/>
          <w:lang w:bidi="fa-IR"/>
        </w:rPr>
        <w:t xml:space="preserve"> عَلِيٌّ </w:t>
      </w:r>
      <w:r w:rsidRPr="005B567D">
        <w:rPr>
          <w:rStyle w:val="libFootnotenumChar"/>
          <w:rtl/>
        </w:rPr>
        <w:t>(13)</w:t>
      </w:r>
      <w:r w:rsidRPr="00C9040A">
        <w:rPr>
          <w:rtl/>
          <w:lang w:bidi="fa-IR"/>
        </w:rPr>
        <w:t xml:space="preserve"> ، عَنْ أَبِيهِ ، عَنِ النَّوْفَلِيِّ ، عَنِ السَّكُونِيِّ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F41DEE">
      <w:pPr>
        <w:pStyle w:val="libFootnote0"/>
        <w:rPr>
          <w:rtl/>
          <w:lang w:bidi="fa-IR"/>
        </w:rPr>
      </w:pPr>
      <w:r>
        <w:rPr>
          <w:rtl/>
        </w:rPr>
        <w:t>(1).</w:t>
      </w:r>
      <w:r w:rsidR="008A74EB">
        <w:rPr>
          <w:rtl/>
        </w:rPr>
        <w:t xml:space="preserve"> </w:t>
      </w:r>
      <w:r w:rsidR="008A74EB" w:rsidRPr="00993B55">
        <w:rPr>
          <w:rStyle w:val="libFootnoteBoldChar"/>
          <w:rtl/>
        </w:rPr>
        <w:t>تفسير العيّاشي</w:t>
      </w:r>
      <w:r w:rsidR="008A74EB" w:rsidRPr="00C9040A">
        <w:rPr>
          <w:rtl/>
        </w:rPr>
        <w:t xml:space="preserve"> ، ج 1 ، ص 75 ، ح 175 ، عن ابن مسكان ، رفعه إلى أبي‌عبدالله </w:t>
      </w:r>
      <w:r w:rsidR="00117575" w:rsidRPr="00117575">
        <w:rPr>
          <w:rStyle w:val="libFootnoteAlaemChar"/>
          <w:rtl/>
        </w:rPr>
        <w:t xml:space="preserve">عليه‌السلام </w:t>
      </w:r>
      <w:r w:rsidR="00F41DEE">
        <w:rPr>
          <w:rFonts w:hint="cs"/>
          <w:rtl/>
        </w:rPr>
        <w:t>.</w:t>
      </w:r>
      <w:r w:rsidR="008A74EB" w:rsidRPr="00993B55">
        <w:rPr>
          <w:rStyle w:val="libFootnoteBoldChar"/>
          <w:rtl/>
        </w:rPr>
        <w:t>الوافي</w:t>
      </w:r>
      <w:r w:rsidR="008A74EB" w:rsidRPr="00C9040A">
        <w:rPr>
          <w:rtl/>
        </w:rPr>
        <w:t xml:space="preserve"> ، ج 5 ، ص 999 ، ح 3462 ؛ </w:t>
      </w:r>
      <w:r w:rsidR="008A74EB" w:rsidRPr="00993B55">
        <w:rPr>
          <w:rStyle w:val="libFootnoteBoldChar"/>
          <w:rtl/>
        </w:rPr>
        <w:t>الوسائل</w:t>
      </w:r>
      <w:r w:rsidR="008A74EB" w:rsidRPr="00C9040A">
        <w:rPr>
          <w:rtl/>
        </w:rPr>
        <w:t xml:space="preserve"> ، ج 15 ، ص 299 ، ح 20566 ؛ </w:t>
      </w:r>
      <w:r w:rsidR="008A74EB" w:rsidRPr="00993B55">
        <w:rPr>
          <w:rStyle w:val="libFootnoteBoldChar"/>
          <w:rtl/>
        </w:rPr>
        <w:t>البحار</w:t>
      </w:r>
      <w:r w:rsidR="008A74EB" w:rsidRPr="00C9040A">
        <w:rPr>
          <w:rtl/>
        </w:rPr>
        <w:t xml:space="preserve"> ، ج 73 ، ص 313 ، ح 2.</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الضمير راجع إلى أحمد بن محمّد بن خالد المذكور في السند السابق.</w:t>
      </w:r>
    </w:p>
    <w:p w:rsidR="008A74EB" w:rsidRPr="00C9040A" w:rsidRDefault="006C577F" w:rsidP="004A4E41">
      <w:pPr>
        <w:pStyle w:val="libFootnote0"/>
        <w:rPr>
          <w:rtl/>
          <w:lang w:bidi="fa-IR"/>
        </w:rPr>
      </w:pPr>
      <w:r>
        <w:rPr>
          <w:rtl/>
        </w:rPr>
        <w:t>(3).</w:t>
      </w:r>
      <w:r w:rsidR="008A74EB" w:rsidRPr="00C9040A">
        <w:rPr>
          <w:rtl/>
        </w:rPr>
        <w:t xml:space="preserve"> في « ض ، </w:t>
      </w:r>
      <w:r w:rsidR="006D3162">
        <w:rPr>
          <w:rtl/>
        </w:rPr>
        <w:t xml:space="preserve">ه </w:t>
      </w:r>
      <w:r w:rsidR="008A74EB" w:rsidRPr="00C9040A">
        <w:rPr>
          <w:rtl/>
        </w:rPr>
        <w:t>» : « قوله : جلّ وعزّ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ج » </w:t>
      </w:r>
      <w:r w:rsidR="008A74EB">
        <w:rPr>
          <w:rtl/>
        </w:rPr>
        <w:t xml:space="preserve">: </w:t>
      </w:r>
      <w:r w:rsidR="0084262C">
        <w:rPr>
          <w:rtl/>
        </w:rPr>
        <w:t>-</w:t>
      </w:r>
      <w:r w:rsidR="008A74EB" w:rsidRPr="00C9040A">
        <w:rPr>
          <w:rtl/>
        </w:rPr>
        <w:t xml:space="preserve"> « في كتابه »</w:t>
      </w:r>
      <w:r w:rsidR="008A74EB">
        <w:rPr>
          <w:rtl/>
        </w:rPr>
        <w:t>.</w:t>
      </w:r>
    </w:p>
    <w:tbl>
      <w:tblPr>
        <w:tblStyle w:val="TableGrid"/>
        <w:bidiVisual/>
        <w:tblW w:w="0" w:type="auto"/>
        <w:tblLook w:val="04A0" w:firstRow="1" w:lastRow="0" w:firstColumn="1" w:lastColumn="0" w:noHBand="0" w:noVBand="1"/>
      </w:tblPr>
      <w:tblGrid>
        <w:gridCol w:w="4006"/>
        <w:gridCol w:w="4006"/>
      </w:tblGrid>
      <w:tr w:rsidR="00D322FA" w:rsidTr="00D322FA">
        <w:tc>
          <w:tcPr>
            <w:tcW w:w="4006" w:type="dxa"/>
          </w:tcPr>
          <w:p w:rsidR="00D322FA" w:rsidRDefault="00D322FA" w:rsidP="004A4E41">
            <w:pPr>
              <w:pStyle w:val="libFootnote0"/>
              <w:rPr>
                <w:rtl/>
              </w:rPr>
            </w:pPr>
            <w:r>
              <w:rPr>
                <w:rtl/>
              </w:rPr>
              <w:t>(5).</w:t>
            </w:r>
            <w:r w:rsidRPr="00C9040A">
              <w:rPr>
                <w:rtl/>
              </w:rPr>
              <w:t xml:space="preserve"> الشورى (42) : 30.</w:t>
            </w:r>
          </w:p>
        </w:tc>
        <w:tc>
          <w:tcPr>
            <w:tcW w:w="4006" w:type="dxa"/>
          </w:tcPr>
          <w:p w:rsidR="00D322FA" w:rsidRDefault="00D322FA" w:rsidP="004A4E41">
            <w:pPr>
              <w:pStyle w:val="libFootnote0"/>
              <w:rPr>
                <w:rtl/>
              </w:rPr>
            </w:pPr>
            <w:r>
              <w:rPr>
                <w:rtl/>
              </w:rPr>
              <w:t xml:space="preserve">(6). </w:t>
            </w:r>
            <w:r w:rsidRPr="00C9040A">
              <w:rPr>
                <w:rtl/>
              </w:rPr>
              <w:t xml:space="preserve">في « ص » </w:t>
            </w:r>
            <w:r>
              <w:rPr>
                <w:rtl/>
              </w:rPr>
              <w:t>: -</w:t>
            </w:r>
            <w:r w:rsidRPr="00C9040A">
              <w:rPr>
                <w:rtl/>
              </w:rPr>
              <w:t xml:space="preserve"> « ثمّ قال »</w:t>
            </w:r>
            <w:r>
              <w:rPr>
                <w:rtl/>
              </w:rPr>
              <w:t>.</w:t>
            </w:r>
          </w:p>
        </w:tc>
      </w:tr>
    </w:tbl>
    <w:p w:rsidR="008A74EB" w:rsidRPr="00C9040A" w:rsidRDefault="006C577F" w:rsidP="004A4E41">
      <w:pPr>
        <w:pStyle w:val="libFootnote0"/>
        <w:rPr>
          <w:rtl/>
          <w:lang w:bidi="fa-IR"/>
        </w:rPr>
      </w:pPr>
      <w:r>
        <w:rPr>
          <w:rtl/>
        </w:rPr>
        <w:t>(7).</w:t>
      </w:r>
      <w:r w:rsidR="008A74EB" w:rsidRPr="00C9040A">
        <w:rPr>
          <w:rtl/>
        </w:rPr>
        <w:t xml:space="preserve"> في « </w:t>
      </w:r>
      <w:r w:rsidR="006D3162">
        <w:rPr>
          <w:rtl/>
        </w:rPr>
        <w:t xml:space="preserve">ه </w:t>
      </w:r>
      <w:r w:rsidR="008A74EB" w:rsidRPr="00C9040A">
        <w:rPr>
          <w:rtl/>
        </w:rPr>
        <w:t xml:space="preserve">» </w:t>
      </w:r>
      <w:r w:rsidR="008A74EB">
        <w:rPr>
          <w:rtl/>
        </w:rPr>
        <w:t xml:space="preserve">: </w:t>
      </w:r>
      <w:r w:rsidR="0084262C">
        <w:rPr>
          <w:rtl/>
        </w:rPr>
        <w:t>-</w:t>
      </w:r>
      <w:r w:rsidR="008A74EB" w:rsidRPr="00C9040A">
        <w:rPr>
          <w:rtl/>
        </w:rPr>
        <w:t xml:space="preserve"> « </w:t>
      </w:r>
      <w:r w:rsidR="008A74EB">
        <w:rPr>
          <w:rtl/>
        </w:rPr>
        <w:t>و ».</w:t>
      </w:r>
    </w:p>
    <w:p w:rsidR="008A74EB" w:rsidRPr="00C9040A" w:rsidRDefault="006C577F" w:rsidP="004A4E41">
      <w:pPr>
        <w:pStyle w:val="libFootnote0"/>
        <w:rPr>
          <w:rtl/>
          <w:lang w:bidi="fa-IR"/>
        </w:rPr>
      </w:pPr>
      <w:r>
        <w:rPr>
          <w:rtl/>
        </w:rPr>
        <w:t>(8).</w:t>
      </w:r>
      <w:r w:rsidR="008A74EB" w:rsidRPr="00C9040A">
        <w:rPr>
          <w:rtl/>
        </w:rPr>
        <w:t xml:space="preserve"> </w:t>
      </w:r>
      <w:r w:rsidR="008A74EB" w:rsidRPr="0034021D">
        <w:rPr>
          <w:rStyle w:val="libFootnoteBoldChar"/>
          <w:rtl/>
        </w:rPr>
        <w:t>الأمالي للمفيد</w:t>
      </w:r>
      <w:r w:rsidR="008A74EB" w:rsidRPr="00C9040A">
        <w:rPr>
          <w:rtl/>
        </w:rPr>
        <w:t xml:space="preserve"> ، ص 34 ، المجلس 5 ، ح 1 ؛ </w:t>
      </w:r>
      <w:r w:rsidR="008A74EB" w:rsidRPr="00993B55">
        <w:rPr>
          <w:rStyle w:val="libFootnoteBoldChar"/>
          <w:rtl/>
        </w:rPr>
        <w:t>الأمال</w:t>
      </w:r>
      <w:r w:rsidR="008A74EB" w:rsidRPr="00D322FA">
        <w:rPr>
          <w:rStyle w:val="libFootnoteBoldChar"/>
          <w:rtl/>
        </w:rPr>
        <w:t>ي للطوسي</w:t>
      </w:r>
      <w:r w:rsidR="008A74EB" w:rsidRPr="00C9040A">
        <w:rPr>
          <w:rtl/>
        </w:rPr>
        <w:t xml:space="preserve"> ، ص 631 ، المجلس 31 ، ح 2 ، مع زيادة في آخره ، وفيهما بسند آخر عن عليّ بن الحسين </w:t>
      </w:r>
      <w:r w:rsidR="00117575" w:rsidRPr="00117575">
        <w:rPr>
          <w:rStyle w:val="libFootnoteAlaemChar"/>
          <w:rtl/>
        </w:rPr>
        <w:t>عليه‌السلام</w:t>
      </w:r>
      <w:r w:rsidR="008A74EB" w:rsidRPr="00C9040A">
        <w:rPr>
          <w:rtl/>
        </w:rPr>
        <w:t xml:space="preserve"> ؛ </w:t>
      </w:r>
      <w:r w:rsidR="008A74EB" w:rsidRPr="00993B55">
        <w:rPr>
          <w:rStyle w:val="libFootnoteBoldChar"/>
          <w:rtl/>
        </w:rPr>
        <w:t>وفيه</w:t>
      </w:r>
      <w:r w:rsidR="008A74EB" w:rsidRPr="00C9040A">
        <w:rPr>
          <w:rtl/>
        </w:rPr>
        <w:t xml:space="preserve"> ، ص 570 ، المجلس 22 ، ح 6 ، بسند آخر عن موسى بن جعفر ، عن آبائه </w:t>
      </w:r>
      <w:r w:rsidR="00117575" w:rsidRPr="00117575">
        <w:rPr>
          <w:rStyle w:val="libFootnoteAlaemChar"/>
          <w:rtl/>
        </w:rPr>
        <w:t>عليهم‌السلام</w:t>
      </w:r>
      <w:r w:rsidR="008A74EB" w:rsidRPr="00C9040A">
        <w:rPr>
          <w:rtl/>
        </w:rPr>
        <w:t xml:space="preserve"> عن رسول الله </w:t>
      </w:r>
      <w:r w:rsidR="004A4E41" w:rsidRPr="00D322FA">
        <w:rPr>
          <w:rStyle w:val="libFootnoteAlaemChar"/>
          <w:rtl/>
        </w:rPr>
        <w:t>صلى‌الله‌عليه‌وآله</w:t>
      </w:r>
      <w:r w:rsidR="008A74EB" w:rsidRPr="00C9040A">
        <w:rPr>
          <w:rtl/>
        </w:rPr>
        <w:t xml:space="preserve"> ، وفي كلّها مع اختلاف </w:t>
      </w:r>
      <w:r w:rsidR="00D322FA">
        <w:rPr>
          <w:rFonts w:hint="cs"/>
          <w:rtl/>
        </w:rPr>
        <w:t>.</w:t>
      </w:r>
      <w:r w:rsidR="008A74EB" w:rsidRPr="00993B55">
        <w:rPr>
          <w:rStyle w:val="libFootnoteBoldChar"/>
          <w:rtl/>
        </w:rPr>
        <w:t>الوافي</w:t>
      </w:r>
      <w:r w:rsidR="008A74EB" w:rsidRPr="00C9040A">
        <w:rPr>
          <w:rtl/>
        </w:rPr>
        <w:t xml:space="preserve"> ، ج 5 ، ص 999 ، ح 3463 ؛ </w:t>
      </w:r>
      <w:r w:rsidR="008A74EB" w:rsidRPr="00993B55">
        <w:rPr>
          <w:rStyle w:val="libFootnoteBoldChar"/>
          <w:rtl/>
        </w:rPr>
        <w:t>الوسائل</w:t>
      </w:r>
      <w:r w:rsidR="008A74EB" w:rsidRPr="00C9040A">
        <w:rPr>
          <w:rtl/>
        </w:rPr>
        <w:t xml:space="preserve"> ، ج 15 ، ص 299 ، ح 20565 ؛ </w:t>
      </w:r>
      <w:r w:rsidR="008A74EB" w:rsidRPr="00993B55">
        <w:rPr>
          <w:rStyle w:val="libFootnoteBoldChar"/>
          <w:rtl/>
        </w:rPr>
        <w:t>البحار</w:t>
      </w:r>
      <w:r w:rsidR="008A74EB" w:rsidRPr="00C9040A">
        <w:rPr>
          <w:rtl/>
        </w:rPr>
        <w:t xml:space="preserve"> ، ج 73 ، ص 315 ، ح 3.</w:t>
      </w:r>
    </w:p>
    <w:p w:rsidR="008A74EB" w:rsidRPr="00C9040A" w:rsidRDefault="006C577F" w:rsidP="004A4E41">
      <w:pPr>
        <w:pStyle w:val="libFootnote0"/>
        <w:rPr>
          <w:rtl/>
          <w:lang w:bidi="fa-IR"/>
        </w:rPr>
      </w:pPr>
      <w:r>
        <w:rPr>
          <w:rtl/>
        </w:rPr>
        <w:t>(9).</w:t>
      </w:r>
      <w:r w:rsidR="008A74EB" w:rsidRPr="00C9040A">
        <w:rPr>
          <w:rtl/>
        </w:rPr>
        <w:t xml:space="preserve"> في « ض » </w:t>
      </w:r>
      <w:r w:rsidR="008A74EB">
        <w:rPr>
          <w:rtl/>
        </w:rPr>
        <w:t xml:space="preserve">: </w:t>
      </w:r>
      <w:r w:rsidR="0084262C">
        <w:rPr>
          <w:rtl/>
        </w:rPr>
        <w:t>-</w:t>
      </w:r>
      <w:r w:rsidR="008A74EB" w:rsidRPr="00C9040A">
        <w:rPr>
          <w:rtl/>
        </w:rPr>
        <w:t xml:space="preserve"> « من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هكذا في النسخ وهو مقتضى القاعدة. وفي المطبوع : « يصيب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في « </w:t>
      </w:r>
      <w:r w:rsidR="006D3162">
        <w:rPr>
          <w:rtl/>
        </w:rPr>
        <w:t xml:space="preserve">ه </w:t>
      </w:r>
      <w:r w:rsidR="008A74EB" w:rsidRPr="00C9040A">
        <w:rPr>
          <w:rtl/>
        </w:rPr>
        <w:t>» : « منه »</w:t>
      </w:r>
      <w:r w:rsidR="008A74EB">
        <w:rPr>
          <w:rtl/>
        </w:rPr>
        <w:t>.</w:t>
      </w:r>
      <w:r w:rsidR="008A74EB" w:rsidRPr="00C9040A">
        <w:rPr>
          <w:rtl/>
        </w:rPr>
        <w:t xml:space="preserve"> وفي الوسائل </w:t>
      </w:r>
      <w:r w:rsidR="008A74EB">
        <w:rPr>
          <w:rtl/>
        </w:rPr>
        <w:t xml:space="preserve">: </w:t>
      </w:r>
      <w:r w:rsidR="0084262C">
        <w:rPr>
          <w:rtl/>
        </w:rPr>
        <w:t>-</w:t>
      </w:r>
      <w:r w:rsidR="008A74EB" w:rsidRPr="00C9040A">
        <w:rPr>
          <w:rtl/>
        </w:rPr>
        <w:t xml:space="preserve"> « عنه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w:t>
      </w:r>
      <w:r w:rsidR="008A74EB" w:rsidRPr="00993B55">
        <w:rPr>
          <w:rStyle w:val="libFootnoteBoldChar"/>
          <w:rtl/>
        </w:rPr>
        <w:t>الوافي</w:t>
      </w:r>
      <w:r w:rsidR="008A74EB" w:rsidRPr="00C9040A">
        <w:rPr>
          <w:rtl/>
        </w:rPr>
        <w:t xml:space="preserve"> ، ج 5 ، ص 1000 ، ح 3464 ؛ </w:t>
      </w:r>
      <w:r w:rsidR="008A74EB" w:rsidRPr="00993B55">
        <w:rPr>
          <w:rStyle w:val="libFootnoteBoldChar"/>
          <w:rtl/>
        </w:rPr>
        <w:t>الوسائل</w:t>
      </w:r>
      <w:r w:rsidR="008A74EB" w:rsidRPr="00C9040A">
        <w:rPr>
          <w:rtl/>
        </w:rPr>
        <w:t xml:space="preserve"> ، ج 15 ، ص 301 ، ح 20571.</w:t>
      </w:r>
    </w:p>
    <w:p w:rsidR="008A74EB" w:rsidRPr="00C9040A" w:rsidRDefault="008A74EB" w:rsidP="004A4E41">
      <w:pPr>
        <w:pStyle w:val="libFootnote0"/>
        <w:rPr>
          <w:rtl/>
          <w:lang w:bidi="fa-IR"/>
        </w:rPr>
      </w:pPr>
      <w:r>
        <w:rPr>
          <w:rtl/>
        </w:rPr>
        <w:t>(13)</w:t>
      </w:r>
      <w:r w:rsidRPr="00C9040A">
        <w:rPr>
          <w:rtl/>
        </w:rPr>
        <w:t xml:space="preserve"> في « ج » : « عنه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كَانَ أَمِيرُ الْمُؤْمِنِينَ </w:t>
      </w:r>
      <w:r w:rsidRPr="0003660B">
        <w:rPr>
          <w:rStyle w:val="libAlaemChar"/>
          <w:rtl/>
        </w:rPr>
        <w:t>عليه‌السلام</w:t>
      </w:r>
      <w:r w:rsidRPr="00C9040A">
        <w:rPr>
          <w:rtl/>
          <w:lang w:bidi="fa-IR"/>
        </w:rPr>
        <w:t xml:space="preserve"> يَقُولُ </w:t>
      </w:r>
      <w:r w:rsidR="006C577F" w:rsidRPr="006C577F">
        <w:rPr>
          <w:rStyle w:val="libFootnotenumChar"/>
          <w:rtl/>
        </w:rPr>
        <w:t>(1)</w:t>
      </w:r>
      <w:r w:rsidRPr="00C9040A">
        <w:rPr>
          <w:rtl/>
          <w:lang w:bidi="fa-IR"/>
        </w:rPr>
        <w:t xml:space="preserve"> : لَاتُبْدِيَنَّ عَنْ وَاضِحَةٍ </w:t>
      </w:r>
      <w:r w:rsidR="006C577F" w:rsidRPr="006C577F">
        <w:rPr>
          <w:rStyle w:val="libFootnotenumChar"/>
          <w:rtl/>
        </w:rPr>
        <w:t>(2)</w:t>
      </w:r>
      <w:r w:rsidRPr="00C9040A">
        <w:rPr>
          <w:rtl/>
          <w:lang w:bidi="fa-IR"/>
        </w:rPr>
        <w:t xml:space="preserve"> وَقَدْ عَمِلْتَ الْأَعْمَالَ الْفَاضِحَةَ ، وَلَا يَأْمَنِ </w:t>
      </w:r>
      <w:r w:rsidR="006C577F" w:rsidRPr="006C577F">
        <w:rPr>
          <w:rStyle w:val="libFootnotenumChar"/>
          <w:rtl/>
        </w:rPr>
        <w:t>(3)</w:t>
      </w:r>
      <w:r w:rsidRPr="00C9040A">
        <w:rPr>
          <w:rtl/>
          <w:lang w:bidi="fa-IR"/>
        </w:rPr>
        <w:t xml:space="preserve"> الْبَيَاتَ </w:t>
      </w:r>
      <w:r w:rsidR="006C577F" w:rsidRPr="006C577F">
        <w:rPr>
          <w:rStyle w:val="libFootnotenumChar"/>
          <w:rtl/>
        </w:rPr>
        <w:t>(4)</w:t>
      </w:r>
      <w:r w:rsidRPr="00C9040A">
        <w:rPr>
          <w:rtl/>
          <w:lang w:bidi="fa-IR"/>
        </w:rPr>
        <w:t xml:space="preserve"> مَنْ عَمِلَ السَّيِّئَاتِ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134198">
        <w:rPr>
          <w:rtl/>
        </w:rPr>
        <w:t>2416</w:t>
      </w:r>
      <w:r w:rsidRPr="00261CB0">
        <w:rPr>
          <w:rStyle w:val="libBold2Char"/>
          <w:rtl/>
        </w:rPr>
        <w:t xml:space="preserve"> / 6.</w:t>
      </w:r>
      <w:r w:rsidRPr="00C9040A">
        <w:rPr>
          <w:rtl/>
          <w:lang w:bidi="fa-IR"/>
        </w:rPr>
        <w:t xml:space="preserve"> عَنْهُ ، عَنْ أَبِيهِ ، عَنِ ابْنِ أَبِي عُمَيْرٍ ، عَنْ إِبْرَاهِيمَ بْنِ عَبْدِ الْحَمِيدِ ، عَنْ أَبِي أُسَامَةَ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سَمِعْتُهُ يَقُولُ : « تَعَوَّذُوا بِاللهِ مِنْ </w:t>
      </w:r>
      <w:r w:rsidR="006C577F" w:rsidRPr="006C577F">
        <w:rPr>
          <w:rStyle w:val="libFootnotenumChar"/>
          <w:rtl/>
        </w:rPr>
        <w:t>(6)</w:t>
      </w:r>
      <w:r w:rsidRPr="005B567D">
        <w:rPr>
          <w:rStyle w:val="libFootnotenumChar"/>
          <w:rtl/>
        </w:rPr>
        <w:t xml:space="preserve"> </w:t>
      </w:r>
      <w:r w:rsidRPr="00C9040A">
        <w:rPr>
          <w:rtl/>
          <w:lang w:bidi="fa-IR"/>
        </w:rPr>
        <w:t xml:space="preserve">سَطَوَاتِ </w:t>
      </w:r>
      <w:r w:rsidR="006C577F" w:rsidRPr="006C577F">
        <w:rPr>
          <w:rStyle w:val="libFootnotenumChar"/>
          <w:rtl/>
        </w:rPr>
        <w:t>(7)</w:t>
      </w:r>
      <w:r w:rsidRPr="00C9040A">
        <w:rPr>
          <w:rtl/>
          <w:lang w:bidi="fa-IR"/>
        </w:rPr>
        <w:t xml:space="preserve"> اللهِ بِاللَّيْلِ وَالنَّهَارِ »</w:t>
      </w:r>
      <w:r>
        <w:rPr>
          <w:rtl/>
          <w:lang w:bidi="fa-IR"/>
        </w:rPr>
        <w:t>.</w:t>
      </w:r>
      <w:r w:rsidRPr="00C9040A">
        <w:rPr>
          <w:rtl/>
          <w:lang w:bidi="fa-IR"/>
        </w:rPr>
        <w:t xml:space="preserve"> قَالَ </w:t>
      </w:r>
      <w:r w:rsidR="006C577F" w:rsidRPr="006C577F">
        <w:rPr>
          <w:rStyle w:val="libFootnotenumChar"/>
          <w:rtl/>
        </w:rPr>
        <w:t>(8)</w:t>
      </w:r>
      <w:r w:rsidRPr="00C9040A">
        <w:rPr>
          <w:rtl/>
          <w:lang w:bidi="fa-IR"/>
        </w:rPr>
        <w:t xml:space="preserve"> : قُلْتُ </w:t>
      </w:r>
      <w:r w:rsidR="006C577F" w:rsidRPr="006C577F">
        <w:rPr>
          <w:rStyle w:val="libFootnotenumChar"/>
          <w:rtl/>
        </w:rPr>
        <w:t>(9)</w:t>
      </w:r>
      <w:r w:rsidRPr="00C9040A">
        <w:rPr>
          <w:rtl/>
          <w:lang w:bidi="fa-IR"/>
        </w:rPr>
        <w:t xml:space="preserve"> لَهُ </w:t>
      </w:r>
      <w:r w:rsidR="006C577F" w:rsidRPr="006C577F">
        <w:rPr>
          <w:rStyle w:val="libFootnotenumChar"/>
          <w:rtl/>
        </w:rPr>
        <w:t>(10)</w:t>
      </w:r>
      <w:r w:rsidRPr="00C9040A">
        <w:rPr>
          <w:rtl/>
          <w:lang w:bidi="fa-IR"/>
        </w:rPr>
        <w:t xml:space="preserve"> : وَمَا سَطَوَاتُ اللهِ</w:t>
      </w:r>
      <w:r>
        <w:rPr>
          <w:rtl/>
          <w:lang w:bidi="fa-IR"/>
        </w:rPr>
        <w:t>؟</w:t>
      </w:r>
      <w:r w:rsidR="00D322FA">
        <w:rPr>
          <w:rFonts w:hint="cs"/>
          <w:rtl/>
          <w:lang w:bidi="fa-IR"/>
        </w:rPr>
        <w:t>...........................</w:t>
      </w:r>
      <w:r w:rsidR="00D322FA">
        <w:rPr>
          <w:rFonts w:hint="cs"/>
          <w:rtl/>
          <w:lang w:bidi="fa-IR"/>
        </w:rPr>
        <w:tab/>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الكافي ، ح 3742 : « قال : إنّ من الجهل الضحك من غير عجب ، قال : وكان يقول » بدل « قال : كان أميرالمؤمنين </w:t>
      </w:r>
      <w:r w:rsidR="00117575" w:rsidRPr="00117575">
        <w:rPr>
          <w:rStyle w:val="libFootnoteAlaemChar"/>
          <w:rtl/>
        </w:rPr>
        <w:t>عليه‌السلام</w:t>
      </w:r>
      <w:r w:rsidR="008A74EB" w:rsidRPr="00C9040A">
        <w:rPr>
          <w:rtl/>
        </w:rPr>
        <w:t xml:space="preserve"> يقول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w:t>
      </w:r>
      <w:r w:rsidR="008A74EB" w:rsidRPr="00993B55">
        <w:rPr>
          <w:rStyle w:val="libFootnoteBoldChar"/>
          <w:rtl/>
        </w:rPr>
        <w:t>مرآة العقول</w:t>
      </w:r>
      <w:r w:rsidR="008A74EB" w:rsidRPr="00C9040A">
        <w:rPr>
          <w:rtl/>
        </w:rPr>
        <w:t xml:space="preserve"> ، ج 9 ، ص 401 : « الإبداء : الإظهار ، وتعديته</w:t>
      </w:r>
      <w:r w:rsidR="008A74EB">
        <w:rPr>
          <w:rtl/>
        </w:rPr>
        <w:t xml:space="preserve"> ب</w:t>
      </w:r>
      <w:r w:rsidR="00D322FA">
        <w:rPr>
          <w:rFonts w:hint="cs"/>
          <w:rtl/>
        </w:rPr>
        <w:t>ـ</w:t>
      </w:r>
      <w:r w:rsidR="008A74EB">
        <w:rPr>
          <w:rtl/>
        </w:rPr>
        <w:t xml:space="preserve"> «</w:t>
      </w:r>
      <w:r w:rsidR="008A74EB" w:rsidRPr="00C9040A">
        <w:rPr>
          <w:rtl/>
        </w:rPr>
        <w:t xml:space="preserve"> عن » لتضمين معنى الكشف. وفي </w:t>
      </w:r>
      <w:r w:rsidR="008A74EB" w:rsidRPr="00993B55">
        <w:rPr>
          <w:rStyle w:val="libFootnoteBoldChar"/>
          <w:rtl/>
        </w:rPr>
        <w:t>الصحاح</w:t>
      </w:r>
      <w:r w:rsidR="008A74EB" w:rsidRPr="00C9040A">
        <w:rPr>
          <w:rtl/>
        </w:rPr>
        <w:t xml:space="preserve"> </w:t>
      </w:r>
      <w:r w:rsidR="008A74EB" w:rsidRPr="00D322FA">
        <w:rPr>
          <w:rStyle w:val="libFootnoteBoldChar"/>
          <w:rtl/>
        </w:rPr>
        <w:t>و</w:t>
      </w:r>
      <w:r w:rsidR="008A74EB" w:rsidRPr="00993B55">
        <w:rPr>
          <w:rStyle w:val="libFootnoteBoldChar"/>
          <w:rtl/>
        </w:rPr>
        <w:t>القاموس</w:t>
      </w:r>
      <w:r w:rsidR="008A74EB" w:rsidRPr="00C9040A">
        <w:rPr>
          <w:rtl/>
        </w:rPr>
        <w:t xml:space="preserve"> </w:t>
      </w:r>
      <w:r w:rsidR="008A74EB" w:rsidRPr="00D322FA">
        <w:rPr>
          <w:rStyle w:val="libFootnoteBoldChar"/>
          <w:rtl/>
        </w:rPr>
        <w:t>و</w:t>
      </w:r>
      <w:r w:rsidR="008A74EB" w:rsidRPr="00993B55">
        <w:rPr>
          <w:rStyle w:val="libFootnoteBoldChar"/>
          <w:rtl/>
        </w:rPr>
        <w:t>المصباح</w:t>
      </w:r>
      <w:r w:rsidR="008A74EB" w:rsidRPr="00C9040A">
        <w:rPr>
          <w:rtl/>
        </w:rPr>
        <w:t xml:space="preserve"> : الواضحة : الأسنان تبدو عند الضحك. وفي </w:t>
      </w:r>
      <w:r w:rsidR="008A74EB" w:rsidRPr="00993B55">
        <w:rPr>
          <w:rStyle w:val="libFootnoteBoldChar"/>
          <w:rtl/>
        </w:rPr>
        <w:t>القاموس</w:t>
      </w:r>
      <w:r w:rsidR="008A74EB" w:rsidRPr="00C9040A">
        <w:rPr>
          <w:rtl/>
        </w:rPr>
        <w:t xml:space="preserve"> : فضحه</w:t>
      </w:r>
      <w:r w:rsidR="008A74EB">
        <w:rPr>
          <w:rtl/>
        </w:rPr>
        <w:t xml:space="preserve"> </w:t>
      </w:r>
      <w:r w:rsidR="0084262C">
        <w:rPr>
          <w:rtl/>
        </w:rPr>
        <w:t>-</w:t>
      </w:r>
      <w:r w:rsidR="008A74EB">
        <w:rPr>
          <w:rtl/>
        </w:rPr>
        <w:t xml:space="preserve"> </w:t>
      </w:r>
      <w:r w:rsidR="008A74EB" w:rsidRPr="00C9040A">
        <w:rPr>
          <w:rtl/>
        </w:rPr>
        <w:t>كمنعه</w:t>
      </w:r>
      <w:r w:rsidR="008A74EB">
        <w:rPr>
          <w:rtl/>
        </w:rPr>
        <w:t xml:space="preserve"> </w:t>
      </w:r>
      <w:r w:rsidR="0084262C">
        <w:rPr>
          <w:rtl/>
        </w:rPr>
        <w:t>-</w:t>
      </w:r>
      <w:r w:rsidR="008A74EB">
        <w:rPr>
          <w:rtl/>
        </w:rPr>
        <w:t xml:space="preserve"> </w:t>
      </w:r>
      <w:r w:rsidR="008A74EB" w:rsidRPr="00C9040A">
        <w:rPr>
          <w:rtl/>
        </w:rPr>
        <w:t>: كشح مساويه ، أي لاتضحك ضحكاً يبدو به أسنانك ويكشف عن سرور قلبك ، وقد عملت أعمالاً قبيحة</w:t>
      </w:r>
      <w:r w:rsidR="008A74EB">
        <w:rPr>
          <w:rtl/>
        </w:rPr>
        <w:t xml:space="preserve"> ..</w:t>
      </w:r>
      <w:r w:rsidR="008A74EB" w:rsidRPr="00C9040A">
        <w:rPr>
          <w:rtl/>
        </w:rPr>
        <w:t>. لا تدري أغفر الله لك أم يعذّبك عليها »</w:t>
      </w:r>
      <w:r w:rsidR="008A74EB">
        <w:rPr>
          <w:rtl/>
        </w:rPr>
        <w:t>.</w:t>
      </w:r>
      <w:r w:rsidR="008A74EB" w:rsidRPr="00C9040A">
        <w:rPr>
          <w:rtl/>
        </w:rPr>
        <w:t xml:space="preserve"> وراجع : </w:t>
      </w:r>
      <w:r w:rsidR="008A74EB" w:rsidRPr="00993B55">
        <w:rPr>
          <w:rStyle w:val="libFootnoteBoldChar"/>
          <w:rtl/>
        </w:rPr>
        <w:t>الصحاح</w:t>
      </w:r>
      <w:r w:rsidR="008A74EB" w:rsidRPr="00C9040A">
        <w:rPr>
          <w:rtl/>
        </w:rPr>
        <w:t xml:space="preserve"> ، ج 1 ، ص 416 ؛ </w:t>
      </w:r>
      <w:r w:rsidR="008A74EB" w:rsidRPr="00993B55">
        <w:rPr>
          <w:rStyle w:val="libFootnoteBoldChar"/>
          <w:rtl/>
        </w:rPr>
        <w:t>المصباح المنير</w:t>
      </w:r>
      <w:r w:rsidR="008A74EB" w:rsidRPr="00C9040A">
        <w:rPr>
          <w:rtl/>
        </w:rPr>
        <w:t xml:space="preserve"> ، ص 662 ؛ </w:t>
      </w:r>
      <w:r w:rsidR="008A74EB" w:rsidRPr="00993B55">
        <w:rPr>
          <w:rStyle w:val="libFootnoteBoldChar"/>
          <w:rtl/>
        </w:rPr>
        <w:t>القاموس المحيط</w:t>
      </w:r>
      <w:r w:rsidR="008A74EB" w:rsidRPr="00C9040A">
        <w:rPr>
          <w:rtl/>
        </w:rPr>
        <w:t xml:space="preserve"> ، ج 1 ، ص 368 ( وضح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الجعفريّات : « ولا يأمننّ »</w:t>
      </w:r>
      <w:r w:rsidR="008A74EB">
        <w:rPr>
          <w:rtl/>
        </w:rPr>
        <w:t>.</w:t>
      </w:r>
      <w:r w:rsidR="008A74EB" w:rsidRPr="00C9040A">
        <w:rPr>
          <w:rtl/>
        </w:rPr>
        <w:t xml:space="preserve"> وفي الاختصاص : « فلا تأمننّ »</w:t>
      </w:r>
      <w:r w:rsidR="008A74EB">
        <w:rPr>
          <w:rtl/>
        </w:rPr>
        <w:t>.</w:t>
      </w:r>
      <w:r w:rsidR="008A74EB" w:rsidRPr="00C9040A">
        <w:rPr>
          <w:rtl/>
        </w:rPr>
        <w:t xml:space="preserve"> وفي مرآة العقول : « لا يأمن البيات ، بكسر النون ليكون نهياً ، والكسرة لالتقاء الساكنين. أو بالرفع خبراً بمعنى النهي. وما قيل : إنّه معطوف على الجملة الحالية بعيد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بيّت العدوَّ ، أي</w:t>
      </w:r>
      <w:r w:rsidR="00D322FA">
        <w:rPr>
          <w:rFonts w:hint="cs"/>
          <w:rtl/>
        </w:rPr>
        <w:t xml:space="preserve"> </w:t>
      </w:r>
      <w:r w:rsidR="008A74EB" w:rsidRPr="00C9040A">
        <w:rPr>
          <w:rtl/>
        </w:rPr>
        <w:t xml:space="preserve">‌أوقع بهم ليلاً. والاسم : البيات. والمراد الأخذ بالمعاصي. راجع : </w:t>
      </w:r>
      <w:r w:rsidR="008A74EB" w:rsidRPr="00993B55">
        <w:rPr>
          <w:rStyle w:val="libFootnoteBoldChar"/>
          <w:rtl/>
        </w:rPr>
        <w:t>الصحاح</w:t>
      </w:r>
      <w:r w:rsidR="008A74EB" w:rsidRPr="00C9040A">
        <w:rPr>
          <w:rtl/>
        </w:rPr>
        <w:t xml:space="preserve"> ، ج 1 ، ص 245 ( بيت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الكافي</w:t>
      </w:r>
      <w:r w:rsidR="008A74EB" w:rsidRPr="00C9040A">
        <w:rPr>
          <w:rtl/>
        </w:rPr>
        <w:t xml:space="preserve"> ، كتاب العشرة ، باب الدعابة والضحك ، ح 3742. وفي </w:t>
      </w:r>
      <w:r w:rsidR="008A74EB" w:rsidRPr="00993B55">
        <w:rPr>
          <w:rStyle w:val="libFootnoteBoldChar"/>
          <w:rtl/>
        </w:rPr>
        <w:t>الجعفريّات</w:t>
      </w:r>
      <w:r w:rsidR="008A74EB" w:rsidRPr="00C9040A">
        <w:rPr>
          <w:rtl/>
        </w:rPr>
        <w:t xml:space="preserve"> ، ص 235 ، بسنده عن جعفر بن محمّد ، عن آبائه ، عن أمير المؤمنين </w:t>
      </w:r>
      <w:r w:rsidR="00117575" w:rsidRPr="00117575">
        <w:rPr>
          <w:rStyle w:val="libFootnoteAlaemChar"/>
          <w:rtl/>
        </w:rPr>
        <w:t>عليهم‌السلام</w:t>
      </w:r>
      <w:r w:rsidR="008A74EB" w:rsidRPr="00C9040A">
        <w:rPr>
          <w:rtl/>
        </w:rPr>
        <w:t xml:space="preserve">. </w:t>
      </w:r>
      <w:r w:rsidR="008A74EB" w:rsidRPr="00993B55">
        <w:rPr>
          <w:rStyle w:val="libFootnoteBoldChar"/>
          <w:rtl/>
        </w:rPr>
        <w:t>الاختصاص</w:t>
      </w:r>
      <w:r w:rsidR="008A74EB" w:rsidRPr="00C9040A">
        <w:rPr>
          <w:rtl/>
        </w:rPr>
        <w:t xml:space="preserve"> ، ص 252 ، مرسلاً عن الرضا ، عن أميرالمؤمنين </w:t>
      </w:r>
      <w:r w:rsidR="00117575" w:rsidRPr="00117575">
        <w:rPr>
          <w:rStyle w:val="libFootnoteAlaemChar"/>
          <w:rtl/>
        </w:rPr>
        <w:t>عليهما‌السلام</w:t>
      </w:r>
      <w:r w:rsidR="008A74EB" w:rsidRPr="00C9040A">
        <w:rPr>
          <w:rtl/>
        </w:rPr>
        <w:t xml:space="preserve"> </w:t>
      </w:r>
      <w:r w:rsidR="00D322FA">
        <w:rPr>
          <w:rFonts w:hint="cs"/>
          <w:rtl/>
        </w:rPr>
        <w:t>.</w:t>
      </w:r>
      <w:r w:rsidR="008A74EB" w:rsidRPr="00993B55">
        <w:rPr>
          <w:rStyle w:val="libFootnoteBoldChar"/>
          <w:rtl/>
        </w:rPr>
        <w:t>الوافي</w:t>
      </w:r>
      <w:r w:rsidR="008A74EB" w:rsidRPr="00C9040A">
        <w:rPr>
          <w:rtl/>
        </w:rPr>
        <w:t xml:space="preserve"> ، ج 5 ، ص 1004 ، ح 3480 ؛ </w:t>
      </w:r>
      <w:r w:rsidR="008A74EB" w:rsidRPr="00993B55">
        <w:rPr>
          <w:rStyle w:val="libFootnoteBoldChar"/>
          <w:rtl/>
        </w:rPr>
        <w:t>الوسائل</w:t>
      </w:r>
      <w:r w:rsidR="008A74EB" w:rsidRPr="00C9040A">
        <w:rPr>
          <w:rtl/>
        </w:rPr>
        <w:t xml:space="preserve"> ، ج 15 ، ص 300 ، ح 20570 ؛ </w:t>
      </w:r>
      <w:r w:rsidR="008A74EB" w:rsidRPr="00993B55">
        <w:rPr>
          <w:rStyle w:val="libFootnoteBoldChar"/>
          <w:rtl/>
        </w:rPr>
        <w:t>البحار</w:t>
      </w:r>
      <w:r w:rsidR="008A74EB" w:rsidRPr="00C9040A">
        <w:rPr>
          <w:rtl/>
        </w:rPr>
        <w:t xml:space="preserve"> ، ج 73 ، ص 317 ، ح 4.</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الزهد و</w:t>
      </w:r>
      <w:r w:rsidR="008A74EB" w:rsidRPr="0034021D">
        <w:rPr>
          <w:rStyle w:val="libFootnoteBoldChar"/>
          <w:rtl/>
        </w:rPr>
        <w:t>الأمالي للمفيد</w:t>
      </w:r>
      <w:r w:rsidR="008A74EB" w:rsidRPr="00C9040A">
        <w:rPr>
          <w:rtl/>
        </w:rPr>
        <w:t xml:space="preserve"> : « احذروا » بدل « تعوّذوا بالله من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 السَّطْوَة » : القهر بالبَطْش. والجمع : السَّطوات. </w:t>
      </w:r>
      <w:r w:rsidR="008A74EB" w:rsidRPr="00993B55">
        <w:rPr>
          <w:rStyle w:val="libFootnoteBoldChar"/>
          <w:rtl/>
        </w:rPr>
        <w:t>الصحاح</w:t>
      </w:r>
      <w:r w:rsidR="008A74EB" w:rsidRPr="00C9040A">
        <w:rPr>
          <w:rtl/>
        </w:rPr>
        <w:t xml:space="preserve"> ، ج 6 ، ص 2376 ( سطا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 ب » والوسائل والزهد والأمالي </w:t>
      </w:r>
      <w:r w:rsidR="008A74EB">
        <w:rPr>
          <w:rtl/>
        </w:rPr>
        <w:t xml:space="preserve">: </w:t>
      </w:r>
      <w:r w:rsidR="0084262C">
        <w:rPr>
          <w:rtl/>
        </w:rPr>
        <w:t>-</w:t>
      </w:r>
      <w:r w:rsidR="008A74EB" w:rsidRPr="00C9040A">
        <w:rPr>
          <w:rtl/>
        </w:rPr>
        <w:t xml:space="preserve"> « قال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الوسائل والزهد والأمالي : « فقلت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 ب ، ز ، ص ، ف ، </w:t>
      </w:r>
      <w:r w:rsidR="006D3162">
        <w:rPr>
          <w:rtl/>
        </w:rPr>
        <w:t xml:space="preserve">ه </w:t>
      </w:r>
      <w:r w:rsidR="008A74EB" w:rsidRPr="00C9040A">
        <w:rPr>
          <w:rtl/>
        </w:rPr>
        <w:t xml:space="preserve">، بس » والوسائل والزهد والأمالي </w:t>
      </w:r>
      <w:r w:rsidR="008A74EB">
        <w:rPr>
          <w:rtl/>
        </w:rPr>
        <w:t xml:space="preserve">: </w:t>
      </w:r>
      <w:r w:rsidR="0084262C">
        <w:rPr>
          <w:rtl/>
        </w:rPr>
        <w:t>-</w:t>
      </w:r>
      <w:r w:rsidR="008A74EB" w:rsidRPr="00C9040A">
        <w:rPr>
          <w:rtl/>
        </w:rPr>
        <w:t xml:space="preserve"> « له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قَالَ : « الْأَخْذُ عَلَى </w:t>
      </w:r>
      <w:r w:rsidR="006C577F" w:rsidRPr="006C577F">
        <w:rPr>
          <w:rStyle w:val="libFootnotenumChar"/>
          <w:rtl/>
        </w:rPr>
        <w:t>(1)</w:t>
      </w:r>
      <w:r w:rsidRPr="00C9040A">
        <w:rPr>
          <w:rtl/>
          <w:lang w:bidi="fa-IR"/>
        </w:rPr>
        <w:t xml:space="preserve"> الْمَعَاصِي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31247E">
        <w:rPr>
          <w:rtl/>
        </w:rPr>
        <w:t>2417</w:t>
      </w:r>
      <w:r w:rsidRPr="00261CB0">
        <w:rPr>
          <w:rStyle w:val="libBold2Char"/>
          <w:rtl/>
        </w:rPr>
        <w:t xml:space="preserve"> / 7.</w:t>
      </w:r>
      <w:r w:rsidRPr="00C9040A">
        <w:rPr>
          <w:rtl/>
          <w:lang w:bidi="fa-IR"/>
        </w:rPr>
        <w:t xml:space="preserve"> عِدَّةٌ مِنْ أَصْحَابِنَا ، عَنْ أَحْمَدَ بْنِ أَبِي عَبْدِ اللهِ ، عَنْ أَبِيهِ ، عَنْ سُلَيْمَانَ </w:t>
      </w:r>
      <w:r w:rsidR="006C577F" w:rsidRPr="006C577F">
        <w:rPr>
          <w:rStyle w:val="libFootnotenumChar"/>
          <w:rtl/>
        </w:rPr>
        <w:t>(3)</w:t>
      </w:r>
      <w:r w:rsidRPr="00C9040A">
        <w:rPr>
          <w:rtl/>
          <w:lang w:bidi="fa-IR"/>
        </w:rPr>
        <w:t xml:space="preserve"> الْجَعْفَرِيِّ ، عَنْ عَبْدِ اللهِ بْنِ بُكَيْرٍ ، عَنْ زُرَارَةَ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الذُّنُوبُ كُلُّهَا شَدِيدَةٌ ، وَأَشَدُّهَا مَا نَبَتَ عَلَيْهِ اللَّحْمُ وَالدَّمُ ؛ لِأَنَّهُ إِمَّا مَرْحُومٌ ، وَإِمَّا </w:t>
      </w:r>
      <w:r w:rsidR="006C577F" w:rsidRPr="006C577F">
        <w:rPr>
          <w:rStyle w:val="libFootnotenumChar"/>
          <w:rtl/>
        </w:rPr>
        <w:t>(4)</w:t>
      </w:r>
      <w:r w:rsidRPr="00C9040A">
        <w:rPr>
          <w:rtl/>
          <w:lang w:bidi="fa-IR"/>
        </w:rPr>
        <w:t xml:space="preserve"> مُعَذَّبٌ ، وَالْجَنَّةُ </w:t>
      </w:r>
      <w:r w:rsidR="006C577F" w:rsidRPr="006C577F">
        <w:rPr>
          <w:rStyle w:val="libFootnotenumChar"/>
          <w:rtl/>
        </w:rPr>
        <w:t>(5)</w:t>
      </w:r>
      <w:r w:rsidRPr="00C9040A">
        <w:rPr>
          <w:rtl/>
          <w:lang w:bidi="fa-IR"/>
        </w:rPr>
        <w:t xml:space="preserve"> لَايَدْخُلُهَا إ</w:t>
      </w:r>
      <w:r w:rsidR="00D322FA">
        <w:rPr>
          <w:rtl/>
          <w:lang w:bidi="fa-IR"/>
        </w:rPr>
        <w:t>ِل</w:t>
      </w:r>
      <w:r w:rsidR="00D322FA">
        <w:rPr>
          <w:rFonts w:hint="cs"/>
          <w:rtl/>
          <w:lang w:bidi="fa-IR"/>
        </w:rPr>
        <w:t>َّ</w:t>
      </w:r>
      <w:r w:rsidR="00D322FA">
        <w:rPr>
          <w:rtl/>
          <w:lang w:bidi="fa-IR"/>
        </w:rPr>
        <w:t>ا</w:t>
      </w:r>
      <w:r w:rsidRPr="00C9040A">
        <w:rPr>
          <w:rtl/>
          <w:lang w:bidi="fa-IR"/>
        </w:rPr>
        <w:t xml:space="preserve"> طَيِّبٌ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Normal"/>
        <w:rPr>
          <w:rtl/>
          <w:lang w:bidi="fa-IR"/>
        </w:rPr>
      </w:pPr>
      <w:r w:rsidRPr="0031247E">
        <w:rPr>
          <w:rtl/>
        </w:rPr>
        <w:t>2418</w:t>
      </w:r>
      <w:r w:rsidRPr="00261CB0">
        <w:rPr>
          <w:rStyle w:val="libBold2Char"/>
          <w:rtl/>
        </w:rPr>
        <w:t xml:space="preserve"> / 8.</w:t>
      </w:r>
      <w:r w:rsidRPr="00C9040A">
        <w:rPr>
          <w:rtl/>
          <w:lang w:bidi="fa-IR"/>
        </w:rPr>
        <w:t xml:space="preserve"> الْحُسَيْنُ بْنُ مُحَمَّدٍ ، عَنْ مُعَلَّى بْنِ مُحَمَّدٍ ، عَنِ الْوَشَّاءِ ، عَنْ أَبَانٍ ، عَنِ الْفُضَيْلِ بْنِ يَسَارٍ :</w:t>
      </w:r>
    </w:p>
    <w:p w:rsidR="008A74EB" w:rsidRPr="00C9040A" w:rsidRDefault="008A74EB" w:rsidP="008A74EB">
      <w:pPr>
        <w:pStyle w:val="libNormal"/>
        <w:rPr>
          <w:rtl/>
          <w:lang w:bidi="fa-IR"/>
        </w:rPr>
      </w:pPr>
      <w:r w:rsidRPr="00C9040A">
        <w:rPr>
          <w:rtl/>
          <w:lang w:bidi="fa-IR"/>
        </w:rPr>
        <w:t xml:space="preserve">عَنْ أَبِي جَعْفَرٍ </w:t>
      </w:r>
      <w:r w:rsidR="006C577F" w:rsidRPr="006C577F">
        <w:rPr>
          <w:rStyle w:val="libFootnotenumChar"/>
          <w:rtl/>
        </w:rPr>
        <w:t>(7)</w:t>
      </w:r>
      <w:r w:rsidRPr="00C9040A">
        <w:rPr>
          <w:rtl/>
          <w:lang w:bidi="fa-IR"/>
        </w:rPr>
        <w:t xml:space="preserve"> </w:t>
      </w:r>
      <w:r w:rsidRPr="0003660B">
        <w:rPr>
          <w:rStyle w:val="libAlaemChar"/>
          <w:rtl/>
        </w:rPr>
        <w:t>عليه‌السلام</w:t>
      </w:r>
      <w:r w:rsidRPr="00C9040A">
        <w:rPr>
          <w:rtl/>
          <w:lang w:bidi="fa-IR"/>
        </w:rPr>
        <w:t xml:space="preserve"> ، قَالَ : « إِنَّ الْعَبْدَ لَيُذْنِبُ الذَّنْبَ ، فَيُزْوى </w:t>
      </w:r>
      <w:r w:rsidR="006C577F" w:rsidRPr="006C577F">
        <w:rPr>
          <w:rStyle w:val="libFootnotenumChar"/>
          <w:rtl/>
        </w:rPr>
        <w:t>(8)</w:t>
      </w:r>
      <w:r w:rsidRPr="00C9040A">
        <w:rPr>
          <w:rtl/>
          <w:lang w:bidi="fa-IR"/>
        </w:rPr>
        <w:t xml:space="preserve"> عَنْهُ الرِّزْقُ »</w:t>
      </w:r>
      <w:r>
        <w:rPr>
          <w:rtl/>
          <w:lang w:bidi="fa-IR"/>
        </w:rPr>
        <w:t>.</w:t>
      </w:r>
      <w:r w:rsidRPr="00C9040A">
        <w:rPr>
          <w:rtl/>
          <w:lang w:bidi="fa-IR"/>
        </w:rPr>
        <w:t xml:space="preserve"> </w:t>
      </w:r>
      <w:r w:rsidR="006C577F" w:rsidRPr="006C577F">
        <w:rPr>
          <w:rStyle w:val="libFootnotenumChar"/>
          <w:rtl/>
        </w:rPr>
        <w:t>(9)</w:t>
      </w:r>
      <w:r w:rsidRPr="00C9040A">
        <w:rPr>
          <w:rtl/>
          <w:lang w:bidi="fa-IR"/>
        </w:rPr>
        <w:t xml:space="preserve"> ‌</w:t>
      </w:r>
    </w:p>
    <w:p w:rsidR="008A74EB" w:rsidRPr="00C9040A" w:rsidRDefault="008A74EB" w:rsidP="008A74EB">
      <w:pPr>
        <w:pStyle w:val="libNormal"/>
        <w:rPr>
          <w:rtl/>
          <w:lang w:bidi="fa-IR"/>
        </w:rPr>
      </w:pPr>
      <w:r w:rsidRPr="0031247E">
        <w:rPr>
          <w:rtl/>
        </w:rPr>
        <w:t>2419</w:t>
      </w:r>
      <w:r w:rsidRPr="00261CB0">
        <w:rPr>
          <w:rStyle w:val="libBold2Char"/>
          <w:rtl/>
        </w:rPr>
        <w:t xml:space="preserve"> / 9.</w:t>
      </w:r>
      <w:r w:rsidRPr="00C9040A">
        <w:rPr>
          <w:rtl/>
          <w:lang w:bidi="fa-IR"/>
        </w:rPr>
        <w:t xml:space="preserve"> عَلِيُّ بْنُ مُحَمَّدٍ </w:t>
      </w:r>
      <w:r w:rsidR="006C577F" w:rsidRPr="006C577F">
        <w:rPr>
          <w:rStyle w:val="libFootnotenumChar"/>
          <w:rtl/>
        </w:rPr>
        <w:t>(10)</w:t>
      </w:r>
      <w:r w:rsidRPr="00C9040A">
        <w:rPr>
          <w:rtl/>
          <w:lang w:bidi="fa-IR"/>
        </w:rPr>
        <w:t xml:space="preserve"> ، عَنْ صَالِحِ بْنِ أَبِي حَمَّادٍ ، عَنْ مُحَمَّدِ بْنِ إِبْرَاهِيمَ‌</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ص » : « إلى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الزهد</w:t>
      </w:r>
      <w:r w:rsidR="008A74EB" w:rsidRPr="00C9040A">
        <w:rPr>
          <w:rtl/>
        </w:rPr>
        <w:t xml:space="preserve"> ، ص 79 ، ح 40 ؛ </w:t>
      </w:r>
      <w:r w:rsidR="008A74EB" w:rsidRPr="0034021D">
        <w:rPr>
          <w:rStyle w:val="libFootnoteBoldChar"/>
          <w:rtl/>
        </w:rPr>
        <w:t>الأمالي للمفيد</w:t>
      </w:r>
      <w:r w:rsidR="008A74EB" w:rsidRPr="00C9040A">
        <w:rPr>
          <w:rtl/>
        </w:rPr>
        <w:t xml:space="preserve"> ، ص 184 ، المجلس 23 ، ح 8 ، بسندهما عن إبراهيم بن عبدالحميد </w:t>
      </w:r>
      <w:r w:rsidR="00D322FA">
        <w:rPr>
          <w:rFonts w:hint="cs"/>
          <w:rtl/>
        </w:rPr>
        <w:t>.</w:t>
      </w:r>
      <w:r w:rsidR="008A74EB" w:rsidRPr="00993B55">
        <w:rPr>
          <w:rStyle w:val="libFootnoteBoldChar"/>
          <w:rtl/>
        </w:rPr>
        <w:t>الوافي</w:t>
      </w:r>
      <w:r w:rsidR="008A74EB" w:rsidRPr="00C9040A">
        <w:rPr>
          <w:rtl/>
        </w:rPr>
        <w:t xml:space="preserve"> ، ج 5 ، ص 1000 ، ح 3465 ؛ </w:t>
      </w:r>
      <w:r w:rsidR="008A74EB" w:rsidRPr="00993B55">
        <w:rPr>
          <w:rStyle w:val="libFootnoteBoldChar"/>
          <w:rtl/>
        </w:rPr>
        <w:t>الوسائل</w:t>
      </w:r>
      <w:r w:rsidR="008A74EB" w:rsidRPr="00C9040A">
        <w:rPr>
          <w:rtl/>
        </w:rPr>
        <w:t xml:space="preserve"> ، ج 15 ، ص 305 ، ح 20588.</w:t>
      </w:r>
    </w:p>
    <w:p w:rsidR="008A74EB" w:rsidRPr="00C9040A" w:rsidRDefault="006C577F" w:rsidP="004A4E41">
      <w:pPr>
        <w:pStyle w:val="libFootnote0"/>
        <w:rPr>
          <w:rtl/>
          <w:lang w:bidi="fa-IR"/>
        </w:rPr>
      </w:pPr>
      <w:r>
        <w:rPr>
          <w:rtl/>
        </w:rPr>
        <w:t>(3).</w:t>
      </w:r>
      <w:r w:rsidR="008A74EB" w:rsidRPr="00C9040A">
        <w:rPr>
          <w:rtl/>
        </w:rPr>
        <w:t xml:space="preserve"> في الوسائل : + « بن جعفر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ز » والبحار : « أو » بدل « وإمّا »</w:t>
      </w:r>
      <w:r w:rsidR="008A74EB">
        <w:rPr>
          <w:rtl/>
        </w:rPr>
        <w:t>.</w:t>
      </w:r>
      <w:r w:rsidR="008A74EB" w:rsidRPr="00C9040A">
        <w:rPr>
          <w:rtl/>
        </w:rPr>
        <w:t xml:space="preserve"> وفي </w:t>
      </w:r>
      <w:r w:rsidR="008A74EB" w:rsidRPr="00993B55">
        <w:rPr>
          <w:rStyle w:val="libFootnoteBoldChar"/>
          <w:rtl/>
        </w:rPr>
        <w:t>شرح المازندراني</w:t>
      </w:r>
      <w:r w:rsidR="008A74EB" w:rsidRPr="00C9040A">
        <w:rPr>
          <w:rtl/>
        </w:rPr>
        <w:t xml:space="preserve"> : « لعلّ المرحوم من كفّرت ذنوبه بالتوبة أو البلايا أو العفو ، والمعذّب من لم تكفّر ذنوبه بأحد هذه الوجوه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ض ، </w:t>
      </w:r>
      <w:r w:rsidR="006D3162">
        <w:rPr>
          <w:rtl/>
        </w:rPr>
        <w:t xml:space="preserve">ه </w:t>
      </w:r>
      <w:r w:rsidR="008A74EB" w:rsidRPr="00C9040A">
        <w:rPr>
          <w:rtl/>
        </w:rPr>
        <w:t>» : « فالجنّة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الوافي</w:t>
      </w:r>
      <w:r w:rsidR="008A74EB" w:rsidRPr="00C9040A">
        <w:rPr>
          <w:rtl/>
        </w:rPr>
        <w:t xml:space="preserve"> ، ج 5 ، ص 1057 ، ح 3582 ؛ </w:t>
      </w:r>
      <w:r w:rsidR="008A74EB" w:rsidRPr="00993B55">
        <w:rPr>
          <w:rStyle w:val="libFootnoteBoldChar"/>
          <w:rtl/>
        </w:rPr>
        <w:t>الوسائل</w:t>
      </w:r>
      <w:r w:rsidR="008A74EB" w:rsidRPr="00C9040A">
        <w:rPr>
          <w:rtl/>
        </w:rPr>
        <w:t xml:space="preserve"> ، ج 15 ، ص 299 ، ح 20567 ؛ </w:t>
      </w:r>
      <w:r w:rsidR="008A74EB" w:rsidRPr="00993B55">
        <w:rPr>
          <w:rStyle w:val="libFootnoteBoldChar"/>
          <w:rtl/>
        </w:rPr>
        <w:t>البحار</w:t>
      </w:r>
      <w:r w:rsidR="008A74EB" w:rsidRPr="00C9040A">
        <w:rPr>
          <w:rtl/>
        </w:rPr>
        <w:t xml:space="preserve"> ، ج 73 ، ص 317 ، ح 5.</w:t>
      </w:r>
    </w:p>
    <w:p w:rsidR="008A74EB" w:rsidRPr="00C9040A" w:rsidRDefault="006C577F" w:rsidP="004A4E41">
      <w:pPr>
        <w:pStyle w:val="libFootnote0"/>
        <w:rPr>
          <w:rtl/>
          <w:lang w:bidi="fa-IR"/>
        </w:rPr>
      </w:pPr>
      <w:r>
        <w:rPr>
          <w:rtl/>
        </w:rPr>
        <w:t>(7).</w:t>
      </w:r>
      <w:r w:rsidR="008A74EB" w:rsidRPr="00C9040A">
        <w:rPr>
          <w:rtl/>
        </w:rPr>
        <w:t xml:space="preserve"> في « </w:t>
      </w:r>
      <w:r w:rsidR="006D3162">
        <w:rPr>
          <w:rtl/>
        </w:rPr>
        <w:t xml:space="preserve">ه </w:t>
      </w:r>
      <w:r w:rsidR="008A74EB" w:rsidRPr="00C9040A">
        <w:rPr>
          <w:rtl/>
        </w:rPr>
        <w:t>» : « أبي‌عبدالله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يجوز فيه البناء على الفاعل أيضاً ، والضمير المستتر فيه راجع إلى « الذنب »</w:t>
      </w:r>
      <w:r w:rsidR="008A74EB">
        <w:rPr>
          <w:rtl/>
        </w:rPr>
        <w:t>.</w:t>
      </w:r>
      <w:r w:rsidR="008A74EB" w:rsidRPr="00C9040A">
        <w:rPr>
          <w:rtl/>
        </w:rPr>
        <w:t xml:space="preserve"> وزوى الشي‌ء : قبضه. </w:t>
      </w:r>
      <w:r w:rsidR="008A74EB" w:rsidRPr="00993B55">
        <w:rPr>
          <w:rStyle w:val="libFootnoteBoldChar"/>
          <w:rtl/>
        </w:rPr>
        <w:t>القاموس المحيط</w:t>
      </w:r>
      <w:r w:rsidR="008A74EB" w:rsidRPr="00C9040A">
        <w:rPr>
          <w:rtl/>
        </w:rPr>
        <w:t xml:space="preserve"> ، ج 2 ، ص 1695 ( زوا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 أي قد يكون تقتير الرزق بسبب الذنب عقوبة أو لتكفير ذنبه ، وليس هذا كلّياً ، بل هو بالنسبة إلى غير المستدرجين ، فإنّ كثيراً من أصحاب الكبائر يوسّع عليهم الرزق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w:t>
      </w:r>
      <w:r w:rsidR="008A74EB" w:rsidRPr="00993B55">
        <w:rPr>
          <w:rStyle w:val="libFootnoteBoldChar"/>
          <w:rtl/>
        </w:rPr>
        <w:t>تحف العقول</w:t>
      </w:r>
      <w:r w:rsidR="008A74EB" w:rsidRPr="00C9040A">
        <w:rPr>
          <w:rtl/>
        </w:rPr>
        <w:t xml:space="preserve"> ، ص 110 ، ضمن حديث أربعمائة ، عن أميرالمؤمنين </w:t>
      </w:r>
      <w:r w:rsidR="00117575" w:rsidRPr="00117575">
        <w:rPr>
          <w:rStyle w:val="libFootnoteAlaemChar"/>
          <w:rtl/>
        </w:rPr>
        <w:t xml:space="preserve">عليه‌السلام </w:t>
      </w:r>
      <w:r w:rsidR="008A74EB" w:rsidRPr="00C9040A">
        <w:rPr>
          <w:rtl/>
        </w:rPr>
        <w:t>، وفيه : « احذروا الذنوب ، فإنّ العبد يذنب الذنب فيحبس عنه الرزق »</w:t>
      </w:r>
      <w:r w:rsidR="008A74EB">
        <w:rPr>
          <w:rtl/>
        </w:rPr>
        <w:t>.</w:t>
      </w:r>
      <w:r w:rsidR="008A74EB" w:rsidRPr="00C9040A">
        <w:rPr>
          <w:rtl/>
        </w:rPr>
        <w:t xml:space="preserve"> راجع : </w:t>
      </w:r>
      <w:r w:rsidR="008A74EB" w:rsidRPr="00993B55">
        <w:rPr>
          <w:rStyle w:val="libFootnoteBoldChar"/>
          <w:rtl/>
        </w:rPr>
        <w:t>علل الشرائع</w:t>
      </w:r>
      <w:r w:rsidR="008A74EB" w:rsidRPr="00C9040A">
        <w:rPr>
          <w:rtl/>
        </w:rPr>
        <w:t xml:space="preserve"> ، ص 297 ، ح 1 ؛ و</w:t>
      </w:r>
      <w:r w:rsidR="008A74EB" w:rsidRPr="00993B55">
        <w:rPr>
          <w:rStyle w:val="libFootnoteBoldChar"/>
          <w:rtl/>
        </w:rPr>
        <w:t xml:space="preserve">تفسير القمّي </w:t>
      </w:r>
      <w:r w:rsidR="008A74EB" w:rsidRPr="00C9040A">
        <w:rPr>
          <w:rtl/>
        </w:rPr>
        <w:t xml:space="preserve">، ج 2 ، ص 381 </w:t>
      </w:r>
      <w:r w:rsidR="0058016D">
        <w:rPr>
          <w:rFonts w:hint="cs"/>
          <w:rtl/>
        </w:rPr>
        <w:t>.</w:t>
      </w:r>
      <w:r w:rsidR="008A74EB" w:rsidRPr="00993B55">
        <w:rPr>
          <w:rStyle w:val="libFootnoteBoldChar"/>
          <w:rtl/>
        </w:rPr>
        <w:t>الوافي</w:t>
      </w:r>
      <w:r w:rsidR="008A74EB" w:rsidRPr="00C9040A">
        <w:rPr>
          <w:rtl/>
        </w:rPr>
        <w:t xml:space="preserve"> ، ج 5 ، ص 1000 ، ح 3466 ؛ </w:t>
      </w:r>
      <w:r w:rsidR="008A74EB" w:rsidRPr="00993B55">
        <w:rPr>
          <w:rStyle w:val="libFootnoteBoldChar"/>
          <w:rtl/>
        </w:rPr>
        <w:t>الوسائل</w:t>
      </w:r>
      <w:r w:rsidR="008A74EB" w:rsidRPr="00C9040A">
        <w:rPr>
          <w:rtl/>
        </w:rPr>
        <w:t xml:space="preserve"> ، ج 15 ، ص 301 ، ح 20573 ؛ </w:t>
      </w:r>
      <w:r w:rsidR="008A74EB" w:rsidRPr="00993B55">
        <w:rPr>
          <w:rStyle w:val="libFootnoteBoldChar"/>
          <w:rtl/>
        </w:rPr>
        <w:t>البحار</w:t>
      </w:r>
      <w:r w:rsidR="008A74EB" w:rsidRPr="00C9040A">
        <w:rPr>
          <w:rtl/>
        </w:rPr>
        <w:t xml:space="preserve"> ، ج 73 ، ص 318 ، ح 6.</w:t>
      </w:r>
    </w:p>
    <w:p w:rsidR="008A74EB" w:rsidRPr="00C9040A" w:rsidRDefault="006C577F" w:rsidP="004A4E41">
      <w:pPr>
        <w:pStyle w:val="libFootnote0"/>
        <w:rPr>
          <w:rtl/>
          <w:lang w:bidi="fa-IR"/>
        </w:rPr>
      </w:pPr>
      <w:r>
        <w:rPr>
          <w:rtl/>
        </w:rPr>
        <w:t>(10).</w:t>
      </w:r>
      <w:r w:rsidR="008A74EB" w:rsidRPr="00C9040A">
        <w:rPr>
          <w:rtl/>
        </w:rPr>
        <w:t xml:space="preserve"> في الكافي ، ح 10306 : + « الكليني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النَّوْفَلِيِّ ، عَنْ حُسَيْنِ </w:t>
      </w:r>
      <w:r w:rsidR="006C577F" w:rsidRPr="006C577F">
        <w:rPr>
          <w:rStyle w:val="libFootnotenumChar"/>
          <w:rtl/>
        </w:rPr>
        <w:t>(1)</w:t>
      </w:r>
      <w:r w:rsidRPr="00C9040A">
        <w:rPr>
          <w:rtl/>
          <w:lang w:bidi="fa-IR"/>
        </w:rPr>
        <w:t xml:space="preserve"> بْنِ مُخْتَارٍ ، عَنْ رَجُلٍ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مَلْعُونٌ مَلْعُونٌ مَنْ عَبَدَ الدِّينَارَ وَالدِّرْهَمَ ، مَلْعُونٌ مَلْعُونٌ مَنْ كَمَّهَ </w:t>
      </w:r>
      <w:r w:rsidR="006C577F" w:rsidRPr="006C577F">
        <w:rPr>
          <w:rStyle w:val="libFootnotenumChar"/>
          <w:rtl/>
        </w:rPr>
        <w:t>(3)</w:t>
      </w:r>
      <w:r w:rsidRPr="00C9040A">
        <w:rPr>
          <w:rtl/>
          <w:lang w:bidi="fa-IR"/>
        </w:rPr>
        <w:t xml:space="preserve"> أَعْمى ، مَلْعُونٌ مَلْعُونٌ </w:t>
      </w:r>
      <w:r w:rsidR="006C577F" w:rsidRPr="006C577F">
        <w:rPr>
          <w:rStyle w:val="libFootnotenumChar"/>
          <w:rtl/>
        </w:rPr>
        <w:t>(4)</w:t>
      </w:r>
      <w:r w:rsidRPr="00C9040A">
        <w:rPr>
          <w:rtl/>
          <w:lang w:bidi="fa-IR"/>
        </w:rPr>
        <w:t xml:space="preserve"> مَنْ نَكَحَ </w:t>
      </w:r>
      <w:r w:rsidR="006C577F" w:rsidRPr="006C577F">
        <w:rPr>
          <w:rStyle w:val="libFootnotenumChar"/>
          <w:rtl/>
        </w:rPr>
        <w:t>(5)</w:t>
      </w:r>
      <w:r w:rsidRPr="00C9040A">
        <w:rPr>
          <w:rtl/>
          <w:lang w:bidi="fa-IR"/>
        </w:rPr>
        <w:t xml:space="preserve"> بَهِيمَةً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Normal"/>
        <w:rPr>
          <w:rtl/>
          <w:lang w:bidi="fa-IR"/>
        </w:rPr>
      </w:pPr>
      <w:r w:rsidRPr="0031247E">
        <w:rPr>
          <w:rtl/>
        </w:rPr>
        <w:t>2420</w:t>
      </w:r>
      <w:r w:rsidRPr="00261CB0">
        <w:rPr>
          <w:rStyle w:val="libBold2Char"/>
          <w:rtl/>
        </w:rPr>
        <w:t xml:space="preserve"> / 10.</w:t>
      </w:r>
      <w:r w:rsidRPr="00C9040A">
        <w:rPr>
          <w:rtl/>
          <w:lang w:bidi="fa-IR"/>
        </w:rPr>
        <w:t xml:space="preserve"> الْحُسَيْنُ بْنُ مُحَمَّدٍ ، عَنْ مُعَلَّى بْنِ مُحَمَّدٍ </w:t>
      </w:r>
      <w:r w:rsidR="006C577F" w:rsidRPr="006C577F">
        <w:rPr>
          <w:rStyle w:val="libFootnotenumChar"/>
          <w:rtl/>
        </w:rPr>
        <w:t>(7)</w:t>
      </w:r>
      <w:r w:rsidRPr="00C9040A">
        <w:rPr>
          <w:rtl/>
          <w:lang w:bidi="fa-IR"/>
        </w:rPr>
        <w:t xml:space="preserve"> ، عَنِ الْوَشَّاءِ ، عَنْ عَلِيِّ </w:t>
      </w:r>
      <w:r w:rsidR="006C577F" w:rsidRPr="006C577F">
        <w:rPr>
          <w:rStyle w:val="libFootnotenumChar"/>
          <w:rtl/>
        </w:rPr>
        <w:t>(8)</w:t>
      </w:r>
      <w:r w:rsidRPr="00C9040A">
        <w:rPr>
          <w:rtl/>
          <w:lang w:bidi="fa-IR"/>
        </w:rPr>
        <w:t xml:space="preserve"> بْنِ أَبِي حَمْزَةَ ، عَنْ أَبِي بَصِيرٍ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سَمِعْتُهُ يَقُولُ : « اتَّقُوا الْمُحَقَّرَاتِ مِنَ الذُّنُوبِ ؛ فَإِنَّ لَهَا طَالِباً يَقُولُ أَحَدُكُمْ : أُذْنِبُ وَأَسْتَغْفِرُ </w:t>
      </w:r>
      <w:r w:rsidR="006C577F" w:rsidRPr="006C577F">
        <w:rPr>
          <w:rStyle w:val="libFootnotenumChar"/>
          <w:rtl/>
        </w:rPr>
        <w:t>(9)</w:t>
      </w:r>
      <w:r w:rsidRPr="00C9040A">
        <w:rPr>
          <w:rtl/>
          <w:lang w:bidi="fa-IR"/>
        </w:rPr>
        <w:t xml:space="preserve"> إِنَّ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يَقُولُ : « ( س</w:t>
      </w:r>
      <w:r w:rsidR="0058016D">
        <w:rPr>
          <w:rFonts w:hint="cs"/>
          <w:rtl/>
          <w:lang w:bidi="fa-IR"/>
        </w:rPr>
        <w:t>َ</w:t>
      </w:r>
      <w:r w:rsidRPr="00C9040A">
        <w:rPr>
          <w:rtl/>
          <w:lang w:bidi="fa-IR"/>
        </w:rPr>
        <w:t>ن</w:t>
      </w:r>
      <w:r w:rsidR="0058016D">
        <w:rPr>
          <w:rFonts w:hint="cs"/>
          <w:rtl/>
          <w:lang w:bidi="fa-IR"/>
        </w:rPr>
        <w:t>َ</w:t>
      </w:r>
      <w:r w:rsidRPr="00C9040A">
        <w:rPr>
          <w:rtl/>
          <w:lang w:bidi="fa-IR"/>
        </w:rPr>
        <w:t>ك</w:t>
      </w:r>
      <w:r w:rsidR="0058016D">
        <w:rPr>
          <w:rFonts w:hint="cs"/>
          <w:rtl/>
          <w:lang w:bidi="fa-IR"/>
        </w:rPr>
        <w:t>ْ</w:t>
      </w:r>
      <w:r w:rsidRPr="00C9040A">
        <w:rPr>
          <w:rtl/>
          <w:lang w:bidi="fa-IR"/>
        </w:rPr>
        <w:t>ت</w:t>
      </w:r>
      <w:r w:rsidR="0058016D">
        <w:rPr>
          <w:rFonts w:hint="cs"/>
          <w:rtl/>
          <w:lang w:bidi="fa-IR"/>
        </w:rPr>
        <w:t>ُ</w:t>
      </w:r>
      <w:r w:rsidRPr="00C9040A">
        <w:rPr>
          <w:rtl/>
          <w:lang w:bidi="fa-IR"/>
        </w:rPr>
        <w:t>ب</w:t>
      </w:r>
      <w:r w:rsidR="0058016D">
        <w:rPr>
          <w:rFonts w:hint="cs"/>
          <w:rtl/>
          <w:lang w:bidi="fa-IR"/>
        </w:rPr>
        <w:t>ُ</w:t>
      </w:r>
      <w:r w:rsidRPr="00C9040A">
        <w:rPr>
          <w:rtl/>
          <w:lang w:bidi="fa-IR"/>
        </w:rPr>
        <w:t xml:space="preserve"> ) </w:t>
      </w:r>
      <w:r w:rsidR="006C577F" w:rsidRPr="006C577F">
        <w:rPr>
          <w:rStyle w:val="libFootnotenumChar"/>
          <w:rtl/>
        </w:rPr>
        <w:t>(10)</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هكذا في النسخ. وفي المطبوع والكافي ، ح 10306 : « الحسين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الكافي ، ح 10306 : « عن بعض أصحابه » بدل « عن رجل »</w:t>
      </w:r>
      <w:r w:rsidR="008A74EB">
        <w:rPr>
          <w:rtl/>
        </w:rPr>
        <w:t>.</w:t>
      </w:r>
    </w:p>
    <w:p w:rsidR="008A74EB" w:rsidRPr="00C9040A" w:rsidRDefault="006C577F" w:rsidP="0058016D">
      <w:pPr>
        <w:pStyle w:val="libFootnote0"/>
        <w:rPr>
          <w:rtl/>
          <w:lang w:bidi="fa-IR"/>
        </w:rPr>
      </w:pPr>
      <w:r>
        <w:rPr>
          <w:rtl/>
        </w:rPr>
        <w:t>(3).</w:t>
      </w:r>
      <w:r w:rsidR="008A74EB" w:rsidRPr="00C9040A">
        <w:rPr>
          <w:rtl/>
        </w:rPr>
        <w:t xml:space="preserve"> في « كمه » وجوه ثلاثة : التخفيف ، والتشديد ، وضمّ الكاف وتشديد الميم اسماً. وهو بالتشديد ، أي‌</w:t>
      </w:r>
      <w:r w:rsidR="0058016D">
        <w:rPr>
          <w:rFonts w:hint="cs"/>
          <w:rtl/>
        </w:rPr>
        <w:t xml:space="preserve"> </w:t>
      </w:r>
      <w:r w:rsidR="008A74EB" w:rsidRPr="00C9040A">
        <w:rPr>
          <w:rtl/>
        </w:rPr>
        <w:t>قال له : يا أعمى ، أو يا أكمه ؛ معيّراً له بذلك ، أو أضلّه عن الطريق ولم يهدِه إليه ، أو كان جاهلاً فأعماه عن الحقِّ ، أو ضالاًّ</w:t>
      </w:r>
      <w:r w:rsidR="0058016D">
        <w:rPr>
          <w:rFonts w:hint="cs"/>
          <w:rtl/>
        </w:rPr>
        <w:t xml:space="preserve"> </w:t>
      </w:r>
      <w:r w:rsidR="008A74EB" w:rsidRPr="00C9040A">
        <w:rPr>
          <w:rtl/>
        </w:rPr>
        <w:t>فزاده عمىً ، أي‌</w:t>
      </w:r>
      <w:r w:rsidR="0058016D">
        <w:rPr>
          <w:rFonts w:hint="cs"/>
          <w:rtl/>
        </w:rPr>
        <w:t xml:space="preserve"> </w:t>
      </w:r>
      <w:r w:rsidR="008A74EB" w:rsidRPr="00C9040A">
        <w:rPr>
          <w:rtl/>
        </w:rPr>
        <w:t xml:space="preserve">ضلالاً. وفي </w:t>
      </w:r>
      <w:r w:rsidR="008A74EB" w:rsidRPr="00993B55">
        <w:rPr>
          <w:rStyle w:val="libFootnoteBoldChar"/>
          <w:rtl/>
        </w:rPr>
        <w:t>القاموس</w:t>
      </w:r>
      <w:r w:rsidR="008A74EB" w:rsidRPr="00C9040A">
        <w:rPr>
          <w:rtl/>
        </w:rPr>
        <w:t xml:space="preserve"> : الكامه : من يركب رأسَه لا يدري إلى أين يتوجّه. قال : ويحتمل : كمه ، بالتخفيف والمعنى : من ركب أعمى ، وهو كناية عمّن لم يسلك الطريق الواضح. </w:t>
      </w:r>
      <w:r w:rsidR="008A74EB" w:rsidRPr="00993B55">
        <w:rPr>
          <w:rStyle w:val="libFootnoteBoldChar"/>
          <w:rtl/>
        </w:rPr>
        <w:t>مجمع البحرين</w:t>
      </w:r>
      <w:r w:rsidR="008A74EB" w:rsidRPr="00C9040A">
        <w:rPr>
          <w:rtl/>
        </w:rPr>
        <w:t xml:space="preserve"> ، ج 6 ، ص 360 ( كمه )</w:t>
      </w:r>
      <w:r w:rsidR="008A74EB">
        <w:rPr>
          <w:rtl/>
        </w:rPr>
        <w:t>.</w:t>
      </w:r>
      <w:r w:rsidR="008A74EB" w:rsidRPr="00C9040A">
        <w:rPr>
          <w:rtl/>
        </w:rPr>
        <w:t xml:space="preserve"> وفي </w:t>
      </w:r>
      <w:r w:rsidR="008A74EB" w:rsidRPr="00993B55">
        <w:rPr>
          <w:rStyle w:val="libFootnoteBoldChar"/>
          <w:rtl/>
        </w:rPr>
        <w:t>معاني الأخبار</w:t>
      </w:r>
      <w:r w:rsidR="008A74EB" w:rsidRPr="00C9040A">
        <w:rPr>
          <w:rtl/>
        </w:rPr>
        <w:t xml:space="preserve"> بعد نقل الحديث قال : « قال مصنّف هذا الكتاب : قوله </w:t>
      </w:r>
      <w:r w:rsidR="00117575" w:rsidRPr="00117575">
        <w:rPr>
          <w:rStyle w:val="libFootnoteAlaemChar"/>
          <w:rtl/>
        </w:rPr>
        <w:t>عليه‌السلام</w:t>
      </w:r>
      <w:r w:rsidR="008A74EB" w:rsidRPr="00C9040A">
        <w:rPr>
          <w:rtl/>
        </w:rPr>
        <w:t xml:space="preserve"> : ملعون ملعون من أكمه أعمى ، يعني من أرشد متحيّراً في دينه إلى الكفر وقرّره في نفسه حتّى اعتقده. ومعنى قوله </w:t>
      </w:r>
      <w:r w:rsidR="00117575" w:rsidRPr="00117575">
        <w:rPr>
          <w:rStyle w:val="libFootnoteAlaemChar"/>
          <w:rtl/>
        </w:rPr>
        <w:t>عليه‌السلام</w:t>
      </w:r>
      <w:r w:rsidR="008A74EB" w:rsidRPr="00C9040A">
        <w:rPr>
          <w:rtl/>
        </w:rPr>
        <w:t xml:space="preserve"> : ملعون ملعون من عبدالدينار والدرهم ، فإنّه يعني به من يمنع زكاة ماله ويبخل بمؤاساة إخوانه ، فيكون قد آثر عبادة الدينار والدرهم على عبادة خالقه »</w:t>
      </w:r>
      <w:r w:rsidR="008A74EB">
        <w:rPr>
          <w:rtl/>
        </w:rPr>
        <w:t>.</w:t>
      </w:r>
      <w:r w:rsidR="008A74EB" w:rsidRPr="00C9040A">
        <w:rPr>
          <w:rtl/>
        </w:rPr>
        <w:t xml:space="preserve"> وللمزيد راجع : </w:t>
      </w:r>
      <w:r w:rsidR="008A74EB" w:rsidRPr="00993B55">
        <w:rPr>
          <w:rStyle w:val="libFootnoteBoldChar"/>
          <w:rtl/>
        </w:rPr>
        <w:t>شرح المازندراني</w:t>
      </w:r>
      <w:r w:rsidR="008A74EB" w:rsidRPr="00C9040A">
        <w:rPr>
          <w:rtl/>
        </w:rPr>
        <w:t xml:space="preserve"> ، ج 9 ، ص 231 ؛ </w:t>
      </w:r>
      <w:r w:rsidR="008A74EB" w:rsidRPr="00993B55">
        <w:rPr>
          <w:rStyle w:val="libFootnoteBoldChar"/>
          <w:rtl/>
        </w:rPr>
        <w:t>مرآة العقول</w:t>
      </w:r>
      <w:r w:rsidR="008A74EB" w:rsidRPr="00C9040A">
        <w:rPr>
          <w:rtl/>
        </w:rPr>
        <w:t xml:space="preserve"> ، ج 9 ، ص 406</w:t>
      </w:r>
      <w:r w:rsidR="008A74EB">
        <w:rPr>
          <w:rtl/>
        </w:rPr>
        <w:t xml:space="preserve"> </w:t>
      </w:r>
      <w:r w:rsidR="0084262C">
        <w:rPr>
          <w:rtl/>
        </w:rPr>
        <w:t>-</w:t>
      </w:r>
      <w:r w:rsidR="008A74EB">
        <w:rPr>
          <w:rtl/>
        </w:rPr>
        <w:t xml:space="preserve"> </w:t>
      </w:r>
      <w:r w:rsidR="008A74EB" w:rsidRPr="00C9040A">
        <w:rPr>
          <w:rtl/>
        </w:rPr>
        <w:t>407.</w:t>
      </w:r>
      <w:r w:rsidR="0058016D">
        <w:rPr>
          <w:rFonts w:hint="cs"/>
          <w:rtl/>
        </w:rPr>
        <w:t xml:space="preserve">                                         </w:t>
      </w:r>
      <w:r>
        <w:rPr>
          <w:rtl/>
        </w:rPr>
        <w:t>(4).</w:t>
      </w:r>
      <w:r w:rsidR="008A74EB" w:rsidRPr="00C9040A">
        <w:rPr>
          <w:rtl/>
        </w:rPr>
        <w:t xml:space="preserve"> في « ض » </w:t>
      </w:r>
      <w:r w:rsidR="008A74EB">
        <w:rPr>
          <w:rtl/>
        </w:rPr>
        <w:t xml:space="preserve">: </w:t>
      </w:r>
      <w:r w:rsidR="0084262C">
        <w:rPr>
          <w:rtl/>
        </w:rPr>
        <w:t>-</w:t>
      </w:r>
      <w:r w:rsidR="008A74EB" w:rsidRPr="00C9040A">
        <w:rPr>
          <w:rtl/>
        </w:rPr>
        <w:t xml:space="preserve"> « ملعون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w:t>
      </w:r>
      <w:r w:rsidR="008A74EB" w:rsidRPr="00993B55">
        <w:rPr>
          <w:rStyle w:val="libFootnoteBoldChar"/>
          <w:rtl/>
        </w:rPr>
        <w:t>مرآة العقول</w:t>
      </w:r>
      <w:r w:rsidR="008A74EB" w:rsidRPr="00C9040A">
        <w:rPr>
          <w:rtl/>
        </w:rPr>
        <w:t xml:space="preserve"> : « ربما يقرأ « نكّح » بالتشديد على بعض الوجوه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الكافي</w:t>
      </w:r>
      <w:r w:rsidR="008A74EB" w:rsidRPr="00C9040A">
        <w:rPr>
          <w:rtl/>
        </w:rPr>
        <w:t xml:space="preserve"> ، كتاب النكاح ، باب الخضخضة ونكاح البهيمة ، ح 10306 ، وتمام الرواية فيه : « ملعون ملعون من نكح بهيمة »</w:t>
      </w:r>
      <w:r w:rsidR="008A74EB">
        <w:rPr>
          <w:rtl/>
        </w:rPr>
        <w:t>.</w:t>
      </w:r>
      <w:r w:rsidR="008A74EB" w:rsidRPr="00C9040A">
        <w:rPr>
          <w:rtl/>
        </w:rPr>
        <w:t xml:space="preserve"> وفي </w:t>
      </w:r>
      <w:r w:rsidR="008A74EB" w:rsidRPr="00993B55">
        <w:rPr>
          <w:rStyle w:val="libFootnoteBoldChar"/>
          <w:rtl/>
        </w:rPr>
        <w:t>الخصال</w:t>
      </w:r>
      <w:r w:rsidR="008A74EB" w:rsidRPr="00C9040A">
        <w:rPr>
          <w:rtl/>
        </w:rPr>
        <w:t xml:space="preserve"> ، ص 129 ، باب الثلاثة ، ح 132 ؛ </w:t>
      </w:r>
      <w:r w:rsidR="008A74EB" w:rsidRPr="0058016D">
        <w:rPr>
          <w:rStyle w:val="libFootnoteBoldChar"/>
          <w:rtl/>
        </w:rPr>
        <w:t>ومع</w:t>
      </w:r>
      <w:r w:rsidR="008A74EB" w:rsidRPr="00993B55">
        <w:rPr>
          <w:rStyle w:val="libFootnoteBoldChar"/>
          <w:rtl/>
        </w:rPr>
        <w:t xml:space="preserve">اني الأخبار </w:t>
      </w:r>
      <w:r w:rsidR="008A74EB" w:rsidRPr="00C9040A">
        <w:rPr>
          <w:rtl/>
        </w:rPr>
        <w:t xml:space="preserve">، ص 402 ، ح 67 ، بسندهما عن محمّد بن إبراهيم النوفلي ، عن الحسين بن المختار بإسناده رفعه ، قال : قال رسول الله </w:t>
      </w:r>
      <w:r w:rsidR="004A4E41" w:rsidRPr="0058016D">
        <w:rPr>
          <w:rStyle w:val="libFootnoteAlaemChar"/>
          <w:rtl/>
        </w:rPr>
        <w:t>صلى‌الله‌عليه‌وآله</w:t>
      </w:r>
      <w:r w:rsidR="008A74EB" w:rsidRPr="00C9040A">
        <w:rPr>
          <w:rtl/>
        </w:rPr>
        <w:t xml:space="preserve"> ، مع اختلاف يسير </w:t>
      </w:r>
      <w:r w:rsidR="0058016D">
        <w:rPr>
          <w:rFonts w:hint="cs"/>
          <w:rtl/>
        </w:rPr>
        <w:t>.</w:t>
      </w:r>
      <w:r w:rsidR="008A74EB" w:rsidRPr="00993B55">
        <w:rPr>
          <w:rStyle w:val="libFootnoteBoldChar"/>
          <w:rtl/>
        </w:rPr>
        <w:t>الوافي</w:t>
      </w:r>
      <w:r w:rsidR="008A74EB" w:rsidRPr="00C9040A">
        <w:rPr>
          <w:rtl/>
        </w:rPr>
        <w:t xml:space="preserve"> ، ج 5 ، ص 1068 ، ح 3594 ؛ </w:t>
      </w:r>
      <w:r w:rsidR="008A74EB" w:rsidRPr="00993B55">
        <w:rPr>
          <w:rStyle w:val="libFootnoteBoldChar"/>
          <w:rtl/>
        </w:rPr>
        <w:t>البحار</w:t>
      </w:r>
      <w:r w:rsidR="008A74EB" w:rsidRPr="00C9040A">
        <w:rPr>
          <w:rtl/>
        </w:rPr>
        <w:t xml:space="preserve"> ، ج 73 ، ص 319 ، ح 7.</w:t>
      </w:r>
    </w:p>
    <w:tbl>
      <w:tblPr>
        <w:tblStyle w:val="TableGrid"/>
        <w:bidiVisual/>
        <w:tblW w:w="0" w:type="auto"/>
        <w:tblLook w:val="04A0" w:firstRow="1" w:lastRow="0" w:firstColumn="1" w:lastColumn="0" w:noHBand="0" w:noVBand="1"/>
      </w:tblPr>
      <w:tblGrid>
        <w:gridCol w:w="4006"/>
        <w:gridCol w:w="4006"/>
      </w:tblGrid>
      <w:tr w:rsidR="0058016D" w:rsidTr="0058016D">
        <w:tc>
          <w:tcPr>
            <w:tcW w:w="4006" w:type="dxa"/>
          </w:tcPr>
          <w:p w:rsidR="0058016D" w:rsidRDefault="0058016D" w:rsidP="004A4E41">
            <w:pPr>
              <w:pStyle w:val="libFootnote0"/>
              <w:rPr>
                <w:rtl/>
              </w:rPr>
            </w:pPr>
            <w:r>
              <w:rPr>
                <w:rtl/>
              </w:rPr>
              <w:t>(7).</w:t>
            </w:r>
            <w:r w:rsidRPr="00C9040A">
              <w:rPr>
                <w:rtl/>
              </w:rPr>
              <w:t xml:space="preserve"> في « بس » </w:t>
            </w:r>
            <w:r>
              <w:rPr>
                <w:rtl/>
              </w:rPr>
              <w:t>: -</w:t>
            </w:r>
            <w:r w:rsidRPr="00C9040A">
              <w:rPr>
                <w:rtl/>
              </w:rPr>
              <w:t xml:space="preserve"> « بن محمّد »</w:t>
            </w:r>
            <w:r>
              <w:rPr>
                <w:rtl/>
              </w:rPr>
              <w:t>.</w:t>
            </w:r>
          </w:p>
        </w:tc>
        <w:tc>
          <w:tcPr>
            <w:tcW w:w="4006" w:type="dxa"/>
          </w:tcPr>
          <w:p w:rsidR="0058016D" w:rsidRDefault="0058016D" w:rsidP="004A4E41">
            <w:pPr>
              <w:pStyle w:val="libFootnote0"/>
              <w:rPr>
                <w:rtl/>
              </w:rPr>
            </w:pPr>
            <w:r>
              <w:rPr>
                <w:rtl/>
              </w:rPr>
              <w:t>(8).</w:t>
            </w:r>
            <w:r w:rsidRPr="00C9040A">
              <w:rPr>
                <w:rtl/>
              </w:rPr>
              <w:t xml:space="preserve"> في « بس » </w:t>
            </w:r>
            <w:r>
              <w:rPr>
                <w:rtl/>
              </w:rPr>
              <w:t>: -</w:t>
            </w:r>
            <w:r w:rsidRPr="00C9040A">
              <w:rPr>
                <w:rtl/>
              </w:rPr>
              <w:t xml:space="preserve"> « عليّ »</w:t>
            </w:r>
            <w:r>
              <w:rPr>
                <w:rtl/>
              </w:rPr>
              <w:t>.</w:t>
            </w:r>
          </w:p>
        </w:tc>
      </w:tr>
    </w:tbl>
    <w:p w:rsidR="008A74EB" w:rsidRPr="00C9040A" w:rsidRDefault="006C577F" w:rsidP="004A4E41">
      <w:pPr>
        <w:pStyle w:val="libFootnote0"/>
        <w:rPr>
          <w:rtl/>
          <w:lang w:bidi="fa-IR"/>
        </w:rPr>
      </w:pPr>
      <w:r>
        <w:rPr>
          <w:rtl/>
        </w:rPr>
        <w:t>(9).</w:t>
      </w:r>
      <w:r w:rsidR="008A74EB" w:rsidRPr="00C9040A">
        <w:rPr>
          <w:rtl/>
        </w:rPr>
        <w:t xml:space="preserve"> في « ب ، ز » والبحار : + « الله »</w:t>
      </w:r>
      <w:r w:rsidR="008A74EB">
        <w:rPr>
          <w:rtl/>
        </w:rPr>
        <w:t>.</w:t>
      </w:r>
      <w:r w:rsidR="008A74EB" w:rsidRPr="00C9040A">
        <w:rPr>
          <w:rtl/>
        </w:rPr>
        <w:t xml:space="preserve"> وفي « </w:t>
      </w:r>
      <w:r w:rsidR="006D3162">
        <w:rPr>
          <w:rtl/>
        </w:rPr>
        <w:t xml:space="preserve">ه </w:t>
      </w:r>
      <w:r w:rsidR="008A74EB" w:rsidRPr="00C9040A">
        <w:rPr>
          <w:rtl/>
        </w:rPr>
        <w:t>» : + « الله جلّ وعزّ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كذا في النسخ. وفي القرآن : </w:t>
      </w:r>
      <w:r w:rsidR="008A74EB" w:rsidRPr="0058016D">
        <w:rPr>
          <w:rStyle w:val="libFootnoteAlaemChar"/>
          <w:rtl/>
        </w:rPr>
        <w:t>(</w:t>
      </w:r>
      <w:r w:rsidR="008A74EB" w:rsidRPr="00883DD5">
        <w:rPr>
          <w:rStyle w:val="libFootnoteAieChar"/>
          <w:rFonts w:hint="cs"/>
          <w:rtl/>
        </w:rPr>
        <w:t xml:space="preserve"> </w:t>
      </w:r>
      <w:r w:rsidR="008A74EB" w:rsidRPr="00883DD5">
        <w:rPr>
          <w:rStyle w:val="libFootnoteAieChar"/>
          <w:rtl/>
        </w:rPr>
        <w:t>وَنَكْتُبُ</w:t>
      </w:r>
      <w:r w:rsidR="008A74EB" w:rsidRPr="00883DD5">
        <w:rPr>
          <w:rStyle w:val="libFootnoteAieChar"/>
          <w:rFonts w:hint="cs"/>
          <w:rtl/>
        </w:rPr>
        <w:t xml:space="preserve"> </w:t>
      </w:r>
      <w:r w:rsidR="008A74EB" w:rsidRPr="0058016D">
        <w:rPr>
          <w:rStyle w:val="libFootnoteAlaemChar"/>
          <w:rtl/>
        </w:rPr>
        <w:t>)</w:t>
      </w:r>
      <w:r w:rsidR="008A74EB" w:rsidRPr="00C9040A">
        <w:rPr>
          <w:rtl/>
        </w:rPr>
        <w:t xml:space="preserve">. قال في </w:t>
      </w:r>
      <w:r w:rsidR="008A74EB" w:rsidRPr="00993B55">
        <w:rPr>
          <w:rStyle w:val="libFootnoteBoldChar"/>
          <w:rtl/>
        </w:rPr>
        <w:t>مرآة العقول</w:t>
      </w:r>
      <w:r w:rsidR="008A74EB" w:rsidRPr="00C9040A">
        <w:rPr>
          <w:rtl/>
        </w:rPr>
        <w:t xml:space="preserve"> : « وكأنّه</w:t>
      </w:r>
      <w:r w:rsidR="008A74EB">
        <w:rPr>
          <w:rtl/>
        </w:rPr>
        <w:t xml:space="preserve"> </w:t>
      </w:r>
      <w:r w:rsidR="0084262C">
        <w:rPr>
          <w:rtl/>
        </w:rPr>
        <w:t>-</w:t>
      </w:r>
      <w:r w:rsidR="008A74EB">
        <w:rPr>
          <w:rtl/>
        </w:rPr>
        <w:t xml:space="preserve"> </w:t>
      </w:r>
      <w:r w:rsidR="008A74EB" w:rsidRPr="00C9040A">
        <w:rPr>
          <w:rtl/>
        </w:rPr>
        <w:t>أي‌</w:t>
      </w:r>
      <w:r w:rsidR="0058016D">
        <w:rPr>
          <w:rFonts w:hint="cs"/>
          <w:rtl/>
        </w:rPr>
        <w:t xml:space="preserve"> </w:t>
      </w:r>
      <w:r w:rsidR="008A74EB" w:rsidRPr="00C9040A">
        <w:rPr>
          <w:rtl/>
        </w:rPr>
        <w:t>إضافة السين</w:t>
      </w:r>
      <w:r w:rsidR="008A74EB">
        <w:rPr>
          <w:rtl/>
        </w:rPr>
        <w:t xml:space="preserve"> </w:t>
      </w:r>
      <w:r w:rsidR="0084262C">
        <w:rPr>
          <w:rtl/>
        </w:rPr>
        <w:t>-</w:t>
      </w:r>
      <w:r w:rsidR="008A74EB">
        <w:rPr>
          <w:rtl/>
        </w:rPr>
        <w:t xml:space="preserve"> </w:t>
      </w:r>
      <w:r w:rsidR="008A74EB" w:rsidRPr="00C9040A">
        <w:rPr>
          <w:rtl/>
        </w:rPr>
        <w:t>من النسّاخ أو الرواة. وقيل : هذا نقل للآية بالمعنى ؛ لبيان أنّ هذه الكتابة تكون بعد إحياء الموتى على أجسادهم لفضيحتهم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6A2246">
        <w:rPr>
          <w:rStyle w:val="libAieChar"/>
          <w:rtl/>
        </w:rPr>
        <w:t xml:space="preserve">ما قَدَّمُوا وَآثارَهُمْ وَكُلَّ شَيْ‌ءٍ أَحْصَيْناهُ فِي إِمامٍ مُبِينٍ </w:t>
      </w:r>
      <w:r w:rsidRPr="0003660B">
        <w:rPr>
          <w:rStyle w:val="libAlaemChar"/>
          <w:rtl/>
        </w:rPr>
        <w:t>)</w:t>
      </w:r>
      <w:r w:rsidRPr="00C9040A">
        <w:rPr>
          <w:rtl/>
          <w:lang w:bidi="fa-IR"/>
        </w:rPr>
        <w:t xml:space="preserve"> </w:t>
      </w:r>
      <w:r w:rsidR="006C577F" w:rsidRPr="006C577F">
        <w:rPr>
          <w:rStyle w:val="libFootnotenumChar"/>
          <w:rtl/>
        </w:rPr>
        <w:t>(1)</w:t>
      </w:r>
      <w:r w:rsidRPr="00C9040A">
        <w:rPr>
          <w:rtl/>
          <w:lang w:bidi="fa-IR"/>
        </w:rPr>
        <w:t xml:space="preserve"> وَقَالَ </w:t>
      </w:r>
      <w:r w:rsidR="006C577F" w:rsidRPr="006C577F">
        <w:rPr>
          <w:rStyle w:val="libFootnotenumChar"/>
          <w:rtl/>
        </w:rPr>
        <w:t>(2)</w:t>
      </w:r>
      <w:r w:rsidRPr="00C9040A">
        <w:rPr>
          <w:rtl/>
          <w:lang w:bidi="fa-IR"/>
        </w:rPr>
        <w:t xml:space="preserve"> عَزَّ وَجَلَّ : </w:t>
      </w:r>
      <w:r w:rsidRPr="0003660B">
        <w:rPr>
          <w:rStyle w:val="libAlaemChar"/>
          <w:rtl/>
        </w:rPr>
        <w:t>(</w:t>
      </w:r>
      <w:r w:rsidRPr="006A2246">
        <w:rPr>
          <w:rStyle w:val="libAieChar"/>
          <w:rtl/>
        </w:rPr>
        <w:t xml:space="preserve"> إِنَّها إِنْ تَكُ مِثْقالَ حَبَّةٍ مِنْ خَرْدَلٍ فَتَكُنْ فِي صَخْرَةٍ أَوْ فِي السَّماواتِ أَوْ فِي الْأَرْضِ يَأْتِ بِهَا اللهُ إِنَّ اللهَ لَطِيفٌ خَبِيرٌ </w:t>
      </w:r>
      <w:r w:rsidRPr="0003660B">
        <w:rPr>
          <w:rStyle w:val="libAlaemChar"/>
          <w:rtl/>
        </w:rPr>
        <w:t>)</w:t>
      </w:r>
      <w:r w:rsidRPr="00C9040A">
        <w:rPr>
          <w:rtl/>
          <w:lang w:bidi="fa-IR"/>
        </w:rPr>
        <w:t xml:space="preserve"> </w:t>
      </w:r>
      <w:r w:rsidR="006C577F" w:rsidRPr="006C577F">
        <w:rPr>
          <w:rStyle w:val="libFootnotenumChar"/>
          <w:rtl/>
        </w:rPr>
        <w:t>(3)</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052D06">
        <w:rPr>
          <w:rtl/>
        </w:rPr>
        <w:t>2421</w:t>
      </w:r>
      <w:r w:rsidRPr="00261CB0">
        <w:rPr>
          <w:rStyle w:val="libBold2Char"/>
          <w:rtl/>
        </w:rPr>
        <w:t xml:space="preserve"> / 11.</w:t>
      </w:r>
      <w:r w:rsidRPr="00C9040A">
        <w:rPr>
          <w:rtl/>
          <w:lang w:bidi="fa-IR"/>
        </w:rPr>
        <w:t xml:space="preserve"> أَبُو عَلِيٍّ الْأَشْعَرِيُّ ، عَنْ مُحَمَّدِ بْنِ عَبْدِ الْجَبَّارِ ، عَنِ ابْنِ فَضَّالٍ </w:t>
      </w:r>
      <w:r w:rsidR="006C577F" w:rsidRPr="006C577F">
        <w:rPr>
          <w:rStyle w:val="libFootnotenumChar"/>
          <w:rtl/>
        </w:rPr>
        <w:t>(5)</w:t>
      </w:r>
      <w:r w:rsidRPr="00C9040A">
        <w:rPr>
          <w:rtl/>
          <w:lang w:bidi="fa-IR"/>
        </w:rPr>
        <w:t xml:space="preserve"> ، عَنْ ثَعْلَبَةَ ، عَنْ سُلَيْمَانَ بْنِ طَرِيفٍ </w:t>
      </w:r>
      <w:r w:rsidR="006C577F" w:rsidRPr="006C577F">
        <w:rPr>
          <w:rStyle w:val="libFootnotenumChar"/>
          <w:rtl/>
        </w:rPr>
        <w:t>(6)</w:t>
      </w:r>
      <w:r w:rsidRPr="005B567D">
        <w:rPr>
          <w:rStyle w:val="libFootnotenumChar"/>
          <w:rtl/>
        </w:rPr>
        <w:t xml:space="preserve"> </w:t>
      </w:r>
      <w:r w:rsidRPr="00C9040A">
        <w:rPr>
          <w:rtl/>
          <w:lang w:bidi="fa-IR"/>
        </w:rPr>
        <w:t>، عَنْ مُحَمَّدِ بْنِ مُسْلِمٍ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سَمِعْتُهُ يَقُولُ : « إِنَّ الذَّنْبَ يَحْرِمُ الْعَبْدَ الرِّزْقَ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052D06">
        <w:rPr>
          <w:rtl/>
        </w:rPr>
        <w:t>2422</w:t>
      </w:r>
      <w:r w:rsidRPr="00261CB0">
        <w:rPr>
          <w:rStyle w:val="libBold2Char"/>
          <w:rtl/>
        </w:rPr>
        <w:t xml:space="preserve"> / 12.</w:t>
      </w:r>
      <w:r w:rsidRPr="00C9040A">
        <w:rPr>
          <w:rtl/>
          <w:lang w:bidi="fa-IR"/>
        </w:rPr>
        <w:t xml:space="preserve"> مُحَمَّدُ بْنُ يَحْيى ، عَنْ عَبْدِ اللهِ بْنِ مُحَمَّدٍ ، عَنْ عَلِيِّ بْنِ الْحَكَمِ ، عَنْ أَبَانِ بْنِ عُثْمَانَ ، عَنِ الْفُضَيْلِ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إِنَّ الرَّجُلَ لَيُذْنِبُ الذَّنْبَ ، فَيُدْرَأُ </w:t>
      </w:r>
      <w:r w:rsidR="006C577F" w:rsidRPr="006C577F">
        <w:rPr>
          <w:rStyle w:val="libFootnotenumChar"/>
          <w:rtl/>
        </w:rPr>
        <w:t>(8)</w:t>
      </w:r>
      <w:r w:rsidRPr="00C9040A">
        <w:rPr>
          <w:rtl/>
          <w:lang w:bidi="fa-IR"/>
        </w:rPr>
        <w:t xml:space="preserve"> عَنْهُ الرِّزْقُ » ، وَتَلَا هذِهِ الْآيَةَ : </w:t>
      </w:r>
      <w:r w:rsidRPr="0003660B">
        <w:rPr>
          <w:rStyle w:val="libAlaemChar"/>
          <w:rtl/>
        </w:rPr>
        <w:t>(</w:t>
      </w:r>
      <w:r w:rsidRPr="006A2246">
        <w:rPr>
          <w:rStyle w:val="libAieChar"/>
          <w:rtl/>
        </w:rPr>
        <w:t xml:space="preserve"> إِذْ أَقْسَمُوا لَيَصْرِمُنَّها مُصْبِحِينَ </w:t>
      </w:r>
      <w:r w:rsidR="0058016D">
        <w:rPr>
          <w:rStyle w:val="libAieChar"/>
          <w:rFonts w:hint="cs"/>
          <w:rtl/>
        </w:rPr>
        <w:t xml:space="preserve">* </w:t>
      </w:r>
      <w:r w:rsidRPr="006A2246">
        <w:rPr>
          <w:rStyle w:val="libAieChar"/>
          <w:rtl/>
        </w:rPr>
        <w:t xml:space="preserve">وَلا يَسْتَثْنُونَ </w:t>
      </w:r>
      <w:r w:rsidR="0058016D">
        <w:rPr>
          <w:rStyle w:val="libAieChar"/>
          <w:rFonts w:hint="cs"/>
          <w:rtl/>
        </w:rPr>
        <w:t xml:space="preserve">* </w:t>
      </w:r>
      <w:r w:rsidRPr="006A2246">
        <w:rPr>
          <w:rStyle w:val="libAieChar"/>
          <w:rtl/>
        </w:rPr>
        <w:t>فَطافَ عَلَيْها طائِفٌ مِنْ رَبِّكَ وَهُمْ</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يس (36) : 12.</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ص » : « فقال »</w:t>
      </w:r>
      <w:r w:rsidR="008A74EB">
        <w:rPr>
          <w:rtl/>
        </w:rPr>
        <w:t>.</w:t>
      </w:r>
      <w:r w:rsidR="008A74EB" w:rsidRPr="00C9040A">
        <w:rPr>
          <w:rtl/>
        </w:rPr>
        <w:t xml:space="preserve"> وفي « د ، </w:t>
      </w:r>
      <w:r w:rsidR="006D3162">
        <w:rPr>
          <w:rtl/>
        </w:rPr>
        <w:t xml:space="preserve">ه </w:t>
      </w:r>
      <w:r w:rsidR="008A74EB" w:rsidRPr="00C9040A">
        <w:rPr>
          <w:rtl/>
        </w:rPr>
        <w:t>» : + « الله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لقمان (31) : 16.</w:t>
      </w:r>
    </w:p>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الكافي</w:t>
      </w:r>
      <w:r w:rsidR="008A74EB" w:rsidRPr="00C9040A">
        <w:rPr>
          <w:rtl/>
        </w:rPr>
        <w:t xml:space="preserve"> ، كتاب الإيمان والكفر ، باب استصغار الذنب ، ذيل ح 2469 ، بسند آخر عن أبي‌عبدالله </w:t>
      </w:r>
      <w:r w:rsidR="00117575" w:rsidRPr="00117575">
        <w:rPr>
          <w:rStyle w:val="libFootnoteAlaemChar"/>
          <w:rtl/>
        </w:rPr>
        <w:t>عليه‌السلام</w:t>
      </w:r>
      <w:r w:rsidR="008A74EB" w:rsidRPr="00C9040A">
        <w:rPr>
          <w:rtl/>
        </w:rPr>
        <w:t xml:space="preserve"> عن رسول الله </w:t>
      </w:r>
      <w:r w:rsidR="004A4E41" w:rsidRPr="0058016D">
        <w:rPr>
          <w:rStyle w:val="libFootnoteAlaemChar"/>
          <w:rtl/>
        </w:rPr>
        <w:t>صلى‌الله‌عليه‌وآله</w:t>
      </w:r>
      <w:r w:rsidR="008A74EB" w:rsidRPr="00C9040A">
        <w:rPr>
          <w:rtl/>
        </w:rPr>
        <w:t xml:space="preserve"> ، إلى قوله : </w:t>
      </w:r>
      <w:r w:rsidR="008A74EB" w:rsidRPr="0058016D">
        <w:rPr>
          <w:rStyle w:val="libFootnoteAlaemChar"/>
          <w:rtl/>
        </w:rPr>
        <w:t>(</w:t>
      </w:r>
      <w:r w:rsidR="008A74EB" w:rsidRPr="00883DD5">
        <w:rPr>
          <w:rStyle w:val="libFootnoteAieChar"/>
          <w:rFonts w:hint="cs"/>
          <w:rtl/>
        </w:rPr>
        <w:t xml:space="preserve"> </w:t>
      </w:r>
      <w:r w:rsidR="008A74EB" w:rsidRPr="00883DD5">
        <w:rPr>
          <w:rStyle w:val="libFootnoteAieChar"/>
          <w:rtl/>
        </w:rPr>
        <w:t>فِي إِم</w:t>
      </w:r>
      <w:r w:rsidR="0058016D">
        <w:rPr>
          <w:rStyle w:val="libFootnoteAieChar"/>
          <w:rFonts w:hint="cs"/>
          <w:rtl/>
        </w:rPr>
        <w:t>َ</w:t>
      </w:r>
      <w:r w:rsidR="008A74EB" w:rsidRPr="00883DD5">
        <w:rPr>
          <w:rStyle w:val="libFootnoteAieChar"/>
          <w:rtl/>
        </w:rPr>
        <w:t>امٍ مُ</w:t>
      </w:r>
      <w:r w:rsidR="0058016D">
        <w:rPr>
          <w:rStyle w:val="libFootnoteAieChar"/>
          <w:rFonts w:hint="cs"/>
          <w:rtl/>
        </w:rPr>
        <w:t>ّ</w:t>
      </w:r>
      <w:r w:rsidR="008A74EB" w:rsidRPr="00883DD5">
        <w:rPr>
          <w:rStyle w:val="libFootnoteAieChar"/>
          <w:rtl/>
        </w:rPr>
        <w:t>بِينٍ</w:t>
      </w:r>
      <w:r w:rsidR="008A74EB" w:rsidRPr="00883DD5">
        <w:rPr>
          <w:rStyle w:val="libFootnoteAieChar"/>
          <w:rFonts w:hint="cs"/>
          <w:rtl/>
        </w:rPr>
        <w:t xml:space="preserve"> </w:t>
      </w:r>
      <w:r w:rsidR="008A74EB" w:rsidRPr="0058016D">
        <w:rPr>
          <w:rStyle w:val="libFootnoteAlaemChar"/>
          <w:rtl/>
        </w:rPr>
        <w:t>)</w:t>
      </w:r>
      <w:r w:rsidR="008A74EB" w:rsidRPr="00C9040A">
        <w:rPr>
          <w:rtl/>
        </w:rPr>
        <w:t xml:space="preserve"> مع اختلاف يسير </w:t>
      </w:r>
      <w:r w:rsidR="0058016D">
        <w:rPr>
          <w:rFonts w:hint="cs"/>
          <w:rtl/>
        </w:rPr>
        <w:t>.</w:t>
      </w:r>
      <w:r w:rsidR="008A74EB" w:rsidRPr="00993B55">
        <w:rPr>
          <w:rStyle w:val="libFootnoteBoldChar"/>
          <w:rtl/>
        </w:rPr>
        <w:t>الوافي</w:t>
      </w:r>
      <w:r w:rsidR="008A74EB" w:rsidRPr="00C9040A">
        <w:rPr>
          <w:rtl/>
        </w:rPr>
        <w:t xml:space="preserve"> ، ج 5 ، ص 1010 ، ح 3495 ؛ </w:t>
      </w:r>
      <w:r w:rsidR="008A74EB" w:rsidRPr="00993B55">
        <w:rPr>
          <w:rStyle w:val="libFootnoteBoldChar"/>
          <w:rtl/>
        </w:rPr>
        <w:t>الوسائل</w:t>
      </w:r>
      <w:r w:rsidR="008A74EB" w:rsidRPr="00C9040A">
        <w:rPr>
          <w:rtl/>
        </w:rPr>
        <w:t xml:space="preserve"> ، ج 15 ، ص 311 ، ح 20606 ؛ </w:t>
      </w:r>
      <w:r w:rsidR="008A74EB" w:rsidRPr="00993B55">
        <w:rPr>
          <w:rStyle w:val="libFootnoteBoldChar"/>
          <w:rtl/>
        </w:rPr>
        <w:t>البحار</w:t>
      </w:r>
      <w:r w:rsidR="008A74EB" w:rsidRPr="00C9040A">
        <w:rPr>
          <w:rtl/>
        </w:rPr>
        <w:t xml:space="preserve"> ، ج 73 ، ص 321 ، ح 8.</w:t>
      </w:r>
    </w:p>
    <w:p w:rsidR="008A74EB" w:rsidRPr="00C9040A" w:rsidRDefault="006C577F" w:rsidP="004A4E41">
      <w:pPr>
        <w:pStyle w:val="libFootnote0"/>
        <w:rPr>
          <w:rtl/>
          <w:lang w:bidi="fa-IR"/>
        </w:rPr>
      </w:pPr>
      <w:r>
        <w:rPr>
          <w:rtl/>
        </w:rPr>
        <w:t>(5).</w:t>
      </w:r>
      <w:r w:rsidR="008A74EB" w:rsidRPr="00C9040A">
        <w:rPr>
          <w:rtl/>
        </w:rPr>
        <w:t xml:space="preserve"> في الوسائل </w:t>
      </w:r>
      <w:r w:rsidR="008A74EB">
        <w:rPr>
          <w:rtl/>
        </w:rPr>
        <w:t xml:space="preserve">: </w:t>
      </w:r>
      <w:r w:rsidR="0084262C">
        <w:rPr>
          <w:rtl/>
        </w:rPr>
        <w:t>-</w:t>
      </w:r>
      <w:r w:rsidR="008A74EB" w:rsidRPr="00C9040A">
        <w:rPr>
          <w:rtl/>
        </w:rPr>
        <w:t xml:space="preserve"> « عن ابن فضّال »</w:t>
      </w:r>
      <w:r w:rsidR="008A74EB">
        <w:rPr>
          <w:rtl/>
        </w:rPr>
        <w:t>.</w:t>
      </w:r>
      <w:r w:rsidR="008A74EB" w:rsidRPr="00C9040A">
        <w:rPr>
          <w:rtl/>
        </w:rPr>
        <w:t xml:space="preserve"> وهو سهو ؛ فقد روى [ الحس</w:t>
      </w:r>
      <w:r w:rsidR="0058016D">
        <w:rPr>
          <w:rtl/>
        </w:rPr>
        <w:t>ن بن عليّ ] بن فضّال عن ثعلبة [بن ميمون</w:t>
      </w:r>
      <w:r w:rsidR="008A74EB" w:rsidRPr="00C9040A">
        <w:rPr>
          <w:rtl/>
        </w:rPr>
        <w:t xml:space="preserve">] في‌كثيرٍ من الأسناد ، وقد توسّط ابن فضّال في بعضها بين محمّد بن عبدالجبّار وبين ثعلبة. راجع : </w:t>
      </w:r>
      <w:r w:rsidR="008A74EB" w:rsidRPr="00993B55">
        <w:rPr>
          <w:rStyle w:val="libFootnoteBoldChar"/>
          <w:rtl/>
        </w:rPr>
        <w:t>معجم الرجال الحديث</w:t>
      </w:r>
      <w:r w:rsidR="008A74EB" w:rsidRPr="00C9040A">
        <w:rPr>
          <w:rtl/>
        </w:rPr>
        <w:t xml:space="preserve"> ، ج 5 ، ص 306</w:t>
      </w:r>
      <w:r w:rsidR="008A74EB">
        <w:rPr>
          <w:rtl/>
        </w:rPr>
        <w:t xml:space="preserve"> </w:t>
      </w:r>
      <w:r w:rsidR="0084262C">
        <w:rPr>
          <w:rtl/>
        </w:rPr>
        <w:t>-</w:t>
      </w:r>
      <w:r w:rsidR="008A74EB">
        <w:rPr>
          <w:rtl/>
        </w:rPr>
        <w:t xml:space="preserve"> </w:t>
      </w:r>
      <w:r w:rsidR="008A74EB" w:rsidRPr="00C9040A">
        <w:rPr>
          <w:rtl/>
        </w:rPr>
        <w:t>305 ؛ وج 23 ، ص 218</w:t>
      </w:r>
      <w:r w:rsidR="008A74EB">
        <w:rPr>
          <w:rtl/>
        </w:rPr>
        <w:t xml:space="preserve"> </w:t>
      </w:r>
      <w:r w:rsidR="0084262C">
        <w:rPr>
          <w:rtl/>
        </w:rPr>
        <w:t>-</w:t>
      </w:r>
      <w:r w:rsidR="008A74EB">
        <w:rPr>
          <w:rtl/>
        </w:rPr>
        <w:t xml:space="preserve"> </w:t>
      </w:r>
      <w:r w:rsidR="008A74EB" w:rsidRPr="00C9040A">
        <w:rPr>
          <w:rtl/>
        </w:rPr>
        <w:t>220.</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 ج ، </w:t>
      </w:r>
      <w:r w:rsidR="006D3162">
        <w:rPr>
          <w:rtl/>
        </w:rPr>
        <w:t xml:space="preserve">ه </w:t>
      </w:r>
      <w:r w:rsidR="008A74EB" w:rsidRPr="00C9040A">
        <w:rPr>
          <w:rtl/>
        </w:rPr>
        <w:t>» : « ظريف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المحاسن</w:t>
      </w:r>
      <w:r w:rsidR="008A74EB" w:rsidRPr="00C9040A">
        <w:rPr>
          <w:rtl/>
        </w:rPr>
        <w:t xml:space="preserve"> ، ص 116 ، كتاب عقاب الأعمال ، ح 145 ، بسند آخر ، وتمام الرواية فيه : « إنّ المؤمن لينوي الذنب ، فيحرم رزقه »</w:t>
      </w:r>
      <w:r w:rsidR="008A74EB">
        <w:rPr>
          <w:rtl/>
        </w:rPr>
        <w:t>.</w:t>
      </w:r>
      <w:r w:rsidR="008A74EB" w:rsidRPr="00C9040A">
        <w:rPr>
          <w:rtl/>
        </w:rPr>
        <w:t xml:space="preserve"> </w:t>
      </w:r>
      <w:r w:rsidR="008A74EB" w:rsidRPr="00993B55">
        <w:rPr>
          <w:rStyle w:val="libFootnoteBoldChar"/>
          <w:rtl/>
        </w:rPr>
        <w:t>قرب الإسناد</w:t>
      </w:r>
      <w:r w:rsidR="008A74EB" w:rsidRPr="00C9040A">
        <w:rPr>
          <w:rtl/>
        </w:rPr>
        <w:t xml:space="preserve"> ، ص 32 ، ح 104 ، بسند آخر ، وتمام الرواية فيه : « إنّ المؤمن ليأتي الذنب ، فيحرم به الرزق » مع زيادة في أوّله </w:t>
      </w:r>
      <w:r w:rsidR="00301C3F">
        <w:rPr>
          <w:rFonts w:hint="cs"/>
          <w:rtl/>
        </w:rPr>
        <w:t>.</w:t>
      </w:r>
      <w:r w:rsidR="008A74EB" w:rsidRPr="00993B55">
        <w:rPr>
          <w:rStyle w:val="libFootnoteBoldChar"/>
          <w:rtl/>
        </w:rPr>
        <w:t>الوافي</w:t>
      </w:r>
      <w:r w:rsidR="008A74EB" w:rsidRPr="00C9040A">
        <w:rPr>
          <w:rtl/>
        </w:rPr>
        <w:t xml:space="preserve"> ، ج 5 ، ص 1000 ، ح 3467 ؛ </w:t>
      </w:r>
      <w:r w:rsidR="008A74EB" w:rsidRPr="00993B55">
        <w:rPr>
          <w:rStyle w:val="libFootnoteBoldChar"/>
          <w:rtl/>
        </w:rPr>
        <w:t>الوسائل</w:t>
      </w:r>
      <w:r w:rsidR="008A74EB" w:rsidRPr="00C9040A">
        <w:rPr>
          <w:rtl/>
        </w:rPr>
        <w:t xml:space="preserve"> ، ج 15 ، ص 301 ، ح 20574.</w:t>
      </w:r>
    </w:p>
    <w:p w:rsidR="008A74EB" w:rsidRPr="00C9040A" w:rsidRDefault="006C577F" w:rsidP="004A4E41">
      <w:pPr>
        <w:pStyle w:val="libFootnote0"/>
        <w:rPr>
          <w:rtl/>
          <w:lang w:bidi="fa-IR"/>
        </w:rPr>
      </w:pPr>
      <w:r>
        <w:rPr>
          <w:rtl/>
        </w:rPr>
        <w:t>(8).</w:t>
      </w:r>
      <w:r w:rsidR="008A74EB" w:rsidRPr="00C9040A">
        <w:rPr>
          <w:rtl/>
        </w:rPr>
        <w:t xml:space="preserve"> الدَّرْءُ : الدفع. </w:t>
      </w:r>
      <w:r w:rsidR="008A74EB" w:rsidRPr="00993B55">
        <w:rPr>
          <w:rStyle w:val="libFootnoteBoldChar"/>
          <w:rtl/>
        </w:rPr>
        <w:t>لسان العرب</w:t>
      </w:r>
      <w:r w:rsidR="008A74EB" w:rsidRPr="00C9040A">
        <w:rPr>
          <w:rtl/>
        </w:rPr>
        <w:t xml:space="preserve"> ، ج 1 ، ص 71 ( درأ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 الفعل هنا على بناء المجهول ، ويحتمل</w:t>
      </w:r>
      <w:r w:rsidR="00301C3F">
        <w:rPr>
          <w:rFonts w:hint="cs"/>
          <w:rtl/>
        </w:rPr>
        <w:t xml:space="preserve"> </w:t>
      </w:r>
      <w:r w:rsidR="008A74EB" w:rsidRPr="00C9040A">
        <w:rPr>
          <w:rtl/>
        </w:rPr>
        <w:t>‌المعلوم بإرجاع المستتر إلى الذنب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301C3F">
      <w:pPr>
        <w:pStyle w:val="libNormal0"/>
        <w:rPr>
          <w:rtl/>
          <w:lang w:bidi="fa-IR"/>
        </w:rPr>
      </w:pPr>
      <w:r w:rsidRPr="006A2246">
        <w:rPr>
          <w:rStyle w:val="libAieChar"/>
          <w:rtl/>
        </w:rPr>
        <w:t xml:space="preserve">نائِمُونَ </w:t>
      </w:r>
      <w:r w:rsidRPr="0003660B">
        <w:rPr>
          <w:rStyle w:val="libAlaemChar"/>
          <w:rtl/>
        </w:rPr>
        <w:t>)</w:t>
      </w:r>
      <w:r w:rsidRPr="00C9040A">
        <w:rPr>
          <w:rtl/>
          <w:lang w:bidi="fa-IR"/>
        </w:rPr>
        <w:t xml:space="preserve"> </w:t>
      </w:r>
      <w:r w:rsidR="006C577F" w:rsidRPr="006C577F">
        <w:rPr>
          <w:rStyle w:val="libFootnotenumChar"/>
          <w:rtl/>
        </w:rPr>
        <w:t>(1)</w:t>
      </w:r>
      <w:r w:rsidR="00301C3F" w:rsidRPr="00301C3F">
        <w:rPr>
          <w:rStyle w:val="libNormalChar"/>
          <w:rFonts w:hint="cs"/>
          <w:rtl/>
        </w:rPr>
        <w:t>.</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1B6DD8">
        <w:rPr>
          <w:rtl/>
        </w:rPr>
        <w:t>2423</w:t>
      </w:r>
      <w:r w:rsidRPr="00261CB0">
        <w:rPr>
          <w:rStyle w:val="libBold2Char"/>
          <w:rtl/>
        </w:rPr>
        <w:t xml:space="preserve"> / 13.</w:t>
      </w:r>
      <w:r w:rsidRPr="00C9040A">
        <w:rPr>
          <w:rtl/>
          <w:lang w:bidi="fa-IR"/>
        </w:rPr>
        <w:t xml:space="preserve"> عَنْهُ ، عَنْ أَحْمَدَ بْنِ مُحَمَّدٍ ، عَنِ ابْنِ فَضَّالٍ ، عَنِ ابْنِ بُكَيْرٍ ، عَنْ أَبِي بَصِيرٍ ، قَالَ :</w:t>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 « إِذَا أَذْنَبَ الرَّجُلُ خَرَجَ </w:t>
      </w:r>
      <w:r w:rsidR="006C577F" w:rsidRPr="006C577F">
        <w:rPr>
          <w:rStyle w:val="libFootnotenumChar"/>
          <w:rtl/>
        </w:rPr>
        <w:t>(3)</w:t>
      </w:r>
      <w:r w:rsidRPr="00C9040A">
        <w:rPr>
          <w:rtl/>
          <w:lang w:bidi="fa-IR"/>
        </w:rPr>
        <w:t xml:space="preserve"> فِي قَلْبِهِ نُكْتَةٌ سَوْدَاءُ ، فَإِنْ </w:t>
      </w:r>
      <w:r w:rsidR="006C577F" w:rsidRPr="006C577F">
        <w:rPr>
          <w:rStyle w:val="libFootnotenumChar"/>
          <w:rtl/>
        </w:rPr>
        <w:t>(4)</w:t>
      </w:r>
      <w:r w:rsidRPr="00C9040A">
        <w:rPr>
          <w:rtl/>
          <w:lang w:bidi="fa-IR"/>
        </w:rPr>
        <w:t xml:space="preserve"> تَابَ انْمَحَتْ ، وَإِنْ </w:t>
      </w:r>
      <w:r w:rsidR="006C577F" w:rsidRPr="006C577F">
        <w:rPr>
          <w:rStyle w:val="libFootnotenumChar"/>
          <w:rtl/>
        </w:rPr>
        <w:t>(5)</w:t>
      </w:r>
      <w:r w:rsidRPr="00C9040A">
        <w:rPr>
          <w:rtl/>
          <w:lang w:bidi="fa-IR"/>
        </w:rPr>
        <w:t xml:space="preserve"> زَادَ زَادَتْ حَتّى تَغْلِبَ عَلى قَلْبِهِ ، فَلَا يُفْلِحُ بَعْدَهَا أَبَداً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Normal"/>
        <w:rPr>
          <w:rtl/>
          <w:lang w:bidi="fa-IR"/>
        </w:rPr>
      </w:pPr>
      <w:r w:rsidRPr="001B6DD8">
        <w:rPr>
          <w:rtl/>
        </w:rPr>
        <w:t>2424</w:t>
      </w:r>
      <w:r w:rsidRPr="00261CB0">
        <w:rPr>
          <w:rStyle w:val="libBold2Char"/>
          <w:rtl/>
        </w:rPr>
        <w:t xml:space="preserve"> / 14.</w:t>
      </w:r>
      <w:r w:rsidRPr="00C9040A">
        <w:rPr>
          <w:rtl/>
          <w:lang w:bidi="fa-IR"/>
        </w:rPr>
        <w:t xml:space="preserve"> عَنْهُ ، عَنْ أَحْمَدَ بْنِ مُحَمَّدٍ ، عَنِ ابْنِ مَحْبُوبٍ ، عَنْ أَبِي أَيُّوبَ ، عَنْ مُحَمَّدِ بْنِ مُسْلِمٍ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إِنَّ الْعَبْدَ يَسْأَلُ </w:t>
      </w:r>
      <w:r w:rsidR="006C577F" w:rsidRPr="006C577F">
        <w:rPr>
          <w:rStyle w:val="libFootnotenumChar"/>
          <w:rtl/>
        </w:rPr>
        <w:t>(7)</w:t>
      </w:r>
      <w:r w:rsidRPr="00C9040A">
        <w:rPr>
          <w:rtl/>
          <w:lang w:bidi="fa-IR"/>
        </w:rPr>
        <w:t xml:space="preserve"> اللهَ </w:t>
      </w:r>
      <w:r w:rsidR="006C577F" w:rsidRPr="006C577F">
        <w:rPr>
          <w:rStyle w:val="libFootnotenumChar"/>
          <w:rtl/>
        </w:rPr>
        <w:t>(8)</w:t>
      </w:r>
      <w:r w:rsidRPr="00C9040A">
        <w:rPr>
          <w:rtl/>
          <w:lang w:bidi="fa-IR"/>
        </w:rPr>
        <w:t xml:space="preserve"> الْحَاجَةَ ، فَيَكُونُ مِنْ شَأْنِهِ قَضَاؤُهَا </w:t>
      </w:r>
      <w:r w:rsidR="006C577F" w:rsidRPr="006C577F">
        <w:rPr>
          <w:rStyle w:val="libFootnotenumChar"/>
          <w:rtl/>
        </w:rPr>
        <w:t>(9)</w:t>
      </w:r>
      <w:r w:rsidRPr="00C9040A">
        <w:rPr>
          <w:rtl/>
          <w:lang w:bidi="fa-IR"/>
        </w:rPr>
        <w:t xml:space="preserve"> إِلى أَجَلٍ قَرِيبٍ ، أَوْ إِلى وَقْتٍ بَطِي‌ءٍ ، فَيُذْنِبُ الْعَبْدُ ذَنْباً ، فَيَقُولُ اللهُ</w:t>
      </w:r>
      <w:r>
        <w:rPr>
          <w:rtl/>
          <w:lang w:bidi="fa-IR"/>
        </w:rPr>
        <w:t xml:space="preserve"> </w:t>
      </w:r>
      <w:r w:rsidR="0084262C">
        <w:rPr>
          <w:rtl/>
          <w:lang w:bidi="fa-IR"/>
        </w:rPr>
        <w:t>-</w:t>
      </w:r>
      <w:r>
        <w:rPr>
          <w:rtl/>
          <w:lang w:bidi="fa-IR"/>
        </w:rPr>
        <w:t xml:space="preserve"> </w:t>
      </w:r>
      <w:r w:rsidRPr="00C9040A">
        <w:rPr>
          <w:rtl/>
          <w:lang w:bidi="fa-IR"/>
        </w:rPr>
        <w:t>تَبَارَكَ وَتَعَالى</w:t>
      </w:r>
      <w:r>
        <w:rPr>
          <w:rtl/>
          <w:lang w:bidi="fa-IR"/>
        </w:rPr>
        <w:t xml:space="preserve"> </w:t>
      </w:r>
      <w:r w:rsidR="0084262C">
        <w:rPr>
          <w:rtl/>
          <w:lang w:bidi="fa-IR"/>
        </w:rPr>
        <w:t>-</w:t>
      </w:r>
      <w:r>
        <w:rPr>
          <w:rtl/>
          <w:lang w:bidi="fa-IR"/>
        </w:rPr>
        <w:t xml:space="preserve"> </w:t>
      </w:r>
      <w:r w:rsidRPr="00C9040A">
        <w:rPr>
          <w:rtl/>
          <w:lang w:bidi="fa-IR"/>
        </w:rPr>
        <w:t xml:space="preserve">لِلْمَلَكِ : لَاتَقْضِ حَاجَتَهُ ، وَاحْرِمْهُ إِيَّاهَا </w:t>
      </w:r>
      <w:r w:rsidR="006C577F" w:rsidRPr="006C577F">
        <w:rPr>
          <w:rStyle w:val="libFootnotenumChar"/>
          <w:rtl/>
        </w:rPr>
        <w:t>(10)</w:t>
      </w:r>
      <w:r w:rsidRPr="00C9040A">
        <w:rPr>
          <w:rtl/>
          <w:lang w:bidi="fa-IR"/>
        </w:rPr>
        <w:t xml:space="preserve"> ؛ فَإِنَّهُ تَعَرَّضَ لِسَخَطِي ، وَ</w:t>
      </w:r>
      <w:r w:rsidR="00FF226F">
        <w:rPr>
          <w:rtl/>
          <w:lang w:bidi="fa-IR"/>
        </w:rPr>
        <w:t>اسْتَوْجَبَ الْحِرْمَانَ مِنِّي</w:t>
      </w:r>
      <w:r w:rsidRPr="00C9040A">
        <w:rPr>
          <w:rtl/>
          <w:lang w:bidi="fa-IR"/>
        </w:rPr>
        <w:t>»</w:t>
      </w:r>
      <w:r>
        <w:rPr>
          <w:rtl/>
          <w:lang w:bidi="fa-IR"/>
        </w:rPr>
        <w:t>.</w:t>
      </w:r>
      <w:r w:rsidR="006C577F" w:rsidRPr="006C577F">
        <w:rPr>
          <w:rStyle w:val="libFootnotenumChar"/>
          <w:rtl/>
        </w:rPr>
        <w:t>(11)</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القلم (68) : 17</w:t>
      </w:r>
      <w:r w:rsidR="008A74EB">
        <w:rPr>
          <w:rtl/>
        </w:rPr>
        <w:t xml:space="preserve"> </w:t>
      </w:r>
      <w:r w:rsidR="0084262C">
        <w:rPr>
          <w:rtl/>
        </w:rPr>
        <w:t>-</w:t>
      </w:r>
      <w:r w:rsidR="008A74EB">
        <w:rPr>
          <w:rtl/>
        </w:rPr>
        <w:t xml:space="preserve"> </w:t>
      </w:r>
      <w:r w:rsidR="008A74EB" w:rsidRPr="00C9040A">
        <w:rPr>
          <w:rtl/>
        </w:rPr>
        <w:t xml:space="preserve">19. وفي </w:t>
      </w:r>
      <w:r w:rsidR="008A74EB" w:rsidRPr="00993B55">
        <w:rPr>
          <w:rStyle w:val="libFootnoteBoldChar"/>
          <w:rtl/>
        </w:rPr>
        <w:t>الوافي</w:t>
      </w:r>
      <w:r w:rsidR="008A74EB" w:rsidRPr="00C9040A">
        <w:rPr>
          <w:rtl/>
        </w:rPr>
        <w:t xml:space="preserve"> : « الآية نزلت في قوم كانت لأبيهم جنّة ، فكان يأخذ منها قوت سنته ويتصدّق بالباقي ، فلمّا مات قال بنوه : إن فعلنا ما كان يفعل أبونا ضاق علينا الأمر ، فحلفوا أن يقطعوها ، وقد بقي من الليل ظلمة داخلين في الصبح منكرين ، ولم يستثنوا في يمينهم ، أي لم يقولوا : إن شاء الله ، فطاف عليها بلاء أو هلاك. « طائف » أي محيط بها. وهذا كقوله سبحانه : </w:t>
      </w:r>
      <w:r w:rsidR="008A74EB" w:rsidRPr="00FF226F">
        <w:rPr>
          <w:rStyle w:val="libFootnoteAlaemChar"/>
          <w:rtl/>
        </w:rPr>
        <w:t>(</w:t>
      </w:r>
      <w:r w:rsidR="008A74EB" w:rsidRPr="00883DD5">
        <w:rPr>
          <w:rStyle w:val="libFootnoteAieChar"/>
          <w:rFonts w:hint="cs"/>
          <w:rtl/>
        </w:rPr>
        <w:t xml:space="preserve"> </w:t>
      </w:r>
      <w:r w:rsidR="008A74EB" w:rsidRPr="00883DD5">
        <w:rPr>
          <w:rStyle w:val="libFootnoteAieChar"/>
          <w:rtl/>
        </w:rPr>
        <w:t>وَأُحِيطَ بِثَمَرِهِ</w:t>
      </w:r>
      <w:r w:rsidR="008A74EB" w:rsidRPr="00883DD5">
        <w:rPr>
          <w:rStyle w:val="libFootnoteAieChar"/>
          <w:rFonts w:hint="cs"/>
          <w:rtl/>
        </w:rPr>
        <w:t xml:space="preserve"> </w:t>
      </w:r>
      <w:r w:rsidR="008A74EB" w:rsidRPr="00FF226F">
        <w:rPr>
          <w:rStyle w:val="libFootnoteAlaemChar"/>
          <w:rtl/>
        </w:rPr>
        <w:t>)</w:t>
      </w:r>
      <w:r w:rsidR="008A74EB" w:rsidRPr="00C9040A">
        <w:rPr>
          <w:rtl/>
        </w:rPr>
        <w:t xml:space="preserve"> [ الكهف (18) : 42 ] قيل : احترقت جنّتهم فاسودّت ، وقيل : يبست وذهبت خضرتها ولم يبق منها شي‌ء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المحاسن</w:t>
      </w:r>
      <w:r w:rsidR="008A74EB" w:rsidRPr="00C9040A">
        <w:rPr>
          <w:rtl/>
        </w:rPr>
        <w:t xml:space="preserve"> ، ص 115 ، كتاب عقاب الأعمال ، ح 119 ، مرسلاً عن الفضيل </w:t>
      </w:r>
      <w:r w:rsidR="00FF226F">
        <w:rPr>
          <w:rFonts w:hint="cs"/>
          <w:rtl/>
        </w:rPr>
        <w:t>.</w:t>
      </w:r>
      <w:r w:rsidR="008A74EB" w:rsidRPr="00993B55">
        <w:rPr>
          <w:rStyle w:val="libFootnoteBoldChar"/>
          <w:rtl/>
        </w:rPr>
        <w:t>الوافي</w:t>
      </w:r>
      <w:r w:rsidR="008A74EB" w:rsidRPr="00C9040A">
        <w:rPr>
          <w:rtl/>
        </w:rPr>
        <w:t xml:space="preserve"> ، ج 5 ، ص 1001 ، ح 3468 ؛ </w:t>
      </w:r>
      <w:r w:rsidR="008A74EB" w:rsidRPr="00993B55">
        <w:rPr>
          <w:rStyle w:val="libFootnoteBoldChar"/>
          <w:rtl/>
        </w:rPr>
        <w:t>الوسائل</w:t>
      </w:r>
      <w:r w:rsidR="008A74EB" w:rsidRPr="00C9040A">
        <w:rPr>
          <w:rtl/>
        </w:rPr>
        <w:t xml:space="preserve"> ، ج 15 ، ص 301 ، ح 20575 ؛ </w:t>
      </w:r>
      <w:r w:rsidR="008A74EB" w:rsidRPr="00993B55">
        <w:rPr>
          <w:rStyle w:val="libFootnoteBoldChar"/>
          <w:rtl/>
        </w:rPr>
        <w:t>البحار</w:t>
      </w:r>
      <w:r w:rsidR="008A74EB" w:rsidRPr="00C9040A">
        <w:rPr>
          <w:rtl/>
        </w:rPr>
        <w:t xml:space="preserve"> ، ج 73 ، ص 324 ، ح 9.</w:t>
      </w:r>
    </w:p>
    <w:tbl>
      <w:tblPr>
        <w:tblStyle w:val="TableGrid"/>
        <w:bidiVisual/>
        <w:tblW w:w="0" w:type="auto"/>
        <w:tblLook w:val="04A0" w:firstRow="1" w:lastRow="0" w:firstColumn="1" w:lastColumn="0" w:noHBand="0" w:noVBand="1"/>
      </w:tblPr>
      <w:tblGrid>
        <w:gridCol w:w="4006"/>
        <w:gridCol w:w="4006"/>
      </w:tblGrid>
      <w:tr w:rsidR="00FF226F" w:rsidTr="00FF226F">
        <w:tc>
          <w:tcPr>
            <w:tcW w:w="4006" w:type="dxa"/>
          </w:tcPr>
          <w:p w:rsidR="00FF226F" w:rsidRDefault="00FF226F" w:rsidP="004A4E41">
            <w:pPr>
              <w:pStyle w:val="libFootnote0"/>
              <w:rPr>
                <w:rtl/>
              </w:rPr>
            </w:pPr>
            <w:r>
              <w:rPr>
                <w:rtl/>
              </w:rPr>
              <w:t>(3).</w:t>
            </w:r>
            <w:r w:rsidRPr="00C9040A">
              <w:rPr>
                <w:rtl/>
              </w:rPr>
              <w:t xml:space="preserve"> في « </w:t>
            </w:r>
            <w:r>
              <w:rPr>
                <w:rtl/>
              </w:rPr>
              <w:t xml:space="preserve">ه </w:t>
            </w:r>
            <w:r w:rsidRPr="00C9040A">
              <w:rPr>
                <w:rtl/>
              </w:rPr>
              <w:t>» : « خرجت »</w:t>
            </w:r>
            <w:r>
              <w:rPr>
                <w:rtl/>
              </w:rPr>
              <w:t>.</w:t>
            </w:r>
          </w:p>
        </w:tc>
        <w:tc>
          <w:tcPr>
            <w:tcW w:w="4006" w:type="dxa"/>
          </w:tcPr>
          <w:p w:rsidR="00FF226F" w:rsidRDefault="00FF226F" w:rsidP="004A4E41">
            <w:pPr>
              <w:pStyle w:val="libFootnote0"/>
              <w:rPr>
                <w:rtl/>
              </w:rPr>
            </w:pPr>
            <w:r>
              <w:rPr>
                <w:rtl/>
              </w:rPr>
              <w:t>(4).</w:t>
            </w:r>
            <w:r w:rsidRPr="00C9040A">
              <w:rPr>
                <w:rtl/>
              </w:rPr>
              <w:t xml:space="preserve"> في « ض ، </w:t>
            </w:r>
            <w:r>
              <w:rPr>
                <w:rtl/>
              </w:rPr>
              <w:t xml:space="preserve">ه </w:t>
            </w:r>
            <w:r w:rsidRPr="00C9040A">
              <w:rPr>
                <w:rtl/>
              </w:rPr>
              <w:t>» : « فإذا »</w:t>
            </w:r>
            <w:r>
              <w:rPr>
                <w:rtl/>
              </w:rPr>
              <w:t>.</w:t>
            </w:r>
          </w:p>
        </w:tc>
      </w:tr>
    </w:tbl>
    <w:p w:rsidR="008A74EB" w:rsidRPr="00C9040A" w:rsidRDefault="006C577F" w:rsidP="004A4E41">
      <w:pPr>
        <w:pStyle w:val="libFootnote0"/>
        <w:rPr>
          <w:rtl/>
          <w:lang w:bidi="fa-IR"/>
        </w:rPr>
      </w:pPr>
      <w:r>
        <w:rPr>
          <w:rtl/>
        </w:rPr>
        <w:t>(5).</w:t>
      </w:r>
      <w:r w:rsidR="008A74EB" w:rsidRPr="00C9040A">
        <w:rPr>
          <w:rtl/>
        </w:rPr>
        <w:t xml:space="preserve"> في « </w:t>
      </w:r>
      <w:r w:rsidR="006D3162">
        <w:rPr>
          <w:rtl/>
        </w:rPr>
        <w:t xml:space="preserve">ه </w:t>
      </w:r>
      <w:r w:rsidR="008A74EB" w:rsidRPr="00C9040A">
        <w:rPr>
          <w:rtl/>
        </w:rPr>
        <w:t>» : « فإن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الوافي</w:t>
      </w:r>
      <w:r w:rsidR="008A74EB" w:rsidRPr="00C9040A">
        <w:rPr>
          <w:rtl/>
        </w:rPr>
        <w:t xml:space="preserve"> ، ج 5 ، ص 1003 ، ح 3476 ؛ </w:t>
      </w:r>
      <w:r w:rsidR="008A74EB" w:rsidRPr="00993B55">
        <w:rPr>
          <w:rStyle w:val="libFootnoteBoldChar"/>
          <w:rtl/>
        </w:rPr>
        <w:t>الوسائل</w:t>
      </w:r>
      <w:r w:rsidR="008A74EB" w:rsidRPr="00C9040A">
        <w:rPr>
          <w:rtl/>
        </w:rPr>
        <w:t xml:space="preserve"> ، ج 15 ، ص 302 ، ح 20576 ؛ </w:t>
      </w:r>
      <w:r w:rsidR="008A74EB" w:rsidRPr="00993B55">
        <w:rPr>
          <w:rStyle w:val="libFootnoteBoldChar"/>
          <w:rtl/>
        </w:rPr>
        <w:t>البحار</w:t>
      </w:r>
      <w:r w:rsidR="008A74EB" w:rsidRPr="00C9040A">
        <w:rPr>
          <w:rtl/>
        </w:rPr>
        <w:t xml:space="preserve"> ، ج 73 ، ص 327 ، ح 10.</w:t>
      </w:r>
    </w:p>
    <w:tbl>
      <w:tblPr>
        <w:tblStyle w:val="TableGrid"/>
        <w:bidiVisual/>
        <w:tblW w:w="0" w:type="auto"/>
        <w:tblLook w:val="04A0" w:firstRow="1" w:lastRow="0" w:firstColumn="1" w:lastColumn="0" w:noHBand="0" w:noVBand="1"/>
      </w:tblPr>
      <w:tblGrid>
        <w:gridCol w:w="4006"/>
        <w:gridCol w:w="4006"/>
      </w:tblGrid>
      <w:tr w:rsidR="00FF226F" w:rsidTr="00FF226F">
        <w:tc>
          <w:tcPr>
            <w:tcW w:w="4006" w:type="dxa"/>
          </w:tcPr>
          <w:p w:rsidR="00FF226F" w:rsidRDefault="00FF226F" w:rsidP="004A4E41">
            <w:pPr>
              <w:pStyle w:val="libFootnote0"/>
              <w:rPr>
                <w:rtl/>
              </w:rPr>
            </w:pPr>
            <w:r>
              <w:rPr>
                <w:rtl/>
              </w:rPr>
              <w:t>(7).</w:t>
            </w:r>
            <w:r w:rsidRPr="00C9040A">
              <w:rPr>
                <w:rtl/>
              </w:rPr>
              <w:t xml:space="preserve"> في حاشية « بر » : « ليسأل »</w:t>
            </w:r>
            <w:r>
              <w:rPr>
                <w:rtl/>
              </w:rPr>
              <w:t>.</w:t>
            </w:r>
          </w:p>
        </w:tc>
        <w:tc>
          <w:tcPr>
            <w:tcW w:w="4006" w:type="dxa"/>
          </w:tcPr>
          <w:p w:rsidR="00FF226F" w:rsidRDefault="00FF226F" w:rsidP="004A4E41">
            <w:pPr>
              <w:pStyle w:val="libFootnote0"/>
              <w:rPr>
                <w:rtl/>
              </w:rPr>
            </w:pPr>
            <w:r>
              <w:rPr>
                <w:rtl/>
              </w:rPr>
              <w:t>(8).</w:t>
            </w:r>
            <w:r w:rsidRPr="00C9040A">
              <w:rPr>
                <w:rtl/>
              </w:rPr>
              <w:t xml:space="preserve"> في « ف » </w:t>
            </w:r>
            <w:r>
              <w:rPr>
                <w:rtl/>
              </w:rPr>
              <w:t>: -</w:t>
            </w:r>
            <w:r w:rsidRPr="00C9040A">
              <w:rPr>
                <w:rtl/>
              </w:rPr>
              <w:t xml:space="preserve"> « الله »</w:t>
            </w:r>
            <w:r>
              <w:rPr>
                <w:rtl/>
              </w:rPr>
              <w:t>.</w:t>
            </w:r>
          </w:p>
        </w:tc>
      </w:tr>
    </w:tbl>
    <w:p w:rsidR="008A74EB" w:rsidRPr="00C9040A" w:rsidRDefault="006C577F" w:rsidP="004A4E41">
      <w:pPr>
        <w:pStyle w:val="libFootnote0"/>
        <w:rPr>
          <w:rtl/>
          <w:lang w:bidi="fa-IR"/>
        </w:rPr>
      </w:pPr>
      <w:r>
        <w:rPr>
          <w:rtl/>
        </w:rPr>
        <w:t>(9).</w:t>
      </w:r>
      <w:r w:rsidR="008A74EB" w:rsidRPr="00C9040A">
        <w:rPr>
          <w:rtl/>
        </w:rPr>
        <w:t xml:space="preserve"> في « ض ، </w:t>
      </w:r>
      <w:r w:rsidR="006D3162">
        <w:rPr>
          <w:rtl/>
        </w:rPr>
        <w:t xml:space="preserve">ه </w:t>
      </w:r>
      <w:r w:rsidR="008A74EB" w:rsidRPr="00C9040A">
        <w:rPr>
          <w:rtl/>
        </w:rPr>
        <w:t>» : « قضاها » وهو من تخفيف الهمزة.</w:t>
      </w:r>
    </w:p>
    <w:p w:rsidR="008A74EB" w:rsidRPr="00C9040A" w:rsidRDefault="006C577F" w:rsidP="004A4E41">
      <w:pPr>
        <w:pStyle w:val="libFootnote0"/>
        <w:rPr>
          <w:rtl/>
          <w:lang w:bidi="fa-IR"/>
        </w:rPr>
      </w:pPr>
      <w:r>
        <w:rPr>
          <w:rtl/>
        </w:rPr>
        <w:t>(10).</w:t>
      </w:r>
      <w:r w:rsidR="008A74EB" w:rsidRPr="00C9040A">
        <w:rPr>
          <w:rtl/>
        </w:rPr>
        <w:t xml:space="preserve"> في الوسائل ، ح 20577 </w:t>
      </w:r>
      <w:r w:rsidR="008A74EB">
        <w:rPr>
          <w:rtl/>
        </w:rPr>
        <w:t xml:space="preserve">: </w:t>
      </w:r>
      <w:r w:rsidR="0084262C">
        <w:rPr>
          <w:rtl/>
        </w:rPr>
        <w:t>-</w:t>
      </w:r>
      <w:r w:rsidR="008A74EB" w:rsidRPr="00C9040A">
        <w:rPr>
          <w:rtl/>
        </w:rPr>
        <w:t xml:space="preserve"> « إيّاها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w:t>
      </w:r>
      <w:r w:rsidR="008A74EB" w:rsidRPr="00993B55">
        <w:rPr>
          <w:rStyle w:val="libFootnoteBoldChar"/>
          <w:rtl/>
        </w:rPr>
        <w:t>الاختصاص</w:t>
      </w:r>
      <w:r w:rsidR="008A74EB" w:rsidRPr="00C9040A">
        <w:rPr>
          <w:rtl/>
        </w:rPr>
        <w:t xml:space="preserve"> ، ص 31 ، مرسلاً مع اختلاف يسير </w:t>
      </w:r>
      <w:r w:rsidR="007177C5">
        <w:rPr>
          <w:rFonts w:hint="cs"/>
          <w:rtl/>
        </w:rPr>
        <w:t>.</w:t>
      </w:r>
      <w:r w:rsidR="008A74EB" w:rsidRPr="00993B55">
        <w:rPr>
          <w:rStyle w:val="libFootnoteBoldChar"/>
          <w:rtl/>
        </w:rPr>
        <w:t>الوافي</w:t>
      </w:r>
      <w:r w:rsidR="008A74EB" w:rsidRPr="00C9040A">
        <w:rPr>
          <w:rtl/>
        </w:rPr>
        <w:t xml:space="preserve"> ، ج 5 ، ص 1001 ، ح 3469 ؛ </w:t>
      </w:r>
      <w:r w:rsidR="008A74EB" w:rsidRPr="00993B55">
        <w:rPr>
          <w:rStyle w:val="libFootnoteBoldChar"/>
          <w:rtl/>
        </w:rPr>
        <w:t>الوسائل</w:t>
      </w:r>
      <w:r w:rsidR="008A74EB" w:rsidRPr="00C9040A">
        <w:rPr>
          <w:rtl/>
        </w:rPr>
        <w:t xml:space="preserve"> ، ج 7 ، </w:t>
      </w:r>
      <w:r w:rsidR="007177C5">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1B6DD8">
        <w:rPr>
          <w:rStyle w:val="PageNumber"/>
          <w:rtl/>
        </w:rPr>
        <w:t>2425</w:t>
      </w:r>
      <w:r w:rsidRPr="00261CB0">
        <w:rPr>
          <w:rStyle w:val="libBold2Char"/>
          <w:rtl/>
        </w:rPr>
        <w:t xml:space="preserve"> / 15.</w:t>
      </w:r>
      <w:r w:rsidRPr="00C9040A">
        <w:rPr>
          <w:rtl/>
          <w:lang w:bidi="fa-IR"/>
        </w:rPr>
        <w:t xml:space="preserve"> ابْنُ مَحْبُوبٍ </w:t>
      </w:r>
      <w:r w:rsidR="006C577F" w:rsidRPr="006C577F">
        <w:rPr>
          <w:rStyle w:val="libFootnotenumChar"/>
          <w:rtl/>
        </w:rPr>
        <w:t>(1)</w:t>
      </w:r>
      <w:r w:rsidRPr="00C9040A">
        <w:rPr>
          <w:rtl/>
          <w:lang w:bidi="fa-IR"/>
        </w:rPr>
        <w:t xml:space="preserve"> ، عَنْ مَالِكِ بْنِ عَطِيَّةَ ، عَنْ أَبِي حَمْزَةَ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سَمِعْتُهُ يَقُولُ : « إِنَّهُ مَا مِنْ سَنَةٍ أَقَلَّ مَطَراً </w:t>
      </w:r>
      <w:r w:rsidR="006C577F" w:rsidRPr="006C577F">
        <w:rPr>
          <w:rStyle w:val="libFootnotenumChar"/>
          <w:rtl/>
        </w:rPr>
        <w:t>(2)</w:t>
      </w:r>
      <w:r w:rsidRPr="00C9040A">
        <w:rPr>
          <w:rtl/>
          <w:lang w:bidi="fa-IR"/>
        </w:rPr>
        <w:t xml:space="preserve"> مِنْ سَنَةٍ ، وَلكِنَّ اللهَ يَضَعُهُ حَيْثُ يَشَاءُ ؛ إِنَّ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إِذَا عَمِلَ قَوْمٌ بِالْمَعَاصِي ، صَرَفَ عَنْهُمْ مَا كَانَ قَدَّرَ لَهُمْ مِنَ الْمَطَرِ فِي تِلْكَ السَّنَةِ إِلى غَيْرِهِمْ ، وَإِلَى الْفَيَافِي </w:t>
      </w:r>
      <w:r w:rsidR="006C577F" w:rsidRPr="006C577F">
        <w:rPr>
          <w:rStyle w:val="libFootnotenumChar"/>
          <w:rtl/>
        </w:rPr>
        <w:t>(3)</w:t>
      </w:r>
      <w:r w:rsidRPr="00C9040A">
        <w:rPr>
          <w:rtl/>
          <w:lang w:bidi="fa-IR"/>
        </w:rPr>
        <w:t xml:space="preserve"> وَالْبِحَارِ وَالْجِبَالِ ، وَإِنَّ اللهَ لَيُعَذِّبُ الْجُعَلَ </w:t>
      </w:r>
      <w:r w:rsidR="006C577F" w:rsidRPr="006C577F">
        <w:rPr>
          <w:rStyle w:val="libFootnotenumChar"/>
          <w:rtl/>
        </w:rPr>
        <w:t>(4)</w:t>
      </w:r>
      <w:r w:rsidRPr="00C9040A">
        <w:rPr>
          <w:rtl/>
          <w:lang w:bidi="fa-IR"/>
        </w:rPr>
        <w:t xml:space="preserve"> فِي جُحْرِهَا بِحَبْسِ </w:t>
      </w:r>
      <w:r w:rsidR="006C577F" w:rsidRPr="006C577F">
        <w:rPr>
          <w:rStyle w:val="libFootnotenumChar"/>
          <w:rtl/>
        </w:rPr>
        <w:t>(5)</w:t>
      </w:r>
      <w:r w:rsidRPr="00C9040A">
        <w:rPr>
          <w:rtl/>
          <w:lang w:bidi="fa-IR"/>
        </w:rPr>
        <w:t xml:space="preserve"> الْمَطَرِ عَنِ الْأَرْضِ الَّتِي هِيَ بِمَحَلِّهَا </w:t>
      </w:r>
      <w:r w:rsidR="006C577F" w:rsidRPr="006C577F">
        <w:rPr>
          <w:rStyle w:val="libFootnotenumChar"/>
          <w:rtl/>
        </w:rPr>
        <w:t>(6)</w:t>
      </w:r>
      <w:r w:rsidRPr="005B567D">
        <w:rPr>
          <w:rStyle w:val="libFootnotenumChar"/>
          <w:rtl/>
        </w:rPr>
        <w:t xml:space="preserve"> </w:t>
      </w:r>
      <w:r w:rsidRPr="00C9040A">
        <w:rPr>
          <w:rtl/>
          <w:lang w:bidi="fa-IR"/>
        </w:rPr>
        <w:t xml:space="preserve">بِخَطَايَا مَنْ بِحَضْرَتِهَا ، وَقَدْ جَعَلَ اللهُ لَهَا السَّبِيلَ فِي </w:t>
      </w:r>
      <w:r w:rsidR="006C577F" w:rsidRPr="006C577F">
        <w:rPr>
          <w:rStyle w:val="libFootnotenumChar"/>
          <w:rtl/>
        </w:rPr>
        <w:t>(7)</w:t>
      </w:r>
      <w:r w:rsidRPr="00C9040A">
        <w:rPr>
          <w:rtl/>
          <w:lang w:bidi="fa-IR"/>
        </w:rPr>
        <w:t xml:space="preserve"> مَسْلَكٍ </w:t>
      </w:r>
      <w:r w:rsidR="006C577F" w:rsidRPr="006C577F">
        <w:rPr>
          <w:rStyle w:val="libFootnotenumChar"/>
          <w:rtl/>
        </w:rPr>
        <w:t>(8)</w:t>
      </w:r>
      <w:r w:rsidRPr="00C9040A">
        <w:rPr>
          <w:rtl/>
          <w:lang w:bidi="fa-IR"/>
        </w:rPr>
        <w:t xml:space="preserve"> سِوى مَحَلَّةِ </w:t>
      </w:r>
      <w:r w:rsidR="006C577F" w:rsidRPr="006C577F">
        <w:rPr>
          <w:rStyle w:val="libFootnotenumChar"/>
          <w:rtl/>
        </w:rPr>
        <w:t>(9)</w:t>
      </w:r>
      <w:r w:rsidRPr="00C9040A">
        <w:rPr>
          <w:rtl/>
          <w:lang w:bidi="fa-IR"/>
        </w:rPr>
        <w:t xml:space="preserve"> أَهْلِ الْمَعَاصِي »</w:t>
      </w:r>
      <w:r>
        <w:rPr>
          <w:rtl/>
          <w:lang w:bidi="fa-IR"/>
        </w:rPr>
        <w:t>.</w:t>
      </w:r>
    </w:p>
    <w:p w:rsidR="008A74EB" w:rsidRPr="00C9040A" w:rsidRDefault="008A74EB" w:rsidP="007177C5">
      <w:pPr>
        <w:pStyle w:val="libNormal"/>
        <w:rPr>
          <w:rtl/>
          <w:lang w:bidi="fa-IR"/>
        </w:rPr>
      </w:pPr>
      <w:r w:rsidRPr="00C9040A">
        <w:rPr>
          <w:rtl/>
          <w:lang w:bidi="fa-IR"/>
        </w:rPr>
        <w:t xml:space="preserve">قَالَ : ثُمَّ قَالَ أَبُو جَعْفَرٍ </w:t>
      </w:r>
      <w:r w:rsidRPr="0003660B">
        <w:rPr>
          <w:rStyle w:val="libAlaemChar"/>
          <w:rtl/>
        </w:rPr>
        <w:t>عليه‌السلام</w:t>
      </w:r>
      <w:r w:rsidRPr="00C9040A">
        <w:rPr>
          <w:rtl/>
          <w:lang w:bidi="fa-IR"/>
        </w:rPr>
        <w:t xml:space="preserve"> : </w:t>
      </w:r>
      <w:r w:rsidRPr="0003660B">
        <w:rPr>
          <w:rStyle w:val="libAlaemChar"/>
          <w:rtl/>
        </w:rPr>
        <w:t>(</w:t>
      </w:r>
      <w:r w:rsidRPr="006A2246">
        <w:rPr>
          <w:rStyle w:val="libAieChar"/>
          <w:rtl/>
        </w:rPr>
        <w:t xml:space="preserve"> فَاعْتَبِرُوا ي</w:t>
      </w:r>
      <w:r w:rsidR="007177C5">
        <w:rPr>
          <w:rStyle w:val="libAieChar"/>
          <w:rFonts w:hint="cs"/>
          <w:rtl/>
        </w:rPr>
        <w:t>َ</w:t>
      </w:r>
      <w:r w:rsidRPr="006A2246">
        <w:rPr>
          <w:rStyle w:val="libAieChar"/>
          <w:rtl/>
        </w:rPr>
        <w:t xml:space="preserve">ا أُولِي الْأَبْصارِ </w:t>
      </w:r>
      <w:r w:rsidRPr="0003660B">
        <w:rPr>
          <w:rStyle w:val="libAlaemChar"/>
          <w:rtl/>
        </w:rPr>
        <w:t>)</w:t>
      </w:r>
      <w:r w:rsidRPr="00C9040A">
        <w:rPr>
          <w:rtl/>
          <w:lang w:bidi="fa-IR"/>
        </w:rPr>
        <w:t xml:space="preserve"> </w:t>
      </w:r>
      <w:r w:rsidR="006C577F" w:rsidRPr="006C577F">
        <w:rPr>
          <w:rStyle w:val="libFootnotenumChar"/>
          <w:rtl/>
        </w:rPr>
        <w:t>(10)</w:t>
      </w:r>
      <w:r w:rsidR="007177C5">
        <w:rPr>
          <w:rFonts w:hint="cs"/>
          <w:rtl/>
          <w:lang w:bidi="fa-IR"/>
        </w:rPr>
        <w:t>.</w:t>
      </w:r>
      <w:r w:rsidR="006C577F" w:rsidRPr="006C577F">
        <w:rPr>
          <w:rStyle w:val="libFootnotenumChar"/>
          <w:rtl/>
        </w:rPr>
        <w:t>(11)</w:t>
      </w:r>
      <w:r w:rsidRPr="00C9040A">
        <w:rPr>
          <w:rtl/>
          <w:lang w:bidi="fa-IR"/>
        </w:rPr>
        <w:t xml:space="preserve"> ‌</w:t>
      </w:r>
    </w:p>
    <w:p w:rsidR="008A74EB" w:rsidRPr="00C9040A" w:rsidRDefault="008A74EB" w:rsidP="008A74EB">
      <w:pPr>
        <w:pStyle w:val="libNormal"/>
        <w:rPr>
          <w:rtl/>
          <w:lang w:bidi="fa-IR"/>
        </w:rPr>
      </w:pPr>
      <w:r w:rsidRPr="001B6DD8">
        <w:rPr>
          <w:rtl/>
        </w:rPr>
        <w:t>2426</w:t>
      </w:r>
      <w:r w:rsidRPr="00261CB0">
        <w:rPr>
          <w:rStyle w:val="libBold2Char"/>
          <w:rtl/>
        </w:rPr>
        <w:t xml:space="preserve"> / 16.</w:t>
      </w:r>
      <w:r w:rsidRPr="00C9040A">
        <w:rPr>
          <w:rtl/>
          <w:lang w:bidi="fa-IR"/>
        </w:rPr>
        <w:t xml:space="preserve"> أَبُو عَلِيٍّ الْأَشْعَرِيُّ ، عَنْ مُحَمَّدِ بْنِ عَبْدِ الْجَبَّارِ ، عَنِ ابْنِ فَضَّالٍ ، عَنِ ابْنِ بُكَيْرٍ</w:t>
      </w:r>
      <w:r w:rsidR="006C577F" w:rsidRPr="006C577F">
        <w:rPr>
          <w:rStyle w:val="libFootnotenumChar"/>
          <w:rtl/>
        </w:rPr>
        <w:t>(12)</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7177C5" w:rsidP="004A4E41">
      <w:pPr>
        <w:pStyle w:val="libFootnote0"/>
        <w:rPr>
          <w:rtl/>
          <w:lang w:bidi="fa-IR"/>
        </w:rPr>
      </w:pPr>
      <w:r>
        <w:rPr>
          <w:rFonts w:hint="cs"/>
          <w:rtl/>
        </w:rPr>
        <w:t xml:space="preserve">= </w:t>
      </w:r>
      <w:r w:rsidR="008A74EB" w:rsidRPr="00C9040A">
        <w:rPr>
          <w:rtl/>
        </w:rPr>
        <w:t xml:space="preserve">ص 144 ، ح 8961 ؛ وج 15 ، ص 302 ، ح 20577 ؛ </w:t>
      </w:r>
      <w:r w:rsidR="008A74EB" w:rsidRPr="00993B55">
        <w:rPr>
          <w:rStyle w:val="libFootnoteBoldChar"/>
          <w:rtl/>
        </w:rPr>
        <w:t>البحار</w:t>
      </w:r>
      <w:r w:rsidR="008A74EB" w:rsidRPr="00C9040A">
        <w:rPr>
          <w:rtl/>
        </w:rPr>
        <w:t xml:space="preserve"> ، ج 73 ، ص 329 ، ح 11.</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السند معلّق على سابقه. ويروي عن ابن محبوب ، محمّد بن يحيى المعبّر عنه بالضمير ، عن أحمد بن محمّد.</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ف » : « مطر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 الفيافي » : البراري الواسعة ، جمع فَيْفاء. </w:t>
      </w:r>
      <w:r w:rsidR="008A74EB" w:rsidRPr="00993B55">
        <w:rPr>
          <w:rStyle w:val="libFootnoteBoldChar"/>
          <w:rtl/>
        </w:rPr>
        <w:t>النهاية</w:t>
      </w:r>
      <w:r w:rsidR="008A74EB" w:rsidRPr="00C9040A">
        <w:rPr>
          <w:rtl/>
        </w:rPr>
        <w:t xml:space="preserve"> ، ج 3 ، ص 485 ( فيف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 الجُعَل » : دابّةٌ سوداء من دوابّ الأرض ، وقيل : هو أبو جَعْران ؛ أو الحِرباء ، وهي ذكر ا</w:t>
      </w:r>
      <w:r w:rsidR="007177C5">
        <w:rPr>
          <w:rFonts w:hint="cs"/>
          <w:rtl/>
        </w:rPr>
        <w:t>ُ</w:t>
      </w:r>
      <w:r w:rsidR="008A74EB" w:rsidRPr="00C9040A">
        <w:rPr>
          <w:rtl/>
        </w:rPr>
        <w:t xml:space="preserve">مّ حُبَين ، وجمعه : جِعلان. </w:t>
      </w:r>
      <w:r w:rsidR="008A74EB" w:rsidRPr="00993B55">
        <w:rPr>
          <w:rStyle w:val="libFootnoteBoldChar"/>
          <w:rtl/>
        </w:rPr>
        <w:t>المصباح المنير</w:t>
      </w:r>
      <w:r w:rsidR="008A74EB" w:rsidRPr="00C9040A">
        <w:rPr>
          <w:rtl/>
        </w:rPr>
        <w:t xml:space="preserve"> ، ص 103 ؛ </w:t>
      </w:r>
      <w:r w:rsidR="008A74EB" w:rsidRPr="00993B55">
        <w:rPr>
          <w:rStyle w:val="libFootnoteBoldChar"/>
          <w:rtl/>
        </w:rPr>
        <w:t>لسان العرب</w:t>
      </w:r>
      <w:r w:rsidR="008A74EB" w:rsidRPr="00C9040A">
        <w:rPr>
          <w:rtl/>
        </w:rPr>
        <w:t xml:space="preserve"> ، ج 11 ، ص 112 ( جعل )</w:t>
      </w:r>
      <w:r w:rsidR="008A74EB">
        <w:rPr>
          <w:rtl/>
        </w:rPr>
        <w:t>.</w:t>
      </w:r>
    </w:p>
    <w:tbl>
      <w:tblPr>
        <w:tblStyle w:val="TableGrid"/>
        <w:bidiVisual/>
        <w:tblW w:w="0" w:type="auto"/>
        <w:tblLook w:val="04A0" w:firstRow="1" w:lastRow="0" w:firstColumn="1" w:lastColumn="0" w:noHBand="0" w:noVBand="1"/>
      </w:tblPr>
      <w:tblGrid>
        <w:gridCol w:w="4006"/>
        <w:gridCol w:w="4006"/>
      </w:tblGrid>
      <w:tr w:rsidR="007177C5" w:rsidTr="007177C5">
        <w:tc>
          <w:tcPr>
            <w:tcW w:w="4006" w:type="dxa"/>
          </w:tcPr>
          <w:p w:rsidR="007177C5" w:rsidRDefault="007177C5" w:rsidP="004A4E41">
            <w:pPr>
              <w:pStyle w:val="libFootnote0"/>
              <w:rPr>
                <w:rtl/>
              </w:rPr>
            </w:pPr>
            <w:r>
              <w:rPr>
                <w:rtl/>
              </w:rPr>
              <w:t>(5).</w:t>
            </w:r>
            <w:r w:rsidRPr="00C9040A">
              <w:rPr>
                <w:rtl/>
              </w:rPr>
              <w:t xml:space="preserve"> في البحار : « فيحبس »</w:t>
            </w:r>
            <w:r>
              <w:rPr>
                <w:rtl/>
              </w:rPr>
              <w:t>.</w:t>
            </w:r>
          </w:p>
        </w:tc>
        <w:tc>
          <w:tcPr>
            <w:tcW w:w="4006" w:type="dxa"/>
          </w:tcPr>
          <w:p w:rsidR="007177C5" w:rsidRDefault="007177C5" w:rsidP="004A4E41">
            <w:pPr>
              <w:pStyle w:val="libFootnote0"/>
              <w:rPr>
                <w:rtl/>
              </w:rPr>
            </w:pPr>
            <w:r>
              <w:rPr>
                <w:rtl/>
              </w:rPr>
              <w:t xml:space="preserve">(6). </w:t>
            </w:r>
            <w:r w:rsidRPr="00C9040A">
              <w:rPr>
                <w:rtl/>
              </w:rPr>
              <w:t>في « ب » والمحاسن والأمالي : « بمحلّتها »</w:t>
            </w:r>
            <w:r>
              <w:rPr>
                <w:rtl/>
              </w:rPr>
              <w:t>.</w:t>
            </w:r>
          </w:p>
        </w:tc>
      </w:tr>
      <w:tr w:rsidR="007177C5" w:rsidTr="007177C5">
        <w:tc>
          <w:tcPr>
            <w:tcW w:w="4006" w:type="dxa"/>
          </w:tcPr>
          <w:p w:rsidR="007177C5" w:rsidRDefault="007177C5" w:rsidP="004A4E41">
            <w:pPr>
              <w:pStyle w:val="libFootnote0"/>
              <w:rPr>
                <w:rtl/>
              </w:rPr>
            </w:pPr>
            <w:r>
              <w:rPr>
                <w:rtl/>
              </w:rPr>
              <w:t>(7).</w:t>
            </w:r>
            <w:r w:rsidRPr="00C9040A">
              <w:rPr>
                <w:rtl/>
              </w:rPr>
              <w:t xml:space="preserve"> في « ز ، </w:t>
            </w:r>
            <w:r>
              <w:rPr>
                <w:rtl/>
              </w:rPr>
              <w:t xml:space="preserve">ه </w:t>
            </w:r>
            <w:r w:rsidRPr="00C9040A">
              <w:rPr>
                <w:rtl/>
              </w:rPr>
              <w:t>» والمحاسن والأمالي : « إلى »</w:t>
            </w:r>
            <w:r>
              <w:rPr>
                <w:rtl/>
              </w:rPr>
              <w:t>.</w:t>
            </w:r>
          </w:p>
        </w:tc>
        <w:tc>
          <w:tcPr>
            <w:tcW w:w="4006" w:type="dxa"/>
          </w:tcPr>
          <w:p w:rsidR="007177C5" w:rsidRDefault="007177C5" w:rsidP="004A4E41">
            <w:pPr>
              <w:pStyle w:val="libFootnote0"/>
              <w:rPr>
                <w:rtl/>
              </w:rPr>
            </w:pPr>
            <w:r>
              <w:rPr>
                <w:rtl/>
              </w:rPr>
              <w:t>(8).</w:t>
            </w:r>
            <w:r w:rsidRPr="00C9040A">
              <w:rPr>
                <w:rtl/>
              </w:rPr>
              <w:t xml:space="preserve"> في « ز » : « المسلك »</w:t>
            </w:r>
            <w:r>
              <w:rPr>
                <w:rtl/>
              </w:rPr>
              <w:t>.</w:t>
            </w:r>
          </w:p>
        </w:tc>
      </w:tr>
      <w:tr w:rsidR="007177C5" w:rsidTr="007177C5">
        <w:tc>
          <w:tcPr>
            <w:tcW w:w="4006" w:type="dxa"/>
          </w:tcPr>
          <w:p w:rsidR="007177C5" w:rsidRDefault="007177C5" w:rsidP="004A4E41">
            <w:pPr>
              <w:pStyle w:val="libFootnote0"/>
              <w:rPr>
                <w:rtl/>
              </w:rPr>
            </w:pPr>
            <w:r>
              <w:rPr>
                <w:rtl/>
              </w:rPr>
              <w:t>(9).</w:t>
            </w:r>
            <w:r w:rsidRPr="00C9040A">
              <w:rPr>
                <w:rtl/>
              </w:rPr>
              <w:t xml:space="preserve"> في « ف » : « محلّ »</w:t>
            </w:r>
            <w:r>
              <w:rPr>
                <w:rtl/>
              </w:rPr>
              <w:t>.</w:t>
            </w:r>
          </w:p>
        </w:tc>
        <w:tc>
          <w:tcPr>
            <w:tcW w:w="4006" w:type="dxa"/>
          </w:tcPr>
          <w:p w:rsidR="007177C5" w:rsidRDefault="007177C5" w:rsidP="004A4E41">
            <w:pPr>
              <w:pStyle w:val="libFootnote0"/>
              <w:rPr>
                <w:rtl/>
              </w:rPr>
            </w:pPr>
            <w:r>
              <w:rPr>
                <w:rtl/>
              </w:rPr>
              <w:t>(10).</w:t>
            </w:r>
            <w:r w:rsidRPr="00C9040A">
              <w:rPr>
                <w:rtl/>
              </w:rPr>
              <w:t xml:space="preserve"> الحشر (59) : 2.</w:t>
            </w:r>
          </w:p>
        </w:tc>
      </w:tr>
    </w:tbl>
    <w:p w:rsidR="008A74EB" w:rsidRPr="00C9040A" w:rsidRDefault="006C577F" w:rsidP="004A4E41">
      <w:pPr>
        <w:pStyle w:val="libFootnote0"/>
        <w:rPr>
          <w:rtl/>
          <w:lang w:bidi="fa-IR"/>
        </w:rPr>
      </w:pPr>
      <w:r>
        <w:rPr>
          <w:rtl/>
        </w:rPr>
        <w:t>(11).</w:t>
      </w:r>
      <w:r w:rsidR="008A74EB" w:rsidRPr="00C9040A">
        <w:rPr>
          <w:rtl/>
        </w:rPr>
        <w:t xml:space="preserve"> </w:t>
      </w:r>
      <w:r w:rsidR="008A74EB" w:rsidRPr="00993B55">
        <w:rPr>
          <w:rStyle w:val="libFootnoteBoldChar"/>
          <w:rtl/>
        </w:rPr>
        <w:t>المحاسن</w:t>
      </w:r>
      <w:r w:rsidR="008A74EB" w:rsidRPr="00C9040A">
        <w:rPr>
          <w:rtl/>
        </w:rPr>
        <w:t xml:space="preserve"> ، ص 116 ، كتاب عقاب الأعمال ، ح 122 ، عن أحمد بن محمّد ، عن ابن محبوب. وفي </w:t>
      </w:r>
      <w:r w:rsidR="008A74EB" w:rsidRPr="0034021D">
        <w:rPr>
          <w:rStyle w:val="libFootnoteBoldChar"/>
          <w:rtl/>
        </w:rPr>
        <w:t>الأمالي للصدوق</w:t>
      </w:r>
      <w:r w:rsidR="008A74EB" w:rsidRPr="00C9040A">
        <w:rPr>
          <w:rtl/>
        </w:rPr>
        <w:t xml:space="preserve"> ، ص 308 ، المجلس 51 ، صدر ح 2 ؛ </w:t>
      </w:r>
      <w:r w:rsidR="008A74EB" w:rsidRPr="007177C5">
        <w:rPr>
          <w:rStyle w:val="libFootnoteBoldChar"/>
          <w:rtl/>
        </w:rPr>
        <w:t>وث</w:t>
      </w:r>
      <w:r w:rsidR="008A74EB" w:rsidRPr="00993B55">
        <w:rPr>
          <w:rStyle w:val="libFootnoteBoldChar"/>
          <w:rtl/>
        </w:rPr>
        <w:t xml:space="preserve">واب الأعمال </w:t>
      </w:r>
      <w:r w:rsidR="008A74EB" w:rsidRPr="00C9040A">
        <w:rPr>
          <w:rtl/>
        </w:rPr>
        <w:t xml:space="preserve">، ص 300 ، بسندهما عن أحمد بن محمّد ، عن الحسن بن محبوب </w:t>
      </w:r>
      <w:r w:rsidR="007177C5">
        <w:rPr>
          <w:rFonts w:hint="cs"/>
          <w:rtl/>
        </w:rPr>
        <w:t>.</w:t>
      </w:r>
      <w:r w:rsidR="008A74EB" w:rsidRPr="00993B55">
        <w:rPr>
          <w:rStyle w:val="libFootnoteBoldChar"/>
          <w:rtl/>
        </w:rPr>
        <w:t>الوافي</w:t>
      </w:r>
      <w:r w:rsidR="008A74EB" w:rsidRPr="00C9040A">
        <w:rPr>
          <w:rtl/>
        </w:rPr>
        <w:t xml:space="preserve"> ، ج 5 ، ص 1001 ، ح 3470 ؛ </w:t>
      </w:r>
      <w:r w:rsidR="008A74EB" w:rsidRPr="00993B55">
        <w:rPr>
          <w:rStyle w:val="libFootnoteBoldChar"/>
          <w:rtl/>
        </w:rPr>
        <w:t>الوسائل</w:t>
      </w:r>
      <w:r w:rsidR="008A74EB" w:rsidRPr="00C9040A">
        <w:rPr>
          <w:rtl/>
        </w:rPr>
        <w:t xml:space="preserve"> ، ج 16 ، ص 257 ، ذيل ح 21505 ؛ </w:t>
      </w:r>
      <w:r w:rsidR="008A74EB" w:rsidRPr="00993B55">
        <w:rPr>
          <w:rStyle w:val="libFootnoteBoldChar"/>
          <w:rtl/>
        </w:rPr>
        <w:t>البحار</w:t>
      </w:r>
      <w:r w:rsidR="008A74EB" w:rsidRPr="00C9040A">
        <w:rPr>
          <w:rtl/>
        </w:rPr>
        <w:t xml:space="preserve"> ، ج 73 ، ص 329 ، ح 12.</w:t>
      </w:r>
    </w:p>
    <w:p w:rsidR="008A74EB" w:rsidRPr="00C9040A" w:rsidRDefault="006C577F" w:rsidP="004A4E41">
      <w:pPr>
        <w:pStyle w:val="libFootnote0"/>
        <w:rPr>
          <w:rtl/>
          <w:lang w:bidi="fa-IR"/>
        </w:rPr>
      </w:pPr>
      <w:r>
        <w:rPr>
          <w:rtl/>
        </w:rPr>
        <w:t>(12).</w:t>
      </w:r>
      <w:r w:rsidR="008A74EB" w:rsidRPr="00C9040A">
        <w:rPr>
          <w:rtl/>
        </w:rPr>
        <w:t xml:space="preserve"> في « ب ، ج ، ز ، ص ، ض ، ف ، </w:t>
      </w:r>
      <w:r w:rsidR="006D3162">
        <w:rPr>
          <w:rtl/>
        </w:rPr>
        <w:t xml:space="preserve">ه </w:t>
      </w:r>
      <w:r w:rsidR="008A74EB" w:rsidRPr="00C9040A">
        <w:rPr>
          <w:rtl/>
        </w:rPr>
        <w:t xml:space="preserve">، بر ، بس ، بف ، جر » والوسائل </w:t>
      </w:r>
      <w:r w:rsidR="008A74EB">
        <w:rPr>
          <w:rtl/>
        </w:rPr>
        <w:t xml:space="preserve">: </w:t>
      </w:r>
      <w:r w:rsidR="0084262C">
        <w:rPr>
          <w:rtl/>
        </w:rPr>
        <w:t>-</w:t>
      </w:r>
      <w:r w:rsidR="008A74EB" w:rsidRPr="00C9040A">
        <w:rPr>
          <w:rtl/>
        </w:rPr>
        <w:t xml:space="preserve"> « عن ابن بكير »</w:t>
      </w:r>
      <w:r w:rsidR="008A74EB">
        <w:rPr>
          <w:rtl/>
        </w:rPr>
        <w:t>.</w:t>
      </w:r>
      <w:r w:rsidR="008A74EB" w:rsidRPr="00C9040A">
        <w:rPr>
          <w:rtl/>
        </w:rPr>
        <w:t xml:space="preserve"> والصواب ما ورد في « د » </w:t>
      </w:r>
      <w:r w:rsidR="007177C5">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إِنَّ الرَّجُلَ يُذْنِبُ الذَّنْبَ ، فَيُحْرَمُ صَلَاةَ اللَّيْلِ ، وَإِنَّ الْعَمَلَ السَّيِّئَ أَسْرَعُ فِي صَاحِبِهِ مِنَ السِّكِّينِ فِي اللَّحْمِ »</w:t>
      </w:r>
      <w:r>
        <w:rPr>
          <w:rtl/>
          <w:lang w:bidi="fa-IR"/>
        </w:rPr>
        <w:t>.</w:t>
      </w:r>
      <w:r w:rsidRPr="00C9040A">
        <w:rPr>
          <w:rtl/>
          <w:lang w:bidi="fa-IR"/>
        </w:rPr>
        <w:t xml:space="preserve"> </w:t>
      </w:r>
      <w:r w:rsidR="006C577F" w:rsidRPr="006C577F">
        <w:rPr>
          <w:rStyle w:val="libFootnotenumChar"/>
          <w:rtl/>
        </w:rPr>
        <w:t>(1)</w:t>
      </w:r>
      <w:r w:rsidRPr="00C9040A">
        <w:rPr>
          <w:rtl/>
          <w:lang w:bidi="fa-IR"/>
        </w:rPr>
        <w:t xml:space="preserve"> ‌</w:t>
      </w:r>
    </w:p>
    <w:p w:rsidR="008A74EB" w:rsidRPr="00C9040A" w:rsidRDefault="008A74EB" w:rsidP="008A74EB">
      <w:pPr>
        <w:pStyle w:val="libNormal"/>
        <w:rPr>
          <w:rtl/>
          <w:lang w:bidi="fa-IR"/>
        </w:rPr>
      </w:pPr>
      <w:r w:rsidRPr="001B6DD8">
        <w:rPr>
          <w:rtl/>
        </w:rPr>
        <w:t>2427</w:t>
      </w:r>
      <w:r w:rsidRPr="00261CB0">
        <w:rPr>
          <w:rStyle w:val="libBold2Char"/>
          <w:rtl/>
        </w:rPr>
        <w:t xml:space="preserve"> / 17.</w:t>
      </w:r>
      <w:r w:rsidRPr="00C9040A">
        <w:rPr>
          <w:rtl/>
          <w:lang w:bidi="fa-IR"/>
        </w:rPr>
        <w:t xml:space="preserve"> عَنْهُ </w:t>
      </w:r>
      <w:r w:rsidR="006C577F" w:rsidRPr="006C577F">
        <w:rPr>
          <w:rStyle w:val="libFootnotenumChar"/>
          <w:rtl/>
        </w:rPr>
        <w:t>(2)</w:t>
      </w:r>
      <w:r w:rsidRPr="00C9040A">
        <w:rPr>
          <w:rtl/>
          <w:lang w:bidi="fa-IR"/>
        </w:rPr>
        <w:t xml:space="preserve"> ، عَنِ ابْنِ فَضَّالٍ ، عَنِ ابْنِ بُكَيْرٍ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مَنْ هَمَّ بِسَيِّئَةٍ فَلَا يَعْمَلْهَا </w:t>
      </w:r>
      <w:r w:rsidR="006C577F" w:rsidRPr="006C577F">
        <w:rPr>
          <w:rStyle w:val="libFootnotenumChar"/>
          <w:rtl/>
        </w:rPr>
        <w:t>(4)</w:t>
      </w:r>
      <w:r w:rsidRPr="00C9040A">
        <w:rPr>
          <w:rtl/>
          <w:lang w:bidi="fa-IR"/>
        </w:rPr>
        <w:t xml:space="preserve"> ، فَإِنَّهُ رُبَّمَا عَمِلَ </w:t>
      </w:r>
      <w:r w:rsidR="006C577F" w:rsidRPr="006C577F">
        <w:rPr>
          <w:rStyle w:val="libFootnotenumChar"/>
          <w:rtl/>
        </w:rPr>
        <w:t>(5)</w:t>
      </w:r>
      <w:r w:rsidRPr="00C9040A">
        <w:rPr>
          <w:rtl/>
          <w:lang w:bidi="fa-IR"/>
        </w:rPr>
        <w:t xml:space="preserve"> الْعَبْدُ السَّيِّئَةَ ، فَيَرَاهُ الرَّبُّ</w:t>
      </w:r>
      <w:r>
        <w:rPr>
          <w:rtl/>
          <w:lang w:bidi="fa-IR"/>
        </w:rPr>
        <w:t xml:space="preserve"> </w:t>
      </w:r>
      <w:r w:rsidR="0084262C">
        <w:rPr>
          <w:rtl/>
          <w:lang w:bidi="fa-IR"/>
        </w:rPr>
        <w:t>-</w:t>
      </w:r>
      <w:r>
        <w:rPr>
          <w:rtl/>
          <w:lang w:bidi="fa-IR"/>
        </w:rPr>
        <w:t xml:space="preserve"> </w:t>
      </w:r>
      <w:r w:rsidRPr="00C9040A">
        <w:rPr>
          <w:rtl/>
          <w:lang w:bidi="fa-IR"/>
        </w:rPr>
        <w:t xml:space="preserve">تَبَارَكَ وَتَعَالى </w:t>
      </w:r>
      <w:r w:rsidR="006C577F" w:rsidRPr="006C577F">
        <w:rPr>
          <w:rStyle w:val="libFootnotenumChar"/>
          <w:rtl/>
        </w:rPr>
        <w:t>(6)</w:t>
      </w:r>
      <w:r w:rsidRPr="005B567D">
        <w:rPr>
          <w:rStyle w:val="libFootnotenumChar"/>
          <w:rtl/>
        </w:rPr>
        <w:t xml:space="preserve"> </w:t>
      </w:r>
      <w:r w:rsidR="0084262C">
        <w:rPr>
          <w:rtl/>
          <w:lang w:bidi="fa-IR"/>
        </w:rPr>
        <w:t>-</w:t>
      </w:r>
      <w:r>
        <w:rPr>
          <w:rtl/>
          <w:lang w:bidi="fa-IR"/>
        </w:rPr>
        <w:t xml:space="preserve"> </w:t>
      </w:r>
      <w:r w:rsidRPr="00C9040A">
        <w:rPr>
          <w:rtl/>
          <w:lang w:bidi="fa-IR"/>
        </w:rPr>
        <w:t xml:space="preserve">فَيَقُولُ : </w:t>
      </w:r>
      <w:r w:rsidR="006C577F" w:rsidRPr="006C577F">
        <w:rPr>
          <w:rStyle w:val="libFootnotenumChar"/>
          <w:rtl/>
        </w:rPr>
        <w:t>(7)</w:t>
      </w:r>
      <w:r w:rsidRPr="00C9040A">
        <w:rPr>
          <w:rtl/>
          <w:lang w:bidi="fa-IR"/>
        </w:rPr>
        <w:t xml:space="preserve"> وَعِزَّتِي وَجَلَالِي </w:t>
      </w:r>
      <w:r w:rsidR="006C577F" w:rsidRPr="006C577F">
        <w:rPr>
          <w:rStyle w:val="libFootnotenumChar"/>
          <w:rtl/>
        </w:rPr>
        <w:t>(8)</w:t>
      </w:r>
      <w:r w:rsidRPr="00C9040A">
        <w:rPr>
          <w:rtl/>
          <w:lang w:bidi="fa-IR"/>
        </w:rPr>
        <w:t xml:space="preserve"> ، لَا</w:t>
      </w:r>
      <w:r>
        <w:rPr>
          <w:rFonts w:hint="cs"/>
          <w:rtl/>
          <w:lang w:bidi="fa-IR"/>
        </w:rPr>
        <w:t xml:space="preserve"> </w:t>
      </w:r>
      <w:r w:rsidRPr="00C9040A">
        <w:rPr>
          <w:rtl/>
          <w:lang w:bidi="fa-IR"/>
        </w:rPr>
        <w:t xml:space="preserve">أَغْفِرُ لَكَ بَعْدَ ذلِكَ </w:t>
      </w:r>
      <w:r w:rsidR="006C577F" w:rsidRPr="006C577F">
        <w:rPr>
          <w:rStyle w:val="libFootnotenumChar"/>
          <w:rtl/>
        </w:rPr>
        <w:t>(9)</w:t>
      </w:r>
      <w:r w:rsidR="00C822D0">
        <w:rPr>
          <w:rtl/>
          <w:lang w:bidi="fa-IR"/>
        </w:rPr>
        <w:t xml:space="preserve"> أَبَداً</w:t>
      </w:r>
      <w:r w:rsidRPr="00C9040A">
        <w:rPr>
          <w:rtl/>
          <w:lang w:bidi="fa-IR"/>
        </w:rPr>
        <w:t>»</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Normal"/>
        <w:rPr>
          <w:rtl/>
          <w:lang w:bidi="fa-IR"/>
        </w:rPr>
      </w:pPr>
      <w:r w:rsidRPr="001B6DD8">
        <w:rPr>
          <w:rtl/>
        </w:rPr>
        <w:t>2428</w:t>
      </w:r>
      <w:r w:rsidRPr="00261CB0">
        <w:rPr>
          <w:rStyle w:val="libBold2Char"/>
          <w:rtl/>
        </w:rPr>
        <w:t xml:space="preserve"> / 18.</w:t>
      </w:r>
      <w:r w:rsidRPr="00C9040A">
        <w:rPr>
          <w:rtl/>
          <w:lang w:bidi="fa-IR"/>
        </w:rPr>
        <w:t xml:space="preserve"> الْحُسَيْنُ بْنُ مُحَمَّدٍ ، عَنْ مُحَمَّدِ بْنِ أَحْمَدَ النَّهْدِيِّ ، عَنْ عَمْرِو بْنِ عُثْمَانَ ،</w:t>
      </w:r>
    </w:p>
    <w:p w:rsidR="008A74EB" w:rsidRPr="00C9040A" w:rsidRDefault="008A74EB" w:rsidP="008A74EB">
      <w:pPr>
        <w:pStyle w:val="libLine"/>
        <w:rPr>
          <w:rtl/>
          <w:lang w:bidi="fa-IR"/>
        </w:rPr>
      </w:pPr>
      <w:r w:rsidRPr="00C9040A">
        <w:rPr>
          <w:rtl/>
          <w:lang w:bidi="fa-IR"/>
        </w:rPr>
        <w:t>__________________</w:t>
      </w:r>
    </w:p>
    <w:p w:rsidR="008A74EB" w:rsidRPr="00C9040A" w:rsidRDefault="008D5882" w:rsidP="004A4E41">
      <w:pPr>
        <w:pStyle w:val="libFootnote0"/>
        <w:rPr>
          <w:rtl/>
          <w:lang w:bidi="fa-IR"/>
        </w:rPr>
      </w:pPr>
      <w:r>
        <w:rPr>
          <w:rFonts w:hint="cs"/>
          <w:rtl/>
        </w:rPr>
        <w:t xml:space="preserve">= </w:t>
      </w:r>
      <w:r w:rsidR="008A74EB" w:rsidRPr="00C9040A">
        <w:rPr>
          <w:rtl/>
        </w:rPr>
        <w:t xml:space="preserve">والمطبوع والبحار من ثبوت « عن ابن بكير » ؛ فإنّ ابن فضّال في مشايخ محمّد بن عبدالجبّار ، هو الحسن بن عليّ بن فضّال ، وهو من أصحاب الرضا </w:t>
      </w:r>
      <w:r w:rsidR="00117575" w:rsidRPr="00117575">
        <w:rPr>
          <w:rStyle w:val="libFootnoteAlaemChar"/>
          <w:rtl/>
        </w:rPr>
        <w:t>عليه‌السلام</w:t>
      </w:r>
      <w:r w:rsidR="008A74EB" w:rsidRPr="00C9040A">
        <w:rPr>
          <w:rtl/>
        </w:rPr>
        <w:t xml:space="preserve"> ، روى هو كتاب عبدالله بن بكير ، وتوسّط ابن بكير بينه وبين أبي‌عبدالله </w:t>
      </w:r>
      <w:r w:rsidR="00117575" w:rsidRPr="00117575">
        <w:rPr>
          <w:rStyle w:val="libFootnoteAlaemChar"/>
          <w:rtl/>
        </w:rPr>
        <w:t>عليه‌السلام</w:t>
      </w:r>
      <w:r w:rsidR="008A74EB" w:rsidRPr="00C9040A">
        <w:rPr>
          <w:rtl/>
        </w:rPr>
        <w:t xml:space="preserve"> في عددٍ من الأسناد. راجع : </w:t>
      </w:r>
      <w:r w:rsidR="008A74EB" w:rsidRPr="0034021D">
        <w:rPr>
          <w:rStyle w:val="libFootnoteBoldChar"/>
          <w:rtl/>
        </w:rPr>
        <w:t>الفهرست للطوسي</w:t>
      </w:r>
      <w:r w:rsidR="008A74EB" w:rsidRPr="00C9040A">
        <w:rPr>
          <w:rtl/>
        </w:rPr>
        <w:t xml:space="preserve"> ، ص 124 ، الرقم 164 ؛ وص 304 ، الرقم 464 ؛ </w:t>
      </w:r>
      <w:r w:rsidR="008A74EB" w:rsidRPr="00993B55">
        <w:rPr>
          <w:rStyle w:val="libFootnoteBoldChar"/>
          <w:rtl/>
        </w:rPr>
        <w:t>معجم رجال الحديث</w:t>
      </w:r>
      <w:r w:rsidR="008A74EB" w:rsidRPr="00C9040A">
        <w:rPr>
          <w:rtl/>
        </w:rPr>
        <w:t xml:space="preserve"> ، ج 10 ، ص 420</w:t>
      </w:r>
      <w:r w:rsidR="008A74EB">
        <w:rPr>
          <w:rtl/>
        </w:rPr>
        <w:t xml:space="preserve"> </w:t>
      </w:r>
      <w:r w:rsidR="0084262C">
        <w:rPr>
          <w:rtl/>
        </w:rPr>
        <w:t>-</w:t>
      </w:r>
      <w:r w:rsidR="008A74EB">
        <w:rPr>
          <w:rtl/>
        </w:rPr>
        <w:t xml:space="preserve"> </w:t>
      </w:r>
      <w:r w:rsidR="008A74EB" w:rsidRPr="00C9040A">
        <w:rPr>
          <w:rtl/>
        </w:rPr>
        <w:t>421 ؛ ج 22 ، ص 363</w:t>
      </w:r>
      <w:r w:rsidR="008A74EB">
        <w:rPr>
          <w:rtl/>
        </w:rPr>
        <w:t xml:space="preserve"> </w:t>
      </w:r>
      <w:r w:rsidR="0084262C">
        <w:rPr>
          <w:rtl/>
        </w:rPr>
        <w:t>-</w:t>
      </w:r>
      <w:r w:rsidR="008A74EB">
        <w:rPr>
          <w:rtl/>
        </w:rPr>
        <w:t xml:space="preserve"> </w:t>
      </w:r>
      <w:r w:rsidR="008A74EB" w:rsidRPr="00C9040A">
        <w:rPr>
          <w:rtl/>
        </w:rPr>
        <w:t xml:space="preserve">364. ويؤيّد ذلك رواية ابن فضّال ، عن ابن بكير ، عن أبي‌عبدالله </w:t>
      </w:r>
      <w:r w:rsidR="00117575" w:rsidRPr="00117575">
        <w:rPr>
          <w:rStyle w:val="libFootnoteAlaemChar"/>
          <w:rtl/>
        </w:rPr>
        <w:t>عليه‌السلام</w:t>
      </w:r>
      <w:r w:rsidR="008A74EB" w:rsidRPr="00C9040A">
        <w:rPr>
          <w:rtl/>
        </w:rPr>
        <w:t xml:space="preserve"> في الحديث الآتي.</w:t>
      </w:r>
    </w:p>
    <w:p w:rsidR="008A74EB" w:rsidRPr="00C9040A" w:rsidRDefault="006C577F" w:rsidP="008D5882">
      <w:pPr>
        <w:pStyle w:val="libFootnote0"/>
        <w:rPr>
          <w:rtl/>
          <w:lang w:bidi="fa-IR"/>
        </w:rPr>
      </w:pPr>
      <w:r>
        <w:rPr>
          <w:rtl/>
        </w:rPr>
        <w:t>(1).</w:t>
      </w:r>
      <w:r w:rsidR="008A74EB">
        <w:rPr>
          <w:rtl/>
        </w:rPr>
        <w:t xml:space="preserve"> </w:t>
      </w:r>
      <w:r w:rsidR="008A74EB" w:rsidRPr="00993B55">
        <w:rPr>
          <w:rStyle w:val="libFootnoteBoldChar"/>
          <w:rtl/>
        </w:rPr>
        <w:t>المحاسن</w:t>
      </w:r>
      <w:r w:rsidR="008A74EB" w:rsidRPr="00C9040A">
        <w:rPr>
          <w:rtl/>
        </w:rPr>
        <w:t xml:space="preserve"> ، ص 115 ، كتاب عقاب الأعمال ، ح 119 ، عن محمّد بن عليّ ، عن ابن فضّال ، عن رجل ، عن أبي‌عبدالله </w:t>
      </w:r>
      <w:r w:rsidR="00117575" w:rsidRPr="00117575">
        <w:rPr>
          <w:rStyle w:val="libFootnoteAlaemChar"/>
          <w:rtl/>
        </w:rPr>
        <w:t xml:space="preserve">عليه‌السلام </w:t>
      </w:r>
      <w:r w:rsidR="008D5882">
        <w:rPr>
          <w:rFonts w:hint="cs"/>
          <w:rtl/>
        </w:rPr>
        <w:t>.</w:t>
      </w:r>
      <w:r w:rsidR="008A74EB" w:rsidRPr="00993B55">
        <w:rPr>
          <w:rStyle w:val="libFootnoteBoldChar"/>
          <w:rtl/>
        </w:rPr>
        <w:t>الوافي</w:t>
      </w:r>
      <w:r w:rsidR="008A74EB" w:rsidRPr="00C9040A">
        <w:rPr>
          <w:rtl/>
        </w:rPr>
        <w:t xml:space="preserve"> ، ج 5 ، ص 1003 ، ح 3473 ؛ </w:t>
      </w:r>
      <w:r w:rsidR="008A74EB" w:rsidRPr="00993B55">
        <w:rPr>
          <w:rStyle w:val="libFootnoteBoldChar"/>
          <w:rtl/>
        </w:rPr>
        <w:t>الوسائل</w:t>
      </w:r>
      <w:r w:rsidR="008A74EB" w:rsidRPr="00C9040A">
        <w:rPr>
          <w:rtl/>
        </w:rPr>
        <w:t xml:space="preserve"> ، ج 15 ، ص 302 ، ح 20578 ؛ </w:t>
      </w:r>
      <w:r w:rsidR="008A74EB" w:rsidRPr="00993B55">
        <w:rPr>
          <w:rStyle w:val="libFootnoteBoldChar"/>
          <w:rtl/>
        </w:rPr>
        <w:t>البحار</w:t>
      </w:r>
      <w:r w:rsidR="008A74EB" w:rsidRPr="00C9040A">
        <w:rPr>
          <w:rtl/>
        </w:rPr>
        <w:t xml:space="preserve"> ، ج 73 ، ص 330 ، ح 13.</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الضمير راجع إلى محمّد بن عبدالجبّار المذكور في السند السابق.</w:t>
      </w:r>
    </w:p>
    <w:p w:rsidR="008A74EB" w:rsidRPr="00C9040A" w:rsidRDefault="006C577F" w:rsidP="004A4E41">
      <w:pPr>
        <w:pStyle w:val="libFootnote0"/>
        <w:rPr>
          <w:rtl/>
          <w:lang w:bidi="fa-IR"/>
        </w:rPr>
      </w:pPr>
      <w:r>
        <w:rPr>
          <w:rtl/>
        </w:rPr>
        <w:t>(3).</w:t>
      </w:r>
      <w:r w:rsidR="008A74EB" w:rsidRPr="00C9040A">
        <w:rPr>
          <w:rtl/>
        </w:rPr>
        <w:t xml:space="preserve"> في الكافي ، ح 1942 والمحاسن وثواب الأعمال : + « عن بعض أصحابنا »</w:t>
      </w:r>
      <w:r w:rsidR="008A74EB">
        <w:rPr>
          <w:rtl/>
        </w:rPr>
        <w:t>.</w:t>
      </w:r>
    </w:p>
    <w:tbl>
      <w:tblPr>
        <w:tblStyle w:val="TableGrid"/>
        <w:bidiVisual/>
        <w:tblW w:w="0" w:type="auto"/>
        <w:tblLook w:val="04A0" w:firstRow="1" w:lastRow="0" w:firstColumn="1" w:lastColumn="0" w:noHBand="0" w:noVBand="1"/>
      </w:tblPr>
      <w:tblGrid>
        <w:gridCol w:w="4006"/>
        <w:gridCol w:w="4006"/>
      </w:tblGrid>
      <w:tr w:rsidR="00180BB7" w:rsidTr="00180BB7">
        <w:tc>
          <w:tcPr>
            <w:tcW w:w="4006" w:type="dxa"/>
          </w:tcPr>
          <w:p w:rsidR="00180BB7" w:rsidRDefault="00180BB7" w:rsidP="004A4E41">
            <w:pPr>
              <w:pStyle w:val="libFootnote0"/>
              <w:rPr>
                <w:rtl/>
              </w:rPr>
            </w:pPr>
            <w:r>
              <w:rPr>
                <w:rtl/>
              </w:rPr>
              <w:t>(4).</w:t>
            </w:r>
            <w:r w:rsidRPr="00C9040A">
              <w:rPr>
                <w:rtl/>
              </w:rPr>
              <w:t xml:space="preserve"> « فلا يعملها » بصيغة النهي.</w:t>
            </w:r>
          </w:p>
        </w:tc>
        <w:tc>
          <w:tcPr>
            <w:tcW w:w="4006" w:type="dxa"/>
          </w:tcPr>
          <w:p w:rsidR="00180BB7" w:rsidRDefault="00180BB7" w:rsidP="004A4E41">
            <w:pPr>
              <w:pStyle w:val="libFootnote0"/>
              <w:rPr>
                <w:rtl/>
              </w:rPr>
            </w:pPr>
            <w:r>
              <w:rPr>
                <w:rtl/>
              </w:rPr>
              <w:t>(5).</w:t>
            </w:r>
            <w:r w:rsidRPr="00C9040A">
              <w:rPr>
                <w:rtl/>
              </w:rPr>
              <w:t xml:space="preserve"> في « ب » والبحار : « يعمل »</w:t>
            </w:r>
            <w:r>
              <w:rPr>
                <w:rtl/>
              </w:rPr>
              <w:t>.</w:t>
            </w:r>
          </w:p>
        </w:tc>
      </w:tr>
    </w:tbl>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الكافي ، ح 1942 : « فيراه الله سبحانه » بدل « فيراه الربّ تبارك وتعالى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الكافي ، ح 1942 : + « لا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 ز » : « بعزّتي وجلالي »</w:t>
      </w:r>
      <w:r w:rsidR="008A74EB">
        <w:rPr>
          <w:rtl/>
        </w:rPr>
        <w:t>.</w:t>
      </w:r>
      <w:r w:rsidR="008A74EB" w:rsidRPr="00C9040A">
        <w:rPr>
          <w:rtl/>
        </w:rPr>
        <w:t xml:space="preserve"> وفي « ص » </w:t>
      </w:r>
      <w:r w:rsidR="008A74EB">
        <w:rPr>
          <w:rtl/>
        </w:rPr>
        <w:t xml:space="preserve">: </w:t>
      </w:r>
      <w:r w:rsidR="0084262C">
        <w:rPr>
          <w:rtl/>
        </w:rPr>
        <w:t>-</w:t>
      </w:r>
      <w:r w:rsidR="008A74EB" w:rsidRPr="00C9040A">
        <w:rPr>
          <w:rtl/>
        </w:rPr>
        <w:t xml:space="preserve"> « وعزّتي وجلالي »</w:t>
      </w:r>
      <w:r w:rsidR="008A74EB">
        <w:rPr>
          <w:rtl/>
        </w:rPr>
        <w:t>.</w:t>
      </w:r>
      <w:r w:rsidR="008A74EB" w:rsidRPr="00C9040A">
        <w:rPr>
          <w:rtl/>
        </w:rPr>
        <w:t xml:space="preserve"> وفي الوافي </w:t>
      </w:r>
      <w:r w:rsidR="008A74EB">
        <w:rPr>
          <w:rtl/>
        </w:rPr>
        <w:t xml:space="preserve">: </w:t>
      </w:r>
      <w:r w:rsidR="0084262C">
        <w:rPr>
          <w:rtl/>
        </w:rPr>
        <w:t>-</w:t>
      </w:r>
      <w:r w:rsidR="008A74EB" w:rsidRPr="00C9040A">
        <w:rPr>
          <w:rtl/>
        </w:rPr>
        <w:t xml:space="preserve"> « وجلالي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الكافي ، ح 1942 : « بعدها »</w:t>
      </w:r>
      <w:r w:rsidR="008A74EB">
        <w:rPr>
          <w:rtl/>
        </w:rPr>
        <w:t>.</w:t>
      </w:r>
      <w:r w:rsidR="008A74EB" w:rsidRPr="00C9040A">
        <w:rPr>
          <w:rtl/>
        </w:rPr>
        <w:t xml:space="preserve"> وفي المحاسن </w:t>
      </w:r>
      <w:r w:rsidR="008A74EB">
        <w:rPr>
          <w:rtl/>
        </w:rPr>
        <w:t xml:space="preserve">: </w:t>
      </w:r>
      <w:r w:rsidR="0084262C">
        <w:rPr>
          <w:rtl/>
        </w:rPr>
        <w:t>-</w:t>
      </w:r>
      <w:r w:rsidR="008A74EB" w:rsidRPr="00C9040A">
        <w:rPr>
          <w:rtl/>
        </w:rPr>
        <w:t xml:space="preserve"> « بعد ذلك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w:t>
      </w:r>
      <w:r w:rsidR="008A74EB" w:rsidRPr="00993B55">
        <w:rPr>
          <w:rStyle w:val="libFootnoteBoldChar"/>
          <w:rtl/>
        </w:rPr>
        <w:t>الكافي</w:t>
      </w:r>
      <w:r w:rsidR="008A74EB" w:rsidRPr="00C9040A">
        <w:rPr>
          <w:rtl/>
        </w:rPr>
        <w:t xml:space="preserve"> ، كتاب الإيمان والكفر ، باب تعجيل فعل الخير ، ح 1942 ، مع زيادة في أوّله. وفي </w:t>
      </w:r>
      <w:r w:rsidR="008A74EB" w:rsidRPr="00993B55">
        <w:rPr>
          <w:rStyle w:val="libFootnoteBoldChar"/>
          <w:rtl/>
        </w:rPr>
        <w:t>المحاسن</w:t>
      </w:r>
      <w:r w:rsidR="008A74EB" w:rsidRPr="00C9040A">
        <w:rPr>
          <w:rtl/>
        </w:rPr>
        <w:t xml:space="preserve"> ، ص 117 ، كتاب عقاب الأعمال ، ح 124 ؛ </w:t>
      </w:r>
      <w:r w:rsidR="008A74EB" w:rsidRPr="00180BB7">
        <w:rPr>
          <w:rStyle w:val="libFootnoteBoldChar"/>
          <w:rtl/>
        </w:rPr>
        <w:t>و</w:t>
      </w:r>
      <w:r w:rsidR="008A74EB" w:rsidRPr="00993B55">
        <w:rPr>
          <w:rStyle w:val="libFootnoteBoldChar"/>
          <w:rtl/>
        </w:rPr>
        <w:t>ثواب الأعمال</w:t>
      </w:r>
      <w:r w:rsidR="008A74EB" w:rsidRPr="00C9040A">
        <w:rPr>
          <w:rtl/>
        </w:rPr>
        <w:t xml:space="preserve"> ، ص 288 ، ح 1 ، بسندهما عن الحسن بن عليّ بن فضّال ، عن عبدالله بن بكير ، عن بعض أصحابه ، عن أبي‌عبدالله </w:t>
      </w:r>
      <w:r w:rsidR="00117575" w:rsidRPr="00117575">
        <w:rPr>
          <w:rStyle w:val="libFootnoteAlaemChar"/>
          <w:rtl/>
        </w:rPr>
        <w:t xml:space="preserve">عليه‌السلام </w:t>
      </w:r>
      <w:r w:rsidR="008A74EB" w:rsidRPr="00C9040A">
        <w:rPr>
          <w:rtl/>
        </w:rPr>
        <w:t xml:space="preserve">. </w:t>
      </w:r>
      <w:r w:rsidR="008A74EB" w:rsidRPr="0034021D">
        <w:rPr>
          <w:rStyle w:val="libFootnoteBoldChar"/>
          <w:rtl/>
        </w:rPr>
        <w:t>الأمالي للمفيد</w:t>
      </w:r>
      <w:r w:rsidR="008A74EB" w:rsidRPr="00C9040A">
        <w:rPr>
          <w:rtl/>
        </w:rPr>
        <w:t xml:space="preserve"> ، ص 205 ، المجلس 23 ، ذيل ح 36 ، بسند آخر ، وفي الأخيرين مع اختلاف يسير </w:t>
      </w:r>
      <w:r w:rsidR="00180BB7">
        <w:rPr>
          <w:rFonts w:hint="cs"/>
          <w:rtl/>
        </w:rPr>
        <w:t>.</w:t>
      </w:r>
      <w:r w:rsidR="008A74EB" w:rsidRPr="00993B55">
        <w:rPr>
          <w:rStyle w:val="libFootnoteBoldChar"/>
          <w:rtl/>
        </w:rPr>
        <w:t>الوافي</w:t>
      </w:r>
      <w:r w:rsidR="008A74EB" w:rsidRPr="00C9040A">
        <w:rPr>
          <w:rtl/>
        </w:rPr>
        <w:t xml:space="preserve"> ، ج 5 ، ص 1003 ، ح 3474 ؛ </w:t>
      </w:r>
      <w:r w:rsidR="008A74EB" w:rsidRPr="00993B55">
        <w:rPr>
          <w:rStyle w:val="libFootnoteBoldChar"/>
          <w:rtl/>
        </w:rPr>
        <w:t>الوسائل</w:t>
      </w:r>
      <w:r w:rsidR="008A74EB" w:rsidRPr="00C9040A">
        <w:rPr>
          <w:rtl/>
        </w:rPr>
        <w:t xml:space="preserve"> ، ج 15 ، ص 303 ، ح 20579 ؛ </w:t>
      </w:r>
      <w:r w:rsidR="008A74EB" w:rsidRPr="00993B55">
        <w:rPr>
          <w:rStyle w:val="libFootnoteBoldChar"/>
          <w:rtl/>
        </w:rPr>
        <w:t>البحار</w:t>
      </w:r>
      <w:r w:rsidR="008A74EB" w:rsidRPr="00C9040A">
        <w:rPr>
          <w:rtl/>
        </w:rPr>
        <w:t xml:space="preserve"> ، ج 73 ، ص 331 ، ح 14.</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عَنْ رَجُلٍ :</w:t>
      </w:r>
    </w:p>
    <w:p w:rsidR="008A74EB" w:rsidRPr="00C9040A" w:rsidRDefault="008A74EB" w:rsidP="008A74EB">
      <w:pPr>
        <w:pStyle w:val="libNormal"/>
        <w:rPr>
          <w:rtl/>
          <w:lang w:bidi="fa-IR"/>
        </w:rPr>
      </w:pPr>
      <w:r w:rsidRPr="00C9040A">
        <w:rPr>
          <w:rtl/>
          <w:lang w:bidi="fa-IR"/>
        </w:rPr>
        <w:t xml:space="preserve">عَنْ أَبِي الْحَسَنِ </w:t>
      </w:r>
      <w:r w:rsidR="006C577F" w:rsidRPr="006C577F">
        <w:rPr>
          <w:rStyle w:val="libFootnotenumChar"/>
          <w:rtl/>
        </w:rPr>
        <w:t>(1)</w:t>
      </w:r>
      <w:r w:rsidRPr="00C9040A">
        <w:rPr>
          <w:rtl/>
          <w:lang w:bidi="fa-IR"/>
        </w:rPr>
        <w:t xml:space="preserve"> </w:t>
      </w:r>
      <w:r w:rsidRPr="0003660B">
        <w:rPr>
          <w:rStyle w:val="libAlaemChar"/>
          <w:rtl/>
        </w:rPr>
        <w:t>عليه‌السلام</w:t>
      </w:r>
      <w:r w:rsidRPr="00C9040A">
        <w:rPr>
          <w:rtl/>
          <w:lang w:bidi="fa-IR"/>
        </w:rPr>
        <w:t xml:space="preserve"> ، قَالَ : « حَقٌّ عَلَى اللهِ</w:t>
      </w:r>
      <w:r w:rsidR="00180BB7">
        <w:rPr>
          <w:rtl/>
          <w:lang w:bidi="fa-IR"/>
        </w:rPr>
        <w:t xml:space="preserve"> أَنْ لَايُعْصى فِي دَارٍ إِل</w:t>
      </w:r>
      <w:r w:rsidR="00180BB7">
        <w:rPr>
          <w:rFonts w:hint="cs"/>
          <w:rtl/>
          <w:lang w:bidi="fa-IR"/>
        </w:rPr>
        <w:t>َّ</w:t>
      </w:r>
      <w:r w:rsidR="00180BB7">
        <w:rPr>
          <w:rtl/>
          <w:lang w:bidi="fa-IR"/>
        </w:rPr>
        <w:t>ا</w:t>
      </w:r>
      <w:r w:rsidRPr="00C9040A">
        <w:rPr>
          <w:rtl/>
          <w:lang w:bidi="fa-IR"/>
        </w:rPr>
        <w:t xml:space="preserve"> أَضْحَاهَا </w:t>
      </w:r>
      <w:r w:rsidR="006C577F" w:rsidRPr="006C577F">
        <w:rPr>
          <w:rStyle w:val="libFootnotenumChar"/>
          <w:rtl/>
        </w:rPr>
        <w:t>(2)</w:t>
      </w:r>
      <w:r w:rsidRPr="00C9040A">
        <w:rPr>
          <w:rtl/>
          <w:lang w:bidi="fa-IR"/>
        </w:rPr>
        <w:t xml:space="preserve"> لِلشَّمْسِ حَتّى تُطَهِّرَهَا </w:t>
      </w:r>
      <w:r w:rsidR="006C577F" w:rsidRPr="006C577F">
        <w:rPr>
          <w:rStyle w:val="libFootnotenumChar"/>
          <w:rtl/>
        </w:rPr>
        <w:t>(3)</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(4)</w:t>
      </w:r>
    </w:p>
    <w:p w:rsidR="008A74EB" w:rsidRPr="00C9040A" w:rsidRDefault="008A74EB" w:rsidP="008A74EB">
      <w:pPr>
        <w:pStyle w:val="libNormal"/>
        <w:rPr>
          <w:rtl/>
          <w:lang w:bidi="fa-IR"/>
        </w:rPr>
      </w:pPr>
      <w:r w:rsidRPr="00714B92">
        <w:rPr>
          <w:rtl/>
        </w:rPr>
        <w:t>2429</w:t>
      </w:r>
      <w:r w:rsidRPr="00261CB0">
        <w:rPr>
          <w:rStyle w:val="libBold2Char"/>
          <w:rtl/>
        </w:rPr>
        <w:t xml:space="preserve"> / 19.</w:t>
      </w:r>
      <w:r w:rsidRPr="00C9040A">
        <w:rPr>
          <w:rtl/>
          <w:lang w:bidi="fa-IR"/>
        </w:rPr>
        <w:t xml:space="preserve"> عِدَّةٌ مِنْ أَصْحَابِنَا ، عَنْ سَهْلِ بْنِ زِيَادٍ ، عَنْ مُحَمَّدِ بْنِ الْحَسَنِ بْنِ شَمُّونٍ ، عَنْ عَبْدِ اللهِ بْنِ عَبْدِ الرَّحْمنِ الْأَصَمِّ </w:t>
      </w:r>
      <w:r w:rsidR="006C577F" w:rsidRPr="006C577F">
        <w:rPr>
          <w:rStyle w:val="libFootnotenumChar"/>
          <w:rtl/>
        </w:rPr>
        <w:t>(5)</w:t>
      </w:r>
      <w:r w:rsidRPr="00C9040A">
        <w:rPr>
          <w:rtl/>
          <w:lang w:bidi="fa-IR"/>
        </w:rPr>
        <w:t xml:space="preserve"> ، عَنْ مِسْمَعِ بْنِ عَبْدِ الْمَلِكِ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Pr="0003660B">
        <w:rPr>
          <w:rStyle w:val="libAlaemChar"/>
          <w:rtl/>
        </w:rPr>
        <w:t>عليه‌السلام</w:t>
      </w:r>
      <w:r w:rsidRPr="00C9040A">
        <w:rPr>
          <w:rtl/>
          <w:lang w:bidi="fa-IR"/>
        </w:rPr>
        <w:t xml:space="preserve"> : إِنَّ الْعَبْدَ لَيُحْبَسُ عَلى </w:t>
      </w:r>
      <w:r w:rsidR="006C577F" w:rsidRPr="006C577F">
        <w:rPr>
          <w:rStyle w:val="libFootnotenumChar"/>
          <w:rtl/>
        </w:rPr>
        <w:t>(6)</w:t>
      </w:r>
      <w:r w:rsidRPr="005B567D">
        <w:rPr>
          <w:rStyle w:val="libFootnotenumChar"/>
          <w:rtl/>
        </w:rPr>
        <w:t xml:space="preserve"> </w:t>
      </w:r>
      <w:r w:rsidRPr="00C9040A">
        <w:rPr>
          <w:rtl/>
          <w:lang w:bidi="fa-IR"/>
        </w:rPr>
        <w:t xml:space="preserve">ذَنْبٍ مِنْ ذُنُوبِهِ مِائَةَ عَامٍ ، وَإِنَّهُ لَيَنْظُرُ إِلى أَزْوَاجِهِ فِي الْجَنَّةِ يَتَنَعَّمْنَ </w:t>
      </w:r>
      <w:r w:rsidR="006C577F" w:rsidRPr="006C577F">
        <w:rPr>
          <w:rStyle w:val="libFootnotenumChar"/>
          <w:rtl/>
        </w:rPr>
        <w:t>(7)</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Normal"/>
        <w:rPr>
          <w:rtl/>
          <w:lang w:bidi="fa-IR"/>
        </w:rPr>
      </w:pPr>
      <w:r w:rsidRPr="00714B92">
        <w:rPr>
          <w:rtl/>
        </w:rPr>
        <w:t>2430</w:t>
      </w:r>
      <w:r w:rsidRPr="00261CB0">
        <w:rPr>
          <w:rStyle w:val="libBold2Char"/>
          <w:rtl/>
        </w:rPr>
        <w:t xml:space="preserve"> / 20.</w:t>
      </w:r>
      <w:r w:rsidRPr="00C9040A">
        <w:rPr>
          <w:rtl/>
          <w:lang w:bidi="fa-IR"/>
        </w:rPr>
        <w:t xml:space="preserve"> أَبُو عَلِيٍّ الْأَشْعَرِيُّ ، عَنْ عِيسَى بْنِ أَيُّوبَ ، عَنْ عَلِيِّ بْنِ مَهْزِيَارَ ، عَنِ الْقَاسِمِ بْنِ عُرْوَةَ ، عَنِ ابْنِ بُكَيْرٍ ، عَنْ زُرَارَةَ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w:t>
      </w:r>
      <w:r w:rsidR="00180BB7">
        <w:rPr>
          <w:rtl/>
          <w:lang w:bidi="fa-IR"/>
        </w:rPr>
        <w:t>قَالَ : « مَا مِنْ عَبْدٍ إِل</w:t>
      </w:r>
      <w:r w:rsidR="00180BB7">
        <w:rPr>
          <w:rFonts w:hint="cs"/>
          <w:rtl/>
          <w:lang w:bidi="fa-IR"/>
        </w:rPr>
        <w:t>َّ</w:t>
      </w:r>
      <w:r w:rsidR="00180BB7">
        <w:rPr>
          <w:rtl/>
          <w:lang w:bidi="fa-IR"/>
        </w:rPr>
        <w:t>ا</w:t>
      </w:r>
      <w:r w:rsidRPr="00C9040A">
        <w:rPr>
          <w:rtl/>
          <w:lang w:bidi="fa-IR"/>
        </w:rPr>
        <w:t xml:space="preserve"> وَفِي قَلْبِهِ نُكْتَةٌ بَيْضَاءُ ، فَإِذَا </w:t>
      </w:r>
      <w:r w:rsidR="006C577F" w:rsidRPr="006C577F">
        <w:rPr>
          <w:rStyle w:val="libFootnotenumChar"/>
          <w:rtl/>
        </w:rPr>
        <w:t>(9)</w:t>
      </w:r>
      <w:r w:rsidRPr="00C9040A">
        <w:rPr>
          <w:rtl/>
          <w:lang w:bidi="fa-IR"/>
        </w:rPr>
        <w:t xml:space="preserve"> أَذْنَبَ ذَنْباً </w:t>
      </w:r>
      <w:r w:rsidR="006C577F" w:rsidRPr="006C577F">
        <w:rPr>
          <w:rStyle w:val="libFootnotenumChar"/>
          <w:rtl/>
        </w:rPr>
        <w:t>(10)</w:t>
      </w:r>
      <w:r w:rsidRPr="00C9040A">
        <w:rPr>
          <w:rtl/>
          <w:lang w:bidi="fa-IR"/>
        </w:rPr>
        <w:t xml:space="preserve"> ، خَرَجَ فِي النُّكْتَةِ نُكْتَةٌ </w:t>
      </w:r>
      <w:r w:rsidR="006C577F" w:rsidRPr="006C577F">
        <w:rPr>
          <w:rStyle w:val="libFootnotenumChar"/>
          <w:rtl/>
        </w:rPr>
        <w:t>(11)</w:t>
      </w:r>
      <w:r w:rsidRPr="00C9040A">
        <w:rPr>
          <w:rtl/>
          <w:lang w:bidi="fa-IR"/>
        </w:rPr>
        <w:t xml:space="preserve"> سَوْدَاءُ ؛ فَإِنْ تَابَ </w:t>
      </w:r>
      <w:r w:rsidR="006C577F" w:rsidRPr="006C577F">
        <w:rPr>
          <w:rStyle w:val="libFootnotenumChar"/>
          <w:rtl/>
        </w:rPr>
        <w:t>(12)</w:t>
      </w:r>
      <w:r w:rsidRPr="00C9040A">
        <w:rPr>
          <w:rtl/>
          <w:lang w:bidi="fa-IR"/>
        </w:rPr>
        <w:t xml:space="preserve"> ذَهَبَ ذلِكَ </w:t>
      </w:r>
      <w:r w:rsidRPr="005B567D">
        <w:rPr>
          <w:rStyle w:val="libFootnotenumChar"/>
          <w:rtl/>
        </w:rPr>
        <w:t>(13)</w:t>
      </w:r>
      <w:r w:rsidRPr="00C9040A">
        <w:rPr>
          <w:rtl/>
          <w:lang w:bidi="fa-IR"/>
        </w:rPr>
        <w:t xml:space="preserve"> السَّوَادُ </w:t>
      </w:r>
      <w:r w:rsidRPr="005B567D">
        <w:rPr>
          <w:rStyle w:val="libFootnotenumChar"/>
          <w:rtl/>
        </w:rPr>
        <w:t>(14)</w:t>
      </w:r>
      <w:r w:rsidRPr="00C9040A">
        <w:rPr>
          <w:rtl/>
          <w:lang w:bidi="fa-IR"/>
        </w:rPr>
        <w:t xml:space="preserve"> ، وَإِنْ </w:t>
      </w:r>
      <w:r w:rsidRPr="005B567D">
        <w:rPr>
          <w:rStyle w:val="libFootnotenumChar"/>
          <w:rtl/>
        </w:rPr>
        <w:t>(15)</w:t>
      </w:r>
      <w:r w:rsidRPr="00C9040A">
        <w:rPr>
          <w:rtl/>
          <w:lang w:bidi="fa-IR"/>
        </w:rPr>
        <w:t xml:space="preserve"> تَمَادى فِي‌</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w:t>
      </w:r>
      <w:r w:rsidR="006D3162">
        <w:rPr>
          <w:rtl/>
        </w:rPr>
        <w:t xml:space="preserve">ه </w:t>
      </w:r>
      <w:r w:rsidR="008A74EB" w:rsidRPr="00C9040A">
        <w:rPr>
          <w:rtl/>
        </w:rPr>
        <w:t>» : « أبي‌عبدالله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ضَحِيتُ للشمس ضحاءً</w:t>
      </w:r>
      <w:r w:rsidR="008A74EB">
        <w:rPr>
          <w:rtl/>
        </w:rPr>
        <w:t xml:space="preserve"> </w:t>
      </w:r>
      <w:r w:rsidR="0084262C">
        <w:rPr>
          <w:rtl/>
        </w:rPr>
        <w:t>-</w:t>
      </w:r>
      <w:r w:rsidR="008A74EB">
        <w:rPr>
          <w:rtl/>
        </w:rPr>
        <w:t xml:space="preserve"> </w:t>
      </w:r>
      <w:r w:rsidR="008A74EB" w:rsidRPr="00C9040A">
        <w:rPr>
          <w:rtl/>
        </w:rPr>
        <w:t>ممدود</w:t>
      </w:r>
      <w:r w:rsidR="008A74EB">
        <w:rPr>
          <w:rtl/>
        </w:rPr>
        <w:t xml:space="preserve"> </w:t>
      </w:r>
      <w:r w:rsidR="0084262C">
        <w:rPr>
          <w:rtl/>
        </w:rPr>
        <w:t>-</w:t>
      </w:r>
      <w:r w:rsidR="008A74EB">
        <w:rPr>
          <w:rtl/>
        </w:rPr>
        <w:t xml:space="preserve"> </w:t>
      </w:r>
      <w:r w:rsidR="008A74EB" w:rsidRPr="00C9040A">
        <w:rPr>
          <w:rtl/>
        </w:rPr>
        <w:t>: إذا برزت لها. وضَحَيتُ</w:t>
      </w:r>
      <w:r w:rsidR="008A74EB">
        <w:rPr>
          <w:rtl/>
        </w:rPr>
        <w:t xml:space="preserve"> </w:t>
      </w:r>
      <w:r w:rsidR="0084262C">
        <w:rPr>
          <w:rtl/>
        </w:rPr>
        <w:t>-</w:t>
      </w:r>
      <w:r w:rsidR="008A74EB">
        <w:rPr>
          <w:rtl/>
        </w:rPr>
        <w:t xml:space="preserve"> </w:t>
      </w:r>
      <w:r w:rsidR="008A74EB" w:rsidRPr="00C9040A">
        <w:rPr>
          <w:rtl/>
        </w:rPr>
        <w:t>بالفتح</w:t>
      </w:r>
      <w:r w:rsidR="008A74EB">
        <w:rPr>
          <w:rtl/>
        </w:rPr>
        <w:t xml:space="preserve"> </w:t>
      </w:r>
      <w:r w:rsidR="0084262C">
        <w:rPr>
          <w:rtl/>
        </w:rPr>
        <w:t>-</w:t>
      </w:r>
      <w:r w:rsidR="008A74EB">
        <w:rPr>
          <w:rtl/>
        </w:rPr>
        <w:t xml:space="preserve"> </w:t>
      </w:r>
      <w:r w:rsidR="008A74EB" w:rsidRPr="00C9040A">
        <w:rPr>
          <w:rtl/>
        </w:rPr>
        <w:t xml:space="preserve">مثله. وفي </w:t>
      </w:r>
      <w:r w:rsidR="008A74EB" w:rsidRPr="00993B55">
        <w:rPr>
          <w:rStyle w:val="libFootnoteBoldChar"/>
          <w:rtl/>
        </w:rPr>
        <w:t>الوافي</w:t>
      </w:r>
      <w:r w:rsidR="008A74EB" w:rsidRPr="00C9040A">
        <w:rPr>
          <w:rtl/>
        </w:rPr>
        <w:t xml:space="preserve"> : « أضحاها : أظهرها ؛ كناية عن تخريبها وهدمها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ج ، ص ، </w:t>
      </w:r>
      <w:r w:rsidR="006D3162">
        <w:rPr>
          <w:rtl/>
        </w:rPr>
        <w:t xml:space="preserve">ه </w:t>
      </w:r>
      <w:r w:rsidR="008A74EB" w:rsidRPr="00C9040A">
        <w:rPr>
          <w:rtl/>
        </w:rPr>
        <w:t>، بف » : « يطهّرها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الوافي</w:t>
      </w:r>
      <w:r w:rsidR="008A74EB" w:rsidRPr="00C9040A">
        <w:rPr>
          <w:rtl/>
        </w:rPr>
        <w:t xml:space="preserve"> ، ج 5 ، ص 1004 ، ح 3477 ؛ </w:t>
      </w:r>
      <w:r w:rsidR="008A74EB" w:rsidRPr="00993B55">
        <w:rPr>
          <w:rStyle w:val="libFootnoteBoldChar"/>
          <w:rtl/>
        </w:rPr>
        <w:t>الوسائل</w:t>
      </w:r>
      <w:r w:rsidR="008A74EB" w:rsidRPr="00C9040A">
        <w:rPr>
          <w:rtl/>
        </w:rPr>
        <w:t xml:space="preserve"> ، ج 15 ، ص 306 ، ح 20589 ؛ </w:t>
      </w:r>
      <w:r w:rsidR="008A74EB" w:rsidRPr="00993B55">
        <w:rPr>
          <w:rStyle w:val="libFootnoteBoldChar"/>
          <w:rtl/>
        </w:rPr>
        <w:t>البحار</w:t>
      </w:r>
      <w:r w:rsidR="008A74EB" w:rsidRPr="00C9040A">
        <w:rPr>
          <w:rtl/>
        </w:rPr>
        <w:t xml:space="preserve"> ، ج 73 ، ص 331 ، ح 15.</w:t>
      </w:r>
    </w:p>
    <w:p w:rsidR="008A74EB" w:rsidRPr="00C9040A" w:rsidRDefault="006C577F" w:rsidP="004A4E41">
      <w:pPr>
        <w:pStyle w:val="libFootnote0"/>
        <w:rPr>
          <w:rtl/>
          <w:lang w:bidi="fa-IR"/>
        </w:rPr>
      </w:pPr>
      <w:r>
        <w:rPr>
          <w:rtl/>
        </w:rPr>
        <w:t>(5).</w:t>
      </w:r>
      <w:r w:rsidR="008A74EB" w:rsidRPr="00C9040A">
        <w:rPr>
          <w:rtl/>
        </w:rPr>
        <w:t xml:space="preserve"> في « </w:t>
      </w:r>
      <w:r w:rsidR="006D3162">
        <w:rPr>
          <w:rtl/>
        </w:rPr>
        <w:t xml:space="preserve">ه </w:t>
      </w:r>
      <w:r w:rsidR="008A74EB" w:rsidRPr="00C9040A">
        <w:rPr>
          <w:rtl/>
        </w:rPr>
        <w:t xml:space="preserve">» </w:t>
      </w:r>
      <w:r w:rsidR="008A74EB">
        <w:rPr>
          <w:rtl/>
        </w:rPr>
        <w:t xml:space="preserve">: </w:t>
      </w:r>
      <w:r w:rsidR="0084262C">
        <w:rPr>
          <w:rtl/>
        </w:rPr>
        <w:t>-</w:t>
      </w:r>
      <w:r w:rsidR="008A74EB" w:rsidRPr="00C9040A">
        <w:rPr>
          <w:rtl/>
        </w:rPr>
        <w:t xml:space="preserve"> « الأصمّ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 </w:t>
      </w:r>
      <w:r w:rsidR="006D3162">
        <w:rPr>
          <w:rtl/>
        </w:rPr>
        <w:t xml:space="preserve">ه </w:t>
      </w:r>
      <w:r w:rsidR="008A74EB" w:rsidRPr="00C9040A">
        <w:rPr>
          <w:rtl/>
        </w:rPr>
        <w:t>» : « من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ز ، </w:t>
      </w:r>
      <w:r w:rsidR="006D3162">
        <w:rPr>
          <w:rtl/>
        </w:rPr>
        <w:t xml:space="preserve">ه </w:t>
      </w:r>
      <w:r w:rsidR="008A74EB" w:rsidRPr="00C9040A">
        <w:rPr>
          <w:rtl/>
        </w:rPr>
        <w:t>» : « يتنعّمن في الجنّة »</w:t>
      </w:r>
      <w:r w:rsidR="008A74EB">
        <w:rPr>
          <w:rtl/>
        </w:rPr>
        <w:t>.</w:t>
      </w:r>
      <w:r w:rsidR="008A74EB" w:rsidRPr="00C9040A">
        <w:rPr>
          <w:rtl/>
        </w:rPr>
        <w:t xml:space="preserve"> وفي الأمالي : « أزواجه وإخوانه في الجنّة » بدل « أزواجه ف</w:t>
      </w:r>
      <w:r w:rsidR="00180BB7">
        <w:rPr>
          <w:rtl/>
        </w:rPr>
        <w:t>ي الجنّة يتنعّمن</w:t>
      </w:r>
      <w:r w:rsidR="008A74EB" w:rsidRPr="00C9040A">
        <w:rPr>
          <w:rtl/>
        </w:rPr>
        <w:t>»</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w:t>
      </w:r>
      <w:r w:rsidR="008A74EB" w:rsidRPr="0034021D">
        <w:rPr>
          <w:rStyle w:val="libFootnoteBoldChar"/>
          <w:rtl/>
        </w:rPr>
        <w:t>الأمالي للصدوق</w:t>
      </w:r>
      <w:r w:rsidR="008A74EB" w:rsidRPr="00C9040A">
        <w:rPr>
          <w:rtl/>
        </w:rPr>
        <w:t xml:space="preserve"> ، ص 412 ، المجلس 64 ، ح 9 ، بسند آخر عن أبي‌عبدالله ، عن آبائه </w:t>
      </w:r>
      <w:r w:rsidR="00117575" w:rsidRPr="00117575">
        <w:rPr>
          <w:rStyle w:val="libFootnoteAlaemChar"/>
          <w:rtl/>
        </w:rPr>
        <w:t>عليهم‌السلام</w:t>
      </w:r>
      <w:r w:rsidR="008A74EB" w:rsidRPr="00C9040A">
        <w:rPr>
          <w:rtl/>
        </w:rPr>
        <w:t xml:space="preserve"> عن رسول الله </w:t>
      </w:r>
      <w:r w:rsidR="004A4E41" w:rsidRPr="003F5979">
        <w:rPr>
          <w:rStyle w:val="libFootnoteAlaemChar"/>
          <w:rtl/>
        </w:rPr>
        <w:t>صلى‌الله‌عليه‌وآله</w:t>
      </w:r>
      <w:r w:rsidR="008A74EB" w:rsidRPr="00C9040A">
        <w:rPr>
          <w:rtl/>
        </w:rPr>
        <w:t xml:space="preserve"> </w:t>
      </w:r>
      <w:r w:rsidR="003F5979">
        <w:rPr>
          <w:rFonts w:hint="cs"/>
          <w:rtl/>
        </w:rPr>
        <w:t>.</w:t>
      </w:r>
      <w:r w:rsidR="008A74EB" w:rsidRPr="00993B55">
        <w:rPr>
          <w:rStyle w:val="libFootnoteBoldChar"/>
          <w:rtl/>
        </w:rPr>
        <w:t>الوافي</w:t>
      </w:r>
      <w:r w:rsidR="008A74EB" w:rsidRPr="00C9040A">
        <w:rPr>
          <w:rtl/>
        </w:rPr>
        <w:t xml:space="preserve"> ، ج 5 ، ص 1004 ، ح 3478 ؛ </w:t>
      </w:r>
      <w:r w:rsidR="008A74EB" w:rsidRPr="00993B55">
        <w:rPr>
          <w:rStyle w:val="libFootnoteBoldChar"/>
          <w:rtl/>
        </w:rPr>
        <w:t>الوسائل</w:t>
      </w:r>
      <w:r w:rsidR="008A74EB" w:rsidRPr="00C9040A">
        <w:rPr>
          <w:rtl/>
        </w:rPr>
        <w:t xml:space="preserve"> ، ج 15 ، ص 299 ، ح 20568 ؛ </w:t>
      </w:r>
      <w:r w:rsidR="008A74EB" w:rsidRPr="00993B55">
        <w:rPr>
          <w:rStyle w:val="libFootnoteBoldChar"/>
          <w:rtl/>
        </w:rPr>
        <w:t>البحار</w:t>
      </w:r>
      <w:r w:rsidR="008A74EB" w:rsidRPr="00C9040A">
        <w:rPr>
          <w:rtl/>
        </w:rPr>
        <w:t xml:space="preserve"> ، ج 73 ، ص 331 ، ح 16.</w:t>
      </w:r>
    </w:p>
    <w:tbl>
      <w:tblPr>
        <w:tblStyle w:val="TableGrid"/>
        <w:bidiVisual/>
        <w:tblW w:w="0" w:type="auto"/>
        <w:tblLook w:val="04A0" w:firstRow="1" w:lastRow="0" w:firstColumn="1" w:lastColumn="0" w:noHBand="0" w:noVBand="1"/>
      </w:tblPr>
      <w:tblGrid>
        <w:gridCol w:w="4006"/>
        <w:gridCol w:w="4006"/>
      </w:tblGrid>
      <w:tr w:rsidR="003F5979" w:rsidTr="003F5979">
        <w:tc>
          <w:tcPr>
            <w:tcW w:w="4006" w:type="dxa"/>
          </w:tcPr>
          <w:p w:rsidR="003F5979" w:rsidRDefault="003F5979" w:rsidP="004A4E41">
            <w:pPr>
              <w:pStyle w:val="libFootnote0"/>
              <w:rPr>
                <w:rtl/>
              </w:rPr>
            </w:pPr>
            <w:r>
              <w:rPr>
                <w:rtl/>
              </w:rPr>
              <w:t>(9).</w:t>
            </w:r>
            <w:r w:rsidRPr="00C9040A">
              <w:rPr>
                <w:rtl/>
              </w:rPr>
              <w:t xml:space="preserve"> في « </w:t>
            </w:r>
            <w:r>
              <w:rPr>
                <w:rtl/>
              </w:rPr>
              <w:t xml:space="preserve">ه </w:t>
            </w:r>
            <w:r w:rsidRPr="00C9040A">
              <w:rPr>
                <w:rtl/>
              </w:rPr>
              <w:t>» : « فإن »</w:t>
            </w:r>
            <w:r>
              <w:rPr>
                <w:rtl/>
              </w:rPr>
              <w:t>.</w:t>
            </w:r>
          </w:p>
        </w:tc>
        <w:tc>
          <w:tcPr>
            <w:tcW w:w="4006" w:type="dxa"/>
          </w:tcPr>
          <w:p w:rsidR="003F5979" w:rsidRDefault="003F5979" w:rsidP="004A4E41">
            <w:pPr>
              <w:pStyle w:val="libFootnote0"/>
              <w:rPr>
                <w:rtl/>
              </w:rPr>
            </w:pPr>
            <w:r>
              <w:rPr>
                <w:rtl/>
              </w:rPr>
              <w:t>(10).</w:t>
            </w:r>
            <w:r w:rsidRPr="00C9040A">
              <w:rPr>
                <w:rtl/>
              </w:rPr>
              <w:t xml:space="preserve"> في « </w:t>
            </w:r>
            <w:r>
              <w:rPr>
                <w:rtl/>
              </w:rPr>
              <w:t xml:space="preserve">ه </w:t>
            </w:r>
            <w:r w:rsidRPr="00C9040A">
              <w:rPr>
                <w:rtl/>
              </w:rPr>
              <w:t xml:space="preserve">» </w:t>
            </w:r>
            <w:r>
              <w:rPr>
                <w:rtl/>
              </w:rPr>
              <w:t>: -</w:t>
            </w:r>
            <w:r w:rsidRPr="00C9040A">
              <w:rPr>
                <w:rtl/>
              </w:rPr>
              <w:t xml:space="preserve"> « ذنباً »</w:t>
            </w:r>
            <w:r>
              <w:rPr>
                <w:rtl/>
              </w:rPr>
              <w:t>.</w:t>
            </w:r>
          </w:p>
        </w:tc>
      </w:tr>
      <w:tr w:rsidR="003F5979" w:rsidTr="003F5979">
        <w:tc>
          <w:tcPr>
            <w:tcW w:w="4006" w:type="dxa"/>
          </w:tcPr>
          <w:p w:rsidR="003F5979" w:rsidRDefault="003F5979" w:rsidP="004A4E41">
            <w:pPr>
              <w:pStyle w:val="libFootnote0"/>
              <w:rPr>
                <w:rtl/>
              </w:rPr>
            </w:pPr>
            <w:r>
              <w:rPr>
                <w:rtl/>
              </w:rPr>
              <w:t>(11).</w:t>
            </w:r>
            <w:r w:rsidRPr="00C9040A">
              <w:rPr>
                <w:rtl/>
              </w:rPr>
              <w:t xml:space="preserve"> في « ف » </w:t>
            </w:r>
            <w:r>
              <w:rPr>
                <w:rtl/>
              </w:rPr>
              <w:t>: -</w:t>
            </w:r>
            <w:r w:rsidRPr="00C9040A">
              <w:rPr>
                <w:rtl/>
              </w:rPr>
              <w:t xml:space="preserve"> « نكتة »</w:t>
            </w:r>
            <w:r>
              <w:rPr>
                <w:rtl/>
              </w:rPr>
              <w:t>.</w:t>
            </w:r>
          </w:p>
        </w:tc>
        <w:tc>
          <w:tcPr>
            <w:tcW w:w="4006" w:type="dxa"/>
          </w:tcPr>
          <w:p w:rsidR="003F5979" w:rsidRDefault="003F5979" w:rsidP="004A4E41">
            <w:pPr>
              <w:pStyle w:val="libFootnote0"/>
              <w:rPr>
                <w:rtl/>
              </w:rPr>
            </w:pPr>
            <w:r>
              <w:rPr>
                <w:rtl/>
              </w:rPr>
              <w:t>(12).</w:t>
            </w:r>
            <w:r w:rsidRPr="00C9040A">
              <w:rPr>
                <w:rtl/>
              </w:rPr>
              <w:t xml:space="preserve"> في « </w:t>
            </w:r>
            <w:r>
              <w:rPr>
                <w:rtl/>
              </w:rPr>
              <w:t xml:space="preserve">ه </w:t>
            </w:r>
            <w:r w:rsidRPr="00C9040A">
              <w:rPr>
                <w:rtl/>
              </w:rPr>
              <w:t>» : « أناب »</w:t>
            </w:r>
            <w:r>
              <w:rPr>
                <w:rtl/>
              </w:rPr>
              <w:t>.</w:t>
            </w:r>
          </w:p>
        </w:tc>
      </w:tr>
      <w:tr w:rsidR="003F5979" w:rsidTr="003F5979">
        <w:tc>
          <w:tcPr>
            <w:tcW w:w="4006" w:type="dxa"/>
          </w:tcPr>
          <w:p w:rsidR="003F5979" w:rsidRDefault="003F5979" w:rsidP="004A4E41">
            <w:pPr>
              <w:pStyle w:val="libFootnote0"/>
              <w:rPr>
                <w:rtl/>
              </w:rPr>
            </w:pPr>
            <w:r>
              <w:rPr>
                <w:rtl/>
              </w:rPr>
              <w:t>(13)</w:t>
            </w:r>
            <w:r w:rsidRPr="00C9040A">
              <w:rPr>
                <w:rtl/>
              </w:rPr>
              <w:t xml:space="preserve"> في البحار : « تلك »</w:t>
            </w:r>
            <w:r>
              <w:rPr>
                <w:rtl/>
              </w:rPr>
              <w:t>.</w:t>
            </w:r>
          </w:p>
        </w:tc>
        <w:tc>
          <w:tcPr>
            <w:tcW w:w="4006" w:type="dxa"/>
          </w:tcPr>
          <w:p w:rsidR="003F5979" w:rsidRDefault="003F5979" w:rsidP="004A4E41">
            <w:pPr>
              <w:pStyle w:val="libFootnote0"/>
              <w:rPr>
                <w:rtl/>
              </w:rPr>
            </w:pPr>
            <w:r>
              <w:rPr>
                <w:rtl/>
              </w:rPr>
              <w:t>(14)</w:t>
            </w:r>
            <w:r w:rsidRPr="00C9040A">
              <w:rPr>
                <w:rtl/>
              </w:rPr>
              <w:t xml:space="preserve"> في « ف ، </w:t>
            </w:r>
            <w:r>
              <w:rPr>
                <w:rtl/>
              </w:rPr>
              <w:t xml:space="preserve">ه </w:t>
            </w:r>
            <w:r w:rsidRPr="00C9040A">
              <w:rPr>
                <w:rtl/>
              </w:rPr>
              <w:t>» : « السوداء »</w:t>
            </w:r>
            <w:r>
              <w:rPr>
                <w:rtl/>
              </w:rPr>
              <w:t>.</w:t>
            </w:r>
          </w:p>
        </w:tc>
      </w:tr>
    </w:tbl>
    <w:p w:rsidR="008A74EB" w:rsidRPr="00C9040A" w:rsidRDefault="008A74EB" w:rsidP="004A4E41">
      <w:pPr>
        <w:pStyle w:val="libFootnote0"/>
        <w:rPr>
          <w:rtl/>
          <w:lang w:bidi="fa-IR"/>
        </w:rPr>
      </w:pPr>
      <w:r>
        <w:rPr>
          <w:rtl/>
        </w:rPr>
        <w:t>(15)</w:t>
      </w:r>
      <w:r w:rsidRPr="00C9040A">
        <w:rPr>
          <w:rtl/>
        </w:rPr>
        <w:t xml:space="preserve"> في « ز ، ف » : « فإن »</w:t>
      </w:r>
      <w:r>
        <w:rPr>
          <w:rtl/>
        </w:rPr>
        <w:t>.</w:t>
      </w:r>
      <w:r w:rsidRPr="00C9040A">
        <w:rPr>
          <w:rtl/>
        </w:rPr>
        <w:t xml:space="preserve"> وتمادى فلان في غيّه : إذا لجّ فيه. </w:t>
      </w:r>
      <w:r w:rsidRPr="00993B55">
        <w:rPr>
          <w:rStyle w:val="libFootnoteBoldChar"/>
          <w:rtl/>
        </w:rPr>
        <w:t>لسان العرب</w:t>
      </w:r>
      <w:r w:rsidRPr="00C9040A">
        <w:rPr>
          <w:rtl/>
        </w:rPr>
        <w:t xml:space="preserve"> ، ج 15 ، ص 273 ( مدى )</w:t>
      </w:r>
      <w:r>
        <w:rPr>
          <w:rtl/>
        </w:rPr>
        <w:t>.</w:t>
      </w:r>
    </w:p>
    <w:p w:rsidR="004B7F34" w:rsidRDefault="004B7F34" w:rsidP="004B7F34">
      <w:pPr>
        <w:pStyle w:val="libNormal"/>
        <w:rPr>
          <w:rtl/>
          <w:lang w:bidi="fa-IR"/>
        </w:rPr>
      </w:pPr>
      <w:r>
        <w:rPr>
          <w:rtl/>
          <w:lang w:bidi="fa-IR"/>
        </w:rPr>
        <w:br w:type="page"/>
      </w:r>
    </w:p>
    <w:p w:rsidR="008A74EB" w:rsidRDefault="008A74EB" w:rsidP="008A74EB">
      <w:pPr>
        <w:pStyle w:val="libNormal0"/>
        <w:rPr>
          <w:rtl/>
          <w:lang w:bidi="fa-IR"/>
        </w:rPr>
      </w:pPr>
      <w:r w:rsidRPr="00C9040A">
        <w:rPr>
          <w:rtl/>
          <w:lang w:bidi="fa-IR"/>
        </w:rPr>
        <w:t xml:space="preserve">الذُّنُوبِ زَادَ ذلِكَ السَّوَادُ </w:t>
      </w:r>
      <w:r w:rsidR="006C577F" w:rsidRPr="006C577F">
        <w:rPr>
          <w:rStyle w:val="libFootnotenumChar"/>
          <w:rtl/>
        </w:rPr>
        <w:t>(1)</w:t>
      </w:r>
      <w:r w:rsidRPr="00C9040A">
        <w:rPr>
          <w:rtl/>
          <w:lang w:bidi="fa-IR"/>
        </w:rPr>
        <w:t xml:space="preserve"> حَتّى يُغَطِّيَ </w:t>
      </w:r>
      <w:r w:rsidR="006C577F" w:rsidRPr="006C577F">
        <w:rPr>
          <w:rStyle w:val="libFootnotenumChar"/>
          <w:rtl/>
        </w:rPr>
        <w:t>(2)</w:t>
      </w:r>
      <w:r w:rsidRPr="00C9040A">
        <w:rPr>
          <w:rtl/>
          <w:lang w:bidi="fa-IR"/>
        </w:rPr>
        <w:t xml:space="preserve"> الْبَيَاضَ ، فَإِذَا غُطِّيَ </w:t>
      </w:r>
      <w:r w:rsidR="006C577F" w:rsidRPr="006C577F">
        <w:rPr>
          <w:rStyle w:val="libFootnotenumChar"/>
          <w:rtl/>
        </w:rPr>
        <w:t>(3)</w:t>
      </w:r>
      <w:r w:rsidRPr="00C9040A">
        <w:rPr>
          <w:rtl/>
          <w:lang w:bidi="fa-IR"/>
        </w:rPr>
        <w:t xml:space="preserve"> الْبَيَاضُ </w:t>
      </w:r>
      <w:r w:rsidR="006C577F" w:rsidRPr="006C577F">
        <w:rPr>
          <w:rStyle w:val="libFootnotenumChar"/>
          <w:rtl/>
        </w:rPr>
        <w:t>(4)</w:t>
      </w:r>
      <w:r w:rsidRPr="00C9040A">
        <w:rPr>
          <w:rtl/>
          <w:lang w:bidi="fa-IR"/>
        </w:rPr>
        <w:t xml:space="preserve"> لَمْ يرْجِعْ صَاحِبُهُ إِلى خَيْرٍ أَبَداً ، وَهُوَ قَوْلُ اللهِ عَزَّ وَجَلَّ : </w:t>
      </w:r>
      <w:r w:rsidRPr="0003660B">
        <w:rPr>
          <w:rStyle w:val="libAlaemChar"/>
          <w:rtl/>
        </w:rPr>
        <w:t>(</w:t>
      </w:r>
      <w:r w:rsidR="003F5979">
        <w:rPr>
          <w:rStyle w:val="libAieChar"/>
          <w:rtl/>
        </w:rPr>
        <w:t xml:space="preserve"> كَل</w:t>
      </w:r>
      <w:r w:rsidR="003F5979">
        <w:rPr>
          <w:rStyle w:val="libAieChar"/>
          <w:rFonts w:hint="cs"/>
          <w:rtl/>
        </w:rPr>
        <w:t>ّ</w:t>
      </w:r>
      <w:r w:rsidR="003F5979">
        <w:rPr>
          <w:rStyle w:val="libAieChar"/>
          <w:rtl/>
        </w:rPr>
        <w:t>ا</w:t>
      </w:r>
      <w:r w:rsidRPr="006A2246">
        <w:rPr>
          <w:rStyle w:val="libAieChar"/>
          <w:rtl/>
        </w:rPr>
        <w:t xml:space="preserve"> بَلْ رانَ عَلى قُلُوبِهِمْ ما كانُوا يَكْسِبُونَ </w:t>
      </w:r>
      <w:r w:rsidRPr="0003660B">
        <w:rPr>
          <w:rStyle w:val="libAlaemChar"/>
          <w:rtl/>
        </w:rPr>
        <w:t>)</w:t>
      </w:r>
      <w:r w:rsidRPr="00C9040A">
        <w:rPr>
          <w:rtl/>
          <w:lang w:bidi="fa-IR"/>
        </w:rPr>
        <w:t xml:space="preserve"> </w:t>
      </w:r>
      <w:r w:rsidR="006C577F" w:rsidRPr="006C577F">
        <w:rPr>
          <w:rStyle w:val="libFootnotenumChar"/>
          <w:rtl/>
        </w:rPr>
        <w:t>(5)</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Normal"/>
        <w:rPr>
          <w:rtl/>
          <w:lang w:bidi="fa-IR"/>
        </w:rPr>
      </w:pPr>
      <w:r w:rsidRPr="00714B92">
        <w:rPr>
          <w:rtl/>
        </w:rPr>
        <w:t>2431</w:t>
      </w:r>
      <w:r w:rsidRPr="00261CB0">
        <w:rPr>
          <w:rStyle w:val="libBold2Char"/>
          <w:rtl/>
        </w:rPr>
        <w:t xml:space="preserve"> / 21.</w:t>
      </w:r>
      <w:r w:rsidRPr="00C9040A">
        <w:rPr>
          <w:rtl/>
          <w:lang w:bidi="fa-IR"/>
        </w:rPr>
        <w:t xml:space="preserve"> عِدَّةٌ مِنْ أَصْحَابِنَا ، عَنْ سَهْلِ بْنِ زِيَادٍ ، عَنْ عَلِيِّ بْنِ أَسْبَاطٍ :</w:t>
      </w:r>
    </w:p>
    <w:p w:rsidR="008A74EB" w:rsidRPr="00C9040A" w:rsidRDefault="008A74EB" w:rsidP="007D65A2">
      <w:pPr>
        <w:pStyle w:val="libNormal"/>
        <w:rPr>
          <w:rtl/>
          <w:lang w:bidi="fa-IR"/>
        </w:rPr>
      </w:pPr>
      <w:r w:rsidRPr="00C9040A">
        <w:rPr>
          <w:rtl/>
          <w:lang w:bidi="fa-IR"/>
        </w:rPr>
        <w:t xml:space="preserve">عَنْ أَبِي الْحَسَنِ الرِّضَا </w:t>
      </w:r>
      <w:r w:rsidRPr="0003660B">
        <w:rPr>
          <w:rStyle w:val="libAlaemChar"/>
          <w:rtl/>
        </w:rPr>
        <w:t>عليه‌السلام</w:t>
      </w:r>
      <w:r w:rsidRPr="00C9040A">
        <w:rPr>
          <w:rtl/>
          <w:lang w:bidi="fa-IR"/>
        </w:rPr>
        <w:t xml:space="preserve"> ، قَالَ : « قَالَ أَمِيرُ الْمُؤْمِنِينَ </w:t>
      </w:r>
      <w:r w:rsidRPr="0003660B">
        <w:rPr>
          <w:rStyle w:val="libAlaemChar"/>
          <w:rtl/>
        </w:rPr>
        <w:t>عليه‌السلام</w:t>
      </w:r>
      <w:r w:rsidRPr="00C9040A">
        <w:rPr>
          <w:rtl/>
          <w:lang w:bidi="fa-IR"/>
        </w:rPr>
        <w:t xml:space="preserve"> : لَاتُبْدِيَنَّ عَنْ وَاضِحَةٍ وَقَدْ عَمِلْتَ الْأَعْمَالَ الْفَاضِحَةَ </w:t>
      </w:r>
      <w:r w:rsidR="006C577F" w:rsidRPr="006C577F">
        <w:rPr>
          <w:rStyle w:val="libFootnotenumChar"/>
          <w:rtl/>
        </w:rPr>
        <w:t>(7)</w:t>
      </w:r>
      <w:r w:rsidRPr="00C9040A">
        <w:rPr>
          <w:rtl/>
          <w:lang w:bidi="fa-IR"/>
        </w:rPr>
        <w:t xml:space="preserve"> ، وَلَاتَأْمَنِ </w:t>
      </w:r>
      <w:r w:rsidR="006C577F" w:rsidRPr="006C577F">
        <w:rPr>
          <w:rStyle w:val="libFootnotenumChar"/>
          <w:rtl/>
        </w:rPr>
        <w:t>(8)</w:t>
      </w:r>
      <w:r w:rsidRPr="00C9040A">
        <w:rPr>
          <w:rtl/>
          <w:lang w:bidi="fa-IR"/>
        </w:rPr>
        <w:t xml:space="preserve"> الْبَيَاتَ وَقَدْ عَمِلْتَ السَّيِّئَاتِ »</w:t>
      </w:r>
      <w:r>
        <w:rPr>
          <w:rtl/>
          <w:lang w:bidi="fa-IR"/>
        </w:rPr>
        <w:t>.</w:t>
      </w:r>
      <w:r w:rsidRPr="00C9040A">
        <w:rPr>
          <w:rtl/>
          <w:lang w:bidi="fa-IR"/>
        </w:rPr>
        <w:t xml:space="preserve"> </w:t>
      </w:r>
      <w:r w:rsidR="006C577F" w:rsidRPr="006C577F">
        <w:rPr>
          <w:rStyle w:val="libFootnotenumChar"/>
          <w:rtl/>
        </w:rPr>
        <w:t>(9)</w:t>
      </w:r>
    </w:p>
    <w:p w:rsidR="008A74EB" w:rsidRPr="00C9040A" w:rsidRDefault="008A74EB" w:rsidP="008A74EB">
      <w:pPr>
        <w:pStyle w:val="libNormal"/>
        <w:rPr>
          <w:rtl/>
          <w:lang w:bidi="fa-IR"/>
        </w:rPr>
      </w:pPr>
      <w:r w:rsidRPr="00714B92">
        <w:rPr>
          <w:rtl/>
        </w:rPr>
        <w:t>2432</w:t>
      </w:r>
      <w:r w:rsidRPr="00261CB0">
        <w:rPr>
          <w:rStyle w:val="libBold2Char"/>
          <w:rtl/>
        </w:rPr>
        <w:t xml:space="preserve"> / 22.</w:t>
      </w:r>
      <w:r w:rsidRPr="00C9040A">
        <w:rPr>
          <w:rtl/>
          <w:lang w:bidi="fa-IR"/>
        </w:rPr>
        <w:t xml:space="preserve"> مُحَمَّدُ بْنُ يَحْيى وَأَبُو عَلِيٍّ الْأَشْعَرِيُّ ، عَنِ الْحُسَيْنِ </w:t>
      </w:r>
      <w:r w:rsidR="006C577F" w:rsidRPr="006C577F">
        <w:rPr>
          <w:rStyle w:val="libFootnotenumChar"/>
          <w:rtl/>
        </w:rPr>
        <w:t>(10)</w:t>
      </w:r>
      <w:r w:rsidRPr="00C9040A">
        <w:rPr>
          <w:rtl/>
          <w:lang w:bidi="fa-IR"/>
        </w:rPr>
        <w:t xml:space="preserve"> بْنِ إِسْحَاقَ ، عَنْ عَلِيِّ بْنِ مَهْزِيَارَ ، عَنْ حَمَّادِ بْنِ عِيسى ، عَنْ أَبِي عَمْرٍو الْمَدَائِنِيِّ </w:t>
      </w:r>
      <w:r w:rsidR="006C577F" w:rsidRPr="006C577F">
        <w:rPr>
          <w:rStyle w:val="libFootnotenumChar"/>
          <w:rtl/>
        </w:rPr>
        <w:t>(11)</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ف » : « السوداء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ف ، بس » : « تغطّي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هكذا في « ص ، ض ، ف ، </w:t>
      </w:r>
      <w:r w:rsidR="006D3162">
        <w:rPr>
          <w:rtl/>
        </w:rPr>
        <w:t xml:space="preserve">ه </w:t>
      </w:r>
      <w:r w:rsidR="008A74EB" w:rsidRPr="00C9040A">
        <w:rPr>
          <w:rtl/>
        </w:rPr>
        <w:t>، بر ، بف » والوسائل والبحار. ويجوز فيه أيضاً البناء على الفاعل من التفعيل ونصب « البياض »</w:t>
      </w:r>
      <w:r w:rsidR="008A74EB">
        <w:rPr>
          <w:rtl/>
        </w:rPr>
        <w:t>.</w:t>
      </w:r>
      <w:r w:rsidR="008A74EB" w:rsidRPr="00C9040A">
        <w:rPr>
          <w:rtl/>
        </w:rPr>
        <w:t xml:space="preserve"> وفي سائر النسخ والمطبوع : « تغطّي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ب » والاختصاص </w:t>
      </w:r>
      <w:r w:rsidR="008A74EB">
        <w:rPr>
          <w:rtl/>
        </w:rPr>
        <w:t xml:space="preserve">: </w:t>
      </w:r>
      <w:r w:rsidR="0084262C">
        <w:rPr>
          <w:rtl/>
        </w:rPr>
        <w:t>-</w:t>
      </w:r>
      <w:r w:rsidR="008A74EB" w:rsidRPr="00C9040A">
        <w:rPr>
          <w:rtl/>
        </w:rPr>
        <w:t xml:space="preserve"> « فإذا غُطّي البياض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المطفّفين (83) : 14.</w:t>
      </w:r>
    </w:p>
    <w:p w:rsidR="008A74EB" w:rsidRPr="00C9040A" w:rsidRDefault="006C577F" w:rsidP="00235AD0">
      <w:pPr>
        <w:pStyle w:val="libFootnote0"/>
        <w:rPr>
          <w:rtl/>
          <w:lang w:bidi="fa-IR"/>
        </w:rPr>
      </w:pPr>
      <w:r>
        <w:rPr>
          <w:rtl/>
        </w:rPr>
        <w:t>(6).</w:t>
      </w:r>
      <w:r w:rsidR="008A74EB">
        <w:rPr>
          <w:rtl/>
        </w:rPr>
        <w:t xml:space="preserve"> </w:t>
      </w:r>
      <w:r w:rsidR="008A74EB" w:rsidRPr="00993B55">
        <w:rPr>
          <w:rStyle w:val="libFootnoteBoldChar"/>
          <w:rtl/>
        </w:rPr>
        <w:t>الاختصاص</w:t>
      </w:r>
      <w:r w:rsidR="008A74EB" w:rsidRPr="00C9040A">
        <w:rPr>
          <w:rtl/>
        </w:rPr>
        <w:t xml:space="preserve"> ، ص 243 ، مرسلاً مع اختلاف يسير</w:t>
      </w:r>
      <w:r w:rsidR="00235AD0">
        <w:rPr>
          <w:rFonts w:hint="cs"/>
          <w:rtl/>
        </w:rPr>
        <w:t>.</w:t>
      </w:r>
      <w:r w:rsidR="008A74EB" w:rsidRPr="00993B55">
        <w:rPr>
          <w:rStyle w:val="libFootnoteBoldChar"/>
          <w:rtl/>
        </w:rPr>
        <w:t>الوافي</w:t>
      </w:r>
      <w:r w:rsidR="008A74EB" w:rsidRPr="00C9040A">
        <w:rPr>
          <w:rtl/>
        </w:rPr>
        <w:t xml:space="preserve"> ، ج 5 ، ص 1003 ، ح 3475 ؛ </w:t>
      </w:r>
      <w:r w:rsidR="008A74EB" w:rsidRPr="00993B55">
        <w:rPr>
          <w:rStyle w:val="libFootnoteBoldChar"/>
          <w:rtl/>
        </w:rPr>
        <w:t>الوسائل</w:t>
      </w:r>
      <w:r w:rsidR="008A74EB" w:rsidRPr="00C9040A">
        <w:rPr>
          <w:rtl/>
        </w:rPr>
        <w:t xml:space="preserve"> ، ج 15 ، ص 303 ، ح 20580 ؛ </w:t>
      </w:r>
      <w:r w:rsidR="008A74EB" w:rsidRPr="00993B55">
        <w:rPr>
          <w:rStyle w:val="libFootnoteBoldChar"/>
          <w:rtl/>
        </w:rPr>
        <w:t>البحار</w:t>
      </w:r>
      <w:r w:rsidR="008A74EB" w:rsidRPr="00C9040A">
        <w:rPr>
          <w:rtl/>
        </w:rPr>
        <w:t xml:space="preserve"> ، ج 73 ، ص 332 ، ح 17.</w:t>
      </w:r>
    </w:p>
    <w:p w:rsidR="008A74EB" w:rsidRPr="00C9040A" w:rsidRDefault="006C577F" w:rsidP="004A4E41">
      <w:pPr>
        <w:pStyle w:val="libFootnote0"/>
        <w:rPr>
          <w:rtl/>
          <w:lang w:bidi="fa-IR"/>
        </w:rPr>
      </w:pPr>
      <w:r>
        <w:rPr>
          <w:rtl/>
        </w:rPr>
        <w:t>(7).</w:t>
      </w:r>
      <w:r w:rsidR="008A74EB" w:rsidRPr="00C9040A">
        <w:rPr>
          <w:rtl/>
        </w:rPr>
        <w:t xml:space="preserve"> في « ف » : + « عن واضحة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 </w:t>
      </w:r>
      <w:r w:rsidR="006D3162">
        <w:rPr>
          <w:rtl/>
        </w:rPr>
        <w:t xml:space="preserve">ه </w:t>
      </w:r>
      <w:r w:rsidR="008A74EB" w:rsidRPr="00C9040A">
        <w:rPr>
          <w:rtl/>
        </w:rPr>
        <w:t>» والوافي والاختصاص : « لاتأمننّ »</w:t>
      </w:r>
      <w:r w:rsidR="008A74EB">
        <w:rPr>
          <w:rtl/>
        </w:rPr>
        <w:t>.</w:t>
      </w:r>
      <w:r w:rsidR="008A74EB" w:rsidRPr="00C9040A">
        <w:rPr>
          <w:rtl/>
        </w:rPr>
        <w:t xml:space="preserve"> وفي الجعفريّات : « لايأمننّ »</w:t>
      </w:r>
      <w:r w:rsidR="008A74EB">
        <w:rPr>
          <w:rtl/>
        </w:rPr>
        <w:t>.</w:t>
      </w:r>
    </w:p>
    <w:p w:rsidR="008A74EB" w:rsidRPr="00C9040A" w:rsidRDefault="006C577F" w:rsidP="00235AD0">
      <w:pPr>
        <w:pStyle w:val="libFootnote0"/>
        <w:rPr>
          <w:rtl/>
          <w:lang w:bidi="fa-IR"/>
        </w:rPr>
      </w:pPr>
      <w:r>
        <w:rPr>
          <w:rtl/>
        </w:rPr>
        <w:t>(9).</w:t>
      </w:r>
      <w:r w:rsidR="008A74EB" w:rsidRPr="00C9040A">
        <w:rPr>
          <w:rtl/>
        </w:rPr>
        <w:t xml:space="preserve"> </w:t>
      </w:r>
      <w:r w:rsidR="008A74EB" w:rsidRPr="00993B55">
        <w:rPr>
          <w:rStyle w:val="libFootnoteBoldChar"/>
          <w:rtl/>
        </w:rPr>
        <w:t>الكافي</w:t>
      </w:r>
      <w:r w:rsidR="008A74EB" w:rsidRPr="00C9040A">
        <w:rPr>
          <w:rtl/>
        </w:rPr>
        <w:t xml:space="preserve"> ، كتاب العشرة ، باب الدعابة والضحك ، ح 3742 ، بسند آخر ؛ </w:t>
      </w:r>
      <w:r w:rsidR="008A74EB" w:rsidRPr="00993B55">
        <w:rPr>
          <w:rStyle w:val="libFootnoteBoldChar"/>
          <w:rtl/>
        </w:rPr>
        <w:t>الجعفريّات</w:t>
      </w:r>
      <w:r w:rsidR="008A74EB" w:rsidRPr="00C9040A">
        <w:rPr>
          <w:rtl/>
        </w:rPr>
        <w:t xml:space="preserve"> ، ص 235 ، بسند آخر عن جعفر بن محمّد ، عن آبائه ، عن أميرالمؤمنين </w:t>
      </w:r>
      <w:r w:rsidR="00117575" w:rsidRPr="00117575">
        <w:rPr>
          <w:rStyle w:val="libFootnoteAlaemChar"/>
          <w:rtl/>
        </w:rPr>
        <w:t>عليهم‌السلام</w:t>
      </w:r>
      <w:r w:rsidR="008A74EB" w:rsidRPr="00C9040A">
        <w:rPr>
          <w:rtl/>
        </w:rPr>
        <w:t xml:space="preserve">. </w:t>
      </w:r>
      <w:r w:rsidR="008A74EB" w:rsidRPr="00993B55">
        <w:rPr>
          <w:rStyle w:val="libFootnoteBoldChar"/>
          <w:rtl/>
        </w:rPr>
        <w:t>الاختصاص</w:t>
      </w:r>
      <w:r w:rsidR="008A74EB" w:rsidRPr="00C9040A">
        <w:rPr>
          <w:rtl/>
        </w:rPr>
        <w:t xml:space="preserve"> ، ص 252 ، مرسلاً عن أميرالمؤمنين </w:t>
      </w:r>
      <w:r w:rsidR="00117575" w:rsidRPr="00117575">
        <w:rPr>
          <w:rStyle w:val="libFootnoteAlaemChar"/>
          <w:rtl/>
        </w:rPr>
        <w:t>عليه‌السلام</w:t>
      </w:r>
      <w:r w:rsidR="008A74EB" w:rsidRPr="00C9040A">
        <w:rPr>
          <w:rtl/>
        </w:rPr>
        <w:t xml:space="preserve"> ، وفيهما مع اختلاف يسير</w:t>
      </w:r>
      <w:r w:rsidR="00235AD0">
        <w:rPr>
          <w:rFonts w:hint="cs"/>
          <w:rtl/>
        </w:rPr>
        <w:t>.</w:t>
      </w:r>
      <w:r w:rsidR="008A74EB" w:rsidRPr="00993B55">
        <w:rPr>
          <w:rStyle w:val="libFootnoteBoldChar"/>
          <w:rtl/>
        </w:rPr>
        <w:t>الوافي</w:t>
      </w:r>
      <w:r w:rsidR="008A74EB" w:rsidRPr="00C9040A">
        <w:rPr>
          <w:rtl/>
        </w:rPr>
        <w:t xml:space="preserve"> ، ج 5 ، ص 1004 ، ح 3479 ؛ </w:t>
      </w:r>
      <w:r w:rsidR="008A74EB" w:rsidRPr="00993B55">
        <w:rPr>
          <w:rStyle w:val="libFootnoteBoldChar"/>
          <w:rtl/>
        </w:rPr>
        <w:t>الوسائل</w:t>
      </w:r>
      <w:r w:rsidR="008A74EB" w:rsidRPr="00C9040A">
        <w:rPr>
          <w:rtl/>
        </w:rPr>
        <w:t xml:space="preserve"> ، ج 15 ، ص 300 ، ح 20569 ؛ </w:t>
      </w:r>
      <w:r w:rsidR="008A74EB" w:rsidRPr="00993B55">
        <w:rPr>
          <w:rStyle w:val="libFootnoteBoldChar"/>
          <w:rtl/>
        </w:rPr>
        <w:t>البحار</w:t>
      </w:r>
      <w:r w:rsidR="008A74EB" w:rsidRPr="00C9040A">
        <w:rPr>
          <w:rtl/>
        </w:rPr>
        <w:t xml:space="preserve"> ، ج 73 ، ص 334 ، ح 18.</w:t>
      </w:r>
    </w:p>
    <w:p w:rsidR="008A74EB" w:rsidRPr="00C9040A" w:rsidRDefault="006C577F" w:rsidP="004A4E41">
      <w:pPr>
        <w:pStyle w:val="libFootnote0"/>
        <w:rPr>
          <w:rtl/>
          <w:lang w:bidi="fa-IR"/>
        </w:rPr>
      </w:pPr>
      <w:r>
        <w:rPr>
          <w:rtl/>
        </w:rPr>
        <w:t>(10).</w:t>
      </w:r>
      <w:r w:rsidR="008A74EB" w:rsidRPr="00C9040A">
        <w:rPr>
          <w:rtl/>
        </w:rPr>
        <w:t xml:space="preserve"> في « </w:t>
      </w:r>
      <w:r w:rsidR="006D3162">
        <w:rPr>
          <w:rtl/>
        </w:rPr>
        <w:t xml:space="preserve">ه </w:t>
      </w:r>
      <w:r w:rsidR="008A74EB" w:rsidRPr="00C9040A">
        <w:rPr>
          <w:rtl/>
        </w:rPr>
        <w:t>، بف » : « الحسن »</w:t>
      </w:r>
      <w:r w:rsidR="008A74EB">
        <w:rPr>
          <w:rtl/>
        </w:rPr>
        <w:t>.</w:t>
      </w:r>
      <w:r w:rsidR="008A74EB" w:rsidRPr="00C9040A">
        <w:rPr>
          <w:rtl/>
        </w:rPr>
        <w:t xml:space="preserve"> والحسين هذا ، هو الحسين بن إسحاق التاجر ، وقد توسّط بين محمّد بن يحيى‌العطّار وبين علىّ بن مهزيار في عدّة من الأسناد. ا</w:t>
      </w:r>
      <w:r w:rsidR="00235AD0">
        <w:rPr>
          <w:rFonts w:hint="cs"/>
          <w:rtl/>
        </w:rPr>
        <w:t>ُ</w:t>
      </w:r>
      <w:r w:rsidR="008A74EB" w:rsidRPr="00C9040A">
        <w:rPr>
          <w:rtl/>
        </w:rPr>
        <w:t xml:space="preserve">نظر على سبيل المثال : </w:t>
      </w:r>
      <w:r w:rsidR="008A74EB" w:rsidRPr="00993B55">
        <w:rPr>
          <w:rStyle w:val="libFootnoteBoldChar"/>
          <w:rtl/>
        </w:rPr>
        <w:t>الفقيه</w:t>
      </w:r>
      <w:r w:rsidR="008A74EB" w:rsidRPr="00C9040A">
        <w:rPr>
          <w:rtl/>
        </w:rPr>
        <w:t xml:space="preserve"> ، ج 4 ، ص 446 ؛ </w:t>
      </w:r>
      <w:r w:rsidR="008A74EB" w:rsidRPr="00993B55">
        <w:rPr>
          <w:rStyle w:val="libFootnoteBoldChar"/>
          <w:rtl/>
        </w:rPr>
        <w:t>علل الشرائع</w:t>
      </w:r>
      <w:r w:rsidR="008A74EB" w:rsidRPr="00C9040A">
        <w:rPr>
          <w:rtl/>
        </w:rPr>
        <w:t xml:space="preserve"> ، ص 418 ، ح 5 ؛ وص 448 ، ح 1 ؛ </w:t>
      </w:r>
      <w:r w:rsidR="008A74EB" w:rsidRPr="00993B55">
        <w:rPr>
          <w:rStyle w:val="libFootnoteBoldChar"/>
          <w:rtl/>
        </w:rPr>
        <w:t>الخصال</w:t>
      </w:r>
      <w:r w:rsidR="008A74EB" w:rsidRPr="00C9040A">
        <w:rPr>
          <w:rtl/>
        </w:rPr>
        <w:t xml:space="preserve"> ، ص 4 ، ح 7 ؛ وص 39 ، ح 23 </w:t>
      </w:r>
      <w:r w:rsidR="008A74EB">
        <w:rPr>
          <w:rtl/>
        </w:rPr>
        <w:t>و 2</w:t>
      </w:r>
      <w:r w:rsidR="008A74EB" w:rsidRPr="00C9040A">
        <w:rPr>
          <w:rtl/>
        </w:rPr>
        <w:t xml:space="preserve">5 ؛ وص 81 ، ح 1 ؛ </w:t>
      </w:r>
      <w:r w:rsidR="008A74EB" w:rsidRPr="00993B55">
        <w:rPr>
          <w:rStyle w:val="libFootnoteBoldChar"/>
          <w:rtl/>
        </w:rPr>
        <w:t>معجم رجال الحديث</w:t>
      </w:r>
      <w:r w:rsidR="008A74EB" w:rsidRPr="00C9040A">
        <w:rPr>
          <w:rtl/>
        </w:rPr>
        <w:t xml:space="preserve"> ، ج 5 ، ص 198 ، الرقم 3305.</w:t>
      </w:r>
    </w:p>
    <w:p w:rsidR="008A74EB" w:rsidRPr="00C9040A" w:rsidRDefault="006C577F" w:rsidP="004A4E41">
      <w:pPr>
        <w:pStyle w:val="libFootnote0"/>
        <w:rPr>
          <w:rtl/>
          <w:lang w:bidi="fa-IR"/>
        </w:rPr>
      </w:pPr>
      <w:r>
        <w:rPr>
          <w:rtl/>
        </w:rPr>
        <w:t>(11).</w:t>
      </w:r>
      <w:r w:rsidR="008A74EB" w:rsidRPr="00C9040A">
        <w:rPr>
          <w:rtl/>
        </w:rPr>
        <w:t xml:space="preserve"> في « ز » : « أبي عمير المدائني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سَمِعْتُهُ يَقُولُ : « كَانَ أَبِي </w:t>
      </w:r>
      <w:r w:rsidRPr="0003660B">
        <w:rPr>
          <w:rStyle w:val="libAlaemChar"/>
          <w:rtl/>
        </w:rPr>
        <w:t>عليه‌السلام</w:t>
      </w:r>
      <w:r w:rsidRPr="00C9040A">
        <w:rPr>
          <w:rtl/>
          <w:lang w:bidi="fa-IR"/>
        </w:rPr>
        <w:t xml:space="preserve"> يَقُولُ </w:t>
      </w:r>
      <w:r w:rsidR="006C577F" w:rsidRPr="006C577F">
        <w:rPr>
          <w:rStyle w:val="libFootnotenumChar"/>
          <w:rtl/>
        </w:rPr>
        <w:t>(1)</w:t>
      </w:r>
      <w:r w:rsidRPr="00C9040A">
        <w:rPr>
          <w:rtl/>
          <w:lang w:bidi="fa-IR"/>
        </w:rPr>
        <w:t xml:space="preserve"> : إِنَّ ا</w:t>
      </w:r>
      <w:r w:rsidR="00235AD0">
        <w:rPr>
          <w:rtl/>
          <w:lang w:bidi="fa-IR"/>
        </w:rPr>
        <w:t>للهَ قَضى قَضَاءً حَتْماً أَل</w:t>
      </w:r>
      <w:r w:rsidR="00235AD0">
        <w:rPr>
          <w:rFonts w:hint="cs"/>
          <w:rtl/>
          <w:lang w:bidi="fa-IR"/>
        </w:rPr>
        <w:t>َّ</w:t>
      </w:r>
      <w:r w:rsidR="00235AD0">
        <w:rPr>
          <w:rtl/>
          <w:lang w:bidi="fa-IR"/>
        </w:rPr>
        <w:t>ا</w:t>
      </w:r>
      <w:r w:rsidRPr="00C9040A">
        <w:rPr>
          <w:rtl/>
          <w:lang w:bidi="fa-IR"/>
        </w:rPr>
        <w:t xml:space="preserve"> يُنْعِمَ </w:t>
      </w:r>
      <w:r w:rsidR="006C577F" w:rsidRPr="006C577F">
        <w:rPr>
          <w:rStyle w:val="libFootnotenumChar"/>
          <w:rtl/>
        </w:rPr>
        <w:t>(2)</w:t>
      </w:r>
      <w:r w:rsidRPr="00C9040A">
        <w:rPr>
          <w:rtl/>
          <w:lang w:bidi="fa-IR"/>
        </w:rPr>
        <w:t xml:space="preserve"> عَلَى الْعَبْدِ بِنِعْمَةٍ فَيَسْلُبَهَا إِيَّاهُ ، حَتّى يُحْدِثَ </w:t>
      </w:r>
      <w:r w:rsidR="006C577F" w:rsidRPr="006C577F">
        <w:rPr>
          <w:rStyle w:val="libFootnotenumChar"/>
          <w:rtl/>
        </w:rPr>
        <w:t>(3)</w:t>
      </w:r>
      <w:r w:rsidRPr="00C9040A">
        <w:rPr>
          <w:rtl/>
          <w:lang w:bidi="fa-IR"/>
        </w:rPr>
        <w:t xml:space="preserve"> الْعَبْدُ ذَنْباً يَسْتَحِقُّ </w:t>
      </w:r>
      <w:r w:rsidR="006C577F" w:rsidRPr="006C577F">
        <w:rPr>
          <w:rStyle w:val="libFootnotenumChar"/>
          <w:rtl/>
        </w:rPr>
        <w:t>(4)</w:t>
      </w:r>
      <w:r w:rsidRPr="00C9040A">
        <w:rPr>
          <w:rtl/>
          <w:lang w:bidi="fa-IR"/>
        </w:rPr>
        <w:t xml:space="preserve"> بِذلِكَ النَّقِمَةَ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714B92">
        <w:rPr>
          <w:rtl/>
        </w:rPr>
        <w:t>2433</w:t>
      </w:r>
      <w:r w:rsidRPr="00261CB0">
        <w:rPr>
          <w:rStyle w:val="libBold2Char"/>
          <w:rtl/>
        </w:rPr>
        <w:t xml:space="preserve"> / 23.</w:t>
      </w:r>
      <w:r w:rsidRPr="00C9040A">
        <w:rPr>
          <w:rtl/>
          <w:lang w:bidi="fa-IR"/>
        </w:rPr>
        <w:t xml:space="preserve"> عَلِيُّ بْنُ إِبْرَاهِيمَ ، عَنْ أَبِيهِ ، عَنِ ابْنِ مَحْبُوبٍ ، عَنْ جَمِيلِ بْنِ صَالِحٍ ، عَنْ سَدِيرٍ ، قَالَ :</w:t>
      </w:r>
    </w:p>
    <w:p w:rsidR="008A74EB" w:rsidRPr="00C9040A" w:rsidRDefault="008A74EB" w:rsidP="008A74EB">
      <w:pPr>
        <w:pStyle w:val="libNormal"/>
        <w:rPr>
          <w:rtl/>
          <w:lang w:bidi="fa-IR"/>
        </w:rPr>
      </w:pPr>
      <w:r w:rsidRPr="00C9040A">
        <w:rPr>
          <w:rtl/>
          <w:lang w:bidi="fa-IR"/>
        </w:rPr>
        <w:t xml:space="preserve">سَأَلَ رَجُلٌ أَبَا عَبْدِ اللهِ </w:t>
      </w:r>
      <w:r w:rsidRPr="0003660B">
        <w:rPr>
          <w:rStyle w:val="libAlaemChar"/>
          <w:rtl/>
        </w:rPr>
        <w:t>عليه‌السلام</w:t>
      </w:r>
      <w:r w:rsidRPr="00C9040A">
        <w:rPr>
          <w:rtl/>
          <w:lang w:bidi="fa-IR"/>
        </w:rPr>
        <w:t xml:space="preserve"> عَنْ قَوْلِ اللهِ عَزَّ وَجَلَّ : </w:t>
      </w:r>
      <w:r w:rsidRPr="0003660B">
        <w:rPr>
          <w:rStyle w:val="libAlaemChar"/>
          <w:rtl/>
        </w:rPr>
        <w:t>(</w:t>
      </w:r>
      <w:r w:rsidRPr="006A2246">
        <w:rPr>
          <w:rStyle w:val="libAieChar"/>
          <w:rtl/>
        </w:rPr>
        <w:t xml:space="preserve"> رَبَّنا</w:t>
      </w:r>
      <w:r>
        <w:rPr>
          <w:rFonts w:hint="cs"/>
          <w:rtl/>
        </w:rPr>
        <w:t xml:space="preserve"> </w:t>
      </w:r>
      <w:r w:rsidR="006C577F" w:rsidRPr="006C577F">
        <w:rPr>
          <w:rStyle w:val="libFootnotenumChar"/>
          <w:rtl/>
        </w:rPr>
        <w:t>(6)</w:t>
      </w:r>
      <w:r>
        <w:rPr>
          <w:rFonts w:hint="cs"/>
          <w:rtl/>
        </w:rPr>
        <w:t xml:space="preserve"> </w:t>
      </w:r>
      <w:r w:rsidRPr="006A2246">
        <w:rPr>
          <w:rStyle w:val="libAieChar"/>
          <w:rtl/>
        </w:rPr>
        <w:t xml:space="preserve">باعِدْ بَيْنَ أَسْفارِنا وَظَلَمُوا أَنْفُسَهُمْ </w:t>
      </w:r>
      <w:r w:rsidRPr="0003660B">
        <w:rPr>
          <w:rStyle w:val="libAlaemChar"/>
          <w:rtl/>
        </w:rPr>
        <w:t>)</w:t>
      </w:r>
      <w:r w:rsidRPr="00C9040A">
        <w:rPr>
          <w:rtl/>
          <w:lang w:bidi="fa-IR"/>
        </w:rPr>
        <w:t xml:space="preserve"> </w:t>
      </w:r>
      <w:r w:rsidR="006C577F" w:rsidRPr="006C577F">
        <w:rPr>
          <w:rStyle w:val="libFootnotenumChar"/>
          <w:rtl/>
        </w:rPr>
        <w:t>(7)</w:t>
      </w:r>
      <w:r w:rsidRPr="00C9040A">
        <w:rPr>
          <w:rtl/>
          <w:lang w:bidi="fa-IR"/>
        </w:rPr>
        <w:t xml:space="preserve"> الْآيَةَ ، فَقَالَ : « هؤُلَاءِ قَوْمٌ كَانَتْ </w:t>
      </w:r>
      <w:r w:rsidR="006C577F" w:rsidRPr="006C577F">
        <w:rPr>
          <w:rStyle w:val="libFootnotenumChar"/>
          <w:rtl/>
        </w:rPr>
        <w:t>(8)</w:t>
      </w:r>
      <w:r w:rsidRPr="00C9040A">
        <w:rPr>
          <w:rtl/>
          <w:lang w:bidi="fa-IR"/>
        </w:rPr>
        <w:t xml:space="preserve"> لَهُمْ قُرًى مُتَّصِلَةٌ يَنْظُرُ بَعْضُهُمْ </w:t>
      </w:r>
      <w:r w:rsidR="006C577F" w:rsidRPr="006C577F">
        <w:rPr>
          <w:rStyle w:val="libFootnotenumChar"/>
          <w:rtl/>
        </w:rPr>
        <w:t>(9)</w:t>
      </w:r>
      <w:r w:rsidRPr="00C9040A">
        <w:rPr>
          <w:rtl/>
          <w:lang w:bidi="fa-IR"/>
        </w:rPr>
        <w:t xml:space="preserve"> إِلى بَعْضٍ ، وَأَنْهَارٌ جَارِيَةٌ ، وَأَمْوَالٌ ظَاهِرَةٌ ، فَكَفَرُوا </w:t>
      </w:r>
      <w:r w:rsidR="006C577F" w:rsidRPr="006C577F">
        <w:rPr>
          <w:rStyle w:val="libFootnotenumChar"/>
          <w:rtl/>
        </w:rPr>
        <w:t>(10)</w:t>
      </w:r>
      <w:r w:rsidRPr="00C9040A">
        <w:rPr>
          <w:rtl/>
          <w:lang w:bidi="fa-IR"/>
        </w:rPr>
        <w:t xml:space="preserve"> نِعَمَ </w:t>
      </w:r>
      <w:r w:rsidR="006C577F" w:rsidRPr="006C577F">
        <w:rPr>
          <w:rStyle w:val="libFootnotenumChar"/>
          <w:rtl/>
        </w:rPr>
        <w:t>(11)</w:t>
      </w:r>
      <w:r w:rsidRPr="00C9040A">
        <w:rPr>
          <w:rtl/>
          <w:lang w:bidi="fa-IR"/>
        </w:rPr>
        <w:t xml:space="preserve"> اللهِ عَزَّ وَجَلَّ ، وَغَيَّرُوا مَا بِأَنْفُسِهِمْ مِنْ عَافِيَةِ اللهِ ، فَغَيَّرَ </w:t>
      </w:r>
      <w:r w:rsidR="006C577F" w:rsidRPr="006C577F">
        <w:rPr>
          <w:rStyle w:val="libFootnotenumChar"/>
          <w:rtl/>
        </w:rPr>
        <w:t>(12)</w:t>
      </w:r>
      <w:r w:rsidRPr="00C9040A">
        <w:rPr>
          <w:rtl/>
          <w:lang w:bidi="fa-IR"/>
        </w:rPr>
        <w:t xml:space="preserve"> اللهُ مَا بِهِمْ مِنْ نِعْمَةٍ ، وَ</w:t>
      </w:r>
      <w:r>
        <w:rPr>
          <w:rFonts w:hint="cs"/>
          <w:rtl/>
          <w:lang w:bidi="fa-IR"/>
        </w:rPr>
        <w:t xml:space="preserve"> </w:t>
      </w:r>
      <w:r w:rsidRPr="0003660B">
        <w:rPr>
          <w:rStyle w:val="libAlaemChar"/>
          <w:rtl/>
        </w:rPr>
        <w:t>(</w:t>
      </w:r>
      <w:r w:rsidRPr="006A2246">
        <w:rPr>
          <w:rStyle w:val="libAieChar"/>
          <w:rtl/>
        </w:rPr>
        <w:t xml:space="preserve"> إِنَّ اللهَ لا يُغَيِّرُ ما بِقَوْمٍ حَتّى يُغَيِّرُوا ما بِأَنْفُسِهِمْ </w:t>
      </w:r>
      <w:r w:rsidRPr="0003660B">
        <w:rPr>
          <w:rStyle w:val="libAlaemChar"/>
          <w:rtl/>
        </w:rPr>
        <w:t>)</w:t>
      </w:r>
      <w:r w:rsidRPr="00C9040A">
        <w:rPr>
          <w:rtl/>
          <w:lang w:bidi="fa-IR"/>
        </w:rPr>
        <w:t xml:space="preserve"> </w:t>
      </w:r>
      <w:r w:rsidRPr="005B567D">
        <w:rPr>
          <w:rStyle w:val="libFootnotenumChar"/>
          <w:rtl/>
        </w:rPr>
        <w:t>(13)</w:t>
      </w:r>
      <w:r w:rsidRPr="00C9040A">
        <w:rPr>
          <w:rtl/>
          <w:lang w:bidi="fa-IR"/>
        </w:rPr>
        <w:t xml:space="preserve"> فَأَرْسَلَ اللهُ عَلَيْهِمْ </w:t>
      </w:r>
      <w:r w:rsidRPr="005B567D">
        <w:rPr>
          <w:rStyle w:val="libFootnotenumChar"/>
          <w:rtl/>
        </w:rPr>
        <w:t>(14)</w:t>
      </w:r>
      <w:r w:rsidRPr="00C9040A">
        <w:rPr>
          <w:rtl/>
          <w:lang w:bidi="fa-IR"/>
        </w:rPr>
        <w:t xml:space="preserve"> سَيْلَ الْعَرِمِ ، فَغَرَّقَ قُرَاهُمْ ، وَخَرَّبَ دِيَارَهُمْ ، وَأَذْهَبَ </w:t>
      </w:r>
      <w:r w:rsidRPr="005B567D">
        <w:rPr>
          <w:rStyle w:val="libFootnotenumChar"/>
          <w:rtl/>
        </w:rPr>
        <w:t>(15)</w:t>
      </w:r>
      <w:r w:rsidRPr="00C9040A">
        <w:rPr>
          <w:rtl/>
          <w:lang w:bidi="fa-IR"/>
        </w:rPr>
        <w:t xml:space="preserve"> أَمْوَالَهُمْ </w:t>
      </w:r>
      <w:r w:rsidRPr="005B567D">
        <w:rPr>
          <w:rStyle w:val="libFootnotenumChar"/>
          <w:rtl/>
        </w:rPr>
        <w:t>(16)</w:t>
      </w:r>
      <w:r w:rsidRPr="00C9040A">
        <w:rPr>
          <w:rtl/>
          <w:lang w:bidi="fa-IR"/>
        </w:rPr>
        <w:t xml:space="preserve"> ، وَأَبْدَلَهُمْ مَكَانَ جَنَّاتِهِمْ </w:t>
      </w:r>
      <w:r w:rsidRPr="005B567D">
        <w:rPr>
          <w:rStyle w:val="libFootnotenumChar"/>
          <w:rtl/>
        </w:rPr>
        <w:t>(17)</w:t>
      </w:r>
      <w:r w:rsidRPr="00C9040A">
        <w:rPr>
          <w:rtl/>
          <w:lang w:bidi="fa-IR"/>
        </w:rPr>
        <w:t xml:space="preserve"> جَنَّتَيْنِ ذَوَاتَيْ أُكُلٍ‌</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البحار </w:t>
      </w:r>
      <w:r w:rsidR="008A74EB">
        <w:rPr>
          <w:rtl/>
        </w:rPr>
        <w:t xml:space="preserve">: </w:t>
      </w:r>
      <w:r w:rsidR="0084262C">
        <w:rPr>
          <w:rtl/>
        </w:rPr>
        <w:t>-</w:t>
      </w:r>
      <w:r w:rsidR="008A74EB" w:rsidRPr="00C9040A">
        <w:rPr>
          <w:rtl/>
        </w:rPr>
        <w:t xml:space="preserve"> « كان أبي </w:t>
      </w:r>
      <w:r w:rsidR="00117575" w:rsidRPr="00117575">
        <w:rPr>
          <w:rStyle w:val="libFootnoteAlaemChar"/>
          <w:rtl/>
        </w:rPr>
        <w:t>عليه‌السلام</w:t>
      </w:r>
      <w:r w:rsidR="008A74EB" w:rsidRPr="00C9040A">
        <w:rPr>
          <w:rtl/>
        </w:rPr>
        <w:t xml:space="preserve"> يقول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ج ، د ، ص ، ض ، بس » ومرآة العقول والوسائل والبحار وتفسير العيّاشي : « لاينعم » بدون الهمزة.</w:t>
      </w:r>
    </w:p>
    <w:tbl>
      <w:tblPr>
        <w:tblStyle w:val="TableGrid"/>
        <w:bidiVisual/>
        <w:tblW w:w="0" w:type="auto"/>
        <w:tblLook w:val="04A0" w:firstRow="1" w:lastRow="0" w:firstColumn="1" w:lastColumn="0" w:noHBand="0" w:noVBand="1"/>
      </w:tblPr>
      <w:tblGrid>
        <w:gridCol w:w="4006"/>
        <w:gridCol w:w="4006"/>
      </w:tblGrid>
      <w:tr w:rsidR="00D622B0" w:rsidTr="00D622B0">
        <w:tc>
          <w:tcPr>
            <w:tcW w:w="4006" w:type="dxa"/>
          </w:tcPr>
          <w:p w:rsidR="00D622B0" w:rsidRDefault="00D622B0" w:rsidP="004A4E41">
            <w:pPr>
              <w:pStyle w:val="libFootnote0"/>
              <w:rPr>
                <w:rtl/>
              </w:rPr>
            </w:pPr>
            <w:r>
              <w:rPr>
                <w:rtl/>
              </w:rPr>
              <w:t>(3).</w:t>
            </w:r>
            <w:r w:rsidRPr="00C9040A">
              <w:rPr>
                <w:rtl/>
              </w:rPr>
              <w:t xml:space="preserve"> في « </w:t>
            </w:r>
            <w:r>
              <w:rPr>
                <w:rtl/>
              </w:rPr>
              <w:t xml:space="preserve">ه </w:t>
            </w:r>
            <w:r w:rsidRPr="00C9040A">
              <w:rPr>
                <w:rtl/>
              </w:rPr>
              <w:t>» : « حتّى يذنب »</w:t>
            </w:r>
            <w:r>
              <w:rPr>
                <w:rtl/>
              </w:rPr>
              <w:t>.</w:t>
            </w:r>
          </w:p>
        </w:tc>
        <w:tc>
          <w:tcPr>
            <w:tcW w:w="4006" w:type="dxa"/>
          </w:tcPr>
          <w:p w:rsidR="00D622B0" w:rsidRDefault="00D622B0" w:rsidP="004A4E41">
            <w:pPr>
              <w:pStyle w:val="libFootnote0"/>
              <w:rPr>
                <w:rtl/>
              </w:rPr>
            </w:pPr>
            <w:r>
              <w:rPr>
                <w:rtl/>
              </w:rPr>
              <w:t>(4).</w:t>
            </w:r>
            <w:r w:rsidRPr="00C9040A">
              <w:rPr>
                <w:rtl/>
              </w:rPr>
              <w:t xml:space="preserve"> في « ض ، ف » : « يستوجب »</w:t>
            </w:r>
            <w:r>
              <w:rPr>
                <w:rtl/>
              </w:rPr>
              <w:t>.</w:t>
            </w:r>
          </w:p>
        </w:tc>
      </w:tr>
    </w:tbl>
    <w:p w:rsidR="008A74EB" w:rsidRPr="00C9040A" w:rsidRDefault="006C577F" w:rsidP="007513E9">
      <w:pPr>
        <w:pStyle w:val="libFootnote0"/>
        <w:rPr>
          <w:rtl/>
          <w:lang w:bidi="fa-IR"/>
        </w:rPr>
      </w:pPr>
      <w:r>
        <w:rPr>
          <w:rtl/>
        </w:rPr>
        <w:t>(5).</w:t>
      </w:r>
      <w:r w:rsidR="008A74EB" w:rsidRPr="00C9040A">
        <w:rPr>
          <w:rtl/>
        </w:rPr>
        <w:t xml:space="preserve"> </w:t>
      </w:r>
      <w:r w:rsidR="008A74EB" w:rsidRPr="00993B55">
        <w:rPr>
          <w:rStyle w:val="libFootnoteBoldChar"/>
          <w:rtl/>
        </w:rPr>
        <w:t>تفسير العيّاشي</w:t>
      </w:r>
      <w:r w:rsidR="008A74EB" w:rsidRPr="00C9040A">
        <w:rPr>
          <w:rtl/>
        </w:rPr>
        <w:t xml:space="preserve"> ، ج 2 ، ص 206 ، ح 19 ، عن أبي عمرو المدائني ، مع اختلاف يسير وزيادة في آخره</w:t>
      </w:r>
      <w:r w:rsidR="007513E9">
        <w:rPr>
          <w:rFonts w:hint="cs"/>
          <w:rtl/>
        </w:rPr>
        <w:t>.</w:t>
      </w:r>
      <w:r w:rsidR="008A74EB" w:rsidRPr="00993B55">
        <w:rPr>
          <w:rStyle w:val="libFootnoteBoldChar"/>
          <w:rtl/>
        </w:rPr>
        <w:t>الوافي</w:t>
      </w:r>
      <w:r w:rsidR="008A74EB" w:rsidRPr="00C9040A">
        <w:rPr>
          <w:rtl/>
        </w:rPr>
        <w:t xml:space="preserve"> ، ج 5 ، ص 1005 ، ح 3481 ؛ </w:t>
      </w:r>
      <w:r w:rsidR="008A74EB" w:rsidRPr="00993B55">
        <w:rPr>
          <w:rStyle w:val="libFootnoteBoldChar"/>
          <w:rtl/>
        </w:rPr>
        <w:t>الوسائل</w:t>
      </w:r>
      <w:r w:rsidR="008A74EB" w:rsidRPr="00C9040A">
        <w:rPr>
          <w:rtl/>
        </w:rPr>
        <w:t xml:space="preserve"> ، ج 15 ، ص 303 ، ح 20581 ؛ </w:t>
      </w:r>
      <w:r w:rsidR="008A74EB" w:rsidRPr="00993B55">
        <w:rPr>
          <w:rStyle w:val="libFootnoteBoldChar"/>
          <w:rtl/>
        </w:rPr>
        <w:t>البحار</w:t>
      </w:r>
      <w:r w:rsidR="008A74EB" w:rsidRPr="00C9040A">
        <w:rPr>
          <w:rtl/>
        </w:rPr>
        <w:t xml:space="preserve"> ، ج 73 ، ص 334 ، ح 19.</w:t>
      </w:r>
    </w:p>
    <w:p w:rsidR="008A74EB" w:rsidRPr="00C9040A" w:rsidRDefault="006C577F" w:rsidP="007513E9">
      <w:pPr>
        <w:pStyle w:val="libFootnote0"/>
        <w:rPr>
          <w:rtl/>
          <w:lang w:bidi="fa-IR"/>
        </w:rPr>
      </w:pPr>
      <w:r>
        <w:rPr>
          <w:rtl/>
        </w:rPr>
        <w:t>(6).</w:t>
      </w:r>
      <w:r w:rsidR="008A74EB">
        <w:rPr>
          <w:rtl/>
        </w:rPr>
        <w:t xml:space="preserve"> </w:t>
      </w:r>
      <w:r w:rsidR="008A74EB" w:rsidRPr="00C9040A">
        <w:rPr>
          <w:rtl/>
        </w:rPr>
        <w:t>هكذا في « بس ، بف ، جل »</w:t>
      </w:r>
      <w:r w:rsidR="008A74EB">
        <w:rPr>
          <w:rtl/>
        </w:rPr>
        <w:t>.</w:t>
      </w:r>
      <w:r w:rsidR="008A74EB" w:rsidRPr="00C9040A">
        <w:rPr>
          <w:rtl/>
        </w:rPr>
        <w:t xml:space="preserve"> وفي القرآن : </w:t>
      </w:r>
      <w:r w:rsidR="007513E9" w:rsidRPr="007513E9">
        <w:rPr>
          <w:rStyle w:val="libFootnoteAlaemChar"/>
          <w:rFonts w:hint="cs"/>
          <w:rtl/>
        </w:rPr>
        <w:t>(</w:t>
      </w:r>
      <w:r w:rsidR="008A74EB" w:rsidRPr="007513E9">
        <w:rPr>
          <w:rStyle w:val="libFootnoteAieChar"/>
          <w:rtl/>
        </w:rPr>
        <w:t xml:space="preserve"> فَقَالُوا رَبُّنَا </w:t>
      </w:r>
      <w:r w:rsidR="007513E9" w:rsidRPr="007513E9">
        <w:rPr>
          <w:rStyle w:val="libFootnoteAlaemChar"/>
          <w:rFonts w:hint="cs"/>
          <w:rtl/>
        </w:rPr>
        <w:t>)</w:t>
      </w:r>
      <w:r w:rsidR="008A74EB">
        <w:rPr>
          <w:rtl/>
        </w:rPr>
        <w:t>.</w:t>
      </w:r>
      <w:r w:rsidR="008A74EB" w:rsidRPr="00C9040A">
        <w:rPr>
          <w:rtl/>
        </w:rPr>
        <w:t xml:space="preserve"> وفي سائر النسخ والمطبوع : « قالوا ربّنا »</w:t>
      </w:r>
      <w:r w:rsidR="008A74EB">
        <w:rPr>
          <w:rtl/>
        </w:rPr>
        <w:t>.</w:t>
      </w:r>
    </w:p>
    <w:tbl>
      <w:tblPr>
        <w:tblStyle w:val="TableGrid"/>
        <w:bidiVisual/>
        <w:tblW w:w="0" w:type="auto"/>
        <w:tblLook w:val="04A0" w:firstRow="1" w:lastRow="0" w:firstColumn="1" w:lastColumn="0" w:noHBand="0" w:noVBand="1"/>
      </w:tblPr>
      <w:tblGrid>
        <w:gridCol w:w="4006"/>
        <w:gridCol w:w="4006"/>
      </w:tblGrid>
      <w:tr w:rsidR="00DA7F49" w:rsidTr="00DA7F49">
        <w:tc>
          <w:tcPr>
            <w:tcW w:w="4006" w:type="dxa"/>
          </w:tcPr>
          <w:p w:rsidR="00DA7F49" w:rsidRDefault="00DA7F49" w:rsidP="004A4E41">
            <w:pPr>
              <w:pStyle w:val="libFootnote0"/>
              <w:rPr>
                <w:rtl/>
              </w:rPr>
            </w:pPr>
            <w:r>
              <w:rPr>
                <w:rtl/>
              </w:rPr>
              <w:t>(7).</w:t>
            </w:r>
            <w:r w:rsidRPr="00C9040A">
              <w:rPr>
                <w:rtl/>
              </w:rPr>
              <w:t xml:space="preserve"> سبأ (34) : 19.</w:t>
            </w:r>
          </w:p>
        </w:tc>
        <w:tc>
          <w:tcPr>
            <w:tcW w:w="4006" w:type="dxa"/>
          </w:tcPr>
          <w:p w:rsidR="00DA7F49" w:rsidRDefault="00DA7F49" w:rsidP="004A4E41">
            <w:pPr>
              <w:pStyle w:val="libFootnote0"/>
              <w:rPr>
                <w:rtl/>
              </w:rPr>
            </w:pPr>
            <w:r>
              <w:rPr>
                <w:rtl/>
              </w:rPr>
              <w:t>(8).</w:t>
            </w:r>
            <w:r w:rsidRPr="00C9040A">
              <w:rPr>
                <w:rtl/>
              </w:rPr>
              <w:t xml:space="preserve"> في « ض » : « قد كانت »</w:t>
            </w:r>
            <w:r>
              <w:rPr>
                <w:rtl/>
              </w:rPr>
              <w:t>.</w:t>
            </w:r>
          </w:p>
        </w:tc>
      </w:tr>
      <w:tr w:rsidR="00DA7F49" w:rsidTr="00DA7F49">
        <w:tc>
          <w:tcPr>
            <w:tcW w:w="4006" w:type="dxa"/>
          </w:tcPr>
          <w:p w:rsidR="00DA7F49" w:rsidRDefault="00DA7F49" w:rsidP="004A4E41">
            <w:pPr>
              <w:pStyle w:val="libFootnote0"/>
              <w:rPr>
                <w:rtl/>
              </w:rPr>
            </w:pPr>
            <w:r>
              <w:rPr>
                <w:rtl/>
              </w:rPr>
              <w:t>(9).</w:t>
            </w:r>
            <w:r w:rsidRPr="00C9040A">
              <w:rPr>
                <w:rtl/>
              </w:rPr>
              <w:t xml:space="preserve"> في الوسائل : « بعضها »</w:t>
            </w:r>
            <w:r>
              <w:rPr>
                <w:rtl/>
              </w:rPr>
              <w:t>.</w:t>
            </w:r>
          </w:p>
        </w:tc>
        <w:tc>
          <w:tcPr>
            <w:tcW w:w="4006" w:type="dxa"/>
          </w:tcPr>
          <w:p w:rsidR="00DA7F49" w:rsidRDefault="00DA7F49" w:rsidP="004A4E41">
            <w:pPr>
              <w:pStyle w:val="libFootnote0"/>
              <w:rPr>
                <w:rtl/>
              </w:rPr>
            </w:pPr>
            <w:r>
              <w:rPr>
                <w:rtl/>
              </w:rPr>
              <w:t>(10).</w:t>
            </w:r>
            <w:r w:rsidRPr="00C9040A">
              <w:rPr>
                <w:rtl/>
              </w:rPr>
              <w:t xml:space="preserve"> في « ب » : « فكفّروا » بالتشديد.</w:t>
            </w:r>
          </w:p>
        </w:tc>
      </w:tr>
    </w:tbl>
    <w:p w:rsidR="008A74EB" w:rsidRPr="00C9040A" w:rsidRDefault="006C577F" w:rsidP="004A4E41">
      <w:pPr>
        <w:pStyle w:val="libFootnote0"/>
        <w:rPr>
          <w:rtl/>
          <w:lang w:bidi="fa-IR"/>
        </w:rPr>
      </w:pPr>
      <w:r>
        <w:rPr>
          <w:rtl/>
        </w:rPr>
        <w:t>(11).</w:t>
      </w:r>
      <w:r w:rsidR="008A74EB" w:rsidRPr="00C9040A">
        <w:rPr>
          <w:rtl/>
        </w:rPr>
        <w:t xml:space="preserve"> في « د » : « أنعم »</w:t>
      </w:r>
      <w:r w:rsidR="008A74EB">
        <w:rPr>
          <w:rtl/>
        </w:rPr>
        <w:t>.</w:t>
      </w:r>
      <w:r w:rsidR="008A74EB" w:rsidRPr="00C9040A">
        <w:rPr>
          <w:rtl/>
        </w:rPr>
        <w:t xml:space="preserve"> وفي الكافي ، ح 15412 : « بأنعم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في « ز » : « فيغيّر »</w:t>
      </w:r>
      <w:r w:rsidR="008A74EB">
        <w:rPr>
          <w:rtl/>
        </w:rPr>
        <w:t>.</w:t>
      </w:r>
    </w:p>
    <w:p w:rsidR="008A74EB" w:rsidRPr="00C9040A" w:rsidRDefault="008A74EB" w:rsidP="00523559">
      <w:pPr>
        <w:pStyle w:val="libFootnote0"/>
        <w:rPr>
          <w:rtl/>
          <w:lang w:bidi="fa-IR"/>
        </w:rPr>
      </w:pPr>
      <w:r>
        <w:rPr>
          <w:rtl/>
        </w:rPr>
        <w:t>(13)</w:t>
      </w:r>
      <w:r w:rsidRPr="00C9040A">
        <w:rPr>
          <w:rtl/>
        </w:rPr>
        <w:t xml:space="preserve"> الرعد (13) : 11. وفي الكافي ، ح 15412 </w:t>
      </w:r>
      <w:r>
        <w:rPr>
          <w:rtl/>
        </w:rPr>
        <w:t xml:space="preserve">: </w:t>
      </w:r>
      <w:r w:rsidR="0084262C">
        <w:rPr>
          <w:rtl/>
        </w:rPr>
        <w:t>-</w:t>
      </w:r>
      <w:r w:rsidRPr="00C9040A">
        <w:rPr>
          <w:rtl/>
        </w:rPr>
        <w:t xml:space="preserve"> « من عافية</w:t>
      </w:r>
      <w:r>
        <w:rPr>
          <w:rtl/>
        </w:rPr>
        <w:t xml:space="preserve"> </w:t>
      </w:r>
      <w:r w:rsidR="0084262C">
        <w:rPr>
          <w:rtl/>
        </w:rPr>
        <w:t>-</w:t>
      </w:r>
      <w:r>
        <w:rPr>
          <w:rtl/>
        </w:rPr>
        <w:t xml:space="preserve"> </w:t>
      </w:r>
      <w:r w:rsidRPr="00C9040A">
        <w:rPr>
          <w:rtl/>
        </w:rPr>
        <w:t>إلى</w:t>
      </w:r>
      <w:r>
        <w:rPr>
          <w:rtl/>
        </w:rPr>
        <w:t xml:space="preserve"> </w:t>
      </w:r>
      <w:r w:rsidR="00523559">
        <w:rPr>
          <w:rtl/>
        </w:rPr>
        <w:t>–</w:t>
      </w:r>
      <w:r>
        <w:rPr>
          <w:rtl/>
        </w:rPr>
        <w:t xml:space="preserve"> </w:t>
      </w:r>
      <w:r w:rsidR="00523559" w:rsidRPr="00523559">
        <w:rPr>
          <w:rStyle w:val="libFootnoteAlaemChar"/>
          <w:rFonts w:hint="cs"/>
          <w:rtl/>
        </w:rPr>
        <w:t>(</w:t>
      </w:r>
      <w:r w:rsidRPr="00523559">
        <w:rPr>
          <w:rStyle w:val="libFootnoteAieChar"/>
          <w:rtl/>
        </w:rPr>
        <w:t xml:space="preserve"> بِأَنْفُسِهِمْ </w:t>
      </w:r>
      <w:r w:rsidR="00523559" w:rsidRPr="00523559">
        <w:rPr>
          <w:rStyle w:val="libFootnoteAlaemChar"/>
          <w:rFonts w:hint="cs"/>
          <w:rtl/>
        </w:rPr>
        <w:t>)</w:t>
      </w:r>
      <w:r w:rsidRPr="00C9040A">
        <w:rPr>
          <w:rtl/>
        </w:rPr>
        <w:t xml:space="preserve"> »</w:t>
      </w:r>
      <w:r>
        <w:rPr>
          <w:rtl/>
        </w:rPr>
        <w:t>.</w:t>
      </w:r>
    </w:p>
    <w:tbl>
      <w:tblPr>
        <w:tblStyle w:val="TableGrid"/>
        <w:bidiVisual/>
        <w:tblW w:w="0" w:type="auto"/>
        <w:tblLook w:val="04A0" w:firstRow="1" w:lastRow="0" w:firstColumn="1" w:lastColumn="0" w:noHBand="0" w:noVBand="1"/>
      </w:tblPr>
      <w:tblGrid>
        <w:gridCol w:w="4006"/>
        <w:gridCol w:w="4006"/>
      </w:tblGrid>
      <w:tr w:rsidR="00BC73C5" w:rsidTr="00BC73C5">
        <w:tc>
          <w:tcPr>
            <w:tcW w:w="4006" w:type="dxa"/>
          </w:tcPr>
          <w:p w:rsidR="00BC73C5" w:rsidRDefault="00BC73C5" w:rsidP="004A4E41">
            <w:pPr>
              <w:pStyle w:val="libFootnote0"/>
              <w:rPr>
                <w:rtl/>
              </w:rPr>
            </w:pPr>
            <w:r>
              <w:rPr>
                <w:rtl/>
              </w:rPr>
              <w:t>(14)</w:t>
            </w:r>
            <w:r w:rsidRPr="00C9040A">
              <w:rPr>
                <w:rtl/>
              </w:rPr>
              <w:t xml:space="preserve"> في « بر » : « إليهم »</w:t>
            </w:r>
            <w:r>
              <w:rPr>
                <w:rtl/>
              </w:rPr>
              <w:t>.</w:t>
            </w:r>
          </w:p>
        </w:tc>
        <w:tc>
          <w:tcPr>
            <w:tcW w:w="4006" w:type="dxa"/>
          </w:tcPr>
          <w:p w:rsidR="00BC73C5" w:rsidRDefault="00BC73C5" w:rsidP="004A4E41">
            <w:pPr>
              <w:pStyle w:val="libFootnote0"/>
              <w:rPr>
                <w:rtl/>
              </w:rPr>
            </w:pPr>
            <w:r>
              <w:rPr>
                <w:rtl/>
              </w:rPr>
              <w:t>(15)</w:t>
            </w:r>
            <w:r w:rsidR="003E2C16">
              <w:rPr>
                <w:rtl/>
              </w:rPr>
              <w:t xml:space="preserve"> في«بر،بس»والوافي والوسائل والبحار: «وذهب</w:t>
            </w:r>
            <w:r w:rsidRPr="00C9040A">
              <w:rPr>
                <w:rtl/>
              </w:rPr>
              <w:t>»</w:t>
            </w:r>
            <w:r>
              <w:rPr>
                <w:rtl/>
              </w:rPr>
              <w:t>.</w:t>
            </w:r>
          </w:p>
        </w:tc>
      </w:tr>
    </w:tbl>
    <w:p w:rsidR="008A74EB" w:rsidRPr="00C9040A" w:rsidRDefault="008A74EB" w:rsidP="004A4E41">
      <w:pPr>
        <w:pStyle w:val="libFootnote0"/>
        <w:rPr>
          <w:rtl/>
          <w:lang w:bidi="fa-IR"/>
        </w:rPr>
      </w:pPr>
      <w:r>
        <w:rPr>
          <w:rtl/>
        </w:rPr>
        <w:t>(16)</w:t>
      </w:r>
      <w:r w:rsidRPr="00C9040A">
        <w:rPr>
          <w:rtl/>
        </w:rPr>
        <w:t xml:space="preserve"> في « ب ، د ، ز ، ص ، ض ، بر ، بس ، بف » والوافي والوسائل والبحار</w:t>
      </w:r>
      <w:r w:rsidR="003E2C16">
        <w:rPr>
          <w:rtl/>
        </w:rPr>
        <w:t xml:space="preserve"> والكافي ،ح 15412: «بأموالهم</w:t>
      </w:r>
      <w:r w:rsidRPr="00C9040A">
        <w:rPr>
          <w:rtl/>
        </w:rPr>
        <w:t>»</w:t>
      </w:r>
      <w:r>
        <w:rPr>
          <w:rtl/>
        </w:rPr>
        <w:t>.</w:t>
      </w:r>
    </w:p>
    <w:p w:rsidR="008A74EB" w:rsidRPr="00C9040A" w:rsidRDefault="008A74EB" w:rsidP="004A4E41">
      <w:pPr>
        <w:pStyle w:val="libFootnote0"/>
        <w:rPr>
          <w:rtl/>
          <w:lang w:bidi="fa-IR"/>
        </w:rPr>
      </w:pPr>
      <w:r>
        <w:rPr>
          <w:rtl/>
        </w:rPr>
        <w:t>(17)</w:t>
      </w:r>
      <w:r w:rsidRPr="00C9040A">
        <w:rPr>
          <w:rtl/>
        </w:rPr>
        <w:t xml:space="preserve"> في البحار : « جنّتيهم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714B92">
        <w:rPr>
          <w:rtl/>
        </w:rPr>
        <w:t>خَمْطٍ</w:t>
      </w:r>
      <w:r w:rsidRPr="00C9040A">
        <w:rPr>
          <w:rtl/>
          <w:lang w:bidi="fa-IR"/>
        </w:rPr>
        <w:t xml:space="preserve"> </w:t>
      </w:r>
      <w:r w:rsidR="006C577F" w:rsidRPr="006C577F">
        <w:rPr>
          <w:rStyle w:val="libFootnotenumChar"/>
          <w:rtl/>
        </w:rPr>
        <w:t>(1)</w:t>
      </w:r>
      <w:r w:rsidRPr="00C9040A">
        <w:rPr>
          <w:rtl/>
          <w:lang w:bidi="fa-IR"/>
        </w:rPr>
        <w:t xml:space="preserve"> وَأَثْلٍ </w:t>
      </w:r>
      <w:r w:rsidR="006C577F" w:rsidRPr="006C577F">
        <w:rPr>
          <w:rStyle w:val="libFootnotenumChar"/>
          <w:rtl/>
        </w:rPr>
        <w:t>(2)</w:t>
      </w:r>
      <w:r w:rsidRPr="00C9040A">
        <w:rPr>
          <w:rtl/>
          <w:lang w:bidi="fa-IR"/>
        </w:rPr>
        <w:t xml:space="preserve"> ، وَشَيْ‌ءٍ مِنْ سِدْرٍ قَلِيلٍ ، ثُمَّ قَالَ </w:t>
      </w:r>
      <w:r w:rsidR="006C577F" w:rsidRPr="006C577F">
        <w:rPr>
          <w:rStyle w:val="libFootnotenumChar"/>
          <w:rtl/>
        </w:rPr>
        <w:t>(3)</w:t>
      </w:r>
      <w:r w:rsidRPr="00C9040A">
        <w:rPr>
          <w:rtl/>
          <w:lang w:bidi="fa-IR"/>
        </w:rPr>
        <w:t xml:space="preserve"> : </w:t>
      </w:r>
      <w:r w:rsidRPr="0003660B">
        <w:rPr>
          <w:rStyle w:val="libAlaemChar"/>
          <w:rtl/>
        </w:rPr>
        <w:t>(</w:t>
      </w:r>
      <w:r w:rsidRPr="006A2246">
        <w:rPr>
          <w:rStyle w:val="libAieChar"/>
          <w:rtl/>
        </w:rPr>
        <w:t xml:space="preserve"> ذلِكَ جَزَيْناهُمْ بِما كَفَرُوا وَهَلْ نُج</w:t>
      </w:r>
      <w:r w:rsidR="003E2C16">
        <w:rPr>
          <w:rStyle w:val="libAieChar"/>
          <w:rtl/>
        </w:rPr>
        <w:t>ازِي إِل</w:t>
      </w:r>
      <w:r w:rsidR="003E2C16">
        <w:rPr>
          <w:rStyle w:val="libAieChar"/>
          <w:rFonts w:hint="cs"/>
          <w:rtl/>
        </w:rPr>
        <w:t>َّ</w:t>
      </w:r>
      <w:r w:rsidR="003E2C16">
        <w:rPr>
          <w:rStyle w:val="libAieChar"/>
          <w:rtl/>
        </w:rPr>
        <w:t>ا</w:t>
      </w:r>
      <w:r w:rsidRPr="006A2246">
        <w:rPr>
          <w:rStyle w:val="libAieChar"/>
          <w:rtl/>
        </w:rPr>
        <w:t xml:space="preserve"> الْكَفُورَ </w:t>
      </w:r>
      <w:r w:rsidRPr="0003660B">
        <w:rPr>
          <w:rStyle w:val="libAlaemChar"/>
          <w:rtl/>
        </w:rPr>
        <w:t>)</w:t>
      </w:r>
      <w:r w:rsidRPr="00C9040A">
        <w:rPr>
          <w:rtl/>
          <w:lang w:bidi="fa-IR"/>
        </w:rPr>
        <w:t xml:space="preserve"> </w:t>
      </w:r>
      <w:r w:rsidR="006C577F" w:rsidRPr="006C577F">
        <w:rPr>
          <w:rStyle w:val="libFootnotenumChar"/>
          <w:rtl/>
        </w:rPr>
        <w:t>(4)</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714B92">
        <w:rPr>
          <w:rtl/>
        </w:rPr>
        <w:t>2434</w:t>
      </w:r>
      <w:r w:rsidRPr="00261CB0">
        <w:rPr>
          <w:rStyle w:val="libBold2Char"/>
          <w:rtl/>
        </w:rPr>
        <w:t xml:space="preserve"> / 24.</w:t>
      </w:r>
      <w:r w:rsidRPr="00C9040A">
        <w:rPr>
          <w:rtl/>
          <w:lang w:bidi="fa-IR"/>
        </w:rPr>
        <w:t xml:space="preserve"> مُحَمَّدُ بْنُ يَحْيى ، عَنْ أَحْمَدَ بْنِ مُحَمَّدٍ ، عَنْ مُحَمَّدِ بْنِ سِنَانٍ ، عَنْ سَمَاعَةَ </w:t>
      </w:r>
      <w:r w:rsidR="006C577F" w:rsidRPr="006C577F">
        <w:rPr>
          <w:rStyle w:val="libFootnotenumChar"/>
          <w:rtl/>
        </w:rPr>
        <w:t>(6)</w:t>
      </w:r>
      <w:r w:rsidR="003E2C16">
        <w:rPr>
          <w:rtl/>
          <w:lang w:bidi="fa-IR"/>
        </w:rPr>
        <w:t>،قَالَ</w:t>
      </w:r>
      <w:r w:rsidRPr="00C9040A">
        <w:rPr>
          <w:rtl/>
          <w:lang w:bidi="fa-IR"/>
        </w:rPr>
        <w:t>:</w:t>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 « مَا أَنْعَمَ اللهُ عَلى عَبْدٍ نِعْمَةً فَسَلَبَهَا </w:t>
      </w:r>
      <w:r w:rsidR="006C577F" w:rsidRPr="006C577F">
        <w:rPr>
          <w:rStyle w:val="libFootnotenumChar"/>
          <w:rtl/>
        </w:rPr>
        <w:t>(7)</w:t>
      </w:r>
      <w:r w:rsidRPr="00C9040A">
        <w:rPr>
          <w:rtl/>
          <w:lang w:bidi="fa-IR"/>
        </w:rPr>
        <w:t xml:space="preserve"> إِيَّاهُ ، حَتّى يُذْنِبَ ذَنْباً يَسْتَحِقُّ بِذلِكَ السَّلْبَ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3E2C16" w:rsidRDefault="008A74EB" w:rsidP="003E2C16">
      <w:pPr>
        <w:pStyle w:val="libNormal"/>
        <w:rPr>
          <w:rtl/>
          <w:lang w:bidi="fa-IR"/>
        </w:rPr>
      </w:pPr>
      <w:r w:rsidRPr="00714B92">
        <w:rPr>
          <w:rtl/>
        </w:rPr>
        <w:t>2435</w:t>
      </w:r>
      <w:r w:rsidRPr="00261CB0">
        <w:rPr>
          <w:rStyle w:val="libBold2Char"/>
          <w:rtl/>
        </w:rPr>
        <w:t xml:space="preserve"> / 25.</w:t>
      </w:r>
      <w:r w:rsidRPr="00C9040A">
        <w:rPr>
          <w:rtl/>
          <w:lang w:bidi="fa-IR"/>
        </w:rPr>
        <w:t xml:space="preserve"> مُحَمَّدُ بْنُ يَحْيى ، عَنْ أَحْمَدَ بْنِ مُحَمَّدٍ ؛</w:t>
      </w:r>
    </w:p>
    <w:p w:rsidR="008A74EB" w:rsidRPr="00C9040A" w:rsidRDefault="008A74EB" w:rsidP="003E2C16">
      <w:pPr>
        <w:pStyle w:val="libNormal"/>
        <w:rPr>
          <w:rtl/>
          <w:lang w:bidi="fa-IR"/>
        </w:rPr>
      </w:pPr>
      <w:r w:rsidRPr="00C9040A">
        <w:rPr>
          <w:rtl/>
          <w:lang w:bidi="fa-IR"/>
        </w:rPr>
        <w:t>وَعَلِيُّ بْنُ إِبْرَاهِيمَ ، عَنْ أَبِيهِ جَمِيعاً ، عَنِ ابْنِ مَحْبُوبٍ ، عَنِ الْهَيْثَمِ بْنِ وَاقِدٍ الْجَزَرِيِّ ، قَالَ :</w:t>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 « إِنَّ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بَعَثَ نَبِيّاً مِنْ أَنْبِيَائِهِ </w:t>
      </w:r>
      <w:r w:rsidR="006C577F" w:rsidRPr="006C577F">
        <w:rPr>
          <w:rStyle w:val="libFootnotenumChar"/>
          <w:rtl/>
        </w:rPr>
        <w:t>(9)</w:t>
      </w:r>
      <w:r w:rsidRPr="00C9040A">
        <w:rPr>
          <w:rtl/>
          <w:lang w:bidi="fa-IR"/>
        </w:rPr>
        <w:t xml:space="preserve"> إِلى‌</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خَمْط » : ضرب من الأراك يُؤكل. ترتيب كتاب العين ، ج 1 ، ص 528 ( خمط )</w:t>
      </w:r>
      <w:r w:rsidR="008A74EB">
        <w:rPr>
          <w:rtl/>
        </w:rPr>
        <w:t>.</w:t>
      </w:r>
    </w:p>
    <w:p w:rsidR="008A74EB" w:rsidRPr="00C9040A" w:rsidRDefault="006C577F" w:rsidP="001119EE">
      <w:pPr>
        <w:pStyle w:val="libFootnote0"/>
        <w:rPr>
          <w:rtl/>
          <w:lang w:bidi="fa-IR"/>
        </w:rPr>
      </w:pPr>
      <w:r>
        <w:rPr>
          <w:rtl/>
        </w:rPr>
        <w:t>(2).</w:t>
      </w:r>
      <w:r w:rsidR="008A74EB">
        <w:rPr>
          <w:rtl/>
        </w:rPr>
        <w:t xml:space="preserve"> </w:t>
      </w:r>
      <w:r w:rsidR="008A74EB" w:rsidRPr="00C9040A">
        <w:rPr>
          <w:rtl/>
        </w:rPr>
        <w:t xml:space="preserve">« الأثل » : شجر يشبه الطَّرفاء ، إلاّ أنّه أعظم منها وأجود منها عوداً. تصنع منه الأقداح الصُّفر الجياد. </w:t>
      </w:r>
      <w:r w:rsidR="008A74EB" w:rsidRPr="00993B55">
        <w:rPr>
          <w:rStyle w:val="libFootnoteBoldChar"/>
          <w:rtl/>
        </w:rPr>
        <w:t>ترتيب كتاب العين</w:t>
      </w:r>
      <w:r w:rsidR="008A74EB" w:rsidRPr="00C9040A">
        <w:rPr>
          <w:rtl/>
        </w:rPr>
        <w:t xml:space="preserve"> ، ج 1 ، ص 66</w:t>
      </w:r>
      <w:r w:rsidR="008A74EB">
        <w:rPr>
          <w:rtl/>
        </w:rPr>
        <w:t xml:space="preserve"> </w:t>
      </w:r>
      <w:r w:rsidR="0084262C">
        <w:rPr>
          <w:rtl/>
        </w:rPr>
        <w:t>-</w:t>
      </w:r>
      <w:r w:rsidR="008A74EB">
        <w:rPr>
          <w:rtl/>
        </w:rPr>
        <w:t xml:space="preserve"> </w:t>
      </w:r>
      <w:r w:rsidR="008A74EB" w:rsidRPr="00C9040A">
        <w:rPr>
          <w:rtl/>
        </w:rPr>
        <w:t>67.</w:t>
      </w:r>
      <w:r w:rsidR="001119EE">
        <w:rPr>
          <w:rFonts w:hint="cs"/>
          <w:rtl/>
        </w:rPr>
        <w:t xml:space="preserve">                  </w:t>
      </w:r>
      <w:r>
        <w:rPr>
          <w:rtl/>
        </w:rPr>
        <w:t>(3).</w:t>
      </w:r>
      <w:r w:rsidR="008A74EB" w:rsidRPr="00C9040A">
        <w:rPr>
          <w:rtl/>
        </w:rPr>
        <w:t xml:space="preserve"> في الكافي ، ح 15412 : + « الله عزّ وجلّ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سبأ (34) : 17.</w:t>
      </w:r>
    </w:p>
    <w:p w:rsidR="008A74EB" w:rsidRPr="00C9040A" w:rsidRDefault="006C577F" w:rsidP="001119EE">
      <w:pPr>
        <w:pStyle w:val="libFootnote0"/>
        <w:rPr>
          <w:rtl/>
          <w:lang w:bidi="fa-IR"/>
        </w:rPr>
      </w:pPr>
      <w:r>
        <w:rPr>
          <w:rtl/>
        </w:rPr>
        <w:t>(5).</w:t>
      </w:r>
      <w:r w:rsidR="008A74EB" w:rsidRPr="00C9040A">
        <w:rPr>
          <w:rtl/>
        </w:rPr>
        <w:t xml:space="preserve"> </w:t>
      </w:r>
      <w:r w:rsidR="008A74EB" w:rsidRPr="00993B55">
        <w:rPr>
          <w:rStyle w:val="libFootnoteBoldChar"/>
          <w:rtl/>
        </w:rPr>
        <w:t>الكافي</w:t>
      </w:r>
      <w:r w:rsidR="008A74EB" w:rsidRPr="00C9040A">
        <w:rPr>
          <w:rtl/>
        </w:rPr>
        <w:t xml:space="preserve"> ، كتاب الروضة ، ح 15412 ، عن محمّد ، عن أحمد بن محمّد ، عن ابن محبوب ، عن جميل بن صالح ، عن سدير ، قال : سأل رجل أباجعفر </w:t>
      </w:r>
      <w:r w:rsidR="00117575" w:rsidRPr="00117575">
        <w:rPr>
          <w:rStyle w:val="libFootnoteAlaemChar"/>
          <w:rtl/>
        </w:rPr>
        <w:t>عليه‌السلام</w:t>
      </w:r>
      <w:r w:rsidR="001119EE">
        <w:rPr>
          <w:rFonts w:hint="cs"/>
          <w:rtl/>
        </w:rPr>
        <w:t>.</w:t>
      </w:r>
      <w:r w:rsidR="008A74EB" w:rsidRPr="00993B55">
        <w:rPr>
          <w:rStyle w:val="libFootnoteBoldChar"/>
          <w:rtl/>
        </w:rPr>
        <w:t>الوافي</w:t>
      </w:r>
      <w:r w:rsidR="008A74EB" w:rsidRPr="00C9040A">
        <w:rPr>
          <w:rtl/>
        </w:rPr>
        <w:t xml:space="preserve"> ، ج 5 ، ص 1005 ، ح 3482 ؛ </w:t>
      </w:r>
      <w:r w:rsidR="008A74EB" w:rsidRPr="00993B55">
        <w:rPr>
          <w:rStyle w:val="libFootnoteBoldChar"/>
          <w:rtl/>
        </w:rPr>
        <w:t>الوسائل</w:t>
      </w:r>
      <w:r w:rsidR="008A74EB" w:rsidRPr="00C9040A">
        <w:rPr>
          <w:rtl/>
        </w:rPr>
        <w:t xml:space="preserve"> ، ج 15 ، ص 314 ، ح 20617 ؛ </w:t>
      </w:r>
      <w:r w:rsidR="008A74EB" w:rsidRPr="00993B55">
        <w:rPr>
          <w:rStyle w:val="libFootnoteBoldChar"/>
          <w:rtl/>
        </w:rPr>
        <w:t>البحار</w:t>
      </w:r>
      <w:r w:rsidR="008A74EB" w:rsidRPr="00C9040A">
        <w:rPr>
          <w:rtl/>
        </w:rPr>
        <w:t xml:space="preserve"> ، ج 73 ، ص 334 ، ح 20.</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روى محمّد بن سنان عن سماعة بن مهران في </w:t>
      </w:r>
      <w:r w:rsidR="008A74EB" w:rsidRPr="00993B55">
        <w:rPr>
          <w:rStyle w:val="libFootnoteBoldChar"/>
          <w:rtl/>
        </w:rPr>
        <w:t xml:space="preserve">تأويل الآيات </w:t>
      </w:r>
      <w:r w:rsidR="008A74EB" w:rsidRPr="00C9040A">
        <w:rPr>
          <w:rtl/>
        </w:rPr>
        <w:t xml:space="preserve">، ص 463 ، وص 654 ، وص 733 ، والطريق في‌المواضع الثلاثة واحد ؛ روى محمّد بن العبّاس ، عن محمّد بن أحمد [ بن ثابت ] ، عن القاسم بن إسماعيل ، عن محمّد بن سنان ، عن سماعة بن مهران ، عن جابر بن يزيد ، عن أبى جعفر </w:t>
      </w:r>
      <w:r w:rsidR="00117575" w:rsidRPr="00117575">
        <w:rPr>
          <w:rStyle w:val="libFootnoteAlaemChar"/>
          <w:rtl/>
        </w:rPr>
        <w:t xml:space="preserve">عليه‌السلام </w:t>
      </w:r>
      <w:r w:rsidR="008A74EB" w:rsidRPr="00C9040A">
        <w:rPr>
          <w:rtl/>
        </w:rPr>
        <w:t xml:space="preserve">. والمعهود في غير هذا الطريق رواية محمّد بن سنان ، عن سماعة [ بن مهران ] بالتوسّط والواسطة في الأغلب هو عمّار بن مروان ، فعليه ، احتمال سقوط الواسطه في ما نحن فيه غير منفي. راجع : </w:t>
      </w:r>
      <w:r w:rsidR="008A74EB" w:rsidRPr="00993B55">
        <w:rPr>
          <w:rStyle w:val="libFootnoteBoldChar"/>
          <w:rtl/>
        </w:rPr>
        <w:t>معجم رجال الحديث</w:t>
      </w:r>
      <w:r w:rsidR="008A74EB" w:rsidRPr="00C9040A">
        <w:rPr>
          <w:rtl/>
        </w:rPr>
        <w:t xml:space="preserve"> ، ج 12 ، ص 372</w:t>
      </w:r>
      <w:r w:rsidR="008A74EB">
        <w:rPr>
          <w:rtl/>
        </w:rPr>
        <w:t xml:space="preserve"> </w:t>
      </w:r>
      <w:r w:rsidR="0084262C">
        <w:rPr>
          <w:rtl/>
        </w:rPr>
        <w:t>-</w:t>
      </w:r>
      <w:r w:rsidR="008A74EB">
        <w:rPr>
          <w:rtl/>
        </w:rPr>
        <w:t xml:space="preserve"> </w:t>
      </w:r>
      <w:r w:rsidR="008A74EB" w:rsidRPr="00C9040A">
        <w:rPr>
          <w:rtl/>
        </w:rPr>
        <w:t>373.</w:t>
      </w:r>
    </w:p>
    <w:p w:rsidR="008A74EB" w:rsidRPr="00C9040A" w:rsidRDefault="006C577F" w:rsidP="004A4E41">
      <w:pPr>
        <w:pStyle w:val="libFootnote0"/>
        <w:rPr>
          <w:rtl/>
          <w:lang w:bidi="fa-IR"/>
        </w:rPr>
      </w:pPr>
      <w:r>
        <w:rPr>
          <w:rtl/>
        </w:rPr>
        <w:t>(7).</w:t>
      </w:r>
      <w:r w:rsidR="008A74EB" w:rsidRPr="00C9040A">
        <w:rPr>
          <w:rtl/>
        </w:rPr>
        <w:t xml:space="preserve"> في حاشية « ج » : « فيسلبها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w:t>
      </w:r>
      <w:r w:rsidR="008A74EB" w:rsidRPr="00993B55">
        <w:rPr>
          <w:rStyle w:val="libFootnoteBoldChar"/>
          <w:rtl/>
        </w:rPr>
        <w:t>الوافي</w:t>
      </w:r>
      <w:r w:rsidR="008A74EB" w:rsidRPr="00C9040A">
        <w:rPr>
          <w:rtl/>
        </w:rPr>
        <w:t xml:space="preserve"> ، ج 5 ، ص 1006 ، ح 3483 ؛ </w:t>
      </w:r>
      <w:r w:rsidR="008A74EB" w:rsidRPr="00993B55">
        <w:rPr>
          <w:rStyle w:val="libFootnoteBoldChar"/>
          <w:rtl/>
        </w:rPr>
        <w:t>الوسائل</w:t>
      </w:r>
      <w:r w:rsidR="008A74EB" w:rsidRPr="00C9040A">
        <w:rPr>
          <w:rtl/>
        </w:rPr>
        <w:t xml:space="preserve"> ، ج 15 ، ص 304 ، ح 20582 ؛ </w:t>
      </w:r>
      <w:r w:rsidR="008A74EB" w:rsidRPr="00993B55">
        <w:rPr>
          <w:rStyle w:val="libFootnoteBoldChar"/>
          <w:rtl/>
        </w:rPr>
        <w:t>البحار</w:t>
      </w:r>
      <w:r w:rsidR="008A74EB" w:rsidRPr="00C9040A">
        <w:rPr>
          <w:rtl/>
        </w:rPr>
        <w:t xml:space="preserve"> ، ج 73 ، ص 339 ، ح 21.</w:t>
      </w:r>
    </w:p>
    <w:p w:rsidR="008A74EB" w:rsidRPr="00C9040A" w:rsidRDefault="006C577F" w:rsidP="004A4E41">
      <w:pPr>
        <w:pStyle w:val="libFootnote0"/>
        <w:rPr>
          <w:rtl/>
          <w:lang w:bidi="fa-IR"/>
        </w:rPr>
      </w:pPr>
      <w:r>
        <w:rPr>
          <w:rtl/>
        </w:rPr>
        <w:t>(9).</w:t>
      </w:r>
      <w:r w:rsidR="008A74EB" w:rsidRPr="00C9040A">
        <w:rPr>
          <w:rtl/>
        </w:rPr>
        <w:t xml:space="preserve"> في المحاسن </w:t>
      </w:r>
      <w:r w:rsidR="008A74EB">
        <w:rPr>
          <w:rtl/>
        </w:rPr>
        <w:t xml:space="preserve">: </w:t>
      </w:r>
      <w:r w:rsidR="0084262C">
        <w:rPr>
          <w:rtl/>
        </w:rPr>
        <w:t>-</w:t>
      </w:r>
      <w:r w:rsidR="008A74EB" w:rsidRPr="00C9040A">
        <w:rPr>
          <w:rtl/>
        </w:rPr>
        <w:t xml:space="preserve"> « من أنبيائه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قَوْمِهِ </w:t>
      </w:r>
      <w:r w:rsidR="006C577F" w:rsidRPr="006C577F">
        <w:rPr>
          <w:rStyle w:val="libFootnotenumChar"/>
          <w:rtl/>
        </w:rPr>
        <w:t>(1)</w:t>
      </w:r>
      <w:r w:rsidRPr="00C9040A">
        <w:rPr>
          <w:rtl/>
          <w:lang w:bidi="fa-IR"/>
        </w:rPr>
        <w:t xml:space="preserve"> ، وَأَوْحى </w:t>
      </w:r>
      <w:r w:rsidR="006C577F" w:rsidRPr="006C577F">
        <w:rPr>
          <w:rStyle w:val="libFootnotenumChar"/>
          <w:rtl/>
        </w:rPr>
        <w:t>(2)</w:t>
      </w:r>
      <w:r w:rsidRPr="00C9040A">
        <w:rPr>
          <w:rtl/>
          <w:lang w:bidi="fa-IR"/>
        </w:rPr>
        <w:t xml:space="preserve"> إِلَيْهِ : أَنْ قُلْ لِقَوْمِكَ : إِنَّهُ لَيْسَ مِنْ أَهْلِ قَرْيَةٍ وَلَا</w:t>
      </w:r>
      <w:r>
        <w:rPr>
          <w:rFonts w:hint="cs"/>
          <w:rtl/>
          <w:lang w:bidi="fa-IR"/>
        </w:rPr>
        <w:t xml:space="preserve"> </w:t>
      </w:r>
      <w:r w:rsidRPr="00C9040A">
        <w:rPr>
          <w:rtl/>
          <w:lang w:bidi="fa-IR"/>
        </w:rPr>
        <w:t xml:space="preserve">أُنَاسٍ </w:t>
      </w:r>
      <w:r w:rsidR="006C577F" w:rsidRPr="006C577F">
        <w:rPr>
          <w:rStyle w:val="libFootnotenumChar"/>
          <w:rtl/>
        </w:rPr>
        <w:t>(3)</w:t>
      </w:r>
      <w:r w:rsidRPr="00C9040A">
        <w:rPr>
          <w:rtl/>
          <w:lang w:bidi="fa-IR"/>
        </w:rPr>
        <w:t xml:space="preserve"> كَانُوا عَلى طَاعَتِي ، فَأَصَابَهُمْ فِيهَا سَرَّاءُ </w:t>
      </w:r>
      <w:r w:rsidR="006C577F" w:rsidRPr="006C577F">
        <w:rPr>
          <w:rStyle w:val="libFootnotenumChar"/>
          <w:rtl/>
        </w:rPr>
        <w:t>(4)</w:t>
      </w:r>
      <w:r w:rsidRPr="00C9040A">
        <w:rPr>
          <w:rtl/>
          <w:lang w:bidi="fa-IR"/>
        </w:rPr>
        <w:t xml:space="preserve"> ، فَتَحَوَّلُوا </w:t>
      </w:r>
      <w:r w:rsidR="006C577F" w:rsidRPr="006C577F">
        <w:rPr>
          <w:rStyle w:val="libFootnotenumChar"/>
          <w:rtl/>
        </w:rPr>
        <w:t>(5)</w:t>
      </w:r>
      <w:r w:rsidRPr="00C9040A">
        <w:rPr>
          <w:rtl/>
          <w:lang w:bidi="fa-IR"/>
        </w:rPr>
        <w:t xml:space="preserve"> عَمَّا أُ</w:t>
      </w:r>
      <w:r w:rsidR="001119EE">
        <w:rPr>
          <w:rtl/>
          <w:lang w:bidi="fa-IR"/>
        </w:rPr>
        <w:t>حِبُّ إِلى مَا أَكْرَهُ ، إِل</w:t>
      </w:r>
      <w:r w:rsidR="001119EE">
        <w:rPr>
          <w:rFonts w:hint="cs"/>
          <w:rtl/>
          <w:lang w:bidi="fa-IR"/>
        </w:rPr>
        <w:t>َّ</w:t>
      </w:r>
      <w:r w:rsidR="001119EE">
        <w:rPr>
          <w:rtl/>
          <w:lang w:bidi="fa-IR"/>
        </w:rPr>
        <w:t>ا</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تَحَوَّلْتُ لَهُمْ عَمَّا يُحِبُّونَ إِلى مَا يَكْرَهُونَ ؛ وَلَيْسَ مِنْ أَهْلِ قَرْيَةٍ وَلَا</w:t>
      </w:r>
      <w:r>
        <w:rPr>
          <w:rFonts w:hint="cs"/>
          <w:rtl/>
          <w:lang w:bidi="fa-IR"/>
        </w:rPr>
        <w:t xml:space="preserve"> </w:t>
      </w:r>
      <w:r w:rsidRPr="00C9040A">
        <w:rPr>
          <w:rtl/>
          <w:lang w:bidi="fa-IR"/>
        </w:rPr>
        <w:t xml:space="preserve">أَهْلِ بَيْتٍ كَانُوا عَلى مَعْصِيَتِي ، فَأَصَابَهُمْ فِيهَا ضَرَّاءُ </w:t>
      </w:r>
      <w:r w:rsidR="006C577F" w:rsidRPr="006C577F">
        <w:rPr>
          <w:rStyle w:val="libFootnotenumChar"/>
          <w:rtl/>
        </w:rPr>
        <w:t>(7)</w:t>
      </w:r>
      <w:r w:rsidRPr="00C9040A">
        <w:rPr>
          <w:rtl/>
          <w:lang w:bidi="fa-IR"/>
        </w:rPr>
        <w:t xml:space="preserve"> ، فَتَحَوَّلُوا عَمَّا أَ</w:t>
      </w:r>
      <w:r w:rsidR="001119EE">
        <w:rPr>
          <w:rtl/>
          <w:lang w:bidi="fa-IR"/>
        </w:rPr>
        <w:t>كْرَهُ إِلى مَا أُحِبُّ ، إِل</w:t>
      </w:r>
      <w:r w:rsidR="001119EE">
        <w:rPr>
          <w:rFonts w:hint="cs"/>
          <w:rtl/>
          <w:lang w:bidi="fa-IR"/>
        </w:rPr>
        <w:t>َّ</w:t>
      </w:r>
      <w:r w:rsidR="001119EE">
        <w:rPr>
          <w:rtl/>
          <w:lang w:bidi="fa-IR"/>
        </w:rPr>
        <w:t>ا</w:t>
      </w:r>
      <w:r w:rsidRPr="00C9040A">
        <w:rPr>
          <w:rtl/>
          <w:lang w:bidi="fa-IR"/>
        </w:rPr>
        <w:t xml:space="preserve"> تَحَوَّلْتُ لَهُمْ </w:t>
      </w:r>
      <w:r w:rsidR="006C577F" w:rsidRPr="006C577F">
        <w:rPr>
          <w:rStyle w:val="libFootnotenumChar"/>
          <w:rtl/>
        </w:rPr>
        <w:t>(8)</w:t>
      </w:r>
      <w:r w:rsidRPr="00C9040A">
        <w:rPr>
          <w:rtl/>
          <w:lang w:bidi="fa-IR"/>
        </w:rPr>
        <w:t xml:space="preserve"> عَمَّا يَكْرَهُونَ إِلى مَا يُحِبُّونَ ، وَقُلْ لَهُمْ : إِنَّ رَحْمَتِي سَبَقَتْ غَضَبِي ؛ فَلَا تَقْنَطُوا </w:t>
      </w:r>
      <w:r w:rsidR="006C577F" w:rsidRPr="006C577F">
        <w:rPr>
          <w:rStyle w:val="libFootnotenumChar"/>
          <w:rtl/>
        </w:rPr>
        <w:t>(9)</w:t>
      </w:r>
      <w:r w:rsidRPr="00C9040A">
        <w:rPr>
          <w:rtl/>
          <w:lang w:bidi="fa-IR"/>
        </w:rPr>
        <w:t xml:space="preserve"> مِنْ رَحْمَتِي ؛ فَإِنَّهُ لَا يَتَعَاظَمُ </w:t>
      </w:r>
      <w:r w:rsidR="006C577F" w:rsidRPr="006C577F">
        <w:rPr>
          <w:rStyle w:val="libFootnotenumChar"/>
          <w:rtl/>
        </w:rPr>
        <w:t>(10)</w:t>
      </w:r>
      <w:r w:rsidRPr="00C9040A">
        <w:rPr>
          <w:rtl/>
          <w:lang w:bidi="fa-IR"/>
        </w:rPr>
        <w:t xml:space="preserve"> عِنْدِي </w:t>
      </w:r>
      <w:r w:rsidR="006C577F" w:rsidRPr="006C577F">
        <w:rPr>
          <w:rStyle w:val="libFootnotenumChar"/>
          <w:rtl/>
        </w:rPr>
        <w:t>(11)</w:t>
      </w:r>
      <w:r w:rsidRPr="00C9040A">
        <w:rPr>
          <w:rtl/>
          <w:lang w:bidi="fa-IR"/>
        </w:rPr>
        <w:t xml:space="preserve"> ذَنْبٌ </w:t>
      </w:r>
      <w:r w:rsidR="006C577F" w:rsidRPr="006C577F">
        <w:rPr>
          <w:rStyle w:val="libFootnotenumChar"/>
          <w:rtl/>
        </w:rPr>
        <w:t>(12)</w:t>
      </w:r>
      <w:r w:rsidRPr="00C9040A">
        <w:rPr>
          <w:rtl/>
          <w:lang w:bidi="fa-IR"/>
        </w:rPr>
        <w:t xml:space="preserve"> أَغْفِرُهُ ؛ وَقُلْ لَهُمْ : لَايَتَعَرَّضُوا مُعَانِدِينَ لِسَخَطِي ، وَلَا يَسْتَخِفُّوا بِأَوْلِيَائِي ؛ فَإِنَّ لِي سَطَوَاتٍ عِنْدَ غَضَبِي لَايَقُومُ لَهَا شَيْ‌ءٌ مِنْ خَلْقِي »</w:t>
      </w:r>
      <w:r>
        <w:rPr>
          <w:rtl/>
          <w:lang w:bidi="fa-IR"/>
        </w:rPr>
        <w:t>.</w:t>
      </w:r>
      <w:r w:rsidRPr="00C9040A">
        <w:rPr>
          <w:rtl/>
          <w:lang w:bidi="fa-IR"/>
        </w:rPr>
        <w:t xml:space="preserve"> </w:t>
      </w:r>
      <w:r w:rsidRPr="005B567D">
        <w:rPr>
          <w:rStyle w:val="libFootnotenumChar"/>
          <w:rtl/>
        </w:rPr>
        <w:t>(13)</w:t>
      </w:r>
      <w:r w:rsidRPr="00C9040A">
        <w:rPr>
          <w:rtl/>
          <w:lang w:bidi="fa-IR"/>
        </w:rPr>
        <w:t xml:space="preserve"> ‌</w:t>
      </w:r>
    </w:p>
    <w:p w:rsidR="008A74EB" w:rsidRPr="00C9040A" w:rsidRDefault="008A74EB" w:rsidP="008A74EB">
      <w:pPr>
        <w:pStyle w:val="libNormal"/>
        <w:rPr>
          <w:rtl/>
          <w:lang w:bidi="fa-IR"/>
        </w:rPr>
      </w:pPr>
      <w:r w:rsidRPr="00714B92">
        <w:rPr>
          <w:rtl/>
        </w:rPr>
        <w:t>2436</w:t>
      </w:r>
      <w:r w:rsidRPr="00261CB0">
        <w:rPr>
          <w:rStyle w:val="libBold2Char"/>
          <w:rtl/>
        </w:rPr>
        <w:t xml:space="preserve"> / 26.</w:t>
      </w:r>
      <w:r w:rsidRPr="00C9040A">
        <w:rPr>
          <w:rtl/>
          <w:lang w:bidi="fa-IR"/>
        </w:rPr>
        <w:t xml:space="preserve"> عَلِيُّ بْنُ إِبْرَاهِيمَ الْهَاشِمِيُّ ، </w:t>
      </w:r>
      <w:r w:rsidRPr="005B567D">
        <w:rPr>
          <w:rStyle w:val="libFootnotenumChar"/>
          <w:rtl/>
        </w:rPr>
        <w:t>(14)</w:t>
      </w:r>
      <w:r w:rsidRPr="00C9040A">
        <w:rPr>
          <w:rtl/>
          <w:lang w:bidi="fa-IR"/>
        </w:rPr>
        <w:t xml:space="preserve"> عَنْ جَدِّهِ مُحَمَّدِ بْنِ الْحَسَنِ بْنِ مُحَمَّدِ بْنِ عُبَيْدِ‌</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1119EE" w:rsidTr="001119EE">
        <w:tc>
          <w:tcPr>
            <w:tcW w:w="4006" w:type="dxa"/>
          </w:tcPr>
          <w:p w:rsidR="001119EE" w:rsidRDefault="001119EE" w:rsidP="004A4E41">
            <w:pPr>
              <w:pStyle w:val="libFootnote0"/>
              <w:rPr>
                <w:rtl/>
              </w:rPr>
            </w:pPr>
            <w:r>
              <w:rPr>
                <w:rtl/>
              </w:rPr>
              <w:t xml:space="preserve">(1). </w:t>
            </w:r>
            <w:r w:rsidRPr="00C9040A">
              <w:rPr>
                <w:rtl/>
              </w:rPr>
              <w:t>في « بف » : « قوم »</w:t>
            </w:r>
            <w:r>
              <w:rPr>
                <w:rtl/>
              </w:rPr>
              <w:t>.</w:t>
            </w:r>
          </w:p>
        </w:tc>
        <w:tc>
          <w:tcPr>
            <w:tcW w:w="4006" w:type="dxa"/>
          </w:tcPr>
          <w:p w:rsidR="001119EE" w:rsidRDefault="001119EE" w:rsidP="004A4E41">
            <w:pPr>
              <w:pStyle w:val="libFootnote0"/>
              <w:rPr>
                <w:rtl/>
              </w:rPr>
            </w:pPr>
            <w:r>
              <w:rPr>
                <w:rtl/>
              </w:rPr>
              <w:t>(2). في «ه» :«فأوحى</w:t>
            </w:r>
            <w:r w:rsidRPr="00C9040A">
              <w:rPr>
                <w:rtl/>
              </w:rPr>
              <w:t>»</w:t>
            </w:r>
            <w:r>
              <w:rPr>
                <w:rtl/>
              </w:rPr>
              <w:t>. وفي المحاسن:«فأوحى الله</w:t>
            </w:r>
            <w:r w:rsidRPr="00C9040A">
              <w:rPr>
                <w:rtl/>
              </w:rPr>
              <w:t>»</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في « ج ، د ، ز ، ص ، ف ، بر ، بس ، بف » والوافي والوسائل والبحار : « ناس »</w:t>
      </w:r>
      <w:r w:rsidR="008A74EB">
        <w:rPr>
          <w:rtl/>
        </w:rPr>
        <w:t>.</w:t>
      </w:r>
      <w:r w:rsidR="008A74EB" w:rsidRPr="00C9040A">
        <w:rPr>
          <w:rtl/>
        </w:rPr>
        <w:t xml:space="preserve"> وفي المحاسن : « أهل‌بيت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w:t>
      </w:r>
      <w:r w:rsidR="006D3162">
        <w:rPr>
          <w:rtl/>
        </w:rPr>
        <w:t xml:space="preserve">ه </w:t>
      </w:r>
      <w:r w:rsidR="008A74EB" w:rsidRPr="00C9040A">
        <w:rPr>
          <w:rtl/>
        </w:rPr>
        <w:t>» : « شرّ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المحاسن : « فيها سوء ، فانتقلوا » بدل « فيها سرّاء ، فتحوّلوا »</w:t>
      </w:r>
      <w:r w:rsidR="008A74EB">
        <w:rPr>
          <w:rtl/>
        </w:rPr>
        <w:t>.</w:t>
      </w:r>
    </w:p>
    <w:tbl>
      <w:tblPr>
        <w:tblStyle w:val="TableGrid"/>
        <w:bidiVisual/>
        <w:tblW w:w="0" w:type="auto"/>
        <w:tblLook w:val="04A0" w:firstRow="1" w:lastRow="0" w:firstColumn="1" w:lastColumn="0" w:noHBand="0" w:noVBand="1"/>
      </w:tblPr>
      <w:tblGrid>
        <w:gridCol w:w="4006"/>
        <w:gridCol w:w="4006"/>
      </w:tblGrid>
      <w:tr w:rsidR="006168BF" w:rsidTr="006168BF">
        <w:tc>
          <w:tcPr>
            <w:tcW w:w="4006" w:type="dxa"/>
          </w:tcPr>
          <w:p w:rsidR="006168BF" w:rsidRDefault="006168BF" w:rsidP="004A4E41">
            <w:pPr>
              <w:pStyle w:val="libFootnote0"/>
              <w:rPr>
                <w:rtl/>
              </w:rPr>
            </w:pPr>
            <w:r>
              <w:rPr>
                <w:rtl/>
              </w:rPr>
              <w:t xml:space="preserve">(6). </w:t>
            </w:r>
            <w:r w:rsidRPr="00C9040A">
              <w:rPr>
                <w:rtl/>
              </w:rPr>
              <w:t>في « ف » : + « ما »</w:t>
            </w:r>
            <w:r>
              <w:rPr>
                <w:rtl/>
              </w:rPr>
              <w:t>.</w:t>
            </w:r>
          </w:p>
        </w:tc>
        <w:tc>
          <w:tcPr>
            <w:tcW w:w="4006" w:type="dxa"/>
          </w:tcPr>
          <w:p w:rsidR="006168BF" w:rsidRDefault="006168BF" w:rsidP="004A4E41">
            <w:pPr>
              <w:pStyle w:val="libFootnote0"/>
              <w:rPr>
                <w:rtl/>
              </w:rPr>
            </w:pPr>
            <w:r>
              <w:rPr>
                <w:rtl/>
              </w:rPr>
              <w:t>(7).</w:t>
            </w:r>
            <w:r w:rsidRPr="00C9040A">
              <w:rPr>
                <w:rtl/>
              </w:rPr>
              <w:t xml:space="preserve"> في « </w:t>
            </w:r>
            <w:r>
              <w:rPr>
                <w:rtl/>
              </w:rPr>
              <w:t xml:space="preserve">ه </w:t>
            </w:r>
            <w:r w:rsidRPr="00C9040A">
              <w:rPr>
                <w:rtl/>
              </w:rPr>
              <w:t>» : « خير »</w:t>
            </w:r>
            <w:r>
              <w:rPr>
                <w:rtl/>
              </w:rPr>
              <w:t>.</w:t>
            </w:r>
          </w:p>
        </w:tc>
      </w:tr>
      <w:tr w:rsidR="006168BF" w:rsidTr="006168BF">
        <w:tc>
          <w:tcPr>
            <w:tcW w:w="4006" w:type="dxa"/>
          </w:tcPr>
          <w:p w:rsidR="006168BF" w:rsidRDefault="006168BF" w:rsidP="004A4E41">
            <w:pPr>
              <w:pStyle w:val="libFootnote0"/>
              <w:rPr>
                <w:rtl/>
              </w:rPr>
            </w:pPr>
            <w:r>
              <w:rPr>
                <w:rtl/>
              </w:rPr>
              <w:t>(8).</w:t>
            </w:r>
            <w:r w:rsidRPr="00C9040A">
              <w:rPr>
                <w:rtl/>
              </w:rPr>
              <w:t xml:space="preserve"> في « د ، بف » </w:t>
            </w:r>
            <w:r>
              <w:rPr>
                <w:rtl/>
              </w:rPr>
              <w:t>: -</w:t>
            </w:r>
            <w:r w:rsidRPr="00C9040A">
              <w:rPr>
                <w:rtl/>
              </w:rPr>
              <w:t xml:space="preserve"> « لهم »</w:t>
            </w:r>
            <w:r>
              <w:rPr>
                <w:rtl/>
              </w:rPr>
              <w:t>.</w:t>
            </w:r>
          </w:p>
        </w:tc>
        <w:tc>
          <w:tcPr>
            <w:tcW w:w="4006" w:type="dxa"/>
          </w:tcPr>
          <w:p w:rsidR="006168BF" w:rsidRDefault="006168BF" w:rsidP="004A4E41">
            <w:pPr>
              <w:pStyle w:val="libFootnote0"/>
              <w:rPr>
                <w:rtl/>
              </w:rPr>
            </w:pPr>
            <w:r>
              <w:rPr>
                <w:rtl/>
              </w:rPr>
              <w:t>(9).</w:t>
            </w:r>
            <w:r w:rsidRPr="00C9040A">
              <w:rPr>
                <w:rtl/>
              </w:rPr>
              <w:t xml:space="preserve"> في « ض ، ف » : « فلا يقنطوا »</w:t>
            </w:r>
            <w:r>
              <w:rPr>
                <w:rtl/>
              </w:rPr>
              <w:t>.</w:t>
            </w:r>
          </w:p>
        </w:tc>
      </w:tr>
      <w:tr w:rsidR="006168BF" w:rsidTr="006168BF">
        <w:tc>
          <w:tcPr>
            <w:tcW w:w="4006" w:type="dxa"/>
          </w:tcPr>
          <w:p w:rsidR="006168BF" w:rsidRDefault="006168BF" w:rsidP="004A4E41">
            <w:pPr>
              <w:pStyle w:val="libFootnote0"/>
              <w:rPr>
                <w:rtl/>
              </w:rPr>
            </w:pPr>
            <w:r>
              <w:rPr>
                <w:rtl/>
              </w:rPr>
              <w:t>(10).</w:t>
            </w:r>
            <w:r w:rsidRPr="00C9040A">
              <w:rPr>
                <w:rtl/>
              </w:rPr>
              <w:t xml:space="preserve"> في « </w:t>
            </w:r>
            <w:r>
              <w:rPr>
                <w:rtl/>
              </w:rPr>
              <w:t xml:space="preserve">ه </w:t>
            </w:r>
            <w:r w:rsidRPr="00C9040A">
              <w:rPr>
                <w:rtl/>
              </w:rPr>
              <w:t>» : « لايتعاظمني »</w:t>
            </w:r>
            <w:r>
              <w:rPr>
                <w:rtl/>
              </w:rPr>
              <w:t>.</w:t>
            </w:r>
          </w:p>
        </w:tc>
        <w:tc>
          <w:tcPr>
            <w:tcW w:w="4006" w:type="dxa"/>
          </w:tcPr>
          <w:p w:rsidR="006168BF" w:rsidRDefault="006168BF" w:rsidP="004A4E41">
            <w:pPr>
              <w:pStyle w:val="libFootnote0"/>
              <w:rPr>
                <w:rtl/>
              </w:rPr>
            </w:pPr>
            <w:r>
              <w:rPr>
                <w:rtl/>
              </w:rPr>
              <w:t>(11).</w:t>
            </w:r>
            <w:r w:rsidRPr="00C9040A">
              <w:rPr>
                <w:rtl/>
              </w:rPr>
              <w:t xml:space="preserve"> في « </w:t>
            </w:r>
            <w:r>
              <w:rPr>
                <w:rtl/>
              </w:rPr>
              <w:t xml:space="preserve">ه </w:t>
            </w:r>
            <w:r w:rsidRPr="00C9040A">
              <w:rPr>
                <w:rtl/>
              </w:rPr>
              <w:t xml:space="preserve">» </w:t>
            </w:r>
            <w:r>
              <w:rPr>
                <w:rtl/>
              </w:rPr>
              <w:t>: -</w:t>
            </w:r>
            <w:r w:rsidRPr="00C9040A">
              <w:rPr>
                <w:rtl/>
              </w:rPr>
              <w:t xml:space="preserve"> « عندي »</w:t>
            </w:r>
            <w:r>
              <w:rPr>
                <w:rtl/>
              </w:rPr>
              <w:t>.</w:t>
            </w:r>
          </w:p>
        </w:tc>
      </w:tr>
    </w:tbl>
    <w:p w:rsidR="008A74EB" w:rsidRPr="00C9040A" w:rsidRDefault="006C577F" w:rsidP="004A4E41">
      <w:pPr>
        <w:pStyle w:val="libFootnote0"/>
        <w:rPr>
          <w:rtl/>
          <w:lang w:bidi="fa-IR"/>
        </w:rPr>
      </w:pPr>
      <w:r>
        <w:rPr>
          <w:rtl/>
        </w:rPr>
        <w:t>(12).</w:t>
      </w:r>
      <w:r w:rsidR="008A74EB" w:rsidRPr="00C9040A">
        <w:rPr>
          <w:rtl/>
        </w:rPr>
        <w:t xml:space="preserve"> في البحار ، ج 73 : + « عبد »</w:t>
      </w:r>
      <w:r w:rsidR="008A74EB">
        <w:rPr>
          <w:rtl/>
        </w:rPr>
        <w:t>.</w:t>
      </w:r>
    </w:p>
    <w:p w:rsidR="008A74EB" w:rsidRPr="00C9040A" w:rsidRDefault="008A74EB" w:rsidP="006168BF">
      <w:pPr>
        <w:pStyle w:val="libFootnote0"/>
        <w:rPr>
          <w:rtl/>
          <w:lang w:bidi="fa-IR"/>
        </w:rPr>
      </w:pPr>
      <w:r>
        <w:rPr>
          <w:rtl/>
        </w:rPr>
        <w:t>(13)</w:t>
      </w:r>
      <w:r w:rsidRPr="00C9040A">
        <w:rPr>
          <w:rtl/>
        </w:rPr>
        <w:t xml:space="preserve"> </w:t>
      </w:r>
      <w:r w:rsidRPr="00993B55">
        <w:rPr>
          <w:rStyle w:val="libFootnoteBoldChar"/>
          <w:rtl/>
        </w:rPr>
        <w:t>المحاسن</w:t>
      </w:r>
      <w:r w:rsidRPr="00C9040A">
        <w:rPr>
          <w:rtl/>
        </w:rPr>
        <w:t xml:space="preserve"> ، ص 117 ، كتاب عقاب الأعمال ، ح 123 ، عن ابن محبوب ، عن الهيثم بن واقد. </w:t>
      </w:r>
      <w:r w:rsidRPr="00993B55">
        <w:rPr>
          <w:rStyle w:val="libFootnoteBoldChar"/>
          <w:rtl/>
        </w:rPr>
        <w:t>ثواب الأعمال</w:t>
      </w:r>
      <w:r w:rsidRPr="00C9040A">
        <w:rPr>
          <w:rtl/>
        </w:rPr>
        <w:t xml:space="preserve"> ، ص 302 ، ح 6 ، بسنده عن أحمد بن محمّد ، عن الحسن بن محبوب ، عن الهيثم بن واقد ، مع اختلاف يسير ، وفيهما إلى قوله : « عمّا تحبّون إلى ما يكرهون »</w:t>
      </w:r>
      <w:r w:rsidR="006168BF">
        <w:rPr>
          <w:rFonts w:hint="cs"/>
          <w:rtl/>
        </w:rPr>
        <w:t>.</w:t>
      </w:r>
      <w:r w:rsidRPr="00993B55">
        <w:rPr>
          <w:rStyle w:val="libFootnoteBoldChar"/>
          <w:rtl/>
        </w:rPr>
        <w:t>الوافي</w:t>
      </w:r>
      <w:r w:rsidRPr="00C9040A">
        <w:rPr>
          <w:rtl/>
        </w:rPr>
        <w:t xml:space="preserve"> ، ج 5 ، ص 1006 ، ح 3484 ؛ </w:t>
      </w:r>
      <w:r w:rsidRPr="00993B55">
        <w:rPr>
          <w:rStyle w:val="libFootnoteBoldChar"/>
          <w:rtl/>
        </w:rPr>
        <w:t>الوسائل</w:t>
      </w:r>
      <w:r w:rsidRPr="00C9040A">
        <w:rPr>
          <w:rtl/>
        </w:rPr>
        <w:t xml:space="preserve"> ، ج 15 ، ص 306 ، ح 20590 ؛ </w:t>
      </w:r>
      <w:r w:rsidRPr="00993B55">
        <w:rPr>
          <w:rStyle w:val="libFootnoteBoldChar"/>
          <w:rtl/>
        </w:rPr>
        <w:t>البحار</w:t>
      </w:r>
      <w:r w:rsidRPr="00C9040A">
        <w:rPr>
          <w:rtl/>
        </w:rPr>
        <w:t xml:space="preserve"> ، ج 14 ، ص 458 ، ح 13 ؛ وج 73 ، ص 339 ، ح 22.</w:t>
      </w:r>
    </w:p>
    <w:p w:rsidR="008A74EB" w:rsidRPr="00C9040A" w:rsidRDefault="008A74EB" w:rsidP="004A4E41">
      <w:pPr>
        <w:pStyle w:val="libFootnote0"/>
        <w:rPr>
          <w:rtl/>
          <w:lang w:bidi="fa-IR"/>
        </w:rPr>
      </w:pPr>
      <w:r>
        <w:rPr>
          <w:rtl/>
        </w:rPr>
        <w:t>(14)</w:t>
      </w:r>
      <w:r w:rsidRPr="00C9040A">
        <w:rPr>
          <w:rtl/>
        </w:rPr>
        <w:t xml:space="preserve"> روى المصنّف عن محمّد بن يحيى ، عن عليّ بن إبراهيم الهاشمي في </w:t>
      </w:r>
      <w:r w:rsidRPr="00993B55">
        <w:rPr>
          <w:rStyle w:val="libFootnoteBoldChar"/>
          <w:rtl/>
        </w:rPr>
        <w:t>الكافي</w:t>
      </w:r>
      <w:r w:rsidRPr="00C9040A">
        <w:rPr>
          <w:rtl/>
        </w:rPr>
        <w:t xml:space="preserve"> ، ح 11946. فربّما يُتَخَيَّلُ اتّحادعليّ بن إبراهيم الهاشمي في ما نحن فيه مع المذكور هناك ، لكن لا دليل على ذلك ، بل القرينة تقوم على خلافه ؛ فإنّ عليّ بن إبراهيم هذا ، هو عليّ بن إبراهيم بن محمّد بن الحسن بن محمّد بن عبيدالله بن الحسين بن عليّ بن الحسين بن عليّ بن أبي طالب الجوّاني. روى كتابه أبوالفرج الإصفهاني المتوفّى سنة 356 ، كما في </w:t>
      </w:r>
      <w:r w:rsidRPr="00993B55">
        <w:rPr>
          <w:rStyle w:val="libFootnoteBoldChar"/>
          <w:rtl/>
        </w:rPr>
        <w:t>رجال النجاشي</w:t>
      </w:r>
      <w:r w:rsidRPr="00C9040A">
        <w:rPr>
          <w:rtl/>
        </w:rPr>
        <w:t xml:space="preserve"> ، ص 262 ، الرقم 687. وقال نجم الدين النسّابة في كتابه المجدي : « لقيه أبوالفرج الإصفهاني </w:t>
      </w:r>
      <w:r w:rsidR="006168BF">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اللهِ </w:t>
      </w:r>
      <w:r w:rsidR="006C577F" w:rsidRPr="006C577F">
        <w:rPr>
          <w:rStyle w:val="libFootnotenumChar"/>
          <w:rtl/>
        </w:rPr>
        <w:t>(1)</w:t>
      </w:r>
      <w:r w:rsidRPr="00C9040A">
        <w:rPr>
          <w:rtl/>
          <w:lang w:bidi="fa-IR"/>
        </w:rPr>
        <w:t xml:space="preserve"> ، عَنْ سُلَيَمانَ الْجَعْفَرِيِّ :</w:t>
      </w:r>
    </w:p>
    <w:p w:rsidR="008A74EB" w:rsidRPr="00C9040A" w:rsidRDefault="008A74EB" w:rsidP="008A74EB">
      <w:pPr>
        <w:pStyle w:val="libNormal"/>
        <w:rPr>
          <w:rtl/>
          <w:lang w:bidi="fa-IR"/>
        </w:rPr>
      </w:pPr>
      <w:r w:rsidRPr="00C9040A">
        <w:rPr>
          <w:rtl/>
          <w:lang w:bidi="fa-IR"/>
        </w:rPr>
        <w:t xml:space="preserve">عَنِ الرِّضَا </w:t>
      </w:r>
      <w:r w:rsidR="006C577F" w:rsidRPr="006C577F">
        <w:rPr>
          <w:rStyle w:val="libFootnotenumChar"/>
          <w:rtl/>
        </w:rPr>
        <w:t>(2)</w:t>
      </w:r>
      <w:r w:rsidRPr="00C9040A">
        <w:rPr>
          <w:rtl/>
          <w:lang w:bidi="fa-IR"/>
        </w:rPr>
        <w:t xml:space="preserve"> </w:t>
      </w:r>
      <w:r w:rsidRPr="0003660B">
        <w:rPr>
          <w:rStyle w:val="libAlaemChar"/>
          <w:rtl/>
        </w:rPr>
        <w:t>عليه‌السلام</w:t>
      </w:r>
      <w:r w:rsidRPr="00C9040A">
        <w:rPr>
          <w:rtl/>
          <w:lang w:bidi="fa-IR"/>
        </w:rPr>
        <w:t xml:space="preserve"> ، قَالَ : « أَوْحَى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إِلى نَبِيٍّ مِنَ الْأَنْبِيَاءِ : إِذَا أُطِعْتُ رَضِيتُ ، وَإِذَا رَضِيتُ بَارَكْتُ ، وَلَيْسَ لِبَرَكَتِي نِهَايَةٌ ، وَإِذَا عُصِيتُ غَضِبْتُ ، وَإِذَا غَضِبْتُ لَعَنْتُ ؛ وَلَعْنَتِي تَبْلُغُ السَّابِعَ مِنَ الْوَرَاءِ </w:t>
      </w:r>
      <w:r w:rsidR="006C577F" w:rsidRPr="006C577F">
        <w:rPr>
          <w:rStyle w:val="libFootnotenumChar"/>
          <w:rtl/>
        </w:rPr>
        <w:t>(3)</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013684">
        <w:rPr>
          <w:rtl/>
        </w:rPr>
        <w:t>2437</w:t>
      </w:r>
      <w:r w:rsidRPr="00261CB0">
        <w:rPr>
          <w:rStyle w:val="libBold2Char"/>
          <w:rtl/>
        </w:rPr>
        <w:t xml:space="preserve"> / 27.</w:t>
      </w:r>
      <w:r w:rsidRPr="00C9040A">
        <w:rPr>
          <w:rtl/>
          <w:lang w:bidi="fa-IR"/>
        </w:rPr>
        <w:t xml:space="preserve"> مُحَمَّدُ بْنُ يَحْيى ، عَنْ عَلِيِّ بْنِ الْحَسَنِ بْنِ عَلِيٍّ ، عَنْ مُحَمَّدِ بْنِ الْوَلِيدِ ، عَنْ يُونُسَ بْنِ يَعْقُوبَ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أَنَّهُ </w:t>
      </w:r>
      <w:r w:rsidR="006C577F" w:rsidRPr="006C577F">
        <w:rPr>
          <w:rStyle w:val="libFootnotenumChar"/>
          <w:rtl/>
        </w:rPr>
        <w:t>(5)</w:t>
      </w:r>
      <w:r w:rsidRPr="00C9040A">
        <w:rPr>
          <w:rtl/>
          <w:lang w:bidi="fa-IR"/>
        </w:rPr>
        <w:t xml:space="preserve"> قَالَ : « إِنَّ أَحَدَكُمْ لَيَكْثُرُ‌</w:t>
      </w:r>
      <w:r w:rsidR="006168BF">
        <w:rPr>
          <w:rFonts w:hint="cs"/>
          <w:rtl/>
          <w:lang w:bidi="fa-IR"/>
        </w:rPr>
        <w:t>.......................</w:t>
      </w:r>
      <w:r w:rsidR="006168BF">
        <w:rPr>
          <w:rFonts w:hint="cs"/>
          <w:rtl/>
          <w:lang w:bidi="fa-IR"/>
        </w:rPr>
        <w:tab/>
      </w:r>
    </w:p>
    <w:p w:rsidR="008A74EB" w:rsidRPr="00C9040A" w:rsidRDefault="008A74EB" w:rsidP="008A74EB">
      <w:pPr>
        <w:pStyle w:val="libLine"/>
        <w:rPr>
          <w:rtl/>
          <w:lang w:bidi="fa-IR"/>
        </w:rPr>
      </w:pPr>
      <w:r w:rsidRPr="00C9040A">
        <w:rPr>
          <w:rtl/>
          <w:lang w:bidi="fa-IR"/>
        </w:rPr>
        <w:t>__________________</w:t>
      </w:r>
    </w:p>
    <w:p w:rsidR="008A74EB" w:rsidRPr="00C9040A" w:rsidRDefault="006168BF" w:rsidP="004A4E41">
      <w:pPr>
        <w:pStyle w:val="libFootnote0"/>
        <w:rPr>
          <w:rtl/>
          <w:lang w:bidi="fa-IR"/>
        </w:rPr>
      </w:pPr>
      <w:r>
        <w:rPr>
          <w:rFonts w:hint="cs"/>
          <w:rtl/>
        </w:rPr>
        <w:t xml:space="preserve">= </w:t>
      </w:r>
      <w:r w:rsidR="008A74EB" w:rsidRPr="00C9040A">
        <w:rPr>
          <w:rtl/>
        </w:rPr>
        <w:t>صاحب كتاب الأغاني »</w:t>
      </w:r>
      <w:r w:rsidR="008A74EB">
        <w:rPr>
          <w:rtl/>
        </w:rPr>
        <w:t>.</w:t>
      </w:r>
      <w:r w:rsidR="008A74EB" w:rsidRPr="00C9040A">
        <w:rPr>
          <w:rtl/>
        </w:rPr>
        <w:t xml:space="preserve"> لاحظ أيضاً : </w:t>
      </w:r>
      <w:r w:rsidR="008A74EB" w:rsidRPr="00993B55">
        <w:rPr>
          <w:rStyle w:val="libFootnoteBoldChar"/>
          <w:rtl/>
        </w:rPr>
        <w:t>تهذيب الأنساب</w:t>
      </w:r>
      <w:r w:rsidR="008A74EB" w:rsidRPr="00C9040A">
        <w:rPr>
          <w:rtl/>
        </w:rPr>
        <w:t xml:space="preserve"> ، ص 229.</w:t>
      </w:r>
    </w:p>
    <w:p w:rsidR="008A74EB" w:rsidRPr="00C9040A" w:rsidRDefault="008A74EB" w:rsidP="004A4E41">
      <w:pPr>
        <w:pStyle w:val="libFootnote0"/>
        <w:rPr>
          <w:rtl/>
          <w:lang w:bidi="fa-IR"/>
        </w:rPr>
      </w:pPr>
      <w:r w:rsidRPr="00323A39">
        <w:rPr>
          <w:rtl/>
        </w:rPr>
        <w:t xml:space="preserve">فعليه عليّ بن إبراهيم هذا ، هو عليّ بن إبراهيم الجوّاني. وقد روى الشيخ الصدوق في </w:t>
      </w:r>
      <w:r w:rsidRPr="00993B55">
        <w:rPr>
          <w:rStyle w:val="libFootnoteBoldChar"/>
          <w:rtl/>
        </w:rPr>
        <w:t>عيون الأخبار</w:t>
      </w:r>
      <w:r w:rsidRPr="00323A39">
        <w:rPr>
          <w:rtl/>
        </w:rPr>
        <w:t xml:space="preserve"> ، ج 2 ، ص 174 ، ح 1 ، مسنداً عن محمّد بن يعقوب الكليني ، عن عليّ بن إبراهيم العلوي الجوّاني.</w:t>
      </w:r>
    </w:p>
    <w:p w:rsidR="008A74EB" w:rsidRDefault="008A74EB" w:rsidP="004A4E41">
      <w:pPr>
        <w:pStyle w:val="libFootnote0"/>
        <w:rPr>
          <w:rtl/>
        </w:rPr>
      </w:pPr>
      <w:r w:rsidRPr="00323A39">
        <w:rPr>
          <w:rtl/>
        </w:rPr>
        <w:t xml:space="preserve">ثمّ إنّه لايبعد اتّحاد عليّ بن إبراهيم الهاشمي المذكور في </w:t>
      </w:r>
      <w:r w:rsidRPr="00993B55">
        <w:rPr>
          <w:rStyle w:val="libFootnoteBoldChar"/>
          <w:rtl/>
        </w:rPr>
        <w:t>الكافي</w:t>
      </w:r>
      <w:r w:rsidRPr="00323A39">
        <w:rPr>
          <w:rtl/>
        </w:rPr>
        <w:t xml:space="preserve"> ، ح 11946 مع عليّ بن إبراهيم الجعفري الذي روى عنه محمّد بن يحيى في بعض الأسناد. راجع : </w:t>
      </w:r>
      <w:r w:rsidRPr="00993B55">
        <w:rPr>
          <w:rStyle w:val="libFootnoteBoldChar"/>
          <w:rtl/>
        </w:rPr>
        <w:t>معجم رجال الحديث</w:t>
      </w:r>
      <w:r w:rsidRPr="00323A39">
        <w:rPr>
          <w:rtl/>
        </w:rPr>
        <w:t xml:space="preserve"> ، ج 18 ، ص 373.</w:t>
      </w:r>
    </w:p>
    <w:tbl>
      <w:tblPr>
        <w:tblStyle w:val="TableGrid"/>
        <w:bidiVisual/>
        <w:tblW w:w="0" w:type="auto"/>
        <w:tblLook w:val="04A0" w:firstRow="1" w:lastRow="0" w:firstColumn="1" w:lastColumn="0" w:noHBand="0" w:noVBand="1"/>
      </w:tblPr>
      <w:tblGrid>
        <w:gridCol w:w="4006"/>
        <w:gridCol w:w="4006"/>
      </w:tblGrid>
      <w:tr w:rsidR="004C57A5" w:rsidTr="004C57A5">
        <w:tc>
          <w:tcPr>
            <w:tcW w:w="4006" w:type="dxa"/>
          </w:tcPr>
          <w:p w:rsidR="004C57A5" w:rsidRDefault="004C57A5" w:rsidP="004A4E41">
            <w:pPr>
              <w:pStyle w:val="libFootnote0"/>
              <w:rPr>
                <w:rtl/>
              </w:rPr>
            </w:pPr>
            <w:r>
              <w:rPr>
                <w:rtl/>
              </w:rPr>
              <w:t xml:space="preserve">(1). </w:t>
            </w:r>
            <w:r w:rsidRPr="00C9040A">
              <w:rPr>
                <w:rtl/>
              </w:rPr>
              <w:t>في البحار : « عبدالله »</w:t>
            </w:r>
            <w:r>
              <w:rPr>
                <w:rtl/>
              </w:rPr>
              <w:t>.</w:t>
            </w:r>
          </w:p>
        </w:tc>
        <w:tc>
          <w:tcPr>
            <w:tcW w:w="4006" w:type="dxa"/>
          </w:tcPr>
          <w:p w:rsidR="004C57A5" w:rsidRDefault="004C57A5" w:rsidP="004A4E41">
            <w:pPr>
              <w:pStyle w:val="libFootnote0"/>
              <w:rPr>
                <w:rtl/>
              </w:rPr>
            </w:pPr>
            <w:r>
              <w:rPr>
                <w:rtl/>
              </w:rPr>
              <w:t xml:space="preserve">(2). </w:t>
            </w:r>
            <w:r w:rsidRPr="00C9040A">
              <w:rPr>
                <w:rtl/>
              </w:rPr>
              <w:t xml:space="preserve">في « ز ، ض ، </w:t>
            </w:r>
            <w:r>
              <w:rPr>
                <w:rtl/>
              </w:rPr>
              <w:t xml:space="preserve">ه </w:t>
            </w:r>
            <w:r w:rsidRPr="00C9040A">
              <w:rPr>
                <w:rtl/>
              </w:rPr>
              <w:t>» : « أبي الحسن الرضا »</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هكذا في « بع » والبحار ، ج 14 </w:t>
      </w:r>
      <w:r w:rsidR="008A74EB">
        <w:rPr>
          <w:rtl/>
        </w:rPr>
        <w:t>و 7</w:t>
      </w:r>
      <w:r w:rsidR="008A74EB" w:rsidRPr="00C9040A">
        <w:rPr>
          <w:rtl/>
        </w:rPr>
        <w:t>3. وفي سائر النسخ والمطبوع : « الورى »</w:t>
      </w:r>
      <w:r w:rsidR="008A74EB">
        <w:rPr>
          <w:rtl/>
        </w:rPr>
        <w:t>.</w:t>
      </w:r>
      <w:r w:rsidR="008A74EB" w:rsidRPr="00C9040A">
        <w:rPr>
          <w:rtl/>
        </w:rPr>
        <w:t xml:space="preserve"> وفي حاشية « ج ، د ، ف ، بس ، بف » والوافي : « الولد »</w:t>
      </w:r>
      <w:r w:rsidR="008A74EB">
        <w:rPr>
          <w:rtl/>
        </w:rPr>
        <w:t>.</w:t>
      </w:r>
      <w:r w:rsidR="008A74EB" w:rsidRPr="00C9040A">
        <w:rPr>
          <w:rtl/>
        </w:rPr>
        <w:t xml:space="preserve"> وما أثبتناه هو الصحيح الأظهر ؛ فإنّ الشرّاح ترجموه بولد الولد ، وهو معنى « الوراء » ، وأمّا « الورى » فهو بمعنى الناس ، وهو غير مناسب لسياق الحديث الشريف. راجع : </w:t>
      </w:r>
      <w:r w:rsidR="008A74EB" w:rsidRPr="00993B55">
        <w:rPr>
          <w:rStyle w:val="libFootnoteBoldChar"/>
          <w:rtl/>
        </w:rPr>
        <w:t>الصحاح</w:t>
      </w:r>
      <w:r w:rsidR="008A74EB" w:rsidRPr="00C9040A">
        <w:rPr>
          <w:rtl/>
        </w:rPr>
        <w:t xml:space="preserve"> ، ج 6 ، ص 2523 ؛ </w:t>
      </w:r>
      <w:r w:rsidR="008A74EB" w:rsidRPr="00993B55">
        <w:rPr>
          <w:rStyle w:val="libFootnoteBoldChar"/>
          <w:rtl/>
        </w:rPr>
        <w:t>النهاية</w:t>
      </w:r>
      <w:r w:rsidR="008A74EB" w:rsidRPr="00C9040A">
        <w:rPr>
          <w:rtl/>
        </w:rPr>
        <w:t xml:space="preserve"> ، ج 5 ، ص 178 ( ورا ) ؛ </w:t>
      </w:r>
      <w:r w:rsidR="008A74EB" w:rsidRPr="00993B55">
        <w:rPr>
          <w:rStyle w:val="libFootnoteBoldChar"/>
          <w:rtl/>
        </w:rPr>
        <w:t>لسان العرب</w:t>
      </w:r>
      <w:r w:rsidR="008A74EB" w:rsidRPr="00C9040A">
        <w:rPr>
          <w:rtl/>
        </w:rPr>
        <w:t xml:space="preserve"> ، ج 15 ، ص 391 ؛ </w:t>
      </w:r>
      <w:r w:rsidR="008A74EB" w:rsidRPr="00993B55">
        <w:rPr>
          <w:rStyle w:val="libFootnoteBoldChar"/>
          <w:rtl/>
        </w:rPr>
        <w:t>القاموس المحيط</w:t>
      </w:r>
      <w:r w:rsidR="008A74EB" w:rsidRPr="00C9040A">
        <w:rPr>
          <w:rtl/>
        </w:rPr>
        <w:t xml:space="preserve"> ، ج 1 ، ص 123 ( ورأ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ج 9 ، ص 426 : « ويستشكل بأنّه أيّ تقصير لأولاد الأولاد حتّى تبلغ اللعنة إليهم إلى البطن السابع</w:t>
      </w:r>
      <w:r w:rsidR="008A74EB">
        <w:rPr>
          <w:rtl/>
        </w:rPr>
        <w:t>؟</w:t>
      </w:r>
      <w:r w:rsidR="008A74EB" w:rsidRPr="00C9040A">
        <w:rPr>
          <w:rtl/>
        </w:rPr>
        <w:t xml:space="preserve"> فمنهم من حمله على أنّه قد يبلغهم وهو إذا رضوا بفعل آبائهم</w:t>
      </w:r>
      <w:r w:rsidR="008A74EB">
        <w:rPr>
          <w:rtl/>
        </w:rPr>
        <w:t xml:space="preserve"> ..</w:t>
      </w:r>
      <w:r w:rsidR="008A74EB" w:rsidRPr="00C9040A">
        <w:rPr>
          <w:rtl/>
        </w:rPr>
        <w:t xml:space="preserve">. وأقول : يمكن أن يكون المراد به الآثار الدنيويّة ، كالفقر والفاقة والبلايا والأمراض والحبس والمظلوميّة ، كما نشاهد أكثر ذلك في أولاد الظلمة ، وذلك عقوبة لآبائهم ؛ فإنّ الناس يرتدعون عن الظلم بذلك ؛ لحبّهم لأولادهم ، ويعوّض الله الأولاد في الآخرة ، كما قال تعالى : </w:t>
      </w:r>
      <w:r w:rsidR="008A74EB" w:rsidRPr="00FE5F29">
        <w:rPr>
          <w:rStyle w:val="libFootnoteAlaemChar"/>
          <w:rtl/>
        </w:rPr>
        <w:t>(</w:t>
      </w:r>
      <w:r w:rsidR="008A74EB" w:rsidRPr="00883DD5">
        <w:rPr>
          <w:rStyle w:val="libFootnoteAieChar"/>
          <w:rFonts w:hint="cs"/>
          <w:rtl/>
        </w:rPr>
        <w:t xml:space="preserve"> </w:t>
      </w:r>
      <w:r w:rsidR="008A74EB" w:rsidRPr="00883DD5">
        <w:rPr>
          <w:rStyle w:val="libFootnoteAieChar"/>
          <w:rtl/>
        </w:rPr>
        <w:t>وَلْيَخْشَ الَّذِينَ لَوْ تَرَكُوا مِنْ خَلْفِهِمْ ذُرِّيَّةً ضِع</w:t>
      </w:r>
      <w:r w:rsidR="00FE5F29">
        <w:rPr>
          <w:rStyle w:val="libFootnoteAieChar"/>
          <w:rFonts w:hint="cs"/>
          <w:rtl/>
        </w:rPr>
        <w:t>َ</w:t>
      </w:r>
      <w:r w:rsidR="008A74EB" w:rsidRPr="00883DD5">
        <w:rPr>
          <w:rStyle w:val="libFootnoteAieChar"/>
          <w:rtl/>
        </w:rPr>
        <w:t>افاً خ</w:t>
      </w:r>
      <w:r w:rsidR="00FE5F29">
        <w:rPr>
          <w:rStyle w:val="libFootnoteAieChar"/>
          <w:rFonts w:hint="cs"/>
          <w:rtl/>
        </w:rPr>
        <w:t>َ</w:t>
      </w:r>
      <w:r w:rsidR="008A74EB" w:rsidRPr="00883DD5">
        <w:rPr>
          <w:rStyle w:val="libFootnoteAieChar"/>
          <w:rtl/>
        </w:rPr>
        <w:t>افُوا عَلَيْهِمْ</w:t>
      </w:r>
      <w:r w:rsidR="008A74EB" w:rsidRPr="00883DD5">
        <w:rPr>
          <w:rStyle w:val="libFootnoteAieChar"/>
          <w:rFonts w:hint="cs"/>
          <w:rtl/>
        </w:rPr>
        <w:t xml:space="preserve"> </w:t>
      </w:r>
      <w:r w:rsidR="008A74EB" w:rsidRPr="00FE5F29">
        <w:rPr>
          <w:rStyle w:val="libFootnoteAlaemChar"/>
          <w:rtl/>
        </w:rPr>
        <w:t>)</w:t>
      </w:r>
      <w:r w:rsidR="008A74EB" w:rsidRPr="00C9040A">
        <w:rPr>
          <w:rtl/>
        </w:rPr>
        <w:t xml:space="preserve"> الآية [ النساء </w:t>
      </w:r>
      <w:r w:rsidR="00FE5F29">
        <w:rPr>
          <w:rtl/>
        </w:rPr>
        <w:t>(4)</w:t>
      </w:r>
      <w:r w:rsidR="008A74EB" w:rsidRPr="00C9040A">
        <w:rPr>
          <w:rtl/>
        </w:rPr>
        <w:t xml:space="preserve"> : 9 ]</w:t>
      </w:r>
      <w:r w:rsidR="008A74EB">
        <w:rPr>
          <w:rtl/>
        </w:rPr>
        <w:t>.</w:t>
      </w:r>
      <w:r w:rsidR="008A74EB" w:rsidRPr="00C9040A">
        <w:rPr>
          <w:rtl/>
        </w:rPr>
        <w:t xml:space="preserve"> وهذا جائز على مذهب العدليّة ، بناءً على أنّه يمكن إيلام شخص لمصلحة الغير مع التعويض بأكثر منه ، بحيث يرضى من وصل إليه الألم ، مع أنّ في هذه الا</w:t>
      </w:r>
      <w:r w:rsidR="00FE5F29">
        <w:rPr>
          <w:rFonts w:hint="cs"/>
          <w:rtl/>
        </w:rPr>
        <w:t>ُ</w:t>
      </w:r>
      <w:r w:rsidR="008A74EB" w:rsidRPr="00C9040A">
        <w:rPr>
          <w:rtl/>
        </w:rPr>
        <w:t>مور مصالح للأولاد أيضاً ؛ فإنّ أولاد المترفين بالنعم إذا كانوا مثل آبائهم ، يصير ذلك سبباً لبغيهم وطغيانهم أكثر من غيرهم »</w:t>
      </w:r>
      <w:r w:rsidR="008A74EB">
        <w:rPr>
          <w:rtl/>
        </w:rPr>
        <w:t>.</w:t>
      </w:r>
    </w:p>
    <w:p w:rsidR="008A74EB" w:rsidRPr="00C9040A" w:rsidRDefault="006C577F" w:rsidP="00FE5F29">
      <w:pPr>
        <w:pStyle w:val="libFootnote0"/>
        <w:rPr>
          <w:rtl/>
          <w:lang w:bidi="fa-IR"/>
        </w:rPr>
      </w:pPr>
      <w:r>
        <w:rPr>
          <w:rtl/>
        </w:rPr>
        <w:t>(4).</w:t>
      </w:r>
      <w:r w:rsidR="008A74EB" w:rsidRPr="00C9040A">
        <w:rPr>
          <w:rtl/>
        </w:rPr>
        <w:t xml:space="preserve"> </w:t>
      </w:r>
      <w:r w:rsidR="008A74EB" w:rsidRPr="00993B55">
        <w:rPr>
          <w:rStyle w:val="libFootnoteBoldChar"/>
          <w:rtl/>
        </w:rPr>
        <w:t>الوافي</w:t>
      </w:r>
      <w:r w:rsidR="008A74EB" w:rsidRPr="00C9040A">
        <w:rPr>
          <w:rtl/>
        </w:rPr>
        <w:t xml:space="preserve"> ، ج 5 ، ص 1007 ، ح 3485 ؛ </w:t>
      </w:r>
      <w:r w:rsidR="008A74EB" w:rsidRPr="00993B55">
        <w:rPr>
          <w:rStyle w:val="libFootnoteBoldChar"/>
          <w:rtl/>
        </w:rPr>
        <w:t>وسائل الشعية</w:t>
      </w:r>
      <w:r w:rsidR="008A74EB" w:rsidRPr="00C9040A">
        <w:rPr>
          <w:rtl/>
        </w:rPr>
        <w:t xml:space="preserve"> ، ج 15 ، ص 307 ، ح 20591 ؛ </w:t>
      </w:r>
      <w:r w:rsidR="008A74EB" w:rsidRPr="00993B55">
        <w:rPr>
          <w:rStyle w:val="libFootnoteBoldChar"/>
          <w:rtl/>
        </w:rPr>
        <w:t>البحار</w:t>
      </w:r>
      <w:r w:rsidR="008A74EB" w:rsidRPr="00C9040A">
        <w:rPr>
          <w:rtl/>
        </w:rPr>
        <w:t xml:space="preserve"> ، ج 14 ، ص 459 ، ح 15 ؛ وج 73 ، ص 341 ، ح 23.</w:t>
      </w:r>
      <w:r w:rsidR="00FE5F29">
        <w:rPr>
          <w:rFonts w:hint="cs"/>
          <w:rtl/>
        </w:rPr>
        <w:t xml:space="preserve">          </w:t>
      </w:r>
      <w:r>
        <w:rPr>
          <w:rtl/>
        </w:rPr>
        <w:t>(5).</w:t>
      </w:r>
      <w:r w:rsidR="008A74EB" w:rsidRPr="00C9040A">
        <w:rPr>
          <w:rtl/>
        </w:rPr>
        <w:t xml:space="preserve"> في الوافي </w:t>
      </w:r>
      <w:r w:rsidR="008A74EB">
        <w:rPr>
          <w:rtl/>
        </w:rPr>
        <w:t xml:space="preserve">: </w:t>
      </w:r>
      <w:r w:rsidR="0084262C">
        <w:rPr>
          <w:rtl/>
        </w:rPr>
        <w:t>-</w:t>
      </w:r>
      <w:r w:rsidR="008A74EB" w:rsidRPr="00C9040A">
        <w:rPr>
          <w:rtl/>
        </w:rPr>
        <w:t xml:space="preserve"> « أنّه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بِهِ </w:t>
      </w:r>
      <w:r w:rsidR="006C577F" w:rsidRPr="006C577F">
        <w:rPr>
          <w:rStyle w:val="libFootnotenumChar"/>
          <w:rtl/>
        </w:rPr>
        <w:t>(1)</w:t>
      </w:r>
      <w:r w:rsidRPr="00C9040A">
        <w:rPr>
          <w:rtl/>
          <w:lang w:bidi="fa-IR"/>
        </w:rPr>
        <w:t xml:space="preserve"> الْخَوْفُ مِنَ السُّلْطَانِ ، وَمَا </w:t>
      </w:r>
      <w:r w:rsidR="006C577F" w:rsidRPr="006C577F">
        <w:rPr>
          <w:rStyle w:val="libFootnotenumChar"/>
          <w:rtl/>
        </w:rPr>
        <w:t>(2)</w:t>
      </w:r>
      <w:r w:rsidR="00D65079">
        <w:rPr>
          <w:rtl/>
          <w:lang w:bidi="fa-IR"/>
        </w:rPr>
        <w:t xml:space="preserve"> ذلِكَ إِل</w:t>
      </w:r>
      <w:r w:rsidR="00D65079">
        <w:rPr>
          <w:rFonts w:hint="cs"/>
          <w:rtl/>
          <w:lang w:bidi="fa-IR"/>
        </w:rPr>
        <w:t>َّ</w:t>
      </w:r>
      <w:r w:rsidR="00D65079">
        <w:rPr>
          <w:rtl/>
          <w:lang w:bidi="fa-IR"/>
        </w:rPr>
        <w:t>ا</w:t>
      </w:r>
      <w:r w:rsidRPr="00C9040A">
        <w:rPr>
          <w:rtl/>
          <w:lang w:bidi="fa-IR"/>
        </w:rPr>
        <w:t xml:space="preserve"> بِالذُّنُوبِ ، فَتَوَقَّوْهَا مَا اسْتَطَعْتُمْ ، وَلَاتَمَادَوْا </w:t>
      </w:r>
      <w:r w:rsidR="006C577F" w:rsidRPr="006C577F">
        <w:rPr>
          <w:rStyle w:val="libFootnotenumChar"/>
          <w:rtl/>
        </w:rPr>
        <w:t>(3)</w:t>
      </w:r>
      <w:r w:rsidR="00C822D0">
        <w:rPr>
          <w:rtl/>
          <w:lang w:bidi="fa-IR"/>
        </w:rPr>
        <w:t xml:space="preserve"> فِيهَا</w:t>
      </w:r>
      <w:r w:rsidRPr="00C9040A">
        <w:rPr>
          <w:rtl/>
          <w:lang w:bidi="fa-IR"/>
        </w:rPr>
        <w:t>»</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013684">
        <w:rPr>
          <w:rtl/>
        </w:rPr>
        <w:t>2438</w:t>
      </w:r>
      <w:r w:rsidRPr="00261CB0">
        <w:rPr>
          <w:rStyle w:val="libBold2Char"/>
          <w:rtl/>
        </w:rPr>
        <w:t xml:space="preserve"> / 28.</w:t>
      </w:r>
      <w:r w:rsidRPr="00C9040A">
        <w:rPr>
          <w:rtl/>
          <w:lang w:bidi="fa-IR"/>
        </w:rPr>
        <w:t xml:space="preserve"> عَلِيُّ بْنُ إِبْرَاهِيمَ ، عَنْ مُحَمَّدِ بْنِ عِيسى ، عَنْ يُونُسَ رَفَعَهُ ، قَالَ :</w:t>
      </w:r>
    </w:p>
    <w:p w:rsidR="008A74EB" w:rsidRPr="00C9040A" w:rsidRDefault="008A74EB" w:rsidP="008A74EB">
      <w:pPr>
        <w:pStyle w:val="libNormal"/>
        <w:rPr>
          <w:rtl/>
          <w:lang w:bidi="fa-IR"/>
        </w:rPr>
      </w:pPr>
      <w:r w:rsidRPr="00C9040A">
        <w:rPr>
          <w:rtl/>
          <w:lang w:bidi="fa-IR"/>
        </w:rPr>
        <w:t xml:space="preserve">قَالَ أَمِيرُ الْمُؤْمِنِينَ </w:t>
      </w:r>
      <w:r w:rsidRPr="0003660B">
        <w:rPr>
          <w:rStyle w:val="libAlaemChar"/>
          <w:rtl/>
        </w:rPr>
        <w:t>عليه‌السلام</w:t>
      </w:r>
      <w:r w:rsidRPr="00C9040A">
        <w:rPr>
          <w:rtl/>
          <w:lang w:bidi="fa-IR"/>
        </w:rPr>
        <w:t xml:space="preserve"> : « لَا وَجَعَ أَوْجَعُ لِلْقُلُوبِ مِنَ الذُّنُوبِ ، وَلَاخَوْفَ أَشَدُّ مِنَ الْمَوْتِ ، وَكَفى بِمَا سَلَفَ تَفَكُّراً ، وَكَفى بِالْمَوْتِ وَاعِظاً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013684">
        <w:rPr>
          <w:rtl/>
        </w:rPr>
        <w:t>2439</w:t>
      </w:r>
      <w:r w:rsidRPr="00261CB0">
        <w:rPr>
          <w:rStyle w:val="libBold2Char"/>
          <w:rtl/>
        </w:rPr>
        <w:t xml:space="preserve"> / 29.</w:t>
      </w:r>
      <w:r w:rsidRPr="00C9040A">
        <w:rPr>
          <w:rtl/>
          <w:lang w:bidi="fa-IR"/>
        </w:rPr>
        <w:t xml:space="preserve"> أَحْمَدُ بْنُ مُحَمَّدٍ الْكُوفِيُّ ، عَنْ عَلِيِّ بْنِ الْحَسَنِ التَّيْمِيِّ </w:t>
      </w:r>
      <w:r w:rsidR="006C577F" w:rsidRPr="006C577F">
        <w:rPr>
          <w:rStyle w:val="libFootnotenumChar"/>
          <w:rtl/>
        </w:rPr>
        <w:t>(6)</w:t>
      </w:r>
      <w:r w:rsidRPr="005B567D">
        <w:rPr>
          <w:rStyle w:val="libFootnotenumChar"/>
          <w:rtl/>
        </w:rPr>
        <w:t xml:space="preserve"> </w:t>
      </w:r>
      <w:r w:rsidRPr="00C9040A">
        <w:rPr>
          <w:rtl/>
          <w:lang w:bidi="fa-IR"/>
        </w:rPr>
        <w:t>، عَنِ الْعَبَّاسِ بْنِ هِلَالٍ الشَّامِيِّ</w:t>
      </w:r>
      <w:r>
        <w:rPr>
          <w:rtl/>
          <w:lang w:bidi="fa-IR"/>
        </w:rPr>
        <w:t xml:space="preserve"> </w:t>
      </w:r>
      <w:r w:rsidR="0084262C">
        <w:rPr>
          <w:rtl/>
          <w:lang w:bidi="fa-IR"/>
        </w:rPr>
        <w:t>-</w:t>
      </w:r>
      <w:r>
        <w:rPr>
          <w:rtl/>
          <w:lang w:bidi="fa-IR"/>
        </w:rPr>
        <w:t xml:space="preserve"> </w:t>
      </w:r>
      <w:r w:rsidRPr="00C9040A">
        <w:rPr>
          <w:rtl/>
          <w:lang w:bidi="fa-IR"/>
        </w:rPr>
        <w:t xml:space="preserve">مَوْلىً لِأَبِي </w:t>
      </w:r>
      <w:r w:rsidR="006C577F" w:rsidRPr="006C577F">
        <w:rPr>
          <w:rStyle w:val="libFootnotenumChar"/>
          <w:rtl/>
        </w:rPr>
        <w:t>(7)</w:t>
      </w:r>
      <w:r w:rsidRPr="00C9040A">
        <w:rPr>
          <w:rtl/>
          <w:lang w:bidi="fa-IR"/>
        </w:rPr>
        <w:t xml:space="preserve"> الْحَسَنِ مُوسى </w:t>
      </w:r>
      <w:r w:rsidRPr="0003660B">
        <w:rPr>
          <w:rStyle w:val="libAlaemChar"/>
          <w:rtl/>
        </w:rPr>
        <w:t>عليه‌السلام</w:t>
      </w:r>
      <w:r>
        <w:rPr>
          <w:rtl/>
          <w:lang w:bidi="fa-IR"/>
        </w:rPr>
        <w:t xml:space="preserve"> </w:t>
      </w:r>
      <w:r w:rsidR="0084262C">
        <w:rPr>
          <w:rtl/>
          <w:lang w:bidi="fa-IR"/>
        </w:rPr>
        <w:t>-</w:t>
      </w:r>
      <w:r>
        <w:rPr>
          <w:rtl/>
          <w:lang w:bidi="fa-IR"/>
        </w:rPr>
        <w:t xml:space="preserve"> </w:t>
      </w:r>
      <w:r w:rsidRPr="00C9040A">
        <w:rPr>
          <w:rtl/>
          <w:lang w:bidi="fa-IR"/>
        </w:rPr>
        <w:t>قَالَ :</w:t>
      </w:r>
    </w:p>
    <w:p w:rsidR="008A74EB" w:rsidRPr="00C9040A" w:rsidRDefault="008A74EB" w:rsidP="008A74EB">
      <w:pPr>
        <w:pStyle w:val="libNormal"/>
        <w:rPr>
          <w:rtl/>
          <w:lang w:bidi="fa-IR"/>
        </w:rPr>
      </w:pPr>
      <w:r w:rsidRPr="00C9040A">
        <w:rPr>
          <w:rtl/>
          <w:lang w:bidi="fa-IR"/>
        </w:rPr>
        <w:t xml:space="preserve">سَمِعْتُ الرِّضَا </w:t>
      </w:r>
      <w:r w:rsidRPr="0003660B">
        <w:rPr>
          <w:rStyle w:val="libAlaemChar"/>
          <w:rtl/>
        </w:rPr>
        <w:t>عليه‌السلام</w:t>
      </w:r>
      <w:r w:rsidRPr="00C9040A">
        <w:rPr>
          <w:rtl/>
          <w:lang w:bidi="fa-IR"/>
        </w:rPr>
        <w:t xml:space="preserve"> يَقُولُ : « كُلَّمَا أَحْدَثَ الْعِبَادُ مِنَ الذُّنُوبِ مَا لَمْ يَكُونُوا يَعْمَلُونَ ، أَحْدَثَ اللهُ </w:t>
      </w:r>
      <w:r w:rsidR="006C577F" w:rsidRPr="006C577F">
        <w:rPr>
          <w:rStyle w:val="libFootnotenumChar"/>
          <w:rtl/>
        </w:rPr>
        <w:t>(8)</w:t>
      </w:r>
      <w:r w:rsidRPr="00C9040A">
        <w:rPr>
          <w:rtl/>
          <w:lang w:bidi="fa-IR"/>
        </w:rPr>
        <w:t xml:space="preserve"> لَهُمْ مِنَ الْبَلَاءِ مَا لَمْ يَكُونُوا يَعْرِفُونَ </w:t>
      </w:r>
      <w:r w:rsidR="006C577F" w:rsidRPr="006C577F">
        <w:rPr>
          <w:rStyle w:val="libFootnotenumChar"/>
          <w:rtl/>
        </w:rPr>
        <w:t>(9)</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E51546" w:rsidTr="00E51546">
        <w:tc>
          <w:tcPr>
            <w:tcW w:w="4006" w:type="dxa"/>
          </w:tcPr>
          <w:p w:rsidR="00E51546" w:rsidRDefault="00E51546" w:rsidP="004A4E41">
            <w:pPr>
              <w:pStyle w:val="libFootnote0"/>
              <w:rPr>
                <w:rtl/>
              </w:rPr>
            </w:pPr>
            <w:r>
              <w:rPr>
                <w:rtl/>
              </w:rPr>
              <w:t xml:space="preserve">(1). </w:t>
            </w:r>
            <w:r w:rsidRPr="00C9040A">
              <w:rPr>
                <w:rtl/>
              </w:rPr>
              <w:t xml:space="preserve">في الوسائل </w:t>
            </w:r>
            <w:r>
              <w:rPr>
                <w:rtl/>
              </w:rPr>
              <w:t>: -</w:t>
            </w:r>
            <w:r w:rsidRPr="00C9040A">
              <w:rPr>
                <w:rtl/>
              </w:rPr>
              <w:t xml:space="preserve"> « به »</w:t>
            </w:r>
            <w:r>
              <w:rPr>
                <w:rtl/>
              </w:rPr>
              <w:t>.</w:t>
            </w:r>
          </w:p>
        </w:tc>
        <w:tc>
          <w:tcPr>
            <w:tcW w:w="4006" w:type="dxa"/>
          </w:tcPr>
          <w:p w:rsidR="00E51546" w:rsidRDefault="00E51546" w:rsidP="004A4E41">
            <w:pPr>
              <w:pStyle w:val="libFootnote0"/>
              <w:rPr>
                <w:rtl/>
              </w:rPr>
            </w:pPr>
            <w:r>
              <w:rPr>
                <w:rtl/>
              </w:rPr>
              <w:t xml:space="preserve">(2). </w:t>
            </w:r>
            <w:r w:rsidRPr="00C9040A">
              <w:rPr>
                <w:rtl/>
              </w:rPr>
              <w:t>في « ص » : « فما »</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تمادى فلانٌ في غَيِّه : إذا لجّ ودام على فعله. </w:t>
      </w:r>
      <w:r w:rsidR="008A74EB" w:rsidRPr="00993B55">
        <w:rPr>
          <w:rStyle w:val="libFootnoteBoldChar"/>
          <w:rtl/>
        </w:rPr>
        <w:t>المصباح المنير</w:t>
      </w:r>
      <w:r w:rsidR="008A74EB" w:rsidRPr="00C9040A">
        <w:rPr>
          <w:rtl/>
        </w:rPr>
        <w:t xml:space="preserve"> ، ص 567 ( مدى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الوافي</w:t>
      </w:r>
      <w:r w:rsidR="008A74EB" w:rsidRPr="00C9040A">
        <w:rPr>
          <w:rtl/>
        </w:rPr>
        <w:t xml:space="preserve"> ، ج 5 ، ص 1007 ، ح 3486 ؛ </w:t>
      </w:r>
      <w:r w:rsidR="008A74EB" w:rsidRPr="00993B55">
        <w:rPr>
          <w:rStyle w:val="libFootnoteBoldChar"/>
          <w:rtl/>
        </w:rPr>
        <w:t>الوسائل</w:t>
      </w:r>
      <w:r w:rsidR="008A74EB" w:rsidRPr="00C9040A">
        <w:rPr>
          <w:rtl/>
        </w:rPr>
        <w:t xml:space="preserve"> ، ج 15 ، ص 304 ، ح 20583 ؛ </w:t>
      </w:r>
      <w:r w:rsidR="008A74EB" w:rsidRPr="00993B55">
        <w:rPr>
          <w:rStyle w:val="libFootnoteBoldChar"/>
          <w:rtl/>
        </w:rPr>
        <w:t>البحار</w:t>
      </w:r>
      <w:r w:rsidR="008A74EB" w:rsidRPr="00C9040A">
        <w:rPr>
          <w:rtl/>
        </w:rPr>
        <w:t xml:space="preserve"> ، ج 73 ، ص 342 ، ح 24.</w:t>
      </w:r>
    </w:p>
    <w:p w:rsidR="008A74EB" w:rsidRPr="00C9040A" w:rsidRDefault="006C577F" w:rsidP="00E51546">
      <w:pPr>
        <w:pStyle w:val="libFootnote0"/>
        <w:rPr>
          <w:rtl/>
          <w:lang w:bidi="fa-IR"/>
        </w:rPr>
      </w:pPr>
      <w:r>
        <w:rPr>
          <w:rtl/>
        </w:rPr>
        <w:t>(5).</w:t>
      </w:r>
      <w:r w:rsidR="008A74EB" w:rsidRPr="00C9040A">
        <w:rPr>
          <w:rtl/>
        </w:rPr>
        <w:t xml:space="preserve"> راجع : </w:t>
      </w:r>
      <w:r w:rsidR="008A74EB" w:rsidRPr="00993B55">
        <w:rPr>
          <w:rStyle w:val="libFootnoteBoldChar"/>
          <w:rtl/>
        </w:rPr>
        <w:t>الكافي</w:t>
      </w:r>
      <w:r w:rsidR="008A74EB" w:rsidRPr="00C9040A">
        <w:rPr>
          <w:rtl/>
        </w:rPr>
        <w:t xml:space="preserve"> ، كتاب الإيمان والكفر ، باب ( بدون العنوان ) ح 1680 ؛ </w:t>
      </w:r>
      <w:r w:rsidR="008A74EB" w:rsidRPr="00993B55">
        <w:rPr>
          <w:rStyle w:val="libFootnoteBoldChar"/>
          <w:rtl/>
        </w:rPr>
        <w:t>الأمالي</w:t>
      </w:r>
      <w:r w:rsidR="008A74EB" w:rsidRPr="00C9040A">
        <w:rPr>
          <w:rtl/>
        </w:rPr>
        <w:t xml:space="preserve"> للطوسي ، ص 27 ، المجلس 1 ، ح 31 ؛ </w:t>
      </w:r>
      <w:r w:rsidR="008A74EB" w:rsidRPr="00993B55">
        <w:rPr>
          <w:rStyle w:val="libFootnoteBoldChar"/>
          <w:rtl/>
        </w:rPr>
        <w:t>ومصباح الشريعة</w:t>
      </w:r>
      <w:r w:rsidR="008A74EB" w:rsidRPr="00C9040A">
        <w:rPr>
          <w:rtl/>
        </w:rPr>
        <w:t xml:space="preserve"> ، ص 113 ، الباب 53 ؛ و</w:t>
      </w:r>
      <w:r w:rsidR="008A74EB" w:rsidRPr="00993B55">
        <w:rPr>
          <w:rStyle w:val="libFootnoteBoldChar"/>
          <w:rtl/>
        </w:rPr>
        <w:t xml:space="preserve">تحف العقول </w:t>
      </w:r>
      <w:r w:rsidR="008A74EB" w:rsidRPr="00C9040A">
        <w:rPr>
          <w:rtl/>
        </w:rPr>
        <w:t>، ص 35</w:t>
      </w:r>
      <w:r w:rsidR="00E51546">
        <w:rPr>
          <w:rFonts w:hint="cs"/>
          <w:rtl/>
        </w:rPr>
        <w:t>.</w:t>
      </w:r>
      <w:r w:rsidR="008A74EB" w:rsidRPr="00993B55">
        <w:rPr>
          <w:rStyle w:val="libFootnoteBoldChar"/>
          <w:rtl/>
        </w:rPr>
        <w:t>الوافي</w:t>
      </w:r>
      <w:r w:rsidR="008A74EB" w:rsidRPr="00C9040A">
        <w:rPr>
          <w:rtl/>
        </w:rPr>
        <w:t xml:space="preserve"> ، ج 5 ، ص 1007 ، ح 3487 ؛ </w:t>
      </w:r>
      <w:r w:rsidR="008A74EB" w:rsidRPr="00993B55">
        <w:rPr>
          <w:rStyle w:val="libFootnoteBoldChar"/>
          <w:rtl/>
        </w:rPr>
        <w:t>الوسائل</w:t>
      </w:r>
      <w:r w:rsidR="008A74EB" w:rsidRPr="00C9040A">
        <w:rPr>
          <w:rtl/>
        </w:rPr>
        <w:t xml:space="preserve"> ، ج 15 ، ص 304 ، ح 20584 ؛ </w:t>
      </w:r>
      <w:r w:rsidR="008A74EB" w:rsidRPr="00993B55">
        <w:rPr>
          <w:rStyle w:val="libFootnoteBoldChar"/>
          <w:rtl/>
        </w:rPr>
        <w:t>البحار</w:t>
      </w:r>
      <w:r w:rsidR="008A74EB" w:rsidRPr="00C9040A">
        <w:rPr>
          <w:rtl/>
        </w:rPr>
        <w:t xml:space="preserve"> ، ج 73 ، ص 342 ، ح 25.</w:t>
      </w:r>
    </w:p>
    <w:p w:rsidR="008A74EB" w:rsidRPr="00C9040A" w:rsidRDefault="006C577F" w:rsidP="00E51546">
      <w:pPr>
        <w:pStyle w:val="libFootnote0"/>
        <w:rPr>
          <w:rtl/>
          <w:lang w:bidi="fa-IR"/>
        </w:rPr>
      </w:pPr>
      <w:r>
        <w:rPr>
          <w:rtl/>
        </w:rPr>
        <w:t>(6).</w:t>
      </w:r>
      <w:r w:rsidR="008A74EB">
        <w:rPr>
          <w:rtl/>
        </w:rPr>
        <w:t xml:space="preserve"> </w:t>
      </w:r>
      <w:r w:rsidR="008A74EB" w:rsidRPr="00C9040A">
        <w:rPr>
          <w:rtl/>
        </w:rPr>
        <w:t xml:space="preserve">هكذا في « </w:t>
      </w:r>
      <w:r w:rsidR="006D3162">
        <w:rPr>
          <w:rtl/>
        </w:rPr>
        <w:t xml:space="preserve">ه </w:t>
      </w:r>
      <w:r w:rsidR="008A74EB" w:rsidRPr="00C9040A">
        <w:rPr>
          <w:rtl/>
        </w:rPr>
        <w:t>»</w:t>
      </w:r>
      <w:r w:rsidR="008A74EB">
        <w:rPr>
          <w:rtl/>
        </w:rPr>
        <w:t>.</w:t>
      </w:r>
      <w:r w:rsidR="008A74EB" w:rsidRPr="00C9040A">
        <w:rPr>
          <w:rtl/>
        </w:rPr>
        <w:t xml:space="preserve"> وفي « ب ، ج ، د ، ز ، ف ، بر ، بس ، بف ، جر » والوسائل والبحار والمطبوع : « الميثمي »</w:t>
      </w:r>
      <w:r w:rsidR="008A74EB">
        <w:rPr>
          <w:rtl/>
        </w:rPr>
        <w:t>.</w:t>
      </w:r>
      <w:r w:rsidR="008A74EB" w:rsidRPr="00C9040A">
        <w:rPr>
          <w:rtl/>
        </w:rPr>
        <w:t xml:space="preserve"> والصواب ما أثبتناه ؛ فإنّ عليّ بن الحسن في مشايخ أحمدبن محمّد الكوفي هو عليّ بن الحسن بن فضّال. وتقدّم في الكافي ، ذيل ح 2333 ، أنّ الصواب في لقبه هو « التَّيمي » </w:t>
      </w:r>
      <w:r w:rsidR="008A74EB">
        <w:rPr>
          <w:rtl/>
        </w:rPr>
        <w:t>و «</w:t>
      </w:r>
      <w:r w:rsidR="008A74EB" w:rsidRPr="00C9040A">
        <w:rPr>
          <w:rtl/>
        </w:rPr>
        <w:t xml:space="preserve"> التَّيمُلي »</w:t>
      </w:r>
      <w:r w:rsidR="008A74EB">
        <w:rPr>
          <w:rtl/>
        </w:rPr>
        <w:t>.</w:t>
      </w:r>
      <w:r w:rsidR="008A74EB" w:rsidRPr="00C9040A">
        <w:rPr>
          <w:rtl/>
        </w:rPr>
        <w:t xml:space="preserve"> راجع : </w:t>
      </w:r>
      <w:r w:rsidR="008A74EB" w:rsidRPr="00993B55">
        <w:rPr>
          <w:rStyle w:val="libFootnoteBoldChar"/>
          <w:rtl/>
        </w:rPr>
        <w:t>معجم رجال الحديث</w:t>
      </w:r>
      <w:r w:rsidR="008A74EB" w:rsidRPr="00C9040A">
        <w:rPr>
          <w:rtl/>
        </w:rPr>
        <w:t xml:space="preserve"> ، ج 2 ، ص 707</w:t>
      </w:r>
      <w:r w:rsidR="008A74EB">
        <w:rPr>
          <w:rtl/>
        </w:rPr>
        <w:t xml:space="preserve"> </w:t>
      </w:r>
      <w:r w:rsidR="0084262C">
        <w:rPr>
          <w:rtl/>
        </w:rPr>
        <w:t>-</w:t>
      </w:r>
      <w:r w:rsidR="008A74EB">
        <w:rPr>
          <w:rtl/>
        </w:rPr>
        <w:t xml:space="preserve"> </w:t>
      </w:r>
      <w:r w:rsidR="008A74EB" w:rsidRPr="00C9040A">
        <w:rPr>
          <w:rtl/>
        </w:rPr>
        <w:t>708.</w:t>
      </w:r>
      <w:r w:rsidR="00E51546">
        <w:rPr>
          <w:rFonts w:hint="cs"/>
          <w:rtl/>
        </w:rPr>
        <w:t xml:space="preserve">                    </w:t>
      </w:r>
      <w:r>
        <w:rPr>
          <w:rtl/>
        </w:rPr>
        <w:t>(7).</w:t>
      </w:r>
      <w:r w:rsidR="008A74EB" w:rsidRPr="00C9040A">
        <w:rPr>
          <w:rtl/>
        </w:rPr>
        <w:t xml:space="preserve"> في « ص » : « أبي » بدل « لأبي »</w:t>
      </w:r>
      <w:r w:rsidR="008A74EB">
        <w:rPr>
          <w:rtl/>
        </w:rPr>
        <w:t>.</w:t>
      </w:r>
    </w:p>
    <w:tbl>
      <w:tblPr>
        <w:tblStyle w:val="TableGrid"/>
        <w:bidiVisual/>
        <w:tblW w:w="0" w:type="auto"/>
        <w:tblLook w:val="04A0" w:firstRow="1" w:lastRow="0" w:firstColumn="1" w:lastColumn="0" w:noHBand="0" w:noVBand="1"/>
      </w:tblPr>
      <w:tblGrid>
        <w:gridCol w:w="4006"/>
        <w:gridCol w:w="4006"/>
      </w:tblGrid>
      <w:tr w:rsidR="00E51546" w:rsidTr="00E51546">
        <w:tc>
          <w:tcPr>
            <w:tcW w:w="4006" w:type="dxa"/>
          </w:tcPr>
          <w:p w:rsidR="00E51546" w:rsidRDefault="00E51546" w:rsidP="004A4E41">
            <w:pPr>
              <w:pStyle w:val="libFootnote0"/>
              <w:rPr>
                <w:rtl/>
              </w:rPr>
            </w:pPr>
            <w:r>
              <w:rPr>
                <w:rtl/>
              </w:rPr>
              <w:t>(8).</w:t>
            </w:r>
            <w:r w:rsidRPr="00C9040A">
              <w:rPr>
                <w:rtl/>
              </w:rPr>
              <w:t xml:space="preserve"> في الوسائل والأمالي </w:t>
            </w:r>
            <w:r>
              <w:rPr>
                <w:rtl/>
              </w:rPr>
              <w:t>: -</w:t>
            </w:r>
            <w:r w:rsidRPr="00C9040A">
              <w:rPr>
                <w:rtl/>
              </w:rPr>
              <w:t xml:space="preserve"> « الله »</w:t>
            </w:r>
            <w:r>
              <w:rPr>
                <w:rtl/>
              </w:rPr>
              <w:t>.</w:t>
            </w:r>
          </w:p>
        </w:tc>
        <w:tc>
          <w:tcPr>
            <w:tcW w:w="4006" w:type="dxa"/>
          </w:tcPr>
          <w:p w:rsidR="00E51546" w:rsidRDefault="00E51546" w:rsidP="004A4E41">
            <w:pPr>
              <w:pStyle w:val="libFootnote0"/>
              <w:rPr>
                <w:rtl/>
              </w:rPr>
            </w:pPr>
            <w:r>
              <w:rPr>
                <w:rtl/>
              </w:rPr>
              <w:t>(9).</w:t>
            </w:r>
            <w:r w:rsidRPr="00C9040A">
              <w:rPr>
                <w:rtl/>
              </w:rPr>
              <w:t xml:space="preserve"> في تحف العقول : « يعدون »</w:t>
            </w:r>
            <w:r>
              <w:rPr>
                <w:rtl/>
              </w:rPr>
              <w:t>.</w:t>
            </w:r>
          </w:p>
        </w:tc>
      </w:tr>
    </w:tbl>
    <w:p w:rsidR="008A74EB" w:rsidRPr="00C9040A" w:rsidRDefault="006C577F" w:rsidP="00E51546">
      <w:pPr>
        <w:pStyle w:val="libFootnote0"/>
        <w:rPr>
          <w:rtl/>
          <w:lang w:bidi="fa-IR"/>
        </w:rPr>
      </w:pPr>
      <w:r>
        <w:rPr>
          <w:rtl/>
        </w:rPr>
        <w:t>(10).</w:t>
      </w:r>
      <w:r w:rsidR="008A74EB" w:rsidRPr="00C9040A">
        <w:rPr>
          <w:rtl/>
        </w:rPr>
        <w:t xml:space="preserve"> </w:t>
      </w:r>
      <w:r w:rsidR="008A74EB" w:rsidRPr="00993B55">
        <w:rPr>
          <w:rStyle w:val="libFootnoteBoldChar"/>
          <w:rtl/>
        </w:rPr>
        <w:t>علل الشرائع</w:t>
      </w:r>
      <w:r w:rsidR="008A74EB" w:rsidRPr="00C9040A">
        <w:rPr>
          <w:rtl/>
        </w:rPr>
        <w:t xml:space="preserve"> ، ص 522 ، ح 7 ، عن عليّ بن حاتم ، عن أحمد بن محمّد العاصمي وعليّ بن محمّد بن يعقوب ، عن عليّ بن الحسين ، عن العبّاس بن عليّ مولى لأبي الحسن موسى </w:t>
      </w:r>
      <w:r w:rsidR="00117575" w:rsidRPr="00117575">
        <w:rPr>
          <w:rStyle w:val="libFootnoteAlaemChar"/>
          <w:rtl/>
        </w:rPr>
        <w:t>عليه‌السلام</w:t>
      </w:r>
      <w:r w:rsidR="008A74EB" w:rsidRPr="00C9040A">
        <w:rPr>
          <w:rtl/>
        </w:rPr>
        <w:t xml:space="preserve"> عن الرضا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الأمالي</w:t>
      </w:r>
      <w:r w:rsidR="008A74EB" w:rsidRPr="00C822D0">
        <w:rPr>
          <w:rStyle w:val="libFootnoteBoldChar"/>
          <w:rtl/>
        </w:rPr>
        <w:t xml:space="preserve"> للطوسي</w:t>
      </w:r>
      <w:r w:rsidR="008A74EB" w:rsidRPr="00C9040A">
        <w:rPr>
          <w:rtl/>
        </w:rPr>
        <w:t xml:space="preserve"> ، ص 228 ، المجلس 8 ، ح 52 ، بسنده عن أحمد بن محمّد العاصمي ، عن عليّ بن الحسين ، عن العبّاس بن عليّ الشامي ، عن الرضا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تحف العقول</w:t>
      </w:r>
      <w:r w:rsidR="008A74EB" w:rsidRPr="00C9040A">
        <w:rPr>
          <w:rtl/>
        </w:rPr>
        <w:t xml:space="preserve"> ، ص 410 ، عن موسى بن جعفر </w:t>
      </w:r>
      <w:r w:rsidR="00117575" w:rsidRPr="00117575">
        <w:rPr>
          <w:rStyle w:val="libFootnoteAlaemChar"/>
          <w:rtl/>
        </w:rPr>
        <w:t>عليه‌السلام</w:t>
      </w:r>
      <w:r w:rsidR="00E51546">
        <w:rPr>
          <w:rFonts w:hint="cs"/>
          <w:rtl/>
        </w:rPr>
        <w:t>.</w:t>
      </w:r>
      <w:r w:rsidR="008A74EB" w:rsidRPr="00993B55">
        <w:rPr>
          <w:rStyle w:val="libFootnoteBoldChar"/>
          <w:rtl/>
        </w:rPr>
        <w:t>الوافي</w:t>
      </w:r>
      <w:r w:rsidR="008A74EB" w:rsidRPr="00C9040A">
        <w:rPr>
          <w:rtl/>
        </w:rPr>
        <w:t xml:space="preserve"> ، ج 5 ، ص 1007 ، ح 3488 ؛ </w:t>
      </w:r>
      <w:r w:rsidR="008A74EB" w:rsidRPr="00993B55">
        <w:rPr>
          <w:rStyle w:val="libFootnoteBoldChar"/>
          <w:rtl/>
        </w:rPr>
        <w:t>الوسائل</w:t>
      </w:r>
      <w:r w:rsidR="008A74EB" w:rsidRPr="00C9040A">
        <w:rPr>
          <w:rtl/>
        </w:rPr>
        <w:t xml:space="preserve"> ، ج 15 ، ص 304 ، ح 20585 ؛</w:t>
      </w:r>
      <w:r w:rsidR="008A74EB">
        <w:rPr>
          <w:rFonts w:hint="cs"/>
          <w:rtl/>
        </w:rPr>
        <w:t xml:space="preserve"> </w:t>
      </w:r>
      <w:r w:rsidR="008A74EB" w:rsidRPr="00993B55">
        <w:rPr>
          <w:rStyle w:val="libFootnoteBoldChar"/>
          <w:rtl/>
        </w:rPr>
        <w:t>البحار</w:t>
      </w:r>
      <w:r w:rsidR="008A74EB" w:rsidRPr="00323A39">
        <w:rPr>
          <w:rtl/>
        </w:rPr>
        <w:t xml:space="preserve"> ، ج 73 ، ص 343 ، ح 26.</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013684">
        <w:rPr>
          <w:rtl/>
        </w:rPr>
        <w:t>2440</w:t>
      </w:r>
      <w:r w:rsidRPr="00261CB0">
        <w:rPr>
          <w:rStyle w:val="libBold2Char"/>
          <w:rtl/>
        </w:rPr>
        <w:t xml:space="preserve"> / 30.</w:t>
      </w:r>
      <w:r w:rsidRPr="00C9040A">
        <w:rPr>
          <w:rtl/>
          <w:lang w:bidi="fa-IR"/>
        </w:rPr>
        <w:t xml:space="preserve"> عَلِيُّ بْنُ إِبْرَاهِيمَ ، عَنْ أَبِيهِ ، عَنِ ابْنِ مَحْبُوبٍ ، عَنْ عَبَّادِ بْنِ صُهَيْبٍ :</w:t>
      </w:r>
    </w:p>
    <w:p w:rsidR="008A74EB" w:rsidRPr="00C9040A" w:rsidRDefault="008A74EB" w:rsidP="00E51546">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يَقُولُ اللهُ عَزَّ وَجَلَّ : إِذَا عَصَانِي مَنْ عَرَفَنِي </w:t>
      </w:r>
      <w:r w:rsidR="006C577F" w:rsidRPr="006C577F">
        <w:rPr>
          <w:rStyle w:val="libFootnotenumChar"/>
          <w:rtl/>
        </w:rPr>
        <w:t>(1)</w:t>
      </w:r>
      <w:r w:rsidRPr="00C9040A">
        <w:rPr>
          <w:rtl/>
          <w:lang w:bidi="fa-IR"/>
        </w:rPr>
        <w:t xml:space="preserve"> ، سَلَّطْتُ عَلَيْهِ مَنْ لَايَعْرِفُنِي »</w:t>
      </w:r>
      <w:r>
        <w:rPr>
          <w:rtl/>
          <w:lang w:bidi="fa-IR"/>
        </w:rPr>
        <w:t>.</w:t>
      </w:r>
      <w:r w:rsidRPr="00C9040A">
        <w:rPr>
          <w:rtl/>
          <w:lang w:bidi="fa-IR"/>
        </w:rPr>
        <w:t xml:space="preserve"> </w:t>
      </w:r>
      <w:r w:rsidR="006C577F" w:rsidRPr="006C577F">
        <w:rPr>
          <w:rStyle w:val="libFootnotenumChar"/>
          <w:rtl/>
        </w:rPr>
        <w:t>(2)</w:t>
      </w:r>
    </w:p>
    <w:p w:rsidR="008A74EB" w:rsidRPr="00C9040A" w:rsidRDefault="008A74EB" w:rsidP="008A74EB">
      <w:pPr>
        <w:pStyle w:val="libNormal"/>
        <w:rPr>
          <w:rtl/>
          <w:lang w:bidi="fa-IR"/>
        </w:rPr>
      </w:pPr>
      <w:r w:rsidRPr="00013684">
        <w:rPr>
          <w:rtl/>
        </w:rPr>
        <w:t>2441</w:t>
      </w:r>
      <w:r w:rsidRPr="00261CB0">
        <w:rPr>
          <w:rStyle w:val="libBold2Char"/>
          <w:rtl/>
        </w:rPr>
        <w:t xml:space="preserve"> / 31.</w:t>
      </w:r>
      <w:r w:rsidRPr="00C9040A">
        <w:rPr>
          <w:rtl/>
          <w:lang w:bidi="fa-IR"/>
        </w:rPr>
        <w:t xml:space="preserve"> عِدَّةٌ مِنْ أَصْحَابِنَا ، عَنْ سَهْلِ بْنِ زِيَادٍ ، عَنْ عَلِيِّ بْنِ أَسْبَاطٍ ، عَنِ ابْنِ عَرَفَةَ :</w:t>
      </w:r>
    </w:p>
    <w:p w:rsidR="008A74EB" w:rsidRPr="00C9040A" w:rsidRDefault="008A74EB" w:rsidP="008A74EB">
      <w:pPr>
        <w:pStyle w:val="libNormal"/>
        <w:rPr>
          <w:rtl/>
          <w:lang w:bidi="fa-IR"/>
        </w:rPr>
      </w:pPr>
      <w:r w:rsidRPr="00C9040A">
        <w:rPr>
          <w:rtl/>
          <w:lang w:bidi="fa-IR"/>
        </w:rPr>
        <w:t xml:space="preserve">عَنْ أَبِي الْحَسَنِ </w:t>
      </w:r>
      <w:r w:rsidRPr="0003660B">
        <w:rPr>
          <w:rStyle w:val="libAlaemChar"/>
          <w:rtl/>
        </w:rPr>
        <w:t>عليه‌السلام</w:t>
      </w:r>
      <w:r w:rsidRPr="00C9040A">
        <w:rPr>
          <w:rtl/>
          <w:lang w:bidi="fa-IR"/>
        </w:rPr>
        <w:t xml:space="preserve"> ، قَالَ : « إِنَّ 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فِي كُلِّ يَوْمٍ وَلَيْلَةٍ مُنَادِياً </w:t>
      </w:r>
      <w:r w:rsidR="006C577F" w:rsidRPr="006C577F">
        <w:rPr>
          <w:rStyle w:val="libFootnotenumChar"/>
          <w:rtl/>
        </w:rPr>
        <w:t>(3)</w:t>
      </w:r>
      <w:r w:rsidRPr="00C9040A">
        <w:rPr>
          <w:rtl/>
          <w:lang w:bidi="fa-IR"/>
        </w:rPr>
        <w:t xml:space="preserve"> يُنَادِي :</w:t>
      </w:r>
    </w:p>
    <w:p w:rsidR="008A74EB" w:rsidRPr="00C9040A" w:rsidRDefault="008A74EB" w:rsidP="008A74EB">
      <w:pPr>
        <w:pStyle w:val="libNormal"/>
        <w:rPr>
          <w:rtl/>
          <w:lang w:bidi="fa-IR"/>
        </w:rPr>
      </w:pPr>
      <w:r w:rsidRPr="00C9040A">
        <w:rPr>
          <w:rtl/>
          <w:lang w:bidi="fa-IR"/>
        </w:rPr>
        <w:t xml:space="preserve">مَهْلاً مَهْلاً عِبَادَ اللهِ عَنْ مَعَاصِي اللهِ ، فَلَوْ لَابَهَائِمُ رُتَّعٌ ، وَصِبْيَةٌ رُضَّعٌ ، وَشُيُوخٌ رُكَّعٌ ، لَصُبَّ عَلَيْكُمُ الْعَذَابُ صَبّاً ، تُرَضُّونَ </w:t>
      </w:r>
      <w:r w:rsidR="006C577F" w:rsidRPr="006C577F">
        <w:rPr>
          <w:rStyle w:val="libFootnotenumChar"/>
          <w:rtl/>
        </w:rPr>
        <w:t>(4)</w:t>
      </w:r>
      <w:r w:rsidRPr="00C9040A">
        <w:rPr>
          <w:rtl/>
          <w:lang w:bidi="fa-IR"/>
        </w:rPr>
        <w:t xml:space="preserve"> بِهِ رَضّاً </w:t>
      </w:r>
      <w:r w:rsidR="006C577F" w:rsidRPr="006C577F">
        <w:rPr>
          <w:rStyle w:val="libFootnotenumChar"/>
          <w:rtl/>
        </w:rPr>
        <w:t>(5)</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(6)</w:t>
      </w:r>
    </w:p>
    <w:p w:rsidR="008A74EB" w:rsidRPr="00C9040A" w:rsidRDefault="008A74EB" w:rsidP="008A74EB">
      <w:pPr>
        <w:pStyle w:val="Heading2Center"/>
        <w:rPr>
          <w:rtl/>
          <w:lang w:bidi="fa-IR"/>
        </w:rPr>
      </w:pPr>
      <w:bookmarkStart w:id="346" w:name="_Toc343795703"/>
      <w:bookmarkStart w:id="347" w:name="_Toc459810827"/>
      <w:bookmarkStart w:id="348" w:name="_Toc35348733"/>
      <w:r w:rsidRPr="00C9040A">
        <w:rPr>
          <w:rtl/>
          <w:lang w:bidi="fa-IR"/>
        </w:rPr>
        <w:t>112</w:t>
      </w:r>
      <w:r>
        <w:rPr>
          <w:rtl/>
          <w:lang w:bidi="fa-IR"/>
        </w:rPr>
        <w:t xml:space="preserve"> </w:t>
      </w:r>
      <w:r w:rsidR="0084262C">
        <w:rPr>
          <w:rtl/>
          <w:lang w:bidi="fa-IR"/>
        </w:rPr>
        <w:t>-</w:t>
      </w:r>
      <w:r>
        <w:rPr>
          <w:rtl/>
          <w:lang w:bidi="fa-IR"/>
        </w:rPr>
        <w:t xml:space="preserve"> </w:t>
      </w:r>
      <w:r w:rsidRPr="00C9040A">
        <w:rPr>
          <w:rtl/>
          <w:lang w:bidi="fa-IR"/>
        </w:rPr>
        <w:t>بَابُ الْكَبَائِرِ‌</w:t>
      </w:r>
      <w:bookmarkEnd w:id="346"/>
      <w:bookmarkEnd w:id="347"/>
      <w:bookmarkEnd w:id="348"/>
    </w:p>
    <w:p w:rsidR="008A74EB" w:rsidRPr="00C9040A" w:rsidRDefault="008A74EB" w:rsidP="008A74EB">
      <w:pPr>
        <w:pStyle w:val="libNormal"/>
        <w:rPr>
          <w:rtl/>
          <w:lang w:bidi="fa-IR"/>
        </w:rPr>
      </w:pPr>
      <w:r w:rsidRPr="00013684">
        <w:rPr>
          <w:rtl/>
        </w:rPr>
        <w:t>2442</w:t>
      </w:r>
      <w:r w:rsidRPr="00261CB0">
        <w:rPr>
          <w:rStyle w:val="libBold2Char"/>
          <w:rtl/>
        </w:rPr>
        <w:t xml:space="preserve"> / 1.</w:t>
      </w:r>
      <w:r w:rsidRPr="00C9040A">
        <w:rPr>
          <w:rtl/>
          <w:lang w:bidi="fa-IR"/>
        </w:rPr>
        <w:t xml:space="preserve"> عِدَّةٌ مِنْ أَصْحَابِنَا ، عَنْ أَحْمَدَ بْنِ مُحَمَّدٍ ، عَنِ ابْنِ فَضَّالٍ ، عَنْ أَبِي جَمِيلَةَ ، عَنِ الْحَلَبِيِّ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فِي قَوْلِ اللهِ عَزَّ وَجَلَّ : </w:t>
      </w:r>
      <w:r w:rsidRPr="0003660B">
        <w:rPr>
          <w:rStyle w:val="libAlaemChar"/>
          <w:rtl/>
        </w:rPr>
        <w:t>(</w:t>
      </w:r>
      <w:r w:rsidRPr="006A2246">
        <w:rPr>
          <w:rStyle w:val="libAieChar"/>
          <w:rtl/>
        </w:rPr>
        <w:t xml:space="preserve"> إِنْ تَجْتَنِبُوا كَبائِرَ ما تُنْهَوْنَ عَنْهُ نُكَفِّرْ عَنْكُمْ</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الوسائل والفقيه والأمالي : « يعرفني »</w:t>
      </w:r>
      <w:r w:rsidR="008A74EB">
        <w:rPr>
          <w:rtl/>
        </w:rPr>
        <w:t>.</w:t>
      </w:r>
    </w:p>
    <w:p w:rsidR="008A74EB" w:rsidRPr="00C9040A" w:rsidRDefault="006C577F" w:rsidP="00E51546">
      <w:pPr>
        <w:pStyle w:val="libFootnote0"/>
        <w:rPr>
          <w:rtl/>
          <w:lang w:bidi="fa-IR"/>
        </w:rPr>
      </w:pPr>
      <w:r>
        <w:rPr>
          <w:rtl/>
        </w:rPr>
        <w:t>(2).</w:t>
      </w:r>
      <w:r w:rsidR="008A74EB">
        <w:rPr>
          <w:rtl/>
        </w:rPr>
        <w:t xml:space="preserve"> </w:t>
      </w:r>
      <w:r w:rsidR="008A74EB" w:rsidRPr="0034021D">
        <w:rPr>
          <w:rStyle w:val="libFootnoteBoldChar"/>
          <w:rtl/>
        </w:rPr>
        <w:t>الأمالي للصدوق</w:t>
      </w:r>
      <w:r w:rsidR="008A74EB" w:rsidRPr="00C9040A">
        <w:rPr>
          <w:rtl/>
        </w:rPr>
        <w:t xml:space="preserve"> ، ص 229 ، المجلس 40 ، ح 12 ، بسند آخر عن زيد بن عليّ ، عن أبيه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الفقيه</w:t>
      </w:r>
      <w:r w:rsidR="008A74EB" w:rsidRPr="00C9040A">
        <w:rPr>
          <w:rtl/>
        </w:rPr>
        <w:t xml:space="preserve"> ، ج 4 ، ص 404 ، ح 5871 ، مرسلاً عن النبيّ </w:t>
      </w:r>
      <w:r w:rsidR="004A4E41" w:rsidRPr="00E51546">
        <w:rPr>
          <w:rStyle w:val="libFootnoteAlaemChar"/>
          <w:rtl/>
        </w:rPr>
        <w:t>صلى‌الله‌عليه‌وآله</w:t>
      </w:r>
      <w:r w:rsidR="008A74EB" w:rsidRPr="00C9040A">
        <w:rPr>
          <w:rtl/>
        </w:rPr>
        <w:t xml:space="preserve"> ، وفيهما مع اختلاف يسير</w:t>
      </w:r>
      <w:r w:rsidR="00E51546">
        <w:rPr>
          <w:rFonts w:hint="cs"/>
          <w:rtl/>
        </w:rPr>
        <w:t>.</w:t>
      </w:r>
      <w:r w:rsidR="008A74EB" w:rsidRPr="00993B55">
        <w:rPr>
          <w:rStyle w:val="libFootnoteBoldChar"/>
          <w:rtl/>
        </w:rPr>
        <w:t>الوافي</w:t>
      </w:r>
      <w:r w:rsidR="008A74EB" w:rsidRPr="00C9040A">
        <w:rPr>
          <w:rtl/>
        </w:rPr>
        <w:t xml:space="preserve"> ، ج 5 ، ص 1008 ، ح 3489 ؛ </w:t>
      </w:r>
      <w:r w:rsidR="008A74EB" w:rsidRPr="00993B55">
        <w:rPr>
          <w:rStyle w:val="libFootnoteBoldChar"/>
          <w:rtl/>
        </w:rPr>
        <w:t>الوسائل</w:t>
      </w:r>
      <w:r w:rsidR="008A74EB" w:rsidRPr="00C9040A">
        <w:rPr>
          <w:rtl/>
        </w:rPr>
        <w:t xml:space="preserve"> ، ج 15 ، ص 307 ، ح 20592 ؛ </w:t>
      </w:r>
      <w:r w:rsidR="008A74EB" w:rsidRPr="00993B55">
        <w:rPr>
          <w:rStyle w:val="libFootnoteBoldChar"/>
          <w:rtl/>
        </w:rPr>
        <w:t>البحار</w:t>
      </w:r>
      <w:r w:rsidR="008A74EB" w:rsidRPr="00C9040A">
        <w:rPr>
          <w:rtl/>
        </w:rPr>
        <w:t xml:space="preserve"> ، ج 73 ، ص 343 ، ح 27.</w:t>
      </w:r>
    </w:p>
    <w:p w:rsidR="008A74EB" w:rsidRPr="00C9040A" w:rsidRDefault="006C577F" w:rsidP="004A4E41">
      <w:pPr>
        <w:pStyle w:val="libFootnote0"/>
        <w:rPr>
          <w:rtl/>
          <w:lang w:bidi="fa-IR"/>
        </w:rPr>
      </w:pPr>
      <w:r>
        <w:rPr>
          <w:rtl/>
        </w:rPr>
        <w:t>(3).</w:t>
      </w:r>
      <w:r w:rsidR="008A74EB" w:rsidRPr="00C9040A">
        <w:rPr>
          <w:rtl/>
        </w:rPr>
        <w:t xml:space="preserve"> في الخصال : « ملكاً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 تُرَضُّون » ، أي تُدَقّون وتُجْرَشون ، والرضّ : الدقّ الجريش. والدقّ : كسر الشي‌ء قطعة قطعة ، والجرش : حكّ شي‌ء خشن بشي‌ء مثله. راجع : </w:t>
      </w:r>
      <w:r w:rsidR="008A74EB" w:rsidRPr="00993B55">
        <w:rPr>
          <w:rStyle w:val="libFootnoteBoldChar"/>
          <w:rtl/>
        </w:rPr>
        <w:t>ترتيب كتاب العين</w:t>
      </w:r>
      <w:r w:rsidR="008A74EB" w:rsidRPr="00C9040A">
        <w:rPr>
          <w:rtl/>
        </w:rPr>
        <w:t xml:space="preserve"> ، ج 1 ، ص 279 ؛ </w:t>
      </w:r>
      <w:r w:rsidR="008A74EB" w:rsidRPr="00993B55">
        <w:rPr>
          <w:rStyle w:val="libFootnoteBoldChar"/>
          <w:rtl/>
        </w:rPr>
        <w:t>لسان العرب</w:t>
      </w:r>
      <w:r w:rsidR="008A74EB" w:rsidRPr="00C9040A">
        <w:rPr>
          <w:rtl/>
        </w:rPr>
        <w:t xml:space="preserve"> ، ج 7 ، ص 154 ( رضض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w:t>
      </w:r>
      <w:r w:rsidR="006D3162">
        <w:rPr>
          <w:rtl/>
        </w:rPr>
        <w:t xml:space="preserve">ه </w:t>
      </w:r>
      <w:r w:rsidR="008A74EB" w:rsidRPr="00C9040A">
        <w:rPr>
          <w:rtl/>
        </w:rPr>
        <w:t>» : + « تمّت</w:t>
      </w:r>
      <w:r w:rsidR="008A74EB">
        <w:rPr>
          <w:rtl/>
        </w:rPr>
        <w:t xml:space="preserve"> </w:t>
      </w:r>
      <w:r w:rsidR="0084262C">
        <w:rPr>
          <w:rtl/>
        </w:rPr>
        <w:t>-</w:t>
      </w:r>
      <w:r w:rsidR="008A74EB">
        <w:rPr>
          <w:rtl/>
        </w:rPr>
        <w:t xml:space="preserve"> </w:t>
      </w:r>
      <w:r w:rsidR="008A74EB" w:rsidRPr="00C9040A">
        <w:rPr>
          <w:rtl/>
        </w:rPr>
        <w:t>والصحيح : « تمّ »</w:t>
      </w:r>
      <w:r w:rsidR="008A74EB">
        <w:rPr>
          <w:rtl/>
        </w:rPr>
        <w:t xml:space="preserve"> </w:t>
      </w:r>
      <w:r w:rsidR="0084262C">
        <w:rPr>
          <w:rtl/>
        </w:rPr>
        <w:t>-</w:t>
      </w:r>
      <w:r w:rsidR="008A74EB">
        <w:rPr>
          <w:rtl/>
        </w:rPr>
        <w:t xml:space="preserve"> </w:t>
      </w:r>
      <w:r w:rsidR="008A74EB" w:rsidRPr="00C9040A">
        <w:rPr>
          <w:rtl/>
        </w:rPr>
        <w:t>آخر الجزء الأوّل من كتاب الإيمان والكفر ، ويتلوه بمشيّة الله وعونه في الجزء الثاني. بسم الله الرحمن الرحيم »</w:t>
      </w:r>
      <w:r w:rsidR="008A74EB">
        <w:rPr>
          <w:rtl/>
        </w:rPr>
        <w:t>.</w:t>
      </w:r>
    </w:p>
    <w:p w:rsidR="008A74EB" w:rsidRPr="00C9040A" w:rsidRDefault="006C577F" w:rsidP="00162D9D">
      <w:pPr>
        <w:pStyle w:val="libFootnote0"/>
        <w:rPr>
          <w:rtl/>
          <w:lang w:bidi="fa-IR"/>
        </w:rPr>
      </w:pPr>
      <w:r>
        <w:rPr>
          <w:rtl/>
        </w:rPr>
        <w:t>(6).</w:t>
      </w:r>
      <w:r w:rsidR="008A74EB">
        <w:rPr>
          <w:rtl/>
        </w:rPr>
        <w:t xml:space="preserve"> </w:t>
      </w:r>
      <w:r w:rsidR="008A74EB" w:rsidRPr="00993B55">
        <w:rPr>
          <w:rStyle w:val="libFootnoteBoldChar"/>
          <w:rtl/>
        </w:rPr>
        <w:t>الخصال</w:t>
      </w:r>
      <w:r w:rsidR="008A74EB" w:rsidRPr="00C9040A">
        <w:rPr>
          <w:rtl/>
        </w:rPr>
        <w:t xml:space="preserve"> ، ص 128 ، باب الثلاثة ، ح 131 ، بسند آخر عن أبي عبدالله </w:t>
      </w:r>
      <w:r w:rsidR="00117575" w:rsidRPr="00117575">
        <w:rPr>
          <w:rStyle w:val="libFootnoteAlaemChar"/>
          <w:rtl/>
        </w:rPr>
        <w:t>عليه‌السلام</w:t>
      </w:r>
      <w:r w:rsidR="00162D9D">
        <w:rPr>
          <w:rStyle w:val="libFootnoteAlaemChar"/>
          <w:rFonts w:hint="cs"/>
          <w:rtl/>
        </w:rPr>
        <w:t>.</w:t>
      </w:r>
      <w:r w:rsidR="008A74EB" w:rsidRPr="00993B55">
        <w:rPr>
          <w:rStyle w:val="libFootnoteBoldChar"/>
          <w:rtl/>
        </w:rPr>
        <w:t>الوافي</w:t>
      </w:r>
      <w:r w:rsidR="008A74EB" w:rsidRPr="00C9040A">
        <w:rPr>
          <w:rtl/>
        </w:rPr>
        <w:t xml:space="preserve"> ، ج 5 ، ص 1008 ، ح 3490 ؛ </w:t>
      </w:r>
      <w:r w:rsidR="008A74EB" w:rsidRPr="00993B55">
        <w:rPr>
          <w:rStyle w:val="libFootnoteBoldChar"/>
          <w:rtl/>
        </w:rPr>
        <w:t>الوسائل</w:t>
      </w:r>
      <w:r w:rsidR="008A74EB" w:rsidRPr="00C9040A">
        <w:rPr>
          <w:rtl/>
        </w:rPr>
        <w:t xml:space="preserve"> ، ج 15 ، ص 307 ، ح 20593 ؛ </w:t>
      </w:r>
      <w:r w:rsidR="008A74EB" w:rsidRPr="00993B55">
        <w:rPr>
          <w:rStyle w:val="libFootnoteBoldChar"/>
          <w:rtl/>
        </w:rPr>
        <w:t>البحار</w:t>
      </w:r>
      <w:r w:rsidR="008A74EB" w:rsidRPr="00C9040A">
        <w:rPr>
          <w:rtl/>
        </w:rPr>
        <w:t xml:space="preserve"> ، ج 73 ، ص 344 ، ح 28.</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6A2246">
        <w:rPr>
          <w:rStyle w:val="libAieChar"/>
          <w:rtl/>
        </w:rPr>
        <w:t xml:space="preserve">سَيِّئاتِكُمْ وَنُدْخِلْكُمْ مُدْخَلاً كَرِيماً </w:t>
      </w:r>
      <w:r w:rsidRPr="0003660B">
        <w:rPr>
          <w:rStyle w:val="libAlaemChar"/>
          <w:rtl/>
        </w:rPr>
        <w:t>)</w:t>
      </w:r>
      <w:r w:rsidRPr="00C9040A">
        <w:rPr>
          <w:rtl/>
          <w:lang w:bidi="fa-IR"/>
        </w:rPr>
        <w:t xml:space="preserve"> </w:t>
      </w:r>
      <w:r w:rsidR="006C577F" w:rsidRPr="006C577F">
        <w:rPr>
          <w:rStyle w:val="libFootnotenumChar"/>
          <w:rtl/>
        </w:rPr>
        <w:t>(1)</w:t>
      </w:r>
      <w:r w:rsidRPr="00C9040A">
        <w:rPr>
          <w:rtl/>
          <w:lang w:bidi="fa-IR"/>
        </w:rPr>
        <w:t xml:space="preserve"> قَالَ : « الْكَبَائِرُ ، الَّتِي أَوْجَبَ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عَلَيْهَا النَّارَ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013684">
        <w:rPr>
          <w:rtl/>
        </w:rPr>
        <w:t>2443</w:t>
      </w:r>
      <w:r w:rsidRPr="00261CB0">
        <w:rPr>
          <w:rStyle w:val="libBold2Char"/>
          <w:rtl/>
        </w:rPr>
        <w:t xml:space="preserve"> / 2.</w:t>
      </w:r>
      <w:r w:rsidRPr="00C9040A">
        <w:rPr>
          <w:rtl/>
          <w:lang w:bidi="fa-IR"/>
        </w:rPr>
        <w:t xml:space="preserve"> عَنْهُ </w:t>
      </w:r>
      <w:r w:rsidR="006C577F" w:rsidRPr="006C577F">
        <w:rPr>
          <w:rStyle w:val="libFootnotenumChar"/>
          <w:rtl/>
        </w:rPr>
        <w:t>(3)</w:t>
      </w:r>
      <w:r w:rsidRPr="00C9040A">
        <w:rPr>
          <w:rtl/>
          <w:lang w:bidi="fa-IR"/>
        </w:rPr>
        <w:t xml:space="preserve"> ، عَنِ ابْنِ مَحْبُوبٍ ، قَالَ :</w:t>
      </w:r>
    </w:p>
    <w:p w:rsidR="008A74EB" w:rsidRPr="00C9040A" w:rsidRDefault="008A74EB" w:rsidP="008A74EB">
      <w:pPr>
        <w:pStyle w:val="libNormal"/>
        <w:rPr>
          <w:rtl/>
          <w:lang w:bidi="fa-IR"/>
        </w:rPr>
      </w:pPr>
      <w:r w:rsidRPr="00C9040A">
        <w:rPr>
          <w:rtl/>
          <w:lang w:bidi="fa-IR"/>
        </w:rPr>
        <w:t xml:space="preserve">كَتَبَ مَعِي </w:t>
      </w:r>
      <w:r w:rsidR="006C577F" w:rsidRPr="006C577F">
        <w:rPr>
          <w:rStyle w:val="libFootnotenumChar"/>
          <w:rtl/>
        </w:rPr>
        <w:t>(4)</w:t>
      </w:r>
      <w:r w:rsidRPr="00C9040A">
        <w:rPr>
          <w:rtl/>
          <w:lang w:bidi="fa-IR"/>
        </w:rPr>
        <w:t xml:space="preserve"> بَعْضُ أَصْحَابِنَا إِلى أَبِي الْحَسَنِ </w:t>
      </w:r>
      <w:r w:rsidRPr="0003660B">
        <w:rPr>
          <w:rStyle w:val="libAlaemChar"/>
          <w:rtl/>
        </w:rPr>
        <w:t>عليه‌السلام</w:t>
      </w:r>
      <w:r w:rsidRPr="00C9040A">
        <w:rPr>
          <w:rtl/>
          <w:lang w:bidi="fa-IR"/>
        </w:rPr>
        <w:t xml:space="preserve"> يَسْأَلُهُ عَنِ الْكَبَائِرِ : كَمْ هِيَ</w:t>
      </w:r>
      <w:r>
        <w:rPr>
          <w:rtl/>
          <w:lang w:bidi="fa-IR"/>
        </w:rPr>
        <w:t>؟</w:t>
      </w:r>
      <w:r w:rsidRPr="00C9040A">
        <w:rPr>
          <w:rtl/>
          <w:lang w:bidi="fa-IR"/>
        </w:rPr>
        <w:t xml:space="preserve"> وَمَا هِيَ</w:t>
      </w:r>
      <w:r>
        <w:rPr>
          <w:rtl/>
          <w:lang w:bidi="fa-IR"/>
        </w:rPr>
        <w:t>؟</w:t>
      </w:r>
      <w:r w:rsidRPr="00C9040A">
        <w:rPr>
          <w:rtl/>
          <w:lang w:bidi="fa-IR"/>
        </w:rPr>
        <w:t xml:space="preserve"> فَكَتَبَ </w:t>
      </w:r>
      <w:r w:rsidR="006C577F" w:rsidRPr="006C577F">
        <w:rPr>
          <w:rStyle w:val="libFootnotenumChar"/>
          <w:rtl/>
        </w:rPr>
        <w:t>(5)</w:t>
      </w:r>
      <w:r w:rsidRPr="00C9040A">
        <w:rPr>
          <w:rtl/>
          <w:lang w:bidi="fa-IR"/>
        </w:rPr>
        <w:t xml:space="preserve"> : « الْكَبَائِرُ </w:t>
      </w:r>
      <w:r w:rsidR="006C577F" w:rsidRPr="006C577F">
        <w:rPr>
          <w:rStyle w:val="libFootnotenumChar"/>
          <w:rtl/>
        </w:rPr>
        <w:t>(6)</w:t>
      </w:r>
      <w:r w:rsidRPr="00C9040A">
        <w:rPr>
          <w:rtl/>
          <w:lang w:bidi="fa-IR"/>
        </w:rPr>
        <w:t xml:space="preserve">: مَنِ اجْتَنَبَ </w:t>
      </w:r>
      <w:r w:rsidR="006C577F" w:rsidRPr="006C577F">
        <w:rPr>
          <w:rStyle w:val="libFootnotenumChar"/>
          <w:rtl/>
        </w:rPr>
        <w:t>(7)</w:t>
      </w:r>
      <w:r w:rsidRPr="00C9040A">
        <w:rPr>
          <w:rtl/>
          <w:lang w:bidi="fa-IR"/>
        </w:rPr>
        <w:t xml:space="preserve"> مَا وَعَدَ </w:t>
      </w:r>
      <w:r w:rsidR="006C577F" w:rsidRPr="006C577F">
        <w:rPr>
          <w:rStyle w:val="libFootnotenumChar"/>
          <w:rtl/>
        </w:rPr>
        <w:t>(8)</w:t>
      </w:r>
      <w:r w:rsidRPr="00C9040A">
        <w:rPr>
          <w:rtl/>
          <w:lang w:bidi="fa-IR"/>
        </w:rPr>
        <w:t xml:space="preserve"> اللهُ عَلَيْهِ النَّارَ ، كَفَّرَ عَنْهُ سَيِّئَاتِهِ إِذَا كَانَ مُؤْمِناً ، وَالسَّبْعُ الْمُوجِبَاتُ </w:t>
      </w:r>
      <w:r w:rsidR="006C577F" w:rsidRPr="006C577F">
        <w:rPr>
          <w:rStyle w:val="libFootnotenumChar"/>
          <w:rtl/>
        </w:rPr>
        <w:t>(9)</w:t>
      </w:r>
      <w:r w:rsidRPr="00C9040A">
        <w:rPr>
          <w:rtl/>
          <w:lang w:bidi="fa-IR"/>
        </w:rPr>
        <w:t xml:space="preserve"> : قَتْلُ النَّفْسِ الْحَرَامِ ، وَعُقُوقُ الْوَالِدَيْنِ ، وَأَكْلُ الرِّبَا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النساء </w:t>
      </w:r>
      <w:r w:rsidR="00162D9D">
        <w:rPr>
          <w:rtl/>
        </w:rPr>
        <w:t>(4)</w:t>
      </w:r>
      <w:r w:rsidR="008A74EB" w:rsidRPr="00C9040A">
        <w:rPr>
          <w:rtl/>
        </w:rPr>
        <w:t xml:space="preserve"> : 31.</w:t>
      </w:r>
    </w:p>
    <w:p w:rsidR="008A74EB" w:rsidRPr="00C9040A" w:rsidRDefault="006C577F" w:rsidP="00162D9D">
      <w:pPr>
        <w:pStyle w:val="libFootnote0"/>
        <w:rPr>
          <w:rtl/>
          <w:lang w:bidi="fa-IR"/>
        </w:rPr>
      </w:pPr>
      <w:r>
        <w:rPr>
          <w:rtl/>
        </w:rPr>
        <w:t>(2).</w:t>
      </w:r>
      <w:r w:rsidR="008A74EB">
        <w:rPr>
          <w:rtl/>
        </w:rPr>
        <w:t xml:space="preserve"> </w:t>
      </w:r>
      <w:r w:rsidR="008A74EB" w:rsidRPr="00993B55">
        <w:rPr>
          <w:rStyle w:val="libFootnoteBoldChar"/>
          <w:rtl/>
        </w:rPr>
        <w:t>ثواب الأعمال</w:t>
      </w:r>
      <w:r w:rsidR="008A74EB" w:rsidRPr="00C9040A">
        <w:rPr>
          <w:rtl/>
        </w:rPr>
        <w:t xml:space="preserve"> ، ص 158 ، ح 1 ، بسند آخر عن أحمد بن عمر الحلبي ، عن أبي عبدالله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وفيه</w:t>
      </w:r>
      <w:r w:rsidR="008A74EB" w:rsidRPr="00C9040A">
        <w:rPr>
          <w:rtl/>
        </w:rPr>
        <w:t xml:space="preserve"> ، ح 2 ، بسند آخر عن الرضا </w:t>
      </w:r>
      <w:r w:rsidR="00117575" w:rsidRPr="00117575">
        <w:rPr>
          <w:rStyle w:val="libFootnoteAlaemChar"/>
          <w:rtl/>
        </w:rPr>
        <w:t>عليه‌السلام</w:t>
      </w:r>
      <w:r w:rsidR="008A74EB" w:rsidRPr="00C9040A">
        <w:rPr>
          <w:rtl/>
        </w:rPr>
        <w:t xml:space="preserve"> ، وفيهما مع زيادة في آخره ؛ </w:t>
      </w:r>
      <w:r w:rsidR="008A74EB" w:rsidRPr="00993B55">
        <w:rPr>
          <w:rStyle w:val="libFootnoteBoldChar"/>
          <w:rtl/>
        </w:rPr>
        <w:t>الفقيه</w:t>
      </w:r>
      <w:r w:rsidR="008A74EB" w:rsidRPr="00C9040A">
        <w:rPr>
          <w:rtl/>
        </w:rPr>
        <w:t xml:space="preserve"> ، ج 3 ، ص 569 ، ح 4944 ، بسند آخر عن أبي جعفر </w:t>
      </w:r>
      <w:r w:rsidR="00117575" w:rsidRPr="00117575">
        <w:rPr>
          <w:rStyle w:val="libFootnoteAlaemChar"/>
          <w:rtl/>
        </w:rPr>
        <w:t>عليه‌السلام</w:t>
      </w:r>
      <w:r w:rsidR="008A74EB" w:rsidRPr="00C9040A">
        <w:rPr>
          <w:rtl/>
        </w:rPr>
        <w:t xml:space="preserve"> ؛ </w:t>
      </w:r>
      <w:r w:rsidR="008A74EB" w:rsidRPr="00993B55">
        <w:rPr>
          <w:rStyle w:val="libFootnoteBoldChar"/>
          <w:rtl/>
        </w:rPr>
        <w:t>مسائل عليّ بن جعفر</w:t>
      </w:r>
      <w:r w:rsidR="008A74EB" w:rsidRPr="00C9040A">
        <w:rPr>
          <w:rtl/>
        </w:rPr>
        <w:t xml:space="preserve"> </w:t>
      </w:r>
      <w:r w:rsidR="00117575" w:rsidRPr="00117575">
        <w:rPr>
          <w:rStyle w:val="libFootnoteAlaemChar"/>
          <w:rtl/>
        </w:rPr>
        <w:t>عليه‌السلام</w:t>
      </w:r>
      <w:r w:rsidR="008A74EB" w:rsidRPr="00C9040A">
        <w:rPr>
          <w:rtl/>
        </w:rPr>
        <w:t xml:space="preserve"> ، ص 149 ، ح 191 ، بسند آخر عن موسى بن جعفر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تفسير العيّاشي</w:t>
      </w:r>
      <w:r w:rsidR="008A74EB" w:rsidRPr="00C9040A">
        <w:rPr>
          <w:rtl/>
        </w:rPr>
        <w:t xml:space="preserve"> ، ج 1 ، ص 238 ، ح 112 ، عن محمّد بن الفضيل ، عن أبي الحسن </w:t>
      </w:r>
      <w:r w:rsidR="00117575" w:rsidRPr="00117575">
        <w:rPr>
          <w:rStyle w:val="libFootnoteAlaemChar"/>
          <w:rtl/>
        </w:rPr>
        <w:t>عليه‌السلام</w:t>
      </w:r>
      <w:r w:rsidR="008A74EB" w:rsidRPr="00C9040A">
        <w:rPr>
          <w:rtl/>
        </w:rPr>
        <w:t xml:space="preserve"> ، مع زيادة في آخره. </w:t>
      </w:r>
      <w:r w:rsidR="008A74EB" w:rsidRPr="00993B55">
        <w:rPr>
          <w:rStyle w:val="libFootnoteBoldChar"/>
          <w:rtl/>
        </w:rPr>
        <w:t>وفيه</w:t>
      </w:r>
      <w:r w:rsidR="008A74EB" w:rsidRPr="00C9040A">
        <w:rPr>
          <w:rtl/>
        </w:rPr>
        <w:t xml:space="preserve"> ، ص 239 ، ح 114 ، عن كثير النوا ، عن أبي جعفر </w:t>
      </w:r>
      <w:r w:rsidR="00117575" w:rsidRPr="00117575">
        <w:rPr>
          <w:rStyle w:val="libFootnoteAlaemChar"/>
          <w:rtl/>
        </w:rPr>
        <w:t>عليه‌السلام</w:t>
      </w:r>
      <w:r w:rsidR="008A74EB" w:rsidRPr="00C9040A">
        <w:rPr>
          <w:rtl/>
        </w:rPr>
        <w:t xml:space="preserve"> ، من دون ذكر الآية ، وفي كلّها مع اختلاف يسير</w:t>
      </w:r>
      <w:r w:rsidR="00162D9D">
        <w:rPr>
          <w:rFonts w:hint="cs"/>
          <w:rtl/>
        </w:rPr>
        <w:t>.</w:t>
      </w:r>
      <w:r w:rsidR="008A74EB" w:rsidRPr="00993B55">
        <w:rPr>
          <w:rStyle w:val="libFootnoteBoldChar"/>
          <w:rtl/>
        </w:rPr>
        <w:t>الوافي</w:t>
      </w:r>
      <w:r w:rsidR="008A74EB" w:rsidRPr="00C9040A">
        <w:rPr>
          <w:rtl/>
        </w:rPr>
        <w:t xml:space="preserve"> ، ج 5 ، ص 1049 ، ح 3567 ؛ </w:t>
      </w:r>
      <w:r w:rsidR="008A74EB" w:rsidRPr="00993B55">
        <w:rPr>
          <w:rStyle w:val="libFootnoteBoldChar"/>
          <w:rtl/>
        </w:rPr>
        <w:t>الوسائل</w:t>
      </w:r>
      <w:r w:rsidR="008A74EB" w:rsidRPr="00C9040A">
        <w:rPr>
          <w:rtl/>
        </w:rPr>
        <w:t xml:space="preserve"> ، ج 15 ، ص 315 ، ح 20620.</w:t>
      </w:r>
    </w:p>
    <w:p w:rsidR="008A74EB" w:rsidRPr="00C9040A" w:rsidRDefault="006C577F" w:rsidP="004A4E41">
      <w:pPr>
        <w:pStyle w:val="libFootnote0"/>
        <w:rPr>
          <w:rtl/>
          <w:lang w:bidi="fa-IR"/>
        </w:rPr>
      </w:pPr>
      <w:r>
        <w:rPr>
          <w:rtl/>
        </w:rPr>
        <w:t>(3).</w:t>
      </w:r>
      <w:r w:rsidR="008A74EB" w:rsidRPr="00C9040A">
        <w:rPr>
          <w:rtl/>
        </w:rPr>
        <w:t xml:space="preserve"> الضمير راجع إلى أحمد بن محمّد المذكور في السند السابق.</w:t>
      </w:r>
    </w:p>
    <w:p w:rsidR="008A74EB" w:rsidRPr="00C9040A" w:rsidRDefault="006C577F" w:rsidP="004A4E41">
      <w:pPr>
        <w:pStyle w:val="libFootnote0"/>
        <w:rPr>
          <w:rtl/>
          <w:lang w:bidi="fa-IR"/>
        </w:rPr>
      </w:pPr>
      <w:r>
        <w:rPr>
          <w:rtl/>
        </w:rPr>
        <w:t>(4).</w:t>
      </w:r>
      <w:r w:rsidR="008A74EB" w:rsidRPr="00C9040A">
        <w:rPr>
          <w:rtl/>
        </w:rPr>
        <w:t xml:space="preserve"> في « </w:t>
      </w:r>
      <w:r w:rsidR="006D3162">
        <w:rPr>
          <w:rtl/>
        </w:rPr>
        <w:t xml:space="preserve">ه </w:t>
      </w:r>
      <w:r w:rsidR="008A74EB" w:rsidRPr="00C9040A">
        <w:rPr>
          <w:rtl/>
        </w:rPr>
        <w:t xml:space="preserve">» </w:t>
      </w:r>
      <w:r w:rsidR="008A74EB">
        <w:rPr>
          <w:rtl/>
        </w:rPr>
        <w:t xml:space="preserve">: </w:t>
      </w:r>
      <w:r w:rsidR="0084262C">
        <w:rPr>
          <w:rtl/>
        </w:rPr>
        <w:t>-</w:t>
      </w:r>
      <w:r w:rsidR="008A74EB" w:rsidRPr="00C9040A">
        <w:rPr>
          <w:rtl/>
        </w:rPr>
        <w:t xml:space="preserve"> « معي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ب » : « قال » بدل « وما هي فكتب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لفظ « الكبائر » خبر مبتدأ محذوف بتقدير مضاف أو مضافين ، أي هذا بيان الكبائر ، أو بيان حقيقة الكبائر. أو هو مفعول « كتب » كما بعدها ، أي كتب لفظ الكبائر في صدر الكتاب ؛ ليعلم أنّ ما بعدها متعلّق ببيانها ، كما هو المتعارف في ذكر الشي‌ء مجملاً ثمّ مفصّلاً ، وفي ذكر العنوانات. وقيل غير ذلك من الوجوه. راجع : </w:t>
      </w:r>
      <w:r w:rsidR="008A74EB" w:rsidRPr="00993B55">
        <w:rPr>
          <w:rStyle w:val="libFootnoteBoldChar"/>
          <w:rtl/>
        </w:rPr>
        <w:t>شرح المازندراني</w:t>
      </w:r>
      <w:r w:rsidR="008A74EB" w:rsidRPr="00C9040A">
        <w:rPr>
          <w:rtl/>
        </w:rPr>
        <w:t xml:space="preserve"> ، ج 9 ، ص 243 ؛ </w:t>
      </w:r>
      <w:r w:rsidR="008A74EB" w:rsidRPr="00993B55">
        <w:rPr>
          <w:rStyle w:val="libFootnoteBoldChar"/>
          <w:rtl/>
        </w:rPr>
        <w:t>الوافي</w:t>
      </w:r>
      <w:r w:rsidR="008A74EB" w:rsidRPr="00C9040A">
        <w:rPr>
          <w:rtl/>
        </w:rPr>
        <w:t xml:space="preserve"> ، ج 5 ، ص 1049 ؛ </w:t>
      </w:r>
      <w:r w:rsidR="008A74EB" w:rsidRPr="00993B55">
        <w:rPr>
          <w:rStyle w:val="libFootnoteBoldChar"/>
          <w:rtl/>
        </w:rPr>
        <w:t>مرآة العقول</w:t>
      </w:r>
      <w:r w:rsidR="008A74EB" w:rsidRPr="00C9040A">
        <w:rPr>
          <w:rtl/>
        </w:rPr>
        <w:t xml:space="preserve"> ، ج 10 ، ص 6.</w:t>
      </w:r>
    </w:p>
    <w:p w:rsidR="008A74EB" w:rsidRPr="00C9040A" w:rsidRDefault="006C577F" w:rsidP="004A4E41">
      <w:pPr>
        <w:pStyle w:val="libFootnote0"/>
        <w:rPr>
          <w:rtl/>
          <w:lang w:bidi="fa-IR"/>
        </w:rPr>
      </w:pPr>
      <w:r>
        <w:rPr>
          <w:rtl/>
        </w:rPr>
        <w:t>(7).</w:t>
      </w:r>
      <w:r w:rsidR="008A74EB" w:rsidRPr="00C9040A">
        <w:rPr>
          <w:rtl/>
        </w:rPr>
        <w:t xml:space="preserve"> « من اجتنب » مبتدأ ، </w:t>
      </w:r>
      <w:r w:rsidR="008A74EB">
        <w:rPr>
          <w:rtl/>
        </w:rPr>
        <w:t>و «</w:t>
      </w:r>
      <w:r w:rsidR="008A74EB" w:rsidRPr="00C9040A">
        <w:rPr>
          <w:rtl/>
        </w:rPr>
        <w:t xml:space="preserve"> كفّر » على بناء المعلوم أو المجهول خبره. أو « الكبائر » مبتدأ </w:t>
      </w:r>
      <w:r w:rsidR="008A74EB">
        <w:rPr>
          <w:rtl/>
        </w:rPr>
        <w:t>و «</w:t>
      </w:r>
      <w:r w:rsidR="008A74EB" w:rsidRPr="00C9040A">
        <w:rPr>
          <w:rtl/>
        </w:rPr>
        <w:t xml:space="preserve"> من اجتنب » خبره بتقدير مضاف ، أي ذنوب من اجتنب ، وجملة « كفّر عنه سيّئاته » معترضة ، </w:t>
      </w:r>
      <w:r w:rsidR="008A74EB">
        <w:rPr>
          <w:rtl/>
        </w:rPr>
        <w:t>و «</w:t>
      </w:r>
      <w:r w:rsidR="008A74EB" w:rsidRPr="00C9040A">
        <w:rPr>
          <w:rtl/>
        </w:rPr>
        <w:t xml:space="preserve"> السبع الموجبات » معطوف على الخبر عطفاً تفسيريّاً ، وقيل غير ذلك. راجع : </w:t>
      </w:r>
      <w:r w:rsidR="008A74EB" w:rsidRPr="00993B55">
        <w:rPr>
          <w:rStyle w:val="libFootnoteBoldChar"/>
          <w:rtl/>
        </w:rPr>
        <w:t>مرآة العقول</w:t>
      </w:r>
      <w:r w:rsidR="008A74EB" w:rsidRPr="00C9040A">
        <w:rPr>
          <w:rtl/>
        </w:rPr>
        <w:t>.</w:t>
      </w:r>
    </w:p>
    <w:p w:rsidR="008A74EB" w:rsidRPr="00C9040A" w:rsidRDefault="006C577F" w:rsidP="004A4E41">
      <w:pPr>
        <w:pStyle w:val="libFootnote0"/>
        <w:rPr>
          <w:rtl/>
          <w:lang w:bidi="fa-IR"/>
        </w:rPr>
      </w:pPr>
      <w:r>
        <w:rPr>
          <w:rtl/>
        </w:rPr>
        <w:t>(8).</w:t>
      </w:r>
      <w:r w:rsidR="008A74EB" w:rsidRPr="00C9040A">
        <w:rPr>
          <w:rtl/>
        </w:rPr>
        <w:t xml:space="preserve"> في « </w:t>
      </w:r>
      <w:r w:rsidR="006D3162">
        <w:rPr>
          <w:rtl/>
        </w:rPr>
        <w:t xml:space="preserve">ه </w:t>
      </w:r>
      <w:r w:rsidR="008A74EB" w:rsidRPr="00C9040A">
        <w:rPr>
          <w:rtl/>
        </w:rPr>
        <w:t>» : « وعّد » بالتشديد.</w:t>
      </w:r>
    </w:p>
    <w:p w:rsidR="008A74EB" w:rsidRPr="00C9040A" w:rsidRDefault="006C577F" w:rsidP="004A4E41">
      <w:pPr>
        <w:pStyle w:val="libFootnote0"/>
        <w:rPr>
          <w:rtl/>
          <w:lang w:bidi="fa-IR"/>
        </w:rPr>
      </w:pPr>
      <w:r>
        <w:rPr>
          <w:rtl/>
        </w:rPr>
        <w:t>(9).</w:t>
      </w:r>
      <w:r w:rsidR="008A74EB" w:rsidRPr="00C9040A">
        <w:rPr>
          <w:rtl/>
        </w:rPr>
        <w:t xml:space="preserve"> « السبع الموجبات » عطف على « ما وعد الله » ، أي من اجتنب السبع الموجبات للنار كفّر عنه سيّئاته ، من باب‌عطف الخاصّ على العامّ. أو مبتدأ </w:t>
      </w:r>
      <w:r w:rsidR="008A74EB">
        <w:rPr>
          <w:rtl/>
        </w:rPr>
        <w:t>و «</w:t>
      </w:r>
      <w:r w:rsidR="008A74EB" w:rsidRPr="00C9040A">
        <w:rPr>
          <w:rtl/>
        </w:rPr>
        <w:t xml:space="preserve"> قتل النفس » خبره. أو عطف على « من اجتنب » أي الكبائر السبع الموجبات. وأمّا « الموجبات » فبفتح الجيم ، أي التي أوجب الله عليها النار. أو بكسرها ، أي التي توجب النار.</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وَالتَّعَرُّبُ بَعْدَ الْهِجْرَةِ </w:t>
      </w:r>
      <w:r w:rsidR="006C577F" w:rsidRPr="006C577F">
        <w:rPr>
          <w:rStyle w:val="libFootnotenumChar"/>
          <w:rtl/>
        </w:rPr>
        <w:t>(1)</w:t>
      </w:r>
      <w:r w:rsidRPr="00C9040A">
        <w:rPr>
          <w:rtl/>
          <w:lang w:bidi="fa-IR"/>
        </w:rPr>
        <w:t xml:space="preserve"> ، وَقَذْفُ الْمُحْصَنَاتِ </w:t>
      </w:r>
      <w:r w:rsidR="006C577F" w:rsidRPr="006C577F">
        <w:rPr>
          <w:rStyle w:val="libFootnotenumChar"/>
          <w:rtl/>
        </w:rPr>
        <w:t>(2)</w:t>
      </w:r>
      <w:r w:rsidRPr="00C9040A">
        <w:rPr>
          <w:rtl/>
          <w:lang w:bidi="fa-IR"/>
        </w:rPr>
        <w:t xml:space="preserve"> ، وَأَكْلُ مَالِ الْيَتِيمِ ، وَالْفِرَارُ مِنَ الزَّحْفِ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FF4BA1">
        <w:rPr>
          <w:rtl/>
        </w:rPr>
        <w:t>2444</w:t>
      </w:r>
      <w:r w:rsidRPr="00261CB0">
        <w:rPr>
          <w:rStyle w:val="libBold2Char"/>
          <w:rtl/>
        </w:rPr>
        <w:t xml:space="preserve"> / 3.</w:t>
      </w:r>
      <w:r w:rsidRPr="00C9040A">
        <w:rPr>
          <w:rtl/>
          <w:lang w:bidi="fa-IR"/>
        </w:rPr>
        <w:t xml:space="preserve"> عَلِيُّ بْنُ إِبْرَاهِيمَ ، عَنْ مُحَمَّدِ بْنِ عِيسى ، عَنْ يُونُسَ ، عَنْ عَبْدِ اللهِ بْنِ مُسْكَانَ ، عَنْ مُحَمَّدِ بْنِ مُسْلِمٍ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سَمِعْتُهُ يَقُولُ </w:t>
      </w:r>
      <w:r w:rsidR="006C577F" w:rsidRPr="006C577F">
        <w:rPr>
          <w:rStyle w:val="libFootnotenumChar"/>
          <w:rtl/>
        </w:rPr>
        <w:t>(4)</w:t>
      </w:r>
      <w:r w:rsidRPr="00C9040A">
        <w:rPr>
          <w:rtl/>
          <w:lang w:bidi="fa-IR"/>
        </w:rPr>
        <w:t xml:space="preserve"> : « الْكَبَائِرُ سَبْعٌ : قَتْلُ الْمُؤْمِنِ مُتَعَمِّداً ، وَقَذْفُ الُمحْصَنَةِ ، وَالْفِرَارُ مِنَ الزَّحْفِ ، وَالتَّعَرُّبُ بَعْدَ الْهِجْرَةِ ، وَأَكْلُ مَالِ الْيَتِيمِ ظُلْماً ، وَأَكْلُ الرِّبَا بَعْدَ الْبَيِّنَةِ </w:t>
      </w:r>
      <w:r w:rsidR="006C577F" w:rsidRPr="006C577F">
        <w:rPr>
          <w:rStyle w:val="libFootnotenumChar"/>
          <w:rtl/>
        </w:rPr>
        <w:t>(5)</w:t>
      </w:r>
      <w:r w:rsidRPr="00C9040A">
        <w:rPr>
          <w:rtl/>
          <w:lang w:bidi="fa-IR"/>
        </w:rPr>
        <w:t xml:space="preserve"> ، وَكُلُّ مَا أَوْجَبَ اللهُ عَلَيْهِ النَّارَ »</w:t>
      </w:r>
      <w:r>
        <w:rPr>
          <w:rtl/>
          <w:lang w:bidi="fa-IR"/>
        </w:rPr>
        <w:t>.</w:t>
      </w:r>
      <w:r w:rsidRPr="00C9040A">
        <w:rPr>
          <w:rtl/>
          <w:lang w:bidi="fa-IR"/>
        </w:rPr>
        <w:t xml:space="preserve"> </w:t>
      </w:r>
      <w:r w:rsidR="006C577F" w:rsidRPr="006C577F">
        <w:rPr>
          <w:rStyle w:val="libFootnotenumChar"/>
          <w:rtl/>
        </w:rPr>
        <w:t>(6)</w:t>
      </w:r>
      <w:r w:rsidRPr="00C9040A">
        <w:rPr>
          <w:rtl/>
          <w:lang w:bidi="fa-IR"/>
        </w:rPr>
        <w:t>‌</w:t>
      </w:r>
    </w:p>
    <w:p w:rsidR="008A74EB" w:rsidRPr="00C9040A" w:rsidRDefault="008A74EB" w:rsidP="008A74EB">
      <w:pPr>
        <w:pStyle w:val="libNormal"/>
        <w:rPr>
          <w:rtl/>
          <w:lang w:bidi="fa-IR"/>
        </w:rPr>
      </w:pPr>
      <w:r w:rsidRPr="00FF4BA1">
        <w:rPr>
          <w:rtl/>
        </w:rPr>
        <w:t>2445</w:t>
      </w:r>
      <w:r w:rsidRPr="00261CB0">
        <w:rPr>
          <w:rStyle w:val="libBold2Char"/>
          <w:rtl/>
        </w:rPr>
        <w:t xml:space="preserve"> / 4.</w:t>
      </w:r>
      <w:r w:rsidRPr="00C9040A">
        <w:rPr>
          <w:rtl/>
          <w:lang w:bidi="fa-IR"/>
        </w:rPr>
        <w:t xml:space="preserve"> يُونُسُ </w:t>
      </w:r>
      <w:r w:rsidR="006C577F" w:rsidRPr="006C577F">
        <w:rPr>
          <w:rStyle w:val="libFootnotenumChar"/>
          <w:rtl/>
        </w:rPr>
        <w:t>(7)</w:t>
      </w:r>
      <w:r w:rsidRPr="00C9040A">
        <w:rPr>
          <w:rtl/>
          <w:lang w:bidi="fa-IR"/>
        </w:rPr>
        <w:t xml:space="preserve"> ، عَنْ عَبْدِ اللهِ بْنِ سِنَانٍ ، قَالَ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 التعرّب بعد الهجرة » هو أن يعود إلى البادية ويقيم مع الأعراب بعد أن كان مهاجراً. وكان من رجع بعد الهجرة إلى موضعه من غير عذر ، يعدّونه كالمرتدّ. </w:t>
      </w:r>
      <w:r w:rsidR="008A74EB" w:rsidRPr="00993B55">
        <w:rPr>
          <w:rStyle w:val="libFootnoteBoldChar"/>
          <w:rtl/>
        </w:rPr>
        <w:t>النهاية</w:t>
      </w:r>
      <w:r w:rsidR="008A74EB" w:rsidRPr="00C9040A">
        <w:rPr>
          <w:rtl/>
        </w:rPr>
        <w:t xml:space="preserve"> ، ج 3 ، ص 202 ( عرب )</w:t>
      </w:r>
      <w:r w:rsidR="008A74EB">
        <w:rPr>
          <w:rtl/>
        </w:rPr>
        <w:t>.</w:t>
      </w:r>
      <w:r w:rsidR="008A74EB" w:rsidRPr="00C9040A">
        <w:rPr>
          <w:rtl/>
        </w:rPr>
        <w:t xml:space="preserve"> وفي </w:t>
      </w:r>
      <w:r w:rsidR="008A74EB" w:rsidRPr="00993B55">
        <w:rPr>
          <w:rStyle w:val="libFootnoteBoldChar"/>
          <w:rtl/>
        </w:rPr>
        <w:t>الوافي</w:t>
      </w:r>
      <w:r w:rsidR="008A74EB" w:rsidRPr="00C9040A">
        <w:rPr>
          <w:rtl/>
        </w:rPr>
        <w:t xml:space="preserve"> بعد نقل ما في </w:t>
      </w:r>
      <w:r w:rsidR="008A74EB" w:rsidRPr="00993B55">
        <w:rPr>
          <w:rStyle w:val="libFootnoteBoldChar"/>
          <w:rtl/>
        </w:rPr>
        <w:t>النهاية</w:t>
      </w:r>
      <w:r w:rsidR="008A74EB" w:rsidRPr="00C9040A">
        <w:rPr>
          <w:rtl/>
        </w:rPr>
        <w:t xml:space="preserve"> : « ولايبعد تعميمه لكلّ من تعلّم آداب الشرع وسُننه ، ثمّ تركها وأعرض عنها ولم يعمل بها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ب ، ج ، د ، ف ، </w:t>
      </w:r>
      <w:r w:rsidR="006D3162">
        <w:rPr>
          <w:rtl/>
        </w:rPr>
        <w:t xml:space="preserve">ه </w:t>
      </w:r>
      <w:r w:rsidR="008A74EB" w:rsidRPr="00C9040A">
        <w:rPr>
          <w:rtl/>
        </w:rPr>
        <w:t>، بر ، بس ، بف » وشرح المازندراني والوافي ومرآة العقول والوسائل : « المحصنة »</w:t>
      </w:r>
      <w:r w:rsidR="008A74EB">
        <w:rPr>
          <w:rtl/>
        </w:rPr>
        <w:t>.</w:t>
      </w:r>
      <w:r w:rsidR="008A74EB" w:rsidRPr="00C9040A">
        <w:rPr>
          <w:rtl/>
        </w:rPr>
        <w:t xml:space="preserve"> وهي المعروفة بالعفّة.</w:t>
      </w:r>
    </w:p>
    <w:p w:rsidR="008A74EB" w:rsidRPr="00C9040A" w:rsidRDefault="006C577F" w:rsidP="00705872">
      <w:pPr>
        <w:pStyle w:val="libFootnote0"/>
        <w:rPr>
          <w:rtl/>
          <w:lang w:bidi="fa-IR"/>
        </w:rPr>
      </w:pPr>
      <w:r>
        <w:rPr>
          <w:rtl/>
        </w:rPr>
        <w:t>(3).</w:t>
      </w:r>
      <w:r w:rsidR="008A74EB" w:rsidRPr="00C9040A">
        <w:rPr>
          <w:rtl/>
        </w:rPr>
        <w:t xml:space="preserve"> </w:t>
      </w:r>
      <w:r w:rsidR="008A74EB" w:rsidRPr="00993B55">
        <w:rPr>
          <w:rStyle w:val="libFootnoteBoldChar"/>
          <w:rtl/>
        </w:rPr>
        <w:t>ثواب‌الأعمال ،</w:t>
      </w:r>
      <w:r w:rsidR="008A74EB" w:rsidRPr="00C9040A">
        <w:rPr>
          <w:rtl/>
        </w:rPr>
        <w:t xml:space="preserve"> ص 158 ، ح 1 ، بسند آخر عن أبي عبدالله </w:t>
      </w:r>
      <w:r w:rsidR="00117575" w:rsidRPr="00117575">
        <w:rPr>
          <w:rStyle w:val="libFootnoteAlaemChar"/>
          <w:rtl/>
        </w:rPr>
        <w:t>عليه‌السلام</w:t>
      </w:r>
      <w:r w:rsidR="008A74EB" w:rsidRPr="00C9040A">
        <w:rPr>
          <w:rtl/>
        </w:rPr>
        <w:t xml:space="preserve"> ، من قوله : « من اجتنب ما وعد الله » مع اختلاف يسيرو زيادة في أوّله. راجع : </w:t>
      </w:r>
      <w:r w:rsidR="008A74EB" w:rsidRPr="00993B55">
        <w:rPr>
          <w:rStyle w:val="libFootnoteBoldChar"/>
          <w:rtl/>
        </w:rPr>
        <w:t>الفقيه</w:t>
      </w:r>
      <w:r w:rsidR="008A74EB" w:rsidRPr="00C9040A">
        <w:rPr>
          <w:rtl/>
        </w:rPr>
        <w:t xml:space="preserve"> ، ج 3 ، ص 565 ، ح 4934</w:t>
      </w:r>
      <w:r w:rsidR="00705872">
        <w:rPr>
          <w:rFonts w:hint="cs"/>
          <w:rtl/>
        </w:rPr>
        <w:t>.</w:t>
      </w:r>
      <w:r w:rsidR="008A74EB" w:rsidRPr="00993B55">
        <w:rPr>
          <w:rStyle w:val="libFootnoteBoldChar"/>
          <w:rtl/>
        </w:rPr>
        <w:t>الوافي</w:t>
      </w:r>
      <w:r w:rsidR="008A74EB" w:rsidRPr="00C9040A">
        <w:rPr>
          <w:rtl/>
        </w:rPr>
        <w:t xml:space="preserve"> ، ج 5 ، ص 1049 ، ح 3568 ؛ </w:t>
      </w:r>
      <w:r w:rsidR="008A74EB" w:rsidRPr="00993B55">
        <w:rPr>
          <w:rStyle w:val="libFootnoteBoldChar"/>
          <w:rtl/>
        </w:rPr>
        <w:t>الوسائل</w:t>
      </w:r>
      <w:r w:rsidR="008A74EB" w:rsidRPr="00C9040A">
        <w:rPr>
          <w:rtl/>
        </w:rPr>
        <w:t xml:space="preserve"> ، ج 15 ، ص 318 ، ح 20628.</w:t>
      </w:r>
      <w:r w:rsidR="00705872">
        <w:rPr>
          <w:rFonts w:hint="cs"/>
          <w:rtl/>
        </w:rPr>
        <w:t xml:space="preserve">                  </w:t>
      </w:r>
      <w:r>
        <w:rPr>
          <w:rtl/>
        </w:rPr>
        <w:t>(4).</w:t>
      </w:r>
      <w:r w:rsidR="008A74EB" w:rsidRPr="00C9040A">
        <w:rPr>
          <w:rtl/>
        </w:rPr>
        <w:t xml:space="preserve"> في الوسائل </w:t>
      </w:r>
      <w:r w:rsidR="008A74EB">
        <w:rPr>
          <w:rtl/>
        </w:rPr>
        <w:t xml:space="preserve">: </w:t>
      </w:r>
      <w:r w:rsidR="0084262C">
        <w:rPr>
          <w:rtl/>
        </w:rPr>
        <w:t>-</w:t>
      </w:r>
      <w:r w:rsidR="008A74EB" w:rsidRPr="00C9040A">
        <w:rPr>
          <w:rtl/>
        </w:rPr>
        <w:t xml:space="preserve"> « سمعته يقول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w:t>
      </w:r>
      <w:r w:rsidR="008A74EB" w:rsidRPr="00993B55">
        <w:rPr>
          <w:rStyle w:val="libFootnoteBoldChar"/>
          <w:rtl/>
        </w:rPr>
        <w:t>الوافي</w:t>
      </w:r>
      <w:r w:rsidR="008A74EB" w:rsidRPr="00C9040A">
        <w:rPr>
          <w:rtl/>
        </w:rPr>
        <w:t xml:space="preserve"> : « أي بعد أن يتبيّن له تحريمه ، كما يستفاد من بعض الأخبار ؛ ولمّا كان ما سوى هذه الستّ من الكبائر ليس في مرتبة هذه الستّ في الكبر ولا في عدادها ، لم يعدّ معها مفصّلاً ، كأنّها بمجموعها كواحدة منها »</w:t>
      </w:r>
      <w:r w:rsidR="008A74EB">
        <w:rPr>
          <w:rtl/>
        </w:rPr>
        <w:t>.</w:t>
      </w:r>
    </w:p>
    <w:p w:rsidR="008A74EB" w:rsidRPr="00C9040A" w:rsidRDefault="006C577F" w:rsidP="00705872">
      <w:pPr>
        <w:pStyle w:val="libFootnote0"/>
        <w:rPr>
          <w:rtl/>
          <w:lang w:bidi="fa-IR"/>
        </w:rPr>
      </w:pPr>
      <w:r>
        <w:rPr>
          <w:rtl/>
        </w:rPr>
        <w:t>(6).</w:t>
      </w:r>
      <w:r w:rsidR="008A74EB">
        <w:rPr>
          <w:rtl/>
        </w:rPr>
        <w:t xml:space="preserve"> </w:t>
      </w:r>
      <w:r w:rsidR="008A74EB" w:rsidRPr="00993B55">
        <w:rPr>
          <w:rStyle w:val="libFootnoteBoldChar"/>
          <w:rtl/>
        </w:rPr>
        <w:t>الفقيه</w:t>
      </w:r>
      <w:r w:rsidR="008A74EB" w:rsidRPr="00C9040A">
        <w:rPr>
          <w:rtl/>
        </w:rPr>
        <w:t xml:space="preserve"> ، ج 3 ، ص 561 ، ح 4931 ؛ و</w:t>
      </w:r>
      <w:r w:rsidR="008A74EB" w:rsidRPr="00993B55">
        <w:rPr>
          <w:rStyle w:val="libFootnoteBoldChar"/>
          <w:rtl/>
        </w:rPr>
        <w:t xml:space="preserve">الخصال </w:t>
      </w:r>
      <w:r w:rsidR="008A74EB" w:rsidRPr="00C9040A">
        <w:rPr>
          <w:rtl/>
        </w:rPr>
        <w:t>، ص 363 ، باب السبعة ، ح 56 ؛ و</w:t>
      </w:r>
      <w:r w:rsidR="008A74EB" w:rsidRPr="00993B55">
        <w:rPr>
          <w:rStyle w:val="libFootnoteBoldChar"/>
          <w:rtl/>
        </w:rPr>
        <w:t>علل الشرائع</w:t>
      </w:r>
      <w:r w:rsidR="008A74EB" w:rsidRPr="00C9040A">
        <w:rPr>
          <w:rtl/>
        </w:rPr>
        <w:t xml:space="preserve"> ، ص 474 ، ح 1 ؛ و</w:t>
      </w:r>
      <w:r w:rsidR="008A74EB" w:rsidRPr="00993B55">
        <w:rPr>
          <w:rStyle w:val="libFootnoteBoldChar"/>
          <w:rtl/>
        </w:rPr>
        <w:t>التهذيب</w:t>
      </w:r>
      <w:r w:rsidR="008A74EB" w:rsidRPr="00C9040A">
        <w:rPr>
          <w:rtl/>
        </w:rPr>
        <w:t xml:space="preserve"> ، ج 4 ، ص 149 ، ح 417 ، بسند آخر مع زيادة في آخره ؛ وفي </w:t>
      </w:r>
      <w:r w:rsidR="008A74EB" w:rsidRPr="00993B55">
        <w:rPr>
          <w:rStyle w:val="libFootnoteBoldChar"/>
          <w:rtl/>
        </w:rPr>
        <w:t>علل الشرائع</w:t>
      </w:r>
      <w:r w:rsidR="008A74EB" w:rsidRPr="00C9040A">
        <w:rPr>
          <w:rtl/>
        </w:rPr>
        <w:t xml:space="preserve"> ، ص 392 ، ح 2 ، بسند آخر ، وتمام الرواية فيه : « إنّ الكبائر سبع »</w:t>
      </w:r>
      <w:r w:rsidR="008A74EB">
        <w:rPr>
          <w:rtl/>
        </w:rPr>
        <w:t>.</w:t>
      </w:r>
      <w:r w:rsidR="008A74EB" w:rsidRPr="00C9040A">
        <w:rPr>
          <w:rtl/>
        </w:rPr>
        <w:t xml:space="preserve"> </w:t>
      </w:r>
      <w:r w:rsidR="008A74EB" w:rsidRPr="00993B55">
        <w:rPr>
          <w:rStyle w:val="libFootnoteBoldChar"/>
          <w:rtl/>
        </w:rPr>
        <w:t>تفسير فرات</w:t>
      </w:r>
      <w:r w:rsidR="008A74EB" w:rsidRPr="00C9040A">
        <w:rPr>
          <w:rtl/>
        </w:rPr>
        <w:t xml:space="preserve"> ، ص 102 ، ح 91 ، عن جعفر بن محمّد الفزاري ، معنعناً عن أبي عبدالله </w:t>
      </w:r>
      <w:r w:rsidR="00117575" w:rsidRPr="00117575">
        <w:rPr>
          <w:rStyle w:val="libFootnoteAlaemChar"/>
          <w:rtl/>
        </w:rPr>
        <w:t>عليه‌السلام</w:t>
      </w:r>
      <w:r w:rsidR="008A74EB" w:rsidRPr="00C9040A">
        <w:rPr>
          <w:rtl/>
        </w:rPr>
        <w:t xml:space="preserve"> ؛ </w:t>
      </w:r>
      <w:r w:rsidR="008A74EB" w:rsidRPr="00993B55">
        <w:rPr>
          <w:rStyle w:val="libFootnoteBoldChar"/>
          <w:rtl/>
        </w:rPr>
        <w:t>وفيه</w:t>
      </w:r>
      <w:r w:rsidR="008A74EB" w:rsidRPr="00C9040A">
        <w:rPr>
          <w:rtl/>
        </w:rPr>
        <w:t xml:space="preserve"> ، ص 103 ، ح 92 ، عن الحسين بن سعيد ، معنعناً عن معلّى بن خنيس ، عن أبي‌عبدالله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تفسير العيّاشي</w:t>
      </w:r>
      <w:r w:rsidR="008A74EB" w:rsidRPr="00C9040A">
        <w:rPr>
          <w:rtl/>
        </w:rPr>
        <w:t xml:space="preserve"> ، ج 1 ، ص 237 ، ح 105 ، عن معاذ بن كثير ، عن أبى عبدالله </w:t>
      </w:r>
      <w:r w:rsidR="00117575" w:rsidRPr="00117575">
        <w:rPr>
          <w:rStyle w:val="libFootnoteAlaemChar"/>
          <w:rtl/>
        </w:rPr>
        <w:t>عليه‌السلام</w:t>
      </w:r>
      <w:r w:rsidR="008A74EB" w:rsidRPr="00C9040A">
        <w:rPr>
          <w:rtl/>
        </w:rPr>
        <w:t xml:space="preserve"> ؛ </w:t>
      </w:r>
      <w:r w:rsidR="008A74EB" w:rsidRPr="00993B55">
        <w:rPr>
          <w:rStyle w:val="libFootnoteBoldChar"/>
          <w:rtl/>
        </w:rPr>
        <w:t>المقنعة</w:t>
      </w:r>
      <w:r w:rsidR="008A74EB" w:rsidRPr="00C9040A">
        <w:rPr>
          <w:rtl/>
        </w:rPr>
        <w:t xml:space="preserve"> ، ص 290 ، مرسلاً ، وفي كلّها مع اختلاف. راجع : </w:t>
      </w:r>
      <w:r w:rsidR="008A74EB" w:rsidRPr="00993B55">
        <w:rPr>
          <w:rStyle w:val="libFootnoteBoldChar"/>
          <w:rtl/>
        </w:rPr>
        <w:t>الكافي</w:t>
      </w:r>
      <w:r w:rsidR="008A74EB" w:rsidRPr="00C9040A">
        <w:rPr>
          <w:rtl/>
        </w:rPr>
        <w:t xml:space="preserve"> ، كتاب الدعاء ، باب الدعاء قبل الصلاة ، ح 3349 ؛ و</w:t>
      </w:r>
      <w:r w:rsidR="008A74EB" w:rsidRPr="00993B55">
        <w:rPr>
          <w:rStyle w:val="libFootnoteBoldChar"/>
          <w:rtl/>
        </w:rPr>
        <w:t>التهذيب</w:t>
      </w:r>
      <w:r w:rsidR="008A74EB" w:rsidRPr="00C9040A">
        <w:rPr>
          <w:rtl/>
        </w:rPr>
        <w:t xml:space="preserve"> ، ج 6 ، ص 241 ، ح 596 ؛ و</w:t>
      </w:r>
      <w:r w:rsidR="008A74EB" w:rsidRPr="00993B55">
        <w:rPr>
          <w:rStyle w:val="libFootnoteBoldChar"/>
          <w:rtl/>
        </w:rPr>
        <w:t xml:space="preserve">الاستبصار </w:t>
      </w:r>
      <w:r w:rsidR="008A74EB" w:rsidRPr="00C9040A">
        <w:rPr>
          <w:rtl/>
        </w:rPr>
        <w:t>، ج 3 ، ص 12 ، ح 33</w:t>
      </w:r>
      <w:r w:rsidR="00705872">
        <w:rPr>
          <w:rFonts w:hint="cs"/>
          <w:rtl/>
        </w:rPr>
        <w:t>.</w:t>
      </w:r>
      <w:r w:rsidR="008A74EB" w:rsidRPr="00993B55">
        <w:rPr>
          <w:rStyle w:val="libFootnoteBoldChar"/>
          <w:rtl/>
        </w:rPr>
        <w:t>الوافي</w:t>
      </w:r>
      <w:r w:rsidR="008A74EB" w:rsidRPr="00C9040A">
        <w:rPr>
          <w:rtl/>
        </w:rPr>
        <w:t xml:space="preserve"> ، ج 5 ، ص 1050 ، ح 3569 ؛ </w:t>
      </w:r>
      <w:r w:rsidR="008A74EB" w:rsidRPr="00993B55">
        <w:rPr>
          <w:rStyle w:val="libFootnoteBoldChar"/>
          <w:rtl/>
        </w:rPr>
        <w:t>الوسائل</w:t>
      </w:r>
      <w:r w:rsidR="008A74EB" w:rsidRPr="00C9040A">
        <w:rPr>
          <w:rtl/>
        </w:rPr>
        <w:t xml:space="preserve"> ، ج 15 ، ص 322 ، ح 20633.</w:t>
      </w:r>
    </w:p>
    <w:p w:rsidR="008A74EB" w:rsidRPr="00C9040A" w:rsidRDefault="006C577F" w:rsidP="004A4E41">
      <w:pPr>
        <w:pStyle w:val="libFootnote0"/>
        <w:rPr>
          <w:rtl/>
          <w:lang w:bidi="fa-IR"/>
        </w:rPr>
      </w:pPr>
      <w:r>
        <w:rPr>
          <w:rtl/>
        </w:rPr>
        <w:t>(7).</w:t>
      </w:r>
      <w:r w:rsidR="008A74EB" w:rsidRPr="00C9040A">
        <w:rPr>
          <w:rtl/>
        </w:rPr>
        <w:t xml:space="preserve"> السند معلّق على سابقه. ويروي عن يونس ، عليّ بن إبراهيم ، عن محمّد بن عيسى.</w:t>
      </w:r>
    </w:p>
    <w:p w:rsidR="004B7F34" w:rsidRDefault="004B7F34" w:rsidP="004B7F34">
      <w:pPr>
        <w:pStyle w:val="libNormal"/>
        <w:rPr>
          <w:rtl/>
          <w:lang w:bidi="fa-IR"/>
        </w:rPr>
      </w:pPr>
      <w:r>
        <w:rPr>
          <w:rtl/>
          <w:lang w:bidi="fa-IR"/>
        </w:rPr>
        <w:br w:type="page"/>
      </w:r>
    </w:p>
    <w:p w:rsidR="008A74EB"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 « إِنَّ مِنَ الْكَبَائِرِ </w:t>
      </w:r>
      <w:r w:rsidR="006C577F" w:rsidRPr="006C577F">
        <w:rPr>
          <w:rStyle w:val="libFootnotenumChar"/>
          <w:rtl/>
        </w:rPr>
        <w:t>(1)</w:t>
      </w:r>
      <w:r w:rsidRPr="00C9040A">
        <w:rPr>
          <w:rtl/>
          <w:lang w:bidi="fa-IR"/>
        </w:rPr>
        <w:t xml:space="preserve"> عُقُوقَ الْوَالِدَيْنِ ، وَالْيَأْسَ مِنْ رَوْحِ اللهِ ، وَالْأَمْنَ لِمَكْرِ </w:t>
      </w:r>
      <w:r w:rsidR="006C577F" w:rsidRPr="006C577F">
        <w:rPr>
          <w:rStyle w:val="libFootnotenumChar"/>
          <w:rtl/>
        </w:rPr>
        <w:t>(2)</w:t>
      </w:r>
      <w:r w:rsidRPr="00C9040A">
        <w:rPr>
          <w:rtl/>
          <w:lang w:bidi="fa-IR"/>
        </w:rPr>
        <w:t xml:space="preserve"> اللهِ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C9040A">
        <w:rPr>
          <w:rtl/>
          <w:lang w:bidi="fa-IR"/>
        </w:rPr>
        <w:t>2446‌</w:t>
      </w:r>
      <w:r>
        <w:rPr>
          <w:rFonts w:hint="cs"/>
          <w:rtl/>
          <w:lang w:bidi="fa-IR"/>
        </w:rPr>
        <w:t xml:space="preserve"> </w:t>
      </w:r>
      <w:r w:rsidRPr="00261CB0">
        <w:rPr>
          <w:rStyle w:val="libBold2Char"/>
          <w:rtl/>
        </w:rPr>
        <w:t>/ 5.</w:t>
      </w:r>
      <w:r w:rsidRPr="00C9040A">
        <w:rPr>
          <w:rtl/>
          <w:lang w:bidi="fa-IR"/>
        </w:rPr>
        <w:t xml:space="preserve"> وَقَدْ رُوِيَ : « أَنَّ </w:t>
      </w:r>
      <w:r w:rsidR="006C577F" w:rsidRPr="006C577F">
        <w:rPr>
          <w:rStyle w:val="libFootnotenumChar"/>
          <w:rtl/>
        </w:rPr>
        <w:t>(4)</w:t>
      </w:r>
      <w:r w:rsidRPr="00C9040A">
        <w:rPr>
          <w:rtl/>
          <w:lang w:bidi="fa-IR"/>
        </w:rPr>
        <w:t xml:space="preserve"> أَكْبَرَ الْكَبَائِرِ الشِّرْكُ بِاللهِ </w:t>
      </w:r>
      <w:r w:rsidR="006C577F" w:rsidRPr="006C577F">
        <w:rPr>
          <w:rStyle w:val="libFootnotenumChar"/>
          <w:rtl/>
        </w:rPr>
        <w:t>(5)</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Normal"/>
        <w:rPr>
          <w:rtl/>
          <w:lang w:bidi="fa-IR"/>
        </w:rPr>
      </w:pPr>
      <w:r w:rsidRPr="00FF4BA1">
        <w:rPr>
          <w:rtl/>
        </w:rPr>
        <w:t>2447</w:t>
      </w:r>
      <w:r w:rsidRPr="00261CB0">
        <w:rPr>
          <w:rStyle w:val="libBold2Char"/>
          <w:rtl/>
        </w:rPr>
        <w:t xml:space="preserve"> / 6.</w:t>
      </w:r>
      <w:r w:rsidRPr="00C9040A">
        <w:rPr>
          <w:rtl/>
          <w:lang w:bidi="fa-IR"/>
        </w:rPr>
        <w:t xml:space="preserve"> يُونُسُ </w:t>
      </w:r>
      <w:r w:rsidR="006C577F" w:rsidRPr="006C577F">
        <w:rPr>
          <w:rStyle w:val="libFootnotenumChar"/>
          <w:rtl/>
        </w:rPr>
        <w:t>(7)</w:t>
      </w:r>
      <w:r w:rsidRPr="00C9040A">
        <w:rPr>
          <w:rtl/>
          <w:lang w:bidi="fa-IR"/>
        </w:rPr>
        <w:t xml:space="preserve"> ، عَنْ حَمَّادٍ ، عَنْ نُعْمَانَ </w:t>
      </w:r>
      <w:r w:rsidR="006C577F" w:rsidRPr="006C577F">
        <w:rPr>
          <w:rStyle w:val="libFootnotenumChar"/>
          <w:rtl/>
        </w:rPr>
        <w:t>(8)</w:t>
      </w:r>
      <w:r w:rsidRPr="00C9040A">
        <w:rPr>
          <w:rtl/>
          <w:lang w:bidi="fa-IR"/>
        </w:rPr>
        <w:t xml:space="preserve"> الرَّازِيِّ ، قَالَ :</w:t>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 « مَنْ زَنى خَرَجَ مِنَ الْإِيمَانِ ، وَمَنْ شَرِبَ الْخَمْرَ خَرَجَ مِنَ الْإِيمَانِ ، وَمَنْ أَفْطَرَ يَوْماً مِنْ شَهْرِ رَمَضَانَ مُتَعَمِّداً </w:t>
      </w:r>
      <w:r w:rsidR="006C577F" w:rsidRPr="006C577F">
        <w:rPr>
          <w:rStyle w:val="libFootnotenumChar"/>
          <w:rtl/>
        </w:rPr>
        <w:t>(9)</w:t>
      </w:r>
      <w:r w:rsidRPr="00C9040A">
        <w:rPr>
          <w:rtl/>
          <w:lang w:bidi="fa-IR"/>
        </w:rPr>
        <w:t xml:space="preserve"> خَرَجَ مِنَ الْإِيمَانِ »</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Normal"/>
        <w:rPr>
          <w:rtl/>
          <w:lang w:bidi="fa-IR"/>
        </w:rPr>
      </w:pPr>
      <w:r w:rsidRPr="00FF4BA1">
        <w:rPr>
          <w:rtl/>
        </w:rPr>
        <w:t>2448</w:t>
      </w:r>
      <w:r w:rsidRPr="00261CB0">
        <w:rPr>
          <w:rStyle w:val="libBold2Char"/>
          <w:rtl/>
        </w:rPr>
        <w:t xml:space="preserve"> / 7.</w:t>
      </w:r>
      <w:r w:rsidRPr="00C9040A">
        <w:rPr>
          <w:rtl/>
          <w:lang w:bidi="fa-IR"/>
        </w:rPr>
        <w:t xml:space="preserve"> عَنْهُ </w:t>
      </w:r>
      <w:r w:rsidR="006C577F" w:rsidRPr="006C577F">
        <w:rPr>
          <w:rStyle w:val="libFootnotenumChar"/>
          <w:rtl/>
        </w:rPr>
        <w:t>(11)</w:t>
      </w:r>
      <w:r w:rsidRPr="00C9040A">
        <w:rPr>
          <w:rtl/>
          <w:lang w:bidi="fa-IR"/>
        </w:rPr>
        <w:t xml:space="preserve"> ، عَنْ مُحَمَّدِ بْنِ عَبْدَةَ </w:t>
      </w:r>
      <w:r w:rsidR="006C577F" w:rsidRPr="006C577F">
        <w:rPr>
          <w:rStyle w:val="libFootnotenumChar"/>
          <w:rtl/>
        </w:rPr>
        <w:t>(12)</w:t>
      </w:r>
      <w:r w:rsidRPr="00C9040A">
        <w:rPr>
          <w:rtl/>
          <w:lang w:bidi="fa-IR"/>
        </w:rPr>
        <w:t xml:space="preserve"> ، قَالَ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ف » : « الكبار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ز » وحاشية « د » : « من مكر »</w:t>
      </w:r>
      <w:r w:rsidR="008A74EB">
        <w:rPr>
          <w:rtl/>
        </w:rPr>
        <w:t>.</w:t>
      </w:r>
      <w:r w:rsidR="008A74EB" w:rsidRPr="00C9040A">
        <w:rPr>
          <w:rtl/>
        </w:rPr>
        <w:t xml:space="preserve"> والأمن لمكر الله ، أي عذابه واستدراجه وإمهاله عند المعاصي.</w:t>
      </w:r>
    </w:p>
    <w:p w:rsidR="008A74EB" w:rsidRPr="00C9040A" w:rsidRDefault="006C577F" w:rsidP="00705872">
      <w:pPr>
        <w:pStyle w:val="libFootnote0"/>
        <w:rPr>
          <w:rtl/>
          <w:lang w:bidi="fa-IR"/>
        </w:rPr>
      </w:pPr>
      <w:r>
        <w:rPr>
          <w:rtl/>
        </w:rPr>
        <w:t>(3).</w:t>
      </w:r>
      <w:r w:rsidR="008A74EB" w:rsidRPr="00C9040A">
        <w:rPr>
          <w:rtl/>
        </w:rPr>
        <w:t xml:space="preserve"> </w:t>
      </w:r>
      <w:r w:rsidR="008A74EB" w:rsidRPr="00993B55">
        <w:rPr>
          <w:rStyle w:val="libFootnoteBoldChar"/>
          <w:rtl/>
        </w:rPr>
        <w:t>عيون الأخبار</w:t>
      </w:r>
      <w:r w:rsidR="008A74EB" w:rsidRPr="00C9040A">
        <w:rPr>
          <w:rtl/>
        </w:rPr>
        <w:t xml:space="preserve"> ، ج 2 ، ص 126 ، ذيل الحديث الطويل 1 ، بسند آخر عن الرضا </w:t>
      </w:r>
      <w:r w:rsidR="00117575" w:rsidRPr="00117575">
        <w:rPr>
          <w:rStyle w:val="libFootnoteAlaemChar"/>
          <w:rtl/>
        </w:rPr>
        <w:t>عليه‌السلام</w:t>
      </w:r>
      <w:r w:rsidR="008A74EB" w:rsidRPr="00C9040A">
        <w:rPr>
          <w:rtl/>
        </w:rPr>
        <w:t xml:space="preserve"> ، مع اختلاف يسير</w:t>
      </w:r>
      <w:r w:rsidR="00705872">
        <w:rPr>
          <w:rFonts w:hint="cs"/>
          <w:rtl/>
        </w:rPr>
        <w:t>.</w:t>
      </w:r>
      <w:r w:rsidR="008A74EB" w:rsidRPr="00993B55">
        <w:rPr>
          <w:rStyle w:val="libFootnoteBoldChar"/>
          <w:rtl/>
        </w:rPr>
        <w:t>الوافي</w:t>
      </w:r>
      <w:r w:rsidR="008A74EB" w:rsidRPr="00C9040A">
        <w:rPr>
          <w:rtl/>
        </w:rPr>
        <w:t xml:space="preserve"> ، ج 5 ، ص 1050 ، ح 3570 ؛ </w:t>
      </w:r>
      <w:r w:rsidR="008A74EB" w:rsidRPr="00993B55">
        <w:rPr>
          <w:rStyle w:val="libFootnoteBoldChar"/>
          <w:rtl/>
        </w:rPr>
        <w:t>الوسائل</w:t>
      </w:r>
      <w:r w:rsidR="008A74EB" w:rsidRPr="00C9040A">
        <w:rPr>
          <w:rtl/>
        </w:rPr>
        <w:t xml:space="preserve"> ، ج 15 ، ص 322 ، ح 20634.</w:t>
      </w:r>
    </w:p>
    <w:tbl>
      <w:tblPr>
        <w:tblStyle w:val="TableGrid"/>
        <w:bidiVisual/>
        <w:tblW w:w="0" w:type="auto"/>
        <w:tblLook w:val="04A0" w:firstRow="1" w:lastRow="0" w:firstColumn="1" w:lastColumn="0" w:noHBand="0" w:noVBand="1"/>
      </w:tblPr>
      <w:tblGrid>
        <w:gridCol w:w="4006"/>
        <w:gridCol w:w="4006"/>
      </w:tblGrid>
      <w:tr w:rsidR="00705872" w:rsidTr="00705872">
        <w:tc>
          <w:tcPr>
            <w:tcW w:w="4006" w:type="dxa"/>
          </w:tcPr>
          <w:p w:rsidR="00705872" w:rsidRDefault="00705872" w:rsidP="004A4E41">
            <w:pPr>
              <w:pStyle w:val="libFootnote0"/>
              <w:rPr>
                <w:rtl/>
              </w:rPr>
            </w:pPr>
            <w:r>
              <w:rPr>
                <w:rtl/>
              </w:rPr>
              <w:t>(4). في « د ، ز ، ص ، بر ، بس ، بف</w:t>
            </w:r>
            <w:r w:rsidRPr="00C9040A">
              <w:rPr>
                <w:rtl/>
              </w:rPr>
              <w:t xml:space="preserve">» </w:t>
            </w:r>
            <w:r>
              <w:rPr>
                <w:rtl/>
              </w:rPr>
              <w:t>: -</w:t>
            </w:r>
            <w:r w:rsidRPr="00C9040A">
              <w:rPr>
                <w:rtl/>
              </w:rPr>
              <w:t>« أنّ »</w:t>
            </w:r>
            <w:r>
              <w:rPr>
                <w:rtl/>
              </w:rPr>
              <w:t>.</w:t>
            </w:r>
          </w:p>
        </w:tc>
        <w:tc>
          <w:tcPr>
            <w:tcW w:w="4006" w:type="dxa"/>
          </w:tcPr>
          <w:p w:rsidR="00705872" w:rsidRDefault="00705872" w:rsidP="004A4E41">
            <w:pPr>
              <w:pStyle w:val="libFootnote0"/>
              <w:rPr>
                <w:rtl/>
              </w:rPr>
            </w:pPr>
            <w:r>
              <w:rPr>
                <w:rtl/>
              </w:rPr>
              <w:t>(5).</w:t>
            </w:r>
            <w:r w:rsidRPr="00C9040A">
              <w:rPr>
                <w:rtl/>
              </w:rPr>
              <w:t xml:space="preserve"> في « </w:t>
            </w:r>
            <w:r>
              <w:rPr>
                <w:rtl/>
              </w:rPr>
              <w:t xml:space="preserve">ه </w:t>
            </w:r>
            <w:r w:rsidRPr="00C9040A">
              <w:rPr>
                <w:rtl/>
              </w:rPr>
              <w:t xml:space="preserve">» </w:t>
            </w:r>
            <w:r>
              <w:rPr>
                <w:rtl/>
              </w:rPr>
              <w:t>: -</w:t>
            </w:r>
            <w:r w:rsidRPr="00C9040A">
              <w:rPr>
                <w:rtl/>
              </w:rPr>
              <w:t xml:space="preserve"> « بالله »</w:t>
            </w:r>
            <w:r>
              <w:rPr>
                <w:rtl/>
              </w:rPr>
              <w:t>.</w:t>
            </w:r>
          </w:p>
        </w:tc>
      </w:tr>
    </w:tbl>
    <w:p w:rsidR="008A74EB" w:rsidRPr="00C9040A" w:rsidRDefault="006C577F" w:rsidP="006F5366">
      <w:pPr>
        <w:pStyle w:val="libFootnote0"/>
        <w:rPr>
          <w:rtl/>
          <w:lang w:bidi="fa-IR"/>
        </w:rPr>
      </w:pPr>
      <w:r>
        <w:rPr>
          <w:rtl/>
        </w:rPr>
        <w:t>(6).</w:t>
      </w:r>
      <w:r w:rsidR="008A74EB">
        <w:rPr>
          <w:rtl/>
        </w:rPr>
        <w:t xml:space="preserve"> </w:t>
      </w:r>
      <w:r w:rsidR="008A74EB" w:rsidRPr="00993B55">
        <w:rPr>
          <w:rStyle w:val="libFootnoteBoldChar"/>
          <w:rtl/>
        </w:rPr>
        <w:t>الكافي</w:t>
      </w:r>
      <w:r w:rsidR="008A74EB" w:rsidRPr="00C9040A">
        <w:rPr>
          <w:rtl/>
        </w:rPr>
        <w:t xml:space="preserve"> ، كتاب الإيمان والكفر ، باب الكبائر ، ضمن ح 2466 ؛ و</w:t>
      </w:r>
      <w:r w:rsidR="008A74EB" w:rsidRPr="00993B55">
        <w:rPr>
          <w:rStyle w:val="libFootnoteBoldChar"/>
          <w:rtl/>
        </w:rPr>
        <w:t>الفقيه</w:t>
      </w:r>
      <w:r w:rsidR="008A74EB" w:rsidRPr="00C9040A">
        <w:rPr>
          <w:rtl/>
        </w:rPr>
        <w:t xml:space="preserve"> ، ج 3 ، ص 563 ، ضمن ح 4932 ؛ و</w:t>
      </w:r>
      <w:r w:rsidR="008A74EB" w:rsidRPr="00993B55">
        <w:rPr>
          <w:rStyle w:val="libFootnoteBoldChar"/>
          <w:rtl/>
        </w:rPr>
        <w:t>علل الشرائع</w:t>
      </w:r>
      <w:r w:rsidR="008A74EB" w:rsidRPr="00C9040A">
        <w:rPr>
          <w:rtl/>
        </w:rPr>
        <w:t xml:space="preserve"> ، ص 391 ، ضمن ح 1 ؛ و</w:t>
      </w:r>
      <w:r w:rsidR="008A74EB" w:rsidRPr="00993B55">
        <w:rPr>
          <w:rStyle w:val="libFootnoteBoldChar"/>
          <w:rtl/>
        </w:rPr>
        <w:t>عيون الأخبار</w:t>
      </w:r>
      <w:r w:rsidR="008A74EB" w:rsidRPr="00C9040A">
        <w:rPr>
          <w:rtl/>
        </w:rPr>
        <w:t xml:space="preserve"> ، ج 1 ، ص 285 ، ضمن ح 33 ، بسند آخر عن أبي جعفر ، عن أبيه ، عن موسى بن جعفر </w:t>
      </w:r>
      <w:r w:rsidR="00117575" w:rsidRPr="00117575">
        <w:rPr>
          <w:rStyle w:val="libFootnoteAlaemChar"/>
          <w:rtl/>
        </w:rPr>
        <w:t>عليهما‌السلام</w:t>
      </w:r>
      <w:r w:rsidR="008A74EB" w:rsidRPr="00C9040A">
        <w:rPr>
          <w:rtl/>
        </w:rPr>
        <w:t xml:space="preserve">. وفي </w:t>
      </w:r>
      <w:r w:rsidR="008A74EB" w:rsidRPr="00993B55">
        <w:rPr>
          <w:rStyle w:val="libFootnoteBoldChar"/>
          <w:rtl/>
        </w:rPr>
        <w:t>التهذيب</w:t>
      </w:r>
      <w:r w:rsidR="008A74EB" w:rsidRPr="00C9040A">
        <w:rPr>
          <w:rtl/>
        </w:rPr>
        <w:t xml:space="preserve"> ، ج 4 ، ص 150 ، صدر ح 417 ؛ و</w:t>
      </w:r>
      <w:r w:rsidR="008A74EB" w:rsidRPr="00993B55">
        <w:rPr>
          <w:rStyle w:val="libFootnoteBoldChar"/>
          <w:rtl/>
        </w:rPr>
        <w:t>تفسير فرات</w:t>
      </w:r>
      <w:r w:rsidR="008A74EB" w:rsidRPr="00C9040A">
        <w:rPr>
          <w:rtl/>
        </w:rPr>
        <w:t xml:space="preserve"> ، ص 102 ، صدر ح 102 ؛ و</w:t>
      </w:r>
      <w:r w:rsidR="008A74EB" w:rsidRPr="00993B55">
        <w:rPr>
          <w:rStyle w:val="libFootnoteBoldChar"/>
          <w:rtl/>
        </w:rPr>
        <w:t>الخصال</w:t>
      </w:r>
      <w:r w:rsidR="008A74EB" w:rsidRPr="00C9040A">
        <w:rPr>
          <w:rtl/>
        </w:rPr>
        <w:t xml:space="preserve"> ، ص 411 ، باب الثمانية ، ضمن ح 15 ، بسند آخر عن أبي عبدالله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تفسير العيّاشي</w:t>
      </w:r>
      <w:r w:rsidR="008A74EB" w:rsidRPr="00C9040A">
        <w:rPr>
          <w:rtl/>
        </w:rPr>
        <w:t xml:space="preserve"> ، ج 1 ، ص 237 ، ضمن ح 105 ، عن معاذ بن كثير ، عن أبي عبدالله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المقنعة</w:t>
      </w:r>
      <w:r w:rsidR="008A74EB" w:rsidRPr="00C9040A">
        <w:rPr>
          <w:rtl/>
        </w:rPr>
        <w:t xml:space="preserve"> ، ص 290 ، مرسلاً عن أبي عبدالله </w:t>
      </w:r>
      <w:r w:rsidR="00117575" w:rsidRPr="00117575">
        <w:rPr>
          <w:rStyle w:val="libFootnoteAlaemChar"/>
          <w:rtl/>
        </w:rPr>
        <w:t>عليه‌السلام</w:t>
      </w:r>
      <w:r w:rsidR="006F5366">
        <w:rPr>
          <w:rStyle w:val="libFootnoteAlaemChar"/>
          <w:rFonts w:hint="cs"/>
          <w:rtl/>
        </w:rPr>
        <w:t>.</w:t>
      </w:r>
      <w:r w:rsidR="008A74EB" w:rsidRPr="00993B55">
        <w:rPr>
          <w:rStyle w:val="libFootnoteBoldChar"/>
          <w:rtl/>
        </w:rPr>
        <w:t>الوافى</w:t>
      </w:r>
      <w:r w:rsidR="008A74EB" w:rsidRPr="00C9040A">
        <w:rPr>
          <w:rtl/>
        </w:rPr>
        <w:t xml:space="preserve"> ، ج 5 ، ص 1050 ، ح 3571 ؛ </w:t>
      </w:r>
      <w:r w:rsidR="008A74EB" w:rsidRPr="00993B55">
        <w:rPr>
          <w:rStyle w:val="libFootnoteBoldChar"/>
          <w:rtl/>
        </w:rPr>
        <w:t>الوسائل</w:t>
      </w:r>
      <w:r w:rsidR="008A74EB" w:rsidRPr="00C9040A">
        <w:rPr>
          <w:rtl/>
        </w:rPr>
        <w:t xml:space="preserve"> ، ج 15 ، ص 322 ، ح 20635.</w:t>
      </w:r>
    </w:p>
    <w:tbl>
      <w:tblPr>
        <w:tblStyle w:val="TableGrid"/>
        <w:bidiVisual/>
        <w:tblW w:w="0" w:type="auto"/>
        <w:tblLook w:val="04A0" w:firstRow="1" w:lastRow="0" w:firstColumn="1" w:lastColumn="0" w:noHBand="0" w:noVBand="1"/>
      </w:tblPr>
      <w:tblGrid>
        <w:gridCol w:w="4006"/>
        <w:gridCol w:w="4006"/>
      </w:tblGrid>
      <w:tr w:rsidR="006F5366" w:rsidTr="006F5366">
        <w:tc>
          <w:tcPr>
            <w:tcW w:w="4006" w:type="dxa"/>
          </w:tcPr>
          <w:p w:rsidR="006F5366" w:rsidRDefault="006F5366" w:rsidP="004A4E41">
            <w:pPr>
              <w:pStyle w:val="libFootnote0"/>
              <w:rPr>
                <w:rtl/>
              </w:rPr>
            </w:pPr>
            <w:r>
              <w:rPr>
                <w:rtl/>
              </w:rPr>
              <w:t>(7).</w:t>
            </w:r>
            <w:r w:rsidRPr="00C9040A">
              <w:rPr>
                <w:rtl/>
              </w:rPr>
              <w:t xml:space="preserve"> السند معلّق ، كسابقه.</w:t>
            </w:r>
          </w:p>
        </w:tc>
        <w:tc>
          <w:tcPr>
            <w:tcW w:w="4006" w:type="dxa"/>
          </w:tcPr>
          <w:p w:rsidR="006F5366" w:rsidRDefault="006F5366" w:rsidP="004A4E41">
            <w:pPr>
              <w:pStyle w:val="libFootnote0"/>
              <w:rPr>
                <w:rtl/>
              </w:rPr>
            </w:pPr>
            <w:r>
              <w:rPr>
                <w:rtl/>
              </w:rPr>
              <w:t>(8).</w:t>
            </w:r>
            <w:r w:rsidRPr="00C9040A">
              <w:rPr>
                <w:rtl/>
              </w:rPr>
              <w:t xml:space="preserve"> في « ب » : « النعمان »</w:t>
            </w:r>
            <w:r>
              <w:rPr>
                <w:rtl/>
              </w:rPr>
              <w:t>.</w:t>
            </w:r>
          </w:p>
        </w:tc>
      </w:tr>
    </w:tbl>
    <w:p w:rsidR="008A74EB" w:rsidRPr="00C9040A" w:rsidRDefault="006C577F" w:rsidP="004A4E41">
      <w:pPr>
        <w:pStyle w:val="libFootnote0"/>
        <w:rPr>
          <w:rtl/>
          <w:lang w:bidi="fa-IR"/>
        </w:rPr>
      </w:pPr>
      <w:r>
        <w:rPr>
          <w:rtl/>
        </w:rPr>
        <w:t>(9).</w:t>
      </w:r>
      <w:r w:rsidR="008A74EB" w:rsidRPr="00C9040A">
        <w:rPr>
          <w:rtl/>
        </w:rPr>
        <w:t xml:space="preserve"> في « بس » </w:t>
      </w:r>
      <w:r w:rsidR="008A74EB">
        <w:rPr>
          <w:rtl/>
        </w:rPr>
        <w:t xml:space="preserve">: </w:t>
      </w:r>
      <w:r w:rsidR="0084262C">
        <w:rPr>
          <w:rtl/>
        </w:rPr>
        <w:t>-</w:t>
      </w:r>
      <w:r w:rsidR="008A74EB" w:rsidRPr="00C9040A">
        <w:rPr>
          <w:rtl/>
        </w:rPr>
        <w:t xml:space="preserve"> « متعمّداً »</w:t>
      </w:r>
      <w:r w:rsidR="008A74EB">
        <w:rPr>
          <w:rtl/>
        </w:rPr>
        <w:t>.</w:t>
      </w:r>
    </w:p>
    <w:p w:rsidR="008A74EB" w:rsidRPr="00C9040A" w:rsidRDefault="006C577F" w:rsidP="0025037C">
      <w:pPr>
        <w:pStyle w:val="libFootnote0"/>
        <w:rPr>
          <w:rtl/>
          <w:lang w:bidi="fa-IR"/>
        </w:rPr>
      </w:pPr>
      <w:r>
        <w:rPr>
          <w:rtl/>
        </w:rPr>
        <w:t>(10).</w:t>
      </w:r>
      <w:r w:rsidR="008A74EB" w:rsidRPr="00C9040A">
        <w:rPr>
          <w:rtl/>
        </w:rPr>
        <w:t xml:space="preserve"> </w:t>
      </w:r>
      <w:r w:rsidR="008A74EB" w:rsidRPr="00993B55">
        <w:rPr>
          <w:rStyle w:val="libFootnoteBoldChar"/>
          <w:rtl/>
        </w:rPr>
        <w:t>ثواب الأعمال</w:t>
      </w:r>
      <w:r w:rsidR="008A74EB" w:rsidRPr="00C9040A">
        <w:rPr>
          <w:rtl/>
        </w:rPr>
        <w:t xml:space="preserve"> ، ص 281 ، ح 1 ، بسنده عن يونس بن حمّاد الرازي ، عن أبي عبدالله </w:t>
      </w:r>
      <w:r w:rsidR="00117575" w:rsidRPr="00117575">
        <w:rPr>
          <w:rStyle w:val="libFootnoteAlaemChar"/>
          <w:rtl/>
        </w:rPr>
        <w:t>عليه‌السلام</w:t>
      </w:r>
      <w:r w:rsidR="008A74EB" w:rsidRPr="00C9040A">
        <w:rPr>
          <w:rtl/>
        </w:rPr>
        <w:t xml:space="preserve"> ؛ </w:t>
      </w:r>
      <w:r w:rsidR="008A74EB" w:rsidRPr="00993B55">
        <w:rPr>
          <w:rStyle w:val="libFootnoteBoldChar"/>
          <w:rtl/>
        </w:rPr>
        <w:t>فضائل الأشهر الثلاثة</w:t>
      </w:r>
      <w:r w:rsidR="008A74EB" w:rsidRPr="00C9040A">
        <w:rPr>
          <w:rtl/>
        </w:rPr>
        <w:t xml:space="preserve"> ، ص 93 ، ح 74 ، بسنده عن يونس بن عبدالرحمن ، عن يونس بن عمّار ، عن أبي عبدالله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الفقيه</w:t>
      </w:r>
      <w:r w:rsidR="008A74EB" w:rsidRPr="00C9040A">
        <w:rPr>
          <w:rtl/>
        </w:rPr>
        <w:t xml:space="preserve"> ، ج 2 ، ص 118 ، ح 1892 ، مع زيادة في آخره ؛ </w:t>
      </w:r>
      <w:r w:rsidR="008A74EB" w:rsidRPr="00993B55">
        <w:rPr>
          <w:rStyle w:val="libFootnoteBoldChar"/>
          <w:rtl/>
        </w:rPr>
        <w:t>المقنعة</w:t>
      </w:r>
      <w:r w:rsidR="008A74EB" w:rsidRPr="00C9040A">
        <w:rPr>
          <w:rtl/>
        </w:rPr>
        <w:t xml:space="preserve"> ، ص 347 ، وفي الأخيرين مرسلاً ، وفي كلّها من قوله : « من أفطر يوماً » مع اختلاف يسير</w:t>
      </w:r>
      <w:r w:rsidR="0025037C">
        <w:rPr>
          <w:rFonts w:hint="cs"/>
          <w:rtl/>
        </w:rPr>
        <w:t>.</w:t>
      </w:r>
      <w:r w:rsidR="008A74EB" w:rsidRPr="00993B55">
        <w:rPr>
          <w:rStyle w:val="libFootnoteBoldChar"/>
          <w:rtl/>
        </w:rPr>
        <w:t>الوافي</w:t>
      </w:r>
      <w:r w:rsidR="008A74EB" w:rsidRPr="00C9040A">
        <w:rPr>
          <w:rtl/>
        </w:rPr>
        <w:t xml:space="preserve"> ، ج 4 ، ص 112 ، ح 1711 ؛ </w:t>
      </w:r>
      <w:r w:rsidR="008A74EB" w:rsidRPr="00993B55">
        <w:rPr>
          <w:rStyle w:val="libFootnoteBoldChar"/>
          <w:rtl/>
        </w:rPr>
        <w:t>الوسائل</w:t>
      </w:r>
      <w:r w:rsidR="008A74EB" w:rsidRPr="00C9040A">
        <w:rPr>
          <w:rtl/>
        </w:rPr>
        <w:t xml:space="preserve"> ، ج 15 ، ص 322 ، ح 20636 ؛ </w:t>
      </w:r>
      <w:r w:rsidR="008A74EB" w:rsidRPr="00993B55">
        <w:rPr>
          <w:rStyle w:val="libFootnoteBoldChar"/>
          <w:rtl/>
        </w:rPr>
        <w:t>البحار</w:t>
      </w:r>
      <w:r w:rsidR="008A74EB" w:rsidRPr="00C9040A">
        <w:rPr>
          <w:rtl/>
        </w:rPr>
        <w:t xml:space="preserve"> ، ج 69 ، ص 197 ، ح 13.</w:t>
      </w:r>
    </w:p>
    <w:p w:rsidR="008A74EB" w:rsidRPr="00C9040A" w:rsidRDefault="006C577F" w:rsidP="004A4E41">
      <w:pPr>
        <w:pStyle w:val="libFootnote0"/>
        <w:rPr>
          <w:rtl/>
          <w:lang w:bidi="fa-IR"/>
        </w:rPr>
      </w:pPr>
      <w:r>
        <w:rPr>
          <w:rtl/>
        </w:rPr>
        <w:t>(11).</w:t>
      </w:r>
      <w:r w:rsidR="008A74EB" w:rsidRPr="00C9040A">
        <w:rPr>
          <w:rtl/>
        </w:rPr>
        <w:t xml:space="preserve"> ظاهر السياق ومقتضى الطبقة رجوع الضمير إلى يونس.</w:t>
      </w:r>
    </w:p>
    <w:p w:rsidR="008A74EB" w:rsidRPr="00C9040A" w:rsidRDefault="006C577F" w:rsidP="004A4E41">
      <w:pPr>
        <w:pStyle w:val="libFootnote0"/>
        <w:rPr>
          <w:rtl/>
          <w:lang w:bidi="fa-IR"/>
        </w:rPr>
      </w:pPr>
      <w:r>
        <w:rPr>
          <w:rtl/>
        </w:rPr>
        <w:t>(12).</w:t>
      </w:r>
      <w:r w:rsidR="008A74EB" w:rsidRPr="00C9040A">
        <w:rPr>
          <w:rtl/>
        </w:rPr>
        <w:t xml:space="preserve"> في « </w:t>
      </w:r>
      <w:r w:rsidR="006D3162">
        <w:rPr>
          <w:rtl/>
        </w:rPr>
        <w:t xml:space="preserve">ه </w:t>
      </w:r>
      <w:r w:rsidR="008A74EB" w:rsidRPr="00C9040A">
        <w:rPr>
          <w:rtl/>
        </w:rPr>
        <w:t>» : « عبيدة »</w:t>
      </w:r>
      <w:r w:rsidR="008A74EB">
        <w:rPr>
          <w:rtl/>
        </w:rPr>
        <w:t>.</w:t>
      </w:r>
      <w:r w:rsidR="008A74EB" w:rsidRPr="00C9040A">
        <w:rPr>
          <w:rtl/>
        </w:rPr>
        <w:t xml:space="preserve"> ومحمّد بن عبدة ، ومحمّد بن عبيدة كلاهما مذكوران في أصحاب أبي عبدالله </w:t>
      </w:r>
      <w:r w:rsidR="00117575" w:rsidRPr="00117575">
        <w:rPr>
          <w:rStyle w:val="libFootnoteAlaemChar"/>
          <w:rtl/>
        </w:rPr>
        <w:t>عليه‌السلام</w:t>
      </w:r>
      <w:r w:rsidR="008A74EB" w:rsidRPr="00C9040A">
        <w:rPr>
          <w:rtl/>
        </w:rPr>
        <w:t xml:space="preserve">، </w:t>
      </w:r>
      <w:r w:rsidR="0025037C">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قُلْتُ لِأَبِي عَبْدِ اللهِ </w:t>
      </w:r>
      <w:r w:rsidRPr="0003660B">
        <w:rPr>
          <w:rStyle w:val="libAlaemChar"/>
          <w:rtl/>
        </w:rPr>
        <w:t>عليه‌السلام</w:t>
      </w:r>
      <w:r w:rsidRPr="00C9040A">
        <w:rPr>
          <w:rtl/>
          <w:lang w:bidi="fa-IR"/>
        </w:rPr>
        <w:t xml:space="preserve"> : أَيَزْنِي </w:t>
      </w:r>
      <w:r w:rsidR="006C577F" w:rsidRPr="006C577F">
        <w:rPr>
          <w:rStyle w:val="libFootnotenumChar"/>
          <w:rtl/>
        </w:rPr>
        <w:t>(1)</w:t>
      </w:r>
      <w:r w:rsidRPr="00C9040A">
        <w:rPr>
          <w:rtl/>
          <w:lang w:bidi="fa-IR"/>
        </w:rPr>
        <w:t xml:space="preserve"> الزَّانِي </w:t>
      </w:r>
      <w:r w:rsidR="006C577F" w:rsidRPr="006C577F">
        <w:rPr>
          <w:rStyle w:val="libFootnotenumChar"/>
          <w:rtl/>
        </w:rPr>
        <w:t>(2)</w:t>
      </w:r>
      <w:r w:rsidRPr="00C9040A">
        <w:rPr>
          <w:rtl/>
          <w:lang w:bidi="fa-IR"/>
        </w:rPr>
        <w:t xml:space="preserve"> وَهُوَ مُؤْمِنٌ</w:t>
      </w:r>
      <w:r>
        <w:rPr>
          <w:rtl/>
          <w:lang w:bidi="fa-IR"/>
        </w:rPr>
        <w:t>؟</w:t>
      </w:r>
    </w:p>
    <w:p w:rsidR="008A74EB" w:rsidRPr="00C9040A" w:rsidRDefault="008A74EB" w:rsidP="008A74EB">
      <w:pPr>
        <w:pStyle w:val="libNormal"/>
        <w:rPr>
          <w:rtl/>
          <w:lang w:bidi="fa-IR"/>
        </w:rPr>
      </w:pPr>
      <w:r w:rsidRPr="00C9040A">
        <w:rPr>
          <w:rtl/>
          <w:lang w:bidi="fa-IR"/>
        </w:rPr>
        <w:t xml:space="preserve">قَالَ : « لَا </w:t>
      </w:r>
      <w:r w:rsidR="006C577F" w:rsidRPr="006C577F">
        <w:rPr>
          <w:rStyle w:val="libFootnotenumChar"/>
          <w:rtl/>
        </w:rPr>
        <w:t>(3)</w:t>
      </w:r>
      <w:r w:rsidRPr="00C9040A">
        <w:rPr>
          <w:rtl/>
          <w:lang w:bidi="fa-IR"/>
        </w:rPr>
        <w:t xml:space="preserve"> ؛ إِذَا كَانَ عَلى بَطْنِهَا سُلِبَ الْإِيمَانَ </w:t>
      </w:r>
      <w:r w:rsidR="006C577F" w:rsidRPr="006C577F">
        <w:rPr>
          <w:rStyle w:val="libFootnotenumChar"/>
          <w:rtl/>
        </w:rPr>
        <w:t>(4)</w:t>
      </w:r>
      <w:r w:rsidRPr="00C9040A">
        <w:rPr>
          <w:rtl/>
          <w:lang w:bidi="fa-IR"/>
        </w:rPr>
        <w:t xml:space="preserve"> ، فَإِذَا قَامَ رُدَّ إِلَيْهِ </w:t>
      </w:r>
      <w:r w:rsidR="006C577F" w:rsidRPr="006C577F">
        <w:rPr>
          <w:rStyle w:val="libFootnotenumChar"/>
          <w:rtl/>
        </w:rPr>
        <w:t>(5)</w:t>
      </w:r>
      <w:r w:rsidRPr="00C9040A">
        <w:rPr>
          <w:rtl/>
          <w:lang w:bidi="fa-IR"/>
        </w:rPr>
        <w:t xml:space="preserve"> ، فَإِنْ </w:t>
      </w:r>
      <w:r w:rsidR="006C577F" w:rsidRPr="006C577F">
        <w:rPr>
          <w:rStyle w:val="libFootnotenumChar"/>
          <w:rtl/>
        </w:rPr>
        <w:t>(6)</w:t>
      </w:r>
      <w:r w:rsidR="00581EA4">
        <w:rPr>
          <w:rtl/>
          <w:lang w:bidi="fa-IR"/>
        </w:rPr>
        <w:t>عَادَ سُلِبَ</w:t>
      </w:r>
      <w:r w:rsidRPr="00C9040A">
        <w:rPr>
          <w:rtl/>
          <w:lang w:bidi="fa-IR"/>
        </w:rPr>
        <w:t>»</w:t>
      </w:r>
      <w:r>
        <w:rPr>
          <w:rtl/>
          <w:lang w:bidi="fa-IR"/>
        </w:rPr>
        <w:t>.</w:t>
      </w:r>
    </w:p>
    <w:p w:rsidR="008A74EB" w:rsidRPr="00C9040A" w:rsidRDefault="008A74EB" w:rsidP="008A74EB">
      <w:pPr>
        <w:pStyle w:val="libNormal"/>
        <w:rPr>
          <w:rtl/>
          <w:lang w:bidi="fa-IR"/>
        </w:rPr>
      </w:pPr>
      <w:r w:rsidRPr="00C9040A">
        <w:rPr>
          <w:rtl/>
          <w:lang w:bidi="fa-IR"/>
        </w:rPr>
        <w:t>قُلْتُ : فَإِنَّهُ يُرِيدُ أَنْ يَعُودَ</w:t>
      </w:r>
      <w:r>
        <w:rPr>
          <w:rtl/>
          <w:lang w:bidi="fa-IR"/>
        </w:rPr>
        <w:t>؟</w:t>
      </w:r>
    </w:p>
    <w:p w:rsidR="008A74EB" w:rsidRPr="00C9040A" w:rsidRDefault="008A74EB" w:rsidP="008A74EB">
      <w:pPr>
        <w:pStyle w:val="libNormal"/>
        <w:rPr>
          <w:rtl/>
          <w:lang w:bidi="fa-IR"/>
        </w:rPr>
      </w:pPr>
      <w:r w:rsidRPr="00C9040A">
        <w:rPr>
          <w:rtl/>
          <w:lang w:bidi="fa-IR"/>
        </w:rPr>
        <w:t xml:space="preserve">فَقَالَ : « مَا أَكْثَرَ مَنْ </w:t>
      </w:r>
      <w:r w:rsidR="006C577F" w:rsidRPr="006C577F">
        <w:rPr>
          <w:rStyle w:val="libFootnotenumChar"/>
          <w:rtl/>
        </w:rPr>
        <w:t>(7)</w:t>
      </w:r>
      <w:r w:rsidRPr="00C9040A">
        <w:rPr>
          <w:rtl/>
          <w:lang w:bidi="fa-IR"/>
        </w:rPr>
        <w:t xml:space="preserve"> يُرِيدُ أَنْ يَعُودَ ، فَلَا يَعُودُ إِلَيْهِ أَبَداً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Normal"/>
        <w:rPr>
          <w:rtl/>
          <w:lang w:bidi="fa-IR"/>
        </w:rPr>
      </w:pPr>
      <w:r w:rsidRPr="000F6085">
        <w:rPr>
          <w:rtl/>
        </w:rPr>
        <w:t>2449</w:t>
      </w:r>
      <w:r w:rsidRPr="00261CB0">
        <w:rPr>
          <w:rStyle w:val="libBold2Char"/>
          <w:rtl/>
        </w:rPr>
        <w:t xml:space="preserve"> / 8.</w:t>
      </w:r>
      <w:r w:rsidRPr="00C9040A">
        <w:rPr>
          <w:rtl/>
          <w:lang w:bidi="fa-IR"/>
        </w:rPr>
        <w:t xml:space="preserve"> يُونُسُ </w:t>
      </w:r>
      <w:r w:rsidR="006C577F" w:rsidRPr="006C577F">
        <w:rPr>
          <w:rStyle w:val="libFootnotenumChar"/>
          <w:rtl/>
        </w:rPr>
        <w:t>(9)</w:t>
      </w:r>
      <w:r w:rsidRPr="00C9040A">
        <w:rPr>
          <w:rtl/>
          <w:lang w:bidi="fa-IR"/>
        </w:rPr>
        <w:t xml:space="preserve"> ، عَنْ إِسْحَاقَ بْنِ عَمَّارٍ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فِي قَوْلِ اللهِ عَزَّ وَجَلَّ : </w:t>
      </w:r>
      <w:r w:rsidRPr="0003660B">
        <w:rPr>
          <w:rStyle w:val="libAlaemChar"/>
          <w:rtl/>
        </w:rPr>
        <w:t>(</w:t>
      </w:r>
      <w:r w:rsidRPr="006A2246">
        <w:rPr>
          <w:rStyle w:val="libAieChar"/>
          <w:rtl/>
        </w:rPr>
        <w:t xml:space="preserve"> الَّذِينَ يَجْتَنِبُونَ كَبائِر</w:t>
      </w:r>
      <w:r w:rsidR="00581EA4">
        <w:rPr>
          <w:rStyle w:val="libAieChar"/>
          <w:rtl/>
        </w:rPr>
        <w:t>َ الْإِثْمِ وَالْفَواحِشَ إِل</w:t>
      </w:r>
      <w:r w:rsidR="00581EA4">
        <w:rPr>
          <w:rStyle w:val="libAieChar"/>
          <w:rFonts w:hint="cs"/>
          <w:rtl/>
        </w:rPr>
        <w:t>َّ</w:t>
      </w:r>
      <w:r w:rsidR="00581EA4">
        <w:rPr>
          <w:rStyle w:val="libAieChar"/>
          <w:rtl/>
        </w:rPr>
        <w:t>ا</w:t>
      </w:r>
      <w:r w:rsidRPr="006A2246">
        <w:rPr>
          <w:rStyle w:val="libAieChar"/>
          <w:rtl/>
        </w:rPr>
        <w:t xml:space="preserve"> اللَّمَمَ </w:t>
      </w:r>
      <w:r w:rsidRPr="0003660B">
        <w:rPr>
          <w:rStyle w:val="libAlaemChar"/>
          <w:rtl/>
        </w:rPr>
        <w:t>)</w:t>
      </w:r>
      <w:r w:rsidRPr="00C9040A">
        <w:rPr>
          <w:rtl/>
          <w:lang w:bidi="fa-IR"/>
        </w:rPr>
        <w:t xml:space="preserve"> </w:t>
      </w:r>
      <w:r w:rsidR="006C577F" w:rsidRPr="006C577F">
        <w:rPr>
          <w:rStyle w:val="libFootnotenumChar"/>
          <w:rtl/>
        </w:rPr>
        <w:t>(10)</w:t>
      </w:r>
      <w:r w:rsidRPr="00C9040A">
        <w:rPr>
          <w:rtl/>
          <w:lang w:bidi="fa-IR"/>
        </w:rPr>
        <w:t xml:space="preserve"> قَالَ : « الْفَوَاحِشُ : الزِّنى وَالسَّرِقَةُ ؛ وَاللَّمَمُ : الرَّجُلُ يُلِمُّ بِالذَّنْبِ </w:t>
      </w:r>
      <w:r w:rsidR="006C577F" w:rsidRPr="006C577F">
        <w:rPr>
          <w:rStyle w:val="libFootnotenumChar"/>
          <w:rtl/>
        </w:rPr>
        <w:t>(11)</w:t>
      </w:r>
      <w:r w:rsidRPr="00C9040A">
        <w:rPr>
          <w:rtl/>
          <w:lang w:bidi="fa-IR"/>
        </w:rPr>
        <w:t xml:space="preserve"> فَيَسْتَغْفِرُ اللهَ </w:t>
      </w:r>
      <w:r w:rsidR="006C577F" w:rsidRPr="006C577F">
        <w:rPr>
          <w:rStyle w:val="libFootnotenumChar"/>
          <w:rtl/>
        </w:rPr>
        <w:t>(12)</w:t>
      </w:r>
      <w:r w:rsidRPr="00C9040A">
        <w:rPr>
          <w:rtl/>
          <w:lang w:bidi="fa-IR"/>
        </w:rPr>
        <w:t xml:space="preserve"> مِنْهُ »</w:t>
      </w:r>
      <w:r>
        <w:rPr>
          <w:rtl/>
          <w:lang w:bidi="fa-IR"/>
        </w:rPr>
        <w:t>.</w:t>
      </w:r>
    </w:p>
    <w:p w:rsidR="008A74EB" w:rsidRPr="00C9040A" w:rsidRDefault="008A74EB" w:rsidP="008A74EB">
      <w:pPr>
        <w:pStyle w:val="libNormal"/>
        <w:rPr>
          <w:rtl/>
          <w:lang w:bidi="fa-IR"/>
        </w:rPr>
      </w:pPr>
      <w:r w:rsidRPr="00C9040A">
        <w:rPr>
          <w:rtl/>
          <w:lang w:bidi="fa-IR"/>
        </w:rPr>
        <w:t>قُلْتُ : بَيْنَ الضَّلَالِ وَالْكُفْرِ مَنْزِلَةٌ</w:t>
      </w:r>
      <w:r>
        <w:rPr>
          <w:rtl/>
          <w:lang w:bidi="fa-IR"/>
        </w:rPr>
        <w:t>؟</w:t>
      </w:r>
    </w:p>
    <w:p w:rsidR="008A74EB" w:rsidRPr="00C9040A" w:rsidRDefault="008A74EB" w:rsidP="008A74EB">
      <w:pPr>
        <w:pStyle w:val="libLine"/>
        <w:rPr>
          <w:rtl/>
          <w:lang w:bidi="fa-IR"/>
        </w:rPr>
      </w:pPr>
      <w:r w:rsidRPr="00C9040A">
        <w:rPr>
          <w:rtl/>
          <w:lang w:bidi="fa-IR"/>
        </w:rPr>
        <w:t>__________________</w:t>
      </w:r>
    </w:p>
    <w:p w:rsidR="008A74EB" w:rsidRPr="00C9040A" w:rsidRDefault="00581EA4" w:rsidP="004A4E41">
      <w:pPr>
        <w:pStyle w:val="libFootnote0"/>
        <w:rPr>
          <w:rtl/>
          <w:lang w:bidi="fa-IR"/>
        </w:rPr>
      </w:pPr>
      <w:r>
        <w:rPr>
          <w:rFonts w:hint="cs"/>
          <w:rtl/>
        </w:rPr>
        <w:t xml:space="preserve">= </w:t>
      </w:r>
      <w:r w:rsidR="008A74EB" w:rsidRPr="00C9040A">
        <w:rPr>
          <w:rtl/>
        </w:rPr>
        <w:t xml:space="preserve">راجع : </w:t>
      </w:r>
      <w:r w:rsidR="008A74EB" w:rsidRPr="00993B55">
        <w:rPr>
          <w:rStyle w:val="libFootnoteBoldChar"/>
          <w:rtl/>
        </w:rPr>
        <w:t>رجال البرقي</w:t>
      </w:r>
      <w:r w:rsidR="008A74EB" w:rsidRPr="00C9040A">
        <w:rPr>
          <w:rtl/>
        </w:rPr>
        <w:t xml:space="preserve"> ، ص 20 ؛ </w:t>
      </w:r>
      <w:r w:rsidR="008A74EB" w:rsidRPr="00993B55">
        <w:rPr>
          <w:rStyle w:val="libFootnoteBoldChar"/>
          <w:rtl/>
        </w:rPr>
        <w:t>رجال الطوسي</w:t>
      </w:r>
      <w:r w:rsidR="008A74EB" w:rsidRPr="00C9040A">
        <w:rPr>
          <w:rtl/>
        </w:rPr>
        <w:t xml:space="preserve"> ، 289 ، الرقم 4211 </w:t>
      </w:r>
      <w:r w:rsidR="008A74EB">
        <w:rPr>
          <w:rtl/>
        </w:rPr>
        <w:t>و 4</w:t>
      </w:r>
      <w:r w:rsidR="008A74EB" w:rsidRPr="00C9040A">
        <w:rPr>
          <w:rtl/>
        </w:rPr>
        <w:t>213.</w:t>
      </w:r>
    </w:p>
    <w:p w:rsidR="008A74EB" w:rsidRDefault="008A74EB" w:rsidP="004A4E41">
      <w:pPr>
        <w:pStyle w:val="libFootnote0"/>
        <w:rPr>
          <w:rtl/>
        </w:rPr>
      </w:pPr>
      <w:r w:rsidRPr="00323A39">
        <w:rPr>
          <w:rtl/>
        </w:rPr>
        <w:t xml:space="preserve">ثمّ إنّه لم يُعْلم ضبط « عبدة » بالجزم. فإنّ في « بر » : « عَبَدة » وسائر النسخ ساكتة عن الضبط. وهذا اللفظ متعدّدٌ ضبطه ؛ فقد ذكر « عَبْدة » ، « عَبَدة » ، « عُبَّدة » و « عُبْدة ». راجع : </w:t>
      </w:r>
      <w:r w:rsidRPr="00993B55">
        <w:rPr>
          <w:rStyle w:val="libFootnoteBoldChar"/>
          <w:rtl/>
        </w:rPr>
        <w:t>توضيح المشتبه</w:t>
      </w:r>
      <w:r w:rsidRPr="00323A39">
        <w:rPr>
          <w:rtl/>
        </w:rPr>
        <w:t xml:space="preserve"> ، ج 6 ، ص 104 </w:t>
      </w:r>
      <w:r w:rsidR="0084262C" w:rsidRPr="00323A39">
        <w:rPr>
          <w:rtl/>
        </w:rPr>
        <w:t>-</w:t>
      </w:r>
      <w:r w:rsidRPr="00323A39">
        <w:rPr>
          <w:rtl/>
        </w:rPr>
        <w:t xml:space="preserve"> 107.</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هكذا في « </w:t>
      </w:r>
      <w:r w:rsidR="006D3162">
        <w:rPr>
          <w:rtl/>
        </w:rPr>
        <w:t xml:space="preserve">ه </w:t>
      </w:r>
      <w:r w:rsidR="008A74EB" w:rsidRPr="00C9040A">
        <w:rPr>
          <w:rtl/>
        </w:rPr>
        <w:t>» وحاشية « بر » والبحار ، وهو الأنسب. وفي أكثر النسخ والمطبوع : « لايزني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بس » : « المؤمن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w:t>
      </w:r>
      <w:r w:rsidR="006D3162">
        <w:rPr>
          <w:rtl/>
        </w:rPr>
        <w:t xml:space="preserve">ه </w:t>
      </w:r>
      <w:r w:rsidR="008A74EB" w:rsidRPr="00C9040A">
        <w:rPr>
          <w:rtl/>
        </w:rPr>
        <w:t xml:space="preserve">» </w:t>
      </w:r>
      <w:r w:rsidR="008A74EB">
        <w:rPr>
          <w:rtl/>
        </w:rPr>
        <w:t xml:space="preserve">: </w:t>
      </w:r>
      <w:r w:rsidR="0084262C">
        <w:rPr>
          <w:rtl/>
        </w:rPr>
        <w:t>-</w:t>
      </w:r>
      <w:r w:rsidR="008A74EB" w:rsidRPr="00C9040A">
        <w:rPr>
          <w:rtl/>
        </w:rPr>
        <w:t xml:space="preserve"> « لا »</w:t>
      </w:r>
      <w:r w:rsidR="008A74EB">
        <w:rPr>
          <w:rtl/>
        </w:rPr>
        <w:t>.</w:t>
      </w:r>
      <w:r w:rsidR="008A74EB" w:rsidRPr="00C9040A">
        <w:rPr>
          <w:rtl/>
        </w:rPr>
        <w:t xml:space="preserve"> وفي مرآة العقول : « لا ، هنا في كلامه ليس لنفي النفي ، بل لتصديق النفي »</w:t>
      </w:r>
      <w:r w:rsidR="008A74EB">
        <w:rPr>
          <w:rtl/>
        </w:rPr>
        <w:t>.</w:t>
      </w:r>
    </w:p>
    <w:p w:rsidR="008A74EB" w:rsidRPr="00C9040A" w:rsidRDefault="006C577F" w:rsidP="00B45F7B">
      <w:pPr>
        <w:pStyle w:val="libFootnote0"/>
        <w:rPr>
          <w:rtl/>
          <w:lang w:bidi="fa-IR"/>
        </w:rPr>
      </w:pPr>
      <w:r>
        <w:rPr>
          <w:rtl/>
        </w:rPr>
        <w:t>(4).</w:t>
      </w:r>
      <w:r w:rsidR="008A74EB" w:rsidRPr="00C9040A">
        <w:rPr>
          <w:rtl/>
        </w:rPr>
        <w:t xml:space="preserve"> في </w:t>
      </w:r>
      <w:r w:rsidR="008A74EB" w:rsidRPr="00993B55">
        <w:rPr>
          <w:rStyle w:val="libFootnoteBoldChar"/>
          <w:rtl/>
        </w:rPr>
        <w:t>مرآة العقول</w:t>
      </w:r>
      <w:r w:rsidR="008A74EB" w:rsidRPr="00C9040A">
        <w:rPr>
          <w:rtl/>
        </w:rPr>
        <w:t xml:space="preserve"> : « الإيمان ، إمّا مرفوع بنيابة الفاعل ، أو منصوب بكونه ثاني مفعولي « سلب » والمفعول الأوّل النائب للفاعل الضمير الراجع إلى الزاني »</w:t>
      </w:r>
      <w:r w:rsidR="008A74EB">
        <w:rPr>
          <w:rtl/>
        </w:rPr>
        <w:t>.</w:t>
      </w:r>
      <w:r w:rsidR="00B45F7B">
        <w:rPr>
          <w:rFonts w:hint="cs"/>
          <w:rtl/>
        </w:rPr>
        <w:t xml:space="preserve">                             </w:t>
      </w:r>
      <w:r>
        <w:rPr>
          <w:rtl/>
        </w:rPr>
        <w:t>(5).</w:t>
      </w:r>
      <w:r w:rsidR="008A74EB" w:rsidRPr="00C9040A">
        <w:rPr>
          <w:rtl/>
        </w:rPr>
        <w:t xml:space="preserve"> في « ز » : « عليه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هكذا في النسخ التي قوبلت والوافي والبحار. وفي المطبوع : « فإذا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بر » : « ما »</w:t>
      </w:r>
      <w:r w:rsidR="008A74EB">
        <w:rPr>
          <w:rtl/>
        </w:rPr>
        <w:t>.</w:t>
      </w:r>
    </w:p>
    <w:p w:rsidR="008A74EB" w:rsidRPr="00C9040A" w:rsidRDefault="006C577F" w:rsidP="00B45F7B">
      <w:pPr>
        <w:pStyle w:val="libFootnote0"/>
        <w:rPr>
          <w:rtl/>
          <w:lang w:bidi="fa-IR"/>
        </w:rPr>
      </w:pPr>
      <w:r>
        <w:rPr>
          <w:rtl/>
        </w:rPr>
        <w:t>(8).</w:t>
      </w:r>
      <w:r w:rsidR="008A74EB" w:rsidRPr="00C9040A">
        <w:rPr>
          <w:rtl/>
        </w:rPr>
        <w:t xml:space="preserve"> </w:t>
      </w:r>
      <w:r w:rsidR="008A74EB" w:rsidRPr="00993B55">
        <w:rPr>
          <w:rStyle w:val="libFootnoteBoldChar"/>
          <w:rtl/>
        </w:rPr>
        <w:t>الكافي</w:t>
      </w:r>
      <w:r w:rsidR="008A74EB" w:rsidRPr="00C9040A">
        <w:rPr>
          <w:rtl/>
        </w:rPr>
        <w:t xml:space="preserve"> ، كتاب الإيمان والكفر ، باب ( بدون العنوان ) ، ضمن الحديث 1518 ، بسند آخر عن أبي جعفر </w:t>
      </w:r>
      <w:r w:rsidR="00117575" w:rsidRPr="00117575">
        <w:rPr>
          <w:rStyle w:val="libFootnoteAlaemChar"/>
          <w:rtl/>
        </w:rPr>
        <w:t>عليه‌السلام</w:t>
      </w:r>
      <w:r w:rsidR="008A74EB" w:rsidRPr="00C9040A">
        <w:rPr>
          <w:rtl/>
        </w:rPr>
        <w:t xml:space="preserve"> ، إلى قوله : « سلب الإيمان »</w:t>
      </w:r>
      <w:r w:rsidR="008A74EB">
        <w:rPr>
          <w:rtl/>
        </w:rPr>
        <w:t>.</w:t>
      </w:r>
      <w:r w:rsidR="008A74EB" w:rsidRPr="00C9040A">
        <w:rPr>
          <w:rtl/>
        </w:rPr>
        <w:t xml:space="preserve"> </w:t>
      </w:r>
      <w:r w:rsidR="008A74EB" w:rsidRPr="00993B55">
        <w:rPr>
          <w:rStyle w:val="libFootnoteBoldChar"/>
          <w:rtl/>
        </w:rPr>
        <w:t>فقه الرضا</w:t>
      </w:r>
      <w:r w:rsidR="008A74EB" w:rsidRPr="00C9040A">
        <w:rPr>
          <w:rtl/>
        </w:rPr>
        <w:t xml:space="preserve"> </w:t>
      </w:r>
      <w:r w:rsidR="00117575" w:rsidRPr="00117575">
        <w:rPr>
          <w:rStyle w:val="libFootnoteAlaemChar"/>
          <w:rtl/>
        </w:rPr>
        <w:t>عليه‌السلام</w:t>
      </w:r>
      <w:r w:rsidR="008A74EB" w:rsidRPr="00C9040A">
        <w:rPr>
          <w:rtl/>
        </w:rPr>
        <w:t xml:space="preserve"> ، ص 275 ؛ </w:t>
      </w:r>
      <w:r w:rsidR="008A74EB" w:rsidRPr="00993B55">
        <w:rPr>
          <w:rStyle w:val="libFootnoteBoldChar"/>
          <w:rtl/>
        </w:rPr>
        <w:t>تفسير القميّ</w:t>
      </w:r>
      <w:r w:rsidR="008A74EB" w:rsidRPr="00C9040A">
        <w:rPr>
          <w:rtl/>
        </w:rPr>
        <w:t xml:space="preserve"> ، ج 1 ، ص 31 ، مرسلاً عن النبيّ </w:t>
      </w:r>
      <w:r w:rsidR="004A4E41" w:rsidRPr="00B45F7B">
        <w:rPr>
          <w:rStyle w:val="libFootnoteAlaemChar"/>
          <w:rtl/>
        </w:rPr>
        <w:t>صلى‌الله‌عليه‌وآله</w:t>
      </w:r>
      <w:r w:rsidR="008A74EB" w:rsidRPr="00C9040A">
        <w:rPr>
          <w:rtl/>
        </w:rPr>
        <w:t xml:space="preserve"> ، وفيهما إلى قوله : « فإذا قام ردّ إليه » ، وفي كلّها مع اختلاف</w:t>
      </w:r>
      <w:r w:rsidR="00B45F7B">
        <w:rPr>
          <w:rFonts w:hint="cs"/>
          <w:rtl/>
        </w:rPr>
        <w:t>.</w:t>
      </w:r>
      <w:r w:rsidR="008A74EB" w:rsidRPr="00993B55">
        <w:rPr>
          <w:rStyle w:val="libFootnoteBoldChar"/>
          <w:rtl/>
        </w:rPr>
        <w:t>الوافي</w:t>
      </w:r>
      <w:r w:rsidR="008A74EB" w:rsidRPr="00C9040A">
        <w:rPr>
          <w:rtl/>
        </w:rPr>
        <w:t xml:space="preserve"> ، ج 5 ، ص 1017 ، ح 3507 ؛ </w:t>
      </w:r>
      <w:r w:rsidR="008A74EB" w:rsidRPr="00993B55">
        <w:rPr>
          <w:rStyle w:val="libFootnoteBoldChar"/>
          <w:rtl/>
        </w:rPr>
        <w:t>الوسائل</w:t>
      </w:r>
      <w:r w:rsidR="008A74EB" w:rsidRPr="00C9040A">
        <w:rPr>
          <w:rtl/>
        </w:rPr>
        <w:t xml:space="preserve"> ، ج 15 ، ص 323 ، ح 20637 ؛ </w:t>
      </w:r>
      <w:r w:rsidR="008A74EB" w:rsidRPr="00993B55">
        <w:rPr>
          <w:rStyle w:val="libFootnoteBoldChar"/>
          <w:rtl/>
        </w:rPr>
        <w:t>البحار</w:t>
      </w:r>
      <w:r w:rsidR="008A74EB" w:rsidRPr="00C9040A">
        <w:rPr>
          <w:rtl/>
        </w:rPr>
        <w:t xml:space="preserve"> ، ج 69 ، ص 197 ، ح 14.</w:t>
      </w:r>
      <w:r w:rsidR="00B45F7B">
        <w:rPr>
          <w:rFonts w:hint="cs"/>
          <w:rtl/>
        </w:rPr>
        <w:t xml:space="preserve">   </w:t>
      </w:r>
      <w:r>
        <w:rPr>
          <w:rtl/>
        </w:rPr>
        <w:t>(9).</w:t>
      </w:r>
      <w:r w:rsidR="008A74EB" w:rsidRPr="00C9040A">
        <w:rPr>
          <w:rtl/>
        </w:rPr>
        <w:t xml:space="preserve"> السند معلّق ، كالثلاثة السابقة.</w:t>
      </w:r>
    </w:p>
    <w:p w:rsidR="008A74EB" w:rsidRPr="00C9040A" w:rsidRDefault="006C577F" w:rsidP="00B45F7B">
      <w:pPr>
        <w:pStyle w:val="libFootnote0"/>
        <w:rPr>
          <w:rtl/>
          <w:lang w:bidi="fa-IR"/>
        </w:rPr>
      </w:pPr>
      <w:r>
        <w:rPr>
          <w:rtl/>
        </w:rPr>
        <w:t>(10).</w:t>
      </w:r>
      <w:r w:rsidR="008A74EB" w:rsidRPr="00C9040A">
        <w:rPr>
          <w:rtl/>
        </w:rPr>
        <w:t xml:space="preserve"> النجم (53) : 32. واللَّمَمُ : مقاربة المعصية ، ويعبّر به عن الصغيرة ، ويقال : فلان يفعل كذا لمماً ، أي حيناً بعدحين. </w:t>
      </w:r>
      <w:r w:rsidR="008A74EB" w:rsidRPr="00993B55">
        <w:rPr>
          <w:rStyle w:val="libFootnoteBoldChar"/>
          <w:rtl/>
        </w:rPr>
        <w:t>المفردات</w:t>
      </w:r>
      <w:r w:rsidR="008A74EB" w:rsidRPr="00C9040A">
        <w:rPr>
          <w:rtl/>
        </w:rPr>
        <w:t xml:space="preserve"> للراغب ، ص 746 ( لمم )</w:t>
      </w:r>
      <w:r w:rsidR="008A74EB">
        <w:rPr>
          <w:rtl/>
        </w:rPr>
        <w:t>.</w:t>
      </w:r>
      <w:r w:rsidR="00B45F7B">
        <w:rPr>
          <w:rFonts w:hint="cs"/>
          <w:rtl/>
        </w:rPr>
        <w:t xml:space="preserve">          </w:t>
      </w:r>
      <w:r>
        <w:rPr>
          <w:rtl/>
        </w:rPr>
        <w:t>(11).</w:t>
      </w:r>
      <w:r w:rsidR="008A74EB" w:rsidRPr="00C9040A">
        <w:rPr>
          <w:rtl/>
        </w:rPr>
        <w:t xml:space="preserve"> في « بر » : « الذنب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في « ب » </w:t>
      </w:r>
      <w:r w:rsidR="008A74EB">
        <w:rPr>
          <w:rtl/>
        </w:rPr>
        <w:t xml:space="preserve">: </w:t>
      </w:r>
      <w:r w:rsidR="0084262C">
        <w:rPr>
          <w:rtl/>
        </w:rPr>
        <w:t>-</w:t>
      </w:r>
      <w:r w:rsidR="008A74EB" w:rsidRPr="00C9040A">
        <w:rPr>
          <w:rtl/>
        </w:rPr>
        <w:t xml:space="preserve"> « الله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فَقَالَ : « مَا أَكْثَرَ عُرَى الْإِيمَانِ </w:t>
      </w:r>
      <w:r w:rsidR="006C577F" w:rsidRPr="006C577F">
        <w:rPr>
          <w:rStyle w:val="libFootnotenumChar"/>
          <w:rtl/>
        </w:rPr>
        <w:t>(1)</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AC2FD6">
        <w:rPr>
          <w:rtl/>
        </w:rPr>
        <w:t>2450</w:t>
      </w:r>
      <w:r w:rsidRPr="00261CB0">
        <w:rPr>
          <w:rStyle w:val="libBold2Char"/>
          <w:rtl/>
        </w:rPr>
        <w:t xml:space="preserve"> / 9.</w:t>
      </w:r>
      <w:r w:rsidRPr="00C9040A">
        <w:rPr>
          <w:rtl/>
          <w:lang w:bidi="fa-IR"/>
        </w:rPr>
        <w:t xml:space="preserve"> عَلِيُّ بْنُ إِبْرَاهِيمَ ، عَنْ أَبِيهِ ، عَنِ ابْنِ أَبِي عُمَيْرٍ ، عَنْ عَبْدِ الرَّحْمنِ بْنِ الْحَجَّاجِ ، عَنْ عُبَيْدِ بْنِ زُرَارَةَ ، قَالَ :</w:t>
      </w:r>
    </w:p>
    <w:p w:rsidR="008A74EB" w:rsidRPr="00C9040A" w:rsidRDefault="008A74EB" w:rsidP="008A74EB">
      <w:pPr>
        <w:pStyle w:val="libNormal"/>
        <w:rPr>
          <w:rtl/>
          <w:lang w:bidi="fa-IR"/>
        </w:rPr>
      </w:pPr>
      <w:r w:rsidRPr="00C9040A">
        <w:rPr>
          <w:rtl/>
          <w:lang w:bidi="fa-IR"/>
        </w:rPr>
        <w:t xml:space="preserve">سَأَلْتُ أَبَا عَبْدِ اللهِ </w:t>
      </w:r>
      <w:r w:rsidRPr="0003660B">
        <w:rPr>
          <w:rStyle w:val="libAlaemChar"/>
          <w:rtl/>
        </w:rPr>
        <w:t>عليه‌السلام</w:t>
      </w:r>
      <w:r w:rsidRPr="00C9040A">
        <w:rPr>
          <w:rtl/>
          <w:lang w:bidi="fa-IR"/>
        </w:rPr>
        <w:t xml:space="preserve"> عَنِ الْكَبَائِرِ ، فَقَالَ : « هُنَّ فِي كِتَابِ عَلِيٍّ </w:t>
      </w:r>
      <w:r w:rsidRPr="0003660B">
        <w:rPr>
          <w:rStyle w:val="libAlaemChar"/>
          <w:rtl/>
        </w:rPr>
        <w:t>عليه‌السلام</w:t>
      </w:r>
      <w:r w:rsidRPr="00C9040A">
        <w:rPr>
          <w:rtl/>
          <w:lang w:bidi="fa-IR"/>
        </w:rPr>
        <w:t xml:space="preserve"> سَبْعٌ : الْكُفْرُ بِاللهِ ، وَقَتْلُ النَّفْسِ ، وَعُقُوقُ الْوَالِدَيْنِ ، وَأَكْلُ الرِّبَا بَعْدَ الْبَيِّنَةِ ، وَأَكْلُ مَالِ الْيَتِيمِ ظُلْماً ، وَالْفِرَارُ مِنَ الزَّحْفِ ، وَالتَّعَرُّبُ بَعْدَ الْهِجْرَةِ »</w:t>
      </w:r>
      <w:r>
        <w:rPr>
          <w:rtl/>
          <w:lang w:bidi="fa-IR"/>
        </w:rPr>
        <w:t>.</w:t>
      </w:r>
    </w:p>
    <w:p w:rsidR="008A74EB" w:rsidRPr="00C9040A" w:rsidRDefault="008A74EB" w:rsidP="008A74EB">
      <w:pPr>
        <w:pStyle w:val="libNormal"/>
        <w:rPr>
          <w:rtl/>
          <w:lang w:bidi="fa-IR"/>
        </w:rPr>
      </w:pPr>
      <w:r w:rsidRPr="00C9040A">
        <w:rPr>
          <w:rtl/>
          <w:lang w:bidi="fa-IR"/>
        </w:rPr>
        <w:t xml:space="preserve">قَالَ : قُلْتُ </w:t>
      </w:r>
      <w:r w:rsidR="006C577F" w:rsidRPr="006C577F">
        <w:rPr>
          <w:rStyle w:val="libFootnotenumChar"/>
          <w:rtl/>
        </w:rPr>
        <w:t>(3)</w:t>
      </w:r>
      <w:r w:rsidRPr="00C9040A">
        <w:rPr>
          <w:rtl/>
          <w:lang w:bidi="fa-IR"/>
        </w:rPr>
        <w:t xml:space="preserve"> : فَهذَا </w:t>
      </w:r>
      <w:r w:rsidR="006C577F" w:rsidRPr="006C577F">
        <w:rPr>
          <w:rStyle w:val="libFootnotenumChar"/>
          <w:rtl/>
        </w:rPr>
        <w:t>(4)</w:t>
      </w:r>
      <w:r w:rsidRPr="00C9040A">
        <w:rPr>
          <w:rtl/>
          <w:lang w:bidi="fa-IR"/>
        </w:rPr>
        <w:t xml:space="preserve"> أَكْبَرُ الْمَعَاصِي</w:t>
      </w:r>
      <w:r>
        <w:rPr>
          <w:rtl/>
          <w:lang w:bidi="fa-IR"/>
        </w:rPr>
        <w:t>؟</w:t>
      </w:r>
      <w:r w:rsidRPr="00C9040A">
        <w:rPr>
          <w:rtl/>
          <w:lang w:bidi="fa-IR"/>
        </w:rPr>
        <w:t xml:space="preserve"> قَالَ : « نَعَمْ »</w:t>
      </w:r>
      <w:r>
        <w:rPr>
          <w:rtl/>
          <w:lang w:bidi="fa-IR"/>
        </w:rPr>
        <w:t>.</w:t>
      </w:r>
      <w:r w:rsidRPr="00C9040A">
        <w:rPr>
          <w:rtl/>
          <w:lang w:bidi="fa-IR"/>
        </w:rPr>
        <w:t xml:space="preserve"> قُلْتُ : فَأَكْلُ دِرْهَمٍ </w:t>
      </w:r>
      <w:r w:rsidR="006C577F" w:rsidRPr="006C577F">
        <w:rPr>
          <w:rStyle w:val="libFootnotenumChar"/>
          <w:rtl/>
        </w:rPr>
        <w:t>(5)</w:t>
      </w:r>
      <w:r w:rsidRPr="00C9040A">
        <w:rPr>
          <w:rtl/>
          <w:lang w:bidi="fa-IR"/>
        </w:rPr>
        <w:t xml:space="preserve"> مِنْ مَالِ الْيَتِيمِ ظُلْماً </w:t>
      </w:r>
      <w:r w:rsidR="006C577F" w:rsidRPr="006C577F">
        <w:rPr>
          <w:rStyle w:val="libFootnotenumChar"/>
          <w:rtl/>
        </w:rPr>
        <w:t>(6)</w:t>
      </w:r>
      <w:r w:rsidRPr="005B567D">
        <w:rPr>
          <w:rStyle w:val="libFootnotenumChar"/>
          <w:rtl/>
        </w:rPr>
        <w:t xml:space="preserve"> </w:t>
      </w:r>
      <w:r w:rsidRPr="00C9040A">
        <w:rPr>
          <w:rtl/>
          <w:lang w:bidi="fa-IR"/>
        </w:rPr>
        <w:t>أَكْبَرُ أَمْ تَرْكُ الصَّلَاةِ</w:t>
      </w:r>
      <w:r>
        <w:rPr>
          <w:rtl/>
          <w:lang w:bidi="fa-IR"/>
        </w:rPr>
        <w:t>؟</w:t>
      </w:r>
      <w:r w:rsidRPr="00C9040A">
        <w:rPr>
          <w:rtl/>
          <w:lang w:bidi="fa-IR"/>
        </w:rPr>
        <w:t xml:space="preserve"> قَالَ : « تَرْكُ الصَّلَاةِ »</w:t>
      </w:r>
      <w:r>
        <w:rPr>
          <w:rtl/>
          <w:lang w:bidi="fa-IR"/>
        </w:rPr>
        <w:t>.</w:t>
      </w:r>
    </w:p>
    <w:p w:rsidR="008A74EB" w:rsidRPr="00C9040A" w:rsidRDefault="008A74EB" w:rsidP="008A74EB">
      <w:pPr>
        <w:pStyle w:val="libNormal"/>
        <w:rPr>
          <w:rtl/>
          <w:lang w:bidi="fa-IR"/>
        </w:rPr>
      </w:pPr>
      <w:r w:rsidRPr="00C9040A">
        <w:rPr>
          <w:rtl/>
          <w:lang w:bidi="fa-IR"/>
        </w:rPr>
        <w:t>قُلْتُ : فَمَا عَدَدْتَ تَرْكَ الصَّلَاةِ فِي الْكَبَائِرِ</w:t>
      </w:r>
      <w:r>
        <w:rPr>
          <w:rtl/>
          <w:lang w:bidi="fa-IR"/>
        </w:rPr>
        <w:t>؟</w:t>
      </w:r>
      <w:r w:rsidRPr="00C9040A">
        <w:rPr>
          <w:rtl/>
          <w:lang w:bidi="fa-IR"/>
        </w:rPr>
        <w:t xml:space="preserve"> فَقَالَ : « أَيُّ شَيْ‌ءٍ أَوَّلُ مَا قُلْتُ لَكَ</w:t>
      </w:r>
      <w:r>
        <w:rPr>
          <w:rtl/>
          <w:lang w:bidi="fa-IR"/>
        </w:rPr>
        <w:t>؟</w:t>
      </w:r>
      <w:r w:rsidRPr="00C9040A">
        <w:rPr>
          <w:rtl/>
          <w:lang w:bidi="fa-IR"/>
        </w:rPr>
        <w:t xml:space="preserve"> » قَالَ :</w:t>
      </w:r>
      <w:r>
        <w:rPr>
          <w:rFonts w:hint="cs"/>
          <w:rtl/>
          <w:lang w:bidi="fa-IR"/>
        </w:rPr>
        <w:t xml:space="preserve"> </w:t>
      </w:r>
      <w:r w:rsidRPr="00C9040A">
        <w:rPr>
          <w:rtl/>
          <w:lang w:bidi="fa-IR"/>
        </w:rPr>
        <w:t xml:space="preserve">قُلْتَ : الْكُفْرُ ، قَالَ : « فَإِنَّ تَارِكَ الصَّلَاةِ كَافِرٌ » يَعْنِي </w:t>
      </w:r>
      <w:r w:rsidR="006C577F" w:rsidRPr="006C577F">
        <w:rPr>
          <w:rStyle w:val="libFootnotenumChar"/>
          <w:rtl/>
        </w:rPr>
        <w:t>(7)</w:t>
      </w:r>
      <w:r w:rsidRPr="00C9040A">
        <w:rPr>
          <w:rtl/>
          <w:lang w:bidi="fa-IR"/>
        </w:rPr>
        <w:t xml:space="preserve"> مِنْ غَيْرِ عِلَّةٍ. </w:t>
      </w:r>
      <w:r w:rsidR="006C577F" w:rsidRPr="006C577F">
        <w:rPr>
          <w:rStyle w:val="libFootnotenumChar"/>
          <w:rtl/>
        </w:rPr>
        <w:t>(8)</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w:t>
      </w:r>
      <w:r w:rsidR="008A74EB" w:rsidRPr="00993B55">
        <w:rPr>
          <w:rStyle w:val="libFootnoteBoldChar"/>
          <w:rtl/>
        </w:rPr>
        <w:t>الوافي</w:t>
      </w:r>
      <w:r w:rsidR="008A74EB" w:rsidRPr="00C9040A">
        <w:rPr>
          <w:rtl/>
        </w:rPr>
        <w:t xml:space="preserve"> : « أراد السائل هل يوجد ضالّ ليس بكافر ، أو كلّ من كان ضالًّا فهو كافر</w:t>
      </w:r>
      <w:r w:rsidR="008A74EB">
        <w:rPr>
          <w:rtl/>
        </w:rPr>
        <w:t>؟</w:t>
      </w:r>
      <w:r w:rsidR="008A74EB" w:rsidRPr="00C9040A">
        <w:rPr>
          <w:rtl/>
        </w:rPr>
        <w:t xml:space="preserve"> فأشار </w:t>
      </w:r>
      <w:r w:rsidR="00117575" w:rsidRPr="00117575">
        <w:rPr>
          <w:rStyle w:val="libFootnoteAlaemChar"/>
          <w:rtl/>
        </w:rPr>
        <w:t>عليه‌السلام</w:t>
      </w:r>
      <w:r w:rsidR="008A74EB" w:rsidRPr="00C9040A">
        <w:rPr>
          <w:rtl/>
        </w:rPr>
        <w:t xml:space="preserve"> في جوابه باختيار الشقّ الأوّل وبيّن ذلك بأنّ عرى الإيمان كثيرة ، منها ما هو بحيث من يتركها يصير كافراً ، ومنها ما هو بحيث من يتركها لايصير كافراً ، بل يصير ضالًّا ؛ فقد تحقّق المنزلة بينهما بتحقّق بعض عرى الإيمان دون بعض »</w:t>
      </w:r>
      <w:r w:rsidR="008A74EB">
        <w:rPr>
          <w:rtl/>
        </w:rPr>
        <w:t>.</w:t>
      </w:r>
      <w:r w:rsidR="008A74EB" w:rsidRPr="00C9040A">
        <w:rPr>
          <w:rtl/>
        </w:rPr>
        <w:t xml:space="preserve"> والمراد بعرى الإيمان مراتبه ؛ تشبيهاً بعروة الكوز في احتياج حمله إلى التمسّك بها »</w:t>
      </w:r>
      <w:r w:rsidR="008A74EB">
        <w:rPr>
          <w:rtl/>
        </w:rPr>
        <w:t>.</w:t>
      </w:r>
      <w:r w:rsidR="008A74EB" w:rsidRPr="00C9040A">
        <w:rPr>
          <w:rtl/>
        </w:rPr>
        <w:t xml:space="preserve"> وفي توجيه السؤال والجواب وجوه اخر ذكرت في </w:t>
      </w:r>
      <w:r w:rsidR="008A74EB" w:rsidRPr="00993B55">
        <w:rPr>
          <w:rStyle w:val="libFootnoteBoldChar"/>
          <w:rtl/>
        </w:rPr>
        <w:t>شرح المازندراني</w:t>
      </w:r>
      <w:r w:rsidR="008A74EB" w:rsidRPr="00C9040A">
        <w:rPr>
          <w:rtl/>
        </w:rPr>
        <w:t xml:space="preserve"> ، ج 9 ، ص 249 ، و</w:t>
      </w:r>
      <w:r w:rsidR="008A74EB" w:rsidRPr="00993B55">
        <w:rPr>
          <w:rStyle w:val="libFootnoteBoldChar"/>
          <w:rtl/>
        </w:rPr>
        <w:t xml:space="preserve">مرآة العقول </w:t>
      </w:r>
      <w:r w:rsidR="008A74EB" w:rsidRPr="00C9040A">
        <w:rPr>
          <w:rtl/>
        </w:rPr>
        <w:t>، ج 10 ، ص 18</w:t>
      </w:r>
      <w:r w:rsidR="008A74EB">
        <w:rPr>
          <w:rtl/>
        </w:rPr>
        <w:t xml:space="preserve"> </w:t>
      </w:r>
      <w:r w:rsidR="0084262C">
        <w:rPr>
          <w:rtl/>
        </w:rPr>
        <w:t>-</w:t>
      </w:r>
      <w:r w:rsidR="008A74EB">
        <w:rPr>
          <w:rtl/>
        </w:rPr>
        <w:t xml:space="preserve"> </w:t>
      </w:r>
      <w:r w:rsidR="008A74EB" w:rsidRPr="00C9040A">
        <w:rPr>
          <w:rtl/>
        </w:rPr>
        <w:t>19.</w:t>
      </w:r>
    </w:p>
    <w:p w:rsidR="008A74EB" w:rsidRPr="00C9040A" w:rsidRDefault="006C577F" w:rsidP="001D0D32">
      <w:pPr>
        <w:pStyle w:val="libFootnote0"/>
        <w:rPr>
          <w:rtl/>
          <w:lang w:bidi="fa-IR"/>
        </w:rPr>
      </w:pPr>
      <w:r>
        <w:rPr>
          <w:rtl/>
        </w:rPr>
        <w:t>(2).</w:t>
      </w:r>
      <w:r w:rsidR="008A74EB">
        <w:rPr>
          <w:rtl/>
        </w:rPr>
        <w:t xml:space="preserve"> </w:t>
      </w:r>
      <w:r w:rsidR="008A74EB" w:rsidRPr="00993B55">
        <w:rPr>
          <w:rStyle w:val="libFootnoteBoldChar"/>
          <w:rtl/>
        </w:rPr>
        <w:t>الكافي</w:t>
      </w:r>
      <w:r w:rsidR="008A74EB" w:rsidRPr="00C9040A">
        <w:rPr>
          <w:rtl/>
        </w:rPr>
        <w:t xml:space="preserve"> ، كتاب الإيمان والكفر ، باب اللمم ، ح 2990 ، عن عليّ بن إبراهيم ، عن محمّد بن عيسى ، عن يونس ، عن إسحاق بن عمّار ، إلى قوله : « فيستغفر الله منه » مع زيادة في أوّله. </w:t>
      </w:r>
      <w:r w:rsidR="008A74EB" w:rsidRPr="00993B55">
        <w:rPr>
          <w:rStyle w:val="libFootnoteBoldChar"/>
          <w:rtl/>
        </w:rPr>
        <w:t>تفسير العيّاشي</w:t>
      </w:r>
      <w:r w:rsidR="008A74EB" w:rsidRPr="00C9040A">
        <w:rPr>
          <w:rtl/>
        </w:rPr>
        <w:t xml:space="preserve"> ، ج 1 ، ص 366 ، ذيل ح 49 ، عن عبدالرحمن بن كثير الهاشمي ، عن أبي عبدالله </w:t>
      </w:r>
      <w:r w:rsidR="00117575" w:rsidRPr="00117575">
        <w:rPr>
          <w:rStyle w:val="libFootnoteAlaemChar"/>
          <w:rtl/>
        </w:rPr>
        <w:t>عليه‌السلام</w:t>
      </w:r>
      <w:r w:rsidR="008A74EB" w:rsidRPr="00C9040A">
        <w:rPr>
          <w:rtl/>
        </w:rPr>
        <w:t xml:space="preserve"> ، من قوله : « قلت : بين الضلال والكفر »</w:t>
      </w:r>
      <w:r w:rsidR="001D0D32">
        <w:rPr>
          <w:rFonts w:hint="cs"/>
          <w:rtl/>
        </w:rPr>
        <w:t>.</w:t>
      </w:r>
      <w:r w:rsidR="008A74EB" w:rsidRPr="00993B55">
        <w:rPr>
          <w:rStyle w:val="libFootnoteBoldChar"/>
          <w:rtl/>
        </w:rPr>
        <w:t>الوافي</w:t>
      </w:r>
      <w:r w:rsidR="008A74EB" w:rsidRPr="00C9040A">
        <w:rPr>
          <w:rtl/>
        </w:rPr>
        <w:t xml:space="preserve"> ، ج 4 ، ص 209 ، ح 1826 ؛ </w:t>
      </w:r>
      <w:r w:rsidR="008A74EB" w:rsidRPr="00993B55">
        <w:rPr>
          <w:rStyle w:val="libFootnoteBoldChar"/>
          <w:rtl/>
        </w:rPr>
        <w:t>الوسائل</w:t>
      </w:r>
      <w:r w:rsidR="008A74EB" w:rsidRPr="00C9040A">
        <w:rPr>
          <w:rtl/>
        </w:rPr>
        <w:t xml:space="preserve"> ، ج 15 ، ص 323 ، ح 20638 ، إلى قوله : « فيستغفر الله منه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هكذا في « ب ، ج ، د ، ز ، ص ، ف ، </w:t>
      </w:r>
      <w:r w:rsidR="006D3162">
        <w:rPr>
          <w:rtl/>
        </w:rPr>
        <w:t xml:space="preserve">ه </w:t>
      </w:r>
      <w:r w:rsidR="008A74EB" w:rsidRPr="00C9040A">
        <w:rPr>
          <w:rtl/>
        </w:rPr>
        <w:t>، بر » والوافي. وفي سائر النسخ والمطبوع : « فقلت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بر » : « وهو »</w:t>
      </w:r>
      <w:r w:rsidR="008A74EB">
        <w:rPr>
          <w:rtl/>
        </w:rPr>
        <w:t>.</w:t>
      </w:r>
      <w:r w:rsidR="008A74EB" w:rsidRPr="00C9040A">
        <w:rPr>
          <w:rtl/>
        </w:rPr>
        <w:t xml:space="preserve"> وفي حاشية « بر » والوسائل ، ح 20631 : « هذا »</w:t>
      </w:r>
      <w:r w:rsidR="008A74EB">
        <w:rPr>
          <w:rtl/>
        </w:rPr>
        <w:t>.</w:t>
      </w:r>
    </w:p>
    <w:tbl>
      <w:tblPr>
        <w:tblStyle w:val="TableGrid"/>
        <w:bidiVisual/>
        <w:tblW w:w="0" w:type="auto"/>
        <w:tblLook w:val="04A0" w:firstRow="1" w:lastRow="0" w:firstColumn="1" w:lastColumn="0" w:noHBand="0" w:noVBand="1"/>
      </w:tblPr>
      <w:tblGrid>
        <w:gridCol w:w="4006"/>
        <w:gridCol w:w="4006"/>
      </w:tblGrid>
      <w:tr w:rsidR="001D0D32" w:rsidTr="001D0D32">
        <w:tc>
          <w:tcPr>
            <w:tcW w:w="4006" w:type="dxa"/>
          </w:tcPr>
          <w:p w:rsidR="001D0D32" w:rsidRDefault="001D0D32" w:rsidP="004A4E41">
            <w:pPr>
              <w:pStyle w:val="libFootnote0"/>
              <w:rPr>
                <w:rtl/>
              </w:rPr>
            </w:pPr>
            <w:r>
              <w:rPr>
                <w:rtl/>
              </w:rPr>
              <w:t>(5).</w:t>
            </w:r>
            <w:r w:rsidRPr="00C9040A">
              <w:rPr>
                <w:rtl/>
              </w:rPr>
              <w:t xml:space="preserve"> في الوسائل ، ح 20631 : « الدرهم »</w:t>
            </w:r>
            <w:r>
              <w:rPr>
                <w:rtl/>
              </w:rPr>
              <w:t>.</w:t>
            </w:r>
          </w:p>
        </w:tc>
        <w:tc>
          <w:tcPr>
            <w:tcW w:w="4006" w:type="dxa"/>
          </w:tcPr>
          <w:p w:rsidR="001D0D32" w:rsidRDefault="001D0D32" w:rsidP="004A4E41">
            <w:pPr>
              <w:pStyle w:val="libFootnote0"/>
              <w:rPr>
                <w:rtl/>
              </w:rPr>
            </w:pPr>
            <w:r>
              <w:rPr>
                <w:rtl/>
              </w:rPr>
              <w:t xml:space="preserve">(6). </w:t>
            </w:r>
            <w:r w:rsidRPr="00C9040A">
              <w:rPr>
                <w:rtl/>
              </w:rPr>
              <w:t xml:space="preserve">في « </w:t>
            </w:r>
            <w:r>
              <w:rPr>
                <w:rtl/>
              </w:rPr>
              <w:t xml:space="preserve">ه </w:t>
            </w:r>
            <w:r w:rsidRPr="00C9040A">
              <w:rPr>
                <w:rtl/>
              </w:rPr>
              <w:t>» : « يتيم هذا » بدل « اليتيم ظلماً »</w:t>
            </w:r>
            <w:r>
              <w:rPr>
                <w:rtl/>
              </w:rPr>
              <w:t>.</w:t>
            </w:r>
          </w:p>
        </w:tc>
      </w:tr>
    </w:tbl>
    <w:p w:rsidR="008A74EB" w:rsidRPr="00C9040A" w:rsidRDefault="006C577F" w:rsidP="004A4E41">
      <w:pPr>
        <w:pStyle w:val="libFootnote0"/>
        <w:rPr>
          <w:rtl/>
          <w:lang w:bidi="fa-IR"/>
        </w:rPr>
      </w:pPr>
      <w:r>
        <w:rPr>
          <w:rtl/>
        </w:rPr>
        <w:t>(7).</w:t>
      </w:r>
      <w:r w:rsidR="008A74EB" w:rsidRPr="00C9040A">
        <w:rPr>
          <w:rtl/>
        </w:rPr>
        <w:t xml:space="preserve"> في « </w:t>
      </w:r>
      <w:r w:rsidR="006D3162">
        <w:rPr>
          <w:rtl/>
        </w:rPr>
        <w:t xml:space="preserve">ه </w:t>
      </w:r>
      <w:r w:rsidR="008A74EB" w:rsidRPr="00C9040A">
        <w:rPr>
          <w:rtl/>
        </w:rPr>
        <w:t xml:space="preserve">» </w:t>
      </w:r>
      <w:r w:rsidR="008A74EB">
        <w:rPr>
          <w:rtl/>
        </w:rPr>
        <w:t xml:space="preserve">: </w:t>
      </w:r>
      <w:r w:rsidR="0084262C">
        <w:rPr>
          <w:rtl/>
        </w:rPr>
        <w:t>-</w:t>
      </w:r>
      <w:r w:rsidR="008A74EB" w:rsidRPr="00C9040A">
        <w:rPr>
          <w:rtl/>
        </w:rPr>
        <w:t xml:space="preserve"> « يعني »</w:t>
      </w:r>
      <w:r w:rsidR="008A74EB">
        <w:rPr>
          <w:rtl/>
        </w:rPr>
        <w:t>.</w:t>
      </w:r>
      <w:r w:rsidR="008A74EB" w:rsidRPr="00C9040A">
        <w:rPr>
          <w:rtl/>
        </w:rPr>
        <w:t xml:space="preserve"> والظاهر أنّ « يعني » كلام المصنّف</w:t>
      </w:r>
      <w:r w:rsidR="008A74EB">
        <w:rPr>
          <w:rtl/>
        </w:rPr>
        <w:t xml:space="preserve"> </w:t>
      </w:r>
      <w:r w:rsidR="0084262C">
        <w:rPr>
          <w:rtl/>
        </w:rPr>
        <w:t>-</w:t>
      </w:r>
      <w:r w:rsidR="008A74EB">
        <w:rPr>
          <w:rtl/>
        </w:rPr>
        <w:t xml:space="preserve"> </w:t>
      </w:r>
      <w:r w:rsidR="00117575" w:rsidRPr="00117575">
        <w:rPr>
          <w:rStyle w:val="libFootnoteAlaemChar"/>
          <w:rtl/>
        </w:rPr>
        <w:t>قدس‌سره</w:t>
      </w:r>
      <w:r w:rsidR="008A74EB">
        <w:rPr>
          <w:rtl/>
        </w:rPr>
        <w:t xml:space="preserve"> </w:t>
      </w:r>
      <w:r w:rsidR="0084262C">
        <w:rPr>
          <w:rtl/>
        </w:rPr>
        <w:t>-</w:t>
      </w:r>
      <w:r w:rsidR="008A74EB">
        <w:rPr>
          <w:rtl/>
        </w:rPr>
        <w:t xml:space="preserve"> </w:t>
      </w:r>
      <w:r w:rsidR="008A74EB" w:rsidRPr="00C9040A">
        <w:rPr>
          <w:rtl/>
        </w:rPr>
        <w:t xml:space="preserve">أو بعض الرواة. قال المجلسي : « وكونه من كلامه </w:t>
      </w:r>
      <w:r w:rsidR="00117575" w:rsidRPr="00117575">
        <w:rPr>
          <w:rStyle w:val="libFootnoteAlaemChar"/>
          <w:rtl/>
        </w:rPr>
        <w:t>عليه‌السلام</w:t>
      </w:r>
      <w:r w:rsidR="008A74EB" w:rsidRPr="00C9040A">
        <w:rPr>
          <w:rtl/>
        </w:rPr>
        <w:t xml:space="preserve"> على سبيل الالتفات</w:t>
      </w:r>
      <w:r w:rsidR="008A74EB">
        <w:rPr>
          <w:rtl/>
        </w:rPr>
        <w:t xml:space="preserve"> </w:t>
      </w:r>
      <w:r w:rsidR="0084262C">
        <w:rPr>
          <w:rtl/>
        </w:rPr>
        <w:t>-</w:t>
      </w:r>
      <w:r w:rsidR="008A74EB">
        <w:rPr>
          <w:rtl/>
        </w:rPr>
        <w:t xml:space="preserve"> </w:t>
      </w:r>
      <w:r w:rsidR="008A74EB" w:rsidRPr="00C9040A">
        <w:rPr>
          <w:rtl/>
        </w:rPr>
        <w:t>كما زعم</w:t>
      </w:r>
      <w:r w:rsidR="008A74EB">
        <w:rPr>
          <w:rtl/>
        </w:rPr>
        <w:t xml:space="preserve"> </w:t>
      </w:r>
      <w:r w:rsidR="0084262C">
        <w:rPr>
          <w:rtl/>
        </w:rPr>
        <w:t>-</w:t>
      </w:r>
      <w:r w:rsidR="008A74EB">
        <w:rPr>
          <w:rtl/>
        </w:rPr>
        <w:t xml:space="preserve"> </w:t>
      </w:r>
      <w:r w:rsidR="008A74EB" w:rsidRPr="00C9040A">
        <w:rPr>
          <w:rtl/>
        </w:rPr>
        <w:t>بعيد جدّاً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w:t>
      </w:r>
      <w:r w:rsidR="008A74EB" w:rsidRPr="00993B55">
        <w:rPr>
          <w:rStyle w:val="libFootnoteBoldChar"/>
          <w:rtl/>
        </w:rPr>
        <w:t>ثواب الأعمال</w:t>
      </w:r>
      <w:r w:rsidR="008A74EB" w:rsidRPr="00C9040A">
        <w:rPr>
          <w:rtl/>
        </w:rPr>
        <w:t xml:space="preserve"> ، ص 277 ، ح 1 ؛ و</w:t>
      </w:r>
      <w:r w:rsidR="008A74EB" w:rsidRPr="00993B55">
        <w:rPr>
          <w:rStyle w:val="libFootnoteBoldChar"/>
          <w:rtl/>
        </w:rPr>
        <w:t xml:space="preserve">الخصال </w:t>
      </w:r>
      <w:r w:rsidR="008A74EB" w:rsidRPr="00C9040A">
        <w:rPr>
          <w:rtl/>
        </w:rPr>
        <w:t>؛ ص 273 ، باب الخمسة ، ح 17 ؛ و</w:t>
      </w:r>
      <w:r w:rsidR="008A74EB" w:rsidRPr="00993B55">
        <w:rPr>
          <w:rStyle w:val="libFootnoteBoldChar"/>
          <w:rtl/>
        </w:rPr>
        <w:t xml:space="preserve">علل الشرائع </w:t>
      </w:r>
      <w:r w:rsidR="008A74EB" w:rsidRPr="00C9040A">
        <w:rPr>
          <w:rtl/>
        </w:rPr>
        <w:t xml:space="preserve">، ص 475 ، ح 3 ، </w:t>
      </w:r>
      <w:r w:rsidR="00041B29">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602254">
        <w:rPr>
          <w:rtl/>
        </w:rPr>
        <w:t>2451</w:t>
      </w:r>
      <w:r w:rsidRPr="00261CB0">
        <w:rPr>
          <w:rStyle w:val="libBold2Char"/>
          <w:rtl/>
        </w:rPr>
        <w:t xml:space="preserve"> / 10.</w:t>
      </w:r>
      <w:r w:rsidRPr="00C9040A">
        <w:rPr>
          <w:rtl/>
          <w:lang w:bidi="fa-IR"/>
        </w:rPr>
        <w:t xml:space="preserve"> عِدَّةٌ مِنْ أَصْحَابِنَا ، عَنْ أَحْمَدَ بْنِ مُحَمَّدِ بْنِ خَالِدٍ ، عَنْ مُحَمَّدِ بْنِ حَبِيبٍ </w:t>
      </w:r>
      <w:r w:rsidR="006C577F" w:rsidRPr="006C577F">
        <w:rPr>
          <w:rStyle w:val="libFootnotenumChar"/>
          <w:rtl/>
        </w:rPr>
        <w:t>(1)</w:t>
      </w:r>
      <w:r w:rsidRPr="00C9040A">
        <w:rPr>
          <w:rtl/>
          <w:lang w:bidi="fa-IR"/>
        </w:rPr>
        <w:t xml:space="preserve"> ، عَنْ عَبْدِ اللهِ بْنِ عَبْدِ الرَّحْمنِ الْأَصَمِّ ، عَنْ عَبْدِ اللهِ بْنِ مُسْكَانَ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أَمِيرُ الْمُؤْمِنِينَ صَلَوَاتُ اللهِ ع</w:t>
      </w:r>
      <w:r w:rsidR="00786D7B">
        <w:rPr>
          <w:rtl/>
          <w:lang w:bidi="fa-IR"/>
        </w:rPr>
        <w:t>َلَيْهِ : مَا مِنْ عَبْدٍ إِل</w:t>
      </w:r>
      <w:r w:rsidR="00786D7B">
        <w:rPr>
          <w:rFonts w:hint="cs"/>
          <w:rtl/>
          <w:lang w:bidi="fa-IR"/>
        </w:rPr>
        <w:t>َّ</w:t>
      </w:r>
      <w:r w:rsidR="00786D7B">
        <w:rPr>
          <w:rtl/>
          <w:lang w:bidi="fa-IR"/>
        </w:rPr>
        <w:t>ا</w:t>
      </w:r>
      <w:r w:rsidRPr="00C9040A">
        <w:rPr>
          <w:rtl/>
          <w:lang w:bidi="fa-IR"/>
        </w:rPr>
        <w:t xml:space="preserve"> وَعَلَيْهِ أَرْبَعُونَ جُنَّةً حَتّى يَعْمَلَ أَرْبَعِينَ كَبِيرَةً ، فَإِذَا عَمِلَ أَرْبَعِينَ كَبِيرَةً انْكَشَفَتْ </w:t>
      </w:r>
      <w:r w:rsidR="006C577F" w:rsidRPr="006C577F">
        <w:rPr>
          <w:rStyle w:val="libFootnotenumChar"/>
          <w:rtl/>
        </w:rPr>
        <w:t>(2)</w:t>
      </w:r>
      <w:r w:rsidRPr="00C9040A">
        <w:rPr>
          <w:rtl/>
          <w:lang w:bidi="fa-IR"/>
        </w:rPr>
        <w:t xml:space="preserve"> عَنْهُ الْجُنَنُ </w:t>
      </w:r>
      <w:r w:rsidR="006C577F" w:rsidRPr="006C577F">
        <w:rPr>
          <w:rStyle w:val="libFootnotenumChar"/>
          <w:rtl/>
        </w:rPr>
        <w:t>(3)</w:t>
      </w:r>
      <w:r w:rsidRPr="00C9040A">
        <w:rPr>
          <w:rtl/>
          <w:lang w:bidi="fa-IR"/>
        </w:rPr>
        <w:t xml:space="preserve"> ، فَيُوحِي اللهُ إِلَيْهِمْ : أَنِ اسْتُرُوا عَبْدِي بِأَجْنِحَتِكُمْ ،</w:t>
      </w:r>
    </w:p>
    <w:p w:rsidR="008A74EB" w:rsidRPr="00C9040A" w:rsidRDefault="008A74EB" w:rsidP="008A74EB">
      <w:pPr>
        <w:pStyle w:val="libLine"/>
        <w:rPr>
          <w:rtl/>
          <w:lang w:bidi="fa-IR"/>
        </w:rPr>
      </w:pPr>
      <w:r w:rsidRPr="00C9040A">
        <w:rPr>
          <w:rtl/>
          <w:lang w:bidi="fa-IR"/>
        </w:rPr>
        <w:t>__________________</w:t>
      </w:r>
    </w:p>
    <w:p w:rsidR="008A74EB" w:rsidRPr="00C9040A" w:rsidRDefault="00786D7B" w:rsidP="00786D7B">
      <w:pPr>
        <w:pStyle w:val="libFootnote0"/>
        <w:rPr>
          <w:rtl/>
          <w:lang w:bidi="fa-IR"/>
        </w:rPr>
      </w:pPr>
      <w:r>
        <w:rPr>
          <w:rFonts w:hint="cs"/>
          <w:rtl/>
        </w:rPr>
        <w:t xml:space="preserve">= </w:t>
      </w:r>
      <w:r w:rsidR="008A74EB" w:rsidRPr="00C9040A">
        <w:rPr>
          <w:rtl/>
        </w:rPr>
        <w:t xml:space="preserve">بسند آخر عن عبيد بن زرارة ، مع اختلاف. وفي </w:t>
      </w:r>
      <w:r w:rsidR="008A74EB" w:rsidRPr="00993B55">
        <w:rPr>
          <w:rStyle w:val="libFootnoteBoldChar"/>
          <w:rtl/>
        </w:rPr>
        <w:t>الخصال</w:t>
      </w:r>
      <w:r w:rsidR="008A74EB" w:rsidRPr="00C9040A">
        <w:rPr>
          <w:rtl/>
        </w:rPr>
        <w:t xml:space="preserve"> ، ص 273 ، باب الخمسة ، ح 16 ؛ </w:t>
      </w:r>
      <w:r w:rsidR="008A74EB" w:rsidRPr="00AC2FD6">
        <w:rPr>
          <w:rtl/>
        </w:rPr>
        <w:t>و</w:t>
      </w:r>
      <w:r w:rsidR="008A74EB" w:rsidRPr="00993B55">
        <w:rPr>
          <w:rStyle w:val="libFootnoteBoldChar"/>
          <w:rtl/>
        </w:rPr>
        <w:t>علل الشرائع</w:t>
      </w:r>
      <w:r w:rsidR="008A74EB" w:rsidRPr="00C9040A">
        <w:rPr>
          <w:rtl/>
        </w:rPr>
        <w:t xml:space="preserve"> ، ص 457 ، ح 2 ، بسند آخر ، مع اختلاف يسير ، وفي كلّ المصادر إلى قوله : « والتعرّب بعد الهجرة » ، وورد في كلّها أنّ الكبائر خمس</w:t>
      </w:r>
      <w:r>
        <w:rPr>
          <w:rFonts w:hint="cs"/>
          <w:rtl/>
        </w:rPr>
        <w:t>.</w:t>
      </w:r>
      <w:r w:rsidR="008A74EB" w:rsidRPr="00993B55">
        <w:rPr>
          <w:rStyle w:val="libFootnoteBoldChar"/>
          <w:rtl/>
        </w:rPr>
        <w:t>الوافي</w:t>
      </w:r>
      <w:r w:rsidR="008A74EB" w:rsidRPr="00C9040A">
        <w:rPr>
          <w:rtl/>
        </w:rPr>
        <w:t xml:space="preserve"> ، ج 5 ، ص 1051 ، ح 3572 ؛ </w:t>
      </w:r>
      <w:r w:rsidR="008A74EB" w:rsidRPr="00993B55">
        <w:rPr>
          <w:rStyle w:val="libFootnoteBoldChar"/>
          <w:rtl/>
        </w:rPr>
        <w:t>الوسائل</w:t>
      </w:r>
      <w:r w:rsidR="008A74EB" w:rsidRPr="00C9040A">
        <w:rPr>
          <w:rtl/>
        </w:rPr>
        <w:t xml:space="preserve"> ، ج 4 ، ص 42 ، ح 4465 ، من قوله : « إنّ تارك الصلاة » ؛ وج 15 ، ص 321 ، ح 20631.</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لم يُعهَد محمّد بن حبيب في هذه الطبقة وفي مشايخ أحمد بن محمّد بن خالد ، فربّما يحتمل كونه مصحّفاً وأنّ‌الصواب هو محمّد بن حسن ، والمراد به محمّد بن الحسن بن شمّون ؛ فقد تقدّمت في </w:t>
      </w:r>
      <w:r w:rsidR="008A74EB" w:rsidRPr="00993B55">
        <w:rPr>
          <w:rStyle w:val="libFootnoteBoldChar"/>
          <w:rtl/>
        </w:rPr>
        <w:t>الكافى</w:t>
      </w:r>
      <w:r w:rsidR="008A74EB" w:rsidRPr="00C9040A">
        <w:rPr>
          <w:rtl/>
        </w:rPr>
        <w:t xml:space="preserve"> ، ح 2303 ، وتأتي أيضاً في ح 2681 رواية أحمد بن محمّد بن خالد ، عن محمّد بن الحسن بن شمّون. لكن لم نجد لهذا الاحتمال مؤيّداً ؛ فإنّ أحمد بن محمّد بن خالد وإن روى عن ابن شمّون في قليلٍ من الأسناد ، لكن لم يرو ابن شمّون في شي‌ءٍ من هذه الأسناد عن عبدالله بن عبدالرحمن الأصمّ ، وقد أكثر محمّد بن الحسن بن شمّون من الرواية عنه. راجع : </w:t>
      </w:r>
      <w:r w:rsidR="008A74EB" w:rsidRPr="00993B55">
        <w:rPr>
          <w:rStyle w:val="libFootnoteBoldChar"/>
          <w:rtl/>
        </w:rPr>
        <w:t>معجم رجال الحديث</w:t>
      </w:r>
      <w:r w:rsidR="008A74EB" w:rsidRPr="00C9040A">
        <w:rPr>
          <w:rtl/>
        </w:rPr>
        <w:t xml:space="preserve"> ، ج 10 ، ص 483</w:t>
      </w:r>
      <w:r w:rsidR="008A74EB">
        <w:rPr>
          <w:rtl/>
        </w:rPr>
        <w:t xml:space="preserve"> </w:t>
      </w:r>
      <w:r w:rsidR="0084262C">
        <w:rPr>
          <w:rtl/>
        </w:rPr>
        <w:t>-</w:t>
      </w:r>
      <w:r w:rsidR="008A74EB">
        <w:rPr>
          <w:rtl/>
        </w:rPr>
        <w:t xml:space="preserve"> </w:t>
      </w:r>
      <w:r w:rsidR="008A74EB" w:rsidRPr="00C9040A">
        <w:rPr>
          <w:rtl/>
        </w:rPr>
        <w:t xml:space="preserve">478. وانظر أيضاً : </w:t>
      </w:r>
      <w:r w:rsidR="008A74EB" w:rsidRPr="00993B55">
        <w:rPr>
          <w:rStyle w:val="libFootnoteBoldChar"/>
          <w:rtl/>
        </w:rPr>
        <w:t>المحاسن</w:t>
      </w:r>
      <w:r w:rsidR="008A74EB" w:rsidRPr="00C9040A">
        <w:rPr>
          <w:rtl/>
        </w:rPr>
        <w:t xml:space="preserve"> ، ص 260 ، ح 316 ؛ وص 261 ، ح 322 ؛ وص 391 ، ح 31 ؛ وص 393 ، ح 48 ؛ وص 533 ، ح 793 ؛ وص 572 ، ح 15 ؛ وص 608 ، ح 7.</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ب » : « ارتفع »</w:t>
      </w:r>
      <w:r w:rsidR="008A74EB">
        <w:rPr>
          <w:rtl/>
        </w:rPr>
        <w:t>.</w:t>
      </w:r>
      <w:r w:rsidR="008A74EB" w:rsidRPr="00C9040A">
        <w:rPr>
          <w:rtl/>
        </w:rPr>
        <w:t xml:space="preserve"> وفى الوافي : « انكشف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w:t>
      </w:r>
      <w:r w:rsidR="008A74EB" w:rsidRPr="00993B55">
        <w:rPr>
          <w:rStyle w:val="libFootnoteBoldChar"/>
          <w:rtl/>
        </w:rPr>
        <w:t>الوافي</w:t>
      </w:r>
      <w:r w:rsidR="008A74EB" w:rsidRPr="00C9040A">
        <w:rPr>
          <w:rtl/>
        </w:rPr>
        <w:t xml:space="preserve"> : « الجنّة ، بالضمّ : ما يسترو يقي ، وكأنّها هنا كناية عن نتائج أخلاقه الحسنة وثمرات أعماله الصالحةالتي تخلق منها الملائكة. وأجنحة الملائكة كناية عن معارفه الحقّة التي بها يرتقي في الدرجات ، وذلك لأنّ العمل أسرع زوالاً من المعرفة ، وإنّما يأخذ في بغض أهل البيت ؛ لأنّهم الحائلون بينه وبين الذنوب التي صارت محبوبة له ومعشوقة لنفسه الخبيثة بمواعظهم ووصاياهم </w:t>
      </w:r>
      <w:r w:rsidR="00117575" w:rsidRPr="00117575">
        <w:rPr>
          <w:rStyle w:val="libFootnoteAlaemChar"/>
          <w:rtl/>
        </w:rPr>
        <w:t>عليهم‌السلام</w:t>
      </w:r>
      <w:r w:rsidR="008A74EB" w:rsidRPr="00C9040A">
        <w:rPr>
          <w:rtl/>
        </w:rPr>
        <w:t xml:space="preserve"> »</w:t>
      </w:r>
      <w:r w:rsidR="008A74EB">
        <w:rPr>
          <w:rtl/>
        </w:rPr>
        <w:t>.</w:t>
      </w:r>
    </w:p>
    <w:p w:rsidR="008A74EB" w:rsidRPr="00C9040A" w:rsidRDefault="008A74EB" w:rsidP="004A4E41">
      <w:pPr>
        <w:pStyle w:val="libFootnote0"/>
        <w:rPr>
          <w:rtl/>
          <w:lang w:bidi="fa-IR"/>
        </w:rPr>
      </w:pPr>
      <w:r w:rsidRPr="00323A39">
        <w:rPr>
          <w:rtl/>
        </w:rPr>
        <w:t xml:space="preserve">وقال في </w:t>
      </w:r>
      <w:r w:rsidRPr="00993B55">
        <w:rPr>
          <w:rStyle w:val="libFootnoteBoldChar"/>
          <w:rtl/>
        </w:rPr>
        <w:t>مرآة العقول</w:t>
      </w:r>
      <w:r w:rsidRPr="00323A39">
        <w:rPr>
          <w:rtl/>
        </w:rPr>
        <w:t xml:space="preserve"> ، ج 10 ، ص 22 : « كأنّ المراد بالجنن ألطافه سبحانه التي تصير سبباً لترك المعاصي وامتناعه ، فبكلّ كبيرة </w:t>
      </w:r>
      <w:r w:rsidR="0084262C" w:rsidRPr="00323A39">
        <w:rPr>
          <w:rtl/>
        </w:rPr>
        <w:t>-</w:t>
      </w:r>
      <w:r w:rsidRPr="00323A39">
        <w:rPr>
          <w:rtl/>
        </w:rPr>
        <w:t xml:space="preserve"> سواء كانت من نوع واحد ، أو أنواع مختلفة </w:t>
      </w:r>
      <w:r w:rsidR="0084262C" w:rsidRPr="00323A39">
        <w:rPr>
          <w:rtl/>
        </w:rPr>
        <w:t>-</w:t>
      </w:r>
      <w:r w:rsidRPr="00323A39">
        <w:rPr>
          <w:rtl/>
        </w:rPr>
        <w:t xml:space="preserve"> يستحقّ منع لطف من ألطافه ، أو رحماته تعالى وعفوه وغفرانه ، فلا يفضحه الله بها ، فإذا استحقّ غضب الله سلبت عنه ، لكن يرحمه سبحانه ويأمر الملائكة بستره ، ولكن ليس سترهم كستر الله تعالى.</w:t>
      </w:r>
    </w:p>
    <w:p w:rsidR="008A74EB" w:rsidRPr="00C9040A" w:rsidRDefault="008A74EB" w:rsidP="004A4E41">
      <w:pPr>
        <w:pStyle w:val="libFootnote0"/>
        <w:rPr>
          <w:rtl/>
          <w:lang w:bidi="fa-IR"/>
        </w:rPr>
      </w:pPr>
      <w:r w:rsidRPr="0082575F">
        <w:rPr>
          <w:rtl/>
        </w:rPr>
        <w:t xml:space="preserve">أو المراد بالجنن ترك الكبائر ؛ فإنّ تركها موجب لغفران الصغائر عند الله وسترها عن الناس ، فإذا عمل بكبيره لم يتحتّم على الله مغفرة صغائره وشرع الناس في تجسّس عيوبه ، وهكذا إلى أن يعمل جميع الكبائر ، وهي </w:t>
      </w:r>
      <w:r w:rsidR="00786D7B">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فَتَسْتُرُهُ </w:t>
      </w:r>
      <w:r w:rsidR="006C577F" w:rsidRPr="006C577F">
        <w:rPr>
          <w:rStyle w:val="libFootnotenumChar"/>
          <w:rtl/>
        </w:rPr>
        <w:t>(1)</w:t>
      </w:r>
      <w:r w:rsidRPr="00C9040A">
        <w:rPr>
          <w:rtl/>
          <w:lang w:bidi="fa-IR"/>
        </w:rPr>
        <w:t xml:space="preserve"> الْمَلَائِكَةُ بِأَجْنِحَتِهَا »</w:t>
      </w:r>
      <w:r>
        <w:rPr>
          <w:rtl/>
          <w:lang w:bidi="fa-IR"/>
        </w:rPr>
        <w:t>.</w:t>
      </w:r>
    </w:p>
    <w:p w:rsidR="008A74EB" w:rsidRPr="00C9040A" w:rsidRDefault="008A74EB" w:rsidP="008A74EB">
      <w:pPr>
        <w:pStyle w:val="libNormal"/>
        <w:rPr>
          <w:rtl/>
          <w:lang w:bidi="fa-IR"/>
        </w:rPr>
      </w:pPr>
      <w:r w:rsidRPr="00C9040A">
        <w:rPr>
          <w:rtl/>
          <w:lang w:bidi="fa-IR"/>
        </w:rPr>
        <w:t>قَالَ : « فَمَا يَدَع</w:t>
      </w:r>
      <w:r w:rsidR="001027B0">
        <w:rPr>
          <w:rtl/>
          <w:lang w:bidi="fa-IR"/>
        </w:rPr>
        <w:t>ُ شَيْئاً مِنَ الْقَبِيحِ إِل</w:t>
      </w:r>
      <w:r w:rsidR="001027B0">
        <w:rPr>
          <w:rFonts w:hint="cs"/>
          <w:rtl/>
          <w:lang w:bidi="fa-IR"/>
        </w:rPr>
        <w:t>َّ</w:t>
      </w:r>
      <w:r w:rsidR="001027B0">
        <w:rPr>
          <w:rtl/>
          <w:lang w:bidi="fa-IR"/>
        </w:rPr>
        <w:t>ا</w:t>
      </w:r>
      <w:r w:rsidRPr="00C9040A">
        <w:rPr>
          <w:rtl/>
          <w:lang w:bidi="fa-IR"/>
        </w:rPr>
        <w:t xml:space="preserve"> قَارَفَهُ حَتّى يَمْتَدِحَ </w:t>
      </w:r>
      <w:r w:rsidR="006C577F" w:rsidRPr="006C577F">
        <w:rPr>
          <w:rStyle w:val="libFootnotenumChar"/>
          <w:rtl/>
        </w:rPr>
        <w:t>(2)</w:t>
      </w:r>
      <w:r w:rsidRPr="00C9040A">
        <w:rPr>
          <w:rtl/>
          <w:lang w:bidi="fa-IR"/>
        </w:rPr>
        <w:t xml:space="preserve"> إِلَى النَّاسِ بِفِعْلِهِ الْقَبِيحِ ، فَيَقُولُ </w:t>
      </w:r>
      <w:r w:rsidR="006C577F" w:rsidRPr="006C577F">
        <w:rPr>
          <w:rStyle w:val="libFootnotenumChar"/>
          <w:rtl/>
        </w:rPr>
        <w:t>(3)</w:t>
      </w:r>
      <w:r w:rsidRPr="00C9040A">
        <w:rPr>
          <w:rtl/>
          <w:lang w:bidi="fa-IR"/>
        </w:rPr>
        <w:t xml:space="preserve"> الْمَلَائِكَةُ : يَا رَبِّ ، هذَا عَبْدُكَ مَا يَدَعُ شَيْئاً إِل</w:t>
      </w:r>
      <w:r w:rsidR="001027B0">
        <w:rPr>
          <w:rFonts w:hint="cs"/>
          <w:rtl/>
          <w:lang w:bidi="fa-IR"/>
        </w:rPr>
        <w:t>َّ</w:t>
      </w:r>
      <w:r w:rsidR="001027B0">
        <w:rPr>
          <w:rtl/>
          <w:lang w:bidi="fa-IR"/>
        </w:rPr>
        <w:t>ا</w:t>
      </w:r>
      <w:r w:rsidRPr="00C9040A">
        <w:rPr>
          <w:rtl/>
          <w:lang w:bidi="fa-IR"/>
        </w:rPr>
        <w:t xml:space="preserve"> رَكِبَهُ ، وَإِنَّا لَنَسْتَحْيِي </w:t>
      </w:r>
      <w:r w:rsidR="006C577F" w:rsidRPr="006C577F">
        <w:rPr>
          <w:rStyle w:val="libFootnotenumChar"/>
          <w:rtl/>
        </w:rPr>
        <w:t>(4)</w:t>
      </w:r>
      <w:r w:rsidRPr="00C9040A">
        <w:rPr>
          <w:rtl/>
          <w:lang w:bidi="fa-IR"/>
        </w:rPr>
        <w:t xml:space="preserve"> مِمَّا </w:t>
      </w:r>
      <w:r w:rsidR="006C577F" w:rsidRPr="006C577F">
        <w:rPr>
          <w:rStyle w:val="libFootnotenumChar"/>
          <w:rtl/>
        </w:rPr>
        <w:t>(5)</w:t>
      </w:r>
      <w:r w:rsidRPr="00C9040A">
        <w:rPr>
          <w:rtl/>
          <w:lang w:bidi="fa-IR"/>
        </w:rPr>
        <w:t xml:space="preserve"> يَصْنَعُ ، فَيُوحِي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إِلَيْهِمْ : أَنِ </w:t>
      </w:r>
      <w:r w:rsidR="006C577F" w:rsidRPr="006C577F">
        <w:rPr>
          <w:rStyle w:val="libFootnotenumChar"/>
          <w:rtl/>
        </w:rPr>
        <w:t>(6)</w:t>
      </w:r>
      <w:r w:rsidRPr="005B567D">
        <w:rPr>
          <w:rStyle w:val="libFootnotenumChar"/>
          <w:rtl/>
        </w:rPr>
        <w:t xml:space="preserve"> </w:t>
      </w:r>
      <w:r w:rsidRPr="00C9040A">
        <w:rPr>
          <w:rtl/>
          <w:lang w:bidi="fa-IR"/>
        </w:rPr>
        <w:t xml:space="preserve">ارْفَعُوا أَجْنِحَتَكُمْ عَنْهُ ؛ فَإِذَا فُعِلَ ذلِكَ </w:t>
      </w:r>
      <w:r w:rsidR="006C577F" w:rsidRPr="006C577F">
        <w:rPr>
          <w:rStyle w:val="libFootnotenumChar"/>
          <w:rtl/>
        </w:rPr>
        <w:t>(7)</w:t>
      </w:r>
      <w:r w:rsidRPr="00C9040A">
        <w:rPr>
          <w:rtl/>
          <w:lang w:bidi="fa-IR"/>
        </w:rPr>
        <w:t xml:space="preserve"> أَخَذَ فِي بُغْضِنَا أَهْلَ الْبَيْتِ ، فَعِنْدَ ذلِكَ يَنْهَتِكُ </w:t>
      </w:r>
      <w:r w:rsidR="006C577F" w:rsidRPr="006C577F">
        <w:rPr>
          <w:rStyle w:val="libFootnotenumChar"/>
          <w:rtl/>
        </w:rPr>
        <w:t>(8)</w:t>
      </w:r>
      <w:r w:rsidRPr="00C9040A">
        <w:rPr>
          <w:rtl/>
          <w:lang w:bidi="fa-IR"/>
        </w:rPr>
        <w:t xml:space="preserve"> سِتْرُهُ فِي السَّمَاءِ وَسِتْرُهُ فِي الْأَرْضِ ، فَيَقُولُ </w:t>
      </w:r>
      <w:r w:rsidR="006C577F" w:rsidRPr="006C577F">
        <w:rPr>
          <w:rStyle w:val="libFootnotenumChar"/>
          <w:rtl/>
        </w:rPr>
        <w:t>(9)</w:t>
      </w:r>
      <w:r w:rsidRPr="00C9040A">
        <w:rPr>
          <w:rtl/>
          <w:lang w:bidi="fa-IR"/>
        </w:rPr>
        <w:t xml:space="preserve"> الْمَلَائِكَةُ : يَا رَبِّ ، هذَا عَبْدُكَ قَدْ بَقِيَ مَهْتُوكَ السِّتْرِ ، فَيُوحِي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إِلَيْهِمْ : لَوْ كَانَتْ </w:t>
      </w:r>
      <w:r w:rsidR="006C577F" w:rsidRPr="006C577F">
        <w:rPr>
          <w:rStyle w:val="libFootnotenumChar"/>
          <w:rtl/>
        </w:rPr>
        <w:t>(10)</w:t>
      </w:r>
      <w:r w:rsidRPr="00C9040A">
        <w:rPr>
          <w:rtl/>
          <w:lang w:bidi="fa-IR"/>
        </w:rPr>
        <w:t xml:space="preserve"> لِلّهِ فِيهِ </w:t>
      </w:r>
      <w:r w:rsidR="006C577F" w:rsidRPr="006C577F">
        <w:rPr>
          <w:rStyle w:val="libFootnotenumChar"/>
          <w:rtl/>
        </w:rPr>
        <w:t>(11)</w:t>
      </w:r>
      <w:r w:rsidRPr="00C9040A">
        <w:rPr>
          <w:rtl/>
          <w:lang w:bidi="fa-IR"/>
        </w:rPr>
        <w:t xml:space="preserve"> حَاجَةٌ ، مَا أَمَرَكُمْ </w:t>
      </w:r>
      <w:r w:rsidR="006C577F" w:rsidRPr="006C577F">
        <w:rPr>
          <w:rStyle w:val="libFootnotenumChar"/>
          <w:rtl/>
        </w:rPr>
        <w:t>(12)</w:t>
      </w:r>
      <w:r w:rsidRPr="00C9040A">
        <w:rPr>
          <w:rtl/>
          <w:lang w:bidi="fa-IR"/>
        </w:rPr>
        <w:t xml:space="preserve"> أَنْ تَرْفَعُوا أَجْنِحَتَكُمْ عَنْهُ »</w:t>
      </w:r>
      <w:r>
        <w:rPr>
          <w:rtl/>
          <w:lang w:bidi="fa-IR"/>
        </w:rPr>
        <w:t>.</w:t>
      </w:r>
      <w:r w:rsidRPr="00C9040A">
        <w:rPr>
          <w:rtl/>
          <w:lang w:bidi="fa-IR"/>
        </w:rPr>
        <w:t xml:space="preserve"> </w:t>
      </w:r>
      <w:r w:rsidRPr="005B567D">
        <w:rPr>
          <w:rStyle w:val="libFootnotenumChar"/>
          <w:rtl/>
        </w:rPr>
        <w:t>(13)</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1027B0" w:rsidP="004A4E41">
      <w:pPr>
        <w:pStyle w:val="libFootnote0"/>
        <w:rPr>
          <w:rtl/>
          <w:lang w:bidi="fa-IR"/>
        </w:rPr>
      </w:pPr>
      <w:r>
        <w:rPr>
          <w:rFonts w:hint="cs"/>
          <w:rtl/>
        </w:rPr>
        <w:t xml:space="preserve">= </w:t>
      </w:r>
      <w:r w:rsidR="008A74EB" w:rsidRPr="0082575F">
        <w:rPr>
          <w:rtl/>
        </w:rPr>
        <w:t>أربعون تقريباً فيفتضح عند الله وعند الناس بكبائره وصغائره.</w:t>
      </w:r>
    </w:p>
    <w:p w:rsidR="0036062A" w:rsidRDefault="008A74EB" w:rsidP="0036062A">
      <w:pPr>
        <w:pStyle w:val="libFootnote0"/>
        <w:rPr>
          <w:rtl/>
        </w:rPr>
      </w:pPr>
      <w:r w:rsidRPr="00323A39">
        <w:rPr>
          <w:rtl/>
        </w:rPr>
        <w:t xml:space="preserve">أو أراد بالجنن الطاعات التي يوفّقه الله تعالى لفعلها بسبب ترك الكبائر ، فكلّما أتى بكبيرة سلب التوفيق لبعض الطاعات التي هي مكفّرة لذنوبه عند الله وساترة لعيوبه عند الناس. ويؤيّده ما ورد عن الصادق </w:t>
      </w:r>
      <w:r w:rsidR="00117575" w:rsidRPr="00117575">
        <w:rPr>
          <w:rStyle w:val="libFootnoteAlaemChar"/>
          <w:rtl/>
        </w:rPr>
        <w:t xml:space="preserve">عليه‌السلام </w:t>
      </w:r>
      <w:r w:rsidRPr="00323A39">
        <w:rPr>
          <w:rtl/>
        </w:rPr>
        <w:t>،</w:t>
      </w:r>
    </w:p>
    <w:p w:rsidR="008A74EB" w:rsidRPr="00C9040A" w:rsidRDefault="008A74EB" w:rsidP="0036062A">
      <w:pPr>
        <w:pStyle w:val="libFootnote0"/>
        <w:rPr>
          <w:rtl/>
          <w:lang w:bidi="fa-IR"/>
        </w:rPr>
      </w:pPr>
      <w:r w:rsidRPr="00323A39">
        <w:rPr>
          <w:rtl/>
        </w:rPr>
        <w:t>وذلك أنّ الصلاة ستر وكفّارة لما بينها من الذنوب. فهذه ثلاثة وجوه خطر بالبال على سبيل الإمكان والاحتمال ».</w:t>
      </w:r>
    </w:p>
    <w:p w:rsidR="008A74EB" w:rsidRPr="00C9040A" w:rsidRDefault="008A74EB" w:rsidP="004A4E41">
      <w:pPr>
        <w:pStyle w:val="libFootnote0"/>
        <w:rPr>
          <w:rtl/>
          <w:lang w:bidi="fa-IR"/>
        </w:rPr>
      </w:pPr>
      <w:r w:rsidRPr="0082575F">
        <w:rPr>
          <w:rtl/>
        </w:rPr>
        <w:t xml:space="preserve">ثمّ ذكر ما نقلناه عن </w:t>
      </w:r>
      <w:r w:rsidRPr="00602254">
        <w:rPr>
          <w:rtl/>
        </w:rPr>
        <w:t>الوافي</w:t>
      </w:r>
      <w:r w:rsidRPr="0082575F">
        <w:rPr>
          <w:rtl/>
        </w:rPr>
        <w:t xml:space="preserve"> رابع الوجوه وقال : « الخامس : ما قيل : إنّ تلك الجنن أجنحة الملائكة</w:t>
      </w:r>
      <w:r w:rsidR="0036062A">
        <w:rPr>
          <w:rtl/>
        </w:rPr>
        <w:t>. ولا يخفى إباء ما بعده عنه إل</w:t>
      </w:r>
      <w:r w:rsidR="0036062A">
        <w:rPr>
          <w:rFonts w:hint="cs"/>
          <w:rtl/>
        </w:rPr>
        <w:t>ّ</w:t>
      </w:r>
      <w:r w:rsidR="0036062A">
        <w:rPr>
          <w:rtl/>
        </w:rPr>
        <w:t>ا</w:t>
      </w:r>
      <w:r w:rsidRPr="0082575F">
        <w:rPr>
          <w:rtl/>
        </w:rPr>
        <w:t>بتكلّف تامّ.</w:t>
      </w:r>
    </w:p>
    <w:p w:rsidR="008A74EB" w:rsidRDefault="008A74EB" w:rsidP="004A4E41">
      <w:pPr>
        <w:pStyle w:val="libFootnote0"/>
        <w:rPr>
          <w:rtl/>
        </w:rPr>
      </w:pPr>
      <w:r w:rsidRPr="0082575F">
        <w:rPr>
          <w:rtl/>
        </w:rPr>
        <w:t>السادس : أنّ المراد بالجنن الملائكة أنفسهم ؛ لأنّهم جنن له من دفع شرّ الشيطان ووساوسه ، فإذا عمل كبيرة فارق عنه ملك إلى أن يفارق الجميع ، فإذا فارقوه جميعاً أوحى الله إليهم أن استروه بأجنحتكم من بعيد ؛ ليكون محفوظاً في الجملة من شرّ الشياطين ، فضمير « إليهم » في قوله : فيوحي الله إليهم ، راجع إلى الجنن. وأقول : على الوجوه الا</w:t>
      </w:r>
      <w:r w:rsidR="0036062A">
        <w:rPr>
          <w:rFonts w:hint="cs"/>
          <w:rtl/>
        </w:rPr>
        <w:t>ُ</w:t>
      </w:r>
      <w:r w:rsidRPr="0082575F">
        <w:rPr>
          <w:rtl/>
        </w:rPr>
        <w:t>خر ضمير « إليهم » راجع إلى الملائكة بقرينة ما بعده »</w:t>
      </w:r>
      <w:r>
        <w:rPr>
          <w:rtl/>
        </w:rPr>
        <w:t>.</w:t>
      </w:r>
    </w:p>
    <w:tbl>
      <w:tblPr>
        <w:tblStyle w:val="TableGrid"/>
        <w:bidiVisual/>
        <w:tblW w:w="0" w:type="auto"/>
        <w:tblLook w:val="04A0" w:firstRow="1" w:lastRow="0" w:firstColumn="1" w:lastColumn="0" w:noHBand="0" w:noVBand="1"/>
      </w:tblPr>
      <w:tblGrid>
        <w:gridCol w:w="4006"/>
        <w:gridCol w:w="4006"/>
      </w:tblGrid>
      <w:tr w:rsidR="0036062A" w:rsidTr="0036062A">
        <w:tc>
          <w:tcPr>
            <w:tcW w:w="4006" w:type="dxa"/>
          </w:tcPr>
          <w:p w:rsidR="0036062A" w:rsidRDefault="0036062A" w:rsidP="004A4E41">
            <w:pPr>
              <w:pStyle w:val="libFootnote0"/>
              <w:rPr>
                <w:rtl/>
              </w:rPr>
            </w:pPr>
            <w:r>
              <w:rPr>
                <w:rtl/>
              </w:rPr>
              <w:t xml:space="preserve">(1). </w:t>
            </w:r>
            <w:r w:rsidRPr="00C9040A">
              <w:rPr>
                <w:rtl/>
              </w:rPr>
              <w:t>في « بر ، بف » : « فيستره »</w:t>
            </w:r>
            <w:r>
              <w:rPr>
                <w:rtl/>
              </w:rPr>
              <w:t>.</w:t>
            </w:r>
          </w:p>
        </w:tc>
        <w:tc>
          <w:tcPr>
            <w:tcW w:w="4006" w:type="dxa"/>
          </w:tcPr>
          <w:p w:rsidR="0036062A" w:rsidRDefault="0036062A" w:rsidP="004A4E41">
            <w:pPr>
              <w:pStyle w:val="libFootnote0"/>
              <w:rPr>
                <w:rtl/>
              </w:rPr>
            </w:pPr>
            <w:r>
              <w:rPr>
                <w:rtl/>
              </w:rPr>
              <w:t>(2). في «ب،ج،ز،ص،بر»</w:t>
            </w:r>
            <w:r w:rsidRPr="00C9040A">
              <w:rPr>
                <w:rtl/>
              </w:rPr>
              <w:t>والوافي والعلل : « يتمدّح »</w:t>
            </w:r>
            <w:r>
              <w:rPr>
                <w:rtl/>
              </w:rPr>
              <w:t>.</w:t>
            </w:r>
          </w:p>
        </w:tc>
      </w:tr>
      <w:tr w:rsidR="0036062A" w:rsidTr="0036062A">
        <w:tc>
          <w:tcPr>
            <w:tcW w:w="4006" w:type="dxa"/>
          </w:tcPr>
          <w:p w:rsidR="0036062A" w:rsidRDefault="0036062A" w:rsidP="004A4E41">
            <w:pPr>
              <w:pStyle w:val="libFootnote0"/>
              <w:rPr>
                <w:rtl/>
              </w:rPr>
            </w:pPr>
            <w:r>
              <w:rPr>
                <w:rtl/>
              </w:rPr>
              <w:t>(3).</w:t>
            </w:r>
            <w:r w:rsidRPr="00C9040A">
              <w:rPr>
                <w:rtl/>
              </w:rPr>
              <w:t xml:space="preserve"> في « د ، </w:t>
            </w:r>
            <w:r>
              <w:rPr>
                <w:rtl/>
              </w:rPr>
              <w:t xml:space="preserve">ه </w:t>
            </w:r>
            <w:r w:rsidRPr="00C9040A">
              <w:rPr>
                <w:rtl/>
              </w:rPr>
              <w:t>، بس » والوافي : « فتقول »</w:t>
            </w:r>
            <w:r>
              <w:rPr>
                <w:rtl/>
              </w:rPr>
              <w:t>.</w:t>
            </w:r>
          </w:p>
        </w:tc>
        <w:tc>
          <w:tcPr>
            <w:tcW w:w="4006" w:type="dxa"/>
          </w:tcPr>
          <w:p w:rsidR="0036062A" w:rsidRDefault="0036062A" w:rsidP="004A4E41">
            <w:pPr>
              <w:pStyle w:val="libFootnote0"/>
              <w:rPr>
                <w:rtl/>
              </w:rPr>
            </w:pPr>
            <w:r>
              <w:rPr>
                <w:rtl/>
              </w:rPr>
              <w:t>(4).</w:t>
            </w:r>
            <w:r w:rsidRPr="00C9040A">
              <w:rPr>
                <w:rtl/>
              </w:rPr>
              <w:t xml:space="preserve"> في « </w:t>
            </w:r>
            <w:r>
              <w:rPr>
                <w:rtl/>
              </w:rPr>
              <w:t xml:space="preserve">ه </w:t>
            </w:r>
            <w:r w:rsidRPr="00C9040A">
              <w:rPr>
                <w:rtl/>
              </w:rPr>
              <w:t>» : « نستحيي »</w:t>
            </w:r>
            <w:r>
              <w:rPr>
                <w:rtl/>
              </w:rPr>
              <w:t>.</w:t>
            </w:r>
          </w:p>
        </w:tc>
      </w:tr>
      <w:tr w:rsidR="0036062A" w:rsidTr="0036062A">
        <w:tc>
          <w:tcPr>
            <w:tcW w:w="4006" w:type="dxa"/>
          </w:tcPr>
          <w:p w:rsidR="0036062A" w:rsidRDefault="0036062A" w:rsidP="004A4E41">
            <w:pPr>
              <w:pStyle w:val="libFootnote0"/>
              <w:rPr>
                <w:rtl/>
              </w:rPr>
            </w:pPr>
            <w:r>
              <w:rPr>
                <w:rtl/>
              </w:rPr>
              <w:t>(5).</w:t>
            </w:r>
            <w:r w:rsidRPr="00C9040A">
              <w:rPr>
                <w:rtl/>
              </w:rPr>
              <w:t xml:space="preserve"> في « بر » : « بما »</w:t>
            </w:r>
            <w:r>
              <w:rPr>
                <w:rtl/>
              </w:rPr>
              <w:t>.</w:t>
            </w:r>
          </w:p>
        </w:tc>
        <w:tc>
          <w:tcPr>
            <w:tcW w:w="4006" w:type="dxa"/>
          </w:tcPr>
          <w:p w:rsidR="0036062A" w:rsidRDefault="0036062A" w:rsidP="004A4E41">
            <w:pPr>
              <w:pStyle w:val="libFootnote0"/>
              <w:rPr>
                <w:rtl/>
              </w:rPr>
            </w:pPr>
            <w:r>
              <w:rPr>
                <w:rtl/>
              </w:rPr>
              <w:t xml:space="preserve">(6). </w:t>
            </w:r>
            <w:r w:rsidRPr="00C9040A">
              <w:rPr>
                <w:rtl/>
              </w:rPr>
              <w:t xml:space="preserve">في « </w:t>
            </w:r>
            <w:r>
              <w:rPr>
                <w:rtl/>
              </w:rPr>
              <w:t xml:space="preserve">ه </w:t>
            </w:r>
            <w:r w:rsidRPr="00C9040A">
              <w:rPr>
                <w:rtl/>
              </w:rPr>
              <w:t xml:space="preserve">» </w:t>
            </w:r>
            <w:r>
              <w:rPr>
                <w:rtl/>
              </w:rPr>
              <w:t>: -</w:t>
            </w:r>
            <w:r w:rsidRPr="00C9040A">
              <w:rPr>
                <w:rtl/>
              </w:rPr>
              <w:t xml:space="preserve"> « أن »</w:t>
            </w:r>
            <w:r>
              <w:rPr>
                <w:rtl/>
              </w:rPr>
              <w:t>.</w:t>
            </w:r>
          </w:p>
        </w:tc>
      </w:tr>
    </w:tbl>
    <w:p w:rsidR="008A74EB" w:rsidRPr="00C9040A" w:rsidRDefault="006C577F" w:rsidP="004A4E41">
      <w:pPr>
        <w:pStyle w:val="libFootnote0"/>
        <w:rPr>
          <w:rtl/>
          <w:lang w:bidi="fa-IR"/>
        </w:rPr>
      </w:pPr>
      <w:r>
        <w:rPr>
          <w:rtl/>
        </w:rPr>
        <w:t>(7).</w:t>
      </w:r>
      <w:r w:rsidR="008A74EB" w:rsidRPr="00C9040A">
        <w:rPr>
          <w:rtl/>
        </w:rPr>
        <w:t xml:space="preserve"> في </w:t>
      </w:r>
      <w:r w:rsidR="008A74EB" w:rsidRPr="00993B55">
        <w:rPr>
          <w:rStyle w:val="libFootnoteBoldChar"/>
          <w:rtl/>
        </w:rPr>
        <w:t>مرآة العقول</w:t>
      </w:r>
      <w:r w:rsidR="008A74EB" w:rsidRPr="00C9040A">
        <w:rPr>
          <w:rtl/>
        </w:rPr>
        <w:t xml:space="preserve"> ، ج 10 ، ص 23 : « فإذا فعل</w:t>
      </w:r>
      <w:r w:rsidR="008A74EB">
        <w:rPr>
          <w:rtl/>
        </w:rPr>
        <w:t xml:space="preserve"> </w:t>
      </w:r>
      <w:r w:rsidR="0084262C">
        <w:rPr>
          <w:rtl/>
        </w:rPr>
        <w:t>-</w:t>
      </w:r>
      <w:r w:rsidR="008A74EB">
        <w:rPr>
          <w:rtl/>
        </w:rPr>
        <w:t xml:space="preserve"> </w:t>
      </w:r>
      <w:r w:rsidR="008A74EB" w:rsidRPr="00C9040A">
        <w:rPr>
          <w:rtl/>
        </w:rPr>
        <w:t>على بناء المجهول</w:t>
      </w:r>
      <w:r w:rsidR="008A74EB">
        <w:rPr>
          <w:rtl/>
        </w:rPr>
        <w:t xml:space="preserve"> </w:t>
      </w:r>
      <w:r w:rsidR="0084262C">
        <w:rPr>
          <w:rtl/>
        </w:rPr>
        <w:t>-</w:t>
      </w:r>
      <w:r w:rsidR="008A74EB">
        <w:rPr>
          <w:rtl/>
        </w:rPr>
        <w:t xml:space="preserve"> </w:t>
      </w:r>
      <w:r w:rsidR="008A74EB" w:rsidRPr="00C9040A">
        <w:rPr>
          <w:rtl/>
        </w:rPr>
        <w:t>ذلك ، أي رفع الأجنحة. أو على بناء المعلوم ،</w:t>
      </w:r>
      <w:r w:rsidR="008A74EB">
        <w:rPr>
          <w:rtl/>
        </w:rPr>
        <w:t xml:space="preserve"> ف</w:t>
      </w:r>
      <w:r w:rsidR="000B7200">
        <w:rPr>
          <w:rFonts w:hint="cs"/>
          <w:rtl/>
        </w:rPr>
        <w:t>ـ</w:t>
      </w:r>
      <w:r w:rsidR="008A74EB">
        <w:rPr>
          <w:rtl/>
        </w:rPr>
        <w:t xml:space="preserve"> «</w:t>
      </w:r>
      <w:r w:rsidR="008A74EB" w:rsidRPr="00C9040A">
        <w:rPr>
          <w:rtl/>
        </w:rPr>
        <w:t xml:space="preserve"> ذلك » إشارة إلى ما هو سبب رفع الأجنحة »</w:t>
      </w:r>
      <w:r w:rsidR="008A74EB">
        <w:rPr>
          <w:rtl/>
        </w:rPr>
        <w:t>.</w:t>
      </w:r>
    </w:p>
    <w:tbl>
      <w:tblPr>
        <w:tblStyle w:val="TableGrid"/>
        <w:bidiVisual/>
        <w:tblW w:w="0" w:type="auto"/>
        <w:tblLook w:val="04A0" w:firstRow="1" w:lastRow="0" w:firstColumn="1" w:lastColumn="0" w:noHBand="0" w:noVBand="1"/>
      </w:tblPr>
      <w:tblGrid>
        <w:gridCol w:w="4006"/>
        <w:gridCol w:w="4006"/>
      </w:tblGrid>
      <w:tr w:rsidR="000B7200" w:rsidTr="000B7200">
        <w:tc>
          <w:tcPr>
            <w:tcW w:w="4006" w:type="dxa"/>
          </w:tcPr>
          <w:p w:rsidR="000B7200" w:rsidRDefault="000B7200" w:rsidP="004A4E41">
            <w:pPr>
              <w:pStyle w:val="libFootnote0"/>
              <w:rPr>
                <w:rtl/>
              </w:rPr>
            </w:pPr>
            <w:r>
              <w:rPr>
                <w:rtl/>
              </w:rPr>
              <w:t>(8).</w:t>
            </w:r>
            <w:r w:rsidRPr="00C9040A">
              <w:rPr>
                <w:rtl/>
              </w:rPr>
              <w:t xml:space="preserve"> في مرآة العقول : « فينهتك »</w:t>
            </w:r>
            <w:r>
              <w:rPr>
                <w:rtl/>
              </w:rPr>
              <w:t>.</w:t>
            </w:r>
          </w:p>
        </w:tc>
        <w:tc>
          <w:tcPr>
            <w:tcW w:w="4006" w:type="dxa"/>
          </w:tcPr>
          <w:p w:rsidR="000B7200" w:rsidRDefault="000B7200" w:rsidP="004A4E41">
            <w:pPr>
              <w:pStyle w:val="libFootnote0"/>
              <w:rPr>
                <w:rtl/>
              </w:rPr>
            </w:pPr>
            <w:r>
              <w:rPr>
                <w:rtl/>
              </w:rPr>
              <w:t>(9).</w:t>
            </w:r>
            <w:r w:rsidRPr="00C9040A">
              <w:rPr>
                <w:rtl/>
              </w:rPr>
              <w:t xml:space="preserve"> في « د ، ص ، </w:t>
            </w:r>
            <w:r>
              <w:rPr>
                <w:rtl/>
              </w:rPr>
              <w:t xml:space="preserve">ه </w:t>
            </w:r>
            <w:r w:rsidRPr="00C9040A">
              <w:rPr>
                <w:rtl/>
              </w:rPr>
              <w:t>» والوافي والعلل : « فتقول »</w:t>
            </w:r>
            <w:r>
              <w:rPr>
                <w:rtl/>
              </w:rPr>
              <w:t>.</w:t>
            </w:r>
          </w:p>
        </w:tc>
      </w:tr>
      <w:tr w:rsidR="000B7200" w:rsidTr="000B7200">
        <w:tc>
          <w:tcPr>
            <w:tcW w:w="4006" w:type="dxa"/>
          </w:tcPr>
          <w:p w:rsidR="000B7200" w:rsidRDefault="000B7200" w:rsidP="004A4E41">
            <w:pPr>
              <w:pStyle w:val="libFootnote0"/>
              <w:rPr>
                <w:rtl/>
              </w:rPr>
            </w:pPr>
            <w:r>
              <w:rPr>
                <w:rtl/>
              </w:rPr>
              <w:t>(10).</w:t>
            </w:r>
            <w:r w:rsidRPr="00C9040A">
              <w:rPr>
                <w:rtl/>
              </w:rPr>
              <w:t xml:space="preserve"> في « ز ، ص ، بر » ومرآة العقول : « كان »</w:t>
            </w:r>
            <w:r>
              <w:rPr>
                <w:rtl/>
              </w:rPr>
              <w:t>.</w:t>
            </w:r>
          </w:p>
        </w:tc>
        <w:tc>
          <w:tcPr>
            <w:tcW w:w="4006" w:type="dxa"/>
          </w:tcPr>
          <w:p w:rsidR="000B7200" w:rsidRDefault="000B7200" w:rsidP="004A4E41">
            <w:pPr>
              <w:pStyle w:val="libFootnote0"/>
              <w:rPr>
                <w:rtl/>
              </w:rPr>
            </w:pPr>
            <w:r>
              <w:rPr>
                <w:rtl/>
              </w:rPr>
              <w:t>(11).</w:t>
            </w:r>
            <w:r w:rsidRPr="00C9040A">
              <w:rPr>
                <w:rtl/>
              </w:rPr>
              <w:t xml:space="preserve"> في « ز » : « فيه لله »</w:t>
            </w:r>
            <w:r>
              <w:rPr>
                <w:rtl/>
              </w:rPr>
              <w:t>.</w:t>
            </w:r>
          </w:p>
        </w:tc>
      </w:tr>
    </w:tbl>
    <w:p w:rsidR="008A74EB" w:rsidRPr="00C9040A" w:rsidRDefault="006C577F" w:rsidP="004A4E41">
      <w:pPr>
        <w:pStyle w:val="libFootnote0"/>
        <w:rPr>
          <w:rtl/>
          <w:lang w:bidi="fa-IR"/>
        </w:rPr>
      </w:pPr>
      <w:r>
        <w:rPr>
          <w:rtl/>
        </w:rPr>
        <w:t>(12).</w:t>
      </w:r>
      <w:r w:rsidR="008A74EB" w:rsidRPr="00C9040A">
        <w:rPr>
          <w:rtl/>
        </w:rPr>
        <w:t xml:space="preserve"> في « ب » والعلل : « أمرتكم »</w:t>
      </w:r>
      <w:r w:rsidR="008A74EB">
        <w:rPr>
          <w:rtl/>
        </w:rPr>
        <w:t>.</w:t>
      </w:r>
    </w:p>
    <w:p w:rsidR="008A74EB" w:rsidRPr="00C9040A" w:rsidRDefault="008A74EB" w:rsidP="004A4E41">
      <w:pPr>
        <w:pStyle w:val="libFootnote0"/>
        <w:rPr>
          <w:rtl/>
          <w:lang w:bidi="fa-IR"/>
        </w:rPr>
      </w:pPr>
      <w:r>
        <w:rPr>
          <w:rtl/>
        </w:rPr>
        <w:t>(13)</w:t>
      </w:r>
      <w:r w:rsidRPr="00C9040A">
        <w:rPr>
          <w:rtl/>
        </w:rPr>
        <w:t xml:space="preserve"> </w:t>
      </w:r>
      <w:r w:rsidRPr="00993B55">
        <w:rPr>
          <w:rStyle w:val="libFootnoteBoldChar"/>
          <w:rtl/>
        </w:rPr>
        <w:t>علل الشرائع</w:t>
      </w:r>
      <w:r w:rsidRPr="00C9040A">
        <w:rPr>
          <w:rtl/>
        </w:rPr>
        <w:t xml:space="preserve"> ، ص 532 ، ح 1 ، بسنده عن عبدالله بن عبدالرحمن الأصمّ البصري ، مع اختلاف يسير. </w:t>
      </w:r>
      <w:r w:rsidR="00BE234B">
        <w:rPr>
          <w:rFonts w:hint="cs"/>
          <w:rtl/>
        </w:rPr>
        <w:t>=</w:t>
      </w:r>
    </w:p>
    <w:p w:rsidR="004B7F34" w:rsidRDefault="004B7F34" w:rsidP="004B7F34">
      <w:pPr>
        <w:pStyle w:val="libNormal"/>
        <w:rPr>
          <w:rtl/>
          <w:lang w:bidi="fa-IR"/>
        </w:rPr>
      </w:pPr>
      <w:r>
        <w:rPr>
          <w:rtl/>
          <w:lang w:bidi="fa-IR"/>
        </w:rPr>
        <w:br w:type="page"/>
      </w:r>
    </w:p>
    <w:p w:rsidR="008A74EB" w:rsidRPr="00C9040A" w:rsidRDefault="00BC1CA6" w:rsidP="008A74EB">
      <w:pPr>
        <w:pStyle w:val="libNormal"/>
        <w:rPr>
          <w:rtl/>
          <w:lang w:bidi="fa-IR"/>
        </w:rPr>
      </w:pPr>
      <w:r>
        <w:rPr>
          <w:rFonts w:hint="cs"/>
          <w:rtl/>
          <w:lang w:bidi="fa-IR"/>
        </w:rPr>
        <w:t xml:space="preserve">* </w:t>
      </w:r>
      <w:r w:rsidR="008A74EB" w:rsidRPr="00C9040A">
        <w:rPr>
          <w:rtl/>
          <w:lang w:bidi="fa-IR"/>
        </w:rPr>
        <w:t xml:space="preserve">وَرَوَاهُ </w:t>
      </w:r>
      <w:r w:rsidR="006C577F" w:rsidRPr="006C577F">
        <w:rPr>
          <w:rStyle w:val="libFootnotenumChar"/>
          <w:rtl/>
        </w:rPr>
        <w:t>(1)</w:t>
      </w:r>
      <w:r w:rsidR="008A74EB" w:rsidRPr="00C9040A">
        <w:rPr>
          <w:rtl/>
          <w:lang w:bidi="fa-IR"/>
        </w:rPr>
        <w:t xml:space="preserve"> ابْنُ فَضَّالٍ ، عَنِ ابْنِ مُسْكَانَ.</w:t>
      </w:r>
    </w:p>
    <w:p w:rsidR="008A74EB" w:rsidRPr="00C9040A" w:rsidRDefault="008A74EB" w:rsidP="008A74EB">
      <w:pPr>
        <w:pStyle w:val="libNormal"/>
        <w:rPr>
          <w:rtl/>
          <w:lang w:bidi="fa-IR"/>
        </w:rPr>
      </w:pPr>
      <w:r w:rsidRPr="00602254">
        <w:rPr>
          <w:rtl/>
        </w:rPr>
        <w:t>2452</w:t>
      </w:r>
      <w:r w:rsidRPr="00261CB0">
        <w:rPr>
          <w:rStyle w:val="libBold2Char"/>
          <w:rtl/>
        </w:rPr>
        <w:t xml:space="preserve"> / 11.</w:t>
      </w:r>
      <w:r w:rsidRPr="00C9040A">
        <w:rPr>
          <w:rtl/>
          <w:lang w:bidi="fa-IR"/>
        </w:rPr>
        <w:t xml:space="preserve"> عَلِيُّ بْنُ إِبْرَاهِيمَ ، عَنْ هَارُونَ بْنِ مُسْلِمٍ ، عَنْ مَسْعَدَةَ بْنِ صَدَقَةَ ، قَالَ :</w:t>
      </w:r>
    </w:p>
    <w:p w:rsidR="008A74EB" w:rsidRPr="00C9040A" w:rsidRDefault="008A74EB" w:rsidP="008A74EB">
      <w:pPr>
        <w:pStyle w:val="libNormal"/>
        <w:rPr>
          <w:rtl/>
          <w:lang w:bidi="fa-IR"/>
        </w:rPr>
      </w:pPr>
      <w:r w:rsidRPr="00C9040A">
        <w:rPr>
          <w:rtl/>
          <w:lang w:bidi="fa-IR"/>
        </w:rPr>
        <w:t xml:space="preserve">سَمِعْتُ أَبَا عَبْدِ اللهِ </w:t>
      </w:r>
      <w:r w:rsidR="006C577F" w:rsidRPr="006C577F">
        <w:rPr>
          <w:rStyle w:val="libFootnotenumChar"/>
          <w:rtl/>
        </w:rPr>
        <w:t>(2)</w:t>
      </w:r>
      <w:r w:rsidRPr="00C9040A">
        <w:rPr>
          <w:rtl/>
          <w:lang w:bidi="fa-IR"/>
        </w:rPr>
        <w:t xml:space="preserve"> </w:t>
      </w:r>
      <w:r w:rsidRPr="0003660B">
        <w:rPr>
          <w:rStyle w:val="libAlaemChar"/>
          <w:rtl/>
        </w:rPr>
        <w:t>عليه‌السلام</w:t>
      </w:r>
      <w:r w:rsidRPr="00C9040A">
        <w:rPr>
          <w:rtl/>
          <w:lang w:bidi="fa-IR"/>
        </w:rPr>
        <w:t xml:space="preserve"> يَقُولُ : « الْكَبَائِرُ : الْقُنُوطُ مِنْ رَحْمَةِ اللهِ ، وَالْيَأْسُ </w:t>
      </w:r>
      <w:r w:rsidR="006C577F" w:rsidRPr="006C577F">
        <w:rPr>
          <w:rStyle w:val="libFootnotenumChar"/>
          <w:rtl/>
        </w:rPr>
        <w:t>(3)</w:t>
      </w:r>
      <w:r w:rsidRPr="00C9040A">
        <w:rPr>
          <w:rtl/>
          <w:lang w:bidi="fa-IR"/>
        </w:rPr>
        <w:t xml:space="preserve"> مِنْ رَوْحِ اللهِ ، وَالْأَمْنُ مِنْ مَكْرِ اللهِ </w:t>
      </w:r>
      <w:r w:rsidR="006C577F" w:rsidRPr="006C577F">
        <w:rPr>
          <w:rStyle w:val="libFootnotenumChar"/>
          <w:rtl/>
        </w:rPr>
        <w:t>(4)</w:t>
      </w:r>
      <w:r w:rsidRPr="00C9040A">
        <w:rPr>
          <w:rtl/>
          <w:lang w:bidi="fa-IR"/>
        </w:rPr>
        <w:t xml:space="preserve"> ، وَقَتْلُ النَّفْسِ الَّتِي حَرَّمَ اللهُ ، وَعُقُوقُ الْوَالِدَيْنِ ، وَأَكْلُ مَالِ الْيَتِيمِ ظُلْماً </w:t>
      </w:r>
      <w:r w:rsidR="006C577F" w:rsidRPr="006C577F">
        <w:rPr>
          <w:rStyle w:val="libFootnotenumChar"/>
          <w:rtl/>
        </w:rPr>
        <w:t>(5)</w:t>
      </w:r>
      <w:r w:rsidRPr="00C9040A">
        <w:rPr>
          <w:rtl/>
          <w:lang w:bidi="fa-IR"/>
        </w:rPr>
        <w:t xml:space="preserve"> ، وَأَكْلُ الرِّبَا بَعْدَ الْبَيِّنَةِ ، وَالتَّعَرُّبُ بَعْدَ الْهِجْرَةِ ، وَقَذْفُ الْمُحْصَنَةِ ، وَالْفِرَارُ مِنَ الزَّحْفِ </w:t>
      </w:r>
      <w:r w:rsidR="006C577F" w:rsidRPr="006C577F">
        <w:rPr>
          <w:rStyle w:val="libFootnotenumChar"/>
          <w:rtl/>
        </w:rPr>
        <w:t>(6)</w:t>
      </w:r>
      <w:r w:rsidRPr="005B567D">
        <w:rPr>
          <w:rStyle w:val="libFootnotenumChar"/>
          <w:rtl/>
        </w:rPr>
        <w:t xml:space="preserve"> </w:t>
      </w:r>
      <w:r w:rsidRPr="00C9040A">
        <w:rPr>
          <w:rtl/>
          <w:lang w:bidi="fa-IR"/>
        </w:rPr>
        <w:t>»</w:t>
      </w:r>
      <w:r>
        <w:rPr>
          <w:rtl/>
          <w:lang w:bidi="fa-IR"/>
        </w:rPr>
        <w:t>.</w:t>
      </w:r>
    </w:p>
    <w:p w:rsidR="008A74EB" w:rsidRPr="00C9040A" w:rsidRDefault="008A74EB" w:rsidP="008A74EB">
      <w:pPr>
        <w:pStyle w:val="libNormal"/>
        <w:rPr>
          <w:rtl/>
          <w:lang w:bidi="fa-IR"/>
        </w:rPr>
      </w:pPr>
      <w:r>
        <w:rPr>
          <w:rtl/>
          <w:lang w:bidi="fa-IR"/>
        </w:rPr>
        <w:t>فَقِيلَ لَهُ : أَ</w:t>
      </w:r>
      <w:r w:rsidRPr="00C9040A">
        <w:rPr>
          <w:rtl/>
          <w:lang w:bidi="fa-IR"/>
        </w:rPr>
        <w:t>رَأَيْتَ ، الْمُرْتَكِبُ لِلْك</w:t>
      </w:r>
      <w:r>
        <w:rPr>
          <w:rtl/>
          <w:lang w:bidi="fa-IR"/>
        </w:rPr>
        <w:t>َبِيرَةِ يَمُوتُ عَلَيْهَا ، أَ</w:t>
      </w:r>
      <w:r w:rsidRPr="00C9040A">
        <w:rPr>
          <w:rtl/>
          <w:lang w:bidi="fa-IR"/>
        </w:rPr>
        <w:t xml:space="preserve">تُخْرِجُهُ </w:t>
      </w:r>
      <w:r w:rsidR="006C577F" w:rsidRPr="006C577F">
        <w:rPr>
          <w:rStyle w:val="libFootnotenumChar"/>
          <w:rtl/>
        </w:rPr>
        <w:t>(7)</w:t>
      </w:r>
      <w:r w:rsidRPr="00C9040A">
        <w:rPr>
          <w:rtl/>
          <w:lang w:bidi="fa-IR"/>
        </w:rPr>
        <w:t xml:space="preserve"> مِنَ الْإِيمَانِ</w:t>
      </w:r>
      <w:r>
        <w:rPr>
          <w:rtl/>
          <w:lang w:bidi="fa-IR"/>
        </w:rPr>
        <w:t>؟</w:t>
      </w:r>
      <w:r w:rsidRPr="00C9040A">
        <w:rPr>
          <w:rtl/>
          <w:lang w:bidi="fa-IR"/>
        </w:rPr>
        <w:t xml:space="preserve"> وَإِنْ عُذِّبَ بِهَا فَيَكُونُ </w:t>
      </w:r>
      <w:r w:rsidR="006C577F" w:rsidRPr="006C577F">
        <w:rPr>
          <w:rStyle w:val="libFootnotenumChar"/>
          <w:rtl/>
        </w:rPr>
        <w:t>(8)</w:t>
      </w:r>
      <w:r w:rsidRPr="00C9040A">
        <w:rPr>
          <w:rtl/>
          <w:lang w:bidi="fa-IR"/>
        </w:rPr>
        <w:t xml:space="preserve"> عَذَابُهُ </w:t>
      </w:r>
      <w:r w:rsidR="006C577F" w:rsidRPr="006C577F">
        <w:rPr>
          <w:rStyle w:val="libFootnotenumChar"/>
          <w:rtl/>
        </w:rPr>
        <w:t>(9)</w:t>
      </w:r>
      <w:r w:rsidRPr="00C9040A">
        <w:rPr>
          <w:rtl/>
          <w:lang w:bidi="fa-IR"/>
        </w:rPr>
        <w:t xml:space="preserve"> كَعَذَابِ الْمُشْرِكِينَ ، أَوْ لَهُ انْقِطَاعٌ</w:t>
      </w:r>
      <w:r>
        <w:rPr>
          <w:rtl/>
          <w:lang w:bidi="fa-IR"/>
        </w:rPr>
        <w:t>؟</w:t>
      </w:r>
    </w:p>
    <w:p w:rsidR="008A74EB" w:rsidRPr="00C9040A" w:rsidRDefault="008A74EB" w:rsidP="008A74EB">
      <w:pPr>
        <w:pStyle w:val="libNormal"/>
        <w:rPr>
          <w:rtl/>
          <w:lang w:bidi="fa-IR"/>
        </w:rPr>
      </w:pPr>
      <w:r w:rsidRPr="00C9040A">
        <w:rPr>
          <w:rtl/>
          <w:lang w:bidi="fa-IR"/>
        </w:rPr>
        <w:t xml:space="preserve">قَالَ : « يَخْرُجُ مِنَ الْإِسْلَامِ إِذَا زَعَمَ أَنَّهَا حَلَالٌ وَلِذلِكَ </w:t>
      </w:r>
      <w:r w:rsidR="006C577F" w:rsidRPr="006C577F">
        <w:rPr>
          <w:rStyle w:val="libFootnotenumChar"/>
          <w:rtl/>
        </w:rPr>
        <w:t>(10)</w:t>
      </w:r>
      <w:r w:rsidRPr="00C9040A">
        <w:rPr>
          <w:rtl/>
          <w:lang w:bidi="fa-IR"/>
        </w:rPr>
        <w:t xml:space="preserve"> يُعَذَّبُ أَشَدَّ </w:t>
      </w:r>
      <w:r w:rsidR="006C577F" w:rsidRPr="006C577F">
        <w:rPr>
          <w:rStyle w:val="libFootnotenumChar"/>
          <w:rtl/>
        </w:rPr>
        <w:t>(11)</w:t>
      </w:r>
      <w:r w:rsidRPr="00C9040A">
        <w:rPr>
          <w:rtl/>
          <w:lang w:bidi="fa-IR"/>
        </w:rPr>
        <w:t xml:space="preserve"> الْعَذَابِ ، وَإِنْ كَانَ مُعْتَرِفاً بِأَنَّهَا كَبِيرَةٌ وَهِيَ </w:t>
      </w:r>
      <w:r w:rsidR="006C577F" w:rsidRPr="006C577F">
        <w:rPr>
          <w:rStyle w:val="libFootnotenumChar"/>
          <w:rtl/>
        </w:rPr>
        <w:t>(12)</w:t>
      </w:r>
      <w:r w:rsidRPr="00C9040A">
        <w:rPr>
          <w:rtl/>
          <w:lang w:bidi="fa-IR"/>
        </w:rPr>
        <w:t xml:space="preserve"> عَلَيْهِ حَرَامٌ ، وَ</w:t>
      </w:r>
      <w:r>
        <w:rPr>
          <w:rFonts w:hint="cs"/>
          <w:rtl/>
          <w:lang w:bidi="fa-IR"/>
        </w:rPr>
        <w:t xml:space="preserve"> </w:t>
      </w:r>
      <w:r w:rsidRPr="005B567D">
        <w:rPr>
          <w:rStyle w:val="libFootnotenumChar"/>
          <w:rtl/>
        </w:rPr>
        <w:t>(13)</w:t>
      </w:r>
      <w:r w:rsidRPr="00C9040A">
        <w:rPr>
          <w:rtl/>
          <w:lang w:bidi="fa-IR"/>
        </w:rPr>
        <w:t xml:space="preserve"> أَنَّهُ يُعَذَّبُ </w:t>
      </w:r>
      <w:r w:rsidRPr="005B567D">
        <w:rPr>
          <w:rStyle w:val="libFootnotenumChar"/>
          <w:rtl/>
        </w:rPr>
        <w:t>(14)</w:t>
      </w:r>
      <w:r w:rsidRPr="00C9040A">
        <w:rPr>
          <w:rtl/>
          <w:lang w:bidi="fa-IR"/>
        </w:rPr>
        <w:t xml:space="preserve"> عَلَيْهَا ، وَأَنَّهَا غَيْرُ حَلَالٍ ، فَإِنَّهُ مُعَذَّبٌ </w:t>
      </w:r>
      <w:r w:rsidRPr="005B567D">
        <w:rPr>
          <w:rStyle w:val="libFootnotenumChar"/>
          <w:rtl/>
        </w:rPr>
        <w:t>(15)</w:t>
      </w:r>
      <w:r w:rsidRPr="00C9040A">
        <w:rPr>
          <w:rtl/>
          <w:lang w:bidi="fa-IR"/>
        </w:rPr>
        <w:t xml:space="preserve"> عَلَيْهَا ، وَهُوَ </w:t>
      </w:r>
      <w:r w:rsidRPr="005B567D">
        <w:rPr>
          <w:rStyle w:val="libFootnotenumChar"/>
          <w:rtl/>
        </w:rPr>
        <w:t>(16)</w:t>
      </w:r>
      <w:r w:rsidRPr="00C9040A">
        <w:rPr>
          <w:rtl/>
          <w:lang w:bidi="fa-IR"/>
        </w:rPr>
        <w:t xml:space="preserve"> أَهْوَنُ عَذَاباً مِنَ الْأَوَّلِ ، وَيُخْرِجُهُ </w:t>
      </w:r>
      <w:r w:rsidRPr="005B567D">
        <w:rPr>
          <w:rStyle w:val="libFootnotenumChar"/>
          <w:rtl/>
        </w:rPr>
        <w:t>(17)</w:t>
      </w:r>
      <w:r w:rsidRPr="00C9040A">
        <w:rPr>
          <w:rtl/>
          <w:lang w:bidi="fa-IR"/>
        </w:rPr>
        <w:t xml:space="preserve"> مِنَ الْإِيمَانِ ،</w:t>
      </w:r>
    </w:p>
    <w:p w:rsidR="008A74EB" w:rsidRPr="00C9040A" w:rsidRDefault="008A74EB" w:rsidP="008A74EB">
      <w:pPr>
        <w:pStyle w:val="libLine"/>
        <w:rPr>
          <w:rtl/>
          <w:lang w:bidi="fa-IR"/>
        </w:rPr>
      </w:pPr>
      <w:r w:rsidRPr="00C9040A">
        <w:rPr>
          <w:rtl/>
          <w:lang w:bidi="fa-IR"/>
        </w:rPr>
        <w:t>__________________</w:t>
      </w:r>
    </w:p>
    <w:p w:rsidR="008A74EB" w:rsidRDefault="00BC1CA6" w:rsidP="00BC1CA6">
      <w:pPr>
        <w:pStyle w:val="libFootnote0"/>
        <w:rPr>
          <w:rtl/>
        </w:rPr>
      </w:pPr>
      <w:r w:rsidRPr="00BC1CA6">
        <w:rPr>
          <w:rFonts w:hint="cs"/>
          <w:rtl/>
        </w:rPr>
        <w:t xml:space="preserve">= </w:t>
      </w:r>
      <w:r w:rsidR="008A74EB" w:rsidRPr="00993B55">
        <w:rPr>
          <w:rStyle w:val="libFootnoteBoldChar"/>
          <w:rtl/>
        </w:rPr>
        <w:t>الاختصاص</w:t>
      </w:r>
      <w:r w:rsidR="008A74EB" w:rsidRPr="00C9040A">
        <w:rPr>
          <w:rtl/>
        </w:rPr>
        <w:t xml:space="preserve"> ، ص 220 ، بسند آخر عن الصادق </w:t>
      </w:r>
      <w:r w:rsidR="00117575" w:rsidRPr="00117575">
        <w:rPr>
          <w:rStyle w:val="libFootnoteAlaemChar"/>
          <w:rtl/>
        </w:rPr>
        <w:t>عليه‌السلام</w:t>
      </w:r>
      <w:r w:rsidR="008A74EB" w:rsidRPr="00C9040A">
        <w:rPr>
          <w:rtl/>
        </w:rPr>
        <w:t xml:space="preserve"> ، من دون الإسناد إلى أميرالمؤمنين </w:t>
      </w:r>
      <w:r w:rsidR="00117575" w:rsidRPr="00117575">
        <w:rPr>
          <w:rStyle w:val="libFootnoteAlaemChar"/>
          <w:rtl/>
        </w:rPr>
        <w:t>عليه‌السلام</w:t>
      </w:r>
      <w:r w:rsidR="008A74EB" w:rsidRPr="00C9040A">
        <w:rPr>
          <w:rtl/>
        </w:rPr>
        <w:t xml:space="preserve"> ، مع اختلاف</w:t>
      </w:r>
      <w:r>
        <w:rPr>
          <w:rFonts w:hint="cs"/>
          <w:rtl/>
        </w:rPr>
        <w:t>.</w:t>
      </w:r>
      <w:r w:rsidR="008A74EB" w:rsidRPr="00993B55">
        <w:rPr>
          <w:rStyle w:val="libFootnoteBoldChar"/>
          <w:rtl/>
        </w:rPr>
        <w:t>الوافي</w:t>
      </w:r>
      <w:r w:rsidR="008A74EB" w:rsidRPr="00C9040A">
        <w:rPr>
          <w:rtl/>
        </w:rPr>
        <w:t xml:space="preserve"> ، ج 5 ، ص 1011 ، ح 3499 ؛ </w:t>
      </w:r>
      <w:r w:rsidR="008A74EB" w:rsidRPr="00993B55">
        <w:rPr>
          <w:rStyle w:val="libFootnoteBoldChar"/>
          <w:rtl/>
        </w:rPr>
        <w:t>الوسائل</w:t>
      </w:r>
      <w:r w:rsidR="008A74EB" w:rsidRPr="00C9040A">
        <w:rPr>
          <w:rtl/>
        </w:rPr>
        <w:t xml:space="preserve"> ، ج 15 ، ص 316 ، ح 20621 ، إلى قوله : « انكشفت عنه الجنن »</w:t>
      </w:r>
      <w:r w:rsidR="008A74EB">
        <w:rPr>
          <w:rtl/>
        </w:rPr>
        <w:t>.</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الظاهر أنّ قائل « ورواه » هو المصنّف ، فيكون الخبر مرسلاً.</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البحار ، ج 68 : « أباجعفر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حاشية « ب ، ج ، د ، بر ، بس ، بف » والبحار ، ج 68 : « والإياس »</w:t>
      </w:r>
      <w:r w:rsidR="008A74EB">
        <w:rPr>
          <w:rtl/>
        </w:rPr>
        <w:t>.</w:t>
      </w:r>
      <w:r w:rsidR="008A74EB" w:rsidRPr="00C9040A">
        <w:rPr>
          <w:rtl/>
        </w:rPr>
        <w:t xml:space="preserve"> وفي </w:t>
      </w:r>
      <w:r w:rsidR="008A74EB" w:rsidRPr="00993B55">
        <w:rPr>
          <w:rStyle w:val="libFootnoteBoldChar"/>
          <w:rtl/>
        </w:rPr>
        <w:t>الوافي</w:t>
      </w:r>
      <w:r w:rsidR="008A74EB" w:rsidRPr="00C9040A">
        <w:rPr>
          <w:rtl/>
        </w:rPr>
        <w:t xml:space="preserve"> : « لعلّ الثانية عطف بيان للُاولى ؛ لعدم التغاير بينهما في المعنى ؛ إذ لافرق بَيِّناً بين اليأس والقنوط ، ولا بين الرَّوْح والرحمة. وربّما يخصّ اليأس بالا</w:t>
      </w:r>
      <w:r w:rsidR="00BC1CA6">
        <w:rPr>
          <w:rFonts w:hint="cs"/>
          <w:rtl/>
        </w:rPr>
        <w:t>ُ</w:t>
      </w:r>
      <w:r w:rsidR="008A74EB" w:rsidRPr="00C9040A">
        <w:rPr>
          <w:rtl/>
        </w:rPr>
        <w:t>مور الدنيويّة ، والقنوط بالا</w:t>
      </w:r>
      <w:r w:rsidR="00BC1CA6">
        <w:rPr>
          <w:rFonts w:hint="cs"/>
          <w:rtl/>
        </w:rPr>
        <w:t>ُ</w:t>
      </w:r>
      <w:r w:rsidR="008A74EB" w:rsidRPr="00C9040A">
        <w:rPr>
          <w:rtl/>
        </w:rPr>
        <w:t>مور الا</w:t>
      </w:r>
      <w:r w:rsidR="00BC1CA6">
        <w:rPr>
          <w:rFonts w:hint="cs"/>
          <w:rtl/>
        </w:rPr>
        <w:t>ُ</w:t>
      </w:r>
      <w:r w:rsidR="008A74EB" w:rsidRPr="00C9040A">
        <w:rPr>
          <w:rtl/>
        </w:rPr>
        <w:t>خرويّة »</w:t>
      </w:r>
      <w:r w:rsidR="008A74EB">
        <w:rPr>
          <w:rtl/>
        </w:rPr>
        <w:t>.</w:t>
      </w:r>
    </w:p>
    <w:tbl>
      <w:tblPr>
        <w:tblStyle w:val="TableGrid"/>
        <w:bidiVisual/>
        <w:tblW w:w="0" w:type="auto"/>
        <w:tblLook w:val="04A0" w:firstRow="1" w:lastRow="0" w:firstColumn="1" w:lastColumn="0" w:noHBand="0" w:noVBand="1"/>
      </w:tblPr>
      <w:tblGrid>
        <w:gridCol w:w="4006"/>
        <w:gridCol w:w="4006"/>
      </w:tblGrid>
      <w:tr w:rsidR="00BC1CA6" w:rsidTr="00BC1CA6">
        <w:tc>
          <w:tcPr>
            <w:tcW w:w="4006" w:type="dxa"/>
          </w:tcPr>
          <w:p w:rsidR="00BC1CA6" w:rsidRDefault="00BC1CA6" w:rsidP="004A4E41">
            <w:pPr>
              <w:pStyle w:val="libFootnote0"/>
              <w:rPr>
                <w:rtl/>
              </w:rPr>
            </w:pPr>
            <w:r>
              <w:rPr>
                <w:rtl/>
              </w:rPr>
              <w:t>(4).</w:t>
            </w:r>
            <w:r w:rsidRPr="00C9040A">
              <w:rPr>
                <w:rtl/>
              </w:rPr>
              <w:t xml:space="preserve"> في « ص ، </w:t>
            </w:r>
            <w:r>
              <w:rPr>
                <w:rtl/>
              </w:rPr>
              <w:t xml:space="preserve">ه </w:t>
            </w:r>
            <w:r w:rsidRPr="00C9040A">
              <w:rPr>
                <w:rtl/>
              </w:rPr>
              <w:t>» والوافى : « والأمن لمكر الله »</w:t>
            </w:r>
            <w:r>
              <w:rPr>
                <w:rtl/>
              </w:rPr>
              <w:t>.</w:t>
            </w:r>
          </w:p>
        </w:tc>
        <w:tc>
          <w:tcPr>
            <w:tcW w:w="4006" w:type="dxa"/>
          </w:tcPr>
          <w:p w:rsidR="00BC1CA6" w:rsidRDefault="00BC1CA6" w:rsidP="004A4E41">
            <w:pPr>
              <w:pStyle w:val="libFootnote0"/>
              <w:rPr>
                <w:rtl/>
              </w:rPr>
            </w:pPr>
            <w:r>
              <w:rPr>
                <w:rtl/>
              </w:rPr>
              <w:t>(5).</w:t>
            </w:r>
            <w:r w:rsidRPr="00C9040A">
              <w:rPr>
                <w:rtl/>
              </w:rPr>
              <w:t xml:space="preserve"> في « </w:t>
            </w:r>
            <w:r>
              <w:rPr>
                <w:rtl/>
              </w:rPr>
              <w:t xml:space="preserve">ه </w:t>
            </w:r>
            <w:r w:rsidRPr="00C9040A">
              <w:rPr>
                <w:rtl/>
              </w:rPr>
              <w:t xml:space="preserve">» </w:t>
            </w:r>
            <w:r>
              <w:rPr>
                <w:rtl/>
              </w:rPr>
              <w:t>: -</w:t>
            </w:r>
            <w:r w:rsidRPr="00C9040A">
              <w:rPr>
                <w:rtl/>
              </w:rPr>
              <w:t xml:space="preserve"> « ظلماً »</w:t>
            </w:r>
            <w:r>
              <w:rPr>
                <w:rtl/>
              </w:rPr>
              <w:t>.</w:t>
            </w:r>
          </w:p>
        </w:tc>
      </w:tr>
      <w:tr w:rsidR="00BC1CA6" w:rsidTr="00BC1CA6">
        <w:tc>
          <w:tcPr>
            <w:tcW w:w="4006" w:type="dxa"/>
          </w:tcPr>
          <w:p w:rsidR="00BC1CA6" w:rsidRDefault="00BC1CA6" w:rsidP="004A4E41">
            <w:pPr>
              <w:pStyle w:val="libFootnote0"/>
              <w:rPr>
                <w:rtl/>
              </w:rPr>
            </w:pPr>
            <w:r>
              <w:rPr>
                <w:rtl/>
              </w:rPr>
              <w:t xml:space="preserve">(6). </w:t>
            </w:r>
            <w:r w:rsidRPr="00C9040A">
              <w:rPr>
                <w:rtl/>
              </w:rPr>
              <w:t>في الوسائل ، ح 20640 : « بعد الزحف »</w:t>
            </w:r>
            <w:r>
              <w:rPr>
                <w:rtl/>
              </w:rPr>
              <w:t>.</w:t>
            </w:r>
          </w:p>
        </w:tc>
        <w:tc>
          <w:tcPr>
            <w:tcW w:w="4006" w:type="dxa"/>
          </w:tcPr>
          <w:p w:rsidR="00BC1CA6" w:rsidRDefault="00BC1CA6" w:rsidP="004A4E41">
            <w:pPr>
              <w:pStyle w:val="libFootnote0"/>
              <w:rPr>
                <w:rtl/>
              </w:rPr>
            </w:pPr>
            <w:r>
              <w:rPr>
                <w:rtl/>
              </w:rPr>
              <w:t>(7).</w:t>
            </w:r>
            <w:r w:rsidRPr="00C9040A">
              <w:rPr>
                <w:rtl/>
              </w:rPr>
              <w:t xml:space="preserve"> في « </w:t>
            </w:r>
            <w:r>
              <w:rPr>
                <w:rtl/>
              </w:rPr>
              <w:t xml:space="preserve">ه </w:t>
            </w:r>
            <w:r w:rsidRPr="00C9040A">
              <w:rPr>
                <w:rtl/>
              </w:rPr>
              <w:t>» : « أيخرجه »</w:t>
            </w:r>
            <w:r>
              <w:rPr>
                <w:rtl/>
              </w:rPr>
              <w:t>.</w:t>
            </w:r>
          </w:p>
        </w:tc>
      </w:tr>
      <w:tr w:rsidR="00BC1CA6" w:rsidTr="00BC1CA6">
        <w:tc>
          <w:tcPr>
            <w:tcW w:w="4006" w:type="dxa"/>
          </w:tcPr>
          <w:p w:rsidR="00BC1CA6" w:rsidRDefault="0015014A" w:rsidP="004A4E41">
            <w:pPr>
              <w:pStyle w:val="libFootnote0"/>
              <w:rPr>
                <w:rtl/>
              </w:rPr>
            </w:pPr>
            <w:r>
              <w:rPr>
                <w:rtl/>
              </w:rPr>
              <w:t>(8).</w:t>
            </w:r>
            <w:r w:rsidRPr="00C9040A">
              <w:rPr>
                <w:rtl/>
              </w:rPr>
              <w:t xml:space="preserve"> في « </w:t>
            </w:r>
            <w:r>
              <w:rPr>
                <w:rtl/>
              </w:rPr>
              <w:t xml:space="preserve">ه </w:t>
            </w:r>
            <w:r w:rsidRPr="00C9040A">
              <w:rPr>
                <w:rtl/>
              </w:rPr>
              <w:t xml:space="preserve">» </w:t>
            </w:r>
            <w:r>
              <w:rPr>
                <w:rtl/>
              </w:rPr>
              <w:t>: -</w:t>
            </w:r>
            <w:r w:rsidRPr="00C9040A">
              <w:rPr>
                <w:rtl/>
              </w:rPr>
              <w:t xml:space="preserve"> « فيكون »</w:t>
            </w:r>
            <w:r>
              <w:rPr>
                <w:rtl/>
              </w:rPr>
              <w:t>.</w:t>
            </w:r>
          </w:p>
        </w:tc>
        <w:tc>
          <w:tcPr>
            <w:tcW w:w="4006" w:type="dxa"/>
          </w:tcPr>
          <w:p w:rsidR="00BC1CA6" w:rsidRDefault="0015014A" w:rsidP="004A4E41">
            <w:pPr>
              <w:pStyle w:val="libFootnote0"/>
              <w:rPr>
                <w:rtl/>
              </w:rPr>
            </w:pPr>
            <w:r>
              <w:rPr>
                <w:rtl/>
              </w:rPr>
              <w:t>(9).</w:t>
            </w:r>
            <w:r w:rsidRPr="00C9040A">
              <w:rPr>
                <w:rtl/>
              </w:rPr>
              <w:t xml:space="preserve"> في « </w:t>
            </w:r>
            <w:r>
              <w:rPr>
                <w:rtl/>
              </w:rPr>
              <w:t xml:space="preserve">ه </w:t>
            </w:r>
            <w:r w:rsidRPr="00C9040A">
              <w:rPr>
                <w:rtl/>
              </w:rPr>
              <w:t>» : « فعذابه »</w:t>
            </w:r>
            <w:r>
              <w:rPr>
                <w:rtl/>
              </w:rPr>
              <w:t>.</w:t>
            </w:r>
          </w:p>
        </w:tc>
      </w:tr>
      <w:tr w:rsidR="00BC1CA6" w:rsidTr="00BC1CA6">
        <w:tc>
          <w:tcPr>
            <w:tcW w:w="4006" w:type="dxa"/>
          </w:tcPr>
          <w:p w:rsidR="00BC1CA6" w:rsidRDefault="0015014A" w:rsidP="004A4E41">
            <w:pPr>
              <w:pStyle w:val="libFootnote0"/>
              <w:rPr>
                <w:rtl/>
              </w:rPr>
            </w:pPr>
            <w:r>
              <w:rPr>
                <w:rtl/>
              </w:rPr>
              <w:t>(10).</w:t>
            </w:r>
            <w:r w:rsidRPr="00C9040A">
              <w:rPr>
                <w:rtl/>
              </w:rPr>
              <w:t xml:space="preserve"> في « </w:t>
            </w:r>
            <w:r>
              <w:rPr>
                <w:rtl/>
              </w:rPr>
              <w:t xml:space="preserve">ه </w:t>
            </w:r>
            <w:r w:rsidRPr="00C9040A">
              <w:rPr>
                <w:rtl/>
              </w:rPr>
              <w:t>» : « وكذلك »</w:t>
            </w:r>
            <w:r>
              <w:rPr>
                <w:rtl/>
              </w:rPr>
              <w:t>.</w:t>
            </w:r>
          </w:p>
        </w:tc>
        <w:tc>
          <w:tcPr>
            <w:tcW w:w="4006" w:type="dxa"/>
          </w:tcPr>
          <w:p w:rsidR="00BC1CA6" w:rsidRDefault="0015014A" w:rsidP="004A4E41">
            <w:pPr>
              <w:pStyle w:val="libFootnote0"/>
              <w:rPr>
                <w:rtl/>
              </w:rPr>
            </w:pPr>
            <w:r>
              <w:rPr>
                <w:rtl/>
              </w:rPr>
              <w:t>(11).</w:t>
            </w:r>
            <w:r w:rsidRPr="00C9040A">
              <w:rPr>
                <w:rtl/>
              </w:rPr>
              <w:t xml:space="preserve"> في الوسائل ، ح 50 : « بأشدّ »</w:t>
            </w:r>
            <w:r>
              <w:rPr>
                <w:rtl/>
              </w:rPr>
              <w:t>.</w:t>
            </w:r>
          </w:p>
        </w:tc>
      </w:tr>
      <w:tr w:rsidR="00BC1CA6" w:rsidTr="00BC1CA6">
        <w:tc>
          <w:tcPr>
            <w:tcW w:w="4006" w:type="dxa"/>
          </w:tcPr>
          <w:p w:rsidR="00BC1CA6" w:rsidRDefault="0015014A" w:rsidP="004A4E41">
            <w:pPr>
              <w:pStyle w:val="libFootnote0"/>
              <w:rPr>
                <w:rtl/>
              </w:rPr>
            </w:pPr>
            <w:r>
              <w:rPr>
                <w:rtl/>
              </w:rPr>
              <w:t>(12).</w:t>
            </w:r>
            <w:r w:rsidRPr="00C9040A">
              <w:rPr>
                <w:rtl/>
              </w:rPr>
              <w:t xml:space="preserve"> في الوسائل ، ح 50 : « وأنّها » بدل « وهي »</w:t>
            </w:r>
            <w:r>
              <w:rPr>
                <w:rtl/>
              </w:rPr>
              <w:t>.</w:t>
            </w:r>
          </w:p>
        </w:tc>
        <w:tc>
          <w:tcPr>
            <w:tcW w:w="4006" w:type="dxa"/>
          </w:tcPr>
          <w:p w:rsidR="00BC1CA6" w:rsidRDefault="0015014A" w:rsidP="004A4E41">
            <w:pPr>
              <w:pStyle w:val="libFootnote0"/>
              <w:rPr>
                <w:rtl/>
              </w:rPr>
            </w:pPr>
            <w:r>
              <w:rPr>
                <w:rtl/>
              </w:rPr>
              <w:t>(13)</w:t>
            </w:r>
            <w:r w:rsidRPr="00C9040A">
              <w:rPr>
                <w:rtl/>
              </w:rPr>
              <w:t xml:space="preserve"> في « بس » : « وهو »</w:t>
            </w:r>
            <w:r>
              <w:rPr>
                <w:rtl/>
              </w:rPr>
              <w:t>.</w:t>
            </w:r>
          </w:p>
        </w:tc>
      </w:tr>
      <w:tr w:rsidR="00BC1CA6" w:rsidTr="00BC1CA6">
        <w:tc>
          <w:tcPr>
            <w:tcW w:w="4006" w:type="dxa"/>
          </w:tcPr>
          <w:p w:rsidR="00BC1CA6" w:rsidRDefault="0087092F" w:rsidP="004A4E41">
            <w:pPr>
              <w:pStyle w:val="libFootnote0"/>
              <w:rPr>
                <w:rtl/>
              </w:rPr>
            </w:pPr>
            <w:r>
              <w:rPr>
                <w:rtl/>
              </w:rPr>
              <w:t>(14)</w:t>
            </w:r>
            <w:r w:rsidRPr="00C9040A">
              <w:rPr>
                <w:rtl/>
              </w:rPr>
              <w:t xml:space="preserve"> في « ص » : « عذّب »</w:t>
            </w:r>
            <w:r>
              <w:rPr>
                <w:rtl/>
              </w:rPr>
              <w:t>.</w:t>
            </w:r>
          </w:p>
        </w:tc>
        <w:tc>
          <w:tcPr>
            <w:tcW w:w="4006" w:type="dxa"/>
          </w:tcPr>
          <w:p w:rsidR="00BC1CA6" w:rsidRDefault="0087092F" w:rsidP="004A4E41">
            <w:pPr>
              <w:pStyle w:val="libFootnote0"/>
              <w:rPr>
                <w:rtl/>
              </w:rPr>
            </w:pPr>
            <w:r>
              <w:rPr>
                <w:rtl/>
              </w:rPr>
              <w:t>(15)</w:t>
            </w:r>
            <w:r w:rsidRPr="00C9040A">
              <w:rPr>
                <w:rtl/>
              </w:rPr>
              <w:t xml:space="preserve"> في « </w:t>
            </w:r>
            <w:r>
              <w:rPr>
                <w:rtl/>
              </w:rPr>
              <w:t xml:space="preserve">ه </w:t>
            </w:r>
            <w:r w:rsidRPr="00C9040A">
              <w:rPr>
                <w:rtl/>
              </w:rPr>
              <w:t>» : « يعذّب »</w:t>
            </w:r>
            <w:r>
              <w:rPr>
                <w:rtl/>
              </w:rPr>
              <w:t>.</w:t>
            </w:r>
          </w:p>
        </w:tc>
      </w:tr>
      <w:tr w:rsidR="00BC1CA6" w:rsidTr="00BC1CA6">
        <w:tc>
          <w:tcPr>
            <w:tcW w:w="4006" w:type="dxa"/>
          </w:tcPr>
          <w:p w:rsidR="00BC1CA6" w:rsidRDefault="0087092F" w:rsidP="004A4E41">
            <w:pPr>
              <w:pStyle w:val="libFootnote0"/>
              <w:rPr>
                <w:rtl/>
              </w:rPr>
            </w:pPr>
            <w:r>
              <w:rPr>
                <w:rtl/>
              </w:rPr>
              <w:t>(16)</w:t>
            </w:r>
            <w:r w:rsidRPr="00C9040A">
              <w:rPr>
                <w:rtl/>
              </w:rPr>
              <w:t xml:space="preserve"> في « </w:t>
            </w:r>
            <w:r>
              <w:rPr>
                <w:rtl/>
              </w:rPr>
              <w:t xml:space="preserve">ه </w:t>
            </w:r>
            <w:r w:rsidRPr="00C9040A">
              <w:rPr>
                <w:rtl/>
              </w:rPr>
              <w:t>» : « وهذا »</w:t>
            </w:r>
            <w:r>
              <w:rPr>
                <w:rtl/>
              </w:rPr>
              <w:t>.</w:t>
            </w:r>
          </w:p>
        </w:tc>
        <w:tc>
          <w:tcPr>
            <w:tcW w:w="4006" w:type="dxa"/>
          </w:tcPr>
          <w:p w:rsidR="00BC1CA6" w:rsidRDefault="0087092F" w:rsidP="004A4E41">
            <w:pPr>
              <w:pStyle w:val="libFootnote0"/>
              <w:rPr>
                <w:rtl/>
              </w:rPr>
            </w:pPr>
            <w:r>
              <w:rPr>
                <w:rtl/>
              </w:rPr>
              <w:t>(17)</w:t>
            </w:r>
            <w:r w:rsidRPr="00C9040A">
              <w:rPr>
                <w:rtl/>
              </w:rPr>
              <w:t xml:space="preserve"> في « ب ، د ، ز » : « وتخرجه »</w:t>
            </w:r>
            <w:r>
              <w:rPr>
                <w:rtl/>
              </w:rPr>
              <w:t>.</w:t>
            </w:r>
          </w:p>
        </w:tc>
      </w:tr>
    </w:tbl>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وَلَايُخْرِجُهُ </w:t>
      </w:r>
      <w:r w:rsidR="006C577F" w:rsidRPr="006C577F">
        <w:rPr>
          <w:rStyle w:val="libFootnotenumChar"/>
          <w:rtl/>
        </w:rPr>
        <w:t>(1)</w:t>
      </w:r>
      <w:r w:rsidRPr="00C9040A">
        <w:rPr>
          <w:rtl/>
          <w:lang w:bidi="fa-IR"/>
        </w:rPr>
        <w:t xml:space="preserve"> مِنَ </w:t>
      </w:r>
      <w:r w:rsidR="006C577F" w:rsidRPr="006C577F">
        <w:rPr>
          <w:rStyle w:val="libFootnotenumChar"/>
          <w:rtl/>
        </w:rPr>
        <w:t>(2)</w:t>
      </w:r>
      <w:r w:rsidRPr="00C9040A">
        <w:rPr>
          <w:rtl/>
          <w:lang w:bidi="fa-IR"/>
        </w:rPr>
        <w:t xml:space="preserve"> الْإِسْلَامِ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602254">
        <w:rPr>
          <w:rtl/>
        </w:rPr>
        <w:t>2453</w:t>
      </w:r>
      <w:r w:rsidRPr="00261CB0">
        <w:rPr>
          <w:rStyle w:val="libBold2Char"/>
          <w:rtl/>
        </w:rPr>
        <w:t xml:space="preserve"> / 12.</w:t>
      </w:r>
      <w:r w:rsidRPr="00C9040A">
        <w:rPr>
          <w:rtl/>
          <w:lang w:bidi="fa-IR"/>
        </w:rPr>
        <w:t xml:space="preserve"> مُحَمَّدُ بْنُ يَحْيى ، عَنْ أَحْمَدَ بْنِ مُحَمَّدٍ ، عَنِ ابْنِ فَضَّالٍ ، عَنِ ابْنِ بُكَيْرٍ </w:t>
      </w:r>
      <w:r w:rsidR="006C577F" w:rsidRPr="006C577F">
        <w:rPr>
          <w:rStyle w:val="libFootnotenumChar"/>
          <w:rtl/>
        </w:rPr>
        <w:t>(4)</w:t>
      </w:r>
      <w:r w:rsidR="00360764">
        <w:rPr>
          <w:rtl/>
          <w:lang w:bidi="fa-IR"/>
        </w:rPr>
        <w:t xml:space="preserve"> ، قَالَ</w:t>
      </w:r>
      <w:r w:rsidRPr="00C9040A">
        <w:rPr>
          <w:rtl/>
          <w:lang w:bidi="fa-IR"/>
        </w:rPr>
        <w:t>:</w:t>
      </w:r>
    </w:p>
    <w:p w:rsidR="008A74EB" w:rsidRPr="00C9040A" w:rsidRDefault="008A74EB" w:rsidP="008A74EB">
      <w:pPr>
        <w:pStyle w:val="libNormal"/>
        <w:rPr>
          <w:rtl/>
          <w:lang w:bidi="fa-IR"/>
        </w:rPr>
      </w:pPr>
      <w:r w:rsidRPr="00C9040A">
        <w:rPr>
          <w:rtl/>
          <w:lang w:bidi="fa-IR"/>
        </w:rPr>
        <w:t xml:space="preserve">قُلْتُ لِأَبِي جَعْفَرٍ </w:t>
      </w:r>
      <w:r w:rsidRPr="0003660B">
        <w:rPr>
          <w:rStyle w:val="libAlaemChar"/>
          <w:rtl/>
        </w:rPr>
        <w:t>عليه‌السلام</w:t>
      </w:r>
      <w:r w:rsidRPr="00C9040A">
        <w:rPr>
          <w:rtl/>
          <w:lang w:bidi="fa-IR"/>
        </w:rPr>
        <w:t xml:space="preserve"> : فِي قَوْلِ </w:t>
      </w:r>
      <w:r w:rsidR="006C577F" w:rsidRPr="006C577F">
        <w:rPr>
          <w:rStyle w:val="libFootnotenumChar"/>
          <w:rtl/>
        </w:rPr>
        <w:t>(5)</w:t>
      </w:r>
      <w:r w:rsidRPr="00C9040A">
        <w:rPr>
          <w:rtl/>
          <w:lang w:bidi="fa-IR"/>
        </w:rPr>
        <w:t xml:space="preserve"> رَسُولِ اللهِ </w:t>
      </w:r>
      <w:r w:rsidR="004A4E41" w:rsidRPr="004A4E41">
        <w:rPr>
          <w:rStyle w:val="libAlaemChar"/>
          <w:rtl/>
        </w:rPr>
        <w:t>صلى‌الله‌عليه‌وآله</w:t>
      </w:r>
      <w:r w:rsidRPr="00C9040A">
        <w:rPr>
          <w:rtl/>
          <w:lang w:bidi="fa-IR"/>
        </w:rPr>
        <w:t xml:space="preserve"> : « إِذَا زَنَى الرَّجُلُ فَارَقَهُ رُوحُ الْإِيمَانِ »</w:t>
      </w:r>
      <w:r>
        <w:rPr>
          <w:rtl/>
          <w:lang w:bidi="fa-IR"/>
        </w:rPr>
        <w:t>؟</w:t>
      </w:r>
      <w:r>
        <w:rPr>
          <w:rFonts w:hint="cs"/>
          <w:rtl/>
          <w:lang w:bidi="fa-IR"/>
        </w:rPr>
        <w:t xml:space="preserve"> </w:t>
      </w:r>
      <w:r w:rsidRPr="00C9040A">
        <w:rPr>
          <w:rtl/>
          <w:lang w:bidi="fa-IR"/>
        </w:rPr>
        <w:t xml:space="preserve">قَالَ : « هُوَ </w:t>
      </w:r>
      <w:r w:rsidR="006C577F" w:rsidRPr="006C577F">
        <w:rPr>
          <w:rStyle w:val="libFootnotenumChar"/>
          <w:rtl/>
        </w:rPr>
        <w:t>(6)</w:t>
      </w:r>
      <w:r w:rsidRPr="005B567D">
        <w:rPr>
          <w:rStyle w:val="libFootnotenumChar"/>
          <w:rtl/>
        </w:rPr>
        <w:t xml:space="preserve"> </w:t>
      </w:r>
      <w:r w:rsidRPr="00C9040A">
        <w:rPr>
          <w:rtl/>
          <w:lang w:bidi="fa-IR"/>
        </w:rPr>
        <w:t xml:space="preserve">قَوْلُهُ : </w:t>
      </w:r>
      <w:r w:rsidRPr="0003660B">
        <w:rPr>
          <w:rStyle w:val="libAlaemChar"/>
          <w:rtl/>
        </w:rPr>
        <w:t>(</w:t>
      </w:r>
      <w:r w:rsidRPr="006A2246">
        <w:rPr>
          <w:rStyle w:val="libAieChar"/>
          <w:rtl/>
        </w:rPr>
        <w:t xml:space="preserve"> وَأَيَّدَهُمْ بِرُوحٍ مِنْهُ </w:t>
      </w:r>
      <w:r w:rsidRPr="0003660B">
        <w:rPr>
          <w:rStyle w:val="libAlaemChar"/>
          <w:rtl/>
        </w:rPr>
        <w:t>)</w:t>
      </w:r>
      <w:r w:rsidRPr="00C9040A">
        <w:rPr>
          <w:rtl/>
          <w:lang w:bidi="fa-IR"/>
        </w:rPr>
        <w:t xml:space="preserve"> </w:t>
      </w:r>
      <w:r w:rsidR="006C577F" w:rsidRPr="006C577F">
        <w:rPr>
          <w:rStyle w:val="libFootnotenumChar"/>
          <w:rtl/>
        </w:rPr>
        <w:t>(7)</w:t>
      </w:r>
      <w:r w:rsidRPr="00C9040A">
        <w:rPr>
          <w:rtl/>
          <w:lang w:bidi="fa-IR"/>
        </w:rPr>
        <w:t xml:space="preserve"> ذَاكَ </w:t>
      </w:r>
      <w:r w:rsidR="006C577F" w:rsidRPr="006C577F">
        <w:rPr>
          <w:rStyle w:val="libFootnotenumChar"/>
          <w:rtl/>
        </w:rPr>
        <w:t>(8)</w:t>
      </w:r>
      <w:r w:rsidRPr="00C9040A">
        <w:rPr>
          <w:rtl/>
          <w:lang w:bidi="fa-IR"/>
        </w:rPr>
        <w:t xml:space="preserve"> الَّذِي يُفَارِقُهُ </w:t>
      </w:r>
      <w:r w:rsidR="006C577F" w:rsidRPr="006C577F">
        <w:rPr>
          <w:rStyle w:val="libFootnotenumChar"/>
          <w:rtl/>
        </w:rPr>
        <w:t>(9)</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ب ، د ، ز » : « ولاتخرجه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بر » : « عن »</w:t>
      </w:r>
      <w:r w:rsidR="008A74EB">
        <w:rPr>
          <w:rtl/>
        </w:rPr>
        <w:t>.</w:t>
      </w:r>
    </w:p>
    <w:p w:rsidR="008A74EB" w:rsidRPr="00C9040A" w:rsidRDefault="006C577F" w:rsidP="00C81675">
      <w:pPr>
        <w:pStyle w:val="libFootnote0"/>
        <w:rPr>
          <w:rtl/>
          <w:lang w:bidi="fa-IR"/>
        </w:rPr>
      </w:pPr>
      <w:r>
        <w:rPr>
          <w:rtl/>
        </w:rPr>
        <w:t>(3).</w:t>
      </w:r>
      <w:r w:rsidR="008A74EB" w:rsidRPr="00C9040A">
        <w:rPr>
          <w:rtl/>
        </w:rPr>
        <w:t xml:space="preserve"> </w:t>
      </w:r>
      <w:r w:rsidR="008A74EB" w:rsidRPr="00993B55">
        <w:rPr>
          <w:rStyle w:val="libFootnoteBoldChar"/>
          <w:rtl/>
        </w:rPr>
        <w:t>عيون الأخبار</w:t>
      </w:r>
      <w:r w:rsidR="008A74EB" w:rsidRPr="00C9040A">
        <w:rPr>
          <w:rtl/>
        </w:rPr>
        <w:t xml:space="preserve"> ، ج 2 ، ص 126 ، ذيل الحديث الطويل 1 ، بسند آخر عن الرضا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تحف العقول</w:t>
      </w:r>
      <w:r w:rsidR="008A74EB" w:rsidRPr="00C9040A">
        <w:rPr>
          <w:rtl/>
        </w:rPr>
        <w:t xml:space="preserve"> ، ص 422 ، ضمن الحديث الطويل ، عن الرضا </w:t>
      </w:r>
      <w:r w:rsidR="00117575" w:rsidRPr="00117575">
        <w:rPr>
          <w:rStyle w:val="libFootnoteAlaemChar"/>
          <w:rtl/>
        </w:rPr>
        <w:t>عليه‌السلام</w:t>
      </w:r>
      <w:r w:rsidR="008A74EB" w:rsidRPr="00C9040A">
        <w:rPr>
          <w:rtl/>
        </w:rPr>
        <w:t xml:space="preserve"> ، وفيهما إلى قوله : « والفرار من الزحف » ، مع اختلاف يسير وزيادة</w:t>
      </w:r>
      <w:r w:rsidR="00C81675">
        <w:rPr>
          <w:rFonts w:hint="cs"/>
          <w:rtl/>
        </w:rPr>
        <w:t>.</w:t>
      </w:r>
      <w:r w:rsidR="008A74EB" w:rsidRPr="00993B55">
        <w:rPr>
          <w:rStyle w:val="libFootnoteBoldChar"/>
          <w:rtl/>
        </w:rPr>
        <w:t>الوافي</w:t>
      </w:r>
      <w:r w:rsidR="008A74EB" w:rsidRPr="00C9040A">
        <w:rPr>
          <w:rtl/>
        </w:rPr>
        <w:t xml:space="preserve"> ، ج 4 ، ص 113 ، ح 1715 ؛ وج 5 ، ص 1051 ، ح 3573 ؛ </w:t>
      </w:r>
      <w:r w:rsidR="008A74EB" w:rsidRPr="00993B55">
        <w:rPr>
          <w:rStyle w:val="libFootnoteBoldChar"/>
          <w:rtl/>
        </w:rPr>
        <w:t>الوسائل</w:t>
      </w:r>
      <w:r w:rsidR="008A74EB" w:rsidRPr="00C9040A">
        <w:rPr>
          <w:rtl/>
        </w:rPr>
        <w:t xml:space="preserve"> ، ج 1 ، ص 33 ، ح 50 ، من قوله : « فقيل له : أرأيت المرتكب للكبيرة » ؛ وج 15 ، ص 324 ، ح 20640 ، إلى قوله : « والفرار من الزحف » ؛ </w:t>
      </w:r>
      <w:r w:rsidR="008A74EB" w:rsidRPr="00993B55">
        <w:rPr>
          <w:rStyle w:val="libFootnoteBoldChar"/>
          <w:rtl/>
        </w:rPr>
        <w:t>البحار</w:t>
      </w:r>
      <w:r w:rsidR="008A74EB" w:rsidRPr="00C9040A">
        <w:rPr>
          <w:rtl/>
        </w:rPr>
        <w:t xml:space="preserve"> ، ج 68 ، ص 260 ، ح 18.</w:t>
      </w:r>
    </w:p>
    <w:p w:rsidR="008A74EB" w:rsidRPr="00C9040A" w:rsidRDefault="006C577F" w:rsidP="004A4E41">
      <w:pPr>
        <w:pStyle w:val="libFootnote0"/>
        <w:rPr>
          <w:rtl/>
          <w:lang w:bidi="fa-IR"/>
        </w:rPr>
      </w:pPr>
      <w:r>
        <w:rPr>
          <w:rtl/>
        </w:rPr>
        <w:t>(4).</w:t>
      </w:r>
      <w:r w:rsidR="008A74EB" w:rsidRPr="00C9040A">
        <w:rPr>
          <w:rtl/>
        </w:rPr>
        <w:t xml:space="preserve"> ابن بكير هذا هو عبدالله بن بكير روى كتابه الحسن بن عليّ بن فضّال وتكرّرت روايته عنه في الأسناد. وعبدالله بن بكير من أحداث أصحاب أبي عبدالله </w:t>
      </w:r>
      <w:r w:rsidR="00117575" w:rsidRPr="00117575">
        <w:rPr>
          <w:rStyle w:val="libFootnoteAlaemChar"/>
          <w:rtl/>
        </w:rPr>
        <w:t>عليه‌السلام</w:t>
      </w:r>
      <w:r w:rsidR="008A74EB" w:rsidRPr="00C9040A">
        <w:rPr>
          <w:rtl/>
        </w:rPr>
        <w:t xml:space="preserve"> الذين لم يدركوا أبا جعفر </w:t>
      </w:r>
      <w:r w:rsidR="00117575" w:rsidRPr="00117575">
        <w:rPr>
          <w:rStyle w:val="libFootnoteAlaemChar"/>
          <w:rtl/>
        </w:rPr>
        <w:t xml:space="preserve">عليه‌السلام </w:t>
      </w:r>
      <w:r w:rsidR="008A74EB" w:rsidRPr="00C9040A">
        <w:rPr>
          <w:rtl/>
        </w:rPr>
        <w:t xml:space="preserve">كالرواة عنه ، بل روى ابن بكير عن أبي جعفر </w:t>
      </w:r>
      <w:r w:rsidR="00117575" w:rsidRPr="00117575">
        <w:rPr>
          <w:rStyle w:val="libFootnoteAlaemChar"/>
          <w:rtl/>
        </w:rPr>
        <w:t>عليه‌السلام</w:t>
      </w:r>
      <w:r w:rsidR="008A74EB" w:rsidRPr="00C9040A">
        <w:rPr>
          <w:rtl/>
        </w:rPr>
        <w:t xml:space="preserve"> في كثيرٍ من الأسناد جدّاً بالتوسّط والواسطة في أكثر هذه الأسناد هو عمّه زرارة. راجع : </w:t>
      </w:r>
      <w:r w:rsidR="008A74EB" w:rsidRPr="0034021D">
        <w:rPr>
          <w:rStyle w:val="libFootnoteBoldChar"/>
          <w:rtl/>
        </w:rPr>
        <w:t>الفهرست للطوسي</w:t>
      </w:r>
      <w:r w:rsidR="008A74EB" w:rsidRPr="00C9040A">
        <w:rPr>
          <w:rtl/>
        </w:rPr>
        <w:t xml:space="preserve"> ، ص 304 ، الرقم 464 ؛ </w:t>
      </w:r>
      <w:r w:rsidR="008A74EB" w:rsidRPr="00993B55">
        <w:rPr>
          <w:rStyle w:val="libFootnoteBoldChar"/>
          <w:rtl/>
        </w:rPr>
        <w:t>رجال الكشّي</w:t>
      </w:r>
      <w:r w:rsidR="008A74EB" w:rsidRPr="00C9040A">
        <w:rPr>
          <w:rtl/>
        </w:rPr>
        <w:t xml:space="preserve"> ، ص 357 ، الرقم 705 ؛ </w:t>
      </w:r>
      <w:r w:rsidR="008A74EB" w:rsidRPr="00993B55">
        <w:rPr>
          <w:rStyle w:val="libFootnoteBoldChar"/>
          <w:rtl/>
        </w:rPr>
        <w:t>معجم رجال الحديث</w:t>
      </w:r>
      <w:r w:rsidR="008A74EB" w:rsidRPr="00C9040A">
        <w:rPr>
          <w:rtl/>
        </w:rPr>
        <w:t xml:space="preserve"> ، ج 7 ، ص 438</w:t>
      </w:r>
      <w:r w:rsidR="008A74EB">
        <w:rPr>
          <w:rtl/>
        </w:rPr>
        <w:t xml:space="preserve"> </w:t>
      </w:r>
      <w:r w:rsidR="0084262C">
        <w:rPr>
          <w:rtl/>
        </w:rPr>
        <w:t>-</w:t>
      </w:r>
      <w:r w:rsidR="008A74EB">
        <w:rPr>
          <w:rtl/>
        </w:rPr>
        <w:t xml:space="preserve"> </w:t>
      </w:r>
      <w:r w:rsidR="008A74EB" w:rsidRPr="00C9040A">
        <w:rPr>
          <w:rtl/>
        </w:rPr>
        <w:t>440 ؛ وص 448.</w:t>
      </w:r>
    </w:p>
    <w:p w:rsidR="008A74EB" w:rsidRPr="00C9040A" w:rsidRDefault="008A74EB" w:rsidP="00C81675">
      <w:pPr>
        <w:pStyle w:val="libFootnote0"/>
        <w:rPr>
          <w:rtl/>
          <w:lang w:bidi="fa-IR"/>
        </w:rPr>
      </w:pPr>
      <w:r w:rsidRPr="00323A39">
        <w:rPr>
          <w:rtl/>
        </w:rPr>
        <w:t xml:space="preserve">فعليه ، الظاهر إمّا سقوط الواسطة في سندنا بين ابن بكير وبين أبي جعفر </w:t>
      </w:r>
      <w:r w:rsidR="00117575" w:rsidRPr="00117575">
        <w:rPr>
          <w:rStyle w:val="libFootnoteAlaemChar"/>
          <w:rtl/>
        </w:rPr>
        <w:t>عليه‌السلام</w:t>
      </w:r>
      <w:r w:rsidRPr="00323A39">
        <w:rPr>
          <w:rtl/>
        </w:rPr>
        <w:t xml:space="preserve"> ، أو وقوع التحريف في عنوان المعصوم </w:t>
      </w:r>
      <w:r w:rsidR="00117575" w:rsidRPr="00117575">
        <w:rPr>
          <w:rStyle w:val="libFootnoteAlaemChar"/>
          <w:rtl/>
        </w:rPr>
        <w:t xml:space="preserve">عليه‌السلام </w:t>
      </w:r>
      <w:r w:rsidRPr="00323A39">
        <w:rPr>
          <w:rtl/>
        </w:rPr>
        <w:t>.</w:t>
      </w:r>
      <w:r w:rsidR="00C81675">
        <w:rPr>
          <w:rFonts w:hint="cs"/>
          <w:rtl/>
        </w:rPr>
        <w:t xml:space="preserve">                                              </w:t>
      </w:r>
      <w:r w:rsidR="006C577F">
        <w:rPr>
          <w:rtl/>
        </w:rPr>
        <w:t>(5).</w:t>
      </w:r>
      <w:r w:rsidRPr="00C9040A">
        <w:rPr>
          <w:rtl/>
        </w:rPr>
        <w:t xml:space="preserve"> في « </w:t>
      </w:r>
      <w:r w:rsidR="006D3162">
        <w:rPr>
          <w:rtl/>
        </w:rPr>
        <w:t xml:space="preserve">ه </w:t>
      </w:r>
      <w:r w:rsidRPr="00C9040A">
        <w:rPr>
          <w:rtl/>
        </w:rPr>
        <w:t>» : « قال » بدل « في قول »</w:t>
      </w:r>
      <w:r>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المحاسن وثواب الأعمال </w:t>
      </w:r>
      <w:r w:rsidR="008A74EB">
        <w:rPr>
          <w:rtl/>
        </w:rPr>
        <w:t xml:space="preserve">: </w:t>
      </w:r>
      <w:r w:rsidR="0084262C">
        <w:rPr>
          <w:rtl/>
        </w:rPr>
        <w:t>-</w:t>
      </w:r>
      <w:r w:rsidR="008A74EB" w:rsidRPr="00C9040A">
        <w:rPr>
          <w:rtl/>
        </w:rPr>
        <w:t xml:space="preserve"> « هو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المجادلة (58) : 22.</w:t>
      </w:r>
    </w:p>
    <w:p w:rsidR="008A74EB" w:rsidRPr="00C9040A" w:rsidRDefault="006C577F" w:rsidP="004A4E41">
      <w:pPr>
        <w:pStyle w:val="libFootnote0"/>
        <w:rPr>
          <w:rtl/>
          <w:lang w:bidi="fa-IR"/>
        </w:rPr>
      </w:pPr>
      <w:r>
        <w:rPr>
          <w:rtl/>
        </w:rPr>
        <w:t>(8).</w:t>
      </w:r>
      <w:r w:rsidR="008A74EB" w:rsidRPr="00C9040A">
        <w:rPr>
          <w:rtl/>
        </w:rPr>
        <w:t xml:space="preserve"> في « د ، ز » ومرآة العقول والمحاسن وثواب الأعمال : « ذلك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المحاسن : « يفارقهم »</w:t>
      </w:r>
      <w:r w:rsidR="008A74EB">
        <w:rPr>
          <w:rtl/>
        </w:rPr>
        <w:t>.</w:t>
      </w:r>
    </w:p>
    <w:p w:rsidR="008A74EB" w:rsidRPr="00C9040A" w:rsidRDefault="006C577F" w:rsidP="00FF11FE">
      <w:pPr>
        <w:pStyle w:val="libFootnote0"/>
        <w:rPr>
          <w:rtl/>
          <w:lang w:bidi="fa-IR"/>
        </w:rPr>
      </w:pPr>
      <w:r>
        <w:rPr>
          <w:rtl/>
        </w:rPr>
        <w:t>(10).</w:t>
      </w:r>
      <w:r w:rsidR="008A74EB" w:rsidRPr="00C9040A">
        <w:rPr>
          <w:rtl/>
        </w:rPr>
        <w:t xml:space="preserve"> </w:t>
      </w:r>
      <w:r w:rsidR="008A74EB" w:rsidRPr="00993B55">
        <w:rPr>
          <w:rStyle w:val="libFootnoteBoldChar"/>
          <w:rtl/>
        </w:rPr>
        <w:t>المحاسن</w:t>
      </w:r>
      <w:r w:rsidR="008A74EB" w:rsidRPr="00C9040A">
        <w:rPr>
          <w:rtl/>
        </w:rPr>
        <w:t xml:space="preserve"> ، ص 106 ، كتاب عقاب الأعمال ، ح 90 ، عن ابن فضّال ، عن عبدالله بن بكير. </w:t>
      </w:r>
      <w:r w:rsidR="008A74EB" w:rsidRPr="00993B55">
        <w:rPr>
          <w:rStyle w:val="libFootnoteBoldChar"/>
          <w:rtl/>
        </w:rPr>
        <w:t>ثواب الأعمال</w:t>
      </w:r>
      <w:r w:rsidR="008A74EB" w:rsidRPr="00C9040A">
        <w:rPr>
          <w:rtl/>
        </w:rPr>
        <w:t xml:space="preserve"> ، ص 313 ، ح 8 ، بسنده عن أحمد بن أبي عبدالله ، عن ابن فضّال. </w:t>
      </w:r>
      <w:r w:rsidR="008A74EB" w:rsidRPr="00993B55">
        <w:rPr>
          <w:rStyle w:val="libFootnoteBoldChar"/>
          <w:rtl/>
        </w:rPr>
        <w:t>قرب الإسناد</w:t>
      </w:r>
      <w:r w:rsidR="008A74EB" w:rsidRPr="00C9040A">
        <w:rPr>
          <w:rtl/>
        </w:rPr>
        <w:t xml:space="preserve"> ، ص 33 ، ح 109 ، بسند آخر عن أبي عبدالله </w:t>
      </w:r>
      <w:r w:rsidR="00117575" w:rsidRPr="00117575">
        <w:rPr>
          <w:rStyle w:val="libFootnoteAlaemChar"/>
          <w:rtl/>
        </w:rPr>
        <w:t>عليه‌السلام</w:t>
      </w:r>
      <w:r w:rsidR="008A74EB" w:rsidRPr="00C9040A">
        <w:rPr>
          <w:rtl/>
        </w:rPr>
        <w:t xml:space="preserve"> ، وفيه : « قال أبو عبدالله </w:t>
      </w:r>
      <w:r w:rsidR="00117575" w:rsidRPr="00117575">
        <w:rPr>
          <w:rStyle w:val="libFootnoteAlaemChar"/>
          <w:rtl/>
        </w:rPr>
        <w:t>عليه‌السلام</w:t>
      </w:r>
      <w:r w:rsidR="008A74EB" w:rsidRPr="00C9040A">
        <w:rPr>
          <w:rtl/>
        </w:rPr>
        <w:t xml:space="preserve"> : إذا زنى الرجل</w:t>
      </w:r>
      <w:r w:rsidR="008A74EB">
        <w:rPr>
          <w:rtl/>
        </w:rPr>
        <w:t xml:space="preserve"> ..</w:t>
      </w:r>
      <w:r w:rsidR="008A74EB" w:rsidRPr="00C9040A">
        <w:rPr>
          <w:rtl/>
        </w:rPr>
        <w:t xml:space="preserve">. » مع اختلاف يسير. </w:t>
      </w:r>
      <w:r w:rsidR="008A74EB" w:rsidRPr="00993B55">
        <w:rPr>
          <w:rStyle w:val="libFootnoteBoldChar"/>
          <w:rtl/>
        </w:rPr>
        <w:t>الفقيه</w:t>
      </w:r>
      <w:r w:rsidR="008A74EB" w:rsidRPr="00C9040A">
        <w:rPr>
          <w:rtl/>
        </w:rPr>
        <w:t xml:space="preserve"> ، ج 4 ، ص 22 ، ذيل ح 4990 ، بسند آخر عن أبي جعفر ، عن أبيه </w:t>
      </w:r>
      <w:r w:rsidR="00117575" w:rsidRPr="00117575">
        <w:rPr>
          <w:rStyle w:val="libFootnoteAlaemChar"/>
          <w:rtl/>
        </w:rPr>
        <w:t>عليهما‌السلام</w:t>
      </w:r>
      <w:r w:rsidR="008A74EB" w:rsidRPr="00C9040A">
        <w:rPr>
          <w:rtl/>
        </w:rPr>
        <w:t xml:space="preserve"> ، من دون الإسناد إلى الرسول </w:t>
      </w:r>
      <w:r w:rsidR="004A4E41" w:rsidRPr="00C81675">
        <w:rPr>
          <w:rStyle w:val="libFootnoteAlaemChar"/>
          <w:rtl/>
        </w:rPr>
        <w:t>صلى‌الله‌عليه‌وآله</w:t>
      </w:r>
      <w:r w:rsidR="008A74EB" w:rsidRPr="00C9040A">
        <w:rPr>
          <w:rtl/>
        </w:rPr>
        <w:t xml:space="preserve"> ، وتمام الرواية فيه : « إذا زنى الزاني فارقه روح الإيمان » مع زيادة في آخره</w:t>
      </w:r>
      <w:r w:rsidR="00FF11FE">
        <w:rPr>
          <w:rFonts w:hint="cs"/>
          <w:rtl/>
        </w:rPr>
        <w:t>.</w:t>
      </w:r>
      <w:r w:rsidR="008A74EB" w:rsidRPr="00993B55">
        <w:rPr>
          <w:rStyle w:val="libFootnoteBoldChar"/>
          <w:rtl/>
        </w:rPr>
        <w:t>الوافي</w:t>
      </w:r>
      <w:r w:rsidR="008A74EB" w:rsidRPr="00C9040A">
        <w:rPr>
          <w:rtl/>
        </w:rPr>
        <w:t xml:space="preserve"> ، ج 5 ، ص 1017 ، ح 3506 ؛ </w:t>
      </w:r>
      <w:r w:rsidR="008A74EB" w:rsidRPr="00993B55">
        <w:rPr>
          <w:rStyle w:val="libFootnoteBoldChar"/>
          <w:rtl/>
        </w:rPr>
        <w:t>الوسائل</w:t>
      </w:r>
      <w:r w:rsidR="008A74EB" w:rsidRPr="00C9040A">
        <w:rPr>
          <w:rtl/>
        </w:rPr>
        <w:t xml:space="preserve"> ، ج 15 ، ص 324 ، ح 20641 ؛ </w:t>
      </w:r>
      <w:r w:rsidR="008A74EB" w:rsidRPr="00993B55">
        <w:rPr>
          <w:rStyle w:val="libFootnoteBoldChar"/>
          <w:rtl/>
        </w:rPr>
        <w:t>البحار</w:t>
      </w:r>
      <w:r w:rsidR="008A74EB" w:rsidRPr="00C9040A">
        <w:rPr>
          <w:rtl/>
        </w:rPr>
        <w:t xml:space="preserve"> ، ج 69 ، ص 190 ، ذيل ح 5.</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602254">
        <w:rPr>
          <w:rtl/>
        </w:rPr>
        <w:t>2454</w:t>
      </w:r>
      <w:r w:rsidRPr="00261CB0">
        <w:rPr>
          <w:rStyle w:val="libBold2Char"/>
          <w:rtl/>
        </w:rPr>
        <w:t xml:space="preserve"> / 13.</w:t>
      </w:r>
      <w:r w:rsidRPr="00C9040A">
        <w:rPr>
          <w:rtl/>
          <w:lang w:bidi="fa-IR"/>
        </w:rPr>
        <w:t xml:space="preserve"> عَلِيُّ بْنُ إِبْرَاهِيمَ ، عَنْ أَبِيهِ ، عَنْ حَمَّادٍ ، عَنْ رِبْعِيٍّ ، عَنِ الْفُضَيْلِ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يُسْلَبُ مِنْهُ رُوحُ الْإِيمَانِ مَا دَامَ عَلى بَطْنِهَا ؛ فَإِذَا نَزَلَ </w:t>
      </w:r>
      <w:r w:rsidR="006C577F" w:rsidRPr="006C577F">
        <w:rPr>
          <w:rStyle w:val="libFootnotenumChar"/>
          <w:rtl/>
        </w:rPr>
        <w:t>(1)</w:t>
      </w:r>
      <w:r w:rsidRPr="00C9040A">
        <w:rPr>
          <w:rtl/>
          <w:lang w:bidi="fa-IR"/>
        </w:rPr>
        <w:t xml:space="preserve"> ، عَادَ الْإِيمَانُ »</w:t>
      </w:r>
      <w:r>
        <w:rPr>
          <w:rtl/>
          <w:lang w:bidi="fa-IR"/>
        </w:rPr>
        <w:t>.</w:t>
      </w:r>
    </w:p>
    <w:p w:rsidR="008A74EB" w:rsidRPr="00C9040A" w:rsidRDefault="008A74EB" w:rsidP="008A74EB">
      <w:pPr>
        <w:pStyle w:val="libNormal"/>
        <w:rPr>
          <w:rtl/>
          <w:lang w:bidi="fa-IR"/>
        </w:rPr>
      </w:pPr>
      <w:r w:rsidRPr="00C9040A">
        <w:rPr>
          <w:rtl/>
          <w:lang w:bidi="fa-IR"/>
        </w:rPr>
        <w:t xml:space="preserve">قَالَ : قُلْتُ لَهُ </w:t>
      </w:r>
      <w:r w:rsidR="006C577F" w:rsidRPr="006C577F">
        <w:rPr>
          <w:rStyle w:val="libFootnotenumChar"/>
          <w:rtl/>
        </w:rPr>
        <w:t>(2)</w:t>
      </w:r>
      <w:r>
        <w:rPr>
          <w:rtl/>
          <w:lang w:bidi="fa-IR"/>
        </w:rPr>
        <w:t xml:space="preserve"> : أَ</w:t>
      </w:r>
      <w:r w:rsidRPr="00C9040A">
        <w:rPr>
          <w:rtl/>
          <w:lang w:bidi="fa-IR"/>
        </w:rPr>
        <w:t>رَأَيْتَ إِنْ هَمَّ</w:t>
      </w:r>
      <w:r>
        <w:rPr>
          <w:rtl/>
          <w:lang w:bidi="fa-IR"/>
        </w:rPr>
        <w:t>؟</w:t>
      </w:r>
      <w:r w:rsidRPr="00C9040A">
        <w:rPr>
          <w:rtl/>
          <w:lang w:bidi="fa-IR"/>
        </w:rPr>
        <w:t xml:space="preserve"> قَالَ : « لَا </w:t>
      </w:r>
      <w:r w:rsidR="006C577F" w:rsidRPr="006C577F">
        <w:rPr>
          <w:rStyle w:val="libFootnotenumChar"/>
          <w:rtl/>
        </w:rPr>
        <w:t>(3)</w:t>
      </w:r>
      <w:r>
        <w:rPr>
          <w:rtl/>
          <w:lang w:bidi="fa-IR"/>
        </w:rPr>
        <w:t xml:space="preserve"> ، أَ</w:t>
      </w:r>
      <w:r w:rsidRPr="00C9040A">
        <w:rPr>
          <w:rtl/>
          <w:lang w:bidi="fa-IR"/>
        </w:rPr>
        <w:t>رَأَي</w:t>
      </w:r>
      <w:r>
        <w:rPr>
          <w:rtl/>
          <w:lang w:bidi="fa-IR"/>
        </w:rPr>
        <w:t>ْتَ إِنْ هَمَّ أَنْ يَسْرِقَ أَ</w:t>
      </w:r>
      <w:r w:rsidRPr="00C9040A">
        <w:rPr>
          <w:rtl/>
          <w:lang w:bidi="fa-IR"/>
        </w:rPr>
        <w:t xml:space="preserve">تُقْطَعُ </w:t>
      </w:r>
      <w:r w:rsidR="006C577F" w:rsidRPr="006C577F">
        <w:rPr>
          <w:rStyle w:val="libFootnotenumChar"/>
          <w:rtl/>
        </w:rPr>
        <w:t>(4)</w:t>
      </w:r>
      <w:r w:rsidRPr="00C9040A">
        <w:rPr>
          <w:rtl/>
          <w:lang w:bidi="fa-IR"/>
        </w:rPr>
        <w:t xml:space="preserve"> يَدُهُ</w:t>
      </w:r>
      <w:r>
        <w:rPr>
          <w:rtl/>
          <w:lang w:bidi="fa-IR"/>
        </w:rPr>
        <w:t>؟</w:t>
      </w:r>
      <w:r w:rsidRPr="00C9040A">
        <w:rPr>
          <w:rtl/>
          <w:lang w:bidi="fa-IR"/>
        </w:rPr>
        <w:t>»</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602254">
        <w:rPr>
          <w:rtl/>
        </w:rPr>
        <w:t>2455</w:t>
      </w:r>
      <w:r w:rsidRPr="00261CB0">
        <w:rPr>
          <w:rStyle w:val="libBold2Char"/>
          <w:rtl/>
        </w:rPr>
        <w:t xml:space="preserve"> / 14.</w:t>
      </w:r>
      <w:r w:rsidRPr="00C9040A">
        <w:rPr>
          <w:rtl/>
          <w:lang w:bidi="fa-IR"/>
        </w:rPr>
        <w:t xml:space="preserve"> عَلِيٌّ </w:t>
      </w:r>
      <w:r w:rsidR="006C577F" w:rsidRPr="006C577F">
        <w:rPr>
          <w:rStyle w:val="libFootnotenumChar"/>
          <w:rtl/>
        </w:rPr>
        <w:t>(6)</w:t>
      </w:r>
      <w:r w:rsidRPr="005B567D">
        <w:rPr>
          <w:rStyle w:val="libFootnotenumChar"/>
          <w:rtl/>
        </w:rPr>
        <w:t xml:space="preserve"> </w:t>
      </w:r>
      <w:r w:rsidRPr="00C9040A">
        <w:rPr>
          <w:rtl/>
          <w:lang w:bidi="fa-IR"/>
        </w:rPr>
        <w:t>، عَنْ أَبِيهِ ، عَنِ ابْنِ أَبِي عُمَيْرٍ ، عَنْ مُعَاوِيَةَ بْنِ عَمَّارٍ ، عَنْ صَبَّاحِ بْنِ سَيَابَةَ ، قَالَ :</w:t>
      </w:r>
    </w:p>
    <w:p w:rsidR="008A74EB" w:rsidRPr="00C9040A" w:rsidRDefault="008A74EB" w:rsidP="008A74EB">
      <w:pPr>
        <w:pStyle w:val="libNormal"/>
        <w:rPr>
          <w:rtl/>
          <w:lang w:bidi="fa-IR"/>
        </w:rPr>
      </w:pPr>
      <w:r w:rsidRPr="00C9040A">
        <w:rPr>
          <w:rtl/>
          <w:lang w:bidi="fa-IR"/>
        </w:rPr>
        <w:t xml:space="preserve">كُنْتُ عِنْدَ أَبِي عَبْدِ اللهِ </w:t>
      </w:r>
      <w:r w:rsidRPr="0003660B">
        <w:rPr>
          <w:rStyle w:val="libAlaemChar"/>
          <w:rtl/>
        </w:rPr>
        <w:t>عليه‌السلام</w:t>
      </w:r>
      <w:r w:rsidRPr="00C9040A">
        <w:rPr>
          <w:rtl/>
          <w:lang w:bidi="fa-IR"/>
        </w:rPr>
        <w:t xml:space="preserve"> ، فَقَالَ لَهُ مُحَمَّدُ بْنُ عَبْدَةَ </w:t>
      </w:r>
      <w:r w:rsidR="006C577F" w:rsidRPr="006C577F">
        <w:rPr>
          <w:rStyle w:val="libFootnotenumChar"/>
          <w:rtl/>
        </w:rPr>
        <w:t>(7)</w:t>
      </w:r>
      <w:r w:rsidRPr="00C9040A">
        <w:rPr>
          <w:rtl/>
          <w:lang w:bidi="fa-IR"/>
        </w:rPr>
        <w:t xml:space="preserve"> : يَزْنِي </w:t>
      </w:r>
      <w:r w:rsidR="006C577F" w:rsidRPr="006C577F">
        <w:rPr>
          <w:rStyle w:val="libFootnotenumChar"/>
          <w:rtl/>
        </w:rPr>
        <w:t>(8)</w:t>
      </w:r>
      <w:r w:rsidRPr="00C9040A">
        <w:rPr>
          <w:rtl/>
          <w:lang w:bidi="fa-IR"/>
        </w:rPr>
        <w:t xml:space="preserve"> الزَّانِي وَهُوَ مُؤْمِنٌ</w:t>
      </w:r>
      <w:r>
        <w:rPr>
          <w:rtl/>
          <w:lang w:bidi="fa-IR"/>
        </w:rPr>
        <w:t>؟</w:t>
      </w:r>
      <w:r>
        <w:rPr>
          <w:rFonts w:hint="cs"/>
          <w:rtl/>
          <w:lang w:bidi="fa-IR"/>
        </w:rPr>
        <w:t xml:space="preserve"> </w:t>
      </w:r>
      <w:r w:rsidRPr="00C9040A">
        <w:rPr>
          <w:rtl/>
          <w:lang w:bidi="fa-IR"/>
        </w:rPr>
        <w:t>قَالَ : « لَا ، إِذَا كَانَ عَلى بَطْنِهَا سُلِبَ الْإِيمَانُ مِنْهُ ، فَإِذَا قَامَ رُدَّ عَلَيْهِ »</w:t>
      </w:r>
      <w:r>
        <w:rPr>
          <w:rtl/>
          <w:lang w:bidi="fa-IR"/>
        </w:rPr>
        <w:t>.</w:t>
      </w:r>
    </w:p>
    <w:p w:rsidR="008A74EB" w:rsidRPr="00C9040A" w:rsidRDefault="008A74EB" w:rsidP="008A74EB">
      <w:pPr>
        <w:pStyle w:val="libNormal"/>
        <w:rPr>
          <w:rtl/>
          <w:lang w:bidi="fa-IR"/>
        </w:rPr>
      </w:pPr>
      <w:r w:rsidRPr="00C9040A">
        <w:rPr>
          <w:rtl/>
          <w:lang w:bidi="fa-IR"/>
        </w:rPr>
        <w:t xml:space="preserve">قُلْتُ : فَإِنَّهُ </w:t>
      </w:r>
      <w:r w:rsidR="006C577F" w:rsidRPr="006C577F">
        <w:rPr>
          <w:rStyle w:val="libFootnotenumChar"/>
          <w:rtl/>
        </w:rPr>
        <w:t>(9)</w:t>
      </w:r>
      <w:r w:rsidRPr="00C9040A">
        <w:rPr>
          <w:rtl/>
          <w:lang w:bidi="fa-IR"/>
        </w:rPr>
        <w:t xml:space="preserve"> أَرَادَ أَنْ يَعُودَ</w:t>
      </w:r>
      <w:r>
        <w:rPr>
          <w:rtl/>
          <w:lang w:bidi="fa-IR"/>
        </w:rPr>
        <w:t>؟</w:t>
      </w:r>
      <w:r w:rsidRPr="00C9040A">
        <w:rPr>
          <w:rtl/>
          <w:lang w:bidi="fa-IR"/>
        </w:rPr>
        <w:t xml:space="preserve"> قَالَ : « مَا أَكْثَرَ مَا يَهُمُّ </w:t>
      </w:r>
      <w:r w:rsidR="006C577F" w:rsidRPr="006C577F">
        <w:rPr>
          <w:rStyle w:val="libFootnotenumChar"/>
          <w:rtl/>
        </w:rPr>
        <w:t>(10)</w:t>
      </w:r>
      <w:r w:rsidRPr="00C9040A">
        <w:rPr>
          <w:rtl/>
          <w:lang w:bidi="fa-IR"/>
        </w:rPr>
        <w:t xml:space="preserve"> أَنْ يَعُودَ ، ثُمَّ لَايَعُودُ »</w:t>
      </w:r>
      <w:r>
        <w:rPr>
          <w:rtl/>
          <w:lang w:bidi="fa-IR"/>
        </w:rPr>
        <w:t>.</w:t>
      </w:r>
      <w:r w:rsidRPr="00C9040A">
        <w:rPr>
          <w:rtl/>
          <w:lang w:bidi="fa-IR"/>
        </w:rPr>
        <w:t xml:space="preserve"> </w:t>
      </w:r>
      <w:r w:rsidR="006C577F" w:rsidRPr="006C577F">
        <w:rPr>
          <w:rStyle w:val="libFootnotenumChar"/>
          <w:rtl/>
        </w:rPr>
        <w:t>(11)</w:t>
      </w:r>
      <w:r w:rsidRPr="00C9040A">
        <w:rPr>
          <w:rtl/>
          <w:lang w:bidi="fa-IR"/>
        </w:rPr>
        <w:t xml:space="preserve"> ‌</w:t>
      </w:r>
    </w:p>
    <w:p w:rsidR="008A74EB" w:rsidRPr="00C9040A" w:rsidRDefault="008A74EB" w:rsidP="008A74EB">
      <w:pPr>
        <w:pStyle w:val="libNormal"/>
        <w:rPr>
          <w:rtl/>
          <w:lang w:bidi="fa-IR"/>
        </w:rPr>
      </w:pPr>
      <w:r w:rsidRPr="00602254">
        <w:rPr>
          <w:rtl/>
        </w:rPr>
        <w:t>2456</w:t>
      </w:r>
      <w:r w:rsidRPr="00261CB0">
        <w:rPr>
          <w:rStyle w:val="libBold2Char"/>
          <w:rtl/>
        </w:rPr>
        <w:t xml:space="preserve"> / 15.</w:t>
      </w:r>
      <w:r w:rsidRPr="00C9040A">
        <w:rPr>
          <w:rtl/>
          <w:lang w:bidi="fa-IR"/>
        </w:rPr>
        <w:t xml:space="preserve"> الْحُسَيْنُ بْنُ مُحَمَّدٍ ، عَنْ مُعَلَّى بْنِ مُحَمَّدٍ ، عَنِ الْوَشَّاءِ ، عَنْ أَبَانٍ ، عَنْ‌</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ز ، </w:t>
      </w:r>
      <w:r w:rsidR="006D3162">
        <w:rPr>
          <w:rtl/>
        </w:rPr>
        <w:t xml:space="preserve">ه </w:t>
      </w:r>
      <w:r w:rsidR="008A74EB" w:rsidRPr="00C9040A">
        <w:rPr>
          <w:rtl/>
        </w:rPr>
        <w:t>» : « ترك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ب ، ج ، د ، ز ، ص ، بر ، بس ، بف » والوافي والوسائل والبحار </w:t>
      </w:r>
      <w:r w:rsidR="008A74EB">
        <w:rPr>
          <w:rtl/>
        </w:rPr>
        <w:t xml:space="preserve">: </w:t>
      </w:r>
      <w:r w:rsidR="0084262C">
        <w:rPr>
          <w:rtl/>
        </w:rPr>
        <w:t>-</w:t>
      </w:r>
      <w:r w:rsidR="008A74EB" w:rsidRPr="00C9040A">
        <w:rPr>
          <w:rtl/>
        </w:rPr>
        <w:t xml:space="preserve"> « له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w:t>
      </w:r>
      <w:r w:rsidR="006D3162">
        <w:rPr>
          <w:rtl/>
        </w:rPr>
        <w:t xml:space="preserve">ه </w:t>
      </w:r>
      <w:r w:rsidR="008A74EB" w:rsidRPr="00C9040A">
        <w:rPr>
          <w:rtl/>
        </w:rPr>
        <w:t>، بر ، بف » والوافي : + « قال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ج ، ز ، بر » : « أيقطع »</w:t>
      </w:r>
      <w:r w:rsidR="008A74EB">
        <w:rPr>
          <w:rtl/>
        </w:rPr>
        <w:t>.</w:t>
      </w:r>
      <w:r w:rsidR="008A74EB" w:rsidRPr="00C9040A">
        <w:rPr>
          <w:rtl/>
        </w:rPr>
        <w:t xml:space="preserve"> وفي « </w:t>
      </w:r>
      <w:r w:rsidR="006D3162">
        <w:rPr>
          <w:rtl/>
        </w:rPr>
        <w:t xml:space="preserve">ه </w:t>
      </w:r>
      <w:r w:rsidR="008A74EB" w:rsidRPr="00C9040A">
        <w:rPr>
          <w:rtl/>
        </w:rPr>
        <w:t>» : « يقطع » بدون همزة الاستفهام. وفي « بس ، بف » : « انقطع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الوافي</w:t>
      </w:r>
      <w:r w:rsidR="008A74EB" w:rsidRPr="00C9040A">
        <w:rPr>
          <w:rtl/>
        </w:rPr>
        <w:t xml:space="preserve"> ، ج 5 ، ص 1018 ، ح 3509 ؛ </w:t>
      </w:r>
      <w:r w:rsidR="008A74EB" w:rsidRPr="00993B55">
        <w:rPr>
          <w:rStyle w:val="libFootnoteBoldChar"/>
          <w:rtl/>
        </w:rPr>
        <w:t>الوسائل</w:t>
      </w:r>
      <w:r w:rsidR="008A74EB" w:rsidRPr="00C9040A">
        <w:rPr>
          <w:rtl/>
        </w:rPr>
        <w:t xml:space="preserve"> ، ج 15 ، ص 324 ، ح 20642 ؛ </w:t>
      </w:r>
      <w:r w:rsidR="008A74EB" w:rsidRPr="00993B55">
        <w:rPr>
          <w:rStyle w:val="libFootnoteBoldChar"/>
          <w:rtl/>
        </w:rPr>
        <w:t>البحار</w:t>
      </w:r>
      <w:r w:rsidR="008A74EB" w:rsidRPr="00C9040A">
        <w:rPr>
          <w:rtl/>
        </w:rPr>
        <w:t xml:space="preserve"> ، ج 69 ، ص 197 ، ح 15.</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هكذا في أكثر النسخ. وفي « جر » : « عنه »</w:t>
      </w:r>
      <w:r w:rsidR="008A74EB">
        <w:rPr>
          <w:rtl/>
        </w:rPr>
        <w:t>.</w:t>
      </w:r>
      <w:r w:rsidR="008A74EB" w:rsidRPr="00C9040A">
        <w:rPr>
          <w:rtl/>
        </w:rPr>
        <w:t xml:space="preserve"> وفي المطبوع : + « بن إبراهيم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w:t>
      </w:r>
      <w:r w:rsidR="006D3162">
        <w:rPr>
          <w:rtl/>
        </w:rPr>
        <w:t xml:space="preserve">ه </w:t>
      </w:r>
      <w:r w:rsidR="008A74EB" w:rsidRPr="00C9040A">
        <w:rPr>
          <w:rtl/>
        </w:rPr>
        <w:t>» : « عبيدة »</w:t>
      </w:r>
      <w:r w:rsidR="008A74EB">
        <w:rPr>
          <w:rtl/>
        </w:rPr>
        <w:t>.</w:t>
      </w:r>
      <w:r w:rsidR="008A74EB" w:rsidRPr="00C9040A">
        <w:rPr>
          <w:rtl/>
        </w:rPr>
        <w:t xml:space="preserve"> وتقدّم في ذيل ح 2448 تعدّد الضبط في لفظة « عبدة » ، فراجع. وفي المحاسن وثواب‌الأعمال : « فقيل له » بدل « فقال له محمّد بن عبدة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 ب ، ز » وحاشية « بر » : + « الرجل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ب » وحاشية « بر » والمحاسن : + « إذا »</w:t>
      </w:r>
      <w:r w:rsidR="008A74EB">
        <w:rPr>
          <w:rtl/>
        </w:rPr>
        <w:t>.</w:t>
      </w:r>
      <w:r w:rsidR="008A74EB" w:rsidRPr="00C9040A">
        <w:rPr>
          <w:rtl/>
        </w:rPr>
        <w:t xml:space="preserve"> وفي « </w:t>
      </w:r>
      <w:r w:rsidR="006D3162">
        <w:rPr>
          <w:rtl/>
        </w:rPr>
        <w:t xml:space="preserve">ه </w:t>
      </w:r>
      <w:r w:rsidR="008A74EB" w:rsidRPr="00C9040A">
        <w:rPr>
          <w:rtl/>
        </w:rPr>
        <w:t>، بر ، بف » : « فإن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 </w:t>
      </w:r>
      <w:r w:rsidR="006D3162">
        <w:rPr>
          <w:rtl/>
        </w:rPr>
        <w:t xml:space="preserve">ه </w:t>
      </w:r>
      <w:r w:rsidR="008A74EB" w:rsidRPr="00C9040A">
        <w:rPr>
          <w:rtl/>
        </w:rPr>
        <w:t>» وحاشية « د ، بر » وثواب الأعمال : « من يهمّ »</w:t>
      </w:r>
      <w:r w:rsidR="008A74EB">
        <w:rPr>
          <w:rtl/>
        </w:rPr>
        <w:t>.</w:t>
      </w:r>
    </w:p>
    <w:p w:rsidR="008A74EB" w:rsidRPr="00C9040A" w:rsidRDefault="006C577F" w:rsidP="00FF11FE">
      <w:pPr>
        <w:pStyle w:val="libFootnote0"/>
        <w:rPr>
          <w:rtl/>
          <w:lang w:bidi="fa-IR"/>
        </w:rPr>
      </w:pPr>
      <w:r>
        <w:rPr>
          <w:rtl/>
        </w:rPr>
        <w:t>(11).</w:t>
      </w:r>
      <w:r w:rsidR="008A74EB" w:rsidRPr="00C9040A">
        <w:rPr>
          <w:rtl/>
        </w:rPr>
        <w:t xml:space="preserve"> </w:t>
      </w:r>
      <w:r w:rsidR="008A74EB" w:rsidRPr="00993B55">
        <w:rPr>
          <w:rStyle w:val="libFootnoteBoldChar"/>
          <w:rtl/>
        </w:rPr>
        <w:t>المحاسن</w:t>
      </w:r>
      <w:r w:rsidR="008A74EB" w:rsidRPr="00C9040A">
        <w:rPr>
          <w:rtl/>
        </w:rPr>
        <w:t xml:space="preserve"> ، ص 107 ، كتاب عقاب الأعمال ، ح 93 ، عن ابن أبي عمير. </w:t>
      </w:r>
      <w:r w:rsidR="008A74EB" w:rsidRPr="00993B55">
        <w:rPr>
          <w:rStyle w:val="libFootnoteBoldChar"/>
          <w:rtl/>
        </w:rPr>
        <w:t>ثواب الأعمال</w:t>
      </w:r>
      <w:r w:rsidR="008A74EB" w:rsidRPr="00C9040A">
        <w:rPr>
          <w:rtl/>
        </w:rPr>
        <w:t xml:space="preserve"> ، ص 312 ، ح 3 ، عن أبيه ، عن عليّ بن إبراهيم ، عن أبيه ، عن محمّد بن أبي عمير</w:t>
      </w:r>
      <w:r w:rsidR="00FF11FE">
        <w:rPr>
          <w:rFonts w:hint="cs"/>
          <w:rtl/>
        </w:rPr>
        <w:t>.</w:t>
      </w:r>
      <w:r w:rsidR="008A74EB" w:rsidRPr="00993B55">
        <w:rPr>
          <w:rStyle w:val="libFootnoteBoldChar"/>
          <w:rtl/>
        </w:rPr>
        <w:t>الوافي</w:t>
      </w:r>
      <w:r w:rsidR="008A74EB" w:rsidRPr="00C9040A">
        <w:rPr>
          <w:rtl/>
        </w:rPr>
        <w:t xml:space="preserve"> ، ج 5 ، ص 1018 ، ح 3508.</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أَبِي بَصِيرٍ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سَمِعْتُهُ يَقُولُ : « الْكَبَائِرُ سَبْعَةٌ </w:t>
      </w:r>
      <w:r w:rsidR="006C577F" w:rsidRPr="006C577F">
        <w:rPr>
          <w:rStyle w:val="libFootnotenumChar"/>
          <w:rtl/>
        </w:rPr>
        <w:t>(1)</w:t>
      </w:r>
      <w:r w:rsidRPr="00C9040A">
        <w:rPr>
          <w:rtl/>
          <w:lang w:bidi="fa-IR"/>
        </w:rPr>
        <w:t xml:space="preserve"> : مِنْهَا : قَتْلُ النَّفْسِ مُتَعَمِّداً ، وَالشِّرْكُ بِاللهِ الْعَظِيمِ ، وَقَذْفُ الْمُحْصَنَةِ ، وَأَكْلُ الرِّبَا بَعْدَ الْبَيِّنَةِ ، وَالْفِرَارُ مِنَ الزَّحْفِ ، وَالتَّعَرُّبُ بَعْدَ الْهِجْرَةِ ، وَعُقُوقُ الْوَالِدَيْنِ ، وَأَكْلُ مَالِ الْيَتِيمِ ظُلْماً »</w:t>
      </w:r>
      <w:r>
        <w:rPr>
          <w:rtl/>
          <w:lang w:bidi="fa-IR"/>
        </w:rPr>
        <w:t>.</w:t>
      </w:r>
    </w:p>
    <w:p w:rsidR="008A74EB" w:rsidRPr="00C9040A" w:rsidRDefault="008A74EB" w:rsidP="008A74EB">
      <w:pPr>
        <w:pStyle w:val="libNormal"/>
        <w:rPr>
          <w:rtl/>
          <w:lang w:bidi="fa-IR"/>
        </w:rPr>
      </w:pPr>
      <w:r w:rsidRPr="00C9040A">
        <w:rPr>
          <w:rtl/>
          <w:lang w:bidi="fa-IR"/>
        </w:rPr>
        <w:t>قَالَ : « وَالتَّعَرُّبُ وَالشِّرْكُ وَاحِدٌ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602254">
        <w:rPr>
          <w:rtl/>
        </w:rPr>
        <w:t>2457</w:t>
      </w:r>
      <w:r w:rsidRPr="00261CB0">
        <w:rPr>
          <w:rStyle w:val="libBold2Char"/>
          <w:rtl/>
        </w:rPr>
        <w:t xml:space="preserve"> / 16.</w:t>
      </w:r>
      <w:r w:rsidRPr="00C9040A">
        <w:rPr>
          <w:rtl/>
          <w:lang w:bidi="fa-IR"/>
        </w:rPr>
        <w:t xml:space="preserve"> أَبَانٌ </w:t>
      </w:r>
      <w:r w:rsidR="006C577F" w:rsidRPr="006C577F">
        <w:rPr>
          <w:rStyle w:val="libFootnotenumChar"/>
          <w:rtl/>
        </w:rPr>
        <w:t>(3)</w:t>
      </w:r>
      <w:r w:rsidRPr="00C9040A">
        <w:rPr>
          <w:rtl/>
          <w:lang w:bidi="fa-IR"/>
        </w:rPr>
        <w:t xml:space="preserve"> ، عَنْ زِيَادٍ الْكُنَاسِيِّ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وَالَّذِي </w:t>
      </w:r>
      <w:r w:rsidR="006C577F" w:rsidRPr="006C577F">
        <w:rPr>
          <w:rStyle w:val="libFootnotenumChar"/>
          <w:rtl/>
        </w:rPr>
        <w:t>(4)</w:t>
      </w:r>
      <w:r w:rsidRPr="00C9040A">
        <w:rPr>
          <w:rtl/>
          <w:lang w:bidi="fa-IR"/>
        </w:rPr>
        <w:t xml:space="preserve"> إِذَا دَعَاهُ أَبُوهُ لَعَنَ أَبَاهُ ، وَالَّذِي إِذَا أَجَابَهُ ابْنُهُ يَضْرِبُهُ</w:t>
      </w:r>
      <w:r w:rsidR="006C577F" w:rsidRPr="006C577F">
        <w:rPr>
          <w:rStyle w:val="libFootnotenumChar"/>
          <w:rtl/>
        </w:rPr>
        <w:t>(5)</w:t>
      </w:r>
      <w:r w:rsidRPr="00C9040A">
        <w:rPr>
          <w:rtl/>
          <w:lang w:bidi="fa-IR"/>
        </w:rPr>
        <w:t>»</w:t>
      </w:r>
      <w:r>
        <w:rPr>
          <w:rtl/>
          <w:lang w:bidi="fa-IR"/>
        </w:rPr>
        <w:t>.</w:t>
      </w:r>
      <w:r w:rsidR="006C577F" w:rsidRPr="006C577F">
        <w:rPr>
          <w:rStyle w:val="libFootnotenumChar"/>
          <w:rtl/>
        </w:rPr>
        <w:t>(6)</w:t>
      </w:r>
      <w:r w:rsidRPr="00C9040A">
        <w:rPr>
          <w:rtl/>
          <w:lang w:bidi="fa-IR"/>
        </w:rPr>
        <w:t>‌</w:t>
      </w:r>
    </w:p>
    <w:p w:rsidR="008A74EB" w:rsidRPr="00C9040A" w:rsidRDefault="008A74EB" w:rsidP="008A74EB">
      <w:pPr>
        <w:pStyle w:val="libNormal"/>
        <w:rPr>
          <w:rtl/>
          <w:lang w:bidi="fa-IR"/>
        </w:rPr>
      </w:pPr>
      <w:r w:rsidRPr="00602254">
        <w:rPr>
          <w:rtl/>
        </w:rPr>
        <w:t>2458</w:t>
      </w:r>
      <w:r w:rsidRPr="00261CB0">
        <w:rPr>
          <w:rStyle w:val="libBold2Char"/>
          <w:rtl/>
        </w:rPr>
        <w:t xml:space="preserve"> / 17.</w:t>
      </w:r>
      <w:r w:rsidRPr="00C9040A">
        <w:rPr>
          <w:rtl/>
          <w:lang w:bidi="fa-IR"/>
        </w:rPr>
        <w:t xml:space="preserve"> عِدَّةٌ مِنْ أَصْحَابِنَا ، عَنْ أَحْمَدَ بْنِ مُحَمَّدِ بْنِ خَالِدٍ ، عَنْ أَبِيهِ رَفَعَهُ ، عَنْ مُحَمَّدِ بْنِ دَاوُدَ الْغَنَوِيِّ </w:t>
      </w:r>
      <w:r w:rsidR="006C577F" w:rsidRPr="006C577F">
        <w:rPr>
          <w:rStyle w:val="libFootnotenumChar"/>
          <w:rtl/>
        </w:rPr>
        <w:t>(7)</w:t>
      </w:r>
      <w:r w:rsidRPr="00C9040A">
        <w:rPr>
          <w:rtl/>
          <w:lang w:bidi="fa-IR"/>
        </w:rPr>
        <w:t xml:space="preserve"> ، عَنِ الْأَصْبَغِ بْنِ نُبَاتَةَ ، قَالَ :</w:t>
      </w:r>
    </w:p>
    <w:p w:rsidR="008A74EB" w:rsidRPr="00C9040A" w:rsidRDefault="008A74EB" w:rsidP="008A74EB">
      <w:pPr>
        <w:pStyle w:val="libNormal"/>
        <w:rPr>
          <w:rtl/>
          <w:lang w:bidi="fa-IR"/>
        </w:rPr>
      </w:pPr>
      <w:r w:rsidRPr="00C9040A">
        <w:rPr>
          <w:rtl/>
          <w:lang w:bidi="fa-IR"/>
        </w:rPr>
        <w:t xml:space="preserve">جَاءَ رَجُلٌ إِلى أَمِيرِ الْمُؤْمِنِينَ صَلَوَاتُ اللهِ عَلَيْهِ ، فَقَالَ : يَا أَمِيرَ الْمُؤْمِنِينَ ، إِنَّ نَاساً </w:t>
      </w:r>
      <w:r w:rsidR="006C577F" w:rsidRPr="006C577F">
        <w:rPr>
          <w:rStyle w:val="libFootnotenumChar"/>
          <w:rtl/>
        </w:rPr>
        <w:t>(8)</w:t>
      </w:r>
      <w:r w:rsidRPr="00C9040A">
        <w:rPr>
          <w:rtl/>
          <w:lang w:bidi="fa-IR"/>
        </w:rPr>
        <w:t xml:space="preserve"> زَعَمُوا أَنَّ الْعَبْدَ لَايَزْنِي وَهُوَ مُؤْمِنٌ ، وَلَايَسْرِقُ وَهُوَ مُؤْمِنٌ ، وَلَايَشْرَبُ الْخَمْرَ وَهُوَ‌</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w:t>
      </w:r>
      <w:r w:rsidR="008A74EB" w:rsidRPr="00993B55">
        <w:rPr>
          <w:rStyle w:val="libFootnoteBoldChar"/>
          <w:rtl/>
        </w:rPr>
        <w:t>مرآة العقول</w:t>
      </w:r>
      <w:r w:rsidR="008A74EB" w:rsidRPr="00C9040A">
        <w:rPr>
          <w:rtl/>
        </w:rPr>
        <w:t xml:space="preserve"> ، ج 10 ، ص 28 : « سبعة ، كأنّ التاء بتأويل « الكبيرة » بالذنب إن لم يكن من تصحيف النسّاخ. وقيل : « الكبائر » مبتدأ ، </w:t>
      </w:r>
      <w:r w:rsidR="008A74EB">
        <w:rPr>
          <w:rtl/>
        </w:rPr>
        <w:t>و «</w:t>
      </w:r>
      <w:r w:rsidR="008A74EB" w:rsidRPr="00C9040A">
        <w:rPr>
          <w:rtl/>
        </w:rPr>
        <w:t xml:space="preserve"> سبعة » مبتدأ ثانٍ ، </w:t>
      </w:r>
      <w:r w:rsidR="008A74EB">
        <w:rPr>
          <w:rtl/>
        </w:rPr>
        <w:t>و «</w:t>
      </w:r>
      <w:r w:rsidR="008A74EB" w:rsidRPr="00C9040A">
        <w:rPr>
          <w:rtl/>
        </w:rPr>
        <w:t xml:space="preserve"> منها » صفة للسبعة ، </w:t>
      </w:r>
      <w:r w:rsidR="008A74EB">
        <w:rPr>
          <w:rtl/>
        </w:rPr>
        <w:t>و «</w:t>
      </w:r>
      <w:r w:rsidR="008A74EB" w:rsidRPr="00C9040A">
        <w:rPr>
          <w:rtl/>
        </w:rPr>
        <w:t xml:space="preserve"> قتل » خبر المبتدأ الثاني ، والجملة خبر المبتدأ الأوّل. ولايخلو من وجه »</w:t>
      </w:r>
      <w:r w:rsidR="008A74EB">
        <w:rPr>
          <w:rtl/>
        </w:rPr>
        <w:t>.</w:t>
      </w:r>
    </w:p>
    <w:p w:rsidR="008A74EB" w:rsidRPr="00C9040A" w:rsidRDefault="006C577F" w:rsidP="00FF11FE">
      <w:pPr>
        <w:pStyle w:val="libFootnote0"/>
        <w:rPr>
          <w:rtl/>
          <w:lang w:bidi="fa-IR"/>
        </w:rPr>
      </w:pPr>
      <w:r>
        <w:rPr>
          <w:rtl/>
        </w:rPr>
        <w:t>(2).</w:t>
      </w:r>
      <w:r w:rsidR="008A74EB">
        <w:rPr>
          <w:rtl/>
        </w:rPr>
        <w:t xml:space="preserve"> </w:t>
      </w:r>
      <w:r w:rsidR="008A74EB" w:rsidRPr="00993B55">
        <w:rPr>
          <w:rStyle w:val="libFootnoteBoldChar"/>
          <w:rtl/>
        </w:rPr>
        <w:t>تفسير العيّاشي</w:t>
      </w:r>
      <w:r w:rsidR="008A74EB" w:rsidRPr="00C9040A">
        <w:rPr>
          <w:rtl/>
        </w:rPr>
        <w:t xml:space="preserve"> ، ج 1 ، ص 237 ، ضمن ح 104 ، عن ميّسر ، عن أبي جعفر </w:t>
      </w:r>
      <w:r w:rsidR="00117575" w:rsidRPr="00117575">
        <w:rPr>
          <w:rStyle w:val="libFootnoteAlaemChar"/>
          <w:rtl/>
        </w:rPr>
        <w:t xml:space="preserve">عليه‌السلام </w:t>
      </w:r>
      <w:r w:rsidR="008A74EB" w:rsidRPr="00C9040A">
        <w:rPr>
          <w:rtl/>
        </w:rPr>
        <w:t>، مع اختلاف يسير</w:t>
      </w:r>
      <w:r w:rsidR="00FF11FE">
        <w:rPr>
          <w:rFonts w:hint="cs"/>
          <w:rtl/>
        </w:rPr>
        <w:t>.</w:t>
      </w:r>
      <w:r w:rsidR="008A74EB" w:rsidRPr="00993B55">
        <w:rPr>
          <w:rStyle w:val="libFootnoteBoldChar"/>
          <w:rtl/>
        </w:rPr>
        <w:t>الوافي</w:t>
      </w:r>
      <w:r w:rsidR="008A74EB" w:rsidRPr="00C9040A">
        <w:rPr>
          <w:rtl/>
        </w:rPr>
        <w:t xml:space="preserve"> ، ج 5 ، ص 1051 ، ح 3574 ؛ </w:t>
      </w:r>
      <w:r w:rsidR="008A74EB" w:rsidRPr="00993B55">
        <w:rPr>
          <w:rStyle w:val="libFootnoteBoldChar"/>
          <w:rtl/>
        </w:rPr>
        <w:t>الوسائل</w:t>
      </w:r>
      <w:r w:rsidR="008A74EB" w:rsidRPr="00C9040A">
        <w:rPr>
          <w:rtl/>
        </w:rPr>
        <w:t xml:space="preserve"> ، ج 15 ، ص 324 ، ح 20643.</w:t>
      </w:r>
    </w:p>
    <w:p w:rsidR="008A74EB" w:rsidRPr="00C9040A" w:rsidRDefault="006C577F" w:rsidP="004A4E41">
      <w:pPr>
        <w:pStyle w:val="libFootnote0"/>
        <w:rPr>
          <w:rtl/>
          <w:lang w:bidi="fa-IR"/>
        </w:rPr>
      </w:pPr>
      <w:r>
        <w:rPr>
          <w:rtl/>
        </w:rPr>
        <w:t>(3).</w:t>
      </w:r>
      <w:r w:rsidR="008A74EB" w:rsidRPr="00C9040A">
        <w:rPr>
          <w:rtl/>
        </w:rPr>
        <w:t xml:space="preserve"> السند معلّق على سابقه. ويروي عن أبان ، الحسين بن محمّد ، عن معلّى بن محمّد ، عن الوشّاء.</w:t>
      </w:r>
    </w:p>
    <w:p w:rsidR="008A74EB" w:rsidRPr="00C9040A" w:rsidRDefault="006C577F" w:rsidP="004A4E41">
      <w:pPr>
        <w:pStyle w:val="libFootnote0"/>
        <w:rPr>
          <w:rtl/>
          <w:lang w:bidi="fa-IR"/>
        </w:rPr>
      </w:pPr>
      <w:r>
        <w:rPr>
          <w:rtl/>
        </w:rPr>
        <w:t>(4).</w:t>
      </w:r>
      <w:r w:rsidR="008A74EB" w:rsidRPr="00C9040A">
        <w:rPr>
          <w:rtl/>
        </w:rPr>
        <w:t xml:space="preserve"> في « ز » : « فالذي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w:t>
      </w:r>
      <w:r w:rsidR="008A74EB" w:rsidRPr="00993B55">
        <w:rPr>
          <w:rStyle w:val="libFootnoteBoldChar"/>
          <w:rtl/>
        </w:rPr>
        <w:t>الوافي</w:t>
      </w:r>
      <w:r w:rsidR="008A74EB" w:rsidRPr="00C9040A">
        <w:rPr>
          <w:rtl/>
        </w:rPr>
        <w:t xml:space="preserve"> : « لعلّ أبان روى الرواية السابقة تارة ا</w:t>
      </w:r>
      <w:r w:rsidR="00FF11FE">
        <w:rPr>
          <w:rFonts w:hint="cs"/>
          <w:rtl/>
        </w:rPr>
        <w:t>ُ</w:t>
      </w:r>
      <w:r w:rsidR="008A74EB" w:rsidRPr="00C9040A">
        <w:rPr>
          <w:rtl/>
        </w:rPr>
        <w:t>خرى عن الكناسي وزاد في آخرها هذه الزيادة. والأمران من أفراد العقوق. وفيه تنبيه على أنّ العقوق قد يكون من جانب الوالد أيضاً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الوافي</w:t>
      </w:r>
      <w:r w:rsidR="008A74EB" w:rsidRPr="00C9040A">
        <w:rPr>
          <w:rtl/>
        </w:rPr>
        <w:t xml:space="preserve"> ، ج 5 ، ص 1052 ، ح 3575 ؛ </w:t>
      </w:r>
      <w:r w:rsidR="008A74EB" w:rsidRPr="00993B55">
        <w:rPr>
          <w:rStyle w:val="libFootnoteBoldChar"/>
          <w:rtl/>
        </w:rPr>
        <w:t>الوسائل</w:t>
      </w:r>
      <w:r w:rsidR="008A74EB" w:rsidRPr="00C9040A">
        <w:rPr>
          <w:rtl/>
        </w:rPr>
        <w:t xml:space="preserve"> ، ج 15 ، ص 325 ، ح 20644.</w:t>
      </w:r>
    </w:p>
    <w:p w:rsidR="008A74EB" w:rsidRPr="00C9040A" w:rsidRDefault="006C577F" w:rsidP="004A4E41">
      <w:pPr>
        <w:pStyle w:val="libFootnote0"/>
        <w:rPr>
          <w:rtl/>
          <w:lang w:bidi="fa-IR"/>
        </w:rPr>
      </w:pPr>
      <w:r>
        <w:rPr>
          <w:rtl/>
        </w:rPr>
        <w:t>(7).</w:t>
      </w:r>
      <w:r w:rsidR="008A74EB" w:rsidRPr="00C9040A">
        <w:rPr>
          <w:rtl/>
        </w:rPr>
        <w:t xml:space="preserve"> في « بس ، جر » : « العنوي »</w:t>
      </w:r>
      <w:r w:rsidR="008A74EB">
        <w:rPr>
          <w:rtl/>
        </w:rPr>
        <w:t>.</w:t>
      </w:r>
      <w:r w:rsidR="008A74EB" w:rsidRPr="00C9040A">
        <w:rPr>
          <w:rtl/>
        </w:rPr>
        <w:t xml:space="preserve"> والمذكور في الأنساب هو الغَنَوي. راجع : </w:t>
      </w:r>
      <w:r w:rsidR="008A74EB" w:rsidRPr="00993B55">
        <w:rPr>
          <w:rStyle w:val="libFootnoteBoldChar"/>
          <w:rtl/>
        </w:rPr>
        <w:t>الأنساب</w:t>
      </w:r>
      <w:r w:rsidR="008A74EB" w:rsidRPr="00C9040A">
        <w:rPr>
          <w:rtl/>
        </w:rPr>
        <w:t xml:space="preserve"> للسمعاني ، ج 4 ، ص 315.</w:t>
      </w:r>
    </w:p>
    <w:p w:rsidR="008A74EB" w:rsidRPr="00C9040A" w:rsidRDefault="006C577F" w:rsidP="004A4E41">
      <w:pPr>
        <w:pStyle w:val="libFootnote0"/>
        <w:rPr>
          <w:rtl/>
          <w:lang w:bidi="fa-IR"/>
        </w:rPr>
      </w:pPr>
      <w:r>
        <w:rPr>
          <w:rtl/>
        </w:rPr>
        <w:t>(8).</w:t>
      </w:r>
      <w:r w:rsidR="008A74EB" w:rsidRPr="00C9040A">
        <w:rPr>
          <w:rtl/>
        </w:rPr>
        <w:t xml:space="preserve"> في « </w:t>
      </w:r>
      <w:r w:rsidR="006D3162">
        <w:rPr>
          <w:rtl/>
        </w:rPr>
        <w:t xml:space="preserve">ه </w:t>
      </w:r>
      <w:r w:rsidR="008A74EB" w:rsidRPr="00C9040A">
        <w:rPr>
          <w:rtl/>
        </w:rPr>
        <w:t>» : « ا</w:t>
      </w:r>
      <w:r w:rsidR="00FF11FE">
        <w:rPr>
          <w:rFonts w:hint="cs"/>
          <w:rtl/>
        </w:rPr>
        <w:t>ُ</w:t>
      </w:r>
      <w:r w:rsidR="008A74EB" w:rsidRPr="00C9040A">
        <w:rPr>
          <w:rtl/>
        </w:rPr>
        <w:t>ناساً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AE2BC3">
        <w:rPr>
          <w:rtl/>
        </w:rPr>
        <w:t>مُؤْمِنٌ ،</w:t>
      </w:r>
      <w:r w:rsidRPr="00C9040A">
        <w:rPr>
          <w:rtl/>
          <w:lang w:bidi="fa-IR"/>
        </w:rPr>
        <w:t xml:space="preserve"> وَلَايَأْكُلُ الرِّبَا وَهُوَ مُؤْمِنٌ ، وَلَايَسْفِكُ الدَّمَ الْحَرَامَ وَهُوَ مُؤْمِنٌ ، فَقَدْ ثَقُلَ عَلَيَّ هذَا </w:t>
      </w:r>
      <w:r w:rsidR="006C577F" w:rsidRPr="006C577F">
        <w:rPr>
          <w:rStyle w:val="libFootnotenumChar"/>
          <w:rtl/>
        </w:rPr>
        <w:t>(1)</w:t>
      </w:r>
      <w:r w:rsidRPr="00C9040A">
        <w:rPr>
          <w:rtl/>
          <w:lang w:bidi="fa-IR"/>
        </w:rPr>
        <w:t xml:space="preserve"> وَحَرِجَ </w:t>
      </w:r>
      <w:r w:rsidR="006C577F" w:rsidRPr="006C577F">
        <w:rPr>
          <w:rStyle w:val="libFootnotenumChar"/>
          <w:rtl/>
        </w:rPr>
        <w:t>(2)</w:t>
      </w:r>
      <w:r w:rsidRPr="00C9040A">
        <w:rPr>
          <w:rtl/>
          <w:lang w:bidi="fa-IR"/>
        </w:rPr>
        <w:t xml:space="preserve"> مِنْهُ صَدْرِي حِينَ أَزْعُمُ أَنَّ هذَا الْعَبْدَ يُصَلِّي صَلَاتِي ، وَيَدْعُو دُعَائِي ، وَيُنَاكِحُنِي وَأُنَاكِحُهُ ، وَيُوَارِثُنِي وَأُوَارِثُهُ ، وَقَدْ خَرَجَ مِنَ الْإِيمَانِ مِنْ أَجْلِ ذَنْبٍ يَسِيرٍ أَصَابَهُ</w:t>
      </w:r>
      <w:r>
        <w:rPr>
          <w:rtl/>
          <w:lang w:bidi="fa-IR"/>
        </w:rPr>
        <w:t>؟</w:t>
      </w:r>
    </w:p>
    <w:p w:rsidR="008A74EB" w:rsidRPr="00C9040A" w:rsidRDefault="008A74EB" w:rsidP="008A74EB">
      <w:pPr>
        <w:pStyle w:val="libNormal"/>
        <w:rPr>
          <w:rtl/>
          <w:lang w:bidi="fa-IR"/>
        </w:rPr>
      </w:pPr>
      <w:r w:rsidRPr="00C9040A">
        <w:rPr>
          <w:rtl/>
          <w:lang w:bidi="fa-IR"/>
        </w:rPr>
        <w:t xml:space="preserve">فَقَالَ أَمِيرُ الْمُؤْمِنِينَ صَلَوَاتُ اللهِ عَلَيْهِ : « صَدَقْتَ </w:t>
      </w:r>
      <w:r w:rsidR="006C577F" w:rsidRPr="006C577F">
        <w:rPr>
          <w:rStyle w:val="libFootnotenumChar"/>
          <w:rtl/>
        </w:rPr>
        <w:t>(3)</w:t>
      </w:r>
      <w:r w:rsidRPr="00C9040A">
        <w:rPr>
          <w:rtl/>
          <w:lang w:bidi="fa-IR"/>
        </w:rPr>
        <w:t xml:space="preserve"> ، سَمِعْتُ رَسُولَ اللهِ </w:t>
      </w:r>
      <w:r w:rsidR="004A4E41" w:rsidRPr="004A4E41">
        <w:rPr>
          <w:rStyle w:val="libAlaemChar"/>
          <w:rtl/>
        </w:rPr>
        <w:t>صلى‌الله‌عليه‌وآله</w:t>
      </w:r>
      <w:r w:rsidRPr="00C9040A">
        <w:rPr>
          <w:rtl/>
          <w:lang w:bidi="fa-IR"/>
        </w:rPr>
        <w:t xml:space="preserve"> يَقُولُ </w:t>
      </w:r>
      <w:r w:rsidR="006C577F" w:rsidRPr="006C577F">
        <w:rPr>
          <w:rStyle w:val="libFootnotenumChar"/>
          <w:rtl/>
        </w:rPr>
        <w:t>(4)</w:t>
      </w:r>
      <w:r w:rsidRPr="00C9040A">
        <w:rPr>
          <w:rtl/>
          <w:lang w:bidi="fa-IR"/>
        </w:rPr>
        <w:t xml:space="preserve"> :</w:t>
      </w:r>
      <w:r>
        <w:rPr>
          <w:rFonts w:hint="cs"/>
          <w:rtl/>
          <w:lang w:bidi="fa-IR"/>
        </w:rPr>
        <w:t xml:space="preserve"> </w:t>
      </w:r>
      <w:r w:rsidRPr="00C9040A">
        <w:rPr>
          <w:rtl/>
          <w:lang w:bidi="fa-IR"/>
        </w:rPr>
        <w:t xml:space="preserve">وَالدَّلِيلُ عَلَيْهِ </w:t>
      </w:r>
      <w:r w:rsidR="006C577F" w:rsidRPr="006C577F">
        <w:rPr>
          <w:rStyle w:val="libFootnotenumChar"/>
          <w:rtl/>
        </w:rPr>
        <w:t>(5)</w:t>
      </w:r>
      <w:r w:rsidRPr="00C9040A">
        <w:rPr>
          <w:rtl/>
          <w:lang w:bidi="fa-IR"/>
        </w:rPr>
        <w:t xml:space="preserve"> كِتَابُ اللهِ ، خَلَقَ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النَّاسَ عَلى ثَلَاثِ طَبَقَاتٍ ، وَأَنْزَلَهُمْ </w:t>
      </w:r>
      <w:r w:rsidR="006C577F" w:rsidRPr="006C577F">
        <w:rPr>
          <w:rStyle w:val="libFootnotenumChar"/>
          <w:rtl/>
        </w:rPr>
        <w:t>(6)</w:t>
      </w:r>
      <w:r w:rsidRPr="005B567D">
        <w:rPr>
          <w:rStyle w:val="libFootnotenumChar"/>
          <w:rtl/>
        </w:rPr>
        <w:t xml:space="preserve"> </w:t>
      </w:r>
      <w:r w:rsidRPr="00C9040A">
        <w:rPr>
          <w:rtl/>
          <w:lang w:bidi="fa-IR"/>
        </w:rPr>
        <w:t>ثَلَاثَ مَنَازِلَ ، وَذلِكَ قَوْلُ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فِي الْكِتَابِ </w:t>
      </w:r>
      <w:r w:rsidR="006C577F" w:rsidRPr="006C577F">
        <w:rPr>
          <w:rStyle w:val="libFootnotenumChar"/>
          <w:rtl/>
        </w:rPr>
        <w:t>(7)</w:t>
      </w:r>
      <w:r w:rsidRPr="00C9040A">
        <w:rPr>
          <w:rtl/>
          <w:lang w:bidi="fa-IR"/>
        </w:rPr>
        <w:t xml:space="preserve"> : </w:t>
      </w:r>
      <w:r w:rsidRPr="0003660B">
        <w:rPr>
          <w:rStyle w:val="libAlaemChar"/>
          <w:rtl/>
        </w:rPr>
        <w:t>(</w:t>
      </w:r>
      <w:r w:rsidRPr="006A2246">
        <w:rPr>
          <w:rStyle w:val="libAieChar"/>
          <w:rtl/>
        </w:rPr>
        <w:t xml:space="preserve"> أَصْح</w:t>
      </w:r>
      <w:r w:rsidR="00FF11FE">
        <w:rPr>
          <w:rStyle w:val="libAieChar"/>
          <w:rFonts w:hint="cs"/>
          <w:rtl/>
        </w:rPr>
        <w:t>َ</w:t>
      </w:r>
      <w:r w:rsidRPr="006A2246">
        <w:rPr>
          <w:rStyle w:val="libAieChar"/>
          <w:rtl/>
        </w:rPr>
        <w:t xml:space="preserve">ابُ الْمَيْمَنَةِ </w:t>
      </w:r>
      <w:r w:rsidRPr="0003660B">
        <w:rPr>
          <w:rStyle w:val="libAlaemChar"/>
          <w:rtl/>
        </w:rPr>
        <w:t>)</w:t>
      </w:r>
      <w:r w:rsidRPr="00C9040A">
        <w:rPr>
          <w:rtl/>
          <w:lang w:bidi="fa-IR"/>
        </w:rPr>
        <w:t xml:space="preserve"> ، </w:t>
      </w:r>
      <w:r w:rsidRPr="0003660B">
        <w:rPr>
          <w:rStyle w:val="libAlaemChar"/>
          <w:rtl/>
        </w:rPr>
        <w:t>(</w:t>
      </w:r>
      <w:r w:rsidRPr="006A2246">
        <w:rPr>
          <w:rStyle w:val="libAieChar"/>
          <w:rtl/>
        </w:rPr>
        <w:t xml:space="preserve"> وَأَصْح</w:t>
      </w:r>
      <w:r w:rsidR="00FF11FE">
        <w:rPr>
          <w:rStyle w:val="libAieChar"/>
          <w:rFonts w:hint="cs"/>
          <w:rtl/>
        </w:rPr>
        <w:t>َ</w:t>
      </w:r>
      <w:r w:rsidRPr="006A2246">
        <w:rPr>
          <w:rStyle w:val="libAieChar"/>
          <w:rtl/>
        </w:rPr>
        <w:t xml:space="preserve">ابُ الْمَشْئَمَةِ </w:t>
      </w:r>
      <w:r w:rsidRPr="0003660B">
        <w:rPr>
          <w:rStyle w:val="libAlaemChar"/>
          <w:rtl/>
        </w:rPr>
        <w:t>)</w:t>
      </w:r>
      <w:r w:rsidRPr="00C9040A">
        <w:rPr>
          <w:rtl/>
          <w:lang w:bidi="fa-IR"/>
        </w:rPr>
        <w:t xml:space="preserve"> ، </w:t>
      </w:r>
      <w:r w:rsidRPr="0003660B">
        <w:rPr>
          <w:rStyle w:val="libAlaemChar"/>
          <w:rtl/>
        </w:rPr>
        <w:t>(</w:t>
      </w:r>
      <w:r w:rsidRPr="006A2246">
        <w:rPr>
          <w:rStyle w:val="libAieChar"/>
          <w:rtl/>
        </w:rPr>
        <w:t xml:space="preserve"> وَالسّ</w:t>
      </w:r>
      <w:r w:rsidR="00FF11FE">
        <w:rPr>
          <w:rStyle w:val="libAieChar"/>
          <w:rFonts w:hint="cs"/>
          <w:rtl/>
        </w:rPr>
        <w:t>َ</w:t>
      </w:r>
      <w:r w:rsidRPr="006A2246">
        <w:rPr>
          <w:rStyle w:val="libAieChar"/>
          <w:rtl/>
        </w:rPr>
        <w:t xml:space="preserve">ابِقُونَ </w:t>
      </w:r>
      <w:r w:rsidRPr="0003660B">
        <w:rPr>
          <w:rStyle w:val="libAlaemChar"/>
          <w:rtl/>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Normal"/>
        <w:rPr>
          <w:rtl/>
          <w:lang w:bidi="fa-IR"/>
        </w:rPr>
      </w:pPr>
      <w:r w:rsidRPr="00C9040A">
        <w:rPr>
          <w:rtl/>
          <w:lang w:bidi="fa-IR"/>
        </w:rPr>
        <w:t xml:space="preserve">فَأَمَّا مَا ذَكَرَ </w:t>
      </w:r>
      <w:r w:rsidR="006C577F" w:rsidRPr="006C577F">
        <w:rPr>
          <w:rStyle w:val="libFootnotenumChar"/>
          <w:rtl/>
        </w:rPr>
        <w:t>(9)</w:t>
      </w:r>
      <w:r w:rsidRPr="00C9040A">
        <w:rPr>
          <w:rtl/>
          <w:lang w:bidi="fa-IR"/>
        </w:rPr>
        <w:t xml:space="preserve"> مِنْ أَمْرِ </w:t>
      </w:r>
      <w:r w:rsidR="006C577F" w:rsidRPr="006C577F">
        <w:rPr>
          <w:rStyle w:val="libFootnotenumChar"/>
          <w:rtl/>
        </w:rPr>
        <w:t>(10)</w:t>
      </w:r>
      <w:r w:rsidRPr="00C9040A">
        <w:rPr>
          <w:rtl/>
          <w:lang w:bidi="fa-IR"/>
        </w:rPr>
        <w:t xml:space="preserve"> السَّابِقِينَ ، فَإِنَّهُمْ </w:t>
      </w:r>
      <w:r w:rsidR="006C577F" w:rsidRPr="006C577F">
        <w:rPr>
          <w:rStyle w:val="libFootnotenumChar"/>
          <w:rtl/>
        </w:rPr>
        <w:t>(11)</w:t>
      </w:r>
      <w:r w:rsidRPr="00C9040A">
        <w:rPr>
          <w:rtl/>
          <w:lang w:bidi="fa-IR"/>
        </w:rPr>
        <w:t xml:space="preserve"> أَنْبِيَاءُ مُرْسَلُونَ وَغَيْرُ مُرْسَلِينَ ، جَعَلَ اللهُ فِيهِمْ خَمْسَةَ أَرْوَاحٍ : رُوحَ الْقُدُسِ ، وَرُوحَ الْإِيمَانِ ، وَرُوحَ الْقُوَّةِ ، وَرُوحَ الشَّهْوَةِ ، وَرُوحَ الْبَدَنِ ؛ فَبِرُوحِ الْقُدُسِ بُعِثُوا أَنْبِيَاءَ مُرْسَلِينَ </w:t>
      </w:r>
      <w:r w:rsidR="006C577F" w:rsidRPr="006C577F">
        <w:rPr>
          <w:rStyle w:val="libFootnotenumChar"/>
          <w:rtl/>
        </w:rPr>
        <w:t>(12)</w:t>
      </w:r>
      <w:r w:rsidRPr="00C9040A">
        <w:rPr>
          <w:rtl/>
          <w:lang w:bidi="fa-IR"/>
        </w:rPr>
        <w:t xml:space="preserve"> وَغَيْرَ مُرْسَلِينَ ، وَبِهَا عَلِمُوا الْأَشْيَاءَ ؛ وَبِرُوحِ الْإِيمَانِ عَبَدُوا اللهَ ، وَلَمْ يُشْرِكُوا بِهِ شَيْئاً </w:t>
      </w:r>
      <w:r w:rsidRPr="005B567D">
        <w:rPr>
          <w:rStyle w:val="libFootnotenumChar"/>
          <w:rtl/>
        </w:rPr>
        <w:t>(13)</w:t>
      </w:r>
      <w:r w:rsidRPr="00C9040A">
        <w:rPr>
          <w:rtl/>
          <w:lang w:bidi="fa-IR"/>
        </w:rPr>
        <w:t xml:space="preserve"> ؛ وَبِرُوحِ الْقُوَّةِ جَاهَدُوا عَدُوَّهُمْ ، وَعَالَجُوا مَعَاشَهُمْ </w:t>
      </w:r>
      <w:r w:rsidRPr="005B567D">
        <w:rPr>
          <w:rStyle w:val="libFootnotenumChar"/>
          <w:rtl/>
        </w:rPr>
        <w:t>(14)</w:t>
      </w:r>
      <w:r w:rsidRPr="00C9040A">
        <w:rPr>
          <w:rtl/>
          <w:lang w:bidi="fa-IR"/>
        </w:rPr>
        <w:t xml:space="preserve"> ؛ وَبِرُوحِ الشَّهْوَةِ أَصَابُوا لَذِيذَ الطَّعَامِ ، وَنَكَحُوا الْحَلَالَ مِنْ شَبَابِ‌</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ج » </w:t>
      </w:r>
      <w:r w:rsidR="008A74EB">
        <w:rPr>
          <w:rtl/>
        </w:rPr>
        <w:t xml:space="preserve">: </w:t>
      </w:r>
      <w:r w:rsidR="0084262C">
        <w:rPr>
          <w:rtl/>
        </w:rPr>
        <w:t>-</w:t>
      </w:r>
      <w:r w:rsidR="008A74EB" w:rsidRPr="00C9040A">
        <w:rPr>
          <w:rtl/>
        </w:rPr>
        <w:t xml:space="preserve"> « هذا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ج ، ص ، بف » : « وجرح »</w:t>
      </w:r>
      <w:r w:rsidR="008A74EB">
        <w:rPr>
          <w:rtl/>
        </w:rPr>
        <w:t>.</w:t>
      </w:r>
    </w:p>
    <w:p w:rsidR="008A74EB" w:rsidRPr="00C9040A" w:rsidRDefault="006C577F" w:rsidP="00FF11FE">
      <w:pPr>
        <w:pStyle w:val="libFootnote0"/>
        <w:rPr>
          <w:rtl/>
          <w:lang w:bidi="fa-IR"/>
        </w:rPr>
      </w:pPr>
      <w:r>
        <w:rPr>
          <w:rtl/>
        </w:rPr>
        <w:t>(3).</w:t>
      </w:r>
      <w:r w:rsidR="008A74EB" w:rsidRPr="00C9040A">
        <w:rPr>
          <w:rtl/>
        </w:rPr>
        <w:t xml:space="preserve"> في </w:t>
      </w:r>
      <w:r w:rsidR="008A74EB" w:rsidRPr="00993B55">
        <w:rPr>
          <w:rStyle w:val="libFootnoteBoldChar"/>
          <w:rtl/>
        </w:rPr>
        <w:t>الوافي</w:t>
      </w:r>
      <w:r w:rsidR="008A74EB" w:rsidRPr="00C9040A">
        <w:rPr>
          <w:rtl/>
        </w:rPr>
        <w:t xml:space="preserve"> : « صُدِقتَ ، على البناء للمفعول ، أي صدقوك فيما زعموا »</w:t>
      </w:r>
      <w:r w:rsidR="008A74EB">
        <w:rPr>
          <w:rtl/>
        </w:rPr>
        <w:t>.</w:t>
      </w:r>
      <w:r w:rsidR="008A74EB" w:rsidRPr="00C9040A">
        <w:rPr>
          <w:rtl/>
        </w:rPr>
        <w:t xml:space="preserve"> وفي </w:t>
      </w:r>
      <w:r w:rsidR="008A74EB" w:rsidRPr="00993B55">
        <w:rPr>
          <w:rStyle w:val="libFootnoteBoldChar"/>
          <w:rtl/>
        </w:rPr>
        <w:t>مرآةالعقول</w:t>
      </w:r>
      <w:r w:rsidR="008A74EB" w:rsidRPr="00C9040A">
        <w:rPr>
          <w:rtl/>
        </w:rPr>
        <w:t xml:space="preserve"> : « صدقت ، على بناءالمعلوم المخاطب</w:t>
      </w:r>
      <w:r w:rsidR="008A74EB">
        <w:rPr>
          <w:rtl/>
        </w:rPr>
        <w:t xml:space="preserve"> ..</w:t>
      </w:r>
      <w:r w:rsidR="008A74EB" w:rsidRPr="00C9040A">
        <w:rPr>
          <w:rtl/>
        </w:rPr>
        <w:t>. أو المعلوم الغائب »</w:t>
      </w:r>
      <w:r w:rsidR="008A74EB">
        <w:rPr>
          <w:rtl/>
        </w:rPr>
        <w:t>.</w:t>
      </w:r>
      <w:r w:rsidR="00FF11FE">
        <w:rPr>
          <w:rFonts w:hint="cs"/>
          <w:rtl/>
        </w:rPr>
        <w:t xml:space="preserve">             </w:t>
      </w:r>
      <w:r w:rsidR="00C822D0">
        <w:rPr>
          <w:rFonts w:hint="cs"/>
          <w:rtl/>
        </w:rPr>
        <w:t xml:space="preserve">  </w:t>
      </w:r>
      <w:r w:rsidR="00FF11FE">
        <w:rPr>
          <w:rFonts w:hint="cs"/>
          <w:rtl/>
        </w:rPr>
        <w:t xml:space="preserve"> </w:t>
      </w:r>
      <w:r w:rsidR="00EB274A">
        <w:rPr>
          <w:rFonts w:hint="cs"/>
          <w:rtl/>
        </w:rPr>
        <w:t xml:space="preserve"> </w:t>
      </w:r>
      <w:r>
        <w:rPr>
          <w:rtl/>
        </w:rPr>
        <w:t>(4).</w:t>
      </w:r>
      <w:r w:rsidR="008A74EB" w:rsidRPr="00C9040A">
        <w:rPr>
          <w:rtl/>
        </w:rPr>
        <w:t xml:space="preserve"> مفعول « يقول » محذوف ، أي يقول ذلك.</w:t>
      </w:r>
    </w:p>
    <w:tbl>
      <w:tblPr>
        <w:tblStyle w:val="TableGrid"/>
        <w:bidiVisual/>
        <w:tblW w:w="0" w:type="auto"/>
        <w:tblLook w:val="04A0" w:firstRow="1" w:lastRow="0" w:firstColumn="1" w:lastColumn="0" w:noHBand="0" w:noVBand="1"/>
      </w:tblPr>
      <w:tblGrid>
        <w:gridCol w:w="4006"/>
        <w:gridCol w:w="4006"/>
      </w:tblGrid>
      <w:tr w:rsidR="00EB274A" w:rsidTr="00EB274A">
        <w:tc>
          <w:tcPr>
            <w:tcW w:w="4006" w:type="dxa"/>
          </w:tcPr>
          <w:p w:rsidR="00EB274A" w:rsidRDefault="00EB274A" w:rsidP="004A4E41">
            <w:pPr>
              <w:pStyle w:val="libFootnote0"/>
              <w:rPr>
                <w:rtl/>
              </w:rPr>
            </w:pPr>
            <w:r>
              <w:rPr>
                <w:rtl/>
              </w:rPr>
              <w:t>(5).</w:t>
            </w:r>
            <w:r w:rsidRPr="00C9040A">
              <w:rPr>
                <w:rtl/>
              </w:rPr>
              <w:t xml:space="preserve"> في الوسائل </w:t>
            </w:r>
            <w:r>
              <w:rPr>
                <w:rtl/>
              </w:rPr>
              <w:t>: -</w:t>
            </w:r>
            <w:r w:rsidRPr="00C9040A">
              <w:rPr>
                <w:rtl/>
              </w:rPr>
              <w:t xml:space="preserve"> « عليه »</w:t>
            </w:r>
            <w:r>
              <w:rPr>
                <w:rtl/>
              </w:rPr>
              <w:t>.</w:t>
            </w:r>
          </w:p>
        </w:tc>
        <w:tc>
          <w:tcPr>
            <w:tcW w:w="4006" w:type="dxa"/>
          </w:tcPr>
          <w:p w:rsidR="00EB274A" w:rsidRDefault="00EB274A" w:rsidP="004A4E41">
            <w:pPr>
              <w:pStyle w:val="libFootnote0"/>
              <w:rPr>
                <w:rtl/>
              </w:rPr>
            </w:pPr>
            <w:r>
              <w:rPr>
                <w:rtl/>
              </w:rPr>
              <w:t xml:space="preserve">(6). </w:t>
            </w:r>
            <w:r w:rsidRPr="00C9040A">
              <w:rPr>
                <w:rtl/>
              </w:rPr>
              <w:t>في « ب » : « فأنزلهم »</w:t>
            </w:r>
            <w:r>
              <w:rPr>
                <w:rtl/>
              </w:rPr>
              <w:t>.</w:t>
            </w:r>
          </w:p>
        </w:tc>
      </w:tr>
      <w:tr w:rsidR="00EB274A" w:rsidTr="00EB274A">
        <w:tc>
          <w:tcPr>
            <w:tcW w:w="4006" w:type="dxa"/>
          </w:tcPr>
          <w:p w:rsidR="00EB274A" w:rsidRDefault="00EB274A" w:rsidP="004A4E41">
            <w:pPr>
              <w:pStyle w:val="libFootnote0"/>
              <w:rPr>
                <w:rtl/>
              </w:rPr>
            </w:pPr>
            <w:r>
              <w:rPr>
                <w:rtl/>
              </w:rPr>
              <w:t>(7).</w:t>
            </w:r>
            <w:r w:rsidRPr="00C9040A">
              <w:rPr>
                <w:rtl/>
              </w:rPr>
              <w:t xml:space="preserve"> في « </w:t>
            </w:r>
            <w:r>
              <w:rPr>
                <w:rtl/>
              </w:rPr>
              <w:t xml:space="preserve">ه </w:t>
            </w:r>
            <w:r w:rsidRPr="00C9040A">
              <w:rPr>
                <w:rtl/>
              </w:rPr>
              <w:t>» : « وذلك قوله عزّوجلّ في كتابه »</w:t>
            </w:r>
            <w:r>
              <w:rPr>
                <w:rtl/>
              </w:rPr>
              <w:t>.</w:t>
            </w:r>
          </w:p>
        </w:tc>
        <w:tc>
          <w:tcPr>
            <w:tcW w:w="4006" w:type="dxa"/>
          </w:tcPr>
          <w:p w:rsidR="00EB274A" w:rsidRDefault="00EB274A" w:rsidP="004A4E41">
            <w:pPr>
              <w:pStyle w:val="libFootnote0"/>
              <w:rPr>
                <w:rtl/>
              </w:rPr>
            </w:pPr>
            <w:r>
              <w:rPr>
                <w:rtl/>
              </w:rPr>
              <w:t>(8).</w:t>
            </w:r>
            <w:r w:rsidRPr="00C9040A">
              <w:rPr>
                <w:rtl/>
              </w:rPr>
              <w:t xml:space="preserve"> الواقعة (56) : 8</w:t>
            </w:r>
            <w:r>
              <w:rPr>
                <w:rtl/>
              </w:rPr>
              <w:t xml:space="preserve"> - </w:t>
            </w:r>
            <w:r w:rsidRPr="00C9040A">
              <w:rPr>
                <w:rtl/>
              </w:rPr>
              <w:t>10.</w:t>
            </w:r>
          </w:p>
        </w:tc>
      </w:tr>
    </w:tbl>
    <w:p w:rsidR="008A74EB" w:rsidRPr="00C9040A" w:rsidRDefault="006C577F" w:rsidP="004A4E41">
      <w:pPr>
        <w:pStyle w:val="libFootnote0"/>
        <w:rPr>
          <w:rtl/>
          <w:lang w:bidi="fa-IR"/>
        </w:rPr>
      </w:pPr>
      <w:r>
        <w:rPr>
          <w:rtl/>
        </w:rPr>
        <w:t>(9).</w:t>
      </w:r>
      <w:r w:rsidR="008A74EB" w:rsidRPr="00C9040A">
        <w:rPr>
          <w:rtl/>
        </w:rPr>
        <w:t xml:space="preserve"> في « د ، ز ، بس ، بف » والوافي والبحار : « ما ذكره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 </w:t>
      </w:r>
      <w:r w:rsidR="006D3162">
        <w:rPr>
          <w:rtl/>
        </w:rPr>
        <w:t xml:space="preserve">ه </w:t>
      </w:r>
      <w:r w:rsidR="008A74EB" w:rsidRPr="00C9040A">
        <w:rPr>
          <w:rtl/>
        </w:rPr>
        <w:t xml:space="preserve">» </w:t>
      </w:r>
      <w:r w:rsidR="008A74EB">
        <w:rPr>
          <w:rtl/>
        </w:rPr>
        <w:t xml:space="preserve">: </w:t>
      </w:r>
      <w:r w:rsidR="0084262C">
        <w:rPr>
          <w:rtl/>
        </w:rPr>
        <w:t>-</w:t>
      </w:r>
      <w:r w:rsidR="008A74EB" w:rsidRPr="00C9040A">
        <w:rPr>
          <w:rtl/>
        </w:rPr>
        <w:t xml:space="preserve"> « أمر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في </w:t>
      </w:r>
      <w:r w:rsidR="008A74EB" w:rsidRPr="00993B55">
        <w:rPr>
          <w:rStyle w:val="libFootnoteBoldChar"/>
          <w:rtl/>
        </w:rPr>
        <w:t>مرآة العقول</w:t>
      </w:r>
      <w:r w:rsidR="008A74EB" w:rsidRPr="00C9040A">
        <w:rPr>
          <w:rtl/>
        </w:rPr>
        <w:t xml:space="preserve"> : « فإنّهم ، بكسر الهمزة وقد يقرأ بفتحها ، فلأنّهم أنبياء »</w:t>
      </w:r>
      <w:r w:rsidR="008A74EB">
        <w:rPr>
          <w:rtl/>
        </w:rPr>
        <w:t>.</w:t>
      </w:r>
    </w:p>
    <w:tbl>
      <w:tblPr>
        <w:tblStyle w:val="TableGrid"/>
        <w:bidiVisual/>
        <w:tblW w:w="0" w:type="auto"/>
        <w:tblLook w:val="04A0" w:firstRow="1" w:lastRow="0" w:firstColumn="1" w:lastColumn="0" w:noHBand="0" w:noVBand="1"/>
      </w:tblPr>
      <w:tblGrid>
        <w:gridCol w:w="4006"/>
        <w:gridCol w:w="4006"/>
      </w:tblGrid>
      <w:tr w:rsidR="000D1578" w:rsidTr="000D1578">
        <w:tc>
          <w:tcPr>
            <w:tcW w:w="4006" w:type="dxa"/>
          </w:tcPr>
          <w:p w:rsidR="000D1578" w:rsidRDefault="000D1578" w:rsidP="004A4E41">
            <w:pPr>
              <w:pStyle w:val="libFootnote0"/>
              <w:rPr>
                <w:rtl/>
              </w:rPr>
            </w:pPr>
            <w:r>
              <w:rPr>
                <w:rtl/>
              </w:rPr>
              <w:t>(12).</w:t>
            </w:r>
            <w:r w:rsidRPr="00C9040A">
              <w:rPr>
                <w:rtl/>
              </w:rPr>
              <w:t xml:space="preserve"> في « ص » : « المرسلين »</w:t>
            </w:r>
            <w:r>
              <w:rPr>
                <w:rtl/>
              </w:rPr>
              <w:t>.</w:t>
            </w:r>
          </w:p>
        </w:tc>
        <w:tc>
          <w:tcPr>
            <w:tcW w:w="4006" w:type="dxa"/>
          </w:tcPr>
          <w:p w:rsidR="000D1578" w:rsidRDefault="000D1578" w:rsidP="004A4E41">
            <w:pPr>
              <w:pStyle w:val="libFootnote0"/>
              <w:rPr>
                <w:rtl/>
              </w:rPr>
            </w:pPr>
            <w:r>
              <w:rPr>
                <w:rtl/>
              </w:rPr>
              <w:t>(13)</w:t>
            </w:r>
            <w:r w:rsidRPr="00C9040A">
              <w:rPr>
                <w:rtl/>
              </w:rPr>
              <w:t xml:space="preserve"> في « </w:t>
            </w:r>
            <w:r>
              <w:rPr>
                <w:rtl/>
              </w:rPr>
              <w:t xml:space="preserve">ه </w:t>
            </w:r>
            <w:r w:rsidRPr="00C9040A">
              <w:rPr>
                <w:rtl/>
              </w:rPr>
              <w:t xml:space="preserve">» </w:t>
            </w:r>
            <w:r>
              <w:rPr>
                <w:rtl/>
              </w:rPr>
              <w:t>: -</w:t>
            </w:r>
            <w:r w:rsidRPr="00C9040A">
              <w:rPr>
                <w:rtl/>
              </w:rPr>
              <w:t xml:space="preserve"> « وبروح الإيمان</w:t>
            </w:r>
            <w:r>
              <w:rPr>
                <w:rtl/>
              </w:rPr>
              <w:t xml:space="preserve"> - </w:t>
            </w:r>
            <w:r w:rsidRPr="00C9040A">
              <w:rPr>
                <w:rtl/>
              </w:rPr>
              <w:t>إلى</w:t>
            </w:r>
            <w:r>
              <w:rPr>
                <w:rtl/>
              </w:rPr>
              <w:t xml:space="preserve"> - </w:t>
            </w:r>
            <w:r w:rsidRPr="00C9040A">
              <w:rPr>
                <w:rtl/>
              </w:rPr>
              <w:t>شيئاً »</w:t>
            </w:r>
            <w:r>
              <w:rPr>
                <w:rtl/>
              </w:rPr>
              <w:t>.</w:t>
            </w:r>
          </w:p>
        </w:tc>
      </w:tr>
    </w:tbl>
    <w:p w:rsidR="008A74EB" w:rsidRPr="00C9040A" w:rsidRDefault="008A74EB" w:rsidP="004A4E41">
      <w:pPr>
        <w:pStyle w:val="libFootnote0"/>
        <w:rPr>
          <w:rtl/>
          <w:lang w:bidi="fa-IR"/>
        </w:rPr>
      </w:pPr>
      <w:r>
        <w:rPr>
          <w:rtl/>
        </w:rPr>
        <w:t>(14)</w:t>
      </w:r>
      <w:r w:rsidRPr="00C9040A">
        <w:rPr>
          <w:rtl/>
        </w:rPr>
        <w:t xml:space="preserve"> في « ب » : « معاشرهم »</w:t>
      </w:r>
      <w:r>
        <w:rPr>
          <w:rtl/>
        </w:rPr>
        <w:t>.</w:t>
      </w:r>
      <w:r w:rsidRPr="00C9040A">
        <w:rPr>
          <w:rtl/>
        </w:rPr>
        <w:t xml:space="preserve"> وفي « </w:t>
      </w:r>
      <w:r w:rsidR="006D3162">
        <w:rPr>
          <w:rtl/>
        </w:rPr>
        <w:t xml:space="preserve">ه </w:t>
      </w:r>
      <w:r w:rsidRPr="00C9040A">
        <w:rPr>
          <w:rtl/>
        </w:rPr>
        <w:t>» وحاشية « بف » : « معايشهم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النِّسَاءِ </w:t>
      </w:r>
      <w:r w:rsidR="006C577F" w:rsidRPr="006C577F">
        <w:rPr>
          <w:rStyle w:val="libFootnotenumChar"/>
          <w:rtl/>
        </w:rPr>
        <w:t>(1)</w:t>
      </w:r>
      <w:r w:rsidRPr="00C9040A">
        <w:rPr>
          <w:rtl/>
          <w:lang w:bidi="fa-IR"/>
        </w:rPr>
        <w:t xml:space="preserve"> ؛ وَبِرُوحِ الْبَدَنِ دَبُّوا </w:t>
      </w:r>
      <w:r w:rsidR="006C577F" w:rsidRPr="006C577F">
        <w:rPr>
          <w:rStyle w:val="libFootnotenumChar"/>
          <w:rtl/>
        </w:rPr>
        <w:t>(2)</w:t>
      </w:r>
      <w:r w:rsidRPr="00C9040A">
        <w:rPr>
          <w:rtl/>
          <w:lang w:bidi="fa-IR"/>
        </w:rPr>
        <w:t xml:space="preserve"> وَدَرَجُوا </w:t>
      </w:r>
      <w:r w:rsidR="006C577F" w:rsidRPr="006C577F">
        <w:rPr>
          <w:rStyle w:val="libFootnotenumChar"/>
          <w:rtl/>
        </w:rPr>
        <w:t>(3)</w:t>
      </w:r>
      <w:r w:rsidRPr="00C9040A">
        <w:rPr>
          <w:rtl/>
          <w:lang w:bidi="fa-IR"/>
        </w:rPr>
        <w:t xml:space="preserve"> ؛ فَهؤُلَاءِ مَغْفُورٌ لَهُمْ ، مَصْفُوحٌ عَنْ ذُنُوبِهِمْ </w:t>
      </w:r>
      <w:r w:rsidR="006C577F" w:rsidRPr="006C577F">
        <w:rPr>
          <w:rStyle w:val="libFootnotenumChar"/>
          <w:rtl/>
        </w:rPr>
        <w:t>(4)</w:t>
      </w:r>
      <w:r w:rsidRPr="00C9040A">
        <w:rPr>
          <w:rtl/>
          <w:lang w:bidi="fa-IR"/>
        </w:rPr>
        <w:t xml:space="preserve"> »</w:t>
      </w:r>
      <w:r>
        <w:rPr>
          <w:rtl/>
          <w:lang w:bidi="fa-IR"/>
        </w:rPr>
        <w:t>.</w:t>
      </w:r>
    </w:p>
    <w:p w:rsidR="008A74EB" w:rsidRPr="00C9040A" w:rsidRDefault="008A74EB" w:rsidP="008A74EB">
      <w:pPr>
        <w:pStyle w:val="libNormal"/>
        <w:rPr>
          <w:rtl/>
          <w:lang w:bidi="fa-IR"/>
        </w:rPr>
      </w:pPr>
      <w:r w:rsidRPr="00C9040A">
        <w:rPr>
          <w:rtl/>
          <w:lang w:bidi="fa-IR"/>
        </w:rPr>
        <w:t xml:space="preserve">ثُمَّ قَالَ : « قَالَ اللهُ عَزَّ وَجَلَّ : </w:t>
      </w:r>
      <w:r w:rsidRPr="0003660B">
        <w:rPr>
          <w:rStyle w:val="libAlaemChar"/>
          <w:rtl/>
        </w:rPr>
        <w:t>(</w:t>
      </w:r>
      <w:r w:rsidRPr="006A2246">
        <w:rPr>
          <w:rStyle w:val="libAieChar"/>
          <w:rtl/>
        </w:rPr>
        <w:t xml:space="preserve"> تِلْكَ الرُّسُلُ فَضَّلْنا بَعْضَهُمْ عَلى بَعْضٍ مِنْهُمْ مَنْ كَلَّمَ اللهُ وَرَفَعَ بَعْضَهُمْ دَرَجاتٍ وَآتَيْنا عِيسَى ابْنَ مَرْيَمَ الْبَيِّناتِ وَأَيَّدْناهُ بِرُوحِ الْقُدُسِ </w:t>
      </w:r>
      <w:r w:rsidRPr="0003660B">
        <w:rPr>
          <w:rStyle w:val="libAlaemChar"/>
          <w:rtl/>
        </w:rPr>
        <w:t>)</w:t>
      </w:r>
      <w:r w:rsidRPr="00C9040A">
        <w:rPr>
          <w:rtl/>
          <w:lang w:bidi="fa-IR"/>
        </w:rPr>
        <w:t xml:space="preserve"> </w:t>
      </w:r>
      <w:r w:rsidR="006C577F" w:rsidRPr="006C577F">
        <w:rPr>
          <w:rStyle w:val="libFootnotenumChar"/>
          <w:rtl/>
        </w:rPr>
        <w:t>(5)</w:t>
      </w:r>
      <w:r w:rsidRPr="00C9040A">
        <w:rPr>
          <w:rtl/>
          <w:lang w:bidi="fa-IR"/>
        </w:rPr>
        <w:t xml:space="preserve"> ثُمَّ قَالَ فِي جَمَاعَتِهِمْ : </w:t>
      </w:r>
      <w:r w:rsidRPr="0003660B">
        <w:rPr>
          <w:rStyle w:val="libAlaemChar"/>
          <w:rtl/>
        </w:rPr>
        <w:t>(</w:t>
      </w:r>
      <w:r w:rsidRPr="006A2246">
        <w:rPr>
          <w:rStyle w:val="libAieChar"/>
          <w:rtl/>
        </w:rPr>
        <w:t xml:space="preserve"> وَأَيَّدَهُمْ بِرُوحٍ مِنْهُ </w:t>
      </w:r>
      <w:r w:rsidRPr="0003660B">
        <w:rPr>
          <w:rStyle w:val="libAlaemChar"/>
          <w:rtl/>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 xml:space="preserve">يَقُولُ : أَكْرَمَهُمْ بِهَا ، فَفَضَّلَهُمْ </w:t>
      </w:r>
      <w:r w:rsidR="006C577F" w:rsidRPr="006C577F">
        <w:rPr>
          <w:rStyle w:val="libFootnotenumChar"/>
          <w:rtl/>
        </w:rPr>
        <w:t>(7)</w:t>
      </w:r>
      <w:r w:rsidRPr="00C9040A">
        <w:rPr>
          <w:rtl/>
          <w:lang w:bidi="fa-IR"/>
        </w:rPr>
        <w:t xml:space="preserve"> عَلى مَنْ سِوَاهُمْ ؛ فَهؤُلَاءِ مَغْفُورٌ لَهُمْ ، مَصْفُوحٌ عَنْ ذُنُوبِهِمْ.</w:t>
      </w:r>
    </w:p>
    <w:p w:rsidR="008A74EB" w:rsidRPr="00C9040A" w:rsidRDefault="008A74EB" w:rsidP="000D1578">
      <w:pPr>
        <w:pStyle w:val="libNormal"/>
        <w:rPr>
          <w:rtl/>
          <w:lang w:bidi="fa-IR"/>
        </w:rPr>
      </w:pPr>
      <w:r w:rsidRPr="00C9040A">
        <w:rPr>
          <w:rtl/>
          <w:lang w:bidi="fa-IR"/>
        </w:rPr>
        <w:t>ثُمَّ ذَكَرَ أَصْحَابَ الْمَيْمَنَةِ</w:t>
      </w:r>
      <w:r>
        <w:rPr>
          <w:rtl/>
          <w:lang w:bidi="fa-IR"/>
        </w:rPr>
        <w:t xml:space="preserve"> </w:t>
      </w:r>
      <w:r w:rsidR="0084262C">
        <w:rPr>
          <w:rtl/>
          <w:lang w:bidi="fa-IR"/>
        </w:rPr>
        <w:t>-</w:t>
      </w:r>
      <w:r>
        <w:rPr>
          <w:rtl/>
          <w:lang w:bidi="fa-IR"/>
        </w:rPr>
        <w:t xml:space="preserve"> </w:t>
      </w:r>
      <w:r w:rsidRPr="00C9040A">
        <w:rPr>
          <w:rtl/>
          <w:lang w:bidi="fa-IR"/>
        </w:rPr>
        <w:t xml:space="preserve">وَهُمُ الْمُؤْمِنُونَ </w:t>
      </w:r>
      <w:r w:rsidR="006C577F" w:rsidRPr="006C577F">
        <w:rPr>
          <w:rStyle w:val="libFootnotenumChar"/>
          <w:rtl/>
        </w:rPr>
        <w:t>(8)</w:t>
      </w:r>
      <w:r w:rsidRPr="00C9040A">
        <w:rPr>
          <w:rtl/>
          <w:lang w:bidi="fa-IR"/>
        </w:rPr>
        <w:t xml:space="preserve"> حَقّاً</w:t>
      </w:r>
      <w:r>
        <w:rPr>
          <w:rtl/>
          <w:lang w:bidi="fa-IR"/>
        </w:rPr>
        <w:t xml:space="preserve"> </w:t>
      </w:r>
      <w:r w:rsidR="0084262C">
        <w:rPr>
          <w:rtl/>
          <w:lang w:bidi="fa-IR"/>
        </w:rPr>
        <w:t>-</w:t>
      </w:r>
      <w:r>
        <w:rPr>
          <w:rtl/>
          <w:lang w:bidi="fa-IR"/>
        </w:rPr>
        <w:t xml:space="preserve"> </w:t>
      </w:r>
      <w:r w:rsidRPr="00C9040A">
        <w:rPr>
          <w:rtl/>
          <w:lang w:bidi="fa-IR"/>
        </w:rPr>
        <w:t xml:space="preserve">بِأَعْيَانِهِمْ ، جَعَلَ اللهُ فِيهِمْ أَرْبَعَةَ أَرْوَاحٍ : رُوحَ الْإِيمَانِ ، وَرُوحَ الْقُوَّةِ ، وَرُوحَ الشَّهْوَةِ ، وَرُوحَ الْبَدَنِ ؛ فَلَا يَزَالُ الْعَبْدُ يَسْتَكْمِلُ </w:t>
      </w:r>
      <w:r w:rsidR="006C577F" w:rsidRPr="006C577F">
        <w:rPr>
          <w:rStyle w:val="libFootnotenumChar"/>
          <w:rtl/>
        </w:rPr>
        <w:t>(9)</w:t>
      </w:r>
      <w:r w:rsidRPr="00C9040A">
        <w:rPr>
          <w:rtl/>
          <w:lang w:bidi="fa-IR"/>
        </w:rPr>
        <w:t xml:space="preserve"> هذِهِ الْأَرْوَاحَ الْأَرْبَعَةَ حَتّى تَأْتِيَ </w:t>
      </w:r>
      <w:r w:rsidR="006C577F" w:rsidRPr="006C577F">
        <w:rPr>
          <w:rStyle w:val="libFootnotenumChar"/>
          <w:rtl/>
        </w:rPr>
        <w:t>(10)</w:t>
      </w:r>
      <w:r w:rsidRPr="00C9040A">
        <w:rPr>
          <w:rtl/>
          <w:lang w:bidi="fa-IR"/>
        </w:rPr>
        <w:t xml:space="preserve"> عَلَيْهِ حَالَاتٌ »</w:t>
      </w:r>
      <w:r>
        <w:rPr>
          <w:rtl/>
          <w:lang w:bidi="fa-IR"/>
        </w:rPr>
        <w:t>.</w:t>
      </w:r>
    </w:p>
    <w:p w:rsidR="008A74EB" w:rsidRPr="00C9040A" w:rsidRDefault="008A74EB" w:rsidP="008A74EB">
      <w:pPr>
        <w:pStyle w:val="libNormal"/>
        <w:rPr>
          <w:rtl/>
          <w:lang w:bidi="fa-IR"/>
        </w:rPr>
      </w:pPr>
      <w:r w:rsidRPr="00C9040A">
        <w:rPr>
          <w:rtl/>
          <w:lang w:bidi="fa-IR"/>
        </w:rPr>
        <w:t>فَقَالَ الرَّجُلُ : يَا أَمِيرَ الْمُؤْمِنِينَ ، مَا هذِهِ الْحَالَاتُ</w:t>
      </w:r>
      <w:r>
        <w:rPr>
          <w:rtl/>
          <w:lang w:bidi="fa-IR"/>
        </w:rPr>
        <w:t>؟</w:t>
      </w:r>
    </w:p>
    <w:p w:rsidR="008A74EB" w:rsidRPr="00C9040A" w:rsidRDefault="008A74EB" w:rsidP="008A74EB">
      <w:pPr>
        <w:pStyle w:val="libNormal"/>
        <w:rPr>
          <w:rtl/>
          <w:lang w:bidi="fa-IR"/>
        </w:rPr>
      </w:pPr>
      <w:r w:rsidRPr="00C9040A">
        <w:rPr>
          <w:rtl/>
          <w:lang w:bidi="fa-IR"/>
        </w:rPr>
        <w:t xml:space="preserve">فَقَالَ : « أَمَّا أُولَاهُنَّ </w:t>
      </w:r>
      <w:r w:rsidR="006C577F" w:rsidRPr="006C577F">
        <w:rPr>
          <w:rStyle w:val="libFootnotenumChar"/>
          <w:rtl/>
        </w:rPr>
        <w:t>(11)</w:t>
      </w:r>
      <w:r w:rsidRPr="00C9040A">
        <w:rPr>
          <w:rtl/>
          <w:lang w:bidi="fa-IR"/>
        </w:rPr>
        <w:t xml:space="preserve"> ، فَهُوَ </w:t>
      </w:r>
      <w:r w:rsidR="006C577F" w:rsidRPr="006C577F">
        <w:rPr>
          <w:rStyle w:val="libFootnotenumChar"/>
          <w:rtl/>
        </w:rPr>
        <w:t>(12)</w:t>
      </w:r>
      <w:r w:rsidRPr="00C9040A">
        <w:rPr>
          <w:rtl/>
          <w:lang w:bidi="fa-IR"/>
        </w:rPr>
        <w:t xml:space="preserve"> كَمَا قَالَ اللهُ عَزَّ وَجَلَّ : </w:t>
      </w:r>
      <w:r w:rsidRPr="0003660B">
        <w:rPr>
          <w:rStyle w:val="libAlaemChar"/>
          <w:rtl/>
        </w:rPr>
        <w:t>(</w:t>
      </w:r>
      <w:r w:rsidRPr="006A2246">
        <w:rPr>
          <w:rStyle w:val="libAieChar"/>
          <w:rtl/>
        </w:rPr>
        <w:t xml:space="preserve"> وَمِنْكُمْ مَنْ يُرَدُّ إِلى أَرْذَلِ الْعُمُرِ لِكَيْ لا يَعْلَمَ</w:t>
      </w:r>
      <w:r>
        <w:rPr>
          <w:rFonts w:hint="cs"/>
          <w:rtl/>
        </w:rPr>
        <w:t xml:space="preserve"> </w:t>
      </w:r>
      <w:r w:rsidRPr="005B567D">
        <w:rPr>
          <w:rStyle w:val="libFootnotenumChar"/>
          <w:rtl/>
        </w:rPr>
        <w:t>(13)</w:t>
      </w:r>
      <w:r>
        <w:rPr>
          <w:rFonts w:hint="cs"/>
          <w:rtl/>
        </w:rPr>
        <w:t xml:space="preserve"> </w:t>
      </w:r>
      <w:r w:rsidRPr="006A2246">
        <w:rPr>
          <w:rStyle w:val="libAieChar"/>
          <w:rtl/>
        </w:rPr>
        <w:t xml:space="preserve">بَعْدَ عِلْمٍ شَيْئاً </w:t>
      </w:r>
      <w:r w:rsidRPr="0003660B">
        <w:rPr>
          <w:rStyle w:val="libAlaemChar"/>
          <w:rtl/>
        </w:rPr>
        <w:t>)</w:t>
      </w:r>
      <w:r w:rsidRPr="00C9040A">
        <w:rPr>
          <w:rtl/>
          <w:lang w:bidi="fa-IR"/>
        </w:rPr>
        <w:t xml:space="preserve"> </w:t>
      </w:r>
      <w:r w:rsidRPr="005B567D">
        <w:rPr>
          <w:rStyle w:val="libFootnotenumChar"/>
          <w:rtl/>
        </w:rPr>
        <w:t>(14)</w:t>
      </w:r>
      <w:r w:rsidRPr="00C9040A">
        <w:rPr>
          <w:rtl/>
          <w:lang w:bidi="fa-IR"/>
        </w:rPr>
        <w:t xml:space="preserve"> فَهذَا يَنْتَقِصُ </w:t>
      </w:r>
      <w:r w:rsidRPr="005B567D">
        <w:rPr>
          <w:rStyle w:val="libFootnotenumChar"/>
          <w:rtl/>
        </w:rPr>
        <w:t>(15)</w:t>
      </w:r>
      <w:r w:rsidRPr="00C9040A">
        <w:rPr>
          <w:rtl/>
          <w:lang w:bidi="fa-IR"/>
        </w:rPr>
        <w:t xml:space="preserve"> مِنْهُ جَمِيعُ الْأَرْوَاحِ ، وَلَيْسَ بِالَّذِي يَخْرُجُ مِنْ دِينِ اللهِ ؛ لِأَنَّ الْفَاعِلَ بِهِ رَدَّهُ إِلى أَرْذَلِ عُمُرِهِ </w:t>
      </w:r>
      <w:r w:rsidRPr="005B567D">
        <w:rPr>
          <w:rStyle w:val="libFootnotenumChar"/>
          <w:rtl/>
        </w:rPr>
        <w:t>(16)</w:t>
      </w:r>
      <w:r w:rsidRPr="00C9040A">
        <w:rPr>
          <w:rtl/>
          <w:lang w:bidi="fa-IR"/>
        </w:rPr>
        <w:t xml:space="preserve"> ، فَهُوَ </w:t>
      </w:r>
      <w:r w:rsidRPr="005B567D">
        <w:rPr>
          <w:rStyle w:val="libFootnotenumChar"/>
          <w:rtl/>
        </w:rPr>
        <w:t>(17)</w:t>
      </w:r>
      <w:r w:rsidRPr="00C9040A">
        <w:rPr>
          <w:rtl/>
          <w:lang w:bidi="fa-IR"/>
        </w:rPr>
        <w:t xml:space="preserve"> لَايَعْرِفُ لِلصَّلَاةِ وَقْتاً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ج ، ز ، بف » وحاشية « د » : « الدنيا »</w:t>
      </w:r>
      <w:r w:rsidR="008A74EB">
        <w:rPr>
          <w:rtl/>
        </w:rPr>
        <w:t>.</w:t>
      </w:r>
      <w:r w:rsidR="008A74EB" w:rsidRPr="00C9040A">
        <w:rPr>
          <w:rtl/>
        </w:rPr>
        <w:t xml:space="preserve"> وفي « ص » : « نساء الدنيا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دبّ الصغير يدبّ دبيباً ، ودبّ الجيش دبيباً أيضاً : ساروا سَيراً ليّناً. </w:t>
      </w:r>
      <w:r w:rsidR="008A74EB" w:rsidRPr="00993B55">
        <w:rPr>
          <w:rStyle w:val="libFootnoteBoldChar"/>
          <w:rtl/>
        </w:rPr>
        <w:t>المصباح المنير</w:t>
      </w:r>
      <w:r w:rsidR="008A74EB" w:rsidRPr="00C9040A">
        <w:rPr>
          <w:rtl/>
        </w:rPr>
        <w:t xml:space="preserve"> ، ص 188 ( دبّ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ص ، بس » + « فيها »</w:t>
      </w:r>
      <w:r w:rsidR="008A74EB">
        <w:rPr>
          <w:rtl/>
        </w:rPr>
        <w:t>.</w:t>
      </w:r>
      <w:r w:rsidR="008A74EB" w:rsidRPr="00C9040A">
        <w:rPr>
          <w:rtl/>
        </w:rPr>
        <w:t xml:space="preserve"> ودَرَج دروجاً ودَرَجاناً : مشى. </w:t>
      </w:r>
      <w:r w:rsidR="008A74EB" w:rsidRPr="00993B55">
        <w:rPr>
          <w:rStyle w:val="libFootnoteBoldChar"/>
          <w:rtl/>
        </w:rPr>
        <w:t>القاموس المحيط</w:t>
      </w:r>
      <w:r w:rsidR="008A74EB" w:rsidRPr="00C9040A">
        <w:rPr>
          <w:rtl/>
        </w:rPr>
        <w:t xml:space="preserve"> ، ج 1 ، ص 293 ( درج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البصائر ، ص 447 </w:t>
      </w:r>
      <w:r w:rsidR="008A74EB">
        <w:rPr>
          <w:rtl/>
        </w:rPr>
        <w:t>و 4</w:t>
      </w:r>
      <w:r w:rsidR="008A74EB" w:rsidRPr="00C9040A">
        <w:rPr>
          <w:rtl/>
        </w:rPr>
        <w:t xml:space="preserve">49 </w:t>
      </w:r>
      <w:r w:rsidR="008A74EB">
        <w:rPr>
          <w:rtl/>
        </w:rPr>
        <w:t xml:space="preserve">: </w:t>
      </w:r>
      <w:r w:rsidR="0084262C">
        <w:rPr>
          <w:rtl/>
        </w:rPr>
        <w:t>-</w:t>
      </w:r>
      <w:r w:rsidR="008A74EB" w:rsidRPr="00C9040A">
        <w:rPr>
          <w:rtl/>
        </w:rPr>
        <w:t xml:space="preserve"> « فهؤلاء مغفور لهم ، مصفوح عن ذنوبهم »</w:t>
      </w:r>
      <w:r w:rsidR="008A74EB">
        <w:rPr>
          <w:rtl/>
        </w:rPr>
        <w:t>.</w:t>
      </w:r>
      <w:r w:rsidR="008A74EB" w:rsidRPr="00C9040A">
        <w:rPr>
          <w:rtl/>
        </w:rPr>
        <w:t xml:space="preserve"> وعلى ما في المتن كأنّ الذنب هنا ما دلّ على ترك الأولى ، أو كناية عن عدم صدورها عنهم.</w:t>
      </w:r>
    </w:p>
    <w:tbl>
      <w:tblPr>
        <w:tblStyle w:val="TableGrid"/>
        <w:bidiVisual/>
        <w:tblW w:w="0" w:type="auto"/>
        <w:tblLook w:val="04A0" w:firstRow="1" w:lastRow="0" w:firstColumn="1" w:lastColumn="0" w:noHBand="0" w:noVBand="1"/>
      </w:tblPr>
      <w:tblGrid>
        <w:gridCol w:w="4006"/>
        <w:gridCol w:w="4006"/>
      </w:tblGrid>
      <w:tr w:rsidR="000D1578" w:rsidTr="000D1578">
        <w:tc>
          <w:tcPr>
            <w:tcW w:w="4006" w:type="dxa"/>
          </w:tcPr>
          <w:p w:rsidR="000D1578" w:rsidRDefault="000D1578" w:rsidP="004A4E41">
            <w:pPr>
              <w:pStyle w:val="libFootnote0"/>
              <w:rPr>
                <w:rtl/>
              </w:rPr>
            </w:pPr>
            <w:r>
              <w:rPr>
                <w:rtl/>
              </w:rPr>
              <w:t>(5).</w:t>
            </w:r>
            <w:r w:rsidRPr="00C9040A">
              <w:rPr>
                <w:rtl/>
              </w:rPr>
              <w:t xml:space="preserve"> البقرة </w:t>
            </w:r>
            <w:r>
              <w:rPr>
                <w:rtl/>
              </w:rPr>
              <w:t>(2)</w:t>
            </w:r>
            <w:r w:rsidRPr="00C9040A">
              <w:rPr>
                <w:rtl/>
              </w:rPr>
              <w:t xml:space="preserve"> : 253.</w:t>
            </w:r>
          </w:p>
        </w:tc>
        <w:tc>
          <w:tcPr>
            <w:tcW w:w="4006" w:type="dxa"/>
          </w:tcPr>
          <w:p w:rsidR="000D1578" w:rsidRDefault="000D1578" w:rsidP="004A4E41">
            <w:pPr>
              <w:pStyle w:val="libFootnote0"/>
              <w:rPr>
                <w:rtl/>
              </w:rPr>
            </w:pPr>
            <w:r>
              <w:rPr>
                <w:rtl/>
              </w:rPr>
              <w:t xml:space="preserve">(6). </w:t>
            </w:r>
            <w:r w:rsidRPr="00C9040A">
              <w:rPr>
                <w:rtl/>
              </w:rPr>
              <w:t>المجادلة (58) : 22.</w:t>
            </w:r>
          </w:p>
        </w:tc>
      </w:tr>
      <w:tr w:rsidR="000D1578" w:rsidTr="000D1578">
        <w:tc>
          <w:tcPr>
            <w:tcW w:w="4006" w:type="dxa"/>
          </w:tcPr>
          <w:p w:rsidR="000D1578" w:rsidRDefault="000D1578" w:rsidP="004A4E41">
            <w:pPr>
              <w:pStyle w:val="libFootnote0"/>
              <w:rPr>
                <w:rtl/>
              </w:rPr>
            </w:pPr>
            <w:r>
              <w:rPr>
                <w:rtl/>
              </w:rPr>
              <w:t>(7).</w:t>
            </w:r>
            <w:r w:rsidRPr="00C9040A">
              <w:rPr>
                <w:rtl/>
              </w:rPr>
              <w:t xml:space="preserve"> في « بر » : « فضّلهم » بدون الفاء العاطفة.</w:t>
            </w:r>
          </w:p>
        </w:tc>
        <w:tc>
          <w:tcPr>
            <w:tcW w:w="4006" w:type="dxa"/>
          </w:tcPr>
          <w:p w:rsidR="000D1578" w:rsidRDefault="000D1578" w:rsidP="004A4E41">
            <w:pPr>
              <w:pStyle w:val="libFootnote0"/>
              <w:rPr>
                <w:rtl/>
              </w:rPr>
            </w:pPr>
            <w:r>
              <w:rPr>
                <w:rtl/>
              </w:rPr>
              <w:t>(8).</w:t>
            </w:r>
            <w:r w:rsidRPr="00C9040A">
              <w:rPr>
                <w:rtl/>
              </w:rPr>
              <w:t xml:space="preserve"> في « </w:t>
            </w:r>
            <w:r>
              <w:rPr>
                <w:rtl/>
              </w:rPr>
              <w:t xml:space="preserve">ه </w:t>
            </w:r>
            <w:r w:rsidRPr="00C9040A">
              <w:rPr>
                <w:rtl/>
              </w:rPr>
              <w:t>» : « المرسلون »</w:t>
            </w:r>
            <w:r>
              <w:rPr>
                <w:rtl/>
              </w:rPr>
              <w:t>.</w:t>
            </w:r>
          </w:p>
        </w:tc>
      </w:tr>
      <w:tr w:rsidR="000D1578" w:rsidTr="000D1578">
        <w:tc>
          <w:tcPr>
            <w:tcW w:w="4006" w:type="dxa"/>
          </w:tcPr>
          <w:p w:rsidR="000D1578" w:rsidRDefault="000D1578" w:rsidP="004A4E41">
            <w:pPr>
              <w:pStyle w:val="libFootnote0"/>
              <w:rPr>
                <w:rtl/>
              </w:rPr>
            </w:pPr>
            <w:r>
              <w:rPr>
                <w:rtl/>
              </w:rPr>
              <w:t>(9).</w:t>
            </w:r>
            <w:r w:rsidRPr="00C9040A">
              <w:rPr>
                <w:rtl/>
              </w:rPr>
              <w:t xml:space="preserve"> في « </w:t>
            </w:r>
            <w:r>
              <w:rPr>
                <w:rtl/>
              </w:rPr>
              <w:t xml:space="preserve">ه </w:t>
            </w:r>
            <w:r w:rsidRPr="00C9040A">
              <w:rPr>
                <w:rtl/>
              </w:rPr>
              <w:t>» : « مستكملاً »</w:t>
            </w:r>
            <w:r>
              <w:rPr>
                <w:rtl/>
              </w:rPr>
              <w:t>.</w:t>
            </w:r>
          </w:p>
        </w:tc>
        <w:tc>
          <w:tcPr>
            <w:tcW w:w="4006" w:type="dxa"/>
          </w:tcPr>
          <w:p w:rsidR="000D1578" w:rsidRDefault="000D1578" w:rsidP="004A4E41">
            <w:pPr>
              <w:pStyle w:val="libFootnote0"/>
              <w:rPr>
                <w:rtl/>
              </w:rPr>
            </w:pPr>
            <w:r>
              <w:rPr>
                <w:rtl/>
              </w:rPr>
              <w:t>(10).</w:t>
            </w:r>
            <w:r w:rsidR="001A284B">
              <w:rPr>
                <w:rtl/>
              </w:rPr>
              <w:t xml:space="preserve"> في «د،ص،بر،</w:t>
            </w:r>
            <w:r w:rsidRPr="00C9040A">
              <w:rPr>
                <w:rtl/>
              </w:rPr>
              <w:t>بف » والوافي والبحار : « يأتي »</w:t>
            </w:r>
            <w:r>
              <w:rPr>
                <w:rtl/>
              </w:rPr>
              <w:t>.</w:t>
            </w:r>
          </w:p>
        </w:tc>
      </w:tr>
      <w:tr w:rsidR="0079005A" w:rsidTr="0079005A">
        <w:tc>
          <w:tcPr>
            <w:tcW w:w="4006" w:type="dxa"/>
          </w:tcPr>
          <w:p w:rsidR="0079005A" w:rsidRDefault="0079005A" w:rsidP="004A4E41">
            <w:pPr>
              <w:pStyle w:val="libFootnote0"/>
              <w:rPr>
                <w:rtl/>
                <w:lang w:bidi="fa-IR"/>
              </w:rPr>
            </w:pPr>
            <w:r>
              <w:rPr>
                <w:rtl/>
              </w:rPr>
              <w:t>(11).</w:t>
            </w:r>
            <w:r w:rsidRPr="00C9040A">
              <w:rPr>
                <w:rtl/>
              </w:rPr>
              <w:t xml:space="preserve"> في « ب ، ج ، ص ، </w:t>
            </w:r>
            <w:r>
              <w:rPr>
                <w:rtl/>
              </w:rPr>
              <w:t xml:space="preserve">ه </w:t>
            </w:r>
            <w:r w:rsidRPr="00C9040A">
              <w:rPr>
                <w:rtl/>
              </w:rPr>
              <w:t>» والبحار : « أوّلهنّ »</w:t>
            </w:r>
            <w:r>
              <w:rPr>
                <w:rtl/>
              </w:rPr>
              <w:t>.</w:t>
            </w:r>
          </w:p>
        </w:tc>
        <w:tc>
          <w:tcPr>
            <w:tcW w:w="4006" w:type="dxa"/>
          </w:tcPr>
          <w:p w:rsidR="0079005A" w:rsidRDefault="0079005A" w:rsidP="004A4E41">
            <w:pPr>
              <w:pStyle w:val="libFootnote0"/>
              <w:rPr>
                <w:rtl/>
                <w:lang w:bidi="fa-IR"/>
              </w:rPr>
            </w:pPr>
            <w:r>
              <w:rPr>
                <w:rtl/>
              </w:rPr>
              <w:t>(12).</w:t>
            </w:r>
            <w:r w:rsidRPr="00C9040A">
              <w:rPr>
                <w:rtl/>
              </w:rPr>
              <w:t xml:space="preserve"> كذا في النسخ والأولى : « فهي »</w:t>
            </w:r>
            <w:r>
              <w:rPr>
                <w:rtl/>
              </w:rPr>
              <w:t>.</w:t>
            </w:r>
          </w:p>
        </w:tc>
      </w:tr>
    </w:tbl>
    <w:p w:rsidR="008A74EB" w:rsidRPr="00C9040A" w:rsidRDefault="008A74EB" w:rsidP="004A4E41">
      <w:pPr>
        <w:pStyle w:val="libFootnote0"/>
        <w:rPr>
          <w:rtl/>
          <w:lang w:bidi="fa-IR"/>
        </w:rPr>
      </w:pPr>
      <w:r>
        <w:rPr>
          <w:rtl/>
        </w:rPr>
        <w:t>(13)</w:t>
      </w:r>
      <w:r w:rsidRPr="00C9040A">
        <w:rPr>
          <w:rtl/>
        </w:rPr>
        <w:t xml:space="preserve"> في « ب ، </w:t>
      </w:r>
      <w:r w:rsidR="006D3162">
        <w:rPr>
          <w:rtl/>
        </w:rPr>
        <w:t xml:space="preserve">ه </w:t>
      </w:r>
      <w:r w:rsidRPr="00C9040A">
        <w:rPr>
          <w:rtl/>
        </w:rPr>
        <w:t>» : + « من »</w:t>
      </w:r>
      <w:r>
        <w:rPr>
          <w:rtl/>
        </w:rPr>
        <w:t>.</w:t>
      </w:r>
      <w:r w:rsidRPr="00C9040A">
        <w:rPr>
          <w:rtl/>
        </w:rPr>
        <w:t xml:space="preserve"> وهو كما في سورة الحجّ (22) : 5.</w:t>
      </w:r>
    </w:p>
    <w:p w:rsidR="008A74EB" w:rsidRPr="00C9040A" w:rsidRDefault="008A74EB" w:rsidP="00582B04">
      <w:pPr>
        <w:pStyle w:val="libFootnote0"/>
        <w:rPr>
          <w:rtl/>
          <w:lang w:bidi="fa-IR"/>
        </w:rPr>
      </w:pPr>
      <w:r>
        <w:rPr>
          <w:rtl/>
        </w:rPr>
        <w:t>(14)</w:t>
      </w:r>
      <w:r w:rsidRPr="00C9040A">
        <w:rPr>
          <w:rtl/>
        </w:rPr>
        <w:t xml:space="preserve"> النحل (16) : 70. سيأتي في </w:t>
      </w:r>
      <w:r w:rsidRPr="00993B55">
        <w:rPr>
          <w:rStyle w:val="libFootnoteBoldChar"/>
          <w:rtl/>
        </w:rPr>
        <w:t>الكافي</w:t>
      </w:r>
      <w:r w:rsidRPr="00C9040A">
        <w:rPr>
          <w:rtl/>
        </w:rPr>
        <w:t xml:space="preserve"> ، ح 14898 ، أنّ أرذل العمر مائة سنة. وللمزيد راجع : </w:t>
      </w:r>
      <w:r w:rsidRPr="00993B55">
        <w:rPr>
          <w:rStyle w:val="libFootnoteBoldChar"/>
          <w:rtl/>
        </w:rPr>
        <w:t>البحار</w:t>
      </w:r>
      <w:r w:rsidRPr="00C9040A">
        <w:rPr>
          <w:rtl/>
        </w:rPr>
        <w:t xml:space="preserve"> ، ج 6 ، ص 119.</w:t>
      </w:r>
      <w:r w:rsidR="00582B04">
        <w:rPr>
          <w:rFonts w:hint="cs"/>
          <w:rtl/>
        </w:rPr>
        <w:t xml:space="preserve">                                       </w:t>
      </w:r>
      <w:r w:rsidR="00C822D0">
        <w:rPr>
          <w:rFonts w:hint="cs"/>
          <w:rtl/>
        </w:rPr>
        <w:t xml:space="preserve">   </w:t>
      </w:r>
      <w:r w:rsidR="00582B04">
        <w:rPr>
          <w:rFonts w:hint="cs"/>
          <w:rtl/>
        </w:rPr>
        <w:t xml:space="preserve">     </w:t>
      </w:r>
      <w:r>
        <w:rPr>
          <w:rtl/>
        </w:rPr>
        <w:t>(15)</w:t>
      </w:r>
      <w:r w:rsidRPr="00C9040A">
        <w:rPr>
          <w:rtl/>
        </w:rPr>
        <w:t xml:space="preserve"> في « ز » : « ينقص »</w:t>
      </w:r>
      <w:r>
        <w:rPr>
          <w:rtl/>
        </w:rPr>
        <w:t>.</w:t>
      </w:r>
    </w:p>
    <w:tbl>
      <w:tblPr>
        <w:tblStyle w:val="TableGrid"/>
        <w:bidiVisual/>
        <w:tblW w:w="0" w:type="auto"/>
        <w:tblLook w:val="04A0" w:firstRow="1" w:lastRow="0" w:firstColumn="1" w:lastColumn="0" w:noHBand="0" w:noVBand="1"/>
      </w:tblPr>
      <w:tblGrid>
        <w:gridCol w:w="4006"/>
        <w:gridCol w:w="4006"/>
      </w:tblGrid>
      <w:tr w:rsidR="00582B04" w:rsidTr="00582B04">
        <w:tc>
          <w:tcPr>
            <w:tcW w:w="4006" w:type="dxa"/>
          </w:tcPr>
          <w:p w:rsidR="00582B04" w:rsidRDefault="00582B04" w:rsidP="004A4E41">
            <w:pPr>
              <w:pStyle w:val="libFootnote0"/>
              <w:rPr>
                <w:rtl/>
              </w:rPr>
            </w:pPr>
            <w:r>
              <w:rPr>
                <w:rtl/>
              </w:rPr>
              <w:t>(16)</w:t>
            </w:r>
            <w:r w:rsidRPr="00C9040A">
              <w:rPr>
                <w:rtl/>
              </w:rPr>
              <w:t xml:space="preserve"> في « </w:t>
            </w:r>
            <w:r>
              <w:rPr>
                <w:rtl/>
              </w:rPr>
              <w:t xml:space="preserve">ه </w:t>
            </w:r>
            <w:r w:rsidRPr="00C9040A">
              <w:rPr>
                <w:rtl/>
              </w:rPr>
              <w:t>، بر » والوافي والبحار : « العمر »</w:t>
            </w:r>
            <w:r>
              <w:rPr>
                <w:rtl/>
              </w:rPr>
              <w:t>.</w:t>
            </w:r>
          </w:p>
        </w:tc>
        <w:tc>
          <w:tcPr>
            <w:tcW w:w="4006" w:type="dxa"/>
          </w:tcPr>
          <w:p w:rsidR="00582B04" w:rsidRDefault="00582B04" w:rsidP="004A4E41">
            <w:pPr>
              <w:pStyle w:val="libFootnote0"/>
              <w:rPr>
                <w:rtl/>
              </w:rPr>
            </w:pPr>
            <w:r>
              <w:rPr>
                <w:rtl/>
              </w:rPr>
              <w:t>(17)</w:t>
            </w:r>
            <w:r w:rsidRPr="00C9040A">
              <w:rPr>
                <w:rtl/>
              </w:rPr>
              <w:t xml:space="preserve"> في « </w:t>
            </w:r>
            <w:r>
              <w:rPr>
                <w:rtl/>
              </w:rPr>
              <w:t xml:space="preserve">ه </w:t>
            </w:r>
            <w:r w:rsidRPr="00C9040A">
              <w:rPr>
                <w:rtl/>
              </w:rPr>
              <w:t>» : « وهو »</w:t>
            </w:r>
            <w:r>
              <w:rPr>
                <w:rtl/>
              </w:rPr>
              <w:t>.</w:t>
            </w:r>
          </w:p>
        </w:tc>
      </w:tr>
    </w:tbl>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وَ</w:t>
      </w:r>
      <w:r>
        <w:rPr>
          <w:rFonts w:hint="cs"/>
          <w:rtl/>
          <w:lang w:bidi="fa-IR"/>
        </w:rPr>
        <w:t xml:space="preserve"> </w:t>
      </w:r>
      <w:r w:rsidR="006C577F" w:rsidRPr="006C577F">
        <w:rPr>
          <w:rStyle w:val="libFootnotenumChar"/>
          <w:rtl/>
        </w:rPr>
        <w:t>(1)</w:t>
      </w:r>
      <w:r w:rsidRPr="00C9040A">
        <w:rPr>
          <w:rtl/>
          <w:lang w:bidi="fa-IR"/>
        </w:rPr>
        <w:t xml:space="preserve"> لَايَسْتَطِيعُ التَّهَجُّدَ </w:t>
      </w:r>
      <w:r w:rsidR="006C577F" w:rsidRPr="006C577F">
        <w:rPr>
          <w:rStyle w:val="libFootnotenumChar"/>
          <w:rtl/>
        </w:rPr>
        <w:t>(2)</w:t>
      </w:r>
      <w:r w:rsidRPr="00C9040A">
        <w:rPr>
          <w:rtl/>
          <w:lang w:bidi="fa-IR"/>
        </w:rPr>
        <w:t xml:space="preserve"> بِاللَّيْلِ وَلَابِالنَّهَارِ </w:t>
      </w:r>
      <w:r w:rsidR="006C577F" w:rsidRPr="006C577F">
        <w:rPr>
          <w:rStyle w:val="libFootnotenumChar"/>
          <w:rtl/>
        </w:rPr>
        <w:t>(3)</w:t>
      </w:r>
      <w:r w:rsidRPr="00C9040A">
        <w:rPr>
          <w:rtl/>
          <w:lang w:bidi="fa-IR"/>
        </w:rPr>
        <w:t xml:space="preserve"> ، وَلَا</w:t>
      </w:r>
      <w:r>
        <w:rPr>
          <w:rFonts w:hint="cs"/>
          <w:rtl/>
          <w:lang w:bidi="fa-IR"/>
        </w:rPr>
        <w:t xml:space="preserve"> </w:t>
      </w:r>
      <w:r w:rsidRPr="00C9040A">
        <w:rPr>
          <w:rtl/>
          <w:lang w:bidi="fa-IR"/>
        </w:rPr>
        <w:t>الْقِيَامَ فِي الصَّفِّ مَعَ النَّاسِ ؛ فَهذَا نُقْصَانٌ مِنْ رُوحِ الْإِيمَانِ ، وَلَيْسَ يَضُرُّهُ شَيْئاً.</w:t>
      </w:r>
    </w:p>
    <w:p w:rsidR="008A74EB" w:rsidRPr="00C9040A" w:rsidRDefault="008A74EB" w:rsidP="008A74EB">
      <w:pPr>
        <w:pStyle w:val="libNormal"/>
        <w:rPr>
          <w:rtl/>
          <w:lang w:bidi="fa-IR"/>
        </w:rPr>
      </w:pPr>
      <w:r w:rsidRPr="00C9040A">
        <w:rPr>
          <w:rtl/>
          <w:lang w:bidi="fa-IR"/>
        </w:rPr>
        <w:t xml:space="preserve">وَمِنْهُمْ </w:t>
      </w:r>
      <w:r w:rsidR="006C577F" w:rsidRPr="006C577F">
        <w:rPr>
          <w:rStyle w:val="libFootnotenumChar"/>
          <w:rtl/>
        </w:rPr>
        <w:t>(4)</w:t>
      </w:r>
      <w:r w:rsidRPr="00C9040A">
        <w:rPr>
          <w:rtl/>
          <w:lang w:bidi="fa-IR"/>
        </w:rPr>
        <w:t xml:space="preserve"> : مَنْ يَنْتَقِصُ </w:t>
      </w:r>
      <w:r w:rsidR="006C577F" w:rsidRPr="006C577F">
        <w:rPr>
          <w:rStyle w:val="libFootnotenumChar"/>
          <w:rtl/>
        </w:rPr>
        <w:t>(5)</w:t>
      </w:r>
      <w:r w:rsidRPr="00C9040A">
        <w:rPr>
          <w:rtl/>
          <w:lang w:bidi="fa-IR"/>
        </w:rPr>
        <w:t xml:space="preserve"> مِنْهُ رُوحُ الْقُوَّةِ ، فَلَا يَسْتَطِيعُ </w:t>
      </w:r>
      <w:r w:rsidR="006C577F" w:rsidRPr="006C577F">
        <w:rPr>
          <w:rStyle w:val="libFootnotenumChar"/>
          <w:rtl/>
        </w:rPr>
        <w:t>(6)</w:t>
      </w:r>
      <w:r w:rsidRPr="005B567D">
        <w:rPr>
          <w:rStyle w:val="libFootnotenumChar"/>
          <w:rtl/>
        </w:rPr>
        <w:t xml:space="preserve"> </w:t>
      </w:r>
      <w:r w:rsidRPr="00C9040A">
        <w:rPr>
          <w:rtl/>
          <w:lang w:bidi="fa-IR"/>
        </w:rPr>
        <w:t xml:space="preserve">جِهَادَ عَدُوِّهِ ، وَلَايَسْتَطِيعُ طَلَبَ الْمَعِيشَةِ </w:t>
      </w:r>
      <w:r w:rsidR="006C577F" w:rsidRPr="006C577F">
        <w:rPr>
          <w:rStyle w:val="libFootnotenumChar"/>
          <w:rtl/>
        </w:rPr>
        <w:t>(7)</w:t>
      </w:r>
      <w:r w:rsidR="0072309E" w:rsidRPr="0072309E">
        <w:rPr>
          <w:rFonts w:hint="cs"/>
          <w:rtl/>
        </w:rPr>
        <w:t>.</w:t>
      </w:r>
    </w:p>
    <w:p w:rsidR="008A74EB" w:rsidRPr="00C9040A" w:rsidRDefault="008A74EB" w:rsidP="008A74EB">
      <w:pPr>
        <w:pStyle w:val="libNormal"/>
        <w:rPr>
          <w:rtl/>
          <w:lang w:bidi="fa-IR"/>
        </w:rPr>
      </w:pPr>
      <w:r w:rsidRPr="00C9040A">
        <w:rPr>
          <w:rtl/>
          <w:lang w:bidi="fa-IR"/>
        </w:rPr>
        <w:t xml:space="preserve">وَمِنْهُمْ : مَنْ يَنْتَقِصُ </w:t>
      </w:r>
      <w:r w:rsidR="006C577F" w:rsidRPr="006C577F">
        <w:rPr>
          <w:rStyle w:val="libFootnotenumChar"/>
          <w:rtl/>
        </w:rPr>
        <w:t>(8)</w:t>
      </w:r>
      <w:r w:rsidRPr="00C9040A">
        <w:rPr>
          <w:rtl/>
          <w:lang w:bidi="fa-IR"/>
        </w:rPr>
        <w:t xml:space="preserve"> مِنْهُ </w:t>
      </w:r>
      <w:r w:rsidR="006C577F" w:rsidRPr="006C577F">
        <w:rPr>
          <w:rStyle w:val="libFootnotenumChar"/>
          <w:rtl/>
        </w:rPr>
        <w:t>(9)</w:t>
      </w:r>
      <w:r w:rsidRPr="00C9040A">
        <w:rPr>
          <w:rtl/>
          <w:lang w:bidi="fa-IR"/>
        </w:rPr>
        <w:t xml:space="preserve"> رُوحُ الشَّهْوَةِ ، فَلَوْ مَرَّتْ بِهِ أَصْبَحُ </w:t>
      </w:r>
      <w:r w:rsidR="006C577F" w:rsidRPr="006C577F">
        <w:rPr>
          <w:rStyle w:val="libFootnotenumChar"/>
          <w:rtl/>
        </w:rPr>
        <w:t>(10)</w:t>
      </w:r>
      <w:r w:rsidRPr="00C9040A">
        <w:rPr>
          <w:rtl/>
          <w:lang w:bidi="fa-IR"/>
        </w:rPr>
        <w:t xml:space="preserve"> بَنَاتِ آدَمَ لَمْ يَحِنَّ إِلَيْهَا </w:t>
      </w:r>
      <w:r w:rsidR="006C577F" w:rsidRPr="006C577F">
        <w:rPr>
          <w:rStyle w:val="libFootnotenumChar"/>
          <w:rtl/>
        </w:rPr>
        <w:t>(11)</w:t>
      </w:r>
      <w:r w:rsidRPr="00C9040A">
        <w:rPr>
          <w:rtl/>
          <w:lang w:bidi="fa-IR"/>
        </w:rPr>
        <w:t xml:space="preserve"> ، وَلَمْ يَقُمْ ، وَتَبْقى </w:t>
      </w:r>
      <w:r w:rsidR="006C577F" w:rsidRPr="006C577F">
        <w:rPr>
          <w:rStyle w:val="libFootnotenumChar"/>
          <w:rtl/>
        </w:rPr>
        <w:t>(12)</w:t>
      </w:r>
      <w:r w:rsidRPr="00C9040A">
        <w:rPr>
          <w:rtl/>
          <w:lang w:bidi="fa-IR"/>
        </w:rPr>
        <w:t xml:space="preserve"> رُوحُ الْبَدَنِ فِيهِ </w:t>
      </w:r>
      <w:r w:rsidRPr="005B567D">
        <w:rPr>
          <w:rStyle w:val="libFootnotenumChar"/>
          <w:rtl/>
        </w:rPr>
        <w:t>(13)</w:t>
      </w:r>
      <w:r w:rsidRPr="00C9040A">
        <w:rPr>
          <w:rtl/>
          <w:lang w:bidi="fa-IR"/>
        </w:rPr>
        <w:t xml:space="preserve"> ، فَهُوَ يَدِبُّ وَيَدْرُجُ حَتّى يَأْتِيَهُ مَلَكُ الْمَوْتِ ، فَهذَا الْحَالُ </w:t>
      </w:r>
      <w:r w:rsidRPr="005B567D">
        <w:rPr>
          <w:rStyle w:val="libFootnotenumChar"/>
          <w:rtl/>
        </w:rPr>
        <w:t>(14)</w:t>
      </w:r>
      <w:r w:rsidRPr="00C9040A">
        <w:rPr>
          <w:rtl/>
          <w:lang w:bidi="fa-IR"/>
        </w:rPr>
        <w:t xml:space="preserve"> خَيْرٌ </w:t>
      </w:r>
      <w:r w:rsidRPr="005B567D">
        <w:rPr>
          <w:rStyle w:val="libFootnotenumChar"/>
          <w:rtl/>
        </w:rPr>
        <w:t>(15)</w:t>
      </w:r>
      <w:r w:rsidRPr="00C9040A">
        <w:rPr>
          <w:rtl/>
          <w:lang w:bidi="fa-IR"/>
        </w:rPr>
        <w:t xml:space="preserve"> ؛ لِأَنَّ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هُوَ الْفَاعِلُ بِهِ </w:t>
      </w:r>
      <w:r w:rsidRPr="005B567D">
        <w:rPr>
          <w:rStyle w:val="libFootnotenumChar"/>
          <w:rtl/>
        </w:rPr>
        <w:t>(16)</w:t>
      </w:r>
      <w:r w:rsidRPr="00C9040A">
        <w:rPr>
          <w:rtl/>
          <w:lang w:bidi="fa-IR"/>
        </w:rPr>
        <w:t xml:space="preserve"> ، وَقَدْ تَأْتِي </w:t>
      </w:r>
      <w:r w:rsidRPr="005B567D">
        <w:rPr>
          <w:rStyle w:val="libFootnotenumChar"/>
          <w:rtl/>
        </w:rPr>
        <w:t>(17)</w:t>
      </w:r>
      <w:r w:rsidRPr="00C9040A">
        <w:rPr>
          <w:rtl/>
          <w:lang w:bidi="fa-IR"/>
        </w:rPr>
        <w:t xml:space="preserve"> عَلَيْهِ حَالَاتٌ </w:t>
      </w:r>
      <w:r w:rsidRPr="005B567D">
        <w:rPr>
          <w:rStyle w:val="libFootnotenumChar"/>
          <w:rtl/>
        </w:rPr>
        <w:t>(18)</w:t>
      </w:r>
      <w:r w:rsidRPr="00C9040A">
        <w:rPr>
          <w:rtl/>
          <w:lang w:bidi="fa-IR"/>
        </w:rPr>
        <w:t xml:space="preserve"> فِي قُوَّتِهِ وَشَبَابِهِ </w:t>
      </w:r>
      <w:r w:rsidRPr="005B567D">
        <w:rPr>
          <w:rStyle w:val="libFootnotenumChar"/>
          <w:rtl/>
        </w:rPr>
        <w:t>(19)</w:t>
      </w:r>
      <w:r w:rsidRPr="00C9040A">
        <w:rPr>
          <w:rtl/>
          <w:lang w:bidi="fa-IR"/>
        </w:rPr>
        <w:t xml:space="preserve"> ، فَيَهُمُّ بِالْخَطِيئَةِ ، فَيُشَجِّعُهُ </w:t>
      </w:r>
      <w:r w:rsidRPr="005B567D">
        <w:rPr>
          <w:rStyle w:val="libFootnotenumChar"/>
          <w:rtl/>
        </w:rPr>
        <w:t>(20)</w:t>
      </w:r>
      <w:r w:rsidRPr="00C9040A">
        <w:rPr>
          <w:rtl/>
          <w:lang w:bidi="fa-IR"/>
        </w:rPr>
        <w:t xml:space="preserve"> رُوحُ الْقُوَّةِ ، وَيُزَيِّنُ </w:t>
      </w:r>
      <w:r w:rsidRPr="005B567D">
        <w:rPr>
          <w:rStyle w:val="libFootnotenumChar"/>
          <w:rtl/>
        </w:rPr>
        <w:t>(21)</w:t>
      </w:r>
      <w:r w:rsidRPr="00C9040A">
        <w:rPr>
          <w:rtl/>
          <w:lang w:bidi="fa-IR"/>
        </w:rPr>
        <w:t xml:space="preserve"> لَهُ رُوحُ الشَّهْوَةِ ، وَيَقُودُهُ </w:t>
      </w:r>
      <w:r w:rsidRPr="005B567D">
        <w:rPr>
          <w:rStyle w:val="libFootnotenumChar"/>
          <w:rtl/>
        </w:rPr>
        <w:t>(22)</w:t>
      </w:r>
      <w:r w:rsidRPr="00C9040A">
        <w:rPr>
          <w:rtl/>
          <w:lang w:bidi="fa-IR"/>
        </w:rPr>
        <w:t xml:space="preserve"> رُوحُ الْبَدَنِ حَتّى‌</w:t>
      </w:r>
      <w:r w:rsidR="0072309E">
        <w:rPr>
          <w:rFonts w:hint="cs"/>
          <w:rtl/>
          <w:lang w:bidi="fa-IR"/>
        </w:rPr>
        <w:t>.................................................</w:t>
      </w:r>
      <w:r w:rsidR="0072309E">
        <w:rPr>
          <w:rFonts w:hint="cs"/>
          <w:rtl/>
          <w:lang w:bidi="fa-IR"/>
        </w:rPr>
        <w:tab/>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011A48" w:rsidTr="00011A48">
        <w:tc>
          <w:tcPr>
            <w:tcW w:w="4006" w:type="dxa"/>
          </w:tcPr>
          <w:p w:rsidR="00011A48" w:rsidRDefault="00011A48" w:rsidP="004A4E41">
            <w:pPr>
              <w:pStyle w:val="libFootnote0"/>
              <w:rPr>
                <w:rtl/>
              </w:rPr>
            </w:pPr>
            <w:r>
              <w:rPr>
                <w:rtl/>
              </w:rPr>
              <w:t xml:space="preserve">(1). </w:t>
            </w:r>
            <w:r w:rsidRPr="00C9040A">
              <w:rPr>
                <w:rtl/>
              </w:rPr>
              <w:t xml:space="preserve">في « </w:t>
            </w:r>
            <w:r>
              <w:rPr>
                <w:rtl/>
              </w:rPr>
              <w:t xml:space="preserve">ه </w:t>
            </w:r>
            <w:r w:rsidRPr="00C9040A">
              <w:rPr>
                <w:rtl/>
              </w:rPr>
              <w:t>» : « وهو »</w:t>
            </w:r>
            <w:r>
              <w:rPr>
                <w:rtl/>
              </w:rPr>
              <w:t>.</w:t>
            </w:r>
          </w:p>
        </w:tc>
        <w:tc>
          <w:tcPr>
            <w:tcW w:w="4006" w:type="dxa"/>
          </w:tcPr>
          <w:p w:rsidR="00011A48" w:rsidRDefault="00011A48" w:rsidP="004A4E41">
            <w:pPr>
              <w:pStyle w:val="libFootnote0"/>
              <w:rPr>
                <w:rtl/>
              </w:rPr>
            </w:pPr>
            <w:r>
              <w:rPr>
                <w:rtl/>
              </w:rPr>
              <w:t xml:space="preserve">(2). </w:t>
            </w:r>
            <w:r w:rsidRPr="00C9040A">
              <w:rPr>
                <w:rtl/>
              </w:rPr>
              <w:t>في حاشية « د » : « لتهيّؤ »</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في « ز » : « والنهار » بدون « لا » والباء. وفي « </w:t>
      </w:r>
      <w:r w:rsidR="006D3162">
        <w:rPr>
          <w:rtl/>
        </w:rPr>
        <w:t xml:space="preserve">ه </w:t>
      </w:r>
      <w:r w:rsidR="008A74EB" w:rsidRPr="00C9040A">
        <w:rPr>
          <w:rtl/>
        </w:rPr>
        <w:t>» : « ولا</w:t>
      </w:r>
      <w:r w:rsidR="008A74EB">
        <w:rPr>
          <w:rFonts w:hint="cs"/>
          <w:rtl/>
        </w:rPr>
        <w:t xml:space="preserve"> </w:t>
      </w:r>
      <w:r w:rsidR="008A74EB" w:rsidRPr="00C9040A">
        <w:rPr>
          <w:rtl/>
        </w:rPr>
        <w:t>النهار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ب ، د ، ز ، بس » وحاشية « بر » ومرآة العقول : « فيهم »</w:t>
      </w:r>
      <w:r w:rsidR="008A74EB">
        <w:rPr>
          <w:rtl/>
        </w:rPr>
        <w:t>.</w:t>
      </w:r>
    </w:p>
    <w:tbl>
      <w:tblPr>
        <w:tblStyle w:val="TableGrid"/>
        <w:bidiVisual/>
        <w:tblW w:w="0" w:type="auto"/>
        <w:tblLook w:val="04A0" w:firstRow="1" w:lastRow="0" w:firstColumn="1" w:lastColumn="0" w:noHBand="0" w:noVBand="1"/>
      </w:tblPr>
      <w:tblGrid>
        <w:gridCol w:w="4006"/>
        <w:gridCol w:w="4006"/>
      </w:tblGrid>
      <w:tr w:rsidR="00EA7504" w:rsidTr="00EA7504">
        <w:tc>
          <w:tcPr>
            <w:tcW w:w="4006" w:type="dxa"/>
          </w:tcPr>
          <w:p w:rsidR="00EA7504" w:rsidRDefault="00EA7504" w:rsidP="004A4E41">
            <w:pPr>
              <w:pStyle w:val="libFootnote0"/>
              <w:rPr>
                <w:rtl/>
              </w:rPr>
            </w:pPr>
            <w:r>
              <w:rPr>
                <w:rtl/>
              </w:rPr>
              <w:t>(5).</w:t>
            </w:r>
            <w:r w:rsidRPr="00C9040A">
              <w:rPr>
                <w:rtl/>
              </w:rPr>
              <w:t xml:space="preserve"> في « ز ، </w:t>
            </w:r>
            <w:r>
              <w:rPr>
                <w:rtl/>
              </w:rPr>
              <w:t xml:space="preserve">ه </w:t>
            </w:r>
            <w:r w:rsidRPr="00C9040A">
              <w:rPr>
                <w:rtl/>
              </w:rPr>
              <w:t>» : « ينقص »</w:t>
            </w:r>
            <w:r>
              <w:rPr>
                <w:rtl/>
              </w:rPr>
              <w:t>.</w:t>
            </w:r>
          </w:p>
        </w:tc>
        <w:tc>
          <w:tcPr>
            <w:tcW w:w="4006" w:type="dxa"/>
          </w:tcPr>
          <w:p w:rsidR="00EA7504" w:rsidRDefault="00EA7504" w:rsidP="004A4E41">
            <w:pPr>
              <w:pStyle w:val="libFootnote0"/>
              <w:rPr>
                <w:rtl/>
              </w:rPr>
            </w:pPr>
            <w:r>
              <w:rPr>
                <w:rtl/>
              </w:rPr>
              <w:t xml:space="preserve">(6). </w:t>
            </w:r>
            <w:r w:rsidRPr="00C9040A">
              <w:rPr>
                <w:rtl/>
              </w:rPr>
              <w:t>في الوافي والبحار : « ولا يستطيع »</w:t>
            </w:r>
            <w:r>
              <w:rPr>
                <w:rtl/>
              </w:rPr>
              <w:t>.</w:t>
            </w:r>
          </w:p>
        </w:tc>
      </w:tr>
      <w:tr w:rsidR="00EA7504" w:rsidTr="00EA7504">
        <w:tc>
          <w:tcPr>
            <w:tcW w:w="4006" w:type="dxa"/>
          </w:tcPr>
          <w:p w:rsidR="00EA7504" w:rsidRDefault="00EA7504" w:rsidP="004A4E41">
            <w:pPr>
              <w:pStyle w:val="libFootnote0"/>
              <w:rPr>
                <w:rtl/>
              </w:rPr>
            </w:pPr>
            <w:r>
              <w:rPr>
                <w:rtl/>
              </w:rPr>
              <w:t>(7).</w:t>
            </w:r>
            <w:r w:rsidRPr="00C9040A">
              <w:rPr>
                <w:rtl/>
              </w:rPr>
              <w:t xml:space="preserve"> في « </w:t>
            </w:r>
            <w:r>
              <w:rPr>
                <w:rtl/>
              </w:rPr>
              <w:t xml:space="preserve">ه </w:t>
            </w:r>
            <w:r w:rsidRPr="00C9040A">
              <w:rPr>
                <w:rtl/>
              </w:rPr>
              <w:t>» : « طلباً لمعيشته »</w:t>
            </w:r>
            <w:r>
              <w:rPr>
                <w:rtl/>
              </w:rPr>
              <w:t>.</w:t>
            </w:r>
          </w:p>
        </w:tc>
        <w:tc>
          <w:tcPr>
            <w:tcW w:w="4006" w:type="dxa"/>
          </w:tcPr>
          <w:p w:rsidR="00EA7504" w:rsidRDefault="00EA7504" w:rsidP="004A4E41">
            <w:pPr>
              <w:pStyle w:val="libFootnote0"/>
              <w:rPr>
                <w:rtl/>
              </w:rPr>
            </w:pPr>
            <w:r>
              <w:rPr>
                <w:rtl/>
              </w:rPr>
              <w:t>(8).</w:t>
            </w:r>
            <w:r w:rsidRPr="00C9040A">
              <w:rPr>
                <w:rtl/>
              </w:rPr>
              <w:t xml:space="preserve"> في « ز ، </w:t>
            </w:r>
            <w:r>
              <w:rPr>
                <w:rtl/>
              </w:rPr>
              <w:t xml:space="preserve">ه </w:t>
            </w:r>
            <w:r w:rsidRPr="00C9040A">
              <w:rPr>
                <w:rtl/>
              </w:rPr>
              <w:t>» : « ينقص »</w:t>
            </w:r>
            <w:r>
              <w:rPr>
                <w:rtl/>
              </w:rPr>
              <w:t>.</w:t>
            </w:r>
          </w:p>
        </w:tc>
      </w:tr>
    </w:tbl>
    <w:p w:rsidR="008A74EB" w:rsidRPr="00C9040A" w:rsidRDefault="006C577F" w:rsidP="004A4E41">
      <w:pPr>
        <w:pStyle w:val="libFootnote0"/>
        <w:rPr>
          <w:rtl/>
          <w:lang w:bidi="fa-IR"/>
        </w:rPr>
      </w:pPr>
      <w:r>
        <w:rPr>
          <w:rtl/>
        </w:rPr>
        <w:t>(9).</w:t>
      </w:r>
      <w:r w:rsidR="008A74EB" w:rsidRPr="00C9040A">
        <w:rPr>
          <w:rtl/>
        </w:rPr>
        <w:t xml:space="preserve"> في « ص » </w:t>
      </w:r>
      <w:r w:rsidR="008A74EB">
        <w:rPr>
          <w:rtl/>
        </w:rPr>
        <w:t xml:space="preserve">: </w:t>
      </w:r>
      <w:r w:rsidR="0084262C">
        <w:rPr>
          <w:rtl/>
        </w:rPr>
        <w:t>-</w:t>
      </w:r>
      <w:r w:rsidR="008A74EB" w:rsidRPr="00C9040A">
        <w:rPr>
          <w:rtl/>
        </w:rPr>
        <w:t xml:space="preserve"> « منه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 الصَّباحة » : الجمال. وقد صَبُح صباحة فهو صبيح وصُباح. </w:t>
      </w:r>
      <w:r w:rsidR="008A74EB" w:rsidRPr="00993B55">
        <w:rPr>
          <w:rStyle w:val="libFootnoteBoldChar"/>
          <w:rtl/>
        </w:rPr>
        <w:t>الصحاح</w:t>
      </w:r>
      <w:r w:rsidR="008A74EB" w:rsidRPr="00C9040A">
        <w:rPr>
          <w:rtl/>
        </w:rPr>
        <w:t xml:space="preserve"> ، ج 1 ، ص 380 ( صبح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لم يحنّ إليها ، أي لايشتاق إليها. راجع : </w:t>
      </w:r>
      <w:r w:rsidR="008A74EB" w:rsidRPr="00993B55">
        <w:rPr>
          <w:rStyle w:val="libFootnoteBoldChar"/>
          <w:rtl/>
        </w:rPr>
        <w:t>لسان العرب</w:t>
      </w:r>
      <w:r w:rsidR="008A74EB" w:rsidRPr="00C9040A">
        <w:rPr>
          <w:rtl/>
        </w:rPr>
        <w:t xml:space="preserve"> ، ج 13 ، ص 128 ( حنن )</w:t>
      </w:r>
      <w:r w:rsidR="008A74EB">
        <w:rPr>
          <w:rtl/>
        </w:rPr>
        <w:t>.</w:t>
      </w:r>
      <w:r w:rsidR="008A74EB" w:rsidRPr="00C9040A">
        <w:rPr>
          <w:rtl/>
        </w:rPr>
        <w:t xml:space="preserve"> ولم يقم ، أي لم يقم إليها لطلبهاو مراودتها.</w:t>
      </w:r>
    </w:p>
    <w:p w:rsidR="008A74EB" w:rsidRPr="00C9040A" w:rsidRDefault="006C577F" w:rsidP="004A4E41">
      <w:pPr>
        <w:pStyle w:val="libFootnote0"/>
        <w:rPr>
          <w:rtl/>
          <w:lang w:bidi="fa-IR"/>
        </w:rPr>
      </w:pPr>
      <w:r>
        <w:rPr>
          <w:rtl/>
        </w:rPr>
        <w:t>(12).</w:t>
      </w:r>
      <w:r w:rsidR="008A74EB" w:rsidRPr="00C9040A">
        <w:rPr>
          <w:rtl/>
        </w:rPr>
        <w:t xml:space="preserve"> في « ب ، ج ، د ، ز ، ص ، </w:t>
      </w:r>
      <w:r w:rsidR="006D3162">
        <w:rPr>
          <w:rtl/>
        </w:rPr>
        <w:t xml:space="preserve">ه </w:t>
      </w:r>
      <w:r w:rsidR="008A74EB" w:rsidRPr="00C9040A">
        <w:rPr>
          <w:rtl/>
        </w:rPr>
        <w:t>، بر » ومرآة العقول : « ويبقى »</w:t>
      </w:r>
      <w:r w:rsidR="008A74EB">
        <w:rPr>
          <w:rtl/>
        </w:rPr>
        <w:t>.</w:t>
      </w:r>
    </w:p>
    <w:p w:rsidR="008A74EB" w:rsidRPr="00C9040A" w:rsidRDefault="008A74EB" w:rsidP="004A4E41">
      <w:pPr>
        <w:pStyle w:val="libFootnote0"/>
        <w:rPr>
          <w:rtl/>
          <w:lang w:bidi="fa-IR"/>
        </w:rPr>
      </w:pPr>
      <w:r>
        <w:rPr>
          <w:rtl/>
        </w:rPr>
        <w:t>(13)</w:t>
      </w:r>
      <w:r w:rsidRPr="00C9040A">
        <w:rPr>
          <w:rtl/>
        </w:rPr>
        <w:t xml:space="preserve"> في « بر » ومرآة العقول </w:t>
      </w:r>
      <w:r>
        <w:rPr>
          <w:rtl/>
        </w:rPr>
        <w:t xml:space="preserve">: </w:t>
      </w:r>
      <w:r w:rsidR="0084262C">
        <w:rPr>
          <w:rtl/>
        </w:rPr>
        <w:t>-</w:t>
      </w:r>
      <w:r w:rsidRPr="00C9040A">
        <w:rPr>
          <w:rtl/>
        </w:rPr>
        <w:t xml:space="preserve"> « فيه »</w:t>
      </w:r>
      <w:r>
        <w:rPr>
          <w:rtl/>
        </w:rPr>
        <w:t>.</w:t>
      </w:r>
    </w:p>
    <w:p w:rsidR="008A74EB" w:rsidRPr="00C9040A" w:rsidRDefault="008A74EB" w:rsidP="004A4E41">
      <w:pPr>
        <w:pStyle w:val="libFootnote0"/>
        <w:rPr>
          <w:rtl/>
          <w:lang w:bidi="fa-IR"/>
        </w:rPr>
      </w:pPr>
      <w:r>
        <w:rPr>
          <w:rtl/>
        </w:rPr>
        <w:t>(14)</w:t>
      </w:r>
      <w:r w:rsidRPr="00C9040A">
        <w:rPr>
          <w:rtl/>
        </w:rPr>
        <w:t xml:space="preserve"> في « ج ، د ، ص ، </w:t>
      </w:r>
      <w:r w:rsidR="006D3162">
        <w:rPr>
          <w:rtl/>
        </w:rPr>
        <w:t xml:space="preserve">ه </w:t>
      </w:r>
      <w:r w:rsidRPr="00C9040A">
        <w:rPr>
          <w:rtl/>
        </w:rPr>
        <w:t>، بر » والوافى والبحار : « بحالٍ »</w:t>
      </w:r>
      <w:r>
        <w:rPr>
          <w:rtl/>
        </w:rPr>
        <w:t>.</w:t>
      </w:r>
      <w:r w:rsidRPr="00C9040A">
        <w:rPr>
          <w:rtl/>
        </w:rPr>
        <w:t xml:space="preserve"> وفي مرآة العقول : « مجال »</w:t>
      </w:r>
      <w:r>
        <w:rPr>
          <w:rtl/>
        </w:rPr>
        <w:t>.</w:t>
      </w:r>
    </w:p>
    <w:tbl>
      <w:tblPr>
        <w:tblStyle w:val="TableGrid"/>
        <w:bidiVisual/>
        <w:tblW w:w="0" w:type="auto"/>
        <w:tblLook w:val="04A0" w:firstRow="1" w:lastRow="0" w:firstColumn="1" w:lastColumn="0" w:noHBand="0" w:noVBand="1"/>
      </w:tblPr>
      <w:tblGrid>
        <w:gridCol w:w="4006"/>
        <w:gridCol w:w="4006"/>
      </w:tblGrid>
      <w:tr w:rsidR="008B61DA" w:rsidTr="008B61DA">
        <w:tc>
          <w:tcPr>
            <w:tcW w:w="4006" w:type="dxa"/>
          </w:tcPr>
          <w:p w:rsidR="008B61DA" w:rsidRDefault="008B61DA" w:rsidP="004A4E41">
            <w:pPr>
              <w:pStyle w:val="libFootnote0"/>
              <w:rPr>
                <w:rtl/>
              </w:rPr>
            </w:pPr>
            <w:r>
              <w:rPr>
                <w:rtl/>
              </w:rPr>
              <w:t>(15)</w:t>
            </w:r>
            <w:r w:rsidRPr="00C9040A">
              <w:rPr>
                <w:rtl/>
              </w:rPr>
              <w:t xml:space="preserve"> في « ج » : « بخير »</w:t>
            </w:r>
            <w:r>
              <w:rPr>
                <w:rtl/>
              </w:rPr>
              <w:t>.</w:t>
            </w:r>
          </w:p>
        </w:tc>
        <w:tc>
          <w:tcPr>
            <w:tcW w:w="4006" w:type="dxa"/>
          </w:tcPr>
          <w:p w:rsidR="008B61DA" w:rsidRDefault="008B61DA" w:rsidP="004A4E41">
            <w:pPr>
              <w:pStyle w:val="libFootnote0"/>
              <w:rPr>
                <w:rtl/>
              </w:rPr>
            </w:pPr>
            <w:r>
              <w:rPr>
                <w:rtl/>
              </w:rPr>
              <w:t>(16)</w:t>
            </w:r>
            <w:r w:rsidRPr="00C9040A">
              <w:rPr>
                <w:rtl/>
              </w:rPr>
              <w:t xml:space="preserve"> في « ج » </w:t>
            </w:r>
            <w:r>
              <w:rPr>
                <w:rtl/>
              </w:rPr>
              <w:t>: -</w:t>
            </w:r>
            <w:r w:rsidRPr="00C9040A">
              <w:rPr>
                <w:rtl/>
              </w:rPr>
              <w:t xml:space="preserve"> « به »</w:t>
            </w:r>
            <w:r>
              <w:rPr>
                <w:rtl/>
              </w:rPr>
              <w:t>.</w:t>
            </w:r>
          </w:p>
        </w:tc>
      </w:tr>
    </w:tbl>
    <w:p w:rsidR="008A74EB" w:rsidRPr="00C9040A" w:rsidRDefault="008A74EB" w:rsidP="004A4E41">
      <w:pPr>
        <w:pStyle w:val="libFootnote0"/>
        <w:rPr>
          <w:rtl/>
          <w:lang w:bidi="fa-IR"/>
        </w:rPr>
      </w:pPr>
      <w:r>
        <w:rPr>
          <w:rtl/>
        </w:rPr>
        <w:t>(17)</w:t>
      </w:r>
      <w:r w:rsidRPr="00C9040A">
        <w:rPr>
          <w:rtl/>
        </w:rPr>
        <w:t xml:space="preserve"> في « د ، ص ، بر ، بف » والوافي والبحار : « يأتي »</w:t>
      </w:r>
      <w:r>
        <w:rPr>
          <w:rtl/>
        </w:rPr>
        <w:t>.</w:t>
      </w:r>
    </w:p>
    <w:tbl>
      <w:tblPr>
        <w:tblStyle w:val="TableGrid"/>
        <w:bidiVisual/>
        <w:tblW w:w="0" w:type="auto"/>
        <w:tblLook w:val="04A0" w:firstRow="1" w:lastRow="0" w:firstColumn="1" w:lastColumn="0" w:noHBand="0" w:noVBand="1"/>
      </w:tblPr>
      <w:tblGrid>
        <w:gridCol w:w="4006"/>
        <w:gridCol w:w="4006"/>
      </w:tblGrid>
      <w:tr w:rsidR="007B5E69" w:rsidTr="007B5E69">
        <w:tc>
          <w:tcPr>
            <w:tcW w:w="4006" w:type="dxa"/>
          </w:tcPr>
          <w:p w:rsidR="007B5E69" w:rsidRDefault="007B5E69" w:rsidP="004A4E41">
            <w:pPr>
              <w:pStyle w:val="libFootnote0"/>
              <w:rPr>
                <w:rtl/>
                <w:lang w:bidi="fa-IR"/>
              </w:rPr>
            </w:pPr>
            <w:r>
              <w:rPr>
                <w:rtl/>
              </w:rPr>
              <w:t>(18)</w:t>
            </w:r>
            <w:r w:rsidRPr="00C9040A">
              <w:rPr>
                <w:rtl/>
              </w:rPr>
              <w:t xml:space="preserve"> في « بس » : + « فهو »</w:t>
            </w:r>
            <w:r>
              <w:rPr>
                <w:rtl/>
              </w:rPr>
              <w:t>.</w:t>
            </w:r>
          </w:p>
        </w:tc>
        <w:tc>
          <w:tcPr>
            <w:tcW w:w="4006" w:type="dxa"/>
          </w:tcPr>
          <w:p w:rsidR="007B5E69" w:rsidRDefault="007B5E69" w:rsidP="004A4E41">
            <w:pPr>
              <w:pStyle w:val="libFootnote0"/>
              <w:rPr>
                <w:rtl/>
                <w:lang w:bidi="fa-IR"/>
              </w:rPr>
            </w:pPr>
            <w:r>
              <w:rPr>
                <w:rtl/>
              </w:rPr>
              <w:t>(19)</w:t>
            </w:r>
            <w:r w:rsidRPr="00C9040A">
              <w:rPr>
                <w:rtl/>
              </w:rPr>
              <w:t xml:space="preserve"> في الوسائل </w:t>
            </w:r>
            <w:r>
              <w:rPr>
                <w:rtl/>
              </w:rPr>
              <w:t>: -</w:t>
            </w:r>
            <w:r w:rsidRPr="00C9040A">
              <w:rPr>
                <w:rtl/>
              </w:rPr>
              <w:t xml:space="preserve"> « في قوّته وشبابه »</w:t>
            </w:r>
            <w:r>
              <w:rPr>
                <w:rtl/>
              </w:rPr>
              <w:t>.</w:t>
            </w:r>
          </w:p>
        </w:tc>
      </w:tr>
      <w:tr w:rsidR="007B5E69" w:rsidTr="007B5E69">
        <w:tc>
          <w:tcPr>
            <w:tcW w:w="4006" w:type="dxa"/>
          </w:tcPr>
          <w:p w:rsidR="007B5E69" w:rsidRDefault="007B5E69" w:rsidP="004A4E41">
            <w:pPr>
              <w:pStyle w:val="libFootnote0"/>
              <w:rPr>
                <w:rtl/>
                <w:lang w:bidi="fa-IR"/>
              </w:rPr>
            </w:pPr>
            <w:r>
              <w:rPr>
                <w:rtl/>
              </w:rPr>
              <w:t>(20)</w:t>
            </w:r>
            <w:r w:rsidRPr="00C9040A">
              <w:rPr>
                <w:rtl/>
              </w:rPr>
              <w:t xml:space="preserve"> في « </w:t>
            </w:r>
            <w:r>
              <w:rPr>
                <w:rtl/>
              </w:rPr>
              <w:t xml:space="preserve">ه </w:t>
            </w:r>
            <w:r w:rsidRPr="00C9040A">
              <w:rPr>
                <w:rtl/>
              </w:rPr>
              <w:t>» والوافي والوسائل : « فتشجّعه »</w:t>
            </w:r>
            <w:r>
              <w:rPr>
                <w:rtl/>
              </w:rPr>
              <w:t>.</w:t>
            </w:r>
          </w:p>
        </w:tc>
        <w:tc>
          <w:tcPr>
            <w:tcW w:w="4006" w:type="dxa"/>
          </w:tcPr>
          <w:p w:rsidR="007B5E69" w:rsidRDefault="007B5E69" w:rsidP="004A4E41">
            <w:pPr>
              <w:pStyle w:val="libFootnote0"/>
              <w:rPr>
                <w:rtl/>
                <w:lang w:bidi="fa-IR"/>
              </w:rPr>
            </w:pPr>
            <w:r>
              <w:rPr>
                <w:rtl/>
              </w:rPr>
              <w:t>(21)</w:t>
            </w:r>
            <w:r w:rsidRPr="00C9040A">
              <w:rPr>
                <w:rtl/>
              </w:rPr>
              <w:t xml:space="preserve"> في « ج ، </w:t>
            </w:r>
            <w:r>
              <w:rPr>
                <w:rtl/>
              </w:rPr>
              <w:t xml:space="preserve">ه </w:t>
            </w:r>
            <w:r w:rsidRPr="00C9040A">
              <w:rPr>
                <w:rtl/>
              </w:rPr>
              <w:t>» والوافي : « وتزيّن »</w:t>
            </w:r>
            <w:r>
              <w:rPr>
                <w:rtl/>
              </w:rPr>
              <w:t>.</w:t>
            </w:r>
          </w:p>
        </w:tc>
      </w:tr>
    </w:tbl>
    <w:p w:rsidR="008A74EB" w:rsidRPr="00C9040A" w:rsidRDefault="008A74EB" w:rsidP="004A4E41">
      <w:pPr>
        <w:pStyle w:val="libFootnote0"/>
        <w:rPr>
          <w:rtl/>
          <w:lang w:bidi="fa-IR"/>
        </w:rPr>
      </w:pPr>
      <w:r>
        <w:rPr>
          <w:rtl/>
        </w:rPr>
        <w:t>(22)</w:t>
      </w:r>
      <w:r w:rsidRPr="00C9040A">
        <w:rPr>
          <w:rtl/>
        </w:rPr>
        <w:t xml:space="preserve"> في الوافي والوسائل والبحار : « وتقوده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تُوْقِعَهُ </w:t>
      </w:r>
      <w:r w:rsidR="006C577F" w:rsidRPr="006C577F">
        <w:rPr>
          <w:rStyle w:val="libFootnotenumChar"/>
          <w:rtl/>
        </w:rPr>
        <w:t>(1)</w:t>
      </w:r>
      <w:r w:rsidRPr="00C9040A">
        <w:rPr>
          <w:rtl/>
          <w:lang w:bidi="fa-IR"/>
        </w:rPr>
        <w:t xml:space="preserve"> فِي الْخَطِيئَةِ </w:t>
      </w:r>
      <w:r w:rsidR="006C577F" w:rsidRPr="006C577F">
        <w:rPr>
          <w:rStyle w:val="libFootnotenumChar"/>
          <w:rtl/>
        </w:rPr>
        <w:t>(2)</w:t>
      </w:r>
      <w:r w:rsidRPr="00C9040A">
        <w:rPr>
          <w:rtl/>
          <w:lang w:bidi="fa-IR"/>
        </w:rPr>
        <w:t xml:space="preserve"> ، فَإِذَا </w:t>
      </w:r>
      <w:r w:rsidR="006C577F" w:rsidRPr="006C577F">
        <w:rPr>
          <w:rStyle w:val="libFootnotenumChar"/>
          <w:rtl/>
        </w:rPr>
        <w:t>(3)</w:t>
      </w:r>
      <w:r w:rsidRPr="00C9040A">
        <w:rPr>
          <w:rtl/>
          <w:lang w:bidi="fa-IR"/>
        </w:rPr>
        <w:t xml:space="preserve"> لَامَسَهَا نَقَصَ مِنَ الْإِيمَانِ ، وَتَفَصّى </w:t>
      </w:r>
      <w:r w:rsidR="006C577F" w:rsidRPr="006C577F">
        <w:rPr>
          <w:rStyle w:val="libFootnotenumChar"/>
          <w:rtl/>
        </w:rPr>
        <w:t>(4)</w:t>
      </w:r>
      <w:r w:rsidRPr="00C9040A">
        <w:rPr>
          <w:rtl/>
          <w:lang w:bidi="fa-IR"/>
        </w:rPr>
        <w:t xml:space="preserve"> مِنْهُ ، فَلَيْسَ </w:t>
      </w:r>
      <w:r w:rsidR="006C577F" w:rsidRPr="006C577F">
        <w:rPr>
          <w:rStyle w:val="libFootnotenumChar"/>
          <w:rtl/>
        </w:rPr>
        <w:t>(5)</w:t>
      </w:r>
      <w:r w:rsidRPr="00C9040A">
        <w:rPr>
          <w:rtl/>
          <w:lang w:bidi="fa-IR"/>
        </w:rPr>
        <w:t xml:space="preserve"> يَعُودُ </w:t>
      </w:r>
      <w:r w:rsidR="006C577F" w:rsidRPr="006C577F">
        <w:rPr>
          <w:rStyle w:val="libFootnotenumChar"/>
          <w:rtl/>
        </w:rPr>
        <w:t>(6)</w:t>
      </w:r>
      <w:r w:rsidR="007B5E69">
        <w:rPr>
          <w:rStyle w:val="libFootnotenumChar"/>
          <w:rFonts w:hint="cs"/>
          <w:rtl/>
        </w:rPr>
        <w:t xml:space="preserve"> </w:t>
      </w:r>
      <w:r w:rsidRPr="00C9040A">
        <w:rPr>
          <w:rtl/>
          <w:lang w:bidi="fa-IR"/>
        </w:rPr>
        <w:t xml:space="preserve">فِيهِ حَتّى يَتُوبَ ، فَإِذَا تَابَ تَابَ اللهُ عَلَيْهِ ، وَإِنْ </w:t>
      </w:r>
      <w:r w:rsidR="006C577F" w:rsidRPr="006C577F">
        <w:rPr>
          <w:rStyle w:val="libFootnotenumChar"/>
          <w:rtl/>
        </w:rPr>
        <w:t>(7)</w:t>
      </w:r>
      <w:r w:rsidRPr="00C9040A">
        <w:rPr>
          <w:rtl/>
          <w:lang w:bidi="fa-IR"/>
        </w:rPr>
        <w:t xml:space="preserve"> عَادَ أَدْخَلَهُ اللهُ </w:t>
      </w:r>
      <w:r w:rsidR="006C577F" w:rsidRPr="006C577F">
        <w:rPr>
          <w:rStyle w:val="libFootnotenumChar"/>
          <w:rtl/>
        </w:rPr>
        <w:t>(8)</w:t>
      </w:r>
      <w:r w:rsidRPr="00C9040A">
        <w:rPr>
          <w:rtl/>
          <w:lang w:bidi="fa-IR"/>
        </w:rPr>
        <w:t xml:space="preserve"> نَارَ جَهَنَّمَ.</w:t>
      </w:r>
    </w:p>
    <w:p w:rsidR="008A74EB" w:rsidRPr="00C9040A" w:rsidRDefault="008A74EB" w:rsidP="008A74EB">
      <w:pPr>
        <w:pStyle w:val="libNormal"/>
        <w:rPr>
          <w:rtl/>
          <w:lang w:bidi="fa-IR"/>
        </w:rPr>
      </w:pPr>
      <w:r w:rsidRPr="00C9040A">
        <w:rPr>
          <w:rtl/>
          <w:lang w:bidi="fa-IR"/>
        </w:rPr>
        <w:t xml:space="preserve">فَأَمَّا </w:t>
      </w:r>
      <w:r w:rsidR="006C577F" w:rsidRPr="006C577F">
        <w:rPr>
          <w:rStyle w:val="libFootnotenumChar"/>
          <w:rtl/>
        </w:rPr>
        <w:t>(9)</w:t>
      </w:r>
      <w:r w:rsidRPr="00C9040A">
        <w:rPr>
          <w:rtl/>
          <w:lang w:bidi="fa-IR"/>
        </w:rPr>
        <w:t xml:space="preserve"> أَصْحَابُ الْمَشْأَمَةِ ، فَهُمُ الْيَهُودُ وَالنَّصَارى ؛ يَقُولُ اللهُ عَزَّ وَجَلَّ : </w:t>
      </w:r>
      <w:r w:rsidRPr="0003660B">
        <w:rPr>
          <w:rStyle w:val="libAlaemChar"/>
          <w:rtl/>
        </w:rPr>
        <w:t>(</w:t>
      </w:r>
      <w:r w:rsidRPr="006A2246">
        <w:rPr>
          <w:rStyle w:val="libAieChar"/>
          <w:rtl/>
        </w:rPr>
        <w:t xml:space="preserve"> الَّذِينَ آتَيْناهُمُ الْكِتابَ يَعْرِفُونَهُ كَما يَعْرِفُونَ أَبْناءَهُمْ </w:t>
      </w:r>
      <w:r w:rsidRPr="0003660B">
        <w:rPr>
          <w:rStyle w:val="libAlaemChar"/>
          <w:rtl/>
        </w:rPr>
        <w:t>)</w:t>
      </w:r>
      <w:r w:rsidRPr="00C9040A">
        <w:rPr>
          <w:rtl/>
          <w:lang w:bidi="fa-IR"/>
        </w:rPr>
        <w:t xml:space="preserve"> يَعْرِفُونَ مُحَمَّداً </w:t>
      </w:r>
      <w:r w:rsidR="004A4E41" w:rsidRPr="004A4E41">
        <w:rPr>
          <w:rStyle w:val="libAlaemChar"/>
          <w:rtl/>
        </w:rPr>
        <w:t>صلى‌الله‌عليه‌وآله</w:t>
      </w:r>
      <w:r w:rsidRPr="00C9040A">
        <w:rPr>
          <w:rtl/>
          <w:lang w:bidi="fa-IR"/>
        </w:rPr>
        <w:t xml:space="preserve"> وَالْوَلَايَةَ فِي التَّوْرَاةِ وَالْإِنْجِيلِ ، كَمَا يَعْرِفُونَ أَبْنَاءَهُمْ </w:t>
      </w:r>
      <w:r w:rsidR="006C577F" w:rsidRPr="006C577F">
        <w:rPr>
          <w:rStyle w:val="libFootnotenumChar"/>
          <w:rtl/>
        </w:rPr>
        <w:t>(10)</w:t>
      </w:r>
      <w:r w:rsidRPr="00C9040A">
        <w:rPr>
          <w:rtl/>
          <w:lang w:bidi="fa-IR"/>
        </w:rPr>
        <w:t xml:space="preserve"> فِي مَنَازِلِهِمْ</w:t>
      </w:r>
      <w:r>
        <w:rPr>
          <w:rFonts w:hint="cs"/>
          <w:rtl/>
          <w:lang w:bidi="fa-IR"/>
        </w:rPr>
        <w:t xml:space="preserve"> </w:t>
      </w:r>
      <w:r w:rsidRPr="0003660B">
        <w:rPr>
          <w:rStyle w:val="libAlaemChar"/>
          <w:rtl/>
        </w:rPr>
        <w:t>(</w:t>
      </w:r>
      <w:r w:rsidRPr="006A2246">
        <w:rPr>
          <w:rStyle w:val="libAieChar"/>
          <w:rtl/>
        </w:rPr>
        <w:t xml:space="preserve"> وَإِنَّ فَرِيقاً مِنْهُمْ لَيَكْتُمُونَ الْحَقَّ وَهُمْ يَعْلَمُونَ </w:t>
      </w:r>
      <w:r w:rsidR="007B5E69">
        <w:rPr>
          <w:rStyle w:val="libAieChar"/>
          <w:rFonts w:hint="cs"/>
          <w:rtl/>
        </w:rPr>
        <w:t xml:space="preserve">* </w:t>
      </w:r>
      <w:r w:rsidRPr="006A2246">
        <w:rPr>
          <w:rStyle w:val="libAieChar"/>
          <w:rtl/>
        </w:rPr>
        <w:t>الْحَقُّ مِنْ رَبِّكَ</w:t>
      </w:r>
      <w:r w:rsidRPr="0003660B">
        <w:rPr>
          <w:rStyle w:val="libAlaemChar"/>
          <w:rtl/>
        </w:rPr>
        <w:t>)</w:t>
      </w:r>
      <w:r w:rsidRPr="00C9040A">
        <w:rPr>
          <w:rtl/>
          <w:lang w:bidi="fa-IR"/>
        </w:rPr>
        <w:t xml:space="preserve"> : أَنَّكَ </w:t>
      </w:r>
      <w:r w:rsidR="006C577F" w:rsidRPr="006C577F">
        <w:rPr>
          <w:rStyle w:val="libFootnotenumChar"/>
          <w:rtl/>
        </w:rPr>
        <w:t>(11)</w:t>
      </w:r>
      <w:r w:rsidRPr="00C9040A">
        <w:rPr>
          <w:rtl/>
          <w:lang w:bidi="fa-IR"/>
        </w:rPr>
        <w:t xml:space="preserve"> الرَّسُولُ إِلَيْهِمْ</w:t>
      </w:r>
      <w:r>
        <w:rPr>
          <w:rFonts w:hint="cs"/>
          <w:rtl/>
          <w:lang w:bidi="fa-IR"/>
        </w:rPr>
        <w:t xml:space="preserve"> </w:t>
      </w:r>
      <w:r w:rsidRPr="0003660B">
        <w:rPr>
          <w:rStyle w:val="libAlaemChar"/>
          <w:rtl/>
        </w:rPr>
        <w:t>(</w:t>
      </w:r>
      <w:r w:rsidRPr="006A2246">
        <w:rPr>
          <w:rStyle w:val="libAieChar"/>
          <w:rtl/>
        </w:rPr>
        <w:t xml:space="preserve"> فَلا تَكُونَنَّ مِنَ الْمُمْتَرِينَ </w:t>
      </w:r>
      <w:r w:rsidRPr="0003660B">
        <w:rPr>
          <w:rStyle w:val="libAlaemChar"/>
          <w:rtl/>
        </w:rPr>
        <w:t>)</w:t>
      </w:r>
      <w:r w:rsidRPr="00C9040A">
        <w:rPr>
          <w:rtl/>
          <w:lang w:bidi="fa-IR"/>
        </w:rPr>
        <w:t xml:space="preserve"> </w:t>
      </w:r>
      <w:r w:rsidR="006C577F" w:rsidRPr="006C577F">
        <w:rPr>
          <w:rStyle w:val="libFootnotenumChar"/>
          <w:rtl/>
        </w:rPr>
        <w:t>(12)</w:t>
      </w:r>
      <w:r w:rsidRPr="00C9040A">
        <w:rPr>
          <w:rtl/>
          <w:lang w:bidi="fa-IR"/>
        </w:rPr>
        <w:t xml:space="preserve"> فَلَمَّا جَحَدُوا مَا عَرَفُوا ، ابْتَلَاهُمُ اللهُ </w:t>
      </w:r>
      <w:r w:rsidRPr="005B567D">
        <w:rPr>
          <w:rStyle w:val="libFootnotenumChar"/>
          <w:rtl/>
        </w:rPr>
        <w:t>(13)</w:t>
      </w:r>
      <w:r w:rsidRPr="00C9040A">
        <w:rPr>
          <w:rtl/>
          <w:lang w:bidi="fa-IR"/>
        </w:rPr>
        <w:t xml:space="preserve"> بِذلِكَ ، فَسَلَبَهُمْ رُوحَ الْإِيمَانِ ، وَأَسْكَنَ أَبْدَانَهُمْ ثَلَاثَةَ أَرْوَاحٍ : رُوحَ الْقُوَّةِ ، وَرُوحَ الشَّهْوَةِ ، وَرُوحَ الْبَدَنِ.</w:t>
      </w:r>
    </w:p>
    <w:p w:rsidR="008A74EB" w:rsidRPr="00C9040A" w:rsidRDefault="008A74EB" w:rsidP="008A74EB">
      <w:pPr>
        <w:pStyle w:val="libNormal"/>
        <w:rPr>
          <w:rtl/>
          <w:lang w:bidi="fa-IR"/>
        </w:rPr>
      </w:pPr>
      <w:r w:rsidRPr="00C9040A">
        <w:rPr>
          <w:rtl/>
          <w:lang w:bidi="fa-IR"/>
        </w:rPr>
        <w:t xml:space="preserve">ثُمَّ أَضَافَهُمْ إِلَى الْأَنْعَامِ ، فَقَالَ : </w:t>
      </w:r>
      <w:r w:rsidRPr="0003660B">
        <w:rPr>
          <w:rStyle w:val="libAlaemChar"/>
          <w:rtl/>
        </w:rPr>
        <w:t>(</w:t>
      </w:r>
      <w:r w:rsidR="003C6753">
        <w:rPr>
          <w:rStyle w:val="libAieChar"/>
          <w:rtl/>
        </w:rPr>
        <w:t xml:space="preserve"> إِنْ هُمْ إِل</w:t>
      </w:r>
      <w:r w:rsidR="003C6753">
        <w:rPr>
          <w:rStyle w:val="libAieChar"/>
          <w:rFonts w:hint="cs"/>
          <w:rtl/>
        </w:rPr>
        <w:t>َّ</w:t>
      </w:r>
      <w:r w:rsidR="003C6753">
        <w:rPr>
          <w:rStyle w:val="libAieChar"/>
          <w:rtl/>
        </w:rPr>
        <w:t>ا</w:t>
      </w:r>
      <w:r w:rsidRPr="006A2246">
        <w:rPr>
          <w:rStyle w:val="libAieChar"/>
          <w:rtl/>
        </w:rPr>
        <w:t xml:space="preserve"> كَالْأَنْعامِ </w:t>
      </w:r>
      <w:r w:rsidRPr="0003660B">
        <w:rPr>
          <w:rStyle w:val="libAlaemChar"/>
          <w:rtl/>
        </w:rPr>
        <w:t>)</w:t>
      </w:r>
      <w:r w:rsidRPr="00C9040A">
        <w:rPr>
          <w:rtl/>
          <w:lang w:bidi="fa-IR"/>
        </w:rPr>
        <w:t xml:space="preserve"> </w:t>
      </w:r>
      <w:r w:rsidRPr="005B567D">
        <w:rPr>
          <w:rStyle w:val="libFootnotenumChar"/>
          <w:rtl/>
        </w:rPr>
        <w:t>(14)</w:t>
      </w:r>
      <w:r w:rsidRPr="00C9040A">
        <w:rPr>
          <w:rtl/>
          <w:lang w:bidi="fa-IR"/>
        </w:rPr>
        <w:t xml:space="preserve"> لِأَنَّ الدَّابَّةَ إِنَّمَا تَحْمِلُ بِرُوحِ الْقُوَّةِ ، وَتَعْتَلِفُ </w:t>
      </w:r>
      <w:r w:rsidRPr="005B567D">
        <w:rPr>
          <w:rStyle w:val="libFootnotenumChar"/>
          <w:rtl/>
        </w:rPr>
        <w:t>(15)</w:t>
      </w:r>
      <w:r w:rsidRPr="00C9040A">
        <w:rPr>
          <w:rtl/>
          <w:lang w:bidi="fa-IR"/>
        </w:rPr>
        <w:t xml:space="preserve"> بِرُوحِ الشَّهْوَةِ ، وَتَسِيرُ بِرُوحِ الْبَدَنِ »</w:t>
      </w:r>
      <w:r>
        <w:rPr>
          <w:rtl/>
          <w:lang w:bidi="fa-IR"/>
        </w:rPr>
        <w:t>.</w:t>
      </w:r>
    </w:p>
    <w:p w:rsidR="008A74EB" w:rsidRPr="00C9040A" w:rsidRDefault="008A74EB" w:rsidP="003C6753">
      <w:pPr>
        <w:pStyle w:val="libNormal"/>
        <w:rPr>
          <w:rtl/>
          <w:lang w:bidi="fa-IR"/>
        </w:rPr>
      </w:pPr>
      <w:r w:rsidRPr="00C9040A">
        <w:rPr>
          <w:rtl/>
          <w:lang w:bidi="fa-IR"/>
        </w:rPr>
        <w:t xml:space="preserve">فَقَالَ لَهُ </w:t>
      </w:r>
      <w:r w:rsidRPr="005B567D">
        <w:rPr>
          <w:rStyle w:val="libFootnotenumChar"/>
          <w:rtl/>
        </w:rPr>
        <w:t>(16)</w:t>
      </w:r>
      <w:r w:rsidRPr="00C9040A">
        <w:rPr>
          <w:rtl/>
          <w:lang w:bidi="fa-IR"/>
        </w:rPr>
        <w:t xml:space="preserve"> السَّائِلُ </w:t>
      </w:r>
      <w:r w:rsidRPr="005B567D">
        <w:rPr>
          <w:rStyle w:val="libFootnotenumChar"/>
          <w:rtl/>
        </w:rPr>
        <w:t>(17)</w:t>
      </w:r>
      <w:r w:rsidRPr="00C9040A">
        <w:rPr>
          <w:rtl/>
          <w:lang w:bidi="fa-IR"/>
        </w:rPr>
        <w:t xml:space="preserve"> : أَحْيَيْتَ قَلْبِي بِإِذْنِ اللهِ يَا أَمِيرَ الْمُؤْمِنِينَ </w:t>
      </w:r>
      <w:r w:rsidRPr="005B567D">
        <w:rPr>
          <w:rStyle w:val="libFootnotenumChar"/>
          <w:rtl/>
        </w:rPr>
        <w:t>(18)</w:t>
      </w:r>
      <w:r w:rsidR="003C6753">
        <w:rPr>
          <w:rFonts w:hint="cs"/>
          <w:rtl/>
          <w:lang w:bidi="fa-IR"/>
        </w:rPr>
        <w:t>.</w:t>
      </w:r>
      <w:r w:rsidRPr="005B567D">
        <w:rPr>
          <w:rStyle w:val="libFootnotenumChar"/>
          <w:rtl/>
        </w:rPr>
        <w:t>(19)</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ب ، ج ، د ، ز ، </w:t>
      </w:r>
      <w:r w:rsidR="006D3162">
        <w:rPr>
          <w:rtl/>
        </w:rPr>
        <w:t xml:space="preserve">ه </w:t>
      </w:r>
      <w:r w:rsidR="008A74EB" w:rsidRPr="00C9040A">
        <w:rPr>
          <w:rtl/>
        </w:rPr>
        <w:t>، بر ، بس ، بف » : « يوقعه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الوسائل : « يواقع الخطيئة » بدل « توقعه في الخطيئة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الوافي : « وإذا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ب ، ج » : « تقضى »</w:t>
      </w:r>
      <w:r w:rsidR="008A74EB">
        <w:rPr>
          <w:rtl/>
        </w:rPr>
        <w:t>.</w:t>
      </w:r>
      <w:r w:rsidR="008A74EB" w:rsidRPr="00C9040A">
        <w:rPr>
          <w:rtl/>
        </w:rPr>
        <w:t xml:space="preserve"> وفي « د ، ز » : « تقصّى » بالقاف. وقال في </w:t>
      </w:r>
      <w:r w:rsidR="008A74EB" w:rsidRPr="00993B55">
        <w:rPr>
          <w:rStyle w:val="libFootnoteBoldChar"/>
          <w:rtl/>
        </w:rPr>
        <w:t>مرآة العقول</w:t>
      </w:r>
      <w:r w:rsidR="008A74EB" w:rsidRPr="00C9040A">
        <w:rPr>
          <w:rtl/>
        </w:rPr>
        <w:t xml:space="preserve"> : « وهو تصحيف »</w:t>
      </w:r>
      <w:r w:rsidR="008A74EB">
        <w:rPr>
          <w:rtl/>
        </w:rPr>
        <w:t>.</w:t>
      </w:r>
      <w:r w:rsidR="008A74EB" w:rsidRPr="00C9040A">
        <w:rPr>
          <w:rtl/>
        </w:rPr>
        <w:t xml:space="preserve"> وفي « </w:t>
      </w:r>
      <w:r w:rsidR="006D3162">
        <w:rPr>
          <w:rtl/>
        </w:rPr>
        <w:t xml:space="preserve">ه </w:t>
      </w:r>
      <w:r w:rsidR="008A74EB" w:rsidRPr="00C9040A">
        <w:rPr>
          <w:rtl/>
        </w:rPr>
        <w:t>» : « يفصّى »</w:t>
      </w:r>
      <w:r w:rsidR="008A74EB">
        <w:rPr>
          <w:rtl/>
        </w:rPr>
        <w:t>.</w:t>
      </w:r>
      <w:r w:rsidR="008A74EB" w:rsidRPr="00C9040A">
        <w:rPr>
          <w:rtl/>
        </w:rPr>
        <w:t xml:space="preserve"> وتفصّيت من الأمر تفصّياً : إذا خرجتَ منه وتخلّصتَ. </w:t>
      </w:r>
      <w:r w:rsidR="008A74EB" w:rsidRPr="00993B55">
        <w:rPr>
          <w:rStyle w:val="libFootnoteBoldChar"/>
          <w:rtl/>
        </w:rPr>
        <w:t>النهاية</w:t>
      </w:r>
      <w:r w:rsidR="008A74EB" w:rsidRPr="00C9040A">
        <w:rPr>
          <w:rtl/>
        </w:rPr>
        <w:t xml:space="preserve"> ، ج 3 ، ص 352 ( فصا )</w:t>
      </w:r>
      <w:r w:rsidR="008A74EB">
        <w:rPr>
          <w:rtl/>
        </w:rPr>
        <w:t>.</w:t>
      </w:r>
    </w:p>
    <w:tbl>
      <w:tblPr>
        <w:tblStyle w:val="TableGrid"/>
        <w:bidiVisual/>
        <w:tblW w:w="0" w:type="auto"/>
        <w:tblLook w:val="04A0" w:firstRow="1" w:lastRow="0" w:firstColumn="1" w:lastColumn="0" w:noHBand="0" w:noVBand="1"/>
      </w:tblPr>
      <w:tblGrid>
        <w:gridCol w:w="4006"/>
        <w:gridCol w:w="4006"/>
      </w:tblGrid>
      <w:tr w:rsidR="003C6753" w:rsidTr="003C6753">
        <w:tc>
          <w:tcPr>
            <w:tcW w:w="4006" w:type="dxa"/>
          </w:tcPr>
          <w:p w:rsidR="003C6753" w:rsidRDefault="003C6753" w:rsidP="004A4E41">
            <w:pPr>
              <w:pStyle w:val="libFootnote0"/>
              <w:rPr>
                <w:rtl/>
              </w:rPr>
            </w:pPr>
            <w:r>
              <w:rPr>
                <w:rtl/>
              </w:rPr>
              <w:t>(5).</w:t>
            </w:r>
            <w:r w:rsidRPr="00C9040A">
              <w:rPr>
                <w:rtl/>
              </w:rPr>
              <w:t xml:space="preserve"> في « </w:t>
            </w:r>
            <w:r>
              <w:rPr>
                <w:rtl/>
              </w:rPr>
              <w:t xml:space="preserve">ه </w:t>
            </w:r>
            <w:r w:rsidRPr="00C9040A">
              <w:rPr>
                <w:rtl/>
              </w:rPr>
              <w:t>» : « وليس »</w:t>
            </w:r>
            <w:r>
              <w:rPr>
                <w:rtl/>
              </w:rPr>
              <w:t>.</w:t>
            </w:r>
          </w:p>
        </w:tc>
        <w:tc>
          <w:tcPr>
            <w:tcW w:w="4006" w:type="dxa"/>
          </w:tcPr>
          <w:p w:rsidR="003C6753" w:rsidRDefault="003C6753" w:rsidP="004A4E41">
            <w:pPr>
              <w:pStyle w:val="libFootnote0"/>
              <w:rPr>
                <w:rtl/>
              </w:rPr>
            </w:pPr>
            <w:r>
              <w:rPr>
                <w:rtl/>
              </w:rPr>
              <w:t xml:space="preserve">(6). </w:t>
            </w:r>
            <w:r w:rsidRPr="00C9040A">
              <w:rPr>
                <w:rtl/>
              </w:rPr>
              <w:t>في الوافي : « تعود »</w:t>
            </w:r>
            <w:r>
              <w:rPr>
                <w:rtl/>
              </w:rPr>
              <w:t>.</w:t>
            </w:r>
          </w:p>
        </w:tc>
      </w:tr>
      <w:tr w:rsidR="003C6753" w:rsidTr="003C6753">
        <w:tc>
          <w:tcPr>
            <w:tcW w:w="4006" w:type="dxa"/>
          </w:tcPr>
          <w:p w:rsidR="003C6753" w:rsidRDefault="003C6753" w:rsidP="004A4E41">
            <w:pPr>
              <w:pStyle w:val="libFootnote0"/>
              <w:rPr>
                <w:rtl/>
              </w:rPr>
            </w:pPr>
            <w:r>
              <w:rPr>
                <w:rtl/>
              </w:rPr>
              <w:t>(7).</w:t>
            </w:r>
            <w:r w:rsidRPr="00C9040A">
              <w:rPr>
                <w:rtl/>
              </w:rPr>
              <w:t xml:space="preserve"> في « </w:t>
            </w:r>
            <w:r>
              <w:rPr>
                <w:rtl/>
              </w:rPr>
              <w:t xml:space="preserve">ه </w:t>
            </w:r>
            <w:r w:rsidRPr="00C9040A">
              <w:rPr>
                <w:rtl/>
              </w:rPr>
              <w:t>» : « فإن »</w:t>
            </w:r>
            <w:r>
              <w:rPr>
                <w:rtl/>
              </w:rPr>
              <w:t>.</w:t>
            </w:r>
          </w:p>
        </w:tc>
        <w:tc>
          <w:tcPr>
            <w:tcW w:w="4006" w:type="dxa"/>
          </w:tcPr>
          <w:p w:rsidR="003C6753" w:rsidRDefault="003C6753" w:rsidP="004A4E41">
            <w:pPr>
              <w:pStyle w:val="libFootnote0"/>
              <w:rPr>
                <w:rtl/>
              </w:rPr>
            </w:pPr>
            <w:r>
              <w:rPr>
                <w:rtl/>
              </w:rPr>
              <w:t>(8).</w:t>
            </w:r>
            <w:r w:rsidRPr="00C9040A">
              <w:rPr>
                <w:rtl/>
              </w:rPr>
              <w:t xml:space="preserve"> في الوسائل </w:t>
            </w:r>
            <w:r>
              <w:rPr>
                <w:rtl/>
              </w:rPr>
              <w:t>: -</w:t>
            </w:r>
            <w:r w:rsidRPr="00C9040A">
              <w:rPr>
                <w:rtl/>
              </w:rPr>
              <w:t xml:space="preserve"> « الله »</w:t>
            </w:r>
            <w:r>
              <w:rPr>
                <w:rtl/>
              </w:rPr>
              <w:t>.</w:t>
            </w:r>
          </w:p>
        </w:tc>
      </w:tr>
      <w:tr w:rsidR="003C6753" w:rsidTr="003C6753">
        <w:tc>
          <w:tcPr>
            <w:tcW w:w="4006" w:type="dxa"/>
          </w:tcPr>
          <w:p w:rsidR="003C6753" w:rsidRDefault="003C6753" w:rsidP="004A4E41">
            <w:pPr>
              <w:pStyle w:val="libFootnote0"/>
              <w:rPr>
                <w:rtl/>
              </w:rPr>
            </w:pPr>
            <w:r>
              <w:rPr>
                <w:rtl/>
              </w:rPr>
              <w:t>(9).</w:t>
            </w:r>
            <w:r w:rsidRPr="00C9040A">
              <w:rPr>
                <w:rtl/>
              </w:rPr>
              <w:t xml:space="preserve"> في « </w:t>
            </w:r>
            <w:r>
              <w:rPr>
                <w:rtl/>
              </w:rPr>
              <w:t xml:space="preserve">ه </w:t>
            </w:r>
            <w:r w:rsidRPr="00C9040A">
              <w:rPr>
                <w:rtl/>
              </w:rPr>
              <w:t>» : « وأمّا »</w:t>
            </w:r>
            <w:r>
              <w:rPr>
                <w:rtl/>
              </w:rPr>
              <w:t>.</w:t>
            </w:r>
          </w:p>
        </w:tc>
        <w:tc>
          <w:tcPr>
            <w:tcW w:w="4006" w:type="dxa"/>
          </w:tcPr>
          <w:p w:rsidR="003C6753" w:rsidRDefault="003C6753" w:rsidP="004A4E41">
            <w:pPr>
              <w:pStyle w:val="libFootnote0"/>
              <w:rPr>
                <w:rtl/>
              </w:rPr>
            </w:pPr>
            <w:r>
              <w:rPr>
                <w:rtl/>
              </w:rPr>
              <w:t>(10).</w:t>
            </w:r>
            <w:r w:rsidRPr="00C9040A">
              <w:rPr>
                <w:rtl/>
              </w:rPr>
              <w:t xml:space="preserve"> في « ب » </w:t>
            </w:r>
            <w:r>
              <w:rPr>
                <w:rtl/>
              </w:rPr>
              <w:t>:-</w:t>
            </w:r>
            <w:r w:rsidRPr="00C9040A">
              <w:rPr>
                <w:rtl/>
              </w:rPr>
              <w:t>« يعرفون محمّداً</w:t>
            </w:r>
            <w:r>
              <w:rPr>
                <w:rtl/>
              </w:rPr>
              <w:t xml:space="preserve"> - </w:t>
            </w:r>
            <w:r w:rsidRPr="00C9040A">
              <w:rPr>
                <w:rtl/>
              </w:rPr>
              <w:t>إلى</w:t>
            </w:r>
            <w:r>
              <w:rPr>
                <w:rtl/>
              </w:rPr>
              <w:t>- أبناءهم</w:t>
            </w:r>
            <w:r w:rsidRPr="00C9040A">
              <w:rPr>
                <w:rtl/>
              </w:rPr>
              <w:t>»</w:t>
            </w:r>
            <w:r>
              <w:rPr>
                <w:rtl/>
              </w:rPr>
              <w:t>.</w:t>
            </w:r>
          </w:p>
        </w:tc>
      </w:tr>
      <w:tr w:rsidR="003C6753" w:rsidTr="003C6753">
        <w:tc>
          <w:tcPr>
            <w:tcW w:w="4006" w:type="dxa"/>
          </w:tcPr>
          <w:p w:rsidR="003C6753" w:rsidRDefault="003C6753" w:rsidP="004A4E41">
            <w:pPr>
              <w:pStyle w:val="libFootnote0"/>
              <w:rPr>
                <w:rtl/>
              </w:rPr>
            </w:pPr>
            <w:r>
              <w:rPr>
                <w:rtl/>
              </w:rPr>
              <w:t>(11).</w:t>
            </w:r>
            <w:r w:rsidRPr="00C9040A">
              <w:rPr>
                <w:rtl/>
              </w:rPr>
              <w:t xml:space="preserve"> في « بس » : « وأنّك »</w:t>
            </w:r>
            <w:r>
              <w:rPr>
                <w:rtl/>
              </w:rPr>
              <w:t>.</w:t>
            </w:r>
          </w:p>
        </w:tc>
        <w:tc>
          <w:tcPr>
            <w:tcW w:w="4006" w:type="dxa"/>
          </w:tcPr>
          <w:p w:rsidR="003C6753" w:rsidRDefault="003C6753" w:rsidP="004A4E41">
            <w:pPr>
              <w:pStyle w:val="libFootnote0"/>
              <w:rPr>
                <w:rtl/>
              </w:rPr>
            </w:pPr>
            <w:r>
              <w:rPr>
                <w:rtl/>
              </w:rPr>
              <w:t>(12).</w:t>
            </w:r>
            <w:r w:rsidRPr="00C9040A">
              <w:rPr>
                <w:rtl/>
              </w:rPr>
              <w:t xml:space="preserve"> البقرة </w:t>
            </w:r>
            <w:r>
              <w:rPr>
                <w:rtl/>
              </w:rPr>
              <w:t>(2)</w:t>
            </w:r>
            <w:r w:rsidRPr="00C9040A">
              <w:rPr>
                <w:rtl/>
              </w:rPr>
              <w:t xml:space="preserve"> : 146</w:t>
            </w:r>
            <w:r>
              <w:rPr>
                <w:rtl/>
              </w:rPr>
              <w:t xml:space="preserve"> - </w:t>
            </w:r>
            <w:r w:rsidRPr="00C9040A">
              <w:rPr>
                <w:rtl/>
              </w:rPr>
              <w:t>147.</w:t>
            </w:r>
          </w:p>
        </w:tc>
      </w:tr>
    </w:tbl>
    <w:p w:rsidR="008A74EB" w:rsidRPr="00C9040A" w:rsidRDefault="008A74EB" w:rsidP="004A4E41">
      <w:pPr>
        <w:pStyle w:val="libFootnote0"/>
        <w:rPr>
          <w:rtl/>
          <w:lang w:bidi="fa-IR"/>
        </w:rPr>
      </w:pPr>
      <w:r>
        <w:rPr>
          <w:rtl/>
        </w:rPr>
        <w:t>(13)</w:t>
      </w:r>
      <w:r w:rsidRPr="00C9040A">
        <w:rPr>
          <w:rtl/>
        </w:rPr>
        <w:t xml:space="preserve"> في « ج ، د ، </w:t>
      </w:r>
      <w:r w:rsidR="006D3162">
        <w:rPr>
          <w:rtl/>
        </w:rPr>
        <w:t xml:space="preserve">ه </w:t>
      </w:r>
      <w:r w:rsidRPr="00C9040A">
        <w:rPr>
          <w:rtl/>
        </w:rPr>
        <w:t xml:space="preserve">، بر ، بف » والوافي والبحار </w:t>
      </w:r>
      <w:r>
        <w:rPr>
          <w:rtl/>
        </w:rPr>
        <w:t xml:space="preserve">: </w:t>
      </w:r>
      <w:r w:rsidR="0084262C">
        <w:rPr>
          <w:rtl/>
        </w:rPr>
        <w:t>-</w:t>
      </w:r>
      <w:r w:rsidRPr="00C9040A">
        <w:rPr>
          <w:rtl/>
        </w:rPr>
        <w:t xml:space="preserve"> « الله »</w:t>
      </w:r>
      <w:r>
        <w:rPr>
          <w:rtl/>
        </w:rPr>
        <w:t>.</w:t>
      </w:r>
    </w:p>
    <w:tbl>
      <w:tblPr>
        <w:tblStyle w:val="TableGrid"/>
        <w:bidiVisual/>
        <w:tblW w:w="0" w:type="auto"/>
        <w:tblLook w:val="04A0" w:firstRow="1" w:lastRow="0" w:firstColumn="1" w:lastColumn="0" w:noHBand="0" w:noVBand="1"/>
      </w:tblPr>
      <w:tblGrid>
        <w:gridCol w:w="4006"/>
        <w:gridCol w:w="4006"/>
      </w:tblGrid>
      <w:tr w:rsidR="00B47954" w:rsidTr="00B47954">
        <w:tc>
          <w:tcPr>
            <w:tcW w:w="4006" w:type="dxa"/>
          </w:tcPr>
          <w:p w:rsidR="00B47954" w:rsidRDefault="00B47954" w:rsidP="004A4E41">
            <w:pPr>
              <w:pStyle w:val="libFootnote0"/>
              <w:rPr>
                <w:rtl/>
                <w:lang w:bidi="fa-IR"/>
              </w:rPr>
            </w:pPr>
            <w:r>
              <w:rPr>
                <w:rtl/>
              </w:rPr>
              <w:t>(14)</w:t>
            </w:r>
            <w:r w:rsidRPr="00C9040A">
              <w:rPr>
                <w:rtl/>
              </w:rPr>
              <w:t xml:space="preserve"> الفرقان (25) : 44.</w:t>
            </w:r>
          </w:p>
        </w:tc>
        <w:tc>
          <w:tcPr>
            <w:tcW w:w="4006" w:type="dxa"/>
          </w:tcPr>
          <w:p w:rsidR="00B47954" w:rsidRDefault="00B47954" w:rsidP="004A4E41">
            <w:pPr>
              <w:pStyle w:val="libFootnote0"/>
              <w:rPr>
                <w:rtl/>
                <w:lang w:bidi="fa-IR"/>
              </w:rPr>
            </w:pPr>
            <w:r>
              <w:rPr>
                <w:rtl/>
              </w:rPr>
              <w:t>(15)</w:t>
            </w:r>
            <w:r w:rsidRPr="00C9040A">
              <w:rPr>
                <w:rtl/>
              </w:rPr>
              <w:t xml:space="preserve"> في « بر » : « وتعلف »</w:t>
            </w:r>
            <w:r>
              <w:rPr>
                <w:rtl/>
              </w:rPr>
              <w:t>.</w:t>
            </w:r>
          </w:p>
        </w:tc>
      </w:tr>
    </w:tbl>
    <w:p w:rsidR="008A74EB" w:rsidRPr="00C9040A" w:rsidRDefault="008A74EB" w:rsidP="004A4E41">
      <w:pPr>
        <w:pStyle w:val="libFootnote0"/>
        <w:rPr>
          <w:rtl/>
          <w:lang w:bidi="fa-IR"/>
        </w:rPr>
      </w:pPr>
      <w:r>
        <w:rPr>
          <w:rtl/>
        </w:rPr>
        <w:t>(16)</w:t>
      </w:r>
      <w:r w:rsidRPr="00C9040A">
        <w:rPr>
          <w:rtl/>
        </w:rPr>
        <w:t xml:space="preserve"> في « ب ، ج ، د ، ص ، بس ، بف » والوافي والبحار </w:t>
      </w:r>
      <w:r>
        <w:rPr>
          <w:rtl/>
        </w:rPr>
        <w:t xml:space="preserve">: </w:t>
      </w:r>
      <w:r w:rsidR="0084262C">
        <w:rPr>
          <w:rtl/>
        </w:rPr>
        <w:t>-</w:t>
      </w:r>
      <w:r w:rsidRPr="00C9040A">
        <w:rPr>
          <w:rtl/>
        </w:rPr>
        <w:t xml:space="preserve"> « له »</w:t>
      </w:r>
      <w:r>
        <w:rPr>
          <w:rtl/>
        </w:rPr>
        <w:t>.</w:t>
      </w:r>
    </w:p>
    <w:tbl>
      <w:tblPr>
        <w:tblStyle w:val="TableGrid"/>
        <w:bidiVisual/>
        <w:tblW w:w="0" w:type="auto"/>
        <w:tblLook w:val="04A0" w:firstRow="1" w:lastRow="0" w:firstColumn="1" w:lastColumn="0" w:noHBand="0" w:noVBand="1"/>
      </w:tblPr>
      <w:tblGrid>
        <w:gridCol w:w="4006"/>
        <w:gridCol w:w="4006"/>
      </w:tblGrid>
      <w:tr w:rsidR="00B47954" w:rsidTr="00B47954">
        <w:tc>
          <w:tcPr>
            <w:tcW w:w="4006" w:type="dxa"/>
          </w:tcPr>
          <w:p w:rsidR="00B47954" w:rsidRDefault="00B47954" w:rsidP="004A4E41">
            <w:pPr>
              <w:pStyle w:val="libFootnote0"/>
              <w:rPr>
                <w:rtl/>
                <w:lang w:bidi="fa-IR"/>
              </w:rPr>
            </w:pPr>
            <w:r>
              <w:rPr>
                <w:rtl/>
              </w:rPr>
              <w:t>(17)</w:t>
            </w:r>
            <w:r w:rsidRPr="00C9040A">
              <w:rPr>
                <w:rtl/>
              </w:rPr>
              <w:t xml:space="preserve"> في « ز » : « السائل له »</w:t>
            </w:r>
            <w:r>
              <w:rPr>
                <w:rtl/>
              </w:rPr>
              <w:t>.</w:t>
            </w:r>
          </w:p>
        </w:tc>
        <w:tc>
          <w:tcPr>
            <w:tcW w:w="4006" w:type="dxa"/>
          </w:tcPr>
          <w:p w:rsidR="00B47954" w:rsidRDefault="00B47954" w:rsidP="004A4E41">
            <w:pPr>
              <w:pStyle w:val="libFootnote0"/>
              <w:rPr>
                <w:rtl/>
                <w:lang w:bidi="fa-IR"/>
              </w:rPr>
            </w:pPr>
            <w:r>
              <w:rPr>
                <w:rtl/>
              </w:rPr>
              <w:t>(18)</w:t>
            </w:r>
            <w:r w:rsidRPr="00C9040A">
              <w:rPr>
                <w:rtl/>
              </w:rPr>
              <w:t xml:space="preserve"> في « ض » </w:t>
            </w:r>
            <w:r>
              <w:rPr>
                <w:rtl/>
              </w:rPr>
              <w:t>: -</w:t>
            </w:r>
            <w:r w:rsidRPr="00C9040A">
              <w:rPr>
                <w:rtl/>
              </w:rPr>
              <w:t xml:space="preserve"> « يا أميرالمؤمنين »</w:t>
            </w:r>
            <w:r>
              <w:rPr>
                <w:rtl/>
              </w:rPr>
              <w:t>.</w:t>
            </w:r>
          </w:p>
        </w:tc>
      </w:tr>
    </w:tbl>
    <w:p w:rsidR="008A74EB" w:rsidRPr="00C9040A" w:rsidRDefault="008A74EB" w:rsidP="004A4E41">
      <w:pPr>
        <w:pStyle w:val="libFootnote0"/>
        <w:rPr>
          <w:rtl/>
          <w:lang w:bidi="fa-IR"/>
        </w:rPr>
      </w:pPr>
      <w:r>
        <w:rPr>
          <w:rtl/>
        </w:rPr>
        <w:t>(19)</w:t>
      </w:r>
      <w:r w:rsidRPr="00C9040A">
        <w:rPr>
          <w:rtl/>
        </w:rPr>
        <w:t xml:space="preserve"> </w:t>
      </w:r>
      <w:r w:rsidRPr="00993B55">
        <w:rPr>
          <w:rStyle w:val="libFootnoteBoldChar"/>
          <w:rtl/>
        </w:rPr>
        <w:t>بصائر الدرجات</w:t>
      </w:r>
      <w:r w:rsidRPr="00C9040A">
        <w:rPr>
          <w:rtl/>
        </w:rPr>
        <w:t xml:space="preserve"> ، ص 449 ، ح 6 ، بسنده عن محمّد بن داود ، عن ابن هارون العبدي ، عن محمّد ، عن </w:t>
      </w:r>
      <w:r w:rsidR="00666222">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F4666C">
        <w:rPr>
          <w:rtl/>
        </w:rPr>
        <w:t>2459</w:t>
      </w:r>
      <w:r w:rsidRPr="00261CB0">
        <w:rPr>
          <w:rStyle w:val="libBold2Char"/>
          <w:rtl/>
        </w:rPr>
        <w:t xml:space="preserve"> / 18.</w:t>
      </w:r>
      <w:r w:rsidRPr="00C9040A">
        <w:rPr>
          <w:rtl/>
          <w:lang w:bidi="fa-IR"/>
        </w:rPr>
        <w:t xml:space="preserve"> عَلِيُّ بْنُ إِبْرَاهِيمَ ، عَنْ مُحَمَّدِ بْنِ عِيسى ، عَنْ يُونُسَ ، عَنْ دَاوُدَ ، قَالَ :</w:t>
      </w:r>
    </w:p>
    <w:p w:rsidR="008A74EB" w:rsidRPr="00C9040A" w:rsidRDefault="008A74EB" w:rsidP="008A74EB">
      <w:pPr>
        <w:pStyle w:val="libNormal"/>
        <w:rPr>
          <w:rtl/>
          <w:lang w:bidi="fa-IR"/>
        </w:rPr>
      </w:pPr>
      <w:r w:rsidRPr="00C9040A">
        <w:rPr>
          <w:rtl/>
          <w:lang w:bidi="fa-IR"/>
        </w:rPr>
        <w:t xml:space="preserve">سَأَلْتُ أَبَا عَبْدِ اللهِ </w:t>
      </w:r>
      <w:r w:rsidRPr="0003660B">
        <w:rPr>
          <w:rStyle w:val="libAlaemChar"/>
          <w:rtl/>
        </w:rPr>
        <w:t>عليه‌السلام</w:t>
      </w:r>
      <w:r w:rsidRPr="00C9040A">
        <w:rPr>
          <w:rtl/>
          <w:lang w:bidi="fa-IR"/>
        </w:rPr>
        <w:t xml:space="preserve"> عَنْ قَوْلِ رَسُولِ اللهِ </w:t>
      </w:r>
      <w:r w:rsidR="004A4E41" w:rsidRPr="004A4E41">
        <w:rPr>
          <w:rStyle w:val="libAlaemChar"/>
          <w:rtl/>
        </w:rPr>
        <w:t>صلى‌الله‌عليه‌وآله</w:t>
      </w:r>
      <w:r w:rsidRPr="00C9040A">
        <w:rPr>
          <w:rtl/>
          <w:lang w:bidi="fa-IR"/>
        </w:rPr>
        <w:t xml:space="preserve"> : « إِذَا زَنَى الرَّجُلُ فَارَقَهُ </w:t>
      </w:r>
      <w:r w:rsidR="006C577F" w:rsidRPr="006C577F">
        <w:rPr>
          <w:rStyle w:val="libFootnotenumChar"/>
          <w:rtl/>
        </w:rPr>
        <w:t>(1)</w:t>
      </w:r>
      <w:r w:rsidRPr="00C9040A">
        <w:rPr>
          <w:rtl/>
          <w:lang w:bidi="fa-IR"/>
        </w:rPr>
        <w:t xml:space="preserve"> رُوحُ الْإِيمَانِ » ، قَالَ : فَقَالَ : « هُوَ مِثْلُ قَوْلِ اللهِ عَزَّ وَجَلَّ </w:t>
      </w:r>
      <w:r w:rsidR="006C577F" w:rsidRPr="006C577F">
        <w:rPr>
          <w:rStyle w:val="libFootnotenumChar"/>
          <w:rtl/>
        </w:rPr>
        <w:t>(2)</w:t>
      </w:r>
      <w:r w:rsidRPr="00C9040A">
        <w:rPr>
          <w:rtl/>
          <w:lang w:bidi="fa-IR"/>
        </w:rPr>
        <w:t xml:space="preserve"> : </w:t>
      </w:r>
      <w:r w:rsidRPr="0003660B">
        <w:rPr>
          <w:rStyle w:val="libAlaemChar"/>
          <w:rtl/>
        </w:rPr>
        <w:t>(</w:t>
      </w:r>
      <w:r w:rsidRPr="006A2246">
        <w:rPr>
          <w:rStyle w:val="libAieChar"/>
          <w:rtl/>
        </w:rPr>
        <w:t xml:space="preserve"> وَلا تَيَمَّمُوا الْخَبِيثَ مِنْهُ تُنْفِقُونَ </w:t>
      </w:r>
      <w:r w:rsidRPr="0003660B">
        <w:rPr>
          <w:rStyle w:val="libAlaemChar"/>
          <w:rtl/>
        </w:rPr>
        <w:t>)</w:t>
      </w:r>
      <w:r w:rsidRPr="00C9040A">
        <w:rPr>
          <w:rtl/>
          <w:lang w:bidi="fa-IR"/>
        </w:rPr>
        <w:t xml:space="preserve"> </w:t>
      </w:r>
      <w:r w:rsidR="006C577F" w:rsidRPr="006C577F">
        <w:rPr>
          <w:rStyle w:val="libFootnotenumChar"/>
          <w:rtl/>
        </w:rPr>
        <w:t>(3)</w:t>
      </w:r>
      <w:r w:rsidRPr="00C9040A">
        <w:rPr>
          <w:rtl/>
          <w:lang w:bidi="fa-IR"/>
        </w:rPr>
        <w:t xml:space="preserve"> »</w:t>
      </w:r>
      <w:r>
        <w:rPr>
          <w:rtl/>
          <w:lang w:bidi="fa-IR"/>
        </w:rPr>
        <w:t>.</w:t>
      </w:r>
    </w:p>
    <w:p w:rsidR="008A74EB" w:rsidRPr="00C9040A" w:rsidRDefault="008A74EB" w:rsidP="008A74EB">
      <w:pPr>
        <w:pStyle w:val="libNormal"/>
        <w:rPr>
          <w:rtl/>
          <w:lang w:bidi="fa-IR"/>
        </w:rPr>
      </w:pPr>
      <w:r w:rsidRPr="00C9040A">
        <w:rPr>
          <w:rtl/>
          <w:lang w:bidi="fa-IR"/>
        </w:rPr>
        <w:t xml:space="preserve">ثُمَّ قَالَ : « غَيْرُ هذَا أَبْيَنُ مِنْهُ ، ذلِكَ قَوْلُ اللهِ عَزَّ وَجَلَّ </w:t>
      </w:r>
      <w:r w:rsidR="006C577F" w:rsidRPr="006C577F">
        <w:rPr>
          <w:rStyle w:val="libFootnotenumChar"/>
          <w:rtl/>
        </w:rPr>
        <w:t>(4)</w:t>
      </w:r>
      <w:r w:rsidRPr="00C9040A">
        <w:rPr>
          <w:rtl/>
          <w:lang w:bidi="fa-IR"/>
        </w:rPr>
        <w:t xml:space="preserve"> : </w:t>
      </w:r>
      <w:r w:rsidRPr="0003660B">
        <w:rPr>
          <w:rStyle w:val="libAlaemChar"/>
          <w:rtl/>
        </w:rPr>
        <w:t>(</w:t>
      </w:r>
      <w:r w:rsidRPr="006A2246">
        <w:rPr>
          <w:rStyle w:val="libAieChar"/>
          <w:rtl/>
        </w:rPr>
        <w:t xml:space="preserve"> وَأَيَّدَهُمْ بِرُوحٍ مِنْهُ </w:t>
      </w:r>
      <w:r w:rsidRPr="0003660B">
        <w:rPr>
          <w:rStyle w:val="libAlaemChar"/>
          <w:rtl/>
        </w:rPr>
        <w:t>)</w:t>
      </w:r>
      <w:r w:rsidRPr="00C9040A">
        <w:rPr>
          <w:rtl/>
          <w:lang w:bidi="fa-IR"/>
        </w:rPr>
        <w:t xml:space="preserve"> </w:t>
      </w:r>
      <w:r w:rsidR="006C577F" w:rsidRPr="006C577F">
        <w:rPr>
          <w:rStyle w:val="libFootnotenumChar"/>
          <w:rtl/>
        </w:rPr>
        <w:t>(5)</w:t>
      </w:r>
      <w:r w:rsidRPr="00C9040A">
        <w:rPr>
          <w:rtl/>
          <w:lang w:bidi="fa-IR"/>
        </w:rPr>
        <w:t xml:space="preserve"> هُوَ الَّذِي فَارَقَهُ »</w:t>
      </w:r>
      <w:r>
        <w:rPr>
          <w:rtl/>
          <w:lang w:bidi="fa-IR"/>
        </w:rPr>
        <w:t>.</w:t>
      </w:r>
      <w:r w:rsidRPr="00C9040A">
        <w:rPr>
          <w:rtl/>
          <w:lang w:bidi="fa-IR"/>
        </w:rPr>
        <w:t xml:space="preserve"> </w:t>
      </w:r>
      <w:r w:rsidR="006C577F" w:rsidRPr="006C577F">
        <w:rPr>
          <w:rStyle w:val="libFootnotenumChar"/>
          <w:rtl/>
        </w:rPr>
        <w:t>(6)</w:t>
      </w:r>
    </w:p>
    <w:p w:rsidR="008A74EB" w:rsidRPr="00C9040A" w:rsidRDefault="008A74EB" w:rsidP="008A74EB">
      <w:pPr>
        <w:pStyle w:val="libNormal"/>
        <w:rPr>
          <w:rtl/>
          <w:lang w:bidi="fa-IR"/>
        </w:rPr>
      </w:pPr>
      <w:r w:rsidRPr="00F4666C">
        <w:rPr>
          <w:rtl/>
        </w:rPr>
        <w:t>2460</w:t>
      </w:r>
      <w:r w:rsidRPr="00261CB0">
        <w:rPr>
          <w:rStyle w:val="libBold2Char"/>
          <w:rtl/>
        </w:rPr>
        <w:t xml:space="preserve"> / 19.</w:t>
      </w:r>
      <w:r w:rsidRPr="00C9040A">
        <w:rPr>
          <w:rtl/>
          <w:lang w:bidi="fa-IR"/>
        </w:rPr>
        <w:t xml:space="preserve"> يُونُسُ </w:t>
      </w:r>
      <w:r w:rsidR="006C577F" w:rsidRPr="006C577F">
        <w:rPr>
          <w:rStyle w:val="libFootnotenumChar"/>
          <w:rtl/>
        </w:rPr>
        <w:t>(7)</w:t>
      </w:r>
      <w:r w:rsidRPr="00C9040A">
        <w:rPr>
          <w:rtl/>
          <w:lang w:bidi="fa-IR"/>
        </w:rPr>
        <w:t xml:space="preserve"> ، عَنِ ابْنِ بُكَيْرٍ ، عَنْ سُلَيْمَانَ بْنِ خَالِدٍ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w:t>
      </w:r>
      <w:r w:rsidRPr="0003660B">
        <w:rPr>
          <w:rStyle w:val="libAlaemChar"/>
          <w:rtl/>
        </w:rPr>
        <w:t>(</w:t>
      </w:r>
      <w:r w:rsidRPr="006A2246">
        <w:rPr>
          <w:rStyle w:val="libAieChar"/>
          <w:rtl/>
        </w:rPr>
        <w:t xml:space="preserve"> إِنَّ اللهَ لا يَغْفِرُ أَنْ يُشْرَكَ بِهِ وَيَغْفِرُ ما دُونَ ذلِكَ لِمَنْ يَشاءُ </w:t>
      </w:r>
      <w:r w:rsidRPr="0003660B">
        <w:rPr>
          <w:rStyle w:val="libAlaemChar"/>
          <w:rtl/>
        </w:rPr>
        <w:t>)</w:t>
      </w:r>
      <w:r w:rsidRPr="00C9040A">
        <w:rPr>
          <w:rtl/>
          <w:lang w:bidi="fa-IR"/>
        </w:rPr>
        <w:t xml:space="preserve"> </w:t>
      </w:r>
      <w:r w:rsidR="006C577F" w:rsidRPr="006C577F">
        <w:rPr>
          <w:rStyle w:val="libFootnotenumChar"/>
          <w:rtl/>
        </w:rPr>
        <w:t>(8)</w:t>
      </w:r>
      <w:r w:rsidRPr="00C9040A">
        <w:rPr>
          <w:rtl/>
          <w:lang w:bidi="fa-IR"/>
        </w:rPr>
        <w:t xml:space="preserve"> الْكَبَائِرَ فَمَا سِوَاهَا »</w:t>
      </w:r>
      <w:r>
        <w:rPr>
          <w:rtl/>
          <w:lang w:bidi="fa-IR"/>
        </w:rPr>
        <w:t>.</w:t>
      </w:r>
      <w:r w:rsidRPr="00C9040A">
        <w:rPr>
          <w:rtl/>
          <w:lang w:bidi="fa-IR"/>
        </w:rPr>
        <w:t xml:space="preserve"> قَالَ : قُلْتُ : دَخَلَتِ الْكَبَائِرُ فِي الِاسْتِثْنَاءِ </w:t>
      </w:r>
      <w:r w:rsidR="006C577F" w:rsidRPr="006C577F">
        <w:rPr>
          <w:rStyle w:val="libFootnotenumChar"/>
          <w:rtl/>
        </w:rPr>
        <w:t>(9)</w:t>
      </w:r>
      <w:r>
        <w:rPr>
          <w:rtl/>
          <w:lang w:bidi="fa-IR"/>
        </w:rPr>
        <w:t>؟</w:t>
      </w:r>
      <w:r w:rsidRPr="00C9040A">
        <w:rPr>
          <w:rtl/>
          <w:lang w:bidi="fa-IR"/>
        </w:rPr>
        <w:t xml:space="preserve"> قَالَ : « نَعَمْ »</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66222" w:rsidP="00666222">
      <w:pPr>
        <w:pStyle w:val="libFootnote0"/>
        <w:rPr>
          <w:rtl/>
          <w:lang w:bidi="fa-IR"/>
        </w:rPr>
      </w:pPr>
      <w:r>
        <w:rPr>
          <w:rFonts w:hint="cs"/>
          <w:rtl/>
        </w:rPr>
        <w:t xml:space="preserve">= </w:t>
      </w:r>
      <w:r w:rsidR="008A74EB" w:rsidRPr="00C9040A">
        <w:rPr>
          <w:rtl/>
        </w:rPr>
        <w:t xml:space="preserve">الأصبغ بن نباتة. </w:t>
      </w:r>
      <w:r w:rsidR="008A74EB" w:rsidRPr="00993B55">
        <w:rPr>
          <w:rStyle w:val="libFootnoteBoldChar"/>
          <w:rtl/>
        </w:rPr>
        <w:t>وفيه</w:t>
      </w:r>
      <w:r w:rsidR="008A74EB" w:rsidRPr="00C9040A">
        <w:rPr>
          <w:rtl/>
        </w:rPr>
        <w:t xml:space="preserve"> ، ص 447 ، ح 5 ، بسند آخر عن جابر ، عن أبي جعفر </w:t>
      </w:r>
      <w:r w:rsidR="00117575" w:rsidRPr="00117575">
        <w:rPr>
          <w:rStyle w:val="libFootnoteAlaemChar"/>
          <w:rtl/>
        </w:rPr>
        <w:t>عليه‌السلام</w:t>
      </w:r>
      <w:r w:rsidR="008A74EB" w:rsidRPr="00C9040A">
        <w:rPr>
          <w:rtl/>
        </w:rPr>
        <w:t xml:space="preserve"> ، من قوله : « خلق الله عزّوجلّ الناس على ثلاث طبقات »</w:t>
      </w:r>
      <w:r w:rsidR="008A74EB">
        <w:rPr>
          <w:rtl/>
        </w:rPr>
        <w:t>.</w:t>
      </w:r>
      <w:r w:rsidR="008A74EB" w:rsidRPr="00C9040A">
        <w:rPr>
          <w:rtl/>
        </w:rPr>
        <w:t xml:space="preserve"> </w:t>
      </w:r>
      <w:r w:rsidR="008A74EB" w:rsidRPr="00993B55">
        <w:rPr>
          <w:rStyle w:val="libFootnoteBoldChar"/>
          <w:rtl/>
        </w:rPr>
        <w:t>تحف العقول</w:t>
      </w:r>
      <w:r w:rsidR="008A74EB" w:rsidRPr="00C9040A">
        <w:rPr>
          <w:rtl/>
        </w:rPr>
        <w:t xml:space="preserve"> ، ص 181 ، عن أميرالمؤمنين </w:t>
      </w:r>
      <w:r w:rsidR="00117575" w:rsidRPr="00117575">
        <w:rPr>
          <w:rStyle w:val="libFootnoteAlaemChar"/>
          <w:rtl/>
        </w:rPr>
        <w:t>عليه‌السلام</w:t>
      </w:r>
      <w:r w:rsidR="008A74EB" w:rsidRPr="00C9040A">
        <w:rPr>
          <w:rtl/>
        </w:rPr>
        <w:t xml:space="preserve"> ، وفي كلّها مع اختلاف يسير. وراجع : </w:t>
      </w:r>
      <w:r w:rsidR="008A74EB" w:rsidRPr="00993B55">
        <w:rPr>
          <w:rStyle w:val="libFootnoteBoldChar"/>
          <w:rtl/>
        </w:rPr>
        <w:t>تفسير فرات</w:t>
      </w:r>
      <w:r w:rsidR="008A74EB" w:rsidRPr="00C9040A">
        <w:rPr>
          <w:rtl/>
        </w:rPr>
        <w:t xml:space="preserve"> ، ص 426 ، ح 608</w:t>
      </w:r>
      <w:r>
        <w:rPr>
          <w:rFonts w:hint="cs"/>
          <w:rtl/>
        </w:rPr>
        <w:t>.</w:t>
      </w:r>
      <w:r w:rsidR="008A74EB" w:rsidRPr="00993B55">
        <w:rPr>
          <w:rStyle w:val="libFootnoteBoldChar"/>
          <w:rtl/>
        </w:rPr>
        <w:t>الوافي</w:t>
      </w:r>
      <w:r w:rsidR="008A74EB" w:rsidRPr="00C9040A">
        <w:rPr>
          <w:rtl/>
        </w:rPr>
        <w:t xml:space="preserve"> ، ج 5 ، ص 1014 ، ح 3504 ؛ </w:t>
      </w:r>
      <w:r w:rsidR="008A74EB" w:rsidRPr="00993B55">
        <w:rPr>
          <w:rStyle w:val="libFootnoteBoldChar"/>
          <w:rtl/>
        </w:rPr>
        <w:t>الوسائل</w:t>
      </w:r>
      <w:r w:rsidR="008A74EB" w:rsidRPr="00C9040A">
        <w:rPr>
          <w:rtl/>
        </w:rPr>
        <w:t xml:space="preserve"> ، ج 15 ، ص 321 ، ح 20630 ، إلى قوله : « والدليل عليه كتاب الله » ومن قوله : « وقد تأتي عليه حالات في قوّته وشبابه » إلى قوله : « وإن عاد أدخله الله نار جهنّم »</w:t>
      </w:r>
      <w:r w:rsidR="008A74EB">
        <w:rPr>
          <w:rtl/>
        </w:rPr>
        <w:t>.</w:t>
      </w:r>
      <w:r w:rsidR="008A74EB" w:rsidRPr="00C9040A">
        <w:rPr>
          <w:rtl/>
        </w:rPr>
        <w:t xml:space="preserve"> </w:t>
      </w:r>
      <w:r w:rsidR="008A74EB" w:rsidRPr="00993B55">
        <w:rPr>
          <w:rStyle w:val="libFootnoteBoldChar"/>
          <w:rtl/>
        </w:rPr>
        <w:t>البحار</w:t>
      </w:r>
      <w:r w:rsidR="008A74EB" w:rsidRPr="00C9040A">
        <w:rPr>
          <w:rtl/>
        </w:rPr>
        <w:t xml:space="preserve"> ، ج 69 ، ص 179 ، ح 3.</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w:t>
      </w:r>
      <w:r w:rsidR="006D3162">
        <w:rPr>
          <w:rtl/>
        </w:rPr>
        <w:t xml:space="preserve">ه </w:t>
      </w:r>
      <w:r w:rsidR="008A74EB" w:rsidRPr="00C9040A">
        <w:rPr>
          <w:rtl/>
        </w:rPr>
        <w:t>» : « فارقته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w:t>
      </w:r>
      <w:r w:rsidR="006D3162">
        <w:rPr>
          <w:rtl/>
        </w:rPr>
        <w:t xml:space="preserve">ه </w:t>
      </w:r>
      <w:r w:rsidR="008A74EB" w:rsidRPr="00C9040A">
        <w:rPr>
          <w:rtl/>
        </w:rPr>
        <w:t>» : « قوله تعالى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البقرة </w:t>
      </w:r>
      <w:r w:rsidR="00666222">
        <w:rPr>
          <w:rtl/>
        </w:rPr>
        <w:t>(2)</w:t>
      </w:r>
      <w:r w:rsidR="008A74EB" w:rsidRPr="00C9040A">
        <w:rPr>
          <w:rtl/>
        </w:rPr>
        <w:t xml:space="preserve"> : 267.</w:t>
      </w:r>
    </w:p>
    <w:p w:rsidR="008A74EB" w:rsidRPr="00C9040A" w:rsidRDefault="006C577F" w:rsidP="00666222">
      <w:pPr>
        <w:pStyle w:val="libFootnote0"/>
        <w:rPr>
          <w:rtl/>
          <w:lang w:bidi="fa-IR"/>
        </w:rPr>
      </w:pPr>
      <w:r>
        <w:rPr>
          <w:rtl/>
        </w:rPr>
        <w:t>(4).</w:t>
      </w:r>
      <w:r w:rsidR="008A74EB" w:rsidRPr="00C9040A">
        <w:rPr>
          <w:rtl/>
        </w:rPr>
        <w:t xml:space="preserve"> في « ص ، بس ، بف » والوافي </w:t>
      </w:r>
      <w:r w:rsidR="008A74EB">
        <w:rPr>
          <w:rtl/>
        </w:rPr>
        <w:t xml:space="preserve">: </w:t>
      </w:r>
      <w:r w:rsidR="0084262C">
        <w:rPr>
          <w:rtl/>
        </w:rPr>
        <w:t>-</w:t>
      </w:r>
      <w:r w:rsidR="008A74EB" w:rsidRPr="00C9040A">
        <w:rPr>
          <w:rtl/>
        </w:rPr>
        <w:t xml:space="preserve"> « </w:t>
      </w:r>
      <w:r w:rsidR="008A74EB" w:rsidRPr="00666222">
        <w:rPr>
          <w:rStyle w:val="libFootnoteAlaemChar"/>
          <w:rtl/>
        </w:rPr>
        <w:t>(</w:t>
      </w:r>
      <w:r w:rsidR="008A74EB" w:rsidRPr="00883DD5">
        <w:rPr>
          <w:rStyle w:val="libFootnoteAieChar"/>
          <w:rFonts w:hint="cs"/>
          <w:rtl/>
        </w:rPr>
        <w:t xml:space="preserve"> </w:t>
      </w:r>
      <w:r w:rsidR="008A74EB" w:rsidRPr="00883DD5">
        <w:rPr>
          <w:rStyle w:val="libFootnoteAieChar"/>
          <w:rtl/>
        </w:rPr>
        <w:t>وَل</w:t>
      </w:r>
      <w:r w:rsidR="00666222">
        <w:rPr>
          <w:rStyle w:val="libFootnoteAieChar"/>
          <w:rFonts w:hint="cs"/>
          <w:rtl/>
        </w:rPr>
        <w:t>َ</w:t>
      </w:r>
      <w:r w:rsidR="008A74EB" w:rsidRPr="00883DD5">
        <w:rPr>
          <w:rStyle w:val="libFootnoteAieChar"/>
          <w:rtl/>
        </w:rPr>
        <w:t>ا تَيَمَّمُوا</w:t>
      </w:r>
      <w:r w:rsidR="008A74EB" w:rsidRPr="00883DD5">
        <w:rPr>
          <w:rStyle w:val="libFootnoteAieChar"/>
          <w:rFonts w:hint="cs"/>
          <w:rtl/>
        </w:rPr>
        <w:t xml:space="preserve"> </w:t>
      </w:r>
      <w:r w:rsidR="008A74EB" w:rsidRPr="00666222">
        <w:rPr>
          <w:rStyle w:val="libFootnoteAlaemChar"/>
          <w:rtl/>
        </w:rPr>
        <w:t>)</w:t>
      </w:r>
      <w:r w:rsidR="008A74EB">
        <w:rPr>
          <w:rtl/>
        </w:rPr>
        <w:t xml:space="preserve"> </w:t>
      </w:r>
      <w:r w:rsidR="0084262C">
        <w:rPr>
          <w:rtl/>
        </w:rPr>
        <w:t>-</w:t>
      </w:r>
      <w:r w:rsidR="008A74EB">
        <w:rPr>
          <w:rtl/>
        </w:rPr>
        <w:t xml:space="preserve"> </w:t>
      </w:r>
      <w:r w:rsidR="008A74EB" w:rsidRPr="00C9040A">
        <w:rPr>
          <w:rtl/>
        </w:rPr>
        <w:t>إلى</w:t>
      </w:r>
      <w:r w:rsidR="008A74EB">
        <w:rPr>
          <w:rtl/>
        </w:rPr>
        <w:t xml:space="preserve"> </w:t>
      </w:r>
      <w:r w:rsidR="0084262C">
        <w:rPr>
          <w:rtl/>
        </w:rPr>
        <w:t>-</w:t>
      </w:r>
      <w:r w:rsidR="008A74EB">
        <w:rPr>
          <w:rtl/>
        </w:rPr>
        <w:t xml:space="preserve"> </w:t>
      </w:r>
      <w:r w:rsidR="008A74EB" w:rsidRPr="00C9040A">
        <w:rPr>
          <w:rtl/>
        </w:rPr>
        <w:t>قول الله عز</w:t>
      </w:r>
      <w:r w:rsidR="00666222">
        <w:rPr>
          <w:rFonts w:hint="cs"/>
          <w:rtl/>
        </w:rPr>
        <w:t>ّ</w:t>
      </w:r>
      <w:r w:rsidR="008A74EB" w:rsidRPr="00C9040A">
        <w:rPr>
          <w:rtl/>
        </w:rPr>
        <w:t>وجل</w:t>
      </w:r>
      <w:r w:rsidR="00666222">
        <w:rPr>
          <w:rFonts w:hint="cs"/>
          <w:rtl/>
        </w:rPr>
        <w:t>ّ</w:t>
      </w:r>
      <w:r w:rsidR="008A74EB" w:rsidRPr="00C9040A">
        <w:rPr>
          <w:rtl/>
        </w:rPr>
        <w:t xml:space="preserve"> »</w:t>
      </w:r>
      <w:r w:rsidR="008A74EB">
        <w:rPr>
          <w:rtl/>
        </w:rPr>
        <w:t>.</w:t>
      </w:r>
      <w:r w:rsidR="008A74EB" w:rsidRPr="00C9040A">
        <w:rPr>
          <w:rtl/>
        </w:rPr>
        <w:t xml:space="preserve"> وقال العل</w:t>
      </w:r>
      <w:r w:rsidR="00666222">
        <w:rPr>
          <w:rFonts w:hint="cs"/>
          <w:rtl/>
        </w:rPr>
        <w:t>ّ</w:t>
      </w:r>
      <w:r w:rsidR="008A74EB" w:rsidRPr="00C9040A">
        <w:rPr>
          <w:rtl/>
        </w:rPr>
        <w:t>امة المجلسي : « هو [ أي‌عدمها ] أظهر »</w:t>
      </w:r>
      <w:r w:rsidR="008A74EB">
        <w:rPr>
          <w:rtl/>
        </w:rPr>
        <w:t>.</w:t>
      </w:r>
      <w:r w:rsidR="00666222">
        <w:rPr>
          <w:rFonts w:hint="cs"/>
          <w:rtl/>
        </w:rPr>
        <w:t xml:space="preserve">                                               </w:t>
      </w:r>
      <w:r>
        <w:rPr>
          <w:rtl/>
        </w:rPr>
        <w:t>(5).</w:t>
      </w:r>
      <w:r w:rsidR="008A74EB" w:rsidRPr="00C9040A">
        <w:rPr>
          <w:rtl/>
        </w:rPr>
        <w:t xml:space="preserve"> المجادلة (58) : 22.</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الوافي</w:t>
      </w:r>
      <w:r w:rsidR="008A74EB" w:rsidRPr="00C9040A">
        <w:rPr>
          <w:rtl/>
        </w:rPr>
        <w:t xml:space="preserve"> ، ج 5 ، ص 1017 ، ح 3505 ؛ </w:t>
      </w:r>
      <w:r w:rsidR="008A74EB" w:rsidRPr="00993B55">
        <w:rPr>
          <w:rStyle w:val="libFootnoteBoldChar"/>
          <w:rtl/>
        </w:rPr>
        <w:t>الوسائل</w:t>
      </w:r>
      <w:r w:rsidR="008A74EB" w:rsidRPr="00C9040A">
        <w:rPr>
          <w:rtl/>
        </w:rPr>
        <w:t xml:space="preserve"> ، ج 15 ، ص 323 ، ح 20639 ؛ </w:t>
      </w:r>
      <w:r w:rsidR="008A74EB" w:rsidRPr="00993B55">
        <w:rPr>
          <w:rStyle w:val="libFootnoteBoldChar"/>
          <w:rtl/>
        </w:rPr>
        <w:t>البحار</w:t>
      </w:r>
      <w:r w:rsidR="008A74EB" w:rsidRPr="00C9040A">
        <w:rPr>
          <w:rtl/>
        </w:rPr>
        <w:t xml:space="preserve"> ، ج 69 ، ص 195 ، ح 11.</w:t>
      </w:r>
    </w:p>
    <w:p w:rsidR="008A74EB" w:rsidRPr="00C9040A" w:rsidRDefault="006C577F" w:rsidP="004A4E41">
      <w:pPr>
        <w:pStyle w:val="libFootnote0"/>
        <w:rPr>
          <w:rtl/>
          <w:lang w:bidi="fa-IR"/>
        </w:rPr>
      </w:pPr>
      <w:r>
        <w:rPr>
          <w:rtl/>
        </w:rPr>
        <w:t>(7).</w:t>
      </w:r>
      <w:r w:rsidR="008A74EB" w:rsidRPr="00C9040A">
        <w:rPr>
          <w:rtl/>
        </w:rPr>
        <w:t xml:space="preserve"> السند معلق على سابقه. ويروي عن يونس ، علي بن إبراهيم ، عن محمد بن عيسى.</w:t>
      </w:r>
    </w:p>
    <w:p w:rsidR="008A74EB" w:rsidRPr="00C9040A" w:rsidRDefault="006C577F" w:rsidP="004A4E41">
      <w:pPr>
        <w:pStyle w:val="libFootnote0"/>
        <w:rPr>
          <w:rtl/>
          <w:lang w:bidi="fa-IR"/>
        </w:rPr>
      </w:pPr>
      <w:r>
        <w:rPr>
          <w:rtl/>
        </w:rPr>
        <w:t>(8).</w:t>
      </w:r>
      <w:r w:rsidR="008A74EB" w:rsidRPr="00C9040A">
        <w:rPr>
          <w:rtl/>
        </w:rPr>
        <w:t xml:space="preserve"> النساء </w:t>
      </w:r>
      <w:r w:rsidR="00666222">
        <w:rPr>
          <w:rtl/>
        </w:rPr>
        <w:t>(4)</w:t>
      </w:r>
      <w:r w:rsidR="008A74EB" w:rsidRPr="00C9040A">
        <w:rPr>
          <w:rtl/>
        </w:rPr>
        <w:t xml:space="preserve"> : 48 </w:t>
      </w:r>
      <w:r w:rsidR="008A74EB">
        <w:rPr>
          <w:rtl/>
        </w:rPr>
        <w:t>و 1</w:t>
      </w:r>
      <w:r w:rsidR="008A74EB" w:rsidRPr="00C9040A">
        <w:rPr>
          <w:rtl/>
        </w:rPr>
        <w:t>16.</w:t>
      </w:r>
    </w:p>
    <w:p w:rsidR="008A74EB" w:rsidRPr="00C9040A" w:rsidRDefault="006C577F" w:rsidP="004A4E41">
      <w:pPr>
        <w:pStyle w:val="libFootnote0"/>
        <w:rPr>
          <w:rtl/>
          <w:lang w:bidi="fa-IR"/>
        </w:rPr>
      </w:pPr>
      <w:r>
        <w:rPr>
          <w:rtl/>
        </w:rPr>
        <w:t>(9).</w:t>
      </w:r>
      <w:r w:rsidR="008A74EB" w:rsidRPr="00C9040A">
        <w:rPr>
          <w:rtl/>
        </w:rPr>
        <w:t xml:space="preserve"> في </w:t>
      </w:r>
      <w:r w:rsidR="008A74EB" w:rsidRPr="00993B55">
        <w:rPr>
          <w:rStyle w:val="libFootnoteBoldChar"/>
          <w:rtl/>
        </w:rPr>
        <w:t>الوافي</w:t>
      </w:r>
      <w:r w:rsidR="008A74EB" w:rsidRPr="00C9040A">
        <w:rPr>
          <w:rtl/>
        </w:rPr>
        <w:t xml:space="preserve"> : « أراد بالاستثناء استثناء المشيئة ، يعني هل يغفر الكبائر لمن يشاء كما يغفر الصغائر ، وأن ما قلت كما قلت »</w:t>
      </w:r>
      <w:r w:rsidR="008A74EB">
        <w:rPr>
          <w:rtl/>
        </w:rPr>
        <w:t>.</w:t>
      </w:r>
    </w:p>
    <w:p w:rsidR="008A74EB" w:rsidRPr="00C9040A" w:rsidRDefault="006C577F" w:rsidP="00666222">
      <w:pPr>
        <w:pStyle w:val="libFootnote0"/>
        <w:rPr>
          <w:rtl/>
          <w:lang w:bidi="fa-IR"/>
        </w:rPr>
      </w:pPr>
      <w:r>
        <w:rPr>
          <w:rtl/>
        </w:rPr>
        <w:t>(10).</w:t>
      </w:r>
      <w:r w:rsidR="008A74EB" w:rsidRPr="00C9040A">
        <w:rPr>
          <w:rtl/>
        </w:rPr>
        <w:t xml:space="preserve"> </w:t>
      </w:r>
      <w:r w:rsidR="008A74EB" w:rsidRPr="00993B55">
        <w:rPr>
          <w:rStyle w:val="libFootnoteBoldChar"/>
          <w:rtl/>
        </w:rPr>
        <w:t>تفسير القم</w:t>
      </w:r>
      <w:r w:rsidR="00666222">
        <w:rPr>
          <w:rStyle w:val="libFootnoteBoldChar"/>
          <w:rFonts w:hint="cs"/>
          <w:rtl/>
        </w:rPr>
        <w:t>ّ</w:t>
      </w:r>
      <w:r w:rsidR="008A74EB" w:rsidRPr="00993B55">
        <w:rPr>
          <w:rStyle w:val="libFootnoteBoldChar"/>
          <w:rtl/>
        </w:rPr>
        <w:t>ي</w:t>
      </w:r>
      <w:r w:rsidR="008A74EB" w:rsidRPr="00C9040A">
        <w:rPr>
          <w:rtl/>
        </w:rPr>
        <w:t xml:space="preserve"> ، ج 1 ، ص 140 ، بسند آخر. </w:t>
      </w:r>
      <w:r w:rsidR="008A74EB" w:rsidRPr="00993B55">
        <w:rPr>
          <w:rStyle w:val="libFootnoteBoldChar"/>
          <w:rtl/>
        </w:rPr>
        <w:t>الفقيه</w:t>
      </w:r>
      <w:r w:rsidR="008A74EB" w:rsidRPr="00C9040A">
        <w:rPr>
          <w:rtl/>
        </w:rPr>
        <w:t xml:space="preserve"> ، ج 3 ، ص 574 ، ح 4966 ، مرسلا ، مع زيادة في آخره. </w:t>
      </w:r>
      <w:r w:rsidR="008A74EB" w:rsidRPr="00993B55">
        <w:rPr>
          <w:rStyle w:val="libFootnoteBoldChar"/>
          <w:rtl/>
        </w:rPr>
        <w:t>تفسير العي</w:t>
      </w:r>
      <w:r w:rsidR="00666222">
        <w:rPr>
          <w:rStyle w:val="libFootnoteBoldChar"/>
          <w:rFonts w:hint="cs"/>
          <w:rtl/>
        </w:rPr>
        <w:t>ّ</w:t>
      </w:r>
      <w:r w:rsidR="008A74EB" w:rsidRPr="00993B55">
        <w:rPr>
          <w:rStyle w:val="libFootnoteBoldChar"/>
          <w:rtl/>
        </w:rPr>
        <w:t>اشي</w:t>
      </w:r>
      <w:r w:rsidR="008A74EB" w:rsidRPr="00C9040A">
        <w:rPr>
          <w:rtl/>
        </w:rPr>
        <w:t xml:space="preserve"> ، ج 1 ، ص 246 ، ح 152 ، عن أبي عبدالله </w:t>
      </w:r>
      <w:r w:rsidR="00117575" w:rsidRPr="00117575">
        <w:rPr>
          <w:rStyle w:val="libFootnoteAlaemChar"/>
          <w:rtl/>
        </w:rPr>
        <w:t>عليه‌السلام</w:t>
      </w:r>
      <w:r w:rsidR="008A74EB" w:rsidRPr="00C9040A">
        <w:rPr>
          <w:rtl/>
        </w:rPr>
        <w:t xml:space="preserve"> ؛ </w:t>
      </w:r>
      <w:r w:rsidR="008A74EB" w:rsidRPr="00993B55">
        <w:rPr>
          <w:rStyle w:val="libFootnoteBoldChar"/>
          <w:rtl/>
        </w:rPr>
        <w:t>وفيه</w:t>
      </w:r>
      <w:r w:rsidR="008A74EB" w:rsidRPr="00C9040A">
        <w:rPr>
          <w:rtl/>
        </w:rPr>
        <w:t xml:space="preserve"> ، ح 151 ، عن قتيبة الأعشى ، عن أبي عبدالله </w:t>
      </w:r>
      <w:r w:rsidR="00117575" w:rsidRPr="00117575">
        <w:rPr>
          <w:rStyle w:val="libFootnoteAlaemChar"/>
          <w:rtl/>
        </w:rPr>
        <w:t>عليه‌السلام</w:t>
      </w:r>
      <w:r w:rsidR="008A74EB" w:rsidRPr="00C9040A">
        <w:rPr>
          <w:rtl/>
        </w:rPr>
        <w:t xml:space="preserve"> ، مع اختلاف يسير</w:t>
      </w:r>
      <w:r w:rsidR="00666222">
        <w:rPr>
          <w:rFonts w:hint="cs"/>
          <w:rtl/>
        </w:rPr>
        <w:t>.</w:t>
      </w:r>
      <w:r w:rsidR="008A74EB" w:rsidRPr="00993B55">
        <w:rPr>
          <w:rStyle w:val="libFootnoteBoldChar"/>
          <w:rtl/>
        </w:rPr>
        <w:t>الوافي</w:t>
      </w:r>
      <w:r w:rsidR="008A74EB" w:rsidRPr="00C9040A">
        <w:rPr>
          <w:rtl/>
        </w:rPr>
        <w:t xml:space="preserve"> ، ج 5 ، ص 1030 ، ح 3528 ؛ </w:t>
      </w:r>
      <w:r w:rsidR="008A74EB" w:rsidRPr="00993B55">
        <w:rPr>
          <w:rStyle w:val="libFootnoteBoldChar"/>
          <w:rtl/>
        </w:rPr>
        <w:t>الوسائل</w:t>
      </w:r>
      <w:r w:rsidR="008A74EB" w:rsidRPr="00C9040A">
        <w:rPr>
          <w:rtl/>
        </w:rPr>
        <w:t xml:space="preserve"> ، ج 15 ، ص 333 ، ح 20665.</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F4666C">
        <w:rPr>
          <w:rtl/>
        </w:rPr>
        <w:t>2461</w:t>
      </w:r>
      <w:r w:rsidRPr="00261CB0">
        <w:rPr>
          <w:rStyle w:val="libBold2Char"/>
          <w:rtl/>
        </w:rPr>
        <w:t xml:space="preserve"> / 20.</w:t>
      </w:r>
      <w:r w:rsidRPr="00C9040A">
        <w:rPr>
          <w:rtl/>
          <w:lang w:bidi="fa-IR"/>
        </w:rPr>
        <w:t xml:space="preserve"> يُونُسُ </w:t>
      </w:r>
      <w:r w:rsidR="006C577F" w:rsidRPr="006C577F">
        <w:rPr>
          <w:rStyle w:val="libFootnotenumChar"/>
          <w:rtl/>
        </w:rPr>
        <w:t>(1)</w:t>
      </w:r>
      <w:r w:rsidRPr="00C9040A">
        <w:rPr>
          <w:rtl/>
          <w:lang w:bidi="fa-IR"/>
        </w:rPr>
        <w:t xml:space="preserve"> ، عَنْ إِسْحَاقَ بْنِ عَمَّارٍ ، قَالَ :</w:t>
      </w:r>
    </w:p>
    <w:p w:rsidR="008A74EB" w:rsidRPr="00C9040A" w:rsidRDefault="008A74EB" w:rsidP="008A74EB">
      <w:pPr>
        <w:pStyle w:val="libNormal"/>
        <w:rPr>
          <w:rtl/>
          <w:lang w:bidi="fa-IR"/>
        </w:rPr>
      </w:pPr>
      <w:r w:rsidRPr="00C9040A">
        <w:rPr>
          <w:rtl/>
          <w:lang w:bidi="fa-IR"/>
        </w:rPr>
        <w:t xml:space="preserve">قُلْتُ لِأَبِي عَبْدِ اللهِ </w:t>
      </w:r>
      <w:r w:rsidRPr="0003660B">
        <w:rPr>
          <w:rStyle w:val="libAlaemChar"/>
          <w:rtl/>
        </w:rPr>
        <w:t>عليه‌السلام</w:t>
      </w:r>
      <w:r w:rsidRPr="00C9040A">
        <w:rPr>
          <w:rtl/>
          <w:lang w:bidi="fa-IR"/>
        </w:rPr>
        <w:t xml:space="preserve"> : الْكَبَائِرُ فِيهَا اسْتِثْنَاءُ </w:t>
      </w:r>
      <w:r w:rsidR="006C577F" w:rsidRPr="006C577F">
        <w:rPr>
          <w:rStyle w:val="libFootnotenumChar"/>
          <w:rtl/>
        </w:rPr>
        <w:t>(2)</w:t>
      </w:r>
      <w:r w:rsidRPr="00C9040A">
        <w:rPr>
          <w:rtl/>
          <w:lang w:bidi="fa-IR"/>
        </w:rPr>
        <w:t xml:space="preserve"> أَنْ يَغْفِرَ </w:t>
      </w:r>
      <w:r w:rsidR="006C577F" w:rsidRPr="006C577F">
        <w:rPr>
          <w:rStyle w:val="libFootnotenumChar"/>
          <w:rtl/>
        </w:rPr>
        <w:t>(3)</w:t>
      </w:r>
      <w:r w:rsidRPr="00C9040A">
        <w:rPr>
          <w:rtl/>
          <w:lang w:bidi="fa-IR"/>
        </w:rPr>
        <w:t xml:space="preserve"> لِمَنْ يَشَاءُ</w:t>
      </w:r>
      <w:r>
        <w:rPr>
          <w:rtl/>
          <w:lang w:bidi="fa-IR"/>
        </w:rPr>
        <w:t>؟</w:t>
      </w:r>
      <w:r w:rsidRPr="00C9040A">
        <w:rPr>
          <w:rtl/>
          <w:lang w:bidi="fa-IR"/>
        </w:rPr>
        <w:t xml:space="preserve"> قَالَ : « نَعَمْ »</w:t>
      </w:r>
      <w:r>
        <w:rPr>
          <w:rtl/>
          <w:lang w:bidi="fa-IR"/>
        </w:rPr>
        <w:t>.</w:t>
      </w:r>
      <w:r w:rsidR="006C577F" w:rsidRPr="006C577F">
        <w:rPr>
          <w:rStyle w:val="libFootnotenumChar"/>
          <w:rtl/>
        </w:rPr>
        <w:t>(4)</w:t>
      </w:r>
      <w:r w:rsidRPr="00C9040A">
        <w:rPr>
          <w:rtl/>
          <w:lang w:bidi="fa-IR"/>
        </w:rPr>
        <w:t>‌</w:t>
      </w:r>
    </w:p>
    <w:p w:rsidR="008A74EB" w:rsidRPr="00C9040A" w:rsidRDefault="008A74EB" w:rsidP="008A74EB">
      <w:pPr>
        <w:pStyle w:val="libNormal"/>
        <w:rPr>
          <w:rtl/>
          <w:lang w:bidi="fa-IR"/>
        </w:rPr>
      </w:pPr>
      <w:r w:rsidRPr="00F4666C">
        <w:rPr>
          <w:rtl/>
        </w:rPr>
        <w:t>2462</w:t>
      </w:r>
      <w:r w:rsidRPr="00261CB0">
        <w:rPr>
          <w:rStyle w:val="libBold2Char"/>
          <w:rtl/>
        </w:rPr>
        <w:t xml:space="preserve"> / 21.</w:t>
      </w:r>
      <w:r w:rsidRPr="00C9040A">
        <w:rPr>
          <w:rtl/>
          <w:lang w:bidi="fa-IR"/>
        </w:rPr>
        <w:t xml:space="preserve"> يُونُسُ </w:t>
      </w:r>
      <w:r w:rsidR="006C577F" w:rsidRPr="006C577F">
        <w:rPr>
          <w:rStyle w:val="libFootnotenumChar"/>
          <w:rtl/>
        </w:rPr>
        <w:t>(5)</w:t>
      </w:r>
      <w:r w:rsidRPr="00C9040A">
        <w:rPr>
          <w:rtl/>
          <w:lang w:bidi="fa-IR"/>
        </w:rPr>
        <w:t xml:space="preserve"> ، عَنِ ابْنِ مُسْكَانَ ، عَنْ أَبِي بَصِيرٍ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سَمِعْتُهُ يَقُولُ : </w:t>
      </w:r>
      <w:r w:rsidRPr="0003660B">
        <w:rPr>
          <w:rStyle w:val="libAlaemChar"/>
          <w:rtl/>
        </w:rPr>
        <w:t>(</w:t>
      </w:r>
      <w:r w:rsidRPr="006A2246">
        <w:rPr>
          <w:rStyle w:val="libAieChar"/>
          <w:rtl/>
        </w:rPr>
        <w:t xml:space="preserve"> وَمَنْ يُؤْتَ الْحِكْمَةَ فَقَدْ أُوتِيَ خَيْراً كَثِيراً </w:t>
      </w:r>
      <w:r w:rsidRPr="0003660B">
        <w:rPr>
          <w:rStyle w:val="libAlaemChar"/>
          <w:rtl/>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 xml:space="preserve">قَالَ : « مَعْرِفَةُ الْإِمَامِ </w:t>
      </w:r>
      <w:r w:rsidRPr="0003660B">
        <w:rPr>
          <w:rStyle w:val="libAlaemChar"/>
          <w:rtl/>
        </w:rPr>
        <w:t>عليه‌السلام</w:t>
      </w:r>
      <w:r w:rsidRPr="00C9040A">
        <w:rPr>
          <w:rtl/>
          <w:lang w:bidi="fa-IR"/>
        </w:rPr>
        <w:t xml:space="preserve"> ، وَاجْتِنَابُ الْكَبَائِرِ الَّتِي أَوْجَبَ اللهُ عَلَيْهَا النَّارَ </w:t>
      </w:r>
      <w:r w:rsidR="006C577F" w:rsidRPr="006C577F">
        <w:rPr>
          <w:rStyle w:val="libFootnotenumChar"/>
          <w:rtl/>
        </w:rPr>
        <w:t>(7)</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Normal"/>
        <w:rPr>
          <w:rtl/>
          <w:lang w:bidi="fa-IR"/>
        </w:rPr>
      </w:pPr>
      <w:r w:rsidRPr="00F4666C">
        <w:rPr>
          <w:rtl/>
        </w:rPr>
        <w:t>2463</w:t>
      </w:r>
      <w:r w:rsidRPr="00261CB0">
        <w:rPr>
          <w:rStyle w:val="libBold2Char"/>
          <w:rtl/>
        </w:rPr>
        <w:t xml:space="preserve"> / 22.</w:t>
      </w:r>
      <w:r w:rsidRPr="00C9040A">
        <w:rPr>
          <w:rtl/>
          <w:lang w:bidi="fa-IR"/>
        </w:rPr>
        <w:t xml:space="preserve"> عَلِيُّ بْنُ إِبْرَاهِيمَ ، عَنْ أَبِيهِ ، عَنِ ابْنِ أَبِي عُمَيْرٍ ، عَنْ مُحَمَّدِ بْنِ حَكِيمٍ ، قَالَ :</w:t>
      </w:r>
    </w:p>
    <w:p w:rsidR="008A74EB" w:rsidRPr="00C9040A" w:rsidRDefault="008A74EB" w:rsidP="008A74EB">
      <w:pPr>
        <w:pStyle w:val="libNormal"/>
        <w:rPr>
          <w:rtl/>
          <w:lang w:bidi="fa-IR"/>
        </w:rPr>
      </w:pPr>
      <w:r w:rsidRPr="00C9040A">
        <w:rPr>
          <w:rtl/>
          <w:lang w:bidi="fa-IR"/>
        </w:rPr>
        <w:t xml:space="preserve">قُلْتُ لِأَبِي الْحَسَنِ </w:t>
      </w:r>
      <w:r w:rsidR="006C577F" w:rsidRPr="006C577F">
        <w:rPr>
          <w:rStyle w:val="libFootnotenumChar"/>
          <w:rtl/>
        </w:rPr>
        <w:t>(9)</w:t>
      </w:r>
      <w:r w:rsidRPr="00C9040A">
        <w:rPr>
          <w:rtl/>
          <w:lang w:bidi="fa-IR"/>
        </w:rPr>
        <w:t xml:space="preserve"> </w:t>
      </w:r>
      <w:r w:rsidRPr="0003660B">
        <w:rPr>
          <w:rStyle w:val="libAlaemChar"/>
          <w:rtl/>
        </w:rPr>
        <w:t>عليه‌السلام</w:t>
      </w:r>
      <w:r w:rsidRPr="00C9040A">
        <w:rPr>
          <w:rtl/>
          <w:lang w:bidi="fa-IR"/>
        </w:rPr>
        <w:t xml:space="preserve"> : الْكَبَائِرُ تُخْرِجُ مِنَ الْإِيمَانِ</w:t>
      </w:r>
      <w:r>
        <w:rPr>
          <w:rtl/>
          <w:lang w:bidi="fa-IR"/>
        </w:rPr>
        <w:t>؟</w:t>
      </w:r>
    </w:p>
    <w:p w:rsidR="008A74EB" w:rsidRPr="00C9040A" w:rsidRDefault="008A74EB" w:rsidP="008A74EB">
      <w:pPr>
        <w:pStyle w:val="libNormal"/>
        <w:rPr>
          <w:rtl/>
          <w:lang w:bidi="fa-IR"/>
        </w:rPr>
      </w:pPr>
      <w:r w:rsidRPr="00C9040A">
        <w:rPr>
          <w:rtl/>
          <w:lang w:bidi="fa-IR"/>
        </w:rPr>
        <w:t xml:space="preserve">فَقَالَ </w:t>
      </w:r>
      <w:r w:rsidR="006C577F" w:rsidRPr="006C577F">
        <w:rPr>
          <w:rStyle w:val="libFootnotenumChar"/>
          <w:rtl/>
        </w:rPr>
        <w:t>(10)</w:t>
      </w:r>
      <w:r w:rsidRPr="00C9040A">
        <w:rPr>
          <w:rtl/>
          <w:lang w:bidi="fa-IR"/>
        </w:rPr>
        <w:t xml:space="preserve"> : « نَعَمْ ، وَمَا </w:t>
      </w:r>
      <w:r w:rsidR="006C577F" w:rsidRPr="006C577F">
        <w:rPr>
          <w:rStyle w:val="libFootnotenumChar"/>
          <w:rtl/>
        </w:rPr>
        <w:t>(11)</w:t>
      </w:r>
      <w:r w:rsidRPr="00C9040A">
        <w:rPr>
          <w:rtl/>
          <w:lang w:bidi="fa-IR"/>
        </w:rPr>
        <w:t xml:space="preserve"> دُونَ الْكَبَائِرِ ؛ قَالَ رَسُولُ اللهِ </w:t>
      </w:r>
      <w:r w:rsidR="004A4E41" w:rsidRPr="004A4E41">
        <w:rPr>
          <w:rStyle w:val="libAlaemChar"/>
          <w:rtl/>
        </w:rPr>
        <w:t>صلى‌الله‌عليه‌وآله</w:t>
      </w:r>
      <w:r w:rsidRPr="00C9040A">
        <w:rPr>
          <w:rtl/>
          <w:lang w:bidi="fa-IR"/>
        </w:rPr>
        <w:t xml:space="preserve"> : لَايَزْنِي الزَّانِي وَهُوَ مُؤْمِنٌ ، وَلَايَسْرِقُ السَّارِقُ وَهُوَ مُؤْمِنٌ »</w:t>
      </w:r>
      <w:r>
        <w:rPr>
          <w:rtl/>
          <w:lang w:bidi="fa-IR"/>
        </w:rPr>
        <w:t>.</w:t>
      </w:r>
      <w:r w:rsidRPr="00C9040A">
        <w:rPr>
          <w:rtl/>
          <w:lang w:bidi="fa-IR"/>
        </w:rPr>
        <w:t xml:space="preserve"> </w:t>
      </w:r>
      <w:r w:rsidR="006C577F" w:rsidRPr="006C577F">
        <w:rPr>
          <w:rStyle w:val="libFootnotenumChar"/>
          <w:rtl/>
        </w:rPr>
        <w:t>(12)</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7E1A32" w:rsidTr="007E1A32">
        <w:tc>
          <w:tcPr>
            <w:tcW w:w="4006" w:type="dxa"/>
          </w:tcPr>
          <w:p w:rsidR="007E1A32" w:rsidRDefault="007E1A32" w:rsidP="004A4E41">
            <w:pPr>
              <w:pStyle w:val="libFootnote0"/>
              <w:rPr>
                <w:rtl/>
              </w:rPr>
            </w:pPr>
            <w:r>
              <w:rPr>
                <w:rtl/>
              </w:rPr>
              <w:t xml:space="preserve">(1). </w:t>
            </w:r>
            <w:r w:rsidRPr="00C9040A">
              <w:rPr>
                <w:rtl/>
              </w:rPr>
              <w:t>السند معلّق ، كسابقه.</w:t>
            </w:r>
          </w:p>
        </w:tc>
        <w:tc>
          <w:tcPr>
            <w:tcW w:w="4006" w:type="dxa"/>
          </w:tcPr>
          <w:p w:rsidR="007E1A32" w:rsidRDefault="007E1A32" w:rsidP="004A4E41">
            <w:pPr>
              <w:pStyle w:val="libFootnote0"/>
              <w:rPr>
                <w:rtl/>
              </w:rPr>
            </w:pPr>
            <w:r>
              <w:rPr>
                <w:rtl/>
              </w:rPr>
              <w:t xml:space="preserve">(2). </w:t>
            </w:r>
            <w:r w:rsidRPr="00C9040A">
              <w:rPr>
                <w:rtl/>
              </w:rPr>
              <w:t>في « بف » : « الاستثناء »</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في الوسائل : « أن تغفر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الوافي</w:t>
      </w:r>
      <w:r w:rsidR="008A74EB" w:rsidRPr="00C9040A">
        <w:rPr>
          <w:rtl/>
        </w:rPr>
        <w:t xml:space="preserve"> ، ج 5 ، ص 1031 ، ح 3529 ؛ </w:t>
      </w:r>
      <w:r w:rsidR="008A74EB" w:rsidRPr="00993B55">
        <w:rPr>
          <w:rStyle w:val="libFootnoteBoldChar"/>
          <w:rtl/>
        </w:rPr>
        <w:t>الوسائل</w:t>
      </w:r>
      <w:r w:rsidR="008A74EB" w:rsidRPr="00C9040A">
        <w:rPr>
          <w:rtl/>
        </w:rPr>
        <w:t xml:space="preserve"> ، ج 15 ، ص 333 ، ح 20666.</w:t>
      </w:r>
    </w:p>
    <w:tbl>
      <w:tblPr>
        <w:tblStyle w:val="TableGrid"/>
        <w:bidiVisual/>
        <w:tblW w:w="0" w:type="auto"/>
        <w:tblLook w:val="04A0" w:firstRow="1" w:lastRow="0" w:firstColumn="1" w:lastColumn="0" w:noHBand="0" w:noVBand="1"/>
      </w:tblPr>
      <w:tblGrid>
        <w:gridCol w:w="4006"/>
        <w:gridCol w:w="4006"/>
      </w:tblGrid>
      <w:tr w:rsidR="007E1A32" w:rsidTr="007E1A32">
        <w:tc>
          <w:tcPr>
            <w:tcW w:w="4006" w:type="dxa"/>
          </w:tcPr>
          <w:p w:rsidR="007E1A32" w:rsidRDefault="007E1A32" w:rsidP="004A4E41">
            <w:pPr>
              <w:pStyle w:val="libFootnote0"/>
              <w:rPr>
                <w:rtl/>
              </w:rPr>
            </w:pPr>
            <w:r>
              <w:rPr>
                <w:rtl/>
              </w:rPr>
              <w:t>(5).</w:t>
            </w:r>
            <w:r w:rsidRPr="00C9040A">
              <w:rPr>
                <w:rtl/>
              </w:rPr>
              <w:t xml:space="preserve"> السند معلّق ، كسابقَيه.</w:t>
            </w:r>
          </w:p>
        </w:tc>
        <w:tc>
          <w:tcPr>
            <w:tcW w:w="4006" w:type="dxa"/>
          </w:tcPr>
          <w:p w:rsidR="007E1A32" w:rsidRDefault="007E1A32" w:rsidP="004A4E41">
            <w:pPr>
              <w:pStyle w:val="libFootnote0"/>
              <w:rPr>
                <w:rtl/>
              </w:rPr>
            </w:pPr>
            <w:r>
              <w:rPr>
                <w:rtl/>
              </w:rPr>
              <w:t xml:space="preserve">(6). </w:t>
            </w:r>
            <w:r w:rsidRPr="00C9040A">
              <w:rPr>
                <w:rtl/>
              </w:rPr>
              <w:t xml:space="preserve">البقرة </w:t>
            </w:r>
            <w:r>
              <w:rPr>
                <w:rtl/>
              </w:rPr>
              <w:t>(2)</w:t>
            </w:r>
            <w:r w:rsidRPr="00C9040A">
              <w:rPr>
                <w:rtl/>
              </w:rPr>
              <w:t xml:space="preserve"> : 269.</w:t>
            </w:r>
          </w:p>
        </w:tc>
      </w:tr>
    </w:tbl>
    <w:p w:rsidR="008A74EB" w:rsidRPr="00C9040A" w:rsidRDefault="006C577F" w:rsidP="004A4E41">
      <w:pPr>
        <w:pStyle w:val="libFootnote0"/>
        <w:rPr>
          <w:rtl/>
          <w:lang w:bidi="fa-IR"/>
        </w:rPr>
      </w:pPr>
      <w:r>
        <w:rPr>
          <w:rtl/>
        </w:rPr>
        <w:t>(7).</w:t>
      </w:r>
      <w:r w:rsidR="008A74EB" w:rsidRPr="00C9040A">
        <w:rPr>
          <w:rtl/>
        </w:rPr>
        <w:t xml:space="preserve"> في </w:t>
      </w:r>
      <w:r w:rsidR="008A74EB" w:rsidRPr="00993B55">
        <w:rPr>
          <w:rStyle w:val="libFootnoteBoldChar"/>
          <w:rtl/>
        </w:rPr>
        <w:t>الوافي</w:t>
      </w:r>
      <w:r w:rsidR="008A74EB" w:rsidRPr="00C9040A">
        <w:rPr>
          <w:rtl/>
        </w:rPr>
        <w:t xml:space="preserve"> : « يعني أنّ الحكمة عبارة عن اعتقاد وعمل. والظاهر أنّ الوصف بالتي أوجب الله عليها النار وصفٌ تفسيري</w:t>
      </w:r>
      <w:r w:rsidR="008A74EB">
        <w:rPr>
          <w:rtl/>
        </w:rPr>
        <w:t xml:space="preserve"> ..</w:t>
      </w:r>
      <w:r w:rsidR="008A74EB" w:rsidRPr="00C9040A">
        <w:rPr>
          <w:rtl/>
        </w:rPr>
        <w:t xml:space="preserve">. ؛ إذ لو كان تقييدياً لكانت الكبائر صنفين ، وليست كذلك. </w:t>
      </w:r>
      <w:r w:rsidR="00641C0E">
        <w:rPr>
          <w:rtl/>
        </w:rPr>
        <w:t>إل</w:t>
      </w:r>
      <w:r w:rsidR="00641C0E">
        <w:rPr>
          <w:rFonts w:hint="cs"/>
          <w:rtl/>
        </w:rPr>
        <w:t>ّ</w:t>
      </w:r>
      <w:r w:rsidR="00641C0E">
        <w:rPr>
          <w:rtl/>
        </w:rPr>
        <w:t>ا</w:t>
      </w:r>
      <w:r w:rsidR="008A74EB">
        <w:rPr>
          <w:rtl/>
        </w:rPr>
        <w:t xml:space="preserve"> أن</w:t>
      </w:r>
      <w:r w:rsidR="008A74EB" w:rsidRPr="00C9040A">
        <w:rPr>
          <w:rtl/>
        </w:rPr>
        <w:t xml:space="preserve"> يقال : إنّ الذنوب كلّها كبائر »</w:t>
      </w:r>
      <w:r w:rsidR="008A74EB">
        <w:rPr>
          <w:rtl/>
        </w:rPr>
        <w:t>.</w:t>
      </w:r>
    </w:p>
    <w:p w:rsidR="008A74EB" w:rsidRPr="00C9040A" w:rsidRDefault="006C577F" w:rsidP="00641C0E">
      <w:pPr>
        <w:pStyle w:val="libFootnote0"/>
        <w:rPr>
          <w:rtl/>
          <w:lang w:bidi="fa-IR"/>
        </w:rPr>
      </w:pPr>
      <w:r>
        <w:rPr>
          <w:rtl/>
        </w:rPr>
        <w:t>(8).</w:t>
      </w:r>
      <w:r w:rsidR="008A74EB" w:rsidRPr="00C9040A">
        <w:rPr>
          <w:rtl/>
        </w:rPr>
        <w:t xml:space="preserve"> </w:t>
      </w:r>
      <w:r w:rsidR="008A74EB" w:rsidRPr="00993B55">
        <w:rPr>
          <w:rStyle w:val="libFootnoteBoldChar"/>
          <w:rtl/>
        </w:rPr>
        <w:t>الكافي</w:t>
      </w:r>
      <w:r w:rsidR="008A74EB" w:rsidRPr="00C9040A">
        <w:rPr>
          <w:rtl/>
        </w:rPr>
        <w:t xml:space="preserve"> ، كتاب الحجّة ، باب معرفة الإمام والردّ إليه ، ح 479 ، عن عليّ بن إبراهيم ، عن محمّد بن عيسى ، عن يونس ، عن أيّوب بن الحرّ ، عن أبي بصير. </w:t>
      </w:r>
      <w:r w:rsidR="008A74EB" w:rsidRPr="00993B55">
        <w:rPr>
          <w:rStyle w:val="libFootnoteBoldChar"/>
          <w:rtl/>
        </w:rPr>
        <w:t>المحاسن</w:t>
      </w:r>
      <w:r w:rsidR="008A74EB" w:rsidRPr="00C9040A">
        <w:rPr>
          <w:rtl/>
        </w:rPr>
        <w:t xml:space="preserve"> ، ص 148 ، كتاب الصفوة ، ح 60 ، بسند آخر عن أبي بصير. </w:t>
      </w:r>
      <w:r w:rsidR="008A74EB" w:rsidRPr="00993B55">
        <w:rPr>
          <w:rStyle w:val="libFootnoteBoldChar"/>
          <w:rtl/>
        </w:rPr>
        <w:t>تفسير العيّاشي</w:t>
      </w:r>
      <w:r w:rsidR="008A74EB" w:rsidRPr="00C9040A">
        <w:rPr>
          <w:rtl/>
        </w:rPr>
        <w:t xml:space="preserve"> ، ج 1 ، ص 151 ، ح 496 ، عن أبي بصير ، وتمام الرواية في كلّها بعد ذكر الآية : « طاعة الله ومعرفة الإمام »</w:t>
      </w:r>
      <w:r w:rsidR="008A74EB">
        <w:rPr>
          <w:rtl/>
        </w:rPr>
        <w:t>.</w:t>
      </w:r>
      <w:r w:rsidR="008A74EB" w:rsidRPr="00C9040A">
        <w:rPr>
          <w:rtl/>
        </w:rPr>
        <w:t xml:space="preserve"> </w:t>
      </w:r>
      <w:r w:rsidR="008A74EB" w:rsidRPr="00993B55">
        <w:rPr>
          <w:rStyle w:val="libFootnoteBoldChar"/>
          <w:rtl/>
        </w:rPr>
        <w:t>وفيه</w:t>
      </w:r>
      <w:r w:rsidR="00C27C0B">
        <w:rPr>
          <w:rtl/>
        </w:rPr>
        <w:t xml:space="preserve"> ، ص 151 ، ح 497،</w:t>
      </w:r>
      <w:r w:rsidR="008A74EB" w:rsidRPr="00C9040A">
        <w:rPr>
          <w:rtl/>
        </w:rPr>
        <w:t xml:space="preserve">عن أبي بصير ، عن أبي جعفر </w:t>
      </w:r>
      <w:r w:rsidR="00117575" w:rsidRPr="00117575">
        <w:rPr>
          <w:rStyle w:val="libFootnoteAlaemChar"/>
          <w:rtl/>
        </w:rPr>
        <w:t xml:space="preserve">عليه‌السلام </w:t>
      </w:r>
      <w:r w:rsidR="00641C0E">
        <w:rPr>
          <w:rStyle w:val="libFootnoteAlaemChar"/>
          <w:rFonts w:hint="cs"/>
          <w:rtl/>
        </w:rPr>
        <w:t>.</w:t>
      </w:r>
      <w:r w:rsidR="008A74EB" w:rsidRPr="00993B55">
        <w:rPr>
          <w:rStyle w:val="libFootnoteBoldChar"/>
          <w:rtl/>
        </w:rPr>
        <w:t>الوافي</w:t>
      </w:r>
      <w:r w:rsidR="00C27C0B">
        <w:rPr>
          <w:rtl/>
        </w:rPr>
        <w:t xml:space="preserve"> ، ج 5 ، ص 1058 ،</w:t>
      </w:r>
      <w:r w:rsidR="008A74EB" w:rsidRPr="00C9040A">
        <w:rPr>
          <w:rtl/>
        </w:rPr>
        <w:t>ح 3583 ؛</w:t>
      </w:r>
      <w:r w:rsidR="008A74EB" w:rsidRPr="00993B55">
        <w:rPr>
          <w:rStyle w:val="libFootnoteBoldChar"/>
          <w:rtl/>
        </w:rPr>
        <w:t>الوسائل</w:t>
      </w:r>
      <w:r w:rsidR="00C27C0B">
        <w:rPr>
          <w:rtl/>
        </w:rPr>
        <w:t>،ج 15،</w:t>
      </w:r>
      <w:r w:rsidR="008A74EB" w:rsidRPr="00C9040A">
        <w:rPr>
          <w:rtl/>
        </w:rPr>
        <w:t>ص 315</w:t>
      </w:r>
      <w:r w:rsidR="00C27C0B">
        <w:rPr>
          <w:rtl/>
        </w:rPr>
        <w:t>،</w:t>
      </w:r>
      <w:r w:rsidR="008A74EB" w:rsidRPr="00C9040A">
        <w:rPr>
          <w:rtl/>
        </w:rPr>
        <w:t>ح 20619.</w:t>
      </w:r>
      <w:r w:rsidR="00641C0E">
        <w:rPr>
          <w:rFonts w:hint="cs"/>
          <w:rtl/>
        </w:rPr>
        <w:t xml:space="preserve">   </w:t>
      </w:r>
      <w:r w:rsidR="00C27C0B">
        <w:rPr>
          <w:rFonts w:hint="cs"/>
          <w:rtl/>
        </w:rPr>
        <w:t xml:space="preserve">   </w:t>
      </w:r>
      <w:r>
        <w:rPr>
          <w:rtl/>
        </w:rPr>
        <w:t>(9).</w:t>
      </w:r>
      <w:r w:rsidR="008A74EB" w:rsidRPr="00C9040A">
        <w:rPr>
          <w:rtl/>
        </w:rPr>
        <w:t xml:space="preserve"> في الوسائل : + « موسى »</w:t>
      </w:r>
      <w:r w:rsidR="008A74EB">
        <w:rPr>
          <w:rtl/>
        </w:rPr>
        <w:t>.</w:t>
      </w:r>
    </w:p>
    <w:tbl>
      <w:tblPr>
        <w:tblStyle w:val="TableGrid"/>
        <w:bidiVisual/>
        <w:tblW w:w="0" w:type="auto"/>
        <w:tblLook w:val="04A0" w:firstRow="1" w:lastRow="0" w:firstColumn="1" w:lastColumn="0" w:noHBand="0" w:noVBand="1"/>
      </w:tblPr>
      <w:tblGrid>
        <w:gridCol w:w="4006"/>
        <w:gridCol w:w="4006"/>
      </w:tblGrid>
      <w:tr w:rsidR="00641C0E" w:rsidTr="00641C0E">
        <w:tc>
          <w:tcPr>
            <w:tcW w:w="4006" w:type="dxa"/>
          </w:tcPr>
          <w:p w:rsidR="00641C0E" w:rsidRDefault="00641C0E" w:rsidP="004A4E41">
            <w:pPr>
              <w:pStyle w:val="libFootnote0"/>
              <w:rPr>
                <w:rtl/>
              </w:rPr>
            </w:pPr>
            <w:r>
              <w:rPr>
                <w:rtl/>
              </w:rPr>
              <w:t>(10).</w:t>
            </w:r>
            <w:r w:rsidRPr="00C9040A">
              <w:rPr>
                <w:rtl/>
              </w:rPr>
              <w:t xml:space="preserve"> في « </w:t>
            </w:r>
            <w:r>
              <w:rPr>
                <w:rtl/>
              </w:rPr>
              <w:t xml:space="preserve">ه </w:t>
            </w:r>
            <w:r w:rsidRPr="00C9040A">
              <w:rPr>
                <w:rtl/>
              </w:rPr>
              <w:t>، بر » والوافي : « قال »</w:t>
            </w:r>
            <w:r>
              <w:rPr>
                <w:rtl/>
              </w:rPr>
              <w:t>.</w:t>
            </w:r>
          </w:p>
        </w:tc>
        <w:tc>
          <w:tcPr>
            <w:tcW w:w="4006" w:type="dxa"/>
          </w:tcPr>
          <w:p w:rsidR="00641C0E" w:rsidRDefault="00641C0E" w:rsidP="004A4E41">
            <w:pPr>
              <w:pStyle w:val="libFootnote0"/>
              <w:rPr>
                <w:rtl/>
              </w:rPr>
            </w:pPr>
            <w:r>
              <w:rPr>
                <w:rtl/>
              </w:rPr>
              <w:t>(11).</w:t>
            </w:r>
            <w:r w:rsidRPr="00C9040A">
              <w:rPr>
                <w:rtl/>
              </w:rPr>
              <w:t xml:space="preserve"> في « ز » : « فما »</w:t>
            </w:r>
            <w:r>
              <w:rPr>
                <w:rtl/>
              </w:rPr>
              <w:t>.</w:t>
            </w:r>
          </w:p>
        </w:tc>
      </w:tr>
    </w:tbl>
    <w:p w:rsidR="008A74EB" w:rsidRPr="00C9040A" w:rsidRDefault="006C577F" w:rsidP="004A4E41">
      <w:pPr>
        <w:pStyle w:val="libFootnote0"/>
        <w:rPr>
          <w:rtl/>
          <w:lang w:bidi="fa-IR"/>
        </w:rPr>
      </w:pPr>
      <w:r>
        <w:rPr>
          <w:rtl/>
        </w:rPr>
        <w:t>(12).</w:t>
      </w:r>
      <w:r w:rsidR="008A74EB" w:rsidRPr="00C9040A">
        <w:rPr>
          <w:rtl/>
        </w:rPr>
        <w:t xml:space="preserve"> </w:t>
      </w:r>
      <w:r w:rsidR="008A74EB" w:rsidRPr="00993B55">
        <w:rPr>
          <w:rStyle w:val="libFootnoteBoldChar"/>
          <w:rtl/>
        </w:rPr>
        <w:t>قرب الإسناد</w:t>
      </w:r>
      <w:r w:rsidR="008A74EB" w:rsidRPr="00C9040A">
        <w:rPr>
          <w:rtl/>
        </w:rPr>
        <w:t xml:space="preserve"> ، ص 229 ، ح 1176 ، بسند آخر عن موسى بن جعفر </w:t>
      </w:r>
      <w:r w:rsidR="00117575" w:rsidRPr="00117575">
        <w:rPr>
          <w:rStyle w:val="libFootnoteAlaemChar"/>
          <w:rtl/>
        </w:rPr>
        <w:t xml:space="preserve">عليه‌السلام </w:t>
      </w:r>
      <w:r w:rsidR="008A74EB" w:rsidRPr="00C9040A">
        <w:rPr>
          <w:rtl/>
        </w:rPr>
        <w:t xml:space="preserve">عن رسول الله </w:t>
      </w:r>
      <w:r w:rsidR="004A4E41" w:rsidRPr="00C27C0B">
        <w:rPr>
          <w:rStyle w:val="libFootnoteAlaemChar"/>
          <w:rtl/>
        </w:rPr>
        <w:t>صلى‌الله‌عليه‌وآله</w:t>
      </w:r>
      <w:r w:rsidR="008A74EB" w:rsidRPr="00C9040A">
        <w:rPr>
          <w:rtl/>
        </w:rPr>
        <w:t xml:space="preserve">. </w:t>
      </w:r>
      <w:r w:rsidR="008A74EB" w:rsidRPr="00993B55">
        <w:rPr>
          <w:rStyle w:val="libFootnoteBoldChar"/>
          <w:rtl/>
        </w:rPr>
        <w:t>الكافي</w:t>
      </w:r>
      <w:r w:rsidR="008A74EB" w:rsidRPr="00C9040A">
        <w:rPr>
          <w:rtl/>
        </w:rPr>
        <w:t xml:space="preserve"> ، كتاب الإيمان والكفر ، باب ( بدون العنوان ) ، ضمن الحديث 1518 ؛ </w:t>
      </w:r>
      <w:r w:rsidR="008A74EB" w:rsidRPr="00993B55">
        <w:rPr>
          <w:rStyle w:val="libFootnoteBoldChar"/>
          <w:rtl/>
        </w:rPr>
        <w:t>وفيه</w:t>
      </w:r>
      <w:r w:rsidR="008A74EB" w:rsidRPr="00C9040A">
        <w:rPr>
          <w:rtl/>
        </w:rPr>
        <w:t xml:space="preserve"> ، كتاب المعيشة ، باب القمار والنهبة ، ح 8570 ، مع زيادة في آخره ؛ و</w:t>
      </w:r>
      <w:r w:rsidR="008A74EB" w:rsidRPr="00993B55">
        <w:rPr>
          <w:rStyle w:val="libFootnoteBoldChar"/>
          <w:rtl/>
        </w:rPr>
        <w:t>الفقيه</w:t>
      </w:r>
      <w:r w:rsidR="008A74EB" w:rsidRPr="00C9040A">
        <w:rPr>
          <w:rtl/>
        </w:rPr>
        <w:t xml:space="preserve"> ، ج 4 ، ص 22 ، ضمن ح 4990 ، مع زيادة ؛ </w:t>
      </w:r>
      <w:r w:rsidR="008A74EB" w:rsidRPr="00993B55">
        <w:rPr>
          <w:rStyle w:val="libFootnoteBoldChar"/>
          <w:rtl/>
        </w:rPr>
        <w:t>التهذيب</w:t>
      </w:r>
      <w:r w:rsidR="008A74EB" w:rsidRPr="00C9040A">
        <w:rPr>
          <w:rtl/>
        </w:rPr>
        <w:t xml:space="preserve"> ، ج 6 ، ص 371 ، ح 1074 ، مع زيادة في آخره ، وفي الأربعة الأخيرة بسند آخر عن أبي جعفر </w:t>
      </w:r>
      <w:r w:rsidR="00117575" w:rsidRPr="00117575">
        <w:rPr>
          <w:rStyle w:val="libFootnoteAlaemChar"/>
          <w:rtl/>
        </w:rPr>
        <w:t>عليه‌السلام</w:t>
      </w:r>
      <w:r w:rsidR="008A74EB" w:rsidRPr="00C9040A">
        <w:rPr>
          <w:rtl/>
        </w:rPr>
        <w:t xml:space="preserve"> عن رسول الله </w:t>
      </w:r>
      <w:r w:rsidR="004A4E41" w:rsidRPr="00C27C0B">
        <w:rPr>
          <w:rStyle w:val="libFootnoteAlaemChar"/>
          <w:rtl/>
        </w:rPr>
        <w:t>صلى‌الله‌عليه‌وآله</w:t>
      </w:r>
      <w:r w:rsidR="008A74EB" w:rsidRPr="00C9040A">
        <w:rPr>
          <w:rtl/>
        </w:rPr>
        <w:t xml:space="preserve">. </w:t>
      </w:r>
      <w:r w:rsidR="008A74EB" w:rsidRPr="0034021D">
        <w:rPr>
          <w:rStyle w:val="libFootnoteBoldChar"/>
          <w:rtl/>
        </w:rPr>
        <w:t>الأمالي للمفيد</w:t>
      </w:r>
      <w:r w:rsidR="008A74EB" w:rsidRPr="00C9040A">
        <w:rPr>
          <w:rtl/>
        </w:rPr>
        <w:t xml:space="preserve"> ، ص 21 ، </w:t>
      </w:r>
      <w:r w:rsidR="00C27C0B">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F4666C">
        <w:rPr>
          <w:rtl/>
        </w:rPr>
        <w:t>2464</w:t>
      </w:r>
      <w:r w:rsidRPr="00261CB0">
        <w:rPr>
          <w:rStyle w:val="libBold2Char"/>
          <w:rtl/>
        </w:rPr>
        <w:t xml:space="preserve"> / 23.</w:t>
      </w:r>
      <w:r w:rsidRPr="00C9040A">
        <w:rPr>
          <w:rtl/>
          <w:lang w:bidi="fa-IR"/>
        </w:rPr>
        <w:t xml:space="preserve"> ابْنُ أَبِي عُمَيْرٍ </w:t>
      </w:r>
      <w:r w:rsidR="006C577F" w:rsidRPr="006C577F">
        <w:rPr>
          <w:rStyle w:val="libFootnotenumChar"/>
          <w:rtl/>
        </w:rPr>
        <w:t>(1)</w:t>
      </w:r>
      <w:r w:rsidRPr="00C9040A">
        <w:rPr>
          <w:rtl/>
          <w:lang w:bidi="fa-IR"/>
        </w:rPr>
        <w:t xml:space="preserve"> ، عَنْ عَلِيٍّ </w:t>
      </w:r>
      <w:r w:rsidR="006C577F" w:rsidRPr="006C577F">
        <w:rPr>
          <w:rStyle w:val="libFootnotenumChar"/>
          <w:rtl/>
        </w:rPr>
        <w:t>(2)</w:t>
      </w:r>
      <w:r w:rsidRPr="00C9040A">
        <w:rPr>
          <w:rtl/>
          <w:lang w:bidi="fa-IR"/>
        </w:rPr>
        <w:t xml:space="preserve"> الزَّيَّاتِ ، عَنْ عُبَيْدِ بْنِ زُرَارَةَ ، قَالَ :</w:t>
      </w:r>
    </w:p>
    <w:p w:rsidR="008A74EB" w:rsidRPr="00C9040A" w:rsidRDefault="008A74EB" w:rsidP="008A74EB">
      <w:pPr>
        <w:pStyle w:val="libNormal"/>
        <w:rPr>
          <w:rtl/>
          <w:lang w:bidi="fa-IR"/>
        </w:rPr>
      </w:pPr>
      <w:r w:rsidRPr="00C9040A">
        <w:rPr>
          <w:rtl/>
          <w:lang w:bidi="fa-IR"/>
        </w:rPr>
        <w:t xml:space="preserve">دَخَلَ ابْنُ قَيْسٍ الْمَاصِرِ وَعُمَرُ </w:t>
      </w:r>
      <w:r w:rsidR="006C577F" w:rsidRPr="006C577F">
        <w:rPr>
          <w:rStyle w:val="libFootnotenumChar"/>
          <w:rtl/>
        </w:rPr>
        <w:t>(3)</w:t>
      </w:r>
      <w:r w:rsidRPr="00C9040A">
        <w:rPr>
          <w:rtl/>
          <w:lang w:bidi="fa-IR"/>
        </w:rPr>
        <w:t xml:space="preserve"> بْنُ ذَرٍّ</w:t>
      </w:r>
      <w:r>
        <w:rPr>
          <w:rtl/>
          <w:lang w:bidi="fa-IR"/>
        </w:rPr>
        <w:t xml:space="preserve"> </w:t>
      </w:r>
      <w:r w:rsidR="0084262C">
        <w:rPr>
          <w:rtl/>
          <w:lang w:bidi="fa-IR"/>
        </w:rPr>
        <w:t>-</w:t>
      </w:r>
      <w:r>
        <w:rPr>
          <w:rtl/>
          <w:lang w:bidi="fa-IR"/>
        </w:rPr>
        <w:t xml:space="preserve"> </w:t>
      </w:r>
      <w:r w:rsidRPr="00C9040A">
        <w:rPr>
          <w:rtl/>
          <w:lang w:bidi="fa-IR"/>
        </w:rPr>
        <w:t xml:space="preserve">وَأَظُنُّ </w:t>
      </w:r>
      <w:r w:rsidR="006C577F" w:rsidRPr="006C577F">
        <w:rPr>
          <w:rStyle w:val="libFootnotenumChar"/>
          <w:rtl/>
        </w:rPr>
        <w:t>(4)</w:t>
      </w:r>
      <w:r w:rsidRPr="00C9040A">
        <w:rPr>
          <w:rtl/>
          <w:lang w:bidi="fa-IR"/>
        </w:rPr>
        <w:t xml:space="preserve"> مَعَهُمَا أَبُو حَنِيفَةَ</w:t>
      </w:r>
      <w:r>
        <w:rPr>
          <w:rtl/>
          <w:lang w:bidi="fa-IR"/>
        </w:rPr>
        <w:t xml:space="preserve"> </w:t>
      </w:r>
      <w:r w:rsidR="0084262C">
        <w:rPr>
          <w:rtl/>
          <w:lang w:bidi="fa-IR"/>
        </w:rPr>
        <w:t>-</w:t>
      </w:r>
      <w:r>
        <w:rPr>
          <w:rtl/>
          <w:lang w:bidi="fa-IR"/>
        </w:rPr>
        <w:t xml:space="preserve"> </w:t>
      </w:r>
      <w:r w:rsidRPr="00C9040A">
        <w:rPr>
          <w:rtl/>
          <w:lang w:bidi="fa-IR"/>
        </w:rPr>
        <w:t xml:space="preserve">عَلى أَبِي جَعْفَرٍ </w:t>
      </w:r>
      <w:r w:rsidRPr="0003660B">
        <w:rPr>
          <w:rStyle w:val="libAlaemChar"/>
          <w:rtl/>
        </w:rPr>
        <w:t>عليه‌السلام</w:t>
      </w:r>
      <w:r w:rsidRPr="00C9040A">
        <w:rPr>
          <w:rtl/>
          <w:lang w:bidi="fa-IR"/>
        </w:rPr>
        <w:t xml:space="preserve"> ، فَتَكَلَّمَ ابْنُ قَيْسٍ الْمَاصِرِ ، فَقَالَ : إِنَّا لَانُخْرِجُ أَهْلَ </w:t>
      </w:r>
      <w:r w:rsidR="006C577F" w:rsidRPr="006C577F">
        <w:rPr>
          <w:rStyle w:val="libFootnotenumChar"/>
          <w:rtl/>
        </w:rPr>
        <w:t>(5)</w:t>
      </w:r>
      <w:r w:rsidRPr="00C9040A">
        <w:rPr>
          <w:rtl/>
          <w:lang w:bidi="fa-IR"/>
        </w:rPr>
        <w:t xml:space="preserve"> دَعْوَتِنَا وَأَهْلَ مِلَّتِنَا مِنَ الْإِيمَانِ فِي الْمَعَاصِي وَالذُّنُوبِ.</w:t>
      </w:r>
    </w:p>
    <w:p w:rsidR="008A74EB" w:rsidRPr="00C9040A" w:rsidRDefault="008A74EB" w:rsidP="008A74EB">
      <w:pPr>
        <w:pStyle w:val="libNormal"/>
        <w:rPr>
          <w:rtl/>
          <w:lang w:bidi="fa-IR"/>
        </w:rPr>
      </w:pPr>
      <w:r w:rsidRPr="00C9040A">
        <w:rPr>
          <w:rtl/>
          <w:lang w:bidi="fa-IR"/>
        </w:rPr>
        <w:t xml:space="preserve">قَالَ : فَقَالَ لَهُ </w:t>
      </w:r>
      <w:r w:rsidR="006C577F" w:rsidRPr="006C577F">
        <w:rPr>
          <w:rStyle w:val="libFootnotenumChar"/>
          <w:rtl/>
        </w:rPr>
        <w:t>(6)</w:t>
      </w:r>
      <w:r w:rsidRPr="005B567D">
        <w:rPr>
          <w:rStyle w:val="libFootnotenumChar"/>
          <w:rtl/>
        </w:rPr>
        <w:t xml:space="preserve"> </w:t>
      </w:r>
      <w:r w:rsidRPr="00C9040A">
        <w:rPr>
          <w:rtl/>
          <w:lang w:bidi="fa-IR"/>
        </w:rPr>
        <w:t xml:space="preserve">أَبُو جَعْفَرٍ </w:t>
      </w:r>
      <w:r w:rsidRPr="0003660B">
        <w:rPr>
          <w:rStyle w:val="libAlaemChar"/>
          <w:rtl/>
        </w:rPr>
        <w:t>عليه‌السلام</w:t>
      </w:r>
      <w:r w:rsidRPr="00C9040A">
        <w:rPr>
          <w:rtl/>
          <w:lang w:bidi="fa-IR"/>
        </w:rPr>
        <w:t xml:space="preserve"> : « يَا ابْنَ قَيْسٍ ، أَمَّا رَسُولُ اللهِ </w:t>
      </w:r>
      <w:r w:rsidR="004A4E41" w:rsidRPr="004A4E41">
        <w:rPr>
          <w:rStyle w:val="libAlaemChar"/>
          <w:rtl/>
        </w:rPr>
        <w:t>صلى‌الله‌عليه‌وآله</w:t>
      </w:r>
      <w:r w:rsidRPr="00C9040A">
        <w:rPr>
          <w:rtl/>
          <w:lang w:bidi="fa-IR"/>
        </w:rPr>
        <w:t xml:space="preserve"> ، فَقَدْ </w:t>
      </w:r>
      <w:r w:rsidR="006C577F" w:rsidRPr="006C577F">
        <w:rPr>
          <w:rStyle w:val="libFootnotenumChar"/>
          <w:rtl/>
        </w:rPr>
        <w:t>(7)</w:t>
      </w:r>
      <w:r w:rsidRPr="00C9040A">
        <w:rPr>
          <w:rtl/>
          <w:lang w:bidi="fa-IR"/>
        </w:rPr>
        <w:t xml:space="preserve"> قَالَ : لَايَزْنِي الزَّانِي وَهُوَ مُؤْمِنٌ ، وَلَايَسْرِقُ السَّارِقُ وَهُوَ مُؤْمِنٌ ؛ فَاذْهَبْ أَن</w:t>
      </w:r>
      <w:r w:rsidR="00A60E2C">
        <w:rPr>
          <w:rtl/>
          <w:lang w:bidi="fa-IR"/>
        </w:rPr>
        <w:t>ْتَ وَأَصْحَابُكَ حَيْثُ شِئْتَ</w:t>
      </w:r>
      <w:r w:rsidRPr="00C9040A">
        <w:rPr>
          <w:rtl/>
          <w:lang w:bidi="fa-IR"/>
        </w:rPr>
        <w:t>»</w:t>
      </w:r>
      <w:r>
        <w:rPr>
          <w:rtl/>
          <w:lang w:bidi="fa-IR"/>
        </w:rPr>
        <w:t>.</w:t>
      </w:r>
      <w:r w:rsidR="006C577F" w:rsidRPr="006C577F">
        <w:rPr>
          <w:rStyle w:val="libFootnotenumChar"/>
          <w:rtl/>
        </w:rPr>
        <w:t>(8)</w:t>
      </w:r>
      <w:r w:rsidRPr="00C9040A">
        <w:rPr>
          <w:rtl/>
          <w:lang w:bidi="fa-IR"/>
        </w:rPr>
        <w:t xml:space="preserve"> ‌</w:t>
      </w:r>
    </w:p>
    <w:p w:rsidR="008A74EB" w:rsidRPr="00C9040A" w:rsidRDefault="008A74EB" w:rsidP="008A74EB">
      <w:pPr>
        <w:pStyle w:val="libNormal"/>
        <w:rPr>
          <w:rtl/>
          <w:lang w:bidi="fa-IR"/>
        </w:rPr>
      </w:pPr>
      <w:r w:rsidRPr="00F4666C">
        <w:rPr>
          <w:rtl/>
        </w:rPr>
        <w:t>2465</w:t>
      </w:r>
      <w:r w:rsidRPr="00261CB0">
        <w:rPr>
          <w:rStyle w:val="libBold2Char"/>
          <w:rtl/>
        </w:rPr>
        <w:t xml:space="preserve"> / 24.</w:t>
      </w:r>
      <w:r w:rsidRPr="00C9040A">
        <w:rPr>
          <w:rtl/>
          <w:lang w:bidi="fa-IR"/>
        </w:rPr>
        <w:t xml:space="preserve"> عَلِيُّ بْنُ إِبْرَاهِيمَ ، عَنْ مُحَمَّدِ بْنِ عِيسى ، عَنْ يُونُسَ ، عَنْ عَبْدِ اللهِ بْنِ سِنَانٍ ، قَالَ :</w:t>
      </w:r>
    </w:p>
    <w:p w:rsidR="008A74EB" w:rsidRPr="00C9040A" w:rsidRDefault="008A74EB" w:rsidP="008A74EB">
      <w:pPr>
        <w:pStyle w:val="libLine"/>
        <w:rPr>
          <w:rtl/>
          <w:lang w:bidi="fa-IR"/>
        </w:rPr>
      </w:pPr>
      <w:r w:rsidRPr="00C9040A">
        <w:rPr>
          <w:rtl/>
          <w:lang w:bidi="fa-IR"/>
        </w:rPr>
        <w:t>__________________</w:t>
      </w:r>
    </w:p>
    <w:p w:rsidR="008A74EB" w:rsidRPr="00C9040A" w:rsidRDefault="00A60E2C" w:rsidP="00A60E2C">
      <w:pPr>
        <w:pStyle w:val="libFootnote0"/>
        <w:rPr>
          <w:rtl/>
          <w:lang w:bidi="fa-IR"/>
        </w:rPr>
      </w:pPr>
      <w:r>
        <w:rPr>
          <w:rFonts w:hint="cs"/>
          <w:rtl/>
        </w:rPr>
        <w:t xml:space="preserve">= </w:t>
      </w:r>
      <w:r w:rsidR="008A74EB" w:rsidRPr="00C9040A">
        <w:rPr>
          <w:rtl/>
        </w:rPr>
        <w:t xml:space="preserve">المجلس 3 ، ضمن ح 3 ، بسند آخر عن جعفر بن محمّد </w:t>
      </w:r>
      <w:r w:rsidR="00117575" w:rsidRPr="00117575">
        <w:rPr>
          <w:rStyle w:val="libFootnoteAlaemChar"/>
          <w:rtl/>
        </w:rPr>
        <w:t>عليهما‌السلام</w:t>
      </w:r>
      <w:r w:rsidR="008A74EB" w:rsidRPr="00C9040A">
        <w:rPr>
          <w:rtl/>
        </w:rPr>
        <w:t xml:space="preserve"> عن رسول الله </w:t>
      </w:r>
      <w:r w:rsidR="004A4E41" w:rsidRPr="00A60E2C">
        <w:rPr>
          <w:rStyle w:val="libFootnoteAlaemChar"/>
          <w:rtl/>
        </w:rPr>
        <w:t>صلى‌الله‌عليه‌وآله</w:t>
      </w:r>
      <w:r w:rsidR="008A74EB" w:rsidRPr="00C9040A">
        <w:rPr>
          <w:rtl/>
        </w:rPr>
        <w:t xml:space="preserve"> ، مع زيادة في آخره. </w:t>
      </w:r>
      <w:r w:rsidR="008A74EB" w:rsidRPr="00993B55">
        <w:rPr>
          <w:rStyle w:val="libFootnoteBoldChar"/>
          <w:rtl/>
        </w:rPr>
        <w:t>الخصال</w:t>
      </w:r>
      <w:r w:rsidR="008A74EB" w:rsidRPr="00C9040A">
        <w:rPr>
          <w:rtl/>
        </w:rPr>
        <w:t xml:space="preserve"> ، ص 608 ، باب المائة فمافوقه ، ضمن الحديث الطويل 1 ، بسند آخر عن جعفر بن محمّد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عيون الأخبار</w:t>
      </w:r>
      <w:r w:rsidR="008A74EB" w:rsidRPr="00C9040A">
        <w:rPr>
          <w:rtl/>
        </w:rPr>
        <w:t xml:space="preserve"> ، ج 2 ، ص 125 ، ضمن الحديث الطويل 1 ، بسند آخر عن الرضا </w:t>
      </w:r>
      <w:r w:rsidR="00117575" w:rsidRPr="00117575">
        <w:rPr>
          <w:rStyle w:val="libFootnoteAlaemChar"/>
          <w:rtl/>
        </w:rPr>
        <w:t>عليه‌السلام</w:t>
      </w:r>
      <w:r w:rsidR="008A74EB" w:rsidRPr="00C9040A">
        <w:rPr>
          <w:rtl/>
        </w:rPr>
        <w:t xml:space="preserve"> ، وفيهما من دون الإسناد إلى الرسول </w:t>
      </w:r>
      <w:r w:rsidR="004A4E41" w:rsidRPr="00A60E2C">
        <w:rPr>
          <w:rStyle w:val="libFootnoteAlaemChar"/>
          <w:rtl/>
        </w:rPr>
        <w:t>صلى‌الله‌عليه‌وآله</w:t>
      </w:r>
      <w:r w:rsidR="008A74EB" w:rsidRPr="00C9040A">
        <w:rPr>
          <w:rtl/>
        </w:rPr>
        <w:t xml:space="preserve">. </w:t>
      </w:r>
      <w:r w:rsidR="008A74EB" w:rsidRPr="00993B55">
        <w:rPr>
          <w:rStyle w:val="libFootnoteBoldChar"/>
          <w:rtl/>
        </w:rPr>
        <w:t>تحف العقول</w:t>
      </w:r>
      <w:r w:rsidR="008A74EB" w:rsidRPr="00C9040A">
        <w:rPr>
          <w:rtl/>
        </w:rPr>
        <w:t xml:space="preserve"> ، ص 420 ، عن الرضا </w:t>
      </w:r>
      <w:r w:rsidR="00117575" w:rsidRPr="00117575">
        <w:rPr>
          <w:rStyle w:val="libFootnoteAlaemChar"/>
          <w:rtl/>
        </w:rPr>
        <w:t>عليه‌السلام</w:t>
      </w:r>
      <w:r w:rsidR="008A74EB" w:rsidRPr="00C9040A">
        <w:rPr>
          <w:rtl/>
        </w:rPr>
        <w:t xml:space="preserve"> ، ضمن الحديث</w:t>
      </w:r>
      <w:r>
        <w:rPr>
          <w:rtl/>
        </w:rPr>
        <w:t xml:space="preserve"> الطويل ، وفي كلّ المصادر ( إل</w:t>
      </w:r>
      <w:r>
        <w:rPr>
          <w:rFonts w:hint="cs"/>
          <w:rtl/>
        </w:rPr>
        <w:t>ّ</w:t>
      </w:r>
      <w:r>
        <w:rPr>
          <w:rtl/>
        </w:rPr>
        <w:t>ا</w:t>
      </w:r>
      <w:r w:rsidR="008A74EB" w:rsidRPr="00C9040A">
        <w:rPr>
          <w:rtl/>
        </w:rPr>
        <w:t xml:space="preserve"> </w:t>
      </w:r>
      <w:r w:rsidR="008A74EB" w:rsidRPr="00993B55">
        <w:rPr>
          <w:rStyle w:val="libFootnoteBoldChar"/>
          <w:rtl/>
        </w:rPr>
        <w:t>قرب الإسناد</w:t>
      </w:r>
      <w:r w:rsidR="008A74EB" w:rsidRPr="00C9040A">
        <w:rPr>
          <w:rtl/>
        </w:rPr>
        <w:t xml:space="preserve"> ) مع اختلاف يسير. </w:t>
      </w:r>
      <w:r w:rsidR="008A74EB" w:rsidRPr="00993B55">
        <w:rPr>
          <w:rStyle w:val="libFootnoteBoldChar"/>
          <w:rtl/>
        </w:rPr>
        <w:t>تفسير القمّي</w:t>
      </w:r>
      <w:r w:rsidR="008A74EB" w:rsidRPr="00C9040A">
        <w:rPr>
          <w:rtl/>
        </w:rPr>
        <w:t xml:space="preserve"> ، ج 1 ، ص 31 ، مرسلاً عن رسول الله </w:t>
      </w:r>
      <w:r w:rsidR="004A4E41" w:rsidRPr="00A60E2C">
        <w:rPr>
          <w:rStyle w:val="libFootnoteAlaemChar"/>
          <w:rtl/>
        </w:rPr>
        <w:t>صلى‌الله‌عليه‌وآله</w:t>
      </w:r>
      <w:r w:rsidR="008A74EB" w:rsidRPr="00C9040A">
        <w:rPr>
          <w:rtl/>
        </w:rPr>
        <w:t xml:space="preserve"> ، مع زيادة في آخره ، وفي كلّ المصادر من قوله : « لايزني الزاني وهو مؤمن »</w:t>
      </w:r>
      <w:r>
        <w:rPr>
          <w:rFonts w:hint="cs"/>
          <w:rtl/>
        </w:rPr>
        <w:t>.</w:t>
      </w:r>
      <w:r w:rsidR="008A74EB" w:rsidRPr="00993B55">
        <w:rPr>
          <w:rStyle w:val="libFootnoteBoldChar"/>
          <w:rtl/>
        </w:rPr>
        <w:t>الوافي</w:t>
      </w:r>
      <w:r w:rsidR="008A74EB" w:rsidRPr="00C9040A">
        <w:rPr>
          <w:rtl/>
        </w:rPr>
        <w:t xml:space="preserve"> ، ج 4 ، ص 112 ، ح 1712 ؛ </w:t>
      </w:r>
      <w:r w:rsidR="008A74EB" w:rsidRPr="00993B55">
        <w:rPr>
          <w:rStyle w:val="libFootnoteBoldChar"/>
          <w:rtl/>
        </w:rPr>
        <w:t>الوسائل</w:t>
      </w:r>
      <w:r w:rsidR="008A74EB" w:rsidRPr="00C9040A">
        <w:rPr>
          <w:rtl/>
        </w:rPr>
        <w:t xml:space="preserve"> ، ج 15 ، ص 325 ، ح 20645 ؛ </w:t>
      </w:r>
      <w:r w:rsidR="008A74EB" w:rsidRPr="00993B55">
        <w:rPr>
          <w:rStyle w:val="libFootnoteBoldChar"/>
          <w:rtl/>
        </w:rPr>
        <w:t>البحار</w:t>
      </w:r>
      <w:r w:rsidR="008A74EB" w:rsidRPr="00C9040A">
        <w:rPr>
          <w:rtl/>
        </w:rPr>
        <w:t xml:space="preserve"> ، ج 69 ، ص 63 ، ح 7.</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السند معلّق على سابقه. ويروي عن ابن أبي عمير ، عليّ بن إبراهيم ، عن أبيه.</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هكذا في « ب ، د ، ص ، </w:t>
      </w:r>
      <w:r w:rsidR="006D3162">
        <w:rPr>
          <w:rtl/>
        </w:rPr>
        <w:t xml:space="preserve">ه </w:t>
      </w:r>
      <w:r w:rsidR="008A74EB" w:rsidRPr="00C9040A">
        <w:rPr>
          <w:rtl/>
        </w:rPr>
        <w:t>، بر ، بس ، بف » والبحار. وفي « ج ، ز » والمطبوع : + « بن »</w:t>
      </w:r>
      <w:r w:rsidR="008A74EB">
        <w:rPr>
          <w:rtl/>
        </w:rPr>
        <w:t>.</w:t>
      </w:r>
      <w:r w:rsidR="008A74EB" w:rsidRPr="00C9040A">
        <w:rPr>
          <w:rtl/>
        </w:rPr>
        <w:t xml:space="preserve"> وفي « جر » </w:t>
      </w:r>
      <w:r w:rsidR="008A74EB">
        <w:rPr>
          <w:rtl/>
        </w:rPr>
        <w:t xml:space="preserve">: </w:t>
      </w:r>
      <w:r w:rsidR="0084262C">
        <w:rPr>
          <w:rtl/>
        </w:rPr>
        <w:t>-</w:t>
      </w:r>
      <w:r w:rsidR="008A74EB" w:rsidRPr="00C9040A">
        <w:rPr>
          <w:rtl/>
        </w:rPr>
        <w:t xml:space="preserve"> « عليّ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هكذا في « ب ، ز ، ص ، بر ، بف ، جر » والبحار. وفي « ج ، د ، </w:t>
      </w:r>
      <w:r w:rsidR="006D3162">
        <w:rPr>
          <w:rtl/>
        </w:rPr>
        <w:t xml:space="preserve">ه </w:t>
      </w:r>
      <w:r w:rsidR="008A74EB" w:rsidRPr="00C9040A">
        <w:rPr>
          <w:rtl/>
        </w:rPr>
        <w:t>، بس » والمطبوع : « عمرو »</w:t>
      </w:r>
      <w:r w:rsidR="008A74EB">
        <w:rPr>
          <w:rtl/>
        </w:rPr>
        <w:t>.</w:t>
      </w:r>
      <w:r w:rsidR="008A74EB" w:rsidRPr="00C9040A">
        <w:rPr>
          <w:rtl/>
        </w:rPr>
        <w:t xml:space="preserve"> والصواب ما أثبتناه. وعمر هذا ، هو عمر بن ذرّ بن عبدالله المرهبي. راجع : </w:t>
      </w:r>
      <w:r w:rsidR="008A74EB" w:rsidRPr="00993B55">
        <w:rPr>
          <w:rStyle w:val="libFootnoteBoldChar"/>
          <w:rtl/>
        </w:rPr>
        <w:t>رجال الكشّي</w:t>
      </w:r>
      <w:r w:rsidR="008A74EB" w:rsidRPr="00C9040A">
        <w:rPr>
          <w:rtl/>
        </w:rPr>
        <w:t xml:space="preserve"> ، ص 219 ، الرقم 394 ؛ </w:t>
      </w:r>
      <w:r w:rsidR="008A74EB" w:rsidRPr="00993B55">
        <w:rPr>
          <w:rStyle w:val="libFootnoteBoldChar"/>
          <w:rtl/>
        </w:rPr>
        <w:t>تهذيب الكمال</w:t>
      </w:r>
      <w:r w:rsidR="008A74EB" w:rsidRPr="00C9040A">
        <w:rPr>
          <w:rtl/>
        </w:rPr>
        <w:t xml:space="preserve"> ، ج 21 ، ص 334 ، الرقم 4230 ، وما بهامشه من المصادر.</w:t>
      </w:r>
    </w:p>
    <w:p w:rsidR="008A74EB" w:rsidRPr="00C9040A" w:rsidRDefault="006C577F" w:rsidP="004A4E41">
      <w:pPr>
        <w:pStyle w:val="libFootnote0"/>
        <w:rPr>
          <w:rtl/>
          <w:lang w:bidi="fa-IR"/>
        </w:rPr>
      </w:pPr>
      <w:r>
        <w:rPr>
          <w:rtl/>
        </w:rPr>
        <w:t>(4).</w:t>
      </w:r>
      <w:r w:rsidR="008A74EB" w:rsidRPr="00C9040A">
        <w:rPr>
          <w:rtl/>
        </w:rPr>
        <w:t xml:space="preserve"> في « ج » : + « </w:t>
      </w:r>
      <w:r w:rsidR="008A74EB">
        <w:rPr>
          <w:rtl/>
        </w:rPr>
        <w:t>و ».</w:t>
      </w:r>
    </w:p>
    <w:p w:rsidR="008A74EB" w:rsidRPr="00C9040A" w:rsidRDefault="006C577F" w:rsidP="004A4E41">
      <w:pPr>
        <w:pStyle w:val="libFootnote0"/>
        <w:rPr>
          <w:rtl/>
          <w:lang w:bidi="fa-IR"/>
        </w:rPr>
      </w:pPr>
      <w:r>
        <w:rPr>
          <w:rtl/>
        </w:rPr>
        <w:t>(5).</w:t>
      </w:r>
      <w:r w:rsidR="008A74EB" w:rsidRPr="00C9040A">
        <w:rPr>
          <w:rtl/>
        </w:rPr>
        <w:t xml:space="preserve"> فى « </w:t>
      </w:r>
      <w:r w:rsidR="006D3162">
        <w:rPr>
          <w:rtl/>
        </w:rPr>
        <w:t xml:space="preserve">ه </w:t>
      </w:r>
      <w:r w:rsidR="008A74EB" w:rsidRPr="00C9040A">
        <w:rPr>
          <w:rtl/>
        </w:rPr>
        <w:t>» : « بأهل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 ص ، </w:t>
      </w:r>
      <w:r w:rsidR="006D3162">
        <w:rPr>
          <w:rtl/>
        </w:rPr>
        <w:t xml:space="preserve">ه </w:t>
      </w:r>
      <w:r w:rsidR="008A74EB" w:rsidRPr="00C9040A">
        <w:rPr>
          <w:rtl/>
        </w:rPr>
        <w:t xml:space="preserve">، بس » </w:t>
      </w:r>
      <w:r w:rsidR="008A74EB">
        <w:rPr>
          <w:rtl/>
        </w:rPr>
        <w:t xml:space="preserve">: </w:t>
      </w:r>
      <w:r w:rsidR="0084262C">
        <w:rPr>
          <w:rtl/>
        </w:rPr>
        <w:t>-</w:t>
      </w:r>
      <w:r w:rsidR="008A74EB" w:rsidRPr="00C9040A">
        <w:rPr>
          <w:rtl/>
        </w:rPr>
        <w:t xml:space="preserve"> « له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ص ، بر » </w:t>
      </w:r>
      <w:r w:rsidR="008A74EB">
        <w:rPr>
          <w:rtl/>
        </w:rPr>
        <w:t xml:space="preserve">: </w:t>
      </w:r>
      <w:r w:rsidR="0084262C">
        <w:rPr>
          <w:rtl/>
        </w:rPr>
        <w:t>-</w:t>
      </w:r>
      <w:r w:rsidR="008A74EB" w:rsidRPr="00C9040A">
        <w:rPr>
          <w:rtl/>
        </w:rPr>
        <w:t xml:space="preserve"> « فقد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w:t>
      </w:r>
      <w:r w:rsidR="008A74EB" w:rsidRPr="00993B55">
        <w:rPr>
          <w:rStyle w:val="libFootnoteBoldChar"/>
          <w:rtl/>
        </w:rPr>
        <w:t>الوافي</w:t>
      </w:r>
      <w:r w:rsidR="008A74EB" w:rsidRPr="00C9040A">
        <w:rPr>
          <w:rtl/>
        </w:rPr>
        <w:t xml:space="preserve"> ، ج 4 ، ص 113 ، ح 1713 ؛ </w:t>
      </w:r>
      <w:r w:rsidR="008A74EB" w:rsidRPr="00993B55">
        <w:rPr>
          <w:rStyle w:val="libFootnoteBoldChar"/>
          <w:rtl/>
        </w:rPr>
        <w:t>البحار</w:t>
      </w:r>
      <w:r w:rsidR="008A74EB" w:rsidRPr="00C9040A">
        <w:rPr>
          <w:rtl/>
        </w:rPr>
        <w:t xml:space="preserve"> ، ج 69 ، ص 63 ، ح 8.</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سَأَلْتُ أَبَا عَبْدِ اللهِ </w:t>
      </w:r>
      <w:r w:rsidRPr="0003660B">
        <w:rPr>
          <w:rStyle w:val="libAlaemChar"/>
          <w:rtl/>
        </w:rPr>
        <w:t>عليه‌السلام</w:t>
      </w:r>
      <w:r w:rsidRPr="00C9040A">
        <w:rPr>
          <w:rtl/>
          <w:lang w:bidi="fa-IR"/>
        </w:rPr>
        <w:t xml:space="preserve"> عَنِ الرَّجُلِ يَرْتَكِبُ الْكَبِيرَةَ مِنَ الْكَبَائِرِ </w:t>
      </w:r>
      <w:r w:rsidR="006C577F" w:rsidRPr="006C577F">
        <w:rPr>
          <w:rStyle w:val="libFootnotenumChar"/>
          <w:rtl/>
        </w:rPr>
        <w:t>(1)</w:t>
      </w:r>
      <w:r w:rsidRPr="00C9040A">
        <w:rPr>
          <w:rtl/>
          <w:lang w:bidi="fa-IR"/>
        </w:rPr>
        <w:t xml:space="preserve"> فَيَمُوتُ ، هَلْ يُخْرِجُهُ ذلِكَ </w:t>
      </w:r>
      <w:r w:rsidR="006C577F" w:rsidRPr="006C577F">
        <w:rPr>
          <w:rStyle w:val="libFootnotenumChar"/>
          <w:rtl/>
        </w:rPr>
        <w:t>(2)</w:t>
      </w:r>
      <w:r w:rsidRPr="00C9040A">
        <w:rPr>
          <w:rtl/>
          <w:lang w:bidi="fa-IR"/>
        </w:rPr>
        <w:t xml:space="preserve"> مِنَ الْإِسْلَامِ</w:t>
      </w:r>
      <w:r>
        <w:rPr>
          <w:rtl/>
          <w:lang w:bidi="fa-IR"/>
        </w:rPr>
        <w:t>؟</w:t>
      </w:r>
      <w:r w:rsidRPr="00C9040A">
        <w:rPr>
          <w:rtl/>
          <w:lang w:bidi="fa-IR"/>
        </w:rPr>
        <w:t xml:space="preserve"> وَإِنْ </w:t>
      </w:r>
      <w:r w:rsidR="006C577F" w:rsidRPr="006C577F">
        <w:rPr>
          <w:rStyle w:val="libFootnotenumChar"/>
          <w:rtl/>
        </w:rPr>
        <w:t>(3)</w:t>
      </w:r>
      <w:r w:rsidRPr="00C9040A">
        <w:rPr>
          <w:rtl/>
          <w:lang w:bidi="fa-IR"/>
        </w:rPr>
        <w:t xml:space="preserve"> عُذِّبَ ، كَانَ عَذَابُهُ كَعَذَابِ الْمُشْرِكِينَ ، أَمْ لَهُ مُدَّةٌ وَانْقِطَاعٌ</w:t>
      </w:r>
      <w:r>
        <w:rPr>
          <w:rtl/>
          <w:lang w:bidi="fa-IR"/>
        </w:rPr>
        <w:t>؟</w:t>
      </w:r>
    </w:p>
    <w:p w:rsidR="008A74EB" w:rsidRPr="00C9040A" w:rsidRDefault="008A74EB" w:rsidP="008A74EB">
      <w:pPr>
        <w:pStyle w:val="libNormal"/>
        <w:rPr>
          <w:rtl/>
          <w:lang w:bidi="fa-IR"/>
        </w:rPr>
      </w:pPr>
      <w:r w:rsidRPr="00C9040A">
        <w:rPr>
          <w:rtl/>
          <w:lang w:bidi="fa-IR"/>
        </w:rPr>
        <w:t xml:space="preserve">فَقَالَ : « مَنِ ارْتَكَبَ كَبِيرَةً مِنَ الْكَبَائِرِ ، فَزَعَمَ </w:t>
      </w:r>
      <w:r w:rsidR="006C577F" w:rsidRPr="006C577F">
        <w:rPr>
          <w:rStyle w:val="libFootnotenumChar"/>
          <w:rtl/>
        </w:rPr>
        <w:t>(4)</w:t>
      </w:r>
      <w:r w:rsidRPr="00C9040A">
        <w:rPr>
          <w:rtl/>
          <w:lang w:bidi="fa-IR"/>
        </w:rPr>
        <w:t xml:space="preserve"> أَنَّهَا </w:t>
      </w:r>
      <w:r w:rsidR="006C577F" w:rsidRPr="006C577F">
        <w:rPr>
          <w:rStyle w:val="libFootnotenumChar"/>
          <w:rtl/>
        </w:rPr>
        <w:t>(5)</w:t>
      </w:r>
      <w:r w:rsidRPr="00C9040A">
        <w:rPr>
          <w:rtl/>
          <w:lang w:bidi="fa-IR"/>
        </w:rPr>
        <w:t xml:space="preserve"> حَلَالٌ ، أَخْرَجَهُ ذلِكَ مِنَ الْإِسْلَامِ ، وَعُذِّبَ أَشَدَّ الْعَذَابِ ؛ وَإِنْ كَانَ مُعْتَرِفاً أَنَّهُ ذَنْبٌ </w:t>
      </w:r>
      <w:r w:rsidR="006C577F" w:rsidRPr="006C577F">
        <w:rPr>
          <w:rStyle w:val="libFootnotenumChar"/>
          <w:rtl/>
        </w:rPr>
        <w:t>(6)</w:t>
      </w:r>
      <w:r w:rsidRPr="005B567D">
        <w:rPr>
          <w:rStyle w:val="libFootnotenumChar"/>
          <w:rtl/>
        </w:rPr>
        <w:t xml:space="preserve"> </w:t>
      </w:r>
      <w:r w:rsidRPr="00C9040A">
        <w:rPr>
          <w:rtl/>
          <w:lang w:bidi="fa-IR"/>
        </w:rPr>
        <w:t xml:space="preserve">وَمَاتَ عَلَيْهَا </w:t>
      </w:r>
      <w:r w:rsidR="006C577F" w:rsidRPr="006C577F">
        <w:rPr>
          <w:rStyle w:val="libFootnotenumChar"/>
          <w:rtl/>
        </w:rPr>
        <w:t>(7)</w:t>
      </w:r>
      <w:r w:rsidRPr="00C9040A">
        <w:rPr>
          <w:rtl/>
          <w:lang w:bidi="fa-IR"/>
        </w:rPr>
        <w:t xml:space="preserve"> ، أَخْرَجَهُ </w:t>
      </w:r>
      <w:r w:rsidR="006C577F" w:rsidRPr="006C577F">
        <w:rPr>
          <w:rStyle w:val="libFootnotenumChar"/>
          <w:rtl/>
        </w:rPr>
        <w:t>(8)</w:t>
      </w:r>
      <w:r w:rsidRPr="00C9040A">
        <w:rPr>
          <w:rtl/>
          <w:lang w:bidi="fa-IR"/>
        </w:rPr>
        <w:t xml:space="preserve"> مِنَ الْإِيمَانِ ، وَلَمْ يُخْرِجْهُ مِنَ الْإِسْلَامِ ، وَكَانَ عَذَابُهُ أَهْوَنَ مِنْ عَذَابِ الْأَوَّلِ »</w:t>
      </w:r>
      <w:r>
        <w:rPr>
          <w:rtl/>
          <w:lang w:bidi="fa-IR"/>
        </w:rPr>
        <w:t>.</w:t>
      </w:r>
      <w:r w:rsidRPr="00C9040A">
        <w:rPr>
          <w:rtl/>
          <w:lang w:bidi="fa-IR"/>
        </w:rPr>
        <w:t xml:space="preserve"> </w:t>
      </w:r>
      <w:r w:rsidR="006C577F" w:rsidRPr="006C577F">
        <w:rPr>
          <w:rStyle w:val="libFootnotenumChar"/>
          <w:rtl/>
        </w:rPr>
        <w:t>(9)</w:t>
      </w:r>
      <w:r w:rsidRPr="00C9040A">
        <w:rPr>
          <w:rtl/>
          <w:lang w:bidi="fa-IR"/>
        </w:rPr>
        <w:t xml:space="preserve"> ‌</w:t>
      </w:r>
    </w:p>
    <w:p w:rsidR="008A74EB" w:rsidRPr="00C9040A" w:rsidRDefault="008A74EB" w:rsidP="008A74EB">
      <w:pPr>
        <w:pStyle w:val="libNormal"/>
        <w:rPr>
          <w:rtl/>
          <w:lang w:bidi="fa-IR"/>
        </w:rPr>
      </w:pPr>
      <w:r w:rsidRPr="00F4666C">
        <w:rPr>
          <w:rtl/>
        </w:rPr>
        <w:t>2466</w:t>
      </w:r>
      <w:r w:rsidRPr="00261CB0">
        <w:rPr>
          <w:rStyle w:val="libBold2Char"/>
          <w:rtl/>
        </w:rPr>
        <w:t xml:space="preserve"> / 25.</w:t>
      </w:r>
      <w:r w:rsidRPr="00C9040A">
        <w:rPr>
          <w:rtl/>
          <w:lang w:bidi="fa-IR"/>
        </w:rPr>
        <w:t xml:space="preserve"> عِدَّةٌ مِنْ أَصْحَابِنَا ، عَنْ أَحْمَدَ بْنِ مُحَمَّدِ بْنِ خَالِدٍ ، عَنْ عَبْدِ الْعَظِيمِ بْنِ عَبْدِ اللهِ الْحَسَنِيِّ ، قَالَ : حَدَّثَنِي أَبُو جَعْفَرٍ الثَّانِي </w:t>
      </w:r>
      <w:r w:rsidR="006C577F" w:rsidRPr="006C577F">
        <w:rPr>
          <w:rStyle w:val="libFootnotenumChar"/>
          <w:rtl/>
        </w:rPr>
        <w:t>(10)</w:t>
      </w:r>
      <w:r w:rsidRPr="00C9040A">
        <w:rPr>
          <w:rtl/>
          <w:lang w:bidi="fa-IR"/>
        </w:rPr>
        <w:t xml:space="preserve"> صَلَوَاتُ اللهِ عَلَيْهِ ، قَالَ :</w:t>
      </w:r>
    </w:p>
    <w:p w:rsidR="008A74EB" w:rsidRPr="00C9040A" w:rsidRDefault="008A74EB" w:rsidP="008A74EB">
      <w:pPr>
        <w:pStyle w:val="libNormal"/>
        <w:rPr>
          <w:rtl/>
          <w:lang w:bidi="fa-IR"/>
        </w:rPr>
      </w:pPr>
      <w:r w:rsidRPr="00C9040A">
        <w:rPr>
          <w:rtl/>
          <w:lang w:bidi="fa-IR"/>
        </w:rPr>
        <w:t xml:space="preserve">« سَمِعْتُ أَبِي </w:t>
      </w:r>
      <w:r w:rsidRPr="0003660B">
        <w:rPr>
          <w:rStyle w:val="libAlaemChar"/>
          <w:rtl/>
        </w:rPr>
        <w:t>عليه‌السلام</w:t>
      </w:r>
      <w:r w:rsidRPr="00C9040A">
        <w:rPr>
          <w:rtl/>
          <w:lang w:bidi="fa-IR"/>
        </w:rPr>
        <w:t xml:space="preserve"> يَقُولُ : سَمِعْتُ أَبِي مُوسَى بْنَ جَعْفَرٍ </w:t>
      </w:r>
      <w:r w:rsidRPr="0003660B">
        <w:rPr>
          <w:rStyle w:val="libAlaemChar"/>
          <w:rtl/>
        </w:rPr>
        <w:t>عليه‌السلام</w:t>
      </w:r>
      <w:r w:rsidRPr="00C9040A">
        <w:rPr>
          <w:rtl/>
          <w:lang w:bidi="fa-IR"/>
        </w:rPr>
        <w:t xml:space="preserve"> يَقُولُ : دَخَلَ عَمْرُو بْنُ عُبَيْدٍ عَلى أَبِي عَبْدِ اللهِ </w:t>
      </w:r>
      <w:r w:rsidRPr="0003660B">
        <w:rPr>
          <w:rStyle w:val="libAlaemChar"/>
          <w:rtl/>
        </w:rPr>
        <w:t>عليه‌السلام</w:t>
      </w:r>
      <w:r w:rsidRPr="00C9040A">
        <w:rPr>
          <w:rtl/>
          <w:lang w:bidi="fa-IR"/>
        </w:rPr>
        <w:t xml:space="preserve"> ، فَلَمَّا سَلَّمَ وَجَلَسَ تَلَا هذِهِ الْآيَةَ : </w:t>
      </w:r>
      <w:r w:rsidRPr="0003660B">
        <w:rPr>
          <w:rStyle w:val="libAlaemChar"/>
          <w:rtl/>
        </w:rPr>
        <w:t>(</w:t>
      </w:r>
      <w:r w:rsidRPr="006A2246">
        <w:rPr>
          <w:rStyle w:val="libAieChar"/>
          <w:rtl/>
        </w:rPr>
        <w:t xml:space="preserve"> الَّذِينَ يَجْتَنِبُونَ كَبائِرَ الْإِثْمِ وَالْفَواحِشَ </w:t>
      </w:r>
      <w:r w:rsidRPr="0003660B">
        <w:rPr>
          <w:rStyle w:val="libAlaemChar"/>
          <w:rtl/>
        </w:rPr>
        <w:t>)</w:t>
      </w:r>
      <w:r w:rsidRPr="00C9040A">
        <w:rPr>
          <w:rtl/>
          <w:lang w:bidi="fa-IR"/>
        </w:rPr>
        <w:t xml:space="preserve"> </w:t>
      </w:r>
      <w:r w:rsidR="006C577F" w:rsidRPr="006C577F">
        <w:rPr>
          <w:rStyle w:val="libFootnotenumChar"/>
          <w:rtl/>
        </w:rPr>
        <w:t>(11)</w:t>
      </w:r>
      <w:r w:rsidRPr="00C9040A">
        <w:rPr>
          <w:rtl/>
          <w:lang w:bidi="fa-IR"/>
        </w:rPr>
        <w:t xml:space="preserve"> ثُمَّ </w:t>
      </w:r>
      <w:r w:rsidR="006C577F" w:rsidRPr="006C577F">
        <w:rPr>
          <w:rStyle w:val="libFootnotenumChar"/>
          <w:rtl/>
        </w:rPr>
        <w:t>(12)</w:t>
      </w:r>
      <w:r w:rsidRPr="00C9040A">
        <w:rPr>
          <w:rtl/>
          <w:lang w:bidi="fa-IR"/>
        </w:rPr>
        <w:t xml:space="preserve"> أَمْسَكَ ، فَقَالَ لَهُ </w:t>
      </w:r>
      <w:r w:rsidRPr="005B567D">
        <w:rPr>
          <w:rStyle w:val="libFootnotenumChar"/>
          <w:rtl/>
        </w:rPr>
        <w:t>(13)</w:t>
      </w:r>
      <w:r w:rsidRPr="00C9040A">
        <w:rPr>
          <w:rtl/>
          <w:lang w:bidi="fa-IR"/>
        </w:rPr>
        <w:t xml:space="preserve"> أَبُو عَبْدِ اللهِ </w:t>
      </w:r>
      <w:r w:rsidRPr="0003660B">
        <w:rPr>
          <w:rStyle w:val="libAlaemChar"/>
          <w:rtl/>
        </w:rPr>
        <w:t>عليه‌السلام</w:t>
      </w:r>
      <w:r w:rsidRPr="00C9040A">
        <w:rPr>
          <w:rtl/>
          <w:lang w:bidi="fa-IR"/>
        </w:rPr>
        <w:t xml:space="preserve"> : مَا أَسْكَتَكَ</w:t>
      </w:r>
      <w:r>
        <w:rPr>
          <w:rtl/>
          <w:lang w:bidi="fa-IR"/>
        </w:rPr>
        <w:t>؟</w:t>
      </w:r>
      <w:r w:rsidRPr="00C9040A">
        <w:rPr>
          <w:rtl/>
          <w:lang w:bidi="fa-IR"/>
        </w:rPr>
        <w:t xml:space="preserve"> قَالَ </w:t>
      </w:r>
      <w:r w:rsidRPr="005B567D">
        <w:rPr>
          <w:rStyle w:val="libFootnotenumChar"/>
          <w:rtl/>
        </w:rPr>
        <w:t>(14)</w:t>
      </w:r>
      <w:r w:rsidRPr="00C9040A">
        <w:rPr>
          <w:rtl/>
          <w:lang w:bidi="fa-IR"/>
        </w:rPr>
        <w:t xml:space="preserve"> : أُحِبُّ أَنْ أَعْرِفَ الْكَبَائِرَ مِنْ كِتَابِ اللهِ عَزَّ وَجَلَّ.</w:t>
      </w:r>
    </w:p>
    <w:p w:rsidR="008A74EB" w:rsidRPr="00C9040A" w:rsidRDefault="008A74EB" w:rsidP="008A74EB">
      <w:pPr>
        <w:pStyle w:val="libNormal"/>
        <w:rPr>
          <w:rtl/>
          <w:lang w:bidi="fa-IR"/>
        </w:rPr>
      </w:pPr>
      <w:r w:rsidRPr="00C9040A">
        <w:rPr>
          <w:rtl/>
          <w:lang w:bidi="fa-IR"/>
        </w:rPr>
        <w:t xml:space="preserve">فَقَالَ : نَعَمْ يَا عَمْرُو ، أَكْبَرُ الْكَبَائِرِ الْإِشْرَاكُ بِاللهِ ؛ يَقُولُ اللهُ : </w:t>
      </w:r>
      <w:r w:rsidRPr="0003660B">
        <w:rPr>
          <w:rStyle w:val="libAlaemChar"/>
          <w:rtl/>
        </w:rPr>
        <w:t>(</w:t>
      </w:r>
      <w:r w:rsidRPr="006A2246">
        <w:rPr>
          <w:rStyle w:val="libAieChar"/>
          <w:rtl/>
        </w:rPr>
        <w:t xml:space="preserve"> مَنْ</w:t>
      </w:r>
      <w:r>
        <w:rPr>
          <w:rFonts w:hint="cs"/>
          <w:rtl/>
        </w:rPr>
        <w:t xml:space="preserve"> </w:t>
      </w:r>
      <w:r w:rsidRPr="005B567D">
        <w:rPr>
          <w:rStyle w:val="libFootnotenumChar"/>
          <w:rtl/>
        </w:rPr>
        <w:t>(15)</w:t>
      </w:r>
      <w:r>
        <w:rPr>
          <w:rFonts w:hint="cs"/>
          <w:rtl/>
        </w:rPr>
        <w:t xml:space="preserve"> </w:t>
      </w:r>
      <w:r w:rsidRPr="006A2246">
        <w:rPr>
          <w:rStyle w:val="libAieChar"/>
          <w:rtl/>
        </w:rPr>
        <w:t>يُشْرِكْ بِاللهِ فَقَدْ</w:t>
      </w:r>
      <w:r w:rsidRPr="00C9040A">
        <w:rPr>
          <w:rtl/>
          <w:lang w:bidi="fa-IR"/>
        </w:rPr>
        <w:t>‌</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784244" w:rsidTr="00784244">
        <w:tc>
          <w:tcPr>
            <w:tcW w:w="4006" w:type="dxa"/>
          </w:tcPr>
          <w:p w:rsidR="00784244" w:rsidRDefault="00784244" w:rsidP="004A4E41">
            <w:pPr>
              <w:pStyle w:val="libFootnote0"/>
              <w:rPr>
                <w:rtl/>
              </w:rPr>
            </w:pPr>
            <w:r>
              <w:rPr>
                <w:rtl/>
              </w:rPr>
              <w:t xml:space="preserve">(1). </w:t>
            </w:r>
            <w:r w:rsidRPr="00C9040A">
              <w:rPr>
                <w:rtl/>
              </w:rPr>
              <w:t xml:space="preserve">في الوسائل </w:t>
            </w:r>
            <w:r>
              <w:rPr>
                <w:rtl/>
              </w:rPr>
              <w:t>: -</w:t>
            </w:r>
            <w:r w:rsidRPr="00C9040A">
              <w:rPr>
                <w:rtl/>
              </w:rPr>
              <w:t xml:space="preserve"> « من الكبائر »</w:t>
            </w:r>
            <w:r>
              <w:rPr>
                <w:rtl/>
              </w:rPr>
              <w:t>.</w:t>
            </w:r>
          </w:p>
        </w:tc>
        <w:tc>
          <w:tcPr>
            <w:tcW w:w="4006" w:type="dxa"/>
          </w:tcPr>
          <w:p w:rsidR="00784244" w:rsidRDefault="00784244" w:rsidP="004A4E41">
            <w:pPr>
              <w:pStyle w:val="libFootnote0"/>
              <w:rPr>
                <w:rtl/>
              </w:rPr>
            </w:pPr>
            <w:r>
              <w:rPr>
                <w:rtl/>
              </w:rPr>
              <w:t xml:space="preserve">(2). </w:t>
            </w:r>
            <w:r w:rsidRPr="00C9040A">
              <w:rPr>
                <w:rtl/>
              </w:rPr>
              <w:t xml:space="preserve">في « </w:t>
            </w:r>
            <w:r>
              <w:rPr>
                <w:rtl/>
              </w:rPr>
              <w:t xml:space="preserve">ه </w:t>
            </w:r>
            <w:r w:rsidRPr="00C9040A">
              <w:rPr>
                <w:rtl/>
              </w:rPr>
              <w:t>» : « يخرج بذلك »</w:t>
            </w:r>
            <w:r>
              <w:rPr>
                <w:rtl/>
              </w:rPr>
              <w:t>.</w:t>
            </w:r>
          </w:p>
        </w:tc>
      </w:tr>
      <w:tr w:rsidR="00784244" w:rsidTr="00784244">
        <w:tc>
          <w:tcPr>
            <w:tcW w:w="4006" w:type="dxa"/>
          </w:tcPr>
          <w:p w:rsidR="00784244" w:rsidRDefault="00784244" w:rsidP="004A4E41">
            <w:pPr>
              <w:pStyle w:val="libFootnote0"/>
              <w:rPr>
                <w:rtl/>
              </w:rPr>
            </w:pPr>
            <w:r>
              <w:rPr>
                <w:rtl/>
              </w:rPr>
              <w:t>(3).</w:t>
            </w:r>
            <w:r w:rsidRPr="00C9040A">
              <w:rPr>
                <w:rtl/>
              </w:rPr>
              <w:t xml:space="preserve"> في « </w:t>
            </w:r>
            <w:r>
              <w:rPr>
                <w:rtl/>
              </w:rPr>
              <w:t xml:space="preserve">ه </w:t>
            </w:r>
            <w:r w:rsidRPr="00C9040A">
              <w:rPr>
                <w:rtl/>
              </w:rPr>
              <w:t>» : « فإن »</w:t>
            </w:r>
            <w:r>
              <w:rPr>
                <w:rtl/>
              </w:rPr>
              <w:t>.</w:t>
            </w:r>
          </w:p>
        </w:tc>
        <w:tc>
          <w:tcPr>
            <w:tcW w:w="4006" w:type="dxa"/>
          </w:tcPr>
          <w:p w:rsidR="00784244" w:rsidRDefault="00784244" w:rsidP="004A4E41">
            <w:pPr>
              <w:pStyle w:val="libFootnote0"/>
              <w:rPr>
                <w:rtl/>
              </w:rPr>
            </w:pPr>
            <w:r>
              <w:rPr>
                <w:rtl/>
              </w:rPr>
              <w:t>(4).</w:t>
            </w:r>
            <w:r w:rsidRPr="00C9040A">
              <w:rPr>
                <w:rtl/>
              </w:rPr>
              <w:t xml:space="preserve"> في « </w:t>
            </w:r>
            <w:r>
              <w:rPr>
                <w:rtl/>
              </w:rPr>
              <w:t xml:space="preserve">ه </w:t>
            </w:r>
            <w:r w:rsidRPr="00C9040A">
              <w:rPr>
                <w:rtl/>
              </w:rPr>
              <w:t>» : « وزعم »</w:t>
            </w:r>
            <w:r>
              <w:rPr>
                <w:rtl/>
              </w:rPr>
              <w:t>.</w:t>
            </w:r>
          </w:p>
        </w:tc>
      </w:tr>
    </w:tbl>
    <w:p w:rsidR="008A74EB" w:rsidRPr="00C9040A" w:rsidRDefault="006C577F" w:rsidP="004A4E41">
      <w:pPr>
        <w:pStyle w:val="libFootnote0"/>
        <w:rPr>
          <w:rtl/>
          <w:lang w:bidi="fa-IR"/>
        </w:rPr>
      </w:pPr>
      <w:r>
        <w:rPr>
          <w:rtl/>
        </w:rPr>
        <w:t>(5).</w:t>
      </w:r>
      <w:r w:rsidR="008A74EB" w:rsidRPr="00C9040A">
        <w:rPr>
          <w:rtl/>
        </w:rPr>
        <w:t xml:space="preserve"> في « ز » : « أنّ ذلك » بدل « أنّها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هكذا في « ب ، ج ، ز ، ص ، </w:t>
      </w:r>
      <w:r w:rsidR="006D3162">
        <w:rPr>
          <w:rtl/>
        </w:rPr>
        <w:t xml:space="preserve">ه </w:t>
      </w:r>
      <w:r w:rsidR="008A74EB" w:rsidRPr="00C9040A">
        <w:rPr>
          <w:rtl/>
        </w:rPr>
        <w:t>، بر ، بس ، بف » والوافي والوسائل. وفي « د » والمطبوع : « أذنب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هكذا في « ب ، ج ، د ، ز ، ص ، </w:t>
      </w:r>
      <w:r w:rsidR="006D3162">
        <w:rPr>
          <w:rtl/>
        </w:rPr>
        <w:t xml:space="preserve">ه </w:t>
      </w:r>
      <w:r w:rsidR="008A74EB" w:rsidRPr="00C9040A">
        <w:rPr>
          <w:rtl/>
        </w:rPr>
        <w:t>، بر ، بس ، بف » والوافي والوسائل. وفي المطبوع : « عليه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 د ، ز » : + « ذلك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w:t>
      </w:r>
      <w:r w:rsidR="008A74EB" w:rsidRPr="00993B55">
        <w:rPr>
          <w:rStyle w:val="libFootnoteBoldChar"/>
          <w:rtl/>
        </w:rPr>
        <w:t>الوافي</w:t>
      </w:r>
      <w:r w:rsidR="008A74EB" w:rsidRPr="00C9040A">
        <w:rPr>
          <w:rtl/>
        </w:rPr>
        <w:t xml:space="preserve"> ، ج 4 ، ص 113 ، ح 1714 ؛ </w:t>
      </w:r>
      <w:r w:rsidR="008A74EB" w:rsidRPr="00993B55">
        <w:rPr>
          <w:rStyle w:val="libFootnoteBoldChar"/>
          <w:rtl/>
        </w:rPr>
        <w:t>الوسائل</w:t>
      </w:r>
      <w:r w:rsidR="008A74EB" w:rsidRPr="00C9040A">
        <w:rPr>
          <w:rtl/>
        </w:rPr>
        <w:t xml:space="preserve"> ، ج 1 ، ص 33 ، ح 49 ؛ </w:t>
      </w:r>
      <w:r w:rsidR="008A74EB" w:rsidRPr="00993B55">
        <w:rPr>
          <w:rStyle w:val="libFootnoteBoldChar"/>
          <w:rtl/>
        </w:rPr>
        <w:t>البحار</w:t>
      </w:r>
      <w:r w:rsidR="008A74EB" w:rsidRPr="00C9040A">
        <w:rPr>
          <w:rtl/>
        </w:rPr>
        <w:t xml:space="preserve"> ، ج 68 ، ص 299 ، ح 56 ؛ وج 82 ، ص 217 ، ذيل ح 32.</w:t>
      </w:r>
    </w:p>
    <w:p w:rsidR="008A74EB" w:rsidRPr="00C9040A" w:rsidRDefault="006C577F" w:rsidP="004A4E41">
      <w:pPr>
        <w:pStyle w:val="libFootnote0"/>
        <w:rPr>
          <w:rtl/>
          <w:lang w:bidi="fa-IR"/>
        </w:rPr>
      </w:pPr>
      <w:r>
        <w:rPr>
          <w:rtl/>
        </w:rPr>
        <w:t>(10).</w:t>
      </w:r>
      <w:r w:rsidR="008A74EB" w:rsidRPr="00C9040A">
        <w:rPr>
          <w:rtl/>
        </w:rPr>
        <w:t xml:space="preserve"> هكذا في « ب ، ج ، د ، ز ، ص ، </w:t>
      </w:r>
      <w:r w:rsidR="006D3162">
        <w:rPr>
          <w:rtl/>
        </w:rPr>
        <w:t xml:space="preserve">ه </w:t>
      </w:r>
      <w:r w:rsidR="008A74EB" w:rsidRPr="00C9040A">
        <w:rPr>
          <w:rtl/>
        </w:rPr>
        <w:t xml:space="preserve">، بر ، بس ، بف ، جر » والوافي. وفي المطبوع </w:t>
      </w:r>
      <w:r w:rsidR="008A74EB">
        <w:rPr>
          <w:rtl/>
        </w:rPr>
        <w:t xml:space="preserve">: </w:t>
      </w:r>
      <w:r w:rsidR="0084262C">
        <w:rPr>
          <w:rtl/>
        </w:rPr>
        <w:t>-</w:t>
      </w:r>
      <w:r w:rsidR="008A74EB" w:rsidRPr="00C9040A">
        <w:rPr>
          <w:rtl/>
        </w:rPr>
        <w:t xml:space="preserve"> « الثاني »</w:t>
      </w:r>
      <w:r w:rsidR="008A74EB">
        <w:rPr>
          <w:rtl/>
        </w:rPr>
        <w:t>.</w:t>
      </w:r>
    </w:p>
    <w:tbl>
      <w:tblPr>
        <w:tblStyle w:val="TableGrid"/>
        <w:bidiVisual/>
        <w:tblW w:w="0" w:type="auto"/>
        <w:tblLook w:val="04A0" w:firstRow="1" w:lastRow="0" w:firstColumn="1" w:lastColumn="0" w:noHBand="0" w:noVBand="1"/>
      </w:tblPr>
      <w:tblGrid>
        <w:gridCol w:w="4006"/>
        <w:gridCol w:w="4006"/>
      </w:tblGrid>
      <w:tr w:rsidR="008414EC" w:rsidTr="008414EC">
        <w:tc>
          <w:tcPr>
            <w:tcW w:w="4006" w:type="dxa"/>
          </w:tcPr>
          <w:p w:rsidR="008414EC" w:rsidRDefault="008414EC" w:rsidP="004A4E41">
            <w:pPr>
              <w:pStyle w:val="libFootnote0"/>
              <w:rPr>
                <w:rtl/>
              </w:rPr>
            </w:pPr>
            <w:r>
              <w:rPr>
                <w:rtl/>
              </w:rPr>
              <w:t>(11).</w:t>
            </w:r>
            <w:r w:rsidRPr="00C9040A">
              <w:rPr>
                <w:rtl/>
              </w:rPr>
              <w:t xml:space="preserve"> الشورى (42) : 37 ؛ النجم (53) : 32.</w:t>
            </w:r>
          </w:p>
        </w:tc>
        <w:tc>
          <w:tcPr>
            <w:tcW w:w="4006" w:type="dxa"/>
          </w:tcPr>
          <w:p w:rsidR="008414EC" w:rsidRDefault="008414EC" w:rsidP="004A4E41">
            <w:pPr>
              <w:pStyle w:val="libFootnote0"/>
              <w:rPr>
                <w:rtl/>
              </w:rPr>
            </w:pPr>
            <w:r>
              <w:rPr>
                <w:rtl/>
              </w:rPr>
              <w:t>(12).</w:t>
            </w:r>
            <w:r w:rsidRPr="00C9040A">
              <w:rPr>
                <w:rtl/>
              </w:rPr>
              <w:t xml:space="preserve"> في « </w:t>
            </w:r>
            <w:r>
              <w:rPr>
                <w:rtl/>
              </w:rPr>
              <w:t xml:space="preserve">ه </w:t>
            </w:r>
            <w:r w:rsidRPr="00C9040A">
              <w:rPr>
                <w:rtl/>
              </w:rPr>
              <w:t xml:space="preserve">» : « </w:t>
            </w:r>
            <w:r>
              <w:rPr>
                <w:rtl/>
              </w:rPr>
              <w:t>و »</w:t>
            </w:r>
            <w:r w:rsidRPr="00C9040A">
              <w:rPr>
                <w:rtl/>
              </w:rPr>
              <w:t xml:space="preserve"> بدل « ثمّ »</w:t>
            </w:r>
            <w:r>
              <w:rPr>
                <w:rtl/>
              </w:rPr>
              <w:t>.</w:t>
            </w:r>
          </w:p>
        </w:tc>
      </w:tr>
      <w:tr w:rsidR="008414EC" w:rsidTr="008414EC">
        <w:tc>
          <w:tcPr>
            <w:tcW w:w="4006" w:type="dxa"/>
          </w:tcPr>
          <w:p w:rsidR="008414EC" w:rsidRDefault="008414EC" w:rsidP="004A4E41">
            <w:pPr>
              <w:pStyle w:val="libFootnote0"/>
              <w:rPr>
                <w:rtl/>
              </w:rPr>
            </w:pPr>
            <w:r>
              <w:rPr>
                <w:rtl/>
              </w:rPr>
              <w:t>(13)</w:t>
            </w:r>
            <w:r w:rsidRPr="00C9040A">
              <w:rPr>
                <w:rtl/>
              </w:rPr>
              <w:t xml:space="preserve"> في الوافي </w:t>
            </w:r>
            <w:r>
              <w:rPr>
                <w:rtl/>
              </w:rPr>
              <w:t>: -</w:t>
            </w:r>
            <w:r w:rsidRPr="00C9040A">
              <w:rPr>
                <w:rtl/>
              </w:rPr>
              <w:t xml:space="preserve"> « له »</w:t>
            </w:r>
            <w:r>
              <w:rPr>
                <w:rtl/>
              </w:rPr>
              <w:t>.</w:t>
            </w:r>
          </w:p>
        </w:tc>
        <w:tc>
          <w:tcPr>
            <w:tcW w:w="4006" w:type="dxa"/>
          </w:tcPr>
          <w:p w:rsidR="008414EC" w:rsidRDefault="008414EC" w:rsidP="004A4E41">
            <w:pPr>
              <w:pStyle w:val="libFootnote0"/>
              <w:rPr>
                <w:rtl/>
              </w:rPr>
            </w:pPr>
            <w:r>
              <w:rPr>
                <w:rtl/>
              </w:rPr>
              <w:t>(14)</w:t>
            </w:r>
            <w:r w:rsidRPr="00C9040A">
              <w:rPr>
                <w:rtl/>
              </w:rPr>
              <w:t xml:space="preserve"> في « ب ، </w:t>
            </w:r>
            <w:r>
              <w:rPr>
                <w:rtl/>
              </w:rPr>
              <w:t xml:space="preserve">ه </w:t>
            </w:r>
            <w:r w:rsidRPr="00C9040A">
              <w:rPr>
                <w:rtl/>
              </w:rPr>
              <w:t>» : « فقال »</w:t>
            </w:r>
            <w:r>
              <w:rPr>
                <w:rtl/>
              </w:rPr>
              <w:t>.</w:t>
            </w:r>
          </w:p>
        </w:tc>
      </w:tr>
    </w:tbl>
    <w:p w:rsidR="008A74EB" w:rsidRPr="00C9040A" w:rsidRDefault="008A74EB" w:rsidP="004A4E41">
      <w:pPr>
        <w:pStyle w:val="libFootnote0"/>
        <w:rPr>
          <w:rtl/>
          <w:lang w:bidi="fa-IR"/>
        </w:rPr>
      </w:pPr>
      <w:r>
        <w:rPr>
          <w:rtl/>
        </w:rPr>
        <w:t>(15)</w:t>
      </w:r>
      <w:r w:rsidRPr="00C9040A">
        <w:rPr>
          <w:rtl/>
        </w:rPr>
        <w:t xml:space="preserve"> هكذا في القرآن والوسائل. وفي النسخ والمطبوع : « ومن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6A2246">
        <w:rPr>
          <w:rStyle w:val="libAieChar"/>
          <w:rtl/>
        </w:rPr>
        <w:t xml:space="preserve">حَرَّمَ اللهُ عَلَيْهِ الْجَنَّةَ </w:t>
      </w:r>
      <w:r w:rsidRPr="0003660B">
        <w:rPr>
          <w:rStyle w:val="libAlaemChar"/>
          <w:rtl/>
        </w:rPr>
        <w:t>)</w:t>
      </w:r>
      <w:r w:rsidRPr="00C9040A">
        <w:rPr>
          <w:rtl/>
          <w:lang w:bidi="fa-IR"/>
        </w:rPr>
        <w:t xml:space="preserve"> </w:t>
      </w:r>
      <w:r w:rsidR="006C577F" w:rsidRPr="006C577F">
        <w:rPr>
          <w:rStyle w:val="libFootnotenumChar"/>
          <w:rtl/>
        </w:rPr>
        <w:t>(1)</w:t>
      </w:r>
      <w:r>
        <w:rPr>
          <w:rtl/>
          <w:lang w:bidi="fa-IR"/>
        </w:rPr>
        <w:t>.</w:t>
      </w:r>
    </w:p>
    <w:p w:rsidR="008A74EB" w:rsidRPr="00C9040A" w:rsidRDefault="008A74EB" w:rsidP="008A74EB">
      <w:pPr>
        <w:pStyle w:val="libNormal"/>
        <w:rPr>
          <w:rtl/>
          <w:lang w:bidi="fa-IR"/>
        </w:rPr>
      </w:pPr>
      <w:r w:rsidRPr="00C9040A">
        <w:rPr>
          <w:rtl/>
          <w:lang w:bidi="fa-IR"/>
        </w:rPr>
        <w:t xml:space="preserve">وَبَعْدَهُ الْإِيَاسُ </w:t>
      </w:r>
      <w:r w:rsidR="006C577F" w:rsidRPr="006C577F">
        <w:rPr>
          <w:rStyle w:val="libFootnotenumChar"/>
          <w:rtl/>
        </w:rPr>
        <w:t>(2)</w:t>
      </w:r>
      <w:r w:rsidRPr="00C9040A">
        <w:rPr>
          <w:rtl/>
          <w:lang w:bidi="fa-IR"/>
        </w:rPr>
        <w:t xml:space="preserve"> مِنْ رَوْحِ اللهِ ؛ لِأَنَّ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يَقُولُ </w:t>
      </w:r>
      <w:r w:rsidR="006C577F" w:rsidRPr="006C577F">
        <w:rPr>
          <w:rStyle w:val="libFootnotenumChar"/>
          <w:rtl/>
        </w:rPr>
        <w:t>(3)</w:t>
      </w:r>
      <w:r w:rsidRPr="00C9040A">
        <w:rPr>
          <w:rtl/>
          <w:lang w:bidi="fa-IR"/>
        </w:rPr>
        <w:t xml:space="preserve"> : </w:t>
      </w:r>
      <w:r w:rsidRPr="0003660B">
        <w:rPr>
          <w:rStyle w:val="libAlaemChar"/>
          <w:rtl/>
        </w:rPr>
        <w:t>(</w:t>
      </w:r>
      <w:r w:rsidRPr="006A2246">
        <w:rPr>
          <w:rStyle w:val="libAieChar"/>
          <w:rtl/>
        </w:rPr>
        <w:t xml:space="preserve"> إِنَّهُ لا ي</w:t>
      </w:r>
      <w:r w:rsidR="00D444E0">
        <w:rPr>
          <w:rStyle w:val="libAieChar"/>
          <w:rtl/>
        </w:rPr>
        <w:t>َيْأَسُ مِنْ رَوْحِ اللهِ إِل</w:t>
      </w:r>
      <w:r w:rsidR="00D444E0">
        <w:rPr>
          <w:rStyle w:val="libAieChar"/>
          <w:rFonts w:hint="cs"/>
          <w:rtl/>
        </w:rPr>
        <w:t>َّ</w:t>
      </w:r>
      <w:r w:rsidR="00D444E0">
        <w:rPr>
          <w:rStyle w:val="libAieChar"/>
          <w:rtl/>
        </w:rPr>
        <w:t>ا</w:t>
      </w:r>
      <w:r w:rsidRPr="006A2246">
        <w:rPr>
          <w:rStyle w:val="libAieChar"/>
          <w:rtl/>
        </w:rPr>
        <w:t xml:space="preserve"> الْقَوْمُ الْكافِرُونَ </w:t>
      </w:r>
      <w:r w:rsidRPr="0003660B">
        <w:rPr>
          <w:rStyle w:val="libAlaemChar"/>
          <w:rtl/>
        </w:rPr>
        <w:t>)</w:t>
      </w:r>
      <w:r w:rsidRPr="00C9040A">
        <w:rPr>
          <w:rtl/>
          <w:lang w:bidi="fa-IR"/>
        </w:rPr>
        <w:t xml:space="preserve"> </w:t>
      </w:r>
      <w:r w:rsidR="006C577F" w:rsidRPr="006C577F">
        <w:rPr>
          <w:rStyle w:val="libFootnotenumChar"/>
          <w:rtl/>
        </w:rPr>
        <w:t>(4)</w:t>
      </w:r>
      <w:r>
        <w:rPr>
          <w:rtl/>
          <w:lang w:bidi="fa-IR"/>
        </w:rPr>
        <w:t>.</w:t>
      </w:r>
    </w:p>
    <w:p w:rsidR="008A74EB" w:rsidRPr="00C9040A" w:rsidRDefault="008A74EB" w:rsidP="008A74EB">
      <w:pPr>
        <w:pStyle w:val="libNormal"/>
        <w:rPr>
          <w:rtl/>
          <w:lang w:bidi="fa-IR"/>
        </w:rPr>
      </w:pPr>
      <w:r w:rsidRPr="00C9040A">
        <w:rPr>
          <w:rtl/>
          <w:lang w:bidi="fa-IR"/>
        </w:rPr>
        <w:t xml:space="preserve">ثُمَّ الْأَمْنُ لِمَكْرِ </w:t>
      </w:r>
      <w:r w:rsidR="006C577F" w:rsidRPr="006C577F">
        <w:rPr>
          <w:rStyle w:val="libFootnotenumChar"/>
          <w:rtl/>
        </w:rPr>
        <w:t>(5)</w:t>
      </w:r>
      <w:r w:rsidRPr="00C9040A">
        <w:rPr>
          <w:rtl/>
          <w:lang w:bidi="fa-IR"/>
        </w:rPr>
        <w:t xml:space="preserve"> اللهِ ؛ لِأَنَّ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يَقُولُ : </w:t>
      </w:r>
      <w:r w:rsidRPr="0003660B">
        <w:rPr>
          <w:rStyle w:val="libAlaemChar"/>
          <w:rtl/>
        </w:rPr>
        <w:t>(</w:t>
      </w:r>
      <w:r w:rsidRPr="006A2246">
        <w:rPr>
          <w:rStyle w:val="libAieChar"/>
          <w:rtl/>
        </w:rPr>
        <w:t xml:space="preserve"> ف</w:t>
      </w:r>
      <w:r w:rsidR="00D444E0">
        <w:rPr>
          <w:rStyle w:val="libAieChar"/>
          <w:rtl/>
        </w:rPr>
        <w:t>َلا يَأْمَنُ مَكْرَ اللهِ إِل</w:t>
      </w:r>
      <w:r w:rsidR="00D444E0">
        <w:rPr>
          <w:rStyle w:val="libAieChar"/>
          <w:rFonts w:hint="cs"/>
          <w:rtl/>
        </w:rPr>
        <w:t>َّ</w:t>
      </w:r>
      <w:r w:rsidR="00D444E0">
        <w:rPr>
          <w:rStyle w:val="libAieChar"/>
          <w:rtl/>
        </w:rPr>
        <w:t>ا</w:t>
      </w:r>
      <w:r w:rsidRPr="006A2246">
        <w:rPr>
          <w:rStyle w:val="libAieChar"/>
          <w:rtl/>
        </w:rPr>
        <w:t xml:space="preserve"> الْقَوْمُ الْخاسِرُونَ </w:t>
      </w:r>
      <w:r w:rsidRPr="0003660B">
        <w:rPr>
          <w:rStyle w:val="libAlaemChar"/>
          <w:rtl/>
        </w:rPr>
        <w:t>)</w:t>
      </w:r>
      <w:r w:rsidRPr="00C9040A">
        <w:rPr>
          <w:rtl/>
          <w:lang w:bidi="fa-IR"/>
        </w:rPr>
        <w:t xml:space="preserve"> </w:t>
      </w:r>
      <w:r w:rsidR="006C577F" w:rsidRPr="006C577F">
        <w:rPr>
          <w:rStyle w:val="libFootnotenumChar"/>
          <w:rtl/>
        </w:rPr>
        <w:t>(6)</w:t>
      </w:r>
    </w:p>
    <w:p w:rsidR="008A74EB" w:rsidRPr="00C9040A" w:rsidRDefault="008A74EB" w:rsidP="008A74EB">
      <w:pPr>
        <w:pStyle w:val="libNormal"/>
        <w:rPr>
          <w:rtl/>
          <w:lang w:bidi="fa-IR"/>
        </w:rPr>
      </w:pPr>
      <w:r w:rsidRPr="00C9040A">
        <w:rPr>
          <w:rtl/>
          <w:lang w:bidi="fa-IR"/>
        </w:rPr>
        <w:t>وَمِنْهَا عُقُوقُ الْوَالِدَيْنِ ؛ لِأَنَّ اللهَ سُبْحَانَهُ جَعَلَ الْعَاقَّ</w:t>
      </w:r>
      <w:r>
        <w:rPr>
          <w:rFonts w:hint="cs"/>
          <w:rtl/>
          <w:lang w:bidi="fa-IR"/>
        </w:rPr>
        <w:t xml:space="preserve"> </w:t>
      </w:r>
      <w:r w:rsidRPr="0003660B">
        <w:rPr>
          <w:rStyle w:val="libAlaemChar"/>
          <w:rtl/>
        </w:rPr>
        <w:t>(</w:t>
      </w:r>
      <w:r w:rsidRPr="006A2246">
        <w:rPr>
          <w:rStyle w:val="libAieChar"/>
          <w:rtl/>
        </w:rPr>
        <w:t xml:space="preserve"> جَبّ</w:t>
      </w:r>
      <w:r w:rsidR="00D444E0">
        <w:rPr>
          <w:rStyle w:val="libAieChar"/>
          <w:rFonts w:hint="cs"/>
          <w:rtl/>
        </w:rPr>
        <w:t>َ</w:t>
      </w:r>
      <w:r w:rsidRPr="006A2246">
        <w:rPr>
          <w:rStyle w:val="libAieChar"/>
          <w:rtl/>
        </w:rPr>
        <w:t xml:space="preserve">اراً </w:t>
      </w:r>
      <w:r w:rsidR="00D444E0">
        <w:rPr>
          <w:rStyle w:val="libAieChar"/>
          <w:rtl/>
        </w:rPr>
        <w:t>شَقِيّ</w:t>
      </w:r>
      <w:r w:rsidRPr="006A2246">
        <w:rPr>
          <w:rStyle w:val="libAieChar"/>
          <w:rtl/>
        </w:rPr>
        <w:t>ا</w:t>
      </w:r>
      <w:r w:rsidR="00D444E0">
        <w:rPr>
          <w:rStyle w:val="libAieChar"/>
          <w:rFonts w:hint="cs"/>
          <w:rtl/>
        </w:rPr>
        <w:t>ً</w:t>
      </w:r>
      <w:r w:rsidRPr="006A2246">
        <w:rPr>
          <w:rStyle w:val="libAieChar"/>
          <w:rtl/>
        </w:rPr>
        <w:t xml:space="preserve"> </w:t>
      </w:r>
      <w:r w:rsidRPr="0003660B">
        <w:rPr>
          <w:rStyle w:val="libAlaemChar"/>
          <w:rtl/>
        </w:rPr>
        <w:t>)</w:t>
      </w:r>
      <w:r w:rsidRPr="00C9040A">
        <w:rPr>
          <w:rtl/>
          <w:lang w:bidi="fa-IR"/>
        </w:rPr>
        <w:t xml:space="preserve"> </w:t>
      </w:r>
      <w:r w:rsidR="006C577F" w:rsidRPr="006C577F">
        <w:rPr>
          <w:rStyle w:val="libFootnotenumChar"/>
          <w:rtl/>
        </w:rPr>
        <w:t>(7)</w:t>
      </w:r>
      <w:r>
        <w:rPr>
          <w:rtl/>
          <w:lang w:bidi="fa-IR"/>
        </w:rPr>
        <w:t>.</w:t>
      </w:r>
    </w:p>
    <w:p w:rsidR="008A74EB" w:rsidRPr="00C9040A" w:rsidRDefault="008A74EB" w:rsidP="008A74EB">
      <w:pPr>
        <w:pStyle w:val="libNormal"/>
        <w:rPr>
          <w:rtl/>
          <w:lang w:bidi="fa-IR"/>
        </w:rPr>
      </w:pPr>
      <w:r w:rsidRPr="00C9040A">
        <w:rPr>
          <w:rtl/>
          <w:lang w:bidi="fa-IR"/>
        </w:rPr>
        <w:t>وَقَتْلُ النَّف</w:t>
      </w:r>
      <w:r w:rsidR="00D444E0">
        <w:rPr>
          <w:rtl/>
          <w:lang w:bidi="fa-IR"/>
        </w:rPr>
        <w:t>ْسِ الَّتِي حَرَّمَ اللهُ إِل</w:t>
      </w:r>
      <w:r w:rsidR="00D444E0">
        <w:rPr>
          <w:rFonts w:hint="cs"/>
          <w:rtl/>
          <w:lang w:bidi="fa-IR"/>
        </w:rPr>
        <w:t>َّ</w:t>
      </w:r>
      <w:r w:rsidR="00D444E0">
        <w:rPr>
          <w:rtl/>
          <w:lang w:bidi="fa-IR"/>
        </w:rPr>
        <w:t>ا</w:t>
      </w:r>
      <w:r w:rsidRPr="00C9040A">
        <w:rPr>
          <w:rtl/>
          <w:lang w:bidi="fa-IR"/>
        </w:rPr>
        <w:t xml:space="preserve"> بِالْحَقِّ ؛ لِأَنَّ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يَقُولُ : </w:t>
      </w:r>
      <w:r w:rsidRPr="0003660B">
        <w:rPr>
          <w:rStyle w:val="libAlaemChar"/>
          <w:rtl/>
        </w:rPr>
        <w:t>(</w:t>
      </w:r>
      <w:r w:rsidRPr="006A2246">
        <w:rPr>
          <w:rStyle w:val="libAieChar"/>
          <w:rtl/>
        </w:rPr>
        <w:t xml:space="preserve"> فَجَزاؤُهُ جَهَنَّمُ خالِداً فِيها </w:t>
      </w:r>
      <w:r w:rsidRPr="0003660B">
        <w:rPr>
          <w:rStyle w:val="libAlaemChar"/>
          <w:rtl/>
        </w:rPr>
        <w:t>)</w:t>
      </w:r>
      <w:r w:rsidRPr="00C9040A">
        <w:rPr>
          <w:rtl/>
          <w:lang w:bidi="fa-IR"/>
        </w:rPr>
        <w:t xml:space="preserve"> </w:t>
      </w:r>
      <w:r w:rsidR="006C577F" w:rsidRPr="006C577F">
        <w:rPr>
          <w:rStyle w:val="libFootnotenumChar"/>
          <w:rtl/>
        </w:rPr>
        <w:t>(8)</w:t>
      </w:r>
      <w:r w:rsidRPr="00C9040A">
        <w:rPr>
          <w:rtl/>
          <w:lang w:bidi="fa-IR"/>
        </w:rPr>
        <w:t xml:space="preserve"> إِلى آخِرِ </w:t>
      </w:r>
      <w:r w:rsidR="006C577F" w:rsidRPr="006C577F">
        <w:rPr>
          <w:rStyle w:val="libFootnotenumChar"/>
          <w:rtl/>
        </w:rPr>
        <w:t>(9)</w:t>
      </w:r>
      <w:r w:rsidRPr="00C9040A">
        <w:rPr>
          <w:rtl/>
          <w:lang w:bidi="fa-IR"/>
        </w:rPr>
        <w:t xml:space="preserve"> الْآيَةِ.</w:t>
      </w:r>
    </w:p>
    <w:p w:rsidR="008A74EB" w:rsidRPr="00C9040A" w:rsidRDefault="008A74EB" w:rsidP="008A74EB">
      <w:pPr>
        <w:pStyle w:val="libNormal"/>
        <w:rPr>
          <w:rtl/>
          <w:lang w:bidi="fa-IR"/>
        </w:rPr>
      </w:pPr>
      <w:r w:rsidRPr="00C9040A">
        <w:rPr>
          <w:rtl/>
          <w:lang w:bidi="fa-IR"/>
        </w:rPr>
        <w:t>وَقَذْفُ الْمُحْصَنَةِ ، لِأَنَّ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يَقُولُ : </w:t>
      </w:r>
      <w:r w:rsidRPr="0003660B">
        <w:rPr>
          <w:rStyle w:val="libAlaemChar"/>
          <w:rtl/>
        </w:rPr>
        <w:t>(</w:t>
      </w:r>
      <w:r w:rsidRPr="006A2246">
        <w:rPr>
          <w:rStyle w:val="libAieChar"/>
          <w:rtl/>
        </w:rPr>
        <w:t xml:space="preserve"> لُعِنُوا فِي الدُّنْيا وَالْآخِرَةِ وَلَهُمْ عَذابٌ عَظِيمٌ </w:t>
      </w:r>
      <w:r w:rsidRPr="0003660B">
        <w:rPr>
          <w:rStyle w:val="libAlaemChar"/>
          <w:rtl/>
        </w:rPr>
        <w:t>)</w:t>
      </w:r>
      <w:r w:rsidRPr="00C9040A">
        <w:rPr>
          <w:rtl/>
          <w:lang w:bidi="fa-IR"/>
        </w:rPr>
        <w:t xml:space="preserve"> </w:t>
      </w:r>
      <w:r w:rsidR="006C577F" w:rsidRPr="006C577F">
        <w:rPr>
          <w:rStyle w:val="libFootnotenumChar"/>
          <w:rtl/>
        </w:rPr>
        <w:t>(10)</w:t>
      </w:r>
    </w:p>
    <w:p w:rsidR="008A74EB" w:rsidRPr="00C9040A" w:rsidRDefault="008A74EB" w:rsidP="008A74EB">
      <w:pPr>
        <w:pStyle w:val="libNormal"/>
        <w:rPr>
          <w:rtl/>
          <w:lang w:bidi="fa-IR"/>
        </w:rPr>
      </w:pPr>
      <w:r w:rsidRPr="00C9040A">
        <w:rPr>
          <w:rtl/>
          <w:lang w:bidi="fa-IR"/>
        </w:rPr>
        <w:t>وَأَكْلُ مَالِ الْيَتِيمِ ؛ لِأَنَّ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يَقُولُ : </w:t>
      </w:r>
      <w:r w:rsidRPr="0003660B">
        <w:rPr>
          <w:rStyle w:val="libAlaemChar"/>
          <w:rtl/>
        </w:rPr>
        <w:t>(</w:t>
      </w:r>
      <w:r w:rsidRPr="006A2246">
        <w:rPr>
          <w:rStyle w:val="libAieChar"/>
          <w:rtl/>
        </w:rPr>
        <w:t xml:space="preserve"> إِنَّما يَأْكُلُونَ فِي بُطُونِهِمْ ناراً وَسَيَصْلَوْنَ سَعِيراً </w:t>
      </w:r>
      <w:r w:rsidRPr="0003660B">
        <w:rPr>
          <w:rStyle w:val="libAlaemChar"/>
          <w:rtl/>
        </w:rPr>
        <w:t>)</w:t>
      </w:r>
      <w:r w:rsidRPr="00C9040A">
        <w:rPr>
          <w:rtl/>
          <w:lang w:bidi="fa-IR"/>
        </w:rPr>
        <w:t xml:space="preserve"> </w:t>
      </w:r>
      <w:r w:rsidR="006C577F" w:rsidRPr="006C577F">
        <w:rPr>
          <w:rStyle w:val="libFootnotenumChar"/>
          <w:rtl/>
        </w:rPr>
        <w:t>(11)</w:t>
      </w:r>
      <w:r>
        <w:rPr>
          <w:rtl/>
          <w:lang w:bidi="fa-IR"/>
        </w:rPr>
        <w:t>.</w:t>
      </w:r>
    </w:p>
    <w:p w:rsidR="008A74EB" w:rsidRPr="00C9040A" w:rsidRDefault="008A74EB" w:rsidP="008A74EB">
      <w:pPr>
        <w:pStyle w:val="libNormal"/>
        <w:rPr>
          <w:rtl/>
          <w:lang w:bidi="fa-IR"/>
        </w:rPr>
      </w:pPr>
      <w:r w:rsidRPr="00C9040A">
        <w:rPr>
          <w:rtl/>
          <w:lang w:bidi="fa-IR"/>
        </w:rPr>
        <w:t>وَالْفِرَارُ مِنَ الزَّحْفِ ؛ لِأَنَّ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يَقُولُ : </w:t>
      </w:r>
      <w:r w:rsidRPr="0003660B">
        <w:rPr>
          <w:rStyle w:val="libAlaemChar"/>
          <w:rtl/>
        </w:rPr>
        <w:t>(</w:t>
      </w:r>
      <w:r w:rsidRPr="006A2246">
        <w:rPr>
          <w:rStyle w:val="libAieChar"/>
          <w:rtl/>
        </w:rPr>
        <w:t xml:space="preserve"> وَمَنْ يُوَل</w:t>
      </w:r>
      <w:r w:rsidR="00D444E0">
        <w:rPr>
          <w:rStyle w:val="libAieChar"/>
          <w:rtl/>
        </w:rPr>
        <w:t>ِّهِمْ يَوْمَئِذٍ دُبُرَهُ إِل</w:t>
      </w:r>
      <w:r w:rsidR="00D444E0">
        <w:rPr>
          <w:rStyle w:val="libAieChar"/>
          <w:rFonts w:hint="cs"/>
          <w:rtl/>
        </w:rPr>
        <w:t>ّ</w:t>
      </w:r>
      <w:r w:rsidR="00D444E0">
        <w:rPr>
          <w:rStyle w:val="libAieChar"/>
          <w:rtl/>
        </w:rPr>
        <w:t>ا</w:t>
      </w:r>
      <w:r w:rsidRPr="006A2246">
        <w:rPr>
          <w:rStyle w:val="libAieChar"/>
          <w:rtl/>
        </w:rPr>
        <w:t xml:space="preserve"> مُتَحَرِّفاً لِقِتالٍ أَوْ مُتَحَيِّزاً إِلى فِئَةٍ فَقَدْ باءَ بِغَضَبٍ مِنَ اللهِ وَمَأْواهُ جَهَنَّمُ وَبِئْسَ الْمَصِيرُ </w:t>
      </w:r>
      <w:r w:rsidRPr="0003660B">
        <w:rPr>
          <w:rStyle w:val="libAlaemChar"/>
          <w:rtl/>
        </w:rPr>
        <w:t>)</w:t>
      </w:r>
      <w:r w:rsidRPr="00C9040A">
        <w:rPr>
          <w:rtl/>
          <w:lang w:bidi="fa-IR"/>
        </w:rPr>
        <w:t xml:space="preserve"> </w:t>
      </w:r>
      <w:r w:rsidR="006C577F" w:rsidRPr="006C577F">
        <w:rPr>
          <w:rStyle w:val="libFootnotenumChar"/>
          <w:rtl/>
        </w:rPr>
        <w:t>(12)</w:t>
      </w:r>
      <w:r>
        <w:rPr>
          <w:rtl/>
          <w:lang w:bidi="fa-IR"/>
        </w:rPr>
        <w:t>.</w:t>
      </w:r>
    </w:p>
    <w:p w:rsidR="008A74EB" w:rsidRPr="00C9040A" w:rsidRDefault="008A74EB" w:rsidP="008A74EB">
      <w:pPr>
        <w:pStyle w:val="libNormal"/>
        <w:rPr>
          <w:rtl/>
          <w:lang w:bidi="fa-IR"/>
        </w:rPr>
      </w:pPr>
      <w:r w:rsidRPr="00C9040A">
        <w:rPr>
          <w:rtl/>
          <w:lang w:bidi="fa-IR"/>
        </w:rPr>
        <w:t>وَأَكْلُ الرِّبَا ؛ لِأَنَّ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يَقُولُ : </w:t>
      </w:r>
      <w:r w:rsidRPr="0003660B">
        <w:rPr>
          <w:rStyle w:val="libAlaemChar"/>
          <w:rtl/>
        </w:rPr>
        <w:t>(</w:t>
      </w:r>
      <w:r w:rsidRPr="006A2246">
        <w:rPr>
          <w:rStyle w:val="libAieChar"/>
          <w:rtl/>
        </w:rPr>
        <w:t xml:space="preserve"> الَّذِينَ يَأْكُل</w:t>
      </w:r>
      <w:r w:rsidR="00D444E0">
        <w:rPr>
          <w:rStyle w:val="libAieChar"/>
          <w:rtl/>
        </w:rPr>
        <w:t>ُونَ الرِّبا لا يَقُومُونَ إِل</w:t>
      </w:r>
      <w:r w:rsidR="00D444E0">
        <w:rPr>
          <w:rStyle w:val="libAieChar"/>
          <w:rFonts w:hint="cs"/>
          <w:rtl/>
        </w:rPr>
        <w:t>ّ</w:t>
      </w:r>
      <w:r w:rsidR="00D444E0">
        <w:rPr>
          <w:rStyle w:val="libAieChar"/>
          <w:rtl/>
        </w:rPr>
        <w:t>ا</w:t>
      </w:r>
      <w:r w:rsidRPr="006A2246">
        <w:rPr>
          <w:rStyle w:val="libAieChar"/>
          <w:rtl/>
        </w:rPr>
        <w:t xml:space="preserve"> كَما يَقُومُ الَّذِي يَتَخَبَّطُهُ الشَّيْطانُ مِنَ الْمَسِّ </w:t>
      </w:r>
      <w:r w:rsidRPr="0003660B">
        <w:rPr>
          <w:rStyle w:val="libAlaemChar"/>
          <w:rtl/>
        </w:rPr>
        <w:t>)</w:t>
      </w:r>
      <w:r w:rsidRPr="00C9040A">
        <w:rPr>
          <w:rtl/>
          <w:lang w:bidi="fa-IR"/>
        </w:rPr>
        <w:t xml:space="preserve"> </w:t>
      </w:r>
      <w:r w:rsidRPr="005B567D">
        <w:rPr>
          <w:rStyle w:val="libFootnotenumChar"/>
          <w:rtl/>
        </w:rPr>
        <w:t>(13)</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D444E0" w:rsidTr="00D444E0">
        <w:tc>
          <w:tcPr>
            <w:tcW w:w="4006" w:type="dxa"/>
          </w:tcPr>
          <w:p w:rsidR="00D444E0" w:rsidRDefault="00D444E0" w:rsidP="004A4E41">
            <w:pPr>
              <w:pStyle w:val="libFootnote0"/>
              <w:rPr>
                <w:rtl/>
              </w:rPr>
            </w:pPr>
            <w:r>
              <w:rPr>
                <w:rtl/>
              </w:rPr>
              <w:t xml:space="preserve">(1). </w:t>
            </w:r>
            <w:r w:rsidRPr="00C9040A">
              <w:rPr>
                <w:rtl/>
              </w:rPr>
              <w:t xml:space="preserve">المائدة </w:t>
            </w:r>
            <w:r>
              <w:rPr>
                <w:rtl/>
              </w:rPr>
              <w:t>(5)</w:t>
            </w:r>
            <w:r w:rsidRPr="00C9040A">
              <w:rPr>
                <w:rtl/>
              </w:rPr>
              <w:t xml:space="preserve"> : 72.</w:t>
            </w:r>
          </w:p>
        </w:tc>
        <w:tc>
          <w:tcPr>
            <w:tcW w:w="4006" w:type="dxa"/>
          </w:tcPr>
          <w:p w:rsidR="00D444E0" w:rsidRDefault="00D444E0" w:rsidP="004A4E41">
            <w:pPr>
              <w:pStyle w:val="libFootnote0"/>
              <w:rPr>
                <w:rtl/>
              </w:rPr>
            </w:pPr>
            <w:r>
              <w:rPr>
                <w:rtl/>
              </w:rPr>
              <w:t xml:space="preserve">(2). </w:t>
            </w:r>
            <w:r w:rsidRPr="00C9040A">
              <w:rPr>
                <w:rtl/>
              </w:rPr>
              <w:t xml:space="preserve">في « </w:t>
            </w:r>
            <w:r>
              <w:rPr>
                <w:rtl/>
              </w:rPr>
              <w:t xml:space="preserve">ه </w:t>
            </w:r>
            <w:r w:rsidRPr="00C9040A">
              <w:rPr>
                <w:rtl/>
              </w:rPr>
              <w:t>» : « اليأس »</w:t>
            </w:r>
            <w:r>
              <w:rPr>
                <w:rtl/>
              </w:rPr>
              <w:t>.</w:t>
            </w:r>
          </w:p>
        </w:tc>
      </w:tr>
      <w:tr w:rsidR="00D444E0" w:rsidTr="00D444E0">
        <w:tc>
          <w:tcPr>
            <w:tcW w:w="4006" w:type="dxa"/>
          </w:tcPr>
          <w:p w:rsidR="00D444E0" w:rsidRDefault="00D444E0" w:rsidP="00D444E0">
            <w:pPr>
              <w:pStyle w:val="libFootnote0"/>
              <w:rPr>
                <w:rtl/>
                <w:lang w:bidi="fa-IR"/>
              </w:rPr>
            </w:pPr>
            <w:r>
              <w:rPr>
                <w:rtl/>
              </w:rPr>
              <w:t>(3).</w:t>
            </w:r>
            <w:r w:rsidRPr="00C9040A">
              <w:rPr>
                <w:rtl/>
              </w:rPr>
              <w:t xml:space="preserve"> في « </w:t>
            </w:r>
            <w:r>
              <w:rPr>
                <w:rtl/>
              </w:rPr>
              <w:t xml:space="preserve">ه </w:t>
            </w:r>
            <w:r w:rsidRPr="00C9040A">
              <w:rPr>
                <w:rtl/>
              </w:rPr>
              <w:t xml:space="preserve">» : + </w:t>
            </w:r>
            <w:r w:rsidRPr="00D444E0">
              <w:rPr>
                <w:rStyle w:val="libFootnoteAlaemChar"/>
                <w:rFonts w:hint="cs"/>
                <w:rtl/>
              </w:rPr>
              <w:t>(</w:t>
            </w:r>
            <w:r w:rsidRPr="00D444E0">
              <w:rPr>
                <w:rStyle w:val="libFootnoteAieChar"/>
                <w:rtl/>
              </w:rPr>
              <w:t xml:space="preserve"> وَلَاتَايَسُوا مِن رَّوْحِ اللهِ </w:t>
            </w:r>
            <w:r w:rsidRPr="00D444E0">
              <w:rPr>
                <w:rStyle w:val="libFootnoteAlaemChar"/>
                <w:rFonts w:hint="cs"/>
                <w:rtl/>
              </w:rPr>
              <w:t>)</w:t>
            </w:r>
            <w:r>
              <w:rPr>
                <w:rtl/>
              </w:rPr>
              <w:t>.</w:t>
            </w:r>
          </w:p>
        </w:tc>
        <w:tc>
          <w:tcPr>
            <w:tcW w:w="4006" w:type="dxa"/>
          </w:tcPr>
          <w:p w:rsidR="00D444E0" w:rsidRDefault="00D444E0" w:rsidP="004A4E41">
            <w:pPr>
              <w:pStyle w:val="libFootnote0"/>
              <w:rPr>
                <w:rtl/>
              </w:rPr>
            </w:pPr>
            <w:r>
              <w:rPr>
                <w:rtl/>
              </w:rPr>
              <w:t>(4).</w:t>
            </w:r>
            <w:r w:rsidRPr="00C9040A">
              <w:rPr>
                <w:rtl/>
              </w:rPr>
              <w:t xml:space="preserve"> يوسف </w:t>
            </w:r>
            <w:r>
              <w:rPr>
                <w:rtl/>
              </w:rPr>
              <w:t>(12)</w:t>
            </w:r>
            <w:r w:rsidRPr="00C9040A">
              <w:rPr>
                <w:rtl/>
              </w:rPr>
              <w:t xml:space="preserve"> : 87.</w:t>
            </w:r>
          </w:p>
        </w:tc>
      </w:tr>
      <w:tr w:rsidR="00D444E0" w:rsidTr="00D444E0">
        <w:tc>
          <w:tcPr>
            <w:tcW w:w="4006" w:type="dxa"/>
          </w:tcPr>
          <w:p w:rsidR="00D444E0" w:rsidRDefault="00D444E0" w:rsidP="004A4E41">
            <w:pPr>
              <w:pStyle w:val="libFootnote0"/>
              <w:rPr>
                <w:rtl/>
              </w:rPr>
            </w:pPr>
            <w:r>
              <w:rPr>
                <w:rtl/>
              </w:rPr>
              <w:t>(5). في «ه» :</w:t>
            </w:r>
            <w:r w:rsidRPr="00C9040A">
              <w:rPr>
                <w:rtl/>
              </w:rPr>
              <w:t>« مكر »</w:t>
            </w:r>
            <w:r>
              <w:rPr>
                <w:rtl/>
              </w:rPr>
              <w:t>.</w:t>
            </w:r>
            <w:r w:rsidRPr="00C9040A">
              <w:rPr>
                <w:rtl/>
              </w:rPr>
              <w:t>وفي الوسائل : « من مكر »</w:t>
            </w:r>
            <w:r>
              <w:rPr>
                <w:rtl/>
              </w:rPr>
              <w:t>.</w:t>
            </w:r>
          </w:p>
        </w:tc>
        <w:tc>
          <w:tcPr>
            <w:tcW w:w="4006" w:type="dxa"/>
          </w:tcPr>
          <w:p w:rsidR="00D444E0" w:rsidRDefault="00D444E0" w:rsidP="004A4E41">
            <w:pPr>
              <w:pStyle w:val="libFootnote0"/>
              <w:rPr>
                <w:rtl/>
              </w:rPr>
            </w:pPr>
            <w:r>
              <w:rPr>
                <w:rtl/>
              </w:rPr>
              <w:t xml:space="preserve">(6). </w:t>
            </w:r>
            <w:r w:rsidRPr="00C9040A">
              <w:rPr>
                <w:rtl/>
              </w:rPr>
              <w:t xml:space="preserve">الأعراف </w:t>
            </w:r>
            <w:r>
              <w:rPr>
                <w:rtl/>
              </w:rPr>
              <w:t>(7)</w:t>
            </w:r>
            <w:r w:rsidRPr="00C9040A">
              <w:rPr>
                <w:rtl/>
              </w:rPr>
              <w:t xml:space="preserve"> : 99.</w:t>
            </w:r>
          </w:p>
        </w:tc>
      </w:tr>
    </w:tbl>
    <w:p w:rsidR="008A74EB" w:rsidRPr="00C9040A" w:rsidRDefault="006C577F" w:rsidP="00D444E0">
      <w:pPr>
        <w:pStyle w:val="libFootnote0"/>
        <w:rPr>
          <w:rtl/>
          <w:lang w:bidi="fa-IR"/>
        </w:rPr>
      </w:pPr>
      <w:r>
        <w:rPr>
          <w:rtl/>
        </w:rPr>
        <w:t>(7).</w:t>
      </w:r>
      <w:r w:rsidR="008A74EB" w:rsidRPr="00C9040A">
        <w:rPr>
          <w:rtl/>
        </w:rPr>
        <w:t xml:space="preserve"> إشارة إلى الآية 32 من سورة مريم (19) : </w:t>
      </w:r>
      <w:r w:rsidR="00D444E0" w:rsidRPr="00C2783E">
        <w:rPr>
          <w:rStyle w:val="libFootnoteAlaemChar"/>
          <w:rFonts w:hint="cs"/>
          <w:rtl/>
        </w:rPr>
        <w:t>(</w:t>
      </w:r>
      <w:r w:rsidR="00D444E0" w:rsidRPr="00C2783E">
        <w:rPr>
          <w:rStyle w:val="libFootnoteAieChar"/>
          <w:rtl/>
        </w:rPr>
        <w:t xml:space="preserve"> وَبَرًّا بِوَ</w:t>
      </w:r>
      <w:r w:rsidR="00D444E0" w:rsidRPr="00C2783E">
        <w:rPr>
          <w:rStyle w:val="libFootnoteAieChar"/>
          <w:rFonts w:hint="cs"/>
          <w:rtl/>
        </w:rPr>
        <w:t>ا</w:t>
      </w:r>
      <w:r w:rsidR="008A74EB" w:rsidRPr="00C2783E">
        <w:rPr>
          <w:rStyle w:val="libFootnoteAieChar"/>
          <w:rtl/>
        </w:rPr>
        <w:t>لِدَتِى وَلَ</w:t>
      </w:r>
      <w:r w:rsidR="00C2783E" w:rsidRPr="00C2783E">
        <w:rPr>
          <w:rStyle w:val="libFootnoteAieChar"/>
          <w:rtl/>
        </w:rPr>
        <w:t>مْ يَجْعَلْنِى جَبَّارًا شَقِيّ</w:t>
      </w:r>
      <w:r w:rsidR="008A74EB" w:rsidRPr="00C2783E">
        <w:rPr>
          <w:rStyle w:val="libFootnoteAieChar"/>
          <w:rtl/>
        </w:rPr>
        <w:t>ا</w:t>
      </w:r>
      <w:r w:rsidR="00C2783E" w:rsidRPr="00C2783E">
        <w:rPr>
          <w:rStyle w:val="libFootnoteAieChar"/>
          <w:rFonts w:hint="cs"/>
          <w:rtl/>
        </w:rPr>
        <w:t>ً</w:t>
      </w:r>
      <w:r w:rsidR="008A74EB" w:rsidRPr="00C2783E">
        <w:rPr>
          <w:rStyle w:val="libFootnoteAieChar"/>
          <w:rtl/>
        </w:rPr>
        <w:t xml:space="preserve"> </w:t>
      </w:r>
      <w:r w:rsidR="00D444E0" w:rsidRPr="00C2783E">
        <w:rPr>
          <w:rStyle w:val="libFootnoteAlaemChar"/>
          <w:rFonts w:hint="cs"/>
          <w:rtl/>
        </w:rPr>
        <w:t>)</w:t>
      </w:r>
      <w:r w:rsidR="008A74EB">
        <w:rPr>
          <w:rtl/>
        </w:rPr>
        <w:t>.</w:t>
      </w:r>
    </w:p>
    <w:tbl>
      <w:tblPr>
        <w:tblStyle w:val="TableGrid"/>
        <w:bidiVisual/>
        <w:tblW w:w="0" w:type="auto"/>
        <w:tblLook w:val="04A0" w:firstRow="1" w:lastRow="0" w:firstColumn="1" w:lastColumn="0" w:noHBand="0" w:noVBand="1"/>
      </w:tblPr>
      <w:tblGrid>
        <w:gridCol w:w="4006"/>
        <w:gridCol w:w="4006"/>
      </w:tblGrid>
      <w:tr w:rsidR="00C2783E" w:rsidTr="00C2783E">
        <w:tc>
          <w:tcPr>
            <w:tcW w:w="4006" w:type="dxa"/>
          </w:tcPr>
          <w:p w:rsidR="00C2783E" w:rsidRDefault="00C2783E" w:rsidP="004A4E41">
            <w:pPr>
              <w:pStyle w:val="libFootnote0"/>
              <w:rPr>
                <w:rtl/>
              </w:rPr>
            </w:pPr>
            <w:r>
              <w:rPr>
                <w:rtl/>
              </w:rPr>
              <w:t>(8).</w:t>
            </w:r>
            <w:r w:rsidRPr="00C9040A">
              <w:rPr>
                <w:rtl/>
              </w:rPr>
              <w:t xml:space="preserve"> النساء </w:t>
            </w:r>
            <w:r>
              <w:rPr>
                <w:rtl/>
              </w:rPr>
              <w:t>(4)</w:t>
            </w:r>
            <w:r w:rsidRPr="00C9040A">
              <w:rPr>
                <w:rtl/>
              </w:rPr>
              <w:t xml:space="preserve"> : 93.</w:t>
            </w:r>
          </w:p>
        </w:tc>
        <w:tc>
          <w:tcPr>
            <w:tcW w:w="4006" w:type="dxa"/>
          </w:tcPr>
          <w:p w:rsidR="00C2783E" w:rsidRDefault="00C2783E" w:rsidP="004A4E41">
            <w:pPr>
              <w:pStyle w:val="libFootnote0"/>
              <w:rPr>
                <w:rtl/>
              </w:rPr>
            </w:pPr>
            <w:r>
              <w:rPr>
                <w:rtl/>
              </w:rPr>
              <w:t>(9).</w:t>
            </w:r>
            <w:r w:rsidRPr="00C9040A">
              <w:rPr>
                <w:rtl/>
              </w:rPr>
              <w:t xml:space="preserve"> في « بر » </w:t>
            </w:r>
            <w:r>
              <w:rPr>
                <w:rtl/>
              </w:rPr>
              <w:t>: -</w:t>
            </w:r>
            <w:r w:rsidRPr="00C9040A">
              <w:rPr>
                <w:rtl/>
              </w:rPr>
              <w:t xml:space="preserve"> « إلى آخر »</w:t>
            </w:r>
            <w:r>
              <w:rPr>
                <w:rtl/>
              </w:rPr>
              <w:t>.</w:t>
            </w:r>
          </w:p>
        </w:tc>
      </w:tr>
      <w:tr w:rsidR="00C2783E" w:rsidTr="00C2783E">
        <w:tc>
          <w:tcPr>
            <w:tcW w:w="4006" w:type="dxa"/>
          </w:tcPr>
          <w:p w:rsidR="00C2783E" w:rsidRDefault="00C2783E" w:rsidP="004A4E41">
            <w:pPr>
              <w:pStyle w:val="libFootnote0"/>
              <w:rPr>
                <w:rtl/>
              </w:rPr>
            </w:pPr>
            <w:r>
              <w:rPr>
                <w:rtl/>
              </w:rPr>
              <w:t>(10).</w:t>
            </w:r>
            <w:r w:rsidRPr="00C9040A">
              <w:rPr>
                <w:rtl/>
              </w:rPr>
              <w:t xml:space="preserve"> النور (24) : 23.</w:t>
            </w:r>
          </w:p>
        </w:tc>
        <w:tc>
          <w:tcPr>
            <w:tcW w:w="4006" w:type="dxa"/>
          </w:tcPr>
          <w:p w:rsidR="00C2783E" w:rsidRDefault="00C2783E" w:rsidP="004A4E41">
            <w:pPr>
              <w:pStyle w:val="libFootnote0"/>
              <w:rPr>
                <w:rtl/>
              </w:rPr>
            </w:pPr>
            <w:r>
              <w:rPr>
                <w:rtl/>
              </w:rPr>
              <w:t>(11).</w:t>
            </w:r>
            <w:r w:rsidRPr="00C9040A">
              <w:rPr>
                <w:rtl/>
              </w:rPr>
              <w:t xml:space="preserve"> النساء </w:t>
            </w:r>
            <w:r>
              <w:rPr>
                <w:rtl/>
              </w:rPr>
              <w:t>(4)</w:t>
            </w:r>
            <w:r w:rsidRPr="00C9040A">
              <w:rPr>
                <w:rtl/>
              </w:rPr>
              <w:t xml:space="preserve"> : 10.</w:t>
            </w:r>
          </w:p>
        </w:tc>
      </w:tr>
      <w:tr w:rsidR="00C2783E" w:rsidTr="00C2783E">
        <w:tc>
          <w:tcPr>
            <w:tcW w:w="4006" w:type="dxa"/>
          </w:tcPr>
          <w:p w:rsidR="00C2783E" w:rsidRDefault="00C2783E" w:rsidP="004A4E41">
            <w:pPr>
              <w:pStyle w:val="libFootnote0"/>
              <w:rPr>
                <w:rtl/>
              </w:rPr>
            </w:pPr>
            <w:r>
              <w:rPr>
                <w:rtl/>
              </w:rPr>
              <w:t>(12).</w:t>
            </w:r>
            <w:r w:rsidRPr="00C9040A">
              <w:rPr>
                <w:rtl/>
              </w:rPr>
              <w:t xml:space="preserve"> الأنفال </w:t>
            </w:r>
            <w:r>
              <w:rPr>
                <w:rtl/>
              </w:rPr>
              <w:t>(8)</w:t>
            </w:r>
            <w:r w:rsidRPr="00C9040A">
              <w:rPr>
                <w:rtl/>
              </w:rPr>
              <w:t xml:space="preserve"> : 16.</w:t>
            </w:r>
          </w:p>
        </w:tc>
        <w:tc>
          <w:tcPr>
            <w:tcW w:w="4006" w:type="dxa"/>
          </w:tcPr>
          <w:p w:rsidR="00C2783E" w:rsidRDefault="00C2783E" w:rsidP="004A4E41">
            <w:pPr>
              <w:pStyle w:val="libFootnote0"/>
              <w:rPr>
                <w:rtl/>
              </w:rPr>
            </w:pPr>
            <w:r>
              <w:rPr>
                <w:rtl/>
              </w:rPr>
              <w:t>(13)</w:t>
            </w:r>
            <w:r w:rsidRPr="00C9040A">
              <w:rPr>
                <w:rtl/>
              </w:rPr>
              <w:t xml:space="preserve"> البقرة </w:t>
            </w:r>
            <w:r>
              <w:rPr>
                <w:rtl/>
              </w:rPr>
              <w:t>(2)</w:t>
            </w:r>
            <w:r w:rsidRPr="00C9040A">
              <w:rPr>
                <w:rtl/>
              </w:rPr>
              <w:t xml:space="preserve"> : 275.</w:t>
            </w:r>
          </w:p>
        </w:tc>
      </w:tr>
    </w:tbl>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وَالسِّحْرُ ؛ لِأَنَّ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يَقُولُ : </w:t>
      </w:r>
      <w:r w:rsidRPr="0003660B">
        <w:rPr>
          <w:rStyle w:val="libAlaemChar"/>
          <w:rtl/>
        </w:rPr>
        <w:t>(</w:t>
      </w:r>
      <w:r w:rsidRPr="006A2246">
        <w:rPr>
          <w:rStyle w:val="libAieChar"/>
          <w:rtl/>
        </w:rPr>
        <w:t xml:space="preserve"> وَلَقَدْ عَلِمُوا لَمَنِ اشْتَراهُ ما لَهُ فِي الْآخِرَةِ مِنْ خَلاقٍ </w:t>
      </w:r>
      <w:r w:rsidRPr="0003660B">
        <w:rPr>
          <w:rStyle w:val="libAlaemChar"/>
          <w:rtl/>
        </w:rPr>
        <w:t>)</w:t>
      </w:r>
      <w:r w:rsidRPr="00C9040A">
        <w:rPr>
          <w:rtl/>
          <w:lang w:bidi="fa-IR"/>
        </w:rPr>
        <w:t xml:space="preserve"> </w:t>
      </w:r>
      <w:r w:rsidR="006C577F" w:rsidRPr="006C577F">
        <w:rPr>
          <w:rStyle w:val="libFootnotenumChar"/>
          <w:rtl/>
        </w:rPr>
        <w:t>(1)</w:t>
      </w:r>
      <w:r>
        <w:rPr>
          <w:rtl/>
          <w:lang w:bidi="fa-IR"/>
        </w:rPr>
        <w:t>.</w:t>
      </w:r>
    </w:p>
    <w:p w:rsidR="008A74EB" w:rsidRPr="00C9040A" w:rsidRDefault="008A74EB" w:rsidP="008A74EB">
      <w:pPr>
        <w:pStyle w:val="libNormal"/>
        <w:rPr>
          <w:rtl/>
          <w:lang w:bidi="fa-IR"/>
        </w:rPr>
      </w:pPr>
      <w:r w:rsidRPr="00C9040A">
        <w:rPr>
          <w:rtl/>
          <w:lang w:bidi="fa-IR"/>
        </w:rPr>
        <w:t>وَالزِّنى ؛ لِأَنَّ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يَقُولُ : </w:t>
      </w:r>
      <w:r w:rsidRPr="0003660B">
        <w:rPr>
          <w:rStyle w:val="libAlaemChar"/>
          <w:rtl/>
        </w:rPr>
        <w:t>(</w:t>
      </w:r>
      <w:r w:rsidRPr="006A2246">
        <w:rPr>
          <w:rStyle w:val="libAieChar"/>
          <w:rtl/>
        </w:rPr>
        <w:t xml:space="preserve"> وَمَنْ يَفْعَلْ ذلِكَ يَلْقَ أَثاماً </w:t>
      </w:r>
      <w:r w:rsidR="00E879AF">
        <w:rPr>
          <w:rStyle w:val="libAieChar"/>
          <w:rFonts w:hint="cs"/>
          <w:rtl/>
        </w:rPr>
        <w:t xml:space="preserve">* </w:t>
      </w:r>
      <w:r w:rsidRPr="006A2246">
        <w:rPr>
          <w:rStyle w:val="libAieChar"/>
          <w:rtl/>
        </w:rPr>
        <w:t xml:space="preserve">يُضاعَفْ لَهُ الْعَذابُ يَوْمَ الْقِيامَةِ وَيَخْلُدْ فِيهِ مُهاناً </w:t>
      </w:r>
      <w:r w:rsidRPr="0003660B">
        <w:rPr>
          <w:rStyle w:val="libAlaemChar"/>
          <w:rtl/>
        </w:rPr>
        <w:t>)</w:t>
      </w:r>
      <w:r w:rsidRPr="00C9040A">
        <w:rPr>
          <w:rtl/>
          <w:lang w:bidi="fa-IR"/>
        </w:rPr>
        <w:t xml:space="preserve"> </w:t>
      </w:r>
      <w:r w:rsidR="006C577F" w:rsidRPr="006C577F">
        <w:rPr>
          <w:rStyle w:val="libFootnotenumChar"/>
          <w:rtl/>
        </w:rPr>
        <w:t>(2)</w:t>
      </w:r>
      <w:r>
        <w:rPr>
          <w:rtl/>
          <w:lang w:bidi="fa-IR"/>
        </w:rPr>
        <w:t>.</w:t>
      </w:r>
    </w:p>
    <w:p w:rsidR="008A74EB" w:rsidRPr="00C9040A" w:rsidRDefault="008A74EB" w:rsidP="008A74EB">
      <w:pPr>
        <w:pStyle w:val="libNormal"/>
        <w:rPr>
          <w:rtl/>
          <w:lang w:bidi="fa-IR"/>
        </w:rPr>
      </w:pPr>
      <w:r w:rsidRPr="00C9040A">
        <w:rPr>
          <w:rtl/>
          <w:lang w:bidi="fa-IR"/>
        </w:rPr>
        <w:t xml:space="preserve">وَالْيَمِينُ الْغَمُوسُ </w:t>
      </w:r>
      <w:r w:rsidR="006C577F" w:rsidRPr="006C577F">
        <w:rPr>
          <w:rStyle w:val="libFootnotenumChar"/>
          <w:rtl/>
        </w:rPr>
        <w:t>(3)</w:t>
      </w:r>
      <w:r w:rsidRPr="00C9040A">
        <w:rPr>
          <w:rtl/>
          <w:lang w:bidi="fa-IR"/>
        </w:rPr>
        <w:t xml:space="preserve"> الْفَاجِرَةُ ؛ لِأَنَّ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يَقُولُ : </w:t>
      </w:r>
      <w:r w:rsidRPr="0003660B">
        <w:rPr>
          <w:rStyle w:val="libAlaemChar"/>
          <w:rtl/>
        </w:rPr>
        <w:t>(</w:t>
      </w:r>
      <w:r w:rsidRPr="006A2246">
        <w:rPr>
          <w:rStyle w:val="libAieChar"/>
          <w:rtl/>
        </w:rPr>
        <w:t xml:space="preserve"> إِنَّ</w:t>
      </w:r>
      <w:r>
        <w:rPr>
          <w:rFonts w:hint="cs"/>
          <w:rtl/>
        </w:rPr>
        <w:t xml:space="preserve"> </w:t>
      </w:r>
      <w:r w:rsidR="006C577F" w:rsidRPr="006C577F">
        <w:rPr>
          <w:rStyle w:val="libFootnotenumChar"/>
          <w:rtl/>
        </w:rPr>
        <w:t>(4)</w:t>
      </w:r>
      <w:r>
        <w:rPr>
          <w:rFonts w:hint="cs"/>
          <w:rtl/>
        </w:rPr>
        <w:t xml:space="preserve"> </w:t>
      </w:r>
      <w:r w:rsidRPr="006A2246">
        <w:rPr>
          <w:rStyle w:val="libAieChar"/>
          <w:rtl/>
        </w:rPr>
        <w:t xml:space="preserve">الَّذِينَ يَشْتَرُونَ بِعَهْدِ اللهِ وَأَيْمانِهِمْ ثَمَناً قَلِيلاً أُولئِكَ لا خَلاقَ لَهُمْ فِي الْآخِرَةِ </w:t>
      </w:r>
      <w:r w:rsidRPr="0003660B">
        <w:rPr>
          <w:rStyle w:val="libAlaemChar"/>
          <w:rtl/>
        </w:rPr>
        <w:t>)</w:t>
      </w:r>
      <w:r w:rsidRPr="00C9040A">
        <w:rPr>
          <w:rtl/>
          <w:lang w:bidi="fa-IR"/>
        </w:rPr>
        <w:t xml:space="preserve"> </w:t>
      </w:r>
      <w:r w:rsidR="006C577F" w:rsidRPr="006C577F">
        <w:rPr>
          <w:rStyle w:val="libFootnotenumChar"/>
          <w:rtl/>
        </w:rPr>
        <w:t>(5)</w:t>
      </w:r>
      <w:r>
        <w:rPr>
          <w:rtl/>
          <w:lang w:bidi="fa-IR"/>
        </w:rPr>
        <w:t>.</w:t>
      </w:r>
    </w:p>
    <w:p w:rsidR="008A74EB" w:rsidRPr="00C9040A" w:rsidRDefault="008A74EB" w:rsidP="008A74EB">
      <w:pPr>
        <w:pStyle w:val="libNormal"/>
        <w:rPr>
          <w:rtl/>
          <w:lang w:bidi="fa-IR"/>
        </w:rPr>
      </w:pPr>
      <w:r w:rsidRPr="00C9040A">
        <w:rPr>
          <w:rtl/>
          <w:lang w:bidi="fa-IR"/>
        </w:rPr>
        <w:t xml:space="preserve">وَالْغُلُولُ </w:t>
      </w:r>
      <w:r w:rsidR="006C577F" w:rsidRPr="006C577F">
        <w:rPr>
          <w:rStyle w:val="libFootnotenumChar"/>
          <w:rtl/>
        </w:rPr>
        <w:t>(6)</w:t>
      </w:r>
      <w:r w:rsidRPr="005B567D">
        <w:rPr>
          <w:rStyle w:val="libFootnotenumChar"/>
          <w:rtl/>
        </w:rPr>
        <w:t xml:space="preserve"> </w:t>
      </w:r>
      <w:r w:rsidRPr="00C9040A">
        <w:rPr>
          <w:rtl/>
          <w:lang w:bidi="fa-IR"/>
        </w:rPr>
        <w:t>؛ لِأَنَّ اللهَ</w:t>
      </w:r>
      <w:r>
        <w:rPr>
          <w:rtl/>
          <w:lang w:bidi="fa-IR"/>
        </w:rPr>
        <w:t xml:space="preserve"> </w:t>
      </w:r>
      <w:r w:rsidR="0084262C">
        <w:rPr>
          <w:rtl/>
          <w:lang w:bidi="fa-IR"/>
        </w:rPr>
        <w:t>-</w:t>
      </w:r>
      <w:r w:rsidRPr="00C9040A">
        <w:rPr>
          <w:rtl/>
          <w:lang w:bidi="fa-IR"/>
        </w:rPr>
        <w:t xml:space="preserve"> عَزَّ وَجَلَّ</w:t>
      </w:r>
      <w:r>
        <w:rPr>
          <w:rtl/>
          <w:lang w:bidi="fa-IR"/>
        </w:rPr>
        <w:t xml:space="preserve"> </w:t>
      </w:r>
      <w:r w:rsidR="0084262C">
        <w:rPr>
          <w:rtl/>
          <w:lang w:bidi="fa-IR"/>
        </w:rPr>
        <w:t>-</w:t>
      </w:r>
      <w:r>
        <w:rPr>
          <w:rtl/>
          <w:lang w:bidi="fa-IR"/>
        </w:rPr>
        <w:t xml:space="preserve"> </w:t>
      </w:r>
      <w:r w:rsidRPr="00C9040A">
        <w:rPr>
          <w:rtl/>
          <w:lang w:bidi="fa-IR"/>
        </w:rPr>
        <w:t xml:space="preserve">يَقُولُ : </w:t>
      </w:r>
      <w:r w:rsidRPr="0003660B">
        <w:rPr>
          <w:rStyle w:val="libAlaemChar"/>
          <w:rtl/>
        </w:rPr>
        <w:t>(</w:t>
      </w:r>
      <w:r w:rsidRPr="006A2246">
        <w:rPr>
          <w:rStyle w:val="libAieChar"/>
          <w:rtl/>
        </w:rPr>
        <w:t xml:space="preserve"> وَمَنْ يَغْلُلْ يَأْتِ بِما غَلَّ يَوْمَ الْقِيامَةِ </w:t>
      </w:r>
      <w:r w:rsidRPr="0003660B">
        <w:rPr>
          <w:rStyle w:val="libAlaemChar"/>
          <w:rtl/>
        </w:rPr>
        <w:t>)</w:t>
      </w:r>
      <w:r w:rsidRPr="00C9040A">
        <w:rPr>
          <w:rtl/>
          <w:lang w:bidi="fa-IR"/>
        </w:rPr>
        <w:t xml:space="preserve"> </w:t>
      </w:r>
      <w:r w:rsidR="006C577F" w:rsidRPr="006C577F">
        <w:rPr>
          <w:rStyle w:val="libFootnotenumChar"/>
          <w:rtl/>
        </w:rPr>
        <w:t>(7)</w:t>
      </w:r>
      <w:r>
        <w:rPr>
          <w:rtl/>
          <w:lang w:bidi="fa-IR"/>
        </w:rPr>
        <w:t>.</w:t>
      </w:r>
    </w:p>
    <w:p w:rsidR="008A74EB" w:rsidRPr="00C9040A" w:rsidRDefault="008A74EB" w:rsidP="008A74EB">
      <w:pPr>
        <w:pStyle w:val="libNormal"/>
        <w:rPr>
          <w:rtl/>
          <w:lang w:bidi="fa-IR"/>
        </w:rPr>
      </w:pPr>
      <w:r w:rsidRPr="00C9040A">
        <w:rPr>
          <w:rtl/>
          <w:lang w:bidi="fa-IR"/>
        </w:rPr>
        <w:t>وَمَنْعُ الزَّكَاةِ الْمَفْرُوضَةِ ؛ لِأَنَّ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يَقُولُ </w:t>
      </w:r>
      <w:r w:rsidR="006C577F" w:rsidRPr="006C577F">
        <w:rPr>
          <w:rStyle w:val="libFootnotenumChar"/>
          <w:rtl/>
        </w:rPr>
        <w:t>(8)</w:t>
      </w:r>
      <w:r w:rsidRPr="00C9040A">
        <w:rPr>
          <w:rtl/>
          <w:lang w:bidi="fa-IR"/>
        </w:rPr>
        <w:t xml:space="preserve"> : </w:t>
      </w:r>
      <w:r w:rsidRPr="0003660B">
        <w:rPr>
          <w:rStyle w:val="libAlaemChar"/>
          <w:rtl/>
        </w:rPr>
        <w:t>(</w:t>
      </w:r>
      <w:r w:rsidRPr="006A2246">
        <w:rPr>
          <w:rStyle w:val="libAieChar"/>
          <w:rtl/>
        </w:rPr>
        <w:t xml:space="preserve"> فَتُكْوى بِها جِباهُهُمْ وَجُنُوبُهُمْ وَظُهُورُهُمْ </w:t>
      </w:r>
      <w:r w:rsidRPr="0003660B">
        <w:rPr>
          <w:rStyle w:val="libAlaemChar"/>
          <w:rtl/>
        </w:rPr>
        <w:t>)</w:t>
      </w:r>
      <w:r w:rsidRPr="00C9040A">
        <w:rPr>
          <w:rtl/>
          <w:lang w:bidi="fa-IR"/>
        </w:rPr>
        <w:t xml:space="preserve"> </w:t>
      </w:r>
      <w:r w:rsidR="006C577F" w:rsidRPr="006C577F">
        <w:rPr>
          <w:rStyle w:val="libFootnotenumChar"/>
          <w:rtl/>
        </w:rPr>
        <w:t>(9)</w:t>
      </w:r>
      <w:r>
        <w:rPr>
          <w:rtl/>
          <w:lang w:bidi="fa-IR"/>
        </w:rPr>
        <w:t>.</w:t>
      </w:r>
    </w:p>
    <w:p w:rsidR="008A74EB" w:rsidRDefault="008A74EB" w:rsidP="008A74EB">
      <w:pPr>
        <w:pStyle w:val="libNormal"/>
        <w:rPr>
          <w:rtl/>
          <w:lang w:bidi="fa-IR"/>
        </w:rPr>
      </w:pPr>
      <w:r w:rsidRPr="00C9040A">
        <w:rPr>
          <w:rtl/>
          <w:lang w:bidi="fa-IR"/>
        </w:rPr>
        <w:t>وَشَهَادَةُ الزُّورِ ، وَكِتْمَانُ الشَّهَادَةِ ؛ لِأَنَّ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يَقُولُ : </w:t>
      </w:r>
      <w:r w:rsidRPr="0003660B">
        <w:rPr>
          <w:rStyle w:val="libAlaemChar"/>
          <w:rtl/>
        </w:rPr>
        <w:t>(</w:t>
      </w:r>
      <w:r w:rsidRPr="006A2246">
        <w:rPr>
          <w:rStyle w:val="libAieChar"/>
          <w:rtl/>
        </w:rPr>
        <w:t xml:space="preserve"> وَمَنْ يَكْتُمْها فَإِنَّهُ آثِمٌ قَلْبُهُ </w:t>
      </w:r>
      <w:r w:rsidRPr="0003660B">
        <w:rPr>
          <w:rStyle w:val="libAlaemChar"/>
          <w:rtl/>
        </w:rPr>
        <w:t>)</w:t>
      </w:r>
      <w:r w:rsidRPr="00C9040A">
        <w:rPr>
          <w:rtl/>
          <w:lang w:bidi="fa-IR"/>
        </w:rPr>
        <w:t xml:space="preserve"> </w:t>
      </w:r>
      <w:r w:rsidR="006C577F" w:rsidRPr="006C577F">
        <w:rPr>
          <w:rStyle w:val="libFootnotenumChar"/>
          <w:rtl/>
        </w:rPr>
        <w:t>(10)</w:t>
      </w:r>
      <w:r>
        <w:rPr>
          <w:rtl/>
          <w:lang w:bidi="fa-IR"/>
        </w:rPr>
        <w:t>.</w:t>
      </w:r>
    </w:p>
    <w:p w:rsidR="008A74EB" w:rsidRPr="00C9040A" w:rsidRDefault="008A74EB" w:rsidP="008A74EB">
      <w:pPr>
        <w:pStyle w:val="libNormal"/>
        <w:rPr>
          <w:rtl/>
        </w:rPr>
      </w:pPr>
      <w:r w:rsidRPr="00C9040A">
        <w:rPr>
          <w:rtl/>
          <w:lang w:bidi="fa-IR"/>
        </w:rPr>
        <w:t>وَشُرْبُ الْخَمْرِ ؛ لِأَنَّ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نَهى عَنْهَا ، كَمَا نَهى عَنْ عِبَادَةِ الْأَوْثَانِ </w:t>
      </w:r>
      <w:r w:rsidR="006C577F" w:rsidRPr="006C577F">
        <w:rPr>
          <w:rStyle w:val="libFootnotenumChar"/>
          <w:rtl/>
        </w:rPr>
        <w:t>(11)</w:t>
      </w:r>
      <w:r>
        <w:rPr>
          <w:rFonts w:hint="cs"/>
          <w:rtl/>
        </w:rPr>
        <w:t>.</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البقرة </w:t>
      </w:r>
      <w:r w:rsidR="00147822">
        <w:rPr>
          <w:rtl/>
        </w:rPr>
        <w:t>(2)</w:t>
      </w:r>
      <w:r w:rsidR="008A74EB" w:rsidRPr="00C9040A">
        <w:rPr>
          <w:rtl/>
        </w:rPr>
        <w:t xml:space="preserve"> : 102. أي الذي اشترى السحر بدل دين الله. والخلاق : النصيب.</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الفرقان (25) : 68</w:t>
      </w:r>
      <w:r w:rsidR="008A74EB">
        <w:rPr>
          <w:rtl/>
        </w:rPr>
        <w:t xml:space="preserve"> </w:t>
      </w:r>
      <w:r w:rsidR="0084262C">
        <w:rPr>
          <w:rtl/>
        </w:rPr>
        <w:t>-</w:t>
      </w:r>
      <w:r w:rsidR="008A74EB">
        <w:rPr>
          <w:rtl/>
        </w:rPr>
        <w:t xml:space="preserve"> </w:t>
      </w:r>
      <w:r w:rsidR="008A74EB" w:rsidRPr="00C9040A">
        <w:rPr>
          <w:rtl/>
        </w:rPr>
        <w:t>69. وأثاماً ، أي عقوبة.</w:t>
      </w:r>
    </w:p>
    <w:p w:rsidR="008A74EB" w:rsidRPr="00C9040A" w:rsidRDefault="006C577F" w:rsidP="004A4E41">
      <w:pPr>
        <w:pStyle w:val="libFootnote0"/>
        <w:rPr>
          <w:rtl/>
          <w:lang w:bidi="fa-IR"/>
        </w:rPr>
      </w:pPr>
      <w:r>
        <w:rPr>
          <w:rtl/>
        </w:rPr>
        <w:t>(3).</w:t>
      </w:r>
      <w:r w:rsidR="008A74EB" w:rsidRPr="00C9040A">
        <w:rPr>
          <w:rtl/>
        </w:rPr>
        <w:t xml:space="preserve"> « اليمين الغموس » : هي اليمين الكاذية الفاجرة. سمّيت غموساً ؛ لأنّها تَغْمِس صاحبها في الإثم ثمّ في النار. </w:t>
      </w:r>
      <w:r w:rsidR="008A74EB" w:rsidRPr="00993B55">
        <w:rPr>
          <w:rStyle w:val="libFootnoteBoldChar"/>
          <w:rtl/>
        </w:rPr>
        <w:t>النهاية</w:t>
      </w:r>
      <w:r w:rsidR="008A74EB" w:rsidRPr="00C9040A">
        <w:rPr>
          <w:rtl/>
        </w:rPr>
        <w:t xml:space="preserve"> ، ج 3 ، ص 386 ( غمس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هكذا في « بر » ومرآة العقول والوسائل ، وهو مطابق للقرآن. وفي سائر النسخ والمطبوع </w:t>
      </w:r>
      <w:r w:rsidR="008A74EB">
        <w:rPr>
          <w:rtl/>
        </w:rPr>
        <w:t xml:space="preserve">: </w:t>
      </w:r>
      <w:r w:rsidR="0084262C">
        <w:rPr>
          <w:rtl/>
        </w:rPr>
        <w:t>-</w:t>
      </w:r>
      <w:r w:rsidR="008A74EB" w:rsidRPr="00C9040A">
        <w:rPr>
          <w:rtl/>
        </w:rPr>
        <w:t xml:space="preserve"> « إنّ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آل عمران </w:t>
      </w:r>
      <w:r w:rsidR="00147822">
        <w:rPr>
          <w:rtl/>
        </w:rPr>
        <w:t>(3)</w:t>
      </w:r>
      <w:r w:rsidR="008A74EB" w:rsidRPr="00C9040A">
        <w:rPr>
          <w:rtl/>
        </w:rPr>
        <w:t xml:space="preserve"> : 77.</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غلّ غُلُولاً : خانَ ، كأغلّ ، أو خاصّ بالفي‌ء. </w:t>
      </w:r>
      <w:r w:rsidR="008A74EB" w:rsidRPr="00993B55">
        <w:rPr>
          <w:rStyle w:val="libFootnoteBoldChar"/>
          <w:rtl/>
        </w:rPr>
        <w:t>القاموس المحيط</w:t>
      </w:r>
      <w:r w:rsidR="008A74EB" w:rsidRPr="00C9040A">
        <w:rPr>
          <w:rtl/>
        </w:rPr>
        <w:t xml:space="preserve"> ، ج 2 ، ص 1372 ( غلل )</w:t>
      </w:r>
      <w:r w:rsidR="008A74EB">
        <w:rPr>
          <w:rtl/>
        </w:rPr>
        <w:t>.</w:t>
      </w:r>
    </w:p>
    <w:tbl>
      <w:tblPr>
        <w:tblStyle w:val="TableGrid"/>
        <w:bidiVisual/>
        <w:tblW w:w="0" w:type="auto"/>
        <w:tblLook w:val="04A0" w:firstRow="1" w:lastRow="0" w:firstColumn="1" w:lastColumn="0" w:noHBand="0" w:noVBand="1"/>
      </w:tblPr>
      <w:tblGrid>
        <w:gridCol w:w="4006"/>
        <w:gridCol w:w="4006"/>
      </w:tblGrid>
      <w:tr w:rsidR="00147822" w:rsidTr="00147822">
        <w:tc>
          <w:tcPr>
            <w:tcW w:w="4006" w:type="dxa"/>
          </w:tcPr>
          <w:p w:rsidR="00147822" w:rsidRDefault="00147822" w:rsidP="004A4E41">
            <w:pPr>
              <w:pStyle w:val="libFootnote0"/>
              <w:rPr>
                <w:rtl/>
              </w:rPr>
            </w:pPr>
            <w:r>
              <w:rPr>
                <w:rtl/>
              </w:rPr>
              <w:t>(7).</w:t>
            </w:r>
            <w:r w:rsidRPr="00C9040A">
              <w:rPr>
                <w:rtl/>
              </w:rPr>
              <w:t xml:space="preserve"> آل عمران </w:t>
            </w:r>
            <w:r>
              <w:rPr>
                <w:rtl/>
              </w:rPr>
              <w:t>(3)</w:t>
            </w:r>
            <w:r w:rsidRPr="00C9040A">
              <w:rPr>
                <w:rtl/>
              </w:rPr>
              <w:t xml:space="preserve"> : 161.</w:t>
            </w:r>
          </w:p>
        </w:tc>
        <w:tc>
          <w:tcPr>
            <w:tcW w:w="4006" w:type="dxa"/>
          </w:tcPr>
          <w:p w:rsidR="00147822" w:rsidRDefault="00147822" w:rsidP="004A4E41">
            <w:pPr>
              <w:pStyle w:val="libFootnote0"/>
              <w:rPr>
                <w:rtl/>
              </w:rPr>
            </w:pPr>
            <w:r>
              <w:rPr>
                <w:rtl/>
              </w:rPr>
              <w:t>(8).</w:t>
            </w:r>
            <w:r w:rsidRPr="00C9040A">
              <w:rPr>
                <w:rtl/>
              </w:rPr>
              <w:t xml:space="preserve"> في « </w:t>
            </w:r>
            <w:r>
              <w:rPr>
                <w:rtl/>
              </w:rPr>
              <w:t xml:space="preserve">ه </w:t>
            </w:r>
            <w:r w:rsidRPr="00C9040A">
              <w:rPr>
                <w:rtl/>
              </w:rPr>
              <w:t xml:space="preserve">» : + </w:t>
            </w:r>
            <w:r w:rsidRPr="00147822">
              <w:rPr>
                <w:rStyle w:val="libFootnoteAlaemChar"/>
                <w:rtl/>
              </w:rPr>
              <w:t>(</w:t>
            </w:r>
            <w:r w:rsidRPr="00883DD5">
              <w:rPr>
                <w:rStyle w:val="libFootnoteAieChar"/>
                <w:rFonts w:hint="cs"/>
                <w:rtl/>
              </w:rPr>
              <w:t xml:space="preserve"> </w:t>
            </w:r>
            <w:r w:rsidRPr="00883DD5">
              <w:rPr>
                <w:rStyle w:val="libFootnoteAieChar"/>
                <w:rtl/>
              </w:rPr>
              <w:t>يَوْمَ يُحْم</w:t>
            </w:r>
            <w:r>
              <w:rPr>
                <w:rStyle w:val="libFootnoteAieChar"/>
                <w:rFonts w:hint="cs"/>
                <w:rtl/>
              </w:rPr>
              <w:t>َ</w:t>
            </w:r>
            <w:r w:rsidRPr="00883DD5">
              <w:rPr>
                <w:rStyle w:val="libFootnoteAieChar"/>
                <w:rtl/>
              </w:rPr>
              <w:t>ى عَلَيْها فِي نارِ جَهَنَّمَ</w:t>
            </w:r>
            <w:r w:rsidRPr="00883DD5">
              <w:rPr>
                <w:rStyle w:val="libFootnoteAieChar"/>
                <w:rFonts w:hint="cs"/>
                <w:rtl/>
              </w:rPr>
              <w:t xml:space="preserve"> </w:t>
            </w:r>
            <w:r w:rsidRPr="00147822">
              <w:rPr>
                <w:rStyle w:val="libFootnoteAlaemChar"/>
                <w:rtl/>
              </w:rPr>
              <w:t>)</w:t>
            </w:r>
            <w:r w:rsidRPr="00C9040A">
              <w:rPr>
                <w:rtl/>
              </w:rPr>
              <w:t>.</w:t>
            </w:r>
          </w:p>
        </w:tc>
      </w:tr>
    </w:tbl>
    <w:p w:rsidR="008A74EB" w:rsidRPr="00C9040A" w:rsidRDefault="006C577F" w:rsidP="004A4E41">
      <w:pPr>
        <w:pStyle w:val="libFootnote0"/>
        <w:rPr>
          <w:rtl/>
          <w:lang w:bidi="fa-IR"/>
        </w:rPr>
      </w:pPr>
      <w:r>
        <w:rPr>
          <w:rtl/>
        </w:rPr>
        <w:t>(9).</w:t>
      </w:r>
      <w:r w:rsidR="008A74EB" w:rsidRPr="00C9040A">
        <w:rPr>
          <w:rtl/>
        </w:rPr>
        <w:t xml:space="preserve"> التوبة </w:t>
      </w:r>
      <w:r w:rsidR="00147822">
        <w:rPr>
          <w:rtl/>
        </w:rPr>
        <w:t>(9)</w:t>
      </w:r>
      <w:r w:rsidR="008A74EB" w:rsidRPr="00C9040A">
        <w:rPr>
          <w:rtl/>
        </w:rPr>
        <w:t xml:space="preserve"> : 35. وفي « ز ، ص » </w:t>
      </w:r>
      <w:r w:rsidR="008A74EB">
        <w:rPr>
          <w:rtl/>
        </w:rPr>
        <w:t xml:space="preserve">: </w:t>
      </w:r>
      <w:r w:rsidR="0084262C">
        <w:rPr>
          <w:rtl/>
        </w:rPr>
        <w:t>-</w:t>
      </w:r>
      <w:r w:rsidR="008A74EB" w:rsidRPr="00C9040A">
        <w:rPr>
          <w:rtl/>
        </w:rPr>
        <w:t xml:space="preserve"> « وظهورهم »</w:t>
      </w:r>
      <w:r w:rsidR="008A74EB">
        <w:rPr>
          <w:rtl/>
        </w:rPr>
        <w:t>.</w:t>
      </w:r>
      <w:r w:rsidR="008A74EB" w:rsidRPr="00C9040A">
        <w:rPr>
          <w:rtl/>
        </w:rPr>
        <w:t xml:space="preserve"> وكوى فلاناً ، أي أحرق جلده بحديدة.</w:t>
      </w:r>
    </w:p>
    <w:p w:rsidR="008A74EB" w:rsidRPr="00C9040A" w:rsidRDefault="006C577F" w:rsidP="004A4E41">
      <w:pPr>
        <w:pStyle w:val="libFootnote0"/>
        <w:rPr>
          <w:rtl/>
          <w:lang w:bidi="fa-IR"/>
        </w:rPr>
      </w:pPr>
      <w:r>
        <w:rPr>
          <w:rtl/>
        </w:rPr>
        <w:t>(10).</w:t>
      </w:r>
      <w:r w:rsidR="008A74EB" w:rsidRPr="00C9040A">
        <w:rPr>
          <w:rtl/>
        </w:rPr>
        <w:t xml:space="preserve"> البقرة </w:t>
      </w:r>
      <w:r w:rsidR="00A97E4E">
        <w:rPr>
          <w:rtl/>
        </w:rPr>
        <w:t>(2)</w:t>
      </w:r>
      <w:r w:rsidR="008A74EB" w:rsidRPr="00C9040A">
        <w:rPr>
          <w:rtl/>
        </w:rPr>
        <w:t xml:space="preserve"> : 283.</w:t>
      </w:r>
    </w:p>
    <w:p w:rsidR="008A74EB" w:rsidRPr="00C9040A" w:rsidRDefault="006C577F" w:rsidP="004A4E41">
      <w:pPr>
        <w:pStyle w:val="libFootnote0"/>
        <w:rPr>
          <w:rtl/>
          <w:lang w:bidi="fa-IR"/>
        </w:rPr>
      </w:pPr>
      <w:r>
        <w:rPr>
          <w:rtl/>
        </w:rPr>
        <w:t>(11).</w:t>
      </w:r>
      <w:r w:rsidR="008A74EB">
        <w:rPr>
          <w:rtl/>
        </w:rPr>
        <w:t xml:space="preserve"> </w:t>
      </w:r>
      <w:r w:rsidR="008A74EB" w:rsidRPr="00C9040A">
        <w:rPr>
          <w:rtl/>
        </w:rPr>
        <w:t xml:space="preserve">إشارة إلى الآية 90 من سورة المائدة </w:t>
      </w:r>
      <w:r w:rsidR="00A97E4E">
        <w:rPr>
          <w:rtl/>
        </w:rPr>
        <w:t>(5)</w:t>
      </w:r>
      <w:r w:rsidR="008A74EB" w:rsidRPr="00463D87">
        <w:rPr>
          <w:rFonts w:hint="cs"/>
          <w:rtl/>
        </w:rPr>
        <w:t xml:space="preserve"> </w:t>
      </w:r>
      <w:r w:rsidR="008A74EB" w:rsidRPr="00C9040A">
        <w:rPr>
          <w:rtl/>
        </w:rPr>
        <w:t xml:space="preserve">: </w:t>
      </w:r>
      <w:r w:rsidR="008A74EB" w:rsidRPr="0003660B">
        <w:rPr>
          <w:rStyle w:val="libAlaemChar"/>
          <w:rtl/>
        </w:rPr>
        <w:t>(</w:t>
      </w:r>
      <w:r w:rsidR="008A74EB" w:rsidRPr="00883DD5">
        <w:rPr>
          <w:rStyle w:val="libFootnoteAieChar"/>
          <w:rFonts w:hint="cs"/>
          <w:rtl/>
        </w:rPr>
        <w:t xml:space="preserve"> </w:t>
      </w:r>
      <w:r w:rsidR="008A74EB" w:rsidRPr="00883DD5">
        <w:rPr>
          <w:rStyle w:val="libFootnoteAieChar"/>
          <w:rtl/>
        </w:rPr>
        <w:t>إِنَّمَا الْخَمْرُ وَالْمَيْسِرُ وَالْأَنْص</w:t>
      </w:r>
      <w:r w:rsidR="00A97E4E">
        <w:rPr>
          <w:rStyle w:val="libFootnoteAieChar"/>
          <w:rFonts w:hint="cs"/>
          <w:rtl/>
        </w:rPr>
        <w:t>َ</w:t>
      </w:r>
      <w:r w:rsidR="008A74EB" w:rsidRPr="00883DD5">
        <w:rPr>
          <w:rStyle w:val="libFootnoteAieChar"/>
          <w:rtl/>
        </w:rPr>
        <w:t>ابُ وَالْأَزْل</w:t>
      </w:r>
      <w:r w:rsidR="00A97E4E">
        <w:rPr>
          <w:rStyle w:val="libFootnoteAieChar"/>
          <w:rFonts w:hint="cs"/>
          <w:rtl/>
        </w:rPr>
        <w:t>َ</w:t>
      </w:r>
      <w:r w:rsidR="008A74EB" w:rsidRPr="00883DD5">
        <w:rPr>
          <w:rStyle w:val="libFootnoteAieChar"/>
          <w:rtl/>
        </w:rPr>
        <w:t>امُ رِجْسٌ مِنْ عَمَلِ الشَّيْط</w:t>
      </w:r>
      <w:r w:rsidR="00A97E4E">
        <w:rPr>
          <w:rStyle w:val="libFootnoteAieChar"/>
          <w:rFonts w:hint="cs"/>
          <w:rtl/>
        </w:rPr>
        <w:t>َ</w:t>
      </w:r>
      <w:r w:rsidR="008A74EB" w:rsidRPr="00883DD5">
        <w:rPr>
          <w:rStyle w:val="libFootnoteAieChar"/>
          <w:rtl/>
        </w:rPr>
        <w:t>انِ فَاجْتَنِبُوهُ</w:t>
      </w:r>
      <w:r w:rsidR="008A74EB" w:rsidRPr="00883DD5">
        <w:rPr>
          <w:rStyle w:val="libFootnoteAieChar"/>
          <w:rFonts w:hint="cs"/>
          <w:rtl/>
        </w:rPr>
        <w:t xml:space="preserve"> </w:t>
      </w:r>
      <w:r w:rsidR="008A74EB" w:rsidRPr="0003660B">
        <w:rPr>
          <w:rStyle w:val="libAlaemChar"/>
          <w:rtl/>
        </w:rPr>
        <w:t>)</w:t>
      </w:r>
      <w:r w:rsidR="008A74EB" w:rsidRPr="00C9040A">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وَتَرْكُ الصَّلَاةِ مُتَعَمِّداً ، أَوْ شَيْئاً مِمَّا فَرَضَ اللهُ ؛ لِأَنَّ رَسُولَ اللهِ </w:t>
      </w:r>
      <w:r w:rsidR="004A4E41" w:rsidRPr="004A4E41">
        <w:rPr>
          <w:rStyle w:val="libAlaemChar"/>
          <w:rtl/>
        </w:rPr>
        <w:t>صلى‌الله‌عليه‌وآله</w:t>
      </w:r>
      <w:r w:rsidRPr="00C9040A">
        <w:rPr>
          <w:rtl/>
          <w:lang w:bidi="fa-IR"/>
        </w:rPr>
        <w:t xml:space="preserve"> قَالَ : مَنْ تَرَكَ الصَّلَاةَ مُتَعَمِّداً ، فَقَدْ بَرِئَ مِنْ ذِمَّةِ اللهِ وَذِمَّةِ رَسُولِ اللهِ </w:t>
      </w:r>
      <w:r w:rsidR="006C577F" w:rsidRPr="006C577F">
        <w:rPr>
          <w:rStyle w:val="libFootnotenumChar"/>
          <w:rtl/>
        </w:rPr>
        <w:t>(1)</w:t>
      </w:r>
      <w:r w:rsidRPr="00C9040A">
        <w:rPr>
          <w:rtl/>
          <w:lang w:bidi="fa-IR"/>
        </w:rPr>
        <w:t xml:space="preserve"> </w:t>
      </w:r>
      <w:r w:rsidR="004A4E41" w:rsidRPr="004A4E41">
        <w:rPr>
          <w:rStyle w:val="libAlaemChar"/>
          <w:rtl/>
        </w:rPr>
        <w:t>صلى‌الله‌عليه‌وآله</w:t>
      </w:r>
      <w:r w:rsidRPr="00C9040A">
        <w:rPr>
          <w:rtl/>
          <w:lang w:bidi="fa-IR"/>
        </w:rPr>
        <w:t>.</w:t>
      </w:r>
    </w:p>
    <w:p w:rsidR="008A74EB" w:rsidRPr="00C9040A" w:rsidRDefault="008A74EB" w:rsidP="008A74EB">
      <w:pPr>
        <w:pStyle w:val="libNormal"/>
        <w:rPr>
          <w:rtl/>
          <w:lang w:bidi="fa-IR"/>
        </w:rPr>
      </w:pPr>
      <w:r w:rsidRPr="00C9040A">
        <w:rPr>
          <w:rtl/>
          <w:lang w:bidi="fa-IR"/>
        </w:rPr>
        <w:t>وَنَقْضُ الْعَهْدِ وَقَطِيعَةُ الرَّحِمِ ؛ لِأَنَّ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يَقُولُ : </w:t>
      </w:r>
      <w:r w:rsidRPr="0003660B">
        <w:rPr>
          <w:rStyle w:val="libAlaemChar"/>
          <w:rtl/>
        </w:rPr>
        <w:t>(</w:t>
      </w:r>
      <w:r w:rsidRPr="006A2246">
        <w:rPr>
          <w:rStyle w:val="libAieChar"/>
          <w:rtl/>
        </w:rPr>
        <w:t xml:space="preserve"> أُولئِكَ لَهُمُ اللَّعْنَةُ وَلَهُمْ سُوءُ الدّارِ </w:t>
      </w:r>
      <w:r w:rsidRPr="0003660B">
        <w:rPr>
          <w:rStyle w:val="libAlaemChar"/>
          <w:rtl/>
        </w:rPr>
        <w:t>)</w:t>
      </w:r>
      <w:r w:rsidRPr="00465A0E">
        <w:rPr>
          <w:rtl/>
        </w:rPr>
        <w:t xml:space="preserve"> »</w:t>
      </w:r>
      <w:r w:rsidRPr="00C9040A">
        <w:rPr>
          <w:rtl/>
          <w:lang w:bidi="fa-IR"/>
        </w:rPr>
        <w:t xml:space="preserve"> </w:t>
      </w:r>
      <w:r w:rsidR="006C577F" w:rsidRPr="006C577F">
        <w:rPr>
          <w:rStyle w:val="libFootnotenumChar"/>
          <w:rtl/>
        </w:rPr>
        <w:t>(2)</w:t>
      </w:r>
      <w:r>
        <w:rPr>
          <w:rtl/>
          <w:lang w:bidi="fa-IR"/>
        </w:rPr>
        <w:t>.</w:t>
      </w:r>
    </w:p>
    <w:p w:rsidR="008A74EB" w:rsidRPr="00C9040A" w:rsidRDefault="008A74EB" w:rsidP="008A74EB">
      <w:pPr>
        <w:pStyle w:val="libNormal"/>
        <w:rPr>
          <w:rtl/>
          <w:lang w:bidi="fa-IR"/>
        </w:rPr>
      </w:pPr>
      <w:r w:rsidRPr="00C9040A">
        <w:rPr>
          <w:rtl/>
          <w:lang w:bidi="fa-IR"/>
        </w:rPr>
        <w:t>قَالَ : « فَخَرَجَ عَمْرٌو</w:t>
      </w:r>
      <w:r>
        <w:rPr>
          <w:rtl/>
          <w:lang w:bidi="fa-IR"/>
        </w:rPr>
        <w:t xml:space="preserve"> </w:t>
      </w:r>
      <w:r w:rsidR="0084262C">
        <w:rPr>
          <w:rtl/>
          <w:lang w:bidi="fa-IR"/>
        </w:rPr>
        <w:t>-</w:t>
      </w:r>
      <w:r>
        <w:rPr>
          <w:rtl/>
          <w:lang w:bidi="fa-IR"/>
        </w:rPr>
        <w:t xml:space="preserve"> </w:t>
      </w:r>
      <w:r w:rsidRPr="00C9040A">
        <w:rPr>
          <w:rtl/>
          <w:lang w:bidi="fa-IR"/>
        </w:rPr>
        <w:t xml:space="preserve">وَلَهُ </w:t>
      </w:r>
      <w:r w:rsidR="006C577F" w:rsidRPr="006C577F">
        <w:rPr>
          <w:rStyle w:val="libFootnotenumChar"/>
          <w:rtl/>
        </w:rPr>
        <w:t>(3)</w:t>
      </w:r>
      <w:r w:rsidRPr="00C9040A">
        <w:rPr>
          <w:rtl/>
          <w:lang w:bidi="fa-IR"/>
        </w:rPr>
        <w:t xml:space="preserve"> صُرَاخٌ مِنْ بُكَائِهِ</w:t>
      </w:r>
      <w:r>
        <w:rPr>
          <w:rtl/>
          <w:lang w:bidi="fa-IR"/>
        </w:rPr>
        <w:t xml:space="preserve"> </w:t>
      </w:r>
      <w:r w:rsidR="0084262C">
        <w:rPr>
          <w:rtl/>
          <w:lang w:bidi="fa-IR"/>
        </w:rPr>
        <w:t>-</w:t>
      </w:r>
      <w:r>
        <w:rPr>
          <w:rtl/>
          <w:lang w:bidi="fa-IR"/>
        </w:rPr>
        <w:t xml:space="preserve"> </w:t>
      </w:r>
      <w:r w:rsidRPr="00C9040A">
        <w:rPr>
          <w:rtl/>
          <w:lang w:bidi="fa-IR"/>
        </w:rPr>
        <w:t xml:space="preserve">وَهُوَ </w:t>
      </w:r>
      <w:r w:rsidR="006C577F" w:rsidRPr="006C577F">
        <w:rPr>
          <w:rStyle w:val="libFootnotenumChar"/>
          <w:rtl/>
        </w:rPr>
        <w:t>(4)</w:t>
      </w:r>
      <w:r w:rsidRPr="00C9040A">
        <w:rPr>
          <w:rtl/>
          <w:lang w:bidi="fa-IR"/>
        </w:rPr>
        <w:t xml:space="preserve"> يَقُولُ : هَلَكَ مَنْ قَالَ بِرَأْيِهِ ، وَنَازَعَكُمْ فِي الْفَضْلِ وَالْعِلْمِ »</w:t>
      </w:r>
      <w:r>
        <w:rPr>
          <w:rtl/>
          <w:lang w:bidi="fa-IR"/>
        </w:rPr>
        <w:t>.</w:t>
      </w:r>
      <w:r w:rsidRPr="00C9040A">
        <w:rPr>
          <w:rtl/>
          <w:lang w:bidi="fa-IR"/>
        </w:rPr>
        <w:t xml:space="preserve"> </w:t>
      </w:r>
      <w:r w:rsidR="006C577F" w:rsidRPr="006C577F">
        <w:rPr>
          <w:rStyle w:val="libFootnotenumChar"/>
          <w:rtl/>
        </w:rPr>
        <w:t>(5)</w:t>
      </w:r>
    </w:p>
    <w:p w:rsidR="008A74EB" w:rsidRPr="00C9040A" w:rsidRDefault="008A74EB" w:rsidP="008A74EB">
      <w:pPr>
        <w:pStyle w:val="Heading2Center"/>
        <w:rPr>
          <w:rtl/>
          <w:lang w:bidi="fa-IR"/>
        </w:rPr>
      </w:pPr>
      <w:bookmarkStart w:id="349" w:name="_Toc343795704"/>
      <w:bookmarkStart w:id="350" w:name="_Toc459810828"/>
      <w:bookmarkStart w:id="351" w:name="_Toc35348734"/>
      <w:r w:rsidRPr="00C9040A">
        <w:rPr>
          <w:rtl/>
          <w:lang w:bidi="fa-IR"/>
        </w:rPr>
        <w:t>113</w:t>
      </w:r>
      <w:r>
        <w:rPr>
          <w:rtl/>
          <w:lang w:bidi="fa-IR"/>
        </w:rPr>
        <w:t xml:space="preserve"> </w:t>
      </w:r>
      <w:r w:rsidR="0084262C">
        <w:rPr>
          <w:rtl/>
          <w:lang w:bidi="fa-IR"/>
        </w:rPr>
        <w:t>-</w:t>
      </w:r>
      <w:r>
        <w:rPr>
          <w:rtl/>
          <w:lang w:bidi="fa-IR"/>
        </w:rPr>
        <w:t xml:space="preserve"> </w:t>
      </w:r>
      <w:r w:rsidRPr="00C9040A">
        <w:rPr>
          <w:rtl/>
          <w:lang w:bidi="fa-IR"/>
        </w:rPr>
        <w:t>بَابُ اسْتِصْغَارِ الذَّنْبِ‌</w:t>
      </w:r>
      <w:bookmarkEnd w:id="349"/>
      <w:bookmarkEnd w:id="350"/>
      <w:bookmarkEnd w:id="351"/>
    </w:p>
    <w:p w:rsidR="00A97E4E" w:rsidRDefault="008A74EB" w:rsidP="00A97E4E">
      <w:pPr>
        <w:pStyle w:val="libNormal"/>
        <w:rPr>
          <w:rtl/>
          <w:lang w:bidi="fa-IR"/>
        </w:rPr>
      </w:pPr>
      <w:r w:rsidRPr="00465A0E">
        <w:rPr>
          <w:rtl/>
        </w:rPr>
        <w:t>2467</w:t>
      </w:r>
      <w:r w:rsidRPr="00261CB0">
        <w:rPr>
          <w:rStyle w:val="libBold2Char"/>
          <w:rtl/>
        </w:rPr>
        <w:t xml:space="preserve"> / 1.</w:t>
      </w:r>
      <w:r w:rsidRPr="00C9040A">
        <w:rPr>
          <w:rtl/>
          <w:lang w:bidi="fa-IR"/>
        </w:rPr>
        <w:t xml:space="preserve"> عَلِيُّ بْنُ إِبْرَاهِيمَ ، عَنْ أَبِيهِ ؛</w:t>
      </w:r>
    </w:p>
    <w:p w:rsidR="008A74EB" w:rsidRPr="00C9040A" w:rsidRDefault="008A74EB" w:rsidP="00A97E4E">
      <w:pPr>
        <w:pStyle w:val="libNormal"/>
        <w:rPr>
          <w:rtl/>
          <w:lang w:bidi="fa-IR"/>
        </w:rPr>
      </w:pPr>
      <w:r w:rsidRPr="00C9040A">
        <w:rPr>
          <w:rtl/>
          <w:lang w:bidi="fa-IR"/>
        </w:rPr>
        <w:t>وَمُحَمَّدُ بْنُ إِسْمَاعِيلَ ، عَنِ الْفَضْلِ بْنِ شَاذَانَ جَمِيعاً ، عَنِ ابْنِ أَبِي عُمَيْرٍ ، عَنْ إِبْرَاهِيمَ بْنِ عَبْدِ الْحَمِيدِ ، عَنْ أَبِي أُسَامَةَ زَيْدٍ الشَّحَّامِ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اتَّقُوا الْمُحَقَّرَاتِ مِنَ الذُّنُوبِ ؛ فَإِنَّهَا لَاتُغْفَرُ »</w:t>
      </w:r>
      <w:r>
        <w:rPr>
          <w:rtl/>
          <w:lang w:bidi="fa-IR"/>
        </w:rPr>
        <w:t>.</w:t>
      </w:r>
      <w:r w:rsidRPr="00C9040A">
        <w:rPr>
          <w:rtl/>
          <w:lang w:bidi="fa-IR"/>
        </w:rPr>
        <w:t xml:space="preserve"> قُلْتُ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د ، ص ، </w:t>
      </w:r>
      <w:r w:rsidR="006D3162">
        <w:rPr>
          <w:rtl/>
        </w:rPr>
        <w:t xml:space="preserve">ه </w:t>
      </w:r>
      <w:r w:rsidR="008A74EB" w:rsidRPr="00C9040A">
        <w:rPr>
          <w:rtl/>
        </w:rPr>
        <w:t>، بس ، بف » والوافي ومرآة العقول والوسائل : « رسوله »</w:t>
      </w:r>
      <w:r w:rsidR="008A74EB">
        <w:rPr>
          <w:rtl/>
        </w:rPr>
        <w:t>.</w:t>
      </w:r>
    </w:p>
    <w:tbl>
      <w:tblPr>
        <w:tblStyle w:val="TableGrid"/>
        <w:bidiVisual/>
        <w:tblW w:w="0" w:type="auto"/>
        <w:tblLook w:val="04A0" w:firstRow="1" w:lastRow="0" w:firstColumn="1" w:lastColumn="0" w:noHBand="0" w:noVBand="1"/>
      </w:tblPr>
      <w:tblGrid>
        <w:gridCol w:w="4006"/>
        <w:gridCol w:w="4006"/>
      </w:tblGrid>
      <w:tr w:rsidR="00A97E4E" w:rsidTr="00A97E4E">
        <w:tc>
          <w:tcPr>
            <w:tcW w:w="4006" w:type="dxa"/>
          </w:tcPr>
          <w:p w:rsidR="00A97E4E" w:rsidRDefault="00A97E4E" w:rsidP="004A4E41">
            <w:pPr>
              <w:pStyle w:val="libFootnote0"/>
              <w:rPr>
                <w:rtl/>
              </w:rPr>
            </w:pPr>
            <w:r>
              <w:rPr>
                <w:rtl/>
              </w:rPr>
              <w:t>(2).</w:t>
            </w:r>
            <w:r w:rsidRPr="00C9040A">
              <w:rPr>
                <w:rtl/>
              </w:rPr>
              <w:t xml:space="preserve"> الرعد (13) : 25.</w:t>
            </w:r>
          </w:p>
        </w:tc>
        <w:tc>
          <w:tcPr>
            <w:tcW w:w="4006" w:type="dxa"/>
          </w:tcPr>
          <w:p w:rsidR="00A97E4E" w:rsidRDefault="00A97E4E" w:rsidP="004A4E41">
            <w:pPr>
              <w:pStyle w:val="libFootnote0"/>
              <w:rPr>
                <w:rtl/>
              </w:rPr>
            </w:pPr>
            <w:r>
              <w:rPr>
                <w:rtl/>
              </w:rPr>
              <w:t>(3).</w:t>
            </w:r>
            <w:r w:rsidRPr="00C9040A">
              <w:rPr>
                <w:rtl/>
              </w:rPr>
              <w:t xml:space="preserve"> في « ب » : « له » بدون الواو.</w:t>
            </w:r>
          </w:p>
        </w:tc>
      </w:tr>
    </w:tbl>
    <w:p w:rsidR="008A74EB" w:rsidRPr="00C9040A" w:rsidRDefault="006C577F" w:rsidP="004A4E41">
      <w:pPr>
        <w:pStyle w:val="libFootnote0"/>
        <w:rPr>
          <w:rtl/>
          <w:lang w:bidi="fa-IR"/>
        </w:rPr>
      </w:pPr>
      <w:r>
        <w:rPr>
          <w:rtl/>
        </w:rPr>
        <w:t>(4).</w:t>
      </w:r>
      <w:r w:rsidR="008A74EB" w:rsidRPr="00C9040A">
        <w:rPr>
          <w:rtl/>
        </w:rPr>
        <w:t xml:space="preserve"> في « بس » </w:t>
      </w:r>
      <w:r w:rsidR="008A74EB">
        <w:rPr>
          <w:rtl/>
        </w:rPr>
        <w:t xml:space="preserve">: </w:t>
      </w:r>
      <w:r w:rsidR="0084262C">
        <w:rPr>
          <w:rtl/>
        </w:rPr>
        <w:t>-</w:t>
      </w:r>
      <w:r w:rsidR="008A74EB" w:rsidRPr="00C9040A">
        <w:rPr>
          <w:rtl/>
        </w:rPr>
        <w:t xml:space="preserve"> « هو »</w:t>
      </w:r>
      <w:r w:rsidR="008A74EB">
        <w:rPr>
          <w:rtl/>
        </w:rPr>
        <w:t>.</w:t>
      </w:r>
    </w:p>
    <w:p w:rsidR="008A74EB" w:rsidRPr="00C9040A" w:rsidRDefault="006C577F" w:rsidP="00A97E4E">
      <w:pPr>
        <w:pStyle w:val="libFootnote0"/>
        <w:rPr>
          <w:rtl/>
          <w:lang w:bidi="fa-IR"/>
        </w:rPr>
      </w:pPr>
      <w:r>
        <w:rPr>
          <w:rtl/>
        </w:rPr>
        <w:t>(5).</w:t>
      </w:r>
      <w:r w:rsidR="008A74EB">
        <w:rPr>
          <w:rtl/>
        </w:rPr>
        <w:t xml:space="preserve"> </w:t>
      </w:r>
      <w:r w:rsidR="008A74EB" w:rsidRPr="00993B55">
        <w:rPr>
          <w:rStyle w:val="libFootnoteBoldChar"/>
          <w:rtl/>
        </w:rPr>
        <w:t>الفقيه</w:t>
      </w:r>
      <w:r w:rsidR="008A74EB" w:rsidRPr="00C9040A">
        <w:rPr>
          <w:rtl/>
        </w:rPr>
        <w:t xml:space="preserve"> ، ج 3 ، ص 563 ، ح 4932 ، معلّقاً عن عبدالعظيم الحسني. </w:t>
      </w:r>
      <w:r w:rsidR="008A74EB" w:rsidRPr="00993B55">
        <w:rPr>
          <w:rStyle w:val="libFootnoteBoldChar"/>
          <w:rtl/>
        </w:rPr>
        <w:t>عيون الأخبار</w:t>
      </w:r>
      <w:r w:rsidR="008A74EB" w:rsidRPr="00C9040A">
        <w:rPr>
          <w:rtl/>
        </w:rPr>
        <w:t xml:space="preserve"> ، ج 1 ، ص 285 ، ح 33 ؛ </w:t>
      </w:r>
      <w:r w:rsidR="008A74EB" w:rsidRPr="00993B55">
        <w:rPr>
          <w:rStyle w:val="libFootnoteBoldChar"/>
          <w:rtl/>
        </w:rPr>
        <w:t>علل الشرائع</w:t>
      </w:r>
      <w:r w:rsidR="008A74EB" w:rsidRPr="00C9040A">
        <w:rPr>
          <w:rtl/>
        </w:rPr>
        <w:t xml:space="preserve"> ، ص 391 ، ح 1 ؛ </w:t>
      </w:r>
      <w:r w:rsidR="008A74EB" w:rsidRPr="00993B55">
        <w:rPr>
          <w:rStyle w:val="libFootnoteBoldChar"/>
          <w:rtl/>
        </w:rPr>
        <w:t>وفيه</w:t>
      </w:r>
      <w:r w:rsidR="008A74EB" w:rsidRPr="00C9040A">
        <w:rPr>
          <w:rtl/>
        </w:rPr>
        <w:t xml:space="preserve"> ، ص 478 ، ح 2 ، من قوله : « قتل النفس التي » إلى قوله : </w:t>
      </w:r>
      <w:r w:rsidR="008A74EB" w:rsidRPr="00A97E4E">
        <w:rPr>
          <w:rStyle w:val="libFootnoteAlaemChar"/>
          <w:rtl/>
        </w:rPr>
        <w:t>(</w:t>
      </w:r>
      <w:r w:rsidR="008A74EB" w:rsidRPr="00883DD5">
        <w:rPr>
          <w:rStyle w:val="libFootnoteAieChar"/>
          <w:rFonts w:hint="cs"/>
          <w:rtl/>
        </w:rPr>
        <w:t xml:space="preserve"> </w:t>
      </w:r>
      <w:r w:rsidR="008A74EB" w:rsidRPr="00883DD5">
        <w:rPr>
          <w:rStyle w:val="libFootnoteAieChar"/>
          <w:rtl/>
        </w:rPr>
        <w:t>فَجَزاؤُهُ جَهَنَّمُ خالِداً فِيه</w:t>
      </w:r>
      <w:r w:rsidR="00A97E4E">
        <w:rPr>
          <w:rStyle w:val="libFootnoteAieChar"/>
          <w:rFonts w:hint="cs"/>
          <w:rtl/>
        </w:rPr>
        <w:t>َ</w:t>
      </w:r>
      <w:r w:rsidR="008A74EB" w:rsidRPr="00883DD5">
        <w:rPr>
          <w:rStyle w:val="libFootnoteAieChar"/>
          <w:rtl/>
        </w:rPr>
        <w:t>ا</w:t>
      </w:r>
      <w:r w:rsidR="008A74EB" w:rsidRPr="00883DD5">
        <w:rPr>
          <w:rStyle w:val="libFootnoteAieChar"/>
          <w:rFonts w:hint="cs"/>
          <w:rtl/>
        </w:rPr>
        <w:t xml:space="preserve"> </w:t>
      </w:r>
      <w:r w:rsidR="008A74EB" w:rsidRPr="00A97E4E">
        <w:rPr>
          <w:rStyle w:val="libFootnoteAlaemChar"/>
          <w:rtl/>
        </w:rPr>
        <w:t>)</w:t>
      </w:r>
      <w:r w:rsidR="008A74EB" w:rsidRPr="00C9040A">
        <w:rPr>
          <w:rtl/>
        </w:rPr>
        <w:t xml:space="preserve"> ؛ </w:t>
      </w:r>
      <w:r w:rsidR="008A74EB" w:rsidRPr="00993B55">
        <w:rPr>
          <w:rStyle w:val="libFootnoteBoldChar"/>
          <w:rtl/>
        </w:rPr>
        <w:t>وفيه</w:t>
      </w:r>
      <w:r w:rsidR="008A74EB" w:rsidRPr="00C9040A">
        <w:rPr>
          <w:rtl/>
        </w:rPr>
        <w:t xml:space="preserve"> ، ص 479 ، ح 2 ، من قوله : « عقوق الوالدين » إلى قوله</w:t>
      </w:r>
      <w:r w:rsidR="008A74EB">
        <w:rPr>
          <w:rFonts w:hint="cs"/>
          <w:rtl/>
        </w:rPr>
        <w:t xml:space="preserve"> </w:t>
      </w:r>
      <w:r w:rsidR="008A74EB" w:rsidRPr="00A97E4E">
        <w:rPr>
          <w:rStyle w:val="libFootnoteAlaemChar"/>
          <w:rtl/>
        </w:rPr>
        <w:t>(</w:t>
      </w:r>
      <w:r w:rsidR="008A74EB" w:rsidRPr="00883DD5">
        <w:rPr>
          <w:rStyle w:val="libFootnoteAieChar"/>
          <w:rFonts w:hint="cs"/>
          <w:rtl/>
        </w:rPr>
        <w:t xml:space="preserve"> </w:t>
      </w:r>
      <w:r w:rsidR="00A97E4E">
        <w:rPr>
          <w:rStyle w:val="libFootnoteAieChar"/>
          <w:rtl/>
        </w:rPr>
        <w:t>جَبّاراً شَقِيّ</w:t>
      </w:r>
      <w:r w:rsidR="008A74EB" w:rsidRPr="00883DD5">
        <w:rPr>
          <w:rStyle w:val="libFootnoteAieChar"/>
          <w:rtl/>
        </w:rPr>
        <w:t>ا</w:t>
      </w:r>
      <w:r w:rsidR="00A97E4E">
        <w:rPr>
          <w:rStyle w:val="libFootnoteAieChar"/>
          <w:rFonts w:hint="cs"/>
          <w:rtl/>
        </w:rPr>
        <w:t>ً</w:t>
      </w:r>
      <w:r w:rsidR="008A74EB" w:rsidRPr="00883DD5">
        <w:rPr>
          <w:rStyle w:val="libFootnoteAieChar"/>
          <w:rFonts w:hint="cs"/>
          <w:rtl/>
        </w:rPr>
        <w:t xml:space="preserve"> </w:t>
      </w:r>
      <w:r w:rsidR="008A74EB" w:rsidRPr="00A97E4E">
        <w:rPr>
          <w:rStyle w:val="libFootnoteAlaemChar"/>
          <w:rtl/>
        </w:rPr>
        <w:t>)</w:t>
      </w:r>
      <w:r w:rsidR="008A74EB" w:rsidRPr="00C9040A">
        <w:rPr>
          <w:rtl/>
        </w:rPr>
        <w:t xml:space="preserve"> ؛ </w:t>
      </w:r>
      <w:r w:rsidR="008A74EB" w:rsidRPr="00993B55">
        <w:rPr>
          <w:rStyle w:val="libFootnoteBoldChar"/>
          <w:rtl/>
        </w:rPr>
        <w:t>وفيه</w:t>
      </w:r>
      <w:r w:rsidR="008A74EB" w:rsidRPr="00C9040A">
        <w:rPr>
          <w:rtl/>
        </w:rPr>
        <w:t xml:space="preserve"> ، ص 480 ، ح 2 ، من قوله : « قذف المحصنة » إلى قوله : </w:t>
      </w:r>
      <w:r w:rsidR="008A74EB" w:rsidRPr="00A97E4E">
        <w:rPr>
          <w:rStyle w:val="libFootnoteAlaemChar"/>
          <w:rtl/>
        </w:rPr>
        <w:t>(</w:t>
      </w:r>
      <w:r w:rsidR="008A74EB" w:rsidRPr="00883DD5">
        <w:rPr>
          <w:rStyle w:val="libFootnoteAieChar"/>
          <w:rFonts w:hint="cs"/>
          <w:rtl/>
        </w:rPr>
        <w:t xml:space="preserve"> </w:t>
      </w:r>
      <w:r w:rsidR="008A74EB" w:rsidRPr="00883DD5">
        <w:rPr>
          <w:rStyle w:val="libFootnoteAieChar"/>
          <w:rtl/>
        </w:rPr>
        <w:t>وَلَهُمْ عَذ</w:t>
      </w:r>
      <w:r w:rsidR="00A97E4E">
        <w:rPr>
          <w:rStyle w:val="libFootnoteAieChar"/>
          <w:rFonts w:hint="cs"/>
          <w:rtl/>
        </w:rPr>
        <w:t>َ</w:t>
      </w:r>
      <w:r w:rsidR="008A74EB" w:rsidRPr="00883DD5">
        <w:rPr>
          <w:rStyle w:val="libFootnoteAieChar"/>
          <w:rtl/>
        </w:rPr>
        <w:t>ابٌ عَظِيمٌ</w:t>
      </w:r>
      <w:r w:rsidR="008A74EB" w:rsidRPr="00883DD5">
        <w:rPr>
          <w:rStyle w:val="libFootnoteAieChar"/>
          <w:rFonts w:hint="cs"/>
          <w:rtl/>
        </w:rPr>
        <w:t xml:space="preserve"> </w:t>
      </w:r>
      <w:r w:rsidR="008A74EB" w:rsidRPr="00A97E4E">
        <w:rPr>
          <w:rStyle w:val="libFootnoteAlaemChar"/>
          <w:rtl/>
        </w:rPr>
        <w:t>)</w:t>
      </w:r>
      <w:r w:rsidR="00A97E4E">
        <w:rPr>
          <w:rtl/>
        </w:rPr>
        <w:t xml:space="preserve"> ، وفي كلّها ( إل</w:t>
      </w:r>
      <w:r w:rsidR="00A97E4E">
        <w:rPr>
          <w:rFonts w:hint="cs"/>
          <w:rtl/>
        </w:rPr>
        <w:t>ّ</w:t>
      </w:r>
      <w:r w:rsidR="00A97E4E">
        <w:rPr>
          <w:rtl/>
        </w:rPr>
        <w:t>ا</w:t>
      </w:r>
      <w:r w:rsidR="008A74EB" w:rsidRPr="00C9040A">
        <w:rPr>
          <w:rtl/>
        </w:rPr>
        <w:t xml:space="preserve"> </w:t>
      </w:r>
      <w:r w:rsidR="008A74EB" w:rsidRPr="00993B55">
        <w:rPr>
          <w:rStyle w:val="libFootnoteBoldChar"/>
          <w:rtl/>
        </w:rPr>
        <w:t>الفقيه</w:t>
      </w:r>
      <w:r w:rsidR="008A74EB" w:rsidRPr="00C9040A">
        <w:rPr>
          <w:rtl/>
        </w:rPr>
        <w:t xml:space="preserve"> ) بسند آخر عن أحمد بن أبي عبدالله ، عن عبدالعظيم الحسني. وفي </w:t>
      </w:r>
      <w:r w:rsidR="008A74EB" w:rsidRPr="00993B55">
        <w:rPr>
          <w:rStyle w:val="libFootnoteBoldChar"/>
          <w:rtl/>
        </w:rPr>
        <w:t>الفقيه</w:t>
      </w:r>
      <w:r w:rsidR="008A74EB" w:rsidRPr="00C9040A">
        <w:rPr>
          <w:rtl/>
        </w:rPr>
        <w:t xml:space="preserve"> ، ص 571 ، ضمن ح 4955 ؛ و</w:t>
      </w:r>
      <w:r w:rsidR="008A74EB" w:rsidRPr="00993B55">
        <w:rPr>
          <w:rStyle w:val="libFootnoteBoldChar"/>
          <w:rtl/>
        </w:rPr>
        <w:t>ثواب الأعمال</w:t>
      </w:r>
      <w:r w:rsidR="008A74EB" w:rsidRPr="00C9040A">
        <w:rPr>
          <w:rtl/>
        </w:rPr>
        <w:t xml:space="preserve"> ، ص 292 ، ضمن ح 15 ، بسند آخر عن محمّد بن عليّ </w:t>
      </w:r>
      <w:r w:rsidR="00117575" w:rsidRPr="00117575">
        <w:rPr>
          <w:rStyle w:val="libFootnoteAlaemChar"/>
          <w:rtl/>
        </w:rPr>
        <w:t>عليهما‌السلام</w:t>
      </w:r>
      <w:r w:rsidR="008A74EB" w:rsidRPr="00C9040A">
        <w:rPr>
          <w:rtl/>
        </w:rPr>
        <w:t xml:space="preserve"> ، هكذا : « ما أكبر الكبائر</w:t>
      </w:r>
      <w:r w:rsidR="008A74EB">
        <w:rPr>
          <w:rtl/>
        </w:rPr>
        <w:t>؟</w:t>
      </w:r>
      <w:r w:rsidR="008A74EB" w:rsidRPr="00C9040A">
        <w:rPr>
          <w:rtl/>
        </w:rPr>
        <w:t xml:space="preserve"> قال : شرب الخمر »</w:t>
      </w:r>
      <w:r w:rsidR="008A74EB">
        <w:rPr>
          <w:rtl/>
        </w:rPr>
        <w:t>.</w:t>
      </w:r>
      <w:r w:rsidR="008A74EB" w:rsidRPr="00C9040A">
        <w:rPr>
          <w:rtl/>
        </w:rPr>
        <w:t xml:space="preserve"> </w:t>
      </w:r>
      <w:r w:rsidR="008A74EB" w:rsidRPr="00993B55">
        <w:rPr>
          <w:rStyle w:val="libFootnoteBoldChar"/>
          <w:rtl/>
        </w:rPr>
        <w:t>الكافى</w:t>
      </w:r>
      <w:r w:rsidR="008A74EB" w:rsidRPr="00C9040A">
        <w:rPr>
          <w:rtl/>
        </w:rPr>
        <w:t xml:space="preserve"> ، كتاب الإيمان والكفر ، باب الكبائر ، ح 2446 ، مرسلاً ، وتمام الرواية فيه : « وقد روي أنّ أكبر الكبائر الشرك بالله »</w:t>
      </w:r>
      <w:r w:rsidR="008A74EB">
        <w:rPr>
          <w:rtl/>
        </w:rPr>
        <w:t>.</w:t>
      </w:r>
      <w:r w:rsidR="008A74EB" w:rsidRPr="00C9040A">
        <w:rPr>
          <w:rtl/>
        </w:rPr>
        <w:t xml:space="preserve"> </w:t>
      </w:r>
      <w:r w:rsidR="008A74EB" w:rsidRPr="00993B55">
        <w:rPr>
          <w:rStyle w:val="libFootnoteBoldChar"/>
          <w:rtl/>
        </w:rPr>
        <w:t>فقه الرضا</w:t>
      </w:r>
      <w:r w:rsidR="008A74EB" w:rsidRPr="00C9040A">
        <w:rPr>
          <w:rtl/>
        </w:rPr>
        <w:t xml:space="preserve"> </w:t>
      </w:r>
      <w:r w:rsidR="00117575" w:rsidRPr="00117575">
        <w:rPr>
          <w:rStyle w:val="libFootnoteAlaemChar"/>
          <w:rtl/>
        </w:rPr>
        <w:t>عليه‌السلام</w:t>
      </w:r>
      <w:r w:rsidR="008A74EB" w:rsidRPr="00C9040A">
        <w:rPr>
          <w:rtl/>
        </w:rPr>
        <w:t xml:space="preserve"> ، ص 332 ، من قوله : « وأكل مال اليتيم » إلى قوله : </w:t>
      </w:r>
      <w:r w:rsidR="008A74EB" w:rsidRPr="00A97E4E">
        <w:rPr>
          <w:rStyle w:val="libFootnoteAlaemChar"/>
          <w:rtl/>
        </w:rPr>
        <w:t>(</w:t>
      </w:r>
      <w:r w:rsidR="008A74EB" w:rsidRPr="00883DD5">
        <w:rPr>
          <w:rStyle w:val="libFootnoteAieChar"/>
          <w:rFonts w:hint="cs"/>
          <w:rtl/>
        </w:rPr>
        <w:t xml:space="preserve"> </w:t>
      </w:r>
      <w:r w:rsidR="008A74EB" w:rsidRPr="00883DD5">
        <w:rPr>
          <w:rStyle w:val="libFootnoteAieChar"/>
          <w:rtl/>
        </w:rPr>
        <w:t>وَسَيَصْلَوْنَ سَعِيراً</w:t>
      </w:r>
      <w:r w:rsidR="008A74EB" w:rsidRPr="00883DD5">
        <w:rPr>
          <w:rStyle w:val="libFootnoteAieChar"/>
          <w:rFonts w:hint="cs"/>
          <w:rtl/>
        </w:rPr>
        <w:t xml:space="preserve"> </w:t>
      </w:r>
      <w:r w:rsidR="008A74EB" w:rsidRPr="00A97E4E">
        <w:rPr>
          <w:rStyle w:val="libFootnoteAlaemChar"/>
          <w:rtl/>
        </w:rPr>
        <w:t>)</w:t>
      </w:r>
      <w:r w:rsidR="008A74EB" w:rsidRPr="00C9040A">
        <w:rPr>
          <w:rtl/>
        </w:rPr>
        <w:t xml:space="preserve"> ، وفي كلّ المصادر مع اختلاف يسير</w:t>
      </w:r>
      <w:r w:rsidR="00A97E4E">
        <w:rPr>
          <w:rFonts w:hint="cs"/>
          <w:rtl/>
        </w:rPr>
        <w:t>.</w:t>
      </w:r>
      <w:r w:rsidR="008A74EB" w:rsidRPr="00993B55">
        <w:rPr>
          <w:rStyle w:val="libFootnoteBoldChar"/>
          <w:rtl/>
        </w:rPr>
        <w:t>الوافي</w:t>
      </w:r>
      <w:r w:rsidR="008A74EB" w:rsidRPr="00C9040A">
        <w:rPr>
          <w:rtl/>
        </w:rPr>
        <w:t xml:space="preserve"> ، ج 5 ، ص 1052 ، ح 3576 ؛ </w:t>
      </w:r>
      <w:r w:rsidR="008A74EB" w:rsidRPr="00993B55">
        <w:rPr>
          <w:rStyle w:val="libFootnoteBoldChar"/>
          <w:rtl/>
        </w:rPr>
        <w:t>الوسائل</w:t>
      </w:r>
      <w:r w:rsidR="008A74EB" w:rsidRPr="00C9040A">
        <w:rPr>
          <w:rtl/>
        </w:rPr>
        <w:t xml:space="preserve"> ، ج 15 ، ص 318 ، ح 20629.</w:t>
      </w:r>
    </w:p>
    <w:p w:rsidR="004B7F34" w:rsidRDefault="004B7F34" w:rsidP="004B7F34">
      <w:pPr>
        <w:pStyle w:val="libNormal"/>
        <w:rPr>
          <w:rtl/>
          <w:lang w:bidi="fa-IR"/>
        </w:rPr>
      </w:pPr>
      <w:r>
        <w:rPr>
          <w:rtl/>
          <w:lang w:bidi="fa-IR"/>
        </w:rPr>
        <w:br w:type="page"/>
      </w:r>
    </w:p>
    <w:p w:rsidR="008A74EB" w:rsidRPr="00C9040A" w:rsidRDefault="008A74EB" w:rsidP="00A97E4E">
      <w:pPr>
        <w:pStyle w:val="libNormal0"/>
        <w:rPr>
          <w:rtl/>
          <w:lang w:bidi="fa-IR"/>
        </w:rPr>
      </w:pPr>
      <w:r w:rsidRPr="00C9040A">
        <w:rPr>
          <w:rtl/>
          <w:lang w:bidi="fa-IR"/>
        </w:rPr>
        <w:t>وَمَا الْمُحَقَّرَاتُ</w:t>
      </w:r>
      <w:r>
        <w:rPr>
          <w:rtl/>
          <w:lang w:bidi="fa-IR"/>
        </w:rPr>
        <w:t>؟</w:t>
      </w:r>
      <w:r w:rsidRPr="00C9040A">
        <w:rPr>
          <w:rtl/>
          <w:lang w:bidi="fa-IR"/>
        </w:rPr>
        <w:t xml:space="preserve"> قَالَ : « الرَّجُلُ يُذْنِبُ الذَّنْبَ </w:t>
      </w:r>
      <w:r w:rsidR="006C577F" w:rsidRPr="006C577F">
        <w:rPr>
          <w:rStyle w:val="libFootnotenumChar"/>
          <w:rtl/>
        </w:rPr>
        <w:t>(1)</w:t>
      </w:r>
      <w:r w:rsidRPr="00C9040A">
        <w:rPr>
          <w:rtl/>
          <w:lang w:bidi="fa-IR"/>
        </w:rPr>
        <w:t xml:space="preserve"> ، فَيَقُولُ : طُوبى لِي لَوْ </w:t>
      </w:r>
      <w:r w:rsidR="006C577F" w:rsidRPr="006C577F">
        <w:rPr>
          <w:rStyle w:val="libFootnotenumChar"/>
          <w:rtl/>
        </w:rPr>
        <w:t>(2)</w:t>
      </w:r>
      <w:r w:rsidRPr="00C9040A">
        <w:rPr>
          <w:rtl/>
          <w:lang w:bidi="fa-IR"/>
        </w:rPr>
        <w:t xml:space="preserve"> لَمْ يَكُنْ لِي </w:t>
      </w:r>
      <w:r w:rsidR="006C577F" w:rsidRPr="006C577F">
        <w:rPr>
          <w:rStyle w:val="libFootnotenumChar"/>
          <w:rtl/>
        </w:rPr>
        <w:t>(3)</w:t>
      </w:r>
      <w:r w:rsidRPr="00C9040A">
        <w:rPr>
          <w:rtl/>
          <w:lang w:bidi="fa-IR"/>
        </w:rPr>
        <w:t xml:space="preserve"> غَيْرُ ذلِكَ »</w:t>
      </w:r>
      <w:r>
        <w:rPr>
          <w:rtl/>
          <w:lang w:bidi="fa-IR"/>
        </w:rPr>
        <w:t>.</w:t>
      </w:r>
      <w:r w:rsidRPr="00C9040A">
        <w:rPr>
          <w:rtl/>
          <w:lang w:bidi="fa-IR"/>
        </w:rPr>
        <w:t xml:space="preserve"> </w:t>
      </w:r>
      <w:r w:rsidR="006C577F" w:rsidRPr="006C577F">
        <w:rPr>
          <w:rStyle w:val="libFootnotenumChar"/>
          <w:rtl/>
        </w:rPr>
        <w:t>(4)</w:t>
      </w:r>
    </w:p>
    <w:p w:rsidR="008A74EB" w:rsidRPr="00C9040A" w:rsidRDefault="008A74EB" w:rsidP="008A74EB">
      <w:pPr>
        <w:pStyle w:val="libNormal"/>
        <w:rPr>
          <w:rtl/>
          <w:lang w:bidi="fa-IR"/>
        </w:rPr>
      </w:pPr>
      <w:r w:rsidRPr="004673FC">
        <w:rPr>
          <w:rtl/>
        </w:rPr>
        <w:t>2468</w:t>
      </w:r>
      <w:r w:rsidRPr="00261CB0">
        <w:rPr>
          <w:rStyle w:val="libBold2Char"/>
          <w:rtl/>
        </w:rPr>
        <w:t xml:space="preserve"> / 2.</w:t>
      </w:r>
      <w:r w:rsidRPr="00C9040A">
        <w:rPr>
          <w:rtl/>
          <w:lang w:bidi="fa-IR"/>
        </w:rPr>
        <w:t xml:space="preserve"> عِدَّةٌ مِنْ أَصْحَابِنَا ، عَنْ أَحْمَدَ بْنِ مُحَمَّدٍ </w:t>
      </w:r>
      <w:r w:rsidR="006C577F" w:rsidRPr="006C577F">
        <w:rPr>
          <w:rStyle w:val="libFootnotenumChar"/>
          <w:rtl/>
        </w:rPr>
        <w:t>(5)</w:t>
      </w:r>
      <w:r w:rsidRPr="00C9040A">
        <w:rPr>
          <w:rtl/>
          <w:lang w:bidi="fa-IR"/>
        </w:rPr>
        <w:t xml:space="preserve"> ، عَنْ عُثْمَانَ بْنِ عِيسى ، عَنْ سَمَاعَةَ ، قَالَ :</w:t>
      </w:r>
    </w:p>
    <w:p w:rsidR="008A74EB" w:rsidRPr="00C9040A" w:rsidRDefault="008A74EB" w:rsidP="00176640">
      <w:pPr>
        <w:pStyle w:val="libNormal"/>
        <w:rPr>
          <w:rtl/>
          <w:lang w:bidi="fa-IR"/>
        </w:rPr>
      </w:pPr>
      <w:r w:rsidRPr="00C9040A">
        <w:rPr>
          <w:rtl/>
          <w:lang w:bidi="fa-IR"/>
        </w:rPr>
        <w:t xml:space="preserve">سَمِعْتُ أَبَا الْحَسَنِ </w:t>
      </w:r>
      <w:r w:rsidRPr="0003660B">
        <w:rPr>
          <w:rStyle w:val="libAlaemChar"/>
          <w:rtl/>
        </w:rPr>
        <w:t>عليه‌السلام</w:t>
      </w:r>
      <w:r w:rsidRPr="00C9040A">
        <w:rPr>
          <w:rtl/>
          <w:lang w:bidi="fa-IR"/>
        </w:rPr>
        <w:t xml:space="preserve"> يَقُولُ : « لَا تَسْتَكْثِرُوا كَثِيرَ الْخَيْرِ ، وَلَاتَسْتَقِلُّوا قَلِيلَ الذُّنُوبِ </w:t>
      </w:r>
      <w:r w:rsidR="006C577F" w:rsidRPr="006C577F">
        <w:rPr>
          <w:rStyle w:val="libFootnotenumChar"/>
          <w:rtl/>
        </w:rPr>
        <w:t>(6)</w:t>
      </w:r>
      <w:r w:rsidRPr="005B567D">
        <w:rPr>
          <w:rStyle w:val="libFootnotenumChar"/>
          <w:rtl/>
        </w:rPr>
        <w:t xml:space="preserve"> </w:t>
      </w:r>
      <w:r w:rsidRPr="00C9040A">
        <w:rPr>
          <w:rtl/>
          <w:lang w:bidi="fa-IR"/>
        </w:rPr>
        <w:t xml:space="preserve">؛ فَإِنَّ قَلِيلَ الذُّنُوبِ يَجْتَمِعُ حَتّى يَكُونَ </w:t>
      </w:r>
      <w:r w:rsidR="006C577F" w:rsidRPr="006C577F">
        <w:rPr>
          <w:rStyle w:val="libFootnotenumChar"/>
          <w:rtl/>
        </w:rPr>
        <w:t>(7)</w:t>
      </w:r>
      <w:r w:rsidRPr="00C9040A">
        <w:rPr>
          <w:rtl/>
          <w:lang w:bidi="fa-IR"/>
        </w:rPr>
        <w:t xml:space="preserve"> كَثِيراً ، وَخَافُوا اللهَ </w:t>
      </w:r>
      <w:r w:rsidR="006C577F" w:rsidRPr="006C577F">
        <w:rPr>
          <w:rStyle w:val="libFootnotenumChar"/>
          <w:rtl/>
        </w:rPr>
        <w:t>(8)</w:t>
      </w:r>
      <w:r w:rsidRPr="00C9040A">
        <w:rPr>
          <w:rtl/>
          <w:lang w:bidi="fa-IR"/>
        </w:rPr>
        <w:t xml:space="preserve"> فِي السِّرِّ </w:t>
      </w:r>
      <w:r w:rsidR="006C577F" w:rsidRPr="006C577F">
        <w:rPr>
          <w:rStyle w:val="libFootnotenumChar"/>
          <w:rtl/>
        </w:rPr>
        <w:t>(9)</w:t>
      </w:r>
      <w:r w:rsidRPr="00C9040A">
        <w:rPr>
          <w:rtl/>
          <w:lang w:bidi="fa-IR"/>
        </w:rPr>
        <w:t xml:space="preserve"> حَتّى تُعْطُوا مِنْ أَنْفُسِكُمُ النَّصَفَ »</w:t>
      </w:r>
      <w:r>
        <w:rPr>
          <w:rtl/>
          <w:lang w:bidi="fa-IR"/>
        </w:rPr>
        <w:t>.</w:t>
      </w:r>
      <w:r w:rsidRPr="00C9040A">
        <w:rPr>
          <w:rtl/>
          <w:lang w:bidi="fa-IR"/>
        </w:rPr>
        <w:t xml:space="preserve"> </w:t>
      </w:r>
      <w:r w:rsidR="006C577F" w:rsidRPr="006C577F">
        <w:rPr>
          <w:rStyle w:val="libFootnotenumChar"/>
          <w:rtl/>
        </w:rPr>
        <w:t>(10)</w:t>
      </w:r>
      <w:r w:rsidRPr="00C9040A">
        <w:rPr>
          <w:rtl/>
          <w:lang w:bidi="fa-IR"/>
        </w:rPr>
        <w:t>‌</w:t>
      </w:r>
    </w:p>
    <w:p w:rsidR="008A74EB" w:rsidRPr="00C9040A" w:rsidRDefault="008A74EB" w:rsidP="008A74EB">
      <w:pPr>
        <w:pStyle w:val="libNormal"/>
        <w:rPr>
          <w:rtl/>
          <w:lang w:bidi="fa-IR"/>
        </w:rPr>
      </w:pPr>
      <w:r w:rsidRPr="004673FC">
        <w:rPr>
          <w:rtl/>
        </w:rPr>
        <w:t>2469</w:t>
      </w:r>
      <w:r w:rsidRPr="00261CB0">
        <w:rPr>
          <w:rStyle w:val="libBold2Char"/>
          <w:rtl/>
        </w:rPr>
        <w:t xml:space="preserve"> / 3.</w:t>
      </w:r>
      <w:r w:rsidRPr="00C9040A">
        <w:rPr>
          <w:rtl/>
          <w:lang w:bidi="fa-IR"/>
        </w:rPr>
        <w:t xml:space="preserve"> أَبُو عَلِيٍّ الْأَشْعَرِيُّ ، عَنْ مُحَمَّدِ بْنِ عَبْدِ الْجَبَّارِ ، عَنِ ابْنِ فَضَّالٍ وَالْحَجَّالِ جَمِيعاً ، عَنْ ثَعْلَبَةَ </w:t>
      </w:r>
      <w:r w:rsidR="006C577F" w:rsidRPr="006C577F">
        <w:rPr>
          <w:rStyle w:val="libFootnotenumChar"/>
          <w:rtl/>
        </w:rPr>
        <w:t>(11)</w:t>
      </w:r>
      <w:r w:rsidRPr="00C9040A">
        <w:rPr>
          <w:rtl/>
          <w:lang w:bidi="fa-IR"/>
        </w:rPr>
        <w:t xml:space="preserve"> ، عَنْ زِيَادٍ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إِنَّ رَسُولَ اللهِ </w:t>
      </w:r>
      <w:r w:rsidR="004A4E41" w:rsidRPr="004A4E41">
        <w:rPr>
          <w:rStyle w:val="libAlaemChar"/>
          <w:rtl/>
        </w:rPr>
        <w:t>صلى‌الله‌عليه‌وآله</w:t>
      </w:r>
      <w:r w:rsidRPr="00C9040A">
        <w:rPr>
          <w:rtl/>
          <w:lang w:bidi="fa-IR"/>
        </w:rPr>
        <w:t xml:space="preserve"> نَزَلَ بِأَرْضٍ قَرْعَاءَ </w:t>
      </w:r>
      <w:r w:rsidR="006C577F" w:rsidRPr="006C577F">
        <w:rPr>
          <w:rStyle w:val="libFootnotenumChar"/>
          <w:rtl/>
        </w:rPr>
        <w:t>(12)</w:t>
      </w:r>
      <w:r w:rsidRPr="00C9040A">
        <w:rPr>
          <w:rtl/>
          <w:lang w:bidi="fa-IR"/>
        </w:rPr>
        <w:t xml:space="preserve"> ، فَقَالَ لِأَصْحَابِهِ : ائْتُوا</w:t>
      </w:r>
      <w:r w:rsidRPr="005B567D">
        <w:rPr>
          <w:rStyle w:val="libFootnotenumChar"/>
          <w:rtl/>
        </w:rPr>
        <w:t>(13)</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905288" w:rsidTr="00905288">
        <w:tc>
          <w:tcPr>
            <w:tcW w:w="4006" w:type="dxa"/>
          </w:tcPr>
          <w:p w:rsidR="00905288" w:rsidRDefault="00905288" w:rsidP="004A4E41">
            <w:pPr>
              <w:pStyle w:val="libFootnote0"/>
              <w:rPr>
                <w:rtl/>
              </w:rPr>
            </w:pPr>
            <w:r>
              <w:rPr>
                <w:rtl/>
              </w:rPr>
              <w:t xml:space="preserve">(1). </w:t>
            </w:r>
            <w:r w:rsidRPr="00C9040A">
              <w:rPr>
                <w:rtl/>
              </w:rPr>
              <w:t xml:space="preserve">في « </w:t>
            </w:r>
            <w:r>
              <w:rPr>
                <w:rtl/>
              </w:rPr>
              <w:t xml:space="preserve">ه </w:t>
            </w:r>
            <w:r w:rsidRPr="00C9040A">
              <w:rPr>
                <w:rtl/>
              </w:rPr>
              <w:t xml:space="preserve">» </w:t>
            </w:r>
            <w:r>
              <w:rPr>
                <w:rtl/>
              </w:rPr>
              <w:t>: -</w:t>
            </w:r>
            <w:r w:rsidRPr="00C9040A">
              <w:rPr>
                <w:rtl/>
              </w:rPr>
              <w:t xml:space="preserve"> « الذنب »</w:t>
            </w:r>
            <w:r>
              <w:rPr>
                <w:rtl/>
              </w:rPr>
              <w:t>.</w:t>
            </w:r>
          </w:p>
        </w:tc>
        <w:tc>
          <w:tcPr>
            <w:tcW w:w="4006" w:type="dxa"/>
          </w:tcPr>
          <w:p w:rsidR="00905288" w:rsidRDefault="00905288" w:rsidP="004A4E41">
            <w:pPr>
              <w:pStyle w:val="libFootnote0"/>
              <w:rPr>
                <w:rtl/>
              </w:rPr>
            </w:pPr>
            <w:r>
              <w:rPr>
                <w:rtl/>
              </w:rPr>
              <w:t xml:space="preserve">(2). </w:t>
            </w:r>
            <w:r w:rsidRPr="00C9040A">
              <w:rPr>
                <w:rtl/>
              </w:rPr>
              <w:t>في الوسائل : « إن » بدل « لو »</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في « بس » </w:t>
      </w:r>
      <w:r w:rsidR="008A74EB">
        <w:rPr>
          <w:rtl/>
        </w:rPr>
        <w:t xml:space="preserve">: </w:t>
      </w:r>
      <w:r w:rsidR="0084262C">
        <w:rPr>
          <w:rtl/>
        </w:rPr>
        <w:t>-</w:t>
      </w:r>
      <w:r w:rsidR="008A74EB" w:rsidRPr="00C9040A">
        <w:rPr>
          <w:rtl/>
        </w:rPr>
        <w:t xml:space="preserve"> « لي »</w:t>
      </w:r>
      <w:r w:rsidR="008A74EB">
        <w:rPr>
          <w:rtl/>
        </w:rPr>
        <w:t>.</w:t>
      </w:r>
    </w:p>
    <w:p w:rsidR="008A74EB" w:rsidRPr="00C9040A" w:rsidRDefault="006C577F" w:rsidP="00905288">
      <w:pPr>
        <w:pStyle w:val="libFootnote0"/>
        <w:rPr>
          <w:rtl/>
          <w:lang w:bidi="fa-IR"/>
        </w:rPr>
      </w:pPr>
      <w:r>
        <w:rPr>
          <w:rtl/>
        </w:rPr>
        <w:t>(4).</w:t>
      </w:r>
      <w:r w:rsidR="008A74EB" w:rsidRPr="00C9040A">
        <w:rPr>
          <w:rtl/>
        </w:rPr>
        <w:t xml:space="preserve"> </w:t>
      </w:r>
      <w:r w:rsidR="008A74EB" w:rsidRPr="00993B55">
        <w:rPr>
          <w:rStyle w:val="libFootnoteBoldChar"/>
          <w:rtl/>
        </w:rPr>
        <w:t>تحف العقول</w:t>
      </w:r>
      <w:r w:rsidR="008A74EB" w:rsidRPr="00C9040A">
        <w:rPr>
          <w:rtl/>
        </w:rPr>
        <w:t xml:space="preserve"> ، ص 5 ، عن النبيّ </w:t>
      </w:r>
      <w:r w:rsidR="004A4E41" w:rsidRPr="00905288">
        <w:rPr>
          <w:rStyle w:val="libFootnoteAlaemChar"/>
          <w:rtl/>
        </w:rPr>
        <w:t>صلى‌الله‌عليه‌وآله</w:t>
      </w:r>
      <w:r w:rsidR="008A74EB" w:rsidRPr="00C9040A">
        <w:rPr>
          <w:rtl/>
        </w:rPr>
        <w:t xml:space="preserve"> ، وتمام الرواية : « اتّقوا المحقّرات من الذنوب ، وهي قول العبد : ليت لايكون لي غير هذا الذنب »</w:t>
      </w:r>
      <w:r w:rsidR="00905288">
        <w:rPr>
          <w:rFonts w:hint="cs"/>
          <w:rtl/>
        </w:rPr>
        <w:t>.</w:t>
      </w:r>
      <w:r w:rsidR="008A74EB" w:rsidRPr="00993B55">
        <w:rPr>
          <w:rStyle w:val="libFootnoteBoldChar"/>
          <w:rtl/>
        </w:rPr>
        <w:t>الوافي</w:t>
      </w:r>
      <w:r w:rsidR="008A74EB" w:rsidRPr="00C9040A">
        <w:rPr>
          <w:rtl/>
        </w:rPr>
        <w:t xml:space="preserve"> ، ج 5 ، ص 1009 ، ح 3493 ؛ </w:t>
      </w:r>
      <w:r w:rsidR="008A74EB" w:rsidRPr="00993B55">
        <w:rPr>
          <w:rStyle w:val="libFootnoteBoldChar"/>
          <w:rtl/>
        </w:rPr>
        <w:t>الوسائل</w:t>
      </w:r>
      <w:r w:rsidR="008A74EB" w:rsidRPr="00C9040A">
        <w:rPr>
          <w:rtl/>
        </w:rPr>
        <w:t xml:space="preserve"> ، ج 15 ، ص 310 ، ح 20603 ؛ </w:t>
      </w:r>
      <w:r w:rsidR="008A74EB" w:rsidRPr="00993B55">
        <w:rPr>
          <w:rStyle w:val="libFootnoteBoldChar"/>
          <w:rtl/>
        </w:rPr>
        <w:t>البحار</w:t>
      </w:r>
      <w:r w:rsidR="008A74EB" w:rsidRPr="00C9040A">
        <w:rPr>
          <w:rtl/>
        </w:rPr>
        <w:t xml:space="preserve"> ، ج 73 ، ص 345 ، ح 29.</w:t>
      </w:r>
    </w:p>
    <w:p w:rsidR="008A74EB" w:rsidRPr="00C9040A" w:rsidRDefault="006C577F" w:rsidP="004A4E41">
      <w:pPr>
        <w:pStyle w:val="libFootnote0"/>
        <w:rPr>
          <w:rtl/>
          <w:lang w:bidi="fa-IR"/>
        </w:rPr>
      </w:pPr>
      <w:r>
        <w:rPr>
          <w:rtl/>
        </w:rPr>
        <w:t>(5).</w:t>
      </w:r>
      <w:r w:rsidR="008A74EB" w:rsidRPr="00C9040A">
        <w:rPr>
          <w:rtl/>
        </w:rPr>
        <w:t xml:space="preserve"> في الكافي ، ح 3037 : « أحمد بن محمّد بن خالد »</w:t>
      </w:r>
      <w:r w:rsidR="008A74EB">
        <w:rPr>
          <w:rtl/>
        </w:rPr>
        <w:t>.</w:t>
      </w:r>
      <w:r w:rsidR="008A74EB" w:rsidRPr="00C9040A">
        <w:rPr>
          <w:rtl/>
        </w:rPr>
        <w:t xml:space="preserve"> وفي </w:t>
      </w:r>
      <w:r w:rsidR="008A74EB" w:rsidRPr="00993B55">
        <w:rPr>
          <w:rStyle w:val="libFootnoteBoldChar"/>
          <w:rtl/>
        </w:rPr>
        <w:t>الوسائل</w:t>
      </w:r>
      <w:r w:rsidR="008A74EB" w:rsidRPr="00C9040A">
        <w:rPr>
          <w:rtl/>
        </w:rPr>
        <w:t xml:space="preserve"> ، ح 20604 : « أحمد بن محمّد بن عيسى »</w:t>
      </w:r>
      <w:r w:rsidR="008A74EB">
        <w:rPr>
          <w:rtl/>
        </w:rPr>
        <w:t>.</w:t>
      </w:r>
    </w:p>
    <w:tbl>
      <w:tblPr>
        <w:tblStyle w:val="TableGrid"/>
        <w:bidiVisual/>
        <w:tblW w:w="0" w:type="auto"/>
        <w:tblLook w:val="04A0" w:firstRow="1" w:lastRow="0" w:firstColumn="1" w:lastColumn="0" w:noHBand="0" w:noVBand="1"/>
      </w:tblPr>
      <w:tblGrid>
        <w:gridCol w:w="4006"/>
        <w:gridCol w:w="4006"/>
      </w:tblGrid>
      <w:tr w:rsidR="00905288" w:rsidTr="00905288">
        <w:tc>
          <w:tcPr>
            <w:tcW w:w="4006" w:type="dxa"/>
          </w:tcPr>
          <w:p w:rsidR="00905288" w:rsidRDefault="00905288" w:rsidP="004A4E41">
            <w:pPr>
              <w:pStyle w:val="libFootnote0"/>
              <w:rPr>
                <w:rtl/>
              </w:rPr>
            </w:pPr>
            <w:r>
              <w:rPr>
                <w:rtl/>
              </w:rPr>
              <w:t xml:space="preserve">(6). </w:t>
            </w:r>
            <w:r w:rsidRPr="00C9040A">
              <w:rPr>
                <w:rtl/>
              </w:rPr>
              <w:t>في « بس » : « الذنب »</w:t>
            </w:r>
            <w:r>
              <w:rPr>
                <w:rtl/>
              </w:rPr>
              <w:t>.</w:t>
            </w:r>
          </w:p>
        </w:tc>
        <w:tc>
          <w:tcPr>
            <w:tcW w:w="4006" w:type="dxa"/>
          </w:tcPr>
          <w:p w:rsidR="00905288" w:rsidRDefault="00905288" w:rsidP="004A4E41">
            <w:pPr>
              <w:pStyle w:val="libFootnote0"/>
              <w:rPr>
                <w:rtl/>
              </w:rPr>
            </w:pPr>
            <w:r>
              <w:rPr>
                <w:rtl/>
              </w:rPr>
              <w:t>(7). في «ه»والكافي،ح 3037 والزهد:«حتّى يصير</w:t>
            </w:r>
            <w:r w:rsidRPr="00C9040A">
              <w:rPr>
                <w:rtl/>
              </w:rPr>
              <w:t>»</w:t>
            </w:r>
            <w:r>
              <w:rPr>
                <w:rtl/>
              </w:rPr>
              <w:t>.</w:t>
            </w:r>
          </w:p>
        </w:tc>
      </w:tr>
      <w:tr w:rsidR="00905288" w:rsidTr="00905288">
        <w:tc>
          <w:tcPr>
            <w:tcW w:w="4006" w:type="dxa"/>
          </w:tcPr>
          <w:p w:rsidR="00905288" w:rsidRDefault="00905288" w:rsidP="004A4E41">
            <w:pPr>
              <w:pStyle w:val="libFootnote0"/>
              <w:rPr>
                <w:rtl/>
              </w:rPr>
            </w:pPr>
            <w:r>
              <w:rPr>
                <w:rtl/>
              </w:rPr>
              <w:t>(8).</w:t>
            </w:r>
            <w:r w:rsidRPr="00C9040A">
              <w:rPr>
                <w:rtl/>
              </w:rPr>
              <w:t xml:space="preserve"> في « ز » </w:t>
            </w:r>
            <w:r>
              <w:rPr>
                <w:rtl/>
              </w:rPr>
              <w:t>: -</w:t>
            </w:r>
            <w:r w:rsidRPr="00C9040A">
              <w:rPr>
                <w:rtl/>
              </w:rPr>
              <w:t xml:space="preserve"> « الله »</w:t>
            </w:r>
            <w:r>
              <w:rPr>
                <w:rtl/>
              </w:rPr>
              <w:t>.</w:t>
            </w:r>
          </w:p>
        </w:tc>
        <w:tc>
          <w:tcPr>
            <w:tcW w:w="4006" w:type="dxa"/>
          </w:tcPr>
          <w:p w:rsidR="00905288" w:rsidRDefault="00905288" w:rsidP="004A4E41">
            <w:pPr>
              <w:pStyle w:val="libFootnote0"/>
              <w:rPr>
                <w:rtl/>
              </w:rPr>
            </w:pPr>
            <w:r>
              <w:rPr>
                <w:rtl/>
              </w:rPr>
              <w:t>(9).</w:t>
            </w:r>
            <w:r w:rsidRPr="00C9040A">
              <w:rPr>
                <w:rtl/>
              </w:rPr>
              <w:t xml:space="preserve"> في الزهد : + « والعلانية »</w:t>
            </w:r>
            <w:r>
              <w:rPr>
                <w:rtl/>
              </w:rPr>
              <w:t>.</w:t>
            </w:r>
          </w:p>
        </w:tc>
      </w:tr>
    </w:tbl>
    <w:p w:rsidR="008A74EB" w:rsidRPr="00C9040A" w:rsidRDefault="006C577F" w:rsidP="00851522">
      <w:pPr>
        <w:pStyle w:val="libFootnote0"/>
        <w:rPr>
          <w:rtl/>
          <w:lang w:bidi="fa-IR"/>
        </w:rPr>
      </w:pPr>
      <w:r>
        <w:rPr>
          <w:rtl/>
        </w:rPr>
        <w:t>(10).</w:t>
      </w:r>
      <w:r w:rsidR="008A74EB" w:rsidRPr="00C9040A">
        <w:rPr>
          <w:rtl/>
        </w:rPr>
        <w:t xml:space="preserve"> </w:t>
      </w:r>
      <w:r w:rsidR="008A74EB" w:rsidRPr="00993B55">
        <w:rPr>
          <w:rStyle w:val="libFootnoteBoldChar"/>
          <w:rtl/>
        </w:rPr>
        <w:t>الكافي</w:t>
      </w:r>
      <w:r w:rsidR="008A74EB" w:rsidRPr="00C9040A">
        <w:rPr>
          <w:rtl/>
        </w:rPr>
        <w:t xml:space="preserve"> ، كتاب الإيمان والكفر ، باب محاسبة العمل ، ح 3037. وفي </w:t>
      </w:r>
      <w:r w:rsidR="008A74EB" w:rsidRPr="00993B55">
        <w:rPr>
          <w:rStyle w:val="libFootnoteBoldChar"/>
          <w:rtl/>
        </w:rPr>
        <w:t>الزهد</w:t>
      </w:r>
      <w:r w:rsidR="008A74EB" w:rsidRPr="00C9040A">
        <w:rPr>
          <w:rtl/>
        </w:rPr>
        <w:t xml:space="preserve"> ، ص 77 ، ح 33 ، عن عثمان بن عيسى. </w:t>
      </w:r>
      <w:r w:rsidR="008A74EB" w:rsidRPr="0034021D">
        <w:rPr>
          <w:rStyle w:val="libFootnoteBoldChar"/>
          <w:rtl/>
        </w:rPr>
        <w:t>الأمالي للمفيد</w:t>
      </w:r>
      <w:r w:rsidR="008A74EB" w:rsidRPr="00C9040A">
        <w:rPr>
          <w:rtl/>
        </w:rPr>
        <w:t xml:space="preserve"> ، ص 157 ، المجلس 19 ، ح 8 ، بسنده عن عثمان بن عيسى ، عن سماعة ، عن أبي الحسن موسى بن جعفر </w:t>
      </w:r>
      <w:r w:rsidR="00117575" w:rsidRPr="00117575">
        <w:rPr>
          <w:rStyle w:val="libFootnoteAlaemChar"/>
          <w:rtl/>
        </w:rPr>
        <w:t>عليه‌السلام</w:t>
      </w:r>
      <w:r w:rsidR="008A74EB" w:rsidRPr="00C9040A">
        <w:rPr>
          <w:rtl/>
        </w:rPr>
        <w:t xml:space="preserve"> ، وفي كلّها مع زيادة في آخره</w:t>
      </w:r>
      <w:r w:rsidR="00851522">
        <w:rPr>
          <w:rFonts w:hint="cs"/>
          <w:rtl/>
        </w:rPr>
        <w:t>.</w:t>
      </w:r>
      <w:r w:rsidR="008A74EB" w:rsidRPr="00993B55">
        <w:rPr>
          <w:rStyle w:val="libFootnoteBoldChar"/>
          <w:rtl/>
        </w:rPr>
        <w:t>الوافي</w:t>
      </w:r>
      <w:r w:rsidR="008A74EB" w:rsidRPr="00C9040A">
        <w:rPr>
          <w:rtl/>
        </w:rPr>
        <w:t xml:space="preserve"> ، ج 5 ، ص 1009 ، ح 3492 ؛ </w:t>
      </w:r>
      <w:r w:rsidR="008A74EB" w:rsidRPr="00993B55">
        <w:rPr>
          <w:rStyle w:val="libFootnoteBoldChar"/>
          <w:rtl/>
        </w:rPr>
        <w:t>الوسائل</w:t>
      </w:r>
      <w:r w:rsidR="008A74EB" w:rsidRPr="00C9040A">
        <w:rPr>
          <w:rtl/>
        </w:rPr>
        <w:t xml:space="preserve"> ، ج 1 ، ص 96 ، ح 229 ، إلى قوله : « ولا تستقلّوا قليل الذنوب » ؛ وج 15 ، ص 310 ، ح 20604 ؛ </w:t>
      </w:r>
      <w:r w:rsidR="008A74EB" w:rsidRPr="00993B55">
        <w:rPr>
          <w:rStyle w:val="libFootnoteBoldChar"/>
          <w:rtl/>
        </w:rPr>
        <w:t>البحار</w:t>
      </w:r>
      <w:r w:rsidR="008A74EB" w:rsidRPr="00C9040A">
        <w:rPr>
          <w:rtl/>
        </w:rPr>
        <w:t xml:space="preserve"> ، ج 73 ، ص 346 ، ح 30.</w:t>
      </w:r>
    </w:p>
    <w:p w:rsidR="008A74EB" w:rsidRPr="00C9040A" w:rsidRDefault="006C577F" w:rsidP="004A4E41">
      <w:pPr>
        <w:pStyle w:val="libFootnote0"/>
        <w:rPr>
          <w:rtl/>
          <w:lang w:bidi="fa-IR"/>
        </w:rPr>
      </w:pPr>
      <w:r>
        <w:rPr>
          <w:rtl/>
        </w:rPr>
        <w:t>(11).</w:t>
      </w:r>
      <w:r w:rsidR="008A74EB" w:rsidRPr="00C9040A">
        <w:rPr>
          <w:rtl/>
        </w:rPr>
        <w:t xml:space="preserve"> في « بف » : + « بن ميمون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أصبحت الأرضُ قرعاء : رعي نباتها ، أي لانبات فيها. راجع : </w:t>
      </w:r>
      <w:r w:rsidR="008A74EB" w:rsidRPr="00993B55">
        <w:rPr>
          <w:rStyle w:val="libFootnoteBoldChar"/>
          <w:rtl/>
        </w:rPr>
        <w:t>أساس البلاغة</w:t>
      </w:r>
      <w:r w:rsidR="008A74EB" w:rsidRPr="00C9040A">
        <w:rPr>
          <w:rtl/>
        </w:rPr>
        <w:t xml:space="preserve"> ، ص 503 ( قرع )</w:t>
      </w:r>
      <w:r w:rsidR="008A74EB">
        <w:rPr>
          <w:rtl/>
        </w:rPr>
        <w:t>.</w:t>
      </w:r>
    </w:p>
    <w:p w:rsidR="008A74EB" w:rsidRPr="00C9040A" w:rsidRDefault="008A74EB" w:rsidP="004A4E41">
      <w:pPr>
        <w:pStyle w:val="libFootnote0"/>
        <w:rPr>
          <w:rtl/>
          <w:lang w:bidi="fa-IR"/>
        </w:rPr>
      </w:pPr>
      <w:r>
        <w:rPr>
          <w:rtl/>
        </w:rPr>
        <w:t>(13)</w:t>
      </w:r>
      <w:r w:rsidRPr="00C9040A">
        <w:rPr>
          <w:rtl/>
        </w:rPr>
        <w:t xml:space="preserve"> في « ج » والوافي والبحار ، ج 73 : « ائتونا »</w:t>
      </w:r>
      <w:r>
        <w:rPr>
          <w:rtl/>
        </w:rPr>
        <w:t>.</w:t>
      </w:r>
      <w:r w:rsidRPr="00C9040A">
        <w:rPr>
          <w:rtl/>
        </w:rPr>
        <w:t xml:space="preserve"> وفي « د ، </w:t>
      </w:r>
      <w:r w:rsidR="006D3162">
        <w:rPr>
          <w:rtl/>
        </w:rPr>
        <w:t xml:space="preserve">ه </w:t>
      </w:r>
      <w:r w:rsidRPr="00C9040A">
        <w:rPr>
          <w:rtl/>
        </w:rPr>
        <w:t>» : « ايتونا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بِحَطَبٍ ، فَقَالُوا : يَا رَسُولَ اللهِ ، نَحْنُ بِأَرْضٍ قَرْعَاءَ ، مَا بِهَا مِنْ حَطَبٍ ، قَالَ </w:t>
      </w:r>
      <w:r w:rsidR="006C577F" w:rsidRPr="006C577F">
        <w:rPr>
          <w:rStyle w:val="libFootnotenumChar"/>
          <w:rtl/>
        </w:rPr>
        <w:t>(1)</w:t>
      </w:r>
      <w:r w:rsidRPr="00C9040A">
        <w:rPr>
          <w:rtl/>
          <w:lang w:bidi="fa-IR"/>
        </w:rPr>
        <w:t xml:space="preserve"> : فَلْيَأْتِ كُلُّ إِنْسَانٍ بِمَا قَدَرَ </w:t>
      </w:r>
      <w:r w:rsidR="006C577F" w:rsidRPr="006C577F">
        <w:rPr>
          <w:rStyle w:val="libFootnotenumChar"/>
          <w:rtl/>
        </w:rPr>
        <w:t>(2)</w:t>
      </w:r>
      <w:r w:rsidRPr="00C9040A">
        <w:rPr>
          <w:rtl/>
          <w:lang w:bidi="fa-IR"/>
        </w:rPr>
        <w:t xml:space="preserve"> عَلَيْهِ ، فَجَاؤُوا بِهِ حَتّى رَمَوْا بَيْنَ يَدَيْهِ بَعْضَهُ عَلى بَعْضٍ ، فَقَالَ رَسُولُ اللهِ </w:t>
      </w:r>
      <w:r w:rsidR="004A4E41" w:rsidRPr="004A4E41">
        <w:rPr>
          <w:rStyle w:val="libAlaemChar"/>
          <w:rtl/>
        </w:rPr>
        <w:t>صلى‌الله‌عليه‌وآله</w:t>
      </w:r>
      <w:r w:rsidRPr="00C9040A">
        <w:rPr>
          <w:rtl/>
          <w:lang w:bidi="fa-IR"/>
        </w:rPr>
        <w:t xml:space="preserve">: هكَذَا تَجْتَمِعُ </w:t>
      </w:r>
      <w:r w:rsidR="006C577F" w:rsidRPr="006C577F">
        <w:rPr>
          <w:rStyle w:val="libFootnotenumChar"/>
          <w:rtl/>
        </w:rPr>
        <w:t>(3)</w:t>
      </w:r>
      <w:r w:rsidRPr="00C9040A">
        <w:rPr>
          <w:rtl/>
          <w:lang w:bidi="fa-IR"/>
        </w:rPr>
        <w:t xml:space="preserve"> الذُّنُوبُ.</w:t>
      </w:r>
    </w:p>
    <w:p w:rsidR="008A74EB" w:rsidRDefault="008A74EB" w:rsidP="008A74EB">
      <w:pPr>
        <w:pStyle w:val="libNormal"/>
        <w:rPr>
          <w:rtl/>
          <w:lang w:bidi="fa-IR"/>
        </w:rPr>
      </w:pPr>
      <w:r w:rsidRPr="00C9040A">
        <w:rPr>
          <w:rtl/>
          <w:lang w:bidi="fa-IR"/>
        </w:rPr>
        <w:t>ثُمَّ قَالَ : إِيَّاكُمْ وَالْمُحَقَّرَاتِ مِنَ الذُّنُوبِ ؛ فَإِنَّ لِكُلِّ شَيْ‌ءٍ طَالِباً ، أَلَا وَإِنَّ طَالِبَهَا يَكْتُبُ ما قَدَّمُوا وَآثارَهُمْ ،</w:t>
      </w:r>
      <w:r>
        <w:rPr>
          <w:rFonts w:hint="cs"/>
          <w:rtl/>
        </w:rPr>
        <w:t xml:space="preserve"> </w:t>
      </w:r>
      <w:r w:rsidRPr="00851522">
        <w:rPr>
          <w:rtl/>
        </w:rPr>
        <w:t>وَكُلَّ شَيْ‌ءٍ أَحْصَيْناهُ</w:t>
      </w:r>
      <w:r>
        <w:rPr>
          <w:rFonts w:hint="cs"/>
          <w:rtl/>
        </w:rPr>
        <w:t xml:space="preserve"> </w:t>
      </w:r>
      <w:r w:rsidR="006C577F" w:rsidRPr="006C577F">
        <w:rPr>
          <w:rStyle w:val="libFootnotenumChar"/>
          <w:rtl/>
        </w:rPr>
        <w:t>(4)</w:t>
      </w:r>
      <w:r>
        <w:rPr>
          <w:rFonts w:hint="cs"/>
          <w:rtl/>
        </w:rPr>
        <w:t xml:space="preserve"> </w:t>
      </w:r>
      <w:r w:rsidRPr="00851522">
        <w:rPr>
          <w:rtl/>
        </w:rPr>
        <w:t>فِي إِمامٍ مُبِينٍ</w:t>
      </w:r>
      <w:r>
        <w:rPr>
          <w:rFonts w:hint="cs"/>
          <w:rtl/>
        </w:rPr>
        <w:t xml:space="preserve"> </w:t>
      </w:r>
      <w:r w:rsidRPr="00C9040A">
        <w:rPr>
          <w:rtl/>
          <w:lang w:bidi="fa-IR"/>
        </w:rPr>
        <w:t>»</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Heading2Center"/>
        <w:rPr>
          <w:rtl/>
          <w:lang w:bidi="fa-IR"/>
        </w:rPr>
      </w:pPr>
      <w:bookmarkStart w:id="352" w:name="_Toc343795705"/>
      <w:bookmarkStart w:id="353" w:name="_Toc459810829"/>
      <w:bookmarkStart w:id="354" w:name="_Toc35348735"/>
      <w:r w:rsidRPr="00C9040A">
        <w:rPr>
          <w:rtl/>
          <w:lang w:bidi="fa-IR"/>
        </w:rPr>
        <w:t>114</w:t>
      </w:r>
      <w:r>
        <w:rPr>
          <w:rtl/>
          <w:lang w:bidi="fa-IR"/>
        </w:rPr>
        <w:t xml:space="preserve"> </w:t>
      </w:r>
      <w:r w:rsidR="0084262C">
        <w:rPr>
          <w:rtl/>
          <w:lang w:bidi="fa-IR"/>
        </w:rPr>
        <w:t>-</w:t>
      </w:r>
      <w:r>
        <w:rPr>
          <w:rtl/>
          <w:lang w:bidi="fa-IR"/>
        </w:rPr>
        <w:t xml:space="preserve"> </w:t>
      </w:r>
      <w:r w:rsidRPr="00C9040A">
        <w:rPr>
          <w:rtl/>
          <w:lang w:bidi="fa-IR"/>
        </w:rPr>
        <w:t>بَابُ الْإِصْرَارِ عَلَى الذَّنْبِ‌</w:t>
      </w:r>
      <w:bookmarkEnd w:id="352"/>
      <w:bookmarkEnd w:id="353"/>
      <w:bookmarkEnd w:id="354"/>
    </w:p>
    <w:p w:rsidR="008A74EB" w:rsidRPr="00C9040A" w:rsidRDefault="008A74EB" w:rsidP="008A74EB">
      <w:pPr>
        <w:pStyle w:val="libNormal"/>
        <w:rPr>
          <w:rtl/>
          <w:lang w:bidi="fa-IR"/>
        </w:rPr>
      </w:pPr>
      <w:r w:rsidRPr="004673FC">
        <w:rPr>
          <w:rtl/>
        </w:rPr>
        <w:t>2470</w:t>
      </w:r>
      <w:r w:rsidRPr="00261CB0">
        <w:rPr>
          <w:rStyle w:val="libBold2Char"/>
          <w:rtl/>
        </w:rPr>
        <w:t xml:space="preserve"> / 1.</w:t>
      </w:r>
      <w:r w:rsidRPr="00C9040A">
        <w:rPr>
          <w:rtl/>
          <w:lang w:bidi="fa-IR"/>
        </w:rPr>
        <w:t xml:space="preserve"> عِدَّةٌ مِنْ أَصْحَابِنَا ، عَنْ أَحْمَدَ بْنِ مُحَمَّدِ بْنِ خَالِدٍ ، عَنْ عَبْدِ اللهِ بْنِ مُحَمَّدٍ النَّهِيكِيِّ ، عَنْ عَمَّارِ بْنِ مَرْوَانَ الْقَنْدِيِّ </w:t>
      </w:r>
      <w:r w:rsidR="006C577F" w:rsidRPr="006C577F">
        <w:rPr>
          <w:rStyle w:val="libFootnotenumChar"/>
          <w:rtl/>
        </w:rPr>
        <w:t>(6)</w:t>
      </w:r>
      <w:r w:rsidRPr="005B567D">
        <w:rPr>
          <w:rStyle w:val="libFootnotenumChar"/>
          <w:rtl/>
        </w:rPr>
        <w:t xml:space="preserve"> </w:t>
      </w:r>
      <w:r w:rsidRPr="00C9040A">
        <w:rPr>
          <w:rtl/>
          <w:lang w:bidi="fa-IR"/>
        </w:rPr>
        <w:t>،</w:t>
      </w:r>
      <w:r w:rsidR="00114E72">
        <w:rPr>
          <w:rFonts w:hint="cs"/>
          <w:rtl/>
          <w:lang w:bidi="fa-IR"/>
        </w:rPr>
        <w:t>.......................................</w:t>
      </w:r>
      <w:r w:rsidR="00114E72">
        <w:rPr>
          <w:rFonts w:hint="cs"/>
          <w:rtl/>
          <w:lang w:bidi="fa-IR"/>
        </w:rPr>
        <w:tab/>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114E72" w:rsidTr="00114E72">
        <w:tc>
          <w:tcPr>
            <w:tcW w:w="4006" w:type="dxa"/>
          </w:tcPr>
          <w:p w:rsidR="00114E72" w:rsidRDefault="00114E72" w:rsidP="004A4E41">
            <w:pPr>
              <w:pStyle w:val="libFootnote0"/>
              <w:rPr>
                <w:rtl/>
              </w:rPr>
            </w:pPr>
            <w:r>
              <w:rPr>
                <w:rtl/>
              </w:rPr>
              <w:t xml:space="preserve">(1). </w:t>
            </w:r>
            <w:r w:rsidRPr="00C9040A">
              <w:rPr>
                <w:rtl/>
              </w:rPr>
              <w:t>في « ب » والوسائل : « فقال »</w:t>
            </w:r>
            <w:r>
              <w:rPr>
                <w:rtl/>
              </w:rPr>
              <w:t>.</w:t>
            </w:r>
          </w:p>
        </w:tc>
        <w:tc>
          <w:tcPr>
            <w:tcW w:w="4006" w:type="dxa"/>
          </w:tcPr>
          <w:p w:rsidR="00114E72" w:rsidRDefault="00114E72" w:rsidP="004A4E41">
            <w:pPr>
              <w:pStyle w:val="libFootnote0"/>
              <w:rPr>
                <w:rtl/>
              </w:rPr>
            </w:pPr>
            <w:r>
              <w:rPr>
                <w:rtl/>
              </w:rPr>
              <w:t xml:space="preserve">(2). </w:t>
            </w:r>
            <w:r w:rsidRPr="00C9040A">
              <w:rPr>
                <w:rtl/>
              </w:rPr>
              <w:t xml:space="preserve">في « </w:t>
            </w:r>
            <w:r>
              <w:rPr>
                <w:rtl/>
              </w:rPr>
              <w:t xml:space="preserve">ه </w:t>
            </w:r>
            <w:r w:rsidRPr="00C9040A">
              <w:rPr>
                <w:rtl/>
              </w:rPr>
              <w:t>» : « يقدر »</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في « ز ، بر » : « يجتمع »</w:t>
      </w:r>
      <w:r w:rsidR="008A74EB">
        <w:rPr>
          <w:rtl/>
        </w:rPr>
        <w:t>.</w:t>
      </w:r>
    </w:p>
    <w:p w:rsidR="008A74EB" w:rsidRPr="00C9040A" w:rsidRDefault="006C577F" w:rsidP="00114E72">
      <w:pPr>
        <w:pStyle w:val="libFootnote0"/>
        <w:rPr>
          <w:rtl/>
          <w:lang w:bidi="fa-IR"/>
        </w:rPr>
      </w:pPr>
      <w:r>
        <w:rPr>
          <w:rtl/>
        </w:rPr>
        <w:t>(4).</w:t>
      </w:r>
      <w:r w:rsidR="008A74EB" w:rsidRPr="00C9040A">
        <w:rPr>
          <w:rtl/>
        </w:rPr>
        <w:t xml:space="preserve"> في </w:t>
      </w:r>
      <w:r w:rsidR="008A74EB" w:rsidRPr="00993B55">
        <w:rPr>
          <w:rStyle w:val="libFootnoteBoldChar"/>
          <w:rtl/>
        </w:rPr>
        <w:t>مرآة العقول</w:t>
      </w:r>
      <w:r w:rsidR="008A74EB" w:rsidRPr="00C9040A">
        <w:rPr>
          <w:rtl/>
        </w:rPr>
        <w:t xml:space="preserve"> ، ج 10 ، ص 70 : « وأمّا قوله : أحصيناه ، فيحتمل أن يكون في الأصل : أحصاه ، فصحّف النسّاخ موافقاً للآية ، أي على سبيل الحكاية وقرأ بعض الأفاضل : نكتب ، بالنون موافقاً للآية خبراً</w:t>
      </w:r>
      <w:r w:rsidR="008A74EB">
        <w:rPr>
          <w:rtl/>
        </w:rPr>
        <w:t xml:space="preserve"> ل</w:t>
      </w:r>
      <w:r w:rsidR="00114E72">
        <w:rPr>
          <w:rFonts w:hint="cs"/>
          <w:rtl/>
        </w:rPr>
        <w:t>ـ</w:t>
      </w:r>
      <w:r w:rsidR="008A74EB">
        <w:rPr>
          <w:rtl/>
        </w:rPr>
        <w:t xml:space="preserve"> «</w:t>
      </w:r>
      <w:r w:rsidR="008A74EB" w:rsidRPr="00C9040A">
        <w:rPr>
          <w:rtl/>
        </w:rPr>
        <w:t xml:space="preserve"> إنّ » ، أي طالبها هذه الآية على الإسناد المجازيّ. وله وجه ، لكنّه مخالف للمضبوط في النسخ »</w:t>
      </w:r>
      <w:r w:rsidR="008A74EB">
        <w:rPr>
          <w:rtl/>
        </w:rPr>
        <w:t>.</w:t>
      </w:r>
      <w:r w:rsidR="008A74EB" w:rsidRPr="00C9040A">
        <w:rPr>
          <w:rtl/>
        </w:rPr>
        <w:t xml:space="preserve"> والجملة إشارة إلى الآية 12 من سورة يس (36)</w:t>
      </w:r>
      <w:r w:rsidR="008A74EB">
        <w:rPr>
          <w:rFonts w:hint="cs"/>
          <w:rtl/>
        </w:rPr>
        <w:t xml:space="preserve"> </w:t>
      </w:r>
      <w:r w:rsidR="008A74EB" w:rsidRPr="00C9040A">
        <w:rPr>
          <w:rtl/>
        </w:rPr>
        <w:t xml:space="preserve">: </w:t>
      </w:r>
      <w:r w:rsidR="008A74EB" w:rsidRPr="00C822D0">
        <w:rPr>
          <w:rStyle w:val="libFootnoteAlaemChar"/>
          <w:rtl/>
        </w:rPr>
        <w:t>(</w:t>
      </w:r>
      <w:r w:rsidR="008A74EB" w:rsidRPr="00883DD5">
        <w:rPr>
          <w:rStyle w:val="libFootnoteAieChar"/>
          <w:rFonts w:hint="cs"/>
          <w:rtl/>
        </w:rPr>
        <w:t xml:space="preserve"> </w:t>
      </w:r>
      <w:r w:rsidR="008A74EB" w:rsidRPr="00883DD5">
        <w:rPr>
          <w:rStyle w:val="libFootnoteAieChar"/>
          <w:rtl/>
        </w:rPr>
        <w:t>إِنّ</w:t>
      </w:r>
      <w:r w:rsidR="00114E72">
        <w:rPr>
          <w:rStyle w:val="libFootnoteAieChar"/>
          <w:rFonts w:hint="cs"/>
          <w:rtl/>
        </w:rPr>
        <w:t>َ</w:t>
      </w:r>
      <w:r w:rsidR="008A74EB" w:rsidRPr="00883DD5">
        <w:rPr>
          <w:rStyle w:val="libFootnoteAieChar"/>
          <w:rtl/>
        </w:rPr>
        <w:t>ا نَحْنُ نُحْيِ الْمَوْت</w:t>
      </w:r>
      <w:r w:rsidR="00114E72">
        <w:rPr>
          <w:rStyle w:val="libFootnoteAieChar"/>
          <w:rFonts w:hint="cs"/>
          <w:rtl/>
        </w:rPr>
        <w:t>َ</w:t>
      </w:r>
      <w:r w:rsidR="008A74EB" w:rsidRPr="00883DD5">
        <w:rPr>
          <w:rStyle w:val="libFootnoteAieChar"/>
          <w:rtl/>
        </w:rPr>
        <w:t>ى وَنَكْتُبُ م</w:t>
      </w:r>
      <w:r w:rsidR="00114E72">
        <w:rPr>
          <w:rStyle w:val="libFootnoteAieChar"/>
          <w:rFonts w:hint="cs"/>
          <w:rtl/>
        </w:rPr>
        <w:t>َ</w:t>
      </w:r>
      <w:r w:rsidR="008A74EB" w:rsidRPr="00883DD5">
        <w:rPr>
          <w:rStyle w:val="libFootnoteAieChar"/>
          <w:rtl/>
        </w:rPr>
        <w:t>ا قَدَّمُوا وَ</w:t>
      </w:r>
      <w:r w:rsidR="00114E72">
        <w:rPr>
          <w:rStyle w:val="libFootnoteAieChar"/>
          <w:rFonts w:hint="cs"/>
          <w:rtl/>
        </w:rPr>
        <w:t>ءَا</w:t>
      </w:r>
      <w:r w:rsidR="008A74EB" w:rsidRPr="00883DD5">
        <w:rPr>
          <w:rStyle w:val="libFootnoteAieChar"/>
          <w:rtl/>
        </w:rPr>
        <w:t>ث</w:t>
      </w:r>
      <w:r w:rsidR="00114E72">
        <w:rPr>
          <w:rStyle w:val="libFootnoteAieChar"/>
          <w:rFonts w:hint="cs"/>
          <w:rtl/>
        </w:rPr>
        <w:t>َ</w:t>
      </w:r>
      <w:r w:rsidR="008A74EB" w:rsidRPr="00883DD5">
        <w:rPr>
          <w:rStyle w:val="libFootnoteAieChar"/>
          <w:rtl/>
        </w:rPr>
        <w:t>ارَهُمْ وَكُلَّ شَيْ‌ءٍ أَحْصَيْناهُ فِي إِم</w:t>
      </w:r>
      <w:r w:rsidR="00114E72">
        <w:rPr>
          <w:rStyle w:val="libFootnoteAieChar"/>
          <w:rFonts w:hint="cs"/>
          <w:rtl/>
        </w:rPr>
        <w:t>َ</w:t>
      </w:r>
      <w:r w:rsidR="008A74EB" w:rsidRPr="00883DD5">
        <w:rPr>
          <w:rStyle w:val="libFootnoteAieChar"/>
          <w:rtl/>
        </w:rPr>
        <w:t>امٍ مُ</w:t>
      </w:r>
      <w:r w:rsidR="00114E72">
        <w:rPr>
          <w:rStyle w:val="libFootnoteAieChar"/>
          <w:rFonts w:hint="cs"/>
          <w:rtl/>
        </w:rPr>
        <w:t>ّ</w:t>
      </w:r>
      <w:r w:rsidR="008A74EB" w:rsidRPr="00883DD5">
        <w:rPr>
          <w:rStyle w:val="libFootnoteAieChar"/>
          <w:rtl/>
        </w:rPr>
        <w:t>بِينٍ</w:t>
      </w:r>
      <w:r w:rsidR="008A74EB" w:rsidRPr="00883DD5">
        <w:rPr>
          <w:rStyle w:val="libFootnoteAieChar"/>
          <w:rFonts w:hint="cs"/>
          <w:rtl/>
        </w:rPr>
        <w:t xml:space="preserve"> </w:t>
      </w:r>
      <w:r w:rsidR="008A74EB" w:rsidRPr="00C822D0">
        <w:rPr>
          <w:rStyle w:val="libFootnoteAlaemChar"/>
          <w:rtl/>
        </w:rPr>
        <w:t>)</w:t>
      </w:r>
      <w:r w:rsidR="008A74EB" w:rsidRPr="00C9040A">
        <w:rPr>
          <w:rtl/>
        </w:rPr>
        <w:t>.</w:t>
      </w:r>
    </w:p>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الكافي</w:t>
      </w:r>
      <w:r w:rsidR="008A74EB" w:rsidRPr="00C9040A">
        <w:rPr>
          <w:rtl/>
        </w:rPr>
        <w:t xml:space="preserve"> ، كتاب الإيمان والكفر ، باب الذنوب ، صدر ح 2420 ، بسند آخر عن أبي جعفر </w:t>
      </w:r>
      <w:r w:rsidR="00117575" w:rsidRPr="00117575">
        <w:rPr>
          <w:rStyle w:val="libFootnoteAlaemChar"/>
          <w:rtl/>
        </w:rPr>
        <w:t xml:space="preserve">عليه‌السلام </w:t>
      </w:r>
      <w:r w:rsidR="008A74EB" w:rsidRPr="00C9040A">
        <w:rPr>
          <w:rtl/>
        </w:rPr>
        <w:t xml:space="preserve"> ، من </w:t>
      </w:r>
      <w:r w:rsidR="008A74EB" w:rsidRPr="00993B55">
        <w:rPr>
          <w:rStyle w:val="libFootnoteBoldChar"/>
          <w:rtl/>
        </w:rPr>
        <w:t>دون الإسناد</w:t>
      </w:r>
      <w:r w:rsidR="008A74EB" w:rsidRPr="00C9040A">
        <w:rPr>
          <w:rtl/>
        </w:rPr>
        <w:t xml:space="preserve"> إلى النبيّ </w:t>
      </w:r>
      <w:r w:rsidR="004A4E41" w:rsidRPr="00114E72">
        <w:rPr>
          <w:rStyle w:val="libFootnoteAlaemChar"/>
          <w:rtl/>
        </w:rPr>
        <w:t>صلى‌الله‌عليه‌وآله</w:t>
      </w:r>
      <w:r w:rsidR="008A74EB" w:rsidRPr="00C9040A">
        <w:rPr>
          <w:rtl/>
        </w:rPr>
        <w:t xml:space="preserve"> ، من قوله : « إيّاكم والمحقّرات من الذنوب » مع اختلاف يسير </w:t>
      </w:r>
      <w:r w:rsidR="00114E72">
        <w:rPr>
          <w:rFonts w:hint="cs"/>
          <w:rtl/>
        </w:rPr>
        <w:t>.</w:t>
      </w:r>
      <w:r w:rsidR="008A74EB" w:rsidRPr="00993B55">
        <w:rPr>
          <w:rStyle w:val="libFootnoteBoldChar"/>
          <w:rtl/>
        </w:rPr>
        <w:t>الوافي</w:t>
      </w:r>
      <w:r w:rsidR="008A74EB" w:rsidRPr="00C9040A">
        <w:rPr>
          <w:rtl/>
        </w:rPr>
        <w:t xml:space="preserve"> ، ج 5 ، ص 1009 ، ح 3494 ؛ </w:t>
      </w:r>
      <w:r w:rsidR="008A74EB" w:rsidRPr="00993B55">
        <w:rPr>
          <w:rStyle w:val="libFootnoteBoldChar"/>
          <w:rtl/>
        </w:rPr>
        <w:t>الوسائل</w:t>
      </w:r>
      <w:r w:rsidR="008A74EB" w:rsidRPr="00C9040A">
        <w:rPr>
          <w:rtl/>
        </w:rPr>
        <w:t xml:space="preserve"> ، ج 15 ، ص 310 ، ح 20605 ؛ </w:t>
      </w:r>
      <w:r w:rsidR="008A74EB" w:rsidRPr="00993B55">
        <w:rPr>
          <w:rStyle w:val="libFootnoteBoldChar"/>
          <w:rtl/>
        </w:rPr>
        <w:t>البحار</w:t>
      </w:r>
      <w:r w:rsidR="008A74EB" w:rsidRPr="00C9040A">
        <w:rPr>
          <w:rtl/>
        </w:rPr>
        <w:t xml:space="preserve"> ، ج 73 ، ص 346 ، ح 31.</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لم نجد عمّار بن مروان القندي في غير سند هذا الخبر ، فالظاهر وقوع التصحيف في العنوان. والمحتمل في‌</w:t>
      </w:r>
      <w:r w:rsidR="00114E72">
        <w:rPr>
          <w:rFonts w:hint="cs"/>
          <w:rtl/>
        </w:rPr>
        <w:t xml:space="preserve"> </w:t>
      </w:r>
      <w:r w:rsidR="008A74EB" w:rsidRPr="00C9040A">
        <w:rPr>
          <w:rtl/>
        </w:rPr>
        <w:t>بادي الرأي وقوع التصحيف إمّا في لقب العنوان ، أو بعض أجزائه الآخر.</w:t>
      </w:r>
    </w:p>
    <w:p w:rsidR="008A74EB" w:rsidRPr="00C9040A" w:rsidRDefault="008A74EB" w:rsidP="004A4E41">
      <w:pPr>
        <w:pStyle w:val="libFootnote0"/>
        <w:rPr>
          <w:rtl/>
          <w:lang w:bidi="fa-IR"/>
        </w:rPr>
      </w:pPr>
      <w:r w:rsidRPr="0082575F">
        <w:rPr>
          <w:rtl/>
        </w:rPr>
        <w:t>أمّا احتمال التصحيف في اللقب ، فضعيف ؛ فإنّ عمّار بن مروان في رواتنا اثنان : عمّار بن مروان اليشكري ، وعمّار بن مروان الكلبي ، وروايتهما عن عبدالله بن سنان ، أو رواية النهيكي عنهما ، غير معهودة لم نجدها في موضع مع الفحص الأكيد.</w:t>
      </w:r>
    </w:p>
    <w:p w:rsidR="008A74EB" w:rsidRPr="00C9040A" w:rsidRDefault="008A74EB" w:rsidP="004A4E41">
      <w:pPr>
        <w:pStyle w:val="libFootnote0"/>
        <w:rPr>
          <w:rtl/>
          <w:lang w:bidi="fa-IR"/>
        </w:rPr>
      </w:pPr>
      <w:r w:rsidRPr="00323A39">
        <w:rPr>
          <w:rtl/>
        </w:rPr>
        <w:t xml:space="preserve">والظاهر أنّ الصواب في العنوان هو زياد بن مروان القندي ؛ فقد روى أحمد بن محمّد بن خالد في </w:t>
      </w:r>
      <w:r w:rsidRPr="00993B55">
        <w:rPr>
          <w:rStyle w:val="libFootnoteBoldChar"/>
          <w:rtl/>
        </w:rPr>
        <w:t>المحاسن</w:t>
      </w:r>
      <w:r w:rsidRPr="00323A39">
        <w:rPr>
          <w:rtl/>
        </w:rPr>
        <w:t xml:space="preserve"> ، ص 402 ، ذيل ح 96 ، عن النهيكي ، عن القندي ؛ وفي </w:t>
      </w:r>
      <w:r w:rsidRPr="00993B55">
        <w:rPr>
          <w:rStyle w:val="libFootnoteBoldChar"/>
          <w:rtl/>
        </w:rPr>
        <w:t>المحاسن</w:t>
      </w:r>
      <w:r w:rsidRPr="00323A39">
        <w:rPr>
          <w:rtl/>
        </w:rPr>
        <w:t xml:space="preserve"> ، ص 421 ، ذيل ح 200 ، عن النهيكي ، عن زياد </w:t>
      </w:r>
      <w:r w:rsidR="00114E72">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عَنْ عَبْدِ اللهِ بْنِ سِنَانٍ </w:t>
      </w:r>
      <w:r w:rsidR="006C577F" w:rsidRPr="006C577F">
        <w:rPr>
          <w:rStyle w:val="libFootnotenumChar"/>
          <w:rtl/>
        </w:rPr>
        <w:t>(1)</w:t>
      </w:r>
      <w:r w:rsidRPr="00C9040A">
        <w:rPr>
          <w:rtl/>
          <w:lang w:bidi="fa-IR"/>
        </w:rPr>
        <w:t xml:space="preserve">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لَا صَغِيرَةَ مَعَ الْإِصْرَارِ </w:t>
      </w:r>
      <w:r w:rsidR="006C577F" w:rsidRPr="006C577F">
        <w:rPr>
          <w:rStyle w:val="libFootnotenumChar"/>
          <w:rtl/>
        </w:rPr>
        <w:t>(2)</w:t>
      </w:r>
      <w:r w:rsidRPr="00C9040A">
        <w:rPr>
          <w:rtl/>
          <w:lang w:bidi="fa-IR"/>
        </w:rPr>
        <w:t xml:space="preserve"> ، وَلَاكَبِيرَةَ مَعَ الِاسْتِغْفَارِ </w:t>
      </w:r>
      <w:r w:rsidR="006C577F" w:rsidRPr="006C577F">
        <w:rPr>
          <w:rStyle w:val="libFootnotenumChar"/>
          <w:rtl/>
        </w:rPr>
        <w:t>(3)</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295601">
        <w:rPr>
          <w:rtl/>
        </w:rPr>
        <w:t>2471</w:t>
      </w:r>
      <w:r w:rsidRPr="00261CB0">
        <w:rPr>
          <w:rStyle w:val="libBold2Char"/>
          <w:rtl/>
        </w:rPr>
        <w:t xml:space="preserve"> / 2.</w:t>
      </w:r>
      <w:r w:rsidRPr="00C9040A">
        <w:rPr>
          <w:rtl/>
          <w:lang w:bidi="fa-IR"/>
        </w:rPr>
        <w:t xml:space="preserve"> أَبُو عَلِيٍّ الْأَشْعَرِيُّ ، عَنْ مُحَمَّدِ بْنِ سَالِمٍ ، عَنْ أَحْمَدَ بْنِ النَّضْرِ ، عَنْ عَمْرِو بْنِ شِمْرٍ ، عَنْ جَابِرٍ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فِي قَوْلِ اللهِ عَزَّ وَجَلَّ : </w:t>
      </w:r>
      <w:r w:rsidRPr="0003660B">
        <w:rPr>
          <w:rStyle w:val="libAlaemChar"/>
          <w:rtl/>
        </w:rPr>
        <w:t>(</w:t>
      </w:r>
      <w:r w:rsidRPr="006A2246">
        <w:rPr>
          <w:rStyle w:val="libAieChar"/>
          <w:rtl/>
        </w:rPr>
        <w:t xml:space="preserve"> وَلَمْ يُصِرُّوا عَلى ما فَعَلُوا وَهُمْ يَعْلَمُونَ </w:t>
      </w:r>
      <w:r w:rsidRPr="0003660B">
        <w:rPr>
          <w:rStyle w:val="libAlaemChar"/>
          <w:rtl/>
        </w:rPr>
        <w:t>)</w:t>
      </w:r>
      <w:r w:rsidRPr="00C9040A">
        <w:rPr>
          <w:rtl/>
          <w:lang w:bidi="fa-IR"/>
        </w:rPr>
        <w:t xml:space="preserve"> </w:t>
      </w:r>
      <w:r w:rsidR="006C577F" w:rsidRPr="006C577F">
        <w:rPr>
          <w:rStyle w:val="libFootnotenumChar"/>
          <w:rtl/>
        </w:rPr>
        <w:t>(5)</w:t>
      </w:r>
      <w:r w:rsidRPr="00C9040A">
        <w:rPr>
          <w:rtl/>
          <w:lang w:bidi="fa-IR"/>
        </w:rPr>
        <w:t xml:space="preserve"> قَالَ : « الْإِصْرَارُ </w:t>
      </w:r>
      <w:r w:rsidR="006C577F" w:rsidRPr="006C577F">
        <w:rPr>
          <w:rStyle w:val="libFootnotenumChar"/>
          <w:rtl/>
        </w:rPr>
        <w:t>(6)</w:t>
      </w:r>
      <w:r w:rsidRPr="005B567D">
        <w:rPr>
          <w:rStyle w:val="libFootnotenumChar"/>
          <w:rtl/>
        </w:rPr>
        <w:t xml:space="preserve"> </w:t>
      </w:r>
      <w:r w:rsidRPr="00C9040A">
        <w:rPr>
          <w:rtl/>
          <w:lang w:bidi="fa-IR"/>
        </w:rPr>
        <w:t xml:space="preserve">أَنْ يُذْنِبَ الذَّنْبَ </w:t>
      </w:r>
      <w:r w:rsidR="006C577F" w:rsidRPr="006C577F">
        <w:rPr>
          <w:rStyle w:val="libFootnotenumChar"/>
          <w:rtl/>
        </w:rPr>
        <w:t>(7)</w:t>
      </w:r>
      <w:r w:rsidRPr="00C9040A">
        <w:rPr>
          <w:rtl/>
          <w:lang w:bidi="fa-IR"/>
        </w:rPr>
        <w:t xml:space="preserve"> ، فَلَا يَسْتَغْفِرَ </w:t>
      </w:r>
      <w:r w:rsidR="006C577F" w:rsidRPr="006C577F">
        <w:rPr>
          <w:rStyle w:val="libFootnotenumChar"/>
          <w:rtl/>
        </w:rPr>
        <w:t>(8)</w:t>
      </w:r>
      <w:r w:rsidRPr="00C9040A">
        <w:rPr>
          <w:rtl/>
          <w:lang w:bidi="fa-IR"/>
        </w:rPr>
        <w:t xml:space="preserve"> اللهَ </w:t>
      </w:r>
      <w:r w:rsidR="006C577F" w:rsidRPr="006C577F">
        <w:rPr>
          <w:rStyle w:val="libFootnotenumChar"/>
          <w:rtl/>
        </w:rPr>
        <w:t>(9)</w:t>
      </w:r>
      <w:r w:rsidRPr="00C9040A">
        <w:rPr>
          <w:rtl/>
          <w:lang w:bidi="fa-IR"/>
        </w:rPr>
        <w:t xml:space="preserve"> ، وَلَايُحَدِّثَ نَفْسَهُ بِتَوْبَةٍ </w:t>
      </w:r>
      <w:r w:rsidR="006C577F" w:rsidRPr="006C577F">
        <w:rPr>
          <w:rStyle w:val="libFootnotenumChar"/>
          <w:rtl/>
        </w:rPr>
        <w:t>(10)</w:t>
      </w:r>
      <w:r w:rsidRPr="00C9040A">
        <w:rPr>
          <w:rtl/>
          <w:lang w:bidi="fa-IR"/>
        </w:rPr>
        <w:t xml:space="preserve"> ؛ فَذلِكَ الْإِصْرَارُ »</w:t>
      </w:r>
      <w:r>
        <w:rPr>
          <w:rtl/>
          <w:lang w:bidi="fa-IR"/>
        </w:rPr>
        <w:t>.</w:t>
      </w:r>
      <w:r w:rsidRPr="00C9040A">
        <w:rPr>
          <w:rtl/>
          <w:lang w:bidi="fa-IR"/>
        </w:rPr>
        <w:t xml:space="preserve"> </w:t>
      </w:r>
      <w:r w:rsidR="006C577F" w:rsidRPr="006C577F">
        <w:rPr>
          <w:rStyle w:val="libFootnotenumChar"/>
          <w:rtl/>
        </w:rPr>
        <w:t>(11)</w:t>
      </w:r>
    </w:p>
    <w:p w:rsidR="008A74EB" w:rsidRPr="00C9040A" w:rsidRDefault="008A74EB" w:rsidP="008A74EB">
      <w:pPr>
        <w:pStyle w:val="libLine"/>
        <w:rPr>
          <w:rtl/>
          <w:lang w:bidi="fa-IR"/>
        </w:rPr>
      </w:pPr>
      <w:r w:rsidRPr="00C9040A">
        <w:rPr>
          <w:rtl/>
          <w:lang w:bidi="fa-IR"/>
        </w:rPr>
        <w:t>__________________</w:t>
      </w:r>
    </w:p>
    <w:p w:rsidR="008A74EB" w:rsidRPr="00C9040A" w:rsidRDefault="00114E72" w:rsidP="004A4E41">
      <w:pPr>
        <w:pStyle w:val="libFootnote0"/>
        <w:rPr>
          <w:rtl/>
          <w:lang w:bidi="fa-IR"/>
        </w:rPr>
      </w:pPr>
      <w:r>
        <w:rPr>
          <w:rFonts w:hint="cs"/>
          <w:rtl/>
        </w:rPr>
        <w:t xml:space="preserve">= </w:t>
      </w:r>
      <w:r w:rsidR="008A74EB" w:rsidRPr="0082575F">
        <w:rPr>
          <w:rtl/>
        </w:rPr>
        <w:t>القندي.</w:t>
      </w:r>
    </w:p>
    <w:p w:rsidR="008A74EB" w:rsidRPr="00C9040A" w:rsidRDefault="008A74EB" w:rsidP="004A4E41">
      <w:pPr>
        <w:pStyle w:val="libFootnote0"/>
        <w:rPr>
          <w:rtl/>
          <w:lang w:bidi="fa-IR"/>
        </w:rPr>
      </w:pPr>
      <w:r w:rsidRPr="00323A39">
        <w:rPr>
          <w:rtl/>
        </w:rPr>
        <w:t xml:space="preserve">وأمّا ما ورد في </w:t>
      </w:r>
      <w:r w:rsidRPr="00993B55">
        <w:rPr>
          <w:rStyle w:val="libFootnoteBoldChar"/>
          <w:rtl/>
        </w:rPr>
        <w:t>المحاسن</w:t>
      </w:r>
      <w:r w:rsidRPr="00323A39">
        <w:rPr>
          <w:rtl/>
        </w:rPr>
        <w:t xml:space="preserve"> ، ص 544 ، ح 851 من روايته عن النهيكي عن عبدالله بن محمّد ، عن زياد بن مروان ، أو ص 593 ، ح 107 من روايته عن النهيكي ، عن عبدالله بن محمّد ، عن زياد بن مروان القندي ، فقد ورد الأوّل في </w:t>
      </w:r>
      <w:r w:rsidRPr="00993B55">
        <w:rPr>
          <w:rStyle w:val="libFootnoteBoldChar"/>
          <w:rtl/>
        </w:rPr>
        <w:t>البحار</w:t>
      </w:r>
      <w:r w:rsidRPr="00323A39">
        <w:rPr>
          <w:rtl/>
        </w:rPr>
        <w:t xml:space="preserve"> ، ج 63 ، ص 162 ، ح 9 ؛ وج 86 ، ص 360 ، ح 39. والثاني في </w:t>
      </w:r>
      <w:r w:rsidRPr="00993B55">
        <w:rPr>
          <w:rStyle w:val="libFootnoteBoldChar"/>
          <w:rtl/>
        </w:rPr>
        <w:t>البحار</w:t>
      </w:r>
      <w:r w:rsidRPr="00323A39">
        <w:rPr>
          <w:rtl/>
        </w:rPr>
        <w:t xml:space="preserve"> ، ج 63 ، ص 397 ، ح 12 ، وفي المواضع الثلاثة « النهيكي عبدالله بن محمّد » وهو الصواب.</w:t>
      </w:r>
    </w:p>
    <w:p w:rsidR="008A74EB" w:rsidRDefault="008A74EB" w:rsidP="004A4E41">
      <w:pPr>
        <w:pStyle w:val="libFootnote0"/>
        <w:rPr>
          <w:rtl/>
        </w:rPr>
      </w:pPr>
      <w:r w:rsidRPr="00323A39">
        <w:rPr>
          <w:rtl/>
        </w:rPr>
        <w:t xml:space="preserve">هذا ، وروى زياد بن مروان عن عبدالله بن سنان في بعض الأسناد. راجع : </w:t>
      </w:r>
      <w:r w:rsidRPr="00993B55">
        <w:rPr>
          <w:rStyle w:val="libFootnoteBoldChar"/>
          <w:rtl/>
        </w:rPr>
        <w:t>معجم رجال الحديث</w:t>
      </w:r>
      <w:r w:rsidRPr="00323A39">
        <w:rPr>
          <w:rtl/>
        </w:rPr>
        <w:t xml:space="preserve"> ، ج 7 ، ص 486.</w:t>
      </w:r>
    </w:p>
    <w:tbl>
      <w:tblPr>
        <w:tblStyle w:val="TableGrid"/>
        <w:bidiVisual/>
        <w:tblW w:w="0" w:type="auto"/>
        <w:tblLook w:val="04A0" w:firstRow="1" w:lastRow="0" w:firstColumn="1" w:lastColumn="0" w:noHBand="0" w:noVBand="1"/>
      </w:tblPr>
      <w:tblGrid>
        <w:gridCol w:w="4006"/>
        <w:gridCol w:w="4006"/>
      </w:tblGrid>
      <w:tr w:rsidR="00114E72" w:rsidTr="00114E72">
        <w:tc>
          <w:tcPr>
            <w:tcW w:w="4006" w:type="dxa"/>
          </w:tcPr>
          <w:p w:rsidR="00114E72" w:rsidRDefault="00114E72" w:rsidP="004A4E41">
            <w:pPr>
              <w:pStyle w:val="libFootnote0"/>
              <w:rPr>
                <w:rtl/>
              </w:rPr>
            </w:pPr>
            <w:r>
              <w:rPr>
                <w:rtl/>
              </w:rPr>
              <w:t xml:space="preserve">(1). </w:t>
            </w:r>
            <w:r w:rsidRPr="00C9040A">
              <w:rPr>
                <w:rtl/>
              </w:rPr>
              <w:t xml:space="preserve">في « </w:t>
            </w:r>
            <w:r>
              <w:rPr>
                <w:rtl/>
              </w:rPr>
              <w:t xml:space="preserve">ه </w:t>
            </w:r>
            <w:r w:rsidRPr="00C9040A">
              <w:rPr>
                <w:rtl/>
              </w:rPr>
              <w:t xml:space="preserve">» </w:t>
            </w:r>
            <w:r>
              <w:rPr>
                <w:rtl/>
              </w:rPr>
              <w:t>: -</w:t>
            </w:r>
            <w:r w:rsidRPr="00C9040A">
              <w:rPr>
                <w:rtl/>
              </w:rPr>
              <w:t xml:space="preserve"> « عن عبدالله بن سنان »</w:t>
            </w:r>
            <w:r>
              <w:rPr>
                <w:rtl/>
              </w:rPr>
              <w:t>.</w:t>
            </w:r>
          </w:p>
        </w:tc>
        <w:tc>
          <w:tcPr>
            <w:tcW w:w="4006" w:type="dxa"/>
          </w:tcPr>
          <w:p w:rsidR="00114E72" w:rsidRDefault="00114E72" w:rsidP="004A4E41">
            <w:pPr>
              <w:pStyle w:val="libFootnote0"/>
              <w:rPr>
                <w:rtl/>
              </w:rPr>
            </w:pPr>
            <w:r>
              <w:rPr>
                <w:rtl/>
              </w:rPr>
              <w:t xml:space="preserve">(2). </w:t>
            </w:r>
            <w:r w:rsidRPr="00C9040A">
              <w:rPr>
                <w:rtl/>
              </w:rPr>
              <w:t xml:space="preserve">في « </w:t>
            </w:r>
            <w:r>
              <w:rPr>
                <w:rtl/>
              </w:rPr>
              <w:t xml:space="preserve">ه </w:t>
            </w:r>
            <w:r w:rsidRPr="00C9040A">
              <w:rPr>
                <w:rtl/>
              </w:rPr>
              <w:t>» : « إصرار »</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في « </w:t>
      </w:r>
      <w:r w:rsidR="006D3162">
        <w:rPr>
          <w:rtl/>
        </w:rPr>
        <w:t xml:space="preserve">ه </w:t>
      </w:r>
      <w:r w:rsidR="008A74EB" w:rsidRPr="00C9040A">
        <w:rPr>
          <w:rtl/>
        </w:rPr>
        <w:t>» : « استغفار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w:t>
      </w:r>
      <w:r w:rsidR="008A74EB" w:rsidRPr="0034021D">
        <w:rPr>
          <w:rStyle w:val="libFootnoteBoldChar"/>
          <w:rtl/>
        </w:rPr>
        <w:t>الأمالي للصدوق</w:t>
      </w:r>
      <w:r w:rsidR="008A74EB" w:rsidRPr="00C9040A">
        <w:rPr>
          <w:rtl/>
        </w:rPr>
        <w:t xml:space="preserve"> ، ص 433 ، المجلس 66 ، ضمن الحديث الطويل 1 ، بسند آخر عن أبي عبدالله ، عن آبائه </w:t>
      </w:r>
      <w:r w:rsidR="00117575" w:rsidRPr="00117575">
        <w:rPr>
          <w:rStyle w:val="libFootnoteAlaemChar"/>
          <w:rtl/>
        </w:rPr>
        <w:t>عليهم‌السلام</w:t>
      </w:r>
      <w:r w:rsidR="008A74EB" w:rsidRPr="00C9040A">
        <w:rPr>
          <w:rtl/>
        </w:rPr>
        <w:t xml:space="preserve"> عن النبيّ </w:t>
      </w:r>
      <w:r w:rsidR="004A4E41" w:rsidRPr="00114E72">
        <w:rPr>
          <w:rStyle w:val="libFootnoteAlaemChar"/>
          <w:rtl/>
        </w:rPr>
        <w:t>صلى‌الله‌عليه‌وآله</w:t>
      </w:r>
      <w:r w:rsidR="008A74EB" w:rsidRPr="00C9040A">
        <w:rPr>
          <w:rtl/>
        </w:rPr>
        <w:t xml:space="preserve"> ؛ </w:t>
      </w:r>
      <w:r w:rsidR="008A74EB" w:rsidRPr="00993B55">
        <w:rPr>
          <w:rStyle w:val="libFootnoteBoldChar"/>
          <w:rtl/>
        </w:rPr>
        <w:t>التوحيد</w:t>
      </w:r>
      <w:r w:rsidR="008A74EB" w:rsidRPr="00C9040A">
        <w:rPr>
          <w:rtl/>
        </w:rPr>
        <w:t xml:space="preserve"> ، ص 407 ، ضمن الحديث الطويل 6 ، بسند آخر عن موسى بن جعفر ، عن آبائه </w:t>
      </w:r>
      <w:r w:rsidR="00117575" w:rsidRPr="00117575">
        <w:rPr>
          <w:rStyle w:val="libFootnoteAlaemChar"/>
          <w:rtl/>
        </w:rPr>
        <w:t>عليهم‌السلام</w:t>
      </w:r>
      <w:r w:rsidR="008A74EB" w:rsidRPr="00C9040A">
        <w:rPr>
          <w:rtl/>
        </w:rPr>
        <w:t xml:space="preserve"> عن النبيّ </w:t>
      </w:r>
      <w:r w:rsidR="004A4E41" w:rsidRPr="00114E72">
        <w:rPr>
          <w:rStyle w:val="libFootnoteAlaemChar"/>
          <w:rtl/>
        </w:rPr>
        <w:t>صلى‌الله‌عليه‌وآله</w:t>
      </w:r>
      <w:r w:rsidR="008A74EB" w:rsidRPr="00C9040A">
        <w:rPr>
          <w:rtl/>
        </w:rPr>
        <w:t xml:space="preserve"> ؛ </w:t>
      </w:r>
      <w:r w:rsidR="008A74EB" w:rsidRPr="00993B55">
        <w:rPr>
          <w:rStyle w:val="libFootnoteBoldChar"/>
          <w:rtl/>
        </w:rPr>
        <w:t>ثواب الأعمال</w:t>
      </w:r>
      <w:r w:rsidR="008A74EB" w:rsidRPr="00C9040A">
        <w:rPr>
          <w:rtl/>
        </w:rPr>
        <w:t xml:space="preserve"> ، ص 330 ، ضمن الحديث الطويل 1 ، بسند آخر عن النبيّ </w:t>
      </w:r>
      <w:r w:rsidR="004A4E41" w:rsidRPr="00114E72">
        <w:rPr>
          <w:rStyle w:val="libFootnoteAlaemChar"/>
          <w:rtl/>
        </w:rPr>
        <w:t>صلى‌الله‌عليه‌وآله</w:t>
      </w:r>
      <w:r w:rsidR="008A74EB" w:rsidRPr="00C9040A">
        <w:rPr>
          <w:rtl/>
        </w:rPr>
        <w:t xml:space="preserve"> </w:t>
      </w:r>
      <w:r w:rsidR="00114E72">
        <w:rPr>
          <w:rFonts w:hint="cs"/>
          <w:rtl/>
        </w:rPr>
        <w:t>.</w:t>
      </w:r>
      <w:r w:rsidR="008A74EB" w:rsidRPr="00993B55">
        <w:rPr>
          <w:rStyle w:val="libFootnoteBoldChar"/>
          <w:rtl/>
        </w:rPr>
        <w:t>الوافي</w:t>
      </w:r>
      <w:r w:rsidR="008A74EB" w:rsidRPr="00C9040A">
        <w:rPr>
          <w:rtl/>
        </w:rPr>
        <w:t xml:space="preserve"> ، ج 5 ، ص 1011 ، ح 3496 ؛ </w:t>
      </w:r>
      <w:r w:rsidR="008A74EB" w:rsidRPr="00993B55">
        <w:rPr>
          <w:rStyle w:val="libFootnoteBoldChar"/>
          <w:rtl/>
        </w:rPr>
        <w:t>الوسائل</w:t>
      </w:r>
      <w:r w:rsidR="008A74EB" w:rsidRPr="00C9040A">
        <w:rPr>
          <w:rtl/>
        </w:rPr>
        <w:t xml:space="preserve"> ، ج 15 ، ص 337 ، ح 20618.</w:t>
      </w:r>
    </w:p>
    <w:p w:rsidR="008A74EB" w:rsidRPr="00C9040A" w:rsidRDefault="006C577F" w:rsidP="004A4E41">
      <w:pPr>
        <w:pStyle w:val="libFootnote0"/>
        <w:rPr>
          <w:rtl/>
          <w:lang w:bidi="fa-IR"/>
        </w:rPr>
      </w:pPr>
      <w:r>
        <w:rPr>
          <w:rtl/>
        </w:rPr>
        <w:t>(5).</w:t>
      </w:r>
      <w:r w:rsidR="008A74EB" w:rsidRPr="00C9040A">
        <w:rPr>
          <w:rtl/>
        </w:rPr>
        <w:t xml:space="preserve"> آل عمران </w:t>
      </w:r>
      <w:r w:rsidR="00114E72">
        <w:rPr>
          <w:rtl/>
        </w:rPr>
        <w:t>(3)</w:t>
      </w:r>
      <w:r w:rsidR="008A74EB" w:rsidRPr="00C9040A">
        <w:rPr>
          <w:rtl/>
        </w:rPr>
        <w:t xml:space="preserve"> : 135.</w:t>
      </w:r>
    </w:p>
    <w:p w:rsidR="008A74EB" w:rsidRPr="00C9040A" w:rsidRDefault="006C577F" w:rsidP="007F2CF3">
      <w:pPr>
        <w:pStyle w:val="libFootnote0"/>
        <w:rPr>
          <w:rtl/>
          <w:lang w:bidi="fa-IR"/>
        </w:rPr>
      </w:pPr>
      <w:r>
        <w:rPr>
          <w:rtl/>
        </w:rPr>
        <w:t>(6).</w:t>
      </w:r>
      <w:r w:rsidR="008A74EB">
        <w:rPr>
          <w:rtl/>
        </w:rPr>
        <w:t xml:space="preserve"> </w:t>
      </w:r>
      <w:r w:rsidR="008A74EB" w:rsidRPr="00C9040A">
        <w:rPr>
          <w:rtl/>
        </w:rPr>
        <w:t xml:space="preserve">هكذا في « ب ، د ، ز ، ص ، </w:t>
      </w:r>
      <w:r w:rsidR="006D3162">
        <w:rPr>
          <w:rtl/>
        </w:rPr>
        <w:t xml:space="preserve">ه </w:t>
      </w:r>
      <w:r w:rsidR="008A74EB" w:rsidRPr="00C9040A">
        <w:rPr>
          <w:rtl/>
        </w:rPr>
        <w:t>، بر ، بس ، بف » والوافي والوسائل والبحار وتفسير العيّاشي. وفي المطبوع : + « هو »</w:t>
      </w:r>
      <w:r w:rsidR="008A74EB">
        <w:rPr>
          <w:rtl/>
        </w:rPr>
        <w:t>.</w:t>
      </w:r>
      <w:r w:rsidR="007F2CF3">
        <w:rPr>
          <w:rFonts w:hint="cs"/>
          <w:rtl/>
        </w:rPr>
        <w:t xml:space="preserve">                             </w:t>
      </w:r>
      <w:r>
        <w:rPr>
          <w:rtl/>
        </w:rPr>
        <w:t>(7).</w:t>
      </w:r>
      <w:r w:rsidR="008A74EB" w:rsidRPr="00C9040A">
        <w:rPr>
          <w:rtl/>
        </w:rPr>
        <w:t xml:space="preserve"> في تفسير العيّاشي : « العبد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 بر » والبحار وتفسير العيّاشي : « ولايستغفر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ج ، </w:t>
      </w:r>
      <w:r w:rsidR="006D3162">
        <w:rPr>
          <w:rtl/>
        </w:rPr>
        <w:t xml:space="preserve">ه </w:t>
      </w:r>
      <w:r w:rsidR="008A74EB" w:rsidRPr="00C9040A">
        <w:rPr>
          <w:rtl/>
        </w:rPr>
        <w:t xml:space="preserve">، بر ، بف » والوافي والبحار </w:t>
      </w:r>
      <w:r w:rsidR="008A74EB">
        <w:rPr>
          <w:rtl/>
        </w:rPr>
        <w:t xml:space="preserve">: </w:t>
      </w:r>
      <w:r w:rsidR="0084262C">
        <w:rPr>
          <w:rtl/>
        </w:rPr>
        <w:t>-</w:t>
      </w:r>
      <w:r w:rsidR="008A74EB" w:rsidRPr="00C9040A">
        <w:rPr>
          <w:rtl/>
        </w:rPr>
        <w:t xml:space="preserve"> « الله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 </w:t>
      </w:r>
      <w:r w:rsidR="006D3162">
        <w:rPr>
          <w:rtl/>
        </w:rPr>
        <w:t xml:space="preserve">ه </w:t>
      </w:r>
      <w:r w:rsidR="008A74EB" w:rsidRPr="00C9040A">
        <w:rPr>
          <w:rtl/>
        </w:rPr>
        <w:t>» وحاشية « بر ، بف » : « بتركه »</w:t>
      </w:r>
      <w:r w:rsidR="008A74EB">
        <w:rPr>
          <w:rtl/>
        </w:rPr>
        <w:t>.</w:t>
      </w:r>
      <w:r w:rsidR="008A74EB" w:rsidRPr="00C9040A">
        <w:rPr>
          <w:rtl/>
        </w:rPr>
        <w:t xml:space="preserve"> وفي الوسائل وتفسير العيّاشي : « بالتوبة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w:t>
      </w:r>
      <w:r w:rsidR="008A74EB" w:rsidRPr="00993B55">
        <w:rPr>
          <w:rStyle w:val="libFootnoteBoldChar"/>
          <w:rtl/>
        </w:rPr>
        <w:t>تفسير العيّاشي</w:t>
      </w:r>
      <w:r w:rsidR="008A74EB" w:rsidRPr="00C9040A">
        <w:rPr>
          <w:rtl/>
        </w:rPr>
        <w:t xml:space="preserve"> ، ج 1 ، ص 198 ، ح 144 ، عن جابر </w:t>
      </w:r>
      <w:r w:rsidR="007F2CF3">
        <w:rPr>
          <w:rFonts w:hint="cs"/>
          <w:rtl/>
        </w:rPr>
        <w:t>.</w:t>
      </w:r>
      <w:r w:rsidR="008A74EB" w:rsidRPr="00993B55">
        <w:rPr>
          <w:rStyle w:val="libFootnoteBoldChar"/>
          <w:rtl/>
        </w:rPr>
        <w:t>الوافي</w:t>
      </w:r>
      <w:r w:rsidR="008A74EB" w:rsidRPr="00C9040A">
        <w:rPr>
          <w:rtl/>
        </w:rPr>
        <w:t xml:space="preserve"> ، ج 5 ، ص 1011 ، ح 3498 ؛ </w:t>
      </w:r>
      <w:r w:rsidR="008A74EB" w:rsidRPr="00993B55">
        <w:rPr>
          <w:rStyle w:val="libFootnoteBoldChar"/>
          <w:rtl/>
        </w:rPr>
        <w:t>الوسائل</w:t>
      </w:r>
      <w:r w:rsidR="008A74EB" w:rsidRPr="00C9040A">
        <w:rPr>
          <w:rtl/>
        </w:rPr>
        <w:t xml:space="preserve"> ، ج 15 ، </w:t>
      </w:r>
      <w:r w:rsidR="007F2CF3">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295601">
        <w:rPr>
          <w:rtl/>
        </w:rPr>
        <w:t>2472</w:t>
      </w:r>
      <w:r w:rsidRPr="00261CB0">
        <w:rPr>
          <w:rStyle w:val="libBold2Char"/>
          <w:rtl/>
        </w:rPr>
        <w:t xml:space="preserve"> / 3.</w:t>
      </w:r>
      <w:r w:rsidRPr="00C9040A">
        <w:rPr>
          <w:rtl/>
          <w:lang w:bidi="fa-IR"/>
        </w:rPr>
        <w:t xml:space="preserve"> عَلِيُّ بْنُ إِبْرَاهِيمَ ، عَنْ أَبِيهِ ، عَنِ ابْنِ أَبِي عُمَيْرٍ ، عَنْ مَنْصُورِ بْنِ يُونُسَ ، عَنْ أَبِي بَصِيرٍ ، قَالَ :</w:t>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 « لَا وَاللهِ ، لَايَقْبَلُ </w:t>
      </w:r>
      <w:r w:rsidR="006C577F" w:rsidRPr="006C577F">
        <w:rPr>
          <w:rStyle w:val="libFootnotenumChar"/>
          <w:rtl/>
        </w:rPr>
        <w:t>(1)</w:t>
      </w:r>
      <w:r w:rsidRPr="00C9040A">
        <w:rPr>
          <w:rtl/>
          <w:lang w:bidi="fa-IR"/>
        </w:rPr>
        <w:t xml:space="preserve"> اللهُ شَيْئاً مِنْ طَاعَتِهِ عَلَى الْإِصْرَارِ عَلى شَيْ‌ءٍ مِنْ مَعَاصِيهِ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Heading2Center"/>
        <w:rPr>
          <w:rtl/>
          <w:lang w:bidi="fa-IR"/>
        </w:rPr>
      </w:pPr>
      <w:bookmarkStart w:id="355" w:name="_Toc343795706"/>
      <w:bookmarkStart w:id="356" w:name="_Toc459810830"/>
      <w:bookmarkStart w:id="357" w:name="_Toc35348736"/>
      <w:r w:rsidRPr="00C9040A">
        <w:rPr>
          <w:rtl/>
          <w:lang w:bidi="fa-IR"/>
        </w:rPr>
        <w:t>115</w:t>
      </w:r>
      <w:r>
        <w:rPr>
          <w:rtl/>
          <w:lang w:bidi="fa-IR"/>
        </w:rPr>
        <w:t xml:space="preserve"> </w:t>
      </w:r>
      <w:r w:rsidR="0084262C">
        <w:rPr>
          <w:rtl/>
          <w:lang w:bidi="fa-IR"/>
        </w:rPr>
        <w:t>-</w:t>
      </w:r>
      <w:r>
        <w:rPr>
          <w:rtl/>
          <w:lang w:bidi="fa-IR"/>
        </w:rPr>
        <w:t xml:space="preserve"> </w:t>
      </w:r>
      <w:r w:rsidRPr="00C9040A">
        <w:rPr>
          <w:rtl/>
          <w:lang w:bidi="fa-IR"/>
        </w:rPr>
        <w:t>بَابٌ فِي أُصُولِ الْكُفْرِ وَأَرْكَانِهِ‌</w:t>
      </w:r>
      <w:bookmarkEnd w:id="355"/>
      <w:bookmarkEnd w:id="356"/>
      <w:bookmarkEnd w:id="357"/>
    </w:p>
    <w:p w:rsidR="008A74EB" w:rsidRPr="00C9040A" w:rsidRDefault="008A74EB" w:rsidP="008A74EB">
      <w:pPr>
        <w:pStyle w:val="libNormal"/>
        <w:rPr>
          <w:rtl/>
          <w:lang w:bidi="fa-IR"/>
        </w:rPr>
      </w:pPr>
      <w:r w:rsidRPr="00295601">
        <w:rPr>
          <w:rtl/>
        </w:rPr>
        <w:t>2473</w:t>
      </w:r>
      <w:r w:rsidRPr="00261CB0">
        <w:rPr>
          <w:rStyle w:val="libBold2Char"/>
          <w:rtl/>
        </w:rPr>
        <w:t xml:space="preserve"> / 1.</w:t>
      </w:r>
      <w:r w:rsidRPr="00C9040A">
        <w:rPr>
          <w:rtl/>
          <w:lang w:bidi="fa-IR"/>
        </w:rPr>
        <w:t xml:space="preserve"> الْحُسَيْنُ بْنُ مُحَمَّدٍ ، عَنْ أَحْمَدَ بْنِ إِسْحَاقَ ، عَنْ بَكْرِ بْنِ مُحَمَّدٍ ، عَنْ أَبِي بَصِيرٍ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w:t>
      </w:r>
      <w:r w:rsidR="006C577F" w:rsidRPr="006C577F">
        <w:rPr>
          <w:rStyle w:val="libFootnotenumChar"/>
          <w:rtl/>
        </w:rPr>
        <w:t>(3)</w:t>
      </w:r>
      <w:r w:rsidRPr="00C9040A">
        <w:rPr>
          <w:rtl/>
          <w:lang w:bidi="fa-IR"/>
        </w:rPr>
        <w:t xml:space="preserve"> : « أُصُولُ الْكُفْرِ </w:t>
      </w:r>
      <w:r w:rsidR="006C577F" w:rsidRPr="006C577F">
        <w:rPr>
          <w:rStyle w:val="libFootnotenumChar"/>
          <w:rtl/>
        </w:rPr>
        <w:t>(4)</w:t>
      </w:r>
      <w:r w:rsidRPr="00C9040A">
        <w:rPr>
          <w:rtl/>
          <w:lang w:bidi="fa-IR"/>
        </w:rPr>
        <w:t xml:space="preserve"> ثَلَاثَةٌ : الْحِرْصُ ، وَالِاسْتِكْبَارُ ، وَالْحَسَدُ ؛ فَأَمَّا الْحِرْصُ ، فَإِنَّ آدَمَ </w:t>
      </w:r>
      <w:r w:rsidRPr="0003660B">
        <w:rPr>
          <w:rStyle w:val="libAlaemChar"/>
          <w:rtl/>
        </w:rPr>
        <w:t>عليه‌السلام</w:t>
      </w:r>
      <w:r w:rsidRPr="00C9040A">
        <w:rPr>
          <w:rtl/>
          <w:lang w:bidi="fa-IR"/>
        </w:rPr>
        <w:t xml:space="preserve"> حِينَ نُهِيَ عَنِ الشَّجَرَةِ حَمَلَهُ الْحِرْصُ عَلى أَنْ أَكَلَ </w:t>
      </w:r>
      <w:r w:rsidR="006C577F" w:rsidRPr="006C577F">
        <w:rPr>
          <w:rStyle w:val="libFootnotenumChar"/>
          <w:rtl/>
        </w:rPr>
        <w:t>(5)</w:t>
      </w:r>
      <w:r w:rsidRPr="00C9040A">
        <w:rPr>
          <w:rtl/>
          <w:lang w:bidi="fa-IR"/>
        </w:rPr>
        <w:t xml:space="preserve"> مِنْهَا ؛ وَأَمَّا الِاسْتِكْبَارُ ، فَإِبْلِيسُ </w:t>
      </w:r>
      <w:r w:rsidR="006C577F" w:rsidRPr="006C577F">
        <w:rPr>
          <w:rStyle w:val="libFootnotenumChar"/>
          <w:rtl/>
        </w:rPr>
        <w:t>(6)</w:t>
      </w:r>
      <w:r w:rsidRPr="005B567D">
        <w:rPr>
          <w:rStyle w:val="libFootnotenumChar"/>
          <w:rtl/>
        </w:rPr>
        <w:t xml:space="preserve"> </w:t>
      </w:r>
      <w:r w:rsidRPr="00C9040A">
        <w:rPr>
          <w:rtl/>
          <w:lang w:bidi="fa-IR"/>
        </w:rPr>
        <w:t xml:space="preserve">حَيْثُ </w:t>
      </w:r>
      <w:r w:rsidR="006C577F" w:rsidRPr="006C577F">
        <w:rPr>
          <w:rStyle w:val="libFootnotenumChar"/>
          <w:rtl/>
        </w:rPr>
        <w:t>(7)</w:t>
      </w:r>
      <w:r w:rsidRPr="00C9040A">
        <w:rPr>
          <w:rtl/>
          <w:lang w:bidi="fa-IR"/>
        </w:rPr>
        <w:t xml:space="preserve"> أُمِرَ بِالسُّجُودِ لآِدَمَ ، فَأَبَى </w:t>
      </w:r>
      <w:r w:rsidR="006C577F" w:rsidRPr="006C577F">
        <w:rPr>
          <w:rStyle w:val="libFootnotenumChar"/>
          <w:rtl/>
        </w:rPr>
        <w:t>(8)</w:t>
      </w:r>
      <w:r w:rsidRPr="00C9040A">
        <w:rPr>
          <w:rtl/>
          <w:lang w:bidi="fa-IR"/>
        </w:rPr>
        <w:t xml:space="preserve"> ؛ وَأَمَّا الْحَسَدُ ، فَابْنَا آدَمَ‌</w:t>
      </w:r>
    </w:p>
    <w:p w:rsidR="008A74EB" w:rsidRPr="00C9040A" w:rsidRDefault="008A74EB" w:rsidP="008A74EB">
      <w:pPr>
        <w:pStyle w:val="libLine"/>
        <w:rPr>
          <w:rtl/>
          <w:lang w:bidi="fa-IR"/>
        </w:rPr>
      </w:pPr>
      <w:r w:rsidRPr="00C9040A">
        <w:rPr>
          <w:rtl/>
          <w:lang w:bidi="fa-IR"/>
        </w:rPr>
        <w:t>__________________</w:t>
      </w:r>
    </w:p>
    <w:p w:rsidR="008A74EB" w:rsidRPr="00C9040A" w:rsidRDefault="007F2CF3" w:rsidP="007F2CF3">
      <w:pPr>
        <w:pStyle w:val="libFootnote0"/>
        <w:rPr>
          <w:rtl/>
          <w:lang w:bidi="fa-IR"/>
        </w:rPr>
      </w:pPr>
      <w:r>
        <w:rPr>
          <w:rFonts w:hint="cs"/>
          <w:rtl/>
        </w:rPr>
        <w:t xml:space="preserve">= </w:t>
      </w:r>
      <w:r w:rsidR="008A74EB" w:rsidRPr="00C9040A">
        <w:rPr>
          <w:rtl/>
        </w:rPr>
        <w:t xml:space="preserve">ص 338 ، ح 20682 ؛ </w:t>
      </w:r>
      <w:r w:rsidR="008A74EB" w:rsidRPr="00993B55">
        <w:rPr>
          <w:rStyle w:val="libFootnoteBoldChar"/>
          <w:rtl/>
        </w:rPr>
        <w:t>البحار</w:t>
      </w:r>
      <w:r w:rsidR="008A74EB" w:rsidRPr="00C9040A">
        <w:rPr>
          <w:rtl/>
        </w:rPr>
        <w:t xml:space="preserve"> ، ج 88 ، ص 29.</w:t>
      </w:r>
      <w:r>
        <w:rPr>
          <w:rFonts w:hint="cs"/>
          <w:rtl/>
        </w:rPr>
        <w:t xml:space="preserve">             </w:t>
      </w:r>
      <w:r w:rsidR="006C577F">
        <w:rPr>
          <w:rtl/>
        </w:rPr>
        <w:t>(1).</w:t>
      </w:r>
      <w:r w:rsidR="008A74EB">
        <w:rPr>
          <w:rtl/>
        </w:rPr>
        <w:t xml:space="preserve"> </w:t>
      </w:r>
      <w:r w:rsidR="008A74EB" w:rsidRPr="00C9040A">
        <w:rPr>
          <w:rtl/>
        </w:rPr>
        <w:t xml:space="preserve">في « </w:t>
      </w:r>
      <w:r w:rsidR="006D3162">
        <w:rPr>
          <w:rtl/>
        </w:rPr>
        <w:t xml:space="preserve">ه </w:t>
      </w:r>
      <w:r w:rsidR="008A74EB" w:rsidRPr="00C9040A">
        <w:rPr>
          <w:rtl/>
        </w:rPr>
        <w:t>» : « ما يقبل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الوافي</w:t>
      </w:r>
      <w:r w:rsidR="008A74EB" w:rsidRPr="00C9040A">
        <w:rPr>
          <w:rtl/>
        </w:rPr>
        <w:t xml:space="preserve"> ، ج 5 ، ص 1011 ، ح 3497 ؛ </w:t>
      </w:r>
      <w:r w:rsidR="008A74EB" w:rsidRPr="00993B55">
        <w:rPr>
          <w:rStyle w:val="libFootnoteBoldChar"/>
          <w:rtl/>
        </w:rPr>
        <w:t>الوسائل</w:t>
      </w:r>
      <w:r w:rsidR="008A74EB" w:rsidRPr="00C9040A">
        <w:rPr>
          <w:rtl/>
        </w:rPr>
        <w:t xml:space="preserve"> ، ج 15 ، ص 337 ، ح 20679.</w:t>
      </w:r>
    </w:p>
    <w:p w:rsidR="008A74EB" w:rsidRPr="00C9040A" w:rsidRDefault="006C577F" w:rsidP="004A4E41">
      <w:pPr>
        <w:pStyle w:val="libFootnote0"/>
        <w:rPr>
          <w:rtl/>
          <w:lang w:bidi="fa-IR"/>
        </w:rPr>
      </w:pPr>
      <w:r>
        <w:rPr>
          <w:rtl/>
        </w:rPr>
        <w:t>(3).</w:t>
      </w:r>
      <w:r w:rsidR="008A74EB" w:rsidRPr="00C9040A">
        <w:rPr>
          <w:rtl/>
        </w:rPr>
        <w:t xml:space="preserve"> في حاشية « بر » : « قال : سمعت أبا عبدالله </w:t>
      </w:r>
      <w:r w:rsidR="00117575" w:rsidRPr="00117575">
        <w:rPr>
          <w:rStyle w:val="libFootnoteAlaemChar"/>
          <w:rtl/>
        </w:rPr>
        <w:t>عليه‌السلام</w:t>
      </w:r>
      <w:r w:rsidR="008A74EB" w:rsidRPr="00C9040A">
        <w:rPr>
          <w:rtl/>
        </w:rPr>
        <w:t xml:space="preserve"> يقول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w:t>
      </w:r>
      <w:r w:rsidR="008A74EB" w:rsidRPr="00993B55">
        <w:rPr>
          <w:rStyle w:val="libFootnoteBoldChar"/>
          <w:rtl/>
        </w:rPr>
        <w:t>مرآة العقول</w:t>
      </w:r>
      <w:r w:rsidR="008A74EB" w:rsidRPr="00C9040A">
        <w:rPr>
          <w:rtl/>
        </w:rPr>
        <w:t xml:space="preserve"> ، ج 10 ، ص 73 : « كأنّ المراد با</w:t>
      </w:r>
      <w:r w:rsidR="007F2CF3">
        <w:rPr>
          <w:rFonts w:hint="cs"/>
          <w:rtl/>
        </w:rPr>
        <w:t>ُ</w:t>
      </w:r>
      <w:r w:rsidR="008A74EB" w:rsidRPr="00C9040A">
        <w:rPr>
          <w:rtl/>
        </w:rPr>
        <w:t>صول الكفر ما يصير سبباً للكفر أحياناً ، لا دائماً ، وللكفر أيضاً معان كثيرة : منها ما يتحقّق بإنكار الربّ سبحانه والإلحاد في صفاته. ومنها ما يتضمّن إنكار أنبيائه وحججه ، أو ما أتوابه من ا</w:t>
      </w:r>
      <w:r w:rsidR="007F2CF3">
        <w:rPr>
          <w:rFonts w:hint="cs"/>
          <w:rtl/>
        </w:rPr>
        <w:t>ُ</w:t>
      </w:r>
      <w:r w:rsidR="008A74EB" w:rsidRPr="00C9040A">
        <w:rPr>
          <w:rtl/>
        </w:rPr>
        <w:t xml:space="preserve">مور المعاد وأمثالها. ومنها ما يتحقّق بمعصية الله ورسوله. ومنها ما يكون بكفران نعم الله تعالى إلى أن ينتهي إلى ترك الأولى ، فالحرص يمكن أن يصير داعياً إلى ترك الأولى ، أو ارتكاب صغيرة أو كبيرة حتّى ينتهي إلى جحود يوجب الشرك والخلود ، فما في آدم </w:t>
      </w:r>
      <w:r w:rsidR="00117575" w:rsidRPr="00117575">
        <w:rPr>
          <w:rStyle w:val="libFootnoteAlaemChar"/>
          <w:rtl/>
        </w:rPr>
        <w:t>عليه‌السلام</w:t>
      </w:r>
      <w:r w:rsidR="008A74EB" w:rsidRPr="00C9040A">
        <w:rPr>
          <w:rtl/>
        </w:rPr>
        <w:t xml:space="preserve"> كان من الأوّل ، ثمّ تكامل في أولاده حتّى انتهى إلى الأخير ، فصحّ أنّه أصل الكفر ، وكذا سائر الصفات »</w:t>
      </w:r>
      <w:r w:rsidR="008A74EB">
        <w:rPr>
          <w:rtl/>
        </w:rPr>
        <w:t>.</w:t>
      </w:r>
    </w:p>
    <w:tbl>
      <w:tblPr>
        <w:tblStyle w:val="TableGrid"/>
        <w:bidiVisual/>
        <w:tblW w:w="0" w:type="auto"/>
        <w:tblLook w:val="04A0" w:firstRow="1" w:lastRow="0" w:firstColumn="1" w:lastColumn="0" w:noHBand="0" w:noVBand="1"/>
      </w:tblPr>
      <w:tblGrid>
        <w:gridCol w:w="4006"/>
        <w:gridCol w:w="4006"/>
      </w:tblGrid>
      <w:tr w:rsidR="007F2CF3" w:rsidTr="007F2CF3">
        <w:tc>
          <w:tcPr>
            <w:tcW w:w="4006" w:type="dxa"/>
          </w:tcPr>
          <w:p w:rsidR="007F2CF3" w:rsidRDefault="007F2CF3" w:rsidP="004A4E41">
            <w:pPr>
              <w:pStyle w:val="libFootnote0"/>
              <w:rPr>
                <w:rtl/>
                <w:lang w:bidi="fa-IR"/>
              </w:rPr>
            </w:pPr>
            <w:r>
              <w:rPr>
                <w:rtl/>
              </w:rPr>
              <w:t>(5).</w:t>
            </w:r>
            <w:r w:rsidRPr="00C9040A">
              <w:rPr>
                <w:rtl/>
              </w:rPr>
              <w:t xml:space="preserve"> في « بس » والخصال : « أن يأكل »</w:t>
            </w:r>
            <w:r>
              <w:rPr>
                <w:rtl/>
              </w:rPr>
              <w:t>.</w:t>
            </w:r>
          </w:p>
        </w:tc>
        <w:tc>
          <w:tcPr>
            <w:tcW w:w="4006" w:type="dxa"/>
          </w:tcPr>
          <w:p w:rsidR="007F2CF3" w:rsidRDefault="007F2CF3" w:rsidP="004A4E41">
            <w:pPr>
              <w:pStyle w:val="libFootnote0"/>
              <w:rPr>
                <w:rtl/>
                <w:lang w:bidi="fa-IR"/>
              </w:rPr>
            </w:pPr>
            <w:r>
              <w:rPr>
                <w:rtl/>
              </w:rPr>
              <w:t xml:space="preserve">(6). </w:t>
            </w:r>
            <w:r w:rsidRPr="00C9040A">
              <w:rPr>
                <w:rtl/>
              </w:rPr>
              <w:t xml:space="preserve">في « </w:t>
            </w:r>
            <w:r>
              <w:rPr>
                <w:rtl/>
              </w:rPr>
              <w:t xml:space="preserve">ه </w:t>
            </w:r>
            <w:r w:rsidRPr="00C9040A">
              <w:rPr>
                <w:rtl/>
              </w:rPr>
              <w:t>» : « فإنّ إبليس »</w:t>
            </w:r>
            <w:r>
              <w:rPr>
                <w:rtl/>
              </w:rPr>
              <w:t>.</w:t>
            </w:r>
          </w:p>
        </w:tc>
      </w:tr>
    </w:tbl>
    <w:p w:rsidR="008A74EB" w:rsidRPr="00C9040A" w:rsidRDefault="006C577F" w:rsidP="004A4E41">
      <w:pPr>
        <w:pStyle w:val="libFootnote0"/>
        <w:rPr>
          <w:rtl/>
          <w:lang w:bidi="fa-IR"/>
        </w:rPr>
      </w:pPr>
      <w:r>
        <w:rPr>
          <w:rtl/>
        </w:rPr>
        <w:t>(7).</w:t>
      </w:r>
      <w:r w:rsidR="008A74EB" w:rsidRPr="00C9040A">
        <w:rPr>
          <w:rtl/>
        </w:rPr>
        <w:t xml:space="preserve"> في حاشية « ج » والبحار والخصال والأمالي : « حين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 </w:t>
      </w:r>
      <w:r w:rsidR="006D3162">
        <w:rPr>
          <w:rtl/>
        </w:rPr>
        <w:t xml:space="preserve">ه </w:t>
      </w:r>
      <w:r w:rsidR="008A74EB" w:rsidRPr="00C9040A">
        <w:rPr>
          <w:rtl/>
        </w:rPr>
        <w:t>» : « فلم يسجد »</w:t>
      </w:r>
      <w:r w:rsidR="008A74EB">
        <w:rPr>
          <w:rtl/>
        </w:rPr>
        <w:t>.</w:t>
      </w:r>
      <w:r w:rsidR="008A74EB" w:rsidRPr="00C9040A">
        <w:rPr>
          <w:rtl/>
        </w:rPr>
        <w:t xml:space="preserve"> وفي البحار والأمالي : « استكبر »</w:t>
      </w:r>
      <w:r w:rsidR="008A74EB">
        <w:rPr>
          <w:rtl/>
        </w:rPr>
        <w:t>.</w:t>
      </w:r>
      <w:r w:rsidR="008A74EB" w:rsidRPr="00C9040A">
        <w:rPr>
          <w:rtl/>
        </w:rPr>
        <w:t xml:space="preserve"> وفي </w:t>
      </w:r>
      <w:r w:rsidR="008A74EB" w:rsidRPr="00993B55">
        <w:rPr>
          <w:rStyle w:val="libFootnoteBoldChar"/>
          <w:rtl/>
        </w:rPr>
        <w:t>شرح المازندراني</w:t>
      </w:r>
      <w:r w:rsidR="008A74EB" w:rsidRPr="00C9040A">
        <w:rPr>
          <w:rtl/>
        </w:rPr>
        <w:t xml:space="preserve"> ، ج 9 ، ص 268 : « قد كان إباء إبليس لعنه الله من السجود عن حسد واستكبار ، وإنّما خصّ الاستكبار بالذكر لأنّه تمسّك به ، حيث قال : </w:t>
      </w:r>
      <w:r w:rsidR="008A74EB" w:rsidRPr="00C822D0">
        <w:rPr>
          <w:rStyle w:val="libFootnoteAlaemChar"/>
          <w:rtl/>
        </w:rPr>
        <w:t>(</w:t>
      </w:r>
      <w:r w:rsidR="008A74EB" w:rsidRPr="00883DD5">
        <w:rPr>
          <w:rStyle w:val="libFootnoteAieChar"/>
          <w:rFonts w:hint="cs"/>
          <w:rtl/>
        </w:rPr>
        <w:t xml:space="preserve"> </w:t>
      </w:r>
      <w:r w:rsidR="008A74EB" w:rsidRPr="00883DD5">
        <w:rPr>
          <w:rStyle w:val="libFootnoteAieChar"/>
          <w:rtl/>
        </w:rPr>
        <w:t xml:space="preserve">أَنَا </w:t>
      </w:r>
      <w:r w:rsidR="007F2CF3" w:rsidRPr="00285397">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حَيْثُ </w:t>
      </w:r>
      <w:r w:rsidR="006C577F" w:rsidRPr="006C577F">
        <w:rPr>
          <w:rStyle w:val="libFootnotenumChar"/>
          <w:rtl/>
        </w:rPr>
        <w:t>(1)</w:t>
      </w:r>
      <w:r w:rsidRPr="00C9040A">
        <w:rPr>
          <w:rtl/>
          <w:lang w:bidi="fa-IR"/>
        </w:rPr>
        <w:t xml:space="preserve"> قَتَلَ أَحَدُهُمَا صَاحِبَهُ </w:t>
      </w:r>
      <w:r w:rsidR="006C577F" w:rsidRPr="006C577F">
        <w:rPr>
          <w:rStyle w:val="libFootnotenumChar"/>
          <w:rtl/>
        </w:rPr>
        <w:t>(2)</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295601">
        <w:rPr>
          <w:rtl/>
        </w:rPr>
        <w:t>2474</w:t>
      </w:r>
      <w:r w:rsidRPr="00261CB0">
        <w:rPr>
          <w:rStyle w:val="libBold2Char"/>
          <w:rtl/>
        </w:rPr>
        <w:t xml:space="preserve"> / 2.</w:t>
      </w:r>
      <w:r w:rsidRPr="00C9040A">
        <w:rPr>
          <w:rtl/>
          <w:lang w:bidi="fa-IR"/>
        </w:rPr>
        <w:t xml:space="preserve"> عَلِيُّ بْنُ إِبْرَاهِيمَ ، عَنْ أَبِيهِ ، عَنِ النَّوْفَلِيِّ ، عَنِ السَّكُونِيِّ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النَّبِيُّ </w:t>
      </w:r>
      <w:r w:rsidR="006C577F" w:rsidRPr="006C577F">
        <w:rPr>
          <w:rStyle w:val="libFootnotenumChar"/>
          <w:rtl/>
        </w:rPr>
        <w:t>(4)</w:t>
      </w:r>
      <w:r w:rsidRPr="00C9040A">
        <w:rPr>
          <w:rtl/>
          <w:lang w:bidi="fa-IR"/>
        </w:rPr>
        <w:t xml:space="preserve"> </w:t>
      </w:r>
      <w:r w:rsidR="004A4E41" w:rsidRPr="004A4E41">
        <w:rPr>
          <w:rStyle w:val="libAlaemChar"/>
          <w:rtl/>
        </w:rPr>
        <w:t>صلى‌الله‌عليه‌وآله</w:t>
      </w:r>
      <w:r w:rsidRPr="00C9040A">
        <w:rPr>
          <w:rtl/>
          <w:lang w:bidi="fa-IR"/>
        </w:rPr>
        <w:t xml:space="preserve"> : أَرْكَانُ الْكُفْرِ أَرْبَعَةٌ : الرَّغْبَةُ ، وَالرَّهْبَةُ ، وَالسَّخَطُ </w:t>
      </w:r>
      <w:r w:rsidR="006C577F" w:rsidRPr="006C577F">
        <w:rPr>
          <w:rStyle w:val="libFootnotenumChar"/>
          <w:rtl/>
        </w:rPr>
        <w:t>(5)</w:t>
      </w:r>
      <w:r w:rsidRPr="00C9040A">
        <w:rPr>
          <w:rtl/>
          <w:lang w:bidi="fa-IR"/>
        </w:rPr>
        <w:t xml:space="preserve"> ، وَالْغَضَبُ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Normal"/>
        <w:rPr>
          <w:rtl/>
          <w:lang w:bidi="fa-IR"/>
        </w:rPr>
      </w:pPr>
      <w:r w:rsidRPr="00295601">
        <w:rPr>
          <w:rtl/>
        </w:rPr>
        <w:t>2475</w:t>
      </w:r>
      <w:r w:rsidRPr="00261CB0">
        <w:rPr>
          <w:rStyle w:val="libBold2Char"/>
          <w:rtl/>
        </w:rPr>
        <w:t xml:space="preserve"> / 3.</w:t>
      </w:r>
      <w:r w:rsidRPr="00C9040A">
        <w:rPr>
          <w:rtl/>
          <w:lang w:bidi="fa-IR"/>
        </w:rPr>
        <w:t xml:space="preserve"> عِدَّةٌ مِنْ أَصْحَابِنَا ، عَنْ أَحْمَدَ بْنِ مُحَمَّدِ بْنِ خَالِدٍ ، عَنْ نُوحِ بْنِ شُعَيْبٍ ، عَنْ عُبَيْدِ اللهِ </w:t>
      </w:r>
      <w:r w:rsidR="006C577F" w:rsidRPr="006C577F">
        <w:rPr>
          <w:rStyle w:val="libFootnotenumChar"/>
          <w:rtl/>
        </w:rPr>
        <w:t>(7)</w:t>
      </w:r>
      <w:r w:rsidRPr="00C9040A">
        <w:rPr>
          <w:rtl/>
          <w:lang w:bidi="fa-IR"/>
        </w:rPr>
        <w:t xml:space="preserve"> الدِّهْقَانِ ، عَنْ عَبْدِ اللهِ بْنِ سِنَانٍ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إِنَّ </w:t>
      </w:r>
      <w:r w:rsidR="006C577F" w:rsidRPr="006C577F">
        <w:rPr>
          <w:rStyle w:val="libFootnotenumChar"/>
          <w:rtl/>
        </w:rPr>
        <w:t>(8)</w:t>
      </w:r>
      <w:r w:rsidRPr="00C9040A">
        <w:rPr>
          <w:rtl/>
          <w:lang w:bidi="fa-IR"/>
        </w:rPr>
        <w:t xml:space="preserve"> أَوَّلَ مَا عُصِيَ اللهُ</w:t>
      </w:r>
      <w:r>
        <w:rPr>
          <w:rtl/>
          <w:lang w:bidi="fa-IR"/>
        </w:rPr>
        <w:t xml:space="preserve"> </w:t>
      </w:r>
      <w:r w:rsidR="0084262C">
        <w:rPr>
          <w:rtl/>
          <w:lang w:bidi="fa-IR"/>
        </w:rPr>
        <w:t>-</w:t>
      </w:r>
      <w:r w:rsidR="00285397">
        <w:rPr>
          <w:rtl/>
          <w:lang w:bidi="fa-IR"/>
        </w:rPr>
        <w:t>عَزَّ وَجَلَّ</w:t>
      </w:r>
      <w:r w:rsidR="0084262C">
        <w:rPr>
          <w:rtl/>
          <w:lang w:bidi="fa-IR"/>
        </w:rPr>
        <w:t>-</w:t>
      </w:r>
    </w:p>
    <w:p w:rsidR="008A74EB" w:rsidRPr="00C9040A" w:rsidRDefault="008A74EB" w:rsidP="008A74EB">
      <w:pPr>
        <w:pStyle w:val="libLine"/>
        <w:rPr>
          <w:rtl/>
          <w:lang w:bidi="fa-IR"/>
        </w:rPr>
      </w:pPr>
      <w:r w:rsidRPr="00C9040A">
        <w:rPr>
          <w:rtl/>
          <w:lang w:bidi="fa-IR"/>
        </w:rPr>
        <w:t>__________________</w:t>
      </w:r>
    </w:p>
    <w:p w:rsidR="008A74EB" w:rsidRPr="00C9040A" w:rsidRDefault="00285397" w:rsidP="004A4E41">
      <w:pPr>
        <w:pStyle w:val="libFootnote0"/>
        <w:rPr>
          <w:rtl/>
          <w:lang w:bidi="fa-IR"/>
        </w:rPr>
      </w:pPr>
      <w:r w:rsidRPr="00285397">
        <w:rPr>
          <w:rFonts w:hint="cs"/>
          <w:rtl/>
        </w:rPr>
        <w:t>=</w:t>
      </w:r>
      <w:r>
        <w:rPr>
          <w:rFonts w:hint="cs"/>
          <w:rtl/>
        </w:rPr>
        <w:t xml:space="preserve"> </w:t>
      </w:r>
      <w:r w:rsidR="008A74EB" w:rsidRPr="00883DD5">
        <w:rPr>
          <w:rStyle w:val="libFootnoteAieChar"/>
          <w:rtl/>
        </w:rPr>
        <w:t>خَيْرٌ مِنْهُ خَلَقْتَنِي مِنْ نارٍ وَخَلَقْتَهُ مِنْ طِينٍ</w:t>
      </w:r>
      <w:r w:rsidR="008A74EB" w:rsidRPr="00883DD5">
        <w:rPr>
          <w:rStyle w:val="libFootnoteAieChar"/>
          <w:rFonts w:hint="cs"/>
          <w:rtl/>
        </w:rPr>
        <w:t xml:space="preserve"> </w:t>
      </w:r>
      <w:r w:rsidR="008A74EB" w:rsidRPr="00C822D0">
        <w:rPr>
          <w:rStyle w:val="libFootnoteAlaemChar"/>
          <w:rtl/>
        </w:rPr>
        <w:t>)</w:t>
      </w:r>
      <w:r w:rsidR="008A74EB" w:rsidRPr="00C9040A">
        <w:rPr>
          <w:rtl/>
        </w:rPr>
        <w:t xml:space="preserve"> [ الأعراف </w:t>
      </w:r>
      <w:r>
        <w:rPr>
          <w:rtl/>
        </w:rPr>
        <w:t>(7)</w:t>
      </w:r>
      <w:r w:rsidR="008A74EB" w:rsidRPr="00C9040A">
        <w:rPr>
          <w:rtl/>
        </w:rPr>
        <w:t xml:space="preserve"> : 12 ؛ ص (38) : 76 ] ، أو لأنّ الاستكبار أقبح من الحسد ؛ لأنّ المتكبّر يدّعي مشاركة الباري في أخصّ صفاته »</w:t>
      </w:r>
      <w:r w:rsidR="008A74EB">
        <w:rPr>
          <w:rtl/>
        </w:rPr>
        <w:t>.</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الخصال والأمالي : « حين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الخصال والأمالي : + « حسداً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w:t>
      </w:r>
      <w:r w:rsidR="008A74EB" w:rsidRPr="0034021D">
        <w:rPr>
          <w:rStyle w:val="libFootnoteBoldChar"/>
          <w:rtl/>
        </w:rPr>
        <w:t>الأمالي للصدوق</w:t>
      </w:r>
      <w:r w:rsidR="008A74EB" w:rsidRPr="00C9040A">
        <w:rPr>
          <w:rtl/>
        </w:rPr>
        <w:t xml:space="preserve"> ، ص 419 ، المجلس 65 ، ح 7 ؛ </w:t>
      </w:r>
      <w:r w:rsidR="008A74EB" w:rsidRPr="00285397">
        <w:rPr>
          <w:rStyle w:val="libFootnoteBoldChar"/>
          <w:rtl/>
        </w:rPr>
        <w:t>وا</w:t>
      </w:r>
      <w:r w:rsidR="008A74EB" w:rsidRPr="00993B55">
        <w:rPr>
          <w:rStyle w:val="libFootnoteBoldChar"/>
          <w:rtl/>
        </w:rPr>
        <w:t>لخصال</w:t>
      </w:r>
      <w:r w:rsidR="008A74EB" w:rsidRPr="00C9040A">
        <w:rPr>
          <w:rtl/>
        </w:rPr>
        <w:t xml:space="preserve"> ، ص 90 ، باب الثلاثة ، ح 28 ، بسندهما عن بكر بن محمّد </w:t>
      </w:r>
      <w:r w:rsidR="00285397">
        <w:rPr>
          <w:rFonts w:hint="cs"/>
          <w:rtl/>
        </w:rPr>
        <w:t>.</w:t>
      </w:r>
      <w:r w:rsidR="008A74EB" w:rsidRPr="00993B55">
        <w:rPr>
          <w:rStyle w:val="libFootnoteBoldChar"/>
          <w:rtl/>
        </w:rPr>
        <w:t>الوافي</w:t>
      </w:r>
      <w:r w:rsidR="008A74EB" w:rsidRPr="00C9040A">
        <w:rPr>
          <w:rtl/>
        </w:rPr>
        <w:t xml:space="preserve"> ، ج 5 ، ص 839 ، ح 3108 ؛ </w:t>
      </w:r>
      <w:r w:rsidR="008A74EB" w:rsidRPr="00993B55">
        <w:rPr>
          <w:rStyle w:val="libFootnoteBoldChar"/>
          <w:rtl/>
        </w:rPr>
        <w:t>الوسائل</w:t>
      </w:r>
      <w:r w:rsidR="008A74EB" w:rsidRPr="00C9040A">
        <w:rPr>
          <w:rtl/>
        </w:rPr>
        <w:t xml:space="preserve"> ، ج 15 ، ص 339 ، ح 20684 ، إلى قوله : « والاستكبار والحسد » ؛ </w:t>
      </w:r>
      <w:r w:rsidR="008A74EB" w:rsidRPr="00993B55">
        <w:rPr>
          <w:rStyle w:val="libFootnoteBoldChar"/>
          <w:rtl/>
        </w:rPr>
        <w:t>البحار</w:t>
      </w:r>
      <w:r w:rsidR="008A74EB" w:rsidRPr="00C9040A">
        <w:rPr>
          <w:rtl/>
        </w:rPr>
        <w:t xml:space="preserve"> ، ج 72 ، ص 104 ، ح 1.</w:t>
      </w:r>
    </w:p>
    <w:p w:rsidR="008A74EB" w:rsidRPr="00C9040A" w:rsidRDefault="006C577F" w:rsidP="004A4E41">
      <w:pPr>
        <w:pStyle w:val="libFootnote0"/>
        <w:rPr>
          <w:rtl/>
          <w:lang w:bidi="fa-IR"/>
        </w:rPr>
      </w:pPr>
      <w:r>
        <w:rPr>
          <w:rtl/>
        </w:rPr>
        <w:t>(4).</w:t>
      </w:r>
      <w:r w:rsidR="008A74EB" w:rsidRPr="00C9040A">
        <w:rPr>
          <w:rtl/>
        </w:rPr>
        <w:t xml:space="preserve"> في حاشية « ج » : « رسول الله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بر » : + « بقضاء الله »</w:t>
      </w:r>
      <w:r w:rsidR="008A74EB">
        <w:rPr>
          <w:rtl/>
        </w:rPr>
        <w:t>.</w:t>
      </w:r>
      <w:r w:rsidR="008A74EB" w:rsidRPr="00C9040A">
        <w:rPr>
          <w:rtl/>
        </w:rPr>
        <w:t xml:space="preserve"> ولعلّ المراد بالرغبة الرغبة في الدنيا والحرص عليها ، وبالرهبة الخوف من فواتها والهمّ من زوالها ، وبالسخط عدم الرضا بقضاء الله وانقباض النفس في حكمه ، وبالغضب ثوران النفس نحو الانتقام عند مشاهدة ما لايلائمها من المكاره والآلام. راجع : </w:t>
      </w:r>
      <w:r w:rsidR="008A74EB" w:rsidRPr="00993B55">
        <w:rPr>
          <w:rStyle w:val="libFootnoteBoldChar"/>
          <w:rtl/>
        </w:rPr>
        <w:t>شرح المازندراني</w:t>
      </w:r>
      <w:r w:rsidR="008A74EB" w:rsidRPr="00C9040A">
        <w:rPr>
          <w:rtl/>
        </w:rPr>
        <w:t xml:space="preserve"> ، ج 9 ، ص 269.</w:t>
      </w:r>
    </w:p>
    <w:p w:rsidR="008A74EB" w:rsidRPr="00C9040A" w:rsidRDefault="006C577F" w:rsidP="00285397">
      <w:pPr>
        <w:pStyle w:val="libFootnote0"/>
        <w:rPr>
          <w:rtl/>
          <w:lang w:bidi="fa-IR"/>
        </w:rPr>
      </w:pPr>
      <w:r>
        <w:rPr>
          <w:rtl/>
        </w:rPr>
        <w:t>(6).</w:t>
      </w:r>
      <w:r w:rsidR="008A74EB">
        <w:rPr>
          <w:rtl/>
        </w:rPr>
        <w:t xml:space="preserve"> </w:t>
      </w:r>
      <w:r w:rsidR="008A74EB" w:rsidRPr="0034021D">
        <w:rPr>
          <w:rStyle w:val="libFootnoteBoldChar"/>
          <w:rtl/>
        </w:rPr>
        <w:t>الأمالي للصدوق</w:t>
      </w:r>
      <w:r w:rsidR="008A74EB" w:rsidRPr="00C9040A">
        <w:rPr>
          <w:rtl/>
        </w:rPr>
        <w:t xml:space="preserve"> ، ص 419 ، المجلس 65 ، ح 8 ، عن أبيه ، عن عليّ بن إبراهيم. </w:t>
      </w:r>
      <w:r w:rsidR="008A74EB" w:rsidRPr="00993B55">
        <w:rPr>
          <w:rStyle w:val="libFootnoteBoldChar"/>
          <w:rtl/>
        </w:rPr>
        <w:t>الجعفريّات</w:t>
      </w:r>
      <w:r w:rsidR="008A74EB" w:rsidRPr="00C9040A">
        <w:rPr>
          <w:rtl/>
        </w:rPr>
        <w:t xml:space="preserve"> ، ص 232 ، بسند آخر عن جعفر بن محمّد ، عن آبائه ، عن أميرالمؤمنين </w:t>
      </w:r>
      <w:r w:rsidR="00117575" w:rsidRPr="00117575">
        <w:rPr>
          <w:rStyle w:val="libFootnoteAlaemChar"/>
          <w:rtl/>
        </w:rPr>
        <w:t>عليهم‌السلام</w:t>
      </w:r>
      <w:r w:rsidR="008A74EB" w:rsidRPr="00C9040A">
        <w:rPr>
          <w:rtl/>
        </w:rPr>
        <w:t xml:space="preserve"> ، مع زيادة في أوّله. </w:t>
      </w:r>
      <w:r w:rsidR="008A74EB" w:rsidRPr="00993B55">
        <w:rPr>
          <w:rStyle w:val="libFootnoteBoldChar"/>
          <w:rtl/>
        </w:rPr>
        <w:t>تحف العقول</w:t>
      </w:r>
      <w:r w:rsidR="008A74EB" w:rsidRPr="00C9040A">
        <w:rPr>
          <w:rtl/>
        </w:rPr>
        <w:t xml:space="preserve"> ، ص 223 ، مع زيادة في أوّله ؛ </w:t>
      </w:r>
      <w:r w:rsidR="008A74EB" w:rsidRPr="00993B55">
        <w:rPr>
          <w:rStyle w:val="libFootnoteBoldChar"/>
          <w:rtl/>
        </w:rPr>
        <w:t>وفيه</w:t>
      </w:r>
      <w:r w:rsidR="008A74EB" w:rsidRPr="00C9040A">
        <w:rPr>
          <w:rtl/>
        </w:rPr>
        <w:t xml:space="preserve"> ، ص 207 ، عن أميرالمؤمنين </w:t>
      </w:r>
      <w:r w:rsidR="00117575" w:rsidRPr="00117575">
        <w:rPr>
          <w:rStyle w:val="libFootnoteAlaemChar"/>
          <w:rtl/>
        </w:rPr>
        <w:t>عليه‌السلام</w:t>
      </w:r>
      <w:r w:rsidR="00285397">
        <w:rPr>
          <w:rFonts w:hint="cs"/>
          <w:rtl/>
        </w:rPr>
        <w:t>.</w:t>
      </w:r>
      <w:r w:rsidR="008A74EB" w:rsidRPr="00993B55">
        <w:rPr>
          <w:rStyle w:val="libFootnoteBoldChar"/>
          <w:rtl/>
        </w:rPr>
        <w:t>الوافي</w:t>
      </w:r>
      <w:r w:rsidR="008A74EB" w:rsidRPr="00C9040A">
        <w:rPr>
          <w:rtl/>
        </w:rPr>
        <w:t xml:space="preserve"> ، ج 4 ، ص 229 ، ح 1859 ؛ </w:t>
      </w:r>
      <w:r w:rsidR="008A74EB" w:rsidRPr="00993B55">
        <w:rPr>
          <w:rStyle w:val="libFootnoteBoldChar"/>
          <w:rtl/>
        </w:rPr>
        <w:t>الوسائل</w:t>
      </w:r>
      <w:r w:rsidR="008A74EB" w:rsidRPr="00C9040A">
        <w:rPr>
          <w:rtl/>
        </w:rPr>
        <w:t xml:space="preserve"> ، ج 15 ، ص 339 ، ح 20685 ؛ </w:t>
      </w:r>
      <w:r w:rsidR="008A74EB" w:rsidRPr="00993B55">
        <w:rPr>
          <w:rStyle w:val="libFootnoteBoldChar"/>
          <w:rtl/>
        </w:rPr>
        <w:t>البحار</w:t>
      </w:r>
      <w:r w:rsidR="008A74EB" w:rsidRPr="00C9040A">
        <w:rPr>
          <w:rtl/>
        </w:rPr>
        <w:t xml:space="preserve"> ، ج 72 ، ص 105 ، ح 2.</w:t>
      </w:r>
    </w:p>
    <w:p w:rsidR="008A74EB" w:rsidRPr="00C9040A" w:rsidRDefault="006C577F" w:rsidP="004A4E41">
      <w:pPr>
        <w:pStyle w:val="libFootnote0"/>
        <w:rPr>
          <w:rtl/>
          <w:lang w:bidi="fa-IR"/>
        </w:rPr>
      </w:pPr>
      <w:r>
        <w:rPr>
          <w:rtl/>
        </w:rPr>
        <w:t>(7).</w:t>
      </w:r>
      <w:r w:rsidR="008A74EB" w:rsidRPr="00C9040A">
        <w:rPr>
          <w:rtl/>
        </w:rPr>
        <w:t xml:space="preserve"> هكذا في « ب ، ج ، د ، ز ، ص ، بر ، بس ، بف ، جر »</w:t>
      </w:r>
      <w:r w:rsidR="008A74EB">
        <w:rPr>
          <w:rtl/>
        </w:rPr>
        <w:t>.</w:t>
      </w:r>
      <w:r w:rsidR="008A74EB" w:rsidRPr="00C9040A">
        <w:rPr>
          <w:rtl/>
        </w:rPr>
        <w:t xml:space="preserve"> وفي « </w:t>
      </w:r>
      <w:r w:rsidR="006D3162">
        <w:rPr>
          <w:rtl/>
        </w:rPr>
        <w:t xml:space="preserve">ه </w:t>
      </w:r>
      <w:r w:rsidR="008A74EB" w:rsidRPr="00C9040A">
        <w:rPr>
          <w:rtl/>
        </w:rPr>
        <w:t>» والمطبوع : « عبدالله »</w:t>
      </w:r>
      <w:r w:rsidR="008A74EB">
        <w:rPr>
          <w:rtl/>
        </w:rPr>
        <w:t>.</w:t>
      </w:r>
    </w:p>
    <w:p w:rsidR="008A74EB" w:rsidRPr="00C9040A" w:rsidRDefault="008A74EB" w:rsidP="00285397">
      <w:pPr>
        <w:pStyle w:val="libFootnote0"/>
        <w:rPr>
          <w:rtl/>
          <w:lang w:bidi="fa-IR"/>
        </w:rPr>
      </w:pPr>
      <w:r w:rsidRPr="00323A39">
        <w:rPr>
          <w:rtl/>
        </w:rPr>
        <w:t>والصواب ما أثبتناه ، وعبيد</w:t>
      </w:r>
      <w:r w:rsidR="00285397">
        <w:rPr>
          <w:rFonts w:hint="cs"/>
          <w:rtl/>
        </w:rPr>
        <w:t xml:space="preserve"> </w:t>
      </w:r>
      <w:r w:rsidRPr="00323A39">
        <w:rPr>
          <w:rtl/>
        </w:rPr>
        <w:t>الله هذا ، هوعبيد</w:t>
      </w:r>
      <w:r w:rsidR="00285397">
        <w:rPr>
          <w:rFonts w:hint="cs"/>
          <w:rtl/>
        </w:rPr>
        <w:t xml:space="preserve"> </w:t>
      </w:r>
      <w:r w:rsidRPr="00323A39">
        <w:rPr>
          <w:rtl/>
        </w:rPr>
        <w:t>الله بن عبد</w:t>
      </w:r>
      <w:r w:rsidR="00285397">
        <w:rPr>
          <w:rFonts w:hint="cs"/>
          <w:rtl/>
        </w:rPr>
        <w:t xml:space="preserve"> </w:t>
      </w:r>
      <w:r w:rsidRPr="00323A39">
        <w:rPr>
          <w:rtl/>
        </w:rPr>
        <w:t xml:space="preserve">الله الدهقان المترجم في </w:t>
      </w:r>
      <w:r w:rsidRPr="00993B55">
        <w:rPr>
          <w:rStyle w:val="libFootnoteBoldChar"/>
          <w:rtl/>
        </w:rPr>
        <w:t>رجال النجاشي</w:t>
      </w:r>
      <w:r w:rsidRPr="00323A39">
        <w:rPr>
          <w:rtl/>
        </w:rPr>
        <w:t xml:space="preserve"> ، ص 231 ، الرقم 614 ، وفي </w:t>
      </w:r>
      <w:r w:rsidRPr="0034021D">
        <w:rPr>
          <w:rStyle w:val="libFootnoteBoldChar"/>
          <w:rtl/>
        </w:rPr>
        <w:t>الفهرست للطوسي</w:t>
      </w:r>
      <w:r w:rsidRPr="00323A39">
        <w:rPr>
          <w:rtl/>
        </w:rPr>
        <w:t xml:space="preserve"> ، ص 307 ، الرقم 469. وروى نوح بن شعيب عنه بعنوان عبيدالله بن عبدالله الدهقان في </w:t>
      </w:r>
      <w:r w:rsidRPr="00993B55">
        <w:rPr>
          <w:rStyle w:val="libFootnoteBoldChar"/>
          <w:rtl/>
        </w:rPr>
        <w:t>الكافي</w:t>
      </w:r>
      <w:r w:rsidRPr="00323A39">
        <w:rPr>
          <w:rtl/>
        </w:rPr>
        <w:t xml:space="preserve"> ، ح 129.</w:t>
      </w:r>
      <w:r w:rsidR="00285397">
        <w:rPr>
          <w:rFonts w:hint="cs"/>
          <w:rtl/>
        </w:rPr>
        <w:t xml:space="preserve">                                </w:t>
      </w:r>
      <w:r w:rsidR="006C577F">
        <w:rPr>
          <w:rtl/>
        </w:rPr>
        <w:t>(8).</w:t>
      </w:r>
      <w:r w:rsidRPr="00C9040A">
        <w:rPr>
          <w:rtl/>
        </w:rPr>
        <w:t xml:space="preserve"> في « </w:t>
      </w:r>
      <w:r w:rsidR="006D3162">
        <w:rPr>
          <w:rtl/>
        </w:rPr>
        <w:t xml:space="preserve">ه </w:t>
      </w:r>
      <w:r w:rsidRPr="00C9040A">
        <w:rPr>
          <w:rtl/>
        </w:rPr>
        <w:t xml:space="preserve">» والخصال </w:t>
      </w:r>
      <w:r>
        <w:rPr>
          <w:rtl/>
        </w:rPr>
        <w:t xml:space="preserve">: </w:t>
      </w:r>
      <w:r w:rsidR="0084262C">
        <w:rPr>
          <w:rtl/>
        </w:rPr>
        <w:t>-</w:t>
      </w:r>
      <w:r w:rsidRPr="00C9040A">
        <w:rPr>
          <w:rtl/>
        </w:rPr>
        <w:t xml:space="preserve"> « إنّ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بِهِ سِتٌّ </w:t>
      </w:r>
      <w:r w:rsidR="006C577F" w:rsidRPr="006C577F">
        <w:rPr>
          <w:rStyle w:val="libFootnotenumChar"/>
          <w:rtl/>
        </w:rPr>
        <w:t>(1)</w:t>
      </w:r>
      <w:r w:rsidRPr="00C9040A">
        <w:rPr>
          <w:rtl/>
          <w:lang w:bidi="fa-IR"/>
        </w:rPr>
        <w:t xml:space="preserve"> : حُبُّ الدُّنْيَا ، وَحُبُّ الرِّئَاسَةِ ، وَحُبُّ الطَّعَامِ ، وَحُبُّ النَّوْمِ ، وَحُبُّ الرَّاحَةِ </w:t>
      </w:r>
      <w:r w:rsidR="006C577F" w:rsidRPr="006C577F">
        <w:rPr>
          <w:rStyle w:val="libFootnotenumChar"/>
          <w:rtl/>
        </w:rPr>
        <w:t>(2)</w:t>
      </w:r>
      <w:r w:rsidRPr="00C9040A">
        <w:rPr>
          <w:rtl/>
          <w:lang w:bidi="fa-IR"/>
        </w:rPr>
        <w:t xml:space="preserve"> ، وَحُبُّ النِّسَاءِ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713BCF">
        <w:rPr>
          <w:rtl/>
        </w:rPr>
        <w:t>2476</w:t>
      </w:r>
      <w:r w:rsidRPr="00261CB0">
        <w:rPr>
          <w:rStyle w:val="libBold2Char"/>
          <w:rtl/>
        </w:rPr>
        <w:t xml:space="preserve"> / 4.</w:t>
      </w:r>
      <w:r w:rsidRPr="00C9040A">
        <w:rPr>
          <w:rtl/>
          <w:lang w:bidi="fa-IR"/>
        </w:rPr>
        <w:t xml:space="preserve"> مُحَمَّدُ بْنُ يَحْيى ، عَنْ أَحْمَدَ بْنِ مُحَمَّدٍ ، عَنْ مُحَمَّدِ بْنِ سِنَانٍ ، عَنْ طَلْحَةَ بْنِ زَيْدٍ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 أَنَّ رَجُلاً مِنْ خَثْعَمٍ جَاءَ إِلَى النَّبِيِّ </w:t>
      </w:r>
      <w:r w:rsidR="004A4E41" w:rsidRPr="004A4E41">
        <w:rPr>
          <w:rStyle w:val="libAlaemChar"/>
          <w:rtl/>
        </w:rPr>
        <w:t>صلى‌الله‌عليه‌وآله</w:t>
      </w:r>
      <w:r w:rsidRPr="00C9040A">
        <w:rPr>
          <w:rtl/>
          <w:lang w:bidi="fa-IR"/>
        </w:rPr>
        <w:t xml:space="preserve"> ، فَقَالَ : أَيُّ الْأَعْمَالِ أَبْغَضُ إِلَى اللهِ عَزَّ وَجَلَّ</w:t>
      </w:r>
      <w:r>
        <w:rPr>
          <w:rtl/>
          <w:lang w:bidi="fa-IR"/>
        </w:rPr>
        <w:t>؟</w:t>
      </w:r>
      <w:r w:rsidRPr="00C9040A">
        <w:rPr>
          <w:rtl/>
          <w:lang w:bidi="fa-IR"/>
        </w:rPr>
        <w:t xml:space="preserve"> فَقَالَ : الشِّرْكُ بِاللهِ ، قَالَ : ثُمَّ </w:t>
      </w:r>
      <w:r w:rsidR="006C577F" w:rsidRPr="006C577F">
        <w:rPr>
          <w:rStyle w:val="libFootnotenumChar"/>
          <w:rtl/>
        </w:rPr>
        <w:t>(4)</w:t>
      </w:r>
      <w:r w:rsidRPr="00C9040A">
        <w:rPr>
          <w:rtl/>
          <w:lang w:bidi="fa-IR"/>
        </w:rPr>
        <w:t xml:space="preserve"> مَا ذَا</w:t>
      </w:r>
      <w:r>
        <w:rPr>
          <w:rtl/>
          <w:lang w:bidi="fa-IR"/>
        </w:rPr>
        <w:t>؟</w:t>
      </w:r>
      <w:r w:rsidRPr="00C9040A">
        <w:rPr>
          <w:rtl/>
          <w:lang w:bidi="fa-IR"/>
        </w:rPr>
        <w:t xml:space="preserve"> قَالَ : قَطِيعَةُ الرَّحِمِ ، قَالَ :</w:t>
      </w:r>
    </w:p>
    <w:p w:rsidR="008A74EB" w:rsidRPr="00C9040A" w:rsidRDefault="008A74EB" w:rsidP="008A74EB">
      <w:pPr>
        <w:pStyle w:val="libNormal"/>
        <w:rPr>
          <w:rtl/>
          <w:lang w:bidi="fa-IR"/>
        </w:rPr>
      </w:pPr>
      <w:r w:rsidRPr="00C9040A">
        <w:rPr>
          <w:rtl/>
          <w:lang w:bidi="fa-IR"/>
        </w:rPr>
        <w:t>ثُمَّ مَا ذَا</w:t>
      </w:r>
      <w:r>
        <w:rPr>
          <w:rtl/>
          <w:lang w:bidi="fa-IR"/>
        </w:rPr>
        <w:t>؟</w:t>
      </w:r>
      <w:r w:rsidRPr="00C9040A">
        <w:rPr>
          <w:rtl/>
          <w:lang w:bidi="fa-IR"/>
        </w:rPr>
        <w:t xml:space="preserve"> قَالَ : الْأَمْرُ بِالْمُنْكَرِ ، وَالنَّهْيُ عَنِ الْمَعْرُوفِ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713BCF">
        <w:rPr>
          <w:rtl/>
        </w:rPr>
        <w:t>2477</w:t>
      </w:r>
      <w:r w:rsidRPr="00261CB0">
        <w:rPr>
          <w:rStyle w:val="libBold2Char"/>
          <w:rtl/>
        </w:rPr>
        <w:t xml:space="preserve"> / 5.</w:t>
      </w:r>
      <w:r w:rsidRPr="00C9040A">
        <w:rPr>
          <w:rtl/>
          <w:lang w:bidi="fa-IR"/>
        </w:rPr>
        <w:t xml:space="preserve"> عَلِيُّ بْنُ إِبْرَاهِيمَ ، عَنْ أَبِيهِ ، عَنِ ابْنِ أَبِي عُمَيْرٍ ، عَنْ حَسَنِ بْنِ عَطِيَّةَ ، عَنْ يَزِيدَ الصَّائِغِ ، قَالَ :</w:t>
      </w:r>
    </w:p>
    <w:p w:rsidR="008A74EB" w:rsidRPr="00C9040A" w:rsidRDefault="008A74EB" w:rsidP="008A74EB">
      <w:pPr>
        <w:pStyle w:val="libNormal"/>
        <w:rPr>
          <w:rtl/>
          <w:lang w:bidi="fa-IR"/>
        </w:rPr>
      </w:pPr>
      <w:r w:rsidRPr="00C9040A">
        <w:rPr>
          <w:rtl/>
          <w:lang w:bidi="fa-IR"/>
        </w:rPr>
        <w:t xml:space="preserve">قُلْتُ لِأَبِي عَبْدِ اللهِ </w:t>
      </w:r>
      <w:r w:rsidRPr="0003660B">
        <w:rPr>
          <w:rStyle w:val="libAlaemChar"/>
          <w:rtl/>
        </w:rPr>
        <w:t>عليه‌السلام</w:t>
      </w:r>
      <w:r w:rsidRPr="00C9040A">
        <w:rPr>
          <w:rtl/>
          <w:lang w:bidi="fa-IR"/>
        </w:rPr>
        <w:t xml:space="preserve"> : رَجُلٌ عَلى هذَا الْأَمْرِ إِنْ حَدَّثَ كَذَبَ ، وَإِنْ وَعَدَ أَخْلَفَ ، وَإِنِ ائْتُمِنَ خَانَ ، مَا مَنْزِلَتُهُ</w:t>
      </w:r>
      <w:r>
        <w:rPr>
          <w:rtl/>
          <w:lang w:bidi="fa-IR"/>
        </w:rPr>
        <w:t>؟</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ص » والوافي : + « خصال »</w:t>
      </w:r>
      <w:r w:rsidR="008A74EB">
        <w:rPr>
          <w:rtl/>
        </w:rPr>
        <w:t>.</w:t>
      </w:r>
      <w:r w:rsidR="008A74EB" w:rsidRPr="00C9040A">
        <w:rPr>
          <w:rtl/>
        </w:rPr>
        <w:t xml:space="preserve"> وفي الخصال : « بستّ خصال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w:t>
      </w:r>
      <w:r w:rsidR="006D3162">
        <w:rPr>
          <w:rtl/>
        </w:rPr>
        <w:t xml:space="preserve">ه </w:t>
      </w:r>
      <w:r w:rsidR="008A74EB" w:rsidRPr="00C9040A">
        <w:rPr>
          <w:rtl/>
        </w:rPr>
        <w:t>» : « وحبّ الراحة وحبّ النوم »</w:t>
      </w:r>
      <w:r w:rsidR="008A74EB">
        <w:rPr>
          <w:rtl/>
        </w:rPr>
        <w:t>.</w:t>
      </w:r>
      <w:r w:rsidR="008A74EB" w:rsidRPr="00C9040A">
        <w:rPr>
          <w:rtl/>
        </w:rPr>
        <w:t xml:space="preserve"> والمراد الإفراط في تلكم الصفات بحيث ينتهي إلى ارتكاب الحرام أو ترك السنن والاشتغال عن ذكرالله ؛ أو حبّ الحياة الدنيا المذمومة ، وحبّ الرئاسة بالجور والظلم ، وحبّ الطعام بحيث لايبالي حصل من حلال أو حصل من حرام ، وحبّ النوم بحيث يصير مانعاً من الطاعات الواجبة والمندوبة ، وكذا حبّ الراحة وحبّ النساء. راجع : </w:t>
      </w:r>
      <w:r w:rsidR="008A74EB" w:rsidRPr="00993B55">
        <w:rPr>
          <w:rStyle w:val="libFootnoteBoldChar"/>
          <w:rtl/>
        </w:rPr>
        <w:t>مرآة العقول</w:t>
      </w:r>
      <w:r w:rsidR="008A74EB" w:rsidRPr="00C9040A">
        <w:rPr>
          <w:rtl/>
        </w:rPr>
        <w:t xml:space="preserve"> ، ج 10 ، ص 75.</w:t>
      </w:r>
    </w:p>
    <w:p w:rsidR="008A74EB" w:rsidRPr="00C9040A" w:rsidRDefault="006C577F" w:rsidP="00285397">
      <w:pPr>
        <w:pStyle w:val="libFootnote0"/>
        <w:rPr>
          <w:rtl/>
          <w:lang w:bidi="fa-IR"/>
        </w:rPr>
      </w:pPr>
      <w:r>
        <w:rPr>
          <w:rtl/>
        </w:rPr>
        <w:t>(3).</w:t>
      </w:r>
      <w:r w:rsidR="008A74EB" w:rsidRPr="00C9040A">
        <w:rPr>
          <w:rtl/>
        </w:rPr>
        <w:t xml:space="preserve"> </w:t>
      </w:r>
      <w:r w:rsidR="008A74EB" w:rsidRPr="00993B55">
        <w:rPr>
          <w:rStyle w:val="libFootnoteBoldChar"/>
          <w:rtl/>
        </w:rPr>
        <w:t>المحاسن</w:t>
      </w:r>
      <w:r w:rsidR="008A74EB" w:rsidRPr="00C9040A">
        <w:rPr>
          <w:rtl/>
        </w:rPr>
        <w:t xml:space="preserve"> ، ص 295 ، كتاب مصابيح الظلم ، ح 459 ، عن نوح بن شعيب النيسابوري ، عن عبيد بن عبدالله الدهقان. </w:t>
      </w:r>
      <w:r w:rsidR="008A74EB" w:rsidRPr="00993B55">
        <w:rPr>
          <w:rStyle w:val="libFootnoteBoldChar"/>
          <w:rtl/>
        </w:rPr>
        <w:t>الخصال</w:t>
      </w:r>
      <w:r w:rsidR="008A74EB" w:rsidRPr="00C9040A">
        <w:rPr>
          <w:rtl/>
        </w:rPr>
        <w:t xml:space="preserve"> ، ص 330 ، باب الستّة ، ح 27 ، بسنده عن عبدالله بن القاسم ، عن عبدالله بن سنان ، وفيهما مع اختلاف يسير </w:t>
      </w:r>
      <w:r w:rsidR="00285397">
        <w:rPr>
          <w:rFonts w:hint="cs"/>
          <w:rtl/>
        </w:rPr>
        <w:t>.</w:t>
      </w:r>
      <w:r w:rsidR="008A74EB" w:rsidRPr="00993B55">
        <w:rPr>
          <w:rStyle w:val="libFootnoteBoldChar"/>
          <w:rtl/>
        </w:rPr>
        <w:t>الوافي</w:t>
      </w:r>
      <w:r w:rsidR="008A74EB" w:rsidRPr="00C9040A">
        <w:rPr>
          <w:rtl/>
        </w:rPr>
        <w:t xml:space="preserve"> ، ج 5 ، ص 892 ، ح 3237 ؛ </w:t>
      </w:r>
      <w:r w:rsidR="008A74EB" w:rsidRPr="00993B55">
        <w:rPr>
          <w:rStyle w:val="libFootnoteBoldChar"/>
          <w:rtl/>
        </w:rPr>
        <w:t>الوسائل</w:t>
      </w:r>
      <w:r w:rsidR="008A74EB" w:rsidRPr="00C9040A">
        <w:rPr>
          <w:rtl/>
        </w:rPr>
        <w:t xml:space="preserve"> ، ج 15 ، ص 339 ، ح 20686 ؛ </w:t>
      </w:r>
      <w:r w:rsidR="008A74EB" w:rsidRPr="00993B55">
        <w:rPr>
          <w:rStyle w:val="libFootnoteBoldChar"/>
          <w:rtl/>
        </w:rPr>
        <w:t>البحار</w:t>
      </w:r>
      <w:r w:rsidR="008A74EB" w:rsidRPr="00C9040A">
        <w:rPr>
          <w:rtl/>
        </w:rPr>
        <w:t xml:space="preserve"> ، ج 72 ، ص 105 ، ح 3.</w:t>
      </w:r>
      <w:r w:rsidR="00285397">
        <w:rPr>
          <w:rFonts w:hint="cs"/>
          <w:rtl/>
        </w:rPr>
        <w:t xml:space="preserve">                           </w:t>
      </w:r>
      <w:r>
        <w:rPr>
          <w:rtl/>
        </w:rPr>
        <w:t>(4).</w:t>
      </w:r>
      <w:r w:rsidR="00285397">
        <w:rPr>
          <w:rtl/>
        </w:rPr>
        <w:t xml:space="preserve"> في «ه»:«ثمّ قال</w:t>
      </w:r>
      <w:r w:rsidR="008A74EB" w:rsidRPr="00C9040A">
        <w:rPr>
          <w:rtl/>
        </w:rPr>
        <w:t>»</w:t>
      </w:r>
      <w:r w:rsidR="008A74EB">
        <w:rPr>
          <w:rtl/>
        </w:rPr>
        <w:t>.</w:t>
      </w:r>
      <w:r w:rsidR="00285397">
        <w:rPr>
          <w:rtl/>
        </w:rPr>
        <w:t xml:space="preserve"> وفي«بف»:«ثمّ قال:ثمّ</w:t>
      </w:r>
      <w:r w:rsidR="008A74EB" w:rsidRPr="00C9040A">
        <w:rPr>
          <w:rtl/>
        </w:rPr>
        <w:t>»</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المحاسن</w:t>
      </w:r>
      <w:r w:rsidR="008A74EB" w:rsidRPr="00C9040A">
        <w:rPr>
          <w:rtl/>
        </w:rPr>
        <w:t xml:space="preserve"> ، ص 295 ، كتاب مصابيح الظلم ، ح 460 ، عن أبيه ، عن عبدالله بن المغيرة ومحمّد بن سنان. وفي </w:t>
      </w:r>
      <w:r w:rsidR="008A74EB" w:rsidRPr="00993B55">
        <w:rPr>
          <w:rStyle w:val="libFootnoteBoldChar"/>
          <w:rtl/>
        </w:rPr>
        <w:t>الكافي</w:t>
      </w:r>
      <w:r w:rsidR="008A74EB" w:rsidRPr="00C9040A">
        <w:rPr>
          <w:rtl/>
        </w:rPr>
        <w:t xml:space="preserve"> ، كتاب الجهاد ، باب الأمر بالمعروف والنهي عن المنكر ، ح 8327 ؛ </w:t>
      </w:r>
      <w:r w:rsidR="008A74EB" w:rsidRPr="00207B88">
        <w:rPr>
          <w:rStyle w:val="libFootnoteBoldChar"/>
          <w:rtl/>
        </w:rPr>
        <w:t>وا</w:t>
      </w:r>
      <w:r w:rsidR="008A74EB" w:rsidRPr="00993B55">
        <w:rPr>
          <w:rStyle w:val="libFootnoteBoldChar"/>
          <w:rtl/>
        </w:rPr>
        <w:t xml:space="preserve">لتهذيب </w:t>
      </w:r>
      <w:r w:rsidR="008A74EB" w:rsidRPr="00C9040A">
        <w:rPr>
          <w:rtl/>
        </w:rPr>
        <w:t xml:space="preserve">، ج 6 ، ص 176 ، ح 355 ، بسند آخر. </w:t>
      </w:r>
      <w:r w:rsidR="008A74EB" w:rsidRPr="00993B55">
        <w:rPr>
          <w:rStyle w:val="libFootnoteBoldChar"/>
          <w:rtl/>
        </w:rPr>
        <w:t>فقه الرضا</w:t>
      </w:r>
      <w:r w:rsidR="008A74EB" w:rsidRPr="00C9040A">
        <w:rPr>
          <w:rtl/>
        </w:rPr>
        <w:t xml:space="preserve"> </w:t>
      </w:r>
      <w:r w:rsidR="00117575" w:rsidRPr="00117575">
        <w:rPr>
          <w:rStyle w:val="libFootnoteAlaemChar"/>
          <w:rtl/>
        </w:rPr>
        <w:t xml:space="preserve">عليه‌السلام </w:t>
      </w:r>
      <w:r w:rsidR="008A74EB" w:rsidRPr="00C9040A">
        <w:rPr>
          <w:rtl/>
        </w:rPr>
        <w:t xml:space="preserve">، ص 376 ، وفيه : « نروى أنّ رجلاً جاء إلى رسول الله </w:t>
      </w:r>
      <w:r w:rsidR="004A4E41" w:rsidRPr="00207B88">
        <w:rPr>
          <w:rStyle w:val="libFootnoteAlaemChar"/>
          <w:rtl/>
        </w:rPr>
        <w:t>صلى‌الله‌عليه‌وآله</w:t>
      </w:r>
      <w:r w:rsidR="008A74EB" w:rsidRPr="00C9040A">
        <w:rPr>
          <w:rtl/>
        </w:rPr>
        <w:t xml:space="preserve"> فقال</w:t>
      </w:r>
      <w:r w:rsidR="008A74EB">
        <w:rPr>
          <w:rtl/>
        </w:rPr>
        <w:t xml:space="preserve"> ..</w:t>
      </w:r>
      <w:r w:rsidR="008A74EB" w:rsidRPr="00C9040A">
        <w:rPr>
          <w:rtl/>
        </w:rPr>
        <w:t xml:space="preserve">. » ، وفي الثلاثة الأخيرة مع اختلاف يسير وزيادة في أوّله </w:t>
      </w:r>
      <w:r w:rsidR="00207B88">
        <w:rPr>
          <w:rFonts w:hint="cs"/>
          <w:rtl/>
        </w:rPr>
        <w:t>.</w:t>
      </w:r>
      <w:r w:rsidR="008A74EB" w:rsidRPr="00993B55">
        <w:rPr>
          <w:rStyle w:val="libFootnoteBoldChar"/>
          <w:rtl/>
        </w:rPr>
        <w:t>الوافي</w:t>
      </w:r>
      <w:r w:rsidR="008A74EB" w:rsidRPr="00C9040A">
        <w:rPr>
          <w:rtl/>
        </w:rPr>
        <w:t xml:space="preserve"> ، ج 5 ، ص 915 ، ح 3269 ؛ </w:t>
      </w:r>
      <w:r w:rsidR="008A74EB" w:rsidRPr="00993B55">
        <w:rPr>
          <w:rStyle w:val="libFootnoteBoldChar"/>
          <w:rtl/>
        </w:rPr>
        <w:t>الوسائل</w:t>
      </w:r>
      <w:r w:rsidR="008A74EB" w:rsidRPr="00C9040A">
        <w:rPr>
          <w:rtl/>
        </w:rPr>
        <w:t xml:space="preserve"> ، ج 16 ، ص 121 ، ذيل ح 21137 ؛ </w:t>
      </w:r>
      <w:r w:rsidR="008A74EB" w:rsidRPr="00993B55">
        <w:rPr>
          <w:rStyle w:val="libFootnoteBoldChar"/>
          <w:rtl/>
        </w:rPr>
        <w:t>البحار</w:t>
      </w:r>
      <w:r w:rsidR="008A74EB" w:rsidRPr="00C9040A">
        <w:rPr>
          <w:rtl/>
        </w:rPr>
        <w:t xml:space="preserve"> ، ج 72 ، ص 106 ، ح 4.</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قَالَ : « هِيَ أَدْنَى الْمَنَازِلِ مِنَ الْكُفْرِ وَلَيْسَ بِكَافِرٍ »</w:t>
      </w:r>
      <w:r>
        <w:rPr>
          <w:rtl/>
          <w:lang w:bidi="fa-IR"/>
        </w:rPr>
        <w:t>.</w:t>
      </w:r>
      <w:r w:rsidRPr="00C9040A">
        <w:rPr>
          <w:rtl/>
          <w:lang w:bidi="fa-IR"/>
        </w:rPr>
        <w:t xml:space="preserve"> </w:t>
      </w:r>
      <w:r w:rsidR="006C577F" w:rsidRPr="006C577F">
        <w:rPr>
          <w:rStyle w:val="libFootnotenumChar"/>
          <w:rtl/>
        </w:rPr>
        <w:t>(1)</w:t>
      </w:r>
      <w:r w:rsidR="00207B88">
        <w:rPr>
          <w:rtl/>
          <w:lang w:bidi="fa-IR"/>
        </w:rPr>
        <w:t xml:space="preserve"> </w:t>
      </w:r>
    </w:p>
    <w:p w:rsidR="008A74EB" w:rsidRPr="00C9040A" w:rsidRDefault="008A74EB" w:rsidP="008A74EB">
      <w:pPr>
        <w:pStyle w:val="libNormal"/>
        <w:rPr>
          <w:rtl/>
          <w:lang w:bidi="fa-IR"/>
        </w:rPr>
      </w:pPr>
      <w:r w:rsidRPr="00713BCF">
        <w:rPr>
          <w:rtl/>
        </w:rPr>
        <w:t>2478</w:t>
      </w:r>
      <w:r w:rsidRPr="00261CB0">
        <w:rPr>
          <w:rStyle w:val="libBold2Char"/>
          <w:rtl/>
        </w:rPr>
        <w:t xml:space="preserve"> / 6.</w:t>
      </w:r>
      <w:r w:rsidRPr="00C9040A">
        <w:rPr>
          <w:rtl/>
          <w:lang w:bidi="fa-IR"/>
        </w:rPr>
        <w:t xml:space="preserve"> عَلِيُّ بْنُ إِبْرَاهِيمَ ، عَنْ أَبِيهِ ، عَنِ النَّوْفَلِيِّ ، عَنِ السَّكُونِيِّ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مِنْ عَلَامَاتِ </w:t>
      </w:r>
      <w:r w:rsidR="006C577F" w:rsidRPr="006C577F">
        <w:rPr>
          <w:rStyle w:val="libFootnotenumChar"/>
          <w:rtl/>
        </w:rPr>
        <w:t>(2)</w:t>
      </w:r>
      <w:r w:rsidRPr="00C9040A">
        <w:rPr>
          <w:rtl/>
          <w:lang w:bidi="fa-IR"/>
        </w:rPr>
        <w:t xml:space="preserve"> الشَّقَاءِ جُمُودُ الْعَيْنِ</w:t>
      </w:r>
      <w:r w:rsidR="006C577F" w:rsidRPr="006C577F">
        <w:rPr>
          <w:rStyle w:val="libFootnotenumChar"/>
          <w:rtl/>
        </w:rPr>
        <w:t>(3)</w:t>
      </w:r>
      <w:r w:rsidRPr="00C9040A">
        <w:rPr>
          <w:rtl/>
          <w:lang w:bidi="fa-IR"/>
        </w:rPr>
        <w:t xml:space="preserve">، وَقَسْوَةُ الْقَلْبِ ، وَشِدَّةُ الْحِرْصِ فِي طَلَبِ الدُّنْيَا </w:t>
      </w:r>
      <w:r w:rsidR="006C577F" w:rsidRPr="006C577F">
        <w:rPr>
          <w:rStyle w:val="libFootnotenumChar"/>
          <w:rtl/>
        </w:rPr>
        <w:t>(4)</w:t>
      </w:r>
      <w:r w:rsidRPr="00C9040A">
        <w:rPr>
          <w:rtl/>
          <w:lang w:bidi="fa-IR"/>
        </w:rPr>
        <w:t xml:space="preserve"> ، وَالْإِصْرَارُ عَلَى الذَّنْبِ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713BCF">
        <w:rPr>
          <w:rtl/>
        </w:rPr>
        <w:t>2479</w:t>
      </w:r>
      <w:r w:rsidRPr="00261CB0">
        <w:rPr>
          <w:rStyle w:val="libBold2Char"/>
          <w:rtl/>
        </w:rPr>
        <w:t xml:space="preserve"> / 7.</w:t>
      </w:r>
      <w:r w:rsidRPr="00C9040A">
        <w:rPr>
          <w:rtl/>
          <w:lang w:bidi="fa-IR"/>
        </w:rPr>
        <w:t xml:space="preserve"> عَلِيُّ بْنُ إِبْرَاهِيمَ ، عَنْ أَبِيهِ ، عَنْ عَلِيِّ بْنِ أَسْبَاطٍ ، عَنْ دَاوُدَ بْنِ النُّعْمَانِ ، عَنْ أَبِي حَمْزَةَ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خَطَبَ رَسُولُ اللهِ </w:t>
      </w:r>
      <w:r w:rsidR="004A4E41" w:rsidRPr="004A4E41">
        <w:rPr>
          <w:rStyle w:val="libAlaemChar"/>
          <w:rtl/>
        </w:rPr>
        <w:t>صلى‌الله‌عليه‌وآله</w:t>
      </w:r>
      <w:r w:rsidRPr="00C9040A">
        <w:rPr>
          <w:rtl/>
          <w:lang w:bidi="fa-IR"/>
        </w:rPr>
        <w:t xml:space="preserve"> النَّاسَ </w:t>
      </w:r>
      <w:r w:rsidR="006C577F" w:rsidRPr="006C577F">
        <w:rPr>
          <w:rStyle w:val="libFootnotenumChar"/>
          <w:rtl/>
        </w:rPr>
        <w:t>(6)</w:t>
      </w:r>
      <w:r w:rsidRPr="005B567D">
        <w:rPr>
          <w:rStyle w:val="libFootnotenumChar"/>
          <w:rtl/>
        </w:rPr>
        <w:t xml:space="preserve"> </w:t>
      </w:r>
      <w:r>
        <w:rPr>
          <w:rtl/>
          <w:lang w:bidi="fa-IR"/>
        </w:rPr>
        <w:t>، فَقَالَ : أَ</w:t>
      </w:r>
      <w:r w:rsidRPr="00C9040A">
        <w:rPr>
          <w:rtl/>
          <w:lang w:bidi="fa-IR"/>
        </w:rPr>
        <w:t>لَا</w:t>
      </w:r>
      <w:r>
        <w:rPr>
          <w:rFonts w:hint="cs"/>
          <w:rtl/>
          <w:lang w:bidi="fa-IR"/>
        </w:rPr>
        <w:t xml:space="preserve"> </w:t>
      </w:r>
      <w:r w:rsidRPr="00C9040A">
        <w:rPr>
          <w:rtl/>
          <w:lang w:bidi="fa-IR"/>
        </w:rPr>
        <w:t>أُخْبِرُكُمْ بِشِرَارِكُمْ</w:t>
      </w:r>
      <w:r>
        <w:rPr>
          <w:rtl/>
          <w:lang w:bidi="fa-IR"/>
        </w:rPr>
        <w:t>؟</w:t>
      </w:r>
      <w:r w:rsidRPr="00C9040A">
        <w:rPr>
          <w:rtl/>
          <w:lang w:bidi="fa-IR"/>
        </w:rPr>
        <w:t xml:space="preserve"> قَالُوا : بَلى يَا رَسُولَ اللهِ ، قَالَ </w:t>
      </w:r>
      <w:r w:rsidR="006C577F" w:rsidRPr="006C577F">
        <w:rPr>
          <w:rStyle w:val="libFootnotenumChar"/>
          <w:rtl/>
        </w:rPr>
        <w:t>(7)</w:t>
      </w:r>
      <w:r w:rsidRPr="00C9040A">
        <w:rPr>
          <w:rtl/>
          <w:lang w:bidi="fa-IR"/>
        </w:rPr>
        <w:t xml:space="preserve"> </w:t>
      </w:r>
      <w:r w:rsidR="004A4E41" w:rsidRPr="004A4E41">
        <w:rPr>
          <w:rStyle w:val="libAlaemChar"/>
          <w:rtl/>
        </w:rPr>
        <w:t>صلى‌الله‌عليه‌وآله</w:t>
      </w:r>
      <w:r w:rsidRPr="00C9040A">
        <w:rPr>
          <w:rtl/>
          <w:lang w:bidi="fa-IR"/>
        </w:rPr>
        <w:t xml:space="preserve"> : الَّذِي يَمْنَعُ رِفْدَهُ </w:t>
      </w:r>
      <w:r w:rsidR="006C577F" w:rsidRPr="006C577F">
        <w:rPr>
          <w:rStyle w:val="libFootnotenumChar"/>
          <w:rtl/>
        </w:rPr>
        <w:t>(8)</w:t>
      </w:r>
      <w:r w:rsidRPr="00C9040A">
        <w:rPr>
          <w:rtl/>
          <w:lang w:bidi="fa-IR"/>
        </w:rPr>
        <w:t xml:space="preserve"> ، وَيَضْرِبُ عَبْدَهُ ، وَيَتَزَوَّدُ </w:t>
      </w:r>
      <w:r w:rsidR="006C577F" w:rsidRPr="006C577F">
        <w:rPr>
          <w:rStyle w:val="libFootnotenumChar"/>
          <w:rtl/>
        </w:rPr>
        <w:t>(9)</w:t>
      </w:r>
      <w:r w:rsidRPr="00C9040A">
        <w:rPr>
          <w:rtl/>
          <w:lang w:bidi="fa-IR"/>
        </w:rPr>
        <w:t xml:space="preserve"> وَحْدَهُ ؛ فَظَنُّوا أَنَّ اللهَ لَمْ يَخْلُقْ خَلْقاً هُوَ شَرٌّ </w:t>
      </w:r>
      <w:r w:rsidR="006C577F" w:rsidRPr="006C577F">
        <w:rPr>
          <w:rStyle w:val="libFootnotenumChar"/>
          <w:rtl/>
        </w:rPr>
        <w:t>(10)</w:t>
      </w:r>
      <w:r w:rsidRPr="00C9040A">
        <w:rPr>
          <w:rtl/>
          <w:lang w:bidi="fa-IR"/>
        </w:rPr>
        <w:t xml:space="preserve"> مِنْ هذَا.</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993B55">
        <w:rPr>
          <w:rStyle w:val="libFootnoteBoldChar"/>
          <w:rtl/>
        </w:rPr>
        <w:t>الوافي</w:t>
      </w:r>
      <w:r w:rsidR="008A74EB" w:rsidRPr="00C9040A">
        <w:rPr>
          <w:rtl/>
        </w:rPr>
        <w:t xml:space="preserve"> ، ج 4 ، ص 199 ، ح 1814 ؛ </w:t>
      </w:r>
      <w:r w:rsidR="008A74EB" w:rsidRPr="00993B55">
        <w:rPr>
          <w:rStyle w:val="libFootnoteBoldChar"/>
          <w:rtl/>
        </w:rPr>
        <w:t>الوسائل</w:t>
      </w:r>
      <w:r w:rsidR="008A74EB" w:rsidRPr="00C9040A">
        <w:rPr>
          <w:rtl/>
        </w:rPr>
        <w:t xml:space="preserve"> ، ج 15 ، ص 340 ، ح 20689 ؛ </w:t>
      </w:r>
      <w:r w:rsidR="008A74EB" w:rsidRPr="00993B55">
        <w:rPr>
          <w:rStyle w:val="libFootnoteBoldChar"/>
          <w:rtl/>
        </w:rPr>
        <w:t>البحار</w:t>
      </w:r>
      <w:r w:rsidR="008A74EB" w:rsidRPr="00C9040A">
        <w:rPr>
          <w:rtl/>
        </w:rPr>
        <w:t xml:space="preserve"> ، ج 72 ، ص 106 ، ح 5.</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ج ، </w:t>
      </w:r>
      <w:r w:rsidR="006D3162">
        <w:rPr>
          <w:rtl/>
        </w:rPr>
        <w:t xml:space="preserve">ه </w:t>
      </w:r>
      <w:r w:rsidR="008A74EB" w:rsidRPr="00C9040A">
        <w:rPr>
          <w:rtl/>
        </w:rPr>
        <w:t>، بر » وشرح المازندراني والوافي : « علامة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جمدت عينه : قلّ دَمْعُها. </w:t>
      </w:r>
      <w:r w:rsidR="008A74EB" w:rsidRPr="00993B55">
        <w:rPr>
          <w:rStyle w:val="libFootnoteBoldChar"/>
          <w:rtl/>
        </w:rPr>
        <w:t>المصباح المنير</w:t>
      </w:r>
      <w:r w:rsidR="008A74EB" w:rsidRPr="00C9040A">
        <w:rPr>
          <w:rtl/>
        </w:rPr>
        <w:t xml:space="preserve"> ، ص 107 ( جمد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الخصال ، ص 242 : « الرزق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الخصال</w:t>
      </w:r>
      <w:r w:rsidR="008A74EB" w:rsidRPr="00C9040A">
        <w:rPr>
          <w:rtl/>
        </w:rPr>
        <w:t xml:space="preserve"> ، ص 242 ، باب الأربعة ، ح 96 ، بسنده عن النوفلي ، عن السكوني ، عن جعفر بن محمّد ، عن آبائه </w:t>
      </w:r>
      <w:r w:rsidR="00117575" w:rsidRPr="00117575">
        <w:rPr>
          <w:rStyle w:val="libFootnoteAlaemChar"/>
          <w:rtl/>
        </w:rPr>
        <w:t>عليهم‌السلام</w:t>
      </w:r>
      <w:r w:rsidR="008A74EB" w:rsidRPr="00C9040A">
        <w:rPr>
          <w:rtl/>
        </w:rPr>
        <w:t xml:space="preserve"> عن النبيّ </w:t>
      </w:r>
      <w:r w:rsidR="004A4E41" w:rsidRPr="00207B88">
        <w:rPr>
          <w:rStyle w:val="libFootnoteAlaemChar"/>
          <w:rtl/>
        </w:rPr>
        <w:t>صلى‌الله‌عليه‌وآله</w:t>
      </w:r>
      <w:r w:rsidR="008A74EB" w:rsidRPr="00C9040A">
        <w:rPr>
          <w:rtl/>
        </w:rPr>
        <w:t xml:space="preserve">. وفي </w:t>
      </w:r>
      <w:r w:rsidR="008A74EB" w:rsidRPr="00993B55">
        <w:rPr>
          <w:rStyle w:val="libFootnoteBoldChar"/>
          <w:rtl/>
        </w:rPr>
        <w:t>الفقيه</w:t>
      </w:r>
      <w:r w:rsidR="008A74EB" w:rsidRPr="00C9040A">
        <w:rPr>
          <w:rtl/>
        </w:rPr>
        <w:t xml:space="preserve"> ، ج 4 ، ص 358 ، ضمن الحديث الطويل 5762 ؛ </w:t>
      </w:r>
      <w:r w:rsidR="008A74EB" w:rsidRPr="00207B88">
        <w:rPr>
          <w:rStyle w:val="libFootnoteBoldChar"/>
          <w:rtl/>
        </w:rPr>
        <w:t>و</w:t>
      </w:r>
      <w:r w:rsidR="008A74EB" w:rsidRPr="00993B55">
        <w:rPr>
          <w:rStyle w:val="libFootnoteBoldChar"/>
          <w:rtl/>
        </w:rPr>
        <w:t>الخصال</w:t>
      </w:r>
      <w:r w:rsidR="008A74EB" w:rsidRPr="00C9040A">
        <w:rPr>
          <w:rtl/>
        </w:rPr>
        <w:t xml:space="preserve"> ، ص 243 ، باب الأربعة ، ح 97 ؛ </w:t>
      </w:r>
      <w:r w:rsidR="008A74EB" w:rsidRPr="00207B88">
        <w:rPr>
          <w:rStyle w:val="libFootnoteBoldChar"/>
          <w:rtl/>
        </w:rPr>
        <w:t>و</w:t>
      </w:r>
      <w:r w:rsidR="008A74EB" w:rsidRPr="00993B55">
        <w:rPr>
          <w:rStyle w:val="libFootnoteBoldChar"/>
          <w:rtl/>
        </w:rPr>
        <w:t>الجعفريّات</w:t>
      </w:r>
      <w:r w:rsidR="008A74EB" w:rsidRPr="00C9040A">
        <w:rPr>
          <w:rtl/>
        </w:rPr>
        <w:t xml:space="preserve"> ، ص 168 ، بسند آخر عن جعفر بن محمّد ، عن آبائه </w:t>
      </w:r>
      <w:r w:rsidR="00117575" w:rsidRPr="00117575">
        <w:rPr>
          <w:rStyle w:val="libFootnoteAlaemChar"/>
          <w:rtl/>
        </w:rPr>
        <w:t>عليهم‌السلام</w:t>
      </w:r>
      <w:r w:rsidR="008A74EB" w:rsidRPr="00C9040A">
        <w:rPr>
          <w:rtl/>
        </w:rPr>
        <w:t xml:space="preserve"> عن النبيّ </w:t>
      </w:r>
      <w:r w:rsidR="004A4E41" w:rsidRPr="00207B88">
        <w:rPr>
          <w:rStyle w:val="libFootnoteAlaemChar"/>
          <w:rtl/>
        </w:rPr>
        <w:t>صلى‌الله‌عليه‌وآله</w:t>
      </w:r>
      <w:r w:rsidR="008A74EB" w:rsidRPr="00C9040A">
        <w:rPr>
          <w:rtl/>
        </w:rPr>
        <w:t xml:space="preserve">. </w:t>
      </w:r>
      <w:r w:rsidR="008A74EB" w:rsidRPr="00993B55">
        <w:rPr>
          <w:rStyle w:val="libFootnoteBoldChar"/>
          <w:rtl/>
        </w:rPr>
        <w:t>تحف العقول</w:t>
      </w:r>
      <w:r w:rsidR="008A74EB" w:rsidRPr="00C9040A">
        <w:rPr>
          <w:rtl/>
        </w:rPr>
        <w:t xml:space="preserve"> ، ص 10 ، ضمن الحديث الطويل ؛ وص 47 ، عن النبيّ </w:t>
      </w:r>
      <w:r w:rsidR="004A4E41" w:rsidRPr="00207B88">
        <w:rPr>
          <w:rStyle w:val="libFootnoteAlaemChar"/>
          <w:rtl/>
        </w:rPr>
        <w:t>صلى‌الله‌عليه‌وآله</w:t>
      </w:r>
      <w:r w:rsidR="008A74EB" w:rsidRPr="00C9040A">
        <w:rPr>
          <w:rtl/>
        </w:rPr>
        <w:t xml:space="preserve">. </w:t>
      </w:r>
      <w:r w:rsidR="008A74EB" w:rsidRPr="00993B55">
        <w:rPr>
          <w:rStyle w:val="libFootnoteBoldChar"/>
          <w:rtl/>
        </w:rPr>
        <w:t>الاختصاص</w:t>
      </w:r>
      <w:r w:rsidR="008A74EB" w:rsidRPr="00C9040A">
        <w:rPr>
          <w:rtl/>
        </w:rPr>
        <w:t xml:space="preserve"> ، ص 111 ، وفيه : « أنّ للمنافق أربع علامات</w:t>
      </w:r>
      <w:r w:rsidR="008A74EB">
        <w:rPr>
          <w:rtl/>
        </w:rPr>
        <w:t xml:space="preserve"> ..</w:t>
      </w:r>
      <w:r w:rsidR="008A74EB" w:rsidRPr="00C9040A">
        <w:rPr>
          <w:rtl/>
        </w:rPr>
        <w:t xml:space="preserve">. » ؛ </w:t>
      </w:r>
      <w:r w:rsidR="008A74EB" w:rsidRPr="00993B55">
        <w:rPr>
          <w:rStyle w:val="libFootnoteBoldChar"/>
          <w:rtl/>
        </w:rPr>
        <w:t>وفيه</w:t>
      </w:r>
      <w:r w:rsidR="008A74EB" w:rsidRPr="00C9040A">
        <w:rPr>
          <w:rtl/>
        </w:rPr>
        <w:t xml:space="preserve"> ، ص 228 : « أربع من علامات النفاق</w:t>
      </w:r>
      <w:r w:rsidR="008A74EB">
        <w:rPr>
          <w:rtl/>
        </w:rPr>
        <w:t xml:space="preserve"> ..</w:t>
      </w:r>
      <w:r w:rsidR="008A74EB" w:rsidRPr="00C9040A">
        <w:rPr>
          <w:rtl/>
        </w:rPr>
        <w:t xml:space="preserve">. » ، وفيهما مرسلاً عن أبي عبدالله </w:t>
      </w:r>
      <w:r w:rsidR="00117575" w:rsidRPr="00117575">
        <w:rPr>
          <w:rStyle w:val="libFootnoteAlaemChar"/>
          <w:rtl/>
        </w:rPr>
        <w:t>عليه‌السلام</w:t>
      </w:r>
      <w:r w:rsidR="008A74EB" w:rsidRPr="00C9040A">
        <w:rPr>
          <w:rtl/>
        </w:rPr>
        <w:t xml:space="preserve"> ، من دون الإسناد إلى النبيّ </w:t>
      </w:r>
      <w:r w:rsidR="004A4E41" w:rsidRPr="00207B88">
        <w:rPr>
          <w:rStyle w:val="libFootnoteAlaemChar"/>
          <w:rtl/>
        </w:rPr>
        <w:t>صلى‌الله‌عليه‌وآله</w:t>
      </w:r>
      <w:r w:rsidR="008A74EB" w:rsidRPr="00C9040A">
        <w:rPr>
          <w:rtl/>
        </w:rPr>
        <w:t xml:space="preserve"> ، ومع اختلاف يسير </w:t>
      </w:r>
      <w:r w:rsidR="00207B88">
        <w:rPr>
          <w:rFonts w:hint="cs"/>
          <w:rtl/>
        </w:rPr>
        <w:t>.</w:t>
      </w:r>
      <w:r w:rsidR="008A74EB" w:rsidRPr="00993B55">
        <w:rPr>
          <w:rStyle w:val="libFootnoteBoldChar"/>
          <w:rtl/>
        </w:rPr>
        <w:t>الوافي</w:t>
      </w:r>
      <w:r w:rsidR="008A74EB" w:rsidRPr="00C9040A">
        <w:rPr>
          <w:rtl/>
        </w:rPr>
        <w:t xml:space="preserve"> ، ج 5 ، ص 840 ، ح 3111 ؛ </w:t>
      </w:r>
      <w:r w:rsidR="008A74EB" w:rsidRPr="00993B55">
        <w:rPr>
          <w:rStyle w:val="libFootnoteBoldChar"/>
          <w:rtl/>
        </w:rPr>
        <w:t>الوسائل</w:t>
      </w:r>
      <w:r w:rsidR="008A74EB" w:rsidRPr="00C9040A">
        <w:rPr>
          <w:rtl/>
        </w:rPr>
        <w:t xml:space="preserve"> ، ج 15 ، ص 337 ، ح 20680 ؛ </w:t>
      </w:r>
      <w:r w:rsidR="008A74EB" w:rsidRPr="00993B55">
        <w:rPr>
          <w:rStyle w:val="libFootnoteBoldChar"/>
          <w:rtl/>
        </w:rPr>
        <w:t>البحار</w:t>
      </w:r>
      <w:r w:rsidR="008A74EB" w:rsidRPr="00C9040A">
        <w:rPr>
          <w:rtl/>
        </w:rPr>
        <w:t xml:space="preserve"> ، ج 72 ، ص 107 ، ح 6.</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ز » : « للناس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ج » والوسائل والبحار : « فقال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رَفَده رَفْداً : أعطاه أو أعانه. والرِّفْد : اسم منه. </w:t>
      </w:r>
      <w:r w:rsidR="008A74EB" w:rsidRPr="00993B55">
        <w:rPr>
          <w:rStyle w:val="libFootnoteBoldChar"/>
          <w:rtl/>
        </w:rPr>
        <w:t>المصباح المنير</w:t>
      </w:r>
      <w:r w:rsidR="008A74EB" w:rsidRPr="00C9040A">
        <w:rPr>
          <w:rtl/>
        </w:rPr>
        <w:t xml:space="preserve"> ، ص 232 ( رفد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w:t>
      </w:r>
      <w:r w:rsidR="006D3162">
        <w:rPr>
          <w:rtl/>
        </w:rPr>
        <w:t xml:space="preserve">ه </w:t>
      </w:r>
      <w:r w:rsidR="008A74EB" w:rsidRPr="00C9040A">
        <w:rPr>
          <w:rtl/>
        </w:rPr>
        <w:t>» : « ينزل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 ويتزوّد وحده ، أي يأكل زاده وحده من غير رفيق مع الإمكان. أو أنّه لا يعطي من زاده غيره شيئاً من عياله وغيرهم. وقيل : أي لا يأخذ نصيب غيره عند أخذ العطاء ، وهو بعيد »</w:t>
      </w:r>
      <w:r w:rsidR="008A74EB">
        <w:rPr>
          <w:rtl/>
        </w:rPr>
        <w:t>.</w:t>
      </w:r>
      <w:r w:rsidR="008A74EB" w:rsidRPr="00C9040A">
        <w:rPr>
          <w:rtl/>
        </w:rPr>
        <w:t xml:space="preserve"> </w:t>
      </w:r>
      <w:r w:rsidR="008A74EB">
        <w:rPr>
          <w:rtl/>
        </w:rPr>
        <w:t>و «</w:t>
      </w:r>
      <w:r w:rsidR="008A74EB" w:rsidRPr="00C9040A">
        <w:rPr>
          <w:rtl/>
        </w:rPr>
        <w:t xml:space="preserve"> الزاد » : طعام يتّخذ للسفر. </w:t>
      </w:r>
      <w:r w:rsidR="008A74EB" w:rsidRPr="00993B55">
        <w:rPr>
          <w:rStyle w:val="libFootnoteBoldChar"/>
          <w:rtl/>
        </w:rPr>
        <w:t>الصحاح</w:t>
      </w:r>
      <w:r w:rsidR="008A74EB" w:rsidRPr="00C9040A">
        <w:rPr>
          <w:rtl/>
        </w:rPr>
        <w:t xml:space="preserve"> ، ج 2 ، ص 481 ( زود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 </w:t>
      </w:r>
      <w:r w:rsidR="006D3162">
        <w:rPr>
          <w:rtl/>
        </w:rPr>
        <w:t xml:space="preserve">ه </w:t>
      </w:r>
      <w:r w:rsidR="008A74EB" w:rsidRPr="00C9040A">
        <w:rPr>
          <w:rtl/>
        </w:rPr>
        <w:t>» : « أشرّ » وكذا فيما يأتي.</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ثُمَّ قَالَ : أَلَا أُخْبِرُكُمْ بِمَنْ هُوَ شَرٌّ مِنْ ذلِكَ</w:t>
      </w:r>
      <w:r>
        <w:rPr>
          <w:rtl/>
          <w:lang w:bidi="fa-IR"/>
        </w:rPr>
        <w:t>؟</w:t>
      </w:r>
      <w:r w:rsidRPr="00C9040A">
        <w:rPr>
          <w:rtl/>
          <w:lang w:bidi="fa-IR"/>
        </w:rPr>
        <w:t xml:space="preserve"> قَالُوا : بَلى يَا رَسُولَ اللهِ ، قَالَ </w:t>
      </w:r>
      <w:r w:rsidR="004A4E41" w:rsidRPr="004A4E41">
        <w:rPr>
          <w:rStyle w:val="libAlaemChar"/>
          <w:rtl/>
        </w:rPr>
        <w:t>صلى‌الله‌عليه‌وآله</w:t>
      </w:r>
      <w:r w:rsidRPr="00C9040A">
        <w:rPr>
          <w:rtl/>
          <w:lang w:bidi="fa-IR"/>
        </w:rPr>
        <w:t xml:space="preserve"> : الَّذِي لَا يُرْجى خَيْرُهُ ، وَلَايُؤْمَنُ شَرُّهُ ؛ فَظَنُّوا أَنَّ اللهَ لَمْ يَخْلُقْ خَلْقاً هُوَ شَرٌّ مِنْ هذَا.</w:t>
      </w:r>
    </w:p>
    <w:p w:rsidR="008A74EB" w:rsidRPr="00C9040A" w:rsidRDefault="008A74EB" w:rsidP="00207B88">
      <w:pPr>
        <w:pStyle w:val="libNormal"/>
        <w:rPr>
          <w:rtl/>
          <w:lang w:bidi="fa-IR"/>
        </w:rPr>
      </w:pPr>
      <w:r>
        <w:rPr>
          <w:rtl/>
          <w:lang w:bidi="fa-IR"/>
        </w:rPr>
        <w:t>ثُمَّ قَالَ : أَ</w:t>
      </w:r>
      <w:r w:rsidRPr="00C9040A">
        <w:rPr>
          <w:rtl/>
          <w:lang w:bidi="fa-IR"/>
        </w:rPr>
        <w:t>لَا</w:t>
      </w:r>
      <w:r>
        <w:rPr>
          <w:rFonts w:hint="cs"/>
          <w:rtl/>
          <w:lang w:bidi="fa-IR"/>
        </w:rPr>
        <w:t xml:space="preserve"> </w:t>
      </w:r>
      <w:r w:rsidRPr="00C9040A">
        <w:rPr>
          <w:rtl/>
          <w:lang w:bidi="fa-IR"/>
        </w:rPr>
        <w:t xml:space="preserve">أُخْبِرُكُمْ بِمَنْ هُوَ شَرٌّ مِنْ ذلِكَ </w:t>
      </w:r>
      <w:r w:rsidR="006C577F" w:rsidRPr="006C577F">
        <w:rPr>
          <w:rStyle w:val="libFootnotenumChar"/>
          <w:rtl/>
        </w:rPr>
        <w:t>(1)</w:t>
      </w:r>
      <w:r>
        <w:rPr>
          <w:rtl/>
          <w:lang w:bidi="fa-IR"/>
        </w:rPr>
        <w:t>؟</w:t>
      </w:r>
      <w:r w:rsidRPr="00C9040A">
        <w:rPr>
          <w:rtl/>
          <w:lang w:bidi="fa-IR"/>
        </w:rPr>
        <w:t xml:space="preserve"> قَالُوا : بَلى يَا رَسُولَ اللهِ </w:t>
      </w:r>
      <w:r w:rsidR="006C577F" w:rsidRPr="006C577F">
        <w:rPr>
          <w:rStyle w:val="libFootnotenumChar"/>
          <w:rtl/>
        </w:rPr>
        <w:t>(2)</w:t>
      </w:r>
      <w:r w:rsidRPr="00C9040A">
        <w:rPr>
          <w:rtl/>
          <w:lang w:bidi="fa-IR"/>
        </w:rPr>
        <w:t xml:space="preserve"> ، قَالَ </w:t>
      </w:r>
      <w:r w:rsidR="004A4E41" w:rsidRPr="004A4E41">
        <w:rPr>
          <w:rStyle w:val="libAlaemChar"/>
          <w:rtl/>
        </w:rPr>
        <w:t>صلى‌الله‌عليه‌وآله</w:t>
      </w:r>
      <w:r w:rsidRPr="00C9040A">
        <w:rPr>
          <w:rtl/>
          <w:lang w:bidi="fa-IR"/>
        </w:rPr>
        <w:t xml:space="preserve"> :</w:t>
      </w:r>
      <w:r w:rsidR="00207B88">
        <w:rPr>
          <w:rFonts w:hint="cs"/>
          <w:rtl/>
          <w:lang w:bidi="fa-IR"/>
        </w:rPr>
        <w:t xml:space="preserve"> </w:t>
      </w:r>
      <w:r w:rsidRPr="00C9040A">
        <w:rPr>
          <w:rtl/>
          <w:lang w:bidi="fa-IR"/>
        </w:rPr>
        <w:t>الْمُتَفَحِّشُ اللَّعَّانُ ، الَّذِي إِذَا ذُكِرَ عِنْدَهُ الْمُؤْمِنُونَ لَعَنَهُمْ ، وَإِذَا ذَكَرُوهُ لَعَنُوهُ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713BCF">
        <w:rPr>
          <w:rtl/>
        </w:rPr>
        <w:t>2480</w:t>
      </w:r>
      <w:r w:rsidRPr="00261CB0">
        <w:rPr>
          <w:rStyle w:val="libBold2Char"/>
          <w:rtl/>
        </w:rPr>
        <w:t xml:space="preserve"> / 8.</w:t>
      </w:r>
      <w:r w:rsidRPr="00C9040A">
        <w:rPr>
          <w:rtl/>
          <w:lang w:bidi="fa-IR"/>
        </w:rPr>
        <w:t xml:space="preserve"> عِدَّةٌ مِنْ أَصْحَابِنَا ، عَنْ سَهْلِ بْنِ زِيَادٍ ، عَنْ بَعْضِ أَصْحَابِهِ </w:t>
      </w:r>
      <w:r w:rsidR="006C577F" w:rsidRPr="006C577F">
        <w:rPr>
          <w:rStyle w:val="libFootnotenumChar"/>
          <w:rtl/>
        </w:rPr>
        <w:t>(4)</w:t>
      </w:r>
      <w:r w:rsidRPr="00C9040A">
        <w:rPr>
          <w:rtl/>
          <w:lang w:bidi="fa-IR"/>
        </w:rPr>
        <w:t xml:space="preserve"> ، عَنْ عَبْدِ اللهِ بْنِ سِنَانٍ :</w:t>
      </w:r>
    </w:p>
    <w:p w:rsidR="008A74EB"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ثَلَاثٌ مَنْ كُنَّ فِيهِ ، كَانَ مُنَافِقاً </w:t>
      </w:r>
      <w:r w:rsidR="0084262C">
        <w:rPr>
          <w:rtl/>
          <w:lang w:bidi="fa-IR"/>
        </w:rPr>
        <w:t>-</w:t>
      </w:r>
      <w:r w:rsidRPr="00C9040A">
        <w:rPr>
          <w:rtl/>
          <w:lang w:bidi="fa-IR"/>
        </w:rPr>
        <w:t xml:space="preserve"> وَإِنْ صَامَ وَصَلّى ، وَزَعَمَ أَنَّهُ مُسْلِمٌ</w:t>
      </w:r>
      <w:r>
        <w:rPr>
          <w:rtl/>
          <w:lang w:bidi="fa-IR"/>
        </w:rPr>
        <w:t xml:space="preserve"> </w:t>
      </w:r>
      <w:r w:rsidR="0084262C">
        <w:rPr>
          <w:rtl/>
          <w:lang w:bidi="fa-IR"/>
        </w:rPr>
        <w:t>-</w:t>
      </w:r>
      <w:r>
        <w:rPr>
          <w:rtl/>
          <w:lang w:bidi="fa-IR"/>
        </w:rPr>
        <w:t xml:space="preserve"> </w:t>
      </w:r>
      <w:r w:rsidRPr="00C9040A">
        <w:rPr>
          <w:rtl/>
          <w:lang w:bidi="fa-IR"/>
        </w:rPr>
        <w:t xml:space="preserve">: مَنْ إِذَا ائْتُمِنَ خَانَ ، وَإِذَا حَدَّثَ كَذَبَ ، وَإِذَا </w:t>
      </w:r>
      <w:r w:rsidR="006C577F" w:rsidRPr="006C577F">
        <w:rPr>
          <w:rStyle w:val="libFootnotenumChar"/>
          <w:rtl/>
        </w:rPr>
        <w:t>(5)</w:t>
      </w:r>
      <w:r w:rsidRPr="00C9040A">
        <w:rPr>
          <w:rtl/>
          <w:lang w:bidi="fa-IR"/>
        </w:rPr>
        <w:t xml:space="preserve"> وَعَدَ أَخْلَفَ ؛ إِنَّ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قَالَ </w:t>
      </w:r>
      <w:r w:rsidR="006C577F" w:rsidRPr="006C577F">
        <w:rPr>
          <w:rStyle w:val="libFootnotenumChar"/>
          <w:rtl/>
        </w:rPr>
        <w:t>(6)</w:t>
      </w:r>
      <w:r w:rsidRPr="005B567D">
        <w:rPr>
          <w:rStyle w:val="libFootnotenumChar"/>
          <w:rtl/>
        </w:rPr>
        <w:t xml:space="preserve"> </w:t>
      </w:r>
      <w:r w:rsidRPr="00C9040A">
        <w:rPr>
          <w:rtl/>
          <w:lang w:bidi="fa-IR"/>
        </w:rPr>
        <w:t xml:space="preserve">فِي كِتَابِهِ : </w:t>
      </w:r>
      <w:r w:rsidRPr="0003660B">
        <w:rPr>
          <w:rStyle w:val="libAlaemChar"/>
          <w:rtl/>
        </w:rPr>
        <w:t>(</w:t>
      </w:r>
      <w:r w:rsidRPr="006A2246">
        <w:rPr>
          <w:rStyle w:val="libAieChar"/>
          <w:rtl/>
        </w:rPr>
        <w:t xml:space="preserve"> إِنَّ اللهَ لا يُحِبُّ الْخائِنِينَ </w:t>
      </w:r>
      <w:r w:rsidRPr="0003660B">
        <w:rPr>
          <w:rStyle w:val="libAlaemChar"/>
          <w:rtl/>
        </w:rPr>
        <w:t>)</w:t>
      </w:r>
      <w:r w:rsidRPr="00C9040A">
        <w:rPr>
          <w:rtl/>
          <w:lang w:bidi="fa-IR"/>
        </w:rPr>
        <w:t xml:space="preserve"> </w:t>
      </w:r>
      <w:r w:rsidR="006C577F" w:rsidRPr="006C577F">
        <w:rPr>
          <w:rStyle w:val="libFootnotenumChar"/>
          <w:rtl/>
        </w:rPr>
        <w:t>(7)</w:t>
      </w:r>
      <w:r w:rsidRPr="00C9040A">
        <w:rPr>
          <w:rtl/>
          <w:lang w:bidi="fa-IR"/>
        </w:rPr>
        <w:t xml:space="preserve"> وَقَالَ : </w:t>
      </w:r>
      <w:r w:rsidRPr="0003660B">
        <w:rPr>
          <w:rStyle w:val="libAlaemChar"/>
          <w:rtl/>
        </w:rPr>
        <w:t>(</w:t>
      </w:r>
      <w:r w:rsidRPr="006A2246">
        <w:rPr>
          <w:rStyle w:val="libAieChar"/>
          <w:rtl/>
        </w:rPr>
        <w:t xml:space="preserve"> أَنَّ لَعْنَتَ اللهِ عَلَيْهِ إِنْ كانَ مِنَ الْكاذِبِينَ </w:t>
      </w:r>
      <w:r w:rsidRPr="0003660B">
        <w:rPr>
          <w:rStyle w:val="libAlaemChar"/>
          <w:rtl/>
        </w:rPr>
        <w:t>)</w:t>
      </w:r>
      <w:r w:rsidRPr="00C9040A">
        <w:rPr>
          <w:rtl/>
          <w:lang w:bidi="fa-IR"/>
        </w:rPr>
        <w:t xml:space="preserve"> </w:t>
      </w:r>
      <w:r w:rsidR="006C577F" w:rsidRPr="006C577F">
        <w:rPr>
          <w:rStyle w:val="libFootnotenumChar"/>
          <w:rtl/>
        </w:rPr>
        <w:t>(8)</w:t>
      </w:r>
      <w:r w:rsidRPr="00C9040A">
        <w:rPr>
          <w:rtl/>
          <w:lang w:bidi="fa-IR"/>
        </w:rPr>
        <w:t xml:space="preserve"> وَفِي </w:t>
      </w:r>
      <w:r w:rsidR="006C577F" w:rsidRPr="006C577F">
        <w:rPr>
          <w:rStyle w:val="libFootnotenumChar"/>
          <w:rtl/>
        </w:rPr>
        <w:t>(9)</w:t>
      </w:r>
      <w:r w:rsidRPr="00C9040A">
        <w:rPr>
          <w:rtl/>
          <w:lang w:bidi="fa-IR"/>
        </w:rPr>
        <w:t xml:space="preserve"> قَوْلِهِ عَزَّ وَجَلَّ : </w:t>
      </w:r>
      <w:r w:rsidRPr="0003660B">
        <w:rPr>
          <w:rStyle w:val="libAlaemChar"/>
          <w:rtl/>
        </w:rPr>
        <w:t>(</w:t>
      </w:r>
      <w:r w:rsidRPr="006A2246">
        <w:rPr>
          <w:rStyle w:val="libAieChar"/>
          <w:rtl/>
        </w:rPr>
        <w:t xml:space="preserve"> وَاذْكُرْ فِي الْكِتابِ إِسْماعِيلَ إِنَّهُ كانَ صادِقَ الْوَعْدِ وَكانَ رَسُولاً نَبِيًّا </w:t>
      </w:r>
      <w:r w:rsidRPr="0003660B">
        <w:rPr>
          <w:rStyle w:val="libAlaemChar"/>
          <w:rtl/>
        </w:rPr>
        <w:t>)</w:t>
      </w:r>
      <w:r w:rsidRPr="00C9040A">
        <w:rPr>
          <w:rtl/>
          <w:lang w:bidi="fa-IR"/>
        </w:rPr>
        <w:t xml:space="preserve"> </w:t>
      </w:r>
      <w:r w:rsidR="006C577F" w:rsidRPr="006C577F">
        <w:rPr>
          <w:rStyle w:val="libFootnotenumChar"/>
          <w:rtl/>
        </w:rPr>
        <w:t>(10)</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(11)</w:t>
      </w:r>
      <w:r w:rsidRPr="00C9040A">
        <w:rPr>
          <w:rtl/>
          <w:lang w:bidi="fa-IR"/>
        </w:rPr>
        <w:t xml:space="preserve"> ‌</w:t>
      </w:r>
    </w:p>
    <w:p w:rsidR="008A74EB" w:rsidRPr="00C9040A" w:rsidRDefault="008A74EB" w:rsidP="008A74EB">
      <w:pPr>
        <w:pStyle w:val="libNormal"/>
        <w:rPr>
          <w:rtl/>
          <w:lang w:bidi="fa-IR"/>
        </w:rPr>
      </w:pPr>
      <w:r w:rsidRPr="00713BCF">
        <w:rPr>
          <w:rtl/>
        </w:rPr>
        <w:t>2481</w:t>
      </w:r>
      <w:r w:rsidRPr="00261CB0">
        <w:rPr>
          <w:rStyle w:val="libBold2Char"/>
          <w:rtl/>
        </w:rPr>
        <w:t xml:space="preserve"> / 9.</w:t>
      </w:r>
      <w:r w:rsidRPr="00C9040A">
        <w:rPr>
          <w:rtl/>
          <w:lang w:bidi="fa-IR"/>
        </w:rPr>
        <w:t xml:space="preserve"> عَلِيُّ بْنُ إِبْرَاهِيمَ ، عَنْ مُحَمَّدِ بْنِ عِيسى ، عَنْ يُونُسَ ، عَنْ بَعْضِ أَصْحَابِهِ :</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207B88" w:rsidTr="00207B88">
        <w:tc>
          <w:tcPr>
            <w:tcW w:w="4006" w:type="dxa"/>
          </w:tcPr>
          <w:p w:rsidR="00207B88" w:rsidRDefault="00207B88" w:rsidP="004A4E41">
            <w:pPr>
              <w:pStyle w:val="libFootnote0"/>
              <w:rPr>
                <w:rtl/>
              </w:rPr>
            </w:pPr>
            <w:r>
              <w:rPr>
                <w:rtl/>
              </w:rPr>
              <w:t xml:space="preserve">(1). </w:t>
            </w:r>
            <w:r w:rsidRPr="00C9040A">
              <w:rPr>
                <w:rtl/>
              </w:rPr>
              <w:t xml:space="preserve">في « </w:t>
            </w:r>
            <w:r>
              <w:rPr>
                <w:rtl/>
              </w:rPr>
              <w:t xml:space="preserve">ه </w:t>
            </w:r>
            <w:r w:rsidRPr="00C9040A">
              <w:rPr>
                <w:rtl/>
              </w:rPr>
              <w:t>» : « ذلكم »</w:t>
            </w:r>
            <w:r>
              <w:rPr>
                <w:rtl/>
              </w:rPr>
              <w:t>.</w:t>
            </w:r>
          </w:p>
        </w:tc>
        <w:tc>
          <w:tcPr>
            <w:tcW w:w="4006" w:type="dxa"/>
          </w:tcPr>
          <w:p w:rsidR="00207B88" w:rsidRDefault="00207B88" w:rsidP="004A4E41">
            <w:pPr>
              <w:pStyle w:val="libFootnote0"/>
              <w:rPr>
                <w:rtl/>
              </w:rPr>
            </w:pPr>
            <w:r>
              <w:rPr>
                <w:rtl/>
              </w:rPr>
              <w:t xml:space="preserve">(2). </w:t>
            </w:r>
            <w:r w:rsidRPr="00C9040A">
              <w:rPr>
                <w:rtl/>
              </w:rPr>
              <w:t xml:space="preserve">في الوسائل </w:t>
            </w:r>
            <w:r>
              <w:rPr>
                <w:rtl/>
              </w:rPr>
              <w:t>: -</w:t>
            </w:r>
            <w:r w:rsidRPr="00C9040A">
              <w:rPr>
                <w:rtl/>
              </w:rPr>
              <w:t xml:space="preserve"> « يا رسول الله »</w:t>
            </w:r>
            <w:r>
              <w:rPr>
                <w:rtl/>
              </w:rPr>
              <w:t>.</w:t>
            </w:r>
          </w:p>
        </w:tc>
      </w:tr>
    </w:tbl>
    <w:p w:rsidR="008A74EB" w:rsidRPr="00C9040A" w:rsidRDefault="006C577F" w:rsidP="00207B88">
      <w:pPr>
        <w:pStyle w:val="libFootnote0"/>
        <w:rPr>
          <w:rtl/>
          <w:lang w:bidi="fa-IR"/>
        </w:rPr>
      </w:pPr>
      <w:r>
        <w:rPr>
          <w:rtl/>
        </w:rPr>
        <w:t>(3).</w:t>
      </w:r>
      <w:r w:rsidR="008A74EB" w:rsidRPr="00C9040A">
        <w:rPr>
          <w:rtl/>
        </w:rPr>
        <w:t xml:space="preserve"> راجع : </w:t>
      </w:r>
      <w:r w:rsidR="008A74EB" w:rsidRPr="00993B55">
        <w:rPr>
          <w:rStyle w:val="libFootnoteBoldChar"/>
          <w:rtl/>
        </w:rPr>
        <w:t>معاني الأخبار</w:t>
      </w:r>
      <w:r w:rsidR="008A74EB" w:rsidRPr="00C9040A">
        <w:rPr>
          <w:rtl/>
        </w:rPr>
        <w:t xml:space="preserve"> ، ص 196 ، ح 2 </w:t>
      </w:r>
      <w:r w:rsidR="00207B88" w:rsidRPr="00207B88">
        <w:rPr>
          <w:rStyle w:val="libFootnoteBoldChar"/>
          <w:rFonts w:hint="cs"/>
          <w:rtl/>
        </w:rPr>
        <w:t>.</w:t>
      </w:r>
      <w:r w:rsidR="008A74EB" w:rsidRPr="00207B88">
        <w:rPr>
          <w:rStyle w:val="libFootnoteBoldChar"/>
          <w:rtl/>
        </w:rPr>
        <w:t>الوافي</w:t>
      </w:r>
      <w:r w:rsidR="008A74EB" w:rsidRPr="00C9040A">
        <w:rPr>
          <w:rtl/>
        </w:rPr>
        <w:t xml:space="preserve"> ، ج 5 ، ص 956 ، ح 3363 ؛ </w:t>
      </w:r>
      <w:r w:rsidR="008A74EB" w:rsidRPr="00993B55">
        <w:rPr>
          <w:rStyle w:val="libFootnoteBoldChar"/>
          <w:rtl/>
        </w:rPr>
        <w:t>الوسائل</w:t>
      </w:r>
      <w:r w:rsidR="008A74EB" w:rsidRPr="00C9040A">
        <w:rPr>
          <w:rtl/>
        </w:rPr>
        <w:t xml:space="preserve"> ، ج 15 ، ص 340 ، ح 20690 ؛ </w:t>
      </w:r>
      <w:r w:rsidR="008A74EB" w:rsidRPr="00993B55">
        <w:rPr>
          <w:rStyle w:val="libFootnoteBoldChar"/>
          <w:rtl/>
        </w:rPr>
        <w:t>البحار</w:t>
      </w:r>
      <w:r w:rsidR="008A74EB" w:rsidRPr="00C9040A">
        <w:rPr>
          <w:rtl/>
        </w:rPr>
        <w:t xml:space="preserve"> ، ج 72 ، ص 107 ، ح 7.</w:t>
      </w:r>
      <w:r w:rsidR="00207B88">
        <w:rPr>
          <w:rFonts w:hint="cs"/>
          <w:rtl/>
        </w:rPr>
        <w:t xml:space="preserve">   </w:t>
      </w:r>
      <w:r>
        <w:rPr>
          <w:rtl/>
        </w:rPr>
        <w:t>(4).</w:t>
      </w:r>
      <w:r w:rsidR="008A74EB" w:rsidRPr="00C9040A">
        <w:rPr>
          <w:rtl/>
        </w:rPr>
        <w:t xml:space="preserve"> في حاشية « ج » : « أصحابنا »</w:t>
      </w:r>
      <w:r w:rsidR="008A74EB">
        <w:rPr>
          <w:rtl/>
        </w:rPr>
        <w:t>.</w:t>
      </w:r>
    </w:p>
    <w:tbl>
      <w:tblPr>
        <w:tblStyle w:val="TableGrid"/>
        <w:bidiVisual/>
        <w:tblW w:w="0" w:type="auto"/>
        <w:tblLook w:val="04A0" w:firstRow="1" w:lastRow="0" w:firstColumn="1" w:lastColumn="0" w:noHBand="0" w:noVBand="1"/>
      </w:tblPr>
      <w:tblGrid>
        <w:gridCol w:w="4006"/>
        <w:gridCol w:w="4006"/>
      </w:tblGrid>
      <w:tr w:rsidR="00207B88" w:rsidTr="00207B88">
        <w:tc>
          <w:tcPr>
            <w:tcW w:w="4006" w:type="dxa"/>
          </w:tcPr>
          <w:p w:rsidR="00207B88" w:rsidRDefault="00207B88" w:rsidP="004A4E41">
            <w:pPr>
              <w:pStyle w:val="libFootnote0"/>
              <w:rPr>
                <w:rtl/>
              </w:rPr>
            </w:pPr>
            <w:r>
              <w:rPr>
                <w:rtl/>
              </w:rPr>
              <w:t>(5).</w:t>
            </w:r>
            <w:r w:rsidRPr="00C9040A">
              <w:rPr>
                <w:rtl/>
              </w:rPr>
              <w:t xml:space="preserve"> في « ص » : « وإن »</w:t>
            </w:r>
            <w:r>
              <w:rPr>
                <w:rtl/>
              </w:rPr>
              <w:t>.</w:t>
            </w:r>
          </w:p>
        </w:tc>
        <w:tc>
          <w:tcPr>
            <w:tcW w:w="4006" w:type="dxa"/>
          </w:tcPr>
          <w:p w:rsidR="00207B88" w:rsidRDefault="00207B88" w:rsidP="004A4E41">
            <w:pPr>
              <w:pStyle w:val="libFootnote0"/>
              <w:rPr>
                <w:rtl/>
              </w:rPr>
            </w:pPr>
            <w:r>
              <w:rPr>
                <w:rtl/>
              </w:rPr>
              <w:t xml:space="preserve">(6). </w:t>
            </w:r>
            <w:r w:rsidRPr="00C9040A">
              <w:rPr>
                <w:rtl/>
              </w:rPr>
              <w:t>في « بر » : « يقول »</w:t>
            </w:r>
            <w:r>
              <w:rPr>
                <w:rtl/>
              </w:rPr>
              <w:t>.</w:t>
            </w:r>
          </w:p>
        </w:tc>
      </w:tr>
      <w:tr w:rsidR="00207B88" w:rsidTr="00207B88">
        <w:tc>
          <w:tcPr>
            <w:tcW w:w="4006" w:type="dxa"/>
          </w:tcPr>
          <w:p w:rsidR="00207B88" w:rsidRDefault="00207B88" w:rsidP="004A4E41">
            <w:pPr>
              <w:pStyle w:val="libFootnote0"/>
              <w:rPr>
                <w:rtl/>
              </w:rPr>
            </w:pPr>
            <w:r>
              <w:rPr>
                <w:rtl/>
              </w:rPr>
              <w:t>(7).</w:t>
            </w:r>
            <w:r w:rsidRPr="00C9040A">
              <w:rPr>
                <w:rtl/>
              </w:rPr>
              <w:t xml:space="preserve"> الأنفال </w:t>
            </w:r>
            <w:r>
              <w:rPr>
                <w:rtl/>
              </w:rPr>
              <w:t>(8)</w:t>
            </w:r>
            <w:r w:rsidRPr="00C9040A">
              <w:rPr>
                <w:rtl/>
              </w:rPr>
              <w:t xml:space="preserve"> : 58.</w:t>
            </w:r>
          </w:p>
        </w:tc>
        <w:tc>
          <w:tcPr>
            <w:tcW w:w="4006" w:type="dxa"/>
          </w:tcPr>
          <w:p w:rsidR="00207B88" w:rsidRDefault="00207B88" w:rsidP="004A4E41">
            <w:pPr>
              <w:pStyle w:val="libFootnote0"/>
              <w:rPr>
                <w:rtl/>
              </w:rPr>
            </w:pPr>
            <w:r>
              <w:rPr>
                <w:rtl/>
              </w:rPr>
              <w:t>(8).</w:t>
            </w:r>
            <w:r w:rsidRPr="00C9040A">
              <w:rPr>
                <w:rtl/>
              </w:rPr>
              <w:t xml:space="preserve"> النور (24) : 7.</w:t>
            </w:r>
          </w:p>
        </w:tc>
      </w:tr>
      <w:tr w:rsidR="00207B88" w:rsidTr="00207B88">
        <w:tc>
          <w:tcPr>
            <w:tcW w:w="4006" w:type="dxa"/>
          </w:tcPr>
          <w:p w:rsidR="00207B88" w:rsidRDefault="00207B88" w:rsidP="004A4E41">
            <w:pPr>
              <w:pStyle w:val="libFootnote0"/>
              <w:rPr>
                <w:rtl/>
              </w:rPr>
            </w:pPr>
            <w:r>
              <w:rPr>
                <w:rtl/>
              </w:rPr>
              <w:t>(9).</w:t>
            </w:r>
            <w:r w:rsidRPr="00C9040A">
              <w:rPr>
                <w:rtl/>
              </w:rPr>
              <w:t xml:space="preserve"> في « </w:t>
            </w:r>
            <w:r>
              <w:rPr>
                <w:rtl/>
              </w:rPr>
              <w:t xml:space="preserve">ه </w:t>
            </w:r>
            <w:r w:rsidRPr="00C9040A">
              <w:rPr>
                <w:rtl/>
              </w:rPr>
              <w:t xml:space="preserve">» </w:t>
            </w:r>
            <w:r>
              <w:rPr>
                <w:rtl/>
              </w:rPr>
              <w:t>: -</w:t>
            </w:r>
            <w:r w:rsidRPr="00C9040A">
              <w:rPr>
                <w:rtl/>
              </w:rPr>
              <w:t xml:space="preserve"> « في »</w:t>
            </w:r>
            <w:r>
              <w:rPr>
                <w:rtl/>
              </w:rPr>
              <w:t>.</w:t>
            </w:r>
          </w:p>
        </w:tc>
        <w:tc>
          <w:tcPr>
            <w:tcW w:w="4006" w:type="dxa"/>
          </w:tcPr>
          <w:p w:rsidR="00207B88" w:rsidRDefault="00207B88" w:rsidP="004A4E41">
            <w:pPr>
              <w:pStyle w:val="libFootnote0"/>
              <w:rPr>
                <w:rtl/>
              </w:rPr>
            </w:pPr>
            <w:r>
              <w:rPr>
                <w:rtl/>
              </w:rPr>
              <w:t>(10).</w:t>
            </w:r>
            <w:r w:rsidRPr="00C9040A">
              <w:rPr>
                <w:rtl/>
              </w:rPr>
              <w:t xml:space="preserve"> مريم (19) : 54.</w:t>
            </w:r>
          </w:p>
        </w:tc>
      </w:tr>
    </w:tbl>
    <w:p w:rsidR="008A74EB" w:rsidRPr="00C9040A" w:rsidRDefault="006C577F" w:rsidP="004A4E41">
      <w:pPr>
        <w:pStyle w:val="libFootnote0"/>
        <w:rPr>
          <w:rtl/>
          <w:lang w:bidi="fa-IR"/>
        </w:rPr>
      </w:pPr>
      <w:r>
        <w:rPr>
          <w:rtl/>
        </w:rPr>
        <w:t>(11).</w:t>
      </w:r>
      <w:r w:rsidR="008A74EB" w:rsidRPr="00C9040A">
        <w:rPr>
          <w:rtl/>
        </w:rPr>
        <w:t xml:space="preserve"> </w:t>
      </w:r>
      <w:r w:rsidR="008A74EB" w:rsidRPr="00993B55">
        <w:rPr>
          <w:rStyle w:val="libFootnoteBoldChar"/>
          <w:rtl/>
        </w:rPr>
        <w:t>قرب الإسناد</w:t>
      </w:r>
      <w:r w:rsidR="008A74EB" w:rsidRPr="00C9040A">
        <w:rPr>
          <w:rtl/>
        </w:rPr>
        <w:t xml:space="preserve"> ، ص 28 ، ح 92 ، بسند آخر عن جعفر بن محمّد ، عن أبيه </w:t>
      </w:r>
      <w:r w:rsidR="00117575" w:rsidRPr="00117575">
        <w:rPr>
          <w:rStyle w:val="libFootnoteAlaemChar"/>
          <w:rtl/>
        </w:rPr>
        <w:t>عليهم‌السلام</w:t>
      </w:r>
      <w:r w:rsidR="008A74EB" w:rsidRPr="00C9040A">
        <w:rPr>
          <w:rtl/>
        </w:rPr>
        <w:t xml:space="preserve"> عن النبيّ </w:t>
      </w:r>
      <w:r w:rsidR="004A4E41" w:rsidRPr="00EB0A75">
        <w:rPr>
          <w:rStyle w:val="libFootnoteAlaemChar"/>
          <w:rtl/>
        </w:rPr>
        <w:t>صلى‌الله‌عليه‌وآله</w:t>
      </w:r>
      <w:r w:rsidR="008A74EB" w:rsidRPr="00C9040A">
        <w:rPr>
          <w:rtl/>
        </w:rPr>
        <w:t xml:space="preserve"> ، إلى قوله : « وإذا وعد أخلف » مع اختلاف يسير وزيادة في أوّله. </w:t>
      </w:r>
      <w:r w:rsidR="008A74EB" w:rsidRPr="00993B55">
        <w:rPr>
          <w:rStyle w:val="libFootnoteBoldChar"/>
          <w:rtl/>
        </w:rPr>
        <w:t>الخصال</w:t>
      </w:r>
      <w:r w:rsidR="008A74EB" w:rsidRPr="00C9040A">
        <w:rPr>
          <w:rtl/>
        </w:rPr>
        <w:t xml:space="preserve"> ، ص 254 ، باب الأربعة ، ح 129 ، بسند آخر عن النبيّ </w:t>
      </w:r>
      <w:r w:rsidR="004A4E41" w:rsidRPr="00EB0A75">
        <w:rPr>
          <w:rStyle w:val="libFootnoteAlaemChar"/>
          <w:rtl/>
        </w:rPr>
        <w:t>صلى‌الله‌عليه‌وآله</w:t>
      </w:r>
      <w:r w:rsidR="008A74EB" w:rsidRPr="00C9040A">
        <w:rPr>
          <w:rtl/>
        </w:rPr>
        <w:t xml:space="preserve">. </w:t>
      </w:r>
      <w:r w:rsidR="008A74EB" w:rsidRPr="00993B55">
        <w:rPr>
          <w:rStyle w:val="libFootnoteBoldChar"/>
          <w:rtl/>
        </w:rPr>
        <w:t>مصباح الشريعة</w:t>
      </w:r>
      <w:r w:rsidR="008A74EB" w:rsidRPr="00C9040A">
        <w:rPr>
          <w:rtl/>
        </w:rPr>
        <w:t xml:space="preserve"> ، ص 144 ، الباب 68 ، عن أبي عبدالله </w:t>
      </w:r>
      <w:r w:rsidR="00117575" w:rsidRPr="00117575">
        <w:rPr>
          <w:rStyle w:val="libFootnoteAlaemChar"/>
          <w:rtl/>
        </w:rPr>
        <w:t>عليه‌السلام</w:t>
      </w:r>
      <w:r w:rsidR="008A74EB" w:rsidRPr="00C9040A">
        <w:rPr>
          <w:rtl/>
        </w:rPr>
        <w:t xml:space="preserve"> عن النبيّ </w:t>
      </w:r>
      <w:r w:rsidR="004A4E41" w:rsidRPr="00EB0A75">
        <w:rPr>
          <w:rStyle w:val="libFootnoteAlaemChar"/>
          <w:rtl/>
        </w:rPr>
        <w:t>صلى‌الله‌عليه‌وآله</w:t>
      </w:r>
      <w:r w:rsidR="008A74EB" w:rsidRPr="00C9040A">
        <w:rPr>
          <w:rtl/>
        </w:rPr>
        <w:t xml:space="preserve"> ، وفيهما مع اختلاف وزيادة. </w:t>
      </w:r>
      <w:r w:rsidR="008A74EB" w:rsidRPr="00993B55">
        <w:rPr>
          <w:rStyle w:val="libFootnoteBoldChar"/>
          <w:rtl/>
        </w:rPr>
        <w:t>تحف العقول</w:t>
      </w:r>
      <w:r w:rsidR="008A74EB" w:rsidRPr="00C9040A">
        <w:rPr>
          <w:rtl/>
        </w:rPr>
        <w:t xml:space="preserve"> ، ص 10 ، ضمن الحديث الطويل ، عن أميرالمؤمنين </w:t>
      </w:r>
      <w:r w:rsidR="00117575" w:rsidRPr="00117575">
        <w:rPr>
          <w:rStyle w:val="libFootnoteAlaemChar"/>
          <w:rtl/>
        </w:rPr>
        <w:t xml:space="preserve">عليه‌السلام </w:t>
      </w:r>
      <w:r w:rsidR="008A74EB" w:rsidRPr="00C9040A">
        <w:rPr>
          <w:rtl/>
        </w:rPr>
        <w:t xml:space="preserve"> ؛ </w:t>
      </w:r>
      <w:r w:rsidR="008A74EB" w:rsidRPr="00993B55">
        <w:rPr>
          <w:rStyle w:val="libFootnoteBoldChar"/>
          <w:rtl/>
        </w:rPr>
        <w:t>وفيه</w:t>
      </w:r>
      <w:r w:rsidR="008A74EB" w:rsidRPr="00C9040A">
        <w:rPr>
          <w:rtl/>
        </w:rPr>
        <w:t xml:space="preserve"> ، ص 315 ، ضمن الحديث الطويل ، عن الصادق </w:t>
      </w:r>
      <w:r w:rsidR="00117575" w:rsidRPr="00117575">
        <w:rPr>
          <w:rStyle w:val="libFootnoteAlaemChar"/>
          <w:rtl/>
        </w:rPr>
        <w:t xml:space="preserve">عليه‌السلام </w:t>
      </w:r>
      <w:r w:rsidR="008A74EB" w:rsidRPr="00C9040A">
        <w:rPr>
          <w:rtl/>
        </w:rPr>
        <w:t xml:space="preserve"> ، وفيهما مع اختلاف يسير </w:t>
      </w:r>
      <w:r w:rsidR="00EB0A75">
        <w:rPr>
          <w:rFonts w:hint="cs"/>
          <w:rtl/>
        </w:rPr>
        <w:t>.</w:t>
      </w:r>
      <w:r w:rsidR="008A74EB" w:rsidRPr="00993B55">
        <w:rPr>
          <w:rStyle w:val="libFootnoteBoldChar"/>
          <w:rtl/>
        </w:rPr>
        <w:t>الوافي</w:t>
      </w:r>
      <w:r w:rsidR="008A74EB" w:rsidRPr="00C9040A">
        <w:rPr>
          <w:rtl/>
        </w:rPr>
        <w:t xml:space="preserve"> ، ج 4 ، ص 239 ، ح 1877 ؛ </w:t>
      </w:r>
      <w:r w:rsidR="008A74EB" w:rsidRPr="00993B55">
        <w:rPr>
          <w:rStyle w:val="libFootnoteBoldChar"/>
          <w:rtl/>
        </w:rPr>
        <w:t>الوسائل</w:t>
      </w:r>
      <w:r w:rsidR="008A74EB" w:rsidRPr="00C9040A">
        <w:rPr>
          <w:rtl/>
        </w:rPr>
        <w:t xml:space="preserve"> ، ح 15 ، ص 339 ، ح 20687 ؛ </w:t>
      </w:r>
      <w:r w:rsidR="008A74EB" w:rsidRPr="00993B55">
        <w:rPr>
          <w:rStyle w:val="libFootnoteBoldChar"/>
          <w:rtl/>
        </w:rPr>
        <w:t>البحار</w:t>
      </w:r>
      <w:r w:rsidR="008A74EB" w:rsidRPr="00C9040A">
        <w:rPr>
          <w:rtl/>
        </w:rPr>
        <w:t xml:space="preserve"> ، ج 72 ، ص 108 ، ح 8.</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Pr>
          <w:rtl/>
          <w:lang w:bidi="fa-IR"/>
        </w:rPr>
        <w:t xml:space="preserve"> : أَ</w:t>
      </w:r>
      <w:r w:rsidRPr="00C9040A">
        <w:rPr>
          <w:rtl/>
          <w:lang w:bidi="fa-IR"/>
        </w:rPr>
        <w:t>لَا</w:t>
      </w:r>
      <w:r>
        <w:rPr>
          <w:rFonts w:hint="cs"/>
          <w:rtl/>
          <w:lang w:bidi="fa-IR"/>
        </w:rPr>
        <w:t xml:space="preserve"> </w:t>
      </w:r>
      <w:r w:rsidRPr="00C9040A">
        <w:rPr>
          <w:rtl/>
          <w:lang w:bidi="fa-IR"/>
        </w:rPr>
        <w:t xml:space="preserve">أُخْبِرُكُمْ بِأَبْعَدِكُمْ مِنِّي شَبَهاً </w:t>
      </w:r>
      <w:r w:rsidR="006C577F" w:rsidRPr="006C577F">
        <w:rPr>
          <w:rStyle w:val="libFootnotenumChar"/>
          <w:rtl/>
        </w:rPr>
        <w:t>(1)</w:t>
      </w:r>
      <w:r>
        <w:rPr>
          <w:rtl/>
          <w:lang w:bidi="fa-IR"/>
        </w:rPr>
        <w:t>؟</w:t>
      </w:r>
      <w:r>
        <w:rPr>
          <w:rFonts w:hint="cs"/>
          <w:rtl/>
          <w:lang w:bidi="fa-IR"/>
        </w:rPr>
        <w:t xml:space="preserve"> </w:t>
      </w:r>
      <w:r w:rsidRPr="00C9040A">
        <w:rPr>
          <w:rtl/>
          <w:lang w:bidi="fa-IR"/>
        </w:rPr>
        <w:t xml:space="preserve">قَالُوا : بَلى يَا رَسُولَ اللهِ ، قَالَ </w:t>
      </w:r>
      <w:r w:rsidR="004A4E41" w:rsidRPr="004A4E41">
        <w:rPr>
          <w:rStyle w:val="libAlaemChar"/>
          <w:rtl/>
        </w:rPr>
        <w:t>صلى‌الله‌عليه‌وآله</w:t>
      </w:r>
      <w:r w:rsidRPr="00C9040A">
        <w:rPr>
          <w:rtl/>
          <w:lang w:bidi="fa-IR"/>
        </w:rPr>
        <w:t xml:space="preserve"> : الْفَاحِشُ الْمُتَفَحِّشُ الْبَذِي‌ءُ </w:t>
      </w:r>
      <w:r w:rsidR="006C577F" w:rsidRPr="006C577F">
        <w:rPr>
          <w:rStyle w:val="libFootnotenumChar"/>
          <w:rtl/>
        </w:rPr>
        <w:t>(2)</w:t>
      </w:r>
      <w:r w:rsidRPr="00C9040A">
        <w:rPr>
          <w:rtl/>
          <w:lang w:bidi="fa-IR"/>
        </w:rPr>
        <w:t xml:space="preserve"> الْبَخِيلُ الْمُخْتَالُ </w:t>
      </w:r>
      <w:r w:rsidR="006C577F" w:rsidRPr="006C577F">
        <w:rPr>
          <w:rStyle w:val="libFootnotenumChar"/>
          <w:rtl/>
        </w:rPr>
        <w:t>(3)</w:t>
      </w:r>
      <w:r w:rsidRPr="00C9040A">
        <w:rPr>
          <w:rtl/>
          <w:lang w:bidi="fa-IR"/>
        </w:rPr>
        <w:t xml:space="preserve"> ، الْحَقُودُ </w:t>
      </w:r>
      <w:r w:rsidR="006C577F" w:rsidRPr="006C577F">
        <w:rPr>
          <w:rStyle w:val="libFootnotenumChar"/>
          <w:rtl/>
        </w:rPr>
        <w:t>(4)</w:t>
      </w:r>
      <w:r w:rsidRPr="00C9040A">
        <w:rPr>
          <w:rtl/>
          <w:lang w:bidi="fa-IR"/>
        </w:rPr>
        <w:t xml:space="preserve"> الْحَسُودُ ، الْقَاسِي الْقَلْبِ ، الْبَعِيدُ مِنْ كُلِّ خَيْرٍ يُرْجى ، غَيْرُ الْمَأْمُونِ مِنْ كُلِّ شَرٍّ </w:t>
      </w:r>
      <w:r w:rsidR="006C577F" w:rsidRPr="006C577F">
        <w:rPr>
          <w:rStyle w:val="libFootnotenumChar"/>
          <w:rtl/>
        </w:rPr>
        <w:t>(5)</w:t>
      </w:r>
      <w:r w:rsidRPr="00C9040A">
        <w:rPr>
          <w:rtl/>
          <w:lang w:bidi="fa-IR"/>
        </w:rPr>
        <w:t xml:space="preserve"> يُتَّقى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Normal"/>
        <w:rPr>
          <w:rtl/>
          <w:lang w:bidi="fa-IR"/>
        </w:rPr>
      </w:pPr>
      <w:r w:rsidRPr="00713BCF">
        <w:rPr>
          <w:rtl/>
        </w:rPr>
        <w:t>2482</w:t>
      </w:r>
      <w:r w:rsidRPr="00261CB0">
        <w:rPr>
          <w:rStyle w:val="libBold2Char"/>
          <w:rtl/>
        </w:rPr>
        <w:t xml:space="preserve"> / 10.</w:t>
      </w:r>
      <w:r w:rsidRPr="00C9040A">
        <w:rPr>
          <w:rtl/>
          <w:lang w:bidi="fa-IR"/>
        </w:rPr>
        <w:t xml:space="preserve"> الْحُسَيْنُ بْنُ مُحَمَّدٍ ، عَنْ مُعَلَّى بْنِ مُحَمَّدٍ ، عَنْ مَنْصُورِ بْنِ الْعَبَّاسِ ، عَنْ عَلِيِّ بْنِ أَسْبَاطٍ رَفَعَهُ إِلى سَلْمَانَ ، قَالَ :</w:t>
      </w:r>
    </w:p>
    <w:p w:rsidR="008A74EB" w:rsidRPr="00C9040A" w:rsidRDefault="008A74EB" w:rsidP="008A74EB">
      <w:pPr>
        <w:pStyle w:val="libNormal"/>
        <w:rPr>
          <w:rtl/>
          <w:lang w:bidi="fa-IR"/>
        </w:rPr>
      </w:pPr>
      <w:r w:rsidRPr="00C9040A">
        <w:rPr>
          <w:rtl/>
          <w:lang w:bidi="fa-IR"/>
        </w:rPr>
        <w:t>إِذَا أَرَادَ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هَلَاكَ عَبْدٍ ، نَزَعَ مِنْهُ الْحَيَاءَ ، فَإِذَا </w:t>
      </w:r>
      <w:r w:rsidR="006C577F" w:rsidRPr="006C577F">
        <w:rPr>
          <w:rStyle w:val="libFootnotenumChar"/>
          <w:rtl/>
        </w:rPr>
        <w:t>(7)</w:t>
      </w:r>
      <w:r w:rsidRPr="00C9040A">
        <w:rPr>
          <w:rtl/>
          <w:lang w:bidi="fa-IR"/>
        </w:rPr>
        <w:t xml:space="preserve"> نَزَعَ مِنْهُ الْحَيَاءَ ، لَمْ تَلْقَهُ </w:t>
      </w:r>
      <w:r w:rsidR="006C577F" w:rsidRPr="006C577F">
        <w:rPr>
          <w:rStyle w:val="libFootnotenumChar"/>
          <w:rtl/>
        </w:rPr>
        <w:t>(8)</w:t>
      </w:r>
      <w:r w:rsidR="00EB0A75">
        <w:rPr>
          <w:rtl/>
          <w:lang w:bidi="fa-IR"/>
        </w:rPr>
        <w:t xml:space="preserve"> إِل</w:t>
      </w:r>
      <w:r w:rsidR="00EB0A75">
        <w:rPr>
          <w:rFonts w:hint="cs"/>
          <w:rtl/>
          <w:lang w:bidi="fa-IR"/>
        </w:rPr>
        <w:t>َّ</w:t>
      </w:r>
      <w:r w:rsidR="00EB0A75">
        <w:rPr>
          <w:rtl/>
          <w:lang w:bidi="fa-IR"/>
        </w:rPr>
        <w:t>ا</w:t>
      </w:r>
      <w:r w:rsidRPr="00C9040A">
        <w:rPr>
          <w:rtl/>
          <w:lang w:bidi="fa-IR"/>
        </w:rPr>
        <w:t xml:space="preserve"> خَائِناً مَخُوناً </w:t>
      </w:r>
      <w:r w:rsidR="006C577F" w:rsidRPr="006C577F">
        <w:rPr>
          <w:rStyle w:val="libFootnotenumChar"/>
          <w:rtl/>
        </w:rPr>
        <w:t>(9)</w:t>
      </w:r>
      <w:r w:rsidRPr="00C9040A">
        <w:rPr>
          <w:rtl/>
          <w:lang w:bidi="fa-IR"/>
        </w:rPr>
        <w:t xml:space="preserve"> ، فَإِذَا </w:t>
      </w:r>
      <w:r w:rsidR="006C577F" w:rsidRPr="006C577F">
        <w:rPr>
          <w:rStyle w:val="libFootnotenumChar"/>
          <w:rtl/>
        </w:rPr>
        <w:t>(10)</w:t>
      </w:r>
      <w:r w:rsidRPr="00C9040A">
        <w:rPr>
          <w:rtl/>
          <w:lang w:bidi="fa-IR"/>
        </w:rPr>
        <w:t xml:space="preserve"> كَانَ خَائِناً مَخُوناً ، نُزِعَتْ </w:t>
      </w:r>
      <w:r w:rsidR="006C577F" w:rsidRPr="006C577F">
        <w:rPr>
          <w:rStyle w:val="libFootnotenumChar"/>
          <w:rtl/>
        </w:rPr>
        <w:t>(11)</w:t>
      </w:r>
      <w:r w:rsidRPr="00C9040A">
        <w:rPr>
          <w:rtl/>
          <w:lang w:bidi="fa-IR"/>
        </w:rPr>
        <w:t xml:space="preserve"> مِنْهُ الْأَمَانَةُ ، فَإِذَا نُزِعَتْ مِنْهُ الْأَمَانَةُ ، لَمْ تَلْقَهُ </w:t>
      </w:r>
      <w:r w:rsidR="006C577F" w:rsidRPr="006C577F">
        <w:rPr>
          <w:rStyle w:val="libFootnotenumChar"/>
          <w:rtl/>
        </w:rPr>
        <w:t>(12)</w:t>
      </w:r>
      <w:r w:rsidR="00EB0A75">
        <w:rPr>
          <w:rtl/>
          <w:lang w:bidi="fa-IR"/>
        </w:rPr>
        <w:t xml:space="preserve"> إِل</w:t>
      </w:r>
      <w:r w:rsidR="00EB0A75">
        <w:rPr>
          <w:rFonts w:hint="cs"/>
          <w:rtl/>
          <w:lang w:bidi="fa-IR"/>
        </w:rPr>
        <w:t>َّ</w:t>
      </w:r>
      <w:r w:rsidR="00EB0A75">
        <w:rPr>
          <w:rtl/>
          <w:lang w:bidi="fa-IR"/>
        </w:rPr>
        <w:t>ا</w:t>
      </w:r>
      <w:r w:rsidRPr="00C9040A">
        <w:rPr>
          <w:rtl/>
          <w:lang w:bidi="fa-IR"/>
        </w:rPr>
        <w:t xml:space="preserve"> فَظّاً </w:t>
      </w:r>
      <w:r w:rsidRPr="005B567D">
        <w:rPr>
          <w:rStyle w:val="libFootnotenumChar"/>
          <w:rtl/>
        </w:rPr>
        <w:t>(13)</w:t>
      </w:r>
      <w:r w:rsidRPr="00C9040A">
        <w:rPr>
          <w:rtl/>
          <w:lang w:bidi="fa-IR"/>
        </w:rPr>
        <w:t xml:space="preserve"> غَلِيظاً ، فَإِذَا كَانَ فَظّاً غَلِيظاً ، نُزِعَتْ مِنْهُ رِبْقَةُ </w:t>
      </w:r>
      <w:r w:rsidRPr="005B567D">
        <w:rPr>
          <w:rStyle w:val="libFootnotenumChar"/>
          <w:rtl/>
        </w:rPr>
        <w:t>(14)</w:t>
      </w:r>
      <w:r w:rsidRPr="00C9040A">
        <w:rPr>
          <w:rtl/>
          <w:lang w:bidi="fa-IR"/>
        </w:rPr>
        <w:t xml:space="preserve"> الْإِيمَانِ ، فَإِذَا </w:t>
      </w:r>
      <w:r w:rsidRPr="005B567D">
        <w:rPr>
          <w:rStyle w:val="libFootnotenumChar"/>
          <w:rtl/>
        </w:rPr>
        <w:t>(15)</w:t>
      </w:r>
      <w:r w:rsidRPr="00C9040A">
        <w:rPr>
          <w:rtl/>
          <w:lang w:bidi="fa-IR"/>
        </w:rPr>
        <w:t xml:space="preserve"> نُزِعَتْ مِنْهُ‌</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w:t>
      </w:r>
      <w:r w:rsidR="006D3162">
        <w:rPr>
          <w:rtl/>
        </w:rPr>
        <w:t xml:space="preserve">ه </w:t>
      </w:r>
      <w:r w:rsidR="008A74EB" w:rsidRPr="00C9040A">
        <w:rPr>
          <w:rtl/>
        </w:rPr>
        <w:t>» : « سبباً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 البذي » : الفاحش القول ؛ من البذاء ، وهو الفحش في القول. راجع : </w:t>
      </w:r>
      <w:r w:rsidR="008A74EB" w:rsidRPr="00993B55">
        <w:rPr>
          <w:rStyle w:val="libFootnoteBoldChar"/>
          <w:rtl/>
        </w:rPr>
        <w:t>الصحاح</w:t>
      </w:r>
      <w:r w:rsidR="008A74EB" w:rsidRPr="00C9040A">
        <w:rPr>
          <w:rtl/>
        </w:rPr>
        <w:t xml:space="preserve"> ، ج</w:t>
      </w:r>
      <w:r w:rsidR="00EB0A75">
        <w:rPr>
          <w:rtl/>
        </w:rPr>
        <w:t xml:space="preserve"> 6 ، ص 2279 (بذا</w:t>
      </w:r>
      <w:r w:rsidR="008A74EB" w:rsidRPr="00C9040A">
        <w:rPr>
          <w:rtl/>
        </w:rPr>
        <w:t xml:space="preserve">) ؛ </w:t>
      </w:r>
      <w:r w:rsidR="008A74EB" w:rsidRPr="00993B55">
        <w:rPr>
          <w:rStyle w:val="libFootnoteBoldChar"/>
          <w:rtl/>
        </w:rPr>
        <w:t>لسان</w:t>
      </w:r>
      <w:r w:rsidR="00EB0A75">
        <w:rPr>
          <w:rStyle w:val="libFootnoteBoldChar"/>
          <w:rFonts w:hint="cs"/>
          <w:rtl/>
        </w:rPr>
        <w:t xml:space="preserve"> </w:t>
      </w:r>
      <w:r w:rsidR="008A74EB" w:rsidRPr="00993B55">
        <w:rPr>
          <w:rStyle w:val="libFootnoteBoldChar"/>
          <w:rtl/>
        </w:rPr>
        <w:t xml:space="preserve">‌العرب </w:t>
      </w:r>
      <w:r w:rsidR="008A74EB" w:rsidRPr="00C9040A">
        <w:rPr>
          <w:rtl/>
        </w:rPr>
        <w:t>، ج 1 ، ص 30 ( بذأ )</w:t>
      </w:r>
      <w:r w:rsidR="008A74EB">
        <w:rPr>
          <w:rtl/>
        </w:rPr>
        <w:t>.</w:t>
      </w:r>
    </w:p>
    <w:p w:rsidR="008A74EB" w:rsidRPr="00C9040A" w:rsidRDefault="006C577F" w:rsidP="00EB0A75">
      <w:pPr>
        <w:pStyle w:val="libFootnote0"/>
        <w:rPr>
          <w:rtl/>
          <w:lang w:bidi="fa-IR"/>
        </w:rPr>
      </w:pPr>
      <w:r>
        <w:rPr>
          <w:rtl/>
        </w:rPr>
        <w:t>(3).</w:t>
      </w:r>
      <w:r w:rsidR="008A74EB" w:rsidRPr="00C9040A">
        <w:rPr>
          <w:rtl/>
        </w:rPr>
        <w:t xml:space="preserve"> « المختال » : المتكبّر. تقول منه : اختال فهو ذوخُيَلاء وذوخال وذومَخيلة ، أي ذوكبر. راجع : </w:t>
      </w:r>
      <w:r w:rsidR="008A74EB" w:rsidRPr="00993B55">
        <w:rPr>
          <w:rStyle w:val="libFootnoteBoldChar"/>
          <w:rtl/>
        </w:rPr>
        <w:t>الصحاح</w:t>
      </w:r>
      <w:r w:rsidR="008A74EB" w:rsidRPr="00C9040A">
        <w:rPr>
          <w:rtl/>
        </w:rPr>
        <w:t xml:space="preserve"> ، ج 4 ، ص 1691 ( خيل )</w:t>
      </w:r>
      <w:r w:rsidR="008A74EB">
        <w:rPr>
          <w:rtl/>
        </w:rPr>
        <w:t>.</w:t>
      </w:r>
      <w:r w:rsidR="00EB0A75">
        <w:rPr>
          <w:rFonts w:hint="cs"/>
          <w:rtl/>
        </w:rPr>
        <w:t xml:space="preserve">                       </w:t>
      </w:r>
      <w:r>
        <w:rPr>
          <w:rtl/>
        </w:rPr>
        <w:t>(4).</w:t>
      </w:r>
      <w:r w:rsidR="008A74EB" w:rsidRPr="00C9040A">
        <w:rPr>
          <w:rtl/>
        </w:rPr>
        <w:t xml:space="preserve"> في « بف » </w:t>
      </w:r>
      <w:r w:rsidR="008A74EB">
        <w:rPr>
          <w:rtl/>
        </w:rPr>
        <w:t xml:space="preserve">: </w:t>
      </w:r>
      <w:r w:rsidR="0084262C">
        <w:rPr>
          <w:rtl/>
        </w:rPr>
        <w:t>-</w:t>
      </w:r>
      <w:r w:rsidR="008A74EB" w:rsidRPr="00C9040A">
        <w:rPr>
          <w:rtl/>
        </w:rPr>
        <w:t xml:space="preserve"> « الحقود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w:t>
      </w:r>
      <w:r w:rsidR="006D3162">
        <w:rPr>
          <w:rtl/>
        </w:rPr>
        <w:t xml:space="preserve">ه </w:t>
      </w:r>
      <w:r w:rsidR="008A74EB" w:rsidRPr="00C9040A">
        <w:rPr>
          <w:rtl/>
        </w:rPr>
        <w:t>» : « شي‌ء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الوافي</w:t>
      </w:r>
      <w:r w:rsidR="008A74EB" w:rsidRPr="00C9040A">
        <w:rPr>
          <w:rtl/>
        </w:rPr>
        <w:t xml:space="preserve"> ، ج 5 ، ص 840 ، ح 3112 ؛ </w:t>
      </w:r>
      <w:r w:rsidR="008A74EB" w:rsidRPr="00993B55">
        <w:rPr>
          <w:rStyle w:val="libFootnoteBoldChar"/>
          <w:rtl/>
        </w:rPr>
        <w:t>الوسائل</w:t>
      </w:r>
      <w:r w:rsidR="008A74EB" w:rsidRPr="00C9040A">
        <w:rPr>
          <w:rtl/>
        </w:rPr>
        <w:t xml:space="preserve"> ، ج 15 ، ص 341 ، ح 20691 ؛ </w:t>
      </w:r>
      <w:r w:rsidR="008A74EB" w:rsidRPr="00993B55">
        <w:rPr>
          <w:rStyle w:val="libFootnoteBoldChar"/>
          <w:rtl/>
        </w:rPr>
        <w:t>البحار</w:t>
      </w:r>
      <w:r w:rsidR="008A74EB" w:rsidRPr="00C9040A">
        <w:rPr>
          <w:rtl/>
        </w:rPr>
        <w:t xml:space="preserve"> ، ج 72 ، ص 109 ، ح 9.</w:t>
      </w:r>
    </w:p>
    <w:tbl>
      <w:tblPr>
        <w:tblStyle w:val="TableGrid"/>
        <w:bidiVisual/>
        <w:tblW w:w="0" w:type="auto"/>
        <w:tblLook w:val="04A0" w:firstRow="1" w:lastRow="0" w:firstColumn="1" w:lastColumn="0" w:noHBand="0" w:noVBand="1"/>
      </w:tblPr>
      <w:tblGrid>
        <w:gridCol w:w="4006"/>
        <w:gridCol w:w="4006"/>
      </w:tblGrid>
      <w:tr w:rsidR="00EB0A75" w:rsidTr="00EB0A75">
        <w:tc>
          <w:tcPr>
            <w:tcW w:w="4006" w:type="dxa"/>
          </w:tcPr>
          <w:p w:rsidR="00EB0A75" w:rsidRDefault="00EB0A75" w:rsidP="004A4E41">
            <w:pPr>
              <w:pStyle w:val="libFootnote0"/>
              <w:rPr>
                <w:rtl/>
              </w:rPr>
            </w:pPr>
            <w:r>
              <w:rPr>
                <w:rtl/>
              </w:rPr>
              <w:t>(7).</w:t>
            </w:r>
            <w:r w:rsidRPr="00C9040A">
              <w:rPr>
                <w:rtl/>
              </w:rPr>
              <w:t xml:space="preserve"> في « بر ، بف » : « وإذا »</w:t>
            </w:r>
            <w:r>
              <w:rPr>
                <w:rtl/>
              </w:rPr>
              <w:t>.</w:t>
            </w:r>
          </w:p>
        </w:tc>
        <w:tc>
          <w:tcPr>
            <w:tcW w:w="4006" w:type="dxa"/>
          </w:tcPr>
          <w:p w:rsidR="00EB0A75" w:rsidRDefault="00EB0A75" w:rsidP="004A4E41">
            <w:pPr>
              <w:pStyle w:val="libFootnote0"/>
              <w:rPr>
                <w:rtl/>
              </w:rPr>
            </w:pPr>
            <w:r>
              <w:rPr>
                <w:rtl/>
              </w:rPr>
              <w:t>(8).</w:t>
            </w:r>
            <w:r w:rsidRPr="00C9040A">
              <w:rPr>
                <w:rtl/>
              </w:rPr>
              <w:t xml:space="preserve"> في « ص ، بس » : « لم يلقه » أي الإنسان.</w:t>
            </w:r>
          </w:p>
        </w:tc>
      </w:tr>
    </w:tbl>
    <w:p w:rsidR="008A74EB" w:rsidRPr="00C9040A" w:rsidRDefault="006C577F" w:rsidP="004A4E41">
      <w:pPr>
        <w:pStyle w:val="libFootnote0"/>
        <w:rPr>
          <w:rtl/>
          <w:lang w:bidi="fa-IR"/>
        </w:rPr>
      </w:pPr>
      <w:r>
        <w:rPr>
          <w:rtl/>
        </w:rPr>
        <w:t>(9).</w:t>
      </w:r>
      <w:r w:rsidR="008A74EB" w:rsidRPr="00C9040A">
        <w:rPr>
          <w:rtl/>
        </w:rPr>
        <w:t xml:space="preserve"> في « د » : « مخوّناً »</w:t>
      </w:r>
      <w:r w:rsidR="008A74EB">
        <w:rPr>
          <w:rtl/>
        </w:rPr>
        <w:t>.</w:t>
      </w:r>
      <w:r w:rsidR="008A74EB" w:rsidRPr="00C9040A">
        <w:rPr>
          <w:rtl/>
        </w:rPr>
        <w:t xml:space="preserve"> وفي </w:t>
      </w:r>
      <w:r w:rsidR="008A74EB" w:rsidRPr="00993B55">
        <w:rPr>
          <w:rStyle w:val="libFootnoteBoldChar"/>
          <w:rtl/>
        </w:rPr>
        <w:t>الوافي</w:t>
      </w:r>
      <w:r w:rsidR="008A74EB" w:rsidRPr="00C9040A">
        <w:rPr>
          <w:rtl/>
        </w:rPr>
        <w:t xml:space="preserve"> : « مخوّناً ، على صيغة الفاعل أوالمفعول ؛ من خوّنه تخويناً ، إذا نسبه إلى</w:t>
      </w:r>
      <w:r w:rsidR="00EB0A75">
        <w:rPr>
          <w:rFonts w:hint="cs"/>
          <w:rtl/>
        </w:rPr>
        <w:t xml:space="preserve"> </w:t>
      </w:r>
      <w:r w:rsidR="008A74EB" w:rsidRPr="00C9040A">
        <w:rPr>
          <w:rtl/>
        </w:rPr>
        <w:t>‌الخيانة. ونقّصه »</w:t>
      </w:r>
      <w:r w:rsidR="008A74EB">
        <w:rPr>
          <w:rtl/>
        </w:rPr>
        <w:t>.</w:t>
      </w:r>
      <w:r w:rsidR="008A74EB" w:rsidRPr="00C9040A">
        <w:rPr>
          <w:rtl/>
        </w:rPr>
        <w:t xml:space="preserve"> وللمزيد راجع : </w:t>
      </w:r>
      <w:r w:rsidR="008A74EB" w:rsidRPr="00993B55">
        <w:rPr>
          <w:rStyle w:val="libFootnoteBoldChar"/>
          <w:rtl/>
        </w:rPr>
        <w:t>مرآة العقول</w:t>
      </w:r>
      <w:r w:rsidR="008A74EB" w:rsidRPr="00C9040A">
        <w:rPr>
          <w:rtl/>
        </w:rPr>
        <w:t xml:space="preserve"> ، ج 10 ، ص 81.</w:t>
      </w:r>
    </w:p>
    <w:tbl>
      <w:tblPr>
        <w:tblStyle w:val="TableGrid"/>
        <w:bidiVisual/>
        <w:tblW w:w="0" w:type="auto"/>
        <w:tblLook w:val="04A0" w:firstRow="1" w:lastRow="0" w:firstColumn="1" w:lastColumn="0" w:noHBand="0" w:noVBand="1"/>
      </w:tblPr>
      <w:tblGrid>
        <w:gridCol w:w="4006"/>
        <w:gridCol w:w="4006"/>
      </w:tblGrid>
      <w:tr w:rsidR="00EB0A75" w:rsidTr="00EB0A75">
        <w:tc>
          <w:tcPr>
            <w:tcW w:w="4006" w:type="dxa"/>
          </w:tcPr>
          <w:p w:rsidR="00EB0A75" w:rsidRDefault="00EB0A75" w:rsidP="004A4E41">
            <w:pPr>
              <w:pStyle w:val="libFootnote0"/>
              <w:rPr>
                <w:rtl/>
              </w:rPr>
            </w:pPr>
            <w:r>
              <w:rPr>
                <w:rtl/>
              </w:rPr>
              <w:t>(10).</w:t>
            </w:r>
            <w:r w:rsidRPr="00C9040A">
              <w:rPr>
                <w:rtl/>
              </w:rPr>
              <w:t xml:space="preserve"> في البحار : « فإن »</w:t>
            </w:r>
            <w:r>
              <w:rPr>
                <w:rtl/>
              </w:rPr>
              <w:t>.</w:t>
            </w:r>
          </w:p>
        </w:tc>
        <w:tc>
          <w:tcPr>
            <w:tcW w:w="4006" w:type="dxa"/>
          </w:tcPr>
          <w:p w:rsidR="00EB0A75" w:rsidRDefault="00EB0A75" w:rsidP="004A4E41">
            <w:pPr>
              <w:pStyle w:val="libFootnote0"/>
              <w:rPr>
                <w:rtl/>
              </w:rPr>
            </w:pPr>
            <w:r>
              <w:rPr>
                <w:rtl/>
              </w:rPr>
              <w:t>(11).</w:t>
            </w:r>
            <w:r w:rsidRPr="00C9040A">
              <w:rPr>
                <w:rtl/>
              </w:rPr>
              <w:t xml:space="preserve"> في البحار : « نزع »</w:t>
            </w:r>
            <w:r>
              <w:rPr>
                <w:rtl/>
              </w:rPr>
              <w:t>.</w:t>
            </w:r>
          </w:p>
        </w:tc>
      </w:tr>
    </w:tbl>
    <w:p w:rsidR="008A74EB" w:rsidRPr="00C9040A" w:rsidRDefault="006C577F" w:rsidP="004A4E41">
      <w:pPr>
        <w:pStyle w:val="libFootnote0"/>
        <w:rPr>
          <w:rtl/>
          <w:lang w:bidi="fa-IR"/>
        </w:rPr>
      </w:pPr>
      <w:r>
        <w:rPr>
          <w:rtl/>
        </w:rPr>
        <w:t>(12).</w:t>
      </w:r>
      <w:r w:rsidR="008A74EB" w:rsidRPr="00C9040A">
        <w:rPr>
          <w:rtl/>
        </w:rPr>
        <w:t xml:space="preserve"> في « ص » : « لم يلقه »</w:t>
      </w:r>
      <w:r w:rsidR="008A74EB">
        <w:rPr>
          <w:rtl/>
        </w:rPr>
        <w:t>.</w:t>
      </w:r>
    </w:p>
    <w:p w:rsidR="008A74EB" w:rsidRPr="00C9040A" w:rsidRDefault="008A74EB" w:rsidP="004A4E41">
      <w:pPr>
        <w:pStyle w:val="libFootnote0"/>
        <w:rPr>
          <w:rtl/>
          <w:lang w:bidi="fa-IR"/>
        </w:rPr>
      </w:pPr>
      <w:r>
        <w:rPr>
          <w:rtl/>
        </w:rPr>
        <w:t>(13)</w:t>
      </w:r>
      <w:r w:rsidRPr="00C9040A">
        <w:rPr>
          <w:rtl/>
        </w:rPr>
        <w:t xml:space="preserve"> رجل فظّ ، أي سيّئ الخلق. وفلان أفضّ ، أي أصعب خُلُقاً وأشرس. </w:t>
      </w:r>
      <w:r w:rsidRPr="00993B55">
        <w:rPr>
          <w:rStyle w:val="libFootnoteBoldChar"/>
          <w:rtl/>
        </w:rPr>
        <w:t>النهاية</w:t>
      </w:r>
      <w:r w:rsidRPr="00C9040A">
        <w:rPr>
          <w:rtl/>
        </w:rPr>
        <w:t xml:space="preserve"> ، ج 3 ، ص 459 ( فظظ )</w:t>
      </w:r>
      <w:r>
        <w:rPr>
          <w:rtl/>
        </w:rPr>
        <w:t>.</w:t>
      </w:r>
    </w:p>
    <w:p w:rsidR="008A74EB" w:rsidRPr="00C9040A" w:rsidRDefault="008A74EB" w:rsidP="004A4E41">
      <w:pPr>
        <w:pStyle w:val="libFootnote0"/>
        <w:rPr>
          <w:rtl/>
          <w:lang w:bidi="fa-IR"/>
        </w:rPr>
      </w:pPr>
      <w:r>
        <w:rPr>
          <w:rtl/>
        </w:rPr>
        <w:t>(14)</w:t>
      </w:r>
      <w:r w:rsidRPr="00C9040A">
        <w:rPr>
          <w:rtl/>
        </w:rPr>
        <w:t xml:space="preserve"> « الرِّبقة » في الأصل : عروة في حَبل تجعل في عنق البهيمة أو يدها تُمسكها ، فاستعارها للإيمان ، يعني ما يشدّ المؤمن به نفسه من عُرى الإيمان ، أي حدوده وأحكامه ، وتجمع الربقة على رِبَق. ويقال للحبل الذي تكون فيه الربقة : رِبْق ، وتجمع على أرباق ورِباق. </w:t>
      </w:r>
      <w:r w:rsidRPr="00993B55">
        <w:rPr>
          <w:rStyle w:val="libFootnoteBoldChar"/>
          <w:rtl/>
        </w:rPr>
        <w:t>النهاية</w:t>
      </w:r>
      <w:r w:rsidRPr="00C9040A">
        <w:rPr>
          <w:rtl/>
        </w:rPr>
        <w:t xml:space="preserve"> ، ج 2 ، ص 190 ( ربق )</w:t>
      </w:r>
      <w:r>
        <w:rPr>
          <w:rtl/>
        </w:rPr>
        <w:t>.</w:t>
      </w:r>
    </w:p>
    <w:p w:rsidR="008A74EB" w:rsidRPr="00C9040A" w:rsidRDefault="008A74EB" w:rsidP="004A4E41">
      <w:pPr>
        <w:pStyle w:val="libFootnote0"/>
        <w:rPr>
          <w:rtl/>
          <w:lang w:bidi="fa-IR"/>
        </w:rPr>
      </w:pPr>
      <w:r>
        <w:rPr>
          <w:rtl/>
        </w:rPr>
        <w:t>(15)</w:t>
      </w:r>
      <w:r w:rsidRPr="00C9040A">
        <w:rPr>
          <w:rtl/>
        </w:rPr>
        <w:t xml:space="preserve"> في « ب » : « ومن »</w:t>
      </w:r>
      <w:r>
        <w:rPr>
          <w:rtl/>
        </w:rPr>
        <w:t>.</w:t>
      </w:r>
      <w:r w:rsidRPr="00C9040A">
        <w:rPr>
          <w:rtl/>
        </w:rPr>
        <w:t xml:space="preserve"> وفي حاشية « ب » : « وإذا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رِبْقَةُ الْإِيمَانِ </w:t>
      </w:r>
      <w:r w:rsidR="006C577F" w:rsidRPr="006C577F">
        <w:rPr>
          <w:rStyle w:val="libFootnotenumChar"/>
          <w:rtl/>
        </w:rPr>
        <w:t>(1)</w:t>
      </w:r>
      <w:r w:rsidRPr="00C9040A">
        <w:rPr>
          <w:rtl/>
          <w:lang w:bidi="fa-IR"/>
        </w:rPr>
        <w:t xml:space="preserve"> ، لَمْ تَلْقَهُ </w:t>
      </w:r>
      <w:r w:rsidR="006C577F" w:rsidRPr="006C577F">
        <w:rPr>
          <w:rStyle w:val="libFootnotenumChar"/>
          <w:rtl/>
        </w:rPr>
        <w:t>(2)</w:t>
      </w:r>
      <w:r w:rsidR="00EB0A75">
        <w:rPr>
          <w:rtl/>
          <w:lang w:bidi="fa-IR"/>
        </w:rPr>
        <w:t xml:space="preserve"> إِل</w:t>
      </w:r>
      <w:r w:rsidR="00EB0A75">
        <w:rPr>
          <w:rFonts w:hint="cs"/>
          <w:rtl/>
          <w:lang w:bidi="fa-IR"/>
        </w:rPr>
        <w:t>َّ</w:t>
      </w:r>
      <w:r w:rsidR="00EB0A75">
        <w:rPr>
          <w:rtl/>
          <w:lang w:bidi="fa-IR"/>
        </w:rPr>
        <w:t>ا</w:t>
      </w:r>
      <w:r w:rsidRPr="00C9040A">
        <w:rPr>
          <w:rtl/>
          <w:lang w:bidi="fa-IR"/>
        </w:rPr>
        <w:t xml:space="preserve"> شَيْطَاناً مَلْعُوناً </w:t>
      </w:r>
      <w:r w:rsidR="006C577F" w:rsidRPr="006C577F">
        <w:rPr>
          <w:rStyle w:val="libFootnotenumChar"/>
          <w:rtl/>
        </w:rPr>
        <w:t>(3)</w:t>
      </w:r>
      <w:r w:rsidR="007E5864" w:rsidRPr="007E5864">
        <w:rPr>
          <w:rStyle w:val="libNormalChar"/>
          <w:rFonts w:hint="cs"/>
          <w:rtl/>
        </w:rPr>
        <w:t>.</w:t>
      </w:r>
    </w:p>
    <w:p w:rsidR="008A74EB" w:rsidRPr="00C9040A" w:rsidRDefault="008A74EB" w:rsidP="008A74EB">
      <w:pPr>
        <w:pStyle w:val="libNormal"/>
        <w:rPr>
          <w:rtl/>
          <w:lang w:bidi="fa-IR"/>
        </w:rPr>
      </w:pPr>
      <w:r w:rsidRPr="00713BCF">
        <w:rPr>
          <w:rtl/>
        </w:rPr>
        <w:t>2483</w:t>
      </w:r>
      <w:r w:rsidRPr="00261CB0">
        <w:rPr>
          <w:rStyle w:val="libBold2Char"/>
          <w:rtl/>
        </w:rPr>
        <w:t xml:space="preserve"> / 11.</w:t>
      </w:r>
      <w:r w:rsidRPr="00C9040A">
        <w:rPr>
          <w:rtl/>
          <w:lang w:bidi="fa-IR"/>
        </w:rPr>
        <w:t xml:space="preserve"> عَلِيُّ بْنُ إِبْرَاهِيمَ ، عَنْ أَبِيهِ ، عَنِ ابْنِ أَبِي عُمَيْرٍ ، عَنْ إِبْرَا</w:t>
      </w:r>
      <w:r w:rsidR="007E5864">
        <w:rPr>
          <w:rtl/>
          <w:lang w:bidi="fa-IR"/>
        </w:rPr>
        <w:t>هِيمَ بْنِ زِيَادٍ الْكَرْخِيِّ</w:t>
      </w:r>
      <w:r w:rsidRPr="00C9040A">
        <w:rPr>
          <w:rtl/>
          <w:lang w:bidi="fa-IR"/>
        </w:rPr>
        <w:t>:</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ثَلَاثٌ مَلْعُونَاتٌ مَلْعُونٌ مَنْ فَعَلَهُنَّ :</w:t>
      </w:r>
      <w:r>
        <w:rPr>
          <w:rFonts w:hint="cs"/>
          <w:rtl/>
          <w:lang w:bidi="fa-IR"/>
        </w:rPr>
        <w:t xml:space="preserve"> </w:t>
      </w:r>
      <w:r w:rsidRPr="00C9040A">
        <w:rPr>
          <w:rtl/>
          <w:lang w:bidi="fa-IR"/>
        </w:rPr>
        <w:t xml:space="preserve">الْمُتَغَوِّطُ فِي ظِلِّ النُّزَّالِ </w:t>
      </w:r>
      <w:r w:rsidR="006C577F" w:rsidRPr="006C577F">
        <w:rPr>
          <w:rStyle w:val="libFootnotenumChar"/>
          <w:rtl/>
        </w:rPr>
        <w:t>(4)</w:t>
      </w:r>
      <w:r w:rsidRPr="00C9040A">
        <w:rPr>
          <w:rtl/>
          <w:lang w:bidi="fa-IR"/>
        </w:rPr>
        <w:t xml:space="preserve"> ، وَالْمَانِعُ الْمَاءَ </w:t>
      </w:r>
      <w:r w:rsidR="006C577F" w:rsidRPr="006C577F">
        <w:rPr>
          <w:rStyle w:val="libFootnotenumChar"/>
          <w:rtl/>
        </w:rPr>
        <w:t>(5)</w:t>
      </w:r>
      <w:r w:rsidRPr="00C9040A">
        <w:rPr>
          <w:rtl/>
          <w:lang w:bidi="fa-IR"/>
        </w:rPr>
        <w:t xml:space="preserve"> الْمُنْتَابَ </w:t>
      </w:r>
      <w:r w:rsidR="006C577F" w:rsidRPr="006C577F">
        <w:rPr>
          <w:rStyle w:val="libFootnotenumChar"/>
          <w:rtl/>
        </w:rPr>
        <w:t>(6)</w:t>
      </w:r>
      <w:r w:rsidRPr="005B567D">
        <w:rPr>
          <w:rStyle w:val="libFootnotenumChar"/>
          <w:rtl/>
        </w:rPr>
        <w:t xml:space="preserve"> </w:t>
      </w:r>
      <w:r w:rsidRPr="00C9040A">
        <w:rPr>
          <w:rtl/>
          <w:lang w:bidi="fa-IR"/>
        </w:rPr>
        <w:t xml:space="preserve">، وَالسَّادُّ الطَّرِيقَ الْمُعْرَبَةَ </w:t>
      </w:r>
      <w:r w:rsidR="006C577F" w:rsidRPr="006C577F">
        <w:rPr>
          <w:rStyle w:val="libFootnotenumChar"/>
          <w:rtl/>
        </w:rPr>
        <w:t>(7)</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Normal"/>
        <w:rPr>
          <w:rtl/>
          <w:lang w:bidi="fa-IR"/>
        </w:rPr>
      </w:pPr>
      <w:r w:rsidRPr="00713BCF">
        <w:rPr>
          <w:rtl/>
        </w:rPr>
        <w:t>2484</w:t>
      </w:r>
      <w:r w:rsidRPr="00261CB0">
        <w:rPr>
          <w:rStyle w:val="libBold2Char"/>
          <w:rtl/>
        </w:rPr>
        <w:t xml:space="preserve"> / 12.</w:t>
      </w:r>
      <w:r w:rsidRPr="00C9040A">
        <w:rPr>
          <w:rtl/>
          <w:lang w:bidi="fa-IR"/>
        </w:rPr>
        <w:t xml:space="preserve"> مُحَمَّدُ بْنُ يَحْيى ، عَنْ أَحْمَدَ بْنِ مُحَمَّدٍ ، عَنِ ابْنِ مَحْبُوبٍ ، عَنْ إِبْرَاهِيمَ الْكَرْخِيِّ :</w:t>
      </w:r>
    </w:p>
    <w:p w:rsidR="008A74EB" w:rsidRPr="00C9040A" w:rsidRDefault="008A74EB" w:rsidP="007E5864">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7E5864" w:rsidRPr="004A4E41">
        <w:rPr>
          <w:rStyle w:val="libAlaemChar"/>
          <w:rtl/>
        </w:rPr>
        <w:t>صلى‌الله‌عليه‌وآله</w:t>
      </w:r>
      <w:r w:rsidRPr="00C9040A">
        <w:rPr>
          <w:rtl/>
          <w:lang w:bidi="fa-IR"/>
        </w:rPr>
        <w:t xml:space="preserve">: ثَلَاثٌ </w:t>
      </w:r>
      <w:r w:rsidR="006C577F" w:rsidRPr="006C577F">
        <w:rPr>
          <w:rStyle w:val="libFootnotenumChar"/>
          <w:rtl/>
        </w:rPr>
        <w:t>(9)</w:t>
      </w:r>
      <w:r w:rsidRPr="00C9040A">
        <w:rPr>
          <w:rtl/>
          <w:lang w:bidi="fa-IR"/>
        </w:rPr>
        <w:t xml:space="preserve"> مَلْعُونٌ </w:t>
      </w:r>
      <w:r w:rsidR="006C577F" w:rsidRPr="006C577F">
        <w:rPr>
          <w:rStyle w:val="libFootnotenumChar"/>
          <w:rtl/>
        </w:rPr>
        <w:t>(10)</w:t>
      </w:r>
      <w:r w:rsidRPr="00C9040A">
        <w:rPr>
          <w:rtl/>
          <w:lang w:bidi="fa-IR"/>
        </w:rPr>
        <w:t xml:space="preserve"> مَنْ فَعَلَهُنَّ :</w:t>
      </w:r>
      <w:r>
        <w:rPr>
          <w:rFonts w:hint="cs"/>
          <w:rtl/>
          <w:lang w:bidi="fa-IR"/>
        </w:rPr>
        <w:t xml:space="preserve"> </w:t>
      </w:r>
      <w:r w:rsidRPr="00C9040A">
        <w:rPr>
          <w:rtl/>
          <w:lang w:bidi="fa-IR"/>
        </w:rPr>
        <w:t xml:space="preserve">الْمُتَغَوِّطُ فِي ظِلِّ النُّزَّالِ </w:t>
      </w:r>
      <w:r w:rsidR="006C577F" w:rsidRPr="006C577F">
        <w:rPr>
          <w:rStyle w:val="libFootnotenumChar"/>
          <w:rtl/>
        </w:rPr>
        <w:t>(11)</w:t>
      </w:r>
      <w:r w:rsidRPr="00C9040A">
        <w:rPr>
          <w:rtl/>
          <w:lang w:bidi="fa-IR"/>
        </w:rPr>
        <w:t xml:space="preserve"> ، وَالْمَانِعُ الْمَاءَ </w:t>
      </w:r>
      <w:r w:rsidR="006C577F" w:rsidRPr="006C577F">
        <w:rPr>
          <w:rStyle w:val="libFootnotenumChar"/>
          <w:rtl/>
        </w:rPr>
        <w:t>(12)</w:t>
      </w:r>
      <w:r w:rsidRPr="00C9040A">
        <w:rPr>
          <w:rtl/>
          <w:lang w:bidi="fa-IR"/>
        </w:rPr>
        <w:t xml:space="preserve"> الْمُنْتَابَ ،</w:t>
      </w:r>
      <w:r w:rsidR="007E5864">
        <w:rPr>
          <w:rFonts w:hint="cs"/>
          <w:rtl/>
          <w:lang w:bidi="fa-IR"/>
        </w:rPr>
        <w:t>..........................</w:t>
      </w:r>
      <w:r w:rsidR="007E5864">
        <w:rPr>
          <w:rFonts w:hint="cs"/>
          <w:rtl/>
          <w:lang w:bidi="fa-IR"/>
        </w:rPr>
        <w:tab/>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ب » : « الإسلام »</w:t>
      </w:r>
      <w:r w:rsidR="008A74EB">
        <w:rPr>
          <w:rtl/>
        </w:rPr>
        <w:t>.</w:t>
      </w:r>
      <w:r w:rsidR="008A74EB" w:rsidRPr="00C9040A">
        <w:rPr>
          <w:rtl/>
        </w:rPr>
        <w:t xml:space="preserve"> وفي حاشية « ب » : « إيمان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ص » : « لم يلقه »</w:t>
      </w:r>
      <w:r w:rsidR="008A74EB">
        <w:rPr>
          <w:rtl/>
        </w:rPr>
        <w:t>.</w:t>
      </w:r>
      <w:r w:rsidR="008A74EB" w:rsidRPr="00C9040A">
        <w:rPr>
          <w:rtl/>
        </w:rPr>
        <w:t xml:space="preserve"> وفي « </w:t>
      </w:r>
      <w:r w:rsidR="006D3162">
        <w:rPr>
          <w:rtl/>
        </w:rPr>
        <w:t xml:space="preserve">ه </w:t>
      </w:r>
      <w:r w:rsidR="008A74EB" w:rsidRPr="00C9040A">
        <w:rPr>
          <w:rtl/>
        </w:rPr>
        <w:t>» : « فلم تلقه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w:t>
      </w:r>
      <w:r w:rsidR="008A74EB" w:rsidRPr="00993B55">
        <w:rPr>
          <w:rStyle w:val="libFootnoteBoldChar"/>
          <w:rtl/>
        </w:rPr>
        <w:t>الاختصاص</w:t>
      </w:r>
      <w:r w:rsidR="008A74EB" w:rsidRPr="00C9040A">
        <w:rPr>
          <w:rtl/>
        </w:rPr>
        <w:t xml:space="preserve"> ، ص 248 ، مرسلاً عن أنس بن مالك ، عن رسول الله </w:t>
      </w:r>
      <w:r w:rsidR="004A4E41" w:rsidRPr="007E5864">
        <w:rPr>
          <w:rStyle w:val="libFootnoteAlaemChar"/>
          <w:rtl/>
        </w:rPr>
        <w:t>صلى‌الله‌عليه‌وآله</w:t>
      </w:r>
      <w:r w:rsidR="008A74EB" w:rsidRPr="00C9040A">
        <w:rPr>
          <w:rtl/>
        </w:rPr>
        <w:t xml:space="preserve"> ، وفيه : « أوّل ما ينزع من العبد الحياء</w:t>
      </w:r>
      <w:r w:rsidR="008A74EB">
        <w:rPr>
          <w:rtl/>
        </w:rPr>
        <w:t xml:space="preserve"> ..</w:t>
      </w:r>
      <w:r w:rsidR="008A74EB" w:rsidRPr="00C9040A">
        <w:rPr>
          <w:rtl/>
        </w:rPr>
        <w:t xml:space="preserve">. » مع اختلاف يسير. راجع : </w:t>
      </w:r>
      <w:r w:rsidR="008A74EB" w:rsidRPr="00993B55">
        <w:rPr>
          <w:rStyle w:val="libFootnoteBoldChar"/>
          <w:rtl/>
        </w:rPr>
        <w:t>معاني الأخبار</w:t>
      </w:r>
      <w:r w:rsidR="008A74EB" w:rsidRPr="00C9040A">
        <w:rPr>
          <w:rtl/>
        </w:rPr>
        <w:t xml:space="preserve"> ، ص 410 ، ح 94 </w:t>
      </w:r>
      <w:r w:rsidR="007E5864">
        <w:rPr>
          <w:rFonts w:hint="cs"/>
          <w:rtl/>
        </w:rPr>
        <w:t>.</w:t>
      </w:r>
      <w:r w:rsidR="008A74EB" w:rsidRPr="00993B55">
        <w:rPr>
          <w:rStyle w:val="libFootnoteBoldChar"/>
          <w:rtl/>
        </w:rPr>
        <w:t>الوافي</w:t>
      </w:r>
      <w:r w:rsidR="008A74EB" w:rsidRPr="00C9040A">
        <w:rPr>
          <w:rtl/>
        </w:rPr>
        <w:t xml:space="preserve"> ، ج 5 ، ص 840 ، ح 3113 ؛ </w:t>
      </w:r>
      <w:r w:rsidR="008A74EB" w:rsidRPr="00993B55">
        <w:rPr>
          <w:rStyle w:val="libFootnoteBoldChar"/>
          <w:rtl/>
        </w:rPr>
        <w:t>البحار</w:t>
      </w:r>
      <w:r w:rsidR="008A74EB" w:rsidRPr="00C9040A">
        <w:rPr>
          <w:rtl/>
        </w:rPr>
        <w:t xml:space="preserve"> ، ج 72 ، ص 110 ، ح 10.</w:t>
      </w:r>
    </w:p>
    <w:p w:rsidR="008A74EB" w:rsidRPr="00C9040A" w:rsidRDefault="006C577F" w:rsidP="004A4E41">
      <w:pPr>
        <w:pStyle w:val="libFootnote0"/>
        <w:rPr>
          <w:rtl/>
          <w:lang w:bidi="fa-IR"/>
        </w:rPr>
      </w:pPr>
      <w:r>
        <w:rPr>
          <w:rtl/>
        </w:rPr>
        <w:t>(4).</w:t>
      </w:r>
      <w:r w:rsidR="008A74EB" w:rsidRPr="00C9040A">
        <w:rPr>
          <w:rtl/>
        </w:rPr>
        <w:t xml:space="preserve"> المراد بظلّ النزّال تحت سقف أو شجرة ينزلها المسافرون ، وقد يعمّ بحيث يشمل المواضع المعدّة لنزولهم وإن لم يكن فيه ظلّ ؛ لاشتراك العلّة أو بحمله على الأعمّ. والتعبير بالظلّ لكونه غالباً كذلك. والظاهر اختصاص الحكم بالغائط ؛ لكونه أشدّ ضرراً ، وربّما يعمّ ليشمل البول. </w:t>
      </w:r>
      <w:r w:rsidR="008A74EB" w:rsidRPr="00993B55">
        <w:rPr>
          <w:rStyle w:val="libFootnoteBoldChar"/>
          <w:rtl/>
        </w:rPr>
        <w:t>البحار</w:t>
      </w:r>
      <w:r w:rsidR="008A74EB" w:rsidRPr="00C9040A">
        <w:rPr>
          <w:rtl/>
        </w:rPr>
        <w:t xml:space="preserve"> ، ج 69 ، ص 112 ، ذيل ح 11.</w:t>
      </w:r>
    </w:p>
    <w:p w:rsidR="008A74EB" w:rsidRPr="00C9040A" w:rsidRDefault="006C577F" w:rsidP="004A4E41">
      <w:pPr>
        <w:pStyle w:val="libFootnote0"/>
        <w:rPr>
          <w:rtl/>
          <w:lang w:bidi="fa-IR"/>
        </w:rPr>
      </w:pPr>
      <w:r>
        <w:rPr>
          <w:rtl/>
        </w:rPr>
        <w:t>(5).</w:t>
      </w:r>
      <w:r w:rsidR="008A74EB" w:rsidRPr="00C9040A">
        <w:rPr>
          <w:rtl/>
        </w:rPr>
        <w:t xml:space="preserve"> « الماء » مفعول أوّل للمانع ، إمّا مجرور بالإضافة من باب الضارب الرجل ، أو منصوب على المفعوليّة </w:t>
      </w:r>
      <w:r w:rsidR="008A74EB">
        <w:rPr>
          <w:rtl/>
        </w:rPr>
        <w:t>و «</w:t>
      </w:r>
      <w:r w:rsidR="008A74EB" w:rsidRPr="00C9040A">
        <w:rPr>
          <w:rtl/>
        </w:rPr>
        <w:t xml:space="preserve"> المنتاب » مفعول ثان. راجع : </w:t>
      </w:r>
      <w:r w:rsidR="008A74EB" w:rsidRPr="00993B55">
        <w:rPr>
          <w:rStyle w:val="libFootnoteBoldChar"/>
          <w:rtl/>
        </w:rPr>
        <w:t>شرح المازندراني</w:t>
      </w:r>
      <w:r w:rsidR="008A74EB" w:rsidRPr="00C9040A">
        <w:rPr>
          <w:rtl/>
        </w:rPr>
        <w:t xml:space="preserve"> ، ج 9 ، ص 274 ؛ </w:t>
      </w:r>
      <w:r w:rsidR="008A74EB" w:rsidRPr="00993B55">
        <w:rPr>
          <w:rStyle w:val="libFootnoteBoldChar"/>
          <w:rtl/>
        </w:rPr>
        <w:t>مرآة العقول</w:t>
      </w:r>
      <w:r w:rsidR="008A74EB" w:rsidRPr="00C9040A">
        <w:rPr>
          <w:rtl/>
        </w:rPr>
        <w:t xml:space="preserve"> ، ج 10 ، ص 83.</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انتابه : قصده مرّة بعد مرّة. </w:t>
      </w:r>
      <w:r w:rsidR="008A74EB" w:rsidRPr="00993B55">
        <w:rPr>
          <w:rStyle w:val="libFootnoteBoldChar"/>
          <w:rtl/>
        </w:rPr>
        <w:t>النهاية</w:t>
      </w:r>
      <w:r w:rsidR="008A74EB" w:rsidRPr="00C9040A">
        <w:rPr>
          <w:rtl/>
        </w:rPr>
        <w:t xml:space="preserve"> ، ج 5 ، ص 123 ( نوب )</w:t>
      </w:r>
      <w:r w:rsidR="008A74EB">
        <w:rPr>
          <w:rtl/>
        </w:rPr>
        <w:t>.</w:t>
      </w:r>
      <w:r w:rsidR="008A74EB" w:rsidRPr="00C9040A">
        <w:rPr>
          <w:rtl/>
        </w:rPr>
        <w:t xml:space="preserve"> والمراد : الماء المباح الذي يتناوب عليه ويؤتى مرّة بعد ا</w:t>
      </w:r>
      <w:r w:rsidR="007E5864">
        <w:rPr>
          <w:rFonts w:hint="cs"/>
          <w:rtl/>
        </w:rPr>
        <w:t>ُ</w:t>
      </w:r>
      <w:r w:rsidR="008A74EB" w:rsidRPr="00C9040A">
        <w:rPr>
          <w:rtl/>
        </w:rPr>
        <w:t>خرى ، أي يرد عليه الناس متناوبة ومتبادلة ؛ لعدم اختصاصه بأحدهم ، كالماء المملوك المشترك بين جماعة.</w:t>
      </w:r>
    </w:p>
    <w:p w:rsidR="008A74EB" w:rsidRPr="00C9040A" w:rsidRDefault="006C577F" w:rsidP="004A4E41">
      <w:pPr>
        <w:pStyle w:val="libFootnote0"/>
        <w:rPr>
          <w:rtl/>
          <w:lang w:bidi="fa-IR"/>
        </w:rPr>
      </w:pPr>
      <w:r>
        <w:rPr>
          <w:rtl/>
        </w:rPr>
        <w:t>(7).</w:t>
      </w:r>
      <w:r w:rsidR="008A74EB" w:rsidRPr="00C9040A">
        <w:rPr>
          <w:rtl/>
        </w:rPr>
        <w:t xml:space="preserve"> في « ج ، د ، </w:t>
      </w:r>
      <w:r w:rsidR="006D3162">
        <w:rPr>
          <w:rtl/>
        </w:rPr>
        <w:t xml:space="preserve">ه </w:t>
      </w:r>
      <w:r w:rsidR="008A74EB" w:rsidRPr="00C9040A">
        <w:rPr>
          <w:rtl/>
        </w:rPr>
        <w:t>، بف » وشرح المازندراني والوافي والبحار : « المقربة »</w:t>
      </w:r>
      <w:r w:rsidR="008A74EB">
        <w:rPr>
          <w:rtl/>
        </w:rPr>
        <w:t>.</w:t>
      </w:r>
      <w:r w:rsidR="008A74EB" w:rsidRPr="00C9040A">
        <w:rPr>
          <w:rtl/>
        </w:rPr>
        <w:t xml:space="preserve"> وفي « بر » : « المقرِّبة »</w:t>
      </w:r>
      <w:r w:rsidR="008A74EB">
        <w:rPr>
          <w:rtl/>
        </w:rPr>
        <w:t>.</w:t>
      </w:r>
      <w:r w:rsidR="008A74EB" w:rsidRPr="00C9040A">
        <w:rPr>
          <w:rtl/>
        </w:rPr>
        <w:t xml:space="preserve"> </w:t>
      </w:r>
      <w:r w:rsidR="008A74EB">
        <w:rPr>
          <w:rtl/>
        </w:rPr>
        <w:t>و «</w:t>
      </w:r>
      <w:r w:rsidR="008A74EB" w:rsidRPr="00C9040A">
        <w:rPr>
          <w:rtl/>
        </w:rPr>
        <w:t xml:space="preserve"> الطريق المعربة » : البيّنة الواضحة. راجع : </w:t>
      </w:r>
      <w:r w:rsidR="008A74EB" w:rsidRPr="00993B55">
        <w:rPr>
          <w:rStyle w:val="libFootnoteBoldChar"/>
          <w:rtl/>
        </w:rPr>
        <w:t>مجمع البحرين</w:t>
      </w:r>
      <w:r w:rsidR="008A74EB" w:rsidRPr="00C9040A">
        <w:rPr>
          <w:rtl/>
        </w:rPr>
        <w:t xml:space="preserve"> ، ج 2 ، ص 118 ؛ </w:t>
      </w:r>
      <w:r w:rsidR="008A74EB" w:rsidRPr="00993B55">
        <w:rPr>
          <w:rStyle w:val="libFootnoteBoldChar"/>
          <w:rtl/>
        </w:rPr>
        <w:t>النهاية</w:t>
      </w:r>
      <w:r w:rsidR="008A74EB" w:rsidRPr="00C9040A">
        <w:rPr>
          <w:rtl/>
        </w:rPr>
        <w:t xml:space="preserve"> ، ج 3 ، ص 200 ( عرب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w:t>
      </w:r>
      <w:r w:rsidR="008A74EB" w:rsidRPr="00993B55">
        <w:rPr>
          <w:rStyle w:val="libFootnoteBoldChar"/>
          <w:rtl/>
        </w:rPr>
        <w:t>الوافي</w:t>
      </w:r>
      <w:r w:rsidR="008A74EB" w:rsidRPr="00C9040A">
        <w:rPr>
          <w:rtl/>
        </w:rPr>
        <w:t xml:space="preserve"> ، ج 18 ، ص 1016 ، ح 18724 ؛ </w:t>
      </w:r>
      <w:r w:rsidR="008A74EB" w:rsidRPr="00993B55">
        <w:rPr>
          <w:rStyle w:val="libFootnoteBoldChar"/>
          <w:rtl/>
        </w:rPr>
        <w:t>البحار</w:t>
      </w:r>
      <w:r w:rsidR="008A74EB" w:rsidRPr="00C9040A">
        <w:rPr>
          <w:rtl/>
        </w:rPr>
        <w:t xml:space="preserve"> ، ج 72 ، ص 112 ، ح 11.</w:t>
      </w:r>
    </w:p>
    <w:tbl>
      <w:tblPr>
        <w:tblStyle w:val="TableGrid"/>
        <w:bidiVisual/>
        <w:tblW w:w="0" w:type="auto"/>
        <w:tblLook w:val="04A0" w:firstRow="1" w:lastRow="0" w:firstColumn="1" w:lastColumn="0" w:noHBand="0" w:noVBand="1"/>
      </w:tblPr>
      <w:tblGrid>
        <w:gridCol w:w="4006"/>
        <w:gridCol w:w="4006"/>
      </w:tblGrid>
      <w:tr w:rsidR="007E5864" w:rsidTr="007E5864">
        <w:tc>
          <w:tcPr>
            <w:tcW w:w="4006" w:type="dxa"/>
          </w:tcPr>
          <w:p w:rsidR="007E5864" w:rsidRDefault="007E5864" w:rsidP="004A4E41">
            <w:pPr>
              <w:pStyle w:val="libFootnote0"/>
              <w:rPr>
                <w:rtl/>
                <w:lang w:bidi="fa-IR"/>
              </w:rPr>
            </w:pPr>
            <w:r>
              <w:rPr>
                <w:rtl/>
              </w:rPr>
              <w:t>(9).</w:t>
            </w:r>
            <w:r w:rsidRPr="00C9040A">
              <w:rPr>
                <w:rtl/>
              </w:rPr>
              <w:t xml:space="preserve"> في الكافي ، ح 3875 : + « خصال »</w:t>
            </w:r>
            <w:r>
              <w:rPr>
                <w:rtl/>
              </w:rPr>
              <w:t>.</w:t>
            </w:r>
          </w:p>
        </w:tc>
        <w:tc>
          <w:tcPr>
            <w:tcW w:w="4006" w:type="dxa"/>
          </w:tcPr>
          <w:p w:rsidR="007E5864" w:rsidRDefault="007E5864" w:rsidP="004A4E41">
            <w:pPr>
              <w:pStyle w:val="libFootnote0"/>
              <w:rPr>
                <w:rtl/>
                <w:lang w:bidi="fa-IR"/>
              </w:rPr>
            </w:pPr>
            <w:r>
              <w:rPr>
                <w:rtl/>
              </w:rPr>
              <w:t>(10).</w:t>
            </w:r>
            <w:r w:rsidRPr="00C9040A">
              <w:rPr>
                <w:rtl/>
              </w:rPr>
              <w:t xml:space="preserve"> في البحار : « ملعونات »</w:t>
            </w:r>
            <w:r>
              <w:rPr>
                <w:rtl/>
              </w:rPr>
              <w:t>.</w:t>
            </w:r>
          </w:p>
        </w:tc>
      </w:tr>
      <w:tr w:rsidR="007E5864" w:rsidTr="007E5864">
        <w:tc>
          <w:tcPr>
            <w:tcW w:w="4006" w:type="dxa"/>
          </w:tcPr>
          <w:p w:rsidR="007E5864" w:rsidRDefault="007E5864" w:rsidP="004A4E41">
            <w:pPr>
              <w:pStyle w:val="libFootnote0"/>
              <w:rPr>
                <w:rtl/>
                <w:lang w:bidi="fa-IR"/>
              </w:rPr>
            </w:pPr>
            <w:r>
              <w:rPr>
                <w:rtl/>
              </w:rPr>
              <w:t>(11).</w:t>
            </w:r>
            <w:r w:rsidRPr="00C9040A">
              <w:rPr>
                <w:rtl/>
              </w:rPr>
              <w:t xml:space="preserve"> في الفقيه : « النزل »</w:t>
            </w:r>
            <w:r>
              <w:rPr>
                <w:rtl/>
              </w:rPr>
              <w:t>.</w:t>
            </w:r>
          </w:p>
        </w:tc>
        <w:tc>
          <w:tcPr>
            <w:tcW w:w="4006" w:type="dxa"/>
          </w:tcPr>
          <w:p w:rsidR="007E5864" w:rsidRDefault="007E5864" w:rsidP="004A4E41">
            <w:pPr>
              <w:pStyle w:val="libFootnote0"/>
              <w:rPr>
                <w:rtl/>
                <w:lang w:bidi="fa-IR"/>
              </w:rPr>
            </w:pPr>
            <w:r>
              <w:rPr>
                <w:rtl/>
              </w:rPr>
              <w:t>(12).</w:t>
            </w:r>
            <w:r w:rsidRPr="00C9040A">
              <w:rPr>
                <w:rtl/>
              </w:rPr>
              <w:t xml:space="preserve"> في البحار : « للماء »</w:t>
            </w:r>
            <w:r>
              <w:rPr>
                <w:rtl/>
              </w:rPr>
              <w:t>.</w:t>
            </w:r>
          </w:p>
        </w:tc>
      </w:tr>
    </w:tbl>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وَالسَّادُّ </w:t>
      </w:r>
      <w:r w:rsidR="006C577F" w:rsidRPr="006C577F">
        <w:rPr>
          <w:rStyle w:val="libFootnotenumChar"/>
          <w:rtl/>
        </w:rPr>
        <w:t>(1)</w:t>
      </w:r>
      <w:r w:rsidRPr="00C9040A">
        <w:rPr>
          <w:rtl/>
          <w:lang w:bidi="fa-IR"/>
        </w:rPr>
        <w:t xml:space="preserve"> الطَّرِيقَ الْمَسْلُوكَ </w:t>
      </w:r>
      <w:r w:rsidR="006C577F" w:rsidRPr="006C577F">
        <w:rPr>
          <w:rStyle w:val="libFootnotenumChar"/>
          <w:rtl/>
        </w:rPr>
        <w:t>(2)</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7E5864" w:rsidRDefault="008A74EB" w:rsidP="007E5864">
      <w:pPr>
        <w:pStyle w:val="libNormal"/>
        <w:rPr>
          <w:rtl/>
          <w:lang w:bidi="fa-IR"/>
        </w:rPr>
      </w:pPr>
      <w:r w:rsidRPr="00A32EF4">
        <w:rPr>
          <w:rtl/>
        </w:rPr>
        <w:t>2485</w:t>
      </w:r>
      <w:r w:rsidRPr="00261CB0">
        <w:rPr>
          <w:rStyle w:val="libBold2Char"/>
          <w:rtl/>
        </w:rPr>
        <w:t xml:space="preserve"> / 13.</w:t>
      </w:r>
      <w:r w:rsidRPr="00C9040A">
        <w:rPr>
          <w:rtl/>
          <w:lang w:bidi="fa-IR"/>
        </w:rPr>
        <w:t xml:space="preserve"> عِدَّةٌ مِنْ أَصْحَابِنَا ، عَنْ سَهْلِ بْنِ زِيَادٍ ؛</w:t>
      </w:r>
    </w:p>
    <w:p w:rsidR="008A74EB" w:rsidRPr="00C9040A" w:rsidRDefault="007E5864" w:rsidP="007E5864">
      <w:pPr>
        <w:pStyle w:val="libNormal"/>
        <w:rPr>
          <w:rtl/>
          <w:lang w:bidi="fa-IR"/>
        </w:rPr>
      </w:pPr>
      <w:r>
        <w:rPr>
          <w:rFonts w:hint="cs"/>
          <w:rtl/>
          <w:lang w:bidi="fa-IR"/>
        </w:rPr>
        <w:t xml:space="preserve">             </w:t>
      </w:r>
      <w:r w:rsidR="008A74EB" w:rsidRPr="00C9040A">
        <w:rPr>
          <w:rtl/>
          <w:lang w:bidi="fa-IR"/>
        </w:rPr>
        <w:t>وَعَلِيُّ بْنُ إِبْرَاهِيمَ ، عَنْ أَبِيهِ جَمِيعاً ، عَنِ ابْنِ مَحْبُوبٍ ، عَنِ ابْنِ رِئَابٍ ، عَنْ أَبِي حَمْزَةَ ، عَنْ جَابِرِ بْنِ عَبْدِ اللهِ ، قَالَ :</w:t>
      </w:r>
    </w:p>
    <w:p w:rsidR="008A74EB" w:rsidRPr="00C9040A" w:rsidRDefault="008A74EB" w:rsidP="008A74EB">
      <w:pPr>
        <w:pStyle w:val="libNormal"/>
        <w:rPr>
          <w:rtl/>
          <w:lang w:bidi="fa-IR"/>
        </w:rPr>
      </w:pPr>
      <w:r w:rsidRPr="00C9040A">
        <w:rPr>
          <w:rtl/>
          <w:lang w:bidi="fa-IR"/>
        </w:rPr>
        <w:t xml:space="preserve">قَالَ رَسُولُ اللهِ </w:t>
      </w:r>
      <w:r w:rsidR="004A4E41" w:rsidRPr="004A4E41">
        <w:rPr>
          <w:rStyle w:val="libAlaemChar"/>
          <w:rtl/>
        </w:rPr>
        <w:t>صلى‌الله‌عليه‌وآله</w:t>
      </w:r>
      <w:r>
        <w:rPr>
          <w:rtl/>
          <w:lang w:bidi="fa-IR"/>
        </w:rPr>
        <w:t xml:space="preserve"> : « أَ</w:t>
      </w:r>
      <w:r w:rsidRPr="00C9040A">
        <w:rPr>
          <w:rtl/>
          <w:lang w:bidi="fa-IR"/>
        </w:rPr>
        <w:t>لَا</w:t>
      </w:r>
      <w:r>
        <w:rPr>
          <w:rFonts w:hint="cs"/>
          <w:rtl/>
          <w:lang w:bidi="fa-IR"/>
        </w:rPr>
        <w:t xml:space="preserve"> </w:t>
      </w:r>
      <w:r w:rsidRPr="00C9040A">
        <w:rPr>
          <w:rtl/>
          <w:lang w:bidi="fa-IR"/>
        </w:rPr>
        <w:t>أُخْبِرُكُمْ بِشِرَارِ رِجَالِكُمْ</w:t>
      </w:r>
      <w:r>
        <w:rPr>
          <w:rtl/>
          <w:lang w:bidi="fa-IR"/>
        </w:rPr>
        <w:t>؟</w:t>
      </w:r>
      <w:r w:rsidRPr="00C9040A">
        <w:rPr>
          <w:rtl/>
          <w:lang w:bidi="fa-IR"/>
        </w:rPr>
        <w:t xml:space="preserve"> »</w:t>
      </w:r>
      <w:r>
        <w:rPr>
          <w:rtl/>
          <w:lang w:bidi="fa-IR"/>
        </w:rPr>
        <w:t>.</w:t>
      </w:r>
      <w:r w:rsidRPr="00C9040A">
        <w:rPr>
          <w:rtl/>
          <w:lang w:bidi="fa-IR"/>
        </w:rPr>
        <w:t xml:space="preserve"> قُلْنَا </w:t>
      </w:r>
      <w:r w:rsidR="006C577F" w:rsidRPr="006C577F">
        <w:rPr>
          <w:rStyle w:val="libFootnotenumChar"/>
          <w:rtl/>
        </w:rPr>
        <w:t>(4)</w:t>
      </w:r>
      <w:r w:rsidRPr="00C9040A">
        <w:rPr>
          <w:rtl/>
          <w:lang w:bidi="fa-IR"/>
        </w:rPr>
        <w:t xml:space="preserve"> : بَلى يَا رَسُولَ اللهِ.</w:t>
      </w:r>
    </w:p>
    <w:p w:rsidR="008A74EB" w:rsidRPr="00C9040A" w:rsidRDefault="008A74EB" w:rsidP="008A74EB">
      <w:pPr>
        <w:pStyle w:val="libNormal"/>
        <w:rPr>
          <w:rtl/>
          <w:lang w:bidi="fa-IR"/>
        </w:rPr>
      </w:pPr>
      <w:r w:rsidRPr="00C9040A">
        <w:rPr>
          <w:rtl/>
          <w:lang w:bidi="fa-IR"/>
        </w:rPr>
        <w:t xml:space="preserve">فَقَالَ </w:t>
      </w:r>
      <w:r w:rsidR="006C577F" w:rsidRPr="006C577F">
        <w:rPr>
          <w:rStyle w:val="libFootnotenumChar"/>
          <w:rtl/>
        </w:rPr>
        <w:t>(5)</w:t>
      </w:r>
      <w:r w:rsidRPr="00C9040A">
        <w:rPr>
          <w:rtl/>
          <w:lang w:bidi="fa-IR"/>
        </w:rPr>
        <w:t xml:space="preserve"> </w:t>
      </w:r>
      <w:r w:rsidR="004A4E41" w:rsidRPr="004A4E41">
        <w:rPr>
          <w:rStyle w:val="libAlaemChar"/>
          <w:rtl/>
        </w:rPr>
        <w:t>صلى‌الله‌عليه‌وآله</w:t>
      </w:r>
      <w:r w:rsidRPr="00C9040A">
        <w:rPr>
          <w:rtl/>
          <w:lang w:bidi="fa-IR"/>
        </w:rPr>
        <w:t xml:space="preserve"> : « إِنَّ مِنْ شِرَارِ </w:t>
      </w:r>
      <w:r w:rsidR="006C577F" w:rsidRPr="006C577F">
        <w:rPr>
          <w:rStyle w:val="libFootnotenumChar"/>
          <w:rtl/>
        </w:rPr>
        <w:t>(6)</w:t>
      </w:r>
      <w:r w:rsidRPr="005B567D">
        <w:rPr>
          <w:rStyle w:val="libFootnotenumChar"/>
          <w:rtl/>
        </w:rPr>
        <w:t xml:space="preserve"> </w:t>
      </w:r>
      <w:r w:rsidRPr="00C9040A">
        <w:rPr>
          <w:rtl/>
          <w:lang w:bidi="fa-IR"/>
        </w:rPr>
        <w:t xml:space="preserve">رِجَالِكُمُ الْبَهَّاتَ </w:t>
      </w:r>
      <w:r w:rsidR="006C577F" w:rsidRPr="006C577F">
        <w:rPr>
          <w:rStyle w:val="libFootnotenumChar"/>
          <w:rtl/>
        </w:rPr>
        <w:t>(7)</w:t>
      </w:r>
      <w:r w:rsidRPr="00C9040A">
        <w:rPr>
          <w:rtl/>
          <w:lang w:bidi="fa-IR"/>
        </w:rPr>
        <w:t xml:space="preserve"> الْجَرِي‌ءَ </w:t>
      </w:r>
      <w:r w:rsidR="006C577F" w:rsidRPr="006C577F">
        <w:rPr>
          <w:rStyle w:val="libFootnotenumChar"/>
          <w:rtl/>
        </w:rPr>
        <w:t>(8)</w:t>
      </w:r>
      <w:r w:rsidRPr="00C9040A">
        <w:rPr>
          <w:rtl/>
          <w:lang w:bidi="fa-IR"/>
        </w:rPr>
        <w:t xml:space="preserve"> الْفَحَّاشَ ، الْآكِلَ وَحْدَهُ ، وَ</w:t>
      </w:r>
      <w:r>
        <w:rPr>
          <w:rFonts w:hint="cs"/>
          <w:rtl/>
          <w:lang w:bidi="fa-IR"/>
        </w:rPr>
        <w:t xml:space="preserve"> </w:t>
      </w:r>
      <w:r w:rsidR="006C577F" w:rsidRPr="006C577F">
        <w:rPr>
          <w:rStyle w:val="libFootnotenumChar"/>
          <w:rtl/>
        </w:rPr>
        <w:t>(9)</w:t>
      </w:r>
      <w:r w:rsidRPr="00C9040A">
        <w:rPr>
          <w:rtl/>
          <w:lang w:bidi="fa-IR"/>
        </w:rPr>
        <w:t xml:space="preserve"> الْمَانِعَ رِفْدَهُ ، وَالضَّارِبَ عَبْدَهُ ، وَالْمُلْجِئَ عِيَالَهُ إِلى غَيْرِهِ »</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Normal"/>
        <w:rPr>
          <w:rtl/>
          <w:lang w:bidi="fa-IR"/>
        </w:rPr>
      </w:pPr>
      <w:r w:rsidRPr="00A32EF4">
        <w:rPr>
          <w:rtl/>
        </w:rPr>
        <w:t>2486</w:t>
      </w:r>
      <w:r w:rsidRPr="00261CB0">
        <w:rPr>
          <w:rStyle w:val="libBold2Char"/>
          <w:rtl/>
        </w:rPr>
        <w:t xml:space="preserve"> / 14.</w:t>
      </w:r>
      <w:r w:rsidRPr="00C9040A">
        <w:rPr>
          <w:rtl/>
          <w:lang w:bidi="fa-IR"/>
        </w:rPr>
        <w:t xml:space="preserve"> عَلِيُّ بْنُ إِبْرَاهِيمَ ، عَنْ أَبِيهِ ، عَنِ ابْنِ أَبِي عُمَيْرٍ ، عَنْ مُيَسِّرٍ </w:t>
      </w:r>
      <w:r w:rsidR="006C577F" w:rsidRPr="006C577F">
        <w:rPr>
          <w:rStyle w:val="libFootnotenumChar"/>
          <w:rtl/>
        </w:rPr>
        <w:t>(11)</w:t>
      </w:r>
      <w:r w:rsidRPr="00C9040A">
        <w:rPr>
          <w:rtl/>
          <w:lang w:bidi="fa-IR"/>
        </w:rPr>
        <w:t xml:space="preserve"> ، عَنْ أَبِيهِ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الكافي ، ح 3875 والوافي والتهذيب : « وسادّ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حاشية « بر » : « المعربة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w:t>
      </w:r>
      <w:r w:rsidR="008A74EB" w:rsidRPr="00993B55">
        <w:rPr>
          <w:rStyle w:val="libFootnoteBoldChar"/>
          <w:rtl/>
        </w:rPr>
        <w:t>الكافي</w:t>
      </w:r>
      <w:r w:rsidR="008A74EB" w:rsidRPr="00C9040A">
        <w:rPr>
          <w:rtl/>
        </w:rPr>
        <w:t xml:space="preserve"> ، كتاب الطهارة ، باب الموضع الذي يكره أن يتغوّط فيه أو يبال ، ح 3875 ، بسنده عن إبراهيم الكرخي. </w:t>
      </w:r>
      <w:r w:rsidR="008A74EB" w:rsidRPr="00993B55">
        <w:rPr>
          <w:rStyle w:val="libFootnoteBoldChar"/>
          <w:rtl/>
        </w:rPr>
        <w:t>التهذيب</w:t>
      </w:r>
      <w:r w:rsidR="008A74EB" w:rsidRPr="00C9040A">
        <w:rPr>
          <w:rtl/>
        </w:rPr>
        <w:t xml:space="preserve"> ، ج 1 ، ص 30 ، ح 80 ، بسنده عن الحسن بن محبوب. </w:t>
      </w:r>
      <w:r w:rsidR="008A74EB" w:rsidRPr="00993B55">
        <w:rPr>
          <w:rStyle w:val="libFootnoteBoldChar"/>
          <w:rtl/>
        </w:rPr>
        <w:t>الفقيه</w:t>
      </w:r>
      <w:r w:rsidR="008A74EB" w:rsidRPr="00C9040A">
        <w:rPr>
          <w:rtl/>
        </w:rPr>
        <w:t xml:space="preserve"> ، ج 1 ، ص 25 ، ح 45 ، وفيه : « وفي خبر آخر لعن الله المتغوّط</w:t>
      </w:r>
      <w:r w:rsidR="008A74EB">
        <w:rPr>
          <w:rtl/>
        </w:rPr>
        <w:t xml:space="preserve"> ..</w:t>
      </w:r>
      <w:r w:rsidR="008A74EB" w:rsidRPr="00C9040A">
        <w:rPr>
          <w:rtl/>
        </w:rPr>
        <w:t xml:space="preserve">. » </w:t>
      </w:r>
      <w:r w:rsidR="00DB1F0E">
        <w:rPr>
          <w:rFonts w:hint="cs"/>
          <w:rtl/>
        </w:rPr>
        <w:t>.</w:t>
      </w:r>
      <w:r w:rsidR="008A74EB" w:rsidRPr="00993B55">
        <w:rPr>
          <w:rStyle w:val="libFootnoteBoldChar"/>
          <w:rtl/>
        </w:rPr>
        <w:t>الوافي</w:t>
      </w:r>
      <w:r w:rsidR="008A74EB" w:rsidRPr="00C9040A">
        <w:rPr>
          <w:rtl/>
        </w:rPr>
        <w:t xml:space="preserve"> ، ج 6 ، ص 108 ، ح 3863 ؛ </w:t>
      </w:r>
      <w:r w:rsidR="008A74EB" w:rsidRPr="00993B55">
        <w:rPr>
          <w:rStyle w:val="libFootnoteBoldChar"/>
          <w:rtl/>
        </w:rPr>
        <w:t>الوسائل</w:t>
      </w:r>
      <w:r w:rsidR="008A74EB" w:rsidRPr="00C9040A">
        <w:rPr>
          <w:rtl/>
        </w:rPr>
        <w:t xml:space="preserve"> ، ج 1 ، ص 325 ، ذيل ح 855 ؛ </w:t>
      </w:r>
      <w:r w:rsidR="008A74EB" w:rsidRPr="00993B55">
        <w:rPr>
          <w:rStyle w:val="libFootnoteBoldChar"/>
          <w:rtl/>
        </w:rPr>
        <w:t>البحار</w:t>
      </w:r>
      <w:r w:rsidR="008A74EB" w:rsidRPr="00C9040A">
        <w:rPr>
          <w:rtl/>
        </w:rPr>
        <w:t xml:space="preserve"> ، ج 72 ، ص 114 ، ح 12.</w:t>
      </w:r>
    </w:p>
    <w:p w:rsidR="008A74EB" w:rsidRPr="00C9040A" w:rsidRDefault="006C577F" w:rsidP="004A4E41">
      <w:pPr>
        <w:pStyle w:val="libFootnote0"/>
        <w:rPr>
          <w:rtl/>
          <w:lang w:bidi="fa-IR"/>
        </w:rPr>
      </w:pPr>
      <w:r>
        <w:rPr>
          <w:rtl/>
        </w:rPr>
        <w:t>(4).</w:t>
      </w:r>
      <w:r w:rsidR="008A74EB" w:rsidRPr="00C9040A">
        <w:rPr>
          <w:rtl/>
        </w:rPr>
        <w:t xml:space="preserve"> في « ب » : « فقلنا »</w:t>
      </w:r>
      <w:r w:rsidR="008A74EB">
        <w:rPr>
          <w:rtl/>
        </w:rPr>
        <w:t>.</w:t>
      </w:r>
      <w:r w:rsidR="008A74EB" w:rsidRPr="00C9040A">
        <w:rPr>
          <w:rtl/>
        </w:rPr>
        <w:t xml:space="preserve"> وفي « ص ، </w:t>
      </w:r>
      <w:r w:rsidR="006D3162">
        <w:rPr>
          <w:rtl/>
        </w:rPr>
        <w:t xml:space="preserve">ه </w:t>
      </w:r>
      <w:r w:rsidR="008A74EB" w:rsidRPr="00C9040A">
        <w:rPr>
          <w:rtl/>
        </w:rPr>
        <w:t>، بر ، بف » وحاشية « بس » والوافي : « فقالوا »</w:t>
      </w:r>
      <w:r w:rsidR="008A74EB">
        <w:rPr>
          <w:rtl/>
        </w:rPr>
        <w:t>.</w:t>
      </w:r>
    </w:p>
    <w:tbl>
      <w:tblPr>
        <w:tblStyle w:val="TableGrid"/>
        <w:bidiVisual/>
        <w:tblW w:w="0" w:type="auto"/>
        <w:tblLook w:val="04A0" w:firstRow="1" w:lastRow="0" w:firstColumn="1" w:lastColumn="0" w:noHBand="0" w:noVBand="1"/>
      </w:tblPr>
      <w:tblGrid>
        <w:gridCol w:w="4006"/>
        <w:gridCol w:w="4006"/>
      </w:tblGrid>
      <w:tr w:rsidR="00DB1F0E" w:rsidTr="00DB1F0E">
        <w:tc>
          <w:tcPr>
            <w:tcW w:w="4006" w:type="dxa"/>
          </w:tcPr>
          <w:p w:rsidR="00DB1F0E" w:rsidRDefault="00DB1F0E" w:rsidP="004A4E41">
            <w:pPr>
              <w:pStyle w:val="libFootnote0"/>
              <w:rPr>
                <w:rtl/>
              </w:rPr>
            </w:pPr>
            <w:r>
              <w:rPr>
                <w:rtl/>
              </w:rPr>
              <w:t>(5).</w:t>
            </w:r>
            <w:r w:rsidRPr="00C9040A">
              <w:rPr>
                <w:rtl/>
              </w:rPr>
              <w:t xml:space="preserve"> في « ب ، د ، ز » والبحار : « قال »</w:t>
            </w:r>
            <w:r>
              <w:rPr>
                <w:rtl/>
              </w:rPr>
              <w:t>.</w:t>
            </w:r>
          </w:p>
        </w:tc>
        <w:tc>
          <w:tcPr>
            <w:tcW w:w="4006" w:type="dxa"/>
          </w:tcPr>
          <w:p w:rsidR="00DB1F0E" w:rsidRDefault="00DB1F0E" w:rsidP="004A4E41">
            <w:pPr>
              <w:pStyle w:val="libFootnote0"/>
              <w:rPr>
                <w:rtl/>
              </w:rPr>
            </w:pPr>
            <w:r>
              <w:rPr>
                <w:rtl/>
              </w:rPr>
              <w:t>(6). في الوسائل:«قال:شرار»بدل«فقال:</w:t>
            </w:r>
            <w:r w:rsidRPr="00C9040A">
              <w:rPr>
                <w:rtl/>
              </w:rPr>
              <w:t>إنّ من شرار »</w:t>
            </w:r>
            <w:r>
              <w:rPr>
                <w:rtl/>
              </w:rPr>
              <w:t>.</w:t>
            </w:r>
          </w:p>
        </w:tc>
      </w:tr>
    </w:tbl>
    <w:p w:rsidR="008A74EB" w:rsidRPr="00C9040A" w:rsidRDefault="006C577F" w:rsidP="004A4E41">
      <w:pPr>
        <w:pStyle w:val="libFootnote0"/>
        <w:rPr>
          <w:rtl/>
          <w:lang w:bidi="fa-IR"/>
        </w:rPr>
      </w:pPr>
      <w:r>
        <w:rPr>
          <w:rtl/>
        </w:rPr>
        <w:t>(7).</w:t>
      </w:r>
      <w:r w:rsidR="008A74EB" w:rsidRPr="00C9040A">
        <w:rPr>
          <w:rtl/>
        </w:rPr>
        <w:t xml:space="preserve"> بَهَته بَهْتاً وبَهَتاً وبُهتاناً فهو بهّات ، أي قال عليه ما لم يفعله. </w:t>
      </w:r>
      <w:r w:rsidR="008A74EB" w:rsidRPr="00993B55">
        <w:rPr>
          <w:rStyle w:val="libFootnoteBoldChar"/>
          <w:rtl/>
        </w:rPr>
        <w:t>الصحاح</w:t>
      </w:r>
      <w:r w:rsidR="008A74EB" w:rsidRPr="00C9040A">
        <w:rPr>
          <w:rtl/>
        </w:rPr>
        <w:t xml:space="preserve"> ، ج 1 ، ص 224 ( بهت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 د ، بر » والوافي : « الجريّ » ، وهو من تخفيف الهمزة بقلبها ياءً وإدغام الياءين. والجري‌ء والجريّ : المقدام على القبيح. راجع : </w:t>
      </w:r>
      <w:r w:rsidR="008A74EB" w:rsidRPr="00993B55">
        <w:rPr>
          <w:rStyle w:val="libFootnoteBoldChar"/>
          <w:rtl/>
        </w:rPr>
        <w:t>شرح‌المازندرانى</w:t>
      </w:r>
      <w:r w:rsidR="008A74EB" w:rsidRPr="00C9040A">
        <w:rPr>
          <w:rtl/>
        </w:rPr>
        <w:t xml:space="preserve"> ، ج 9 ، ص 275 ؛ </w:t>
      </w:r>
      <w:r w:rsidR="008A74EB" w:rsidRPr="00993B55">
        <w:rPr>
          <w:rStyle w:val="libFootnoteBoldChar"/>
          <w:rtl/>
        </w:rPr>
        <w:t>مرآة العقول</w:t>
      </w:r>
      <w:r w:rsidR="008A74EB" w:rsidRPr="00C9040A">
        <w:rPr>
          <w:rtl/>
        </w:rPr>
        <w:t xml:space="preserve"> ، ج 10 ، ص 85.</w:t>
      </w:r>
    </w:p>
    <w:p w:rsidR="008A74EB" w:rsidRPr="00C9040A" w:rsidRDefault="006C577F" w:rsidP="004A4E41">
      <w:pPr>
        <w:pStyle w:val="libFootnote0"/>
        <w:rPr>
          <w:rtl/>
          <w:lang w:bidi="fa-IR"/>
        </w:rPr>
      </w:pPr>
      <w:r>
        <w:rPr>
          <w:rtl/>
        </w:rPr>
        <w:t>(9).</w:t>
      </w:r>
      <w:r w:rsidR="008A74EB" w:rsidRPr="00C9040A">
        <w:rPr>
          <w:rtl/>
        </w:rPr>
        <w:t xml:space="preserve"> في الوافي </w:t>
      </w:r>
      <w:r w:rsidR="008A74EB">
        <w:rPr>
          <w:rtl/>
        </w:rPr>
        <w:t xml:space="preserve">: </w:t>
      </w:r>
      <w:r w:rsidR="0084262C">
        <w:rPr>
          <w:rtl/>
        </w:rPr>
        <w:t>-</w:t>
      </w:r>
      <w:r w:rsidR="008A74EB" w:rsidRPr="00C9040A">
        <w:rPr>
          <w:rtl/>
        </w:rPr>
        <w:t xml:space="preserve"> « </w:t>
      </w:r>
      <w:r w:rsidR="008A74EB">
        <w:rPr>
          <w:rtl/>
        </w:rPr>
        <w:t>و ».</w:t>
      </w:r>
    </w:p>
    <w:p w:rsidR="008A74EB" w:rsidRPr="00C9040A" w:rsidRDefault="006C577F" w:rsidP="004A4E41">
      <w:pPr>
        <w:pStyle w:val="libFootnote0"/>
        <w:rPr>
          <w:rtl/>
          <w:lang w:bidi="fa-IR"/>
        </w:rPr>
      </w:pPr>
      <w:r>
        <w:rPr>
          <w:rtl/>
        </w:rPr>
        <w:t>(10).</w:t>
      </w:r>
      <w:r w:rsidR="008A74EB" w:rsidRPr="00C9040A">
        <w:rPr>
          <w:rtl/>
        </w:rPr>
        <w:t xml:space="preserve"> </w:t>
      </w:r>
      <w:r w:rsidR="008A74EB" w:rsidRPr="00993B55">
        <w:rPr>
          <w:rStyle w:val="libFootnoteBoldChar"/>
          <w:rtl/>
        </w:rPr>
        <w:t>التهذيب</w:t>
      </w:r>
      <w:r w:rsidR="008A74EB" w:rsidRPr="00C9040A">
        <w:rPr>
          <w:rtl/>
        </w:rPr>
        <w:t xml:space="preserve"> ، ج 7 ، ص 400 ، ذيل ح 1597 ، معلّقاً عن الحسن بن محبوب ، عن عليّ بن رئاب ، مع اختلاف يسير. </w:t>
      </w:r>
      <w:r w:rsidR="008A74EB" w:rsidRPr="00993B55">
        <w:rPr>
          <w:rStyle w:val="libFootnoteBoldChar"/>
          <w:rtl/>
        </w:rPr>
        <w:t>المحاسن</w:t>
      </w:r>
      <w:r w:rsidR="008A74EB" w:rsidRPr="00C9040A">
        <w:rPr>
          <w:rtl/>
        </w:rPr>
        <w:t xml:space="preserve"> ، ص 356 ، كتاب المآكل ، ح 60 ، بسند آخر عن أبي عبدالله </w:t>
      </w:r>
      <w:r w:rsidR="00117575" w:rsidRPr="00117575">
        <w:rPr>
          <w:rStyle w:val="libFootnoteAlaemChar"/>
          <w:rtl/>
        </w:rPr>
        <w:t>عليه‌السلام</w:t>
      </w:r>
      <w:r w:rsidR="008A74EB" w:rsidRPr="00C9040A">
        <w:rPr>
          <w:rtl/>
        </w:rPr>
        <w:t xml:space="preserve"> عن رسول الله </w:t>
      </w:r>
      <w:r w:rsidR="004A4E41" w:rsidRPr="00DB1F0E">
        <w:rPr>
          <w:rStyle w:val="libFootnoteAlaemChar"/>
          <w:rtl/>
        </w:rPr>
        <w:t>صلى‌الله‌عليه‌وآله</w:t>
      </w:r>
      <w:r w:rsidR="008A74EB" w:rsidRPr="00C9040A">
        <w:rPr>
          <w:rtl/>
        </w:rPr>
        <w:t xml:space="preserve">. </w:t>
      </w:r>
      <w:r w:rsidR="008A74EB" w:rsidRPr="00993B55">
        <w:rPr>
          <w:rStyle w:val="libFootnoteBoldChar"/>
          <w:rtl/>
        </w:rPr>
        <w:t>تحف العقول</w:t>
      </w:r>
      <w:r w:rsidR="008A74EB" w:rsidRPr="00C9040A">
        <w:rPr>
          <w:rtl/>
        </w:rPr>
        <w:t xml:space="preserve"> ، ص 27 ، ضمن الحديث ، عن النبيّ </w:t>
      </w:r>
      <w:r w:rsidR="004A4E41" w:rsidRPr="00DB1F0E">
        <w:rPr>
          <w:rStyle w:val="libFootnoteAlaemChar"/>
          <w:rtl/>
        </w:rPr>
        <w:t>صلى‌الله‌عليه‌وآله</w:t>
      </w:r>
      <w:r w:rsidR="008A74EB" w:rsidRPr="00C9040A">
        <w:rPr>
          <w:rtl/>
        </w:rPr>
        <w:t xml:space="preserve"> ، وفيهما مع اختلاف </w:t>
      </w:r>
      <w:r w:rsidR="00DB1F0E">
        <w:rPr>
          <w:rFonts w:hint="cs"/>
          <w:rtl/>
        </w:rPr>
        <w:t>.</w:t>
      </w:r>
      <w:r w:rsidR="008A74EB" w:rsidRPr="00993B55">
        <w:rPr>
          <w:rStyle w:val="libFootnoteBoldChar"/>
          <w:rtl/>
        </w:rPr>
        <w:t>الوافي</w:t>
      </w:r>
      <w:r w:rsidR="008A74EB" w:rsidRPr="00C9040A">
        <w:rPr>
          <w:rtl/>
        </w:rPr>
        <w:t xml:space="preserve"> ، ج 5 ، ص 841 ، ح 3114 ؛ </w:t>
      </w:r>
      <w:r w:rsidR="008A74EB" w:rsidRPr="00993B55">
        <w:rPr>
          <w:rStyle w:val="libFootnoteBoldChar"/>
          <w:rtl/>
        </w:rPr>
        <w:t>الوسائل</w:t>
      </w:r>
      <w:r w:rsidR="008A74EB" w:rsidRPr="00C9040A">
        <w:rPr>
          <w:rtl/>
        </w:rPr>
        <w:t xml:space="preserve"> ، ج 15 ، ص 340 ، ح 20688 ؛ </w:t>
      </w:r>
      <w:r w:rsidR="008A74EB" w:rsidRPr="00993B55">
        <w:rPr>
          <w:rStyle w:val="libFootnoteBoldChar"/>
          <w:rtl/>
        </w:rPr>
        <w:t>البحار</w:t>
      </w:r>
      <w:r w:rsidR="008A74EB" w:rsidRPr="00C9040A">
        <w:rPr>
          <w:rtl/>
        </w:rPr>
        <w:t xml:space="preserve"> ، ج 72 ، ص 114 ، ح 13.</w:t>
      </w:r>
    </w:p>
    <w:p w:rsidR="008A74EB" w:rsidRPr="00C9040A" w:rsidRDefault="006C577F" w:rsidP="004A4E41">
      <w:pPr>
        <w:pStyle w:val="libFootnote0"/>
        <w:rPr>
          <w:rtl/>
          <w:lang w:bidi="fa-IR"/>
        </w:rPr>
      </w:pPr>
      <w:r>
        <w:rPr>
          <w:rtl/>
        </w:rPr>
        <w:t>(11).</w:t>
      </w:r>
      <w:r w:rsidR="008A74EB" w:rsidRPr="00C9040A">
        <w:rPr>
          <w:rtl/>
        </w:rPr>
        <w:t xml:space="preserve"> لم نجد روا</w:t>
      </w:r>
      <w:r w:rsidR="00DB1F0E">
        <w:rPr>
          <w:rtl/>
        </w:rPr>
        <w:t>ية ابن أبي عمير عن مُيَسِّر إل</w:t>
      </w:r>
      <w:r w:rsidR="00DB1F0E">
        <w:rPr>
          <w:rFonts w:hint="cs"/>
          <w:rtl/>
        </w:rPr>
        <w:t>ّ</w:t>
      </w:r>
      <w:r w:rsidR="00DB1F0E">
        <w:rPr>
          <w:rtl/>
        </w:rPr>
        <w:t>ا</w:t>
      </w:r>
      <w:r w:rsidR="008A74EB" w:rsidRPr="00C9040A">
        <w:rPr>
          <w:rtl/>
        </w:rPr>
        <w:t xml:space="preserve"> في سند هذا الخبر وما ورد في </w:t>
      </w:r>
      <w:r w:rsidR="008A74EB" w:rsidRPr="00993B55">
        <w:rPr>
          <w:rStyle w:val="libFootnoteBoldChar"/>
          <w:rtl/>
        </w:rPr>
        <w:t>الفقيه</w:t>
      </w:r>
      <w:r w:rsidR="008A74EB" w:rsidRPr="00C9040A">
        <w:rPr>
          <w:rtl/>
        </w:rPr>
        <w:t xml:space="preserve"> ، ج 3 ، ص 270 ، ح 3977 من </w:t>
      </w:r>
      <w:r w:rsidR="00DB1F0E">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خَمْسَةٌ لَعَنْتُهُمْ وَكُلُّ نَبِيٍّ مُجَابٍ </w:t>
      </w:r>
      <w:r w:rsidR="006C577F" w:rsidRPr="006C577F">
        <w:rPr>
          <w:rStyle w:val="libFootnotenumChar"/>
          <w:rtl/>
        </w:rPr>
        <w:t>(1)</w:t>
      </w:r>
      <w:r w:rsidRPr="00C9040A">
        <w:rPr>
          <w:rtl/>
          <w:lang w:bidi="fa-IR"/>
        </w:rPr>
        <w:t xml:space="preserve"> :</w:t>
      </w:r>
      <w:r>
        <w:rPr>
          <w:rFonts w:hint="cs"/>
          <w:rtl/>
          <w:lang w:bidi="fa-IR"/>
        </w:rPr>
        <w:t xml:space="preserve"> </w:t>
      </w:r>
      <w:r w:rsidRPr="00C9040A">
        <w:rPr>
          <w:rtl/>
          <w:lang w:bidi="fa-IR"/>
        </w:rPr>
        <w:t xml:space="preserve">الزَّائِدُ فِي كِتَابِ اللهِ ، وَالتَّارِكُ لِسُنَّتِي ، وَالْمُكَذِّبُ بِقَدَرِ </w:t>
      </w:r>
      <w:r w:rsidR="006C577F" w:rsidRPr="006C577F">
        <w:rPr>
          <w:rStyle w:val="libFootnotenumChar"/>
          <w:rtl/>
        </w:rPr>
        <w:t>(2)</w:t>
      </w:r>
      <w:r w:rsidRPr="00C9040A">
        <w:rPr>
          <w:rtl/>
          <w:lang w:bidi="fa-IR"/>
        </w:rPr>
        <w:t xml:space="preserve"> اللهِ ، وَالْمُسْتَحِلُّ مِنْ عِتْرَتِي مَا حَرَّمَ اللهُ ، وَالْمُسْتَأْثِرُ </w:t>
      </w:r>
      <w:r w:rsidR="006C577F" w:rsidRPr="006C577F">
        <w:rPr>
          <w:rStyle w:val="libFootnotenumChar"/>
          <w:rtl/>
        </w:rPr>
        <w:t>(3)</w:t>
      </w:r>
      <w:r w:rsidRPr="00C9040A">
        <w:rPr>
          <w:rtl/>
          <w:lang w:bidi="fa-IR"/>
        </w:rPr>
        <w:t xml:space="preserve"> بِالْفَيْ‌ءِ وَالْمُسْتَحِلُّ </w:t>
      </w:r>
      <w:r w:rsidR="006C577F" w:rsidRPr="006C577F">
        <w:rPr>
          <w:rStyle w:val="libFootnotenumChar"/>
          <w:rtl/>
        </w:rPr>
        <w:t>(4)</w:t>
      </w:r>
      <w:r w:rsidRPr="00C9040A">
        <w:rPr>
          <w:rtl/>
          <w:lang w:bidi="fa-IR"/>
        </w:rPr>
        <w:t xml:space="preserve"> لَهُ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Heading2Center"/>
        <w:rPr>
          <w:rtl/>
          <w:lang w:bidi="fa-IR"/>
        </w:rPr>
      </w:pPr>
      <w:bookmarkStart w:id="358" w:name="_Toc343795707"/>
      <w:bookmarkStart w:id="359" w:name="_Toc459810831"/>
      <w:bookmarkStart w:id="360" w:name="_Toc35348737"/>
      <w:r w:rsidRPr="00C9040A">
        <w:rPr>
          <w:rtl/>
          <w:lang w:bidi="fa-IR"/>
        </w:rPr>
        <w:t>116</w:t>
      </w:r>
      <w:r>
        <w:rPr>
          <w:rtl/>
          <w:lang w:bidi="fa-IR"/>
        </w:rPr>
        <w:t xml:space="preserve"> </w:t>
      </w:r>
      <w:r w:rsidR="0084262C">
        <w:rPr>
          <w:rtl/>
          <w:lang w:bidi="fa-IR"/>
        </w:rPr>
        <w:t>-</w:t>
      </w:r>
      <w:r>
        <w:rPr>
          <w:rtl/>
          <w:lang w:bidi="fa-IR"/>
        </w:rPr>
        <w:t xml:space="preserve"> </w:t>
      </w:r>
      <w:r w:rsidRPr="00C9040A">
        <w:rPr>
          <w:rtl/>
          <w:lang w:bidi="fa-IR"/>
        </w:rPr>
        <w:t>بَابُ الرِّيَاءِ‌</w:t>
      </w:r>
      <w:bookmarkEnd w:id="358"/>
      <w:bookmarkEnd w:id="359"/>
      <w:bookmarkEnd w:id="360"/>
    </w:p>
    <w:p w:rsidR="008A74EB" w:rsidRPr="00C9040A" w:rsidRDefault="008A74EB" w:rsidP="008A74EB">
      <w:pPr>
        <w:pStyle w:val="libNormal"/>
        <w:rPr>
          <w:rtl/>
          <w:lang w:bidi="fa-IR"/>
        </w:rPr>
      </w:pPr>
      <w:r w:rsidRPr="00CD5876">
        <w:rPr>
          <w:rtl/>
        </w:rPr>
        <w:t>2487</w:t>
      </w:r>
      <w:r w:rsidRPr="00261CB0">
        <w:rPr>
          <w:rStyle w:val="libBold2Char"/>
          <w:rtl/>
        </w:rPr>
        <w:t xml:space="preserve"> / 1.</w:t>
      </w:r>
      <w:r w:rsidRPr="00C9040A">
        <w:rPr>
          <w:rtl/>
          <w:lang w:bidi="fa-IR"/>
        </w:rPr>
        <w:t xml:space="preserve"> عِدَّةٌ مِنْ أَصْحَابِنَا ، عَنْ سَهْلِ بْنِ زِيَادٍ ، عَنْ جَعْفَرِ بْنِ مُحَمَّدٍ الْأَشْعَرِيِّ ، عَنِ‌</w:t>
      </w:r>
    </w:p>
    <w:p w:rsidR="008A74EB" w:rsidRPr="00C9040A" w:rsidRDefault="008A74EB" w:rsidP="008A74EB">
      <w:pPr>
        <w:pStyle w:val="libLine"/>
        <w:rPr>
          <w:rtl/>
          <w:lang w:bidi="fa-IR"/>
        </w:rPr>
      </w:pPr>
      <w:r w:rsidRPr="00C9040A">
        <w:rPr>
          <w:rtl/>
          <w:lang w:bidi="fa-IR"/>
        </w:rPr>
        <w:t>__________________</w:t>
      </w:r>
    </w:p>
    <w:p w:rsidR="008A74EB" w:rsidRPr="00C9040A" w:rsidRDefault="00DB1F0E" w:rsidP="004A4E41">
      <w:pPr>
        <w:pStyle w:val="libFootnote0"/>
        <w:rPr>
          <w:rtl/>
          <w:lang w:bidi="fa-IR"/>
        </w:rPr>
      </w:pPr>
      <w:r>
        <w:rPr>
          <w:rFonts w:hint="cs"/>
          <w:rtl/>
        </w:rPr>
        <w:t xml:space="preserve">= </w:t>
      </w:r>
      <w:r w:rsidR="008A74EB" w:rsidRPr="00C9040A">
        <w:rPr>
          <w:rtl/>
        </w:rPr>
        <w:t xml:space="preserve">رواية محمّد بن أبي عمير ، عن ميسّر بن عبدالعزيز. لكن خبر </w:t>
      </w:r>
      <w:r w:rsidR="008A74EB" w:rsidRPr="00993B55">
        <w:rPr>
          <w:rStyle w:val="libFootnoteBoldChar"/>
          <w:rtl/>
        </w:rPr>
        <w:t>الفقيه</w:t>
      </w:r>
      <w:r w:rsidR="008A74EB" w:rsidRPr="00C9040A">
        <w:rPr>
          <w:rtl/>
        </w:rPr>
        <w:t xml:space="preserve"> ورد في </w:t>
      </w:r>
      <w:r w:rsidR="008A74EB" w:rsidRPr="00A32EF4">
        <w:rPr>
          <w:rtl/>
        </w:rPr>
        <w:t>الكافي</w:t>
      </w:r>
      <w:r w:rsidR="008A74EB" w:rsidRPr="00C9040A">
        <w:rPr>
          <w:rtl/>
        </w:rPr>
        <w:t xml:space="preserve"> ، ح 9034 ؛ </w:t>
      </w:r>
      <w:r w:rsidR="008A74EB" w:rsidRPr="00DB1F0E">
        <w:rPr>
          <w:rStyle w:val="libFootnoteBoldChar"/>
          <w:rtl/>
        </w:rPr>
        <w:t>و</w:t>
      </w:r>
      <w:r w:rsidR="008A74EB" w:rsidRPr="00993B55">
        <w:rPr>
          <w:rStyle w:val="libFootnoteBoldChar"/>
          <w:rtl/>
        </w:rPr>
        <w:t>التهذيب</w:t>
      </w:r>
      <w:r w:rsidR="008A74EB" w:rsidRPr="00C9040A">
        <w:rPr>
          <w:rtl/>
        </w:rPr>
        <w:t xml:space="preserve"> ، ج 7 ، ص 66 ، ح 283 ، وص 128 ، ح 560 ، وقد توسّط جميل [ بن درّاج ] بين ابن أبي عمير وميسّر. والمظنون في ما نحن فيه وقوع التحريف في العنوان ، بأن كان الأصل إمّا « ابن ميسّر ، عن أبيه » أو « محمّد بن ميسّر ، عن أبيه » ؛ فقد روى ابن أبي عمير كتاب محمّد بن ميسّر عبدالعزيز ، وروى في بعض الأسناد عنه بعنوان محمّد بن ميسّر. راجع : </w:t>
      </w:r>
      <w:r w:rsidR="008A74EB" w:rsidRPr="00993B55">
        <w:rPr>
          <w:rStyle w:val="libFootnoteBoldChar"/>
          <w:rtl/>
        </w:rPr>
        <w:t>رجال النجاشي</w:t>
      </w:r>
      <w:r w:rsidR="008A74EB" w:rsidRPr="00C9040A">
        <w:rPr>
          <w:rtl/>
        </w:rPr>
        <w:t xml:space="preserve"> ، ص 368 ، الرقم 997 ؛ </w:t>
      </w:r>
      <w:r w:rsidR="008A74EB" w:rsidRPr="0034021D">
        <w:rPr>
          <w:rStyle w:val="libFootnoteBoldChar"/>
          <w:rtl/>
        </w:rPr>
        <w:t>الفهرست للطوسي</w:t>
      </w:r>
      <w:r w:rsidR="008A74EB" w:rsidRPr="00C9040A">
        <w:rPr>
          <w:rtl/>
        </w:rPr>
        <w:t xml:space="preserve"> ، ص 420 ، الرقم 644 ؛ </w:t>
      </w:r>
      <w:r w:rsidR="008A74EB" w:rsidRPr="00993B55">
        <w:rPr>
          <w:rStyle w:val="libFootnoteBoldChar"/>
          <w:rtl/>
        </w:rPr>
        <w:t>معجم رجال الحديث</w:t>
      </w:r>
      <w:r w:rsidR="008A74EB" w:rsidRPr="00C9040A">
        <w:rPr>
          <w:rtl/>
        </w:rPr>
        <w:t xml:space="preserve"> ، ج 17 ، ص 457.</w:t>
      </w:r>
    </w:p>
    <w:p w:rsidR="008A74EB" w:rsidRPr="00C9040A" w:rsidRDefault="008A74EB" w:rsidP="004A4E41">
      <w:pPr>
        <w:pStyle w:val="libFootnote0"/>
        <w:rPr>
          <w:rtl/>
          <w:lang w:bidi="fa-IR"/>
        </w:rPr>
      </w:pPr>
      <w:r w:rsidRPr="00323A39">
        <w:rPr>
          <w:rtl/>
        </w:rPr>
        <w:t xml:space="preserve">ثمّ إنّه روى إبراهيم بن عقبة ، عن محمّد بن ميسّر ، عن أبيه ، عن أبي عبدالله </w:t>
      </w:r>
      <w:r w:rsidR="00117575" w:rsidRPr="00117575">
        <w:rPr>
          <w:rStyle w:val="libFootnoteAlaemChar"/>
          <w:rtl/>
        </w:rPr>
        <w:t>عليه‌السلام</w:t>
      </w:r>
      <w:r w:rsidRPr="00323A39">
        <w:rPr>
          <w:rtl/>
        </w:rPr>
        <w:t xml:space="preserve"> في </w:t>
      </w:r>
      <w:r w:rsidRPr="00993B55">
        <w:rPr>
          <w:rStyle w:val="libFootnoteBoldChar"/>
          <w:rtl/>
        </w:rPr>
        <w:t>الكافي</w:t>
      </w:r>
      <w:r w:rsidRPr="00323A39">
        <w:rPr>
          <w:rtl/>
        </w:rPr>
        <w:t xml:space="preserve"> ، ح 8953 ؛ </w:t>
      </w:r>
      <w:r w:rsidRPr="00DB1F0E">
        <w:rPr>
          <w:rStyle w:val="libFootnoteBoldChar"/>
          <w:rtl/>
        </w:rPr>
        <w:t>و</w:t>
      </w:r>
      <w:r w:rsidRPr="00993B55">
        <w:rPr>
          <w:rStyle w:val="libFootnoteBoldChar"/>
          <w:rtl/>
        </w:rPr>
        <w:t xml:space="preserve">التهذيب </w:t>
      </w:r>
      <w:r w:rsidRPr="00323A39">
        <w:rPr>
          <w:rtl/>
        </w:rPr>
        <w:t xml:space="preserve">، ج 7 ، ص 71 ، ح 303 </w:t>
      </w:r>
      <w:r w:rsidR="0084262C" w:rsidRPr="00323A39">
        <w:rPr>
          <w:rtl/>
        </w:rPr>
        <w:t>-</w:t>
      </w:r>
      <w:r w:rsidRPr="00323A39">
        <w:rPr>
          <w:rtl/>
        </w:rPr>
        <w:t xml:space="preserve"> والخبر واحد </w:t>
      </w:r>
      <w:r w:rsidR="0084262C" w:rsidRPr="00323A39">
        <w:rPr>
          <w:rtl/>
        </w:rPr>
        <w:t>-</w:t>
      </w:r>
      <w:r w:rsidRPr="00323A39">
        <w:rPr>
          <w:rtl/>
        </w:rPr>
        <w:t xml:space="preserve"> كما روى إبراهيم بن عقبة ، عن محمّد بن ميسّر ، عن أبيه ، عن أبي جعفر أو أبي عبدالله </w:t>
      </w:r>
      <w:r w:rsidR="00117575" w:rsidRPr="00117575">
        <w:rPr>
          <w:rStyle w:val="libFootnoteAlaemChar"/>
          <w:rtl/>
        </w:rPr>
        <w:t>عليه‌السلام</w:t>
      </w:r>
      <w:r w:rsidRPr="00323A39">
        <w:rPr>
          <w:rtl/>
        </w:rPr>
        <w:t xml:space="preserve"> في </w:t>
      </w:r>
      <w:r w:rsidRPr="00993B55">
        <w:rPr>
          <w:rStyle w:val="libFootnoteBoldChar"/>
          <w:rtl/>
        </w:rPr>
        <w:t>المحاسن</w:t>
      </w:r>
      <w:r w:rsidRPr="00323A39">
        <w:rPr>
          <w:rtl/>
        </w:rPr>
        <w:t xml:space="preserve"> ، ص 531 ، ح 779.</w:t>
      </w:r>
    </w:p>
    <w:p w:rsidR="008A74EB" w:rsidRDefault="008A74EB" w:rsidP="004A4E41">
      <w:pPr>
        <w:pStyle w:val="libFootnote0"/>
        <w:rPr>
          <w:rtl/>
        </w:rPr>
      </w:pPr>
      <w:r w:rsidRPr="00323A39">
        <w:rPr>
          <w:rtl/>
        </w:rPr>
        <w:t xml:space="preserve">وبذلك يعرف الخلل في ما ورد في </w:t>
      </w:r>
      <w:r w:rsidRPr="00993B55">
        <w:rPr>
          <w:rStyle w:val="libFootnoteBoldChar"/>
          <w:rtl/>
        </w:rPr>
        <w:t>الكافي</w:t>
      </w:r>
      <w:r w:rsidRPr="00323A39">
        <w:rPr>
          <w:rtl/>
        </w:rPr>
        <w:t xml:space="preserve"> ، ح 11973 من نقل خبر </w:t>
      </w:r>
      <w:r w:rsidRPr="00993B55">
        <w:rPr>
          <w:rStyle w:val="libFootnoteBoldChar"/>
          <w:rtl/>
        </w:rPr>
        <w:t>المحاسن</w:t>
      </w:r>
      <w:r w:rsidRPr="00323A39">
        <w:rPr>
          <w:rtl/>
        </w:rPr>
        <w:t xml:space="preserve"> عن إبراهيم بن عقبة ، عن ميسّر ، عن محمّد بن عبدالعزيز ، عن أبيه ، عن أبي جعفر أو أبي عبدالله </w:t>
      </w:r>
      <w:r w:rsidR="00117575" w:rsidRPr="00117575">
        <w:rPr>
          <w:rStyle w:val="libFootnoteAlaemChar"/>
          <w:rtl/>
        </w:rPr>
        <w:t>عليهما‌السلام</w:t>
      </w:r>
      <w:r w:rsidRPr="00323A39">
        <w:rPr>
          <w:rtl/>
        </w:rPr>
        <w:t>.</w:t>
      </w:r>
    </w:p>
    <w:p w:rsidR="008A74EB" w:rsidRPr="00C9040A" w:rsidRDefault="006C577F" w:rsidP="00DB1F0E">
      <w:pPr>
        <w:pStyle w:val="libFootnote0"/>
        <w:rPr>
          <w:rtl/>
          <w:lang w:bidi="fa-IR"/>
        </w:rPr>
      </w:pPr>
      <w:r>
        <w:rPr>
          <w:rtl/>
        </w:rPr>
        <w:t>(1).</w:t>
      </w:r>
      <w:r w:rsidR="008A74EB">
        <w:rPr>
          <w:rtl/>
        </w:rPr>
        <w:t xml:space="preserve"> </w:t>
      </w:r>
      <w:r w:rsidR="008A74EB" w:rsidRPr="00C9040A">
        <w:rPr>
          <w:rtl/>
        </w:rPr>
        <w:t xml:space="preserve">« كلّ نبيّ » عطف على فاعل « لعنتهم » ، أو منصوب على أنّه مفعول معه. </w:t>
      </w:r>
      <w:r w:rsidR="008A74EB">
        <w:rPr>
          <w:rtl/>
        </w:rPr>
        <w:t>و «</w:t>
      </w:r>
      <w:r w:rsidR="008A74EB" w:rsidRPr="00C9040A">
        <w:rPr>
          <w:rtl/>
        </w:rPr>
        <w:t xml:space="preserve"> مجاب » صفة</w:t>
      </w:r>
      <w:r w:rsidR="008A74EB">
        <w:rPr>
          <w:rtl/>
        </w:rPr>
        <w:t xml:space="preserve"> ل</w:t>
      </w:r>
      <w:r w:rsidR="00DB1F0E">
        <w:rPr>
          <w:rFonts w:hint="cs"/>
          <w:rtl/>
        </w:rPr>
        <w:t>ـ</w:t>
      </w:r>
      <w:r w:rsidR="008A74EB">
        <w:rPr>
          <w:rtl/>
        </w:rPr>
        <w:t xml:space="preserve"> «</w:t>
      </w:r>
      <w:r w:rsidR="008A74EB" w:rsidRPr="00C9040A">
        <w:rPr>
          <w:rtl/>
        </w:rPr>
        <w:t xml:space="preserve"> نبيّ » ، أو « كلّ نبيّ » مبتدأ ، </w:t>
      </w:r>
      <w:r w:rsidR="008A74EB">
        <w:rPr>
          <w:rtl/>
        </w:rPr>
        <w:t>و «</w:t>
      </w:r>
      <w:r w:rsidR="008A74EB" w:rsidRPr="00C9040A">
        <w:rPr>
          <w:rtl/>
        </w:rPr>
        <w:t xml:space="preserve"> مجاب » خبره ، والجملة حاليّة ، أو معطوفة. راجع : </w:t>
      </w:r>
      <w:r w:rsidR="008A74EB" w:rsidRPr="00993B55">
        <w:rPr>
          <w:rStyle w:val="libFootnoteBoldChar"/>
          <w:rtl/>
        </w:rPr>
        <w:t>شرح المازندراني</w:t>
      </w:r>
      <w:r w:rsidR="008A74EB" w:rsidRPr="00C9040A">
        <w:rPr>
          <w:rtl/>
        </w:rPr>
        <w:t xml:space="preserve"> ، ج 9 ، ص 275 ؛ </w:t>
      </w:r>
      <w:r w:rsidR="008A74EB" w:rsidRPr="00993B55">
        <w:rPr>
          <w:rStyle w:val="libFootnoteBoldChar"/>
          <w:rtl/>
        </w:rPr>
        <w:t>مرآة العقول</w:t>
      </w:r>
      <w:r w:rsidR="008A74EB" w:rsidRPr="00C9040A">
        <w:rPr>
          <w:rtl/>
        </w:rPr>
        <w:t xml:space="preserve"> ، ج 10 ، ص 86.</w:t>
      </w:r>
      <w:r w:rsidR="00DB1F0E">
        <w:rPr>
          <w:rFonts w:hint="cs"/>
          <w:rtl/>
        </w:rPr>
        <w:t xml:space="preserve">                      </w:t>
      </w:r>
      <w:r>
        <w:rPr>
          <w:rtl/>
        </w:rPr>
        <w:t>(2).</w:t>
      </w:r>
      <w:r w:rsidR="008A74EB">
        <w:rPr>
          <w:rtl/>
        </w:rPr>
        <w:t xml:space="preserve"> </w:t>
      </w:r>
      <w:r w:rsidR="008A74EB" w:rsidRPr="00C9040A">
        <w:rPr>
          <w:rtl/>
        </w:rPr>
        <w:t xml:space="preserve">في « </w:t>
      </w:r>
      <w:r w:rsidR="006D3162">
        <w:rPr>
          <w:rtl/>
        </w:rPr>
        <w:t xml:space="preserve">ه </w:t>
      </w:r>
      <w:r w:rsidR="008A74EB" w:rsidRPr="00C9040A">
        <w:rPr>
          <w:rtl/>
        </w:rPr>
        <w:t>» : « لقدر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الاستئثار : الانفراد بالشي‌ء. </w:t>
      </w:r>
      <w:r w:rsidR="008A74EB" w:rsidRPr="00993B55">
        <w:rPr>
          <w:rStyle w:val="libFootnoteBoldChar"/>
          <w:rtl/>
        </w:rPr>
        <w:t>النهاية</w:t>
      </w:r>
      <w:r w:rsidR="008A74EB" w:rsidRPr="00C9040A">
        <w:rPr>
          <w:rtl/>
        </w:rPr>
        <w:t xml:space="preserve"> ، ج 1 ، ص 22 ( أثر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ب ، ج ، د ، ز » وشرح المازندراني والوافي ومرآة العقول والوسائل والبحار : « المستحلّ » بدون الواو.</w:t>
      </w:r>
    </w:p>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المحاسن</w:t>
      </w:r>
      <w:r w:rsidR="008A74EB" w:rsidRPr="00C9040A">
        <w:rPr>
          <w:rtl/>
        </w:rPr>
        <w:t xml:space="preserve"> ، ص 11 ، كتاب القرائن ، ح 33 ؛ </w:t>
      </w:r>
      <w:r w:rsidR="008A74EB" w:rsidRPr="00B545D1">
        <w:rPr>
          <w:rStyle w:val="libFootnoteBoldChar"/>
          <w:rtl/>
        </w:rPr>
        <w:t>وا</w:t>
      </w:r>
      <w:r w:rsidR="008A74EB" w:rsidRPr="00993B55">
        <w:rPr>
          <w:rStyle w:val="libFootnoteBoldChar"/>
          <w:rtl/>
        </w:rPr>
        <w:t>لخصال</w:t>
      </w:r>
      <w:r w:rsidR="008A74EB" w:rsidRPr="00C9040A">
        <w:rPr>
          <w:rtl/>
        </w:rPr>
        <w:t xml:space="preserve"> ، ص 349 ، باب السبعة ، ح 24 ، بسند آخر عن أبي عبدالله </w:t>
      </w:r>
      <w:r w:rsidR="00117575" w:rsidRPr="00117575">
        <w:rPr>
          <w:rStyle w:val="libFootnoteAlaemChar"/>
          <w:rtl/>
        </w:rPr>
        <w:t>عليه‌السلام</w:t>
      </w:r>
      <w:r w:rsidR="008A74EB" w:rsidRPr="00C9040A">
        <w:rPr>
          <w:rtl/>
        </w:rPr>
        <w:t xml:space="preserve"> عن رسول الله </w:t>
      </w:r>
      <w:r w:rsidR="004A4E41" w:rsidRPr="00B545D1">
        <w:rPr>
          <w:rStyle w:val="libFootnoteAlaemChar"/>
          <w:rtl/>
        </w:rPr>
        <w:t>صلى‌الله‌عليه‌وآله</w:t>
      </w:r>
      <w:r w:rsidR="008A74EB" w:rsidRPr="00C9040A">
        <w:rPr>
          <w:rtl/>
        </w:rPr>
        <w:t xml:space="preserve">. وفي </w:t>
      </w:r>
      <w:r w:rsidR="008A74EB" w:rsidRPr="00993B55">
        <w:rPr>
          <w:rStyle w:val="libFootnoteBoldChar"/>
          <w:rtl/>
        </w:rPr>
        <w:t>الخصال</w:t>
      </w:r>
      <w:r w:rsidR="008A74EB" w:rsidRPr="00C9040A">
        <w:rPr>
          <w:rtl/>
        </w:rPr>
        <w:t xml:space="preserve"> ، ص 350 ، نفس الباب ، ح 25 ، بسند آخر عن عليّ بن الحسين ، عن آبائه </w:t>
      </w:r>
      <w:r w:rsidR="00117575" w:rsidRPr="00117575">
        <w:rPr>
          <w:rStyle w:val="libFootnoteAlaemChar"/>
          <w:rtl/>
        </w:rPr>
        <w:t>عليهم‌السلام</w:t>
      </w:r>
      <w:r w:rsidR="008A74EB" w:rsidRPr="00C9040A">
        <w:rPr>
          <w:rtl/>
        </w:rPr>
        <w:t xml:space="preserve"> عن النبيّ </w:t>
      </w:r>
      <w:r w:rsidR="004A4E41" w:rsidRPr="00B545D1">
        <w:rPr>
          <w:rStyle w:val="libFootnoteAlaemChar"/>
          <w:rtl/>
        </w:rPr>
        <w:t>صلى‌الله‌عليه‌وآله</w:t>
      </w:r>
      <w:r w:rsidR="008A74EB" w:rsidRPr="00C9040A">
        <w:rPr>
          <w:rtl/>
        </w:rPr>
        <w:t xml:space="preserve"> ؛ </w:t>
      </w:r>
      <w:r w:rsidR="008A74EB" w:rsidRPr="00993B55">
        <w:rPr>
          <w:rStyle w:val="libFootnoteBoldChar"/>
          <w:rtl/>
        </w:rPr>
        <w:t>وفيه</w:t>
      </w:r>
      <w:r w:rsidR="008A74EB" w:rsidRPr="00C9040A">
        <w:rPr>
          <w:rtl/>
        </w:rPr>
        <w:t xml:space="preserve"> ، ص 338 ، باب الستّة ، ح 41 ، بسند آخر عن جعفر بن محمّد ، عن آبائه </w:t>
      </w:r>
      <w:r w:rsidR="00117575" w:rsidRPr="00117575">
        <w:rPr>
          <w:rStyle w:val="libFootnoteAlaemChar"/>
          <w:rtl/>
        </w:rPr>
        <w:t>عليهم‌السلام</w:t>
      </w:r>
      <w:r w:rsidR="008A74EB" w:rsidRPr="00C9040A">
        <w:rPr>
          <w:rtl/>
        </w:rPr>
        <w:t xml:space="preserve"> عن رسول الله </w:t>
      </w:r>
      <w:r w:rsidR="004A4E41" w:rsidRPr="00B545D1">
        <w:rPr>
          <w:rStyle w:val="libFootnoteAlaemChar"/>
          <w:rtl/>
        </w:rPr>
        <w:t>صلى‌الله‌عليه‌وآله</w:t>
      </w:r>
      <w:r w:rsidR="008A74EB" w:rsidRPr="00C9040A">
        <w:rPr>
          <w:rtl/>
        </w:rPr>
        <w:t xml:space="preserve"> ، وفي كلّها مع اختلاف يسير وزيادة </w:t>
      </w:r>
      <w:r w:rsidR="00BC6FA5">
        <w:rPr>
          <w:rFonts w:hint="cs"/>
          <w:rtl/>
        </w:rPr>
        <w:t>.</w:t>
      </w:r>
      <w:r w:rsidR="008A74EB" w:rsidRPr="00993B55">
        <w:rPr>
          <w:rStyle w:val="libFootnoteBoldChar"/>
          <w:rtl/>
        </w:rPr>
        <w:t>الوافي</w:t>
      </w:r>
      <w:r w:rsidR="008A74EB" w:rsidRPr="00C9040A">
        <w:rPr>
          <w:rtl/>
        </w:rPr>
        <w:t xml:space="preserve"> ، ج 4 ، ص 229 ، ح 1860 ؛ </w:t>
      </w:r>
      <w:r w:rsidR="008A74EB" w:rsidRPr="00993B55">
        <w:rPr>
          <w:rStyle w:val="libFootnoteBoldChar"/>
          <w:rtl/>
        </w:rPr>
        <w:t>الوسائل</w:t>
      </w:r>
      <w:r w:rsidR="008A74EB" w:rsidRPr="00C9040A">
        <w:rPr>
          <w:rtl/>
        </w:rPr>
        <w:t xml:space="preserve"> ، ج 15 ، ص 341 ، ح 20692 ؛ </w:t>
      </w:r>
      <w:r w:rsidR="008A74EB" w:rsidRPr="00993B55">
        <w:rPr>
          <w:rStyle w:val="libFootnoteBoldChar"/>
          <w:rtl/>
        </w:rPr>
        <w:t>البحار</w:t>
      </w:r>
      <w:r w:rsidR="008A74EB" w:rsidRPr="00C9040A">
        <w:rPr>
          <w:rtl/>
        </w:rPr>
        <w:t xml:space="preserve"> ، ج 72 ، ص 115 ، ح 14.</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ابْنِ الْقَدَّاحِ </w:t>
      </w:r>
      <w:r w:rsidR="006C577F" w:rsidRPr="006C577F">
        <w:rPr>
          <w:rStyle w:val="libFootnotenumChar"/>
          <w:rtl/>
        </w:rPr>
        <w:t>(1)</w:t>
      </w:r>
      <w:r w:rsidRPr="00C9040A">
        <w:rPr>
          <w:rtl/>
          <w:lang w:bidi="fa-IR"/>
        </w:rPr>
        <w:t xml:space="preserve">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أَنَّهُ قَالَ لِعَبَّادِ بْنِ كَثِيرٍ الْبَصْرِيِّ فِي الْمَسْجِدِ : « وَيْلَكَ يَا عَبَّادُ ، إِيَّاكَ وَالرِّيَاءَ ؛ فَإِنَّهُ مَنْ عَمِلَ لِغَيْرِ اللهِ وَكَلَهُ اللهُ إِلى مَنْ عَمِلَ لَهُ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CD5876">
        <w:rPr>
          <w:rtl/>
        </w:rPr>
        <w:t>2488</w:t>
      </w:r>
      <w:r w:rsidRPr="00261CB0">
        <w:rPr>
          <w:rStyle w:val="libBold2Char"/>
          <w:rtl/>
        </w:rPr>
        <w:t xml:space="preserve"> / 2.</w:t>
      </w:r>
      <w:r w:rsidRPr="00C9040A">
        <w:rPr>
          <w:rtl/>
          <w:lang w:bidi="fa-IR"/>
        </w:rPr>
        <w:t xml:space="preserve"> مُحَمَّدُ بْنُ يَحْيى ، عَنْ أَحْمَدَ بْنِ مُحَمَّدِ بْنِ عِيسى ، عَنِ ابْنِ فَضَّالٍ ، عَنْ عَلِيِّ بْنِ عُقْبَةَ ، عَنْ أَبِيهِ ، قَالَ :</w:t>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 « اجْعَلُوا أَمْرَكُمْ هذَا </w:t>
      </w:r>
      <w:r w:rsidR="006C577F" w:rsidRPr="006C577F">
        <w:rPr>
          <w:rStyle w:val="libFootnotenumChar"/>
          <w:rtl/>
        </w:rPr>
        <w:t>(3)</w:t>
      </w:r>
      <w:r w:rsidRPr="00C9040A">
        <w:rPr>
          <w:rtl/>
          <w:lang w:bidi="fa-IR"/>
        </w:rPr>
        <w:t xml:space="preserve"> لِلّهِ ، وَلَاتَجْعَلُوهُ لِلنَّاسِ ؛ فَإِنَّهُ مَا كَانَ لِلّهِ فَهُوَ لِلّهِ ، وَمَا كَانَ لِلنَّاسِ فَلَا يَصْعَدُ </w:t>
      </w:r>
      <w:r w:rsidR="006C577F" w:rsidRPr="006C577F">
        <w:rPr>
          <w:rStyle w:val="libFootnotenumChar"/>
          <w:rtl/>
        </w:rPr>
        <w:t>(4)</w:t>
      </w:r>
      <w:r w:rsidRPr="00C9040A">
        <w:rPr>
          <w:rtl/>
          <w:lang w:bidi="fa-IR"/>
        </w:rPr>
        <w:t xml:space="preserve"> إِلَى اللهِ </w:t>
      </w:r>
      <w:r w:rsidR="006C577F" w:rsidRPr="006C577F">
        <w:rPr>
          <w:rStyle w:val="libFootnotenumChar"/>
          <w:rtl/>
        </w:rPr>
        <w:t>(5)</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Normal"/>
        <w:rPr>
          <w:rtl/>
          <w:lang w:bidi="fa-IR"/>
        </w:rPr>
      </w:pPr>
      <w:r w:rsidRPr="00CD5876">
        <w:rPr>
          <w:rtl/>
        </w:rPr>
        <w:t>2489</w:t>
      </w:r>
      <w:r w:rsidRPr="00261CB0">
        <w:rPr>
          <w:rStyle w:val="libBold2Char"/>
          <w:rtl/>
        </w:rPr>
        <w:t xml:space="preserve"> / 3.</w:t>
      </w:r>
      <w:r w:rsidRPr="00C9040A">
        <w:rPr>
          <w:rtl/>
          <w:lang w:bidi="fa-IR"/>
        </w:rPr>
        <w:t xml:space="preserve"> عَلِيُّ بْنُ إِبْرَاهِيمَ ، عَنْ أَبِيهِ ، عَنِ ابْنِ أَبِي عُمَيْرٍ ، عَنْ أَبِي الْمَغْرَاءِ ، عَنْ يَزِيدَ بْنِ خَلِيفَةَ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كُلُّ رِيَاءٍ شِرْكٌ ؛ إِنَّهُ مَنْ عَمِلَ لِلنَّاسِ كَانَ ثَوَابُهُ عَلَى النَّاسِ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البحار : + « عن أبي بصير »</w:t>
      </w:r>
      <w:r w:rsidR="008A74EB">
        <w:rPr>
          <w:rtl/>
        </w:rPr>
        <w:t>.</w:t>
      </w:r>
      <w:r w:rsidR="008A74EB" w:rsidRPr="00C9040A">
        <w:rPr>
          <w:rtl/>
        </w:rPr>
        <w:t xml:space="preserve"> والمراد من ابن القدّاح هو عبدالله بن ميمون ، ولم نجد في شي‌ء من الأسناد روايته عن أبي بصير ، سواءٌ أقلنا بكونه يحيى الأسدي أو ليثاً المرادي. فالظاهر زيادة « عن أبي بصير » في سند البحار.</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المحاسن</w:t>
      </w:r>
      <w:r w:rsidR="008A74EB" w:rsidRPr="00C9040A">
        <w:rPr>
          <w:rtl/>
        </w:rPr>
        <w:t xml:space="preserve"> ، ص 122 ، كتاب عقاب الأعمال ، ذيل ح 135 ؛ </w:t>
      </w:r>
      <w:r w:rsidR="008A74EB" w:rsidRPr="00BC6FA5">
        <w:rPr>
          <w:rStyle w:val="libFootnoteBoldChar"/>
          <w:rtl/>
        </w:rPr>
        <w:t>و</w:t>
      </w:r>
      <w:r w:rsidR="008A74EB" w:rsidRPr="00993B55">
        <w:rPr>
          <w:rStyle w:val="libFootnoteBoldChar"/>
          <w:rtl/>
        </w:rPr>
        <w:t xml:space="preserve">ثواب الأعمال </w:t>
      </w:r>
      <w:r w:rsidR="008A74EB" w:rsidRPr="00C9040A">
        <w:rPr>
          <w:rtl/>
        </w:rPr>
        <w:t xml:space="preserve">، ص 289 ، ذيل ح 1 ، بسند آخر ، وتمام الرواية فيهما : « قال الله عزّ وجلّ : من عمل لي ولغيري ، فهو لمن عمل له » </w:t>
      </w:r>
      <w:r w:rsidR="00BC6FA5">
        <w:rPr>
          <w:rFonts w:hint="cs"/>
          <w:rtl/>
        </w:rPr>
        <w:t>.</w:t>
      </w:r>
      <w:r w:rsidR="008A74EB" w:rsidRPr="00993B55">
        <w:rPr>
          <w:rStyle w:val="libFootnoteBoldChar"/>
          <w:rtl/>
        </w:rPr>
        <w:t>الوافي</w:t>
      </w:r>
      <w:r w:rsidR="008A74EB" w:rsidRPr="00C9040A">
        <w:rPr>
          <w:rtl/>
        </w:rPr>
        <w:t xml:space="preserve"> ، ج 5 ، ص 853 ، ح 3133 ؛ </w:t>
      </w:r>
      <w:r w:rsidR="008A74EB" w:rsidRPr="00993B55">
        <w:rPr>
          <w:rStyle w:val="libFootnoteBoldChar"/>
          <w:rtl/>
        </w:rPr>
        <w:t>الوسائل</w:t>
      </w:r>
      <w:r w:rsidR="008A74EB" w:rsidRPr="00C9040A">
        <w:rPr>
          <w:rtl/>
        </w:rPr>
        <w:t xml:space="preserve"> ، ج 1 ، ص 65 ، ح 143 ؛ </w:t>
      </w:r>
      <w:r w:rsidR="008A74EB" w:rsidRPr="00993B55">
        <w:rPr>
          <w:rStyle w:val="libFootnoteBoldChar"/>
          <w:rtl/>
        </w:rPr>
        <w:t>البحار</w:t>
      </w:r>
      <w:r w:rsidR="008A74EB" w:rsidRPr="00C9040A">
        <w:rPr>
          <w:rtl/>
        </w:rPr>
        <w:t xml:space="preserve"> ، ج 72 ، ص 266 ، ح 1.</w:t>
      </w:r>
    </w:p>
    <w:p w:rsidR="008A74EB" w:rsidRPr="00C9040A" w:rsidRDefault="006C577F" w:rsidP="004A4E41">
      <w:pPr>
        <w:pStyle w:val="libFootnote0"/>
        <w:rPr>
          <w:rtl/>
          <w:lang w:bidi="fa-IR"/>
        </w:rPr>
      </w:pPr>
      <w:r>
        <w:rPr>
          <w:rtl/>
        </w:rPr>
        <w:t>(3).</w:t>
      </w:r>
      <w:r w:rsidR="008A74EB" w:rsidRPr="00C9040A">
        <w:rPr>
          <w:rtl/>
        </w:rPr>
        <w:t xml:space="preserve"> في الكافي ، ح 432 والمحاسن والتوحيد </w:t>
      </w:r>
      <w:r w:rsidR="008A74EB">
        <w:rPr>
          <w:rtl/>
        </w:rPr>
        <w:t xml:space="preserve">: </w:t>
      </w:r>
      <w:r w:rsidR="0084262C">
        <w:rPr>
          <w:rtl/>
        </w:rPr>
        <w:t>-</w:t>
      </w:r>
      <w:r w:rsidR="008A74EB" w:rsidRPr="00C9040A">
        <w:rPr>
          <w:rtl/>
        </w:rPr>
        <w:t xml:space="preserve"> « هذا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ص » : « فهو لا يصعد »</w:t>
      </w:r>
      <w:r w:rsidR="008A74EB">
        <w:rPr>
          <w:rtl/>
        </w:rPr>
        <w:t>.</w:t>
      </w:r>
      <w:r w:rsidR="008A74EB" w:rsidRPr="00C9040A">
        <w:rPr>
          <w:rtl/>
        </w:rPr>
        <w:t xml:space="preserve"> والصعود إليه كناية عن القبول.</w:t>
      </w:r>
    </w:p>
    <w:p w:rsidR="008A74EB" w:rsidRPr="00C9040A" w:rsidRDefault="006C577F" w:rsidP="004A4E41">
      <w:pPr>
        <w:pStyle w:val="libFootnote0"/>
        <w:rPr>
          <w:rtl/>
          <w:lang w:bidi="fa-IR"/>
        </w:rPr>
      </w:pPr>
      <w:r>
        <w:rPr>
          <w:rtl/>
        </w:rPr>
        <w:t>(5).</w:t>
      </w:r>
      <w:r w:rsidR="008A74EB" w:rsidRPr="00C9040A">
        <w:rPr>
          <w:rtl/>
        </w:rPr>
        <w:t xml:space="preserve"> في الكافي ، ح 2229 : « إلى السماء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الكافي</w:t>
      </w:r>
      <w:r w:rsidR="008A74EB" w:rsidRPr="00C9040A">
        <w:rPr>
          <w:rtl/>
        </w:rPr>
        <w:t xml:space="preserve"> ، كتاب الإيمان والكفر ، باب في ترك دعاء الناس ، صدر ح 2229. </w:t>
      </w:r>
      <w:r w:rsidR="008A74EB" w:rsidRPr="00993B55">
        <w:rPr>
          <w:rStyle w:val="libFootnoteBoldChar"/>
          <w:rtl/>
        </w:rPr>
        <w:t>وفيه</w:t>
      </w:r>
      <w:r w:rsidR="008A74EB" w:rsidRPr="00C9040A">
        <w:rPr>
          <w:rtl/>
        </w:rPr>
        <w:t xml:space="preserve"> ، كتاب التوحيد ، باب الهداية أنّها من الله عزّوجلّ ، صدر ح 432 ، عن عدّة من أصحابنا ، عن أحمد بن محمّد ، عن ابن فضّال. </w:t>
      </w:r>
      <w:r w:rsidR="008A74EB" w:rsidRPr="00993B55">
        <w:rPr>
          <w:rStyle w:val="libFootnoteBoldChar"/>
          <w:rtl/>
        </w:rPr>
        <w:t>المحاسن</w:t>
      </w:r>
      <w:r w:rsidR="008A74EB" w:rsidRPr="00C9040A">
        <w:rPr>
          <w:rtl/>
        </w:rPr>
        <w:t xml:space="preserve"> ، ص 201 ، كتاب مصابيح الظلم ، صدر ح 38 ، عن ابن فضّال ؛ </w:t>
      </w:r>
      <w:r w:rsidR="008A74EB" w:rsidRPr="00993B55">
        <w:rPr>
          <w:rStyle w:val="libFootnoteBoldChar"/>
          <w:rtl/>
        </w:rPr>
        <w:t>التوحيد</w:t>
      </w:r>
      <w:r w:rsidR="008A74EB" w:rsidRPr="00C9040A">
        <w:rPr>
          <w:rtl/>
        </w:rPr>
        <w:t xml:space="preserve"> ، ص 414 ، صدر ح 13 ، بسنده عن أحمد بن محمّد ، عن ابن فضّال. </w:t>
      </w:r>
      <w:r w:rsidR="008A74EB" w:rsidRPr="00993B55">
        <w:rPr>
          <w:rStyle w:val="libFootnoteBoldChar"/>
          <w:rtl/>
        </w:rPr>
        <w:t>تفسير العيّاشي</w:t>
      </w:r>
      <w:r w:rsidR="008A74EB" w:rsidRPr="00C9040A">
        <w:rPr>
          <w:rtl/>
        </w:rPr>
        <w:t xml:space="preserve"> ، ج 2 ، ص 137 ، صدر ح 48 ، عن عليّ بن عقبة </w:t>
      </w:r>
      <w:r w:rsidR="00BC6FA5">
        <w:rPr>
          <w:rFonts w:hint="cs"/>
          <w:rtl/>
        </w:rPr>
        <w:t>.</w:t>
      </w:r>
      <w:r w:rsidR="008A74EB" w:rsidRPr="00993B55">
        <w:rPr>
          <w:rStyle w:val="libFootnoteBoldChar"/>
          <w:rtl/>
        </w:rPr>
        <w:t>الوافي</w:t>
      </w:r>
      <w:r w:rsidR="008A74EB" w:rsidRPr="00C9040A">
        <w:rPr>
          <w:rtl/>
        </w:rPr>
        <w:t xml:space="preserve"> ، ج 5 ، ص 853 ، ح 3134 ؛ </w:t>
      </w:r>
      <w:r w:rsidR="008A74EB" w:rsidRPr="00993B55">
        <w:rPr>
          <w:rStyle w:val="libFootnoteBoldChar"/>
          <w:rtl/>
        </w:rPr>
        <w:t>الوسائل</w:t>
      </w:r>
      <w:r w:rsidR="008A74EB" w:rsidRPr="00C9040A">
        <w:rPr>
          <w:rtl/>
        </w:rPr>
        <w:t xml:space="preserve"> ، ج 1 ، ص 71 ، ح 158 ؛ </w:t>
      </w:r>
      <w:r w:rsidR="008A74EB" w:rsidRPr="00993B55">
        <w:rPr>
          <w:rStyle w:val="libFootnoteBoldChar"/>
          <w:rtl/>
        </w:rPr>
        <w:t>البحار</w:t>
      </w:r>
      <w:r w:rsidR="008A74EB" w:rsidRPr="00C9040A">
        <w:rPr>
          <w:rtl/>
        </w:rPr>
        <w:t xml:space="preserve"> ، ج 72 ، ص 281 ، ح 2.</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وَمَنْ عَمِلَ لِلّهِ كَانَ ثَوَابُهُ عَلَى اللهِ »</w:t>
      </w:r>
      <w:r>
        <w:rPr>
          <w:rtl/>
          <w:lang w:bidi="fa-IR"/>
        </w:rPr>
        <w:t>.</w:t>
      </w:r>
      <w:r w:rsidRPr="00C9040A">
        <w:rPr>
          <w:rtl/>
          <w:lang w:bidi="fa-IR"/>
        </w:rPr>
        <w:t xml:space="preserve"> </w:t>
      </w:r>
      <w:r w:rsidR="006C577F" w:rsidRPr="006C577F">
        <w:rPr>
          <w:rStyle w:val="libFootnotenumChar"/>
          <w:rtl/>
        </w:rPr>
        <w:t>(1)</w:t>
      </w:r>
      <w:r w:rsidRPr="00C9040A">
        <w:rPr>
          <w:rtl/>
          <w:lang w:bidi="fa-IR"/>
        </w:rPr>
        <w:t xml:space="preserve"> ‌</w:t>
      </w:r>
    </w:p>
    <w:p w:rsidR="008A74EB" w:rsidRPr="00C9040A" w:rsidRDefault="008A74EB" w:rsidP="008A74EB">
      <w:pPr>
        <w:pStyle w:val="libNormal"/>
        <w:rPr>
          <w:rtl/>
          <w:lang w:bidi="fa-IR"/>
        </w:rPr>
      </w:pPr>
      <w:r w:rsidRPr="00CD5876">
        <w:rPr>
          <w:rtl/>
        </w:rPr>
        <w:t>2490</w:t>
      </w:r>
      <w:r w:rsidRPr="00261CB0">
        <w:rPr>
          <w:rStyle w:val="libBold2Char"/>
          <w:rtl/>
        </w:rPr>
        <w:t xml:space="preserve"> / 4.</w:t>
      </w:r>
      <w:r w:rsidRPr="00C9040A">
        <w:rPr>
          <w:rtl/>
          <w:lang w:bidi="fa-IR"/>
        </w:rPr>
        <w:t xml:space="preserve"> مُحَمَّدُ بْنُ يَحْيى ، عَنْ أَحْمَدَ بْنِ مُحَمَّدِ بْنِ عِيسى ، عَنِ الْحُسَيْنِ بْنِ سَعِيدٍ ، عَنِ النَّضْرِ بْنِ سُوَيْدٍ ، عَنِ الْقَاسِمِ بْنِ سُلَيْمَانَ ، عَنْ جَرَّاحٍ الْمَدَائِنِيِّ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فِي </w:t>
      </w:r>
      <w:r w:rsidR="006C577F" w:rsidRPr="006C577F">
        <w:rPr>
          <w:rStyle w:val="libFootnotenumChar"/>
          <w:rtl/>
        </w:rPr>
        <w:t>(2)</w:t>
      </w:r>
      <w:r w:rsidRPr="00C9040A">
        <w:rPr>
          <w:rtl/>
          <w:lang w:bidi="fa-IR"/>
        </w:rPr>
        <w:t xml:space="preserve"> قَوْلِ اللهِ عَزَّ وَجَلَّ </w:t>
      </w:r>
      <w:r w:rsidR="006C577F" w:rsidRPr="006C577F">
        <w:rPr>
          <w:rStyle w:val="libFootnotenumChar"/>
          <w:rtl/>
        </w:rPr>
        <w:t>(3)</w:t>
      </w:r>
      <w:r w:rsidRPr="00C9040A">
        <w:rPr>
          <w:rtl/>
          <w:lang w:bidi="fa-IR"/>
        </w:rPr>
        <w:t xml:space="preserve"> : </w:t>
      </w:r>
      <w:r w:rsidRPr="0003660B">
        <w:rPr>
          <w:rStyle w:val="libAlaemChar"/>
          <w:rtl/>
        </w:rPr>
        <w:t>(</w:t>
      </w:r>
      <w:r w:rsidRPr="006A2246">
        <w:rPr>
          <w:rStyle w:val="libAieChar"/>
          <w:rtl/>
        </w:rPr>
        <w:t xml:space="preserve"> فَمَنْ كانَ يَرْجُوا لِقاءَ رَبِّهِ فَلْيَعْمَلْ عَمَلاً صالِحاً وَلا يُشْرِكْ بِعِبادَةِ رَبِّهِ أَحَداً </w:t>
      </w:r>
      <w:r w:rsidRPr="0003660B">
        <w:rPr>
          <w:rStyle w:val="libAlaemChar"/>
          <w:rtl/>
        </w:rPr>
        <w:t>)</w:t>
      </w:r>
      <w:r w:rsidRPr="00C9040A">
        <w:rPr>
          <w:rtl/>
          <w:lang w:bidi="fa-IR"/>
        </w:rPr>
        <w:t xml:space="preserve"> </w:t>
      </w:r>
      <w:r w:rsidR="006C577F" w:rsidRPr="006C577F">
        <w:rPr>
          <w:rStyle w:val="libFootnotenumChar"/>
          <w:rtl/>
        </w:rPr>
        <w:t>(4)</w:t>
      </w:r>
      <w:r w:rsidRPr="00C9040A">
        <w:rPr>
          <w:rtl/>
          <w:lang w:bidi="fa-IR"/>
        </w:rPr>
        <w:t xml:space="preserve"> قَالَ : « الرَّجُلُ </w:t>
      </w:r>
      <w:r w:rsidR="006C577F" w:rsidRPr="006C577F">
        <w:rPr>
          <w:rStyle w:val="libFootnotenumChar"/>
          <w:rtl/>
        </w:rPr>
        <w:t>(5)</w:t>
      </w:r>
      <w:r w:rsidRPr="00C9040A">
        <w:rPr>
          <w:rtl/>
          <w:lang w:bidi="fa-IR"/>
        </w:rPr>
        <w:t xml:space="preserve"> يَعْمَلُ شَيْئاً مِنَ الثَّوَابِ </w:t>
      </w:r>
      <w:r w:rsidR="006C577F" w:rsidRPr="006C577F">
        <w:rPr>
          <w:rStyle w:val="libFootnotenumChar"/>
          <w:rtl/>
        </w:rPr>
        <w:t>(6)</w:t>
      </w:r>
      <w:r w:rsidRPr="005B567D">
        <w:rPr>
          <w:rStyle w:val="libFootnotenumChar"/>
          <w:rtl/>
        </w:rPr>
        <w:t xml:space="preserve"> </w:t>
      </w:r>
      <w:r w:rsidRPr="00C9040A">
        <w:rPr>
          <w:rtl/>
          <w:lang w:bidi="fa-IR"/>
        </w:rPr>
        <w:t xml:space="preserve">لَايَطْلُبُ بِهِ وَجْهَ اللهِ ، إِنَّمَا يَطْلُبُ </w:t>
      </w:r>
      <w:r w:rsidR="006C577F" w:rsidRPr="006C577F">
        <w:rPr>
          <w:rStyle w:val="libFootnotenumChar"/>
          <w:rtl/>
        </w:rPr>
        <w:t>(7)</w:t>
      </w:r>
      <w:r w:rsidRPr="00C9040A">
        <w:rPr>
          <w:rtl/>
          <w:lang w:bidi="fa-IR"/>
        </w:rPr>
        <w:t xml:space="preserve"> تَزْكِيَةَ النَّاسِ يَشْتَهِي أَنْ يُسْمِعَ بِهِ النَّاسَ </w:t>
      </w:r>
      <w:r w:rsidR="006C577F" w:rsidRPr="006C577F">
        <w:rPr>
          <w:rStyle w:val="libFootnotenumChar"/>
          <w:rtl/>
        </w:rPr>
        <w:t>(8)</w:t>
      </w:r>
      <w:r w:rsidRPr="00C9040A">
        <w:rPr>
          <w:rtl/>
          <w:lang w:bidi="fa-IR"/>
        </w:rPr>
        <w:t xml:space="preserve"> ، فَهذَا </w:t>
      </w:r>
      <w:r w:rsidR="006C577F" w:rsidRPr="006C577F">
        <w:rPr>
          <w:rStyle w:val="libFootnotenumChar"/>
          <w:rtl/>
        </w:rPr>
        <w:t>(9)</w:t>
      </w:r>
      <w:r w:rsidRPr="00C9040A">
        <w:rPr>
          <w:rtl/>
          <w:lang w:bidi="fa-IR"/>
        </w:rPr>
        <w:t xml:space="preserve"> الَّذِي أَشْرَكَ بِعِبَادَةِ رَبِّهِ »</w:t>
      </w:r>
      <w:r>
        <w:rPr>
          <w:rtl/>
          <w:lang w:bidi="fa-IR"/>
        </w:rPr>
        <w:t>.</w:t>
      </w:r>
    </w:p>
    <w:p w:rsidR="008A74EB" w:rsidRPr="00C9040A" w:rsidRDefault="008A74EB" w:rsidP="008A74EB">
      <w:pPr>
        <w:pStyle w:val="libNormal"/>
        <w:rPr>
          <w:rtl/>
          <w:lang w:bidi="fa-IR"/>
        </w:rPr>
      </w:pPr>
      <w:r w:rsidRPr="00C9040A">
        <w:rPr>
          <w:rtl/>
          <w:lang w:bidi="fa-IR"/>
        </w:rPr>
        <w:t xml:space="preserve">ثُمَّ قَالَ : « مَا مِنْ عَبْدٍ أَسَرَّ خَيْراً فَذَهَبَتِ </w:t>
      </w:r>
      <w:r w:rsidR="006C577F" w:rsidRPr="006C577F">
        <w:rPr>
          <w:rStyle w:val="libFootnotenumChar"/>
          <w:rtl/>
        </w:rPr>
        <w:t>(10)</w:t>
      </w:r>
      <w:r w:rsidRPr="00C9040A">
        <w:rPr>
          <w:rtl/>
          <w:lang w:bidi="fa-IR"/>
        </w:rPr>
        <w:t xml:space="preserve"> الْأَيَّامُ أَبَداً </w:t>
      </w:r>
      <w:r w:rsidR="006C577F" w:rsidRPr="006C577F">
        <w:rPr>
          <w:rStyle w:val="libFootnotenumChar"/>
          <w:rtl/>
        </w:rPr>
        <w:t>(11)</w:t>
      </w:r>
      <w:r w:rsidRPr="00C9040A">
        <w:rPr>
          <w:rtl/>
          <w:lang w:bidi="fa-IR"/>
        </w:rPr>
        <w:t xml:space="preserve"> حَتّى يُظْهِرَ اللهُ لَهُ خَيْراً ، وَمَا مِنْ عَبْدٍ يُسِرُّ شَرّاً فَذَهَبَتِ </w:t>
      </w:r>
      <w:r w:rsidR="006C577F" w:rsidRPr="006C577F">
        <w:rPr>
          <w:rStyle w:val="libFootnotenumChar"/>
          <w:rtl/>
        </w:rPr>
        <w:t>(12)</w:t>
      </w:r>
      <w:r w:rsidRPr="00C9040A">
        <w:rPr>
          <w:rtl/>
          <w:lang w:bidi="fa-IR"/>
        </w:rPr>
        <w:t xml:space="preserve"> الْأَيَّامُ </w:t>
      </w:r>
      <w:r w:rsidRPr="005B567D">
        <w:rPr>
          <w:rStyle w:val="libFootnotenumChar"/>
          <w:rtl/>
        </w:rPr>
        <w:t>(13)</w:t>
      </w:r>
      <w:r w:rsidRPr="00C9040A">
        <w:rPr>
          <w:rtl/>
          <w:lang w:bidi="fa-IR"/>
        </w:rPr>
        <w:t xml:space="preserve"> حَتّى يُظْهِرَ اللهُ لَهُ شَرّاً »</w:t>
      </w:r>
      <w:r>
        <w:rPr>
          <w:rtl/>
          <w:lang w:bidi="fa-IR"/>
        </w:rPr>
        <w:t>.</w:t>
      </w:r>
      <w:r w:rsidRPr="00C9040A">
        <w:rPr>
          <w:rtl/>
          <w:lang w:bidi="fa-IR"/>
        </w:rPr>
        <w:t xml:space="preserve"> </w:t>
      </w:r>
      <w:r w:rsidRPr="005B567D">
        <w:rPr>
          <w:rStyle w:val="libFootnotenumChar"/>
          <w:rtl/>
        </w:rPr>
        <w:t>(14)</w:t>
      </w:r>
      <w:r w:rsidRPr="00C9040A">
        <w:rPr>
          <w:rtl/>
          <w:lang w:bidi="fa-IR"/>
        </w:rPr>
        <w:t xml:space="preserve"> ‌</w:t>
      </w:r>
    </w:p>
    <w:p w:rsidR="008A74EB" w:rsidRPr="00C9040A" w:rsidRDefault="008A74EB" w:rsidP="008A74EB">
      <w:pPr>
        <w:pStyle w:val="libNormal"/>
        <w:rPr>
          <w:rtl/>
          <w:lang w:bidi="fa-IR"/>
        </w:rPr>
      </w:pPr>
      <w:r w:rsidRPr="00CD5876">
        <w:rPr>
          <w:rtl/>
        </w:rPr>
        <w:t>2491</w:t>
      </w:r>
      <w:r w:rsidRPr="00261CB0">
        <w:rPr>
          <w:rStyle w:val="libBold2Char"/>
          <w:rtl/>
        </w:rPr>
        <w:t xml:space="preserve"> / 5.</w:t>
      </w:r>
      <w:r w:rsidRPr="00C9040A">
        <w:rPr>
          <w:rtl/>
          <w:lang w:bidi="fa-IR"/>
        </w:rPr>
        <w:t xml:space="preserve"> عَلِيُّ بْنُ إِبْرَاهِيمَ ، عَنْ مُحَمَّدِ بْنِ عِيسَى بْنِ عُبَيْدٍ ، عَنْ مُحَمَّدِ بْنِ عَرَفَةَ ، قَالَ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20937">
        <w:rPr>
          <w:rStyle w:val="libFootnoteBoldChar"/>
          <w:rtl/>
        </w:rPr>
        <w:t>الزهد</w:t>
      </w:r>
      <w:r w:rsidR="008A74EB" w:rsidRPr="00C9040A">
        <w:rPr>
          <w:rtl/>
        </w:rPr>
        <w:t xml:space="preserve"> ، ص 134 ، ح 176 ، عن محمّد بن سنان ، عن يزيد بن خليفة. </w:t>
      </w:r>
      <w:r w:rsidR="008A74EB" w:rsidRPr="00993B55">
        <w:rPr>
          <w:rStyle w:val="libFootnoteBoldChar"/>
          <w:rtl/>
        </w:rPr>
        <w:t>علل الشرائع</w:t>
      </w:r>
      <w:r w:rsidR="008A74EB" w:rsidRPr="00C9040A">
        <w:rPr>
          <w:rtl/>
        </w:rPr>
        <w:t xml:space="preserve"> ، ص 560 ، ح 4 ، بسنده عن يزيد بن خليفة ، مع زيادة في أوّله. وفي </w:t>
      </w:r>
      <w:r w:rsidR="008A74EB" w:rsidRPr="00993B55">
        <w:rPr>
          <w:rStyle w:val="libFootnoteBoldChar"/>
          <w:rtl/>
        </w:rPr>
        <w:t>المحاسن</w:t>
      </w:r>
      <w:r w:rsidR="008A74EB" w:rsidRPr="00C9040A">
        <w:rPr>
          <w:rtl/>
        </w:rPr>
        <w:t xml:space="preserve"> ، ص 121 ، كتاب عقاب الأعمال ، ح 135 ؛ </w:t>
      </w:r>
      <w:r w:rsidR="008A74EB" w:rsidRPr="00C20937">
        <w:rPr>
          <w:rStyle w:val="libFootnoteBoldChar"/>
          <w:rtl/>
        </w:rPr>
        <w:t>و</w:t>
      </w:r>
      <w:r w:rsidR="008A74EB" w:rsidRPr="00993B55">
        <w:rPr>
          <w:rStyle w:val="libFootnoteBoldChar"/>
          <w:rtl/>
        </w:rPr>
        <w:t>ثواب الأعمال</w:t>
      </w:r>
      <w:r w:rsidR="008A74EB" w:rsidRPr="00C9040A">
        <w:rPr>
          <w:rtl/>
        </w:rPr>
        <w:t xml:space="preserve"> ، ص 289 ، ح 1 ، بسند آخر. </w:t>
      </w:r>
      <w:r w:rsidR="008A74EB" w:rsidRPr="00993B55">
        <w:rPr>
          <w:rStyle w:val="libFootnoteBoldChar"/>
          <w:rtl/>
        </w:rPr>
        <w:t>فقه الرضا</w:t>
      </w:r>
      <w:r w:rsidR="008A74EB" w:rsidRPr="00C9040A">
        <w:rPr>
          <w:rtl/>
        </w:rPr>
        <w:t xml:space="preserve"> </w:t>
      </w:r>
      <w:r w:rsidR="00117575" w:rsidRPr="00117575">
        <w:rPr>
          <w:rStyle w:val="libFootnoteAlaemChar"/>
          <w:rtl/>
        </w:rPr>
        <w:t>عليه‌السلام</w:t>
      </w:r>
      <w:r w:rsidR="008A74EB" w:rsidRPr="00C9040A">
        <w:rPr>
          <w:rtl/>
        </w:rPr>
        <w:t xml:space="preserve"> ، ص 387 ، وفي كلّها مع اختلاف يسير </w:t>
      </w:r>
      <w:r w:rsidR="00C20937">
        <w:rPr>
          <w:rFonts w:hint="cs"/>
          <w:rtl/>
        </w:rPr>
        <w:t>.</w:t>
      </w:r>
      <w:r w:rsidR="008A74EB" w:rsidRPr="00993B55">
        <w:rPr>
          <w:rStyle w:val="libFootnoteBoldChar"/>
          <w:rtl/>
        </w:rPr>
        <w:t>الوافي</w:t>
      </w:r>
      <w:r w:rsidR="008A74EB" w:rsidRPr="00C9040A">
        <w:rPr>
          <w:rtl/>
        </w:rPr>
        <w:t xml:space="preserve"> ، ج 5 ، ص 853 ، ح 3135 ؛ </w:t>
      </w:r>
      <w:r w:rsidR="008A74EB" w:rsidRPr="00993B55">
        <w:rPr>
          <w:rStyle w:val="libFootnoteBoldChar"/>
          <w:rtl/>
        </w:rPr>
        <w:t>الوسائل</w:t>
      </w:r>
      <w:r w:rsidR="008A74EB" w:rsidRPr="00C9040A">
        <w:rPr>
          <w:rtl/>
        </w:rPr>
        <w:t xml:space="preserve"> ، ج 1 ص 71 ، ح 157 ؛ </w:t>
      </w:r>
      <w:r w:rsidR="008A74EB" w:rsidRPr="00993B55">
        <w:rPr>
          <w:rStyle w:val="libFootnoteBoldChar"/>
          <w:rtl/>
        </w:rPr>
        <w:t>البحار</w:t>
      </w:r>
      <w:r w:rsidR="008A74EB" w:rsidRPr="00C9040A">
        <w:rPr>
          <w:rtl/>
        </w:rPr>
        <w:t xml:space="preserve"> ، ج 72 ، ص 281 ، ح 3.</w:t>
      </w:r>
    </w:p>
    <w:tbl>
      <w:tblPr>
        <w:tblStyle w:val="TableGrid"/>
        <w:bidiVisual/>
        <w:tblW w:w="0" w:type="auto"/>
        <w:tblLook w:val="04A0" w:firstRow="1" w:lastRow="0" w:firstColumn="1" w:lastColumn="0" w:noHBand="0" w:noVBand="1"/>
      </w:tblPr>
      <w:tblGrid>
        <w:gridCol w:w="4006"/>
        <w:gridCol w:w="4006"/>
      </w:tblGrid>
      <w:tr w:rsidR="00C20937" w:rsidTr="00C20937">
        <w:tc>
          <w:tcPr>
            <w:tcW w:w="4006" w:type="dxa"/>
          </w:tcPr>
          <w:p w:rsidR="00C20937" w:rsidRDefault="00C20937" w:rsidP="004A4E41">
            <w:pPr>
              <w:pStyle w:val="libFootnote0"/>
              <w:rPr>
                <w:rtl/>
              </w:rPr>
            </w:pPr>
            <w:r>
              <w:rPr>
                <w:rtl/>
              </w:rPr>
              <w:t>(2). في الزهد : «</w:t>
            </w:r>
            <w:r w:rsidRPr="00C9040A">
              <w:rPr>
                <w:rtl/>
              </w:rPr>
              <w:t>قال سألته عن » بدل « في »</w:t>
            </w:r>
            <w:r>
              <w:rPr>
                <w:rtl/>
              </w:rPr>
              <w:t>.</w:t>
            </w:r>
          </w:p>
        </w:tc>
        <w:tc>
          <w:tcPr>
            <w:tcW w:w="4006" w:type="dxa"/>
          </w:tcPr>
          <w:p w:rsidR="00C20937" w:rsidRDefault="00C20937" w:rsidP="004A4E41">
            <w:pPr>
              <w:pStyle w:val="libFootnote0"/>
              <w:rPr>
                <w:rtl/>
              </w:rPr>
            </w:pPr>
            <w:r>
              <w:rPr>
                <w:rtl/>
              </w:rPr>
              <w:t>(3). في«ه»:«قال في قوله» بدل «في قول الله عزّوجلّ</w:t>
            </w:r>
            <w:r w:rsidRPr="00C9040A">
              <w:rPr>
                <w:rtl/>
              </w:rPr>
              <w:t>»</w:t>
            </w:r>
            <w:r>
              <w:rPr>
                <w:rtl/>
              </w:rPr>
              <w:t>.</w:t>
            </w:r>
          </w:p>
        </w:tc>
      </w:tr>
      <w:tr w:rsidR="00C20937" w:rsidTr="00C20937">
        <w:tc>
          <w:tcPr>
            <w:tcW w:w="4006" w:type="dxa"/>
          </w:tcPr>
          <w:p w:rsidR="00C20937" w:rsidRDefault="00C20937" w:rsidP="004A4E41">
            <w:pPr>
              <w:pStyle w:val="libFootnote0"/>
              <w:rPr>
                <w:rtl/>
              </w:rPr>
            </w:pPr>
            <w:r>
              <w:rPr>
                <w:rtl/>
              </w:rPr>
              <w:t>(4).</w:t>
            </w:r>
            <w:r w:rsidRPr="00C9040A">
              <w:rPr>
                <w:rtl/>
              </w:rPr>
              <w:t xml:space="preserve"> الكهف (18) : 110.</w:t>
            </w:r>
          </w:p>
        </w:tc>
        <w:tc>
          <w:tcPr>
            <w:tcW w:w="4006" w:type="dxa"/>
          </w:tcPr>
          <w:p w:rsidR="00C20937" w:rsidRDefault="00C20937" w:rsidP="004A4E41">
            <w:pPr>
              <w:pStyle w:val="libFootnote0"/>
              <w:rPr>
                <w:rtl/>
              </w:rPr>
            </w:pPr>
            <w:r>
              <w:rPr>
                <w:rtl/>
              </w:rPr>
              <w:t>(5).</w:t>
            </w:r>
            <w:r w:rsidRPr="00C9040A">
              <w:rPr>
                <w:rtl/>
              </w:rPr>
              <w:t xml:space="preserve"> في الزهد : « هو العبد » بدل « الرجل »</w:t>
            </w:r>
            <w:r>
              <w:rPr>
                <w:rtl/>
              </w:rPr>
              <w:t>.</w:t>
            </w:r>
          </w:p>
        </w:tc>
      </w:tr>
      <w:tr w:rsidR="00C20937" w:rsidTr="00C20937">
        <w:tc>
          <w:tcPr>
            <w:tcW w:w="4006" w:type="dxa"/>
          </w:tcPr>
          <w:p w:rsidR="00C20937" w:rsidRDefault="00C20937" w:rsidP="004A4E41">
            <w:pPr>
              <w:pStyle w:val="libFootnote0"/>
              <w:rPr>
                <w:rtl/>
              </w:rPr>
            </w:pPr>
            <w:r>
              <w:rPr>
                <w:rtl/>
              </w:rPr>
              <w:t xml:space="preserve">(6). </w:t>
            </w:r>
            <w:r w:rsidRPr="00C9040A">
              <w:rPr>
                <w:rtl/>
              </w:rPr>
              <w:t>في الزهد : « الطاعات »</w:t>
            </w:r>
            <w:r>
              <w:rPr>
                <w:rtl/>
              </w:rPr>
              <w:t>.</w:t>
            </w:r>
          </w:p>
        </w:tc>
        <w:tc>
          <w:tcPr>
            <w:tcW w:w="4006" w:type="dxa"/>
          </w:tcPr>
          <w:p w:rsidR="00C20937" w:rsidRDefault="00C20937" w:rsidP="004A4E41">
            <w:pPr>
              <w:pStyle w:val="libFootnote0"/>
              <w:rPr>
                <w:rtl/>
              </w:rPr>
            </w:pPr>
            <w:r>
              <w:rPr>
                <w:rtl/>
              </w:rPr>
              <w:t>(7).</w:t>
            </w:r>
            <w:r w:rsidRPr="00C9040A">
              <w:rPr>
                <w:rtl/>
              </w:rPr>
              <w:t xml:space="preserve"> في الزهد : + « به »</w:t>
            </w:r>
            <w:r>
              <w:rPr>
                <w:rtl/>
              </w:rPr>
              <w:t>.</w:t>
            </w:r>
          </w:p>
        </w:tc>
      </w:tr>
      <w:tr w:rsidR="00C20937" w:rsidTr="00C20937">
        <w:tc>
          <w:tcPr>
            <w:tcW w:w="4006" w:type="dxa"/>
          </w:tcPr>
          <w:p w:rsidR="00C20937" w:rsidRDefault="00C20937" w:rsidP="004A4E41">
            <w:pPr>
              <w:pStyle w:val="libFootnote0"/>
              <w:rPr>
                <w:rtl/>
              </w:rPr>
            </w:pPr>
            <w:r>
              <w:rPr>
                <w:rtl/>
              </w:rPr>
              <w:t>(8).</w:t>
            </w:r>
            <w:r w:rsidRPr="00C9040A">
              <w:rPr>
                <w:rtl/>
              </w:rPr>
              <w:t xml:space="preserve"> في الزهد </w:t>
            </w:r>
            <w:r>
              <w:rPr>
                <w:rtl/>
              </w:rPr>
              <w:t>: -</w:t>
            </w:r>
            <w:r w:rsidRPr="00C9040A">
              <w:rPr>
                <w:rtl/>
              </w:rPr>
              <w:t xml:space="preserve"> « الناس »</w:t>
            </w:r>
            <w:r>
              <w:rPr>
                <w:rtl/>
              </w:rPr>
              <w:t>.</w:t>
            </w:r>
          </w:p>
        </w:tc>
        <w:tc>
          <w:tcPr>
            <w:tcW w:w="4006" w:type="dxa"/>
          </w:tcPr>
          <w:p w:rsidR="00C20937" w:rsidRDefault="00C20937" w:rsidP="004A4E41">
            <w:pPr>
              <w:pStyle w:val="libFootnote0"/>
              <w:rPr>
                <w:rtl/>
              </w:rPr>
            </w:pPr>
            <w:r>
              <w:rPr>
                <w:rtl/>
              </w:rPr>
              <w:t>(9).</w:t>
            </w:r>
            <w:r w:rsidRPr="00C9040A">
              <w:rPr>
                <w:rtl/>
              </w:rPr>
              <w:t xml:space="preserve"> في « بر » : « فهو »</w:t>
            </w:r>
            <w:r>
              <w:rPr>
                <w:rtl/>
              </w:rPr>
              <w:t>.</w:t>
            </w:r>
          </w:p>
        </w:tc>
      </w:tr>
      <w:tr w:rsidR="00C20937" w:rsidTr="00C20937">
        <w:tc>
          <w:tcPr>
            <w:tcW w:w="4006" w:type="dxa"/>
          </w:tcPr>
          <w:p w:rsidR="00C20937" w:rsidRDefault="00C20937" w:rsidP="004A4E41">
            <w:pPr>
              <w:pStyle w:val="libFootnote0"/>
              <w:rPr>
                <w:rtl/>
              </w:rPr>
            </w:pPr>
            <w:r>
              <w:rPr>
                <w:rtl/>
              </w:rPr>
              <w:t>(10).</w:t>
            </w:r>
            <w:r w:rsidRPr="00C9040A">
              <w:rPr>
                <w:rtl/>
              </w:rPr>
              <w:t xml:space="preserve"> في الزهد : « فتذهب »</w:t>
            </w:r>
            <w:r>
              <w:rPr>
                <w:rtl/>
              </w:rPr>
              <w:t>.</w:t>
            </w:r>
          </w:p>
        </w:tc>
        <w:tc>
          <w:tcPr>
            <w:tcW w:w="4006" w:type="dxa"/>
          </w:tcPr>
          <w:p w:rsidR="00C20937" w:rsidRDefault="00C20937" w:rsidP="004A4E41">
            <w:pPr>
              <w:pStyle w:val="libFootnote0"/>
              <w:rPr>
                <w:rtl/>
              </w:rPr>
            </w:pPr>
            <w:r>
              <w:rPr>
                <w:rtl/>
              </w:rPr>
              <w:t>(11).</w:t>
            </w:r>
            <w:r w:rsidRPr="00C9040A">
              <w:rPr>
                <w:rtl/>
              </w:rPr>
              <w:t xml:space="preserve"> في الزهد » </w:t>
            </w:r>
            <w:r>
              <w:rPr>
                <w:rtl/>
              </w:rPr>
              <w:t>: -</w:t>
            </w:r>
            <w:r w:rsidRPr="00C9040A">
              <w:rPr>
                <w:rtl/>
              </w:rPr>
              <w:t xml:space="preserve"> « أبداً »</w:t>
            </w:r>
            <w:r>
              <w:rPr>
                <w:rtl/>
              </w:rPr>
              <w:t>.</w:t>
            </w:r>
          </w:p>
        </w:tc>
      </w:tr>
    </w:tbl>
    <w:p w:rsidR="008A74EB" w:rsidRPr="00C9040A" w:rsidRDefault="006C577F" w:rsidP="004A4E41">
      <w:pPr>
        <w:pStyle w:val="libFootnote0"/>
        <w:rPr>
          <w:rtl/>
          <w:lang w:bidi="fa-IR"/>
        </w:rPr>
      </w:pPr>
      <w:r>
        <w:rPr>
          <w:rtl/>
        </w:rPr>
        <w:t>(12).</w:t>
      </w:r>
      <w:r w:rsidR="008A74EB" w:rsidRPr="00C9040A">
        <w:rPr>
          <w:rtl/>
        </w:rPr>
        <w:t xml:space="preserve"> في الزهد : « وما من عبد أسرّ شرّاً فتذهب »</w:t>
      </w:r>
      <w:r w:rsidR="008A74EB">
        <w:rPr>
          <w:rtl/>
        </w:rPr>
        <w:t>.</w:t>
      </w:r>
    </w:p>
    <w:p w:rsidR="008A74EB" w:rsidRPr="00C9040A" w:rsidRDefault="008A74EB" w:rsidP="004A4E41">
      <w:pPr>
        <w:pStyle w:val="libFootnote0"/>
        <w:rPr>
          <w:rtl/>
          <w:lang w:bidi="fa-IR"/>
        </w:rPr>
      </w:pPr>
      <w:r>
        <w:rPr>
          <w:rtl/>
        </w:rPr>
        <w:t>(13)</w:t>
      </w:r>
      <w:r w:rsidRPr="00C9040A">
        <w:rPr>
          <w:rtl/>
        </w:rPr>
        <w:t xml:space="preserve"> هكذا في النسخ التي قوبلت وشرح المازندراني والوافي والوسائل والبحار والزهد. وفي المطبوع : + « أبداً »</w:t>
      </w:r>
      <w:r>
        <w:rPr>
          <w:rtl/>
        </w:rPr>
        <w:t>.</w:t>
      </w:r>
    </w:p>
    <w:p w:rsidR="008A74EB" w:rsidRPr="00C9040A" w:rsidRDefault="008A74EB" w:rsidP="004A4E41">
      <w:pPr>
        <w:pStyle w:val="libFootnote0"/>
        <w:rPr>
          <w:rtl/>
          <w:lang w:bidi="fa-IR"/>
        </w:rPr>
      </w:pPr>
      <w:r>
        <w:rPr>
          <w:rtl/>
        </w:rPr>
        <w:t>(14)</w:t>
      </w:r>
      <w:r w:rsidRPr="00C9040A">
        <w:rPr>
          <w:rtl/>
        </w:rPr>
        <w:t xml:space="preserve"> </w:t>
      </w:r>
      <w:r w:rsidRPr="00993B55">
        <w:rPr>
          <w:rStyle w:val="libFootnoteBoldChar"/>
          <w:rtl/>
        </w:rPr>
        <w:t>الزهد</w:t>
      </w:r>
      <w:r w:rsidRPr="00C9040A">
        <w:rPr>
          <w:rtl/>
        </w:rPr>
        <w:t xml:space="preserve"> ، ص 136 ، ح 180 ، عن النضربن سويد. </w:t>
      </w:r>
      <w:r w:rsidRPr="00993B55">
        <w:rPr>
          <w:rStyle w:val="libFootnoteBoldChar"/>
          <w:rtl/>
        </w:rPr>
        <w:t>تفسير العيّاشي</w:t>
      </w:r>
      <w:r w:rsidRPr="00C9040A">
        <w:rPr>
          <w:rtl/>
        </w:rPr>
        <w:t xml:space="preserve"> ، ج 2 ، ص 352 ، ح 93 ، عن جرّاح ؛ </w:t>
      </w:r>
      <w:r w:rsidRPr="00993B55">
        <w:rPr>
          <w:rStyle w:val="libFootnoteBoldChar"/>
          <w:rtl/>
        </w:rPr>
        <w:t>فقه الرضا</w:t>
      </w:r>
      <w:r w:rsidRPr="00C9040A">
        <w:rPr>
          <w:rtl/>
        </w:rPr>
        <w:t xml:space="preserve"> </w:t>
      </w:r>
      <w:r w:rsidR="00117575" w:rsidRPr="00117575">
        <w:rPr>
          <w:rStyle w:val="libFootnoteAlaemChar"/>
          <w:rtl/>
        </w:rPr>
        <w:t>عليه‌السلام</w:t>
      </w:r>
      <w:r w:rsidRPr="00C9040A">
        <w:rPr>
          <w:rtl/>
        </w:rPr>
        <w:t xml:space="preserve"> ، ص 387 ، مع زيادة في آخره ، وفيهما إلى قوله : « فهذا الذي أشرك بعبادة ربّه » ؛ </w:t>
      </w:r>
      <w:r w:rsidRPr="00993B55">
        <w:rPr>
          <w:rStyle w:val="libFootnoteBoldChar"/>
          <w:rtl/>
        </w:rPr>
        <w:t>وفيه</w:t>
      </w:r>
      <w:r w:rsidRPr="00C9040A">
        <w:rPr>
          <w:rtl/>
        </w:rPr>
        <w:t xml:space="preserve"> ، ص 388 ، من قوله : « ما من عبد أسرّ خيراً » ، وفي الثلاثة الأخيرة مع اختلاف يسير </w:t>
      </w:r>
      <w:r w:rsidR="00796607">
        <w:rPr>
          <w:rFonts w:hint="cs"/>
          <w:rtl/>
        </w:rPr>
        <w:t>.</w:t>
      </w:r>
      <w:r w:rsidRPr="00993B55">
        <w:rPr>
          <w:rStyle w:val="libFootnoteBoldChar"/>
          <w:rtl/>
        </w:rPr>
        <w:t>الوافي</w:t>
      </w:r>
      <w:r w:rsidRPr="00C9040A">
        <w:rPr>
          <w:rtl/>
        </w:rPr>
        <w:t xml:space="preserve"> ، ج 5 ، ص 853 ، ح 3136 ؛ </w:t>
      </w:r>
      <w:r w:rsidRPr="00993B55">
        <w:rPr>
          <w:rStyle w:val="libFootnoteBoldChar"/>
          <w:rtl/>
        </w:rPr>
        <w:t>الوسائل</w:t>
      </w:r>
      <w:r w:rsidRPr="00C9040A">
        <w:rPr>
          <w:rtl/>
        </w:rPr>
        <w:t xml:space="preserve"> ، ج 1 ، ص 71 ، ح 159 ؛ </w:t>
      </w:r>
      <w:r w:rsidRPr="00993B55">
        <w:rPr>
          <w:rStyle w:val="libFootnoteBoldChar"/>
          <w:rtl/>
        </w:rPr>
        <w:t>البحار</w:t>
      </w:r>
      <w:r w:rsidRPr="00C9040A">
        <w:rPr>
          <w:rtl/>
        </w:rPr>
        <w:t xml:space="preserve"> ، ج 72 ، ص 281 ، ح 4 ؛ وج 84 ، ص 348.</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قَالَ لِيَ </w:t>
      </w:r>
      <w:r w:rsidR="006C577F" w:rsidRPr="006C577F">
        <w:rPr>
          <w:rStyle w:val="libFootnotenumChar"/>
          <w:rtl/>
        </w:rPr>
        <w:t>(1)</w:t>
      </w:r>
      <w:r w:rsidRPr="00C9040A">
        <w:rPr>
          <w:rtl/>
          <w:lang w:bidi="fa-IR"/>
        </w:rPr>
        <w:t xml:space="preserve"> الرِّضَا </w:t>
      </w:r>
      <w:r w:rsidRPr="0003660B">
        <w:rPr>
          <w:rStyle w:val="libAlaemChar"/>
          <w:rtl/>
        </w:rPr>
        <w:t>عليه‌السلام</w:t>
      </w:r>
      <w:r w:rsidRPr="00C9040A">
        <w:rPr>
          <w:rtl/>
          <w:lang w:bidi="fa-IR"/>
        </w:rPr>
        <w:t xml:space="preserve"> : « وَيْحَكَ ، يَا ابْنَ عَرَفَةَ ، اعْمَلُوا لِغَيْرِ رِيَاءٍ وَلَاسُمْعَةٍ ؛ فَإِنَّهُ مَنْ عَمِلَ لِغَيْرِ اللهِ وَكَلَهُ اللهُ إِلى مَا عَمِلَ </w:t>
      </w:r>
      <w:r w:rsidR="006C577F" w:rsidRPr="006C577F">
        <w:rPr>
          <w:rStyle w:val="libFootnotenumChar"/>
          <w:rtl/>
        </w:rPr>
        <w:t>(2)</w:t>
      </w:r>
      <w:r w:rsidRPr="00C9040A">
        <w:rPr>
          <w:rtl/>
          <w:lang w:bidi="fa-IR"/>
        </w:rPr>
        <w:t xml:space="preserve"> ؛ وَيْحَكَ ، </w:t>
      </w:r>
      <w:r w:rsidR="00796607">
        <w:rPr>
          <w:rtl/>
          <w:lang w:bidi="fa-IR"/>
        </w:rPr>
        <w:t>مَا عَمِلَ أَحَدٌ عَمَلاً إِل</w:t>
      </w:r>
      <w:r w:rsidR="00796607">
        <w:rPr>
          <w:rFonts w:hint="cs"/>
          <w:rtl/>
          <w:lang w:bidi="fa-IR"/>
        </w:rPr>
        <w:t>َّ</w:t>
      </w:r>
      <w:r w:rsidR="00796607">
        <w:rPr>
          <w:rtl/>
          <w:lang w:bidi="fa-IR"/>
        </w:rPr>
        <w:t>ا</w:t>
      </w:r>
      <w:r w:rsidRPr="00C9040A">
        <w:rPr>
          <w:rtl/>
          <w:lang w:bidi="fa-IR"/>
        </w:rPr>
        <w:t xml:space="preserve"> رَدَّاهُ </w:t>
      </w:r>
      <w:r w:rsidR="006C577F" w:rsidRPr="006C577F">
        <w:rPr>
          <w:rStyle w:val="libFootnotenumChar"/>
          <w:rtl/>
        </w:rPr>
        <w:t>(3)</w:t>
      </w:r>
      <w:r w:rsidRPr="00C9040A">
        <w:rPr>
          <w:rtl/>
          <w:lang w:bidi="fa-IR"/>
        </w:rPr>
        <w:t xml:space="preserve"> اللهُ </w:t>
      </w:r>
      <w:r w:rsidR="006C577F" w:rsidRPr="006C577F">
        <w:rPr>
          <w:rStyle w:val="libFootnotenumChar"/>
          <w:rtl/>
        </w:rPr>
        <w:t>(4)</w:t>
      </w:r>
      <w:r w:rsidRPr="00C9040A">
        <w:rPr>
          <w:rtl/>
          <w:lang w:bidi="fa-IR"/>
        </w:rPr>
        <w:t xml:space="preserve"> ، إِنْ خَيْراً فَخَيْرٌ</w:t>
      </w:r>
      <w:r w:rsidR="006C577F" w:rsidRPr="006C577F">
        <w:rPr>
          <w:rStyle w:val="libFootnotenumChar"/>
          <w:rtl/>
        </w:rPr>
        <w:t>(5)</w:t>
      </w:r>
      <w:r w:rsidRPr="00C9040A">
        <w:rPr>
          <w:rtl/>
          <w:lang w:bidi="fa-IR"/>
        </w:rPr>
        <w:t xml:space="preserve"> ، وَإِنْ شَرّاً فَشَرٌّ </w:t>
      </w:r>
      <w:r w:rsidR="006C577F" w:rsidRPr="006C577F">
        <w:rPr>
          <w:rStyle w:val="libFootnotenumChar"/>
          <w:rtl/>
        </w:rPr>
        <w:t>(6)</w:t>
      </w:r>
      <w:r w:rsidRPr="005B567D">
        <w:rPr>
          <w:rStyle w:val="libFootnotenumChar"/>
          <w:rtl/>
        </w:rPr>
        <w:t xml:space="preserve"> </w:t>
      </w:r>
      <w:r w:rsidRPr="00C9040A">
        <w:rPr>
          <w:rtl/>
          <w:lang w:bidi="fa-IR"/>
        </w:rPr>
        <w:t>»</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CD5876">
        <w:rPr>
          <w:rtl/>
        </w:rPr>
        <w:t>2492</w:t>
      </w:r>
      <w:r w:rsidRPr="00261CB0">
        <w:rPr>
          <w:rStyle w:val="libBold2Char"/>
          <w:rtl/>
        </w:rPr>
        <w:t xml:space="preserve"> / 6.</w:t>
      </w:r>
      <w:r w:rsidRPr="00C9040A">
        <w:rPr>
          <w:rtl/>
          <w:lang w:bidi="fa-IR"/>
        </w:rPr>
        <w:t xml:space="preserve"> مُحَمَّدُ بْنُ يَحْيى ، عَنْ أَحْمَدَ بْنِ مُحَمَّدٍ ، عَنْ عَلِيِّ بْنِ الْحَكَمِ ، عَنْ عُمَرَ بْنِ يَزِيدَ ، قَالَ :</w:t>
      </w:r>
    </w:p>
    <w:p w:rsidR="008A74EB" w:rsidRPr="00C9040A" w:rsidRDefault="008A74EB" w:rsidP="008A74EB">
      <w:pPr>
        <w:pStyle w:val="libNormal"/>
        <w:rPr>
          <w:rtl/>
          <w:lang w:bidi="fa-IR"/>
        </w:rPr>
      </w:pPr>
      <w:r w:rsidRPr="00C9040A">
        <w:rPr>
          <w:rtl/>
          <w:lang w:bidi="fa-IR"/>
        </w:rPr>
        <w:t xml:space="preserve">إِنِّي لَأَتَعَشَّى مَعَ </w:t>
      </w:r>
      <w:r w:rsidR="006C577F" w:rsidRPr="006C577F">
        <w:rPr>
          <w:rStyle w:val="libFootnotenumChar"/>
          <w:rtl/>
        </w:rPr>
        <w:t>(8)</w:t>
      </w:r>
      <w:r w:rsidRPr="00C9040A">
        <w:rPr>
          <w:rtl/>
          <w:lang w:bidi="fa-IR"/>
        </w:rPr>
        <w:t xml:space="preserve"> أَبِي عَبْدِ اللهِ </w:t>
      </w:r>
      <w:r w:rsidRPr="0003660B">
        <w:rPr>
          <w:rStyle w:val="libAlaemChar"/>
          <w:rtl/>
        </w:rPr>
        <w:t>عليه‌السلام</w:t>
      </w:r>
      <w:r w:rsidRPr="00C9040A">
        <w:rPr>
          <w:rtl/>
          <w:lang w:bidi="fa-IR"/>
        </w:rPr>
        <w:t xml:space="preserve"> إِذْ تَلَا هذِهِ الْآيَةَ : </w:t>
      </w:r>
      <w:r w:rsidRPr="0003660B">
        <w:rPr>
          <w:rStyle w:val="libAlaemChar"/>
          <w:rtl/>
        </w:rPr>
        <w:t>(</w:t>
      </w:r>
      <w:r w:rsidRPr="006A2246">
        <w:rPr>
          <w:rStyle w:val="libAieChar"/>
          <w:rtl/>
        </w:rPr>
        <w:t xml:space="preserve"> بَلِ الْإِنْسانُ عَلى نَفْسِهِ بَصِيرَةٌ </w:t>
      </w:r>
      <w:r w:rsidR="00796607">
        <w:rPr>
          <w:rStyle w:val="libAieChar"/>
          <w:rFonts w:hint="cs"/>
          <w:rtl/>
        </w:rPr>
        <w:t xml:space="preserve">* </w:t>
      </w:r>
      <w:r w:rsidRPr="006A2246">
        <w:rPr>
          <w:rStyle w:val="libAieChar"/>
          <w:rtl/>
        </w:rPr>
        <w:t xml:space="preserve">وَلَوْ أَلْقى مَعاذِيرَهُ </w:t>
      </w:r>
      <w:r w:rsidRPr="0003660B">
        <w:rPr>
          <w:rStyle w:val="libAlaemChar"/>
          <w:rtl/>
        </w:rPr>
        <w:t>)</w:t>
      </w:r>
      <w:r w:rsidRPr="00C9040A">
        <w:rPr>
          <w:rtl/>
          <w:lang w:bidi="fa-IR"/>
        </w:rPr>
        <w:t xml:space="preserve"> </w:t>
      </w:r>
      <w:r w:rsidR="006C577F" w:rsidRPr="006C577F">
        <w:rPr>
          <w:rStyle w:val="libFootnotenumChar"/>
          <w:rtl/>
        </w:rPr>
        <w:t>(9)</w:t>
      </w:r>
      <w:r w:rsidRPr="00C9040A">
        <w:rPr>
          <w:rtl/>
          <w:lang w:bidi="fa-IR"/>
        </w:rPr>
        <w:t xml:space="preserve"> : « يَا أَبَا حَفْصٍ </w:t>
      </w:r>
      <w:r w:rsidR="006C577F" w:rsidRPr="006C577F">
        <w:rPr>
          <w:rStyle w:val="libFootnotenumChar"/>
          <w:rtl/>
        </w:rPr>
        <w:t>(10)</w:t>
      </w:r>
      <w:r w:rsidRPr="00C9040A">
        <w:rPr>
          <w:rtl/>
          <w:lang w:bidi="fa-IR"/>
        </w:rPr>
        <w:t xml:space="preserve"> ، مَا يَصْنَعُ الْإِنْسَانُ أَنْ يَتَقَرَّبَ إِلَى اللهِ</w:t>
      </w:r>
      <w:r>
        <w:rPr>
          <w:rtl/>
          <w:lang w:bidi="fa-IR"/>
        </w:rPr>
        <w:t xml:space="preserve"> </w:t>
      </w:r>
      <w:r w:rsidR="0084262C">
        <w:rPr>
          <w:rtl/>
          <w:lang w:bidi="fa-IR"/>
        </w:rPr>
        <w:t>-</w:t>
      </w:r>
      <w:r>
        <w:rPr>
          <w:rtl/>
          <w:lang w:bidi="fa-IR"/>
        </w:rPr>
        <w:t xml:space="preserve"> </w:t>
      </w:r>
      <w:r w:rsidRPr="00C9040A">
        <w:rPr>
          <w:rtl/>
          <w:lang w:bidi="fa-IR"/>
        </w:rPr>
        <w:t xml:space="preserve">عَزَّ وَجَلَّ </w:t>
      </w:r>
      <w:r w:rsidR="006C577F" w:rsidRPr="006C577F">
        <w:rPr>
          <w:rStyle w:val="libFootnotenumChar"/>
          <w:rtl/>
        </w:rPr>
        <w:t>(11)</w:t>
      </w:r>
      <w:r>
        <w:rPr>
          <w:rtl/>
          <w:lang w:bidi="fa-IR"/>
        </w:rPr>
        <w:t xml:space="preserve"> </w:t>
      </w:r>
      <w:r w:rsidR="0084262C">
        <w:rPr>
          <w:rtl/>
          <w:lang w:bidi="fa-IR"/>
        </w:rPr>
        <w:t>-</w:t>
      </w:r>
      <w:r>
        <w:rPr>
          <w:rtl/>
          <w:lang w:bidi="fa-IR"/>
        </w:rPr>
        <w:t xml:space="preserve"> </w:t>
      </w:r>
      <w:r w:rsidRPr="00C9040A">
        <w:rPr>
          <w:rtl/>
          <w:lang w:bidi="fa-IR"/>
        </w:rPr>
        <w:t>بِخِلَافِ مَا يَعْلَمُ اللهُ تَعَالى</w:t>
      </w:r>
      <w:r>
        <w:rPr>
          <w:rtl/>
          <w:lang w:bidi="fa-IR"/>
        </w:rPr>
        <w:t>؟!</w:t>
      </w:r>
      <w:r w:rsidRPr="00C9040A">
        <w:rPr>
          <w:rtl/>
          <w:lang w:bidi="fa-IR"/>
        </w:rPr>
        <w:t xml:space="preserve"> إِنَّ رَسُولَ اللهِ </w:t>
      </w:r>
      <w:r w:rsidR="004A4E41" w:rsidRPr="004A4E41">
        <w:rPr>
          <w:rStyle w:val="libAlaemChar"/>
          <w:rtl/>
        </w:rPr>
        <w:t>صلى‌الله‌عليه‌وآله</w:t>
      </w:r>
      <w:r w:rsidRPr="00C9040A">
        <w:rPr>
          <w:rtl/>
          <w:lang w:bidi="fa-IR"/>
        </w:rPr>
        <w:t xml:space="preserve"> كَانَ يَقُولُ : مَنْ أَسَرَّ سَرِيرَةً رَدَّاهُ اللهُ </w:t>
      </w:r>
      <w:r w:rsidR="006C577F" w:rsidRPr="006C577F">
        <w:rPr>
          <w:rStyle w:val="libFootnotenumChar"/>
          <w:rtl/>
        </w:rPr>
        <w:t>(12)</w:t>
      </w:r>
      <w:r w:rsidRPr="00C9040A">
        <w:rPr>
          <w:rtl/>
          <w:lang w:bidi="fa-IR"/>
        </w:rPr>
        <w:t xml:space="preserve"> رِدَاءَهَا ، إِنْ خَيْراً فَخَيْرٌ </w:t>
      </w:r>
      <w:r w:rsidRPr="005B567D">
        <w:rPr>
          <w:rStyle w:val="libFootnotenumChar"/>
          <w:rtl/>
        </w:rPr>
        <w:t>(13)</w:t>
      </w:r>
      <w:r w:rsidRPr="00C9040A">
        <w:rPr>
          <w:rtl/>
          <w:lang w:bidi="fa-IR"/>
        </w:rPr>
        <w:t xml:space="preserve"> ، وَإِنْ شَرّاً فَشَرٌّ </w:t>
      </w:r>
      <w:r w:rsidRPr="005B567D">
        <w:rPr>
          <w:rStyle w:val="libFootnotenumChar"/>
          <w:rtl/>
        </w:rPr>
        <w:t>(14)</w:t>
      </w:r>
      <w:r w:rsidRPr="00C9040A">
        <w:rPr>
          <w:rtl/>
          <w:lang w:bidi="fa-IR"/>
        </w:rPr>
        <w:t xml:space="preserve"> »</w:t>
      </w:r>
      <w:r>
        <w:rPr>
          <w:rtl/>
          <w:lang w:bidi="fa-IR"/>
        </w:rPr>
        <w:t>.</w:t>
      </w:r>
      <w:r w:rsidRPr="00C9040A">
        <w:rPr>
          <w:rtl/>
          <w:lang w:bidi="fa-IR"/>
        </w:rPr>
        <w:t xml:space="preserve"> </w:t>
      </w:r>
      <w:r w:rsidRPr="005B567D">
        <w:rPr>
          <w:rStyle w:val="libFootnotenumChar"/>
          <w:rtl/>
        </w:rPr>
        <w:t>(15)</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796607" w:rsidTr="00796607">
        <w:tc>
          <w:tcPr>
            <w:tcW w:w="4006" w:type="dxa"/>
          </w:tcPr>
          <w:p w:rsidR="00796607" w:rsidRDefault="00796607" w:rsidP="004A4E41">
            <w:pPr>
              <w:pStyle w:val="libFootnote0"/>
              <w:rPr>
                <w:rtl/>
              </w:rPr>
            </w:pPr>
            <w:r>
              <w:rPr>
                <w:rtl/>
              </w:rPr>
              <w:t xml:space="preserve">(1). </w:t>
            </w:r>
            <w:r w:rsidRPr="00C9040A">
              <w:rPr>
                <w:rtl/>
              </w:rPr>
              <w:t xml:space="preserve">في « </w:t>
            </w:r>
            <w:r>
              <w:rPr>
                <w:rtl/>
              </w:rPr>
              <w:t xml:space="preserve">ه </w:t>
            </w:r>
            <w:r w:rsidRPr="00C9040A">
              <w:rPr>
                <w:rtl/>
              </w:rPr>
              <w:t xml:space="preserve">» </w:t>
            </w:r>
            <w:r>
              <w:rPr>
                <w:rtl/>
              </w:rPr>
              <w:t>: -</w:t>
            </w:r>
            <w:r w:rsidRPr="00C9040A">
              <w:rPr>
                <w:rtl/>
              </w:rPr>
              <w:t xml:space="preserve"> « لي »</w:t>
            </w:r>
            <w:r>
              <w:rPr>
                <w:rtl/>
              </w:rPr>
              <w:t>.</w:t>
            </w:r>
          </w:p>
        </w:tc>
        <w:tc>
          <w:tcPr>
            <w:tcW w:w="4006" w:type="dxa"/>
          </w:tcPr>
          <w:p w:rsidR="00796607" w:rsidRDefault="00796607" w:rsidP="004A4E41">
            <w:pPr>
              <w:pStyle w:val="libFootnote0"/>
              <w:rPr>
                <w:rtl/>
              </w:rPr>
            </w:pPr>
            <w:r>
              <w:rPr>
                <w:rtl/>
              </w:rPr>
              <w:t xml:space="preserve">(2). </w:t>
            </w:r>
            <w:r w:rsidRPr="00C9040A">
              <w:rPr>
                <w:rtl/>
              </w:rPr>
              <w:t>في مرآة العقول والبحار : « من عمل »</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في </w:t>
      </w:r>
      <w:r w:rsidR="008A74EB" w:rsidRPr="00993B55">
        <w:rPr>
          <w:rStyle w:val="libFootnoteBoldChar"/>
          <w:rtl/>
        </w:rPr>
        <w:t>مرآة العقول</w:t>
      </w:r>
      <w:r w:rsidR="008A74EB" w:rsidRPr="00C9040A">
        <w:rPr>
          <w:rtl/>
        </w:rPr>
        <w:t xml:space="preserve"> ، ج 10 ، ص 107 : « ردّاه تردية : ألبسه الرداء ، أي يلبسه الله رداءاً ؛ فإنّه يلبس فوق الثياب ولايكون مستوراً بثوب آخر</w:t>
      </w:r>
      <w:r w:rsidR="008A74EB">
        <w:rPr>
          <w:rtl/>
        </w:rPr>
        <w:t xml:space="preserve"> ..</w:t>
      </w:r>
      <w:r w:rsidR="008A74EB" w:rsidRPr="00C9040A">
        <w:rPr>
          <w:rtl/>
        </w:rPr>
        <w:t>. وربّما يقرأ : ردأه ، بالتخفيف والهمز. يقال : رداه به ، أي جعله له ردءاً وقوّة وعماداً » ونسبه إلى الخبط والتصحيف.</w:t>
      </w:r>
    </w:p>
    <w:p w:rsidR="008A74EB" w:rsidRPr="00C9040A" w:rsidRDefault="006C577F" w:rsidP="004A4E41">
      <w:pPr>
        <w:pStyle w:val="libFootnote0"/>
        <w:rPr>
          <w:rtl/>
          <w:lang w:bidi="fa-IR"/>
        </w:rPr>
      </w:pPr>
      <w:r>
        <w:rPr>
          <w:rtl/>
        </w:rPr>
        <w:t>(4).</w:t>
      </w:r>
      <w:r w:rsidR="008A74EB" w:rsidRPr="00C9040A">
        <w:rPr>
          <w:rtl/>
        </w:rPr>
        <w:t xml:space="preserve"> في « ب ، ج ، د ، ز ، بر ، بس ، بف » والوافي ومرآة العقول والوسائل والبحار : + « به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ب ، </w:t>
      </w:r>
      <w:r w:rsidR="006D3162">
        <w:rPr>
          <w:rtl/>
        </w:rPr>
        <w:t xml:space="preserve">ه </w:t>
      </w:r>
      <w:r w:rsidR="008A74EB" w:rsidRPr="00C9040A">
        <w:rPr>
          <w:rtl/>
        </w:rPr>
        <w:t>» وشرح المازندراني ومرآة العقول : « فخيراً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 ب ، </w:t>
      </w:r>
      <w:r w:rsidR="006D3162">
        <w:rPr>
          <w:rtl/>
        </w:rPr>
        <w:t xml:space="preserve">ه </w:t>
      </w:r>
      <w:r w:rsidR="008A74EB" w:rsidRPr="00C9040A">
        <w:rPr>
          <w:rtl/>
        </w:rPr>
        <w:t>» وشرح المازندراني ومرآة العقول : « فشرّاً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الوافي</w:t>
      </w:r>
      <w:r w:rsidR="008A74EB" w:rsidRPr="00C9040A">
        <w:rPr>
          <w:rtl/>
        </w:rPr>
        <w:t xml:space="preserve"> ، ج 5 ، ص 854 ، ح 3138 ؛ </w:t>
      </w:r>
      <w:r w:rsidR="008A74EB" w:rsidRPr="00993B55">
        <w:rPr>
          <w:rStyle w:val="libFootnoteBoldChar"/>
          <w:rtl/>
        </w:rPr>
        <w:t>الوسائل</w:t>
      </w:r>
      <w:r w:rsidR="008A74EB" w:rsidRPr="00C9040A">
        <w:rPr>
          <w:rtl/>
        </w:rPr>
        <w:t xml:space="preserve"> ، ج 1 ، ص 66 ، ح 145 ؛ </w:t>
      </w:r>
      <w:r w:rsidR="008A74EB" w:rsidRPr="00993B55">
        <w:rPr>
          <w:rStyle w:val="libFootnoteBoldChar"/>
          <w:rtl/>
        </w:rPr>
        <w:t>البحار</w:t>
      </w:r>
      <w:r w:rsidR="008A74EB" w:rsidRPr="00C9040A">
        <w:rPr>
          <w:rtl/>
        </w:rPr>
        <w:t xml:space="preserve"> ، ج 72 ، ص 284 ، ح 5.</w:t>
      </w:r>
    </w:p>
    <w:tbl>
      <w:tblPr>
        <w:tblStyle w:val="TableGrid"/>
        <w:bidiVisual/>
        <w:tblW w:w="0" w:type="auto"/>
        <w:tblLook w:val="04A0" w:firstRow="1" w:lastRow="0" w:firstColumn="1" w:lastColumn="0" w:noHBand="0" w:noVBand="1"/>
      </w:tblPr>
      <w:tblGrid>
        <w:gridCol w:w="4006"/>
        <w:gridCol w:w="4006"/>
      </w:tblGrid>
      <w:tr w:rsidR="00796607" w:rsidTr="00796607">
        <w:tc>
          <w:tcPr>
            <w:tcW w:w="4006" w:type="dxa"/>
          </w:tcPr>
          <w:p w:rsidR="00796607" w:rsidRDefault="00796607" w:rsidP="004A4E41">
            <w:pPr>
              <w:pStyle w:val="libFootnote0"/>
              <w:rPr>
                <w:rtl/>
              </w:rPr>
            </w:pPr>
            <w:r>
              <w:rPr>
                <w:rtl/>
              </w:rPr>
              <w:t>(8).</w:t>
            </w:r>
            <w:r w:rsidRPr="00C9040A">
              <w:rPr>
                <w:rtl/>
              </w:rPr>
              <w:t xml:space="preserve"> في البحار : « عند »</w:t>
            </w:r>
            <w:r>
              <w:rPr>
                <w:rtl/>
              </w:rPr>
              <w:t>.</w:t>
            </w:r>
          </w:p>
        </w:tc>
        <w:tc>
          <w:tcPr>
            <w:tcW w:w="4006" w:type="dxa"/>
          </w:tcPr>
          <w:p w:rsidR="00796607" w:rsidRDefault="00796607" w:rsidP="004A4E41">
            <w:pPr>
              <w:pStyle w:val="libFootnote0"/>
              <w:rPr>
                <w:rtl/>
              </w:rPr>
            </w:pPr>
            <w:r>
              <w:rPr>
                <w:rtl/>
              </w:rPr>
              <w:t>(9).</w:t>
            </w:r>
            <w:r w:rsidRPr="00C9040A">
              <w:rPr>
                <w:rtl/>
              </w:rPr>
              <w:t xml:space="preserve"> القيامة (75) : 14</w:t>
            </w:r>
            <w:r>
              <w:rPr>
                <w:rtl/>
              </w:rPr>
              <w:t xml:space="preserve"> - </w:t>
            </w:r>
            <w:r w:rsidRPr="00C9040A">
              <w:rPr>
                <w:rtl/>
              </w:rPr>
              <w:t>15.</w:t>
            </w:r>
          </w:p>
        </w:tc>
      </w:tr>
    </w:tbl>
    <w:p w:rsidR="008A74EB" w:rsidRPr="00C9040A" w:rsidRDefault="006C577F" w:rsidP="004A4E41">
      <w:pPr>
        <w:pStyle w:val="libFootnote0"/>
        <w:rPr>
          <w:rtl/>
          <w:lang w:bidi="fa-IR"/>
        </w:rPr>
      </w:pPr>
      <w:r>
        <w:rPr>
          <w:rtl/>
        </w:rPr>
        <w:t>(10).</w:t>
      </w:r>
      <w:r w:rsidR="008A74EB" w:rsidRPr="00C9040A">
        <w:rPr>
          <w:rtl/>
        </w:rPr>
        <w:t xml:space="preserve"> في الوسائل ، ح 142 : « ثمّ قال » بدل « يا أبا حفص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في الكافي ، ح 2501 : « أن يعتذر إلى الناس بخلاف ما يعلم الله منه » بدل « أن يتقرّب</w:t>
      </w:r>
      <w:r w:rsidR="008A74EB">
        <w:rPr>
          <w:rtl/>
        </w:rPr>
        <w:t xml:space="preserve"> </w:t>
      </w:r>
      <w:r w:rsidR="0084262C">
        <w:rPr>
          <w:rtl/>
        </w:rPr>
        <w:t>-</w:t>
      </w:r>
      <w:r w:rsidR="008A74EB">
        <w:rPr>
          <w:rtl/>
        </w:rPr>
        <w:t xml:space="preserve"> </w:t>
      </w:r>
      <w:r w:rsidR="008A74EB" w:rsidRPr="00C9040A">
        <w:rPr>
          <w:rtl/>
        </w:rPr>
        <w:t>إلى</w:t>
      </w:r>
      <w:r w:rsidR="008A74EB">
        <w:rPr>
          <w:rtl/>
        </w:rPr>
        <w:t xml:space="preserve"> </w:t>
      </w:r>
      <w:r w:rsidR="0084262C">
        <w:rPr>
          <w:rtl/>
        </w:rPr>
        <w:t>-</w:t>
      </w:r>
      <w:r w:rsidR="008A74EB">
        <w:rPr>
          <w:rtl/>
        </w:rPr>
        <w:t xml:space="preserve"> </w:t>
      </w:r>
      <w:r w:rsidR="008A74EB" w:rsidRPr="00C9040A">
        <w:rPr>
          <w:rtl/>
        </w:rPr>
        <w:t>ما يعلم الله تعالى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في الكافي ، ح 2501 : « ألبسه الله » بدل « ردّاه الله »</w:t>
      </w:r>
      <w:r w:rsidR="008A74EB">
        <w:rPr>
          <w:rtl/>
        </w:rPr>
        <w:t>.</w:t>
      </w:r>
    </w:p>
    <w:tbl>
      <w:tblPr>
        <w:tblStyle w:val="TableGrid"/>
        <w:bidiVisual/>
        <w:tblW w:w="0" w:type="auto"/>
        <w:tblLook w:val="04A0" w:firstRow="1" w:lastRow="0" w:firstColumn="1" w:lastColumn="0" w:noHBand="0" w:noVBand="1"/>
      </w:tblPr>
      <w:tblGrid>
        <w:gridCol w:w="4006"/>
        <w:gridCol w:w="4006"/>
      </w:tblGrid>
      <w:tr w:rsidR="00796607" w:rsidTr="00796607">
        <w:tc>
          <w:tcPr>
            <w:tcW w:w="4006" w:type="dxa"/>
          </w:tcPr>
          <w:p w:rsidR="00796607" w:rsidRDefault="00796607" w:rsidP="004A4E41">
            <w:pPr>
              <w:pStyle w:val="libFootnote0"/>
              <w:rPr>
                <w:rtl/>
              </w:rPr>
            </w:pPr>
            <w:r>
              <w:rPr>
                <w:rtl/>
              </w:rPr>
              <w:t>(13)</w:t>
            </w:r>
            <w:r w:rsidRPr="00C9040A">
              <w:rPr>
                <w:rtl/>
              </w:rPr>
              <w:t xml:space="preserve"> في « ب ، </w:t>
            </w:r>
            <w:r>
              <w:rPr>
                <w:rtl/>
              </w:rPr>
              <w:t xml:space="preserve">ه </w:t>
            </w:r>
            <w:r w:rsidRPr="00C9040A">
              <w:rPr>
                <w:rtl/>
              </w:rPr>
              <w:t>» : « فخيراً »</w:t>
            </w:r>
            <w:r>
              <w:rPr>
                <w:rtl/>
              </w:rPr>
              <w:t>.</w:t>
            </w:r>
          </w:p>
        </w:tc>
        <w:tc>
          <w:tcPr>
            <w:tcW w:w="4006" w:type="dxa"/>
          </w:tcPr>
          <w:p w:rsidR="00796607" w:rsidRDefault="00796607" w:rsidP="004A4E41">
            <w:pPr>
              <w:pStyle w:val="libFootnote0"/>
              <w:rPr>
                <w:rtl/>
              </w:rPr>
            </w:pPr>
            <w:r>
              <w:rPr>
                <w:rtl/>
              </w:rPr>
              <w:t>(14)</w:t>
            </w:r>
            <w:r w:rsidRPr="00C9040A">
              <w:rPr>
                <w:rtl/>
              </w:rPr>
              <w:t xml:space="preserve"> في « ب ، </w:t>
            </w:r>
            <w:r>
              <w:rPr>
                <w:rtl/>
              </w:rPr>
              <w:t xml:space="preserve">ه </w:t>
            </w:r>
            <w:r w:rsidRPr="00C9040A">
              <w:rPr>
                <w:rtl/>
              </w:rPr>
              <w:t>» : « فشرّاً »</w:t>
            </w:r>
            <w:r>
              <w:rPr>
                <w:rtl/>
              </w:rPr>
              <w:t>.</w:t>
            </w:r>
          </w:p>
        </w:tc>
      </w:tr>
    </w:tbl>
    <w:p w:rsidR="008A74EB" w:rsidRPr="00C9040A" w:rsidRDefault="008A74EB" w:rsidP="004A4E41">
      <w:pPr>
        <w:pStyle w:val="libFootnote0"/>
        <w:rPr>
          <w:rtl/>
          <w:lang w:bidi="fa-IR"/>
        </w:rPr>
      </w:pPr>
      <w:r>
        <w:rPr>
          <w:rtl/>
        </w:rPr>
        <w:t>(15)</w:t>
      </w:r>
      <w:r w:rsidRPr="00C9040A">
        <w:rPr>
          <w:rtl/>
        </w:rPr>
        <w:t xml:space="preserve"> سيأتي هذا الحديث بعينه سنداً ومتناً في هذا البا</w:t>
      </w:r>
      <w:r w:rsidR="004E2F79">
        <w:rPr>
          <w:rtl/>
        </w:rPr>
        <w:t>ب ذيل الرقم 15 ، ولا اختلاف إل</w:t>
      </w:r>
      <w:r w:rsidR="004E2F79">
        <w:rPr>
          <w:rFonts w:hint="cs"/>
          <w:rtl/>
        </w:rPr>
        <w:t>ّ</w:t>
      </w:r>
      <w:r w:rsidR="004E2F79">
        <w:rPr>
          <w:rtl/>
        </w:rPr>
        <w:t>ا</w:t>
      </w:r>
      <w:r w:rsidRPr="00C9040A">
        <w:rPr>
          <w:rtl/>
        </w:rPr>
        <w:t xml:space="preserve">في موضعين أشرنا إليه. </w:t>
      </w:r>
      <w:r w:rsidRPr="00993B55">
        <w:rPr>
          <w:rStyle w:val="libFootnoteBoldChar"/>
          <w:rtl/>
        </w:rPr>
        <w:t>الجعفريّات</w:t>
      </w:r>
      <w:r w:rsidRPr="00C9040A">
        <w:rPr>
          <w:rtl/>
        </w:rPr>
        <w:t xml:space="preserve"> ، ص 158 ، بسند آخر عن جعفر بن محمّد ، عن آبائه </w:t>
      </w:r>
      <w:r w:rsidR="00117575" w:rsidRPr="00117575">
        <w:rPr>
          <w:rStyle w:val="libFootnoteAlaemChar"/>
          <w:rtl/>
        </w:rPr>
        <w:t>عليهم‌السلام</w:t>
      </w:r>
      <w:r w:rsidRPr="00C9040A">
        <w:rPr>
          <w:rtl/>
        </w:rPr>
        <w:t xml:space="preserve"> عن رسول الله </w:t>
      </w:r>
      <w:r w:rsidR="004A4E41" w:rsidRPr="004E2F79">
        <w:rPr>
          <w:rStyle w:val="libFootnoteAlaemChar"/>
          <w:rtl/>
        </w:rPr>
        <w:t>صلى‌الله‌عليه‌وآله</w:t>
      </w:r>
      <w:r w:rsidRPr="00C9040A">
        <w:rPr>
          <w:rtl/>
        </w:rPr>
        <w:t xml:space="preserve"> ، وتمام الرواية فيه : « من أستر سريرة ألبسه الله تعالى رداها ، إن خيراً فخير ، وإن شرّاً فشرّ » </w:t>
      </w:r>
      <w:r w:rsidR="004E2F79">
        <w:rPr>
          <w:rFonts w:hint="cs"/>
          <w:rtl/>
        </w:rPr>
        <w:t>.</w:t>
      </w:r>
      <w:r w:rsidRPr="00993B55">
        <w:rPr>
          <w:rStyle w:val="libFootnoteBoldChar"/>
          <w:rtl/>
        </w:rPr>
        <w:t>الوافي</w:t>
      </w:r>
      <w:r w:rsidRPr="00C9040A">
        <w:rPr>
          <w:rtl/>
        </w:rPr>
        <w:t xml:space="preserve"> ، ج 5 ، ص 854 ، ح 3139 ؛ </w:t>
      </w:r>
      <w:r w:rsidR="004E2F79">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D5876">
        <w:rPr>
          <w:rtl/>
        </w:rPr>
        <w:t>2493</w:t>
      </w:r>
      <w:r w:rsidRPr="00261CB0">
        <w:rPr>
          <w:rStyle w:val="libBold2Char"/>
          <w:rtl/>
        </w:rPr>
        <w:t xml:space="preserve"> / 7.</w:t>
      </w:r>
      <w:r w:rsidRPr="00C9040A">
        <w:rPr>
          <w:rtl/>
          <w:lang w:bidi="fa-IR"/>
        </w:rPr>
        <w:t xml:space="preserve"> عَلِيُّ بْنُ إِبْرَاهِيمَ ، عَنْ أَبِيهِ ، عَنِ النَّوْفَلِيِّ ، عَنِ السَّكُونِيِّ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النَّبِيُّ </w:t>
      </w:r>
      <w:r w:rsidR="006C577F" w:rsidRPr="006C577F">
        <w:rPr>
          <w:rStyle w:val="libFootnotenumChar"/>
          <w:rtl/>
        </w:rPr>
        <w:t>(1)</w:t>
      </w:r>
      <w:r w:rsidRPr="00C9040A">
        <w:rPr>
          <w:rtl/>
          <w:lang w:bidi="fa-IR"/>
        </w:rPr>
        <w:t xml:space="preserve"> </w:t>
      </w:r>
      <w:r w:rsidR="004A4E41" w:rsidRPr="004A4E41">
        <w:rPr>
          <w:rStyle w:val="libAlaemChar"/>
          <w:rtl/>
        </w:rPr>
        <w:t>صلى‌الله‌عليه‌وآله</w:t>
      </w:r>
      <w:r w:rsidRPr="00C9040A">
        <w:rPr>
          <w:rtl/>
          <w:lang w:bidi="fa-IR"/>
        </w:rPr>
        <w:t xml:space="preserve"> : إِنَّ الْمَلَكَ لَيَصْعَدُ </w:t>
      </w:r>
      <w:r w:rsidR="006C577F" w:rsidRPr="006C577F">
        <w:rPr>
          <w:rStyle w:val="libFootnotenumChar"/>
          <w:rtl/>
        </w:rPr>
        <w:t>(2)</w:t>
      </w:r>
      <w:r w:rsidRPr="00C9040A">
        <w:rPr>
          <w:rtl/>
          <w:lang w:bidi="fa-IR"/>
        </w:rPr>
        <w:t xml:space="preserve"> بِعَمَلِ الْعَبْدِ مُبْتَهِجاً </w:t>
      </w:r>
      <w:r w:rsidR="006C577F" w:rsidRPr="006C577F">
        <w:rPr>
          <w:rStyle w:val="libFootnotenumChar"/>
          <w:rtl/>
        </w:rPr>
        <w:t>(3)</w:t>
      </w:r>
      <w:r w:rsidRPr="00C9040A">
        <w:rPr>
          <w:rtl/>
          <w:lang w:bidi="fa-IR"/>
        </w:rPr>
        <w:t xml:space="preserve"> بِهِ ، فَإِذَا صَعِدَ بِحَسَنَاتِهِ يَقُولُ اللهُ عَزَّ وَجَلَّ : اجْعَلُوهَا فِي سِجِّينٍ ، إِنَّهُ </w:t>
      </w:r>
      <w:r w:rsidR="006C577F" w:rsidRPr="006C577F">
        <w:rPr>
          <w:rStyle w:val="libFootnotenumChar"/>
          <w:rtl/>
        </w:rPr>
        <w:t>(4)</w:t>
      </w:r>
      <w:r w:rsidRPr="00C9040A">
        <w:rPr>
          <w:rtl/>
          <w:lang w:bidi="fa-IR"/>
        </w:rPr>
        <w:t xml:space="preserve"> لَيْسَ إِيَّايَ أَرَادَ بِهَا </w:t>
      </w:r>
      <w:r w:rsidR="006C577F" w:rsidRPr="006C577F">
        <w:rPr>
          <w:rStyle w:val="libFootnotenumChar"/>
          <w:rtl/>
        </w:rPr>
        <w:t>(5)</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Normal"/>
        <w:rPr>
          <w:rtl/>
          <w:lang w:bidi="fa-IR"/>
        </w:rPr>
      </w:pPr>
      <w:r w:rsidRPr="00CD5876">
        <w:rPr>
          <w:rtl/>
        </w:rPr>
        <w:t>2494</w:t>
      </w:r>
      <w:r w:rsidRPr="00261CB0">
        <w:rPr>
          <w:rStyle w:val="libBold2Char"/>
          <w:rtl/>
        </w:rPr>
        <w:t xml:space="preserve"> / 8.</w:t>
      </w:r>
      <w:r w:rsidRPr="00C9040A">
        <w:rPr>
          <w:rtl/>
          <w:lang w:bidi="fa-IR"/>
        </w:rPr>
        <w:t xml:space="preserve"> وَبِإِسْنَادِهِ </w:t>
      </w:r>
      <w:r w:rsidR="006C577F" w:rsidRPr="006C577F">
        <w:rPr>
          <w:rStyle w:val="libFootnotenumChar"/>
          <w:rtl/>
        </w:rPr>
        <w:t>(7)</w:t>
      </w:r>
      <w:r w:rsidRPr="00C9040A">
        <w:rPr>
          <w:rtl/>
          <w:lang w:bidi="fa-IR"/>
        </w:rPr>
        <w:t xml:space="preserve"> قَالَ :</w:t>
      </w:r>
    </w:p>
    <w:p w:rsidR="008A74EB" w:rsidRPr="00C9040A" w:rsidRDefault="008A74EB" w:rsidP="008A74EB">
      <w:pPr>
        <w:pStyle w:val="libNormal"/>
        <w:rPr>
          <w:rtl/>
          <w:lang w:bidi="fa-IR"/>
        </w:rPr>
      </w:pPr>
      <w:r w:rsidRPr="00C9040A">
        <w:rPr>
          <w:rtl/>
          <w:lang w:bidi="fa-IR"/>
        </w:rPr>
        <w:t xml:space="preserve">« قَالَ أَمِيرُ الْمُؤْمِنِينَ </w:t>
      </w:r>
      <w:r w:rsidRPr="0003660B">
        <w:rPr>
          <w:rStyle w:val="libAlaemChar"/>
          <w:rtl/>
        </w:rPr>
        <w:t>عليه‌السلام</w:t>
      </w:r>
      <w:r w:rsidRPr="00C9040A">
        <w:rPr>
          <w:rtl/>
          <w:lang w:bidi="fa-IR"/>
        </w:rPr>
        <w:t xml:space="preserve"> : ثَلَاثُ عَلَامَاتٍ لِلْمُرَائِي : يَنْشَطُ إِذَا رَأَى النَّاسَ ، وَيَكْسَلُ إِذَا كَانَ وَحْدَهُ ، وَيُحِبُّ أَنْ يُحْمَدَ </w:t>
      </w:r>
      <w:r w:rsidR="006C577F" w:rsidRPr="006C577F">
        <w:rPr>
          <w:rStyle w:val="libFootnotenumChar"/>
          <w:rtl/>
        </w:rPr>
        <w:t>(8)</w:t>
      </w:r>
      <w:r w:rsidRPr="00C9040A">
        <w:rPr>
          <w:rtl/>
          <w:lang w:bidi="fa-IR"/>
        </w:rPr>
        <w:t xml:space="preserve"> فِي جَمِيعِ أُمُورِهِ »</w:t>
      </w:r>
      <w:r>
        <w:rPr>
          <w:rtl/>
          <w:lang w:bidi="fa-IR"/>
        </w:rPr>
        <w:t>.</w:t>
      </w:r>
      <w:r w:rsidRPr="00C9040A">
        <w:rPr>
          <w:rtl/>
          <w:lang w:bidi="fa-IR"/>
        </w:rPr>
        <w:t xml:space="preserve"> </w:t>
      </w:r>
      <w:r w:rsidR="006C577F" w:rsidRPr="006C577F">
        <w:rPr>
          <w:rStyle w:val="libFootnotenumChar"/>
          <w:rtl/>
        </w:rPr>
        <w:t>(9)</w:t>
      </w:r>
      <w:r w:rsidRPr="00C9040A">
        <w:rPr>
          <w:rtl/>
          <w:lang w:bidi="fa-IR"/>
        </w:rPr>
        <w:t xml:space="preserve"> ‌</w:t>
      </w:r>
    </w:p>
    <w:p w:rsidR="008A74EB" w:rsidRPr="00C9040A" w:rsidRDefault="008A74EB" w:rsidP="008A74EB">
      <w:pPr>
        <w:pStyle w:val="libNormal"/>
        <w:rPr>
          <w:rtl/>
          <w:lang w:bidi="fa-IR"/>
        </w:rPr>
      </w:pPr>
      <w:r w:rsidRPr="00CD5876">
        <w:rPr>
          <w:rtl/>
        </w:rPr>
        <w:t>2495</w:t>
      </w:r>
      <w:r w:rsidRPr="00261CB0">
        <w:rPr>
          <w:rStyle w:val="libBold2Char"/>
          <w:rtl/>
        </w:rPr>
        <w:t xml:space="preserve"> / 9.</w:t>
      </w:r>
      <w:r w:rsidRPr="00C9040A">
        <w:rPr>
          <w:rtl/>
          <w:lang w:bidi="fa-IR"/>
        </w:rPr>
        <w:t xml:space="preserve"> عِدَّةٌ مِنْ أَصْحَابِنَا ، عَنْ أَحْمَدَ بْنِ مُحَمَّدِ بْنِ خَالِدٍ ، عَنْ عُثْمَانَ بْنِ عِيسى ، عَنْ عَلِيِّ بْنِ سَالِمٍ ، قَالَ :</w:t>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 « قَالَ اللهُ عَزَّ وَجَلَّ : أَنَا خَيْرُ شَرِيكٍ ، مَنْ أَشْرَكَ مَعِي‌</w:t>
      </w:r>
    </w:p>
    <w:p w:rsidR="008A74EB" w:rsidRPr="00C9040A" w:rsidRDefault="008A74EB" w:rsidP="008A74EB">
      <w:pPr>
        <w:pStyle w:val="libLine"/>
        <w:rPr>
          <w:rtl/>
          <w:lang w:bidi="fa-IR"/>
        </w:rPr>
      </w:pPr>
      <w:r w:rsidRPr="00C9040A">
        <w:rPr>
          <w:rtl/>
          <w:lang w:bidi="fa-IR"/>
        </w:rPr>
        <w:t>__________________</w:t>
      </w:r>
    </w:p>
    <w:p w:rsidR="008A74EB" w:rsidRPr="00C9040A" w:rsidRDefault="001573A6" w:rsidP="004A4E41">
      <w:pPr>
        <w:pStyle w:val="libFootnote0"/>
        <w:rPr>
          <w:rtl/>
          <w:lang w:bidi="fa-IR"/>
        </w:rPr>
      </w:pPr>
      <w:r w:rsidRPr="001573A6">
        <w:rPr>
          <w:rFonts w:hint="cs"/>
          <w:rtl/>
        </w:rPr>
        <w:t xml:space="preserve">= </w:t>
      </w:r>
      <w:r w:rsidR="008A74EB" w:rsidRPr="00993B55">
        <w:rPr>
          <w:rStyle w:val="libFootnoteBoldChar"/>
          <w:rtl/>
        </w:rPr>
        <w:t>الوسائل</w:t>
      </w:r>
      <w:r w:rsidR="008A74EB" w:rsidRPr="00C9040A">
        <w:rPr>
          <w:rtl/>
        </w:rPr>
        <w:t xml:space="preserve"> ، ج 1 ، ص 57 ، ح 118 ، من قوله : « إنّ رسول الله </w:t>
      </w:r>
      <w:r w:rsidR="004A4E41" w:rsidRPr="001573A6">
        <w:rPr>
          <w:rStyle w:val="libFootnoteAlaemChar"/>
          <w:rtl/>
        </w:rPr>
        <w:t>صلى‌الله‌عليه‌وآله</w:t>
      </w:r>
      <w:r w:rsidR="008A74EB" w:rsidRPr="00C9040A">
        <w:rPr>
          <w:rtl/>
        </w:rPr>
        <w:t xml:space="preserve"> كان يقول » ؛ وص 65 ، ح 142 ؛ </w:t>
      </w:r>
      <w:r w:rsidR="008A74EB" w:rsidRPr="00993B55">
        <w:rPr>
          <w:rStyle w:val="libFootnoteBoldChar"/>
          <w:rtl/>
        </w:rPr>
        <w:t>البحار</w:t>
      </w:r>
      <w:r w:rsidR="008A74EB" w:rsidRPr="00C9040A">
        <w:rPr>
          <w:rtl/>
        </w:rPr>
        <w:t xml:space="preserve"> ، ج 72 ، ص 285 ، ح 6.</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ج ، </w:t>
      </w:r>
      <w:r w:rsidR="006D3162">
        <w:rPr>
          <w:rtl/>
        </w:rPr>
        <w:t xml:space="preserve">ه </w:t>
      </w:r>
      <w:r w:rsidR="008A74EB" w:rsidRPr="00C9040A">
        <w:rPr>
          <w:rtl/>
        </w:rPr>
        <w:t>، بر ، بف » : « رسول الله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ص » : « يصعد »</w:t>
      </w:r>
      <w:r w:rsidR="008A74EB">
        <w:rPr>
          <w:rtl/>
        </w:rPr>
        <w:t>.</w:t>
      </w:r>
    </w:p>
    <w:tbl>
      <w:tblPr>
        <w:tblStyle w:val="TableGrid"/>
        <w:bidiVisual/>
        <w:tblW w:w="0" w:type="auto"/>
        <w:tblLook w:val="04A0" w:firstRow="1" w:lastRow="0" w:firstColumn="1" w:lastColumn="0" w:noHBand="0" w:noVBand="1"/>
      </w:tblPr>
      <w:tblGrid>
        <w:gridCol w:w="4006"/>
        <w:gridCol w:w="4006"/>
      </w:tblGrid>
      <w:tr w:rsidR="001573A6" w:rsidTr="001573A6">
        <w:tc>
          <w:tcPr>
            <w:tcW w:w="4006" w:type="dxa"/>
          </w:tcPr>
          <w:p w:rsidR="001573A6" w:rsidRDefault="001573A6" w:rsidP="004A4E41">
            <w:pPr>
              <w:pStyle w:val="libFootnote0"/>
              <w:rPr>
                <w:rtl/>
              </w:rPr>
            </w:pPr>
            <w:r>
              <w:rPr>
                <w:rtl/>
              </w:rPr>
              <w:t>(3).</w:t>
            </w:r>
            <w:r w:rsidRPr="00C9040A">
              <w:rPr>
                <w:rtl/>
              </w:rPr>
              <w:t xml:space="preserve"> في « ص » : « متبهّجاً »</w:t>
            </w:r>
            <w:r>
              <w:rPr>
                <w:rtl/>
              </w:rPr>
              <w:t>.</w:t>
            </w:r>
          </w:p>
        </w:tc>
        <w:tc>
          <w:tcPr>
            <w:tcW w:w="4006" w:type="dxa"/>
          </w:tcPr>
          <w:p w:rsidR="001573A6" w:rsidRDefault="001573A6" w:rsidP="004A4E41">
            <w:pPr>
              <w:pStyle w:val="libFootnote0"/>
              <w:rPr>
                <w:rtl/>
              </w:rPr>
            </w:pPr>
            <w:r>
              <w:rPr>
                <w:rtl/>
              </w:rPr>
              <w:t>(4).</w:t>
            </w:r>
            <w:r w:rsidRPr="00C9040A">
              <w:rPr>
                <w:rtl/>
              </w:rPr>
              <w:t xml:space="preserve"> في الجعفريّات : « فإنّه »</w:t>
            </w:r>
            <w:r>
              <w:rPr>
                <w:rtl/>
              </w:rPr>
              <w:t>.</w:t>
            </w:r>
          </w:p>
        </w:tc>
      </w:tr>
    </w:tbl>
    <w:p w:rsidR="008A74EB" w:rsidRPr="00C9040A" w:rsidRDefault="006C577F" w:rsidP="004A4E41">
      <w:pPr>
        <w:pStyle w:val="libFootnote0"/>
        <w:rPr>
          <w:rtl/>
          <w:lang w:bidi="fa-IR"/>
        </w:rPr>
      </w:pPr>
      <w:r>
        <w:rPr>
          <w:rtl/>
        </w:rPr>
        <w:t>(5).</w:t>
      </w:r>
      <w:r w:rsidR="008A74EB" w:rsidRPr="00C9040A">
        <w:rPr>
          <w:rtl/>
        </w:rPr>
        <w:t xml:space="preserve"> في « ب ، ج ، د ، ص ، بر ، بس ، بف » والوسائل والبحار والجعفريّات : « به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الجعفريّات</w:t>
      </w:r>
      <w:r w:rsidR="008A74EB" w:rsidRPr="00C9040A">
        <w:rPr>
          <w:rtl/>
        </w:rPr>
        <w:t xml:space="preserve"> ، ص 163 ، بسند آخر عن جعفر بن محمّد ، عن آبائه </w:t>
      </w:r>
      <w:r w:rsidR="00117575" w:rsidRPr="00117575">
        <w:rPr>
          <w:rStyle w:val="libFootnoteAlaemChar"/>
          <w:rtl/>
        </w:rPr>
        <w:t>عليهم‌السلام</w:t>
      </w:r>
      <w:r w:rsidR="008A74EB" w:rsidRPr="00C9040A">
        <w:rPr>
          <w:rtl/>
        </w:rPr>
        <w:t xml:space="preserve"> عن رسول الله </w:t>
      </w:r>
      <w:r w:rsidR="004A4E41" w:rsidRPr="001573A6">
        <w:rPr>
          <w:rStyle w:val="libFootnoteAlaemChar"/>
          <w:rtl/>
        </w:rPr>
        <w:t>صلى‌الله‌عليه‌وآله</w:t>
      </w:r>
      <w:r w:rsidR="008A74EB" w:rsidRPr="00C9040A">
        <w:rPr>
          <w:rtl/>
        </w:rPr>
        <w:t xml:space="preserve"> ، مع اختلاف يسير </w:t>
      </w:r>
      <w:r w:rsidR="001573A6">
        <w:rPr>
          <w:rFonts w:hint="cs"/>
          <w:rtl/>
        </w:rPr>
        <w:t>.</w:t>
      </w:r>
      <w:r w:rsidR="008A74EB" w:rsidRPr="00993B55">
        <w:rPr>
          <w:rStyle w:val="libFootnoteBoldChar"/>
          <w:rtl/>
        </w:rPr>
        <w:t>الوافي</w:t>
      </w:r>
      <w:r w:rsidR="008A74EB" w:rsidRPr="00C9040A">
        <w:rPr>
          <w:rtl/>
        </w:rPr>
        <w:t xml:space="preserve"> ، ج 5 ، ص 856 ، ح 3145 ؛ </w:t>
      </w:r>
      <w:r w:rsidR="008A74EB" w:rsidRPr="00993B55">
        <w:rPr>
          <w:rStyle w:val="libFootnoteBoldChar"/>
          <w:rtl/>
        </w:rPr>
        <w:t>الوسائل</w:t>
      </w:r>
      <w:r w:rsidR="008A74EB" w:rsidRPr="00C9040A">
        <w:rPr>
          <w:rtl/>
        </w:rPr>
        <w:t xml:space="preserve"> ، ج 1 ، ص 71 ، ح 156 ؛ </w:t>
      </w:r>
      <w:r w:rsidR="008A74EB" w:rsidRPr="00993B55">
        <w:rPr>
          <w:rStyle w:val="libFootnoteBoldChar"/>
          <w:rtl/>
        </w:rPr>
        <w:t>البحار</w:t>
      </w:r>
      <w:r w:rsidR="008A74EB" w:rsidRPr="00C9040A">
        <w:rPr>
          <w:rtl/>
        </w:rPr>
        <w:t xml:space="preserve"> ، ج 72 ، ص 287 ، ح 7.</w:t>
      </w:r>
    </w:p>
    <w:p w:rsidR="008A74EB" w:rsidRPr="00C9040A" w:rsidRDefault="006C577F" w:rsidP="004A4E41">
      <w:pPr>
        <w:pStyle w:val="libFootnote0"/>
        <w:rPr>
          <w:rtl/>
          <w:lang w:bidi="fa-IR"/>
        </w:rPr>
      </w:pPr>
      <w:r>
        <w:rPr>
          <w:rtl/>
        </w:rPr>
        <w:t>(7).</w:t>
      </w:r>
      <w:r w:rsidR="008A74EB" w:rsidRPr="00C9040A">
        <w:rPr>
          <w:rtl/>
        </w:rPr>
        <w:t xml:space="preserve"> المراد من « بإسناده » ، هو السند المتقدّم إلى النبيّ </w:t>
      </w:r>
      <w:r w:rsidR="004A4E41" w:rsidRPr="001573A6">
        <w:rPr>
          <w:rStyle w:val="libFootnoteAlaemChar"/>
          <w:rtl/>
        </w:rPr>
        <w:t>صلى‌الله‌عليه‌وآله</w:t>
      </w:r>
      <w:r w:rsidR="008A74EB" w:rsidRPr="00C9040A">
        <w:rPr>
          <w:rtl/>
        </w:rPr>
        <w:t>.</w:t>
      </w:r>
    </w:p>
    <w:p w:rsidR="008A74EB" w:rsidRPr="00C9040A" w:rsidRDefault="006C577F" w:rsidP="004A4E41">
      <w:pPr>
        <w:pStyle w:val="libFootnote0"/>
        <w:rPr>
          <w:rtl/>
          <w:lang w:bidi="fa-IR"/>
        </w:rPr>
      </w:pPr>
      <w:r>
        <w:rPr>
          <w:rtl/>
        </w:rPr>
        <w:t>(8).</w:t>
      </w:r>
      <w:r w:rsidR="008A74EB" w:rsidRPr="00C9040A">
        <w:rPr>
          <w:rtl/>
        </w:rPr>
        <w:t xml:space="preserve"> في شرح المازندراني : « أن يحمدوه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w:t>
      </w:r>
      <w:r w:rsidR="008A74EB" w:rsidRPr="00993B55">
        <w:rPr>
          <w:rStyle w:val="libFootnoteBoldChar"/>
          <w:rtl/>
        </w:rPr>
        <w:t>الفقيه</w:t>
      </w:r>
      <w:r w:rsidR="008A74EB" w:rsidRPr="00C9040A">
        <w:rPr>
          <w:rtl/>
        </w:rPr>
        <w:t xml:space="preserve"> ، ج 4 ، ص 358 ، ضمن الحديث الطويل 5762 ، بسنده عن جعفر بن محمّد ، عن آبائه </w:t>
      </w:r>
      <w:r w:rsidR="00117575" w:rsidRPr="00117575">
        <w:rPr>
          <w:rStyle w:val="libFootnoteAlaemChar"/>
          <w:rtl/>
        </w:rPr>
        <w:t>عليهم‌السلام</w:t>
      </w:r>
      <w:r w:rsidR="008A74EB" w:rsidRPr="00C9040A">
        <w:rPr>
          <w:rtl/>
        </w:rPr>
        <w:t xml:space="preserve"> عن النبيّ </w:t>
      </w:r>
      <w:r w:rsidR="004A4E41" w:rsidRPr="001573A6">
        <w:rPr>
          <w:rStyle w:val="libFootnoteAlaemChar"/>
          <w:rtl/>
        </w:rPr>
        <w:t>صلى‌الله‌عليه‌وآله</w:t>
      </w:r>
      <w:r w:rsidR="008A74EB" w:rsidRPr="00C9040A">
        <w:rPr>
          <w:rtl/>
        </w:rPr>
        <w:t xml:space="preserve">. </w:t>
      </w:r>
      <w:r w:rsidR="008A74EB" w:rsidRPr="00993B55">
        <w:rPr>
          <w:rStyle w:val="libFootnoteBoldChar"/>
          <w:rtl/>
        </w:rPr>
        <w:t>الجعفريّات</w:t>
      </w:r>
      <w:r w:rsidR="008A74EB" w:rsidRPr="00C9040A">
        <w:rPr>
          <w:rtl/>
        </w:rPr>
        <w:t xml:space="preserve"> ، ص 231 ، بسند آخر عن جعفر بن محمّد ، عن آبائه ، عن أميرالمؤمنين </w:t>
      </w:r>
      <w:r w:rsidR="00117575" w:rsidRPr="00117575">
        <w:rPr>
          <w:rStyle w:val="libFootnoteAlaemChar"/>
          <w:rtl/>
        </w:rPr>
        <w:t>عليهم‌السلام</w:t>
      </w:r>
      <w:r w:rsidR="008A74EB" w:rsidRPr="00C9040A">
        <w:rPr>
          <w:rtl/>
        </w:rPr>
        <w:t xml:space="preserve">. </w:t>
      </w:r>
      <w:r w:rsidR="008A74EB" w:rsidRPr="00993B55">
        <w:rPr>
          <w:rStyle w:val="libFootnoteBoldChar"/>
          <w:rtl/>
        </w:rPr>
        <w:t>قرب الإسناد</w:t>
      </w:r>
      <w:r w:rsidR="008A74EB" w:rsidRPr="00C9040A">
        <w:rPr>
          <w:rtl/>
        </w:rPr>
        <w:t xml:space="preserve"> ، ص 28 ، صدر ح 92 ، بسند آخر عن جعفر بن محمّد ، عن أبيه ، عن النبيّ صلوات الله عليهم. </w:t>
      </w:r>
      <w:r w:rsidR="008A74EB" w:rsidRPr="00993B55">
        <w:rPr>
          <w:rStyle w:val="libFootnoteBoldChar"/>
          <w:rtl/>
        </w:rPr>
        <w:t>الخصال</w:t>
      </w:r>
      <w:r w:rsidR="008A74EB" w:rsidRPr="00C9040A">
        <w:rPr>
          <w:rtl/>
        </w:rPr>
        <w:t xml:space="preserve"> ، ص 121 ، باب الثلاثة ، ضمن ح 113 ، بسند آخر عن أبي عبدالله </w:t>
      </w:r>
      <w:r w:rsidR="00117575" w:rsidRPr="00117575">
        <w:rPr>
          <w:rStyle w:val="libFootnoteAlaemChar"/>
          <w:rtl/>
        </w:rPr>
        <w:t>عليه‌السلام</w:t>
      </w:r>
      <w:r w:rsidR="008A74EB" w:rsidRPr="00C9040A">
        <w:rPr>
          <w:rtl/>
        </w:rPr>
        <w:t xml:space="preserve"> ، وفي كلّها مع اختلاف يسير. </w:t>
      </w:r>
      <w:r w:rsidR="008A74EB" w:rsidRPr="00993B55">
        <w:rPr>
          <w:rStyle w:val="libFootnoteBoldChar"/>
          <w:rtl/>
        </w:rPr>
        <w:t>تحف العقول</w:t>
      </w:r>
      <w:r w:rsidR="008A74EB" w:rsidRPr="00C9040A">
        <w:rPr>
          <w:rtl/>
        </w:rPr>
        <w:t xml:space="preserve"> ، ص 10 ، عن النبيّ </w:t>
      </w:r>
      <w:r w:rsidR="004A4E41" w:rsidRPr="000B06C1">
        <w:rPr>
          <w:rStyle w:val="libFootnoteAlaemChar"/>
          <w:rtl/>
        </w:rPr>
        <w:t>صلى‌الله‌عليه‌وآله</w:t>
      </w:r>
      <w:r w:rsidR="008A74EB" w:rsidRPr="00C9040A">
        <w:rPr>
          <w:rtl/>
        </w:rPr>
        <w:t xml:space="preserve"> </w:t>
      </w:r>
      <w:r w:rsidR="008A74EB" w:rsidRPr="00993B55">
        <w:rPr>
          <w:rStyle w:val="libFootnoteBoldChar"/>
          <w:rtl/>
        </w:rPr>
        <w:t>الوافي</w:t>
      </w:r>
      <w:r w:rsidR="008A74EB" w:rsidRPr="00C9040A">
        <w:rPr>
          <w:rtl/>
        </w:rPr>
        <w:t xml:space="preserve"> ، ج 5 ، ص 856 ، ح 3146 ؛ </w:t>
      </w:r>
      <w:r w:rsidR="008A74EB" w:rsidRPr="00993B55">
        <w:rPr>
          <w:rStyle w:val="libFootnoteBoldChar"/>
          <w:rtl/>
        </w:rPr>
        <w:t>الوسائل</w:t>
      </w:r>
      <w:r w:rsidR="008A74EB" w:rsidRPr="00C9040A">
        <w:rPr>
          <w:rtl/>
        </w:rPr>
        <w:t xml:space="preserve"> ، ج 1 ، ص 73 ، ح 165 ؛ </w:t>
      </w:r>
      <w:r w:rsidR="008A74EB" w:rsidRPr="00993B55">
        <w:rPr>
          <w:rStyle w:val="libFootnoteBoldChar"/>
          <w:rtl/>
        </w:rPr>
        <w:t>البحار</w:t>
      </w:r>
      <w:r w:rsidR="008A74EB" w:rsidRPr="00C9040A">
        <w:rPr>
          <w:rtl/>
        </w:rPr>
        <w:t xml:space="preserve"> ، ج 72 ، ص 288 ، ح 8.</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غَيْرِي فِي عَمَلٍ ع</w:t>
      </w:r>
      <w:r w:rsidR="000B06C1">
        <w:rPr>
          <w:rtl/>
          <w:lang w:bidi="fa-IR"/>
        </w:rPr>
        <w:t>َمِلَهُ لَمْ أَقْبَلْهُ ، إِل</w:t>
      </w:r>
      <w:r w:rsidR="000B06C1">
        <w:rPr>
          <w:rFonts w:hint="cs"/>
          <w:rtl/>
          <w:lang w:bidi="fa-IR"/>
        </w:rPr>
        <w:t>َّ</w:t>
      </w:r>
      <w:r w:rsidR="000B06C1">
        <w:rPr>
          <w:rtl/>
          <w:lang w:bidi="fa-IR"/>
        </w:rPr>
        <w:t>ا</w:t>
      </w:r>
      <w:r w:rsidRPr="00C9040A">
        <w:rPr>
          <w:rtl/>
          <w:lang w:bidi="fa-IR"/>
        </w:rPr>
        <w:t xml:space="preserve"> مَا كَانَ لِي خَالِصاً »</w:t>
      </w:r>
      <w:r>
        <w:rPr>
          <w:rtl/>
          <w:lang w:bidi="fa-IR"/>
        </w:rPr>
        <w:t>.</w:t>
      </w:r>
      <w:r w:rsidRPr="00C9040A">
        <w:rPr>
          <w:rtl/>
          <w:lang w:bidi="fa-IR"/>
        </w:rPr>
        <w:t xml:space="preserve"> </w:t>
      </w:r>
      <w:r w:rsidR="006C577F" w:rsidRPr="006C577F">
        <w:rPr>
          <w:rStyle w:val="libFootnotenumChar"/>
          <w:rtl/>
        </w:rPr>
        <w:t>(1)</w:t>
      </w:r>
      <w:r w:rsidRPr="00C9040A">
        <w:rPr>
          <w:rtl/>
          <w:lang w:bidi="fa-IR"/>
        </w:rPr>
        <w:t xml:space="preserve"> ‌</w:t>
      </w:r>
    </w:p>
    <w:p w:rsidR="008A74EB" w:rsidRPr="00C9040A" w:rsidRDefault="008A74EB" w:rsidP="008A74EB">
      <w:pPr>
        <w:pStyle w:val="libNormal"/>
        <w:rPr>
          <w:rtl/>
          <w:lang w:bidi="fa-IR"/>
        </w:rPr>
      </w:pPr>
      <w:r w:rsidRPr="001751D4">
        <w:rPr>
          <w:rtl/>
        </w:rPr>
        <w:t>2496</w:t>
      </w:r>
      <w:r w:rsidRPr="00261CB0">
        <w:rPr>
          <w:rStyle w:val="libBold2Char"/>
          <w:rtl/>
        </w:rPr>
        <w:t xml:space="preserve"> / 10.</w:t>
      </w:r>
      <w:r w:rsidRPr="00C9040A">
        <w:rPr>
          <w:rtl/>
          <w:lang w:bidi="fa-IR"/>
        </w:rPr>
        <w:t xml:space="preserve"> عَلِيُّ بْنُ إِبْرَاهِيمَ ، عَنْ أَبِيهِ ، عَنِ ابْنِ مَحْبُوبٍ ، عَنْ دَاوُدَ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مَنْ أَظْهَرَ لِلنَّاسِ مَا يُحِبُّ اللهُ ، وَبَارَزَ اللهَ بِمَا كَرِهَهُ </w:t>
      </w:r>
      <w:r w:rsidR="006C577F" w:rsidRPr="006C577F">
        <w:rPr>
          <w:rStyle w:val="libFootnotenumChar"/>
          <w:rtl/>
        </w:rPr>
        <w:t>(2)</w:t>
      </w:r>
      <w:r w:rsidRPr="00C9040A">
        <w:rPr>
          <w:rtl/>
          <w:lang w:bidi="fa-IR"/>
        </w:rPr>
        <w:t xml:space="preserve"> ، لَقِيَ اللهَ وَهُوَ مَاقِتٌ </w:t>
      </w:r>
      <w:r w:rsidR="006C577F" w:rsidRPr="006C577F">
        <w:rPr>
          <w:rStyle w:val="libFootnotenumChar"/>
          <w:rtl/>
        </w:rPr>
        <w:t>(3)</w:t>
      </w:r>
      <w:r w:rsidRPr="00C9040A">
        <w:rPr>
          <w:rtl/>
          <w:lang w:bidi="fa-IR"/>
        </w:rPr>
        <w:t xml:space="preserve"> لَهُ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1751D4">
        <w:rPr>
          <w:rtl/>
        </w:rPr>
        <w:t>2497</w:t>
      </w:r>
      <w:r w:rsidRPr="00261CB0">
        <w:rPr>
          <w:rStyle w:val="libBold2Char"/>
          <w:rtl/>
        </w:rPr>
        <w:t xml:space="preserve"> / 11.</w:t>
      </w:r>
      <w:r w:rsidRPr="00C9040A">
        <w:rPr>
          <w:rtl/>
          <w:lang w:bidi="fa-IR"/>
        </w:rPr>
        <w:t xml:space="preserve"> أَبُو عَلِيٍّ الْأَشْعَرِيُّ ، عَنْ مُحَمَّدِ بْنِ عَبْدِ الْجَبَّارِ ، عَنْ صَفْوَانَ ، عَنْ فُضَيْلٍ </w:t>
      </w:r>
      <w:r w:rsidR="006C577F" w:rsidRPr="006C577F">
        <w:rPr>
          <w:rStyle w:val="libFootnotenumChar"/>
          <w:rtl/>
        </w:rPr>
        <w:t>(5)</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993B55">
        <w:rPr>
          <w:rStyle w:val="libFootnoteBoldChar"/>
          <w:rtl/>
        </w:rPr>
        <w:t>المحاسن</w:t>
      </w:r>
      <w:r w:rsidR="008A74EB" w:rsidRPr="00C9040A">
        <w:rPr>
          <w:rtl/>
        </w:rPr>
        <w:t xml:space="preserve"> ، ص 252 ، كتاب مصابيح الظلم ، ح 270. وفي </w:t>
      </w:r>
      <w:r w:rsidR="008A74EB" w:rsidRPr="00993B55">
        <w:rPr>
          <w:rStyle w:val="libFootnoteBoldChar"/>
          <w:rtl/>
        </w:rPr>
        <w:t>الزهد</w:t>
      </w:r>
      <w:r w:rsidR="008A74EB" w:rsidRPr="00C9040A">
        <w:rPr>
          <w:rtl/>
        </w:rPr>
        <w:t xml:space="preserve"> ، ص 131 ، ح 170 ، عن عثمان بن عيسى ، وفيه : « أنا أغنى الأغنياء عن الشريك من أشرك</w:t>
      </w:r>
      <w:r w:rsidR="008A74EB">
        <w:rPr>
          <w:rtl/>
        </w:rPr>
        <w:t xml:space="preserve"> ..</w:t>
      </w:r>
      <w:r w:rsidR="008A74EB" w:rsidRPr="00C9040A">
        <w:rPr>
          <w:rtl/>
        </w:rPr>
        <w:t xml:space="preserve">. » ؛ </w:t>
      </w:r>
      <w:r w:rsidR="008A74EB" w:rsidRPr="00993B55">
        <w:rPr>
          <w:rStyle w:val="libFootnoteBoldChar"/>
          <w:rtl/>
        </w:rPr>
        <w:t>تفسير العيّاشي</w:t>
      </w:r>
      <w:r w:rsidR="008A74EB" w:rsidRPr="00C9040A">
        <w:rPr>
          <w:rtl/>
        </w:rPr>
        <w:t xml:space="preserve"> ، ج 2 ، ص 353 ، ح 94 ، عن عليّ بن سالم ؛ </w:t>
      </w:r>
      <w:r w:rsidR="008A74EB" w:rsidRPr="00993B55">
        <w:rPr>
          <w:rStyle w:val="libFootnoteBoldChar"/>
          <w:rtl/>
        </w:rPr>
        <w:t>فقه الرضا</w:t>
      </w:r>
      <w:r w:rsidR="008A74EB" w:rsidRPr="00C9040A">
        <w:rPr>
          <w:rtl/>
        </w:rPr>
        <w:t xml:space="preserve"> </w:t>
      </w:r>
      <w:r w:rsidR="00117575" w:rsidRPr="00117575">
        <w:rPr>
          <w:rStyle w:val="libFootnoteAlaemChar"/>
          <w:rtl/>
        </w:rPr>
        <w:t>عليه‌السلام</w:t>
      </w:r>
      <w:r w:rsidR="008A74EB" w:rsidRPr="00C9040A">
        <w:rPr>
          <w:rtl/>
        </w:rPr>
        <w:t xml:space="preserve"> ، ص 381 ، وفي كلّها مع اختلاف يسير. راجع : </w:t>
      </w:r>
      <w:r w:rsidR="008A74EB" w:rsidRPr="00993B55">
        <w:rPr>
          <w:rStyle w:val="libFootnoteBoldChar"/>
          <w:rtl/>
        </w:rPr>
        <w:t>المحاسن</w:t>
      </w:r>
      <w:r w:rsidR="008A74EB" w:rsidRPr="00C9040A">
        <w:rPr>
          <w:rtl/>
        </w:rPr>
        <w:t xml:space="preserve"> ، ص 252 ، كتاب مصابيح الظلم ، ح 271 ، </w:t>
      </w:r>
      <w:r w:rsidR="008A74EB" w:rsidRPr="000B06C1">
        <w:rPr>
          <w:rStyle w:val="libFootnoteBoldChar"/>
          <w:rtl/>
        </w:rPr>
        <w:t>و</w:t>
      </w:r>
      <w:r w:rsidR="008A74EB" w:rsidRPr="00993B55">
        <w:rPr>
          <w:rStyle w:val="libFootnoteBoldChar"/>
          <w:rtl/>
        </w:rPr>
        <w:t>تفسير العيّاشي</w:t>
      </w:r>
      <w:r w:rsidR="008A74EB" w:rsidRPr="00C9040A">
        <w:rPr>
          <w:rtl/>
        </w:rPr>
        <w:t xml:space="preserve"> ، ج 2 ، ص 353 ، ح 95 ؛ </w:t>
      </w:r>
      <w:r w:rsidR="008A74EB" w:rsidRPr="000B06C1">
        <w:rPr>
          <w:rStyle w:val="libFootnoteBoldChar"/>
          <w:rtl/>
        </w:rPr>
        <w:t>و</w:t>
      </w:r>
      <w:r w:rsidR="008A74EB" w:rsidRPr="00993B55">
        <w:rPr>
          <w:rStyle w:val="libFootnoteBoldChar"/>
          <w:rtl/>
        </w:rPr>
        <w:t>فقه الرضا</w:t>
      </w:r>
      <w:r w:rsidR="008A74EB" w:rsidRPr="00C9040A">
        <w:rPr>
          <w:rtl/>
        </w:rPr>
        <w:t xml:space="preserve"> </w:t>
      </w:r>
      <w:r w:rsidR="00117575" w:rsidRPr="00117575">
        <w:rPr>
          <w:rStyle w:val="libFootnoteAlaemChar"/>
          <w:rtl/>
        </w:rPr>
        <w:t xml:space="preserve">عليه‌السلام </w:t>
      </w:r>
      <w:r w:rsidR="008A74EB" w:rsidRPr="00C9040A">
        <w:rPr>
          <w:rtl/>
        </w:rPr>
        <w:t xml:space="preserve"> ، ص 381 </w:t>
      </w:r>
      <w:r w:rsidR="000B06C1">
        <w:rPr>
          <w:rFonts w:hint="cs"/>
          <w:rtl/>
        </w:rPr>
        <w:t>.</w:t>
      </w:r>
      <w:r w:rsidR="008A74EB" w:rsidRPr="00993B55">
        <w:rPr>
          <w:rStyle w:val="libFootnoteBoldChar"/>
          <w:rtl/>
        </w:rPr>
        <w:t>الوافي</w:t>
      </w:r>
      <w:r w:rsidR="008A74EB" w:rsidRPr="00C9040A">
        <w:rPr>
          <w:rtl/>
        </w:rPr>
        <w:t xml:space="preserve"> ، ج 5 ، ص 856 ، ح 3142 ؛ </w:t>
      </w:r>
      <w:r w:rsidR="008A74EB" w:rsidRPr="00993B55">
        <w:rPr>
          <w:rStyle w:val="libFootnoteBoldChar"/>
          <w:rtl/>
        </w:rPr>
        <w:t>البحار</w:t>
      </w:r>
      <w:r w:rsidR="008A74EB" w:rsidRPr="00C9040A">
        <w:rPr>
          <w:rtl/>
        </w:rPr>
        <w:t xml:space="preserve"> ، ج 72 ، ص 288 ، ح 9.</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w:t>
      </w:r>
      <w:r w:rsidR="006D3162">
        <w:rPr>
          <w:rtl/>
        </w:rPr>
        <w:t xml:space="preserve">ه </w:t>
      </w:r>
      <w:r w:rsidR="008A74EB" w:rsidRPr="00C9040A">
        <w:rPr>
          <w:rtl/>
        </w:rPr>
        <w:t>» : « يكرهه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 المستفاد من اللغة أنّه من المبارزة في الحرب ، فإنّ من يعصي الله‌</w:t>
      </w:r>
      <w:r w:rsidR="000B06C1">
        <w:rPr>
          <w:rFonts w:hint="cs"/>
          <w:rtl/>
        </w:rPr>
        <w:t xml:space="preserve"> </w:t>
      </w:r>
      <w:r w:rsidR="008A74EB" w:rsidRPr="00C9040A">
        <w:rPr>
          <w:rtl/>
        </w:rPr>
        <w:t>سبحانه بمرأى ومسمع ، فكأنّه يبارزه ويقاتله »</w:t>
      </w:r>
      <w:r w:rsidR="008A74EB">
        <w:rPr>
          <w:rtl/>
        </w:rPr>
        <w:t>.</w:t>
      </w:r>
    </w:p>
    <w:p w:rsidR="008A74EB" w:rsidRPr="00C9040A" w:rsidRDefault="006C577F" w:rsidP="004A4E41">
      <w:pPr>
        <w:pStyle w:val="libFootnote0"/>
        <w:rPr>
          <w:rtl/>
          <w:lang w:bidi="fa-IR"/>
        </w:rPr>
      </w:pPr>
      <w:r>
        <w:rPr>
          <w:rtl/>
        </w:rPr>
        <w:t>(3).</w:t>
      </w:r>
      <w:r w:rsidR="000B06C1">
        <w:rPr>
          <w:rtl/>
        </w:rPr>
        <w:t xml:space="preserve"> « الم</w:t>
      </w:r>
      <w:r w:rsidR="000B06C1">
        <w:rPr>
          <w:rFonts w:hint="cs"/>
          <w:rtl/>
        </w:rPr>
        <w:t>ـَ</w:t>
      </w:r>
      <w:r w:rsidR="008A74EB" w:rsidRPr="00C9040A">
        <w:rPr>
          <w:rtl/>
        </w:rPr>
        <w:t xml:space="preserve">قْت » : أشدّ البغض. </w:t>
      </w:r>
      <w:r w:rsidR="008A74EB" w:rsidRPr="00993B55">
        <w:rPr>
          <w:rStyle w:val="libFootnoteBoldChar"/>
          <w:rtl/>
        </w:rPr>
        <w:t>النهاية</w:t>
      </w:r>
      <w:r w:rsidR="008A74EB" w:rsidRPr="00C9040A">
        <w:rPr>
          <w:rtl/>
        </w:rPr>
        <w:t xml:space="preserve"> ، ج 4 ، ص 346 ( مقت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الزهد</w:t>
      </w:r>
      <w:r w:rsidR="008A74EB" w:rsidRPr="00C9040A">
        <w:rPr>
          <w:rtl/>
        </w:rPr>
        <w:t xml:space="preserve"> ، ص 138 ، ح 188 ، بسند آخر. </w:t>
      </w:r>
      <w:r w:rsidR="008A74EB" w:rsidRPr="00993B55">
        <w:rPr>
          <w:rStyle w:val="libFootnoteBoldChar"/>
          <w:rtl/>
        </w:rPr>
        <w:t>قرب الإسناد</w:t>
      </w:r>
      <w:r w:rsidR="008A74EB" w:rsidRPr="00C9040A">
        <w:rPr>
          <w:rtl/>
        </w:rPr>
        <w:t xml:space="preserve"> ، ص 92 ، ح 309 ، بسند آخر عن جعفر ، عن أبيه ، عن عليّ </w:t>
      </w:r>
      <w:r w:rsidR="00117575" w:rsidRPr="00117575">
        <w:rPr>
          <w:rStyle w:val="libFootnoteAlaemChar"/>
          <w:rtl/>
        </w:rPr>
        <w:t>عليهم‌السلام</w:t>
      </w:r>
      <w:r w:rsidR="008A74EB" w:rsidRPr="00C9040A">
        <w:rPr>
          <w:rtl/>
        </w:rPr>
        <w:t xml:space="preserve"> عن رسول الله </w:t>
      </w:r>
      <w:r w:rsidR="004A4E41" w:rsidRPr="000B06C1">
        <w:rPr>
          <w:rStyle w:val="libFootnoteAlaemChar"/>
          <w:rtl/>
        </w:rPr>
        <w:t>صلى‌الله‌عليه‌وآله</w:t>
      </w:r>
      <w:r w:rsidR="008A74EB" w:rsidRPr="00C9040A">
        <w:rPr>
          <w:rtl/>
        </w:rPr>
        <w:t xml:space="preserve"> ، مع اختلاف يسير </w:t>
      </w:r>
      <w:r w:rsidR="000B06C1">
        <w:rPr>
          <w:rFonts w:hint="cs"/>
          <w:rtl/>
        </w:rPr>
        <w:t>.</w:t>
      </w:r>
      <w:r w:rsidR="008A74EB" w:rsidRPr="00993B55">
        <w:rPr>
          <w:rStyle w:val="libFootnoteBoldChar"/>
          <w:rtl/>
        </w:rPr>
        <w:t>الوافي</w:t>
      </w:r>
      <w:r w:rsidR="008A74EB" w:rsidRPr="00C9040A">
        <w:rPr>
          <w:rtl/>
        </w:rPr>
        <w:t xml:space="preserve"> ، ج 5 ، ص 856 ، ح 3143 ؛ </w:t>
      </w:r>
      <w:r w:rsidR="008A74EB" w:rsidRPr="00993B55">
        <w:rPr>
          <w:rStyle w:val="libFootnoteBoldChar"/>
          <w:rtl/>
        </w:rPr>
        <w:t>الوسائل</w:t>
      </w:r>
      <w:r w:rsidR="008A74EB" w:rsidRPr="00C9040A">
        <w:rPr>
          <w:rtl/>
        </w:rPr>
        <w:t xml:space="preserve"> ، ج 1 ، ص 64 ، ح 140 ؛ </w:t>
      </w:r>
      <w:r w:rsidR="008A74EB" w:rsidRPr="00993B55">
        <w:rPr>
          <w:rStyle w:val="libFootnoteBoldChar"/>
          <w:rtl/>
        </w:rPr>
        <w:t>البحار</w:t>
      </w:r>
      <w:r w:rsidR="008A74EB" w:rsidRPr="00C9040A">
        <w:rPr>
          <w:rtl/>
        </w:rPr>
        <w:t xml:space="preserve"> ، ج 72 ، ص 288 ، ح 10.</w:t>
      </w:r>
    </w:p>
    <w:p w:rsidR="008A74EB" w:rsidRPr="00C9040A" w:rsidRDefault="006C577F" w:rsidP="004A4E41">
      <w:pPr>
        <w:pStyle w:val="libFootnote0"/>
        <w:rPr>
          <w:rtl/>
          <w:lang w:bidi="fa-IR"/>
        </w:rPr>
      </w:pPr>
      <w:r>
        <w:rPr>
          <w:rtl/>
        </w:rPr>
        <w:t>(5).</w:t>
      </w:r>
      <w:r w:rsidR="008A74EB" w:rsidRPr="00C9040A">
        <w:rPr>
          <w:rtl/>
        </w:rPr>
        <w:t xml:space="preserve"> هكذا في « </w:t>
      </w:r>
      <w:r w:rsidR="006D3162">
        <w:rPr>
          <w:rtl/>
        </w:rPr>
        <w:t xml:space="preserve">ه </w:t>
      </w:r>
      <w:r w:rsidR="008A74EB" w:rsidRPr="00C9040A">
        <w:rPr>
          <w:rtl/>
        </w:rPr>
        <w:t>»</w:t>
      </w:r>
      <w:r w:rsidR="008A74EB">
        <w:rPr>
          <w:rtl/>
        </w:rPr>
        <w:t>.</w:t>
      </w:r>
      <w:r w:rsidR="008A74EB" w:rsidRPr="00C9040A">
        <w:rPr>
          <w:rtl/>
        </w:rPr>
        <w:t xml:space="preserve"> وفي « بف » : « فضيل أبي العبّاس »</w:t>
      </w:r>
      <w:r w:rsidR="008A74EB">
        <w:rPr>
          <w:rtl/>
        </w:rPr>
        <w:t>.</w:t>
      </w:r>
      <w:r w:rsidR="008A74EB" w:rsidRPr="00C9040A">
        <w:rPr>
          <w:rtl/>
        </w:rPr>
        <w:t xml:space="preserve"> وفي « ب ، ج ، د ، ز ، ص ، ف ، بر ، بس » والمطبوع والوسائل والبحار : « فضل أبي العبّاس »</w:t>
      </w:r>
      <w:r w:rsidR="008A74EB">
        <w:rPr>
          <w:rtl/>
        </w:rPr>
        <w:t>.</w:t>
      </w:r>
    </w:p>
    <w:p w:rsidR="008A74EB" w:rsidRPr="00C9040A" w:rsidRDefault="008A74EB" w:rsidP="004A4E41">
      <w:pPr>
        <w:pStyle w:val="libFootnote0"/>
        <w:rPr>
          <w:rtl/>
          <w:lang w:bidi="fa-IR"/>
        </w:rPr>
      </w:pPr>
      <w:r w:rsidRPr="00323A39">
        <w:rPr>
          <w:rtl/>
        </w:rPr>
        <w:t xml:space="preserve">وما أثبتناه هو الظاهر ، والمراد من فضيل هو فضيل بن عثمان الأعور ، ويقال له : الفضل أيضاً ، روى صفوان [ بن يحيى ] عنه بعناوينه المختلفة في </w:t>
      </w:r>
      <w:r w:rsidRPr="00993B55">
        <w:rPr>
          <w:rStyle w:val="libFootnoteBoldChar"/>
          <w:rtl/>
        </w:rPr>
        <w:t>الكافي</w:t>
      </w:r>
      <w:r w:rsidRPr="00323A39">
        <w:rPr>
          <w:rtl/>
        </w:rPr>
        <w:t xml:space="preserve"> ، ح 316 و 1585 ، </w:t>
      </w:r>
      <w:r w:rsidRPr="000B06C1">
        <w:rPr>
          <w:rStyle w:val="libFootnoteBoldChar"/>
          <w:rtl/>
        </w:rPr>
        <w:t>وا</w:t>
      </w:r>
      <w:r w:rsidRPr="00993B55">
        <w:rPr>
          <w:rStyle w:val="libFootnoteBoldChar"/>
          <w:rtl/>
        </w:rPr>
        <w:t xml:space="preserve">لتهذيب </w:t>
      </w:r>
      <w:r w:rsidRPr="00323A39">
        <w:rPr>
          <w:rtl/>
        </w:rPr>
        <w:t xml:space="preserve">، ج 1 ، ص 58 ، ح 162 ؛ وص 79 ، ح 204 ، </w:t>
      </w:r>
      <w:r w:rsidRPr="000B06C1">
        <w:rPr>
          <w:rStyle w:val="libFootnoteBoldChar"/>
          <w:rtl/>
        </w:rPr>
        <w:t>وا</w:t>
      </w:r>
      <w:r w:rsidRPr="00993B55">
        <w:rPr>
          <w:rStyle w:val="libFootnoteBoldChar"/>
          <w:rtl/>
        </w:rPr>
        <w:t>لمحاسن</w:t>
      </w:r>
      <w:r w:rsidRPr="00323A39">
        <w:rPr>
          <w:rtl/>
        </w:rPr>
        <w:t xml:space="preserve"> ، ص 394 ، ح 50 ، </w:t>
      </w:r>
      <w:r w:rsidRPr="000B06C1">
        <w:rPr>
          <w:rStyle w:val="libFootnoteBoldChar"/>
          <w:rtl/>
        </w:rPr>
        <w:t>و</w:t>
      </w:r>
      <w:r w:rsidRPr="00993B55">
        <w:rPr>
          <w:rStyle w:val="libFootnoteBoldChar"/>
          <w:rtl/>
        </w:rPr>
        <w:t xml:space="preserve">التوحيد </w:t>
      </w:r>
      <w:r w:rsidRPr="00323A39">
        <w:rPr>
          <w:rtl/>
        </w:rPr>
        <w:t xml:space="preserve">، ص 314 ، ح 2 ؛ وص 457 ، ح 15 ؛ </w:t>
      </w:r>
      <w:r w:rsidRPr="000B5CCC">
        <w:rPr>
          <w:rStyle w:val="libFootnoteBoldChar"/>
          <w:rtl/>
        </w:rPr>
        <w:t>و</w:t>
      </w:r>
      <w:r w:rsidRPr="00993B55">
        <w:rPr>
          <w:rStyle w:val="libFootnoteBoldChar"/>
          <w:rtl/>
        </w:rPr>
        <w:t xml:space="preserve">رجال الكشّي </w:t>
      </w:r>
      <w:r w:rsidRPr="00323A39">
        <w:rPr>
          <w:rtl/>
        </w:rPr>
        <w:t>، ص 235 ، الرقم 428 ؛ و</w:t>
      </w:r>
      <w:r w:rsidRPr="00993B55">
        <w:rPr>
          <w:rStyle w:val="libFootnoteBoldChar"/>
          <w:rtl/>
        </w:rPr>
        <w:t>رجال النجاشي</w:t>
      </w:r>
      <w:r w:rsidRPr="00323A39">
        <w:rPr>
          <w:rtl/>
        </w:rPr>
        <w:t xml:space="preserve"> ، ص 276 ، الرقم 725. راجع : </w:t>
      </w:r>
      <w:r w:rsidRPr="00993B55">
        <w:rPr>
          <w:rStyle w:val="libFootnoteBoldChar"/>
          <w:rtl/>
        </w:rPr>
        <w:t>رجال الطوسي</w:t>
      </w:r>
      <w:r w:rsidRPr="00323A39">
        <w:rPr>
          <w:rtl/>
        </w:rPr>
        <w:t xml:space="preserve"> ، ص 268 ، الرقم 3854 ؛ وص 269 ، الرقم 3877 ؛ </w:t>
      </w:r>
      <w:r w:rsidRPr="00993B55">
        <w:rPr>
          <w:rStyle w:val="libFootnoteBoldChar"/>
          <w:rtl/>
        </w:rPr>
        <w:t>رجال النجاشي</w:t>
      </w:r>
      <w:r w:rsidRPr="00323A39">
        <w:rPr>
          <w:rtl/>
        </w:rPr>
        <w:t xml:space="preserve"> ، ص 308 ، الرقم 841.</w:t>
      </w:r>
    </w:p>
    <w:p w:rsidR="008A74EB" w:rsidRPr="00C9040A" w:rsidRDefault="008A74EB" w:rsidP="004A4E41">
      <w:pPr>
        <w:pStyle w:val="libFootnote0"/>
        <w:rPr>
          <w:rtl/>
          <w:lang w:bidi="fa-IR"/>
        </w:rPr>
      </w:pPr>
      <w:r w:rsidRPr="0082575F">
        <w:rPr>
          <w:rtl/>
        </w:rPr>
        <w:t>وأمّا رواية صفوان</w:t>
      </w:r>
      <w:r>
        <w:rPr>
          <w:rtl/>
        </w:rPr>
        <w:t xml:space="preserve"> </w:t>
      </w:r>
      <w:r w:rsidR="0084262C">
        <w:rPr>
          <w:rtl/>
        </w:rPr>
        <w:t>-</w:t>
      </w:r>
      <w:r>
        <w:rPr>
          <w:rtl/>
        </w:rPr>
        <w:t xml:space="preserve"> </w:t>
      </w:r>
      <w:r w:rsidRPr="0082575F">
        <w:rPr>
          <w:rtl/>
        </w:rPr>
        <w:t>والمراد منه صفوان بن يحيى</w:t>
      </w:r>
      <w:r>
        <w:rPr>
          <w:rtl/>
        </w:rPr>
        <w:t xml:space="preserve"> </w:t>
      </w:r>
      <w:r w:rsidR="0084262C">
        <w:rPr>
          <w:rtl/>
        </w:rPr>
        <w:t>-</w:t>
      </w:r>
      <w:r>
        <w:rPr>
          <w:rtl/>
        </w:rPr>
        <w:t xml:space="preserve"> </w:t>
      </w:r>
      <w:r w:rsidRPr="0082575F">
        <w:rPr>
          <w:rtl/>
        </w:rPr>
        <w:t>عن الفضل أبي العبّاس</w:t>
      </w:r>
      <w:r>
        <w:rPr>
          <w:rtl/>
        </w:rPr>
        <w:t xml:space="preserve"> </w:t>
      </w:r>
      <w:r w:rsidR="0084262C">
        <w:rPr>
          <w:rtl/>
        </w:rPr>
        <w:t>-</w:t>
      </w:r>
      <w:r>
        <w:rPr>
          <w:rtl/>
        </w:rPr>
        <w:t xml:space="preserve"> </w:t>
      </w:r>
      <w:r w:rsidRPr="0082575F">
        <w:rPr>
          <w:rtl/>
        </w:rPr>
        <w:t>وهو الفضل بن عبدالملك البقباق</w:t>
      </w:r>
      <w:r>
        <w:rPr>
          <w:rtl/>
        </w:rPr>
        <w:t xml:space="preserve"> </w:t>
      </w:r>
      <w:r w:rsidR="0084262C">
        <w:rPr>
          <w:rtl/>
        </w:rPr>
        <w:t>-</w:t>
      </w:r>
      <w:r>
        <w:rPr>
          <w:rtl/>
        </w:rPr>
        <w:t xml:space="preserve"> </w:t>
      </w:r>
      <w:r w:rsidRPr="0082575F">
        <w:rPr>
          <w:rtl/>
        </w:rPr>
        <w:t>فلم تثبت في موضع.</w:t>
      </w:r>
    </w:p>
    <w:p w:rsidR="008A74EB" w:rsidRPr="00C9040A" w:rsidRDefault="008A74EB" w:rsidP="004A4E41">
      <w:pPr>
        <w:pStyle w:val="libFootnote0"/>
        <w:rPr>
          <w:rtl/>
          <w:lang w:bidi="fa-IR"/>
        </w:rPr>
      </w:pPr>
      <w:r w:rsidRPr="0082575F">
        <w:rPr>
          <w:rtl/>
        </w:rPr>
        <w:t>والمحتمل قويّاً أنّ لفظة « أبي العبّاس » زيدت في حاشية بعض النسخ تفسيراً لفضل ثمّ ادرجت في المتن ، في الاستنساخات التالية سهواً.</w:t>
      </w:r>
    </w:p>
    <w:p w:rsidR="008A74EB" w:rsidRPr="00C9040A" w:rsidRDefault="008A74EB" w:rsidP="004A4E41">
      <w:pPr>
        <w:pStyle w:val="libFootnote0"/>
        <w:rPr>
          <w:rtl/>
          <w:lang w:bidi="fa-IR"/>
        </w:rPr>
      </w:pPr>
      <w:r w:rsidRPr="0082575F">
        <w:rPr>
          <w:rtl/>
        </w:rPr>
        <w:t xml:space="preserve">هذا ، وجدير بالذكر أنّ نسخة « </w:t>
      </w:r>
      <w:r w:rsidR="006D3162">
        <w:rPr>
          <w:rtl/>
        </w:rPr>
        <w:t xml:space="preserve">ه </w:t>
      </w:r>
      <w:r w:rsidRPr="0082575F">
        <w:rPr>
          <w:rtl/>
        </w:rPr>
        <w:t>» هي أقدم النسخ وأكثرها اعتباراً في ما نحن فيه.</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مَا يَصْنَعُ أَحَدُكُمْ أَنْ يُظْهِرَ حَسَناً وَيُسِرَّ </w:t>
      </w:r>
      <w:r w:rsidR="006C577F" w:rsidRPr="006C577F">
        <w:rPr>
          <w:rStyle w:val="libFootnotenumChar"/>
          <w:rtl/>
        </w:rPr>
        <w:t>(1)</w:t>
      </w:r>
      <w:r>
        <w:rPr>
          <w:rtl/>
          <w:lang w:bidi="fa-IR"/>
        </w:rPr>
        <w:t xml:space="preserve"> سَيِّئاً ، أَ</w:t>
      </w:r>
      <w:r w:rsidRPr="00C9040A">
        <w:rPr>
          <w:rtl/>
          <w:lang w:bidi="fa-IR"/>
        </w:rPr>
        <w:t>لَيْسَ يَرْجِعُ إِلى نَفْسِهِ ، فَيَعْلَمَ أَنَّ ذلِكَ لَيْسَ كَذلِكَ</w:t>
      </w:r>
      <w:r>
        <w:rPr>
          <w:rtl/>
          <w:lang w:bidi="fa-IR"/>
        </w:rPr>
        <w:t>؟</w:t>
      </w:r>
      <w:r w:rsidRPr="00C9040A">
        <w:rPr>
          <w:rtl/>
          <w:lang w:bidi="fa-IR"/>
        </w:rPr>
        <w:t xml:space="preserve"> وَاللهُ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يَقُولُ : </w:t>
      </w:r>
      <w:r w:rsidRPr="0003660B">
        <w:rPr>
          <w:rStyle w:val="libAlaemChar"/>
          <w:rtl/>
        </w:rPr>
        <w:t>(</w:t>
      </w:r>
      <w:r w:rsidRPr="006A2246">
        <w:rPr>
          <w:rStyle w:val="libAieChar"/>
          <w:rtl/>
        </w:rPr>
        <w:t xml:space="preserve"> بَلِ الْإِنْسانُ عَلى نَفْسِهِ بَصِيرَةٌ </w:t>
      </w:r>
      <w:r w:rsidRPr="0003660B">
        <w:rPr>
          <w:rStyle w:val="libAlaemChar"/>
          <w:rtl/>
        </w:rPr>
        <w:t>)</w:t>
      </w:r>
      <w:r w:rsidRPr="00C9040A">
        <w:rPr>
          <w:rtl/>
          <w:lang w:bidi="fa-IR"/>
        </w:rPr>
        <w:t xml:space="preserve"> </w:t>
      </w:r>
      <w:r w:rsidR="006C577F" w:rsidRPr="006C577F">
        <w:rPr>
          <w:rStyle w:val="libFootnotenumChar"/>
          <w:rtl/>
        </w:rPr>
        <w:t>(2)</w:t>
      </w:r>
      <w:r w:rsidRPr="00C9040A">
        <w:rPr>
          <w:rtl/>
          <w:lang w:bidi="fa-IR"/>
        </w:rPr>
        <w:t xml:space="preserve"> إِنَّ السَّرِيرَةَ إِذَا صَحَّتْ </w:t>
      </w:r>
      <w:r w:rsidR="006C577F" w:rsidRPr="006C577F">
        <w:rPr>
          <w:rStyle w:val="libFootnotenumChar"/>
          <w:rtl/>
        </w:rPr>
        <w:t>(3)</w:t>
      </w:r>
      <w:r w:rsidRPr="00C9040A">
        <w:rPr>
          <w:rtl/>
          <w:lang w:bidi="fa-IR"/>
        </w:rPr>
        <w:t xml:space="preserve"> ، قَوِيَتِ الْعَلَانِيَةُ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0B5CCC" w:rsidP="008A74EB">
      <w:pPr>
        <w:pStyle w:val="libNormal"/>
        <w:rPr>
          <w:rtl/>
          <w:lang w:bidi="fa-IR"/>
        </w:rPr>
      </w:pPr>
      <w:r>
        <w:rPr>
          <w:rFonts w:hint="cs"/>
          <w:rtl/>
          <w:lang w:bidi="fa-IR"/>
        </w:rPr>
        <w:t xml:space="preserve">* </w:t>
      </w:r>
      <w:r w:rsidR="008A74EB" w:rsidRPr="00C9040A">
        <w:rPr>
          <w:rtl/>
          <w:lang w:bidi="fa-IR"/>
        </w:rPr>
        <w:t xml:space="preserve">الْحُسَيْنُ بْنُ مُحَمَّدٍ ، عَنْ مُعَلَّى بْنِ مُحَمَّدٍ ، عَنْ مُحَمَّدِ بْنِ جُمْهُورٍ ، عَنْ فَضَالَةَ ، عَنْ مُعَاوِيَةَ ، عَنِ الْفَضْلِ </w:t>
      </w:r>
      <w:r w:rsidR="006C577F" w:rsidRPr="006C577F">
        <w:rPr>
          <w:rStyle w:val="libFootnotenumChar"/>
          <w:rtl/>
        </w:rPr>
        <w:t>(5)</w:t>
      </w:r>
      <w:r w:rsidR="008A74EB" w:rsidRPr="00C9040A">
        <w:rPr>
          <w:rtl/>
          <w:lang w:bidi="fa-IR"/>
        </w:rPr>
        <w:t xml:space="preserve"> ، عَنْ أَبِي عَبْدِ اللهِ </w:t>
      </w:r>
      <w:r w:rsidR="008A74EB" w:rsidRPr="0003660B">
        <w:rPr>
          <w:rStyle w:val="libAlaemChar"/>
          <w:rtl/>
        </w:rPr>
        <w:t>عليه‌السلام</w:t>
      </w:r>
      <w:r w:rsidR="008A74EB" w:rsidRPr="00C9040A">
        <w:rPr>
          <w:rtl/>
          <w:lang w:bidi="fa-IR"/>
        </w:rPr>
        <w:t xml:space="preserve"> ، مِثْلَهُ.</w:t>
      </w:r>
    </w:p>
    <w:p w:rsidR="008A74EB" w:rsidRPr="00C9040A" w:rsidRDefault="008A74EB" w:rsidP="008A74EB">
      <w:pPr>
        <w:pStyle w:val="libNormal"/>
        <w:rPr>
          <w:rtl/>
          <w:lang w:bidi="fa-IR"/>
        </w:rPr>
      </w:pPr>
      <w:r w:rsidRPr="00B43393">
        <w:rPr>
          <w:rtl/>
        </w:rPr>
        <w:t>2498</w:t>
      </w:r>
      <w:r w:rsidRPr="00261CB0">
        <w:rPr>
          <w:rStyle w:val="libBold2Char"/>
          <w:rtl/>
        </w:rPr>
        <w:t xml:space="preserve"> / 12.</w:t>
      </w:r>
      <w:r w:rsidRPr="00C9040A">
        <w:rPr>
          <w:rtl/>
          <w:lang w:bidi="fa-IR"/>
        </w:rPr>
        <w:t xml:space="preserve"> عَلِيُّ بْنُ إِبْرَاهِيمَ ، عَنْ صَالِحِ بْنِ السِّنْدِيِّ ، عَنْ جَعْفَرِ بْنِ بَشِيرٍ ، عَنْ عَلِيِّ بْنِ أَبِي حَمْزَةَ ، عَنْ أَبِي بَصِيرٍ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مَا مِ</w:t>
      </w:r>
      <w:r w:rsidR="000B5CCC">
        <w:rPr>
          <w:rtl/>
          <w:lang w:bidi="fa-IR"/>
        </w:rPr>
        <w:t>نْ عَبْدٍ يُسِرُّ خَيْراً إِل</w:t>
      </w:r>
      <w:r w:rsidR="000B5CCC">
        <w:rPr>
          <w:rFonts w:hint="cs"/>
          <w:rtl/>
          <w:lang w:bidi="fa-IR"/>
        </w:rPr>
        <w:t>َّ</w:t>
      </w:r>
      <w:r w:rsidR="000B5CCC">
        <w:rPr>
          <w:rtl/>
          <w:lang w:bidi="fa-IR"/>
        </w:rPr>
        <w:t>ا</w:t>
      </w:r>
      <w:r w:rsidRPr="00C9040A">
        <w:rPr>
          <w:rtl/>
          <w:lang w:bidi="fa-IR"/>
        </w:rPr>
        <w:t xml:space="preserve"> لَمْ تَذْهَبِ الْأَيَّامُ حَتّى يُظْهِرَ اللهُ لَهُ خَيْراً ، وَمَا م</w:t>
      </w:r>
      <w:r w:rsidR="000B5CCC">
        <w:rPr>
          <w:rtl/>
          <w:lang w:bidi="fa-IR"/>
        </w:rPr>
        <w:t>ِنْ عَبْدٍ يُسِرُّ شَرّاً إِل</w:t>
      </w:r>
      <w:r w:rsidR="000B5CCC">
        <w:rPr>
          <w:rFonts w:hint="cs"/>
          <w:rtl/>
          <w:lang w:bidi="fa-IR"/>
        </w:rPr>
        <w:t>َّ</w:t>
      </w:r>
      <w:r w:rsidR="000B5CCC">
        <w:rPr>
          <w:rtl/>
          <w:lang w:bidi="fa-IR"/>
        </w:rPr>
        <w:t>ا</w:t>
      </w:r>
      <w:r w:rsidRPr="00C9040A">
        <w:rPr>
          <w:rtl/>
          <w:lang w:bidi="fa-IR"/>
        </w:rPr>
        <w:t xml:space="preserve"> لَمْ تَذْهَبِ الْأَيَّامُ حَتّى يُظْهِرَ اللهُ لَهُ شَرّاً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Normal"/>
        <w:rPr>
          <w:rtl/>
          <w:lang w:bidi="fa-IR"/>
        </w:rPr>
      </w:pPr>
      <w:r w:rsidRPr="00B43393">
        <w:rPr>
          <w:rtl/>
        </w:rPr>
        <w:t>2499</w:t>
      </w:r>
      <w:r w:rsidRPr="00261CB0">
        <w:rPr>
          <w:rStyle w:val="libBold2Char"/>
          <w:rtl/>
        </w:rPr>
        <w:t xml:space="preserve"> / 13.</w:t>
      </w:r>
      <w:r w:rsidRPr="00C9040A">
        <w:rPr>
          <w:rtl/>
          <w:lang w:bidi="fa-IR"/>
        </w:rPr>
        <w:t xml:space="preserve"> عِدَّةٌ مِنْ أَصْحَابِنَا ، عَنْ سَهْلِ بْنِ زِيَادٍ ، عَنْ عَلِيِّ </w:t>
      </w:r>
      <w:r w:rsidR="006C577F" w:rsidRPr="006C577F">
        <w:rPr>
          <w:rStyle w:val="libFootnotenumChar"/>
          <w:rtl/>
        </w:rPr>
        <w:t>(7)</w:t>
      </w:r>
      <w:r w:rsidRPr="00C9040A">
        <w:rPr>
          <w:rtl/>
          <w:lang w:bidi="fa-IR"/>
        </w:rPr>
        <w:t xml:space="preserve"> بْنِ أَسْبَاطٍ ، عَنْ يَحْيَى بْنِ بَشِيرٍ ، عَنْ أَبِيهِ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مَنْ أَرَادَ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بِالْقَلِيلِ مِنْ عَمَلِهِ ، أَظْهَرَ </w:t>
      </w:r>
      <w:r w:rsidR="006C577F" w:rsidRPr="006C577F">
        <w:rPr>
          <w:rStyle w:val="libFootnotenumChar"/>
          <w:rtl/>
        </w:rPr>
        <w:t>(8)</w:t>
      </w:r>
      <w:r w:rsidRPr="00C9040A">
        <w:rPr>
          <w:rtl/>
          <w:lang w:bidi="fa-IR"/>
        </w:rPr>
        <w:t xml:space="preserve"> اللهُ لَهُ </w:t>
      </w:r>
      <w:r w:rsidR="006C577F" w:rsidRPr="006C577F">
        <w:rPr>
          <w:rStyle w:val="libFootnotenumChar"/>
          <w:rtl/>
        </w:rPr>
        <w:t>(9)</w:t>
      </w:r>
      <w:r w:rsidRPr="00C9040A">
        <w:rPr>
          <w:rtl/>
          <w:lang w:bidi="fa-IR"/>
        </w:rPr>
        <w:t xml:space="preserve"> أَكْثَرَ مِمَّا أَرَادَ </w:t>
      </w:r>
      <w:r w:rsidR="006C577F" w:rsidRPr="006C577F">
        <w:rPr>
          <w:rStyle w:val="libFootnotenumChar"/>
          <w:rtl/>
        </w:rPr>
        <w:t>(10)</w:t>
      </w:r>
      <w:r w:rsidRPr="00C9040A">
        <w:rPr>
          <w:rtl/>
          <w:lang w:bidi="fa-IR"/>
        </w:rPr>
        <w:t xml:space="preserve"> ؛ وَمَنْ أَرَادَ النَّاسَ بِالْكَثِيرِ مِنْ عَمَلِهِ </w:t>
      </w:r>
      <w:r w:rsidR="006C577F" w:rsidRPr="006C577F">
        <w:rPr>
          <w:rStyle w:val="libFootnotenumChar"/>
          <w:rtl/>
        </w:rPr>
        <w:t>(11)</w:t>
      </w:r>
      <w:r w:rsidRPr="00C9040A">
        <w:rPr>
          <w:rtl/>
          <w:lang w:bidi="fa-IR"/>
        </w:rPr>
        <w:t xml:space="preserve"> فِي تَعَبٍ مِنْ </w:t>
      </w:r>
      <w:r w:rsidR="006C577F" w:rsidRPr="006C577F">
        <w:rPr>
          <w:rStyle w:val="libFootnotenumChar"/>
          <w:rtl/>
        </w:rPr>
        <w:t>(12)</w:t>
      </w:r>
      <w:r w:rsidRPr="00C9040A">
        <w:rPr>
          <w:rtl/>
          <w:lang w:bidi="fa-IR"/>
        </w:rPr>
        <w:t xml:space="preserve"> بَدَنِهِ وَسَهَرٍ‌</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0B5CCC" w:rsidTr="000B5CCC">
        <w:tc>
          <w:tcPr>
            <w:tcW w:w="4006" w:type="dxa"/>
          </w:tcPr>
          <w:p w:rsidR="000B5CCC" w:rsidRDefault="000B5CCC" w:rsidP="004A4E41">
            <w:pPr>
              <w:pStyle w:val="libFootnote0"/>
              <w:rPr>
                <w:rtl/>
              </w:rPr>
            </w:pPr>
            <w:r>
              <w:rPr>
                <w:rtl/>
              </w:rPr>
              <w:t xml:space="preserve">(1). </w:t>
            </w:r>
            <w:r w:rsidRPr="00C9040A">
              <w:rPr>
                <w:rtl/>
              </w:rPr>
              <w:t xml:space="preserve">في « </w:t>
            </w:r>
            <w:r>
              <w:rPr>
                <w:rtl/>
              </w:rPr>
              <w:t xml:space="preserve">ه </w:t>
            </w:r>
            <w:r w:rsidRPr="00C9040A">
              <w:rPr>
                <w:rtl/>
              </w:rPr>
              <w:t>» : « ويستر »</w:t>
            </w:r>
            <w:r>
              <w:rPr>
                <w:rtl/>
              </w:rPr>
              <w:t>.</w:t>
            </w:r>
          </w:p>
        </w:tc>
        <w:tc>
          <w:tcPr>
            <w:tcW w:w="4006" w:type="dxa"/>
          </w:tcPr>
          <w:p w:rsidR="000B5CCC" w:rsidRDefault="000B5CCC" w:rsidP="000B5CCC">
            <w:pPr>
              <w:pStyle w:val="libFootnote0"/>
              <w:rPr>
                <w:rtl/>
              </w:rPr>
            </w:pPr>
            <w:r>
              <w:rPr>
                <w:rtl/>
              </w:rPr>
              <w:t>(2).القيامة(75):14.وفي «ج»:+</w:t>
            </w:r>
            <w:r w:rsidRPr="000B5CCC">
              <w:rPr>
                <w:rStyle w:val="libFootnoteAlaemChar"/>
                <w:rFonts w:hint="cs"/>
                <w:rtl/>
              </w:rPr>
              <w:t>(</w:t>
            </w:r>
            <w:r w:rsidRPr="000B5CCC">
              <w:rPr>
                <w:rStyle w:val="libFootnoteAieChar"/>
                <w:rtl/>
              </w:rPr>
              <w:t>وَلَوْ أَلْقَى مَعَاذِيرَهُ</w:t>
            </w:r>
            <w:r w:rsidRPr="000B5CCC">
              <w:rPr>
                <w:rStyle w:val="libFootnoteAlaemChar"/>
                <w:rFonts w:hint="cs"/>
                <w:rtl/>
              </w:rPr>
              <w:t>)</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في الوسائل : « صلحت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w:t>
      </w:r>
      <w:r w:rsidR="008A74EB" w:rsidRPr="0034021D">
        <w:rPr>
          <w:rStyle w:val="libFootnoteBoldChar"/>
          <w:rtl/>
        </w:rPr>
        <w:t>الأمالي للمفيد</w:t>
      </w:r>
      <w:r w:rsidR="008A74EB" w:rsidRPr="00C9040A">
        <w:rPr>
          <w:rtl/>
        </w:rPr>
        <w:t xml:space="preserve"> ، ص 214 ، المجلس 24 ، ح 6 ، بسند آخر ، مع اختلاف يسير </w:t>
      </w:r>
      <w:r w:rsidR="000B5CCC">
        <w:rPr>
          <w:rFonts w:hint="cs"/>
          <w:rtl/>
        </w:rPr>
        <w:t>.</w:t>
      </w:r>
      <w:r w:rsidR="008A74EB" w:rsidRPr="00993B55">
        <w:rPr>
          <w:rStyle w:val="libFootnoteBoldChar"/>
          <w:rtl/>
        </w:rPr>
        <w:t>الوافي</w:t>
      </w:r>
      <w:r w:rsidR="008A74EB" w:rsidRPr="00C9040A">
        <w:rPr>
          <w:rtl/>
        </w:rPr>
        <w:t xml:space="preserve"> ، ج 5 ، ص 855 ، ح 3140 ؛ </w:t>
      </w:r>
      <w:r w:rsidR="008A74EB" w:rsidRPr="00993B55">
        <w:rPr>
          <w:rStyle w:val="libFootnoteBoldChar"/>
          <w:rtl/>
        </w:rPr>
        <w:t>الوسائل</w:t>
      </w:r>
      <w:r w:rsidR="008A74EB" w:rsidRPr="00C9040A">
        <w:rPr>
          <w:rtl/>
        </w:rPr>
        <w:t xml:space="preserve"> ، ج 1 ، ص 64 ، ح 138 ؛ </w:t>
      </w:r>
      <w:r w:rsidR="008A74EB" w:rsidRPr="00993B55">
        <w:rPr>
          <w:rStyle w:val="libFootnoteBoldChar"/>
          <w:rtl/>
        </w:rPr>
        <w:t>البحار</w:t>
      </w:r>
      <w:r w:rsidR="008A74EB" w:rsidRPr="00C9040A">
        <w:rPr>
          <w:rtl/>
        </w:rPr>
        <w:t xml:space="preserve"> ، ج 72 ، ص 289 ، ح 11.</w:t>
      </w:r>
    </w:p>
    <w:p w:rsidR="008A74EB" w:rsidRPr="00C9040A" w:rsidRDefault="006C577F" w:rsidP="004A4E41">
      <w:pPr>
        <w:pStyle w:val="libFootnote0"/>
        <w:rPr>
          <w:rtl/>
          <w:lang w:bidi="fa-IR"/>
        </w:rPr>
      </w:pPr>
      <w:r>
        <w:rPr>
          <w:rtl/>
        </w:rPr>
        <w:t>(5).</w:t>
      </w:r>
      <w:r w:rsidR="008A74EB" w:rsidRPr="00C9040A">
        <w:rPr>
          <w:rtl/>
        </w:rPr>
        <w:t xml:space="preserve"> هكذا في « ج ، د ، ز ، ص ، </w:t>
      </w:r>
      <w:r w:rsidR="006D3162">
        <w:rPr>
          <w:rtl/>
        </w:rPr>
        <w:t xml:space="preserve">ه </w:t>
      </w:r>
      <w:r w:rsidR="008A74EB" w:rsidRPr="00C9040A">
        <w:rPr>
          <w:rtl/>
        </w:rPr>
        <w:t>، بر ، بس ، بف »</w:t>
      </w:r>
      <w:r w:rsidR="008A74EB">
        <w:rPr>
          <w:rtl/>
        </w:rPr>
        <w:t>.</w:t>
      </w:r>
      <w:r w:rsidR="008A74EB" w:rsidRPr="00C9040A">
        <w:rPr>
          <w:rtl/>
        </w:rPr>
        <w:t xml:space="preserve"> وفي « ب ، جر » والمطبوع : « الفضيل »</w:t>
      </w:r>
      <w:r w:rsidR="008A74EB">
        <w:rPr>
          <w:rtl/>
        </w:rPr>
        <w:t>.</w:t>
      </w:r>
    </w:p>
    <w:p w:rsidR="008A74EB" w:rsidRPr="00C9040A" w:rsidRDefault="008A74EB" w:rsidP="004A4E41">
      <w:pPr>
        <w:pStyle w:val="libFootnote0"/>
        <w:rPr>
          <w:rtl/>
          <w:lang w:bidi="fa-IR"/>
        </w:rPr>
      </w:pPr>
      <w:r w:rsidRPr="0082575F">
        <w:rPr>
          <w:rtl/>
        </w:rPr>
        <w:t>هذا ، ولا يبعد اتّحاد الفضل هذا مع الفضيل المذكور في السند السابق ؛ فإنّه يقال له : الفضل والفضيل كلاهما.</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الوافي</w:t>
      </w:r>
      <w:r w:rsidR="008A74EB" w:rsidRPr="00C9040A">
        <w:rPr>
          <w:rtl/>
        </w:rPr>
        <w:t xml:space="preserve"> ، ج 5 ، ص 854 ، ح 3137 ؛ </w:t>
      </w:r>
      <w:r w:rsidR="008A74EB" w:rsidRPr="00993B55">
        <w:rPr>
          <w:rStyle w:val="libFootnoteBoldChar"/>
          <w:rtl/>
        </w:rPr>
        <w:t>الوسائل</w:t>
      </w:r>
      <w:r w:rsidR="008A74EB" w:rsidRPr="00C9040A">
        <w:rPr>
          <w:rtl/>
        </w:rPr>
        <w:t xml:space="preserve"> ، ج 1 ، ص 57 ، ح 119 ؛ </w:t>
      </w:r>
      <w:r w:rsidR="008A74EB" w:rsidRPr="00993B55">
        <w:rPr>
          <w:rStyle w:val="libFootnoteBoldChar"/>
          <w:rtl/>
        </w:rPr>
        <w:t>البحار</w:t>
      </w:r>
      <w:r w:rsidR="008A74EB" w:rsidRPr="00C9040A">
        <w:rPr>
          <w:rtl/>
        </w:rPr>
        <w:t xml:space="preserve"> ، ج 72 ، ص 289 ، ح 12.</w:t>
      </w:r>
    </w:p>
    <w:p w:rsidR="008A74EB" w:rsidRPr="00C9040A" w:rsidRDefault="006C577F" w:rsidP="004A4E41">
      <w:pPr>
        <w:pStyle w:val="libFootnote0"/>
        <w:rPr>
          <w:rtl/>
          <w:lang w:bidi="fa-IR"/>
        </w:rPr>
      </w:pPr>
      <w:r>
        <w:rPr>
          <w:rtl/>
        </w:rPr>
        <w:t>(7).</w:t>
      </w:r>
      <w:r w:rsidR="008A74EB" w:rsidRPr="00C9040A">
        <w:rPr>
          <w:rtl/>
        </w:rPr>
        <w:t xml:space="preserve"> في « </w:t>
      </w:r>
      <w:r w:rsidR="006D3162">
        <w:rPr>
          <w:rtl/>
        </w:rPr>
        <w:t xml:space="preserve">ه </w:t>
      </w:r>
      <w:r w:rsidR="008A74EB" w:rsidRPr="00C9040A">
        <w:rPr>
          <w:rtl/>
        </w:rPr>
        <w:t xml:space="preserve">» </w:t>
      </w:r>
      <w:r w:rsidR="008A74EB">
        <w:rPr>
          <w:rtl/>
        </w:rPr>
        <w:t xml:space="preserve">: </w:t>
      </w:r>
      <w:r w:rsidR="0084262C">
        <w:rPr>
          <w:rtl/>
        </w:rPr>
        <w:t>-</w:t>
      </w:r>
      <w:r w:rsidR="008A74EB" w:rsidRPr="00C9040A">
        <w:rPr>
          <w:rtl/>
        </w:rPr>
        <w:t xml:space="preserve"> « عليّ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البحار : « أظهره » ، وكذا في </w:t>
      </w:r>
      <w:r w:rsidR="008A74EB" w:rsidRPr="00993B55">
        <w:rPr>
          <w:rStyle w:val="libFootnoteBoldChar"/>
          <w:rtl/>
        </w:rPr>
        <w:t>مرآة العقول</w:t>
      </w:r>
      <w:r w:rsidR="008A74EB" w:rsidRPr="00C9040A">
        <w:rPr>
          <w:rtl/>
        </w:rPr>
        <w:t xml:space="preserve"> نقلاً عن بعض النسخ.</w:t>
      </w:r>
    </w:p>
    <w:tbl>
      <w:tblPr>
        <w:tblStyle w:val="TableGrid"/>
        <w:bidiVisual/>
        <w:tblW w:w="0" w:type="auto"/>
        <w:tblLook w:val="04A0" w:firstRow="1" w:lastRow="0" w:firstColumn="1" w:lastColumn="0" w:noHBand="0" w:noVBand="1"/>
      </w:tblPr>
      <w:tblGrid>
        <w:gridCol w:w="4006"/>
        <w:gridCol w:w="4006"/>
      </w:tblGrid>
      <w:tr w:rsidR="000B5CCC" w:rsidTr="000B5CCC">
        <w:tc>
          <w:tcPr>
            <w:tcW w:w="4006" w:type="dxa"/>
          </w:tcPr>
          <w:p w:rsidR="000B5CCC" w:rsidRDefault="000B5CCC" w:rsidP="004A4E41">
            <w:pPr>
              <w:pStyle w:val="libFootnote0"/>
              <w:rPr>
                <w:rtl/>
              </w:rPr>
            </w:pPr>
            <w:r>
              <w:rPr>
                <w:rtl/>
              </w:rPr>
              <w:t>(9).</w:t>
            </w:r>
            <w:r w:rsidRPr="00C9040A">
              <w:rPr>
                <w:rtl/>
              </w:rPr>
              <w:t xml:space="preserve"> في « </w:t>
            </w:r>
            <w:r>
              <w:rPr>
                <w:rtl/>
              </w:rPr>
              <w:t xml:space="preserve">ه </w:t>
            </w:r>
            <w:r w:rsidRPr="00C9040A">
              <w:rPr>
                <w:rtl/>
              </w:rPr>
              <w:t>» : « جلّ وعزّ » بدل « له »</w:t>
            </w:r>
            <w:r>
              <w:rPr>
                <w:rtl/>
              </w:rPr>
              <w:t>.</w:t>
            </w:r>
          </w:p>
        </w:tc>
        <w:tc>
          <w:tcPr>
            <w:tcW w:w="4006" w:type="dxa"/>
          </w:tcPr>
          <w:p w:rsidR="000B5CCC" w:rsidRDefault="000B5CCC" w:rsidP="004A4E41">
            <w:pPr>
              <w:pStyle w:val="libFootnote0"/>
              <w:rPr>
                <w:rtl/>
              </w:rPr>
            </w:pPr>
            <w:r>
              <w:rPr>
                <w:rtl/>
              </w:rPr>
              <w:t>(10).</w:t>
            </w:r>
            <w:r w:rsidRPr="00C9040A">
              <w:rPr>
                <w:rtl/>
              </w:rPr>
              <w:t xml:space="preserve"> في المحاسن : « أراده به »</w:t>
            </w:r>
            <w:r>
              <w:rPr>
                <w:rtl/>
              </w:rPr>
              <w:t>.</w:t>
            </w:r>
          </w:p>
        </w:tc>
      </w:tr>
      <w:tr w:rsidR="000B5CCC" w:rsidTr="000B5CCC">
        <w:tc>
          <w:tcPr>
            <w:tcW w:w="4006" w:type="dxa"/>
          </w:tcPr>
          <w:p w:rsidR="000B5CCC" w:rsidRDefault="000B5CCC" w:rsidP="004A4E41">
            <w:pPr>
              <w:pStyle w:val="libFootnote0"/>
              <w:rPr>
                <w:rtl/>
              </w:rPr>
            </w:pPr>
            <w:r>
              <w:rPr>
                <w:rtl/>
              </w:rPr>
              <w:t>(11).</w:t>
            </w:r>
            <w:r w:rsidRPr="00C9040A">
              <w:rPr>
                <w:rtl/>
              </w:rPr>
              <w:t xml:space="preserve"> في « ص » : + « كان »</w:t>
            </w:r>
            <w:r>
              <w:rPr>
                <w:rtl/>
              </w:rPr>
              <w:t>.</w:t>
            </w:r>
          </w:p>
        </w:tc>
        <w:tc>
          <w:tcPr>
            <w:tcW w:w="4006" w:type="dxa"/>
          </w:tcPr>
          <w:p w:rsidR="000B5CCC" w:rsidRDefault="000B5CCC" w:rsidP="004A4E41">
            <w:pPr>
              <w:pStyle w:val="libFootnote0"/>
              <w:rPr>
                <w:rtl/>
              </w:rPr>
            </w:pPr>
            <w:r>
              <w:rPr>
                <w:rtl/>
              </w:rPr>
              <w:t>(12).</w:t>
            </w:r>
            <w:r w:rsidRPr="00C9040A">
              <w:rPr>
                <w:rtl/>
              </w:rPr>
              <w:t xml:space="preserve"> في « بر » : « في »</w:t>
            </w:r>
            <w:r>
              <w:rPr>
                <w:rtl/>
              </w:rPr>
              <w:t>.</w:t>
            </w:r>
          </w:p>
        </w:tc>
      </w:tr>
    </w:tbl>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مِنْ لَيْلِهِ </w:t>
      </w:r>
      <w:r w:rsidR="006C577F" w:rsidRPr="006C577F">
        <w:rPr>
          <w:rStyle w:val="libFootnotenumChar"/>
          <w:rtl/>
        </w:rPr>
        <w:t>(1)</w:t>
      </w:r>
      <w:r w:rsidRPr="00C9040A">
        <w:rPr>
          <w:rtl/>
          <w:lang w:bidi="fa-IR"/>
        </w:rPr>
        <w:t xml:space="preserve"> ، أَبَى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000B5CCC">
        <w:rPr>
          <w:rtl/>
          <w:lang w:bidi="fa-IR"/>
        </w:rPr>
        <w:t>إِل</w:t>
      </w:r>
      <w:r w:rsidR="000B5CCC">
        <w:rPr>
          <w:rFonts w:hint="cs"/>
          <w:rtl/>
          <w:lang w:bidi="fa-IR"/>
        </w:rPr>
        <w:t>َّ</w:t>
      </w:r>
      <w:r w:rsidR="000B5CCC">
        <w:rPr>
          <w:rtl/>
          <w:lang w:bidi="fa-IR"/>
        </w:rPr>
        <w:t>ا</w:t>
      </w:r>
      <w:r w:rsidRPr="00C9040A">
        <w:rPr>
          <w:rtl/>
          <w:lang w:bidi="fa-IR"/>
        </w:rPr>
        <w:t xml:space="preserve"> أَنْ يُقَلِّلَهُ فِي عَيْنِ مَنْ سَمِعَهُ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1740F6">
        <w:rPr>
          <w:rtl/>
        </w:rPr>
        <w:t>2500</w:t>
      </w:r>
      <w:r w:rsidRPr="00261CB0">
        <w:rPr>
          <w:rStyle w:val="libBold2Char"/>
          <w:rtl/>
        </w:rPr>
        <w:t xml:space="preserve"> / 14.</w:t>
      </w:r>
      <w:r w:rsidRPr="00C9040A">
        <w:rPr>
          <w:rtl/>
          <w:lang w:bidi="fa-IR"/>
        </w:rPr>
        <w:t xml:space="preserve"> عَلِيُّ بْنُ إِبْرَاهِيمَ ، عَنْ أَبِيهِ ، عَنِ النَّوْفَلِيِّ ، عَنِ السَّكُونِيِّ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سَيَأْتِي عَلَى النَّاسِ </w:t>
      </w:r>
      <w:r w:rsidR="006C577F" w:rsidRPr="006C577F">
        <w:rPr>
          <w:rStyle w:val="libFootnotenumChar"/>
          <w:rtl/>
        </w:rPr>
        <w:t>(3)</w:t>
      </w:r>
      <w:r w:rsidRPr="00C9040A">
        <w:rPr>
          <w:rtl/>
          <w:lang w:bidi="fa-IR"/>
        </w:rPr>
        <w:t xml:space="preserve"> زَمَانٌ تَخْبُثُ </w:t>
      </w:r>
      <w:r w:rsidR="006C577F" w:rsidRPr="006C577F">
        <w:rPr>
          <w:rStyle w:val="libFootnotenumChar"/>
          <w:rtl/>
        </w:rPr>
        <w:t>(4)</w:t>
      </w:r>
      <w:r w:rsidRPr="00C9040A">
        <w:rPr>
          <w:rtl/>
          <w:lang w:bidi="fa-IR"/>
        </w:rPr>
        <w:t xml:space="preserve"> فِيهِ سَرَائِرُهُمْ ، وَتَحْسُنُ فِيهِ عَلَانِيَتُهُمْ طَمَعاً فِي الدُّنْيَا ، لَا </w:t>
      </w:r>
      <w:r w:rsidR="006C577F" w:rsidRPr="006C577F">
        <w:rPr>
          <w:rStyle w:val="libFootnotenumChar"/>
          <w:rtl/>
        </w:rPr>
        <w:t>(5)</w:t>
      </w:r>
      <w:r w:rsidRPr="00C9040A">
        <w:rPr>
          <w:rtl/>
          <w:lang w:bidi="fa-IR"/>
        </w:rPr>
        <w:t xml:space="preserve"> يُرِيدُونَ بِهِ مَا عِنْدَ رَبِّهِمْ </w:t>
      </w:r>
      <w:r w:rsidR="006C577F" w:rsidRPr="006C577F">
        <w:rPr>
          <w:rStyle w:val="libFootnotenumChar"/>
          <w:rtl/>
        </w:rPr>
        <w:t>(6)</w:t>
      </w:r>
      <w:r w:rsidRPr="005B567D">
        <w:rPr>
          <w:rStyle w:val="libFootnotenumChar"/>
          <w:rtl/>
        </w:rPr>
        <w:t xml:space="preserve"> </w:t>
      </w:r>
      <w:r w:rsidRPr="00C9040A">
        <w:rPr>
          <w:rtl/>
          <w:lang w:bidi="fa-IR"/>
        </w:rPr>
        <w:t xml:space="preserve">، يَكُونُ دِينُهُمْ </w:t>
      </w:r>
      <w:r w:rsidR="006C577F" w:rsidRPr="006C577F">
        <w:rPr>
          <w:rStyle w:val="libFootnotenumChar"/>
          <w:rtl/>
        </w:rPr>
        <w:t>(7)</w:t>
      </w:r>
      <w:r w:rsidRPr="00C9040A">
        <w:rPr>
          <w:rtl/>
          <w:lang w:bidi="fa-IR"/>
        </w:rPr>
        <w:t xml:space="preserve"> رِيَاءً ، لَايُخَالِطُهُمْ خَوْفٌ ، يَعُمُّهُمُ اللهُ </w:t>
      </w:r>
      <w:r w:rsidR="006C577F" w:rsidRPr="006C577F">
        <w:rPr>
          <w:rStyle w:val="libFootnotenumChar"/>
          <w:rtl/>
        </w:rPr>
        <w:t>(8)</w:t>
      </w:r>
      <w:r w:rsidRPr="00C9040A">
        <w:rPr>
          <w:rtl/>
          <w:lang w:bidi="fa-IR"/>
        </w:rPr>
        <w:t xml:space="preserve"> بِعِقَابٍ ، فَيَدْعُونَهُ </w:t>
      </w:r>
      <w:r w:rsidR="006C577F" w:rsidRPr="006C577F">
        <w:rPr>
          <w:rStyle w:val="libFootnotenumChar"/>
          <w:rtl/>
        </w:rPr>
        <w:t>(9)</w:t>
      </w:r>
      <w:r w:rsidRPr="00C9040A">
        <w:rPr>
          <w:rtl/>
          <w:lang w:bidi="fa-IR"/>
        </w:rPr>
        <w:t xml:space="preserve"> دُعَاءَ الْغَرِيقِ </w:t>
      </w:r>
      <w:r w:rsidR="006C577F" w:rsidRPr="006C577F">
        <w:rPr>
          <w:rStyle w:val="libFootnotenumChar"/>
          <w:rtl/>
        </w:rPr>
        <w:t>(10)</w:t>
      </w:r>
      <w:r w:rsidRPr="00C9040A">
        <w:rPr>
          <w:rtl/>
          <w:lang w:bidi="fa-IR"/>
        </w:rPr>
        <w:t xml:space="preserve"> ، فَلَا يَسْتَجِيبُ </w:t>
      </w:r>
      <w:r w:rsidR="006C577F" w:rsidRPr="006C577F">
        <w:rPr>
          <w:rStyle w:val="libFootnotenumChar"/>
          <w:rtl/>
        </w:rPr>
        <w:t>(11)</w:t>
      </w:r>
      <w:r w:rsidRPr="00C9040A">
        <w:rPr>
          <w:rtl/>
          <w:lang w:bidi="fa-IR"/>
        </w:rPr>
        <w:t xml:space="preserve"> لَهُمْ »</w:t>
      </w:r>
      <w:r>
        <w:rPr>
          <w:rtl/>
          <w:lang w:bidi="fa-IR"/>
        </w:rPr>
        <w:t>.</w:t>
      </w:r>
      <w:r w:rsidRPr="00C9040A">
        <w:rPr>
          <w:rtl/>
          <w:lang w:bidi="fa-IR"/>
        </w:rPr>
        <w:t xml:space="preserve"> </w:t>
      </w:r>
      <w:r w:rsidR="006C577F" w:rsidRPr="006C577F">
        <w:rPr>
          <w:rStyle w:val="libFootnotenumChar"/>
          <w:rtl/>
        </w:rPr>
        <w:t>(12)</w:t>
      </w:r>
      <w:r w:rsidRPr="00C9040A">
        <w:rPr>
          <w:rtl/>
          <w:lang w:bidi="fa-IR"/>
        </w:rPr>
        <w:t xml:space="preserve"> ‌</w:t>
      </w:r>
    </w:p>
    <w:p w:rsidR="008A74EB" w:rsidRPr="00C9040A" w:rsidRDefault="008A74EB" w:rsidP="008A74EB">
      <w:pPr>
        <w:pStyle w:val="libNormal"/>
        <w:rPr>
          <w:rtl/>
          <w:lang w:bidi="fa-IR"/>
        </w:rPr>
      </w:pPr>
      <w:r w:rsidRPr="001740F6">
        <w:rPr>
          <w:rtl/>
        </w:rPr>
        <w:t>2501</w:t>
      </w:r>
      <w:r w:rsidRPr="00261CB0">
        <w:rPr>
          <w:rStyle w:val="libBold2Char"/>
          <w:rtl/>
        </w:rPr>
        <w:t xml:space="preserve"> / 15.</w:t>
      </w:r>
      <w:r w:rsidRPr="00C9040A">
        <w:rPr>
          <w:rtl/>
          <w:lang w:bidi="fa-IR"/>
        </w:rPr>
        <w:t xml:space="preserve"> مُحَمَّدُ بْنُ يَحْيى ، عَنْ أَحْمَدَ بْنِ مُحَمَّدٍ ، عَنْ عَلِيِّ بْنِ الْحَكَمِ ، عَنْ عُمَرَ بْنِ يَزِيدَ ، قَالَ :</w:t>
      </w:r>
    </w:p>
    <w:p w:rsidR="008A74EB" w:rsidRPr="00C9040A" w:rsidRDefault="008A74EB" w:rsidP="008A74EB">
      <w:pPr>
        <w:pStyle w:val="libNormal"/>
        <w:rPr>
          <w:rtl/>
          <w:lang w:bidi="fa-IR"/>
        </w:rPr>
      </w:pPr>
      <w:r w:rsidRPr="00C9040A">
        <w:rPr>
          <w:rtl/>
          <w:lang w:bidi="fa-IR"/>
        </w:rPr>
        <w:t xml:space="preserve">إِنِّي لَأَتَعَشّى مَعَ </w:t>
      </w:r>
      <w:r w:rsidRPr="005B567D">
        <w:rPr>
          <w:rStyle w:val="libFootnotenumChar"/>
          <w:rtl/>
        </w:rPr>
        <w:t>(13)</w:t>
      </w:r>
      <w:r w:rsidRPr="00C9040A">
        <w:rPr>
          <w:rtl/>
          <w:lang w:bidi="fa-IR"/>
        </w:rPr>
        <w:t xml:space="preserve"> أَبِي عَبْدِ اللهِ </w:t>
      </w:r>
      <w:r w:rsidRPr="0003660B">
        <w:rPr>
          <w:rStyle w:val="libAlaemChar"/>
          <w:rtl/>
        </w:rPr>
        <w:t>عليه‌السلام</w:t>
      </w:r>
      <w:r w:rsidRPr="00C9040A">
        <w:rPr>
          <w:rtl/>
          <w:lang w:bidi="fa-IR"/>
        </w:rPr>
        <w:t xml:space="preserve"> إِذْ تَلَا هذِهِ الْآيَةَ : </w:t>
      </w:r>
      <w:r w:rsidRPr="0003660B">
        <w:rPr>
          <w:rStyle w:val="libAlaemChar"/>
          <w:rtl/>
        </w:rPr>
        <w:t>(</w:t>
      </w:r>
      <w:r w:rsidRPr="006A2246">
        <w:rPr>
          <w:rStyle w:val="libAieChar"/>
          <w:rtl/>
        </w:rPr>
        <w:t xml:space="preserve"> بَلِ الْإِنْسانُ عَلى نَفْسِهِ بَصِيرَةٌ </w:t>
      </w:r>
      <w:r w:rsidR="000B5CCC">
        <w:rPr>
          <w:rStyle w:val="libAieChar"/>
          <w:rFonts w:hint="cs"/>
          <w:rtl/>
        </w:rPr>
        <w:t xml:space="preserve">* </w:t>
      </w:r>
      <w:r w:rsidRPr="006A2246">
        <w:rPr>
          <w:rStyle w:val="libAieChar"/>
          <w:rtl/>
        </w:rPr>
        <w:t xml:space="preserve">وَلَوْ أَلْقى مَعاذِيرَهُ </w:t>
      </w:r>
      <w:r w:rsidRPr="0003660B">
        <w:rPr>
          <w:rStyle w:val="libAlaemChar"/>
          <w:rtl/>
        </w:rPr>
        <w:t>)</w:t>
      </w:r>
      <w:r w:rsidRPr="00C9040A">
        <w:rPr>
          <w:rtl/>
          <w:lang w:bidi="fa-IR"/>
        </w:rPr>
        <w:t xml:space="preserve"> </w:t>
      </w:r>
      <w:r w:rsidRPr="005B567D">
        <w:rPr>
          <w:rStyle w:val="libFootnotenumChar"/>
          <w:rtl/>
        </w:rPr>
        <w:t>(14)</w:t>
      </w:r>
      <w:r w:rsidRPr="00C9040A">
        <w:rPr>
          <w:rtl/>
          <w:lang w:bidi="fa-IR"/>
        </w:rPr>
        <w:t xml:space="preserve"> : « يَا أَبَا حَفْصٍ ، مَا يَصْنَعُ الْإِنْسَانُ أَنْ يَعْتَذِرَ إِلَى النَّاسِ بِخِلَافِ مَا يَعْلَمُ اللهُ مِنْهُ ؛ إِنَّ رَسُولَ اللهِ </w:t>
      </w:r>
      <w:r w:rsidR="004A4E41" w:rsidRPr="004A4E41">
        <w:rPr>
          <w:rStyle w:val="libAlaemChar"/>
          <w:rtl/>
        </w:rPr>
        <w:t>صلى‌الله‌عليه‌وآله</w:t>
      </w:r>
      <w:r w:rsidRPr="00C9040A">
        <w:rPr>
          <w:rtl/>
          <w:lang w:bidi="fa-IR"/>
        </w:rPr>
        <w:t xml:space="preserve"> كَانَ </w:t>
      </w:r>
      <w:r w:rsidRPr="005B567D">
        <w:rPr>
          <w:rStyle w:val="libFootnotenumChar"/>
          <w:rtl/>
        </w:rPr>
        <w:t>(15)</w:t>
      </w:r>
      <w:r w:rsidRPr="00C9040A">
        <w:rPr>
          <w:rtl/>
          <w:lang w:bidi="fa-IR"/>
        </w:rPr>
        <w:t xml:space="preserve"> يَقُولُ : مَنْ أَسَرَّ سَرِيرَةً أَلْبَسَهُ اللهُ رِدَاءَهَا ، إِنْ‌</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w:t>
      </w:r>
      <w:r w:rsidR="006D3162">
        <w:rPr>
          <w:rtl/>
        </w:rPr>
        <w:t xml:space="preserve">ه </w:t>
      </w:r>
      <w:r w:rsidR="008A74EB" w:rsidRPr="00C9040A">
        <w:rPr>
          <w:rtl/>
        </w:rPr>
        <w:t>» : « ليلته »</w:t>
      </w:r>
      <w:r w:rsidR="008A74EB">
        <w:rPr>
          <w:rtl/>
        </w:rPr>
        <w:t>.</w:t>
      </w:r>
    </w:p>
    <w:p w:rsidR="008A74EB" w:rsidRPr="00C9040A" w:rsidRDefault="006C577F" w:rsidP="000B5CCC">
      <w:pPr>
        <w:pStyle w:val="libFootnote0"/>
        <w:rPr>
          <w:rtl/>
          <w:lang w:bidi="fa-IR"/>
        </w:rPr>
      </w:pPr>
      <w:r>
        <w:rPr>
          <w:rtl/>
        </w:rPr>
        <w:t>(2).</w:t>
      </w:r>
      <w:r w:rsidR="008A74EB">
        <w:rPr>
          <w:rtl/>
        </w:rPr>
        <w:t xml:space="preserve"> </w:t>
      </w:r>
      <w:r w:rsidR="008A74EB" w:rsidRPr="00993B55">
        <w:rPr>
          <w:rStyle w:val="libFootnoteBoldChar"/>
          <w:rtl/>
        </w:rPr>
        <w:t>المحاسن</w:t>
      </w:r>
      <w:r w:rsidR="008A74EB" w:rsidRPr="00C9040A">
        <w:rPr>
          <w:rtl/>
        </w:rPr>
        <w:t xml:space="preserve"> ، ص 255 ، كتاب مصابيح الظلم ، ح 284 ، عن عدّة من أصحابنا ، عن عليّ بن أسباط ، عن يحيى بن بشير النبّال ، عمّن ذكره ، عن أبي عبدالله </w:t>
      </w:r>
      <w:r w:rsidR="00117575" w:rsidRPr="00117575">
        <w:rPr>
          <w:rStyle w:val="libFootnoteAlaemChar"/>
          <w:rtl/>
        </w:rPr>
        <w:t xml:space="preserve">عليه‌السلام </w:t>
      </w:r>
      <w:r w:rsidR="000B5CCC">
        <w:rPr>
          <w:rFonts w:hint="cs"/>
          <w:rtl/>
        </w:rPr>
        <w:t>.</w:t>
      </w:r>
      <w:r w:rsidR="008A74EB" w:rsidRPr="00993B55">
        <w:rPr>
          <w:rStyle w:val="libFootnoteBoldChar"/>
          <w:rtl/>
        </w:rPr>
        <w:t>الوافي</w:t>
      </w:r>
      <w:r w:rsidR="008A74EB" w:rsidRPr="00C9040A">
        <w:rPr>
          <w:rtl/>
        </w:rPr>
        <w:t xml:space="preserve"> ، ج 5 ، ص 855 ، ح 3141 ؛ </w:t>
      </w:r>
      <w:r w:rsidR="008A74EB" w:rsidRPr="00993B55">
        <w:rPr>
          <w:rStyle w:val="libFootnoteBoldChar"/>
          <w:rtl/>
        </w:rPr>
        <w:t>البحار</w:t>
      </w:r>
      <w:r w:rsidR="008A74EB" w:rsidRPr="00C9040A">
        <w:rPr>
          <w:rtl/>
        </w:rPr>
        <w:t xml:space="preserve"> ، ج 72 ، ص 290 ، ح 13.</w:t>
      </w:r>
    </w:p>
    <w:p w:rsidR="008A74EB" w:rsidRPr="00C9040A" w:rsidRDefault="006C577F" w:rsidP="004A4E41">
      <w:pPr>
        <w:pStyle w:val="libFootnote0"/>
        <w:rPr>
          <w:rtl/>
          <w:lang w:bidi="fa-IR"/>
        </w:rPr>
      </w:pPr>
      <w:r>
        <w:rPr>
          <w:rtl/>
        </w:rPr>
        <w:t>(3).</w:t>
      </w:r>
      <w:r w:rsidR="008A74EB" w:rsidRPr="00C9040A">
        <w:rPr>
          <w:rtl/>
        </w:rPr>
        <w:t xml:space="preserve"> في الكافي ، ح 15291 : « على ا</w:t>
      </w:r>
      <w:r w:rsidR="000B5CCC">
        <w:rPr>
          <w:rFonts w:hint="cs"/>
          <w:rtl/>
        </w:rPr>
        <w:t>ُ</w:t>
      </w:r>
      <w:r w:rsidR="008A74EB" w:rsidRPr="00C9040A">
        <w:rPr>
          <w:rtl/>
        </w:rPr>
        <w:t>مّتي »</w:t>
      </w:r>
      <w:r w:rsidR="008A74EB">
        <w:rPr>
          <w:rtl/>
        </w:rPr>
        <w:t>.</w:t>
      </w:r>
      <w:r w:rsidR="008A74EB" w:rsidRPr="00C9040A">
        <w:rPr>
          <w:rtl/>
        </w:rPr>
        <w:t xml:space="preserve"> وفي ثواب الأعمال : « في ا</w:t>
      </w:r>
      <w:r w:rsidR="000B5CCC">
        <w:rPr>
          <w:rFonts w:hint="cs"/>
          <w:rtl/>
        </w:rPr>
        <w:t>ُ</w:t>
      </w:r>
      <w:r w:rsidR="008A74EB" w:rsidRPr="00C9040A">
        <w:rPr>
          <w:rtl/>
        </w:rPr>
        <w:t>مّتي »</w:t>
      </w:r>
      <w:r w:rsidR="008A74EB">
        <w:rPr>
          <w:rtl/>
        </w:rPr>
        <w:t>.</w:t>
      </w:r>
    </w:p>
    <w:tbl>
      <w:tblPr>
        <w:tblStyle w:val="TableGrid"/>
        <w:bidiVisual/>
        <w:tblW w:w="0" w:type="auto"/>
        <w:tblLook w:val="04A0" w:firstRow="1" w:lastRow="0" w:firstColumn="1" w:lastColumn="0" w:noHBand="0" w:noVBand="1"/>
      </w:tblPr>
      <w:tblGrid>
        <w:gridCol w:w="4006"/>
        <w:gridCol w:w="4006"/>
      </w:tblGrid>
      <w:tr w:rsidR="000B5CCC" w:rsidTr="000B5CCC">
        <w:tc>
          <w:tcPr>
            <w:tcW w:w="4006" w:type="dxa"/>
          </w:tcPr>
          <w:p w:rsidR="000B5CCC" w:rsidRDefault="000B5CCC" w:rsidP="004A4E41">
            <w:pPr>
              <w:pStyle w:val="libFootnote0"/>
              <w:rPr>
                <w:rtl/>
                <w:lang w:bidi="fa-IR"/>
              </w:rPr>
            </w:pPr>
            <w:r>
              <w:rPr>
                <w:rtl/>
              </w:rPr>
              <w:t>(4).</w:t>
            </w:r>
            <w:r w:rsidRPr="00C9040A">
              <w:rPr>
                <w:rtl/>
              </w:rPr>
              <w:t xml:space="preserve"> في « </w:t>
            </w:r>
            <w:r>
              <w:rPr>
                <w:rtl/>
              </w:rPr>
              <w:t xml:space="preserve">ه </w:t>
            </w:r>
            <w:r w:rsidRPr="00C9040A">
              <w:rPr>
                <w:rtl/>
              </w:rPr>
              <w:t>» ومرآة العقول : « يخبث »</w:t>
            </w:r>
            <w:r>
              <w:rPr>
                <w:rtl/>
              </w:rPr>
              <w:t>.</w:t>
            </w:r>
          </w:p>
        </w:tc>
        <w:tc>
          <w:tcPr>
            <w:tcW w:w="4006" w:type="dxa"/>
          </w:tcPr>
          <w:p w:rsidR="000B5CCC" w:rsidRDefault="000B5CCC" w:rsidP="004A4E41">
            <w:pPr>
              <w:pStyle w:val="libFootnote0"/>
              <w:rPr>
                <w:rtl/>
                <w:lang w:bidi="fa-IR"/>
              </w:rPr>
            </w:pPr>
            <w:r>
              <w:rPr>
                <w:rtl/>
              </w:rPr>
              <w:t>(5).</w:t>
            </w:r>
            <w:r w:rsidRPr="00C9040A">
              <w:rPr>
                <w:rtl/>
              </w:rPr>
              <w:t xml:space="preserve"> في الكافي ، ح 15291 : « ولا »</w:t>
            </w:r>
            <w:r>
              <w:rPr>
                <w:rtl/>
              </w:rPr>
              <w:t>.</w:t>
            </w:r>
          </w:p>
        </w:tc>
      </w:tr>
    </w:tbl>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الكافي ، ح 15291 : « عند الله ربّهم »</w:t>
      </w:r>
      <w:r w:rsidR="008A74EB">
        <w:rPr>
          <w:rtl/>
        </w:rPr>
        <w:t>.</w:t>
      </w:r>
      <w:r w:rsidR="008A74EB" w:rsidRPr="00C9040A">
        <w:rPr>
          <w:rtl/>
        </w:rPr>
        <w:t xml:space="preserve"> وفي ثواب الأعمال : « عند الله » كلاهما بدل « عند ربّهم »</w:t>
      </w:r>
      <w:r w:rsidR="008A74EB">
        <w:rPr>
          <w:rtl/>
        </w:rPr>
        <w:t>.</w:t>
      </w:r>
    </w:p>
    <w:tbl>
      <w:tblPr>
        <w:tblStyle w:val="TableGrid"/>
        <w:bidiVisual/>
        <w:tblW w:w="0" w:type="auto"/>
        <w:tblLook w:val="04A0" w:firstRow="1" w:lastRow="0" w:firstColumn="1" w:lastColumn="0" w:noHBand="0" w:noVBand="1"/>
      </w:tblPr>
      <w:tblGrid>
        <w:gridCol w:w="4006"/>
        <w:gridCol w:w="4006"/>
      </w:tblGrid>
      <w:tr w:rsidR="00CE3C0E" w:rsidTr="00CE3C0E">
        <w:tc>
          <w:tcPr>
            <w:tcW w:w="4006" w:type="dxa"/>
          </w:tcPr>
          <w:p w:rsidR="00CE3C0E" w:rsidRDefault="00CE3C0E" w:rsidP="004A4E41">
            <w:pPr>
              <w:pStyle w:val="libFootnote0"/>
              <w:rPr>
                <w:rtl/>
                <w:lang w:bidi="fa-IR"/>
              </w:rPr>
            </w:pPr>
            <w:r>
              <w:rPr>
                <w:rtl/>
              </w:rPr>
              <w:t>(7).</w:t>
            </w:r>
            <w:r w:rsidRPr="00C9040A">
              <w:rPr>
                <w:rtl/>
              </w:rPr>
              <w:t xml:space="preserve"> في ثواب الأعمال : « أمرهم »</w:t>
            </w:r>
            <w:r>
              <w:rPr>
                <w:rtl/>
              </w:rPr>
              <w:t>.</w:t>
            </w:r>
          </w:p>
        </w:tc>
        <w:tc>
          <w:tcPr>
            <w:tcW w:w="4006" w:type="dxa"/>
          </w:tcPr>
          <w:p w:rsidR="00CE3C0E" w:rsidRDefault="00CE3C0E" w:rsidP="004A4E41">
            <w:pPr>
              <w:pStyle w:val="libFootnote0"/>
              <w:rPr>
                <w:rtl/>
                <w:lang w:bidi="fa-IR"/>
              </w:rPr>
            </w:pPr>
            <w:r>
              <w:rPr>
                <w:rtl/>
              </w:rPr>
              <w:t>(8).</w:t>
            </w:r>
            <w:r w:rsidRPr="00C9040A">
              <w:rPr>
                <w:rtl/>
              </w:rPr>
              <w:t xml:space="preserve"> في الكافي ، ح 15291 : + « منه »</w:t>
            </w:r>
            <w:r>
              <w:rPr>
                <w:rtl/>
              </w:rPr>
              <w:t>.</w:t>
            </w:r>
          </w:p>
        </w:tc>
      </w:tr>
      <w:tr w:rsidR="00CE3C0E" w:rsidTr="00CE3C0E">
        <w:tc>
          <w:tcPr>
            <w:tcW w:w="4006" w:type="dxa"/>
          </w:tcPr>
          <w:p w:rsidR="00CE3C0E" w:rsidRDefault="00CE3C0E" w:rsidP="004A4E41">
            <w:pPr>
              <w:pStyle w:val="libFootnote0"/>
              <w:rPr>
                <w:rtl/>
                <w:lang w:bidi="fa-IR"/>
              </w:rPr>
            </w:pPr>
            <w:r>
              <w:rPr>
                <w:rtl/>
              </w:rPr>
              <w:t>(9).</w:t>
            </w:r>
            <w:r w:rsidRPr="00C9040A">
              <w:rPr>
                <w:rtl/>
              </w:rPr>
              <w:t xml:space="preserve"> في « </w:t>
            </w:r>
            <w:r>
              <w:rPr>
                <w:rtl/>
              </w:rPr>
              <w:t xml:space="preserve">ه </w:t>
            </w:r>
            <w:r w:rsidRPr="00C9040A">
              <w:rPr>
                <w:rtl/>
              </w:rPr>
              <w:t>» : « فيدعون »</w:t>
            </w:r>
            <w:r>
              <w:rPr>
                <w:rtl/>
              </w:rPr>
              <w:t>.</w:t>
            </w:r>
          </w:p>
        </w:tc>
        <w:tc>
          <w:tcPr>
            <w:tcW w:w="4006" w:type="dxa"/>
          </w:tcPr>
          <w:p w:rsidR="00CE3C0E" w:rsidRDefault="00CE3C0E" w:rsidP="004A4E41">
            <w:pPr>
              <w:pStyle w:val="libFootnote0"/>
              <w:rPr>
                <w:rtl/>
                <w:lang w:bidi="fa-IR"/>
              </w:rPr>
            </w:pPr>
            <w:r>
              <w:rPr>
                <w:rtl/>
              </w:rPr>
              <w:t>(10).</w:t>
            </w:r>
            <w:r w:rsidRPr="00C9040A">
              <w:rPr>
                <w:rtl/>
              </w:rPr>
              <w:t xml:space="preserve"> في « ب » : + « له »</w:t>
            </w:r>
            <w:r>
              <w:rPr>
                <w:rtl/>
              </w:rPr>
              <w:t>.</w:t>
            </w:r>
          </w:p>
        </w:tc>
      </w:tr>
    </w:tbl>
    <w:p w:rsidR="008A74EB" w:rsidRPr="00C9040A" w:rsidRDefault="006C577F" w:rsidP="004A4E41">
      <w:pPr>
        <w:pStyle w:val="libFootnote0"/>
        <w:rPr>
          <w:rtl/>
          <w:lang w:bidi="fa-IR"/>
        </w:rPr>
      </w:pPr>
      <w:r>
        <w:rPr>
          <w:rtl/>
        </w:rPr>
        <w:t>(11).</w:t>
      </w:r>
      <w:r w:rsidR="008A74EB" w:rsidRPr="00C9040A">
        <w:rPr>
          <w:rtl/>
        </w:rPr>
        <w:t xml:space="preserve"> في « ز ، </w:t>
      </w:r>
      <w:r w:rsidR="006D3162">
        <w:rPr>
          <w:rtl/>
        </w:rPr>
        <w:t xml:space="preserve">ه </w:t>
      </w:r>
      <w:r w:rsidR="008A74EB" w:rsidRPr="00C9040A">
        <w:rPr>
          <w:rtl/>
        </w:rPr>
        <w:t>» وحاشية « بر ، بف » وثواب الأعمال : « فلا يستجاب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w:t>
      </w:r>
      <w:r w:rsidR="008A74EB" w:rsidRPr="00993B55">
        <w:rPr>
          <w:rStyle w:val="libFootnoteBoldChar"/>
          <w:rtl/>
        </w:rPr>
        <w:t>الكافي</w:t>
      </w:r>
      <w:r w:rsidR="008A74EB" w:rsidRPr="00C9040A">
        <w:rPr>
          <w:rtl/>
        </w:rPr>
        <w:t xml:space="preserve"> ، كتاب الروضة ، ح 15291. وفي </w:t>
      </w:r>
      <w:r w:rsidR="008A74EB" w:rsidRPr="00993B55">
        <w:rPr>
          <w:rStyle w:val="libFootnoteBoldChar"/>
          <w:rtl/>
        </w:rPr>
        <w:t>ثواب الأعمال</w:t>
      </w:r>
      <w:r w:rsidR="008A74EB" w:rsidRPr="00C9040A">
        <w:rPr>
          <w:rtl/>
        </w:rPr>
        <w:t xml:space="preserve"> ، ص 301 ، ح 3 ، عن أبيه ، عن عليّ بن إبراهيم </w:t>
      </w:r>
      <w:r w:rsidR="00CE3C0E">
        <w:rPr>
          <w:rFonts w:hint="cs"/>
          <w:rtl/>
        </w:rPr>
        <w:t>.</w:t>
      </w:r>
      <w:r w:rsidR="008A74EB" w:rsidRPr="00993B55">
        <w:rPr>
          <w:rStyle w:val="libFootnoteBoldChar"/>
          <w:rtl/>
        </w:rPr>
        <w:t>الوافي</w:t>
      </w:r>
      <w:r w:rsidR="008A74EB" w:rsidRPr="00C9040A">
        <w:rPr>
          <w:rtl/>
        </w:rPr>
        <w:t xml:space="preserve"> ، ج 5 ، ص 856 ، ح 3144 ؛ </w:t>
      </w:r>
      <w:r w:rsidR="008A74EB" w:rsidRPr="00993B55">
        <w:rPr>
          <w:rStyle w:val="libFootnoteBoldChar"/>
          <w:rtl/>
        </w:rPr>
        <w:t>الوسائل</w:t>
      </w:r>
      <w:r w:rsidR="008A74EB" w:rsidRPr="00C9040A">
        <w:rPr>
          <w:rtl/>
        </w:rPr>
        <w:t xml:space="preserve"> ، ج 1 ، ص 65 ، ح 141 ؛ </w:t>
      </w:r>
      <w:r w:rsidR="008A74EB" w:rsidRPr="00993B55">
        <w:rPr>
          <w:rStyle w:val="libFootnoteBoldChar"/>
          <w:rtl/>
        </w:rPr>
        <w:t>البحار</w:t>
      </w:r>
      <w:r w:rsidR="008A74EB" w:rsidRPr="00C9040A">
        <w:rPr>
          <w:rtl/>
        </w:rPr>
        <w:t xml:space="preserve"> ، ج 72 ، ص 290 ، ح 14.</w:t>
      </w:r>
    </w:p>
    <w:tbl>
      <w:tblPr>
        <w:tblStyle w:val="TableGrid"/>
        <w:bidiVisual/>
        <w:tblW w:w="0" w:type="auto"/>
        <w:tblLook w:val="04A0" w:firstRow="1" w:lastRow="0" w:firstColumn="1" w:lastColumn="0" w:noHBand="0" w:noVBand="1"/>
      </w:tblPr>
      <w:tblGrid>
        <w:gridCol w:w="4006"/>
        <w:gridCol w:w="4006"/>
      </w:tblGrid>
      <w:tr w:rsidR="00CE3C0E" w:rsidTr="00CE3C0E">
        <w:tc>
          <w:tcPr>
            <w:tcW w:w="4006" w:type="dxa"/>
          </w:tcPr>
          <w:p w:rsidR="00CE3C0E" w:rsidRDefault="00CE3C0E" w:rsidP="004A4E41">
            <w:pPr>
              <w:pStyle w:val="libFootnote0"/>
              <w:rPr>
                <w:rtl/>
              </w:rPr>
            </w:pPr>
            <w:r>
              <w:rPr>
                <w:rtl/>
              </w:rPr>
              <w:t>(13)</w:t>
            </w:r>
            <w:r w:rsidRPr="00C9040A">
              <w:rPr>
                <w:rtl/>
              </w:rPr>
              <w:t xml:space="preserve"> في البحار : « عند »</w:t>
            </w:r>
            <w:r>
              <w:rPr>
                <w:rtl/>
              </w:rPr>
              <w:t>.</w:t>
            </w:r>
          </w:p>
        </w:tc>
        <w:tc>
          <w:tcPr>
            <w:tcW w:w="4006" w:type="dxa"/>
          </w:tcPr>
          <w:p w:rsidR="00CE3C0E" w:rsidRDefault="00CE3C0E" w:rsidP="004A4E41">
            <w:pPr>
              <w:pStyle w:val="libFootnote0"/>
              <w:rPr>
                <w:rtl/>
              </w:rPr>
            </w:pPr>
            <w:r>
              <w:rPr>
                <w:rtl/>
              </w:rPr>
              <w:t>(14)</w:t>
            </w:r>
            <w:r w:rsidRPr="00C9040A">
              <w:rPr>
                <w:rtl/>
              </w:rPr>
              <w:t xml:space="preserve"> القيامة (75) : 14</w:t>
            </w:r>
            <w:r>
              <w:rPr>
                <w:rtl/>
              </w:rPr>
              <w:t xml:space="preserve"> - </w:t>
            </w:r>
            <w:r w:rsidRPr="00C9040A">
              <w:rPr>
                <w:rtl/>
              </w:rPr>
              <w:t>15.</w:t>
            </w:r>
          </w:p>
        </w:tc>
      </w:tr>
    </w:tbl>
    <w:p w:rsidR="008A74EB" w:rsidRPr="00C9040A" w:rsidRDefault="008A74EB" w:rsidP="004A4E41">
      <w:pPr>
        <w:pStyle w:val="libFootnote0"/>
        <w:rPr>
          <w:rtl/>
          <w:lang w:bidi="fa-IR"/>
        </w:rPr>
      </w:pPr>
      <w:r>
        <w:rPr>
          <w:rtl/>
        </w:rPr>
        <w:t>(15)</w:t>
      </w:r>
      <w:r w:rsidRPr="00C9040A">
        <w:rPr>
          <w:rtl/>
        </w:rPr>
        <w:t xml:space="preserve"> في « بس » </w:t>
      </w:r>
      <w:r>
        <w:rPr>
          <w:rtl/>
        </w:rPr>
        <w:t xml:space="preserve">: </w:t>
      </w:r>
      <w:r w:rsidR="0084262C">
        <w:rPr>
          <w:rtl/>
        </w:rPr>
        <w:t>-</w:t>
      </w:r>
      <w:r w:rsidRPr="00C9040A">
        <w:rPr>
          <w:rtl/>
        </w:rPr>
        <w:t xml:space="preserve"> « كان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خَيْراً فَخَيْرٌ ، وَإِنْ شَرّاً فَشَرٌّ </w:t>
      </w:r>
      <w:r w:rsidR="006C577F" w:rsidRPr="006C577F">
        <w:rPr>
          <w:rStyle w:val="libFootnotenumChar"/>
          <w:rtl/>
        </w:rPr>
        <w:t>(1)</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1740F6">
        <w:rPr>
          <w:rtl/>
        </w:rPr>
        <w:t>2502</w:t>
      </w:r>
      <w:r w:rsidRPr="00261CB0">
        <w:rPr>
          <w:rStyle w:val="libBold2Char"/>
          <w:rtl/>
        </w:rPr>
        <w:t xml:space="preserve"> / 16.</w:t>
      </w:r>
      <w:r w:rsidRPr="00C9040A">
        <w:rPr>
          <w:rtl/>
          <w:lang w:bidi="fa-IR"/>
        </w:rPr>
        <w:t xml:space="preserve"> عِدَّةٌ مِنْ أَصْحَابِنَا ، عَنْ سَهْلِ بْنِ زِيَادٍ ، عَنْ عَلِيِّ بْنِ أَسْبَاطٍ ، عَنْ بَعْضِ أَصْحَابِهِ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أَنَّهُ </w:t>
      </w:r>
      <w:r w:rsidR="006C577F" w:rsidRPr="006C577F">
        <w:rPr>
          <w:rStyle w:val="libFootnotenumChar"/>
          <w:rtl/>
        </w:rPr>
        <w:t>(3)</w:t>
      </w:r>
      <w:r w:rsidRPr="00C9040A">
        <w:rPr>
          <w:rtl/>
          <w:lang w:bidi="fa-IR"/>
        </w:rPr>
        <w:t xml:space="preserve"> قَالَ : « الْإِبْقَاءُ عَلَى الْعَمَلِ </w:t>
      </w:r>
      <w:r w:rsidR="006C577F" w:rsidRPr="006C577F">
        <w:rPr>
          <w:rStyle w:val="libFootnotenumChar"/>
          <w:rtl/>
        </w:rPr>
        <w:t>(4)</w:t>
      </w:r>
      <w:r w:rsidRPr="00C9040A">
        <w:rPr>
          <w:rtl/>
          <w:lang w:bidi="fa-IR"/>
        </w:rPr>
        <w:t xml:space="preserve"> أَشَدُّ مِنَ الْعَمَلِ »</w:t>
      </w:r>
      <w:r>
        <w:rPr>
          <w:rtl/>
          <w:lang w:bidi="fa-IR"/>
        </w:rPr>
        <w:t>.</w:t>
      </w:r>
      <w:r w:rsidRPr="00C9040A">
        <w:rPr>
          <w:rtl/>
          <w:lang w:bidi="fa-IR"/>
        </w:rPr>
        <w:t xml:space="preserve"> قَالَ : وَمَا الْإِبْقَاءُ عَلَى الْعَمَلِ</w:t>
      </w:r>
      <w:r>
        <w:rPr>
          <w:rtl/>
          <w:lang w:bidi="fa-IR"/>
        </w:rPr>
        <w:t>؟</w:t>
      </w:r>
      <w:r w:rsidRPr="00C9040A">
        <w:rPr>
          <w:rtl/>
          <w:lang w:bidi="fa-IR"/>
        </w:rPr>
        <w:t xml:space="preserve"> قَالَ : « يَصِلُ الرَّجُلُ بِصِلَةٍ ، وَيُنْفِقُ نَفَقَةً لِلّهِ وَحْدَهُ لَاشَرِيكَ لَهُ ، فَكُتِبَ </w:t>
      </w:r>
      <w:r w:rsidR="006C577F" w:rsidRPr="006C577F">
        <w:rPr>
          <w:rStyle w:val="libFootnotenumChar"/>
          <w:rtl/>
        </w:rPr>
        <w:t>(5)</w:t>
      </w:r>
      <w:r w:rsidRPr="00C9040A">
        <w:rPr>
          <w:rtl/>
          <w:lang w:bidi="fa-IR"/>
        </w:rPr>
        <w:t xml:space="preserve"> لَهُ سِرّاً ، ثُمَّ يَذْكُرُهَا </w:t>
      </w:r>
      <w:r w:rsidR="006C577F" w:rsidRPr="006C577F">
        <w:rPr>
          <w:rStyle w:val="libFootnotenumChar"/>
          <w:rtl/>
        </w:rPr>
        <w:t>(6)</w:t>
      </w:r>
      <w:r w:rsidRPr="005B567D">
        <w:rPr>
          <w:rStyle w:val="libFootnotenumChar"/>
          <w:rtl/>
        </w:rPr>
        <w:t xml:space="preserve"> </w:t>
      </w:r>
      <w:r w:rsidRPr="00C9040A">
        <w:rPr>
          <w:rtl/>
          <w:lang w:bidi="fa-IR"/>
        </w:rPr>
        <w:t xml:space="preserve">فَتُمْحى </w:t>
      </w:r>
      <w:r w:rsidR="006C577F" w:rsidRPr="006C577F">
        <w:rPr>
          <w:rStyle w:val="libFootnotenumChar"/>
          <w:rtl/>
        </w:rPr>
        <w:t>(7)</w:t>
      </w:r>
      <w:r w:rsidRPr="00C9040A">
        <w:rPr>
          <w:rtl/>
          <w:lang w:bidi="fa-IR"/>
        </w:rPr>
        <w:t xml:space="preserve"> ، فَتُكْتَبُ </w:t>
      </w:r>
      <w:r w:rsidR="006C577F" w:rsidRPr="006C577F">
        <w:rPr>
          <w:rStyle w:val="libFootnotenumChar"/>
          <w:rtl/>
        </w:rPr>
        <w:t>(8)</w:t>
      </w:r>
      <w:r w:rsidRPr="00C9040A">
        <w:rPr>
          <w:rtl/>
          <w:lang w:bidi="fa-IR"/>
        </w:rPr>
        <w:t xml:space="preserve"> لَهُ عَلَانِيَةً ، ثُمَّ يَذْكُرُهَا فَتُمْحى ، وَتُكْتَبُ </w:t>
      </w:r>
      <w:r w:rsidR="006C577F" w:rsidRPr="006C577F">
        <w:rPr>
          <w:rStyle w:val="libFootnotenumChar"/>
          <w:rtl/>
        </w:rPr>
        <w:t>(9)</w:t>
      </w:r>
      <w:r w:rsidR="00CE3C0E">
        <w:rPr>
          <w:rtl/>
          <w:lang w:bidi="fa-IR"/>
        </w:rPr>
        <w:t xml:space="preserve"> لَهُ رِيَاءً</w:t>
      </w:r>
      <w:r w:rsidRPr="00C9040A">
        <w:rPr>
          <w:rtl/>
          <w:lang w:bidi="fa-IR"/>
        </w:rPr>
        <w:t>»</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Normal"/>
        <w:rPr>
          <w:rtl/>
          <w:lang w:bidi="fa-IR"/>
        </w:rPr>
      </w:pPr>
      <w:r w:rsidRPr="001740F6">
        <w:rPr>
          <w:rtl/>
        </w:rPr>
        <w:t>2503</w:t>
      </w:r>
      <w:r w:rsidRPr="00261CB0">
        <w:rPr>
          <w:rStyle w:val="libBold2Char"/>
          <w:rtl/>
        </w:rPr>
        <w:t xml:space="preserve"> / 17.</w:t>
      </w:r>
      <w:r w:rsidRPr="00C9040A">
        <w:rPr>
          <w:rtl/>
          <w:lang w:bidi="fa-IR"/>
        </w:rPr>
        <w:t xml:space="preserve"> عِدَّةٌ مِنْ أَصْحَابِنَا ، عَنْ سَهْلِ بْنِ زِيَادٍ ، عَنْ جَعْفَرِ بْنِ مُحَمَّدٍ الْأَشْعَرِيِّ ، عَنِ ابْنِ الْقَدَّاحِ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ب ، </w:t>
      </w:r>
      <w:r w:rsidR="006D3162">
        <w:rPr>
          <w:rtl/>
        </w:rPr>
        <w:t xml:space="preserve">ه </w:t>
      </w:r>
      <w:r w:rsidR="008A74EB" w:rsidRPr="00C9040A">
        <w:rPr>
          <w:rtl/>
        </w:rPr>
        <w:t>» : « إن خيراً فخيراً ، وإن شرّاً فشرّاً »</w:t>
      </w:r>
      <w:r w:rsidR="008A74EB">
        <w:rPr>
          <w:rtl/>
        </w:rPr>
        <w:t>.</w:t>
      </w:r>
      <w:r w:rsidR="008A74EB" w:rsidRPr="00C9040A">
        <w:rPr>
          <w:rtl/>
        </w:rPr>
        <w:t xml:space="preserve"> وفي « ص » : « إن خير فخيراً ، وإن شرّاً فشرّاً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قد مرّ هذا الحديث بعينه سنداً ومتناً في هذا الباب ، ذيل الرقم 6 ، ولا</w:t>
      </w:r>
      <w:r w:rsidR="008A74EB">
        <w:rPr>
          <w:rFonts w:hint="cs"/>
          <w:rtl/>
        </w:rPr>
        <w:t xml:space="preserve"> </w:t>
      </w:r>
      <w:r w:rsidR="008A74EB" w:rsidRPr="00C9040A">
        <w:rPr>
          <w:rtl/>
        </w:rPr>
        <w:t xml:space="preserve">اختلاف إلاَّفي قوله : « أن يعتذر إلى الناس » وقوله : « ألبسه الله » كما أشرنا في موضعه. وقال العلاّمة المجلسي في </w:t>
      </w:r>
      <w:r w:rsidR="008A74EB" w:rsidRPr="00993B55">
        <w:rPr>
          <w:rStyle w:val="libFootnoteBoldChar"/>
          <w:rtl/>
        </w:rPr>
        <w:t>مرآة العقول</w:t>
      </w:r>
      <w:r w:rsidR="008A74EB" w:rsidRPr="00C9040A">
        <w:rPr>
          <w:rtl/>
        </w:rPr>
        <w:t xml:space="preserve"> : « كأنّه أعاده لاختلاف النسخ في ذلك. وهو بعيد. ولعلّه كان على السهو. وما هنا كأنّه أظهر في الموضعين »</w:t>
      </w:r>
      <w:r w:rsidR="008A74EB">
        <w:rPr>
          <w:rtl/>
        </w:rPr>
        <w:t>.</w:t>
      </w:r>
      <w:r w:rsidR="008A74EB" w:rsidRPr="00C9040A">
        <w:rPr>
          <w:rtl/>
        </w:rPr>
        <w:t xml:space="preserve"> وقال المحقّق الشعراني في هامش </w:t>
      </w:r>
      <w:r w:rsidR="008A74EB" w:rsidRPr="00993B55">
        <w:rPr>
          <w:rStyle w:val="libFootnoteBoldChar"/>
          <w:rtl/>
        </w:rPr>
        <w:t>شرح المازندراني</w:t>
      </w:r>
      <w:r w:rsidR="008A74EB" w:rsidRPr="00C9040A">
        <w:rPr>
          <w:rtl/>
        </w:rPr>
        <w:t xml:space="preserve"> ، ج 9 ، ص 282 : « هذا يدلّ على جواز نقل الحديث بالمعنى ، دون اللفظ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w:t>
      </w:r>
      <w:r w:rsidR="006D3162">
        <w:rPr>
          <w:rtl/>
        </w:rPr>
        <w:t xml:space="preserve">ه </w:t>
      </w:r>
      <w:r w:rsidR="008A74EB" w:rsidRPr="00C9040A">
        <w:rPr>
          <w:rtl/>
        </w:rPr>
        <w:t xml:space="preserve">» </w:t>
      </w:r>
      <w:r w:rsidR="008A74EB">
        <w:rPr>
          <w:rtl/>
        </w:rPr>
        <w:t xml:space="preserve">: </w:t>
      </w:r>
      <w:r w:rsidR="0084262C">
        <w:rPr>
          <w:rtl/>
        </w:rPr>
        <w:t>-</w:t>
      </w:r>
      <w:r w:rsidR="008A74EB" w:rsidRPr="00C9040A">
        <w:rPr>
          <w:rtl/>
        </w:rPr>
        <w:t xml:space="preserve"> « أنّه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أبقيت عليه : إذا رحمتَه وأشفقت عليه. </w:t>
      </w:r>
      <w:r w:rsidR="008A74EB" w:rsidRPr="00993B55">
        <w:rPr>
          <w:rStyle w:val="libFootnoteBoldChar"/>
          <w:rtl/>
        </w:rPr>
        <w:t>النهاية</w:t>
      </w:r>
      <w:r w:rsidR="008A74EB" w:rsidRPr="00C9040A">
        <w:rPr>
          <w:rtl/>
        </w:rPr>
        <w:t xml:space="preserve"> ، ج 1 ، ص 147 ( بقي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 الإبقاء على العمل ، أي حفظه ورعايته والشفقة عليه من ضياعه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د ، </w:t>
      </w:r>
      <w:r w:rsidR="006D3162">
        <w:rPr>
          <w:rtl/>
        </w:rPr>
        <w:t xml:space="preserve">ه </w:t>
      </w:r>
      <w:r w:rsidR="008A74EB" w:rsidRPr="00C9040A">
        <w:rPr>
          <w:rtl/>
        </w:rPr>
        <w:t>» ومرآة العقول والبحار : « فتكتب »</w:t>
      </w:r>
      <w:r w:rsidR="008A74EB">
        <w:rPr>
          <w:rtl/>
        </w:rPr>
        <w:t>.</w:t>
      </w:r>
      <w:r w:rsidR="008A74EB" w:rsidRPr="00C9040A">
        <w:rPr>
          <w:rtl/>
        </w:rPr>
        <w:t xml:space="preserve"> وفي </w:t>
      </w:r>
      <w:r w:rsidR="008A74EB" w:rsidRPr="00993B55">
        <w:rPr>
          <w:rStyle w:val="libFootnoteBoldChar"/>
          <w:rtl/>
        </w:rPr>
        <w:t>المرآة</w:t>
      </w:r>
      <w:r w:rsidR="008A74EB" w:rsidRPr="00C9040A">
        <w:rPr>
          <w:rtl/>
        </w:rPr>
        <w:t xml:space="preserve"> على بناء المجهول. وفي « ز ، بر » والوسائل : « فكتبت »</w:t>
      </w:r>
      <w:r w:rsidR="008A74EB">
        <w:rPr>
          <w:rtl/>
        </w:rPr>
        <w:t>.</w:t>
      </w:r>
      <w:r w:rsidR="008A74EB" w:rsidRPr="00C9040A">
        <w:rPr>
          <w:rtl/>
        </w:rPr>
        <w:t xml:space="preserve"> وفي « بس » : « تكتب »</w:t>
      </w:r>
      <w:r w:rsidR="008A74EB">
        <w:rPr>
          <w:rtl/>
        </w:rPr>
        <w:t>.</w:t>
      </w:r>
      <w:r w:rsidR="008A74EB" w:rsidRPr="00C9040A">
        <w:rPr>
          <w:rtl/>
        </w:rPr>
        <w:t xml:space="preserve"> وفي حاشية « بس » : « يكتب »</w:t>
      </w:r>
      <w:r w:rsidR="008A74EB">
        <w:rPr>
          <w:rtl/>
        </w:rPr>
        <w:t>.</w:t>
      </w:r>
      <w:r w:rsidR="008A74EB" w:rsidRPr="00C9040A">
        <w:rPr>
          <w:rtl/>
        </w:rPr>
        <w:t xml:space="preserve"> وفي الوافي : « فيكتب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اتّفقت النسخ على بناء المجرّد في الموضعين ، وهو أنسب.</w:t>
      </w:r>
    </w:p>
    <w:p w:rsidR="008A74EB" w:rsidRPr="00C9040A" w:rsidRDefault="006C577F" w:rsidP="00825CDD">
      <w:pPr>
        <w:pStyle w:val="libFootnote0"/>
        <w:rPr>
          <w:rtl/>
          <w:lang w:bidi="fa-IR"/>
        </w:rPr>
      </w:pPr>
      <w:r>
        <w:rPr>
          <w:rtl/>
        </w:rPr>
        <w:t>(7).</w:t>
      </w:r>
      <w:r w:rsidR="008A74EB" w:rsidRPr="00C9040A">
        <w:rPr>
          <w:rtl/>
        </w:rPr>
        <w:t xml:space="preserve"> في </w:t>
      </w:r>
      <w:r w:rsidR="008A74EB" w:rsidRPr="00993B55">
        <w:rPr>
          <w:rStyle w:val="libFootnoteBoldChar"/>
          <w:rtl/>
        </w:rPr>
        <w:t>مرآة العقول</w:t>
      </w:r>
      <w:r w:rsidR="008A74EB" w:rsidRPr="00C9040A">
        <w:rPr>
          <w:rtl/>
        </w:rPr>
        <w:t xml:space="preserve"> : « قوله : فتمحى ، على بناء المجهول من باب الإفعال. ويمكن أن يقرأ على بناء المعلوم من الافتعال بقلب التاء ميماً »</w:t>
      </w:r>
      <w:r w:rsidR="008A74EB">
        <w:rPr>
          <w:rtl/>
        </w:rPr>
        <w:t>.</w:t>
      </w:r>
      <w:r w:rsidR="00825CDD">
        <w:rPr>
          <w:rFonts w:hint="cs"/>
          <w:rtl/>
        </w:rPr>
        <w:t xml:space="preserve">                     </w:t>
      </w:r>
      <w:r>
        <w:rPr>
          <w:rtl/>
        </w:rPr>
        <w:t>(8).</w:t>
      </w:r>
      <w:r w:rsidR="008A74EB" w:rsidRPr="00C9040A">
        <w:rPr>
          <w:rtl/>
        </w:rPr>
        <w:t xml:space="preserve"> في الوافي : « ويكتب »</w:t>
      </w:r>
      <w:r w:rsidR="008A74EB">
        <w:rPr>
          <w:rtl/>
        </w:rPr>
        <w:t>.</w:t>
      </w:r>
      <w:r w:rsidR="008A74EB" w:rsidRPr="00C9040A">
        <w:rPr>
          <w:rtl/>
        </w:rPr>
        <w:t xml:space="preserve"> وفي البحار ، ج 70 : « وتكتب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ج ، </w:t>
      </w:r>
      <w:r w:rsidR="006D3162">
        <w:rPr>
          <w:rtl/>
        </w:rPr>
        <w:t xml:space="preserve">ه </w:t>
      </w:r>
      <w:r w:rsidR="008A74EB" w:rsidRPr="00C9040A">
        <w:rPr>
          <w:rtl/>
        </w:rPr>
        <w:t>» والبحار ، ج 70 : « فتكتب »</w:t>
      </w:r>
      <w:r w:rsidR="008A74EB">
        <w:rPr>
          <w:rtl/>
        </w:rPr>
        <w:t>.</w:t>
      </w:r>
      <w:r w:rsidR="008A74EB" w:rsidRPr="00C9040A">
        <w:rPr>
          <w:rtl/>
        </w:rPr>
        <w:t xml:space="preserve"> وفي « ز » : « فيكتب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w:t>
      </w:r>
      <w:r w:rsidR="008A74EB" w:rsidRPr="00993B55">
        <w:rPr>
          <w:rStyle w:val="libFootnoteBoldChar"/>
          <w:rtl/>
        </w:rPr>
        <w:t>الوافي</w:t>
      </w:r>
      <w:r w:rsidR="008A74EB" w:rsidRPr="00C9040A">
        <w:rPr>
          <w:rtl/>
        </w:rPr>
        <w:t xml:space="preserve"> ، ج 5 ، ص 856 ، ح 3147 ؛ </w:t>
      </w:r>
      <w:r w:rsidR="008A74EB" w:rsidRPr="00993B55">
        <w:rPr>
          <w:rStyle w:val="libFootnoteBoldChar"/>
          <w:rtl/>
        </w:rPr>
        <w:t>الوسائل</w:t>
      </w:r>
      <w:r w:rsidR="008A74EB" w:rsidRPr="00C9040A">
        <w:rPr>
          <w:rtl/>
        </w:rPr>
        <w:t xml:space="preserve"> ، ج 1 ، ص 75 ، ح 167 ؛ </w:t>
      </w:r>
      <w:r w:rsidR="008A74EB" w:rsidRPr="00993B55">
        <w:rPr>
          <w:rStyle w:val="libFootnoteBoldChar"/>
          <w:rtl/>
        </w:rPr>
        <w:t>البحار</w:t>
      </w:r>
      <w:r w:rsidR="008A74EB" w:rsidRPr="00C9040A">
        <w:rPr>
          <w:rtl/>
        </w:rPr>
        <w:t xml:space="preserve"> ، ج 70 ، ص 233 ؛ وج 72 ، ص 292 ، ح 16.</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أَمِيرُ الْمُؤْمِنِينَ صَلَوَاتُ اللهِ عَلَيْهِ : اخْشَوُا اللهَ خَشْيَةً لَيْسَتْ بِتَعْذِيرٍ </w:t>
      </w:r>
      <w:r w:rsidR="006C577F" w:rsidRPr="006C577F">
        <w:rPr>
          <w:rStyle w:val="libFootnotenumChar"/>
          <w:rtl/>
        </w:rPr>
        <w:t>(1)</w:t>
      </w:r>
      <w:r w:rsidRPr="00C9040A">
        <w:rPr>
          <w:rtl/>
          <w:lang w:bidi="fa-IR"/>
        </w:rPr>
        <w:t xml:space="preserve"> ، وَاعْمَلُوا لِلّهِ فِي غَيْرِ رِيَاءٍ وَلَاسُمْعَةٍ ؛ فَإِنَّهُ </w:t>
      </w:r>
      <w:r w:rsidR="006C577F" w:rsidRPr="006C577F">
        <w:rPr>
          <w:rStyle w:val="libFootnotenumChar"/>
          <w:rtl/>
        </w:rPr>
        <w:t>(2)</w:t>
      </w:r>
      <w:r w:rsidRPr="00C9040A">
        <w:rPr>
          <w:rtl/>
          <w:lang w:bidi="fa-IR"/>
        </w:rPr>
        <w:t xml:space="preserve"> مَنْ عَمِلَ لِغَيْرِ اللهِ وَكَلَهُ اللهُ </w:t>
      </w:r>
      <w:r w:rsidR="006C577F" w:rsidRPr="006C577F">
        <w:rPr>
          <w:rStyle w:val="libFootnotenumChar"/>
          <w:rtl/>
        </w:rPr>
        <w:t>(3)</w:t>
      </w:r>
      <w:r w:rsidRPr="00C9040A">
        <w:rPr>
          <w:rtl/>
          <w:lang w:bidi="fa-IR"/>
        </w:rPr>
        <w:t xml:space="preserve"> إِلى عَمَلِهِ </w:t>
      </w:r>
      <w:r w:rsidR="006C577F" w:rsidRPr="006C577F">
        <w:rPr>
          <w:rStyle w:val="libFootnotenumChar"/>
          <w:rtl/>
        </w:rPr>
        <w:t>(4)</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1740F6">
        <w:rPr>
          <w:rtl/>
        </w:rPr>
        <w:t>2504</w:t>
      </w:r>
      <w:r w:rsidRPr="00261CB0">
        <w:rPr>
          <w:rStyle w:val="libBold2Char"/>
          <w:rtl/>
        </w:rPr>
        <w:t xml:space="preserve"> / 18.</w:t>
      </w:r>
      <w:r w:rsidRPr="00C9040A">
        <w:rPr>
          <w:rtl/>
          <w:lang w:bidi="fa-IR"/>
        </w:rPr>
        <w:t xml:space="preserve"> عَلِيُّ بْنُ إِبْرَاهِيمَ ، عَنْ أَبِيهِ ، عَنِ ابْنِ أَبِي عُمَيْرٍ ، عَنْ جَمِيلِ بْنِ دَرَّاجٍ ، عَنْ زُرَارَةَ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سَأَلْتُهُ عَنِ الرَّجُلِ يَعْمَلُ الشَّيْ‌ءَ مِنَ الْخَيْرِ ، فَيَرَاهُ إِنْسَانٌ ، فَيَسُرُّهُ ذلِكَ</w:t>
      </w:r>
      <w:r>
        <w:rPr>
          <w:rtl/>
          <w:lang w:bidi="fa-IR"/>
        </w:rPr>
        <w:t>؟</w:t>
      </w:r>
      <w:r w:rsidRPr="00C9040A">
        <w:rPr>
          <w:rtl/>
          <w:lang w:bidi="fa-IR"/>
        </w:rPr>
        <w:t xml:space="preserve"> فَقَالَ </w:t>
      </w:r>
      <w:r w:rsidR="006C577F" w:rsidRPr="006C577F">
        <w:rPr>
          <w:rStyle w:val="libFootnotenumChar"/>
          <w:rtl/>
        </w:rPr>
        <w:t>(6)</w:t>
      </w:r>
      <w:r w:rsidRPr="005B567D">
        <w:rPr>
          <w:rStyle w:val="libFootnotenumChar"/>
          <w:rtl/>
        </w:rPr>
        <w:t xml:space="preserve"> </w:t>
      </w:r>
      <w:r w:rsidRPr="00C9040A">
        <w:rPr>
          <w:rtl/>
          <w:lang w:bidi="fa-IR"/>
        </w:rPr>
        <w:t>: « لَا</w:t>
      </w:r>
      <w:r w:rsidR="00825CDD">
        <w:rPr>
          <w:rtl/>
          <w:lang w:bidi="fa-IR"/>
        </w:rPr>
        <w:t xml:space="preserve"> بَأْسَ ، مَا مِنْ أَحَدٍ إِل</w:t>
      </w:r>
      <w:r w:rsidR="00825CDD">
        <w:rPr>
          <w:rFonts w:hint="cs"/>
          <w:rtl/>
          <w:lang w:bidi="fa-IR"/>
        </w:rPr>
        <w:t>َّ</w:t>
      </w:r>
      <w:r w:rsidR="00825CDD">
        <w:rPr>
          <w:rtl/>
          <w:lang w:bidi="fa-IR"/>
        </w:rPr>
        <w:t>ا</w:t>
      </w:r>
      <w:r w:rsidRPr="00C9040A">
        <w:rPr>
          <w:rtl/>
          <w:lang w:bidi="fa-IR"/>
        </w:rPr>
        <w:t xml:space="preserve"> وَهُوَ يُحِبُّ أَنْ يَظْهَرَ </w:t>
      </w:r>
      <w:r w:rsidR="006C577F" w:rsidRPr="006C577F">
        <w:rPr>
          <w:rStyle w:val="libFootnotenumChar"/>
          <w:rtl/>
        </w:rPr>
        <w:t>(7)</w:t>
      </w:r>
      <w:r w:rsidRPr="00C9040A">
        <w:rPr>
          <w:rtl/>
          <w:lang w:bidi="fa-IR"/>
        </w:rPr>
        <w:t xml:space="preserve"> لَهُ فِي النَّاسِ الْخَيْرُ </w:t>
      </w:r>
      <w:r w:rsidR="006C577F" w:rsidRPr="006C577F">
        <w:rPr>
          <w:rStyle w:val="libFootnotenumChar"/>
          <w:rtl/>
        </w:rPr>
        <w:t>(8)</w:t>
      </w:r>
      <w:r w:rsidRPr="00C9040A">
        <w:rPr>
          <w:rtl/>
          <w:lang w:bidi="fa-IR"/>
        </w:rPr>
        <w:t xml:space="preserve"> ، إِذَا </w:t>
      </w:r>
      <w:r w:rsidR="006C577F" w:rsidRPr="006C577F">
        <w:rPr>
          <w:rStyle w:val="libFootnotenumChar"/>
          <w:rtl/>
        </w:rPr>
        <w:t>(9)</w:t>
      </w:r>
      <w:r w:rsidRPr="00C9040A">
        <w:rPr>
          <w:rtl/>
          <w:lang w:bidi="fa-IR"/>
        </w:rPr>
        <w:t xml:space="preserve"> لَمْ يَكُنْ صَنَعَ </w:t>
      </w:r>
      <w:r w:rsidR="006C577F" w:rsidRPr="006C577F">
        <w:rPr>
          <w:rStyle w:val="libFootnotenumChar"/>
          <w:rtl/>
        </w:rPr>
        <w:t>(10)</w:t>
      </w:r>
      <w:r w:rsidRPr="00C9040A">
        <w:rPr>
          <w:rtl/>
          <w:lang w:bidi="fa-IR"/>
        </w:rPr>
        <w:t xml:space="preserve"> ذلِكَ لِذلِكَ »</w:t>
      </w:r>
      <w:r>
        <w:rPr>
          <w:rtl/>
          <w:lang w:bidi="fa-IR"/>
        </w:rPr>
        <w:t>.</w:t>
      </w:r>
      <w:r w:rsidRPr="00C9040A">
        <w:rPr>
          <w:rtl/>
          <w:lang w:bidi="fa-IR"/>
        </w:rPr>
        <w:t xml:space="preserve"> </w:t>
      </w:r>
      <w:r w:rsidR="006C577F" w:rsidRPr="006C577F">
        <w:rPr>
          <w:rStyle w:val="libFootnotenumChar"/>
          <w:rtl/>
        </w:rPr>
        <w:t>(11)</w:t>
      </w:r>
      <w:r w:rsidRPr="00C9040A">
        <w:rPr>
          <w:rtl/>
          <w:lang w:bidi="fa-IR"/>
        </w:rPr>
        <w:t xml:space="preserve"> ‌</w:t>
      </w:r>
    </w:p>
    <w:p w:rsidR="008A74EB" w:rsidRPr="00C9040A" w:rsidRDefault="008A74EB" w:rsidP="008A74EB">
      <w:pPr>
        <w:pStyle w:val="Heading2Center"/>
        <w:rPr>
          <w:rtl/>
          <w:lang w:bidi="fa-IR"/>
        </w:rPr>
      </w:pPr>
      <w:bookmarkStart w:id="361" w:name="_Toc343795708"/>
      <w:bookmarkStart w:id="362" w:name="_Toc459810832"/>
      <w:bookmarkStart w:id="363" w:name="_Toc35348738"/>
      <w:r w:rsidRPr="00C9040A">
        <w:rPr>
          <w:rtl/>
          <w:lang w:bidi="fa-IR"/>
        </w:rPr>
        <w:t>117</w:t>
      </w:r>
      <w:r>
        <w:rPr>
          <w:rtl/>
          <w:lang w:bidi="fa-IR"/>
        </w:rPr>
        <w:t xml:space="preserve"> </w:t>
      </w:r>
      <w:r w:rsidR="0084262C">
        <w:rPr>
          <w:rtl/>
          <w:lang w:bidi="fa-IR"/>
        </w:rPr>
        <w:t>-</w:t>
      </w:r>
      <w:r>
        <w:rPr>
          <w:rtl/>
          <w:lang w:bidi="fa-IR"/>
        </w:rPr>
        <w:t xml:space="preserve"> </w:t>
      </w:r>
      <w:r w:rsidRPr="00C9040A">
        <w:rPr>
          <w:rtl/>
          <w:lang w:bidi="fa-IR"/>
        </w:rPr>
        <w:t>بَابُ طَلَبِ الرِّئَاسَةِ‌</w:t>
      </w:r>
      <w:bookmarkEnd w:id="361"/>
      <w:bookmarkEnd w:id="362"/>
      <w:bookmarkEnd w:id="363"/>
    </w:p>
    <w:p w:rsidR="008A74EB" w:rsidRPr="00C9040A" w:rsidRDefault="008A74EB" w:rsidP="008A74EB">
      <w:pPr>
        <w:pStyle w:val="libNormal"/>
        <w:rPr>
          <w:rtl/>
          <w:lang w:bidi="fa-IR"/>
        </w:rPr>
      </w:pPr>
      <w:r w:rsidRPr="001740F6">
        <w:rPr>
          <w:rtl/>
        </w:rPr>
        <w:t>2505</w:t>
      </w:r>
      <w:r w:rsidRPr="00261CB0">
        <w:rPr>
          <w:rStyle w:val="libBold2Char"/>
          <w:rtl/>
        </w:rPr>
        <w:t xml:space="preserve"> / 1.</w:t>
      </w:r>
      <w:r w:rsidRPr="00C9040A">
        <w:rPr>
          <w:rtl/>
          <w:lang w:bidi="fa-IR"/>
        </w:rPr>
        <w:t xml:space="preserve"> مُحَمَّدُ بْنُ يَحْيى ، عَنْ أَحْمَدَ بْنِ مُحَمَّدِ بْنِ عِ</w:t>
      </w:r>
      <w:r w:rsidR="00825CDD">
        <w:rPr>
          <w:rtl/>
          <w:lang w:bidi="fa-IR"/>
        </w:rPr>
        <w:t>يسى ، عَنْ مُعَمَّرِ بْنِ خَل</w:t>
      </w:r>
      <w:r w:rsidR="00825CDD">
        <w:rPr>
          <w:rFonts w:hint="cs"/>
          <w:rtl/>
          <w:lang w:bidi="fa-IR"/>
        </w:rPr>
        <w:t>َّ</w:t>
      </w:r>
      <w:r w:rsidR="00825CDD">
        <w:rPr>
          <w:rtl/>
          <w:lang w:bidi="fa-IR"/>
        </w:rPr>
        <w:t>ا</w:t>
      </w:r>
      <w:r w:rsidRPr="00C9040A">
        <w:rPr>
          <w:rtl/>
          <w:lang w:bidi="fa-IR"/>
        </w:rPr>
        <w:t>دٍ :</w:t>
      </w:r>
    </w:p>
    <w:p w:rsidR="008A74EB" w:rsidRPr="00C9040A" w:rsidRDefault="008A74EB" w:rsidP="008A74EB">
      <w:pPr>
        <w:pStyle w:val="libNormal"/>
        <w:rPr>
          <w:rtl/>
          <w:lang w:bidi="fa-IR"/>
        </w:rPr>
      </w:pPr>
      <w:r w:rsidRPr="00C9040A">
        <w:rPr>
          <w:rtl/>
          <w:lang w:bidi="fa-IR"/>
        </w:rPr>
        <w:t xml:space="preserve">عَنْ أَبِي الْحَسَنِ </w:t>
      </w:r>
      <w:r w:rsidR="006C577F" w:rsidRPr="006C577F">
        <w:rPr>
          <w:rStyle w:val="libFootnotenumChar"/>
          <w:rtl/>
        </w:rPr>
        <w:t>(12)</w:t>
      </w:r>
      <w:r w:rsidRPr="00C9040A">
        <w:rPr>
          <w:rtl/>
          <w:lang w:bidi="fa-IR"/>
        </w:rPr>
        <w:t xml:space="preserve"> </w:t>
      </w:r>
      <w:r w:rsidRPr="0003660B">
        <w:rPr>
          <w:rStyle w:val="libAlaemChar"/>
          <w:rtl/>
        </w:rPr>
        <w:t>عليه‌السلام</w:t>
      </w:r>
      <w:r w:rsidRPr="00C9040A">
        <w:rPr>
          <w:rtl/>
          <w:lang w:bidi="fa-IR"/>
        </w:rPr>
        <w:t xml:space="preserve"> : أَنَّهُ ذَكَرَ رَجُلاً ، فَقَالَ </w:t>
      </w:r>
      <w:r w:rsidRPr="005B567D">
        <w:rPr>
          <w:rStyle w:val="libFootnotenumChar"/>
          <w:rtl/>
        </w:rPr>
        <w:t>(13)</w:t>
      </w:r>
      <w:r w:rsidRPr="00C9040A">
        <w:rPr>
          <w:rtl/>
          <w:lang w:bidi="fa-IR"/>
        </w:rPr>
        <w:t xml:space="preserve"> : « إِنَّهُ يُحِبُّ الرِّئَاسَةَ »</w:t>
      </w:r>
      <w:r>
        <w:rPr>
          <w:rtl/>
          <w:lang w:bidi="fa-IR"/>
        </w:rPr>
        <w:t>.</w:t>
      </w:r>
      <w:r w:rsidRPr="00C9040A">
        <w:rPr>
          <w:rtl/>
          <w:lang w:bidi="fa-IR"/>
        </w:rPr>
        <w:t xml:space="preserve"> فَقَالَ : « مَا ذِئْبَانِ‌</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825CDD" w:rsidTr="00825CDD">
        <w:tc>
          <w:tcPr>
            <w:tcW w:w="4006" w:type="dxa"/>
          </w:tcPr>
          <w:p w:rsidR="00825CDD" w:rsidRDefault="00825CDD" w:rsidP="004A4E41">
            <w:pPr>
              <w:pStyle w:val="libFootnote0"/>
              <w:rPr>
                <w:rtl/>
              </w:rPr>
            </w:pPr>
            <w:r>
              <w:rPr>
                <w:rtl/>
              </w:rPr>
              <w:t xml:space="preserve">(1). </w:t>
            </w:r>
            <w:r w:rsidRPr="00C9040A">
              <w:rPr>
                <w:rtl/>
              </w:rPr>
              <w:t>في المحاسن : « بتغدير »</w:t>
            </w:r>
            <w:r>
              <w:rPr>
                <w:rtl/>
              </w:rPr>
              <w:t>.</w:t>
            </w:r>
          </w:p>
        </w:tc>
        <w:tc>
          <w:tcPr>
            <w:tcW w:w="4006" w:type="dxa"/>
          </w:tcPr>
          <w:p w:rsidR="00825CDD" w:rsidRDefault="00825CDD" w:rsidP="004A4E41">
            <w:pPr>
              <w:pStyle w:val="libFootnote0"/>
              <w:rPr>
                <w:rtl/>
              </w:rPr>
            </w:pPr>
            <w:r>
              <w:rPr>
                <w:rtl/>
              </w:rPr>
              <w:t xml:space="preserve">(2). </w:t>
            </w:r>
            <w:r w:rsidRPr="00C9040A">
              <w:rPr>
                <w:rtl/>
              </w:rPr>
              <w:t>في « ب ، ج ، بر ، بس » : « فإنّ »</w:t>
            </w:r>
            <w:r>
              <w:rPr>
                <w:rtl/>
              </w:rPr>
              <w:t>.</w:t>
            </w:r>
          </w:p>
        </w:tc>
      </w:tr>
      <w:tr w:rsidR="00825CDD" w:rsidTr="00825CDD">
        <w:tc>
          <w:tcPr>
            <w:tcW w:w="4006" w:type="dxa"/>
          </w:tcPr>
          <w:p w:rsidR="00825CDD" w:rsidRDefault="00825CDD" w:rsidP="004A4E41">
            <w:pPr>
              <w:pStyle w:val="libFootnote0"/>
              <w:rPr>
                <w:rtl/>
              </w:rPr>
            </w:pPr>
            <w:r>
              <w:rPr>
                <w:rtl/>
              </w:rPr>
              <w:t>(3).</w:t>
            </w:r>
            <w:r w:rsidRPr="00C9040A">
              <w:rPr>
                <w:rtl/>
              </w:rPr>
              <w:t xml:space="preserve"> في « د » </w:t>
            </w:r>
            <w:r>
              <w:rPr>
                <w:rtl/>
              </w:rPr>
              <w:t>: -</w:t>
            </w:r>
            <w:r w:rsidRPr="00C9040A">
              <w:rPr>
                <w:rtl/>
              </w:rPr>
              <w:t xml:space="preserve"> « الله »</w:t>
            </w:r>
            <w:r>
              <w:rPr>
                <w:rtl/>
              </w:rPr>
              <w:t>.</w:t>
            </w:r>
          </w:p>
        </w:tc>
        <w:tc>
          <w:tcPr>
            <w:tcW w:w="4006" w:type="dxa"/>
          </w:tcPr>
          <w:p w:rsidR="00825CDD" w:rsidRDefault="00825CDD" w:rsidP="004A4E41">
            <w:pPr>
              <w:pStyle w:val="libFootnote0"/>
              <w:rPr>
                <w:rtl/>
              </w:rPr>
            </w:pPr>
            <w:r>
              <w:rPr>
                <w:rtl/>
              </w:rPr>
              <w:t>(4).</w:t>
            </w:r>
            <w:r w:rsidRPr="00C9040A">
              <w:rPr>
                <w:rtl/>
              </w:rPr>
              <w:t xml:space="preserve"> في المحاسن : + « يوم القيامة »</w:t>
            </w:r>
            <w:r>
              <w:rPr>
                <w:rtl/>
              </w:rPr>
              <w:t>.</w:t>
            </w:r>
          </w:p>
        </w:tc>
      </w:tr>
    </w:tbl>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المحاسن</w:t>
      </w:r>
      <w:r w:rsidR="008A74EB" w:rsidRPr="00C9040A">
        <w:rPr>
          <w:rtl/>
        </w:rPr>
        <w:t xml:space="preserve"> ، ص 254 ، كتاب مصابيح الظلم ، ح 282 ، عن جعفر بن محمّد بن عبدالله الأشعري. </w:t>
      </w:r>
      <w:r w:rsidR="008A74EB" w:rsidRPr="00993B55">
        <w:rPr>
          <w:rStyle w:val="libFootnoteBoldChar"/>
          <w:rtl/>
        </w:rPr>
        <w:t>الكافي</w:t>
      </w:r>
      <w:r w:rsidR="008A74EB" w:rsidRPr="00C9040A">
        <w:rPr>
          <w:rtl/>
        </w:rPr>
        <w:t xml:space="preserve"> ، كتاب الجهاد ، باب الأمر بالمعروف والنهي عن المنكر ، ضمن الحديث 8324 ، بسند آخر عن أمير المؤمنين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نهج البلاغة</w:t>
      </w:r>
      <w:r w:rsidR="008A74EB" w:rsidRPr="00C9040A">
        <w:rPr>
          <w:rtl/>
        </w:rPr>
        <w:t xml:space="preserve"> ، ص 64 ، ضمن الخطبة 23 ، وفيهما مع اختلاف يسير </w:t>
      </w:r>
      <w:r w:rsidR="00825CDD">
        <w:rPr>
          <w:rFonts w:hint="cs"/>
          <w:rtl/>
        </w:rPr>
        <w:t>.</w:t>
      </w:r>
      <w:r w:rsidR="008A74EB" w:rsidRPr="00993B55">
        <w:rPr>
          <w:rStyle w:val="libFootnoteBoldChar"/>
          <w:rtl/>
        </w:rPr>
        <w:t>الوافي</w:t>
      </w:r>
      <w:r w:rsidR="008A74EB" w:rsidRPr="00C9040A">
        <w:rPr>
          <w:rtl/>
        </w:rPr>
        <w:t xml:space="preserve"> ، ج 5 ، ص 857 ، ح 3148 ؛ </w:t>
      </w:r>
      <w:r w:rsidR="008A74EB" w:rsidRPr="00993B55">
        <w:rPr>
          <w:rStyle w:val="libFootnoteBoldChar"/>
          <w:rtl/>
        </w:rPr>
        <w:t>الوسائل</w:t>
      </w:r>
      <w:r w:rsidR="008A74EB" w:rsidRPr="00C9040A">
        <w:rPr>
          <w:rtl/>
        </w:rPr>
        <w:t xml:space="preserve"> ، ج 1 ، ص 66 ، ذيل ح 147 ؛ </w:t>
      </w:r>
      <w:r w:rsidR="008A74EB" w:rsidRPr="00993B55">
        <w:rPr>
          <w:rStyle w:val="libFootnoteBoldChar"/>
          <w:rtl/>
        </w:rPr>
        <w:t>البحار</w:t>
      </w:r>
      <w:r w:rsidR="008A74EB" w:rsidRPr="00C9040A">
        <w:rPr>
          <w:rtl/>
        </w:rPr>
        <w:t xml:space="preserve"> ، ج 72 ، ص 293 ، ح 17.</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 ب ، ج ، د ، ز ، </w:t>
      </w:r>
      <w:r w:rsidR="006D3162">
        <w:rPr>
          <w:rtl/>
        </w:rPr>
        <w:t xml:space="preserve">ه </w:t>
      </w:r>
      <w:r w:rsidR="008A74EB" w:rsidRPr="00C9040A">
        <w:rPr>
          <w:rtl/>
        </w:rPr>
        <w:t>، بس » والوسائل والبحار : « قال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w:t>
      </w:r>
      <w:r w:rsidR="006D3162">
        <w:rPr>
          <w:rtl/>
        </w:rPr>
        <w:t xml:space="preserve">ه </w:t>
      </w:r>
      <w:r w:rsidR="008A74EB" w:rsidRPr="00C9040A">
        <w:rPr>
          <w:rtl/>
        </w:rPr>
        <w:t>» : + « الله جلّ وعزّ »</w:t>
      </w:r>
      <w:r w:rsidR="008A74EB">
        <w:rPr>
          <w:rtl/>
        </w:rPr>
        <w:t>.</w:t>
      </w:r>
      <w:r w:rsidR="008A74EB" w:rsidRPr="00C9040A">
        <w:rPr>
          <w:rtl/>
        </w:rPr>
        <w:t xml:space="preserve"> وفي الوافي : + « الله »</w:t>
      </w:r>
      <w:r w:rsidR="008A74EB">
        <w:rPr>
          <w:rtl/>
        </w:rPr>
        <w:t>.</w:t>
      </w:r>
    </w:p>
    <w:tbl>
      <w:tblPr>
        <w:tblStyle w:val="TableGrid"/>
        <w:bidiVisual/>
        <w:tblW w:w="0" w:type="auto"/>
        <w:tblLook w:val="04A0" w:firstRow="1" w:lastRow="0" w:firstColumn="1" w:lastColumn="0" w:noHBand="0" w:noVBand="1"/>
      </w:tblPr>
      <w:tblGrid>
        <w:gridCol w:w="4006"/>
        <w:gridCol w:w="4006"/>
      </w:tblGrid>
      <w:tr w:rsidR="00825CDD" w:rsidTr="00825CDD">
        <w:tc>
          <w:tcPr>
            <w:tcW w:w="4006" w:type="dxa"/>
          </w:tcPr>
          <w:p w:rsidR="00825CDD" w:rsidRDefault="00825CDD" w:rsidP="004A4E41">
            <w:pPr>
              <w:pStyle w:val="libFootnote0"/>
              <w:rPr>
                <w:rtl/>
              </w:rPr>
            </w:pPr>
            <w:r>
              <w:rPr>
                <w:rtl/>
              </w:rPr>
              <w:t>(8).</w:t>
            </w:r>
            <w:r w:rsidRPr="00C9040A">
              <w:rPr>
                <w:rtl/>
              </w:rPr>
              <w:t xml:space="preserve"> في « </w:t>
            </w:r>
            <w:r>
              <w:rPr>
                <w:rtl/>
              </w:rPr>
              <w:t xml:space="preserve">ه </w:t>
            </w:r>
            <w:r w:rsidRPr="00C9040A">
              <w:rPr>
                <w:rtl/>
              </w:rPr>
              <w:t>» : « الخيرات »</w:t>
            </w:r>
            <w:r>
              <w:rPr>
                <w:rtl/>
              </w:rPr>
              <w:t>.</w:t>
            </w:r>
          </w:p>
        </w:tc>
        <w:tc>
          <w:tcPr>
            <w:tcW w:w="4006" w:type="dxa"/>
          </w:tcPr>
          <w:p w:rsidR="00825CDD" w:rsidRDefault="00825CDD" w:rsidP="004A4E41">
            <w:pPr>
              <w:pStyle w:val="libFootnote0"/>
              <w:rPr>
                <w:rtl/>
              </w:rPr>
            </w:pPr>
            <w:r>
              <w:rPr>
                <w:rtl/>
              </w:rPr>
              <w:t>(9).</w:t>
            </w:r>
            <w:r w:rsidRPr="00C9040A">
              <w:rPr>
                <w:rtl/>
              </w:rPr>
              <w:t xml:space="preserve"> في « بس » : « إذ »</w:t>
            </w:r>
            <w:r>
              <w:rPr>
                <w:rtl/>
              </w:rPr>
              <w:t>.</w:t>
            </w:r>
          </w:p>
        </w:tc>
      </w:tr>
    </w:tbl>
    <w:p w:rsidR="008A74EB" w:rsidRPr="00C9040A" w:rsidRDefault="006C577F" w:rsidP="004A4E41">
      <w:pPr>
        <w:pStyle w:val="libFootnote0"/>
        <w:rPr>
          <w:rtl/>
          <w:lang w:bidi="fa-IR"/>
        </w:rPr>
      </w:pPr>
      <w:r>
        <w:rPr>
          <w:rtl/>
        </w:rPr>
        <w:t>(10).</w:t>
      </w:r>
      <w:r w:rsidR="008A74EB" w:rsidRPr="00C9040A">
        <w:rPr>
          <w:rtl/>
        </w:rPr>
        <w:t xml:space="preserve"> في « ب » وحاشية « ج » : « يصنع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w:t>
      </w:r>
      <w:r w:rsidR="008A74EB" w:rsidRPr="00993B55">
        <w:rPr>
          <w:rStyle w:val="libFootnoteBoldChar"/>
          <w:rtl/>
        </w:rPr>
        <w:t>الوافي</w:t>
      </w:r>
      <w:r w:rsidR="008A74EB" w:rsidRPr="00C9040A">
        <w:rPr>
          <w:rtl/>
        </w:rPr>
        <w:t xml:space="preserve"> ، ج 5 ، ص 857 ، ح 3150 ؛ </w:t>
      </w:r>
      <w:r w:rsidR="008A74EB" w:rsidRPr="00993B55">
        <w:rPr>
          <w:rStyle w:val="libFootnoteBoldChar"/>
          <w:rtl/>
        </w:rPr>
        <w:t>الوسائل</w:t>
      </w:r>
      <w:r w:rsidR="008A74EB" w:rsidRPr="00C9040A">
        <w:rPr>
          <w:rtl/>
        </w:rPr>
        <w:t xml:space="preserve"> ، ج 1 ، ص 75 ، ح 168 ؛ </w:t>
      </w:r>
      <w:r w:rsidR="008A74EB" w:rsidRPr="00993B55">
        <w:rPr>
          <w:rStyle w:val="libFootnoteBoldChar"/>
          <w:rtl/>
        </w:rPr>
        <w:t>البحار</w:t>
      </w:r>
      <w:r w:rsidR="008A74EB" w:rsidRPr="00C9040A">
        <w:rPr>
          <w:rtl/>
        </w:rPr>
        <w:t xml:space="preserve"> ، 72 ، ص 294 ، ح 18.</w:t>
      </w:r>
    </w:p>
    <w:p w:rsidR="008A74EB" w:rsidRPr="00C9040A" w:rsidRDefault="006C577F" w:rsidP="004A4E41">
      <w:pPr>
        <w:pStyle w:val="libFootnote0"/>
        <w:rPr>
          <w:rtl/>
          <w:lang w:bidi="fa-IR"/>
        </w:rPr>
      </w:pPr>
      <w:r>
        <w:rPr>
          <w:rtl/>
        </w:rPr>
        <w:t>(12).</w:t>
      </w:r>
      <w:r w:rsidR="008A74EB" w:rsidRPr="00C9040A">
        <w:rPr>
          <w:rtl/>
        </w:rPr>
        <w:t xml:space="preserve"> في « ج ، ص ، </w:t>
      </w:r>
      <w:r w:rsidR="006D3162">
        <w:rPr>
          <w:rtl/>
        </w:rPr>
        <w:t xml:space="preserve">ه </w:t>
      </w:r>
      <w:r w:rsidR="008A74EB" w:rsidRPr="00C9040A">
        <w:rPr>
          <w:rtl/>
        </w:rPr>
        <w:t>» والوافي : + « الرضا »</w:t>
      </w:r>
      <w:r w:rsidR="008A74EB">
        <w:rPr>
          <w:rtl/>
        </w:rPr>
        <w:t>.</w:t>
      </w:r>
    </w:p>
    <w:p w:rsidR="008A74EB" w:rsidRPr="00C9040A" w:rsidRDefault="008A74EB" w:rsidP="004A4E41">
      <w:pPr>
        <w:pStyle w:val="libFootnote0"/>
        <w:rPr>
          <w:rtl/>
          <w:lang w:bidi="fa-IR"/>
        </w:rPr>
      </w:pPr>
      <w:r>
        <w:rPr>
          <w:rtl/>
        </w:rPr>
        <w:t>(13)</w:t>
      </w:r>
      <w:r w:rsidRPr="00C9040A">
        <w:rPr>
          <w:rtl/>
        </w:rPr>
        <w:t xml:space="preserve"> في « ب » : « يقال »</w:t>
      </w:r>
      <w:r>
        <w:rPr>
          <w:rtl/>
        </w:rPr>
        <w:t>.</w:t>
      </w:r>
      <w:r w:rsidRPr="00C9040A">
        <w:rPr>
          <w:rtl/>
        </w:rPr>
        <w:t xml:space="preserve"> وفي </w:t>
      </w:r>
      <w:r w:rsidRPr="00825CDD">
        <w:rPr>
          <w:rStyle w:val="libFootnoteBoldChar"/>
          <w:rtl/>
        </w:rPr>
        <w:t>مرآة العقول</w:t>
      </w:r>
      <w:r w:rsidRPr="00C9040A">
        <w:rPr>
          <w:rtl/>
        </w:rPr>
        <w:t xml:space="preserve"> : « ضمائر « أنّه » </w:t>
      </w:r>
      <w:r>
        <w:rPr>
          <w:rtl/>
        </w:rPr>
        <w:t>و «</w:t>
      </w:r>
      <w:r w:rsidRPr="00C9040A">
        <w:rPr>
          <w:rtl/>
        </w:rPr>
        <w:t xml:space="preserve"> ذكر » </w:t>
      </w:r>
      <w:r>
        <w:rPr>
          <w:rtl/>
        </w:rPr>
        <w:t>و «</w:t>
      </w:r>
      <w:r w:rsidRPr="00C9040A">
        <w:rPr>
          <w:rtl/>
        </w:rPr>
        <w:t xml:space="preserve"> فقال » أوّلاً راجعة إلى معمّر ويحتمل </w:t>
      </w:r>
      <w:r w:rsidR="00825CDD">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ضَارِيَانِ </w:t>
      </w:r>
      <w:r w:rsidR="006C577F" w:rsidRPr="006C577F">
        <w:rPr>
          <w:rStyle w:val="libFootnotenumChar"/>
          <w:rtl/>
        </w:rPr>
        <w:t>(1)</w:t>
      </w:r>
      <w:r w:rsidRPr="00C9040A">
        <w:rPr>
          <w:rtl/>
          <w:lang w:bidi="fa-IR"/>
        </w:rPr>
        <w:t xml:space="preserve"> فِي غَنَمٍ قَدْ تَفَرَّقَ رِعَاؤُهَا بِأَضَرَّ فِي دِينِ الْمُسْلِمِ </w:t>
      </w:r>
      <w:r w:rsidR="006C577F" w:rsidRPr="006C577F">
        <w:rPr>
          <w:rStyle w:val="libFootnotenumChar"/>
          <w:rtl/>
        </w:rPr>
        <w:t>(2)</w:t>
      </w:r>
      <w:r w:rsidRPr="00C9040A">
        <w:rPr>
          <w:rtl/>
          <w:lang w:bidi="fa-IR"/>
        </w:rPr>
        <w:t xml:space="preserve"> مِنَ </w:t>
      </w:r>
      <w:r w:rsidR="006C577F" w:rsidRPr="006C577F">
        <w:rPr>
          <w:rStyle w:val="libFootnotenumChar"/>
          <w:rtl/>
        </w:rPr>
        <w:t>(3)</w:t>
      </w:r>
      <w:r w:rsidRPr="00C9040A">
        <w:rPr>
          <w:rtl/>
          <w:lang w:bidi="fa-IR"/>
        </w:rPr>
        <w:t xml:space="preserve"> الرِّئَاسَةِ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1740F6">
        <w:rPr>
          <w:rtl/>
        </w:rPr>
        <w:t>2506</w:t>
      </w:r>
      <w:r w:rsidRPr="00261CB0">
        <w:rPr>
          <w:rStyle w:val="libBold2Char"/>
          <w:rtl/>
        </w:rPr>
        <w:t xml:space="preserve"> / 2.</w:t>
      </w:r>
      <w:r w:rsidRPr="00C9040A">
        <w:rPr>
          <w:rtl/>
          <w:lang w:bidi="fa-IR"/>
        </w:rPr>
        <w:t xml:space="preserve"> عَنْهُ ، عَنْ أَحْمَدَ ، عَنْ سَعِيدِ بْنِ جَنَاحٍ ، عَنْ أَخِيهِ أَبِي عَامِرٍ </w:t>
      </w:r>
      <w:r w:rsidR="006C577F" w:rsidRPr="006C577F">
        <w:rPr>
          <w:rStyle w:val="libFootnotenumChar"/>
          <w:rtl/>
        </w:rPr>
        <w:t>(5)</w:t>
      </w:r>
      <w:r w:rsidRPr="00C9040A">
        <w:rPr>
          <w:rtl/>
          <w:lang w:bidi="fa-IR"/>
        </w:rPr>
        <w:t xml:space="preserve"> ، عَنْ رَجُلٍ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مَنْ طَلَبَ الرِّئَاسَةَ هَلَكَ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Normal"/>
        <w:rPr>
          <w:rtl/>
          <w:lang w:bidi="fa-IR"/>
        </w:rPr>
      </w:pPr>
      <w:r w:rsidRPr="001740F6">
        <w:rPr>
          <w:rtl/>
        </w:rPr>
        <w:t>2507</w:t>
      </w:r>
      <w:r w:rsidRPr="00261CB0">
        <w:rPr>
          <w:rStyle w:val="libBold2Char"/>
          <w:rtl/>
        </w:rPr>
        <w:t xml:space="preserve"> / 3.</w:t>
      </w:r>
      <w:r w:rsidRPr="00C9040A">
        <w:rPr>
          <w:rtl/>
          <w:lang w:bidi="fa-IR"/>
        </w:rPr>
        <w:t xml:space="preserve"> عِدَّةٌ مِنْ أَصْحَابِنَا ، عَنْ أَحْمَدَ بْنِ مُحَمَّدِ بْنِ خَالِدٍ </w:t>
      </w:r>
      <w:r w:rsidR="006C577F" w:rsidRPr="006C577F">
        <w:rPr>
          <w:rStyle w:val="libFootnotenumChar"/>
          <w:rtl/>
        </w:rPr>
        <w:t>(7)</w:t>
      </w:r>
      <w:r w:rsidRPr="00C9040A">
        <w:rPr>
          <w:rtl/>
          <w:lang w:bidi="fa-IR"/>
        </w:rPr>
        <w:t xml:space="preserve"> ، عَنْ أَبِيهِ ، عَنْ عَبْدِ اللهِ بْنِ الْمُغِيرَةِ ، عَنْ عَبْدِ اللهِ بْنِ مُسْكَانَ ، قَالَ :</w:t>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 « إِيَّاكُمْ وَهؤُلَاءِ الرُّؤَسَاءَ الَّذِينَ يَتَرَأَّسُونَ </w:t>
      </w:r>
      <w:r w:rsidR="006C577F" w:rsidRPr="006C577F">
        <w:rPr>
          <w:rStyle w:val="libFootnotenumChar"/>
          <w:rtl/>
        </w:rPr>
        <w:t>(8)</w:t>
      </w:r>
      <w:r w:rsidRPr="00C9040A">
        <w:rPr>
          <w:rtl/>
          <w:lang w:bidi="fa-IR"/>
        </w:rPr>
        <w:t xml:space="preserve"> ، فَوَ اللهِ مَا خَفَقَتِ </w:t>
      </w:r>
      <w:r w:rsidR="006C577F" w:rsidRPr="006C577F">
        <w:rPr>
          <w:rStyle w:val="libFootnotenumChar"/>
          <w:rtl/>
        </w:rPr>
        <w:t>(9)</w:t>
      </w:r>
      <w:r w:rsidR="00825CDD">
        <w:rPr>
          <w:rtl/>
          <w:lang w:bidi="fa-IR"/>
        </w:rPr>
        <w:t xml:space="preserve"> النِّعَالُ خَلْفَ رَجُلٍ إِل</w:t>
      </w:r>
      <w:r w:rsidR="00825CDD">
        <w:rPr>
          <w:rFonts w:hint="cs"/>
          <w:rtl/>
          <w:lang w:bidi="fa-IR"/>
        </w:rPr>
        <w:t>َّ</w:t>
      </w:r>
      <w:r w:rsidR="00825CDD">
        <w:rPr>
          <w:rtl/>
          <w:lang w:bidi="fa-IR"/>
        </w:rPr>
        <w:t>ا</w:t>
      </w:r>
      <w:r w:rsidRPr="00C9040A">
        <w:rPr>
          <w:rtl/>
          <w:lang w:bidi="fa-IR"/>
        </w:rPr>
        <w:t>‌</w:t>
      </w:r>
      <w:r w:rsidR="00825CDD">
        <w:rPr>
          <w:rFonts w:hint="cs"/>
          <w:rtl/>
          <w:lang w:bidi="fa-IR"/>
        </w:rPr>
        <w:t>...............................................</w:t>
      </w:r>
      <w:r w:rsidR="00825CDD">
        <w:rPr>
          <w:rFonts w:hint="cs"/>
          <w:rtl/>
          <w:lang w:bidi="fa-IR"/>
        </w:rPr>
        <w:tab/>
      </w:r>
    </w:p>
    <w:p w:rsidR="008A74EB" w:rsidRPr="00C9040A" w:rsidRDefault="008A74EB" w:rsidP="008A74EB">
      <w:pPr>
        <w:pStyle w:val="libLine"/>
        <w:rPr>
          <w:rtl/>
          <w:lang w:bidi="fa-IR"/>
        </w:rPr>
      </w:pPr>
      <w:r w:rsidRPr="00C9040A">
        <w:rPr>
          <w:rtl/>
          <w:lang w:bidi="fa-IR"/>
        </w:rPr>
        <w:t>__________________</w:t>
      </w:r>
    </w:p>
    <w:p w:rsidR="008A74EB" w:rsidRPr="00C9040A" w:rsidRDefault="00277053" w:rsidP="004A4E41">
      <w:pPr>
        <w:pStyle w:val="libFootnote0"/>
        <w:rPr>
          <w:rtl/>
          <w:lang w:bidi="fa-IR"/>
        </w:rPr>
      </w:pPr>
      <w:r>
        <w:rPr>
          <w:rFonts w:hint="cs"/>
          <w:rtl/>
        </w:rPr>
        <w:t xml:space="preserve">= </w:t>
      </w:r>
      <w:r w:rsidR="008A74EB" w:rsidRPr="00C9040A">
        <w:rPr>
          <w:rtl/>
        </w:rPr>
        <w:t xml:space="preserve">رجوعها إلى الإمام </w:t>
      </w:r>
      <w:r w:rsidR="00117575" w:rsidRPr="00117575">
        <w:rPr>
          <w:rStyle w:val="libFootnoteAlaemChar"/>
          <w:rtl/>
        </w:rPr>
        <w:t>عليه‌السلام</w:t>
      </w:r>
      <w:r w:rsidR="008A74EB" w:rsidRPr="00C9040A">
        <w:rPr>
          <w:rtl/>
        </w:rPr>
        <w:t xml:space="preserve"> »</w:t>
      </w:r>
      <w:r w:rsidR="008A74EB">
        <w:rPr>
          <w:rtl/>
        </w:rPr>
        <w:t>.</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الذئب الضاري : الذي اعتاد بالصيد وإهلاكه ؛ من الضراوة بمعنى العادة ، يقال : ضَرِي بالشي‌ء ، إذا اعتاده فلا يكاد يصبر عنه ، وضري الكلب بالصيد ، إذا تطعّم بلحمه ودمه. راجع : </w:t>
      </w:r>
      <w:r w:rsidR="008A74EB" w:rsidRPr="00993B55">
        <w:rPr>
          <w:rStyle w:val="libFootnoteBoldChar"/>
          <w:rtl/>
        </w:rPr>
        <w:t>النهاية</w:t>
      </w:r>
      <w:r w:rsidR="008A74EB" w:rsidRPr="00C9040A">
        <w:rPr>
          <w:rtl/>
        </w:rPr>
        <w:t xml:space="preserve"> ، ج 3 ، ص 86 ؛ </w:t>
      </w:r>
      <w:r w:rsidR="008A74EB" w:rsidRPr="00993B55">
        <w:rPr>
          <w:rStyle w:val="libFootnoteBoldChar"/>
          <w:rtl/>
        </w:rPr>
        <w:t>لسان العرب</w:t>
      </w:r>
      <w:r w:rsidR="008A74EB" w:rsidRPr="00C9040A">
        <w:rPr>
          <w:rtl/>
        </w:rPr>
        <w:t xml:space="preserve"> ، ج 14 ، ص 482 ( ضرا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 في دين المسلم » صلة للضرر المقدّر ، وفي الكلام تقديم وتأخير ، والمعنى : ليس ضرر الذئبين في الغنم بأشدّ من ضرر الرئاسة في دين المسلم. راجع : </w:t>
      </w:r>
      <w:r w:rsidR="008A74EB" w:rsidRPr="00993B55">
        <w:rPr>
          <w:rStyle w:val="libFootnoteBoldChar"/>
          <w:rtl/>
        </w:rPr>
        <w:t>الوافي</w:t>
      </w:r>
      <w:r w:rsidR="008A74EB" w:rsidRPr="00C9040A">
        <w:rPr>
          <w:rtl/>
        </w:rPr>
        <w:t xml:space="preserve"> ، ج 5 ، ص 843 ؛ </w:t>
      </w:r>
      <w:r w:rsidR="008A74EB" w:rsidRPr="00993B55">
        <w:rPr>
          <w:rStyle w:val="libFootnoteBoldChar"/>
          <w:rtl/>
        </w:rPr>
        <w:t>مرآة العقول</w:t>
      </w:r>
      <w:r w:rsidR="008A74EB" w:rsidRPr="00C9040A">
        <w:rPr>
          <w:rtl/>
        </w:rPr>
        <w:t xml:space="preserve"> ، ج 10 ، ص 118.</w:t>
      </w:r>
    </w:p>
    <w:p w:rsidR="008A74EB" w:rsidRPr="00C9040A" w:rsidRDefault="006C577F" w:rsidP="004A4E41">
      <w:pPr>
        <w:pStyle w:val="libFootnote0"/>
        <w:rPr>
          <w:rtl/>
          <w:lang w:bidi="fa-IR"/>
        </w:rPr>
      </w:pPr>
      <w:r>
        <w:rPr>
          <w:rtl/>
        </w:rPr>
        <w:t>(3).</w:t>
      </w:r>
      <w:r w:rsidR="008A74EB" w:rsidRPr="00C9040A">
        <w:rPr>
          <w:rtl/>
        </w:rPr>
        <w:t xml:space="preserve"> في « ز ، بر » والبحار : + « طلب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رجال الكشّي</w:t>
      </w:r>
      <w:r w:rsidR="008A74EB" w:rsidRPr="00C9040A">
        <w:rPr>
          <w:rtl/>
        </w:rPr>
        <w:t xml:space="preserve"> ، ص 503 </w:t>
      </w:r>
      <w:r w:rsidR="00277053">
        <w:rPr>
          <w:rtl/>
        </w:rPr>
        <w:t>، ح 966 ، بسنده عن معمّر بن خل</w:t>
      </w:r>
      <w:r w:rsidR="00277053">
        <w:rPr>
          <w:rFonts w:hint="cs"/>
          <w:rtl/>
        </w:rPr>
        <w:t>ّ</w:t>
      </w:r>
      <w:r w:rsidR="00277053">
        <w:rPr>
          <w:rtl/>
        </w:rPr>
        <w:t>ا</w:t>
      </w:r>
      <w:r w:rsidR="008A74EB" w:rsidRPr="00C9040A">
        <w:rPr>
          <w:rtl/>
        </w:rPr>
        <w:t xml:space="preserve">د ، مع اختلاف يسير وزيادة في آخره </w:t>
      </w:r>
      <w:r w:rsidR="00277053">
        <w:rPr>
          <w:rFonts w:hint="cs"/>
          <w:rtl/>
        </w:rPr>
        <w:t>.</w:t>
      </w:r>
      <w:r w:rsidR="008A74EB" w:rsidRPr="00993B55">
        <w:rPr>
          <w:rStyle w:val="libFootnoteBoldChar"/>
          <w:rtl/>
        </w:rPr>
        <w:t>الوافي</w:t>
      </w:r>
      <w:r w:rsidR="008A74EB" w:rsidRPr="00C9040A">
        <w:rPr>
          <w:rtl/>
        </w:rPr>
        <w:t xml:space="preserve"> ، ج 5 ، ص 843 ، ح 3115 ؛ </w:t>
      </w:r>
      <w:r w:rsidR="008A74EB" w:rsidRPr="00993B55">
        <w:rPr>
          <w:rStyle w:val="libFootnoteBoldChar"/>
          <w:rtl/>
        </w:rPr>
        <w:t>الوسائل</w:t>
      </w:r>
      <w:r w:rsidR="008A74EB" w:rsidRPr="00C9040A">
        <w:rPr>
          <w:rtl/>
        </w:rPr>
        <w:t xml:space="preserve"> ، ج 15 ، ص 350 ، ح 20707 ؛ </w:t>
      </w:r>
      <w:r w:rsidR="008A74EB" w:rsidRPr="00993B55">
        <w:rPr>
          <w:rStyle w:val="libFootnoteBoldChar"/>
          <w:rtl/>
        </w:rPr>
        <w:t>البحار</w:t>
      </w:r>
      <w:r w:rsidR="008A74EB" w:rsidRPr="00C9040A">
        <w:rPr>
          <w:rtl/>
        </w:rPr>
        <w:t xml:space="preserve"> ، ج 73 ، ص 145 ، ح 1.</w:t>
      </w:r>
    </w:p>
    <w:p w:rsidR="008A74EB" w:rsidRPr="00C9040A" w:rsidRDefault="006C577F" w:rsidP="004A4E41">
      <w:pPr>
        <w:pStyle w:val="libFootnote0"/>
        <w:rPr>
          <w:rtl/>
          <w:lang w:bidi="fa-IR"/>
        </w:rPr>
      </w:pPr>
      <w:r>
        <w:rPr>
          <w:rtl/>
        </w:rPr>
        <w:t>(5).</w:t>
      </w:r>
      <w:r w:rsidR="008A74EB" w:rsidRPr="00C9040A">
        <w:rPr>
          <w:rtl/>
        </w:rPr>
        <w:t xml:space="preserve"> في « ب ، </w:t>
      </w:r>
      <w:r w:rsidR="006D3162">
        <w:rPr>
          <w:rtl/>
        </w:rPr>
        <w:t xml:space="preserve">ه </w:t>
      </w:r>
      <w:r w:rsidR="008A74EB" w:rsidRPr="00C9040A">
        <w:rPr>
          <w:rtl/>
        </w:rPr>
        <w:t>، بف ، جر » : « عن أخيه عن أبي عامر »</w:t>
      </w:r>
      <w:r w:rsidR="008A74EB">
        <w:rPr>
          <w:rtl/>
        </w:rPr>
        <w:t>.</w:t>
      </w:r>
      <w:r w:rsidR="008A74EB" w:rsidRPr="00C9040A">
        <w:rPr>
          <w:rtl/>
        </w:rPr>
        <w:t xml:space="preserve"> وهو سهو ؛ فإنّ أبا عامر هذا هو أبو عامر بن جناح أخو سعيد. راجع : </w:t>
      </w:r>
      <w:r w:rsidR="008A74EB" w:rsidRPr="00993B55">
        <w:rPr>
          <w:rStyle w:val="libFootnoteBoldChar"/>
          <w:rtl/>
        </w:rPr>
        <w:t>رجال النجاشي</w:t>
      </w:r>
      <w:r w:rsidR="008A74EB" w:rsidRPr="00C9040A">
        <w:rPr>
          <w:rtl/>
        </w:rPr>
        <w:t xml:space="preserve"> ، ص 191 ، الرقم 512 ؛ </w:t>
      </w:r>
      <w:r w:rsidR="008A74EB" w:rsidRPr="00993B55">
        <w:rPr>
          <w:rStyle w:val="libFootnoteBoldChar"/>
          <w:rtl/>
        </w:rPr>
        <w:t>رجال البرقي</w:t>
      </w:r>
      <w:r w:rsidR="008A74EB" w:rsidRPr="00C9040A">
        <w:rPr>
          <w:rtl/>
        </w:rPr>
        <w:t xml:space="preserve"> ، ص 50 ؛ </w:t>
      </w:r>
      <w:r w:rsidR="008A74EB" w:rsidRPr="00993B55">
        <w:rPr>
          <w:rStyle w:val="libFootnoteBoldChar"/>
          <w:rtl/>
        </w:rPr>
        <w:t>رجال الطوسي</w:t>
      </w:r>
      <w:r w:rsidR="008A74EB" w:rsidRPr="00C9040A">
        <w:rPr>
          <w:rtl/>
        </w:rPr>
        <w:t xml:space="preserve"> ، ص 347 ، الرقم 5183.</w:t>
      </w:r>
    </w:p>
    <w:p w:rsidR="008A74EB" w:rsidRPr="00C9040A" w:rsidRDefault="006C577F" w:rsidP="00000B48">
      <w:pPr>
        <w:pStyle w:val="libFootnote0"/>
        <w:rPr>
          <w:rtl/>
          <w:lang w:bidi="fa-IR"/>
        </w:rPr>
      </w:pPr>
      <w:r>
        <w:rPr>
          <w:rtl/>
        </w:rPr>
        <w:t>(6).</w:t>
      </w:r>
      <w:r w:rsidR="008A74EB">
        <w:rPr>
          <w:rtl/>
        </w:rPr>
        <w:t xml:space="preserve"> </w:t>
      </w:r>
      <w:r w:rsidR="008A74EB" w:rsidRPr="00993B55">
        <w:rPr>
          <w:rStyle w:val="libFootnoteBoldChar"/>
          <w:rtl/>
        </w:rPr>
        <w:t>التوحيد</w:t>
      </w:r>
      <w:r w:rsidR="008A74EB" w:rsidRPr="00C9040A">
        <w:rPr>
          <w:rtl/>
        </w:rPr>
        <w:t xml:space="preserve"> ، ص 460 ، ح 32 ، بسند آخر مع زيادة في أوّله. </w:t>
      </w:r>
      <w:r w:rsidR="008A74EB" w:rsidRPr="00993B55">
        <w:rPr>
          <w:rStyle w:val="libFootnoteBoldChar"/>
          <w:rtl/>
        </w:rPr>
        <w:t>تحف العقول</w:t>
      </w:r>
      <w:r w:rsidR="008A74EB" w:rsidRPr="00C9040A">
        <w:rPr>
          <w:rtl/>
        </w:rPr>
        <w:t xml:space="preserve"> ، ص 409 ، عن موسى بن جعفر </w:t>
      </w:r>
      <w:r w:rsidR="00117575" w:rsidRPr="00117575">
        <w:rPr>
          <w:rStyle w:val="libFootnoteAlaemChar"/>
          <w:rtl/>
        </w:rPr>
        <w:t>عليه‌السلام</w:t>
      </w:r>
      <w:r w:rsidR="008A74EB" w:rsidRPr="00C9040A">
        <w:rPr>
          <w:rtl/>
        </w:rPr>
        <w:t xml:space="preserve"> ، مع زيادة في أوّله وآخره. </w:t>
      </w:r>
      <w:r w:rsidR="008A74EB" w:rsidRPr="00993B55">
        <w:rPr>
          <w:rStyle w:val="libFootnoteBoldChar"/>
          <w:rtl/>
        </w:rPr>
        <w:t>وفيه</w:t>
      </w:r>
      <w:r w:rsidR="008A74EB" w:rsidRPr="00C9040A">
        <w:rPr>
          <w:rtl/>
        </w:rPr>
        <w:t xml:space="preserve"> ، ص 486 ، عن العسكري </w:t>
      </w:r>
      <w:r w:rsidR="00117575" w:rsidRPr="00117575">
        <w:rPr>
          <w:rStyle w:val="libFootnoteAlaemChar"/>
          <w:rtl/>
        </w:rPr>
        <w:t>عليه‌السلام</w:t>
      </w:r>
      <w:r w:rsidR="008A74EB" w:rsidRPr="00C9040A">
        <w:rPr>
          <w:rtl/>
        </w:rPr>
        <w:t xml:space="preserve"> ، مع اختلاف وزيادة في أوّله ؛ </w:t>
      </w:r>
      <w:r w:rsidR="008A74EB" w:rsidRPr="00993B55">
        <w:rPr>
          <w:rStyle w:val="libFootnoteBoldChar"/>
          <w:rtl/>
        </w:rPr>
        <w:t>فقه الرضا</w:t>
      </w:r>
      <w:r w:rsidR="008A74EB" w:rsidRPr="00C9040A">
        <w:rPr>
          <w:rtl/>
        </w:rPr>
        <w:t xml:space="preserve"> </w:t>
      </w:r>
      <w:r w:rsidR="00117575" w:rsidRPr="00117575">
        <w:rPr>
          <w:rStyle w:val="libFootnoteAlaemChar"/>
          <w:rtl/>
        </w:rPr>
        <w:t>عليه‌السلام</w:t>
      </w:r>
      <w:r w:rsidR="008A74EB" w:rsidRPr="00C9040A">
        <w:rPr>
          <w:rtl/>
        </w:rPr>
        <w:t xml:space="preserve"> ، ص 384 ، مع اختلاف يسير وزيادة </w:t>
      </w:r>
      <w:r w:rsidR="00000B48">
        <w:rPr>
          <w:rFonts w:hint="cs"/>
          <w:rtl/>
        </w:rPr>
        <w:t>.</w:t>
      </w:r>
      <w:r w:rsidR="008A74EB" w:rsidRPr="00993B55">
        <w:rPr>
          <w:rStyle w:val="libFootnoteBoldChar"/>
          <w:rtl/>
        </w:rPr>
        <w:t>الوافي</w:t>
      </w:r>
      <w:r w:rsidR="008A74EB" w:rsidRPr="00C9040A">
        <w:rPr>
          <w:rtl/>
        </w:rPr>
        <w:t xml:space="preserve"> ، ج 5 ، ص 843 ، ح 3116 ؛ </w:t>
      </w:r>
      <w:r w:rsidR="008A74EB" w:rsidRPr="00993B55">
        <w:rPr>
          <w:rStyle w:val="libFootnoteBoldChar"/>
          <w:rtl/>
        </w:rPr>
        <w:t>الوسائل</w:t>
      </w:r>
      <w:r w:rsidR="008A74EB" w:rsidRPr="00C9040A">
        <w:rPr>
          <w:rtl/>
        </w:rPr>
        <w:t xml:space="preserve"> ، ج 15 ، ص 350 ، ح 20708 ؛ </w:t>
      </w:r>
      <w:r w:rsidR="008A74EB" w:rsidRPr="00993B55">
        <w:rPr>
          <w:rStyle w:val="libFootnoteBoldChar"/>
          <w:rtl/>
        </w:rPr>
        <w:t>البحار</w:t>
      </w:r>
      <w:r w:rsidR="008A74EB" w:rsidRPr="00C9040A">
        <w:rPr>
          <w:rtl/>
        </w:rPr>
        <w:t xml:space="preserve"> ، ج 73 ، ص 150 ، ح 2.</w:t>
      </w:r>
      <w:r w:rsidR="00000B48">
        <w:rPr>
          <w:rFonts w:hint="cs"/>
          <w:rtl/>
        </w:rPr>
        <w:t xml:space="preserve">          </w:t>
      </w:r>
      <w:r>
        <w:rPr>
          <w:rtl/>
        </w:rPr>
        <w:t>(7).</w:t>
      </w:r>
      <w:r w:rsidR="00000B48">
        <w:rPr>
          <w:rtl/>
        </w:rPr>
        <w:t xml:space="preserve"> في «</w:t>
      </w:r>
      <w:r w:rsidR="006D3162">
        <w:rPr>
          <w:rtl/>
        </w:rPr>
        <w:t xml:space="preserve">ه </w:t>
      </w:r>
      <w:r w:rsidR="00000B48">
        <w:rPr>
          <w:rtl/>
        </w:rPr>
        <w:t>» : «</w:t>
      </w:r>
      <w:r w:rsidR="008A74EB" w:rsidRPr="00C9040A">
        <w:rPr>
          <w:rtl/>
        </w:rPr>
        <w:t>عيسى » بدل « خالد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قرأه المازندراني في شرحه ، ج 9 ، ص 286 : « يتراءسون » ، ثمّ قال : « الإتيان بصيغة التفاعل ليدلّ على أنّهم‌</w:t>
      </w:r>
      <w:r w:rsidR="00000B48">
        <w:rPr>
          <w:rFonts w:hint="cs"/>
          <w:rtl/>
        </w:rPr>
        <w:t xml:space="preserve"> </w:t>
      </w:r>
      <w:r w:rsidR="008A74EB" w:rsidRPr="00C9040A">
        <w:rPr>
          <w:rtl/>
        </w:rPr>
        <w:t>أظهروا أنّ أصل الفعل وهو الرئاسة حاصل لهم وهو منتف عنهم ، كما في تجاهل وتغافل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 الخفق » : صوت النعل وما أشبهه من الأصوات. </w:t>
      </w:r>
      <w:r w:rsidR="008A74EB" w:rsidRPr="00993B55">
        <w:rPr>
          <w:rStyle w:val="libFootnoteBoldChar"/>
          <w:rtl/>
        </w:rPr>
        <w:t>ترتيب كتاب العين</w:t>
      </w:r>
      <w:r w:rsidR="008A74EB" w:rsidRPr="00C9040A">
        <w:rPr>
          <w:rtl/>
        </w:rPr>
        <w:t xml:space="preserve"> ، ج 1 ، ص 508 ( خفق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w:t>
      </w:r>
      <w:r w:rsidR="00000B48">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هَلَكَ </w:t>
      </w:r>
      <w:r w:rsidR="006C577F" w:rsidRPr="006C577F">
        <w:rPr>
          <w:rStyle w:val="libFootnotenumChar"/>
          <w:rtl/>
        </w:rPr>
        <w:t>(1)</w:t>
      </w:r>
      <w:r w:rsidRPr="00C9040A">
        <w:rPr>
          <w:rtl/>
          <w:lang w:bidi="fa-IR"/>
        </w:rPr>
        <w:t xml:space="preserve"> وَأَهْلَكَ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1740F6">
        <w:rPr>
          <w:rtl/>
        </w:rPr>
        <w:t>2508</w:t>
      </w:r>
      <w:r w:rsidRPr="00261CB0">
        <w:rPr>
          <w:rStyle w:val="libBold2Char"/>
          <w:rtl/>
        </w:rPr>
        <w:t xml:space="preserve"> / 4.</w:t>
      </w:r>
      <w:r w:rsidRPr="00C9040A">
        <w:rPr>
          <w:rtl/>
          <w:lang w:bidi="fa-IR"/>
        </w:rPr>
        <w:t xml:space="preserve"> عَنْهُ </w:t>
      </w:r>
      <w:r w:rsidR="006C577F" w:rsidRPr="006C577F">
        <w:rPr>
          <w:rStyle w:val="libFootnotenumChar"/>
          <w:rtl/>
        </w:rPr>
        <w:t>(3)</w:t>
      </w:r>
      <w:r w:rsidRPr="00C9040A">
        <w:rPr>
          <w:rtl/>
          <w:lang w:bidi="fa-IR"/>
        </w:rPr>
        <w:t xml:space="preserve"> ، عَنْ مُحَمَّدِ بْنِ إِسْمَاعِيلَ بْنِ بَزِيعٍ وَغَيْرِهِ رَفَعُوهُ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مَلْعُونٌ مَنْ تَرَأَّسَ </w:t>
      </w:r>
      <w:r w:rsidR="006C577F" w:rsidRPr="006C577F">
        <w:rPr>
          <w:rStyle w:val="libFootnotenumChar"/>
          <w:rtl/>
        </w:rPr>
        <w:t>(4)</w:t>
      </w:r>
      <w:r w:rsidRPr="00C9040A">
        <w:rPr>
          <w:rtl/>
          <w:lang w:bidi="fa-IR"/>
        </w:rPr>
        <w:t xml:space="preserve"> ، مَلْعُونٌ </w:t>
      </w:r>
      <w:r w:rsidR="006C577F" w:rsidRPr="006C577F">
        <w:rPr>
          <w:rStyle w:val="libFootnotenumChar"/>
          <w:rtl/>
        </w:rPr>
        <w:t>(5)</w:t>
      </w:r>
      <w:r w:rsidRPr="00C9040A">
        <w:rPr>
          <w:rtl/>
          <w:lang w:bidi="fa-IR"/>
        </w:rPr>
        <w:t xml:space="preserve"> مَنْ هَمَّ بِهَا ، مَلْعُونٌ مَنْ حَدَّثَ بِهَا نَفْسَهُ </w:t>
      </w:r>
      <w:r w:rsidR="006C577F" w:rsidRPr="006C577F">
        <w:rPr>
          <w:rStyle w:val="libFootnotenumChar"/>
          <w:rtl/>
        </w:rPr>
        <w:t>(6)</w:t>
      </w:r>
      <w:r w:rsidRPr="00C9040A">
        <w:rPr>
          <w:rtl/>
          <w:lang w:bidi="fa-IR"/>
        </w:rPr>
        <w:t>»</w:t>
      </w:r>
      <w:r>
        <w:rPr>
          <w:rtl/>
          <w:lang w:bidi="fa-IR"/>
        </w:rPr>
        <w:t>.</w:t>
      </w:r>
      <w:r w:rsidRPr="00C9040A">
        <w:rPr>
          <w:rtl/>
          <w:lang w:bidi="fa-IR"/>
        </w:rPr>
        <w:t xml:space="preserve"> </w:t>
      </w:r>
      <w:r w:rsidR="006C577F" w:rsidRPr="006C577F">
        <w:rPr>
          <w:rStyle w:val="libFootnotenumChar"/>
          <w:rtl/>
        </w:rPr>
        <w:t>(7)</w:t>
      </w:r>
    </w:p>
    <w:p w:rsidR="008A74EB" w:rsidRPr="00C9040A" w:rsidRDefault="008A74EB" w:rsidP="008A74EB">
      <w:pPr>
        <w:pStyle w:val="libNormal"/>
        <w:rPr>
          <w:rtl/>
          <w:lang w:bidi="fa-IR"/>
        </w:rPr>
      </w:pPr>
      <w:r w:rsidRPr="001740F6">
        <w:rPr>
          <w:rtl/>
        </w:rPr>
        <w:t>2509</w:t>
      </w:r>
      <w:r w:rsidRPr="00261CB0">
        <w:rPr>
          <w:rStyle w:val="libBold2Char"/>
          <w:rtl/>
        </w:rPr>
        <w:t xml:space="preserve"> / 5.</w:t>
      </w:r>
      <w:r w:rsidRPr="00C9040A">
        <w:rPr>
          <w:rtl/>
          <w:lang w:bidi="fa-IR"/>
        </w:rPr>
        <w:t xml:space="preserve"> مُحَمَّدُ بْنُ يَحْيى ، عَنْ أَحْمَدَ بْنِ مُحَمَّدِ بْنِ عِيسى ، عَنِ الْحَسَنِ بْنِ أَيُّوبَ بْنِ </w:t>
      </w:r>
      <w:r w:rsidR="006C577F" w:rsidRPr="006C577F">
        <w:rPr>
          <w:rStyle w:val="libFootnotenumChar"/>
          <w:rtl/>
        </w:rPr>
        <w:t>(8)</w:t>
      </w:r>
      <w:r w:rsidRPr="00C9040A">
        <w:rPr>
          <w:rtl/>
          <w:lang w:bidi="fa-IR"/>
        </w:rPr>
        <w:t xml:space="preserve"> أَبِي عَقِيلَةَ الصَّيْرَفِيِّ ، قَالَ : حَدَّثَنَا كَرَّامٌ ، عَنْ أَبِي حَمْزَةَ الثُّمَالِيِّ </w:t>
      </w:r>
      <w:r w:rsidR="006C577F" w:rsidRPr="006C577F">
        <w:rPr>
          <w:rStyle w:val="libFootnotenumChar"/>
          <w:rtl/>
        </w:rPr>
        <w:t>(9)</w:t>
      </w:r>
      <w:r w:rsidRPr="00C9040A">
        <w:rPr>
          <w:rtl/>
          <w:lang w:bidi="fa-IR"/>
        </w:rPr>
        <w:t xml:space="preserve"> ، قَالَ :</w:t>
      </w:r>
    </w:p>
    <w:p w:rsidR="008A74EB" w:rsidRPr="00C9040A" w:rsidRDefault="008A74EB" w:rsidP="008A74EB">
      <w:pPr>
        <w:pStyle w:val="libNormal"/>
        <w:rPr>
          <w:rtl/>
          <w:lang w:bidi="fa-IR"/>
        </w:rPr>
      </w:pPr>
      <w:r w:rsidRPr="00C9040A">
        <w:rPr>
          <w:rtl/>
          <w:lang w:bidi="fa-IR"/>
        </w:rPr>
        <w:t xml:space="preserve">قَالَ لِي </w:t>
      </w:r>
      <w:r w:rsidR="006C577F" w:rsidRPr="006C577F">
        <w:rPr>
          <w:rStyle w:val="libFootnotenumChar"/>
          <w:rtl/>
        </w:rPr>
        <w:t>(10)</w:t>
      </w:r>
      <w:r w:rsidRPr="00C9040A">
        <w:rPr>
          <w:rtl/>
          <w:lang w:bidi="fa-IR"/>
        </w:rPr>
        <w:t xml:space="preserve"> أَبُو عَبْدِ اللهِ </w:t>
      </w:r>
      <w:r w:rsidRPr="0003660B">
        <w:rPr>
          <w:rStyle w:val="libAlaemChar"/>
          <w:rtl/>
        </w:rPr>
        <w:t>عليه‌السلام</w:t>
      </w:r>
      <w:r w:rsidRPr="00C9040A">
        <w:rPr>
          <w:rtl/>
          <w:lang w:bidi="fa-IR"/>
        </w:rPr>
        <w:t xml:space="preserve"> </w:t>
      </w:r>
      <w:r w:rsidR="006C577F" w:rsidRPr="006C577F">
        <w:rPr>
          <w:rStyle w:val="libFootnotenumChar"/>
          <w:rtl/>
        </w:rPr>
        <w:t>(11)</w:t>
      </w:r>
      <w:r w:rsidRPr="00C9040A">
        <w:rPr>
          <w:rtl/>
          <w:lang w:bidi="fa-IR"/>
        </w:rPr>
        <w:t xml:space="preserve"> : « إِيَّاكَ </w:t>
      </w:r>
      <w:r w:rsidR="006C577F" w:rsidRPr="006C577F">
        <w:rPr>
          <w:rStyle w:val="libFootnotenumChar"/>
          <w:rtl/>
        </w:rPr>
        <w:t>(12)</w:t>
      </w:r>
      <w:r w:rsidRPr="00C9040A">
        <w:rPr>
          <w:rtl/>
          <w:lang w:bidi="fa-IR"/>
        </w:rPr>
        <w:t xml:space="preserve"> وَالرِّئَاسَةَ ، وَإِيَّاكَ أَنْ </w:t>
      </w:r>
      <w:r w:rsidRPr="005B567D">
        <w:rPr>
          <w:rStyle w:val="libFootnotenumChar"/>
          <w:rtl/>
        </w:rPr>
        <w:t>(13)</w:t>
      </w:r>
      <w:r w:rsidR="00000B48">
        <w:rPr>
          <w:rtl/>
          <w:lang w:bidi="fa-IR"/>
        </w:rPr>
        <w:t xml:space="preserve"> تَطَأَ أَعْقَابَ الرِّجَالِ</w:t>
      </w:r>
      <w:r w:rsidRPr="00C9040A">
        <w:rPr>
          <w:rtl/>
          <w:lang w:bidi="fa-IR"/>
        </w:rPr>
        <w:t>»</w:t>
      </w:r>
      <w:r>
        <w:rPr>
          <w:rtl/>
          <w:lang w:bidi="fa-IR"/>
        </w:rPr>
        <w:t>.</w:t>
      </w:r>
    </w:p>
    <w:p w:rsidR="008A74EB" w:rsidRPr="00C9040A" w:rsidRDefault="008A74EB" w:rsidP="008A74EB">
      <w:pPr>
        <w:pStyle w:val="libNormal"/>
        <w:rPr>
          <w:rtl/>
          <w:lang w:bidi="fa-IR"/>
        </w:rPr>
      </w:pPr>
      <w:r w:rsidRPr="00C9040A">
        <w:rPr>
          <w:rtl/>
          <w:lang w:bidi="fa-IR"/>
        </w:rPr>
        <w:t>قَالَ : قُلْتُ : جُعِلْتُ فِدَاكَ ، أَمَّا الرِّئَاسَةُ فَقَدْ عَرَفْتُهَا ؛ وَأَمَّا أَنْ أَطَأَ أَعْقَابَ الرِّجَالِ ،</w:t>
      </w:r>
    </w:p>
    <w:p w:rsidR="008A74EB" w:rsidRPr="00C9040A" w:rsidRDefault="008A74EB" w:rsidP="008A74EB">
      <w:pPr>
        <w:pStyle w:val="libLine"/>
        <w:rPr>
          <w:rtl/>
          <w:lang w:bidi="fa-IR"/>
        </w:rPr>
      </w:pPr>
      <w:r w:rsidRPr="00C9040A">
        <w:rPr>
          <w:rtl/>
          <w:lang w:bidi="fa-IR"/>
        </w:rPr>
        <w:t>__________________</w:t>
      </w:r>
    </w:p>
    <w:p w:rsidR="008A74EB" w:rsidRPr="00C9040A" w:rsidRDefault="00000B48" w:rsidP="004A4E41">
      <w:pPr>
        <w:pStyle w:val="libFootnote0"/>
        <w:rPr>
          <w:rtl/>
          <w:lang w:bidi="fa-IR"/>
        </w:rPr>
      </w:pPr>
      <w:r>
        <w:rPr>
          <w:rFonts w:hint="cs"/>
          <w:rtl/>
        </w:rPr>
        <w:t xml:space="preserve">= </w:t>
      </w:r>
      <w:r w:rsidR="008A74EB" w:rsidRPr="00C9040A">
        <w:rPr>
          <w:rtl/>
        </w:rPr>
        <w:t>« هذا</w:t>
      </w:r>
      <w:r w:rsidR="008A74EB">
        <w:rPr>
          <w:rtl/>
        </w:rPr>
        <w:t xml:space="preserve"> ..</w:t>
      </w:r>
      <w:r w:rsidR="008A74EB" w:rsidRPr="00C9040A">
        <w:rPr>
          <w:rtl/>
        </w:rPr>
        <w:t>. تحذير عن تسويل النفس وتكبّرها واستعلائها باتّباعها العوامّ ورجوعهم إليه ، فيهلك بذلك ، ويهلكهم بإضلالهم وإفتائهم بغير علم »</w:t>
      </w:r>
      <w:r w:rsidR="008A74EB">
        <w:rPr>
          <w:rtl/>
        </w:rPr>
        <w:t>.</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اتّفقت النسخ على التخفيف ، وهو ظاهر </w:t>
      </w:r>
      <w:r w:rsidR="008A74EB" w:rsidRPr="00993B55">
        <w:rPr>
          <w:rStyle w:val="libFootnoteBoldChar"/>
          <w:rtl/>
        </w:rPr>
        <w:t>شرح المازندراني</w:t>
      </w:r>
      <w:r w:rsidR="008A74EB" w:rsidRPr="00C9040A">
        <w:rPr>
          <w:rtl/>
        </w:rPr>
        <w:t xml:space="preserve"> ؛ حيث قال : « أمّا هلاكه فلأنّه يورث الفخر والعجب والتكبّر وغيرها من المهلكات »</w:t>
      </w:r>
      <w:r w:rsidR="008A74EB">
        <w:rPr>
          <w:rtl/>
        </w:rPr>
        <w:t>.</w:t>
      </w:r>
      <w:r w:rsidR="008A74EB" w:rsidRPr="00C9040A">
        <w:rPr>
          <w:rtl/>
        </w:rPr>
        <w:t xml:space="preserve"> ويجوز فيه البناء على المفعول من التفعيل.</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الوافي</w:t>
      </w:r>
      <w:r w:rsidR="008A74EB" w:rsidRPr="00C9040A">
        <w:rPr>
          <w:rtl/>
        </w:rPr>
        <w:t xml:space="preserve"> ، ج 5 ، ص 843 ، ح 3118 ؛ </w:t>
      </w:r>
      <w:r w:rsidR="008A74EB" w:rsidRPr="00993B55">
        <w:rPr>
          <w:rStyle w:val="libFootnoteBoldChar"/>
          <w:rtl/>
        </w:rPr>
        <w:t>الوسائل</w:t>
      </w:r>
      <w:r w:rsidR="008A74EB" w:rsidRPr="00C9040A">
        <w:rPr>
          <w:rtl/>
        </w:rPr>
        <w:t xml:space="preserve"> ، ج 15 ، ص 350 ، ح 20710 ؛ وج 27 ، ص 126 ، ح 33386 ؛ </w:t>
      </w:r>
      <w:r w:rsidR="008A74EB" w:rsidRPr="00993B55">
        <w:rPr>
          <w:rStyle w:val="libFootnoteBoldChar"/>
          <w:rtl/>
        </w:rPr>
        <w:t>البحار</w:t>
      </w:r>
      <w:r w:rsidR="008A74EB" w:rsidRPr="00C9040A">
        <w:rPr>
          <w:rtl/>
        </w:rPr>
        <w:t xml:space="preserve"> ، ج 73 ، ص 150 ، ح 3.</w:t>
      </w:r>
    </w:p>
    <w:p w:rsidR="008A74EB" w:rsidRPr="00C9040A" w:rsidRDefault="006C577F" w:rsidP="004A4E41">
      <w:pPr>
        <w:pStyle w:val="libFootnote0"/>
        <w:rPr>
          <w:rtl/>
          <w:lang w:bidi="fa-IR"/>
        </w:rPr>
      </w:pPr>
      <w:r>
        <w:rPr>
          <w:rtl/>
        </w:rPr>
        <w:t>(3).</w:t>
      </w:r>
      <w:r w:rsidR="008A74EB" w:rsidRPr="00C9040A">
        <w:rPr>
          <w:rtl/>
        </w:rPr>
        <w:t xml:space="preserve"> في « ب ، ج ، د ، ز » : « وعنه »</w:t>
      </w:r>
      <w:r w:rsidR="008A74EB">
        <w:rPr>
          <w:rtl/>
        </w:rPr>
        <w:t>.</w:t>
      </w:r>
      <w:r w:rsidR="008A74EB" w:rsidRPr="00C9040A">
        <w:rPr>
          <w:rtl/>
        </w:rPr>
        <w:t xml:space="preserve"> والضمير راجع إلى أحمد بن محمّد بن خالد المذكور في السند السابق.</w:t>
      </w:r>
    </w:p>
    <w:tbl>
      <w:tblPr>
        <w:tblStyle w:val="TableGrid"/>
        <w:bidiVisual/>
        <w:tblW w:w="0" w:type="auto"/>
        <w:tblLook w:val="04A0" w:firstRow="1" w:lastRow="0" w:firstColumn="1" w:lastColumn="0" w:noHBand="0" w:noVBand="1"/>
      </w:tblPr>
      <w:tblGrid>
        <w:gridCol w:w="4006"/>
        <w:gridCol w:w="4006"/>
      </w:tblGrid>
      <w:tr w:rsidR="00631102" w:rsidTr="00631102">
        <w:tc>
          <w:tcPr>
            <w:tcW w:w="4006" w:type="dxa"/>
          </w:tcPr>
          <w:p w:rsidR="00631102" w:rsidRDefault="00631102" w:rsidP="004A4E41">
            <w:pPr>
              <w:pStyle w:val="libFootnote0"/>
              <w:rPr>
                <w:rtl/>
              </w:rPr>
            </w:pPr>
            <w:r>
              <w:rPr>
                <w:rtl/>
              </w:rPr>
              <w:t>(4).</w:t>
            </w:r>
            <w:r w:rsidRPr="00C9040A">
              <w:rPr>
                <w:rtl/>
              </w:rPr>
              <w:t xml:space="preserve"> في « بر » : « تراءس »</w:t>
            </w:r>
            <w:r>
              <w:rPr>
                <w:rtl/>
              </w:rPr>
              <w:t>.</w:t>
            </w:r>
          </w:p>
        </w:tc>
        <w:tc>
          <w:tcPr>
            <w:tcW w:w="4006" w:type="dxa"/>
          </w:tcPr>
          <w:p w:rsidR="00631102" w:rsidRDefault="00941979" w:rsidP="004A4E41">
            <w:pPr>
              <w:pStyle w:val="libFootnote0"/>
              <w:rPr>
                <w:rtl/>
              </w:rPr>
            </w:pPr>
            <w:r>
              <w:rPr>
                <w:rtl/>
              </w:rPr>
              <w:t>(5).</w:t>
            </w:r>
            <w:r w:rsidRPr="00C9040A">
              <w:rPr>
                <w:rtl/>
              </w:rPr>
              <w:t xml:space="preserve"> في البحار : + « كلّ »</w:t>
            </w:r>
            <w:r>
              <w:rPr>
                <w:rtl/>
              </w:rPr>
              <w:t>.</w:t>
            </w:r>
          </w:p>
        </w:tc>
      </w:tr>
    </w:tbl>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الوسائل : « نفسه بها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الوافي</w:t>
      </w:r>
      <w:r w:rsidR="008A74EB" w:rsidRPr="00C9040A">
        <w:rPr>
          <w:rtl/>
        </w:rPr>
        <w:t xml:space="preserve"> ، ج 5 ، ص 844 ، ح 3119 ؛ </w:t>
      </w:r>
      <w:r w:rsidR="008A74EB" w:rsidRPr="00993B55">
        <w:rPr>
          <w:rStyle w:val="libFootnoteBoldChar"/>
          <w:rtl/>
        </w:rPr>
        <w:t>الوسائل</w:t>
      </w:r>
      <w:r w:rsidR="008A74EB" w:rsidRPr="00C9040A">
        <w:rPr>
          <w:rtl/>
        </w:rPr>
        <w:t xml:space="preserve"> ، ج 15 ، ص 351 ، ح 20712 ؛ </w:t>
      </w:r>
      <w:r w:rsidR="008A74EB" w:rsidRPr="00993B55">
        <w:rPr>
          <w:rStyle w:val="libFootnoteBoldChar"/>
          <w:rtl/>
        </w:rPr>
        <w:t>البحار</w:t>
      </w:r>
      <w:r w:rsidR="008A74EB" w:rsidRPr="00C9040A">
        <w:rPr>
          <w:rtl/>
        </w:rPr>
        <w:t xml:space="preserve"> ، ج 73 ، ص 151 ، ح 5.</w:t>
      </w:r>
    </w:p>
    <w:p w:rsidR="008A74EB" w:rsidRPr="00C9040A" w:rsidRDefault="006C577F" w:rsidP="004A4E41">
      <w:pPr>
        <w:pStyle w:val="libFootnote0"/>
        <w:rPr>
          <w:rtl/>
          <w:lang w:bidi="fa-IR"/>
        </w:rPr>
      </w:pPr>
      <w:r>
        <w:rPr>
          <w:rtl/>
        </w:rPr>
        <w:t>(8).</w:t>
      </w:r>
      <w:r w:rsidR="008A74EB" w:rsidRPr="00C9040A">
        <w:rPr>
          <w:rtl/>
        </w:rPr>
        <w:t xml:space="preserve"> هكذا في « ز » وحاشية « </w:t>
      </w:r>
      <w:r w:rsidR="006D3162">
        <w:rPr>
          <w:rtl/>
        </w:rPr>
        <w:t xml:space="preserve">ه </w:t>
      </w:r>
      <w:r w:rsidR="008A74EB" w:rsidRPr="00C9040A">
        <w:rPr>
          <w:rtl/>
        </w:rPr>
        <w:t>، بف »</w:t>
      </w:r>
      <w:r w:rsidR="008A74EB">
        <w:rPr>
          <w:rtl/>
        </w:rPr>
        <w:t>.</w:t>
      </w:r>
      <w:r w:rsidR="008A74EB" w:rsidRPr="00C9040A">
        <w:rPr>
          <w:rtl/>
        </w:rPr>
        <w:t xml:space="preserve"> وفي سائر النسخ والمطبوع : « عن »</w:t>
      </w:r>
      <w:r w:rsidR="008A74EB">
        <w:rPr>
          <w:rtl/>
        </w:rPr>
        <w:t>.</w:t>
      </w:r>
      <w:r w:rsidR="008A74EB" w:rsidRPr="00C9040A">
        <w:rPr>
          <w:rtl/>
        </w:rPr>
        <w:t xml:space="preserve"> والصواب ما أثبتناه. والحسن هذا ، هوالحسن بن أيّوب بن أبي عقيلة المذكور في </w:t>
      </w:r>
      <w:r w:rsidR="008A74EB" w:rsidRPr="0034021D">
        <w:rPr>
          <w:rStyle w:val="libFootnoteBoldChar"/>
          <w:rtl/>
        </w:rPr>
        <w:t>الفهرست للطوسي</w:t>
      </w:r>
      <w:r w:rsidR="008A74EB" w:rsidRPr="00C9040A">
        <w:rPr>
          <w:rtl/>
        </w:rPr>
        <w:t xml:space="preserve"> ، ص 129 ، الرقم 179. ويؤيّد ذلك أنّ الخبر رواه الشيخ الصدوق في </w:t>
      </w:r>
      <w:r w:rsidR="008A74EB" w:rsidRPr="00993B55">
        <w:rPr>
          <w:rStyle w:val="libFootnoteBoldChar"/>
          <w:rtl/>
        </w:rPr>
        <w:t>معاني الأخبار</w:t>
      </w:r>
      <w:r w:rsidR="008A74EB" w:rsidRPr="00C9040A">
        <w:rPr>
          <w:rtl/>
        </w:rPr>
        <w:t xml:space="preserve"> ، ص 169 ، ح 1 ، بسنده عن حسين بن أيّوب بن أبي عقيلة الصيرفي.</w:t>
      </w:r>
    </w:p>
    <w:p w:rsidR="008A74EB" w:rsidRPr="00C9040A" w:rsidRDefault="006C577F" w:rsidP="004A4E41">
      <w:pPr>
        <w:pStyle w:val="libFootnote0"/>
        <w:rPr>
          <w:rtl/>
          <w:lang w:bidi="fa-IR"/>
        </w:rPr>
      </w:pPr>
      <w:r>
        <w:rPr>
          <w:rtl/>
        </w:rPr>
        <w:t>(9).</w:t>
      </w:r>
      <w:r w:rsidR="008A74EB" w:rsidRPr="00C9040A">
        <w:rPr>
          <w:rtl/>
        </w:rPr>
        <w:t xml:space="preserve"> في « </w:t>
      </w:r>
      <w:r w:rsidR="006D3162">
        <w:rPr>
          <w:rtl/>
        </w:rPr>
        <w:t xml:space="preserve">ه </w:t>
      </w:r>
      <w:r w:rsidR="008A74EB" w:rsidRPr="00C9040A">
        <w:rPr>
          <w:rtl/>
        </w:rPr>
        <w:t xml:space="preserve">» </w:t>
      </w:r>
      <w:r w:rsidR="008A74EB">
        <w:rPr>
          <w:rtl/>
        </w:rPr>
        <w:t xml:space="preserve">: </w:t>
      </w:r>
      <w:r w:rsidR="0084262C">
        <w:rPr>
          <w:rtl/>
        </w:rPr>
        <w:t>-</w:t>
      </w:r>
      <w:r w:rsidR="008A74EB" w:rsidRPr="00C9040A">
        <w:rPr>
          <w:rtl/>
        </w:rPr>
        <w:t xml:space="preserve"> « الثمالي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 </w:t>
      </w:r>
      <w:r w:rsidR="006D3162">
        <w:rPr>
          <w:rtl/>
        </w:rPr>
        <w:t xml:space="preserve">ه </w:t>
      </w:r>
      <w:r w:rsidR="008A74EB" w:rsidRPr="00C9040A">
        <w:rPr>
          <w:rtl/>
        </w:rPr>
        <w:t xml:space="preserve">» والوسائل ، ح 33387 والبحار والمعاني ، ص 169 </w:t>
      </w:r>
      <w:r w:rsidR="008A74EB">
        <w:rPr>
          <w:rtl/>
        </w:rPr>
        <w:t xml:space="preserve">: </w:t>
      </w:r>
      <w:r w:rsidR="0084262C">
        <w:rPr>
          <w:rtl/>
        </w:rPr>
        <w:t>-</w:t>
      </w:r>
      <w:r w:rsidR="008A74EB" w:rsidRPr="00C9040A">
        <w:rPr>
          <w:rtl/>
        </w:rPr>
        <w:t xml:space="preserve"> « لي »</w:t>
      </w:r>
      <w:r w:rsidR="008A74EB">
        <w:rPr>
          <w:rtl/>
        </w:rPr>
        <w:t>.</w:t>
      </w:r>
    </w:p>
    <w:p w:rsidR="008A74EB" w:rsidRPr="00C9040A" w:rsidRDefault="006C577F" w:rsidP="00941979">
      <w:pPr>
        <w:pStyle w:val="libFootnote0"/>
        <w:rPr>
          <w:rtl/>
          <w:lang w:bidi="fa-IR"/>
        </w:rPr>
      </w:pPr>
      <w:r>
        <w:rPr>
          <w:rtl/>
        </w:rPr>
        <w:t>(11).</w:t>
      </w:r>
      <w:r w:rsidR="008A74EB" w:rsidRPr="00C9040A">
        <w:rPr>
          <w:rtl/>
        </w:rPr>
        <w:t xml:space="preserve"> في « </w:t>
      </w:r>
      <w:r w:rsidR="006D3162">
        <w:rPr>
          <w:rtl/>
        </w:rPr>
        <w:t xml:space="preserve">ه </w:t>
      </w:r>
      <w:r w:rsidR="00941979">
        <w:rPr>
          <w:rtl/>
        </w:rPr>
        <w:t>» : « عن معمّر بن خل</w:t>
      </w:r>
      <w:r w:rsidR="00941979">
        <w:rPr>
          <w:rFonts w:hint="cs"/>
          <w:rtl/>
        </w:rPr>
        <w:t>ّ</w:t>
      </w:r>
      <w:r w:rsidR="00941979">
        <w:rPr>
          <w:rtl/>
        </w:rPr>
        <w:t>ا</w:t>
      </w:r>
      <w:r w:rsidR="008A74EB" w:rsidRPr="00C9040A">
        <w:rPr>
          <w:rtl/>
        </w:rPr>
        <w:t xml:space="preserve">د ، عن أبي الحسن الرضا </w:t>
      </w:r>
      <w:r w:rsidR="00117575" w:rsidRPr="00117575">
        <w:rPr>
          <w:rStyle w:val="libFootnoteAlaemChar"/>
          <w:rtl/>
        </w:rPr>
        <w:t>عليه‌السلام</w:t>
      </w:r>
      <w:r w:rsidR="008A74EB" w:rsidRPr="00C9040A">
        <w:rPr>
          <w:rtl/>
        </w:rPr>
        <w:t xml:space="preserve"> ، أنّه ذكر رجلاً فقال : إنّه يحبّ الرئاسة ، فقال » بدل « عن الحسن بن أيّوب</w:t>
      </w:r>
      <w:r w:rsidR="008A74EB">
        <w:rPr>
          <w:rtl/>
        </w:rPr>
        <w:t xml:space="preserve"> </w:t>
      </w:r>
      <w:r w:rsidR="0084262C">
        <w:rPr>
          <w:rtl/>
        </w:rPr>
        <w:t>-</w:t>
      </w:r>
      <w:r w:rsidR="008A74EB">
        <w:rPr>
          <w:rtl/>
        </w:rPr>
        <w:t xml:space="preserve"> </w:t>
      </w:r>
      <w:r w:rsidR="008A74EB" w:rsidRPr="00C9040A">
        <w:rPr>
          <w:rtl/>
        </w:rPr>
        <w:t>إلى</w:t>
      </w:r>
      <w:r w:rsidR="008A74EB">
        <w:rPr>
          <w:rtl/>
        </w:rPr>
        <w:t xml:space="preserve"> </w:t>
      </w:r>
      <w:r w:rsidR="0084262C">
        <w:rPr>
          <w:rtl/>
        </w:rPr>
        <w:t>-</w:t>
      </w:r>
      <w:r w:rsidR="008A74EB">
        <w:rPr>
          <w:rtl/>
        </w:rPr>
        <w:t xml:space="preserve"> </w:t>
      </w:r>
      <w:r w:rsidR="008A74EB" w:rsidRPr="00C9040A">
        <w:rPr>
          <w:rtl/>
        </w:rPr>
        <w:t xml:space="preserve">أبوعبدالله </w:t>
      </w:r>
      <w:r w:rsidR="00117575" w:rsidRPr="00117575">
        <w:rPr>
          <w:rStyle w:val="libFootnoteAlaemChar"/>
          <w:rtl/>
        </w:rPr>
        <w:t xml:space="preserve">عليه‌السلام </w:t>
      </w:r>
      <w:r w:rsidR="008A74EB" w:rsidRPr="00C9040A">
        <w:rPr>
          <w:rtl/>
        </w:rPr>
        <w:t>»</w:t>
      </w:r>
      <w:r w:rsidR="008A74EB">
        <w:rPr>
          <w:rtl/>
        </w:rPr>
        <w:t>.</w:t>
      </w:r>
      <w:r w:rsidR="00941979">
        <w:rPr>
          <w:rFonts w:hint="cs"/>
          <w:rtl/>
        </w:rPr>
        <w:t xml:space="preserve">             </w:t>
      </w:r>
      <w:r>
        <w:rPr>
          <w:rtl/>
        </w:rPr>
        <w:t>(12).</w:t>
      </w:r>
      <w:r w:rsidR="00941979">
        <w:rPr>
          <w:rtl/>
        </w:rPr>
        <w:t xml:space="preserve"> في حاشية «</w:t>
      </w:r>
      <w:r w:rsidR="008A74EB" w:rsidRPr="00C9040A">
        <w:rPr>
          <w:rtl/>
        </w:rPr>
        <w:t>ص</w:t>
      </w:r>
      <w:r w:rsidR="00941979">
        <w:rPr>
          <w:rtl/>
        </w:rPr>
        <w:t>»:«إيّاكم</w:t>
      </w:r>
      <w:r w:rsidR="008A74EB" w:rsidRPr="00C9040A">
        <w:rPr>
          <w:rtl/>
        </w:rPr>
        <w:t>»</w:t>
      </w:r>
      <w:r w:rsidR="008A74EB">
        <w:rPr>
          <w:rtl/>
        </w:rPr>
        <w:t>.</w:t>
      </w:r>
    </w:p>
    <w:p w:rsidR="008A74EB" w:rsidRPr="00C9040A" w:rsidRDefault="008A74EB" w:rsidP="004A4E41">
      <w:pPr>
        <w:pStyle w:val="libFootnote0"/>
        <w:rPr>
          <w:rtl/>
          <w:lang w:bidi="fa-IR"/>
        </w:rPr>
      </w:pPr>
      <w:r>
        <w:rPr>
          <w:rtl/>
        </w:rPr>
        <w:t>(13)</w:t>
      </w:r>
      <w:r w:rsidRPr="00C9040A">
        <w:rPr>
          <w:rtl/>
        </w:rPr>
        <w:t xml:space="preserve"> في « بر » والوافي : « وأن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فَمَا ثُلُثَا </w:t>
      </w:r>
      <w:r w:rsidR="006C577F" w:rsidRPr="006C577F">
        <w:rPr>
          <w:rStyle w:val="libFootnotenumChar"/>
          <w:rtl/>
        </w:rPr>
        <w:t>(1)</w:t>
      </w:r>
      <w:r w:rsidRPr="00C9040A">
        <w:rPr>
          <w:rtl/>
          <w:lang w:bidi="fa-IR"/>
        </w:rPr>
        <w:t xml:space="preserve"> مَا فِي يَدِي </w:t>
      </w:r>
      <w:r w:rsidR="006C577F" w:rsidRPr="006C577F">
        <w:rPr>
          <w:rStyle w:val="libFootnotenumChar"/>
          <w:rtl/>
        </w:rPr>
        <w:t>(2)</w:t>
      </w:r>
      <w:r w:rsidR="00941979">
        <w:rPr>
          <w:rtl/>
          <w:lang w:bidi="fa-IR"/>
        </w:rPr>
        <w:t xml:space="preserve"> إِل</w:t>
      </w:r>
      <w:r w:rsidR="00941979">
        <w:rPr>
          <w:rFonts w:hint="cs"/>
          <w:rtl/>
          <w:lang w:bidi="fa-IR"/>
        </w:rPr>
        <w:t>َّ</w:t>
      </w:r>
      <w:r w:rsidR="00941979">
        <w:rPr>
          <w:rtl/>
          <w:lang w:bidi="fa-IR"/>
        </w:rPr>
        <w:t>ا</w:t>
      </w:r>
      <w:r w:rsidRPr="00C9040A">
        <w:rPr>
          <w:rtl/>
          <w:lang w:bidi="fa-IR"/>
        </w:rPr>
        <w:t xml:space="preserve"> مِمَّا وَطِئْتُ أَعْقَابَ الرِّجَالِ </w:t>
      </w:r>
      <w:r w:rsidR="006C577F" w:rsidRPr="006C577F">
        <w:rPr>
          <w:rStyle w:val="libFootnotenumChar"/>
          <w:rtl/>
        </w:rPr>
        <w:t>(3)</w:t>
      </w:r>
      <w:r>
        <w:rPr>
          <w:rtl/>
          <w:lang w:bidi="fa-IR"/>
        </w:rPr>
        <w:t>؟</w:t>
      </w:r>
    </w:p>
    <w:p w:rsidR="008A74EB" w:rsidRPr="00C9040A" w:rsidRDefault="008A74EB" w:rsidP="008A74EB">
      <w:pPr>
        <w:pStyle w:val="libNormal"/>
        <w:rPr>
          <w:rtl/>
          <w:lang w:bidi="fa-IR"/>
        </w:rPr>
      </w:pPr>
      <w:r w:rsidRPr="00C9040A">
        <w:rPr>
          <w:rtl/>
          <w:lang w:bidi="fa-IR"/>
        </w:rPr>
        <w:t xml:space="preserve">فَقَالَ لِي </w:t>
      </w:r>
      <w:r w:rsidR="006C577F" w:rsidRPr="006C577F">
        <w:rPr>
          <w:rStyle w:val="libFootnotenumChar"/>
          <w:rtl/>
        </w:rPr>
        <w:t>(4)</w:t>
      </w:r>
      <w:r w:rsidRPr="00C9040A">
        <w:rPr>
          <w:rtl/>
          <w:lang w:bidi="fa-IR"/>
        </w:rPr>
        <w:t xml:space="preserve"> : « لَيْسَ حَيْثُ تَذْهَبُ ، إِيَّاكَ أَنْ تَنْصِبَ رَجُلاً دُونَ الْحُجَّةِ ، فَتُصَدِّقَهُ فِي كُلِّ مَا قَالَ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1740F6">
        <w:rPr>
          <w:rtl/>
        </w:rPr>
        <w:t>2510</w:t>
      </w:r>
      <w:r w:rsidRPr="00261CB0">
        <w:rPr>
          <w:rStyle w:val="libBold2Char"/>
          <w:rtl/>
        </w:rPr>
        <w:t xml:space="preserve"> / 6.</w:t>
      </w:r>
      <w:r w:rsidRPr="00C9040A">
        <w:rPr>
          <w:rtl/>
          <w:lang w:bidi="fa-IR"/>
        </w:rPr>
        <w:t xml:space="preserve"> عَلِيُّ بْنُ إِبْرَاهِيمَ ، عَنْ مُحَمَّدِ بْنِ عِيسى ، عَنْ يُونُسَ ، عَنْ أَبِي الرَّبِيعِ الشَّامِيِّ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قَالَ لِي : « وَيْحَكَ </w:t>
      </w:r>
      <w:r w:rsidR="006C577F" w:rsidRPr="006C577F">
        <w:rPr>
          <w:rStyle w:val="libFootnotenumChar"/>
          <w:rtl/>
        </w:rPr>
        <w:t>(6)</w:t>
      </w:r>
      <w:r w:rsidRPr="005B567D">
        <w:rPr>
          <w:rStyle w:val="libFootnotenumChar"/>
          <w:rtl/>
        </w:rPr>
        <w:t xml:space="preserve"> </w:t>
      </w:r>
      <w:r w:rsidRPr="00C9040A">
        <w:rPr>
          <w:rtl/>
          <w:lang w:bidi="fa-IR"/>
        </w:rPr>
        <w:t xml:space="preserve">يَا أَبَا الرَّبِيعِ ، لَاتَطْلُبَنَّ </w:t>
      </w:r>
      <w:r w:rsidR="006C577F" w:rsidRPr="006C577F">
        <w:rPr>
          <w:rStyle w:val="libFootnotenumChar"/>
          <w:rtl/>
        </w:rPr>
        <w:t>(7)</w:t>
      </w:r>
      <w:r w:rsidRPr="00C9040A">
        <w:rPr>
          <w:rtl/>
          <w:lang w:bidi="fa-IR"/>
        </w:rPr>
        <w:t xml:space="preserve"> الرِّئَاسَةَ ، وَلَا تَكُنْ </w:t>
      </w:r>
      <w:r w:rsidR="006C577F" w:rsidRPr="006C577F">
        <w:rPr>
          <w:rStyle w:val="libFootnotenumChar"/>
          <w:rtl/>
        </w:rPr>
        <w:t>(8)</w:t>
      </w:r>
      <w:r w:rsidRPr="00C9040A">
        <w:rPr>
          <w:rtl/>
          <w:lang w:bidi="fa-IR"/>
        </w:rPr>
        <w:t xml:space="preserve"> ذِئْباً </w:t>
      </w:r>
      <w:r w:rsidR="006C577F" w:rsidRPr="006C577F">
        <w:rPr>
          <w:rStyle w:val="libFootnotenumChar"/>
          <w:rtl/>
        </w:rPr>
        <w:t>(9)</w:t>
      </w:r>
      <w:r w:rsidRPr="00C9040A">
        <w:rPr>
          <w:rtl/>
          <w:lang w:bidi="fa-IR"/>
        </w:rPr>
        <w:t xml:space="preserve"> ، وَلَاتَأْكُلْ بِنَا النَّاسَ ؛ فَيُفْقِرَكَ </w:t>
      </w:r>
      <w:r w:rsidR="006C577F" w:rsidRPr="006C577F">
        <w:rPr>
          <w:rStyle w:val="libFootnotenumChar"/>
          <w:rtl/>
        </w:rPr>
        <w:t>(10)</w:t>
      </w:r>
      <w:r w:rsidRPr="00C9040A">
        <w:rPr>
          <w:rtl/>
          <w:lang w:bidi="fa-IR"/>
        </w:rPr>
        <w:t xml:space="preserve"> اللهُ ، وَلَاتَقُلْ </w:t>
      </w:r>
      <w:r w:rsidR="006C577F" w:rsidRPr="006C577F">
        <w:rPr>
          <w:rStyle w:val="libFootnotenumChar"/>
          <w:rtl/>
        </w:rPr>
        <w:t>(11)</w:t>
      </w:r>
      <w:r w:rsidRPr="00C9040A">
        <w:rPr>
          <w:rtl/>
          <w:lang w:bidi="fa-IR"/>
        </w:rPr>
        <w:t xml:space="preserve"> فِينَا مَا لَانَقُولُ فِي أَنْفُسِنَا ؛ فَإِنَّكَ مَوْقُوفٌ </w:t>
      </w:r>
      <w:r w:rsidR="006C577F" w:rsidRPr="006C577F">
        <w:rPr>
          <w:rStyle w:val="libFootnotenumChar"/>
          <w:rtl/>
        </w:rPr>
        <w:t>(12)</w:t>
      </w:r>
      <w:r w:rsidRPr="00C9040A">
        <w:rPr>
          <w:rtl/>
          <w:lang w:bidi="fa-IR"/>
        </w:rPr>
        <w:t xml:space="preserve"> وَمَسْؤُولٌ لَامَحَالَةَ ، فَإِنْ كُنْتَ صَادِقاً صَدَّقْنَاكَ ، وَإِنْ كُنْتَ كَاذِباً كَذَّبْنَاكَ »</w:t>
      </w:r>
      <w:r>
        <w:rPr>
          <w:rtl/>
          <w:lang w:bidi="fa-IR"/>
        </w:rPr>
        <w:t>.</w:t>
      </w:r>
      <w:r w:rsidRPr="00C9040A">
        <w:rPr>
          <w:rtl/>
          <w:lang w:bidi="fa-IR"/>
        </w:rPr>
        <w:t xml:space="preserve"> </w:t>
      </w:r>
      <w:r w:rsidRPr="005B567D">
        <w:rPr>
          <w:rStyle w:val="libFootnotenumChar"/>
          <w:rtl/>
        </w:rPr>
        <w:t>(13)</w:t>
      </w:r>
      <w:r w:rsidRPr="00C9040A">
        <w:rPr>
          <w:rtl/>
          <w:lang w:bidi="fa-IR"/>
        </w:rPr>
        <w:t>‌</w:t>
      </w:r>
    </w:p>
    <w:p w:rsidR="008A74EB" w:rsidRPr="00C9040A" w:rsidRDefault="008A74EB" w:rsidP="008A74EB">
      <w:pPr>
        <w:pStyle w:val="libNormal"/>
        <w:rPr>
          <w:rtl/>
          <w:lang w:bidi="fa-IR"/>
        </w:rPr>
      </w:pPr>
      <w:r w:rsidRPr="001740F6">
        <w:rPr>
          <w:rtl/>
        </w:rPr>
        <w:t>2511</w:t>
      </w:r>
      <w:r w:rsidRPr="00261CB0">
        <w:rPr>
          <w:rStyle w:val="libBold2Char"/>
          <w:rtl/>
        </w:rPr>
        <w:t xml:space="preserve"> / 7.</w:t>
      </w:r>
      <w:r w:rsidRPr="00C9040A">
        <w:rPr>
          <w:rtl/>
          <w:lang w:bidi="fa-IR"/>
        </w:rPr>
        <w:t xml:space="preserve"> عِدَّةٌ مِنْ أَصْحَابِنَا ، عَنْ سَهْلِ بْنِ زِيَادٍ ، عَنْ مَنْصُورِ بْنِ الْعَبَّاسِ ، عَنِ ابْنِ</w:t>
      </w:r>
      <w:r w:rsidR="00941979">
        <w:rPr>
          <w:rFonts w:hint="cs"/>
          <w:rtl/>
          <w:lang w:bidi="fa-IR"/>
        </w:rPr>
        <w:t xml:space="preserve"> </w:t>
      </w:r>
      <w:r w:rsidRPr="00C9040A">
        <w:rPr>
          <w:rtl/>
          <w:lang w:bidi="fa-IR"/>
        </w:rPr>
        <w:t>‌مَيَّاحٍ</w:t>
      </w:r>
      <w:r w:rsidRPr="005B567D">
        <w:rPr>
          <w:rStyle w:val="libFootnotenumChar"/>
          <w:rtl/>
        </w:rPr>
        <w:t>(14)</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941979" w:rsidTr="00941979">
        <w:tc>
          <w:tcPr>
            <w:tcW w:w="4006" w:type="dxa"/>
          </w:tcPr>
          <w:p w:rsidR="00941979" w:rsidRDefault="00941979" w:rsidP="004A4E41">
            <w:pPr>
              <w:pStyle w:val="libFootnote0"/>
              <w:rPr>
                <w:rtl/>
              </w:rPr>
            </w:pPr>
            <w:r>
              <w:rPr>
                <w:rtl/>
              </w:rPr>
              <w:t xml:space="preserve">(1). </w:t>
            </w:r>
            <w:r w:rsidRPr="00C9040A">
              <w:rPr>
                <w:rtl/>
              </w:rPr>
              <w:t>في حاشية « د » : « ثلث »</w:t>
            </w:r>
            <w:r>
              <w:rPr>
                <w:rtl/>
              </w:rPr>
              <w:t>.</w:t>
            </w:r>
          </w:p>
        </w:tc>
        <w:tc>
          <w:tcPr>
            <w:tcW w:w="4006" w:type="dxa"/>
          </w:tcPr>
          <w:p w:rsidR="00941979" w:rsidRDefault="00941979" w:rsidP="004A4E41">
            <w:pPr>
              <w:pStyle w:val="libFootnote0"/>
              <w:rPr>
                <w:rtl/>
              </w:rPr>
            </w:pPr>
            <w:r>
              <w:rPr>
                <w:rtl/>
              </w:rPr>
              <w:t xml:space="preserve">(2). </w:t>
            </w:r>
            <w:r w:rsidRPr="00C9040A">
              <w:rPr>
                <w:rtl/>
              </w:rPr>
              <w:t xml:space="preserve">في « </w:t>
            </w:r>
            <w:r>
              <w:rPr>
                <w:rtl/>
              </w:rPr>
              <w:t xml:space="preserve">ه </w:t>
            </w:r>
            <w:r w:rsidRPr="00C9040A">
              <w:rPr>
                <w:rtl/>
              </w:rPr>
              <w:t>» : « يديّ »</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في </w:t>
      </w:r>
      <w:r w:rsidR="008A74EB" w:rsidRPr="00993B55">
        <w:rPr>
          <w:rStyle w:val="libFootnoteBoldChar"/>
          <w:rtl/>
        </w:rPr>
        <w:t>الوافي</w:t>
      </w:r>
      <w:r w:rsidR="008A74EB" w:rsidRPr="00C9040A">
        <w:rPr>
          <w:rtl/>
        </w:rPr>
        <w:t xml:space="preserve"> : « وطء العقب كناية عن الاتّباع في الفعال وتصديق المقال. واكتفى في تفسيره بأحدهما لاستلزامه الآخر غالباً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 أي مشيت خلفهم لأخذ الرواية عنهم ، فأجاب </w:t>
      </w:r>
      <w:r w:rsidR="00117575" w:rsidRPr="00117575">
        <w:rPr>
          <w:rStyle w:val="libFootnoteAlaemChar"/>
          <w:rtl/>
        </w:rPr>
        <w:t xml:space="preserve">عليه‌السلام </w:t>
      </w:r>
      <w:r w:rsidR="008A74EB" w:rsidRPr="00C9040A">
        <w:rPr>
          <w:rtl/>
        </w:rPr>
        <w:t xml:space="preserve"> بأنّه ليس الغرض النهي عن ذلك ، بل الغرض النهي عن جعل غير الإمام المنصوب من قبل الله تعالى بحيث تصدّقه في كلّ ما يقول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w:t>
      </w:r>
      <w:r w:rsidR="006D3162">
        <w:rPr>
          <w:rtl/>
        </w:rPr>
        <w:t xml:space="preserve">ه </w:t>
      </w:r>
      <w:r w:rsidR="008A74EB" w:rsidRPr="00C9040A">
        <w:rPr>
          <w:rtl/>
        </w:rPr>
        <w:t xml:space="preserve">» والمعاني ، ص 169 </w:t>
      </w:r>
      <w:r w:rsidR="008A74EB">
        <w:rPr>
          <w:rtl/>
        </w:rPr>
        <w:t xml:space="preserve">: </w:t>
      </w:r>
      <w:r w:rsidR="0084262C">
        <w:rPr>
          <w:rtl/>
        </w:rPr>
        <w:t>-</w:t>
      </w:r>
      <w:r w:rsidR="008A74EB" w:rsidRPr="00C9040A">
        <w:rPr>
          <w:rtl/>
        </w:rPr>
        <w:t xml:space="preserve"> « لي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معاني الأخبار</w:t>
      </w:r>
      <w:r w:rsidR="008A74EB" w:rsidRPr="00C9040A">
        <w:rPr>
          <w:rtl/>
        </w:rPr>
        <w:t xml:space="preserve"> ، ص 169 ، ح 1 ، بسنده عن حسين بن أيّوب بن أبي عقيلة الصيرفي ، عن كرّام الخثعمي ، عن أبي حمزة الثمالي. </w:t>
      </w:r>
      <w:r w:rsidR="008A74EB" w:rsidRPr="00993B55">
        <w:rPr>
          <w:rStyle w:val="libFootnoteBoldChar"/>
          <w:rtl/>
        </w:rPr>
        <w:t>وفيه</w:t>
      </w:r>
      <w:r w:rsidR="008A74EB" w:rsidRPr="00C9040A">
        <w:rPr>
          <w:rtl/>
        </w:rPr>
        <w:t xml:space="preserve"> ، ص 179 ، ح 1 ، بسند آخر ، مع اختلاف يسير </w:t>
      </w:r>
      <w:r w:rsidR="00941979">
        <w:rPr>
          <w:rFonts w:hint="cs"/>
          <w:rtl/>
        </w:rPr>
        <w:t>.</w:t>
      </w:r>
      <w:r w:rsidR="008A74EB" w:rsidRPr="00993B55">
        <w:rPr>
          <w:rStyle w:val="libFootnoteBoldChar"/>
          <w:rtl/>
        </w:rPr>
        <w:t>الوافي</w:t>
      </w:r>
      <w:r w:rsidR="008A74EB" w:rsidRPr="00C9040A">
        <w:rPr>
          <w:rtl/>
        </w:rPr>
        <w:t xml:space="preserve"> ، ج 5 ، ص 844 ، ح 3120 ؛ </w:t>
      </w:r>
      <w:r w:rsidR="008A74EB" w:rsidRPr="00993B55">
        <w:rPr>
          <w:rStyle w:val="libFootnoteBoldChar"/>
          <w:rtl/>
        </w:rPr>
        <w:t>الوسائل</w:t>
      </w:r>
      <w:r w:rsidR="008A74EB" w:rsidRPr="00C9040A">
        <w:rPr>
          <w:rtl/>
        </w:rPr>
        <w:t xml:space="preserve"> ، ج 15 ، ص 350 ، ح 20709 ؛ وج 27 ، ص 126 ، ح 33387 ؛ </w:t>
      </w:r>
      <w:r w:rsidR="008A74EB" w:rsidRPr="00993B55">
        <w:rPr>
          <w:rStyle w:val="libFootnoteBoldChar"/>
          <w:rtl/>
        </w:rPr>
        <w:t>البحار</w:t>
      </w:r>
      <w:r w:rsidR="008A74EB" w:rsidRPr="00C9040A">
        <w:rPr>
          <w:rtl/>
        </w:rPr>
        <w:t xml:space="preserve"> ، ج 73 ، ص 150 ، ح 4.</w:t>
      </w:r>
    </w:p>
    <w:tbl>
      <w:tblPr>
        <w:tblStyle w:val="TableGrid"/>
        <w:bidiVisual/>
        <w:tblW w:w="0" w:type="auto"/>
        <w:tblLook w:val="04A0" w:firstRow="1" w:lastRow="0" w:firstColumn="1" w:lastColumn="0" w:noHBand="0" w:noVBand="1"/>
      </w:tblPr>
      <w:tblGrid>
        <w:gridCol w:w="4006"/>
        <w:gridCol w:w="4006"/>
      </w:tblGrid>
      <w:tr w:rsidR="00941979" w:rsidTr="00941979">
        <w:tc>
          <w:tcPr>
            <w:tcW w:w="4006" w:type="dxa"/>
          </w:tcPr>
          <w:p w:rsidR="00941979" w:rsidRDefault="00941979" w:rsidP="004A4E41">
            <w:pPr>
              <w:pStyle w:val="libFootnote0"/>
              <w:rPr>
                <w:rtl/>
              </w:rPr>
            </w:pPr>
            <w:r>
              <w:rPr>
                <w:rtl/>
              </w:rPr>
              <w:t xml:space="preserve">(6). </w:t>
            </w:r>
            <w:r w:rsidRPr="00C9040A">
              <w:rPr>
                <w:rtl/>
              </w:rPr>
              <w:t xml:space="preserve">في الوسائل </w:t>
            </w:r>
            <w:r>
              <w:rPr>
                <w:rtl/>
              </w:rPr>
              <w:t>: -</w:t>
            </w:r>
            <w:r w:rsidRPr="00C9040A">
              <w:rPr>
                <w:rtl/>
              </w:rPr>
              <w:t xml:space="preserve"> « ويحك »</w:t>
            </w:r>
            <w:r>
              <w:rPr>
                <w:rtl/>
              </w:rPr>
              <w:t>.</w:t>
            </w:r>
          </w:p>
        </w:tc>
        <w:tc>
          <w:tcPr>
            <w:tcW w:w="4006" w:type="dxa"/>
          </w:tcPr>
          <w:p w:rsidR="00941979" w:rsidRDefault="00941979" w:rsidP="004A4E41">
            <w:pPr>
              <w:pStyle w:val="libFootnote0"/>
              <w:rPr>
                <w:rtl/>
              </w:rPr>
            </w:pPr>
            <w:r>
              <w:rPr>
                <w:rtl/>
              </w:rPr>
              <w:t>(7).</w:t>
            </w:r>
            <w:r w:rsidRPr="00C9040A">
              <w:rPr>
                <w:rtl/>
              </w:rPr>
              <w:t xml:space="preserve"> في « ب » : « لاتطلب »</w:t>
            </w:r>
            <w:r>
              <w:rPr>
                <w:rtl/>
              </w:rPr>
              <w:t>.</w:t>
            </w:r>
          </w:p>
        </w:tc>
      </w:tr>
    </w:tbl>
    <w:p w:rsidR="008A74EB" w:rsidRPr="00C9040A" w:rsidRDefault="006C577F" w:rsidP="004A4E41">
      <w:pPr>
        <w:pStyle w:val="libFootnote0"/>
        <w:rPr>
          <w:rtl/>
          <w:lang w:bidi="fa-IR"/>
        </w:rPr>
      </w:pPr>
      <w:r>
        <w:rPr>
          <w:rtl/>
        </w:rPr>
        <w:t>(8).</w:t>
      </w:r>
      <w:r w:rsidR="008A74EB" w:rsidRPr="00C9040A">
        <w:rPr>
          <w:rtl/>
        </w:rPr>
        <w:t xml:space="preserve"> في « ب ، ج ، د ، بس » : « ولاتك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ب ، ج » وحاشية « د » ومرآة العقول : « ذَنَباً » أي لا تكن تابعاً للجهّال. وفي « </w:t>
      </w:r>
      <w:r w:rsidR="006D3162">
        <w:rPr>
          <w:rtl/>
        </w:rPr>
        <w:t xml:space="preserve">ه </w:t>
      </w:r>
      <w:r w:rsidR="008A74EB" w:rsidRPr="00C9040A">
        <w:rPr>
          <w:rtl/>
        </w:rPr>
        <w:t>» : « دنيّاً »</w:t>
      </w:r>
      <w:r w:rsidR="008A74EB">
        <w:rPr>
          <w:rtl/>
        </w:rPr>
        <w:t>.</w:t>
      </w:r>
    </w:p>
    <w:tbl>
      <w:tblPr>
        <w:tblStyle w:val="TableGrid"/>
        <w:bidiVisual/>
        <w:tblW w:w="0" w:type="auto"/>
        <w:tblLook w:val="04A0" w:firstRow="1" w:lastRow="0" w:firstColumn="1" w:lastColumn="0" w:noHBand="0" w:noVBand="1"/>
      </w:tblPr>
      <w:tblGrid>
        <w:gridCol w:w="4006"/>
        <w:gridCol w:w="4006"/>
      </w:tblGrid>
      <w:tr w:rsidR="00941979" w:rsidTr="00941979">
        <w:tc>
          <w:tcPr>
            <w:tcW w:w="4006" w:type="dxa"/>
          </w:tcPr>
          <w:p w:rsidR="00941979" w:rsidRDefault="00941979" w:rsidP="004A4E41">
            <w:pPr>
              <w:pStyle w:val="libFootnote0"/>
              <w:rPr>
                <w:rtl/>
              </w:rPr>
            </w:pPr>
            <w:r>
              <w:rPr>
                <w:rtl/>
              </w:rPr>
              <w:t>(10).</w:t>
            </w:r>
            <w:r w:rsidRPr="00C9040A">
              <w:rPr>
                <w:rtl/>
              </w:rPr>
              <w:t xml:space="preserve"> في « </w:t>
            </w:r>
            <w:r>
              <w:rPr>
                <w:rtl/>
              </w:rPr>
              <w:t xml:space="preserve">ه </w:t>
            </w:r>
            <w:r w:rsidRPr="00C9040A">
              <w:rPr>
                <w:rtl/>
              </w:rPr>
              <w:t>» وحاشية « بر » : « فيغيرك »</w:t>
            </w:r>
            <w:r>
              <w:rPr>
                <w:rtl/>
              </w:rPr>
              <w:t>.</w:t>
            </w:r>
          </w:p>
        </w:tc>
        <w:tc>
          <w:tcPr>
            <w:tcW w:w="4006" w:type="dxa"/>
          </w:tcPr>
          <w:p w:rsidR="00941979" w:rsidRDefault="00941979" w:rsidP="004A4E41">
            <w:pPr>
              <w:pStyle w:val="libFootnote0"/>
              <w:rPr>
                <w:rtl/>
              </w:rPr>
            </w:pPr>
            <w:r>
              <w:rPr>
                <w:rtl/>
              </w:rPr>
              <w:t>(11).</w:t>
            </w:r>
            <w:r w:rsidRPr="00C9040A">
              <w:rPr>
                <w:rtl/>
              </w:rPr>
              <w:t xml:space="preserve"> في « </w:t>
            </w:r>
            <w:r>
              <w:rPr>
                <w:rtl/>
              </w:rPr>
              <w:t xml:space="preserve">ه </w:t>
            </w:r>
            <w:r w:rsidRPr="00C9040A">
              <w:rPr>
                <w:rtl/>
              </w:rPr>
              <w:t>» : « ولاتقول »</w:t>
            </w:r>
            <w:r>
              <w:rPr>
                <w:rtl/>
              </w:rPr>
              <w:t>.</w:t>
            </w:r>
          </w:p>
        </w:tc>
      </w:tr>
    </w:tbl>
    <w:p w:rsidR="008A74EB" w:rsidRPr="00C9040A" w:rsidRDefault="006C577F" w:rsidP="004A4E41">
      <w:pPr>
        <w:pStyle w:val="libFootnote0"/>
        <w:rPr>
          <w:rtl/>
          <w:lang w:bidi="fa-IR"/>
        </w:rPr>
      </w:pPr>
      <w:r>
        <w:rPr>
          <w:rtl/>
        </w:rPr>
        <w:t>(12).</w:t>
      </w:r>
      <w:r w:rsidR="00941979">
        <w:rPr>
          <w:rtl/>
        </w:rPr>
        <w:t xml:space="preserve"> في «ه</w:t>
      </w:r>
      <w:r w:rsidR="008A74EB">
        <w:rPr>
          <w:rtl/>
        </w:rPr>
        <w:t>»</w:t>
      </w:r>
      <w:r w:rsidR="00941979">
        <w:rPr>
          <w:rtl/>
        </w:rPr>
        <w:t>: «</w:t>
      </w:r>
      <w:r w:rsidR="008A74EB" w:rsidRPr="00C9040A">
        <w:rPr>
          <w:rtl/>
        </w:rPr>
        <w:t>مُوقَف »</w:t>
      </w:r>
      <w:r w:rsidR="008A74EB">
        <w:rPr>
          <w:rtl/>
        </w:rPr>
        <w:t>.</w:t>
      </w:r>
      <w:r w:rsidR="008A74EB" w:rsidRPr="00C9040A">
        <w:rPr>
          <w:rtl/>
        </w:rPr>
        <w:t xml:space="preserve"> وكلامه </w:t>
      </w:r>
      <w:r w:rsidR="00117575" w:rsidRPr="00117575">
        <w:rPr>
          <w:rStyle w:val="libFootnoteAlaemChar"/>
          <w:rtl/>
        </w:rPr>
        <w:t>عليه‌السلام</w:t>
      </w:r>
      <w:r w:rsidR="008A74EB" w:rsidRPr="00C9040A">
        <w:rPr>
          <w:rtl/>
        </w:rPr>
        <w:t xml:space="preserve"> إشارة إلى الآية 24 من سورة الصافّات (37) </w:t>
      </w:r>
      <w:r w:rsidR="008A74EB" w:rsidRPr="00941979">
        <w:rPr>
          <w:rStyle w:val="libFootnoteAlaemChar"/>
          <w:rFonts w:hint="cs"/>
          <w:rtl/>
        </w:rPr>
        <w:t>(</w:t>
      </w:r>
      <w:r w:rsidR="008A74EB" w:rsidRPr="00883DD5">
        <w:rPr>
          <w:rStyle w:val="libFootnoteAieChar"/>
          <w:rtl/>
        </w:rPr>
        <w:t>وَقِفُوهُمْ إِنَّهُم مَّسُولُونَ</w:t>
      </w:r>
      <w:r w:rsidR="008A74EB" w:rsidRPr="0003660B">
        <w:rPr>
          <w:rStyle w:val="libAlaemChar"/>
          <w:rFonts w:hint="cs"/>
          <w:rtl/>
        </w:rPr>
        <w:t xml:space="preserve"> </w:t>
      </w:r>
      <w:r w:rsidR="008A74EB" w:rsidRPr="00941979">
        <w:rPr>
          <w:rStyle w:val="libFootnoteAlaemChar"/>
          <w:rFonts w:hint="cs"/>
          <w:rtl/>
        </w:rPr>
        <w:t>)</w:t>
      </w:r>
      <w:r w:rsidR="008A74EB">
        <w:rPr>
          <w:rtl/>
        </w:rPr>
        <w:t>.</w:t>
      </w:r>
    </w:p>
    <w:p w:rsidR="008A74EB" w:rsidRPr="00C9040A" w:rsidRDefault="008A74EB" w:rsidP="004A4E41">
      <w:pPr>
        <w:pStyle w:val="libFootnote0"/>
        <w:rPr>
          <w:rtl/>
          <w:lang w:bidi="fa-IR"/>
        </w:rPr>
      </w:pPr>
      <w:r>
        <w:rPr>
          <w:rtl/>
        </w:rPr>
        <w:t>(13)</w:t>
      </w:r>
      <w:r w:rsidRPr="00C9040A">
        <w:rPr>
          <w:rtl/>
        </w:rPr>
        <w:t xml:space="preserve"> </w:t>
      </w:r>
      <w:r w:rsidRPr="00993B55">
        <w:rPr>
          <w:rStyle w:val="libFootnoteBoldChar"/>
          <w:rtl/>
        </w:rPr>
        <w:t>الكافي</w:t>
      </w:r>
      <w:r w:rsidRPr="00C9040A">
        <w:rPr>
          <w:rtl/>
        </w:rPr>
        <w:t xml:space="preserve"> ، كتاب الإيمان والكفر ، باب الكذب ، ح 2683 ، بسند آخر ، مع اختلاف </w:t>
      </w:r>
      <w:r w:rsidR="00941979">
        <w:rPr>
          <w:rFonts w:hint="cs"/>
          <w:rtl/>
        </w:rPr>
        <w:t>.</w:t>
      </w:r>
      <w:r w:rsidRPr="00993B55">
        <w:rPr>
          <w:rStyle w:val="libFootnoteBoldChar"/>
          <w:rtl/>
        </w:rPr>
        <w:t>الوافي</w:t>
      </w:r>
      <w:r w:rsidRPr="00C9040A">
        <w:rPr>
          <w:rtl/>
        </w:rPr>
        <w:t xml:space="preserve"> ، ج 5 ، ص 845 ، ح 3121 ؛ </w:t>
      </w:r>
      <w:r w:rsidRPr="00993B55">
        <w:rPr>
          <w:rStyle w:val="libFootnoteBoldChar"/>
          <w:rtl/>
        </w:rPr>
        <w:t>الوسائل</w:t>
      </w:r>
      <w:r w:rsidRPr="00C9040A">
        <w:rPr>
          <w:rtl/>
        </w:rPr>
        <w:t xml:space="preserve"> ، ج 15 ، ص 351 ، ح 20714 ، إلى قوله : « فيفقرك الله » ؛ </w:t>
      </w:r>
      <w:r w:rsidRPr="00993B55">
        <w:rPr>
          <w:rStyle w:val="libFootnoteBoldChar"/>
          <w:rtl/>
        </w:rPr>
        <w:t>البحار</w:t>
      </w:r>
      <w:r w:rsidRPr="00C9040A">
        <w:rPr>
          <w:rtl/>
        </w:rPr>
        <w:t xml:space="preserve"> ، ج 73 ، ص 151 ، ح 6.</w:t>
      </w:r>
    </w:p>
    <w:p w:rsidR="008A74EB" w:rsidRPr="00C9040A" w:rsidRDefault="008A74EB" w:rsidP="004A4E41">
      <w:pPr>
        <w:pStyle w:val="libFootnote0"/>
        <w:rPr>
          <w:rtl/>
          <w:lang w:bidi="fa-IR"/>
        </w:rPr>
      </w:pPr>
      <w:r>
        <w:rPr>
          <w:rtl/>
        </w:rPr>
        <w:t>(14)</w:t>
      </w:r>
      <w:r w:rsidRPr="00C9040A">
        <w:rPr>
          <w:rtl/>
        </w:rPr>
        <w:t xml:space="preserve"> في « بس » وحاشية « د » والوسائل : « أبي ميّاح »</w:t>
      </w:r>
      <w:r>
        <w:rPr>
          <w:rtl/>
        </w:rPr>
        <w:t>.</w:t>
      </w:r>
      <w:r w:rsidRPr="00C9040A">
        <w:rPr>
          <w:rtl/>
        </w:rPr>
        <w:t xml:space="preserve"> وهو سهو ، وابن ميّاح هذا</w:t>
      </w:r>
      <w:r w:rsidR="00941979">
        <w:rPr>
          <w:rtl/>
        </w:rPr>
        <w:t xml:space="preserve"> ، هو الحسين بن ميّاح المدائني.</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عَنْ أَبِيهِ ، قَالَ :</w:t>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 « مَنْ أَرَادَ الرِّئَاسَةَ هَلَكَ »</w:t>
      </w:r>
      <w:r>
        <w:rPr>
          <w:rtl/>
          <w:lang w:bidi="fa-IR"/>
        </w:rPr>
        <w:t>.</w:t>
      </w:r>
      <w:r w:rsidRPr="00C9040A">
        <w:rPr>
          <w:rtl/>
          <w:lang w:bidi="fa-IR"/>
        </w:rPr>
        <w:t xml:space="preserve"> </w:t>
      </w:r>
      <w:r w:rsidR="006C577F" w:rsidRPr="006C577F">
        <w:rPr>
          <w:rStyle w:val="libFootnotenumChar"/>
          <w:rtl/>
        </w:rPr>
        <w:t>(1)</w:t>
      </w:r>
      <w:r w:rsidRPr="00C9040A">
        <w:rPr>
          <w:rtl/>
          <w:lang w:bidi="fa-IR"/>
        </w:rPr>
        <w:t xml:space="preserve"> ‌</w:t>
      </w:r>
    </w:p>
    <w:p w:rsidR="008A74EB" w:rsidRPr="00C9040A" w:rsidRDefault="008A74EB" w:rsidP="008A74EB">
      <w:pPr>
        <w:pStyle w:val="libNormal"/>
        <w:rPr>
          <w:rtl/>
          <w:lang w:bidi="fa-IR"/>
        </w:rPr>
      </w:pPr>
      <w:r w:rsidRPr="001740F6">
        <w:rPr>
          <w:rtl/>
        </w:rPr>
        <w:t>2512</w:t>
      </w:r>
      <w:r w:rsidRPr="00261CB0">
        <w:rPr>
          <w:rStyle w:val="libBold2Char"/>
          <w:rtl/>
        </w:rPr>
        <w:t xml:space="preserve"> / 8.</w:t>
      </w:r>
      <w:r w:rsidRPr="00C9040A">
        <w:rPr>
          <w:rtl/>
          <w:lang w:bidi="fa-IR"/>
        </w:rPr>
        <w:t xml:space="preserve"> عَلِيُّ بْنُ إِبْرَاهِيمَ ، عَنْ مُحَمَّدِ بْنِ عِيسى ، عَنْ يُونُسَ ، عَنِ الْعَلَاءِ ، عَنْ مُحَمَّدِ بْنِ مُسْلِمٍ ، قَالَ :</w:t>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Pr>
          <w:rtl/>
          <w:lang w:bidi="fa-IR"/>
        </w:rPr>
        <w:t xml:space="preserve"> يَقُولُ : « أَ</w:t>
      </w:r>
      <w:r w:rsidRPr="00C9040A">
        <w:rPr>
          <w:rtl/>
          <w:lang w:bidi="fa-IR"/>
        </w:rPr>
        <w:t xml:space="preserve">تَرى </w:t>
      </w:r>
      <w:r w:rsidR="006C577F" w:rsidRPr="006C577F">
        <w:rPr>
          <w:rStyle w:val="libFootnotenumChar"/>
          <w:rtl/>
        </w:rPr>
        <w:t>(2)</w:t>
      </w:r>
      <w:r w:rsidRPr="00C9040A">
        <w:rPr>
          <w:rtl/>
          <w:lang w:bidi="fa-IR"/>
        </w:rPr>
        <w:t xml:space="preserve"> لَا</w:t>
      </w:r>
      <w:r>
        <w:rPr>
          <w:rFonts w:hint="cs"/>
          <w:rtl/>
          <w:lang w:bidi="fa-IR"/>
        </w:rPr>
        <w:t xml:space="preserve"> </w:t>
      </w:r>
      <w:r w:rsidRPr="00C9040A">
        <w:rPr>
          <w:rtl/>
          <w:lang w:bidi="fa-IR"/>
        </w:rPr>
        <w:t>أَعْرِفُ خِيَارَكُمْ مِنْ شِرَارِكُمْ</w:t>
      </w:r>
      <w:r>
        <w:rPr>
          <w:rtl/>
          <w:lang w:bidi="fa-IR"/>
        </w:rPr>
        <w:t>؟</w:t>
      </w:r>
      <w:r w:rsidRPr="00C9040A">
        <w:rPr>
          <w:rtl/>
          <w:lang w:bidi="fa-IR"/>
        </w:rPr>
        <w:t xml:space="preserve"> بَلى وَاللهِ </w:t>
      </w:r>
      <w:r w:rsidR="006C577F" w:rsidRPr="006C577F">
        <w:rPr>
          <w:rStyle w:val="libFootnotenumChar"/>
          <w:rtl/>
        </w:rPr>
        <w:t>(3)</w:t>
      </w:r>
      <w:r w:rsidRPr="00C9040A">
        <w:rPr>
          <w:rtl/>
          <w:lang w:bidi="fa-IR"/>
        </w:rPr>
        <w:t xml:space="preserve"> ، وَإِنَّ شِرَارَكُمْ مَنْ أَحَبَّ أَنْ يُوطَأَ عَقِبُهُ </w:t>
      </w:r>
      <w:r w:rsidR="006C577F" w:rsidRPr="006C577F">
        <w:rPr>
          <w:rStyle w:val="libFootnotenumChar"/>
          <w:rtl/>
        </w:rPr>
        <w:t>(4)</w:t>
      </w:r>
      <w:r w:rsidRPr="00C9040A">
        <w:rPr>
          <w:rtl/>
          <w:lang w:bidi="fa-IR"/>
        </w:rPr>
        <w:t xml:space="preserve"> ، إِنَّهُ لَابُدَّ مِنْ كَذَّابٍ ، أَوْ عَاجِزِ الرَّأْيِ </w:t>
      </w:r>
      <w:r w:rsidR="006C577F" w:rsidRPr="006C577F">
        <w:rPr>
          <w:rStyle w:val="libFootnotenumChar"/>
          <w:rtl/>
        </w:rPr>
        <w:t>(5)</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Heading2Center"/>
        <w:rPr>
          <w:rtl/>
          <w:lang w:bidi="fa-IR"/>
        </w:rPr>
      </w:pPr>
      <w:bookmarkStart w:id="364" w:name="_Toc343795709"/>
      <w:bookmarkStart w:id="365" w:name="_Toc459810833"/>
      <w:bookmarkStart w:id="366" w:name="_Toc35348739"/>
      <w:r w:rsidRPr="00C9040A">
        <w:rPr>
          <w:rtl/>
          <w:lang w:bidi="fa-IR"/>
        </w:rPr>
        <w:t>118</w:t>
      </w:r>
      <w:r>
        <w:rPr>
          <w:rtl/>
          <w:lang w:bidi="fa-IR"/>
        </w:rPr>
        <w:t xml:space="preserve"> </w:t>
      </w:r>
      <w:r w:rsidR="0084262C">
        <w:rPr>
          <w:rtl/>
          <w:lang w:bidi="fa-IR"/>
        </w:rPr>
        <w:t>-</w:t>
      </w:r>
      <w:r>
        <w:rPr>
          <w:rtl/>
          <w:lang w:bidi="fa-IR"/>
        </w:rPr>
        <w:t xml:space="preserve"> </w:t>
      </w:r>
      <w:r w:rsidRPr="00C9040A">
        <w:rPr>
          <w:rtl/>
          <w:lang w:bidi="fa-IR"/>
        </w:rPr>
        <w:t xml:space="preserve">بَابُ اخْتِتَالِ </w:t>
      </w:r>
      <w:r w:rsidR="006C577F" w:rsidRPr="006C577F">
        <w:rPr>
          <w:rStyle w:val="libFootnotenumChar"/>
          <w:rtl/>
        </w:rPr>
        <w:t>(7)</w:t>
      </w:r>
      <w:r>
        <w:rPr>
          <w:rtl/>
        </w:rPr>
        <w:t xml:space="preserve"> </w:t>
      </w:r>
      <w:r w:rsidRPr="00C9040A">
        <w:rPr>
          <w:rtl/>
          <w:lang w:bidi="fa-IR"/>
        </w:rPr>
        <w:t>الدُّنْيَا بِالدِّينِ‌</w:t>
      </w:r>
      <w:bookmarkEnd w:id="364"/>
      <w:bookmarkEnd w:id="365"/>
      <w:bookmarkEnd w:id="366"/>
    </w:p>
    <w:p w:rsidR="008A74EB" w:rsidRPr="00C9040A" w:rsidRDefault="008A74EB" w:rsidP="008A74EB">
      <w:pPr>
        <w:pStyle w:val="libNormal"/>
        <w:rPr>
          <w:rtl/>
          <w:lang w:bidi="fa-IR"/>
        </w:rPr>
      </w:pPr>
      <w:r w:rsidRPr="001740F6">
        <w:rPr>
          <w:rtl/>
        </w:rPr>
        <w:t>2513</w:t>
      </w:r>
      <w:r w:rsidRPr="00261CB0">
        <w:rPr>
          <w:rStyle w:val="libBold2Char"/>
          <w:rtl/>
        </w:rPr>
        <w:t xml:space="preserve"> / 1.</w:t>
      </w:r>
      <w:r w:rsidRPr="00C9040A">
        <w:rPr>
          <w:rtl/>
          <w:lang w:bidi="fa-IR"/>
        </w:rPr>
        <w:t xml:space="preserve"> مُحَمَّدُ بْنُ يَحْيى ، عَنْ أَحْمَدَ بْنِ مُحَمَّدٍ ، عَنْ مُحَمَّدِ بْنِ سِنَانٍ ، عَنْ إِسْمَاعِيلَ بْنِ جَابِرٍ ، عَنْ يُونُسَ بْنِ ظَبْيَانَ ، قَالَ :</w:t>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 « قَالَ رَسُولُ اللهِ </w:t>
      </w:r>
      <w:r w:rsidR="004A4E41" w:rsidRPr="004A4E41">
        <w:rPr>
          <w:rStyle w:val="libAlaemChar"/>
          <w:rtl/>
        </w:rPr>
        <w:t>صلى‌الله‌عليه‌وآله</w:t>
      </w:r>
      <w:r w:rsidRPr="00C9040A">
        <w:rPr>
          <w:rtl/>
          <w:lang w:bidi="fa-IR"/>
        </w:rPr>
        <w:t xml:space="preserve"> : إِنَّ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يَقُولُ :</w:t>
      </w:r>
    </w:p>
    <w:p w:rsidR="008A74EB" w:rsidRPr="00C9040A" w:rsidRDefault="008A74EB" w:rsidP="008A74EB">
      <w:pPr>
        <w:pStyle w:val="libLine"/>
        <w:rPr>
          <w:rtl/>
          <w:lang w:bidi="fa-IR"/>
        </w:rPr>
      </w:pPr>
      <w:r w:rsidRPr="00C9040A">
        <w:rPr>
          <w:rtl/>
          <w:lang w:bidi="fa-IR"/>
        </w:rPr>
        <w:t>__________________</w:t>
      </w:r>
    </w:p>
    <w:p w:rsidR="008A74EB" w:rsidRPr="00C9040A" w:rsidRDefault="00941979" w:rsidP="004A4E41">
      <w:pPr>
        <w:pStyle w:val="libFootnote0"/>
        <w:rPr>
          <w:rtl/>
          <w:lang w:bidi="fa-IR"/>
        </w:rPr>
      </w:pPr>
      <w:r>
        <w:rPr>
          <w:rFonts w:hint="cs"/>
          <w:rtl/>
        </w:rPr>
        <w:t xml:space="preserve">= </w:t>
      </w:r>
      <w:r>
        <w:rPr>
          <w:rtl/>
        </w:rPr>
        <w:t>ذكره ابن داود والعل</w:t>
      </w:r>
      <w:r>
        <w:rPr>
          <w:rFonts w:hint="cs"/>
          <w:rtl/>
        </w:rPr>
        <w:t>ّ</w:t>
      </w:r>
      <w:r>
        <w:rPr>
          <w:rtl/>
        </w:rPr>
        <w:t>ا</w:t>
      </w:r>
      <w:r w:rsidR="008A74EB" w:rsidRPr="00C9040A">
        <w:rPr>
          <w:rtl/>
        </w:rPr>
        <w:t xml:space="preserve">مة نقلاً عن ابن الغضائري. راجع : </w:t>
      </w:r>
      <w:r w:rsidR="008A74EB" w:rsidRPr="00993B55">
        <w:rPr>
          <w:rStyle w:val="libFootnoteBoldChar"/>
          <w:rtl/>
        </w:rPr>
        <w:t>خلاصة الأقوال</w:t>
      </w:r>
      <w:r w:rsidR="008A74EB" w:rsidRPr="00C9040A">
        <w:rPr>
          <w:rtl/>
        </w:rPr>
        <w:t xml:space="preserve"> ، ص 17 ، الرقم 12 ؛ </w:t>
      </w:r>
      <w:r w:rsidR="008A74EB" w:rsidRPr="00993B55">
        <w:rPr>
          <w:rStyle w:val="libFootnoteBoldChar"/>
          <w:rtl/>
        </w:rPr>
        <w:t>الرجال</w:t>
      </w:r>
      <w:r>
        <w:rPr>
          <w:rtl/>
        </w:rPr>
        <w:t xml:space="preserve"> لابن داود</w:t>
      </w:r>
      <w:r w:rsidR="008A74EB" w:rsidRPr="00C9040A">
        <w:rPr>
          <w:rtl/>
        </w:rPr>
        <w:t>، ص 446 ، الرقم 150.</w:t>
      </w:r>
    </w:p>
    <w:p w:rsidR="008A74EB" w:rsidRPr="00C9040A" w:rsidRDefault="006C577F" w:rsidP="004A4E41">
      <w:pPr>
        <w:pStyle w:val="libFootnote0"/>
        <w:rPr>
          <w:rtl/>
          <w:lang w:bidi="fa-IR"/>
        </w:rPr>
      </w:pPr>
      <w:r>
        <w:rPr>
          <w:rtl/>
        </w:rPr>
        <w:t>(1).</w:t>
      </w:r>
      <w:r w:rsidR="008A74EB">
        <w:rPr>
          <w:rtl/>
        </w:rPr>
        <w:t xml:space="preserve"> </w:t>
      </w:r>
      <w:r w:rsidR="008A74EB" w:rsidRPr="00993B55">
        <w:rPr>
          <w:rStyle w:val="libFootnoteBoldChar"/>
          <w:rtl/>
        </w:rPr>
        <w:t>الوافي</w:t>
      </w:r>
      <w:r w:rsidR="008A74EB" w:rsidRPr="00C9040A">
        <w:rPr>
          <w:rtl/>
        </w:rPr>
        <w:t xml:space="preserve"> ، ج 5 ، ص 843 ، ح 3117 ؛ </w:t>
      </w:r>
      <w:r w:rsidR="008A74EB" w:rsidRPr="00993B55">
        <w:rPr>
          <w:rStyle w:val="libFootnoteBoldChar"/>
          <w:rtl/>
        </w:rPr>
        <w:t>الوسائل</w:t>
      </w:r>
      <w:r w:rsidR="008A74EB" w:rsidRPr="00C9040A">
        <w:rPr>
          <w:rtl/>
        </w:rPr>
        <w:t xml:space="preserve"> ، ج 15 ، ص 351 ، ح 20713 ؛ </w:t>
      </w:r>
      <w:r w:rsidR="008A74EB" w:rsidRPr="00993B55">
        <w:rPr>
          <w:rStyle w:val="libFootnoteBoldChar"/>
          <w:rtl/>
        </w:rPr>
        <w:t>البحار</w:t>
      </w:r>
      <w:r w:rsidR="008A74EB" w:rsidRPr="00C9040A">
        <w:rPr>
          <w:rtl/>
        </w:rPr>
        <w:t xml:space="preserve"> ، ج 73 ، ص 152 ، ح 7.</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w:t>
      </w:r>
      <w:r w:rsidR="006D3162">
        <w:rPr>
          <w:rtl/>
        </w:rPr>
        <w:t xml:space="preserve">ه </w:t>
      </w:r>
      <w:r w:rsidR="008A74EB" w:rsidRPr="00C9040A">
        <w:rPr>
          <w:rtl/>
        </w:rPr>
        <w:t>، بر ، بف » وحاشية « ص » والوافي والبحار ، « أتراني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 أترى ، على المعلوم أوالمجهول استفهام إنكار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الوسائل : « الله » بدون الواو.</w:t>
      </w:r>
    </w:p>
    <w:p w:rsidR="008A74EB" w:rsidRPr="00C9040A" w:rsidRDefault="006C577F" w:rsidP="004A4E41">
      <w:pPr>
        <w:pStyle w:val="libFootnote0"/>
        <w:rPr>
          <w:rtl/>
          <w:lang w:bidi="fa-IR"/>
        </w:rPr>
      </w:pPr>
      <w:r>
        <w:rPr>
          <w:rtl/>
        </w:rPr>
        <w:t>(4).</w:t>
      </w:r>
      <w:r w:rsidR="008A74EB" w:rsidRPr="00C9040A">
        <w:rPr>
          <w:rtl/>
        </w:rPr>
        <w:t xml:space="preserve"> « أن يوطأ عقبه » ، أي يكثر أتباعه ، بأن يكون سلطاناً أو مقدّماً أو ذا مالٍ ، فيتبعه الناس ويمشون وراءه. </w:t>
      </w:r>
      <w:r w:rsidR="008A74EB" w:rsidRPr="00993B55">
        <w:rPr>
          <w:rStyle w:val="libFootnoteBoldChar"/>
          <w:rtl/>
        </w:rPr>
        <w:t>النهاية</w:t>
      </w:r>
      <w:r w:rsidR="008A74EB" w:rsidRPr="00C9040A">
        <w:rPr>
          <w:rtl/>
        </w:rPr>
        <w:t xml:space="preserve"> ، ج 5 ، ص 202 ( وطأ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w:t>
      </w:r>
      <w:r w:rsidR="008A74EB" w:rsidRPr="00993B55">
        <w:rPr>
          <w:rStyle w:val="libFootnoteBoldChar"/>
          <w:rtl/>
        </w:rPr>
        <w:t>الوافي</w:t>
      </w:r>
      <w:r w:rsidR="008A74EB" w:rsidRPr="00C9040A">
        <w:rPr>
          <w:rtl/>
        </w:rPr>
        <w:t xml:space="preserve"> : « آخر الحديث يحتمل معنيين : أحدهما : من أحبّ أن يوطأ عقبه لابدّ أن يكون كذّاباً أو عاجز الرأي ؛ لانّه لايعلم جميع ما يسأل عنه ، فإن أجاب عن كلّ ما يُسأل فلابدّ من الكذب ، وإن لم يجب عمّا لايعلم فهو عاجز الرأي. والثاني : أنّه لابدّ في الأرض من كذّاب يطلب الرئاسة ومن عاجز الرأى يتبعه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الوافي</w:t>
      </w:r>
      <w:r w:rsidR="008A74EB" w:rsidRPr="00C9040A">
        <w:rPr>
          <w:rtl/>
        </w:rPr>
        <w:t xml:space="preserve"> ، ج 5 ، ص 845 ، ح 3122 ؛ </w:t>
      </w:r>
      <w:r w:rsidR="008A74EB" w:rsidRPr="00993B55">
        <w:rPr>
          <w:rStyle w:val="libFootnoteBoldChar"/>
          <w:rtl/>
        </w:rPr>
        <w:t>الوسائل</w:t>
      </w:r>
      <w:r w:rsidR="008A74EB" w:rsidRPr="00C9040A">
        <w:rPr>
          <w:rtl/>
        </w:rPr>
        <w:t xml:space="preserve"> ، ج 15 ، ص 351 ، ح 20715 ؛ </w:t>
      </w:r>
      <w:r w:rsidR="008A74EB" w:rsidRPr="00993B55">
        <w:rPr>
          <w:rStyle w:val="libFootnoteBoldChar"/>
          <w:rtl/>
        </w:rPr>
        <w:t>البحار</w:t>
      </w:r>
      <w:r w:rsidR="008A74EB" w:rsidRPr="00C9040A">
        <w:rPr>
          <w:rtl/>
        </w:rPr>
        <w:t xml:space="preserve"> ، ج 73 ، ص 152 ، ح 8.</w:t>
      </w:r>
    </w:p>
    <w:p w:rsidR="008A74EB" w:rsidRPr="00C9040A" w:rsidRDefault="006C577F" w:rsidP="004A4E41">
      <w:pPr>
        <w:pStyle w:val="libFootnote0"/>
        <w:rPr>
          <w:rtl/>
          <w:lang w:bidi="fa-IR"/>
        </w:rPr>
      </w:pPr>
      <w:r>
        <w:rPr>
          <w:rtl/>
        </w:rPr>
        <w:t>(7).</w:t>
      </w:r>
      <w:r w:rsidR="008A74EB" w:rsidRPr="00C9040A">
        <w:rPr>
          <w:rtl/>
        </w:rPr>
        <w:t xml:space="preserve"> في « ص » : « اختيال » ، وقال في </w:t>
      </w:r>
      <w:r w:rsidR="008A74EB" w:rsidRPr="00993B55">
        <w:rPr>
          <w:rStyle w:val="libFootnoteBoldChar"/>
          <w:rtl/>
        </w:rPr>
        <w:t>مرآة العقول</w:t>
      </w:r>
      <w:r w:rsidR="008A74EB" w:rsidRPr="00C9040A">
        <w:rPr>
          <w:rtl/>
        </w:rPr>
        <w:t xml:space="preserve"> : « هو تصحيف »</w:t>
      </w:r>
      <w:r w:rsidR="008A74EB">
        <w:rPr>
          <w:rtl/>
        </w:rPr>
        <w:t>.</w:t>
      </w:r>
      <w:r w:rsidR="008A74EB" w:rsidRPr="00C9040A">
        <w:rPr>
          <w:rtl/>
        </w:rPr>
        <w:t xml:space="preserve"> وفي « </w:t>
      </w:r>
      <w:r w:rsidR="006D3162">
        <w:rPr>
          <w:rtl/>
        </w:rPr>
        <w:t xml:space="preserve">ه </w:t>
      </w:r>
      <w:r w:rsidR="008A74EB" w:rsidRPr="00C9040A">
        <w:rPr>
          <w:rtl/>
        </w:rPr>
        <w:t>» : « احتيال » بالمهملة.</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وَيْلٌ لِلَّذِينَ يَخْتِلُونَ </w:t>
      </w:r>
      <w:r w:rsidR="006C577F" w:rsidRPr="006C577F">
        <w:rPr>
          <w:rStyle w:val="libFootnotenumChar"/>
          <w:rtl/>
        </w:rPr>
        <w:t>(1)</w:t>
      </w:r>
      <w:r w:rsidRPr="00C9040A">
        <w:rPr>
          <w:rtl/>
          <w:lang w:bidi="fa-IR"/>
        </w:rPr>
        <w:t xml:space="preserve"> الدُّنْيَا بِالدِّينِ ، وَوَيْلٌ لِلَّذِينَ يَقْتُلُونَ </w:t>
      </w:r>
      <w:r w:rsidR="006C577F" w:rsidRPr="006C577F">
        <w:rPr>
          <w:rStyle w:val="libFootnotenumChar"/>
          <w:rtl/>
        </w:rPr>
        <w:t>(2)</w:t>
      </w:r>
      <w:r w:rsidRPr="00C9040A">
        <w:rPr>
          <w:rtl/>
          <w:lang w:bidi="fa-IR"/>
        </w:rPr>
        <w:t xml:space="preserve"> الَّذِينَ يَأْمُرُونَ بِالْقِسْطِ مِنَ النَّاسِ ، وَوَيْلٌ لِلَّذِينَ يَسِيرُ </w:t>
      </w:r>
      <w:r w:rsidR="006C577F" w:rsidRPr="006C577F">
        <w:rPr>
          <w:rStyle w:val="libFootnotenumChar"/>
          <w:rtl/>
        </w:rPr>
        <w:t>(3)</w:t>
      </w:r>
      <w:r w:rsidRPr="00C9040A">
        <w:rPr>
          <w:rtl/>
          <w:lang w:bidi="fa-IR"/>
        </w:rPr>
        <w:t xml:space="preserve"> الْمُؤْمِنُ فِيهِمْ بِالتَّقِيَّةِ </w:t>
      </w:r>
      <w:r w:rsidR="006C577F" w:rsidRPr="006C577F">
        <w:rPr>
          <w:rStyle w:val="libFootnotenumChar"/>
          <w:rtl/>
        </w:rPr>
        <w:t>(4)</w:t>
      </w:r>
      <w:r>
        <w:rPr>
          <w:rtl/>
          <w:lang w:bidi="fa-IR"/>
        </w:rPr>
        <w:t xml:space="preserve"> ، أَ</w:t>
      </w:r>
      <w:r w:rsidRPr="00C9040A">
        <w:rPr>
          <w:rtl/>
          <w:lang w:bidi="fa-IR"/>
        </w:rPr>
        <w:t xml:space="preserve">بِي يَغْتَرُّونَ </w:t>
      </w:r>
      <w:r w:rsidR="006C577F" w:rsidRPr="006C577F">
        <w:rPr>
          <w:rStyle w:val="libFootnotenumChar"/>
          <w:rtl/>
        </w:rPr>
        <w:t>(5)</w:t>
      </w:r>
      <w:r w:rsidRPr="00C9040A">
        <w:rPr>
          <w:rtl/>
          <w:lang w:bidi="fa-IR"/>
        </w:rPr>
        <w:t xml:space="preserve"> ، أَمْ عَلَيَّ يَجْتَرِئُونَ </w:t>
      </w:r>
      <w:r w:rsidR="006C577F" w:rsidRPr="006C577F">
        <w:rPr>
          <w:rStyle w:val="libFootnotenumChar"/>
          <w:rtl/>
        </w:rPr>
        <w:t>(6)</w:t>
      </w:r>
      <w:r w:rsidRPr="00282A2A">
        <w:rPr>
          <w:rStyle w:val="libNormalChar"/>
          <w:rtl/>
        </w:rPr>
        <w:t>؟</w:t>
      </w:r>
      <w:r>
        <w:rPr>
          <w:rFonts w:hint="cs"/>
          <w:rtl/>
          <w:lang w:bidi="fa-IR"/>
        </w:rPr>
        <w:t xml:space="preserve"> </w:t>
      </w:r>
      <w:r w:rsidRPr="00C9040A">
        <w:rPr>
          <w:rtl/>
          <w:lang w:bidi="fa-IR"/>
        </w:rPr>
        <w:t xml:space="preserve">فَبِي حَلَفْتُ لَأُتِيحَنَّ </w:t>
      </w:r>
      <w:r w:rsidR="006C577F" w:rsidRPr="006C577F">
        <w:rPr>
          <w:rStyle w:val="libFootnotenumChar"/>
          <w:rtl/>
        </w:rPr>
        <w:t>(7)</w:t>
      </w:r>
      <w:r w:rsidRPr="00C9040A">
        <w:rPr>
          <w:rtl/>
          <w:lang w:bidi="fa-IR"/>
        </w:rPr>
        <w:t xml:space="preserve"> لَهُمْ فِتْنَةً تَتْرُكُ </w:t>
      </w:r>
      <w:r w:rsidR="006C577F" w:rsidRPr="006C577F">
        <w:rPr>
          <w:rStyle w:val="libFootnotenumChar"/>
          <w:rtl/>
        </w:rPr>
        <w:t>(8)</w:t>
      </w:r>
      <w:r w:rsidRPr="00C9040A">
        <w:rPr>
          <w:rtl/>
          <w:lang w:bidi="fa-IR"/>
        </w:rPr>
        <w:t xml:space="preserve"> الْحَلِيمَ </w:t>
      </w:r>
      <w:r w:rsidR="006C577F" w:rsidRPr="006C577F">
        <w:rPr>
          <w:rStyle w:val="libFootnotenumChar"/>
          <w:rtl/>
        </w:rPr>
        <w:t>(9)</w:t>
      </w:r>
      <w:r w:rsidRPr="00C9040A">
        <w:rPr>
          <w:rtl/>
          <w:lang w:bidi="fa-IR"/>
        </w:rPr>
        <w:t xml:space="preserve"> مِنْهُمْ حَيْرَانَ </w:t>
      </w:r>
      <w:r w:rsidR="006C577F" w:rsidRPr="006C577F">
        <w:rPr>
          <w:rStyle w:val="libFootnotenumChar"/>
          <w:rtl/>
        </w:rPr>
        <w:t>(10)</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(11)</w:t>
      </w:r>
      <w:r w:rsidRPr="00C9040A">
        <w:rPr>
          <w:rtl/>
          <w:lang w:bidi="fa-IR"/>
        </w:rPr>
        <w:t xml:space="preserve"> ‌</w:t>
      </w:r>
    </w:p>
    <w:p w:rsidR="008A74EB" w:rsidRPr="00C9040A" w:rsidRDefault="008A74EB" w:rsidP="008A74EB">
      <w:pPr>
        <w:pStyle w:val="Heading2Center"/>
        <w:rPr>
          <w:rtl/>
          <w:lang w:bidi="fa-IR"/>
        </w:rPr>
      </w:pPr>
      <w:bookmarkStart w:id="367" w:name="_Toc343795710"/>
      <w:bookmarkStart w:id="368" w:name="_Toc459810834"/>
      <w:bookmarkStart w:id="369" w:name="_Toc35348740"/>
      <w:r w:rsidRPr="00C9040A">
        <w:rPr>
          <w:rtl/>
          <w:lang w:bidi="fa-IR"/>
        </w:rPr>
        <w:t>119</w:t>
      </w:r>
      <w:r>
        <w:rPr>
          <w:rtl/>
          <w:lang w:bidi="fa-IR"/>
        </w:rPr>
        <w:t xml:space="preserve"> </w:t>
      </w:r>
      <w:r w:rsidR="0084262C">
        <w:rPr>
          <w:rtl/>
          <w:lang w:bidi="fa-IR"/>
        </w:rPr>
        <w:t>-</w:t>
      </w:r>
      <w:r>
        <w:rPr>
          <w:rtl/>
          <w:lang w:bidi="fa-IR"/>
        </w:rPr>
        <w:t xml:space="preserve"> </w:t>
      </w:r>
      <w:r w:rsidRPr="00C9040A">
        <w:rPr>
          <w:rtl/>
          <w:lang w:bidi="fa-IR"/>
        </w:rPr>
        <w:t>بَابُ مَنْ وَصَفَ عَدْلاً وَعَمِلَ بِغَيْرِهِ‌</w:t>
      </w:r>
      <w:bookmarkEnd w:id="367"/>
      <w:bookmarkEnd w:id="368"/>
      <w:bookmarkEnd w:id="369"/>
    </w:p>
    <w:p w:rsidR="008A74EB" w:rsidRPr="00C9040A" w:rsidRDefault="008A74EB" w:rsidP="008A74EB">
      <w:pPr>
        <w:pStyle w:val="libNormal"/>
        <w:rPr>
          <w:rtl/>
          <w:lang w:bidi="fa-IR"/>
        </w:rPr>
      </w:pPr>
      <w:r w:rsidRPr="000B0995">
        <w:rPr>
          <w:rtl/>
        </w:rPr>
        <w:t>2514</w:t>
      </w:r>
      <w:r w:rsidRPr="00261CB0">
        <w:rPr>
          <w:rStyle w:val="libBold2Char"/>
          <w:rtl/>
        </w:rPr>
        <w:t xml:space="preserve"> / 1.</w:t>
      </w:r>
      <w:r w:rsidRPr="00C9040A">
        <w:rPr>
          <w:rtl/>
          <w:lang w:bidi="fa-IR"/>
        </w:rPr>
        <w:t xml:space="preserve"> عَلِيُّ بْنُ إِبْرَاهِيمَ ، عَنْ أَبِيهِ ، عَنِ ابْنِ أَبِي عُمَيْرٍ ، عَنْ يُوسُفَ الْبَزَّازِ ، عَنْ مُعَلَّى بْنِ خُنَيْسٍ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w:t>
      </w:r>
      <w:r w:rsidR="006C577F" w:rsidRPr="006C577F">
        <w:rPr>
          <w:rStyle w:val="libFootnotenumChar"/>
          <w:rtl/>
        </w:rPr>
        <w:t>(12)</w:t>
      </w:r>
      <w:r w:rsidRPr="00C9040A">
        <w:rPr>
          <w:rtl/>
          <w:lang w:bidi="fa-IR"/>
        </w:rPr>
        <w:t xml:space="preserve"> ، قَالَ : « إِنَّ </w:t>
      </w:r>
      <w:r w:rsidRPr="005B567D">
        <w:rPr>
          <w:rStyle w:val="libFootnotenumChar"/>
          <w:rtl/>
        </w:rPr>
        <w:t>(13)</w:t>
      </w:r>
      <w:r w:rsidRPr="00C9040A">
        <w:rPr>
          <w:rtl/>
          <w:lang w:bidi="fa-IR"/>
        </w:rPr>
        <w:t xml:space="preserve"> مِنْ </w:t>
      </w:r>
      <w:r w:rsidRPr="005B567D">
        <w:rPr>
          <w:rStyle w:val="libFootnotenumChar"/>
          <w:rtl/>
        </w:rPr>
        <w:t>(14)</w:t>
      </w:r>
      <w:r w:rsidRPr="00C9040A">
        <w:rPr>
          <w:rtl/>
          <w:lang w:bidi="fa-IR"/>
        </w:rPr>
        <w:t xml:space="preserve"> أَشَدِّ النَّاسِ حَسْرَةً يَوْمَ الْقِيَامَةِ مَنْ وَصَفَ‌</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282A2A">
      <w:pPr>
        <w:pStyle w:val="libFootnote0"/>
        <w:rPr>
          <w:rtl/>
          <w:lang w:bidi="fa-IR"/>
        </w:rPr>
      </w:pPr>
      <w:r>
        <w:rPr>
          <w:rtl/>
        </w:rPr>
        <w:t>(1).</w:t>
      </w:r>
      <w:r w:rsidR="008A74EB">
        <w:rPr>
          <w:rtl/>
        </w:rPr>
        <w:t xml:space="preserve"> </w:t>
      </w:r>
      <w:r w:rsidR="008A74EB" w:rsidRPr="00C9040A">
        <w:rPr>
          <w:rtl/>
        </w:rPr>
        <w:t>في « ز » : « يختتلون »</w:t>
      </w:r>
      <w:r w:rsidR="008A74EB">
        <w:rPr>
          <w:rtl/>
        </w:rPr>
        <w:t>.</w:t>
      </w:r>
      <w:r w:rsidR="008A74EB" w:rsidRPr="00C9040A">
        <w:rPr>
          <w:rtl/>
        </w:rPr>
        <w:t xml:space="preserve"> وفي « ص » وحاشية « بف » : « يختالون »</w:t>
      </w:r>
      <w:r w:rsidR="008A74EB">
        <w:rPr>
          <w:rtl/>
        </w:rPr>
        <w:t>.</w:t>
      </w:r>
      <w:r w:rsidR="008A74EB" w:rsidRPr="00C9040A">
        <w:rPr>
          <w:rtl/>
        </w:rPr>
        <w:t xml:space="preserve"> وفي « </w:t>
      </w:r>
      <w:r w:rsidR="006D3162">
        <w:rPr>
          <w:rtl/>
        </w:rPr>
        <w:t xml:space="preserve">ه </w:t>
      </w:r>
      <w:r w:rsidR="008A74EB" w:rsidRPr="00C9040A">
        <w:rPr>
          <w:rtl/>
        </w:rPr>
        <w:t xml:space="preserve">» وحاشية « بر » : « يحتالون » بالمهملة. وقوله : « يختلون » أي يطلبون الدنيا بعمل الآخرة. يقال : خَتَله يَخْتِله : إذا خَدَعه وراوَغَه ، وختل الذئب الصيد : إذا تخفّى له. </w:t>
      </w:r>
      <w:r w:rsidR="008A74EB" w:rsidRPr="00993B55">
        <w:rPr>
          <w:rStyle w:val="libFootnoteBoldChar"/>
          <w:rtl/>
        </w:rPr>
        <w:t>النهاية</w:t>
      </w:r>
      <w:r w:rsidR="008A74EB" w:rsidRPr="00C9040A">
        <w:rPr>
          <w:rtl/>
        </w:rPr>
        <w:t xml:space="preserve"> ، ج 2 ، ص 6 ( ختل )</w:t>
      </w:r>
      <w:r w:rsidR="008A74EB">
        <w:rPr>
          <w:rtl/>
        </w:rPr>
        <w:t>.</w:t>
      </w:r>
      <w:r w:rsidR="00282A2A">
        <w:rPr>
          <w:rFonts w:hint="cs"/>
          <w:rtl/>
        </w:rPr>
        <w:t xml:space="preserve">       </w:t>
      </w:r>
      <w:r>
        <w:rPr>
          <w:rtl/>
        </w:rPr>
        <w:t>(2).</w:t>
      </w:r>
      <w:r w:rsidR="008A74EB">
        <w:rPr>
          <w:rtl/>
        </w:rPr>
        <w:t xml:space="preserve"> </w:t>
      </w:r>
      <w:r w:rsidR="008A74EB" w:rsidRPr="00C9040A">
        <w:rPr>
          <w:rtl/>
        </w:rPr>
        <w:t xml:space="preserve">في « </w:t>
      </w:r>
      <w:r w:rsidR="006D3162">
        <w:rPr>
          <w:rtl/>
        </w:rPr>
        <w:t xml:space="preserve">ه </w:t>
      </w:r>
      <w:r w:rsidR="008A74EB" w:rsidRPr="00C9040A">
        <w:rPr>
          <w:rtl/>
        </w:rPr>
        <w:t>» : « يفتنون »</w:t>
      </w:r>
      <w:r w:rsidR="008A74EB">
        <w:rPr>
          <w:rtl/>
        </w:rPr>
        <w:t>.</w:t>
      </w:r>
    </w:p>
    <w:tbl>
      <w:tblPr>
        <w:tblStyle w:val="TableGrid"/>
        <w:bidiVisual/>
        <w:tblW w:w="0" w:type="auto"/>
        <w:tblLook w:val="04A0" w:firstRow="1" w:lastRow="0" w:firstColumn="1" w:lastColumn="0" w:noHBand="0" w:noVBand="1"/>
      </w:tblPr>
      <w:tblGrid>
        <w:gridCol w:w="4006"/>
        <w:gridCol w:w="4006"/>
      </w:tblGrid>
      <w:tr w:rsidR="00282A2A" w:rsidTr="00282A2A">
        <w:tc>
          <w:tcPr>
            <w:tcW w:w="4006" w:type="dxa"/>
          </w:tcPr>
          <w:p w:rsidR="00282A2A" w:rsidRDefault="00282A2A" w:rsidP="004A4E41">
            <w:pPr>
              <w:pStyle w:val="libFootnote0"/>
              <w:rPr>
                <w:rtl/>
              </w:rPr>
            </w:pPr>
            <w:r>
              <w:rPr>
                <w:rtl/>
              </w:rPr>
              <w:t>(3). في «ص» : «يشير</w:t>
            </w:r>
            <w:r w:rsidRPr="00C9040A">
              <w:rPr>
                <w:rtl/>
              </w:rPr>
              <w:t>»</w:t>
            </w:r>
            <w:r>
              <w:rPr>
                <w:rtl/>
              </w:rPr>
              <w:t>. وفي «ه ، بف» : «يستتر</w:t>
            </w:r>
            <w:r w:rsidRPr="00C9040A">
              <w:rPr>
                <w:rtl/>
              </w:rPr>
              <w:t>»</w:t>
            </w:r>
            <w:r>
              <w:rPr>
                <w:rtl/>
              </w:rPr>
              <w:t>.</w:t>
            </w:r>
          </w:p>
        </w:tc>
        <w:tc>
          <w:tcPr>
            <w:tcW w:w="4006" w:type="dxa"/>
          </w:tcPr>
          <w:p w:rsidR="00282A2A" w:rsidRDefault="00282A2A" w:rsidP="004A4E41">
            <w:pPr>
              <w:pStyle w:val="libFootnote0"/>
              <w:rPr>
                <w:rtl/>
              </w:rPr>
            </w:pPr>
            <w:r>
              <w:rPr>
                <w:rtl/>
              </w:rPr>
              <w:t>(4).</w:t>
            </w:r>
            <w:r w:rsidRPr="00C9040A">
              <w:rPr>
                <w:rtl/>
              </w:rPr>
              <w:t xml:space="preserve"> في « ب » : « بالتقيّة فيهم »</w:t>
            </w:r>
            <w:r>
              <w:rPr>
                <w:rtl/>
              </w:rPr>
              <w:t>.</w:t>
            </w:r>
          </w:p>
        </w:tc>
      </w:tr>
      <w:tr w:rsidR="00282A2A" w:rsidTr="00282A2A">
        <w:tc>
          <w:tcPr>
            <w:tcW w:w="4006" w:type="dxa"/>
          </w:tcPr>
          <w:p w:rsidR="00282A2A" w:rsidRDefault="00282A2A" w:rsidP="004A4E41">
            <w:pPr>
              <w:pStyle w:val="libFootnote0"/>
              <w:rPr>
                <w:rtl/>
              </w:rPr>
            </w:pPr>
            <w:r>
              <w:rPr>
                <w:rtl/>
              </w:rPr>
              <w:t>(5). في «ز» : «يفتّرون</w:t>
            </w:r>
            <w:r w:rsidRPr="00C9040A">
              <w:rPr>
                <w:rtl/>
              </w:rPr>
              <w:t>»</w:t>
            </w:r>
            <w:r>
              <w:rPr>
                <w:rtl/>
              </w:rPr>
              <w:t>.</w:t>
            </w:r>
            <w:r w:rsidRPr="00C9040A">
              <w:rPr>
                <w:rtl/>
              </w:rPr>
              <w:t xml:space="preserve"> وفي « ص » : « تغترّون »</w:t>
            </w:r>
            <w:r>
              <w:rPr>
                <w:rtl/>
              </w:rPr>
              <w:t>.</w:t>
            </w:r>
          </w:p>
        </w:tc>
        <w:tc>
          <w:tcPr>
            <w:tcW w:w="4006" w:type="dxa"/>
          </w:tcPr>
          <w:p w:rsidR="00282A2A" w:rsidRDefault="00282A2A" w:rsidP="004A4E41">
            <w:pPr>
              <w:pStyle w:val="libFootnote0"/>
              <w:rPr>
                <w:rtl/>
              </w:rPr>
            </w:pPr>
            <w:r>
              <w:rPr>
                <w:rtl/>
              </w:rPr>
              <w:t xml:space="preserve">(6). </w:t>
            </w:r>
            <w:r w:rsidRPr="00C9040A">
              <w:rPr>
                <w:rtl/>
              </w:rPr>
              <w:t>في « ز » : « يجترّون »</w:t>
            </w:r>
            <w:r>
              <w:rPr>
                <w:rtl/>
              </w:rPr>
              <w:t>. وفي «ص»:«</w:t>
            </w:r>
            <w:r w:rsidRPr="00C9040A">
              <w:rPr>
                <w:rtl/>
              </w:rPr>
              <w:t>تجترئون »</w:t>
            </w:r>
            <w:r>
              <w:rPr>
                <w:rtl/>
              </w:rPr>
              <w:t>.</w:t>
            </w:r>
          </w:p>
        </w:tc>
      </w:tr>
    </w:tbl>
    <w:p w:rsidR="008A74EB" w:rsidRPr="00C9040A" w:rsidRDefault="006C577F" w:rsidP="004A4E41">
      <w:pPr>
        <w:pStyle w:val="libFootnote0"/>
        <w:rPr>
          <w:rtl/>
          <w:lang w:bidi="fa-IR"/>
        </w:rPr>
      </w:pPr>
      <w:r>
        <w:rPr>
          <w:rtl/>
        </w:rPr>
        <w:t>(7).</w:t>
      </w:r>
      <w:r w:rsidR="008A74EB" w:rsidRPr="00C9040A">
        <w:rPr>
          <w:rtl/>
        </w:rPr>
        <w:t xml:space="preserve"> في « </w:t>
      </w:r>
      <w:r w:rsidR="006D3162">
        <w:rPr>
          <w:rtl/>
        </w:rPr>
        <w:t xml:space="preserve">ه </w:t>
      </w:r>
      <w:r w:rsidR="008A74EB" w:rsidRPr="00C9040A">
        <w:rPr>
          <w:rtl/>
        </w:rPr>
        <w:t>، بف » : « لأتنجّز »</w:t>
      </w:r>
      <w:r w:rsidR="008A74EB">
        <w:rPr>
          <w:rtl/>
        </w:rPr>
        <w:t>.</w:t>
      </w:r>
      <w:r w:rsidR="008A74EB" w:rsidRPr="00C9040A">
        <w:rPr>
          <w:rtl/>
        </w:rPr>
        <w:t xml:space="preserve"> وفي « بس » وحاشية « ج ، د ، بف » : « لأمتحنّ »</w:t>
      </w:r>
      <w:r w:rsidR="008A74EB">
        <w:rPr>
          <w:rtl/>
        </w:rPr>
        <w:t>.</w:t>
      </w:r>
      <w:r w:rsidR="008A74EB" w:rsidRPr="00C9040A">
        <w:rPr>
          <w:rtl/>
        </w:rPr>
        <w:t xml:space="preserve"> </w:t>
      </w:r>
      <w:r w:rsidR="008A74EB">
        <w:rPr>
          <w:rtl/>
        </w:rPr>
        <w:t>و «</w:t>
      </w:r>
      <w:r w:rsidR="008A74EB" w:rsidRPr="00C9040A">
        <w:rPr>
          <w:rtl/>
        </w:rPr>
        <w:t xml:space="preserve"> المتح » : النزع والاستخراج. </w:t>
      </w:r>
      <w:r w:rsidR="008A74EB">
        <w:rPr>
          <w:rtl/>
        </w:rPr>
        <w:t>و «</w:t>
      </w:r>
      <w:r w:rsidR="008A74EB" w:rsidRPr="00C9040A">
        <w:rPr>
          <w:rtl/>
        </w:rPr>
        <w:t xml:space="preserve"> لُاتيحنّ » ، أي لُاقدّرنّ ، يقال : أتاح الله له الشي‌ءَ ، أي قدّره له وأنزله به ، وتاح له الشي‌ء ، وا</w:t>
      </w:r>
      <w:r w:rsidR="00282A2A">
        <w:rPr>
          <w:rFonts w:hint="cs"/>
          <w:rtl/>
        </w:rPr>
        <w:t>ُ</w:t>
      </w:r>
      <w:r w:rsidR="008A74EB" w:rsidRPr="00C9040A">
        <w:rPr>
          <w:rtl/>
        </w:rPr>
        <w:t xml:space="preserve">تيح ، أي قُدِّرله. راجع : </w:t>
      </w:r>
      <w:r w:rsidR="008A74EB" w:rsidRPr="00993B55">
        <w:rPr>
          <w:rStyle w:val="libFootnoteBoldChar"/>
          <w:rtl/>
        </w:rPr>
        <w:t>الصحاح</w:t>
      </w:r>
      <w:r w:rsidR="008A74EB" w:rsidRPr="00C9040A">
        <w:rPr>
          <w:rtl/>
        </w:rPr>
        <w:t xml:space="preserve"> ، ج 1 ، ص 357 ؛ </w:t>
      </w:r>
      <w:r w:rsidR="008A74EB" w:rsidRPr="00993B55">
        <w:rPr>
          <w:rStyle w:val="libFootnoteBoldChar"/>
          <w:rtl/>
        </w:rPr>
        <w:t>النهاية</w:t>
      </w:r>
      <w:r w:rsidR="008A74EB" w:rsidRPr="00C9040A">
        <w:rPr>
          <w:rtl/>
        </w:rPr>
        <w:t xml:space="preserve"> ، ج 1 ، ص 202 ( تيح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 ب ، ز » : « يترك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 الحِلم » : الأناة والعقل ، وجمعه : أحلام وحلوم. ومنه : « أَمْ تَأْمُرُهُمْ أَحْلمُهُم بِهذَآ » ، وهو حليم ، وجمعه حُلَماء وأحلام. </w:t>
      </w:r>
      <w:r w:rsidR="008A74EB" w:rsidRPr="00993B55">
        <w:rPr>
          <w:rStyle w:val="libFootnoteBoldChar"/>
          <w:rtl/>
        </w:rPr>
        <w:t>القاموس المحيط</w:t>
      </w:r>
      <w:r w:rsidR="008A74EB" w:rsidRPr="00C9040A">
        <w:rPr>
          <w:rtl/>
        </w:rPr>
        <w:t xml:space="preserve"> ، ج 2 ، ص 1445 ( حلم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 ب ، د » والوافي ومرآة العقول : « حيراناً »</w:t>
      </w:r>
      <w:r w:rsidR="008A74EB">
        <w:rPr>
          <w:rtl/>
        </w:rPr>
        <w:t>.</w:t>
      </w:r>
      <w:r w:rsidR="008A74EB" w:rsidRPr="00C9040A">
        <w:rPr>
          <w:rtl/>
        </w:rPr>
        <w:t xml:space="preserve"> وقال في المرآة بأنّ تنوينه للتناسب.</w:t>
      </w:r>
    </w:p>
    <w:p w:rsidR="008A74EB" w:rsidRPr="00C9040A" w:rsidRDefault="006C577F" w:rsidP="004A4E41">
      <w:pPr>
        <w:pStyle w:val="libFootnote0"/>
        <w:rPr>
          <w:rtl/>
          <w:lang w:bidi="fa-IR"/>
        </w:rPr>
      </w:pPr>
      <w:r>
        <w:rPr>
          <w:rtl/>
        </w:rPr>
        <w:t>(11).</w:t>
      </w:r>
      <w:r w:rsidR="008A74EB" w:rsidRPr="00C9040A">
        <w:rPr>
          <w:rtl/>
        </w:rPr>
        <w:t xml:space="preserve"> </w:t>
      </w:r>
      <w:r w:rsidR="008A74EB" w:rsidRPr="00993B55">
        <w:rPr>
          <w:rStyle w:val="libFootnoteBoldChar"/>
          <w:rtl/>
        </w:rPr>
        <w:t>قرب الإسناد</w:t>
      </w:r>
      <w:r w:rsidR="008A74EB" w:rsidRPr="00C9040A">
        <w:rPr>
          <w:rtl/>
        </w:rPr>
        <w:t xml:space="preserve"> ، ص 28 ، ح 93 ، بسند آخر عن جعفر بن محمّد ، عن أبيه </w:t>
      </w:r>
      <w:r w:rsidR="00117575" w:rsidRPr="00117575">
        <w:rPr>
          <w:rStyle w:val="libFootnoteAlaemChar"/>
          <w:rtl/>
        </w:rPr>
        <w:t>عليهم‌السلام</w:t>
      </w:r>
      <w:r w:rsidR="008A74EB" w:rsidRPr="00C9040A">
        <w:rPr>
          <w:rtl/>
        </w:rPr>
        <w:t xml:space="preserve"> ، من دون الإسناد إلى الرسول </w:t>
      </w:r>
      <w:r w:rsidR="004A4E41" w:rsidRPr="00282A2A">
        <w:rPr>
          <w:rStyle w:val="libFootnoteAlaemChar"/>
          <w:rtl/>
        </w:rPr>
        <w:t>صلى‌الله‌عليه‌وآله</w:t>
      </w:r>
      <w:r w:rsidR="008A74EB" w:rsidRPr="00C9040A">
        <w:rPr>
          <w:rtl/>
        </w:rPr>
        <w:t xml:space="preserve"> ، مع زيادة. </w:t>
      </w:r>
      <w:r w:rsidR="008A74EB" w:rsidRPr="00993B55">
        <w:rPr>
          <w:rStyle w:val="libFootnoteBoldChar"/>
          <w:rtl/>
        </w:rPr>
        <w:t>فقه الرضا</w:t>
      </w:r>
      <w:r w:rsidR="008A74EB" w:rsidRPr="00C9040A">
        <w:rPr>
          <w:rtl/>
        </w:rPr>
        <w:t xml:space="preserve"> </w:t>
      </w:r>
      <w:r w:rsidR="00117575" w:rsidRPr="00117575">
        <w:rPr>
          <w:rStyle w:val="libFootnoteAlaemChar"/>
          <w:rtl/>
        </w:rPr>
        <w:t xml:space="preserve">عليه‌السلام </w:t>
      </w:r>
      <w:r w:rsidR="008A74EB" w:rsidRPr="00C9040A">
        <w:rPr>
          <w:rtl/>
        </w:rPr>
        <w:t xml:space="preserve">، ص 376 ، فيهما مع اختلاف </w:t>
      </w:r>
      <w:r w:rsidR="008A74EB" w:rsidRPr="00993B55">
        <w:rPr>
          <w:rStyle w:val="libFootnoteBoldChar"/>
          <w:rtl/>
        </w:rPr>
        <w:t>الوافي</w:t>
      </w:r>
      <w:r w:rsidR="008A74EB" w:rsidRPr="00C9040A">
        <w:rPr>
          <w:rtl/>
        </w:rPr>
        <w:t xml:space="preserve"> ، ج 5 ، ص 848 ، ح 3124 ؛ </w:t>
      </w:r>
      <w:r w:rsidR="008A74EB" w:rsidRPr="00993B55">
        <w:rPr>
          <w:rStyle w:val="libFootnoteBoldChar"/>
          <w:rtl/>
        </w:rPr>
        <w:t>الوسائل</w:t>
      </w:r>
      <w:r w:rsidR="008A74EB" w:rsidRPr="00C9040A">
        <w:rPr>
          <w:rtl/>
        </w:rPr>
        <w:t xml:space="preserve"> ، ج 15 ، ص 356 ، ح 20728 ؛ </w:t>
      </w:r>
      <w:r w:rsidR="008A74EB" w:rsidRPr="00993B55">
        <w:rPr>
          <w:rStyle w:val="libFootnoteBoldChar"/>
          <w:rtl/>
        </w:rPr>
        <w:t>البحار</w:t>
      </w:r>
      <w:r w:rsidR="008A74EB" w:rsidRPr="00C9040A">
        <w:rPr>
          <w:rtl/>
        </w:rPr>
        <w:t xml:space="preserve"> ، ج 73 ، ص 85 ، ح 49.</w:t>
      </w:r>
    </w:p>
    <w:p w:rsidR="008A74EB" w:rsidRPr="00C9040A" w:rsidRDefault="006C577F" w:rsidP="004A4E41">
      <w:pPr>
        <w:pStyle w:val="libFootnote0"/>
        <w:rPr>
          <w:rtl/>
          <w:lang w:bidi="fa-IR"/>
        </w:rPr>
      </w:pPr>
      <w:r>
        <w:rPr>
          <w:rtl/>
        </w:rPr>
        <w:t>(12).</w:t>
      </w:r>
      <w:r w:rsidR="008A74EB" w:rsidRPr="00C9040A">
        <w:rPr>
          <w:rtl/>
        </w:rPr>
        <w:t xml:space="preserve"> هكذا في النسخ التي قوبلت والوافي والوسائل والبحار. وفي المطبوع : + « [ أنّه ] »</w:t>
      </w:r>
      <w:r w:rsidR="008A74EB">
        <w:rPr>
          <w:rtl/>
        </w:rPr>
        <w:t>.</w:t>
      </w:r>
    </w:p>
    <w:p w:rsidR="008A74EB" w:rsidRPr="00C9040A" w:rsidRDefault="008A74EB" w:rsidP="004A4E41">
      <w:pPr>
        <w:pStyle w:val="libFootnote0"/>
        <w:rPr>
          <w:rtl/>
          <w:lang w:bidi="fa-IR"/>
        </w:rPr>
      </w:pPr>
      <w:r>
        <w:rPr>
          <w:rtl/>
        </w:rPr>
        <w:t>(13)</w:t>
      </w:r>
      <w:r w:rsidRPr="00C9040A">
        <w:rPr>
          <w:rtl/>
        </w:rPr>
        <w:t xml:space="preserve"> في « ب ، ج ، د ، ز ، ص ، </w:t>
      </w:r>
      <w:r w:rsidR="006D3162">
        <w:rPr>
          <w:rtl/>
        </w:rPr>
        <w:t xml:space="preserve">ه </w:t>
      </w:r>
      <w:r w:rsidRPr="00C9040A">
        <w:rPr>
          <w:rtl/>
        </w:rPr>
        <w:t xml:space="preserve">، بر » </w:t>
      </w:r>
      <w:r>
        <w:rPr>
          <w:rtl/>
        </w:rPr>
        <w:t xml:space="preserve">: </w:t>
      </w:r>
      <w:r w:rsidR="0084262C">
        <w:rPr>
          <w:rtl/>
        </w:rPr>
        <w:t>-</w:t>
      </w:r>
      <w:r w:rsidRPr="00C9040A">
        <w:rPr>
          <w:rtl/>
        </w:rPr>
        <w:t xml:space="preserve"> « إنّ »</w:t>
      </w:r>
      <w:r>
        <w:rPr>
          <w:rtl/>
        </w:rPr>
        <w:t>.</w:t>
      </w:r>
    </w:p>
    <w:p w:rsidR="008A74EB" w:rsidRPr="00C9040A" w:rsidRDefault="008A74EB" w:rsidP="004A4E41">
      <w:pPr>
        <w:pStyle w:val="libFootnote0"/>
        <w:rPr>
          <w:rtl/>
          <w:lang w:bidi="fa-IR"/>
        </w:rPr>
      </w:pPr>
      <w:r>
        <w:rPr>
          <w:rtl/>
        </w:rPr>
        <w:t>(14)</w:t>
      </w:r>
      <w:r w:rsidRPr="00C9040A">
        <w:rPr>
          <w:rtl/>
        </w:rPr>
        <w:t xml:space="preserve"> في « بف » والوافي والوسائل والبحار والأمالي وتحف العقول </w:t>
      </w:r>
      <w:r>
        <w:rPr>
          <w:rtl/>
        </w:rPr>
        <w:t xml:space="preserve">: </w:t>
      </w:r>
      <w:r w:rsidR="0084262C">
        <w:rPr>
          <w:rtl/>
        </w:rPr>
        <w:t>-</w:t>
      </w:r>
      <w:r w:rsidRPr="00C9040A">
        <w:rPr>
          <w:rtl/>
        </w:rPr>
        <w:t xml:space="preserve"> « من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عَدْلاً ، ثُمَّ </w:t>
      </w:r>
      <w:r w:rsidR="006C577F" w:rsidRPr="006C577F">
        <w:rPr>
          <w:rStyle w:val="libFootnotenumChar"/>
          <w:rtl/>
        </w:rPr>
        <w:t>(1)</w:t>
      </w:r>
      <w:r w:rsidRPr="00C9040A">
        <w:rPr>
          <w:rtl/>
          <w:lang w:bidi="fa-IR"/>
        </w:rPr>
        <w:t xml:space="preserve"> عَمِلَ بِغَيْرِهِ </w:t>
      </w:r>
      <w:r w:rsidR="006C577F" w:rsidRPr="006C577F">
        <w:rPr>
          <w:rStyle w:val="libFootnotenumChar"/>
          <w:rtl/>
        </w:rPr>
        <w:t>(2)</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BF1FD0">
        <w:rPr>
          <w:rtl/>
        </w:rPr>
        <w:t>2515</w:t>
      </w:r>
      <w:r w:rsidRPr="00261CB0">
        <w:rPr>
          <w:rStyle w:val="libBold2Char"/>
          <w:rtl/>
        </w:rPr>
        <w:t xml:space="preserve"> / 2.</w:t>
      </w:r>
      <w:r w:rsidRPr="00C9040A">
        <w:rPr>
          <w:rtl/>
          <w:lang w:bidi="fa-IR"/>
        </w:rPr>
        <w:t xml:space="preserve"> مُحَمَّدُ بْنُ يَحْيى ، عَنْ أَحْمَدَ بْنِ مُحَمَّدِ بْنِ عِيسى ، عَنْ مُحَمَّدِ بْنِ سِنَانٍ ، عَنْ قُتَيْبَةَ الْأَعْشى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أَنَّهُ قَالَ </w:t>
      </w:r>
      <w:r w:rsidR="006C577F" w:rsidRPr="006C577F">
        <w:rPr>
          <w:rStyle w:val="libFootnotenumChar"/>
          <w:rtl/>
        </w:rPr>
        <w:t>(4)</w:t>
      </w:r>
      <w:r w:rsidRPr="00C9040A">
        <w:rPr>
          <w:rtl/>
          <w:lang w:bidi="fa-IR"/>
        </w:rPr>
        <w:t xml:space="preserve"> : « مِنْ </w:t>
      </w:r>
      <w:r w:rsidR="006C577F" w:rsidRPr="006C577F">
        <w:rPr>
          <w:rStyle w:val="libFootnotenumChar"/>
          <w:rtl/>
        </w:rPr>
        <w:t>(5)</w:t>
      </w:r>
      <w:r w:rsidRPr="00C9040A">
        <w:rPr>
          <w:rtl/>
          <w:lang w:bidi="fa-IR"/>
        </w:rPr>
        <w:t xml:space="preserve"> أَشَدِّ النَّاسِ عَذَاباً يَوْمَ الْقِيَامَةِ مَنْ وَصَفَ عَدْلاً ، وَعَمِلَ بِغَيْرِهِ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Normal"/>
        <w:rPr>
          <w:rtl/>
          <w:lang w:bidi="fa-IR"/>
        </w:rPr>
      </w:pPr>
      <w:r w:rsidRPr="00BF1FD0">
        <w:rPr>
          <w:rtl/>
        </w:rPr>
        <w:t>2516</w:t>
      </w:r>
      <w:r w:rsidRPr="00261CB0">
        <w:rPr>
          <w:rStyle w:val="libBold2Char"/>
          <w:rtl/>
        </w:rPr>
        <w:t xml:space="preserve"> / 3.</w:t>
      </w:r>
      <w:r w:rsidRPr="00C9040A">
        <w:rPr>
          <w:rtl/>
          <w:lang w:bidi="fa-IR"/>
        </w:rPr>
        <w:t xml:space="preserve"> عَلِيُّ بْنُ إِبْرَاهِيمَ ، عَنْ أَبِيهِ ، عَنِ ابْنِ أَبِي عُمَيْرٍ ، عَنْ هِشَامِ بْنِ سَالِمٍ ، عَنِ ابْنِ أَبِي يَعْفُورٍ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إِنَّ مِنْ </w:t>
      </w:r>
      <w:r w:rsidR="006C577F" w:rsidRPr="006C577F">
        <w:rPr>
          <w:rStyle w:val="libFootnotenumChar"/>
          <w:rtl/>
        </w:rPr>
        <w:t>(7)</w:t>
      </w:r>
      <w:r w:rsidRPr="00C9040A">
        <w:rPr>
          <w:rtl/>
          <w:lang w:bidi="fa-IR"/>
        </w:rPr>
        <w:t xml:space="preserve"> أَعْظَمِ النَّاسِ حَسْرَةً </w:t>
      </w:r>
      <w:r w:rsidR="006C577F" w:rsidRPr="006C577F">
        <w:rPr>
          <w:rStyle w:val="libFootnotenumChar"/>
          <w:rtl/>
        </w:rPr>
        <w:t>(8)</w:t>
      </w:r>
      <w:r w:rsidRPr="00C9040A">
        <w:rPr>
          <w:rtl/>
          <w:lang w:bidi="fa-IR"/>
        </w:rPr>
        <w:t xml:space="preserve"> يَوْمَ الْقِيَامَةِ مَنْ وَصَفَ عَدْلاً ، ثُمَّ </w:t>
      </w:r>
      <w:r w:rsidR="006C577F" w:rsidRPr="006C577F">
        <w:rPr>
          <w:rStyle w:val="libFootnotenumChar"/>
          <w:rtl/>
        </w:rPr>
        <w:t>(9)</w:t>
      </w:r>
      <w:r w:rsidRPr="00C9040A">
        <w:rPr>
          <w:rtl/>
          <w:lang w:bidi="fa-IR"/>
        </w:rPr>
        <w:t xml:space="preserve"> خَالَفَهُ إِلى غَيْرِهِ »</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Normal"/>
        <w:rPr>
          <w:rtl/>
          <w:lang w:bidi="fa-IR"/>
        </w:rPr>
      </w:pPr>
      <w:r w:rsidRPr="00BF1FD0">
        <w:rPr>
          <w:rtl/>
        </w:rPr>
        <w:t>2517</w:t>
      </w:r>
      <w:r w:rsidRPr="00261CB0">
        <w:rPr>
          <w:rStyle w:val="libBold2Char"/>
          <w:rtl/>
        </w:rPr>
        <w:t xml:space="preserve"> / 4.</w:t>
      </w:r>
      <w:r w:rsidRPr="00C9040A">
        <w:rPr>
          <w:rtl/>
          <w:lang w:bidi="fa-IR"/>
        </w:rPr>
        <w:t xml:space="preserve"> مُحَمَّدُ بْنُ يَحْيى ، عَنِ الْحُسَيْنِ بْنِ إِسْحَاقَ ، عَنْ عَلِيِّ بْنِ مَهْزِيَارَ ، عَنْ‌</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بس » والأمالي : « </w:t>
      </w:r>
      <w:r w:rsidR="008A74EB">
        <w:rPr>
          <w:rtl/>
        </w:rPr>
        <w:t>و »</w:t>
      </w:r>
      <w:r w:rsidR="008A74EB" w:rsidRPr="00C9040A">
        <w:rPr>
          <w:rtl/>
        </w:rPr>
        <w:t xml:space="preserve"> بدل « ثمّ »</w:t>
      </w:r>
      <w:r w:rsidR="008A74EB">
        <w:rPr>
          <w:rtl/>
        </w:rPr>
        <w:t>.</w:t>
      </w:r>
    </w:p>
    <w:p w:rsidR="008A74EB" w:rsidRPr="00C9040A" w:rsidRDefault="006C577F" w:rsidP="00165BB2">
      <w:pPr>
        <w:pStyle w:val="libFootnote0"/>
        <w:rPr>
          <w:rtl/>
          <w:lang w:bidi="fa-IR"/>
        </w:rPr>
      </w:pPr>
      <w:r>
        <w:rPr>
          <w:rtl/>
        </w:rPr>
        <w:t>(2).</w:t>
      </w:r>
      <w:r w:rsidR="008A74EB">
        <w:rPr>
          <w:rtl/>
        </w:rPr>
        <w:t xml:space="preserve"> </w:t>
      </w:r>
      <w:r w:rsidR="008A74EB" w:rsidRPr="00C9040A">
        <w:rPr>
          <w:rtl/>
        </w:rPr>
        <w:t>في الأمالي وتحف العقول : « خالفه إلى غيره » بدل : « عمل بغيره »</w:t>
      </w:r>
      <w:r w:rsidR="008A74EB">
        <w:rPr>
          <w:rtl/>
        </w:rPr>
        <w:t>.</w:t>
      </w:r>
      <w:r w:rsidR="008A74EB" w:rsidRPr="00C9040A">
        <w:rPr>
          <w:rtl/>
        </w:rPr>
        <w:t xml:space="preserve"> وفي </w:t>
      </w:r>
      <w:r w:rsidR="008A74EB" w:rsidRPr="00993B55">
        <w:rPr>
          <w:rStyle w:val="libFootnoteBoldChar"/>
          <w:rtl/>
        </w:rPr>
        <w:t>الوافي</w:t>
      </w:r>
      <w:r w:rsidR="008A74EB" w:rsidRPr="00C9040A">
        <w:rPr>
          <w:rtl/>
        </w:rPr>
        <w:t xml:space="preserve"> : « العدل : الوسط الغير المائل إلى إفراط أو تفريط ؛ يعني من علّم غيره طريقاً وسطاً في الأخلاق والأعمال ، ثمّ لم يعمل به ولم يحمل نفسه عليه ، تكون حسرته يوم القيامة أشدّ من كلّ حسرة ؛ وذلك لأنّه يرى ذلك الغير قد سعد بما تعلّمه منه ، وبقي هو بعلمه شقيّاً ؛ قال الله تعالى : </w:t>
      </w:r>
      <w:r w:rsidR="008A74EB" w:rsidRPr="00282A2A">
        <w:rPr>
          <w:rStyle w:val="libFootnoteAlaemChar"/>
          <w:rtl/>
        </w:rPr>
        <w:t>(</w:t>
      </w:r>
      <w:r w:rsidR="008A74EB" w:rsidRPr="00883DD5">
        <w:rPr>
          <w:rStyle w:val="libFootnoteAieChar"/>
          <w:rFonts w:hint="cs"/>
          <w:rtl/>
        </w:rPr>
        <w:t xml:space="preserve"> </w:t>
      </w:r>
      <w:r w:rsidR="008A74EB" w:rsidRPr="00883DD5">
        <w:rPr>
          <w:rStyle w:val="libFootnoteAieChar"/>
          <w:rtl/>
        </w:rPr>
        <w:t>ي</w:t>
      </w:r>
      <w:r w:rsidR="00282A2A">
        <w:rPr>
          <w:rStyle w:val="libFootnoteAieChar"/>
          <w:rFonts w:hint="cs"/>
          <w:rtl/>
        </w:rPr>
        <w:t>َ</w:t>
      </w:r>
      <w:r w:rsidR="008A74EB" w:rsidRPr="00883DD5">
        <w:rPr>
          <w:rStyle w:val="libFootnoteAieChar"/>
          <w:rtl/>
        </w:rPr>
        <w:t xml:space="preserve">ا أَيُّهَا الَّذِينَ </w:t>
      </w:r>
      <w:r w:rsidR="00165BB2">
        <w:rPr>
          <w:rStyle w:val="libFootnoteAieChar"/>
          <w:rFonts w:hint="cs"/>
          <w:rtl/>
        </w:rPr>
        <w:t>ءَا</w:t>
      </w:r>
      <w:r w:rsidR="008A74EB" w:rsidRPr="00883DD5">
        <w:rPr>
          <w:rStyle w:val="libFootnoteAieChar"/>
          <w:rtl/>
        </w:rPr>
        <w:t>مَنُوا لِمَ تَقُولُونَ م</w:t>
      </w:r>
      <w:r w:rsidR="00165BB2">
        <w:rPr>
          <w:rStyle w:val="libFootnoteAieChar"/>
          <w:rFonts w:hint="cs"/>
          <w:rtl/>
        </w:rPr>
        <w:t>َ</w:t>
      </w:r>
      <w:r w:rsidR="008A74EB" w:rsidRPr="00883DD5">
        <w:rPr>
          <w:rStyle w:val="libFootnoteAieChar"/>
          <w:rtl/>
        </w:rPr>
        <w:t>ا ل</w:t>
      </w:r>
      <w:r w:rsidR="00165BB2">
        <w:rPr>
          <w:rStyle w:val="libFootnoteAieChar"/>
          <w:rFonts w:hint="cs"/>
          <w:rtl/>
        </w:rPr>
        <w:t>َ</w:t>
      </w:r>
      <w:r w:rsidR="008A74EB" w:rsidRPr="00883DD5">
        <w:rPr>
          <w:rStyle w:val="libFootnoteAieChar"/>
          <w:rtl/>
        </w:rPr>
        <w:t xml:space="preserve">ا تَفْعَلُونَ </w:t>
      </w:r>
      <w:r w:rsidR="00165BB2">
        <w:rPr>
          <w:rStyle w:val="libFootnoteAieChar"/>
          <w:rFonts w:hint="cs"/>
          <w:rtl/>
        </w:rPr>
        <w:t xml:space="preserve">* </w:t>
      </w:r>
      <w:r w:rsidR="008A74EB" w:rsidRPr="00883DD5">
        <w:rPr>
          <w:rStyle w:val="libFootnoteAieChar"/>
          <w:rtl/>
        </w:rPr>
        <w:t>كَبُرَ مَقْتاً عِنْدَ اللهِ أَنْ تَقُولُوا م</w:t>
      </w:r>
      <w:r w:rsidR="00165BB2">
        <w:rPr>
          <w:rStyle w:val="libFootnoteAieChar"/>
          <w:rFonts w:hint="cs"/>
          <w:rtl/>
        </w:rPr>
        <w:t>َ</w:t>
      </w:r>
      <w:r w:rsidR="008A74EB" w:rsidRPr="00883DD5">
        <w:rPr>
          <w:rStyle w:val="libFootnoteAieChar"/>
          <w:rtl/>
        </w:rPr>
        <w:t>ا ل</w:t>
      </w:r>
      <w:r w:rsidR="00165BB2">
        <w:rPr>
          <w:rStyle w:val="libFootnoteAieChar"/>
          <w:rFonts w:hint="cs"/>
          <w:rtl/>
        </w:rPr>
        <w:t>َ</w:t>
      </w:r>
      <w:r w:rsidR="008A74EB" w:rsidRPr="00883DD5">
        <w:rPr>
          <w:rStyle w:val="libFootnoteAieChar"/>
          <w:rtl/>
        </w:rPr>
        <w:t>ا تَفْعَلُونَ</w:t>
      </w:r>
      <w:r w:rsidR="008A74EB" w:rsidRPr="00883DD5">
        <w:rPr>
          <w:rStyle w:val="libFootnoteAieChar"/>
          <w:rFonts w:hint="cs"/>
          <w:rtl/>
        </w:rPr>
        <w:t xml:space="preserve"> </w:t>
      </w:r>
      <w:r w:rsidR="008A74EB" w:rsidRPr="0003660B">
        <w:rPr>
          <w:rStyle w:val="libAlaemChar"/>
          <w:rtl/>
        </w:rPr>
        <w:t>)</w:t>
      </w:r>
      <w:r w:rsidR="008A74EB" w:rsidRPr="00C9040A">
        <w:rPr>
          <w:rtl/>
        </w:rPr>
        <w:t xml:space="preserve"> [ الصفّ (61) : 2</w:t>
      </w:r>
      <w:r w:rsidR="008A74EB">
        <w:rPr>
          <w:rtl/>
        </w:rPr>
        <w:t xml:space="preserve"> </w:t>
      </w:r>
      <w:r w:rsidR="0084262C">
        <w:rPr>
          <w:rtl/>
        </w:rPr>
        <w:t>-</w:t>
      </w:r>
      <w:r w:rsidR="008A74EB">
        <w:rPr>
          <w:rtl/>
        </w:rPr>
        <w:t xml:space="preserve"> </w:t>
      </w:r>
      <w:r w:rsidR="008A74EB" w:rsidRPr="00C9040A">
        <w:rPr>
          <w:rtl/>
        </w:rPr>
        <w:t xml:space="preserve">3 ] وقال عزّوجلّ : </w:t>
      </w:r>
      <w:r w:rsidR="008A74EB" w:rsidRPr="00282A2A">
        <w:rPr>
          <w:rStyle w:val="libFootnoteAlaemChar"/>
          <w:rtl/>
        </w:rPr>
        <w:t>(</w:t>
      </w:r>
      <w:r w:rsidR="008A74EB" w:rsidRPr="00883DD5">
        <w:rPr>
          <w:rStyle w:val="libFootnoteAieChar"/>
          <w:rFonts w:hint="cs"/>
          <w:rtl/>
        </w:rPr>
        <w:t xml:space="preserve"> </w:t>
      </w:r>
      <w:r w:rsidR="008A74EB" w:rsidRPr="00883DD5">
        <w:rPr>
          <w:rStyle w:val="libFootnoteAieChar"/>
          <w:rtl/>
        </w:rPr>
        <w:t>أَتَأْمُرُونَ النّ</w:t>
      </w:r>
      <w:r w:rsidR="00165BB2">
        <w:rPr>
          <w:rStyle w:val="libFootnoteAieChar"/>
          <w:rFonts w:hint="cs"/>
          <w:rtl/>
        </w:rPr>
        <w:t>َ</w:t>
      </w:r>
      <w:r w:rsidR="008A74EB" w:rsidRPr="00883DD5">
        <w:rPr>
          <w:rStyle w:val="libFootnoteAieChar"/>
          <w:rtl/>
        </w:rPr>
        <w:t>اسَ بِالْبِرِّ وَتَنْسَوْنَ أَنْفُسَكُمْ</w:t>
      </w:r>
      <w:r w:rsidR="008A74EB" w:rsidRPr="00883DD5">
        <w:rPr>
          <w:rStyle w:val="libFootnoteAieChar"/>
          <w:rFonts w:hint="cs"/>
          <w:rtl/>
        </w:rPr>
        <w:t xml:space="preserve"> </w:t>
      </w:r>
      <w:r w:rsidR="008A74EB" w:rsidRPr="0003660B">
        <w:rPr>
          <w:rStyle w:val="libAlaemChar"/>
          <w:rtl/>
        </w:rPr>
        <w:t>)</w:t>
      </w:r>
      <w:r w:rsidR="008A74EB" w:rsidRPr="00C9040A">
        <w:rPr>
          <w:rtl/>
        </w:rPr>
        <w:t xml:space="preserve"> [ البقرة </w:t>
      </w:r>
      <w:r w:rsidR="00165BB2">
        <w:rPr>
          <w:rtl/>
        </w:rPr>
        <w:t>(2)</w:t>
      </w:r>
      <w:r w:rsidR="008A74EB" w:rsidRPr="00C9040A">
        <w:rPr>
          <w:rtl/>
        </w:rPr>
        <w:t xml:space="preserve"> : 44 ]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w:t>
      </w:r>
      <w:r w:rsidR="008A74EB" w:rsidRPr="00993B55">
        <w:rPr>
          <w:rStyle w:val="libFootnoteBoldChar"/>
          <w:rtl/>
        </w:rPr>
        <w:t>الأمالي</w:t>
      </w:r>
      <w:r w:rsidR="008A74EB" w:rsidRPr="00165BB2">
        <w:rPr>
          <w:rStyle w:val="libFootnoteBoldChar"/>
          <w:rtl/>
        </w:rPr>
        <w:t xml:space="preserve"> للطوسي</w:t>
      </w:r>
      <w:r w:rsidR="008A74EB" w:rsidRPr="00C9040A">
        <w:rPr>
          <w:rtl/>
        </w:rPr>
        <w:t xml:space="preserve"> ، ص 679 ، المجلس 38 ، ذيل ح 20 ، بسند آخر ؛ </w:t>
      </w:r>
      <w:r w:rsidR="008A74EB" w:rsidRPr="00993B55">
        <w:rPr>
          <w:rStyle w:val="libFootnoteBoldChar"/>
          <w:rtl/>
        </w:rPr>
        <w:t>المحاسن</w:t>
      </w:r>
      <w:r w:rsidR="008A74EB" w:rsidRPr="00C9040A">
        <w:rPr>
          <w:rtl/>
        </w:rPr>
        <w:t xml:space="preserve"> ، ص 120 ، كتاب عقاب الأعمال ، صدر ح 134 ، بسند آخر عن أبي جعفر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تحف العقول</w:t>
      </w:r>
      <w:r w:rsidR="008A74EB" w:rsidRPr="00C9040A">
        <w:rPr>
          <w:rtl/>
        </w:rPr>
        <w:t xml:space="preserve"> ، ص 298 ، عن أبي جعفر </w:t>
      </w:r>
      <w:r w:rsidR="00117575" w:rsidRPr="00117575">
        <w:rPr>
          <w:rStyle w:val="libFootnoteAlaemChar"/>
          <w:rtl/>
        </w:rPr>
        <w:t>عليه‌السلام</w:t>
      </w:r>
      <w:r w:rsidR="008A74EB" w:rsidRPr="00C9040A">
        <w:rPr>
          <w:rtl/>
        </w:rPr>
        <w:t xml:space="preserve"> </w:t>
      </w:r>
      <w:r w:rsidR="00165BB2">
        <w:rPr>
          <w:rFonts w:hint="cs"/>
          <w:rtl/>
        </w:rPr>
        <w:t>.</w:t>
      </w:r>
      <w:r w:rsidR="008A74EB" w:rsidRPr="00993B55">
        <w:rPr>
          <w:rStyle w:val="libFootnoteBoldChar"/>
          <w:rtl/>
        </w:rPr>
        <w:t>الوافي</w:t>
      </w:r>
      <w:r w:rsidR="008A74EB" w:rsidRPr="00C9040A">
        <w:rPr>
          <w:rtl/>
        </w:rPr>
        <w:t xml:space="preserve"> ، ج 5 ، ص 849 ، ح 3125 ؛ </w:t>
      </w:r>
      <w:r w:rsidR="008A74EB" w:rsidRPr="00993B55">
        <w:rPr>
          <w:rStyle w:val="libFootnoteBoldChar"/>
          <w:rtl/>
        </w:rPr>
        <w:t>الوسائل</w:t>
      </w:r>
      <w:r w:rsidR="008A74EB" w:rsidRPr="00C9040A">
        <w:rPr>
          <w:rtl/>
        </w:rPr>
        <w:t xml:space="preserve"> ، ج 15 ، ص 295 ، ح 20555 ؛ </w:t>
      </w:r>
      <w:r w:rsidR="008A74EB" w:rsidRPr="00993B55">
        <w:rPr>
          <w:rStyle w:val="libFootnoteBoldChar"/>
          <w:rtl/>
        </w:rPr>
        <w:t>البحار</w:t>
      </w:r>
      <w:r w:rsidR="008A74EB" w:rsidRPr="00C9040A">
        <w:rPr>
          <w:rtl/>
        </w:rPr>
        <w:t xml:space="preserve"> ، ج 72 ، ص 223 ، ح 1.</w:t>
      </w:r>
    </w:p>
    <w:p w:rsidR="008A74EB" w:rsidRPr="00C9040A" w:rsidRDefault="006C577F" w:rsidP="004A4E41">
      <w:pPr>
        <w:pStyle w:val="libFootnote0"/>
        <w:rPr>
          <w:rtl/>
          <w:lang w:bidi="fa-IR"/>
        </w:rPr>
      </w:pPr>
      <w:r>
        <w:rPr>
          <w:rtl/>
        </w:rPr>
        <w:t>(4).</w:t>
      </w:r>
      <w:r w:rsidR="008A74EB" w:rsidRPr="00C9040A">
        <w:rPr>
          <w:rtl/>
        </w:rPr>
        <w:t xml:space="preserve"> هكذا في النسخ التي قوبلت والوافي. وفي المطبوع : + « إنّ »</w:t>
      </w:r>
      <w:r w:rsidR="008A74EB">
        <w:rPr>
          <w:rtl/>
        </w:rPr>
        <w:t>.</w:t>
      </w:r>
    </w:p>
    <w:tbl>
      <w:tblPr>
        <w:tblStyle w:val="TableGrid"/>
        <w:bidiVisual/>
        <w:tblW w:w="0" w:type="auto"/>
        <w:tblLook w:val="04A0" w:firstRow="1" w:lastRow="0" w:firstColumn="1" w:lastColumn="0" w:noHBand="0" w:noVBand="1"/>
      </w:tblPr>
      <w:tblGrid>
        <w:gridCol w:w="4006"/>
        <w:gridCol w:w="4006"/>
      </w:tblGrid>
      <w:tr w:rsidR="00165BB2" w:rsidTr="00165BB2">
        <w:tc>
          <w:tcPr>
            <w:tcW w:w="4006" w:type="dxa"/>
          </w:tcPr>
          <w:p w:rsidR="00165BB2" w:rsidRDefault="00165BB2" w:rsidP="004A4E41">
            <w:pPr>
              <w:pStyle w:val="libFootnote0"/>
              <w:rPr>
                <w:rtl/>
              </w:rPr>
            </w:pPr>
            <w:r>
              <w:rPr>
                <w:rtl/>
              </w:rPr>
              <w:t>(5).</w:t>
            </w:r>
            <w:r w:rsidRPr="00C9040A">
              <w:rPr>
                <w:rtl/>
              </w:rPr>
              <w:t xml:space="preserve"> في « ب » </w:t>
            </w:r>
            <w:r>
              <w:rPr>
                <w:rtl/>
              </w:rPr>
              <w:t>: -</w:t>
            </w:r>
            <w:r w:rsidRPr="00C9040A">
              <w:rPr>
                <w:rtl/>
              </w:rPr>
              <w:t xml:space="preserve"> « من »</w:t>
            </w:r>
            <w:r>
              <w:rPr>
                <w:rtl/>
              </w:rPr>
              <w:t>.</w:t>
            </w:r>
          </w:p>
        </w:tc>
        <w:tc>
          <w:tcPr>
            <w:tcW w:w="4006" w:type="dxa"/>
          </w:tcPr>
          <w:p w:rsidR="00165BB2" w:rsidRDefault="00165BB2" w:rsidP="004A4E41">
            <w:pPr>
              <w:pStyle w:val="libFootnote0"/>
              <w:rPr>
                <w:rtl/>
              </w:rPr>
            </w:pPr>
            <w:r>
              <w:rPr>
                <w:rtl/>
              </w:rPr>
              <w:t xml:space="preserve">(6). </w:t>
            </w:r>
            <w:r w:rsidRPr="00993B55">
              <w:rPr>
                <w:rStyle w:val="libFootnoteBoldChar"/>
                <w:rtl/>
              </w:rPr>
              <w:t>الوافي</w:t>
            </w:r>
            <w:r w:rsidRPr="00C9040A">
              <w:rPr>
                <w:rtl/>
              </w:rPr>
              <w:t xml:space="preserve"> ، ج 5 ، ص 849 ، ح 3126.</w:t>
            </w:r>
          </w:p>
        </w:tc>
      </w:tr>
      <w:tr w:rsidR="00165BB2" w:rsidTr="00165BB2">
        <w:tc>
          <w:tcPr>
            <w:tcW w:w="4006" w:type="dxa"/>
          </w:tcPr>
          <w:p w:rsidR="00165BB2" w:rsidRDefault="00165BB2" w:rsidP="004A4E41">
            <w:pPr>
              <w:pStyle w:val="libFootnote0"/>
              <w:rPr>
                <w:rtl/>
              </w:rPr>
            </w:pPr>
            <w:r>
              <w:rPr>
                <w:rtl/>
              </w:rPr>
              <w:t>(7).</w:t>
            </w:r>
            <w:r w:rsidRPr="00C9040A">
              <w:rPr>
                <w:rtl/>
              </w:rPr>
              <w:t xml:space="preserve"> في « ص ، </w:t>
            </w:r>
            <w:r>
              <w:rPr>
                <w:rtl/>
              </w:rPr>
              <w:t xml:space="preserve">ه </w:t>
            </w:r>
            <w:r w:rsidRPr="00C9040A">
              <w:rPr>
                <w:rtl/>
              </w:rPr>
              <w:t xml:space="preserve">» </w:t>
            </w:r>
            <w:r>
              <w:rPr>
                <w:rtl/>
              </w:rPr>
              <w:t>: -</w:t>
            </w:r>
            <w:r w:rsidRPr="00C9040A">
              <w:rPr>
                <w:rtl/>
              </w:rPr>
              <w:t xml:space="preserve"> « من »</w:t>
            </w:r>
            <w:r>
              <w:rPr>
                <w:rtl/>
              </w:rPr>
              <w:t>.</w:t>
            </w:r>
          </w:p>
        </w:tc>
        <w:tc>
          <w:tcPr>
            <w:tcW w:w="4006" w:type="dxa"/>
          </w:tcPr>
          <w:p w:rsidR="00165BB2" w:rsidRDefault="00165BB2" w:rsidP="004A4E41">
            <w:pPr>
              <w:pStyle w:val="libFootnote0"/>
              <w:rPr>
                <w:rtl/>
              </w:rPr>
            </w:pPr>
            <w:r>
              <w:rPr>
                <w:rtl/>
              </w:rPr>
              <w:t>(8).</w:t>
            </w:r>
            <w:r w:rsidRPr="00C9040A">
              <w:rPr>
                <w:rtl/>
              </w:rPr>
              <w:t xml:space="preserve"> في « </w:t>
            </w:r>
            <w:r>
              <w:rPr>
                <w:rtl/>
              </w:rPr>
              <w:t xml:space="preserve">ه </w:t>
            </w:r>
            <w:r w:rsidRPr="00C9040A">
              <w:rPr>
                <w:rtl/>
              </w:rPr>
              <w:t>» : « حيرة »</w:t>
            </w:r>
            <w:r>
              <w:rPr>
                <w:rtl/>
              </w:rPr>
              <w:t>.</w:t>
            </w:r>
          </w:p>
        </w:tc>
      </w:tr>
    </w:tbl>
    <w:p w:rsidR="008A74EB" w:rsidRPr="00C9040A" w:rsidRDefault="006C577F" w:rsidP="004A4E41">
      <w:pPr>
        <w:pStyle w:val="libFootnote0"/>
        <w:rPr>
          <w:rtl/>
          <w:lang w:bidi="fa-IR"/>
        </w:rPr>
      </w:pPr>
      <w:r>
        <w:rPr>
          <w:rtl/>
        </w:rPr>
        <w:t>(9).</w:t>
      </w:r>
      <w:r w:rsidR="008A74EB" w:rsidRPr="00C9040A">
        <w:rPr>
          <w:rtl/>
        </w:rPr>
        <w:t xml:space="preserve"> في البحار : « </w:t>
      </w:r>
      <w:r w:rsidR="008A74EB">
        <w:rPr>
          <w:rtl/>
        </w:rPr>
        <w:t>و »</w:t>
      </w:r>
      <w:r w:rsidR="008A74EB" w:rsidRPr="00C9040A">
        <w:rPr>
          <w:rtl/>
        </w:rPr>
        <w:t xml:space="preserve"> بدل « ثمّ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w:t>
      </w:r>
      <w:r w:rsidR="008A74EB" w:rsidRPr="00993B55">
        <w:rPr>
          <w:rStyle w:val="libFootnoteBoldChar"/>
          <w:rtl/>
        </w:rPr>
        <w:t>الزهد</w:t>
      </w:r>
      <w:r w:rsidR="008A74EB" w:rsidRPr="00C9040A">
        <w:rPr>
          <w:rtl/>
        </w:rPr>
        <w:t xml:space="preserve"> ، ص 78 ، ح 39 ، بسنده عن ابن أبي يعفور ؛ </w:t>
      </w:r>
      <w:r w:rsidR="008A74EB" w:rsidRPr="00993B55">
        <w:rPr>
          <w:rStyle w:val="libFootnoteBoldChar"/>
          <w:rtl/>
        </w:rPr>
        <w:t>الأمالي</w:t>
      </w:r>
      <w:r w:rsidR="008A74EB" w:rsidRPr="00165BB2">
        <w:rPr>
          <w:rStyle w:val="libFootnoteBoldChar"/>
          <w:rtl/>
        </w:rPr>
        <w:t xml:space="preserve"> للطوسي</w:t>
      </w:r>
      <w:r w:rsidR="008A74EB" w:rsidRPr="00C9040A">
        <w:rPr>
          <w:rtl/>
        </w:rPr>
        <w:t xml:space="preserve"> ، ص 663 ، المجلس 35 ، ح 30 ، بسنده عن ابن أبي عمير ، عن هشام ، عن ابن أبي يعفور </w:t>
      </w:r>
      <w:r w:rsidR="00165BB2">
        <w:rPr>
          <w:rFonts w:hint="cs"/>
          <w:rtl/>
        </w:rPr>
        <w:t>.</w:t>
      </w:r>
      <w:r w:rsidR="008A74EB" w:rsidRPr="00993B55">
        <w:rPr>
          <w:rStyle w:val="libFootnoteBoldChar"/>
          <w:rtl/>
        </w:rPr>
        <w:t>الوافي</w:t>
      </w:r>
      <w:r w:rsidR="008A74EB" w:rsidRPr="00C9040A">
        <w:rPr>
          <w:rtl/>
        </w:rPr>
        <w:t xml:space="preserve"> ، ج 5 ، ص 849 ، ح 3127 ؛ </w:t>
      </w:r>
      <w:r w:rsidR="008A74EB" w:rsidRPr="00993B55">
        <w:rPr>
          <w:rStyle w:val="libFootnoteBoldChar"/>
          <w:rtl/>
        </w:rPr>
        <w:t>البحار</w:t>
      </w:r>
      <w:r w:rsidR="008A74EB" w:rsidRPr="00C9040A">
        <w:rPr>
          <w:rtl/>
        </w:rPr>
        <w:t xml:space="preserve"> ، ج 72 ، ص 224 ، ح 3.</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عَبْدِ اللهِ بْنِ يَحْيى ، عَنِ ابْنِ مُسْكَانَ ، عَنْ أَبِي بَصِيرٍ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w:t>
      </w:r>
      <w:r w:rsidR="006C577F" w:rsidRPr="006C577F">
        <w:rPr>
          <w:rStyle w:val="libFootnotenumChar"/>
          <w:rtl/>
        </w:rPr>
        <w:t>(1)</w:t>
      </w:r>
      <w:r w:rsidRPr="00C9040A">
        <w:rPr>
          <w:rtl/>
          <w:lang w:bidi="fa-IR"/>
        </w:rPr>
        <w:t xml:space="preserve"> فِي قَوْلِ اللهِ عَزَّ وَجَلَّ : </w:t>
      </w:r>
      <w:r w:rsidRPr="0003660B">
        <w:rPr>
          <w:rStyle w:val="libAlaemChar"/>
          <w:rtl/>
        </w:rPr>
        <w:t>(</w:t>
      </w:r>
      <w:r w:rsidRPr="006A2246">
        <w:rPr>
          <w:rStyle w:val="libAieChar"/>
          <w:rtl/>
        </w:rPr>
        <w:t xml:space="preserve"> فَكُبْكِبُوا فِيها هُمْ وَالْغاوُونَ </w:t>
      </w:r>
      <w:r w:rsidRPr="0003660B">
        <w:rPr>
          <w:rStyle w:val="libAlaemChar"/>
          <w:rtl/>
        </w:rPr>
        <w:t>)</w:t>
      </w:r>
      <w:r w:rsidRPr="00C9040A">
        <w:rPr>
          <w:rtl/>
          <w:lang w:bidi="fa-IR"/>
        </w:rPr>
        <w:t xml:space="preserve"> </w:t>
      </w:r>
      <w:r w:rsidR="006C577F" w:rsidRPr="006C577F">
        <w:rPr>
          <w:rStyle w:val="libFootnotenumChar"/>
          <w:rtl/>
        </w:rPr>
        <w:t>(2)</w:t>
      </w:r>
      <w:r w:rsidRPr="00C9040A">
        <w:rPr>
          <w:rtl/>
          <w:lang w:bidi="fa-IR"/>
        </w:rPr>
        <w:t xml:space="preserve"> قَالَ </w:t>
      </w:r>
      <w:r w:rsidR="006C577F" w:rsidRPr="006C577F">
        <w:rPr>
          <w:rStyle w:val="libFootnotenumChar"/>
          <w:rtl/>
        </w:rPr>
        <w:t>(3)</w:t>
      </w:r>
      <w:r w:rsidRPr="00C9040A">
        <w:rPr>
          <w:rtl/>
          <w:lang w:bidi="fa-IR"/>
        </w:rPr>
        <w:t xml:space="preserve"> : « يَا أَبَا بَصِيرٍ ، هُمْ قَوْمٌ وَصَفُوا عَدْلاً بِأَلْسِنَتِهِمْ ، ثُمَّ خَالَفُوهُ إِلى غَيْرِهِ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BF1FD0">
        <w:rPr>
          <w:rtl/>
        </w:rPr>
        <w:t>2518</w:t>
      </w:r>
      <w:r w:rsidRPr="00261CB0">
        <w:rPr>
          <w:rStyle w:val="libBold2Char"/>
          <w:rtl/>
        </w:rPr>
        <w:t xml:space="preserve"> / 5.</w:t>
      </w:r>
      <w:r w:rsidRPr="00C9040A">
        <w:rPr>
          <w:rtl/>
          <w:lang w:bidi="fa-IR"/>
        </w:rPr>
        <w:t xml:space="preserve"> مُحَمَّدُ بْنُ يَحْيى ، عَنْ أَحْمَدَ بْنِ مُحَمَّدِ بْنِ عِيسى ، عَنِ ابْنِ أَبِي عُمَيْرٍ ، عَنْ عَلِيِّ بْنِ عَطِيَّةَ ، عَنْ خَيْثَمَةَ ، قَالَ :</w:t>
      </w:r>
    </w:p>
    <w:p w:rsidR="008A74EB" w:rsidRPr="00C9040A" w:rsidRDefault="008A74EB" w:rsidP="008A74EB">
      <w:pPr>
        <w:pStyle w:val="libNormal"/>
        <w:rPr>
          <w:rtl/>
          <w:lang w:bidi="fa-IR"/>
        </w:rPr>
      </w:pPr>
      <w:r w:rsidRPr="00C9040A">
        <w:rPr>
          <w:rtl/>
          <w:lang w:bidi="fa-IR"/>
        </w:rPr>
        <w:t xml:space="preserve">قَالَ لِي </w:t>
      </w:r>
      <w:r w:rsidR="006C577F" w:rsidRPr="006C577F">
        <w:rPr>
          <w:rStyle w:val="libFootnotenumChar"/>
          <w:rtl/>
        </w:rPr>
        <w:t>(5)</w:t>
      </w:r>
      <w:r w:rsidRPr="00C9040A">
        <w:rPr>
          <w:rtl/>
          <w:lang w:bidi="fa-IR"/>
        </w:rPr>
        <w:t xml:space="preserve"> أَبُو جَعْفَرٍ </w:t>
      </w:r>
      <w:r w:rsidRPr="0003660B">
        <w:rPr>
          <w:rStyle w:val="libAlaemChar"/>
          <w:rtl/>
        </w:rPr>
        <w:t>عليه‌السلام</w:t>
      </w:r>
      <w:r w:rsidRPr="00C9040A">
        <w:rPr>
          <w:rtl/>
          <w:lang w:bidi="fa-IR"/>
        </w:rPr>
        <w:t xml:space="preserve"> : « أَبْلِغْ شِيعَتَنَا أَنَّهُ لَنْ يُنَالَ </w:t>
      </w:r>
      <w:r w:rsidR="006C577F" w:rsidRPr="006C577F">
        <w:rPr>
          <w:rStyle w:val="libFootnotenumChar"/>
          <w:rtl/>
        </w:rPr>
        <w:t>(6)</w:t>
      </w:r>
      <w:r w:rsidRPr="005B567D">
        <w:rPr>
          <w:rStyle w:val="libFootnotenumChar"/>
          <w:rtl/>
        </w:rPr>
        <w:t xml:space="preserve"> </w:t>
      </w:r>
      <w:r w:rsidR="00165BB2">
        <w:rPr>
          <w:rtl/>
          <w:lang w:bidi="fa-IR"/>
        </w:rPr>
        <w:t>مَا عِنْدَ اللهِ إِل</w:t>
      </w:r>
      <w:r w:rsidR="00165BB2">
        <w:rPr>
          <w:rFonts w:hint="cs"/>
          <w:rtl/>
          <w:lang w:bidi="fa-IR"/>
        </w:rPr>
        <w:t>َّ</w:t>
      </w:r>
      <w:r w:rsidR="00165BB2">
        <w:rPr>
          <w:rtl/>
          <w:lang w:bidi="fa-IR"/>
        </w:rPr>
        <w:t>ا</w:t>
      </w:r>
      <w:r w:rsidRPr="00C9040A">
        <w:rPr>
          <w:rtl/>
          <w:lang w:bidi="fa-IR"/>
        </w:rPr>
        <w:t xml:space="preserve"> بِعَمَلٍ </w:t>
      </w:r>
      <w:r w:rsidR="006C577F" w:rsidRPr="006C577F">
        <w:rPr>
          <w:rStyle w:val="libFootnotenumChar"/>
          <w:rtl/>
        </w:rPr>
        <w:t>(7)</w:t>
      </w:r>
      <w:r w:rsidRPr="00C9040A">
        <w:rPr>
          <w:rtl/>
          <w:lang w:bidi="fa-IR"/>
        </w:rPr>
        <w:t xml:space="preserve"> ، وَأَبْلِغْ شِيعَتَنَا أَنَّ أَعْظَمَ النَّاسِ حَسْرَةً يَوْمَ الْقِيَامَةِ مَنْ وَصَفَ عَدْلاً ، ثُمَّ يُخَالِفُهُ </w:t>
      </w:r>
      <w:r w:rsidR="006C577F" w:rsidRPr="006C577F">
        <w:rPr>
          <w:rStyle w:val="libFootnotenumChar"/>
          <w:rtl/>
        </w:rPr>
        <w:t>(8)</w:t>
      </w:r>
      <w:r w:rsidRPr="00C9040A">
        <w:rPr>
          <w:rtl/>
          <w:lang w:bidi="fa-IR"/>
        </w:rPr>
        <w:t xml:space="preserve"> إِلى غَيْرِهِ »</w:t>
      </w:r>
      <w:r>
        <w:rPr>
          <w:rtl/>
          <w:lang w:bidi="fa-IR"/>
        </w:rPr>
        <w:t>.</w:t>
      </w:r>
      <w:r w:rsidRPr="00C9040A">
        <w:rPr>
          <w:rtl/>
          <w:lang w:bidi="fa-IR"/>
        </w:rPr>
        <w:t xml:space="preserve"> </w:t>
      </w:r>
      <w:r w:rsidR="006C577F" w:rsidRPr="006C577F">
        <w:rPr>
          <w:rStyle w:val="libFootnotenumChar"/>
          <w:rtl/>
        </w:rPr>
        <w:t>(9)</w:t>
      </w:r>
      <w:r w:rsidRPr="00C9040A">
        <w:rPr>
          <w:rtl/>
          <w:lang w:bidi="fa-IR"/>
        </w:rPr>
        <w:t xml:space="preserve"> ‌</w:t>
      </w:r>
    </w:p>
    <w:p w:rsidR="008A74EB" w:rsidRPr="00C9040A" w:rsidRDefault="008A74EB" w:rsidP="008A74EB">
      <w:pPr>
        <w:pStyle w:val="Heading2Center"/>
        <w:rPr>
          <w:rtl/>
          <w:lang w:bidi="fa-IR"/>
        </w:rPr>
      </w:pPr>
      <w:bookmarkStart w:id="370" w:name="_Toc343795711"/>
      <w:bookmarkStart w:id="371" w:name="_Toc459810835"/>
      <w:bookmarkStart w:id="372" w:name="_Toc35348741"/>
      <w:r w:rsidRPr="00C9040A">
        <w:rPr>
          <w:rtl/>
          <w:lang w:bidi="fa-IR"/>
        </w:rPr>
        <w:t>120</w:t>
      </w:r>
      <w:r>
        <w:rPr>
          <w:rtl/>
          <w:lang w:bidi="fa-IR"/>
        </w:rPr>
        <w:t xml:space="preserve"> </w:t>
      </w:r>
      <w:r w:rsidR="0084262C">
        <w:rPr>
          <w:rtl/>
          <w:lang w:bidi="fa-IR"/>
        </w:rPr>
        <w:t>-</w:t>
      </w:r>
      <w:r>
        <w:rPr>
          <w:rtl/>
          <w:lang w:bidi="fa-IR"/>
        </w:rPr>
        <w:t xml:space="preserve"> </w:t>
      </w:r>
      <w:r w:rsidRPr="00C9040A">
        <w:rPr>
          <w:rtl/>
          <w:lang w:bidi="fa-IR"/>
        </w:rPr>
        <w:t xml:space="preserve">بَابُ الْمِرَاءِ وَالْخُصُومَةِ </w:t>
      </w:r>
      <w:r w:rsidR="006C577F" w:rsidRPr="006C577F">
        <w:rPr>
          <w:rStyle w:val="libFootnotenumChar"/>
          <w:rtl/>
        </w:rPr>
        <w:t>(10)</w:t>
      </w:r>
      <w:r>
        <w:rPr>
          <w:rtl/>
        </w:rPr>
        <w:t xml:space="preserve"> </w:t>
      </w:r>
      <w:r w:rsidRPr="00C9040A">
        <w:rPr>
          <w:rtl/>
          <w:lang w:bidi="fa-IR"/>
        </w:rPr>
        <w:t>وَمُعَادَاةِ الرِّجَالِ‌</w:t>
      </w:r>
      <w:bookmarkEnd w:id="370"/>
      <w:bookmarkEnd w:id="371"/>
      <w:bookmarkEnd w:id="372"/>
    </w:p>
    <w:p w:rsidR="008A74EB" w:rsidRPr="00C9040A" w:rsidRDefault="008A74EB" w:rsidP="008A74EB">
      <w:pPr>
        <w:pStyle w:val="libNormal"/>
        <w:rPr>
          <w:rtl/>
          <w:lang w:bidi="fa-IR"/>
        </w:rPr>
      </w:pPr>
      <w:r w:rsidRPr="00BF1FD0">
        <w:rPr>
          <w:rtl/>
        </w:rPr>
        <w:t>2519</w:t>
      </w:r>
      <w:r w:rsidRPr="00261CB0">
        <w:rPr>
          <w:rStyle w:val="libBold2Char"/>
          <w:rtl/>
        </w:rPr>
        <w:t xml:space="preserve"> / 1.</w:t>
      </w:r>
      <w:r w:rsidRPr="00C9040A">
        <w:rPr>
          <w:rtl/>
          <w:lang w:bidi="fa-IR"/>
        </w:rPr>
        <w:t xml:space="preserve"> عَلِيُّ بْنُ إِبْرَاهِيمَ ، عَنْ هَارُونَ بْنِ مُسْلِمٍ ، عَنْ مَسْعَدَةَ بْنِ صَدَقَةَ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w:t>
      </w:r>
      <w:r w:rsidR="006D3162">
        <w:rPr>
          <w:rtl/>
        </w:rPr>
        <w:t xml:space="preserve">ه </w:t>
      </w:r>
      <w:r w:rsidR="008A74EB" w:rsidRPr="00C9040A">
        <w:rPr>
          <w:rtl/>
        </w:rPr>
        <w:t xml:space="preserve">» والوافي </w:t>
      </w:r>
      <w:r w:rsidR="008A74EB">
        <w:rPr>
          <w:rtl/>
        </w:rPr>
        <w:t xml:space="preserve">: </w:t>
      </w:r>
      <w:r w:rsidR="0084262C">
        <w:rPr>
          <w:rtl/>
        </w:rPr>
        <w:t>-</w:t>
      </w:r>
      <w:r w:rsidR="008A74EB" w:rsidRPr="00C9040A">
        <w:rPr>
          <w:rtl/>
        </w:rPr>
        <w:t xml:space="preserve"> « قال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الشعراء (26) : 94.</w:t>
      </w:r>
    </w:p>
    <w:p w:rsidR="008A74EB" w:rsidRPr="00C9040A" w:rsidRDefault="006C577F" w:rsidP="004A4E41">
      <w:pPr>
        <w:pStyle w:val="libFootnote0"/>
        <w:rPr>
          <w:rtl/>
          <w:lang w:bidi="fa-IR"/>
        </w:rPr>
      </w:pPr>
      <w:r>
        <w:rPr>
          <w:rtl/>
        </w:rPr>
        <w:t>(3).</w:t>
      </w:r>
      <w:r w:rsidR="008A74EB" w:rsidRPr="00C9040A">
        <w:rPr>
          <w:rtl/>
        </w:rPr>
        <w:t xml:space="preserve"> في « </w:t>
      </w:r>
      <w:r w:rsidR="006D3162">
        <w:rPr>
          <w:rtl/>
        </w:rPr>
        <w:t xml:space="preserve">ه </w:t>
      </w:r>
      <w:r w:rsidR="008A74EB" w:rsidRPr="00C9040A">
        <w:rPr>
          <w:rtl/>
        </w:rPr>
        <w:t>» والوسائل والزهد ، ح 185 : « فقال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الكافي</w:t>
      </w:r>
      <w:r w:rsidR="008A74EB" w:rsidRPr="00C9040A">
        <w:rPr>
          <w:rtl/>
        </w:rPr>
        <w:t xml:space="preserve"> ، كتاب فضل العلم ، باب لزوم الحجّة على العالم وتشديد الأمر عليه ، ح 127 ؛ </w:t>
      </w:r>
      <w:r w:rsidR="008A74EB" w:rsidRPr="00165BB2">
        <w:rPr>
          <w:rStyle w:val="libFootnoteBoldChar"/>
          <w:rtl/>
        </w:rPr>
        <w:t>و</w:t>
      </w:r>
      <w:r w:rsidR="008A74EB" w:rsidRPr="00993B55">
        <w:rPr>
          <w:rStyle w:val="libFootnoteBoldChar"/>
          <w:rtl/>
        </w:rPr>
        <w:t xml:space="preserve">الزهد </w:t>
      </w:r>
      <w:r w:rsidR="008A74EB" w:rsidRPr="00C9040A">
        <w:rPr>
          <w:rtl/>
        </w:rPr>
        <w:t xml:space="preserve">، ص 137 ، ح 185 ، عن عبدالله بن بحر ، عن ابن مسكان ، مع اختلاف يسير ؛ </w:t>
      </w:r>
      <w:r w:rsidR="008A74EB" w:rsidRPr="00993B55">
        <w:rPr>
          <w:rStyle w:val="libFootnoteBoldChar"/>
          <w:rtl/>
        </w:rPr>
        <w:t>وفيه</w:t>
      </w:r>
      <w:r w:rsidR="008A74EB" w:rsidRPr="00C9040A">
        <w:rPr>
          <w:rtl/>
        </w:rPr>
        <w:t xml:space="preserve"> ، ح 184 ، بسند آخر عن أبي بصير ، عن أبي جعفر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المحاسن</w:t>
      </w:r>
      <w:r w:rsidR="008A74EB" w:rsidRPr="00C9040A">
        <w:rPr>
          <w:rtl/>
        </w:rPr>
        <w:t xml:space="preserve"> ، ص 120 ، كتاب عقاب الأعمال ، ذيل ح 134 ، بسند آخر. </w:t>
      </w:r>
      <w:r w:rsidR="008A74EB" w:rsidRPr="00993B55">
        <w:rPr>
          <w:rStyle w:val="libFootnoteBoldChar"/>
          <w:rtl/>
        </w:rPr>
        <w:t>تفسير القمّي</w:t>
      </w:r>
      <w:r w:rsidR="008A74EB" w:rsidRPr="00C9040A">
        <w:rPr>
          <w:rtl/>
        </w:rPr>
        <w:t xml:space="preserve"> ، ج 2 ، ص 123 ، مرسلاً ؛ </w:t>
      </w:r>
      <w:r w:rsidR="008A74EB" w:rsidRPr="00993B55">
        <w:rPr>
          <w:rStyle w:val="libFootnoteBoldChar"/>
          <w:rtl/>
        </w:rPr>
        <w:t>فقه الرضا</w:t>
      </w:r>
      <w:r w:rsidR="008A74EB" w:rsidRPr="00C9040A">
        <w:rPr>
          <w:rtl/>
        </w:rPr>
        <w:t xml:space="preserve"> </w:t>
      </w:r>
      <w:r w:rsidR="00117575" w:rsidRPr="00117575">
        <w:rPr>
          <w:rStyle w:val="libFootnoteAlaemChar"/>
          <w:rtl/>
        </w:rPr>
        <w:t>عليه‌السلام</w:t>
      </w:r>
      <w:r w:rsidR="008A74EB" w:rsidRPr="00C9040A">
        <w:rPr>
          <w:rtl/>
        </w:rPr>
        <w:t xml:space="preserve"> ، ص 376 ، مع زيادة في آخره ، وفي الثلاثة الأخيرة مع اختلاف يسير </w:t>
      </w:r>
      <w:r w:rsidR="00165BB2">
        <w:rPr>
          <w:rFonts w:hint="cs"/>
          <w:rtl/>
        </w:rPr>
        <w:t>.</w:t>
      </w:r>
      <w:r w:rsidR="008A74EB" w:rsidRPr="00993B55">
        <w:rPr>
          <w:rStyle w:val="libFootnoteBoldChar"/>
          <w:rtl/>
        </w:rPr>
        <w:t>الوافي</w:t>
      </w:r>
      <w:r w:rsidR="008A74EB" w:rsidRPr="00C9040A">
        <w:rPr>
          <w:rtl/>
        </w:rPr>
        <w:t xml:space="preserve"> ، ج 5 ، ص 850 ، ح 3128 ؛ </w:t>
      </w:r>
      <w:r w:rsidR="008A74EB" w:rsidRPr="00993B55">
        <w:rPr>
          <w:rStyle w:val="libFootnoteBoldChar"/>
          <w:rtl/>
        </w:rPr>
        <w:t>الوسائل</w:t>
      </w:r>
      <w:r w:rsidR="008A74EB" w:rsidRPr="00C9040A">
        <w:rPr>
          <w:rtl/>
        </w:rPr>
        <w:t xml:space="preserve"> ، ج 15 ، ص 296 ، ح 20557 ؛ </w:t>
      </w:r>
      <w:r w:rsidR="008A74EB" w:rsidRPr="00993B55">
        <w:rPr>
          <w:rStyle w:val="libFootnoteBoldChar"/>
          <w:rtl/>
        </w:rPr>
        <w:t>البحار</w:t>
      </w:r>
      <w:r w:rsidR="008A74EB" w:rsidRPr="00C9040A">
        <w:rPr>
          <w:rtl/>
        </w:rPr>
        <w:t xml:space="preserve"> ، ج 72 ، ص 224 ، ح 4.</w:t>
      </w:r>
    </w:p>
    <w:tbl>
      <w:tblPr>
        <w:tblStyle w:val="TableGrid"/>
        <w:bidiVisual/>
        <w:tblW w:w="0" w:type="auto"/>
        <w:tblLook w:val="04A0" w:firstRow="1" w:lastRow="0" w:firstColumn="1" w:lastColumn="0" w:noHBand="0" w:noVBand="1"/>
      </w:tblPr>
      <w:tblGrid>
        <w:gridCol w:w="4006"/>
        <w:gridCol w:w="4006"/>
      </w:tblGrid>
      <w:tr w:rsidR="001275A8" w:rsidTr="001275A8">
        <w:tc>
          <w:tcPr>
            <w:tcW w:w="4006" w:type="dxa"/>
          </w:tcPr>
          <w:p w:rsidR="001275A8" w:rsidRDefault="001275A8" w:rsidP="004A4E41">
            <w:pPr>
              <w:pStyle w:val="libFootnote0"/>
              <w:rPr>
                <w:rtl/>
              </w:rPr>
            </w:pPr>
            <w:r>
              <w:rPr>
                <w:rtl/>
              </w:rPr>
              <w:t>(5).</w:t>
            </w:r>
            <w:r w:rsidRPr="00C9040A">
              <w:rPr>
                <w:rtl/>
              </w:rPr>
              <w:t xml:space="preserve"> في « ب » </w:t>
            </w:r>
            <w:r>
              <w:rPr>
                <w:rtl/>
              </w:rPr>
              <w:t>: -</w:t>
            </w:r>
            <w:r w:rsidRPr="00C9040A">
              <w:rPr>
                <w:rtl/>
              </w:rPr>
              <w:t xml:space="preserve"> « لي »</w:t>
            </w:r>
            <w:r>
              <w:rPr>
                <w:rtl/>
              </w:rPr>
              <w:t>.</w:t>
            </w:r>
          </w:p>
        </w:tc>
        <w:tc>
          <w:tcPr>
            <w:tcW w:w="4006" w:type="dxa"/>
          </w:tcPr>
          <w:p w:rsidR="001275A8" w:rsidRDefault="001275A8" w:rsidP="004A4E41">
            <w:pPr>
              <w:pStyle w:val="libFootnote0"/>
              <w:rPr>
                <w:rtl/>
              </w:rPr>
            </w:pPr>
            <w:r>
              <w:rPr>
                <w:rtl/>
              </w:rPr>
              <w:t xml:space="preserve">(6). </w:t>
            </w:r>
            <w:r w:rsidRPr="00C9040A">
              <w:rPr>
                <w:rtl/>
              </w:rPr>
              <w:t xml:space="preserve">في « ج ، </w:t>
            </w:r>
            <w:r>
              <w:rPr>
                <w:rtl/>
              </w:rPr>
              <w:t xml:space="preserve">ه </w:t>
            </w:r>
            <w:r w:rsidRPr="00C9040A">
              <w:rPr>
                <w:rtl/>
              </w:rPr>
              <w:t>، بس » : « لاينال »</w:t>
            </w:r>
            <w:r>
              <w:rPr>
                <w:rtl/>
              </w:rPr>
              <w:t>.</w:t>
            </w:r>
          </w:p>
        </w:tc>
      </w:tr>
      <w:tr w:rsidR="001275A8" w:rsidTr="001275A8">
        <w:tc>
          <w:tcPr>
            <w:tcW w:w="4006" w:type="dxa"/>
          </w:tcPr>
          <w:p w:rsidR="001275A8" w:rsidRDefault="001275A8" w:rsidP="004A4E41">
            <w:pPr>
              <w:pStyle w:val="libFootnote0"/>
              <w:rPr>
                <w:rtl/>
              </w:rPr>
            </w:pPr>
            <w:r>
              <w:rPr>
                <w:rtl/>
              </w:rPr>
              <w:t>(7).</w:t>
            </w:r>
            <w:r w:rsidRPr="00C9040A">
              <w:rPr>
                <w:rtl/>
              </w:rPr>
              <w:t xml:space="preserve"> في « ب » : + « صالح »</w:t>
            </w:r>
            <w:r>
              <w:rPr>
                <w:rtl/>
              </w:rPr>
              <w:t>.</w:t>
            </w:r>
          </w:p>
        </w:tc>
        <w:tc>
          <w:tcPr>
            <w:tcW w:w="4006" w:type="dxa"/>
          </w:tcPr>
          <w:p w:rsidR="001275A8" w:rsidRDefault="001275A8" w:rsidP="004A4E41">
            <w:pPr>
              <w:pStyle w:val="libFootnote0"/>
              <w:rPr>
                <w:rtl/>
              </w:rPr>
            </w:pPr>
            <w:r>
              <w:rPr>
                <w:rtl/>
              </w:rPr>
              <w:t>(8).</w:t>
            </w:r>
            <w:r w:rsidR="006701B6">
              <w:rPr>
                <w:rtl/>
              </w:rPr>
              <w:t xml:space="preserve"> في «ه»والكافي</w:t>
            </w:r>
            <w:r w:rsidRPr="00C9040A">
              <w:rPr>
                <w:rtl/>
              </w:rPr>
              <w:t>، ح 2077 والأمالي : « خالفه »</w:t>
            </w:r>
            <w:r>
              <w:rPr>
                <w:rtl/>
              </w:rPr>
              <w:t>.</w:t>
            </w:r>
          </w:p>
        </w:tc>
      </w:tr>
    </w:tbl>
    <w:p w:rsidR="008A74EB" w:rsidRPr="00C9040A" w:rsidRDefault="006C577F" w:rsidP="00E31D4C">
      <w:pPr>
        <w:pStyle w:val="libFootnote0"/>
        <w:rPr>
          <w:rtl/>
          <w:lang w:bidi="fa-IR"/>
        </w:rPr>
      </w:pPr>
      <w:r>
        <w:rPr>
          <w:rtl/>
        </w:rPr>
        <w:t>(9).</w:t>
      </w:r>
      <w:r w:rsidR="008A74EB" w:rsidRPr="00C9040A">
        <w:rPr>
          <w:rtl/>
        </w:rPr>
        <w:t xml:space="preserve"> </w:t>
      </w:r>
      <w:r w:rsidR="008A74EB" w:rsidRPr="00993B55">
        <w:rPr>
          <w:rStyle w:val="libFootnoteBoldChar"/>
          <w:rtl/>
        </w:rPr>
        <w:t>الكافي</w:t>
      </w:r>
      <w:r w:rsidR="008A74EB" w:rsidRPr="00C9040A">
        <w:rPr>
          <w:rtl/>
        </w:rPr>
        <w:t xml:space="preserve"> ، كتاب الإيمان والكفر ، باب زيارة الإخوان ، ذيل ح 2077 ، بسنده عن عليّ بن النعمان ، عن ابن مسكان ، عن خيثمة. </w:t>
      </w:r>
      <w:r w:rsidR="008A74EB" w:rsidRPr="00993B55">
        <w:rPr>
          <w:rStyle w:val="libFootnoteBoldChar"/>
          <w:rtl/>
        </w:rPr>
        <w:t>الأمالي</w:t>
      </w:r>
      <w:r w:rsidR="008A74EB" w:rsidRPr="00C9040A">
        <w:rPr>
          <w:rtl/>
        </w:rPr>
        <w:t xml:space="preserve"> للطوسي ، ص 370 ، المجلس 13 ، ح 47 ، بسند آخر عن الرضا ، عن آبائه ، عن أبي جعفر </w:t>
      </w:r>
      <w:r w:rsidR="00117575" w:rsidRPr="00117575">
        <w:rPr>
          <w:rStyle w:val="libFootnoteAlaemChar"/>
          <w:rtl/>
        </w:rPr>
        <w:t>عليهم‌السلام</w:t>
      </w:r>
      <w:r w:rsidR="008A74EB" w:rsidRPr="00C9040A">
        <w:rPr>
          <w:rtl/>
        </w:rPr>
        <w:t xml:space="preserve"> ، مع زيادة في آخره ؛ </w:t>
      </w:r>
      <w:r w:rsidR="008A74EB" w:rsidRPr="00993B55">
        <w:rPr>
          <w:rStyle w:val="libFootnoteBoldChar"/>
          <w:rtl/>
        </w:rPr>
        <w:t>قرب الإسناد</w:t>
      </w:r>
      <w:r w:rsidR="008A74EB" w:rsidRPr="00C9040A">
        <w:rPr>
          <w:rtl/>
        </w:rPr>
        <w:t xml:space="preserve"> ، ص 33 ، ح 106 ، بسند آخر عن أبي عبدالله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مصادقة الإخوان</w:t>
      </w:r>
      <w:r w:rsidR="008A74EB" w:rsidRPr="00C9040A">
        <w:rPr>
          <w:rtl/>
        </w:rPr>
        <w:t xml:space="preserve"> ، ص 34 ، ح 6 ، مرسلاً عن خيثمة ، عن أبي عبدالله </w:t>
      </w:r>
      <w:r w:rsidR="006701B6" w:rsidRPr="00117575">
        <w:rPr>
          <w:rStyle w:val="libFootnoteAlaemChar"/>
          <w:rtl/>
        </w:rPr>
        <w:t xml:space="preserve">عليه‌السلام </w:t>
      </w:r>
      <w:r w:rsidR="008A74EB" w:rsidRPr="00C9040A">
        <w:rPr>
          <w:rtl/>
        </w:rPr>
        <w:t>، وفيهما مع زيادة ، وفي الثلاثة الأخيرة مع اختلاف يسير</w:t>
      </w:r>
      <w:r w:rsidR="00E31D4C">
        <w:rPr>
          <w:rFonts w:hint="cs"/>
          <w:rtl/>
        </w:rPr>
        <w:t>.</w:t>
      </w:r>
      <w:r w:rsidR="008A74EB" w:rsidRPr="00993B55">
        <w:rPr>
          <w:rStyle w:val="libFootnoteBoldChar"/>
          <w:rtl/>
        </w:rPr>
        <w:t>الوافي</w:t>
      </w:r>
      <w:r w:rsidR="00E31D4C">
        <w:rPr>
          <w:rtl/>
        </w:rPr>
        <w:t>،ج5،ص850،</w:t>
      </w:r>
      <w:r w:rsidR="008A74EB" w:rsidRPr="00C9040A">
        <w:rPr>
          <w:rtl/>
        </w:rPr>
        <w:t>ح 3129.</w:t>
      </w:r>
      <w:r w:rsidR="00E31D4C">
        <w:rPr>
          <w:rFonts w:hint="cs"/>
          <w:rtl/>
        </w:rPr>
        <w:t xml:space="preserve">  </w:t>
      </w:r>
      <w:r>
        <w:rPr>
          <w:rtl/>
        </w:rPr>
        <w:t>(10).</w:t>
      </w:r>
      <w:r w:rsidR="008A74EB" w:rsidRPr="00C9040A">
        <w:rPr>
          <w:rtl/>
        </w:rPr>
        <w:t xml:space="preserve"> في « </w:t>
      </w:r>
      <w:r w:rsidR="006D3162">
        <w:rPr>
          <w:rtl/>
        </w:rPr>
        <w:t xml:space="preserve">ه </w:t>
      </w:r>
      <w:r w:rsidR="008A74EB" w:rsidRPr="00C9040A">
        <w:rPr>
          <w:rtl/>
        </w:rPr>
        <w:t>» : « والخصومات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أَمِيرُ الْمُؤْمِنِينَ </w:t>
      </w:r>
      <w:r w:rsidRPr="0003660B">
        <w:rPr>
          <w:rStyle w:val="libAlaemChar"/>
          <w:rtl/>
        </w:rPr>
        <w:t>عليه‌السلام</w:t>
      </w:r>
      <w:r w:rsidRPr="00C9040A">
        <w:rPr>
          <w:rtl/>
          <w:lang w:bidi="fa-IR"/>
        </w:rPr>
        <w:t xml:space="preserve"> : إِيَّاكُمْ وَالْمِرَاءَ </w:t>
      </w:r>
      <w:r w:rsidR="006C577F" w:rsidRPr="006C577F">
        <w:rPr>
          <w:rStyle w:val="libFootnotenumChar"/>
          <w:rtl/>
        </w:rPr>
        <w:t>(1)</w:t>
      </w:r>
      <w:r w:rsidRPr="00C9040A">
        <w:rPr>
          <w:rtl/>
          <w:lang w:bidi="fa-IR"/>
        </w:rPr>
        <w:t xml:space="preserve"> وَالْخُصُومَةَ ؛ فَإِنَّهُمَا يُمْرِضَانِ </w:t>
      </w:r>
      <w:r w:rsidR="006C577F" w:rsidRPr="006C577F">
        <w:rPr>
          <w:rStyle w:val="libFootnotenumChar"/>
          <w:rtl/>
        </w:rPr>
        <w:t>(2)</w:t>
      </w:r>
      <w:r w:rsidRPr="00C9040A">
        <w:rPr>
          <w:rtl/>
          <w:lang w:bidi="fa-IR"/>
        </w:rPr>
        <w:t xml:space="preserve"> الْقُلُوبَ عَلَى الْإِخْوَانِ ، وَيَنْبُتُ عَلَيْهِمَا </w:t>
      </w:r>
      <w:r w:rsidR="006C577F" w:rsidRPr="006C577F">
        <w:rPr>
          <w:rStyle w:val="libFootnotenumChar"/>
          <w:rtl/>
        </w:rPr>
        <w:t>(3)</w:t>
      </w:r>
      <w:r w:rsidRPr="00C9040A">
        <w:rPr>
          <w:rtl/>
          <w:lang w:bidi="fa-IR"/>
        </w:rPr>
        <w:t xml:space="preserve"> النِّفَاقُ »</w:t>
      </w:r>
      <w:r>
        <w:rPr>
          <w:rtl/>
          <w:lang w:bidi="fa-IR"/>
        </w:rPr>
        <w:t>.</w:t>
      </w:r>
      <w:r w:rsidRPr="00C9040A">
        <w:rPr>
          <w:rtl/>
          <w:lang w:bidi="fa-IR"/>
        </w:rPr>
        <w:t xml:space="preserve"> </w:t>
      </w:r>
      <w:r w:rsidR="006C577F" w:rsidRPr="006C577F">
        <w:rPr>
          <w:rStyle w:val="libFootnotenumChar"/>
          <w:rtl/>
        </w:rPr>
        <w:t>(4)</w:t>
      </w:r>
    </w:p>
    <w:p w:rsidR="008A74EB" w:rsidRPr="00C9040A" w:rsidRDefault="008A74EB" w:rsidP="008A74EB">
      <w:pPr>
        <w:pStyle w:val="libNormal"/>
        <w:rPr>
          <w:rtl/>
          <w:lang w:bidi="fa-IR"/>
        </w:rPr>
      </w:pPr>
      <w:r w:rsidRPr="00BF1FD0">
        <w:rPr>
          <w:rtl/>
        </w:rPr>
        <w:t>2520</w:t>
      </w:r>
      <w:r w:rsidRPr="00261CB0">
        <w:rPr>
          <w:rStyle w:val="libBold2Char"/>
          <w:rtl/>
        </w:rPr>
        <w:t xml:space="preserve"> / 2.</w:t>
      </w:r>
      <w:r w:rsidRPr="00C9040A">
        <w:rPr>
          <w:rtl/>
          <w:lang w:bidi="fa-IR"/>
        </w:rPr>
        <w:t xml:space="preserve"> وَبِإِسْنَادِهِ </w:t>
      </w:r>
      <w:r w:rsidR="006C577F" w:rsidRPr="006C577F">
        <w:rPr>
          <w:rStyle w:val="libFootnotenumChar"/>
          <w:rtl/>
        </w:rPr>
        <w:t>(5)</w:t>
      </w:r>
      <w:r w:rsidRPr="00C9040A">
        <w:rPr>
          <w:rtl/>
          <w:lang w:bidi="fa-IR"/>
        </w:rPr>
        <w:t xml:space="preserve"> ، قَالَ :</w:t>
      </w:r>
    </w:p>
    <w:p w:rsidR="008A74EB" w:rsidRPr="00C9040A" w:rsidRDefault="008A74EB" w:rsidP="008A74EB">
      <w:pPr>
        <w:pStyle w:val="libNormal"/>
        <w:rPr>
          <w:rtl/>
          <w:lang w:bidi="fa-IR"/>
        </w:rPr>
      </w:pPr>
      <w:r w:rsidRPr="00C9040A">
        <w:rPr>
          <w:rtl/>
          <w:lang w:bidi="fa-IR"/>
        </w:rPr>
        <w:t xml:space="preserve">« قَالَ النَّبِيُّ </w:t>
      </w:r>
      <w:r w:rsidR="004A4E41" w:rsidRPr="004A4E41">
        <w:rPr>
          <w:rStyle w:val="libAlaemChar"/>
          <w:rtl/>
        </w:rPr>
        <w:t>صلى‌الله‌عليه‌وآله</w:t>
      </w:r>
      <w:r w:rsidRPr="00C9040A">
        <w:rPr>
          <w:rtl/>
          <w:lang w:bidi="fa-IR"/>
        </w:rPr>
        <w:t xml:space="preserve"> : ثَلَاثٌ مَنْ لَقِيَ </w:t>
      </w:r>
      <w:r w:rsidR="006C577F" w:rsidRPr="006C577F">
        <w:rPr>
          <w:rStyle w:val="libFootnotenumChar"/>
          <w:rtl/>
        </w:rPr>
        <w:t>(6)</w:t>
      </w:r>
      <w:r w:rsidRPr="005B567D">
        <w:rPr>
          <w:rStyle w:val="libFootnotenumChar"/>
          <w:rtl/>
        </w:rPr>
        <w:t xml:space="preserve"> </w:t>
      </w:r>
      <w:r w:rsidRPr="00C9040A">
        <w:rPr>
          <w:rtl/>
          <w:lang w:bidi="fa-IR"/>
        </w:rPr>
        <w:t>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بِهِنَّ دَخَلَ الْجَنَّةَ مِنْ أَيِّ بَابٍ شَاءَ :</w:t>
      </w:r>
      <w:r>
        <w:rPr>
          <w:rFonts w:hint="cs"/>
          <w:rtl/>
          <w:lang w:bidi="fa-IR"/>
        </w:rPr>
        <w:t xml:space="preserve"> </w:t>
      </w:r>
      <w:r w:rsidRPr="00C9040A">
        <w:rPr>
          <w:rtl/>
          <w:lang w:bidi="fa-IR"/>
        </w:rPr>
        <w:t xml:space="preserve">مَنْ حَسُنَ </w:t>
      </w:r>
      <w:r w:rsidR="006C577F" w:rsidRPr="006C577F">
        <w:rPr>
          <w:rStyle w:val="libFootnotenumChar"/>
          <w:rtl/>
        </w:rPr>
        <w:t>(7)</w:t>
      </w:r>
      <w:r w:rsidRPr="00C9040A">
        <w:rPr>
          <w:rtl/>
          <w:lang w:bidi="fa-IR"/>
        </w:rPr>
        <w:t xml:space="preserve"> خُلُقُهُ ، وَخَشِيَ اللهَ فِي الْمَغِيبِ وَالْمَحْضَرِ ، وَتَرَكَ الْمِرَاءَ وَإِنْ كَانَ مُحِقّاً »</w:t>
      </w:r>
      <w:r>
        <w:rPr>
          <w:rtl/>
          <w:lang w:bidi="fa-IR"/>
        </w:rPr>
        <w:t>.</w:t>
      </w:r>
      <w:r w:rsidRPr="00C9040A">
        <w:rPr>
          <w:rtl/>
          <w:lang w:bidi="fa-IR"/>
        </w:rPr>
        <w:t xml:space="preserve"> </w:t>
      </w:r>
      <w:r w:rsidR="006C577F" w:rsidRPr="006C577F">
        <w:rPr>
          <w:rStyle w:val="libFootnotenumChar"/>
          <w:rtl/>
        </w:rPr>
        <w:t>(8)</w:t>
      </w:r>
    </w:p>
    <w:p w:rsidR="008A74EB" w:rsidRPr="00C9040A" w:rsidRDefault="008A74EB" w:rsidP="008A74EB">
      <w:pPr>
        <w:pStyle w:val="libNormal"/>
        <w:rPr>
          <w:rtl/>
          <w:lang w:bidi="fa-IR"/>
        </w:rPr>
      </w:pPr>
      <w:r w:rsidRPr="00BF1FD0">
        <w:rPr>
          <w:rtl/>
        </w:rPr>
        <w:t>2521</w:t>
      </w:r>
      <w:r w:rsidRPr="00261CB0">
        <w:rPr>
          <w:rStyle w:val="libBold2Char"/>
          <w:rtl/>
        </w:rPr>
        <w:t xml:space="preserve"> / 3.</w:t>
      </w:r>
      <w:r w:rsidRPr="00C9040A">
        <w:rPr>
          <w:rtl/>
          <w:lang w:bidi="fa-IR"/>
        </w:rPr>
        <w:t xml:space="preserve"> وَبِإِسْنَادِهِ ، قَالَ </w:t>
      </w:r>
      <w:r w:rsidR="006C577F" w:rsidRPr="006C577F">
        <w:rPr>
          <w:rStyle w:val="libFootnotenumChar"/>
          <w:rtl/>
        </w:rPr>
        <w:t>(9)</w:t>
      </w:r>
      <w:r w:rsidRPr="00C9040A">
        <w:rPr>
          <w:rtl/>
          <w:lang w:bidi="fa-IR"/>
        </w:rPr>
        <w:t xml:space="preserve"> :</w:t>
      </w:r>
    </w:p>
    <w:p w:rsidR="008A74EB" w:rsidRPr="00C9040A" w:rsidRDefault="008A74EB" w:rsidP="008A74EB">
      <w:pPr>
        <w:pStyle w:val="libNormal"/>
        <w:rPr>
          <w:rtl/>
          <w:lang w:bidi="fa-IR"/>
        </w:rPr>
      </w:pPr>
      <w:r w:rsidRPr="00C9040A">
        <w:rPr>
          <w:rtl/>
          <w:lang w:bidi="fa-IR"/>
        </w:rPr>
        <w:t xml:space="preserve">« مَنْ نَصَبَ اللهَ غَرَضاً </w:t>
      </w:r>
      <w:r w:rsidR="006C577F" w:rsidRPr="006C577F">
        <w:rPr>
          <w:rStyle w:val="libFootnotenumChar"/>
          <w:rtl/>
        </w:rPr>
        <w:t>(10)</w:t>
      </w:r>
      <w:r w:rsidRPr="00C9040A">
        <w:rPr>
          <w:rtl/>
          <w:lang w:bidi="fa-IR"/>
        </w:rPr>
        <w:t xml:space="preserve"> لِلْخُصُومَاتِ ، أَوْشَكَ </w:t>
      </w:r>
      <w:r w:rsidR="006C577F" w:rsidRPr="006C577F">
        <w:rPr>
          <w:rStyle w:val="libFootnotenumChar"/>
          <w:rtl/>
        </w:rPr>
        <w:t>(11)</w:t>
      </w:r>
      <w:r w:rsidRPr="00C9040A">
        <w:rPr>
          <w:rtl/>
          <w:lang w:bidi="fa-IR"/>
        </w:rPr>
        <w:t xml:space="preserve"> أَنْ يُكْثِرَ الِانْتِقَالَ </w:t>
      </w:r>
      <w:r w:rsidR="006C577F" w:rsidRPr="006C577F">
        <w:rPr>
          <w:rStyle w:val="libFootnotenumChar"/>
          <w:rtl/>
        </w:rPr>
        <w:t>(12)</w:t>
      </w:r>
      <w:r w:rsidRPr="00C9040A">
        <w:rPr>
          <w:rtl/>
          <w:lang w:bidi="fa-IR"/>
        </w:rPr>
        <w:t xml:space="preserve"> »</w:t>
      </w:r>
      <w:r>
        <w:rPr>
          <w:rtl/>
          <w:lang w:bidi="fa-IR"/>
        </w:rPr>
        <w:t>.</w:t>
      </w:r>
      <w:r w:rsidRPr="00C9040A">
        <w:rPr>
          <w:rtl/>
          <w:lang w:bidi="fa-IR"/>
        </w:rPr>
        <w:t xml:space="preserve"> </w:t>
      </w:r>
      <w:r w:rsidRPr="005B567D">
        <w:rPr>
          <w:rStyle w:val="libFootnotenumChar"/>
          <w:rtl/>
        </w:rPr>
        <w:t>(13)</w:t>
      </w:r>
      <w:r w:rsidRPr="00C9040A">
        <w:rPr>
          <w:rtl/>
          <w:lang w:bidi="fa-IR"/>
        </w:rPr>
        <w:t xml:space="preserve"> ‌</w:t>
      </w:r>
    </w:p>
    <w:p w:rsidR="008A74EB" w:rsidRPr="00C9040A" w:rsidRDefault="008A74EB" w:rsidP="008A74EB">
      <w:pPr>
        <w:pStyle w:val="libNormal"/>
        <w:rPr>
          <w:rtl/>
          <w:lang w:bidi="fa-IR"/>
        </w:rPr>
      </w:pPr>
      <w:r w:rsidRPr="00BF1FD0">
        <w:rPr>
          <w:rtl/>
        </w:rPr>
        <w:t>2522</w:t>
      </w:r>
      <w:r w:rsidRPr="00261CB0">
        <w:rPr>
          <w:rStyle w:val="libBold2Char"/>
          <w:rtl/>
        </w:rPr>
        <w:t xml:space="preserve"> / 4.</w:t>
      </w:r>
      <w:r w:rsidRPr="00C9040A">
        <w:rPr>
          <w:rtl/>
          <w:lang w:bidi="fa-IR"/>
        </w:rPr>
        <w:t xml:space="preserve"> عَلِيُّ بْنُ إِبْرَاهِيمَ ، عَنْ صَالِحِ </w:t>
      </w:r>
      <w:r w:rsidRPr="005B567D">
        <w:rPr>
          <w:rStyle w:val="libFootnotenumChar"/>
          <w:rtl/>
        </w:rPr>
        <w:t>(14)</w:t>
      </w:r>
      <w:r w:rsidRPr="00C9040A">
        <w:rPr>
          <w:rtl/>
          <w:lang w:bidi="fa-IR"/>
        </w:rPr>
        <w:t xml:space="preserve"> بْنِ السِّنْدِيِّ ، عَنْ جَعْفَرِ بْنِ بَشِيرٍ ، عَنْ عَمَّارِ بْنِ‌</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ماريتُه ا</w:t>
      </w:r>
      <w:r w:rsidR="00AF0752">
        <w:rPr>
          <w:rFonts w:hint="cs"/>
          <w:rtl/>
        </w:rPr>
        <w:t>ُ</w:t>
      </w:r>
      <w:r w:rsidR="008A74EB" w:rsidRPr="00C9040A">
        <w:rPr>
          <w:rtl/>
        </w:rPr>
        <w:t xml:space="preserve">ماريه مماراةً ومِراءً : جادلته. </w:t>
      </w:r>
      <w:r w:rsidR="008A74EB" w:rsidRPr="00993B55">
        <w:rPr>
          <w:rStyle w:val="libFootnoteBoldChar"/>
          <w:rtl/>
        </w:rPr>
        <w:t>المصباح المنير</w:t>
      </w:r>
      <w:r w:rsidR="008A74EB" w:rsidRPr="00C9040A">
        <w:rPr>
          <w:rtl/>
        </w:rPr>
        <w:t xml:space="preserve"> ، ص 570 ( مرى )</w:t>
      </w:r>
      <w:r w:rsidR="008A74EB">
        <w:rPr>
          <w:rtl/>
        </w:rPr>
        <w:t>.</w:t>
      </w:r>
      <w:r w:rsidR="008A74EB" w:rsidRPr="00C9040A">
        <w:rPr>
          <w:rtl/>
        </w:rPr>
        <w:t xml:space="preserve"> وفي الوافي : « المراء : الجدال‌والاعتراض على كلام الغير من غير غرض ديني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w:t>
      </w:r>
      <w:r w:rsidR="006D3162">
        <w:rPr>
          <w:rtl/>
        </w:rPr>
        <w:t xml:space="preserve">ه </w:t>
      </w:r>
      <w:r w:rsidR="008A74EB" w:rsidRPr="00C9040A">
        <w:rPr>
          <w:rtl/>
        </w:rPr>
        <w:t>» : « تمرضان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بس ، بف » وحاشية « ج ، د » : « عليها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الوافي</w:t>
      </w:r>
      <w:r w:rsidR="008A74EB" w:rsidRPr="00C9040A">
        <w:rPr>
          <w:rtl/>
        </w:rPr>
        <w:t xml:space="preserve"> ، ج 5 ، ص 939 ، ح 3317 ؛ </w:t>
      </w:r>
      <w:r w:rsidR="008A74EB" w:rsidRPr="00993B55">
        <w:rPr>
          <w:rStyle w:val="libFootnoteBoldChar"/>
          <w:rtl/>
        </w:rPr>
        <w:t>الوسائل</w:t>
      </w:r>
      <w:r w:rsidR="008A74EB" w:rsidRPr="00C9040A">
        <w:rPr>
          <w:rtl/>
        </w:rPr>
        <w:t xml:space="preserve"> ، ج 12 ، ص 236 ، ح 16180 ؛ </w:t>
      </w:r>
      <w:r w:rsidR="008A74EB" w:rsidRPr="00993B55">
        <w:rPr>
          <w:rStyle w:val="libFootnoteBoldChar"/>
          <w:rtl/>
        </w:rPr>
        <w:t>البحار</w:t>
      </w:r>
      <w:r w:rsidR="008A74EB" w:rsidRPr="00C9040A">
        <w:rPr>
          <w:rtl/>
        </w:rPr>
        <w:t xml:space="preserve"> ، ج 73 ، ص 399 ، ح 5.</w:t>
      </w:r>
    </w:p>
    <w:p w:rsidR="008A74EB" w:rsidRPr="00C9040A" w:rsidRDefault="006C577F" w:rsidP="004A4E41">
      <w:pPr>
        <w:pStyle w:val="libFootnote0"/>
        <w:rPr>
          <w:rtl/>
          <w:lang w:bidi="fa-IR"/>
        </w:rPr>
      </w:pPr>
      <w:r>
        <w:rPr>
          <w:rtl/>
        </w:rPr>
        <w:t>(5).</w:t>
      </w:r>
      <w:r w:rsidR="008A74EB" w:rsidRPr="00C9040A">
        <w:rPr>
          <w:rtl/>
        </w:rPr>
        <w:t xml:space="preserve"> المراد من « بإسناده » هو الطريق المذكور إلى أمير المؤمنين </w:t>
      </w:r>
      <w:r w:rsidR="00613BD1">
        <w:rPr>
          <w:rStyle w:val="libFootnoteAlaemChar"/>
          <w:rtl/>
        </w:rPr>
        <w:t>عليه‌السلام</w:t>
      </w:r>
      <w:r w:rsidR="008A74EB" w:rsidRPr="00C9040A">
        <w:rPr>
          <w:rtl/>
        </w:rPr>
        <w:t xml:space="preserve"> في السند السابق.</w:t>
      </w:r>
    </w:p>
    <w:tbl>
      <w:tblPr>
        <w:tblStyle w:val="TableGrid"/>
        <w:bidiVisual/>
        <w:tblW w:w="0" w:type="auto"/>
        <w:tblLook w:val="04A0" w:firstRow="1" w:lastRow="0" w:firstColumn="1" w:lastColumn="0" w:noHBand="0" w:noVBand="1"/>
      </w:tblPr>
      <w:tblGrid>
        <w:gridCol w:w="4006"/>
        <w:gridCol w:w="4006"/>
      </w:tblGrid>
      <w:tr w:rsidR="00613BD1" w:rsidTr="00613BD1">
        <w:tc>
          <w:tcPr>
            <w:tcW w:w="4006" w:type="dxa"/>
          </w:tcPr>
          <w:p w:rsidR="00613BD1" w:rsidRDefault="00613BD1" w:rsidP="004A4E41">
            <w:pPr>
              <w:pStyle w:val="libFootnote0"/>
              <w:rPr>
                <w:rtl/>
              </w:rPr>
            </w:pPr>
            <w:r>
              <w:rPr>
                <w:rtl/>
              </w:rPr>
              <w:t xml:space="preserve">(6). </w:t>
            </w:r>
            <w:r w:rsidRPr="00C9040A">
              <w:rPr>
                <w:rtl/>
              </w:rPr>
              <w:t>في « ص » : « لقيه »</w:t>
            </w:r>
            <w:r>
              <w:rPr>
                <w:rtl/>
              </w:rPr>
              <w:t>.</w:t>
            </w:r>
          </w:p>
        </w:tc>
        <w:tc>
          <w:tcPr>
            <w:tcW w:w="4006" w:type="dxa"/>
          </w:tcPr>
          <w:p w:rsidR="00613BD1" w:rsidRDefault="00613BD1" w:rsidP="004A4E41">
            <w:pPr>
              <w:pStyle w:val="libFootnote0"/>
              <w:rPr>
                <w:rtl/>
              </w:rPr>
            </w:pPr>
            <w:r>
              <w:rPr>
                <w:rtl/>
              </w:rPr>
              <w:t>(7).</w:t>
            </w:r>
            <w:r w:rsidRPr="00C9040A">
              <w:rPr>
                <w:rtl/>
              </w:rPr>
              <w:t xml:space="preserve"> في « ب » والوافي : « حسّن » بتشديد السين.</w:t>
            </w:r>
          </w:p>
        </w:tc>
      </w:tr>
    </w:tbl>
    <w:p w:rsidR="008A74EB" w:rsidRPr="00C9040A" w:rsidRDefault="006C577F" w:rsidP="004A4E41">
      <w:pPr>
        <w:pStyle w:val="libFootnote0"/>
        <w:rPr>
          <w:rtl/>
          <w:lang w:bidi="fa-IR"/>
        </w:rPr>
      </w:pPr>
      <w:r>
        <w:rPr>
          <w:rtl/>
        </w:rPr>
        <w:t>(8).</w:t>
      </w:r>
      <w:r w:rsidR="008A74EB" w:rsidRPr="00C9040A">
        <w:rPr>
          <w:rtl/>
        </w:rPr>
        <w:t xml:space="preserve"> </w:t>
      </w:r>
      <w:r w:rsidR="008A74EB" w:rsidRPr="00993B55">
        <w:rPr>
          <w:rStyle w:val="libFootnoteBoldChar"/>
          <w:rtl/>
        </w:rPr>
        <w:t>الوافي</w:t>
      </w:r>
      <w:r w:rsidR="008A74EB" w:rsidRPr="00C9040A">
        <w:rPr>
          <w:rtl/>
        </w:rPr>
        <w:t xml:space="preserve"> ، ج 5 ، ص 939 ، ح 3318 ؛ </w:t>
      </w:r>
      <w:r w:rsidR="008A74EB" w:rsidRPr="00993B55">
        <w:rPr>
          <w:rStyle w:val="libFootnoteBoldChar"/>
          <w:rtl/>
        </w:rPr>
        <w:t>الوسائل</w:t>
      </w:r>
      <w:r w:rsidR="008A74EB" w:rsidRPr="00C9040A">
        <w:rPr>
          <w:rtl/>
        </w:rPr>
        <w:t xml:space="preserve"> ، ج 12 ، ص 236 ، ح 16181 ؛ </w:t>
      </w:r>
      <w:r w:rsidR="008A74EB" w:rsidRPr="00993B55">
        <w:rPr>
          <w:rStyle w:val="libFootnoteBoldChar"/>
          <w:rtl/>
        </w:rPr>
        <w:t>البحار</w:t>
      </w:r>
      <w:r w:rsidR="008A74EB" w:rsidRPr="00C9040A">
        <w:rPr>
          <w:rtl/>
        </w:rPr>
        <w:t xml:space="preserve"> ، ج 73 ، ص 399 ، ذيل ح 5.</w:t>
      </w:r>
    </w:p>
    <w:p w:rsidR="008A74EB" w:rsidRPr="00C9040A" w:rsidRDefault="006C577F" w:rsidP="004A4E41">
      <w:pPr>
        <w:pStyle w:val="libFootnote0"/>
        <w:rPr>
          <w:rtl/>
          <w:lang w:bidi="fa-IR"/>
        </w:rPr>
      </w:pPr>
      <w:r>
        <w:rPr>
          <w:rtl/>
        </w:rPr>
        <w:t>(9).</w:t>
      </w:r>
      <w:r w:rsidR="008A74EB" w:rsidRPr="00C9040A">
        <w:rPr>
          <w:rtl/>
        </w:rPr>
        <w:t xml:space="preserve"> الضمير المستتر في « قال » راجع إلى أبي عبدالله </w:t>
      </w:r>
      <w:r w:rsidR="00117575" w:rsidRPr="00117575">
        <w:rPr>
          <w:rStyle w:val="libFootnoteAlaemChar"/>
          <w:rtl/>
        </w:rPr>
        <w:t>عليه‌السلام</w:t>
      </w:r>
      <w:r w:rsidR="008A74EB" w:rsidRPr="00C9040A">
        <w:rPr>
          <w:rtl/>
        </w:rPr>
        <w:t xml:space="preserve"> في سند الحديث 1. والمراد من « بإسناده » هو الطريق المتقدّم إليه في السند السابق.</w:t>
      </w:r>
    </w:p>
    <w:p w:rsidR="008A74EB" w:rsidRPr="00C9040A" w:rsidRDefault="006C577F" w:rsidP="00FD67A7">
      <w:pPr>
        <w:pStyle w:val="libFootnote0"/>
        <w:rPr>
          <w:rtl/>
          <w:lang w:bidi="fa-IR"/>
        </w:rPr>
      </w:pPr>
      <w:r>
        <w:rPr>
          <w:rtl/>
        </w:rPr>
        <w:t>(10).</w:t>
      </w:r>
      <w:r w:rsidR="008A74EB" w:rsidRPr="00C9040A">
        <w:rPr>
          <w:rtl/>
        </w:rPr>
        <w:t xml:space="preserve"> في « بر ، بس » : « عَرَضاً » ، أي جانباً. </w:t>
      </w:r>
      <w:r w:rsidR="008A74EB">
        <w:rPr>
          <w:rtl/>
        </w:rPr>
        <w:t>و «</w:t>
      </w:r>
      <w:r w:rsidR="008A74EB" w:rsidRPr="00C9040A">
        <w:rPr>
          <w:rtl/>
        </w:rPr>
        <w:t xml:space="preserve"> الغَرَض » : الهدف الذي يرمى إليه. والجمع : أغراض. </w:t>
      </w:r>
      <w:r w:rsidR="008A74EB" w:rsidRPr="00993B55">
        <w:rPr>
          <w:rStyle w:val="libFootnoteBoldChar"/>
          <w:rtl/>
        </w:rPr>
        <w:t>المصباح المنير</w:t>
      </w:r>
      <w:r w:rsidR="008A74EB" w:rsidRPr="00C9040A">
        <w:rPr>
          <w:rtl/>
        </w:rPr>
        <w:t xml:space="preserve"> ، ص 445 ( غرض )</w:t>
      </w:r>
      <w:r w:rsidR="008A74EB">
        <w:rPr>
          <w:rtl/>
        </w:rPr>
        <w:t>.</w:t>
      </w:r>
      <w:r w:rsidR="008A74EB" w:rsidRPr="00C9040A">
        <w:rPr>
          <w:rtl/>
        </w:rPr>
        <w:t xml:space="preserve"> والمراد : كثرة المخاصمة في ذات الله سبحانه وصفاته. نهي عن التفكّر فيها ؛ لأنّ العقول قاصرة عن إدراكها ، والجدال في الله والخوض في آيات الله يورثان الشكوك والشبه. راجع : </w:t>
      </w:r>
      <w:r w:rsidR="008A74EB" w:rsidRPr="00993B55">
        <w:rPr>
          <w:rStyle w:val="libFootnoteBoldChar"/>
          <w:rtl/>
        </w:rPr>
        <w:t>الوافي</w:t>
      </w:r>
      <w:r w:rsidR="008A74EB" w:rsidRPr="00C9040A">
        <w:rPr>
          <w:rtl/>
        </w:rPr>
        <w:t xml:space="preserve"> ، ج 5 ، ص 939 ؛ </w:t>
      </w:r>
      <w:r w:rsidR="008A74EB" w:rsidRPr="00993B55">
        <w:rPr>
          <w:rStyle w:val="libFootnoteBoldChar"/>
          <w:rtl/>
        </w:rPr>
        <w:t>مرآة العقول</w:t>
      </w:r>
      <w:r w:rsidR="008A74EB" w:rsidRPr="00C9040A">
        <w:rPr>
          <w:rtl/>
        </w:rPr>
        <w:t xml:space="preserve"> ، ج 10 ، ص 137.</w:t>
      </w:r>
      <w:r w:rsidR="00FD67A7">
        <w:rPr>
          <w:rFonts w:hint="cs"/>
          <w:rtl/>
        </w:rPr>
        <w:t xml:space="preserve">           </w:t>
      </w:r>
      <w:r>
        <w:rPr>
          <w:rtl/>
        </w:rPr>
        <w:t>(11).</w:t>
      </w:r>
      <w:r w:rsidR="008A74EB" w:rsidRPr="00C9040A">
        <w:rPr>
          <w:rtl/>
        </w:rPr>
        <w:t xml:space="preserve"> في حاشية « بف » : « يوشك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في الوافي : + « [ من الحقّ إلى الباطل ] »</w:t>
      </w:r>
      <w:r w:rsidR="008A74EB">
        <w:rPr>
          <w:rtl/>
        </w:rPr>
        <w:t>.</w:t>
      </w:r>
      <w:r w:rsidR="008A74EB" w:rsidRPr="00C9040A">
        <w:rPr>
          <w:rtl/>
        </w:rPr>
        <w:t xml:space="preserve"> والظاهر أنّ هذه الزيادة ليست من الرواية ، بل </w:t>
      </w:r>
      <w:r w:rsidR="00AE0745">
        <w:rPr>
          <w:rtl/>
        </w:rPr>
        <w:t>بيانٌ وتفسيرٌ لما قبله من العل</w:t>
      </w:r>
      <w:r w:rsidR="00AE0745">
        <w:rPr>
          <w:rFonts w:hint="cs"/>
          <w:rtl/>
        </w:rPr>
        <w:t>ّ</w:t>
      </w:r>
      <w:r w:rsidR="00AE0745">
        <w:rPr>
          <w:rtl/>
        </w:rPr>
        <w:t>ا</w:t>
      </w:r>
      <w:r w:rsidR="008A74EB" w:rsidRPr="00C9040A">
        <w:rPr>
          <w:rtl/>
        </w:rPr>
        <w:t>مة الفيض الكاشاني.</w:t>
      </w:r>
    </w:p>
    <w:p w:rsidR="008A74EB" w:rsidRPr="00C9040A" w:rsidRDefault="008A74EB" w:rsidP="004A4E41">
      <w:pPr>
        <w:pStyle w:val="libFootnote0"/>
        <w:rPr>
          <w:rtl/>
          <w:lang w:bidi="fa-IR"/>
        </w:rPr>
      </w:pPr>
      <w:r>
        <w:rPr>
          <w:rtl/>
        </w:rPr>
        <w:t>(13)</w:t>
      </w:r>
      <w:r w:rsidRPr="00C9040A">
        <w:rPr>
          <w:rtl/>
        </w:rPr>
        <w:t xml:space="preserve"> </w:t>
      </w:r>
      <w:r w:rsidRPr="00993B55">
        <w:rPr>
          <w:rStyle w:val="libFootnoteBoldChar"/>
          <w:rtl/>
        </w:rPr>
        <w:t>الوافي</w:t>
      </w:r>
      <w:r w:rsidRPr="00C9040A">
        <w:rPr>
          <w:rtl/>
        </w:rPr>
        <w:t xml:space="preserve"> ، ج 5 ، ص 939 ، ح 3319 ؛ </w:t>
      </w:r>
      <w:r w:rsidRPr="00993B55">
        <w:rPr>
          <w:rStyle w:val="libFootnoteBoldChar"/>
          <w:rtl/>
        </w:rPr>
        <w:t>الوسائل</w:t>
      </w:r>
      <w:r w:rsidRPr="00C9040A">
        <w:rPr>
          <w:rtl/>
        </w:rPr>
        <w:t xml:space="preserve"> ، ج 12 ، ص 236 ، ح 16182 ؛ </w:t>
      </w:r>
      <w:r w:rsidRPr="00993B55">
        <w:rPr>
          <w:rStyle w:val="libFootnoteBoldChar"/>
          <w:rtl/>
        </w:rPr>
        <w:t>البحار</w:t>
      </w:r>
      <w:r w:rsidRPr="00C9040A">
        <w:rPr>
          <w:rtl/>
        </w:rPr>
        <w:t xml:space="preserve"> ، ج 73 ، ص 399 ، ذيل ح 5.</w:t>
      </w:r>
    </w:p>
    <w:p w:rsidR="008A74EB" w:rsidRPr="00C9040A" w:rsidRDefault="008A74EB" w:rsidP="004A4E41">
      <w:pPr>
        <w:pStyle w:val="libFootnote0"/>
        <w:rPr>
          <w:rtl/>
          <w:lang w:bidi="fa-IR"/>
        </w:rPr>
      </w:pPr>
      <w:r>
        <w:rPr>
          <w:rtl/>
        </w:rPr>
        <w:t>(14)</w:t>
      </w:r>
      <w:r w:rsidRPr="00C9040A">
        <w:rPr>
          <w:rtl/>
        </w:rPr>
        <w:t xml:space="preserve"> في « </w:t>
      </w:r>
      <w:r w:rsidR="006D3162">
        <w:rPr>
          <w:rtl/>
        </w:rPr>
        <w:t xml:space="preserve">ه </w:t>
      </w:r>
      <w:r w:rsidRPr="00C9040A">
        <w:rPr>
          <w:rtl/>
        </w:rPr>
        <w:t xml:space="preserve">» </w:t>
      </w:r>
      <w:r>
        <w:rPr>
          <w:rtl/>
        </w:rPr>
        <w:t xml:space="preserve">: </w:t>
      </w:r>
      <w:r w:rsidR="0084262C">
        <w:rPr>
          <w:rtl/>
        </w:rPr>
        <w:t>-</w:t>
      </w:r>
      <w:r w:rsidRPr="00C9040A">
        <w:rPr>
          <w:rtl/>
        </w:rPr>
        <w:t xml:space="preserve"> « صالح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مَرْوَانَ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لَا تُمَارِيَنَّ حَلِيماً </w:t>
      </w:r>
      <w:r w:rsidR="006C577F" w:rsidRPr="006C577F">
        <w:rPr>
          <w:rStyle w:val="libFootnotenumChar"/>
          <w:rtl/>
        </w:rPr>
        <w:t>(1)</w:t>
      </w:r>
      <w:r w:rsidRPr="00C9040A">
        <w:rPr>
          <w:rtl/>
          <w:lang w:bidi="fa-IR"/>
        </w:rPr>
        <w:t xml:space="preserve"> وَلَاسَفِيهاً </w:t>
      </w:r>
      <w:r w:rsidR="006C577F" w:rsidRPr="006C577F">
        <w:rPr>
          <w:rStyle w:val="libFootnotenumChar"/>
          <w:rtl/>
        </w:rPr>
        <w:t>(2)</w:t>
      </w:r>
      <w:r w:rsidRPr="00C9040A">
        <w:rPr>
          <w:rtl/>
          <w:lang w:bidi="fa-IR"/>
        </w:rPr>
        <w:t xml:space="preserve"> ؛ فَإِنَّ الْحَلِيمَ يَقْلِيكَ </w:t>
      </w:r>
      <w:r w:rsidR="006C577F" w:rsidRPr="006C577F">
        <w:rPr>
          <w:rStyle w:val="libFootnotenumChar"/>
          <w:rtl/>
        </w:rPr>
        <w:t>(3)</w:t>
      </w:r>
      <w:r w:rsidRPr="00C9040A">
        <w:rPr>
          <w:rtl/>
          <w:lang w:bidi="fa-IR"/>
        </w:rPr>
        <w:t xml:space="preserve"> ، وَالسَّفِيهَ يُؤْذِيكَ </w:t>
      </w:r>
      <w:r w:rsidR="006C577F" w:rsidRPr="006C577F">
        <w:rPr>
          <w:rStyle w:val="libFootnotenumChar"/>
          <w:rtl/>
        </w:rPr>
        <w:t>(4)</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BF1FD0">
        <w:rPr>
          <w:rtl/>
        </w:rPr>
        <w:t>2523</w:t>
      </w:r>
      <w:r w:rsidRPr="00261CB0">
        <w:rPr>
          <w:rStyle w:val="libBold2Char"/>
          <w:rtl/>
        </w:rPr>
        <w:t xml:space="preserve"> / 5.</w:t>
      </w:r>
      <w:r w:rsidRPr="00C9040A">
        <w:rPr>
          <w:rtl/>
          <w:lang w:bidi="fa-IR"/>
        </w:rPr>
        <w:t xml:space="preserve"> عَلِيٌّ </w:t>
      </w:r>
      <w:r w:rsidR="006C577F" w:rsidRPr="006C577F">
        <w:rPr>
          <w:rStyle w:val="libFootnotenumChar"/>
          <w:rtl/>
        </w:rPr>
        <w:t>(6)</w:t>
      </w:r>
      <w:r w:rsidRPr="005B567D">
        <w:rPr>
          <w:rStyle w:val="libFootnotenumChar"/>
          <w:rtl/>
        </w:rPr>
        <w:t xml:space="preserve"> </w:t>
      </w:r>
      <w:r w:rsidRPr="00C9040A">
        <w:rPr>
          <w:rtl/>
          <w:lang w:bidi="fa-IR"/>
        </w:rPr>
        <w:t>، عَنْ أَبِيهِ ، عَنِ ابْنِ أَبِي عُمَيْرٍ ، عَنِ الْحَسَنِ بْنِ عَطِيَّةَ ، عَنْ عُمَرَ بْنِ يَزِيدَ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مَا كَادَ </w:t>
      </w:r>
      <w:r w:rsidR="006C577F" w:rsidRPr="006C577F">
        <w:rPr>
          <w:rStyle w:val="libFootnotenumChar"/>
          <w:rtl/>
        </w:rPr>
        <w:t>(7)</w:t>
      </w:r>
      <w:r w:rsidRPr="00C9040A">
        <w:rPr>
          <w:rtl/>
          <w:lang w:bidi="fa-IR"/>
        </w:rPr>
        <w:t xml:space="preserve"> جَبْرَئِيلُ </w:t>
      </w:r>
      <w:r w:rsidRPr="0003660B">
        <w:rPr>
          <w:rStyle w:val="libAlaemChar"/>
          <w:rtl/>
        </w:rPr>
        <w:t>عليه‌السلام</w:t>
      </w:r>
      <w:r w:rsidR="006F65B2">
        <w:rPr>
          <w:rtl/>
          <w:lang w:bidi="fa-IR"/>
        </w:rPr>
        <w:t xml:space="preserve"> يَأْتِينِي إِل</w:t>
      </w:r>
      <w:r w:rsidR="006F65B2">
        <w:rPr>
          <w:rFonts w:hint="cs"/>
          <w:rtl/>
          <w:lang w:bidi="fa-IR"/>
        </w:rPr>
        <w:t>َّ</w:t>
      </w:r>
      <w:r w:rsidR="006F65B2">
        <w:rPr>
          <w:rtl/>
          <w:lang w:bidi="fa-IR"/>
        </w:rPr>
        <w:t>ا</w:t>
      </w:r>
      <w:r w:rsidRPr="00C9040A">
        <w:rPr>
          <w:rtl/>
          <w:lang w:bidi="fa-IR"/>
        </w:rPr>
        <w:t xml:space="preserve"> قَالَ :</w:t>
      </w:r>
      <w:r>
        <w:rPr>
          <w:rFonts w:hint="cs"/>
          <w:rtl/>
          <w:lang w:bidi="fa-IR"/>
        </w:rPr>
        <w:t xml:space="preserve"> </w:t>
      </w:r>
      <w:r w:rsidRPr="00C9040A">
        <w:rPr>
          <w:rtl/>
          <w:lang w:bidi="fa-IR"/>
        </w:rPr>
        <w:t xml:space="preserve">يَا مُحَمَّدُ ، اتَّقِ شَحْنَاءَ </w:t>
      </w:r>
      <w:r w:rsidR="006C577F" w:rsidRPr="006C577F">
        <w:rPr>
          <w:rStyle w:val="libFootnotenumChar"/>
          <w:rtl/>
        </w:rPr>
        <w:t>(8)</w:t>
      </w:r>
      <w:r w:rsidRPr="00C9040A">
        <w:rPr>
          <w:rtl/>
          <w:lang w:bidi="fa-IR"/>
        </w:rPr>
        <w:t xml:space="preserve"> الرِّجَالِ وَعَدَاوَتَهُمْ </w:t>
      </w:r>
      <w:r w:rsidR="006C577F" w:rsidRPr="006C577F">
        <w:rPr>
          <w:rStyle w:val="libFootnotenumChar"/>
          <w:rtl/>
        </w:rPr>
        <w:t>(9)</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Normal"/>
        <w:rPr>
          <w:rtl/>
          <w:lang w:bidi="fa-IR"/>
        </w:rPr>
      </w:pPr>
      <w:r w:rsidRPr="00BF1FD0">
        <w:rPr>
          <w:rtl/>
        </w:rPr>
        <w:t>2524</w:t>
      </w:r>
      <w:r w:rsidRPr="00261CB0">
        <w:rPr>
          <w:rStyle w:val="libBold2Char"/>
          <w:rtl/>
        </w:rPr>
        <w:t xml:space="preserve"> / 6.</w:t>
      </w:r>
      <w:r w:rsidRPr="00C9040A">
        <w:rPr>
          <w:rtl/>
          <w:lang w:bidi="fa-IR"/>
        </w:rPr>
        <w:t xml:space="preserve"> عِدَّةٌ مِنْ أَصْحَابِنَا ، عَنْ أَحْمَدَ بْنِ مُحَمَّدٍ ، عَنْ عَلِيِّ بْنِ الْحَكَمِ ، عَنِ الْحَسَنِ بْنِ الْحُسَيْنِ الْكِنْدِيِّ </w:t>
      </w:r>
      <w:r w:rsidR="006C577F" w:rsidRPr="006C577F">
        <w:rPr>
          <w:rStyle w:val="libFootnotenumChar"/>
          <w:rtl/>
        </w:rPr>
        <w:t>(11)</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41C33">
      <w:pPr>
        <w:pStyle w:val="libFootnote0"/>
        <w:rPr>
          <w:rtl/>
          <w:lang w:bidi="fa-IR"/>
        </w:rPr>
      </w:pPr>
      <w:r>
        <w:rPr>
          <w:rtl/>
        </w:rPr>
        <w:t>(1).</w:t>
      </w:r>
      <w:r w:rsidR="008A74EB">
        <w:rPr>
          <w:rtl/>
        </w:rPr>
        <w:t xml:space="preserve"> </w:t>
      </w:r>
      <w:r w:rsidR="008A74EB" w:rsidRPr="00C9040A">
        <w:rPr>
          <w:rtl/>
        </w:rPr>
        <w:t xml:space="preserve">« الحلم » : الأناة والعقل ، وجمعه : أحلام وحلوم. ومنه : </w:t>
      </w:r>
      <w:r w:rsidR="00441C33" w:rsidRPr="00441C33">
        <w:rPr>
          <w:rStyle w:val="libFootnoteAlaemChar"/>
          <w:rFonts w:hint="cs"/>
          <w:rtl/>
        </w:rPr>
        <w:t>(</w:t>
      </w:r>
      <w:r w:rsidR="008A74EB" w:rsidRPr="00441C33">
        <w:rPr>
          <w:rStyle w:val="libFootnoteAieChar"/>
          <w:rtl/>
        </w:rPr>
        <w:t xml:space="preserve"> أَمْ تَأْمُرُهُمْ أَحْل</w:t>
      </w:r>
      <w:r w:rsidR="00441C33" w:rsidRPr="00441C33">
        <w:rPr>
          <w:rStyle w:val="libFootnoteAieChar"/>
          <w:rFonts w:hint="cs"/>
          <w:rtl/>
        </w:rPr>
        <w:t>َ</w:t>
      </w:r>
      <w:r w:rsidR="008A74EB" w:rsidRPr="00441C33">
        <w:rPr>
          <w:rStyle w:val="libFootnoteAieChar"/>
          <w:rtl/>
        </w:rPr>
        <w:t>مُهُم بِه</w:t>
      </w:r>
      <w:r w:rsidR="00441C33" w:rsidRPr="00441C33">
        <w:rPr>
          <w:rStyle w:val="libFootnoteAieChar"/>
          <w:rFonts w:hint="cs"/>
          <w:rtl/>
        </w:rPr>
        <w:t>َ</w:t>
      </w:r>
      <w:r w:rsidR="008A74EB" w:rsidRPr="00441C33">
        <w:rPr>
          <w:rStyle w:val="libFootnoteAieChar"/>
          <w:rtl/>
        </w:rPr>
        <w:t xml:space="preserve">ذَآ </w:t>
      </w:r>
      <w:r w:rsidR="00441C33" w:rsidRPr="00441C33">
        <w:rPr>
          <w:rStyle w:val="libFootnoteAlaemChar"/>
          <w:rFonts w:hint="cs"/>
          <w:rtl/>
        </w:rPr>
        <w:t>)</w:t>
      </w:r>
      <w:r w:rsidR="008A74EB" w:rsidRPr="00C9040A">
        <w:rPr>
          <w:rtl/>
        </w:rPr>
        <w:t xml:space="preserve"> ، وهو حليم ، وجمعه : حُلَماء وأحلام. </w:t>
      </w:r>
      <w:r w:rsidR="008A74EB" w:rsidRPr="00993B55">
        <w:rPr>
          <w:rStyle w:val="libFootnoteBoldChar"/>
          <w:rtl/>
        </w:rPr>
        <w:t>القاموس المحيط</w:t>
      </w:r>
      <w:r w:rsidR="008A74EB" w:rsidRPr="00C9040A">
        <w:rPr>
          <w:rtl/>
        </w:rPr>
        <w:t xml:space="preserve"> ، ج 2 ، ص 1445 ( حلم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 السفيه » : الجاهل. </w:t>
      </w:r>
      <w:r w:rsidR="008A74EB" w:rsidRPr="00993B55">
        <w:rPr>
          <w:rStyle w:val="libFootnoteBoldChar"/>
          <w:rtl/>
        </w:rPr>
        <w:t>النهاية</w:t>
      </w:r>
      <w:r w:rsidR="008A74EB" w:rsidRPr="00C9040A">
        <w:rPr>
          <w:rtl/>
        </w:rPr>
        <w:t xml:space="preserve"> ، ج 2 ، ص 376 ( سفه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w:t>
      </w:r>
      <w:r w:rsidR="006D3162">
        <w:rPr>
          <w:rtl/>
        </w:rPr>
        <w:t xml:space="preserve">ه </w:t>
      </w:r>
      <w:r w:rsidR="008A74EB" w:rsidRPr="00C9040A">
        <w:rPr>
          <w:rtl/>
        </w:rPr>
        <w:t>» وحاشية « بف » وتحف العقول والاختصاص : « يغلبك »</w:t>
      </w:r>
      <w:r w:rsidR="008A74EB">
        <w:rPr>
          <w:rtl/>
        </w:rPr>
        <w:t>.</w:t>
      </w:r>
      <w:r w:rsidR="008A74EB" w:rsidRPr="00C9040A">
        <w:rPr>
          <w:rtl/>
        </w:rPr>
        <w:t xml:space="preserve"> وفي « بس » : « يقلبك »</w:t>
      </w:r>
      <w:r w:rsidR="008A74EB">
        <w:rPr>
          <w:rtl/>
        </w:rPr>
        <w:t>.</w:t>
      </w:r>
      <w:r w:rsidR="008A74EB" w:rsidRPr="00C9040A">
        <w:rPr>
          <w:rtl/>
        </w:rPr>
        <w:t xml:space="preserve"> </w:t>
      </w:r>
      <w:r w:rsidR="008A74EB">
        <w:rPr>
          <w:rtl/>
        </w:rPr>
        <w:t>و «</w:t>
      </w:r>
      <w:r w:rsidR="008A74EB" w:rsidRPr="00C9040A">
        <w:rPr>
          <w:rtl/>
        </w:rPr>
        <w:t xml:space="preserve"> القِلى » : البغض. يقال : قلاه يقليه قِلىً وقَلىً : إذا أبغضه. </w:t>
      </w:r>
      <w:r w:rsidR="008A74EB" w:rsidRPr="00993B55">
        <w:rPr>
          <w:rStyle w:val="libFootnoteBoldChar"/>
          <w:rtl/>
        </w:rPr>
        <w:t>النهاية</w:t>
      </w:r>
      <w:r w:rsidR="008A74EB" w:rsidRPr="00C9040A">
        <w:rPr>
          <w:rtl/>
        </w:rPr>
        <w:t xml:space="preserve"> ، ج 4 ، ص 105 ( قلا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w:t>
      </w:r>
      <w:r w:rsidR="006D3162">
        <w:rPr>
          <w:rtl/>
        </w:rPr>
        <w:t xml:space="preserve">ه </w:t>
      </w:r>
      <w:r w:rsidR="008A74EB" w:rsidRPr="00C9040A">
        <w:rPr>
          <w:rtl/>
        </w:rPr>
        <w:t>» وتحف العقول والاختصاص : « يرديك »</w:t>
      </w:r>
      <w:r w:rsidR="008A74EB">
        <w:rPr>
          <w:rtl/>
        </w:rPr>
        <w:t>.</w:t>
      </w:r>
    </w:p>
    <w:p w:rsidR="008A74EB" w:rsidRPr="00C9040A" w:rsidRDefault="006C577F" w:rsidP="00441C33">
      <w:pPr>
        <w:pStyle w:val="libFootnote0"/>
        <w:rPr>
          <w:rtl/>
          <w:lang w:bidi="fa-IR"/>
        </w:rPr>
      </w:pPr>
      <w:r>
        <w:rPr>
          <w:rtl/>
        </w:rPr>
        <w:t>(5).</w:t>
      </w:r>
      <w:r w:rsidR="008A74EB" w:rsidRPr="00C9040A">
        <w:rPr>
          <w:rtl/>
        </w:rPr>
        <w:t xml:space="preserve"> </w:t>
      </w:r>
      <w:r w:rsidR="008A74EB" w:rsidRPr="00993B55">
        <w:rPr>
          <w:rStyle w:val="libFootnoteBoldChar"/>
          <w:rtl/>
        </w:rPr>
        <w:t>تحف العقول</w:t>
      </w:r>
      <w:r w:rsidR="008A74EB" w:rsidRPr="00C9040A">
        <w:rPr>
          <w:rtl/>
        </w:rPr>
        <w:t xml:space="preserve"> ، ص 379 ؛ </w:t>
      </w:r>
      <w:r w:rsidR="008A74EB" w:rsidRPr="00993B55">
        <w:rPr>
          <w:rStyle w:val="libFootnoteBoldChar"/>
          <w:rtl/>
        </w:rPr>
        <w:t>الاختصاص</w:t>
      </w:r>
      <w:r w:rsidR="008A74EB" w:rsidRPr="00C9040A">
        <w:rPr>
          <w:rtl/>
        </w:rPr>
        <w:t xml:space="preserve"> ، ص 231 ، وفيهما ضمن الحديث مرسلاً</w:t>
      </w:r>
      <w:r w:rsidR="00441C33">
        <w:rPr>
          <w:rFonts w:hint="cs"/>
          <w:rtl/>
        </w:rPr>
        <w:t>.</w:t>
      </w:r>
      <w:r w:rsidR="008A74EB" w:rsidRPr="00993B55">
        <w:rPr>
          <w:rStyle w:val="libFootnoteBoldChar"/>
          <w:rtl/>
        </w:rPr>
        <w:t>الوافي</w:t>
      </w:r>
      <w:r w:rsidR="008A74EB" w:rsidRPr="00C9040A">
        <w:rPr>
          <w:rtl/>
        </w:rPr>
        <w:t xml:space="preserve"> ، ج 5 ، ص 940 ، ح 3320 ؛ </w:t>
      </w:r>
      <w:r w:rsidR="008A74EB" w:rsidRPr="00993B55">
        <w:rPr>
          <w:rStyle w:val="libFootnoteBoldChar"/>
          <w:rtl/>
        </w:rPr>
        <w:t>الوسائل</w:t>
      </w:r>
      <w:r w:rsidR="008A74EB" w:rsidRPr="00C9040A">
        <w:rPr>
          <w:rtl/>
        </w:rPr>
        <w:t xml:space="preserve"> ، ج 12 ، ص 236 ، ح 16183 ؛ </w:t>
      </w:r>
      <w:r w:rsidR="008A74EB" w:rsidRPr="00993B55">
        <w:rPr>
          <w:rStyle w:val="libFootnoteBoldChar"/>
          <w:rtl/>
        </w:rPr>
        <w:t>البحار</w:t>
      </w:r>
      <w:r w:rsidR="008A74EB" w:rsidRPr="00C9040A">
        <w:rPr>
          <w:rtl/>
        </w:rPr>
        <w:t xml:space="preserve"> ، ج 73 ، ص 406 ، ح 8.</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ج » : « عنه »</w:t>
      </w:r>
      <w:r w:rsidR="008A74EB">
        <w:rPr>
          <w:rtl/>
        </w:rPr>
        <w:t>.</w:t>
      </w:r>
      <w:r w:rsidR="008A74EB" w:rsidRPr="00C9040A">
        <w:rPr>
          <w:rtl/>
        </w:rPr>
        <w:t xml:space="preserve"> في « </w:t>
      </w:r>
      <w:r w:rsidR="006D3162">
        <w:rPr>
          <w:rtl/>
        </w:rPr>
        <w:t xml:space="preserve">ه </w:t>
      </w:r>
      <w:r w:rsidR="008A74EB" w:rsidRPr="00C9040A">
        <w:rPr>
          <w:rtl/>
        </w:rPr>
        <w:t>» : + « بن إبراهيم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w:t>
      </w:r>
      <w:r w:rsidR="006D3162">
        <w:rPr>
          <w:rtl/>
        </w:rPr>
        <w:t xml:space="preserve">ه </w:t>
      </w:r>
      <w:r w:rsidR="008A74EB" w:rsidRPr="00C9040A">
        <w:rPr>
          <w:rtl/>
        </w:rPr>
        <w:t>» وحاشية « بر » والوافي : « ما كان »</w:t>
      </w:r>
      <w:r w:rsidR="008A74EB">
        <w:rPr>
          <w:rtl/>
        </w:rPr>
        <w:t>.</w:t>
      </w:r>
      <w:r w:rsidR="008A74EB" w:rsidRPr="00C9040A">
        <w:rPr>
          <w:rtl/>
        </w:rPr>
        <w:t xml:space="preserve"> وجعل في </w:t>
      </w:r>
      <w:r w:rsidR="008A74EB" w:rsidRPr="00993B55">
        <w:rPr>
          <w:rStyle w:val="libFootnoteBoldChar"/>
          <w:rtl/>
        </w:rPr>
        <w:t>مرآة العقول</w:t>
      </w:r>
      <w:r w:rsidR="008A74EB" w:rsidRPr="00C9040A">
        <w:rPr>
          <w:rtl/>
        </w:rPr>
        <w:t xml:space="preserve"> المبالغة في « ما كاد » أكثر من « ما كان »</w:t>
      </w:r>
      <w:r w:rsidR="008A74EB">
        <w:rPr>
          <w:rtl/>
        </w:rPr>
        <w:t>.</w:t>
      </w:r>
      <w:r w:rsidR="008A74EB" w:rsidRPr="00C9040A">
        <w:rPr>
          <w:rtl/>
        </w:rPr>
        <w:t xml:space="preserve"> قال : « وفي الأوّل المبال</w:t>
      </w:r>
      <w:r w:rsidR="00441C33">
        <w:rPr>
          <w:rtl/>
        </w:rPr>
        <w:t>غة أكثر ، أي لم يقرب إتيانه إل</w:t>
      </w:r>
      <w:r w:rsidR="00441C33">
        <w:rPr>
          <w:rFonts w:hint="cs"/>
          <w:rtl/>
        </w:rPr>
        <w:t>ّ</w:t>
      </w:r>
      <w:r w:rsidR="00441C33">
        <w:rPr>
          <w:rtl/>
        </w:rPr>
        <w:t>ا</w:t>
      </w:r>
      <w:r w:rsidR="008A74EB" w:rsidRPr="00C9040A">
        <w:rPr>
          <w:rtl/>
        </w:rPr>
        <w:t xml:space="preserve"> قال »</w:t>
      </w:r>
      <w:r w:rsidR="008A74EB">
        <w:rPr>
          <w:rtl/>
        </w:rPr>
        <w:t>.</w:t>
      </w:r>
    </w:p>
    <w:p w:rsidR="008A74EB" w:rsidRPr="00C9040A" w:rsidRDefault="006C577F" w:rsidP="00441C33">
      <w:pPr>
        <w:pStyle w:val="libFootnote0"/>
        <w:rPr>
          <w:rtl/>
          <w:lang w:bidi="fa-IR"/>
        </w:rPr>
      </w:pPr>
      <w:r>
        <w:rPr>
          <w:rtl/>
        </w:rPr>
        <w:t>(8).</w:t>
      </w:r>
      <w:r w:rsidR="008A74EB" w:rsidRPr="00C9040A">
        <w:rPr>
          <w:rtl/>
        </w:rPr>
        <w:t xml:space="preserve"> « الشحناء » : العَداوة والبغضاء وشَحِنْتُ عليه شَحْناً : حَقَدتُ وأظهرت العداوة. </w:t>
      </w:r>
      <w:r w:rsidR="008A74EB" w:rsidRPr="00993B55">
        <w:rPr>
          <w:rStyle w:val="libFootnoteBoldChar"/>
          <w:rtl/>
        </w:rPr>
        <w:t>المصباح المنير</w:t>
      </w:r>
      <w:r w:rsidR="008A74EB" w:rsidRPr="00C9040A">
        <w:rPr>
          <w:rtl/>
        </w:rPr>
        <w:t xml:space="preserve"> ، ص 306 ( شحن )</w:t>
      </w:r>
      <w:r w:rsidR="008A74EB">
        <w:rPr>
          <w:rtl/>
        </w:rPr>
        <w:t>.</w:t>
      </w:r>
      <w:r w:rsidR="00441C33">
        <w:rPr>
          <w:rFonts w:hint="cs"/>
          <w:rtl/>
        </w:rPr>
        <w:t xml:space="preserve">                                                    </w:t>
      </w:r>
      <w:r>
        <w:rPr>
          <w:rtl/>
        </w:rPr>
        <w:t>(9).</w:t>
      </w:r>
      <w:r w:rsidR="008A74EB" w:rsidRPr="00C9040A">
        <w:rPr>
          <w:rtl/>
        </w:rPr>
        <w:t xml:space="preserve"> في « </w:t>
      </w:r>
      <w:r w:rsidR="006D3162">
        <w:rPr>
          <w:rtl/>
        </w:rPr>
        <w:t xml:space="preserve">ه </w:t>
      </w:r>
      <w:r w:rsidR="008A74EB" w:rsidRPr="00C9040A">
        <w:rPr>
          <w:rtl/>
        </w:rPr>
        <w:t>» : « وعداواتهم »</w:t>
      </w:r>
      <w:r w:rsidR="008A74EB">
        <w:rPr>
          <w:rtl/>
        </w:rPr>
        <w:t>.</w:t>
      </w:r>
    </w:p>
    <w:p w:rsidR="008A74EB" w:rsidRPr="00C9040A" w:rsidRDefault="006C577F" w:rsidP="003B5895">
      <w:pPr>
        <w:pStyle w:val="libFootnote0"/>
        <w:rPr>
          <w:rtl/>
          <w:lang w:bidi="fa-IR"/>
        </w:rPr>
      </w:pPr>
      <w:r>
        <w:rPr>
          <w:rtl/>
        </w:rPr>
        <w:t>(10).</w:t>
      </w:r>
      <w:r w:rsidR="008A74EB" w:rsidRPr="00C9040A">
        <w:rPr>
          <w:rtl/>
        </w:rPr>
        <w:t xml:space="preserve"> سيأتي هذا الحديث بعينه سنداً ومتناً في هذا الباب ، ذيل الرقم 9</w:t>
      </w:r>
      <w:r w:rsidR="003B5895">
        <w:rPr>
          <w:rFonts w:hint="cs"/>
          <w:rtl/>
        </w:rPr>
        <w:t>.</w:t>
      </w:r>
      <w:r w:rsidR="008A74EB" w:rsidRPr="00993B55">
        <w:rPr>
          <w:rStyle w:val="libFootnoteBoldChar"/>
          <w:rtl/>
        </w:rPr>
        <w:t>الوافي</w:t>
      </w:r>
      <w:r w:rsidR="008A74EB" w:rsidRPr="00C9040A">
        <w:rPr>
          <w:rtl/>
        </w:rPr>
        <w:t xml:space="preserve"> ، ج 5 ، ص 940 ، ح 3321 ؛ </w:t>
      </w:r>
      <w:r w:rsidR="008A74EB" w:rsidRPr="00993B55">
        <w:rPr>
          <w:rStyle w:val="libFootnoteBoldChar"/>
          <w:rtl/>
        </w:rPr>
        <w:t>الوسائل</w:t>
      </w:r>
      <w:r w:rsidR="008A74EB" w:rsidRPr="00C9040A">
        <w:rPr>
          <w:rtl/>
        </w:rPr>
        <w:t xml:space="preserve"> ، ج 12 ، ص 238 ، ح 16189 ؛ </w:t>
      </w:r>
      <w:r w:rsidR="008A74EB" w:rsidRPr="00993B55">
        <w:rPr>
          <w:rStyle w:val="libFootnoteBoldChar"/>
          <w:rtl/>
        </w:rPr>
        <w:t>البحار</w:t>
      </w:r>
      <w:r w:rsidR="008A74EB" w:rsidRPr="00C9040A">
        <w:rPr>
          <w:rtl/>
        </w:rPr>
        <w:t xml:space="preserve"> ، ج 73 ، ص 407 ، ح 9.</w:t>
      </w:r>
    </w:p>
    <w:p w:rsidR="008A74EB" w:rsidRPr="00C9040A" w:rsidRDefault="006C577F" w:rsidP="004A4E41">
      <w:pPr>
        <w:pStyle w:val="libFootnote0"/>
        <w:rPr>
          <w:rtl/>
          <w:lang w:bidi="fa-IR"/>
        </w:rPr>
      </w:pPr>
      <w:r>
        <w:rPr>
          <w:rtl/>
        </w:rPr>
        <w:t>(11).</w:t>
      </w:r>
      <w:r w:rsidR="008A74EB" w:rsidRPr="00C9040A">
        <w:rPr>
          <w:rtl/>
        </w:rPr>
        <w:t xml:space="preserve"> في « </w:t>
      </w:r>
      <w:r w:rsidR="006D3162">
        <w:rPr>
          <w:rtl/>
        </w:rPr>
        <w:t xml:space="preserve">ه </w:t>
      </w:r>
      <w:r w:rsidR="008A74EB" w:rsidRPr="00C9040A">
        <w:rPr>
          <w:rtl/>
        </w:rPr>
        <w:t>» : « الحسين بن الحسن الكندي »</w:t>
      </w:r>
      <w:r w:rsidR="008A74EB">
        <w:rPr>
          <w:rtl/>
        </w:rPr>
        <w:t>.</w:t>
      </w:r>
      <w:r w:rsidR="008A74EB" w:rsidRPr="00C9040A">
        <w:rPr>
          <w:rtl/>
        </w:rPr>
        <w:t xml:space="preserve"> هذا ، وقد ترجم النجاشي في رجاله ، ص 46 ، الرقم 95 للحسن بن الحسين بن الحسن الجحدري الكندي. وكذا ذكره الشيخ في رجاله ، ص 180 ، الرقم 2151. وذكر البرقي في </w:t>
      </w:r>
      <w:r w:rsidR="003B5895">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جَبْرَئِيلُ </w:t>
      </w:r>
      <w:r w:rsidRPr="0003660B">
        <w:rPr>
          <w:rStyle w:val="libAlaemChar"/>
          <w:rtl/>
        </w:rPr>
        <w:t>عليه‌السلام</w:t>
      </w:r>
      <w:r w:rsidRPr="00C9040A">
        <w:rPr>
          <w:rtl/>
          <w:lang w:bidi="fa-IR"/>
        </w:rPr>
        <w:t xml:space="preserve"> لِلنَّبِيِّ </w:t>
      </w:r>
      <w:r w:rsidR="004A4E41" w:rsidRPr="004A4E41">
        <w:rPr>
          <w:rStyle w:val="libAlaemChar"/>
          <w:rtl/>
        </w:rPr>
        <w:t>صلى‌الله‌عليه‌وآله</w:t>
      </w:r>
      <w:r w:rsidRPr="00C9040A">
        <w:rPr>
          <w:rtl/>
          <w:lang w:bidi="fa-IR"/>
        </w:rPr>
        <w:t xml:space="preserve"> : إِيَّاكَ وَمُلَاحَاةَ </w:t>
      </w:r>
      <w:r w:rsidR="006C577F" w:rsidRPr="006C577F">
        <w:rPr>
          <w:rStyle w:val="libFootnotenumChar"/>
          <w:rtl/>
        </w:rPr>
        <w:t>(1)</w:t>
      </w:r>
      <w:r w:rsidR="00C822D0">
        <w:rPr>
          <w:rtl/>
          <w:lang w:bidi="fa-IR"/>
        </w:rPr>
        <w:t xml:space="preserve"> الرِّجَالِ</w:t>
      </w:r>
      <w:r w:rsidRPr="00C9040A">
        <w:rPr>
          <w:rtl/>
          <w:lang w:bidi="fa-IR"/>
        </w:rPr>
        <w:t>»</w:t>
      </w:r>
      <w:r>
        <w:rPr>
          <w:rtl/>
          <w:lang w:bidi="fa-IR"/>
        </w:rPr>
        <w:t>.</w:t>
      </w:r>
      <w:r w:rsidR="006C577F" w:rsidRPr="006C577F">
        <w:rPr>
          <w:rStyle w:val="libFootnotenumChar"/>
          <w:rtl/>
        </w:rPr>
        <w:t>(2)</w:t>
      </w:r>
    </w:p>
    <w:p w:rsidR="008A74EB" w:rsidRPr="00C9040A" w:rsidRDefault="008A74EB" w:rsidP="008A74EB">
      <w:pPr>
        <w:pStyle w:val="libNormal"/>
        <w:rPr>
          <w:rtl/>
          <w:lang w:bidi="fa-IR"/>
        </w:rPr>
      </w:pPr>
      <w:r w:rsidRPr="00665877">
        <w:rPr>
          <w:rtl/>
        </w:rPr>
        <w:t>2525</w:t>
      </w:r>
      <w:r w:rsidRPr="00261CB0">
        <w:rPr>
          <w:rStyle w:val="libBold2Char"/>
          <w:rtl/>
        </w:rPr>
        <w:t xml:space="preserve"> / 7.</w:t>
      </w:r>
      <w:r w:rsidRPr="00C9040A">
        <w:rPr>
          <w:rtl/>
          <w:lang w:bidi="fa-IR"/>
        </w:rPr>
        <w:t xml:space="preserve"> عَنْهُ </w:t>
      </w:r>
      <w:r w:rsidR="006C577F" w:rsidRPr="006C577F">
        <w:rPr>
          <w:rStyle w:val="libFootnotenumChar"/>
          <w:rtl/>
        </w:rPr>
        <w:t>(3)</w:t>
      </w:r>
      <w:r w:rsidRPr="00C9040A">
        <w:rPr>
          <w:rtl/>
          <w:lang w:bidi="fa-IR"/>
        </w:rPr>
        <w:t xml:space="preserve"> ، عَنْ عُثْمَانَ بْنِ عِيسى ، عَنْ عَبْدِ الرَّحْمنِ بْنِ سَيَابَةَ :</w:t>
      </w:r>
    </w:p>
    <w:p w:rsidR="008A74EB" w:rsidRPr="00C9040A" w:rsidRDefault="008A74EB" w:rsidP="00C0223E">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إِيَّاكُمْ وَالْمُشَارَّةَ </w:t>
      </w:r>
      <w:r w:rsidR="006C577F" w:rsidRPr="006C577F">
        <w:rPr>
          <w:rStyle w:val="libFootnotenumChar"/>
          <w:rtl/>
        </w:rPr>
        <w:t>(4)</w:t>
      </w:r>
      <w:r w:rsidRPr="00C9040A">
        <w:rPr>
          <w:rtl/>
          <w:lang w:bidi="fa-IR"/>
        </w:rPr>
        <w:t xml:space="preserve"> ، فَإِنَّهَا تُورِثُ الْمَعَرَّةَ </w:t>
      </w:r>
      <w:r w:rsidR="006C577F" w:rsidRPr="006C577F">
        <w:rPr>
          <w:rStyle w:val="libFootnotenumChar"/>
          <w:rtl/>
        </w:rPr>
        <w:t>(5)</w:t>
      </w:r>
      <w:r w:rsidRPr="00C9040A">
        <w:rPr>
          <w:rtl/>
          <w:lang w:bidi="fa-IR"/>
        </w:rPr>
        <w:t xml:space="preserve"> ، وَتُظْهِرُ الْمُعْوِرَةَ</w:t>
      </w:r>
      <w:r w:rsidR="006C577F" w:rsidRPr="006C577F">
        <w:rPr>
          <w:rStyle w:val="libFootnotenumChar"/>
          <w:rtl/>
        </w:rPr>
        <w:t>(6)</w:t>
      </w:r>
      <w:r w:rsidRPr="005B567D">
        <w:rPr>
          <w:rStyle w:val="libFootnotenumChar"/>
          <w:rtl/>
        </w:rPr>
        <w:t xml:space="preserve"> </w:t>
      </w:r>
      <w:r w:rsidRPr="00C9040A">
        <w:rPr>
          <w:rtl/>
          <w:lang w:bidi="fa-IR"/>
        </w:rPr>
        <w:t>»</w:t>
      </w:r>
      <w:r>
        <w:rPr>
          <w:rtl/>
          <w:lang w:bidi="fa-IR"/>
        </w:rPr>
        <w:t>.</w:t>
      </w:r>
      <w:r w:rsidRPr="00C9040A">
        <w:rPr>
          <w:rtl/>
          <w:lang w:bidi="fa-IR"/>
        </w:rPr>
        <w:t xml:space="preserve"> </w:t>
      </w:r>
      <w:r w:rsidR="006C577F" w:rsidRPr="006C577F">
        <w:rPr>
          <w:rStyle w:val="libFootnotenumChar"/>
          <w:rtl/>
        </w:rPr>
        <w:t>(7)</w:t>
      </w:r>
    </w:p>
    <w:p w:rsidR="008A74EB" w:rsidRPr="00C9040A" w:rsidRDefault="008A74EB" w:rsidP="008A74EB">
      <w:pPr>
        <w:pStyle w:val="libNormal"/>
        <w:rPr>
          <w:rtl/>
          <w:lang w:bidi="fa-IR"/>
        </w:rPr>
      </w:pPr>
      <w:r w:rsidRPr="00665877">
        <w:rPr>
          <w:rtl/>
        </w:rPr>
        <w:t>2526</w:t>
      </w:r>
      <w:r w:rsidRPr="00261CB0">
        <w:rPr>
          <w:rStyle w:val="libBold2Char"/>
          <w:rtl/>
        </w:rPr>
        <w:t xml:space="preserve"> / 8.</w:t>
      </w:r>
      <w:r w:rsidRPr="00C9040A">
        <w:rPr>
          <w:rtl/>
          <w:lang w:bidi="fa-IR"/>
        </w:rPr>
        <w:t xml:space="preserve"> مُحَمَّدُ بْنُ يَحْيى ، عَنْ أَحْمَدَ بْنِ مُحَمَّدِ بْنِ عِيسى ، عَنِ ابْنِ مَحْبُوبٍ ، عَنْ عَنْبَسَةَ الْعَابِدِ :</w:t>
      </w:r>
    </w:p>
    <w:p w:rsidR="008A74EB" w:rsidRPr="00C9040A" w:rsidRDefault="008A74EB" w:rsidP="008A74EB">
      <w:pPr>
        <w:pStyle w:val="libLine"/>
        <w:rPr>
          <w:rtl/>
          <w:lang w:bidi="fa-IR"/>
        </w:rPr>
      </w:pPr>
      <w:r w:rsidRPr="00C9040A">
        <w:rPr>
          <w:rtl/>
          <w:lang w:bidi="fa-IR"/>
        </w:rPr>
        <w:t>__________________</w:t>
      </w:r>
    </w:p>
    <w:p w:rsidR="008A74EB" w:rsidRPr="00C9040A" w:rsidRDefault="00FD37A9" w:rsidP="004A4E41">
      <w:pPr>
        <w:pStyle w:val="libFootnote0"/>
        <w:rPr>
          <w:rtl/>
          <w:lang w:bidi="fa-IR"/>
        </w:rPr>
      </w:pPr>
      <w:r>
        <w:rPr>
          <w:rFonts w:hint="cs"/>
          <w:rtl/>
        </w:rPr>
        <w:t xml:space="preserve">= </w:t>
      </w:r>
      <w:r w:rsidR="008A74EB" w:rsidRPr="00C9040A">
        <w:rPr>
          <w:rtl/>
        </w:rPr>
        <w:t>رجاله ، ص 26 ، حسن بن الحسين ، وقال : « كندي »</w:t>
      </w:r>
      <w:r w:rsidR="008A74EB">
        <w:rPr>
          <w:rtl/>
        </w:rPr>
        <w:t>.</w:t>
      </w:r>
      <w:r w:rsidR="008A74EB" w:rsidRPr="00C9040A">
        <w:rPr>
          <w:rtl/>
        </w:rPr>
        <w:t xml:space="preserve"> ثمّ إنّه روى عليّ بن الحكم ، عن الحسين بن الحسن الكندي ، عن أبي عبدالله </w:t>
      </w:r>
      <w:r w:rsidR="00117575" w:rsidRPr="00117575">
        <w:rPr>
          <w:rStyle w:val="libFootnoteAlaemChar"/>
          <w:rtl/>
        </w:rPr>
        <w:t>عليه‌السلام</w:t>
      </w:r>
      <w:r w:rsidR="008A74EB" w:rsidRPr="00C9040A">
        <w:rPr>
          <w:rtl/>
        </w:rPr>
        <w:t xml:space="preserve"> في </w:t>
      </w:r>
      <w:r w:rsidR="008A74EB" w:rsidRPr="00993B55">
        <w:rPr>
          <w:rStyle w:val="libFootnoteBoldChar"/>
          <w:rtl/>
        </w:rPr>
        <w:t>التهذيب</w:t>
      </w:r>
      <w:r w:rsidR="008A74EB" w:rsidRPr="00C9040A">
        <w:rPr>
          <w:rtl/>
        </w:rPr>
        <w:t xml:space="preserve"> ، ج 2 ، ص 122 ، ح 463. واحتمال وقوع التحريف غير منفيّ ؛ والله هو العالم.</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 ملاحاة الرجال » : مقاوَلتهم ومخاصمتهم. يقال : لحيتُ الرجلَ ألحاه لَحْياً : إذا لُقْتَه وعَذَلته. ولا حيته مُلاحاة ولحا : إذا نازعته. </w:t>
      </w:r>
      <w:r w:rsidR="008A74EB" w:rsidRPr="00993B55">
        <w:rPr>
          <w:rStyle w:val="libFootnoteBoldChar"/>
          <w:rtl/>
        </w:rPr>
        <w:t>النهاية</w:t>
      </w:r>
      <w:r w:rsidR="008A74EB" w:rsidRPr="00C9040A">
        <w:rPr>
          <w:rtl/>
        </w:rPr>
        <w:t xml:space="preserve"> ، ج 4 ، ص 243 ( لحا )</w:t>
      </w:r>
      <w:r w:rsidR="008A74EB">
        <w:rPr>
          <w:rtl/>
        </w:rPr>
        <w:t>.</w:t>
      </w:r>
    </w:p>
    <w:p w:rsidR="008A74EB" w:rsidRPr="00C9040A" w:rsidRDefault="006C577F" w:rsidP="00FD37A9">
      <w:pPr>
        <w:pStyle w:val="libFootnote0"/>
        <w:rPr>
          <w:rtl/>
          <w:lang w:bidi="fa-IR"/>
        </w:rPr>
      </w:pPr>
      <w:r>
        <w:rPr>
          <w:rtl/>
        </w:rPr>
        <w:t>(2).</w:t>
      </w:r>
      <w:r w:rsidR="008A74EB">
        <w:rPr>
          <w:rtl/>
        </w:rPr>
        <w:t xml:space="preserve"> </w:t>
      </w:r>
      <w:r w:rsidR="008A74EB" w:rsidRPr="0034021D">
        <w:rPr>
          <w:rStyle w:val="libFootnoteBoldChar"/>
          <w:rtl/>
        </w:rPr>
        <w:t>الأمالي للصدوق</w:t>
      </w:r>
      <w:r w:rsidR="008A74EB" w:rsidRPr="00C9040A">
        <w:rPr>
          <w:rtl/>
        </w:rPr>
        <w:t xml:space="preserve"> ، ص 416 ، المجلس 65 ، ح 1 ، بسند آخر ؛ </w:t>
      </w:r>
      <w:r w:rsidR="008A74EB" w:rsidRPr="0034021D">
        <w:rPr>
          <w:rStyle w:val="libFootnoteBoldChar"/>
          <w:rtl/>
        </w:rPr>
        <w:t>الأمالي للمفيد</w:t>
      </w:r>
      <w:r w:rsidR="008A74EB" w:rsidRPr="00C9040A">
        <w:rPr>
          <w:rtl/>
        </w:rPr>
        <w:t xml:space="preserve"> ، ص 192 ، المجلس 23 ، ح 21 ، بسند آخر عن أبي عبدالله ، عن آبائه </w:t>
      </w:r>
      <w:r w:rsidR="00117575" w:rsidRPr="00117575">
        <w:rPr>
          <w:rStyle w:val="libFootnoteAlaemChar"/>
          <w:rtl/>
        </w:rPr>
        <w:t>عليهم‌السلام</w:t>
      </w:r>
      <w:r w:rsidR="008A74EB" w:rsidRPr="00C9040A">
        <w:rPr>
          <w:rtl/>
        </w:rPr>
        <w:t xml:space="preserve"> عن رسول الله </w:t>
      </w:r>
      <w:r w:rsidR="004A4E41" w:rsidRPr="00FD37A9">
        <w:rPr>
          <w:rStyle w:val="libFootnoteAlaemChar"/>
          <w:rtl/>
        </w:rPr>
        <w:t>صلى‌الله‌عليه‌وآله</w:t>
      </w:r>
      <w:r w:rsidR="008A74EB" w:rsidRPr="00C9040A">
        <w:rPr>
          <w:rtl/>
        </w:rPr>
        <w:t xml:space="preserve"> ؛ </w:t>
      </w:r>
      <w:r w:rsidR="008A74EB" w:rsidRPr="00993B55">
        <w:rPr>
          <w:rStyle w:val="libFootnoteBoldChar"/>
          <w:rtl/>
        </w:rPr>
        <w:t>الأمالي</w:t>
      </w:r>
      <w:r w:rsidR="008A74EB" w:rsidRPr="00C9040A">
        <w:rPr>
          <w:rtl/>
        </w:rPr>
        <w:t xml:space="preserve"> للطوسي ، ص 512 ، المجلس 18 ، ح 26 ، بسند آخر عن أبي جعفر ، عن آبائه </w:t>
      </w:r>
      <w:r w:rsidR="00117575" w:rsidRPr="00117575">
        <w:rPr>
          <w:rStyle w:val="libFootnoteAlaemChar"/>
          <w:rtl/>
        </w:rPr>
        <w:t>عليهم‌السلام</w:t>
      </w:r>
      <w:r w:rsidR="008A74EB" w:rsidRPr="00C9040A">
        <w:rPr>
          <w:rtl/>
        </w:rPr>
        <w:t xml:space="preserve"> عن رسول الله </w:t>
      </w:r>
      <w:r w:rsidR="004A4E41" w:rsidRPr="00FD37A9">
        <w:rPr>
          <w:rStyle w:val="libFootnoteAlaemChar"/>
          <w:rtl/>
        </w:rPr>
        <w:t>صلى‌الله‌عليه‌وآله</w:t>
      </w:r>
      <w:r w:rsidR="008A74EB" w:rsidRPr="00C9040A">
        <w:rPr>
          <w:rtl/>
        </w:rPr>
        <w:t xml:space="preserve"> ، وفي كلّها ضمن الحديث ، مع اختلاف يسير. </w:t>
      </w:r>
      <w:r w:rsidR="008A74EB" w:rsidRPr="00993B55">
        <w:rPr>
          <w:rStyle w:val="libFootnoteBoldChar"/>
          <w:rtl/>
        </w:rPr>
        <w:t>تحف العقول</w:t>
      </w:r>
      <w:r w:rsidR="008A74EB" w:rsidRPr="00C9040A">
        <w:rPr>
          <w:rtl/>
        </w:rPr>
        <w:t xml:space="preserve"> ، ص 42 ، مع اختلاف</w:t>
      </w:r>
      <w:r w:rsidR="00FD37A9">
        <w:rPr>
          <w:rFonts w:hint="cs"/>
          <w:rtl/>
        </w:rPr>
        <w:t>.</w:t>
      </w:r>
      <w:r w:rsidR="008A74EB" w:rsidRPr="00993B55">
        <w:rPr>
          <w:rStyle w:val="libFootnoteBoldChar"/>
          <w:rtl/>
        </w:rPr>
        <w:t>الوافي</w:t>
      </w:r>
      <w:r w:rsidR="008A74EB" w:rsidRPr="00C9040A">
        <w:rPr>
          <w:rtl/>
        </w:rPr>
        <w:t xml:space="preserve"> ، ج 5 ، ص 941 ، ح 3323 ؛ </w:t>
      </w:r>
      <w:r w:rsidR="008A74EB" w:rsidRPr="00993B55">
        <w:rPr>
          <w:rStyle w:val="libFootnoteBoldChar"/>
          <w:rtl/>
        </w:rPr>
        <w:t>الوسائل</w:t>
      </w:r>
      <w:r w:rsidR="008A74EB" w:rsidRPr="00C9040A">
        <w:rPr>
          <w:rtl/>
        </w:rPr>
        <w:t xml:space="preserve"> ، ج 12 ، ص 239 ، ح 16191 ؛ </w:t>
      </w:r>
      <w:r w:rsidR="008A74EB" w:rsidRPr="00993B55">
        <w:rPr>
          <w:rStyle w:val="libFootnoteBoldChar"/>
          <w:rtl/>
        </w:rPr>
        <w:t>البحار</w:t>
      </w:r>
      <w:r w:rsidR="008A74EB" w:rsidRPr="00C9040A">
        <w:rPr>
          <w:rtl/>
        </w:rPr>
        <w:t xml:space="preserve"> ، ج 73 ، ص 407 ، ح 10.</w:t>
      </w:r>
    </w:p>
    <w:p w:rsidR="008A74EB" w:rsidRPr="00C9040A" w:rsidRDefault="006C577F" w:rsidP="004A4E41">
      <w:pPr>
        <w:pStyle w:val="libFootnote0"/>
        <w:rPr>
          <w:rtl/>
          <w:lang w:bidi="fa-IR"/>
        </w:rPr>
      </w:pPr>
      <w:r>
        <w:rPr>
          <w:rtl/>
        </w:rPr>
        <w:t>(3).</w:t>
      </w:r>
      <w:r w:rsidR="008A74EB" w:rsidRPr="00C9040A">
        <w:rPr>
          <w:rtl/>
        </w:rPr>
        <w:t xml:space="preserve"> الضمير راجع إلى أحمد بن محمّد المذكور في السند السابق.</w:t>
      </w:r>
    </w:p>
    <w:p w:rsidR="008A74EB" w:rsidRPr="00C9040A" w:rsidRDefault="006C577F" w:rsidP="004A4E41">
      <w:pPr>
        <w:pStyle w:val="libFootnote0"/>
        <w:rPr>
          <w:rtl/>
          <w:lang w:bidi="fa-IR"/>
        </w:rPr>
      </w:pPr>
      <w:r>
        <w:rPr>
          <w:rtl/>
        </w:rPr>
        <w:t>(4).</w:t>
      </w:r>
      <w:r w:rsidR="008A74EB" w:rsidRPr="00C9040A">
        <w:rPr>
          <w:rtl/>
        </w:rPr>
        <w:t xml:space="preserve"> في « </w:t>
      </w:r>
      <w:r w:rsidR="006D3162">
        <w:rPr>
          <w:rtl/>
        </w:rPr>
        <w:t xml:space="preserve">ه </w:t>
      </w:r>
      <w:r w:rsidR="008A74EB" w:rsidRPr="00C9040A">
        <w:rPr>
          <w:rtl/>
        </w:rPr>
        <w:t>، بر » والوافي : « والمماراة »</w:t>
      </w:r>
      <w:r w:rsidR="008A74EB">
        <w:rPr>
          <w:rtl/>
        </w:rPr>
        <w:t>.</w:t>
      </w:r>
      <w:r w:rsidR="008A74EB" w:rsidRPr="00C9040A">
        <w:rPr>
          <w:rtl/>
        </w:rPr>
        <w:t xml:space="preserve"> </w:t>
      </w:r>
      <w:r w:rsidR="008A74EB">
        <w:rPr>
          <w:rtl/>
        </w:rPr>
        <w:t>و «</w:t>
      </w:r>
      <w:r w:rsidR="008A74EB" w:rsidRPr="00C9040A">
        <w:rPr>
          <w:rtl/>
        </w:rPr>
        <w:t xml:space="preserve"> المشارّة » : المخاصمة. ولاتشارّ أخاك : تفاعل من الشرّ ، أي لاتفعل به‌شرّاً يُحوجه إلى أن يفعل بك مثله. </w:t>
      </w:r>
      <w:r w:rsidR="008A74EB" w:rsidRPr="00993B55">
        <w:rPr>
          <w:rStyle w:val="libFootnoteBoldChar"/>
          <w:rtl/>
        </w:rPr>
        <w:t>الصحاح</w:t>
      </w:r>
      <w:r w:rsidR="008A74EB" w:rsidRPr="00C9040A">
        <w:rPr>
          <w:rtl/>
        </w:rPr>
        <w:t xml:space="preserve"> ، ج 2 ، ص 695 ؛ </w:t>
      </w:r>
      <w:r w:rsidR="008A74EB" w:rsidRPr="00993B55">
        <w:rPr>
          <w:rStyle w:val="libFootnoteBoldChar"/>
          <w:rtl/>
        </w:rPr>
        <w:t>النهاية</w:t>
      </w:r>
      <w:r w:rsidR="008A74EB" w:rsidRPr="00C9040A">
        <w:rPr>
          <w:rtl/>
        </w:rPr>
        <w:t xml:space="preserve"> ، ج 2 ، ص 456 ( شرر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 المعرّة » : الإثم ، والأذى ، والغُرم ، والدية ، والخيانة ، وتلوّن الوجه غضباً. </w:t>
      </w:r>
      <w:r w:rsidR="008A74EB" w:rsidRPr="00993B55">
        <w:rPr>
          <w:rStyle w:val="libFootnoteBoldChar"/>
          <w:rtl/>
        </w:rPr>
        <w:t>القاموس المحيط</w:t>
      </w:r>
      <w:r w:rsidR="008A74EB" w:rsidRPr="00C9040A">
        <w:rPr>
          <w:rtl/>
        </w:rPr>
        <w:t xml:space="preserve"> ، ج 1 ، ص 613 ( عرر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 </w:t>
      </w:r>
      <w:r w:rsidR="006D3162">
        <w:rPr>
          <w:rtl/>
        </w:rPr>
        <w:t xml:space="preserve">ه </w:t>
      </w:r>
      <w:r w:rsidR="008A74EB" w:rsidRPr="00C9040A">
        <w:rPr>
          <w:rtl/>
        </w:rPr>
        <w:t>، بف » والوافي ومرآة العقول والوسائل والبحار : « العورة »</w:t>
      </w:r>
      <w:r w:rsidR="008A74EB">
        <w:rPr>
          <w:rtl/>
        </w:rPr>
        <w:t>.</w:t>
      </w:r>
      <w:r w:rsidR="008A74EB" w:rsidRPr="00C9040A">
        <w:rPr>
          <w:rtl/>
        </w:rPr>
        <w:t xml:space="preserve"> </w:t>
      </w:r>
      <w:r w:rsidR="008A74EB">
        <w:rPr>
          <w:rtl/>
        </w:rPr>
        <w:t>و «</w:t>
      </w:r>
      <w:r w:rsidR="008A74EB" w:rsidRPr="00C9040A">
        <w:rPr>
          <w:rtl/>
        </w:rPr>
        <w:t xml:space="preserve"> المعورة » : اسم فاعل من أعور الشي‌ء : إذا صار ذا عَوارٍ ، أو ذا عَورة. والعورة : كلّ شي‌ء يستره الإنسان أنَفَةً وحياءً. والعوار : العَيب. راجع : </w:t>
      </w:r>
      <w:r w:rsidR="008A74EB" w:rsidRPr="00993B55">
        <w:rPr>
          <w:rStyle w:val="libFootnoteBoldChar"/>
          <w:rtl/>
        </w:rPr>
        <w:t>المصباح المنير</w:t>
      </w:r>
      <w:r w:rsidR="008A74EB" w:rsidRPr="00C9040A">
        <w:rPr>
          <w:rtl/>
        </w:rPr>
        <w:t xml:space="preserve"> ، ص 437 ( عور )</w:t>
      </w:r>
      <w:r w:rsidR="008A74EB">
        <w:rPr>
          <w:rtl/>
        </w:rPr>
        <w:t>.</w:t>
      </w:r>
    </w:p>
    <w:p w:rsidR="008A74EB" w:rsidRPr="00C9040A" w:rsidRDefault="006C577F" w:rsidP="00FD37A9">
      <w:pPr>
        <w:pStyle w:val="libFootnote0"/>
        <w:rPr>
          <w:rtl/>
          <w:lang w:bidi="fa-IR"/>
        </w:rPr>
      </w:pPr>
      <w:r>
        <w:rPr>
          <w:rtl/>
        </w:rPr>
        <w:t>(7).</w:t>
      </w:r>
      <w:r w:rsidR="008A74EB" w:rsidRPr="00C9040A">
        <w:rPr>
          <w:rtl/>
        </w:rPr>
        <w:t xml:space="preserve"> </w:t>
      </w:r>
      <w:r w:rsidR="008A74EB" w:rsidRPr="00993B55">
        <w:rPr>
          <w:rStyle w:val="libFootnoteBoldChar"/>
          <w:rtl/>
        </w:rPr>
        <w:t>الاختصاص</w:t>
      </w:r>
      <w:r w:rsidR="008A74EB" w:rsidRPr="00C9040A">
        <w:rPr>
          <w:rtl/>
        </w:rPr>
        <w:t xml:space="preserve"> ، ص 230 ، مرسلاً ، وتمام الرواية فيه : « إيّاك وعداوة الرجال ، ف</w:t>
      </w:r>
      <w:r w:rsidR="00C822D0">
        <w:rPr>
          <w:rtl/>
        </w:rPr>
        <w:t>إنّها تورث المعرّة وتبدي العورة</w:t>
      </w:r>
      <w:r w:rsidR="008A74EB" w:rsidRPr="00C9040A">
        <w:rPr>
          <w:rtl/>
        </w:rPr>
        <w:t>»</w:t>
      </w:r>
      <w:r w:rsidR="00FD37A9">
        <w:rPr>
          <w:rFonts w:hint="cs"/>
          <w:rtl/>
        </w:rPr>
        <w:t>.</w:t>
      </w:r>
      <w:r w:rsidR="008A74EB" w:rsidRPr="00993B55">
        <w:rPr>
          <w:rStyle w:val="libFootnoteBoldChar"/>
          <w:rtl/>
        </w:rPr>
        <w:t>الوافي</w:t>
      </w:r>
      <w:r w:rsidR="008A74EB" w:rsidRPr="00C9040A">
        <w:rPr>
          <w:rtl/>
        </w:rPr>
        <w:t xml:space="preserve"> ، ج 5 ، ص 941 ، ح 3324 ؛ </w:t>
      </w:r>
      <w:r w:rsidR="008A74EB" w:rsidRPr="00993B55">
        <w:rPr>
          <w:rStyle w:val="libFootnoteBoldChar"/>
          <w:rtl/>
        </w:rPr>
        <w:t>الوسائل</w:t>
      </w:r>
      <w:r w:rsidR="008A74EB" w:rsidRPr="00C9040A">
        <w:rPr>
          <w:rtl/>
        </w:rPr>
        <w:t xml:space="preserve"> ، ج 12 ، ص 239 ، ح 16192 ؛ </w:t>
      </w:r>
      <w:r w:rsidR="008A74EB" w:rsidRPr="00993B55">
        <w:rPr>
          <w:rStyle w:val="libFootnoteBoldChar"/>
          <w:rtl/>
        </w:rPr>
        <w:t>البحار</w:t>
      </w:r>
      <w:r w:rsidR="008A74EB" w:rsidRPr="00C9040A">
        <w:rPr>
          <w:rtl/>
        </w:rPr>
        <w:t xml:space="preserve"> ، ج 73 ، ص 407 ، ح 11.</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إِيَّاكُمْ وَالْخُصُومَةَ </w:t>
      </w:r>
      <w:r w:rsidR="006C577F" w:rsidRPr="006C577F">
        <w:rPr>
          <w:rStyle w:val="libFootnotenumChar"/>
          <w:rtl/>
        </w:rPr>
        <w:t>(1)</w:t>
      </w:r>
      <w:r w:rsidRPr="00C9040A">
        <w:rPr>
          <w:rtl/>
          <w:lang w:bidi="fa-IR"/>
        </w:rPr>
        <w:t xml:space="preserve"> ؛ فَإِنَّهَا تَشْغَلُ الْقَلْبَ </w:t>
      </w:r>
      <w:r w:rsidR="006C577F" w:rsidRPr="006C577F">
        <w:rPr>
          <w:rStyle w:val="libFootnotenumChar"/>
          <w:rtl/>
        </w:rPr>
        <w:t>(2)</w:t>
      </w:r>
      <w:r w:rsidRPr="00C9040A">
        <w:rPr>
          <w:rtl/>
          <w:lang w:bidi="fa-IR"/>
        </w:rPr>
        <w:t xml:space="preserve"> ، وَتُورِثُ النِّفَاقَ ، وَتَكْسِبُ الضَّغَائِنَ </w:t>
      </w:r>
      <w:r w:rsidR="006C577F" w:rsidRPr="006C577F">
        <w:rPr>
          <w:rStyle w:val="libFootnotenumChar"/>
          <w:rtl/>
        </w:rPr>
        <w:t>(3)</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665877">
        <w:rPr>
          <w:rtl/>
        </w:rPr>
        <w:t>2527</w:t>
      </w:r>
      <w:r w:rsidRPr="00261CB0">
        <w:rPr>
          <w:rStyle w:val="libBold2Char"/>
          <w:rtl/>
        </w:rPr>
        <w:t xml:space="preserve"> / 9.</w:t>
      </w:r>
      <w:r w:rsidRPr="00C9040A">
        <w:rPr>
          <w:rtl/>
          <w:lang w:bidi="fa-IR"/>
        </w:rPr>
        <w:t xml:space="preserve"> عَلِيُّ بْنُ إِبْرَاهِيمَ ، عَنْ أَبِيهِ ، عَنِ ابْنِ أَبِي عُمَيْرٍ ، عَنِ الْحَسَنِ بْنِ عَطِيَّةَ ، عَنْ عُمَرَ بْنِ يَزِيدَ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مَا كَادَ </w:t>
      </w:r>
      <w:r w:rsidR="006C577F" w:rsidRPr="006C577F">
        <w:rPr>
          <w:rStyle w:val="libFootnotenumChar"/>
          <w:rtl/>
        </w:rPr>
        <w:t>(5)</w:t>
      </w:r>
      <w:r w:rsidRPr="00C9040A">
        <w:rPr>
          <w:rtl/>
          <w:lang w:bidi="fa-IR"/>
        </w:rPr>
        <w:t xml:space="preserve"> جَبْرَئِيلُ </w:t>
      </w:r>
      <w:r w:rsidRPr="0003660B">
        <w:rPr>
          <w:rStyle w:val="libAlaemChar"/>
          <w:rtl/>
        </w:rPr>
        <w:t>عليه‌السلام</w:t>
      </w:r>
      <w:r w:rsidR="00D74B1B">
        <w:rPr>
          <w:rtl/>
          <w:lang w:bidi="fa-IR"/>
        </w:rPr>
        <w:t xml:space="preserve"> يَأْتِينِي إِل</w:t>
      </w:r>
      <w:r w:rsidR="00D74B1B">
        <w:rPr>
          <w:rFonts w:hint="cs"/>
          <w:rtl/>
          <w:lang w:bidi="fa-IR"/>
        </w:rPr>
        <w:t>َّ</w:t>
      </w:r>
      <w:r w:rsidR="00D74B1B">
        <w:rPr>
          <w:rtl/>
          <w:lang w:bidi="fa-IR"/>
        </w:rPr>
        <w:t>ا</w:t>
      </w:r>
      <w:r w:rsidRPr="00C9040A">
        <w:rPr>
          <w:rtl/>
          <w:lang w:bidi="fa-IR"/>
        </w:rPr>
        <w:t xml:space="preserve"> قَالَ :</w:t>
      </w:r>
      <w:r>
        <w:rPr>
          <w:rFonts w:hint="cs"/>
          <w:rtl/>
          <w:lang w:bidi="fa-IR"/>
        </w:rPr>
        <w:t xml:space="preserve"> </w:t>
      </w:r>
      <w:r w:rsidRPr="00C9040A">
        <w:rPr>
          <w:rtl/>
          <w:lang w:bidi="fa-IR"/>
        </w:rPr>
        <w:t xml:space="preserve">يَا مُحَمَّدُ ، اتَّقِ شَحْنَاءَ الرِّجَالِ وَعَدَاوَتَهُمْ </w:t>
      </w:r>
      <w:r w:rsidR="006C577F" w:rsidRPr="006C577F">
        <w:rPr>
          <w:rStyle w:val="libFootnotenumChar"/>
          <w:rtl/>
        </w:rPr>
        <w:t>(6)</w:t>
      </w:r>
      <w:r w:rsidRPr="005B567D">
        <w:rPr>
          <w:rStyle w:val="libFootnotenumChar"/>
          <w:rtl/>
        </w:rPr>
        <w:t xml:space="preserve"> </w:t>
      </w:r>
      <w:r w:rsidRPr="00C9040A">
        <w:rPr>
          <w:rtl/>
          <w:lang w:bidi="fa-IR"/>
        </w:rPr>
        <w:t>»</w:t>
      </w:r>
      <w:r>
        <w:rPr>
          <w:rtl/>
          <w:lang w:bidi="fa-IR"/>
        </w:rPr>
        <w:t>.</w:t>
      </w:r>
      <w:r w:rsidRPr="00C9040A">
        <w:rPr>
          <w:rtl/>
          <w:lang w:bidi="fa-IR"/>
        </w:rPr>
        <w:t xml:space="preserve"> </w:t>
      </w:r>
      <w:r w:rsidR="006C577F" w:rsidRPr="006C577F">
        <w:rPr>
          <w:rStyle w:val="libFootnotenumChar"/>
          <w:rtl/>
        </w:rPr>
        <w:t>(7)</w:t>
      </w:r>
    </w:p>
    <w:p w:rsidR="008A74EB" w:rsidRPr="00C9040A" w:rsidRDefault="008A74EB" w:rsidP="008A74EB">
      <w:pPr>
        <w:pStyle w:val="libNormal"/>
        <w:rPr>
          <w:rtl/>
          <w:lang w:bidi="fa-IR"/>
        </w:rPr>
      </w:pPr>
      <w:r w:rsidRPr="00665877">
        <w:rPr>
          <w:rtl/>
        </w:rPr>
        <w:t>2528</w:t>
      </w:r>
      <w:r w:rsidRPr="00261CB0">
        <w:rPr>
          <w:rStyle w:val="libBold2Char"/>
          <w:rtl/>
        </w:rPr>
        <w:t xml:space="preserve"> / 10.</w:t>
      </w:r>
      <w:r w:rsidRPr="00C9040A">
        <w:rPr>
          <w:rtl/>
          <w:lang w:bidi="fa-IR"/>
        </w:rPr>
        <w:t xml:space="preserve"> مُحَمَّدُ بْنُ يَحْيى ، عَنْ أَحْمَدَ بْنِ مُحَمَّدِ بْنِ عِيسى ، عَنْ مُحَمَّدِ بْنِ مِهْرَانَ ، عَنْ عَبْدِ اللهِ بْنِ سِنَانٍ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مَا أَتَانِي جَبْرَئِيلُ </w:t>
      </w:r>
      <w:r w:rsidRPr="0003660B">
        <w:rPr>
          <w:rStyle w:val="libAlaemChar"/>
          <w:rtl/>
        </w:rPr>
        <w:t>عليه‌السلام</w:t>
      </w:r>
      <w:r w:rsidR="00D74B1B">
        <w:rPr>
          <w:rtl/>
          <w:lang w:bidi="fa-IR"/>
        </w:rPr>
        <w:t xml:space="preserve"> قَطُّ إِل</w:t>
      </w:r>
      <w:r w:rsidR="00D74B1B">
        <w:rPr>
          <w:rFonts w:hint="cs"/>
          <w:rtl/>
          <w:lang w:bidi="fa-IR"/>
        </w:rPr>
        <w:t>َّ</w:t>
      </w:r>
      <w:r w:rsidR="00D74B1B">
        <w:rPr>
          <w:rtl/>
          <w:lang w:bidi="fa-IR"/>
        </w:rPr>
        <w:t>ا</w:t>
      </w:r>
      <w:r w:rsidRPr="00C9040A">
        <w:rPr>
          <w:rtl/>
          <w:lang w:bidi="fa-IR"/>
        </w:rPr>
        <w:t xml:space="preserve"> وَعَظَنِي ، فَآخِرُ قَوْلِهِ لِي </w:t>
      </w:r>
      <w:r w:rsidR="006C577F" w:rsidRPr="006C577F">
        <w:rPr>
          <w:rStyle w:val="libFootnotenumChar"/>
          <w:rtl/>
        </w:rPr>
        <w:t>(8)</w:t>
      </w:r>
      <w:r w:rsidRPr="00C9040A">
        <w:rPr>
          <w:rtl/>
          <w:lang w:bidi="fa-IR"/>
        </w:rPr>
        <w:t xml:space="preserve"> : إِيَّاكَ وَمُشَارَّةَ النَّاسِ ؛ فَإِنَّهَا تَكْشِفُ الْعَوْرَةَ </w:t>
      </w:r>
      <w:r w:rsidR="006C577F" w:rsidRPr="006C577F">
        <w:rPr>
          <w:rStyle w:val="libFootnotenumChar"/>
          <w:rtl/>
        </w:rPr>
        <w:t>(9)</w:t>
      </w:r>
      <w:r w:rsidRPr="00C9040A">
        <w:rPr>
          <w:rtl/>
          <w:lang w:bidi="fa-IR"/>
        </w:rPr>
        <w:t xml:space="preserve"> ، وَتَذْهَبُ بِالْعِزِّ </w:t>
      </w:r>
      <w:r w:rsidR="006C577F" w:rsidRPr="006C577F">
        <w:rPr>
          <w:rStyle w:val="libFootnotenumChar"/>
          <w:rtl/>
        </w:rPr>
        <w:t>(10)</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(11)</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D74B1B" w:rsidTr="00D74B1B">
        <w:tc>
          <w:tcPr>
            <w:tcW w:w="4006" w:type="dxa"/>
          </w:tcPr>
          <w:p w:rsidR="00D74B1B" w:rsidRDefault="00D74B1B" w:rsidP="004A4E41">
            <w:pPr>
              <w:pStyle w:val="libFootnote0"/>
              <w:rPr>
                <w:rtl/>
              </w:rPr>
            </w:pPr>
            <w:r>
              <w:rPr>
                <w:rtl/>
              </w:rPr>
              <w:t xml:space="preserve">(1). </w:t>
            </w:r>
            <w:r w:rsidRPr="00C9040A">
              <w:rPr>
                <w:rtl/>
              </w:rPr>
              <w:t>في الأمالي : + « في الدين »</w:t>
            </w:r>
            <w:r>
              <w:rPr>
                <w:rtl/>
              </w:rPr>
              <w:t>.</w:t>
            </w:r>
          </w:p>
        </w:tc>
        <w:tc>
          <w:tcPr>
            <w:tcW w:w="4006" w:type="dxa"/>
          </w:tcPr>
          <w:p w:rsidR="00D74B1B" w:rsidRDefault="00D74B1B" w:rsidP="004A4E41">
            <w:pPr>
              <w:pStyle w:val="libFootnote0"/>
              <w:rPr>
                <w:rtl/>
              </w:rPr>
            </w:pPr>
            <w:r>
              <w:rPr>
                <w:rtl/>
              </w:rPr>
              <w:t xml:space="preserve">(2). </w:t>
            </w:r>
            <w:r w:rsidRPr="00C9040A">
              <w:rPr>
                <w:rtl/>
              </w:rPr>
              <w:t>في الأمالي : + « عن ذكر الله عزّوجلّ »</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في الأمالي : + « وتستجيز الكذب »</w:t>
      </w:r>
      <w:r w:rsidR="008A74EB">
        <w:rPr>
          <w:rtl/>
        </w:rPr>
        <w:t>.</w:t>
      </w:r>
      <w:r w:rsidR="008A74EB" w:rsidRPr="00C9040A">
        <w:rPr>
          <w:rtl/>
        </w:rPr>
        <w:t xml:space="preserve"> والضِّغْن والضَّغَن : الحقد والجمع أضغان وكذلك الضغينة وجمعها : الضغائن. </w:t>
      </w:r>
      <w:r w:rsidR="008A74EB" w:rsidRPr="00993B55">
        <w:rPr>
          <w:rStyle w:val="libFootnoteBoldChar"/>
          <w:rtl/>
        </w:rPr>
        <w:t>لسان العرب</w:t>
      </w:r>
      <w:r w:rsidR="008A74EB" w:rsidRPr="00C9040A">
        <w:rPr>
          <w:rtl/>
        </w:rPr>
        <w:t xml:space="preserve"> ، ج 13 ، ص 255 ( ظغن )</w:t>
      </w:r>
      <w:r w:rsidR="008A74EB">
        <w:rPr>
          <w:rtl/>
        </w:rPr>
        <w:t>.</w:t>
      </w:r>
    </w:p>
    <w:p w:rsidR="008A74EB" w:rsidRPr="00C9040A" w:rsidRDefault="006C577F" w:rsidP="003C7EA9">
      <w:pPr>
        <w:pStyle w:val="libFootnote0"/>
        <w:rPr>
          <w:rtl/>
          <w:lang w:bidi="fa-IR"/>
        </w:rPr>
      </w:pPr>
      <w:r>
        <w:rPr>
          <w:rtl/>
        </w:rPr>
        <w:t>(4).</w:t>
      </w:r>
      <w:r w:rsidR="008A74EB" w:rsidRPr="00C9040A">
        <w:rPr>
          <w:rtl/>
        </w:rPr>
        <w:t xml:space="preserve"> </w:t>
      </w:r>
      <w:r w:rsidR="008A74EB" w:rsidRPr="0034021D">
        <w:rPr>
          <w:rStyle w:val="libFootnoteBoldChar"/>
          <w:rtl/>
        </w:rPr>
        <w:t>الأمالي للصدوق</w:t>
      </w:r>
      <w:r w:rsidR="008A74EB" w:rsidRPr="00C9040A">
        <w:rPr>
          <w:rtl/>
        </w:rPr>
        <w:t xml:space="preserve"> ، ص 418 ، المجلس 65 ، ح 4 ، بسنده عن أحمد بن محمّد بن عيسى</w:t>
      </w:r>
      <w:r w:rsidR="003C7EA9">
        <w:rPr>
          <w:rFonts w:hint="cs"/>
          <w:rtl/>
        </w:rPr>
        <w:t>.</w:t>
      </w:r>
      <w:r w:rsidR="008A74EB" w:rsidRPr="00993B55">
        <w:rPr>
          <w:rStyle w:val="libFootnoteBoldChar"/>
          <w:rtl/>
        </w:rPr>
        <w:t>الوافي</w:t>
      </w:r>
      <w:r w:rsidR="008A74EB" w:rsidRPr="00C9040A">
        <w:rPr>
          <w:rtl/>
        </w:rPr>
        <w:t xml:space="preserve"> ، ج 5 ، ص 942 ، ح 3325 ؛ </w:t>
      </w:r>
      <w:r w:rsidR="008A74EB" w:rsidRPr="00993B55">
        <w:rPr>
          <w:rStyle w:val="libFootnoteBoldChar"/>
          <w:rtl/>
        </w:rPr>
        <w:t>الوسائل</w:t>
      </w:r>
      <w:r w:rsidR="008A74EB" w:rsidRPr="00C9040A">
        <w:rPr>
          <w:rtl/>
        </w:rPr>
        <w:t xml:space="preserve"> ، ج 12 ، ص 237 ، ح 16184 ؛ </w:t>
      </w:r>
      <w:r w:rsidR="008A74EB" w:rsidRPr="00993B55">
        <w:rPr>
          <w:rStyle w:val="libFootnoteBoldChar"/>
          <w:rtl/>
        </w:rPr>
        <w:t>البحار</w:t>
      </w:r>
      <w:r w:rsidR="008A74EB" w:rsidRPr="00C9040A">
        <w:rPr>
          <w:rtl/>
        </w:rPr>
        <w:t xml:space="preserve"> ، ج 73 ، ص 408 ، ح 12.</w:t>
      </w:r>
    </w:p>
    <w:tbl>
      <w:tblPr>
        <w:tblStyle w:val="TableGrid"/>
        <w:bidiVisual/>
        <w:tblW w:w="0" w:type="auto"/>
        <w:tblLook w:val="04A0" w:firstRow="1" w:lastRow="0" w:firstColumn="1" w:lastColumn="0" w:noHBand="0" w:noVBand="1"/>
      </w:tblPr>
      <w:tblGrid>
        <w:gridCol w:w="4006"/>
        <w:gridCol w:w="4006"/>
      </w:tblGrid>
      <w:tr w:rsidR="003C7EA9" w:rsidTr="003C7EA9">
        <w:tc>
          <w:tcPr>
            <w:tcW w:w="4006" w:type="dxa"/>
          </w:tcPr>
          <w:p w:rsidR="003C7EA9" w:rsidRDefault="003C7EA9" w:rsidP="004A4E41">
            <w:pPr>
              <w:pStyle w:val="libFootnote0"/>
              <w:rPr>
                <w:rtl/>
              </w:rPr>
            </w:pPr>
            <w:r>
              <w:rPr>
                <w:rtl/>
              </w:rPr>
              <w:t>(5).</w:t>
            </w:r>
            <w:r w:rsidRPr="00C9040A">
              <w:rPr>
                <w:rtl/>
              </w:rPr>
              <w:t xml:space="preserve"> في الوافي : « ما كان »</w:t>
            </w:r>
            <w:r>
              <w:rPr>
                <w:rtl/>
              </w:rPr>
              <w:t>.</w:t>
            </w:r>
          </w:p>
        </w:tc>
        <w:tc>
          <w:tcPr>
            <w:tcW w:w="4006" w:type="dxa"/>
          </w:tcPr>
          <w:p w:rsidR="003C7EA9" w:rsidRDefault="003C7EA9" w:rsidP="004A4E41">
            <w:pPr>
              <w:pStyle w:val="libFootnote0"/>
              <w:rPr>
                <w:rtl/>
              </w:rPr>
            </w:pPr>
            <w:r>
              <w:rPr>
                <w:rtl/>
              </w:rPr>
              <w:t xml:space="preserve">(6). </w:t>
            </w:r>
            <w:r w:rsidRPr="00C9040A">
              <w:rPr>
                <w:rtl/>
              </w:rPr>
              <w:t xml:space="preserve">في « </w:t>
            </w:r>
            <w:r>
              <w:rPr>
                <w:rtl/>
              </w:rPr>
              <w:t xml:space="preserve">ه </w:t>
            </w:r>
            <w:r w:rsidRPr="00C9040A">
              <w:rPr>
                <w:rtl/>
              </w:rPr>
              <w:t>» : « وعداواتهم »</w:t>
            </w:r>
            <w:r>
              <w:rPr>
                <w:rtl/>
              </w:rPr>
              <w:t>.</w:t>
            </w:r>
          </w:p>
        </w:tc>
      </w:tr>
    </w:tbl>
    <w:p w:rsidR="008A74EB" w:rsidRPr="00C9040A" w:rsidRDefault="006C577F" w:rsidP="004A4E41">
      <w:pPr>
        <w:pStyle w:val="libFootnote0"/>
        <w:rPr>
          <w:rtl/>
          <w:lang w:bidi="fa-IR"/>
        </w:rPr>
      </w:pPr>
      <w:r>
        <w:rPr>
          <w:rtl/>
        </w:rPr>
        <w:t>(7).</w:t>
      </w:r>
      <w:r w:rsidR="008A74EB" w:rsidRPr="00C9040A">
        <w:rPr>
          <w:rtl/>
        </w:rPr>
        <w:t xml:space="preserve"> قد مرّ هذا الحديث بعينه سنداً ومتناً في هذا الباب ، ذيل الرقم 5 ، فكأنّه تكرار من النسّاخ ، كما قال به في </w:t>
      </w:r>
      <w:r w:rsidR="008A74EB" w:rsidRPr="00993B55">
        <w:rPr>
          <w:rStyle w:val="libFootnoteBoldChar"/>
          <w:rtl/>
        </w:rPr>
        <w:t>شرح المازندراني</w:t>
      </w:r>
      <w:r w:rsidR="008A74EB" w:rsidRPr="00C9040A">
        <w:rPr>
          <w:rtl/>
        </w:rPr>
        <w:t xml:space="preserve"> ، ج 9 ، ص 292 ؛ و</w:t>
      </w:r>
      <w:r w:rsidR="008A74EB" w:rsidRPr="00993B55">
        <w:rPr>
          <w:rStyle w:val="libFootnoteBoldChar"/>
          <w:rtl/>
        </w:rPr>
        <w:t>مرآة العقول</w:t>
      </w:r>
      <w:r w:rsidR="008A74EB" w:rsidRPr="00C9040A">
        <w:rPr>
          <w:rtl/>
        </w:rPr>
        <w:t xml:space="preserve"> ، ج 10 ، ص 140.</w:t>
      </w:r>
    </w:p>
    <w:p w:rsidR="008A74EB" w:rsidRPr="00C9040A" w:rsidRDefault="006C577F" w:rsidP="004A4E41">
      <w:pPr>
        <w:pStyle w:val="libFootnote0"/>
        <w:rPr>
          <w:rtl/>
          <w:lang w:bidi="fa-IR"/>
        </w:rPr>
      </w:pPr>
      <w:r>
        <w:rPr>
          <w:rtl/>
        </w:rPr>
        <w:t>(8).</w:t>
      </w:r>
      <w:r w:rsidR="008A74EB" w:rsidRPr="00C9040A">
        <w:rPr>
          <w:rtl/>
        </w:rPr>
        <w:t xml:space="preserve"> في « </w:t>
      </w:r>
      <w:r w:rsidR="006D3162">
        <w:rPr>
          <w:rtl/>
        </w:rPr>
        <w:t xml:space="preserve">ه </w:t>
      </w:r>
      <w:r w:rsidR="008A74EB" w:rsidRPr="00C9040A">
        <w:rPr>
          <w:rtl/>
        </w:rPr>
        <w:t>» : + « قال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 العورة » : كلّ شي‌ء يستره الإنسان أنَفَةً وحياءً. </w:t>
      </w:r>
      <w:r w:rsidR="008A74EB" w:rsidRPr="00993B55">
        <w:rPr>
          <w:rStyle w:val="libFootnoteBoldChar"/>
          <w:rtl/>
        </w:rPr>
        <w:t>المصباح المنير</w:t>
      </w:r>
      <w:r w:rsidR="008A74EB" w:rsidRPr="00C9040A">
        <w:rPr>
          <w:rtl/>
        </w:rPr>
        <w:t xml:space="preserve"> ، ص 437 ( عور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شرح المازندراني : « بالغرّ » بالغين المعجمة والراء المهملة ، وقال : « الغرّ ، جمع الأغرّ ؛ من الغرّة ، وهي البياض في جبهة الفرس فوق الدرهم ، وكلّ شي‌ء ترفع قيمته ، كما يقال : غرّة ماله. والمراد بها هاهنا محاسن الا</w:t>
      </w:r>
      <w:r w:rsidR="006F7A30">
        <w:rPr>
          <w:rFonts w:hint="cs"/>
          <w:rtl/>
        </w:rPr>
        <w:t>ُ</w:t>
      </w:r>
      <w:r w:rsidR="008A74EB" w:rsidRPr="00C9040A">
        <w:rPr>
          <w:rtl/>
        </w:rPr>
        <w:t>مور والأعمال الصالحة والأخلاق الفاضلة على سبيل التشبيه والاستعارة »</w:t>
      </w:r>
      <w:r w:rsidR="008A74EB">
        <w:rPr>
          <w:rtl/>
        </w:rPr>
        <w:t>.</w:t>
      </w:r>
      <w:r w:rsidR="008A74EB" w:rsidRPr="00C9040A">
        <w:rPr>
          <w:rtl/>
        </w:rPr>
        <w:t xml:space="preserve"> وفيه تكلّف واضح.</w:t>
      </w:r>
    </w:p>
    <w:p w:rsidR="008A74EB" w:rsidRPr="00C9040A" w:rsidRDefault="006C577F" w:rsidP="006F7A30">
      <w:pPr>
        <w:pStyle w:val="libFootnote0"/>
        <w:rPr>
          <w:rtl/>
          <w:lang w:bidi="fa-IR"/>
        </w:rPr>
      </w:pPr>
      <w:r>
        <w:rPr>
          <w:rtl/>
        </w:rPr>
        <w:t>(11).</w:t>
      </w:r>
      <w:r w:rsidR="008A74EB" w:rsidRPr="00C9040A">
        <w:rPr>
          <w:rtl/>
        </w:rPr>
        <w:t xml:space="preserve"> </w:t>
      </w:r>
      <w:r w:rsidR="008A74EB" w:rsidRPr="00993B55">
        <w:rPr>
          <w:rStyle w:val="libFootnoteBoldChar"/>
          <w:rtl/>
        </w:rPr>
        <w:t>الأمالي</w:t>
      </w:r>
      <w:r w:rsidR="008A74EB" w:rsidRPr="00C9040A">
        <w:rPr>
          <w:rtl/>
        </w:rPr>
        <w:t xml:space="preserve"> للطوسي ، ص 482 ، المجلس 17 ، ح 21 ، بسند آخر عن الرضا ، عن آبائه </w:t>
      </w:r>
      <w:r w:rsidR="00117575" w:rsidRPr="00117575">
        <w:rPr>
          <w:rStyle w:val="libFootnoteAlaemChar"/>
          <w:rtl/>
        </w:rPr>
        <w:t>عليهم‌السلام</w:t>
      </w:r>
      <w:r w:rsidR="008A74EB" w:rsidRPr="00C9040A">
        <w:rPr>
          <w:rtl/>
        </w:rPr>
        <w:t xml:space="preserve"> عن رسول الله </w:t>
      </w:r>
      <w:r w:rsidR="004A4E41" w:rsidRPr="006F7A30">
        <w:rPr>
          <w:rStyle w:val="libFootnoteAlaemChar"/>
          <w:rtl/>
        </w:rPr>
        <w:t>صلى‌الله‌عليه‌وآله</w:t>
      </w:r>
      <w:r w:rsidR="008A74EB" w:rsidRPr="00C9040A">
        <w:rPr>
          <w:rtl/>
        </w:rPr>
        <w:t xml:space="preserve"> ، </w:t>
      </w:r>
      <w:r w:rsidR="006F7A30">
        <w:rPr>
          <w:rFonts w:hint="cs"/>
          <w:rtl/>
        </w:rPr>
        <w:t>=</w:t>
      </w:r>
    </w:p>
    <w:p w:rsidR="004B7F34" w:rsidRDefault="004B7F34" w:rsidP="004B7F34">
      <w:pPr>
        <w:pStyle w:val="libNormal"/>
        <w:rPr>
          <w:rtl/>
          <w:lang w:bidi="fa-IR"/>
        </w:rPr>
      </w:pPr>
      <w:r>
        <w:rPr>
          <w:rtl/>
          <w:lang w:bidi="fa-IR"/>
        </w:rPr>
        <w:br w:type="page"/>
      </w:r>
    </w:p>
    <w:p w:rsidR="00484D30" w:rsidRDefault="008A74EB" w:rsidP="00484D30">
      <w:pPr>
        <w:pStyle w:val="libNormal"/>
        <w:rPr>
          <w:rtl/>
          <w:lang w:bidi="fa-IR"/>
        </w:rPr>
      </w:pPr>
      <w:r w:rsidRPr="00665877">
        <w:rPr>
          <w:rtl/>
        </w:rPr>
        <w:t>2529</w:t>
      </w:r>
      <w:r w:rsidRPr="00261CB0">
        <w:rPr>
          <w:rStyle w:val="libBold2Char"/>
          <w:rtl/>
        </w:rPr>
        <w:t xml:space="preserve"> / 11.</w:t>
      </w:r>
      <w:r w:rsidRPr="00C9040A">
        <w:rPr>
          <w:rtl/>
          <w:lang w:bidi="fa-IR"/>
        </w:rPr>
        <w:t xml:space="preserve"> عَلِيُّ بْنُ إِبْرَاهِيمَ ، عَنْ أَبِيهِ ؛</w:t>
      </w:r>
    </w:p>
    <w:p w:rsidR="008A74EB" w:rsidRPr="00C9040A" w:rsidRDefault="008A74EB" w:rsidP="00484D30">
      <w:pPr>
        <w:pStyle w:val="libNormal"/>
        <w:rPr>
          <w:rtl/>
          <w:lang w:bidi="fa-IR"/>
        </w:rPr>
      </w:pPr>
      <w:r w:rsidRPr="00C9040A">
        <w:rPr>
          <w:rtl/>
          <w:lang w:bidi="fa-IR"/>
        </w:rPr>
        <w:t>وَمُحَمَّدُ بْنُ إِسْمَاعِيلَ ، عَنِ الْفَضْلِ بْنِ شَاذَانَ جَمِيعاً ، عَنِ ابْنِ أَبِي عُمَيْرٍ ، عَنْ إِبْرَاهِيمَ بْنِ عَبْدِ الْحَمِيدِ ، عَنِ الْوَلِيدِ بْنِ صَبِيحٍ ، قَالَ :</w:t>
      </w:r>
    </w:p>
    <w:p w:rsidR="008A74EB" w:rsidRPr="00C9040A" w:rsidRDefault="008A74EB" w:rsidP="00484D30">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 « قَالَ رَسُولُ اللهِ </w:t>
      </w:r>
      <w:r w:rsidR="00484D30" w:rsidRPr="004A4E41">
        <w:rPr>
          <w:rStyle w:val="libAlaemChar"/>
          <w:rtl/>
        </w:rPr>
        <w:t>صلى‌الله‌عليه‌وآله</w:t>
      </w:r>
      <w:r w:rsidRPr="00C9040A">
        <w:rPr>
          <w:rtl/>
          <w:lang w:bidi="fa-IR"/>
        </w:rPr>
        <w:t xml:space="preserve">: مَا </w:t>
      </w:r>
      <w:r w:rsidR="006C577F" w:rsidRPr="006C577F">
        <w:rPr>
          <w:rStyle w:val="libFootnotenumChar"/>
          <w:rtl/>
        </w:rPr>
        <w:t>(1)</w:t>
      </w:r>
      <w:r w:rsidRPr="00C9040A">
        <w:rPr>
          <w:rtl/>
          <w:lang w:bidi="fa-IR"/>
        </w:rPr>
        <w:t xml:space="preserve"> عَهِدَ إِلَيَّ جَبْرَئِيلُ </w:t>
      </w:r>
      <w:r w:rsidRPr="0003660B">
        <w:rPr>
          <w:rStyle w:val="libAlaemChar"/>
          <w:rtl/>
        </w:rPr>
        <w:t>عليه‌السلام</w:t>
      </w:r>
      <w:r w:rsidRPr="00C9040A">
        <w:rPr>
          <w:rtl/>
          <w:lang w:bidi="fa-IR"/>
        </w:rPr>
        <w:t xml:space="preserve"> </w:t>
      </w:r>
      <w:r w:rsidR="006C577F" w:rsidRPr="006C577F">
        <w:rPr>
          <w:rStyle w:val="libFootnotenumChar"/>
          <w:rtl/>
        </w:rPr>
        <w:t>(2)</w:t>
      </w:r>
      <w:r w:rsidRPr="00C9040A">
        <w:rPr>
          <w:rtl/>
          <w:lang w:bidi="fa-IR"/>
        </w:rPr>
        <w:t xml:space="preserve"> فِي </w:t>
      </w:r>
      <w:r w:rsidR="006C577F" w:rsidRPr="006C577F">
        <w:rPr>
          <w:rStyle w:val="libFootnotenumChar"/>
          <w:rtl/>
        </w:rPr>
        <w:t>(3)</w:t>
      </w:r>
      <w:r w:rsidRPr="00C9040A">
        <w:rPr>
          <w:rtl/>
          <w:lang w:bidi="fa-IR"/>
        </w:rPr>
        <w:t xml:space="preserve"> شَيْ‌ءٍ مَا عَهِدَ إِلَيَّ فِي مُعَادَاةِ الرِّجَالِ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484D30">
      <w:pPr>
        <w:pStyle w:val="libNormal"/>
        <w:rPr>
          <w:rtl/>
          <w:lang w:bidi="fa-IR"/>
        </w:rPr>
      </w:pPr>
      <w:r w:rsidRPr="00665877">
        <w:rPr>
          <w:rtl/>
        </w:rPr>
        <w:t>2530</w:t>
      </w:r>
      <w:r w:rsidRPr="00261CB0">
        <w:rPr>
          <w:rStyle w:val="libBold2Char"/>
          <w:rtl/>
        </w:rPr>
        <w:t xml:space="preserve"> / 12.</w:t>
      </w:r>
      <w:r w:rsidRPr="00C9040A">
        <w:rPr>
          <w:rtl/>
          <w:lang w:bidi="fa-IR"/>
        </w:rPr>
        <w:t xml:space="preserve"> عِدَّةٌ مِنْ أَصْحَابِنَا ، عَنْ أَحْمَدَ بْنِ أَبِي عَبْدِ اللهِ ، عَنْ بَعْضِ أَصْحَابِهِ رَفَعَهُ ، قَال</w:t>
      </w:r>
      <w:r w:rsidR="00484D30">
        <w:rPr>
          <w:rtl/>
          <w:lang w:bidi="fa-IR"/>
        </w:rPr>
        <w:t>َ</w:t>
      </w:r>
      <w:r w:rsidRPr="00C9040A">
        <w:rPr>
          <w:rtl/>
          <w:lang w:bidi="fa-IR"/>
        </w:rPr>
        <w:t>:</w:t>
      </w:r>
      <w:r w:rsidR="00484D30">
        <w:rPr>
          <w:rFonts w:hint="cs"/>
          <w:rtl/>
          <w:lang w:bidi="fa-IR"/>
        </w:rPr>
        <w:t xml:space="preserve"> </w:t>
      </w:r>
      <w:r w:rsidRPr="00C9040A">
        <w:rPr>
          <w:rtl/>
          <w:lang w:bidi="fa-IR"/>
        </w:rPr>
        <w:t xml:space="preserve">قَالَ أَبُو عَبْدِ اللهِ </w:t>
      </w:r>
      <w:r w:rsidRPr="0003660B">
        <w:rPr>
          <w:rStyle w:val="libAlaemChar"/>
          <w:rtl/>
        </w:rPr>
        <w:t>عليه‌السلام</w:t>
      </w:r>
      <w:r w:rsidRPr="00C9040A">
        <w:rPr>
          <w:rtl/>
          <w:lang w:bidi="fa-IR"/>
        </w:rPr>
        <w:t xml:space="preserve"> : « مَنْ زَرَعَ الْعَدَاوَةَ ، حَصَدَ مَا </w:t>
      </w:r>
      <w:r w:rsidR="006C577F" w:rsidRPr="006C577F">
        <w:rPr>
          <w:rStyle w:val="libFootnotenumChar"/>
          <w:rtl/>
        </w:rPr>
        <w:t>(5)</w:t>
      </w:r>
      <w:r w:rsidRPr="00C9040A">
        <w:rPr>
          <w:rtl/>
          <w:lang w:bidi="fa-IR"/>
        </w:rPr>
        <w:t xml:space="preserve"> بَذَرَ </w:t>
      </w:r>
      <w:r w:rsidR="006C577F" w:rsidRPr="006C577F">
        <w:rPr>
          <w:rStyle w:val="libFootnotenumChar"/>
          <w:rtl/>
        </w:rPr>
        <w:t>(6)</w:t>
      </w:r>
      <w:r w:rsidRPr="005B567D">
        <w:rPr>
          <w:rStyle w:val="libFootnotenumChar"/>
          <w:rtl/>
        </w:rPr>
        <w:t xml:space="preserve"> </w:t>
      </w:r>
      <w:r w:rsidRPr="00C9040A">
        <w:rPr>
          <w:rtl/>
          <w:lang w:bidi="fa-IR"/>
        </w:rPr>
        <w:t>»</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Heading2Center"/>
        <w:rPr>
          <w:rtl/>
          <w:lang w:bidi="fa-IR"/>
        </w:rPr>
      </w:pPr>
      <w:bookmarkStart w:id="373" w:name="_Toc343795712"/>
      <w:bookmarkStart w:id="374" w:name="_Toc459810836"/>
      <w:bookmarkStart w:id="375" w:name="_Toc35348742"/>
      <w:r w:rsidRPr="00C9040A">
        <w:rPr>
          <w:rtl/>
          <w:lang w:bidi="fa-IR"/>
        </w:rPr>
        <w:t>121</w:t>
      </w:r>
      <w:r>
        <w:rPr>
          <w:rtl/>
          <w:lang w:bidi="fa-IR"/>
        </w:rPr>
        <w:t xml:space="preserve"> </w:t>
      </w:r>
      <w:r w:rsidR="0084262C">
        <w:rPr>
          <w:rtl/>
          <w:lang w:bidi="fa-IR"/>
        </w:rPr>
        <w:t>-</w:t>
      </w:r>
      <w:r>
        <w:rPr>
          <w:rtl/>
          <w:lang w:bidi="fa-IR"/>
        </w:rPr>
        <w:t xml:space="preserve"> </w:t>
      </w:r>
      <w:r w:rsidRPr="00C9040A">
        <w:rPr>
          <w:rtl/>
          <w:lang w:bidi="fa-IR"/>
        </w:rPr>
        <w:t>بَابُ الْغَضَبِ‌</w:t>
      </w:r>
      <w:bookmarkEnd w:id="373"/>
      <w:bookmarkEnd w:id="374"/>
      <w:bookmarkEnd w:id="375"/>
    </w:p>
    <w:p w:rsidR="008A74EB" w:rsidRPr="00C9040A" w:rsidRDefault="008A74EB" w:rsidP="008A74EB">
      <w:pPr>
        <w:pStyle w:val="libNormal"/>
        <w:rPr>
          <w:rtl/>
          <w:lang w:bidi="fa-IR"/>
        </w:rPr>
      </w:pPr>
      <w:r w:rsidRPr="00665877">
        <w:rPr>
          <w:rtl/>
        </w:rPr>
        <w:t>2531</w:t>
      </w:r>
      <w:r w:rsidRPr="00261CB0">
        <w:rPr>
          <w:rStyle w:val="libBold2Char"/>
          <w:rtl/>
        </w:rPr>
        <w:t xml:space="preserve"> / 1.</w:t>
      </w:r>
      <w:r w:rsidRPr="00C9040A">
        <w:rPr>
          <w:rtl/>
          <w:lang w:bidi="fa-IR"/>
        </w:rPr>
        <w:t xml:space="preserve"> عَلِيُّ بْنُ إِبْرَاهِيمَ ، عَنْ أَبِيهِ ، عَنِ النَّوْفَلِيِّ ، عَنِ السَّكُونِيِّ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الْغَضَبُ يُفْسِدُ الْإِيمَانَ ، كَمَا يُفْسِدُ الْخَلُّ الْعَسَلَ </w:t>
      </w:r>
      <w:r w:rsidR="006C577F" w:rsidRPr="006C577F">
        <w:rPr>
          <w:rStyle w:val="libFootnotenumChar"/>
          <w:rtl/>
        </w:rPr>
        <w:t>(8)</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(9)</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7B6ED7" w:rsidRDefault="007B6ED7" w:rsidP="00484D30">
      <w:pPr>
        <w:pStyle w:val="libFootnote0"/>
        <w:rPr>
          <w:rtl/>
        </w:rPr>
      </w:pPr>
      <w:r>
        <w:rPr>
          <w:rFonts w:hint="cs"/>
          <w:rtl/>
        </w:rPr>
        <w:t xml:space="preserve">= </w:t>
      </w:r>
      <w:r w:rsidRPr="00C9040A">
        <w:rPr>
          <w:rtl/>
        </w:rPr>
        <w:t>وتمام الرواية : « إيّاكم ومشاورة الناس ؛ فإنّها تظهر العرّة وتدفن العزّة »</w:t>
      </w:r>
      <w:r w:rsidR="00484D30">
        <w:rPr>
          <w:rFonts w:hint="cs"/>
          <w:rtl/>
        </w:rPr>
        <w:t>.</w:t>
      </w:r>
      <w:r w:rsidRPr="00993B55">
        <w:rPr>
          <w:rStyle w:val="libFootnoteBoldChar"/>
          <w:rtl/>
        </w:rPr>
        <w:t>الوافي</w:t>
      </w:r>
      <w:r w:rsidRPr="00C9040A">
        <w:rPr>
          <w:rtl/>
        </w:rPr>
        <w:t xml:space="preserve"> ، ج 5 ، ص 942 ، ح 3326 ؛ </w:t>
      </w:r>
      <w:r w:rsidRPr="00993B55">
        <w:rPr>
          <w:rStyle w:val="libFootnoteBoldChar"/>
          <w:rtl/>
        </w:rPr>
        <w:t>الوسائل</w:t>
      </w:r>
      <w:r w:rsidRPr="00C9040A">
        <w:rPr>
          <w:rtl/>
        </w:rPr>
        <w:t xml:space="preserve"> ، ج 12 ، ص 239 ، ح 16194 ؛ </w:t>
      </w:r>
      <w:r w:rsidRPr="00993B55">
        <w:rPr>
          <w:rStyle w:val="libFootnoteBoldChar"/>
          <w:rtl/>
        </w:rPr>
        <w:t>البحار</w:t>
      </w:r>
      <w:r w:rsidRPr="00C9040A">
        <w:rPr>
          <w:rtl/>
        </w:rPr>
        <w:t xml:space="preserve"> ، ج 73 ، ص 408 ، ح 13.</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w:t>
      </w:r>
      <w:r w:rsidR="008A74EB" w:rsidRPr="00993B55">
        <w:rPr>
          <w:rStyle w:val="libFootnoteBoldChar"/>
          <w:rtl/>
        </w:rPr>
        <w:t>مرآة العقول</w:t>
      </w:r>
      <w:r w:rsidR="008A74EB" w:rsidRPr="00C9040A">
        <w:rPr>
          <w:rtl/>
        </w:rPr>
        <w:t xml:space="preserve"> : « كلمة « ما » في الا</w:t>
      </w:r>
      <w:r w:rsidR="00484D30">
        <w:rPr>
          <w:rFonts w:hint="cs"/>
          <w:rtl/>
        </w:rPr>
        <w:t>ُ</w:t>
      </w:r>
      <w:r w:rsidR="008A74EB" w:rsidRPr="00C9040A">
        <w:rPr>
          <w:rtl/>
        </w:rPr>
        <w:t>ولى نافية ، وفي الثانية مصدريّة ، والمصدر مفعول مطلق للنوع. والمراد هنا</w:t>
      </w:r>
      <w:r w:rsidR="008A74EB">
        <w:rPr>
          <w:rFonts w:hint="cs"/>
          <w:rtl/>
        </w:rPr>
        <w:t xml:space="preserve"> </w:t>
      </w:r>
      <w:r w:rsidR="008A74EB" w:rsidRPr="00C9040A">
        <w:rPr>
          <w:rtl/>
        </w:rPr>
        <w:t xml:space="preserve">المداراة مع المنافقين من أصحابه كما فعل </w:t>
      </w:r>
      <w:r w:rsidR="004A4E41" w:rsidRPr="00484D30">
        <w:rPr>
          <w:rStyle w:val="libFootnoteAlaemChar"/>
          <w:rtl/>
        </w:rPr>
        <w:t>صلى‌الله‌عليه‌وآله</w:t>
      </w:r>
      <w:r w:rsidR="008A74EB" w:rsidRPr="00C9040A">
        <w:rPr>
          <w:rtl/>
        </w:rPr>
        <w:t xml:space="preserve"> أو مع الكفّار أيضاً قبل الأمر بالجهاد »</w:t>
      </w:r>
      <w:r w:rsidR="008A74EB">
        <w:rPr>
          <w:rtl/>
        </w:rPr>
        <w:t>.</w:t>
      </w:r>
    </w:p>
    <w:tbl>
      <w:tblPr>
        <w:tblStyle w:val="TableGrid"/>
        <w:bidiVisual/>
        <w:tblW w:w="0" w:type="auto"/>
        <w:tblLook w:val="04A0" w:firstRow="1" w:lastRow="0" w:firstColumn="1" w:lastColumn="0" w:noHBand="0" w:noVBand="1"/>
      </w:tblPr>
      <w:tblGrid>
        <w:gridCol w:w="4006"/>
        <w:gridCol w:w="4006"/>
      </w:tblGrid>
      <w:tr w:rsidR="00484D30" w:rsidTr="00484D30">
        <w:tc>
          <w:tcPr>
            <w:tcW w:w="4006" w:type="dxa"/>
          </w:tcPr>
          <w:p w:rsidR="00484D30" w:rsidRDefault="00484D30" w:rsidP="004A4E41">
            <w:pPr>
              <w:pStyle w:val="libFootnote0"/>
              <w:rPr>
                <w:rtl/>
              </w:rPr>
            </w:pPr>
            <w:r>
              <w:rPr>
                <w:rtl/>
              </w:rPr>
              <w:t xml:space="preserve">(2). </w:t>
            </w:r>
            <w:r w:rsidRPr="00C9040A">
              <w:rPr>
                <w:rtl/>
              </w:rPr>
              <w:t>في الوافي : « قطّ »</w:t>
            </w:r>
            <w:r>
              <w:rPr>
                <w:rtl/>
              </w:rPr>
              <w:t>.</w:t>
            </w:r>
          </w:p>
        </w:tc>
        <w:tc>
          <w:tcPr>
            <w:tcW w:w="4006" w:type="dxa"/>
          </w:tcPr>
          <w:p w:rsidR="00484D30" w:rsidRDefault="00484D30" w:rsidP="004A4E41">
            <w:pPr>
              <w:pStyle w:val="libFootnote0"/>
              <w:rPr>
                <w:rtl/>
              </w:rPr>
            </w:pPr>
            <w:r>
              <w:rPr>
                <w:rtl/>
              </w:rPr>
              <w:t>(3).</w:t>
            </w:r>
            <w:r w:rsidRPr="00C9040A">
              <w:rPr>
                <w:rtl/>
              </w:rPr>
              <w:t xml:space="preserve"> في حاشية « بس » : « لي »</w:t>
            </w:r>
            <w:r>
              <w:rPr>
                <w:rtl/>
              </w:rPr>
              <w:t>.</w:t>
            </w:r>
          </w:p>
        </w:tc>
      </w:tr>
    </w:tbl>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الوافي</w:t>
      </w:r>
      <w:r w:rsidR="008A74EB" w:rsidRPr="00C9040A">
        <w:rPr>
          <w:rtl/>
        </w:rPr>
        <w:t xml:space="preserve"> ، ج 5 ، ص 941 ، ح 3322 ؛ </w:t>
      </w:r>
      <w:r w:rsidR="008A74EB" w:rsidRPr="00993B55">
        <w:rPr>
          <w:rStyle w:val="libFootnoteBoldChar"/>
          <w:rtl/>
        </w:rPr>
        <w:t>الوسائل</w:t>
      </w:r>
      <w:r w:rsidR="008A74EB" w:rsidRPr="00C9040A">
        <w:rPr>
          <w:rtl/>
        </w:rPr>
        <w:t xml:space="preserve"> ، ج 12 ، ص 238 ، ح 16190 ؛ </w:t>
      </w:r>
      <w:r w:rsidR="008A74EB" w:rsidRPr="00993B55">
        <w:rPr>
          <w:rStyle w:val="libFootnoteBoldChar"/>
          <w:rtl/>
        </w:rPr>
        <w:t>البحار</w:t>
      </w:r>
      <w:r w:rsidR="008A74EB" w:rsidRPr="00C9040A">
        <w:rPr>
          <w:rtl/>
        </w:rPr>
        <w:t xml:space="preserve"> ، ج 73 ، ص 409 ، ح 14.</w:t>
      </w:r>
    </w:p>
    <w:tbl>
      <w:tblPr>
        <w:tblStyle w:val="TableGrid"/>
        <w:bidiVisual/>
        <w:tblW w:w="0" w:type="auto"/>
        <w:tblLook w:val="04A0" w:firstRow="1" w:lastRow="0" w:firstColumn="1" w:lastColumn="0" w:noHBand="0" w:noVBand="1"/>
      </w:tblPr>
      <w:tblGrid>
        <w:gridCol w:w="4006"/>
        <w:gridCol w:w="4006"/>
      </w:tblGrid>
      <w:tr w:rsidR="00484D30" w:rsidTr="00484D30">
        <w:tc>
          <w:tcPr>
            <w:tcW w:w="4006" w:type="dxa"/>
          </w:tcPr>
          <w:p w:rsidR="00484D30" w:rsidRDefault="00484D30" w:rsidP="004A4E41">
            <w:pPr>
              <w:pStyle w:val="libFootnote0"/>
              <w:rPr>
                <w:rtl/>
                <w:lang w:bidi="fa-IR"/>
              </w:rPr>
            </w:pPr>
            <w:r>
              <w:rPr>
                <w:rtl/>
              </w:rPr>
              <w:t>(5).</w:t>
            </w:r>
            <w:r w:rsidRPr="00C9040A">
              <w:rPr>
                <w:rtl/>
              </w:rPr>
              <w:t xml:space="preserve"> في « ج » وحاشية « ص » : « بما »</w:t>
            </w:r>
            <w:r>
              <w:rPr>
                <w:rtl/>
              </w:rPr>
              <w:t>.</w:t>
            </w:r>
          </w:p>
        </w:tc>
        <w:tc>
          <w:tcPr>
            <w:tcW w:w="4006" w:type="dxa"/>
          </w:tcPr>
          <w:p w:rsidR="00484D30" w:rsidRDefault="00484D30" w:rsidP="004A4E41">
            <w:pPr>
              <w:pStyle w:val="libFootnote0"/>
              <w:rPr>
                <w:rtl/>
                <w:lang w:bidi="fa-IR"/>
              </w:rPr>
            </w:pPr>
            <w:r>
              <w:rPr>
                <w:rtl/>
              </w:rPr>
              <w:t xml:space="preserve">(6). </w:t>
            </w:r>
            <w:r w:rsidRPr="00C9040A">
              <w:rPr>
                <w:rtl/>
              </w:rPr>
              <w:t xml:space="preserve">في « </w:t>
            </w:r>
            <w:r>
              <w:rPr>
                <w:rtl/>
              </w:rPr>
              <w:t xml:space="preserve">ه </w:t>
            </w:r>
            <w:r w:rsidRPr="00C9040A">
              <w:rPr>
                <w:rtl/>
              </w:rPr>
              <w:t>» : « بزر »</w:t>
            </w:r>
            <w:r>
              <w:rPr>
                <w:rtl/>
              </w:rPr>
              <w:t>.</w:t>
            </w:r>
          </w:p>
        </w:tc>
      </w:tr>
    </w:tbl>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الوافي</w:t>
      </w:r>
      <w:r w:rsidR="008A74EB" w:rsidRPr="00C9040A">
        <w:rPr>
          <w:rtl/>
        </w:rPr>
        <w:t xml:space="preserve"> ، ج 5 ، ص 942 ، ح 3327 ؛ </w:t>
      </w:r>
      <w:r w:rsidR="008A74EB" w:rsidRPr="00993B55">
        <w:rPr>
          <w:rStyle w:val="libFootnoteBoldChar"/>
          <w:rtl/>
        </w:rPr>
        <w:t>الوسائل</w:t>
      </w:r>
      <w:r w:rsidR="008A74EB" w:rsidRPr="00C9040A">
        <w:rPr>
          <w:rtl/>
        </w:rPr>
        <w:t xml:space="preserve"> ، ج 12 ، ص 239 ، ح 16193 ؛ </w:t>
      </w:r>
      <w:r w:rsidR="008A74EB" w:rsidRPr="00993B55">
        <w:rPr>
          <w:rStyle w:val="libFootnoteBoldChar"/>
          <w:rtl/>
        </w:rPr>
        <w:t>البحار</w:t>
      </w:r>
      <w:r w:rsidR="008A74EB" w:rsidRPr="00C9040A">
        <w:rPr>
          <w:rtl/>
        </w:rPr>
        <w:t xml:space="preserve"> ، ج 73 ، ص 409 ، ح 15.</w:t>
      </w:r>
    </w:p>
    <w:p w:rsidR="008A74EB" w:rsidRPr="00C9040A" w:rsidRDefault="006C577F" w:rsidP="004A4E41">
      <w:pPr>
        <w:pStyle w:val="libFootnote0"/>
        <w:rPr>
          <w:rtl/>
          <w:lang w:bidi="fa-IR"/>
        </w:rPr>
      </w:pPr>
      <w:r>
        <w:rPr>
          <w:rtl/>
        </w:rPr>
        <w:t>(8).</w:t>
      </w:r>
      <w:r w:rsidR="008A74EB" w:rsidRPr="00C9040A">
        <w:rPr>
          <w:rtl/>
        </w:rPr>
        <w:t xml:space="preserve"> في </w:t>
      </w:r>
      <w:r w:rsidR="008A74EB" w:rsidRPr="00993B55">
        <w:rPr>
          <w:rStyle w:val="libFootnoteBoldChar"/>
          <w:rtl/>
        </w:rPr>
        <w:t>مرآة العقول</w:t>
      </w:r>
      <w:r w:rsidR="008A74EB" w:rsidRPr="00C9040A">
        <w:rPr>
          <w:rtl/>
        </w:rPr>
        <w:t xml:space="preserve"> : « أي إذا ا</w:t>
      </w:r>
      <w:r w:rsidR="00396237">
        <w:rPr>
          <w:rFonts w:hint="cs"/>
          <w:rtl/>
        </w:rPr>
        <w:t>ُ</w:t>
      </w:r>
      <w:r w:rsidR="008A74EB" w:rsidRPr="00C9040A">
        <w:rPr>
          <w:rtl/>
        </w:rPr>
        <w:t>دخل الخلّ العسل ذهبت حلاوته وخاصّيّته ، وصار المجموع شيئاً آخر ، فكذا الإيمان إذا دخله الغضب فسد ولم يبق على صرافته وتغيّرت آثاره ، فلا يسمّى إيماناً حقيقة. أو المعنى : أنّه إذا كان طعم العسل في الذائقة فشرب الخلّ ، ذهبت تلك الحلاوة بالكلّيّة فلا يجد طعم العسل ، فكذا الغضب إذا ورد على صاحب الإيمان ، لم يجد حلاوته وذهبت فوائده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w:t>
      </w:r>
      <w:r w:rsidR="008A74EB" w:rsidRPr="00993B55">
        <w:rPr>
          <w:rStyle w:val="libFootnoteBoldChar"/>
          <w:rtl/>
        </w:rPr>
        <w:t>الجعفريّات</w:t>
      </w:r>
      <w:r w:rsidR="008A74EB" w:rsidRPr="00C9040A">
        <w:rPr>
          <w:rtl/>
        </w:rPr>
        <w:t xml:space="preserve"> ، ص 163 ، بسند آخر عن جعفر بن محمّد ، عن آبائه </w:t>
      </w:r>
      <w:r w:rsidR="00117575" w:rsidRPr="00117575">
        <w:rPr>
          <w:rStyle w:val="libFootnoteAlaemChar"/>
          <w:rtl/>
        </w:rPr>
        <w:t>عليهم‌السلام</w:t>
      </w:r>
      <w:r w:rsidR="008A74EB" w:rsidRPr="00C9040A">
        <w:rPr>
          <w:rtl/>
        </w:rPr>
        <w:t xml:space="preserve"> عن رسول الله </w:t>
      </w:r>
      <w:r w:rsidR="004A4E41" w:rsidRPr="00396237">
        <w:rPr>
          <w:rStyle w:val="libFootnoteAlaemChar"/>
          <w:rtl/>
        </w:rPr>
        <w:t>صلى‌الله‌عليه‌وآله</w:t>
      </w:r>
      <w:r w:rsidR="008A74EB" w:rsidRPr="00C9040A">
        <w:rPr>
          <w:rtl/>
        </w:rPr>
        <w:t xml:space="preserve"> </w:t>
      </w:r>
      <w:r w:rsidR="00396237">
        <w:rPr>
          <w:rtl/>
        </w:rPr>
        <w:t>، وتمام الرواية:</w:t>
      </w:r>
      <w:r w:rsidR="00396237">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665877">
        <w:rPr>
          <w:rtl/>
        </w:rPr>
        <w:t>2532</w:t>
      </w:r>
      <w:r w:rsidRPr="00261CB0">
        <w:rPr>
          <w:rStyle w:val="libBold2Char"/>
          <w:rtl/>
        </w:rPr>
        <w:t xml:space="preserve"> / 2.</w:t>
      </w:r>
      <w:r w:rsidRPr="00C9040A">
        <w:rPr>
          <w:rtl/>
          <w:lang w:bidi="fa-IR"/>
        </w:rPr>
        <w:t xml:space="preserve"> أَبُو عَلِيٍّ الْأَشْعَرِيُّ ، عَنْ مُحَمَّدِ بْنِ عَبْدِ الْجَبَّارِ ، عَنِ ابْنِ فَضَّالٍ ، عَنْ عَلِيِّ بْنِ عُقْبَةَ ، عَنْ أَبِيهِ ، عَنْ مُيَسِّرٍ ، قَالَ :</w:t>
      </w:r>
    </w:p>
    <w:p w:rsidR="008A74EB" w:rsidRPr="00C9040A" w:rsidRDefault="008A74EB" w:rsidP="008A74EB">
      <w:pPr>
        <w:pStyle w:val="libNormal"/>
        <w:rPr>
          <w:rtl/>
          <w:lang w:bidi="fa-IR"/>
        </w:rPr>
      </w:pPr>
      <w:r w:rsidRPr="00C9040A">
        <w:rPr>
          <w:rtl/>
          <w:lang w:bidi="fa-IR"/>
        </w:rPr>
        <w:t xml:space="preserve">ذُكِرَ الْغَضَبُ عِنْدَ أَبِي جَعْفَرٍ </w:t>
      </w:r>
      <w:r w:rsidRPr="0003660B">
        <w:rPr>
          <w:rStyle w:val="libAlaemChar"/>
          <w:rtl/>
        </w:rPr>
        <w:t>عليه‌السلام</w:t>
      </w:r>
      <w:r w:rsidRPr="00C9040A">
        <w:rPr>
          <w:rtl/>
          <w:lang w:bidi="fa-IR"/>
        </w:rPr>
        <w:t xml:space="preserve"> ، فَقَالَ : « إِنَّ الرَّجُلَ لَيَغْضَبُ </w:t>
      </w:r>
      <w:r w:rsidR="006C577F" w:rsidRPr="006C577F">
        <w:rPr>
          <w:rStyle w:val="libFootnotenumChar"/>
          <w:rtl/>
        </w:rPr>
        <w:t>(1)</w:t>
      </w:r>
      <w:r w:rsidRPr="00C9040A">
        <w:rPr>
          <w:rtl/>
          <w:lang w:bidi="fa-IR"/>
        </w:rPr>
        <w:t xml:space="preserve"> ، فَمَا يَرْضى أَبَداً حَتّى يَدْخُلَ النَّارَ ، فَأَيُّمَا رَجُلٍ غَضِبَ عَلى قَوْمٍ</w:t>
      </w:r>
      <w:r>
        <w:rPr>
          <w:rtl/>
          <w:lang w:bidi="fa-IR"/>
        </w:rPr>
        <w:t xml:space="preserve"> </w:t>
      </w:r>
      <w:r w:rsidR="0084262C">
        <w:rPr>
          <w:rtl/>
          <w:lang w:bidi="fa-IR"/>
        </w:rPr>
        <w:t>-</w:t>
      </w:r>
      <w:r>
        <w:rPr>
          <w:rtl/>
          <w:lang w:bidi="fa-IR"/>
        </w:rPr>
        <w:t xml:space="preserve"> </w:t>
      </w:r>
      <w:r w:rsidRPr="00C9040A">
        <w:rPr>
          <w:rtl/>
          <w:lang w:bidi="fa-IR"/>
        </w:rPr>
        <w:t>وَهُوَ قَائِمٌ</w:t>
      </w:r>
      <w:r>
        <w:rPr>
          <w:rtl/>
          <w:lang w:bidi="fa-IR"/>
        </w:rPr>
        <w:t xml:space="preserve"> </w:t>
      </w:r>
      <w:r w:rsidR="0084262C">
        <w:rPr>
          <w:rtl/>
          <w:lang w:bidi="fa-IR"/>
        </w:rPr>
        <w:t>-</w:t>
      </w:r>
      <w:r>
        <w:rPr>
          <w:rtl/>
          <w:lang w:bidi="fa-IR"/>
        </w:rPr>
        <w:t xml:space="preserve"> </w:t>
      </w:r>
      <w:r w:rsidRPr="00C9040A">
        <w:rPr>
          <w:rtl/>
          <w:lang w:bidi="fa-IR"/>
        </w:rPr>
        <w:t xml:space="preserve">فَلْيَجْلِسْ مِنْ فَوْرِهِ </w:t>
      </w:r>
      <w:r w:rsidR="006C577F" w:rsidRPr="006C577F">
        <w:rPr>
          <w:rStyle w:val="libFootnotenumChar"/>
          <w:rtl/>
        </w:rPr>
        <w:t>(2)</w:t>
      </w:r>
      <w:r w:rsidRPr="00C9040A">
        <w:rPr>
          <w:rtl/>
          <w:lang w:bidi="fa-IR"/>
        </w:rPr>
        <w:t xml:space="preserve"> ذلِكَ ؛ فَإِنَّهُ </w:t>
      </w:r>
      <w:r w:rsidR="006C577F" w:rsidRPr="006C577F">
        <w:rPr>
          <w:rStyle w:val="libFootnotenumChar"/>
          <w:rtl/>
        </w:rPr>
        <w:t>(3)</w:t>
      </w:r>
      <w:r w:rsidRPr="00C9040A">
        <w:rPr>
          <w:rtl/>
          <w:lang w:bidi="fa-IR"/>
        </w:rPr>
        <w:t xml:space="preserve"> سَيَذْهَبُ </w:t>
      </w:r>
      <w:r w:rsidR="006C577F" w:rsidRPr="006C577F">
        <w:rPr>
          <w:rStyle w:val="libFootnotenumChar"/>
          <w:rtl/>
        </w:rPr>
        <w:t>(4)</w:t>
      </w:r>
      <w:r w:rsidRPr="00C9040A">
        <w:rPr>
          <w:rtl/>
          <w:lang w:bidi="fa-IR"/>
        </w:rPr>
        <w:t xml:space="preserve"> عَنْهُ </w:t>
      </w:r>
      <w:r w:rsidR="006C577F" w:rsidRPr="006C577F">
        <w:rPr>
          <w:rStyle w:val="libFootnotenumChar"/>
          <w:rtl/>
        </w:rPr>
        <w:t>(5)</w:t>
      </w:r>
      <w:r w:rsidRPr="00C9040A">
        <w:rPr>
          <w:rtl/>
          <w:lang w:bidi="fa-IR"/>
        </w:rPr>
        <w:t xml:space="preserve"> رِجْزُ </w:t>
      </w:r>
      <w:r w:rsidR="006C577F" w:rsidRPr="006C577F">
        <w:rPr>
          <w:rStyle w:val="libFootnotenumChar"/>
          <w:rtl/>
        </w:rPr>
        <w:t>(6)</w:t>
      </w:r>
      <w:r w:rsidRPr="005B567D">
        <w:rPr>
          <w:rStyle w:val="libFootnotenumChar"/>
          <w:rtl/>
        </w:rPr>
        <w:t xml:space="preserve"> </w:t>
      </w:r>
      <w:r w:rsidRPr="00C9040A">
        <w:rPr>
          <w:rtl/>
          <w:lang w:bidi="fa-IR"/>
        </w:rPr>
        <w:t xml:space="preserve">الشَّيْطَانِ ، وَأَيُّمَا رَجُلٍ غَضِبَ عَلى ذِي رَحِمٍ ، فَلْيَدْنُ مِنْهُ ، فَلْيَمَسَّهُ </w:t>
      </w:r>
      <w:r w:rsidR="006C577F" w:rsidRPr="006C577F">
        <w:rPr>
          <w:rStyle w:val="libFootnotenumChar"/>
          <w:rtl/>
        </w:rPr>
        <w:t>(7)</w:t>
      </w:r>
      <w:r w:rsidRPr="00C9040A">
        <w:rPr>
          <w:rtl/>
          <w:lang w:bidi="fa-IR"/>
        </w:rPr>
        <w:t xml:space="preserve"> ، فَإِنَّ الرَّحِمَ إِذَا مُسَّتْ </w:t>
      </w:r>
      <w:r w:rsidR="006C577F" w:rsidRPr="006C577F">
        <w:rPr>
          <w:rStyle w:val="libFootnotenumChar"/>
          <w:rtl/>
        </w:rPr>
        <w:t>(8)</w:t>
      </w:r>
      <w:r w:rsidRPr="00C9040A">
        <w:rPr>
          <w:rtl/>
          <w:lang w:bidi="fa-IR"/>
        </w:rPr>
        <w:t xml:space="preserve"> سَكَنَتْ </w:t>
      </w:r>
      <w:r w:rsidR="006C577F" w:rsidRPr="006C577F">
        <w:rPr>
          <w:rStyle w:val="libFootnotenumChar"/>
          <w:rtl/>
        </w:rPr>
        <w:t>(9)</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CA77AC" w:rsidP="00CA77AC">
      <w:pPr>
        <w:pStyle w:val="libFootnote0"/>
        <w:rPr>
          <w:rtl/>
          <w:lang w:bidi="fa-IR"/>
        </w:rPr>
      </w:pPr>
      <w:r>
        <w:rPr>
          <w:rFonts w:hint="cs"/>
          <w:rtl/>
        </w:rPr>
        <w:t xml:space="preserve">= </w:t>
      </w:r>
      <w:r w:rsidR="008A74EB" w:rsidRPr="00C9040A">
        <w:rPr>
          <w:rtl/>
        </w:rPr>
        <w:t>« الغضب يفسد الإيمان كما يفسد الصبر العسل وكما يفسد الخلّ العسل »</w:t>
      </w:r>
      <w:r w:rsidR="008A74EB">
        <w:rPr>
          <w:rtl/>
        </w:rPr>
        <w:t>.</w:t>
      </w:r>
      <w:r w:rsidR="008A74EB" w:rsidRPr="00C9040A">
        <w:rPr>
          <w:rtl/>
        </w:rPr>
        <w:t xml:space="preserve"> وفي </w:t>
      </w:r>
      <w:r w:rsidR="008A74EB" w:rsidRPr="00993B55">
        <w:rPr>
          <w:rStyle w:val="libFootnoteBoldChar"/>
          <w:rtl/>
        </w:rPr>
        <w:t>الكافي</w:t>
      </w:r>
      <w:r w:rsidR="008A74EB" w:rsidRPr="00C9040A">
        <w:rPr>
          <w:rtl/>
        </w:rPr>
        <w:t xml:space="preserve"> ، كتاب الإيمان والكفر ، باب سوء الخلق ، ح 2611 ، بسند آخر عن أبي عبدالله </w:t>
      </w:r>
      <w:r w:rsidR="00117575" w:rsidRPr="00117575">
        <w:rPr>
          <w:rStyle w:val="libFootnoteAlaemChar"/>
          <w:rtl/>
        </w:rPr>
        <w:t>عليه‌السلام</w:t>
      </w:r>
      <w:r w:rsidR="008A74EB" w:rsidRPr="00C9040A">
        <w:rPr>
          <w:rtl/>
        </w:rPr>
        <w:t xml:space="preserve"> ، من دون الإسناد إلى النبيّ </w:t>
      </w:r>
      <w:r w:rsidR="004A4E41" w:rsidRPr="00CA77AC">
        <w:rPr>
          <w:rStyle w:val="libFootnoteAlaemChar"/>
          <w:rtl/>
        </w:rPr>
        <w:t>صلى‌الله‌عليه‌وآله</w:t>
      </w:r>
      <w:r w:rsidR="008A74EB" w:rsidRPr="00C9040A">
        <w:rPr>
          <w:rtl/>
        </w:rPr>
        <w:t xml:space="preserve"> ، وفيه « سوء الخلق » بدل « الغضب »</w:t>
      </w:r>
      <w:r>
        <w:rPr>
          <w:rFonts w:hint="cs"/>
          <w:rtl/>
        </w:rPr>
        <w:t>.</w:t>
      </w:r>
      <w:r w:rsidR="008A74EB" w:rsidRPr="00993B55">
        <w:rPr>
          <w:rStyle w:val="libFootnoteBoldChar"/>
          <w:rtl/>
        </w:rPr>
        <w:t>الوافي</w:t>
      </w:r>
      <w:r w:rsidR="008A74EB" w:rsidRPr="00C9040A">
        <w:rPr>
          <w:rtl/>
        </w:rPr>
        <w:t xml:space="preserve"> ، ج 5 ، ص 863 ، ح 3158 ؛ </w:t>
      </w:r>
      <w:r w:rsidR="008A74EB" w:rsidRPr="00993B55">
        <w:rPr>
          <w:rStyle w:val="libFootnoteBoldChar"/>
          <w:rtl/>
        </w:rPr>
        <w:t>الوسائل</w:t>
      </w:r>
      <w:r w:rsidR="008A74EB" w:rsidRPr="00C9040A">
        <w:rPr>
          <w:rtl/>
        </w:rPr>
        <w:t xml:space="preserve"> ، ج 15 ، ص 358 ، ح 20732 ؛ </w:t>
      </w:r>
      <w:r w:rsidR="008A74EB" w:rsidRPr="00993B55">
        <w:rPr>
          <w:rStyle w:val="libFootnoteBoldChar"/>
          <w:rtl/>
        </w:rPr>
        <w:t>البحار</w:t>
      </w:r>
      <w:r w:rsidR="008A74EB" w:rsidRPr="00C9040A">
        <w:rPr>
          <w:rtl/>
        </w:rPr>
        <w:t xml:space="preserve"> ، ج 73 ، ص 267 ، ح 22.</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ج » : « لغضب »</w:t>
      </w:r>
      <w:r w:rsidR="008A74EB">
        <w:rPr>
          <w:rtl/>
        </w:rPr>
        <w:t>.</w:t>
      </w:r>
    </w:p>
    <w:p w:rsidR="008A74EB" w:rsidRPr="00C9040A" w:rsidRDefault="006C577F" w:rsidP="00CA77AC">
      <w:pPr>
        <w:pStyle w:val="libFootnote0"/>
        <w:rPr>
          <w:rtl/>
          <w:lang w:bidi="fa-IR"/>
        </w:rPr>
      </w:pPr>
      <w:r>
        <w:rPr>
          <w:rtl/>
        </w:rPr>
        <w:t>(2).</w:t>
      </w:r>
      <w:r w:rsidR="008A74EB">
        <w:rPr>
          <w:rtl/>
        </w:rPr>
        <w:t xml:space="preserve"> </w:t>
      </w:r>
      <w:r w:rsidR="008A74EB" w:rsidRPr="00C9040A">
        <w:rPr>
          <w:rtl/>
        </w:rPr>
        <w:t xml:space="preserve">فارت القدر تَفور فوراً وفَوَراناً : جاشت. ومنه قولهم : ذهبتُ في حاجة ثمّ أتيت فلاناً من فَوْري ، أي قبل أن‌أسكن. وفار فائره : جاش غضبُه. </w:t>
      </w:r>
      <w:r w:rsidR="008A74EB" w:rsidRPr="00993B55">
        <w:rPr>
          <w:rStyle w:val="libFootnoteBoldChar"/>
          <w:rtl/>
        </w:rPr>
        <w:t>الصحاح</w:t>
      </w:r>
      <w:r w:rsidR="008A74EB" w:rsidRPr="00C9040A">
        <w:rPr>
          <w:rtl/>
        </w:rPr>
        <w:t xml:space="preserve"> ، ج 2 ، ص 783 ( فور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 أي في غليان الحال وقبل سكون الأمر »</w:t>
      </w:r>
      <w:r w:rsidR="008A74EB">
        <w:rPr>
          <w:rtl/>
        </w:rPr>
        <w:t>.</w:t>
      </w:r>
      <w:r w:rsidR="00CA77AC">
        <w:rPr>
          <w:rFonts w:hint="cs"/>
          <w:rtl/>
        </w:rPr>
        <w:t xml:space="preserve">                                            </w:t>
      </w:r>
      <w:r>
        <w:rPr>
          <w:rtl/>
        </w:rPr>
        <w:t>(3).</w:t>
      </w:r>
      <w:r w:rsidR="008A74EB" w:rsidRPr="00C9040A">
        <w:rPr>
          <w:rtl/>
        </w:rPr>
        <w:t xml:space="preserve"> في « </w:t>
      </w:r>
      <w:r w:rsidR="006D3162">
        <w:rPr>
          <w:rtl/>
        </w:rPr>
        <w:t xml:space="preserve">ه </w:t>
      </w:r>
      <w:r w:rsidR="008A74EB" w:rsidRPr="00C9040A">
        <w:rPr>
          <w:rtl/>
        </w:rPr>
        <w:t>» : « وإنّه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الوسائل : « يذهب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 فإنّه سيذهب ، كيمنع ، </w:t>
      </w:r>
      <w:r w:rsidR="008A74EB">
        <w:rPr>
          <w:rtl/>
        </w:rPr>
        <w:t>و «</w:t>
      </w:r>
      <w:r w:rsidR="008A74EB" w:rsidRPr="00C9040A">
        <w:rPr>
          <w:rtl/>
        </w:rPr>
        <w:t xml:space="preserve"> الرجز » فاعله. أو على بناء الإفعال ، والضمير المستتر فاعله وراجع إلى مصدر « فليجلس » ، </w:t>
      </w:r>
      <w:r w:rsidR="008A74EB">
        <w:rPr>
          <w:rtl/>
        </w:rPr>
        <w:t>و «</w:t>
      </w:r>
      <w:r w:rsidR="008A74EB" w:rsidRPr="00C9040A">
        <w:rPr>
          <w:rtl/>
        </w:rPr>
        <w:t xml:space="preserve"> الرجز » مفعوله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بر » : « منه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 رجز الشيطان » : وساوسه. </w:t>
      </w:r>
      <w:r w:rsidR="008A74EB" w:rsidRPr="00993B55">
        <w:rPr>
          <w:rStyle w:val="libFootnoteBoldChar"/>
          <w:rtl/>
        </w:rPr>
        <w:t>النهاية</w:t>
      </w:r>
      <w:r w:rsidR="008A74EB" w:rsidRPr="00C9040A">
        <w:rPr>
          <w:rtl/>
        </w:rPr>
        <w:t xml:space="preserve"> ، ج 2 ، ص 200 ( رجز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w:t>
      </w:r>
      <w:r w:rsidR="006D3162">
        <w:rPr>
          <w:rtl/>
        </w:rPr>
        <w:t xml:space="preserve">ه </w:t>
      </w:r>
      <w:r w:rsidR="008A74EB" w:rsidRPr="00C9040A">
        <w:rPr>
          <w:rtl/>
        </w:rPr>
        <w:t>» : « فليلمسه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وفي </w:t>
      </w:r>
      <w:r w:rsidR="008A74EB" w:rsidRPr="00993B55">
        <w:rPr>
          <w:rStyle w:val="libFootnoteBoldChar"/>
          <w:rtl/>
        </w:rPr>
        <w:t>الأمالي</w:t>
      </w:r>
      <w:r w:rsidR="008A74EB" w:rsidRPr="00C9040A">
        <w:rPr>
          <w:rtl/>
        </w:rPr>
        <w:t xml:space="preserve"> : « فأيّما رجل غضب وهو قائم فيجلس ، فإنّه سيذهب عنه رجز الشيطان ؛ وإن كان جالساً فليقم. وأيّما رجل غضب على ذي رحمه فليقم إليه وليدن منه وليمسّه</w:t>
      </w:r>
      <w:r w:rsidR="008A74EB">
        <w:rPr>
          <w:rtl/>
        </w:rPr>
        <w:t xml:space="preserve"> ..</w:t>
      </w:r>
      <w:r w:rsidR="008A74EB" w:rsidRPr="00C9040A">
        <w:rPr>
          <w:rtl/>
        </w:rPr>
        <w:t>.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 إذا مسّت ، على بناء المجهول ، أي بمثلها. ويحتمل المعلوم ، أي مثلها. وما في رواية المجالس</w:t>
      </w:r>
      <w:r w:rsidR="008A74EB">
        <w:rPr>
          <w:rtl/>
        </w:rPr>
        <w:t xml:space="preserve"> </w:t>
      </w:r>
      <w:r w:rsidR="0084262C">
        <w:rPr>
          <w:rtl/>
        </w:rPr>
        <w:t>-</w:t>
      </w:r>
      <w:r w:rsidR="008A74EB">
        <w:rPr>
          <w:rtl/>
        </w:rPr>
        <w:t xml:space="preserve"> </w:t>
      </w:r>
      <w:r w:rsidR="008A74EB" w:rsidRPr="00C9040A">
        <w:rPr>
          <w:rtl/>
        </w:rPr>
        <w:t>أي مجالس الصدوق المتقدّم ذكره</w:t>
      </w:r>
      <w:r w:rsidR="008A74EB">
        <w:rPr>
          <w:rtl/>
        </w:rPr>
        <w:t xml:space="preserve"> </w:t>
      </w:r>
      <w:r w:rsidR="0084262C">
        <w:rPr>
          <w:rtl/>
        </w:rPr>
        <w:t>-</w:t>
      </w:r>
      <w:r w:rsidR="008A74EB">
        <w:rPr>
          <w:rtl/>
        </w:rPr>
        <w:t xml:space="preserve"> </w:t>
      </w:r>
      <w:r w:rsidR="008A74EB" w:rsidRPr="00C9040A">
        <w:rPr>
          <w:rtl/>
        </w:rPr>
        <w:t>أظهر. ويظهر منها أنّه سقط من رواية الكتاب بعض الفقرات متناً وسنداً. فتفطّن ؛ إذ هي عين هذه الرواية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w:t>
      </w:r>
      <w:r w:rsidR="008A74EB" w:rsidRPr="00993B55">
        <w:rPr>
          <w:rStyle w:val="libFootnoteBoldChar"/>
          <w:rtl/>
        </w:rPr>
        <w:t>مراة العقول</w:t>
      </w:r>
      <w:r w:rsidR="008A74EB" w:rsidRPr="00C9040A">
        <w:rPr>
          <w:rtl/>
        </w:rPr>
        <w:t xml:space="preserve"> : « الظاهر أنّ « سكنت » على بناء المعلوم المجرّد. ويحتمل المجهول من بناء التفعيل »</w:t>
      </w:r>
      <w:r w:rsidR="008A74EB">
        <w:rPr>
          <w:rtl/>
        </w:rPr>
        <w:t>.</w:t>
      </w:r>
    </w:p>
    <w:p w:rsidR="008A74EB" w:rsidRPr="00C9040A" w:rsidRDefault="006C577F" w:rsidP="00F9396B">
      <w:pPr>
        <w:pStyle w:val="libFootnote0"/>
        <w:rPr>
          <w:rtl/>
          <w:lang w:bidi="fa-IR"/>
        </w:rPr>
      </w:pPr>
      <w:r>
        <w:rPr>
          <w:rtl/>
        </w:rPr>
        <w:t>(10).</w:t>
      </w:r>
      <w:r w:rsidR="008A74EB" w:rsidRPr="00C9040A">
        <w:rPr>
          <w:rtl/>
        </w:rPr>
        <w:t xml:space="preserve"> </w:t>
      </w:r>
      <w:r w:rsidR="008A74EB" w:rsidRPr="0034021D">
        <w:rPr>
          <w:rStyle w:val="libFootnoteBoldChar"/>
          <w:rtl/>
        </w:rPr>
        <w:t>الأمالي للصدوق</w:t>
      </w:r>
      <w:r w:rsidR="008A74EB" w:rsidRPr="00C9040A">
        <w:rPr>
          <w:rtl/>
        </w:rPr>
        <w:t xml:space="preserve"> ، ص 340 ، المجلس 54 ، ح 25 ، بسنده عن الحسن بن عليّ بن فضّال ، عن عليّ بن عقبة ، عن أبيه ، عن أبي بصير ، عن الصادق جعفر بن محمّد ، عن أبيه </w:t>
      </w:r>
      <w:r w:rsidR="00117575" w:rsidRPr="00117575">
        <w:rPr>
          <w:rStyle w:val="libFootnoteAlaemChar"/>
          <w:rtl/>
        </w:rPr>
        <w:t>عليهم‌السلام</w:t>
      </w:r>
      <w:r w:rsidR="008A74EB" w:rsidRPr="00C9040A">
        <w:rPr>
          <w:rtl/>
        </w:rPr>
        <w:t xml:space="preserve"> ، مع اختلاف يسير</w:t>
      </w:r>
      <w:r w:rsidR="00F9396B">
        <w:rPr>
          <w:rFonts w:hint="cs"/>
          <w:rtl/>
        </w:rPr>
        <w:t>.</w:t>
      </w:r>
      <w:r w:rsidR="008A74EB" w:rsidRPr="00993B55">
        <w:rPr>
          <w:rStyle w:val="libFootnoteBoldChar"/>
          <w:rtl/>
        </w:rPr>
        <w:t>الوافي</w:t>
      </w:r>
      <w:r w:rsidR="008A74EB" w:rsidRPr="00C9040A">
        <w:rPr>
          <w:rtl/>
        </w:rPr>
        <w:t xml:space="preserve"> ، ج 5 ، ص 866 ، ح 3172 ؛ </w:t>
      </w:r>
      <w:r w:rsidR="008A74EB" w:rsidRPr="00993B55">
        <w:rPr>
          <w:rStyle w:val="libFootnoteBoldChar"/>
          <w:rtl/>
        </w:rPr>
        <w:t>الوسائل</w:t>
      </w:r>
      <w:r w:rsidR="008A74EB" w:rsidRPr="00C9040A">
        <w:rPr>
          <w:rtl/>
        </w:rPr>
        <w:t xml:space="preserve"> ، ج 15 ، ص 358 ، ح 20734 ؛ </w:t>
      </w:r>
      <w:r w:rsidR="008A74EB" w:rsidRPr="00993B55">
        <w:rPr>
          <w:rStyle w:val="libFootnoteBoldChar"/>
          <w:rtl/>
        </w:rPr>
        <w:t>البحار</w:t>
      </w:r>
      <w:r w:rsidR="008A74EB" w:rsidRPr="00C9040A">
        <w:rPr>
          <w:rtl/>
        </w:rPr>
        <w:t xml:space="preserve"> ، ج 73 ، ص 270 ، ح 23.</w:t>
      </w:r>
    </w:p>
    <w:p w:rsidR="004B7F34" w:rsidRDefault="004B7F34" w:rsidP="004B7F34">
      <w:pPr>
        <w:pStyle w:val="libNormal"/>
        <w:rPr>
          <w:rtl/>
          <w:lang w:bidi="fa-IR"/>
        </w:rPr>
      </w:pPr>
      <w:r>
        <w:rPr>
          <w:rtl/>
          <w:lang w:bidi="fa-IR"/>
        </w:rPr>
        <w:br w:type="page"/>
      </w:r>
    </w:p>
    <w:p w:rsidR="008A74EB" w:rsidRPr="00C9040A" w:rsidRDefault="008A74EB" w:rsidP="00F9396B">
      <w:pPr>
        <w:pStyle w:val="libNormal"/>
        <w:rPr>
          <w:rtl/>
          <w:lang w:bidi="fa-IR"/>
        </w:rPr>
      </w:pPr>
      <w:r w:rsidRPr="00665877">
        <w:rPr>
          <w:rtl/>
        </w:rPr>
        <w:t>2533</w:t>
      </w:r>
      <w:r w:rsidRPr="00261CB0">
        <w:rPr>
          <w:rStyle w:val="libBold2Char"/>
          <w:rtl/>
        </w:rPr>
        <w:t xml:space="preserve"> / 3.</w:t>
      </w:r>
      <w:r w:rsidRPr="00C9040A">
        <w:rPr>
          <w:rtl/>
          <w:lang w:bidi="fa-IR"/>
        </w:rPr>
        <w:t xml:space="preserve"> عَلِيُّ بْنُ إِبْرَاهِيمَ ، عَنْ مُحَمَّدِ بْنِ عِيسى ، عَنْ يُونُسَ ، عَن</w:t>
      </w:r>
      <w:r w:rsidR="00F9396B">
        <w:rPr>
          <w:rtl/>
          <w:lang w:bidi="fa-IR"/>
        </w:rPr>
        <w:t>ْ دَاوُدَ بْنِ فَرْقَدٍ ، قَالَ</w:t>
      </w:r>
      <w:r w:rsidRPr="00C9040A">
        <w:rPr>
          <w:rtl/>
          <w:lang w:bidi="fa-IR"/>
        </w:rPr>
        <w:t>:</w:t>
      </w:r>
      <w:r w:rsidR="00F9396B">
        <w:rPr>
          <w:rFonts w:hint="cs"/>
          <w:rtl/>
          <w:lang w:bidi="fa-IR"/>
        </w:rPr>
        <w:t xml:space="preserve"> </w:t>
      </w:r>
      <w:r w:rsidRPr="00C9040A">
        <w:rPr>
          <w:rtl/>
          <w:lang w:bidi="fa-IR"/>
        </w:rPr>
        <w:t xml:space="preserve">قَالَ أَبُو عَبْدِ اللهِ </w:t>
      </w:r>
      <w:r w:rsidRPr="0003660B">
        <w:rPr>
          <w:rStyle w:val="libAlaemChar"/>
          <w:rtl/>
        </w:rPr>
        <w:t>عليه‌السلام</w:t>
      </w:r>
      <w:r w:rsidRPr="00C9040A">
        <w:rPr>
          <w:rtl/>
          <w:lang w:bidi="fa-IR"/>
        </w:rPr>
        <w:t xml:space="preserve"> : « الْغَضَبُ مِفْتَاحُ كُلِّ شَرٍّ »</w:t>
      </w:r>
      <w:r>
        <w:rPr>
          <w:rtl/>
          <w:lang w:bidi="fa-IR"/>
        </w:rPr>
        <w:t>.</w:t>
      </w:r>
      <w:r w:rsidRPr="00C9040A">
        <w:rPr>
          <w:rtl/>
          <w:lang w:bidi="fa-IR"/>
        </w:rPr>
        <w:t xml:space="preserve"> </w:t>
      </w:r>
      <w:r w:rsidR="006C577F" w:rsidRPr="006C577F">
        <w:rPr>
          <w:rStyle w:val="libFootnotenumChar"/>
          <w:rtl/>
        </w:rPr>
        <w:t>(1)</w:t>
      </w:r>
    </w:p>
    <w:p w:rsidR="008A74EB" w:rsidRPr="00C9040A" w:rsidRDefault="008A74EB" w:rsidP="008A74EB">
      <w:pPr>
        <w:pStyle w:val="libNormal"/>
        <w:rPr>
          <w:rtl/>
          <w:lang w:bidi="fa-IR"/>
        </w:rPr>
      </w:pPr>
      <w:r w:rsidRPr="00665877">
        <w:rPr>
          <w:rtl/>
        </w:rPr>
        <w:t>2534</w:t>
      </w:r>
      <w:r w:rsidRPr="00261CB0">
        <w:rPr>
          <w:rStyle w:val="libBold2Char"/>
          <w:rtl/>
        </w:rPr>
        <w:t xml:space="preserve"> / 4.</w:t>
      </w:r>
      <w:r w:rsidRPr="00C9040A">
        <w:rPr>
          <w:rtl/>
          <w:lang w:bidi="fa-IR"/>
        </w:rPr>
        <w:t xml:space="preserve"> عِدَّةٌ مِنْ أَصْحَابِنَا ، عَنْ أَحْمَدَ بْنِ مُحَمَّدِ بْنِ خَالِدٍ ، عَنْ أَبِيهِ ، عَنِ النَّضْرِ بْنِ سُوَيْدٍ ، عَنِ الْقَاسِمِ بْنِ سُلَيْمَانَ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سَمِعْتُ أَبِي </w:t>
      </w:r>
      <w:r w:rsidRPr="0003660B">
        <w:rPr>
          <w:rStyle w:val="libAlaemChar"/>
          <w:rtl/>
        </w:rPr>
        <w:t>عليه‌السلام</w:t>
      </w:r>
      <w:r w:rsidRPr="00C9040A">
        <w:rPr>
          <w:rtl/>
          <w:lang w:bidi="fa-IR"/>
        </w:rPr>
        <w:t xml:space="preserve"> يَقُولُ : أَتى رَسُولَ اللهِ </w:t>
      </w:r>
      <w:r w:rsidR="004A4E41" w:rsidRPr="004A4E41">
        <w:rPr>
          <w:rStyle w:val="libAlaemChar"/>
          <w:rtl/>
        </w:rPr>
        <w:t>صلى‌الله‌عليه‌وآله</w:t>
      </w:r>
      <w:r w:rsidRPr="00C9040A">
        <w:rPr>
          <w:rtl/>
          <w:lang w:bidi="fa-IR"/>
        </w:rPr>
        <w:t xml:space="preserve"> رَجُلٌ بَدَوِيٌّ ، فَقَالَ : إِنِّي أَسْكُنُ الْبَادِيَةَ ، فَعَلِّمْنِي جَوَامِعَ الْكَلَامِ </w:t>
      </w:r>
      <w:r w:rsidR="006C577F" w:rsidRPr="006C577F">
        <w:rPr>
          <w:rStyle w:val="libFootnotenumChar"/>
          <w:rtl/>
        </w:rPr>
        <w:t>(2)</w:t>
      </w:r>
      <w:r w:rsidRPr="00C9040A">
        <w:rPr>
          <w:rtl/>
          <w:lang w:bidi="fa-IR"/>
        </w:rPr>
        <w:t xml:space="preserve"> ، فَقَالَ : آمُرُكَ أَنْ لَاتَغْضَبَ ، فَأَعَادَ عَلَيْهِ </w:t>
      </w:r>
      <w:r w:rsidR="006C577F" w:rsidRPr="006C577F">
        <w:rPr>
          <w:rStyle w:val="libFootnotenumChar"/>
          <w:rtl/>
        </w:rPr>
        <w:t>(3)</w:t>
      </w:r>
      <w:r w:rsidRPr="00C9040A">
        <w:rPr>
          <w:rtl/>
          <w:lang w:bidi="fa-IR"/>
        </w:rPr>
        <w:t xml:space="preserve"> الْأَعْرَابِيُّ </w:t>
      </w:r>
      <w:r w:rsidR="006C577F" w:rsidRPr="006C577F">
        <w:rPr>
          <w:rStyle w:val="libFootnotenumChar"/>
          <w:rtl/>
        </w:rPr>
        <w:t>(4)</w:t>
      </w:r>
      <w:r w:rsidRPr="00C9040A">
        <w:rPr>
          <w:rtl/>
          <w:lang w:bidi="fa-IR"/>
        </w:rPr>
        <w:t xml:space="preserve"> الْمَسْأَلَةَ </w:t>
      </w:r>
      <w:r w:rsidR="006C577F" w:rsidRPr="006C577F">
        <w:rPr>
          <w:rStyle w:val="libFootnotenumChar"/>
          <w:rtl/>
        </w:rPr>
        <w:t>(5)</w:t>
      </w:r>
      <w:r w:rsidRPr="00C9040A">
        <w:rPr>
          <w:rtl/>
          <w:lang w:bidi="fa-IR"/>
        </w:rPr>
        <w:t xml:space="preserve"> ثَلَاثَ مَرَّاتٍ </w:t>
      </w:r>
      <w:r w:rsidR="006C577F" w:rsidRPr="006C577F">
        <w:rPr>
          <w:rStyle w:val="libFootnotenumChar"/>
          <w:rtl/>
        </w:rPr>
        <w:t>(6)</w:t>
      </w:r>
      <w:r w:rsidRPr="005B567D">
        <w:rPr>
          <w:rStyle w:val="libFootnotenumChar"/>
          <w:rtl/>
        </w:rPr>
        <w:t xml:space="preserve"> </w:t>
      </w:r>
      <w:r w:rsidRPr="00C9040A">
        <w:rPr>
          <w:rtl/>
          <w:lang w:bidi="fa-IR"/>
        </w:rPr>
        <w:t xml:space="preserve">حَتّى رَجَعَ الرَّجُلُ إِلى </w:t>
      </w:r>
      <w:r w:rsidR="006C577F" w:rsidRPr="006C577F">
        <w:rPr>
          <w:rStyle w:val="libFootnotenumChar"/>
          <w:rtl/>
        </w:rPr>
        <w:t>(7)</w:t>
      </w:r>
      <w:r w:rsidRPr="00C9040A">
        <w:rPr>
          <w:rtl/>
          <w:lang w:bidi="fa-IR"/>
        </w:rPr>
        <w:t xml:space="preserve"> نَفْسِهِ ، فَقَالَ : لَا</w:t>
      </w:r>
      <w:r>
        <w:rPr>
          <w:rFonts w:hint="cs"/>
          <w:rtl/>
          <w:lang w:bidi="fa-IR"/>
        </w:rPr>
        <w:t xml:space="preserve"> </w:t>
      </w:r>
      <w:r w:rsidRPr="00C9040A">
        <w:rPr>
          <w:rtl/>
          <w:lang w:bidi="fa-IR"/>
        </w:rPr>
        <w:t xml:space="preserve">أَسْأَلُ عَنْ شَيْ‌ءٍ بَعْدَ هذَا ، مَا أَمَرَنِي رَسُولُ اللهِ </w:t>
      </w:r>
      <w:r w:rsidR="004A4E41" w:rsidRPr="004A4E41">
        <w:rPr>
          <w:rStyle w:val="libAlaemChar"/>
          <w:rtl/>
        </w:rPr>
        <w:t>صلى‌الله‌عليه‌وآله</w:t>
      </w:r>
      <w:r w:rsidR="00F9396B">
        <w:rPr>
          <w:rtl/>
          <w:lang w:bidi="fa-IR"/>
        </w:rPr>
        <w:t xml:space="preserve"> إِل</w:t>
      </w:r>
      <w:r w:rsidR="00F9396B">
        <w:rPr>
          <w:rFonts w:hint="cs"/>
          <w:rtl/>
          <w:lang w:bidi="fa-IR"/>
        </w:rPr>
        <w:t>َّ</w:t>
      </w:r>
      <w:r w:rsidR="00F9396B">
        <w:rPr>
          <w:rtl/>
          <w:lang w:bidi="fa-IR"/>
        </w:rPr>
        <w:t>ا</w:t>
      </w:r>
      <w:r w:rsidRPr="00C9040A">
        <w:rPr>
          <w:rtl/>
          <w:lang w:bidi="fa-IR"/>
        </w:rPr>
        <w:t xml:space="preserve"> بِالْخَيْرِ »</w:t>
      </w:r>
      <w:r>
        <w:rPr>
          <w:rtl/>
          <w:lang w:bidi="fa-IR"/>
        </w:rPr>
        <w:t>.</w:t>
      </w:r>
    </w:p>
    <w:p w:rsidR="008A74EB" w:rsidRPr="00C9040A" w:rsidRDefault="008A74EB" w:rsidP="008A74EB">
      <w:pPr>
        <w:pStyle w:val="libNormal"/>
        <w:rPr>
          <w:rtl/>
          <w:lang w:bidi="fa-IR"/>
        </w:rPr>
      </w:pPr>
      <w:r w:rsidRPr="00C9040A">
        <w:rPr>
          <w:rtl/>
          <w:lang w:bidi="fa-IR"/>
        </w:rPr>
        <w:t xml:space="preserve">قَالَ : « وَكَانَ أَبِي </w:t>
      </w:r>
      <w:r w:rsidRPr="0003660B">
        <w:rPr>
          <w:rStyle w:val="libAlaemChar"/>
          <w:rtl/>
        </w:rPr>
        <w:t>عليه‌السلام</w:t>
      </w:r>
      <w:r w:rsidRPr="00C9040A">
        <w:rPr>
          <w:rtl/>
          <w:lang w:bidi="fa-IR"/>
        </w:rPr>
        <w:t xml:space="preserve"> يَقُولُ : أَيُّ شَيْ‌ءٍ أَشَدُّ مِنَ الْغَضَبِ</w:t>
      </w:r>
      <w:r>
        <w:rPr>
          <w:rtl/>
          <w:lang w:bidi="fa-IR"/>
        </w:rPr>
        <w:t>؟</w:t>
      </w:r>
      <w:r w:rsidRPr="00C9040A">
        <w:rPr>
          <w:rtl/>
          <w:lang w:bidi="fa-IR"/>
        </w:rPr>
        <w:t xml:space="preserve"> إِنَّ الرَّجُلَ لَيَغْضَبُ </w:t>
      </w:r>
      <w:r w:rsidR="006C577F" w:rsidRPr="006C577F">
        <w:rPr>
          <w:rStyle w:val="libFootnotenumChar"/>
          <w:rtl/>
        </w:rPr>
        <w:t>(8)</w:t>
      </w:r>
      <w:r w:rsidRPr="00C9040A">
        <w:rPr>
          <w:rtl/>
          <w:lang w:bidi="fa-IR"/>
        </w:rPr>
        <w:t xml:space="preserve"> ، فَيَقْتُلُ النَّفْسَ الَّتِي حَرَّمَ اللهُ ، وَيَقْذِفُ الْمُحْصَنَةَ </w:t>
      </w:r>
      <w:r w:rsidR="006C577F" w:rsidRPr="006C577F">
        <w:rPr>
          <w:rStyle w:val="libFootnotenumChar"/>
          <w:rtl/>
        </w:rPr>
        <w:t>(9)</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Normal"/>
        <w:rPr>
          <w:rtl/>
          <w:lang w:bidi="fa-IR"/>
        </w:rPr>
      </w:pPr>
      <w:r w:rsidRPr="00665877">
        <w:rPr>
          <w:rtl/>
        </w:rPr>
        <w:t>2535</w:t>
      </w:r>
      <w:r w:rsidRPr="00261CB0">
        <w:rPr>
          <w:rStyle w:val="libBold2Char"/>
          <w:rtl/>
        </w:rPr>
        <w:t xml:space="preserve"> / 5.</w:t>
      </w:r>
      <w:r w:rsidRPr="00C9040A">
        <w:rPr>
          <w:rtl/>
          <w:lang w:bidi="fa-IR"/>
        </w:rPr>
        <w:t xml:space="preserve"> عَنْهُ </w:t>
      </w:r>
      <w:r w:rsidR="006C577F" w:rsidRPr="006C577F">
        <w:rPr>
          <w:rStyle w:val="libFootnotenumChar"/>
          <w:rtl/>
        </w:rPr>
        <w:t>(11)</w:t>
      </w:r>
      <w:r w:rsidRPr="00C9040A">
        <w:rPr>
          <w:rtl/>
          <w:lang w:bidi="fa-IR"/>
        </w:rPr>
        <w:t xml:space="preserve"> ، عَنِ ابْنِ فَضَّالٍ ، عَنْ إِبْرَاهِيمَ بْنِ مُحَمَّدٍ الْأَشْعَرِيِّ ، عَنْ عَبْدِ الْأَعْلى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F9396B">
      <w:pPr>
        <w:pStyle w:val="libFootnote0"/>
        <w:rPr>
          <w:rtl/>
          <w:lang w:bidi="fa-IR"/>
        </w:rPr>
      </w:pPr>
      <w:r>
        <w:rPr>
          <w:rtl/>
        </w:rPr>
        <w:t>(1).</w:t>
      </w:r>
      <w:r w:rsidR="008A74EB">
        <w:rPr>
          <w:rtl/>
        </w:rPr>
        <w:t xml:space="preserve"> </w:t>
      </w:r>
      <w:r w:rsidR="008A74EB" w:rsidRPr="00993B55">
        <w:rPr>
          <w:rStyle w:val="libFootnoteBoldChar"/>
          <w:rtl/>
        </w:rPr>
        <w:t>الزهد</w:t>
      </w:r>
      <w:r w:rsidR="008A74EB" w:rsidRPr="00C9040A">
        <w:rPr>
          <w:rtl/>
        </w:rPr>
        <w:t xml:space="preserve"> ، ص 89 ، ضمن ح 62 ، عن فضالة بن أيّوب ، عن داود بن فرقد ؛ </w:t>
      </w:r>
      <w:r w:rsidR="008A74EB" w:rsidRPr="00993B55">
        <w:rPr>
          <w:rStyle w:val="libFootnoteBoldChar"/>
          <w:rtl/>
        </w:rPr>
        <w:t>الخصال</w:t>
      </w:r>
      <w:r w:rsidR="008A74EB" w:rsidRPr="00C9040A">
        <w:rPr>
          <w:rtl/>
        </w:rPr>
        <w:t xml:space="preserve"> ، ص 7 ، باب الواحد ، ح 22 ، بسند آخر عن يونس بن عبدالرحمن ، عن داود بن فرقد. </w:t>
      </w:r>
      <w:r w:rsidR="008A74EB" w:rsidRPr="00993B55">
        <w:rPr>
          <w:rStyle w:val="libFootnoteBoldChar"/>
          <w:rtl/>
        </w:rPr>
        <w:t>تحف‌العقول</w:t>
      </w:r>
      <w:r w:rsidR="008A74EB" w:rsidRPr="00C9040A">
        <w:rPr>
          <w:rtl/>
        </w:rPr>
        <w:t xml:space="preserve"> ، ص 395 ، عن موسى بن جعفر </w:t>
      </w:r>
      <w:r w:rsidR="00117575" w:rsidRPr="00117575">
        <w:rPr>
          <w:rStyle w:val="libFootnoteAlaemChar"/>
          <w:rtl/>
        </w:rPr>
        <w:t>عليه‌السلام</w:t>
      </w:r>
      <w:r w:rsidR="008A74EB" w:rsidRPr="00C9040A">
        <w:rPr>
          <w:rtl/>
        </w:rPr>
        <w:t xml:space="preserve"> ، ضمن وصيّته للهشام ؛ </w:t>
      </w:r>
      <w:r w:rsidR="008A74EB" w:rsidRPr="00993B55">
        <w:rPr>
          <w:rStyle w:val="libFootnoteBoldChar"/>
          <w:rtl/>
        </w:rPr>
        <w:t>وفيه</w:t>
      </w:r>
      <w:r w:rsidR="008A74EB" w:rsidRPr="00C9040A">
        <w:rPr>
          <w:rtl/>
        </w:rPr>
        <w:t xml:space="preserve"> ، ص 488 ، عن العسكري </w:t>
      </w:r>
      <w:r w:rsidR="00117575" w:rsidRPr="00117575">
        <w:rPr>
          <w:rStyle w:val="libFootnoteAlaemChar"/>
          <w:rtl/>
        </w:rPr>
        <w:t>عليه‌السلام</w:t>
      </w:r>
      <w:r w:rsidR="00F9396B">
        <w:rPr>
          <w:rFonts w:hint="cs"/>
          <w:rtl/>
        </w:rPr>
        <w:t>.</w:t>
      </w:r>
      <w:r w:rsidR="008A74EB" w:rsidRPr="00993B55">
        <w:rPr>
          <w:rStyle w:val="libFootnoteBoldChar"/>
          <w:rtl/>
        </w:rPr>
        <w:t>الوافي</w:t>
      </w:r>
      <w:r w:rsidR="008A74EB" w:rsidRPr="00C9040A">
        <w:rPr>
          <w:rtl/>
        </w:rPr>
        <w:t xml:space="preserve"> ، ج 5 ، ص 863 ، ح 3159 ؛ </w:t>
      </w:r>
      <w:r w:rsidR="008A74EB" w:rsidRPr="00993B55">
        <w:rPr>
          <w:rStyle w:val="libFootnoteBoldChar"/>
          <w:rtl/>
        </w:rPr>
        <w:t>الوسائل</w:t>
      </w:r>
      <w:r w:rsidR="008A74EB" w:rsidRPr="00C9040A">
        <w:rPr>
          <w:rtl/>
        </w:rPr>
        <w:t xml:space="preserve"> ، ج 15 ، ص 358 ، ح 20733 ؛ </w:t>
      </w:r>
      <w:r w:rsidR="008A74EB" w:rsidRPr="00993B55">
        <w:rPr>
          <w:rStyle w:val="libFootnoteBoldChar"/>
          <w:rtl/>
        </w:rPr>
        <w:t>البحار</w:t>
      </w:r>
      <w:r w:rsidR="008A74EB" w:rsidRPr="00C9040A">
        <w:rPr>
          <w:rtl/>
        </w:rPr>
        <w:t xml:space="preserve"> ، ج 73 ، ص 274 ، ح 24.</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w:t>
      </w:r>
      <w:r w:rsidR="006D3162">
        <w:rPr>
          <w:rtl/>
        </w:rPr>
        <w:t xml:space="preserve">ه </w:t>
      </w:r>
      <w:r w:rsidR="008A74EB" w:rsidRPr="00C9040A">
        <w:rPr>
          <w:rtl/>
        </w:rPr>
        <w:t>، بر ، بف » والوافي : « الكلم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بر » </w:t>
      </w:r>
      <w:r w:rsidR="008A74EB">
        <w:rPr>
          <w:rtl/>
        </w:rPr>
        <w:t xml:space="preserve">: </w:t>
      </w:r>
      <w:r w:rsidR="0084262C">
        <w:rPr>
          <w:rtl/>
        </w:rPr>
        <w:t>-</w:t>
      </w:r>
      <w:r w:rsidR="008A74EB" w:rsidRPr="00C9040A">
        <w:rPr>
          <w:rtl/>
        </w:rPr>
        <w:t xml:space="preserve"> « عليه »</w:t>
      </w:r>
      <w:r w:rsidR="008A74EB">
        <w:rPr>
          <w:rtl/>
        </w:rPr>
        <w:t>.</w:t>
      </w:r>
    </w:p>
    <w:tbl>
      <w:tblPr>
        <w:tblStyle w:val="TableGrid"/>
        <w:bidiVisual/>
        <w:tblW w:w="0" w:type="auto"/>
        <w:tblLook w:val="04A0" w:firstRow="1" w:lastRow="0" w:firstColumn="1" w:lastColumn="0" w:noHBand="0" w:noVBand="1"/>
      </w:tblPr>
      <w:tblGrid>
        <w:gridCol w:w="4006"/>
        <w:gridCol w:w="4006"/>
      </w:tblGrid>
      <w:tr w:rsidR="00F9396B" w:rsidTr="00F9396B">
        <w:tc>
          <w:tcPr>
            <w:tcW w:w="4006" w:type="dxa"/>
          </w:tcPr>
          <w:p w:rsidR="00F9396B" w:rsidRDefault="00F9396B" w:rsidP="004A4E41">
            <w:pPr>
              <w:pStyle w:val="libFootnote0"/>
              <w:rPr>
                <w:rtl/>
              </w:rPr>
            </w:pPr>
            <w:r>
              <w:rPr>
                <w:rtl/>
              </w:rPr>
              <w:t>(4).</w:t>
            </w:r>
            <w:r w:rsidRPr="00C9040A">
              <w:rPr>
                <w:rtl/>
              </w:rPr>
              <w:t xml:space="preserve"> في الوافي : « الأعرابي عليه »</w:t>
            </w:r>
            <w:r>
              <w:rPr>
                <w:rtl/>
              </w:rPr>
              <w:t>.</w:t>
            </w:r>
          </w:p>
        </w:tc>
        <w:tc>
          <w:tcPr>
            <w:tcW w:w="4006" w:type="dxa"/>
          </w:tcPr>
          <w:p w:rsidR="00F9396B" w:rsidRDefault="00F9396B" w:rsidP="004A4E41">
            <w:pPr>
              <w:pStyle w:val="libFootnote0"/>
              <w:rPr>
                <w:rtl/>
              </w:rPr>
            </w:pPr>
            <w:r>
              <w:rPr>
                <w:rtl/>
              </w:rPr>
              <w:t>(5).</w:t>
            </w:r>
            <w:r w:rsidRPr="00C9040A">
              <w:rPr>
                <w:rtl/>
              </w:rPr>
              <w:t xml:space="preserve"> في « </w:t>
            </w:r>
            <w:r>
              <w:rPr>
                <w:rtl/>
              </w:rPr>
              <w:t xml:space="preserve">ه </w:t>
            </w:r>
            <w:r w:rsidRPr="00C9040A">
              <w:rPr>
                <w:rtl/>
              </w:rPr>
              <w:t xml:space="preserve">» </w:t>
            </w:r>
            <w:r>
              <w:rPr>
                <w:rtl/>
              </w:rPr>
              <w:t>: -</w:t>
            </w:r>
            <w:r w:rsidRPr="00C9040A">
              <w:rPr>
                <w:rtl/>
              </w:rPr>
              <w:t xml:space="preserve"> « المسألة »</w:t>
            </w:r>
            <w:r>
              <w:rPr>
                <w:rtl/>
              </w:rPr>
              <w:t>.</w:t>
            </w:r>
          </w:p>
        </w:tc>
      </w:tr>
      <w:tr w:rsidR="00F9396B" w:rsidTr="00F9396B">
        <w:tc>
          <w:tcPr>
            <w:tcW w:w="4006" w:type="dxa"/>
          </w:tcPr>
          <w:p w:rsidR="00F9396B" w:rsidRDefault="00F9396B" w:rsidP="004A4E41">
            <w:pPr>
              <w:pStyle w:val="libFootnote0"/>
              <w:rPr>
                <w:rtl/>
              </w:rPr>
            </w:pPr>
            <w:r>
              <w:rPr>
                <w:rtl/>
              </w:rPr>
              <w:t xml:space="preserve">(6). </w:t>
            </w:r>
            <w:r w:rsidRPr="00C9040A">
              <w:rPr>
                <w:rtl/>
              </w:rPr>
              <w:t xml:space="preserve">في « </w:t>
            </w:r>
            <w:r>
              <w:rPr>
                <w:rtl/>
              </w:rPr>
              <w:t xml:space="preserve">ه </w:t>
            </w:r>
            <w:r w:rsidRPr="00C9040A">
              <w:rPr>
                <w:rtl/>
              </w:rPr>
              <w:t>» : « مرار »</w:t>
            </w:r>
            <w:r>
              <w:rPr>
                <w:rtl/>
              </w:rPr>
              <w:t>.</w:t>
            </w:r>
          </w:p>
        </w:tc>
        <w:tc>
          <w:tcPr>
            <w:tcW w:w="4006" w:type="dxa"/>
          </w:tcPr>
          <w:p w:rsidR="00F9396B" w:rsidRDefault="00F9396B" w:rsidP="004A4E41">
            <w:pPr>
              <w:pStyle w:val="libFootnote0"/>
              <w:rPr>
                <w:rtl/>
              </w:rPr>
            </w:pPr>
            <w:r>
              <w:rPr>
                <w:rtl/>
              </w:rPr>
              <w:t>(7).</w:t>
            </w:r>
            <w:r w:rsidRPr="00C9040A">
              <w:rPr>
                <w:rtl/>
              </w:rPr>
              <w:t xml:space="preserve"> في « بر » : « على »</w:t>
            </w:r>
            <w:r>
              <w:rPr>
                <w:rtl/>
              </w:rPr>
              <w:t>.</w:t>
            </w:r>
          </w:p>
        </w:tc>
      </w:tr>
    </w:tbl>
    <w:p w:rsidR="008A74EB" w:rsidRPr="00C9040A" w:rsidRDefault="006C577F" w:rsidP="004A4E41">
      <w:pPr>
        <w:pStyle w:val="libFootnote0"/>
        <w:rPr>
          <w:rtl/>
          <w:lang w:bidi="fa-IR"/>
        </w:rPr>
      </w:pPr>
      <w:r>
        <w:rPr>
          <w:rtl/>
        </w:rPr>
        <w:t>(8).</w:t>
      </w:r>
      <w:r w:rsidR="008A74EB" w:rsidRPr="00C9040A">
        <w:rPr>
          <w:rtl/>
        </w:rPr>
        <w:t xml:space="preserve"> في « ب ، ج ، ز ، ص ، بس » والوافي والبحار : « يغضب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w:t>
      </w:r>
      <w:r w:rsidR="008A74EB" w:rsidRPr="00993B55">
        <w:rPr>
          <w:rStyle w:val="libFootnoteBoldChar"/>
          <w:rtl/>
        </w:rPr>
        <w:t>شرح المازندراني</w:t>
      </w:r>
      <w:r w:rsidR="008A74EB" w:rsidRPr="00C9040A">
        <w:rPr>
          <w:rtl/>
        </w:rPr>
        <w:t xml:space="preserve"> ، ج 9 ، ص 295 : « المحصنة ، بالكسر وبالفتح أيضاً على غير قياس ، وهي العفيفة يقال : أحصنت المرأة إذا عفّت ، وأحصنت نفسها بعقلها التامّ »</w:t>
      </w:r>
      <w:r w:rsidR="008A74EB">
        <w:rPr>
          <w:rtl/>
        </w:rPr>
        <w:t>.</w:t>
      </w:r>
    </w:p>
    <w:p w:rsidR="008A74EB" w:rsidRPr="00C9040A" w:rsidRDefault="006C577F" w:rsidP="00706EC4">
      <w:pPr>
        <w:pStyle w:val="libFootnote0"/>
        <w:rPr>
          <w:rtl/>
          <w:lang w:bidi="fa-IR"/>
        </w:rPr>
      </w:pPr>
      <w:r>
        <w:rPr>
          <w:rtl/>
        </w:rPr>
        <w:t>(10).</w:t>
      </w:r>
      <w:r w:rsidR="008A74EB" w:rsidRPr="00C9040A">
        <w:rPr>
          <w:rtl/>
        </w:rPr>
        <w:t xml:space="preserve"> </w:t>
      </w:r>
      <w:r w:rsidR="008A74EB" w:rsidRPr="00993B55">
        <w:rPr>
          <w:rStyle w:val="libFootnoteBoldChar"/>
          <w:rtl/>
        </w:rPr>
        <w:t>الزهد</w:t>
      </w:r>
      <w:r w:rsidR="008A74EB" w:rsidRPr="00C9040A">
        <w:rPr>
          <w:rtl/>
        </w:rPr>
        <w:t xml:space="preserve"> ، ص 89 ، ح 62 ، بسند آخر ، مع اختلاف</w:t>
      </w:r>
      <w:r w:rsidR="00706EC4">
        <w:rPr>
          <w:rFonts w:hint="cs"/>
          <w:rtl/>
        </w:rPr>
        <w:t>.</w:t>
      </w:r>
      <w:r w:rsidR="008A74EB" w:rsidRPr="00993B55">
        <w:rPr>
          <w:rStyle w:val="libFootnoteBoldChar"/>
          <w:rtl/>
        </w:rPr>
        <w:t>الوافي</w:t>
      </w:r>
      <w:r w:rsidR="008A74EB" w:rsidRPr="00C9040A">
        <w:rPr>
          <w:rtl/>
        </w:rPr>
        <w:t xml:space="preserve"> ، ج 5 ، ص 863 ، ح 3160 ؛ </w:t>
      </w:r>
      <w:r w:rsidR="008A74EB" w:rsidRPr="00993B55">
        <w:rPr>
          <w:rStyle w:val="libFootnoteBoldChar"/>
          <w:rtl/>
        </w:rPr>
        <w:t>الوسائل</w:t>
      </w:r>
      <w:r w:rsidR="008A74EB" w:rsidRPr="00C9040A">
        <w:rPr>
          <w:rtl/>
        </w:rPr>
        <w:t xml:space="preserve"> ، ج 15 ، ص 359 ، ح 20737 ؛ </w:t>
      </w:r>
      <w:r w:rsidR="008A74EB" w:rsidRPr="00993B55">
        <w:rPr>
          <w:rStyle w:val="libFootnoteBoldChar"/>
          <w:rtl/>
        </w:rPr>
        <w:t>البحار</w:t>
      </w:r>
      <w:r w:rsidR="008A74EB" w:rsidRPr="00C9040A">
        <w:rPr>
          <w:rtl/>
        </w:rPr>
        <w:t xml:space="preserve"> ، ج 73 ، ص 274 ، ح 25.</w:t>
      </w:r>
    </w:p>
    <w:p w:rsidR="008A74EB" w:rsidRPr="00C9040A" w:rsidRDefault="006C577F" w:rsidP="004A4E41">
      <w:pPr>
        <w:pStyle w:val="libFootnote0"/>
        <w:rPr>
          <w:rtl/>
          <w:lang w:bidi="fa-IR"/>
        </w:rPr>
      </w:pPr>
      <w:r>
        <w:rPr>
          <w:rtl/>
        </w:rPr>
        <w:t>(11).</w:t>
      </w:r>
      <w:r w:rsidR="008A74EB" w:rsidRPr="00C9040A">
        <w:rPr>
          <w:rtl/>
        </w:rPr>
        <w:t xml:space="preserve"> الضمير راجع إلى أحمد بن محمّد بن خالد المذكور في السند السابق.</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قَالَ :</w:t>
      </w:r>
    </w:p>
    <w:p w:rsidR="008A74EB" w:rsidRPr="00C9040A" w:rsidRDefault="008A74EB" w:rsidP="008A74EB">
      <w:pPr>
        <w:pStyle w:val="libNormal"/>
        <w:rPr>
          <w:rtl/>
          <w:lang w:bidi="fa-IR"/>
        </w:rPr>
      </w:pPr>
      <w:r w:rsidRPr="00C9040A">
        <w:rPr>
          <w:rtl/>
          <w:lang w:bidi="fa-IR"/>
        </w:rPr>
        <w:t xml:space="preserve">قُلْتُ لِأَبِي عَبْدِ اللهِ </w:t>
      </w:r>
      <w:r w:rsidRPr="0003660B">
        <w:rPr>
          <w:rStyle w:val="libAlaemChar"/>
          <w:rtl/>
        </w:rPr>
        <w:t>عليه‌السلام</w:t>
      </w:r>
      <w:r w:rsidRPr="00C9040A">
        <w:rPr>
          <w:rtl/>
          <w:lang w:bidi="fa-IR"/>
        </w:rPr>
        <w:t xml:space="preserve"> : عَلِّمْنِي عِظَةً أَتَّعِظُ بِهَا ، فَقَالَ : « إِنَّ رَسُولَ اللهِ </w:t>
      </w:r>
      <w:r w:rsidR="004A4E41" w:rsidRPr="004A4E41">
        <w:rPr>
          <w:rStyle w:val="libAlaemChar"/>
          <w:rtl/>
        </w:rPr>
        <w:t>صلى‌الله‌عليه‌وآله</w:t>
      </w:r>
      <w:r w:rsidRPr="00C9040A">
        <w:rPr>
          <w:rtl/>
          <w:lang w:bidi="fa-IR"/>
        </w:rPr>
        <w:t xml:space="preserve"> أَتَاهُ رَجُلٌ ، فَقَالَ لَهُ </w:t>
      </w:r>
      <w:r w:rsidR="006C577F" w:rsidRPr="006C577F">
        <w:rPr>
          <w:rStyle w:val="libFootnotenumChar"/>
          <w:rtl/>
        </w:rPr>
        <w:t>(1)</w:t>
      </w:r>
      <w:r w:rsidRPr="00C9040A">
        <w:rPr>
          <w:rtl/>
          <w:lang w:bidi="fa-IR"/>
        </w:rPr>
        <w:t xml:space="preserve"> : يَا رَسُولَ اللهِ ، عَلِّمْنِي عِظَةً أَتَّعِظُ بِهَا ، فَقَالَ لَهُ </w:t>
      </w:r>
      <w:r w:rsidR="006C577F" w:rsidRPr="006C577F">
        <w:rPr>
          <w:rStyle w:val="libFootnotenumChar"/>
          <w:rtl/>
        </w:rPr>
        <w:t>(2)</w:t>
      </w:r>
      <w:r w:rsidRPr="00C9040A">
        <w:rPr>
          <w:rtl/>
          <w:lang w:bidi="fa-IR"/>
        </w:rPr>
        <w:t xml:space="preserve"> : انْطَلِقْ وَلَاتَغْضَبْ ، </w:t>
      </w:r>
      <w:r w:rsidR="006C577F" w:rsidRPr="006C577F">
        <w:rPr>
          <w:rStyle w:val="libFootnotenumChar"/>
          <w:rtl/>
        </w:rPr>
        <w:t>(3)</w:t>
      </w:r>
      <w:r w:rsidRPr="00C9040A">
        <w:rPr>
          <w:rtl/>
          <w:lang w:bidi="fa-IR"/>
        </w:rPr>
        <w:t xml:space="preserve"> ثُمَّ أَعَادَ </w:t>
      </w:r>
      <w:r w:rsidR="006C577F" w:rsidRPr="006C577F">
        <w:rPr>
          <w:rStyle w:val="libFootnotenumChar"/>
          <w:rtl/>
        </w:rPr>
        <w:t>(4)</w:t>
      </w:r>
      <w:r w:rsidRPr="00C9040A">
        <w:rPr>
          <w:rtl/>
          <w:lang w:bidi="fa-IR"/>
        </w:rPr>
        <w:t xml:space="preserve"> إِلَيْهِ ، فَقَالَ لَهُ </w:t>
      </w:r>
      <w:r w:rsidR="006C577F" w:rsidRPr="006C577F">
        <w:rPr>
          <w:rStyle w:val="libFootnotenumChar"/>
          <w:rtl/>
        </w:rPr>
        <w:t>(5)</w:t>
      </w:r>
      <w:r w:rsidRPr="00C9040A">
        <w:rPr>
          <w:rtl/>
          <w:lang w:bidi="fa-IR"/>
        </w:rPr>
        <w:t xml:space="preserve"> : انْطَلِقْ وَلَاتَغْضَبْ ؛ </w:t>
      </w:r>
      <w:r w:rsidR="006C577F" w:rsidRPr="006C577F">
        <w:rPr>
          <w:rStyle w:val="libFootnotenumChar"/>
          <w:rtl/>
        </w:rPr>
        <w:t>(6)</w:t>
      </w:r>
      <w:r w:rsidRPr="005B567D">
        <w:rPr>
          <w:rStyle w:val="libFootnotenumChar"/>
          <w:rtl/>
        </w:rPr>
        <w:t xml:space="preserve"> </w:t>
      </w:r>
      <w:r w:rsidRPr="00C9040A">
        <w:rPr>
          <w:rtl/>
          <w:lang w:bidi="fa-IR"/>
        </w:rPr>
        <w:t>ثَلَاثَ مَرَّاتٍ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665877">
        <w:rPr>
          <w:rtl/>
        </w:rPr>
        <w:t>2536</w:t>
      </w:r>
      <w:r w:rsidRPr="00261CB0">
        <w:rPr>
          <w:rStyle w:val="libBold2Char"/>
          <w:rtl/>
        </w:rPr>
        <w:t xml:space="preserve"> / 6.</w:t>
      </w:r>
      <w:r w:rsidRPr="00C9040A">
        <w:rPr>
          <w:rtl/>
          <w:lang w:bidi="fa-IR"/>
        </w:rPr>
        <w:t xml:space="preserve"> عَنْهُ </w:t>
      </w:r>
      <w:r w:rsidR="006C577F" w:rsidRPr="006C577F">
        <w:rPr>
          <w:rStyle w:val="libFootnotenumChar"/>
          <w:rtl/>
        </w:rPr>
        <w:t>(8)</w:t>
      </w:r>
      <w:r w:rsidRPr="00C9040A">
        <w:rPr>
          <w:rtl/>
          <w:lang w:bidi="fa-IR"/>
        </w:rPr>
        <w:t xml:space="preserve"> ، عَنْ إِسْمَاعِيلَ بْنِ مِهْرَانَ ، عَنْ سَيْفِ بْنِ عَمِيرَةَ :</w:t>
      </w:r>
    </w:p>
    <w:p w:rsidR="008A74EB" w:rsidRPr="00C9040A" w:rsidRDefault="008A74EB" w:rsidP="008A74EB">
      <w:pPr>
        <w:pStyle w:val="libNormal"/>
        <w:rPr>
          <w:rtl/>
          <w:lang w:bidi="fa-IR"/>
        </w:rPr>
      </w:pPr>
      <w:r w:rsidRPr="00C9040A">
        <w:rPr>
          <w:rtl/>
          <w:lang w:bidi="fa-IR"/>
        </w:rPr>
        <w:t xml:space="preserve">عَمَّنْ سَمِعَ أَبَا عَبْدِ اللهِ </w:t>
      </w:r>
      <w:r w:rsidRPr="0003660B">
        <w:rPr>
          <w:rStyle w:val="libAlaemChar"/>
          <w:rtl/>
        </w:rPr>
        <w:t>عليه‌السلام</w:t>
      </w:r>
      <w:r w:rsidRPr="00C9040A">
        <w:rPr>
          <w:rtl/>
          <w:lang w:bidi="fa-IR"/>
        </w:rPr>
        <w:t xml:space="preserve"> يَقُولُ : « مَنْ كَفَّ غَضَبَهُ ، سَتَرَ اللهُ عَوْرَتَهُ </w:t>
      </w:r>
      <w:r w:rsidR="006C577F" w:rsidRPr="006C577F">
        <w:rPr>
          <w:rStyle w:val="libFootnotenumChar"/>
          <w:rtl/>
        </w:rPr>
        <w:t>(9)</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Normal"/>
        <w:rPr>
          <w:rtl/>
          <w:lang w:bidi="fa-IR"/>
        </w:rPr>
      </w:pPr>
      <w:r w:rsidRPr="00665877">
        <w:rPr>
          <w:rtl/>
        </w:rPr>
        <w:t>2537</w:t>
      </w:r>
      <w:r w:rsidRPr="00261CB0">
        <w:rPr>
          <w:rStyle w:val="libBold2Char"/>
          <w:rtl/>
        </w:rPr>
        <w:t xml:space="preserve"> / 7.</w:t>
      </w:r>
      <w:r w:rsidRPr="00C9040A">
        <w:rPr>
          <w:rtl/>
          <w:lang w:bidi="fa-IR"/>
        </w:rPr>
        <w:t xml:space="preserve"> عَنْهُ </w:t>
      </w:r>
      <w:r w:rsidR="006C577F" w:rsidRPr="006C577F">
        <w:rPr>
          <w:rStyle w:val="libFootnotenumChar"/>
          <w:rtl/>
        </w:rPr>
        <w:t>(11)</w:t>
      </w:r>
      <w:r w:rsidRPr="00C9040A">
        <w:rPr>
          <w:rtl/>
          <w:lang w:bidi="fa-IR"/>
        </w:rPr>
        <w:t xml:space="preserve"> ، عَنِ ابْنِ مَحْبُوبٍ ، عَنْ هِشَامِ بْنِ سَالِمٍ ، عَنْ حَبِيبٍ السِّجِسْتَانِيِّ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مَكْتُوبٌ فِي التَّوْرَاةِ فِيمَا نَاجَى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بِهِ </w:t>
      </w:r>
      <w:r w:rsidR="006C577F" w:rsidRPr="006C577F">
        <w:rPr>
          <w:rStyle w:val="libFootnotenumChar"/>
          <w:rtl/>
        </w:rPr>
        <w:t>(12)</w:t>
      </w:r>
      <w:r w:rsidRPr="00C9040A">
        <w:rPr>
          <w:rtl/>
          <w:lang w:bidi="fa-IR"/>
        </w:rPr>
        <w:t xml:space="preserve"> مُوسى </w:t>
      </w:r>
      <w:r w:rsidRPr="0003660B">
        <w:rPr>
          <w:rStyle w:val="libAlaemChar"/>
          <w:rtl/>
        </w:rPr>
        <w:t>عليه‌السلام</w:t>
      </w:r>
      <w:r w:rsidRPr="00C9040A">
        <w:rPr>
          <w:rtl/>
          <w:lang w:bidi="fa-IR"/>
        </w:rPr>
        <w:t xml:space="preserve"> : يَا مُوسى ، أَمْسِكْ </w:t>
      </w:r>
      <w:r w:rsidRPr="005B567D">
        <w:rPr>
          <w:rStyle w:val="libFootnotenumChar"/>
          <w:rtl/>
        </w:rPr>
        <w:t>(13)</w:t>
      </w:r>
      <w:r w:rsidRPr="00C9040A">
        <w:rPr>
          <w:rtl/>
          <w:lang w:bidi="fa-IR"/>
        </w:rPr>
        <w:t xml:space="preserve"> غَضَبَكَ عَمَّنْ مَلَّكْتُكَ عَلَيْهِ ؛ أَكُفَّ </w:t>
      </w:r>
      <w:r w:rsidRPr="005B567D">
        <w:rPr>
          <w:rStyle w:val="libFootnotenumChar"/>
          <w:rtl/>
        </w:rPr>
        <w:t>(14)</w:t>
      </w:r>
      <w:r w:rsidRPr="00C9040A">
        <w:rPr>
          <w:rtl/>
          <w:lang w:bidi="fa-IR"/>
        </w:rPr>
        <w:t xml:space="preserve"> عَنْكَ غَضَبِي </w:t>
      </w:r>
      <w:r w:rsidRPr="005B567D">
        <w:rPr>
          <w:rStyle w:val="libFootnotenumChar"/>
          <w:rtl/>
        </w:rPr>
        <w:t>(15)</w:t>
      </w:r>
      <w:r w:rsidRPr="00C9040A">
        <w:rPr>
          <w:rtl/>
          <w:lang w:bidi="fa-IR"/>
        </w:rPr>
        <w:t xml:space="preserve"> »</w:t>
      </w:r>
      <w:r>
        <w:rPr>
          <w:rtl/>
          <w:lang w:bidi="fa-IR"/>
        </w:rPr>
        <w:t>.</w:t>
      </w:r>
      <w:r w:rsidRPr="00C9040A">
        <w:rPr>
          <w:rtl/>
          <w:lang w:bidi="fa-IR"/>
        </w:rPr>
        <w:t xml:space="preserve"> </w:t>
      </w:r>
      <w:r w:rsidRPr="005B567D">
        <w:rPr>
          <w:rStyle w:val="libFootnotenumChar"/>
          <w:rtl/>
        </w:rPr>
        <w:t>(16)</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ب ، د ، ز ، ص ، </w:t>
      </w:r>
      <w:r w:rsidR="006D3162">
        <w:rPr>
          <w:rtl/>
        </w:rPr>
        <w:t xml:space="preserve">ه </w:t>
      </w:r>
      <w:r w:rsidR="008A74EB" w:rsidRPr="00C9040A">
        <w:rPr>
          <w:rtl/>
        </w:rPr>
        <w:t xml:space="preserve">، بر ، بس ، بف » والوافي والوسائل </w:t>
      </w:r>
      <w:r w:rsidR="008A74EB">
        <w:rPr>
          <w:rtl/>
        </w:rPr>
        <w:t xml:space="preserve">: </w:t>
      </w:r>
      <w:r w:rsidR="0084262C">
        <w:rPr>
          <w:rtl/>
        </w:rPr>
        <w:t>-</w:t>
      </w:r>
      <w:r w:rsidR="008A74EB" w:rsidRPr="00C9040A">
        <w:rPr>
          <w:rtl/>
        </w:rPr>
        <w:t xml:space="preserve"> « له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الوسائل </w:t>
      </w:r>
      <w:r w:rsidR="008A74EB">
        <w:rPr>
          <w:rtl/>
        </w:rPr>
        <w:t xml:space="preserve">: </w:t>
      </w:r>
      <w:r w:rsidR="0084262C">
        <w:rPr>
          <w:rtl/>
        </w:rPr>
        <w:t>-</w:t>
      </w:r>
      <w:r w:rsidR="008A74EB" w:rsidRPr="00C9040A">
        <w:rPr>
          <w:rtl/>
        </w:rPr>
        <w:t xml:space="preserve"> « له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ب ، ج ، د ، ص ، </w:t>
      </w:r>
      <w:r w:rsidR="006D3162">
        <w:rPr>
          <w:rtl/>
        </w:rPr>
        <w:t xml:space="preserve">ه </w:t>
      </w:r>
      <w:r w:rsidR="008A74EB" w:rsidRPr="00C9040A">
        <w:rPr>
          <w:rtl/>
        </w:rPr>
        <w:t>، بر ، بس ، بف » والوافي والوسائل والبحار : « فلاتغضب »</w:t>
      </w:r>
      <w:r w:rsidR="008A74EB">
        <w:rPr>
          <w:rtl/>
        </w:rPr>
        <w:t>.</w:t>
      </w:r>
    </w:p>
    <w:tbl>
      <w:tblPr>
        <w:tblStyle w:val="TableGrid"/>
        <w:bidiVisual/>
        <w:tblW w:w="0" w:type="auto"/>
        <w:tblLook w:val="04A0" w:firstRow="1" w:lastRow="0" w:firstColumn="1" w:lastColumn="0" w:noHBand="0" w:noVBand="1"/>
      </w:tblPr>
      <w:tblGrid>
        <w:gridCol w:w="4006"/>
        <w:gridCol w:w="4006"/>
      </w:tblGrid>
      <w:tr w:rsidR="00706EC4" w:rsidTr="00706EC4">
        <w:tc>
          <w:tcPr>
            <w:tcW w:w="4006" w:type="dxa"/>
          </w:tcPr>
          <w:p w:rsidR="00706EC4" w:rsidRDefault="00706EC4" w:rsidP="004A4E41">
            <w:pPr>
              <w:pStyle w:val="libFootnote0"/>
              <w:rPr>
                <w:rtl/>
              </w:rPr>
            </w:pPr>
            <w:r>
              <w:rPr>
                <w:rtl/>
              </w:rPr>
              <w:t>(4).</w:t>
            </w:r>
            <w:r w:rsidRPr="00C9040A">
              <w:rPr>
                <w:rtl/>
              </w:rPr>
              <w:t xml:space="preserve"> في « ز » والوافي والوسائل والبحار : « عاد »</w:t>
            </w:r>
            <w:r>
              <w:rPr>
                <w:rtl/>
              </w:rPr>
              <w:t>.</w:t>
            </w:r>
          </w:p>
        </w:tc>
        <w:tc>
          <w:tcPr>
            <w:tcW w:w="4006" w:type="dxa"/>
          </w:tcPr>
          <w:p w:rsidR="00706EC4" w:rsidRDefault="00706EC4" w:rsidP="004A4E41">
            <w:pPr>
              <w:pStyle w:val="libFootnote0"/>
              <w:rPr>
                <w:rtl/>
              </w:rPr>
            </w:pPr>
            <w:r>
              <w:rPr>
                <w:rtl/>
              </w:rPr>
              <w:t>(5).</w:t>
            </w:r>
            <w:r w:rsidRPr="00C9040A">
              <w:rPr>
                <w:rtl/>
              </w:rPr>
              <w:t xml:space="preserve"> في « </w:t>
            </w:r>
            <w:r>
              <w:rPr>
                <w:rtl/>
              </w:rPr>
              <w:t xml:space="preserve">ه </w:t>
            </w:r>
            <w:r w:rsidRPr="00C9040A">
              <w:rPr>
                <w:rtl/>
              </w:rPr>
              <w:t xml:space="preserve">» والوسائل </w:t>
            </w:r>
            <w:r>
              <w:rPr>
                <w:rtl/>
              </w:rPr>
              <w:t>: -</w:t>
            </w:r>
            <w:r w:rsidRPr="00C9040A">
              <w:rPr>
                <w:rtl/>
              </w:rPr>
              <w:t xml:space="preserve"> « له »</w:t>
            </w:r>
            <w:r>
              <w:rPr>
                <w:rtl/>
              </w:rPr>
              <w:t>.</w:t>
            </w:r>
          </w:p>
        </w:tc>
      </w:tr>
    </w:tbl>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ب ، د ، ز ، بر ، بس ، بف » والوافي والوسائل والبحار : « فلاتغضب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الوافي</w:t>
      </w:r>
      <w:r w:rsidR="008A74EB" w:rsidRPr="00C9040A">
        <w:rPr>
          <w:rtl/>
        </w:rPr>
        <w:t xml:space="preserve"> ، ج 5 ، ص 863 ، ح 3161 ؛ </w:t>
      </w:r>
      <w:r w:rsidR="008A74EB" w:rsidRPr="00993B55">
        <w:rPr>
          <w:rStyle w:val="libFootnoteBoldChar"/>
          <w:rtl/>
        </w:rPr>
        <w:t>الوسائل</w:t>
      </w:r>
      <w:r w:rsidR="008A74EB" w:rsidRPr="00C9040A">
        <w:rPr>
          <w:rtl/>
        </w:rPr>
        <w:t xml:space="preserve"> ، ج 15 ، ص 360 ، ح 20738 ؛ </w:t>
      </w:r>
      <w:r w:rsidR="008A74EB" w:rsidRPr="00993B55">
        <w:rPr>
          <w:rStyle w:val="libFootnoteBoldChar"/>
          <w:rtl/>
        </w:rPr>
        <w:t>البحار</w:t>
      </w:r>
      <w:r w:rsidR="008A74EB" w:rsidRPr="00C9040A">
        <w:rPr>
          <w:rtl/>
        </w:rPr>
        <w:t xml:space="preserve"> ، ج 73 ، ص 275 ، ح 26.</w:t>
      </w:r>
    </w:p>
    <w:p w:rsidR="008A74EB" w:rsidRPr="00C9040A" w:rsidRDefault="006C577F" w:rsidP="004A4E41">
      <w:pPr>
        <w:pStyle w:val="libFootnote0"/>
        <w:rPr>
          <w:rtl/>
          <w:lang w:bidi="fa-IR"/>
        </w:rPr>
      </w:pPr>
      <w:r>
        <w:rPr>
          <w:rtl/>
        </w:rPr>
        <w:t>(8).</w:t>
      </w:r>
      <w:r w:rsidR="008A74EB" w:rsidRPr="00C9040A">
        <w:rPr>
          <w:rtl/>
        </w:rPr>
        <w:t xml:space="preserve"> الضمير راجع إلى أحمد بن محمّد بن خالد.</w:t>
      </w:r>
    </w:p>
    <w:p w:rsidR="008A74EB" w:rsidRPr="00C9040A" w:rsidRDefault="006C577F" w:rsidP="004A4E41">
      <w:pPr>
        <w:pStyle w:val="libFootnote0"/>
        <w:rPr>
          <w:rtl/>
          <w:lang w:bidi="fa-IR"/>
        </w:rPr>
      </w:pPr>
      <w:r>
        <w:rPr>
          <w:rtl/>
        </w:rPr>
        <w:t>(9).</w:t>
      </w:r>
      <w:r w:rsidR="008A74EB" w:rsidRPr="00C9040A">
        <w:rPr>
          <w:rtl/>
        </w:rPr>
        <w:t xml:space="preserve"> « العورة » : كلّ شي‌ء يستر الإنسانُ أنَفةً وحياءً. </w:t>
      </w:r>
      <w:r w:rsidR="008A74EB" w:rsidRPr="00993B55">
        <w:rPr>
          <w:rStyle w:val="libFootnoteBoldChar"/>
          <w:rtl/>
        </w:rPr>
        <w:t>المصباح المنير</w:t>
      </w:r>
      <w:r w:rsidR="008A74EB" w:rsidRPr="00C9040A">
        <w:rPr>
          <w:rtl/>
        </w:rPr>
        <w:t xml:space="preserve"> ، ص 437 ( عور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 ستر الله عورته ، أي عيوبه وذنوبه في الدنيا فلا يفضحه بها ، أو في الآخرة فيكون كفّارةً عنها ، أو الأعمّ منهما »</w:t>
      </w:r>
      <w:r w:rsidR="008A74EB">
        <w:rPr>
          <w:rtl/>
        </w:rPr>
        <w:t>.</w:t>
      </w:r>
    </w:p>
    <w:p w:rsidR="008A74EB" w:rsidRPr="00C9040A" w:rsidRDefault="006C577F" w:rsidP="000B26CE">
      <w:pPr>
        <w:pStyle w:val="libFootnote0"/>
        <w:rPr>
          <w:rtl/>
          <w:lang w:bidi="fa-IR"/>
        </w:rPr>
      </w:pPr>
      <w:r>
        <w:rPr>
          <w:rtl/>
        </w:rPr>
        <w:t>(10).</w:t>
      </w:r>
      <w:r w:rsidR="008A74EB" w:rsidRPr="00C9040A">
        <w:rPr>
          <w:rtl/>
        </w:rPr>
        <w:t xml:space="preserve"> </w:t>
      </w:r>
      <w:r w:rsidR="008A74EB" w:rsidRPr="00993B55">
        <w:rPr>
          <w:rStyle w:val="libFootnoteBoldChar"/>
          <w:rtl/>
        </w:rPr>
        <w:t>ثواب الأعمال</w:t>
      </w:r>
      <w:r w:rsidR="008A74EB" w:rsidRPr="00C9040A">
        <w:rPr>
          <w:rtl/>
        </w:rPr>
        <w:t xml:space="preserve"> ، ص 161 ، ح 2 ، بسنده عن أحمد بن محمّد بن خالد ، عن إسماعيل بن مهران</w:t>
      </w:r>
      <w:r w:rsidR="000B26CE">
        <w:rPr>
          <w:rFonts w:hint="cs"/>
          <w:rtl/>
        </w:rPr>
        <w:t>.</w:t>
      </w:r>
      <w:r w:rsidR="008A74EB" w:rsidRPr="00993B55">
        <w:rPr>
          <w:rStyle w:val="libFootnoteBoldChar"/>
          <w:rtl/>
        </w:rPr>
        <w:t>الوافي</w:t>
      </w:r>
      <w:r w:rsidR="008A74EB" w:rsidRPr="00C9040A">
        <w:rPr>
          <w:rtl/>
        </w:rPr>
        <w:t xml:space="preserve"> ، ج 5 ، ص 864 ، ح 3162 ؛ </w:t>
      </w:r>
      <w:r w:rsidR="008A74EB" w:rsidRPr="00993B55">
        <w:rPr>
          <w:rStyle w:val="libFootnoteBoldChar"/>
          <w:rtl/>
        </w:rPr>
        <w:t>الوسائل</w:t>
      </w:r>
      <w:r w:rsidR="008A74EB" w:rsidRPr="00C9040A">
        <w:rPr>
          <w:rtl/>
        </w:rPr>
        <w:t xml:space="preserve"> ، ج 15 ، ص 360 ، ح 20739 ؛ </w:t>
      </w:r>
      <w:r w:rsidR="008A74EB" w:rsidRPr="00993B55">
        <w:rPr>
          <w:rStyle w:val="libFootnoteBoldChar"/>
          <w:rtl/>
        </w:rPr>
        <w:t>البحار</w:t>
      </w:r>
      <w:r w:rsidR="008A74EB" w:rsidRPr="00C9040A">
        <w:rPr>
          <w:rtl/>
        </w:rPr>
        <w:t xml:space="preserve"> ، ج 73 ، ص 275 ، ح 27.</w:t>
      </w:r>
    </w:p>
    <w:tbl>
      <w:tblPr>
        <w:tblStyle w:val="TableGrid"/>
        <w:bidiVisual/>
        <w:tblW w:w="0" w:type="auto"/>
        <w:tblLook w:val="04A0" w:firstRow="1" w:lastRow="0" w:firstColumn="1" w:lastColumn="0" w:noHBand="0" w:noVBand="1"/>
      </w:tblPr>
      <w:tblGrid>
        <w:gridCol w:w="4006"/>
        <w:gridCol w:w="4006"/>
      </w:tblGrid>
      <w:tr w:rsidR="000B26CE" w:rsidTr="000B26CE">
        <w:tc>
          <w:tcPr>
            <w:tcW w:w="4006" w:type="dxa"/>
          </w:tcPr>
          <w:p w:rsidR="000B26CE" w:rsidRDefault="000B26CE" w:rsidP="004A4E41">
            <w:pPr>
              <w:pStyle w:val="libFootnote0"/>
              <w:rPr>
                <w:rtl/>
              </w:rPr>
            </w:pPr>
            <w:r>
              <w:rPr>
                <w:rtl/>
              </w:rPr>
              <w:t>(11).</w:t>
            </w:r>
            <w:r w:rsidRPr="00C9040A">
              <w:rPr>
                <w:rtl/>
              </w:rPr>
              <w:t xml:space="preserve"> الضمير راجع إلى أحمد بن محمّد بن خالد.</w:t>
            </w:r>
          </w:p>
        </w:tc>
        <w:tc>
          <w:tcPr>
            <w:tcW w:w="4006" w:type="dxa"/>
          </w:tcPr>
          <w:p w:rsidR="000B26CE" w:rsidRDefault="000B26CE" w:rsidP="004A4E41">
            <w:pPr>
              <w:pStyle w:val="libFootnote0"/>
              <w:rPr>
                <w:rtl/>
              </w:rPr>
            </w:pPr>
            <w:r>
              <w:rPr>
                <w:rtl/>
              </w:rPr>
              <w:t>(12).</w:t>
            </w:r>
            <w:r w:rsidRPr="00C9040A">
              <w:rPr>
                <w:rtl/>
              </w:rPr>
              <w:t xml:space="preserve"> في « بر » : « به عزّ وجلّ »</w:t>
            </w:r>
            <w:r>
              <w:rPr>
                <w:rtl/>
              </w:rPr>
              <w:t>.</w:t>
            </w:r>
          </w:p>
        </w:tc>
      </w:tr>
      <w:tr w:rsidR="000B26CE" w:rsidTr="000B26CE">
        <w:tc>
          <w:tcPr>
            <w:tcW w:w="4006" w:type="dxa"/>
          </w:tcPr>
          <w:p w:rsidR="000B26CE" w:rsidRDefault="000B26CE" w:rsidP="004A4E41">
            <w:pPr>
              <w:pStyle w:val="libFootnote0"/>
              <w:rPr>
                <w:rtl/>
              </w:rPr>
            </w:pPr>
            <w:r>
              <w:rPr>
                <w:rtl/>
              </w:rPr>
              <w:t>(13)</w:t>
            </w:r>
            <w:r w:rsidRPr="00C9040A">
              <w:rPr>
                <w:rtl/>
              </w:rPr>
              <w:t xml:space="preserve"> في « </w:t>
            </w:r>
            <w:r>
              <w:rPr>
                <w:rtl/>
              </w:rPr>
              <w:t xml:space="preserve">ه </w:t>
            </w:r>
            <w:r w:rsidRPr="00C9040A">
              <w:rPr>
                <w:rtl/>
              </w:rPr>
              <w:t>» : « أملك »</w:t>
            </w:r>
            <w:r>
              <w:rPr>
                <w:rtl/>
              </w:rPr>
              <w:t>.</w:t>
            </w:r>
          </w:p>
        </w:tc>
        <w:tc>
          <w:tcPr>
            <w:tcW w:w="4006" w:type="dxa"/>
          </w:tcPr>
          <w:p w:rsidR="000B26CE" w:rsidRDefault="000B26CE" w:rsidP="004A4E41">
            <w:pPr>
              <w:pStyle w:val="libFootnote0"/>
              <w:rPr>
                <w:rtl/>
              </w:rPr>
            </w:pPr>
            <w:r>
              <w:rPr>
                <w:rtl/>
              </w:rPr>
              <w:t>(14)</w:t>
            </w:r>
            <w:r w:rsidRPr="00C9040A">
              <w:rPr>
                <w:rtl/>
              </w:rPr>
              <w:t xml:space="preserve"> يجوز فيه الجزم بالضمّة أيضاً.</w:t>
            </w:r>
          </w:p>
        </w:tc>
      </w:tr>
    </w:tbl>
    <w:p w:rsidR="008A74EB" w:rsidRPr="00C9040A" w:rsidRDefault="008A74EB" w:rsidP="004A4E41">
      <w:pPr>
        <w:pStyle w:val="libFootnote0"/>
        <w:rPr>
          <w:rtl/>
          <w:lang w:bidi="fa-IR"/>
        </w:rPr>
      </w:pPr>
      <w:r>
        <w:rPr>
          <w:rtl/>
        </w:rPr>
        <w:t>(15)</w:t>
      </w:r>
      <w:r w:rsidRPr="00C9040A">
        <w:rPr>
          <w:rtl/>
        </w:rPr>
        <w:t xml:space="preserve"> في « </w:t>
      </w:r>
      <w:r w:rsidR="006D3162">
        <w:rPr>
          <w:rtl/>
        </w:rPr>
        <w:t xml:space="preserve">ه </w:t>
      </w:r>
      <w:r w:rsidRPr="00C9040A">
        <w:rPr>
          <w:rtl/>
        </w:rPr>
        <w:t>» : « غضبي عنك »</w:t>
      </w:r>
      <w:r>
        <w:rPr>
          <w:rtl/>
        </w:rPr>
        <w:t>.</w:t>
      </w:r>
    </w:p>
    <w:p w:rsidR="008A74EB" w:rsidRPr="00C9040A" w:rsidRDefault="008A74EB" w:rsidP="00BD4466">
      <w:pPr>
        <w:pStyle w:val="libFootnote0"/>
        <w:rPr>
          <w:rtl/>
          <w:lang w:bidi="fa-IR"/>
        </w:rPr>
      </w:pPr>
      <w:r>
        <w:rPr>
          <w:rtl/>
        </w:rPr>
        <w:t>(16)</w:t>
      </w:r>
      <w:r w:rsidRPr="00C9040A">
        <w:rPr>
          <w:rtl/>
        </w:rPr>
        <w:t xml:space="preserve"> </w:t>
      </w:r>
      <w:r w:rsidRPr="0034021D">
        <w:rPr>
          <w:rStyle w:val="libFootnoteBoldChar"/>
          <w:rtl/>
        </w:rPr>
        <w:t>الأمالي للصدوق</w:t>
      </w:r>
      <w:r w:rsidRPr="00C9040A">
        <w:rPr>
          <w:rtl/>
        </w:rPr>
        <w:t xml:space="preserve"> ، ص 254 ، المجلس 44 ، ضمن ح 6 ؛ و</w:t>
      </w:r>
      <w:r w:rsidRPr="0034021D">
        <w:rPr>
          <w:rStyle w:val="libFootnoteBoldChar"/>
          <w:rtl/>
        </w:rPr>
        <w:t>الأمالي للمفيد</w:t>
      </w:r>
      <w:r w:rsidRPr="00C9040A">
        <w:rPr>
          <w:rtl/>
        </w:rPr>
        <w:t xml:space="preserve"> ، ص 210 </w:t>
      </w:r>
      <w:r>
        <w:rPr>
          <w:rtl/>
        </w:rPr>
        <w:t>، المجلس 23 ، ضمن ح 46 ، بسند آ</w:t>
      </w:r>
      <w:r w:rsidRPr="00C9040A">
        <w:rPr>
          <w:rtl/>
        </w:rPr>
        <w:t>خر عن الحسن بن محبوب ، مع اختلاف يسير</w:t>
      </w:r>
      <w:r w:rsidR="00BD4466">
        <w:rPr>
          <w:rFonts w:hint="cs"/>
          <w:rtl/>
        </w:rPr>
        <w:t>.</w:t>
      </w:r>
      <w:r w:rsidRPr="00993B55">
        <w:rPr>
          <w:rStyle w:val="libFootnoteBoldChar"/>
          <w:rtl/>
        </w:rPr>
        <w:t>الوافي</w:t>
      </w:r>
      <w:r w:rsidRPr="00C9040A">
        <w:rPr>
          <w:rtl/>
        </w:rPr>
        <w:t xml:space="preserve"> ، ج 5 ، ص 864 ، ح 3163 ؛ </w:t>
      </w:r>
      <w:r w:rsidRPr="00993B55">
        <w:rPr>
          <w:rStyle w:val="libFootnoteBoldChar"/>
          <w:rtl/>
        </w:rPr>
        <w:t>الوسائل</w:t>
      </w:r>
      <w:r w:rsidRPr="00C9040A">
        <w:rPr>
          <w:rtl/>
        </w:rPr>
        <w:t xml:space="preserve"> ، ج 15 ، ص 360 ، ح 20740 ؛ </w:t>
      </w:r>
      <w:r w:rsidRPr="00993B55">
        <w:rPr>
          <w:rStyle w:val="libFootnoteBoldChar"/>
          <w:rtl/>
        </w:rPr>
        <w:t>البحار</w:t>
      </w:r>
      <w:r w:rsidRPr="00C9040A">
        <w:rPr>
          <w:rtl/>
        </w:rPr>
        <w:t xml:space="preserve"> ، ج 73 ، ص 275 ، ح 28.</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665877">
        <w:rPr>
          <w:rtl/>
        </w:rPr>
        <w:t>2538</w:t>
      </w:r>
      <w:r w:rsidRPr="00261CB0">
        <w:rPr>
          <w:rStyle w:val="libBold2Char"/>
          <w:rtl/>
        </w:rPr>
        <w:t xml:space="preserve"> / 8.</w:t>
      </w:r>
      <w:r w:rsidRPr="00C9040A">
        <w:rPr>
          <w:rtl/>
          <w:lang w:bidi="fa-IR"/>
        </w:rPr>
        <w:t xml:space="preserve"> عِدَّةٌ مِنْ أَصْحَابِنَا ، عَنْ سَهْلِ بْنِ زِيَادٍ ، عَنْ مُحَمَّدِ بْنِ عَبْدِ الْحَمِيدِ ، عَنْ يَحْيَى بْنِ عَمْرٍو ، عَنْ عَبْدِ اللهِ بْنِ سِنَانٍ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أَوْحَى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إِلى بَعْضِ أَنْبِيَائِهِ : يَا </w:t>
      </w:r>
      <w:r w:rsidR="006C577F" w:rsidRPr="006C577F">
        <w:rPr>
          <w:rStyle w:val="libFootnotenumChar"/>
          <w:rtl/>
        </w:rPr>
        <w:t>(1)</w:t>
      </w:r>
      <w:r w:rsidRPr="00C9040A">
        <w:rPr>
          <w:rtl/>
          <w:lang w:bidi="fa-IR"/>
        </w:rPr>
        <w:t xml:space="preserve"> ابْنَ آدَمَ ، اذْكُرْنِي فِي غَضَبِكَ ؛ أَذْكُرْكَ فِي غَضَبِي ، لَا </w:t>
      </w:r>
      <w:r w:rsidR="006C577F" w:rsidRPr="006C577F">
        <w:rPr>
          <w:rStyle w:val="libFootnotenumChar"/>
          <w:rtl/>
        </w:rPr>
        <w:t>(2)</w:t>
      </w:r>
      <w:r w:rsidRPr="00C9040A">
        <w:rPr>
          <w:rtl/>
          <w:lang w:bidi="fa-IR"/>
        </w:rPr>
        <w:t xml:space="preserve"> أَمْحَقْكَ فِيمَنْ أَمْحَقُ ، وَارْضَ بِي مُنْتَصِراً ؛ فَإِنَّ انْتِصَارِي لَكَ خَيْرٌ مِنِ انْتِصَارِكَ لِنَفْسِكَ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665877">
        <w:rPr>
          <w:rtl/>
        </w:rPr>
        <w:t>2539</w:t>
      </w:r>
      <w:r w:rsidRPr="00261CB0">
        <w:rPr>
          <w:rStyle w:val="libBold2Char"/>
          <w:rtl/>
        </w:rPr>
        <w:t xml:space="preserve"> / 9.</w:t>
      </w:r>
      <w:r w:rsidRPr="00C9040A">
        <w:rPr>
          <w:rtl/>
          <w:lang w:bidi="fa-IR"/>
        </w:rPr>
        <w:t xml:space="preserve"> أَبُو عَلِيٍّ الْأَشْعَرِيُّ ، عَنْ مُحَمَّدِ بْنِ عَبْدِ الْجَبَّارِ ، عَنِ ابْنِ فَضَّالٍ ، عَنْ عَلِيِّ بْنِ </w:t>
      </w:r>
      <w:r w:rsidR="006C577F" w:rsidRPr="006C577F">
        <w:rPr>
          <w:rStyle w:val="libFootnotenumChar"/>
          <w:rtl/>
        </w:rPr>
        <w:t>(4)</w:t>
      </w:r>
      <w:r w:rsidRPr="00C9040A">
        <w:rPr>
          <w:rtl/>
          <w:lang w:bidi="fa-IR"/>
        </w:rPr>
        <w:t xml:space="preserve"> عُقْبَةَ ، عَنْ عَبْدِ اللهِ بْنِ سِنَانٍ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مِثْلَهُ ، وَزَادَ فِيهِ </w:t>
      </w:r>
      <w:r w:rsidR="006C577F" w:rsidRPr="006C577F">
        <w:rPr>
          <w:rStyle w:val="libFootnotenumChar"/>
          <w:rtl/>
        </w:rPr>
        <w:t>(5)</w:t>
      </w:r>
      <w:r w:rsidRPr="00C9040A">
        <w:rPr>
          <w:rtl/>
          <w:lang w:bidi="fa-IR"/>
        </w:rPr>
        <w:t xml:space="preserve"> : « وَإِذَا ظُلِمْتَ بِمَظْلِمَةٍ فَارْضَ بِانْتِصَارِي لَكَ </w:t>
      </w:r>
      <w:r w:rsidR="006C577F" w:rsidRPr="006C577F">
        <w:rPr>
          <w:rStyle w:val="libFootnotenumChar"/>
          <w:rtl/>
        </w:rPr>
        <w:t>(6)</w:t>
      </w:r>
      <w:r w:rsidRPr="005B567D">
        <w:rPr>
          <w:rStyle w:val="libFootnotenumChar"/>
          <w:rtl/>
        </w:rPr>
        <w:t xml:space="preserve"> </w:t>
      </w:r>
      <w:r w:rsidRPr="00C9040A">
        <w:rPr>
          <w:rtl/>
          <w:lang w:bidi="fa-IR"/>
        </w:rPr>
        <w:t xml:space="preserve">، فَإِنَّ انْتِصَارِي لَكَ </w:t>
      </w:r>
      <w:r w:rsidR="006C577F" w:rsidRPr="006C577F">
        <w:rPr>
          <w:rStyle w:val="libFootnotenumChar"/>
          <w:rtl/>
        </w:rPr>
        <w:t>(7)</w:t>
      </w:r>
      <w:r w:rsidRPr="00C9040A">
        <w:rPr>
          <w:rtl/>
          <w:lang w:bidi="fa-IR"/>
        </w:rPr>
        <w:t xml:space="preserve"> خَيْرٌ مِنِ انْتِصَارِكَ لِنَفْسِكَ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Normal"/>
        <w:rPr>
          <w:rtl/>
          <w:lang w:bidi="fa-IR"/>
        </w:rPr>
      </w:pPr>
      <w:r w:rsidRPr="00665877">
        <w:rPr>
          <w:rtl/>
        </w:rPr>
        <w:t>2540</w:t>
      </w:r>
      <w:r w:rsidRPr="00261CB0">
        <w:rPr>
          <w:rStyle w:val="libBold2Char"/>
          <w:rtl/>
        </w:rPr>
        <w:t xml:space="preserve"> / 10.</w:t>
      </w:r>
      <w:r w:rsidRPr="00C9040A">
        <w:rPr>
          <w:rtl/>
          <w:lang w:bidi="fa-IR"/>
        </w:rPr>
        <w:t xml:space="preserve"> مُحَمَّدُ بْنُ يَحْيى ، عَنْ أَحْمَدَ بْنِ مُحَمَّدِ بْنِ عِيسى ، عَنِ ابْنِ مَحْبُوبٍ ، عَنْ إِسْحَاقَ بْنِ عَمَّارٍ ، قَالَ :</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BD4466" w:rsidTr="00BD4466">
        <w:tc>
          <w:tcPr>
            <w:tcW w:w="4006" w:type="dxa"/>
          </w:tcPr>
          <w:p w:rsidR="00BD4466" w:rsidRDefault="00BD4466" w:rsidP="004A4E41">
            <w:pPr>
              <w:pStyle w:val="libFootnote0"/>
              <w:rPr>
                <w:rtl/>
              </w:rPr>
            </w:pPr>
            <w:r>
              <w:rPr>
                <w:rtl/>
              </w:rPr>
              <w:t xml:space="preserve">(1). </w:t>
            </w:r>
            <w:r w:rsidRPr="00C9040A">
              <w:rPr>
                <w:rtl/>
              </w:rPr>
              <w:t xml:space="preserve">في « د ، </w:t>
            </w:r>
            <w:r>
              <w:rPr>
                <w:rtl/>
              </w:rPr>
              <w:t xml:space="preserve">ه </w:t>
            </w:r>
            <w:r w:rsidRPr="00C9040A">
              <w:rPr>
                <w:rtl/>
              </w:rPr>
              <w:t xml:space="preserve">، بس ، بف » والوافي </w:t>
            </w:r>
            <w:r>
              <w:rPr>
                <w:rtl/>
              </w:rPr>
              <w:t>: -</w:t>
            </w:r>
            <w:r w:rsidRPr="00C9040A">
              <w:rPr>
                <w:rtl/>
              </w:rPr>
              <w:t xml:space="preserve"> « يا »</w:t>
            </w:r>
            <w:r>
              <w:rPr>
                <w:rtl/>
              </w:rPr>
              <w:t>.</w:t>
            </w:r>
          </w:p>
        </w:tc>
        <w:tc>
          <w:tcPr>
            <w:tcW w:w="4006" w:type="dxa"/>
          </w:tcPr>
          <w:p w:rsidR="00BD4466" w:rsidRDefault="00BD4466" w:rsidP="004A4E41">
            <w:pPr>
              <w:pStyle w:val="libFootnote0"/>
              <w:rPr>
                <w:rtl/>
              </w:rPr>
            </w:pPr>
            <w:r>
              <w:rPr>
                <w:rtl/>
              </w:rPr>
              <w:t xml:space="preserve">(2). </w:t>
            </w:r>
            <w:r w:rsidRPr="00C9040A">
              <w:rPr>
                <w:rtl/>
              </w:rPr>
              <w:t xml:space="preserve">في « </w:t>
            </w:r>
            <w:r>
              <w:rPr>
                <w:rtl/>
              </w:rPr>
              <w:t xml:space="preserve">ه </w:t>
            </w:r>
            <w:r w:rsidRPr="00C9040A">
              <w:rPr>
                <w:rtl/>
              </w:rPr>
              <w:t>» والأمالي : « ولا »</w:t>
            </w:r>
            <w:r>
              <w:rPr>
                <w:rtl/>
              </w:rPr>
              <w:t>.</w:t>
            </w:r>
          </w:p>
        </w:tc>
      </w:tr>
    </w:tbl>
    <w:p w:rsidR="008A74EB" w:rsidRPr="00C9040A" w:rsidRDefault="006C577F" w:rsidP="003C0D33">
      <w:pPr>
        <w:pStyle w:val="libFootnote0"/>
        <w:rPr>
          <w:rtl/>
          <w:lang w:bidi="fa-IR"/>
        </w:rPr>
      </w:pPr>
      <w:r>
        <w:rPr>
          <w:rtl/>
        </w:rPr>
        <w:t>(3).</w:t>
      </w:r>
      <w:r w:rsidR="008A74EB" w:rsidRPr="00C9040A">
        <w:rPr>
          <w:rtl/>
        </w:rPr>
        <w:t xml:space="preserve"> </w:t>
      </w:r>
      <w:r w:rsidR="008A74EB" w:rsidRPr="00993B55">
        <w:rPr>
          <w:rStyle w:val="libFootnoteBoldChar"/>
          <w:rtl/>
        </w:rPr>
        <w:t>الأمالي</w:t>
      </w:r>
      <w:r w:rsidR="008A74EB" w:rsidRPr="00C9040A">
        <w:rPr>
          <w:rtl/>
        </w:rPr>
        <w:t xml:space="preserve"> للطوسي ، ص 278 ، المجلس 10 ، ذيل ح 70 ، بسند آخر عن الهادي ، عن آبائه </w:t>
      </w:r>
      <w:r w:rsidR="00117575" w:rsidRPr="00117575">
        <w:rPr>
          <w:rStyle w:val="libFootnoteAlaemChar"/>
          <w:rtl/>
        </w:rPr>
        <w:t>عليهم‌السلام</w:t>
      </w:r>
      <w:r w:rsidR="008A74EB" w:rsidRPr="00C9040A">
        <w:rPr>
          <w:rtl/>
        </w:rPr>
        <w:t xml:space="preserve"> عن رسول الله </w:t>
      </w:r>
      <w:r w:rsidR="004A4E41" w:rsidRPr="00BD4466">
        <w:rPr>
          <w:rStyle w:val="libFootnoteAlaemChar"/>
          <w:rtl/>
        </w:rPr>
        <w:t>صلى‌الله‌عليه‌وآله</w:t>
      </w:r>
      <w:r w:rsidR="008A74EB" w:rsidRPr="00C9040A">
        <w:rPr>
          <w:rtl/>
        </w:rPr>
        <w:t xml:space="preserve"> ، وفيه : « يقول الله عزّوجلّ : يابن آدم</w:t>
      </w:r>
      <w:r w:rsidR="008A74EB">
        <w:rPr>
          <w:rtl/>
        </w:rPr>
        <w:t xml:space="preserve"> ..</w:t>
      </w:r>
      <w:r w:rsidR="008A74EB" w:rsidRPr="00C9040A">
        <w:rPr>
          <w:rtl/>
        </w:rPr>
        <w:t>. » إلى قوله : « لا أمحقك فيمن أمحق » مع اختلاف يسير وزيادة في أوّله</w:t>
      </w:r>
      <w:r w:rsidR="003C0D33">
        <w:rPr>
          <w:rFonts w:hint="cs"/>
          <w:rtl/>
        </w:rPr>
        <w:t>.</w:t>
      </w:r>
      <w:r w:rsidR="008A74EB" w:rsidRPr="00993B55">
        <w:rPr>
          <w:rStyle w:val="libFootnoteBoldChar"/>
          <w:rtl/>
        </w:rPr>
        <w:t>الوافي</w:t>
      </w:r>
      <w:r w:rsidR="008A74EB" w:rsidRPr="00C9040A">
        <w:rPr>
          <w:rtl/>
        </w:rPr>
        <w:t xml:space="preserve"> ، ج 5 ، ص 864 ، ح 3164 ؛ </w:t>
      </w:r>
      <w:r w:rsidR="008A74EB" w:rsidRPr="00993B55">
        <w:rPr>
          <w:rStyle w:val="libFootnoteBoldChar"/>
          <w:rtl/>
        </w:rPr>
        <w:t>الوسائل</w:t>
      </w:r>
      <w:r w:rsidR="008A74EB" w:rsidRPr="00C9040A">
        <w:rPr>
          <w:rtl/>
        </w:rPr>
        <w:t xml:space="preserve"> ، ج 15 ، ص 364 ، ح 20751 ؛ </w:t>
      </w:r>
      <w:r w:rsidR="008A74EB" w:rsidRPr="00993B55">
        <w:rPr>
          <w:rStyle w:val="libFootnoteBoldChar"/>
          <w:rtl/>
        </w:rPr>
        <w:t>البحار</w:t>
      </w:r>
      <w:r w:rsidR="008A74EB" w:rsidRPr="00C9040A">
        <w:rPr>
          <w:rtl/>
        </w:rPr>
        <w:t xml:space="preserve"> ، ج 73 ، ص 276 ، ح 29.</w:t>
      </w:r>
    </w:p>
    <w:p w:rsidR="008A74EB" w:rsidRPr="00C9040A" w:rsidRDefault="006C577F" w:rsidP="004A4E41">
      <w:pPr>
        <w:pStyle w:val="libFootnote0"/>
        <w:rPr>
          <w:rtl/>
          <w:lang w:bidi="fa-IR"/>
        </w:rPr>
      </w:pPr>
      <w:r>
        <w:rPr>
          <w:rtl/>
        </w:rPr>
        <w:t>(4).</w:t>
      </w:r>
      <w:r w:rsidR="008A74EB" w:rsidRPr="00C9040A">
        <w:rPr>
          <w:rtl/>
        </w:rPr>
        <w:t xml:space="preserve"> في « ب ، ج ، د ، بر ، بس » </w:t>
      </w:r>
      <w:r w:rsidR="008A74EB">
        <w:rPr>
          <w:rtl/>
        </w:rPr>
        <w:t xml:space="preserve">: </w:t>
      </w:r>
      <w:r w:rsidR="0084262C">
        <w:rPr>
          <w:rtl/>
        </w:rPr>
        <w:t>-</w:t>
      </w:r>
      <w:r w:rsidR="008A74EB" w:rsidRPr="00C9040A">
        <w:rPr>
          <w:rtl/>
        </w:rPr>
        <w:t xml:space="preserve"> « عليّ بن »</w:t>
      </w:r>
      <w:r w:rsidR="008A74EB">
        <w:rPr>
          <w:rtl/>
        </w:rPr>
        <w:t>.</w:t>
      </w:r>
      <w:r w:rsidR="008A74EB" w:rsidRPr="00C9040A">
        <w:rPr>
          <w:rtl/>
        </w:rPr>
        <w:t xml:space="preserve"> والظاهر ثبوته ؛ فقد روى الحسن بن عليّ بن فضّال</w:t>
      </w:r>
      <w:r w:rsidR="008A74EB">
        <w:rPr>
          <w:rtl/>
        </w:rPr>
        <w:t xml:space="preserve"> </w:t>
      </w:r>
      <w:r w:rsidR="0084262C">
        <w:rPr>
          <w:rtl/>
        </w:rPr>
        <w:t>-</w:t>
      </w:r>
      <w:r w:rsidR="008A74EB">
        <w:rPr>
          <w:rtl/>
        </w:rPr>
        <w:t xml:space="preserve"> </w:t>
      </w:r>
      <w:r w:rsidR="008A74EB" w:rsidRPr="00C9040A">
        <w:rPr>
          <w:rtl/>
        </w:rPr>
        <w:t>وهو المراد من‌ابن فضّال في مشايخ محمّد بن عبدالجبّار</w:t>
      </w:r>
      <w:r w:rsidR="008A74EB">
        <w:rPr>
          <w:rtl/>
        </w:rPr>
        <w:t xml:space="preserve"> </w:t>
      </w:r>
      <w:r w:rsidR="0084262C">
        <w:rPr>
          <w:rtl/>
        </w:rPr>
        <w:t>-</w:t>
      </w:r>
      <w:r w:rsidR="008A74EB">
        <w:rPr>
          <w:rtl/>
        </w:rPr>
        <w:t xml:space="preserve"> </w:t>
      </w:r>
      <w:r w:rsidR="008A74EB" w:rsidRPr="00C9040A">
        <w:rPr>
          <w:rtl/>
        </w:rPr>
        <w:t xml:space="preserve">كتاب عليّ بن عقبة. راجع : </w:t>
      </w:r>
      <w:r w:rsidR="008A74EB" w:rsidRPr="0034021D">
        <w:rPr>
          <w:rStyle w:val="libFootnoteBoldChar"/>
          <w:rtl/>
        </w:rPr>
        <w:t>الفهرست للطوسي</w:t>
      </w:r>
      <w:r w:rsidR="008A74EB" w:rsidRPr="00C9040A">
        <w:rPr>
          <w:rtl/>
        </w:rPr>
        <w:t xml:space="preserve"> ، ص 123 ، الرقم 164 ، وص 269 ، الرقم 385.</w:t>
      </w:r>
    </w:p>
    <w:p w:rsidR="008A74EB" w:rsidRPr="00C9040A" w:rsidRDefault="006C577F" w:rsidP="004A4E41">
      <w:pPr>
        <w:pStyle w:val="libFootnote0"/>
        <w:rPr>
          <w:rtl/>
          <w:lang w:bidi="fa-IR"/>
        </w:rPr>
      </w:pPr>
      <w:r>
        <w:rPr>
          <w:rtl/>
        </w:rPr>
        <w:t>(5).</w:t>
      </w:r>
      <w:r w:rsidR="008A74EB" w:rsidRPr="00C9040A">
        <w:rPr>
          <w:rtl/>
        </w:rPr>
        <w:t xml:space="preserve"> المراد بالزيادة وقوع جملة : « وإذا ظلمت بمظلمة فارض بانتصاري لك » بدل جملة « وارض بي منتصراً » في‌الخبر السابق ، كما في الرواية الآتية. قال المجلسي : « ومفادهما</w:t>
      </w:r>
      <w:r w:rsidR="008A74EB">
        <w:rPr>
          <w:rtl/>
        </w:rPr>
        <w:t xml:space="preserve"> </w:t>
      </w:r>
      <w:r w:rsidR="0084262C">
        <w:rPr>
          <w:rtl/>
        </w:rPr>
        <w:t>-</w:t>
      </w:r>
      <w:r w:rsidR="008A74EB">
        <w:rPr>
          <w:rtl/>
        </w:rPr>
        <w:t xml:space="preserve"> </w:t>
      </w:r>
      <w:r w:rsidR="008A74EB" w:rsidRPr="00C9040A">
        <w:rPr>
          <w:rtl/>
        </w:rPr>
        <w:t>أي مفاد الجملتين</w:t>
      </w:r>
      <w:r w:rsidR="008A74EB">
        <w:rPr>
          <w:rtl/>
        </w:rPr>
        <w:t xml:space="preserve"> </w:t>
      </w:r>
      <w:r w:rsidR="0084262C">
        <w:rPr>
          <w:rtl/>
        </w:rPr>
        <w:t>-</w:t>
      </w:r>
      <w:r w:rsidR="008A74EB">
        <w:rPr>
          <w:rtl/>
        </w:rPr>
        <w:t xml:space="preserve"> </w:t>
      </w:r>
      <w:r w:rsidR="008A74EB" w:rsidRPr="00C9040A">
        <w:rPr>
          <w:rtl/>
        </w:rPr>
        <w:t>واحد. ول</w:t>
      </w:r>
      <w:r w:rsidR="003C0D33">
        <w:rPr>
          <w:rFonts w:hint="cs"/>
          <w:rtl/>
        </w:rPr>
        <w:t>ـ</w:t>
      </w:r>
      <w:r w:rsidR="008A74EB" w:rsidRPr="00C9040A">
        <w:rPr>
          <w:rtl/>
        </w:rPr>
        <w:t>مّا كان هذا في اللفظ أطول ، أطلق عليه لفظ الزيادة. وإنّما ذكر ما بعدها مع كونه مشتركاً بينهما ؛ للعلم بموضع الزيادة »</w:t>
      </w:r>
      <w:r w:rsidR="008A74EB">
        <w:rPr>
          <w:rtl/>
        </w:rPr>
        <w:t>.</w:t>
      </w:r>
      <w:r w:rsidR="008A74EB" w:rsidRPr="00C9040A">
        <w:rPr>
          <w:rtl/>
        </w:rPr>
        <w:t xml:space="preserve"> راجع : </w:t>
      </w:r>
      <w:r w:rsidR="008A74EB" w:rsidRPr="00993B55">
        <w:rPr>
          <w:rStyle w:val="libFootnoteBoldChar"/>
          <w:rtl/>
        </w:rPr>
        <w:t>شرح المازندراني</w:t>
      </w:r>
      <w:r w:rsidR="008A74EB" w:rsidRPr="00C9040A">
        <w:rPr>
          <w:rtl/>
        </w:rPr>
        <w:t xml:space="preserve"> ، ج 9 ، ص 297 ؛ </w:t>
      </w:r>
      <w:r w:rsidR="008A74EB" w:rsidRPr="00993B55">
        <w:rPr>
          <w:rStyle w:val="libFootnoteBoldChar"/>
          <w:rtl/>
        </w:rPr>
        <w:t>مرآة العقول</w:t>
      </w:r>
      <w:r w:rsidR="008A74EB" w:rsidRPr="00C9040A">
        <w:rPr>
          <w:rtl/>
        </w:rPr>
        <w:t xml:space="preserve"> ، ج 10 ، ص 151.</w:t>
      </w:r>
    </w:p>
    <w:tbl>
      <w:tblPr>
        <w:tblStyle w:val="TableGrid"/>
        <w:bidiVisual/>
        <w:tblW w:w="0" w:type="auto"/>
        <w:tblLook w:val="04A0" w:firstRow="1" w:lastRow="0" w:firstColumn="1" w:lastColumn="0" w:noHBand="0" w:noVBand="1"/>
      </w:tblPr>
      <w:tblGrid>
        <w:gridCol w:w="4006"/>
        <w:gridCol w:w="4006"/>
      </w:tblGrid>
      <w:tr w:rsidR="003C0D33" w:rsidTr="003C0D33">
        <w:tc>
          <w:tcPr>
            <w:tcW w:w="4006" w:type="dxa"/>
          </w:tcPr>
          <w:p w:rsidR="003C0D33" w:rsidRDefault="003C0D33" w:rsidP="004A4E41">
            <w:pPr>
              <w:pStyle w:val="libFootnote0"/>
              <w:rPr>
                <w:rtl/>
                <w:lang w:bidi="fa-IR"/>
              </w:rPr>
            </w:pPr>
            <w:r>
              <w:rPr>
                <w:rtl/>
              </w:rPr>
              <w:t xml:space="preserve">(6). </w:t>
            </w:r>
            <w:r w:rsidRPr="00C9040A">
              <w:rPr>
                <w:rtl/>
              </w:rPr>
              <w:t xml:space="preserve">في « ز » </w:t>
            </w:r>
            <w:r>
              <w:rPr>
                <w:rtl/>
              </w:rPr>
              <w:t>: -</w:t>
            </w:r>
            <w:r w:rsidRPr="00C9040A">
              <w:rPr>
                <w:rtl/>
              </w:rPr>
              <w:t xml:space="preserve"> « لك »</w:t>
            </w:r>
            <w:r>
              <w:rPr>
                <w:rtl/>
              </w:rPr>
              <w:t>.</w:t>
            </w:r>
          </w:p>
        </w:tc>
        <w:tc>
          <w:tcPr>
            <w:tcW w:w="4006" w:type="dxa"/>
          </w:tcPr>
          <w:p w:rsidR="003C0D33" w:rsidRDefault="003C0D33" w:rsidP="004A4E41">
            <w:pPr>
              <w:pStyle w:val="libFootnote0"/>
              <w:rPr>
                <w:rtl/>
                <w:lang w:bidi="fa-IR"/>
              </w:rPr>
            </w:pPr>
            <w:r>
              <w:rPr>
                <w:rtl/>
              </w:rPr>
              <w:t>(7).</w:t>
            </w:r>
            <w:r w:rsidRPr="00C9040A">
              <w:rPr>
                <w:rtl/>
              </w:rPr>
              <w:t xml:space="preserve"> في الوافي </w:t>
            </w:r>
            <w:r>
              <w:rPr>
                <w:rtl/>
              </w:rPr>
              <w:t>: -</w:t>
            </w:r>
            <w:r w:rsidRPr="00C9040A">
              <w:rPr>
                <w:rtl/>
              </w:rPr>
              <w:t xml:space="preserve"> « فإنّ انتصاري لك »</w:t>
            </w:r>
            <w:r>
              <w:rPr>
                <w:rtl/>
              </w:rPr>
              <w:t>.</w:t>
            </w:r>
          </w:p>
        </w:tc>
      </w:tr>
    </w:tbl>
    <w:p w:rsidR="008A74EB" w:rsidRPr="00C9040A" w:rsidRDefault="006C577F" w:rsidP="00050654">
      <w:pPr>
        <w:pStyle w:val="libFootnote0"/>
        <w:rPr>
          <w:rtl/>
          <w:lang w:bidi="fa-IR"/>
        </w:rPr>
      </w:pPr>
      <w:r>
        <w:rPr>
          <w:rtl/>
        </w:rPr>
        <w:t>(8).</w:t>
      </w:r>
      <w:r w:rsidR="008A74EB" w:rsidRPr="00C9040A">
        <w:rPr>
          <w:rtl/>
        </w:rPr>
        <w:t xml:space="preserve"> </w:t>
      </w:r>
      <w:r w:rsidR="008A74EB" w:rsidRPr="00993B55">
        <w:rPr>
          <w:rStyle w:val="libFootnoteBoldChar"/>
          <w:rtl/>
        </w:rPr>
        <w:t>كنز الفوائد</w:t>
      </w:r>
      <w:r w:rsidR="008A74EB" w:rsidRPr="00C9040A">
        <w:rPr>
          <w:rtl/>
        </w:rPr>
        <w:t xml:space="preserve"> ، ج 1 ، ص 135 ، عن عبدالله بن سنان</w:t>
      </w:r>
      <w:r w:rsidR="00050654">
        <w:rPr>
          <w:rFonts w:hint="cs"/>
          <w:rtl/>
        </w:rPr>
        <w:t>.</w:t>
      </w:r>
      <w:r w:rsidR="008A74EB" w:rsidRPr="00993B55">
        <w:rPr>
          <w:rStyle w:val="libFootnoteBoldChar"/>
          <w:rtl/>
        </w:rPr>
        <w:t>الوافي</w:t>
      </w:r>
      <w:r w:rsidR="008A74EB" w:rsidRPr="00C9040A">
        <w:rPr>
          <w:rtl/>
        </w:rPr>
        <w:t xml:space="preserve"> ، ج 5 ، ص 864 ، ح 3165 ؛ </w:t>
      </w:r>
      <w:r w:rsidR="008A74EB" w:rsidRPr="00993B55">
        <w:rPr>
          <w:rStyle w:val="libFootnoteBoldChar"/>
          <w:rtl/>
        </w:rPr>
        <w:t>الوسائل</w:t>
      </w:r>
      <w:r w:rsidR="008A74EB" w:rsidRPr="00C9040A">
        <w:rPr>
          <w:rtl/>
        </w:rPr>
        <w:t xml:space="preserve"> ، ج 15 ، ص 364 ، ح 20752 ؛ </w:t>
      </w:r>
      <w:r w:rsidR="008A74EB" w:rsidRPr="00993B55">
        <w:rPr>
          <w:rStyle w:val="libFootnoteBoldChar"/>
          <w:rtl/>
        </w:rPr>
        <w:t>البحار</w:t>
      </w:r>
      <w:r w:rsidR="008A74EB" w:rsidRPr="00C9040A">
        <w:rPr>
          <w:rtl/>
        </w:rPr>
        <w:t xml:space="preserve"> ، ج 73 ، ص 276 ، ح 30.</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 « إِنَّ فِي التَّوْرَاةِ مَكْتُوباً : يَا </w:t>
      </w:r>
      <w:r w:rsidR="006C577F" w:rsidRPr="006C577F">
        <w:rPr>
          <w:rStyle w:val="libFootnotenumChar"/>
          <w:rtl/>
        </w:rPr>
        <w:t>(1)</w:t>
      </w:r>
      <w:r w:rsidRPr="00C9040A">
        <w:rPr>
          <w:rtl/>
          <w:lang w:bidi="fa-IR"/>
        </w:rPr>
        <w:t xml:space="preserve"> ابْنَ آدَمَ ، اذْكُرْنِي حِينَ تَغْضَبُ ؛ أَذْكُرْكَ عِنْدَ </w:t>
      </w:r>
      <w:r w:rsidR="006C577F" w:rsidRPr="006C577F">
        <w:rPr>
          <w:rStyle w:val="libFootnotenumChar"/>
          <w:rtl/>
        </w:rPr>
        <w:t>(2)</w:t>
      </w:r>
      <w:r w:rsidRPr="00C9040A">
        <w:rPr>
          <w:rtl/>
          <w:lang w:bidi="fa-IR"/>
        </w:rPr>
        <w:t xml:space="preserve"> غَضَبِي ، فَلَا أَمْحَقْكَ فِيمَنْ أَمْحَقُ ، وَإِذَا </w:t>
      </w:r>
      <w:r w:rsidR="006C577F" w:rsidRPr="006C577F">
        <w:rPr>
          <w:rStyle w:val="libFootnotenumChar"/>
          <w:rtl/>
        </w:rPr>
        <w:t>(3)</w:t>
      </w:r>
      <w:r w:rsidRPr="00C9040A">
        <w:rPr>
          <w:rtl/>
          <w:lang w:bidi="fa-IR"/>
        </w:rPr>
        <w:t xml:space="preserve"> ظُلِمْتَ بِمَظْلِمَةٍ </w:t>
      </w:r>
      <w:r w:rsidR="006C577F" w:rsidRPr="006C577F">
        <w:rPr>
          <w:rStyle w:val="libFootnotenumChar"/>
          <w:rtl/>
        </w:rPr>
        <w:t>(4)</w:t>
      </w:r>
      <w:r w:rsidRPr="00C9040A">
        <w:rPr>
          <w:rtl/>
          <w:lang w:bidi="fa-IR"/>
        </w:rPr>
        <w:t xml:space="preserve"> فَارْضَ بِانْتِصَارِي لَكَ ؛ فَإِنَّ انْتِصَارِي لَكَ خَيْرٌ مِنِ انْتِصَارِكَ لِنَفْسِكَ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050654" w:rsidRDefault="008A74EB" w:rsidP="00050654">
      <w:pPr>
        <w:pStyle w:val="libNormal"/>
        <w:rPr>
          <w:rtl/>
          <w:lang w:bidi="fa-IR"/>
        </w:rPr>
      </w:pPr>
      <w:r w:rsidRPr="000928A0">
        <w:rPr>
          <w:rtl/>
        </w:rPr>
        <w:t>2541</w:t>
      </w:r>
      <w:r w:rsidRPr="00261CB0">
        <w:rPr>
          <w:rStyle w:val="libBold2Char"/>
          <w:rtl/>
        </w:rPr>
        <w:t xml:space="preserve"> / 11.</w:t>
      </w:r>
      <w:r w:rsidRPr="00C9040A">
        <w:rPr>
          <w:rtl/>
          <w:lang w:bidi="fa-IR"/>
        </w:rPr>
        <w:t xml:space="preserve"> الْحُسَيْنُ بْنُ مُحَمَّدٍ ، عَنْ مُعَلَّى بْنِ مُحَمَّدٍ ؛</w:t>
      </w:r>
    </w:p>
    <w:p w:rsidR="008A74EB" w:rsidRPr="00C9040A" w:rsidRDefault="008A74EB" w:rsidP="00050654">
      <w:pPr>
        <w:pStyle w:val="libNormal"/>
        <w:rPr>
          <w:rtl/>
          <w:lang w:bidi="fa-IR"/>
        </w:rPr>
      </w:pPr>
      <w:r w:rsidRPr="00C9040A">
        <w:rPr>
          <w:rtl/>
          <w:lang w:bidi="fa-IR"/>
        </w:rPr>
        <w:t>وَعَلِيُّ بْنُ مُحَمَّدٍ ، عَنْ صَالِحِ بْنِ أَبِي حَمَّادٍ جَمِيعاً ، عَنِ الْوَشَّاءِ ، عَنْ أَحْمَدَ بْنِ عَائِذٍ ، عَنْ أَبِي خَدِيجَةَ ، عَنْ مُعَلَّى بْنِ خُنَيْسٍ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w:t>
      </w:r>
      <w:r w:rsidR="006C577F" w:rsidRPr="006C577F">
        <w:rPr>
          <w:rStyle w:val="libFootnotenumChar"/>
          <w:rtl/>
        </w:rPr>
        <w:t>(6)</w:t>
      </w:r>
      <w:r w:rsidRPr="005B567D">
        <w:rPr>
          <w:rStyle w:val="libFootnotenumChar"/>
          <w:rtl/>
        </w:rPr>
        <w:t xml:space="preserve"> </w:t>
      </w:r>
      <w:r w:rsidRPr="00C9040A">
        <w:rPr>
          <w:rtl/>
          <w:lang w:bidi="fa-IR"/>
        </w:rPr>
        <w:t xml:space="preserve">: « قَالَ رَجُلٌ لِلنَّبِيِّ </w:t>
      </w:r>
      <w:r w:rsidR="004A4E41" w:rsidRPr="004A4E41">
        <w:rPr>
          <w:rStyle w:val="libAlaemChar"/>
          <w:rtl/>
        </w:rPr>
        <w:t>صلى‌الله‌عليه‌وآله</w:t>
      </w:r>
      <w:r w:rsidRPr="00C9040A">
        <w:rPr>
          <w:rtl/>
          <w:lang w:bidi="fa-IR"/>
        </w:rPr>
        <w:t xml:space="preserve"> : يَا رَسُولَ اللهِ عَلِّمْنِي ، قَالَ : اذْهَبْ وَلَاتَغْضَبْ </w:t>
      </w:r>
      <w:r w:rsidR="006C577F" w:rsidRPr="006C577F">
        <w:rPr>
          <w:rStyle w:val="libFootnotenumChar"/>
          <w:rtl/>
        </w:rPr>
        <w:t>(7)</w:t>
      </w:r>
      <w:r w:rsidRPr="00C9040A">
        <w:rPr>
          <w:rtl/>
          <w:lang w:bidi="fa-IR"/>
        </w:rPr>
        <w:t xml:space="preserve"> ، فَقَالَ الرَّجُلُ : قَدْ اكْتَفَيْتُ بِذَاكَ </w:t>
      </w:r>
      <w:r w:rsidR="006C577F" w:rsidRPr="006C577F">
        <w:rPr>
          <w:rStyle w:val="libFootnotenumChar"/>
          <w:rtl/>
        </w:rPr>
        <w:t>(8)</w:t>
      </w:r>
      <w:r w:rsidRPr="00C9040A">
        <w:rPr>
          <w:rtl/>
          <w:lang w:bidi="fa-IR"/>
        </w:rPr>
        <w:t xml:space="preserve"> ، فَمَضى إِلى أَهْلِهِ </w:t>
      </w:r>
      <w:r w:rsidR="006C577F" w:rsidRPr="006C577F">
        <w:rPr>
          <w:rStyle w:val="libFootnotenumChar"/>
          <w:rtl/>
        </w:rPr>
        <w:t>(9)</w:t>
      </w:r>
      <w:r w:rsidRPr="00C9040A">
        <w:rPr>
          <w:rtl/>
          <w:lang w:bidi="fa-IR"/>
        </w:rPr>
        <w:t xml:space="preserve"> ، فَإِذَا بَيْنَ قَوْمِهِ </w:t>
      </w:r>
      <w:r w:rsidR="006C577F" w:rsidRPr="006C577F">
        <w:rPr>
          <w:rStyle w:val="libFootnotenumChar"/>
          <w:rtl/>
        </w:rPr>
        <w:t>(10)</w:t>
      </w:r>
      <w:r w:rsidRPr="00C9040A">
        <w:rPr>
          <w:rtl/>
          <w:lang w:bidi="fa-IR"/>
        </w:rPr>
        <w:t xml:space="preserve"> حَرْبٌ قَدْ قَامُوا صُفُوفاً ، وَلَبِسُوا السِّلَاحَ ، فَلَمَّا رَأى ذلِكَ لَبِسَ سِلَاحَهُ ، ثُمَّ قَامَ مَعَهُمْ ، ثُمَّ ذَكَرَ قَوْلَ رَسُولِ اللهِ </w:t>
      </w:r>
      <w:r w:rsidR="004A4E41" w:rsidRPr="004A4E41">
        <w:rPr>
          <w:rStyle w:val="libAlaemChar"/>
          <w:rtl/>
        </w:rPr>
        <w:t>صلى‌الله‌عليه‌وآله</w:t>
      </w:r>
      <w:r w:rsidRPr="00C9040A">
        <w:rPr>
          <w:rtl/>
          <w:lang w:bidi="fa-IR"/>
        </w:rPr>
        <w:t xml:space="preserve"> : لَاتَغْضَبْ ، فَرَمَى السِّلَاحَ </w:t>
      </w:r>
      <w:r w:rsidR="006C577F" w:rsidRPr="006C577F">
        <w:rPr>
          <w:rStyle w:val="libFootnotenumChar"/>
          <w:rtl/>
        </w:rPr>
        <w:t>(11)</w:t>
      </w:r>
      <w:r w:rsidRPr="00C9040A">
        <w:rPr>
          <w:rtl/>
          <w:lang w:bidi="fa-IR"/>
        </w:rPr>
        <w:t xml:space="preserve"> ، ثُمَّ جَاءَ يَمْشِي إِلَى الْقَوْمِ الَّذِينَ هُمْ عَدُوُّ قَوْمِهِ ، فَقَالَ : يَا هؤُلَاءِ ، مَا كَانَتْ لَكُمْ مِنْ جِرَاحَةٍ </w:t>
      </w:r>
      <w:r w:rsidR="006C577F" w:rsidRPr="006C577F">
        <w:rPr>
          <w:rStyle w:val="libFootnotenumChar"/>
          <w:rtl/>
        </w:rPr>
        <w:t>(12)</w:t>
      </w:r>
      <w:r w:rsidRPr="00C9040A">
        <w:rPr>
          <w:rtl/>
          <w:lang w:bidi="fa-IR"/>
        </w:rPr>
        <w:t xml:space="preserve"> أَوْ قَتْلٍ أَوْ ضَرْبٍ لَيْسَ فِيهِ أَثَرٌ </w:t>
      </w:r>
      <w:r w:rsidRPr="005B567D">
        <w:rPr>
          <w:rStyle w:val="libFootnotenumChar"/>
          <w:rtl/>
        </w:rPr>
        <w:t>(13)</w:t>
      </w:r>
      <w:r w:rsidRPr="00C9040A">
        <w:rPr>
          <w:rtl/>
          <w:lang w:bidi="fa-IR"/>
        </w:rPr>
        <w:t xml:space="preserve"> ، فَعَلَيَّ فِي مَالِي أَنَا </w:t>
      </w:r>
      <w:r w:rsidRPr="005B567D">
        <w:rPr>
          <w:rStyle w:val="libFootnotenumChar"/>
          <w:rtl/>
        </w:rPr>
        <w:t>(14)</w:t>
      </w:r>
      <w:r w:rsidRPr="00C9040A">
        <w:rPr>
          <w:rtl/>
          <w:lang w:bidi="fa-IR"/>
        </w:rPr>
        <w:t xml:space="preserve"> ‌</w:t>
      </w:r>
      <w:r w:rsidR="001E3867">
        <w:rPr>
          <w:rFonts w:hint="cs"/>
          <w:rtl/>
          <w:lang w:bidi="fa-IR"/>
        </w:rPr>
        <w:t>...................................................</w:t>
      </w:r>
      <w:r w:rsidR="001E3867">
        <w:rPr>
          <w:rFonts w:hint="cs"/>
          <w:rtl/>
          <w:lang w:bidi="fa-IR"/>
        </w:rPr>
        <w:tab/>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1E3867" w:rsidTr="001E3867">
        <w:tc>
          <w:tcPr>
            <w:tcW w:w="4006" w:type="dxa"/>
          </w:tcPr>
          <w:p w:rsidR="001E3867" w:rsidRDefault="001E3867" w:rsidP="004A4E41">
            <w:pPr>
              <w:pStyle w:val="libFootnote0"/>
              <w:rPr>
                <w:rtl/>
              </w:rPr>
            </w:pPr>
            <w:r>
              <w:rPr>
                <w:rtl/>
              </w:rPr>
              <w:t>(1). في «بر ، بس ، بف</w:t>
            </w:r>
            <w:r w:rsidRPr="00C9040A">
              <w:rPr>
                <w:rtl/>
              </w:rPr>
              <w:t xml:space="preserve">» والوافي والبحار </w:t>
            </w:r>
            <w:r>
              <w:rPr>
                <w:rtl/>
              </w:rPr>
              <w:t>: -</w:t>
            </w:r>
            <w:r w:rsidRPr="00C9040A">
              <w:rPr>
                <w:rtl/>
              </w:rPr>
              <w:t xml:space="preserve"> « يا »</w:t>
            </w:r>
            <w:r>
              <w:rPr>
                <w:rtl/>
              </w:rPr>
              <w:t>.</w:t>
            </w:r>
          </w:p>
        </w:tc>
        <w:tc>
          <w:tcPr>
            <w:tcW w:w="4006" w:type="dxa"/>
          </w:tcPr>
          <w:p w:rsidR="001E3867" w:rsidRDefault="001E3867" w:rsidP="004A4E41">
            <w:pPr>
              <w:pStyle w:val="libFootnote0"/>
              <w:rPr>
                <w:rtl/>
              </w:rPr>
            </w:pPr>
            <w:r>
              <w:rPr>
                <w:rtl/>
              </w:rPr>
              <w:t xml:space="preserve">(2). </w:t>
            </w:r>
            <w:r w:rsidRPr="00C9040A">
              <w:rPr>
                <w:rtl/>
              </w:rPr>
              <w:t>في‌حاشية « ج » : « حين »</w:t>
            </w:r>
            <w:r>
              <w:rPr>
                <w:rtl/>
              </w:rPr>
              <w:t>.</w:t>
            </w:r>
          </w:p>
        </w:tc>
      </w:tr>
      <w:tr w:rsidR="001E3867" w:rsidTr="001E3867">
        <w:tc>
          <w:tcPr>
            <w:tcW w:w="4006" w:type="dxa"/>
          </w:tcPr>
          <w:p w:rsidR="001E3867" w:rsidRDefault="001E3867" w:rsidP="004A4E41">
            <w:pPr>
              <w:pStyle w:val="libFootnote0"/>
              <w:rPr>
                <w:rtl/>
              </w:rPr>
            </w:pPr>
            <w:r>
              <w:rPr>
                <w:rtl/>
              </w:rPr>
              <w:t>(3).</w:t>
            </w:r>
            <w:r w:rsidRPr="00C9040A">
              <w:rPr>
                <w:rtl/>
              </w:rPr>
              <w:t xml:space="preserve"> في « ز » والبحار : « فإذا »</w:t>
            </w:r>
            <w:r>
              <w:rPr>
                <w:rtl/>
              </w:rPr>
              <w:t>.</w:t>
            </w:r>
          </w:p>
        </w:tc>
        <w:tc>
          <w:tcPr>
            <w:tcW w:w="4006" w:type="dxa"/>
          </w:tcPr>
          <w:p w:rsidR="001E3867" w:rsidRDefault="001E3867" w:rsidP="004A4E41">
            <w:pPr>
              <w:pStyle w:val="libFootnote0"/>
              <w:rPr>
                <w:rtl/>
              </w:rPr>
            </w:pPr>
            <w:r>
              <w:rPr>
                <w:rtl/>
              </w:rPr>
              <w:t>(4).</w:t>
            </w:r>
            <w:r w:rsidRPr="00C9040A">
              <w:rPr>
                <w:rtl/>
              </w:rPr>
              <w:t xml:space="preserve"> في « بر » : « مظلمة »</w:t>
            </w:r>
            <w:r>
              <w:rPr>
                <w:rtl/>
              </w:rPr>
              <w:t>.</w:t>
            </w:r>
          </w:p>
        </w:tc>
      </w:tr>
    </w:tbl>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الوافي</w:t>
      </w:r>
      <w:r w:rsidR="008A74EB" w:rsidRPr="00C9040A">
        <w:rPr>
          <w:rtl/>
        </w:rPr>
        <w:t xml:space="preserve"> ، ج 5 ، ص 865 ، ح 3166 ؛ </w:t>
      </w:r>
      <w:r w:rsidR="008A74EB" w:rsidRPr="00993B55">
        <w:rPr>
          <w:rStyle w:val="libFootnoteBoldChar"/>
          <w:rtl/>
        </w:rPr>
        <w:t>الوسائل</w:t>
      </w:r>
      <w:r w:rsidR="008A74EB" w:rsidRPr="00C9040A">
        <w:rPr>
          <w:rtl/>
        </w:rPr>
        <w:t xml:space="preserve"> ، ج 15 ، ص 364 ، ح 20753 ؛ </w:t>
      </w:r>
      <w:r w:rsidR="008A74EB" w:rsidRPr="00993B55">
        <w:rPr>
          <w:rStyle w:val="libFootnoteBoldChar"/>
          <w:rtl/>
        </w:rPr>
        <w:t>البحار</w:t>
      </w:r>
      <w:r w:rsidR="008A74EB" w:rsidRPr="00C9040A">
        <w:rPr>
          <w:rtl/>
        </w:rPr>
        <w:t xml:space="preserve"> ، ج 13 ، ص 358 ، ح 66.</w:t>
      </w:r>
    </w:p>
    <w:p w:rsidR="008A74EB" w:rsidRPr="00C9040A" w:rsidRDefault="006C577F" w:rsidP="00637C66">
      <w:pPr>
        <w:pStyle w:val="libFootnote0"/>
        <w:rPr>
          <w:rtl/>
          <w:lang w:bidi="fa-IR"/>
        </w:rPr>
      </w:pPr>
      <w:r>
        <w:rPr>
          <w:rtl/>
        </w:rPr>
        <w:t>(6).</w:t>
      </w:r>
      <w:r w:rsidR="008A74EB">
        <w:rPr>
          <w:rtl/>
        </w:rPr>
        <w:t xml:space="preserve"> </w:t>
      </w:r>
      <w:r w:rsidR="008A74EB" w:rsidRPr="00C9040A">
        <w:rPr>
          <w:rtl/>
        </w:rPr>
        <w:t xml:space="preserve">في « </w:t>
      </w:r>
      <w:r w:rsidR="006D3162">
        <w:rPr>
          <w:rtl/>
        </w:rPr>
        <w:t xml:space="preserve">ه </w:t>
      </w:r>
      <w:r w:rsidR="008A74EB" w:rsidRPr="00C9040A">
        <w:rPr>
          <w:rtl/>
        </w:rPr>
        <w:t xml:space="preserve">» </w:t>
      </w:r>
      <w:r w:rsidR="008A74EB">
        <w:rPr>
          <w:rtl/>
        </w:rPr>
        <w:t xml:space="preserve">: </w:t>
      </w:r>
      <w:r w:rsidR="0084262C">
        <w:rPr>
          <w:rtl/>
        </w:rPr>
        <w:t>-</w:t>
      </w:r>
      <w:r w:rsidR="008A74EB" w:rsidRPr="00C9040A">
        <w:rPr>
          <w:rtl/>
        </w:rPr>
        <w:t xml:space="preserve"> « يقول : إنّ في التوراة مكتوباً » في الحديث السابق ، إلى قوله : « عن معلّى بن خنيس عن أبي‌عبدالله </w:t>
      </w:r>
      <w:r w:rsidR="00117575" w:rsidRPr="00117575">
        <w:rPr>
          <w:rStyle w:val="libFootnoteAlaemChar"/>
          <w:rtl/>
        </w:rPr>
        <w:t xml:space="preserve">عليه‌السلام </w:t>
      </w:r>
      <w:r w:rsidR="008A74EB" w:rsidRPr="00C9040A">
        <w:rPr>
          <w:rtl/>
        </w:rPr>
        <w:t>قال »</w:t>
      </w:r>
      <w:r w:rsidR="008A74EB">
        <w:rPr>
          <w:rtl/>
        </w:rPr>
        <w:t>.</w:t>
      </w:r>
      <w:r w:rsidR="00637C66">
        <w:rPr>
          <w:rFonts w:hint="cs"/>
          <w:rtl/>
        </w:rPr>
        <w:t xml:space="preserve">                       </w:t>
      </w:r>
      <w:r w:rsidR="00C822D0">
        <w:rPr>
          <w:rFonts w:hint="cs"/>
          <w:rtl/>
        </w:rPr>
        <w:t xml:space="preserve">    </w:t>
      </w:r>
      <w:r w:rsidR="00637C66">
        <w:rPr>
          <w:rFonts w:hint="cs"/>
          <w:rtl/>
        </w:rPr>
        <w:t xml:space="preserve">            </w:t>
      </w:r>
      <w:r>
        <w:rPr>
          <w:rtl/>
        </w:rPr>
        <w:t>(7).</w:t>
      </w:r>
      <w:r w:rsidR="008A74EB" w:rsidRPr="00C9040A">
        <w:rPr>
          <w:rtl/>
        </w:rPr>
        <w:t xml:space="preserve"> في الوسائل : « فلا تغضب »</w:t>
      </w:r>
      <w:r w:rsidR="008A74EB">
        <w:rPr>
          <w:rtl/>
        </w:rPr>
        <w:t>.</w:t>
      </w:r>
    </w:p>
    <w:tbl>
      <w:tblPr>
        <w:tblStyle w:val="TableGrid"/>
        <w:bidiVisual/>
        <w:tblW w:w="0" w:type="auto"/>
        <w:tblLook w:val="04A0" w:firstRow="1" w:lastRow="0" w:firstColumn="1" w:lastColumn="0" w:noHBand="0" w:noVBand="1"/>
      </w:tblPr>
      <w:tblGrid>
        <w:gridCol w:w="4006"/>
        <w:gridCol w:w="4006"/>
      </w:tblGrid>
      <w:tr w:rsidR="00637C66" w:rsidTr="00637C66">
        <w:tc>
          <w:tcPr>
            <w:tcW w:w="4006" w:type="dxa"/>
          </w:tcPr>
          <w:p w:rsidR="00637C66" w:rsidRDefault="00637C66" w:rsidP="004A4E41">
            <w:pPr>
              <w:pStyle w:val="libFootnote0"/>
              <w:rPr>
                <w:rtl/>
              </w:rPr>
            </w:pPr>
            <w:r>
              <w:rPr>
                <w:rtl/>
              </w:rPr>
              <w:t>(8).</w:t>
            </w:r>
            <w:r w:rsidRPr="00C9040A">
              <w:rPr>
                <w:rtl/>
              </w:rPr>
              <w:t xml:space="preserve"> ف</w:t>
            </w:r>
            <w:r>
              <w:rPr>
                <w:rtl/>
              </w:rPr>
              <w:t>ي «ب ، بر» والبحار،</w:t>
            </w:r>
            <w:r w:rsidRPr="00C9040A">
              <w:rPr>
                <w:rtl/>
              </w:rPr>
              <w:t xml:space="preserve">ج 22 </w:t>
            </w:r>
            <w:r>
              <w:rPr>
                <w:rtl/>
              </w:rPr>
              <w:t>و 73 :«بذلك</w:t>
            </w:r>
            <w:r w:rsidRPr="00C9040A">
              <w:rPr>
                <w:rtl/>
              </w:rPr>
              <w:t>»</w:t>
            </w:r>
            <w:r>
              <w:rPr>
                <w:rtl/>
              </w:rPr>
              <w:t>.</w:t>
            </w:r>
          </w:p>
        </w:tc>
        <w:tc>
          <w:tcPr>
            <w:tcW w:w="4006" w:type="dxa"/>
          </w:tcPr>
          <w:p w:rsidR="00637C66" w:rsidRDefault="00637C66" w:rsidP="004A4E41">
            <w:pPr>
              <w:pStyle w:val="libFootnote0"/>
              <w:rPr>
                <w:rtl/>
              </w:rPr>
            </w:pPr>
            <w:r>
              <w:rPr>
                <w:rtl/>
              </w:rPr>
              <w:t>(9).</w:t>
            </w:r>
            <w:r w:rsidRPr="00C9040A">
              <w:rPr>
                <w:rtl/>
              </w:rPr>
              <w:t xml:space="preserve"> في « ز » : « قومه »</w:t>
            </w:r>
            <w:r>
              <w:rPr>
                <w:rtl/>
              </w:rPr>
              <w:t>.</w:t>
            </w:r>
          </w:p>
        </w:tc>
      </w:tr>
      <w:tr w:rsidR="00637C66" w:rsidTr="00637C66">
        <w:tc>
          <w:tcPr>
            <w:tcW w:w="4006" w:type="dxa"/>
          </w:tcPr>
          <w:p w:rsidR="00637C66" w:rsidRDefault="00637C66" w:rsidP="004A4E41">
            <w:pPr>
              <w:pStyle w:val="libFootnote0"/>
              <w:rPr>
                <w:rtl/>
              </w:rPr>
            </w:pPr>
            <w:r>
              <w:rPr>
                <w:rtl/>
              </w:rPr>
              <w:t>(10).</w:t>
            </w:r>
            <w:r w:rsidRPr="00C9040A">
              <w:rPr>
                <w:rtl/>
              </w:rPr>
              <w:t xml:space="preserve"> في حاشية « بر » : « أهله »</w:t>
            </w:r>
            <w:r>
              <w:rPr>
                <w:rtl/>
              </w:rPr>
              <w:t>.</w:t>
            </w:r>
          </w:p>
        </w:tc>
        <w:tc>
          <w:tcPr>
            <w:tcW w:w="4006" w:type="dxa"/>
          </w:tcPr>
          <w:p w:rsidR="00637C66" w:rsidRDefault="00637C66" w:rsidP="004A4E41">
            <w:pPr>
              <w:pStyle w:val="libFootnote0"/>
              <w:rPr>
                <w:rtl/>
              </w:rPr>
            </w:pPr>
            <w:r>
              <w:rPr>
                <w:rtl/>
              </w:rPr>
              <w:t>(11).</w:t>
            </w:r>
            <w:r w:rsidRPr="00C9040A">
              <w:rPr>
                <w:rtl/>
              </w:rPr>
              <w:t xml:space="preserve"> في « </w:t>
            </w:r>
            <w:r>
              <w:rPr>
                <w:rtl/>
              </w:rPr>
              <w:t xml:space="preserve">ه </w:t>
            </w:r>
            <w:r w:rsidRPr="00C9040A">
              <w:rPr>
                <w:rtl/>
              </w:rPr>
              <w:t>» : « بالسلاح »</w:t>
            </w:r>
            <w:r>
              <w:rPr>
                <w:rtl/>
              </w:rPr>
              <w:t>.</w:t>
            </w:r>
          </w:p>
        </w:tc>
      </w:tr>
    </w:tbl>
    <w:p w:rsidR="008A74EB" w:rsidRPr="00C9040A" w:rsidRDefault="006C577F" w:rsidP="004A4E41">
      <w:pPr>
        <w:pStyle w:val="libFootnote0"/>
        <w:rPr>
          <w:rtl/>
          <w:lang w:bidi="fa-IR"/>
        </w:rPr>
      </w:pPr>
      <w:r>
        <w:rPr>
          <w:rtl/>
        </w:rPr>
        <w:t>(12).</w:t>
      </w:r>
      <w:r w:rsidR="008A74EB" w:rsidRPr="00C9040A">
        <w:rPr>
          <w:rtl/>
        </w:rPr>
        <w:t xml:space="preserve"> في « بف » : « جراحاً » بدل « من جراحة »</w:t>
      </w:r>
      <w:r w:rsidR="008A74EB">
        <w:rPr>
          <w:rtl/>
        </w:rPr>
        <w:t>.</w:t>
      </w:r>
    </w:p>
    <w:p w:rsidR="008A74EB" w:rsidRPr="00C9040A" w:rsidRDefault="008A74EB" w:rsidP="004A4E41">
      <w:pPr>
        <w:pStyle w:val="libFootnote0"/>
        <w:rPr>
          <w:rtl/>
          <w:lang w:bidi="fa-IR"/>
        </w:rPr>
      </w:pPr>
      <w:r>
        <w:rPr>
          <w:rtl/>
        </w:rPr>
        <w:t>(13)</w:t>
      </w:r>
      <w:r w:rsidRPr="00C9040A">
        <w:rPr>
          <w:rtl/>
        </w:rPr>
        <w:t xml:space="preserve"> في </w:t>
      </w:r>
      <w:r w:rsidRPr="00993B55">
        <w:rPr>
          <w:rStyle w:val="libFootnoteBoldChar"/>
          <w:rtl/>
        </w:rPr>
        <w:t>مرآة العقول</w:t>
      </w:r>
      <w:r w:rsidRPr="00C9040A">
        <w:rPr>
          <w:rtl/>
        </w:rPr>
        <w:t xml:space="preserve"> ، ج 9 ، ص 153 : « ليس فيه أثر ، أي علامة جراحة ؛ لتصحّ مقابلته للجراحة. والأثر</w:t>
      </w:r>
      <w:r>
        <w:rPr>
          <w:rtl/>
        </w:rPr>
        <w:t xml:space="preserve"> </w:t>
      </w:r>
      <w:r w:rsidR="0084262C">
        <w:rPr>
          <w:rtl/>
        </w:rPr>
        <w:t>-</w:t>
      </w:r>
      <w:r>
        <w:rPr>
          <w:rtl/>
        </w:rPr>
        <w:t xml:space="preserve"> </w:t>
      </w:r>
      <w:r w:rsidRPr="00C9040A">
        <w:rPr>
          <w:rtl/>
        </w:rPr>
        <w:t>بالتحريك</w:t>
      </w:r>
      <w:r>
        <w:rPr>
          <w:rtl/>
        </w:rPr>
        <w:t xml:space="preserve"> </w:t>
      </w:r>
      <w:r w:rsidR="0084262C">
        <w:rPr>
          <w:rtl/>
        </w:rPr>
        <w:t>-</w:t>
      </w:r>
      <w:r>
        <w:rPr>
          <w:rtl/>
        </w:rPr>
        <w:t xml:space="preserve"> </w:t>
      </w:r>
      <w:r w:rsidRPr="00C9040A">
        <w:rPr>
          <w:rtl/>
        </w:rPr>
        <w:t>: بقيّة الشي‌ء وعلامته ؛ وبالضمّ وضمّتين : أثر الجراحة يبقى بعد البرء »</w:t>
      </w:r>
      <w:r>
        <w:rPr>
          <w:rtl/>
        </w:rPr>
        <w:t>.</w:t>
      </w:r>
    </w:p>
    <w:p w:rsidR="008A74EB" w:rsidRPr="00C9040A" w:rsidRDefault="008A74EB" w:rsidP="004A4E41">
      <w:pPr>
        <w:pStyle w:val="libFootnote0"/>
        <w:rPr>
          <w:rtl/>
          <w:lang w:bidi="fa-IR"/>
        </w:rPr>
      </w:pPr>
      <w:r>
        <w:rPr>
          <w:rtl/>
        </w:rPr>
        <w:t>(14)</w:t>
      </w:r>
      <w:r w:rsidRPr="00C9040A">
        <w:rPr>
          <w:rtl/>
        </w:rPr>
        <w:t xml:space="preserve"> في « ز » </w:t>
      </w:r>
      <w:r>
        <w:rPr>
          <w:rtl/>
        </w:rPr>
        <w:t xml:space="preserve">: </w:t>
      </w:r>
      <w:r w:rsidR="0084262C">
        <w:rPr>
          <w:rtl/>
        </w:rPr>
        <w:t>-</w:t>
      </w:r>
      <w:r w:rsidRPr="00C9040A">
        <w:rPr>
          <w:rtl/>
        </w:rPr>
        <w:t xml:space="preserve"> « أنا »</w:t>
      </w:r>
      <w:r>
        <w:rPr>
          <w:rtl/>
        </w:rPr>
        <w:t>.</w:t>
      </w:r>
      <w:r w:rsidRPr="00C9040A">
        <w:rPr>
          <w:rtl/>
        </w:rPr>
        <w:t xml:space="preserve"> وفي مرآة العقول : « أنا ، إمّا تأكيد للضمير المجرور ؛ لأنّهم جوّزوا تأكيده بالمرفوع المنفصل. أو مبتدأ وخبره « اوفيكموه » على بناء الإفعال أو التفعيل. والضمير راجع إ</w:t>
      </w:r>
      <w:r w:rsidR="00C5084D">
        <w:rPr>
          <w:rtl/>
        </w:rPr>
        <w:t>لى الموصول،أي عليّ دية ماذكر</w:t>
      </w:r>
      <w:r w:rsidRPr="00C9040A">
        <w:rPr>
          <w:rtl/>
        </w:rPr>
        <w:t>»</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أُوفِيكُمُوهُ </w:t>
      </w:r>
      <w:r w:rsidR="006C577F" w:rsidRPr="006C577F">
        <w:rPr>
          <w:rStyle w:val="libFootnotenumChar"/>
          <w:rtl/>
        </w:rPr>
        <w:t>(1)</w:t>
      </w:r>
      <w:r w:rsidRPr="00C9040A">
        <w:rPr>
          <w:rtl/>
          <w:lang w:bidi="fa-IR"/>
        </w:rPr>
        <w:t xml:space="preserve"> ، فَقَالَ الْقَوْمُ : فَمَا كَانَ فَهُوَ </w:t>
      </w:r>
      <w:r w:rsidR="006C577F" w:rsidRPr="006C577F">
        <w:rPr>
          <w:rStyle w:val="libFootnotenumChar"/>
          <w:rtl/>
        </w:rPr>
        <w:t>(2)</w:t>
      </w:r>
      <w:r w:rsidRPr="00C9040A">
        <w:rPr>
          <w:rtl/>
          <w:lang w:bidi="fa-IR"/>
        </w:rPr>
        <w:t xml:space="preserve"> لَكُمْ ، نَحْنُ أَوْلى بِذلِكَ مِنْكُمْ »</w:t>
      </w:r>
      <w:r>
        <w:rPr>
          <w:rtl/>
          <w:lang w:bidi="fa-IR"/>
        </w:rPr>
        <w:t>.</w:t>
      </w:r>
    </w:p>
    <w:p w:rsidR="008A74EB" w:rsidRPr="00C9040A" w:rsidRDefault="008A74EB" w:rsidP="008A74EB">
      <w:pPr>
        <w:pStyle w:val="libNormal"/>
        <w:rPr>
          <w:rtl/>
          <w:lang w:bidi="fa-IR"/>
        </w:rPr>
      </w:pPr>
      <w:r w:rsidRPr="00C9040A">
        <w:rPr>
          <w:rtl/>
          <w:lang w:bidi="fa-IR"/>
        </w:rPr>
        <w:t xml:space="preserve">قَالَ : « فَاصْطَلَحَ </w:t>
      </w:r>
      <w:r w:rsidR="006C577F" w:rsidRPr="006C577F">
        <w:rPr>
          <w:rStyle w:val="libFootnotenumChar"/>
          <w:rtl/>
        </w:rPr>
        <w:t>(3)</w:t>
      </w:r>
      <w:r w:rsidRPr="00C9040A">
        <w:rPr>
          <w:rtl/>
          <w:lang w:bidi="fa-IR"/>
        </w:rPr>
        <w:t xml:space="preserve"> الْقَوْمُ ، وَذَهَبَ الْغَضَبُ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C5084D" w:rsidRDefault="008A74EB" w:rsidP="00C5084D">
      <w:pPr>
        <w:pStyle w:val="libNormal"/>
        <w:rPr>
          <w:rtl/>
          <w:lang w:bidi="fa-IR"/>
        </w:rPr>
      </w:pPr>
      <w:r w:rsidRPr="000928A0">
        <w:rPr>
          <w:rtl/>
        </w:rPr>
        <w:t>2542</w:t>
      </w:r>
      <w:r w:rsidRPr="00261CB0">
        <w:rPr>
          <w:rStyle w:val="libBold2Char"/>
          <w:rtl/>
        </w:rPr>
        <w:t xml:space="preserve"> / 12.</w:t>
      </w:r>
      <w:r w:rsidRPr="00C9040A">
        <w:rPr>
          <w:rtl/>
          <w:lang w:bidi="fa-IR"/>
        </w:rPr>
        <w:t xml:space="preserve"> عِدَّةٌ مِنْ أَصْحَابِنَا ، عَنْ سَهْلِ بْنِ زِيَادٍ ؛</w:t>
      </w:r>
    </w:p>
    <w:p w:rsidR="008A74EB" w:rsidRPr="00C9040A" w:rsidRDefault="008A74EB" w:rsidP="00C5084D">
      <w:pPr>
        <w:pStyle w:val="libNormal"/>
        <w:rPr>
          <w:rtl/>
          <w:lang w:bidi="fa-IR"/>
        </w:rPr>
      </w:pPr>
      <w:r w:rsidRPr="00C9040A">
        <w:rPr>
          <w:rtl/>
          <w:lang w:bidi="fa-IR"/>
        </w:rPr>
        <w:t>وَعَلِيُّ بْنُ إِبْرَاهِيمَ ، عَنْ أَبِيهِ جَمِيعاً ، عَنِ ابْنِ مَحْبُوبٍ ، عَنِ ابْنِ رِئَابٍ ، عَنْ أَبِي حَمْزَةَ الثُّمَالِيِّ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إِنَّ هذَا الْغَضَبَ جَمْرَةٌ مِنَ الشَّيْطَانِ ، تُوقَدُ </w:t>
      </w:r>
      <w:r w:rsidR="006C577F" w:rsidRPr="006C577F">
        <w:rPr>
          <w:rStyle w:val="libFootnotenumChar"/>
          <w:rtl/>
        </w:rPr>
        <w:t>(5)</w:t>
      </w:r>
      <w:r w:rsidRPr="00C9040A">
        <w:rPr>
          <w:rtl/>
          <w:lang w:bidi="fa-IR"/>
        </w:rPr>
        <w:t xml:space="preserve"> فِي قَلْبِ </w:t>
      </w:r>
      <w:r w:rsidR="006C577F" w:rsidRPr="006C577F">
        <w:rPr>
          <w:rStyle w:val="libFootnotenumChar"/>
          <w:rtl/>
        </w:rPr>
        <w:t>(6)</w:t>
      </w:r>
      <w:r w:rsidRPr="005B567D">
        <w:rPr>
          <w:rStyle w:val="libFootnotenumChar"/>
          <w:rtl/>
        </w:rPr>
        <w:t xml:space="preserve"> </w:t>
      </w:r>
      <w:r w:rsidRPr="00C9040A">
        <w:rPr>
          <w:rtl/>
          <w:lang w:bidi="fa-IR"/>
        </w:rPr>
        <w:t xml:space="preserve">ابْنِ آدَمَ ، وَإِنَّ أَحَدَكُمْ إِذَا غَضِبَ احْمَرَّتْ عَيْنَاهُ </w:t>
      </w:r>
      <w:r w:rsidR="006C577F" w:rsidRPr="006C577F">
        <w:rPr>
          <w:rStyle w:val="libFootnotenumChar"/>
          <w:rtl/>
        </w:rPr>
        <w:t>(7)</w:t>
      </w:r>
      <w:r w:rsidRPr="00C9040A">
        <w:rPr>
          <w:rtl/>
          <w:lang w:bidi="fa-IR"/>
        </w:rPr>
        <w:t xml:space="preserve"> ، وَانْتَفَخَتْ أَوْدَاجُهُ </w:t>
      </w:r>
      <w:r w:rsidR="006C577F" w:rsidRPr="006C577F">
        <w:rPr>
          <w:rStyle w:val="libFootnotenumChar"/>
          <w:rtl/>
        </w:rPr>
        <w:t>(8)</w:t>
      </w:r>
      <w:r w:rsidRPr="00C9040A">
        <w:rPr>
          <w:rtl/>
          <w:lang w:bidi="fa-IR"/>
        </w:rPr>
        <w:t xml:space="preserve"> ، وَدَخَلَ الشَّيْطَانُ فِيهِ ، فَإِذَا خَافَ أَحَدُكُمْ ذلِكَ مِنْ نَفْسِهِ ، فَلْيَلْزَمِ الْأَرْضَ ، فَإِنَّ رِجْزَ الشَّيْطَانِ لَيَذْهَبُ </w:t>
      </w:r>
      <w:r w:rsidR="006C577F" w:rsidRPr="006C577F">
        <w:rPr>
          <w:rStyle w:val="libFootnotenumChar"/>
          <w:rtl/>
        </w:rPr>
        <w:t>(9)</w:t>
      </w:r>
      <w:r w:rsidRPr="00C9040A">
        <w:rPr>
          <w:rtl/>
          <w:lang w:bidi="fa-IR"/>
        </w:rPr>
        <w:t xml:space="preserve"> عَنْهُ </w:t>
      </w:r>
      <w:r w:rsidR="006C577F" w:rsidRPr="006C577F">
        <w:rPr>
          <w:rStyle w:val="libFootnotenumChar"/>
          <w:rtl/>
        </w:rPr>
        <w:t>(10)</w:t>
      </w:r>
      <w:r w:rsidRPr="00C9040A">
        <w:rPr>
          <w:rtl/>
          <w:lang w:bidi="fa-IR"/>
        </w:rPr>
        <w:t xml:space="preserve"> عِنْدَ ذلِكَ »</w:t>
      </w:r>
      <w:r>
        <w:rPr>
          <w:rtl/>
          <w:lang w:bidi="fa-IR"/>
        </w:rPr>
        <w:t>.</w:t>
      </w:r>
      <w:r w:rsidRPr="00C9040A">
        <w:rPr>
          <w:rtl/>
          <w:lang w:bidi="fa-IR"/>
        </w:rPr>
        <w:t xml:space="preserve"> </w:t>
      </w:r>
      <w:r w:rsidR="006C577F" w:rsidRPr="006C577F">
        <w:rPr>
          <w:rStyle w:val="libFootnotenumChar"/>
          <w:rtl/>
        </w:rPr>
        <w:t>(11)</w:t>
      </w:r>
      <w:r w:rsidRPr="00C9040A">
        <w:rPr>
          <w:rtl/>
          <w:lang w:bidi="fa-IR"/>
        </w:rPr>
        <w:t xml:space="preserve"> ‌</w:t>
      </w:r>
    </w:p>
    <w:p w:rsidR="008A74EB" w:rsidRPr="00C9040A" w:rsidRDefault="008A74EB" w:rsidP="008A74EB">
      <w:pPr>
        <w:pStyle w:val="libNormal"/>
        <w:rPr>
          <w:rtl/>
          <w:lang w:bidi="fa-IR"/>
        </w:rPr>
      </w:pPr>
      <w:r w:rsidRPr="000928A0">
        <w:rPr>
          <w:rtl/>
        </w:rPr>
        <w:t>2543</w:t>
      </w:r>
      <w:r w:rsidRPr="00261CB0">
        <w:rPr>
          <w:rStyle w:val="libBold2Char"/>
          <w:rtl/>
        </w:rPr>
        <w:t xml:space="preserve"> / 13.</w:t>
      </w:r>
      <w:r w:rsidRPr="00C9040A">
        <w:rPr>
          <w:rtl/>
          <w:lang w:bidi="fa-IR"/>
        </w:rPr>
        <w:t xml:space="preserve"> عِدَّةٌ مِنْ أَصْحَابِنَا ، عَنْ أَحْمَدَ بْنِ أَبِي عَبْدِ اللهِ ، عَنْ بَعْ</w:t>
      </w:r>
      <w:r w:rsidR="00C5084D">
        <w:rPr>
          <w:rtl/>
          <w:lang w:bidi="fa-IR"/>
        </w:rPr>
        <w:t>ضِ أَصْحَابِهِ رَفَعَهُ،قَالَ</w:t>
      </w:r>
      <w:r w:rsidRPr="00C9040A">
        <w:rPr>
          <w:rtl/>
          <w:lang w:bidi="fa-IR"/>
        </w:rPr>
        <w:t>:</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ج » : « ا</w:t>
      </w:r>
      <w:r w:rsidR="00C5084D">
        <w:rPr>
          <w:rFonts w:hint="cs"/>
          <w:rtl/>
        </w:rPr>
        <w:t>ُ</w:t>
      </w:r>
      <w:r w:rsidR="008A74EB" w:rsidRPr="00C9040A">
        <w:rPr>
          <w:rtl/>
        </w:rPr>
        <w:t>وفّيكموه » ، على بناء التفصيل. والإيفاء والتوفية : إعطاء الحقّ تامّاً.</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w:t>
      </w:r>
      <w:r w:rsidR="006D3162">
        <w:rPr>
          <w:rtl/>
        </w:rPr>
        <w:t xml:space="preserve">ه </w:t>
      </w:r>
      <w:r w:rsidR="008A74EB" w:rsidRPr="00C9040A">
        <w:rPr>
          <w:rtl/>
        </w:rPr>
        <w:t>» : + « خير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ص ، بس » : « فأصلح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الوافي</w:t>
      </w:r>
      <w:r w:rsidR="008A74EB" w:rsidRPr="00C9040A">
        <w:rPr>
          <w:rtl/>
        </w:rPr>
        <w:t xml:space="preserve"> ، ج 5 ، ص 865 ، ح 3167 ؛ </w:t>
      </w:r>
      <w:r w:rsidR="008A74EB" w:rsidRPr="00993B55">
        <w:rPr>
          <w:rStyle w:val="libFootnoteBoldChar"/>
          <w:rtl/>
        </w:rPr>
        <w:t>الوسائل</w:t>
      </w:r>
      <w:r w:rsidR="008A74EB" w:rsidRPr="00C9040A">
        <w:rPr>
          <w:rtl/>
        </w:rPr>
        <w:t xml:space="preserve"> ، ج 15 ، ص 359 ، ح 20735 ، إلى قوله : « اذهب ولا تغضب » ؛ </w:t>
      </w:r>
      <w:r w:rsidR="008A74EB" w:rsidRPr="00993B55">
        <w:rPr>
          <w:rStyle w:val="libFootnoteBoldChar"/>
          <w:rtl/>
        </w:rPr>
        <w:t>البحار</w:t>
      </w:r>
      <w:r w:rsidR="008A74EB" w:rsidRPr="00C9040A">
        <w:rPr>
          <w:rtl/>
        </w:rPr>
        <w:t xml:space="preserve"> ، ج 22 ، ص 84 ، ح 35 ؛ وج 73 ، ص 277 ، ح 31.</w:t>
      </w:r>
    </w:p>
    <w:tbl>
      <w:tblPr>
        <w:tblStyle w:val="TableGrid"/>
        <w:bidiVisual/>
        <w:tblW w:w="0" w:type="auto"/>
        <w:tblLook w:val="04A0" w:firstRow="1" w:lastRow="0" w:firstColumn="1" w:lastColumn="0" w:noHBand="0" w:noVBand="1"/>
      </w:tblPr>
      <w:tblGrid>
        <w:gridCol w:w="4006"/>
        <w:gridCol w:w="4006"/>
      </w:tblGrid>
      <w:tr w:rsidR="00C5084D" w:rsidTr="00C5084D">
        <w:tc>
          <w:tcPr>
            <w:tcW w:w="4006" w:type="dxa"/>
          </w:tcPr>
          <w:p w:rsidR="00C5084D" w:rsidRDefault="00C5084D" w:rsidP="004A4E41">
            <w:pPr>
              <w:pStyle w:val="libFootnote0"/>
              <w:rPr>
                <w:rtl/>
              </w:rPr>
            </w:pPr>
            <w:r>
              <w:rPr>
                <w:rtl/>
              </w:rPr>
              <w:t>(5).</w:t>
            </w:r>
            <w:r w:rsidRPr="00C9040A">
              <w:rPr>
                <w:rtl/>
              </w:rPr>
              <w:t xml:space="preserve"> في « </w:t>
            </w:r>
            <w:r>
              <w:rPr>
                <w:rtl/>
              </w:rPr>
              <w:t xml:space="preserve">ه </w:t>
            </w:r>
            <w:r w:rsidRPr="00C9040A">
              <w:rPr>
                <w:rtl/>
              </w:rPr>
              <w:t>» : « يوقد »</w:t>
            </w:r>
            <w:r>
              <w:rPr>
                <w:rtl/>
              </w:rPr>
              <w:t>.</w:t>
            </w:r>
          </w:p>
        </w:tc>
        <w:tc>
          <w:tcPr>
            <w:tcW w:w="4006" w:type="dxa"/>
          </w:tcPr>
          <w:p w:rsidR="00C5084D" w:rsidRDefault="00C5084D" w:rsidP="004A4E41">
            <w:pPr>
              <w:pStyle w:val="libFootnote0"/>
              <w:rPr>
                <w:rtl/>
              </w:rPr>
            </w:pPr>
            <w:r>
              <w:rPr>
                <w:rtl/>
              </w:rPr>
              <w:t xml:space="preserve">(6). </w:t>
            </w:r>
            <w:r w:rsidR="00D01104">
              <w:rPr>
                <w:rtl/>
              </w:rPr>
              <w:t>في «ج ، د ، بس</w:t>
            </w:r>
            <w:r w:rsidRPr="00C9040A">
              <w:rPr>
                <w:rtl/>
              </w:rPr>
              <w:t>» وحاشية « بر » : « جوف »</w:t>
            </w:r>
            <w:r>
              <w:rPr>
                <w:rtl/>
              </w:rPr>
              <w:t>.</w:t>
            </w:r>
          </w:p>
        </w:tc>
      </w:tr>
    </w:tbl>
    <w:p w:rsidR="008A74EB" w:rsidRPr="00C9040A" w:rsidRDefault="006C577F" w:rsidP="004A4E41">
      <w:pPr>
        <w:pStyle w:val="libFootnote0"/>
        <w:rPr>
          <w:rtl/>
          <w:lang w:bidi="fa-IR"/>
        </w:rPr>
      </w:pPr>
      <w:r>
        <w:rPr>
          <w:rtl/>
        </w:rPr>
        <w:t>(7).</w:t>
      </w:r>
      <w:r w:rsidR="008A74EB" w:rsidRPr="00C9040A">
        <w:rPr>
          <w:rtl/>
        </w:rPr>
        <w:t xml:space="preserve"> في « ب » : « عينه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 الأوداج » : ما أحاط بالعنق من العروق التي يقطعها الذابح. واحدها : وَدَج. وقيل : الوَدَجان : عِرقان غليظان عن جانبي ثُغْرَة النحر. </w:t>
      </w:r>
      <w:r w:rsidR="008A74EB" w:rsidRPr="00993B55">
        <w:rPr>
          <w:rStyle w:val="libFootnoteBoldChar"/>
          <w:rtl/>
        </w:rPr>
        <w:t>النهاية</w:t>
      </w:r>
      <w:r w:rsidR="008A74EB" w:rsidRPr="00C9040A">
        <w:rPr>
          <w:rtl/>
        </w:rPr>
        <w:t xml:space="preserve"> ، ج 5 ، ص 165 ( ودج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ج ، د ، ص ، بر ، بس ، بف » والوافي : « يذهب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 ز » </w:t>
      </w:r>
      <w:r w:rsidR="008A74EB">
        <w:rPr>
          <w:rtl/>
        </w:rPr>
        <w:t xml:space="preserve">: </w:t>
      </w:r>
      <w:r w:rsidR="0084262C">
        <w:rPr>
          <w:rtl/>
        </w:rPr>
        <w:t>-</w:t>
      </w:r>
      <w:r w:rsidR="008A74EB" w:rsidRPr="00C9040A">
        <w:rPr>
          <w:rtl/>
        </w:rPr>
        <w:t xml:space="preserve"> « عنه »</w:t>
      </w:r>
      <w:r w:rsidR="008A74EB">
        <w:rPr>
          <w:rtl/>
        </w:rPr>
        <w:t>.</w:t>
      </w:r>
    </w:p>
    <w:p w:rsidR="008A74EB" w:rsidRPr="00C9040A" w:rsidRDefault="006C577F" w:rsidP="00D01104">
      <w:pPr>
        <w:pStyle w:val="libFootnote0"/>
        <w:rPr>
          <w:rtl/>
          <w:lang w:bidi="fa-IR"/>
        </w:rPr>
      </w:pPr>
      <w:r>
        <w:rPr>
          <w:rtl/>
        </w:rPr>
        <w:t>(11).</w:t>
      </w:r>
      <w:r w:rsidR="008A74EB" w:rsidRPr="00C9040A">
        <w:rPr>
          <w:rtl/>
        </w:rPr>
        <w:t xml:space="preserve"> </w:t>
      </w:r>
      <w:r w:rsidR="008A74EB" w:rsidRPr="0034021D">
        <w:rPr>
          <w:rStyle w:val="libFootnoteBoldChar"/>
          <w:rtl/>
        </w:rPr>
        <w:t>الأمالي للصدوق</w:t>
      </w:r>
      <w:r w:rsidR="008A74EB" w:rsidRPr="00C9040A">
        <w:rPr>
          <w:rtl/>
        </w:rPr>
        <w:t xml:space="preserve"> ، ص 340 ، المجلس 54 ، ضمن ح 25 ، بسند آخر عن الصادق جعفر بن محمّد ، عن أبيه </w:t>
      </w:r>
      <w:r w:rsidR="00117575" w:rsidRPr="00117575">
        <w:rPr>
          <w:rStyle w:val="libFootnoteAlaemChar"/>
          <w:rtl/>
        </w:rPr>
        <w:t>عليهما‌السلام</w:t>
      </w:r>
      <w:r w:rsidR="008A74EB" w:rsidRPr="00C9040A">
        <w:rPr>
          <w:rtl/>
        </w:rPr>
        <w:t xml:space="preserve">. </w:t>
      </w:r>
      <w:r w:rsidR="008A74EB" w:rsidRPr="00993B55">
        <w:rPr>
          <w:rStyle w:val="libFootnoteBoldChar"/>
          <w:rtl/>
        </w:rPr>
        <w:t>تفسير العيّاشي</w:t>
      </w:r>
      <w:r w:rsidR="008A74EB" w:rsidRPr="00C9040A">
        <w:rPr>
          <w:rtl/>
        </w:rPr>
        <w:t xml:space="preserve"> ، ج 1 ، ص 217 ، ذيل ح 8 ، عن الأصبغ بن نباتة ، عن أميرالمؤمنين </w:t>
      </w:r>
      <w:r w:rsidR="00117575" w:rsidRPr="00117575">
        <w:rPr>
          <w:rStyle w:val="libFootnoteAlaemChar"/>
          <w:rtl/>
        </w:rPr>
        <w:t xml:space="preserve">عليه‌السلام </w:t>
      </w:r>
      <w:r w:rsidR="008A74EB" w:rsidRPr="00C9040A">
        <w:rPr>
          <w:rtl/>
        </w:rPr>
        <w:t>، وفيهما من قوله : « فإذا خاف أحدكم » مع اختلاف</w:t>
      </w:r>
      <w:r w:rsidR="00D01104">
        <w:rPr>
          <w:rFonts w:hint="cs"/>
          <w:rtl/>
        </w:rPr>
        <w:t>.</w:t>
      </w:r>
      <w:r w:rsidR="008A74EB" w:rsidRPr="00993B55">
        <w:rPr>
          <w:rStyle w:val="libFootnoteBoldChar"/>
          <w:rtl/>
        </w:rPr>
        <w:t>الوافي</w:t>
      </w:r>
      <w:r w:rsidR="008A74EB" w:rsidRPr="00C9040A">
        <w:rPr>
          <w:rtl/>
        </w:rPr>
        <w:t xml:space="preserve"> ، ج 5 ، ص 866 ، ح 3171 ؛ </w:t>
      </w:r>
      <w:r w:rsidR="008A74EB" w:rsidRPr="00993B55">
        <w:rPr>
          <w:rStyle w:val="libFootnoteBoldChar"/>
          <w:rtl/>
        </w:rPr>
        <w:t>الوسائل</w:t>
      </w:r>
      <w:r w:rsidR="008A74EB" w:rsidRPr="00C9040A">
        <w:rPr>
          <w:rtl/>
        </w:rPr>
        <w:t xml:space="preserve"> ، ج 15 ، ص 360 ، ح 20742 ؛ </w:t>
      </w:r>
      <w:r w:rsidR="008A74EB" w:rsidRPr="00993B55">
        <w:rPr>
          <w:rStyle w:val="libFootnoteBoldChar"/>
          <w:rtl/>
        </w:rPr>
        <w:t>البحار</w:t>
      </w:r>
      <w:r w:rsidR="008A74EB" w:rsidRPr="00C9040A">
        <w:rPr>
          <w:rtl/>
        </w:rPr>
        <w:t xml:space="preserve"> ، ج 63 ، ص 265 ، ح 149 ؛ وج 73 ، ص 278 ، ح 32.</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الْغَضَبُ مَمْحَقَةٌ </w:t>
      </w:r>
      <w:r w:rsidR="006C577F" w:rsidRPr="006C577F">
        <w:rPr>
          <w:rStyle w:val="libFootnotenumChar"/>
          <w:rtl/>
        </w:rPr>
        <w:t>(1)</w:t>
      </w:r>
      <w:r w:rsidRPr="00C9040A">
        <w:rPr>
          <w:rtl/>
          <w:lang w:bidi="fa-IR"/>
        </w:rPr>
        <w:t xml:space="preserve"> لِقَلْبِ الْحَكِيمِ </w:t>
      </w:r>
      <w:r w:rsidR="006C577F" w:rsidRPr="006C577F">
        <w:rPr>
          <w:rStyle w:val="libFootnotenumChar"/>
          <w:rtl/>
        </w:rPr>
        <w:t>(2)</w:t>
      </w:r>
      <w:r w:rsidRPr="00C9040A">
        <w:rPr>
          <w:rtl/>
          <w:lang w:bidi="fa-IR"/>
        </w:rPr>
        <w:t xml:space="preserve"> »</w:t>
      </w:r>
      <w:r>
        <w:rPr>
          <w:rtl/>
          <w:lang w:bidi="fa-IR"/>
        </w:rPr>
        <w:t>.</w:t>
      </w:r>
      <w:r w:rsidRPr="00C9040A">
        <w:rPr>
          <w:rtl/>
          <w:lang w:bidi="fa-IR"/>
        </w:rPr>
        <w:t xml:space="preserve"> وَقَالَ : « مَنْ لَمْ يَمْلِكْ غَضَبَهُ ، لَمْ يَمْلِكْ عَقْلَهُ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0928A0">
        <w:rPr>
          <w:rtl/>
        </w:rPr>
        <w:t>2544</w:t>
      </w:r>
      <w:r w:rsidRPr="00261CB0">
        <w:rPr>
          <w:rStyle w:val="libBold2Char"/>
          <w:rtl/>
        </w:rPr>
        <w:t xml:space="preserve"> / 14.</w:t>
      </w:r>
      <w:r w:rsidRPr="00C9040A">
        <w:rPr>
          <w:rtl/>
          <w:lang w:bidi="fa-IR"/>
        </w:rPr>
        <w:t xml:space="preserve"> الْحُسَيْنُ بْنُ مُحَمَّدٍ ، عَنْ مُعَلَّى بْنِ مُحَمَّدٍ ، عَنِ الْحَسَنِ بْنِ عَلِيٍّ ، عَنْ عَاصِمِ بْنِ حُمَيْدٍ ، عَنْ أَبِي حَمْزَةَ :</w:t>
      </w:r>
    </w:p>
    <w:p w:rsidR="008A74EB" w:rsidRPr="00C9040A" w:rsidRDefault="008A74EB" w:rsidP="008A74EB">
      <w:pPr>
        <w:pStyle w:val="libNormal"/>
        <w:rPr>
          <w:rtl/>
          <w:lang w:bidi="fa-IR"/>
        </w:rPr>
      </w:pPr>
      <w:r w:rsidRPr="00C9040A">
        <w:rPr>
          <w:rtl/>
          <w:lang w:bidi="fa-IR"/>
        </w:rPr>
        <w:t xml:space="preserve">عَنْ أَبِي جَعْفَرٍ </w:t>
      </w:r>
      <w:r w:rsidR="006C577F" w:rsidRPr="006C577F">
        <w:rPr>
          <w:rStyle w:val="libFootnotenumChar"/>
          <w:rtl/>
        </w:rPr>
        <w:t>(4)</w:t>
      </w:r>
      <w:r w:rsidRPr="00C9040A">
        <w:rPr>
          <w:rtl/>
          <w:lang w:bidi="fa-IR"/>
        </w:rPr>
        <w:t xml:space="preserve">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مَنْ كَفَّ نَفْسَهُ </w:t>
      </w:r>
      <w:r w:rsidR="006C577F" w:rsidRPr="006C577F">
        <w:rPr>
          <w:rStyle w:val="libFootnotenumChar"/>
          <w:rtl/>
        </w:rPr>
        <w:t>(5)</w:t>
      </w:r>
      <w:r w:rsidRPr="00C9040A">
        <w:rPr>
          <w:rtl/>
          <w:lang w:bidi="fa-IR"/>
        </w:rPr>
        <w:t xml:space="preserve"> عَنْ أَعْرَاضِ النَّاسِ </w:t>
      </w:r>
      <w:r w:rsidR="006C577F" w:rsidRPr="006C577F">
        <w:rPr>
          <w:rStyle w:val="libFootnotenumChar"/>
          <w:rtl/>
        </w:rPr>
        <w:t>(6)</w:t>
      </w:r>
      <w:r w:rsidRPr="005B567D">
        <w:rPr>
          <w:rStyle w:val="libFootnotenumChar"/>
          <w:rtl/>
        </w:rPr>
        <w:t xml:space="preserve"> </w:t>
      </w:r>
      <w:r w:rsidRPr="00C9040A">
        <w:rPr>
          <w:rtl/>
          <w:lang w:bidi="fa-IR"/>
        </w:rPr>
        <w:t xml:space="preserve">، أَقَالَ </w:t>
      </w:r>
      <w:r w:rsidR="006C577F" w:rsidRPr="006C577F">
        <w:rPr>
          <w:rStyle w:val="libFootnotenumChar"/>
          <w:rtl/>
        </w:rPr>
        <w:t>(7)</w:t>
      </w:r>
      <w:r w:rsidRPr="00C9040A">
        <w:rPr>
          <w:rtl/>
          <w:lang w:bidi="fa-IR"/>
        </w:rPr>
        <w:t xml:space="preserve"> اللهُ نَفْسَهُ يَوْمَ الْقِيَامَةِ ؛ وَمَنْ كَفَّ غَضَبَهُ عَنِ النَّاسِ ، كَفَّ اللهُ</w:t>
      </w:r>
      <w:r>
        <w:rPr>
          <w:rtl/>
          <w:lang w:bidi="fa-IR"/>
        </w:rPr>
        <w:t xml:space="preserve"> </w:t>
      </w:r>
      <w:r w:rsidR="0084262C">
        <w:rPr>
          <w:rtl/>
          <w:lang w:bidi="fa-IR"/>
        </w:rPr>
        <w:t>-</w:t>
      </w:r>
      <w:r>
        <w:rPr>
          <w:rtl/>
          <w:lang w:bidi="fa-IR"/>
        </w:rPr>
        <w:t xml:space="preserve"> </w:t>
      </w:r>
      <w:r w:rsidRPr="00C9040A">
        <w:rPr>
          <w:rtl/>
          <w:lang w:bidi="fa-IR"/>
        </w:rPr>
        <w:t>تَبَارَكَ وَتَعَالى</w:t>
      </w:r>
      <w:r>
        <w:rPr>
          <w:rtl/>
          <w:lang w:bidi="fa-IR"/>
        </w:rPr>
        <w:t xml:space="preserve"> </w:t>
      </w:r>
      <w:r w:rsidR="0084262C">
        <w:rPr>
          <w:rtl/>
          <w:lang w:bidi="fa-IR"/>
        </w:rPr>
        <w:t>-</w:t>
      </w:r>
      <w:r>
        <w:rPr>
          <w:rtl/>
          <w:lang w:bidi="fa-IR"/>
        </w:rPr>
        <w:t xml:space="preserve"> </w:t>
      </w:r>
      <w:r w:rsidRPr="00C9040A">
        <w:rPr>
          <w:rtl/>
          <w:lang w:bidi="fa-IR"/>
        </w:rPr>
        <w:t>عَنْهُ عَذَابَ يَوْمِ الْقِيَامَةِ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Normal"/>
        <w:rPr>
          <w:rtl/>
          <w:lang w:bidi="fa-IR"/>
        </w:rPr>
      </w:pPr>
      <w:r w:rsidRPr="000928A0">
        <w:rPr>
          <w:rtl/>
        </w:rPr>
        <w:t>2545</w:t>
      </w:r>
      <w:r w:rsidRPr="00261CB0">
        <w:rPr>
          <w:rStyle w:val="libBold2Char"/>
          <w:rtl/>
        </w:rPr>
        <w:t xml:space="preserve"> / 15.</w:t>
      </w:r>
      <w:r w:rsidRPr="00C9040A">
        <w:rPr>
          <w:rtl/>
          <w:lang w:bidi="fa-IR"/>
        </w:rPr>
        <w:t xml:space="preserve"> عِدَّةٌ مِنْ أَصْحَابِنَا ، عَنْ سَهْلِ بْنِ زِيَادٍ ، عَنِ ابْنِ مَحْبُوبٍ ، عَنْ أَبِي حَمْزَةَ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مَنْ كَفَّ غَضَبَهُ عَنِ النَّاسِ ، كَفَّ اللهُ عَن</w:t>
      </w:r>
      <w:r w:rsidR="00C822D0">
        <w:rPr>
          <w:rtl/>
          <w:lang w:bidi="fa-IR"/>
        </w:rPr>
        <w:t>ْهُ عَذَابَ يَوْمِ الْقِيَامَةِ</w:t>
      </w:r>
      <w:r w:rsidRPr="00C9040A">
        <w:rPr>
          <w:rtl/>
          <w:lang w:bidi="fa-IR"/>
        </w:rPr>
        <w:t>»</w:t>
      </w:r>
      <w:r>
        <w:rPr>
          <w:rtl/>
          <w:lang w:bidi="fa-IR"/>
        </w:rPr>
        <w:t>.</w:t>
      </w:r>
      <w:r w:rsidRPr="00C9040A">
        <w:rPr>
          <w:rtl/>
          <w:lang w:bidi="fa-IR"/>
        </w:rPr>
        <w:t xml:space="preserve"> </w:t>
      </w:r>
      <w:r w:rsidR="006C577F" w:rsidRPr="006C577F">
        <w:rPr>
          <w:rStyle w:val="libFootnotenumChar"/>
          <w:rtl/>
        </w:rPr>
        <w:t>(9)</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ب » وشرح المازندراني : « مِمْحقة » بكسر الميم الا</w:t>
      </w:r>
      <w:r w:rsidR="00D67E3F">
        <w:rPr>
          <w:rFonts w:hint="cs"/>
          <w:rtl/>
        </w:rPr>
        <w:t>ُ</w:t>
      </w:r>
      <w:r w:rsidR="008A74EB" w:rsidRPr="00C9040A">
        <w:rPr>
          <w:rtl/>
        </w:rPr>
        <w:t xml:space="preserve">ولى. اسم آلة للمحق ، وهو الإبطال. </w:t>
      </w:r>
      <w:r w:rsidR="008A74EB">
        <w:rPr>
          <w:rtl/>
        </w:rPr>
        <w:t>و «</w:t>
      </w:r>
      <w:r w:rsidR="008A74EB" w:rsidRPr="00C9040A">
        <w:rPr>
          <w:rtl/>
        </w:rPr>
        <w:t xml:space="preserve"> المحق » : النقص والمحو والإبطال. وقد مَحَقه يَمحَقُه. ومَمْحقة : مَفْعَلة منه ، أي مَظِنّة له ومَحْراة به. </w:t>
      </w:r>
      <w:r w:rsidR="008A74EB" w:rsidRPr="00993B55">
        <w:rPr>
          <w:rStyle w:val="libFootnoteBoldChar"/>
          <w:rtl/>
        </w:rPr>
        <w:t>النهاية</w:t>
      </w:r>
      <w:r w:rsidR="008A74EB" w:rsidRPr="00C9040A">
        <w:rPr>
          <w:rtl/>
        </w:rPr>
        <w:t xml:space="preserve"> ، ج 4 ، ص 303 » : ( محق )</w:t>
      </w:r>
      <w:r w:rsidR="008A74EB">
        <w:rPr>
          <w:rtl/>
        </w:rPr>
        <w:t>.</w:t>
      </w:r>
    </w:p>
    <w:p w:rsidR="008A74EB" w:rsidRPr="000928A0" w:rsidRDefault="006C577F" w:rsidP="00D67E3F">
      <w:pPr>
        <w:pStyle w:val="libFootnote0"/>
        <w:rPr>
          <w:rtl/>
        </w:rPr>
      </w:pPr>
      <w:r>
        <w:rPr>
          <w:rtl/>
        </w:rPr>
        <w:t>(2).</w:t>
      </w:r>
      <w:r w:rsidR="008A74EB">
        <w:rPr>
          <w:rtl/>
        </w:rPr>
        <w:t xml:space="preserve"> </w:t>
      </w:r>
      <w:r w:rsidR="008A74EB" w:rsidRPr="00C9040A">
        <w:rPr>
          <w:rtl/>
        </w:rPr>
        <w:t xml:space="preserve">« لقلب الحكيم » : لعقله. يقال : ما قلبُك معك ، أي‌ما عَقْلُك. </w:t>
      </w:r>
      <w:r w:rsidR="008A74EB" w:rsidRPr="00993B55">
        <w:rPr>
          <w:rStyle w:val="libFootnoteBoldChar"/>
          <w:rtl/>
        </w:rPr>
        <w:t>مجمع البحرين</w:t>
      </w:r>
      <w:r w:rsidR="008A74EB" w:rsidRPr="00C9040A">
        <w:rPr>
          <w:rtl/>
        </w:rPr>
        <w:t xml:space="preserve"> ، ج 2 ، ص 146 ( قلب )</w:t>
      </w:r>
      <w:r w:rsidR="008A74EB">
        <w:rPr>
          <w:rtl/>
        </w:rPr>
        <w:t>.</w:t>
      </w:r>
      <w:r w:rsidR="008A74EB" w:rsidRPr="00C9040A">
        <w:rPr>
          <w:rtl/>
        </w:rPr>
        <w:t xml:space="preserve"> وفي </w:t>
      </w:r>
      <w:r w:rsidR="008A74EB" w:rsidRPr="00993B55">
        <w:rPr>
          <w:rStyle w:val="libFootnoteBoldChar"/>
          <w:rtl/>
        </w:rPr>
        <w:t>شرح المازندراني</w:t>
      </w:r>
      <w:r w:rsidR="008A74EB" w:rsidRPr="00C9040A">
        <w:rPr>
          <w:rtl/>
        </w:rPr>
        <w:t xml:space="preserve"> : « وإنّما خصّ قلب الحكيم بالذكر ؛ لأنّ المحق</w:t>
      </w:r>
      <w:r w:rsidR="00D67E3F">
        <w:rPr>
          <w:rFonts w:hint="cs"/>
          <w:rtl/>
        </w:rPr>
        <w:t xml:space="preserve"> </w:t>
      </w:r>
      <w:r w:rsidR="008A74EB" w:rsidRPr="000928A0">
        <w:rPr>
          <w:rtl/>
        </w:rPr>
        <w:t>الذي هو إزالة النور إنّما يتعلّق بقلب له نور ، وقلب غير الحكيم مظلم ليس له نور ؛ أو لأنّ قلب غير الحكيم يُعلم بالأولويّة ».</w:t>
      </w:r>
    </w:p>
    <w:p w:rsidR="008A74EB" w:rsidRPr="00C9040A" w:rsidRDefault="006C577F" w:rsidP="00D67E3F">
      <w:pPr>
        <w:pStyle w:val="libFootnote0"/>
        <w:rPr>
          <w:rtl/>
          <w:lang w:bidi="fa-IR"/>
        </w:rPr>
      </w:pPr>
      <w:r>
        <w:rPr>
          <w:rtl/>
        </w:rPr>
        <w:t>(3).</w:t>
      </w:r>
      <w:r w:rsidR="008A74EB" w:rsidRPr="00C9040A">
        <w:rPr>
          <w:rtl/>
        </w:rPr>
        <w:t xml:space="preserve"> </w:t>
      </w:r>
      <w:r w:rsidR="008A74EB" w:rsidRPr="00993B55">
        <w:rPr>
          <w:rStyle w:val="libFootnoteBoldChar"/>
          <w:rtl/>
        </w:rPr>
        <w:t>تحف العقول</w:t>
      </w:r>
      <w:r w:rsidR="008A74EB" w:rsidRPr="00C9040A">
        <w:rPr>
          <w:rtl/>
        </w:rPr>
        <w:t xml:space="preserve"> ، ص 371</w:t>
      </w:r>
      <w:r w:rsidR="00D67E3F">
        <w:rPr>
          <w:rFonts w:hint="cs"/>
          <w:rtl/>
        </w:rPr>
        <w:t>.</w:t>
      </w:r>
      <w:r w:rsidR="008A74EB" w:rsidRPr="00993B55">
        <w:rPr>
          <w:rStyle w:val="libFootnoteBoldChar"/>
          <w:rtl/>
        </w:rPr>
        <w:t>الوافي</w:t>
      </w:r>
      <w:r w:rsidR="008A74EB" w:rsidRPr="00C9040A">
        <w:rPr>
          <w:rtl/>
        </w:rPr>
        <w:t xml:space="preserve"> ، ج 5 ، ص 865 ، ح 3168 ؛ </w:t>
      </w:r>
      <w:r w:rsidR="008A74EB" w:rsidRPr="00993B55">
        <w:rPr>
          <w:rStyle w:val="libFootnoteBoldChar"/>
          <w:rtl/>
        </w:rPr>
        <w:t>الوسائل</w:t>
      </w:r>
      <w:r w:rsidR="008A74EB" w:rsidRPr="00C9040A">
        <w:rPr>
          <w:rtl/>
        </w:rPr>
        <w:t xml:space="preserve"> ، ج 15 ، ص 360 ، ح 20741 ؛ </w:t>
      </w:r>
      <w:r w:rsidR="008A74EB" w:rsidRPr="00993B55">
        <w:rPr>
          <w:rStyle w:val="libFootnoteBoldChar"/>
          <w:rtl/>
        </w:rPr>
        <w:t>البحار</w:t>
      </w:r>
      <w:r w:rsidR="008A74EB" w:rsidRPr="00C9040A">
        <w:rPr>
          <w:rtl/>
        </w:rPr>
        <w:t xml:space="preserve"> ، ج 73 ، ص 278 ، ح 33.</w:t>
      </w:r>
      <w:r w:rsidR="00D67E3F">
        <w:rPr>
          <w:rFonts w:hint="cs"/>
          <w:rtl/>
        </w:rPr>
        <w:t xml:space="preserve">        </w:t>
      </w:r>
      <w:r>
        <w:rPr>
          <w:rtl/>
        </w:rPr>
        <w:t>(4).</w:t>
      </w:r>
      <w:r w:rsidR="008A74EB" w:rsidRPr="00C9040A">
        <w:rPr>
          <w:rtl/>
        </w:rPr>
        <w:t xml:space="preserve"> في « </w:t>
      </w:r>
      <w:r w:rsidR="006D3162">
        <w:rPr>
          <w:rtl/>
        </w:rPr>
        <w:t xml:space="preserve">ه </w:t>
      </w:r>
      <w:r w:rsidR="008A74EB" w:rsidRPr="00C9040A">
        <w:rPr>
          <w:rtl/>
        </w:rPr>
        <w:t>» وحاشية « بر » : « أبي عبدالله »</w:t>
      </w:r>
      <w:r w:rsidR="008A74EB">
        <w:rPr>
          <w:rtl/>
        </w:rPr>
        <w:t>.</w:t>
      </w:r>
    </w:p>
    <w:tbl>
      <w:tblPr>
        <w:tblStyle w:val="TableGrid"/>
        <w:bidiVisual/>
        <w:tblW w:w="0" w:type="auto"/>
        <w:tblLook w:val="04A0" w:firstRow="1" w:lastRow="0" w:firstColumn="1" w:lastColumn="0" w:noHBand="0" w:noVBand="1"/>
      </w:tblPr>
      <w:tblGrid>
        <w:gridCol w:w="4006"/>
        <w:gridCol w:w="4006"/>
      </w:tblGrid>
      <w:tr w:rsidR="00D67E3F" w:rsidTr="00D67E3F">
        <w:tc>
          <w:tcPr>
            <w:tcW w:w="4006" w:type="dxa"/>
          </w:tcPr>
          <w:p w:rsidR="00D67E3F" w:rsidRDefault="00D67E3F" w:rsidP="004A4E41">
            <w:pPr>
              <w:pStyle w:val="libFootnote0"/>
              <w:rPr>
                <w:rtl/>
              </w:rPr>
            </w:pPr>
            <w:r>
              <w:rPr>
                <w:rtl/>
              </w:rPr>
              <w:t>(5).</w:t>
            </w:r>
            <w:r w:rsidRPr="00C9040A">
              <w:rPr>
                <w:rtl/>
              </w:rPr>
              <w:t xml:space="preserve"> في « ز » </w:t>
            </w:r>
            <w:r>
              <w:rPr>
                <w:rtl/>
              </w:rPr>
              <w:t>: -</w:t>
            </w:r>
            <w:r w:rsidRPr="00C9040A">
              <w:rPr>
                <w:rtl/>
              </w:rPr>
              <w:t xml:space="preserve"> « نفسه »</w:t>
            </w:r>
            <w:r>
              <w:rPr>
                <w:rtl/>
              </w:rPr>
              <w:t>.</w:t>
            </w:r>
          </w:p>
        </w:tc>
        <w:tc>
          <w:tcPr>
            <w:tcW w:w="4006" w:type="dxa"/>
          </w:tcPr>
          <w:p w:rsidR="00D67E3F" w:rsidRDefault="00D67E3F" w:rsidP="004A4E41">
            <w:pPr>
              <w:pStyle w:val="libFootnote0"/>
              <w:rPr>
                <w:rtl/>
              </w:rPr>
            </w:pPr>
            <w:r>
              <w:rPr>
                <w:rtl/>
              </w:rPr>
              <w:t xml:space="preserve">(6). </w:t>
            </w:r>
            <w:r w:rsidRPr="00C9040A">
              <w:rPr>
                <w:rtl/>
              </w:rPr>
              <w:t xml:space="preserve">في « </w:t>
            </w:r>
            <w:r>
              <w:rPr>
                <w:rtl/>
              </w:rPr>
              <w:t xml:space="preserve">ه </w:t>
            </w:r>
            <w:r w:rsidRPr="00C9040A">
              <w:rPr>
                <w:rtl/>
              </w:rPr>
              <w:t>» : « المسلمين »</w:t>
            </w:r>
            <w:r>
              <w:rPr>
                <w:rtl/>
              </w:rPr>
              <w:t>.</w:t>
            </w:r>
          </w:p>
        </w:tc>
      </w:tr>
    </w:tbl>
    <w:p w:rsidR="008A74EB" w:rsidRPr="00C9040A" w:rsidRDefault="006C577F" w:rsidP="004A4E41">
      <w:pPr>
        <w:pStyle w:val="libFootnote0"/>
        <w:rPr>
          <w:rtl/>
          <w:lang w:bidi="fa-IR"/>
        </w:rPr>
      </w:pPr>
      <w:r>
        <w:rPr>
          <w:rtl/>
        </w:rPr>
        <w:t>(7).</w:t>
      </w:r>
      <w:r w:rsidR="008A74EB" w:rsidRPr="00C9040A">
        <w:rPr>
          <w:rtl/>
        </w:rPr>
        <w:t xml:space="preserve"> في « </w:t>
      </w:r>
      <w:r w:rsidR="006D3162">
        <w:rPr>
          <w:rtl/>
        </w:rPr>
        <w:t xml:space="preserve">ه </w:t>
      </w:r>
      <w:r w:rsidR="008A74EB" w:rsidRPr="00C9040A">
        <w:rPr>
          <w:rtl/>
        </w:rPr>
        <w:t>» : « أقاله »</w:t>
      </w:r>
      <w:r w:rsidR="008A74EB">
        <w:rPr>
          <w:rtl/>
        </w:rPr>
        <w:t>.</w:t>
      </w:r>
      <w:r w:rsidR="008A74EB" w:rsidRPr="00C9040A">
        <w:rPr>
          <w:rtl/>
        </w:rPr>
        <w:t xml:space="preserve"> وأقال الله عَثرته : رفعه من سقوطه. ومنه الإقالة في البيع ؛ لأنّها رفع العقد. </w:t>
      </w:r>
      <w:r w:rsidR="008A74EB" w:rsidRPr="00993B55">
        <w:rPr>
          <w:rStyle w:val="libFootnoteBoldChar"/>
          <w:rtl/>
        </w:rPr>
        <w:t>المصباح المنير</w:t>
      </w:r>
      <w:r w:rsidR="008A74EB" w:rsidRPr="00C9040A">
        <w:rPr>
          <w:rtl/>
        </w:rPr>
        <w:t xml:space="preserve"> ، ص 521 ( قيل )</w:t>
      </w:r>
      <w:r w:rsidR="008A74EB">
        <w:rPr>
          <w:rtl/>
        </w:rPr>
        <w:t>.</w:t>
      </w:r>
    </w:p>
    <w:p w:rsidR="008A74EB" w:rsidRPr="00C9040A" w:rsidRDefault="006C577F" w:rsidP="00AB5D10">
      <w:pPr>
        <w:pStyle w:val="libFootnote0"/>
        <w:rPr>
          <w:rtl/>
          <w:lang w:bidi="fa-IR"/>
        </w:rPr>
      </w:pPr>
      <w:r>
        <w:rPr>
          <w:rtl/>
        </w:rPr>
        <w:t>(8).</w:t>
      </w:r>
      <w:r w:rsidR="008A74EB" w:rsidRPr="00C9040A">
        <w:rPr>
          <w:rtl/>
        </w:rPr>
        <w:t xml:space="preserve"> </w:t>
      </w:r>
      <w:r w:rsidR="008A74EB" w:rsidRPr="00993B55">
        <w:rPr>
          <w:rStyle w:val="libFootnoteBoldChar"/>
          <w:rtl/>
        </w:rPr>
        <w:t>ثواب الأعمال</w:t>
      </w:r>
      <w:r w:rsidR="008A74EB" w:rsidRPr="00C9040A">
        <w:rPr>
          <w:rtl/>
        </w:rPr>
        <w:t xml:space="preserve"> ، ص 161 ، ح 1 ، بسنده عن عاصم. </w:t>
      </w:r>
      <w:r w:rsidR="008A74EB" w:rsidRPr="00993B55">
        <w:rPr>
          <w:rStyle w:val="libFootnoteBoldChar"/>
          <w:rtl/>
        </w:rPr>
        <w:t>الزهد</w:t>
      </w:r>
      <w:r w:rsidR="008A74EB" w:rsidRPr="00C9040A">
        <w:rPr>
          <w:rtl/>
        </w:rPr>
        <w:t xml:space="preserve"> ، ص 66 ، ح 9 ، بسند آخر. </w:t>
      </w:r>
      <w:r w:rsidR="008A74EB" w:rsidRPr="00993B55">
        <w:rPr>
          <w:rStyle w:val="libFootnoteBoldChar"/>
          <w:rtl/>
        </w:rPr>
        <w:t>الاختصاص</w:t>
      </w:r>
      <w:r w:rsidR="008A74EB" w:rsidRPr="00C9040A">
        <w:rPr>
          <w:rtl/>
        </w:rPr>
        <w:t xml:space="preserve"> ، ص 229 ، مرسلاً ، وفي كلّها عن أبي جعفر </w:t>
      </w:r>
      <w:r w:rsidR="00117575" w:rsidRPr="00117575">
        <w:rPr>
          <w:rStyle w:val="libFootnoteAlaemChar"/>
          <w:rtl/>
        </w:rPr>
        <w:t xml:space="preserve">عليه‌السلام </w:t>
      </w:r>
      <w:r w:rsidR="008A74EB" w:rsidRPr="00C9040A">
        <w:rPr>
          <w:rtl/>
        </w:rPr>
        <w:t xml:space="preserve">من دون الإسناد إلى رسول الله </w:t>
      </w:r>
      <w:r w:rsidR="004A4E41" w:rsidRPr="00AB5D10">
        <w:rPr>
          <w:rStyle w:val="libFootnoteAlaemChar"/>
          <w:rtl/>
        </w:rPr>
        <w:t>صلى‌الله‌عليه‌وآله</w:t>
      </w:r>
      <w:r w:rsidR="008A74EB" w:rsidRPr="00C9040A">
        <w:rPr>
          <w:rtl/>
        </w:rPr>
        <w:t xml:space="preserve"> ، مع اختلاف يسير</w:t>
      </w:r>
      <w:r w:rsidR="00AB5D10">
        <w:rPr>
          <w:rFonts w:hint="cs"/>
          <w:rtl/>
        </w:rPr>
        <w:t>.</w:t>
      </w:r>
      <w:r w:rsidR="008A74EB" w:rsidRPr="00993B55">
        <w:rPr>
          <w:rStyle w:val="libFootnoteBoldChar"/>
          <w:rtl/>
        </w:rPr>
        <w:t>الوافي</w:t>
      </w:r>
      <w:r w:rsidR="008A74EB" w:rsidRPr="00C9040A">
        <w:rPr>
          <w:rtl/>
        </w:rPr>
        <w:t xml:space="preserve"> ، ج 5 ، ص 866 ، ح 3169 ؛ </w:t>
      </w:r>
      <w:r w:rsidR="008A74EB" w:rsidRPr="00993B55">
        <w:rPr>
          <w:rStyle w:val="libFootnoteBoldChar"/>
          <w:rtl/>
        </w:rPr>
        <w:t>الوسائل</w:t>
      </w:r>
      <w:r w:rsidR="008A74EB" w:rsidRPr="00C9040A">
        <w:rPr>
          <w:rtl/>
        </w:rPr>
        <w:t xml:space="preserve"> ، ج 15 ، ص 359 ، ح 20736 ؛ </w:t>
      </w:r>
      <w:r w:rsidR="008A74EB" w:rsidRPr="00993B55">
        <w:rPr>
          <w:rStyle w:val="libFootnoteBoldChar"/>
          <w:rtl/>
        </w:rPr>
        <w:t>البحار</w:t>
      </w:r>
      <w:r w:rsidR="008A74EB" w:rsidRPr="00C9040A">
        <w:rPr>
          <w:rtl/>
        </w:rPr>
        <w:t xml:space="preserve"> ، ج 73 ، ص 280 ، ح 34.</w:t>
      </w:r>
    </w:p>
    <w:p w:rsidR="008A74EB" w:rsidRPr="00C9040A" w:rsidRDefault="006C577F" w:rsidP="004A4E41">
      <w:pPr>
        <w:pStyle w:val="libFootnote0"/>
        <w:rPr>
          <w:rtl/>
          <w:lang w:bidi="fa-IR"/>
        </w:rPr>
      </w:pPr>
      <w:r>
        <w:rPr>
          <w:rtl/>
        </w:rPr>
        <w:t>(9).</w:t>
      </w:r>
      <w:r w:rsidR="008A74EB" w:rsidRPr="00C9040A">
        <w:rPr>
          <w:rtl/>
        </w:rPr>
        <w:t xml:space="preserve"> </w:t>
      </w:r>
      <w:r w:rsidR="008A74EB" w:rsidRPr="00993B55">
        <w:rPr>
          <w:rStyle w:val="libFootnoteBoldChar"/>
          <w:rtl/>
        </w:rPr>
        <w:t>الوافي</w:t>
      </w:r>
      <w:r w:rsidR="008A74EB" w:rsidRPr="00C9040A">
        <w:rPr>
          <w:rtl/>
        </w:rPr>
        <w:t xml:space="preserve"> ، ج 5 ، ص 866 ، ح 3170 ؛ </w:t>
      </w:r>
      <w:r w:rsidR="008A74EB" w:rsidRPr="00993B55">
        <w:rPr>
          <w:rStyle w:val="libFootnoteBoldChar"/>
          <w:rtl/>
        </w:rPr>
        <w:t>الوسائل</w:t>
      </w:r>
      <w:r w:rsidR="008A74EB" w:rsidRPr="00C9040A">
        <w:rPr>
          <w:rtl/>
        </w:rPr>
        <w:t xml:space="preserve"> ، ج 15 ، ص 361 ، ح 20743.</w:t>
      </w:r>
    </w:p>
    <w:p w:rsidR="004B7F34" w:rsidRDefault="004B7F34" w:rsidP="004B7F34">
      <w:pPr>
        <w:pStyle w:val="libNormal"/>
        <w:rPr>
          <w:rtl/>
          <w:lang w:bidi="fa-IR"/>
        </w:rPr>
      </w:pPr>
      <w:r>
        <w:rPr>
          <w:rtl/>
          <w:lang w:bidi="fa-IR"/>
        </w:rPr>
        <w:br w:type="page"/>
      </w:r>
    </w:p>
    <w:p w:rsidR="008A74EB" w:rsidRPr="00C9040A" w:rsidRDefault="008A74EB" w:rsidP="008A74EB">
      <w:pPr>
        <w:pStyle w:val="Heading2Center"/>
        <w:rPr>
          <w:rtl/>
          <w:lang w:bidi="fa-IR"/>
        </w:rPr>
      </w:pPr>
      <w:bookmarkStart w:id="376" w:name="_Toc343795713"/>
      <w:bookmarkStart w:id="377" w:name="_Toc459810837"/>
      <w:bookmarkStart w:id="378" w:name="_Toc35348743"/>
      <w:r w:rsidRPr="00C9040A">
        <w:rPr>
          <w:rtl/>
          <w:lang w:bidi="fa-IR"/>
        </w:rPr>
        <w:t>122</w:t>
      </w:r>
      <w:r>
        <w:rPr>
          <w:rtl/>
          <w:lang w:bidi="fa-IR"/>
        </w:rPr>
        <w:t xml:space="preserve"> </w:t>
      </w:r>
      <w:r w:rsidR="0084262C">
        <w:rPr>
          <w:rtl/>
          <w:lang w:bidi="fa-IR"/>
        </w:rPr>
        <w:t>-</w:t>
      </w:r>
      <w:r>
        <w:rPr>
          <w:rtl/>
          <w:lang w:bidi="fa-IR"/>
        </w:rPr>
        <w:t xml:space="preserve"> </w:t>
      </w:r>
      <w:r w:rsidRPr="00C9040A">
        <w:rPr>
          <w:rtl/>
          <w:lang w:bidi="fa-IR"/>
        </w:rPr>
        <w:t>بَابُ الْحَسَدِ‌</w:t>
      </w:r>
      <w:bookmarkEnd w:id="376"/>
      <w:bookmarkEnd w:id="377"/>
      <w:bookmarkEnd w:id="378"/>
    </w:p>
    <w:p w:rsidR="008A74EB" w:rsidRPr="00C9040A" w:rsidRDefault="008A74EB" w:rsidP="008A74EB">
      <w:pPr>
        <w:pStyle w:val="libNormal"/>
        <w:rPr>
          <w:rtl/>
          <w:lang w:bidi="fa-IR"/>
        </w:rPr>
      </w:pPr>
      <w:r w:rsidRPr="00261CB0">
        <w:rPr>
          <w:rStyle w:val="libBold2Char"/>
          <w:rtl/>
        </w:rPr>
        <w:t>2546 / 1.</w:t>
      </w:r>
      <w:r w:rsidRPr="00C9040A">
        <w:rPr>
          <w:rtl/>
          <w:lang w:bidi="fa-IR"/>
        </w:rPr>
        <w:t xml:space="preserve"> مُحَمَّدُ بْنُ يَحْيى ، عَنْ أَحْمَدَ بْنِ مُحَمَّدٍ ، عَنِ ابْنِ مَحْبُوبٍ ، عَنِ الْعَلَاءِ بْنِ رَزِينٍ ، عَنْ مُحَمَّدِ بْنِ مُسْلِمٍ ، قَالَ :</w:t>
      </w:r>
    </w:p>
    <w:p w:rsidR="008A74EB" w:rsidRPr="00C9040A" w:rsidRDefault="008A74EB" w:rsidP="008A74EB">
      <w:pPr>
        <w:pStyle w:val="libNormal"/>
        <w:rPr>
          <w:rtl/>
          <w:lang w:bidi="fa-IR"/>
        </w:rPr>
      </w:pPr>
      <w:r w:rsidRPr="00C9040A">
        <w:rPr>
          <w:rtl/>
          <w:lang w:bidi="fa-IR"/>
        </w:rPr>
        <w:t xml:space="preserve">قَالَ أَبُو جَعْفَرٍ </w:t>
      </w:r>
      <w:r w:rsidRPr="0003660B">
        <w:rPr>
          <w:rStyle w:val="libAlaemChar"/>
          <w:rtl/>
        </w:rPr>
        <w:t>عليه‌السلام</w:t>
      </w:r>
      <w:r w:rsidRPr="00C9040A">
        <w:rPr>
          <w:rtl/>
          <w:lang w:bidi="fa-IR"/>
        </w:rPr>
        <w:t xml:space="preserve"> : « إِنَّ الرَّجُلَ لَيَأْتِي بِأَيِّ </w:t>
      </w:r>
      <w:r w:rsidR="006C577F" w:rsidRPr="006C577F">
        <w:rPr>
          <w:rStyle w:val="libFootnotenumChar"/>
          <w:rtl/>
        </w:rPr>
        <w:t>(1)</w:t>
      </w:r>
      <w:r w:rsidRPr="00C9040A">
        <w:rPr>
          <w:rtl/>
          <w:lang w:bidi="fa-IR"/>
        </w:rPr>
        <w:t xml:space="preserve"> بَادِرَةٍ </w:t>
      </w:r>
      <w:r w:rsidR="006C577F" w:rsidRPr="006C577F">
        <w:rPr>
          <w:rStyle w:val="libFootnotenumChar"/>
          <w:rtl/>
        </w:rPr>
        <w:t>(2)</w:t>
      </w:r>
      <w:r w:rsidRPr="00C9040A">
        <w:rPr>
          <w:rtl/>
          <w:lang w:bidi="fa-IR"/>
        </w:rPr>
        <w:t xml:space="preserve"> فَيَكْفُرُ </w:t>
      </w:r>
      <w:r w:rsidR="006C577F" w:rsidRPr="006C577F">
        <w:rPr>
          <w:rStyle w:val="libFootnotenumChar"/>
          <w:rtl/>
        </w:rPr>
        <w:t>(3)</w:t>
      </w:r>
      <w:r w:rsidRPr="00C9040A">
        <w:rPr>
          <w:rtl/>
          <w:lang w:bidi="fa-IR"/>
        </w:rPr>
        <w:t xml:space="preserve"> ، وَإِنَّ الْحَسَدَ لَيَأْكُلُ </w:t>
      </w:r>
      <w:r w:rsidR="006C577F" w:rsidRPr="006C577F">
        <w:rPr>
          <w:rStyle w:val="libFootnotenumChar"/>
          <w:rtl/>
        </w:rPr>
        <w:t>(4)</w:t>
      </w:r>
      <w:r w:rsidRPr="00C9040A">
        <w:rPr>
          <w:rtl/>
          <w:lang w:bidi="fa-IR"/>
        </w:rPr>
        <w:t xml:space="preserve"> الْإِيمَانَ كَمَا تَأْكُلُ </w:t>
      </w:r>
      <w:r w:rsidR="006C577F" w:rsidRPr="006C577F">
        <w:rPr>
          <w:rStyle w:val="libFootnotenumChar"/>
          <w:rtl/>
        </w:rPr>
        <w:t>(5)</w:t>
      </w:r>
      <w:r w:rsidRPr="00C9040A">
        <w:rPr>
          <w:rtl/>
          <w:lang w:bidi="fa-IR"/>
        </w:rPr>
        <w:t xml:space="preserve"> النَّارُ الْحَطَبَ »</w:t>
      </w:r>
      <w:r>
        <w:rPr>
          <w:rtl/>
          <w:lang w:bidi="fa-IR"/>
        </w:rPr>
        <w:t>.</w:t>
      </w:r>
      <w:r w:rsidRPr="00C9040A">
        <w:rPr>
          <w:rtl/>
          <w:lang w:bidi="fa-IR"/>
        </w:rPr>
        <w:t xml:space="preserve"> </w:t>
      </w:r>
      <w:r w:rsidR="006C577F" w:rsidRPr="006C577F">
        <w:rPr>
          <w:rStyle w:val="libFootnotenumChar"/>
          <w:rtl/>
        </w:rPr>
        <w:t>(6)</w:t>
      </w:r>
    </w:p>
    <w:p w:rsidR="008A74EB" w:rsidRPr="00C9040A" w:rsidRDefault="008A74EB" w:rsidP="008A74EB">
      <w:pPr>
        <w:pStyle w:val="libNormal"/>
        <w:rPr>
          <w:rtl/>
          <w:lang w:bidi="fa-IR"/>
        </w:rPr>
      </w:pPr>
      <w:r w:rsidRPr="000928A0">
        <w:rPr>
          <w:rtl/>
        </w:rPr>
        <w:t>2547</w:t>
      </w:r>
      <w:r w:rsidRPr="00261CB0">
        <w:rPr>
          <w:rStyle w:val="libBold2Char"/>
          <w:rtl/>
        </w:rPr>
        <w:t xml:space="preserve"> / 2.</w:t>
      </w:r>
      <w:r w:rsidRPr="00C9040A">
        <w:rPr>
          <w:rtl/>
          <w:lang w:bidi="fa-IR"/>
        </w:rPr>
        <w:t xml:space="preserve"> عَنْهُ ، عَنْ أَحْمَدَ بْنِ مُحَمَّدٍ ، عَنْ مُحَمَّدِ بْنِ خَالِدٍ وَالْحُسَيْنِ بْنِ سَعِيدٍ ، عَنِ النَّضْرِ بْنِ سُوَيْدٍ ، عَنِ الْقَاسِمِ بْنِ سُلَيْمَانَ ، عَنْ جَرَّاحٍ الْمَدَائِنِيِّ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إِنَّ الْحَسَدَ يَأْكُلُ </w:t>
      </w:r>
      <w:r w:rsidR="006C577F" w:rsidRPr="006C577F">
        <w:rPr>
          <w:rStyle w:val="libFootnotenumChar"/>
          <w:rtl/>
        </w:rPr>
        <w:t>(7)</w:t>
      </w:r>
      <w:r w:rsidRPr="00C9040A">
        <w:rPr>
          <w:rtl/>
          <w:lang w:bidi="fa-IR"/>
        </w:rPr>
        <w:t xml:space="preserve"> الْإِيمَانَ ، كَمَا تَأْكُلُ النَّارُ الْحَطَبَ </w:t>
      </w:r>
      <w:r w:rsidR="006C577F" w:rsidRPr="006C577F">
        <w:rPr>
          <w:rStyle w:val="libFootnotenumChar"/>
          <w:rtl/>
        </w:rPr>
        <w:t>(8)</w:t>
      </w:r>
      <w:r w:rsidRPr="00C9040A">
        <w:rPr>
          <w:rtl/>
          <w:lang w:bidi="fa-IR"/>
        </w:rPr>
        <w:t>»</w:t>
      </w:r>
      <w:r>
        <w:rPr>
          <w:rtl/>
          <w:lang w:bidi="fa-IR"/>
        </w:rPr>
        <w:t>.</w:t>
      </w:r>
      <w:r w:rsidR="006C577F" w:rsidRPr="006C577F">
        <w:rPr>
          <w:rStyle w:val="libFootnotenumChar"/>
          <w:rtl/>
        </w:rPr>
        <w:t>(9)</w:t>
      </w:r>
      <w:r w:rsidRPr="00C9040A">
        <w:rPr>
          <w:rtl/>
          <w:lang w:bidi="fa-IR"/>
        </w:rPr>
        <w:t>‌</w:t>
      </w:r>
    </w:p>
    <w:p w:rsidR="008A74EB" w:rsidRPr="00C9040A" w:rsidRDefault="008A74EB" w:rsidP="008A74EB">
      <w:pPr>
        <w:pStyle w:val="libNormal"/>
        <w:rPr>
          <w:rtl/>
          <w:lang w:bidi="fa-IR"/>
        </w:rPr>
      </w:pPr>
      <w:r w:rsidRPr="000928A0">
        <w:rPr>
          <w:rtl/>
        </w:rPr>
        <w:t>2548</w:t>
      </w:r>
      <w:r w:rsidRPr="00261CB0">
        <w:rPr>
          <w:rStyle w:val="libBold2Char"/>
          <w:rtl/>
        </w:rPr>
        <w:t xml:space="preserve"> / 3.</w:t>
      </w:r>
      <w:r w:rsidRPr="00C9040A">
        <w:rPr>
          <w:rtl/>
          <w:lang w:bidi="fa-IR"/>
        </w:rPr>
        <w:t xml:space="preserve"> عِدَّةٌ مِنْ أَصْحَابِنَا ، عَنْ أَحْمَدَ بْنِ مُحَمَّدِ بْنِ خَالِدٍ ، عَنِ ابْنِ مَحْبُوبٍ ، عَنْ دَاوُدَ الرَّقِّيِّ ، قَالَ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الوسائل : « بأدنى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 البادرة » : ما يَبْدُر من حِدَّة الرجل عند الغضب من قول أو فعل. راجع : </w:t>
      </w:r>
      <w:r w:rsidR="008A74EB" w:rsidRPr="00993B55">
        <w:rPr>
          <w:rStyle w:val="libFootnoteBoldChar"/>
          <w:rtl/>
        </w:rPr>
        <w:t>ترتيب كتاب العين</w:t>
      </w:r>
      <w:r w:rsidR="008A74EB" w:rsidRPr="00C9040A">
        <w:rPr>
          <w:rtl/>
        </w:rPr>
        <w:t xml:space="preserve"> ، ج 1 ، ص 71 ( بدر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ب ، ص ، بر » : « فيكفّر » بالتضعيف. وذكر في </w:t>
      </w:r>
      <w:r w:rsidR="008A74EB" w:rsidRPr="00993B55">
        <w:rPr>
          <w:rStyle w:val="libFootnoteBoldChar"/>
          <w:rtl/>
        </w:rPr>
        <w:t>مرآة العقول</w:t>
      </w:r>
      <w:r w:rsidR="008A74EB" w:rsidRPr="00C9040A">
        <w:rPr>
          <w:rtl/>
        </w:rPr>
        <w:t xml:space="preserve"> ج 10 ، ص 156 وجوهاً في معناه. قال في ثالثها : « الثالث : أن يقرأ : فتكفّر ، على بناء المجهول من باب التفعيل ، أي البوادر عند الغضب مكفّرة غالباً ؛ لعذر الإنسان فيه في الجملة ، لاسيّما إذا تعقّبتها ندامة</w:t>
      </w:r>
      <w:r w:rsidR="008A74EB">
        <w:rPr>
          <w:rtl/>
        </w:rPr>
        <w:t xml:space="preserve"> ..</w:t>
      </w:r>
      <w:r w:rsidR="008A74EB" w:rsidRPr="00C9040A">
        <w:rPr>
          <w:rtl/>
        </w:rPr>
        <w:t>. ويمكن أن يقرأ بالياء ، كما في النسخ على هذا البناء أيضاً ، أي ينسب إلى الكفر ، وإن كان معذوراً عند الله لرفع الاختيار »</w:t>
      </w:r>
      <w:r w:rsidR="008A74EB">
        <w:rPr>
          <w:rtl/>
        </w:rPr>
        <w:t>.</w:t>
      </w:r>
    </w:p>
    <w:tbl>
      <w:tblPr>
        <w:tblStyle w:val="TableGrid"/>
        <w:bidiVisual/>
        <w:tblW w:w="0" w:type="auto"/>
        <w:tblLook w:val="04A0" w:firstRow="1" w:lastRow="0" w:firstColumn="1" w:lastColumn="0" w:noHBand="0" w:noVBand="1"/>
      </w:tblPr>
      <w:tblGrid>
        <w:gridCol w:w="4006"/>
        <w:gridCol w:w="4006"/>
      </w:tblGrid>
      <w:tr w:rsidR="00AB5D10" w:rsidTr="00AB5D10">
        <w:tc>
          <w:tcPr>
            <w:tcW w:w="4006" w:type="dxa"/>
          </w:tcPr>
          <w:p w:rsidR="00AB5D10" w:rsidRDefault="00AB5D10" w:rsidP="004A4E41">
            <w:pPr>
              <w:pStyle w:val="libFootnote0"/>
              <w:rPr>
                <w:rtl/>
              </w:rPr>
            </w:pPr>
            <w:r>
              <w:rPr>
                <w:rtl/>
              </w:rPr>
              <w:t>(4).</w:t>
            </w:r>
            <w:r w:rsidRPr="00C9040A">
              <w:rPr>
                <w:rtl/>
              </w:rPr>
              <w:t xml:space="preserve"> في « ز ، ص » : « يأكل »</w:t>
            </w:r>
            <w:r>
              <w:rPr>
                <w:rtl/>
              </w:rPr>
              <w:t>.</w:t>
            </w:r>
          </w:p>
        </w:tc>
        <w:tc>
          <w:tcPr>
            <w:tcW w:w="4006" w:type="dxa"/>
          </w:tcPr>
          <w:p w:rsidR="00AB5D10" w:rsidRDefault="00AB5D10" w:rsidP="004A4E41">
            <w:pPr>
              <w:pStyle w:val="libFootnote0"/>
              <w:rPr>
                <w:rtl/>
              </w:rPr>
            </w:pPr>
            <w:r>
              <w:rPr>
                <w:rtl/>
              </w:rPr>
              <w:t>(5).</w:t>
            </w:r>
            <w:r w:rsidRPr="00C9040A">
              <w:rPr>
                <w:rtl/>
              </w:rPr>
              <w:t xml:space="preserve"> في « بف » : « يأكل »</w:t>
            </w:r>
            <w:r>
              <w:rPr>
                <w:rtl/>
              </w:rPr>
              <w:t>.</w:t>
            </w:r>
          </w:p>
        </w:tc>
      </w:tr>
    </w:tbl>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الوافي</w:t>
      </w:r>
      <w:r w:rsidR="008A74EB" w:rsidRPr="00C9040A">
        <w:rPr>
          <w:rtl/>
        </w:rPr>
        <w:t xml:space="preserve"> ، ج 5 ، ص 859 ، ح 3152 ؛ </w:t>
      </w:r>
      <w:r w:rsidR="008A74EB" w:rsidRPr="00993B55">
        <w:rPr>
          <w:rStyle w:val="libFootnoteBoldChar"/>
          <w:rtl/>
        </w:rPr>
        <w:t>الوسائل</w:t>
      </w:r>
      <w:r w:rsidR="008A74EB" w:rsidRPr="00C9040A">
        <w:rPr>
          <w:rtl/>
        </w:rPr>
        <w:t xml:space="preserve"> ، ج 15 ، ص 365 ، ح 20754 ؛ </w:t>
      </w:r>
      <w:r w:rsidR="008A74EB" w:rsidRPr="00993B55">
        <w:rPr>
          <w:rStyle w:val="libFootnoteBoldChar"/>
          <w:rtl/>
        </w:rPr>
        <w:t>البحار</w:t>
      </w:r>
      <w:r w:rsidR="008A74EB" w:rsidRPr="00C9040A">
        <w:rPr>
          <w:rtl/>
        </w:rPr>
        <w:t xml:space="preserve"> ، ج 73 ، ص 237 ، ح 1.</w:t>
      </w:r>
    </w:p>
    <w:tbl>
      <w:tblPr>
        <w:tblStyle w:val="TableGrid"/>
        <w:bidiVisual/>
        <w:tblW w:w="0" w:type="auto"/>
        <w:tblLook w:val="04A0" w:firstRow="1" w:lastRow="0" w:firstColumn="1" w:lastColumn="0" w:noHBand="0" w:noVBand="1"/>
      </w:tblPr>
      <w:tblGrid>
        <w:gridCol w:w="4006"/>
        <w:gridCol w:w="4006"/>
      </w:tblGrid>
      <w:tr w:rsidR="00D011FD" w:rsidTr="00D011FD">
        <w:tc>
          <w:tcPr>
            <w:tcW w:w="4006" w:type="dxa"/>
          </w:tcPr>
          <w:p w:rsidR="00D011FD" w:rsidRDefault="00D011FD" w:rsidP="004A4E41">
            <w:pPr>
              <w:pStyle w:val="libFootnote0"/>
              <w:rPr>
                <w:rtl/>
                <w:lang w:bidi="fa-IR"/>
              </w:rPr>
            </w:pPr>
            <w:r>
              <w:rPr>
                <w:rtl/>
              </w:rPr>
              <w:t>(7).</w:t>
            </w:r>
            <w:r w:rsidRPr="00C9040A">
              <w:rPr>
                <w:rtl/>
              </w:rPr>
              <w:t xml:space="preserve"> في الوسائل : « ليأكل »</w:t>
            </w:r>
            <w:r>
              <w:rPr>
                <w:rtl/>
              </w:rPr>
              <w:t>.</w:t>
            </w:r>
          </w:p>
        </w:tc>
        <w:tc>
          <w:tcPr>
            <w:tcW w:w="4006" w:type="dxa"/>
          </w:tcPr>
          <w:p w:rsidR="00D011FD" w:rsidRDefault="00D011FD" w:rsidP="004A4E41">
            <w:pPr>
              <w:pStyle w:val="libFootnote0"/>
              <w:rPr>
                <w:rtl/>
                <w:lang w:bidi="fa-IR"/>
              </w:rPr>
            </w:pPr>
            <w:r>
              <w:rPr>
                <w:rtl/>
              </w:rPr>
              <w:t>(8).</w:t>
            </w:r>
            <w:r w:rsidRPr="00C9040A">
              <w:rPr>
                <w:rtl/>
              </w:rPr>
              <w:t xml:space="preserve"> في قرب الإسناد : + « اليابس »</w:t>
            </w:r>
            <w:r>
              <w:rPr>
                <w:rtl/>
              </w:rPr>
              <w:t>.</w:t>
            </w:r>
          </w:p>
        </w:tc>
      </w:tr>
    </w:tbl>
    <w:p w:rsidR="008A74EB" w:rsidRPr="00C9040A" w:rsidRDefault="006C577F" w:rsidP="00CF785A">
      <w:pPr>
        <w:pStyle w:val="libFootnote0"/>
        <w:rPr>
          <w:rtl/>
          <w:lang w:bidi="fa-IR"/>
        </w:rPr>
      </w:pPr>
      <w:r>
        <w:rPr>
          <w:rtl/>
        </w:rPr>
        <w:t>(9).</w:t>
      </w:r>
      <w:r w:rsidR="008A74EB" w:rsidRPr="00C9040A">
        <w:rPr>
          <w:rtl/>
        </w:rPr>
        <w:t xml:space="preserve"> </w:t>
      </w:r>
      <w:r w:rsidR="008A74EB" w:rsidRPr="00993B55">
        <w:rPr>
          <w:rStyle w:val="libFootnoteBoldChar"/>
          <w:rtl/>
        </w:rPr>
        <w:t>الكافي</w:t>
      </w:r>
      <w:r w:rsidR="008A74EB" w:rsidRPr="00C9040A">
        <w:rPr>
          <w:rtl/>
        </w:rPr>
        <w:t xml:space="preserve"> ، كتاب الصيام ، باب أدب الصائم ، ح 6328 ؛ و</w:t>
      </w:r>
      <w:r w:rsidR="008A74EB" w:rsidRPr="00993B55">
        <w:rPr>
          <w:rStyle w:val="libFootnoteBoldChar"/>
          <w:rtl/>
        </w:rPr>
        <w:t xml:space="preserve">الفقيه </w:t>
      </w:r>
      <w:r w:rsidR="008A74EB" w:rsidRPr="00C9040A">
        <w:rPr>
          <w:rtl/>
        </w:rPr>
        <w:t xml:space="preserve">، ج 2 ، ص 108 ، ح 1875 ، بسند آخر. </w:t>
      </w:r>
      <w:r w:rsidR="008A74EB" w:rsidRPr="00993B55">
        <w:rPr>
          <w:rStyle w:val="libFootnoteBoldChar"/>
          <w:rtl/>
        </w:rPr>
        <w:t>قرب الإسناد</w:t>
      </w:r>
      <w:r w:rsidR="008A74EB" w:rsidRPr="00C9040A">
        <w:rPr>
          <w:rtl/>
        </w:rPr>
        <w:t xml:space="preserve"> ، ص 29 ، ح 94 ، بسند آخر عن جعفر بن محمّد ، عن أبيه </w:t>
      </w:r>
      <w:r w:rsidR="00117575" w:rsidRPr="00117575">
        <w:rPr>
          <w:rStyle w:val="libFootnoteAlaemChar"/>
          <w:rtl/>
        </w:rPr>
        <w:t>عليهم‌السلام</w:t>
      </w:r>
      <w:r w:rsidR="008A74EB" w:rsidRPr="00C9040A">
        <w:rPr>
          <w:rtl/>
        </w:rPr>
        <w:t xml:space="preserve"> عن النبيّ </w:t>
      </w:r>
      <w:r w:rsidR="004A4E41" w:rsidRPr="00CF785A">
        <w:rPr>
          <w:rStyle w:val="libFootnoteAlaemChar"/>
          <w:rtl/>
        </w:rPr>
        <w:t>صلى‌الله‌عليه‌وآله</w:t>
      </w:r>
      <w:r w:rsidR="008A74EB" w:rsidRPr="00C9040A">
        <w:rPr>
          <w:rtl/>
        </w:rPr>
        <w:t xml:space="preserve"> ، وفي كلّها مع زيادة في أوّله. </w:t>
      </w:r>
      <w:r w:rsidR="008A74EB" w:rsidRPr="00993B55">
        <w:rPr>
          <w:rStyle w:val="libFootnoteBoldChar"/>
          <w:rtl/>
        </w:rPr>
        <w:t>تحف العقول</w:t>
      </w:r>
      <w:r w:rsidR="008A74EB" w:rsidRPr="00C9040A">
        <w:rPr>
          <w:rtl/>
        </w:rPr>
        <w:t xml:space="preserve"> ، ص 363 ، ذيل الحديث ، عن أبي عبدالله </w:t>
      </w:r>
      <w:r w:rsidR="00117575" w:rsidRPr="00117575">
        <w:rPr>
          <w:rStyle w:val="libFootnoteAlaemChar"/>
          <w:rtl/>
        </w:rPr>
        <w:t>عليه‌السلام</w:t>
      </w:r>
      <w:r w:rsidR="008A74EB" w:rsidRPr="00C9040A">
        <w:rPr>
          <w:rtl/>
        </w:rPr>
        <w:t xml:space="preserve"> ؛ </w:t>
      </w:r>
      <w:r w:rsidR="008A74EB" w:rsidRPr="00993B55">
        <w:rPr>
          <w:rStyle w:val="libFootnoteBoldChar"/>
          <w:rtl/>
        </w:rPr>
        <w:t>وفيه</w:t>
      </w:r>
      <w:r w:rsidR="008A74EB" w:rsidRPr="00C9040A">
        <w:rPr>
          <w:rtl/>
        </w:rPr>
        <w:t xml:space="preserve"> ، ص 151 ، ضمن الخطبة المعروفة بالديباج ، عن أميرالمؤمنين </w:t>
      </w:r>
      <w:r w:rsidR="00117575" w:rsidRPr="00117575">
        <w:rPr>
          <w:rStyle w:val="libFootnoteAlaemChar"/>
          <w:rtl/>
        </w:rPr>
        <w:t>عليه‌السلام</w:t>
      </w:r>
      <w:r w:rsidR="008A74EB" w:rsidRPr="00C9040A">
        <w:rPr>
          <w:rtl/>
        </w:rPr>
        <w:t xml:space="preserve"> ؛ </w:t>
      </w:r>
      <w:r w:rsidR="008A74EB" w:rsidRPr="00993B55">
        <w:rPr>
          <w:rStyle w:val="libFootnoteBoldChar"/>
          <w:rtl/>
        </w:rPr>
        <w:t>نهج البلاغة</w:t>
      </w:r>
      <w:r w:rsidR="008A74EB" w:rsidRPr="00C9040A">
        <w:rPr>
          <w:rtl/>
        </w:rPr>
        <w:t xml:space="preserve"> ، ص 118 ، ضمن الخطبة 86</w:t>
      </w:r>
      <w:r w:rsidR="00CF785A">
        <w:rPr>
          <w:rFonts w:hint="cs"/>
          <w:rtl/>
        </w:rPr>
        <w:t>.</w:t>
      </w:r>
      <w:r w:rsidR="008A74EB" w:rsidRPr="00993B55">
        <w:rPr>
          <w:rStyle w:val="libFootnoteBoldChar"/>
          <w:rtl/>
        </w:rPr>
        <w:t>الوافي</w:t>
      </w:r>
      <w:r w:rsidR="008A74EB" w:rsidRPr="00C9040A">
        <w:rPr>
          <w:rtl/>
        </w:rPr>
        <w:t xml:space="preserve"> ، ج 5 ، ص 859 ، ح 3151 ؛ </w:t>
      </w:r>
      <w:r w:rsidR="008A74EB" w:rsidRPr="00993B55">
        <w:rPr>
          <w:rStyle w:val="libFootnoteBoldChar"/>
          <w:rtl/>
        </w:rPr>
        <w:t>الوسائل</w:t>
      </w:r>
      <w:r w:rsidR="008A74EB" w:rsidRPr="00C9040A">
        <w:rPr>
          <w:rtl/>
        </w:rPr>
        <w:t xml:space="preserve"> ، ج 15 ، ص 365 ، ح 20755 ؛ </w:t>
      </w:r>
      <w:r w:rsidR="008A74EB" w:rsidRPr="00993B55">
        <w:rPr>
          <w:rStyle w:val="libFootnoteBoldChar"/>
          <w:rtl/>
        </w:rPr>
        <w:t>البحار</w:t>
      </w:r>
      <w:r w:rsidR="008A74EB" w:rsidRPr="00C9040A">
        <w:rPr>
          <w:rtl/>
        </w:rPr>
        <w:t xml:space="preserve"> ، ج 73 ، ص 244 ، ح 2.</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 « اتَّقُوا اللهَ ، وَلَايَحْسُدْ بَعْضُكُمْ بَعْضاً ؛ إِنَّ عِيسَى بْنَ مَرْيَمَ كَانَ مِنْ </w:t>
      </w:r>
      <w:r w:rsidR="006C577F" w:rsidRPr="006C577F">
        <w:rPr>
          <w:rStyle w:val="libFootnotenumChar"/>
          <w:rtl/>
        </w:rPr>
        <w:t>(1)</w:t>
      </w:r>
      <w:r w:rsidRPr="00C9040A">
        <w:rPr>
          <w:rtl/>
          <w:lang w:bidi="fa-IR"/>
        </w:rPr>
        <w:t xml:space="preserve"> شَرَائِعِهِ السَّيْحُ فِي الْبِلَادِ ، فَخَرَجَ فِي بَعْضِ سَيْحِهِ </w:t>
      </w:r>
      <w:r w:rsidR="006C577F" w:rsidRPr="006C577F">
        <w:rPr>
          <w:rStyle w:val="libFootnotenumChar"/>
          <w:rtl/>
        </w:rPr>
        <w:t>(2)</w:t>
      </w:r>
      <w:r w:rsidRPr="00C9040A">
        <w:rPr>
          <w:rtl/>
          <w:lang w:bidi="fa-IR"/>
        </w:rPr>
        <w:t xml:space="preserve"> وَمَعَهُ رَجُلٌ مِنْ أَصْحَابِهِ </w:t>
      </w:r>
      <w:r w:rsidR="006C577F" w:rsidRPr="006C577F">
        <w:rPr>
          <w:rStyle w:val="libFootnotenumChar"/>
          <w:rtl/>
        </w:rPr>
        <w:t>(3)</w:t>
      </w:r>
      <w:r w:rsidRPr="00C9040A">
        <w:rPr>
          <w:rtl/>
          <w:lang w:bidi="fa-IR"/>
        </w:rPr>
        <w:t xml:space="preserve"> قَصِيرٌ ، وَكَانَ كَثِيرَ اللُّزُومِ لِعِيسى </w:t>
      </w:r>
      <w:r w:rsidRPr="0003660B">
        <w:rPr>
          <w:rStyle w:val="libAlaemChar"/>
          <w:rtl/>
        </w:rPr>
        <w:t>عليه‌السلام</w:t>
      </w:r>
      <w:r w:rsidRPr="00C9040A">
        <w:rPr>
          <w:rtl/>
          <w:lang w:bidi="fa-IR"/>
        </w:rPr>
        <w:t xml:space="preserve"> ، فَلَمَّا انْتَهى عِيسى إِلَى الْبَحْرِ ، قَالَ : بِسْمِ اللهِ بِصِحَّةِ يَقِينٍ مِنْهُ ، فَمَشى عَلى ظَهْرِ الْمَاءِ ، فَقَالَ الرَّجُلُ الْقَصِيرُ</w:t>
      </w:r>
      <w:r>
        <w:rPr>
          <w:rtl/>
          <w:lang w:bidi="fa-IR"/>
        </w:rPr>
        <w:t xml:space="preserve"> </w:t>
      </w:r>
      <w:r w:rsidR="0084262C">
        <w:rPr>
          <w:rtl/>
          <w:lang w:bidi="fa-IR"/>
        </w:rPr>
        <w:t>-</w:t>
      </w:r>
      <w:r>
        <w:rPr>
          <w:rtl/>
          <w:lang w:bidi="fa-IR"/>
        </w:rPr>
        <w:t xml:space="preserve"> </w:t>
      </w:r>
      <w:r w:rsidRPr="00C9040A">
        <w:rPr>
          <w:rtl/>
          <w:lang w:bidi="fa-IR"/>
        </w:rPr>
        <w:t xml:space="preserve">حِينَ نَظَرَ إِلى عِيسى </w:t>
      </w:r>
      <w:r w:rsidRPr="0003660B">
        <w:rPr>
          <w:rStyle w:val="libAlaemChar"/>
          <w:rtl/>
        </w:rPr>
        <w:t>عليه‌السلام</w:t>
      </w:r>
      <w:r w:rsidRPr="00C9040A">
        <w:rPr>
          <w:rtl/>
          <w:lang w:bidi="fa-IR"/>
        </w:rPr>
        <w:t xml:space="preserve"> جَازَهُ </w:t>
      </w:r>
      <w:r w:rsidR="006C577F" w:rsidRPr="006C577F">
        <w:rPr>
          <w:rStyle w:val="libFootnotenumChar"/>
          <w:rtl/>
        </w:rPr>
        <w:t>(4)</w:t>
      </w:r>
      <w:r>
        <w:rPr>
          <w:rtl/>
          <w:lang w:bidi="fa-IR"/>
        </w:rPr>
        <w:t xml:space="preserve"> </w:t>
      </w:r>
      <w:r w:rsidR="0084262C">
        <w:rPr>
          <w:rtl/>
          <w:lang w:bidi="fa-IR"/>
        </w:rPr>
        <w:t>-</w:t>
      </w:r>
      <w:r>
        <w:rPr>
          <w:rtl/>
          <w:lang w:bidi="fa-IR"/>
        </w:rPr>
        <w:t xml:space="preserve"> </w:t>
      </w:r>
      <w:r w:rsidRPr="00C9040A">
        <w:rPr>
          <w:rtl/>
          <w:lang w:bidi="fa-IR"/>
        </w:rPr>
        <w:t xml:space="preserve">: بِسْمِ اللهِ بِصِحَّةِ يَقِينٍ مِنْهُ ، فَمَشى </w:t>
      </w:r>
      <w:r w:rsidR="006C577F" w:rsidRPr="006C577F">
        <w:rPr>
          <w:rStyle w:val="libFootnotenumChar"/>
          <w:rtl/>
        </w:rPr>
        <w:t>(5)</w:t>
      </w:r>
      <w:r w:rsidRPr="00C9040A">
        <w:rPr>
          <w:rtl/>
          <w:lang w:bidi="fa-IR"/>
        </w:rPr>
        <w:t xml:space="preserve"> عَلَى الْمَاءِ ، وَلَحِقَ </w:t>
      </w:r>
      <w:r w:rsidR="006C577F" w:rsidRPr="006C577F">
        <w:rPr>
          <w:rStyle w:val="libFootnotenumChar"/>
          <w:rtl/>
        </w:rPr>
        <w:t>(6)</w:t>
      </w:r>
      <w:r w:rsidRPr="005B567D">
        <w:rPr>
          <w:rStyle w:val="libFootnotenumChar"/>
          <w:rtl/>
        </w:rPr>
        <w:t xml:space="preserve"> </w:t>
      </w:r>
      <w:r w:rsidRPr="00C9040A">
        <w:rPr>
          <w:rtl/>
          <w:lang w:bidi="fa-IR"/>
        </w:rPr>
        <w:t xml:space="preserve">بِعِيسى </w:t>
      </w:r>
      <w:r w:rsidRPr="0003660B">
        <w:rPr>
          <w:rStyle w:val="libAlaemChar"/>
          <w:rtl/>
        </w:rPr>
        <w:t>عليه‌السلام</w:t>
      </w:r>
      <w:r w:rsidRPr="00C9040A">
        <w:rPr>
          <w:rtl/>
          <w:lang w:bidi="fa-IR"/>
        </w:rPr>
        <w:t xml:space="preserve"> ، فَدَخَلَهُ </w:t>
      </w:r>
      <w:r w:rsidR="006C577F" w:rsidRPr="006C577F">
        <w:rPr>
          <w:rStyle w:val="libFootnotenumChar"/>
          <w:rtl/>
        </w:rPr>
        <w:t>(7)</w:t>
      </w:r>
      <w:r w:rsidRPr="00C9040A">
        <w:rPr>
          <w:rtl/>
          <w:lang w:bidi="fa-IR"/>
        </w:rPr>
        <w:t xml:space="preserve"> الْعُجْبُ </w:t>
      </w:r>
      <w:r w:rsidR="006C577F" w:rsidRPr="006C577F">
        <w:rPr>
          <w:rStyle w:val="libFootnotenumChar"/>
          <w:rtl/>
        </w:rPr>
        <w:t>(8)</w:t>
      </w:r>
      <w:r w:rsidRPr="00C9040A">
        <w:rPr>
          <w:rtl/>
          <w:lang w:bidi="fa-IR"/>
        </w:rPr>
        <w:t xml:space="preserve"> بِنَفْسِهِ ، فَقَالَ : هذَا عِيسى رُوحُ اللهِ يَمْشِي عَلَى الْمَاءِ ، وَأَنَا أَمْشِي </w:t>
      </w:r>
      <w:r w:rsidR="000D3814">
        <w:rPr>
          <w:rtl/>
          <w:lang w:bidi="fa-IR"/>
        </w:rPr>
        <w:t>عَلَى الْمَاءِ ،فَمَا فَضْلُهُ</w:t>
      </w:r>
      <w:r w:rsidR="000D3814">
        <w:rPr>
          <w:rFonts w:hint="cs"/>
          <w:rtl/>
          <w:lang w:bidi="fa-IR"/>
        </w:rPr>
        <w:t xml:space="preserve"> </w:t>
      </w:r>
      <w:r w:rsidRPr="00C9040A">
        <w:rPr>
          <w:rtl/>
          <w:lang w:bidi="fa-IR"/>
        </w:rPr>
        <w:t>عَلَيَّ</w:t>
      </w:r>
      <w:r>
        <w:rPr>
          <w:rtl/>
          <w:lang w:bidi="fa-IR"/>
        </w:rPr>
        <w:t>؟</w:t>
      </w:r>
      <w:r w:rsidR="000D3814">
        <w:rPr>
          <w:rtl/>
          <w:lang w:bidi="fa-IR"/>
        </w:rPr>
        <w:t>»</w:t>
      </w:r>
      <w:r w:rsidRPr="00C9040A">
        <w:rPr>
          <w:rtl/>
          <w:lang w:bidi="fa-IR"/>
        </w:rPr>
        <w:t>‌</w:t>
      </w:r>
    </w:p>
    <w:p w:rsidR="008A74EB" w:rsidRPr="00C9040A" w:rsidRDefault="008A74EB" w:rsidP="008A74EB">
      <w:pPr>
        <w:pStyle w:val="libNormal"/>
        <w:rPr>
          <w:rtl/>
          <w:lang w:bidi="fa-IR"/>
        </w:rPr>
      </w:pPr>
      <w:r w:rsidRPr="00C9040A">
        <w:rPr>
          <w:rtl/>
          <w:lang w:bidi="fa-IR"/>
        </w:rPr>
        <w:t xml:space="preserve">قَالَ : « فَرُمِسَ </w:t>
      </w:r>
      <w:r w:rsidR="006C577F" w:rsidRPr="006C577F">
        <w:rPr>
          <w:rStyle w:val="libFootnotenumChar"/>
          <w:rtl/>
        </w:rPr>
        <w:t>(9)</w:t>
      </w:r>
      <w:r w:rsidRPr="00C9040A">
        <w:rPr>
          <w:rtl/>
          <w:lang w:bidi="fa-IR"/>
        </w:rPr>
        <w:t xml:space="preserve"> فِي الْمَاءِ ، فَاسْتَغَاثَ بِعِيسى ، فَتَنَاوَلَهُ مِنَ الْمَاءِ ، فَأَخْرَجَهُ.</w:t>
      </w:r>
    </w:p>
    <w:p w:rsidR="008A74EB" w:rsidRPr="00C9040A" w:rsidRDefault="008A74EB" w:rsidP="008A74EB">
      <w:pPr>
        <w:pStyle w:val="libNormal"/>
        <w:rPr>
          <w:rtl/>
          <w:lang w:bidi="fa-IR"/>
        </w:rPr>
      </w:pPr>
      <w:r w:rsidRPr="00C9040A">
        <w:rPr>
          <w:rtl/>
          <w:lang w:bidi="fa-IR"/>
        </w:rPr>
        <w:t xml:space="preserve">ثُمَّ قَالَ لَهُ </w:t>
      </w:r>
      <w:r w:rsidR="006C577F" w:rsidRPr="006C577F">
        <w:rPr>
          <w:rStyle w:val="libFootnotenumChar"/>
          <w:rtl/>
        </w:rPr>
        <w:t>(10)</w:t>
      </w:r>
      <w:r w:rsidRPr="00C9040A">
        <w:rPr>
          <w:rtl/>
          <w:lang w:bidi="fa-IR"/>
        </w:rPr>
        <w:t xml:space="preserve"> : مَا قُلْتَ يَا قَصِيرُ</w:t>
      </w:r>
      <w:r>
        <w:rPr>
          <w:rtl/>
          <w:lang w:bidi="fa-IR"/>
        </w:rPr>
        <w:t>؟</w:t>
      </w:r>
      <w:r w:rsidRPr="00C9040A">
        <w:rPr>
          <w:rtl/>
          <w:lang w:bidi="fa-IR"/>
        </w:rPr>
        <w:t xml:space="preserve"> قَالَ : قُلْتُ : هذَا </w:t>
      </w:r>
      <w:r w:rsidR="006C577F" w:rsidRPr="006C577F">
        <w:rPr>
          <w:rStyle w:val="libFootnotenumChar"/>
          <w:rtl/>
        </w:rPr>
        <w:t>(11)</w:t>
      </w:r>
      <w:r w:rsidRPr="00C9040A">
        <w:rPr>
          <w:rtl/>
          <w:lang w:bidi="fa-IR"/>
        </w:rPr>
        <w:t xml:space="preserve"> رُوحُ اللهِ يَمْشِي عَلَى الْمَاءِ </w:t>
      </w:r>
      <w:r w:rsidR="006C577F" w:rsidRPr="006C577F">
        <w:rPr>
          <w:rStyle w:val="libFootnotenumChar"/>
          <w:rtl/>
        </w:rPr>
        <w:t>(12)</w:t>
      </w:r>
      <w:r w:rsidRPr="00C9040A">
        <w:rPr>
          <w:rtl/>
          <w:lang w:bidi="fa-IR"/>
        </w:rPr>
        <w:t xml:space="preserve"> ، وَأَنَا أَمْشِي عَلَى الْمَاءِ </w:t>
      </w:r>
      <w:r w:rsidRPr="005B567D">
        <w:rPr>
          <w:rStyle w:val="libFootnotenumChar"/>
          <w:rtl/>
        </w:rPr>
        <w:t>(13)</w:t>
      </w:r>
      <w:r w:rsidRPr="00C9040A">
        <w:rPr>
          <w:rtl/>
          <w:lang w:bidi="fa-IR"/>
        </w:rPr>
        <w:t xml:space="preserve"> ، فَدَخَلَنِي مِنْ ذلِكَ عُجْبٌ </w:t>
      </w:r>
      <w:r w:rsidRPr="005B567D">
        <w:rPr>
          <w:rStyle w:val="libFootnotenumChar"/>
          <w:rtl/>
        </w:rPr>
        <w:t>(14)</w:t>
      </w:r>
      <w:r w:rsidR="000D3814" w:rsidRPr="000D3814">
        <w:rPr>
          <w:rFonts w:hint="cs"/>
          <w:rtl/>
        </w:rPr>
        <w:t>.</w:t>
      </w:r>
    </w:p>
    <w:p w:rsidR="008A74EB" w:rsidRPr="00C9040A" w:rsidRDefault="008A74EB" w:rsidP="008A74EB">
      <w:pPr>
        <w:pStyle w:val="libNormal"/>
        <w:rPr>
          <w:rtl/>
          <w:lang w:bidi="fa-IR"/>
        </w:rPr>
      </w:pPr>
      <w:r w:rsidRPr="00C9040A">
        <w:rPr>
          <w:rtl/>
          <w:lang w:bidi="fa-IR"/>
        </w:rPr>
        <w:t>فَقَالَ لَهُ عِيسى : لَقَدْ وَضَعْتَ نَفْسَكَ فِي غَيْرِ الْمَوْضِعِ الَّذِي وَضَعَكَ اللهُ فِيهِ ، فَمَقَتَكَ اللهُ عَلى مَا قُلْتَ ، فَتُبْ إِلَى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مِمَّا قُلْتَ </w:t>
      </w:r>
      <w:r w:rsidRPr="005B567D">
        <w:rPr>
          <w:rStyle w:val="libFootnotenumChar"/>
          <w:rtl/>
        </w:rPr>
        <w:t>(15)</w:t>
      </w:r>
      <w:r w:rsidRPr="00C9040A">
        <w:rPr>
          <w:rtl/>
          <w:lang w:bidi="fa-IR"/>
        </w:rPr>
        <w:t xml:space="preserve"> »</w:t>
      </w:r>
      <w:r>
        <w:rPr>
          <w:rtl/>
          <w:lang w:bidi="fa-IR"/>
        </w:rPr>
        <w:t>.</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ب ، ص » : « في »</w:t>
      </w:r>
      <w:r w:rsidR="008A74EB">
        <w:rPr>
          <w:rtl/>
        </w:rPr>
        <w:t>.</w:t>
      </w:r>
    </w:p>
    <w:p w:rsidR="008A74EB" w:rsidRPr="00C9040A" w:rsidRDefault="006C577F" w:rsidP="000D3814">
      <w:pPr>
        <w:pStyle w:val="libFootnote0"/>
        <w:rPr>
          <w:rtl/>
          <w:lang w:bidi="fa-IR"/>
        </w:rPr>
      </w:pPr>
      <w:r>
        <w:rPr>
          <w:rtl/>
        </w:rPr>
        <w:t>(2).</w:t>
      </w:r>
      <w:r w:rsidR="008A74EB">
        <w:rPr>
          <w:rtl/>
        </w:rPr>
        <w:t xml:space="preserve"> </w:t>
      </w:r>
      <w:r w:rsidR="008A74EB" w:rsidRPr="00C9040A">
        <w:rPr>
          <w:rtl/>
        </w:rPr>
        <w:t xml:space="preserve">يقال : ساح في الأرض يسيح سياحةً : إذا هبّ فيها. والسيح : الذهاب في الأرض للعبادة. راجع : </w:t>
      </w:r>
      <w:r w:rsidR="008A74EB" w:rsidRPr="00993B55">
        <w:rPr>
          <w:rStyle w:val="libFootnoteBoldChar"/>
          <w:rtl/>
        </w:rPr>
        <w:t>النهاية</w:t>
      </w:r>
      <w:r w:rsidR="008A74EB" w:rsidRPr="00C9040A">
        <w:rPr>
          <w:rtl/>
        </w:rPr>
        <w:t xml:space="preserve"> ، ج 2 ، ص 432 ( سيح )</w:t>
      </w:r>
      <w:r w:rsidR="008A74EB">
        <w:rPr>
          <w:rtl/>
        </w:rPr>
        <w:t>.</w:t>
      </w:r>
      <w:r w:rsidR="000D3814">
        <w:rPr>
          <w:rFonts w:hint="cs"/>
          <w:rtl/>
        </w:rPr>
        <w:t xml:space="preserve">                                </w:t>
      </w:r>
      <w:r w:rsidR="00C822D0">
        <w:rPr>
          <w:rFonts w:hint="cs"/>
          <w:rtl/>
        </w:rPr>
        <w:t xml:space="preserve">  </w:t>
      </w:r>
      <w:r w:rsidR="000D3814">
        <w:rPr>
          <w:rFonts w:hint="cs"/>
          <w:rtl/>
        </w:rPr>
        <w:t xml:space="preserve">   </w:t>
      </w:r>
      <w:r>
        <w:rPr>
          <w:rtl/>
        </w:rPr>
        <w:t>(3).</w:t>
      </w:r>
      <w:r w:rsidR="008A74EB" w:rsidRPr="00C9040A">
        <w:rPr>
          <w:rtl/>
        </w:rPr>
        <w:t xml:space="preserve"> في « بس » </w:t>
      </w:r>
      <w:r w:rsidR="008A74EB">
        <w:rPr>
          <w:rtl/>
        </w:rPr>
        <w:t xml:space="preserve">: </w:t>
      </w:r>
      <w:r w:rsidR="0084262C">
        <w:rPr>
          <w:rtl/>
        </w:rPr>
        <w:t>-</w:t>
      </w:r>
      <w:r w:rsidR="008A74EB" w:rsidRPr="00C9040A">
        <w:rPr>
          <w:rtl/>
        </w:rPr>
        <w:t xml:space="preserve"> « من أصحابه »</w:t>
      </w:r>
      <w:r w:rsidR="008A74EB">
        <w:rPr>
          <w:rtl/>
        </w:rPr>
        <w:t>.</w:t>
      </w:r>
    </w:p>
    <w:tbl>
      <w:tblPr>
        <w:tblStyle w:val="TableGrid"/>
        <w:bidiVisual/>
        <w:tblW w:w="0" w:type="auto"/>
        <w:tblLook w:val="04A0" w:firstRow="1" w:lastRow="0" w:firstColumn="1" w:lastColumn="0" w:noHBand="0" w:noVBand="1"/>
      </w:tblPr>
      <w:tblGrid>
        <w:gridCol w:w="4006"/>
        <w:gridCol w:w="4006"/>
      </w:tblGrid>
      <w:tr w:rsidR="000D3814" w:rsidTr="000D3814">
        <w:tc>
          <w:tcPr>
            <w:tcW w:w="4006" w:type="dxa"/>
          </w:tcPr>
          <w:p w:rsidR="000D3814" w:rsidRDefault="000D3814" w:rsidP="004A4E41">
            <w:pPr>
              <w:pStyle w:val="libFootnote0"/>
              <w:rPr>
                <w:rtl/>
              </w:rPr>
            </w:pPr>
            <w:r>
              <w:rPr>
                <w:rtl/>
              </w:rPr>
              <w:t>(4).</w:t>
            </w:r>
            <w:r w:rsidRPr="00C9040A">
              <w:rPr>
                <w:rtl/>
              </w:rPr>
              <w:t xml:space="preserve"> في « ز ، ص ، </w:t>
            </w:r>
            <w:r>
              <w:rPr>
                <w:rtl/>
              </w:rPr>
              <w:t xml:space="preserve">ه </w:t>
            </w:r>
            <w:r w:rsidRPr="00C9040A">
              <w:rPr>
                <w:rtl/>
              </w:rPr>
              <w:t>، بر ، بس » : + « قال »</w:t>
            </w:r>
            <w:r>
              <w:rPr>
                <w:rtl/>
              </w:rPr>
              <w:t>.</w:t>
            </w:r>
          </w:p>
        </w:tc>
        <w:tc>
          <w:tcPr>
            <w:tcW w:w="4006" w:type="dxa"/>
          </w:tcPr>
          <w:p w:rsidR="000D3814" w:rsidRDefault="000D3814" w:rsidP="004A4E41">
            <w:pPr>
              <w:pStyle w:val="libFootnote0"/>
              <w:rPr>
                <w:rtl/>
              </w:rPr>
            </w:pPr>
            <w:r>
              <w:rPr>
                <w:rtl/>
              </w:rPr>
              <w:t>(5).</w:t>
            </w:r>
            <w:r w:rsidRPr="00C9040A">
              <w:rPr>
                <w:rtl/>
              </w:rPr>
              <w:t xml:space="preserve"> في « ز » : « ومشى »</w:t>
            </w:r>
            <w:r>
              <w:rPr>
                <w:rtl/>
              </w:rPr>
              <w:t>.</w:t>
            </w:r>
          </w:p>
        </w:tc>
      </w:tr>
      <w:tr w:rsidR="000D3814" w:rsidTr="000D3814">
        <w:tc>
          <w:tcPr>
            <w:tcW w:w="4006" w:type="dxa"/>
          </w:tcPr>
          <w:p w:rsidR="000D3814" w:rsidRDefault="000D3814" w:rsidP="004A4E41">
            <w:pPr>
              <w:pStyle w:val="libFootnote0"/>
              <w:rPr>
                <w:rtl/>
              </w:rPr>
            </w:pPr>
            <w:r>
              <w:rPr>
                <w:rtl/>
              </w:rPr>
              <w:t xml:space="preserve">(6). </w:t>
            </w:r>
            <w:r w:rsidRPr="00C9040A">
              <w:rPr>
                <w:rtl/>
              </w:rPr>
              <w:t>في البحار ، ج 14 : « فلحق »</w:t>
            </w:r>
            <w:r>
              <w:rPr>
                <w:rtl/>
              </w:rPr>
              <w:t>.</w:t>
            </w:r>
          </w:p>
        </w:tc>
        <w:tc>
          <w:tcPr>
            <w:tcW w:w="4006" w:type="dxa"/>
          </w:tcPr>
          <w:p w:rsidR="000D3814" w:rsidRDefault="000D3814" w:rsidP="004A4E41">
            <w:pPr>
              <w:pStyle w:val="libFootnote0"/>
              <w:rPr>
                <w:rtl/>
              </w:rPr>
            </w:pPr>
            <w:r>
              <w:rPr>
                <w:rtl/>
              </w:rPr>
              <w:t>(7).</w:t>
            </w:r>
            <w:r w:rsidRPr="00C9040A">
              <w:rPr>
                <w:rtl/>
              </w:rPr>
              <w:t xml:space="preserve"> في « ب » : « فلحقه »</w:t>
            </w:r>
            <w:r>
              <w:rPr>
                <w:rtl/>
              </w:rPr>
              <w:t>.</w:t>
            </w:r>
          </w:p>
        </w:tc>
      </w:tr>
    </w:tbl>
    <w:p w:rsidR="008A74EB" w:rsidRPr="00C9040A" w:rsidRDefault="006C577F" w:rsidP="004A4E41">
      <w:pPr>
        <w:pStyle w:val="libFootnote0"/>
        <w:rPr>
          <w:rtl/>
          <w:lang w:bidi="fa-IR"/>
        </w:rPr>
      </w:pPr>
      <w:r>
        <w:rPr>
          <w:rtl/>
        </w:rPr>
        <w:t>(8).</w:t>
      </w:r>
      <w:r w:rsidR="008A74EB" w:rsidRPr="00C9040A">
        <w:rPr>
          <w:rtl/>
        </w:rPr>
        <w:t xml:space="preserve"> ورد هاهنا أنّ العُجب غير الحسد فلايناسب ذكر هذا</w:t>
      </w:r>
      <w:r w:rsidR="008A74EB">
        <w:rPr>
          <w:rFonts w:hint="cs"/>
          <w:rtl/>
        </w:rPr>
        <w:t xml:space="preserve"> </w:t>
      </w:r>
      <w:r w:rsidR="008A74EB" w:rsidRPr="00C9040A">
        <w:rPr>
          <w:rtl/>
        </w:rPr>
        <w:t>الحديث في هذا الباب. وا</w:t>
      </w:r>
      <w:r w:rsidR="00EC217E">
        <w:rPr>
          <w:rFonts w:hint="cs"/>
          <w:rtl/>
        </w:rPr>
        <w:t>ُ</w:t>
      </w:r>
      <w:r w:rsidR="008A74EB" w:rsidRPr="00C9040A">
        <w:rPr>
          <w:rtl/>
        </w:rPr>
        <w:t xml:space="preserve">جيب بوجوه : منها : أنّ الحاسد والمعجب يضع نفسه في غير موضعه ، وأنّ الحامل له على الجرأة على هذا التمنّي الحسد بمنزلة عيسى </w:t>
      </w:r>
      <w:r w:rsidR="00117575" w:rsidRPr="00117575">
        <w:rPr>
          <w:rStyle w:val="libFootnoteAlaemChar"/>
          <w:rtl/>
        </w:rPr>
        <w:t>عليه‌السلام</w:t>
      </w:r>
      <w:r w:rsidR="008A74EB" w:rsidRPr="00C9040A">
        <w:rPr>
          <w:rtl/>
        </w:rPr>
        <w:t xml:space="preserve"> واختصاصه بالنبوّة. راجع : </w:t>
      </w:r>
      <w:r w:rsidR="008A74EB" w:rsidRPr="00993B55">
        <w:rPr>
          <w:rStyle w:val="libFootnoteBoldChar"/>
          <w:rtl/>
        </w:rPr>
        <w:t>شرح المازندراني</w:t>
      </w:r>
      <w:r w:rsidR="008A74EB" w:rsidRPr="00C9040A">
        <w:rPr>
          <w:rtl/>
        </w:rPr>
        <w:t xml:space="preserve"> ، ج 9 ، ص 301 ؛ </w:t>
      </w:r>
      <w:r w:rsidR="008A74EB" w:rsidRPr="00993B55">
        <w:rPr>
          <w:rStyle w:val="libFootnoteBoldChar"/>
          <w:rtl/>
        </w:rPr>
        <w:t>مرآة العقول</w:t>
      </w:r>
      <w:r w:rsidR="008A74EB" w:rsidRPr="00C9040A">
        <w:rPr>
          <w:rtl/>
        </w:rPr>
        <w:t xml:space="preserve"> ، ج 10 ، ص 164.</w:t>
      </w:r>
    </w:p>
    <w:p w:rsidR="008A74EB" w:rsidRPr="00C9040A" w:rsidRDefault="006C577F" w:rsidP="004A4E41">
      <w:pPr>
        <w:pStyle w:val="libFootnote0"/>
        <w:rPr>
          <w:rtl/>
          <w:lang w:bidi="fa-IR"/>
        </w:rPr>
      </w:pPr>
      <w:r>
        <w:rPr>
          <w:rtl/>
        </w:rPr>
        <w:t>(9).</w:t>
      </w:r>
      <w:r w:rsidR="008A74EB" w:rsidRPr="00C9040A">
        <w:rPr>
          <w:rtl/>
        </w:rPr>
        <w:t xml:space="preserve"> « الرَّمْس » : السِّتر والتغطية. والرمس في الماء : إدخال الرأس فيه حتّى يغطّيه. وهو ك‍</w:t>
      </w:r>
      <w:r w:rsidR="008A74EB">
        <w:rPr>
          <w:rFonts w:hint="cs"/>
          <w:rtl/>
        </w:rPr>
        <w:t xml:space="preserve"> </w:t>
      </w:r>
      <w:r w:rsidR="008A74EB" w:rsidRPr="00C9040A">
        <w:rPr>
          <w:rtl/>
        </w:rPr>
        <w:t xml:space="preserve">« الغَمْس » بالغين. وقيل : هو بالراء أن لايطيل اللُّبث في الماء ، وبالغين أن يطيله. </w:t>
      </w:r>
      <w:r w:rsidR="008A74EB" w:rsidRPr="00993B55">
        <w:rPr>
          <w:rStyle w:val="libFootnoteBoldChar"/>
          <w:rtl/>
        </w:rPr>
        <w:t>النهاية</w:t>
      </w:r>
      <w:r w:rsidR="008A74EB" w:rsidRPr="00C9040A">
        <w:rPr>
          <w:rtl/>
        </w:rPr>
        <w:t xml:space="preserve"> ، ج 2 ، ص 263 ( رمس )</w:t>
      </w:r>
      <w:r w:rsidR="008A74EB">
        <w:rPr>
          <w:rtl/>
        </w:rPr>
        <w:t>.</w:t>
      </w:r>
    </w:p>
    <w:tbl>
      <w:tblPr>
        <w:tblStyle w:val="TableGrid"/>
        <w:bidiVisual/>
        <w:tblW w:w="0" w:type="auto"/>
        <w:tblLook w:val="04A0" w:firstRow="1" w:lastRow="0" w:firstColumn="1" w:lastColumn="0" w:noHBand="0" w:noVBand="1"/>
      </w:tblPr>
      <w:tblGrid>
        <w:gridCol w:w="4006"/>
        <w:gridCol w:w="4006"/>
      </w:tblGrid>
      <w:tr w:rsidR="00EC217E" w:rsidTr="00EC217E">
        <w:tc>
          <w:tcPr>
            <w:tcW w:w="4006" w:type="dxa"/>
          </w:tcPr>
          <w:p w:rsidR="00EC217E" w:rsidRDefault="00EC217E" w:rsidP="004A4E41">
            <w:pPr>
              <w:pStyle w:val="libFootnote0"/>
              <w:rPr>
                <w:rtl/>
              </w:rPr>
            </w:pPr>
            <w:r>
              <w:rPr>
                <w:rtl/>
              </w:rPr>
              <w:t>(10).</w:t>
            </w:r>
            <w:r w:rsidRPr="00C9040A">
              <w:rPr>
                <w:rtl/>
              </w:rPr>
              <w:t xml:space="preserve"> في شرح المازندراني </w:t>
            </w:r>
            <w:r>
              <w:rPr>
                <w:rtl/>
              </w:rPr>
              <w:t>: -</w:t>
            </w:r>
            <w:r w:rsidRPr="00C9040A">
              <w:rPr>
                <w:rtl/>
              </w:rPr>
              <w:t xml:space="preserve"> « له »</w:t>
            </w:r>
            <w:r>
              <w:rPr>
                <w:rtl/>
              </w:rPr>
              <w:t>.</w:t>
            </w:r>
          </w:p>
        </w:tc>
        <w:tc>
          <w:tcPr>
            <w:tcW w:w="4006" w:type="dxa"/>
          </w:tcPr>
          <w:p w:rsidR="00EC217E" w:rsidRDefault="00EC217E" w:rsidP="004A4E41">
            <w:pPr>
              <w:pStyle w:val="libFootnote0"/>
              <w:rPr>
                <w:rtl/>
              </w:rPr>
            </w:pPr>
            <w:r>
              <w:rPr>
                <w:rtl/>
              </w:rPr>
              <w:t>(11).</w:t>
            </w:r>
            <w:r w:rsidRPr="00C9040A">
              <w:rPr>
                <w:rtl/>
              </w:rPr>
              <w:t xml:space="preserve"> في « </w:t>
            </w:r>
            <w:r>
              <w:rPr>
                <w:rtl/>
              </w:rPr>
              <w:t xml:space="preserve">ه </w:t>
            </w:r>
            <w:r w:rsidRPr="00C9040A">
              <w:rPr>
                <w:rtl/>
              </w:rPr>
              <w:t>» : + « عيسى »</w:t>
            </w:r>
            <w:r>
              <w:rPr>
                <w:rtl/>
              </w:rPr>
              <w:t>.</w:t>
            </w:r>
          </w:p>
        </w:tc>
      </w:tr>
      <w:tr w:rsidR="00EC217E" w:rsidTr="00EC217E">
        <w:tc>
          <w:tcPr>
            <w:tcW w:w="4006" w:type="dxa"/>
          </w:tcPr>
          <w:p w:rsidR="00EC217E" w:rsidRDefault="00EC217E" w:rsidP="004A4E41">
            <w:pPr>
              <w:pStyle w:val="libFootnote0"/>
              <w:rPr>
                <w:rtl/>
              </w:rPr>
            </w:pPr>
            <w:r>
              <w:rPr>
                <w:rtl/>
              </w:rPr>
              <w:t>(12). في «ب،ج،د،ز،بر،</w:t>
            </w:r>
            <w:r w:rsidRPr="00C9040A">
              <w:rPr>
                <w:rtl/>
              </w:rPr>
              <w:t>ب</w:t>
            </w:r>
            <w:r>
              <w:rPr>
                <w:rtl/>
              </w:rPr>
              <w:t>س</w:t>
            </w:r>
            <w:r w:rsidRPr="00C9040A">
              <w:rPr>
                <w:rtl/>
              </w:rPr>
              <w:t xml:space="preserve">» </w:t>
            </w:r>
            <w:r>
              <w:rPr>
                <w:rtl/>
              </w:rPr>
              <w:t>: -</w:t>
            </w:r>
            <w:r w:rsidRPr="00C9040A">
              <w:rPr>
                <w:rtl/>
              </w:rPr>
              <w:t xml:space="preserve"> « على الماء »</w:t>
            </w:r>
            <w:r>
              <w:rPr>
                <w:rtl/>
              </w:rPr>
              <w:t>.</w:t>
            </w:r>
          </w:p>
        </w:tc>
        <w:tc>
          <w:tcPr>
            <w:tcW w:w="4006" w:type="dxa"/>
          </w:tcPr>
          <w:p w:rsidR="00EC217E" w:rsidRDefault="00EC217E" w:rsidP="004A4E41">
            <w:pPr>
              <w:pStyle w:val="libFootnote0"/>
              <w:rPr>
                <w:rtl/>
              </w:rPr>
            </w:pPr>
            <w:r>
              <w:rPr>
                <w:rtl/>
              </w:rPr>
              <w:t>(13)</w:t>
            </w:r>
            <w:r w:rsidRPr="00C9040A">
              <w:rPr>
                <w:rtl/>
              </w:rPr>
              <w:t xml:space="preserve"> في الوافي والبحار </w:t>
            </w:r>
            <w:r>
              <w:rPr>
                <w:rtl/>
              </w:rPr>
              <w:t>: -</w:t>
            </w:r>
            <w:r w:rsidRPr="00C9040A">
              <w:rPr>
                <w:rtl/>
              </w:rPr>
              <w:t xml:space="preserve"> « على الماء »</w:t>
            </w:r>
            <w:r>
              <w:rPr>
                <w:rtl/>
              </w:rPr>
              <w:t>.</w:t>
            </w:r>
          </w:p>
        </w:tc>
      </w:tr>
      <w:tr w:rsidR="00EC217E" w:rsidTr="00EC217E">
        <w:tc>
          <w:tcPr>
            <w:tcW w:w="4006" w:type="dxa"/>
          </w:tcPr>
          <w:p w:rsidR="00EC217E" w:rsidRDefault="00EC217E" w:rsidP="004A4E41">
            <w:pPr>
              <w:pStyle w:val="libFootnote0"/>
              <w:rPr>
                <w:rtl/>
              </w:rPr>
            </w:pPr>
            <w:r>
              <w:rPr>
                <w:rtl/>
              </w:rPr>
              <w:t>(14)</w:t>
            </w:r>
            <w:r w:rsidRPr="00C9040A">
              <w:rPr>
                <w:rtl/>
              </w:rPr>
              <w:t xml:space="preserve"> في « </w:t>
            </w:r>
            <w:r>
              <w:rPr>
                <w:rtl/>
              </w:rPr>
              <w:t xml:space="preserve">ه </w:t>
            </w:r>
            <w:r w:rsidRPr="00C9040A">
              <w:rPr>
                <w:rtl/>
              </w:rPr>
              <w:t>» : « العُجب »</w:t>
            </w:r>
            <w:r>
              <w:rPr>
                <w:rtl/>
              </w:rPr>
              <w:t>.</w:t>
            </w:r>
          </w:p>
        </w:tc>
        <w:tc>
          <w:tcPr>
            <w:tcW w:w="4006" w:type="dxa"/>
          </w:tcPr>
          <w:p w:rsidR="00EC217E" w:rsidRDefault="00EC217E" w:rsidP="004A4E41">
            <w:pPr>
              <w:pStyle w:val="libFootnote0"/>
              <w:rPr>
                <w:rtl/>
              </w:rPr>
            </w:pPr>
            <w:r>
              <w:rPr>
                <w:rtl/>
              </w:rPr>
              <w:t>(15)</w:t>
            </w:r>
            <w:r w:rsidRPr="00C9040A">
              <w:rPr>
                <w:rtl/>
              </w:rPr>
              <w:t xml:space="preserve"> في « </w:t>
            </w:r>
            <w:r>
              <w:rPr>
                <w:rtl/>
              </w:rPr>
              <w:t xml:space="preserve">ه </w:t>
            </w:r>
            <w:r w:rsidRPr="00C9040A">
              <w:rPr>
                <w:rtl/>
              </w:rPr>
              <w:t xml:space="preserve">» </w:t>
            </w:r>
            <w:r>
              <w:rPr>
                <w:rtl/>
              </w:rPr>
              <w:t>: -</w:t>
            </w:r>
            <w:r w:rsidRPr="00C9040A">
              <w:rPr>
                <w:rtl/>
              </w:rPr>
              <w:t xml:space="preserve"> « ممّا قلت »</w:t>
            </w:r>
            <w:r>
              <w:rPr>
                <w:rtl/>
              </w:rPr>
              <w:t>.</w:t>
            </w:r>
          </w:p>
        </w:tc>
      </w:tr>
    </w:tbl>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قَالَ : « فَتَابَ الرَّجُلُ ، وَعَادَ إِلى مَرْتَبَتِهِ </w:t>
      </w:r>
      <w:r w:rsidR="006C577F" w:rsidRPr="006C577F">
        <w:rPr>
          <w:rStyle w:val="libFootnotenumChar"/>
          <w:rtl/>
        </w:rPr>
        <w:t>(1)</w:t>
      </w:r>
      <w:r w:rsidRPr="00C9040A">
        <w:rPr>
          <w:rtl/>
          <w:lang w:bidi="fa-IR"/>
        </w:rPr>
        <w:t xml:space="preserve"> الَّتِي وَضَعَهُ اللهُ فِيهَا ؛ فَاتَّقُوا اللهَ ، وَلَا يَحْسُدَنَّ بَعْضُكُمْ بَعْضاً »</w:t>
      </w:r>
      <w:r>
        <w:rPr>
          <w:rtl/>
          <w:lang w:bidi="fa-IR"/>
        </w:rPr>
        <w:t>.</w:t>
      </w:r>
      <w:r w:rsidRPr="00C9040A">
        <w:rPr>
          <w:rtl/>
          <w:lang w:bidi="fa-IR"/>
        </w:rPr>
        <w:t xml:space="preserve"> </w:t>
      </w:r>
      <w:r w:rsidR="006C577F" w:rsidRPr="006C577F">
        <w:rPr>
          <w:rStyle w:val="libFootnotenumChar"/>
          <w:rtl/>
        </w:rPr>
        <w:t>(2)</w:t>
      </w:r>
    </w:p>
    <w:p w:rsidR="008A74EB" w:rsidRPr="00C9040A" w:rsidRDefault="008A74EB" w:rsidP="008A74EB">
      <w:pPr>
        <w:pStyle w:val="libNormal"/>
        <w:rPr>
          <w:rtl/>
          <w:lang w:bidi="fa-IR"/>
        </w:rPr>
      </w:pPr>
      <w:r w:rsidRPr="000928A0">
        <w:rPr>
          <w:rtl/>
        </w:rPr>
        <w:t>2549</w:t>
      </w:r>
      <w:r w:rsidRPr="00261CB0">
        <w:rPr>
          <w:rStyle w:val="libBold2Char"/>
          <w:rtl/>
        </w:rPr>
        <w:t xml:space="preserve"> / 4.</w:t>
      </w:r>
      <w:r w:rsidRPr="00C9040A">
        <w:rPr>
          <w:rtl/>
          <w:lang w:bidi="fa-IR"/>
        </w:rPr>
        <w:t xml:space="preserve"> عَلِيُّ بْنُ إِبْرَاهِيمَ ، عَنْ أَبِيهِ ، عَنِ النَّوْفَلِيِّ ، عَنِ السَّكُونِيِّ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كَادَ الْفَقْرُ أَنْ يَكُونَ كُفْراً ، وَكَادَ الْحَسَدُ أَنْ يَغْلِبَ الْقَدَرَ </w:t>
      </w:r>
      <w:r w:rsidR="006C577F" w:rsidRPr="006C577F">
        <w:rPr>
          <w:rStyle w:val="libFootnotenumChar"/>
          <w:rtl/>
        </w:rPr>
        <w:t>(3)</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0928A0">
        <w:rPr>
          <w:rtl/>
        </w:rPr>
        <w:t>2550</w:t>
      </w:r>
      <w:r w:rsidRPr="00261CB0">
        <w:rPr>
          <w:rStyle w:val="libBold2Char"/>
          <w:rtl/>
        </w:rPr>
        <w:t xml:space="preserve"> / 5.</w:t>
      </w:r>
      <w:r w:rsidRPr="00C9040A">
        <w:rPr>
          <w:rtl/>
          <w:lang w:bidi="fa-IR"/>
        </w:rPr>
        <w:t xml:space="preserve"> عَلِيُّ بْنُ إِبْرَاهِيمَ ، عَنْ مُحَمَّدِ بْنِ عِيسى ، عَنْ يُونُسَ ، عَنْ مُعَاوِيَةَ بْنِ وَهْبٍ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آفَةُ الدِّينِ : الْحَسَدُ ، وَالْعُجْبُ ، وَالْفَخْرُ »</w:t>
      </w:r>
      <w:r>
        <w:rPr>
          <w:rtl/>
          <w:lang w:bidi="fa-IR"/>
        </w:rPr>
        <w:t>.</w:t>
      </w:r>
      <w:r w:rsidRPr="00C9040A">
        <w:rPr>
          <w:rtl/>
          <w:lang w:bidi="fa-IR"/>
        </w:rPr>
        <w:t xml:space="preserve"> </w:t>
      </w:r>
      <w:r w:rsidR="006C577F" w:rsidRPr="006C577F">
        <w:rPr>
          <w:rStyle w:val="libFootnotenumChar"/>
          <w:rtl/>
        </w:rPr>
        <w:t>(5)</w:t>
      </w:r>
      <w:r w:rsidRPr="00C9040A">
        <w:rPr>
          <w:rtl/>
          <w:lang w:bidi="fa-IR"/>
        </w:rPr>
        <w:t>‌</w:t>
      </w:r>
    </w:p>
    <w:p w:rsidR="008A74EB" w:rsidRPr="00C9040A" w:rsidRDefault="008A74EB" w:rsidP="008A74EB">
      <w:pPr>
        <w:pStyle w:val="libNormal"/>
        <w:rPr>
          <w:rtl/>
          <w:lang w:bidi="fa-IR"/>
        </w:rPr>
      </w:pPr>
      <w:r w:rsidRPr="000928A0">
        <w:rPr>
          <w:rtl/>
        </w:rPr>
        <w:t>2551</w:t>
      </w:r>
      <w:r w:rsidRPr="00261CB0">
        <w:rPr>
          <w:rStyle w:val="libBold2Char"/>
          <w:rtl/>
        </w:rPr>
        <w:t xml:space="preserve"> / 6.</w:t>
      </w:r>
      <w:r w:rsidRPr="00C9040A">
        <w:rPr>
          <w:rtl/>
          <w:lang w:bidi="fa-IR"/>
        </w:rPr>
        <w:t xml:space="preserve"> يُونُسُ </w:t>
      </w:r>
      <w:r w:rsidR="006C577F" w:rsidRPr="006C577F">
        <w:rPr>
          <w:rStyle w:val="libFootnotenumChar"/>
          <w:rtl/>
        </w:rPr>
        <w:t>(6)</w:t>
      </w:r>
      <w:r w:rsidRPr="005B567D">
        <w:rPr>
          <w:rStyle w:val="libFootnotenumChar"/>
          <w:rtl/>
        </w:rPr>
        <w:t xml:space="preserve"> </w:t>
      </w:r>
      <w:r w:rsidRPr="00C9040A">
        <w:rPr>
          <w:rtl/>
          <w:lang w:bidi="fa-IR"/>
        </w:rPr>
        <w:t>، عَنْ دَاوُدَ الرَّقِّيِّ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w:t>
      </w:r>
      <w:r w:rsidR="006C577F" w:rsidRPr="006C577F">
        <w:rPr>
          <w:rStyle w:val="libFootnotenumChar"/>
          <w:rtl/>
        </w:rPr>
        <w:t>(7)</w:t>
      </w:r>
      <w:r w:rsidRPr="00C9040A">
        <w:rPr>
          <w:rtl/>
          <w:lang w:bidi="fa-IR"/>
        </w:rPr>
        <w:t xml:space="preserve"> : قَالَ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لِمُوسَى بْنِ عِمْرَانَ </w:t>
      </w:r>
      <w:r w:rsidRPr="0003660B">
        <w:rPr>
          <w:rStyle w:val="libAlaemChar"/>
          <w:rtl/>
        </w:rPr>
        <w:t>عليه‌السلام</w:t>
      </w:r>
      <w:r w:rsidRPr="00C9040A">
        <w:rPr>
          <w:rtl/>
          <w:lang w:bidi="fa-IR"/>
        </w:rPr>
        <w:t xml:space="preserve"> : يَا ابْنَ عِمْرَانَ ، لَاتَحْسُدَنَّ </w:t>
      </w:r>
      <w:r w:rsidR="006C577F" w:rsidRPr="006C577F">
        <w:rPr>
          <w:rStyle w:val="libFootnotenumChar"/>
          <w:rtl/>
        </w:rPr>
        <w:t>(8)</w:t>
      </w:r>
      <w:r w:rsidRPr="00C9040A">
        <w:rPr>
          <w:rtl/>
          <w:lang w:bidi="fa-IR"/>
        </w:rPr>
        <w:t xml:space="preserve"> النَّاسَ عَلى‌</w:t>
      </w:r>
      <w:r w:rsidR="00097B33">
        <w:rPr>
          <w:rFonts w:hint="cs"/>
          <w:rtl/>
          <w:lang w:bidi="fa-IR"/>
        </w:rPr>
        <w:t>..............................</w:t>
      </w:r>
      <w:r w:rsidR="00097B33">
        <w:rPr>
          <w:rFonts w:hint="cs"/>
          <w:rtl/>
          <w:lang w:bidi="fa-IR"/>
        </w:rPr>
        <w:tab/>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البحار ، ج 73 : « المرتبة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الوافي</w:t>
      </w:r>
      <w:r w:rsidR="008A74EB" w:rsidRPr="00C9040A">
        <w:rPr>
          <w:rtl/>
        </w:rPr>
        <w:t xml:space="preserve"> ، ج 5 ، ص 860 ، ح 3156 ؛ </w:t>
      </w:r>
      <w:r w:rsidR="008A74EB" w:rsidRPr="00993B55">
        <w:rPr>
          <w:rStyle w:val="libFootnoteBoldChar"/>
          <w:rtl/>
        </w:rPr>
        <w:t>الوسائل</w:t>
      </w:r>
      <w:r w:rsidR="008A74EB" w:rsidRPr="00C9040A">
        <w:rPr>
          <w:rtl/>
        </w:rPr>
        <w:t xml:space="preserve"> ، ج 15 ، ص 365 ، ح 20756 ، وتمام الرواية فيه : « اتِّقوا الله ولايحسد بعضكم بعضاً » ؛ </w:t>
      </w:r>
      <w:r w:rsidR="008A74EB" w:rsidRPr="00993B55">
        <w:rPr>
          <w:rStyle w:val="libFootnoteBoldChar"/>
          <w:rtl/>
        </w:rPr>
        <w:t>البحار</w:t>
      </w:r>
      <w:r w:rsidR="008A74EB" w:rsidRPr="00C9040A">
        <w:rPr>
          <w:rtl/>
        </w:rPr>
        <w:t xml:space="preserve"> ، ج 14 ، ص 254 ، ح 49 ؛ وج 73 ، ص 244 ، ح 3.</w:t>
      </w:r>
    </w:p>
    <w:p w:rsidR="008A74EB" w:rsidRPr="00C9040A" w:rsidRDefault="006C577F" w:rsidP="004A4E41">
      <w:pPr>
        <w:pStyle w:val="libFootnote0"/>
        <w:rPr>
          <w:rtl/>
          <w:lang w:bidi="fa-IR"/>
        </w:rPr>
      </w:pPr>
      <w:r>
        <w:rPr>
          <w:rtl/>
        </w:rPr>
        <w:t>(3).</w:t>
      </w:r>
      <w:r w:rsidR="008A74EB" w:rsidRPr="00C9040A">
        <w:rPr>
          <w:rtl/>
        </w:rPr>
        <w:t xml:space="preserve"> في </w:t>
      </w:r>
      <w:r w:rsidR="008A74EB" w:rsidRPr="00993B55">
        <w:rPr>
          <w:rStyle w:val="libFootnoteBoldChar"/>
          <w:rtl/>
        </w:rPr>
        <w:t>الوافي</w:t>
      </w:r>
      <w:r w:rsidR="008A74EB" w:rsidRPr="00C9040A">
        <w:rPr>
          <w:rtl/>
        </w:rPr>
        <w:t xml:space="preserve"> : « لعلّ المراد بغلبة القدر ما قدّر للحاسد والمحسود من الخير »</w:t>
      </w:r>
      <w:r w:rsidR="008A74EB">
        <w:rPr>
          <w:rtl/>
        </w:rPr>
        <w:t>.</w:t>
      </w:r>
    </w:p>
    <w:p w:rsidR="008A74EB" w:rsidRPr="00C9040A" w:rsidRDefault="006C577F" w:rsidP="00FB126F">
      <w:pPr>
        <w:pStyle w:val="libFootnote0"/>
        <w:rPr>
          <w:rtl/>
          <w:lang w:bidi="fa-IR"/>
        </w:rPr>
      </w:pPr>
      <w:r>
        <w:rPr>
          <w:rtl/>
        </w:rPr>
        <w:t>(4).</w:t>
      </w:r>
      <w:r w:rsidR="008A74EB" w:rsidRPr="00C9040A">
        <w:rPr>
          <w:rtl/>
        </w:rPr>
        <w:t xml:space="preserve"> </w:t>
      </w:r>
      <w:r w:rsidR="008A74EB" w:rsidRPr="00993B55">
        <w:rPr>
          <w:rStyle w:val="libFootnoteBoldChar"/>
          <w:rtl/>
        </w:rPr>
        <w:t>الخصال</w:t>
      </w:r>
      <w:r w:rsidR="008A74EB" w:rsidRPr="00C9040A">
        <w:rPr>
          <w:rtl/>
        </w:rPr>
        <w:t xml:space="preserve"> ، ص 11 ، باب الواحد ، ح 40 ، عن حمزة بن محمّد ، عن عليّ بن إبراهيم بن هاشم ، عن أبيه ، عن ابن المغيرة ، عن السكوني ، عن جعفر بن محمّد ، عن آبائه </w:t>
      </w:r>
      <w:r w:rsidR="00117575" w:rsidRPr="00117575">
        <w:rPr>
          <w:rStyle w:val="libFootnoteAlaemChar"/>
          <w:rtl/>
        </w:rPr>
        <w:t>عليهم‌السلام</w:t>
      </w:r>
      <w:r w:rsidR="008A74EB" w:rsidRPr="00C9040A">
        <w:rPr>
          <w:rtl/>
        </w:rPr>
        <w:t xml:space="preserve"> عن رسول الله </w:t>
      </w:r>
      <w:r w:rsidR="004A4E41" w:rsidRPr="00FB126F">
        <w:rPr>
          <w:rStyle w:val="libFootnoteAlaemChar"/>
          <w:rtl/>
        </w:rPr>
        <w:t>صلى‌الله‌عليه‌وآله</w:t>
      </w:r>
      <w:r w:rsidR="008A74EB" w:rsidRPr="00C9040A">
        <w:rPr>
          <w:rtl/>
        </w:rPr>
        <w:t xml:space="preserve">. </w:t>
      </w:r>
      <w:r w:rsidR="008A74EB" w:rsidRPr="0034021D">
        <w:rPr>
          <w:rStyle w:val="libFootnoteBoldChar"/>
          <w:rtl/>
        </w:rPr>
        <w:t>الأمالي للصدوق</w:t>
      </w:r>
      <w:r w:rsidR="008A74EB" w:rsidRPr="00C9040A">
        <w:rPr>
          <w:rtl/>
        </w:rPr>
        <w:t xml:space="preserve"> ، ص 295 ، المجلس 49 ، ح 6 ، بسند آخر. </w:t>
      </w:r>
      <w:r w:rsidR="008A74EB" w:rsidRPr="00993B55">
        <w:rPr>
          <w:rStyle w:val="libFootnoteBoldChar"/>
          <w:rtl/>
        </w:rPr>
        <w:t>عيون الأخبار</w:t>
      </w:r>
      <w:r w:rsidR="008A74EB" w:rsidRPr="00C9040A">
        <w:rPr>
          <w:rtl/>
        </w:rPr>
        <w:t xml:space="preserve"> ، ج 2 ، ص 132 ، ح 16 ، بسند آخر عن الرضا ، عن آبائه </w:t>
      </w:r>
      <w:r w:rsidR="00117575" w:rsidRPr="00117575">
        <w:rPr>
          <w:rStyle w:val="libFootnoteAlaemChar"/>
          <w:rtl/>
        </w:rPr>
        <w:t>عليهم‌السلام</w:t>
      </w:r>
      <w:r w:rsidR="008A74EB" w:rsidRPr="00C9040A">
        <w:rPr>
          <w:rtl/>
        </w:rPr>
        <w:t xml:space="preserve"> عن رسول الله </w:t>
      </w:r>
      <w:r w:rsidR="004A4E41" w:rsidRPr="00FB126F">
        <w:rPr>
          <w:rStyle w:val="libFootnoteAlaemChar"/>
          <w:rtl/>
        </w:rPr>
        <w:t>صلى‌الله‌عليه‌وآله</w:t>
      </w:r>
      <w:r w:rsidR="008A74EB" w:rsidRPr="00C9040A">
        <w:rPr>
          <w:rtl/>
        </w:rPr>
        <w:t xml:space="preserve"> ، وتمام الرواية فيه : « كاد الحسد أن يسبق القدر »</w:t>
      </w:r>
      <w:r w:rsidR="00FB126F">
        <w:rPr>
          <w:rFonts w:hint="cs"/>
          <w:rtl/>
        </w:rPr>
        <w:t>.</w:t>
      </w:r>
      <w:r w:rsidR="008A74EB" w:rsidRPr="00993B55">
        <w:rPr>
          <w:rStyle w:val="libFootnoteBoldChar"/>
          <w:rtl/>
        </w:rPr>
        <w:t>الوافي</w:t>
      </w:r>
      <w:r w:rsidR="008A74EB" w:rsidRPr="00C9040A">
        <w:rPr>
          <w:rtl/>
        </w:rPr>
        <w:t xml:space="preserve"> ، ج 5 ، ص 860 ، ح 3155 ؛ </w:t>
      </w:r>
      <w:r w:rsidR="008A74EB" w:rsidRPr="00993B55">
        <w:rPr>
          <w:rStyle w:val="libFootnoteBoldChar"/>
          <w:rtl/>
        </w:rPr>
        <w:t>الوسائل</w:t>
      </w:r>
      <w:r w:rsidR="008A74EB" w:rsidRPr="00C9040A">
        <w:rPr>
          <w:rtl/>
        </w:rPr>
        <w:t xml:space="preserve"> ، ج 15 ، ص 365 ، ح 20757 ؛ </w:t>
      </w:r>
      <w:r w:rsidR="008A74EB" w:rsidRPr="00993B55">
        <w:rPr>
          <w:rStyle w:val="libFootnoteBoldChar"/>
          <w:rtl/>
        </w:rPr>
        <w:t>البحار</w:t>
      </w:r>
      <w:r w:rsidR="008A74EB" w:rsidRPr="00C9040A">
        <w:rPr>
          <w:rtl/>
        </w:rPr>
        <w:t xml:space="preserve"> ، ج 73 ، ص 246 ، ح 4.</w:t>
      </w:r>
    </w:p>
    <w:p w:rsidR="008A74EB" w:rsidRPr="00C9040A" w:rsidRDefault="006C577F" w:rsidP="00FB126F">
      <w:pPr>
        <w:pStyle w:val="libFootnote0"/>
        <w:rPr>
          <w:rtl/>
          <w:lang w:bidi="fa-IR"/>
        </w:rPr>
      </w:pPr>
      <w:r>
        <w:rPr>
          <w:rtl/>
        </w:rPr>
        <w:t>(5).</w:t>
      </w:r>
      <w:r w:rsidR="008A74EB" w:rsidRPr="00C9040A">
        <w:rPr>
          <w:rtl/>
        </w:rPr>
        <w:t xml:space="preserve"> </w:t>
      </w:r>
      <w:r w:rsidR="008A74EB" w:rsidRPr="00993B55">
        <w:rPr>
          <w:rStyle w:val="libFootnoteBoldChar"/>
          <w:rtl/>
        </w:rPr>
        <w:t>الكافي</w:t>
      </w:r>
      <w:r w:rsidR="008A74EB" w:rsidRPr="00C9040A">
        <w:rPr>
          <w:rtl/>
        </w:rPr>
        <w:t xml:space="preserve"> ، كتاب الروضة ، ح 14819 ، بسند آخر عن أبي جعفر ، عن أميرالمؤمنين </w:t>
      </w:r>
      <w:r w:rsidR="00117575" w:rsidRPr="00117575">
        <w:rPr>
          <w:rStyle w:val="libFootnoteAlaemChar"/>
          <w:rtl/>
        </w:rPr>
        <w:t>عليهما‌السلام</w:t>
      </w:r>
      <w:r w:rsidR="008A74EB" w:rsidRPr="00C9040A">
        <w:rPr>
          <w:rtl/>
        </w:rPr>
        <w:t xml:space="preserve">. </w:t>
      </w:r>
      <w:r w:rsidR="008A74EB" w:rsidRPr="00993B55">
        <w:rPr>
          <w:rStyle w:val="libFootnoteBoldChar"/>
          <w:rtl/>
        </w:rPr>
        <w:t>تحف العقول</w:t>
      </w:r>
      <w:r w:rsidR="008A74EB" w:rsidRPr="00C9040A">
        <w:rPr>
          <w:rtl/>
        </w:rPr>
        <w:t xml:space="preserve"> ، ص 92 ، عن أميرالمؤمنين </w:t>
      </w:r>
      <w:r w:rsidR="00117575" w:rsidRPr="00117575">
        <w:rPr>
          <w:rStyle w:val="libFootnoteAlaemChar"/>
          <w:rtl/>
        </w:rPr>
        <w:t>عليه‌السلام</w:t>
      </w:r>
      <w:r w:rsidR="008A74EB" w:rsidRPr="00C9040A">
        <w:rPr>
          <w:rtl/>
        </w:rPr>
        <w:t xml:space="preserve"> ، وفيهما ضمن الخطبة المعروفة بالوسيلة هكذا : « الحسد آفة الدين »</w:t>
      </w:r>
      <w:r w:rsidR="00FB126F">
        <w:rPr>
          <w:rFonts w:hint="cs"/>
          <w:rtl/>
        </w:rPr>
        <w:t>.</w:t>
      </w:r>
      <w:r w:rsidR="008A74EB" w:rsidRPr="00993B55">
        <w:rPr>
          <w:rStyle w:val="libFootnoteBoldChar"/>
          <w:rtl/>
        </w:rPr>
        <w:t>الوافي</w:t>
      </w:r>
      <w:r w:rsidR="008A74EB" w:rsidRPr="00C9040A">
        <w:rPr>
          <w:rtl/>
        </w:rPr>
        <w:t xml:space="preserve"> ، ج 5 ، ص 859 ، ح 3153 ؛ </w:t>
      </w:r>
      <w:r w:rsidR="008A74EB" w:rsidRPr="00993B55">
        <w:rPr>
          <w:rStyle w:val="libFootnoteBoldChar"/>
          <w:rtl/>
        </w:rPr>
        <w:t>الوسائل</w:t>
      </w:r>
      <w:r w:rsidR="008A74EB" w:rsidRPr="00C9040A">
        <w:rPr>
          <w:rtl/>
        </w:rPr>
        <w:t xml:space="preserve"> ، ج 15 ، ص 366 ، ح 20758 ؛ </w:t>
      </w:r>
      <w:r w:rsidR="008A74EB" w:rsidRPr="00993B55">
        <w:rPr>
          <w:rStyle w:val="libFootnoteBoldChar"/>
          <w:rtl/>
        </w:rPr>
        <w:t>البحار</w:t>
      </w:r>
      <w:r w:rsidR="008A74EB" w:rsidRPr="00C9040A">
        <w:rPr>
          <w:rtl/>
        </w:rPr>
        <w:t xml:space="preserve"> ، ج 73 ، ص 248 ، ح 5.</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السند معلّق على سابقه. ويروي عن يونس ، عليّ بن إبراهيم ، عن محمّد بن عيسى.</w:t>
      </w:r>
    </w:p>
    <w:tbl>
      <w:tblPr>
        <w:tblStyle w:val="TableGrid"/>
        <w:bidiVisual/>
        <w:tblW w:w="0" w:type="auto"/>
        <w:tblLook w:val="04A0" w:firstRow="1" w:lastRow="0" w:firstColumn="1" w:lastColumn="0" w:noHBand="0" w:noVBand="1"/>
      </w:tblPr>
      <w:tblGrid>
        <w:gridCol w:w="4006"/>
        <w:gridCol w:w="4006"/>
      </w:tblGrid>
      <w:tr w:rsidR="00FB126F" w:rsidTr="00FB126F">
        <w:tc>
          <w:tcPr>
            <w:tcW w:w="4006" w:type="dxa"/>
          </w:tcPr>
          <w:p w:rsidR="00FB126F" w:rsidRDefault="00FB126F" w:rsidP="004A4E41">
            <w:pPr>
              <w:pStyle w:val="libFootnote0"/>
              <w:rPr>
                <w:rtl/>
              </w:rPr>
            </w:pPr>
            <w:r>
              <w:rPr>
                <w:rtl/>
              </w:rPr>
              <w:t>(7). في «بس ، بف</w:t>
            </w:r>
            <w:r w:rsidRPr="00C9040A">
              <w:rPr>
                <w:rtl/>
              </w:rPr>
              <w:t xml:space="preserve">» </w:t>
            </w:r>
            <w:r>
              <w:rPr>
                <w:rtl/>
              </w:rPr>
              <w:t>: -</w:t>
            </w:r>
            <w:r w:rsidRPr="00C9040A">
              <w:rPr>
                <w:rtl/>
              </w:rPr>
              <w:t xml:space="preserve"> « قال رسول الله </w:t>
            </w:r>
            <w:r w:rsidRPr="00FB126F">
              <w:rPr>
                <w:rStyle w:val="libFootnoteAlaemChar"/>
                <w:rtl/>
              </w:rPr>
              <w:t>صلى‌الله‌عليه‌وآله</w:t>
            </w:r>
            <w:r w:rsidRPr="00C9040A">
              <w:rPr>
                <w:rtl/>
              </w:rPr>
              <w:t xml:space="preserve"> »</w:t>
            </w:r>
            <w:r>
              <w:rPr>
                <w:rtl/>
              </w:rPr>
              <w:t>.</w:t>
            </w:r>
          </w:p>
        </w:tc>
        <w:tc>
          <w:tcPr>
            <w:tcW w:w="4006" w:type="dxa"/>
          </w:tcPr>
          <w:p w:rsidR="00FB126F" w:rsidRDefault="00FB126F" w:rsidP="004A4E41">
            <w:pPr>
              <w:pStyle w:val="libFootnote0"/>
              <w:rPr>
                <w:rtl/>
              </w:rPr>
            </w:pPr>
            <w:r>
              <w:rPr>
                <w:rtl/>
              </w:rPr>
              <w:t>(8).</w:t>
            </w:r>
            <w:r w:rsidRPr="00C9040A">
              <w:rPr>
                <w:rtl/>
              </w:rPr>
              <w:t xml:space="preserve"> في مرآة العقول : « لاتحسدون »</w:t>
            </w:r>
            <w:r>
              <w:rPr>
                <w:rtl/>
              </w:rPr>
              <w:t>.</w:t>
            </w:r>
          </w:p>
        </w:tc>
      </w:tr>
    </w:tbl>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مَا آتَيْتُهُمْ </w:t>
      </w:r>
      <w:r w:rsidR="006C577F" w:rsidRPr="006C577F">
        <w:rPr>
          <w:rStyle w:val="libFootnotenumChar"/>
          <w:rtl/>
        </w:rPr>
        <w:t>(1)</w:t>
      </w:r>
      <w:r w:rsidRPr="00C9040A">
        <w:rPr>
          <w:rtl/>
          <w:lang w:bidi="fa-IR"/>
        </w:rPr>
        <w:t xml:space="preserve"> مِنْ فَضْلِي ، وَلَاتَمُدَّنَّ عَيْنَيْكَ إِلى ذلِكَ ، وَلَاتُتْبِعْهُ </w:t>
      </w:r>
      <w:r w:rsidR="006C577F" w:rsidRPr="006C577F">
        <w:rPr>
          <w:rStyle w:val="libFootnotenumChar"/>
          <w:rtl/>
        </w:rPr>
        <w:t>(2)</w:t>
      </w:r>
      <w:r w:rsidRPr="00C9040A">
        <w:rPr>
          <w:rtl/>
          <w:lang w:bidi="fa-IR"/>
        </w:rPr>
        <w:t xml:space="preserve"> نَفْسَكَ ؛ فَإِنَّ الْحَاسِدَ سَاخِطٌ لِنِعَمِي </w:t>
      </w:r>
      <w:r w:rsidR="006C577F" w:rsidRPr="006C577F">
        <w:rPr>
          <w:rStyle w:val="libFootnotenumChar"/>
          <w:rtl/>
        </w:rPr>
        <w:t>(3)</w:t>
      </w:r>
      <w:r w:rsidRPr="00C9040A">
        <w:rPr>
          <w:rtl/>
          <w:lang w:bidi="fa-IR"/>
        </w:rPr>
        <w:t xml:space="preserve"> ، صَادٌّ لِقَسْمِيَ </w:t>
      </w:r>
      <w:r w:rsidR="006C577F" w:rsidRPr="006C577F">
        <w:rPr>
          <w:rStyle w:val="libFootnotenumChar"/>
          <w:rtl/>
        </w:rPr>
        <w:t>(4)</w:t>
      </w:r>
      <w:r w:rsidRPr="00C9040A">
        <w:rPr>
          <w:rtl/>
          <w:lang w:bidi="fa-IR"/>
        </w:rPr>
        <w:t xml:space="preserve"> الَّذِي </w:t>
      </w:r>
      <w:r w:rsidR="006C577F" w:rsidRPr="006C577F">
        <w:rPr>
          <w:rStyle w:val="libFootnotenumChar"/>
          <w:rtl/>
        </w:rPr>
        <w:t>(5)</w:t>
      </w:r>
      <w:r w:rsidRPr="00C9040A">
        <w:rPr>
          <w:rtl/>
          <w:lang w:bidi="fa-IR"/>
        </w:rPr>
        <w:t xml:space="preserve"> قَسَمْتُ بَيْنَ عِبَادِي ، وَمَنْ يَكُ كَذلِكَ ، فَلَسْتُ مِنْهُ ، وَلَيْسَ مِنِّي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Normal"/>
        <w:rPr>
          <w:rtl/>
          <w:lang w:bidi="fa-IR"/>
        </w:rPr>
      </w:pPr>
      <w:r w:rsidRPr="000928A0">
        <w:rPr>
          <w:rtl/>
        </w:rPr>
        <w:t>2552</w:t>
      </w:r>
      <w:r w:rsidRPr="00261CB0">
        <w:rPr>
          <w:rStyle w:val="libBold2Char"/>
          <w:rtl/>
        </w:rPr>
        <w:t xml:space="preserve"> / 7.</w:t>
      </w:r>
      <w:r w:rsidRPr="00C9040A">
        <w:rPr>
          <w:rtl/>
          <w:lang w:bidi="fa-IR"/>
        </w:rPr>
        <w:t xml:space="preserve"> عَلِيُّ بْنُ إِبْرَاهِيمَ ، عَنْ أَبِيهِ ، عَنِ الْقَاسِمِ بْنِ مُحَمَّدٍ ، عَنِ الْمِنْقَرِيِّ ، عَنْ فُضَيْلِ </w:t>
      </w:r>
      <w:r w:rsidR="006C577F" w:rsidRPr="006C577F">
        <w:rPr>
          <w:rStyle w:val="libFootnotenumChar"/>
          <w:rtl/>
        </w:rPr>
        <w:t>(7)</w:t>
      </w:r>
      <w:r w:rsidRPr="00C9040A">
        <w:rPr>
          <w:rtl/>
          <w:lang w:bidi="fa-IR"/>
        </w:rPr>
        <w:t xml:space="preserve"> بْنِ عِيَاضٍ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إِنَّ الْمُؤْمِنَ يَغْبِطُ </w:t>
      </w:r>
      <w:r w:rsidR="006C577F" w:rsidRPr="006C577F">
        <w:rPr>
          <w:rStyle w:val="libFootnotenumChar"/>
          <w:rtl/>
        </w:rPr>
        <w:t>(8)</w:t>
      </w:r>
      <w:r w:rsidRPr="00C9040A">
        <w:rPr>
          <w:rtl/>
          <w:lang w:bidi="fa-IR"/>
        </w:rPr>
        <w:t xml:space="preserve"> وَلَايَحْسُدُ ، وَالْمُ</w:t>
      </w:r>
      <w:r w:rsidR="002652B3">
        <w:rPr>
          <w:rtl/>
          <w:lang w:bidi="fa-IR"/>
        </w:rPr>
        <w:t>نَافِقَ يَحْسُدُ وَلَا يَغْبِطُ</w:t>
      </w:r>
      <w:r w:rsidRPr="00C9040A">
        <w:rPr>
          <w:rtl/>
          <w:lang w:bidi="fa-IR"/>
        </w:rPr>
        <w:t>»</w:t>
      </w:r>
      <w:r>
        <w:rPr>
          <w:rtl/>
          <w:lang w:bidi="fa-IR"/>
        </w:rPr>
        <w:t>.</w:t>
      </w:r>
      <w:r w:rsidR="006C577F" w:rsidRPr="006C577F">
        <w:rPr>
          <w:rStyle w:val="libFootnotenumChar"/>
          <w:rtl/>
        </w:rPr>
        <w:t>(9)</w:t>
      </w:r>
      <w:r w:rsidRPr="00C9040A">
        <w:rPr>
          <w:rtl/>
          <w:lang w:bidi="fa-IR"/>
        </w:rPr>
        <w:t xml:space="preserve"> ‌</w:t>
      </w:r>
    </w:p>
    <w:p w:rsidR="008A74EB" w:rsidRPr="00C9040A" w:rsidRDefault="008A74EB" w:rsidP="008A74EB">
      <w:pPr>
        <w:pStyle w:val="Heading2Center"/>
        <w:rPr>
          <w:rtl/>
          <w:lang w:bidi="fa-IR"/>
        </w:rPr>
      </w:pPr>
      <w:bookmarkStart w:id="379" w:name="_Toc343795714"/>
      <w:bookmarkStart w:id="380" w:name="_Toc459810838"/>
      <w:bookmarkStart w:id="381" w:name="_Toc35348744"/>
      <w:r w:rsidRPr="00C9040A">
        <w:rPr>
          <w:rtl/>
          <w:lang w:bidi="fa-IR"/>
        </w:rPr>
        <w:t>123</w:t>
      </w:r>
      <w:r>
        <w:rPr>
          <w:rtl/>
          <w:lang w:bidi="fa-IR"/>
        </w:rPr>
        <w:t xml:space="preserve"> </w:t>
      </w:r>
      <w:r w:rsidR="0084262C">
        <w:rPr>
          <w:rtl/>
          <w:lang w:bidi="fa-IR"/>
        </w:rPr>
        <w:t>-</w:t>
      </w:r>
      <w:r>
        <w:rPr>
          <w:rtl/>
          <w:lang w:bidi="fa-IR"/>
        </w:rPr>
        <w:t xml:space="preserve"> </w:t>
      </w:r>
      <w:r w:rsidRPr="00C9040A">
        <w:rPr>
          <w:rtl/>
          <w:lang w:bidi="fa-IR"/>
        </w:rPr>
        <w:t>بَابُ الْعَصَبِيَّةِ‌</w:t>
      </w:r>
      <w:bookmarkEnd w:id="379"/>
      <w:bookmarkEnd w:id="380"/>
      <w:bookmarkEnd w:id="381"/>
    </w:p>
    <w:p w:rsidR="008A74EB" w:rsidRPr="00C9040A" w:rsidRDefault="008A74EB" w:rsidP="008A74EB">
      <w:pPr>
        <w:pStyle w:val="libNormal"/>
        <w:rPr>
          <w:rtl/>
          <w:lang w:bidi="fa-IR"/>
        </w:rPr>
      </w:pPr>
      <w:r w:rsidRPr="000928A0">
        <w:rPr>
          <w:rtl/>
        </w:rPr>
        <w:t>2553</w:t>
      </w:r>
      <w:r w:rsidRPr="00261CB0">
        <w:rPr>
          <w:rStyle w:val="libBold2Char"/>
          <w:rtl/>
        </w:rPr>
        <w:t xml:space="preserve"> / 1.</w:t>
      </w:r>
      <w:r w:rsidRPr="00C9040A">
        <w:rPr>
          <w:rtl/>
          <w:lang w:bidi="fa-IR"/>
        </w:rPr>
        <w:t xml:space="preserve"> مُحَمَّدُ بْنُ يَحْيى ، عَنْ أَحْمَدَ بْنِ مُحَمَّدِ بْنِ عِيسى ، عَنْ عَلِيِّ بْنِ الْحَكَمِ ، عَنْ دَاوُدَ بْنِ النُّعْمَانِ ، عَنْ مَنْصُورِ بْنِ حَازِمٍ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مَنْ تَعَصَّبَ أَوْ تُعُصِّبَ لَهُ ، فَقَدْ خَلَعَ رِبْقَةَ </w:t>
      </w:r>
      <w:r w:rsidR="006C577F" w:rsidRPr="006C577F">
        <w:rPr>
          <w:rStyle w:val="libFootnotenumChar"/>
          <w:rtl/>
        </w:rPr>
        <w:t>(10)</w:t>
      </w:r>
      <w:r w:rsidRPr="00C9040A">
        <w:rPr>
          <w:rtl/>
          <w:lang w:bidi="fa-IR"/>
        </w:rPr>
        <w:t>‌</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2652B3" w:rsidTr="002652B3">
        <w:tc>
          <w:tcPr>
            <w:tcW w:w="4006" w:type="dxa"/>
          </w:tcPr>
          <w:p w:rsidR="002652B3" w:rsidRDefault="002652B3" w:rsidP="004A4E41">
            <w:pPr>
              <w:pStyle w:val="libFootnote0"/>
              <w:rPr>
                <w:rtl/>
              </w:rPr>
            </w:pPr>
            <w:r>
              <w:rPr>
                <w:rtl/>
              </w:rPr>
              <w:t xml:space="preserve">(1). </w:t>
            </w:r>
            <w:r w:rsidRPr="00C9040A">
              <w:rPr>
                <w:rtl/>
              </w:rPr>
              <w:t xml:space="preserve">في « ص ، </w:t>
            </w:r>
            <w:r>
              <w:rPr>
                <w:rtl/>
              </w:rPr>
              <w:t xml:space="preserve">ه </w:t>
            </w:r>
            <w:r w:rsidRPr="00C9040A">
              <w:rPr>
                <w:rtl/>
              </w:rPr>
              <w:t>» : « آتاهم »</w:t>
            </w:r>
            <w:r>
              <w:rPr>
                <w:rtl/>
              </w:rPr>
              <w:t>.</w:t>
            </w:r>
          </w:p>
        </w:tc>
        <w:tc>
          <w:tcPr>
            <w:tcW w:w="4006" w:type="dxa"/>
          </w:tcPr>
          <w:p w:rsidR="002652B3" w:rsidRDefault="002652B3" w:rsidP="004A4E41">
            <w:pPr>
              <w:pStyle w:val="libFootnote0"/>
              <w:rPr>
                <w:rtl/>
              </w:rPr>
            </w:pPr>
            <w:r>
              <w:rPr>
                <w:rtl/>
              </w:rPr>
              <w:t xml:space="preserve">(2). </w:t>
            </w:r>
            <w:r w:rsidRPr="00C9040A">
              <w:rPr>
                <w:rtl/>
              </w:rPr>
              <w:t>في « بس » : « فلاتبتغه »</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في « </w:t>
      </w:r>
      <w:r w:rsidR="006D3162">
        <w:rPr>
          <w:rtl/>
        </w:rPr>
        <w:t xml:space="preserve">ه </w:t>
      </w:r>
      <w:r w:rsidR="008A74EB" w:rsidRPr="00C9040A">
        <w:rPr>
          <w:rtl/>
        </w:rPr>
        <w:t>» والوسائل : « لنعمتي »</w:t>
      </w:r>
      <w:r w:rsidR="008A74EB">
        <w:rPr>
          <w:rtl/>
        </w:rPr>
        <w:t>.</w:t>
      </w:r>
      <w:r w:rsidR="008A74EB" w:rsidRPr="00C9040A">
        <w:rPr>
          <w:rtl/>
        </w:rPr>
        <w:t xml:space="preserve"> وفي « بس » : « النعما » بحذف الهمزة تخفيفاً.</w:t>
      </w:r>
    </w:p>
    <w:tbl>
      <w:tblPr>
        <w:tblStyle w:val="TableGrid"/>
        <w:bidiVisual/>
        <w:tblW w:w="0" w:type="auto"/>
        <w:tblLook w:val="04A0" w:firstRow="1" w:lastRow="0" w:firstColumn="1" w:lastColumn="0" w:noHBand="0" w:noVBand="1"/>
      </w:tblPr>
      <w:tblGrid>
        <w:gridCol w:w="4006"/>
        <w:gridCol w:w="4006"/>
      </w:tblGrid>
      <w:tr w:rsidR="005D729C" w:rsidTr="005D729C">
        <w:tc>
          <w:tcPr>
            <w:tcW w:w="4006" w:type="dxa"/>
          </w:tcPr>
          <w:p w:rsidR="005D729C" w:rsidRDefault="005D729C" w:rsidP="004A4E41">
            <w:pPr>
              <w:pStyle w:val="libFootnote0"/>
              <w:rPr>
                <w:rtl/>
                <w:lang w:bidi="fa-IR"/>
              </w:rPr>
            </w:pPr>
            <w:r>
              <w:rPr>
                <w:rtl/>
              </w:rPr>
              <w:t>(4).</w:t>
            </w:r>
            <w:r w:rsidRPr="00C9040A">
              <w:rPr>
                <w:rtl/>
              </w:rPr>
              <w:t xml:space="preserve"> في « </w:t>
            </w:r>
            <w:r>
              <w:rPr>
                <w:rtl/>
              </w:rPr>
              <w:t xml:space="preserve">ه </w:t>
            </w:r>
            <w:r w:rsidRPr="00C9040A">
              <w:rPr>
                <w:rtl/>
              </w:rPr>
              <w:t>» : « لقسمتي »</w:t>
            </w:r>
            <w:r>
              <w:rPr>
                <w:rtl/>
              </w:rPr>
              <w:t>.</w:t>
            </w:r>
          </w:p>
        </w:tc>
        <w:tc>
          <w:tcPr>
            <w:tcW w:w="4006" w:type="dxa"/>
          </w:tcPr>
          <w:p w:rsidR="005D729C" w:rsidRDefault="005D729C" w:rsidP="004A4E41">
            <w:pPr>
              <w:pStyle w:val="libFootnote0"/>
              <w:rPr>
                <w:rtl/>
                <w:lang w:bidi="fa-IR"/>
              </w:rPr>
            </w:pPr>
            <w:r>
              <w:rPr>
                <w:rtl/>
              </w:rPr>
              <w:t>(5).</w:t>
            </w:r>
            <w:r w:rsidRPr="00C9040A">
              <w:rPr>
                <w:rtl/>
              </w:rPr>
              <w:t xml:space="preserve"> في البحار ، ج 13 : « التي »</w:t>
            </w:r>
            <w:r>
              <w:rPr>
                <w:rtl/>
              </w:rPr>
              <w:t>.</w:t>
            </w:r>
          </w:p>
        </w:tc>
      </w:tr>
    </w:tbl>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الوافي</w:t>
      </w:r>
      <w:r w:rsidR="008A74EB" w:rsidRPr="00C9040A">
        <w:rPr>
          <w:rtl/>
        </w:rPr>
        <w:t xml:space="preserve"> ، ج 5 ، ص 859 ، ح 3154 ؛ </w:t>
      </w:r>
      <w:r w:rsidR="008A74EB" w:rsidRPr="00993B55">
        <w:rPr>
          <w:rStyle w:val="libFootnoteBoldChar"/>
          <w:rtl/>
        </w:rPr>
        <w:t>الوسائل</w:t>
      </w:r>
      <w:r w:rsidR="008A74EB" w:rsidRPr="00C9040A">
        <w:rPr>
          <w:rtl/>
        </w:rPr>
        <w:t xml:space="preserve"> ، ج 15 ، ص 366 ، ح 20759 ؛ </w:t>
      </w:r>
      <w:r w:rsidR="008A74EB" w:rsidRPr="00993B55">
        <w:rPr>
          <w:rStyle w:val="libFootnoteBoldChar"/>
          <w:rtl/>
        </w:rPr>
        <w:t>البحار</w:t>
      </w:r>
      <w:r w:rsidR="008A74EB" w:rsidRPr="00C9040A">
        <w:rPr>
          <w:rtl/>
        </w:rPr>
        <w:t xml:space="preserve"> ، ج 13 ، ص 358 ، ح 67 ؛ وج 73 ، ص 249 ، ح 6.</w:t>
      </w:r>
    </w:p>
    <w:p w:rsidR="008A74EB" w:rsidRPr="00C9040A" w:rsidRDefault="006C577F" w:rsidP="004A4E41">
      <w:pPr>
        <w:pStyle w:val="libFootnote0"/>
        <w:rPr>
          <w:rtl/>
          <w:lang w:bidi="fa-IR"/>
        </w:rPr>
      </w:pPr>
      <w:r>
        <w:rPr>
          <w:rtl/>
        </w:rPr>
        <w:t>(7).</w:t>
      </w:r>
      <w:r w:rsidR="008A74EB" w:rsidRPr="00C9040A">
        <w:rPr>
          <w:rtl/>
        </w:rPr>
        <w:t xml:space="preserve"> هكذا في « ب ، ج ، ص ، </w:t>
      </w:r>
      <w:r w:rsidR="006D3162">
        <w:rPr>
          <w:rtl/>
        </w:rPr>
        <w:t xml:space="preserve">ه </w:t>
      </w:r>
      <w:r w:rsidR="008A74EB" w:rsidRPr="00C9040A">
        <w:rPr>
          <w:rtl/>
        </w:rPr>
        <w:t>، بر ، بس ، بف ، جر » والطبعة القديمة. وفي « د » والمطبوع : « الفضيل »</w:t>
      </w:r>
      <w:r w:rsidR="008A74EB">
        <w:rPr>
          <w:rtl/>
        </w:rPr>
        <w:t>.</w:t>
      </w:r>
      <w:r w:rsidR="008A74EB" w:rsidRPr="00C9040A">
        <w:rPr>
          <w:rtl/>
        </w:rPr>
        <w:t xml:space="preserve"> وفي « ز » : « فضل »</w:t>
      </w:r>
      <w:r w:rsidR="008A74EB">
        <w:rPr>
          <w:rtl/>
        </w:rPr>
        <w:t>.</w:t>
      </w:r>
      <w:r w:rsidR="008A74EB" w:rsidRPr="00C9040A">
        <w:rPr>
          <w:rtl/>
        </w:rPr>
        <w:t xml:space="preserve"> وهو سهو. راجع : </w:t>
      </w:r>
      <w:r w:rsidR="008A74EB" w:rsidRPr="00993B55">
        <w:rPr>
          <w:rStyle w:val="libFootnoteBoldChar"/>
          <w:rtl/>
        </w:rPr>
        <w:t>رجال النّجاشي</w:t>
      </w:r>
      <w:r w:rsidR="008A74EB" w:rsidRPr="00C9040A">
        <w:rPr>
          <w:rtl/>
        </w:rPr>
        <w:t xml:space="preserve"> ، ص 310 ، الرقم 847.</w:t>
      </w:r>
    </w:p>
    <w:p w:rsidR="008A74EB" w:rsidRPr="00C9040A" w:rsidRDefault="006C577F" w:rsidP="004A4E41">
      <w:pPr>
        <w:pStyle w:val="libFootnote0"/>
        <w:rPr>
          <w:rtl/>
          <w:lang w:bidi="fa-IR"/>
        </w:rPr>
      </w:pPr>
      <w:r>
        <w:rPr>
          <w:rtl/>
        </w:rPr>
        <w:t>(8).</w:t>
      </w:r>
      <w:r w:rsidR="008A74EB" w:rsidRPr="00C9040A">
        <w:rPr>
          <w:rtl/>
        </w:rPr>
        <w:t xml:space="preserve"> « الغِبْطَة » : أن تتمَنّى مثل حال المغبوط من غير أن تريد زوالَها عنه ، وليس بحسد. </w:t>
      </w:r>
      <w:r w:rsidR="008A74EB" w:rsidRPr="00993B55">
        <w:rPr>
          <w:rStyle w:val="libFootnoteBoldChar"/>
          <w:rtl/>
        </w:rPr>
        <w:t>الصحاح</w:t>
      </w:r>
      <w:r w:rsidR="008A74EB" w:rsidRPr="00C9040A">
        <w:rPr>
          <w:rtl/>
        </w:rPr>
        <w:t xml:space="preserve"> ، ج 3 ؛ ص 1146 ( غبط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w:t>
      </w:r>
      <w:r w:rsidR="008A74EB" w:rsidRPr="00993B55">
        <w:rPr>
          <w:rStyle w:val="libFootnoteBoldChar"/>
          <w:rtl/>
        </w:rPr>
        <w:t>الوافي</w:t>
      </w:r>
      <w:r w:rsidR="008A74EB" w:rsidRPr="00C9040A">
        <w:rPr>
          <w:rtl/>
        </w:rPr>
        <w:t xml:space="preserve"> ، ج 5 ، ص 861 ، ح 3157 ؛ </w:t>
      </w:r>
      <w:r w:rsidR="008A74EB" w:rsidRPr="00993B55">
        <w:rPr>
          <w:rStyle w:val="libFootnoteBoldChar"/>
          <w:rtl/>
        </w:rPr>
        <w:t>الوسائل</w:t>
      </w:r>
      <w:r w:rsidR="008A74EB" w:rsidRPr="00C9040A">
        <w:rPr>
          <w:rtl/>
        </w:rPr>
        <w:t xml:space="preserve"> ، ج 15 ، ص 366 ، ح 20760 ؛ </w:t>
      </w:r>
      <w:r w:rsidR="008A74EB" w:rsidRPr="00993B55">
        <w:rPr>
          <w:rStyle w:val="libFootnoteBoldChar"/>
          <w:rtl/>
        </w:rPr>
        <w:t>البحار</w:t>
      </w:r>
      <w:r w:rsidR="008A74EB" w:rsidRPr="00C9040A">
        <w:rPr>
          <w:rtl/>
        </w:rPr>
        <w:t xml:space="preserve"> ، ج 73 ، ص 250 ، ح 7.</w:t>
      </w:r>
    </w:p>
    <w:p w:rsidR="008A74EB" w:rsidRPr="00C9040A" w:rsidRDefault="006C577F" w:rsidP="004A4E41">
      <w:pPr>
        <w:pStyle w:val="libFootnote0"/>
        <w:rPr>
          <w:rtl/>
          <w:lang w:bidi="fa-IR"/>
        </w:rPr>
      </w:pPr>
      <w:r>
        <w:rPr>
          <w:rtl/>
        </w:rPr>
        <w:t>(10).</w:t>
      </w:r>
      <w:r w:rsidR="008A74EB" w:rsidRPr="00C9040A">
        <w:rPr>
          <w:rtl/>
        </w:rPr>
        <w:t xml:space="preserve"> في « د ، ز ، ص ، </w:t>
      </w:r>
      <w:r w:rsidR="006D3162">
        <w:rPr>
          <w:rtl/>
        </w:rPr>
        <w:t xml:space="preserve">ه </w:t>
      </w:r>
      <w:r w:rsidR="008A74EB" w:rsidRPr="00C9040A">
        <w:rPr>
          <w:rtl/>
        </w:rPr>
        <w:t>، بر ، بس ، بف » والوافي : « ربق »</w:t>
      </w:r>
      <w:r w:rsidR="008A74EB">
        <w:rPr>
          <w:rtl/>
        </w:rPr>
        <w:t>.</w:t>
      </w:r>
      <w:r w:rsidR="008A74EB" w:rsidRPr="00C9040A">
        <w:rPr>
          <w:rtl/>
        </w:rPr>
        <w:t xml:space="preserve"> </w:t>
      </w:r>
      <w:r w:rsidR="008A74EB">
        <w:rPr>
          <w:rtl/>
        </w:rPr>
        <w:t>و «</w:t>
      </w:r>
      <w:r w:rsidR="008A74EB" w:rsidRPr="00C9040A">
        <w:rPr>
          <w:rtl/>
        </w:rPr>
        <w:t xml:space="preserve"> الرِّبْقَة » في الأصل : عُروة في حبل تُجعل في عُنُق</w:t>
      </w:r>
      <w:r w:rsidR="008A74EB">
        <w:rPr>
          <w:rFonts w:hint="cs"/>
          <w:rtl/>
        </w:rPr>
        <w:t xml:space="preserve"> </w:t>
      </w:r>
      <w:r w:rsidR="00811AA6">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الْإِيمَانِ </w:t>
      </w:r>
      <w:r w:rsidR="006C577F" w:rsidRPr="006C577F">
        <w:rPr>
          <w:rStyle w:val="libFootnotenumChar"/>
          <w:rtl/>
        </w:rPr>
        <w:t>(1)</w:t>
      </w:r>
      <w:r w:rsidRPr="00C9040A">
        <w:rPr>
          <w:rtl/>
          <w:lang w:bidi="fa-IR"/>
        </w:rPr>
        <w:t xml:space="preserve"> مِنْ عُنُقِهِ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304F34">
        <w:rPr>
          <w:rtl/>
        </w:rPr>
        <w:t>2554</w:t>
      </w:r>
      <w:r w:rsidRPr="00261CB0">
        <w:rPr>
          <w:rStyle w:val="libBold2Char"/>
          <w:rtl/>
        </w:rPr>
        <w:t xml:space="preserve"> / 2.</w:t>
      </w:r>
      <w:r w:rsidRPr="00C9040A">
        <w:rPr>
          <w:rtl/>
          <w:lang w:bidi="fa-IR"/>
        </w:rPr>
        <w:t xml:space="preserve"> عَلِيُّ بْنُ إِبْرَاهِيمَ ، عَنْ أَبِيهِ ، عَنِ ابْنِ أَبِي عُمَيْرٍ ، عَنْ هِشَامِ بْنِ سَالِمٍ وَدُرُسْتَ بْنِ أَبِي مَنْصُورٍ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مَنْ تَعَصَّبَ أَوْ تُعُصِّبَ لَهُ ، فَقَدْ خَلَعَ رِبْقَ </w:t>
      </w:r>
      <w:r w:rsidR="006C577F" w:rsidRPr="006C577F">
        <w:rPr>
          <w:rStyle w:val="libFootnotenumChar"/>
          <w:rtl/>
        </w:rPr>
        <w:t>(3)</w:t>
      </w:r>
      <w:r w:rsidRPr="00C9040A">
        <w:rPr>
          <w:rtl/>
          <w:lang w:bidi="fa-IR"/>
        </w:rPr>
        <w:t xml:space="preserve"> الْإِيمَانِ </w:t>
      </w:r>
      <w:r w:rsidR="006C577F" w:rsidRPr="006C577F">
        <w:rPr>
          <w:rStyle w:val="libFootnotenumChar"/>
          <w:rtl/>
        </w:rPr>
        <w:t>(4)</w:t>
      </w:r>
      <w:r w:rsidRPr="00C9040A">
        <w:rPr>
          <w:rtl/>
          <w:lang w:bidi="fa-IR"/>
        </w:rPr>
        <w:t xml:space="preserve"> مِنْ عُنُقِهِ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304F34">
        <w:rPr>
          <w:rtl/>
        </w:rPr>
        <w:t>2555</w:t>
      </w:r>
      <w:r w:rsidRPr="00261CB0">
        <w:rPr>
          <w:rStyle w:val="libBold2Char"/>
          <w:rtl/>
        </w:rPr>
        <w:t xml:space="preserve"> / 3.</w:t>
      </w:r>
      <w:r w:rsidRPr="00C9040A">
        <w:rPr>
          <w:rtl/>
          <w:lang w:bidi="fa-IR"/>
        </w:rPr>
        <w:t xml:space="preserve"> عَلِيٌّ </w:t>
      </w:r>
      <w:r w:rsidR="006C577F" w:rsidRPr="006C577F">
        <w:rPr>
          <w:rStyle w:val="libFootnotenumChar"/>
          <w:rtl/>
        </w:rPr>
        <w:t>(6)</w:t>
      </w:r>
      <w:r w:rsidRPr="005B567D">
        <w:rPr>
          <w:rStyle w:val="libFootnotenumChar"/>
          <w:rtl/>
        </w:rPr>
        <w:t xml:space="preserve"> </w:t>
      </w:r>
      <w:r w:rsidRPr="00C9040A">
        <w:rPr>
          <w:rtl/>
          <w:lang w:bidi="fa-IR"/>
        </w:rPr>
        <w:t>، عَنْ أَبِيهِ ، عَنِ النَّوْفَلِيِّ ، عَنِ السَّكُونِيِّ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مَنْ كَانَ فِي قَلْبِهِ </w:t>
      </w:r>
      <w:r w:rsidR="006C577F" w:rsidRPr="006C577F">
        <w:rPr>
          <w:rStyle w:val="libFootnotenumChar"/>
          <w:rtl/>
        </w:rPr>
        <w:t>(7)</w:t>
      </w:r>
      <w:r w:rsidRPr="00C9040A">
        <w:rPr>
          <w:rtl/>
          <w:lang w:bidi="fa-IR"/>
        </w:rPr>
        <w:t xml:space="preserve"> حَبَّةٌ مِنْ خَرْدَلٍ مِنْ عَصَبِيَّةٍ ، بَعَثَهُ اللهُ يَوْمَ الْقِيَامَةِ مَعَ أَعْرَابِ الْجَاهِلِيَّةِ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Normal"/>
        <w:rPr>
          <w:rtl/>
          <w:lang w:bidi="fa-IR"/>
        </w:rPr>
      </w:pPr>
      <w:r w:rsidRPr="00304F34">
        <w:rPr>
          <w:rtl/>
        </w:rPr>
        <w:t>2556</w:t>
      </w:r>
      <w:r w:rsidRPr="00261CB0">
        <w:rPr>
          <w:rStyle w:val="libBold2Char"/>
          <w:rtl/>
        </w:rPr>
        <w:t xml:space="preserve"> / 4.</w:t>
      </w:r>
      <w:r w:rsidRPr="00C9040A">
        <w:rPr>
          <w:rtl/>
          <w:lang w:bidi="fa-IR"/>
        </w:rPr>
        <w:t xml:space="preserve"> أَبُو عَلِيٍّ الْأَشْعَرِيُّ ، عَنْ مُحَمَّدِ بْنِ عَبْدِ الْجَبَّارِ ، عَنْ صَفْوَانَ بْنِ يَحْيى ، عَنْ‌</w:t>
      </w:r>
    </w:p>
    <w:p w:rsidR="008A74EB" w:rsidRPr="00C9040A" w:rsidRDefault="008A74EB" w:rsidP="008A74EB">
      <w:pPr>
        <w:pStyle w:val="libLine"/>
        <w:rPr>
          <w:rtl/>
          <w:lang w:bidi="fa-IR"/>
        </w:rPr>
      </w:pPr>
      <w:r w:rsidRPr="00C9040A">
        <w:rPr>
          <w:rtl/>
          <w:lang w:bidi="fa-IR"/>
        </w:rPr>
        <w:t>__________________</w:t>
      </w:r>
    </w:p>
    <w:p w:rsidR="008A74EB" w:rsidRPr="00C9040A" w:rsidRDefault="008A74EB" w:rsidP="004A4E41">
      <w:pPr>
        <w:pStyle w:val="libFootnote0"/>
        <w:rPr>
          <w:rtl/>
          <w:lang w:bidi="fa-IR"/>
        </w:rPr>
      </w:pPr>
      <w:r w:rsidRPr="00C9040A">
        <w:rPr>
          <w:rtl/>
        </w:rPr>
        <w:t>‌</w:t>
      </w:r>
      <w:r w:rsidR="000E6953">
        <w:rPr>
          <w:rFonts w:hint="cs"/>
          <w:rtl/>
        </w:rPr>
        <w:t xml:space="preserve">= </w:t>
      </w:r>
      <w:r w:rsidRPr="00C9040A">
        <w:rPr>
          <w:rtl/>
        </w:rPr>
        <w:t xml:space="preserve">البهيمة أو يدها تُمسكها ، فاستعارها للإيمان ، يعني ما يشدّ المؤمن به نفسَه من عُرى الإيمان ، أى حدوده وأحكامه ، وتُجمع الرِّبقة على رِبَقٍ. ويقال للحبل الذى تكون فيه الرِّبقة : رِبْق ، وتجمع على أرباق ورِباق. </w:t>
      </w:r>
      <w:r w:rsidRPr="00993B55">
        <w:rPr>
          <w:rStyle w:val="libFootnoteBoldChar"/>
          <w:rtl/>
        </w:rPr>
        <w:t>النهاية</w:t>
      </w:r>
      <w:r w:rsidRPr="00C9040A">
        <w:rPr>
          <w:rtl/>
        </w:rPr>
        <w:t xml:space="preserve"> ، ج 2 ، ص 190 ( ربق )</w:t>
      </w:r>
      <w:r>
        <w:rPr>
          <w:rtl/>
        </w:rPr>
        <w:t>.</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w:t>
      </w:r>
      <w:r w:rsidR="006D3162">
        <w:rPr>
          <w:rtl/>
        </w:rPr>
        <w:t xml:space="preserve">ه </w:t>
      </w:r>
      <w:r w:rsidR="008A74EB" w:rsidRPr="00C9040A">
        <w:rPr>
          <w:rtl/>
        </w:rPr>
        <w:t>» وثواب الأعمال : « الإسلام »</w:t>
      </w:r>
      <w:r w:rsidR="008A74EB">
        <w:rPr>
          <w:rtl/>
        </w:rPr>
        <w:t>.</w:t>
      </w:r>
    </w:p>
    <w:p w:rsidR="008A74EB" w:rsidRPr="00C9040A" w:rsidRDefault="006C577F" w:rsidP="000E6953">
      <w:pPr>
        <w:pStyle w:val="libFootnote0"/>
        <w:rPr>
          <w:rtl/>
          <w:lang w:bidi="fa-IR"/>
        </w:rPr>
      </w:pPr>
      <w:r>
        <w:rPr>
          <w:rtl/>
        </w:rPr>
        <w:t>(2).</w:t>
      </w:r>
      <w:r w:rsidR="008A74EB">
        <w:rPr>
          <w:rtl/>
        </w:rPr>
        <w:t xml:space="preserve"> </w:t>
      </w:r>
      <w:r w:rsidR="008A74EB" w:rsidRPr="00993B55">
        <w:rPr>
          <w:rStyle w:val="libFootnoteBoldChar"/>
          <w:rtl/>
        </w:rPr>
        <w:t>ثواب الأعمال</w:t>
      </w:r>
      <w:r w:rsidR="008A74EB" w:rsidRPr="00C9040A">
        <w:rPr>
          <w:rtl/>
        </w:rPr>
        <w:t xml:space="preserve"> ، ص 263 ، ح 2 ، بسند آخر</w:t>
      </w:r>
      <w:r w:rsidR="000E6953">
        <w:rPr>
          <w:rFonts w:hint="cs"/>
          <w:rtl/>
        </w:rPr>
        <w:t>.</w:t>
      </w:r>
      <w:r w:rsidR="008A74EB" w:rsidRPr="00993B55">
        <w:rPr>
          <w:rStyle w:val="libFootnoteBoldChar"/>
          <w:rtl/>
        </w:rPr>
        <w:t>الوافي</w:t>
      </w:r>
      <w:r w:rsidR="008A74EB" w:rsidRPr="00C9040A">
        <w:rPr>
          <w:rtl/>
        </w:rPr>
        <w:t xml:space="preserve"> ، ج 5 ، ص 867 ، ، ح 3173 ؛ </w:t>
      </w:r>
      <w:r w:rsidR="008A74EB" w:rsidRPr="00993B55">
        <w:rPr>
          <w:rStyle w:val="libFootnoteBoldChar"/>
          <w:rtl/>
        </w:rPr>
        <w:t>الوسائل</w:t>
      </w:r>
      <w:r w:rsidR="008A74EB" w:rsidRPr="00C9040A">
        <w:rPr>
          <w:rtl/>
        </w:rPr>
        <w:t xml:space="preserve"> ، ج 15 ، ص 370 ، ح 20772 ؛ </w:t>
      </w:r>
      <w:r w:rsidR="008A74EB" w:rsidRPr="00993B55">
        <w:rPr>
          <w:rStyle w:val="libFootnoteBoldChar"/>
          <w:rtl/>
        </w:rPr>
        <w:t>البحار</w:t>
      </w:r>
      <w:r w:rsidR="008A74EB" w:rsidRPr="00C9040A">
        <w:rPr>
          <w:rtl/>
        </w:rPr>
        <w:t xml:space="preserve"> ، ج 73 ، ص 283 ، ح 1.</w:t>
      </w:r>
    </w:p>
    <w:p w:rsidR="008A74EB" w:rsidRPr="00C9040A" w:rsidRDefault="006C577F" w:rsidP="004A4E41">
      <w:pPr>
        <w:pStyle w:val="libFootnote0"/>
        <w:rPr>
          <w:rtl/>
          <w:lang w:bidi="fa-IR"/>
        </w:rPr>
      </w:pPr>
      <w:r>
        <w:rPr>
          <w:rtl/>
        </w:rPr>
        <w:t>(3).</w:t>
      </w:r>
      <w:r w:rsidR="008A74EB" w:rsidRPr="00C9040A">
        <w:rPr>
          <w:rtl/>
        </w:rPr>
        <w:t xml:space="preserve"> في « ب ، ز ، بر » : « ربقة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w:t>
      </w:r>
      <w:r w:rsidR="006D3162">
        <w:rPr>
          <w:rtl/>
        </w:rPr>
        <w:t xml:space="preserve">ه </w:t>
      </w:r>
      <w:r w:rsidR="008A74EB" w:rsidRPr="00C9040A">
        <w:rPr>
          <w:rtl/>
        </w:rPr>
        <w:t>» وثواب الأعمال : « الإسلام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ثواب الأعمال</w:t>
      </w:r>
      <w:r w:rsidR="008A74EB" w:rsidRPr="00C9040A">
        <w:rPr>
          <w:rtl/>
        </w:rPr>
        <w:t xml:space="preserve"> ، ص 263 ، ح 1 ، عن أبيه ، عن عليّ بن إبراهيم </w:t>
      </w:r>
      <w:r w:rsidR="008A74EB" w:rsidRPr="00993B55">
        <w:rPr>
          <w:rStyle w:val="libFootnoteBoldChar"/>
          <w:rtl/>
        </w:rPr>
        <w:t>الوافي</w:t>
      </w:r>
      <w:r w:rsidR="008A74EB" w:rsidRPr="00C9040A">
        <w:rPr>
          <w:rtl/>
        </w:rPr>
        <w:t xml:space="preserve"> ، ج 5 ، ص 867 ، ح 3174 ؛ </w:t>
      </w:r>
      <w:r w:rsidR="008A74EB" w:rsidRPr="00993B55">
        <w:rPr>
          <w:rStyle w:val="libFootnoteBoldChar"/>
          <w:rtl/>
        </w:rPr>
        <w:t>الوسائل</w:t>
      </w:r>
      <w:r w:rsidR="008A74EB" w:rsidRPr="00C9040A">
        <w:rPr>
          <w:rtl/>
        </w:rPr>
        <w:t xml:space="preserve"> ، ج 15 ، ص 370 ، ح 20772 ؛ </w:t>
      </w:r>
      <w:r w:rsidR="008A74EB" w:rsidRPr="00993B55">
        <w:rPr>
          <w:rStyle w:val="libFootnoteBoldChar"/>
          <w:rtl/>
        </w:rPr>
        <w:t>البحار</w:t>
      </w:r>
      <w:r w:rsidR="008A74EB" w:rsidRPr="00C9040A">
        <w:rPr>
          <w:rtl/>
        </w:rPr>
        <w:t xml:space="preserve"> ، ج 73 ، ص 283 ، ذيل ح 1.</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هكذا في « ب ، ج ، د ، </w:t>
      </w:r>
      <w:r w:rsidR="006D3162">
        <w:rPr>
          <w:rtl/>
        </w:rPr>
        <w:t xml:space="preserve">ه </w:t>
      </w:r>
      <w:r w:rsidR="008A74EB" w:rsidRPr="00C9040A">
        <w:rPr>
          <w:rtl/>
        </w:rPr>
        <w:t>، بر ، بس ، بف »</w:t>
      </w:r>
      <w:r w:rsidR="008A74EB">
        <w:rPr>
          <w:rtl/>
        </w:rPr>
        <w:t>.</w:t>
      </w:r>
      <w:r w:rsidR="008A74EB" w:rsidRPr="00C9040A">
        <w:rPr>
          <w:rtl/>
        </w:rPr>
        <w:t xml:space="preserve"> وفي « ز » والمطبوع : + « بن إبراهيم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w:t>
      </w:r>
      <w:r w:rsidR="006D3162">
        <w:rPr>
          <w:rtl/>
        </w:rPr>
        <w:t xml:space="preserve">ه </w:t>
      </w:r>
      <w:r w:rsidR="008A74EB" w:rsidRPr="00C9040A">
        <w:rPr>
          <w:rtl/>
        </w:rPr>
        <w:t>» وحاشية « بر » والأمالي : + « مثقال »</w:t>
      </w:r>
      <w:r w:rsidR="008A74EB">
        <w:rPr>
          <w:rtl/>
        </w:rPr>
        <w:t>.</w:t>
      </w:r>
    </w:p>
    <w:p w:rsidR="008A74EB" w:rsidRPr="00C9040A" w:rsidRDefault="006C577F" w:rsidP="000E6953">
      <w:pPr>
        <w:pStyle w:val="libFootnote0"/>
        <w:rPr>
          <w:rtl/>
          <w:lang w:bidi="fa-IR"/>
        </w:rPr>
      </w:pPr>
      <w:r>
        <w:rPr>
          <w:rtl/>
        </w:rPr>
        <w:t>(8).</w:t>
      </w:r>
      <w:r w:rsidR="008A74EB" w:rsidRPr="00C9040A">
        <w:rPr>
          <w:rtl/>
        </w:rPr>
        <w:t xml:space="preserve"> </w:t>
      </w:r>
      <w:r w:rsidR="008A74EB" w:rsidRPr="0034021D">
        <w:rPr>
          <w:rStyle w:val="libFootnoteBoldChar"/>
          <w:rtl/>
        </w:rPr>
        <w:t>الأمالي للصدوق</w:t>
      </w:r>
      <w:r w:rsidR="008A74EB" w:rsidRPr="00C9040A">
        <w:rPr>
          <w:rtl/>
        </w:rPr>
        <w:t xml:space="preserve"> ، ص 607 المجلس 88 ، ح 14 ؛ و</w:t>
      </w:r>
      <w:r w:rsidR="008A74EB" w:rsidRPr="00993B55">
        <w:rPr>
          <w:rStyle w:val="libFootnoteBoldChar"/>
          <w:rtl/>
        </w:rPr>
        <w:t>الجعفريّات</w:t>
      </w:r>
      <w:r w:rsidR="008A74EB" w:rsidRPr="00C9040A">
        <w:rPr>
          <w:rtl/>
        </w:rPr>
        <w:t xml:space="preserve"> ، ص 163 ، بسند آخر عن جعفر بن محمّد ، عن آبائه </w:t>
      </w:r>
      <w:r w:rsidR="00117575" w:rsidRPr="00117575">
        <w:rPr>
          <w:rStyle w:val="libFootnoteAlaemChar"/>
          <w:rtl/>
        </w:rPr>
        <w:t>عليهم‌السلام</w:t>
      </w:r>
      <w:r w:rsidR="008A74EB" w:rsidRPr="00C9040A">
        <w:rPr>
          <w:rtl/>
        </w:rPr>
        <w:t xml:space="preserve"> عن رسول الله </w:t>
      </w:r>
      <w:r w:rsidR="004A4E41" w:rsidRPr="000E6953">
        <w:rPr>
          <w:rStyle w:val="libFootnoteAlaemChar"/>
          <w:rtl/>
        </w:rPr>
        <w:t>صلى‌الله‌عليه‌وآله</w:t>
      </w:r>
      <w:r w:rsidR="008A74EB" w:rsidRPr="00C9040A">
        <w:rPr>
          <w:rtl/>
        </w:rPr>
        <w:t xml:space="preserve"> ، مع اختلاف يسير. </w:t>
      </w:r>
      <w:r w:rsidR="008A74EB" w:rsidRPr="00993B55">
        <w:rPr>
          <w:rStyle w:val="libFootnoteBoldChar"/>
          <w:rtl/>
        </w:rPr>
        <w:t>ثواب الأعمال</w:t>
      </w:r>
      <w:r w:rsidR="008A74EB" w:rsidRPr="00C9040A">
        <w:rPr>
          <w:rtl/>
        </w:rPr>
        <w:t xml:space="preserve"> ، ص 263 ، ح 4 ، بسند آخر عن العمركي رفعه ، قال : « من تعصّب حشره الله يوم القيامة مع أعراب الجاهليّة »</w:t>
      </w:r>
      <w:r w:rsidR="000E6953">
        <w:rPr>
          <w:rFonts w:hint="cs"/>
          <w:rtl/>
        </w:rPr>
        <w:t>.</w:t>
      </w:r>
      <w:r w:rsidR="008A74EB" w:rsidRPr="00993B55">
        <w:rPr>
          <w:rStyle w:val="libFootnoteBoldChar"/>
          <w:rtl/>
        </w:rPr>
        <w:t>الوافي</w:t>
      </w:r>
      <w:r w:rsidR="008A74EB" w:rsidRPr="00C9040A">
        <w:rPr>
          <w:rtl/>
        </w:rPr>
        <w:t xml:space="preserve"> ، ج 5 ، ص 867 ، ح 3175 ؛ </w:t>
      </w:r>
      <w:r w:rsidR="008A74EB" w:rsidRPr="00993B55">
        <w:rPr>
          <w:rStyle w:val="libFootnoteBoldChar"/>
          <w:rtl/>
        </w:rPr>
        <w:t>الوسائل</w:t>
      </w:r>
      <w:r w:rsidR="008A74EB" w:rsidRPr="00C9040A">
        <w:rPr>
          <w:rtl/>
        </w:rPr>
        <w:t xml:space="preserve"> ، ج 15 ، ص 370 ، ح 20773 ؛ </w:t>
      </w:r>
      <w:r w:rsidR="008A74EB" w:rsidRPr="00993B55">
        <w:rPr>
          <w:rStyle w:val="libFootnoteBoldChar"/>
          <w:rtl/>
        </w:rPr>
        <w:t>البحار</w:t>
      </w:r>
      <w:r w:rsidR="008A74EB" w:rsidRPr="00C9040A">
        <w:rPr>
          <w:rtl/>
        </w:rPr>
        <w:t xml:space="preserve"> ، ج 73 ، ص 284 ، ح 2.</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خَضِرٍ ، عَنْ مُحَمَّدِ بْنِ مُسْلِمٍ </w:t>
      </w:r>
      <w:r w:rsidR="006C577F" w:rsidRPr="006C577F">
        <w:rPr>
          <w:rStyle w:val="libFootnotenumChar"/>
          <w:rtl/>
        </w:rPr>
        <w:t>(1)</w:t>
      </w:r>
      <w:r w:rsidRPr="00C9040A">
        <w:rPr>
          <w:rtl/>
          <w:lang w:bidi="fa-IR"/>
        </w:rPr>
        <w:t xml:space="preserve">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مَنْ تَعَصَّبَ ، عَصَبَهُ </w:t>
      </w:r>
      <w:r w:rsidR="006C577F" w:rsidRPr="006C577F">
        <w:rPr>
          <w:rStyle w:val="libFootnotenumChar"/>
          <w:rtl/>
        </w:rPr>
        <w:t>(2)</w:t>
      </w:r>
      <w:r w:rsidRPr="00C9040A">
        <w:rPr>
          <w:rtl/>
          <w:lang w:bidi="fa-IR"/>
        </w:rPr>
        <w:t xml:space="preserve"> اللهُ بِعِصَابَةٍ مِنْ نَارٍ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304F34">
        <w:rPr>
          <w:rtl/>
        </w:rPr>
        <w:t>2557</w:t>
      </w:r>
      <w:r w:rsidRPr="00261CB0">
        <w:rPr>
          <w:rStyle w:val="libBold2Char"/>
          <w:rtl/>
        </w:rPr>
        <w:t xml:space="preserve"> / 5.</w:t>
      </w:r>
      <w:r w:rsidRPr="00C9040A">
        <w:rPr>
          <w:rtl/>
          <w:lang w:bidi="fa-IR"/>
        </w:rPr>
        <w:t xml:space="preserve"> عِدَّةٌ مِنْ أَصْحَابِنَا ، عَنْ أَحْمَدَ بْنِ مُحَمَّدِ بْنِ خَالِدٍ ، عَنْ أَحْمَدَ بْنِ مُحَمَّدِ بْنِ </w:t>
      </w:r>
      <w:r w:rsidR="006C577F" w:rsidRPr="006C577F">
        <w:rPr>
          <w:rStyle w:val="libFootnotenumChar"/>
          <w:rtl/>
        </w:rPr>
        <w:t>(4)</w:t>
      </w:r>
      <w:r w:rsidRPr="00C9040A">
        <w:rPr>
          <w:rtl/>
          <w:lang w:bidi="fa-IR"/>
        </w:rPr>
        <w:t xml:space="preserve"> أَبِي نَصْرٍ ، عَنْ صَفْوَانَ بْنِ مِهْرَانَ ، عَنْ عَامِرِ بْنِ السِّمْطِ ، عَنْ حَبِيبِ بْنِ أَبِي </w:t>
      </w:r>
      <w:r w:rsidR="006C577F" w:rsidRPr="006C577F">
        <w:rPr>
          <w:rStyle w:val="libFootnotenumChar"/>
          <w:rtl/>
        </w:rPr>
        <w:t>(5)</w:t>
      </w:r>
      <w:r w:rsidRPr="00C9040A">
        <w:rPr>
          <w:rtl/>
          <w:lang w:bidi="fa-IR"/>
        </w:rPr>
        <w:t xml:space="preserve"> ثَابِتٍ :</w:t>
      </w:r>
    </w:p>
    <w:p w:rsidR="008A74EB" w:rsidRPr="00C9040A" w:rsidRDefault="008A74EB" w:rsidP="000E6953">
      <w:pPr>
        <w:pStyle w:val="libNormal"/>
        <w:rPr>
          <w:rtl/>
          <w:lang w:bidi="fa-IR"/>
        </w:rPr>
      </w:pPr>
      <w:r w:rsidRPr="00C9040A">
        <w:rPr>
          <w:rtl/>
          <w:lang w:bidi="fa-IR"/>
        </w:rPr>
        <w:t xml:space="preserve">عَنْ عَلِيِّ بْنِ الْحُسَيْنِ </w:t>
      </w:r>
      <w:r w:rsidR="000E6953" w:rsidRPr="000E6953">
        <w:rPr>
          <w:rStyle w:val="libAlaemChar"/>
          <w:rFonts w:eastAsiaTheme="minorHAnsi"/>
          <w:rtl/>
        </w:rPr>
        <w:t>عليهما‌السلام</w:t>
      </w:r>
      <w:r w:rsidR="000E6953" w:rsidRPr="00DD63CD">
        <w:rPr>
          <w:rFonts w:eastAsiaTheme="minorHAnsi"/>
          <w:rtl/>
        </w:rPr>
        <w:t xml:space="preserve"> </w:t>
      </w:r>
      <w:r w:rsidRPr="00C9040A">
        <w:rPr>
          <w:rtl/>
          <w:lang w:bidi="fa-IR"/>
        </w:rPr>
        <w:t xml:space="preserve">، قَالَ : « لَمْ يُدْخِلِ </w:t>
      </w:r>
      <w:r w:rsidR="006C577F" w:rsidRPr="006C577F">
        <w:rPr>
          <w:rStyle w:val="libFootnotenumChar"/>
          <w:rtl/>
        </w:rPr>
        <w:t>(6)</w:t>
      </w:r>
      <w:r w:rsidRPr="005B567D">
        <w:rPr>
          <w:rStyle w:val="libFootnotenumChar"/>
          <w:rtl/>
        </w:rPr>
        <w:t xml:space="preserve"> </w:t>
      </w:r>
      <w:r w:rsidRPr="00C9040A">
        <w:rPr>
          <w:rtl/>
          <w:lang w:bidi="fa-IR"/>
        </w:rPr>
        <w:t xml:space="preserve">الْجَنَّةَ حَمِيَّةٌ غَيْرُ </w:t>
      </w:r>
      <w:r w:rsidR="006C577F" w:rsidRPr="006C577F">
        <w:rPr>
          <w:rStyle w:val="libFootnotenumChar"/>
          <w:rtl/>
        </w:rPr>
        <w:t>(7)</w:t>
      </w:r>
      <w:r w:rsidRPr="00C9040A">
        <w:rPr>
          <w:rtl/>
          <w:lang w:bidi="fa-IR"/>
        </w:rPr>
        <w:t xml:space="preserve"> حَمِيَّةِ حَمْزَةَ بْنِ عَبْدِ الْمُطَّلِبِ ، وَذلِكَ حِينَ أَسْلَمَ غَضَباً لِلنَّبِيِّ </w:t>
      </w:r>
      <w:r w:rsidR="004A4E41" w:rsidRPr="004A4E41">
        <w:rPr>
          <w:rStyle w:val="libAlaemChar"/>
          <w:rtl/>
        </w:rPr>
        <w:t>صلى‌الله‌عليه‌وآله</w:t>
      </w:r>
      <w:r w:rsidRPr="00C9040A">
        <w:rPr>
          <w:rtl/>
          <w:lang w:bidi="fa-IR"/>
        </w:rPr>
        <w:t xml:space="preserve"> فِي حَدِيثِ السَّلَى </w:t>
      </w:r>
      <w:r w:rsidR="006C577F" w:rsidRPr="006C577F">
        <w:rPr>
          <w:rStyle w:val="libFootnotenumChar"/>
          <w:rtl/>
        </w:rPr>
        <w:t>(8)</w:t>
      </w:r>
      <w:r w:rsidRPr="00C9040A">
        <w:rPr>
          <w:rtl/>
          <w:lang w:bidi="fa-IR"/>
        </w:rPr>
        <w:t xml:space="preserve"> الَّذِي أُلْقِيَ عَلَى النَّبِيِّ </w:t>
      </w:r>
      <w:r w:rsidR="004A4E41" w:rsidRPr="004A4E41">
        <w:rPr>
          <w:rStyle w:val="libAlaemChar"/>
          <w:rtl/>
        </w:rPr>
        <w:t>صلى‌الله‌عليه‌وآله</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(9)</w:t>
      </w:r>
      <w:r w:rsidRPr="00C9040A">
        <w:rPr>
          <w:rtl/>
          <w:lang w:bidi="fa-IR"/>
        </w:rPr>
        <w:t xml:space="preserve"> ‌</w:t>
      </w:r>
    </w:p>
    <w:p w:rsidR="008A74EB" w:rsidRPr="00C9040A" w:rsidRDefault="008A74EB" w:rsidP="008A74EB">
      <w:pPr>
        <w:pStyle w:val="libNormal"/>
        <w:rPr>
          <w:rtl/>
          <w:lang w:bidi="fa-IR"/>
        </w:rPr>
      </w:pPr>
      <w:r w:rsidRPr="00304F34">
        <w:rPr>
          <w:rtl/>
        </w:rPr>
        <w:t>2558</w:t>
      </w:r>
      <w:r w:rsidRPr="00261CB0">
        <w:rPr>
          <w:rStyle w:val="libBold2Char"/>
          <w:rtl/>
        </w:rPr>
        <w:t xml:space="preserve"> / 6.</w:t>
      </w:r>
      <w:r w:rsidRPr="00C9040A">
        <w:rPr>
          <w:rtl/>
          <w:lang w:bidi="fa-IR"/>
        </w:rPr>
        <w:t xml:space="preserve"> عَنْهُ </w:t>
      </w:r>
      <w:r w:rsidR="006C577F" w:rsidRPr="006C577F">
        <w:rPr>
          <w:rStyle w:val="libFootnotenumChar"/>
          <w:rtl/>
        </w:rPr>
        <w:t>(10)</w:t>
      </w:r>
      <w:r w:rsidRPr="00C9040A">
        <w:rPr>
          <w:rtl/>
          <w:lang w:bidi="fa-IR"/>
        </w:rPr>
        <w:t xml:space="preserve"> ، عَنْ أَبِيهِ ، عَنْ فَضَالَةَ ، عَنْ دَاوُدَ بْنِ فَرْقَدٍ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إِنَّ الْمَلَائِكَةَ كَانُوا يَحْسَبُونَ أَنَّ إِبْلِيسَ مِنْهُمْ ، وَكَانَ‌</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w:t>
      </w:r>
      <w:r w:rsidR="006D3162">
        <w:rPr>
          <w:rtl/>
        </w:rPr>
        <w:t xml:space="preserve">ه </w:t>
      </w:r>
      <w:r w:rsidR="008A74EB" w:rsidRPr="00C9040A">
        <w:rPr>
          <w:rtl/>
        </w:rPr>
        <w:t>» وحاشية « بر » : « سليمان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ب ، ج ، د ، ص ، </w:t>
      </w:r>
      <w:r w:rsidR="006D3162">
        <w:rPr>
          <w:rtl/>
        </w:rPr>
        <w:t xml:space="preserve">ه </w:t>
      </w:r>
      <w:r w:rsidR="008A74EB" w:rsidRPr="00C9040A">
        <w:rPr>
          <w:rtl/>
        </w:rPr>
        <w:t>، بر » : « عصّبه »</w:t>
      </w:r>
      <w:r w:rsidR="008A74EB">
        <w:rPr>
          <w:rtl/>
        </w:rPr>
        <w:t>.</w:t>
      </w:r>
    </w:p>
    <w:p w:rsidR="008A74EB" w:rsidRPr="00C9040A" w:rsidRDefault="006C577F" w:rsidP="0026738C">
      <w:pPr>
        <w:pStyle w:val="libFootnote0"/>
        <w:rPr>
          <w:rtl/>
          <w:lang w:bidi="fa-IR"/>
        </w:rPr>
      </w:pPr>
      <w:r>
        <w:rPr>
          <w:rtl/>
        </w:rPr>
        <w:t>(3).</w:t>
      </w:r>
      <w:r w:rsidR="008A74EB" w:rsidRPr="00C9040A">
        <w:rPr>
          <w:rtl/>
        </w:rPr>
        <w:t xml:space="preserve"> </w:t>
      </w:r>
      <w:r w:rsidR="008A74EB" w:rsidRPr="00993B55">
        <w:rPr>
          <w:rStyle w:val="libFootnoteBoldChar"/>
          <w:rtl/>
        </w:rPr>
        <w:t>ثواب الأعمال</w:t>
      </w:r>
      <w:r w:rsidR="008A74EB" w:rsidRPr="00C9040A">
        <w:rPr>
          <w:rtl/>
        </w:rPr>
        <w:t xml:space="preserve"> ، ص 263 ، ح 3 ، بسنده عن صفوان ، عن حفص ، عن محمّد بن مسلم ، عن أبي عبدالله </w:t>
      </w:r>
      <w:r w:rsidR="00117575" w:rsidRPr="00117575">
        <w:rPr>
          <w:rStyle w:val="libFootnoteAlaemChar"/>
          <w:rtl/>
        </w:rPr>
        <w:t>عليه‌السلام</w:t>
      </w:r>
      <w:r w:rsidR="0026738C">
        <w:rPr>
          <w:rFonts w:hint="cs"/>
          <w:rtl/>
        </w:rPr>
        <w:t>.</w:t>
      </w:r>
      <w:r w:rsidR="008A74EB" w:rsidRPr="00993B55">
        <w:rPr>
          <w:rStyle w:val="libFootnoteBoldChar"/>
          <w:rtl/>
        </w:rPr>
        <w:t>الوافي</w:t>
      </w:r>
      <w:r w:rsidR="008A74EB" w:rsidRPr="00C9040A">
        <w:rPr>
          <w:rtl/>
        </w:rPr>
        <w:t xml:space="preserve"> ، ج 5 ، ص 867 ، ح 3176 ؛ </w:t>
      </w:r>
      <w:r w:rsidR="008A74EB" w:rsidRPr="00993B55">
        <w:rPr>
          <w:rStyle w:val="libFootnoteBoldChar"/>
          <w:rtl/>
        </w:rPr>
        <w:t>الوسائل</w:t>
      </w:r>
      <w:r w:rsidR="008A74EB" w:rsidRPr="00C9040A">
        <w:rPr>
          <w:rtl/>
        </w:rPr>
        <w:t xml:space="preserve"> ، ج 15 ، ص 371 ، ح 20774 ؛ </w:t>
      </w:r>
      <w:r w:rsidR="008A74EB" w:rsidRPr="00993B55">
        <w:rPr>
          <w:rStyle w:val="libFootnoteBoldChar"/>
          <w:rtl/>
        </w:rPr>
        <w:t>البحار</w:t>
      </w:r>
      <w:r w:rsidR="008A74EB" w:rsidRPr="00C9040A">
        <w:rPr>
          <w:rtl/>
        </w:rPr>
        <w:t xml:space="preserve"> ، ج 73 ، ص 284 ، ح 3.</w:t>
      </w:r>
    </w:p>
    <w:p w:rsidR="008A74EB" w:rsidRPr="00C9040A" w:rsidRDefault="006C577F" w:rsidP="004A4E41">
      <w:pPr>
        <w:pStyle w:val="libFootnote0"/>
        <w:rPr>
          <w:rtl/>
          <w:lang w:bidi="fa-IR"/>
        </w:rPr>
      </w:pPr>
      <w:r>
        <w:rPr>
          <w:rtl/>
        </w:rPr>
        <w:t>(4).</w:t>
      </w:r>
      <w:r w:rsidR="008A74EB" w:rsidRPr="00C9040A">
        <w:rPr>
          <w:rtl/>
        </w:rPr>
        <w:t xml:space="preserve"> في « بس » </w:t>
      </w:r>
      <w:r w:rsidR="008A74EB">
        <w:rPr>
          <w:rtl/>
        </w:rPr>
        <w:t xml:space="preserve">: </w:t>
      </w:r>
      <w:r w:rsidR="0084262C">
        <w:rPr>
          <w:rtl/>
        </w:rPr>
        <w:t>-</w:t>
      </w:r>
      <w:r w:rsidR="008A74EB" w:rsidRPr="00C9040A">
        <w:rPr>
          <w:rtl/>
        </w:rPr>
        <w:t xml:space="preserve"> « محمّد بن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الوسائل </w:t>
      </w:r>
      <w:r w:rsidR="008A74EB">
        <w:rPr>
          <w:rtl/>
        </w:rPr>
        <w:t xml:space="preserve">: </w:t>
      </w:r>
      <w:r w:rsidR="0084262C">
        <w:rPr>
          <w:rtl/>
        </w:rPr>
        <w:t>-</w:t>
      </w:r>
      <w:r w:rsidR="008A74EB" w:rsidRPr="00C9040A">
        <w:rPr>
          <w:rtl/>
        </w:rPr>
        <w:t xml:space="preserve"> « أبي »</w:t>
      </w:r>
      <w:r w:rsidR="008A74EB">
        <w:rPr>
          <w:rtl/>
        </w:rPr>
        <w:t>.</w:t>
      </w:r>
      <w:r w:rsidR="008A74EB" w:rsidRPr="00C9040A">
        <w:rPr>
          <w:rtl/>
        </w:rPr>
        <w:t xml:space="preserve"> وحبيب هذا ، هو حبيب بن أبي ثابت الأسَدي المترجم في مصادرنا ومصادر العامّة. راجع : </w:t>
      </w:r>
      <w:r w:rsidR="008A74EB" w:rsidRPr="00993B55">
        <w:rPr>
          <w:rStyle w:val="libFootnoteBoldChar"/>
          <w:rtl/>
        </w:rPr>
        <w:t>رجال البرقي</w:t>
      </w:r>
      <w:r w:rsidR="008A74EB" w:rsidRPr="00C9040A">
        <w:rPr>
          <w:rtl/>
        </w:rPr>
        <w:t xml:space="preserve"> ، ص 9 ؛ </w:t>
      </w:r>
      <w:r w:rsidR="008A74EB" w:rsidRPr="00993B55">
        <w:rPr>
          <w:rStyle w:val="libFootnoteBoldChar"/>
          <w:rtl/>
        </w:rPr>
        <w:t>رجال الطوسي</w:t>
      </w:r>
      <w:r w:rsidR="008A74EB" w:rsidRPr="00C9040A">
        <w:rPr>
          <w:rtl/>
        </w:rPr>
        <w:t xml:space="preserve"> ، ص 112 ، الرقم 1100 ؛ </w:t>
      </w:r>
      <w:r w:rsidR="008A74EB" w:rsidRPr="00993B55">
        <w:rPr>
          <w:rStyle w:val="libFootnoteBoldChar"/>
          <w:rtl/>
        </w:rPr>
        <w:t>تهذيب الكمال</w:t>
      </w:r>
      <w:r w:rsidR="008A74EB" w:rsidRPr="00C9040A">
        <w:rPr>
          <w:rtl/>
        </w:rPr>
        <w:t xml:space="preserve"> ، ج 5 ، ص 358 ، الرقم 1079.</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ب » وشرح المازندراني ومرآة العقول والبحار : « لم تدخل »</w:t>
      </w:r>
      <w:r w:rsidR="008A74EB">
        <w:rPr>
          <w:rtl/>
        </w:rPr>
        <w:t>.</w:t>
      </w:r>
    </w:p>
    <w:p w:rsidR="008A74EB" w:rsidRPr="00C9040A" w:rsidRDefault="006C577F" w:rsidP="004A4E41">
      <w:pPr>
        <w:pStyle w:val="libFootnote0"/>
        <w:rPr>
          <w:rtl/>
          <w:lang w:bidi="fa-IR"/>
        </w:rPr>
      </w:pPr>
      <w:r>
        <w:rPr>
          <w:rtl/>
        </w:rPr>
        <w:t>(7).</w:t>
      </w:r>
      <w:r w:rsidR="0026738C">
        <w:rPr>
          <w:rtl/>
        </w:rPr>
        <w:t xml:space="preserve"> في « ب » : « إل</w:t>
      </w:r>
      <w:r w:rsidR="0026738C">
        <w:rPr>
          <w:rFonts w:hint="cs"/>
          <w:rtl/>
        </w:rPr>
        <w:t>ّ</w:t>
      </w:r>
      <w:r w:rsidR="0026738C">
        <w:rPr>
          <w:rtl/>
        </w:rPr>
        <w:t>ا</w:t>
      </w:r>
      <w:r w:rsidR="008A74EB" w:rsidRPr="00C9040A">
        <w:rPr>
          <w:rtl/>
        </w:rPr>
        <w:t xml:space="preserve">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 السَّلَى » : الجِلد الرقيق الذي يخرج فيه الولد من المواشي من بطن ا</w:t>
      </w:r>
      <w:r w:rsidR="0026738C">
        <w:rPr>
          <w:rFonts w:hint="cs"/>
          <w:rtl/>
        </w:rPr>
        <w:t>ُ</w:t>
      </w:r>
      <w:r w:rsidR="008A74EB" w:rsidRPr="00C9040A">
        <w:rPr>
          <w:rtl/>
        </w:rPr>
        <w:t>مّه ملفوفاً فيه</w:t>
      </w:r>
      <w:r w:rsidR="0026738C">
        <w:rPr>
          <w:rtl/>
        </w:rPr>
        <w:t xml:space="preserve"> ، تنزع من الفصيل ساعةيولد وإل</w:t>
      </w:r>
      <w:r w:rsidR="0026738C">
        <w:rPr>
          <w:rFonts w:hint="cs"/>
          <w:rtl/>
        </w:rPr>
        <w:t>ّ</w:t>
      </w:r>
      <w:r w:rsidR="0026738C">
        <w:rPr>
          <w:rtl/>
        </w:rPr>
        <w:t>ا</w:t>
      </w:r>
      <w:r w:rsidR="008A74EB" w:rsidRPr="00C9040A">
        <w:rPr>
          <w:rtl/>
        </w:rPr>
        <w:t xml:space="preserve"> قَتَلته. والجمع : أسلاء. </w:t>
      </w:r>
      <w:r w:rsidR="008A74EB" w:rsidRPr="00993B55">
        <w:rPr>
          <w:rStyle w:val="libFootnoteBoldChar"/>
          <w:rtl/>
        </w:rPr>
        <w:t>النهاية</w:t>
      </w:r>
      <w:r w:rsidR="008A74EB" w:rsidRPr="00C9040A">
        <w:rPr>
          <w:rtl/>
        </w:rPr>
        <w:t xml:space="preserve"> ، ج 2 ، ص 396 ؛ </w:t>
      </w:r>
      <w:r w:rsidR="008A74EB" w:rsidRPr="00993B55">
        <w:rPr>
          <w:rStyle w:val="libFootnoteBoldChar"/>
          <w:rtl/>
        </w:rPr>
        <w:t>مجمع البحرين</w:t>
      </w:r>
      <w:r w:rsidR="008A74EB" w:rsidRPr="00C9040A">
        <w:rPr>
          <w:rtl/>
        </w:rPr>
        <w:t xml:space="preserve"> ، ج 1 ، ص 222 ( سلى )</w:t>
      </w:r>
      <w:r w:rsidR="008A74EB">
        <w:rPr>
          <w:rtl/>
        </w:rPr>
        <w:t>.</w:t>
      </w:r>
      <w:r w:rsidR="008A74EB" w:rsidRPr="00C9040A">
        <w:rPr>
          <w:rtl/>
        </w:rPr>
        <w:t xml:space="preserve"> وقد مرّ قصّة السَّلى في </w:t>
      </w:r>
      <w:r w:rsidR="008A74EB" w:rsidRPr="00993B55">
        <w:rPr>
          <w:rStyle w:val="libFootnoteBoldChar"/>
          <w:rtl/>
        </w:rPr>
        <w:t>الكافي</w:t>
      </w:r>
      <w:r w:rsidR="008A74EB" w:rsidRPr="00C9040A">
        <w:rPr>
          <w:rtl/>
        </w:rPr>
        <w:t xml:space="preserve"> ، ح 1221.</w:t>
      </w:r>
    </w:p>
    <w:p w:rsidR="008A74EB" w:rsidRPr="00C9040A" w:rsidRDefault="006C577F" w:rsidP="004A4E41">
      <w:pPr>
        <w:pStyle w:val="libFootnote0"/>
        <w:rPr>
          <w:rtl/>
          <w:lang w:bidi="fa-IR"/>
        </w:rPr>
      </w:pPr>
      <w:r>
        <w:rPr>
          <w:rtl/>
        </w:rPr>
        <w:t>(9).</w:t>
      </w:r>
      <w:r w:rsidR="008A74EB" w:rsidRPr="00C9040A">
        <w:rPr>
          <w:rtl/>
        </w:rPr>
        <w:t xml:space="preserve"> </w:t>
      </w:r>
      <w:r w:rsidR="008A74EB" w:rsidRPr="00993B55">
        <w:rPr>
          <w:rStyle w:val="libFootnoteBoldChar"/>
          <w:rtl/>
        </w:rPr>
        <w:t>الوافي</w:t>
      </w:r>
      <w:r w:rsidR="008A74EB" w:rsidRPr="00C9040A">
        <w:rPr>
          <w:rtl/>
        </w:rPr>
        <w:t xml:space="preserve"> ، ج 5 ، ص 868 ، ح 3179 ؛ </w:t>
      </w:r>
      <w:r w:rsidR="008A74EB" w:rsidRPr="00993B55">
        <w:rPr>
          <w:rStyle w:val="libFootnoteBoldChar"/>
          <w:rtl/>
        </w:rPr>
        <w:t>الوسائل</w:t>
      </w:r>
      <w:r w:rsidR="008A74EB" w:rsidRPr="00C9040A">
        <w:rPr>
          <w:rtl/>
        </w:rPr>
        <w:t xml:space="preserve"> ، ج 15 ، ص 371 ، ح 20775 ؛ </w:t>
      </w:r>
      <w:r w:rsidR="008A74EB" w:rsidRPr="00993B55">
        <w:rPr>
          <w:rStyle w:val="libFootnoteBoldChar"/>
          <w:rtl/>
        </w:rPr>
        <w:t>البحار</w:t>
      </w:r>
      <w:r w:rsidR="008A74EB" w:rsidRPr="00C9040A">
        <w:rPr>
          <w:rtl/>
        </w:rPr>
        <w:t xml:space="preserve"> ، ج 22 ، ص 283 ، ح 45 ؛ وج 73 ، ص 285 ، ح 4.</w:t>
      </w:r>
    </w:p>
    <w:p w:rsidR="008A74EB" w:rsidRPr="00C9040A" w:rsidRDefault="006C577F" w:rsidP="004A4E41">
      <w:pPr>
        <w:pStyle w:val="libFootnote0"/>
        <w:rPr>
          <w:rtl/>
          <w:lang w:bidi="fa-IR"/>
        </w:rPr>
      </w:pPr>
      <w:r>
        <w:rPr>
          <w:rtl/>
        </w:rPr>
        <w:t>(10).</w:t>
      </w:r>
      <w:r w:rsidR="008A74EB" w:rsidRPr="00C9040A">
        <w:rPr>
          <w:rtl/>
        </w:rPr>
        <w:t xml:space="preserve"> الضمير راجع إلى أحمد بن محمّد بن خالد المذكور في السند السابق.</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فِي عِلْمِ اللهِ أَنَّهُ لَيْسَ مِنْهُمْ ، فَاسْتَخْرَجَ مَا فِي نَفْسِهِ </w:t>
      </w:r>
      <w:r w:rsidR="006C577F" w:rsidRPr="006C577F">
        <w:rPr>
          <w:rStyle w:val="libFootnotenumChar"/>
          <w:rtl/>
        </w:rPr>
        <w:t>(1)</w:t>
      </w:r>
      <w:r w:rsidRPr="00C9040A">
        <w:rPr>
          <w:rtl/>
          <w:lang w:bidi="fa-IR"/>
        </w:rPr>
        <w:t xml:space="preserve"> بِالْحَمِيَّةِ وَالْغَضَبِ ، فَقَالَ : </w:t>
      </w:r>
      <w:r w:rsidRPr="0003660B">
        <w:rPr>
          <w:rStyle w:val="libAlaemChar"/>
          <w:rtl/>
        </w:rPr>
        <w:t>(</w:t>
      </w:r>
      <w:r w:rsidRPr="006A2246">
        <w:rPr>
          <w:rStyle w:val="libAieChar"/>
          <w:rtl/>
        </w:rPr>
        <w:t xml:space="preserve"> خَلَقْتَنِي مِنْ نارٍ وَخَلَقْتَهُ مِنْ طِينٍ </w:t>
      </w:r>
      <w:r w:rsidRPr="0003660B">
        <w:rPr>
          <w:rStyle w:val="libAlaemChar"/>
          <w:rtl/>
        </w:rPr>
        <w:t>)</w:t>
      </w:r>
      <w:r w:rsidRPr="00C9040A">
        <w:rPr>
          <w:rtl/>
          <w:lang w:bidi="fa-IR"/>
        </w:rPr>
        <w:t xml:space="preserve"> </w:t>
      </w:r>
      <w:r w:rsidR="006C577F" w:rsidRPr="006C577F">
        <w:rPr>
          <w:rStyle w:val="libFootnotenumChar"/>
          <w:rtl/>
        </w:rPr>
        <w:t>(2)</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304F34">
        <w:rPr>
          <w:rtl/>
        </w:rPr>
        <w:t>2559</w:t>
      </w:r>
      <w:r w:rsidRPr="00261CB0">
        <w:rPr>
          <w:rStyle w:val="libBold2Char"/>
          <w:rtl/>
        </w:rPr>
        <w:t xml:space="preserve"> / 7.</w:t>
      </w:r>
      <w:r w:rsidRPr="00C9040A">
        <w:rPr>
          <w:rtl/>
          <w:lang w:bidi="fa-IR"/>
        </w:rPr>
        <w:t xml:space="preserve"> عَلِيُّ بْنُ إِبْرَاهِيمَ ، عَنْ أَبِيهِ وَعَلِيِّ بْنِ مُحَمَّدٍ الْقَاسَانِيِّ </w:t>
      </w:r>
      <w:r w:rsidR="006C577F" w:rsidRPr="006C577F">
        <w:rPr>
          <w:rStyle w:val="libFootnotenumChar"/>
          <w:rtl/>
        </w:rPr>
        <w:t>(4)</w:t>
      </w:r>
      <w:r w:rsidRPr="00C9040A">
        <w:rPr>
          <w:rtl/>
          <w:lang w:bidi="fa-IR"/>
        </w:rPr>
        <w:t xml:space="preserve"> ، عَنِ الْقَاسِمِ بْنِ مُحَمَّدٍ ، عَنْ الْمِنْقَرِيِّ ، عَنْ عَبْدِ الرَّزَّاقِ ، عَنْ مَعْمَرٍ ، عَنِ الزُّهْرِيِّ ، قَالَ :</w:t>
      </w:r>
    </w:p>
    <w:p w:rsidR="008A74EB" w:rsidRPr="00C9040A" w:rsidRDefault="008A74EB" w:rsidP="008A74EB">
      <w:pPr>
        <w:pStyle w:val="libNormal"/>
        <w:rPr>
          <w:rtl/>
          <w:lang w:bidi="fa-IR"/>
        </w:rPr>
      </w:pPr>
      <w:r w:rsidRPr="00C9040A">
        <w:rPr>
          <w:rtl/>
          <w:lang w:bidi="fa-IR"/>
        </w:rPr>
        <w:t xml:space="preserve">سُئِلَ عَلِيُّ بْنُ الْحُسَيْنِ </w:t>
      </w:r>
      <w:r w:rsidRPr="0003660B">
        <w:rPr>
          <w:rStyle w:val="libAlaemChar"/>
          <w:rtl/>
        </w:rPr>
        <w:t>عليهما‌السلام</w:t>
      </w:r>
      <w:r w:rsidRPr="00C9040A">
        <w:rPr>
          <w:rtl/>
          <w:lang w:bidi="fa-IR"/>
        </w:rPr>
        <w:t xml:space="preserve"> عَنِ الْعَصَبِيَّةِ ، فَقَالَ : « الْعَصَبِيَّةُ</w:t>
      </w:r>
      <w:r>
        <w:rPr>
          <w:rtl/>
          <w:lang w:bidi="fa-IR"/>
        </w:rPr>
        <w:t xml:space="preserve"> </w:t>
      </w:r>
      <w:r w:rsidR="0084262C">
        <w:rPr>
          <w:rtl/>
          <w:lang w:bidi="fa-IR"/>
        </w:rPr>
        <w:t>-</w:t>
      </w:r>
      <w:r>
        <w:rPr>
          <w:rtl/>
          <w:lang w:bidi="fa-IR"/>
        </w:rPr>
        <w:t xml:space="preserve"> </w:t>
      </w:r>
      <w:r w:rsidRPr="00C9040A">
        <w:rPr>
          <w:rtl/>
          <w:lang w:bidi="fa-IR"/>
        </w:rPr>
        <w:t xml:space="preserve">الَّتِي يَأْثَمُ عَلَيْهَا </w:t>
      </w:r>
      <w:r w:rsidR="006C577F" w:rsidRPr="006C577F">
        <w:rPr>
          <w:rStyle w:val="libFootnotenumChar"/>
          <w:rtl/>
        </w:rPr>
        <w:t>(5)</w:t>
      </w:r>
      <w:r w:rsidRPr="00C9040A">
        <w:rPr>
          <w:rtl/>
          <w:lang w:bidi="fa-IR"/>
        </w:rPr>
        <w:t xml:space="preserve"> صَاحِبُهَا</w:t>
      </w:r>
      <w:r>
        <w:rPr>
          <w:rtl/>
          <w:lang w:bidi="fa-IR"/>
        </w:rPr>
        <w:t xml:space="preserve"> </w:t>
      </w:r>
      <w:r w:rsidR="0084262C">
        <w:rPr>
          <w:rtl/>
          <w:lang w:bidi="fa-IR"/>
        </w:rPr>
        <w:t>-</w:t>
      </w:r>
      <w:r>
        <w:rPr>
          <w:rtl/>
          <w:lang w:bidi="fa-IR"/>
        </w:rPr>
        <w:t xml:space="preserve"> </w:t>
      </w:r>
      <w:r w:rsidRPr="00C9040A">
        <w:rPr>
          <w:rtl/>
          <w:lang w:bidi="fa-IR"/>
        </w:rPr>
        <w:t xml:space="preserve">أَنْ يَرَى الرَّجُلُ شِرَارَ قَوْمِهِ خَيْراً مِنْ خِيَارِ </w:t>
      </w:r>
      <w:r w:rsidR="006C577F" w:rsidRPr="006C577F">
        <w:rPr>
          <w:rStyle w:val="libFootnotenumChar"/>
          <w:rtl/>
        </w:rPr>
        <w:t>(6)</w:t>
      </w:r>
      <w:r w:rsidRPr="005B567D">
        <w:rPr>
          <w:rStyle w:val="libFootnotenumChar"/>
          <w:rtl/>
        </w:rPr>
        <w:t xml:space="preserve"> </w:t>
      </w:r>
      <w:r w:rsidRPr="00C9040A">
        <w:rPr>
          <w:rtl/>
          <w:lang w:bidi="fa-IR"/>
        </w:rPr>
        <w:t xml:space="preserve">قَوْمٍ آخَرِينَ ، وَلَيْسَ مِنَ الْعَصَبِيَّةِ أَنْ يُحِبَّ </w:t>
      </w:r>
      <w:r w:rsidR="006C577F" w:rsidRPr="006C577F">
        <w:rPr>
          <w:rStyle w:val="libFootnotenumChar"/>
          <w:rtl/>
        </w:rPr>
        <w:t>(7)</w:t>
      </w:r>
      <w:r w:rsidRPr="00C9040A">
        <w:rPr>
          <w:rtl/>
          <w:lang w:bidi="fa-IR"/>
        </w:rPr>
        <w:t xml:space="preserve"> الرَّجُلُ قَوْمَهُ ، وَلكِنْ مِنَ الْعَصَبِيَّةِ أَنْ يُعِينَ </w:t>
      </w:r>
      <w:r w:rsidR="006C577F" w:rsidRPr="006C577F">
        <w:rPr>
          <w:rStyle w:val="libFootnotenumChar"/>
          <w:rtl/>
        </w:rPr>
        <w:t>(8)</w:t>
      </w:r>
      <w:r w:rsidRPr="00C9040A">
        <w:rPr>
          <w:rtl/>
          <w:lang w:bidi="fa-IR"/>
        </w:rPr>
        <w:t xml:space="preserve"> قَوْمَهُ عَلَى </w:t>
      </w:r>
      <w:r w:rsidR="006C577F" w:rsidRPr="006C577F">
        <w:rPr>
          <w:rStyle w:val="libFootnotenumChar"/>
          <w:rtl/>
        </w:rPr>
        <w:t>(9)</w:t>
      </w:r>
      <w:r w:rsidRPr="00C9040A">
        <w:rPr>
          <w:rtl/>
          <w:lang w:bidi="fa-IR"/>
        </w:rPr>
        <w:t xml:space="preserve"> الظُّلْمِ »</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Heading2Center"/>
        <w:rPr>
          <w:rtl/>
          <w:lang w:bidi="fa-IR"/>
        </w:rPr>
      </w:pPr>
      <w:bookmarkStart w:id="382" w:name="_Toc343795715"/>
      <w:bookmarkStart w:id="383" w:name="_Toc459810839"/>
      <w:bookmarkStart w:id="384" w:name="_Toc35348745"/>
      <w:r w:rsidRPr="00C9040A">
        <w:rPr>
          <w:rtl/>
          <w:lang w:bidi="fa-IR"/>
        </w:rPr>
        <w:t>124</w:t>
      </w:r>
      <w:r>
        <w:rPr>
          <w:rtl/>
          <w:lang w:bidi="fa-IR"/>
        </w:rPr>
        <w:t xml:space="preserve"> </w:t>
      </w:r>
      <w:r w:rsidR="0084262C">
        <w:rPr>
          <w:rtl/>
          <w:lang w:bidi="fa-IR"/>
        </w:rPr>
        <w:t>-</w:t>
      </w:r>
      <w:r>
        <w:rPr>
          <w:rtl/>
          <w:lang w:bidi="fa-IR"/>
        </w:rPr>
        <w:t xml:space="preserve"> </w:t>
      </w:r>
      <w:r w:rsidRPr="00C9040A">
        <w:rPr>
          <w:rtl/>
          <w:lang w:bidi="fa-IR"/>
        </w:rPr>
        <w:t>بَابُ الْكِبْرِ‌</w:t>
      </w:r>
      <w:bookmarkEnd w:id="382"/>
      <w:bookmarkEnd w:id="383"/>
      <w:bookmarkEnd w:id="384"/>
    </w:p>
    <w:p w:rsidR="008A74EB" w:rsidRPr="00C9040A" w:rsidRDefault="008A74EB" w:rsidP="008A74EB">
      <w:pPr>
        <w:pStyle w:val="libNormal"/>
        <w:rPr>
          <w:rtl/>
          <w:lang w:bidi="fa-IR"/>
        </w:rPr>
      </w:pPr>
      <w:r w:rsidRPr="00304F34">
        <w:rPr>
          <w:rtl/>
        </w:rPr>
        <w:t>2560</w:t>
      </w:r>
      <w:r w:rsidRPr="00261CB0">
        <w:rPr>
          <w:rStyle w:val="libBold2Char"/>
          <w:rtl/>
        </w:rPr>
        <w:t xml:space="preserve"> / 1.</w:t>
      </w:r>
      <w:r w:rsidRPr="00C9040A">
        <w:rPr>
          <w:rtl/>
          <w:lang w:bidi="fa-IR"/>
        </w:rPr>
        <w:t xml:space="preserve"> عَلِيُّ بْنُ إِبْرَاهِيمَ </w:t>
      </w:r>
      <w:r w:rsidR="006C577F" w:rsidRPr="006C577F">
        <w:rPr>
          <w:rStyle w:val="libFootnotenumChar"/>
          <w:rtl/>
        </w:rPr>
        <w:t>(11)</w:t>
      </w:r>
      <w:r w:rsidRPr="00C9040A">
        <w:rPr>
          <w:rtl/>
          <w:lang w:bidi="fa-IR"/>
        </w:rPr>
        <w:t xml:space="preserve"> ، عَنْ مُحَمَّدِ بْنِ عِيسى ، عَنْ يُونُسَ ، عَنْ أَبَانٍ ، عَنْ حُكَيْمٍ </w:t>
      </w:r>
      <w:r w:rsidR="006C577F" w:rsidRPr="006C577F">
        <w:rPr>
          <w:rStyle w:val="libFootnotenumChar"/>
          <w:rtl/>
        </w:rPr>
        <w:t>(12)</w:t>
      </w:r>
      <w:r w:rsidRPr="00C9040A">
        <w:rPr>
          <w:rtl/>
          <w:lang w:bidi="fa-IR"/>
        </w:rPr>
        <w:t xml:space="preserve"> ، قَالَ :</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0B051B" w:rsidTr="000B051B">
        <w:tc>
          <w:tcPr>
            <w:tcW w:w="4006" w:type="dxa"/>
          </w:tcPr>
          <w:p w:rsidR="000B051B" w:rsidRDefault="000B051B" w:rsidP="004A4E41">
            <w:pPr>
              <w:pStyle w:val="libFootnote0"/>
              <w:rPr>
                <w:rtl/>
              </w:rPr>
            </w:pPr>
            <w:r>
              <w:rPr>
                <w:rtl/>
              </w:rPr>
              <w:t xml:space="preserve">(1). </w:t>
            </w:r>
            <w:r w:rsidRPr="00C9040A">
              <w:rPr>
                <w:rtl/>
              </w:rPr>
              <w:t>في حاشية « ج » : « قلبه »</w:t>
            </w:r>
            <w:r>
              <w:rPr>
                <w:rtl/>
              </w:rPr>
              <w:t>.</w:t>
            </w:r>
          </w:p>
        </w:tc>
        <w:tc>
          <w:tcPr>
            <w:tcW w:w="4006" w:type="dxa"/>
          </w:tcPr>
          <w:p w:rsidR="000B051B" w:rsidRDefault="000B051B" w:rsidP="004A4E41">
            <w:pPr>
              <w:pStyle w:val="libFootnote0"/>
              <w:rPr>
                <w:rtl/>
              </w:rPr>
            </w:pPr>
            <w:r>
              <w:rPr>
                <w:rtl/>
              </w:rPr>
              <w:t xml:space="preserve">(2). </w:t>
            </w:r>
            <w:r w:rsidRPr="00C9040A">
              <w:rPr>
                <w:rtl/>
              </w:rPr>
              <w:t xml:space="preserve">الأعراف </w:t>
            </w:r>
            <w:r>
              <w:rPr>
                <w:rtl/>
              </w:rPr>
              <w:t>(7)</w:t>
            </w:r>
            <w:r w:rsidRPr="00C9040A">
              <w:rPr>
                <w:rtl/>
              </w:rPr>
              <w:t>: 12 ؛ ص (38) : 76.</w:t>
            </w:r>
          </w:p>
        </w:tc>
      </w:tr>
    </w:tbl>
    <w:p w:rsidR="008A74EB" w:rsidRPr="00C9040A" w:rsidRDefault="006C577F" w:rsidP="0057326C">
      <w:pPr>
        <w:pStyle w:val="libFootnote0"/>
        <w:rPr>
          <w:rtl/>
          <w:lang w:bidi="fa-IR"/>
        </w:rPr>
      </w:pPr>
      <w:r>
        <w:rPr>
          <w:rtl/>
        </w:rPr>
        <w:t>(3).</w:t>
      </w:r>
      <w:r w:rsidR="008A74EB" w:rsidRPr="00C9040A">
        <w:rPr>
          <w:rtl/>
        </w:rPr>
        <w:t xml:space="preserve"> </w:t>
      </w:r>
      <w:r w:rsidR="008A74EB" w:rsidRPr="00993B55">
        <w:rPr>
          <w:rStyle w:val="libFootnoteBoldChar"/>
          <w:rtl/>
        </w:rPr>
        <w:t>الزهد</w:t>
      </w:r>
      <w:r w:rsidR="008A74EB" w:rsidRPr="00C9040A">
        <w:rPr>
          <w:rtl/>
        </w:rPr>
        <w:t xml:space="preserve"> ، ص 89 ، ذيل ح 62 ، عن فضالة بن أيّوب ، إلى قوله : « بالحميّة والغضب » ، مع اختلاف يسير. </w:t>
      </w:r>
      <w:r w:rsidR="008A74EB" w:rsidRPr="00993B55">
        <w:rPr>
          <w:rStyle w:val="libFootnoteBoldChar"/>
          <w:rtl/>
        </w:rPr>
        <w:t>تفسير العيّاشي</w:t>
      </w:r>
      <w:r w:rsidR="008A74EB" w:rsidRPr="00C9040A">
        <w:rPr>
          <w:rtl/>
        </w:rPr>
        <w:t xml:space="preserve"> ، ج 2 ، ص 9 ، ح 5 ، عن داود بن فرقد</w:t>
      </w:r>
      <w:r w:rsidR="0057326C">
        <w:rPr>
          <w:rFonts w:hint="cs"/>
          <w:rtl/>
        </w:rPr>
        <w:t>.</w:t>
      </w:r>
      <w:r w:rsidR="008A74EB" w:rsidRPr="00993B55">
        <w:rPr>
          <w:rStyle w:val="libFootnoteBoldChar"/>
          <w:rtl/>
        </w:rPr>
        <w:t>الوافي</w:t>
      </w:r>
      <w:r w:rsidR="008A74EB" w:rsidRPr="00C9040A">
        <w:rPr>
          <w:rtl/>
        </w:rPr>
        <w:t xml:space="preserve"> ، ج 5 ، ص 867 ، ح 3177 ؛ </w:t>
      </w:r>
      <w:r w:rsidR="008A74EB" w:rsidRPr="00993B55">
        <w:rPr>
          <w:rStyle w:val="libFootnoteBoldChar"/>
          <w:rtl/>
        </w:rPr>
        <w:t>الوسائل</w:t>
      </w:r>
      <w:r w:rsidR="00D954AE">
        <w:rPr>
          <w:rtl/>
        </w:rPr>
        <w:t xml:space="preserve"> ، ج 15،ص372،ح 20776</w:t>
      </w:r>
      <w:r w:rsidR="008A74EB" w:rsidRPr="00C9040A">
        <w:rPr>
          <w:rtl/>
        </w:rPr>
        <w:t>؛</w:t>
      </w:r>
      <w:r w:rsidR="008A74EB" w:rsidRPr="00993B55">
        <w:rPr>
          <w:rStyle w:val="libFootnoteBoldChar"/>
          <w:rtl/>
        </w:rPr>
        <w:t>البحار</w:t>
      </w:r>
      <w:r w:rsidR="00D954AE">
        <w:rPr>
          <w:rtl/>
        </w:rPr>
        <w:t>،ج6،</w:t>
      </w:r>
      <w:r w:rsidR="008A74EB" w:rsidRPr="00C9040A">
        <w:rPr>
          <w:rtl/>
        </w:rPr>
        <w:t>ص 25</w:t>
      </w:r>
      <w:r w:rsidR="00D954AE">
        <w:rPr>
          <w:rtl/>
        </w:rPr>
        <w:t>،ح 13</w:t>
      </w:r>
      <w:r w:rsidR="008A74EB" w:rsidRPr="00C9040A">
        <w:rPr>
          <w:rtl/>
        </w:rPr>
        <w:t>.</w:t>
      </w:r>
      <w:r w:rsidR="0057326C">
        <w:rPr>
          <w:rFonts w:hint="cs"/>
          <w:rtl/>
        </w:rPr>
        <w:t xml:space="preserve">   </w:t>
      </w:r>
      <w:r>
        <w:rPr>
          <w:rtl/>
        </w:rPr>
        <w:t>(4).</w:t>
      </w:r>
      <w:r w:rsidR="008A74EB" w:rsidRPr="00C9040A">
        <w:rPr>
          <w:rtl/>
        </w:rPr>
        <w:t xml:space="preserve"> في « ز ، </w:t>
      </w:r>
      <w:r w:rsidR="006D3162">
        <w:rPr>
          <w:rtl/>
        </w:rPr>
        <w:t xml:space="preserve">ه </w:t>
      </w:r>
      <w:r w:rsidR="008A74EB" w:rsidRPr="00C9040A">
        <w:rPr>
          <w:rtl/>
        </w:rPr>
        <w:t>» : « القاشاني »</w:t>
      </w:r>
      <w:r w:rsidR="008A74EB">
        <w:rPr>
          <w:rtl/>
        </w:rPr>
        <w:t>.</w:t>
      </w:r>
    </w:p>
    <w:tbl>
      <w:tblPr>
        <w:tblStyle w:val="TableGrid"/>
        <w:bidiVisual/>
        <w:tblW w:w="0" w:type="auto"/>
        <w:tblLook w:val="04A0" w:firstRow="1" w:lastRow="0" w:firstColumn="1" w:lastColumn="0" w:noHBand="0" w:noVBand="1"/>
      </w:tblPr>
      <w:tblGrid>
        <w:gridCol w:w="4006"/>
        <w:gridCol w:w="4006"/>
      </w:tblGrid>
      <w:tr w:rsidR="0057326C" w:rsidTr="0057326C">
        <w:tc>
          <w:tcPr>
            <w:tcW w:w="4006" w:type="dxa"/>
          </w:tcPr>
          <w:p w:rsidR="0057326C" w:rsidRDefault="0057326C" w:rsidP="004A4E41">
            <w:pPr>
              <w:pStyle w:val="libFootnote0"/>
              <w:rPr>
                <w:rtl/>
              </w:rPr>
            </w:pPr>
            <w:r>
              <w:rPr>
                <w:rtl/>
              </w:rPr>
              <w:t>(5).</w:t>
            </w:r>
            <w:r w:rsidRPr="00C9040A">
              <w:rPr>
                <w:rtl/>
              </w:rPr>
              <w:t xml:space="preserve"> في « ب » : « عليها يأثم »</w:t>
            </w:r>
            <w:r>
              <w:rPr>
                <w:rtl/>
              </w:rPr>
              <w:t>.</w:t>
            </w:r>
          </w:p>
        </w:tc>
        <w:tc>
          <w:tcPr>
            <w:tcW w:w="4006" w:type="dxa"/>
          </w:tcPr>
          <w:p w:rsidR="0057326C" w:rsidRDefault="0057326C" w:rsidP="004A4E41">
            <w:pPr>
              <w:pStyle w:val="libFootnote0"/>
              <w:rPr>
                <w:rtl/>
              </w:rPr>
            </w:pPr>
            <w:r>
              <w:rPr>
                <w:rtl/>
              </w:rPr>
              <w:t xml:space="preserve">(6). </w:t>
            </w:r>
            <w:r w:rsidRPr="00C9040A">
              <w:rPr>
                <w:rtl/>
              </w:rPr>
              <w:t xml:space="preserve">في « </w:t>
            </w:r>
            <w:r>
              <w:rPr>
                <w:rtl/>
              </w:rPr>
              <w:t xml:space="preserve">ه </w:t>
            </w:r>
            <w:r w:rsidRPr="00C9040A">
              <w:rPr>
                <w:rtl/>
              </w:rPr>
              <w:t xml:space="preserve">» </w:t>
            </w:r>
            <w:r>
              <w:rPr>
                <w:rtl/>
              </w:rPr>
              <w:t>: -</w:t>
            </w:r>
            <w:r w:rsidRPr="00C9040A">
              <w:rPr>
                <w:rtl/>
              </w:rPr>
              <w:t xml:space="preserve"> « خيار »</w:t>
            </w:r>
            <w:r>
              <w:rPr>
                <w:rtl/>
              </w:rPr>
              <w:t>.</w:t>
            </w:r>
          </w:p>
        </w:tc>
      </w:tr>
      <w:tr w:rsidR="0057326C" w:rsidTr="0057326C">
        <w:tc>
          <w:tcPr>
            <w:tcW w:w="4006" w:type="dxa"/>
          </w:tcPr>
          <w:p w:rsidR="0057326C" w:rsidRDefault="0057326C" w:rsidP="004A4E41">
            <w:pPr>
              <w:pStyle w:val="libFootnote0"/>
              <w:rPr>
                <w:rtl/>
              </w:rPr>
            </w:pPr>
            <w:r>
              <w:rPr>
                <w:rtl/>
              </w:rPr>
              <w:t>(7).</w:t>
            </w:r>
            <w:r w:rsidRPr="00C9040A">
              <w:rPr>
                <w:rtl/>
              </w:rPr>
              <w:t xml:space="preserve"> في « </w:t>
            </w:r>
            <w:r>
              <w:rPr>
                <w:rtl/>
              </w:rPr>
              <w:t xml:space="preserve">ه </w:t>
            </w:r>
            <w:r w:rsidRPr="00C9040A">
              <w:rPr>
                <w:rtl/>
              </w:rPr>
              <w:t>» : « أن يعين »</w:t>
            </w:r>
            <w:r>
              <w:rPr>
                <w:rtl/>
              </w:rPr>
              <w:t>.</w:t>
            </w:r>
          </w:p>
        </w:tc>
        <w:tc>
          <w:tcPr>
            <w:tcW w:w="4006" w:type="dxa"/>
          </w:tcPr>
          <w:p w:rsidR="0057326C" w:rsidRDefault="0057326C" w:rsidP="004A4E41">
            <w:pPr>
              <w:pStyle w:val="libFootnote0"/>
              <w:rPr>
                <w:rtl/>
              </w:rPr>
            </w:pPr>
            <w:r>
              <w:rPr>
                <w:rtl/>
              </w:rPr>
              <w:t>(8).</w:t>
            </w:r>
            <w:r w:rsidRPr="00C9040A">
              <w:rPr>
                <w:rtl/>
              </w:rPr>
              <w:t xml:space="preserve"> في الوسائل : + « الرجل »</w:t>
            </w:r>
            <w:r>
              <w:rPr>
                <w:rtl/>
              </w:rPr>
              <w:t>.</w:t>
            </w:r>
          </w:p>
        </w:tc>
      </w:tr>
    </w:tbl>
    <w:p w:rsidR="008A74EB" w:rsidRPr="00C9040A" w:rsidRDefault="006C577F" w:rsidP="004A4E41">
      <w:pPr>
        <w:pStyle w:val="libFootnote0"/>
        <w:rPr>
          <w:rtl/>
          <w:lang w:bidi="fa-IR"/>
        </w:rPr>
      </w:pPr>
      <w:r>
        <w:rPr>
          <w:rtl/>
        </w:rPr>
        <w:t>(9).</w:t>
      </w:r>
      <w:r w:rsidR="008A74EB" w:rsidRPr="00C9040A">
        <w:rPr>
          <w:rtl/>
        </w:rPr>
        <w:t xml:space="preserve"> في « ص » : « عن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w:t>
      </w:r>
      <w:r w:rsidR="008A74EB" w:rsidRPr="00993B55">
        <w:rPr>
          <w:rStyle w:val="libFootnoteBoldChar"/>
          <w:rtl/>
        </w:rPr>
        <w:t>الوافي</w:t>
      </w:r>
      <w:r w:rsidR="008A74EB" w:rsidRPr="00C9040A">
        <w:rPr>
          <w:rtl/>
        </w:rPr>
        <w:t xml:space="preserve"> ، ج 5 ، ص 868 ، ح 3178 ؛ </w:t>
      </w:r>
      <w:r w:rsidR="008A74EB" w:rsidRPr="00993B55">
        <w:rPr>
          <w:rStyle w:val="libFootnoteBoldChar"/>
          <w:rtl/>
        </w:rPr>
        <w:t>الوسائل</w:t>
      </w:r>
      <w:r w:rsidR="008A74EB" w:rsidRPr="00C9040A">
        <w:rPr>
          <w:rtl/>
        </w:rPr>
        <w:t xml:space="preserve"> ، ج 15 ، ص 372 ، ح 20778 ؛ </w:t>
      </w:r>
      <w:r w:rsidR="008A74EB" w:rsidRPr="00993B55">
        <w:rPr>
          <w:rStyle w:val="libFootnoteBoldChar"/>
          <w:rtl/>
        </w:rPr>
        <w:t>البحار</w:t>
      </w:r>
      <w:r w:rsidR="008A74EB" w:rsidRPr="00C9040A">
        <w:rPr>
          <w:rtl/>
        </w:rPr>
        <w:t xml:space="preserve"> ، ج 73 ، ص 288 ، ح 6.</w:t>
      </w:r>
    </w:p>
    <w:p w:rsidR="008A74EB" w:rsidRPr="00C9040A" w:rsidRDefault="006C577F" w:rsidP="004A4E41">
      <w:pPr>
        <w:pStyle w:val="libFootnote0"/>
        <w:rPr>
          <w:rtl/>
          <w:lang w:bidi="fa-IR"/>
        </w:rPr>
      </w:pPr>
      <w:r>
        <w:rPr>
          <w:rtl/>
        </w:rPr>
        <w:t>(11).</w:t>
      </w:r>
      <w:r w:rsidR="008A74EB" w:rsidRPr="00C9040A">
        <w:rPr>
          <w:rtl/>
        </w:rPr>
        <w:t xml:space="preserve"> في البحار : + « عن أبيه »</w:t>
      </w:r>
      <w:r w:rsidR="008A74EB">
        <w:rPr>
          <w:rtl/>
        </w:rPr>
        <w:t>.</w:t>
      </w:r>
      <w:r w:rsidR="008A74EB" w:rsidRPr="00C9040A">
        <w:rPr>
          <w:rtl/>
        </w:rPr>
        <w:t xml:space="preserve"> وهو سهو كما تقدّم في الكافي ، ذيل ح 187.</w:t>
      </w:r>
    </w:p>
    <w:p w:rsidR="008A74EB" w:rsidRPr="00C9040A" w:rsidRDefault="006C577F" w:rsidP="004A4E41">
      <w:pPr>
        <w:pStyle w:val="libFootnote0"/>
        <w:rPr>
          <w:rtl/>
          <w:lang w:bidi="fa-IR"/>
        </w:rPr>
      </w:pPr>
      <w:r>
        <w:rPr>
          <w:rtl/>
        </w:rPr>
        <w:t>(12).</w:t>
      </w:r>
      <w:r w:rsidR="008A74EB" w:rsidRPr="00C9040A">
        <w:rPr>
          <w:rtl/>
        </w:rPr>
        <w:t xml:space="preserve"> ورد الخبر في </w:t>
      </w:r>
      <w:r w:rsidR="008A74EB" w:rsidRPr="00993B55">
        <w:rPr>
          <w:rStyle w:val="libFootnoteBoldChar"/>
          <w:rtl/>
        </w:rPr>
        <w:t>معاني الأخبار</w:t>
      </w:r>
      <w:r w:rsidR="008A74EB" w:rsidRPr="00C9040A">
        <w:rPr>
          <w:rtl/>
        </w:rPr>
        <w:t xml:space="preserve"> ، ص 394 ، ح 47 ، بسند آخر عن أبان بن عثمان ، عن حبيب بن حكيم. وحبيب هذا ذكره الشيخ الطوسي في رجاله ، ص 197 ، الرقم 2485 في أصحاب أبي عبدالله </w:t>
      </w:r>
      <w:r w:rsidR="00117575" w:rsidRPr="00117575">
        <w:rPr>
          <w:rStyle w:val="libFootnoteAlaemChar"/>
          <w:rtl/>
        </w:rPr>
        <w:t>عليه‌السلام</w:t>
      </w:r>
      <w:r w:rsidR="008A74EB" w:rsidRPr="00C9040A">
        <w:rPr>
          <w:rtl/>
        </w:rPr>
        <w:t xml:space="preserve"> ، لكن لم نجد روايه أبان عنه في غير سند هذا الخبر. والظاهر وقوع الخلل في أحد العنوانين</w:t>
      </w:r>
      <w:r w:rsidR="008A74EB">
        <w:rPr>
          <w:rtl/>
        </w:rPr>
        <w:t xml:space="preserve"> </w:t>
      </w:r>
      <w:r w:rsidR="0084262C">
        <w:rPr>
          <w:rtl/>
        </w:rPr>
        <w:t>-</w:t>
      </w:r>
      <w:r w:rsidR="008A74EB">
        <w:rPr>
          <w:rtl/>
        </w:rPr>
        <w:t xml:space="preserve"> </w:t>
      </w:r>
      <w:r w:rsidR="008A74EB" w:rsidRPr="00C9040A">
        <w:rPr>
          <w:rtl/>
        </w:rPr>
        <w:t>على الأقلّ</w:t>
      </w:r>
      <w:r w:rsidR="008A74EB">
        <w:rPr>
          <w:rtl/>
        </w:rPr>
        <w:t xml:space="preserve"> </w:t>
      </w:r>
      <w:r w:rsidR="0084262C">
        <w:rPr>
          <w:rtl/>
        </w:rPr>
        <w:t>-</w:t>
      </w:r>
      <w:r w:rsidR="008A74EB">
        <w:rPr>
          <w:rtl/>
        </w:rPr>
        <w:t xml:space="preserve"> </w:t>
      </w:r>
      <w:r w:rsidR="008A74EB" w:rsidRPr="00C9040A">
        <w:rPr>
          <w:rtl/>
        </w:rPr>
        <w:t xml:space="preserve">كما أنّه يحتمل وقوع الخلل في كلا العنوانين وأنّ الصواب هو حديد بن حكيم أو حكم بن حكيم ، الراوي عنهما أبان في بعض الأسناد. راجع : </w:t>
      </w:r>
      <w:r w:rsidR="008A74EB" w:rsidRPr="00993B55">
        <w:rPr>
          <w:rStyle w:val="libFootnoteBoldChar"/>
          <w:rtl/>
        </w:rPr>
        <w:t>معجم رجال الحديث</w:t>
      </w:r>
      <w:r w:rsidR="008A74EB" w:rsidRPr="00C9040A">
        <w:rPr>
          <w:rtl/>
        </w:rPr>
        <w:t xml:space="preserve"> ، ج 4 ، ص 239 ، وج 6 ، ص 166</w:t>
      </w:r>
      <w:r w:rsidR="008A74EB">
        <w:rPr>
          <w:rtl/>
        </w:rPr>
        <w:t xml:space="preserve"> </w:t>
      </w:r>
      <w:r w:rsidR="0084262C">
        <w:rPr>
          <w:rtl/>
        </w:rPr>
        <w:t>-</w:t>
      </w:r>
      <w:r w:rsidR="008A74EB">
        <w:rPr>
          <w:rtl/>
        </w:rPr>
        <w:t xml:space="preserve"> </w:t>
      </w:r>
      <w:r w:rsidR="008A74EB" w:rsidRPr="00C9040A">
        <w:rPr>
          <w:rtl/>
        </w:rPr>
        <w:t>167.</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سَأَلْتُ أَبَا عَبْدِ اللهِ </w:t>
      </w:r>
      <w:r w:rsidRPr="0003660B">
        <w:rPr>
          <w:rStyle w:val="libAlaemChar"/>
          <w:rtl/>
        </w:rPr>
        <w:t>عليه‌السلام</w:t>
      </w:r>
      <w:r w:rsidRPr="00C9040A">
        <w:rPr>
          <w:rtl/>
          <w:lang w:bidi="fa-IR"/>
        </w:rPr>
        <w:t xml:space="preserve"> عَنْ أَدْنَى الْإِلْحَادِ ، فَقَالَ </w:t>
      </w:r>
      <w:r w:rsidR="006C577F" w:rsidRPr="006C577F">
        <w:rPr>
          <w:rStyle w:val="libFootnotenumChar"/>
          <w:rtl/>
        </w:rPr>
        <w:t>(1)</w:t>
      </w:r>
      <w:r w:rsidRPr="00C9040A">
        <w:rPr>
          <w:rtl/>
          <w:lang w:bidi="fa-IR"/>
        </w:rPr>
        <w:t xml:space="preserve"> : « إِنَّ الْكِبْرَ أَدْنَاهُ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304F34">
        <w:rPr>
          <w:rtl/>
        </w:rPr>
        <w:t>2561</w:t>
      </w:r>
      <w:r w:rsidRPr="00261CB0">
        <w:rPr>
          <w:rStyle w:val="libBold2Char"/>
          <w:rtl/>
        </w:rPr>
        <w:t xml:space="preserve"> / 2.</w:t>
      </w:r>
      <w:r w:rsidRPr="00C9040A">
        <w:rPr>
          <w:rtl/>
          <w:lang w:bidi="fa-IR"/>
        </w:rPr>
        <w:t xml:space="preserve"> مُحَمَّدُ بْنُ يَحْيى ، عَنْ أَحْمَدَ بْنِ مُحَمَّدِ بْنِ عِيسى ، عَنْ عَلِيِّ بْنِ الْحَكَمِ ، عَنِ الْحُسَيْنِ بْنِ أَبِي الْعَلَاءِ :</w:t>
      </w:r>
    </w:p>
    <w:p w:rsidR="008A74EB" w:rsidRPr="00C9040A" w:rsidRDefault="008A74EB" w:rsidP="001E0247">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سَمِعْتُهُ يَقُولُ : « الْكِبْرُ </w:t>
      </w:r>
      <w:r w:rsidR="006C577F" w:rsidRPr="006C577F">
        <w:rPr>
          <w:rStyle w:val="libFootnotenumChar"/>
          <w:rtl/>
        </w:rPr>
        <w:t>(3)</w:t>
      </w:r>
      <w:r w:rsidRPr="00C9040A">
        <w:rPr>
          <w:rtl/>
          <w:lang w:bidi="fa-IR"/>
        </w:rPr>
        <w:t xml:space="preserve"> قَدْ يَكُونُ فِي شِرَارِ النَّاسِ مِنْ كُلِّ جِنْسٍ ، وَالْكِبْرُ رِدَاءُ اللهِ ؛ فَمَنْ نَازَعَ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رِدَاءَهُ </w:t>
      </w:r>
      <w:r w:rsidR="006C577F" w:rsidRPr="006C577F">
        <w:rPr>
          <w:rStyle w:val="libFootnotenumChar"/>
          <w:rtl/>
        </w:rPr>
        <w:t>(4)</w:t>
      </w:r>
      <w:r w:rsidRPr="00C9040A">
        <w:rPr>
          <w:rtl/>
          <w:lang w:bidi="fa-IR"/>
        </w:rPr>
        <w:t xml:space="preserve"> ، لَمْ يَزِدْهُ اللهُ </w:t>
      </w:r>
      <w:r w:rsidR="006C577F" w:rsidRPr="006C577F">
        <w:rPr>
          <w:rStyle w:val="libFootnotenumChar"/>
          <w:rtl/>
        </w:rPr>
        <w:t>(5)</w:t>
      </w:r>
      <w:r w:rsidR="001E0247">
        <w:rPr>
          <w:rtl/>
          <w:lang w:bidi="fa-IR"/>
        </w:rPr>
        <w:t xml:space="preserve"> إِل</w:t>
      </w:r>
      <w:r w:rsidR="001E0247">
        <w:rPr>
          <w:rFonts w:hint="cs"/>
          <w:rtl/>
          <w:lang w:bidi="fa-IR"/>
        </w:rPr>
        <w:t>َّ</w:t>
      </w:r>
      <w:r w:rsidR="001E0247">
        <w:rPr>
          <w:rtl/>
          <w:lang w:bidi="fa-IR"/>
        </w:rPr>
        <w:t>ا</w:t>
      </w:r>
      <w:r w:rsidRPr="00C9040A">
        <w:rPr>
          <w:rtl/>
          <w:lang w:bidi="fa-IR"/>
        </w:rPr>
        <w:t xml:space="preserve"> سَفَالاً </w:t>
      </w:r>
      <w:r w:rsidR="006C577F" w:rsidRPr="006C577F">
        <w:rPr>
          <w:rStyle w:val="libFootnotenumChar"/>
          <w:rtl/>
        </w:rPr>
        <w:t>(6)</w:t>
      </w:r>
      <w:r w:rsidRPr="005B567D">
        <w:rPr>
          <w:rStyle w:val="libFootnotenumChar"/>
          <w:rtl/>
        </w:rPr>
        <w:t xml:space="preserve"> </w:t>
      </w:r>
      <w:r w:rsidRPr="00C9040A">
        <w:rPr>
          <w:rtl/>
          <w:lang w:bidi="fa-IR"/>
        </w:rPr>
        <w:t xml:space="preserve">؛ إِنَّ </w:t>
      </w:r>
      <w:r w:rsidR="006C577F" w:rsidRPr="006C577F">
        <w:rPr>
          <w:rStyle w:val="libFootnotenumChar"/>
          <w:rtl/>
        </w:rPr>
        <w:t>(7)</w:t>
      </w:r>
      <w:r w:rsidRPr="00C9040A">
        <w:rPr>
          <w:rtl/>
          <w:lang w:bidi="fa-IR"/>
        </w:rPr>
        <w:t xml:space="preserve"> رَسُولَ اللهِ </w:t>
      </w:r>
      <w:r w:rsidR="004A4E41" w:rsidRPr="004A4E41">
        <w:rPr>
          <w:rStyle w:val="libAlaemChar"/>
          <w:rtl/>
        </w:rPr>
        <w:t>صلى‌الله‌عليه‌وآله</w:t>
      </w:r>
      <w:r w:rsidRPr="00C9040A">
        <w:rPr>
          <w:rtl/>
          <w:lang w:bidi="fa-IR"/>
        </w:rPr>
        <w:t xml:space="preserve"> مَرَّ فِي بَعْضِ طُرُقِ </w:t>
      </w:r>
      <w:r w:rsidR="006C577F" w:rsidRPr="006C577F">
        <w:rPr>
          <w:rStyle w:val="libFootnotenumChar"/>
          <w:rtl/>
        </w:rPr>
        <w:t>(8)</w:t>
      </w:r>
      <w:r w:rsidRPr="00C9040A">
        <w:rPr>
          <w:rtl/>
          <w:lang w:bidi="fa-IR"/>
        </w:rPr>
        <w:t xml:space="preserve"> الْمَدِينَةِ وَسَوْدَاءُ تَلْقُطُ </w:t>
      </w:r>
      <w:r w:rsidR="006C577F" w:rsidRPr="006C577F">
        <w:rPr>
          <w:rStyle w:val="libFootnotenumChar"/>
          <w:rtl/>
        </w:rPr>
        <w:t>(9)</w:t>
      </w:r>
      <w:r w:rsidRPr="00C9040A">
        <w:rPr>
          <w:rtl/>
          <w:lang w:bidi="fa-IR"/>
        </w:rPr>
        <w:t xml:space="preserve"> السِّرْقِينَ ، فَقِيلَ لَهَا :</w:t>
      </w:r>
      <w:r>
        <w:rPr>
          <w:rFonts w:hint="cs"/>
          <w:rtl/>
          <w:lang w:bidi="fa-IR"/>
        </w:rPr>
        <w:t xml:space="preserve"> </w:t>
      </w:r>
      <w:r w:rsidRPr="00C9040A">
        <w:rPr>
          <w:rtl/>
          <w:lang w:bidi="fa-IR"/>
        </w:rPr>
        <w:t xml:space="preserve">تَنَحَّيْ عَنْ طَرِيقِ رَسُولِ اللهِ </w:t>
      </w:r>
      <w:r w:rsidR="004A4E41" w:rsidRPr="004A4E41">
        <w:rPr>
          <w:rStyle w:val="libAlaemChar"/>
          <w:rtl/>
        </w:rPr>
        <w:t>صلى‌الله‌عليه‌وآله</w:t>
      </w:r>
      <w:r w:rsidRPr="00C9040A">
        <w:rPr>
          <w:rtl/>
          <w:lang w:bidi="fa-IR"/>
        </w:rPr>
        <w:t xml:space="preserve"> ، فَقَالَتْ : إِنَّ الطَّرِيقَ لَمُعْرَضٌ </w:t>
      </w:r>
      <w:r w:rsidR="006C577F" w:rsidRPr="006C577F">
        <w:rPr>
          <w:rStyle w:val="libFootnotenumChar"/>
          <w:rtl/>
        </w:rPr>
        <w:t>(10)</w:t>
      </w:r>
      <w:r w:rsidRPr="00C9040A">
        <w:rPr>
          <w:rtl/>
          <w:lang w:bidi="fa-IR"/>
        </w:rPr>
        <w:t xml:space="preserve"> ، فَهَمَّ بِهَا بَعْضُ الْقَوْمِ أَنْ يَتَنَاوَلَهَا </w:t>
      </w:r>
      <w:r w:rsidR="006C577F" w:rsidRPr="006C577F">
        <w:rPr>
          <w:rStyle w:val="libFootnotenumChar"/>
          <w:rtl/>
        </w:rPr>
        <w:t>(11)</w:t>
      </w:r>
      <w:r w:rsidRPr="00C9040A">
        <w:rPr>
          <w:rtl/>
          <w:lang w:bidi="fa-IR"/>
        </w:rPr>
        <w:t xml:space="preserve"> ، فَقَالَ رَسُولُ اللهِ </w:t>
      </w:r>
      <w:r w:rsidR="004A4E41" w:rsidRPr="004A4E41">
        <w:rPr>
          <w:rStyle w:val="libAlaemChar"/>
          <w:rtl/>
        </w:rPr>
        <w:t>صلى‌الله‌عليه‌وآله</w:t>
      </w:r>
      <w:r w:rsidRPr="00C9040A">
        <w:rPr>
          <w:rtl/>
          <w:lang w:bidi="fa-IR"/>
        </w:rPr>
        <w:t xml:space="preserve"> : دَعُوهَا ؛ فَإِنَّهَا جَبَّارَةٌ </w:t>
      </w:r>
      <w:r w:rsidR="006C577F" w:rsidRPr="006C577F">
        <w:rPr>
          <w:rStyle w:val="libFootnotenumChar"/>
          <w:rtl/>
        </w:rPr>
        <w:t>(12)</w:t>
      </w:r>
      <w:r w:rsidRPr="00C9040A">
        <w:rPr>
          <w:rtl/>
          <w:lang w:bidi="fa-IR"/>
        </w:rPr>
        <w:t xml:space="preserve"> »</w:t>
      </w:r>
      <w:r>
        <w:rPr>
          <w:rtl/>
          <w:lang w:bidi="fa-IR"/>
        </w:rPr>
        <w:t>.</w:t>
      </w:r>
      <w:r w:rsidRPr="00C9040A">
        <w:rPr>
          <w:rtl/>
          <w:lang w:bidi="fa-IR"/>
        </w:rPr>
        <w:t xml:space="preserve"> </w:t>
      </w:r>
      <w:r w:rsidRPr="005B567D">
        <w:rPr>
          <w:rStyle w:val="libFootnotenumChar"/>
          <w:rtl/>
        </w:rPr>
        <w:t>(13)</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ج ، د ، ز ، ص ، </w:t>
      </w:r>
      <w:r w:rsidR="006D3162">
        <w:rPr>
          <w:rtl/>
        </w:rPr>
        <w:t xml:space="preserve">ه </w:t>
      </w:r>
      <w:r w:rsidR="008A74EB" w:rsidRPr="00C9040A">
        <w:rPr>
          <w:rtl/>
        </w:rPr>
        <w:t>، بر ، بس ، بف » والوافي والوسائل والبحار : « قال »</w:t>
      </w:r>
      <w:r w:rsidR="008A74EB">
        <w:rPr>
          <w:rtl/>
        </w:rPr>
        <w:t>.</w:t>
      </w:r>
    </w:p>
    <w:p w:rsidR="008A74EB" w:rsidRPr="00C9040A" w:rsidRDefault="006C577F" w:rsidP="00463DFD">
      <w:pPr>
        <w:pStyle w:val="libFootnote0"/>
        <w:rPr>
          <w:rtl/>
          <w:lang w:bidi="fa-IR"/>
        </w:rPr>
      </w:pPr>
      <w:r>
        <w:rPr>
          <w:rtl/>
        </w:rPr>
        <w:t>(2).</w:t>
      </w:r>
      <w:r w:rsidR="008A74EB">
        <w:rPr>
          <w:rtl/>
        </w:rPr>
        <w:t xml:space="preserve"> </w:t>
      </w:r>
      <w:r w:rsidR="008A74EB" w:rsidRPr="00993B55">
        <w:rPr>
          <w:rStyle w:val="libFootnoteBoldChar"/>
          <w:rtl/>
        </w:rPr>
        <w:t>معاني الاخبار</w:t>
      </w:r>
      <w:r w:rsidR="008A74EB" w:rsidRPr="00C9040A">
        <w:rPr>
          <w:rtl/>
        </w:rPr>
        <w:t xml:space="preserve"> ، ص 394 ، ح 47 ، بسنده عن أبان بن عثمان ، عن حبيب بن حكيم ، قال : « سألت أبا عبدالله </w:t>
      </w:r>
      <w:r w:rsidR="00117575" w:rsidRPr="00117575">
        <w:rPr>
          <w:rStyle w:val="libFootnoteAlaemChar"/>
          <w:rtl/>
        </w:rPr>
        <w:t>عليه‌السلام</w:t>
      </w:r>
      <w:r w:rsidR="008A74EB" w:rsidRPr="00C9040A">
        <w:rPr>
          <w:rtl/>
        </w:rPr>
        <w:t xml:space="preserve"> عن أدنى الإلحاد ، فقال : إنّ الكبر منه »</w:t>
      </w:r>
      <w:r w:rsidR="00463DFD">
        <w:rPr>
          <w:rFonts w:hint="cs"/>
          <w:rtl/>
        </w:rPr>
        <w:t>.</w:t>
      </w:r>
      <w:r w:rsidR="008A74EB" w:rsidRPr="00993B55">
        <w:rPr>
          <w:rStyle w:val="libFootnoteBoldChar"/>
          <w:rtl/>
        </w:rPr>
        <w:t>الوافي</w:t>
      </w:r>
      <w:r w:rsidR="008A74EB" w:rsidRPr="00C9040A">
        <w:rPr>
          <w:rtl/>
        </w:rPr>
        <w:t xml:space="preserve"> ، ج 5 ، ص 870 ، ح 3184 ؛ </w:t>
      </w:r>
      <w:r w:rsidR="008A74EB" w:rsidRPr="00993B55">
        <w:rPr>
          <w:rStyle w:val="libFootnoteBoldChar"/>
          <w:rtl/>
        </w:rPr>
        <w:t>الوسائل</w:t>
      </w:r>
      <w:r w:rsidR="008A74EB" w:rsidRPr="00C9040A">
        <w:rPr>
          <w:rtl/>
        </w:rPr>
        <w:t xml:space="preserve"> ، ج 15 ، ص 374 ، ح 20781 ؛ </w:t>
      </w:r>
      <w:r w:rsidR="008A74EB" w:rsidRPr="00993B55">
        <w:rPr>
          <w:rStyle w:val="libFootnoteBoldChar"/>
          <w:rtl/>
        </w:rPr>
        <w:t>البحار</w:t>
      </w:r>
      <w:r w:rsidR="008A74EB" w:rsidRPr="00C9040A">
        <w:rPr>
          <w:rtl/>
        </w:rPr>
        <w:t xml:space="preserve"> ، ج 73 ، ص 190 ، ح 1.</w:t>
      </w:r>
      <w:r>
        <w:rPr>
          <w:rtl/>
        </w:rPr>
        <w:t>(3).</w:t>
      </w:r>
      <w:r w:rsidR="008A74EB" w:rsidRPr="00C9040A">
        <w:rPr>
          <w:rtl/>
        </w:rPr>
        <w:t xml:space="preserve"> في « ب » وحاشية « بس » : « إنّ الكبر »</w:t>
      </w:r>
      <w:r w:rsidR="008A74EB">
        <w:rPr>
          <w:rtl/>
        </w:rPr>
        <w:t>.</w:t>
      </w:r>
    </w:p>
    <w:tbl>
      <w:tblPr>
        <w:tblStyle w:val="TableGrid"/>
        <w:bidiVisual/>
        <w:tblW w:w="0" w:type="auto"/>
        <w:tblLook w:val="04A0" w:firstRow="1" w:lastRow="0" w:firstColumn="1" w:lastColumn="0" w:noHBand="0" w:noVBand="1"/>
      </w:tblPr>
      <w:tblGrid>
        <w:gridCol w:w="4006"/>
        <w:gridCol w:w="4006"/>
      </w:tblGrid>
      <w:tr w:rsidR="00463DFD" w:rsidTr="00463DFD">
        <w:tc>
          <w:tcPr>
            <w:tcW w:w="4006" w:type="dxa"/>
          </w:tcPr>
          <w:p w:rsidR="00463DFD" w:rsidRDefault="00463DFD" w:rsidP="004A4E41">
            <w:pPr>
              <w:pStyle w:val="libFootnote0"/>
              <w:rPr>
                <w:rtl/>
              </w:rPr>
            </w:pPr>
            <w:r>
              <w:rPr>
                <w:rtl/>
              </w:rPr>
              <w:t>(4).</w:t>
            </w:r>
            <w:r w:rsidRPr="00C9040A">
              <w:rPr>
                <w:rtl/>
              </w:rPr>
              <w:t xml:space="preserve"> في « </w:t>
            </w:r>
            <w:r>
              <w:rPr>
                <w:rtl/>
              </w:rPr>
              <w:t xml:space="preserve">ه </w:t>
            </w:r>
            <w:r w:rsidRPr="00C9040A">
              <w:rPr>
                <w:rtl/>
              </w:rPr>
              <w:t>» : « في ردائه »</w:t>
            </w:r>
            <w:r>
              <w:rPr>
                <w:rtl/>
              </w:rPr>
              <w:t>.</w:t>
            </w:r>
          </w:p>
        </w:tc>
        <w:tc>
          <w:tcPr>
            <w:tcW w:w="4006" w:type="dxa"/>
          </w:tcPr>
          <w:p w:rsidR="00463DFD" w:rsidRDefault="00463DFD" w:rsidP="004A4E41">
            <w:pPr>
              <w:pStyle w:val="libFootnote0"/>
              <w:rPr>
                <w:rtl/>
              </w:rPr>
            </w:pPr>
            <w:r>
              <w:rPr>
                <w:rtl/>
              </w:rPr>
              <w:t>(5).</w:t>
            </w:r>
            <w:r w:rsidRPr="00C9040A">
              <w:rPr>
                <w:rtl/>
              </w:rPr>
              <w:t xml:space="preserve"> في « </w:t>
            </w:r>
            <w:r>
              <w:rPr>
                <w:rtl/>
              </w:rPr>
              <w:t xml:space="preserve">ه </w:t>
            </w:r>
            <w:r w:rsidRPr="00C9040A">
              <w:rPr>
                <w:rtl/>
              </w:rPr>
              <w:t xml:space="preserve">» </w:t>
            </w:r>
            <w:r>
              <w:rPr>
                <w:rtl/>
              </w:rPr>
              <w:t>: -</w:t>
            </w:r>
            <w:r w:rsidRPr="00C9040A">
              <w:rPr>
                <w:rtl/>
              </w:rPr>
              <w:t xml:space="preserve"> « الله »</w:t>
            </w:r>
            <w:r>
              <w:rPr>
                <w:rtl/>
              </w:rPr>
              <w:t>.</w:t>
            </w:r>
          </w:p>
        </w:tc>
      </w:tr>
      <w:tr w:rsidR="00463DFD" w:rsidTr="00463DFD">
        <w:tc>
          <w:tcPr>
            <w:tcW w:w="4006" w:type="dxa"/>
          </w:tcPr>
          <w:p w:rsidR="00463DFD" w:rsidRDefault="00463DFD" w:rsidP="004A4E41">
            <w:pPr>
              <w:pStyle w:val="libFootnote0"/>
              <w:rPr>
                <w:rtl/>
              </w:rPr>
            </w:pPr>
            <w:r>
              <w:rPr>
                <w:rtl/>
              </w:rPr>
              <w:t xml:space="preserve">(6). </w:t>
            </w:r>
            <w:r w:rsidRPr="00C9040A">
              <w:rPr>
                <w:rtl/>
              </w:rPr>
              <w:t xml:space="preserve">في « </w:t>
            </w:r>
            <w:r>
              <w:rPr>
                <w:rtl/>
              </w:rPr>
              <w:t xml:space="preserve">ه </w:t>
            </w:r>
            <w:r w:rsidRPr="00C9040A">
              <w:rPr>
                <w:rtl/>
              </w:rPr>
              <w:t>» : « شقاء »</w:t>
            </w:r>
            <w:r>
              <w:rPr>
                <w:rtl/>
              </w:rPr>
              <w:t>.</w:t>
            </w:r>
          </w:p>
        </w:tc>
        <w:tc>
          <w:tcPr>
            <w:tcW w:w="4006" w:type="dxa"/>
          </w:tcPr>
          <w:p w:rsidR="00463DFD" w:rsidRDefault="00463DFD" w:rsidP="004A4E41">
            <w:pPr>
              <w:pStyle w:val="libFootnote0"/>
              <w:rPr>
                <w:rtl/>
              </w:rPr>
            </w:pPr>
            <w:r>
              <w:rPr>
                <w:rtl/>
              </w:rPr>
              <w:t>(7).</w:t>
            </w:r>
            <w:r w:rsidRPr="00C9040A">
              <w:rPr>
                <w:rtl/>
              </w:rPr>
              <w:t xml:space="preserve"> في « </w:t>
            </w:r>
            <w:r>
              <w:rPr>
                <w:rtl/>
              </w:rPr>
              <w:t xml:space="preserve">ه </w:t>
            </w:r>
            <w:r w:rsidRPr="00C9040A">
              <w:rPr>
                <w:rtl/>
              </w:rPr>
              <w:t>» : « لأنّ »</w:t>
            </w:r>
            <w:r>
              <w:rPr>
                <w:rtl/>
              </w:rPr>
              <w:t>.</w:t>
            </w:r>
          </w:p>
        </w:tc>
      </w:tr>
    </w:tbl>
    <w:p w:rsidR="008A74EB" w:rsidRPr="00C9040A" w:rsidRDefault="006C577F" w:rsidP="004A4E41">
      <w:pPr>
        <w:pStyle w:val="libFootnote0"/>
        <w:rPr>
          <w:rtl/>
          <w:lang w:bidi="fa-IR"/>
        </w:rPr>
      </w:pPr>
      <w:r>
        <w:rPr>
          <w:rtl/>
        </w:rPr>
        <w:t>(8).</w:t>
      </w:r>
      <w:r w:rsidR="008A74EB" w:rsidRPr="00C9040A">
        <w:rPr>
          <w:rtl/>
        </w:rPr>
        <w:t xml:space="preserve"> في « </w:t>
      </w:r>
      <w:r w:rsidR="006D3162">
        <w:rPr>
          <w:rtl/>
        </w:rPr>
        <w:t xml:space="preserve">ه </w:t>
      </w:r>
      <w:r w:rsidR="008A74EB" w:rsidRPr="00C9040A">
        <w:rPr>
          <w:rtl/>
        </w:rPr>
        <w:t>» : « طرقات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w:t>
      </w:r>
      <w:r w:rsidR="008A74EB" w:rsidRPr="00993B55">
        <w:rPr>
          <w:rStyle w:val="libFootnoteBoldChar"/>
          <w:rtl/>
        </w:rPr>
        <w:t>مرآة العقول</w:t>
      </w:r>
      <w:r w:rsidR="008A74EB" w:rsidRPr="00C9040A">
        <w:rPr>
          <w:rtl/>
        </w:rPr>
        <w:t xml:space="preserve"> ، ج 10 ، ص 203 : « تلقط ، كتنصر ، أو على بناء التفعّل بحذف إحدى التاءين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 ب » والوافي : « لمعرّض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 لمعرض ، على بناء المفعول من الإفعال أو التفعيل ، وقديقرأ على بناء الفاعل من الإفعال. فعلى الأوّلين من قولهم : أعرضت الشي‌ء وعرّضته ، أي جعلته عريضاً. وعلى الثالث من قولهم : عرضت الشي‌ء ، أي أظهرته فأعرض ، أي ظهر ، وهو من النوادر »</w:t>
      </w:r>
      <w:r w:rsidR="008A74EB">
        <w:rPr>
          <w:rtl/>
        </w:rPr>
        <w:t>.</w:t>
      </w:r>
      <w:r w:rsidR="008A74EB" w:rsidRPr="00C9040A">
        <w:rPr>
          <w:rtl/>
        </w:rPr>
        <w:t xml:space="preserve"> راجع أيضاً : </w:t>
      </w:r>
      <w:r w:rsidR="008A74EB" w:rsidRPr="00993B55">
        <w:rPr>
          <w:rStyle w:val="libFootnoteBoldChar"/>
          <w:rtl/>
        </w:rPr>
        <w:t>مجمع البحرين</w:t>
      </w:r>
      <w:r w:rsidR="008A74EB" w:rsidRPr="00C9040A">
        <w:rPr>
          <w:rtl/>
        </w:rPr>
        <w:t xml:space="preserve"> ، ج 4 ، ص 212 ؛ </w:t>
      </w:r>
      <w:r w:rsidR="008A74EB" w:rsidRPr="00993B55">
        <w:rPr>
          <w:rStyle w:val="libFootnoteBoldChar"/>
          <w:rtl/>
        </w:rPr>
        <w:t>معجم مقائيس اللغة</w:t>
      </w:r>
      <w:r w:rsidR="008A74EB" w:rsidRPr="00C9040A">
        <w:rPr>
          <w:rtl/>
        </w:rPr>
        <w:t xml:space="preserve"> ، ج 4 ، ص 270 ( عرض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نال من عدوّه نيلاً : بلغ مقصوده. ونِلْتُه أنيله وأناله نيلاً : أصبتُه. </w:t>
      </w:r>
      <w:r w:rsidR="008A74EB" w:rsidRPr="00993B55">
        <w:rPr>
          <w:rStyle w:val="libFootnoteBoldChar"/>
          <w:rtl/>
        </w:rPr>
        <w:t>المصباح المنير</w:t>
      </w:r>
      <w:r w:rsidR="008A74EB" w:rsidRPr="00C9040A">
        <w:rPr>
          <w:rtl/>
        </w:rPr>
        <w:t xml:space="preserve"> ، ص 632 ؛ </w:t>
      </w:r>
      <w:r w:rsidR="008A74EB" w:rsidRPr="00993B55">
        <w:rPr>
          <w:rStyle w:val="libFootnoteBoldChar"/>
          <w:rtl/>
        </w:rPr>
        <w:t>القاموس المحيط</w:t>
      </w:r>
      <w:r w:rsidR="008A74EB" w:rsidRPr="00C9040A">
        <w:rPr>
          <w:rtl/>
        </w:rPr>
        <w:t xml:space="preserve"> ، ج 4 ، ص 62 ( نيل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 يتناولها ، أي يأخذها فينحّيها قسراً عن طريقه </w:t>
      </w:r>
      <w:r w:rsidR="004A4E41" w:rsidRPr="00675829">
        <w:rPr>
          <w:rStyle w:val="libFootnoteAlaemChar"/>
          <w:rtl/>
        </w:rPr>
        <w:t>صلى‌الله‌عليه‌وآله</w:t>
      </w:r>
      <w:r w:rsidR="008A74EB" w:rsidRPr="00C9040A">
        <w:rPr>
          <w:rtl/>
        </w:rPr>
        <w:t xml:space="preserve"> ، أو يشتمها من قولهم : نال من عرضه ، أي شتمه. والأوّل أظهر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في « ص » : « حيارة »</w:t>
      </w:r>
      <w:r w:rsidR="008A74EB">
        <w:rPr>
          <w:rtl/>
        </w:rPr>
        <w:t>.</w:t>
      </w:r>
      <w:r w:rsidR="008A74EB" w:rsidRPr="00C9040A">
        <w:rPr>
          <w:rtl/>
        </w:rPr>
        <w:t xml:space="preserve"> وفي حاشية « ج » : « حيازة »</w:t>
      </w:r>
      <w:r w:rsidR="008A74EB">
        <w:rPr>
          <w:rtl/>
        </w:rPr>
        <w:t>.</w:t>
      </w:r>
      <w:r w:rsidR="008A74EB" w:rsidRPr="00C9040A">
        <w:rPr>
          <w:rtl/>
        </w:rPr>
        <w:t xml:space="preserve"> </w:t>
      </w:r>
      <w:r w:rsidR="008A74EB">
        <w:rPr>
          <w:rtl/>
        </w:rPr>
        <w:t>و «</w:t>
      </w:r>
      <w:r w:rsidR="008A74EB" w:rsidRPr="00C9040A">
        <w:rPr>
          <w:rtl/>
        </w:rPr>
        <w:t xml:space="preserve"> الجبّار » : العاتي عن أمر ربّه. </w:t>
      </w:r>
      <w:r w:rsidR="008A74EB" w:rsidRPr="00993B55">
        <w:rPr>
          <w:rStyle w:val="libFootnoteBoldChar"/>
          <w:rtl/>
        </w:rPr>
        <w:t>ترتيب كتاب العين</w:t>
      </w:r>
      <w:r w:rsidR="008A74EB" w:rsidRPr="00C9040A">
        <w:rPr>
          <w:rtl/>
        </w:rPr>
        <w:t xml:space="preserve"> ، ج 1 ، ص 259 ( جبر )</w:t>
      </w:r>
      <w:r w:rsidR="008A74EB">
        <w:rPr>
          <w:rtl/>
        </w:rPr>
        <w:t>.</w:t>
      </w:r>
    </w:p>
    <w:p w:rsidR="008A74EB" w:rsidRPr="00C9040A" w:rsidRDefault="008A74EB" w:rsidP="004A4E41">
      <w:pPr>
        <w:pStyle w:val="libFootnote0"/>
        <w:rPr>
          <w:rtl/>
          <w:lang w:bidi="fa-IR"/>
        </w:rPr>
      </w:pPr>
      <w:r>
        <w:rPr>
          <w:rtl/>
        </w:rPr>
        <w:t>(13)</w:t>
      </w:r>
      <w:r w:rsidRPr="00C9040A">
        <w:rPr>
          <w:rtl/>
        </w:rPr>
        <w:t xml:space="preserve"> </w:t>
      </w:r>
      <w:r w:rsidRPr="00993B55">
        <w:rPr>
          <w:rStyle w:val="libFootnoteBoldChar"/>
          <w:rtl/>
        </w:rPr>
        <w:t>الكافي</w:t>
      </w:r>
      <w:r w:rsidRPr="00C9040A">
        <w:rPr>
          <w:rtl/>
        </w:rPr>
        <w:t xml:space="preserve"> ، كتاب الروضة ، ضمن ح 14816 ، بأسناد مختلفة عن أبي عبدالله </w:t>
      </w:r>
      <w:r w:rsidR="00117575" w:rsidRPr="00117575">
        <w:rPr>
          <w:rStyle w:val="libFootnoteAlaemChar"/>
          <w:rtl/>
        </w:rPr>
        <w:t xml:space="preserve">عليه‌السلام </w:t>
      </w:r>
      <w:r w:rsidRPr="00C9040A">
        <w:rPr>
          <w:rtl/>
        </w:rPr>
        <w:t xml:space="preserve">. </w:t>
      </w:r>
      <w:r w:rsidRPr="00993B55">
        <w:rPr>
          <w:rStyle w:val="libFootnoteBoldChar"/>
          <w:rtl/>
        </w:rPr>
        <w:t>تحف العقول</w:t>
      </w:r>
      <w:r w:rsidRPr="00C9040A">
        <w:rPr>
          <w:rtl/>
        </w:rPr>
        <w:t xml:space="preserve"> ، ص 313 ، </w:t>
      </w:r>
      <w:r w:rsidR="00675829">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304F34">
        <w:rPr>
          <w:rtl/>
        </w:rPr>
        <w:t>2562</w:t>
      </w:r>
      <w:r w:rsidRPr="00261CB0">
        <w:rPr>
          <w:rStyle w:val="libBold2Char"/>
          <w:rtl/>
        </w:rPr>
        <w:t xml:space="preserve"> / 3.</w:t>
      </w:r>
      <w:r w:rsidRPr="00C9040A">
        <w:rPr>
          <w:rtl/>
          <w:lang w:bidi="fa-IR"/>
        </w:rPr>
        <w:t xml:space="preserve"> عِدَّةٌ مِنْ أَصْحَابِنَا ، عَنْ أَحْمَدَ بْنِ أَبِي عَبْدِ اللهِ ، عَنْ عُثْمَانَ بْنِ عِيسى ، عَنِ الْعَلَاءِ بْنِ الْفُضَيْلِ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أَبُو جَعْفَرٍ </w:t>
      </w:r>
      <w:r w:rsidRPr="0003660B">
        <w:rPr>
          <w:rStyle w:val="libAlaemChar"/>
          <w:rtl/>
        </w:rPr>
        <w:t>عليه‌السلام</w:t>
      </w:r>
      <w:r w:rsidRPr="00C9040A">
        <w:rPr>
          <w:rtl/>
          <w:lang w:bidi="fa-IR"/>
        </w:rPr>
        <w:t xml:space="preserve"> : الْعِزُّ رِدَاءُ اللهِ ، وَالْكِبْرُ </w:t>
      </w:r>
      <w:r w:rsidR="006C577F" w:rsidRPr="006C577F">
        <w:rPr>
          <w:rStyle w:val="libFootnotenumChar"/>
          <w:rtl/>
        </w:rPr>
        <w:t>(1)</w:t>
      </w:r>
      <w:r w:rsidRPr="00C9040A">
        <w:rPr>
          <w:rtl/>
          <w:lang w:bidi="fa-IR"/>
        </w:rPr>
        <w:t xml:space="preserve"> إِزَارُهُ ، فَمَنْ تَنَاوَلَ شَيْئاً مِنْهُ </w:t>
      </w:r>
      <w:r w:rsidR="006C577F" w:rsidRPr="006C577F">
        <w:rPr>
          <w:rStyle w:val="libFootnotenumChar"/>
          <w:rtl/>
        </w:rPr>
        <w:t>(2)</w:t>
      </w:r>
      <w:r w:rsidRPr="00C9040A">
        <w:rPr>
          <w:rtl/>
          <w:lang w:bidi="fa-IR"/>
        </w:rPr>
        <w:t xml:space="preserve"> ، أَكَبَّهُ اللهُ فِي جَهَنَّمَ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304F34">
        <w:rPr>
          <w:rtl/>
        </w:rPr>
        <w:t>2563</w:t>
      </w:r>
      <w:r w:rsidRPr="00261CB0">
        <w:rPr>
          <w:rStyle w:val="libBold2Char"/>
          <w:rtl/>
        </w:rPr>
        <w:t xml:space="preserve"> / 4.</w:t>
      </w:r>
      <w:r w:rsidRPr="00C9040A">
        <w:rPr>
          <w:rtl/>
          <w:lang w:bidi="fa-IR"/>
        </w:rPr>
        <w:t xml:space="preserve"> أَبُو عَلِيٍّ الْأَشْعَرِيُّ ، عَنْ مُحَمَّدِ بْنِ عَبْدِ الْجَبَّارِ ، عَنِ ابْنِ فَضَّالٍ ، عَنْ ثَعْلَبَةَ ، عَنْ مَعْمَرِ بْنِ عُمَرَ بْنِ عَطَاءٍ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الْكِبْرُ رِدَاءُ اللهِ ، وَالْمُتَكَبِّرُ يُنَازِعُ اللهَ رِدَاءَهُ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304F34">
        <w:rPr>
          <w:rtl/>
        </w:rPr>
        <w:t>2564</w:t>
      </w:r>
      <w:r w:rsidRPr="00261CB0">
        <w:rPr>
          <w:rStyle w:val="libBold2Char"/>
          <w:rtl/>
        </w:rPr>
        <w:t xml:space="preserve"> / 5.</w:t>
      </w:r>
      <w:r w:rsidRPr="00C9040A">
        <w:rPr>
          <w:rtl/>
          <w:lang w:bidi="fa-IR"/>
        </w:rPr>
        <w:t xml:space="preserve"> عِدَّةٌ مِنْ أَصْحَابِنَا ، عَنْ أَحْمَدَ بْنِ مُحَمَّدِ بْنِ خَالِدٍ ، عَنْ مُحَمَّدِ بْنِ عَلِيٍّ ، عَنْ أَبِي جَمِيلَةَ ، عَنْ لَيْثٍ الْمُرَادِيِّ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الْكِبْرُ </w:t>
      </w:r>
      <w:r w:rsidR="006C577F" w:rsidRPr="006C577F">
        <w:rPr>
          <w:rStyle w:val="libFootnotenumChar"/>
          <w:rtl/>
        </w:rPr>
        <w:t>(5)</w:t>
      </w:r>
      <w:r w:rsidRPr="00C9040A">
        <w:rPr>
          <w:rtl/>
          <w:lang w:bidi="fa-IR"/>
        </w:rPr>
        <w:t xml:space="preserve"> رِدَاءُ اللهِ ؛ فَمَنْ نَازَعَ اللهَ </w:t>
      </w:r>
      <w:r w:rsidR="006C577F" w:rsidRPr="006C577F">
        <w:rPr>
          <w:rStyle w:val="libFootnotenumChar"/>
          <w:rtl/>
        </w:rPr>
        <w:t>(6)</w:t>
      </w:r>
      <w:r w:rsidRPr="005B567D">
        <w:rPr>
          <w:rStyle w:val="libFootnotenumChar"/>
          <w:rtl/>
        </w:rPr>
        <w:t xml:space="preserve"> </w:t>
      </w:r>
      <w:r w:rsidRPr="00C9040A">
        <w:rPr>
          <w:rtl/>
          <w:lang w:bidi="fa-IR"/>
        </w:rPr>
        <w:t xml:space="preserve">شَيْئاً مِنْ ذلِكَ ، أَكَبَّهُ </w:t>
      </w:r>
      <w:r w:rsidR="006C577F" w:rsidRPr="006C577F">
        <w:rPr>
          <w:rStyle w:val="libFootnotenumChar"/>
          <w:rtl/>
        </w:rPr>
        <w:t>(7)</w:t>
      </w:r>
      <w:r w:rsidRPr="00C9040A">
        <w:rPr>
          <w:rtl/>
          <w:lang w:bidi="fa-IR"/>
        </w:rPr>
        <w:t xml:space="preserve"> اللهُ فِي النَّارِ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75829" w:rsidP="00675829">
      <w:pPr>
        <w:pStyle w:val="libFootnote0"/>
        <w:rPr>
          <w:rtl/>
          <w:lang w:bidi="fa-IR"/>
        </w:rPr>
      </w:pPr>
      <w:r>
        <w:rPr>
          <w:rFonts w:hint="cs"/>
          <w:rtl/>
        </w:rPr>
        <w:t xml:space="preserve">= </w:t>
      </w:r>
      <w:r w:rsidR="008A74EB" w:rsidRPr="00C9040A">
        <w:rPr>
          <w:rtl/>
        </w:rPr>
        <w:t xml:space="preserve">وفيهما ضمن رسالته </w:t>
      </w:r>
      <w:r w:rsidR="00117575" w:rsidRPr="00117575">
        <w:rPr>
          <w:rStyle w:val="libFootnoteAlaemChar"/>
          <w:rtl/>
        </w:rPr>
        <w:t>عليه‌السلام</w:t>
      </w:r>
      <w:r w:rsidR="008A74EB" w:rsidRPr="00C9040A">
        <w:rPr>
          <w:rtl/>
        </w:rPr>
        <w:t xml:space="preserve"> إلى جماعة الشيعة هكذا : « الكبر رداء الله عزّوجلّ ، فمن نازع الله رداءه خصمه الله [ وفي التحف : قصمه الله ] وأذلّه يوم القيامة »</w:t>
      </w:r>
      <w:r w:rsidR="008A74EB">
        <w:rPr>
          <w:rtl/>
        </w:rPr>
        <w:t>.</w:t>
      </w:r>
      <w:r w:rsidR="008A74EB" w:rsidRPr="00C9040A">
        <w:rPr>
          <w:rtl/>
        </w:rPr>
        <w:t xml:space="preserve"> </w:t>
      </w:r>
      <w:r w:rsidR="008A74EB" w:rsidRPr="00993B55">
        <w:rPr>
          <w:rStyle w:val="libFootnoteBoldChar"/>
          <w:rtl/>
        </w:rPr>
        <w:t>فقه الرضا</w:t>
      </w:r>
      <w:r w:rsidR="008A74EB" w:rsidRPr="00C9040A">
        <w:rPr>
          <w:rtl/>
        </w:rPr>
        <w:t xml:space="preserve"> </w:t>
      </w:r>
      <w:r w:rsidR="00117575" w:rsidRPr="00117575">
        <w:rPr>
          <w:rStyle w:val="libFootnoteAlaemChar"/>
          <w:rtl/>
        </w:rPr>
        <w:t>عليه‌السلام</w:t>
      </w:r>
      <w:r w:rsidR="008A74EB" w:rsidRPr="00C9040A">
        <w:rPr>
          <w:rtl/>
        </w:rPr>
        <w:t xml:space="preserve"> ، ص 372 ، وفيه : « الكبر رداء الله من نازع الله رداءه قصمه »</w:t>
      </w:r>
      <w:r>
        <w:rPr>
          <w:rFonts w:hint="cs"/>
          <w:rtl/>
        </w:rPr>
        <w:t>.</w:t>
      </w:r>
      <w:r w:rsidR="008A74EB" w:rsidRPr="00993B55">
        <w:rPr>
          <w:rStyle w:val="libFootnoteBoldChar"/>
          <w:rtl/>
        </w:rPr>
        <w:t>الوافي</w:t>
      </w:r>
      <w:r w:rsidR="008A74EB" w:rsidRPr="00C9040A">
        <w:rPr>
          <w:rtl/>
        </w:rPr>
        <w:t xml:space="preserve"> ، ج 5 ، ص 870 ، ح 3183 ؛ </w:t>
      </w:r>
      <w:r w:rsidR="008A74EB" w:rsidRPr="00993B55">
        <w:rPr>
          <w:rStyle w:val="libFootnoteBoldChar"/>
          <w:rtl/>
        </w:rPr>
        <w:t>الوسائل</w:t>
      </w:r>
      <w:r w:rsidR="008A74EB" w:rsidRPr="00C9040A">
        <w:rPr>
          <w:rtl/>
        </w:rPr>
        <w:t xml:space="preserve"> ، ج 15 ، ص 380 ، ح 20802 ؛ </w:t>
      </w:r>
      <w:r w:rsidR="008A74EB" w:rsidRPr="00993B55">
        <w:rPr>
          <w:rStyle w:val="libFootnoteBoldChar"/>
          <w:rtl/>
        </w:rPr>
        <w:t>البحار</w:t>
      </w:r>
      <w:r w:rsidR="008A74EB" w:rsidRPr="00C9040A">
        <w:rPr>
          <w:rtl/>
        </w:rPr>
        <w:t xml:space="preserve"> ، ج 16 ، ص 272 ، ح 94 ، من قوله : « إنّ رسول الله </w:t>
      </w:r>
      <w:r w:rsidR="004A4E41" w:rsidRPr="00675829">
        <w:rPr>
          <w:rStyle w:val="libFootnoteAlaemChar"/>
          <w:rtl/>
        </w:rPr>
        <w:t>صلى‌الله‌عليه‌وآله</w:t>
      </w:r>
      <w:r w:rsidR="008A74EB" w:rsidRPr="00C9040A">
        <w:rPr>
          <w:rtl/>
        </w:rPr>
        <w:t xml:space="preserve"> مرّ » ؛ وج 73 ، ص 209 ، ح 2.</w:t>
      </w:r>
    </w:p>
    <w:tbl>
      <w:tblPr>
        <w:tblStyle w:val="TableGrid"/>
        <w:bidiVisual/>
        <w:tblW w:w="0" w:type="auto"/>
        <w:tblLook w:val="04A0" w:firstRow="1" w:lastRow="0" w:firstColumn="1" w:lastColumn="0" w:noHBand="0" w:noVBand="1"/>
      </w:tblPr>
      <w:tblGrid>
        <w:gridCol w:w="4006"/>
        <w:gridCol w:w="4006"/>
      </w:tblGrid>
      <w:tr w:rsidR="00675829" w:rsidTr="00675829">
        <w:tc>
          <w:tcPr>
            <w:tcW w:w="4006" w:type="dxa"/>
          </w:tcPr>
          <w:p w:rsidR="00675829" w:rsidRDefault="00675829" w:rsidP="004A4E41">
            <w:pPr>
              <w:pStyle w:val="libFootnote0"/>
              <w:rPr>
                <w:rtl/>
              </w:rPr>
            </w:pPr>
            <w:r>
              <w:rPr>
                <w:rtl/>
              </w:rPr>
              <w:t xml:space="preserve">(1). </w:t>
            </w:r>
            <w:r w:rsidRPr="00C9040A">
              <w:rPr>
                <w:rtl/>
              </w:rPr>
              <w:t>في الوافي وثواب الأعمال : « والكبرياء »</w:t>
            </w:r>
            <w:r>
              <w:rPr>
                <w:rtl/>
              </w:rPr>
              <w:t>.</w:t>
            </w:r>
          </w:p>
        </w:tc>
        <w:tc>
          <w:tcPr>
            <w:tcW w:w="4006" w:type="dxa"/>
          </w:tcPr>
          <w:p w:rsidR="00675829" w:rsidRDefault="00DA14A9" w:rsidP="004A4E41">
            <w:pPr>
              <w:pStyle w:val="libFootnote0"/>
              <w:rPr>
                <w:rtl/>
              </w:rPr>
            </w:pPr>
            <w:r>
              <w:rPr>
                <w:rtl/>
              </w:rPr>
              <w:t xml:space="preserve">(2). </w:t>
            </w:r>
            <w:r w:rsidRPr="00C9040A">
              <w:rPr>
                <w:rtl/>
              </w:rPr>
              <w:t>في حاشية « ج » : « منهما »</w:t>
            </w:r>
            <w:r>
              <w:rPr>
                <w:rtl/>
              </w:rPr>
              <w:t>.</w:t>
            </w:r>
          </w:p>
        </w:tc>
      </w:tr>
    </w:tbl>
    <w:p w:rsidR="008A74EB" w:rsidRPr="00C9040A" w:rsidRDefault="006C577F" w:rsidP="00366866">
      <w:pPr>
        <w:pStyle w:val="libFootnote0"/>
        <w:rPr>
          <w:rtl/>
          <w:lang w:bidi="fa-IR"/>
        </w:rPr>
      </w:pPr>
      <w:r>
        <w:rPr>
          <w:rtl/>
        </w:rPr>
        <w:t>(3).</w:t>
      </w:r>
      <w:r w:rsidR="008A74EB" w:rsidRPr="00C9040A">
        <w:rPr>
          <w:rtl/>
        </w:rPr>
        <w:t xml:space="preserve"> </w:t>
      </w:r>
      <w:r w:rsidR="008A74EB" w:rsidRPr="00993B55">
        <w:rPr>
          <w:rStyle w:val="libFootnoteBoldChar"/>
          <w:rtl/>
        </w:rPr>
        <w:t>ثواب الأعمال</w:t>
      </w:r>
      <w:r w:rsidR="008A74EB" w:rsidRPr="00C9040A">
        <w:rPr>
          <w:rtl/>
        </w:rPr>
        <w:t xml:space="preserve"> ، ص 264 ، ح 1 ، عن أبيه ، عن سعد بن عبدالله ، عن أحمد بن أبي عبدالله</w:t>
      </w:r>
      <w:r w:rsidR="00366866">
        <w:rPr>
          <w:rFonts w:hint="cs"/>
          <w:rtl/>
        </w:rPr>
        <w:t>.</w:t>
      </w:r>
      <w:r w:rsidR="008A74EB" w:rsidRPr="00993B55">
        <w:rPr>
          <w:rStyle w:val="libFootnoteBoldChar"/>
          <w:rtl/>
        </w:rPr>
        <w:t>الوافي</w:t>
      </w:r>
      <w:r w:rsidR="008A74EB" w:rsidRPr="00C9040A">
        <w:rPr>
          <w:rtl/>
        </w:rPr>
        <w:t xml:space="preserve"> ، ج 5 ، ص 869 ، ح 3180 ؛ </w:t>
      </w:r>
      <w:r w:rsidR="008A74EB" w:rsidRPr="00993B55">
        <w:rPr>
          <w:rStyle w:val="libFootnoteBoldChar"/>
          <w:rtl/>
        </w:rPr>
        <w:t>الوسائل</w:t>
      </w:r>
      <w:r w:rsidR="008A74EB" w:rsidRPr="00C9040A">
        <w:rPr>
          <w:rtl/>
        </w:rPr>
        <w:t xml:space="preserve"> ، ج 15 ، ص 374 ، ح 20782 ؛ </w:t>
      </w:r>
      <w:r w:rsidR="008A74EB" w:rsidRPr="00993B55">
        <w:rPr>
          <w:rStyle w:val="libFootnoteBoldChar"/>
          <w:rtl/>
        </w:rPr>
        <w:t>البحار</w:t>
      </w:r>
      <w:r w:rsidR="008A74EB" w:rsidRPr="00C9040A">
        <w:rPr>
          <w:rtl/>
        </w:rPr>
        <w:t xml:space="preserve"> ، ج 73 ، ص 213 ، ح 3.</w:t>
      </w:r>
    </w:p>
    <w:p w:rsidR="008A74EB" w:rsidRPr="00C9040A" w:rsidRDefault="006C577F" w:rsidP="00366866">
      <w:pPr>
        <w:pStyle w:val="libFootnote0"/>
        <w:rPr>
          <w:rtl/>
          <w:lang w:bidi="fa-IR"/>
        </w:rPr>
      </w:pPr>
      <w:r>
        <w:rPr>
          <w:rtl/>
        </w:rPr>
        <w:t>(4).</w:t>
      </w:r>
      <w:r w:rsidR="008A74EB" w:rsidRPr="00C9040A">
        <w:rPr>
          <w:rtl/>
        </w:rPr>
        <w:t xml:space="preserve"> </w:t>
      </w:r>
      <w:r w:rsidR="008A74EB" w:rsidRPr="00993B55">
        <w:rPr>
          <w:rStyle w:val="libFootnoteBoldChar"/>
          <w:rtl/>
        </w:rPr>
        <w:t>تحف العقول</w:t>
      </w:r>
      <w:r w:rsidR="008A74EB" w:rsidRPr="00C9040A">
        <w:rPr>
          <w:rtl/>
        </w:rPr>
        <w:t xml:space="preserve"> ، ص 292 ، وتمام الرواية فيه : « والله ، المتكبّر ينازع الله رداءه »</w:t>
      </w:r>
      <w:r w:rsidR="00366866">
        <w:rPr>
          <w:rFonts w:hint="cs"/>
          <w:rtl/>
        </w:rPr>
        <w:t>.</w:t>
      </w:r>
      <w:r w:rsidR="008A74EB" w:rsidRPr="00993B55">
        <w:rPr>
          <w:rStyle w:val="libFootnoteBoldChar"/>
          <w:rtl/>
        </w:rPr>
        <w:t>الوافي</w:t>
      </w:r>
      <w:r w:rsidR="008A74EB" w:rsidRPr="00C9040A">
        <w:rPr>
          <w:rtl/>
        </w:rPr>
        <w:t xml:space="preserve"> ، ج 5 ، ص 869 ، ح 3182 ؛ </w:t>
      </w:r>
      <w:r w:rsidR="008A74EB" w:rsidRPr="00993B55">
        <w:rPr>
          <w:rStyle w:val="libFootnoteBoldChar"/>
          <w:rtl/>
        </w:rPr>
        <w:t>الوسائل</w:t>
      </w:r>
      <w:r w:rsidR="008A74EB" w:rsidRPr="00C9040A">
        <w:rPr>
          <w:rtl/>
        </w:rPr>
        <w:t xml:space="preserve"> ، ج 15 ، ص 375 ، ح 20785 ؛ ا</w:t>
      </w:r>
      <w:r w:rsidR="008A74EB" w:rsidRPr="00993B55">
        <w:rPr>
          <w:rStyle w:val="libFootnoteBoldChar"/>
          <w:rtl/>
        </w:rPr>
        <w:t>لب</w:t>
      </w:r>
      <w:r w:rsidR="008A74EB" w:rsidRPr="00C9040A">
        <w:rPr>
          <w:rtl/>
        </w:rPr>
        <w:t>حار ، ج 73 ، ص 214 ، ح 4.</w:t>
      </w:r>
    </w:p>
    <w:tbl>
      <w:tblPr>
        <w:tblStyle w:val="TableGrid"/>
        <w:bidiVisual/>
        <w:tblW w:w="0" w:type="auto"/>
        <w:tblLook w:val="04A0" w:firstRow="1" w:lastRow="0" w:firstColumn="1" w:lastColumn="0" w:noHBand="0" w:noVBand="1"/>
      </w:tblPr>
      <w:tblGrid>
        <w:gridCol w:w="4006"/>
        <w:gridCol w:w="4006"/>
      </w:tblGrid>
      <w:tr w:rsidR="0038373C" w:rsidTr="0038373C">
        <w:tc>
          <w:tcPr>
            <w:tcW w:w="4006" w:type="dxa"/>
          </w:tcPr>
          <w:p w:rsidR="0038373C" w:rsidRDefault="0038373C" w:rsidP="004A4E41">
            <w:pPr>
              <w:pStyle w:val="libFootnote0"/>
              <w:rPr>
                <w:rtl/>
              </w:rPr>
            </w:pPr>
            <w:r>
              <w:rPr>
                <w:rtl/>
              </w:rPr>
              <w:t>(5).</w:t>
            </w:r>
            <w:r w:rsidRPr="00C9040A">
              <w:rPr>
                <w:rtl/>
              </w:rPr>
              <w:t xml:space="preserve"> في ثواب الأعمال : « الكبرياء »</w:t>
            </w:r>
            <w:r>
              <w:rPr>
                <w:rtl/>
              </w:rPr>
              <w:t>.</w:t>
            </w:r>
          </w:p>
        </w:tc>
        <w:tc>
          <w:tcPr>
            <w:tcW w:w="4006" w:type="dxa"/>
          </w:tcPr>
          <w:p w:rsidR="0038373C" w:rsidRDefault="0038373C" w:rsidP="004A4E41">
            <w:pPr>
              <w:pStyle w:val="libFootnote0"/>
              <w:rPr>
                <w:rtl/>
              </w:rPr>
            </w:pPr>
            <w:r>
              <w:rPr>
                <w:rtl/>
              </w:rPr>
              <w:t xml:space="preserve">(6). </w:t>
            </w:r>
            <w:r w:rsidRPr="00C9040A">
              <w:rPr>
                <w:rtl/>
              </w:rPr>
              <w:t xml:space="preserve">في « </w:t>
            </w:r>
            <w:r>
              <w:rPr>
                <w:rtl/>
              </w:rPr>
              <w:t xml:space="preserve">ه </w:t>
            </w:r>
            <w:r w:rsidRPr="00C9040A">
              <w:rPr>
                <w:rtl/>
              </w:rPr>
              <w:t>» : « نازعه » بدل « نازع الله »</w:t>
            </w:r>
            <w:r>
              <w:rPr>
                <w:rtl/>
              </w:rPr>
              <w:t>.</w:t>
            </w:r>
          </w:p>
        </w:tc>
      </w:tr>
    </w:tbl>
    <w:p w:rsidR="008A74EB" w:rsidRPr="00C9040A" w:rsidRDefault="006C577F" w:rsidP="004A4E41">
      <w:pPr>
        <w:pStyle w:val="libFootnote0"/>
        <w:rPr>
          <w:rtl/>
          <w:lang w:bidi="fa-IR"/>
        </w:rPr>
      </w:pPr>
      <w:r>
        <w:rPr>
          <w:rtl/>
        </w:rPr>
        <w:t>(7).</w:t>
      </w:r>
      <w:r w:rsidR="008A74EB" w:rsidRPr="00C9040A">
        <w:rPr>
          <w:rtl/>
        </w:rPr>
        <w:t xml:space="preserve"> في ثواب الأعمال : « كبّه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w:t>
      </w:r>
      <w:r w:rsidR="008A74EB" w:rsidRPr="00993B55">
        <w:rPr>
          <w:rStyle w:val="libFootnoteBoldChar"/>
          <w:rtl/>
        </w:rPr>
        <w:t>ثواب الأعمال</w:t>
      </w:r>
      <w:r w:rsidR="008A74EB" w:rsidRPr="00C9040A">
        <w:rPr>
          <w:rtl/>
        </w:rPr>
        <w:t xml:space="preserve"> ، ص 264 ، ح 2 ، بسنده عن محمّد بن عليّ الكوفي ، عن أبي جميلة المرادي ، عن أبي عبدالله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الزهد</w:t>
      </w:r>
      <w:r w:rsidR="008A74EB" w:rsidRPr="00C9040A">
        <w:rPr>
          <w:rtl/>
        </w:rPr>
        <w:t xml:space="preserve"> ، ص 130 ، ح 167 ، بسند آخر. </w:t>
      </w:r>
      <w:r w:rsidR="008A74EB" w:rsidRPr="00993B55">
        <w:rPr>
          <w:rStyle w:val="libFootnoteBoldChar"/>
          <w:rtl/>
        </w:rPr>
        <w:t>تحف العقول</w:t>
      </w:r>
      <w:r w:rsidR="008A74EB" w:rsidRPr="00C9040A">
        <w:rPr>
          <w:rtl/>
        </w:rPr>
        <w:t xml:space="preserve"> ، ص 396 ، عن موسى بن جعفر </w:t>
      </w:r>
      <w:r w:rsidR="00117575" w:rsidRPr="00117575">
        <w:rPr>
          <w:rStyle w:val="libFootnoteAlaemChar"/>
          <w:rtl/>
        </w:rPr>
        <w:t>عليه‌السلام</w:t>
      </w:r>
      <w:r w:rsidR="0038373C">
        <w:rPr>
          <w:rtl/>
        </w:rPr>
        <w:t>،</w:t>
      </w:r>
      <w:r w:rsidR="008A74EB" w:rsidRPr="00C9040A">
        <w:rPr>
          <w:rtl/>
        </w:rPr>
        <w:t xml:space="preserve">ضمن </w:t>
      </w:r>
      <w:r w:rsidR="0038373C">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304F34">
        <w:rPr>
          <w:rtl/>
        </w:rPr>
        <w:t>2565</w:t>
      </w:r>
      <w:r w:rsidRPr="00261CB0">
        <w:rPr>
          <w:rStyle w:val="libBold2Char"/>
          <w:rtl/>
        </w:rPr>
        <w:t xml:space="preserve"> / 6.</w:t>
      </w:r>
      <w:r w:rsidRPr="00C9040A">
        <w:rPr>
          <w:rtl/>
          <w:lang w:bidi="fa-IR"/>
        </w:rPr>
        <w:t xml:space="preserve"> عَنْهُ </w:t>
      </w:r>
      <w:r w:rsidR="006C577F" w:rsidRPr="006C577F">
        <w:rPr>
          <w:rStyle w:val="libFootnotenumChar"/>
          <w:rtl/>
        </w:rPr>
        <w:t>(1)</w:t>
      </w:r>
      <w:r w:rsidRPr="00C9040A">
        <w:rPr>
          <w:rtl/>
          <w:lang w:bidi="fa-IR"/>
        </w:rPr>
        <w:t xml:space="preserve"> ، عَنْ أَبِيهِ ، عَنِ الْقَاسِمِ بْنِ عُرْوَةَ ، عَنْ عَبْدِ اللهِ بْنِ بُكَيْرٍ ، عَنْ زُرَارَةَ </w:t>
      </w:r>
      <w:r w:rsidR="006C577F" w:rsidRPr="006C577F">
        <w:rPr>
          <w:rStyle w:val="libFootnotenumChar"/>
          <w:rtl/>
        </w:rPr>
        <w:t>(2)</w:t>
      </w:r>
      <w:r w:rsidRPr="00C9040A">
        <w:rPr>
          <w:rtl/>
          <w:lang w:bidi="fa-IR"/>
        </w:rPr>
        <w:t>:</w:t>
      </w:r>
    </w:p>
    <w:p w:rsidR="008A74EB" w:rsidRPr="00C9040A" w:rsidRDefault="008A74EB" w:rsidP="008A74EB">
      <w:pPr>
        <w:pStyle w:val="libNormal"/>
        <w:rPr>
          <w:rtl/>
          <w:lang w:bidi="fa-IR"/>
        </w:rPr>
      </w:pPr>
      <w:r w:rsidRPr="00C9040A">
        <w:rPr>
          <w:rtl/>
          <w:lang w:bidi="fa-IR"/>
        </w:rPr>
        <w:t xml:space="preserve">عَنْ أَبِي جَعْفَرٍ وَأَبِي عَبْدِ اللهِ </w:t>
      </w:r>
      <w:r w:rsidRPr="0003660B">
        <w:rPr>
          <w:rStyle w:val="libAlaemChar"/>
          <w:rtl/>
        </w:rPr>
        <w:t>عليهما‌السلام</w:t>
      </w:r>
      <w:r w:rsidRPr="00C9040A">
        <w:rPr>
          <w:rtl/>
          <w:lang w:bidi="fa-IR"/>
        </w:rPr>
        <w:t xml:space="preserve"> ، قَالَا </w:t>
      </w:r>
      <w:r w:rsidR="006C577F" w:rsidRPr="006C577F">
        <w:rPr>
          <w:rStyle w:val="libFootnotenumChar"/>
          <w:rtl/>
        </w:rPr>
        <w:t>(3)</w:t>
      </w:r>
      <w:r w:rsidRPr="00C9040A">
        <w:rPr>
          <w:rtl/>
          <w:lang w:bidi="fa-IR"/>
        </w:rPr>
        <w:t xml:space="preserve"> : « لَا يَدْخُلُ الْجَنَّةَ مَنْ فِي قَلْبِهِ مِثْقَالُ ذَرَّةٍ مِنْ كِبْرٍ </w:t>
      </w:r>
      <w:r w:rsidR="006C577F" w:rsidRPr="006C577F">
        <w:rPr>
          <w:rStyle w:val="libFootnotenumChar"/>
          <w:rtl/>
        </w:rPr>
        <w:t>(4)</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304F34">
        <w:rPr>
          <w:rtl/>
        </w:rPr>
        <w:t>2566</w:t>
      </w:r>
      <w:r w:rsidRPr="00261CB0">
        <w:rPr>
          <w:rStyle w:val="libBold2Char"/>
          <w:rtl/>
        </w:rPr>
        <w:t xml:space="preserve"> / 7.</w:t>
      </w:r>
      <w:r w:rsidRPr="00C9040A">
        <w:rPr>
          <w:rtl/>
          <w:lang w:bidi="fa-IR"/>
        </w:rPr>
        <w:t xml:space="preserve"> عَلِيُّ بْنُ إِبْرَاهِيمَ ، عَنْ مُحَمَّدِ بْنِ عِيسى ، عَنْ يُونُسَ ، عَنْ أَبِي أَيُّوبَ ، عَنْ مُحَمَّدِ بْنِ مُسْلِمٍ :</w:t>
      </w:r>
    </w:p>
    <w:p w:rsidR="008A74EB" w:rsidRPr="00C9040A" w:rsidRDefault="008A74EB" w:rsidP="008A74EB">
      <w:pPr>
        <w:pStyle w:val="libNormal"/>
        <w:rPr>
          <w:rtl/>
          <w:lang w:bidi="fa-IR"/>
        </w:rPr>
      </w:pPr>
      <w:r w:rsidRPr="00C9040A">
        <w:rPr>
          <w:rtl/>
          <w:lang w:bidi="fa-IR"/>
        </w:rPr>
        <w:t xml:space="preserve">عَنْ أَحَدِهِمَا </w:t>
      </w:r>
      <w:r w:rsidRPr="0003660B">
        <w:rPr>
          <w:rStyle w:val="libAlaemChar"/>
          <w:rtl/>
        </w:rPr>
        <w:t>عليهما‌السلام</w:t>
      </w:r>
      <w:r w:rsidRPr="00C9040A">
        <w:rPr>
          <w:rtl/>
          <w:lang w:bidi="fa-IR"/>
        </w:rPr>
        <w:t xml:space="preserve"> ، قَالَ : « لَا يَدْخُلُ الْجَنَّةَ مَنْ كَانَ فِي قَلْبِهِ مِثْقَالُ حَبَّةٍ مِنْ خَرْدَلٍ مِنَ الْكِبْرِ »</w:t>
      </w:r>
      <w:r>
        <w:rPr>
          <w:rtl/>
          <w:lang w:bidi="fa-IR"/>
        </w:rPr>
        <w:t>.</w:t>
      </w:r>
      <w:r w:rsidRPr="00C9040A">
        <w:rPr>
          <w:rtl/>
          <w:lang w:bidi="fa-IR"/>
        </w:rPr>
        <w:t xml:space="preserve"> قَالَ : فَاسْتَرْجَعْتُ </w:t>
      </w:r>
      <w:r w:rsidR="006C577F" w:rsidRPr="006C577F">
        <w:rPr>
          <w:rStyle w:val="libFootnotenumChar"/>
          <w:rtl/>
        </w:rPr>
        <w:t>(6)</w:t>
      </w:r>
      <w:r w:rsidRPr="005B567D">
        <w:rPr>
          <w:rStyle w:val="libFootnotenumChar"/>
          <w:rtl/>
        </w:rPr>
        <w:t xml:space="preserve"> </w:t>
      </w:r>
      <w:r w:rsidRPr="00C9040A">
        <w:rPr>
          <w:rtl/>
          <w:lang w:bidi="fa-IR"/>
        </w:rPr>
        <w:t>، فَقَالَ : « مَا لَكَ تَسْتَرْجِعُ</w:t>
      </w:r>
      <w:r>
        <w:rPr>
          <w:rtl/>
          <w:lang w:bidi="fa-IR"/>
        </w:rPr>
        <w:t>؟</w:t>
      </w:r>
      <w:r w:rsidRPr="00C9040A">
        <w:rPr>
          <w:rtl/>
          <w:lang w:bidi="fa-IR"/>
        </w:rPr>
        <w:t xml:space="preserve"> » قُلْتُ : لِمَا سَمِعْتُ مِنْكَ ، فَقَالَ :</w:t>
      </w:r>
      <w:r>
        <w:rPr>
          <w:rFonts w:hint="cs"/>
          <w:rtl/>
          <w:lang w:bidi="fa-IR"/>
        </w:rPr>
        <w:t xml:space="preserve"> </w:t>
      </w:r>
      <w:r w:rsidRPr="00C9040A">
        <w:rPr>
          <w:rtl/>
          <w:lang w:bidi="fa-IR"/>
        </w:rPr>
        <w:t xml:space="preserve">« لَيْسَ حَيْثُ تَذْهَبُ ، إِنَّمَا أَعْنِي الْجُحُودَ ، إِنَّمَا هُوَ </w:t>
      </w:r>
      <w:r w:rsidR="006C577F" w:rsidRPr="006C577F">
        <w:rPr>
          <w:rStyle w:val="libFootnotenumChar"/>
          <w:rtl/>
        </w:rPr>
        <w:t>(7)</w:t>
      </w:r>
      <w:r w:rsidRPr="00C9040A">
        <w:rPr>
          <w:rtl/>
          <w:lang w:bidi="fa-IR"/>
        </w:rPr>
        <w:t xml:space="preserve"> الْجُحُودُ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Normal"/>
        <w:rPr>
          <w:rtl/>
          <w:lang w:bidi="fa-IR"/>
        </w:rPr>
      </w:pPr>
      <w:r w:rsidRPr="00304F34">
        <w:rPr>
          <w:rtl/>
        </w:rPr>
        <w:t>2567</w:t>
      </w:r>
      <w:r w:rsidRPr="00261CB0">
        <w:rPr>
          <w:rStyle w:val="libBold2Char"/>
          <w:rtl/>
        </w:rPr>
        <w:t xml:space="preserve"> / 8.</w:t>
      </w:r>
      <w:r w:rsidRPr="00C9040A">
        <w:rPr>
          <w:rtl/>
          <w:lang w:bidi="fa-IR"/>
        </w:rPr>
        <w:t xml:space="preserve"> أَبُو عَلِيٍّ الْأَشْعَرِيُّ ، عَنْ مُحَمَّدِ بْنِ عَبْدِ الْجَبَّارِ ، عَنِ ابْنِ فَضَّالٍ ، عَنْ عَلِيِّ بْنِ‌</w:t>
      </w:r>
    </w:p>
    <w:p w:rsidR="008A74EB" w:rsidRPr="00C9040A" w:rsidRDefault="008A74EB" w:rsidP="008A74EB">
      <w:pPr>
        <w:pStyle w:val="libLine"/>
        <w:rPr>
          <w:rtl/>
          <w:lang w:bidi="fa-IR"/>
        </w:rPr>
      </w:pPr>
      <w:r w:rsidRPr="00C9040A">
        <w:rPr>
          <w:rtl/>
          <w:lang w:bidi="fa-IR"/>
        </w:rPr>
        <w:t>__________________</w:t>
      </w:r>
    </w:p>
    <w:p w:rsidR="008A74EB" w:rsidRPr="00C9040A" w:rsidRDefault="0038373C" w:rsidP="0038373C">
      <w:pPr>
        <w:pStyle w:val="libFootnote0"/>
        <w:rPr>
          <w:rtl/>
          <w:lang w:bidi="fa-IR"/>
        </w:rPr>
      </w:pPr>
      <w:r>
        <w:rPr>
          <w:rFonts w:hint="cs"/>
          <w:rtl/>
        </w:rPr>
        <w:t xml:space="preserve">= </w:t>
      </w:r>
      <w:r w:rsidR="008A74EB" w:rsidRPr="00C9040A">
        <w:rPr>
          <w:rtl/>
        </w:rPr>
        <w:t>وصيّته للهشام ، وفيهما مع اختلاف</w:t>
      </w:r>
      <w:r>
        <w:rPr>
          <w:rFonts w:hint="cs"/>
          <w:rtl/>
        </w:rPr>
        <w:t>.</w:t>
      </w:r>
      <w:r w:rsidR="008A74EB" w:rsidRPr="00993B55">
        <w:rPr>
          <w:rStyle w:val="libFootnoteBoldChar"/>
          <w:rtl/>
        </w:rPr>
        <w:t>الوافي</w:t>
      </w:r>
      <w:r w:rsidR="008A74EB" w:rsidRPr="00C9040A">
        <w:rPr>
          <w:rtl/>
        </w:rPr>
        <w:t xml:space="preserve"> ، ج 5 ، ص 869 ، ح 3181 ؛ </w:t>
      </w:r>
      <w:r w:rsidR="008A74EB" w:rsidRPr="00993B55">
        <w:rPr>
          <w:rStyle w:val="libFootnoteBoldChar"/>
          <w:rtl/>
        </w:rPr>
        <w:t>الوسائل</w:t>
      </w:r>
      <w:r w:rsidR="008A74EB" w:rsidRPr="00C9040A">
        <w:rPr>
          <w:rtl/>
        </w:rPr>
        <w:t xml:space="preserve"> ، ج 15 ، ص 374 ، ح 20783 ؛ </w:t>
      </w:r>
      <w:r w:rsidR="008A74EB" w:rsidRPr="00993B55">
        <w:rPr>
          <w:rStyle w:val="libFootnoteBoldChar"/>
          <w:rtl/>
        </w:rPr>
        <w:t>البحار</w:t>
      </w:r>
      <w:r w:rsidR="008A74EB" w:rsidRPr="00C9040A">
        <w:rPr>
          <w:rtl/>
        </w:rPr>
        <w:t xml:space="preserve"> ، ج 73 ، ص 215 ، ح 5.</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الضمير راجع إلى أحمد بن محمّد بن خالد المذكور في السند السابق.</w:t>
      </w:r>
    </w:p>
    <w:tbl>
      <w:tblPr>
        <w:tblStyle w:val="TableGrid"/>
        <w:bidiVisual/>
        <w:tblW w:w="0" w:type="auto"/>
        <w:tblLook w:val="04A0" w:firstRow="1" w:lastRow="0" w:firstColumn="1" w:lastColumn="0" w:noHBand="0" w:noVBand="1"/>
      </w:tblPr>
      <w:tblGrid>
        <w:gridCol w:w="4006"/>
        <w:gridCol w:w="4006"/>
      </w:tblGrid>
      <w:tr w:rsidR="0038373C" w:rsidTr="0038373C">
        <w:tc>
          <w:tcPr>
            <w:tcW w:w="4006" w:type="dxa"/>
          </w:tcPr>
          <w:p w:rsidR="0038373C" w:rsidRDefault="0038373C" w:rsidP="004A4E41">
            <w:pPr>
              <w:pStyle w:val="libFootnote0"/>
              <w:rPr>
                <w:rtl/>
              </w:rPr>
            </w:pPr>
            <w:r>
              <w:rPr>
                <w:rtl/>
              </w:rPr>
              <w:t xml:space="preserve">(2). </w:t>
            </w:r>
            <w:r w:rsidRPr="00C9040A">
              <w:rPr>
                <w:rtl/>
              </w:rPr>
              <w:t xml:space="preserve">في « ص ، </w:t>
            </w:r>
            <w:r>
              <w:rPr>
                <w:rtl/>
              </w:rPr>
              <w:t xml:space="preserve">ه </w:t>
            </w:r>
            <w:r w:rsidRPr="00C9040A">
              <w:rPr>
                <w:rtl/>
              </w:rPr>
              <w:t>» : + « بن أعين »</w:t>
            </w:r>
            <w:r>
              <w:rPr>
                <w:rtl/>
              </w:rPr>
              <w:t>.</w:t>
            </w:r>
          </w:p>
        </w:tc>
        <w:tc>
          <w:tcPr>
            <w:tcW w:w="4006" w:type="dxa"/>
          </w:tcPr>
          <w:p w:rsidR="0038373C" w:rsidRDefault="0038373C" w:rsidP="004A4E41">
            <w:pPr>
              <w:pStyle w:val="libFootnote0"/>
              <w:rPr>
                <w:rtl/>
              </w:rPr>
            </w:pPr>
            <w:r>
              <w:rPr>
                <w:rtl/>
              </w:rPr>
              <w:t>(3).</w:t>
            </w:r>
            <w:r w:rsidRPr="00C9040A">
              <w:rPr>
                <w:rtl/>
              </w:rPr>
              <w:t xml:space="preserve"> في « </w:t>
            </w:r>
            <w:r>
              <w:rPr>
                <w:rtl/>
              </w:rPr>
              <w:t xml:space="preserve">ه </w:t>
            </w:r>
            <w:r w:rsidRPr="00C9040A">
              <w:rPr>
                <w:rtl/>
              </w:rPr>
              <w:t>» : « قال »</w:t>
            </w:r>
            <w:r>
              <w:rPr>
                <w:rtl/>
              </w:rPr>
              <w:t>.</w:t>
            </w:r>
          </w:p>
        </w:tc>
      </w:tr>
    </w:tbl>
    <w:p w:rsidR="008A74EB" w:rsidRPr="00C9040A" w:rsidRDefault="006C577F" w:rsidP="004A4E41">
      <w:pPr>
        <w:pStyle w:val="libFootnote0"/>
        <w:rPr>
          <w:rtl/>
          <w:lang w:bidi="fa-IR"/>
        </w:rPr>
      </w:pPr>
      <w:r>
        <w:rPr>
          <w:rtl/>
        </w:rPr>
        <w:t>(4).</w:t>
      </w:r>
      <w:r w:rsidR="008A74EB" w:rsidRPr="00C9040A">
        <w:rPr>
          <w:rtl/>
        </w:rPr>
        <w:t xml:space="preserve"> في « </w:t>
      </w:r>
      <w:r w:rsidR="006D3162">
        <w:rPr>
          <w:rtl/>
        </w:rPr>
        <w:t xml:space="preserve">ه </w:t>
      </w:r>
      <w:r w:rsidR="008A74EB" w:rsidRPr="00C9040A">
        <w:rPr>
          <w:rtl/>
        </w:rPr>
        <w:t>» : « الكبر »</w:t>
      </w:r>
      <w:r w:rsidR="008A74EB">
        <w:rPr>
          <w:rtl/>
        </w:rPr>
        <w:t>.</w:t>
      </w:r>
    </w:p>
    <w:p w:rsidR="008A74EB" w:rsidRPr="00C9040A" w:rsidRDefault="006C577F" w:rsidP="0038373C">
      <w:pPr>
        <w:pStyle w:val="libFootnote0"/>
        <w:rPr>
          <w:rtl/>
          <w:lang w:bidi="fa-IR"/>
        </w:rPr>
      </w:pPr>
      <w:r>
        <w:rPr>
          <w:rtl/>
        </w:rPr>
        <w:t>(5).</w:t>
      </w:r>
      <w:r w:rsidR="008A74EB" w:rsidRPr="00C9040A">
        <w:rPr>
          <w:rtl/>
        </w:rPr>
        <w:t xml:space="preserve"> </w:t>
      </w:r>
      <w:r w:rsidR="008A74EB" w:rsidRPr="00993B55">
        <w:rPr>
          <w:rStyle w:val="libFootnoteBoldChar"/>
          <w:rtl/>
        </w:rPr>
        <w:t>ثواب الأعمال</w:t>
      </w:r>
      <w:r w:rsidR="008A74EB" w:rsidRPr="00C9040A">
        <w:rPr>
          <w:rtl/>
        </w:rPr>
        <w:t xml:space="preserve"> ، ص 264 ، ح 4 ، بسنده عن أحمد بن أبي عبدالله ، عن أبيه ، عن القاسم بن عروة. </w:t>
      </w:r>
      <w:r w:rsidR="008A74EB" w:rsidRPr="00993B55">
        <w:rPr>
          <w:rStyle w:val="libFootnoteBoldChar"/>
          <w:rtl/>
        </w:rPr>
        <w:t>الزهد</w:t>
      </w:r>
      <w:r w:rsidR="008A74EB" w:rsidRPr="00C9040A">
        <w:rPr>
          <w:rtl/>
        </w:rPr>
        <w:t xml:space="preserve"> ، ص 129 ، ح 165 ، بسند آخر. وفي </w:t>
      </w:r>
      <w:r w:rsidR="008A74EB" w:rsidRPr="00993B55">
        <w:rPr>
          <w:rStyle w:val="libFootnoteBoldChar"/>
          <w:rtl/>
        </w:rPr>
        <w:t>ثواب الأعمال</w:t>
      </w:r>
      <w:r w:rsidR="008A74EB" w:rsidRPr="00C9040A">
        <w:rPr>
          <w:rtl/>
        </w:rPr>
        <w:t xml:space="preserve"> ، ص 264 ، ح 5 ؛ و</w:t>
      </w:r>
      <w:r w:rsidR="008A74EB" w:rsidRPr="00993B55">
        <w:rPr>
          <w:rStyle w:val="libFootnoteBoldChar"/>
          <w:rtl/>
        </w:rPr>
        <w:t>معاني الأخبار</w:t>
      </w:r>
      <w:r w:rsidR="008A74EB" w:rsidRPr="00C9040A">
        <w:rPr>
          <w:rtl/>
        </w:rPr>
        <w:t xml:space="preserve"> ، ص 241 ، ح 1 ، بسند آخر </w:t>
      </w:r>
      <w:r w:rsidR="0038373C">
        <w:rPr>
          <w:rFonts w:hint="cs"/>
          <w:rtl/>
        </w:rPr>
        <w:t>؟</w:t>
      </w:r>
      <w:r w:rsidR="008A74EB" w:rsidRPr="00C9040A">
        <w:rPr>
          <w:rtl/>
        </w:rPr>
        <w:t xml:space="preserve"> مع زيادة في آخره. </w:t>
      </w:r>
      <w:r w:rsidR="008A74EB" w:rsidRPr="00993B55">
        <w:rPr>
          <w:rStyle w:val="libFootnoteBoldChar"/>
          <w:rtl/>
        </w:rPr>
        <w:t>تحف العقول</w:t>
      </w:r>
      <w:r w:rsidR="008A74EB" w:rsidRPr="00C9040A">
        <w:rPr>
          <w:rtl/>
        </w:rPr>
        <w:t xml:space="preserve"> ، ص 396 ، عن موسى بن جعفر </w:t>
      </w:r>
      <w:r w:rsidR="00117575" w:rsidRPr="00117575">
        <w:rPr>
          <w:rStyle w:val="libFootnoteAlaemChar"/>
          <w:rtl/>
        </w:rPr>
        <w:t>عليه‌السلام</w:t>
      </w:r>
      <w:r w:rsidR="008A74EB" w:rsidRPr="00C9040A">
        <w:rPr>
          <w:rtl/>
        </w:rPr>
        <w:t xml:space="preserve"> ، ضمن وصيّته للهشام ، وفي الأربعة الأخيرة مع اختلاف يسير</w:t>
      </w:r>
      <w:r w:rsidR="0038373C">
        <w:rPr>
          <w:rFonts w:hint="cs"/>
          <w:rtl/>
        </w:rPr>
        <w:t>.</w:t>
      </w:r>
      <w:r w:rsidR="008A74EB" w:rsidRPr="00993B55">
        <w:rPr>
          <w:rStyle w:val="libFootnoteBoldChar"/>
          <w:rtl/>
        </w:rPr>
        <w:t>الوافي</w:t>
      </w:r>
      <w:r w:rsidR="008A74EB" w:rsidRPr="00C9040A">
        <w:rPr>
          <w:rtl/>
        </w:rPr>
        <w:t xml:space="preserve"> ، ج 5 ، ص 871 ، ح 3187 ؛ </w:t>
      </w:r>
      <w:r w:rsidR="008A74EB" w:rsidRPr="00993B55">
        <w:rPr>
          <w:rStyle w:val="libFootnoteBoldChar"/>
          <w:rtl/>
        </w:rPr>
        <w:t>الوسائل</w:t>
      </w:r>
      <w:r w:rsidR="008A74EB" w:rsidRPr="00C9040A">
        <w:rPr>
          <w:rtl/>
        </w:rPr>
        <w:t xml:space="preserve"> ، ج 15 ، ص 374 ، ح 20784 ؛ </w:t>
      </w:r>
      <w:r w:rsidR="008A74EB" w:rsidRPr="00993B55">
        <w:rPr>
          <w:rStyle w:val="libFootnoteBoldChar"/>
          <w:rtl/>
        </w:rPr>
        <w:t>البحار</w:t>
      </w:r>
      <w:r w:rsidR="008A74EB" w:rsidRPr="00C9040A">
        <w:rPr>
          <w:rtl/>
        </w:rPr>
        <w:t xml:space="preserve"> ، ج 73 ، ص 215 ، ح 6.</w:t>
      </w:r>
    </w:p>
    <w:p w:rsidR="008A74EB" w:rsidRPr="00C9040A" w:rsidRDefault="006C577F" w:rsidP="0038373C">
      <w:pPr>
        <w:pStyle w:val="libFootnote0"/>
        <w:rPr>
          <w:rtl/>
          <w:lang w:bidi="fa-IR"/>
        </w:rPr>
      </w:pPr>
      <w:r>
        <w:rPr>
          <w:rtl/>
        </w:rPr>
        <w:t>(6).</w:t>
      </w:r>
      <w:r w:rsidR="008A74EB">
        <w:rPr>
          <w:rtl/>
        </w:rPr>
        <w:t xml:space="preserve"> </w:t>
      </w:r>
      <w:r w:rsidR="008A74EB" w:rsidRPr="00C9040A">
        <w:rPr>
          <w:rtl/>
        </w:rPr>
        <w:t xml:space="preserve">الاسترجاع : أن يقول الإنسان عند المصيبة : </w:t>
      </w:r>
      <w:r w:rsidR="0038373C" w:rsidRPr="0038373C">
        <w:rPr>
          <w:rStyle w:val="libFootnoteAlaemChar"/>
          <w:rFonts w:hint="cs"/>
          <w:rtl/>
        </w:rPr>
        <w:t>(</w:t>
      </w:r>
      <w:r w:rsidR="008A74EB" w:rsidRPr="0038373C">
        <w:rPr>
          <w:rStyle w:val="libFootnoteAieChar"/>
          <w:rtl/>
        </w:rPr>
        <w:t xml:space="preserve"> إِنّ</w:t>
      </w:r>
      <w:r w:rsidR="0038373C" w:rsidRPr="0038373C">
        <w:rPr>
          <w:rStyle w:val="libFootnoteAieChar"/>
          <w:rtl/>
        </w:rPr>
        <w:t>َا لِلَّهِ وَإِنَّآ إِلَيْهِ رَ</w:t>
      </w:r>
      <w:r w:rsidR="0038373C" w:rsidRPr="0038373C">
        <w:rPr>
          <w:rStyle w:val="libFootnoteAieChar"/>
          <w:rFonts w:hint="cs"/>
          <w:rtl/>
        </w:rPr>
        <w:t>ا</w:t>
      </w:r>
      <w:r w:rsidR="008A74EB" w:rsidRPr="0038373C">
        <w:rPr>
          <w:rStyle w:val="libFootnoteAieChar"/>
          <w:rtl/>
        </w:rPr>
        <w:t xml:space="preserve">جِعُونَ </w:t>
      </w:r>
      <w:r w:rsidR="0038373C" w:rsidRPr="0038373C">
        <w:rPr>
          <w:rStyle w:val="libFootnoteAlaemChar"/>
          <w:rFonts w:hint="cs"/>
          <w:rtl/>
        </w:rPr>
        <w:t>)</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ب » : « وهو »</w:t>
      </w:r>
      <w:r w:rsidR="008A74EB">
        <w:rPr>
          <w:rtl/>
        </w:rPr>
        <w:t>.</w:t>
      </w:r>
    </w:p>
    <w:p w:rsidR="008A74EB" w:rsidRPr="00C9040A" w:rsidRDefault="006C577F" w:rsidP="0038373C">
      <w:pPr>
        <w:pStyle w:val="libFootnote0"/>
        <w:rPr>
          <w:rtl/>
          <w:lang w:bidi="fa-IR"/>
        </w:rPr>
      </w:pPr>
      <w:r>
        <w:rPr>
          <w:rtl/>
        </w:rPr>
        <w:t>(8).</w:t>
      </w:r>
      <w:r w:rsidR="008A74EB" w:rsidRPr="00C9040A">
        <w:rPr>
          <w:rtl/>
        </w:rPr>
        <w:t xml:space="preserve"> </w:t>
      </w:r>
      <w:r w:rsidR="008A74EB" w:rsidRPr="00993B55">
        <w:rPr>
          <w:rStyle w:val="libFootnoteBoldChar"/>
          <w:rtl/>
        </w:rPr>
        <w:t>معاني الأخبار</w:t>
      </w:r>
      <w:r w:rsidR="008A74EB" w:rsidRPr="00C9040A">
        <w:rPr>
          <w:rtl/>
        </w:rPr>
        <w:t xml:space="preserve"> ، ص 241 ، صدر ح 2 ، بسنده عن يونس بن عبدالرحمن ، عن أبي أيّوب الخزّاز ، عن محمّد بن مسلم ، عن أحدهما </w:t>
      </w:r>
      <w:r w:rsidR="00117575" w:rsidRPr="00117575">
        <w:rPr>
          <w:rStyle w:val="libFootnoteAlaemChar"/>
          <w:rtl/>
        </w:rPr>
        <w:t>عليهما‌السلام</w:t>
      </w:r>
      <w:r w:rsidR="008A74EB" w:rsidRPr="00C9040A">
        <w:rPr>
          <w:rtl/>
        </w:rPr>
        <w:t xml:space="preserve"> ، إلى قوله : « من خردل من الكبر » مع زيادة في آخره. </w:t>
      </w:r>
      <w:r w:rsidR="008A74EB" w:rsidRPr="00993B55">
        <w:rPr>
          <w:rStyle w:val="libFootnoteBoldChar"/>
          <w:rtl/>
        </w:rPr>
        <w:t>وفيه</w:t>
      </w:r>
      <w:r w:rsidR="008A74EB" w:rsidRPr="00C9040A">
        <w:rPr>
          <w:rtl/>
        </w:rPr>
        <w:t xml:space="preserve"> ، ح 3 ، بسند آخر عن يزيد بن فرقد ، عمّن سمع أبا عبدالله </w:t>
      </w:r>
      <w:r w:rsidR="00117575" w:rsidRPr="00117575">
        <w:rPr>
          <w:rStyle w:val="libFootnoteAlaemChar"/>
          <w:rtl/>
        </w:rPr>
        <w:t>عليه‌السلام</w:t>
      </w:r>
      <w:r w:rsidR="008A74EB" w:rsidRPr="00C9040A">
        <w:rPr>
          <w:rtl/>
        </w:rPr>
        <w:t xml:space="preserve"> ، مع اختلاف يسير</w:t>
      </w:r>
      <w:r w:rsidR="0038373C">
        <w:rPr>
          <w:rFonts w:hint="cs"/>
          <w:rtl/>
        </w:rPr>
        <w:t>.</w:t>
      </w:r>
      <w:r w:rsidR="008A74EB" w:rsidRPr="00993B55">
        <w:rPr>
          <w:rStyle w:val="libFootnoteBoldChar"/>
          <w:rtl/>
        </w:rPr>
        <w:t>الوافي</w:t>
      </w:r>
      <w:r w:rsidR="008A74EB" w:rsidRPr="00C9040A">
        <w:rPr>
          <w:rtl/>
        </w:rPr>
        <w:t xml:space="preserve"> ، ج 5 ، ص 871 ، ح 3188 ؛ </w:t>
      </w:r>
      <w:r w:rsidR="008A74EB" w:rsidRPr="00993B55">
        <w:rPr>
          <w:rStyle w:val="libFootnoteBoldChar"/>
          <w:rtl/>
        </w:rPr>
        <w:t>الوسائل</w:t>
      </w:r>
      <w:r w:rsidR="008A74EB" w:rsidRPr="00C9040A">
        <w:rPr>
          <w:rtl/>
        </w:rPr>
        <w:t xml:space="preserve"> ، ج 15 ، ص 5 ، ح 20814 ؛ </w:t>
      </w:r>
      <w:r w:rsidR="008A74EB" w:rsidRPr="00993B55">
        <w:rPr>
          <w:rStyle w:val="libFootnoteBoldChar"/>
          <w:rtl/>
        </w:rPr>
        <w:t>البحار</w:t>
      </w:r>
      <w:r w:rsidR="008A74EB" w:rsidRPr="00C9040A">
        <w:rPr>
          <w:rtl/>
        </w:rPr>
        <w:t xml:space="preserve"> ، ج 73 ، ص 216 ، ح 7.</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عُقْبَةَ ، عَنْ أَيُّوبَ بْنِ حُرٍّ </w:t>
      </w:r>
      <w:r w:rsidR="006C577F" w:rsidRPr="006C577F">
        <w:rPr>
          <w:rStyle w:val="libFootnotenumChar"/>
          <w:rtl/>
        </w:rPr>
        <w:t>(1)</w:t>
      </w:r>
      <w:r w:rsidRPr="00C9040A">
        <w:rPr>
          <w:rtl/>
          <w:lang w:bidi="fa-IR"/>
        </w:rPr>
        <w:t xml:space="preserve"> ، عَنْ عَبْدِ الْأَعْلى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w:t>
      </w:r>
      <w:r w:rsidR="006C577F" w:rsidRPr="006C577F">
        <w:rPr>
          <w:rStyle w:val="libFootnotenumChar"/>
          <w:rtl/>
        </w:rPr>
        <w:t>(2)</w:t>
      </w:r>
      <w:r w:rsidRPr="00C9040A">
        <w:rPr>
          <w:rtl/>
          <w:lang w:bidi="fa-IR"/>
        </w:rPr>
        <w:t xml:space="preserve"> : « الْكِبْرُ أَنْ تَغْمِصَ </w:t>
      </w:r>
      <w:r w:rsidR="006C577F" w:rsidRPr="006C577F">
        <w:rPr>
          <w:rStyle w:val="libFootnotenumChar"/>
          <w:rtl/>
        </w:rPr>
        <w:t>(3)</w:t>
      </w:r>
      <w:r w:rsidRPr="00C9040A">
        <w:rPr>
          <w:rtl/>
          <w:lang w:bidi="fa-IR"/>
        </w:rPr>
        <w:t xml:space="preserve"> النَّاسَ ، وَتَسْفَهَ </w:t>
      </w:r>
      <w:r w:rsidR="006C577F" w:rsidRPr="006C577F">
        <w:rPr>
          <w:rStyle w:val="libFootnotenumChar"/>
          <w:rtl/>
        </w:rPr>
        <w:t>(4)</w:t>
      </w:r>
      <w:r w:rsidRPr="00C9040A">
        <w:rPr>
          <w:rtl/>
          <w:lang w:bidi="fa-IR"/>
        </w:rPr>
        <w:t xml:space="preserve"> الْحَقَّ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304F34">
        <w:rPr>
          <w:rtl/>
        </w:rPr>
        <w:t>2568</w:t>
      </w:r>
      <w:r w:rsidRPr="00261CB0">
        <w:rPr>
          <w:rStyle w:val="libBold2Char"/>
          <w:rtl/>
        </w:rPr>
        <w:t xml:space="preserve"> / 9.</w:t>
      </w:r>
      <w:r w:rsidRPr="00C9040A">
        <w:rPr>
          <w:rtl/>
          <w:lang w:bidi="fa-IR"/>
        </w:rPr>
        <w:t xml:space="preserve"> مُحَمَّدُ بْنُ يَحْيى ، عَنْ أَحْمَدَ بْنِ مُحَمَّدِ بْنِ عِيسى ، عَنْ عَلِيِّ بْنِ الْحَكَمِ ، عَنْ سَيْفِ بْنِ عَمِيرَةَ </w:t>
      </w:r>
      <w:r w:rsidR="006C577F" w:rsidRPr="006C577F">
        <w:rPr>
          <w:rStyle w:val="libFootnotenumChar"/>
          <w:rtl/>
        </w:rPr>
        <w:t>(6)</w:t>
      </w:r>
      <w:r w:rsidRPr="005B567D">
        <w:rPr>
          <w:rStyle w:val="libFootnotenumChar"/>
          <w:rtl/>
        </w:rPr>
        <w:t xml:space="preserve"> </w:t>
      </w:r>
      <w:r w:rsidRPr="00C9040A">
        <w:rPr>
          <w:rtl/>
          <w:lang w:bidi="fa-IR"/>
        </w:rPr>
        <w:t>، عَنْ عَبْدِ الْأَعْلَى بْنِ أَعْيَنَ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قَالَ رَسُولُ اللهِ </w:t>
      </w:r>
      <w:r w:rsidR="004A4E41" w:rsidRPr="004A4E41">
        <w:rPr>
          <w:rStyle w:val="libAlaemChar"/>
          <w:rtl/>
        </w:rPr>
        <w:t>صلى‌الله‌عليه‌وآله</w:t>
      </w:r>
      <w:r w:rsidRPr="00C9040A">
        <w:rPr>
          <w:rtl/>
          <w:lang w:bidi="fa-IR"/>
        </w:rPr>
        <w:t xml:space="preserve"> : إِنَّ أَعْظَمَ الْكِبْرِ غَمْصُ الْخَلْقِ </w:t>
      </w:r>
      <w:r w:rsidR="006C577F" w:rsidRPr="006C577F">
        <w:rPr>
          <w:rStyle w:val="libFootnotenumChar"/>
          <w:rtl/>
        </w:rPr>
        <w:t>(7)</w:t>
      </w:r>
      <w:r w:rsidRPr="00C9040A">
        <w:rPr>
          <w:rtl/>
          <w:lang w:bidi="fa-IR"/>
        </w:rPr>
        <w:t xml:space="preserve"> ، وَسَفَهُ الْحَقِّ »</w:t>
      </w:r>
      <w:r>
        <w:rPr>
          <w:rtl/>
          <w:lang w:bidi="fa-IR"/>
        </w:rPr>
        <w:t>.</w:t>
      </w:r>
    </w:p>
    <w:p w:rsidR="008A74EB" w:rsidRPr="00C9040A" w:rsidRDefault="008A74EB" w:rsidP="008A74EB">
      <w:pPr>
        <w:pStyle w:val="libNormal"/>
        <w:rPr>
          <w:rtl/>
          <w:lang w:bidi="fa-IR"/>
        </w:rPr>
      </w:pPr>
      <w:r w:rsidRPr="00C9040A">
        <w:rPr>
          <w:rtl/>
          <w:lang w:bidi="fa-IR"/>
        </w:rPr>
        <w:t xml:space="preserve">قَالَ </w:t>
      </w:r>
      <w:r w:rsidR="006C577F" w:rsidRPr="006C577F">
        <w:rPr>
          <w:rStyle w:val="libFootnotenumChar"/>
          <w:rtl/>
        </w:rPr>
        <w:t>(8)</w:t>
      </w:r>
      <w:r w:rsidRPr="00C9040A">
        <w:rPr>
          <w:rtl/>
          <w:lang w:bidi="fa-IR"/>
        </w:rPr>
        <w:t xml:space="preserve"> : قُلْتُ : وَ</w:t>
      </w:r>
      <w:r>
        <w:rPr>
          <w:rFonts w:hint="cs"/>
          <w:rtl/>
          <w:lang w:bidi="fa-IR"/>
        </w:rPr>
        <w:t xml:space="preserve"> </w:t>
      </w:r>
      <w:r w:rsidR="006C577F" w:rsidRPr="006C577F">
        <w:rPr>
          <w:rStyle w:val="libFootnotenumChar"/>
          <w:rtl/>
        </w:rPr>
        <w:t>(9)</w:t>
      </w:r>
      <w:r w:rsidRPr="00C9040A">
        <w:rPr>
          <w:rtl/>
          <w:lang w:bidi="fa-IR"/>
        </w:rPr>
        <w:t xml:space="preserve"> مَا غَمْصُ الْخَلْقِ </w:t>
      </w:r>
      <w:r w:rsidR="006C577F" w:rsidRPr="006C577F">
        <w:rPr>
          <w:rStyle w:val="libFootnotenumChar"/>
          <w:rtl/>
        </w:rPr>
        <w:t>(10)</w:t>
      </w:r>
      <w:r w:rsidRPr="00C9040A">
        <w:rPr>
          <w:rtl/>
          <w:lang w:bidi="fa-IR"/>
        </w:rPr>
        <w:t xml:space="preserve"> ، وَسَفَهُ الْحَقِّ</w:t>
      </w:r>
      <w:r>
        <w:rPr>
          <w:rtl/>
          <w:lang w:bidi="fa-IR"/>
        </w:rPr>
        <w:t>؟</w:t>
      </w:r>
    </w:p>
    <w:p w:rsidR="008A74EB" w:rsidRPr="00C9040A" w:rsidRDefault="008A74EB" w:rsidP="008A74EB">
      <w:pPr>
        <w:pStyle w:val="libNormal"/>
        <w:rPr>
          <w:rtl/>
          <w:lang w:bidi="fa-IR"/>
        </w:rPr>
      </w:pPr>
      <w:r w:rsidRPr="00C9040A">
        <w:rPr>
          <w:rtl/>
          <w:lang w:bidi="fa-IR"/>
        </w:rPr>
        <w:t xml:space="preserve">قَالَ : « يَجْهَلُ </w:t>
      </w:r>
      <w:r w:rsidR="006C577F" w:rsidRPr="006C577F">
        <w:rPr>
          <w:rStyle w:val="libFootnotenumChar"/>
          <w:rtl/>
        </w:rPr>
        <w:t>(11)</w:t>
      </w:r>
      <w:r w:rsidRPr="00C9040A">
        <w:rPr>
          <w:rtl/>
          <w:lang w:bidi="fa-IR"/>
        </w:rPr>
        <w:t xml:space="preserve"> الْحَقَّ ، وَيَطْعُنُ </w:t>
      </w:r>
      <w:r w:rsidR="006C577F" w:rsidRPr="006C577F">
        <w:rPr>
          <w:rStyle w:val="libFootnotenumChar"/>
          <w:rtl/>
        </w:rPr>
        <w:t>(12)</w:t>
      </w:r>
      <w:r w:rsidRPr="00C9040A">
        <w:rPr>
          <w:rtl/>
          <w:lang w:bidi="fa-IR"/>
        </w:rPr>
        <w:t xml:space="preserve"> عَلى أَهْلِهِ ؛ فَمَنْ </w:t>
      </w:r>
      <w:r w:rsidRPr="005B567D">
        <w:rPr>
          <w:rStyle w:val="libFootnotenumChar"/>
          <w:rtl/>
        </w:rPr>
        <w:t>(13)</w:t>
      </w:r>
      <w:r w:rsidRPr="00C9040A">
        <w:rPr>
          <w:rtl/>
          <w:lang w:bidi="fa-IR"/>
        </w:rPr>
        <w:t xml:space="preserve"> فَعَلَ ذلِكَ‌</w:t>
      </w:r>
      <w:r w:rsidR="00B05E59">
        <w:rPr>
          <w:rFonts w:hint="cs"/>
          <w:rtl/>
          <w:lang w:bidi="fa-IR"/>
        </w:rPr>
        <w:t>............</w:t>
      </w:r>
      <w:r w:rsidR="00B05E59">
        <w:rPr>
          <w:rFonts w:hint="cs"/>
          <w:rtl/>
          <w:lang w:bidi="fa-IR"/>
        </w:rPr>
        <w:tab/>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هكذا في « ب ، ج ، د ، ز ، بر ، بس ، بف ، جر » والطبعة القديمة. وفي « </w:t>
      </w:r>
      <w:r w:rsidR="006D3162">
        <w:rPr>
          <w:rtl/>
        </w:rPr>
        <w:t xml:space="preserve">ه </w:t>
      </w:r>
      <w:r w:rsidR="008A74EB" w:rsidRPr="00C9040A">
        <w:rPr>
          <w:rtl/>
        </w:rPr>
        <w:t>» والمطبوع : « الحرّ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بف » : + « قال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w:t>
      </w:r>
      <w:r w:rsidR="006D3162">
        <w:rPr>
          <w:rtl/>
        </w:rPr>
        <w:t xml:space="preserve">ه </w:t>
      </w:r>
      <w:r w:rsidR="008A74EB" w:rsidRPr="00C9040A">
        <w:rPr>
          <w:rtl/>
        </w:rPr>
        <w:t>» : « يغمص »</w:t>
      </w:r>
      <w:r w:rsidR="008A74EB">
        <w:rPr>
          <w:rtl/>
        </w:rPr>
        <w:t>.</w:t>
      </w:r>
      <w:r w:rsidR="008A74EB" w:rsidRPr="00C9040A">
        <w:rPr>
          <w:rtl/>
        </w:rPr>
        <w:t xml:space="preserve"> وفي « بر » : « تغمّص »</w:t>
      </w:r>
      <w:r w:rsidR="008A74EB">
        <w:rPr>
          <w:rtl/>
        </w:rPr>
        <w:t>.</w:t>
      </w:r>
      <w:r w:rsidR="008A74EB" w:rsidRPr="00C9040A">
        <w:rPr>
          <w:rtl/>
        </w:rPr>
        <w:t xml:space="preserve"> وغَمِصَ الناسَ : احتقرهم ولم يرهم شيئاً. </w:t>
      </w:r>
      <w:r w:rsidR="008A74EB" w:rsidRPr="00993B55">
        <w:rPr>
          <w:rStyle w:val="libFootnoteBoldChar"/>
          <w:rtl/>
        </w:rPr>
        <w:t>النهاية</w:t>
      </w:r>
      <w:r w:rsidR="008A74EB" w:rsidRPr="00C9040A">
        <w:rPr>
          <w:rtl/>
        </w:rPr>
        <w:t xml:space="preserve"> ، ج 3 ، ص 386 ( غمص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w:t>
      </w:r>
      <w:r w:rsidR="006D3162">
        <w:rPr>
          <w:rtl/>
        </w:rPr>
        <w:t xml:space="preserve">ه </w:t>
      </w:r>
      <w:r w:rsidR="008A74EB" w:rsidRPr="00C9040A">
        <w:rPr>
          <w:rtl/>
        </w:rPr>
        <w:t>، بس » : « ويسفه »</w:t>
      </w:r>
      <w:r w:rsidR="008A74EB">
        <w:rPr>
          <w:rtl/>
        </w:rPr>
        <w:t>.</w:t>
      </w:r>
      <w:r w:rsidR="008A74EB" w:rsidRPr="00C9040A">
        <w:rPr>
          <w:rtl/>
        </w:rPr>
        <w:t xml:space="preserve"> </w:t>
      </w:r>
      <w:r w:rsidR="008A74EB">
        <w:rPr>
          <w:rtl/>
        </w:rPr>
        <w:t>و «</w:t>
      </w:r>
      <w:r w:rsidR="008A74EB" w:rsidRPr="00C9040A">
        <w:rPr>
          <w:rtl/>
        </w:rPr>
        <w:t xml:space="preserve"> السفه » : نقص العقل. والمراد هنا لازمه ، وهو الجهل بالحقّ وطعن أهله. وقيل : السفه : الجهل ، وأصله الخفّة والطيش ، ومعنى سفه الحقّ : الاستخفاف به وأن لايراه على ما هو عليه من الرجحان والرزانة. راجع : </w:t>
      </w:r>
      <w:r w:rsidR="008A74EB" w:rsidRPr="00993B55">
        <w:rPr>
          <w:rStyle w:val="libFootnoteBoldChar"/>
          <w:rtl/>
        </w:rPr>
        <w:t>شرح المازندراني</w:t>
      </w:r>
      <w:r w:rsidR="008A74EB" w:rsidRPr="00C9040A">
        <w:rPr>
          <w:rtl/>
        </w:rPr>
        <w:t xml:space="preserve"> ، ج 9 ، ص 309 ؛ </w:t>
      </w:r>
      <w:r w:rsidR="008A74EB" w:rsidRPr="00993B55">
        <w:rPr>
          <w:rStyle w:val="libFootnoteBoldChar"/>
          <w:rtl/>
        </w:rPr>
        <w:t>الوافي</w:t>
      </w:r>
      <w:r w:rsidR="008A74EB" w:rsidRPr="00C9040A">
        <w:rPr>
          <w:rtl/>
        </w:rPr>
        <w:t xml:space="preserve"> ، ج 5 ، ص 871 ؛ </w:t>
      </w:r>
      <w:r w:rsidR="008A74EB" w:rsidRPr="00993B55">
        <w:rPr>
          <w:rStyle w:val="libFootnoteBoldChar"/>
          <w:rtl/>
        </w:rPr>
        <w:t>مرآةالعقول</w:t>
      </w:r>
      <w:r w:rsidR="008A74EB" w:rsidRPr="00C9040A">
        <w:rPr>
          <w:rtl/>
        </w:rPr>
        <w:t xml:space="preserve"> ، ج 10 ، ص 209.</w:t>
      </w:r>
    </w:p>
    <w:p w:rsidR="008A74EB" w:rsidRPr="00C9040A" w:rsidRDefault="006C577F" w:rsidP="00B05E59">
      <w:pPr>
        <w:pStyle w:val="libFootnote0"/>
        <w:rPr>
          <w:rtl/>
          <w:lang w:bidi="fa-IR"/>
        </w:rPr>
      </w:pPr>
      <w:r>
        <w:rPr>
          <w:rtl/>
        </w:rPr>
        <w:t>(5).</w:t>
      </w:r>
      <w:r w:rsidR="008A74EB" w:rsidRPr="00C9040A">
        <w:rPr>
          <w:rtl/>
        </w:rPr>
        <w:t xml:space="preserve"> </w:t>
      </w:r>
      <w:r w:rsidR="008A74EB" w:rsidRPr="00993B55">
        <w:rPr>
          <w:rStyle w:val="libFootnoteBoldChar"/>
          <w:rtl/>
        </w:rPr>
        <w:t>معاني الأخبار</w:t>
      </w:r>
      <w:r w:rsidR="008A74EB" w:rsidRPr="00C9040A">
        <w:rPr>
          <w:rtl/>
        </w:rPr>
        <w:t xml:space="preserve"> ، ص 242 ، ح 5 ، بسنده عن ابن فضّال ؛ </w:t>
      </w:r>
      <w:r w:rsidR="008A74EB" w:rsidRPr="00993B55">
        <w:rPr>
          <w:rStyle w:val="libFootnoteBoldChar"/>
          <w:rtl/>
        </w:rPr>
        <w:t>المحاسن</w:t>
      </w:r>
      <w:r w:rsidR="008A74EB" w:rsidRPr="00C9040A">
        <w:rPr>
          <w:rtl/>
        </w:rPr>
        <w:t xml:space="preserve"> ، ص 66 ، كتاب </w:t>
      </w:r>
      <w:r w:rsidR="008A74EB" w:rsidRPr="00304F34">
        <w:rPr>
          <w:rtl/>
        </w:rPr>
        <w:t>ثواب الأعمال</w:t>
      </w:r>
      <w:r w:rsidR="008A74EB" w:rsidRPr="00C9040A">
        <w:rPr>
          <w:rtl/>
        </w:rPr>
        <w:t xml:space="preserve"> ، ح 124 ، عن ابن فضّال ، عن رجل ، عن أبي عبدالله </w:t>
      </w:r>
      <w:r w:rsidR="00117575" w:rsidRPr="00117575">
        <w:rPr>
          <w:rStyle w:val="libFootnoteAlaemChar"/>
          <w:rtl/>
        </w:rPr>
        <w:t>عليه‌السلام</w:t>
      </w:r>
      <w:r w:rsidR="008A74EB" w:rsidRPr="00C9040A">
        <w:rPr>
          <w:rtl/>
        </w:rPr>
        <w:t xml:space="preserve"> ، مع اختلاف يسير وزيادة في أوّله وآخره</w:t>
      </w:r>
      <w:r w:rsidR="00B05E59">
        <w:rPr>
          <w:rFonts w:hint="cs"/>
          <w:rtl/>
        </w:rPr>
        <w:t>.</w:t>
      </w:r>
      <w:r w:rsidR="008A74EB" w:rsidRPr="00993B55">
        <w:rPr>
          <w:rStyle w:val="libFootnoteBoldChar"/>
          <w:rtl/>
        </w:rPr>
        <w:t>الوافي</w:t>
      </w:r>
      <w:r w:rsidR="008A74EB" w:rsidRPr="00C9040A">
        <w:rPr>
          <w:rtl/>
        </w:rPr>
        <w:t xml:space="preserve"> ، ج 5 ، ص 871 ، ح 3189 ؛ </w:t>
      </w:r>
      <w:r w:rsidR="008A74EB" w:rsidRPr="00993B55">
        <w:rPr>
          <w:rStyle w:val="libFootnoteBoldChar"/>
          <w:rtl/>
        </w:rPr>
        <w:t>الوسائل</w:t>
      </w:r>
      <w:r w:rsidR="008A74EB" w:rsidRPr="00C9040A">
        <w:rPr>
          <w:rtl/>
        </w:rPr>
        <w:t xml:space="preserve"> ، ج 16 ، ص 6 ، ح 20815 ؛ </w:t>
      </w:r>
      <w:r w:rsidR="008A74EB" w:rsidRPr="00993B55">
        <w:rPr>
          <w:rStyle w:val="libFootnoteBoldChar"/>
          <w:rtl/>
        </w:rPr>
        <w:t>البحار</w:t>
      </w:r>
      <w:r w:rsidR="008A74EB" w:rsidRPr="00C9040A">
        <w:rPr>
          <w:rtl/>
        </w:rPr>
        <w:t xml:space="preserve"> ، ج 73 ، ص 217 ، ح 8.</w:t>
      </w:r>
    </w:p>
    <w:p w:rsidR="008A74EB" w:rsidRPr="00C9040A" w:rsidRDefault="006C577F" w:rsidP="00B05E59">
      <w:pPr>
        <w:pStyle w:val="libFootnote0"/>
        <w:rPr>
          <w:rtl/>
          <w:lang w:bidi="fa-IR"/>
        </w:rPr>
      </w:pPr>
      <w:r>
        <w:rPr>
          <w:rtl/>
        </w:rPr>
        <w:t>(6).</w:t>
      </w:r>
      <w:r w:rsidR="008A74EB">
        <w:rPr>
          <w:rtl/>
        </w:rPr>
        <w:t xml:space="preserve"> </w:t>
      </w:r>
      <w:r w:rsidR="008A74EB" w:rsidRPr="00C9040A">
        <w:rPr>
          <w:rtl/>
        </w:rPr>
        <w:t xml:space="preserve">في المعاني </w:t>
      </w:r>
      <w:r w:rsidR="008A74EB">
        <w:rPr>
          <w:rtl/>
        </w:rPr>
        <w:t xml:space="preserve">: </w:t>
      </w:r>
      <w:r w:rsidR="0084262C">
        <w:rPr>
          <w:rtl/>
        </w:rPr>
        <w:t>-</w:t>
      </w:r>
      <w:r w:rsidR="008A74EB" w:rsidRPr="00C9040A">
        <w:rPr>
          <w:rtl/>
        </w:rPr>
        <w:t xml:space="preserve"> « بن عميرة »</w:t>
      </w:r>
      <w:r w:rsidR="008A74EB">
        <w:rPr>
          <w:rtl/>
        </w:rPr>
        <w:t>.</w:t>
      </w:r>
      <w:r w:rsidR="008A74EB" w:rsidRPr="00C9040A">
        <w:rPr>
          <w:rtl/>
        </w:rPr>
        <w:t xml:space="preserve"> وفي التهذيب </w:t>
      </w:r>
      <w:r w:rsidR="008A74EB">
        <w:rPr>
          <w:rtl/>
        </w:rPr>
        <w:t xml:space="preserve">: </w:t>
      </w:r>
      <w:r w:rsidR="0084262C">
        <w:rPr>
          <w:rtl/>
        </w:rPr>
        <w:t>-</w:t>
      </w:r>
      <w:r w:rsidR="008A74EB" w:rsidRPr="00C9040A">
        <w:rPr>
          <w:rtl/>
        </w:rPr>
        <w:t xml:space="preserve"> « عن سيف بن عميرة »</w:t>
      </w:r>
      <w:r w:rsidR="008A74EB">
        <w:rPr>
          <w:rtl/>
        </w:rPr>
        <w:t>.</w:t>
      </w:r>
      <w:r w:rsidR="008A74EB" w:rsidRPr="00C9040A">
        <w:rPr>
          <w:rtl/>
        </w:rPr>
        <w:t xml:space="preserve"> هذا ، وروى عليّ بن الحكم عن عبدالأعلى [ بن أعين ] بتوسّط سيف [ بن عميرة ] في </w:t>
      </w:r>
      <w:r w:rsidR="008A74EB" w:rsidRPr="00993B55">
        <w:rPr>
          <w:rStyle w:val="libFootnoteBoldChar"/>
          <w:rtl/>
        </w:rPr>
        <w:t>الكافي</w:t>
      </w:r>
      <w:r w:rsidR="008A74EB" w:rsidRPr="00C9040A">
        <w:rPr>
          <w:rtl/>
        </w:rPr>
        <w:t xml:space="preserve"> ، ح 1970 </w:t>
      </w:r>
      <w:r w:rsidR="008A74EB">
        <w:rPr>
          <w:rtl/>
        </w:rPr>
        <w:t>و 2</w:t>
      </w:r>
      <w:r w:rsidR="008A74EB" w:rsidRPr="00C9040A">
        <w:rPr>
          <w:rtl/>
        </w:rPr>
        <w:t xml:space="preserve">835 </w:t>
      </w:r>
      <w:r w:rsidR="008A74EB">
        <w:rPr>
          <w:rtl/>
        </w:rPr>
        <w:t>و 6</w:t>
      </w:r>
      <w:r w:rsidR="008A74EB" w:rsidRPr="00C9040A">
        <w:rPr>
          <w:rtl/>
        </w:rPr>
        <w:t>864 ؛ و</w:t>
      </w:r>
      <w:r w:rsidR="008A74EB" w:rsidRPr="00993B55">
        <w:rPr>
          <w:rStyle w:val="libFootnoteBoldChar"/>
          <w:rtl/>
        </w:rPr>
        <w:t xml:space="preserve">التهذيب </w:t>
      </w:r>
      <w:r w:rsidR="008A74EB" w:rsidRPr="00C9040A">
        <w:rPr>
          <w:rtl/>
        </w:rPr>
        <w:t>، ج 2 ، ص 267 ، ح 1065.</w:t>
      </w:r>
      <w:r w:rsidR="00B05E59">
        <w:rPr>
          <w:rFonts w:hint="cs"/>
          <w:rtl/>
        </w:rPr>
        <w:t xml:space="preserve">                               </w:t>
      </w:r>
      <w:r>
        <w:rPr>
          <w:rtl/>
        </w:rPr>
        <w:t>(7).</w:t>
      </w:r>
      <w:r w:rsidR="008A74EB" w:rsidRPr="00C9040A">
        <w:rPr>
          <w:rtl/>
        </w:rPr>
        <w:t xml:space="preserve"> في التهذيب : « الحقّ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الوسائل والكافي ، ح 6864 والتهذيب والمعاني </w:t>
      </w:r>
      <w:r w:rsidR="008A74EB">
        <w:rPr>
          <w:rtl/>
        </w:rPr>
        <w:t xml:space="preserve">: </w:t>
      </w:r>
      <w:r w:rsidR="0084262C">
        <w:rPr>
          <w:rtl/>
        </w:rPr>
        <w:t>-</w:t>
      </w:r>
      <w:r w:rsidR="008A74EB" w:rsidRPr="00C9040A">
        <w:rPr>
          <w:rtl/>
        </w:rPr>
        <w:t xml:space="preserve"> « قال »</w:t>
      </w:r>
      <w:r w:rsidR="008A74EB">
        <w:rPr>
          <w:rtl/>
        </w:rPr>
        <w:t>.</w:t>
      </w:r>
    </w:p>
    <w:tbl>
      <w:tblPr>
        <w:tblStyle w:val="TableGrid"/>
        <w:bidiVisual/>
        <w:tblW w:w="0" w:type="auto"/>
        <w:tblLook w:val="04A0" w:firstRow="1" w:lastRow="0" w:firstColumn="1" w:lastColumn="0" w:noHBand="0" w:noVBand="1"/>
      </w:tblPr>
      <w:tblGrid>
        <w:gridCol w:w="4006"/>
        <w:gridCol w:w="4006"/>
      </w:tblGrid>
      <w:tr w:rsidR="00B05E59" w:rsidTr="00B05E59">
        <w:tc>
          <w:tcPr>
            <w:tcW w:w="4006" w:type="dxa"/>
          </w:tcPr>
          <w:p w:rsidR="00B05E59" w:rsidRDefault="00B05E59" w:rsidP="004A4E41">
            <w:pPr>
              <w:pStyle w:val="libFootnote0"/>
              <w:rPr>
                <w:rtl/>
              </w:rPr>
            </w:pPr>
            <w:r>
              <w:rPr>
                <w:rtl/>
              </w:rPr>
              <w:t>(9).</w:t>
            </w:r>
            <w:r w:rsidRPr="00C9040A">
              <w:rPr>
                <w:rtl/>
              </w:rPr>
              <w:t xml:space="preserve"> في الوافي والكافي ، ح 6864 </w:t>
            </w:r>
            <w:r>
              <w:rPr>
                <w:rtl/>
              </w:rPr>
              <w:t>: -</w:t>
            </w:r>
            <w:r w:rsidRPr="00C9040A">
              <w:rPr>
                <w:rtl/>
              </w:rPr>
              <w:t xml:space="preserve"> « </w:t>
            </w:r>
            <w:r>
              <w:rPr>
                <w:rtl/>
              </w:rPr>
              <w:t>و ».</w:t>
            </w:r>
          </w:p>
        </w:tc>
        <w:tc>
          <w:tcPr>
            <w:tcW w:w="4006" w:type="dxa"/>
          </w:tcPr>
          <w:p w:rsidR="00B05E59" w:rsidRDefault="00B05E59" w:rsidP="004A4E41">
            <w:pPr>
              <w:pStyle w:val="libFootnote0"/>
              <w:rPr>
                <w:rtl/>
              </w:rPr>
            </w:pPr>
            <w:r>
              <w:rPr>
                <w:rtl/>
              </w:rPr>
              <w:t>(10).</w:t>
            </w:r>
            <w:r w:rsidRPr="00C9040A">
              <w:rPr>
                <w:rtl/>
              </w:rPr>
              <w:t xml:space="preserve"> في التهذيب : « الحقّ »</w:t>
            </w:r>
            <w:r>
              <w:rPr>
                <w:rtl/>
              </w:rPr>
              <w:t>.</w:t>
            </w:r>
          </w:p>
        </w:tc>
      </w:tr>
      <w:tr w:rsidR="00B05E59" w:rsidTr="00B05E59">
        <w:tc>
          <w:tcPr>
            <w:tcW w:w="4006" w:type="dxa"/>
          </w:tcPr>
          <w:p w:rsidR="00B05E59" w:rsidRDefault="00B05E59" w:rsidP="004A4E41">
            <w:pPr>
              <w:pStyle w:val="libFootnote0"/>
              <w:rPr>
                <w:rtl/>
              </w:rPr>
            </w:pPr>
            <w:r>
              <w:rPr>
                <w:rtl/>
              </w:rPr>
              <w:t>(11).</w:t>
            </w:r>
            <w:r w:rsidRPr="00C9040A">
              <w:rPr>
                <w:rtl/>
              </w:rPr>
              <w:t xml:space="preserve"> في « </w:t>
            </w:r>
            <w:r>
              <w:rPr>
                <w:rtl/>
              </w:rPr>
              <w:t xml:space="preserve">ه </w:t>
            </w:r>
            <w:r w:rsidRPr="00C9040A">
              <w:rPr>
                <w:rtl/>
              </w:rPr>
              <w:t>» : « تجهل »</w:t>
            </w:r>
            <w:r>
              <w:rPr>
                <w:rtl/>
              </w:rPr>
              <w:t>.</w:t>
            </w:r>
          </w:p>
        </w:tc>
        <w:tc>
          <w:tcPr>
            <w:tcW w:w="4006" w:type="dxa"/>
          </w:tcPr>
          <w:p w:rsidR="00B05E59" w:rsidRDefault="00B05E59" w:rsidP="004A4E41">
            <w:pPr>
              <w:pStyle w:val="libFootnote0"/>
              <w:rPr>
                <w:rtl/>
              </w:rPr>
            </w:pPr>
            <w:r>
              <w:rPr>
                <w:rtl/>
              </w:rPr>
              <w:t>(12).</w:t>
            </w:r>
            <w:r w:rsidRPr="00C9040A">
              <w:rPr>
                <w:rtl/>
              </w:rPr>
              <w:t xml:space="preserve"> في « </w:t>
            </w:r>
            <w:r>
              <w:rPr>
                <w:rtl/>
              </w:rPr>
              <w:t xml:space="preserve">ه </w:t>
            </w:r>
            <w:r w:rsidRPr="00C9040A">
              <w:rPr>
                <w:rtl/>
              </w:rPr>
              <w:t>، بر ، بف » : « وتطعن »</w:t>
            </w:r>
            <w:r>
              <w:rPr>
                <w:rtl/>
              </w:rPr>
              <w:t>.</w:t>
            </w:r>
          </w:p>
        </w:tc>
      </w:tr>
    </w:tbl>
    <w:p w:rsidR="008A74EB" w:rsidRPr="00C9040A" w:rsidRDefault="008A74EB" w:rsidP="004A4E41">
      <w:pPr>
        <w:pStyle w:val="libFootnote0"/>
        <w:rPr>
          <w:rtl/>
          <w:lang w:bidi="fa-IR"/>
        </w:rPr>
      </w:pPr>
      <w:r>
        <w:rPr>
          <w:rtl/>
        </w:rPr>
        <w:t>(13)</w:t>
      </w:r>
      <w:r w:rsidRPr="00C9040A">
        <w:rPr>
          <w:rtl/>
        </w:rPr>
        <w:t xml:space="preserve"> في الكافي ، ح 6864 والتهذيب والمعانى : « ومن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فَقَدْ </w:t>
      </w:r>
      <w:r w:rsidR="006C577F" w:rsidRPr="006C577F">
        <w:rPr>
          <w:rStyle w:val="libFootnotenumChar"/>
          <w:rtl/>
        </w:rPr>
        <w:t>(1)</w:t>
      </w:r>
      <w:r w:rsidRPr="00C9040A">
        <w:rPr>
          <w:rtl/>
          <w:lang w:bidi="fa-IR"/>
        </w:rPr>
        <w:t xml:space="preserve"> نَازَعَ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رِدَاءَهُ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304F34">
        <w:rPr>
          <w:rtl/>
        </w:rPr>
        <w:t>2569</w:t>
      </w:r>
      <w:r w:rsidRPr="00261CB0">
        <w:rPr>
          <w:rStyle w:val="libBold2Char"/>
          <w:rtl/>
        </w:rPr>
        <w:t xml:space="preserve"> / 10.</w:t>
      </w:r>
      <w:r w:rsidRPr="00C9040A">
        <w:rPr>
          <w:rtl/>
          <w:lang w:bidi="fa-IR"/>
        </w:rPr>
        <w:t xml:space="preserve"> عَلِيُّ بْنُ إِبْرَاهِيمَ ، عَنْ أَبِيهِ ، عَنِ ابْنِ أَبِي عُمَيْرٍ ، عَنِ ابْنِ بُكَيْرٍ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إِنَّ فِي جَهَنَّمَ لَوَادِياً لِلْمُتَكَبِّرِينَ يُقَالُ لَهُ : سَقَرُ ، شَكَا إِلَى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شِدَّةَ حَرِّهِ ، وَسَأَلَهُ أَنْ يَأْذَنَ لَهُ أَنْ يَتَنَفَّسَ </w:t>
      </w:r>
      <w:r w:rsidR="006C577F" w:rsidRPr="006C577F">
        <w:rPr>
          <w:rStyle w:val="libFootnotenumChar"/>
          <w:rtl/>
        </w:rPr>
        <w:t>(3)</w:t>
      </w:r>
      <w:r w:rsidRPr="00C9040A">
        <w:rPr>
          <w:rtl/>
          <w:lang w:bidi="fa-IR"/>
        </w:rPr>
        <w:t xml:space="preserve"> ، فَتَنَفَّسَ ، فَأَحْرَقَ جَهَنَّمَ »</w:t>
      </w:r>
      <w:r>
        <w:rPr>
          <w:rtl/>
          <w:lang w:bidi="fa-IR"/>
        </w:rPr>
        <w:t>.</w:t>
      </w:r>
      <w:r w:rsidRPr="00C9040A">
        <w:rPr>
          <w:rtl/>
          <w:lang w:bidi="fa-IR"/>
        </w:rPr>
        <w:t xml:space="preserve">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304F34">
        <w:rPr>
          <w:rtl/>
        </w:rPr>
        <w:t>2570</w:t>
      </w:r>
      <w:r w:rsidRPr="00261CB0">
        <w:rPr>
          <w:rStyle w:val="libBold2Char"/>
          <w:rtl/>
        </w:rPr>
        <w:t xml:space="preserve"> / 11.</w:t>
      </w:r>
      <w:r w:rsidRPr="00C9040A">
        <w:rPr>
          <w:rtl/>
          <w:lang w:bidi="fa-IR"/>
        </w:rPr>
        <w:t xml:space="preserve"> مُحَمَّدُ بْنُ يَحْيى ، عَنْ أَحْمَدَ بْنِ مُحَمَّدِ بْنِ عِيسى ، عَنْ مُحَمَّدِ بْنِ سِنَانٍ ، عَنْ دَاوُدَ بْنِ فَرْقَدٍ ، عَنْ أَخِيهِ ، قَالَ :</w:t>
      </w:r>
    </w:p>
    <w:p w:rsidR="008A74EB" w:rsidRPr="00C9040A" w:rsidRDefault="008A74EB" w:rsidP="00B05E59">
      <w:pPr>
        <w:pStyle w:val="libNormal"/>
        <w:rPr>
          <w:rtl/>
          <w:lang w:bidi="fa-IR"/>
        </w:rPr>
      </w:pPr>
      <w:r w:rsidRPr="00C9040A">
        <w:rPr>
          <w:rtl/>
          <w:lang w:bidi="fa-IR"/>
        </w:rPr>
        <w:t xml:space="preserve">سَمِعْتُ أَبَا عَبْدِ اللهِ </w:t>
      </w:r>
      <w:r w:rsidR="00B05E59" w:rsidRPr="0003660B">
        <w:rPr>
          <w:rStyle w:val="libAlaemChar"/>
          <w:rtl/>
        </w:rPr>
        <w:t>عليه‌السلام</w:t>
      </w:r>
      <w:r w:rsidR="00B05E59" w:rsidRPr="00C9040A">
        <w:rPr>
          <w:rtl/>
          <w:lang w:bidi="fa-IR"/>
        </w:rPr>
        <w:t xml:space="preserve"> </w:t>
      </w:r>
      <w:r w:rsidRPr="00C9040A">
        <w:rPr>
          <w:rtl/>
          <w:lang w:bidi="fa-IR"/>
        </w:rPr>
        <w:t xml:space="preserve">يَقُولُ : « إِنَّ الْمُتَكَبِّرِينَ يُجْعَلُونَ فِي صُوَرِ </w:t>
      </w:r>
      <w:r w:rsidR="006C577F" w:rsidRPr="006C577F">
        <w:rPr>
          <w:rStyle w:val="libFootnotenumChar"/>
          <w:rtl/>
        </w:rPr>
        <w:t>(5)</w:t>
      </w:r>
      <w:r w:rsidRPr="00C9040A">
        <w:rPr>
          <w:rtl/>
          <w:lang w:bidi="fa-IR"/>
        </w:rPr>
        <w:t xml:space="preserve"> الذَّرِّ ، يَتَوَطَّؤُهُمُ </w:t>
      </w:r>
      <w:r w:rsidR="006C577F" w:rsidRPr="006C577F">
        <w:rPr>
          <w:rStyle w:val="libFootnotenumChar"/>
          <w:rtl/>
        </w:rPr>
        <w:t>(6)</w:t>
      </w:r>
      <w:r w:rsidRPr="005B567D">
        <w:rPr>
          <w:rStyle w:val="libFootnotenumChar"/>
          <w:rtl/>
        </w:rPr>
        <w:t xml:space="preserve"> </w:t>
      </w:r>
      <w:r w:rsidRPr="00C9040A">
        <w:rPr>
          <w:rtl/>
          <w:lang w:bidi="fa-IR"/>
        </w:rPr>
        <w:t>النَّاسُ حَتّى يَفْرُغَ اللهُ مِنَ الْحِسَابِ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الكافي ، ح 6864 والتهذيب </w:t>
      </w:r>
      <w:r w:rsidR="008A74EB">
        <w:rPr>
          <w:rtl/>
        </w:rPr>
        <w:t xml:space="preserve">: </w:t>
      </w:r>
      <w:r w:rsidR="0084262C">
        <w:rPr>
          <w:rtl/>
        </w:rPr>
        <w:t>-</w:t>
      </w:r>
      <w:r w:rsidR="008A74EB" w:rsidRPr="00C9040A">
        <w:rPr>
          <w:rtl/>
        </w:rPr>
        <w:t xml:space="preserve"> « فقد »</w:t>
      </w:r>
      <w:r w:rsidR="008A74EB">
        <w:rPr>
          <w:rtl/>
        </w:rPr>
        <w:t>.</w:t>
      </w:r>
    </w:p>
    <w:p w:rsidR="008A74EB" w:rsidRPr="00C9040A" w:rsidRDefault="006C577F" w:rsidP="002F6C62">
      <w:pPr>
        <w:pStyle w:val="libFootnote0"/>
        <w:rPr>
          <w:rtl/>
          <w:lang w:bidi="fa-IR"/>
        </w:rPr>
      </w:pPr>
      <w:r>
        <w:rPr>
          <w:rtl/>
        </w:rPr>
        <w:t>(2).</w:t>
      </w:r>
      <w:r w:rsidR="008A74EB">
        <w:rPr>
          <w:rtl/>
        </w:rPr>
        <w:t xml:space="preserve"> </w:t>
      </w:r>
      <w:r w:rsidR="008A74EB" w:rsidRPr="00993B55">
        <w:rPr>
          <w:rStyle w:val="libFootnoteBoldChar"/>
          <w:rtl/>
        </w:rPr>
        <w:t>الكافي</w:t>
      </w:r>
      <w:r w:rsidR="008A74EB" w:rsidRPr="00C9040A">
        <w:rPr>
          <w:rtl/>
        </w:rPr>
        <w:t xml:space="preserve"> ، كتاب الحجّ ، باب فضل الحجّ والعمرة وثوابهما ، ح 6864 ، عن عدّة من أصحابنا ، عن أحمد بن محمّد ، عن عليّ بن الحكم ؛ </w:t>
      </w:r>
      <w:r w:rsidR="008A74EB" w:rsidRPr="00993B55">
        <w:rPr>
          <w:rStyle w:val="libFootnoteBoldChar"/>
          <w:rtl/>
        </w:rPr>
        <w:t>التهذيب</w:t>
      </w:r>
      <w:r w:rsidR="008A74EB" w:rsidRPr="00C9040A">
        <w:rPr>
          <w:rtl/>
        </w:rPr>
        <w:t xml:space="preserve"> ، ج 5 ، ص 23 ، ح 69 ، معلّقاً عن الكليني ، عن عدّة من أصحابنا ، عن أحمد بن محمّد ، عن عليّ بن الحكم ، وفيهما مع زيادة في أوّله. </w:t>
      </w:r>
      <w:r w:rsidR="008A74EB" w:rsidRPr="00993B55">
        <w:rPr>
          <w:rStyle w:val="libFootnoteBoldChar"/>
          <w:rtl/>
        </w:rPr>
        <w:t>معاني الأخبار</w:t>
      </w:r>
      <w:r w:rsidR="008A74EB" w:rsidRPr="00C9040A">
        <w:rPr>
          <w:rtl/>
        </w:rPr>
        <w:t xml:space="preserve"> ، ص 242 ، ح 5 ، عن أبيه ، عن سعد بن عبدالله ، عن أحمد بن محمّد ، عن عليّ بن الحكم. </w:t>
      </w:r>
      <w:r w:rsidR="008A74EB" w:rsidRPr="00993B55">
        <w:rPr>
          <w:rStyle w:val="libFootnoteBoldChar"/>
          <w:rtl/>
        </w:rPr>
        <w:t>الفقيه</w:t>
      </w:r>
      <w:r w:rsidR="008A74EB" w:rsidRPr="00C9040A">
        <w:rPr>
          <w:rtl/>
        </w:rPr>
        <w:t xml:space="preserve"> ، ج 2 ، ص 206 ، ح 2147 ، مرسلاً عن الصادق </w:t>
      </w:r>
      <w:r w:rsidR="00117575" w:rsidRPr="00117575">
        <w:rPr>
          <w:rStyle w:val="libFootnoteAlaemChar"/>
          <w:rtl/>
        </w:rPr>
        <w:t>عليه‌السلام</w:t>
      </w:r>
      <w:r w:rsidR="008A74EB" w:rsidRPr="00C9040A">
        <w:rPr>
          <w:rtl/>
        </w:rPr>
        <w:t xml:space="preserve"> ، من دون الإسناد إلى النبيّ </w:t>
      </w:r>
      <w:r w:rsidR="004A4E41" w:rsidRPr="002F6C62">
        <w:rPr>
          <w:rStyle w:val="libFootnoteAlaemChar"/>
          <w:rtl/>
        </w:rPr>
        <w:t>صلى‌الله‌عليه‌وآله</w:t>
      </w:r>
      <w:r w:rsidR="008A74EB" w:rsidRPr="00C9040A">
        <w:rPr>
          <w:rtl/>
        </w:rPr>
        <w:t xml:space="preserve"> ، وفيه : « الكبر هو أن يجهل الحقّ</w:t>
      </w:r>
      <w:r w:rsidR="008A74EB">
        <w:rPr>
          <w:rtl/>
        </w:rPr>
        <w:t xml:space="preserve"> ..</w:t>
      </w:r>
      <w:r w:rsidR="008A74EB" w:rsidRPr="00C9040A">
        <w:rPr>
          <w:rtl/>
        </w:rPr>
        <w:t>. » مع زيادة في أوّله</w:t>
      </w:r>
      <w:r w:rsidR="002F6C62">
        <w:rPr>
          <w:rFonts w:hint="cs"/>
          <w:rtl/>
        </w:rPr>
        <w:t>.</w:t>
      </w:r>
      <w:r w:rsidR="008A74EB" w:rsidRPr="00993B55">
        <w:rPr>
          <w:rStyle w:val="libFootnoteBoldChar"/>
          <w:rtl/>
        </w:rPr>
        <w:t>الوافي</w:t>
      </w:r>
      <w:r w:rsidR="008A74EB" w:rsidRPr="00C9040A">
        <w:rPr>
          <w:rtl/>
        </w:rPr>
        <w:t xml:space="preserve"> ، ج 5 ، ص 871 ، ح 3190 ؛ </w:t>
      </w:r>
      <w:r w:rsidR="008A74EB" w:rsidRPr="00993B55">
        <w:rPr>
          <w:rStyle w:val="libFootnoteBoldChar"/>
          <w:rtl/>
        </w:rPr>
        <w:t>الوسائل</w:t>
      </w:r>
      <w:r w:rsidR="008A74EB" w:rsidRPr="00C9040A">
        <w:rPr>
          <w:rtl/>
        </w:rPr>
        <w:t xml:space="preserve"> ، ج 16 ، ص 6 ، ح 20816 ؛ </w:t>
      </w:r>
      <w:r w:rsidR="008A74EB" w:rsidRPr="00993B55">
        <w:rPr>
          <w:rStyle w:val="libFootnoteBoldChar"/>
          <w:rtl/>
        </w:rPr>
        <w:t>البحار</w:t>
      </w:r>
      <w:r w:rsidR="008A74EB" w:rsidRPr="00C9040A">
        <w:rPr>
          <w:rtl/>
        </w:rPr>
        <w:t xml:space="preserve"> ، ج 73 ، ص 218 ، ح 9.</w:t>
      </w:r>
    </w:p>
    <w:p w:rsidR="008A74EB" w:rsidRPr="00C9040A" w:rsidRDefault="006C577F" w:rsidP="004A4E41">
      <w:pPr>
        <w:pStyle w:val="libFootnote0"/>
        <w:rPr>
          <w:rtl/>
          <w:lang w:bidi="fa-IR"/>
        </w:rPr>
      </w:pPr>
      <w:r>
        <w:rPr>
          <w:rtl/>
        </w:rPr>
        <w:t>(3).</w:t>
      </w:r>
      <w:r w:rsidR="008A74EB" w:rsidRPr="00C9040A">
        <w:rPr>
          <w:rtl/>
        </w:rPr>
        <w:t xml:space="preserve"> في الزهد : + « فأذن له »</w:t>
      </w:r>
      <w:r w:rsidR="008A74EB">
        <w:rPr>
          <w:rtl/>
        </w:rPr>
        <w:t>.</w:t>
      </w:r>
    </w:p>
    <w:p w:rsidR="008A74EB" w:rsidRPr="00C9040A" w:rsidRDefault="006C577F" w:rsidP="000F30C1">
      <w:pPr>
        <w:pStyle w:val="libFootnote0"/>
        <w:rPr>
          <w:rtl/>
          <w:lang w:bidi="fa-IR"/>
        </w:rPr>
      </w:pPr>
      <w:r>
        <w:rPr>
          <w:rtl/>
        </w:rPr>
        <w:t>(4).</w:t>
      </w:r>
      <w:r w:rsidR="008A74EB" w:rsidRPr="00C9040A">
        <w:rPr>
          <w:rtl/>
        </w:rPr>
        <w:t xml:space="preserve"> </w:t>
      </w:r>
      <w:r w:rsidR="008A74EB" w:rsidRPr="00993B55">
        <w:rPr>
          <w:rStyle w:val="libFootnoteBoldChar"/>
          <w:rtl/>
        </w:rPr>
        <w:t>تفسير القمّي</w:t>
      </w:r>
      <w:r w:rsidR="008A74EB" w:rsidRPr="00C9040A">
        <w:rPr>
          <w:rtl/>
        </w:rPr>
        <w:t xml:space="preserve"> ، ج 2 ، ص 251 ، عن أبيه ، عن ابن أبي عمير ، عن عبدالله بن بكير ؛ </w:t>
      </w:r>
      <w:r w:rsidR="008A74EB" w:rsidRPr="00993B55">
        <w:rPr>
          <w:rStyle w:val="libFootnoteBoldChar"/>
          <w:rtl/>
        </w:rPr>
        <w:t>الزهد</w:t>
      </w:r>
      <w:r w:rsidR="008A74EB" w:rsidRPr="00C9040A">
        <w:rPr>
          <w:rtl/>
        </w:rPr>
        <w:t xml:space="preserve"> ، ص 184 ، ح 284 ، عن محمّد بن أبي عمير ؛ </w:t>
      </w:r>
      <w:r w:rsidR="008A74EB" w:rsidRPr="00993B55">
        <w:rPr>
          <w:rStyle w:val="libFootnoteBoldChar"/>
          <w:rtl/>
        </w:rPr>
        <w:t>المحاسن</w:t>
      </w:r>
      <w:r w:rsidR="008A74EB" w:rsidRPr="00C9040A">
        <w:rPr>
          <w:rtl/>
        </w:rPr>
        <w:t xml:space="preserve"> ، ص 123 ، كتاب عقاب الأعمال ، ح 138 ، مرفوعاً عن ابن أبي عمير ؛ </w:t>
      </w:r>
      <w:r w:rsidR="008A74EB" w:rsidRPr="00993B55">
        <w:rPr>
          <w:rStyle w:val="libFootnoteBoldChar"/>
          <w:rtl/>
        </w:rPr>
        <w:t>ثواب الأعمال</w:t>
      </w:r>
      <w:r w:rsidR="008A74EB" w:rsidRPr="00C9040A">
        <w:rPr>
          <w:rtl/>
        </w:rPr>
        <w:t xml:space="preserve"> ، ص 265 ، ح 7 ، بسنده عن محمّد بن أبي عمير ، عن أبي بكر ، عن أبي عبدالله </w:t>
      </w:r>
      <w:r w:rsidR="00117575" w:rsidRPr="00117575">
        <w:rPr>
          <w:rStyle w:val="libFootnoteAlaemChar"/>
          <w:rtl/>
        </w:rPr>
        <w:t>عليه‌السلام</w:t>
      </w:r>
      <w:r w:rsidR="008A74EB" w:rsidRPr="00C9040A">
        <w:rPr>
          <w:rtl/>
        </w:rPr>
        <w:t xml:space="preserve"> ، وفي كلّها مع اختلاف يسير</w:t>
      </w:r>
      <w:r w:rsidR="000F30C1">
        <w:rPr>
          <w:rFonts w:hint="cs"/>
          <w:rtl/>
        </w:rPr>
        <w:t>.</w:t>
      </w:r>
      <w:r w:rsidR="008A74EB" w:rsidRPr="00993B55">
        <w:rPr>
          <w:rStyle w:val="libFootnoteBoldChar"/>
          <w:rtl/>
        </w:rPr>
        <w:t>الوافي</w:t>
      </w:r>
      <w:r w:rsidR="008A74EB" w:rsidRPr="00C9040A">
        <w:rPr>
          <w:rtl/>
        </w:rPr>
        <w:t xml:space="preserve"> ، ج 5 ، ص 870 ، ح 3185 ؛ </w:t>
      </w:r>
      <w:r w:rsidR="008A74EB" w:rsidRPr="00993B55">
        <w:rPr>
          <w:rStyle w:val="libFootnoteBoldChar"/>
          <w:rtl/>
        </w:rPr>
        <w:t>الوسائل</w:t>
      </w:r>
      <w:r w:rsidR="008A74EB" w:rsidRPr="00C9040A">
        <w:rPr>
          <w:rtl/>
        </w:rPr>
        <w:t xml:space="preserve"> ، ج 15 ، ص 375 ، ح 20786 ؛ </w:t>
      </w:r>
      <w:r w:rsidR="008A74EB" w:rsidRPr="00993B55">
        <w:rPr>
          <w:rStyle w:val="libFootnoteBoldChar"/>
          <w:rtl/>
        </w:rPr>
        <w:t>البحار</w:t>
      </w:r>
      <w:r w:rsidR="008A74EB" w:rsidRPr="00C9040A">
        <w:rPr>
          <w:rtl/>
        </w:rPr>
        <w:t xml:space="preserve"> ، ج 73 ، ص 218 ، ح 10.</w:t>
      </w:r>
    </w:p>
    <w:p w:rsidR="008A74EB" w:rsidRPr="00C9040A" w:rsidRDefault="006C577F" w:rsidP="004A4E41">
      <w:pPr>
        <w:pStyle w:val="libFootnote0"/>
        <w:rPr>
          <w:rtl/>
          <w:lang w:bidi="fa-IR"/>
        </w:rPr>
      </w:pPr>
      <w:r>
        <w:rPr>
          <w:rtl/>
        </w:rPr>
        <w:t>(5).</w:t>
      </w:r>
      <w:r w:rsidR="008A74EB" w:rsidRPr="00C9040A">
        <w:rPr>
          <w:rtl/>
        </w:rPr>
        <w:t xml:space="preserve"> في « </w:t>
      </w:r>
      <w:r w:rsidR="006D3162">
        <w:rPr>
          <w:rtl/>
        </w:rPr>
        <w:t xml:space="preserve">ه </w:t>
      </w:r>
      <w:r w:rsidR="008A74EB" w:rsidRPr="00C9040A">
        <w:rPr>
          <w:rtl/>
        </w:rPr>
        <w:t>» وشرح المازندراني وثواب الأعمال : « صورة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الوسائل : « تتوطّؤهم »</w:t>
      </w:r>
      <w:r w:rsidR="008A74EB">
        <w:rPr>
          <w:rtl/>
        </w:rPr>
        <w:t>.</w:t>
      </w:r>
      <w:r w:rsidR="008A74EB" w:rsidRPr="00C9040A">
        <w:rPr>
          <w:rtl/>
        </w:rPr>
        <w:t xml:space="preserve"> وفي المحاسن : « فيطؤهم »</w:t>
      </w:r>
      <w:r w:rsidR="008A74EB">
        <w:rPr>
          <w:rtl/>
        </w:rPr>
        <w:t>.</w:t>
      </w:r>
    </w:p>
    <w:p w:rsidR="008A74EB" w:rsidRPr="00C9040A" w:rsidRDefault="006C577F" w:rsidP="000F30C1">
      <w:pPr>
        <w:pStyle w:val="libFootnote0"/>
        <w:rPr>
          <w:rtl/>
          <w:lang w:bidi="fa-IR"/>
        </w:rPr>
      </w:pPr>
      <w:r>
        <w:rPr>
          <w:rtl/>
        </w:rPr>
        <w:t>(7).</w:t>
      </w:r>
      <w:r w:rsidR="008A74EB" w:rsidRPr="00C9040A">
        <w:rPr>
          <w:rtl/>
        </w:rPr>
        <w:t xml:space="preserve"> </w:t>
      </w:r>
      <w:r w:rsidR="008A74EB" w:rsidRPr="00993B55">
        <w:rPr>
          <w:rStyle w:val="libFootnoteBoldChar"/>
          <w:rtl/>
        </w:rPr>
        <w:t>المحاسن</w:t>
      </w:r>
      <w:r w:rsidR="008A74EB" w:rsidRPr="00C9040A">
        <w:rPr>
          <w:rtl/>
        </w:rPr>
        <w:t xml:space="preserve"> ، ص 123 ، كتاب عقاب الأعمال ، ح 137 ، عن أبيه البرقي بإسناده رفعه إلى أبي عبدالله </w:t>
      </w:r>
      <w:r w:rsidR="00117575" w:rsidRPr="00117575">
        <w:rPr>
          <w:rStyle w:val="libFootnoteAlaemChar"/>
          <w:rtl/>
        </w:rPr>
        <w:t>عليه‌السلام</w:t>
      </w:r>
      <w:r w:rsidR="008A74EB" w:rsidRPr="00C9040A">
        <w:rPr>
          <w:rtl/>
        </w:rPr>
        <w:t xml:space="preserve"> ؛ </w:t>
      </w:r>
      <w:r w:rsidR="008A74EB" w:rsidRPr="00993B55">
        <w:rPr>
          <w:rStyle w:val="libFootnoteBoldChar"/>
          <w:rtl/>
        </w:rPr>
        <w:t>ثواب الأعمال</w:t>
      </w:r>
      <w:r w:rsidR="008A74EB" w:rsidRPr="00C9040A">
        <w:rPr>
          <w:rtl/>
        </w:rPr>
        <w:t xml:space="preserve"> ، ص 265 ، ح 10 ، بسنده عن أحمد بن أبي عبدالله ، عن أبيه ، عن محمّد بن سنان</w:t>
      </w:r>
      <w:r w:rsidR="000F30C1">
        <w:rPr>
          <w:rFonts w:hint="cs"/>
          <w:rtl/>
        </w:rPr>
        <w:t>.</w:t>
      </w:r>
      <w:r w:rsidR="008A74EB" w:rsidRPr="00993B55">
        <w:rPr>
          <w:rStyle w:val="libFootnoteBoldChar"/>
          <w:rtl/>
        </w:rPr>
        <w:t>الوافي</w:t>
      </w:r>
      <w:r w:rsidR="008A74EB" w:rsidRPr="00C9040A">
        <w:rPr>
          <w:rtl/>
        </w:rPr>
        <w:t xml:space="preserve"> ، ج 5 ، </w:t>
      </w:r>
      <w:r w:rsidR="000F30C1">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AA3641">
        <w:rPr>
          <w:rtl/>
        </w:rPr>
        <w:t>2571</w:t>
      </w:r>
      <w:r w:rsidRPr="00261CB0">
        <w:rPr>
          <w:rStyle w:val="libBold2Char"/>
          <w:rtl/>
        </w:rPr>
        <w:t xml:space="preserve"> / 12.</w:t>
      </w:r>
      <w:r w:rsidRPr="00C9040A">
        <w:rPr>
          <w:rtl/>
          <w:lang w:bidi="fa-IR"/>
        </w:rPr>
        <w:t xml:space="preserve"> عِدَّةٌ مِنْ أَصْحَابِنَا ، عَنْ أَحْمَدَ بْنِ مُحَمَّدِ بْنِ خَالِدٍ ، عَنْ غَيْرِ وَاحِدٍ ، عَنْ عَلِيِّ بْنِ أَسْبَاطٍ ، عَنْ عَمِّهِ يَعْقُوبَ بْنِ سَالِمٍ ، عَنْ عَبْدِ الْأَعْلى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قُلْتُ لَهُ : مَا الْكِبْرُ</w:t>
      </w:r>
      <w:r>
        <w:rPr>
          <w:rtl/>
          <w:lang w:bidi="fa-IR"/>
        </w:rPr>
        <w:t>؟</w:t>
      </w:r>
      <w:r w:rsidRPr="00C9040A">
        <w:rPr>
          <w:rtl/>
          <w:lang w:bidi="fa-IR"/>
        </w:rPr>
        <w:t xml:space="preserve"> فَقَالَ : « أَعْظَمُ الْكِبْرِ أَنْ تَسْفَهَ الْحَقَّ </w:t>
      </w:r>
      <w:r w:rsidR="006C577F" w:rsidRPr="006C577F">
        <w:rPr>
          <w:rStyle w:val="libFootnotenumChar"/>
          <w:rtl/>
        </w:rPr>
        <w:t>(1)</w:t>
      </w:r>
      <w:r w:rsidRPr="00C9040A">
        <w:rPr>
          <w:rtl/>
          <w:lang w:bidi="fa-IR"/>
        </w:rPr>
        <w:t xml:space="preserve"> ، وَتَغْمِصَ النَّاسَ »</w:t>
      </w:r>
      <w:r>
        <w:rPr>
          <w:rtl/>
          <w:lang w:bidi="fa-IR"/>
        </w:rPr>
        <w:t>.</w:t>
      </w:r>
    </w:p>
    <w:p w:rsidR="008A74EB" w:rsidRPr="00C9040A" w:rsidRDefault="008A74EB" w:rsidP="008A74EB">
      <w:pPr>
        <w:pStyle w:val="libNormal"/>
        <w:rPr>
          <w:rtl/>
          <w:lang w:bidi="fa-IR"/>
        </w:rPr>
      </w:pPr>
      <w:r w:rsidRPr="00C9040A">
        <w:rPr>
          <w:rtl/>
          <w:lang w:bidi="fa-IR"/>
        </w:rPr>
        <w:t xml:space="preserve">قُلْتُ : وَمَا سَفَهُ الْحَقِّ </w:t>
      </w:r>
      <w:r w:rsidR="006C577F" w:rsidRPr="006C577F">
        <w:rPr>
          <w:rStyle w:val="libFootnotenumChar"/>
          <w:rtl/>
        </w:rPr>
        <w:t>(2)</w:t>
      </w:r>
      <w:r>
        <w:rPr>
          <w:rtl/>
          <w:lang w:bidi="fa-IR"/>
        </w:rPr>
        <w:t>؟</w:t>
      </w:r>
      <w:r w:rsidRPr="00C9040A">
        <w:rPr>
          <w:rtl/>
          <w:lang w:bidi="fa-IR"/>
        </w:rPr>
        <w:t xml:space="preserve"> قَالَ : « تَجْهَلُ </w:t>
      </w:r>
      <w:r w:rsidR="006C577F" w:rsidRPr="006C577F">
        <w:rPr>
          <w:rStyle w:val="libFootnotenumChar"/>
          <w:rtl/>
        </w:rPr>
        <w:t>(3)</w:t>
      </w:r>
      <w:r w:rsidRPr="00C9040A">
        <w:rPr>
          <w:rtl/>
          <w:lang w:bidi="fa-IR"/>
        </w:rPr>
        <w:t xml:space="preserve"> الْحَقَّ ، وَتَطْعُنُ </w:t>
      </w:r>
      <w:r w:rsidR="006C577F" w:rsidRPr="006C577F">
        <w:rPr>
          <w:rStyle w:val="libFootnotenumChar"/>
          <w:rtl/>
        </w:rPr>
        <w:t>(4)</w:t>
      </w:r>
      <w:r w:rsidRPr="00C9040A">
        <w:rPr>
          <w:rtl/>
          <w:lang w:bidi="fa-IR"/>
        </w:rPr>
        <w:t xml:space="preserve"> عَلى أَهْلِهِ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AA3641">
        <w:rPr>
          <w:rtl/>
        </w:rPr>
        <w:t>2572</w:t>
      </w:r>
      <w:r w:rsidRPr="00261CB0">
        <w:rPr>
          <w:rStyle w:val="libBold2Char"/>
          <w:rtl/>
        </w:rPr>
        <w:t xml:space="preserve"> / 13.</w:t>
      </w:r>
      <w:r w:rsidRPr="00C9040A">
        <w:rPr>
          <w:rtl/>
          <w:lang w:bidi="fa-IR"/>
        </w:rPr>
        <w:t xml:space="preserve"> عَنْهُ </w:t>
      </w:r>
      <w:r w:rsidR="006C577F" w:rsidRPr="006C577F">
        <w:rPr>
          <w:rStyle w:val="libFootnotenumChar"/>
          <w:rtl/>
        </w:rPr>
        <w:t>(6)</w:t>
      </w:r>
      <w:r w:rsidRPr="005B567D">
        <w:rPr>
          <w:rStyle w:val="libFootnotenumChar"/>
          <w:rtl/>
        </w:rPr>
        <w:t xml:space="preserve"> </w:t>
      </w:r>
      <w:r w:rsidRPr="00C9040A">
        <w:rPr>
          <w:rtl/>
          <w:lang w:bidi="fa-IR"/>
        </w:rPr>
        <w:t>، عَنْ يَعْقُوبَ بْنِ يَزِيدَ ، عَنْ مُحَمَّدِ بْنِ عُمَرَ بْنِ يَزِيدَ ، عَنْ أَبِيهِ ، قَالَ :</w:t>
      </w:r>
    </w:p>
    <w:p w:rsidR="008A74EB" w:rsidRPr="00C9040A" w:rsidRDefault="008A74EB" w:rsidP="008A74EB">
      <w:pPr>
        <w:pStyle w:val="libNormal"/>
        <w:rPr>
          <w:rtl/>
          <w:lang w:bidi="fa-IR"/>
        </w:rPr>
      </w:pPr>
      <w:r w:rsidRPr="00C9040A">
        <w:rPr>
          <w:rtl/>
          <w:lang w:bidi="fa-IR"/>
        </w:rPr>
        <w:t xml:space="preserve">قُلْتُ لِأَبِي عَبْدِ اللهِ </w:t>
      </w:r>
      <w:r w:rsidRPr="0003660B">
        <w:rPr>
          <w:rStyle w:val="libAlaemChar"/>
          <w:rtl/>
        </w:rPr>
        <w:t>عليه‌السلام</w:t>
      </w:r>
      <w:r w:rsidRPr="00C9040A">
        <w:rPr>
          <w:rtl/>
          <w:lang w:bidi="fa-IR"/>
        </w:rPr>
        <w:t xml:space="preserve"> : إِنَّنِي </w:t>
      </w:r>
      <w:r w:rsidR="006C577F" w:rsidRPr="006C577F">
        <w:rPr>
          <w:rStyle w:val="libFootnotenumChar"/>
          <w:rtl/>
        </w:rPr>
        <w:t>(7)</w:t>
      </w:r>
      <w:r w:rsidRPr="00C9040A">
        <w:rPr>
          <w:rtl/>
          <w:lang w:bidi="fa-IR"/>
        </w:rPr>
        <w:t xml:space="preserve"> آكُلُ الطَّعَامَ الطَّيِّبَ ، وَأَشَمُّ الرِّيحَ </w:t>
      </w:r>
      <w:r w:rsidR="006C577F" w:rsidRPr="006C577F">
        <w:rPr>
          <w:rStyle w:val="libFootnotenumChar"/>
          <w:rtl/>
        </w:rPr>
        <w:t>(8)</w:t>
      </w:r>
      <w:r w:rsidRPr="00C9040A">
        <w:rPr>
          <w:rtl/>
          <w:lang w:bidi="fa-IR"/>
        </w:rPr>
        <w:t xml:space="preserve"> الطَّيِّبَةَ ، وَأَرْكَبُ الدَّابَّةَ الْفَارِهَةَ </w:t>
      </w:r>
      <w:r w:rsidR="006C577F" w:rsidRPr="006C577F">
        <w:rPr>
          <w:rStyle w:val="libFootnotenumChar"/>
          <w:rtl/>
        </w:rPr>
        <w:t>(9)</w:t>
      </w:r>
      <w:r w:rsidRPr="00C9040A">
        <w:rPr>
          <w:rtl/>
          <w:lang w:bidi="fa-IR"/>
        </w:rPr>
        <w:t xml:space="preserve"> ، وَيَتْبَعُنِي الْغُلَامُ ، فَتَرى فِي هذَا شَيْئاً </w:t>
      </w:r>
      <w:r w:rsidR="006C577F" w:rsidRPr="006C577F">
        <w:rPr>
          <w:rStyle w:val="libFootnotenumChar"/>
          <w:rtl/>
        </w:rPr>
        <w:t>(10)</w:t>
      </w:r>
      <w:r w:rsidRPr="00C9040A">
        <w:rPr>
          <w:rtl/>
          <w:lang w:bidi="fa-IR"/>
        </w:rPr>
        <w:t xml:space="preserve"> مِنَ التَّجَبُّرِ ؛ فَلَا أَفْعَلَهُ </w:t>
      </w:r>
      <w:r w:rsidR="006C577F" w:rsidRPr="006C577F">
        <w:rPr>
          <w:rStyle w:val="libFootnotenumChar"/>
          <w:rtl/>
        </w:rPr>
        <w:t>(11)</w:t>
      </w:r>
      <w:r>
        <w:rPr>
          <w:rtl/>
          <w:lang w:bidi="fa-IR"/>
        </w:rPr>
        <w:t>؟</w:t>
      </w:r>
    </w:p>
    <w:p w:rsidR="008A74EB" w:rsidRPr="00C9040A" w:rsidRDefault="008A74EB" w:rsidP="008A74EB">
      <w:pPr>
        <w:pStyle w:val="libNormal"/>
        <w:rPr>
          <w:rtl/>
          <w:lang w:bidi="fa-IR"/>
        </w:rPr>
      </w:pPr>
      <w:r w:rsidRPr="00C9040A">
        <w:rPr>
          <w:rtl/>
          <w:lang w:bidi="fa-IR"/>
        </w:rPr>
        <w:t xml:space="preserve">فَأَطْرَقَ أَبُو عَبْدِ اللهِ </w:t>
      </w:r>
      <w:r w:rsidRPr="0003660B">
        <w:rPr>
          <w:rStyle w:val="libAlaemChar"/>
          <w:rtl/>
        </w:rPr>
        <w:t>عليه‌السلام</w:t>
      </w:r>
      <w:r w:rsidRPr="00C9040A">
        <w:rPr>
          <w:rtl/>
          <w:lang w:bidi="fa-IR"/>
        </w:rPr>
        <w:t xml:space="preserve"> ، ثُمَّ قَالَ </w:t>
      </w:r>
      <w:r w:rsidR="006C577F" w:rsidRPr="006C577F">
        <w:rPr>
          <w:rStyle w:val="libFootnotenumChar"/>
          <w:rtl/>
        </w:rPr>
        <w:t>(12)</w:t>
      </w:r>
      <w:r w:rsidRPr="00C9040A">
        <w:rPr>
          <w:rtl/>
          <w:lang w:bidi="fa-IR"/>
        </w:rPr>
        <w:t xml:space="preserve"> : « إِنَّمَا الْجَبَّارُ الْمَلْعُونُ مَنْ غَمَ</w:t>
      </w:r>
      <w:r w:rsidR="009153D9">
        <w:rPr>
          <w:rtl/>
          <w:lang w:bidi="fa-IR"/>
        </w:rPr>
        <w:t>صَ النَّاسَ ، وَجَهِلَ الْحَقَّ</w:t>
      </w:r>
      <w:r w:rsidRPr="00C9040A">
        <w:rPr>
          <w:rtl/>
          <w:lang w:bidi="fa-IR"/>
        </w:rPr>
        <w:t>»</w:t>
      </w:r>
      <w:r>
        <w:rPr>
          <w:rtl/>
          <w:lang w:bidi="fa-IR"/>
        </w:rPr>
        <w:t>.</w:t>
      </w:r>
    </w:p>
    <w:p w:rsidR="008A74EB" w:rsidRPr="00C9040A" w:rsidRDefault="008A74EB" w:rsidP="008A74EB">
      <w:pPr>
        <w:pStyle w:val="libNormal"/>
        <w:rPr>
          <w:rtl/>
          <w:lang w:bidi="fa-IR"/>
        </w:rPr>
      </w:pPr>
      <w:r w:rsidRPr="00C9040A">
        <w:rPr>
          <w:rtl/>
          <w:lang w:bidi="fa-IR"/>
        </w:rPr>
        <w:t xml:space="preserve">قَالَ عُمَرُ : فَقُلْتُ </w:t>
      </w:r>
      <w:r w:rsidRPr="005B567D">
        <w:rPr>
          <w:rStyle w:val="libFootnotenumChar"/>
          <w:rtl/>
        </w:rPr>
        <w:t>(13)</w:t>
      </w:r>
      <w:r w:rsidRPr="00C9040A">
        <w:rPr>
          <w:rtl/>
          <w:lang w:bidi="fa-IR"/>
        </w:rPr>
        <w:t xml:space="preserve"> : أَمَّا الْحَقُّ فَلَا أَجْهَلُهُ ، وَ</w:t>
      </w:r>
      <w:r>
        <w:rPr>
          <w:rFonts w:hint="cs"/>
          <w:rtl/>
          <w:lang w:bidi="fa-IR"/>
        </w:rPr>
        <w:t xml:space="preserve"> </w:t>
      </w:r>
      <w:r w:rsidRPr="005B567D">
        <w:rPr>
          <w:rStyle w:val="libFootnotenumChar"/>
          <w:rtl/>
        </w:rPr>
        <w:t>(14)</w:t>
      </w:r>
      <w:r w:rsidRPr="00C9040A">
        <w:rPr>
          <w:rtl/>
          <w:lang w:bidi="fa-IR"/>
        </w:rPr>
        <w:t xml:space="preserve"> الْغَمْصُ لَا</w:t>
      </w:r>
      <w:r>
        <w:rPr>
          <w:rFonts w:hint="cs"/>
          <w:rtl/>
          <w:lang w:bidi="fa-IR"/>
        </w:rPr>
        <w:t xml:space="preserve"> </w:t>
      </w:r>
      <w:r w:rsidRPr="00C9040A">
        <w:rPr>
          <w:rtl/>
          <w:lang w:bidi="fa-IR"/>
        </w:rPr>
        <w:t xml:space="preserve">أَدْرِي </w:t>
      </w:r>
      <w:r w:rsidRPr="005B567D">
        <w:rPr>
          <w:rStyle w:val="libFootnotenumChar"/>
          <w:rtl/>
        </w:rPr>
        <w:t>(15)</w:t>
      </w:r>
      <w:r w:rsidRPr="00C9040A">
        <w:rPr>
          <w:rtl/>
          <w:lang w:bidi="fa-IR"/>
        </w:rPr>
        <w:t xml:space="preserve"> مَا هُوَ.</w:t>
      </w:r>
    </w:p>
    <w:p w:rsidR="008A74EB" w:rsidRPr="00C9040A" w:rsidRDefault="008A74EB" w:rsidP="008A74EB">
      <w:pPr>
        <w:pStyle w:val="libLine"/>
        <w:rPr>
          <w:rtl/>
          <w:lang w:bidi="fa-IR"/>
        </w:rPr>
      </w:pPr>
      <w:r w:rsidRPr="00C9040A">
        <w:rPr>
          <w:rtl/>
          <w:lang w:bidi="fa-IR"/>
        </w:rPr>
        <w:t>__________________</w:t>
      </w:r>
    </w:p>
    <w:p w:rsidR="008A74EB" w:rsidRPr="00C9040A" w:rsidRDefault="009153D9" w:rsidP="004A4E41">
      <w:pPr>
        <w:pStyle w:val="libFootnote0"/>
        <w:rPr>
          <w:rtl/>
          <w:lang w:bidi="fa-IR"/>
        </w:rPr>
      </w:pPr>
      <w:r>
        <w:rPr>
          <w:rFonts w:hint="cs"/>
          <w:rtl/>
        </w:rPr>
        <w:t xml:space="preserve">= </w:t>
      </w:r>
      <w:r w:rsidR="008A74EB" w:rsidRPr="00C9040A">
        <w:rPr>
          <w:rtl/>
        </w:rPr>
        <w:t xml:space="preserve">ص 870 ، ح 3186 ؛ </w:t>
      </w:r>
      <w:r w:rsidR="008A74EB" w:rsidRPr="00993B55">
        <w:rPr>
          <w:rStyle w:val="libFootnoteBoldChar"/>
          <w:rtl/>
        </w:rPr>
        <w:t>الوسائل</w:t>
      </w:r>
      <w:r w:rsidR="008A74EB" w:rsidRPr="00C9040A">
        <w:rPr>
          <w:rtl/>
        </w:rPr>
        <w:t xml:space="preserve"> ، ج 15 ، ص 375 ، ح 20787 ؛ </w:t>
      </w:r>
      <w:r w:rsidR="008A74EB" w:rsidRPr="00993B55">
        <w:rPr>
          <w:rStyle w:val="libFootnoteBoldChar"/>
          <w:rtl/>
        </w:rPr>
        <w:t>البحار</w:t>
      </w:r>
      <w:r w:rsidR="008A74EB" w:rsidRPr="00C9040A">
        <w:rPr>
          <w:rtl/>
        </w:rPr>
        <w:t xml:space="preserve"> ، ج 7 ، ص 201 ، ح 79 ؛ وج 73 ، ص 219 ، ح 11.</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w:t>
      </w:r>
      <w:r w:rsidR="006D3162">
        <w:rPr>
          <w:rtl/>
        </w:rPr>
        <w:t xml:space="preserve">ه </w:t>
      </w:r>
      <w:r w:rsidR="008A74EB" w:rsidRPr="00C9040A">
        <w:rPr>
          <w:rtl/>
        </w:rPr>
        <w:t>» : « أن يسفه ابن آدم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ب ، ج ، د ، بر ، بس ، بف » والوافي والبحار : « وما تسفه الحقّ »</w:t>
      </w:r>
      <w:r w:rsidR="008A74EB">
        <w:rPr>
          <w:rtl/>
        </w:rPr>
        <w:t>.</w:t>
      </w:r>
      <w:r w:rsidR="008A74EB" w:rsidRPr="00C9040A">
        <w:rPr>
          <w:rtl/>
        </w:rPr>
        <w:t xml:space="preserve"> وقرأ في </w:t>
      </w:r>
      <w:r w:rsidR="008A74EB" w:rsidRPr="00993B55">
        <w:rPr>
          <w:rStyle w:val="libFootnoteBoldChar"/>
          <w:rtl/>
        </w:rPr>
        <w:t>مرآة العقول</w:t>
      </w:r>
      <w:r w:rsidR="008A74EB" w:rsidRPr="00C9040A">
        <w:rPr>
          <w:rtl/>
        </w:rPr>
        <w:t xml:space="preserve"> : « ما تسفه الحقّ »</w:t>
      </w:r>
      <w:r w:rsidR="008A74EB">
        <w:rPr>
          <w:rtl/>
        </w:rPr>
        <w:t>.</w:t>
      </w:r>
      <w:r w:rsidR="008A74EB" w:rsidRPr="00C9040A">
        <w:rPr>
          <w:rtl/>
        </w:rPr>
        <w:t xml:space="preserve"> ثمّ قال : « ويمكن أن يقرأ بصيغة المصدر من باب التفعّل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هكذا في « ص ، بر ، بف » والوافي والبحار. وفي سائر النسخ والمطبوع : « يجهل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هكذا في « ص ، بر ، بف » والوافي والبحار. وفي سائر النسخ والمطبوع : « يطعن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الوافي</w:t>
      </w:r>
      <w:r w:rsidR="008A74EB" w:rsidRPr="00C9040A">
        <w:rPr>
          <w:rtl/>
        </w:rPr>
        <w:t xml:space="preserve"> ، ج 5 ، ص 872 ، ح 3191 ؛ </w:t>
      </w:r>
      <w:r w:rsidR="008A74EB" w:rsidRPr="00993B55">
        <w:rPr>
          <w:rStyle w:val="libFootnoteBoldChar"/>
          <w:rtl/>
        </w:rPr>
        <w:t>الوسائل</w:t>
      </w:r>
      <w:r w:rsidR="008A74EB" w:rsidRPr="00C9040A">
        <w:rPr>
          <w:rtl/>
        </w:rPr>
        <w:t xml:space="preserve"> ، ج 16 ، ص 6 ، ح 20817 ؛ </w:t>
      </w:r>
      <w:r w:rsidR="008A74EB" w:rsidRPr="00993B55">
        <w:rPr>
          <w:rStyle w:val="libFootnoteBoldChar"/>
          <w:rtl/>
        </w:rPr>
        <w:t>البحار</w:t>
      </w:r>
      <w:r w:rsidR="008A74EB" w:rsidRPr="00C9040A">
        <w:rPr>
          <w:rtl/>
        </w:rPr>
        <w:t xml:space="preserve"> ، ج 73 ، ص 220 ، ح 12.</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الضمير راجع إلى أحمد بن محمّد بن خالد المذكور في السند السابق.</w:t>
      </w:r>
    </w:p>
    <w:tbl>
      <w:tblPr>
        <w:tblStyle w:val="TableGrid"/>
        <w:bidiVisual/>
        <w:tblW w:w="0" w:type="auto"/>
        <w:tblLook w:val="04A0" w:firstRow="1" w:lastRow="0" w:firstColumn="1" w:lastColumn="0" w:noHBand="0" w:noVBand="1"/>
      </w:tblPr>
      <w:tblGrid>
        <w:gridCol w:w="4006"/>
        <w:gridCol w:w="4006"/>
      </w:tblGrid>
      <w:tr w:rsidR="007A33B2" w:rsidTr="007A33B2">
        <w:tc>
          <w:tcPr>
            <w:tcW w:w="4006" w:type="dxa"/>
          </w:tcPr>
          <w:p w:rsidR="007A33B2" w:rsidRDefault="007A33B2" w:rsidP="004A4E41">
            <w:pPr>
              <w:pStyle w:val="libFootnote0"/>
              <w:rPr>
                <w:rtl/>
              </w:rPr>
            </w:pPr>
            <w:r>
              <w:rPr>
                <w:rtl/>
              </w:rPr>
              <w:t>(7).</w:t>
            </w:r>
            <w:r w:rsidRPr="00C9040A">
              <w:rPr>
                <w:rtl/>
              </w:rPr>
              <w:t xml:space="preserve"> في « </w:t>
            </w:r>
            <w:r>
              <w:rPr>
                <w:rtl/>
              </w:rPr>
              <w:t xml:space="preserve">ه </w:t>
            </w:r>
            <w:r w:rsidRPr="00C9040A">
              <w:rPr>
                <w:rtl/>
              </w:rPr>
              <w:t>» والوافي : « إنّي »</w:t>
            </w:r>
            <w:r>
              <w:rPr>
                <w:rtl/>
              </w:rPr>
              <w:t>.</w:t>
            </w:r>
          </w:p>
        </w:tc>
        <w:tc>
          <w:tcPr>
            <w:tcW w:w="4006" w:type="dxa"/>
          </w:tcPr>
          <w:p w:rsidR="007A33B2" w:rsidRDefault="007A33B2" w:rsidP="004A4E41">
            <w:pPr>
              <w:pStyle w:val="libFootnote0"/>
              <w:rPr>
                <w:rtl/>
              </w:rPr>
            </w:pPr>
            <w:r>
              <w:rPr>
                <w:rtl/>
              </w:rPr>
              <w:t>(8).</w:t>
            </w:r>
            <w:r w:rsidRPr="00C9040A">
              <w:rPr>
                <w:rtl/>
              </w:rPr>
              <w:t xml:space="preserve"> في الوسائل : « الرائحة »</w:t>
            </w:r>
            <w:r>
              <w:rPr>
                <w:rtl/>
              </w:rPr>
              <w:t>.</w:t>
            </w:r>
          </w:p>
        </w:tc>
      </w:tr>
    </w:tbl>
    <w:p w:rsidR="008A74EB" w:rsidRPr="00C9040A" w:rsidRDefault="006C577F" w:rsidP="004A4E41">
      <w:pPr>
        <w:pStyle w:val="libFootnote0"/>
        <w:rPr>
          <w:rtl/>
          <w:lang w:bidi="fa-IR"/>
        </w:rPr>
      </w:pPr>
      <w:r>
        <w:rPr>
          <w:rtl/>
        </w:rPr>
        <w:t>(9).</w:t>
      </w:r>
      <w:r w:rsidR="008A74EB" w:rsidRPr="00C9040A">
        <w:rPr>
          <w:rtl/>
        </w:rPr>
        <w:t xml:space="preserve"> « الدابّة الفارهة » أي نشيطة قويّة. </w:t>
      </w:r>
      <w:r w:rsidR="008A74EB" w:rsidRPr="00993B55">
        <w:rPr>
          <w:rStyle w:val="libFootnoteBoldChar"/>
          <w:rtl/>
        </w:rPr>
        <w:t>مجمع البحرين</w:t>
      </w:r>
      <w:r w:rsidR="008A74EB" w:rsidRPr="00C9040A">
        <w:rPr>
          <w:rtl/>
        </w:rPr>
        <w:t xml:space="preserve"> ، ج 6 ، ص 355 ( فره )</w:t>
      </w:r>
      <w:r w:rsidR="008A74EB">
        <w:rPr>
          <w:rtl/>
        </w:rPr>
        <w:t>.</w:t>
      </w:r>
    </w:p>
    <w:tbl>
      <w:tblPr>
        <w:tblStyle w:val="TableGrid"/>
        <w:bidiVisual/>
        <w:tblW w:w="0" w:type="auto"/>
        <w:tblLook w:val="04A0" w:firstRow="1" w:lastRow="0" w:firstColumn="1" w:lastColumn="0" w:noHBand="0" w:noVBand="1"/>
      </w:tblPr>
      <w:tblGrid>
        <w:gridCol w:w="4006"/>
        <w:gridCol w:w="4006"/>
      </w:tblGrid>
      <w:tr w:rsidR="00A36F95" w:rsidTr="00A36F95">
        <w:tc>
          <w:tcPr>
            <w:tcW w:w="4006" w:type="dxa"/>
          </w:tcPr>
          <w:p w:rsidR="00A36F95" w:rsidRDefault="00A36F95" w:rsidP="004A4E41">
            <w:pPr>
              <w:pStyle w:val="libFootnote0"/>
              <w:rPr>
                <w:rtl/>
              </w:rPr>
            </w:pPr>
            <w:r>
              <w:rPr>
                <w:rtl/>
              </w:rPr>
              <w:t>(10).</w:t>
            </w:r>
            <w:r w:rsidRPr="00C9040A">
              <w:rPr>
                <w:rtl/>
              </w:rPr>
              <w:t xml:space="preserve"> في « </w:t>
            </w:r>
            <w:r>
              <w:rPr>
                <w:rtl/>
              </w:rPr>
              <w:t xml:space="preserve">ه </w:t>
            </w:r>
            <w:r w:rsidRPr="00C9040A">
              <w:rPr>
                <w:rtl/>
              </w:rPr>
              <w:t>» : « فترى في هذا عليّ شي‌ء »</w:t>
            </w:r>
            <w:r>
              <w:rPr>
                <w:rtl/>
              </w:rPr>
              <w:t>.</w:t>
            </w:r>
          </w:p>
        </w:tc>
        <w:tc>
          <w:tcPr>
            <w:tcW w:w="4006" w:type="dxa"/>
          </w:tcPr>
          <w:p w:rsidR="00A36F95" w:rsidRDefault="00A36F95" w:rsidP="004A4E41">
            <w:pPr>
              <w:pStyle w:val="libFootnote0"/>
              <w:rPr>
                <w:rtl/>
              </w:rPr>
            </w:pPr>
            <w:r>
              <w:rPr>
                <w:rtl/>
              </w:rPr>
              <w:t>(11).</w:t>
            </w:r>
            <w:r w:rsidRPr="00C9040A">
              <w:rPr>
                <w:rtl/>
              </w:rPr>
              <w:t xml:space="preserve"> في « </w:t>
            </w:r>
            <w:r>
              <w:rPr>
                <w:rtl/>
              </w:rPr>
              <w:t xml:space="preserve">ه </w:t>
            </w:r>
            <w:r w:rsidRPr="00C9040A">
              <w:rPr>
                <w:rtl/>
              </w:rPr>
              <w:t>» : « فلا أفعل »</w:t>
            </w:r>
            <w:r>
              <w:rPr>
                <w:rtl/>
              </w:rPr>
              <w:t>.</w:t>
            </w:r>
          </w:p>
        </w:tc>
      </w:tr>
      <w:tr w:rsidR="00A36F95" w:rsidTr="00A36F95">
        <w:tc>
          <w:tcPr>
            <w:tcW w:w="4006" w:type="dxa"/>
          </w:tcPr>
          <w:p w:rsidR="00A36F95" w:rsidRDefault="00A36F95" w:rsidP="004A4E41">
            <w:pPr>
              <w:pStyle w:val="libFootnote0"/>
              <w:rPr>
                <w:rtl/>
              </w:rPr>
            </w:pPr>
            <w:r>
              <w:rPr>
                <w:rtl/>
              </w:rPr>
              <w:t>(12).</w:t>
            </w:r>
            <w:r w:rsidRPr="00C9040A">
              <w:rPr>
                <w:rtl/>
              </w:rPr>
              <w:t xml:space="preserve"> في « ب » : « فقال »</w:t>
            </w:r>
            <w:r>
              <w:rPr>
                <w:rtl/>
              </w:rPr>
              <w:t>.</w:t>
            </w:r>
            <w:r w:rsidRPr="00C9040A">
              <w:rPr>
                <w:rtl/>
              </w:rPr>
              <w:t xml:space="preserve"> وفي « </w:t>
            </w:r>
            <w:r>
              <w:rPr>
                <w:rtl/>
              </w:rPr>
              <w:t>ه »: « وقال</w:t>
            </w:r>
            <w:r w:rsidRPr="00C9040A">
              <w:rPr>
                <w:rtl/>
              </w:rPr>
              <w:t>»</w:t>
            </w:r>
            <w:r>
              <w:rPr>
                <w:rtl/>
              </w:rPr>
              <w:t>.</w:t>
            </w:r>
          </w:p>
        </w:tc>
        <w:tc>
          <w:tcPr>
            <w:tcW w:w="4006" w:type="dxa"/>
          </w:tcPr>
          <w:p w:rsidR="00A36F95" w:rsidRDefault="00A36F95" w:rsidP="004A4E41">
            <w:pPr>
              <w:pStyle w:val="libFootnote0"/>
              <w:rPr>
                <w:rtl/>
              </w:rPr>
            </w:pPr>
            <w:r>
              <w:rPr>
                <w:rtl/>
              </w:rPr>
              <w:t>(13)</w:t>
            </w:r>
            <w:r w:rsidRPr="00C9040A">
              <w:rPr>
                <w:rtl/>
              </w:rPr>
              <w:t xml:space="preserve"> في « </w:t>
            </w:r>
            <w:r>
              <w:rPr>
                <w:rtl/>
              </w:rPr>
              <w:t xml:space="preserve">ه </w:t>
            </w:r>
            <w:r w:rsidRPr="00C9040A">
              <w:rPr>
                <w:rtl/>
              </w:rPr>
              <w:t>» والبحار : « قلت »</w:t>
            </w:r>
            <w:r>
              <w:rPr>
                <w:rtl/>
              </w:rPr>
              <w:t>.</w:t>
            </w:r>
          </w:p>
        </w:tc>
      </w:tr>
      <w:tr w:rsidR="00A36F95" w:rsidTr="00A36F95">
        <w:tc>
          <w:tcPr>
            <w:tcW w:w="4006" w:type="dxa"/>
          </w:tcPr>
          <w:p w:rsidR="00A36F95" w:rsidRDefault="007012E5" w:rsidP="004A4E41">
            <w:pPr>
              <w:pStyle w:val="libFootnote0"/>
              <w:rPr>
                <w:rtl/>
              </w:rPr>
            </w:pPr>
            <w:r>
              <w:rPr>
                <w:rtl/>
              </w:rPr>
              <w:t>(14)</w:t>
            </w:r>
            <w:r w:rsidRPr="00C9040A">
              <w:rPr>
                <w:rtl/>
              </w:rPr>
              <w:t xml:space="preserve"> في « بس » وحاشية « بف » : « وأمّا »</w:t>
            </w:r>
            <w:r>
              <w:rPr>
                <w:rtl/>
              </w:rPr>
              <w:t>.</w:t>
            </w:r>
          </w:p>
        </w:tc>
        <w:tc>
          <w:tcPr>
            <w:tcW w:w="4006" w:type="dxa"/>
          </w:tcPr>
          <w:p w:rsidR="00A36F95" w:rsidRDefault="007012E5" w:rsidP="004A4E41">
            <w:pPr>
              <w:pStyle w:val="libFootnote0"/>
              <w:rPr>
                <w:rtl/>
              </w:rPr>
            </w:pPr>
            <w:r>
              <w:rPr>
                <w:rtl/>
              </w:rPr>
              <w:t>(15)</w:t>
            </w:r>
            <w:r w:rsidRPr="00C9040A">
              <w:rPr>
                <w:rtl/>
              </w:rPr>
              <w:t xml:space="preserve"> في « بس » : « فلا أدري »</w:t>
            </w:r>
            <w:r>
              <w:rPr>
                <w:rtl/>
              </w:rPr>
              <w:t>.</w:t>
            </w:r>
          </w:p>
        </w:tc>
      </w:tr>
    </w:tbl>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قَالَ : « مَنْ حَقَّرَ النَّاسَ وَتَجَبَّرَ عَلَيْهِمْ ، فَذلِكَ الْجَبَّارُ »</w:t>
      </w:r>
      <w:r>
        <w:rPr>
          <w:rtl/>
          <w:lang w:bidi="fa-IR"/>
        </w:rPr>
        <w:t>.</w:t>
      </w:r>
      <w:r w:rsidRPr="00C9040A">
        <w:rPr>
          <w:rtl/>
          <w:lang w:bidi="fa-IR"/>
        </w:rPr>
        <w:t xml:space="preserve"> </w:t>
      </w:r>
      <w:r w:rsidR="006C577F" w:rsidRPr="006C577F">
        <w:rPr>
          <w:rStyle w:val="libFootnotenumChar"/>
          <w:rtl/>
        </w:rPr>
        <w:t>(1)</w:t>
      </w:r>
      <w:r w:rsidRPr="00C9040A">
        <w:rPr>
          <w:rtl/>
          <w:lang w:bidi="fa-IR"/>
        </w:rPr>
        <w:t xml:space="preserve"> ‌</w:t>
      </w:r>
    </w:p>
    <w:p w:rsidR="008A74EB" w:rsidRPr="00C9040A" w:rsidRDefault="008A74EB" w:rsidP="008A74EB">
      <w:pPr>
        <w:pStyle w:val="libNormal"/>
        <w:rPr>
          <w:rtl/>
          <w:lang w:bidi="fa-IR"/>
        </w:rPr>
      </w:pPr>
      <w:r w:rsidRPr="00AA3641">
        <w:rPr>
          <w:rtl/>
        </w:rPr>
        <w:t>2573</w:t>
      </w:r>
      <w:r w:rsidRPr="00261CB0">
        <w:rPr>
          <w:rStyle w:val="libBold2Char"/>
          <w:rtl/>
        </w:rPr>
        <w:t xml:space="preserve"> / 14.</w:t>
      </w:r>
      <w:r w:rsidRPr="00C9040A">
        <w:rPr>
          <w:rtl/>
          <w:lang w:bidi="fa-IR"/>
        </w:rPr>
        <w:t xml:space="preserve"> مُحَمَّدُ بْنُ جَعْفَرٍ ، عَنْ مُحَمَّدِ بْنِ عَبْدِ الْحَمِيدِ ، عَنْ عَاصِمِ بْنِ حُمَيْدٍ ، عَنْ أَبِي حَمْزَةَ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ثَلَاثَةٌ لَايُكَلِّمُهُمُ اللهُ ، وَلَايَنْظُرُ إِلَيْهِمْ يَوْمَ الْقِيَامَةِ ، وَلَايُزَكِّيهِمْ ، وَلَهُمْ عَذَابٌ أَلِيمٌ </w:t>
      </w:r>
      <w:r w:rsidR="006C577F" w:rsidRPr="006C577F">
        <w:rPr>
          <w:rStyle w:val="libFootnotenumChar"/>
          <w:rtl/>
        </w:rPr>
        <w:t>(2)</w:t>
      </w:r>
      <w:r w:rsidRPr="00C9040A">
        <w:rPr>
          <w:rtl/>
          <w:lang w:bidi="fa-IR"/>
        </w:rPr>
        <w:t xml:space="preserve"> : شَيْخٌ زَانٍ ، وَمَلِكٌ جَبَّارٌ ، وَمُقِلٌّ </w:t>
      </w:r>
      <w:r w:rsidR="006C577F" w:rsidRPr="006C577F">
        <w:rPr>
          <w:rStyle w:val="libFootnotenumChar"/>
          <w:rtl/>
        </w:rPr>
        <w:t>(3)</w:t>
      </w:r>
      <w:r w:rsidRPr="00C9040A">
        <w:rPr>
          <w:rtl/>
          <w:lang w:bidi="fa-IR"/>
        </w:rPr>
        <w:t xml:space="preserve"> مُخْتَالٌ </w:t>
      </w:r>
      <w:r w:rsidR="006C577F" w:rsidRPr="006C577F">
        <w:rPr>
          <w:rStyle w:val="libFootnotenumChar"/>
          <w:rtl/>
        </w:rPr>
        <w:t>(4)</w:t>
      </w:r>
      <w:r w:rsidRPr="00C9040A">
        <w:rPr>
          <w:rtl/>
          <w:lang w:bidi="fa-IR"/>
        </w:rPr>
        <w:t>»</w:t>
      </w:r>
      <w:r>
        <w:rPr>
          <w:rtl/>
          <w:lang w:bidi="fa-IR"/>
        </w:rPr>
        <w:t>.</w:t>
      </w:r>
      <w:r w:rsidR="006C577F" w:rsidRPr="006C577F">
        <w:rPr>
          <w:rStyle w:val="libFootnotenumChar"/>
          <w:rtl/>
        </w:rPr>
        <w:t>(5)</w:t>
      </w:r>
      <w:r w:rsidRPr="00C9040A">
        <w:rPr>
          <w:rtl/>
          <w:lang w:bidi="fa-IR"/>
        </w:rPr>
        <w:t>‌</w:t>
      </w:r>
    </w:p>
    <w:p w:rsidR="008A74EB" w:rsidRPr="00C9040A" w:rsidRDefault="008A74EB" w:rsidP="008A74EB">
      <w:pPr>
        <w:pStyle w:val="libNormal"/>
        <w:rPr>
          <w:rtl/>
          <w:lang w:bidi="fa-IR"/>
        </w:rPr>
      </w:pPr>
      <w:r w:rsidRPr="00AA3641">
        <w:rPr>
          <w:rtl/>
        </w:rPr>
        <w:t>2574</w:t>
      </w:r>
      <w:r w:rsidRPr="00261CB0">
        <w:rPr>
          <w:rStyle w:val="libBold2Char"/>
          <w:rtl/>
        </w:rPr>
        <w:t xml:space="preserve"> / 15.</w:t>
      </w:r>
      <w:r w:rsidRPr="00C9040A">
        <w:rPr>
          <w:rtl/>
          <w:lang w:bidi="fa-IR"/>
        </w:rPr>
        <w:t xml:space="preserve"> عِدَّةٌ مِنْ أَصْحَابِنَا ، عَنْ أَحْمَدَ بْنِ مُحَمَّدٍ ، عَنْ مَرْوَكِ بْنِ عُبَيْدٍ ، عَمَّنْ حَدَّثَهُ :</w:t>
      </w:r>
    </w:p>
    <w:p w:rsidR="008A74EB" w:rsidRPr="00C9040A" w:rsidRDefault="008A74EB" w:rsidP="008A74EB">
      <w:pPr>
        <w:pStyle w:val="libNormal"/>
        <w:rPr>
          <w:rtl/>
          <w:lang w:bidi="fa-IR"/>
        </w:rPr>
      </w:pPr>
      <w:r w:rsidRPr="00C9040A">
        <w:rPr>
          <w:rtl/>
          <w:lang w:bidi="fa-IR"/>
        </w:rPr>
        <w:t xml:space="preserve">عَنْ أَبِي عَبْدِاللهِ </w:t>
      </w:r>
      <w:r w:rsidRPr="0003660B">
        <w:rPr>
          <w:rStyle w:val="libAlaemChar"/>
          <w:rtl/>
        </w:rPr>
        <w:t>عليه‌السلام</w:t>
      </w:r>
      <w:r w:rsidRPr="00C9040A">
        <w:rPr>
          <w:rtl/>
          <w:lang w:bidi="fa-IR"/>
        </w:rPr>
        <w:t xml:space="preserve"> ، قَالَ : « إِنَّ يُوسُفَ </w:t>
      </w:r>
      <w:r w:rsidRPr="0003660B">
        <w:rPr>
          <w:rStyle w:val="libAlaemChar"/>
          <w:rtl/>
        </w:rPr>
        <w:t>عليه‌السلام</w:t>
      </w:r>
      <w:r w:rsidRPr="00C9040A">
        <w:rPr>
          <w:rtl/>
          <w:lang w:bidi="fa-IR"/>
        </w:rPr>
        <w:t xml:space="preserve"> لَمَّا قَدِمَ عَلَيْهِ الشَّيْخُ يَعْقُوبُ </w:t>
      </w:r>
      <w:r w:rsidRPr="0003660B">
        <w:rPr>
          <w:rStyle w:val="libAlaemChar"/>
          <w:rtl/>
        </w:rPr>
        <w:t>عليه‌السلام</w:t>
      </w:r>
      <w:r w:rsidRPr="00C9040A">
        <w:rPr>
          <w:rtl/>
          <w:lang w:bidi="fa-IR"/>
        </w:rPr>
        <w:t xml:space="preserve"> ، دَخَلَهُ عِزُّ الْمُلْكِ ، فَلَمْ يَنْزِلْ إِلَيْهِ </w:t>
      </w:r>
      <w:r w:rsidR="006C577F" w:rsidRPr="006C577F">
        <w:rPr>
          <w:rStyle w:val="libFootnotenumChar"/>
          <w:rtl/>
        </w:rPr>
        <w:t>(6)</w:t>
      </w:r>
      <w:r w:rsidRPr="005B567D">
        <w:rPr>
          <w:rStyle w:val="libFootnotenumChar"/>
          <w:rtl/>
        </w:rPr>
        <w:t xml:space="preserve"> </w:t>
      </w:r>
      <w:r w:rsidRPr="00C9040A">
        <w:rPr>
          <w:rtl/>
          <w:lang w:bidi="fa-IR"/>
        </w:rPr>
        <w:t xml:space="preserve">، فَهَبَطَ عَلَيْهِ </w:t>
      </w:r>
      <w:r w:rsidR="006C577F" w:rsidRPr="006C577F">
        <w:rPr>
          <w:rStyle w:val="libFootnotenumChar"/>
          <w:rtl/>
        </w:rPr>
        <w:t>(7)</w:t>
      </w:r>
      <w:r w:rsidRPr="00C9040A">
        <w:rPr>
          <w:rtl/>
          <w:lang w:bidi="fa-IR"/>
        </w:rPr>
        <w:t xml:space="preserve"> جَبْرَئِيلُ </w:t>
      </w:r>
      <w:r w:rsidRPr="0003660B">
        <w:rPr>
          <w:rStyle w:val="libAlaemChar"/>
          <w:rtl/>
        </w:rPr>
        <w:t>عليه‌السلام</w:t>
      </w:r>
      <w:r w:rsidRPr="00C9040A">
        <w:rPr>
          <w:rtl/>
          <w:lang w:bidi="fa-IR"/>
        </w:rPr>
        <w:t xml:space="preserve"> ، </w:t>
      </w:r>
      <w:r w:rsidR="00D22E64">
        <w:rPr>
          <w:rtl/>
          <w:lang w:bidi="fa-IR"/>
        </w:rPr>
        <w:t>فَقَالَ : يَا يُوسُفُ ، ابْسُطْ</w:t>
      </w:r>
      <w:r w:rsidR="00D22E64">
        <w:rPr>
          <w:rFonts w:hint="cs"/>
          <w:rtl/>
          <w:lang w:bidi="fa-IR"/>
        </w:rPr>
        <w:t xml:space="preserve"> </w:t>
      </w:r>
      <w:r w:rsidRPr="00C9040A">
        <w:rPr>
          <w:rtl/>
          <w:lang w:bidi="fa-IR"/>
        </w:rPr>
        <w:t>رَاحَتَكَ</w:t>
      </w:r>
      <w:r w:rsidR="006C577F" w:rsidRPr="006C577F">
        <w:rPr>
          <w:rStyle w:val="libFootnotenumChar"/>
          <w:rtl/>
        </w:rPr>
        <w:t>(8)</w:t>
      </w:r>
      <w:r w:rsidRPr="00C9040A">
        <w:rPr>
          <w:rtl/>
          <w:lang w:bidi="fa-IR"/>
        </w:rPr>
        <w:t>،</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993B55">
        <w:rPr>
          <w:rStyle w:val="libFootnoteBoldChar"/>
          <w:rtl/>
        </w:rPr>
        <w:t>الوافي</w:t>
      </w:r>
      <w:r w:rsidR="008A74EB" w:rsidRPr="00C9040A">
        <w:rPr>
          <w:rtl/>
        </w:rPr>
        <w:t xml:space="preserve"> ، ج 5 ، ص 872 ، ح 3192 ؛ </w:t>
      </w:r>
      <w:r w:rsidR="008A74EB" w:rsidRPr="00993B55">
        <w:rPr>
          <w:rStyle w:val="libFootnoteBoldChar"/>
          <w:rtl/>
        </w:rPr>
        <w:t>الوسائل</w:t>
      </w:r>
      <w:r w:rsidR="008A74EB" w:rsidRPr="00C9040A">
        <w:rPr>
          <w:rtl/>
        </w:rPr>
        <w:t xml:space="preserve"> ، ج 16 ، ص 7 ، ح 20818 ؛ </w:t>
      </w:r>
      <w:r w:rsidR="008A74EB" w:rsidRPr="00993B55">
        <w:rPr>
          <w:rStyle w:val="libFootnoteBoldChar"/>
          <w:rtl/>
        </w:rPr>
        <w:t>البحار</w:t>
      </w:r>
      <w:r w:rsidR="008A74EB" w:rsidRPr="00C9040A">
        <w:rPr>
          <w:rtl/>
        </w:rPr>
        <w:t xml:space="preserve"> ، ج 73 ، ص 220 ، ح 13.</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ب » : « عظيم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رجل مُقلّ وأقلّ : فقير. </w:t>
      </w:r>
      <w:r w:rsidR="008A74EB" w:rsidRPr="00993B55">
        <w:rPr>
          <w:rStyle w:val="libFootnoteBoldChar"/>
          <w:rtl/>
        </w:rPr>
        <w:t>القاموس المحيط</w:t>
      </w:r>
      <w:r w:rsidR="008A74EB" w:rsidRPr="00C9040A">
        <w:rPr>
          <w:rtl/>
        </w:rPr>
        <w:t xml:space="preserve"> ، ج 2 ، ص 1386 ( قلل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الخَال والخُيَلاء والخِيَلاء : الكِبْر. والمختال : المتكبّر. راجع : </w:t>
      </w:r>
      <w:r w:rsidR="008A74EB" w:rsidRPr="00993B55">
        <w:rPr>
          <w:rStyle w:val="libFootnoteBoldChar"/>
          <w:rtl/>
        </w:rPr>
        <w:t>الصحاح</w:t>
      </w:r>
      <w:r w:rsidR="008A74EB" w:rsidRPr="00C9040A">
        <w:rPr>
          <w:rtl/>
        </w:rPr>
        <w:t xml:space="preserve"> ، ج 4 ، ص 1691 ( خيل )</w:t>
      </w:r>
      <w:r w:rsidR="008A74EB">
        <w:rPr>
          <w:rtl/>
        </w:rPr>
        <w:t>.</w:t>
      </w:r>
    </w:p>
    <w:p w:rsidR="008A74EB" w:rsidRPr="00C9040A" w:rsidRDefault="006C577F" w:rsidP="00D22E64">
      <w:pPr>
        <w:pStyle w:val="libFootnote0"/>
        <w:rPr>
          <w:rtl/>
          <w:lang w:bidi="fa-IR"/>
        </w:rPr>
      </w:pPr>
      <w:r>
        <w:rPr>
          <w:rtl/>
        </w:rPr>
        <w:t>(5).</w:t>
      </w:r>
      <w:r w:rsidR="008A74EB" w:rsidRPr="00C9040A">
        <w:rPr>
          <w:rtl/>
        </w:rPr>
        <w:t xml:space="preserve"> </w:t>
      </w:r>
      <w:r w:rsidR="008A74EB" w:rsidRPr="00993B55">
        <w:rPr>
          <w:rStyle w:val="libFootnoteBoldChar"/>
          <w:rtl/>
        </w:rPr>
        <w:t>ثواب الأعمال</w:t>
      </w:r>
      <w:r w:rsidR="008A74EB" w:rsidRPr="00C9040A">
        <w:rPr>
          <w:rtl/>
        </w:rPr>
        <w:t xml:space="preserve"> ، ص 265 ، ح 12 ، بسنده عن محمّد بن عبدالحميد العطّار. </w:t>
      </w:r>
      <w:r w:rsidR="008A74EB" w:rsidRPr="00993B55">
        <w:rPr>
          <w:rStyle w:val="libFootnoteBoldChar"/>
          <w:rtl/>
        </w:rPr>
        <w:t>الفقيه</w:t>
      </w:r>
      <w:r w:rsidR="008A74EB" w:rsidRPr="00C9040A">
        <w:rPr>
          <w:rtl/>
        </w:rPr>
        <w:t xml:space="preserve"> ، ج 4 ، ص 21 ، ح 4982 مرسلا ؛ </w:t>
      </w:r>
      <w:r w:rsidR="008A74EB" w:rsidRPr="00993B55">
        <w:rPr>
          <w:rStyle w:val="libFootnoteBoldChar"/>
          <w:rtl/>
        </w:rPr>
        <w:t>تفسير العيّاشي</w:t>
      </w:r>
      <w:r w:rsidR="008A74EB" w:rsidRPr="00C9040A">
        <w:rPr>
          <w:rtl/>
        </w:rPr>
        <w:t xml:space="preserve"> ، ج 1 ، ص 179 ، ح 68 ، عن أبي حمزة ، عن أبي جعفر </w:t>
      </w:r>
      <w:r w:rsidR="00117575" w:rsidRPr="00117575">
        <w:rPr>
          <w:rStyle w:val="libFootnoteAlaemChar"/>
          <w:rtl/>
        </w:rPr>
        <w:t>عليه‌السلام</w:t>
      </w:r>
      <w:r w:rsidR="008A74EB" w:rsidRPr="00C9040A">
        <w:rPr>
          <w:rtl/>
        </w:rPr>
        <w:t xml:space="preserve"> ، وفي كلّها مع اختلاف يسير. راجع : </w:t>
      </w:r>
      <w:r w:rsidR="008A74EB" w:rsidRPr="00993B55">
        <w:rPr>
          <w:rStyle w:val="libFootnoteBoldChar"/>
          <w:rtl/>
        </w:rPr>
        <w:t>الكافي</w:t>
      </w:r>
      <w:r w:rsidR="008A74EB" w:rsidRPr="00C9040A">
        <w:rPr>
          <w:rtl/>
        </w:rPr>
        <w:t xml:space="preserve"> ، كتاب النكاح ، باب الغيرة ، ح 10287 ؛ و</w:t>
      </w:r>
      <w:r w:rsidR="008A74EB" w:rsidRPr="00993B55">
        <w:rPr>
          <w:rStyle w:val="libFootnoteBoldChar"/>
          <w:rtl/>
        </w:rPr>
        <w:t>الفقيه</w:t>
      </w:r>
      <w:r w:rsidR="008A74EB" w:rsidRPr="00C9040A">
        <w:rPr>
          <w:rtl/>
        </w:rPr>
        <w:t xml:space="preserve"> ، ج 4 ، ص 21 ، ح 4983</w:t>
      </w:r>
      <w:r w:rsidR="00D22E64">
        <w:rPr>
          <w:rFonts w:hint="cs"/>
          <w:rtl/>
        </w:rPr>
        <w:t>.</w:t>
      </w:r>
      <w:r w:rsidR="008A74EB" w:rsidRPr="00993B55">
        <w:rPr>
          <w:rStyle w:val="libFootnoteBoldChar"/>
          <w:rtl/>
        </w:rPr>
        <w:t>الوافي</w:t>
      </w:r>
      <w:r w:rsidR="008A74EB" w:rsidRPr="00C9040A">
        <w:rPr>
          <w:rtl/>
        </w:rPr>
        <w:t xml:space="preserve"> ، ج 5 ، ص 872 ، ح 3194 ؛ </w:t>
      </w:r>
      <w:r w:rsidR="008A74EB" w:rsidRPr="00993B55">
        <w:rPr>
          <w:rStyle w:val="libFootnoteBoldChar"/>
          <w:rtl/>
        </w:rPr>
        <w:t>الوسائل</w:t>
      </w:r>
      <w:r w:rsidR="008A74EB" w:rsidRPr="00C9040A">
        <w:rPr>
          <w:rtl/>
        </w:rPr>
        <w:t xml:space="preserve"> ، ج 15 ، ص 379 ، ح 20799 ؛ </w:t>
      </w:r>
      <w:r w:rsidR="008A74EB" w:rsidRPr="00993B55">
        <w:rPr>
          <w:rStyle w:val="libFootnoteBoldChar"/>
          <w:rtl/>
        </w:rPr>
        <w:t>البحار</w:t>
      </w:r>
      <w:r w:rsidR="008A74EB" w:rsidRPr="00C9040A">
        <w:rPr>
          <w:rtl/>
        </w:rPr>
        <w:t xml:space="preserve"> ، ج 73 ، ص 221 ، ح 14.</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النزول إمّا عن الدابّة أو عن السرير ، وكلاهما مرويّان. وينبغي حمله على أنّ ما دخله لم يكن تكبّراً وتحقيراًلوالده ؛ لكون الأنبياء منزّهين عن أمثال ذلك ؛ بل راعى فيه المصلحة لحفظ عزّته عند عامّة الناس لتمكّنه من سياسة الخلق وترويج الذين ؛ إذا كان نزول الملك عندهم لغيره موجباً لذلّه ، مكان رعاية الأدب للأب مع نبوّته ومقاساة الشدائد لحبّه أهمّ وأولى من رعاية تلك المصلحة ، فكان هذا منه </w:t>
      </w:r>
      <w:r w:rsidR="00117575" w:rsidRPr="00117575">
        <w:rPr>
          <w:rStyle w:val="libFootnoteAlaemChar"/>
          <w:rtl/>
        </w:rPr>
        <w:t>عليه‌السلام</w:t>
      </w:r>
      <w:r w:rsidR="008A74EB" w:rsidRPr="00C9040A">
        <w:rPr>
          <w:rtl/>
        </w:rPr>
        <w:t xml:space="preserve"> تركاً للأولى ، فلذا عوتب عليه وخرج نور النبوّة من صلبه ؛ لأنّهم لرفعة شأنهم وعلوّ درجتهم يعاتبون بأدنى شي‌ء ، فهذا كان شبيهاً بالتكبّر ولم يكن تكبّراً. راجع : </w:t>
      </w:r>
      <w:r w:rsidR="008A74EB" w:rsidRPr="00993B55">
        <w:rPr>
          <w:rStyle w:val="libFootnoteBoldChar"/>
          <w:rtl/>
        </w:rPr>
        <w:t>شرح الماندراني</w:t>
      </w:r>
      <w:r w:rsidR="008A74EB" w:rsidRPr="00C9040A">
        <w:rPr>
          <w:rtl/>
        </w:rPr>
        <w:t xml:space="preserve"> ، ج 9 ، ص 312 ؛ </w:t>
      </w:r>
      <w:r w:rsidR="008A74EB" w:rsidRPr="00993B55">
        <w:rPr>
          <w:rStyle w:val="libFootnoteBoldChar"/>
          <w:rtl/>
        </w:rPr>
        <w:t>الوافي</w:t>
      </w:r>
      <w:r w:rsidR="008A74EB" w:rsidRPr="00C9040A">
        <w:rPr>
          <w:rtl/>
        </w:rPr>
        <w:t xml:space="preserve"> ، ج 5 ، ص 873 ؛ </w:t>
      </w:r>
      <w:r w:rsidR="008A74EB" w:rsidRPr="00993B55">
        <w:rPr>
          <w:rStyle w:val="libFootnoteBoldChar"/>
          <w:rtl/>
        </w:rPr>
        <w:t>مرآة العقول</w:t>
      </w:r>
      <w:r w:rsidR="008A74EB" w:rsidRPr="00C9040A">
        <w:rPr>
          <w:rtl/>
        </w:rPr>
        <w:t xml:space="preserve"> ، ج 10 ، ص 215.</w:t>
      </w:r>
    </w:p>
    <w:p w:rsidR="008A74EB" w:rsidRPr="00C9040A" w:rsidRDefault="006C577F" w:rsidP="004A4E41">
      <w:pPr>
        <w:pStyle w:val="libFootnote0"/>
        <w:rPr>
          <w:rtl/>
          <w:lang w:bidi="fa-IR"/>
        </w:rPr>
      </w:pPr>
      <w:r>
        <w:rPr>
          <w:rtl/>
        </w:rPr>
        <w:t>(7).</w:t>
      </w:r>
      <w:r w:rsidR="008A74EB" w:rsidRPr="00C9040A">
        <w:rPr>
          <w:rtl/>
        </w:rPr>
        <w:t xml:space="preserve"> هكذا في « ب ، ج ، د ، ص ، بر ، بس ، بف » والوافي والبحار. وفي سائر النسخ والمطبوع </w:t>
      </w:r>
      <w:r w:rsidR="008A74EB">
        <w:rPr>
          <w:rtl/>
        </w:rPr>
        <w:t xml:space="preserve">: </w:t>
      </w:r>
      <w:r w:rsidR="0084262C">
        <w:rPr>
          <w:rtl/>
        </w:rPr>
        <w:t>-</w:t>
      </w:r>
      <w:r w:rsidR="008A74EB" w:rsidRPr="00C9040A">
        <w:rPr>
          <w:rtl/>
        </w:rPr>
        <w:t xml:space="preserve"> « عليه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 الراحة » : باطن الكفّ. </w:t>
      </w:r>
      <w:r w:rsidR="008A74EB" w:rsidRPr="00993B55">
        <w:rPr>
          <w:rStyle w:val="libFootnoteBoldChar"/>
          <w:rtl/>
        </w:rPr>
        <w:t>مجمع البحرين</w:t>
      </w:r>
      <w:r w:rsidR="008A74EB" w:rsidRPr="00C9040A">
        <w:rPr>
          <w:rtl/>
        </w:rPr>
        <w:t xml:space="preserve"> ، ج 2 ، ص 362 ( روح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فَخَرَجَ مِنْهَا نُورٌ سَاطِعٌ ، فَصَارَ فِي جَوِّ السَّمَاءِ ، فَقَالَ يُوسُفُ : يَا جَبْرَئِيلُ </w:t>
      </w:r>
      <w:r w:rsidR="006C577F" w:rsidRPr="006C577F">
        <w:rPr>
          <w:rStyle w:val="libFootnotenumChar"/>
          <w:rtl/>
        </w:rPr>
        <w:t>(1)</w:t>
      </w:r>
      <w:r w:rsidRPr="00C9040A">
        <w:rPr>
          <w:rtl/>
          <w:lang w:bidi="fa-IR"/>
        </w:rPr>
        <w:t xml:space="preserve"> ، مَا هذَا النُّورُ الَّذِي خَرَجَ مِنْ رَاحَتِي</w:t>
      </w:r>
      <w:r>
        <w:rPr>
          <w:rtl/>
          <w:lang w:bidi="fa-IR"/>
        </w:rPr>
        <w:t>؟</w:t>
      </w:r>
      <w:r w:rsidRPr="00C9040A">
        <w:rPr>
          <w:rtl/>
          <w:lang w:bidi="fa-IR"/>
        </w:rPr>
        <w:t xml:space="preserve"> فَقَالَ </w:t>
      </w:r>
      <w:r w:rsidR="006C577F" w:rsidRPr="006C577F">
        <w:rPr>
          <w:rStyle w:val="libFootnotenumChar"/>
          <w:rtl/>
        </w:rPr>
        <w:t>(2)</w:t>
      </w:r>
      <w:r w:rsidRPr="00C9040A">
        <w:rPr>
          <w:rtl/>
          <w:lang w:bidi="fa-IR"/>
        </w:rPr>
        <w:t xml:space="preserve"> : نُزِعَتِ النُّبُوَّةُ مِنْ </w:t>
      </w:r>
      <w:r w:rsidR="006C577F" w:rsidRPr="006C577F">
        <w:rPr>
          <w:rStyle w:val="libFootnotenumChar"/>
          <w:rtl/>
        </w:rPr>
        <w:t>(3)</w:t>
      </w:r>
      <w:r w:rsidRPr="00C9040A">
        <w:rPr>
          <w:rtl/>
          <w:lang w:bidi="fa-IR"/>
        </w:rPr>
        <w:t xml:space="preserve"> عَقِبِكَ عُقُوبَةً ؛ لِمَا لَمْ تَنْزِلْ </w:t>
      </w:r>
      <w:r w:rsidR="006C577F" w:rsidRPr="006C577F">
        <w:rPr>
          <w:rStyle w:val="libFootnotenumChar"/>
          <w:rtl/>
        </w:rPr>
        <w:t>(4)</w:t>
      </w:r>
      <w:r w:rsidRPr="00C9040A">
        <w:rPr>
          <w:rtl/>
          <w:lang w:bidi="fa-IR"/>
        </w:rPr>
        <w:t xml:space="preserve"> إِلَى الشَّيْخِ </w:t>
      </w:r>
      <w:r w:rsidR="006C577F" w:rsidRPr="006C577F">
        <w:rPr>
          <w:rStyle w:val="libFootnotenumChar"/>
          <w:rtl/>
        </w:rPr>
        <w:t>(5)</w:t>
      </w:r>
      <w:r w:rsidRPr="00C9040A">
        <w:rPr>
          <w:rtl/>
          <w:lang w:bidi="fa-IR"/>
        </w:rPr>
        <w:t xml:space="preserve"> يَعْقُوبَ ، فَلَا يَكُونُ مِنْ عَقِبِكَ نَبِيٌّ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Normal"/>
        <w:rPr>
          <w:rtl/>
          <w:lang w:bidi="fa-IR"/>
        </w:rPr>
      </w:pPr>
      <w:r w:rsidRPr="00180173">
        <w:rPr>
          <w:rtl/>
        </w:rPr>
        <w:t>2575</w:t>
      </w:r>
      <w:r w:rsidRPr="00261CB0">
        <w:rPr>
          <w:rStyle w:val="libBold2Char"/>
          <w:rtl/>
        </w:rPr>
        <w:t xml:space="preserve"> / 16.</w:t>
      </w:r>
      <w:r w:rsidRPr="00C9040A">
        <w:rPr>
          <w:rtl/>
          <w:lang w:bidi="fa-IR"/>
        </w:rPr>
        <w:t xml:space="preserve"> عَلِيُّ بْنُ إِبْرَاهِيمَ ، عَنْ أَبِيهِ ، عَنِ ابْنِ أَبِي عُمَيْرٍ ، عَنْ بَعْضِ أَصْحَابِهِ :</w:t>
      </w:r>
    </w:p>
    <w:p w:rsidR="008A74EB" w:rsidRPr="00C9040A" w:rsidRDefault="008A74EB" w:rsidP="00D22E64">
      <w:pPr>
        <w:pStyle w:val="libNormal"/>
        <w:rPr>
          <w:rtl/>
          <w:lang w:bidi="fa-IR"/>
        </w:rPr>
      </w:pPr>
      <w:r w:rsidRPr="00C9040A">
        <w:rPr>
          <w:rtl/>
          <w:lang w:bidi="fa-IR"/>
        </w:rPr>
        <w:t xml:space="preserve">عَنْ أَبِي عَبْدِ اللهِ </w:t>
      </w:r>
      <w:r w:rsidR="00D22E64" w:rsidRPr="0003660B">
        <w:rPr>
          <w:rStyle w:val="libAlaemChar"/>
          <w:rtl/>
        </w:rPr>
        <w:t>عليه‌السلام</w:t>
      </w:r>
      <w:r w:rsidR="00D22E64" w:rsidRPr="00C9040A">
        <w:rPr>
          <w:rtl/>
          <w:lang w:bidi="fa-IR"/>
        </w:rPr>
        <w:t xml:space="preserve"> </w:t>
      </w:r>
      <w:r w:rsidRPr="00C9040A">
        <w:rPr>
          <w:rtl/>
          <w:lang w:bidi="fa-IR"/>
        </w:rPr>
        <w:t xml:space="preserve">، قَالَ : « مَا مِنْ </w:t>
      </w:r>
      <w:r w:rsidR="006C577F" w:rsidRPr="006C577F">
        <w:rPr>
          <w:rStyle w:val="libFootnotenumChar"/>
          <w:rtl/>
        </w:rPr>
        <w:t>(7)</w:t>
      </w:r>
      <w:r w:rsidRPr="00C9040A">
        <w:rPr>
          <w:rtl/>
          <w:lang w:bidi="fa-IR"/>
        </w:rPr>
        <w:t xml:space="preserve"> عَبْدٍ إِلاَّ وَفِي رَأْسِهِ حَكَمَةٌ </w:t>
      </w:r>
      <w:r w:rsidR="006C577F" w:rsidRPr="006C577F">
        <w:rPr>
          <w:rStyle w:val="libFootnotenumChar"/>
          <w:rtl/>
        </w:rPr>
        <w:t>(8)</w:t>
      </w:r>
      <w:r w:rsidRPr="00C9040A">
        <w:rPr>
          <w:rtl/>
          <w:lang w:bidi="fa-IR"/>
        </w:rPr>
        <w:t xml:space="preserve"> وَمَلَكٌ يُمْسِكُهَا ، فَإِذَا تَكَبَّرَ ، قَالَ لَهُ : اتَّضِعْ ، وَضَعَكَ اللهُ ، فَلَا يَزَالُ أَعْظَمَ النَّاسِ فِي نَفْسِهِ ، وَ</w:t>
      </w:r>
      <w:r>
        <w:rPr>
          <w:rFonts w:hint="cs"/>
          <w:rtl/>
          <w:lang w:bidi="fa-IR"/>
        </w:rPr>
        <w:t xml:space="preserve"> </w:t>
      </w:r>
      <w:r w:rsidR="006C577F" w:rsidRPr="006C577F">
        <w:rPr>
          <w:rStyle w:val="libFootnotenumChar"/>
          <w:rtl/>
        </w:rPr>
        <w:t>(9)</w:t>
      </w:r>
      <w:r w:rsidRPr="00C9040A">
        <w:rPr>
          <w:rtl/>
          <w:lang w:bidi="fa-IR"/>
        </w:rPr>
        <w:t xml:space="preserve"> أَصْغَرَ النَّاسِ فِي أَعْيُنِ النَّاسِ ؛ وَإِذَا </w:t>
      </w:r>
      <w:r w:rsidR="006C577F" w:rsidRPr="006C577F">
        <w:rPr>
          <w:rStyle w:val="libFootnotenumChar"/>
          <w:rtl/>
        </w:rPr>
        <w:t>(10)</w:t>
      </w:r>
      <w:r w:rsidRPr="00C9040A">
        <w:rPr>
          <w:rtl/>
          <w:lang w:bidi="fa-IR"/>
        </w:rPr>
        <w:t xml:space="preserve"> تَوَاضَعَ رَفَعَهُ </w:t>
      </w:r>
      <w:r w:rsidR="006C577F" w:rsidRPr="006C577F">
        <w:rPr>
          <w:rStyle w:val="libFootnotenumChar"/>
          <w:rtl/>
        </w:rPr>
        <w:t>(11)</w:t>
      </w:r>
      <w:r w:rsidRPr="00C9040A">
        <w:rPr>
          <w:rtl/>
          <w:lang w:bidi="fa-IR"/>
        </w:rPr>
        <w:t xml:space="preserve"> اللهُ عَزَّ وَجَلَّ ، ثُمَّ قَالَ لَهُ : انْتَعِشْ نَعَشَكَ اللهُ </w:t>
      </w:r>
      <w:r w:rsidR="006C577F" w:rsidRPr="006C577F">
        <w:rPr>
          <w:rStyle w:val="libFootnotenumChar"/>
          <w:rtl/>
        </w:rPr>
        <w:t>(12)</w:t>
      </w:r>
      <w:r w:rsidRPr="00C9040A">
        <w:rPr>
          <w:rtl/>
          <w:lang w:bidi="fa-IR"/>
        </w:rPr>
        <w:t xml:space="preserve"> ، فَلَا يَزَالُ أَصْغَرَ النَّاسِ فِي نَفْسِهِ ، وَأَرْفَعَ </w:t>
      </w:r>
      <w:r w:rsidRPr="005B567D">
        <w:rPr>
          <w:rStyle w:val="libFootnotenumChar"/>
          <w:rtl/>
        </w:rPr>
        <w:t>(13)</w:t>
      </w:r>
      <w:r w:rsidRPr="00C9040A">
        <w:rPr>
          <w:rtl/>
          <w:lang w:bidi="fa-IR"/>
        </w:rPr>
        <w:t xml:space="preserve"> النَّاسِ فِي أَعْيُنِ النَّاسِ »</w:t>
      </w:r>
      <w:r>
        <w:rPr>
          <w:rtl/>
          <w:lang w:bidi="fa-IR"/>
        </w:rPr>
        <w:t>.</w:t>
      </w:r>
      <w:r w:rsidRPr="00C9040A">
        <w:rPr>
          <w:rtl/>
          <w:lang w:bidi="fa-IR"/>
        </w:rPr>
        <w:t xml:space="preserve"> </w:t>
      </w:r>
      <w:r w:rsidRPr="005B567D">
        <w:rPr>
          <w:rStyle w:val="libFootnotenumChar"/>
          <w:rtl/>
        </w:rPr>
        <w:t>(14)</w:t>
      </w:r>
      <w:r w:rsidRPr="00C9040A">
        <w:rPr>
          <w:rtl/>
          <w:lang w:bidi="fa-IR"/>
        </w:rPr>
        <w:t xml:space="preserve"> ‌</w:t>
      </w:r>
    </w:p>
    <w:p w:rsidR="008A74EB" w:rsidRPr="00C9040A" w:rsidRDefault="008A74EB" w:rsidP="008A74EB">
      <w:pPr>
        <w:pStyle w:val="libNormal"/>
        <w:rPr>
          <w:rtl/>
          <w:lang w:bidi="fa-IR"/>
        </w:rPr>
      </w:pPr>
      <w:r w:rsidRPr="00180173">
        <w:rPr>
          <w:rtl/>
        </w:rPr>
        <w:t>2576</w:t>
      </w:r>
      <w:r w:rsidRPr="00261CB0">
        <w:rPr>
          <w:rStyle w:val="libBold2Char"/>
          <w:rtl/>
        </w:rPr>
        <w:t xml:space="preserve"> / 17.</w:t>
      </w:r>
      <w:r w:rsidRPr="00C9040A">
        <w:rPr>
          <w:rtl/>
          <w:lang w:bidi="fa-IR"/>
        </w:rPr>
        <w:t xml:space="preserve"> مُحَمَّدُ بْنُ يَحْيى ، عَنْ مُحَمَّدِ بْنِ أَحْمَدَ </w:t>
      </w:r>
      <w:r w:rsidRPr="005B567D">
        <w:rPr>
          <w:rStyle w:val="libFootnotenumChar"/>
          <w:rtl/>
        </w:rPr>
        <w:t>(15)</w:t>
      </w:r>
      <w:r w:rsidRPr="00C9040A">
        <w:rPr>
          <w:rtl/>
          <w:lang w:bidi="fa-IR"/>
        </w:rPr>
        <w:t xml:space="preserve"> ، عَنْ بَعْضِ أَصْحَابِهِ ، عَنِ النَّهْدِيِّ ،</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9E298E" w:rsidTr="009E298E">
        <w:tc>
          <w:tcPr>
            <w:tcW w:w="4006" w:type="dxa"/>
          </w:tcPr>
          <w:p w:rsidR="009E298E" w:rsidRDefault="009E298E" w:rsidP="004A4E41">
            <w:pPr>
              <w:pStyle w:val="libFootnote0"/>
              <w:rPr>
                <w:rtl/>
              </w:rPr>
            </w:pPr>
            <w:r>
              <w:rPr>
                <w:rtl/>
              </w:rPr>
              <w:t xml:space="preserve">(1). </w:t>
            </w:r>
            <w:r w:rsidRPr="00C9040A">
              <w:rPr>
                <w:rtl/>
              </w:rPr>
              <w:t xml:space="preserve">في البحار </w:t>
            </w:r>
            <w:r>
              <w:rPr>
                <w:rtl/>
              </w:rPr>
              <w:t>: -</w:t>
            </w:r>
            <w:r w:rsidRPr="00C9040A">
              <w:rPr>
                <w:rtl/>
              </w:rPr>
              <w:t xml:space="preserve"> « يا جبرئيل »</w:t>
            </w:r>
            <w:r>
              <w:rPr>
                <w:rtl/>
              </w:rPr>
              <w:t>.</w:t>
            </w:r>
          </w:p>
        </w:tc>
        <w:tc>
          <w:tcPr>
            <w:tcW w:w="4006" w:type="dxa"/>
          </w:tcPr>
          <w:p w:rsidR="009E298E" w:rsidRDefault="009E298E" w:rsidP="004A4E41">
            <w:pPr>
              <w:pStyle w:val="libFootnote0"/>
              <w:rPr>
                <w:rtl/>
              </w:rPr>
            </w:pPr>
            <w:r>
              <w:rPr>
                <w:rtl/>
              </w:rPr>
              <w:t xml:space="preserve">(2). </w:t>
            </w:r>
            <w:r w:rsidRPr="00C9040A">
              <w:rPr>
                <w:rtl/>
              </w:rPr>
              <w:t xml:space="preserve">في « ز ، ص ، </w:t>
            </w:r>
            <w:r>
              <w:rPr>
                <w:rtl/>
              </w:rPr>
              <w:t xml:space="preserve">ه </w:t>
            </w:r>
            <w:r w:rsidRPr="00C9040A">
              <w:rPr>
                <w:rtl/>
              </w:rPr>
              <w:t>، بر » : « قال »</w:t>
            </w:r>
            <w:r>
              <w:rPr>
                <w:rtl/>
              </w:rPr>
              <w:t>.</w:t>
            </w:r>
          </w:p>
        </w:tc>
      </w:tr>
      <w:tr w:rsidR="009E298E" w:rsidTr="009E298E">
        <w:tc>
          <w:tcPr>
            <w:tcW w:w="4006" w:type="dxa"/>
          </w:tcPr>
          <w:p w:rsidR="009E298E" w:rsidRDefault="009E298E" w:rsidP="004A4E41">
            <w:pPr>
              <w:pStyle w:val="libFootnote0"/>
              <w:rPr>
                <w:rtl/>
              </w:rPr>
            </w:pPr>
            <w:r>
              <w:rPr>
                <w:rtl/>
              </w:rPr>
              <w:t>(3).</w:t>
            </w:r>
            <w:r w:rsidRPr="00C9040A">
              <w:rPr>
                <w:rtl/>
              </w:rPr>
              <w:t xml:space="preserve"> في « ج » : « في »</w:t>
            </w:r>
            <w:r>
              <w:rPr>
                <w:rtl/>
              </w:rPr>
              <w:t>.</w:t>
            </w:r>
            <w:r w:rsidRPr="00C9040A">
              <w:rPr>
                <w:rtl/>
              </w:rPr>
              <w:t xml:space="preserve"> وفي البحار : « عن »</w:t>
            </w:r>
            <w:r>
              <w:rPr>
                <w:rtl/>
              </w:rPr>
              <w:t>.</w:t>
            </w:r>
          </w:p>
        </w:tc>
        <w:tc>
          <w:tcPr>
            <w:tcW w:w="4006" w:type="dxa"/>
          </w:tcPr>
          <w:p w:rsidR="009E298E" w:rsidRDefault="009E298E" w:rsidP="004A4E41">
            <w:pPr>
              <w:pStyle w:val="libFootnote0"/>
              <w:rPr>
                <w:rtl/>
              </w:rPr>
            </w:pPr>
            <w:r>
              <w:rPr>
                <w:rtl/>
              </w:rPr>
              <w:t>(4).</w:t>
            </w:r>
            <w:r w:rsidRPr="00C9040A">
              <w:rPr>
                <w:rtl/>
              </w:rPr>
              <w:t xml:space="preserve"> في « ب ، ج » : « لم تنزّل » بالتضعيف.</w:t>
            </w:r>
          </w:p>
        </w:tc>
      </w:tr>
    </w:tbl>
    <w:p w:rsidR="008A74EB" w:rsidRPr="00C9040A" w:rsidRDefault="006C577F" w:rsidP="004A4E41">
      <w:pPr>
        <w:pStyle w:val="libFootnote0"/>
        <w:rPr>
          <w:rtl/>
          <w:lang w:bidi="fa-IR"/>
        </w:rPr>
      </w:pPr>
      <w:r>
        <w:rPr>
          <w:rtl/>
        </w:rPr>
        <w:t>(5).</w:t>
      </w:r>
      <w:r w:rsidR="008A74EB" w:rsidRPr="00C9040A">
        <w:rPr>
          <w:rtl/>
        </w:rPr>
        <w:t xml:space="preserve"> في « </w:t>
      </w:r>
      <w:r w:rsidR="006D3162">
        <w:rPr>
          <w:rtl/>
        </w:rPr>
        <w:t xml:space="preserve">ه </w:t>
      </w:r>
      <w:r w:rsidR="008A74EB" w:rsidRPr="00C9040A">
        <w:rPr>
          <w:rtl/>
        </w:rPr>
        <w:t>» : « للشيخ »</w:t>
      </w:r>
      <w:r w:rsidR="008A74EB">
        <w:rPr>
          <w:rtl/>
        </w:rPr>
        <w:t>.</w:t>
      </w:r>
    </w:p>
    <w:p w:rsidR="008A74EB" w:rsidRPr="00C9040A" w:rsidRDefault="006C577F" w:rsidP="001903C8">
      <w:pPr>
        <w:pStyle w:val="libFootnote0"/>
        <w:rPr>
          <w:rtl/>
          <w:lang w:bidi="fa-IR"/>
        </w:rPr>
      </w:pPr>
      <w:r>
        <w:rPr>
          <w:rtl/>
        </w:rPr>
        <w:t>(6).</w:t>
      </w:r>
      <w:r w:rsidR="008A74EB">
        <w:rPr>
          <w:rtl/>
        </w:rPr>
        <w:t xml:space="preserve"> </w:t>
      </w:r>
      <w:r w:rsidR="008A74EB" w:rsidRPr="00993B55">
        <w:rPr>
          <w:rStyle w:val="libFootnoteBoldChar"/>
          <w:rtl/>
        </w:rPr>
        <w:t>علل الشرائع</w:t>
      </w:r>
      <w:r w:rsidR="008A74EB" w:rsidRPr="00C9040A">
        <w:rPr>
          <w:rtl/>
        </w:rPr>
        <w:t xml:space="preserve"> ، ص 55 ، ح 1 ، بسند آخر مع اختلاف</w:t>
      </w:r>
      <w:r w:rsidR="001903C8">
        <w:rPr>
          <w:rFonts w:hint="cs"/>
          <w:rtl/>
        </w:rPr>
        <w:t>.</w:t>
      </w:r>
      <w:r w:rsidR="008A74EB" w:rsidRPr="00993B55">
        <w:rPr>
          <w:rStyle w:val="libFootnoteBoldChar"/>
          <w:rtl/>
        </w:rPr>
        <w:t>الوافي</w:t>
      </w:r>
      <w:r w:rsidR="008A74EB" w:rsidRPr="00C9040A">
        <w:rPr>
          <w:rtl/>
        </w:rPr>
        <w:t xml:space="preserve"> ، ج 5 ، ص 873 ، ح 3195 ؛ </w:t>
      </w:r>
      <w:r w:rsidR="008A74EB" w:rsidRPr="00993B55">
        <w:rPr>
          <w:rStyle w:val="libFootnoteBoldChar"/>
          <w:rtl/>
        </w:rPr>
        <w:t>البحار</w:t>
      </w:r>
      <w:r w:rsidR="008A74EB" w:rsidRPr="00C9040A">
        <w:rPr>
          <w:rtl/>
        </w:rPr>
        <w:t xml:space="preserve"> ، ج 73 ، ص 223 ، ح 15.</w:t>
      </w:r>
      <w:r w:rsidR="001903C8">
        <w:rPr>
          <w:rFonts w:hint="cs"/>
          <w:rtl/>
        </w:rPr>
        <w:t xml:space="preserve">                             </w:t>
      </w:r>
      <w:r>
        <w:rPr>
          <w:rtl/>
        </w:rPr>
        <w:t>(7).</w:t>
      </w:r>
      <w:r w:rsidR="008A74EB" w:rsidRPr="00C9040A">
        <w:rPr>
          <w:rtl/>
        </w:rPr>
        <w:t xml:space="preserve"> في « </w:t>
      </w:r>
      <w:r w:rsidR="006D3162">
        <w:rPr>
          <w:rtl/>
        </w:rPr>
        <w:t xml:space="preserve">ه </w:t>
      </w:r>
      <w:r w:rsidR="008A74EB" w:rsidRPr="00C9040A">
        <w:rPr>
          <w:rtl/>
        </w:rPr>
        <w:t>» : « يتكبّر » بدل « من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w:t>
      </w:r>
      <w:r w:rsidR="008A74EB" w:rsidRPr="00993B55">
        <w:rPr>
          <w:rStyle w:val="libFootnoteBoldChar"/>
          <w:rtl/>
        </w:rPr>
        <w:t>الوافي</w:t>
      </w:r>
      <w:r w:rsidR="008A74EB" w:rsidRPr="00C9040A">
        <w:rPr>
          <w:rtl/>
        </w:rPr>
        <w:t xml:space="preserve"> : « الحَكَمةُ</w:t>
      </w:r>
      <w:r w:rsidR="008A74EB">
        <w:rPr>
          <w:rtl/>
        </w:rPr>
        <w:t xml:space="preserve"> </w:t>
      </w:r>
      <w:r w:rsidR="0084262C">
        <w:rPr>
          <w:rtl/>
        </w:rPr>
        <w:t>-</w:t>
      </w:r>
      <w:r w:rsidR="008A74EB">
        <w:rPr>
          <w:rtl/>
        </w:rPr>
        <w:t xml:space="preserve"> </w:t>
      </w:r>
      <w:r w:rsidR="008A74EB" w:rsidRPr="00C9040A">
        <w:rPr>
          <w:rtl/>
        </w:rPr>
        <w:t>محرّكةً</w:t>
      </w:r>
      <w:r w:rsidR="008A74EB">
        <w:rPr>
          <w:rtl/>
        </w:rPr>
        <w:t xml:space="preserve"> </w:t>
      </w:r>
      <w:r w:rsidR="0084262C">
        <w:rPr>
          <w:rtl/>
        </w:rPr>
        <w:t>-</w:t>
      </w:r>
      <w:r w:rsidR="008A74EB">
        <w:rPr>
          <w:rtl/>
        </w:rPr>
        <w:t xml:space="preserve"> </w:t>
      </w:r>
      <w:r w:rsidR="008A74EB" w:rsidRPr="00C9040A">
        <w:rPr>
          <w:rtl/>
        </w:rPr>
        <w:t xml:space="preserve">: ما أحاط بحنكي الفرس من لجامه وفيه العذاران » وفي </w:t>
      </w:r>
      <w:r w:rsidR="008A74EB" w:rsidRPr="00993B55">
        <w:rPr>
          <w:rStyle w:val="libFootnoteBoldChar"/>
          <w:rtl/>
        </w:rPr>
        <w:t>شرح المازندراني</w:t>
      </w:r>
      <w:r w:rsidR="008A74EB" w:rsidRPr="00C9040A">
        <w:rPr>
          <w:rtl/>
        </w:rPr>
        <w:t xml:space="preserve"> : « حكمت بكذا : إذا منعته من خلافه ، فلم يقدر على الخروج من ذلك ؛ ومنه الحكمة ؛ لأنّها تمنع صاحبها من أخلاق الأراذل. ولعلّ المراد بالحكمة هنا الحالة المقتضية لسلوكه سبيل الهداية على سبيل الاستعارة ، وبإمساك الملك إيّاها إرشاده إلى ذلك السبيل ونهيه عن العدول عنه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ج ، بف » والوافي : + « هو »</w:t>
      </w:r>
      <w:r w:rsidR="008A74EB">
        <w:rPr>
          <w:rtl/>
        </w:rPr>
        <w:t>.</w:t>
      </w:r>
      <w:r w:rsidR="008A74EB" w:rsidRPr="00C9040A">
        <w:rPr>
          <w:rtl/>
        </w:rPr>
        <w:t xml:space="preserve"> وفي « </w:t>
      </w:r>
      <w:r w:rsidR="006D3162">
        <w:rPr>
          <w:rtl/>
        </w:rPr>
        <w:t xml:space="preserve">ه </w:t>
      </w:r>
      <w:r w:rsidR="008A74EB" w:rsidRPr="00C9040A">
        <w:rPr>
          <w:rtl/>
        </w:rPr>
        <w:t xml:space="preserve">، بر » : « هو » بدل « </w:t>
      </w:r>
      <w:r w:rsidR="008A74EB">
        <w:rPr>
          <w:rtl/>
        </w:rPr>
        <w:t>و ».</w:t>
      </w:r>
    </w:p>
    <w:p w:rsidR="008A74EB" w:rsidRPr="00C9040A" w:rsidRDefault="006C577F" w:rsidP="004A4E41">
      <w:pPr>
        <w:pStyle w:val="libFootnote0"/>
        <w:rPr>
          <w:rtl/>
          <w:lang w:bidi="fa-IR"/>
        </w:rPr>
      </w:pPr>
      <w:r>
        <w:rPr>
          <w:rtl/>
        </w:rPr>
        <w:t>(10).</w:t>
      </w:r>
      <w:r w:rsidR="008A74EB" w:rsidRPr="00C9040A">
        <w:rPr>
          <w:rtl/>
        </w:rPr>
        <w:t xml:space="preserve"> في « </w:t>
      </w:r>
      <w:r w:rsidR="006D3162">
        <w:rPr>
          <w:rtl/>
        </w:rPr>
        <w:t xml:space="preserve">ه </w:t>
      </w:r>
      <w:r w:rsidR="008A74EB" w:rsidRPr="00C9040A">
        <w:rPr>
          <w:rtl/>
        </w:rPr>
        <w:t>، بر » : « فإذا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في « ب ، ص ، </w:t>
      </w:r>
      <w:r w:rsidR="006D3162">
        <w:rPr>
          <w:rtl/>
        </w:rPr>
        <w:t xml:space="preserve">ه </w:t>
      </w:r>
      <w:r w:rsidR="008A74EB" w:rsidRPr="00C9040A">
        <w:rPr>
          <w:rtl/>
        </w:rPr>
        <w:t>، بر ، بس ، بف » وحاشية « ج » والوافي ومرآة العقول والوسائل والبحار : « رفعها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أي ارتفع رفعك الله.</w:t>
      </w:r>
    </w:p>
    <w:p w:rsidR="008A74EB" w:rsidRPr="00C9040A" w:rsidRDefault="008A74EB" w:rsidP="004A4E41">
      <w:pPr>
        <w:pStyle w:val="libFootnote0"/>
        <w:rPr>
          <w:rtl/>
          <w:lang w:bidi="fa-IR"/>
        </w:rPr>
      </w:pPr>
      <w:r>
        <w:rPr>
          <w:rtl/>
        </w:rPr>
        <w:t>(13)</w:t>
      </w:r>
      <w:r w:rsidRPr="00C9040A">
        <w:rPr>
          <w:rtl/>
        </w:rPr>
        <w:t xml:space="preserve"> في « </w:t>
      </w:r>
      <w:r w:rsidR="006D3162">
        <w:rPr>
          <w:rtl/>
        </w:rPr>
        <w:t xml:space="preserve">ه </w:t>
      </w:r>
      <w:r w:rsidRPr="00C9040A">
        <w:rPr>
          <w:rtl/>
        </w:rPr>
        <w:t>» : « أرفع » بدون الواو. وفي حاشية « ج » : « وأكبر »</w:t>
      </w:r>
      <w:r>
        <w:rPr>
          <w:rtl/>
        </w:rPr>
        <w:t>.</w:t>
      </w:r>
    </w:p>
    <w:p w:rsidR="008A74EB" w:rsidRPr="00C9040A" w:rsidRDefault="008A74EB" w:rsidP="004A4E41">
      <w:pPr>
        <w:pStyle w:val="libFootnote0"/>
        <w:rPr>
          <w:rtl/>
          <w:lang w:bidi="fa-IR"/>
        </w:rPr>
      </w:pPr>
      <w:r>
        <w:rPr>
          <w:rtl/>
        </w:rPr>
        <w:t>(14)</w:t>
      </w:r>
      <w:r w:rsidRPr="00C9040A">
        <w:rPr>
          <w:rtl/>
        </w:rPr>
        <w:t xml:space="preserve"> </w:t>
      </w:r>
      <w:r w:rsidRPr="00993B55">
        <w:rPr>
          <w:rStyle w:val="libFootnoteBoldChar"/>
          <w:rtl/>
        </w:rPr>
        <w:t>الوافي</w:t>
      </w:r>
      <w:r w:rsidRPr="00C9040A">
        <w:rPr>
          <w:rtl/>
        </w:rPr>
        <w:t xml:space="preserve"> ، ج 5 ، ص 873 ، ح 3196 ؛ </w:t>
      </w:r>
      <w:r w:rsidRPr="00993B55">
        <w:rPr>
          <w:rStyle w:val="libFootnoteBoldChar"/>
          <w:rtl/>
        </w:rPr>
        <w:t>الوسائل</w:t>
      </w:r>
      <w:r w:rsidRPr="00C9040A">
        <w:rPr>
          <w:rtl/>
        </w:rPr>
        <w:t xml:space="preserve"> ، ج 15 ، ص 376 ، ح 20788 ؛ </w:t>
      </w:r>
      <w:r w:rsidRPr="00993B55">
        <w:rPr>
          <w:rStyle w:val="libFootnoteBoldChar"/>
          <w:rtl/>
        </w:rPr>
        <w:t>البحار</w:t>
      </w:r>
      <w:r w:rsidRPr="00C9040A">
        <w:rPr>
          <w:rtl/>
        </w:rPr>
        <w:t xml:space="preserve"> ، ج 73 ، ص 224 ، ح 16.</w:t>
      </w:r>
    </w:p>
    <w:p w:rsidR="008A74EB" w:rsidRPr="00C9040A" w:rsidRDefault="008A74EB" w:rsidP="004A4E41">
      <w:pPr>
        <w:pStyle w:val="libFootnote0"/>
        <w:rPr>
          <w:rtl/>
          <w:lang w:bidi="fa-IR"/>
        </w:rPr>
      </w:pPr>
      <w:r>
        <w:rPr>
          <w:rtl/>
        </w:rPr>
        <w:t>(15)</w:t>
      </w:r>
      <w:r w:rsidRPr="00C9040A">
        <w:rPr>
          <w:rtl/>
        </w:rPr>
        <w:t xml:space="preserve"> في « ب » : « أحمد بن محمّد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عَنْ يَزِيدَ بْنِ إِسْحَاقَ شَعِرٍ ، عَنْ عَبْدِ اللهِ بْنِ الْمُنْذِرِ ، عَنْ عَبْدِ اللهِ بْنِ بُكَيْرٍ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مَا مِنْ أَحَدٍ يَتِيهُ </w:t>
      </w:r>
      <w:r w:rsidR="006C577F" w:rsidRPr="006C577F">
        <w:rPr>
          <w:rStyle w:val="libFootnotenumChar"/>
          <w:rtl/>
        </w:rPr>
        <w:t>(1)</w:t>
      </w:r>
      <w:r w:rsidR="0031438D">
        <w:rPr>
          <w:rtl/>
          <w:lang w:bidi="fa-IR"/>
        </w:rPr>
        <w:t xml:space="preserve"> إِل</w:t>
      </w:r>
      <w:r w:rsidR="0031438D">
        <w:rPr>
          <w:rFonts w:hint="cs"/>
          <w:rtl/>
          <w:lang w:bidi="fa-IR"/>
        </w:rPr>
        <w:t>َّ</w:t>
      </w:r>
      <w:r w:rsidR="0031438D">
        <w:rPr>
          <w:rtl/>
          <w:lang w:bidi="fa-IR"/>
        </w:rPr>
        <w:t>ا</w:t>
      </w:r>
      <w:r w:rsidRPr="00C9040A">
        <w:rPr>
          <w:rtl/>
          <w:lang w:bidi="fa-IR"/>
        </w:rPr>
        <w:t xml:space="preserve"> مِنْ ذِلَّةٍ يَجِدُهَا فِي نَفْسِهِ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180173">
        <w:rPr>
          <w:rtl/>
        </w:rPr>
        <w:t>2577</w:t>
      </w:r>
      <w:r w:rsidRPr="00261CB0">
        <w:rPr>
          <w:rStyle w:val="libBold2Char"/>
          <w:rtl/>
        </w:rPr>
        <w:t xml:space="preserve"> / 18.</w:t>
      </w:r>
      <w:r w:rsidRPr="00C9040A">
        <w:rPr>
          <w:rtl/>
          <w:lang w:bidi="fa-IR"/>
        </w:rPr>
        <w:t xml:space="preserve"> وَفِي حَدِيثٍ آخَرَ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مَا مِنْ رَجُلٍ تَكَبَّرَ أَوْ تَجَبَّرَ </w:t>
      </w:r>
      <w:r w:rsidR="006C577F" w:rsidRPr="006C577F">
        <w:rPr>
          <w:rStyle w:val="libFootnotenumChar"/>
          <w:rtl/>
        </w:rPr>
        <w:t>(3)</w:t>
      </w:r>
      <w:r w:rsidR="0031438D">
        <w:rPr>
          <w:rtl/>
          <w:lang w:bidi="fa-IR"/>
        </w:rPr>
        <w:t xml:space="preserve"> إِل</w:t>
      </w:r>
      <w:r w:rsidR="0031438D">
        <w:rPr>
          <w:rFonts w:hint="cs"/>
          <w:rtl/>
          <w:lang w:bidi="fa-IR"/>
        </w:rPr>
        <w:t>َّ</w:t>
      </w:r>
      <w:r w:rsidR="0031438D">
        <w:rPr>
          <w:rtl/>
          <w:lang w:bidi="fa-IR"/>
        </w:rPr>
        <w:t>ا</w:t>
      </w:r>
      <w:r w:rsidRPr="00C9040A">
        <w:rPr>
          <w:rtl/>
          <w:lang w:bidi="fa-IR"/>
        </w:rPr>
        <w:t xml:space="preserve"> لِذِلَّةٍ وَجَدَهَا </w:t>
      </w:r>
      <w:r w:rsidR="006C577F" w:rsidRPr="006C577F">
        <w:rPr>
          <w:rStyle w:val="libFootnotenumChar"/>
          <w:rtl/>
        </w:rPr>
        <w:t>(4)</w:t>
      </w:r>
      <w:r w:rsidRPr="00C9040A">
        <w:rPr>
          <w:rtl/>
          <w:lang w:bidi="fa-IR"/>
        </w:rPr>
        <w:t xml:space="preserve"> فِي نَف</w:t>
      </w:r>
      <w:r w:rsidR="00C822D0">
        <w:rPr>
          <w:rtl/>
          <w:lang w:bidi="fa-IR"/>
        </w:rPr>
        <w:t>ْسِهِ</w:t>
      </w:r>
      <w:r w:rsidRPr="00C9040A">
        <w:rPr>
          <w:rtl/>
          <w:lang w:bidi="fa-IR"/>
        </w:rPr>
        <w:t>»</w:t>
      </w:r>
      <w:r>
        <w:rPr>
          <w:rtl/>
          <w:lang w:bidi="fa-IR"/>
        </w:rPr>
        <w:t>.</w:t>
      </w:r>
      <w:r w:rsidR="006C577F" w:rsidRPr="006C577F">
        <w:rPr>
          <w:rStyle w:val="libFootnotenumChar"/>
          <w:rtl/>
        </w:rPr>
        <w:t>(5)</w:t>
      </w:r>
      <w:r w:rsidRPr="00C9040A">
        <w:rPr>
          <w:rtl/>
          <w:lang w:bidi="fa-IR"/>
        </w:rPr>
        <w:t xml:space="preserve"> ‌</w:t>
      </w:r>
    </w:p>
    <w:p w:rsidR="008A74EB" w:rsidRPr="00C9040A" w:rsidRDefault="008A74EB" w:rsidP="008A74EB">
      <w:pPr>
        <w:pStyle w:val="Heading2Center"/>
        <w:rPr>
          <w:rtl/>
          <w:lang w:bidi="fa-IR"/>
        </w:rPr>
      </w:pPr>
      <w:bookmarkStart w:id="385" w:name="_Toc343795716"/>
      <w:bookmarkStart w:id="386" w:name="_Toc459810840"/>
      <w:bookmarkStart w:id="387" w:name="_Toc35348746"/>
      <w:r w:rsidRPr="00C9040A">
        <w:rPr>
          <w:rtl/>
          <w:lang w:bidi="fa-IR"/>
        </w:rPr>
        <w:t>125</w:t>
      </w:r>
      <w:r>
        <w:rPr>
          <w:rtl/>
          <w:lang w:bidi="fa-IR"/>
        </w:rPr>
        <w:t xml:space="preserve"> </w:t>
      </w:r>
      <w:r w:rsidR="0084262C">
        <w:rPr>
          <w:rtl/>
          <w:lang w:bidi="fa-IR"/>
        </w:rPr>
        <w:t>-</w:t>
      </w:r>
      <w:r>
        <w:rPr>
          <w:rtl/>
          <w:lang w:bidi="fa-IR"/>
        </w:rPr>
        <w:t xml:space="preserve"> </w:t>
      </w:r>
      <w:r w:rsidRPr="00C9040A">
        <w:rPr>
          <w:rtl/>
          <w:lang w:bidi="fa-IR"/>
        </w:rPr>
        <w:t>بَابُ الْعُجْبِ‌</w:t>
      </w:r>
      <w:bookmarkEnd w:id="385"/>
      <w:bookmarkEnd w:id="386"/>
      <w:bookmarkEnd w:id="387"/>
    </w:p>
    <w:p w:rsidR="008A74EB" w:rsidRPr="00C9040A" w:rsidRDefault="008A74EB" w:rsidP="008A74EB">
      <w:pPr>
        <w:pStyle w:val="libNormal"/>
        <w:rPr>
          <w:rtl/>
          <w:lang w:bidi="fa-IR"/>
        </w:rPr>
      </w:pPr>
      <w:r w:rsidRPr="00180173">
        <w:rPr>
          <w:rtl/>
        </w:rPr>
        <w:t>2578</w:t>
      </w:r>
      <w:r w:rsidRPr="00261CB0">
        <w:rPr>
          <w:rStyle w:val="libBold2Char"/>
          <w:rtl/>
        </w:rPr>
        <w:t xml:space="preserve"> / 1.</w:t>
      </w:r>
      <w:r w:rsidRPr="00C9040A">
        <w:rPr>
          <w:rtl/>
          <w:lang w:bidi="fa-IR"/>
        </w:rPr>
        <w:t xml:space="preserve"> مُحَمَّدُ بْنُ يَحْيى ، عَنْ أَحْمَدَ بْنِ مُحَمَّدِ بْنِ عِيسى ، عَنْ عَلِيِّ بْنِ أَسْبَاطٍ ، عَنْ رَجُلٍ مِنْ أَصْحَابِنَا</w:t>
      </w:r>
      <w:r>
        <w:rPr>
          <w:rtl/>
          <w:lang w:bidi="fa-IR"/>
        </w:rPr>
        <w:t xml:space="preserve"> </w:t>
      </w:r>
      <w:r w:rsidR="0084262C">
        <w:rPr>
          <w:rtl/>
          <w:lang w:bidi="fa-IR"/>
        </w:rPr>
        <w:t>-</w:t>
      </w:r>
      <w:r>
        <w:rPr>
          <w:rtl/>
          <w:lang w:bidi="fa-IR"/>
        </w:rPr>
        <w:t xml:space="preserve"> </w:t>
      </w:r>
      <w:r w:rsidRPr="00C9040A">
        <w:rPr>
          <w:rtl/>
          <w:lang w:bidi="fa-IR"/>
        </w:rPr>
        <w:t xml:space="preserve">مِنْ أَهْلِ خُرَاسَانَ مِنْ وُلْدِ إِبْرَاهِيمَ بْنِ سَيَّارٍ </w:t>
      </w:r>
      <w:r w:rsidR="006C577F" w:rsidRPr="006C577F">
        <w:rPr>
          <w:rStyle w:val="libFootnotenumChar"/>
          <w:rtl/>
        </w:rPr>
        <w:t>(6)</w:t>
      </w:r>
      <w:r w:rsidRPr="005B567D">
        <w:rPr>
          <w:rStyle w:val="libFootnotenumChar"/>
          <w:rtl/>
        </w:rPr>
        <w:t xml:space="preserve"> </w:t>
      </w:r>
      <w:r w:rsidR="0084262C">
        <w:rPr>
          <w:rtl/>
          <w:lang w:bidi="fa-IR"/>
        </w:rPr>
        <w:t>-</w:t>
      </w:r>
      <w:r>
        <w:rPr>
          <w:rtl/>
          <w:lang w:bidi="fa-IR"/>
        </w:rPr>
        <w:t xml:space="preserve"> </w:t>
      </w:r>
      <w:r w:rsidRPr="00C9040A">
        <w:rPr>
          <w:rtl/>
          <w:lang w:bidi="fa-IR"/>
        </w:rPr>
        <w:t xml:space="preserve">يَرْفَعُهُ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C9040A">
        <w:rPr>
          <w:rtl/>
          <w:lang w:bidi="fa-IR"/>
        </w:rPr>
        <w:t xml:space="preserve">عَنْ </w:t>
      </w:r>
      <w:r w:rsidR="006C577F" w:rsidRPr="006C577F">
        <w:rPr>
          <w:rStyle w:val="libFootnotenumChar"/>
          <w:rtl/>
        </w:rPr>
        <w:t>(8)</w:t>
      </w:r>
      <w:r w:rsidRPr="00C9040A">
        <w:rPr>
          <w:rtl/>
          <w:lang w:bidi="fa-IR"/>
        </w:rPr>
        <w:t xml:space="preserve"> أَبِي عَبْدِ اللهِ </w:t>
      </w:r>
      <w:r w:rsidRPr="0003660B">
        <w:rPr>
          <w:rStyle w:val="libAlaemChar"/>
          <w:rtl/>
        </w:rPr>
        <w:t>عليه‌السلام</w:t>
      </w:r>
      <w:r w:rsidRPr="00C9040A">
        <w:rPr>
          <w:rtl/>
          <w:lang w:bidi="fa-IR"/>
        </w:rPr>
        <w:t xml:space="preserve"> ، قَالَ : « إِنَّ اللهَ عَلِمَ أَنَّ الذَّنْبَ خَيْرٌ لِلْمُؤْمِنِ مِنَ الْعُجْبِ ، وَلَوْ لَا ذلِكَ مَا ابْتُلِيَ مُؤْمِنٌ </w:t>
      </w:r>
      <w:r w:rsidR="006C577F" w:rsidRPr="006C577F">
        <w:rPr>
          <w:rStyle w:val="libFootnotenumChar"/>
          <w:rtl/>
        </w:rPr>
        <w:t>(9)</w:t>
      </w:r>
      <w:r w:rsidRPr="00C9040A">
        <w:rPr>
          <w:rtl/>
          <w:lang w:bidi="fa-IR"/>
        </w:rPr>
        <w:t xml:space="preserve"> بِذَنْبٍ أَبَداً »</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ص » : « ينبه »</w:t>
      </w:r>
      <w:r w:rsidR="008A74EB">
        <w:rPr>
          <w:rtl/>
        </w:rPr>
        <w:t>.</w:t>
      </w:r>
      <w:r w:rsidR="008A74EB" w:rsidRPr="00C9040A">
        <w:rPr>
          <w:rtl/>
        </w:rPr>
        <w:t xml:space="preserve"> </w:t>
      </w:r>
      <w:r w:rsidR="008A74EB">
        <w:rPr>
          <w:rtl/>
        </w:rPr>
        <w:t>و «</w:t>
      </w:r>
      <w:r w:rsidR="008A74EB" w:rsidRPr="00C9040A">
        <w:rPr>
          <w:rtl/>
        </w:rPr>
        <w:t xml:space="preserve"> يتيه » أي يتكبّر. </w:t>
      </w:r>
      <w:r w:rsidR="008A74EB" w:rsidRPr="00993B55">
        <w:rPr>
          <w:rStyle w:val="libFootnoteBoldChar"/>
          <w:rtl/>
        </w:rPr>
        <w:t>لسان العرب</w:t>
      </w:r>
      <w:r w:rsidR="008A74EB" w:rsidRPr="00C9040A">
        <w:rPr>
          <w:rtl/>
        </w:rPr>
        <w:t xml:space="preserve"> ، ج 13 ، ص 482 ( تيه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الوافي</w:t>
      </w:r>
      <w:r w:rsidR="008A74EB" w:rsidRPr="00C9040A">
        <w:rPr>
          <w:rtl/>
        </w:rPr>
        <w:t xml:space="preserve"> ، ج 5 ، ص 873 ، ح 3197 ؛ </w:t>
      </w:r>
      <w:r w:rsidR="008A74EB" w:rsidRPr="00993B55">
        <w:rPr>
          <w:rStyle w:val="libFootnoteBoldChar"/>
          <w:rtl/>
        </w:rPr>
        <w:t>الوسائل</w:t>
      </w:r>
      <w:r w:rsidR="008A74EB" w:rsidRPr="00C9040A">
        <w:rPr>
          <w:rtl/>
        </w:rPr>
        <w:t xml:space="preserve"> ، ج 15 ، ص 379 ، ح 20800 ؛ </w:t>
      </w:r>
      <w:r w:rsidR="008A74EB" w:rsidRPr="00993B55">
        <w:rPr>
          <w:rStyle w:val="libFootnoteBoldChar"/>
          <w:rtl/>
        </w:rPr>
        <w:t>البحار</w:t>
      </w:r>
      <w:r w:rsidR="008A74EB" w:rsidRPr="00C9040A">
        <w:rPr>
          <w:rtl/>
        </w:rPr>
        <w:t xml:space="preserve"> ، ج 73 ، ص 225 ، ح 17.</w:t>
      </w:r>
    </w:p>
    <w:p w:rsidR="008A74EB" w:rsidRPr="00C9040A" w:rsidRDefault="006C577F" w:rsidP="0031438D">
      <w:pPr>
        <w:pStyle w:val="libFootnote0"/>
        <w:rPr>
          <w:rtl/>
          <w:lang w:bidi="fa-IR"/>
        </w:rPr>
      </w:pPr>
      <w:r>
        <w:rPr>
          <w:rtl/>
        </w:rPr>
        <w:t>(3).</w:t>
      </w:r>
      <w:r w:rsidR="008A74EB" w:rsidRPr="00C9040A">
        <w:rPr>
          <w:rtl/>
        </w:rPr>
        <w:t xml:space="preserve"> في </w:t>
      </w:r>
      <w:r w:rsidR="008A74EB" w:rsidRPr="00993B55">
        <w:rPr>
          <w:rStyle w:val="libFootnoteBoldChar"/>
          <w:rtl/>
        </w:rPr>
        <w:t>مرآة العقول</w:t>
      </w:r>
      <w:r w:rsidR="008A74EB" w:rsidRPr="00C9040A">
        <w:rPr>
          <w:rtl/>
        </w:rPr>
        <w:t xml:space="preserve"> : « أو تجبّر ، يمكن أن يكون الترديد من الراوي ، وإن كان منه </w:t>
      </w:r>
      <w:r w:rsidR="00117575" w:rsidRPr="00117575">
        <w:rPr>
          <w:rStyle w:val="libFootnoteAlaemChar"/>
          <w:rtl/>
        </w:rPr>
        <w:t>عليه‌السلام</w:t>
      </w:r>
      <w:r w:rsidR="008A74EB" w:rsidRPr="00C9040A">
        <w:rPr>
          <w:rtl/>
        </w:rPr>
        <w:t xml:space="preserve"> فيدلّ على فرق بينهما في المعنى »</w:t>
      </w:r>
      <w:r w:rsidR="008A74EB">
        <w:rPr>
          <w:rtl/>
        </w:rPr>
        <w:t>.</w:t>
      </w:r>
      <w:r w:rsidR="0031438D">
        <w:rPr>
          <w:rFonts w:hint="cs"/>
          <w:rtl/>
        </w:rPr>
        <w:t xml:space="preserve">                                                   </w:t>
      </w:r>
      <w:r>
        <w:rPr>
          <w:rtl/>
        </w:rPr>
        <w:t>(4).</w:t>
      </w:r>
      <w:r w:rsidR="008A74EB" w:rsidRPr="00C9040A">
        <w:rPr>
          <w:rtl/>
        </w:rPr>
        <w:t xml:space="preserve"> في « </w:t>
      </w:r>
      <w:r w:rsidR="006D3162">
        <w:rPr>
          <w:rtl/>
        </w:rPr>
        <w:t xml:space="preserve">ه </w:t>
      </w:r>
      <w:r w:rsidR="008A74EB" w:rsidRPr="00C9040A">
        <w:rPr>
          <w:rtl/>
        </w:rPr>
        <w:t>» والوسائل : « يجدها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الوافي</w:t>
      </w:r>
      <w:r w:rsidR="008A74EB" w:rsidRPr="00C9040A">
        <w:rPr>
          <w:rtl/>
        </w:rPr>
        <w:t xml:space="preserve"> ، ج 5 ، ص 873 ، ح 3198 ؛ </w:t>
      </w:r>
      <w:r w:rsidR="008A74EB" w:rsidRPr="00993B55">
        <w:rPr>
          <w:rStyle w:val="libFootnoteBoldChar"/>
          <w:rtl/>
        </w:rPr>
        <w:t>الوسائل</w:t>
      </w:r>
      <w:r w:rsidR="008A74EB" w:rsidRPr="00C9040A">
        <w:rPr>
          <w:rtl/>
        </w:rPr>
        <w:t xml:space="preserve"> ، ج 15 ، ص 380 ، ح 20801 ؛ </w:t>
      </w:r>
      <w:r w:rsidR="008A74EB" w:rsidRPr="00993B55">
        <w:rPr>
          <w:rStyle w:val="libFootnoteBoldChar"/>
          <w:rtl/>
        </w:rPr>
        <w:t>البحار</w:t>
      </w:r>
      <w:r w:rsidR="008A74EB" w:rsidRPr="00C9040A">
        <w:rPr>
          <w:rtl/>
        </w:rPr>
        <w:t xml:space="preserve"> ، ج 73 ، ص 225 ، ح 17.</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 </w:t>
      </w:r>
      <w:r w:rsidR="006D3162">
        <w:rPr>
          <w:rtl/>
        </w:rPr>
        <w:t xml:space="preserve">ه </w:t>
      </w:r>
      <w:r w:rsidR="008A74EB" w:rsidRPr="00C9040A">
        <w:rPr>
          <w:rtl/>
        </w:rPr>
        <w:t>» وحاشية « بر » : « سنان »</w:t>
      </w:r>
      <w:r w:rsidR="008A74EB">
        <w:rPr>
          <w:rtl/>
        </w:rPr>
        <w:t>.</w:t>
      </w:r>
      <w:r w:rsidR="008A74EB" w:rsidRPr="00C9040A">
        <w:rPr>
          <w:rtl/>
        </w:rPr>
        <w:t xml:space="preserve"> وفي الوسائل </w:t>
      </w:r>
      <w:r w:rsidR="008A74EB">
        <w:rPr>
          <w:rtl/>
        </w:rPr>
        <w:t xml:space="preserve">: </w:t>
      </w:r>
      <w:r w:rsidR="0084262C">
        <w:rPr>
          <w:rtl/>
        </w:rPr>
        <w:t>-</w:t>
      </w:r>
      <w:r w:rsidR="008A74EB" w:rsidRPr="00C9040A">
        <w:rPr>
          <w:rtl/>
        </w:rPr>
        <w:t xml:space="preserve"> « من أصحابنا</w:t>
      </w:r>
      <w:r w:rsidR="008A74EB">
        <w:rPr>
          <w:rtl/>
        </w:rPr>
        <w:t xml:space="preserve"> </w:t>
      </w:r>
      <w:r w:rsidR="0084262C">
        <w:rPr>
          <w:rtl/>
        </w:rPr>
        <w:t>-</w:t>
      </w:r>
      <w:r w:rsidR="008A74EB">
        <w:rPr>
          <w:rtl/>
        </w:rPr>
        <w:t xml:space="preserve"> </w:t>
      </w:r>
      <w:r w:rsidR="008A74EB" w:rsidRPr="00C9040A">
        <w:rPr>
          <w:rtl/>
        </w:rPr>
        <w:t>إلى</w:t>
      </w:r>
      <w:r w:rsidR="008A74EB">
        <w:rPr>
          <w:rtl/>
        </w:rPr>
        <w:t xml:space="preserve"> </w:t>
      </w:r>
      <w:r w:rsidR="0084262C">
        <w:rPr>
          <w:rtl/>
        </w:rPr>
        <w:t>-</w:t>
      </w:r>
      <w:r w:rsidR="008A74EB">
        <w:rPr>
          <w:rtl/>
        </w:rPr>
        <w:t xml:space="preserve"> </w:t>
      </w:r>
      <w:r w:rsidR="008A74EB" w:rsidRPr="00C9040A">
        <w:rPr>
          <w:rtl/>
        </w:rPr>
        <w:t>بن سيّار »</w:t>
      </w:r>
      <w:r w:rsidR="008A74EB">
        <w:rPr>
          <w:rtl/>
        </w:rPr>
        <w:t>.</w:t>
      </w:r>
    </w:p>
    <w:tbl>
      <w:tblPr>
        <w:tblStyle w:val="TableGrid"/>
        <w:bidiVisual/>
        <w:tblW w:w="0" w:type="auto"/>
        <w:tblLook w:val="04A0" w:firstRow="1" w:lastRow="0" w:firstColumn="1" w:lastColumn="0" w:noHBand="0" w:noVBand="1"/>
      </w:tblPr>
      <w:tblGrid>
        <w:gridCol w:w="4006"/>
        <w:gridCol w:w="4006"/>
      </w:tblGrid>
      <w:tr w:rsidR="0031438D" w:rsidTr="0031438D">
        <w:tc>
          <w:tcPr>
            <w:tcW w:w="4006" w:type="dxa"/>
          </w:tcPr>
          <w:p w:rsidR="0031438D" w:rsidRDefault="0031438D" w:rsidP="004A4E41">
            <w:pPr>
              <w:pStyle w:val="libFootnote0"/>
              <w:rPr>
                <w:rtl/>
              </w:rPr>
            </w:pPr>
            <w:r>
              <w:rPr>
                <w:rtl/>
              </w:rPr>
              <w:t>(7).</w:t>
            </w:r>
            <w:r w:rsidRPr="00C9040A">
              <w:rPr>
                <w:rtl/>
              </w:rPr>
              <w:t xml:space="preserve"> في الوافي والبحار ، ج 69 : « رفعه »</w:t>
            </w:r>
            <w:r>
              <w:rPr>
                <w:rtl/>
              </w:rPr>
              <w:t>.</w:t>
            </w:r>
          </w:p>
        </w:tc>
        <w:tc>
          <w:tcPr>
            <w:tcW w:w="4006" w:type="dxa"/>
          </w:tcPr>
          <w:p w:rsidR="0031438D" w:rsidRDefault="0031438D" w:rsidP="004A4E41">
            <w:pPr>
              <w:pStyle w:val="libFootnote0"/>
              <w:rPr>
                <w:rtl/>
              </w:rPr>
            </w:pPr>
            <w:r>
              <w:rPr>
                <w:rtl/>
              </w:rPr>
              <w:t>(8).</w:t>
            </w:r>
            <w:r w:rsidRPr="00C9040A">
              <w:rPr>
                <w:rtl/>
              </w:rPr>
              <w:t xml:space="preserve"> في حاشية « بر » : « إلى »</w:t>
            </w:r>
            <w:r>
              <w:rPr>
                <w:rtl/>
              </w:rPr>
              <w:t>.</w:t>
            </w:r>
          </w:p>
        </w:tc>
      </w:tr>
    </w:tbl>
    <w:p w:rsidR="008A74EB" w:rsidRPr="00C9040A" w:rsidRDefault="006C577F" w:rsidP="004A4E41">
      <w:pPr>
        <w:pStyle w:val="libFootnote0"/>
        <w:rPr>
          <w:rtl/>
          <w:lang w:bidi="fa-IR"/>
        </w:rPr>
      </w:pPr>
      <w:r>
        <w:rPr>
          <w:rtl/>
        </w:rPr>
        <w:t>(9).</w:t>
      </w:r>
      <w:r w:rsidR="008A74EB" w:rsidRPr="00C9040A">
        <w:rPr>
          <w:rtl/>
        </w:rPr>
        <w:t xml:space="preserve"> في « ص ، </w:t>
      </w:r>
      <w:r w:rsidR="006D3162">
        <w:rPr>
          <w:rtl/>
        </w:rPr>
        <w:t xml:space="preserve">ه </w:t>
      </w:r>
      <w:r w:rsidR="008A74EB" w:rsidRPr="00C9040A">
        <w:rPr>
          <w:rtl/>
        </w:rPr>
        <w:t>» وحاشية « ج ، د » وشرح المازندراني : « مؤمناً »</w:t>
      </w:r>
      <w:r w:rsidR="008A74EB">
        <w:rPr>
          <w:rtl/>
        </w:rPr>
        <w:t>.</w:t>
      </w:r>
    </w:p>
    <w:p w:rsidR="008A74EB" w:rsidRPr="00C9040A" w:rsidRDefault="006C577F" w:rsidP="00094B9B">
      <w:pPr>
        <w:pStyle w:val="libFootnote0"/>
        <w:rPr>
          <w:rtl/>
          <w:lang w:bidi="fa-IR"/>
        </w:rPr>
      </w:pPr>
      <w:r>
        <w:rPr>
          <w:rtl/>
        </w:rPr>
        <w:t>(10).</w:t>
      </w:r>
      <w:r w:rsidR="008A74EB" w:rsidRPr="00C9040A">
        <w:rPr>
          <w:rtl/>
        </w:rPr>
        <w:t xml:space="preserve"> </w:t>
      </w:r>
      <w:r w:rsidR="008A74EB" w:rsidRPr="00993B55">
        <w:rPr>
          <w:rStyle w:val="libFootnoteBoldChar"/>
          <w:rtl/>
        </w:rPr>
        <w:t>علل الشرائع</w:t>
      </w:r>
      <w:r w:rsidR="008A74EB" w:rsidRPr="00C9040A">
        <w:rPr>
          <w:rtl/>
        </w:rPr>
        <w:t xml:space="preserve"> ، ص 579 ، ح 8 ، بسنده عن أحمد بن محمّد بن عيسى ، عن عليّ بن الحكم ، عن عليّ بن أسباط ، عن رجل من أصحابنا من أهل خراسان رفعه إلى أبي عبدالله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الأمالي</w:t>
      </w:r>
      <w:r w:rsidR="008A74EB" w:rsidRPr="00C9040A">
        <w:rPr>
          <w:rtl/>
        </w:rPr>
        <w:t xml:space="preserve"> للطوسي ، ص 571 ، المجلس 22 ، ح 10 ، بسند آخر عن أبي عبدالله ، عن آبائه </w:t>
      </w:r>
      <w:r w:rsidR="00117575" w:rsidRPr="00117575">
        <w:rPr>
          <w:rStyle w:val="libFootnoteAlaemChar"/>
          <w:rtl/>
        </w:rPr>
        <w:t>عليهم‌السلام</w:t>
      </w:r>
      <w:r w:rsidR="008A74EB" w:rsidRPr="00C9040A">
        <w:rPr>
          <w:rtl/>
        </w:rPr>
        <w:t xml:space="preserve"> عن رسول الله </w:t>
      </w:r>
      <w:r w:rsidR="004A4E41" w:rsidRPr="0031438D">
        <w:rPr>
          <w:rStyle w:val="libFootnoteAlaemChar"/>
          <w:rtl/>
        </w:rPr>
        <w:t>صلى‌الله‌عليه‌وآله</w:t>
      </w:r>
      <w:r w:rsidR="008A74EB" w:rsidRPr="00C9040A">
        <w:rPr>
          <w:rtl/>
        </w:rPr>
        <w:t xml:space="preserve">. وفي </w:t>
      </w:r>
      <w:r w:rsidR="008A74EB" w:rsidRPr="00993B55">
        <w:rPr>
          <w:rStyle w:val="libFootnoteBoldChar"/>
          <w:rtl/>
        </w:rPr>
        <w:t>تحف العقول</w:t>
      </w:r>
      <w:r w:rsidR="008A74EB" w:rsidRPr="00C9040A">
        <w:rPr>
          <w:rtl/>
        </w:rPr>
        <w:t xml:space="preserve"> ، ص 363 ؛ و</w:t>
      </w:r>
      <w:r w:rsidR="008A74EB" w:rsidRPr="00993B55">
        <w:rPr>
          <w:rStyle w:val="libFootnoteBoldChar"/>
          <w:rtl/>
        </w:rPr>
        <w:t xml:space="preserve">الاختصاص </w:t>
      </w:r>
      <w:r w:rsidR="008A74EB" w:rsidRPr="00C9040A">
        <w:rPr>
          <w:rtl/>
        </w:rPr>
        <w:t>، ص 242 مرسلاً ، وفي كلّها مع اختلاف يسير</w:t>
      </w:r>
      <w:r w:rsidR="00094B9B">
        <w:rPr>
          <w:rFonts w:hint="cs"/>
          <w:rtl/>
        </w:rPr>
        <w:t>.</w:t>
      </w:r>
      <w:r w:rsidR="008A74EB" w:rsidRPr="00993B55">
        <w:rPr>
          <w:rStyle w:val="libFootnoteBoldChar"/>
          <w:rtl/>
        </w:rPr>
        <w:t>الوافي</w:t>
      </w:r>
      <w:r w:rsidR="008A74EB" w:rsidRPr="00C9040A">
        <w:rPr>
          <w:rtl/>
        </w:rPr>
        <w:t xml:space="preserve"> ، ج 5 ، ص 879 ، ح 3205 ؛ </w:t>
      </w:r>
      <w:r w:rsidR="008A74EB" w:rsidRPr="00993B55">
        <w:rPr>
          <w:rStyle w:val="libFootnoteBoldChar"/>
          <w:rtl/>
        </w:rPr>
        <w:t>الوسائل</w:t>
      </w:r>
      <w:r w:rsidR="008A74EB" w:rsidRPr="00C9040A">
        <w:rPr>
          <w:rtl/>
        </w:rPr>
        <w:t xml:space="preserve"> ، ج 1 ، ص 100 ، ح 240 ؛ </w:t>
      </w:r>
      <w:r w:rsidR="008A74EB" w:rsidRPr="00993B55">
        <w:rPr>
          <w:rStyle w:val="libFootnoteBoldChar"/>
          <w:rtl/>
        </w:rPr>
        <w:t>البحار</w:t>
      </w:r>
      <w:r w:rsidR="008A74EB" w:rsidRPr="00C9040A">
        <w:rPr>
          <w:rtl/>
        </w:rPr>
        <w:t xml:space="preserve"> ، ج 69 ، ص 235 ، ح 2 ؛ وج 72 ، ص 306 ، ح 1.</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180173">
        <w:rPr>
          <w:rtl/>
        </w:rPr>
        <w:t>2579</w:t>
      </w:r>
      <w:r w:rsidRPr="00261CB0">
        <w:rPr>
          <w:rStyle w:val="libBold2Char"/>
          <w:rtl/>
        </w:rPr>
        <w:t xml:space="preserve"> / 2.</w:t>
      </w:r>
      <w:r w:rsidRPr="00C9040A">
        <w:rPr>
          <w:rtl/>
          <w:lang w:bidi="fa-IR"/>
        </w:rPr>
        <w:t xml:space="preserve"> عَنْهُ </w:t>
      </w:r>
      <w:r w:rsidR="006C577F" w:rsidRPr="006C577F">
        <w:rPr>
          <w:rStyle w:val="libFootnotenumChar"/>
          <w:rtl/>
        </w:rPr>
        <w:t>(1)</w:t>
      </w:r>
      <w:r w:rsidRPr="00C9040A">
        <w:rPr>
          <w:rtl/>
          <w:lang w:bidi="fa-IR"/>
        </w:rPr>
        <w:t xml:space="preserve"> ، عَنْ سَعِيدِ بْنِ جَنَاحٍ ، عَنْ أَخِيهِ أَبِي عَامِرٍ ، عَنْ رَجُلٍ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مَنْ دَخَلَهُ الْعُجْبُ هَلَكَ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180173">
        <w:rPr>
          <w:rtl/>
        </w:rPr>
        <w:t>2580</w:t>
      </w:r>
      <w:r w:rsidRPr="00261CB0">
        <w:rPr>
          <w:rStyle w:val="libBold2Char"/>
          <w:rtl/>
        </w:rPr>
        <w:t xml:space="preserve"> / 3.</w:t>
      </w:r>
      <w:r w:rsidRPr="00C9040A">
        <w:rPr>
          <w:rtl/>
          <w:lang w:bidi="fa-IR"/>
        </w:rPr>
        <w:t xml:space="preserve"> عَلِيُّ بْنُ إِبْرَاهِيمَ ، عَنْ أَبِيهِ ، عَنْ عَلِيِّ بْنِ أَسْبَاطٍ ، عَنْ أَحْمَدَ بْنِ عُمَرَ الْحَلاَّلِ </w:t>
      </w:r>
      <w:r w:rsidR="006C577F" w:rsidRPr="006C577F">
        <w:rPr>
          <w:rStyle w:val="libFootnotenumChar"/>
          <w:rtl/>
        </w:rPr>
        <w:t>(3)</w:t>
      </w:r>
      <w:r w:rsidRPr="00C9040A">
        <w:rPr>
          <w:rtl/>
          <w:lang w:bidi="fa-IR"/>
        </w:rPr>
        <w:t xml:space="preserve"> ، عَنْ عَلِيِّ بْنِ سُوَيْدٍ :</w:t>
      </w:r>
    </w:p>
    <w:p w:rsidR="008A74EB" w:rsidRPr="00C9040A" w:rsidRDefault="008A74EB" w:rsidP="008A74EB">
      <w:pPr>
        <w:pStyle w:val="libNormal"/>
        <w:rPr>
          <w:rtl/>
          <w:lang w:bidi="fa-IR"/>
        </w:rPr>
      </w:pPr>
      <w:r w:rsidRPr="00C9040A">
        <w:rPr>
          <w:rtl/>
          <w:lang w:bidi="fa-IR"/>
        </w:rPr>
        <w:t xml:space="preserve">عَنْ أَبِي الْحَسَنِ </w:t>
      </w:r>
      <w:r w:rsidR="006C577F" w:rsidRPr="006C577F">
        <w:rPr>
          <w:rStyle w:val="libFootnotenumChar"/>
          <w:rtl/>
        </w:rPr>
        <w:t>(4)</w:t>
      </w:r>
      <w:r w:rsidRPr="00C9040A">
        <w:rPr>
          <w:rtl/>
          <w:lang w:bidi="fa-IR"/>
        </w:rPr>
        <w:t xml:space="preserve"> </w:t>
      </w:r>
      <w:r w:rsidRPr="0003660B">
        <w:rPr>
          <w:rStyle w:val="libAlaemChar"/>
          <w:rtl/>
        </w:rPr>
        <w:t>عليه‌السلام</w:t>
      </w:r>
      <w:r w:rsidRPr="00C9040A">
        <w:rPr>
          <w:rtl/>
          <w:lang w:bidi="fa-IR"/>
        </w:rPr>
        <w:t xml:space="preserve"> ، قَالَ : سَأَلْتُهُ عَنِ الْعُجْبِ الَّذِي يُفْسِدُ الْعَمَلَ ، فَقَالَ : « الْعُجْبُ دَرَجَاتٌ : مِنْهَا أَنْ يُزَيَّنَ لِلْعَبْدِ سُوءُ عَمَلِهِ ، فَيَرَاهُ </w:t>
      </w:r>
      <w:r w:rsidR="006C577F" w:rsidRPr="006C577F">
        <w:rPr>
          <w:rStyle w:val="libFootnotenumChar"/>
          <w:rtl/>
        </w:rPr>
        <w:t>(5)</w:t>
      </w:r>
      <w:r w:rsidRPr="00C9040A">
        <w:rPr>
          <w:rtl/>
          <w:lang w:bidi="fa-IR"/>
        </w:rPr>
        <w:t xml:space="preserve"> حَسَناً ، فَيُعْجِبَهُ ، وَيَحْسَبَ أَنَّهُ يُحْسِنُ صُنْعاً ؛ وَمِنْهَا أَنْ يُؤْمِنَ الْعَبْدُ بِرَبِّهِ ، فَيَمُنَّ عَلَى اللهِ عَزَّ وَجَلَّ ، وَلِلّهِ عَلَيْهِ فِيهِ الْمَنُّ </w:t>
      </w:r>
      <w:r w:rsidR="006C577F" w:rsidRPr="006C577F">
        <w:rPr>
          <w:rStyle w:val="libFootnotenumChar"/>
          <w:rtl/>
        </w:rPr>
        <w:t>(6)</w:t>
      </w:r>
      <w:r w:rsidRPr="005B567D">
        <w:rPr>
          <w:rStyle w:val="libFootnotenumChar"/>
          <w:rtl/>
        </w:rPr>
        <w:t xml:space="preserve"> </w:t>
      </w:r>
      <w:r w:rsidRPr="00C9040A">
        <w:rPr>
          <w:rtl/>
          <w:lang w:bidi="fa-IR"/>
        </w:rPr>
        <w:t>»</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180173">
        <w:rPr>
          <w:rtl/>
        </w:rPr>
        <w:t>2581</w:t>
      </w:r>
      <w:r w:rsidRPr="00261CB0">
        <w:rPr>
          <w:rStyle w:val="libBold2Char"/>
          <w:rtl/>
        </w:rPr>
        <w:t xml:space="preserve"> / 4.</w:t>
      </w:r>
      <w:r w:rsidRPr="00C9040A">
        <w:rPr>
          <w:rtl/>
          <w:lang w:bidi="fa-IR"/>
        </w:rPr>
        <w:t xml:space="preserve"> عَلِيُّ بْنُ إِبْرَاهِيمَ ، عَنْ أَبِيهِ ، عَنِ ابْنِ أَبِي عُمَيْرٍ ، عَنْ عَبْدِ الرَّحْمنِ بْنِ الْحَجَّاجِ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إِنَّ الرَّجُلَ لَيُذْنِبُ </w:t>
      </w:r>
      <w:r w:rsidR="006C577F" w:rsidRPr="006C577F">
        <w:rPr>
          <w:rStyle w:val="libFootnotenumChar"/>
          <w:rtl/>
        </w:rPr>
        <w:t>(8)</w:t>
      </w:r>
      <w:r w:rsidRPr="00C9040A">
        <w:rPr>
          <w:rtl/>
          <w:lang w:bidi="fa-IR"/>
        </w:rPr>
        <w:t xml:space="preserve"> الذَّنْبَ ، فَيَنْدَمُ عَلَيْهِ ، وَيَعْمَلُ الْعَمَلَ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الضمير راجع إلى أحمد بن محمّد بن عيسى المذكور في السند السابق ؛ فقد روى هو كتابَي سعيد بن جناح ، وتوسّط بينه وبين محمّد بن يحيى في بعض الأسناد. راجع : </w:t>
      </w:r>
      <w:r w:rsidR="008A74EB" w:rsidRPr="00993B55">
        <w:rPr>
          <w:rStyle w:val="libFootnoteBoldChar"/>
          <w:rtl/>
        </w:rPr>
        <w:t>رجال النجاشي</w:t>
      </w:r>
      <w:r w:rsidR="008A74EB" w:rsidRPr="00C9040A">
        <w:rPr>
          <w:rtl/>
        </w:rPr>
        <w:t xml:space="preserve"> ، ص 191 ، الرقم 512 ؛ </w:t>
      </w:r>
      <w:r w:rsidR="008A74EB" w:rsidRPr="00993B55">
        <w:rPr>
          <w:rStyle w:val="libFootnoteBoldChar"/>
          <w:rtl/>
        </w:rPr>
        <w:t>معجم رجال الحديث</w:t>
      </w:r>
      <w:r w:rsidR="008A74EB" w:rsidRPr="00C9040A">
        <w:rPr>
          <w:rtl/>
        </w:rPr>
        <w:t xml:space="preserve"> ، ج 2 ، ص 519 ، وص 676.</w:t>
      </w:r>
    </w:p>
    <w:p w:rsidR="008A74EB" w:rsidRPr="00C9040A" w:rsidRDefault="006C577F" w:rsidP="00094B9B">
      <w:pPr>
        <w:pStyle w:val="libFootnote0"/>
        <w:rPr>
          <w:rtl/>
          <w:lang w:bidi="fa-IR"/>
        </w:rPr>
      </w:pPr>
      <w:r>
        <w:rPr>
          <w:rtl/>
        </w:rPr>
        <w:t>(2).</w:t>
      </w:r>
      <w:r w:rsidR="008A74EB">
        <w:rPr>
          <w:rtl/>
        </w:rPr>
        <w:t xml:space="preserve"> </w:t>
      </w:r>
      <w:r w:rsidR="008A74EB" w:rsidRPr="0034021D">
        <w:rPr>
          <w:rStyle w:val="libFootnoteBoldChar"/>
          <w:rtl/>
        </w:rPr>
        <w:t>الأمالي للصدوق</w:t>
      </w:r>
      <w:r w:rsidR="008A74EB" w:rsidRPr="00C9040A">
        <w:rPr>
          <w:rtl/>
        </w:rPr>
        <w:t xml:space="preserve"> ، ص 446 ، المجلس 68 ، ضمن ح 9 ؛ </w:t>
      </w:r>
      <w:r w:rsidR="008A74EB" w:rsidRPr="00993B55">
        <w:rPr>
          <w:rStyle w:val="libFootnoteBoldChar"/>
          <w:rtl/>
        </w:rPr>
        <w:t>عيون الأخبار</w:t>
      </w:r>
      <w:r w:rsidR="008A74EB" w:rsidRPr="00C9040A">
        <w:rPr>
          <w:rtl/>
        </w:rPr>
        <w:t xml:space="preserve"> ، ج 2 ، ص 54 ، ضمن ح 204 ، وفيهما بسند آخر عن أبي جعفر محمّد بن عليّ الرضا ، عن آبائه ، عن أميرالمؤمنين </w:t>
      </w:r>
      <w:r w:rsidR="00117575" w:rsidRPr="00117575">
        <w:rPr>
          <w:rStyle w:val="libFootnoteAlaemChar"/>
          <w:rtl/>
        </w:rPr>
        <w:t>عليهم‌السلام</w:t>
      </w:r>
      <w:r w:rsidR="008A74EB" w:rsidRPr="00C9040A">
        <w:rPr>
          <w:rtl/>
        </w:rPr>
        <w:t xml:space="preserve">. </w:t>
      </w:r>
      <w:r w:rsidR="008A74EB" w:rsidRPr="00993B55">
        <w:rPr>
          <w:rStyle w:val="libFootnoteBoldChar"/>
          <w:rtl/>
        </w:rPr>
        <w:t>تحف العقول</w:t>
      </w:r>
      <w:r w:rsidR="008A74EB" w:rsidRPr="00C9040A">
        <w:rPr>
          <w:rtl/>
        </w:rPr>
        <w:t xml:space="preserve"> ، ص 409 ، عن موسى بن جعفر </w:t>
      </w:r>
      <w:r w:rsidR="00117575" w:rsidRPr="00117575">
        <w:rPr>
          <w:rStyle w:val="libFootnoteAlaemChar"/>
          <w:rtl/>
        </w:rPr>
        <w:t>عليه‌السلام</w:t>
      </w:r>
      <w:r w:rsidR="008A74EB" w:rsidRPr="00C9040A">
        <w:rPr>
          <w:rtl/>
        </w:rPr>
        <w:t xml:space="preserve"> ، مع زيادة في أوّله</w:t>
      </w:r>
      <w:r w:rsidR="00094B9B">
        <w:rPr>
          <w:rFonts w:hint="cs"/>
          <w:rtl/>
        </w:rPr>
        <w:t>.</w:t>
      </w:r>
      <w:r w:rsidR="008A74EB" w:rsidRPr="00993B55">
        <w:rPr>
          <w:rStyle w:val="libFootnoteBoldChar"/>
          <w:rtl/>
        </w:rPr>
        <w:t>الوافي</w:t>
      </w:r>
      <w:r w:rsidR="008A74EB" w:rsidRPr="00C9040A">
        <w:rPr>
          <w:rtl/>
        </w:rPr>
        <w:t xml:space="preserve"> ، ج 5 ، ص 879 ، ح 3206 ؛ </w:t>
      </w:r>
      <w:r w:rsidR="008A74EB" w:rsidRPr="00993B55">
        <w:rPr>
          <w:rStyle w:val="libFootnoteBoldChar"/>
          <w:rtl/>
        </w:rPr>
        <w:t xml:space="preserve">الوسائل </w:t>
      </w:r>
      <w:r w:rsidR="008A74EB" w:rsidRPr="00C9040A">
        <w:rPr>
          <w:rtl/>
        </w:rPr>
        <w:t xml:space="preserve">، ج 1 ، ص 101 ، ح 241 ؛ </w:t>
      </w:r>
      <w:r w:rsidR="008A74EB" w:rsidRPr="00993B55">
        <w:rPr>
          <w:rStyle w:val="libFootnoteBoldChar"/>
          <w:rtl/>
        </w:rPr>
        <w:t>البحار</w:t>
      </w:r>
      <w:r w:rsidR="008A74EB" w:rsidRPr="00C9040A">
        <w:rPr>
          <w:rtl/>
        </w:rPr>
        <w:t xml:space="preserve"> ، ج 72 ، ص 309 ، ح 3.</w:t>
      </w:r>
    </w:p>
    <w:p w:rsidR="008A74EB" w:rsidRPr="00C9040A" w:rsidRDefault="006C577F" w:rsidP="004A4E41">
      <w:pPr>
        <w:pStyle w:val="libFootnote0"/>
        <w:rPr>
          <w:rtl/>
          <w:lang w:bidi="fa-IR"/>
        </w:rPr>
      </w:pPr>
      <w:r>
        <w:rPr>
          <w:rtl/>
        </w:rPr>
        <w:t>(3).</w:t>
      </w:r>
      <w:r w:rsidR="008A74EB" w:rsidRPr="00C9040A">
        <w:rPr>
          <w:rtl/>
        </w:rPr>
        <w:t xml:space="preserve"> في « </w:t>
      </w:r>
      <w:r w:rsidR="006D3162">
        <w:rPr>
          <w:rtl/>
        </w:rPr>
        <w:t xml:space="preserve">ه </w:t>
      </w:r>
      <w:r w:rsidR="008A74EB" w:rsidRPr="00C9040A">
        <w:rPr>
          <w:rtl/>
        </w:rPr>
        <w:t>» : « الخلال »</w:t>
      </w:r>
      <w:r w:rsidR="008A74EB">
        <w:rPr>
          <w:rtl/>
        </w:rPr>
        <w:t>.</w:t>
      </w:r>
      <w:r w:rsidR="008A74EB" w:rsidRPr="00C9040A">
        <w:rPr>
          <w:rtl/>
        </w:rPr>
        <w:t xml:space="preserve"> وأحمد هذا ، اختُلف في لقبه ، والغالب في</w:t>
      </w:r>
      <w:r w:rsidR="00094B9B">
        <w:rPr>
          <w:rtl/>
        </w:rPr>
        <w:t xml:space="preserve"> الأسناد وكتب الرجال هو « الحل</w:t>
      </w:r>
      <w:r w:rsidR="00094B9B">
        <w:rPr>
          <w:rFonts w:hint="cs"/>
          <w:rtl/>
        </w:rPr>
        <w:t>ّ</w:t>
      </w:r>
      <w:r w:rsidR="00094B9B">
        <w:rPr>
          <w:rtl/>
        </w:rPr>
        <w:t>ا</w:t>
      </w:r>
      <w:r w:rsidR="008A74EB" w:rsidRPr="00C9040A">
        <w:rPr>
          <w:rtl/>
        </w:rPr>
        <w:t>ل »</w:t>
      </w:r>
      <w:r w:rsidR="008A74EB">
        <w:rPr>
          <w:rtl/>
        </w:rPr>
        <w:t>.</w:t>
      </w:r>
      <w:r w:rsidR="008A74EB" w:rsidRPr="00C9040A">
        <w:rPr>
          <w:rtl/>
        </w:rPr>
        <w:t xml:space="preserve"> راجع : </w:t>
      </w:r>
      <w:r w:rsidR="008A74EB" w:rsidRPr="00993B55">
        <w:rPr>
          <w:rStyle w:val="libFootnoteBoldChar"/>
          <w:rtl/>
        </w:rPr>
        <w:t>رجال النجاشي</w:t>
      </w:r>
      <w:r w:rsidR="008A74EB" w:rsidRPr="00C9040A">
        <w:rPr>
          <w:rtl/>
        </w:rPr>
        <w:t xml:space="preserve"> ، ص 99 ، الرقم 248 ؛ </w:t>
      </w:r>
      <w:r w:rsidR="008A74EB" w:rsidRPr="00993B55">
        <w:rPr>
          <w:rStyle w:val="libFootnoteBoldChar"/>
          <w:rtl/>
        </w:rPr>
        <w:t>رجال البرقي</w:t>
      </w:r>
      <w:r w:rsidR="008A74EB" w:rsidRPr="00C9040A">
        <w:rPr>
          <w:rtl/>
        </w:rPr>
        <w:t xml:space="preserve"> ، ص 52 ؛ </w:t>
      </w:r>
      <w:r w:rsidR="008A74EB" w:rsidRPr="00993B55">
        <w:rPr>
          <w:rStyle w:val="libFootnoteBoldChar"/>
          <w:rtl/>
        </w:rPr>
        <w:t>رجال الطوسي</w:t>
      </w:r>
      <w:r w:rsidR="008A74EB" w:rsidRPr="00C9040A">
        <w:rPr>
          <w:rtl/>
        </w:rPr>
        <w:t xml:space="preserve"> ، ص 352 ، الرقم 5213 ؛ وص 412 ، الرقم 5970 ؛ </w:t>
      </w:r>
      <w:r w:rsidR="008A74EB" w:rsidRPr="0034021D">
        <w:rPr>
          <w:rStyle w:val="libFootnoteBoldChar"/>
          <w:rtl/>
        </w:rPr>
        <w:t>الفهرست للطوسي</w:t>
      </w:r>
      <w:r w:rsidR="008A74EB" w:rsidRPr="00C9040A">
        <w:rPr>
          <w:rtl/>
        </w:rPr>
        <w:t xml:space="preserve"> ، ص 82 ، الرقم 103 ؛ </w:t>
      </w:r>
      <w:r w:rsidR="008A74EB" w:rsidRPr="00993B55">
        <w:rPr>
          <w:rStyle w:val="libFootnoteBoldChar"/>
          <w:rtl/>
        </w:rPr>
        <w:t>خلاصة الأقوال</w:t>
      </w:r>
      <w:r w:rsidR="008A74EB" w:rsidRPr="00C9040A">
        <w:rPr>
          <w:rtl/>
        </w:rPr>
        <w:t xml:space="preserve"> ، ص 14 ، الرقم 4 ؛ </w:t>
      </w:r>
      <w:r w:rsidR="008A74EB" w:rsidRPr="00993B55">
        <w:rPr>
          <w:rStyle w:val="libFootnoteBoldChar"/>
          <w:rtl/>
        </w:rPr>
        <w:t>الرجال</w:t>
      </w:r>
      <w:r w:rsidR="008A74EB" w:rsidRPr="00C9040A">
        <w:rPr>
          <w:rtl/>
        </w:rPr>
        <w:t xml:space="preserve"> لابن داود ، ص 35 ، الرقم 104 ؛ </w:t>
      </w:r>
      <w:r w:rsidR="008A74EB" w:rsidRPr="00993B55">
        <w:rPr>
          <w:rStyle w:val="libFootnoteBoldChar"/>
          <w:rtl/>
        </w:rPr>
        <w:t>معجم الحديث</w:t>
      </w:r>
      <w:r w:rsidR="008A74EB" w:rsidRPr="00C9040A">
        <w:rPr>
          <w:rtl/>
        </w:rPr>
        <w:t xml:space="preserve"> ، ج 2 ، ص 179 ، الرقم 727.</w:t>
      </w:r>
    </w:p>
    <w:tbl>
      <w:tblPr>
        <w:tblStyle w:val="TableGrid"/>
        <w:bidiVisual/>
        <w:tblW w:w="0" w:type="auto"/>
        <w:tblLook w:val="04A0" w:firstRow="1" w:lastRow="0" w:firstColumn="1" w:lastColumn="0" w:noHBand="0" w:noVBand="1"/>
      </w:tblPr>
      <w:tblGrid>
        <w:gridCol w:w="4006"/>
        <w:gridCol w:w="4006"/>
      </w:tblGrid>
      <w:tr w:rsidR="00094B9B" w:rsidTr="00094B9B">
        <w:tc>
          <w:tcPr>
            <w:tcW w:w="4006" w:type="dxa"/>
          </w:tcPr>
          <w:p w:rsidR="00094B9B" w:rsidRDefault="00094B9B" w:rsidP="004A4E41">
            <w:pPr>
              <w:pStyle w:val="libFootnote0"/>
              <w:rPr>
                <w:rtl/>
              </w:rPr>
            </w:pPr>
            <w:r>
              <w:rPr>
                <w:rtl/>
              </w:rPr>
              <w:t>(4).</w:t>
            </w:r>
            <w:r w:rsidRPr="00C9040A">
              <w:rPr>
                <w:rtl/>
              </w:rPr>
              <w:t xml:space="preserve"> في المعاني : + « موسى »</w:t>
            </w:r>
            <w:r>
              <w:rPr>
                <w:rtl/>
              </w:rPr>
              <w:t>.</w:t>
            </w:r>
          </w:p>
        </w:tc>
        <w:tc>
          <w:tcPr>
            <w:tcW w:w="4006" w:type="dxa"/>
          </w:tcPr>
          <w:p w:rsidR="00094B9B" w:rsidRDefault="00094B9B" w:rsidP="004A4E41">
            <w:pPr>
              <w:pStyle w:val="libFootnote0"/>
              <w:rPr>
                <w:rtl/>
              </w:rPr>
            </w:pPr>
            <w:r>
              <w:rPr>
                <w:rtl/>
              </w:rPr>
              <w:t>(5).</w:t>
            </w:r>
            <w:r w:rsidRPr="00C9040A">
              <w:rPr>
                <w:rtl/>
              </w:rPr>
              <w:t xml:space="preserve"> في مرآة العقول : « فرآه »</w:t>
            </w:r>
            <w:r>
              <w:rPr>
                <w:rtl/>
              </w:rPr>
              <w:t>.</w:t>
            </w:r>
          </w:p>
        </w:tc>
      </w:tr>
    </w:tbl>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 </w:t>
      </w:r>
      <w:r w:rsidR="006D3162">
        <w:rPr>
          <w:rtl/>
        </w:rPr>
        <w:t xml:space="preserve">ه </w:t>
      </w:r>
      <w:r w:rsidR="008A74EB" w:rsidRPr="00C9040A">
        <w:rPr>
          <w:rtl/>
        </w:rPr>
        <w:t>» : « المنّ فيه »</w:t>
      </w:r>
      <w:r w:rsidR="008A74EB">
        <w:rPr>
          <w:rtl/>
        </w:rPr>
        <w:t>.</w:t>
      </w:r>
      <w:r w:rsidR="008A74EB" w:rsidRPr="00C9040A">
        <w:rPr>
          <w:rtl/>
        </w:rPr>
        <w:t xml:space="preserve"> وفي تحف العقول : « المنّة عليه فيه »</w:t>
      </w:r>
      <w:r w:rsidR="008A74EB">
        <w:rPr>
          <w:rtl/>
        </w:rPr>
        <w:t>.</w:t>
      </w:r>
    </w:p>
    <w:p w:rsidR="008A74EB" w:rsidRPr="00C9040A" w:rsidRDefault="006C577F" w:rsidP="00C06B00">
      <w:pPr>
        <w:pStyle w:val="libFootnote0"/>
        <w:rPr>
          <w:rtl/>
          <w:lang w:bidi="fa-IR"/>
        </w:rPr>
      </w:pPr>
      <w:r>
        <w:rPr>
          <w:rtl/>
        </w:rPr>
        <w:t>(7).</w:t>
      </w:r>
      <w:r w:rsidR="008A74EB" w:rsidRPr="00C9040A">
        <w:rPr>
          <w:rtl/>
        </w:rPr>
        <w:t xml:space="preserve"> </w:t>
      </w:r>
      <w:r w:rsidR="008A74EB" w:rsidRPr="00993B55">
        <w:rPr>
          <w:rStyle w:val="libFootnoteBoldChar"/>
          <w:rtl/>
        </w:rPr>
        <w:t>معاني الأخبار</w:t>
      </w:r>
      <w:r w:rsidR="008A74EB" w:rsidRPr="00C9040A">
        <w:rPr>
          <w:rtl/>
        </w:rPr>
        <w:t xml:space="preserve"> ، ص 243 ، ح 1 ، بسنده عن عليّ بن أسباط. </w:t>
      </w:r>
      <w:r w:rsidR="008A74EB" w:rsidRPr="00993B55">
        <w:rPr>
          <w:rStyle w:val="libFootnoteBoldChar"/>
          <w:rtl/>
        </w:rPr>
        <w:t>تحف العقول</w:t>
      </w:r>
      <w:r w:rsidR="008A74EB" w:rsidRPr="00C9040A">
        <w:rPr>
          <w:rtl/>
        </w:rPr>
        <w:t xml:space="preserve"> ، ص 444 ، عن أحمد بن نجم ، عن الرضا </w:t>
      </w:r>
      <w:r w:rsidR="00117575" w:rsidRPr="00117575">
        <w:rPr>
          <w:rStyle w:val="libFootnoteAlaemChar"/>
          <w:rtl/>
        </w:rPr>
        <w:t>عليه‌السلام</w:t>
      </w:r>
      <w:r w:rsidR="008A74EB" w:rsidRPr="00C9040A">
        <w:rPr>
          <w:rtl/>
        </w:rPr>
        <w:t xml:space="preserve"> </w:t>
      </w:r>
      <w:r w:rsidR="00C06B00">
        <w:rPr>
          <w:rFonts w:hint="cs"/>
          <w:rtl/>
        </w:rPr>
        <w:t>.</w:t>
      </w:r>
      <w:r w:rsidR="008A74EB" w:rsidRPr="00993B55">
        <w:rPr>
          <w:rStyle w:val="libFootnoteBoldChar"/>
          <w:rtl/>
        </w:rPr>
        <w:t>الوافي</w:t>
      </w:r>
      <w:r w:rsidR="008A74EB" w:rsidRPr="00C9040A">
        <w:rPr>
          <w:rtl/>
        </w:rPr>
        <w:t xml:space="preserve"> ، ج 5 ، ص 879 ، ح 3207 ؛ </w:t>
      </w:r>
      <w:r w:rsidR="008A74EB" w:rsidRPr="00993B55">
        <w:rPr>
          <w:rStyle w:val="libFootnoteBoldChar"/>
          <w:rtl/>
        </w:rPr>
        <w:t>الوسائل</w:t>
      </w:r>
      <w:r w:rsidR="008A74EB" w:rsidRPr="00C9040A">
        <w:rPr>
          <w:rtl/>
        </w:rPr>
        <w:t xml:space="preserve"> ، ج 1 ، ص 100 ، ح 238 ؛ </w:t>
      </w:r>
      <w:r w:rsidR="008A74EB" w:rsidRPr="00993B55">
        <w:rPr>
          <w:rStyle w:val="libFootnoteBoldChar"/>
          <w:rtl/>
        </w:rPr>
        <w:t>البحار</w:t>
      </w:r>
      <w:r w:rsidR="008A74EB" w:rsidRPr="00C9040A">
        <w:rPr>
          <w:rtl/>
        </w:rPr>
        <w:t xml:space="preserve"> ، ج 72 ، ص 310 ، ح 4.</w:t>
      </w:r>
    </w:p>
    <w:p w:rsidR="008A74EB" w:rsidRPr="00C9040A" w:rsidRDefault="006C577F" w:rsidP="004A4E41">
      <w:pPr>
        <w:pStyle w:val="libFootnote0"/>
        <w:rPr>
          <w:rtl/>
          <w:lang w:bidi="fa-IR"/>
        </w:rPr>
      </w:pPr>
      <w:r>
        <w:rPr>
          <w:rtl/>
        </w:rPr>
        <w:t>(8).</w:t>
      </w:r>
      <w:r w:rsidR="008A74EB" w:rsidRPr="00C9040A">
        <w:rPr>
          <w:rtl/>
        </w:rPr>
        <w:t xml:space="preserve"> في « ز » : « يذنب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C06B00">
      <w:pPr>
        <w:pStyle w:val="libNormal0"/>
        <w:rPr>
          <w:rtl/>
          <w:lang w:bidi="fa-IR"/>
        </w:rPr>
      </w:pPr>
      <w:r w:rsidRPr="00C9040A">
        <w:rPr>
          <w:rtl/>
          <w:lang w:bidi="fa-IR"/>
        </w:rPr>
        <w:t xml:space="preserve">فَيَسُرُّهُ ذلِكَ ، فَيَتَرَاخى عَنْ حَالِهِ </w:t>
      </w:r>
      <w:r w:rsidR="006C577F" w:rsidRPr="006C577F">
        <w:rPr>
          <w:rStyle w:val="libFootnotenumChar"/>
          <w:rtl/>
        </w:rPr>
        <w:t>(1)</w:t>
      </w:r>
      <w:r w:rsidRPr="00C9040A">
        <w:rPr>
          <w:rtl/>
          <w:lang w:bidi="fa-IR"/>
        </w:rPr>
        <w:t xml:space="preserve"> تِلْكَ </w:t>
      </w:r>
      <w:r w:rsidR="006C577F" w:rsidRPr="006C577F">
        <w:rPr>
          <w:rStyle w:val="libFootnotenumChar"/>
          <w:rtl/>
        </w:rPr>
        <w:t>(2)</w:t>
      </w:r>
      <w:r w:rsidRPr="00C9040A">
        <w:rPr>
          <w:rtl/>
          <w:lang w:bidi="fa-IR"/>
        </w:rPr>
        <w:t xml:space="preserve"> ، فَلَأَنْ يَكُونَ عَلى حَالِهِ تِلْكَ خَيْرٌ لَهُ </w:t>
      </w:r>
      <w:r w:rsidR="006C577F" w:rsidRPr="006C577F">
        <w:rPr>
          <w:rStyle w:val="libFootnotenumChar"/>
          <w:rtl/>
        </w:rPr>
        <w:t>(3)</w:t>
      </w:r>
      <w:r w:rsidRPr="00C9040A">
        <w:rPr>
          <w:rtl/>
          <w:lang w:bidi="fa-IR"/>
        </w:rPr>
        <w:t xml:space="preserve"> مِمَّا دَخَلَ فِيهِ »</w:t>
      </w:r>
      <w:r>
        <w:rPr>
          <w:rtl/>
          <w:lang w:bidi="fa-IR"/>
        </w:rPr>
        <w:t>.</w:t>
      </w:r>
      <w:r w:rsidRPr="00C9040A">
        <w:rPr>
          <w:rtl/>
          <w:lang w:bidi="fa-IR"/>
        </w:rPr>
        <w:t xml:space="preserve"> </w:t>
      </w:r>
      <w:r w:rsidR="006C577F" w:rsidRPr="006C577F">
        <w:rPr>
          <w:rStyle w:val="libFootnotenumChar"/>
          <w:rtl/>
        </w:rPr>
        <w:t>(4)</w:t>
      </w:r>
    </w:p>
    <w:p w:rsidR="008A74EB" w:rsidRPr="00C9040A" w:rsidRDefault="008A74EB" w:rsidP="008A74EB">
      <w:pPr>
        <w:pStyle w:val="libNormal"/>
        <w:rPr>
          <w:rtl/>
          <w:lang w:bidi="fa-IR"/>
        </w:rPr>
      </w:pPr>
      <w:r w:rsidRPr="00180173">
        <w:rPr>
          <w:rtl/>
        </w:rPr>
        <w:t>2582</w:t>
      </w:r>
      <w:r w:rsidRPr="00261CB0">
        <w:rPr>
          <w:rStyle w:val="libBold2Char"/>
          <w:rtl/>
        </w:rPr>
        <w:t xml:space="preserve"> / 5.</w:t>
      </w:r>
      <w:r w:rsidRPr="00C9040A">
        <w:rPr>
          <w:rtl/>
          <w:lang w:bidi="fa-IR"/>
        </w:rPr>
        <w:t xml:space="preserve"> مُحَمَّدُ بْنُ يَحْيى ، عَنْ أَحْمَدَ بْنِ مُحَمَّدٍ ، عَنْ مُحَمَّدِ بْنِ سِنَانٍ ، عَنْ نَضْرِ </w:t>
      </w:r>
      <w:r w:rsidR="006C577F" w:rsidRPr="006C577F">
        <w:rPr>
          <w:rStyle w:val="libFootnotenumChar"/>
          <w:rtl/>
        </w:rPr>
        <w:t>(5)</w:t>
      </w:r>
      <w:r w:rsidRPr="00C9040A">
        <w:rPr>
          <w:rtl/>
          <w:lang w:bidi="fa-IR"/>
        </w:rPr>
        <w:t xml:space="preserve"> بْنِ قِرْوَاشٍ ، عَنْ إِسْحَاقَ بْنِ عَمَّارٍ :</w:t>
      </w:r>
    </w:p>
    <w:p w:rsidR="008A74EB" w:rsidRPr="00C9040A" w:rsidRDefault="008A74EB" w:rsidP="00D4634C">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أَتى عَالِمٌ عَابِداً ، فَقَالَ لَهُ : كَيْفَ صَلَاتُكَ</w:t>
      </w:r>
      <w:r>
        <w:rPr>
          <w:rtl/>
          <w:lang w:bidi="fa-IR"/>
        </w:rPr>
        <w:t>؟</w:t>
      </w:r>
      <w:r w:rsidRPr="00C9040A">
        <w:rPr>
          <w:rtl/>
          <w:lang w:bidi="fa-IR"/>
        </w:rPr>
        <w:t xml:space="preserve"> فَقَالَ : مِثْلِي يُسْأَلُ عَنْ صَلَاتِهِ </w:t>
      </w:r>
      <w:r w:rsidR="006C577F" w:rsidRPr="006C577F">
        <w:rPr>
          <w:rStyle w:val="libFootnotenumChar"/>
          <w:rtl/>
        </w:rPr>
        <w:t>(6)</w:t>
      </w:r>
      <w:r w:rsidRPr="005B567D">
        <w:rPr>
          <w:rStyle w:val="libFootnotenumChar"/>
          <w:rtl/>
        </w:rPr>
        <w:t xml:space="preserve"> </w:t>
      </w:r>
      <w:r w:rsidRPr="00C9040A">
        <w:rPr>
          <w:rtl/>
          <w:lang w:bidi="fa-IR"/>
        </w:rPr>
        <w:t>وَأَنَا أَعْبُدُ اللهَ مُنْذُ كَذَا وَكَذَا</w:t>
      </w:r>
      <w:r>
        <w:rPr>
          <w:rtl/>
          <w:lang w:bidi="fa-IR"/>
        </w:rPr>
        <w:t>؟!</w:t>
      </w:r>
      <w:r w:rsidRPr="00C9040A">
        <w:rPr>
          <w:rtl/>
          <w:lang w:bidi="fa-IR"/>
        </w:rPr>
        <w:t xml:space="preserve"> قَالَ : فَكَيْفَ </w:t>
      </w:r>
      <w:r w:rsidR="006C577F" w:rsidRPr="006C577F">
        <w:rPr>
          <w:rStyle w:val="libFootnotenumChar"/>
          <w:rtl/>
        </w:rPr>
        <w:t>(7)</w:t>
      </w:r>
      <w:r w:rsidRPr="00C9040A">
        <w:rPr>
          <w:rtl/>
          <w:lang w:bidi="fa-IR"/>
        </w:rPr>
        <w:t xml:space="preserve"> بُكَاؤُكَ</w:t>
      </w:r>
      <w:r>
        <w:rPr>
          <w:rtl/>
          <w:lang w:bidi="fa-IR"/>
        </w:rPr>
        <w:t>؟</w:t>
      </w:r>
      <w:r w:rsidRPr="00C9040A">
        <w:rPr>
          <w:rtl/>
          <w:lang w:bidi="fa-IR"/>
        </w:rPr>
        <w:t xml:space="preserve"> قَالَ : أَبْكِي حَتّى تَجْرِيَ دُمُوعِي ، فَقَالَ لَهُ الْعَالِمُ : فَإِنَّ </w:t>
      </w:r>
      <w:r w:rsidR="006C577F" w:rsidRPr="006C577F">
        <w:rPr>
          <w:rStyle w:val="libFootnotenumChar"/>
          <w:rtl/>
        </w:rPr>
        <w:t>(8)</w:t>
      </w:r>
      <w:r w:rsidRPr="00C9040A">
        <w:rPr>
          <w:rtl/>
          <w:lang w:bidi="fa-IR"/>
        </w:rPr>
        <w:t xml:space="preserve"> ضَحِكَكَ</w:t>
      </w:r>
      <w:r>
        <w:rPr>
          <w:rtl/>
          <w:lang w:bidi="fa-IR"/>
        </w:rPr>
        <w:t xml:space="preserve"> </w:t>
      </w:r>
      <w:r w:rsidR="0084262C">
        <w:rPr>
          <w:rtl/>
          <w:lang w:bidi="fa-IR"/>
        </w:rPr>
        <w:t>-</w:t>
      </w:r>
      <w:r>
        <w:rPr>
          <w:rtl/>
          <w:lang w:bidi="fa-IR"/>
        </w:rPr>
        <w:t xml:space="preserve"> </w:t>
      </w:r>
      <w:r w:rsidRPr="00C9040A">
        <w:rPr>
          <w:rtl/>
          <w:lang w:bidi="fa-IR"/>
        </w:rPr>
        <w:t xml:space="preserve">وَأَنْتَ خَائِفٌ </w:t>
      </w:r>
      <w:r w:rsidR="006C577F" w:rsidRPr="006C577F">
        <w:rPr>
          <w:rStyle w:val="libFootnotenumChar"/>
          <w:rtl/>
        </w:rPr>
        <w:t>(9)</w:t>
      </w:r>
      <w:r>
        <w:rPr>
          <w:rtl/>
          <w:lang w:bidi="fa-IR"/>
        </w:rPr>
        <w:t xml:space="preserve"> </w:t>
      </w:r>
      <w:r w:rsidR="0084262C">
        <w:rPr>
          <w:rtl/>
          <w:lang w:bidi="fa-IR"/>
        </w:rPr>
        <w:t>-</w:t>
      </w:r>
      <w:r>
        <w:rPr>
          <w:rtl/>
          <w:lang w:bidi="fa-IR"/>
        </w:rPr>
        <w:t xml:space="preserve"> </w:t>
      </w:r>
      <w:r w:rsidRPr="00C9040A">
        <w:rPr>
          <w:rtl/>
          <w:lang w:bidi="fa-IR"/>
        </w:rPr>
        <w:t xml:space="preserve">أَفْضَلُ </w:t>
      </w:r>
      <w:r w:rsidR="006C577F" w:rsidRPr="006C577F">
        <w:rPr>
          <w:rStyle w:val="libFootnotenumChar"/>
          <w:rtl/>
        </w:rPr>
        <w:t>(10)</w:t>
      </w:r>
      <w:r w:rsidRPr="00C9040A">
        <w:rPr>
          <w:rtl/>
          <w:lang w:bidi="fa-IR"/>
        </w:rPr>
        <w:t xml:space="preserve"> مِنْ بُكَائِكَ وَأَنْتَ مُدِلٌّ </w:t>
      </w:r>
      <w:r w:rsidR="006C577F" w:rsidRPr="006C577F">
        <w:rPr>
          <w:rStyle w:val="libFootnotenumChar"/>
          <w:rtl/>
        </w:rPr>
        <w:t>(11)</w:t>
      </w:r>
      <w:r w:rsidRPr="00C9040A">
        <w:rPr>
          <w:rtl/>
          <w:lang w:bidi="fa-IR"/>
        </w:rPr>
        <w:t xml:space="preserve"> ؛ إِنَّ الْمُدِلَّ لَايَصْعَدُ مِنْ عَمَلِهِ شَيْ‌ءٌ »</w:t>
      </w:r>
      <w:r>
        <w:rPr>
          <w:rtl/>
          <w:lang w:bidi="fa-IR"/>
        </w:rPr>
        <w:t>.</w:t>
      </w:r>
      <w:r w:rsidRPr="00C9040A">
        <w:rPr>
          <w:rtl/>
          <w:lang w:bidi="fa-IR"/>
        </w:rPr>
        <w:t xml:space="preserve"> </w:t>
      </w:r>
      <w:r w:rsidR="006C577F" w:rsidRPr="006C577F">
        <w:rPr>
          <w:rStyle w:val="libFootnotenumChar"/>
          <w:rtl/>
        </w:rPr>
        <w:t>(12)</w:t>
      </w:r>
    </w:p>
    <w:p w:rsidR="008A74EB" w:rsidRPr="00C9040A" w:rsidRDefault="008A74EB" w:rsidP="008A74EB">
      <w:pPr>
        <w:pStyle w:val="libNormal"/>
        <w:rPr>
          <w:rtl/>
          <w:lang w:bidi="fa-IR"/>
        </w:rPr>
      </w:pPr>
      <w:r w:rsidRPr="00180173">
        <w:rPr>
          <w:rtl/>
        </w:rPr>
        <w:t>2583</w:t>
      </w:r>
      <w:r w:rsidRPr="00261CB0">
        <w:rPr>
          <w:rStyle w:val="libBold2Char"/>
          <w:rtl/>
        </w:rPr>
        <w:t xml:space="preserve"> / 6.</w:t>
      </w:r>
      <w:r w:rsidRPr="00C9040A">
        <w:rPr>
          <w:rtl/>
          <w:lang w:bidi="fa-IR"/>
        </w:rPr>
        <w:t xml:space="preserve"> عَنْهُ ، عَنْ أَحْمَدَ بْنِ مُحَمَّدٍ ، عَنْ أَحْمَدَ بْنِ أَبِي دَاوُدَ ، عَنْ بَعْضِ أَصْحَابِنَا </w:t>
      </w:r>
      <w:r w:rsidRPr="005B567D">
        <w:rPr>
          <w:rStyle w:val="libFootnotenumChar"/>
          <w:rtl/>
        </w:rPr>
        <w:t>(13)</w:t>
      </w:r>
      <w:r w:rsidRPr="00C9040A">
        <w:rPr>
          <w:rtl/>
          <w:lang w:bidi="fa-IR"/>
        </w:rPr>
        <w:t xml:space="preserve"> :</w:t>
      </w:r>
    </w:p>
    <w:p w:rsidR="008A74EB" w:rsidRPr="00C9040A" w:rsidRDefault="008A74EB" w:rsidP="008A74EB">
      <w:pPr>
        <w:pStyle w:val="libNormal"/>
        <w:rPr>
          <w:rtl/>
          <w:lang w:bidi="fa-IR"/>
        </w:rPr>
      </w:pPr>
      <w:r w:rsidRPr="00C9040A">
        <w:rPr>
          <w:rtl/>
          <w:lang w:bidi="fa-IR"/>
        </w:rPr>
        <w:t xml:space="preserve">عَنْ أَحَدِهِمَا </w:t>
      </w:r>
      <w:r w:rsidRPr="0003660B">
        <w:rPr>
          <w:rStyle w:val="libAlaemChar"/>
          <w:rtl/>
        </w:rPr>
        <w:t>عليهما‌السلام</w:t>
      </w:r>
      <w:r w:rsidRPr="00C9040A">
        <w:rPr>
          <w:rtl/>
          <w:lang w:bidi="fa-IR"/>
        </w:rPr>
        <w:t xml:space="preserve"> ، قَالَ : « دَخَلَ رَجُلَانِ الْمَسْجِدَ </w:t>
      </w:r>
      <w:r w:rsidRPr="005B567D">
        <w:rPr>
          <w:rStyle w:val="libFootnotenumChar"/>
          <w:rtl/>
        </w:rPr>
        <w:t>(14)</w:t>
      </w:r>
      <w:r w:rsidRPr="00C9040A">
        <w:rPr>
          <w:rtl/>
          <w:lang w:bidi="fa-IR"/>
        </w:rPr>
        <w:t xml:space="preserve"> : أَحَدُهُمَا عَابِدٌ ، وَالْآخَرُ فَاسِقٌ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حاشية « بس » : + « فلا يكون على حاله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بس » : « ذلك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مرآة العقول </w:t>
      </w:r>
      <w:r w:rsidR="008A74EB">
        <w:rPr>
          <w:rtl/>
        </w:rPr>
        <w:t xml:space="preserve">: </w:t>
      </w:r>
      <w:r w:rsidR="0084262C">
        <w:rPr>
          <w:rtl/>
        </w:rPr>
        <w:t>-</w:t>
      </w:r>
      <w:r w:rsidR="008A74EB" w:rsidRPr="00C9040A">
        <w:rPr>
          <w:rtl/>
        </w:rPr>
        <w:t xml:space="preserve"> « له »</w:t>
      </w:r>
      <w:r w:rsidR="008A74EB">
        <w:rPr>
          <w:rtl/>
        </w:rPr>
        <w:t>.</w:t>
      </w:r>
    </w:p>
    <w:p w:rsidR="008A74EB" w:rsidRPr="00C9040A" w:rsidRDefault="006C577F" w:rsidP="00D4634C">
      <w:pPr>
        <w:pStyle w:val="libFootnote0"/>
        <w:rPr>
          <w:rtl/>
          <w:lang w:bidi="fa-IR"/>
        </w:rPr>
      </w:pPr>
      <w:r>
        <w:rPr>
          <w:rtl/>
        </w:rPr>
        <w:t>(4).</w:t>
      </w:r>
      <w:r w:rsidR="008A74EB" w:rsidRPr="00C9040A">
        <w:rPr>
          <w:rtl/>
        </w:rPr>
        <w:t xml:space="preserve"> </w:t>
      </w:r>
      <w:r w:rsidR="008A74EB" w:rsidRPr="00993B55">
        <w:rPr>
          <w:rStyle w:val="libFootnoteBoldChar"/>
          <w:rtl/>
        </w:rPr>
        <w:t>الزهد</w:t>
      </w:r>
      <w:r w:rsidR="008A74EB" w:rsidRPr="00C9040A">
        <w:rPr>
          <w:rtl/>
        </w:rPr>
        <w:t xml:space="preserve"> ، ص 136 ، ح 181 ، عن محمّد بن أبي عمير</w:t>
      </w:r>
      <w:r w:rsidR="00D4634C">
        <w:rPr>
          <w:rFonts w:hint="cs"/>
          <w:rtl/>
        </w:rPr>
        <w:t>.</w:t>
      </w:r>
      <w:r w:rsidR="008A74EB" w:rsidRPr="00993B55">
        <w:rPr>
          <w:rStyle w:val="libFootnoteBoldChar"/>
          <w:rtl/>
        </w:rPr>
        <w:t>الوافي</w:t>
      </w:r>
      <w:r w:rsidR="008A74EB" w:rsidRPr="00C9040A">
        <w:rPr>
          <w:rtl/>
        </w:rPr>
        <w:t xml:space="preserve"> ، ج 5 ، ص 879 ، ح 3208 ؛ </w:t>
      </w:r>
      <w:r w:rsidR="008A74EB" w:rsidRPr="00993B55">
        <w:rPr>
          <w:rStyle w:val="libFootnoteBoldChar"/>
          <w:rtl/>
        </w:rPr>
        <w:t>الوسائل</w:t>
      </w:r>
      <w:r w:rsidR="008A74EB" w:rsidRPr="00C9040A">
        <w:rPr>
          <w:rtl/>
        </w:rPr>
        <w:t xml:space="preserve"> ، ج 1 ، ص 99 ، ح 237 ؛ </w:t>
      </w:r>
      <w:r w:rsidR="008A74EB" w:rsidRPr="00993B55">
        <w:rPr>
          <w:rStyle w:val="libFootnoteBoldChar"/>
          <w:rtl/>
        </w:rPr>
        <w:t>البحار</w:t>
      </w:r>
      <w:r w:rsidR="008A74EB" w:rsidRPr="00C9040A">
        <w:rPr>
          <w:rtl/>
        </w:rPr>
        <w:t xml:space="preserve"> ، ج 72 ، ص 311 ، ح 5.</w:t>
      </w:r>
    </w:p>
    <w:p w:rsidR="008A74EB" w:rsidRPr="00C9040A" w:rsidRDefault="006C577F" w:rsidP="004A4E41">
      <w:pPr>
        <w:pStyle w:val="libFootnote0"/>
        <w:rPr>
          <w:rtl/>
          <w:lang w:bidi="fa-IR"/>
        </w:rPr>
      </w:pPr>
      <w:r>
        <w:rPr>
          <w:rtl/>
        </w:rPr>
        <w:t>(5).</w:t>
      </w:r>
      <w:r w:rsidR="008A74EB" w:rsidRPr="00C9040A">
        <w:rPr>
          <w:rtl/>
        </w:rPr>
        <w:t xml:space="preserve"> في « ص ، بر ، بس ، بف » : « نصر »</w:t>
      </w:r>
      <w:r w:rsidR="008A74EB">
        <w:rPr>
          <w:rtl/>
        </w:rPr>
        <w:t>.</w:t>
      </w:r>
      <w:r w:rsidR="008A74EB" w:rsidRPr="00C9040A">
        <w:rPr>
          <w:rtl/>
        </w:rPr>
        <w:t xml:space="preserve"> وهو سهو. وابن قِرواش هذا ، هو النضر بن قِرواش الجمّال. راجع : </w:t>
      </w:r>
      <w:r w:rsidR="008A74EB" w:rsidRPr="00993B55">
        <w:rPr>
          <w:rStyle w:val="libFootnoteBoldChar"/>
          <w:rtl/>
        </w:rPr>
        <w:t>رجال‌البرقي</w:t>
      </w:r>
      <w:r w:rsidR="008A74EB" w:rsidRPr="00C9040A">
        <w:rPr>
          <w:rtl/>
        </w:rPr>
        <w:t xml:space="preserve"> ، ص 41 ؛ </w:t>
      </w:r>
      <w:r w:rsidR="008A74EB" w:rsidRPr="00993B55">
        <w:rPr>
          <w:rStyle w:val="libFootnoteBoldChar"/>
          <w:rtl/>
        </w:rPr>
        <w:t>رجال الطوسي</w:t>
      </w:r>
      <w:r w:rsidR="008A74EB" w:rsidRPr="00C9040A">
        <w:rPr>
          <w:rtl/>
        </w:rPr>
        <w:t xml:space="preserve"> ، ص 315 ، الرقم 4685.</w:t>
      </w:r>
    </w:p>
    <w:tbl>
      <w:tblPr>
        <w:tblStyle w:val="TableGrid"/>
        <w:bidiVisual/>
        <w:tblW w:w="0" w:type="auto"/>
        <w:tblLook w:val="04A0" w:firstRow="1" w:lastRow="0" w:firstColumn="1" w:lastColumn="0" w:noHBand="0" w:noVBand="1"/>
      </w:tblPr>
      <w:tblGrid>
        <w:gridCol w:w="4006"/>
        <w:gridCol w:w="4006"/>
      </w:tblGrid>
      <w:tr w:rsidR="00D4634C" w:rsidTr="00D4634C">
        <w:tc>
          <w:tcPr>
            <w:tcW w:w="4006" w:type="dxa"/>
          </w:tcPr>
          <w:p w:rsidR="00D4634C" w:rsidRDefault="00D4634C" w:rsidP="004A4E41">
            <w:pPr>
              <w:pStyle w:val="libFootnote0"/>
              <w:rPr>
                <w:rtl/>
              </w:rPr>
            </w:pPr>
            <w:r>
              <w:rPr>
                <w:rtl/>
              </w:rPr>
              <w:t xml:space="preserve">(6). </w:t>
            </w:r>
            <w:r w:rsidRPr="00C9040A">
              <w:rPr>
                <w:rtl/>
              </w:rPr>
              <w:t>في البحار : « عبادته »</w:t>
            </w:r>
            <w:r>
              <w:rPr>
                <w:rtl/>
              </w:rPr>
              <w:t>.</w:t>
            </w:r>
          </w:p>
        </w:tc>
        <w:tc>
          <w:tcPr>
            <w:tcW w:w="4006" w:type="dxa"/>
          </w:tcPr>
          <w:p w:rsidR="00D4634C" w:rsidRDefault="00D4634C" w:rsidP="004A4E41">
            <w:pPr>
              <w:pStyle w:val="libFootnote0"/>
              <w:rPr>
                <w:rtl/>
              </w:rPr>
            </w:pPr>
            <w:r>
              <w:rPr>
                <w:rtl/>
              </w:rPr>
              <w:t>(7).</w:t>
            </w:r>
            <w:r w:rsidRPr="00C9040A">
              <w:rPr>
                <w:rtl/>
              </w:rPr>
              <w:t xml:space="preserve"> في « ز » والبحار والزهد : « كيف »</w:t>
            </w:r>
            <w:r>
              <w:rPr>
                <w:rtl/>
              </w:rPr>
              <w:t>.</w:t>
            </w:r>
          </w:p>
        </w:tc>
      </w:tr>
      <w:tr w:rsidR="00D4634C" w:rsidTr="00D4634C">
        <w:tc>
          <w:tcPr>
            <w:tcW w:w="4006" w:type="dxa"/>
          </w:tcPr>
          <w:p w:rsidR="00D4634C" w:rsidRDefault="00D4634C" w:rsidP="004A4E41">
            <w:pPr>
              <w:pStyle w:val="libFootnote0"/>
              <w:rPr>
                <w:rtl/>
              </w:rPr>
            </w:pPr>
            <w:r>
              <w:rPr>
                <w:rtl/>
              </w:rPr>
              <w:t>(8).</w:t>
            </w:r>
            <w:r w:rsidRPr="00C9040A">
              <w:rPr>
                <w:rtl/>
              </w:rPr>
              <w:t xml:space="preserve"> في « </w:t>
            </w:r>
            <w:r>
              <w:rPr>
                <w:rtl/>
              </w:rPr>
              <w:t xml:space="preserve">ه </w:t>
            </w:r>
            <w:r w:rsidRPr="00C9040A">
              <w:rPr>
                <w:rtl/>
              </w:rPr>
              <w:t>، بف » : « إنّ »</w:t>
            </w:r>
            <w:r>
              <w:rPr>
                <w:rtl/>
              </w:rPr>
              <w:t>.</w:t>
            </w:r>
          </w:p>
        </w:tc>
        <w:tc>
          <w:tcPr>
            <w:tcW w:w="4006" w:type="dxa"/>
          </w:tcPr>
          <w:p w:rsidR="00D4634C" w:rsidRDefault="00D4634C" w:rsidP="004A4E41">
            <w:pPr>
              <w:pStyle w:val="libFootnote0"/>
              <w:rPr>
                <w:rtl/>
              </w:rPr>
            </w:pPr>
            <w:r>
              <w:rPr>
                <w:rtl/>
              </w:rPr>
              <w:t>(9).</w:t>
            </w:r>
            <w:r w:rsidRPr="00C9040A">
              <w:rPr>
                <w:rtl/>
              </w:rPr>
              <w:t xml:space="preserve"> في فقه الرضا : « عارف بالله » بدل « خائف »</w:t>
            </w:r>
            <w:r>
              <w:rPr>
                <w:rtl/>
              </w:rPr>
              <w:t>.</w:t>
            </w:r>
          </w:p>
        </w:tc>
      </w:tr>
    </w:tbl>
    <w:p w:rsidR="008A74EB" w:rsidRPr="00C9040A" w:rsidRDefault="006C577F" w:rsidP="004A4E41">
      <w:pPr>
        <w:pStyle w:val="libFootnote0"/>
        <w:rPr>
          <w:rtl/>
          <w:lang w:bidi="fa-IR"/>
        </w:rPr>
      </w:pPr>
      <w:r>
        <w:rPr>
          <w:rtl/>
        </w:rPr>
        <w:t>(10).</w:t>
      </w:r>
      <w:r w:rsidR="008A74EB" w:rsidRPr="00C9040A">
        <w:rPr>
          <w:rtl/>
        </w:rPr>
        <w:t xml:space="preserve"> في « ز » والوافي : « خير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 أنت مدلّ » : واثق بعملك ، من قولهم : هو يدلّ بفلان ، أي يثق به. </w:t>
      </w:r>
      <w:r w:rsidR="008A74EB" w:rsidRPr="00993B55">
        <w:rPr>
          <w:rStyle w:val="libFootnoteBoldChar"/>
          <w:rtl/>
        </w:rPr>
        <w:t>الصحاح</w:t>
      </w:r>
      <w:r w:rsidR="008A74EB" w:rsidRPr="00C9040A">
        <w:rPr>
          <w:rtl/>
        </w:rPr>
        <w:t xml:space="preserve"> ، ج 4 ، ص 1699 ( دلل )</w:t>
      </w:r>
      <w:r w:rsidR="008A74EB">
        <w:rPr>
          <w:rtl/>
        </w:rPr>
        <w:t>.</w:t>
      </w:r>
    </w:p>
    <w:p w:rsidR="008A74EB" w:rsidRPr="00C9040A" w:rsidRDefault="006C577F" w:rsidP="00C003D0">
      <w:pPr>
        <w:pStyle w:val="libFootnote0"/>
        <w:rPr>
          <w:rtl/>
          <w:lang w:bidi="fa-IR"/>
        </w:rPr>
      </w:pPr>
      <w:r>
        <w:rPr>
          <w:rtl/>
        </w:rPr>
        <w:t>(12).</w:t>
      </w:r>
      <w:r w:rsidR="008A74EB" w:rsidRPr="00C9040A">
        <w:rPr>
          <w:rtl/>
        </w:rPr>
        <w:t xml:space="preserve"> </w:t>
      </w:r>
      <w:r w:rsidR="008A74EB" w:rsidRPr="00993B55">
        <w:rPr>
          <w:rStyle w:val="libFootnoteBoldChar"/>
          <w:rtl/>
        </w:rPr>
        <w:t>الزهد</w:t>
      </w:r>
      <w:r w:rsidR="008A74EB" w:rsidRPr="00C9040A">
        <w:rPr>
          <w:rtl/>
        </w:rPr>
        <w:t xml:space="preserve"> ، ص 132 ، ح 171 ، عن النضر بن سويد ، عن محمّد بن سنان ، عن إسحاق بن عمّار ، عن أبي عبدالله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فقه الرضا</w:t>
      </w:r>
      <w:r w:rsidR="008A74EB" w:rsidRPr="00C9040A">
        <w:rPr>
          <w:rtl/>
        </w:rPr>
        <w:t xml:space="preserve"> </w:t>
      </w:r>
      <w:r w:rsidR="00117575" w:rsidRPr="00117575">
        <w:rPr>
          <w:rStyle w:val="libFootnoteAlaemChar"/>
          <w:rtl/>
        </w:rPr>
        <w:t>عليه‌السلام</w:t>
      </w:r>
      <w:r w:rsidR="008A74EB" w:rsidRPr="00C9040A">
        <w:rPr>
          <w:rtl/>
        </w:rPr>
        <w:t xml:space="preserve"> ، ص 388 ، وفيهما مع اختلاف يسير</w:t>
      </w:r>
      <w:r w:rsidR="00C003D0">
        <w:rPr>
          <w:rFonts w:hint="cs"/>
          <w:rtl/>
        </w:rPr>
        <w:t>.</w:t>
      </w:r>
      <w:r w:rsidR="008A74EB" w:rsidRPr="00993B55">
        <w:rPr>
          <w:rStyle w:val="libFootnoteBoldChar"/>
          <w:rtl/>
        </w:rPr>
        <w:t>الوافي</w:t>
      </w:r>
      <w:r w:rsidR="008A74EB" w:rsidRPr="00C9040A">
        <w:rPr>
          <w:rtl/>
        </w:rPr>
        <w:t xml:space="preserve"> ، ج 5 ، ص 880 ، ح 3209 ؛ </w:t>
      </w:r>
      <w:r w:rsidR="008A74EB" w:rsidRPr="00993B55">
        <w:rPr>
          <w:rStyle w:val="libFootnoteBoldChar"/>
          <w:rtl/>
        </w:rPr>
        <w:t>الوسائل</w:t>
      </w:r>
      <w:r w:rsidR="005524D4">
        <w:rPr>
          <w:rtl/>
        </w:rPr>
        <w:t>،ج1،</w:t>
      </w:r>
      <w:r w:rsidR="008A74EB" w:rsidRPr="00C9040A">
        <w:rPr>
          <w:rtl/>
        </w:rPr>
        <w:t>ص 101</w:t>
      </w:r>
      <w:r w:rsidR="005524D4">
        <w:rPr>
          <w:rtl/>
        </w:rPr>
        <w:t>،ح242</w:t>
      </w:r>
      <w:r w:rsidR="008A74EB" w:rsidRPr="00C9040A">
        <w:rPr>
          <w:rtl/>
        </w:rPr>
        <w:t>؛</w:t>
      </w:r>
      <w:r w:rsidR="008A74EB" w:rsidRPr="00993B55">
        <w:rPr>
          <w:rStyle w:val="libFootnoteBoldChar"/>
          <w:rtl/>
        </w:rPr>
        <w:t>البحار</w:t>
      </w:r>
      <w:r w:rsidR="005524D4">
        <w:rPr>
          <w:rtl/>
        </w:rPr>
        <w:t xml:space="preserve">،ج72،ص307،ح </w:t>
      </w:r>
      <w:r w:rsidR="008A74EB" w:rsidRPr="00C9040A">
        <w:rPr>
          <w:rtl/>
        </w:rPr>
        <w:t>.</w:t>
      </w:r>
      <w:r w:rsidR="005524D4">
        <w:rPr>
          <w:rFonts w:hint="cs"/>
          <w:rtl/>
        </w:rPr>
        <w:t xml:space="preserve"> </w:t>
      </w:r>
      <w:r w:rsidR="008A74EB">
        <w:rPr>
          <w:rtl/>
        </w:rPr>
        <w:t>(13)</w:t>
      </w:r>
      <w:r w:rsidR="008A74EB" w:rsidRPr="00C9040A">
        <w:rPr>
          <w:rtl/>
        </w:rPr>
        <w:t xml:space="preserve"> في « د ، </w:t>
      </w:r>
      <w:r w:rsidR="006D3162">
        <w:rPr>
          <w:rtl/>
        </w:rPr>
        <w:t xml:space="preserve">ه </w:t>
      </w:r>
      <w:r w:rsidR="008A74EB" w:rsidRPr="00C9040A">
        <w:rPr>
          <w:rtl/>
        </w:rPr>
        <w:t>» والوافي : « أصحابه »</w:t>
      </w:r>
      <w:r w:rsidR="008A74EB">
        <w:rPr>
          <w:rtl/>
        </w:rPr>
        <w:t>.</w:t>
      </w:r>
    </w:p>
    <w:p w:rsidR="008A74EB" w:rsidRPr="00C9040A" w:rsidRDefault="008A74EB" w:rsidP="004A4E41">
      <w:pPr>
        <w:pStyle w:val="libFootnote0"/>
        <w:rPr>
          <w:rtl/>
          <w:lang w:bidi="fa-IR"/>
        </w:rPr>
      </w:pPr>
      <w:r>
        <w:rPr>
          <w:rtl/>
        </w:rPr>
        <w:t>(14)</w:t>
      </w:r>
      <w:r w:rsidRPr="00C9040A">
        <w:rPr>
          <w:rtl/>
        </w:rPr>
        <w:t xml:space="preserve"> في « ز » : « المسجد رجلان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فَخَرَجَا مِنَ الْمَسْجِدِ وَالْفَاسِقُ صِدِّيقٌ </w:t>
      </w:r>
      <w:r w:rsidR="006C577F" w:rsidRPr="006C577F">
        <w:rPr>
          <w:rStyle w:val="libFootnotenumChar"/>
          <w:rtl/>
        </w:rPr>
        <w:t>(1)</w:t>
      </w:r>
      <w:r w:rsidRPr="00C9040A">
        <w:rPr>
          <w:rtl/>
          <w:lang w:bidi="fa-IR"/>
        </w:rPr>
        <w:t xml:space="preserve"> ، وَالْعَابِدُ فَاسِقٌ ، وَذلِكَ أَنَّهُ يَدْخُلُ الْعَابِدُ الْمَسْجِدَ مُدِلًّا بِعِبَادَتِهِ يُدِلُّ بِهَا ، فَتَكُونُ </w:t>
      </w:r>
      <w:r w:rsidR="006C577F" w:rsidRPr="006C577F">
        <w:rPr>
          <w:rStyle w:val="libFootnotenumChar"/>
          <w:rtl/>
        </w:rPr>
        <w:t>(2)</w:t>
      </w:r>
      <w:r w:rsidRPr="00C9040A">
        <w:rPr>
          <w:rtl/>
          <w:lang w:bidi="fa-IR"/>
        </w:rPr>
        <w:t xml:space="preserve"> فِكْرَتُهُ فِي ذلِكَ ، وَتَكُونُ </w:t>
      </w:r>
      <w:r w:rsidR="006C577F" w:rsidRPr="006C577F">
        <w:rPr>
          <w:rStyle w:val="libFootnotenumChar"/>
          <w:rtl/>
        </w:rPr>
        <w:t>(3)</w:t>
      </w:r>
      <w:r w:rsidRPr="00C9040A">
        <w:rPr>
          <w:rtl/>
          <w:lang w:bidi="fa-IR"/>
        </w:rPr>
        <w:t xml:space="preserve"> فِكْرَةُ الْفَاسِقِ فِي التَّنَدُّمِ عَلى </w:t>
      </w:r>
      <w:r w:rsidR="006C577F" w:rsidRPr="006C577F">
        <w:rPr>
          <w:rStyle w:val="libFootnotenumChar"/>
          <w:rtl/>
        </w:rPr>
        <w:t>(4)</w:t>
      </w:r>
      <w:r w:rsidRPr="00C9040A">
        <w:rPr>
          <w:rtl/>
          <w:lang w:bidi="fa-IR"/>
        </w:rPr>
        <w:t xml:space="preserve"> فِسْقِهِ ، وَيَسْتَغْفِرُ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مِمَّا صَنَعَ </w:t>
      </w:r>
      <w:r w:rsidR="006C577F" w:rsidRPr="006C577F">
        <w:rPr>
          <w:rStyle w:val="libFootnotenumChar"/>
          <w:rtl/>
        </w:rPr>
        <w:t>(5)</w:t>
      </w:r>
      <w:r w:rsidRPr="00C9040A">
        <w:rPr>
          <w:rtl/>
          <w:lang w:bidi="fa-IR"/>
        </w:rPr>
        <w:t xml:space="preserve"> مِنَ الذُّنُوبِ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Normal"/>
        <w:rPr>
          <w:rtl/>
          <w:lang w:bidi="fa-IR"/>
        </w:rPr>
      </w:pPr>
      <w:r w:rsidRPr="00180173">
        <w:rPr>
          <w:rtl/>
        </w:rPr>
        <w:t>2584</w:t>
      </w:r>
      <w:r w:rsidRPr="00261CB0">
        <w:rPr>
          <w:rStyle w:val="libBold2Char"/>
          <w:rtl/>
        </w:rPr>
        <w:t xml:space="preserve"> / 7.</w:t>
      </w:r>
      <w:r w:rsidRPr="00C9040A">
        <w:rPr>
          <w:rtl/>
          <w:lang w:bidi="fa-IR"/>
        </w:rPr>
        <w:t xml:space="preserve"> عَلِيُّ بْنُ إِبْرَاهِيمَ ، عَنْ مُحَمَّدِ بْنِ عِيسى ، عَنْ يُونُسَ ، عَنْ عَبْدِ الرَّحْمنِ بْنِ الْحَجَّاجِ ، قَالَ :</w:t>
      </w:r>
    </w:p>
    <w:p w:rsidR="008A74EB" w:rsidRPr="00C9040A" w:rsidRDefault="008A74EB" w:rsidP="008A74EB">
      <w:pPr>
        <w:pStyle w:val="libNormal"/>
        <w:rPr>
          <w:rtl/>
          <w:lang w:bidi="fa-IR"/>
        </w:rPr>
      </w:pPr>
      <w:r w:rsidRPr="00C9040A">
        <w:rPr>
          <w:rtl/>
          <w:lang w:bidi="fa-IR"/>
        </w:rPr>
        <w:t xml:space="preserve">قُلْتُ لِأَبِي عَبْدِ اللهِ </w:t>
      </w:r>
      <w:r w:rsidRPr="0003660B">
        <w:rPr>
          <w:rStyle w:val="libAlaemChar"/>
          <w:rtl/>
        </w:rPr>
        <w:t>عليه‌السلام</w:t>
      </w:r>
      <w:r w:rsidRPr="00C9040A">
        <w:rPr>
          <w:rtl/>
          <w:lang w:bidi="fa-IR"/>
        </w:rPr>
        <w:t xml:space="preserve"> : الرَّجُلُ يَعْمَلُ الْعَمَلَ وَهُوَ خَائِفٌ مُشْفِقٌ ، ثُمَّ يَعْمَلُ شَيْئاً </w:t>
      </w:r>
      <w:r w:rsidR="006C577F" w:rsidRPr="006C577F">
        <w:rPr>
          <w:rStyle w:val="libFootnotenumChar"/>
          <w:rtl/>
        </w:rPr>
        <w:t>(7)</w:t>
      </w:r>
      <w:r w:rsidRPr="00C9040A">
        <w:rPr>
          <w:rtl/>
          <w:lang w:bidi="fa-IR"/>
        </w:rPr>
        <w:t xml:space="preserve"> مِنَ الْبِرِّ ، فَيَدْخُلُهُ شِبْهُ الْعُجْبِ بِهِ </w:t>
      </w:r>
      <w:r w:rsidR="006C577F" w:rsidRPr="006C577F">
        <w:rPr>
          <w:rStyle w:val="libFootnotenumChar"/>
          <w:rtl/>
        </w:rPr>
        <w:t>(8)</w:t>
      </w:r>
      <w:r w:rsidRPr="00C9040A">
        <w:rPr>
          <w:rtl/>
          <w:lang w:bidi="fa-IR"/>
        </w:rPr>
        <w:t xml:space="preserve"> ، فَقَالَ : « هُوَ فِي حَالِهِ الْأُولى</w:t>
      </w:r>
      <w:r>
        <w:rPr>
          <w:rtl/>
          <w:lang w:bidi="fa-IR"/>
        </w:rPr>
        <w:t xml:space="preserve"> </w:t>
      </w:r>
      <w:r w:rsidR="0084262C">
        <w:rPr>
          <w:rtl/>
          <w:lang w:bidi="fa-IR"/>
        </w:rPr>
        <w:t>-</w:t>
      </w:r>
      <w:r>
        <w:rPr>
          <w:rtl/>
          <w:lang w:bidi="fa-IR"/>
        </w:rPr>
        <w:t xml:space="preserve"> </w:t>
      </w:r>
      <w:r w:rsidRPr="00C9040A">
        <w:rPr>
          <w:rtl/>
          <w:lang w:bidi="fa-IR"/>
        </w:rPr>
        <w:t>وَهُوَ خَائِفٌ</w:t>
      </w:r>
      <w:r>
        <w:rPr>
          <w:rtl/>
          <w:lang w:bidi="fa-IR"/>
        </w:rPr>
        <w:t xml:space="preserve"> </w:t>
      </w:r>
      <w:r w:rsidR="0084262C">
        <w:rPr>
          <w:rtl/>
          <w:lang w:bidi="fa-IR"/>
        </w:rPr>
        <w:t>-</w:t>
      </w:r>
      <w:r>
        <w:rPr>
          <w:rtl/>
          <w:lang w:bidi="fa-IR"/>
        </w:rPr>
        <w:t xml:space="preserve"> </w:t>
      </w:r>
      <w:r w:rsidRPr="00C9040A">
        <w:rPr>
          <w:rtl/>
          <w:lang w:bidi="fa-IR"/>
        </w:rPr>
        <w:t xml:space="preserve">أَحْسَنُ حَالاً </w:t>
      </w:r>
      <w:r w:rsidR="006C577F" w:rsidRPr="006C577F">
        <w:rPr>
          <w:rStyle w:val="libFootnotenumChar"/>
          <w:rtl/>
        </w:rPr>
        <w:t>(9)</w:t>
      </w:r>
      <w:r w:rsidRPr="00C9040A">
        <w:rPr>
          <w:rtl/>
          <w:lang w:bidi="fa-IR"/>
        </w:rPr>
        <w:t xml:space="preserve"> مِنْهُ فِي حَالِ عُجْبِهِ »</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Normal"/>
        <w:rPr>
          <w:rtl/>
          <w:lang w:bidi="fa-IR"/>
        </w:rPr>
      </w:pPr>
      <w:r w:rsidRPr="00180173">
        <w:rPr>
          <w:rtl/>
        </w:rPr>
        <w:t>2585</w:t>
      </w:r>
      <w:r w:rsidRPr="00261CB0">
        <w:rPr>
          <w:rStyle w:val="libBold2Char"/>
          <w:rtl/>
        </w:rPr>
        <w:t xml:space="preserve"> / 8.</w:t>
      </w:r>
      <w:r w:rsidRPr="00C9040A">
        <w:rPr>
          <w:rtl/>
          <w:lang w:bidi="fa-IR"/>
        </w:rPr>
        <w:t xml:space="preserve"> عَلِيُّ بْنُ إِبْرَاهِيمَ ، عَنْ مُحَمَّدِ بْنِ عِيسَى بْنِ عُبَيْدٍ ، عَنْ يُونُسَ ، عَنْ بَعْضِ أَصْحَابِهِ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بَيْنَمَا مُوسى </w:t>
      </w:r>
      <w:r w:rsidRPr="0003660B">
        <w:rPr>
          <w:rStyle w:val="libAlaemChar"/>
          <w:rtl/>
        </w:rPr>
        <w:t>عليه‌السلام</w:t>
      </w:r>
      <w:r w:rsidRPr="00C9040A">
        <w:rPr>
          <w:rtl/>
          <w:lang w:bidi="fa-IR"/>
        </w:rPr>
        <w:t xml:space="preserve"> جَالِسٌ </w:t>
      </w:r>
      <w:r w:rsidR="006C577F" w:rsidRPr="006C577F">
        <w:rPr>
          <w:rStyle w:val="libFootnotenumChar"/>
          <w:rtl/>
        </w:rPr>
        <w:t>(11)</w:t>
      </w:r>
      <w:r w:rsidRPr="00C9040A">
        <w:rPr>
          <w:rtl/>
          <w:lang w:bidi="fa-IR"/>
        </w:rPr>
        <w:t xml:space="preserve"> إِذْ أَقْبَلَ </w:t>
      </w:r>
      <w:r w:rsidR="006C577F" w:rsidRPr="006C577F">
        <w:rPr>
          <w:rStyle w:val="libFootnotenumChar"/>
          <w:rtl/>
        </w:rPr>
        <w:t>(12)</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w:t>
      </w:r>
      <w:r w:rsidR="008A74EB" w:rsidRPr="00993B55">
        <w:rPr>
          <w:rStyle w:val="libFootnoteBoldChar"/>
          <w:rtl/>
        </w:rPr>
        <w:t>مرآة العقول</w:t>
      </w:r>
      <w:r w:rsidR="008A74EB" w:rsidRPr="00C9040A">
        <w:rPr>
          <w:rtl/>
        </w:rPr>
        <w:t xml:space="preserve"> : « صدّيق ، أي مؤمن صادق في إيمانه كثير الصدق والتصديق قولاً وفعلاً</w:t>
      </w:r>
      <w:r w:rsidR="008A74EB">
        <w:rPr>
          <w:rtl/>
        </w:rPr>
        <w:t xml:space="preserve"> ..</w:t>
      </w:r>
      <w:r w:rsidR="008A74EB" w:rsidRPr="00C9040A">
        <w:rPr>
          <w:rtl/>
        </w:rPr>
        <w:t>. وقيل لمن صدّق‌بقوله واعتقاده ، وحقّق صدقه بفعله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بر ، بف » : « فيكون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ز ، </w:t>
      </w:r>
      <w:r w:rsidR="006D3162">
        <w:rPr>
          <w:rtl/>
        </w:rPr>
        <w:t xml:space="preserve">ه </w:t>
      </w:r>
      <w:r w:rsidR="008A74EB" w:rsidRPr="00C9040A">
        <w:rPr>
          <w:rtl/>
        </w:rPr>
        <w:t>، بر » والعلل : « ويكون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w:t>
      </w:r>
      <w:r w:rsidR="006D3162">
        <w:rPr>
          <w:rtl/>
        </w:rPr>
        <w:t xml:space="preserve">ه </w:t>
      </w:r>
      <w:r w:rsidR="008A74EB" w:rsidRPr="00C9040A">
        <w:rPr>
          <w:rtl/>
        </w:rPr>
        <w:t>» : « في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w:t>
      </w:r>
      <w:r w:rsidR="006D3162">
        <w:rPr>
          <w:rtl/>
        </w:rPr>
        <w:t xml:space="preserve">ه </w:t>
      </w:r>
      <w:r w:rsidR="008A74EB" w:rsidRPr="00C9040A">
        <w:rPr>
          <w:rtl/>
        </w:rPr>
        <w:t>» بر ، بف » والوافي : « لما ذكر »</w:t>
      </w:r>
      <w:r w:rsidR="008A74EB">
        <w:rPr>
          <w:rtl/>
        </w:rPr>
        <w:t>.</w:t>
      </w:r>
    </w:p>
    <w:p w:rsidR="008A74EB" w:rsidRPr="00C9040A" w:rsidRDefault="006C577F" w:rsidP="007E51B4">
      <w:pPr>
        <w:pStyle w:val="libFootnote0"/>
        <w:rPr>
          <w:rtl/>
          <w:lang w:bidi="fa-IR"/>
        </w:rPr>
      </w:pPr>
      <w:r>
        <w:rPr>
          <w:rtl/>
        </w:rPr>
        <w:t>(6).</w:t>
      </w:r>
      <w:r w:rsidR="008A74EB">
        <w:rPr>
          <w:rtl/>
        </w:rPr>
        <w:t xml:space="preserve"> </w:t>
      </w:r>
      <w:r w:rsidR="008A74EB" w:rsidRPr="00993B55">
        <w:rPr>
          <w:rStyle w:val="libFootnoteBoldChar"/>
          <w:rtl/>
        </w:rPr>
        <w:t>علل الشرائع</w:t>
      </w:r>
      <w:r w:rsidR="008A74EB" w:rsidRPr="00C9040A">
        <w:rPr>
          <w:rtl/>
        </w:rPr>
        <w:t xml:space="preserve"> ، ص 354 ، ح 1 ، عن أبيه ، عن محمّد بن يحيى العطّار ، عن محمّد بن أحمد ، عن أحمد بن محمّد رفعه إلى أبي عبدالله </w:t>
      </w:r>
      <w:r w:rsidR="00117575" w:rsidRPr="00117575">
        <w:rPr>
          <w:rStyle w:val="libFootnoteAlaemChar"/>
          <w:rtl/>
        </w:rPr>
        <w:t>عليه‌السلام</w:t>
      </w:r>
      <w:r w:rsidR="008A74EB" w:rsidRPr="00C9040A">
        <w:rPr>
          <w:rtl/>
        </w:rPr>
        <w:t xml:space="preserve"> ، مع اختلاف يسير</w:t>
      </w:r>
      <w:r w:rsidR="007E51B4">
        <w:rPr>
          <w:rFonts w:hint="cs"/>
          <w:rtl/>
        </w:rPr>
        <w:t>.</w:t>
      </w:r>
      <w:r w:rsidR="008A74EB" w:rsidRPr="00993B55">
        <w:rPr>
          <w:rStyle w:val="libFootnoteBoldChar"/>
          <w:rtl/>
        </w:rPr>
        <w:t>الوافي</w:t>
      </w:r>
      <w:r w:rsidR="008A74EB" w:rsidRPr="00C9040A">
        <w:rPr>
          <w:rtl/>
        </w:rPr>
        <w:t xml:space="preserve"> ، ج 5 ، ص 880 ، ح 3210 ؛ </w:t>
      </w:r>
      <w:r w:rsidR="008A74EB" w:rsidRPr="00993B55">
        <w:rPr>
          <w:rStyle w:val="libFootnoteBoldChar"/>
          <w:rtl/>
        </w:rPr>
        <w:t>الوسائل</w:t>
      </w:r>
      <w:r w:rsidR="008A74EB" w:rsidRPr="00C9040A">
        <w:rPr>
          <w:rtl/>
        </w:rPr>
        <w:t xml:space="preserve"> ، ج 1 ، ص 101 ، ح 243 ؛ </w:t>
      </w:r>
      <w:r w:rsidR="008A74EB" w:rsidRPr="00993B55">
        <w:rPr>
          <w:rStyle w:val="libFootnoteBoldChar"/>
          <w:rtl/>
        </w:rPr>
        <w:t>البحار</w:t>
      </w:r>
      <w:r w:rsidR="008A74EB" w:rsidRPr="00C9040A">
        <w:rPr>
          <w:rtl/>
        </w:rPr>
        <w:t xml:space="preserve"> ، ج 72 ، ص 311 ، ح 6.</w:t>
      </w:r>
      <w:r w:rsidR="007E51B4">
        <w:rPr>
          <w:rFonts w:hint="cs"/>
          <w:rtl/>
        </w:rPr>
        <w:t xml:space="preserve">  </w:t>
      </w:r>
      <w:r>
        <w:rPr>
          <w:rtl/>
        </w:rPr>
        <w:t>(7).</w:t>
      </w:r>
      <w:r w:rsidR="008A74EB" w:rsidRPr="00C9040A">
        <w:rPr>
          <w:rtl/>
        </w:rPr>
        <w:t xml:space="preserve"> في « ص » : « عملاً »</w:t>
      </w:r>
      <w:r w:rsidR="008A74EB">
        <w:rPr>
          <w:rtl/>
        </w:rPr>
        <w:t>.</w:t>
      </w:r>
    </w:p>
    <w:tbl>
      <w:tblPr>
        <w:tblStyle w:val="TableGrid"/>
        <w:bidiVisual/>
        <w:tblW w:w="0" w:type="auto"/>
        <w:tblLook w:val="04A0" w:firstRow="1" w:lastRow="0" w:firstColumn="1" w:lastColumn="0" w:noHBand="0" w:noVBand="1"/>
      </w:tblPr>
      <w:tblGrid>
        <w:gridCol w:w="4006"/>
        <w:gridCol w:w="4006"/>
      </w:tblGrid>
      <w:tr w:rsidR="007E51B4" w:rsidTr="007E51B4">
        <w:tc>
          <w:tcPr>
            <w:tcW w:w="4006" w:type="dxa"/>
          </w:tcPr>
          <w:p w:rsidR="007E51B4" w:rsidRDefault="007E51B4" w:rsidP="004A4E41">
            <w:pPr>
              <w:pStyle w:val="libFootnote0"/>
              <w:rPr>
                <w:rtl/>
                <w:lang w:bidi="fa-IR"/>
              </w:rPr>
            </w:pPr>
            <w:r>
              <w:rPr>
                <w:rtl/>
              </w:rPr>
              <w:t>(8).</w:t>
            </w:r>
            <w:r w:rsidRPr="00C9040A">
              <w:rPr>
                <w:rtl/>
              </w:rPr>
              <w:t xml:space="preserve"> في « </w:t>
            </w:r>
            <w:r>
              <w:rPr>
                <w:rtl/>
              </w:rPr>
              <w:t xml:space="preserve">ه </w:t>
            </w:r>
            <w:r w:rsidRPr="00C9040A">
              <w:rPr>
                <w:rtl/>
              </w:rPr>
              <w:t xml:space="preserve">» </w:t>
            </w:r>
            <w:r>
              <w:rPr>
                <w:rtl/>
              </w:rPr>
              <w:t>: -</w:t>
            </w:r>
            <w:r w:rsidRPr="00C9040A">
              <w:rPr>
                <w:rtl/>
              </w:rPr>
              <w:t xml:space="preserve"> « به »</w:t>
            </w:r>
            <w:r>
              <w:rPr>
                <w:rtl/>
              </w:rPr>
              <w:t>.</w:t>
            </w:r>
          </w:p>
        </w:tc>
        <w:tc>
          <w:tcPr>
            <w:tcW w:w="4006" w:type="dxa"/>
          </w:tcPr>
          <w:p w:rsidR="007E51B4" w:rsidRDefault="007E51B4" w:rsidP="004A4E41">
            <w:pPr>
              <w:pStyle w:val="libFootnote0"/>
              <w:rPr>
                <w:rtl/>
                <w:lang w:bidi="fa-IR"/>
              </w:rPr>
            </w:pPr>
            <w:r>
              <w:rPr>
                <w:rtl/>
              </w:rPr>
              <w:t>(9).</w:t>
            </w:r>
            <w:r w:rsidRPr="00C9040A">
              <w:rPr>
                <w:rtl/>
              </w:rPr>
              <w:t xml:space="preserve"> في « ص ، بس » </w:t>
            </w:r>
            <w:r>
              <w:rPr>
                <w:rtl/>
              </w:rPr>
              <w:t>: -</w:t>
            </w:r>
            <w:r w:rsidRPr="00C9040A">
              <w:rPr>
                <w:rtl/>
              </w:rPr>
              <w:t xml:space="preserve"> « حالاً »</w:t>
            </w:r>
            <w:r>
              <w:rPr>
                <w:rtl/>
              </w:rPr>
              <w:t>.</w:t>
            </w:r>
          </w:p>
        </w:tc>
      </w:tr>
    </w:tbl>
    <w:p w:rsidR="008A74EB" w:rsidRPr="00C9040A" w:rsidRDefault="006C577F" w:rsidP="005E0FC6">
      <w:pPr>
        <w:pStyle w:val="libFootnote0"/>
        <w:rPr>
          <w:rtl/>
          <w:lang w:bidi="fa-IR"/>
        </w:rPr>
      </w:pPr>
      <w:r>
        <w:rPr>
          <w:rtl/>
        </w:rPr>
        <w:t>(10).</w:t>
      </w:r>
      <w:r w:rsidR="008A74EB" w:rsidRPr="00C9040A">
        <w:rPr>
          <w:rtl/>
        </w:rPr>
        <w:t xml:space="preserve"> </w:t>
      </w:r>
      <w:r w:rsidR="008A74EB" w:rsidRPr="00993B55">
        <w:rPr>
          <w:rStyle w:val="libFootnoteBoldChar"/>
          <w:rtl/>
        </w:rPr>
        <w:t>المحاسن</w:t>
      </w:r>
      <w:r w:rsidR="008A74EB" w:rsidRPr="00C9040A">
        <w:rPr>
          <w:rtl/>
        </w:rPr>
        <w:t xml:space="preserve"> ، ص 121 ، كتاب عقاب الأعمال ، ح 135 ، عن عبدالرحمن بن أبي نجران ، مع اختلاف يسير</w:t>
      </w:r>
      <w:r w:rsidR="005E0FC6">
        <w:rPr>
          <w:rFonts w:hint="cs"/>
          <w:rtl/>
        </w:rPr>
        <w:t>.</w:t>
      </w:r>
      <w:r w:rsidR="008A74EB" w:rsidRPr="00993B55">
        <w:rPr>
          <w:rStyle w:val="libFootnoteBoldChar"/>
          <w:rtl/>
        </w:rPr>
        <w:t>الوافي</w:t>
      </w:r>
      <w:r w:rsidR="008A74EB" w:rsidRPr="00C9040A">
        <w:rPr>
          <w:rtl/>
        </w:rPr>
        <w:t xml:space="preserve"> ، ج 5 ، ص 880 ، ح 3211 ؛ </w:t>
      </w:r>
      <w:r w:rsidR="008A74EB" w:rsidRPr="00993B55">
        <w:rPr>
          <w:rStyle w:val="libFootnoteBoldChar"/>
          <w:rtl/>
        </w:rPr>
        <w:t>الوسائل</w:t>
      </w:r>
      <w:r w:rsidR="008A74EB" w:rsidRPr="00C9040A">
        <w:rPr>
          <w:rtl/>
        </w:rPr>
        <w:t xml:space="preserve"> ، ج 1 ، ص 99 ، ح 235 ؛ </w:t>
      </w:r>
      <w:r w:rsidR="008A74EB" w:rsidRPr="00993B55">
        <w:rPr>
          <w:rStyle w:val="libFootnoteBoldChar"/>
          <w:rtl/>
        </w:rPr>
        <w:t>البحار</w:t>
      </w:r>
      <w:r w:rsidR="008A74EB" w:rsidRPr="00C9040A">
        <w:rPr>
          <w:rtl/>
        </w:rPr>
        <w:t xml:space="preserve"> ، ج 72 ، ص 312 ، ح 7.</w:t>
      </w:r>
    </w:p>
    <w:p w:rsidR="008A74EB" w:rsidRPr="00C9040A" w:rsidRDefault="006C577F" w:rsidP="004A4E41">
      <w:pPr>
        <w:pStyle w:val="libFootnote0"/>
        <w:rPr>
          <w:rtl/>
          <w:lang w:bidi="fa-IR"/>
        </w:rPr>
      </w:pPr>
      <w:r>
        <w:rPr>
          <w:rtl/>
        </w:rPr>
        <w:t>(11).</w:t>
      </w:r>
      <w:r w:rsidR="008A74EB" w:rsidRPr="00C9040A">
        <w:rPr>
          <w:rtl/>
        </w:rPr>
        <w:t xml:space="preserve"> هكذا في « ز ، بر ، بف » وحاشية « ب » والوافي. وهو مقتضى القاعدة. وفي سائر النسخ والمطبوع : « جالساً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في البحار ، ج 72 : + « عليه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إِبْلِيسُ وَعَلَيْهِ بُرْنُسٌ </w:t>
      </w:r>
      <w:r w:rsidR="006C577F" w:rsidRPr="006C577F">
        <w:rPr>
          <w:rStyle w:val="libFootnotenumChar"/>
          <w:rtl/>
        </w:rPr>
        <w:t>(1)</w:t>
      </w:r>
      <w:r w:rsidRPr="00C9040A">
        <w:rPr>
          <w:rtl/>
          <w:lang w:bidi="fa-IR"/>
        </w:rPr>
        <w:t xml:space="preserve"> ذُو أَلْوَانٍ ، فَلَمَّا دَنَا مِنْ مُوسى </w:t>
      </w:r>
      <w:r w:rsidR="006C577F" w:rsidRPr="006C577F">
        <w:rPr>
          <w:rStyle w:val="libFootnotenumChar"/>
          <w:rtl/>
        </w:rPr>
        <w:t>(2)</w:t>
      </w:r>
      <w:r w:rsidRPr="00C9040A">
        <w:rPr>
          <w:rtl/>
          <w:lang w:bidi="fa-IR"/>
        </w:rPr>
        <w:t xml:space="preserve"> </w:t>
      </w:r>
      <w:r w:rsidRPr="0003660B">
        <w:rPr>
          <w:rStyle w:val="libAlaemChar"/>
          <w:rtl/>
        </w:rPr>
        <w:t>عليه‌السلام</w:t>
      </w:r>
      <w:r w:rsidRPr="00C9040A">
        <w:rPr>
          <w:rtl/>
          <w:lang w:bidi="fa-IR"/>
        </w:rPr>
        <w:t xml:space="preserve"> خَلَعَ الْبُرْنُسَ ، وَقَامَ إِلى مُوسى ، فَسَلَّمَ عَلَيْهِ ، فَقَالَ لَهُ مُوسى : مَنْ أَنْتَ</w:t>
      </w:r>
      <w:r>
        <w:rPr>
          <w:rtl/>
          <w:lang w:bidi="fa-IR"/>
        </w:rPr>
        <w:t>؟</w:t>
      </w:r>
      <w:r w:rsidRPr="00C9040A">
        <w:rPr>
          <w:rtl/>
          <w:lang w:bidi="fa-IR"/>
        </w:rPr>
        <w:t xml:space="preserve"> فَقَالَ : أَنَا إِبْلِيسُ ، قَالَ : أَنْتَ</w:t>
      </w:r>
      <w:r>
        <w:rPr>
          <w:rtl/>
          <w:lang w:bidi="fa-IR"/>
        </w:rPr>
        <w:t>؟!</w:t>
      </w:r>
      <w:r w:rsidRPr="00C9040A">
        <w:rPr>
          <w:rtl/>
          <w:lang w:bidi="fa-IR"/>
        </w:rPr>
        <w:t xml:space="preserve"> فَلَا قَرَّبَ </w:t>
      </w:r>
      <w:r w:rsidR="006C577F" w:rsidRPr="006C577F">
        <w:rPr>
          <w:rStyle w:val="libFootnotenumChar"/>
          <w:rtl/>
        </w:rPr>
        <w:t>(3)</w:t>
      </w:r>
      <w:r w:rsidRPr="00C9040A">
        <w:rPr>
          <w:rtl/>
          <w:lang w:bidi="fa-IR"/>
        </w:rPr>
        <w:t xml:space="preserve"> اللهُ دَارَكَ ، قَالَ : إِنِّي إِنَّمَا جِئْتُ </w:t>
      </w:r>
      <w:r w:rsidR="006C577F" w:rsidRPr="006C577F">
        <w:rPr>
          <w:rStyle w:val="libFootnotenumChar"/>
          <w:rtl/>
        </w:rPr>
        <w:t>(4)</w:t>
      </w:r>
      <w:r w:rsidRPr="00C9040A">
        <w:rPr>
          <w:rtl/>
          <w:lang w:bidi="fa-IR"/>
        </w:rPr>
        <w:t xml:space="preserve"> لِأُسَلِّمَ عَلَيْكَ ؛ لِمَكَانِكَ مِنَ اللهِ »</w:t>
      </w:r>
      <w:r>
        <w:rPr>
          <w:rtl/>
          <w:lang w:bidi="fa-IR"/>
        </w:rPr>
        <w:t>.</w:t>
      </w:r>
    </w:p>
    <w:p w:rsidR="008A74EB" w:rsidRPr="00C9040A" w:rsidRDefault="008A74EB" w:rsidP="008A74EB">
      <w:pPr>
        <w:pStyle w:val="libNormal"/>
        <w:rPr>
          <w:rtl/>
          <w:lang w:bidi="fa-IR"/>
        </w:rPr>
      </w:pPr>
      <w:r w:rsidRPr="00C9040A">
        <w:rPr>
          <w:rtl/>
          <w:lang w:bidi="fa-IR"/>
        </w:rPr>
        <w:t xml:space="preserve">قَالَ : « فَقَالَ لَهُ </w:t>
      </w:r>
      <w:r w:rsidR="006C577F" w:rsidRPr="006C577F">
        <w:rPr>
          <w:rStyle w:val="libFootnotenumChar"/>
          <w:rtl/>
        </w:rPr>
        <w:t>(5)</w:t>
      </w:r>
      <w:r w:rsidRPr="00C9040A">
        <w:rPr>
          <w:rtl/>
          <w:lang w:bidi="fa-IR"/>
        </w:rPr>
        <w:t xml:space="preserve"> مُوسى </w:t>
      </w:r>
      <w:r w:rsidRPr="0003660B">
        <w:rPr>
          <w:rStyle w:val="libAlaemChar"/>
          <w:rtl/>
        </w:rPr>
        <w:t>عليه‌السلام</w:t>
      </w:r>
      <w:r w:rsidRPr="00C9040A">
        <w:rPr>
          <w:rtl/>
          <w:lang w:bidi="fa-IR"/>
        </w:rPr>
        <w:t xml:space="preserve"> : فَمَا </w:t>
      </w:r>
      <w:r w:rsidR="006C577F" w:rsidRPr="006C577F">
        <w:rPr>
          <w:rStyle w:val="libFootnotenumChar"/>
          <w:rtl/>
        </w:rPr>
        <w:t>(6)</w:t>
      </w:r>
      <w:r w:rsidRPr="005B567D">
        <w:rPr>
          <w:rStyle w:val="libFootnotenumChar"/>
          <w:rtl/>
        </w:rPr>
        <w:t xml:space="preserve"> </w:t>
      </w:r>
      <w:r w:rsidRPr="00C9040A">
        <w:rPr>
          <w:rtl/>
          <w:lang w:bidi="fa-IR"/>
        </w:rPr>
        <w:t>هذَا الْبُرْنُسُ</w:t>
      </w:r>
      <w:r>
        <w:rPr>
          <w:rtl/>
          <w:lang w:bidi="fa-IR"/>
        </w:rPr>
        <w:t>؟</w:t>
      </w:r>
      <w:r w:rsidRPr="00C9040A">
        <w:rPr>
          <w:rtl/>
          <w:lang w:bidi="fa-IR"/>
        </w:rPr>
        <w:t xml:space="preserve"> قَالَ : بِهِ أَخْتَطِفُ </w:t>
      </w:r>
      <w:r w:rsidR="006C577F" w:rsidRPr="006C577F">
        <w:rPr>
          <w:rStyle w:val="libFootnotenumChar"/>
          <w:rtl/>
        </w:rPr>
        <w:t>(7)</w:t>
      </w:r>
      <w:r w:rsidRPr="00C9040A">
        <w:rPr>
          <w:rtl/>
          <w:lang w:bidi="fa-IR"/>
        </w:rPr>
        <w:t xml:space="preserve"> قُلُوبَ بَنِي آدَمَ ، فَقَالَ </w:t>
      </w:r>
      <w:r w:rsidR="006C577F" w:rsidRPr="006C577F">
        <w:rPr>
          <w:rStyle w:val="libFootnotenumChar"/>
          <w:rtl/>
        </w:rPr>
        <w:t>(8)</w:t>
      </w:r>
      <w:r w:rsidRPr="00C9040A">
        <w:rPr>
          <w:rtl/>
          <w:lang w:bidi="fa-IR"/>
        </w:rPr>
        <w:t xml:space="preserve"> مُوسى : فَأَخْبِرْنِي بِالذَّنْبِ </w:t>
      </w:r>
      <w:r w:rsidR="006C577F" w:rsidRPr="006C577F">
        <w:rPr>
          <w:rStyle w:val="libFootnotenumChar"/>
          <w:rtl/>
        </w:rPr>
        <w:t>(9)</w:t>
      </w:r>
      <w:r w:rsidRPr="00C9040A">
        <w:rPr>
          <w:rtl/>
          <w:lang w:bidi="fa-IR"/>
        </w:rPr>
        <w:t xml:space="preserve"> الَّذِي </w:t>
      </w:r>
      <w:r w:rsidR="006C577F" w:rsidRPr="006C577F">
        <w:rPr>
          <w:rStyle w:val="libFootnotenumChar"/>
          <w:rtl/>
        </w:rPr>
        <w:t>(10)</w:t>
      </w:r>
      <w:r w:rsidRPr="00C9040A">
        <w:rPr>
          <w:rtl/>
          <w:lang w:bidi="fa-IR"/>
        </w:rPr>
        <w:t xml:space="preserve"> إِذَا </w:t>
      </w:r>
      <w:r w:rsidR="006C577F" w:rsidRPr="006C577F">
        <w:rPr>
          <w:rStyle w:val="libFootnotenumChar"/>
          <w:rtl/>
        </w:rPr>
        <w:t>(11)</w:t>
      </w:r>
      <w:r w:rsidRPr="00C9040A">
        <w:rPr>
          <w:rtl/>
          <w:lang w:bidi="fa-IR"/>
        </w:rPr>
        <w:t xml:space="preserve"> أَذْنَبَهُ </w:t>
      </w:r>
      <w:r w:rsidR="006C577F" w:rsidRPr="006C577F">
        <w:rPr>
          <w:rStyle w:val="libFootnotenumChar"/>
          <w:rtl/>
        </w:rPr>
        <w:t>(12)</w:t>
      </w:r>
      <w:r w:rsidRPr="00C9040A">
        <w:rPr>
          <w:rtl/>
          <w:lang w:bidi="fa-IR"/>
        </w:rPr>
        <w:t xml:space="preserve"> ابْنُ آدَمَ ، اسْتَحْوَذْتَ عَلَيْهِ </w:t>
      </w:r>
      <w:r w:rsidRPr="005B567D">
        <w:rPr>
          <w:rStyle w:val="libFootnotenumChar"/>
          <w:rtl/>
        </w:rPr>
        <w:t>(13)</w:t>
      </w:r>
      <w:r w:rsidRPr="00C9040A">
        <w:rPr>
          <w:rtl/>
          <w:lang w:bidi="fa-IR"/>
        </w:rPr>
        <w:t xml:space="preserve"> قَالَ </w:t>
      </w:r>
      <w:r w:rsidRPr="005B567D">
        <w:rPr>
          <w:rStyle w:val="libFootnotenumChar"/>
          <w:rtl/>
        </w:rPr>
        <w:t>(14)</w:t>
      </w:r>
      <w:r w:rsidRPr="00C9040A">
        <w:rPr>
          <w:rtl/>
          <w:lang w:bidi="fa-IR"/>
        </w:rPr>
        <w:t xml:space="preserve"> :</w:t>
      </w:r>
      <w:r>
        <w:rPr>
          <w:rFonts w:hint="cs"/>
          <w:rtl/>
          <w:lang w:bidi="fa-IR"/>
        </w:rPr>
        <w:t xml:space="preserve"> </w:t>
      </w:r>
      <w:r w:rsidRPr="00C9040A">
        <w:rPr>
          <w:rtl/>
          <w:lang w:bidi="fa-IR"/>
        </w:rPr>
        <w:t xml:space="preserve">إِذَا أَعْجَبَتْهُ نَفْسُهُ ، وَاسْتَكْثَرَ </w:t>
      </w:r>
      <w:r w:rsidRPr="005B567D">
        <w:rPr>
          <w:rStyle w:val="libFootnotenumChar"/>
          <w:rtl/>
        </w:rPr>
        <w:t>(15)</w:t>
      </w:r>
      <w:r w:rsidRPr="00C9040A">
        <w:rPr>
          <w:rtl/>
          <w:lang w:bidi="fa-IR"/>
        </w:rPr>
        <w:t xml:space="preserve"> عَمَلَهُ ، وَصَغُرَ فِي عَيْنِهِ </w:t>
      </w:r>
      <w:r w:rsidRPr="005B567D">
        <w:rPr>
          <w:rStyle w:val="libFootnotenumChar"/>
          <w:rtl/>
        </w:rPr>
        <w:t>(16)</w:t>
      </w:r>
      <w:r w:rsidRPr="00C9040A">
        <w:rPr>
          <w:rtl/>
          <w:lang w:bidi="fa-IR"/>
        </w:rPr>
        <w:t xml:space="preserve"> ذَنْبُهُ »</w:t>
      </w:r>
      <w:r>
        <w:rPr>
          <w:rtl/>
          <w:lang w:bidi="fa-IR"/>
        </w:rPr>
        <w:t>.</w:t>
      </w:r>
    </w:p>
    <w:p w:rsidR="008A74EB" w:rsidRPr="00C9040A" w:rsidRDefault="008A74EB" w:rsidP="008A74EB">
      <w:pPr>
        <w:pStyle w:val="libNormal"/>
        <w:rPr>
          <w:rtl/>
          <w:lang w:bidi="fa-IR"/>
        </w:rPr>
      </w:pPr>
      <w:r w:rsidRPr="00C9040A">
        <w:rPr>
          <w:rtl/>
          <w:lang w:bidi="fa-IR"/>
        </w:rPr>
        <w:t>وَقَالَ : « قَالَ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لِدَاوُدَ </w:t>
      </w:r>
      <w:r w:rsidRPr="0003660B">
        <w:rPr>
          <w:rStyle w:val="libAlaemChar"/>
          <w:rtl/>
        </w:rPr>
        <w:t>عليه‌السلام</w:t>
      </w:r>
      <w:r w:rsidRPr="00C9040A">
        <w:rPr>
          <w:rtl/>
          <w:lang w:bidi="fa-IR"/>
        </w:rPr>
        <w:t xml:space="preserve"> : يَا دَاوُدُ ، بَشِّرِ الْمُذْنِبِينَ ، وَأَنْذِرِ الصِّدِّيقِينَ ، قَالَ : كَيْفَ </w:t>
      </w:r>
      <w:r w:rsidRPr="005B567D">
        <w:rPr>
          <w:rStyle w:val="libFootnotenumChar"/>
          <w:rtl/>
        </w:rPr>
        <w:t>(17)</w:t>
      </w:r>
      <w:r w:rsidRPr="00C9040A">
        <w:rPr>
          <w:rtl/>
          <w:lang w:bidi="fa-IR"/>
        </w:rPr>
        <w:t xml:space="preserve"> أُبَشِّرُ الْمُذْنِبِينَ وَأُنْذِرُ الصِّدِّيقِينَ</w:t>
      </w:r>
      <w:r>
        <w:rPr>
          <w:rtl/>
          <w:lang w:bidi="fa-IR"/>
        </w:rPr>
        <w:t>؟</w:t>
      </w:r>
      <w:r w:rsidRPr="00C9040A">
        <w:rPr>
          <w:rtl/>
          <w:lang w:bidi="fa-IR"/>
        </w:rPr>
        <w:t xml:space="preserve"> قَالَ : يَا دَاوُدُ ، بَشِّرِ الْمُذْنِبِينَ أَنِّي أَقْبَلُ التَّوْبَةَ ، وَأَعْفُو عَنِ </w:t>
      </w:r>
      <w:r w:rsidRPr="005B567D">
        <w:rPr>
          <w:rStyle w:val="libFootnotenumChar"/>
          <w:rtl/>
        </w:rPr>
        <w:t>(18)</w:t>
      </w:r>
      <w:r w:rsidRPr="00C9040A">
        <w:rPr>
          <w:rtl/>
          <w:lang w:bidi="fa-IR"/>
        </w:rPr>
        <w:t xml:space="preserve"> الذَّنْبِ </w:t>
      </w:r>
      <w:r w:rsidRPr="005B567D">
        <w:rPr>
          <w:rStyle w:val="libFootnotenumChar"/>
          <w:rtl/>
        </w:rPr>
        <w:t>(19)</w:t>
      </w:r>
      <w:r w:rsidRPr="00C9040A">
        <w:rPr>
          <w:rtl/>
          <w:lang w:bidi="fa-IR"/>
        </w:rPr>
        <w:t xml:space="preserve"> ، وَأَنْذِرِ الص</w:t>
      </w:r>
      <w:r w:rsidR="005E0FC6">
        <w:rPr>
          <w:rtl/>
          <w:lang w:bidi="fa-IR"/>
        </w:rPr>
        <w:t>ِّدِّيقِينَ أَل</w:t>
      </w:r>
      <w:r w:rsidR="005E0FC6">
        <w:rPr>
          <w:rFonts w:hint="cs"/>
          <w:rtl/>
          <w:lang w:bidi="fa-IR"/>
        </w:rPr>
        <w:t>َّ</w:t>
      </w:r>
      <w:r w:rsidR="005E0FC6">
        <w:rPr>
          <w:rtl/>
          <w:lang w:bidi="fa-IR"/>
        </w:rPr>
        <w:t>ا</w:t>
      </w:r>
      <w:r w:rsidRPr="00C9040A">
        <w:rPr>
          <w:rtl/>
          <w:lang w:bidi="fa-IR"/>
        </w:rPr>
        <w:t xml:space="preserve"> يُعْجَبُوا </w:t>
      </w:r>
      <w:r w:rsidRPr="005B567D">
        <w:rPr>
          <w:rStyle w:val="libFootnotenumChar"/>
          <w:rtl/>
        </w:rPr>
        <w:t>(20)</w:t>
      </w:r>
      <w:r w:rsidRPr="00C9040A">
        <w:rPr>
          <w:rtl/>
          <w:lang w:bidi="fa-IR"/>
        </w:rPr>
        <w:t xml:space="preserve"> بِأَعْمَالِهِمْ ؛ فَإِنَّهُ لَيْسَ عَبْدٌ‌</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البُرْنس » : كلّ ثوب رأسُه منه ملتزق به ، درّاعة كان أو مِمْطراً أو جبّةً. وقيل : قلنسوة طويلة وكان النسّاك‌</w:t>
      </w:r>
      <w:r w:rsidR="005E0FC6">
        <w:rPr>
          <w:rFonts w:hint="cs"/>
          <w:rtl/>
        </w:rPr>
        <w:t xml:space="preserve"> </w:t>
      </w:r>
      <w:r w:rsidR="008A74EB" w:rsidRPr="00C9040A">
        <w:rPr>
          <w:rtl/>
        </w:rPr>
        <w:t xml:space="preserve">يلبسونها في صدر الإسلام. </w:t>
      </w:r>
      <w:r w:rsidR="008A74EB" w:rsidRPr="00993B55">
        <w:rPr>
          <w:rStyle w:val="libFootnoteBoldChar"/>
          <w:rtl/>
        </w:rPr>
        <w:t>ترتيب كتاب العين</w:t>
      </w:r>
      <w:r w:rsidR="008A74EB" w:rsidRPr="00C9040A">
        <w:rPr>
          <w:rtl/>
        </w:rPr>
        <w:t xml:space="preserve"> ، ج 1 ، ص 80 ؛ </w:t>
      </w:r>
      <w:r w:rsidR="008A74EB" w:rsidRPr="00993B55">
        <w:rPr>
          <w:rStyle w:val="libFootnoteBoldChar"/>
          <w:rtl/>
        </w:rPr>
        <w:t>لسان العرب</w:t>
      </w:r>
      <w:r w:rsidR="008A74EB" w:rsidRPr="00C9040A">
        <w:rPr>
          <w:rtl/>
        </w:rPr>
        <w:t xml:space="preserve"> ، ج 6 ، ص 26 ( برنس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ص ، </w:t>
      </w:r>
      <w:r w:rsidR="006D3162">
        <w:rPr>
          <w:rtl/>
        </w:rPr>
        <w:t xml:space="preserve">ه </w:t>
      </w:r>
      <w:r w:rsidR="008A74EB" w:rsidRPr="00C9040A">
        <w:rPr>
          <w:rtl/>
        </w:rPr>
        <w:t>، بر » : « منه » بدل « من موسى »</w:t>
      </w:r>
      <w:r w:rsidR="008A74EB">
        <w:rPr>
          <w:rtl/>
        </w:rPr>
        <w:t>.</w:t>
      </w:r>
    </w:p>
    <w:p w:rsidR="008A74EB" w:rsidRPr="00C9040A" w:rsidRDefault="006C577F" w:rsidP="005E0FC6">
      <w:pPr>
        <w:pStyle w:val="libFootnote0"/>
        <w:rPr>
          <w:rtl/>
          <w:lang w:bidi="fa-IR"/>
        </w:rPr>
      </w:pPr>
      <w:r>
        <w:rPr>
          <w:rtl/>
        </w:rPr>
        <w:t>(3).</w:t>
      </w:r>
      <w:r w:rsidR="008A74EB" w:rsidRPr="00C9040A">
        <w:rPr>
          <w:rtl/>
        </w:rPr>
        <w:t xml:space="preserve"> في « بف » : « قرن »</w:t>
      </w:r>
      <w:r w:rsidR="008A74EB">
        <w:rPr>
          <w:rtl/>
        </w:rPr>
        <w:t>.</w:t>
      </w:r>
      <w:r w:rsidR="008A74EB" w:rsidRPr="00C9040A">
        <w:rPr>
          <w:rtl/>
        </w:rPr>
        <w:t xml:space="preserve"> وفي </w:t>
      </w:r>
      <w:r w:rsidR="008A74EB" w:rsidRPr="00993B55">
        <w:rPr>
          <w:rStyle w:val="libFootnoteBoldChar"/>
          <w:rtl/>
        </w:rPr>
        <w:t>شرح المازندراني</w:t>
      </w:r>
      <w:r w:rsidR="008A74EB" w:rsidRPr="00C9040A">
        <w:rPr>
          <w:rtl/>
        </w:rPr>
        <w:t xml:space="preserve"> : « فلا قرّب الله دارك ، لعلّه كناية عن حيرته ، أو بعد منزله عن‌المؤمن »</w:t>
      </w:r>
      <w:r w:rsidR="008A74EB">
        <w:rPr>
          <w:rtl/>
        </w:rPr>
        <w:t>.</w:t>
      </w:r>
      <w:r w:rsidR="008A74EB" w:rsidRPr="00C9040A">
        <w:rPr>
          <w:rtl/>
        </w:rPr>
        <w:t xml:space="preserve"> وفي مرآة العقول : « أي لاقرّبك الله منّا ، أو من أحد. وقيل : أي حيّرك الله. وقيل : لاتكون دارك قريبة من المعمورة ؛ كناية عن تخريب داره »</w:t>
      </w:r>
      <w:r w:rsidR="008A74EB">
        <w:rPr>
          <w:rtl/>
        </w:rPr>
        <w:t>.</w:t>
      </w:r>
      <w:r w:rsidR="005D345B">
        <w:rPr>
          <w:rFonts w:hint="cs"/>
          <w:rtl/>
        </w:rPr>
        <w:t xml:space="preserve">                  </w:t>
      </w:r>
      <w:r w:rsidR="00C822D0">
        <w:rPr>
          <w:rFonts w:hint="cs"/>
          <w:rtl/>
        </w:rPr>
        <w:t xml:space="preserve">   </w:t>
      </w:r>
      <w:r w:rsidR="005D345B">
        <w:rPr>
          <w:rFonts w:hint="cs"/>
          <w:rtl/>
        </w:rPr>
        <w:t xml:space="preserve">   </w:t>
      </w:r>
      <w:r>
        <w:rPr>
          <w:rtl/>
        </w:rPr>
        <w:t>(4).</w:t>
      </w:r>
      <w:r w:rsidR="008A74EB" w:rsidRPr="00C9040A">
        <w:rPr>
          <w:rtl/>
        </w:rPr>
        <w:t xml:space="preserve"> في « </w:t>
      </w:r>
      <w:r w:rsidR="006D3162">
        <w:rPr>
          <w:rtl/>
        </w:rPr>
        <w:t xml:space="preserve">ه </w:t>
      </w:r>
      <w:r w:rsidR="008A74EB" w:rsidRPr="00C9040A">
        <w:rPr>
          <w:rtl/>
        </w:rPr>
        <w:t>» : « أحببت »</w:t>
      </w:r>
      <w:r w:rsidR="008A74EB">
        <w:rPr>
          <w:rtl/>
        </w:rPr>
        <w:t>.</w:t>
      </w:r>
    </w:p>
    <w:tbl>
      <w:tblPr>
        <w:tblStyle w:val="TableGrid"/>
        <w:bidiVisual/>
        <w:tblW w:w="0" w:type="auto"/>
        <w:tblLook w:val="04A0" w:firstRow="1" w:lastRow="0" w:firstColumn="1" w:lastColumn="0" w:noHBand="0" w:noVBand="1"/>
      </w:tblPr>
      <w:tblGrid>
        <w:gridCol w:w="4006"/>
        <w:gridCol w:w="4006"/>
      </w:tblGrid>
      <w:tr w:rsidR="005E0FC6" w:rsidTr="005E0FC6">
        <w:tc>
          <w:tcPr>
            <w:tcW w:w="4006" w:type="dxa"/>
          </w:tcPr>
          <w:p w:rsidR="005E0FC6" w:rsidRDefault="005E0FC6" w:rsidP="004A4E41">
            <w:pPr>
              <w:pStyle w:val="libFootnote0"/>
              <w:rPr>
                <w:rtl/>
                <w:lang w:bidi="fa-IR"/>
              </w:rPr>
            </w:pPr>
            <w:r>
              <w:rPr>
                <w:rtl/>
              </w:rPr>
              <w:t>(5).</w:t>
            </w:r>
            <w:r w:rsidRPr="00C9040A">
              <w:rPr>
                <w:rtl/>
              </w:rPr>
              <w:t xml:space="preserve"> في « بس » </w:t>
            </w:r>
            <w:r>
              <w:rPr>
                <w:rtl/>
              </w:rPr>
              <w:t>: -</w:t>
            </w:r>
            <w:r w:rsidRPr="00C9040A">
              <w:rPr>
                <w:rtl/>
              </w:rPr>
              <w:t xml:space="preserve"> « له »</w:t>
            </w:r>
            <w:r>
              <w:rPr>
                <w:rtl/>
              </w:rPr>
              <w:t>.</w:t>
            </w:r>
          </w:p>
        </w:tc>
        <w:tc>
          <w:tcPr>
            <w:tcW w:w="4006" w:type="dxa"/>
          </w:tcPr>
          <w:p w:rsidR="005E0FC6" w:rsidRDefault="005E0FC6" w:rsidP="004A4E41">
            <w:pPr>
              <w:pStyle w:val="libFootnote0"/>
              <w:rPr>
                <w:rtl/>
                <w:lang w:bidi="fa-IR"/>
              </w:rPr>
            </w:pPr>
            <w:r>
              <w:rPr>
                <w:rtl/>
              </w:rPr>
              <w:t xml:space="preserve">(6). </w:t>
            </w:r>
            <w:r w:rsidRPr="00C9040A">
              <w:rPr>
                <w:rtl/>
              </w:rPr>
              <w:t>في « بس » : « ما »</w:t>
            </w:r>
            <w:r>
              <w:rPr>
                <w:rtl/>
              </w:rPr>
              <w:t>.</w:t>
            </w:r>
          </w:p>
        </w:tc>
      </w:tr>
    </w:tbl>
    <w:p w:rsidR="008A74EB" w:rsidRPr="00C9040A" w:rsidRDefault="006C577F" w:rsidP="005D345B">
      <w:pPr>
        <w:pStyle w:val="libFootnote0"/>
        <w:rPr>
          <w:rtl/>
          <w:lang w:bidi="fa-IR"/>
        </w:rPr>
      </w:pPr>
      <w:r>
        <w:rPr>
          <w:rtl/>
        </w:rPr>
        <w:t>(7).</w:t>
      </w:r>
      <w:r w:rsidR="008A74EB" w:rsidRPr="00C9040A">
        <w:rPr>
          <w:rtl/>
        </w:rPr>
        <w:t xml:space="preserve"> في « ز ، بس » : « اختطفت »</w:t>
      </w:r>
      <w:r w:rsidR="008A74EB">
        <w:rPr>
          <w:rtl/>
        </w:rPr>
        <w:t>.</w:t>
      </w:r>
      <w:r w:rsidR="008A74EB" w:rsidRPr="00C9040A">
        <w:rPr>
          <w:rtl/>
        </w:rPr>
        <w:t xml:space="preserve"> والاختطاف : استلاب الشي‌ء وأخذه بسرعة. راجع : </w:t>
      </w:r>
      <w:r w:rsidR="008A74EB" w:rsidRPr="00993B55">
        <w:rPr>
          <w:rStyle w:val="libFootnoteBoldChar"/>
          <w:rtl/>
        </w:rPr>
        <w:t>النهاية</w:t>
      </w:r>
      <w:r w:rsidR="008A74EB" w:rsidRPr="00C9040A">
        <w:rPr>
          <w:rtl/>
        </w:rPr>
        <w:t xml:space="preserve"> ، ج 2 : ص 49 ؛ </w:t>
      </w:r>
      <w:r w:rsidR="008A74EB" w:rsidRPr="00993B55">
        <w:rPr>
          <w:rStyle w:val="libFootnoteBoldChar"/>
          <w:rtl/>
        </w:rPr>
        <w:t>المصباح المنير</w:t>
      </w:r>
      <w:r w:rsidR="008A74EB" w:rsidRPr="00C9040A">
        <w:rPr>
          <w:rtl/>
        </w:rPr>
        <w:t xml:space="preserve"> ، ص 174 ( خطف )</w:t>
      </w:r>
      <w:r w:rsidR="008A74EB">
        <w:rPr>
          <w:rtl/>
        </w:rPr>
        <w:t>.</w:t>
      </w:r>
      <w:r w:rsidR="005D345B">
        <w:rPr>
          <w:rFonts w:hint="cs"/>
          <w:rtl/>
        </w:rPr>
        <w:t xml:space="preserve">        </w:t>
      </w:r>
      <w:r w:rsidR="00C822D0">
        <w:rPr>
          <w:rFonts w:hint="cs"/>
          <w:rtl/>
        </w:rPr>
        <w:t xml:space="preserve"> </w:t>
      </w:r>
      <w:r w:rsidR="005D345B">
        <w:rPr>
          <w:rFonts w:hint="cs"/>
          <w:rtl/>
        </w:rPr>
        <w:t xml:space="preserve">    </w:t>
      </w:r>
      <w:r>
        <w:rPr>
          <w:rtl/>
        </w:rPr>
        <w:t>(8).</w:t>
      </w:r>
      <w:r w:rsidR="005D345B">
        <w:rPr>
          <w:rtl/>
        </w:rPr>
        <w:t xml:space="preserve"> في «ج،ز</w:t>
      </w:r>
      <w:r w:rsidR="008A74EB" w:rsidRPr="00C9040A">
        <w:rPr>
          <w:rtl/>
        </w:rPr>
        <w:t>،</w:t>
      </w:r>
      <w:r w:rsidR="005D345B">
        <w:rPr>
          <w:rtl/>
        </w:rPr>
        <w:t>ه،بر،بف»والبحار،</w:t>
      </w:r>
      <w:r w:rsidR="008A74EB" w:rsidRPr="00C9040A">
        <w:rPr>
          <w:rtl/>
        </w:rPr>
        <w:t>ج 63 : + « له »</w:t>
      </w:r>
      <w:r w:rsidR="008A74EB">
        <w:rPr>
          <w:rtl/>
        </w:rPr>
        <w:t>.</w:t>
      </w:r>
    </w:p>
    <w:tbl>
      <w:tblPr>
        <w:tblStyle w:val="TableGrid"/>
        <w:bidiVisual/>
        <w:tblW w:w="0" w:type="auto"/>
        <w:tblLook w:val="04A0" w:firstRow="1" w:lastRow="0" w:firstColumn="1" w:lastColumn="0" w:noHBand="0" w:noVBand="1"/>
      </w:tblPr>
      <w:tblGrid>
        <w:gridCol w:w="4006"/>
        <w:gridCol w:w="4006"/>
      </w:tblGrid>
      <w:tr w:rsidR="005D345B" w:rsidTr="005D345B">
        <w:tc>
          <w:tcPr>
            <w:tcW w:w="4006" w:type="dxa"/>
          </w:tcPr>
          <w:p w:rsidR="005D345B" w:rsidRDefault="005D345B" w:rsidP="004A4E41">
            <w:pPr>
              <w:pStyle w:val="libFootnote0"/>
              <w:rPr>
                <w:rtl/>
              </w:rPr>
            </w:pPr>
            <w:r>
              <w:rPr>
                <w:rtl/>
              </w:rPr>
              <w:t>(9).</w:t>
            </w:r>
            <w:r w:rsidRPr="00C9040A">
              <w:rPr>
                <w:rtl/>
              </w:rPr>
              <w:t xml:space="preserve"> في البحار ، ج 63 : « عن الذنب »</w:t>
            </w:r>
            <w:r>
              <w:rPr>
                <w:rtl/>
              </w:rPr>
              <w:t>.</w:t>
            </w:r>
          </w:p>
        </w:tc>
        <w:tc>
          <w:tcPr>
            <w:tcW w:w="4006" w:type="dxa"/>
          </w:tcPr>
          <w:p w:rsidR="005D345B" w:rsidRDefault="005D345B" w:rsidP="004A4E41">
            <w:pPr>
              <w:pStyle w:val="libFootnote0"/>
              <w:rPr>
                <w:rtl/>
              </w:rPr>
            </w:pPr>
            <w:r>
              <w:rPr>
                <w:rtl/>
              </w:rPr>
              <w:t>(10). في«بس</w:t>
            </w:r>
            <w:r w:rsidRPr="00C9040A">
              <w:rPr>
                <w:rtl/>
              </w:rPr>
              <w:t>» : « بالذي » بدل « بالذنب الذي »</w:t>
            </w:r>
            <w:r>
              <w:rPr>
                <w:rtl/>
              </w:rPr>
              <w:t>.</w:t>
            </w:r>
          </w:p>
        </w:tc>
      </w:tr>
      <w:tr w:rsidR="005D345B" w:rsidTr="005D345B">
        <w:tc>
          <w:tcPr>
            <w:tcW w:w="4006" w:type="dxa"/>
          </w:tcPr>
          <w:p w:rsidR="005D345B" w:rsidRDefault="005D345B" w:rsidP="004A4E41">
            <w:pPr>
              <w:pStyle w:val="libFootnote0"/>
              <w:rPr>
                <w:rtl/>
              </w:rPr>
            </w:pPr>
            <w:r>
              <w:rPr>
                <w:rtl/>
              </w:rPr>
              <w:t>(11).</w:t>
            </w:r>
            <w:r w:rsidRPr="00C9040A">
              <w:rPr>
                <w:rtl/>
              </w:rPr>
              <w:t xml:space="preserve"> في « بف » : « إذ »</w:t>
            </w:r>
            <w:r>
              <w:rPr>
                <w:rtl/>
              </w:rPr>
              <w:t>.</w:t>
            </w:r>
          </w:p>
        </w:tc>
        <w:tc>
          <w:tcPr>
            <w:tcW w:w="4006" w:type="dxa"/>
          </w:tcPr>
          <w:p w:rsidR="005D345B" w:rsidRDefault="005D345B" w:rsidP="004A4E41">
            <w:pPr>
              <w:pStyle w:val="libFootnote0"/>
              <w:rPr>
                <w:rtl/>
              </w:rPr>
            </w:pPr>
            <w:r>
              <w:rPr>
                <w:rtl/>
              </w:rPr>
              <w:t>(12).</w:t>
            </w:r>
            <w:r w:rsidRPr="00C9040A">
              <w:rPr>
                <w:rtl/>
              </w:rPr>
              <w:t xml:space="preserve"> في « بس » : « ذنبه »</w:t>
            </w:r>
            <w:r>
              <w:rPr>
                <w:rtl/>
              </w:rPr>
              <w:t>.</w:t>
            </w:r>
          </w:p>
        </w:tc>
      </w:tr>
    </w:tbl>
    <w:p w:rsidR="008A74EB" w:rsidRPr="00C9040A" w:rsidRDefault="008A74EB" w:rsidP="00F1709B">
      <w:pPr>
        <w:pStyle w:val="libFootnote0"/>
        <w:rPr>
          <w:rtl/>
          <w:lang w:bidi="fa-IR"/>
        </w:rPr>
      </w:pPr>
      <w:r>
        <w:rPr>
          <w:rtl/>
        </w:rPr>
        <w:t>(13)</w:t>
      </w:r>
      <w:r w:rsidRPr="00C9040A">
        <w:rPr>
          <w:rtl/>
        </w:rPr>
        <w:t xml:space="preserve"> « استحوذت عليه » ، أي غلبت عليه ، يقال : استحوذ عليه الشيطان ، أي غلبه واستماله إلى ما يريده منه. راجع : </w:t>
      </w:r>
      <w:r w:rsidRPr="00993B55">
        <w:rPr>
          <w:rStyle w:val="libFootnoteBoldChar"/>
          <w:rtl/>
        </w:rPr>
        <w:t>المصباح المنير</w:t>
      </w:r>
      <w:r w:rsidRPr="00C9040A">
        <w:rPr>
          <w:rtl/>
        </w:rPr>
        <w:t xml:space="preserve"> ، ص 155 ( حوذ )</w:t>
      </w:r>
      <w:r>
        <w:rPr>
          <w:rtl/>
        </w:rPr>
        <w:t>.</w:t>
      </w:r>
      <w:r w:rsidR="00F1709B">
        <w:rPr>
          <w:rFonts w:hint="cs"/>
          <w:rtl/>
        </w:rPr>
        <w:t xml:space="preserve">          </w:t>
      </w:r>
      <w:r w:rsidR="00C822D0">
        <w:rPr>
          <w:rFonts w:hint="cs"/>
          <w:rtl/>
        </w:rPr>
        <w:t xml:space="preserve"> </w:t>
      </w:r>
      <w:r w:rsidR="00F1709B">
        <w:rPr>
          <w:rFonts w:hint="cs"/>
          <w:rtl/>
        </w:rPr>
        <w:t xml:space="preserve">   </w:t>
      </w:r>
      <w:r>
        <w:rPr>
          <w:rtl/>
        </w:rPr>
        <w:t>(14)</w:t>
      </w:r>
      <w:r w:rsidRPr="00C9040A">
        <w:rPr>
          <w:rtl/>
        </w:rPr>
        <w:t xml:space="preserve"> في « بر ، بف » : « فقال »</w:t>
      </w:r>
      <w:r>
        <w:rPr>
          <w:rtl/>
        </w:rPr>
        <w:t>.</w:t>
      </w:r>
    </w:p>
    <w:tbl>
      <w:tblPr>
        <w:tblStyle w:val="TableGrid"/>
        <w:bidiVisual/>
        <w:tblW w:w="0" w:type="auto"/>
        <w:tblLook w:val="04A0" w:firstRow="1" w:lastRow="0" w:firstColumn="1" w:lastColumn="0" w:noHBand="0" w:noVBand="1"/>
      </w:tblPr>
      <w:tblGrid>
        <w:gridCol w:w="4006"/>
        <w:gridCol w:w="4006"/>
      </w:tblGrid>
      <w:tr w:rsidR="00F1709B" w:rsidTr="00F1709B">
        <w:tc>
          <w:tcPr>
            <w:tcW w:w="4006" w:type="dxa"/>
          </w:tcPr>
          <w:p w:rsidR="00F1709B" w:rsidRDefault="00F1709B" w:rsidP="004A4E41">
            <w:pPr>
              <w:pStyle w:val="libFootnote0"/>
              <w:rPr>
                <w:rtl/>
              </w:rPr>
            </w:pPr>
            <w:r>
              <w:rPr>
                <w:rtl/>
              </w:rPr>
              <w:t>(15)</w:t>
            </w:r>
            <w:r w:rsidRPr="00C9040A">
              <w:rPr>
                <w:rtl/>
              </w:rPr>
              <w:t xml:space="preserve"> في « </w:t>
            </w:r>
            <w:r>
              <w:rPr>
                <w:rtl/>
              </w:rPr>
              <w:t xml:space="preserve">ه </w:t>
            </w:r>
            <w:r w:rsidRPr="00C9040A">
              <w:rPr>
                <w:rtl/>
              </w:rPr>
              <w:t>» : « فاستكثر »</w:t>
            </w:r>
            <w:r>
              <w:rPr>
                <w:rtl/>
              </w:rPr>
              <w:t>.</w:t>
            </w:r>
          </w:p>
        </w:tc>
        <w:tc>
          <w:tcPr>
            <w:tcW w:w="4006" w:type="dxa"/>
          </w:tcPr>
          <w:p w:rsidR="00F1709B" w:rsidRDefault="00F1709B" w:rsidP="004A4E41">
            <w:pPr>
              <w:pStyle w:val="libFootnote0"/>
              <w:rPr>
                <w:rtl/>
              </w:rPr>
            </w:pPr>
            <w:r>
              <w:rPr>
                <w:rtl/>
              </w:rPr>
              <w:t>(16)</w:t>
            </w:r>
            <w:r w:rsidRPr="00C9040A">
              <w:rPr>
                <w:rtl/>
              </w:rPr>
              <w:t xml:space="preserve"> في « ج » : « عينيه »</w:t>
            </w:r>
            <w:r>
              <w:rPr>
                <w:rtl/>
              </w:rPr>
              <w:t>.</w:t>
            </w:r>
          </w:p>
        </w:tc>
      </w:tr>
      <w:tr w:rsidR="00F1709B" w:rsidTr="00F1709B">
        <w:tc>
          <w:tcPr>
            <w:tcW w:w="4006" w:type="dxa"/>
          </w:tcPr>
          <w:p w:rsidR="00F1709B" w:rsidRDefault="00F1709B" w:rsidP="004A4E41">
            <w:pPr>
              <w:pStyle w:val="libFootnote0"/>
              <w:rPr>
                <w:rtl/>
              </w:rPr>
            </w:pPr>
            <w:r>
              <w:rPr>
                <w:rtl/>
              </w:rPr>
              <w:t>(17)</w:t>
            </w:r>
            <w:r w:rsidRPr="00C9040A">
              <w:rPr>
                <w:rtl/>
              </w:rPr>
              <w:t xml:space="preserve"> في « ج » : « فكيف »</w:t>
            </w:r>
            <w:r>
              <w:rPr>
                <w:rtl/>
              </w:rPr>
              <w:t>.</w:t>
            </w:r>
          </w:p>
        </w:tc>
        <w:tc>
          <w:tcPr>
            <w:tcW w:w="4006" w:type="dxa"/>
          </w:tcPr>
          <w:p w:rsidR="00F1709B" w:rsidRDefault="00F1709B" w:rsidP="004A4E41">
            <w:pPr>
              <w:pStyle w:val="libFootnote0"/>
              <w:rPr>
                <w:rtl/>
              </w:rPr>
            </w:pPr>
            <w:r>
              <w:rPr>
                <w:rtl/>
              </w:rPr>
              <w:t>(18)</w:t>
            </w:r>
            <w:r w:rsidRPr="00C9040A">
              <w:rPr>
                <w:rtl/>
              </w:rPr>
              <w:t xml:space="preserve"> في « بر » : « أغفر » بدل « أعفو عن »</w:t>
            </w:r>
            <w:r>
              <w:rPr>
                <w:rtl/>
              </w:rPr>
              <w:t>.</w:t>
            </w:r>
          </w:p>
        </w:tc>
      </w:tr>
    </w:tbl>
    <w:p w:rsidR="008A74EB" w:rsidRPr="00C9040A" w:rsidRDefault="008A74EB" w:rsidP="004A4E41">
      <w:pPr>
        <w:pStyle w:val="libFootnote0"/>
        <w:rPr>
          <w:rtl/>
          <w:lang w:bidi="fa-IR"/>
        </w:rPr>
      </w:pPr>
      <w:r>
        <w:rPr>
          <w:rtl/>
        </w:rPr>
        <w:t>(19)</w:t>
      </w:r>
      <w:r w:rsidRPr="00C9040A">
        <w:rPr>
          <w:rtl/>
        </w:rPr>
        <w:t xml:space="preserve"> في « ج » : « الذنوب »</w:t>
      </w:r>
      <w:r>
        <w:rPr>
          <w:rtl/>
        </w:rPr>
        <w:t>.</w:t>
      </w:r>
    </w:p>
    <w:p w:rsidR="008A74EB" w:rsidRPr="00C9040A" w:rsidRDefault="008A74EB" w:rsidP="004A4E41">
      <w:pPr>
        <w:pStyle w:val="libFootnote0"/>
        <w:rPr>
          <w:rtl/>
          <w:lang w:bidi="fa-IR"/>
        </w:rPr>
      </w:pPr>
      <w:r>
        <w:rPr>
          <w:rtl/>
        </w:rPr>
        <w:t>(20)</w:t>
      </w:r>
      <w:r w:rsidRPr="00C9040A">
        <w:rPr>
          <w:rtl/>
        </w:rPr>
        <w:t xml:space="preserve"> في </w:t>
      </w:r>
      <w:r w:rsidRPr="00993B55">
        <w:rPr>
          <w:rStyle w:val="libFootnoteBoldChar"/>
          <w:rtl/>
        </w:rPr>
        <w:t>مرآة العقول</w:t>
      </w:r>
      <w:r w:rsidRPr="00C9040A">
        <w:rPr>
          <w:rtl/>
        </w:rPr>
        <w:t xml:space="preserve"> ، ج 10 ، ص 227 : « أن لايعجبوا ، قيل : « أن » ناصبة ، </w:t>
      </w:r>
      <w:r>
        <w:rPr>
          <w:rtl/>
        </w:rPr>
        <w:t>و «</w:t>
      </w:r>
      <w:r w:rsidRPr="00C9040A">
        <w:rPr>
          <w:rtl/>
        </w:rPr>
        <w:t xml:space="preserve"> لا » نافية ، أو « أن » مفسّرة </w:t>
      </w:r>
      <w:r>
        <w:rPr>
          <w:rtl/>
        </w:rPr>
        <w:t>و «</w:t>
      </w:r>
      <w:r w:rsidRPr="00C9040A">
        <w:rPr>
          <w:rtl/>
        </w:rPr>
        <w:t xml:space="preserve"> لا » ناهية. </w:t>
      </w:r>
      <w:r w:rsidR="00F1709B">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أَنْصِبُهُ </w:t>
      </w:r>
      <w:r w:rsidR="006C577F" w:rsidRPr="006C577F">
        <w:rPr>
          <w:rStyle w:val="libFootnotenumChar"/>
          <w:rtl/>
        </w:rPr>
        <w:t>(1)</w:t>
      </w:r>
      <w:r w:rsidR="00F1709B">
        <w:rPr>
          <w:rtl/>
          <w:lang w:bidi="fa-IR"/>
        </w:rPr>
        <w:t xml:space="preserve"> لِلْحِسَابِ إِل</w:t>
      </w:r>
      <w:r w:rsidR="00F1709B">
        <w:rPr>
          <w:rFonts w:hint="cs"/>
          <w:rtl/>
          <w:lang w:bidi="fa-IR"/>
        </w:rPr>
        <w:t>َّ</w:t>
      </w:r>
      <w:r w:rsidR="00F1709B">
        <w:rPr>
          <w:rtl/>
          <w:lang w:bidi="fa-IR"/>
        </w:rPr>
        <w:t>ا</w:t>
      </w:r>
      <w:r w:rsidRPr="00C9040A">
        <w:rPr>
          <w:rtl/>
          <w:lang w:bidi="fa-IR"/>
        </w:rPr>
        <w:t xml:space="preserve"> هَلَكَ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Heading2Center"/>
        <w:rPr>
          <w:rtl/>
          <w:lang w:bidi="fa-IR"/>
        </w:rPr>
      </w:pPr>
      <w:bookmarkStart w:id="388" w:name="_Toc343795717"/>
      <w:bookmarkStart w:id="389" w:name="_Toc459810841"/>
      <w:bookmarkStart w:id="390" w:name="_Toc35348747"/>
      <w:r w:rsidRPr="00C9040A">
        <w:rPr>
          <w:rtl/>
          <w:lang w:bidi="fa-IR"/>
        </w:rPr>
        <w:t>126</w:t>
      </w:r>
      <w:r>
        <w:rPr>
          <w:rtl/>
          <w:lang w:bidi="fa-IR"/>
        </w:rPr>
        <w:t xml:space="preserve"> </w:t>
      </w:r>
      <w:r w:rsidR="0084262C">
        <w:rPr>
          <w:rtl/>
          <w:lang w:bidi="fa-IR"/>
        </w:rPr>
        <w:t>-</w:t>
      </w:r>
      <w:r>
        <w:rPr>
          <w:rtl/>
          <w:lang w:bidi="fa-IR"/>
        </w:rPr>
        <w:t xml:space="preserve"> </w:t>
      </w:r>
      <w:r w:rsidRPr="00C9040A">
        <w:rPr>
          <w:rtl/>
          <w:lang w:bidi="fa-IR"/>
        </w:rPr>
        <w:t>بَابُ حُبِّ الدُّنْيَا وَالْحِرْصِ عَلَيْهَا‌</w:t>
      </w:r>
      <w:bookmarkEnd w:id="388"/>
      <w:bookmarkEnd w:id="389"/>
      <w:bookmarkEnd w:id="390"/>
    </w:p>
    <w:p w:rsidR="00F1709B" w:rsidRDefault="008A74EB" w:rsidP="00F1709B">
      <w:pPr>
        <w:pStyle w:val="libNormal"/>
        <w:rPr>
          <w:rtl/>
          <w:lang w:bidi="fa-IR"/>
        </w:rPr>
      </w:pPr>
      <w:r w:rsidRPr="00F3273E">
        <w:rPr>
          <w:rtl/>
        </w:rPr>
        <w:t>2586</w:t>
      </w:r>
      <w:r w:rsidRPr="00261CB0">
        <w:rPr>
          <w:rStyle w:val="libBold2Char"/>
          <w:rtl/>
        </w:rPr>
        <w:t xml:space="preserve"> / 1.</w:t>
      </w:r>
      <w:r w:rsidRPr="00C9040A">
        <w:rPr>
          <w:rtl/>
          <w:lang w:bidi="fa-IR"/>
        </w:rPr>
        <w:t xml:space="preserve"> عَلِيُّ بْنُ إِبْرَاهِيمَ ، عَنْ أَبِيهِ ، عَنِ ابْنِ أَبِي عُمَيْرٍ ، عَنْ دُرُسْتَ بْنِ أَبِي مَنْصُورٍ ، عَنْ رَجُلٍ ، عَنْ أَبِي عَبْدِ اللهِ </w:t>
      </w:r>
      <w:r w:rsidRPr="0003660B">
        <w:rPr>
          <w:rStyle w:val="libAlaemChar"/>
          <w:rtl/>
        </w:rPr>
        <w:t>عليه‌السلام</w:t>
      </w:r>
      <w:r w:rsidRPr="00C9040A">
        <w:rPr>
          <w:rtl/>
          <w:lang w:bidi="fa-IR"/>
        </w:rPr>
        <w:t xml:space="preserve"> ؛</w:t>
      </w:r>
    </w:p>
    <w:p w:rsidR="008A74EB" w:rsidRPr="00C9040A" w:rsidRDefault="008A74EB" w:rsidP="00F1709B">
      <w:pPr>
        <w:pStyle w:val="libNormal"/>
        <w:rPr>
          <w:rtl/>
          <w:lang w:bidi="fa-IR"/>
        </w:rPr>
      </w:pPr>
      <w:r w:rsidRPr="00C9040A">
        <w:rPr>
          <w:rtl/>
          <w:lang w:bidi="fa-IR"/>
        </w:rPr>
        <w:t>وَ</w:t>
      </w:r>
      <w:r>
        <w:rPr>
          <w:rFonts w:hint="cs"/>
          <w:rtl/>
          <w:lang w:bidi="fa-IR"/>
        </w:rPr>
        <w:t xml:space="preserve"> </w:t>
      </w:r>
      <w:r w:rsidR="006C577F" w:rsidRPr="006C577F">
        <w:rPr>
          <w:rStyle w:val="libFootnotenumChar"/>
          <w:rtl/>
        </w:rPr>
        <w:t>(3)</w:t>
      </w:r>
      <w:r w:rsidRPr="00C9040A">
        <w:rPr>
          <w:rtl/>
          <w:lang w:bidi="fa-IR"/>
        </w:rPr>
        <w:t xml:space="preserve"> هِشَامٍ : عَنْ أَبِي عَبْدِ اللهِ </w:t>
      </w:r>
      <w:r w:rsidRPr="0003660B">
        <w:rPr>
          <w:rStyle w:val="libAlaemChar"/>
          <w:rtl/>
        </w:rPr>
        <w:t>عليه‌السلام</w:t>
      </w:r>
      <w:r w:rsidRPr="00C9040A">
        <w:rPr>
          <w:rtl/>
          <w:lang w:bidi="fa-IR"/>
        </w:rPr>
        <w:t xml:space="preserve"> </w:t>
      </w:r>
      <w:r w:rsidR="006C577F" w:rsidRPr="006C577F">
        <w:rPr>
          <w:rStyle w:val="libFootnotenumChar"/>
          <w:rtl/>
        </w:rPr>
        <w:t>(4)</w:t>
      </w:r>
      <w:r w:rsidRPr="00C9040A">
        <w:rPr>
          <w:rtl/>
          <w:lang w:bidi="fa-IR"/>
        </w:rPr>
        <w:t xml:space="preserve"> ، قَالَ :</w:t>
      </w:r>
    </w:p>
    <w:p w:rsidR="008A74EB" w:rsidRPr="00C9040A" w:rsidRDefault="008A74EB" w:rsidP="008A74EB">
      <w:pPr>
        <w:pStyle w:val="libNormal"/>
        <w:rPr>
          <w:rtl/>
          <w:lang w:bidi="fa-IR"/>
        </w:rPr>
      </w:pPr>
      <w:r w:rsidRPr="00C9040A">
        <w:rPr>
          <w:rtl/>
          <w:lang w:bidi="fa-IR"/>
        </w:rPr>
        <w:t>« رَأْسُ كُلِّ خَطِيئَةٍ حُبُّ الدُّنْيَا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F1709B" w:rsidP="004A4E41">
      <w:pPr>
        <w:pStyle w:val="libFootnote0"/>
        <w:rPr>
          <w:rtl/>
          <w:lang w:bidi="fa-IR"/>
        </w:rPr>
      </w:pPr>
      <w:r>
        <w:rPr>
          <w:rFonts w:hint="cs"/>
          <w:rtl/>
        </w:rPr>
        <w:t xml:space="preserve">= </w:t>
      </w:r>
      <w:r w:rsidR="008A74EB">
        <w:rPr>
          <w:rtl/>
        </w:rPr>
        <w:t>و «</w:t>
      </w:r>
      <w:r w:rsidR="008A74EB" w:rsidRPr="00C9040A">
        <w:rPr>
          <w:rtl/>
        </w:rPr>
        <w:t xml:space="preserve"> يعجبوا » من باب الإفعال على بناء المجهول ، أو على بناء المعلوم ، نحو أغدّ البعير. وأقول : الأوّل أظهر »</w:t>
      </w:r>
      <w:r w:rsidR="008A74EB">
        <w:rPr>
          <w:rtl/>
        </w:rPr>
        <w:t>.</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w:t>
      </w:r>
      <w:r w:rsidR="008A74EB" w:rsidRPr="00993B55">
        <w:rPr>
          <w:rStyle w:val="libFootnoteBoldChar"/>
          <w:rtl/>
        </w:rPr>
        <w:t>مرآة العقول</w:t>
      </w:r>
      <w:r w:rsidR="008A74EB" w:rsidRPr="00C9040A">
        <w:rPr>
          <w:rtl/>
        </w:rPr>
        <w:t xml:space="preserve"> : « أنصبه ، كأضربه ، أي ا</w:t>
      </w:r>
      <w:r w:rsidR="004F742D">
        <w:rPr>
          <w:rFonts w:hint="cs"/>
          <w:rtl/>
        </w:rPr>
        <w:t>ُ</w:t>
      </w:r>
      <w:r w:rsidR="008A74EB" w:rsidRPr="00C9040A">
        <w:rPr>
          <w:rtl/>
        </w:rPr>
        <w:t>قيمه. وكونه على بناء الإفعال بمعنى الإتعاب بعيد »</w:t>
      </w:r>
      <w:r w:rsidR="008A74EB">
        <w:rPr>
          <w:rtl/>
        </w:rPr>
        <w:t>.</w:t>
      </w:r>
    </w:p>
    <w:p w:rsidR="008A74EB" w:rsidRPr="00C9040A" w:rsidRDefault="006C577F" w:rsidP="00502BB5">
      <w:pPr>
        <w:pStyle w:val="libFootnote0"/>
        <w:rPr>
          <w:rtl/>
          <w:lang w:bidi="fa-IR"/>
        </w:rPr>
      </w:pPr>
      <w:r>
        <w:rPr>
          <w:rtl/>
        </w:rPr>
        <w:t>(2).</w:t>
      </w:r>
      <w:r w:rsidR="008A74EB">
        <w:rPr>
          <w:rtl/>
        </w:rPr>
        <w:t xml:space="preserve"> </w:t>
      </w:r>
      <w:r w:rsidR="008A74EB" w:rsidRPr="0034021D">
        <w:rPr>
          <w:rStyle w:val="libFootnoteBoldChar"/>
          <w:rtl/>
        </w:rPr>
        <w:t>الأمالي للمفيد</w:t>
      </w:r>
      <w:r w:rsidR="008A74EB" w:rsidRPr="00C9040A">
        <w:rPr>
          <w:rtl/>
        </w:rPr>
        <w:t xml:space="preserve"> ، ص 156 ، المجلس 19 ، ح 7 ، عن الكليني ، عن عليّ بن إبراهيم ، عن محمّد بن عيسى‌اليقطيني ، عن يونس بن عبدالرحمن ، عن سعدان بن مسلم ، عن أبي عبدالله </w:t>
      </w:r>
      <w:r w:rsidR="00117575" w:rsidRPr="00117575">
        <w:rPr>
          <w:rStyle w:val="libFootnoteAlaemChar"/>
          <w:rtl/>
        </w:rPr>
        <w:t>عليه‌السلام</w:t>
      </w:r>
      <w:r w:rsidR="008A74EB" w:rsidRPr="00C9040A">
        <w:rPr>
          <w:rtl/>
        </w:rPr>
        <w:t xml:space="preserve"> ، إلى قوله : « وصغر في عينه ذنبه » مع اختلاف يسير وزيادة في آخره</w:t>
      </w:r>
      <w:r w:rsidR="00502BB5">
        <w:rPr>
          <w:rFonts w:hint="cs"/>
          <w:rtl/>
        </w:rPr>
        <w:t>.</w:t>
      </w:r>
      <w:r w:rsidR="008A74EB" w:rsidRPr="00993B55">
        <w:rPr>
          <w:rStyle w:val="libFootnoteBoldChar"/>
          <w:rtl/>
        </w:rPr>
        <w:t>الوافي</w:t>
      </w:r>
      <w:r w:rsidR="008A74EB" w:rsidRPr="00C9040A">
        <w:rPr>
          <w:rtl/>
        </w:rPr>
        <w:t xml:space="preserve"> ، ج 5 ، ص 881 ، ح 3212 ؛ </w:t>
      </w:r>
      <w:r w:rsidR="008A74EB" w:rsidRPr="00993B55">
        <w:rPr>
          <w:rStyle w:val="libFootnoteBoldChar"/>
          <w:rtl/>
        </w:rPr>
        <w:t>الوسائل</w:t>
      </w:r>
      <w:r w:rsidR="008A74EB" w:rsidRPr="00C9040A">
        <w:rPr>
          <w:rtl/>
        </w:rPr>
        <w:t xml:space="preserve"> ، ج 1 ، ص 99 ، ح 236 ، من قوله : « فقال موسى فأخبرني بالذنب الذي » ؛ </w:t>
      </w:r>
      <w:r w:rsidR="008A74EB" w:rsidRPr="00993B55">
        <w:rPr>
          <w:rStyle w:val="libFootnoteBoldChar"/>
          <w:rtl/>
        </w:rPr>
        <w:t>البحار</w:t>
      </w:r>
      <w:r w:rsidR="008A74EB" w:rsidRPr="00C9040A">
        <w:rPr>
          <w:rtl/>
        </w:rPr>
        <w:t xml:space="preserve"> ، ج 14 ، ص 40 ، ح 22 ، من قوله : « قال : قال الله عزّوجلّ لداود </w:t>
      </w:r>
      <w:r w:rsidR="00117575" w:rsidRPr="00117575">
        <w:rPr>
          <w:rStyle w:val="libFootnoteAlaemChar"/>
          <w:rtl/>
        </w:rPr>
        <w:t>عليه‌السلام</w:t>
      </w:r>
      <w:r w:rsidR="008A74EB" w:rsidRPr="00C9040A">
        <w:rPr>
          <w:rtl/>
        </w:rPr>
        <w:t xml:space="preserve"> » ؛ </w:t>
      </w:r>
      <w:r w:rsidR="008A74EB" w:rsidRPr="00993B55">
        <w:rPr>
          <w:rStyle w:val="libFootnoteBoldChar"/>
          <w:rtl/>
        </w:rPr>
        <w:t>وفيه</w:t>
      </w:r>
      <w:r w:rsidR="008A74EB" w:rsidRPr="00C9040A">
        <w:rPr>
          <w:rtl/>
        </w:rPr>
        <w:t xml:space="preserve"> ، ج 63 ، ص 259 ، ح 134 ، إلى قوله : « وصغر في عينه ذنبه » ؛ وج 72 ، ص 312 ، ح 8.</w:t>
      </w:r>
    </w:p>
    <w:p w:rsidR="008A74EB" w:rsidRPr="00C9040A" w:rsidRDefault="006C577F" w:rsidP="004A4E41">
      <w:pPr>
        <w:pStyle w:val="libFootnote0"/>
        <w:rPr>
          <w:rtl/>
          <w:lang w:bidi="fa-IR"/>
        </w:rPr>
      </w:pPr>
      <w:r>
        <w:rPr>
          <w:rtl/>
        </w:rPr>
        <w:t>(3).</w:t>
      </w:r>
      <w:r w:rsidR="008A74EB" w:rsidRPr="00C9040A">
        <w:rPr>
          <w:rtl/>
        </w:rPr>
        <w:t xml:space="preserve"> في السند تحويل بعطف « هشام ، عن أبي عبدالله </w:t>
      </w:r>
      <w:r w:rsidR="00117575" w:rsidRPr="00117575">
        <w:rPr>
          <w:rStyle w:val="libFootnoteAlaemChar"/>
          <w:rtl/>
        </w:rPr>
        <w:t>عليه‌السلام</w:t>
      </w:r>
      <w:r w:rsidR="008A74EB" w:rsidRPr="00C9040A">
        <w:rPr>
          <w:rtl/>
        </w:rPr>
        <w:t xml:space="preserve"> » على « درست بن أبي منصور ، عن رجل ، عن أبي عبدالله </w:t>
      </w:r>
      <w:r w:rsidR="00117575" w:rsidRPr="00117575">
        <w:rPr>
          <w:rStyle w:val="libFootnoteAlaemChar"/>
          <w:rtl/>
        </w:rPr>
        <w:t>عليه‌السلام</w:t>
      </w:r>
      <w:r w:rsidR="008A74EB" w:rsidRPr="00C9040A">
        <w:rPr>
          <w:rtl/>
        </w:rPr>
        <w:t xml:space="preserve"> » ؛ فقد روى الشيخ الطوسي الخبر في </w:t>
      </w:r>
      <w:r w:rsidR="008A74EB" w:rsidRPr="00993B55">
        <w:rPr>
          <w:rStyle w:val="libFootnoteBoldChar"/>
          <w:rtl/>
        </w:rPr>
        <w:t>الأمالي</w:t>
      </w:r>
      <w:r w:rsidR="008A74EB" w:rsidRPr="00C9040A">
        <w:rPr>
          <w:rtl/>
        </w:rPr>
        <w:t xml:space="preserve"> ، ص 662 ، المجلس 35 ، ح 137 ، بسنده عن محمّد بن أبي عمير ، عن هشام بن سالم. وقد روى ابن أبي عمير كتب هشام بن سالم وأكثر من الرواية عنه. راجع : </w:t>
      </w:r>
      <w:r w:rsidR="008A74EB" w:rsidRPr="00993B55">
        <w:rPr>
          <w:rStyle w:val="libFootnoteBoldChar"/>
          <w:rtl/>
        </w:rPr>
        <w:t>رجال النجاشي</w:t>
      </w:r>
      <w:r w:rsidR="008A74EB" w:rsidRPr="00C9040A">
        <w:rPr>
          <w:rtl/>
        </w:rPr>
        <w:t xml:space="preserve"> ، ص 434 ، الرقم 1165 ؛ </w:t>
      </w:r>
      <w:r w:rsidR="008A74EB" w:rsidRPr="0034021D">
        <w:rPr>
          <w:rStyle w:val="libFootnoteBoldChar"/>
          <w:rtl/>
        </w:rPr>
        <w:t>الفهرست للطوسي</w:t>
      </w:r>
      <w:r w:rsidR="008A74EB" w:rsidRPr="00C9040A">
        <w:rPr>
          <w:rtl/>
        </w:rPr>
        <w:t xml:space="preserve"> ، ص 493 ، الرقم 782 ؛ </w:t>
      </w:r>
      <w:r w:rsidR="008A74EB" w:rsidRPr="00993B55">
        <w:rPr>
          <w:rStyle w:val="libFootnoteBoldChar"/>
          <w:rtl/>
        </w:rPr>
        <w:t>معجم رجال الحديث</w:t>
      </w:r>
      <w:r w:rsidR="008A74EB" w:rsidRPr="00C9040A">
        <w:rPr>
          <w:rtl/>
        </w:rPr>
        <w:t xml:space="preserve"> ، ج 14 ، ص 432</w:t>
      </w:r>
      <w:r w:rsidR="008A74EB">
        <w:rPr>
          <w:rtl/>
        </w:rPr>
        <w:t xml:space="preserve"> </w:t>
      </w:r>
      <w:r w:rsidR="0084262C">
        <w:rPr>
          <w:rtl/>
        </w:rPr>
        <w:t>-</w:t>
      </w:r>
      <w:r w:rsidR="008A74EB">
        <w:rPr>
          <w:rtl/>
        </w:rPr>
        <w:t xml:space="preserve"> </w:t>
      </w:r>
      <w:r w:rsidR="008A74EB" w:rsidRPr="00C9040A">
        <w:rPr>
          <w:rtl/>
        </w:rPr>
        <w:t>433 ؛ وج 22 ، ص 315</w:t>
      </w:r>
      <w:r w:rsidR="008A74EB">
        <w:rPr>
          <w:rtl/>
        </w:rPr>
        <w:t xml:space="preserve"> </w:t>
      </w:r>
      <w:r w:rsidR="0084262C">
        <w:rPr>
          <w:rtl/>
        </w:rPr>
        <w:t>-</w:t>
      </w:r>
      <w:r w:rsidR="008A74EB">
        <w:rPr>
          <w:rtl/>
        </w:rPr>
        <w:t xml:space="preserve"> </w:t>
      </w:r>
      <w:r w:rsidR="008A74EB" w:rsidRPr="00C9040A">
        <w:rPr>
          <w:rtl/>
        </w:rPr>
        <w:t>315.</w:t>
      </w:r>
    </w:p>
    <w:p w:rsidR="008A74EB" w:rsidRPr="00C9040A" w:rsidRDefault="006C577F" w:rsidP="004A4E41">
      <w:pPr>
        <w:pStyle w:val="libFootnote0"/>
        <w:rPr>
          <w:rtl/>
          <w:lang w:bidi="fa-IR"/>
        </w:rPr>
      </w:pPr>
      <w:r>
        <w:rPr>
          <w:rtl/>
        </w:rPr>
        <w:t>(4).</w:t>
      </w:r>
      <w:r w:rsidR="008A74EB" w:rsidRPr="00C9040A">
        <w:rPr>
          <w:rtl/>
        </w:rPr>
        <w:t xml:space="preserve"> في « </w:t>
      </w:r>
      <w:r w:rsidR="006D3162">
        <w:rPr>
          <w:rtl/>
        </w:rPr>
        <w:t xml:space="preserve">ه </w:t>
      </w:r>
      <w:r w:rsidR="008A74EB" w:rsidRPr="00C9040A">
        <w:rPr>
          <w:rtl/>
        </w:rPr>
        <w:t xml:space="preserve">» </w:t>
      </w:r>
      <w:r w:rsidR="008A74EB">
        <w:rPr>
          <w:rtl/>
        </w:rPr>
        <w:t xml:space="preserve">: </w:t>
      </w:r>
      <w:r w:rsidR="0084262C">
        <w:rPr>
          <w:rtl/>
        </w:rPr>
        <w:t>-</w:t>
      </w:r>
      <w:r w:rsidR="008A74EB" w:rsidRPr="00C9040A">
        <w:rPr>
          <w:rtl/>
        </w:rPr>
        <w:t xml:space="preserve"> « وهشام ، عن أبي عبدالله </w:t>
      </w:r>
      <w:r w:rsidR="00117575" w:rsidRPr="00117575">
        <w:rPr>
          <w:rStyle w:val="libFootnoteAlaemChar"/>
          <w:rtl/>
        </w:rPr>
        <w:t>عليه‌السلام</w:t>
      </w:r>
      <w:r w:rsidR="008A74EB" w:rsidRPr="00C9040A">
        <w:rPr>
          <w:rtl/>
        </w:rPr>
        <w:t xml:space="preserve"> »</w:t>
      </w:r>
      <w:r w:rsidR="008A74EB">
        <w:rPr>
          <w:rtl/>
        </w:rPr>
        <w:t>.</w:t>
      </w:r>
      <w:r w:rsidR="008A74EB" w:rsidRPr="00C9040A">
        <w:rPr>
          <w:rtl/>
        </w:rPr>
        <w:t xml:space="preserve"> ولايخفى ما فيه ؛ من جواز النظر عن « أبي عبدالله </w:t>
      </w:r>
      <w:r w:rsidR="00117575" w:rsidRPr="00117575">
        <w:rPr>
          <w:rStyle w:val="libFootnoteAlaemChar"/>
          <w:rtl/>
        </w:rPr>
        <w:t>عليه‌السلام</w:t>
      </w:r>
      <w:r w:rsidR="008A74EB" w:rsidRPr="00C9040A">
        <w:rPr>
          <w:rtl/>
        </w:rPr>
        <w:t xml:space="preserve"> » إلى « أبي عبدالله </w:t>
      </w:r>
      <w:r w:rsidR="00117575" w:rsidRPr="00117575">
        <w:rPr>
          <w:rStyle w:val="libFootnoteAlaemChar"/>
          <w:rtl/>
        </w:rPr>
        <w:t>عليه‌السلام</w:t>
      </w:r>
      <w:r w:rsidR="008A74EB" w:rsidRPr="00C9040A">
        <w:rPr>
          <w:rtl/>
        </w:rPr>
        <w:t xml:space="preserve"> » الموجب للسقط.</w:t>
      </w:r>
    </w:p>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الخصال</w:t>
      </w:r>
      <w:r w:rsidR="008A74EB" w:rsidRPr="00C9040A">
        <w:rPr>
          <w:rtl/>
        </w:rPr>
        <w:t xml:space="preserve"> ، ص 25 ، باب الواحد ، ح 87 ، بسنده عن محمّد بن أبي عمير ، عن درست بن أبي منصور ، عن رجل ؛ </w:t>
      </w:r>
      <w:r w:rsidR="008A74EB" w:rsidRPr="00993B55">
        <w:rPr>
          <w:rStyle w:val="libFootnoteBoldChar"/>
          <w:rtl/>
        </w:rPr>
        <w:t>الأمالي</w:t>
      </w:r>
      <w:r w:rsidR="008A74EB" w:rsidRPr="00C9040A">
        <w:rPr>
          <w:rtl/>
        </w:rPr>
        <w:t xml:space="preserve"> للطوسي ، ص 662 ، المجلس 35 ، ح 22 ، بسنده عن محمّد بن أبي عمير ، عن هشام بن سالم ، عن أبي عبدالله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الكافي</w:t>
      </w:r>
      <w:r w:rsidR="008A74EB" w:rsidRPr="00C9040A">
        <w:rPr>
          <w:rtl/>
        </w:rPr>
        <w:t xml:space="preserve"> ، كتاب الروضة ، ضمن الحديث 14918 ، عن عليّ بن إبراهيم ، عن أبيه ، عن عليّ بن أسباط ، عنهم </w:t>
      </w:r>
      <w:r w:rsidR="00117575" w:rsidRPr="00117575">
        <w:rPr>
          <w:rStyle w:val="libFootnoteAlaemChar"/>
          <w:rtl/>
        </w:rPr>
        <w:t>عليهم‌السلام</w:t>
      </w:r>
      <w:r w:rsidR="008A74EB" w:rsidRPr="00C9040A">
        <w:rPr>
          <w:rtl/>
        </w:rPr>
        <w:t xml:space="preserve"> ؛ </w:t>
      </w:r>
      <w:r w:rsidR="008A74EB" w:rsidRPr="0034021D">
        <w:rPr>
          <w:rStyle w:val="libFootnoteBoldChar"/>
          <w:rtl/>
        </w:rPr>
        <w:t>الأمالي للصدوق</w:t>
      </w:r>
      <w:r w:rsidR="008A74EB" w:rsidRPr="00C9040A">
        <w:rPr>
          <w:rtl/>
        </w:rPr>
        <w:t xml:space="preserve"> ، ص 521 ، المجلس 78 ، ضمن الحديث الطويل 1 ، بسند آخر عن أبي عبدالله </w:t>
      </w:r>
      <w:r w:rsidR="00117575" w:rsidRPr="00117575">
        <w:rPr>
          <w:rStyle w:val="libFootnoteAlaemChar"/>
          <w:rtl/>
        </w:rPr>
        <w:t xml:space="preserve">عليه‌السلام </w:t>
      </w:r>
      <w:r w:rsidR="008A74EB" w:rsidRPr="00C9040A">
        <w:rPr>
          <w:rtl/>
        </w:rPr>
        <w:t xml:space="preserve">. </w:t>
      </w:r>
      <w:r w:rsidR="00502BB5">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F3273E">
        <w:rPr>
          <w:rtl/>
        </w:rPr>
        <w:t>2587</w:t>
      </w:r>
      <w:r w:rsidRPr="00261CB0">
        <w:rPr>
          <w:rStyle w:val="libBold2Char"/>
          <w:rtl/>
        </w:rPr>
        <w:t xml:space="preserve"> / 2.</w:t>
      </w:r>
      <w:r w:rsidRPr="00C9040A">
        <w:rPr>
          <w:rtl/>
          <w:lang w:bidi="fa-IR"/>
        </w:rPr>
        <w:t xml:space="preserve"> عَلِيٌّ </w:t>
      </w:r>
      <w:r w:rsidR="006C577F" w:rsidRPr="006C577F">
        <w:rPr>
          <w:rStyle w:val="libFootnotenumChar"/>
          <w:rtl/>
        </w:rPr>
        <w:t>(1)</w:t>
      </w:r>
      <w:r w:rsidRPr="00C9040A">
        <w:rPr>
          <w:rtl/>
          <w:lang w:bidi="fa-IR"/>
        </w:rPr>
        <w:t xml:space="preserve"> ، عَنْ أَبِيهِ ، عَنِ ابْنِ فَضَّالٍ ، عَنِ ابْنِ بُكَيْرٍ ، عَنْ حَمَّادِ بْنِ بَشِيرٍ </w:t>
      </w:r>
      <w:r w:rsidR="006C577F" w:rsidRPr="006C577F">
        <w:rPr>
          <w:rStyle w:val="libFootnotenumChar"/>
          <w:rtl/>
        </w:rPr>
        <w:t>(2)</w:t>
      </w:r>
      <w:r w:rsidRPr="00C9040A">
        <w:rPr>
          <w:rtl/>
          <w:lang w:bidi="fa-IR"/>
        </w:rPr>
        <w:t xml:space="preserve"> ، قَالَ :</w:t>
      </w:r>
    </w:p>
    <w:p w:rsidR="008A74EB" w:rsidRPr="00C9040A" w:rsidRDefault="008A74EB" w:rsidP="00054696">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 « مَا ذِئْبَانِ ضَارِيَانِ </w:t>
      </w:r>
      <w:r w:rsidR="006C577F" w:rsidRPr="006C577F">
        <w:rPr>
          <w:rStyle w:val="libFootnotenumChar"/>
          <w:rtl/>
        </w:rPr>
        <w:t>(3)</w:t>
      </w:r>
      <w:r w:rsidRPr="00C9040A">
        <w:rPr>
          <w:rtl/>
          <w:lang w:bidi="fa-IR"/>
        </w:rPr>
        <w:t xml:space="preserve"> فِي غَنَمٍ قَدْ فَارَقَهَا </w:t>
      </w:r>
      <w:r w:rsidR="006C577F" w:rsidRPr="006C577F">
        <w:rPr>
          <w:rStyle w:val="libFootnotenumChar"/>
          <w:rtl/>
        </w:rPr>
        <w:t>(4)</w:t>
      </w:r>
      <w:r w:rsidRPr="00C9040A">
        <w:rPr>
          <w:rtl/>
          <w:lang w:bidi="fa-IR"/>
        </w:rPr>
        <w:t xml:space="preserve"> رِعَاؤُهَا </w:t>
      </w:r>
      <w:r w:rsidR="006C577F" w:rsidRPr="006C577F">
        <w:rPr>
          <w:rStyle w:val="libFootnotenumChar"/>
          <w:rtl/>
        </w:rPr>
        <w:t>(5)</w:t>
      </w:r>
      <w:r>
        <w:rPr>
          <w:rtl/>
          <w:lang w:bidi="fa-IR"/>
        </w:rPr>
        <w:t xml:space="preserve"> </w:t>
      </w:r>
      <w:r w:rsidR="0084262C">
        <w:rPr>
          <w:rtl/>
          <w:lang w:bidi="fa-IR"/>
        </w:rPr>
        <w:t>-</w:t>
      </w:r>
      <w:r>
        <w:rPr>
          <w:rtl/>
          <w:lang w:bidi="fa-IR"/>
        </w:rPr>
        <w:t xml:space="preserve"> </w:t>
      </w:r>
      <w:r w:rsidRPr="00C9040A">
        <w:rPr>
          <w:rtl/>
          <w:lang w:bidi="fa-IR"/>
        </w:rPr>
        <w:t>أَحَدُهُمَا فِي أَوَّلِهَا ، وَالْآخَرُ فِي آخِرِهَا</w:t>
      </w:r>
      <w:r>
        <w:rPr>
          <w:rtl/>
          <w:lang w:bidi="fa-IR"/>
        </w:rPr>
        <w:t xml:space="preserve"> </w:t>
      </w:r>
      <w:r w:rsidR="0084262C">
        <w:rPr>
          <w:rtl/>
          <w:lang w:bidi="fa-IR"/>
        </w:rPr>
        <w:t>-</w:t>
      </w:r>
      <w:r>
        <w:rPr>
          <w:rtl/>
          <w:lang w:bidi="fa-IR"/>
        </w:rPr>
        <w:t xml:space="preserve"> </w:t>
      </w:r>
      <w:r w:rsidRPr="00C9040A">
        <w:rPr>
          <w:rtl/>
          <w:lang w:bidi="fa-IR"/>
        </w:rPr>
        <w:t xml:space="preserve">بِأَفْسَدَ </w:t>
      </w:r>
      <w:r w:rsidR="006C577F" w:rsidRPr="006C577F">
        <w:rPr>
          <w:rStyle w:val="libFootnotenumChar"/>
          <w:rtl/>
        </w:rPr>
        <w:t>(6)</w:t>
      </w:r>
      <w:r w:rsidRPr="005B567D">
        <w:rPr>
          <w:rStyle w:val="libFootnotenumChar"/>
          <w:rtl/>
        </w:rPr>
        <w:t xml:space="preserve"> </w:t>
      </w:r>
      <w:r w:rsidRPr="00C9040A">
        <w:rPr>
          <w:rtl/>
          <w:lang w:bidi="fa-IR"/>
        </w:rPr>
        <w:t xml:space="preserve">فِيهَا مِنْ حُبِّ الْمَالِ </w:t>
      </w:r>
      <w:r w:rsidR="006C577F" w:rsidRPr="006C577F">
        <w:rPr>
          <w:rStyle w:val="libFootnotenumChar"/>
          <w:rtl/>
        </w:rPr>
        <w:t>(7)</w:t>
      </w:r>
      <w:r w:rsidRPr="00C9040A">
        <w:rPr>
          <w:rtl/>
          <w:lang w:bidi="fa-IR"/>
        </w:rPr>
        <w:t xml:space="preserve"> وَالشَّرَفِ </w:t>
      </w:r>
      <w:r w:rsidR="006C577F" w:rsidRPr="006C577F">
        <w:rPr>
          <w:rStyle w:val="libFootnotenumChar"/>
          <w:rtl/>
        </w:rPr>
        <w:t>(8)</w:t>
      </w:r>
      <w:r w:rsidRPr="00C9040A">
        <w:rPr>
          <w:rtl/>
          <w:lang w:bidi="fa-IR"/>
        </w:rPr>
        <w:t xml:space="preserve"> فِي دِينِ الْمُسْلِمِ »</w:t>
      </w:r>
      <w:r>
        <w:rPr>
          <w:rtl/>
          <w:lang w:bidi="fa-IR"/>
        </w:rPr>
        <w:t>.</w:t>
      </w:r>
      <w:r w:rsidRPr="00C9040A">
        <w:rPr>
          <w:rtl/>
          <w:lang w:bidi="fa-IR"/>
        </w:rPr>
        <w:t xml:space="preserve"> </w:t>
      </w:r>
      <w:r w:rsidR="006C577F" w:rsidRPr="006C577F">
        <w:rPr>
          <w:rStyle w:val="libFootnotenumChar"/>
          <w:rtl/>
        </w:rPr>
        <w:t>(9)</w:t>
      </w:r>
      <w:r w:rsidRPr="00C9040A">
        <w:rPr>
          <w:rtl/>
          <w:lang w:bidi="fa-IR"/>
        </w:rPr>
        <w:t xml:space="preserve"> ‌</w:t>
      </w:r>
    </w:p>
    <w:p w:rsidR="008A74EB" w:rsidRPr="00C9040A" w:rsidRDefault="008A74EB" w:rsidP="008A74EB">
      <w:pPr>
        <w:pStyle w:val="libNormal"/>
        <w:rPr>
          <w:rtl/>
          <w:lang w:bidi="fa-IR"/>
        </w:rPr>
      </w:pPr>
      <w:r w:rsidRPr="00F3273E">
        <w:rPr>
          <w:rtl/>
        </w:rPr>
        <w:t>2588</w:t>
      </w:r>
      <w:r w:rsidRPr="00261CB0">
        <w:rPr>
          <w:rStyle w:val="libBold2Char"/>
          <w:rtl/>
        </w:rPr>
        <w:t xml:space="preserve"> / 3.</w:t>
      </w:r>
      <w:r w:rsidRPr="00C9040A">
        <w:rPr>
          <w:rtl/>
          <w:lang w:bidi="fa-IR"/>
        </w:rPr>
        <w:t xml:space="preserve"> عَنْهُ ، عَنْ أَبِيهِ ، عَنْ عُثْمَانَ بْنِ عِيسى ، عَنْ أَبِي أَيُّوبَ ، عَنْ مُحَمَّدِ بْنِ مُسْلِمٍ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مَا ذِئْبَانِ ضَارِيَانِ فِي غَنَمٍ لَيْسَ لَهَا رَاعٍ</w:t>
      </w:r>
      <w:r>
        <w:rPr>
          <w:rtl/>
          <w:lang w:bidi="fa-IR"/>
        </w:rPr>
        <w:t xml:space="preserve"> </w:t>
      </w:r>
      <w:r w:rsidR="0084262C">
        <w:rPr>
          <w:rtl/>
          <w:lang w:bidi="fa-IR"/>
        </w:rPr>
        <w:t>-</w:t>
      </w:r>
      <w:r>
        <w:rPr>
          <w:rtl/>
          <w:lang w:bidi="fa-IR"/>
        </w:rPr>
        <w:t xml:space="preserve"> </w:t>
      </w:r>
      <w:r w:rsidRPr="00C9040A">
        <w:rPr>
          <w:rtl/>
          <w:lang w:bidi="fa-IR"/>
        </w:rPr>
        <w:t>هذَا فِي أَوَّلِهَا ، وَهذَا فِي آخِرِهَا</w:t>
      </w:r>
      <w:r>
        <w:rPr>
          <w:rtl/>
          <w:lang w:bidi="fa-IR"/>
        </w:rPr>
        <w:t xml:space="preserve"> </w:t>
      </w:r>
      <w:r w:rsidR="0084262C">
        <w:rPr>
          <w:rtl/>
          <w:lang w:bidi="fa-IR"/>
        </w:rPr>
        <w:t>-</w:t>
      </w:r>
      <w:r>
        <w:rPr>
          <w:rtl/>
          <w:lang w:bidi="fa-IR"/>
        </w:rPr>
        <w:t xml:space="preserve"> </w:t>
      </w:r>
      <w:r w:rsidRPr="00C9040A">
        <w:rPr>
          <w:rtl/>
          <w:lang w:bidi="fa-IR"/>
        </w:rPr>
        <w:t xml:space="preserve">بِأَسْرَعَ فِيهَا مِنْ حُبِّ الْمَالِ </w:t>
      </w:r>
      <w:r w:rsidR="006C577F" w:rsidRPr="006C577F">
        <w:rPr>
          <w:rStyle w:val="libFootnotenumChar"/>
          <w:rtl/>
        </w:rPr>
        <w:t>(10)</w:t>
      </w:r>
      <w:r w:rsidRPr="00C9040A">
        <w:rPr>
          <w:rtl/>
          <w:lang w:bidi="fa-IR"/>
        </w:rPr>
        <w:t xml:space="preserve"> وَالشَّرَفِ فِي دِينِ الْمُؤْمِنِ </w:t>
      </w:r>
      <w:r w:rsidR="006C577F" w:rsidRPr="006C577F">
        <w:rPr>
          <w:rStyle w:val="libFootnotenumChar"/>
          <w:rtl/>
        </w:rPr>
        <w:t>(11)</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(12)</w:t>
      </w:r>
      <w:r w:rsidRPr="00C9040A">
        <w:rPr>
          <w:rtl/>
          <w:lang w:bidi="fa-IR"/>
        </w:rPr>
        <w:t xml:space="preserve"> ‌</w:t>
      </w:r>
    </w:p>
    <w:p w:rsidR="008A74EB" w:rsidRPr="00C9040A" w:rsidRDefault="008A74EB" w:rsidP="008A74EB">
      <w:pPr>
        <w:pStyle w:val="libNormal"/>
        <w:rPr>
          <w:rtl/>
          <w:lang w:bidi="fa-IR"/>
        </w:rPr>
      </w:pPr>
      <w:r w:rsidRPr="00F3273E">
        <w:rPr>
          <w:rtl/>
        </w:rPr>
        <w:t>2589</w:t>
      </w:r>
      <w:r w:rsidRPr="00261CB0">
        <w:rPr>
          <w:rStyle w:val="libBold2Char"/>
          <w:rtl/>
        </w:rPr>
        <w:t xml:space="preserve"> / 4.</w:t>
      </w:r>
      <w:r w:rsidRPr="00C9040A">
        <w:rPr>
          <w:rtl/>
          <w:lang w:bidi="fa-IR"/>
        </w:rPr>
        <w:t xml:space="preserve"> مُحَمَّدُ بْنُ يَحْيى ، عَنْ أَحْمَدَ بْنِ مُحَمَّدِ بْنِ عِيسى ، عَنْ مُحَمَّدِ بْنِ يَحْيَى‌</w:t>
      </w:r>
    </w:p>
    <w:p w:rsidR="008A74EB" w:rsidRPr="00C9040A" w:rsidRDefault="008A74EB" w:rsidP="008A74EB">
      <w:pPr>
        <w:pStyle w:val="libLine"/>
        <w:rPr>
          <w:rtl/>
          <w:lang w:bidi="fa-IR"/>
        </w:rPr>
      </w:pPr>
      <w:r w:rsidRPr="00C9040A">
        <w:rPr>
          <w:rtl/>
          <w:lang w:bidi="fa-IR"/>
        </w:rPr>
        <w:t>__________________</w:t>
      </w:r>
    </w:p>
    <w:p w:rsidR="008A74EB" w:rsidRPr="00C9040A" w:rsidRDefault="00054696" w:rsidP="004A4E41">
      <w:pPr>
        <w:pStyle w:val="libFootnote0"/>
        <w:rPr>
          <w:rtl/>
          <w:lang w:bidi="fa-IR"/>
        </w:rPr>
      </w:pPr>
      <w:r w:rsidRPr="00054696">
        <w:rPr>
          <w:rFonts w:hint="cs"/>
          <w:rtl/>
        </w:rPr>
        <w:t xml:space="preserve">= </w:t>
      </w:r>
      <w:r w:rsidR="008A74EB" w:rsidRPr="00993B55">
        <w:rPr>
          <w:rStyle w:val="libFootnoteBoldChar"/>
          <w:rtl/>
        </w:rPr>
        <w:t>تحف العقول</w:t>
      </w:r>
      <w:r w:rsidR="008A74EB" w:rsidRPr="00C9040A">
        <w:rPr>
          <w:rtl/>
        </w:rPr>
        <w:t xml:space="preserve"> ، ص 215 ، عن أميرالمؤمنين </w:t>
      </w:r>
      <w:r w:rsidR="00117575" w:rsidRPr="00117575">
        <w:rPr>
          <w:rStyle w:val="libFootnoteAlaemChar"/>
          <w:rtl/>
        </w:rPr>
        <w:t>عليه‌السلام</w:t>
      </w:r>
      <w:r w:rsidR="008A74EB" w:rsidRPr="00C9040A">
        <w:rPr>
          <w:rtl/>
        </w:rPr>
        <w:t xml:space="preserve"> ، مع زيادة في أوّله وآخره ؛ فيه ، ص 500 ، ضمن مناجاة الله عزّوجلّ لعيسى بن مريم </w:t>
      </w:r>
      <w:r w:rsidR="00117575" w:rsidRPr="00117575">
        <w:rPr>
          <w:rStyle w:val="libFootnoteAlaemChar"/>
          <w:rtl/>
        </w:rPr>
        <w:t xml:space="preserve">عليه‌السلام </w:t>
      </w:r>
      <w:r w:rsidR="008A74EB" w:rsidRPr="00C9040A">
        <w:rPr>
          <w:rtl/>
        </w:rPr>
        <w:t xml:space="preserve">؛ وص 507 ، ضمن مواعظ المسيح </w:t>
      </w:r>
      <w:r w:rsidR="00117575" w:rsidRPr="00117575">
        <w:rPr>
          <w:rStyle w:val="libFootnoteAlaemChar"/>
          <w:rtl/>
        </w:rPr>
        <w:t>عليه‌السلام</w:t>
      </w:r>
      <w:r w:rsidR="00C822D0">
        <w:rPr>
          <w:rtl/>
        </w:rPr>
        <w:t xml:space="preserve"> ، وفي كلّ المصادر ( إل</w:t>
      </w:r>
      <w:r w:rsidR="00C822D0">
        <w:rPr>
          <w:rFonts w:hint="cs"/>
          <w:rtl/>
        </w:rPr>
        <w:t>ّ</w:t>
      </w:r>
      <w:r w:rsidR="00C822D0">
        <w:rPr>
          <w:rtl/>
        </w:rPr>
        <w:t>ا</w:t>
      </w:r>
      <w:r w:rsidR="008A74EB" w:rsidRPr="00C9040A">
        <w:rPr>
          <w:rtl/>
        </w:rPr>
        <w:t xml:space="preserve"> </w:t>
      </w:r>
      <w:r w:rsidR="008A74EB" w:rsidRPr="00993B55">
        <w:rPr>
          <w:rStyle w:val="libFootnoteBoldChar"/>
          <w:rtl/>
        </w:rPr>
        <w:t>الأمالي</w:t>
      </w:r>
      <w:r w:rsidR="008A74EB" w:rsidRPr="00C9040A">
        <w:rPr>
          <w:rtl/>
        </w:rPr>
        <w:t xml:space="preserve"> للطوسي ) مع اختلاف يسير </w:t>
      </w:r>
      <w:r>
        <w:rPr>
          <w:rFonts w:hint="cs"/>
          <w:rtl/>
        </w:rPr>
        <w:t>.</w:t>
      </w:r>
      <w:r w:rsidR="008A74EB" w:rsidRPr="00993B55">
        <w:rPr>
          <w:rStyle w:val="libFootnoteBoldChar"/>
          <w:rtl/>
        </w:rPr>
        <w:t>الوافي</w:t>
      </w:r>
      <w:r w:rsidR="008A74EB" w:rsidRPr="00C9040A">
        <w:rPr>
          <w:rtl/>
        </w:rPr>
        <w:t xml:space="preserve"> ، ج 5 ، ص 889 ، ح 3229 ؛ </w:t>
      </w:r>
      <w:r w:rsidR="008A74EB" w:rsidRPr="00993B55">
        <w:rPr>
          <w:rStyle w:val="libFootnoteBoldChar"/>
          <w:rtl/>
        </w:rPr>
        <w:t>الوسائل</w:t>
      </w:r>
      <w:r w:rsidR="008A74EB" w:rsidRPr="00C9040A">
        <w:rPr>
          <w:rtl/>
        </w:rPr>
        <w:t xml:space="preserve"> ، ج 16 ، ص 8 ، ح 20821 ؛ </w:t>
      </w:r>
      <w:r w:rsidR="008A74EB" w:rsidRPr="00993B55">
        <w:rPr>
          <w:rStyle w:val="libFootnoteBoldChar"/>
          <w:rtl/>
        </w:rPr>
        <w:t>البحار</w:t>
      </w:r>
      <w:r w:rsidR="008A74EB" w:rsidRPr="00C9040A">
        <w:rPr>
          <w:rtl/>
        </w:rPr>
        <w:t xml:space="preserve"> ، ج 73 ، ص 7 ، ح 1.</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ج » : « عنه »</w:t>
      </w:r>
      <w:r w:rsidR="008A74EB">
        <w:rPr>
          <w:rtl/>
        </w:rPr>
        <w:t>.</w:t>
      </w:r>
      <w:r w:rsidR="008A74EB" w:rsidRPr="00C9040A">
        <w:rPr>
          <w:rtl/>
        </w:rPr>
        <w:t xml:space="preserve"> وفي « </w:t>
      </w:r>
      <w:r w:rsidR="006D3162">
        <w:rPr>
          <w:rtl/>
        </w:rPr>
        <w:t xml:space="preserve">ه </w:t>
      </w:r>
      <w:r w:rsidR="008A74EB" w:rsidRPr="00C9040A">
        <w:rPr>
          <w:rtl/>
        </w:rPr>
        <w:t>، بر » : + « بن إبراهيم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w:t>
      </w:r>
      <w:r w:rsidR="006D3162">
        <w:rPr>
          <w:rtl/>
        </w:rPr>
        <w:t xml:space="preserve">ه </w:t>
      </w:r>
      <w:r w:rsidR="008A74EB" w:rsidRPr="00C9040A">
        <w:rPr>
          <w:rtl/>
        </w:rPr>
        <w:t>» : « بشر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الذئب الضاري : الذي اعتاد بالصيد وإهلاكه ؛ من الضراوة بمعنى العادة ، يقال : ضَرِي بالشي‌ء ، إذا اعتاده فلايكاد يصبر عنه ، وضري الكلب بالصيد ، إذا تطعّم بلحمه ودمه. راجع : </w:t>
      </w:r>
      <w:r w:rsidR="008A74EB" w:rsidRPr="00993B55">
        <w:rPr>
          <w:rStyle w:val="libFootnoteBoldChar"/>
          <w:rtl/>
        </w:rPr>
        <w:t>النهاية</w:t>
      </w:r>
      <w:r w:rsidR="008A74EB" w:rsidRPr="00C9040A">
        <w:rPr>
          <w:rtl/>
        </w:rPr>
        <w:t xml:space="preserve"> ، ج 3 ، ص 86 ؛ </w:t>
      </w:r>
      <w:r w:rsidR="008A74EB" w:rsidRPr="00993B55">
        <w:rPr>
          <w:rStyle w:val="libFootnoteBoldChar"/>
          <w:rtl/>
        </w:rPr>
        <w:t>لسان العرب</w:t>
      </w:r>
      <w:r w:rsidR="008A74EB" w:rsidRPr="00C9040A">
        <w:rPr>
          <w:rtl/>
        </w:rPr>
        <w:t xml:space="preserve"> ، ج 14 ، ص 482 ( ضرا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الوسائل : « قد غاب عنها » بدل « قد فارقها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 الرعاء » : جمع راعي الغنم ، وقد يجمع على رُعاة. </w:t>
      </w:r>
      <w:r w:rsidR="008A74EB" w:rsidRPr="00993B55">
        <w:rPr>
          <w:rStyle w:val="libFootnoteBoldChar"/>
          <w:rtl/>
        </w:rPr>
        <w:t>النهاية</w:t>
      </w:r>
      <w:r w:rsidR="008A74EB" w:rsidRPr="00C9040A">
        <w:rPr>
          <w:rtl/>
        </w:rPr>
        <w:t xml:space="preserve"> ، ج 2 ، ص 235 ( رعى )</w:t>
      </w:r>
      <w:r w:rsidR="008A74EB">
        <w:rPr>
          <w:rtl/>
        </w:rPr>
        <w:t>.</w:t>
      </w:r>
    </w:p>
    <w:tbl>
      <w:tblPr>
        <w:tblStyle w:val="TableGrid"/>
        <w:bidiVisual/>
        <w:tblW w:w="0" w:type="auto"/>
        <w:tblLook w:val="04A0" w:firstRow="1" w:lastRow="0" w:firstColumn="1" w:lastColumn="0" w:noHBand="0" w:noVBand="1"/>
      </w:tblPr>
      <w:tblGrid>
        <w:gridCol w:w="4006"/>
        <w:gridCol w:w="4006"/>
      </w:tblGrid>
      <w:tr w:rsidR="00054696" w:rsidTr="00054696">
        <w:tc>
          <w:tcPr>
            <w:tcW w:w="4006" w:type="dxa"/>
          </w:tcPr>
          <w:p w:rsidR="00054696" w:rsidRDefault="00054696" w:rsidP="004A4E41">
            <w:pPr>
              <w:pStyle w:val="libFootnote0"/>
              <w:rPr>
                <w:rtl/>
              </w:rPr>
            </w:pPr>
            <w:r>
              <w:rPr>
                <w:rtl/>
              </w:rPr>
              <w:t xml:space="preserve">(6). </w:t>
            </w:r>
            <w:r w:rsidRPr="00C9040A">
              <w:rPr>
                <w:rtl/>
              </w:rPr>
              <w:t>في الوسائل : « بأضرّ »</w:t>
            </w:r>
            <w:r>
              <w:rPr>
                <w:rtl/>
              </w:rPr>
              <w:t>.</w:t>
            </w:r>
          </w:p>
        </w:tc>
        <w:tc>
          <w:tcPr>
            <w:tcW w:w="4006" w:type="dxa"/>
          </w:tcPr>
          <w:p w:rsidR="00054696" w:rsidRDefault="00054696" w:rsidP="004A4E41">
            <w:pPr>
              <w:pStyle w:val="libFootnote0"/>
              <w:rPr>
                <w:rtl/>
              </w:rPr>
            </w:pPr>
            <w:r>
              <w:rPr>
                <w:rtl/>
              </w:rPr>
              <w:t>(7).</w:t>
            </w:r>
            <w:r w:rsidRPr="00C9040A">
              <w:rPr>
                <w:rtl/>
              </w:rPr>
              <w:t xml:space="preserve"> في « ص ، </w:t>
            </w:r>
            <w:r>
              <w:rPr>
                <w:rtl/>
              </w:rPr>
              <w:t xml:space="preserve">ه </w:t>
            </w:r>
            <w:r w:rsidRPr="00C9040A">
              <w:rPr>
                <w:rtl/>
              </w:rPr>
              <w:t>، بر » والوافي : « الدنيا »</w:t>
            </w:r>
            <w:r>
              <w:rPr>
                <w:rtl/>
              </w:rPr>
              <w:t>.</w:t>
            </w:r>
          </w:p>
        </w:tc>
      </w:tr>
    </w:tbl>
    <w:p w:rsidR="008A74EB" w:rsidRPr="00C9040A" w:rsidRDefault="006C577F" w:rsidP="004A4E41">
      <w:pPr>
        <w:pStyle w:val="libFootnote0"/>
        <w:rPr>
          <w:rtl/>
          <w:lang w:bidi="fa-IR"/>
        </w:rPr>
      </w:pPr>
      <w:r>
        <w:rPr>
          <w:rtl/>
        </w:rPr>
        <w:t>(8).</w:t>
      </w:r>
      <w:r w:rsidR="008A74EB" w:rsidRPr="00C9040A">
        <w:rPr>
          <w:rtl/>
        </w:rPr>
        <w:t xml:space="preserve"> في البحار : « والثروة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w:t>
      </w:r>
      <w:r w:rsidR="008A74EB" w:rsidRPr="00993B55">
        <w:rPr>
          <w:rStyle w:val="libFootnoteBoldChar"/>
          <w:rtl/>
        </w:rPr>
        <w:t>الزهد</w:t>
      </w:r>
      <w:r w:rsidR="008A74EB" w:rsidRPr="00C9040A">
        <w:rPr>
          <w:rtl/>
        </w:rPr>
        <w:t xml:space="preserve"> ، ص 127 ، ح 158 ، بسند آخر عن أبي عبدالله </w:t>
      </w:r>
      <w:r w:rsidR="00117575" w:rsidRPr="00117575">
        <w:rPr>
          <w:rStyle w:val="libFootnoteAlaemChar"/>
          <w:rtl/>
        </w:rPr>
        <w:t>عليه‌السلام</w:t>
      </w:r>
      <w:r w:rsidR="008A74EB" w:rsidRPr="00C9040A">
        <w:rPr>
          <w:rtl/>
        </w:rPr>
        <w:t xml:space="preserve"> عن رسول الله </w:t>
      </w:r>
      <w:r w:rsidR="004A4E41" w:rsidRPr="00054696">
        <w:rPr>
          <w:rStyle w:val="libFootnoteAlaemChar"/>
          <w:rtl/>
        </w:rPr>
        <w:t>صلى‌الله‌عليه‌وآله</w:t>
      </w:r>
      <w:r w:rsidR="008A74EB" w:rsidRPr="00C9040A">
        <w:rPr>
          <w:rtl/>
        </w:rPr>
        <w:t xml:space="preserve"> ، مع اختلاف يسير ؛ </w:t>
      </w:r>
      <w:r w:rsidR="008A74EB" w:rsidRPr="00993B55">
        <w:rPr>
          <w:rStyle w:val="libFootnoteBoldChar"/>
          <w:rtl/>
        </w:rPr>
        <w:t>المؤمن</w:t>
      </w:r>
      <w:r w:rsidR="008A74EB" w:rsidRPr="00C9040A">
        <w:rPr>
          <w:rtl/>
        </w:rPr>
        <w:t xml:space="preserve"> ، ص 55 ، ضمن ح 141 ، عن إبراهيم التميمي ، عن أبي عبدالله </w:t>
      </w:r>
      <w:r w:rsidR="00117575" w:rsidRPr="00117575">
        <w:rPr>
          <w:rStyle w:val="libFootnoteAlaemChar"/>
          <w:rtl/>
        </w:rPr>
        <w:t>عليه‌السلام</w:t>
      </w:r>
      <w:r w:rsidR="008A74EB" w:rsidRPr="00C9040A">
        <w:rPr>
          <w:rtl/>
        </w:rPr>
        <w:t xml:space="preserve"> ، مع اختلاف </w:t>
      </w:r>
      <w:r w:rsidR="00054696">
        <w:rPr>
          <w:rFonts w:hint="cs"/>
          <w:rtl/>
        </w:rPr>
        <w:t>.</w:t>
      </w:r>
      <w:r w:rsidR="008A74EB" w:rsidRPr="00993B55">
        <w:rPr>
          <w:rStyle w:val="libFootnoteBoldChar"/>
          <w:rtl/>
        </w:rPr>
        <w:t>الوافي</w:t>
      </w:r>
      <w:r w:rsidR="008A74EB" w:rsidRPr="00C9040A">
        <w:rPr>
          <w:rtl/>
        </w:rPr>
        <w:t xml:space="preserve"> ، ج 5 ، ص 889 ، ح 3230 ؛ </w:t>
      </w:r>
      <w:r w:rsidR="008A74EB" w:rsidRPr="00993B55">
        <w:rPr>
          <w:rStyle w:val="libFootnoteBoldChar"/>
          <w:rtl/>
        </w:rPr>
        <w:t>الوسائل</w:t>
      </w:r>
      <w:r w:rsidR="008A74EB" w:rsidRPr="00C9040A">
        <w:rPr>
          <w:rtl/>
        </w:rPr>
        <w:t xml:space="preserve"> ، ج 16 ، ص 21 ، ح 20857 ؛ </w:t>
      </w:r>
      <w:r w:rsidR="008A74EB" w:rsidRPr="00993B55">
        <w:rPr>
          <w:rStyle w:val="libFootnoteBoldChar"/>
          <w:rtl/>
        </w:rPr>
        <w:t>البحار</w:t>
      </w:r>
      <w:r w:rsidR="008A74EB" w:rsidRPr="00C9040A">
        <w:rPr>
          <w:rtl/>
        </w:rPr>
        <w:t xml:space="preserve"> ، ج 73 ، ص 24 ، ح 14.</w:t>
      </w:r>
    </w:p>
    <w:tbl>
      <w:tblPr>
        <w:tblStyle w:val="TableGrid"/>
        <w:bidiVisual/>
        <w:tblW w:w="0" w:type="auto"/>
        <w:tblLook w:val="04A0" w:firstRow="1" w:lastRow="0" w:firstColumn="1" w:lastColumn="0" w:noHBand="0" w:noVBand="1"/>
      </w:tblPr>
      <w:tblGrid>
        <w:gridCol w:w="4006"/>
        <w:gridCol w:w="4006"/>
      </w:tblGrid>
      <w:tr w:rsidR="00054696" w:rsidTr="00054696">
        <w:tc>
          <w:tcPr>
            <w:tcW w:w="4006" w:type="dxa"/>
          </w:tcPr>
          <w:p w:rsidR="00054696" w:rsidRDefault="00054696" w:rsidP="004A4E41">
            <w:pPr>
              <w:pStyle w:val="libFootnote0"/>
              <w:rPr>
                <w:rtl/>
              </w:rPr>
            </w:pPr>
            <w:r>
              <w:rPr>
                <w:rtl/>
              </w:rPr>
              <w:t>(10).</w:t>
            </w:r>
            <w:r w:rsidRPr="00C9040A">
              <w:rPr>
                <w:rtl/>
              </w:rPr>
              <w:t xml:space="preserve"> في الوافي : « الدنيا »</w:t>
            </w:r>
            <w:r>
              <w:rPr>
                <w:rtl/>
              </w:rPr>
              <w:t>.</w:t>
            </w:r>
          </w:p>
        </w:tc>
        <w:tc>
          <w:tcPr>
            <w:tcW w:w="4006" w:type="dxa"/>
          </w:tcPr>
          <w:p w:rsidR="00054696" w:rsidRDefault="00054696" w:rsidP="004A4E41">
            <w:pPr>
              <w:pStyle w:val="libFootnote0"/>
              <w:rPr>
                <w:rtl/>
              </w:rPr>
            </w:pPr>
            <w:r>
              <w:rPr>
                <w:rtl/>
              </w:rPr>
              <w:t>(11).</w:t>
            </w:r>
            <w:r w:rsidRPr="00C9040A">
              <w:rPr>
                <w:rtl/>
              </w:rPr>
              <w:t xml:space="preserve"> في « ج » : « المسلم »</w:t>
            </w:r>
            <w:r>
              <w:rPr>
                <w:rtl/>
              </w:rPr>
              <w:t>.</w:t>
            </w:r>
          </w:p>
        </w:tc>
      </w:tr>
    </w:tbl>
    <w:p w:rsidR="008A74EB" w:rsidRPr="00C9040A" w:rsidRDefault="006C577F" w:rsidP="004A4E41">
      <w:pPr>
        <w:pStyle w:val="libFootnote0"/>
        <w:rPr>
          <w:rtl/>
          <w:lang w:bidi="fa-IR"/>
        </w:rPr>
      </w:pPr>
      <w:r>
        <w:rPr>
          <w:rtl/>
        </w:rPr>
        <w:t>(12).</w:t>
      </w:r>
      <w:r w:rsidR="008A74EB" w:rsidRPr="00C9040A">
        <w:rPr>
          <w:rtl/>
        </w:rPr>
        <w:t xml:space="preserve"> </w:t>
      </w:r>
      <w:r w:rsidR="008A74EB" w:rsidRPr="00993B55">
        <w:rPr>
          <w:rStyle w:val="libFootnoteBoldChar"/>
          <w:rtl/>
        </w:rPr>
        <w:t>الوافي</w:t>
      </w:r>
      <w:r w:rsidR="008A74EB" w:rsidRPr="00C9040A">
        <w:rPr>
          <w:rtl/>
        </w:rPr>
        <w:t xml:space="preserve"> ، ج 5 ، ص 889 ، ح 3232 ؛ </w:t>
      </w:r>
      <w:r w:rsidR="008A74EB" w:rsidRPr="00993B55">
        <w:rPr>
          <w:rStyle w:val="libFootnoteBoldChar"/>
          <w:rtl/>
        </w:rPr>
        <w:t>الوسائل</w:t>
      </w:r>
      <w:r w:rsidR="008A74EB" w:rsidRPr="00C9040A">
        <w:rPr>
          <w:rtl/>
        </w:rPr>
        <w:t xml:space="preserve"> ، ج 16 ، ص 21 ، ح 20857 ؛ </w:t>
      </w:r>
      <w:r w:rsidR="008A74EB" w:rsidRPr="00993B55">
        <w:rPr>
          <w:rStyle w:val="libFootnoteBoldChar"/>
          <w:rtl/>
        </w:rPr>
        <w:t>البحار</w:t>
      </w:r>
      <w:r w:rsidR="008A74EB" w:rsidRPr="00C9040A">
        <w:rPr>
          <w:rtl/>
        </w:rPr>
        <w:t xml:space="preserve"> ، ج 73 ، ص 24 ، ح 15.</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الْخَزَّازِ </w:t>
      </w:r>
      <w:r w:rsidR="006C577F" w:rsidRPr="006C577F">
        <w:rPr>
          <w:rStyle w:val="libFootnotenumChar"/>
          <w:rtl/>
        </w:rPr>
        <w:t>(1)</w:t>
      </w:r>
      <w:r w:rsidRPr="00C9040A">
        <w:rPr>
          <w:rtl/>
          <w:lang w:bidi="fa-IR"/>
        </w:rPr>
        <w:t xml:space="preserve"> ، عَنْ غِيَاثِ بْنِ إِبْرَاهِيمَ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إِنَّ الشَّيْطَانَ يُدِيرُ </w:t>
      </w:r>
      <w:r w:rsidR="006C577F" w:rsidRPr="006C577F">
        <w:rPr>
          <w:rStyle w:val="libFootnotenumChar"/>
          <w:rtl/>
        </w:rPr>
        <w:t>(2)</w:t>
      </w:r>
      <w:r w:rsidRPr="00C9040A">
        <w:rPr>
          <w:rtl/>
          <w:lang w:bidi="fa-IR"/>
        </w:rPr>
        <w:t xml:space="preserve"> ابْنَ آدَمَ فِي كُلِّ شَيْ‌ءٍ ، فَإِذَا </w:t>
      </w:r>
      <w:r w:rsidR="006C577F" w:rsidRPr="006C577F">
        <w:rPr>
          <w:rStyle w:val="libFootnotenumChar"/>
          <w:rtl/>
        </w:rPr>
        <w:t>(3)</w:t>
      </w:r>
      <w:r w:rsidRPr="00C9040A">
        <w:rPr>
          <w:rtl/>
          <w:lang w:bidi="fa-IR"/>
        </w:rPr>
        <w:t xml:space="preserve"> أَعْيَاهُ </w:t>
      </w:r>
      <w:r w:rsidR="006C577F" w:rsidRPr="006C577F">
        <w:rPr>
          <w:rStyle w:val="libFootnotenumChar"/>
          <w:rtl/>
        </w:rPr>
        <w:t>(4)</w:t>
      </w:r>
      <w:r w:rsidRPr="00C9040A">
        <w:rPr>
          <w:rtl/>
          <w:lang w:bidi="fa-IR"/>
        </w:rPr>
        <w:t xml:space="preserve"> ، جَثَمَ </w:t>
      </w:r>
      <w:r w:rsidR="006C577F" w:rsidRPr="006C577F">
        <w:rPr>
          <w:rStyle w:val="libFootnotenumChar"/>
          <w:rtl/>
        </w:rPr>
        <w:t>(5)</w:t>
      </w:r>
      <w:r w:rsidRPr="00C9040A">
        <w:rPr>
          <w:rtl/>
          <w:lang w:bidi="fa-IR"/>
        </w:rPr>
        <w:t xml:space="preserve"> لَهُ عِنْدَ الْمَالِ ، فَأَخَذَ بِرَقَبَتِهِ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Normal"/>
        <w:rPr>
          <w:rtl/>
          <w:lang w:bidi="fa-IR"/>
        </w:rPr>
      </w:pPr>
      <w:r w:rsidRPr="00F3273E">
        <w:rPr>
          <w:rtl/>
        </w:rPr>
        <w:t>2590</w:t>
      </w:r>
      <w:r w:rsidRPr="00261CB0">
        <w:rPr>
          <w:rStyle w:val="libBold2Char"/>
          <w:rtl/>
        </w:rPr>
        <w:t xml:space="preserve"> / 5.</w:t>
      </w:r>
      <w:r w:rsidRPr="00C9040A">
        <w:rPr>
          <w:rtl/>
          <w:lang w:bidi="fa-IR"/>
        </w:rPr>
        <w:t xml:space="preserve"> عَنْهُ ، عَنْ أَحْمَدَ بْنِ مُحَمَّدٍ ، عَنْ عَلِيِّ بْنِ النُّعْمَانِ ، عَنْ أَبِي أُسَامَةَ زَيْدٍ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مَنْ لَمْ يَتَعَزَّ بِعَزَاءِ اللهِ </w:t>
      </w:r>
      <w:r w:rsidR="006C577F" w:rsidRPr="006C577F">
        <w:rPr>
          <w:rStyle w:val="libFootnotenumChar"/>
          <w:rtl/>
        </w:rPr>
        <w:t>(8)</w:t>
      </w:r>
      <w:r w:rsidRPr="00C9040A">
        <w:rPr>
          <w:rtl/>
          <w:lang w:bidi="fa-IR"/>
        </w:rPr>
        <w:t xml:space="preserve"> ، تَقَطَّعَتْ نَفْسُهُ حَسَرَاتٍ عَلَى الدُّنْيَا ؛ وَمَنْ أَتْبَعَ </w:t>
      </w:r>
      <w:r w:rsidR="006C577F" w:rsidRPr="006C577F">
        <w:rPr>
          <w:rStyle w:val="libFootnotenumChar"/>
          <w:rtl/>
        </w:rPr>
        <w:t>(9)</w:t>
      </w:r>
      <w:r w:rsidRPr="00C9040A">
        <w:rPr>
          <w:rtl/>
          <w:lang w:bidi="fa-IR"/>
        </w:rPr>
        <w:t xml:space="preserve"> بَصَرَهُ </w:t>
      </w:r>
      <w:r w:rsidR="006C577F" w:rsidRPr="006C577F">
        <w:rPr>
          <w:rStyle w:val="libFootnotenumChar"/>
          <w:rtl/>
        </w:rPr>
        <w:t>(10)</w:t>
      </w:r>
      <w:r w:rsidRPr="00C9040A">
        <w:rPr>
          <w:rtl/>
          <w:lang w:bidi="fa-IR"/>
        </w:rPr>
        <w:t xml:space="preserve"> مَا فِي أَيْدِي النَّاسِ ، كَثُرَ هَمُّهُ ، وَلَمْ يَشْفِ غَيْظَهُ ؛ وَمَنْ لَمْ يَرَ </w:t>
      </w:r>
      <w:r w:rsidR="006C577F" w:rsidRPr="006C577F">
        <w:rPr>
          <w:rStyle w:val="libFootnotenumChar"/>
          <w:rtl/>
        </w:rPr>
        <w:t>(11)</w:t>
      </w:r>
      <w:r w:rsidRPr="00C9040A">
        <w:rPr>
          <w:rtl/>
          <w:lang w:bidi="fa-IR"/>
        </w:rPr>
        <w:t xml:space="preserve"> لِلّهِ </w:t>
      </w:r>
      <w:r w:rsidR="006C577F" w:rsidRPr="006C577F">
        <w:rPr>
          <w:rStyle w:val="libFootnotenumChar"/>
          <w:rtl/>
        </w:rPr>
        <w:t>(12)</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عَلَيْهِ </w:t>
      </w:r>
      <w:r w:rsidRPr="005B567D">
        <w:rPr>
          <w:rStyle w:val="libFootnotenumChar"/>
          <w:rtl/>
        </w:rPr>
        <w:t>(13)</w:t>
      </w:r>
      <w:r w:rsidR="00054696">
        <w:rPr>
          <w:rtl/>
          <w:lang w:bidi="fa-IR"/>
        </w:rPr>
        <w:t xml:space="preserve"> نِعْمَةً إِل</w:t>
      </w:r>
      <w:r w:rsidR="00054696">
        <w:rPr>
          <w:rFonts w:hint="cs"/>
          <w:rtl/>
          <w:lang w:bidi="fa-IR"/>
        </w:rPr>
        <w:t>َّ</w:t>
      </w:r>
      <w:r w:rsidR="00054696">
        <w:rPr>
          <w:rtl/>
          <w:lang w:bidi="fa-IR"/>
        </w:rPr>
        <w:t>ا</w:t>
      </w:r>
      <w:r w:rsidRPr="00C9040A">
        <w:rPr>
          <w:rtl/>
          <w:lang w:bidi="fa-IR"/>
        </w:rPr>
        <w:t xml:space="preserve"> فِي مَطْعَمٍ أَوْ مَشْرَبٍ أَوْ مَلْبَسٍ ، فَقَدْ قَصَرَ عَمَلُهُ </w:t>
      </w:r>
      <w:r w:rsidRPr="005B567D">
        <w:rPr>
          <w:rStyle w:val="libFootnotenumChar"/>
          <w:rtl/>
        </w:rPr>
        <w:t>(14)</w:t>
      </w:r>
      <w:r w:rsidRPr="00C9040A">
        <w:rPr>
          <w:rtl/>
          <w:lang w:bidi="fa-IR"/>
        </w:rPr>
        <w:t xml:space="preserve"> ،</w:t>
      </w:r>
      <w:r w:rsidR="009B54B4">
        <w:rPr>
          <w:rFonts w:hint="cs"/>
          <w:rtl/>
          <w:lang w:bidi="fa-IR"/>
        </w:rPr>
        <w:t>..........................................................</w:t>
      </w:r>
      <w:r w:rsidR="009B54B4">
        <w:rPr>
          <w:rFonts w:hint="cs"/>
          <w:rtl/>
          <w:lang w:bidi="fa-IR"/>
        </w:rPr>
        <w:tab/>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ج ، ز ، ص ، بر ، بس » : « الخرّاز »</w:t>
      </w:r>
      <w:r w:rsidR="008A74EB">
        <w:rPr>
          <w:rtl/>
        </w:rPr>
        <w:t>.</w:t>
      </w:r>
      <w:r w:rsidR="008A74EB" w:rsidRPr="00C9040A">
        <w:rPr>
          <w:rtl/>
        </w:rPr>
        <w:t xml:space="preserve"> وهو سهو. راجع : </w:t>
      </w:r>
      <w:r w:rsidR="008A74EB" w:rsidRPr="00993B55">
        <w:rPr>
          <w:rStyle w:val="libFootnoteBoldChar"/>
          <w:rtl/>
        </w:rPr>
        <w:t>رجال النجاشي</w:t>
      </w:r>
      <w:r w:rsidR="008A74EB" w:rsidRPr="00C9040A">
        <w:rPr>
          <w:rtl/>
        </w:rPr>
        <w:t xml:space="preserve"> ، ص 359 ، الرقم 964 ؛ </w:t>
      </w:r>
      <w:r w:rsidR="008A74EB" w:rsidRPr="00993B55">
        <w:rPr>
          <w:rStyle w:val="libFootnoteBoldChar"/>
          <w:rtl/>
        </w:rPr>
        <w:t>خلاصة الأقوال</w:t>
      </w:r>
      <w:r w:rsidR="008A74EB" w:rsidRPr="00C9040A">
        <w:rPr>
          <w:rtl/>
        </w:rPr>
        <w:t xml:space="preserve"> ، ص 158 ، الرقم 120 ؛ </w:t>
      </w:r>
      <w:r w:rsidR="008A74EB" w:rsidRPr="00993B55">
        <w:rPr>
          <w:rStyle w:val="libFootnoteBoldChar"/>
          <w:rtl/>
        </w:rPr>
        <w:t>رجال ابن داود</w:t>
      </w:r>
      <w:r w:rsidR="008A74EB" w:rsidRPr="00C9040A">
        <w:rPr>
          <w:rtl/>
        </w:rPr>
        <w:t xml:space="preserve"> ، ص 340 ، الرقم 1499.</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ص » : « يريد »</w:t>
      </w:r>
      <w:r w:rsidR="008A74EB">
        <w:rPr>
          <w:rtl/>
        </w:rPr>
        <w:t>.</w:t>
      </w:r>
      <w:r w:rsidR="008A74EB" w:rsidRPr="00C9040A">
        <w:rPr>
          <w:rtl/>
        </w:rPr>
        <w:t xml:space="preserve"> وفي البحار : « يدبّر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 أي يبعثه على ارتكاب كلّ ضلالة ومعصية ، أويكون معه ويلازمه عند عروض كلّ شبهة أو شهوة ، لعلّه يضلّه أو يزلّه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w:t>
      </w:r>
      <w:r w:rsidR="006D3162">
        <w:rPr>
          <w:rtl/>
        </w:rPr>
        <w:t xml:space="preserve">ه </w:t>
      </w:r>
      <w:r w:rsidR="008A74EB" w:rsidRPr="00C9040A">
        <w:rPr>
          <w:rtl/>
        </w:rPr>
        <w:t>» : « فإذ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 أعياه » : أعجزه ، من قولهم : داءٌ عياء ، أي صعب لا دواء له ، كأنّه أعيا الأطبّاء. راجع : </w:t>
      </w:r>
      <w:r w:rsidR="008A74EB" w:rsidRPr="00993B55">
        <w:rPr>
          <w:rStyle w:val="libFootnoteBoldChar"/>
          <w:rtl/>
        </w:rPr>
        <w:t>الصحاح</w:t>
      </w:r>
      <w:r w:rsidR="008A74EB" w:rsidRPr="00C9040A">
        <w:rPr>
          <w:rtl/>
        </w:rPr>
        <w:t xml:space="preserve"> ، ج 6 ، ص 2443 ( عيى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جَثَم يجثِم جُثوماً ، أي لزم مكاناً لايبرح. </w:t>
      </w:r>
      <w:r w:rsidR="008A74EB" w:rsidRPr="00993B55">
        <w:rPr>
          <w:rStyle w:val="libFootnoteBoldChar"/>
          <w:rtl/>
        </w:rPr>
        <w:t>ترتيب كتاب</w:t>
      </w:r>
      <w:r w:rsidR="008A74EB" w:rsidRPr="00C9040A">
        <w:rPr>
          <w:rtl/>
        </w:rPr>
        <w:t xml:space="preserve"> </w:t>
      </w:r>
      <w:r w:rsidR="008A74EB" w:rsidRPr="00993B55">
        <w:rPr>
          <w:rStyle w:val="libFootnoteBoldChar"/>
          <w:rtl/>
        </w:rPr>
        <w:t>العين</w:t>
      </w:r>
      <w:r w:rsidR="008A74EB" w:rsidRPr="00C9040A">
        <w:rPr>
          <w:rtl/>
        </w:rPr>
        <w:t xml:space="preserve"> ، ج 1 ، ص 262 ( جثم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الوافي</w:t>
      </w:r>
      <w:r w:rsidR="008A74EB" w:rsidRPr="00C9040A">
        <w:rPr>
          <w:rtl/>
        </w:rPr>
        <w:t xml:space="preserve"> ، ج 5 ، ص 890 ، ح 3233 ؛ </w:t>
      </w:r>
      <w:r w:rsidR="008A74EB" w:rsidRPr="00993B55">
        <w:rPr>
          <w:rStyle w:val="libFootnoteBoldChar"/>
          <w:rtl/>
        </w:rPr>
        <w:t>الوسائل</w:t>
      </w:r>
      <w:r w:rsidR="008A74EB" w:rsidRPr="00C9040A">
        <w:rPr>
          <w:rtl/>
        </w:rPr>
        <w:t xml:space="preserve"> ، ج 16 ، ص 21 ، ح 20858 ؛ </w:t>
      </w:r>
      <w:r w:rsidR="008A74EB" w:rsidRPr="00993B55">
        <w:rPr>
          <w:rStyle w:val="libFootnoteBoldChar"/>
          <w:rtl/>
        </w:rPr>
        <w:t>البحار</w:t>
      </w:r>
      <w:r w:rsidR="008A74EB" w:rsidRPr="00C9040A">
        <w:rPr>
          <w:rtl/>
        </w:rPr>
        <w:t xml:space="preserve"> ، ج 63 ، ص 260 ، ح 135 ؛ وج 73 ، ص 22 ، ح 11.</w:t>
      </w:r>
    </w:p>
    <w:p w:rsidR="008A74EB" w:rsidRPr="00C9040A" w:rsidRDefault="006C577F" w:rsidP="004A4E41">
      <w:pPr>
        <w:pStyle w:val="libFootnote0"/>
        <w:rPr>
          <w:rtl/>
          <w:lang w:bidi="fa-IR"/>
        </w:rPr>
      </w:pPr>
      <w:r>
        <w:rPr>
          <w:rtl/>
        </w:rPr>
        <w:t>(7).</w:t>
      </w:r>
      <w:r w:rsidR="008A74EB" w:rsidRPr="00C9040A">
        <w:rPr>
          <w:rtl/>
        </w:rPr>
        <w:t xml:space="preserve"> في « </w:t>
      </w:r>
      <w:r w:rsidR="006D3162">
        <w:rPr>
          <w:rtl/>
        </w:rPr>
        <w:t xml:space="preserve">ه </w:t>
      </w:r>
      <w:r w:rsidR="008A74EB" w:rsidRPr="00C9040A">
        <w:rPr>
          <w:rtl/>
        </w:rPr>
        <w:t xml:space="preserve">، بر » </w:t>
      </w:r>
      <w:r w:rsidR="008A74EB">
        <w:rPr>
          <w:rtl/>
        </w:rPr>
        <w:t xml:space="preserve">: </w:t>
      </w:r>
      <w:r w:rsidR="0084262C">
        <w:rPr>
          <w:rtl/>
        </w:rPr>
        <w:t>-</w:t>
      </w:r>
      <w:r w:rsidR="008A74EB" w:rsidRPr="00C9040A">
        <w:rPr>
          <w:rtl/>
        </w:rPr>
        <w:t xml:space="preserve"> « زيد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 بر » : « لله »</w:t>
      </w:r>
      <w:r w:rsidR="008A74EB">
        <w:rPr>
          <w:rtl/>
        </w:rPr>
        <w:t>.</w:t>
      </w:r>
      <w:r w:rsidR="008A74EB" w:rsidRPr="00C9040A">
        <w:rPr>
          <w:rtl/>
        </w:rPr>
        <w:t xml:space="preserve"> وفي الوافي : « العزاء : الصبر والسلوة ، أو حسن الصبر »</w:t>
      </w:r>
      <w:r w:rsidR="008A74EB">
        <w:rPr>
          <w:rtl/>
        </w:rPr>
        <w:t>.</w:t>
      </w:r>
      <w:r w:rsidR="008A74EB" w:rsidRPr="00C9040A">
        <w:rPr>
          <w:rtl/>
        </w:rPr>
        <w:t xml:space="preserve"> وراجع أيضاً : </w:t>
      </w:r>
      <w:r w:rsidR="008A74EB" w:rsidRPr="00993B55">
        <w:rPr>
          <w:rStyle w:val="libFootnoteBoldChar"/>
          <w:rtl/>
        </w:rPr>
        <w:t>المصباح المنير</w:t>
      </w:r>
      <w:r w:rsidR="008A74EB" w:rsidRPr="00C9040A">
        <w:rPr>
          <w:rtl/>
        </w:rPr>
        <w:t xml:space="preserve"> ، ص 408 ؛ </w:t>
      </w:r>
      <w:r w:rsidR="008A74EB" w:rsidRPr="00993B55">
        <w:rPr>
          <w:rStyle w:val="libFootnoteBoldChar"/>
          <w:rtl/>
        </w:rPr>
        <w:t>القاموس المحيط</w:t>
      </w:r>
      <w:r w:rsidR="008A74EB" w:rsidRPr="00C9040A">
        <w:rPr>
          <w:rtl/>
        </w:rPr>
        <w:t xml:space="preserve"> ، ج 2 ، ص 1718 ( عزا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ب » : « اتّبع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مرآة العقول : « نظره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في « ص ، بر ، بف » وحاشية « ج » : + « بأنّ »</w:t>
      </w:r>
      <w:r w:rsidR="008A74EB">
        <w:rPr>
          <w:rtl/>
        </w:rPr>
        <w:t>.</w:t>
      </w:r>
      <w:r w:rsidR="008A74EB" w:rsidRPr="00C9040A">
        <w:rPr>
          <w:rtl/>
        </w:rPr>
        <w:t xml:space="preserve"> وفي « </w:t>
      </w:r>
      <w:r w:rsidR="006D3162">
        <w:rPr>
          <w:rtl/>
        </w:rPr>
        <w:t xml:space="preserve">ه </w:t>
      </w:r>
      <w:r w:rsidR="008A74EB" w:rsidRPr="00C9040A">
        <w:rPr>
          <w:rtl/>
        </w:rPr>
        <w:t>» ومرآة العقول والوافي : + « أنّ »</w:t>
      </w:r>
      <w:r w:rsidR="008A74EB">
        <w:rPr>
          <w:rtl/>
        </w:rPr>
        <w:t>.</w:t>
      </w:r>
    </w:p>
    <w:tbl>
      <w:tblPr>
        <w:tblStyle w:val="TableGrid"/>
        <w:bidiVisual/>
        <w:tblW w:w="0" w:type="auto"/>
        <w:tblLook w:val="04A0" w:firstRow="1" w:lastRow="0" w:firstColumn="1" w:lastColumn="0" w:noHBand="0" w:noVBand="1"/>
      </w:tblPr>
      <w:tblGrid>
        <w:gridCol w:w="4006"/>
        <w:gridCol w:w="4006"/>
      </w:tblGrid>
      <w:tr w:rsidR="009B54B4" w:rsidTr="009B54B4">
        <w:tc>
          <w:tcPr>
            <w:tcW w:w="4006" w:type="dxa"/>
          </w:tcPr>
          <w:p w:rsidR="009B54B4" w:rsidRDefault="009B54B4" w:rsidP="004A4E41">
            <w:pPr>
              <w:pStyle w:val="libFootnote0"/>
              <w:rPr>
                <w:rtl/>
              </w:rPr>
            </w:pPr>
            <w:r>
              <w:rPr>
                <w:rtl/>
              </w:rPr>
              <w:t>(12).</w:t>
            </w:r>
            <w:r w:rsidRPr="00C9040A">
              <w:rPr>
                <w:rtl/>
              </w:rPr>
              <w:t xml:space="preserve"> في « ص » : « الله »</w:t>
            </w:r>
            <w:r>
              <w:rPr>
                <w:rtl/>
              </w:rPr>
              <w:t>.</w:t>
            </w:r>
          </w:p>
        </w:tc>
        <w:tc>
          <w:tcPr>
            <w:tcW w:w="4006" w:type="dxa"/>
          </w:tcPr>
          <w:p w:rsidR="009B54B4" w:rsidRDefault="009B54B4" w:rsidP="004A4E41">
            <w:pPr>
              <w:pStyle w:val="libFootnote0"/>
              <w:rPr>
                <w:rtl/>
              </w:rPr>
            </w:pPr>
            <w:r>
              <w:rPr>
                <w:rtl/>
              </w:rPr>
              <w:t>(13)</w:t>
            </w:r>
            <w:r w:rsidRPr="00C9040A">
              <w:rPr>
                <w:rtl/>
              </w:rPr>
              <w:t xml:space="preserve"> في « بس » </w:t>
            </w:r>
            <w:r>
              <w:rPr>
                <w:rtl/>
              </w:rPr>
              <w:t>: -</w:t>
            </w:r>
            <w:r w:rsidRPr="00C9040A">
              <w:rPr>
                <w:rtl/>
              </w:rPr>
              <w:t xml:space="preserve"> « عليه »</w:t>
            </w:r>
            <w:r>
              <w:rPr>
                <w:rtl/>
              </w:rPr>
              <w:t>.</w:t>
            </w:r>
          </w:p>
        </w:tc>
      </w:tr>
    </w:tbl>
    <w:p w:rsidR="008A74EB" w:rsidRPr="00C9040A" w:rsidRDefault="008A74EB" w:rsidP="004A4E41">
      <w:pPr>
        <w:pStyle w:val="libFootnote0"/>
        <w:rPr>
          <w:rtl/>
          <w:lang w:bidi="fa-IR"/>
        </w:rPr>
      </w:pPr>
      <w:r>
        <w:rPr>
          <w:rtl/>
        </w:rPr>
        <w:t>(14)</w:t>
      </w:r>
      <w:r w:rsidRPr="00C9040A">
        <w:rPr>
          <w:rtl/>
        </w:rPr>
        <w:t xml:space="preserve"> في « </w:t>
      </w:r>
      <w:r w:rsidR="006D3162">
        <w:rPr>
          <w:rtl/>
        </w:rPr>
        <w:t xml:space="preserve">ه </w:t>
      </w:r>
      <w:r w:rsidRPr="00C9040A">
        <w:rPr>
          <w:rtl/>
        </w:rPr>
        <w:t>» وحاشية « بر » : « قضي عليه » بدل « قصر عمله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وَدَنَا عَذَابُهُ </w:t>
      </w:r>
      <w:r w:rsidR="006C577F" w:rsidRPr="006C577F">
        <w:rPr>
          <w:rStyle w:val="libFootnotenumChar"/>
          <w:rtl/>
        </w:rPr>
        <w:t>(1)</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F3273E">
        <w:rPr>
          <w:rtl/>
        </w:rPr>
        <w:t>2591</w:t>
      </w:r>
      <w:r w:rsidRPr="00261CB0">
        <w:rPr>
          <w:rStyle w:val="libBold2Char"/>
          <w:rtl/>
        </w:rPr>
        <w:t xml:space="preserve"> / 6.</w:t>
      </w:r>
      <w:r w:rsidRPr="00C9040A">
        <w:rPr>
          <w:rtl/>
          <w:lang w:bidi="fa-IR"/>
        </w:rPr>
        <w:t xml:space="preserve"> عِدَّةٌ مِنْ أَصْحَابِنَا ، عَنْ أَحْمَدَ بْنِ أَبِي عَبْدِ اللهِ ، عَنْ </w:t>
      </w:r>
      <w:r w:rsidR="006C577F" w:rsidRPr="006C577F">
        <w:rPr>
          <w:rStyle w:val="libFootnotenumChar"/>
          <w:rtl/>
        </w:rPr>
        <w:t>(3)</w:t>
      </w:r>
      <w:r w:rsidRPr="00C9040A">
        <w:rPr>
          <w:rtl/>
          <w:lang w:bidi="fa-IR"/>
        </w:rPr>
        <w:t xml:space="preserve"> يَعْقُوبَ بْنِ يزِيدَ ، عَنْ زِيَادٍ الْقَنْدِيِّ ، عَنْ أَبِي وَكِيعٍ ، عَنْ أَبِي إِسْحَاقَ السَّبِيعِيِّ ، عَنِ الْحَارِثِ الْأَعْوَرِ :</w:t>
      </w:r>
    </w:p>
    <w:p w:rsidR="008A74EB" w:rsidRPr="00C9040A" w:rsidRDefault="008A74EB" w:rsidP="008A74EB">
      <w:pPr>
        <w:pStyle w:val="libNormal"/>
        <w:rPr>
          <w:rtl/>
          <w:lang w:bidi="fa-IR"/>
        </w:rPr>
      </w:pPr>
      <w:r w:rsidRPr="00C9040A">
        <w:rPr>
          <w:rtl/>
          <w:lang w:bidi="fa-IR"/>
        </w:rPr>
        <w:t xml:space="preserve">عَنْ أَمِيرِ الْمُؤْمِنِينَ </w:t>
      </w:r>
      <w:r w:rsidRPr="0003660B">
        <w:rPr>
          <w:rStyle w:val="libAlaemChar"/>
          <w:rtl/>
        </w:rPr>
        <w:t>عليه‌السلام</w:t>
      </w:r>
      <w:r w:rsidRPr="00C9040A">
        <w:rPr>
          <w:rtl/>
          <w:lang w:bidi="fa-IR"/>
        </w:rPr>
        <w:t xml:space="preserve"> ، قَالَ : « قَالَ رَسُولُ اللهِ </w:t>
      </w:r>
      <w:r w:rsidR="006C577F" w:rsidRPr="006C577F">
        <w:rPr>
          <w:rStyle w:val="libFootnotenumChar"/>
          <w:rtl/>
        </w:rPr>
        <w:t>(4)</w:t>
      </w:r>
      <w:r w:rsidRPr="00C9040A">
        <w:rPr>
          <w:rtl/>
          <w:lang w:bidi="fa-IR"/>
        </w:rPr>
        <w:t xml:space="preserve"> </w:t>
      </w:r>
      <w:r w:rsidR="004A4E41" w:rsidRPr="004A4E41">
        <w:rPr>
          <w:rStyle w:val="libAlaemChar"/>
          <w:rtl/>
        </w:rPr>
        <w:t>صلى‌الله‌عليه‌وآله</w:t>
      </w:r>
      <w:r w:rsidRPr="00C9040A">
        <w:rPr>
          <w:rtl/>
          <w:lang w:bidi="fa-IR"/>
        </w:rPr>
        <w:t xml:space="preserve"> : إِنَّ </w:t>
      </w:r>
      <w:r w:rsidR="006C577F" w:rsidRPr="006C577F">
        <w:rPr>
          <w:rStyle w:val="libFootnotenumChar"/>
          <w:rtl/>
        </w:rPr>
        <w:t>(5)</w:t>
      </w:r>
      <w:r w:rsidRPr="00C9040A">
        <w:rPr>
          <w:rtl/>
          <w:lang w:bidi="fa-IR"/>
        </w:rPr>
        <w:t xml:space="preserve"> الدِّينَارَ وَالدِّرْهَمَ أَهْلَكَا مَنْ كَانَ قَبْلَكُمْ ، وَهُمَا مُهْلِكَاكُمْ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Normal"/>
        <w:rPr>
          <w:rtl/>
          <w:lang w:bidi="fa-IR"/>
        </w:rPr>
      </w:pPr>
      <w:r w:rsidRPr="00F3273E">
        <w:rPr>
          <w:rtl/>
        </w:rPr>
        <w:t>2592</w:t>
      </w:r>
      <w:r w:rsidRPr="00261CB0">
        <w:rPr>
          <w:rStyle w:val="libBold2Char"/>
          <w:rtl/>
        </w:rPr>
        <w:t xml:space="preserve"> / 7.</w:t>
      </w:r>
      <w:r w:rsidRPr="00C9040A">
        <w:rPr>
          <w:rtl/>
          <w:lang w:bidi="fa-IR"/>
        </w:rPr>
        <w:t xml:space="preserve"> عَلِيُّ بْنُ إِبْرَاهِيمَ ، عَنْ مُحَمَّدِ بْنِ عِيسى ، عَنْ يَحْيَى بْنِ عُقْبَةَ الْأَزْدِيِّ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w:t>
      </w:r>
      <w:r w:rsidR="008A74EB" w:rsidRPr="00993B55">
        <w:rPr>
          <w:rStyle w:val="libFootnoteBoldChar"/>
          <w:rtl/>
        </w:rPr>
        <w:t>الوافي</w:t>
      </w:r>
      <w:r w:rsidR="008A74EB" w:rsidRPr="00C9040A">
        <w:rPr>
          <w:rtl/>
        </w:rPr>
        <w:t xml:space="preserve"> : « معنى الحديث أنّ من لم يصبر ولم يسلُ ، أو لم يحسن الصبر والسلوة على ما رزقه الله من الدنيا ، بل أراد الزيادة في المال أو الجاه ممّا لم يرزقه إيّاه ، تقطّعت نفسه متحسّراً حسرة بعد حسرة على ما يراه في يدي غيره ممّن فاق عليه في العيش ، فهو لم يزل يتبع بصره ما في أيدي الناس ، ومن أتبع بصره ما في أيدي الناس كثر همّه ولم يشف غيظه ، فهو لم ير أنّ لله‌</w:t>
      </w:r>
      <w:r w:rsidR="009B54B4">
        <w:rPr>
          <w:rFonts w:hint="cs"/>
          <w:rtl/>
        </w:rPr>
        <w:t xml:space="preserve"> </w:t>
      </w:r>
      <w:r w:rsidR="009B54B4">
        <w:rPr>
          <w:rtl/>
        </w:rPr>
        <w:t>عليه نعمة إل</w:t>
      </w:r>
      <w:r w:rsidR="009B54B4">
        <w:rPr>
          <w:rFonts w:hint="cs"/>
          <w:rtl/>
        </w:rPr>
        <w:t>ّ</w:t>
      </w:r>
      <w:r w:rsidR="009B54B4">
        <w:rPr>
          <w:rtl/>
        </w:rPr>
        <w:t>ا</w:t>
      </w:r>
      <w:r w:rsidR="009B54B4">
        <w:rPr>
          <w:rFonts w:hint="cs"/>
          <w:rtl/>
        </w:rPr>
        <w:t xml:space="preserve"> </w:t>
      </w:r>
      <w:r w:rsidR="008A74EB" w:rsidRPr="00C9040A">
        <w:rPr>
          <w:rtl/>
        </w:rPr>
        <w:t>نعم الدنيا ، وإنّما يكون كذلك من لايوقن بالآخرة ، ومن لم يوقن بالآخرة قصر عمله ،</w:t>
      </w:r>
      <w:r w:rsidR="009B54B4">
        <w:rPr>
          <w:rtl/>
        </w:rPr>
        <w:t xml:space="preserve"> وإذ ليس له من الدنيا بزعمه إل</w:t>
      </w:r>
      <w:r w:rsidR="009B54B4">
        <w:rPr>
          <w:rFonts w:hint="cs"/>
          <w:rtl/>
        </w:rPr>
        <w:t>ّ</w:t>
      </w:r>
      <w:r w:rsidR="009B54B4">
        <w:rPr>
          <w:rtl/>
        </w:rPr>
        <w:t>ا</w:t>
      </w:r>
      <w:r w:rsidR="009B54B4">
        <w:rPr>
          <w:rFonts w:hint="cs"/>
          <w:rtl/>
        </w:rPr>
        <w:t xml:space="preserve"> </w:t>
      </w:r>
      <w:r w:rsidR="008A74EB" w:rsidRPr="00C9040A">
        <w:rPr>
          <w:rtl/>
        </w:rPr>
        <w:t>قليل مع شدّة طمعه في الدنيا وزينتها ، فقد دنا عذابه ؛ نعوذ بالله من ذلك ، ومنشأ ذلك كلّه الجهل وضعف الإيمان.</w:t>
      </w:r>
    </w:p>
    <w:p w:rsidR="008A74EB" w:rsidRPr="00C9040A" w:rsidRDefault="009B54B4" w:rsidP="004A4E41">
      <w:pPr>
        <w:pStyle w:val="libFootnote0"/>
        <w:rPr>
          <w:rtl/>
          <w:lang w:bidi="fa-IR"/>
        </w:rPr>
      </w:pPr>
      <w:r>
        <w:rPr>
          <w:rtl/>
        </w:rPr>
        <w:t>وأيضاً لم</w:t>
      </w:r>
      <w:r>
        <w:rPr>
          <w:rFonts w:hint="cs"/>
          <w:rtl/>
        </w:rPr>
        <w:t>ـّ</w:t>
      </w:r>
      <w:r w:rsidR="008A74EB" w:rsidRPr="0082575F">
        <w:rPr>
          <w:rtl/>
        </w:rPr>
        <w:t>ا كان عمل أكثر الناس على قدر ما يرون من نعم الله عليهم عاجلاً وآجلاً ، ل</w:t>
      </w:r>
      <w:r>
        <w:rPr>
          <w:rtl/>
        </w:rPr>
        <w:t>اجرم من لم ير من النعم عليه إل</w:t>
      </w:r>
      <w:r>
        <w:rPr>
          <w:rFonts w:hint="cs"/>
          <w:rtl/>
        </w:rPr>
        <w:t>ّ</w:t>
      </w:r>
      <w:r>
        <w:rPr>
          <w:rtl/>
        </w:rPr>
        <w:t>ا</w:t>
      </w:r>
      <w:r w:rsidR="008A74EB">
        <w:rPr>
          <w:rFonts w:hint="cs"/>
          <w:rtl/>
        </w:rPr>
        <w:t xml:space="preserve"> </w:t>
      </w:r>
      <w:r w:rsidR="008A74EB" w:rsidRPr="0082575F">
        <w:rPr>
          <w:rtl/>
        </w:rPr>
        <w:t>ا</w:t>
      </w:r>
      <w:r>
        <w:rPr>
          <w:rtl/>
        </w:rPr>
        <w:t>لقليل فلا يصدر عنه من العمل إل</w:t>
      </w:r>
      <w:r>
        <w:rPr>
          <w:rFonts w:hint="cs"/>
          <w:rtl/>
        </w:rPr>
        <w:t>ّ</w:t>
      </w:r>
      <w:r>
        <w:rPr>
          <w:rtl/>
        </w:rPr>
        <w:t>ا</w:t>
      </w:r>
      <w:r w:rsidR="008A74EB">
        <w:rPr>
          <w:rFonts w:hint="cs"/>
          <w:rtl/>
        </w:rPr>
        <w:t xml:space="preserve"> </w:t>
      </w:r>
      <w:r w:rsidR="008A74EB" w:rsidRPr="0082575F">
        <w:rPr>
          <w:rtl/>
        </w:rPr>
        <w:t>القليل ، وهذا يوجب قصور العمل ودنوّ العذاب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الزهد</w:t>
      </w:r>
      <w:r w:rsidR="008A74EB" w:rsidRPr="00C9040A">
        <w:rPr>
          <w:rtl/>
        </w:rPr>
        <w:t xml:space="preserve"> ، ص 114 ، ح 128 ، بسند آخر عن أبي جعفر </w:t>
      </w:r>
      <w:r w:rsidR="00117575" w:rsidRPr="00117575">
        <w:rPr>
          <w:rStyle w:val="libFootnoteAlaemChar"/>
          <w:rtl/>
        </w:rPr>
        <w:t>عليه‌السلام</w:t>
      </w:r>
      <w:r w:rsidR="008A74EB" w:rsidRPr="00C9040A">
        <w:rPr>
          <w:rtl/>
        </w:rPr>
        <w:t xml:space="preserve"> ، مع زيادة في أوّله ؛ </w:t>
      </w:r>
      <w:r w:rsidR="008A74EB" w:rsidRPr="00993B55">
        <w:rPr>
          <w:rStyle w:val="libFootnoteBoldChar"/>
          <w:rtl/>
        </w:rPr>
        <w:t>الأمالي</w:t>
      </w:r>
      <w:r w:rsidR="008A74EB" w:rsidRPr="00EA735C">
        <w:rPr>
          <w:rStyle w:val="libFootnoteBoldChar"/>
          <w:rtl/>
        </w:rPr>
        <w:t xml:space="preserve"> للطوسي</w:t>
      </w:r>
      <w:r w:rsidR="008A74EB" w:rsidRPr="00C9040A">
        <w:rPr>
          <w:rtl/>
        </w:rPr>
        <w:t xml:space="preserve"> ، ص 490 ، المجلس 17 ، ح 45 ، بسند آخر عن رسول الله </w:t>
      </w:r>
      <w:r w:rsidR="004A4E41" w:rsidRPr="00EA735C">
        <w:rPr>
          <w:rStyle w:val="libFootnoteAlaemChar"/>
          <w:rtl/>
        </w:rPr>
        <w:t>صلى‌الله‌عليه‌وآله</w:t>
      </w:r>
      <w:r w:rsidR="008A74EB" w:rsidRPr="00C9040A">
        <w:rPr>
          <w:rtl/>
        </w:rPr>
        <w:t xml:space="preserve"> ، من قوله : « ومن لم ير لله عزّ وجلّ » ؛ </w:t>
      </w:r>
      <w:r w:rsidR="008A74EB" w:rsidRPr="00993B55">
        <w:rPr>
          <w:rStyle w:val="libFootnoteBoldChar"/>
          <w:rtl/>
        </w:rPr>
        <w:t>الخصال</w:t>
      </w:r>
      <w:r w:rsidR="008A74EB" w:rsidRPr="00C9040A">
        <w:rPr>
          <w:rtl/>
        </w:rPr>
        <w:t xml:space="preserve"> ، ص 64 ، باب الاثنين ، ح 95 ، بسند آخر عن عليّ بن الحسين </w:t>
      </w:r>
      <w:r w:rsidR="00117575" w:rsidRPr="00117575">
        <w:rPr>
          <w:rStyle w:val="libFootnoteAlaemChar"/>
          <w:rtl/>
        </w:rPr>
        <w:t>عليه‌السلام</w:t>
      </w:r>
      <w:r w:rsidR="008A74EB" w:rsidRPr="00C9040A">
        <w:rPr>
          <w:rtl/>
        </w:rPr>
        <w:t xml:space="preserve"> ، من دون الإسناد إلى النبيّ </w:t>
      </w:r>
      <w:r w:rsidR="004A4E41" w:rsidRPr="00EA735C">
        <w:rPr>
          <w:rStyle w:val="libFootnoteAlaemChar"/>
          <w:rtl/>
        </w:rPr>
        <w:t>صلى‌الله‌عليه‌وآله</w:t>
      </w:r>
      <w:r w:rsidR="008A74EB" w:rsidRPr="00C9040A">
        <w:rPr>
          <w:rtl/>
        </w:rPr>
        <w:t xml:space="preserve"> ، وفيه إلى قوله : « حسرات على الدنيا » ، مع زيادة في آخره ؛ </w:t>
      </w:r>
      <w:r w:rsidR="008A74EB" w:rsidRPr="00993B55">
        <w:rPr>
          <w:rStyle w:val="libFootnoteBoldChar"/>
          <w:rtl/>
        </w:rPr>
        <w:t>تفسير القمّي</w:t>
      </w:r>
      <w:r w:rsidR="008A74EB" w:rsidRPr="00C9040A">
        <w:rPr>
          <w:rtl/>
        </w:rPr>
        <w:t xml:space="preserve"> ، ج 1 ، ص 381 ، بسند آخر ، مع زيادة في أوّله وآخره. </w:t>
      </w:r>
      <w:r w:rsidR="008A74EB" w:rsidRPr="00993B55">
        <w:rPr>
          <w:rStyle w:val="libFootnoteBoldChar"/>
          <w:rtl/>
        </w:rPr>
        <w:t>وفيه</w:t>
      </w:r>
      <w:r w:rsidR="008A74EB" w:rsidRPr="00C9040A">
        <w:rPr>
          <w:rtl/>
        </w:rPr>
        <w:t xml:space="preserve"> ، ج 2 ، ص 66 ، مرسلاً ، مع زيادة في أوّله ؛ </w:t>
      </w:r>
      <w:r w:rsidR="008A74EB" w:rsidRPr="00993B55">
        <w:rPr>
          <w:rStyle w:val="libFootnoteBoldChar"/>
          <w:rtl/>
        </w:rPr>
        <w:t>تحف العقول</w:t>
      </w:r>
      <w:r w:rsidR="008A74EB" w:rsidRPr="00C9040A">
        <w:rPr>
          <w:rtl/>
        </w:rPr>
        <w:t xml:space="preserve"> ، ص 51 ، عن النبيّ </w:t>
      </w:r>
      <w:r w:rsidR="004A4E41" w:rsidRPr="00EA735C">
        <w:rPr>
          <w:rStyle w:val="libFootnoteAlaemChar"/>
          <w:rtl/>
        </w:rPr>
        <w:t>صلى‌الله‌عليه‌وآله</w:t>
      </w:r>
      <w:r w:rsidR="008A74EB" w:rsidRPr="00C9040A">
        <w:rPr>
          <w:rtl/>
        </w:rPr>
        <w:t xml:space="preserve"> ، مع زيادة ، وفي كلّ المصادر مع اختلاف يسير </w:t>
      </w:r>
      <w:r w:rsidR="00EA735C">
        <w:rPr>
          <w:rFonts w:hint="cs"/>
          <w:rtl/>
        </w:rPr>
        <w:t>.</w:t>
      </w:r>
      <w:r w:rsidR="008A74EB" w:rsidRPr="00993B55">
        <w:rPr>
          <w:rStyle w:val="libFootnoteBoldChar"/>
          <w:rtl/>
        </w:rPr>
        <w:t>الوافي</w:t>
      </w:r>
      <w:r w:rsidR="008A74EB" w:rsidRPr="00C9040A">
        <w:rPr>
          <w:rtl/>
        </w:rPr>
        <w:t xml:space="preserve"> ، ج 5 ، ص 890 ، ح 3234 ؛ </w:t>
      </w:r>
      <w:r w:rsidR="008A74EB" w:rsidRPr="00993B55">
        <w:rPr>
          <w:rStyle w:val="libFootnoteBoldChar"/>
          <w:rtl/>
        </w:rPr>
        <w:t>البحار</w:t>
      </w:r>
      <w:r w:rsidR="008A74EB" w:rsidRPr="00C9040A">
        <w:rPr>
          <w:rtl/>
        </w:rPr>
        <w:t xml:space="preserve"> ، ج 73 ، ص 7 ، ح 2.</w:t>
      </w:r>
    </w:p>
    <w:p w:rsidR="008A74EB" w:rsidRPr="00C9040A" w:rsidRDefault="006C577F" w:rsidP="004A4E41">
      <w:pPr>
        <w:pStyle w:val="libFootnote0"/>
        <w:rPr>
          <w:rtl/>
          <w:lang w:bidi="fa-IR"/>
        </w:rPr>
      </w:pPr>
      <w:r>
        <w:rPr>
          <w:rtl/>
        </w:rPr>
        <w:t>(3).</w:t>
      </w:r>
      <w:r w:rsidR="008A74EB" w:rsidRPr="00C9040A">
        <w:rPr>
          <w:rtl/>
        </w:rPr>
        <w:t xml:space="preserve"> في « ب ، ج ، د ، ز ، بس ، بف » وحاشية « بر » والوسائل : « </w:t>
      </w:r>
      <w:r w:rsidR="008A74EB">
        <w:rPr>
          <w:rtl/>
        </w:rPr>
        <w:t>و »</w:t>
      </w:r>
      <w:r w:rsidR="008A74EB" w:rsidRPr="00C9040A">
        <w:rPr>
          <w:rtl/>
        </w:rPr>
        <w:t xml:space="preserve"> بدل « عن »</w:t>
      </w:r>
      <w:r w:rsidR="008A74EB">
        <w:rPr>
          <w:rtl/>
        </w:rPr>
        <w:t>.</w:t>
      </w:r>
      <w:r w:rsidR="008A74EB" w:rsidRPr="00C9040A">
        <w:rPr>
          <w:rtl/>
        </w:rPr>
        <w:t xml:space="preserve"> وهو سهو ؛ فقد أكثر أحمد بن أبي‌عبدالله من الرواية عن يعقوب بن يزيد ، قد توسّط يعقوب بن يزيد في بعضها بين أحمد وبين زياد القندي. ا</w:t>
      </w:r>
      <w:r w:rsidR="00EA735C">
        <w:rPr>
          <w:rFonts w:hint="cs"/>
          <w:rtl/>
        </w:rPr>
        <w:t>ُ</w:t>
      </w:r>
      <w:r w:rsidR="008A74EB" w:rsidRPr="00C9040A">
        <w:rPr>
          <w:rtl/>
        </w:rPr>
        <w:t xml:space="preserve">نظر على سبيل المثال : </w:t>
      </w:r>
      <w:r w:rsidR="008A74EB" w:rsidRPr="00993B55">
        <w:rPr>
          <w:rStyle w:val="libFootnoteBoldChar"/>
          <w:rtl/>
        </w:rPr>
        <w:t>المحاسن</w:t>
      </w:r>
      <w:r w:rsidR="008A74EB" w:rsidRPr="00C9040A">
        <w:rPr>
          <w:rtl/>
        </w:rPr>
        <w:t xml:space="preserve"> ، ص 249 ، ح 60 ؛ وص 421 ، ح 200 ؛ وص 465 ، ح 432 ؛ وص 476 ، ح 482 ؛ وص 481 ، ح 507 ؛ وص 499 ، ح 614 ؛ وص 520 ، ح 730 ؛ وص 533 ، ح 791 ؛ وص 535 ، ح 802.</w:t>
      </w:r>
    </w:p>
    <w:tbl>
      <w:tblPr>
        <w:tblStyle w:val="TableGrid"/>
        <w:bidiVisual/>
        <w:tblW w:w="0" w:type="auto"/>
        <w:tblLook w:val="04A0" w:firstRow="1" w:lastRow="0" w:firstColumn="1" w:lastColumn="0" w:noHBand="0" w:noVBand="1"/>
      </w:tblPr>
      <w:tblGrid>
        <w:gridCol w:w="4006"/>
        <w:gridCol w:w="4006"/>
      </w:tblGrid>
      <w:tr w:rsidR="00EA735C" w:rsidTr="00EA735C">
        <w:tc>
          <w:tcPr>
            <w:tcW w:w="4006" w:type="dxa"/>
          </w:tcPr>
          <w:p w:rsidR="00EA735C" w:rsidRDefault="00EA735C" w:rsidP="004A4E41">
            <w:pPr>
              <w:pStyle w:val="libFootnote0"/>
              <w:rPr>
                <w:rtl/>
              </w:rPr>
            </w:pPr>
            <w:r>
              <w:rPr>
                <w:rtl/>
              </w:rPr>
              <w:t>(4).</w:t>
            </w:r>
            <w:r w:rsidRPr="00C9040A">
              <w:rPr>
                <w:rtl/>
              </w:rPr>
              <w:t xml:space="preserve"> في « </w:t>
            </w:r>
            <w:r>
              <w:rPr>
                <w:rtl/>
              </w:rPr>
              <w:t xml:space="preserve">ه </w:t>
            </w:r>
            <w:r w:rsidRPr="00C9040A">
              <w:rPr>
                <w:rtl/>
              </w:rPr>
              <w:t>» : « النبيّ »</w:t>
            </w:r>
            <w:r>
              <w:rPr>
                <w:rtl/>
              </w:rPr>
              <w:t>.</w:t>
            </w:r>
          </w:p>
        </w:tc>
        <w:tc>
          <w:tcPr>
            <w:tcW w:w="4006" w:type="dxa"/>
          </w:tcPr>
          <w:p w:rsidR="00EA735C" w:rsidRDefault="00EA735C" w:rsidP="004A4E41">
            <w:pPr>
              <w:pStyle w:val="libFootnote0"/>
              <w:rPr>
                <w:rtl/>
              </w:rPr>
            </w:pPr>
            <w:r>
              <w:rPr>
                <w:rtl/>
              </w:rPr>
              <w:t>(5).</w:t>
            </w:r>
            <w:r w:rsidRPr="00C9040A">
              <w:rPr>
                <w:rtl/>
              </w:rPr>
              <w:t xml:space="preserve"> في الخصال </w:t>
            </w:r>
            <w:r>
              <w:rPr>
                <w:rtl/>
              </w:rPr>
              <w:t>: -</w:t>
            </w:r>
            <w:r w:rsidRPr="00C9040A">
              <w:rPr>
                <w:rtl/>
              </w:rPr>
              <w:t xml:space="preserve"> « إنّ »</w:t>
            </w:r>
            <w:r>
              <w:rPr>
                <w:rtl/>
              </w:rPr>
              <w:t>.</w:t>
            </w:r>
          </w:p>
        </w:tc>
      </w:tr>
    </w:tbl>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الخصال</w:t>
      </w:r>
      <w:r w:rsidR="008A74EB" w:rsidRPr="00C9040A">
        <w:rPr>
          <w:rtl/>
        </w:rPr>
        <w:t xml:space="preserve"> ، ص 43 ، باب الاثنين ، ح 37 ، بسنده عن يعقوب بن يزيد ، عن زياد بن مروان ، عن أبي وكيع </w:t>
      </w:r>
      <w:r w:rsidR="00E86645">
        <w:rPr>
          <w:rFonts w:hint="cs"/>
          <w:rtl/>
        </w:rPr>
        <w:t>.</w:t>
      </w:r>
      <w:r w:rsidR="008A74EB" w:rsidRPr="00993B55">
        <w:rPr>
          <w:rStyle w:val="libFootnoteBoldChar"/>
          <w:rtl/>
        </w:rPr>
        <w:t>الوافي</w:t>
      </w:r>
      <w:r w:rsidR="008A74EB" w:rsidRPr="00C9040A">
        <w:rPr>
          <w:rtl/>
        </w:rPr>
        <w:t xml:space="preserve"> ، ج 5 ، ص 891 ، ح 3235 ؛ </w:t>
      </w:r>
      <w:r w:rsidR="008A74EB" w:rsidRPr="00993B55">
        <w:rPr>
          <w:rStyle w:val="libFootnoteBoldChar"/>
          <w:rtl/>
        </w:rPr>
        <w:t>الوسائل</w:t>
      </w:r>
      <w:r w:rsidR="008A74EB" w:rsidRPr="00C9040A">
        <w:rPr>
          <w:rtl/>
        </w:rPr>
        <w:t xml:space="preserve"> ، ج 16 ، ص 21 ، ح 20859 ؛ </w:t>
      </w:r>
      <w:r w:rsidR="008A74EB" w:rsidRPr="00993B55">
        <w:rPr>
          <w:rStyle w:val="libFootnoteBoldChar"/>
          <w:rtl/>
        </w:rPr>
        <w:t>البحار</w:t>
      </w:r>
      <w:r w:rsidR="008A74EB" w:rsidRPr="00C9040A">
        <w:rPr>
          <w:rtl/>
        </w:rPr>
        <w:t xml:space="preserve"> ، ج 73 ، ص 23 ، ح 12.</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أَبُو جَعْفَرٍ </w:t>
      </w:r>
      <w:r w:rsidRPr="0003660B">
        <w:rPr>
          <w:rStyle w:val="libAlaemChar"/>
          <w:rtl/>
        </w:rPr>
        <w:t>عليه‌السلام</w:t>
      </w:r>
      <w:r w:rsidRPr="00C9040A">
        <w:rPr>
          <w:rtl/>
          <w:lang w:bidi="fa-IR"/>
        </w:rPr>
        <w:t xml:space="preserve"> : مَثَلُ الْحَرِيصِ عَلَى الدُّنْيَا مَثَلُ </w:t>
      </w:r>
      <w:r w:rsidR="006C577F" w:rsidRPr="006C577F">
        <w:rPr>
          <w:rStyle w:val="libFootnotenumChar"/>
          <w:rtl/>
        </w:rPr>
        <w:t>(1)</w:t>
      </w:r>
      <w:r w:rsidRPr="00C9040A">
        <w:rPr>
          <w:rtl/>
          <w:lang w:bidi="fa-IR"/>
        </w:rPr>
        <w:t xml:space="preserve"> دُودَةِ الْقَزِّ ، كُلَّمَا ازْدَادَتْ مِنَ الْقَزِّ </w:t>
      </w:r>
      <w:r w:rsidR="006C577F" w:rsidRPr="006C577F">
        <w:rPr>
          <w:rStyle w:val="libFootnotenumChar"/>
          <w:rtl/>
        </w:rPr>
        <w:t>(2)</w:t>
      </w:r>
      <w:r w:rsidRPr="00C9040A">
        <w:rPr>
          <w:rtl/>
          <w:lang w:bidi="fa-IR"/>
        </w:rPr>
        <w:t xml:space="preserve"> عَلى نَفْسِهَا لَفّاً ، كَانَ أَبْعَدَ لَهَا مِنَ الْخُرُوجِ حَتّى تَمُوتَ غَمّاً »</w:t>
      </w:r>
      <w:r>
        <w:rPr>
          <w:rtl/>
          <w:lang w:bidi="fa-IR"/>
        </w:rPr>
        <w:t>.</w:t>
      </w:r>
    </w:p>
    <w:p w:rsidR="008A74EB" w:rsidRPr="00C9040A" w:rsidRDefault="008A74EB" w:rsidP="008A74EB">
      <w:pPr>
        <w:pStyle w:val="libNormal"/>
        <w:rPr>
          <w:rtl/>
          <w:lang w:bidi="fa-IR"/>
        </w:rPr>
      </w:pPr>
      <w:r w:rsidRPr="00C9040A">
        <w:rPr>
          <w:rtl/>
          <w:lang w:bidi="fa-IR"/>
        </w:rPr>
        <w:t xml:space="preserve">وَقَالَ </w:t>
      </w:r>
      <w:r w:rsidR="006C577F" w:rsidRPr="006C577F">
        <w:rPr>
          <w:rStyle w:val="libFootnotenumChar"/>
          <w:rtl/>
        </w:rPr>
        <w:t>(3)</w:t>
      </w:r>
      <w:r w:rsidRPr="00C9040A">
        <w:rPr>
          <w:rtl/>
          <w:lang w:bidi="fa-IR"/>
        </w:rPr>
        <w:t xml:space="preserve"> أَبُو عَبْدِ اللهِ </w:t>
      </w:r>
      <w:r w:rsidRPr="0003660B">
        <w:rPr>
          <w:rStyle w:val="libAlaemChar"/>
          <w:rtl/>
        </w:rPr>
        <w:t>عليه‌السلام</w:t>
      </w:r>
      <w:r w:rsidRPr="00C9040A">
        <w:rPr>
          <w:rtl/>
          <w:lang w:bidi="fa-IR"/>
        </w:rPr>
        <w:t xml:space="preserve"> : « أَغْنَى الْغِنى مَنْ لَمْ يَكُنْ لِلْحِرْصِ أَسِيراً »</w:t>
      </w:r>
      <w:r>
        <w:rPr>
          <w:rtl/>
          <w:lang w:bidi="fa-IR"/>
        </w:rPr>
        <w:t>.</w:t>
      </w:r>
    </w:p>
    <w:p w:rsidR="008A74EB" w:rsidRPr="00C9040A" w:rsidRDefault="008A74EB" w:rsidP="008A74EB">
      <w:pPr>
        <w:pStyle w:val="libNormal"/>
        <w:rPr>
          <w:rtl/>
          <w:lang w:bidi="fa-IR"/>
        </w:rPr>
      </w:pPr>
      <w:r w:rsidRPr="00C9040A">
        <w:rPr>
          <w:rtl/>
          <w:lang w:bidi="fa-IR"/>
        </w:rPr>
        <w:t xml:space="preserve">وَقَالَ : « لَا تُشْعِرُوا </w:t>
      </w:r>
      <w:r w:rsidR="006C577F" w:rsidRPr="006C577F">
        <w:rPr>
          <w:rStyle w:val="libFootnotenumChar"/>
          <w:rtl/>
        </w:rPr>
        <w:t>(4)</w:t>
      </w:r>
      <w:r w:rsidRPr="00C9040A">
        <w:rPr>
          <w:rtl/>
          <w:lang w:bidi="fa-IR"/>
        </w:rPr>
        <w:t xml:space="preserve"> قُلُوبَكُمُ الِاشْتِغَالَ بِمَا </w:t>
      </w:r>
      <w:r w:rsidR="006C577F" w:rsidRPr="006C577F">
        <w:rPr>
          <w:rStyle w:val="libFootnotenumChar"/>
          <w:rtl/>
        </w:rPr>
        <w:t>(5)</w:t>
      </w:r>
      <w:r w:rsidRPr="00C9040A">
        <w:rPr>
          <w:rtl/>
          <w:lang w:bidi="fa-IR"/>
        </w:rPr>
        <w:t xml:space="preserve"> قَدْ فَاتَ ؛ فَتَشْغَلُوا </w:t>
      </w:r>
      <w:r w:rsidR="006C577F" w:rsidRPr="006C577F">
        <w:rPr>
          <w:rStyle w:val="libFootnotenumChar"/>
          <w:rtl/>
        </w:rPr>
        <w:t>(6)</w:t>
      </w:r>
      <w:r w:rsidRPr="005B567D">
        <w:rPr>
          <w:rStyle w:val="libFootnotenumChar"/>
          <w:rtl/>
        </w:rPr>
        <w:t xml:space="preserve"> </w:t>
      </w:r>
      <w:r w:rsidRPr="00C9040A">
        <w:rPr>
          <w:rtl/>
          <w:lang w:bidi="fa-IR"/>
        </w:rPr>
        <w:t xml:space="preserve">أَذْهَانَكُمْ عَنِ </w:t>
      </w:r>
      <w:r w:rsidR="006C577F" w:rsidRPr="006C577F">
        <w:rPr>
          <w:rStyle w:val="libFootnotenumChar"/>
          <w:rtl/>
        </w:rPr>
        <w:t>(7)</w:t>
      </w:r>
      <w:r w:rsidRPr="00C9040A">
        <w:rPr>
          <w:rtl/>
          <w:lang w:bidi="fa-IR"/>
        </w:rPr>
        <w:t xml:space="preserve"> الِاسْتِعْدَادِ لِمَا لَمْ يَأْتِ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Normal"/>
        <w:rPr>
          <w:rtl/>
          <w:lang w:bidi="fa-IR"/>
        </w:rPr>
      </w:pPr>
      <w:r w:rsidRPr="005D1893">
        <w:rPr>
          <w:rtl/>
        </w:rPr>
        <w:t>2593</w:t>
      </w:r>
      <w:r w:rsidRPr="00261CB0">
        <w:rPr>
          <w:rStyle w:val="libBold2Char"/>
          <w:rtl/>
        </w:rPr>
        <w:t xml:space="preserve"> / 8.</w:t>
      </w:r>
      <w:r w:rsidRPr="00C9040A">
        <w:rPr>
          <w:rtl/>
          <w:lang w:bidi="fa-IR"/>
        </w:rPr>
        <w:t xml:space="preserve"> عَلِيُّ بْنُ إِبْرَاهِيمَ ، عَنْ أَبِيهِ وَعَلِيِّ بْنِ مُحَمَّدٍ جَمِيعاً </w:t>
      </w:r>
      <w:r w:rsidR="006C577F" w:rsidRPr="006C577F">
        <w:rPr>
          <w:rStyle w:val="libFootnotenumChar"/>
          <w:rtl/>
        </w:rPr>
        <w:t>(9)</w:t>
      </w:r>
      <w:r w:rsidRPr="00C9040A">
        <w:rPr>
          <w:rtl/>
          <w:lang w:bidi="fa-IR"/>
        </w:rPr>
        <w:t xml:space="preserve"> ، عَنِ الْقَاسِمِ بْنِ مُحَمَّدٍ ، عَنْ سُلَيْمَانَ الْمِنْقَرِيِّ ، عَنْ عَبْدِ الرَّزَّاقِ بْنِ هَمَّامٍ ، عَنْ مَعْمَرِ بْنِ رَاشِدٍ ، عَنِ الزُّهْرِيِّ </w:t>
      </w:r>
      <w:r w:rsidR="006C577F" w:rsidRPr="006C577F">
        <w:rPr>
          <w:rStyle w:val="libFootnotenumChar"/>
          <w:rtl/>
        </w:rPr>
        <w:t>(10)</w:t>
      </w:r>
      <w:r w:rsidRPr="00C9040A">
        <w:rPr>
          <w:rtl/>
          <w:lang w:bidi="fa-IR"/>
        </w:rPr>
        <w:t xml:space="preserve"> مُحَمَّدِ بْنِ مُسْلِمِ بْنِ عُبَيْدِ اللهِ </w:t>
      </w:r>
      <w:r w:rsidR="006C577F" w:rsidRPr="006C577F">
        <w:rPr>
          <w:rStyle w:val="libFootnotenumChar"/>
          <w:rtl/>
        </w:rPr>
        <w:t>(11)</w:t>
      </w:r>
      <w:r w:rsidRPr="00C9040A">
        <w:rPr>
          <w:rtl/>
          <w:lang w:bidi="fa-IR"/>
        </w:rPr>
        <w:t xml:space="preserve"> ، قَالَ :</w:t>
      </w:r>
    </w:p>
    <w:p w:rsidR="008A74EB" w:rsidRPr="00C9040A" w:rsidRDefault="008A74EB" w:rsidP="008A74EB">
      <w:pPr>
        <w:pStyle w:val="libNormal"/>
        <w:rPr>
          <w:rtl/>
          <w:lang w:bidi="fa-IR"/>
        </w:rPr>
      </w:pPr>
      <w:r w:rsidRPr="00C9040A">
        <w:rPr>
          <w:rtl/>
          <w:lang w:bidi="fa-IR"/>
        </w:rPr>
        <w:t xml:space="preserve">سُئِلَ عَلِيُّ بْنُ الْحُسَيْنِ </w:t>
      </w:r>
      <w:r w:rsidRPr="0003660B">
        <w:rPr>
          <w:rStyle w:val="libAlaemChar"/>
          <w:rtl/>
        </w:rPr>
        <w:t>عليهما‌السلام</w:t>
      </w:r>
      <w:r w:rsidRPr="00C9040A">
        <w:rPr>
          <w:rtl/>
          <w:lang w:bidi="fa-IR"/>
        </w:rPr>
        <w:t xml:space="preserve"> : أَيُّ الْأَعْمَالِ أَفْضَلُ عِنْدَ اللهِ </w:t>
      </w:r>
      <w:r w:rsidR="006C577F" w:rsidRPr="006C577F">
        <w:rPr>
          <w:rStyle w:val="libFootnotenumChar"/>
          <w:rtl/>
        </w:rPr>
        <w:t>(12)</w:t>
      </w:r>
      <w:r>
        <w:rPr>
          <w:rtl/>
          <w:lang w:bidi="fa-IR"/>
        </w:rPr>
        <w:t>؟</w:t>
      </w:r>
    </w:p>
    <w:p w:rsidR="008A74EB" w:rsidRPr="00C9040A" w:rsidRDefault="008A74EB" w:rsidP="008A74EB">
      <w:pPr>
        <w:pStyle w:val="libNormal"/>
        <w:rPr>
          <w:rtl/>
          <w:lang w:bidi="fa-IR"/>
        </w:rPr>
      </w:pPr>
      <w:r w:rsidRPr="00C9040A">
        <w:rPr>
          <w:rtl/>
          <w:lang w:bidi="fa-IR"/>
        </w:rPr>
        <w:t xml:space="preserve">قَالَ </w:t>
      </w:r>
      <w:r w:rsidRPr="005B567D">
        <w:rPr>
          <w:rStyle w:val="libFootnotenumChar"/>
          <w:rtl/>
        </w:rPr>
        <w:t>(13)</w:t>
      </w:r>
      <w:r w:rsidRPr="00C9040A">
        <w:rPr>
          <w:rtl/>
          <w:lang w:bidi="fa-IR"/>
        </w:rPr>
        <w:t xml:space="preserve"> : « مَا مِنْ عَمَلٍ بَعْدَ مَعْرِفَةِ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وَمَعْرِفَةِ‌</w:t>
      </w:r>
      <w:r w:rsidR="00E86645">
        <w:rPr>
          <w:rFonts w:hint="cs"/>
          <w:rtl/>
          <w:lang w:bidi="fa-IR"/>
        </w:rPr>
        <w:t>..................</w:t>
      </w:r>
      <w:r w:rsidR="00E86645">
        <w:rPr>
          <w:rFonts w:hint="cs"/>
          <w:rtl/>
          <w:lang w:bidi="fa-IR"/>
        </w:rPr>
        <w:tab/>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الكافي ، ح 1912 : « كمثل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الكافي ، ح 1912 والوسائل </w:t>
      </w:r>
      <w:r w:rsidR="008A74EB">
        <w:rPr>
          <w:rtl/>
        </w:rPr>
        <w:t xml:space="preserve">: </w:t>
      </w:r>
      <w:r w:rsidR="0084262C">
        <w:rPr>
          <w:rtl/>
        </w:rPr>
        <w:t>-</w:t>
      </w:r>
      <w:r w:rsidR="008A74EB" w:rsidRPr="00C9040A">
        <w:rPr>
          <w:rtl/>
        </w:rPr>
        <w:t xml:space="preserve"> « من القزّ »</w:t>
      </w:r>
      <w:r w:rsidR="008A74EB">
        <w:rPr>
          <w:rtl/>
        </w:rPr>
        <w:t>.</w:t>
      </w:r>
      <w:r w:rsidR="008A74EB" w:rsidRPr="00C9040A">
        <w:rPr>
          <w:rtl/>
        </w:rPr>
        <w:t xml:space="preserve"> وفي « </w:t>
      </w:r>
      <w:r w:rsidR="006D3162">
        <w:rPr>
          <w:rtl/>
        </w:rPr>
        <w:t xml:space="preserve">ه </w:t>
      </w:r>
      <w:r w:rsidR="008A74EB" w:rsidRPr="00C9040A">
        <w:rPr>
          <w:rtl/>
        </w:rPr>
        <w:t xml:space="preserve">» </w:t>
      </w:r>
      <w:r w:rsidR="008A74EB">
        <w:rPr>
          <w:rtl/>
        </w:rPr>
        <w:t xml:space="preserve">: </w:t>
      </w:r>
      <w:r w:rsidR="0084262C">
        <w:rPr>
          <w:rtl/>
        </w:rPr>
        <w:t>-</w:t>
      </w:r>
      <w:r w:rsidR="008A74EB" w:rsidRPr="00C9040A">
        <w:rPr>
          <w:rtl/>
        </w:rPr>
        <w:t xml:space="preserve"> « من »</w:t>
      </w:r>
      <w:r w:rsidR="008A74EB">
        <w:rPr>
          <w:rtl/>
        </w:rPr>
        <w:t>.</w:t>
      </w:r>
    </w:p>
    <w:tbl>
      <w:tblPr>
        <w:tblStyle w:val="TableGrid"/>
        <w:bidiVisual/>
        <w:tblW w:w="0" w:type="auto"/>
        <w:tblLook w:val="04A0" w:firstRow="1" w:lastRow="0" w:firstColumn="1" w:lastColumn="0" w:noHBand="0" w:noVBand="1"/>
      </w:tblPr>
      <w:tblGrid>
        <w:gridCol w:w="4006"/>
        <w:gridCol w:w="4006"/>
      </w:tblGrid>
      <w:tr w:rsidR="00E86645" w:rsidTr="00E86645">
        <w:tc>
          <w:tcPr>
            <w:tcW w:w="4006" w:type="dxa"/>
          </w:tcPr>
          <w:p w:rsidR="00E86645" w:rsidRDefault="00E86645" w:rsidP="004A4E41">
            <w:pPr>
              <w:pStyle w:val="libFootnote0"/>
              <w:rPr>
                <w:rtl/>
              </w:rPr>
            </w:pPr>
            <w:r>
              <w:rPr>
                <w:rtl/>
              </w:rPr>
              <w:t>(3).</w:t>
            </w:r>
            <w:r w:rsidRPr="00C9040A">
              <w:rPr>
                <w:rtl/>
              </w:rPr>
              <w:t xml:space="preserve"> في « ج » : + « قال »</w:t>
            </w:r>
            <w:r>
              <w:rPr>
                <w:rtl/>
              </w:rPr>
              <w:t>.</w:t>
            </w:r>
          </w:p>
        </w:tc>
        <w:tc>
          <w:tcPr>
            <w:tcW w:w="4006" w:type="dxa"/>
          </w:tcPr>
          <w:p w:rsidR="00E86645" w:rsidRDefault="00E86645" w:rsidP="004A4E41">
            <w:pPr>
              <w:pStyle w:val="libFootnote0"/>
              <w:rPr>
                <w:rtl/>
              </w:rPr>
            </w:pPr>
            <w:r>
              <w:rPr>
                <w:rtl/>
              </w:rPr>
              <w:t>(4).</w:t>
            </w:r>
            <w:r w:rsidRPr="00C9040A">
              <w:rPr>
                <w:rtl/>
              </w:rPr>
              <w:t xml:space="preserve"> في « ب ، ص » : « لاتشغلوا »</w:t>
            </w:r>
            <w:r>
              <w:rPr>
                <w:rtl/>
              </w:rPr>
              <w:t>.</w:t>
            </w:r>
          </w:p>
        </w:tc>
      </w:tr>
    </w:tbl>
    <w:p w:rsidR="008A74EB" w:rsidRPr="00C9040A" w:rsidRDefault="006C577F" w:rsidP="004A4E41">
      <w:pPr>
        <w:pStyle w:val="libFootnote0"/>
        <w:rPr>
          <w:rtl/>
          <w:lang w:bidi="fa-IR"/>
        </w:rPr>
      </w:pPr>
      <w:r>
        <w:rPr>
          <w:rtl/>
        </w:rPr>
        <w:t>(5).</w:t>
      </w:r>
      <w:r w:rsidR="008A74EB" w:rsidRPr="00C9040A">
        <w:rPr>
          <w:rtl/>
        </w:rPr>
        <w:t xml:space="preserve"> في « ب » : « بالاشتغال بما »</w:t>
      </w:r>
      <w:r w:rsidR="008A74EB">
        <w:rPr>
          <w:rtl/>
        </w:rPr>
        <w:t>.</w:t>
      </w:r>
      <w:r w:rsidR="008A74EB" w:rsidRPr="00C9040A">
        <w:rPr>
          <w:rtl/>
        </w:rPr>
        <w:t xml:space="preserve"> وفي « ز » : « لاشتغال ما »</w:t>
      </w:r>
      <w:r w:rsidR="008A74EB">
        <w:rPr>
          <w:rtl/>
        </w:rPr>
        <w:t>.</w:t>
      </w:r>
    </w:p>
    <w:tbl>
      <w:tblPr>
        <w:tblStyle w:val="TableGrid"/>
        <w:bidiVisual/>
        <w:tblW w:w="0" w:type="auto"/>
        <w:tblLook w:val="04A0" w:firstRow="1" w:lastRow="0" w:firstColumn="1" w:lastColumn="0" w:noHBand="0" w:noVBand="1"/>
      </w:tblPr>
      <w:tblGrid>
        <w:gridCol w:w="4006"/>
        <w:gridCol w:w="4006"/>
      </w:tblGrid>
      <w:tr w:rsidR="00E86645" w:rsidTr="00E86645">
        <w:tc>
          <w:tcPr>
            <w:tcW w:w="4006" w:type="dxa"/>
          </w:tcPr>
          <w:p w:rsidR="00E86645" w:rsidRDefault="00E86645" w:rsidP="004A4E41">
            <w:pPr>
              <w:pStyle w:val="libFootnote0"/>
              <w:rPr>
                <w:rtl/>
                <w:lang w:bidi="fa-IR"/>
              </w:rPr>
            </w:pPr>
            <w:r>
              <w:rPr>
                <w:rtl/>
              </w:rPr>
              <w:t xml:space="preserve">(6). </w:t>
            </w:r>
            <w:r w:rsidRPr="00C9040A">
              <w:rPr>
                <w:rtl/>
              </w:rPr>
              <w:t xml:space="preserve">في « </w:t>
            </w:r>
            <w:r>
              <w:rPr>
                <w:rtl/>
              </w:rPr>
              <w:t xml:space="preserve">ه </w:t>
            </w:r>
            <w:r w:rsidRPr="00C9040A">
              <w:rPr>
                <w:rtl/>
              </w:rPr>
              <w:t>، بر » : « فتشتغلوا »</w:t>
            </w:r>
            <w:r>
              <w:rPr>
                <w:rtl/>
              </w:rPr>
              <w:t>.</w:t>
            </w:r>
          </w:p>
        </w:tc>
        <w:tc>
          <w:tcPr>
            <w:tcW w:w="4006" w:type="dxa"/>
          </w:tcPr>
          <w:p w:rsidR="00E86645" w:rsidRDefault="00E86645" w:rsidP="004A4E41">
            <w:pPr>
              <w:pStyle w:val="libFootnote0"/>
              <w:rPr>
                <w:rtl/>
                <w:lang w:bidi="fa-IR"/>
              </w:rPr>
            </w:pPr>
            <w:r>
              <w:rPr>
                <w:rtl/>
              </w:rPr>
              <w:t>(7).</w:t>
            </w:r>
            <w:r w:rsidRPr="00C9040A">
              <w:rPr>
                <w:rtl/>
              </w:rPr>
              <w:t xml:space="preserve"> في الوافي : « من »</w:t>
            </w:r>
            <w:r>
              <w:rPr>
                <w:rtl/>
              </w:rPr>
              <w:t>.</w:t>
            </w:r>
          </w:p>
        </w:tc>
      </w:tr>
    </w:tbl>
    <w:p w:rsidR="008A74EB" w:rsidRPr="00C9040A" w:rsidRDefault="006C577F" w:rsidP="00E86645">
      <w:pPr>
        <w:pStyle w:val="libFootnote0"/>
        <w:rPr>
          <w:rtl/>
          <w:lang w:bidi="fa-IR"/>
        </w:rPr>
      </w:pPr>
      <w:r>
        <w:rPr>
          <w:rtl/>
        </w:rPr>
        <w:t>(8).</w:t>
      </w:r>
      <w:r w:rsidR="008A74EB" w:rsidRPr="00C9040A">
        <w:rPr>
          <w:rtl/>
        </w:rPr>
        <w:t xml:space="preserve"> </w:t>
      </w:r>
      <w:r w:rsidR="008A74EB" w:rsidRPr="00993B55">
        <w:rPr>
          <w:rStyle w:val="libFootnoteBoldChar"/>
          <w:rtl/>
        </w:rPr>
        <w:t>الكافي</w:t>
      </w:r>
      <w:r w:rsidR="008A74EB" w:rsidRPr="00C9040A">
        <w:rPr>
          <w:rtl/>
        </w:rPr>
        <w:t xml:space="preserve"> ، كتاب الإيمان والكفر ، باب ذمّ الدنيا والزهد فيها ، ح 1912 ، إلى قوله : « حتّى تموت غمّاً » مع زيادة في آخره. </w:t>
      </w:r>
      <w:r w:rsidR="008A74EB" w:rsidRPr="00993B55">
        <w:rPr>
          <w:rStyle w:val="libFootnoteBoldChar"/>
          <w:rtl/>
        </w:rPr>
        <w:t>الفقيه</w:t>
      </w:r>
      <w:r w:rsidR="008A74EB" w:rsidRPr="00C9040A">
        <w:rPr>
          <w:rtl/>
        </w:rPr>
        <w:t xml:space="preserve"> ، ج 4 ، ص 394 ، ضمن ح 5840 ، بسند آخر عن أبي عبدالله ، عن آبائه </w:t>
      </w:r>
      <w:r w:rsidR="00117575" w:rsidRPr="00117575">
        <w:rPr>
          <w:rStyle w:val="libFootnoteAlaemChar"/>
          <w:rtl/>
        </w:rPr>
        <w:t>عليهم‌السلام</w:t>
      </w:r>
      <w:r w:rsidR="008A74EB" w:rsidRPr="00C9040A">
        <w:rPr>
          <w:rtl/>
        </w:rPr>
        <w:t xml:space="preserve"> عن رسول الله </w:t>
      </w:r>
      <w:r w:rsidR="00E86645" w:rsidRPr="00EA735C">
        <w:rPr>
          <w:rStyle w:val="libFootnoteAlaemChar"/>
          <w:rtl/>
        </w:rPr>
        <w:t>صلى‌الله‌عليه‌وآله</w:t>
      </w:r>
      <w:r w:rsidR="00E86645" w:rsidRPr="00C9040A">
        <w:rPr>
          <w:rtl/>
        </w:rPr>
        <w:t xml:space="preserve"> </w:t>
      </w:r>
      <w:r w:rsidR="008A74EB" w:rsidRPr="00C9040A">
        <w:rPr>
          <w:rtl/>
        </w:rPr>
        <w:t xml:space="preserve">، وتمام الرواية فيه : « أغنى الناس من لم يكن للحرص أسيراً » </w:t>
      </w:r>
      <w:r w:rsidR="00E86645">
        <w:rPr>
          <w:rFonts w:hint="cs"/>
          <w:rtl/>
        </w:rPr>
        <w:t>.</w:t>
      </w:r>
      <w:r w:rsidR="008A74EB" w:rsidRPr="00993B55">
        <w:rPr>
          <w:rStyle w:val="libFootnoteBoldChar"/>
          <w:rtl/>
        </w:rPr>
        <w:t>الوافي</w:t>
      </w:r>
      <w:r w:rsidR="008A74EB" w:rsidRPr="00C9040A">
        <w:rPr>
          <w:rtl/>
        </w:rPr>
        <w:t xml:space="preserve"> ، ج 5 ، ص 891 ، ح 3236 ؛ </w:t>
      </w:r>
      <w:r w:rsidR="008A74EB" w:rsidRPr="00993B55">
        <w:rPr>
          <w:rStyle w:val="libFootnoteBoldChar"/>
          <w:rtl/>
        </w:rPr>
        <w:t>الوسائل</w:t>
      </w:r>
      <w:r w:rsidR="008A74EB" w:rsidRPr="00C9040A">
        <w:rPr>
          <w:rtl/>
        </w:rPr>
        <w:t xml:space="preserve"> ، ج 16 ، ص 19 ، ح 20853 ؛ </w:t>
      </w:r>
      <w:r w:rsidR="008A74EB" w:rsidRPr="00993B55">
        <w:rPr>
          <w:rStyle w:val="libFootnoteBoldChar"/>
          <w:rtl/>
        </w:rPr>
        <w:t>البحار</w:t>
      </w:r>
      <w:r w:rsidR="008A74EB" w:rsidRPr="00C9040A">
        <w:rPr>
          <w:rtl/>
        </w:rPr>
        <w:t xml:space="preserve"> ، ج 73 ، ص 23 ، ح 13.</w:t>
      </w:r>
    </w:p>
    <w:p w:rsidR="008A74EB" w:rsidRPr="00C9040A" w:rsidRDefault="006C577F" w:rsidP="004A4E41">
      <w:pPr>
        <w:pStyle w:val="libFootnote0"/>
        <w:rPr>
          <w:rtl/>
          <w:lang w:bidi="fa-IR"/>
        </w:rPr>
      </w:pPr>
      <w:r>
        <w:rPr>
          <w:rtl/>
        </w:rPr>
        <w:t>(9).</w:t>
      </w:r>
      <w:r w:rsidR="008A74EB" w:rsidRPr="00C9040A">
        <w:rPr>
          <w:rtl/>
        </w:rPr>
        <w:t xml:space="preserve"> في الكافي ، ح 1903 : « عن عليّ بن محمّد القاساني » بدل « وعليّ بن محمّد جميعاً »</w:t>
      </w:r>
      <w:r w:rsidR="008A74EB">
        <w:rPr>
          <w:rtl/>
        </w:rPr>
        <w:t>.</w:t>
      </w:r>
      <w:r w:rsidR="008A74EB" w:rsidRPr="00C9040A">
        <w:rPr>
          <w:rtl/>
        </w:rPr>
        <w:t xml:space="preserve"> وتقدّم أنّه سهو ، فلاحظ.</w:t>
      </w:r>
    </w:p>
    <w:p w:rsidR="008A74EB" w:rsidRPr="00C9040A" w:rsidRDefault="006C577F" w:rsidP="004A4E41">
      <w:pPr>
        <w:pStyle w:val="libFootnote0"/>
        <w:rPr>
          <w:rtl/>
          <w:lang w:bidi="fa-IR"/>
        </w:rPr>
      </w:pPr>
      <w:r>
        <w:rPr>
          <w:rtl/>
        </w:rPr>
        <w:t>(10).</w:t>
      </w:r>
      <w:r w:rsidR="008A74EB" w:rsidRPr="00C9040A">
        <w:rPr>
          <w:rtl/>
        </w:rPr>
        <w:t xml:space="preserve"> في « ب ، ج ، د ، ز ، بر ، بس ، بف » والوسائل : + « عن »</w:t>
      </w:r>
      <w:r w:rsidR="008A74EB">
        <w:rPr>
          <w:rtl/>
        </w:rPr>
        <w:t>.</w:t>
      </w:r>
      <w:r w:rsidR="008A74EB" w:rsidRPr="00C9040A">
        <w:rPr>
          <w:rtl/>
        </w:rPr>
        <w:t xml:space="preserve"> وهو سهو ؛ والزُّهري هذا ، هو محمّد بن مسلم بن‌عبيدالله بن عبدالله بن شهاب الزهري. راجع : </w:t>
      </w:r>
      <w:r w:rsidR="008A74EB" w:rsidRPr="00993B55">
        <w:rPr>
          <w:rStyle w:val="libFootnoteBoldChar"/>
          <w:rtl/>
        </w:rPr>
        <w:t>تهذيب الكمال</w:t>
      </w:r>
      <w:r w:rsidR="008A74EB" w:rsidRPr="00C9040A">
        <w:rPr>
          <w:rtl/>
        </w:rPr>
        <w:t xml:space="preserve"> ، ج 26 ، ص 419 ، الرقم 5606.</w:t>
      </w:r>
    </w:p>
    <w:p w:rsidR="008A74EB" w:rsidRPr="00C9040A" w:rsidRDefault="006C577F" w:rsidP="004A4E41">
      <w:pPr>
        <w:pStyle w:val="libFootnote0"/>
        <w:rPr>
          <w:rtl/>
          <w:lang w:bidi="fa-IR"/>
        </w:rPr>
      </w:pPr>
      <w:r>
        <w:rPr>
          <w:rtl/>
        </w:rPr>
        <w:t>(11).</w:t>
      </w:r>
      <w:r w:rsidR="008A74EB" w:rsidRPr="00C9040A">
        <w:rPr>
          <w:rtl/>
        </w:rPr>
        <w:t xml:space="preserve"> في « ز ، </w:t>
      </w:r>
      <w:r w:rsidR="006D3162">
        <w:rPr>
          <w:rtl/>
        </w:rPr>
        <w:t xml:space="preserve">ه </w:t>
      </w:r>
      <w:r w:rsidR="008A74EB" w:rsidRPr="00C9040A">
        <w:rPr>
          <w:rtl/>
        </w:rPr>
        <w:t>، بر » وحاشية « بف » : « مسلم بن عبدالله »</w:t>
      </w:r>
      <w:r w:rsidR="008A74EB">
        <w:rPr>
          <w:rtl/>
        </w:rPr>
        <w:t>.</w:t>
      </w:r>
      <w:r w:rsidR="008A74EB" w:rsidRPr="00C9040A">
        <w:rPr>
          <w:rtl/>
        </w:rPr>
        <w:t xml:space="preserve"> وفي ا</w:t>
      </w:r>
      <w:r w:rsidR="00E86645">
        <w:rPr>
          <w:rtl/>
        </w:rPr>
        <w:t>لكافي ، ح 1903 : « مسلم بن شهاب</w:t>
      </w:r>
      <w:r w:rsidR="008A74EB" w:rsidRPr="00C9040A">
        <w:rPr>
          <w:rtl/>
        </w:rPr>
        <w:t>»</w:t>
      </w:r>
      <w:r w:rsidR="008A74EB">
        <w:rPr>
          <w:rtl/>
        </w:rPr>
        <w:t>.</w:t>
      </w:r>
    </w:p>
    <w:tbl>
      <w:tblPr>
        <w:tblStyle w:val="TableGrid"/>
        <w:bidiVisual/>
        <w:tblW w:w="0" w:type="auto"/>
        <w:tblLook w:val="04A0" w:firstRow="1" w:lastRow="0" w:firstColumn="1" w:lastColumn="0" w:noHBand="0" w:noVBand="1"/>
      </w:tblPr>
      <w:tblGrid>
        <w:gridCol w:w="4006"/>
        <w:gridCol w:w="4006"/>
      </w:tblGrid>
      <w:tr w:rsidR="004A309D" w:rsidTr="004A309D">
        <w:tc>
          <w:tcPr>
            <w:tcW w:w="4006" w:type="dxa"/>
          </w:tcPr>
          <w:p w:rsidR="004A309D" w:rsidRDefault="004A309D" w:rsidP="004A4E41">
            <w:pPr>
              <w:pStyle w:val="libFootnote0"/>
              <w:rPr>
                <w:rtl/>
                <w:lang w:bidi="fa-IR"/>
              </w:rPr>
            </w:pPr>
            <w:r>
              <w:rPr>
                <w:rtl/>
              </w:rPr>
              <w:t>(12).</w:t>
            </w:r>
            <w:r w:rsidRPr="00C9040A">
              <w:rPr>
                <w:rtl/>
              </w:rPr>
              <w:t xml:space="preserve"> في الوسائل </w:t>
            </w:r>
            <w:r>
              <w:rPr>
                <w:rtl/>
              </w:rPr>
              <w:t>: -</w:t>
            </w:r>
            <w:r w:rsidRPr="00C9040A">
              <w:rPr>
                <w:rtl/>
              </w:rPr>
              <w:t xml:space="preserve"> « عندالله »</w:t>
            </w:r>
            <w:r>
              <w:rPr>
                <w:rtl/>
              </w:rPr>
              <w:t>.</w:t>
            </w:r>
          </w:p>
        </w:tc>
        <w:tc>
          <w:tcPr>
            <w:tcW w:w="4006" w:type="dxa"/>
          </w:tcPr>
          <w:p w:rsidR="004A309D" w:rsidRDefault="004A309D" w:rsidP="004A4E41">
            <w:pPr>
              <w:pStyle w:val="libFootnote0"/>
              <w:rPr>
                <w:rtl/>
                <w:lang w:bidi="fa-IR"/>
              </w:rPr>
            </w:pPr>
            <w:r>
              <w:rPr>
                <w:rtl/>
              </w:rPr>
              <w:t>(13)</w:t>
            </w:r>
            <w:r w:rsidRPr="00C9040A">
              <w:rPr>
                <w:rtl/>
              </w:rPr>
              <w:t xml:space="preserve"> في الكافي ، ح 1903 : « فقال »</w:t>
            </w:r>
            <w:r>
              <w:rPr>
                <w:rtl/>
              </w:rPr>
              <w:t>.</w:t>
            </w:r>
          </w:p>
        </w:tc>
      </w:tr>
    </w:tbl>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رَسُولِهِ </w:t>
      </w:r>
      <w:r w:rsidR="006C577F" w:rsidRPr="006C577F">
        <w:rPr>
          <w:rStyle w:val="libFootnotenumChar"/>
          <w:rtl/>
        </w:rPr>
        <w:t>(1)</w:t>
      </w:r>
      <w:r w:rsidRPr="00C9040A">
        <w:rPr>
          <w:rtl/>
          <w:lang w:bidi="fa-IR"/>
        </w:rPr>
        <w:t xml:space="preserve"> </w:t>
      </w:r>
      <w:r w:rsidR="004A4E41" w:rsidRPr="004A4E41">
        <w:rPr>
          <w:rStyle w:val="libAlaemChar"/>
          <w:rtl/>
        </w:rPr>
        <w:t>صلى‌الله‌عليه‌وآله</w:t>
      </w:r>
      <w:r w:rsidRPr="00C9040A">
        <w:rPr>
          <w:rtl/>
          <w:lang w:bidi="fa-IR"/>
        </w:rPr>
        <w:t xml:space="preserve"> أَفْضَلَ مِنْ بُغْضِ الدُّنْيَا ؛ فَإِنَّ </w:t>
      </w:r>
      <w:r w:rsidR="006C577F" w:rsidRPr="006C577F">
        <w:rPr>
          <w:rStyle w:val="libFootnotenumChar"/>
          <w:rtl/>
        </w:rPr>
        <w:t>(2)</w:t>
      </w:r>
      <w:r w:rsidRPr="00C9040A">
        <w:rPr>
          <w:rtl/>
          <w:lang w:bidi="fa-IR"/>
        </w:rPr>
        <w:t xml:space="preserve"> لِذلِكَ لَشُعَباً </w:t>
      </w:r>
      <w:r w:rsidR="006C577F" w:rsidRPr="006C577F">
        <w:rPr>
          <w:rStyle w:val="libFootnotenumChar"/>
          <w:rtl/>
        </w:rPr>
        <w:t>(3)</w:t>
      </w:r>
      <w:r w:rsidRPr="00C9040A">
        <w:rPr>
          <w:rtl/>
          <w:lang w:bidi="fa-IR"/>
        </w:rPr>
        <w:t xml:space="preserve"> كَثِيرَةً ، وَلِلْمَعَاصِي شُعَبٌ </w:t>
      </w:r>
      <w:r w:rsidR="006C577F" w:rsidRPr="006C577F">
        <w:rPr>
          <w:rStyle w:val="libFootnotenumChar"/>
          <w:rtl/>
        </w:rPr>
        <w:t>(4)</w:t>
      </w:r>
      <w:r w:rsidRPr="00C9040A">
        <w:rPr>
          <w:rtl/>
          <w:lang w:bidi="fa-IR"/>
        </w:rPr>
        <w:t xml:space="preserve"> :</w:t>
      </w:r>
    </w:p>
    <w:p w:rsidR="008A74EB" w:rsidRPr="00C9040A" w:rsidRDefault="008A74EB" w:rsidP="008A74EB">
      <w:pPr>
        <w:pStyle w:val="libNormal"/>
        <w:rPr>
          <w:rtl/>
          <w:lang w:bidi="fa-IR"/>
        </w:rPr>
      </w:pPr>
      <w:r w:rsidRPr="00C9040A">
        <w:rPr>
          <w:rtl/>
          <w:lang w:bidi="fa-IR"/>
        </w:rPr>
        <w:t xml:space="preserve">فَأَوَّلُ مَا عُصِيَ اللهُ بِهِ الْكِبْرُ </w:t>
      </w:r>
      <w:r w:rsidR="006C577F" w:rsidRPr="006C577F">
        <w:rPr>
          <w:rStyle w:val="libFootnotenumChar"/>
          <w:rtl/>
        </w:rPr>
        <w:t>(5)</w:t>
      </w:r>
      <w:r w:rsidRPr="00C9040A">
        <w:rPr>
          <w:rtl/>
          <w:lang w:bidi="fa-IR"/>
        </w:rPr>
        <w:t xml:space="preserve"> ، مَعْصِيَةُ إِبْلِيسَ </w:t>
      </w:r>
      <w:r w:rsidR="006C577F" w:rsidRPr="006C577F">
        <w:rPr>
          <w:rStyle w:val="libFootnotenumChar"/>
          <w:rtl/>
        </w:rPr>
        <w:t>(6)</w:t>
      </w:r>
      <w:r w:rsidRPr="005B567D">
        <w:rPr>
          <w:rStyle w:val="libFootnotenumChar"/>
          <w:rtl/>
        </w:rPr>
        <w:t xml:space="preserve"> </w:t>
      </w:r>
      <w:r w:rsidRPr="00C9040A">
        <w:rPr>
          <w:rtl/>
          <w:lang w:bidi="fa-IR"/>
        </w:rPr>
        <w:t xml:space="preserve">حِينَ </w:t>
      </w:r>
      <w:r w:rsidR="006C577F" w:rsidRPr="006C577F">
        <w:rPr>
          <w:rStyle w:val="libFootnotenumChar"/>
          <w:rtl/>
        </w:rPr>
        <w:t>(7)</w:t>
      </w:r>
      <w:r w:rsidRPr="00C9040A">
        <w:rPr>
          <w:rtl/>
          <w:lang w:bidi="fa-IR"/>
        </w:rPr>
        <w:t xml:space="preserve"> </w:t>
      </w:r>
      <w:r w:rsidRPr="0003660B">
        <w:rPr>
          <w:rStyle w:val="libAlaemChar"/>
          <w:rtl/>
        </w:rPr>
        <w:t>(</w:t>
      </w:r>
      <w:r w:rsidRPr="006A2246">
        <w:rPr>
          <w:rStyle w:val="libAieChar"/>
          <w:rtl/>
        </w:rPr>
        <w:t xml:space="preserve"> أَبى وَاسْتَكْبَرَ وَكانَ مِنَ الْكافِرِينَ</w:t>
      </w:r>
      <w:r w:rsidRPr="0003660B">
        <w:rPr>
          <w:rStyle w:val="libAlaemChar"/>
          <w:rtl/>
        </w:rPr>
        <w:t>)</w:t>
      </w:r>
      <w:r w:rsidRPr="00C9040A">
        <w:rPr>
          <w:rtl/>
          <w:lang w:bidi="fa-IR"/>
        </w:rPr>
        <w:t xml:space="preserve"> </w:t>
      </w:r>
      <w:r w:rsidR="006C577F" w:rsidRPr="006C577F">
        <w:rPr>
          <w:rStyle w:val="libFootnotenumChar"/>
          <w:rtl/>
        </w:rPr>
        <w:t>(8)</w:t>
      </w:r>
    </w:p>
    <w:p w:rsidR="008A74EB" w:rsidRPr="00C9040A" w:rsidRDefault="008A74EB" w:rsidP="008A74EB">
      <w:pPr>
        <w:pStyle w:val="libNormal"/>
        <w:rPr>
          <w:rtl/>
          <w:lang w:bidi="fa-IR"/>
        </w:rPr>
      </w:pPr>
      <w:r w:rsidRPr="00C9040A">
        <w:rPr>
          <w:rtl/>
          <w:lang w:bidi="fa-IR"/>
        </w:rPr>
        <w:t xml:space="preserve">ثُمَّ الْحِرْصُ ، وَهِيَ </w:t>
      </w:r>
      <w:r w:rsidR="006C577F" w:rsidRPr="006C577F">
        <w:rPr>
          <w:rStyle w:val="libFootnotenumChar"/>
          <w:rtl/>
        </w:rPr>
        <w:t>(9)</w:t>
      </w:r>
      <w:r w:rsidRPr="00C9040A">
        <w:rPr>
          <w:rtl/>
          <w:lang w:bidi="fa-IR"/>
        </w:rPr>
        <w:t xml:space="preserve"> مَعْصِيَةُ آدَمَ وَحَوَّاءَ </w:t>
      </w:r>
      <w:r w:rsidRPr="0003660B">
        <w:rPr>
          <w:rStyle w:val="libAlaemChar"/>
          <w:rtl/>
        </w:rPr>
        <w:t>عليهما‌السلام</w:t>
      </w:r>
      <w:r w:rsidRPr="00C9040A">
        <w:rPr>
          <w:rtl/>
          <w:lang w:bidi="fa-IR"/>
        </w:rPr>
        <w:t xml:space="preserve"> حِينَ قَالَ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لَهُمَا :</w:t>
      </w:r>
      <w:r>
        <w:rPr>
          <w:rFonts w:hint="cs"/>
          <w:rtl/>
          <w:lang w:bidi="fa-IR"/>
        </w:rPr>
        <w:t xml:space="preserve"> </w:t>
      </w:r>
      <w:r w:rsidRPr="0003660B">
        <w:rPr>
          <w:rStyle w:val="libAlaemChar"/>
          <w:rtl/>
        </w:rPr>
        <w:t>(</w:t>
      </w:r>
      <w:r w:rsidRPr="006A2246">
        <w:rPr>
          <w:rStyle w:val="libAieChar"/>
          <w:rtl/>
        </w:rPr>
        <w:t xml:space="preserve"> فَكُلا</w:t>
      </w:r>
      <w:r>
        <w:rPr>
          <w:rFonts w:hint="cs"/>
          <w:rtl/>
        </w:rPr>
        <w:t xml:space="preserve"> </w:t>
      </w:r>
      <w:r w:rsidR="006C577F" w:rsidRPr="006C577F">
        <w:rPr>
          <w:rStyle w:val="libFootnotenumChar"/>
          <w:rtl/>
        </w:rPr>
        <w:t>(10)</w:t>
      </w:r>
      <w:r>
        <w:rPr>
          <w:rFonts w:hint="cs"/>
          <w:rtl/>
        </w:rPr>
        <w:t xml:space="preserve"> </w:t>
      </w:r>
      <w:r w:rsidRPr="006A2246">
        <w:rPr>
          <w:rStyle w:val="libAieChar"/>
          <w:rtl/>
        </w:rPr>
        <w:t xml:space="preserve">مِنْ حَيْثُ شِئْتُما وَلا تَقْرَبا هذِهِ الشَّجَرَةَ فَتَكُونا مِنَ الظّالِمِينَ </w:t>
      </w:r>
      <w:r w:rsidRPr="0003660B">
        <w:rPr>
          <w:rStyle w:val="libAlaemChar"/>
          <w:rtl/>
        </w:rPr>
        <w:t>)</w:t>
      </w:r>
      <w:r w:rsidRPr="00C9040A">
        <w:rPr>
          <w:rtl/>
          <w:lang w:bidi="fa-IR"/>
        </w:rPr>
        <w:t xml:space="preserve"> </w:t>
      </w:r>
      <w:r w:rsidR="006C577F" w:rsidRPr="006C577F">
        <w:rPr>
          <w:rStyle w:val="libFootnotenumChar"/>
          <w:rtl/>
        </w:rPr>
        <w:t>(11)</w:t>
      </w:r>
      <w:r w:rsidRPr="00C9040A">
        <w:rPr>
          <w:rtl/>
          <w:lang w:bidi="fa-IR"/>
        </w:rPr>
        <w:t xml:space="preserve"> فَأَخَذَا مَا لَاحَاجَةَ بِهِمَا إِلَيْهِ ، فَدَخَلَ ذلِكَ عَلى ذُرِّيَّتِهِمَا إِلى يَوْمِ الْقِيَامَةِ ، وَذلِكَ </w:t>
      </w:r>
      <w:r w:rsidR="006C577F" w:rsidRPr="006C577F">
        <w:rPr>
          <w:rStyle w:val="libFootnotenumChar"/>
          <w:rtl/>
        </w:rPr>
        <w:t>(12)</w:t>
      </w:r>
      <w:r w:rsidRPr="00C9040A">
        <w:rPr>
          <w:rtl/>
          <w:lang w:bidi="fa-IR"/>
        </w:rPr>
        <w:t xml:space="preserve"> أَنَّ أَكْثَرَ مَا يَطْلُبُ ابْنُ آدَمَ مَا لَا حَاجَةَ بِهِ إِلَيْهِ.</w:t>
      </w:r>
    </w:p>
    <w:p w:rsidR="008A74EB" w:rsidRPr="00C9040A" w:rsidRDefault="008A74EB" w:rsidP="008A74EB">
      <w:pPr>
        <w:pStyle w:val="libNormal"/>
        <w:rPr>
          <w:rtl/>
          <w:lang w:bidi="fa-IR"/>
        </w:rPr>
      </w:pPr>
      <w:r w:rsidRPr="00C9040A">
        <w:rPr>
          <w:rtl/>
          <w:lang w:bidi="fa-IR"/>
        </w:rPr>
        <w:t xml:space="preserve">ثُمَّ الْحَسَدُ ، وَهِيَ مَعْصِيَةُ ابْنِ آدَمَ حَيْثُ حَسَدَ أَخَاهُ ، فَقَتَلَهُ ، فَتَشَعَّبَ مِنْ ذلِكَ : حُبُّ النِّسَاءِ ، وَحُبُّ الدُّنْيَا ، وَحُبُّ الرِّئَاسَةِ ، وَحُبُّ الرَّاحَةِ ، وَحُبُّ الْكَلَامِ ، وَحُبُّ الْعُلُوِّ وَالثَّرْوَةِ ؛ فَصِرْنَ سَبْعَ خِصَالٍ ، فَاجْتَمَعْنَ كُلُّهُنَّ فِي حُبِّ الدُّنْيَا ، فَقَالَتِ </w:t>
      </w:r>
      <w:r w:rsidRPr="005B567D">
        <w:rPr>
          <w:rStyle w:val="libFootnotenumChar"/>
          <w:rtl/>
        </w:rPr>
        <w:t>(13)</w:t>
      </w:r>
      <w:r w:rsidRPr="00C9040A">
        <w:rPr>
          <w:rtl/>
          <w:lang w:bidi="fa-IR"/>
        </w:rPr>
        <w:t xml:space="preserve"> الْأَنْبِيَاءُ وَالْعُلَمَاءُ بَعْدَ مَعْرِفَةِ ذلِكَ : حُبُّ الدُّنْيَا رَأْسُ كُلِّ خَطِيئَةٍ ؛ وَالدُّنْيَا دُنْيَاءَانِ : دُنْيَا بَلَاغٍ </w:t>
      </w:r>
      <w:r w:rsidRPr="005B567D">
        <w:rPr>
          <w:rStyle w:val="libFootnotenumChar"/>
          <w:rtl/>
        </w:rPr>
        <w:t>(14)</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ب ، ج » والوسائل : « رسول الله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w:t>
      </w:r>
      <w:r w:rsidR="006D3162">
        <w:rPr>
          <w:rtl/>
        </w:rPr>
        <w:t xml:space="preserve">ه </w:t>
      </w:r>
      <w:r w:rsidR="008A74EB" w:rsidRPr="00C9040A">
        <w:rPr>
          <w:rtl/>
        </w:rPr>
        <w:t>، بر » والكافي ، ح 1903 : « وإنّ » ، واستظهره في مرآة العقول.</w:t>
      </w:r>
    </w:p>
    <w:p w:rsidR="008A74EB" w:rsidRPr="00C9040A" w:rsidRDefault="006C577F" w:rsidP="004A4E41">
      <w:pPr>
        <w:pStyle w:val="libFootnote0"/>
        <w:rPr>
          <w:rtl/>
          <w:lang w:bidi="fa-IR"/>
        </w:rPr>
      </w:pPr>
      <w:r>
        <w:rPr>
          <w:rtl/>
        </w:rPr>
        <w:t>(3).</w:t>
      </w:r>
      <w:r w:rsidR="008A74EB" w:rsidRPr="00C9040A">
        <w:rPr>
          <w:rtl/>
        </w:rPr>
        <w:t xml:space="preserve"> في « ب ، د ، ز ، بس ، بف » : « شعباً »</w:t>
      </w:r>
      <w:r w:rsidR="008A74EB">
        <w:rPr>
          <w:rtl/>
        </w:rPr>
        <w:t>.</w:t>
      </w:r>
      <w:r w:rsidR="008A74EB" w:rsidRPr="00C9040A">
        <w:rPr>
          <w:rtl/>
        </w:rPr>
        <w:t xml:space="preserve"> في </w:t>
      </w:r>
      <w:r w:rsidR="008A74EB" w:rsidRPr="00993B55">
        <w:rPr>
          <w:rStyle w:val="libFootnoteBoldChar"/>
          <w:rtl/>
        </w:rPr>
        <w:t>الوافي</w:t>
      </w:r>
      <w:r w:rsidR="008A74EB" w:rsidRPr="00C9040A">
        <w:rPr>
          <w:rtl/>
        </w:rPr>
        <w:t xml:space="preserve"> : « المشارإليه في قوله </w:t>
      </w:r>
      <w:r w:rsidR="00117575" w:rsidRPr="00117575">
        <w:rPr>
          <w:rStyle w:val="libFootnoteAlaemChar"/>
          <w:rtl/>
        </w:rPr>
        <w:t xml:space="preserve">عليه‌السلام </w:t>
      </w:r>
      <w:r w:rsidR="008A74EB" w:rsidRPr="00C9040A">
        <w:rPr>
          <w:rtl/>
        </w:rPr>
        <w:t>: « فإنّ لذلك لشعباً » يعني أنّ للأعمال الصالحة لشعباً يرجع كلّها إلى بغض الدنيا ، وللمعاصي شعباً يرجع كلّها إلى حبّ الدنيا. ثمّ اكتفى ببيان أحدهما عن الآخر. وأراد بحبّ الدنيا أوّلاً حبّ المال ، وثانياً حبّ كلّ ما لا حاجة به في تحصيل الآخرة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ز » وحاشية « بف » والوسائل : « شعباً »</w:t>
      </w:r>
      <w:r w:rsidR="008A74EB">
        <w:rPr>
          <w:rtl/>
        </w:rPr>
        <w:t>.</w:t>
      </w:r>
      <w:r w:rsidR="008A74EB" w:rsidRPr="00C9040A">
        <w:rPr>
          <w:rtl/>
        </w:rPr>
        <w:t xml:space="preserve"> وفي « بر » : « لشعباً »</w:t>
      </w:r>
      <w:r w:rsidR="008A74EB">
        <w:rPr>
          <w:rtl/>
        </w:rPr>
        <w:t>.</w:t>
      </w:r>
    </w:p>
    <w:tbl>
      <w:tblPr>
        <w:tblStyle w:val="TableGrid"/>
        <w:bidiVisual/>
        <w:tblW w:w="0" w:type="auto"/>
        <w:tblLook w:val="04A0" w:firstRow="1" w:lastRow="0" w:firstColumn="1" w:lastColumn="0" w:noHBand="0" w:noVBand="1"/>
      </w:tblPr>
      <w:tblGrid>
        <w:gridCol w:w="4006"/>
        <w:gridCol w:w="4006"/>
      </w:tblGrid>
      <w:tr w:rsidR="004A309D" w:rsidTr="004A309D">
        <w:tc>
          <w:tcPr>
            <w:tcW w:w="4006" w:type="dxa"/>
          </w:tcPr>
          <w:p w:rsidR="004A309D" w:rsidRDefault="004A309D" w:rsidP="004A4E41">
            <w:pPr>
              <w:pStyle w:val="libFootnote0"/>
              <w:rPr>
                <w:rtl/>
              </w:rPr>
            </w:pPr>
            <w:r>
              <w:rPr>
                <w:rtl/>
              </w:rPr>
              <w:t>(5).</w:t>
            </w:r>
            <w:r w:rsidRPr="00C9040A">
              <w:rPr>
                <w:rtl/>
              </w:rPr>
              <w:t xml:space="preserve"> في الكافي ، ح 1903 : + « وهي »</w:t>
            </w:r>
            <w:r>
              <w:rPr>
                <w:rtl/>
              </w:rPr>
              <w:t>.</w:t>
            </w:r>
          </w:p>
        </w:tc>
        <w:tc>
          <w:tcPr>
            <w:tcW w:w="4006" w:type="dxa"/>
          </w:tcPr>
          <w:p w:rsidR="004A309D" w:rsidRDefault="004A309D" w:rsidP="004A4E41">
            <w:pPr>
              <w:pStyle w:val="libFootnote0"/>
              <w:rPr>
                <w:rtl/>
              </w:rPr>
            </w:pPr>
            <w:r>
              <w:rPr>
                <w:rtl/>
              </w:rPr>
              <w:t xml:space="preserve">(6). </w:t>
            </w:r>
            <w:r w:rsidRPr="00C9040A">
              <w:rPr>
                <w:rtl/>
              </w:rPr>
              <w:t>في « ز ، ص ، بر ، بف » : + « لعنه الله »</w:t>
            </w:r>
            <w:r>
              <w:rPr>
                <w:rtl/>
              </w:rPr>
              <w:t>.</w:t>
            </w:r>
          </w:p>
        </w:tc>
      </w:tr>
      <w:tr w:rsidR="004A309D" w:rsidTr="004A309D">
        <w:tc>
          <w:tcPr>
            <w:tcW w:w="4006" w:type="dxa"/>
          </w:tcPr>
          <w:p w:rsidR="004A309D" w:rsidRDefault="004A309D" w:rsidP="004A4E41">
            <w:pPr>
              <w:pStyle w:val="libFootnote0"/>
              <w:rPr>
                <w:rtl/>
              </w:rPr>
            </w:pPr>
            <w:r>
              <w:rPr>
                <w:rtl/>
              </w:rPr>
              <w:t>(7).</w:t>
            </w:r>
            <w:r w:rsidRPr="00C9040A">
              <w:rPr>
                <w:rtl/>
              </w:rPr>
              <w:t xml:space="preserve"> في حاشية « ص » : « حيث »</w:t>
            </w:r>
            <w:r>
              <w:rPr>
                <w:rtl/>
              </w:rPr>
              <w:t>.</w:t>
            </w:r>
          </w:p>
        </w:tc>
        <w:tc>
          <w:tcPr>
            <w:tcW w:w="4006" w:type="dxa"/>
          </w:tcPr>
          <w:p w:rsidR="004A309D" w:rsidRDefault="004A309D" w:rsidP="004A4E41">
            <w:pPr>
              <w:pStyle w:val="libFootnote0"/>
              <w:rPr>
                <w:rtl/>
              </w:rPr>
            </w:pPr>
            <w:r>
              <w:rPr>
                <w:rtl/>
              </w:rPr>
              <w:t>(8).</w:t>
            </w:r>
            <w:r w:rsidRPr="00C9040A">
              <w:rPr>
                <w:rtl/>
              </w:rPr>
              <w:t xml:space="preserve"> البقرة </w:t>
            </w:r>
            <w:r>
              <w:rPr>
                <w:rtl/>
              </w:rPr>
              <w:t>(2)</w:t>
            </w:r>
            <w:r w:rsidRPr="00C9040A">
              <w:rPr>
                <w:rtl/>
              </w:rPr>
              <w:t xml:space="preserve"> : 34.</w:t>
            </w:r>
          </w:p>
        </w:tc>
      </w:tr>
    </w:tbl>
    <w:p w:rsidR="008A74EB" w:rsidRPr="00C9040A" w:rsidRDefault="006C577F" w:rsidP="004A4E41">
      <w:pPr>
        <w:pStyle w:val="libFootnote0"/>
        <w:rPr>
          <w:rtl/>
          <w:lang w:bidi="fa-IR"/>
        </w:rPr>
      </w:pPr>
      <w:r>
        <w:rPr>
          <w:rtl/>
        </w:rPr>
        <w:t>(9).</w:t>
      </w:r>
      <w:r w:rsidR="008A74EB" w:rsidRPr="00C9040A">
        <w:rPr>
          <w:rtl/>
        </w:rPr>
        <w:t xml:space="preserve"> في حاشية « بف » : « فهو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هكذا في القرآن </w:t>
      </w:r>
      <w:r w:rsidR="008A74EB">
        <w:rPr>
          <w:rtl/>
        </w:rPr>
        <w:t>و «</w:t>
      </w:r>
      <w:r w:rsidR="008A74EB" w:rsidRPr="00C9040A">
        <w:rPr>
          <w:rtl/>
        </w:rPr>
        <w:t xml:space="preserve"> د ، ص »</w:t>
      </w:r>
      <w:r w:rsidR="008A74EB">
        <w:rPr>
          <w:rtl/>
        </w:rPr>
        <w:t>.</w:t>
      </w:r>
      <w:r w:rsidR="008A74EB" w:rsidRPr="00C9040A">
        <w:rPr>
          <w:rtl/>
        </w:rPr>
        <w:t xml:space="preserve"> وفي « ز » : « وكلا »</w:t>
      </w:r>
      <w:r w:rsidR="008A74EB">
        <w:rPr>
          <w:rtl/>
        </w:rPr>
        <w:t>.</w:t>
      </w:r>
      <w:r w:rsidR="008A74EB" w:rsidRPr="00C9040A">
        <w:rPr>
          <w:rtl/>
        </w:rPr>
        <w:t xml:space="preserve"> وفي سائر النسخ والمطبوع : « كلا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الأعراف </w:t>
      </w:r>
      <w:r w:rsidR="004A309D">
        <w:rPr>
          <w:rtl/>
        </w:rPr>
        <w:t>(7)</w:t>
      </w:r>
      <w:r w:rsidR="008A74EB" w:rsidRPr="00C9040A">
        <w:rPr>
          <w:rtl/>
        </w:rPr>
        <w:t xml:space="preserve"> : 19.</w:t>
      </w:r>
    </w:p>
    <w:p w:rsidR="008A74EB" w:rsidRPr="00C9040A" w:rsidRDefault="006C577F" w:rsidP="004A4E41">
      <w:pPr>
        <w:pStyle w:val="libFootnote0"/>
        <w:rPr>
          <w:rtl/>
          <w:lang w:bidi="fa-IR"/>
        </w:rPr>
      </w:pPr>
      <w:r>
        <w:rPr>
          <w:rtl/>
        </w:rPr>
        <w:t>(12).</w:t>
      </w:r>
      <w:r w:rsidR="008A74EB" w:rsidRPr="00C9040A">
        <w:rPr>
          <w:rtl/>
        </w:rPr>
        <w:t xml:space="preserve"> في « ص ، </w:t>
      </w:r>
      <w:r w:rsidR="006D3162">
        <w:rPr>
          <w:rtl/>
        </w:rPr>
        <w:t xml:space="preserve">ه </w:t>
      </w:r>
      <w:r w:rsidR="008A74EB" w:rsidRPr="00C9040A">
        <w:rPr>
          <w:rtl/>
        </w:rPr>
        <w:t>، بر ، بف » والوافي : « فلذلك »</w:t>
      </w:r>
      <w:r w:rsidR="008A74EB">
        <w:rPr>
          <w:rtl/>
        </w:rPr>
        <w:t>.</w:t>
      </w:r>
      <w:r w:rsidR="008A74EB" w:rsidRPr="00C9040A">
        <w:rPr>
          <w:rtl/>
        </w:rPr>
        <w:t xml:space="preserve"> وفي مرآة العقول : « فذلك »</w:t>
      </w:r>
      <w:r w:rsidR="008A74EB">
        <w:rPr>
          <w:rtl/>
        </w:rPr>
        <w:t>.</w:t>
      </w:r>
    </w:p>
    <w:p w:rsidR="008A74EB" w:rsidRPr="00C9040A" w:rsidRDefault="008A74EB" w:rsidP="004A309D">
      <w:pPr>
        <w:pStyle w:val="libFootnote0"/>
        <w:rPr>
          <w:rtl/>
          <w:lang w:bidi="fa-IR"/>
        </w:rPr>
      </w:pPr>
      <w:r>
        <w:rPr>
          <w:rtl/>
        </w:rPr>
        <w:t>(13)</w:t>
      </w:r>
      <w:r w:rsidRPr="00C9040A">
        <w:rPr>
          <w:rtl/>
        </w:rPr>
        <w:t xml:space="preserve"> هكذا في « ب ، ج ، د ، ز ، ص ، </w:t>
      </w:r>
      <w:r w:rsidR="006D3162">
        <w:rPr>
          <w:rtl/>
        </w:rPr>
        <w:t xml:space="preserve">ه </w:t>
      </w:r>
      <w:r w:rsidRPr="00C9040A">
        <w:rPr>
          <w:rtl/>
        </w:rPr>
        <w:t>، بر ، بس » والوافي والبحار. وفي قليل من النسخ والمطبوع والكافي ، ح 1903 : « فقال »</w:t>
      </w:r>
      <w:r>
        <w:rPr>
          <w:rtl/>
        </w:rPr>
        <w:t>.</w:t>
      </w:r>
      <w:r w:rsidR="004A309D">
        <w:rPr>
          <w:rFonts w:hint="cs"/>
          <w:rtl/>
        </w:rPr>
        <w:t xml:space="preserve">                               </w:t>
      </w:r>
      <w:r>
        <w:rPr>
          <w:rtl/>
        </w:rPr>
        <w:t>(14)</w:t>
      </w:r>
      <w:r w:rsidR="004A309D">
        <w:rPr>
          <w:rtl/>
        </w:rPr>
        <w:t xml:space="preserve"> «بَلاغ»:</w:t>
      </w:r>
      <w:r w:rsidRPr="00C9040A">
        <w:rPr>
          <w:rtl/>
        </w:rPr>
        <w:t xml:space="preserve">الكفاية. </w:t>
      </w:r>
      <w:r w:rsidRPr="00993B55">
        <w:rPr>
          <w:rStyle w:val="libFootnoteBoldChar"/>
          <w:rtl/>
        </w:rPr>
        <w:t>لسان العرب</w:t>
      </w:r>
      <w:r w:rsidR="004A309D">
        <w:rPr>
          <w:rtl/>
        </w:rPr>
        <w:t>، ج 8 ،ص 419 (بلغ</w:t>
      </w:r>
      <w:r w:rsidRPr="00C9040A">
        <w:rPr>
          <w:rtl/>
        </w:rPr>
        <w:t>)</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وَدُنْيَا مَلْعُونَةٍ »</w:t>
      </w:r>
      <w:r>
        <w:rPr>
          <w:rtl/>
          <w:lang w:bidi="fa-IR"/>
        </w:rPr>
        <w:t>.</w:t>
      </w:r>
      <w:r w:rsidRPr="00C9040A">
        <w:rPr>
          <w:rtl/>
          <w:lang w:bidi="fa-IR"/>
        </w:rPr>
        <w:t xml:space="preserve"> </w:t>
      </w:r>
      <w:r w:rsidR="006C577F" w:rsidRPr="006C577F">
        <w:rPr>
          <w:rStyle w:val="libFootnotenumChar"/>
          <w:rtl/>
        </w:rPr>
        <w:t>(1)</w:t>
      </w:r>
      <w:r w:rsidRPr="00C9040A">
        <w:rPr>
          <w:rtl/>
          <w:lang w:bidi="fa-IR"/>
        </w:rPr>
        <w:t xml:space="preserve"> ‌</w:t>
      </w:r>
    </w:p>
    <w:p w:rsidR="008A74EB" w:rsidRPr="00C9040A" w:rsidRDefault="008A74EB" w:rsidP="008A74EB">
      <w:pPr>
        <w:pStyle w:val="libNormal"/>
        <w:rPr>
          <w:rtl/>
          <w:lang w:bidi="fa-IR"/>
        </w:rPr>
      </w:pPr>
      <w:r w:rsidRPr="00385A10">
        <w:rPr>
          <w:rtl/>
        </w:rPr>
        <w:t>2594</w:t>
      </w:r>
      <w:r w:rsidRPr="00261CB0">
        <w:rPr>
          <w:rStyle w:val="libBold2Char"/>
          <w:rtl/>
        </w:rPr>
        <w:t xml:space="preserve"> / 9.</w:t>
      </w:r>
      <w:r w:rsidRPr="00C9040A">
        <w:rPr>
          <w:rtl/>
          <w:lang w:bidi="fa-IR"/>
        </w:rPr>
        <w:t xml:space="preserve"> وَبِهذَا الْإِسْنَادِ ، عَنِ الْمِنْقَرِيِّ ، عَنْ حَفْصِ بْنِ غِيَاثٍ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فِي مُنَاجَاةِ مُوسى </w:t>
      </w:r>
      <w:r w:rsidRPr="0003660B">
        <w:rPr>
          <w:rStyle w:val="libAlaemChar"/>
          <w:rtl/>
        </w:rPr>
        <w:t>عليه‌السلام</w:t>
      </w:r>
      <w:r w:rsidRPr="00C9040A">
        <w:rPr>
          <w:rtl/>
          <w:lang w:bidi="fa-IR"/>
        </w:rPr>
        <w:t xml:space="preserve"> : يَا مُوسى ، إِنَّ </w:t>
      </w:r>
      <w:r w:rsidR="006C577F" w:rsidRPr="006C577F">
        <w:rPr>
          <w:rStyle w:val="libFootnotenumChar"/>
          <w:rtl/>
        </w:rPr>
        <w:t>(2)</w:t>
      </w:r>
      <w:r w:rsidRPr="00C9040A">
        <w:rPr>
          <w:rtl/>
          <w:lang w:bidi="fa-IR"/>
        </w:rPr>
        <w:t xml:space="preserve"> الدُّنْيَا دَارُ عُقُوبَةٍ ، عَاقَبْتُ فِيهَا </w:t>
      </w:r>
      <w:r w:rsidR="006C577F" w:rsidRPr="006C577F">
        <w:rPr>
          <w:rStyle w:val="libFootnotenumChar"/>
          <w:rtl/>
        </w:rPr>
        <w:t>(3)</w:t>
      </w:r>
      <w:r w:rsidRPr="00C9040A">
        <w:rPr>
          <w:rtl/>
          <w:lang w:bidi="fa-IR"/>
        </w:rPr>
        <w:t xml:space="preserve"> آدَمَ عِنْدَ خَطِيئَتِهِ </w:t>
      </w:r>
      <w:r w:rsidR="006C577F" w:rsidRPr="006C577F">
        <w:rPr>
          <w:rStyle w:val="libFootnotenumChar"/>
          <w:rtl/>
        </w:rPr>
        <w:t>(4)</w:t>
      </w:r>
      <w:r w:rsidRPr="00C9040A">
        <w:rPr>
          <w:rtl/>
          <w:lang w:bidi="fa-IR"/>
        </w:rPr>
        <w:t xml:space="preserve"> ، وَجَعَلْتُهَا مَلْعُونَ</w:t>
      </w:r>
      <w:r w:rsidR="004A309D">
        <w:rPr>
          <w:rtl/>
          <w:lang w:bidi="fa-IR"/>
        </w:rPr>
        <w:t>ةً ، مَلْعُونٌ مَا فِيهَا إِل</w:t>
      </w:r>
      <w:r w:rsidR="004A309D">
        <w:rPr>
          <w:rFonts w:hint="cs"/>
          <w:rtl/>
          <w:lang w:bidi="fa-IR"/>
        </w:rPr>
        <w:t>َّ</w:t>
      </w:r>
      <w:r w:rsidR="004A309D">
        <w:rPr>
          <w:rtl/>
          <w:lang w:bidi="fa-IR"/>
        </w:rPr>
        <w:t>ا</w:t>
      </w:r>
      <w:r w:rsidRPr="00C9040A">
        <w:rPr>
          <w:rtl/>
          <w:lang w:bidi="fa-IR"/>
        </w:rPr>
        <w:t xml:space="preserve"> مَا كَانَ فِيهَا لِي ؛ يَا مُوسى ، إِنَّ عِبَادِيَ الصَّالِحِينَ زَهِدُوا فِي الدُّنْيَا بِقَدْرِ عِلْمِهِمْ ، وَسَائِرَ الْخَلْقِ رَغِبُوا فِيهَا بِقَدْرِ جَهْلِهِمْ ؛ وَمَا مِنْ أَحَدٍ عَظَّمَهَا فَقَرَّتْ عَيْنَاهُ </w:t>
      </w:r>
      <w:r w:rsidR="006C577F" w:rsidRPr="006C577F">
        <w:rPr>
          <w:rStyle w:val="libFootnotenumChar"/>
          <w:rtl/>
        </w:rPr>
        <w:t>(5)</w:t>
      </w:r>
      <w:r w:rsidRPr="00C9040A">
        <w:rPr>
          <w:rtl/>
          <w:lang w:bidi="fa-IR"/>
        </w:rPr>
        <w:t xml:space="preserve"> فِيهَا </w:t>
      </w:r>
      <w:r w:rsidR="006C577F" w:rsidRPr="006C577F">
        <w:rPr>
          <w:rStyle w:val="libFootnotenumChar"/>
          <w:rtl/>
        </w:rPr>
        <w:t>(6)</w:t>
      </w:r>
      <w:r w:rsidRPr="005B567D">
        <w:rPr>
          <w:rStyle w:val="libFootnotenumChar"/>
          <w:rtl/>
        </w:rPr>
        <w:t xml:space="preserve"> </w:t>
      </w:r>
      <w:r w:rsidRPr="00C9040A">
        <w:rPr>
          <w:rtl/>
          <w:lang w:bidi="fa-IR"/>
        </w:rPr>
        <w:t>، و</w:t>
      </w:r>
      <w:r w:rsidR="004A309D">
        <w:rPr>
          <w:rtl/>
          <w:lang w:bidi="fa-IR"/>
        </w:rPr>
        <w:t>َلَمْ يُحَقِّرْهَا أَحَدٌ إِل</w:t>
      </w:r>
      <w:r w:rsidR="004A309D">
        <w:rPr>
          <w:rFonts w:hint="cs"/>
          <w:rtl/>
          <w:lang w:bidi="fa-IR"/>
        </w:rPr>
        <w:t>َّ</w:t>
      </w:r>
      <w:r w:rsidR="004A309D">
        <w:rPr>
          <w:rtl/>
          <w:lang w:bidi="fa-IR"/>
        </w:rPr>
        <w:t>ا</w:t>
      </w:r>
      <w:r w:rsidRPr="00C9040A">
        <w:rPr>
          <w:rtl/>
          <w:lang w:bidi="fa-IR"/>
        </w:rPr>
        <w:t xml:space="preserve"> انْتَفَعَ بِهَا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385A10">
        <w:rPr>
          <w:rtl/>
        </w:rPr>
        <w:t>2595</w:t>
      </w:r>
      <w:r w:rsidRPr="00261CB0">
        <w:rPr>
          <w:rStyle w:val="libBold2Char"/>
          <w:rtl/>
        </w:rPr>
        <w:t xml:space="preserve"> / 10.</w:t>
      </w:r>
      <w:r w:rsidRPr="00C9040A">
        <w:rPr>
          <w:rtl/>
          <w:lang w:bidi="fa-IR"/>
        </w:rPr>
        <w:t xml:space="preserve"> مُحَمَّدُ بْنُ يَحْيى ، عَنْ أَحْمَدَ بْنِ مُحَمَّدٍ ، عَنِ ابْنِ فَضَّالٍ ، عَنْ أَبِي جَمِيلَةَ ، عَنْ مُحَمَّدٍ الْحَلَبِيِّ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مَا ذِئْبَانِ ضَارِيَانِ </w:t>
      </w:r>
      <w:r w:rsidR="006C577F" w:rsidRPr="006C577F">
        <w:rPr>
          <w:rStyle w:val="libFootnotenumChar"/>
          <w:rtl/>
        </w:rPr>
        <w:t>(8)</w:t>
      </w:r>
      <w:r w:rsidRPr="00C9040A">
        <w:rPr>
          <w:rtl/>
          <w:lang w:bidi="fa-IR"/>
        </w:rPr>
        <w:t xml:space="preserve"> فِي غَنَمٍ قَدْ فَارَقَهَا رِعَاؤُهَا </w:t>
      </w:r>
      <w:r w:rsidR="006C577F" w:rsidRPr="006C577F">
        <w:rPr>
          <w:rStyle w:val="libFootnotenumChar"/>
          <w:rtl/>
        </w:rPr>
        <w:t>(9)</w:t>
      </w:r>
      <w:r>
        <w:rPr>
          <w:rtl/>
          <w:lang w:bidi="fa-IR"/>
        </w:rPr>
        <w:t xml:space="preserve"> </w:t>
      </w:r>
      <w:r w:rsidR="0084262C">
        <w:rPr>
          <w:rtl/>
          <w:lang w:bidi="fa-IR"/>
        </w:rPr>
        <w:t>-</w:t>
      </w:r>
      <w:r>
        <w:rPr>
          <w:rtl/>
          <w:lang w:bidi="fa-IR"/>
        </w:rPr>
        <w:t xml:space="preserve"> </w:t>
      </w:r>
      <w:r w:rsidRPr="00C9040A">
        <w:rPr>
          <w:rtl/>
          <w:lang w:bidi="fa-IR"/>
        </w:rPr>
        <w:t xml:space="preserve">وَاحِدٌ فِي أَوَّلِهَا ، وَهذَا </w:t>
      </w:r>
      <w:r w:rsidR="006C577F" w:rsidRPr="006C577F">
        <w:rPr>
          <w:rStyle w:val="libFootnotenumChar"/>
          <w:rtl/>
        </w:rPr>
        <w:t>(10)</w:t>
      </w:r>
      <w:r w:rsidRPr="00C9040A">
        <w:rPr>
          <w:rtl/>
          <w:lang w:bidi="fa-IR"/>
        </w:rPr>
        <w:t xml:space="preserve"> فِي آخِرِهَا</w:t>
      </w:r>
      <w:r>
        <w:rPr>
          <w:rtl/>
          <w:lang w:bidi="fa-IR"/>
        </w:rPr>
        <w:t xml:space="preserve"> </w:t>
      </w:r>
      <w:r w:rsidR="0084262C">
        <w:rPr>
          <w:rtl/>
          <w:lang w:bidi="fa-IR"/>
        </w:rPr>
        <w:t>-</w:t>
      </w:r>
      <w:r>
        <w:rPr>
          <w:rtl/>
          <w:lang w:bidi="fa-IR"/>
        </w:rPr>
        <w:t xml:space="preserve"> </w:t>
      </w:r>
      <w:r w:rsidRPr="00C9040A">
        <w:rPr>
          <w:rtl/>
          <w:lang w:bidi="fa-IR"/>
        </w:rPr>
        <w:t xml:space="preserve">بِأَفْسَدَ فِيهَا مِنْ حُبِّ الْمَالِ </w:t>
      </w:r>
      <w:r w:rsidR="006C577F" w:rsidRPr="006C577F">
        <w:rPr>
          <w:rStyle w:val="libFootnotenumChar"/>
          <w:rtl/>
        </w:rPr>
        <w:t>(11)</w:t>
      </w:r>
      <w:r w:rsidRPr="00C9040A">
        <w:rPr>
          <w:rtl/>
          <w:lang w:bidi="fa-IR"/>
        </w:rPr>
        <w:t xml:space="preserve"> وَالشَّرَفِ فِي دِينِ الْمُسْلِمِ »</w:t>
      </w:r>
      <w:r>
        <w:rPr>
          <w:rtl/>
          <w:lang w:bidi="fa-IR"/>
        </w:rPr>
        <w:t>.</w:t>
      </w:r>
      <w:r w:rsidRPr="00C9040A">
        <w:rPr>
          <w:rtl/>
          <w:lang w:bidi="fa-IR"/>
        </w:rPr>
        <w:t xml:space="preserve"> </w:t>
      </w:r>
      <w:r w:rsidR="006C577F" w:rsidRPr="006C577F">
        <w:rPr>
          <w:rStyle w:val="libFootnotenumChar"/>
          <w:rtl/>
        </w:rPr>
        <w:t>(12)</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993B55">
        <w:rPr>
          <w:rStyle w:val="libFootnoteBoldChar"/>
          <w:rtl/>
        </w:rPr>
        <w:t>الكافي</w:t>
      </w:r>
      <w:r w:rsidR="008A74EB" w:rsidRPr="00C9040A">
        <w:rPr>
          <w:rtl/>
        </w:rPr>
        <w:t xml:space="preserve"> ، كتاب الإيمان والكفر ، باب ذمّ الدنيا والزهد فيها ، ح 1903 </w:t>
      </w:r>
      <w:r w:rsidR="008A74EB" w:rsidRPr="00993B55">
        <w:rPr>
          <w:rStyle w:val="libFootnoteBoldChar"/>
          <w:rtl/>
        </w:rPr>
        <w:t>الوافي</w:t>
      </w:r>
      <w:r w:rsidR="008A74EB" w:rsidRPr="00C9040A">
        <w:rPr>
          <w:rtl/>
        </w:rPr>
        <w:t xml:space="preserve"> ، ج 5 ، ص 892 ، ح 3238 ؛ </w:t>
      </w:r>
      <w:r w:rsidR="008A74EB" w:rsidRPr="00993B55">
        <w:rPr>
          <w:rStyle w:val="libFootnoteBoldChar"/>
          <w:rtl/>
        </w:rPr>
        <w:t>الوسائل</w:t>
      </w:r>
      <w:r w:rsidR="008A74EB" w:rsidRPr="00C9040A">
        <w:rPr>
          <w:rtl/>
        </w:rPr>
        <w:t xml:space="preserve"> ، ج 16 ، ص 8 ، ح 20822 ؛ </w:t>
      </w:r>
      <w:r w:rsidR="008A74EB" w:rsidRPr="00993B55">
        <w:rPr>
          <w:rStyle w:val="libFootnoteBoldChar"/>
          <w:rtl/>
        </w:rPr>
        <w:t>البحار</w:t>
      </w:r>
      <w:r w:rsidR="008A74EB" w:rsidRPr="00C9040A">
        <w:rPr>
          <w:rtl/>
        </w:rPr>
        <w:t xml:space="preserve"> ، ج 73 ، ص 19 ، ح 9.</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حاشية « ب » : + « في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د » : « بها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ص » : « خطيئة »</w:t>
      </w:r>
      <w:r w:rsidR="008A74EB">
        <w:rPr>
          <w:rtl/>
        </w:rPr>
        <w:t>.</w:t>
      </w:r>
    </w:p>
    <w:p w:rsidR="008A74EB" w:rsidRPr="00C9040A" w:rsidRDefault="006C577F" w:rsidP="001E52D6">
      <w:pPr>
        <w:pStyle w:val="libFootnote0"/>
        <w:rPr>
          <w:rtl/>
          <w:lang w:bidi="fa-IR"/>
        </w:rPr>
      </w:pPr>
      <w:r>
        <w:rPr>
          <w:rtl/>
        </w:rPr>
        <w:t>(5).</w:t>
      </w:r>
      <w:r w:rsidR="008A74EB" w:rsidRPr="00C9040A">
        <w:rPr>
          <w:rtl/>
        </w:rPr>
        <w:t xml:space="preserve"> في « ب ، ز ، ص ، بس ، بف » وحاشية « بر » وشرح المازندراني ومرآة العقول والوسائل والبحار والأمالي : « عينه »</w:t>
      </w:r>
      <w:r w:rsidR="008A74EB">
        <w:rPr>
          <w:rtl/>
        </w:rPr>
        <w:t>.</w:t>
      </w:r>
      <w:r w:rsidR="001E52D6">
        <w:rPr>
          <w:rFonts w:hint="cs"/>
          <w:rtl/>
        </w:rPr>
        <w:t xml:space="preserve">                                   </w:t>
      </w:r>
      <w:r>
        <w:rPr>
          <w:rtl/>
        </w:rPr>
        <w:t>(6).</w:t>
      </w:r>
      <w:r w:rsidR="008A74EB">
        <w:rPr>
          <w:rtl/>
        </w:rPr>
        <w:t xml:space="preserve"> </w:t>
      </w:r>
      <w:r w:rsidR="008A74EB" w:rsidRPr="00C9040A">
        <w:rPr>
          <w:rtl/>
        </w:rPr>
        <w:t>في الوسائل : « بها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تفسير القمّي</w:t>
      </w:r>
      <w:r w:rsidR="008A74EB" w:rsidRPr="00C9040A">
        <w:rPr>
          <w:rtl/>
        </w:rPr>
        <w:t xml:space="preserve"> ، ج 1 ص 242 ، ضمن الحديث ، عن أبيه ، عن القاسم بن محمّد ، عن سليمان بن داود المنقري. وفي </w:t>
      </w:r>
      <w:r w:rsidR="008A74EB" w:rsidRPr="0034021D">
        <w:rPr>
          <w:rStyle w:val="libFootnoteBoldChar"/>
          <w:rtl/>
        </w:rPr>
        <w:t>الأمالي للصدوق</w:t>
      </w:r>
      <w:r w:rsidR="008A74EB" w:rsidRPr="00C9040A">
        <w:rPr>
          <w:rtl/>
        </w:rPr>
        <w:t xml:space="preserve"> ، ص 666 ، المجلس 94 ، ضمن ح 2 ؛ </w:t>
      </w:r>
      <w:r w:rsidR="008A74EB" w:rsidRPr="00993B55">
        <w:rPr>
          <w:rStyle w:val="libFootnoteBoldChar"/>
          <w:rtl/>
        </w:rPr>
        <w:t>وثواب الأعمال</w:t>
      </w:r>
      <w:r w:rsidR="008A74EB" w:rsidRPr="00C9040A">
        <w:rPr>
          <w:rtl/>
        </w:rPr>
        <w:t xml:space="preserve"> ، ص 263 ، ح 1 ، بسند آخر عن القاسم بن محمّد ، وفي كلّها مع اختلاف يسير </w:t>
      </w:r>
      <w:r w:rsidR="001E52D6">
        <w:rPr>
          <w:rFonts w:hint="cs"/>
          <w:rtl/>
        </w:rPr>
        <w:t>.</w:t>
      </w:r>
      <w:r w:rsidR="008A74EB" w:rsidRPr="00993B55">
        <w:rPr>
          <w:rStyle w:val="libFootnoteBoldChar"/>
          <w:rtl/>
        </w:rPr>
        <w:t>الوافي</w:t>
      </w:r>
      <w:r w:rsidR="008A74EB" w:rsidRPr="00C9040A">
        <w:rPr>
          <w:rtl/>
        </w:rPr>
        <w:t xml:space="preserve"> ، ج 5 ، ص 893 ، ح 3239 ؛ </w:t>
      </w:r>
      <w:r w:rsidR="008A74EB" w:rsidRPr="00993B55">
        <w:rPr>
          <w:rStyle w:val="libFootnoteBoldChar"/>
          <w:rtl/>
        </w:rPr>
        <w:t>الوسائل</w:t>
      </w:r>
      <w:r w:rsidR="008A74EB" w:rsidRPr="00C9040A">
        <w:rPr>
          <w:rtl/>
        </w:rPr>
        <w:t xml:space="preserve"> ، ج 16 ، ص 9 ، ح 20823 ؛ </w:t>
      </w:r>
      <w:r w:rsidR="008A74EB" w:rsidRPr="00993B55">
        <w:rPr>
          <w:rStyle w:val="libFootnoteBoldChar"/>
          <w:rtl/>
        </w:rPr>
        <w:t>البحار</w:t>
      </w:r>
      <w:r w:rsidR="008A74EB" w:rsidRPr="00C9040A">
        <w:rPr>
          <w:rtl/>
        </w:rPr>
        <w:t xml:space="preserve"> ، ج 73 ، ص 21 ، ح 10.</w:t>
      </w:r>
    </w:p>
    <w:p w:rsidR="008A74EB" w:rsidRPr="00C9040A" w:rsidRDefault="006C577F" w:rsidP="004A4E41">
      <w:pPr>
        <w:pStyle w:val="libFootnote0"/>
        <w:rPr>
          <w:rtl/>
          <w:lang w:bidi="fa-IR"/>
        </w:rPr>
      </w:pPr>
      <w:r>
        <w:rPr>
          <w:rtl/>
        </w:rPr>
        <w:t>(8).</w:t>
      </w:r>
      <w:r w:rsidR="008A74EB" w:rsidRPr="00C9040A">
        <w:rPr>
          <w:rtl/>
        </w:rPr>
        <w:t xml:space="preserve"> في « ز ، بس » </w:t>
      </w:r>
      <w:r w:rsidR="008A74EB">
        <w:rPr>
          <w:rtl/>
        </w:rPr>
        <w:t xml:space="preserve">: </w:t>
      </w:r>
      <w:r w:rsidR="0084262C">
        <w:rPr>
          <w:rtl/>
        </w:rPr>
        <w:t>-</w:t>
      </w:r>
      <w:r w:rsidR="008A74EB" w:rsidRPr="00C9040A">
        <w:rPr>
          <w:rtl/>
        </w:rPr>
        <w:t xml:space="preserve"> « ضاريان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د ، بر » : « رعاتها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 ص ، </w:t>
      </w:r>
      <w:r w:rsidR="006D3162">
        <w:rPr>
          <w:rtl/>
        </w:rPr>
        <w:t xml:space="preserve">ه </w:t>
      </w:r>
      <w:r w:rsidR="008A74EB" w:rsidRPr="00C9040A">
        <w:rPr>
          <w:rtl/>
        </w:rPr>
        <w:t>، بر ، بف » وحاشية « د » : « وآخر »</w:t>
      </w:r>
      <w:r w:rsidR="008A74EB">
        <w:rPr>
          <w:rtl/>
        </w:rPr>
        <w:t>.</w:t>
      </w:r>
      <w:r w:rsidR="008A74EB" w:rsidRPr="00C9040A">
        <w:rPr>
          <w:rtl/>
        </w:rPr>
        <w:t xml:space="preserve"> وفي الوافي : « والآخر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في « ج » والوافي : « الدنيا »</w:t>
      </w:r>
      <w:r w:rsidR="008A74EB">
        <w:rPr>
          <w:rtl/>
        </w:rPr>
        <w:t>.</w:t>
      </w:r>
    </w:p>
    <w:p w:rsidR="008A74EB" w:rsidRPr="00C9040A" w:rsidRDefault="006C577F" w:rsidP="004A4E41">
      <w:pPr>
        <w:pStyle w:val="libFootnote0"/>
        <w:rPr>
          <w:rtl/>
          <w:lang w:bidi="fa-IR"/>
        </w:rPr>
      </w:pPr>
      <w:r>
        <w:rPr>
          <w:rtl/>
        </w:rPr>
        <w:t>(12).</w:t>
      </w:r>
      <w:r w:rsidR="008A74EB" w:rsidRPr="00C9040A">
        <w:rPr>
          <w:rtl/>
        </w:rPr>
        <w:t xml:space="preserve"> راجع : ح 2 </w:t>
      </w:r>
      <w:r w:rsidR="008A74EB">
        <w:rPr>
          <w:rtl/>
        </w:rPr>
        <w:t>و 3</w:t>
      </w:r>
      <w:r w:rsidR="008A74EB" w:rsidRPr="00C9040A">
        <w:rPr>
          <w:rtl/>
        </w:rPr>
        <w:t xml:space="preserve"> ، من هذا</w:t>
      </w:r>
      <w:r w:rsidR="008A74EB">
        <w:rPr>
          <w:rFonts w:hint="cs"/>
          <w:rtl/>
        </w:rPr>
        <w:t xml:space="preserve"> </w:t>
      </w:r>
      <w:r w:rsidR="008A74EB" w:rsidRPr="00C9040A">
        <w:rPr>
          <w:rtl/>
        </w:rPr>
        <w:t xml:space="preserve">الباب </w:t>
      </w:r>
      <w:r w:rsidR="001E52D6">
        <w:rPr>
          <w:rFonts w:hint="cs"/>
          <w:rtl/>
        </w:rPr>
        <w:t>.</w:t>
      </w:r>
      <w:r w:rsidR="008A74EB" w:rsidRPr="00993B55">
        <w:rPr>
          <w:rStyle w:val="libFootnoteBoldChar"/>
          <w:rtl/>
        </w:rPr>
        <w:t>الوافي</w:t>
      </w:r>
      <w:r w:rsidR="008A74EB" w:rsidRPr="00C9040A">
        <w:rPr>
          <w:rtl/>
        </w:rPr>
        <w:t xml:space="preserve"> ، ج 5 ، ص 889 ، ح 3231.</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385A10">
        <w:rPr>
          <w:rtl/>
        </w:rPr>
        <w:t>2596</w:t>
      </w:r>
      <w:r w:rsidRPr="00261CB0">
        <w:rPr>
          <w:rStyle w:val="libBold2Char"/>
          <w:rtl/>
        </w:rPr>
        <w:t xml:space="preserve"> / 11.</w:t>
      </w:r>
      <w:r w:rsidRPr="00C9040A">
        <w:rPr>
          <w:rtl/>
          <w:lang w:bidi="fa-IR"/>
        </w:rPr>
        <w:t xml:space="preserve"> عِدَّةٌ مِنْ أَصْحَابِنَا ، عَنْ أَحْمَدَ بْنِ مُحَمَّدِ بْنِ خَالِدٍ ، عَنْ مَنْصُورِ بْنِ الْعَبَّاسِ ، عَنْ سَعِيدِ بْنِ جَنَاحٍ ، عَنْ عُثْمَانَ بْنِ سَعِيدٍ ، عَنْ عَبْدِ الْحَمِيدِ </w:t>
      </w:r>
      <w:r w:rsidR="006C577F" w:rsidRPr="006C577F">
        <w:rPr>
          <w:rStyle w:val="libFootnotenumChar"/>
          <w:rtl/>
        </w:rPr>
        <w:t>(1)</w:t>
      </w:r>
      <w:r w:rsidRPr="00C9040A">
        <w:rPr>
          <w:rtl/>
          <w:lang w:bidi="fa-IR"/>
        </w:rPr>
        <w:t xml:space="preserve"> بْنِ عَلِيٍّ الْكُوفِيِّ ، عَنْ مُهَاجِرٍ الْأَسَدِيِّ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مَرَّ عِيسَى بْنُ مَرْيَمَ </w:t>
      </w:r>
      <w:r w:rsidRPr="0003660B">
        <w:rPr>
          <w:rStyle w:val="libAlaemChar"/>
          <w:rtl/>
        </w:rPr>
        <w:t>عليه‌السلام</w:t>
      </w:r>
      <w:r w:rsidRPr="00C9040A">
        <w:rPr>
          <w:rtl/>
          <w:lang w:bidi="fa-IR"/>
        </w:rPr>
        <w:t xml:space="preserve"> عَلى قَرْيَةٍ قَدْ مَاتَ أَهْلُهَا وَطَيْرُهَا وَدَوَابُّهَا ، فَقَالَ : أَمَا</w:t>
      </w:r>
      <w:r w:rsidR="001E52D6">
        <w:rPr>
          <w:rtl/>
          <w:lang w:bidi="fa-IR"/>
        </w:rPr>
        <w:t xml:space="preserve"> إِنَّهُمْ لَمْ يَمُوتُوا إِل</w:t>
      </w:r>
      <w:r w:rsidR="001E52D6">
        <w:rPr>
          <w:rFonts w:hint="cs"/>
          <w:rtl/>
          <w:lang w:bidi="fa-IR"/>
        </w:rPr>
        <w:t>َّ</w:t>
      </w:r>
      <w:r w:rsidR="001E52D6">
        <w:rPr>
          <w:rtl/>
          <w:lang w:bidi="fa-IR"/>
        </w:rPr>
        <w:t>ا</w:t>
      </w:r>
      <w:r w:rsidRPr="00C9040A">
        <w:rPr>
          <w:rtl/>
          <w:lang w:bidi="fa-IR"/>
        </w:rPr>
        <w:t xml:space="preserve"> بِسَخْطَةٍ </w:t>
      </w:r>
      <w:r w:rsidR="006C577F" w:rsidRPr="006C577F">
        <w:rPr>
          <w:rStyle w:val="libFootnotenumChar"/>
          <w:rtl/>
        </w:rPr>
        <w:t>(2)</w:t>
      </w:r>
      <w:r w:rsidRPr="00C9040A">
        <w:rPr>
          <w:rtl/>
          <w:lang w:bidi="fa-IR"/>
        </w:rPr>
        <w:t xml:space="preserve"> ، وَلَوْ مَاتُوا </w:t>
      </w:r>
      <w:r w:rsidR="006C577F" w:rsidRPr="006C577F">
        <w:rPr>
          <w:rStyle w:val="libFootnotenumChar"/>
          <w:rtl/>
        </w:rPr>
        <w:t>(3)</w:t>
      </w:r>
      <w:r w:rsidRPr="00C9040A">
        <w:rPr>
          <w:rtl/>
          <w:lang w:bidi="fa-IR"/>
        </w:rPr>
        <w:t xml:space="preserve"> مُتَفَرِّقِينَ لَتَدَافَنُوا.</w:t>
      </w:r>
    </w:p>
    <w:p w:rsidR="008A74EB" w:rsidRPr="00C9040A" w:rsidRDefault="008A74EB" w:rsidP="008A74EB">
      <w:pPr>
        <w:pStyle w:val="libNormal"/>
        <w:rPr>
          <w:rtl/>
          <w:lang w:bidi="fa-IR"/>
        </w:rPr>
      </w:pPr>
      <w:r w:rsidRPr="00C9040A">
        <w:rPr>
          <w:rtl/>
          <w:lang w:bidi="fa-IR"/>
        </w:rPr>
        <w:t xml:space="preserve">فَقَالَ الْحَوَارِيُّونَ : يَا رُوحَ اللهِ وَكَلِمَتَهُ ، ادْعُ اللهَ أَنْ يُحْيِيَهُمْ لَنَا ، فَيُخْبِرُونَا مَا كَانَتْ </w:t>
      </w:r>
      <w:r w:rsidR="006C577F" w:rsidRPr="006C577F">
        <w:rPr>
          <w:rStyle w:val="libFootnotenumChar"/>
          <w:rtl/>
        </w:rPr>
        <w:t>(4)</w:t>
      </w:r>
      <w:r w:rsidRPr="00C9040A">
        <w:rPr>
          <w:rtl/>
          <w:lang w:bidi="fa-IR"/>
        </w:rPr>
        <w:t xml:space="preserve"> أَعْمَالُهُمْ</w:t>
      </w:r>
      <w:r>
        <w:rPr>
          <w:rtl/>
          <w:lang w:bidi="fa-IR"/>
        </w:rPr>
        <w:t>؟</w:t>
      </w:r>
      <w:r w:rsidRPr="00C9040A">
        <w:rPr>
          <w:rtl/>
          <w:lang w:bidi="fa-IR"/>
        </w:rPr>
        <w:t xml:space="preserve"> فَنَجْتَنِبَهَا </w:t>
      </w:r>
      <w:r w:rsidR="006C577F" w:rsidRPr="006C577F">
        <w:rPr>
          <w:rStyle w:val="libFootnotenumChar"/>
          <w:rtl/>
        </w:rPr>
        <w:t>(5)</w:t>
      </w:r>
      <w:r w:rsidR="001E52D6" w:rsidRPr="001E52D6">
        <w:rPr>
          <w:rFonts w:hint="cs"/>
          <w:rtl/>
        </w:rPr>
        <w:t>.</w:t>
      </w:r>
    </w:p>
    <w:p w:rsidR="008A74EB" w:rsidRPr="00C9040A" w:rsidRDefault="008A74EB" w:rsidP="008A74EB">
      <w:pPr>
        <w:pStyle w:val="libNormal"/>
        <w:rPr>
          <w:rtl/>
          <w:lang w:bidi="fa-IR"/>
        </w:rPr>
      </w:pPr>
      <w:r w:rsidRPr="00C9040A">
        <w:rPr>
          <w:rtl/>
          <w:lang w:bidi="fa-IR"/>
        </w:rPr>
        <w:t xml:space="preserve">فَدَعَا عِيسى </w:t>
      </w:r>
      <w:r w:rsidRPr="0003660B">
        <w:rPr>
          <w:rStyle w:val="libAlaemChar"/>
          <w:rtl/>
        </w:rPr>
        <w:t>عليه‌السلام</w:t>
      </w:r>
      <w:r w:rsidRPr="00C9040A">
        <w:rPr>
          <w:rtl/>
          <w:lang w:bidi="fa-IR"/>
        </w:rPr>
        <w:t xml:space="preserve"> رَبَّهُ </w:t>
      </w:r>
      <w:r w:rsidR="006C577F" w:rsidRPr="006C577F">
        <w:rPr>
          <w:rStyle w:val="libFootnotenumChar"/>
          <w:rtl/>
        </w:rPr>
        <w:t>(6)</w:t>
      </w:r>
      <w:r w:rsidRPr="005B567D">
        <w:rPr>
          <w:rStyle w:val="libFootnotenumChar"/>
          <w:rtl/>
        </w:rPr>
        <w:t xml:space="preserve"> </w:t>
      </w:r>
      <w:r w:rsidRPr="00C9040A">
        <w:rPr>
          <w:rtl/>
          <w:lang w:bidi="fa-IR"/>
        </w:rPr>
        <w:t xml:space="preserve">، فَنُودِيَ مِنَ الْجَوِّ : أَنْ نَادِهِمْ ، فَقَامَ عِيسى </w:t>
      </w:r>
      <w:r w:rsidRPr="0003660B">
        <w:rPr>
          <w:rStyle w:val="libAlaemChar"/>
          <w:rtl/>
        </w:rPr>
        <w:t>عليه‌السلام</w:t>
      </w:r>
      <w:r w:rsidRPr="00C9040A">
        <w:rPr>
          <w:rtl/>
          <w:lang w:bidi="fa-IR"/>
        </w:rPr>
        <w:t xml:space="preserve"> بِاللَّيْلِ عَلى شَرَفٍ مِنَ الْأَرْضِ ، فَقَالَ : يَا أَهْلَ هذِهِ </w:t>
      </w:r>
      <w:r w:rsidR="006C577F" w:rsidRPr="006C577F">
        <w:rPr>
          <w:rStyle w:val="libFootnotenumChar"/>
          <w:rtl/>
        </w:rPr>
        <w:t>(7)</w:t>
      </w:r>
      <w:r w:rsidRPr="00C9040A">
        <w:rPr>
          <w:rtl/>
          <w:lang w:bidi="fa-IR"/>
        </w:rPr>
        <w:t xml:space="preserve"> الْقَرْيَةِ ، فَأَجَابَهُ مِنْهُمْ مُجِيبٌ : لَبَّيْكَ يَا رُوحَ اللهِ وَكَلِمَتَهُ </w:t>
      </w:r>
      <w:r w:rsidR="006C577F" w:rsidRPr="006C577F">
        <w:rPr>
          <w:rStyle w:val="libFootnotenumChar"/>
          <w:rtl/>
        </w:rPr>
        <w:t>(8)</w:t>
      </w:r>
      <w:r w:rsidRPr="00C9040A">
        <w:rPr>
          <w:rtl/>
          <w:lang w:bidi="fa-IR"/>
        </w:rPr>
        <w:t xml:space="preserve"> ، فَقَالَ : وَيْحَكُمْ ، مَا كَانَتْ أَعْمَالُكُمْ</w:t>
      </w:r>
      <w:r>
        <w:rPr>
          <w:rtl/>
          <w:lang w:bidi="fa-IR"/>
        </w:rPr>
        <w:t>؟</w:t>
      </w:r>
      <w:r w:rsidRPr="00C9040A">
        <w:rPr>
          <w:rtl/>
          <w:lang w:bidi="fa-IR"/>
        </w:rPr>
        <w:t xml:space="preserve"> قَالَ : عِبَادَةَ </w:t>
      </w:r>
      <w:r w:rsidR="006C577F" w:rsidRPr="006C577F">
        <w:rPr>
          <w:rStyle w:val="libFootnotenumChar"/>
          <w:rtl/>
        </w:rPr>
        <w:t>(9)</w:t>
      </w:r>
      <w:r w:rsidRPr="00C9040A">
        <w:rPr>
          <w:rtl/>
          <w:lang w:bidi="fa-IR"/>
        </w:rPr>
        <w:t xml:space="preserve"> الطَّاغُوتِ ، وَحُبَّ الدُّنْيَا مَعَ خَوْفٍ قَلِيلٍ ، وَأَمَلٍ بَعِيدٍ </w:t>
      </w:r>
      <w:r w:rsidR="006C577F" w:rsidRPr="006C577F">
        <w:rPr>
          <w:rStyle w:val="libFootnotenumChar"/>
          <w:rtl/>
        </w:rPr>
        <w:t>(10)</w:t>
      </w:r>
      <w:r w:rsidRPr="00C9040A">
        <w:rPr>
          <w:rtl/>
          <w:lang w:bidi="fa-IR"/>
        </w:rPr>
        <w:t xml:space="preserve"> ، وَغَفْلَةٍ فِي لَهْوٍ </w:t>
      </w:r>
      <w:r w:rsidR="006C577F" w:rsidRPr="006C577F">
        <w:rPr>
          <w:rStyle w:val="libFootnotenumChar"/>
          <w:rtl/>
        </w:rPr>
        <w:t>(11)</w:t>
      </w:r>
      <w:r w:rsidRPr="00C9040A">
        <w:rPr>
          <w:rtl/>
          <w:lang w:bidi="fa-IR"/>
        </w:rPr>
        <w:t xml:space="preserve"> وَلَعِبٍ.</w:t>
      </w:r>
    </w:p>
    <w:p w:rsidR="008A74EB" w:rsidRDefault="008A74EB" w:rsidP="008A74EB">
      <w:pPr>
        <w:pStyle w:val="libNormal"/>
        <w:rPr>
          <w:rtl/>
          <w:lang w:bidi="fa-IR"/>
        </w:rPr>
      </w:pPr>
      <w:r w:rsidRPr="00C9040A">
        <w:rPr>
          <w:rtl/>
          <w:lang w:bidi="fa-IR"/>
        </w:rPr>
        <w:t xml:space="preserve">فَقَالَ : كَيْفَ كَانَ حُبُّكُمْ لِلدُّنْيَا </w:t>
      </w:r>
      <w:r w:rsidR="006C577F" w:rsidRPr="006C577F">
        <w:rPr>
          <w:rStyle w:val="libFootnotenumChar"/>
          <w:rtl/>
        </w:rPr>
        <w:t>(12)</w:t>
      </w:r>
      <w:r>
        <w:rPr>
          <w:rtl/>
          <w:lang w:bidi="fa-IR"/>
        </w:rPr>
        <w:t>؟</w:t>
      </w:r>
      <w:r w:rsidRPr="00C9040A">
        <w:rPr>
          <w:rtl/>
          <w:lang w:bidi="fa-IR"/>
        </w:rPr>
        <w:t xml:space="preserve"> قَالَ : كَحُبِّ الصَّبِيِّ لِأُمِّهِ ، إِذَا أَقْبَلَتْ عَلَيْنَا فَرِحْنَا وَسُرِرْنَا ، وَإِذَا أَدْبَرَتْ عَنَّا </w:t>
      </w:r>
      <w:r w:rsidRPr="005B567D">
        <w:rPr>
          <w:rStyle w:val="libFootnotenumChar"/>
          <w:rtl/>
        </w:rPr>
        <w:t>(13)</w:t>
      </w:r>
      <w:r w:rsidRPr="00C9040A">
        <w:rPr>
          <w:rtl/>
          <w:lang w:bidi="fa-IR"/>
        </w:rPr>
        <w:t xml:space="preserve"> بَكَيْنَا وَحَزِنَّا.</w:t>
      </w:r>
    </w:p>
    <w:p w:rsidR="008A74EB" w:rsidRPr="00C9040A" w:rsidRDefault="008A74EB" w:rsidP="008A74EB">
      <w:pPr>
        <w:pStyle w:val="libNormal"/>
        <w:rPr>
          <w:rtl/>
          <w:lang w:bidi="fa-IR"/>
        </w:rPr>
      </w:pPr>
      <w:r w:rsidRPr="00C9040A">
        <w:rPr>
          <w:rtl/>
          <w:lang w:bidi="fa-IR"/>
        </w:rPr>
        <w:t xml:space="preserve">قَالَ : كَيْفَ </w:t>
      </w:r>
      <w:r w:rsidRPr="005B567D">
        <w:rPr>
          <w:rStyle w:val="libFootnotenumChar"/>
          <w:rtl/>
        </w:rPr>
        <w:t>(</w:t>
      </w:r>
      <w:r w:rsidRPr="005B567D">
        <w:rPr>
          <w:rStyle w:val="libFootnotenumChar"/>
          <w:rFonts w:hint="cs"/>
          <w:rtl/>
        </w:rPr>
        <w:t>14</w:t>
      </w:r>
      <w:r w:rsidRPr="005B567D">
        <w:rPr>
          <w:rStyle w:val="libFootnotenumChar"/>
          <w:rtl/>
        </w:rPr>
        <w:t>)</w:t>
      </w:r>
      <w:r w:rsidRPr="00C9040A">
        <w:rPr>
          <w:rtl/>
          <w:lang w:bidi="fa-IR"/>
        </w:rPr>
        <w:t xml:space="preserve"> كَانَتْ </w:t>
      </w:r>
      <w:r w:rsidRPr="005B567D">
        <w:rPr>
          <w:rStyle w:val="libFootnotenumChar"/>
          <w:rtl/>
        </w:rPr>
        <w:t>(</w:t>
      </w:r>
      <w:r w:rsidRPr="005B567D">
        <w:rPr>
          <w:rStyle w:val="libFootnotenumChar"/>
          <w:rFonts w:hint="cs"/>
          <w:rtl/>
        </w:rPr>
        <w:t>15</w:t>
      </w:r>
      <w:r w:rsidRPr="005B567D">
        <w:rPr>
          <w:rStyle w:val="libFootnotenumChar"/>
          <w:rtl/>
        </w:rPr>
        <w:t>)</w:t>
      </w:r>
      <w:r w:rsidRPr="00C9040A">
        <w:rPr>
          <w:rtl/>
          <w:lang w:bidi="fa-IR"/>
        </w:rPr>
        <w:t xml:space="preserve"> عِبَادَتُكُمْ لِلطَّاغُوتِ</w:t>
      </w:r>
      <w:r>
        <w:rPr>
          <w:rtl/>
          <w:lang w:bidi="fa-IR"/>
        </w:rPr>
        <w:t>؟</w:t>
      </w:r>
      <w:r w:rsidRPr="00C9040A">
        <w:rPr>
          <w:rtl/>
          <w:lang w:bidi="fa-IR"/>
        </w:rPr>
        <w:t xml:space="preserve"> قَالَ : الطَّاعَةُ لِأَهْلِ الْمَعَاصِي.</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بس » : « عبدالرحمن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بر » : « بسخط »</w:t>
      </w:r>
      <w:r w:rsidR="008A74EB">
        <w:rPr>
          <w:rtl/>
        </w:rPr>
        <w:t>.</w:t>
      </w:r>
      <w:r w:rsidR="008A74EB" w:rsidRPr="00C9040A">
        <w:rPr>
          <w:rtl/>
        </w:rPr>
        <w:t xml:space="preserve"> والسخط : الغضب. راجع : </w:t>
      </w:r>
      <w:r w:rsidR="008A74EB" w:rsidRPr="00993B55">
        <w:rPr>
          <w:rStyle w:val="libFootnoteBoldChar"/>
          <w:rtl/>
        </w:rPr>
        <w:t>لسان العرب</w:t>
      </w:r>
      <w:r w:rsidR="008A74EB" w:rsidRPr="00C9040A">
        <w:rPr>
          <w:rtl/>
        </w:rPr>
        <w:t xml:space="preserve"> ، ج 7 ، ص 312 ( سخط )</w:t>
      </w:r>
      <w:r w:rsidR="008A74EB">
        <w:rPr>
          <w:rtl/>
        </w:rPr>
        <w:t>.</w:t>
      </w:r>
    </w:p>
    <w:tbl>
      <w:tblPr>
        <w:tblStyle w:val="TableGrid"/>
        <w:bidiVisual/>
        <w:tblW w:w="0" w:type="auto"/>
        <w:tblLook w:val="04A0" w:firstRow="1" w:lastRow="0" w:firstColumn="1" w:lastColumn="0" w:noHBand="0" w:noVBand="1"/>
      </w:tblPr>
      <w:tblGrid>
        <w:gridCol w:w="4006"/>
        <w:gridCol w:w="4006"/>
      </w:tblGrid>
      <w:tr w:rsidR="001E52D6" w:rsidTr="001E52D6">
        <w:tc>
          <w:tcPr>
            <w:tcW w:w="4006" w:type="dxa"/>
          </w:tcPr>
          <w:p w:rsidR="001E52D6" w:rsidRDefault="001E52D6" w:rsidP="004A4E41">
            <w:pPr>
              <w:pStyle w:val="libFootnote0"/>
              <w:rPr>
                <w:rtl/>
              </w:rPr>
            </w:pPr>
            <w:r>
              <w:rPr>
                <w:rtl/>
              </w:rPr>
              <w:t>(3).</w:t>
            </w:r>
            <w:r w:rsidRPr="00C9040A">
              <w:rPr>
                <w:rtl/>
              </w:rPr>
              <w:t xml:space="preserve"> في « ب » : « كانوا »</w:t>
            </w:r>
            <w:r>
              <w:rPr>
                <w:rtl/>
              </w:rPr>
              <w:t>.</w:t>
            </w:r>
          </w:p>
        </w:tc>
        <w:tc>
          <w:tcPr>
            <w:tcW w:w="4006" w:type="dxa"/>
          </w:tcPr>
          <w:p w:rsidR="001E52D6" w:rsidRDefault="001E52D6" w:rsidP="004A4E41">
            <w:pPr>
              <w:pStyle w:val="libFootnote0"/>
              <w:rPr>
                <w:rtl/>
              </w:rPr>
            </w:pPr>
            <w:r>
              <w:rPr>
                <w:rtl/>
              </w:rPr>
              <w:t>(4).</w:t>
            </w:r>
            <w:r w:rsidRPr="00C9040A">
              <w:rPr>
                <w:rtl/>
              </w:rPr>
              <w:t xml:space="preserve"> في « بر » والوافي : « كان »</w:t>
            </w:r>
            <w:r>
              <w:rPr>
                <w:rtl/>
              </w:rPr>
              <w:t>.</w:t>
            </w:r>
          </w:p>
        </w:tc>
      </w:tr>
      <w:tr w:rsidR="001E52D6" w:rsidTr="001E52D6">
        <w:tc>
          <w:tcPr>
            <w:tcW w:w="4006" w:type="dxa"/>
          </w:tcPr>
          <w:p w:rsidR="001E52D6" w:rsidRDefault="001E52D6" w:rsidP="004A4E41">
            <w:pPr>
              <w:pStyle w:val="libFootnote0"/>
              <w:rPr>
                <w:rtl/>
              </w:rPr>
            </w:pPr>
            <w:r>
              <w:rPr>
                <w:rtl/>
              </w:rPr>
              <w:t>(5).</w:t>
            </w:r>
            <w:r w:rsidRPr="00C9040A">
              <w:rPr>
                <w:rtl/>
              </w:rPr>
              <w:t xml:space="preserve"> في « </w:t>
            </w:r>
            <w:r>
              <w:rPr>
                <w:rtl/>
              </w:rPr>
              <w:t xml:space="preserve">ه </w:t>
            </w:r>
            <w:r w:rsidRPr="00C9040A">
              <w:rPr>
                <w:rtl/>
              </w:rPr>
              <w:t>، بر ، بف » والوافي : « فنتجنّبها »</w:t>
            </w:r>
            <w:r>
              <w:rPr>
                <w:rtl/>
              </w:rPr>
              <w:t>.</w:t>
            </w:r>
          </w:p>
        </w:tc>
        <w:tc>
          <w:tcPr>
            <w:tcW w:w="4006" w:type="dxa"/>
          </w:tcPr>
          <w:p w:rsidR="001E52D6" w:rsidRDefault="001E52D6" w:rsidP="004A4E41">
            <w:pPr>
              <w:pStyle w:val="libFootnote0"/>
              <w:rPr>
                <w:rtl/>
              </w:rPr>
            </w:pPr>
            <w:r>
              <w:rPr>
                <w:rtl/>
              </w:rPr>
              <w:t xml:space="preserve">(6). </w:t>
            </w:r>
            <w:r w:rsidRPr="00C9040A">
              <w:rPr>
                <w:rtl/>
              </w:rPr>
              <w:t xml:space="preserve">في الوسائل </w:t>
            </w:r>
            <w:r>
              <w:rPr>
                <w:rtl/>
              </w:rPr>
              <w:t>: -</w:t>
            </w:r>
            <w:r w:rsidRPr="00C9040A">
              <w:rPr>
                <w:rtl/>
              </w:rPr>
              <w:t xml:space="preserve"> « ربّه »</w:t>
            </w:r>
            <w:r>
              <w:rPr>
                <w:rtl/>
              </w:rPr>
              <w:t>.</w:t>
            </w:r>
          </w:p>
        </w:tc>
      </w:tr>
      <w:tr w:rsidR="001E52D6" w:rsidTr="001E52D6">
        <w:tc>
          <w:tcPr>
            <w:tcW w:w="4006" w:type="dxa"/>
          </w:tcPr>
          <w:p w:rsidR="001E52D6" w:rsidRDefault="001E52D6" w:rsidP="004A4E41">
            <w:pPr>
              <w:pStyle w:val="libFootnote0"/>
              <w:rPr>
                <w:rtl/>
              </w:rPr>
            </w:pPr>
            <w:r>
              <w:rPr>
                <w:rtl/>
              </w:rPr>
              <w:t>(7).</w:t>
            </w:r>
            <w:r w:rsidRPr="00C9040A">
              <w:rPr>
                <w:rtl/>
              </w:rPr>
              <w:t xml:space="preserve"> في البحار </w:t>
            </w:r>
            <w:r>
              <w:rPr>
                <w:rtl/>
              </w:rPr>
              <w:t>: -</w:t>
            </w:r>
            <w:r w:rsidRPr="00C9040A">
              <w:rPr>
                <w:rtl/>
              </w:rPr>
              <w:t xml:space="preserve"> « هذه »</w:t>
            </w:r>
            <w:r>
              <w:rPr>
                <w:rtl/>
              </w:rPr>
              <w:t>.</w:t>
            </w:r>
          </w:p>
        </w:tc>
        <w:tc>
          <w:tcPr>
            <w:tcW w:w="4006" w:type="dxa"/>
          </w:tcPr>
          <w:p w:rsidR="001E52D6" w:rsidRDefault="001E52D6" w:rsidP="004A4E41">
            <w:pPr>
              <w:pStyle w:val="libFootnote0"/>
              <w:rPr>
                <w:rtl/>
              </w:rPr>
            </w:pPr>
            <w:r>
              <w:rPr>
                <w:rtl/>
              </w:rPr>
              <w:t>(8).</w:t>
            </w:r>
            <w:r w:rsidRPr="00C9040A">
              <w:rPr>
                <w:rtl/>
              </w:rPr>
              <w:t xml:space="preserve"> في الوسائل </w:t>
            </w:r>
            <w:r>
              <w:rPr>
                <w:rtl/>
              </w:rPr>
              <w:t>: -</w:t>
            </w:r>
            <w:r w:rsidRPr="00C9040A">
              <w:rPr>
                <w:rtl/>
              </w:rPr>
              <w:t xml:space="preserve"> « يا روح الله وكلمته »</w:t>
            </w:r>
            <w:r>
              <w:rPr>
                <w:rtl/>
              </w:rPr>
              <w:t>.</w:t>
            </w:r>
          </w:p>
        </w:tc>
      </w:tr>
    </w:tbl>
    <w:p w:rsidR="008A74EB" w:rsidRPr="00C9040A" w:rsidRDefault="006C577F" w:rsidP="004A4E41">
      <w:pPr>
        <w:pStyle w:val="libFootnote0"/>
        <w:rPr>
          <w:rtl/>
          <w:lang w:bidi="fa-IR"/>
        </w:rPr>
      </w:pPr>
      <w:r>
        <w:rPr>
          <w:rtl/>
        </w:rPr>
        <w:t>(9).</w:t>
      </w:r>
      <w:r w:rsidR="008A74EB" w:rsidRPr="00C9040A">
        <w:rPr>
          <w:rtl/>
        </w:rPr>
        <w:t xml:space="preserve"> يقتضي السياق لزوم نصب « عبادة » أو ترجيحه. وجواز الرفع لايخلو من وجه.</w:t>
      </w:r>
    </w:p>
    <w:tbl>
      <w:tblPr>
        <w:tblStyle w:val="TableGrid"/>
        <w:bidiVisual/>
        <w:tblW w:w="0" w:type="auto"/>
        <w:tblInd w:w="3" w:type="dxa"/>
        <w:tblLook w:val="04A0" w:firstRow="1" w:lastRow="0" w:firstColumn="1" w:lastColumn="0" w:noHBand="0" w:noVBand="1"/>
      </w:tblPr>
      <w:tblGrid>
        <w:gridCol w:w="4003"/>
        <w:gridCol w:w="4006"/>
      </w:tblGrid>
      <w:tr w:rsidR="001E52D6" w:rsidTr="001E52D6">
        <w:tc>
          <w:tcPr>
            <w:tcW w:w="4003" w:type="dxa"/>
          </w:tcPr>
          <w:p w:rsidR="001E52D6" w:rsidRDefault="001E52D6" w:rsidP="004A4E41">
            <w:pPr>
              <w:pStyle w:val="libFootnote0"/>
              <w:rPr>
                <w:rtl/>
                <w:lang w:bidi="fa-IR"/>
              </w:rPr>
            </w:pPr>
            <w:r>
              <w:rPr>
                <w:rtl/>
              </w:rPr>
              <w:t>(10).</w:t>
            </w:r>
            <w:r w:rsidRPr="00C9040A">
              <w:rPr>
                <w:rtl/>
              </w:rPr>
              <w:t xml:space="preserve"> في « </w:t>
            </w:r>
            <w:r>
              <w:rPr>
                <w:rtl/>
              </w:rPr>
              <w:t xml:space="preserve">ه </w:t>
            </w:r>
            <w:r w:rsidRPr="00C9040A">
              <w:rPr>
                <w:rtl/>
              </w:rPr>
              <w:t>» : « طويل »</w:t>
            </w:r>
            <w:r>
              <w:rPr>
                <w:rtl/>
              </w:rPr>
              <w:t>.</w:t>
            </w:r>
          </w:p>
        </w:tc>
        <w:tc>
          <w:tcPr>
            <w:tcW w:w="4006" w:type="dxa"/>
          </w:tcPr>
          <w:p w:rsidR="001E52D6" w:rsidRDefault="001E52D6" w:rsidP="004A4E41">
            <w:pPr>
              <w:pStyle w:val="libFootnote0"/>
              <w:rPr>
                <w:rtl/>
                <w:lang w:bidi="fa-IR"/>
              </w:rPr>
            </w:pPr>
            <w:r>
              <w:rPr>
                <w:rtl/>
              </w:rPr>
              <w:t>(11).</w:t>
            </w:r>
            <w:r w:rsidRPr="00C9040A">
              <w:rPr>
                <w:rtl/>
              </w:rPr>
              <w:t xml:space="preserve"> في البحار : « في غفلة ولهو »</w:t>
            </w:r>
            <w:r>
              <w:rPr>
                <w:rtl/>
              </w:rPr>
              <w:t>.</w:t>
            </w:r>
          </w:p>
        </w:tc>
      </w:tr>
      <w:tr w:rsidR="001E52D6" w:rsidTr="001E52D6">
        <w:tc>
          <w:tcPr>
            <w:tcW w:w="4003" w:type="dxa"/>
          </w:tcPr>
          <w:p w:rsidR="001E52D6" w:rsidRDefault="001E52D6" w:rsidP="004A4E41">
            <w:pPr>
              <w:pStyle w:val="libFootnote0"/>
              <w:rPr>
                <w:rtl/>
                <w:lang w:bidi="fa-IR"/>
              </w:rPr>
            </w:pPr>
            <w:r>
              <w:rPr>
                <w:rtl/>
              </w:rPr>
              <w:t>(12).</w:t>
            </w:r>
            <w:r w:rsidRPr="00C9040A">
              <w:rPr>
                <w:rtl/>
              </w:rPr>
              <w:t xml:space="preserve"> في « ج ، ز » : « الدنيا »</w:t>
            </w:r>
            <w:r>
              <w:rPr>
                <w:rtl/>
              </w:rPr>
              <w:t>.</w:t>
            </w:r>
          </w:p>
        </w:tc>
        <w:tc>
          <w:tcPr>
            <w:tcW w:w="4006" w:type="dxa"/>
          </w:tcPr>
          <w:p w:rsidR="001E52D6" w:rsidRDefault="001E52D6" w:rsidP="004A4E41">
            <w:pPr>
              <w:pStyle w:val="libFootnote0"/>
              <w:rPr>
                <w:rtl/>
                <w:lang w:bidi="fa-IR"/>
              </w:rPr>
            </w:pPr>
            <w:r>
              <w:rPr>
                <w:rtl/>
              </w:rPr>
              <w:t>(13) في«بس»: - «عنّا</w:t>
            </w:r>
            <w:r w:rsidRPr="00C9040A">
              <w:rPr>
                <w:rtl/>
              </w:rPr>
              <w:t>»</w:t>
            </w:r>
            <w:r>
              <w:rPr>
                <w:rtl/>
              </w:rPr>
              <w:t>. وفي شرح المازندراني:«علينا</w:t>
            </w:r>
            <w:r w:rsidRPr="00C9040A">
              <w:rPr>
                <w:rtl/>
              </w:rPr>
              <w:t>»</w:t>
            </w:r>
            <w:r>
              <w:rPr>
                <w:rtl/>
              </w:rPr>
              <w:t>.</w:t>
            </w:r>
          </w:p>
        </w:tc>
      </w:tr>
      <w:tr w:rsidR="001E52D6" w:rsidTr="001E52D6">
        <w:tc>
          <w:tcPr>
            <w:tcW w:w="4003" w:type="dxa"/>
          </w:tcPr>
          <w:p w:rsidR="001E52D6" w:rsidRDefault="001E52D6" w:rsidP="004A4E41">
            <w:pPr>
              <w:pStyle w:val="libFootnote0"/>
              <w:rPr>
                <w:rtl/>
                <w:lang w:bidi="fa-IR"/>
              </w:rPr>
            </w:pPr>
            <w:r>
              <w:rPr>
                <w:rtl/>
              </w:rPr>
              <w:t>(1</w:t>
            </w:r>
            <w:r>
              <w:rPr>
                <w:rFonts w:hint="cs"/>
                <w:rtl/>
              </w:rPr>
              <w:t>4</w:t>
            </w:r>
            <w:r>
              <w:rPr>
                <w:rtl/>
              </w:rPr>
              <w:t xml:space="preserve">) </w:t>
            </w:r>
            <w:r w:rsidRPr="00C9040A">
              <w:rPr>
                <w:rtl/>
              </w:rPr>
              <w:t>في الوافي : « فكيف »</w:t>
            </w:r>
            <w:r>
              <w:rPr>
                <w:rtl/>
              </w:rPr>
              <w:t>.</w:t>
            </w:r>
          </w:p>
        </w:tc>
        <w:tc>
          <w:tcPr>
            <w:tcW w:w="4006" w:type="dxa"/>
          </w:tcPr>
          <w:p w:rsidR="001E52D6" w:rsidRDefault="001E52D6" w:rsidP="004A4E41">
            <w:pPr>
              <w:pStyle w:val="libFootnote0"/>
              <w:rPr>
                <w:rtl/>
                <w:lang w:bidi="fa-IR"/>
              </w:rPr>
            </w:pPr>
            <w:r>
              <w:rPr>
                <w:rtl/>
              </w:rPr>
              <w:t>(</w:t>
            </w:r>
            <w:r>
              <w:rPr>
                <w:rFonts w:hint="cs"/>
                <w:rtl/>
              </w:rPr>
              <w:t>15</w:t>
            </w:r>
            <w:r>
              <w:rPr>
                <w:rtl/>
              </w:rPr>
              <w:t xml:space="preserve">) </w:t>
            </w:r>
            <w:r w:rsidRPr="00C9040A">
              <w:rPr>
                <w:rtl/>
              </w:rPr>
              <w:t xml:space="preserve">في الوسائل </w:t>
            </w:r>
            <w:r>
              <w:rPr>
                <w:rtl/>
              </w:rPr>
              <w:t>: -</w:t>
            </w:r>
            <w:r w:rsidRPr="00C9040A">
              <w:rPr>
                <w:rtl/>
              </w:rPr>
              <w:t xml:space="preserve"> « كانت »</w:t>
            </w:r>
            <w:r>
              <w:rPr>
                <w:rtl/>
              </w:rPr>
              <w:t>.</w:t>
            </w:r>
          </w:p>
        </w:tc>
      </w:tr>
    </w:tbl>
    <w:p w:rsidR="004B7F34" w:rsidRDefault="004B7F34" w:rsidP="004B7F34">
      <w:pPr>
        <w:pStyle w:val="libNormal"/>
        <w:rPr>
          <w:rtl/>
          <w:lang w:bidi="fa-IR"/>
        </w:rPr>
      </w:pPr>
      <w:r>
        <w:rPr>
          <w:rtl/>
          <w:lang w:bidi="fa-IR"/>
        </w:rPr>
        <w:br w:type="page"/>
      </w:r>
    </w:p>
    <w:p w:rsidR="008A74EB" w:rsidRPr="00C9040A" w:rsidRDefault="008A74EB" w:rsidP="00B306D1">
      <w:pPr>
        <w:pStyle w:val="libNormal"/>
        <w:rPr>
          <w:rtl/>
          <w:lang w:bidi="fa-IR"/>
        </w:rPr>
      </w:pPr>
      <w:r w:rsidRPr="00C9040A">
        <w:rPr>
          <w:rtl/>
          <w:lang w:bidi="fa-IR"/>
        </w:rPr>
        <w:t xml:space="preserve">قَالَ : كَيْفَ كَانَ </w:t>
      </w:r>
      <w:r w:rsidR="006C577F" w:rsidRPr="006C577F">
        <w:rPr>
          <w:rStyle w:val="libFootnotenumChar"/>
          <w:rtl/>
        </w:rPr>
        <w:t>(1)</w:t>
      </w:r>
      <w:r w:rsidRPr="00C9040A">
        <w:rPr>
          <w:rtl/>
          <w:lang w:bidi="fa-IR"/>
        </w:rPr>
        <w:t xml:space="preserve"> عَاقِبَةُ أَمْرِكُمْ</w:t>
      </w:r>
      <w:r>
        <w:rPr>
          <w:rtl/>
          <w:lang w:bidi="fa-IR"/>
        </w:rPr>
        <w:t>؟</w:t>
      </w:r>
      <w:r w:rsidRPr="00C9040A">
        <w:rPr>
          <w:rtl/>
          <w:lang w:bidi="fa-IR"/>
        </w:rPr>
        <w:t xml:space="preserve"> قَالَ : بِتْنَا لَيْلَةً </w:t>
      </w:r>
      <w:r w:rsidR="006C577F" w:rsidRPr="006C577F">
        <w:rPr>
          <w:rStyle w:val="libFootnotenumChar"/>
          <w:rtl/>
        </w:rPr>
        <w:t>(2)</w:t>
      </w:r>
      <w:r w:rsidRPr="00C9040A">
        <w:rPr>
          <w:rtl/>
          <w:lang w:bidi="fa-IR"/>
        </w:rPr>
        <w:t xml:space="preserve"> فِي عَافِيَةٍ ، وَأَصْبَحْنَا فِي الْهَاوِيَةِ ، فَقَالَ : وَمَا الْهَاوِيَةُ</w:t>
      </w:r>
      <w:r>
        <w:rPr>
          <w:rtl/>
          <w:lang w:bidi="fa-IR"/>
        </w:rPr>
        <w:t>؟</w:t>
      </w:r>
      <w:r w:rsidRPr="00C9040A">
        <w:rPr>
          <w:rtl/>
          <w:lang w:bidi="fa-IR"/>
        </w:rPr>
        <w:t xml:space="preserve"> فَقَالَ </w:t>
      </w:r>
      <w:r w:rsidR="006C577F" w:rsidRPr="006C577F">
        <w:rPr>
          <w:rStyle w:val="libFootnotenumChar"/>
          <w:rtl/>
        </w:rPr>
        <w:t>(3)</w:t>
      </w:r>
      <w:r w:rsidRPr="00C9040A">
        <w:rPr>
          <w:rtl/>
          <w:lang w:bidi="fa-IR"/>
        </w:rPr>
        <w:t xml:space="preserve"> : سِجِّينٌ </w:t>
      </w:r>
      <w:r w:rsidR="006C577F" w:rsidRPr="006C577F">
        <w:rPr>
          <w:rStyle w:val="libFootnotenumChar"/>
          <w:rtl/>
        </w:rPr>
        <w:t>(4)</w:t>
      </w:r>
      <w:r w:rsidR="00B306D1" w:rsidRPr="00B306D1">
        <w:rPr>
          <w:rFonts w:hint="cs"/>
          <w:rtl/>
        </w:rPr>
        <w:t>.</w:t>
      </w:r>
    </w:p>
    <w:p w:rsidR="008A74EB" w:rsidRPr="00C9040A" w:rsidRDefault="008A74EB" w:rsidP="008A74EB">
      <w:pPr>
        <w:pStyle w:val="libNormal"/>
        <w:rPr>
          <w:rtl/>
          <w:lang w:bidi="fa-IR"/>
        </w:rPr>
      </w:pPr>
      <w:r w:rsidRPr="00C9040A">
        <w:rPr>
          <w:rtl/>
          <w:lang w:bidi="fa-IR"/>
        </w:rPr>
        <w:t xml:space="preserve">قَالَ : وَمَا </w:t>
      </w:r>
      <w:r w:rsidR="006C577F" w:rsidRPr="006C577F">
        <w:rPr>
          <w:rStyle w:val="libFootnotenumChar"/>
          <w:rtl/>
        </w:rPr>
        <w:t>(5)</w:t>
      </w:r>
      <w:r w:rsidRPr="00C9040A">
        <w:rPr>
          <w:rtl/>
          <w:lang w:bidi="fa-IR"/>
        </w:rPr>
        <w:t xml:space="preserve"> سِجِّينٌ </w:t>
      </w:r>
      <w:r w:rsidR="006C577F" w:rsidRPr="006C577F">
        <w:rPr>
          <w:rStyle w:val="libFootnotenumChar"/>
          <w:rtl/>
        </w:rPr>
        <w:t>(6)</w:t>
      </w:r>
      <w:r>
        <w:rPr>
          <w:rtl/>
          <w:lang w:bidi="fa-IR"/>
        </w:rPr>
        <w:t>؟</w:t>
      </w:r>
      <w:r w:rsidRPr="00C9040A">
        <w:rPr>
          <w:rtl/>
          <w:lang w:bidi="fa-IR"/>
        </w:rPr>
        <w:t xml:space="preserve"> قَالَ : جِبَالٌ مِنْ جَمْرٍ تُوقَدُ عَلَيْنَا إِلى يَوْمِ الْقِيَامَةِ.</w:t>
      </w:r>
    </w:p>
    <w:p w:rsidR="008A74EB" w:rsidRPr="00C9040A" w:rsidRDefault="008A74EB" w:rsidP="00B306D1">
      <w:pPr>
        <w:pStyle w:val="libNormal"/>
        <w:rPr>
          <w:rtl/>
          <w:lang w:bidi="fa-IR"/>
        </w:rPr>
      </w:pPr>
      <w:r w:rsidRPr="00C9040A">
        <w:rPr>
          <w:rtl/>
          <w:lang w:bidi="fa-IR"/>
        </w:rPr>
        <w:t>قَالَ : فَمَا قُلْتُمْ ، وَمَا قِيلَ لَكُمْ</w:t>
      </w:r>
      <w:r>
        <w:rPr>
          <w:rtl/>
          <w:lang w:bidi="fa-IR"/>
        </w:rPr>
        <w:t>؟</w:t>
      </w:r>
      <w:r w:rsidRPr="00C9040A">
        <w:rPr>
          <w:rtl/>
          <w:lang w:bidi="fa-IR"/>
        </w:rPr>
        <w:t xml:space="preserve"> قَالَ : قُلْنَا : رُدَّنَا إِلَى الدُّنْيَا فَنَزْهَدَ فِيهَا ، قِيلَ لَنَا :</w:t>
      </w:r>
      <w:r w:rsidR="00B306D1">
        <w:rPr>
          <w:rFonts w:hint="cs"/>
          <w:rtl/>
          <w:lang w:bidi="fa-IR"/>
        </w:rPr>
        <w:t xml:space="preserve"> </w:t>
      </w:r>
      <w:r w:rsidRPr="00C9040A">
        <w:rPr>
          <w:rtl/>
          <w:lang w:bidi="fa-IR"/>
        </w:rPr>
        <w:t>كَذَبْتُمْ</w:t>
      </w:r>
      <w:r w:rsidR="006C577F" w:rsidRPr="006C577F">
        <w:rPr>
          <w:rStyle w:val="libFootnotenumChar"/>
          <w:rtl/>
        </w:rPr>
        <w:t>(7)</w:t>
      </w:r>
      <w:r w:rsidR="00B14CE7" w:rsidRPr="00B14CE7">
        <w:rPr>
          <w:rStyle w:val="libFootnoteBoldChar"/>
          <w:rFonts w:hint="cs"/>
          <w:rtl/>
        </w:rPr>
        <w:t>.</w:t>
      </w:r>
    </w:p>
    <w:p w:rsidR="008A74EB" w:rsidRPr="00C9040A" w:rsidRDefault="008A74EB" w:rsidP="008A74EB">
      <w:pPr>
        <w:pStyle w:val="libNormal"/>
        <w:rPr>
          <w:rtl/>
          <w:lang w:bidi="fa-IR"/>
        </w:rPr>
      </w:pPr>
      <w:r w:rsidRPr="00C9040A">
        <w:rPr>
          <w:rtl/>
          <w:lang w:bidi="fa-IR"/>
        </w:rPr>
        <w:t xml:space="preserve">قَالَ : وَيْحَكَ ، كَيْفَ </w:t>
      </w:r>
      <w:r w:rsidR="006C577F" w:rsidRPr="006C577F">
        <w:rPr>
          <w:rStyle w:val="libFootnotenumChar"/>
          <w:rtl/>
        </w:rPr>
        <w:t>(8)</w:t>
      </w:r>
      <w:r w:rsidRPr="00C9040A">
        <w:rPr>
          <w:rtl/>
          <w:lang w:bidi="fa-IR"/>
        </w:rPr>
        <w:t xml:space="preserve"> لَمْ يُكَلِّمْنِي غَيْرُكَ مِنْ بَيْنِهِمْ</w:t>
      </w:r>
      <w:r>
        <w:rPr>
          <w:rtl/>
          <w:lang w:bidi="fa-IR"/>
        </w:rPr>
        <w:t>؟</w:t>
      </w:r>
      <w:r w:rsidRPr="00C9040A">
        <w:rPr>
          <w:rtl/>
          <w:lang w:bidi="fa-IR"/>
        </w:rPr>
        <w:t xml:space="preserve"> قَالَ : يَا رُوحَ اللهِ </w:t>
      </w:r>
      <w:r w:rsidR="006C577F" w:rsidRPr="006C577F">
        <w:rPr>
          <w:rStyle w:val="libFootnotenumChar"/>
          <w:rtl/>
        </w:rPr>
        <w:t>(9)</w:t>
      </w:r>
      <w:r w:rsidRPr="00C9040A">
        <w:rPr>
          <w:rtl/>
          <w:lang w:bidi="fa-IR"/>
        </w:rPr>
        <w:t xml:space="preserve"> ، إِنَّهُمْ </w:t>
      </w:r>
      <w:r w:rsidR="006C577F" w:rsidRPr="006C577F">
        <w:rPr>
          <w:rStyle w:val="libFootnotenumChar"/>
          <w:rtl/>
        </w:rPr>
        <w:t>(10)</w:t>
      </w:r>
      <w:r w:rsidRPr="00C9040A">
        <w:rPr>
          <w:rtl/>
          <w:lang w:bidi="fa-IR"/>
        </w:rPr>
        <w:t xml:space="preserve"> مُلْجَمُونَ </w:t>
      </w:r>
      <w:r w:rsidR="006C577F" w:rsidRPr="006C577F">
        <w:rPr>
          <w:rStyle w:val="libFootnotenumChar"/>
          <w:rtl/>
        </w:rPr>
        <w:t>(11)</w:t>
      </w:r>
      <w:r w:rsidRPr="00C9040A">
        <w:rPr>
          <w:rtl/>
          <w:lang w:bidi="fa-IR"/>
        </w:rPr>
        <w:t xml:space="preserve"> بِلِجَامٍ </w:t>
      </w:r>
      <w:r w:rsidR="006C577F" w:rsidRPr="006C577F">
        <w:rPr>
          <w:rStyle w:val="libFootnotenumChar"/>
          <w:rtl/>
        </w:rPr>
        <w:t>(12)</w:t>
      </w:r>
      <w:r w:rsidRPr="00C9040A">
        <w:rPr>
          <w:rtl/>
          <w:lang w:bidi="fa-IR"/>
        </w:rPr>
        <w:t xml:space="preserve"> مِنْ نَارٍ بِأَيْدِي مَلَائِكَةٍ غِلَاظٍ شِدَادٍ ، وَإِنِّي </w:t>
      </w:r>
      <w:r w:rsidRPr="005B567D">
        <w:rPr>
          <w:rStyle w:val="libFootnotenumChar"/>
          <w:rtl/>
        </w:rPr>
        <w:t>(1</w:t>
      </w:r>
      <w:r w:rsidRPr="005B567D">
        <w:rPr>
          <w:rStyle w:val="libFootnotenumChar"/>
          <w:rFonts w:hint="cs"/>
          <w:rtl/>
        </w:rPr>
        <w:t>3</w:t>
      </w:r>
      <w:r w:rsidRPr="005B567D">
        <w:rPr>
          <w:rStyle w:val="libFootnotenumChar"/>
          <w:rtl/>
        </w:rPr>
        <w:t>)</w:t>
      </w:r>
      <w:r w:rsidRPr="00C9040A">
        <w:rPr>
          <w:rtl/>
          <w:lang w:bidi="fa-IR"/>
        </w:rPr>
        <w:t xml:space="preserve"> كُنْتُ فِيهِمْ وَلَمْ أَكُنْ مِنْهُمْ </w:t>
      </w:r>
      <w:r w:rsidRPr="005B567D">
        <w:rPr>
          <w:rStyle w:val="libFootnotenumChar"/>
          <w:rtl/>
        </w:rPr>
        <w:t>(1</w:t>
      </w:r>
      <w:r w:rsidRPr="005B567D">
        <w:rPr>
          <w:rStyle w:val="libFootnotenumChar"/>
          <w:rFonts w:hint="cs"/>
          <w:rtl/>
        </w:rPr>
        <w:t>4</w:t>
      </w:r>
      <w:r w:rsidRPr="005B567D">
        <w:rPr>
          <w:rStyle w:val="libFootnotenumChar"/>
          <w:rtl/>
        </w:rPr>
        <w:t>)</w:t>
      </w:r>
      <w:r w:rsidRPr="00C9040A">
        <w:rPr>
          <w:rtl/>
          <w:lang w:bidi="fa-IR"/>
        </w:rPr>
        <w:t xml:space="preserve"> ، فَلَمَّا نَزَلَ الْعَذَابُ عَمَّنِي مَعَهُمْ ، فَأَنَا مُعَلَّقٌ بِشَعْرَةٍ عَلى شَفِيرِ جَهَنَّمَ </w:t>
      </w:r>
      <w:r w:rsidRPr="005B567D">
        <w:rPr>
          <w:rStyle w:val="libFootnotenumChar"/>
          <w:rtl/>
        </w:rPr>
        <w:t>(1</w:t>
      </w:r>
      <w:r w:rsidRPr="005B567D">
        <w:rPr>
          <w:rStyle w:val="libFootnotenumChar"/>
          <w:rFonts w:hint="cs"/>
          <w:rtl/>
        </w:rPr>
        <w:t>5</w:t>
      </w:r>
      <w:r w:rsidRPr="005B567D">
        <w:rPr>
          <w:rStyle w:val="libFootnotenumChar"/>
          <w:rtl/>
        </w:rPr>
        <w:t>)</w:t>
      </w:r>
      <w:r w:rsidRPr="00C9040A">
        <w:rPr>
          <w:rtl/>
          <w:lang w:bidi="fa-IR"/>
        </w:rPr>
        <w:t xml:space="preserve"> لَا</w:t>
      </w:r>
      <w:r>
        <w:rPr>
          <w:rFonts w:hint="cs"/>
          <w:rtl/>
          <w:lang w:bidi="fa-IR"/>
        </w:rPr>
        <w:t xml:space="preserve"> </w:t>
      </w:r>
      <w:r w:rsidRPr="00C9040A">
        <w:rPr>
          <w:rtl/>
          <w:lang w:bidi="fa-IR"/>
        </w:rPr>
        <w:t xml:space="preserve">أَدْرِي أُكَبْكَبُ </w:t>
      </w:r>
      <w:r w:rsidRPr="005B567D">
        <w:rPr>
          <w:rStyle w:val="libFootnotenumChar"/>
          <w:rtl/>
        </w:rPr>
        <w:t>(1</w:t>
      </w:r>
      <w:r w:rsidRPr="005B567D">
        <w:rPr>
          <w:rStyle w:val="libFootnotenumChar"/>
          <w:rFonts w:hint="cs"/>
          <w:rtl/>
        </w:rPr>
        <w:t>6</w:t>
      </w:r>
      <w:r w:rsidRPr="005B567D">
        <w:rPr>
          <w:rStyle w:val="libFootnotenumChar"/>
          <w:rtl/>
        </w:rPr>
        <w:t>)</w:t>
      </w:r>
      <w:r w:rsidRPr="00C9040A">
        <w:rPr>
          <w:rtl/>
          <w:lang w:bidi="fa-IR"/>
        </w:rPr>
        <w:t xml:space="preserve"> فِيهَا ، أَمْ أَنْجُو مِنْهَا</w:t>
      </w:r>
      <w:r>
        <w:rPr>
          <w:rtl/>
          <w:lang w:bidi="fa-IR"/>
        </w:rPr>
        <w:t>؟</w:t>
      </w:r>
    </w:p>
    <w:p w:rsidR="008A74EB" w:rsidRPr="00C9040A" w:rsidRDefault="008A74EB" w:rsidP="008A74EB">
      <w:pPr>
        <w:pStyle w:val="libNormal"/>
        <w:rPr>
          <w:rtl/>
          <w:lang w:bidi="fa-IR"/>
        </w:rPr>
      </w:pPr>
      <w:r w:rsidRPr="00C9040A">
        <w:rPr>
          <w:rtl/>
          <w:lang w:bidi="fa-IR"/>
        </w:rPr>
        <w:t xml:space="preserve">فَالْتَفَتَ عِيسى </w:t>
      </w:r>
      <w:r w:rsidRPr="0003660B">
        <w:rPr>
          <w:rStyle w:val="libAlaemChar"/>
          <w:rtl/>
        </w:rPr>
        <w:t>عليه‌السلام</w:t>
      </w:r>
      <w:r w:rsidRPr="00C9040A">
        <w:rPr>
          <w:rtl/>
          <w:lang w:bidi="fa-IR"/>
        </w:rPr>
        <w:t xml:space="preserve"> إِلَى الْحَوَارِيِّينَ ، فَقَالَ : يَا أَوْلِيَاءَ اللهِ ، أَكْلُ الْخُبْزِ الْيَابِسِ بِالْمِلْحِ‌</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sidRPr="00C9040A">
        <w:rPr>
          <w:rtl/>
        </w:rPr>
        <w:t xml:space="preserve"> في « بر » والبحار : « كانت »</w:t>
      </w:r>
      <w:r w:rsidR="008A74EB">
        <w:rPr>
          <w:rtl/>
        </w:rPr>
        <w:t>.</w:t>
      </w:r>
    </w:p>
    <w:p w:rsidR="008A74EB" w:rsidRPr="00C9040A" w:rsidRDefault="006C577F" w:rsidP="004A4E41">
      <w:pPr>
        <w:pStyle w:val="libFootnote0"/>
        <w:rPr>
          <w:rtl/>
          <w:lang w:bidi="fa-IR"/>
        </w:rPr>
      </w:pPr>
      <w:r>
        <w:rPr>
          <w:rtl/>
        </w:rPr>
        <w:t>(2).</w:t>
      </w:r>
      <w:r w:rsidR="008A74EB" w:rsidRPr="00C9040A">
        <w:rPr>
          <w:rtl/>
        </w:rPr>
        <w:t xml:space="preserve"> في الوسائل </w:t>
      </w:r>
      <w:r w:rsidR="008A74EB">
        <w:rPr>
          <w:rtl/>
        </w:rPr>
        <w:t xml:space="preserve">: </w:t>
      </w:r>
      <w:r w:rsidR="0084262C">
        <w:rPr>
          <w:rtl/>
        </w:rPr>
        <w:t>-</w:t>
      </w:r>
      <w:r w:rsidR="008A74EB" w:rsidRPr="00C9040A">
        <w:rPr>
          <w:rtl/>
        </w:rPr>
        <w:t xml:space="preserve"> « ليلة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في « ب ، د ، ز ، ص ، </w:t>
      </w:r>
      <w:r w:rsidR="006D3162">
        <w:rPr>
          <w:rtl/>
        </w:rPr>
        <w:t xml:space="preserve">ه </w:t>
      </w:r>
      <w:r w:rsidR="008A74EB" w:rsidRPr="00C9040A">
        <w:rPr>
          <w:rtl/>
        </w:rPr>
        <w:t>، بر ، بف » والوسائل والبحار : « قال »</w:t>
      </w:r>
      <w:r w:rsidR="008A74EB">
        <w:rPr>
          <w:rtl/>
        </w:rPr>
        <w:t>.</w:t>
      </w:r>
    </w:p>
    <w:p w:rsidR="008A74EB" w:rsidRPr="00C9040A" w:rsidRDefault="006C577F" w:rsidP="004A4E41">
      <w:pPr>
        <w:pStyle w:val="libFootnote0"/>
        <w:rPr>
          <w:rtl/>
          <w:lang w:bidi="fa-IR"/>
        </w:rPr>
      </w:pPr>
      <w:r>
        <w:rPr>
          <w:rtl/>
        </w:rPr>
        <w:t>(4).</w:t>
      </w:r>
      <w:r w:rsidR="008A74EB">
        <w:rPr>
          <w:rtl/>
        </w:rPr>
        <w:t xml:space="preserve"> </w:t>
      </w:r>
      <w:r w:rsidR="008A74EB" w:rsidRPr="00C9040A">
        <w:rPr>
          <w:rtl/>
        </w:rPr>
        <w:t xml:space="preserve">في « </w:t>
      </w:r>
      <w:r w:rsidR="006D3162">
        <w:rPr>
          <w:rtl/>
        </w:rPr>
        <w:t xml:space="preserve">ه </w:t>
      </w:r>
      <w:r w:rsidR="008A74EB" w:rsidRPr="00C9040A">
        <w:rPr>
          <w:rtl/>
        </w:rPr>
        <w:t>» : « سجّيل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شرح المازندراني : « ما » بدون الواو.</w:t>
      </w:r>
    </w:p>
    <w:p w:rsidR="008A74EB" w:rsidRPr="00C9040A" w:rsidRDefault="006C577F" w:rsidP="004A4E41">
      <w:pPr>
        <w:pStyle w:val="libFootnote0"/>
        <w:rPr>
          <w:rtl/>
          <w:lang w:bidi="fa-IR"/>
        </w:rPr>
      </w:pPr>
      <w:r>
        <w:rPr>
          <w:rtl/>
        </w:rPr>
        <w:t>(6).</w:t>
      </w:r>
      <w:r w:rsidR="008A74EB" w:rsidRPr="00C9040A">
        <w:rPr>
          <w:rtl/>
        </w:rPr>
        <w:t xml:space="preserve"> في « </w:t>
      </w:r>
      <w:r w:rsidR="006D3162">
        <w:rPr>
          <w:rtl/>
        </w:rPr>
        <w:t xml:space="preserve">ه </w:t>
      </w:r>
      <w:r w:rsidR="008A74EB" w:rsidRPr="00C9040A">
        <w:rPr>
          <w:rtl/>
        </w:rPr>
        <w:t>» : « سجّيل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ج » : « كذّبتم » بالتشديد. وفي </w:t>
      </w:r>
      <w:r w:rsidR="008A74EB" w:rsidRPr="00993B55">
        <w:rPr>
          <w:rStyle w:val="libFootnoteBoldChar"/>
          <w:rtl/>
        </w:rPr>
        <w:t>مرآة العقول</w:t>
      </w:r>
      <w:r w:rsidR="008A74EB" w:rsidRPr="00C9040A">
        <w:rPr>
          <w:rtl/>
        </w:rPr>
        <w:t xml:space="preserve"> ، ج 10 ، ص 240 : « وربّما يقرأ بالتشديد ، أي كذّبتم الرسل فلا محيص عن عذابكم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في « بر » : « لِمَ » بدل « كيف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 ج ، د ، </w:t>
      </w:r>
      <w:r w:rsidR="006D3162">
        <w:rPr>
          <w:rtl/>
        </w:rPr>
        <w:t xml:space="preserve">ه </w:t>
      </w:r>
      <w:r w:rsidR="008A74EB" w:rsidRPr="00C9040A">
        <w:rPr>
          <w:rtl/>
        </w:rPr>
        <w:t>» : + « وحكمته »</w:t>
      </w:r>
      <w:r w:rsidR="008A74EB">
        <w:rPr>
          <w:rtl/>
        </w:rPr>
        <w:t>.</w:t>
      </w:r>
      <w:r w:rsidR="008A74EB" w:rsidRPr="00C9040A">
        <w:rPr>
          <w:rtl/>
        </w:rPr>
        <w:t xml:space="preserve"> وفي « بر » والوافي : + « وكلمته بقدس الله »</w:t>
      </w:r>
      <w:r w:rsidR="008A74EB">
        <w:rPr>
          <w:rtl/>
        </w:rPr>
        <w:t>.</w:t>
      </w:r>
      <w:r w:rsidR="008A74EB" w:rsidRPr="00C9040A">
        <w:rPr>
          <w:rtl/>
        </w:rPr>
        <w:t xml:space="preserve"> وفي البحار : + « وكلمته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في « ب » : « هم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في « ب » وحاشية « ج » : « ملجّمون »</w:t>
      </w:r>
      <w:r w:rsidR="008A74EB">
        <w:rPr>
          <w:rtl/>
        </w:rPr>
        <w:t>.</w:t>
      </w:r>
      <w:r w:rsidR="008A74EB" w:rsidRPr="00C9040A">
        <w:rPr>
          <w:rtl/>
        </w:rPr>
        <w:t xml:space="preserve"> وفي « ج ، </w:t>
      </w:r>
      <w:r w:rsidR="006D3162">
        <w:rPr>
          <w:rtl/>
        </w:rPr>
        <w:t xml:space="preserve">ه </w:t>
      </w:r>
      <w:r w:rsidR="008A74EB" w:rsidRPr="00C9040A">
        <w:rPr>
          <w:rtl/>
        </w:rPr>
        <w:t>» وحاشية « ب » : « ملجومون »</w:t>
      </w:r>
      <w:r w:rsidR="008A74EB">
        <w:rPr>
          <w:rtl/>
        </w:rPr>
        <w:t>.</w:t>
      </w:r>
    </w:p>
    <w:tbl>
      <w:tblPr>
        <w:tblStyle w:val="TableGrid"/>
        <w:bidiVisual/>
        <w:tblW w:w="0" w:type="auto"/>
        <w:tblLook w:val="04A0" w:firstRow="1" w:lastRow="0" w:firstColumn="1" w:lastColumn="0" w:noHBand="0" w:noVBand="1"/>
      </w:tblPr>
      <w:tblGrid>
        <w:gridCol w:w="4006"/>
        <w:gridCol w:w="4006"/>
      </w:tblGrid>
      <w:tr w:rsidR="00B14CE7" w:rsidTr="00B14CE7">
        <w:tc>
          <w:tcPr>
            <w:tcW w:w="4006" w:type="dxa"/>
          </w:tcPr>
          <w:p w:rsidR="00B14CE7" w:rsidRDefault="00B14CE7" w:rsidP="004A4E41">
            <w:pPr>
              <w:pStyle w:val="libFootnote0"/>
              <w:rPr>
                <w:rtl/>
              </w:rPr>
            </w:pPr>
            <w:r>
              <w:rPr>
                <w:rtl/>
              </w:rPr>
              <w:t>(12). في «</w:t>
            </w:r>
            <w:r w:rsidRPr="00C9040A">
              <w:rPr>
                <w:rtl/>
              </w:rPr>
              <w:t xml:space="preserve">د ، </w:t>
            </w:r>
            <w:r>
              <w:rPr>
                <w:rtl/>
              </w:rPr>
              <w:t>ه ، بر</w:t>
            </w:r>
            <w:r w:rsidRPr="00C9040A">
              <w:rPr>
                <w:rtl/>
              </w:rPr>
              <w:t>» والوافي والوسائ</w:t>
            </w:r>
            <w:r>
              <w:rPr>
                <w:rtl/>
              </w:rPr>
              <w:t>ل : «بلُجُم</w:t>
            </w:r>
            <w:r w:rsidRPr="00C9040A">
              <w:rPr>
                <w:rtl/>
              </w:rPr>
              <w:t>»</w:t>
            </w:r>
            <w:r>
              <w:rPr>
                <w:rtl/>
              </w:rPr>
              <w:t>.</w:t>
            </w:r>
          </w:p>
        </w:tc>
        <w:tc>
          <w:tcPr>
            <w:tcW w:w="4006" w:type="dxa"/>
          </w:tcPr>
          <w:p w:rsidR="00B14CE7" w:rsidRDefault="00B14CE7" w:rsidP="004A4E41">
            <w:pPr>
              <w:pStyle w:val="libFootnote0"/>
              <w:rPr>
                <w:rtl/>
              </w:rPr>
            </w:pPr>
            <w:r>
              <w:rPr>
                <w:rtl/>
              </w:rPr>
              <w:t>(1</w:t>
            </w:r>
            <w:r>
              <w:rPr>
                <w:rFonts w:hint="cs"/>
                <w:rtl/>
              </w:rPr>
              <w:t>3</w:t>
            </w:r>
            <w:r>
              <w:rPr>
                <w:rtl/>
              </w:rPr>
              <w:t>) في «ز ، بر ، بف» والوافي : «وأنا</w:t>
            </w:r>
            <w:r w:rsidRPr="00C9040A">
              <w:rPr>
                <w:rtl/>
              </w:rPr>
              <w:t>»</w:t>
            </w:r>
            <w:r>
              <w:rPr>
                <w:rtl/>
              </w:rPr>
              <w:t>.</w:t>
            </w:r>
          </w:p>
        </w:tc>
      </w:tr>
    </w:tbl>
    <w:p w:rsidR="008A74EB" w:rsidRPr="00C9040A" w:rsidRDefault="008A74EB" w:rsidP="004A4E41">
      <w:pPr>
        <w:pStyle w:val="libFootnote0"/>
        <w:rPr>
          <w:rtl/>
          <w:lang w:bidi="fa-IR"/>
        </w:rPr>
      </w:pPr>
      <w:r>
        <w:rPr>
          <w:rtl/>
        </w:rPr>
        <w:t>(</w:t>
      </w:r>
      <w:r>
        <w:rPr>
          <w:rFonts w:hint="cs"/>
          <w:rtl/>
        </w:rPr>
        <w:t>14</w:t>
      </w:r>
      <w:r>
        <w:rPr>
          <w:rtl/>
        </w:rPr>
        <w:t>)</w:t>
      </w:r>
      <w:r w:rsidRPr="00C9040A">
        <w:rPr>
          <w:rtl/>
        </w:rPr>
        <w:t xml:space="preserve"> في البحار : « عنهم »</w:t>
      </w:r>
      <w:r>
        <w:rPr>
          <w:rtl/>
        </w:rPr>
        <w:t>.</w:t>
      </w:r>
    </w:p>
    <w:p w:rsidR="008A74EB" w:rsidRPr="00C9040A" w:rsidRDefault="008A74EB" w:rsidP="004A4E41">
      <w:pPr>
        <w:pStyle w:val="libFootnote0"/>
        <w:rPr>
          <w:rtl/>
          <w:lang w:bidi="fa-IR"/>
        </w:rPr>
      </w:pPr>
      <w:r>
        <w:rPr>
          <w:rtl/>
        </w:rPr>
        <w:t>(1</w:t>
      </w:r>
      <w:r>
        <w:rPr>
          <w:rFonts w:hint="cs"/>
          <w:rtl/>
        </w:rPr>
        <w:t>5</w:t>
      </w:r>
      <w:r>
        <w:rPr>
          <w:rtl/>
        </w:rPr>
        <w:t>)</w:t>
      </w:r>
      <w:r w:rsidRPr="00C9040A">
        <w:rPr>
          <w:rtl/>
        </w:rPr>
        <w:t xml:space="preserve"> « شفير جهنّم » : جانبها وحرفها. وشفير كلِّ شي‌ء : حَرْفه. </w:t>
      </w:r>
      <w:r w:rsidRPr="00993B55">
        <w:rPr>
          <w:rStyle w:val="libFootnoteBoldChar"/>
          <w:rtl/>
        </w:rPr>
        <w:t>النهاية</w:t>
      </w:r>
      <w:r w:rsidRPr="00C9040A">
        <w:rPr>
          <w:rtl/>
        </w:rPr>
        <w:t xml:space="preserve"> ، ج 2 ، ص 485 ( شفر )</w:t>
      </w:r>
      <w:r>
        <w:rPr>
          <w:rtl/>
        </w:rPr>
        <w:t>.</w:t>
      </w:r>
    </w:p>
    <w:p w:rsidR="008A74EB" w:rsidRPr="00C9040A" w:rsidRDefault="008A74EB" w:rsidP="004A4E41">
      <w:pPr>
        <w:pStyle w:val="libFootnote0"/>
        <w:rPr>
          <w:rtl/>
          <w:lang w:bidi="fa-IR"/>
        </w:rPr>
      </w:pPr>
      <w:r>
        <w:rPr>
          <w:rtl/>
        </w:rPr>
        <w:t>(1</w:t>
      </w:r>
      <w:r>
        <w:rPr>
          <w:rFonts w:hint="cs"/>
          <w:rtl/>
        </w:rPr>
        <w:t>6</w:t>
      </w:r>
      <w:r>
        <w:rPr>
          <w:rtl/>
        </w:rPr>
        <w:t>)</w:t>
      </w:r>
      <w:r w:rsidRPr="00C9040A">
        <w:rPr>
          <w:rtl/>
        </w:rPr>
        <w:t xml:space="preserve"> « ا</w:t>
      </w:r>
      <w:r w:rsidR="00B14CE7">
        <w:rPr>
          <w:rFonts w:hint="cs"/>
          <w:rtl/>
        </w:rPr>
        <w:t>ُ</w:t>
      </w:r>
      <w:r w:rsidRPr="00C9040A">
        <w:rPr>
          <w:rtl/>
        </w:rPr>
        <w:t>كبكب » أي ا</w:t>
      </w:r>
      <w:r w:rsidR="00B14CE7">
        <w:rPr>
          <w:rFonts w:hint="cs"/>
          <w:rtl/>
        </w:rPr>
        <w:t>ُ</w:t>
      </w:r>
      <w:r w:rsidRPr="00C9040A">
        <w:rPr>
          <w:rtl/>
        </w:rPr>
        <w:t xml:space="preserve">طْرَح فيها على وجهي. راجع : </w:t>
      </w:r>
      <w:r w:rsidRPr="00993B55">
        <w:rPr>
          <w:rStyle w:val="libFootnoteBoldChar"/>
          <w:rtl/>
        </w:rPr>
        <w:t>لسان العرب</w:t>
      </w:r>
      <w:r w:rsidRPr="00C9040A">
        <w:rPr>
          <w:rtl/>
        </w:rPr>
        <w:t xml:space="preserve"> ، ج 1 ، ص 659 ( كبب )</w:t>
      </w:r>
      <w:r>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الْجَرِيشِ </w:t>
      </w:r>
      <w:r w:rsidR="006C577F" w:rsidRPr="006C577F">
        <w:rPr>
          <w:rStyle w:val="libFootnotenumChar"/>
          <w:rtl/>
        </w:rPr>
        <w:t>(1)</w:t>
      </w:r>
      <w:r w:rsidRPr="00C9040A">
        <w:rPr>
          <w:rtl/>
          <w:lang w:bidi="fa-IR"/>
        </w:rPr>
        <w:t xml:space="preserve"> ، وَالنَّوْمُ عَلَى الْمَزَابِلِ </w:t>
      </w:r>
      <w:r w:rsidR="006C577F" w:rsidRPr="006C577F">
        <w:rPr>
          <w:rStyle w:val="libFootnotenumChar"/>
          <w:rtl/>
        </w:rPr>
        <w:t>(2)</w:t>
      </w:r>
      <w:r w:rsidRPr="00C9040A">
        <w:rPr>
          <w:rtl/>
          <w:lang w:bidi="fa-IR"/>
        </w:rPr>
        <w:t xml:space="preserve"> خَيْرٌ كَثِيرٌ مَعَ عَافِيَةِ الدُّنْيَا وَالْآخِرَةِ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385A10">
        <w:rPr>
          <w:rtl/>
        </w:rPr>
        <w:t>2597</w:t>
      </w:r>
      <w:r w:rsidRPr="00261CB0">
        <w:rPr>
          <w:rStyle w:val="libBold2Char"/>
          <w:rtl/>
        </w:rPr>
        <w:t xml:space="preserve"> / 12.</w:t>
      </w:r>
      <w:r w:rsidRPr="00C9040A">
        <w:rPr>
          <w:rtl/>
          <w:lang w:bidi="fa-IR"/>
        </w:rPr>
        <w:t xml:space="preserve"> عَلِيُّ بْنُ إِبْرَاهِيمَ ، عَنْ أَبِيهِ ، عَنِ ابْنِ أَبِي عُمَيْرٍ ، عَنْ هِشَامِ بْنِ سَالِمٍ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مَا فَتَحَ </w:t>
      </w:r>
      <w:r w:rsidR="006C577F" w:rsidRPr="006C577F">
        <w:rPr>
          <w:rStyle w:val="libFootnotenumChar"/>
          <w:rtl/>
        </w:rPr>
        <w:t>(4)</w:t>
      </w:r>
      <w:r w:rsidRPr="00C9040A">
        <w:rPr>
          <w:rtl/>
          <w:lang w:bidi="fa-IR"/>
        </w:rPr>
        <w:t xml:space="preserve"> اللهُ عَلى عَبْدٍ بَاباً مِنْ أَمْرِ </w:t>
      </w:r>
      <w:r w:rsidR="006C577F" w:rsidRPr="006C577F">
        <w:rPr>
          <w:rStyle w:val="libFootnotenumChar"/>
          <w:rtl/>
        </w:rPr>
        <w:t>(5)</w:t>
      </w:r>
      <w:r w:rsidR="00B14CE7">
        <w:rPr>
          <w:rtl/>
          <w:lang w:bidi="fa-IR"/>
        </w:rPr>
        <w:t xml:space="preserve"> الدُّنْيَا إِل</w:t>
      </w:r>
      <w:r w:rsidR="00B14CE7">
        <w:rPr>
          <w:rFonts w:hint="cs"/>
          <w:rtl/>
          <w:lang w:bidi="fa-IR"/>
        </w:rPr>
        <w:t>َّ</w:t>
      </w:r>
      <w:r w:rsidR="00B14CE7">
        <w:rPr>
          <w:rtl/>
          <w:lang w:bidi="fa-IR"/>
        </w:rPr>
        <w:t>ا</w:t>
      </w:r>
      <w:r w:rsidRPr="00C9040A">
        <w:rPr>
          <w:rtl/>
          <w:lang w:bidi="fa-IR"/>
        </w:rPr>
        <w:t xml:space="preserve"> فَتَحَ اللهُ </w:t>
      </w:r>
      <w:r w:rsidR="006C577F" w:rsidRPr="006C577F">
        <w:rPr>
          <w:rStyle w:val="libFootnotenumChar"/>
          <w:rtl/>
        </w:rPr>
        <w:t>(6)</w:t>
      </w:r>
      <w:r w:rsidRPr="005B567D">
        <w:rPr>
          <w:rStyle w:val="libFootnotenumChar"/>
          <w:rtl/>
        </w:rPr>
        <w:t xml:space="preserve"> </w:t>
      </w:r>
      <w:r w:rsidRPr="00C9040A">
        <w:rPr>
          <w:rtl/>
          <w:lang w:bidi="fa-IR"/>
        </w:rPr>
        <w:t xml:space="preserve">عَلَيْهِ مِنَ الْحِرْصِ مِثْلَهُ </w:t>
      </w:r>
      <w:r w:rsidR="006C577F" w:rsidRPr="006C577F">
        <w:rPr>
          <w:rStyle w:val="libFootnotenumChar"/>
          <w:rtl/>
        </w:rPr>
        <w:t>(7)</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Normal"/>
        <w:rPr>
          <w:rtl/>
          <w:lang w:bidi="fa-IR"/>
        </w:rPr>
      </w:pPr>
      <w:r w:rsidRPr="00385A10">
        <w:rPr>
          <w:rtl/>
        </w:rPr>
        <w:t>2598</w:t>
      </w:r>
      <w:r w:rsidRPr="00261CB0">
        <w:rPr>
          <w:rStyle w:val="libBold2Char"/>
          <w:rtl/>
        </w:rPr>
        <w:t xml:space="preserve"> / 13.</w:t>
      </w:r>
      <w:r w:rsidRPr="00C9040A">
        <w:rPr>
          <w:rtl/>
          <w:lang w:bidi="fa-IR"/>
        </w:rPr>
        <w:t xml:space="preserve"> عَلِيُّ بْنُ إِبْرَاهِيمَ ، عَنْ أَبِيهِ ، عَنِ الْقَاسِمِ بْنِ مُحَمَّدٍ ، عَنِ </w:t>
      </w:r>
      <w:r w:rsidR="006C577F" w:rsidRPr="006C577F">
        <w:rPr>
          <w:rStyle w:val="libFootnotenumChar"/>
          <w:rtl/>
        </w:rPr>
        <w:t>(9)</w:t>
      </w:r>
      <w:r w:rsidRPr="00C9040A">
        <w:rPr>
          <w:rtl/>
          <w:lang w:bidi="fa-IR"/>
        </w:rPr>
        <w:t xml:space="preserve"> الْمِنْقَرِيِّ ، عَنْ حَفْصِ بْنِ غِيَاثٍ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عِيسَى بْنُ مَرْيَمَ صَلَوَاتُ اللهِ عَلَيْهِ : تَعْمَلُونَ لِلدُّنْيَا وَأَنْتُمْ تُرْزَقُونَ فِيهَا بِغَيْرِ عَمَلٍ ، وَلَاتَعْمَلُونَ لِلْآخِرَةِ وَأَنْت</w:t>
      </w:r>
      <w:r w:rsidR="00B14CE7">
        <w:rPr>
          <w:rtl/>
          <w:lang w:bidi="fa-IR"/>
        </w:rPr>
        <w:t>ُمْ لَاتُرْزَقُونَ فِيهَا إِل</w:t>
      </w:r>
      <w:r w:rsidR="00B14CE7">
        <w:rPr>
          <w:rFonts w:hint="cs"/>
          <w:rtl/>
          <w:lang w:bidi="fa-IR"/>
        </w:rPr>
        <w:t>َّ</w:t>
      </w:r>
      <w:r w:rsidR="00B14CE7">
        <w:rPr>
          <w:rtl/>
          <w:lang w:bidi="fa-IR"/>
        </w:rPr>
        <w:t>ا</w:t>
      </w:r>
      <w:r w:rsidRPr="00C9040A">
        <w:rPr>
          <w:rtl/>
          <w:lang w:bidi="fa-IR"/>
        </w:rPr>
        <w:t xml:space="preserve"> بِالْعَمَلِ ، وَيْلَكُمْ عُلَمَاءَ سَوْءٍ ، الْأَجْرَ تَأْخُذُونَ </w:t>
      </w:r>
      <w:r w:rsidR="006C577F" w:rsidRPr="006C577F">
        <w:rPr>
          <w:rStyle w:val="libFootnotenumChar"/>
          <w:rtl/>
        </w:rPr>
        <w:t>(10)</w:t>
      </w:r>
      <w:r w:rsidRPr="00C9040A">
        <w:rPr>
          <w:rtl/>
          <w:lang w:bidi="fa-IR"/>
        </w:rPr>
        <w:t xml:space="preserve"> ، وَالْعَمَلَ تُضَيِّعُونَ ، يُوشِكُ رَبُّ الْعَمَلِ أَنْ يُقْبَلَ </w:t>
      </w:r>
      <w:r w:rsidR="006C577F" w:rsidRPr="006C577F">
        <w:rPr>
          <w:rStyle w:val="libFootnotenumChar"/>
          <w:rtl/>
        </w:rPr>
        <w:t>(11)</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جَرْش الشي‌ء : أن يُدقّ ولايُنْعَم دقُّه. يقال : جرشه وهو جريش. </w:t>
      </w:r>
      <w:r w:rsidR="008A74EB" w:rsidRPr="00993B55">
        <w:rPr>
          <w:rStyle w:val="libFootnoteBoldChar"/>
          <w:rtl/>
        </w:rPr>
        <w:t>معجم مقاييس اللغة</w:t>
      </w:r>
      <w:r w:rsidR="008A74EB" w:rsidRPr="00C9040A">
        <w:rPr>
          <w:rtl/>
        </w:rPr>
        <w:t xml:space="preserve"> ، ج 1 ، ص 442 ( جرش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في « بر » والوافي : « التراب »</w:t>
      </w:r>
      <w:r w:rsidR="008A74EB">
        <w:rPr>
          <w:rtl/>
        </w:rPr>
        <w:t>.</w:t>
      </w:r>
    </w:p>
    <w:p w:rsidR="008A74EB" w:rsidRPr="00C9040A" w:rsidRDefault="006C577F" w:rsidP="004A4E41">
      <w:pPr>
        <w:pStyle w:val="libFootnote0"/>
        <w:rPr>
          <w:rtl/>
          <w:lang w:bidi="fa-IR"/>
        </w:rPr>
      </w:pPr>
      <w:r>
        <w:rPr>
          <w:rtl/>
        </w:rPr>
        <w:t>(3).</w:t>
      </w:r>
      <w:r w:rsidR="008A74EB" w:rsidRPr="00C9040A">
        <w:rPr>
          <w:rtl/>
        </w:rPr>
        <w:t xml:space="preserve"> </w:t>
      </w:r>
      <w:r w:rsidR="008A74EB" w:rsidRPr="00993B55">
        <w:rPr>
          <w:rStyle w:val="libFootnoteBoldChar"/>
          <w:rtl/>
        </w:rPr>
        <w:t>ثواب الأعمال</w:t>
      </w:r>
      <w:r w:rsidR="008A74EB" w:rsidRPr="00C9040A">
        <w:rPr>
          <w:rtl/>
        </w:rPr>
        <w:t xml:space="preserve"> ، ص 303 ، ح 1 ؛ </w:t>
      </w:r>
      <w:r w:rsidR="008A74EB" w:rsidRPr="00B14CE7">
        <w:rPr>
          <w:rStyle w:val="libFootnoteBoldChar"/>
          <w:rtl/>
        </w:rPr>
        <w:t>و</w:t>
      </w:r>
      <w:r w:rsidR="008A74EB" w:rsidRPr="00993B55">
        <w:rPr>
          <w:rStyle w:val="libFootnoteBoldChar"/>
          <w:rtl/>
        </w:rPr>
        <w:t xml:space="preserve">علل الشرائع </w:t>
      </w:r>
      <w:r w:rsidR="008A74EB" w:rsidRPr="00C9040A">
        <w:rPr>
          <w:rtl/>
        </w:rPr>
        <w:t xml:space="preserve">، ص 466 ، ح 21 ؛ </w:t>
      </w:r>
      <w:r w:rsidR="008A74EB" w:rsidRPr="00B14CE7">
        <w:rPr>
          <w:rStyle w:val="libFootnoteBoldChar"/>
          <w:rtl/>
        </w:rPr>
        <w:t>و</w:t>
      </w:r>
      <w:r w:rsidR="008A74EB" w:rsidRPr="00993B55">
        <w:rPr>
          <w:rStyle w:val="libFootnoteBoldChar"/>
          <w:rtl/>
        </w:rPr>
        <w:t>معاني الأخبار</w:t>
      </w:r>
      <w:r w:rsidR="008A74EB" w:rsidRPr="00C9040A">
        <w:rPr>
          <w:rtl/>
        </w:rPr>
        <w:t xml:space="preserve"> ، ص 341 ، ح 1 ، بسند آخر مع اختلاف يسير </w:t>
      </w:r>
      <w:r w:rsidR="00B14CE7">
        <w:rPr>
          <w:rFonts w:hint="cs"/>
          <w:rtl/>
        </w:rPr>
        <w:t>.</w:t>
      </w:r>
      <w:r w:rsidR="008A74EB" w:rsidRPr="00993B55">
        <w:rPr>
          <w:rStyle w:val="libFootnoteBoldChar"/>
          <w:rtl/>
        </w:rPr>
        <w:t>الوافي</w:t>
      </w:r>
      <w:r w:rsidR="008A74EB" w:rsidRPr="00C9040A">
        <w:rPr>
          <w:rtl/>
        </w:rPr>
        <w:t xml:space="preserve"> ، ج 5 ، ص 893 ، ح 3240 ؛ </w:t>
      </w:r>
      <w:r w:rsidR="008A74EB" w:rsidRPr="00993B55">
        <w:rPr>
          <w:rStyle w:val="libFootnoteBoldChar"/>
          <w:rtl/>
        </w:rPr>
        <w:t>الوسائل</w:t>
      </w:r>
      <w:r w:rsidR="008A74EB" w:rsidRPr="00C9040A">
        <w:rPr>
          <w:rtl/>
        </w:rPr>
        <w:t xml:space="preserve"> ، ج 16 ، ص 255 ، ح 21502 ؛ </w:t>
      </w:r>
      <w:r w:rsidR="008A74EB" w:rsidRPr="00993B55">
        <w:rPr>
          <w:rStyle w:val="libFootnoteBoldChar"/>
          <w:rtl/>
        </w:rPr>
        <w:t>البحار</w:t>
      </w:r>
      <w:r w:rsidR="008A74EB" w:rsidRPr="00C9040A">
        <w:rPr>
          <w:rtl/>
        </w:rPr>
        <w:t xml:space="preserve"> ، ج 73 ، ص 10 ، ح 3.</w:t>
      </w:r>
    </w:p>
    <w:p w:rsidR="008A74EB" w:rsidRPr="00C9040A" w:rsidRDefault="006C577F" w:rsidP="004A4E41">
      <w:pPr>
        <w:pStyle w:val="libFootnote0"/>
        <w:rPr>
          <w:rtl/>
          <w:lang w:bidi="fa-IR"/>
        </w:rPr>
      </w:pPr>
      <w:r>
        <w:rPr>
          <w:rtl/>
        </w:rPr>
        <w:t>(4).</w:t>
      </w:r>
      <w:r w:rsidR="008A74EB" w:rsidRPr="00C9040A">
        <w:rPr>
          <w:rtl/>
        </w:rPr>
        <w:t xml:space="preserve"> في « بف » : « فسح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ص ، </w:t>
      </w:r>
      <w:r w:rsidR="006D3162">
        <w:rPr>
          <w:rtl/>
        </w:rPr>
        <w:t xml:space="preserve">ه </w:t>
      </w:r>
      <w:r w:rsidR="008A74EB" w:rsidRPr="00C9040A">
        <w:rPr>
          <w:rtl/>
        </w:rPr>
        <w:t xml:space="preserve">» والوافي وتحف العقول </w:t>
      </w:r>
      <w:r w:rsidR="008A74EB">
        <w:rPr>
          <w:rtl/>
        </w:rPr>
        <w:t xml:space="preserve">: </w:t>
      </w:r>
      <w:r w:rsidR="0084262C">
        <w:rPr>
          <w:rtl/>
        </w:rPr>
        <w:t>-</w:t>
      </w:r>
      <w:r w:rsidR="008A74EB" w:rsidRPr="00C9040A">
        <w:rPr>
          <w:rtl/>
        </w:rPr>
        <w:t xml:space="preserve"> « أمر »</w:t>
      </w:r>
      <w:r w:rsidR="008A74EB">
        <w:rPr>
          <w:rtl/>
        </w:rPr>
        <w:t>.</w:t>
      </w:r>
    </w:p>
    <w:tbl>
      <w:tblPr>
        <w:tblStyle w:val="TableGrid"/>
        <w:bidiVisual/>
        <w:tblW w:w="0" w:type="auto"/>
        <w:tblLook w:val="04A0" w:firstRow="1" w:lastRow="0" w:firstColumn="1" w:lastColumn="0" w:noHBand="0" w:noVBand="1"/>
      </w:tblPr>
      <w:tblGrid>
        <w:gridCol w:w="4006"/>
        <w:gridCol w:w="4006"/>
      </w:tblGrid>
      <w:tr w:rsidR="006A745B" w:rsidTr="006A745B">
        <w:tc>
          <w:tcPr>
            <w:tcW w:w="4006" w:type="dxa"/>
          </w:tcPr>
          <w:p w:rsidR="006A745B" w:rsidRDefault="006A745B" w:rsidP="004A4E41">
            <w:pPr>
              <w:pStyle w:val="libFootnote0"/>
              <w:rPr>
                <w:rtl/>
              </w:rPr>
            </w:pPr>
            <w:r>
              <w:rPr>
                <w:rtl/>
              </w:rPr>
              <w:t xml:space="preserve">(6). </w:t>
            </w:r>
            <w:r w:rsidRPr="00C9040A">
              <w:rPr>
                <w:rtl/>
              </w:rPr>
              <w:t xml:space="preserve">في « </w:t>
            </w:r>
            <w:r>
              <w:rPr>
                <w:rtl/>
              </w:rPr>
              <w:t xml:space="preserve">ه </w:t>
            </w:r>
            <w:r w:rsidRPr="00C9040A">
              <w:rPr>
                <w:rtl/>
              </w:rPr>
              <w:t xml:space="preserve">» والوافي وتحف العقول </w:t>
            </w:r>
            <w:r>
              <w:rPr>
                <w:rtl/>
              </w:rPr>
              <w:t>: -</w:t>
            </w:r>
            <w:r w:rsidRPr="00C9040A">
              <w:rPr>
                <w:rtl/>
              </w:rPr>
              <w:t xml:space="preserve"> « الله »</w:t>
            </w:r>
            <w:r>
              <w:rPr>
                <w:rtl/>
              </w:rPr>
              <w:t>.</w:t>
            </w:r>
          </w:p>
        </w:tc>
        <w:tc>
          <w:tcPr>
            <w:tcW w:w="4006" w:type="dxa"/>
          </w:tcPr>
          <w:p w:rsidR="006A745B" w:rsidRDefault="006A745B" w:rsidP="004A4E41">
            <w:pPr>
              <w:pStyle w:val="libFootnote0"/>
              <w:rPr>
                <w:rtl/>
              </w:rPr>
            </w:pPr>
            <w:r>
              <w:rPr>
                <w:rtl/>
              </w:rPr>
              <w:t>(7).</w:t>
            </w:r>
            <w:r w:rsidRPr="00C9040A">
              <w:rPr>
                <w:rtl/>
              </w:rPr>
              <w:t xml:space="preserve"> في تحف العقول : « مثليه »</w:t>
            </w:r>
            <w:r>
              <w:rPr>
                <w:rtl/>
              </w:rPr>
              <w:t>.</w:t>
            </w:r>
          </w:p>
        </w:tc>
      </w:tr>
    </w:tbl>
    <w:p w:rsidR="008A74EB" w:rsidRPr="00C9040A" w:rsidRDefault="006C577F" w:rsidP="004A4E41">
      <w:pPr>
        <w:pStyle w:val="libFootnote0"/>
        <w:rPr>
          <w:rtl/>
          <w:lang w:bidi="fa-IR"/>
        </w:rPr>
      </w:pPr>
      <w:r>
        <w:rPr>
          <w:rtl/>
        </w:rPr>
        <w:t>(8).</w:t>
      </w:r>
      <w:r w:rsidR="008A74EB" w:rsidRPr="00C9040A">
        <w:rPr>
          <w:rtl/>
        </w:rPr>
        <w:t xml:space="preserve"> </w:t>
      </w:r>
      <w:r w:rsidR="008A74EB" w:rsidRPr="00993B55">
        <w:rPr>
          <w:rStyle w:val="libFootnoteBoldChar"/>
          <w:rtl/>
        </w:rPr>
        <w:t>تحف العقول</w:t>
      </w:r>
      <w:r w:rsidR="008A74EB" w:rsidRPr="00C9040A">
        <w:rPr>
          <w:rtl/>
        </w:rPr>
        <w:t xml:space="preserve"> ، ص 370 </w:t>
      </w:r>
      <w:r w:rsidR="006A745B">
        <w:rPr>
          <w:rFonts w:hint="cs"/>
          <w:rtl/>
        </w:rPr>
        <w:t>.</w:t>
      </w:r>
      <w:r w:rsidR="008A74EB" w:rsidRPr="00993B55">
        <w:rPr>
          <w:rStyle w:val="libFootnoteBoldChar"/>
          <w:rtl/>
        </w:rPr>
        <w:t>الوافي</w:t>
      </w:r>
      <w:r w:rsidR="008A74EB" w:rsidRPr="00C9040A">
        <w:rPr>
          <w:rtl/>
        </w:rPr>
        <w:t xml:space="preserve"> ، ج 5 ، ص 896 ، ح 3243 ؛ </w:t>
      </w:r>
      <w:r w:rsidR="008A74EB" w:rsidRPr="00993B55">
        <w:rPr>
          <w:rStyle w:val="libFootnoteBoldChar"/>
          <w:rtl/>
        </w:rPr>
        <w:t>البحار</w:t>
      </w:r>
      <w:r w:rsidR="008A74EB" w:rsidRPr="00C9040A">
        <w:rPr>
          <w:rtl/>
        </w:rPr>
        <w:t xml:space="preserve"> ، ج 73 ، ص 16 ، ح 4.</w:t>
      </w:r>
    </w:p>
    <w:p w:rsidR="008A74EB" w:rsidRPr="00C9040A" w:rsidRDefault="006C577F" w:rsidP="004A4E41">
      <w:pPr>
        <w:pStyle w:val="libFootnote0"/>
        <w:rPr>
          <w:rtl/>
          <w:lang w:bidi="fa-IR"/>
        </w:rPr>
      </w:pPr>
      <w:r>
        <w:rPr>
          <w:rtl/>
        </w:rPr>
        <w:t>(9).</w:t>
      </w:r>
      <w:r w:rsidR="008A74EB" w:rsidRPr="00C9040A">
        <w:rPr>
          <w:rtl/>
        </w:rPr>
        <w:t xml:space="preserve"> في البحار </w:t>
      </w:r>
      <w:r w:rsidR="008A74EB">
        <w:rPr>
          <w:rtl/>
        </w:rPr>
        <w:t xml:space="preserve">: </w:t>
      </w:r>
      <w:r w:rsidR="0084262C">
        <w:rPr>
          <w:rtl/>
        </w:rPr>
        <w:t>-</w:t>
      </w:r>
      <w:r w:rsidR="008A74EB" w:rsidRPr="00C9040A">
        <w:rPr>
          <w:rtl/>
        </w:rPr>
        <w:t xml:space="preserve"> « عن »</w:t>
      </w:r>
      <w:r w:rsidR="008A74EB">
        <w:rPr>
          <w:rtl/>
        </w:rPr>
        <w:t>.</w:t>
      </w:r>
      <w:r w:rsidR="008A74EB" w:rsidRPr="00C9040A">
        <w:rPr>
          <w:rtl/>
        </w:rPr>
        <w:t xml:space="preserve"> وهو سهو ، والقاسم بن محمّد هذا هو الأصفهاني ، روى إبراهيم بن هاشم عنه عن [ سليمان بن داود ] المنقري في أسنادٍ عديدة. راجع : </w:t>
      </w:r>
      <w:r w:rsidR="008A74EB" w:rsidRPr="00993B55">
        <w:rPr>
          <w:rStyle w:val="libFootnoteBoldChar"/>
          <w:rtl/>
        </w:rPr>
        <w:t>معجم رجال الحديث</w:t>
      </w:r>
      <w:r w:rsidR="008A74EB" w:rsidRPr="00C9040A">
        <w:rPr>
          <w:rtl/>
        </w:rPr>
        <w:t xml:space="preserve"> ، ج 14 ، ص 43 ؛ وص 359</w:t>
      </w:r>
      <w:r w:rsidR="008A74EB">
        <w:rPr>
          <w:rtl/>
        </w:rPr>
        <w:t xml:space="preserve"> </w:t>
      </w:r>
      <w:r w:rsidR="0084262C">
        <w:rPr>
          <w:rtl/>
        </w:rPr>
        <w:t>-</w:t>
      </w:r>
      <w:r w:rsidR="008A74EB">
        <w:rPr>
          <w:rtl/>
        </w:rPr>
        <w:t xml:space="preserve"> </w:t>
      </w:r>
      <w:r w:rsidR="008A74EB" w:rsidRPr="00C9040A">
        <w:rPr>
          <w:rtl/>
        </w:rPr>
        <w:t>360 ؛ وص 365.</w:t>
      </w:r>
    </w:p>
    <w:p w:rsidR="008A74EB" w:rsidRPr="00C9040A" w:rsidRDefault="006C577F" w:rsidP="004A4E41">
      <w:pPr>
        <w:pStyle w:val="libFootnote0"/>
        <w:rPr>
          <w:rtl/>
          <w:lang w:bidi="fa-IR"/>
        </w:rPr>
      </w:pPr>
      <w:r>
        <w:rPr>
          <w:rtl/>
        </w:rPr>
        <w:t>(10).</w:t>
      </w:r>
      <w:r w:rsidR="008A74EB" w:rsidRPr="00C9040A">
        <w:rPr>
          <w:rtl/>
        </w:rPr>
        <w:t xml:space="preserve"> في </w:t>
      </w:r>
      <w:r w:rsidR="008A74EB" w:rsidRPr="00993B55">
        <w:rPr>
          <w:rStyle w:val="libFootnoteBoldChar"/>
          <w:rtl/>
        </w:rPr>
        <w:t>مرآة العقول</w:t>
      </w:r>
      <w:r w:rsidR="008A74EB" w:rsidRPr="00C9040A">
        <w:rPr>
          <w:rtl/>
        </w:rPr>
        <w:t xml:space="preserve"> ، ج 10 ، ص 242 : « الأجر تأخذون ، بحذف حرف الاستفهام وهو على‌الإنكار. ويحتمل أن‌</w:t>
      </w:r>
      <w:r w:rsidR="006A745B">
        <w:rPr>
          <w:rFonts w:hint="cs"/>
          <w:rtl/>
        </w:rPr>
        <w:t xml:space="preserve"> </w:t>
      </w:r>
      <w:r w:rsidR="008A74EB" w:rsidRPr="00C9040A">
        <w:rPr>
          <w:rtl/>
        </w:rPr>
        <w:t>يكون المراد أجر الدنيا ، أي نعم الله سبحانه. وعلى هذا يحتمل أن يكون توبيخاً لا استفهاماً ، وأن يكون المراد أجر الآخرة ، فالاستفهام متعيّن »</w:t>
      </w:r>
      <w:r w:rsidR="008A74EB">
        <w:rPr>
          <w:rtl/>
        </w:rPr>
        <w:t>.</w:t>
      </w:r>
    </w:p>
    <w:p w:rsidR="008A74EB" w:rsidRPr="00C9040A" w:rsidRDefault="006C577F" w:rsidP="004A4E41">
      <w:pPr>
        <w:pStyle w:val="libFootnote0"/>
        <w:rPr>
          <w:rtl/>
          <w:lang w:bidi="fa-IR"/>
        </w:rPr>
      </w:pPr>
      <w:r>
        <w:rPr>
          <w:rtl/>
        </w:rPr>
        <w:t>(11).</w:t>
      </w:r>
      <w:r w:rsidR="008A74EB" w:rsidRPr="00C9040A">
        <w:rPr>
          <w:rtl/>
        </w:rPr>
        <w:t xml:space="preserve"> في </w:t>
      </w:r>
      <w:r w:rsidR="008A74EB" w:rsidRPr="00993B55">
        <w:rPr>
          <w:rStyle w:val="libFootnoteBoldChar"/>
          <w:rtl/>
        </w:rPr>
        <w:t>الوافي</w:t>
      </w:r>
      <w:r w:rsidR="008A74EB" w:rsidRPr="00C9040A">
        <w:rPr>
          <w:rtl/>
        </w:rPr>
        <w:t xml:space="preserve"> : « ا</w:t>
      </w:r>
      <w:r w:rsidR="006A745B">
        <w:rPr>
          <w:rFonts w:hint="cs"/>
          <w:rtl/>
        </w:rPr>
        <w:t>ُ</w:t>
      </w:r>
      <w:r w:rsidR="008A74EB" w:rsidRPr="00C9040A">
        <w:rPr>
          <w:rtl/>
        </w:rPr>
        <w:t>ريد بربّ العمل : العابد الذي تقلّد أهل العلم في عبادته ، أعني يعمل بما يأخذ عنهم. وفيه توبيخ لأهل العلم الغير العامل »</w:t>
      </w:r>
      <w:r w:rsidR="008A74EB">
        <w:rPr>
          <w:rtl/>
        </w:rPr>
        <w:t>.</w:t>
      </w:r>
      <w:r w:rsidR="008A74EB" w:rsidRPr="00C9040A">
        <w:rPr>
          <w:rtl/>
        </w:rPr>
        <w:t xml:space="preserve"> وفي </w:t>
      </w:r>
      <w:r w:rsidR="008A74EB" w:rsidRPr="00993B55">
        <w:rPr>
          <w:rStyle w:val="libFootnoteBoldChar"/>
          <w:rtl/>
        </w:rPr>
        <w:t>مرآة العقول</w:t>
      </w:r>
      <w:r w:rsidR="008A74EB" w:rsidRPr="00C9040A">
        <w:rPr>
          <w:rtl/>
        </w:rPr>
        <w:t xml:space="preserve"> : « قرأ بعضهم : يقيل ، بالياء المثنّاة من الإقالة ، أي يردّ عمله ؛ فإنّ المقيل يردّ المتاع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عَمَلُهُ ، وَيُوشِكُ </w:t>
      </w:r>
      <w:r w:rsidR="006C577F" w:rsidRPr="006C577F">
        <w:rPr>
          <w:rStyle w:val="libFootnotenumChar"/>
          <w:rtl/>
        </w:rPr>
        <w:t>(1)</w:t>
      </w:r>
      <w:r w:rsidRPr="00C9040A">
        <w:rPr>
          <w:rtl/>
          <w:lang w:bidi="fa-IR"/>
        </w:rPr>
        <w:t xml:space="preserve"> أَنْ يُخْرَجُوا </w:t>
      </w:r>
      <w:r w:rsidR="006C577F" w:rsidRPr="006C577F">
        <w:rPr>
          <w:rStyle w:val="libFootnotenumChar"/>
          <w:rtl/>
        </w:rPr>
        <w:t>(2)</w:t>
      </w:r>
      <w:r w:rsidRPr="00C9040A">
        <w:rPr>
          <w:rtl/>
          <w:lang w:bidi="fa-IR"/>
        </w:rPr>
        <w:t xml:space="preserve"> مِنْ ضِيقِ الدُّنْيَا إِلى ظُلْمَةِ الْقَبْرِ ، كَيْفَ يَكُونُ مِنْ أَهْلِ الْعِلْمِ مَنْ هُوَ فِي مَسِيرِهِ إِلى آخِرَتِهِ وَهُوَ مُقْبِلٌ عَلى دُنْيَاهُ ، وَمَا يَضُرُّهُ أَحَبُّ إِلَيْهِ مِمَّا يَنْفَعُهُ</w:t>
      </w:r>
      <w:r>
        <w:rPr>
          <w:rtl/>
          <w:lang w:bidi="fa-IR"/>
        </w:rPr>
        <w:t>؟!</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libNormal"/>
        <w:rPr>
          <w:rtl/>
          <w:lang w:bidi="fa-IR"/>
        </w:rPr>
      </w:pPr>
      <w:r w:rsidRPr="00385A10">
        <w:rPr>
          <w:rtl/>
        </w:rPr>
        <w:t>2599</w:t>
      </w:r>
      <w:r w:rsidRPr="00261CB0">
        <w:rPr>
          <w:rStyle w:val="libBold2Char"/>
          <w:rtl/>
        </w:rPr>
        <w:t xml:space="preserve"> / 14.</w:t>
      </w:r>
      <w:r w:rsidRPr="00C9040A">
        <w:rPr>
          <w:rtl/>
          <w:lang w:bidi="fa-IR"/>
        </w:rPr>
        <w:t xml:space="preserve"> عَنْهُ ، عَنْ أَبِيهِ ، عَنْ مُحَمَّدِ بْنِ عَمْرٍو </w:t>
      </w:r>
      <w:r w:rsidR="006C577F" w:rsidRPr="006C577F">
        <w:rPr>
          <w:rStyle w:val="libFootnotenumChar"/>
          <w:rtl/>
        </w:rPr>
        <w:t>(4)</w:t>
      </w:r>
      <w:r>
        <w:rPr>
          <w:rtl/>
          <w:lang w:bidi="fa-IR"/>
        </w:rPr>
        <w:t xml:space="preserve"> </w:t>
      </w:r>
      <w:r w:rsidR="0084262C">
        <w:rPr>
          <w:rtl/>
          <w:lang w:bidi="fa-IR"/>
        </w:rPr>
        <w:t>-</w:t>
      </w:r>
      <w:r>
        <w:rPr>
          <w:rtl/>
          <w:lang w:bidi="fa-IR"/>
        </w:rPr>
        <w:t xml:space="preserve"> </w:t>
      </w:r>
      <w:r w:rsidRPr="00C9040A">
        <w:rPr>
          <w:rtl/>
          <w:lang w:bidi="fa-IR"/>
        </w:rPr>
        <w:t>فِيمَا أَعْلَمُ</w:t>
      </w:r>
      <w:r>
        <w:rPr>
          <w:rtl/>
          <w:lang w:bidi="fa-IR"/>
        </w:rPr>
        <w:t xml:space="preserve"> </w:t>
      </w:r>
      <w:r w:rsidR="0084262C">
        <w:rPr>
          <w:rtl/>
          <w:lang w:bidi="fa-IR"/>
        </w:rPr>
        <w:t>-</w:t>
      </w:r>
      <w:r>
        <w:rPr>
          <w:rtl/>
          <w:lang w:bidi="fa-IR"/>
        </w:rPr>
        <w:t xml:space="preserve"> </w:t>
      </w:r>
      <w:r w:rsidRPr="00C9040A">
        <w:rPr>
          <w:rtl/>
          <w:lang w:bidi="fa-IR"/>
        </w:rPr>
        <w:t>عَنْ أَبِي عَلِيٍّ الْحَذَّاءِ ، عَنْ حَرِيزٍ ، عَنْ زُرَارَةَ وَمُحَمَّدِ بْنِ مُسْلِمٍ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أَبْعَدُ مَا يَكُونُ الْعَبْدُ مِنَ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 إِذَا </w:t>
      </w:r>
      <w:r w:rsidR="006C577F" w:rsidRPr="006C577F">
        <w:rPr>
          <w:rStyle w:val="libFootnotenumChar"/>
          <w:rtl/>
        </w:rPr>
        <w:t>(5)</w:t>
      </w:r>
      <w:r w:rsidRPr="00C9040A">
        <w:rPr>
          <w:rtl/>
          <w:lang w:bidi="fa-IR"/>
        </w:rPr>
        <w:t xml:space="preserve"> لَمْ يُهِمَّهُ</w:t>
      </w:r>
      <w:r w:rsidR="006C577F" w:rsidRPr="006C577F">
        <w:rPr>
          <w:rStyle w:val="libFootnotenumChar"/>
          <w:rtl/>
        </w:rPr>
        <w:t>(6)</w:t>
      </w:r>
      <w:r w:rsidRPr="005B567D">
        <w:rPr>
          <w:rStyle w:val="libFootnotenumChar"/>
          <w:rtl/>
        </w:rPr>
        <w:t xml:space="preserve"> </w:t>
      </w:r>
      <w:r w:rsidR="006A745B">
        <w:rPr>
          <w:rtl/>
          <w:lang w:bidi="fa-IR"/>
        </w:rPr>
        <w:t>إِل</w:t>
      </w:r>
      <w:r w:rsidR="006A745B">
        <w:rPr>
          <w:rFonts w:hint="cs"/>
          <w:rtl/>
          <w:lang w:bidi="fa-IR"/>
        </w:rPr>
        <w:t>َّ</w:t>
      </w:r>
      <w:r w:rsidR="006A745B">
        <w:rPr>
          <w:rtl/>
          <w:lang w:bidi="fa-IR"/>
        </w:rPr>
        <w:t>ا</w:t>
      </w:r>
      <w:r w:rsidRPr="00C9040A">
        <w:rPr>
          <w:rtl/>
          <w:lang w:bidi="fa-IR"/>
        </w:rPr>
        <w:t xml:space="preserve"> بَطْنُهُ وَفَرْجُهُ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libNormal"/>
        <w:rPr>
          <w:rtl/>
          <w:lang w:bidi="fa-IR"/>
        </w:rPr>
      </w:pPr>
      <w:r w:rsidRPr="00385A10">
        <w:rPr>
          <w:rtl/>
        </w:rPr>
        <w:t>2600</w:t>
      </w:r>
      <w:r w:rsidRPr="00261CB0">
        <w:rPr>
          <w:rStyle w:val="libBold2Char"/>
          <w:rtl/>
        </w:rPr>
        <w:t xml:space="preserve"> / 15.</w:t>
      </w:r>
      <w:r w:rsidRPr="00C9040A">
        <w:rPr>
          <w:rtl/>
          <w:lang w:bidi="fa-IR"/>
        </w:rPr>
        <w:t xml:space="preserve"> مُحَمَّدُ بْنُ يَحْيى ، عَنْ أَحْمَدَ بْنِ مُحَمَّدٍ ، عَنِ ابْنِ مَحْبُوبٍ ، عَنْ عَبْدِ اللهِ بْنِ سِنَانٍ وَعَبْدِ الْعَزِيزِ الْعَبْدِيِّ ، عَنْ عَبْدِ اللهِ بْنِ أَبِي يَعْفُورٍ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مَنْ أَصْبَحَ وَأَمْسى </w:t>
      </w:r>
      <w:r w:rsidR="006C577F" w:rsidRPr="006C577F">
        <w:rPr>
          <w:rStyle w:val="libFootnotenumChar"/>
          <w:rtl/>
        </w:rPr>
        <w:t>(8)</w:t>
      </w:r>
      <w:r w:rsidRPr="00C9040A">
        <w:rPr>
          <w:rtl/>
          <w:lang w:bidi="fa-IR"/>
        </w:rPr>
        <w:t xml:space="preserve"> وَالدُّنْيَا أَكْبَرُ هَمِّهِ ، جَعَلَ اللهُ تَعَالَى الْفَقْرَ بَيْنَ عَيْنَيْهِ ، وَشَتَّتَ أَمْرَهُ ، وَلَ</w:t>
      </w:r>
      <w:r w:rsidR="006A745B">
        <w:rPr>
          <w:rtl/>
          <w:lang w:bidi="fa-IR"/>
        </w:rPr>
        <w:t>مْ يَنَلْ مِنَ الدُّنْيَا إِل</w:t>
      </w:r>
      <w:r w:rsidR="006A745B">
        <w:rPr>
          <w:rFonts w:hint="cs"/>
          <w:rtl/>
          <w:lang w:bidi="fa-IR"/>
        </w:rPr>
        <w:t>َّ</w:t>
      </w:r>
      <w:r w:rsidR="006A745B">
        <w:rPr>
          <w:rtl/>
          <w:lang w:bidi="fa-IR"/>
        </w:rPr>
        <w:t>ا</w:t>
      </w:r>
      <w:r w:rsidRPr="00C9040A">
        <w:rPr>
          <w:rtl/>
          <w:lang w:bidi="fa-IR"/>
        </w:rPr>
        <w:t xml:space="preserve"> مَا قُسِمَ </w:t>
      </w:r>
      <w:r w:rsidR="006C577F" w:rsidRPr="006C577F">
        <w:rPr>
          <w:rStyle w:val="libFootnotenumChar"/>
          <w:rtl/>
        </w:rPr>
        <w:t>(9)</w:t>
      </w:r>
      <w:r w:rsidRPr="00C9040A">
        <w:rPr>
          <w:rtl/>
          <w:lang w:bidi="fa-IR"/>
        </w:rPr>
        <w:t xml:space="preserve"> لَهُ ؛ وَمَنْ أَصْبَحَ وَأَمْسى وَالْآخِرَةُ أَكْبَرُ هَمِّهِ ، جَعَلَ اللهُ </w:t>
      </w:r>
      <w:r w:rsidR="006C577F" w:rsidRPr="006C577F">
        <w:rPr>
          <w:rStyle w:val="libFootnotenumChar"/>
          <w:rtl/>
        </w:rPr>
        <w:t>(10)</w:t>
      </w:r>
      <w:r w:rsidRPr="00C9040A">
        <w:rPr>
          <w:rtl/>
          <w:lang w:bidi="fa-IR"/>
        </w:rPr>
        <w:t xml:space="preserve"> الْغِنى </w:t>
      </w:r>
      <w:r w:rsidR="006C577F" w:rsidRPr="006C577F">
        <w:rPr>
          <w:rStyle w:val="libFootnotenumChar"/>
          <w:rtl/>
        </w:rPr>
        <w:t>(11)</w:t>
      </w:r>
      <w:r w:rsidRPr="00C9040A">
        <w:rPr>
          <w:rtl/>
          <w:lang w:bidi="fa-IR"/>
        </w:rPr>
        <w:t xml:space="preserve"> فِي قَلْبِهِ ، وَجَمَعَ لَهُ أَمْرَهُ </w:t>
      </w:r>
      <w:r w:rsidR="006C577F" w:rsidRPr="006C577F">
        <w:rPr>
          <w:rStyle w:val="libFootnotenumChar"/>
          <w:rtl/>
        </w:rPr>
        <w:t>(12)</w:t>
      </w:r>
      <w:r w:rsidRPr="00C9040A">
        <w:rPr>
          <w:rtl/>
          <w:lang w:bidi="fa-IR"/>
        </w:rPr>
        <w:t xml:space="preserve"> »</w:t>
      </w:r>
      <w:r>
        <w:rPr>
          <w:rtl/>
          <w:lang w:bidi="fa-IR"/>
        </w:rPr>
        <w:t>.</w:t>
      </w:r>
      <w:r w:rsidRPr="00C9040A">
        <w:rPr>
          <w:rtl/>
          <w:lang w:bidi="fa-IR"/>
        </w:rPr>
        <w:t xml:space="preserve"> </w:t>
      </w:r>
      <w:r w:rsidRPr="005B567D">
        <w:rPr>
          <w:rStyle w:val="libFootnotenumChar"/>
          <w:rtl/>
        </w:rPr>
        <w:t>(13)</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6A745B" w:rsidTr="006A745B">
        <w:tc>
          <w:tcPr>
            <w:tcW w:w="4006" w:type="dxa"/>
          </w:tcPr>
          <w:p w:rsidR="006A745B" w:rsidRDefault="006A745B" w:rsidP="004A4E41">
            <w:pPr>
              <w:pStyle w:val="libFootnote0"/>
              <w:rPr>
                <w:rtl/>
              </w:rPr>
            </w:pPr>
            <w:r>
              <w:rPr>
                <w:rtl/>
              </w:rPr>
              <w:t xml:space="preserve">(1). </w:t>
            </w:r>
            <w:r w:rsidRPr="00C9040A">
              <w:rPr>
                <w:rtl/>
              </w:rPr>
              <w:t xml:space="preserve">في « </w:t>
            </w:r>
            <w:r>
              <w:rPr>
                <w:rtl/>
              </w:rPr>
              <w:t xml:space="preserve">ه </w:t>
            </w:r>
            <w:r w:rsidRPr="00C9040A">
              <w:rPr>
                <w:rtl/>
              </w:rPr>
              <w:t>» : « ويوشكوا »</w:t>
            </w:r>
            <w:r>
              <w:rPr>
                <w:rtl/>
              </w:rPr>
              <w:t>.</w:t>
            </w:r>
          </w:p>
        </w:tc>
        <w:tc>
          <w:tcPr>
            <w:tcW w:w="4006" w:type="dxa"/>
          </w:tcPr>
          <w:p w:rsidR="006A745B" w:rsidRDefault="006A745B" w:rsidP="004A4E41">
            <w:pPr>
              <w:pStyle w:val="libFootnote0"/>
              <w:rPr>
                <w:rtl/>
              </w:rPr>
            </w:pPr>
            <w:r>
              <w:rPr>
                <w:rtl/>
              </w:rPr>
              <w:t>(2). في «ب ، د ، ص ، بس» والوافي : «</w:t>
            </w:r>
            <w:r w:rsidRPr="00C9040A">
              <w:rPr>
                <w:rtl/>
              </w:rPr>
              <w:t>أن تخرجوا »</w:t>
            </w:r>
            <w:r>
              <w:rPr>
                <w:rtl/>
              </w:rPr>
              <w:t>.</w:t>
            </w:r>
          </w:p>
        </w:tc>
      </w:tr>
    </w:tbl>
    <w:p w:rsidR="008A74EB" w:rsidRPr="00C9040A" w:rsidRDefault="006C577F" w:rsidP="004A4E41">
      <w:pPr>
        <w:pStyle w:val="libFootnote0"/>
        <w:rPr>
          <w:rtl/>
          <w:lang w:bidi="fa-IR"/>
        </w:rPr>
      </w:pPr>
      <w:r>
        <w:rPr>
          <w:rtl/>
        </w:rPr>
        <w:t>(3).</w:t>
      </w:r>
      <w:r w:rsidR="008A74EB" w:rsidRPr="00C9040A">
        <w:rPr>
          <w:rtl/>
        </w:rPr>
        <w:t xml:space="preserve"> </w:t>
      </w:r>
      <w:r w:rsidR="008A74EB" w:rsidRPr="00993B55">
        <w:rPr>
          <w:rStyle w:val="libFootnoteBoldChar"/>
          <w:rtl/>
        </w:rPr>
        <w:t>الأمالي</w:t>
      </w:r>
      <w:r w:rsidR="008A74EB" w:rsidRPr="006A745B">
        <w:rPr>
          <w:rStyle w:val="libFootnoteBoldChar"/>
          <w:rtl/>
        </w:rPr>
        <w:t xml:space="preserve"> للطوسي</w:t>
      </w:r>
      <w:r w:rsidR="008A74EB" w:rsidRPr="00C9040A">
        <w:rPr>
          <w:rtl/>
        </w:rPr>
        <w:t xml:space="preserve"> ، ص 207 ، المجلس 8 ، ح 6 ، بسند عن القاسم بن محمّد ، مع اختلاف يسير </w:t>
      </w:r>
      <w:r w:rsidR="006A745B">
        <w:rPr>
          <w:rFonts w:hint="cs"/>
          <w:rtl/>
        </w:rPr>
        <w:t>.</w:t>
      </w:r>
      <w:r w:rsidR="008A74EB" w:rsidRPr="00993B55">
        <w:rPr>
          <w:rStyle w:val="libFootnoteBoldChar"/>
          <w:rtl/>
        </w:rPr>
        <w:t>الوافي</w:t>
      </w:r>
      <w:r w:rsidR="008A74EB" w:rsidRPr="00C9040A">
        <w:rPr>
          <w:rtl/>
        </w:rPr>
        <w:t xml:space="preserve"> ، ج 5 ، ص 895 ، ح 3241 ؛ </w:t>
      </w:r>
      <w:r w:rsidR="008A74EB" w:rsidRPr="00993B55">
        <w:rPr>
          <w:rStyle w:val="libFootnoteBoldChar"/>
          <w:rtl/>
        </w:rPr>
        <w:t>البحار</w:t>
      </w:r>
      <w:r w:rsidR="008A74EB" w:rsidRPr="00C9040A">
        <w:rPr>
          <w:rtl/>
        </w:rPr>
        <w:t xml:space="preserve"> ، ج 73 ، ص 16 ، ح 5.</w:t>
      </w:r>
    </w:p>
    <w:tbl>
      <w:tblPr>
        <w:tblStyle w:val="TableGrid"/>
        <w:bidiVisual/>
        <w:tblW w:w="0" w:type="auto"/>
        <w:tblLook w:val="04A0" w:firstRow="1" w:lastRow="0" w:firstColumn="1" w:lastColumn="0" w:noHBand="0" w:noVBand="1"/>
      </w:tblPr>
      <w:tblGrid>
        <w:gridCol w:w="4006"/>
        <w:gridCol w:w="4006"/>
      </w:tblGrid>
      <w:tr w:rsidR="006A745B" w:rsidTr="006A745B">
        <w:tc>
          <w:tcPr>
            <w:tcW w:w="4006" w:type="dxa"/>
          </w:tcPr>
          <w:p w:rsidR="006A745B" w:rsidRDefault="006A745B" w:rsidP="004A4E41">
            <w:pPr>
              <w:pStyle w:val="libFootnote0"/>
              <w:rPr>
                <w:rtl/>
              </w:rPr>
            </w:pPr>
            <w:r>
              <w:rPr>
                <w:rtl/>
              </w:rPr>
              <w:t>(4).</w:t>
            </w:r>
            <w:r w:rsidRPr="00C9040A">
              <w:rPr>
                <w:rtl/>
              </w:rPr>
              <w:t xml:space="preserve"> في البحار : « عمر »</w:t>
            </w:r>
            <w:r>
              <w:rPr>
                <w:rtl/>
              </w:rPr>
              <w:t>.</w:t>
            </w:r>
          </w:p>
        </w:tc>
        <w:tc>
          <w:tcPr>
            <w:tcW w:w="4006" w:type="dxa"/>
          </w:tcPr>
          <w:p w:rsidR="006A745B" w:rsidRDefault="006A745B" w:rsidP="004A4E41">
            <w:pPr>
              <w:pStyle w:val="libFootnote0"/>
              <w:rPr>
                <w:rtl/>
              </w:rPr>
            </w:pPr>
            <w:r>
              <w:rPr>
                <w:rtl/>
              </w:rPr>
              <w:t>(5).</w:t>
            </w:r>
            <w:r w:rsidRPr="00C9040A">
              <w:rPr>
                <w:rtl/>
              </w:rPr>
              <w:t xml:space="preserve"> في « ص » : « إذ »</w:t>
            </w:r>
            <w:r>
              <w:rPr>
                <w:rtl/>
              </w:rPr>
              <w:t>.</w:t>
            </w:r>
          </w:p>
        </w:tc>
      </w:tr>
    </w:tbl>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حاشية « ب » : « لايهمّه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الوافي</w:t>
      </w:r>
      <w:r w:rsidR="008A74EB" w:rsidRPr="00C9040A">
        <w:rPr>
          <w:rtl/>
        </w:rPr>
        <w:t xml:space="preserve"> ، ج 5 ، ص 896 ، ح 3242 ؛ </w:t>
      </w:r>
      <w:r w:rsidR="008A74EB" w:rsidRPr="00993B55">
        <w:rPr>
          <w:rStyle w:val="libFootnoteBoldChar"/>
          <w:rtl/>
        </w:rPr>
        <w:t>الوسائل</w:t>
      </w:r>
      <w:r w:rsidR="008A74EB" w:rsidRPr="00C9040A">
        <w:rPr>
          <w:rtl/>
        </w:rPr>
        <w:t xml:space="preserve"> ، ج 16 ، ص 20 ، ح 20854 ؛ </w:t>
      </w:r>
      <w:r w:rsidR="008A74EB" w:rsidRPr="00993B55">
        <w:rPr>
          <w:rStyle w:val="libFootnoteBoldChar"/>
          <w:rtl/>
        </w:rPr>
        <w:t>البحار</w:t>
      </w:r>
      <w:r w:rsidR="008A74EB" w:rsidRPr="00C9040A">
        <w:rPr>
          <w:rtl/>
        </w:rPr>
        <w:t xml:space="preserve"> ، ج 73 ، ص 18 ، ح 7.</w:t>
      </w:r>
    </w:p>
    <w:p w:rsidR="008A74EB" w:rsidRPr="00C9040A" w:rsidRDefault="006C577F" w:rsidP="004A4E41">
      <w:pPr>
        <w:pStyle w:val="libFootnote0"/>
        <w:rPr>
          <w:rtl/>
          <w:lang w:bidi="fa-IR"/>
        </w:rPr>
      </w:pPr>
      <w:r>
        <w:rPr>
          <w:rtl/>
        </w:rPr>
        <w:t>(8).</w:t>
      </w:r>
      <w:r w:rsidR="008A74EB" w:rsidRPr="00C9040A">
        <w:rPr>
          <w:rtl/>
        </w:rPr>
        <w:t xml:space="preserve"> في « ز » : « أمسي وأصبح »</w:t>
      </w:r>
      <w:r w:rsidR="008A74EB">
        <w:rPr>
          <w:rtl/>
        </w:rPr>
        <w:t>.</w:t>
      </w:r>
    </w:p>
    <w:p w:rsidR="008A74EB" w:rsidRPr="00C9040A" w:rsidRDefault="006C577F" w:rsidP="006A745B">
      <w:pPr>
        <w:pStyle w:val="libFootnote0"/>
        <w:rPr>
          <w:rtl/>
          <w:lang w:bidi="fa-IR"/>
        </w:rPr>
      </w:pPr>
      <w:r>
        <w:rPr>
          <w:rtl/>
        </w:rPr>
        <w:t>(9).</w:t>
      </w:r>
      <w:r w:rsidR="008A74EB" w:rsidRPr="00C9040A">
        <w:rPr>
          <w:rtl/>
        </w:rPr>
        <w:t xml:space="preserve"> هكذا في « ب ، ج ، د ، ز ، ص ، </w:t>
      </w:r>
      <w:r w:rsidR="006D3162">
        <w:rPr>
          <w:rtl/>
        </w:rPr>
        <w:t xml:space="preserve">ه </w:t>
      </w:r>
      <w:r w:rsidR="008A74EB" w:rsidRPr="00C9040A">
        <w:rPr>
          <w:rtl/>
        </w:rPr>
        <w:t>، بر ، بس ، بف » وشرح المازندراني والوافي ومرآة العقول والبحار. وفي‌المطبوع : + « الله »</w:t>
      </w:r>
      <w:r w:rsidR="008A74EB">
        <w:rPr>
          <w:rtl/>
        </w:rPr>
        <w:t>.</w:t>
      </w:r>
      <w:r w:rsidR="006A745B">
        <w:rPr>
          <w:rFonts w:hint="cs"/>
          <w:rtl/>
        </w:rPr>
        <w:t xml:space="preserve">                   </w:t>
      </w:r>
      <w:r w:rsidR="00C822D0">
        <w:rPr>
          <w:rFonts w:hint="cs"/>
          <w:rtl/>
        </w:rPr>
        <w:t xml:space="preserve">   </w:t>
      </w:r>
      <w:r w:rsidR="006A745B">
        <w:rPr>
          <w:rFonts w:hint="cs"/>
          <w:rtl/>
        </w:rPr>
        <w:t xml:space="preserve">                </w:t>
      </w:r>
      <w:r>
        <w:rPr>
          <w:rtl/>
        </w:rPr>
        <w:t>(10).</w:t>
      </w:r>
      <w:r w:rsidR="008A74EB" w:rsidRPr="00C9040A">
        <w:rPr>
          <w:rtl/>
        </w:rPr>
        <w:t xml:space="preserve"> في « ب ، بس » : + « له »</w:t>
      </w:r>
      <w:r w:rsidR="008A74EB">
        <w:rPr>
          <w:rtl/>
        </w:rPr>
        <w:t>.</w:t>
      </w:r>
    </w:p>
    <w:tbl>
      <w:tblPr>
        <w:tblStyle w:val="TableGrid"/>
        <w:bidiVisual/>
        <w:tblW w:w="0" w:type="auto"/>
        <w:tblLook w:val="04A0" w:firstRow="1" w:lastRow="0" w:firstColumn="1" w:lastColumn="0" w:noHBand="0" w:noVBand="1"/>
      </w:tblPr>
      <w:tblGrid>
        <w:gridCol w:w="4006"/>
        <w:gridCol w:w="4006"/>
      </w:tblGrid>
      <w:tr w:rsidR="006A745B" w:rsidTr="006A745B">
        <w:tc>
          <w:tcPr>
            <w:tcW w:w="4006" w:type="dxa"/>
          </w:tcPr>
          <w:p w:rsidR="006A745B" w:rsidRDefault="006A745B" w:rsidP="004A4E41">
            <w:pPr>
              <w:pStyle w:val="libFootnote0"/>
              <w:rPr>
                <w:rtl/>
              </w:rPr>
            </w:pPr>
            <w:r>
              <w:rPr>
                <w:rtl/>
              </w:rPr>
              <w:t>(11).</w:t>
            </w:r>
            <w:r w:rsidRPr="00C9040A">
              <w:rPr>
                <w:rtl/>
              </w:rPr>
              <w:t xml:space="preserve"> في الوافي : « الغناء »</w:t>
            </w:r>
            <w:r>
              <w:rPr>
                <w:rtl/>
              </w:rPr>
              <w:t>.</w:t>
            </w:r>
          </w:p>
        </w:tc>
        <w:tc>
          <w:tcPr>
            <w:tcW w:w="4006" w:type="dxa"/>
          </w:tcPr>
          <w:p w:rsidR="006A745B" w:rsidRDefault="006A745B" w:rsidP="004A4E41">
            <w:pPr>
              <w:pStyle w:val="libFootnote0"/>
              <w:rPr>
                <w:rtl/>
              </w:rPr>
            </w:pPr>
            <w:r>
              <w:rPr>
                <w:rtl/>
              </w:rPr>
              <w:t>(12).</w:t>
            </w:r>
            <w:r w:rsidRPr="00C9040A">
              <w:rPr>
                <w:rtl/>
              </w:rPr>
              <w:t xml:space="preserve"> في « </w:t>
            </w:r>
            <w:r>
              <w:rPr>
                <w:rtl/>
              </w:rPr>
              <w:t xml:space="preserve">ه </w:t>
            </w:r>
            <w:r w:rsidRPr="00C9040A">
              <w:rPr>
                <w:rtl/>
              </w:rPr>
              <w:t>» وحاشية « بف » : « المسرّة »</w:t>
            </w:r>
            <w:r>
              <w:rPr>
                <w:rtl/>
              </w:rPr>
              <w:t>.</w:t>
            </w:r>
          </w:p>
        </w:tc>
      </w:tr>
    </w:tbl>
    <w:p w:rsidR="008A74EB" w:rsidRPr="00C9040A" w:rsidRDefault="008A74EB" w:rsidP="004A4E41">
      <w:pPr>
        <w:pStyle w:val="libFootnote0"/>
        <w:rPr>
          <w:rtl/>
          <w:lang w:bidi="fa-IR"/>
        </w:rPr>
      </w:pPr>
      <w:r>
        <w:rPr>
          <w:rtl/>
        </w:rPr>
        <w:t>(13)</w:t>
      </w:r>
      <w:r w:rsidRPr="00C9040A">
        <w:rPr>
          <w:rtl/>
        </w:rPr>
        <w:t xml:space="preserve"> </w:t>
      </w:r>
      <w:r w:rsidRPr="00993B55">
        <w:rPr>
          <w:rStyle w:val="libFootnoteBoldChar"/>
          <w:rtl/>
        </w:rPr>
        <w:t>ثواب الأعمال</w:t>
      </w:r>
      <w:r w:rsidRPr="00C9040A">
        <w:rPr>
          <w:rtl/>
        </w:rPr>
        <w:t xml:space="preserve"> ، ص 201 ، ح 1 ، بسنده عن أحمد بن محمّد ، عن الحس</w:t>
      </w:r>
      <w:r w:rsidR="006A745B">
        <w:rPr>
          <w:rtl/>
        </w:rPr>
        <w:t>ن بن محبوب ، عن عبدالله بن سنان</w:t>
      </w:r>
      <w:r w:rsidR="006A745B">
        <w:rPr>
          <w:rFonts w:hint="cs"/>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385A10">
        <w:rPr>
          <w:rStyle w:val="PageNumber"/>
          <w:rtl/>
        </w:rPr>
        <w:t>2601</w:t>
      </w:r>
      <w:r w:rsidRPr="00261CB0">
        <w:rPr>
          <w:rStyle w:val="libBold2Char"/>
          <w:rtl/>
        </w:rPr>
        <w:t xml:space="preserve"> / 16.</w:t>
      </w:r>
      <w:r w:rsidRPr="00C9040A">
        <w:rPr>
          <w:rtl/>
          <w:lang w:bidi="fa-IR"/>
        </w:rPr>
        <w:t xml:space="preserve"> عَلِيُّ بْنُ إِبْرَاهِيمَ ، عَنْ مُحَمَّدِ بْنِ عِيسى ، عَنْ يُونُسَ ، عَنِ ابْنِ سِنَانٍ ، عَنْ حَفْصِ بْنِ قُرْطٍ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مَنْ كَثُرَ </w:t>
      </w:r>
      <w:r w:rsidR="006C577F" w:rsidRPr="006C577F">
        <w:rPr>
          <w:rStyle w:val="libFootnotenumChar"/>
          <w:rtl/>
        </w:rPr>
        <w:t>(1)</w:t>
      </w:r>
      <w:r w:rsidRPr="00C9040A">
        <w:rPr>
          <w:rtl/>
          <w:lang w:bidi="fa-IR"/>
        </w:rPr>
        <w:t xml:space="preserve"> اشْتِبَاكُهُ </w:t>
      </w:r>
      <w:r w:rsidR="006C577F" w:rsidRPr="006C577F">
        <w:rPr>
          <w:rStyle w:val="libFootnotenumChar"/>
          <w:rtl/>
        </w:rPr>
        <w:t>(2)</w:t>
      </w:r>
      <w:r w:rsidRPr="00C9040A">
        <w:rPr>
          <w:rtl/>
          <w:lang w:bidi="fa-IR"/>
        </w:rPr>
        <w:t xml:space="preserve"> بِالدُّنْيَا </w:t>
      </w:r>
      <w:r w:rsidR="006C577F" w:rsidRPr="006C577F">
        <w:rPr>
          <w:rStyle w:val="libFootnotenumChar"/>
          <w:rtl/>
        </w:rPr>
        <w:t>(3)</w:t>
      </w:r>
      <w:r w:rsidRPr="00C9040A">
        <w:rPr>
          <w:rtl/>
          <w:lang w:bidi="fa-IR"/>
        </w:rPr>
        <w:t xml:space="preserve"> ، كَانَ أَشَدَّ لِحَسْرَتِهِ عِنْدَ فِرَاقِهَا »</w:t>
      </w:r>
      <w:r>
        <w:rPr>
          <w:rtl/>
          <w:lang w:bidi="fa-IR"/>
        </w:rPr>
        <w:t>.</w:t>
      </w:r>
      <w:r w:rsidRPr="00C9040A">
        <w:rPr>
          <w:rtl/>
          <w:lang w:bidi="fa-IR"/>
        </w:rPr>
        <w:t xml:space="preserve"> </w:t>
      </w:r>
      <w:r w:rsidR="006C577F" w:rsidRPr="006C577F">
        <w:rPr>
          <w:rStyle w:val="libFootnotenumChar"/>
          <w:rtl/>
        </w:rPr>
        <w:t>(4)</w:t>
      </w:r>
    </w:p>
    <w:p w:rsidR="008A74EB" w:rsidRPr="00C9040A" w:rsidRDefault="008A74EB" w:rsidP="008A74EB">
      <w:pPr>
        <w:pStyle w:val="libNormal"/>
        <w:rPr>
          <w:rtl/>
          <w:lang w:bidi="fa-IR"/>
        </w:rPr>
      </w:pPr>
      <w:r w:rsidRPr="00385A10">
        <w:rPr>
          <w:rtl/>
        </w:rPr>
        <w:t>2602</w:t>
      </w:r>
      <w:r w:rsidRPr="00261CB0">
        <w:rPr>
          <w:rStyle w:val="libBold2Char"/>
          <w:rtl/>
        </w:rPr>
        <w:t xml:space="preserve"> / 17.</w:t>
      </w:r>
      <w:r w:rsidRPr="00C9040A">
        <w:rPr>
          <w:rtl/>
          <w:lang w:bidi="fa-IR"/>
        </w:rPr>
        <w:t xml:space="preserve"> عَلِيُّ بْنُ إِبْرَاهِيمَ ، عَنْ أَبِيهِ ، عَنِ ابْنِ مَحْبُوبٍ ، عَنْ عَبْدِ الْعَزِيزِ الْعَبْدِيِّ ، عَنِ ابْنِ أَبِي يَعْفُورٍ ، قَالَ :</w:t>
      </w:r>
    </w:p>
    <w:p w:rsidR="008A74EB" w:rsidRPr="00C9040A" w:rsidRDefault="008A74EB" w:rsidP="008A74EB">
      <w:pPr>
        <w:pStyle w:val="libNormal"/>
        <w:rPr>
          <w:rtl/>
          <w:lang w:bidi="fa-IR"/>
        </w:rPr>
      </w:pPr>
      <w:r w:rsidRPr="00C9040A">
        <w:rPr>
          <w:rtl/>
          <w:lang w:bidi="fa-IR"/>
        </w:rPr>
        <w:t xml:space="preserve">سَمِعْتُ أَبَا عَبْدِ اللهِ </w:t>
      </w:r>
      <w:r w:rsidRPr="0003660B">
        <w:rPr>
          <w:rStyle w:val="libAlaemChar"/>
          <w:rtl/>
        </w:rPr>
        <w:t>عليه‌السلام</w:t>
      </w:r>
      <w:r w:rsidRPr="00C9040A">
        <w:rPr>
          <w:rtl/>
          <w:lang w:bidi="fa-IR"/>
        </w:rPr>
        <w:t xml:space="preserve"> يَقُولُ : « مَنْ تَعَلَّقَ قَلْبُهُ بِالدُّنْيَا </w:t>
      </w:r>
      <w:r w:rsidR="006C577F" w:rsidRPr="006C577F">
        <w:rPr>
          <w:rStyle w:val="libFootnotenumChar"/>
          <w:rtl/>
        </w:rPr>
        <w:t>(5)</w:t>
      </w:r>
      <w:r w:rsidRPr="00C9040A">
        <w:rPr>
          <w:rtl/>
          <w:lang w:bidi="fa-IR"/>
        </w:rPr>
        <w:t xml:space="preserve"> تَعَلَّقَ قَلْبُهُ </w:t>
      </w:r>
      <w:r w:rsidR="006C577F" w:rsidRPr="006C577F">
        <w:rPr>
          <w:rStyle w:val="libFootnotenumChar"/>
          <w:rtl/>
        </w:rPr>
        <w:t>(6)</w:t>
      </w:r>
      <w:r w:rsidRPr="005B567D">
        <w:rPr>
          <w:rStyle w:val="libFootnotenumChar"/>
          <w:rtl/>
        </w:rPr>
        <w:t xml:space="preserve"> </w:t>
      </w:r>
      <w:r w:rsidRPr="00C9040A">
        <w:rPr>
          <w:rtl/>
          <w:lang w:bidi="fa-IR"/>
        </w:rPr>
        <w:t>بِثَلَاثِ خِصَالٍ :</w:t>
      </w:r>
      <w:r>
        <w:rPr>
          <w:rFonts w:hint="cs"/>
          <w:rtl/>
          <w:lang w:bidi="fa-IR"/>
        </w:rPr>
        <w:t xml:space="preserve"> </w:t>
      </w:r>
      <w:r w:rsidRPr="00C9040A">
        <w:rPr>
          <w:rtl/>
          <w:lang w:bidi="fa-IR"/>
        </w:rPr>
        <w:t xml:space="preserve">هَمٍّ لَايَفْنى </w:t>
      </w:r>
      <w:r w:rsidR="006C577F" w:rsidRPr="006C577F">
        <w:rPr>
          <w:rStyle w:val="libFootnotenumChar"/>
          <w:rtl/>
        </w:rPr>
        <w:t>(7)</w:t>
      </w:r>
      <w:r w:rsidRPr="00C9040A">
        <w:rPr>
          <w:rtl/>
          <w:lang w:bidi="fa-IR"/>
        </w:rPr>
        <w:t xml:space="preserve"> ، وَأَمَلٍ لَايُدْرَكُ ، وَرَجَاءٍ لَايُنَالُ »</w:t>
      </w:r>
      <w:r>
        <w:rPr>
          <w:rtl/>
          <w:lang w:bidi="fa-IR"/>
        </w:rPr>
        <w:t>.</w:t>
      </w:r>
      <w:r w:rsidRPr="00C9040A">
        <w:rPr>
          <w:rtl/>
          <w:lang w:bidi="fa-IR"/>
        </w:rPr>
        <w:t xml:space="preserve"> </w:t>
      </w:r>
      <w:r w:rsidR="006C577F" w:rsidRPr="006C577F">
        <w:rPr>
          <w:rStyle w:val="libFootnotenumChar"/>
          <w:rtl/>
        </w:rPr>
        <w:t>(8)</w:t>
      </w:r>
    </w:p>
    <w:p w:rsidR="008A74EB" w:rsidRPr="00C9040A" w:rsidRDefault="008A74EB" w:rsidP="008A74EB">
      <w:pPr>
        <w:pStyle w:val="libLine"/>
        <w:rPr>
          <w:rtl/>
          <w:lang w:bidi="fa-IR"/>
        </w:rPr>
      </w:pPr>
      <w:r w:rsidRPr="00C9040A">
        <w:rPr>
          <w:rtl/>
          <w:lang w:bidi="fa-IR"/>
        </w:rPr>
        <w:t>__________________</w:t>
      </w:r>
    </w:p>
    <w:p w:rsidR="008A74EB" w:rsidRPr="00C9040A" w:rsidRDefault="006A745B" w:rsidP="004A4E41">
      <w:pPr>
        <w:pStyle w:val="libFootnote0"/>
        <w:rPr>
          <w:rtl/>
          <w:lang w:bidi="fa-IR"/>
        </w:rPr>
      </w:pPr>
      <w:r>
        <w:rPr>
          <w:rFonts w:hint="cs"/>
          <w:rtl/>
        </w:rPr>
        <w:t xml:space="preserve">= </w:t>
      </w:r>
      <w:r w:rsidR="008A74EB" w:rsidRPr="00C9040A">
        <w:rPr>
          <w:rtl/>
        </w:rPr>
        <w:t xml:space="preserve">وعبدالعزيز بن أبي يعفور ، عن أبي عبدالله </w:t>
      </w:r>
      <w:r w:rsidR="00117575" w:rsidRPr="00117575">
        <w:rPr>
          <w:rStyle w:val="libFootnoteAlaemChar"/>
          <w:rtl/>
        </w:rPr>
        <w:t xml:space="preserve">عليه‌السلام </w:t>
      </w:r>
      <w:r w:rsidR="008A74EB" w:rsidRPr="00C9040A">
        <w:rPr>
          <w:rtl/>
        </w:rPr>
        <w:t xml:space="preserve">عن رسول الله </w:t>
      </w:r>
      <w:r w:rsidR="004A4E41" w:rsidRPr="006A745B">
        <w:rPr>
          <w:rStyle w:val="libFootnoteAlaemChar"/>
          <w:rtl/>
        </w:rPr>
        <w:t>صلى‌الله‌عليه‌وآله</w:t>
      </w:r>
      <w:r w:rsidR="008A74EB" w:rsidRPr="00C9040A">
        <w:rPr>
          <w:rtl/>
        </w:rPr>
        <w:t xml:space="preserve">. </w:t>
      </w:r>
      <w:r w:rsidR="008A74EB" w:rsidRPr="00993B55">
        <w:rPr>
          <w:rStyle w:val="libFootnoteBoldChar"/>
          <w:rtl/>
        </w:rPr>
        <w:t>الزهد</w:t>
      </w:r>
      <w:r w:rsidR="008A74EB" w:rsidRPr="00C9040A">
        <w:rPr>
          <w:rtl/>
        </w:rPr>
        <w:t xml:space="preserve"> ، ص 117 ، ح 135 ، بسند آخر. </w:t>
      </w:r>
      <w:r w:rsidR="008A74EB" w:rsidRPr="00993B55">
        <w:rPr>
          <w:rStyle w:val="libFootnoteBoldChar"/>
          <w:rtl/>
        </w:rPr>
        <w:t>تحف العقول</w:t>
      </w:r>
      <w:r w:rsidR="008A74EB" w:rsidRPr="00C9040A">
        <w:rPr>
          <w:rtl/>
        </w:rPr>
        <w:t xml:space="preserve"> ، ص 48 ، عن النبيّ </w:t>
      </w:r>
      <w:r w:rsidR="004A4E41" w:rsidRPr="006A745B">
        <w:rPr>
          <w:rStyle w:val="libFootnoteAlaemChar"/>
          <w:rtl/>
        </w:rPr>
        <w:t>صلى‌الله‌عليه‌وآله</w:t>
      </w:r>
      <w:r w:rsidR="008A74EB" w:rsidRPr="00C9040A">
        <w:rPr>
          <w:rtl/>
        </w:rPr>
        <w:t xml:space="preserve"> ، وفي كلّها مع اختلاف يسير </w:t>
      </w:r>
      <w:r>
        <w:rPr>
          <w:rFonts w:hint="cs"/>
          <w:rtl/>
        </w:rPr>
        <w:t>.</w:t>
      </w:r>
      <w:r w:rsidR="008A74EB" w:rsidRPr="00993B55">
        <w:rPr>
          <w:rStyle w:val="libFootnoteBoldChar"/>
          <w:rtl/>
        </w:rPr>
        <w:t>الوافي</w:t>
      </w:r>
      <w:r w:rsidR="008A74EB" w:rsidRPr="00C9040A">
        <w:rPr>
          <w:rtl/>
        </w:rPr>
        <w:t xml:space="preserve"> ، ج 5 ، ص 896 ، ح 3244 ؛ </w:t>
      </w:r>
      <w:r w:rsidR="008A74EB" w:rsidRPr="00993B55">
        <w:rPr>
          <w:rStyle w:val="libFootnoteBoldChar"/>
          <w:rtl/>
        </w:rPr>
        <w:t>البحار</w:t>
      </w:r>
      <w:r w:rsidR="008A74EB" w:rsidRPr="00C9040A">
        <w:rPr>
          <w:rtl/>
        </w:rPr>
        <w:t xml:space="preserve"> ، ج 73 ، ص 17 ، ح 6.</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ب » : « أكثر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 xml:space="preserve">في « </w:t>
      </w:r>
      <w:r w:rsidR="006D3162">
        <w:rPr>
          <w:rtl/>
        </w:rPr>
        <w:t xml:space="preserve">ه </w:t>
      </w:r>
      <w:r w:rsidR="008A74EB" w:rsidRPr="00C9040A">
        <w:rPr>
          <w:rtl/>
        </w:rPr>
        <w:t>» : « استيكاله »</w:t>
      </w:r>
      <w:r w:rsidR="008A74EB">
        <w:rPr>
          <w:rtl/>
        </w:rPr>
        <w:t>.</w:t>
      </w:r>
      <w:r w:rsidR="008A74EB" w:rsidRPr="00C9040A">
        <w:rPr>
          <w:rtl/>
        </w:rPr>
        <w:t xml:space="preserve"> وفي « بر ، بف » : « اشتكاله »</w:t>
      </w:r>
      <w:r w:rsidR="008A74EB">
        <w:rPr>
          <w:rtl/>
        </w:rPr>
        <w:t>.</w:t>
      </w:r>
      <w:r w:rsidR="008A74EB" w:rsidRPr="00C9040A">
        <w:rPr>
          <w:rtl/>
        </w:rPr>
        <w:t xml:space="preserve"> </w:t>
      </w:r>
      <w:r w:rsidR="008A74EB">
        <w:rPr>
          <w:rtl/>
        </w:rPr>
        <w:t>و «</w:t>
      </w:r>
      <w:r w:rsidR="008A74EB" w:rsidRPr="00C9040A">
        <w:rPr>
          <w:rtl/>
        </w:rPr>
        <w:t xml:space="preserve"> الاشتكال » : الالتباس. واشتبك الظلام : اختلط. واشتبكت النجوم : إذا تداخلت واتّصل بعضها ببعض. </w:t>
      </w:r>
      <w:r w:rsidR="008A74EB" w:rsidRPr="00993B55">
        <w:rPr>
          <w:rStyle w:val="libFootnoteBoldChar"/>
          <w:rtl/>
        </w:rPr>
        <w:t>ترتيب كتاب العين</w:t>
      </w:r>
      <w:r w:rsidR="008A74EB" w:rsidRPr="00C9040A">
        <w:rPr>
          <w:rtl/>
        </w:rPr>
        <w:t xml:space="preserve"> ، ج 2 ، ص 885 ( شبك )</w:t>
      </w:r>
      <w:r w:rsidR="008A74EB">
        <w:rPr>
          <w:rtl/>
        </w:rPr>
        <w:t>.</w:t>
      </w:r>
      <w:r w:rsidR="008A74EB" w:rsidRPr="00C9040A">
        <w:rPr>
          <w:rtl/>
        </w:rPr>
        <w:t xml:space="preserve"> وهو هنا كناية عن كثرة تعلّق القلب بالدنيا والاشتغال بها. راجع : </w:t>
      </w:r>
      <w:r w:rsidR="008A74EB" w:rsidRPr="00993B55">
        <w:rPr>
          <w:rStyle w:val="libFootnoteBoldChar"/>
          <w:rtl/>
        </w:rPr>
        <w:t>مرآة العقول</w:t>
      </w:r>
      <w:r w:rsidR="008A74EB" w:rsidRPr="00C9040A">
        <w:rPr>
          <w:rtl/>
        </w:rPr>
        <w:t xml:space="preserve"> ، ج 10 ، ص 245.</w:t>
      </w:r>
    </w:p>
    <w:p w:rsidR="008A74EB" w:rsidRPr="00C9040A" w:rsidRDefault="006C577F" w:rsidP="004A4E41">
      <w:pPr>
        <w:pStyle w:val="libFootnote0"/>
        <w:rPr>
          <w:rtl/>
          <w:lang w:bidi="fa-IR"/>
        </w:rPr>
      </w:pPr>
      <w:r>
        <w:rPr>
          <w:rtl/>
        </w:rPr>
        <w:t>(3).</w:t>
      </w:r>
      <w:r w:rsidR="008A74EB" w:rsidRPr="00C9040A">
        <w:rPr>
          <w:rtl/>
        </w:rPr>
        <w:t xml:space="preserve"> في « ص » والوسائل : « في الدنيا »</w:t>
      </w:r>
      <w:r w:rsidR="008A74EB">
        <w:rPr>
          <w:rtl/>
        </w:rPr>
        <w:t>.</w:t>
      </w:r>
      <w:r w:rsidR="008A74EB" w:rsidRPr="00C9040A">
        <w:rPr>
          <w:rtl/>
        </w:rPr>
        <w:t xml:space="preserve"> وفي « </w:t>
      </w:r>
      <w:r w:rsidR="006D3162">
        <w:rPr>
          <w:rtl/>
        </w:rPr>
        <w:t xml:space="preserve">ه </w:t>
      </w:r>
      <w:r w:rsidR="008A74EB" w:rsidRPr="00C9040A">
        <w:rPr>
          <w:rtl/>
        </w:rPr>
        <w:t>» : « للدنيا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w:t>
      </w:r>
      <w:r w:rsidR="008A74EB" w:rsidRPr="00993B55">
        <w:rPr>
          <w:rStyle w:val="libFootnoteBoldChar"/>
          <w:rtl/>
        </w:rPr>
        <w:t>الفقيه</w:t>
      </w:r>
      <w:r w:rsidR="008A74EB" w:rsidRPr="00C9040A">
        <w:rPr>
          <w:rtl/>
        </w:rPr>
        <w:t xml:space="preserve"> ، ج 4 ، ص 381 ، ح 5833 ؛ </w:t>
      </w:r>
      <w:r w:rsidR="008A74EB" w:rsidRPr="0034021D">
        <w:rPr>
          <w:rStyle w:val="libFootnoteBoldChar"/>
          <w:rtl/>
        </w:rPr>
        <w:t>الأمالي للصدوق</w:t>
      </w:r>
      <w:r w:rsidR="008A74EB" w:rsidRPr="00C9040A">
        <w:rPr>
          <w:rtl/>
        </w:rPr>
        <w:t xml:space="preserve"> ، ص 393 ، المجلس 62 ، ح 4 ؛ </w:t>
      </w:r>
      <w:r w:rsidR="008A74EB" w:rsidRPr="00993B55">
        <w:rPr>
          <w:rStyle w:val="libFootnoteBoldChar"/>
          <w:rtl/>
        </w:rPr>
        <w:t>معاني الأخبار</w:t>
      </w:r>
      <w:r w:rsidR="008A74EB" w:rsidRPr="00C9040A">
        <w:rPr>
          <w:rtl/>
        </w:rPr>
        <w:t xml:space="preserve"> ، ص 197 ، ح 4 ؛ </w:t>
      </w:r>
      <w:r w:rsidR="008A74EB" w:rsidRPr="00993B55">
        <w:rPr>
          <w:rStyle w:val="libFootnoteBoldChar"/>
          <w:rtl/>
        </w:rPr>
        <w:t>الأمالي</w:t>
      </w:r>
      <w:r w:rsidR="008A74EB" w:rsidRPr="006A745B">
        <w:rPr>
          <w:rStyle w:val="libFootnoteBoldChar"/>
          <w:rtl/>
        </w:rPr>
        <w:t xml:space="preserve"> للطوسي</w:t>
      </w:r>
      <w:r w:rsidR="008A74EB" w:rsidRPr="00C9040A">
        <w:rPr>
          <w:rtl/>
        </w:rPr>
        <w:t xml:space="preserve"> ، ص 434 ، المجلس 15 ، ح 31 ، وفي كلّها ضمن الحديث الطويل ، بسند آخر عن موسى بن جعفر ، عن آبائه ، عن أميرالمؤمنين </w:t>
      </w:r>
      <w:r w:rsidR="00117575" w:rsidRPr="00117575">
        <w:rPr>
          <w:rStyle w:val="libFootnoteAlaemChar"/>
          <w:rtl/>
        </w:rPr>
        <w:t>عليهم‌السلام</w:t>
      </w:r>
      <w:r w:rsidR="008A74EB" w:rsidRPr="00C9040A">
        <w:rPr>
          <w:rtl/>
        </w:rPr>
        <w:t xml:space="preserve"> ، مع اختلاف يسير </w:t>
      </w:r>
      <w:r w:rsidR="006A745B">
        <w:rPr>
          <w:rFonts w:hint="cs"/>
          <w:rtl/>
        </w:rPr>
        <w:t>.</w:t>
      </w:r>
      <w:r w:rsidR="008A74EB" w:rsidRPr="00993B55">
        <w:rPr>
          <w:rStyle w:val="libFootnoteBoldChar"/>
          <w:rtl/>
        </w:rPr>
        <w:t>الوافي</w:t>
      </w:r>
      <w:r w:rsidR="008A74EB" w:rsidRPr="00C9040A">
        <w:rPr>
          <w:rtl/>
        </w:rPr>
        <w:t xml:space="preserve"> ، ج 5 ، ص 897 ، ح 3245 ؛ </w:t>
      </w:r>
      <w:r w:rsidR="008A74EB" w:rsidRPr="00993B55">
        <w:rPr>
          <w:rStyle w:val="libFootnoteBoldChar"/>
          <w:rtl/>
        </w:rPr>
        <w:t>الوسائل</w:t>
      </w:r>
      <w:r w:rsidR="008A74EB" w:rsidRPr="00C9040A">
        <w:rPr>
          <w:rtl/>
        </w:rPr>
        <w:t xml:space="preserve"> ، ج 16 ، ص 20 ، ح 20855 ؛ </w:t>
      </w:r>
      <w:r w:rsidR="008A74EB" w:rsidRPr="00993B55">
        <w:rPr>
          <w:rStyle w:val="libFootnoteBoldChar"/>
          <w:rtl/>
        </w:rPr>
        <w:t>البحار</w:t>
      </w:r>
      <w:r w:rsidR="008A74EB" w:rsidRPr="00C9040A">
        <w:rPr>
          <w:rtl/>
        </w:rPr>
        <w:t xml:space="preserve"> ، ج 73 ، ص 19 ، ح 8.</w:t>
      </w:r>
    </w:p>
    <w:tbl>
      <w:tblPr>
        <w:tblStyle w:val="TableGrid"/>
        <w:bidiVisual/>
        <w:tblW w:w="0" w:type="auto"/>
        <w:tblLook w:val="04A0" w:firstRow="1" w:lastRow="0" w:firstColumn="1" w:lastColumn="0" w:noHBand="0" w:noVBand="1"/>
      </w:tblPr>
      <w:tblGrid>
        <w:gridCol w:w="4006"/>
        <w:gridCol w:w="4006"/>
      </w:tblGrid>
      <w:tr w:rsidR="006A745B" w:rsidTr="006A745B">
        <w:tc>
          <w:tcPr>
            <w:tcW w:w="4006" w:type="dxa"/>
          </w:tcPr>
          <w:p w:rsidR="006A745B" w:rsidRDefault="006A745B" w:rsidP="004A4E41">
            <w:pPr>
              <w:pStyle w:val="libFootnote0"/>
              <w:rPr>
                <w:rtl/>
              </w:rPr>
            </w:pPr>
            <w:r>
              <w:rPr>
                <w:rtl/>
              </w:rPr>
              <w:t>(5).</w:t>
            </w:r>
            <w:r w:rsidRPr="00C9040A">
              <w:rPr>
                <w:rtl/>
              </w:rPr>
              <w:t xml:space="preserve"> في حاشية « ص » : « في الدنيا »</w:t>
            </w:r>
            <w:r>
              <w:rPr>
                <w:rtl/>
              </w:rPr>
              <w:t>.</w:t>
            </w:r>
          </w:p>
        </w:tc>
        <w:tc>
          <w:tcPr>
            <w:tcW w:w="4006" w:type="dxa"/>
          </w:tcPr>
          <w:p w:rsidR="006A745B" w:rsidRDefault="006A745B" w:rsidP="004A4E41">
            <w:pPr>
              <w:pStyle w:val="libFootnote0"/>
              <w:rPr>
                <w:rtl/>
              </w:rPr>
            </w:pPr>
            <w:r>
              <w:rPr>
                <w:rtl/>
              </w:rPr>
              <w:t xml:space="preserve">(6). </w:t>
            </w:r>
            <w:r w:rsidRPr="00C9040A">
              <w:rPr>
                <w:rtl/>
              </w:rPr>
              <w:t>في الخصال : « منها » بدل « قلبه »</w:t>
            </w:r>
            <w:r>
              <w:rPr>
                <w:rtl/>
              </w:rPr>
              <w:t>.</w:t>
            </w:r>
          </w:p>
        </w:tc>
      </w:tr>
    </w:tbl>
    <w:p w:rsidR="008A74EB" w:rsidRPr="00C9040A" w:rsidRDefault="006C577F" w:rsidP="004A4E41">
      <w:pPr>
        <w:pStyle w:val="libFootnote0"/>
        <w:rPr>
          <w:rtl/>
          <w:lang w:bidi="fa-IR"/>
        </w:rPr>
      </w:pPr>
      <w:r>
        <w:rPr>
          <w:rtl/>
        </w:rPr>
        <w:t>(7).</w:t>
      </w:r>
      <w:r w:rsidR="008A74EB" w:rsidRPr="00C9040A">
        <w:rPr>
          <w:rtl/>
        </w:rPr>
        <w:t xml:space="preserve"> في البحار : « لايغنى » وفي </w:t>
      </w:r>
      <w:r w:rsidR="008A74EB" w:rsidRPr="00993B55">
        <w:rPr>
          <w:rStyle w:val="libFootnoteBoldChar"/>
          <w:rtl/>
        </w:rPr>
        <w:t>شرح المازندراني</w:t>
      </w:r>
      <w:r w:rsidR="008A74EB" w:rsidRPr="00C9040A">
        <w:rPr>
          <w:rtl/>
        </w:rPr>
        <w:t xml:space="preserve"> ، ج 9 ، ص 332 : « لايغنى ، بالغين ، أي لاينفع. أو بالفاء ، أي لايزول ؛ لبقائه بعد الموت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w:t>
      </w:r>
      <w:r w:rsidR="008A74EB" w:rsidRPr="00993B55">
        <w:rPr>
          <w:rStyle w:val="libFootnoteBoldChar"/>
          <w:rtl/>
        </w:rPr>
        <w:t>الخصال</w:t>
      </w:r>
      <w:r w:rsidR="008A74EB" w:rsidRPr="00C9040A">
        <w:rPr>
          <w:rtl/>
        </w:rPr>
        <w:t xml:space="preserve"> ، ص 88 ، باب الثلاثة ، ح 22 ، بسنده عن عبدالعزيز العبدي. </w:t>
      </w:r>
      <w:r w:rsidR="008A74EB" w:rsidRPr="00993B55">
        <w:rPr>
          <w:rStyle w:val="libFootnoteBoldChar"/>
          <w:rtl/>
        </w:rPr>
        <w:t>تحف العقول</w:t>
      </w:r>
      <w:r w:rsidR="008A74EB" w:rsidRPr="00C9040A">
        <w:rPr>
          <w:rtl/>
        </w:rPr>
        <w:t xml:space="preserve"> ، ص 367 ؛ </w:t>
      </w:r>
      <w:r w:rsidR="008A74EB" w:rsidRPr="00993B55">
        <w:rPr>
          <w:rStyle w:val="libFootnoteBoldChar"/>
          <w:rtl/>
        </w:rPr>
        <w:t>نهج البلاغة</w:t>
      </w:r>
      <w:r w:rsidR="008A74EB" w:rsidRPr="00C9040A">
        <w:rPr>
          <w:rtl/>
        </w:rPr>
        <w:t xml:space="preserve"> ، ص 508 ، ذيل الحكمة 228 ؛ </w:t>
      </w:r>
      <w:r w:rsidR="008A74EB" w:rsidRPr="00993B55">
        <w:rPr>
          <w:rStyle w:val="libFootnoteBoldChar"/>
          <w:rtl/>
        </w:rPr>
        <w:t>خصائص الأئمّة</w:t>
      </w:r>
      <w:r w:rsidR="008A74EB" w:rsidRPr="00C9040A">
        <w:rPr>
          <w:rtl/>
        </w:rPr>
        <w:t xml:space="preserve"> </w:t>
      </w:r>
      <w:r w:rsidR="00117575" w:rsidRPr="00117575">
        <w:rPr>
          <w:rStyle w:val="libFootnoteAlaemChar"/>
          <w:rtl/>
        </w:rPr>
        <w:t>عليهم‌السلام</w:t>
      </w:r>
      <w:r w:rsidR="008A74EB" w:rsidRPr="00C9040A">
        <w:rPr>
          <w:rtl/>
        </w:rPr>
        <w:t xml:space="preserve"> ، ص 103 ، مرسلاً عن أميرالمؤمنين </w:t>
      </w:r>
      <w:r w:rsidR="00117575" w:rsidRPr="00117575">
        <w:rPr>
          <w:rStyle w:val="libFootnoteAlaemChar"/>
          <w:rtl/>
        </w:rPr>
        <w:t>عليه‌السلام</w:t>
      </w:r>
      <w:r w:rsidR="008A74EB" w:rsidRPr="00C9040A">
        <w:rPr>
          <w:rtl/>
        </w:rPr>
        <w:t xml:space="preserve"> ، وفي الثلاثة الأخيرة مع اختلاف يسير </w:t>
      </w:r>
      <w:r w:rsidR="006A745B">
        <w:rPr>
          <w:rFonts w:hint="cs"/>
          <w:rtl/>
        </w:rPr>
        <w:t>.</w:t>
      </w:r>
      <w:r w:rsidR="008A74EB" w:rsidRPr="00993B55">
        <w:rPr>
          <w:rStyle w:val="libFootnoteBoldChar"/>
          <w:rtl/>
        </w:rPr>
        <w:t>الوافي</w:t>
      </w:r>
      <w:r w:rsidR="008A74EB" w:rsidRPr="00C9040A">
        <w:rPr>
          <w:rtl/>
        </w:rPr>
        <w:t xml:space="preserve"> ، ج 5 ، ص 897 ، ح 3246 ؛ </w:t>
      </w:r>
      <w:r w:rsidR="008A74EB" w:rsidRPr="00993B55">
        <w:rPr>
          <w:rStyle w:val="libFootnoteBoldChar"/>
          <w:rtl/>
        </w:rPr>
        <w:t>البحار</w:t>
      </w:r>
      <w:r w:rsidR="008A74EB" w:rsidRPr="00C9040A">
        <w:rPr>
          <w:rtl/>
        </w:rPr>
        <w:t xml:space="preserve"> ، ج 73 ، ص 24 ، ح 16.</w:t>
      </w:r>
    </w:p>
    <w:p w:rsidR="004B7F34" w:rsidRDefault="004B7F34" w:rsidP="004B7F34">
      <w:pPr>
        <w:pStyle w:val="libNormal"/>
        <w:rPr>
          <w:rtl/>
          <w:lang w:bidi="fa-IR"/>
        </w:rPr>
      </w:pPr>
      <w:r>
        <w:rPr>
          <w:rtl/>
          <w:lang w:bidi="fa-IR"/>
        </w:rPr>
        <w:br w:type="page"/>
      </w:r>
    </w:p>
    <w:p w:rsidR="008A74EB" w:rsidRPr="00C9040A" w:rsidRDefault="008A74EB" w:rsidP="008A74EB">
      <w:pPr>
        <w:pStyle w:val="Heading2Center"/>
        <w:rPr>
          <w:rtl/>
          <w:lang w:bidi="fa-IR"/>
        </w:rPr>
      </w:pPr>
      <w:bookmarkStart w:id="391" w:name="_Toc343795718"/>
      <w:bookmarkStart w:id="392" w:name="_Toc459810842"/>
      <w:bookmarkStart w:id="393" w:name="_Toc35348748"/>
      <w:r w:rsidRPr="00C9040A">
        <w:rPr>
          <w:rtl/>
          <w:lang w:bidi="fa-IR"/>
        </w:rPr>
        <w:t>127</w:t>
      </w:r>
      <w:r>
        <w:rPr>
          <w:rtl/>
          <w:lang w:bidi="fa-IR"/>
        </w:rPr>
        <w:t xml:space="preserve"> </w:t>
      </w:r>
      <w:r w:rsidR="0084262C">
        <w:rPr>
          <w:rtl/>
          <w:lang w:bidi="fa-IR"/>
        </w:rPr>
        <w:t>-</w:t>
      </w:r>
      <w:r>
        <w:rPr>
          <w:rtl/>
          <w:lang w:bidi="fa-IR"/>
        </w:rPr>
        <w:t xml:space="preserve"> </w:t>
      </w:r>
      <w:r w:rsidRPr="00C9040A">
        <w:rPr>
          <w:rtl/>
          <w:lang w:bidi="fa-IR"/>
        </w:rPr>
        <w:t>بَابُ الطَّمَعِ‌</w:t>
      </w:r>
      <w:bookmarkEnd w:id="391"/>
      <w:bookmarkEnd w:id="392"/>
      <w:bookmarkEnd w:id="393"/>
    </w:p>
    <w:p w:rsidR="008A74EB" w:rsidRPr="00C9040A" w:rsidRDefault="008A74EB" w:rsidP="008A74EB">
      <w:pPr>
        <w:pStyle w:val="libNormal"/>
        <w:rPr>
          <w:rtl/>
          <w:lang w:bidi="fa-IR"/>
        </w:rPr>
      </w:pPr>
      <w:r w:rsidRPr="00385A10">
        <w:rPr>
          <w:rtl/>
        </w:rPr>
        <w:t>2603</w:t>
      </w:r>
      <w:r w:rsidRPr="00261CB0">
        <w:rPr>
          <w:rStyle w:val="libBold2Char"/>
          <w:rtl/>
        </w:rPr>
        <w:t xml:space="preserve"> / 1.</w:t>
      </w:r>
      <w:r w:rsidRPr="00C9040A">
        <w:rPr>
          <w:rtl/>
          <w:lang w:bidi="fa-IR"/>
        </w:rPr>
        <w:t xml:space="preserve"> عِدَّةٌ مِنْ أَصْحَابِنَا ، عَنْ أَحْمَدَ بْنِ مُحَمَّدِ بْنِ خَالِدٍ ، عَنْ عَلِيِّ بْنِ حَسَّانَ ، عَمَّنْ حَدَّثَهُ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مَا أَقْبَحَ بِالْمُؤْمِنِ أَنْ تَكُونَ </w:t>
      </w:r>
      <w:r w:rsidR="006C577F" w:rsidRPr="006C577F">
        <w:rPr>
          <w:rStyle w:val="libFootnotenumChar"/>
          <w:rtl/>
        </w:rPr>
        <w:t>(1)</w:t>
      </w:r>
      <w:r w:rsidRPr="00C9040A">
        <w:rPr>
          <w:rtl/>
          <w:lang w:bidi="fa-IR"/>
        </w:rPr>
        <w:t xml:space="preserve"> لَهُ رَغْبَةٌ تُذِلُّهُ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385A10">
        <w:rPr>
          <w:rtl/>
        </w:rPr>
        <w:t>2604</w:t>
      </w:r>
      <w:r w:rsidRPr="00261CB0">
        <w:rPr>
          <w:rStyle w:val="libBold2Char"/>
          <w:rtl/>
        </w:rPr>
        <w:t xml:space="preserve"> / 2.</w:t>
      </w:r>
      <w:r w:rsidRPr="00C9040A">
        <w:rPr>
          <w:rtl/>
          <w:lang w:bidi="fa-IR"/>
        </w:rPr>
        <w:t xml:space="preserve"> عَنْهُ </w:t>
      </w:r>
      <w:r w:rsidR="006C577F" w:rsidRPr="006C577F">
        <w:rPr>
          <w:rStyle w:val="libFootnotenumChar"/>
          <w:rtl/>
        </w:rPr>
        <w:t>(3)</w:t>
      </w:r>
      <w:r w:rsidRPr="00C9040A">
        <w:rPr>
          <w:rtl/>
          <w:lang w:bidi="fa-IR"/>
        </w:rPr>
        <w:t xml:space="preserve"> ، عَنْ أَبِيهِ :</w:t>
      </w:r>
    </w:p>
    <w:p w:rsidR="008A74EB" w:rsidRPr="00C9040A" w:rsidRDefault="008A74EB" w:rsidP="008A74EB">
      <w:pPr>
        <w:pStyle w:val="libNormal"/>
        <w:rPr>
          <w:rtl/>
          <w:lang w:bidi="fa-IR"/>
        </w:rPr>
      </w:pPr>
      <w:r w:rsidRPr="00C9040A">
        <w:rPr>
          <w:rtl/>
          <w:lang w:bidi="fa-IR"/>
        </w:rPr>
        <w:t xml:space="preserve">عَمَّنْ ذَكَرَهُ بَلَغَ بِهِ أَبَا جَعْفَرٍ </w:t>
      </w:r>
      <w:r w:rsidRPr="0003660B">
        <w:rPr>
          <w:rStyle w:val="libAlaemChar"/>
          <w:rtl/>
        </w:rPr>
        <w:t>عليه‌السلام</w:t>
      </w:r>
      <w:r w:rsidRPr="00C9040A">
        <w:rPr>
          <w:rtl/>
          <w:lang w:bidi="fa-IR"/>
        </w:rPr>
        <w:t xml:space="preserve"> ، قَالَ : « بِئْسَ الْعَبْدُ عَبْدٌ </w:t>
      </w:r>
      <w:r w:rsidR="006C577F" w:rsidRPr="006C577F">
        <w:rPr>
          <w:rStyle w:val="libFootnotenumChar"/>
          <w:rtl/>
        </w:rPr>
        <w:t>(4)</w:t>
      </w:r>
      <w:r w:rsidRPr="00C9040A">
        <w:rPr>
          <w:rtl/>
          <w:lang w:bidi="fa-IR"/>
        </w:rPr>
        <w:t xml:space="preserve"> لَهُ طَمَعٌ يَقُودُهُ ، وَبِئْسَ الْعَبْدُ عَبْدٌ لَهُ رَغْبَةٌ تُذِلُّهُ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385A10">
        <w:rPr>
          <w:rtl/>
        </w:rPr>
        <w:t>2605</w:t>
      </w:r>
      <w:r w:rsidRPr="00261CB0">
        <w:rPr>
          <w:rStyle w:val="libBold2Char"/>
          <w:rtl/>
        </w:rPr>
        <w:t xml:space="preserve"> / 3.</w:t>
      </w:r>
      <w:r w:rsidRPr="00C9040A">
        <w:rPr>
          <w:rtl/>
          <w:lang w:bidi="fa-IR"/>
        </w:rPr>
        <w:t xml:space="preserve"> عَلِيُّ بْنُ إِبْرَاهِيمَ ، عَنْ أَبِيهِ </w:t>
      </w:r>
      <w:r w:rsidR="006C577F" w:rsidRPr="006C577F">
        <w:rPr>
          <w:rStyle w:val="libFootnotenumChar"/>
          <w:rtl/>
        </w:rPr>
        <w:t>(6)</w:t>
      </w:r>
      <w:r w:rsidRPr="005B567D">
        <w:rPr>
          <w:rStyle w:val="libFootnotenumChar"/>
          <w:rtl/>
        </w:rPr>
        <w:t xml:space="preserve"> </w:t>
      </w:r>
      <w:r w:rsidRPr="00C9040A">
        <w:rPr>
          <w:rtl/>
          <w:lang w:bidi="fa-IR"/>
        </w:rPr>
        <w:t>، عَنِ الْقَاسِمِ بْنِ مُحَمَّدٍ ، عَنِ الْمِنْقَرِيِّ ، عَنْ عَبْدِ الرَّزَّاقِ ، عَنْ مَعْمَرٍ ، عَنِ الزُّهْرِيِّ ، قَالَ :</w:t>
      </w:r>
    </w:p>
    <w:p w:rsidR="008A74EB" w:rsidRPr="00C9040A" w:rsidRDefault="008A74EB" w:rsidP="008A74EB">
      <w:pPr>
        <w:pStyle w:val="libNormal"/>
        <w:rPr>
          <w:rtl/>
          <w:lang w:bidi="fa-IR"/>
        </w:rPr>
      </w:pPr>
      <w:r w:rsidRPr="00C9040A">
        <w:rPr>
          <w:rtl/>
          <w:lang w:bidi="fa-IR"/>
        </w:rPr>
        <w:t xml:space="preserve">قَالَ عَلِيُّ بْنُ الْحُسَيْنِ </w:t>
      </w:r>
      <w:r w:rsidRPr="0003660B">
        <w:rPr>
          <w:rStyle w:val="libAlaemChar"/>
          <w:rtl/>
        </w:rPr>
        <w:t>عليهما‌السلام</w:t>
      </w:r>
      <w:r w:rsidRPr="00C9040A">
        <w:rPr>
          <w:rtl/>
          <w:lang w:bidi="fa-IR"/>
        </w:rPr>
        <w:t xml:space="preserve"> : « رَأَيْتُ الْخَيْرَ كُلَّهُ قَدِ اجْتَمَعَ فِي قَطْعِ الطَّمَعِ عَمَّا فِي أَيْدِي النَّاسِ </w:t>
      </w:r>
      <w:r w:rsidR="006C577F" w:rsidRPr="006C577F">
        <w:rPr>
          <w:rStyle w:val="libFootnotenumChar"/>
          <w:rtl/>
        </w:rPr>
        <w:t>(7)</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د ، ز ، ص ، بر ، بس » : « أن يكون »</w:t>
      </w:r>
      <w:r w:rsidR="008A74EB">
        <w:rPr>
          <w:rtl/>
        </w:rPr>
        <w:t>.</w:t>
      </w:r>
    </w:p>
    <w:p w:rsidR="008A74EB" w:rsidRPr="00C9040A" w:rsidRDefault="006C577F" w:rsidP="006A745B">
      <w:pPr>
        <w:pStyle w:val="libFootnote0"/>
        <w:rPr>
          <w:rtl/>
          <w:lang w:bidi="fa-IR"/>
        </w:rPr>
      </w:pPr>
      <w:r>
        <w:rPr>
          <w:rtl/>
        </w:rPr>
        <w:t>(2).</w:t>
      </w:r>
      <w:r w:rsidR="008A74EB">
        <w:rPr>
          <w:rtl/>
        </w:rPr>
        <w:t xml:space="preserve"> </w:t>
      </w:r>
      <w:r w:rsidR="008A74EB" w:rsidRPr="00993B55">
        <w:rPr>
          <w:rStyle w:val="libFootnoteBoldChar"/>
          <w:rtl/>
        </w:rPr>
        <w:t>صفات الشيعة</w:t>
      </w:r>
      <w:r w:rsidR="008A74EB" w:rsidRPr="00C9040A">
        <w:rPr>
          <w:rtl/>
        </w:rPr>
        <w:t xml:space="preserve"> ، ص 32 ، ح 45 ، بسند آخر. </w:t>
      </w:r>
      <w:r w:rsidR="008A74EB" w:rsidRPr="00993B55">
        <w:rPr>
          <w:rStyle w:val="libFootnoteBoldChar"/>
          <w:rtl/>
        </w:rPr>
        <w:t>تحف العقول</w:t>
      </w:r>
      <w:r w:rsidR="008A74EB" w:rsidRPr="00C9040A">
        <w:rPr>
          <w:rtl/>
        </w:rPr>
        <w:t xml:space="preserve"> ، ص 489 ، عن العسكري </w:t>
      </w:r>
      <w:r w:rsidR="00117575" w:rsidRPr="00117575">
        <w:rPr>
          <w:rStyle w:val="libFootnoteAlaemChar"/>
          <w:rtl/>
        </w:rPr>
        <w:t xml:space="preserve">عليه‌السلام </w:t>
      </w:r>
      <w:r w:rsidR="006A745B">
        <w:rPr>
          <w:rFonts w:hint="cs"/>
          <w:rtl/>
        </w:rPr>
        <w:t>.</w:t>
      </w:r>
      <w:r w:rsidR="008A74EB" w:rsidRPr="00993B55">
        <w:rPr>
          <w:rStyle w:val="libFootnoteBoldChar"/>
          <w:rtl/>
        </w:rPr>
        <w:t>الوافي</w:t>
      </w:r>
      <w:r w:rsidR="008A74EB" w:rsidRPr="00C9040A">
        <w:rPr>
          <w:rtl/>
        </w:rPr>
        <w:t xml:space="preserve"> ، ج 5 ، ص 899 ، ح 3248 ؛ </w:t>
      </w:r>
      <w:r w:rsidR="008A74EB" w:rsidRPr="00993B55">
        <w:rPr>
          <w:rStyle w:val="libFootnoteBoldChar"/>
          <w:rtl/>
        </w:rPr>
        <w:t>الوسائل</w:t>
      </w:r>
      <w:r w:rsidR="008A74EB" w:rsidRPr="00C9040A">
        <w:rPr>
          <w:rtl/>
        </w:rPr>
        <w:t xml:space="preserve"> ، ج 16 ، ص 24 ، ح 20864 ؛ </w:t>
      </w:r>
      <w:r w:rsidR="008A74EB" w:rsidRPr="00993B55">
        <w:rPr>
          <w:rStyle w:val="libFootnoteBoldChar"/>
          <w:rtl/>
        </w:rPr>
        <w:t>البحار</w:t>
      </w:r>
      <w:r w:rsidR="008A74EB" w:rsidRPr="00C9040A">
        <w:rPr>
          <w:rtl/>
        </w:rPr>
        <w:t xml:space="preserve"> ، ج 73 ، ص 171 ، ح 11.</w:t>
      </w:r>
    </w:p>
    <w:p w:rsidR="008A74EB" w:rsidRPr="00C9040A" w:rsidRDefault="006C577F" w:rsidP="004A4E41">
      <w:pPr>
        <w:pStyle w:val="libFootnote0"/>
        <w:rPr>
          <w:rtl/>
          <w:lang w:bidi="fa-IR"/>
        </w:rPr>
      </w:pPr>
      <w:r>
        <w:rPr>
          <w:rtl/>
        </w:rPr>
        <w:t>(3).</w:t>
      </w:r>
      <w:r w:rsidR="008A74EB" w:rsidRPr="00C9040A">
        <w:rPr>
          <w:rtl/>
        </w:rPr>
        <w:t xml:space="preserve"> الضمير راجع إلى أحمد بن محمّد بن خالد المذكور في السند السابق.</w:t>
      </w:r>
    </w:p>
    <w:p w:rsidR="008A74EB" w:rsidRPr="00C9040A" w:rsidRDefault="006C577F" w:rsidP="004A4E41">
      <w:pPr>
        <w:pStyle w:val="libFootnote0"/>
        <w:rPr>
          <w:rtl/>
          <w:lang w:bidi="fa-IR"/>
        </w:rPr>
      </w:pPr>
      <w:r>
        <w:rPr>
          <w:rtl/>
        </w:rPr>
        <w:t>(4).</w:t>
      </w:r>
      <w:r w:rsidR="008A74EB" w:rsidRPr="00C9040A">
        <w:rPr>
          <w:rtl/>
        </w:rPr>
        <w:t xml:space="preserve"> في « ب » والوسائل : + « يكون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w:t>
      </w:r>
      <w:r w:rsidR="008A74EB" w:rsidRPr="00993B55">
        <w:rPr>
          <w:rStyle w:val="libFootnoteBoldChar"/>
          <w:rtl/>
        </w:rPr>
        <w:t>الوافي</w:t>
      </w:r>
      <w:r w:rsidR="008A74EB" w:rsidRPr="00C9040A">
        <w:rPr>
          <w:rtl/>
        </w:rPr>
        <w:t xml:space="preserve"> ، ج 5 ، ص 899 ، ح 3249 ؛ </w:t>
      </w:r>
      <w:r w:rsidR="008A74EB" w:rsidRPr="00993B55">
        <w:rPr>
          <w:rStyle w:val="libFootnoteBoldChar"/>
          <w:rtl/>
        </w:rPr>
        <w:t>الوسائل</w:t>
      </w:r>
      <w:r w:rsidR="008A74EB" w:rsidRPr="00C9040A">
        <w:rPr>
          <w:rtl/>
        </w:rPr>
        <w:t xml:space="preserve"> ، ج 16 ، ص 24 ، ح 20865 ؛ </w:t>
      </w:r>
      <w:r w:rsidR="008A74EB" w:rsidRPr="00993B55">
        <w:rPr>
          <w:rStyle w:val="libFootnoteBoldChar"/>
          <w:rtl/>
        </w:rPr>
        <w:t>البحار</w:t>
      </w:r>
      <w:r w:rsidR="008A74EB" w:rsidRPr="00C9040A">
        <w:rPr>
          <w:rtl/>
        </w:rPr>
        <w:t xml:space="preserve"> ، ج 73 ، ص 170 ، ح 9.</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البحار </w:t>
      </w:r>
      <w:r w:rsidR="008A74EB">
        <w:rPr>
          <w:rtl/>
        </w:rPr>
        <w:t xml:space="preserve">: </w:t>
      </w:r>
      <w:r w:rsidR="0084262C">
        <w:rPr>
          <w:rtl/>
        </w:rPr>
        <w:t>-</w:t>
      </w:r>
      <w:r w:rsidR="008A74EB" w:rsidRPr="00C9040A">
        <w:rPr>
          <w:rtl/>
        </w:rPr>
        <w:t xml:space="preserve"> « عن أبيه »</w:t>
      </w:r>
      <w:r w:rsidR="008A74EB">
        <w:rPr>
          <w:rtl/>
        </w:rPr>
        <w:t>.</w:t>
      </w:r>
      <w:r w:rsidR="008A74EB" w:rsidRPr="00C9040A">
        <w:rPr>
          <w:rtl/>
        </w:rPr>
        <w:t xml:space="preserve"> وهو سهو. كما يعلم ممّا قدّمناه ذيل ح 2598.</w:t>
      </w:r>
    </w:p>
    <w:p w:rsidR="008A74EB" w:rsidRPr="00C9040A" w:rsidRDefault="006C577F" w:rsidP="004A4E41">
      <w:pPr>
        <w:pStyle w:val="libFootnote0"/>
        <w:rPr>
          <w:rtl/>
          <w:lang w:bidi="fa-IR"/>
        </w:rPr>
      </w:pPr>
      <w:r>
        <w:rPr>
          <w:rtl/>
        </w:rPr>
        <w:t>(7).</w:t>
      </w:r>
      <w:r w:rsidR="008A74EB" w:rsidRPr="00C9040A">
        <w:rPr>
          <w:rtl/>
        </w:rPr>
        <w:t xml:space="preserve"> في </w:t>
      </w:r>
      <w:r w:rsidR="008A74EB" w:rsidRPr="00993B55">
        <w:rPr>
          <w:rStyle w:val="libFootnoteBoldChar"/>
          <w:rtl/>
        </w:rPr>
        <w:t>مرآة العقول</w:t>
      </w:r>
      <w:r w:rsidR="008A74EB" w:rsidRPr="00C9040A">
        <w:rPr>
          <w:rtl/>
        </w:rPr>
        <w:t xml:space="preserve"> ، ج 10 ، ص 258 : « لأنّ الطمع يورث الذلّ والحقارة والحسد والحقد والعداوة والغيبة والوقيعة وظهور الفضائح والظلم والمداهنة والنفاق والرياء والصبر على باطل الخلق والإعانة عليه وعدم التوكّل على الله والتضرّع عليه والرضا بقسمته والتسليم لأمره ، إلى غير ذلك من المفاسد التي لا تحصى ، وقطع الطمع يورث أضداد هذه الا</w:t>
      </w:r>
      <w:r w:rsidR="006A745B">
        <w:rPr>
          <w:rFonts w:hint="cs"/>
          <w:rtl/>
        </w:rPr>
        <w:t>ُ</w:t>
      </w:r>
      <w:r w:rsidR="008A74EB" w:rsidRPr="00C9040A">
        <w:rPr>
          <w:rtl/>
        </w:rPr>
        <w:t>مور التي كلّها خيرات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w:t>
      </w:r>
      <w:r w:rsidR="008A74EB" w:rsidRPr="00993B55">
        <w:rPr>
          <w:rStyle w:val="libFootnoteBoldChar"/>
          <w:rtl/>
        </w:rPr>
        <w:t>الكافي</w:t>
      </w:r>
      <w:r w:rsidR="008A74EB" w:rsidRPr="00C9040A">
        <w:rPr>
          <w:rtl/>
        </w:rPr>
        <w:t xml:space="preserve"> ، كتاب الإيمان والكفر ، باب الاستغناء عن الناس ، ح 1969 ، مع زيادة في آخره </w:t>
      </w:r>
      <w:r w:rsidR="006A745B">
        <w:rPr>
          <w:rFonts w:hint="cs"/>
          <w:rtl/>
        </w:rPr>
        <w:t>.</w:t>
      </w:r>
      <w:r w:rsidR="008A74EB" w:rsidRPr="00993B55">
        <w:rPr>
          <w:rStyle w:val="libFootnoteBoldChar"/>
          <w:rtl/>
        </w:rPr>
        <w:t>الوافي</w:t>
      </w:r>
      <w:r w:rsidR="008A74EB" w:rsidRPr="00C9040A">
        <w:rPr>
          <w:rtl/>
        </w:rPr>
        <w:t xml:space="preserve"> ، ج 5 ، ص 899 ، ح 3250 ؛ </w:t>
      </w:r>
      <w:r w:rsidR="008A74EB" w:rsidRPr="00993B55">
        <w:rPr>
          <w:rStyle w:val="libFootnoteBoldChar"/>
          <w:rtl/>
        </w:rPr>
        <w:t>الوسائل</w:t>
      </w:r>
      <w:r w:rsidR="008A74EB" w:rsidRPr="00C9040A">
        <w:rPr>
          <w:rtl/>
        </w:rPr>
        <w:t xml:space="preserve"> ، ج 16 ، ص 24 ، ح 20866 ؛ </w:t>
      </w:r>
      <w:r w:rsidR="008A74EB" w:rsidRPr="00993B55">
        <w:rPr>
          <w:rStyle w:val="libFootnoteBoldChar"/>
          <w:rtl/>
        </w:rPr>
        <w:t>البحار</w:t>
      </w:r>
      <w:r w:rsidR="008A74EB" w:rsidRPr="00C9040A">
        <w:rPr>
          <w:rtl/>
        </w:rPr>
        <w:t xml:space="preserve"> ، ج 73 ، ص 171 ، ح 10.</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385A10">
        <w:rPr>
          <w:rtl/>
        </w:rPr>
        <w:t>2606</w:t>
      </w:r>
      <w:r w:rsidRPr="00261CB0">
        <w:rPr>
          <w:rStyle w:val="libBold2Char"/>
          <w:rtl/>
        </w:rPr>
        <w:t xml:space="preserve"> / 4.</w:t>
      </w:r>
      <w:r w:rsidRPr="00C9040A">
        <w:rPr>
          <w:rtl/>
          <w:lang w:bidi="fa-IR"/>
        </w:rPr>
        <w:t xml:space="preserve"> مُحَمَّدُ بْنُ يَحْيى ، عَنْ مُحَمَّدِ بْنِ أَحْمَدَ </w:t>
      </w:r>
      <w:r w:rsidR="006C577F" w:rsidRPr="006C577F">
        <w:rPr>
          <w:rStyle w:val="libFootnotenumChar"/>
          <w:rtl/>
        </w:rPr>
        <w:t>(1)</w:t>
      </w:r>
      <w:r w:rsidRPr="00C9040A">
        <w:rPr>
          <w:rtl/>
          <w:lang w:bidi="fa-IR"/>
        </w:rPr>
        <w:t xml:space="preserve"> ، عَنْ بَعْضِ أَصْحَابِهِ </w:t>
      </w:r>
      <w:r w:rsidR="006C577F" w:rsidRPr="006C577F">
        <w:rPr>
          <w:rStyle w:val="libFootnotenumChar"/>
          <w:rtl/>
        </w:rPr>
        <w:t>(2)</w:t>
      </w:r>
      <w:r w:rsidRPr="00C9040A">
        <w:rPr>
          <w:rtl/>
          <w:lang w:bidi="fa-IR"/>
        </w:rPr>
        <w:t xml:space="preserve"> ، عَنْ عَلِيِّ بْنِ سُلَيْمَانَ بْنِ رُشَيْدٍ </w:t>
      </w:r>
      <w:r w:rsidR="006C577F" w:rsidRPr="006C577F">
        <w:rPr>
          <w:rStyle w:val="libFootnotenumChar"/>
          <w:rtl/>
        </w:rPr>
        <w:t>(3)</w:t>
      </w:r>
      <w:r w:rsidR="006A745B">
        <w:rPr>
          <w:rtl/>
          <w:lang w:bidi="fa-IR"/>
        </w:rPr>
        <w:t xml:space="preserve"> ، عَنْ مُوسَى بْنِ سَل</w:t>
      </w:r>
      <w:r w:rsidR="006A745B">
        <w:rPr>
          <w:rFonts w:hint="cs"/>
          <w:rtl/>
          <w:lang w:bidi="fa-IR"/>
        </w:rPr>
        <w:t>َّ</w:t>
      </w:r>
      <w:r w:rsidR="006A745B">
        <w:rPr>
          <w:rtl/>
          <w:lang w:bidi="fa-IR"/>
        </w:rPr>
        <w:t>ا</w:t>
      </w:r>
      <w:r w:rsidRPr="00C9040A">
        <w:rPr>
          <w:rtl/>
          <w:lang w:bidi="fa-IR"/>
        </w:rPr>
        <w:t>مٍ ، عَنْ سَعْدَانَ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قُلْتُ لَهُ : مَا </w:t>
      </w:r>
      <w:r w:rsidR="006C577F" w:rsidRPr="006C577F">
        <w:rPr>
          <w:rStyle w:val="libFootnotenumChar"/>
          <w:rtl/>
        </w:rPr>
        <w:t>(4)</w:t>
      </w:r>
      <w:r w:rsidRPr="00C9040A">
        <w:rPr>
          <w:rtl/>
          <w:lang w:bidi="fa-IR"/>
        </w:rPr>
        <w:t xml:space="preserve"> الَّذِي يُثْبِتُ الْإِيمَانَ فِي الْعَبْدِ</w:t>
      </w:r>
      <w:r>
        <w:rPr>
          <w:rtl/>
          <w:lang w:bidi="fa-IR"/>
        </w:rPr>
        <w:t>؟</w:t>
      </w:r>
      <w:r w:rsidRPr="00C9040A">
        <w:rPr>
          <w:rtl/>
          <w:lang w:bidi="fa-IR"/>
        </w:rPr>
        <w:t xml:space="preserve"> قَالَ :</w:t>
      </w:r>
      <w:r>
        <w:rPr>
          <w:rFonts w:hint="cs"/>
          <w:rtl/>
          <w:lang w:bidi="fa-IR"/>
        </w:rPr>
        <w:t xml:space="preserve"> </w:t>
      </w:r>
      <w:r w:rsidRPr="00C9040A">
        <w:rPr>
          <w:rtl/>
          <w:lang w:bidi="fa-IR"/>
        </w:rPr>
        <w:t>« الْوَرَعُ »</w:t>
      </w:r>
      <w:r>
        <w:rPr>
          <w:rtl/>
          <w:lang w:bidi="fa-IR"/>
        </w:rPr>
        <w:t>.</w:t>
      </w:r>
      <w:r w:rsidRPr="00C9040A">
        <w:rPr>
          <w:rtl/>
          <w:lang w:bidi="fa-IR"/>
        </w:rPr>
        <w:t xml:space="preserve"> وَالَّذِي يُخْرِجُهُ </w:t>
      </w:r>
      <w:r w:rsidR="006C577F" w:rsidRPr="006C577F">
        <w:rPr>
          <w:rStyle w:val="libFootnotenumChar"/>
          <w:rtl/>
        </w:rPr>
        <w:t>(5)</w:t>
      </w:r>
      <w:r w:rsidRPr="00C9040A">
        <w:rPr>
          <w:rtl/>
          <w:lang w:bidi="fa-IR"/>
        </w:rPr>
        <w:t xml:space="preserve"> مِنْهُ</w:t>
      </w:r>
      <w:r>
        <w:rPr>
          <w:rtl/>
          <w:lang w:bidi="fa-IR"/>
        </w:rPr>
        <w:t>؟</w:t>
      </w:r>
      <w:r w:rsidRPr="00C9040A">
        <w:rPr>
          <w:rtl/>
          <w:lang w:bidi="fa-IR"/>
        </w:rPr>
        <w:t xml:space="preserve"> قَالَ </w:t>
      </w:r>
      <w:r w:rsidR="006C577F" w:rsidRPr="006C577F">
        <w:rPr>
          <w:rStyle w:val="libFootnotenumChar"/>
          <w:rtl/>
        </w:rPr>
        <w:t>(6)</w:t>
      </w:r>
      <w:r w:rsidRPr="005B567D">
        <w:rPr>
          <w:rStyle w:val="libFootnotenumChar"/>
          <w:rtl/>
        </w:rPr>
        <w:t xml:space="preserve"> </w:t>
      </w:r>
      <w:r w:rsidRPr="00C9040A">
        <w:rPr>
          <w:rtl/>
          <w:lang w:bidi="fa-IR"/>
        </w:rPr>
        <w:t>: « الطَّمَعُ »</w:t>
      </w:r>
      <w:r>
        <w:rPr>
          <w:rtl/>
          <w:lang w:bidi="fa-IR"/>
        </w:rPr>
        <w:t>.</w:t>
      </w:r>
      <w:r w:rsidRPr="00C9040A">
        <w:rPr>
          <w:rtl/>
          <w:lang w:bidi="fa-IR"/>
        </w:rPr>
        <w:t xml:space="preserve"> </w:t>
      </w:r>
      <w:r w:rsidR="006C577F" w:rsidRPr="006C577F">
        <w:rPr>
          <w:rStyle w:val="libFootnotenumChar"/>
          <w:rtl/>
        </w:rPr>
        <w:t>(7)</w:t>
      </w:r>
      <w:r w:rsidRPr="00C9040A">
        <w:rPr>
          <w:rtl/>
          <w:lang w:bidi="fa-IR"/>
        </w:rPr>
        <w:t xml:space="preserve"> ‌</w:t>
      </w:r>
    </w:p>
    <w:p w:rsidR="008A74EB" w:rsidRPr="00C9040A" w:rsidRDefault="008A74EB" w:rsidP="008A74EB">
      <w:pPr>
        <w:pStyle w:val="Heading2Center"/>
        <w:rPr>
          <w:rtl/>
          <w:lang w:bidi="fa-IR"/>
        </w:rPr>
      </w:pPr>
      <w:bookmarkStart w:id="394" w:name="_Toc343795719"/>
      <w:bookmarkStart w:id="395" w:name="_Toc459810843"/>
      <w:bookmarkStart w:id="396" w:name="_Toc35348749"/>
      <w:r w:rsidRPr="00C9040A">
        <w:rPr>
          <w:rtl/>
          <w:lang w:bidi="fa-IR"/>
        </w:rPr>
        <w:t>128</w:t>
      </w:r>
      <w:r>
        <w:rPr>
          <w:rtl/>
          <w:lang w:bidi="fa-IR"/>
        </w:rPr>
        <w:t xml:space="preserve"> </w:t>
      </w:r>
      <w:r w:rsidR="0084262C">
        <w:rPr>
          <w:rtl/>
          <w:lang w:bidi="fa-IR"/>
        </w:rPr>
        <w:t>-</w:t>
      </w:r>
      <w:r>
        <w:rPr>
          <w:rtl/>
          <w:lang w:bidi="fa-IR"/>
        </w:rPr>
        <w:t xml:space="preserve"> </w:t>
      </w:r>
      <w:r w:rsidRPr="00C9040A">
        <w:rPr>
          <w:rtl/>
          <w:lang w:bidi="fa-IR"/>
        </w:rPr>
        <w:t>بَابُ الْخُرْقِ‌</w:t>
      </w:r>
      <w:bookmarkEnd w:id="394"/>
      <w:bookmarkEnd w:id="395"/>
      <w:bookmarkEnd w:id="396"/>
    </w:p>
    <w:p w:rsidR="008A74EB" w:rsidRPr="00C9040A" w:rsidRDefault="008A74EB" w:rsidP="008A74EB">
      <w:pPr>
        <w:pStyle w:val="libNormal"/>
        <w:rPr>
          <w:rtl/>
          <w:lang w:bidi="fa-IR"/>
        </w:rPr>
      </w:pPr>
      <w:r w:rsidRPr="00385A10">
        <w:rPr>
          <w:rtl/>
        </w:rPr>
        <w:t>2607</w:t>
      </w:r>
      <w:r w:rsidRPr="00261CB0">
        <w:rPr>
          <w:rStyle w:val="libBold2Char"/>
          <w:rtl/>
        </w:rPr>
        <w:t xml:space="preserve"> / 1.</w:t>
      </w:r>
      <w:r w:rsidRPr="00C9040A">
        <w:rPr>
          <w:rtl/>
          <w:lang w:bidi="fa-IR"/>
        </w:rPr>
        <w:t xml:space="preserve"> عِدَّةٌ مِنْ أَصْحَابِنَا ، عَنْ أَحْمَدَ بْنِ أَبِي عَبْدِ اللهِ ، عَنْ أَبِيهِ ، عَمَّنْ حَدَّثَهُ ، عَنْ مُحَمَّدِ بْنِ عَبْدِ الرَّحْمنِ بْنِ أَبِي لَيْلى :</w:t>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مَنْ قُسِمَ لَهُ الْخُرْقُ </w:t>
      </w:r>
      <w:r w:rsidR="006C577F" w:rsidRPr="006C577F">
        <w:rPr>
          <w:rStyle w:val="libFootnotenumChar"/>
          <w:rtl/>
        </w:rPr>
        <w:t>(8)</w:t>
      </w:r>
      <w:r w:rsidRPr="00C9040A">
        <w:rPr>
          <w:rtl/>
          <w:lang w:bidi="fa-IR"/>
        </w:rPr>
        <w:t xml:space="preserve"> ، حُجِبَ </w:t>
      </w:r>
      <w:r w:rsidR="006C577F" w:rsidRPr="006C577F">
        <w:rPr>
          <w:rStyle w:val="libFootnotenumChar"/>
          <w:rtl/>
        </w:rPr>
        <w:t>(9)</w:t>
      </w:r>
      <w:r w:rsidRPr="00C9040A">
        <w:rPr>
          <w:rtl/>
          <w:lang w:bidi="fa-IR"/>
        </w:rPr>
        <w:t xml:space="preserve"> عَنْهُ الْإِيمَانُ »</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Normal"/>
        <w:rPr>
          <w:rtl/>
          <w:lang w:bidi="fa-IR"/>
        </w:rPr>
      </w:pPr>
      <w:r w:rsidRPr="00385A10">
        <w:rPr>
          <w:rtl/>
        </w:rPr>
        <w:t>2608</w:t>
      </w:r>
      <w:r w:rsidRPr="00261CB0">
        <w:rPr>
          <w:rStyle w:val="libBold2Char"/>
          <w:rtl/>
        </w:rPr>
        <w:t xml:space="preserve"> / 2.</w:t>
      </w:r>
      <w:r w:rsidRPr="00C9040A">
        <w:rPr>
          <w:rtl/>
          <w:lang w:bidi="fa-IR"/>
        </w:rPr>
        <w:t xml:space="preserve"> مُحَمَّدُ بْنُ يَحْيى ، عَنْ أَحْمَدَ بْنِ مُحَمَّدِ بْنِ عِيسى ، عَنْ عَلِيِّ بْنِ النُّعْمَانِ ، عَنْ عَمْرِو بْنِ شِمْرٍ ، عَنْ جَابِرٍ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في « جر » وهامش المطبوع عن بعض النسخ : « أحمد بن محمّد »</w:t>
      </w:r>
      <w:r w:rsidR="008A74EB">
        <w:rPr>
          <w:rtl/>
        </w:rPr>
        <w:t>.</w:t>
      </w:r>
    </w:p>
    <w:p w:rsidR="008A74EB" w:rsidRPr="00C9040A" w:rsidRDefault="006C577F" w:rsidP="00B62755">
      <w:pPr>
        <w:pStyle w:val="libFootnote0"/>
        <w:rPr>
          <w:rtl/>
          <w:lang w:bidi="fa-IR"/>
        </w:rPr>
      </w:pPr>
      <w:r>
        <w:rPr>
          <w:rtl/>
        </w:rPr>
        <w:t>(2).</w:t>
      </w:r>
      <w:r w:rsidR="008A74EB">
        <w:rPr>
          <w:rtl/>
        </w:rPr>
        <w:t xml:space="preserve"> </w:t>
      </w:r>
      <w:r w:rsidR="008A74EB" w:rsidRPr="00C9040A">
        <w:rPr>
          <w:rtl/>
        </w:rPr>
        <w:t xml:space="preserve">هكذا في « ب ، ج ، د ، ز ، </w:t>
      </w:r>
      <w:r w:rsidR="006D3162">
        <w:rPr>
          <w:rtl/>
        </w:rPr>
        <w:t xml:space="preserve">ه </w:t>
      </w:r>
      <w:r w:rsidR="008A74EB" w:rsidRPr="00C9040A">
        <w:rPr>
          <w:rtl/>
        </w:rPr>
        <w:t>، بر ، بس » وحاشية « بف » والوافي والوسائل والبحار. وفي « بف ، جر » والمطبوع : « أصحابنا »</w:t>
      </w:r>
      <w:r w:rsidR="008A74EB">
        <w:rPr>
          <w:rtl/>
        </w:rPr>
        <w:t>.</w:t>
      </w:r>
      <w:r w:rsidR="00B62755">
        <w:rPr>
          <w:rFonts w:hint="cs"/>
          <w:rtl/>
        </w:rPr>
        <w:t xml:space="preserve">                </w:t>
      </w:r>
      <w:r w:rsidR="00C822D0">
        <w:rPr>
          <w:rFonts w:hint="cs"/>
          <w:rtl/>
        </w:rPr>
        <w:t xml:space="preserve">               </w:t>
      </w:r>
      <w:r w:rsidR="00B62755">
        <w:rPr>
          <w:rFonts w:hint="cs"/>
          <w:rtl/>
        </w:rPr>
        <w:t xml:space="preserve">     </w:t>
      </w:r>
      <w:r>
        <w:rPr>
          <w:rtl/>
        </w:rPr>
        <w:t>(3).</w:t>
      </w:r>
      <w:r w:rsidR="008A74EB" w:rsidRPr="00C9040A">
        <w:rPr>
          <w:rtl/>
        </w:rPr>
        <w:t xml:space="preserve"> في « جر » : « راشد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ب ، د ، ز ، ص ، </w:t>
      </w:r>
      <w:r w:rsidR="006D3162">
        <w:rPr>
          <w:rtl/>
        </w:rPr>
        <w:t xml:space="preserve">ه </w:t>
      </w:r>
      <w:r w:rsidR="008A74EB" w:rsidRPr="00C9040A">
        <w:rPr>
          <w:rtl/>
        </w:rPr>
        <w:t xml:space="preserve">، بر ، بف » والوافي والوسائل والبحار </w:t>
      </w:r>
      <w:r w:rsidR="008A74EB">
        <w:rPr>
          <w:rtl/>
        </w:rPr>
        <w:t xml:space="preserve">: </w:t>
      </w:r>
      <w:r w:rsidR="0084262C">
        <w:rPr>
          <w:rtl/>
        </w:rPr>
        <w:t>-</w:t>
      </w:r>
      <w:r w:rsidR="008A74EB" w:rsidRPr="00C9040A">
        <w:rPr>
          <w:rtl/>
        </w:rPr>
        <w:t xml:space="preserve"> « ما »</w:t>
      </w:r>
      <w:r w:rsidR="008A74EB">
        <w:rPr>
          <w:rtl/>
        </w:rPr>
        <w:t>.</w:t>
      </w:r>
      <w:r w:rsidR="008A74EB" w:rsidRPr="00C9040A">
        <w:rPr>
          <w:rtl/>
        </w:rPr>
        <w:t xml:space="preserve"> وفي « ج ، بس » </w:t>
      </w:r>
      <w:r w:rsidR="008A74EB">
        <w:rPr>
          <w:rtl/>
        </w:rPr>
        <w:t xml:space="preserve">: </w:t>
      </w:r>
      <w:r w:rsidR="0084262C">
        <w:rPr>
          <w:rtl/>
        </w:rPr>
        <w:t>-</w:t>
      </w:r>
      <w:r w:rsidR="008A74EB" w:rsidRPr="00C9040A">
        <w:rPr>
          <w:rtl/>
        </w:rPr>
        <w:t xml:space="preserve"> « له ما »</w:t>
      </w:r>
      <w:r w:rsidR="008A74EB">
        <w:rPr>
          <w:rtl/>
        </w:rPr>
        <w:t>.</w:t>
      </w:r>
    </w:p>
    <w:tbl>
      <w:tblPr>
        <w:tblStyle w:val="TableGrid"/>
        <w:bidiVisual/>
        <w:tblW w:w="0" w:type="auto"/>
        <w:tblLook w:val="04A0" w:firstRow="1" w:lastRow="0" w:firstColumn="1" w:lastColumn="0" w:noHBand="0" w:noVBand="1"/>
      </w:tblPr>
      <w:tblGrid>
        <w:gridCol w:w="4006"/>
        <w:gridCol w:w="4006"/>
      </w:tblGrid>
      <w:tr w:rsidR="00B62755" w:rsidTr="00B62755">
        <w:tc>
          <w:tcPr>
            <w:tcW w:w="4006" w:type="dxa"/>
          </w:tcPr>
          <w:p w:rsidR="00B62755" w:rsidRDefault="00B62755" w:rsidP="004A4E41">
            <w:pPr>
              <w:pStyle w:val="libFootnote0"/>
              <w:rPr>
                <w:rtl/>
              </w:rPr>
            </w:pPr>
            <w:r>
              <w:rPr>
                <w:rtl/>
              </w:rPr>
              <w:t>(5).</w:t>
            </w:r>
            <w:r w:rsidRPr="00C9040A">
              <w:rPr>
                <w:rtl/>
              </w:rPr>
              <w:t xml:space="preserve"> في « بر » : « يخرج »</w:t>
            </w:r>
            <w:r>
              <w:rPr>
                <w:rtl/>
              </w:rPr>
              <w:t>.</w:t>
            </w:r>
          </w:p>
        </w:tc>
        <w:tc>
          <w:tcPr>
            <w:tcW w:w="4006" w:type="dxa"/>
          </w:tcPr>
          <w:p w:rsidR="00B62755" w:rsidRDefault="00B62755" w:rsidP="004A4E41">
            <w:pPr>
              <w:pStyle w:val="libFootnote0"/>
              <w:rPr>
                <w:rtl/>
              </w:rPr>
            </w:pPr>
            <w:r>
              <w:rPr>
                <w:rtl/>
              </w:rPr>
              <w:t xml:space="preserve">(6). </w:t>
            </w:r>
            <w:r w:rsidRPr="00C9040A">
              <w:rPr>
                <w:rtl/>
              </w:rPr>
              <w:t xml:space="preserve">في « د ، </w:t>
            </w:r>
            <w:r>
              <w:rPr>
                <w:rtl/>
              </w:rPr>
              <w:t xml:space="preserve">ه </w:t>
            </w:r>
            <w:r w:rsidRPr="00C9040A">
              <w:rPr>
                <w:rtl/>
              </w:rPr>
              <w:t xml:space="preserve">» والوسائل والخصال </w:t>
            </w:r>
            <w:r>
              <w:rPr>
                <w:rtl/>
              </w:rPr>
              <w:t>: -</w:t>
            </w:r>
            <w:r w:rsidRPr="00C9040A">
              <w:rPr>
                <w:rtl/>
              </w:rPr>
              <w:t xml:space="preserve"> « قال »</w:t>
            </w:r>
            <w:r>
              <w:rPr>
                <w:rtl/>
              </w:rPr>
              <w:t>.</w:t>
            </w:r>
          </w:p>
        </w:tc>
      </w:tr>
    </w:tbl>
    <w:p w:rsidR="008A74EB" w:rsidRPr="00C9040A" w:rsidRDefault="006C577F" w:rsidP="00B62755">
      <w:pPr>
        <w:pStyle w:val="libFootnote0"/>
        <w:rPr>
          <w:rtl/>
          <w:lang w:bidi="fa-IR"/>
        </w:rPr>
      </w:pPr>
      <w:r>
        <w:rPr>
          <w:rtl/>
        </w:rPr>
        <w:t>(7).</w:t>
      </w:r>
      <w:r w:rsidR="008A74EB" w:rsidRPr="00C9040A">
        <w:rPr>
          <w:rtl/>
        </w:rPr>
        <w:t xml:space="preserve"> </w:t>
      </w:r>
      <w:r w:rsidR="008A74EB" w:rsidRPr="00993B55">
        <w:rPr>
          <w:rStyle w:val="libFootnoteBoldChar"/>
          <w:rtl/>
        </w:rPr>
        <w:t>الخصال</w:t>
      </w:r>
      <w:r w:rsidR="008A74EB" w:rsidRPr="00C9040A">
        <w:rPr>
          <w:rtl/>
        </w:rPr>
        <w:t xml:space="preserve"> ، ص 9 ، باب الواحد ، ح 29 ، عن أبيه ، عن محمّد بن يحيى العطّار ، عن محمّد بن أحمد بن يحيى بن عمران الأشعري ، عن أبي‌عبدالله الرازي ، عليّ بن سليمان بن رشيد ، عن موسى بن سلام ، عن أبان بن سويد ، عن أبي عبدالله </w:t>
      </w:r>
      <w:r w:rsidR="00117575" w:rsidRPr="00117575">
        <w:rPr>
          <w:rStyle w:val="libFootnoteAlaemChar"/>
          <w:rtl/>
        </w:rPr>
        <w:t>عليه‌السلام</w:t>
      </w:r>
      <w:r w:rsidR="00B62755">
        <w:rPr>
          <w:rFonts w:hint="cs"/>
          <w:rtl/>
        </w:rPr>
        <w:t>.</w:t>
      </w:r>
      <w:r w:rsidR="008A74EB" w:rsidRPr="00993B55">
        <w:rPr>
          <w:rStyle w:val="libFootnoteBoldChar"/>
          <w:rtl/>
        </w:rPr>
        <w:t>الوافي</w:t>
      </w:r>
      <w:r w:rsidR="008A74EB" w:rsidRPr="00C9040A">
        <w:rPr>
          <w:rtl/>
        </w:rPr>
        <w:t xml:space="preserve"> ، ج 5 ، ص 899 ، ح 3251 ؛ </w:t>
      </w:r>
      <w:r w:rsidR="008A74EB" w:rsidRPr="00993B55">
        <w:rPr>
          <w:rStyle w:val="libFootnoteBoldChar"/>
          <w:rtl/>
        </w:rPr>
        <w:t>الوسائل</w:t>
      </w:r>
      <w:r w:rsidR="008A74EB" w:rsidRPr="00C9040A">
        <w:rPr>
          <w:rtl/>
        </w:rPr>
        <w:t xml:space="preserve"> ، ج 16 ، ص 24 ، ح 20867 ؛ </w:t>
      </w:r>
      <w:r w:rsidR="008A74EB" w:rsidRPr="00993B55">
        <w:rPr>
          <w:rStyle w:val="libFootnoteBoldChar"/>
          <w:rtl/>
        </w:rPr>
        <w:t>البحار</w:t>
      </w:r>
      <w:r w:rsidR="008A74EB" w:rsidRPr="00C9040A">
        <w:rPr>
          <w:rtl/>
        </w:rPr>
        <w:t xml:space="preserve"> ، ج 73 ، ص 171 ، ح 12.</w:t>
      </w:r>
    </w:p>
    <w:p w:rsidR="008A74EB" w:rsidRPr="00C9040A" w:rsidRDefault="006C577F" w:rsidP="00B62755">
      <w:pPr>
        <w:pStyle w:val="libFootnote0"/>
        <w:rPr>
          <w:rtl/>
          <w:lang w:bidi="fa-IR"/>
        </w:rPr>
      </w:pPr>
      <w:r>
        <w:rPr>
          <w:rtl/>
        </w:rPr>
        <w:t>(8).</w:t>
      </w:r>
      <w:r w:rsidR="008A74EB" w:rsidRPr="00C9040A">
        <w:rPr>
          <w:rtl/>
        </w:rPr>
        <w:t xml:space="preserve"> « الخُرق » : الجهل والحُمق ، ونقيض الرفق. وقد خَرِق يخرق خَرَقاً ، فهو أخرق. راجع : </w:t>
      </w:r>
      <w:r w:rsidR="008A74EB" w:rsidRPr="00993B55">
        <w:rPr>
          <w:rStyle w:val="libFootnoteBoldChar"/>
          <w:rtl/>
        </w:rPr>
        <w:t>لسان العرب</w:t>
      </w:r>
      <w:r w:rsidR="008A74EB" w:rsidRPr="00C9040A">
        <w:rPr>
          <w:rtl/>
        </w:rPr>
        <w:t xml:space="preserve"> ، ج 10 ، ص 74 ؛ </w:t>
      </w:r>
      <w:r w:rsidR="008A74EB" w:rsidRPr="00993B55">
        <w:rPr>
          <w:rStyle w:val="libFootnoteBoldChar"/>
          <w:rtl/>
        </w:rPr>
        <w:t>النهاية</w:t>
      </w:r>
      <w:r w:rsidR="008A74EB" w:rsidRPr="00C9040A">
        <w:rPr>
          <w:rtl/>
        </w:rPr>
        <w:t xml:space="preserve"> ، ج 2 ، ص 26 ( خرق )</w:t>
      </w:r>
      <w:r w:rsidR="008A74EB">
        <w:rPr>
          <w:rtl/>
        </w:rPr>
        <w:t>.</w:t>
      </w:r>
      <w:r w:rsidR="00B62755">
        <w:rPr>
          <w:rFonts w:hint="cs"/>
          <w:rtl/>
        </w:rPr>
        <w:t xml:space="preserve">          </w:t>
      </w:r>
      <w:r>
        <w:rPr>
          <w:rtl/>
        </w:rPr>
        <w:t>(9).</w:t>
      </w:r>
      <w:r w:rsidR="008A74EB" w:rsidRPr="00C9040A">
        <w:rPr>
          <w:rtl/>
        </w:rPr>
        <w:t xml:space="preserve"> في البحار : « يحجب »</w:t>
      </w:r>
      <w:r w:rsidR="008A74EB">
        <w:rPr>
          <w:rtl/>
        </w:rPr>
        <w:t>.</w:t>
      </w:r>
    </w:p>
    <w:p w:rsidR="008A74EB" w:rsidRPr="00C9040A" w:rsidRDefault="006C577F" w:rsidP="004A4E41">
      <w:pPr>
        <w:pStyle w:val="libFootnote0"/>
        <w:rPr>
          <w:rtl/>
          <w:lang w:bidi="fa-IR"/>
        </w:rPr>
      </w:pPr>
      <w:r>
        <w:rPr>
          <w:rtl/>
        </w:rPr>
        <w:t>(10).</w:t>
      </w:r>
      <w:r w:rsidR="008A74EB" w:rsidRPr="00C9040A">
        <w:rPr>
          <w:rtl/>
        </w:rPr>
        <w:t xml:space="preserve"> </w:t>
      </w:r>
      <w:r w:rsidR="008A74EB" w:rsidRPr="0034021D">
        <w:rPr>
          <w:rStyle w:val="libFootnoteBoldChar"/>
          <w:rtl/>
        </w:rPr>
        <w:t>الأمالي للصدوق</w:t>
      </w:r>
      <w:r w:rsidR="008A74EB" w:rsidRPr="00C9040A">
        <w:rPr>
          <w:rtl/>
        </w:rPr>
        <w:t xml:space="preserve"> ، ص 205 ، المجلس 37 ، ح 4 ، بسنده عن أحمد بن أبي عبدالله البرقي ، عن أبيه ، عن محمّد بن أبي عمير ، عن محمّد بن عبدالرحمن بن أبي ليلى ، عن أبي جعفر </w:t>
      </w:r>
      <w:r w:rsidR="00117575" w:rsidRPr="00117575">
        <w:rPr>
          <w:rStyle w:val="libFootnoteAlaemChar"/>
          <w:rtl/>
        </w:rPr>
        <w:t xml:space="preserve">عليه‌السلام </w:t>
      </w:r>
      <w:r w:rsidR="008A74EB" w:rsidRPr="00C9040A">
        <w:rPr>
          <w:rtl/>
        </w:rPr>
        <w:t xml:space="preserve">. </w:t>
      </w:r>
      <w:r w:rsidR="008A74EB" w:rsidRPr="00993B55">
        <w:rPr>
          <w:rStyle w:val="libFootnoteBoldChar"/>
          <w:rtl/>
        </w:rPr>
        <w:t>تحف العقول</w:t>
      </w:r>
      <w:r w:rsidR="008A74EB" w:rsidRPr="00C9040A">
        <w:rPr>
          <w:rtl/>
        </w:rPr>
        <w:t xml:space="preserve"> ، ص 296 </w:t>
      </w:r>
      <w:r w:rsidR="00B62755">
        <w:rPr>
          <w:rFonts w:hint="cs"/>
          <w:rtl/>
        </w:rPr>
        <w:t>.</w:t>
      </w:r>
      <w:r w:rsidR="008A74EB" w:rsidRPr="00993B55">
        <w:rPr>
          <w:rStyle w:val="libFootnoteBoldChar"/>
          <w:rtl/>
        </w:rPr>
        <w:t>الوافي</w:t>
      </w:r>
      <w:r w:rsidR="008A74EB" w:rsidRPr="00C9040A">
        <w:rPr>
          <w:rtl/>
        </w:rPr>
        <w:t xml:space="preserve"> ، ج 5 ، ص 887 ، ح 3222 ؛ </w:t>
      </w:r>
      <w:r w:rsidR="008A74EB" w:rsidRPr="00993B55">
        <w:rPr>
          <w:rStyle w:val="libFootnoteBoldChar"/>
          <w:rtl/>
        </w:rPr>
        <w:t>الوسائل</w:t>
      </w:r>
      <w:r w:rsidR="008A74EB" w:rsidRPr="00C9040A">
        <w:rPr>
          <w:rtl/>
        </w:rPr>
        <w:t xml:space="preserve"> ، ج 16 ، ص 26 ، ح 20873 ؛ </w:t>
      </w:r>
      <w:r w:rsidR="008A74EB" w:rsidRPr="00993B55">
        <w:rPr>
          <w:rStyle w:val="libFootnoteBoldChar"/>
          <w:rtl/>
        </w:rPr>
        <w:t>البحار</w:t>
      </w:r>
      <w:r w:rsidR="00B62755">
        <w:rPr>
          <w:rtl/>
        </w:rPr>
        <w:t xml:space="preserve"> ، ج 73 ، ص 398 ، ح</w:t>
      </w:r>
      <w:r w:rsidR="008A74EB" w:rsidRPr="00C9040A">
        <w:rPr>
          <w:rtl/>
        </w:rPr>
        <w:t>4.</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عَنْ أَبِي جَعْفَرٍ </w:t>
      </w:r>
      <w:r w:rsidRPr="0003660B">
        <w:rPr>
          <w:rStyle w:val="libAlaemChar"/>
          <w:rtl/>
        </w:rPr>
        <w:t>عليه‌السلام</w:t>
      </w:r>
      <w:r w:rsidRPr="00C9040A">
        <w:rPr>
          <w:rtl/>
          <w:lang w:bidi="fa-IR"/>
        </w:rPr>
        <w:t xml:space="preserve"> ، قَالَ : « قَالَ رَسُولُ اللهِ </w:t>
      </w:r>
      <w:r w:rsidR="004A4E41" w:rsidRPr="004A4E41">
        <w:rPr>
          <w:rStyle w:val="libAlaemChar"/>
          <w:rtl/>
        </w:rPr>
        <w:t>صلى‌الله‌عليه‌وآله</w:t>
      </w:r>
      <w:r w:rsidRPr="00C9040A">
        <w:rPr>
          <w:rtl/>
          <w:lang w:bidi="fa-IR"/>
        </w:rPr>
        <w:t xml:space="preserve"> : لَوْ كَانَ الْخُرْقُ خَلْقاً يُرى ، مَا كَانَ شَيْ‌ءٌ </w:t>
      </w:r>
      <w:r w:rsidR="006C577F" w:rsidRPr="006C577F">
        <w:rPr>
          <w:rStyle w:val="libFootnotenumChar"/>
          <w:rtl/>
        </w:rPr>
        <w:t>(1)</w:t>
      </w:r>
      <w:r w:rsidRPr="00C9040A">
        <w:rPr>
          <w:rtl/>
          <w:lang w:bidi="fa-IR"/>
        </w:rPr>
        <w:t xml:space="preserve"> مِمَّا خَلَقَ </w:t>
      </w:r>
      <w:r w:rsidR="006C577F" w:rsidRPr="006C577F">
        <w:rPr>
          <w:rStyle w:val="libFootnotenumChar"/>
          <w:rtl/>
        </w:rPr>
        <w:t>(2)</w:t>
      </w:r>
      <w:r w:rsidRPr="00C9040A">
        <w:rPr>
          <w:rtl/>
          <w:lang w:bidi="fa-IR"/>
        </w:rPr>
        <w:t xml:space="preserve"> اللهُ أَقْبَحَ مِنْهُ »</w:t>
      </w:r>
      <w:r>
        <w:rPr>
          <w:rtl/>
          <w:lang w:bidi="fa-IR"/>
        </w:rPr>
        <w:t>.</w:t>
      </w:r>
      <w:r w:rsidRPr="00C9040A">
        <w:rPr>
          <w:rtl/>
          <w:lang w:bidi="fa-IR"/>
        </w:rPr>
        <w:t xml:space="preserve"> </w:t>
      </w:r>
      <w:r w:rsidR="006C577F" w:rsidRPr="006C577F">
        <w:rPr>
          <w:rStyle w:val="libFootnotenumChar"/>
          <w:rtl/>
        </w:rPr>
        <w:t>(3)</w:t>
      </w:r>
      <w:r w:rsidRPr="00C9040A">
        <w:rPr>
          <w:rtl/>
          <w:lang w:bidi="fa-IR"/>
        </w:rPr>
        <w:t xml:space="preserve"> ‌</w:t>
      </w:r>
    </w:p>
    <w:p w:rsidR="008A74EB" w:rsidRPr="00C9040A" w:rsidRDefault="008A74EB" w:rsidP="008A74EB">
      <w:pPr>
        <w:pStyle w:val="Heading2Center"/>
        <w:rPr>
          <w:rtl/>
          <w:lang w:bidi="fa-IR"/>
        </w:rPr>
      </w:pPr>
      <w:bookmarkStart w:id="397" w:name="_Toc343795720"/>
      <w:bookmarkStart w:id="398" w:name="_Toc459810844"/>
      <w:bookmarkStart w:id="399" w:name="_Toc35348750"/>
      <w:r w:rsidRPr="00C9040A">
        <w:rPr>
          <w:rtl/>
          <w:lang w:bidi="fa-IR"/>
        </w:rPr>
        <w:t>129</w:t>
      </w:r>
      <w:r>
        <w:rPr>
          <w:rtl/>
          <w:lang w:bidi="fa-IR"/>
        </w:rPr>
        <w:t xml:space="preserve"> </w:t>
      </w:r>
      <w:r w:rsidR="0084262C">
        <w:rPr>
          <w:rtl/>
          <w:lang w:bidi="fa-IR"/>
        </w:rPr>
        <w:t>-</w:t>
      </w:r>
      <w:r>
        <w:rPr>
          <w:rtl/>
          <w:lang w:bidi="fa-IR"/>
        </w:rPr>
        <w:t xml:space="preserve"> </w:t>
      </w:r>
      <w:r w:rsidRPr="00C9040A">
        <w:rPr>
          <w:rtl/>
          <w:lang w:bidi="fa-IR"/>
        </w:rPr>
        <w:t>بَابُ سُوءِ الْخُلُقِ‌</w:t>
      </w:r>
      <w:bookmarkEnd w:id="397"/>
      <w:bookmarkEnd w:id="398"/>
      <w:bookmarkEnd w:id="399"/>
    </w:p>
    <w:p w:rsidR="008A74EB" w:rsidRPr="00C9040A" w:rsidRDefault="008A74EB" w:rsidP="008A74EB">
      <w:pPr>
        <w:pStyle w:val="libNormal"/>
        <w:rPr>
          <w:rtl/>
          <w:lang w:bidi="fa-IR"/>
        </w:rPr>
      </w:pPr>
      <w:r w:rsidRPr="00385A10">
        <w:rPr>
          <w:rtl/>
        </w:rPr>
        <w:t>2609</w:t>
      </w:r>
      <w:r w:rsidRPr="00261CB0">
        <w:rPr>
          <w:rStyle w:val="libBold2Char"/>
          <w:rtl/>
        </w:rPr>
        <w:t xml:space="preserve"> / 1.</w:t>
      </w:r>
      <w:r w:rsidRPr="00C9040A">
        <w:rPr>
          <w:rtl/>
          <w:lang w:bidi="fa-IR"/>
        </w:rPr>
        <w:t xml:space="preserve"> عَلِيُّ بْنُ إِبْرَاهِيمَ ، عَنْ أَبِيهِ ، عَنِ ابْنِ أَبِي عُمَيْرٍ ، عَنْ عَبْدِ اللهِ بْنِ سِنَانٍ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إِنَّ سُوءَ الْخُلُقِ لَيُفْسِدُ </w:t>
      </w:r>
      <w:r w:rsidR="006C577F" w:rsidRPr="006C577F">
        <w:rPr>
          <w:rStyle w:val="libFootnotenumChar"/>
          <w:rtl/>
        </w:rPr>
        <w:t>(4)</w:t>
      </w:r>
      <w:r w:rsidRPr="00C9040A">
        <w:rPr>
          <w:rtl/>
          <w:lang w:bidi="fa-IR"/>
        </w:rPr>
        <w:t xml:space="preserve"> الْعَمَلَ ، كَ</w:t>
      </w:r>
      <w:r w:rsidR="00B62755">
        <w:rPr>
          <w:rtl/>
          <w:lang w:bidi="fa-IR"/>
        </w:rPr>
        <w:t>مَا يُفْسِدُ الْخَلُّ الْعَسَلَ</w:t>
      </w:r>
      <w:r w:rsidRPr="00C9040A">
        <w:rPr>
          <w:rtl/>
          <w:lang w:bidi="fa-IR"/>
        </w:rPr>
        <w:t>»</w:t>
      </w:r>
      <w:r>
        <w:rPr>
          <w:rtl/>
          <w:lang w:bidi="fa-IR"/>
        </w:rPr>
        <w:t>.</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385A10">
        <w:rPr>
          <w:rtl/>
        </w:rPr>
        <w:t>2610</w:t>
      </w:r>
      <w:r w:rsidRPr="00261CB0">
        <w:rPr>
          <w:rStyle w:val="libBold2Char"/>
          <w:rtl/>
        </w:rPr>
        <w:t xml:space="preserve"> / 2.</w:t>
      </w:r>
      <w:r w:rsidRPr="00C9040A">
        <w:rPr>
          <w:rtl/>
          <w:lang w:bidi="fa-IR"/>
        </w:rPr>
        <w:t xml:space="preserve"> عَلِيُّ بْنُ إِبْرَاهِيمَ ، عَنْ أَبِيهِ ، عَنِ النَّوْفَلِيِّ ، عَنِ السَّكُونِيِّ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قَالَ النَّبِيُّ </w:t>
      </w:r>
      <w:r w:rsidR="006C577F" w:rsidRPr="006C577F">
        <w:rPr>
          <w:rStyle w:val="libFootnotenumChar"/>
          <w:rtl/>
        </w:rPr>
        <w:t>(6)</w:t>
      </w:r>
      <w:r w:rsidRPr="005B567D">
        <w:rPr>
          <w:rStyle w:val="libFootnotenumChar"/>
          <w:rtl/>
        </w:rPr>
        <w:t xml:space="preserve"> </w:t>
      </w:r>
      <w:r w:rsidR="004A4E41" w:rsidRPr="004A4E41">
        <w:rPr>
          <w:rStyle w:val="libAlaemChar"/>
          <w:rtl/>
        </w:rPr>
        <w:t>صلى‌الله‌عليه‌وآله</w:t>
      </w:r>
      <w:r w:rsidRPr="00C9040A">
        <w:rPr>
          <w:rtl/>
          <w:lang w:bidi="fa-IR"/>
        </w:rPr>
        <w:t xml:space="preserve"> : أَبَى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 xml:space="preserve">لِصَاحِبِ الْخُلُقِ السَّيِّئِ بِالتَّوْبَةِ ، قِيلَ : وَكَيْفَ ذَاكَ </w:t>
      </w:r>
      <w:r w:rsidR="006C577F" w:rsidRPr="006C577F">
        <w:rPr>
          <w:rStyle w:val="libFootnotenumChar"/>
          <w:rtl/>
        </w:rPr>
        <w:t>(7)</w:t>
      </w:r>
      <w:r w:rsidRPr="00C9040A">
        <w:rPr>
          <w:rtl/>
          <w:lang w:bidi="fa-IR"/>
        </w:rPr>
        <w:t xml:space="preserve"> يَا رَسُولَ اللهِ</w:t>
      </w:r>
      <w:r>
        <w:rPr>
          <w:rtl/>
          <w:lang w:bidi="fa-IR"/>
        </w:rPr>
        <w:t>؟</w:t>
      </w:r>
      <w:r w:rsidRPr="00C9040A">
        <w:rPr>
          <w:rtl/>
          <w:lang w:bidi="fa-IR"/>
        </w:rPr>
        <w:t xml:space="preserve"> قَالَ : لِأَنَّهُ </w:t>
      </w:r>
      <w:r w:rsidR="006C577F" w:rsidRPr="006C577F">
        <w:rPr>
          <w:rStyle w:val="libFootnotenumChar"/>
          <w:rtl/>
        </w:rPr>
        <w:t>(8)</w:t>
      </w:r>
      <w:r w:rsidRPr="00C9040A">
        <w:rPr>
          <w:rtl/>
          <w:lang w:bidi="fa-IR"/>
        </w:rPr>
        <w:t xml:space="preserve"> إِذَا تَابَ مِنْ ذَنْبٍ ، وَقَعَ فِي ذَنْبٍ أَعْظَمَ مِنْهُ »</w:t>
      </w:r>
      <w:r>
        <w:rPr>
          <w:rtl/>
          <w:lang w:bidi="fa-IR"/>
        </w:rPr>
        <w:t>.</w:t>
      </w:r>
      <w:r w:rsidRPr="00C9040A">
        <w:rPr>
          <w:rtl/>
          <w:lang w:bidi="fa-IR"/>
        </w:rPr>
        <w:t xml:space="preserve"> </w:t>
      </w:r>
      <w:r w:rsidR="006C577F" w:rsidRPr="006C577F">
        <w:rPr>
          <w:rStyle w:val="libFootnotenumChar"/>
          <w:rtl/>
        </w:rPr>
        <w:t>(9)</w:t>
      </w:r>
      <w:r w:rsidRPr="00C9040A">
        <w:rPr>
          <w:rtl/>
          <w:lang w:bidi="fa-IR"/>
        </w:rPr>
        <w:t xml:space="preserve"> ‌</w:t>
      </w:r>
    </w:p>
    <w:p w:rsidR="008A74EB" w:rsidRPr="00C9040A" w:rsidRDefault="008A74EB" w:rsidP="008A74EB">
      <w:pPr>
        <w:pStyle w:val="libNormal"/>
        <w:rPr>
          <w:rtl/>
          <w:lang w:bidi="fa-IR"/>
        </w:rPr>
      </w:pPr>
      <w:r w:rsidRPr="00385A10">
        <w:rPr>
          <w:rtl/>
        </w:rPr>
        <w:t>2611</w:t>
      </w:r>
      <w:r w:rsidRPr="00261CB0">
        <w:rPr>
          <w:rStyle w:val="libBold2Char"/>
          <w:rtl/>
        </w:rPr>
        <w:t xml:space="preserve"> / 3.</w:t>
      </w:r>
      <w:r w:rsidRPr="00C9040A">
        <w:rPr>
          <w:rtl/>
          <w:lang w:bidi="fa-IR"/>
        </w:rPr>
        <w:t xml:space="preserve"> عِدَّةٌ مِنْ أَصْحَابِنَا ، عَنْ أَحْمَدَ بْنِ مُحَمَّدِ بْنِ خَالِدٍ ، عَنْ إِسْمَاعِيلَ بْنِ مِهْرَانَ ، عَنْ سَيْفِ بْنِ عَمِيرَةَ ، عَمَّنْ ذَكَرَهُ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إِنَّ سُوءَ الْخُلُقِ لَيُفْسِدُ </w:t>
      </w:r>
      <w:r w:rsidR="006C577F" w:rsidRPr="006C577F">
        <w:rPr>
          <w:rStyle w:val="libFootnotenumChar"/>
          <w:rtl/>
        </w:rPr>
        <w:t>(10)</w:t>
      </w:r>
      <w:r w:rsidRPr="00C9040A">
        <w:rPr>
          <w:rtl/>
          <w:lang w:bidi="fa-IR"/>
        </w:rPr>
        <w:t xml:space="preserve"> الْإِيمَانَ ، كَمَا يُفْسِدُ الْخَلُّ‌</w:t>
      </w:r>
    </w:p>
    <w:p w:rsidR="008A74EB" w:rsidRPr="00C9040A" w:rsidRDefault="008A74EB" w:rsidP="008A74EB">
      <w:pPr>
        <w:pStyle w:val="libLine"/>
        <w:rPr>
          <w:rtl/>
          <w:lang w:bidi="fa-IR"/>
        </w:rPr>
      </w:pPr>
      <w:r w:rsidRPr="00C9040A">
        <w:rPr>
          <w:rtl/>
          <w:lang w:bidi="fa-IR"/>
        </w:rPr>
        <w:t>__________________</w:t>
      </w:r>
    </w:p>
    <w:tbl>
      <w:tblPr>
        <w:tblStyle w:val="TableGrid"/>
        <w:bidiVisual/>
        <w:tblW w:w="0" w:type="auto"/>
        <w:tblLook w:val="04A0" w:firstRow="1" w:lastRow="0" w:firstColumn="1" w:lastColumn="0" w:noHBand="0" w:noVBand="1"/>
      </w:tblPr>
      <w:tblGrid>
        <w:gridCol w:w="4006"/>
        <w:gridCol w:w="4006"/>
      </w:tblGrid>
      <w:tr w:rsidR="00B62755" w:rsidTr="00B62755">
        <w:tc>
          <w:tcPr>
            <w:tcW w:w="4006" w:type="dxa"/>
          </w:tcPr>
          <w:p w:rsidR="00B62755" w:rsidRDefault="00B62755" w:rsidP="004A4E41">
            <w:pPr>
              <w:pStyle w:val="libFootnote0"/>
              <w:rPr>
                <w:rtl/>
              </w:rPr>
            </w:pPr>
            <w:r>
              <w:rPr>
                <w:rtl/>
              </w:rPr>
              <w:t xml:space="preserve">(1). </w:t>
            </w:r>
            <w:r w:rsidRPr="00C9040A">
              <w:rPr>
                <w:rtl/>
              </w:rPr>
              <w:t>في « ب » : + « منه »</w:t>
            </w:r>
            <w:r>
              <w:rPr>
                <w:rtl/>
              </w:rPr>
              <w:t>.</w:t>
            </w:r>
          </w:p>
        </w:tc>
        <w:tc>
          <w:tcPr>
            <w:tcW w:w="4006" w:type="dxa"/>
          </w:tcPr>
          <w:p w:rsidR="00B62755" w:rsidRDefault="00B62755" w:rsidP="004A4E41">
            <w:pPr>
              <w:pStyle w:val="libFootnote0"/>
              <w:rPr>
                <w:rtl/>
              </w:rPr>
            </w:pPr>
            <w:r>
              <w:rPr>
                <w:rtl/>
              </w:rPr>
              <w:t xml:space="preserve">(2). </w:t>
            </w:r>
            <w:r w:rsidRPr="00C9040A">
              <w:rPr>
                <w:rtl/>
              </w:rPr>
              <w:t>في الوسائل : « ما كان في شي‌ء من خلق »</w:t>
            </w:r>
            <w:r>
              <w:rPr>
                <w:rtl/>
              </w:rPr>
              <w:t>.</w:t>
            </w:r>
          </w:p>
        </w:tc>
      </w:tr>
    </w:tbl>
    <w:p w:rsidR="008A74EB" w:rsidRPr="00C9040A" w:rsidRDefault="006C577F" w:rsidP="00B62755">
      <w:pPr>
        <w:pStyle w:val="libFootnote0"/>
        <w:rPr>
          <w:rtl/>
          <w:lang w:bidi="fa-IR"/>
        </w:rPr>
      </w:pPr>
      <w:r>
        <w:rPr>
          <w:rtl/>
        </w:rPr>
        <w:t>(3).</w:t>
      </w:r>
      <w:r w:rsidR="008A74EB" w:rsidRPr="00C9040A">
        <w:rPr>
          <w:rtl/>
        </w:rPr>
        <w:t xml:space="preserve"> </w:t>
      </w:r>
      <w:r w:rsidR="008A74EB" w:rsidRPr="00993B55">
        <w:rPr>
          <w:rStyle w:val="libFootnoteBoldChar"/>
          <w:rtl/>
        </w:rPr>
        <w:t>الزهد</w:t>
      </w:r>
      <w:r w:rsidR="008A74EB" w:rsidRPr="00C9040A">
        <w:rPr>
          <w:rtl/>
        </w:rPr>
        <w:t xml:space="preserve"> ، ص 88 ، ح 60 ، عن على بن النعمان ، مع زيادة في أوّله وآخره </w:t>
      </w:r>
      <w:r w:rsidR="00B62755">
        <w:rPr>
          <w:rFonts w:hint="cs"/>
          <w:rtl/>
        </w:rPr>
        <w:t>.</w:t>
      </w:r>
      <w:r w:rsidR="008A74EB" w:rsidRPr="00993B55">
        <w:rPr>
          <w:rStyle w:val="libFootnoteBoldChar"/>
          <w:rtl/>
        </w:rPr>
        <w:t>الوافي</w:t>
      </w:r>
      <w:r w:rsidR="008A74EB" w:rsidRPr="00C9040A">
        <w:rPr>
          <w:rtl/>
        </w:rPr>
        <w:t xml:space="preserve"> ، ج 5 ، ص 887 ، ح 3223 ؛ الوسائل ، ج 16 ، ص 27 ، ح 20874.</w:t>
      </w:r>
      <w:r w:rsidR="00B62755">
        <w:rPr>
          <w:rFonts w:hint="cs"/>
          <w:rtl/>
        </w:rPr>
        <w:t xml:space="preserve">     </w:t>
      </w:r>
      <w:r>
        <w:rPr>
          <w:rtl/>
        </w:rPr>
        <w:t>(4).</w:t>
      </w:r>
      <w:r w:rsidR="008A74EB" w:rsidRPr="00C9040A">
        <w:rPr>
          <w:rtl/>
        </w:rPr>
        <w:t xml:space="preserve"> في « ب » : « يفسد »</w:t>
      </w:r>
      <w:r w:rsidR="008A74EB">
        <w:rPr>
          <w:rtl/>
        </w:rPr>
        <w:t>.</w:t>
      </w:r>
    </w:p>
    <w:p w:rsidR="008A74EB" w:rsidRPr="00C9040A" w:rsidRDefault="006C577F" w:rsidP="00B62755">
      <w:pPr>
        <w:pStyle w:val="libFootnote0"/>
        <w:rPr>
          <w:rtl/>
          <w:lang w:bidi="fa-IR"/>
        </w:rPr>
      </w:pPr>
      <w:r>
        <w:rPr>
          <w:rtl/>
        </w:rPr>
        <w:t>(5).</w:t>
      </w:r>
      <w:r w:rsidR="008A74EB" w:rsidRPr="00C9040A">
        <w:rPr>
          <w:rtl/>
        </w:rPr>
        <w:t xml:space="preserve"> </w:t>
      </w:r>
      <w:r w:rsidR="008A74EB" w:rsidRPr="00993B55">
        <w:rPr>
          <w:rStyle w:val="libFootnoteBoldChar"/>
          <w:rtl/>
        </w:rPr>
        <w:t>الزهد</w:t>
      </w:r>
      <w:r w:rsidR="008A74EB" w:rsidRPr="00C9040A">
        <w:rPr>
          <w:rtl/>
        </w:rPr>
        <w:t xml:space="preserve"> ، ص 93 ، ح 75 ، بسند آخر ، مع زيادة في أوّله. راجع : </w:t>
      </w:r>
      <w:r w:rsidR="008A74EB" w:rsidRPr="00993B55">
        <w:rPr>
          <w:rStyle w:val="libFootnoteBoldChar"/>
          <w:rtl/>
        </w:rPr>
        <w:t>الكافي</w:t>
      </w:r>
      <w:r w:rsidR="008A74EB" w:rsidRPr="00C9040A">
        <w:rPr>
          <w:rtl/>
        </w:rPr>
        <w:t xml:space="preserve"> ، كتاب الإيمان والكفر ، باب الغضب ، ح 2532 ؛ </w:t>
      </w:r>
      <w:r w:rsidR="008A74EB" w:rsidRPr="00B62755">
        <w:rPr>
          <w:rStyle w:val="libFootnoteBoldChar"/>
          <w:rtl/>
        </w:rPr>
        <w:t>و</w:t>
      </w:r>
      <w:r w:rsidR="008A74EB" w:rsidRPr="00993B55">
        <w:rPr>
          <w:rStyle w:val="libFootnoteBoldChar"/>
          <w:rtl/>
        </w:rPr>
        <w:t>الجعفريّات</w:t>
      </w:r>
      <w:r w:rsidR="008A74EB" w:rsidRPr="00C9040A">
        <w:rPr>
          <w:rtl/>
        </w:rPr>
        <w:t xml:space="preserve"> ، ص 163 </w:t>
      </w:r>
      <w:r w:rsidR="00B62755">
        <w:rPr>
          <w:rFonts w:hint="cs"/>
          <w:rtl/>
        </w:rPr>
        <w:t>.</w:t>
      </w:r>
      <w:r w:rsidR="008A74EB" w:rsidRPr="00993B55">
        <w:rPr>
          <w:rStyle w:val="libFootnoteBoldChar"/>
          <w:rtl/>
        </w:rPr>
        <w:t>الوافي</w:t>
      </w:r>
      <w:r w:rsidR="008A74EB" w:rsidRPr="00C9040A">
        <w:rPr>
          <w:rtl/>
        </w:rPr>
        <w:t xml:space="preserve"> ، ج 5 ، ص 887 ، ح 3224 ؛ </w:t>
      </w:r>
      <w:r w:rsidR="008A74EB" w:rsidRPr="00993B55">
        <w:rPr>
          <w:rStyle w:val="libFootnoteBoldChar"/>
          <w:rtl/>
        </w:rPr>
        <w:t>الوسائل</w:t>
      </w:r>
      <w:r w:rsidR="008A74EB" w:rsidRPr="00C9040A">
        <w:rPr>
          <w:rtl/>
        </w:rPr>
        <w:t xml:space="preserve"> ، ج 16 ، ص 27 ، ح 20875 ؛ </w:t>
      </w:r>
      <w:r w:rsidR="008A74EB" w:rsidRPr="00993B55">
        <w:rPr>
          <w:rStyle w:val="libFootnoteBoldChar"/>
          <w:rtl/>
        </w:rPr>
        <w:t>البحار</w:t>
      </w:r>
      <w:r w:rsidR="008A74EB" w:rsidRPr="00C9040A">
        <w:rPr>
          <w:rtl/>
        </w:rPr>
        <w:t xml:space="preserve"> ، ج 73 ، ص 296 ، ح 1.</w:t>
      </w:r>
      <w:r w:rsidR="00B62755">
        <w:rPr>
          <w:rFonts w:hint="cs"/>
          <w:rtl/>
        </w:rPr>
        <w:t xml:space="preserve">  </w:t>
      </w:r>
      <w:r>
        <w:rPr>
          <w:rtl/>
        </w:rPr>
        <w:t>(6).</w:t>
      </w:r>
      <w:r w:rsidR="008A74EB">
        <w:rPr>
          <w:rtl/>
        </w:rPr>
        <w:t xml:space="preserve"> </w:t>
      </w:r>
      <w:r w:rsidR="008A74EB" w:rsidRPr="00C9040A">
        <w:rPr>
          <w:rtl/>
        </w:rPr>
        <w:t>في « بر ، بف » : « رسول الله »</w:t>
      </w:r>
      <w:r w:rsidR="008A74EB">
        <w:rPr>
          <w:rtl/>
        </w:rPr>
        <w:t>.</w:t>
      </w:r>
    </w:p>
    <w:tbl>
      <w:tblPr>
        <w:tblStyle w:val="TableGrid"/>
        <w:bidiVisual/>
        <w:tblW w:w="0" w:type="auto"/>
        <w:tblLook w:val="04A0" w:firstRow="1" w:lastRow="0" w:firstColumn="1" w:lastColumn="0" w:noHBand="0" w:noVBand="1"/>
      </w:tblPr>
      <w:tblGrid>
        <w:gridCol w:w="4006"/>
        <w:gridCol w:w="4006"/>
      </w:tblGrid>
      <w:tr w:rsidR="00B62755" w:rsidTr="00B62755">
        <w:tc>
          <w:tcPr>
            <w:tcW w:w="4006" w:type="dxa"/>
          </w:tcPr>
          <w:p w:rsidR="00B62755" w:rsidRDefault="00B62755" w:rsidP="004A4E41">
            <w:pPr>
              <w:pStyle w:val="libFootnote0"/>
              <w:rPr>
                <w:rtl/>
              </w:rPr>
            </w:pPr>
            <w:r>
              <w:rPr>
                <w:rtl/>
              </w:rPr>
              <w:t>(7). في «</w:t>
            </w:r>
            <w:r w:rsidRPr="00C9040A">
              <w:rPr>
                <w:rtl/>
              </w:rPr>
              <w:t xml:space="preserve">ز ، </w:t>
            </w:r>
            <w:r>
              <w:rPr>
                <w:rtl/>
              </w:rPr>
              <w:t>ه ، بر</w:t>
            </w:r>
            <w:r w:rsidRPr="00C9040A">
              <w:rPr>
                <w:rtl/>
              </w:rPr>
              <w:t>» : « فكيف ذلك »</w:t>
            </w:r>
            <w:r>
              <w:rPr>
                <w:rtl/>
              </w:rPr>
              <w:t>.</w:t>
            </w:r>
          </w:p>
        </w:tc>
        <w:tc>
          <w:tcPr>
            <w:tcW w:w="4006" w:type="dxa"/>
          </w:tcPr>
          <w:p w:rsidR="00B62755" w:rsidRDefault="00B62755" w:rsidP="004A4E41">
            <w:pPr>
              <w:pStyle w:val="libFootnote0"/>
              <w:rPr>
                <w:rtl/>
              </w:rPr>
            </w:pPr>
            <w:r>
              <w:rPr>
                <w:rtl/>
              </w:rPr>
              <w:t>(8). في «</w:t>
            </w:r>
            <w:r w:rsidRPr="00C9040A">
              <w:rPr>
                <w:rtl/>
              </w:rPr>
              <w:t xml:space="preserve">ب ، ص ، </w:t>
            </w:r>
            <w:r>
              <w:rPr>
                <w:rtl/>
              </w:rPr>
              <w:t>ه ، بس</w:t>
            </w:r>
            <w:r w:rsidRPr="00C9040A">
              <w:rPr>
                <w:rtl/>
              </w:rPr>
              <w:t xml:space="preserve">» والوسائل </w:t>
            </w:r>
            <w:r>
              <w:rPr>
                <w:rtl/>
              </w:rPr>
              <w:t>: - «لأنّه</w:t>
            </w:r>
            <w:r w:rsidRPr="00C9040A">
              <w:rPr>
                <w:rtl/>
              </w:rPr>
              <w:t>»</w:t>
            </w:r>
            <w:r>
              <w:rPr>
                <w:rtl/>
              </w:rPr>
              <w:t>.</w:t>
            </w:r>
          </w:p>
        </w:tc>
      </w:tr>
    </w:tbl>
    <w:p w:rsidR="008A74EB" w:rsidRPr="00C9040A" w:rsidRDefault="006C577F" w:rsidP="004A4E41">
      <w:pPr>
        <w:pStyle w:val="libFootnote0"/>
        <w:rPr>
          <w:rtl/>
          <w:lang w:bidi="fa-IR"/>
        </w:rPr>
      </w:pPr>
      <w:r>
        <w:rPr>
          <w:rtl/>
        </w:rPr>
        <w:t>(9).</w:t>
      </w:r>
      <w:r w:rsidR="008A74EB" w:rsidRPr="00C9040A">
        <w:rPr>
          <w:rtl/>
        </w:rPr>
        <w:t xml:space="preserve"> </w:t>
      </w:r>
      <w:r w:rsidR="008A74EB" w:rsidRPr="00993B55">
        <w:rPr>
          <w:rStyle w:val="libFootnoteBoldChar"/>
          <w:rtl/>
        </w:rPr>
        <w:t>علل الشرائع</w:t>
      </w:r>
      <w:r w:rsidR="008A74EB" w:rsidRPr="00C9040A">
        <w:rPr>
          <w:rtl/>
        </w:rPr>
        <w:t xml:space="preserve"> ، ص 492 ، ح 1 </w:t>
      </w:r>
      <w:r w:rsidR="00B62755">
        <w:rPr>
          <w:rFonts w:hint="cs"/>
          <w:rtl/>
        </w:rPr>
        <w:t>.</w:t>
      </w:r>
      <w:r w:rsidR="008A74EB" w:rsidRPr="00993B55">
        <w:rPr>
          <w:rStyle w:val="libFootnoteBoldChar"/>
          <w:rtl/>
        </w:rPr>
        <w:t>الوافي</w:t>
      </w:r>
      <w:r w:rsidR="008A74EB" w:rsidRPr="00C9040A">
        <w:rPr>
          <w:rtl/>
        </w:rPr>
        <w:t xml:space="preserve"> ، ج 5 ، ص 888 ، ح 3228 ؛ </w:t>
      </w:r>
      <w:r w:rsidR="008A74EB" w:rsidRPr="00993B55">
        <w:rPr>
          <w:rStyle w:val="libFootnoteBoldChar"/>
          <w:rtl/>
        </w:rPr>
        <w:t>الوسائل</w:t>
      </w:r>
      <w:r w:rsidR="008A74EB" w:rsidRPr="00C9040A">
        <w:rPr>
          <w:rtl/>
        </w:rPr>
        <w:t xml:space="preserve"> ، ج 16 ، ص 27 ، ح 20876.</w:t>
      </w:r>
    </w:p>
    <w:p w:rsidR="008A74EB" w:rsidRPr="00C9040A" w:rsidRDefault="006C577F" w:rsidP="004A4E41">
      <w:pPr>
        <w:pStyle w:val="libFootnote0"/>
        <w:rPr>
          <w:rtl/>
          <w:lang w:bidi="fa-IR"/>
        </w:rPr>
      </w:pPr>
      <w:r>
        <w:rPr>
          <w:rtl/>
        </w:rPr>
        <w:t>(10).</w:t>
      </w:r>
      <w:r w:rsidR="008A74EB" w:rsidRPr="00C9040A">
        <w:rPr>
          <w:rtl/>
        </w:rPr>
        <w:t xml:space="preserve"> في « ب ، </w:t>
      </w:r>
      <w:r w:rsidR="006D3162">
        <w:rPr>
          <w:rtl/>
        </w:rPr>
        <w:t xml:space="preserve">ه </w:t>
      </w:r>
      <w:r w:rsidR="008A74EB" w:rsidRPr="00C9040A">
        <w:rPr>
          <w:rtl/>
        </w:rPr>
        <w:t>، بر » : « يفسد »</w:t>
      </w:r>
      <w:r w:rsidR="008A74EB">
        <w:rPr>
          <w:rtl/>
        </w:rPr>
        <w:t>.</w:t>
      </w:r>
    </w:p>
    <w:p w:rsidR="004B7F34" w:rsidRDefault="004B7F34" w:rsidP="004B7F34">
      <w:pPr>
        <w:pStyle w:val="libNormal"/>
        <w:rPr>
          <w:rtl/>
          <w:lang w:bidi="fa-IR"/>
        </w:rPr>
      </w:pPr>
      <w:r>
        <w:rPr>
          <w:rtl/>
          <w:lang w:bidi="fa-IR"/>
        </w:rPr>
        <w:br w:type="page"/>
      </w:r>
    </w:p>
    <w:p w:rsidR="008A74EB" w:rsidRPr="00C9040A" w:rsidRDefault="008A74EB" w:rsidP="008A74EB">
      <w:pPr>
        <w:pStyle w:val="libNormal0"/>
        <w:rPr>
          <w:rtl/>
          <w:lang w:bidi="fa-IR"/>
        </w:rPr>
      </w:pPr>
      <w:r w:rsidRPr="00C9040A">
        <w:rPr>
          <w:rtl/>
          <w:lang w:bidi="fa-IR"/>
        </w:rPr>
        <w:t xml:space="preserve">الْعَسَلَ </w:t>
      </w:r>
      <w:r w:rsidR="006C577F" w:rsidRPr="006C577F">
        <w:rPr>
          <w:rStyle w:val="libFootnotenumChar"/>
          <w:rtl/>
        </w:rPr>
        <w:t>(1)</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695E2A">
        <w:rPr>
          <w:rtl/>
        </w:rPr>
        <w:t>2612</w:t>
      </w:r>
      <w:r w:rsidRPr="00261CB0">
        <w:rPr>
          <w:rStyle w:val="libBold2Char"/>
          <w:rtl/>
        </w:rPr>
        <w:t xml:space="preserve"> / 4.</w:t>
      </w:r>
      <w:r w:rsidRPr="00C9040A">
        <w:rPr>
          <w:rtl/>
          <w:lang w:bidi="fa-IR"/>
        </w:rPr>
        <w:t xml:space="preserve"> عَنْهُ </w:t>
      </w:r>
      <w:r w:rsidR="006C577F" w:rsidRPr="006C577F">
        <w:rPr>
          <w:rStyle w:val="libFootnotenumChar"/>
          <w:rtl/>
        </w:rPr>
        <w:t>(3)</w:t>
      </w:r>
      <w:r w:rsidRPr="00C9040A">
        <w:rPr>
          <w:rtl/>
          <w:lang w:bidi="fa-IR"/>
        </w:rPr>
        <w:t xml:space="preserve"> ، عَنْ مُحَمَّدِ بْنِ إِسْمَاعِيلَ بْنِ بَزِيعٍ ، عَنْ عَبْدِ اللهِ بْنِ عُثْمَانَ ، عَنِ الْحُسَيْنِ بْنِ مِهْرَانَ ، عَنْ إِسْحَاقَ بْنِ غَالِبٍ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مَنْ سَاءَ </w:t>
      </w:r>
      <w:r w:rsidR="006C577F" w:rsidRPr="006C577F">
        <w:rPr>
          <w:rStyle w:val="libFootnotenumChar"/>
          <w:rtl/>
        </w:rPr>
        <w:t>(4)</w:t>
      </w:r>
      <w:r w:rsidRPr="00C9040A">
        <w:rPr>
          <w:rtl/>
          <w:lang w:bidi="fa-IR"/>
        </w:rPr>
        <w:t xml:space="preserve"> خُلُقُهُ ، عَذَّبَ نَفْسَهُ »</w:t>
      </w:r>
      <w:r>
        <w:rPr>
          <w:rtl/>
          <w:lang w:bidi="fa-IR"/>
        </w:rPr>
        <w:t>.</w:t>
      </w:r>
      <w:r w:rsidRPr="00C9040A">
        <w:rPr>
          <w:rtl/>
          <w:lang w:bidi="fa-IR"/>
        </w:rPr>
        <w:t xml:space="preserve"> </w:t>
      </w:r>
      <w:r w:rsidR="006C577F" w:rsidRPr="006C577F">
        <w:rPr>
          <w:rStyle w:val="libFootnotenumChar"/>
          <w:rtl/>
        </w:rPr>
        <w:t>(5)</w:t>
      </w:r>
      <w:r w:rsidRPr="00C9040A">
        <w:rPr>
          <w:rtl/>
          <w:lang w:bidi="fa-IR"/>
        </w:rPr>
        <w:t xml:space="preserve"> ‌</w:t>
      </w:r>
    </w:p>
    <w:p w:rsidR="008A74EB" w:rsidRPr="00C9040A" w:rsidRDefault="008A74EB" w:rsidP="008A74EB">
      <w:pPr>
        <w:pStyle w:val="libNormal"/>
        <w:rPr>
          <w:rtl/>
          <w:lang w:bidi="fa-IR"/>
        </w:rPr>
      </w:pPr>
      <w:r w:rsidRPr="00261CB0">
        <w:rPr>
          <w:rStyle w:val="libBold2Char"/>
          <w:rtl/>
        </w:rPr>
        <w:t>2613 / 5.</w:t>
      </w:r>
      <w:r w:rsidRPr="00C9040A">
        <w:rPr>
          <w:rtl/>
          <w:lang w:bidi="fa-IR"/>
        </w:rPr>
        <w:t xml:space="preserve"> عِدَّةٌ مِنْ أَصْحَابِنَا ، عَنْ سَهْلِ بْنِ زِيَادٍ ، عَنْ مُحَمَّدِ بْنِ عَبْدِ الْحَمِيدِ ، عَنْ يَحْيَى بْنِ عَمْرٍو ، عَنْ عَبْدِ اللهِ بْنِ سِنَانٍ ، قَالَ :</w:t>
      </w:r>
    </w:p>
    <w:p w:rsidR="008A74EB" w:rsidRPr="00C9040A" w:rsidRDefault="008A74EB" w:rsidP="008A74EB">
      <w:pPr>
        <w:pStyle w:val="libNormal"/>
        <w:rPr>
          <w:rtl/>
          <w:lang w:bidi="fa-IR"/>
        </w:rPr>
      </w:pPr>
      <w:r w:rsidRPr="00C9040A">
        <w:rPr>
          <w:rtl/>
          <w:lang w:bidi="fa-IR"/>
        </w:rPr>
        <w:t xml:space="preserve">قَالَ أَبُو عَبْدِ اللهِ </w:t>
      </w:r>
      <w:r w:rsidRPr="0003660B">
        <w:rPr>
          <w:rStyle w:val="libAlaemChar"/>
          <w:rtl/>
        </w:rPr>
        <w:t>عليه‌السلام</w:t>
      </w:r>
      <w:r w:rsidRPr="00C9040A">
        <w:rPr>
          <w:rtl/>
          <w:lang w:bidi="fa-IR"/>
        </w:rPr>
        <w:t xml:space="preserve"> : « أَوْحَى اللهُ</w:t>
      </w:r>
      <w:r>
        <w:rPr>
          <w:rtl/>
          <w:lang w:bidi="fa-IR"/>
        </w:rPr>
        <w:t xml:space="preserve"> </w:t>
      </w:r>
      <w:r w:rsidR="0084262C">
        <w:rPr>
          <w:rtl/>
          <w:lang w:bidi="fa-IR"/>
        </w:rPr>
        <w:t>-</w:t>
      </w:r>
      <w:r>
        <w:rPr>
          <w:rtl/>
          <w:lang w:bidi="fa-IR"/>
        </w:rPr>
        <w:t xml:space="preserve"> </w:t>
      </w:r>
      <w:r w:rsidRPr="00C9040A">
        <w:rPr>
          <w:rtl/>
          <w:lang w:bidi="fa-IR"/>
        </w:rPr>
        <w:t>عَزَّ وَجَلَّ</w:t>
      </w:r>
      <w:r>
        <w:rPr>
          <w:rtl/>
          <w:lang w:bidi="fa-IR"/>
        </w:rPr>
        <w:t xml:space="preserve"> </w:t>
      </w:r>
      <w:r w:rsidR="0084262C">
        <w:rPr>
          <w:rtl/>
          <w:lang w:bidi="fa-IR"/>
        </w:rPr>
        <w:t>-</w:t>
      </w:r>
      <w:r>
        <w:rPr>
          <w:rtl/>
          <w:lang w:bidi="fa-IR"/>
        </w:rPr>
        <w:t xml:space="preserve"> </w:t>
      </w:r>
      <w:r w:rsidRPr="00C9040A">
        <w:rPr>
          <w:rtl/>
          <w:lang w:bidi="fa-IR"/>
        </w:rPr>
        <w:t>إِلى بَعْضِ أَنْبِيَائِهِ : الْخُلُقُ السَّيِّئُ يُفْسِدُ الْعَمَلَ ، كَمَا يُفْسِدُ الْخَلُّ الْعَسَلَ »</w:t>
      </w:r>
      <w:r>
        <w:rPr>
          <w:rtl/>
          <w:lang w:bidi="fa-IR"/>
        </w:rPr>
        <w:t>.</w:t>
      </w:r>
      <w:r w:rsidRPr="00C9040A">
        <w:rPr>
          <w:rtl/>
          <w:lang w:bidi="fa-IR"/>
        </w:rPr>
        <w:t xml:space="preserve"> </w:t>
      </w:r>
      <w:r w:rsidR="006C577F" w:rsidRPr="006C577F">
        <w:rPr>
          <w:rStyle w:val="libFootnotenumChar"/>
          <w:rtl/>
        </w:rPr>
        <w:t>(6)</w:t>
      </w:r>
      <w:r w:rsidRPr="005B567D">
        <w:rPr>
          <w:rStyle w:val="libFootnotenumChar"/>
          <w:rtl/>
        </w:rPr>
        <w:t xml:space="preserve"> </w:t>
      </w:r>
      <w:r w:rsidRPr="00C9040A">
        <w:rPr>
          <w:rtl/>
          <w:lang w:bidi="fa-IR"/>
        </w:rPr>
        <w:t>‌</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أي إذا ا</w:t>
      </w:r>
      <w:r w:rsidR="00B62755">
        <w:rPr>
          <w:rFonts w:hint="cs"/>
          <w:rtl/>
        </w:rPr>
        <w:t>ُ</w:t>
      </w:r>
      <w:r w:rsidR="008A74EB" w:rsidRPr="00C9040A">
        <w:rPr>
          <w:rtl/>
        </w:rPr>
        <w:t xml:space="preserve">دخل الخلّ العسل ذهبت حلاوته وخاصّيّته وصار المجموع شيئاً آخر ، فكذا الإيمان إذا دخله سوء الخلق فسد ولم يبق على صرافته وتغيّرت آثاره فلا يسمّى إيماناً حقيقة. أو المعنى : أنّه إذا كان طعم العسل في الذائقة فشرب الخلّ ، ذهبت تلك الحلاوة بالكلّيّة فلا يجد طعم العسل ، فكذا سوء الخلق إذا ورد على صاحب الإيمان لم يجد حلاوته وذهبت فوائده. راجع : </w:t>
      </w:r>
      <w:r w:rsidR="008A74EB" w:rsidRPr="00993B55">
        <w:rPr>
          <w:rStyle w:val="libFootnoteBoldChar"/>
          <w:rtl/>
        </w:rPr>
        <w:t>مرآة العقول</w:t>
      </w:r>
      <w:r w:rsidR="008A74EB" w:rsidRPr="00C9040A">
        <w:rPr>
          <w:rtl/>
        </w:rPr>
        <w:t xml:space="preserve"> ، ج 10 ، ص 141.</w:t>
      </w:r>
    </w:p>
    <w:p w:rsidR="008A74EB" w:rsidRPr="00C9040A" w:rsidRDefault="006C577F" w:rsidP="004A4E41">
      <w:pPr>
        <w:pStyle w:val="libFootnote0"/>
        <w:rPr>
          <w:rtl/>
          <w:lang w:bidi="fa-IR"/>
        </w:rPr>
      </w:pPr>
      <w:r>
        <w:rPr>
          <w:rtl/>
        </w:rPr>
        <w:t>(2).</w:t>
      </w:r>
      <w:r w:rsidR="008A74EB">
        <w:rPr>
          <w:rtl/>
        </w:rPr>
        <w:t xml:space="preserve"> </w:t>
      </w:r>
      <w:r w:rsidR="008A74EB" w:rsidRPr="00993B55">
        <w:rPr>
          <w:rStyle w:val="libFootnoteBoldChar"/>
          <w:rtl/>
        </w:rPr>
        <w:t>الكافي</w:t>
      </w:r>
      <w:r w:rsidR="008A74EB" w:rsidRPr="00C9040A">
        <w:rPr>
          <w:rtl/>
        </w:rPr>
        <w:t xml:space="preserve"> ، كتاب الإيمان والكفر ، باب الغضب ، ح 2531 ، بسند آخر عن أبي عبدالله </w:t>
      </w:r>
      <w:r w:rsidR="00117575" w:rsidRPr="00117575">
        <w:rPr>
          <w:rStyle w:val="libFootnoteAlaemChar"/>
          <w:rtl/>
        </w:rPr>
        <w:t xml:space="preserve">عليه‌السلام </w:t>
      </w:r>
      <w:r w:rsidR="008A74EB" w:rsidRPr="00C9040A">
        <w:rPr>
          <w:rtl/>
        </w:rPr>
        <w:t xml:space="preserve"> عن رسول الله </w:t>
      </w:r>
      <w:r w:rsidR="004A4E41" w:rsidRPr="00B62755">
        <w:rPr>
          <w:rStyle w:val="libFootnoteAlaemChar"/>
          <w:rtl/>
        </w:rPr>
        <w:t>صلى‌الله‌عليه‌وآله</w:t>
      </w:r>
      <w:r w:rsidR="008A74EB" w:rsidRPr="00C9040A">
        <w:rPr>
          <w:rtl/>
        </w:rPr>
        <w:t xml:space="preserve"> ، وفيه « الغضب » بدل « سوء الخلق » </w:t>
      </w:r>
      <w:r w:rsidR="00B62755">
        <w:rPr>
          <w:rFonts w:hint="cs"/>
          <w:rtl/>
        </w:rPr>
        <w:t>.</w:t>
      </w:r>
      <w:r w:rsidR="008A74EB" w:rsidRPr="00993B55">
        <w:rPr>
          <w:rStyle w:val="libFootnoteBoldChar"/>
          <w:rtl/>
        </w:rPr>
        <w:t>الوافي</w:t>
      </w:r>
      <w:r w:rsidR="008A74EB" w:rsidRPr="00C9040A">
        <w:rPr>
          <w:rtl/>
        </w:rPr>
        <w:t xml:space="preserve"> ، ج 5 ، ص 887 ، ح 3225 ؛ </w:t>
      </w:r>
      <w:r w:rsidR="008A74EB" w:rsidRPr="00993B55">
        <w:rPr>
          <w:rStyle w:val="libFootnoteBoldChar"/>
          <w:rtl/>
        </w:rPr>
        <w:t>الوسائل</w:t>
      </w:r>
      <w:r w:rsidR="008A74EB" w:rsidRPr="00C9040A">
        <w:rPr>
          <w:rtl/>
        </w:rPr>
        <w:t xml:space="preserve"> ، ج 16 ، ص 27 ، ح 20877.</w:t>
      </w:r>
    </w:p>
    <w:p w:rsidR="008A74EB" w:rsidRPr="00C9040A" w:rsidRDefault="006C577F" w:rsidP="004A4E41">
      <w:pPr>
        <w:pStyle w:val="libFootnote0"/>
        <w:rPr>
          <w:rtl/>
          <w:lang w:bidi="fa-IR"/>
        </w:rPr>
      </w:pPr>
      <w:r>
        <w:rPr>
          <w:rtl/>
        </w:rPr>
        <w:t>(3).</w:t>
      </w:r>
      <w:r w:rsidR="008A74EB" w:rsidRPr="00C9040A">
        <w:rPr>
          <w:rtl/>
        </w:rPr>
        <w:t xml:space="preserve"> الضمير راجع إلى أحمد بن محمّد بن خالد المذكور في السند السابق.</w:t>
      </w:r>
    </w:p>
    <w:p w:rsidR="008A74EB" w:rsidRPr="00C9040A" w:rsidRDefault="006C577F" w:rsidP="004A4E41">
      <w:pPr>
        <w:pStyle w:val="libFootnote0"/>
        <w:rPr>
          <w:rtl/>
          <w:lang w:bidi="fa-IR"/>
        </w:rPr>
      </w:pPr>
      <w:r>
        <w:rPr>
          <w:rtl/>
        </w:rPr>
        <w:t>(4).</w:t>
      </w:r>
      <w:r w:rsidR="008A74EB" w:rsidRPr="00C9040A">
        <w:rPr>
          <w:rtl/>
        </w:rPr>
        <w:t xml:space="preserve"> في الفقيه و</w:t>
      </w:r>
      <w:r w:rsidR="008A74EB" w:rsidRPr="0034021D">
        <w:rPr>
          <w:rStyle w:val="libFootnoteBoldChar"/>
          <w:rtl/>
        </w:rPr>
        <w:t>الأمالي للصدوق</w:t>
      </w:r>
      <w:r w:rsidR="008A74EB" w:rsidRPr="00C9040A">
        <w:rPr>
          <w:rtl/>
        </w:rPr>
        <w:t xml:space="preserve"> ، ص 205 : « أساء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w:t>
      </w:r>
      <w:r w:rsidR="008A74EB" w:rsidRPr="0034021D">
        <w:rPr>
          <w:rStyle w:val="libFootnoteBoldChar"/>
          <w:rtl/>
        </w:rPr>
        <w:t>الأمالي للصدوق</w:t>
      </w:r>
      <w:r w:rsidR="008A74EB" w:rsidRPr="00C9040A">
        <w:rPr>
          <w:rtl/>
        </w:rPr>
        <w:t xml:space="preserve"> ، ص 205 ، المجلس 37 ، ح 3 ، بسنده عن أحمد بن محمّد بن عيسى ، عن محمّد بن إسماعيل بن بزيع. </w:t>
      </w:r>
      <w:r w:rsidR="008A74EB" w:rsidRPr="00993B55">
        <w:rPr>
          <w:rStyle w:val="libFootnoteBoldChar"/>
          <w:rtl/>
        </w:rPr>
        <w:t>وفيه</w:t>
      </w:r>
      <w:r w:rsidR="008A74EB" w:rsidRPr="00C9040A">
        <w:rPr>
          <w:rtl/>
        </w:rPr>
        <w:t xml:space="preserve"> ، ص 543 ، المجلس 81 ، ضمن ح 3 ، بسند آخر ؛ </w:t>
      </w:r>
      <w:r w:rsidR="008A74EB" w:rsidRPr="00993B55">
        <w:rPr>
          <w:rStyle w:val="libFootnoteBoldChar"/>
          <w:rtl/>
        </w:rPr>
        <w:t>الأمال</w:t>
      </w:r>
      <w:r w:rsidR="008A74EB" w:rsidRPr="008D3B11">
        <w:rPr>
          <w:rStyle w:val="libFootnoteBoldChar"/>
          <w:rtl/>
        </w:rPr>
        <w:t>ي للطوسي</w:t>
      </w:r>
      <w:r w:rsidR="008A74EB" w:rsidRPr="00C9040A">
        <w:rPr>
          <w:rtl/>
        </w:rPr>
        <w:t xml:space="preserve"> ، ص 512 ، المجلس 18 ، ضمن ح 26 ، بسند آخر عن أبي جعفر ، عن آبائه </w:t>
      </w:r>
      <w:r w:rsidR="00117575" w:rsidRPr="00117575">
        <w:rPr>
          <w:rStyle w:val="libFootnoteAlaemChar"/>
          <w:rtl/>
        </w:rPr>
        <w:t>عليهم‌السلام</w:t>
      </w:r>
      <w:r w:rsidR="008A74EB" w:rsidRPr="00C9040A">
        <w:rPr>
          <w:rtl/>
        </w:rPr>
        <w:t xml:space="preserve"> عن رسول الله </w:t>
      </w:r>
      <w:r w:rsidR="004A4E41" w:rsidRPr="008D3B11">
        <w:rPr>
          <w:rStyle w:val="libFootnoteAlaemChar"/>
          <w:rtl/>
        </w:rPr>
        <w:t>صلى‌الله‌عليه‌وآله</w:t>
      </w:r>
      <w:r w:rsidR="008A74EB" w:rsidRPr="00C9040A">
        <w:rPr>
          <w:rtl/>
        </w:rPr>
        <w:t xml:space="preserve">. </w:t>
      </w:r>
      <w:r w:rsidR="008A74EB" w:rsidRPr="00993B55">
        <w:rPr>
          <w:rStyle w:val="libFootnoteBoldChar"/>
          <w:rtl/>
        </w:rPr>
        <w:t>الفقيه</w:t>
      </w:r>
      <w:r w:rsidR="008A74EB" w:rsidRPr="00C9040A">
        <w:rPr>
          <w:rtl/>
        </w:rPr>
        <w:t xml:space="preserve"> ، ج 4 ، ص 388 ، ضمن الحديث الطويل 5834 ، مرسلاً عن أميرالمؤمنين </w:t>
      </w:r>
      <w:r w:rsidR="00117575" w:rsidRPr="00117575">
        <w:rPr>
          <w:rStyle w:val="libFootnoteAlaemChar"/>
          <w:rtl/>
        </w:rPr>
        <w:t>عليه‌السلام</w:t>
      </w:r>
      <w:r w:rsidR="008A74EB" w:rsidRPr="00C9040A">
        <w:rPr>
          <w:rtl/>
        </w:rPr>
        <w:t xml:space="preserve"> ؛ </w:t>
      </w:r>
      <w:r w:rsidR="008A74EB" w:rsidRPr="00993B55">
        <w:rPr>
          <w:rStyle w:val="libFootnoteBoldChar"/>
          <w:rtl/>
        </w:rPr>
        <w:t>تحف العقول</w:t>
      </w:r>
      <w:r w:rsidR="008A74EB" w:rsidRPr="00C9040A">
        <w:rPr>
          <w:rtl/>
        </w:rPr>
        <w:t xml:space="preserve"> ، ص 363 ؛ </w:t>
      </w:r>
      <w:r w:rsidR="008A74EB" w:rsidRPr="00993B55">
        <w:rPr>
          <w:rStyle w:val="libFootnoteBoldChar"/>
          <w:rtl/>
        </w:rPr>
        <w:t>وفيه</w:t>
      </w:r>
      <w:r w:rsidR="008A74EB" w:rsidRPr="00C9040A">
        <w:rPr>
          <w:rtl/>
        </w:rPr>
        <w:t xml:space="preserve"> ، ص 58 ، عن النبيّ </w:t>
      </w:r>
      <w:r w:rsidR="004A4E41" w:rsidRPr="008D3B11">
        <w:rPr>
          <w:rStyle w:val="libFootnoteAlaemChar"/>
          <w:rtl/>
        </w:rPr>
        <w:t>صلى‌الله‌عليه‌وآله</w:t>
      </w:r>
      <w:r w:rsidR="008A74EB" w:rsidRPr="00C9040A">
        <w:rPr>
          <w:rtl/>
        </w:rPr>
        <w:t xml:space="preserve"> ، مع زيادة في أوّله وآخره </w:t>
      </w:r>
      <w:r w:rsidR="008D3B11">
        <w:rPr>
          <w:rFonts w:hint="cs"/>
          <w:rtl/>
        </w:rPr>
        <w:t>.</w:t>
      </w:r>
      <w:r w:rsidR="008A74EB" w:rsidRPr="00993B55">
        <w:rPr>
          <w:rStyle w:val="libFootnoteBoldChar"/>
          <w:rtl/>
        </w:rPr>
        <w:t>الوافي</w:t>
      </w:r>
      <w:r w:rsidR="008A74EB" w:rsidRPr="00C9040A">
        <w:rPr>
          <w:rtl/>
        </w:rPr>
        <w:t xml:space="preserve"> ، ج 5 ، ص 888 ، ح 3227 ؛ </w:t>
      </w:r>
      <w:r w:rsidR="008A74EB" w:rsidRPr="00993B55">
        <w:rPr>
          <w:rStyle w:val="libFootnoteBoldChar"/>
          <w:rtl/>
        </w:rPr>
        <w:t>الوسائل</w:t>
      </w:r>
      <w:r w:rsidR="008A74EB" w:rsidRPr="00C9040A">
        <w:rPr>
          <w:rtl/>
        </w:rPr>
        <w:t xml:space="preserve"> ، ج 16 ، ص 28 ، ح 20878.</w:t>
      </w:r>
    </w:p>
    <w:p w:rsidR="008A74EB" w:rsidRPr="00C9040A" w:rsidRDefault="006C577F" w:rsidP="004A4E41">
      <w:pPr>
        <w:pStyle w:val="libFootnote0"/>
        <w:rPr>
          <w:rtl/>
          <w:lang w:bidi="fa-IR"/>
        </w:rPr>
      </w:pPr>
      <w:r>
        <w:rPr>
          <w:rtl/>
        </w:rPr>
        <w:t>(6).</w:t>
      </w:r>
      <w:r w:rsidR="008A74EB">
        <w:rPr>
          <w:rtl/>
        </w:rPr>
        <w:t xml:space="preserve"> </w:t>
      </w:r>
      <w:r w:rsidR="008A74EB" w:rsidRPr="00993B55">
        <w:rPr>
          <w:rStyle w:val="libFootnoteBoldChar"/>
          <w:rtl/>
        </w:rPr>
        <w:t>عيون الأخبار</w:t>
      </w:r>
      <w:r w:rsidR="008A74EB" w:rsidRPr="00C9040A">
        <w:rPr>
          <w:rtl/>
        </w:rPr>
        <w:t xml:space="preserve"> ، ج 2 ، ص 37 ، ح 96 ؛ </w:t>
      </w:r>
      <w:r w:rsidR="008A74EB" w:rsidRPr="008D3B11">
        <w:rPr>
          <w:rStyle w:val="libFootnoteBoldChar"/>
          <w:rtl/>
        </w:rPr>
        <w:t>و</w:t>
      </w:r>
      <w:r w:rsidR="008A74EB" w:rsidRPr="00993B55">
        <w:rPr>
          <w:rStyle w:val="libFootnoteBoldChar"/>
          <w:rtl/>
        </w:rPr>
        <w:t xml:space="preserve">صحيفة الرضا </w:t>
      </w:r>
      <w:r w:rsidR="00117575" w:rsidRPr="00117575">
        <w:rPr>
          <w:rStyle w:val="libFootnoteAlaemChar"/>
          <w:rtl/>
        </w:rPr>
        <w:t>عليه‌السلام</w:t>
      </w:r>
      <w:r w:rsidR="008A74EB" w:rsidRPr="00C9040A">
        <w:rPr>
          <w:rtl/>
        </w:rPr>
        <w:t xml:space="preserve"> ، ص 65 ، ح 113 ، بسند آخر عن الرضا ، عن آبائه </w:t>
      </w:r>
      <w:r w:rsidR="00117575" w:rsidRPr="00117575">
        <w:rPr>
          <w:rStyle w:val="libFootnoteAlaemChar"/>
          <w:rtl/>
        </w:rPr>
        <w:t>عليهم‌السلام</w:t>
      </w:r>
      <w:r w:rsidR="008A74EB" w:rsidRPr="00C9040A">
        <w:rPr>
          <w:rtl/>
        </w:rPr>
        <w:t xml:space="preserve"> عن رسول الله </w:t>
      </w:r>
      <w:r w:rsidR="004A4E41" w:rsidRPr="008D3B11">
        <w:rPr>
          <w:rStyle w:val="libFootnoteAlaemChar"/>
          <w:rtl/>
        </w:rPr>
        <w:t>صلى‌الله‌عليه‌وآله</w:t>
      </w:r>
      <w:r w:rsidR="008A74EB" w:rsidRPr="00C9040A">
        <w:rPr>
          <w:rtl/>
        </w:rPr>
        <w:t xml:space="preserve"> ، هكذا : « قال رسول الله </w:t>
      </w:r>
      <w:r w:rsidR="004A4E41" w:rsidRPr="008D3B11">
        <w:rPr>
          <w:rStyle w:val="libFootnoteAlaemChar"/>
          <w:rtl/>
        </w:rPr>
        <w:t>صلى‌الله‌عليه‌وآله</w:t>
      </w:r>
      <w:r w:rsidR="008A74EB" w:rsidRPr="00C9040A">
        <w:rPr>
          <w:rtl/>
        </w:rPr>
        <w:t xml:space="preserve"> : الخلق السيّئ يفسد</w:t>
      </w:r>
      <w:r w:rsidR="008A74EB">
        <w:rPr>
          <w:rtl/>
        </w:rPr>
        <w:t xml:space="preserve"> ..</w:t>
      </w:r>
      <w:r w:rsidR="008A74EB" w:rsidRPr="00C9040A">
        <w:rPr>
          <w:rtl/>
        </w:rPr>
        <w:t xml:space="preserve">. » </w:t>
      </w:r>
      <w:r w:rsidR="008D3B11">
        <w:rPr>
          <w:rFonts w:hint="cs"/>
          <w:rtl/>
        </w:rPr>
        <w:t>.</w:t>
      </w:r>
      <w:r w:rsidR="008A74EB" w:rsidRPr="00993B55">
        <w:rPr>
          <w:rStyle w:val="libFootnoteBoldChar"/>
          <w:rtl/>
        </w:rPr>
        <w:t>الوافي</w:t>
      </w:r>
      <w:r w:rsidR="008A74EB" w:rsidRPr="00C9040A">
        <w:rPr>
          <w:rtl/>
        </w:rPr>
        <w:t xml:space="preserve"> ، ج 5 ، ص 888 ، ح 3226 ؛ </w:t>
      </w:r>
      <w:r w:rsidR="008A74EB" w:rsidRPr="00993B55">
        <w:rPr>
          <w:rStyle w:val="libFootnoteBoldChar"/>
          <w:rtl/>
        </w:rPr>
        <w:t>الوسائل</w:t>
      </w:r>
      <w:r w:rsidR="008A74EB" w:rsidRPr="00C9040A">
        <w:rPr>
          <w:rtl/>
        </w:rPr>
        <w:t xml:space="preserve"> ، ج 16 ، ص 28 ، ح 20879.</w:t>
      </w:r>
    </w:p>
    <w:p w:rsidR="004B7F34" w:rsidRDefault="004B7F34" w:rsidP="004B7F34">
      <w:pPr>
        <w:pStyle w:val="libNormal"/>
        <w:rPr>
          <w:rtl/>
          <w:lang w:bidi="fa-IR"/>
        </w:rPr>
      </w:pPr>
      <w:r>
        <w:rPr>
          <w:rtl/>
          <w:lang w:bidi="fa-IR"/>
        </w:rPr>
        <w:br w:type="page"/>
      </w:r>
    </w:p>
    <w:p w:rsidR="008A74EB" w:rsidRPr="00C9040A" w:rsidRDefault="008A74EB" w:rsidP="008A74EB">
      <w:pPr>
        <w:pStyle w:val="Heading2Center"/>
        <w:rPr>
          <w:rtl/>
          <w:lang w:bidi="fa-IR"/>
        </w:rPr>
      </w:pPr>
      <w:bookmarkStart w:id="400" w:name="_Toc343795721"/>
      <w:bookmarkStart w:id="401" w:name="_Toc459810845"/>
      <w:bookmarkStart w:id="402" w:name="_Toc35348751"/>
      <w:r w:rsidRPr="00C9040A">
        <w:rPr>
          <w:rtl/>
          <w:lang w:bidi="fa-IR"/>
        </w:rPr>
        <w:t>130</w:t>
      </w:r>
      <w:r>
        <w:rPr>
          <w:rtl/>
          <w:lang w:bidi="fa-IR"/>
        </w:rPr>
        <w:t xml:space="preserve"> </w:t>
      </w:r>
      <w:r w:rsidR="0084262C">
        <w:rPr>
          <w:rtl/>
          <w:lang w:bidi="fa-IR"/>
        </w:rPr>
        <w:t>-</w:t>
      </w:r>
      <w:r>
        <w:rPr>
          <w:rtl/>
          <w:lang w:bidi="fa-IR"/>
        </w:rPr>
        <w:t xml:space="preserve"> </w:t>
      </w:r>
      <w:r w:rsidRPr="00C9040A">
        <w:rPr>
          <w:rtl/>
          <w:lang w:bidi="fa-IR"/>
        </w:rPr>
        <w:t>بَابُ السَّفَهِ‌</w:t>
      </w:r>
      <w:bookmarkEnd w:id="400"/>
      <w:bookmarkEnd w:id="401"/>
      <w:bookmarkEnd w:id="402"/>
    </w:p>
    <w:p w:rsidR="008A74EB" w:rsidRPr="00C9040A" w:rsidRDefault="008A74EB" w:rsidP="008A74EB">
      <w:pPr>
        <w:pStyle w:val="libNormal"/>
        <w:rPr>
          <w:rtl/>
          <w:lang w:bidi="fa-IR"/>
        </w:rPr>
      </w:pPr>
      <w:r w:rsidRPr="00695E2A">
        <w:rPr>
          <w:rtl/>
        </w:rPr>
        <w:t>2614</w:t>
      </w:r>
      <w:r w:rsidRPr="00261CB0">
        <w:rPr>
          <w:rStyle w:val="libBold2Char"/>
          <w:rtl/>
        </w:rPr>
        <w:t xml:space="preserve"> / 1.</w:t>
      </w:r>
      <w:r w:rsidRPr="00C9040A">
        <w:rPr>
          <w:rtl/>
          <w:lang w:bidi="fa-IR"/>
        </w:rPr>
        <w:t xml:space="preserve"> عِدَّةٌ مِنْ أَصْحَابِنَا ، عَنْ أَحْمَدَ بْنِ مُحَمَّدِ بْنِ خَالِدٍ </w:t>
      </w:r>
      <w:r w:rsidR="006C577F" w:rsidRPr="006C577F">
        <w:rPr>
          <w:rStyle w:val="libFootnotenumChar"/>
          <w:rtl/>
        </w:rPr>
        <w:t>(1)</w:t>
      </w:r>
      <w:r w:rsidRPr="00C9040A">
        <w:rPr>
          <w:rtl/>
          <w:lang w:bidi="fa-IR"/>
        </w:rPr>
        <w:t xml:space="preserve"> ، عَنْ شَرِيفِ بْنِ سَابِقٍ ، عَنِ الْفَضْلِ بْنِ أَبِي قُرَّةَ </w:t>
      </w:r>
      <w:r w:rsidR="006C577F" w:rsidRPr="006C577F">
        <w:rPr>
          <w:rStyle w:val="libFootnotenumChar"/>
          <w:rtl/>
        </w:rPr>
        <w:t>(2)</w:t>
      </w:r>
      <w:r w:rsidRPr="00C9040A">
        <w:rPr>
          <w:rtl/>
          <w:lang w:bidi="fa-IR"/>
        </w:rPr>
        <w:t xml:space="preserve">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إِنَّ السَّفَهَ </w:t>
      </w:r>
      <w:r w:rsidR="006C577F" w:rsidRPr="006C577F">
        <w:rPr>
          <w:rStyle w:val="libFootnotenumChar"/>
          <w:rtl/>
        </w:rPr>
        <w:t>(3)</w:t>
      </w:r>
      <w:r w:rsidRPr="00C9040A">
        <w:rPr>
          <w:rtl/>
          <w:lang w:bidi="fa-IR"/>
        </w:rPr>
        <w:t xml:space="preserve"> خُلُقُ لَئِيمٍ </w:t>
      </w:r>
      <w:r w:rsidR="006C577F" w:rsidRPr="006C577F">
        <w:rPr>
          <w:rStyle w:val="libFootnotenumChar"/>
          <w:rtl/>
        </w:rPr>
        <w:t>(4)</w:t>
      </w:r>
      <w:r w:rsidRPr="00C9040A">
        <w:rPr>
          <w:rtl/>
          <w:lang w:bidi="fa-IR"/>
        </w:rPr>
        <w:t xml:space="preserve"> ، يَسْتَطِيلُ </w:t>
      </w:r>
      <w:r w:rsidR="006C577F" w:rsidRPr="006C577F">
        <w:rPr>
          <w:rStyle w:val="libFootnotenumChar"/>
          <w:rtl/>
        </w:rPr>
        <w:t>(5)</w:t>
      </w:r>
      <w:r w:rsidRPr="00C9040A">
        <w:rPr>
          <w:rtl/>
          <w:lang w:bidi="fa-IR"/>
        </w:rPr>
        <w:t xml:space="preserve"> عَلى مَنْ هُوَ </w:t>
      </w:r>
      <w:r w:rsidR="006C577F" w:rsidRPr="006C577F">
        <w:rPr>
          <w:rStyle w:val="libFootnotenumChar"/>
          <w:rtl/>
        </w:rPr>
        <w:t>(6)</w:t>
      </w:r>
      <w:r w:rsidRPr="005B567D">
        <w:rPr>
          <w:rStyle w:val="libFootnotenumChar"/>
          <w:rtl/>
        </w:rPr>
        <w:t xml:space="preserve"> </w:t>
      </w:r>
      <w:r w:rsidRPr="00C9040A">
        <w:rPr>
          <w:rtl/>
          <w:lang w:bidi="fa-IR"/>
        </w:rPr>
        <w:t xml:space="preserve">دُونَهُ ، وَيَخْضَعُ لِمَنْ هُوَ </w:t>
      </w:r>
      <w:r w:rsidR="006C577F" w:rsidRPr="006C577F">
        <w:rPr>
          <w:rStyle w:val="libFootnotenumChar"/>
          <w:rtl/>
        </w:rPr>
        <w:t>(7)</w:t>
      </w:r>
      <w:r w:rsidRPr="00C9040A">
        <w:rPr>
          <w:rtl/>
          <w:lang w:bidi="fa-IR"/>
        </w:rPr>
        <w:t xml:space="preserve"> فَوْقَهُ »</w:t>
      </w:r>
      <w:r>
        <w:rPr>
          <w:rtl/>
          <w:lang w:bidi="fa-IR"/>
        </w:rPr>
        <w:t>.</w:t>
      </w:r>
      <w:r w:rsidRPr="00C9040A">
        <w:rPr>
          <w:rtl/>
          <w:lang w:bidi="fa-IR"/>
        </w:rPr>
        <w:t xml:space="preserve"> </w:t>
      </w:r>
      <w:r w:rsidR="006C577F" w:rsidRPr="006C577F">
        <w:rPr>
          <w:rStyle w:val="libFootnotenumChar"/>
          <w:rtl/>
        </w:rPr>
        <w:t>(8)</w:t>
      </w:r>
      <w:r w:rsidRPr="00C9040A">
        <w:rPr>
          <w:rtl/>
          <w:lang w:bidi="fa-IR"/>
        </w:rPr>
        <w:t xml:space="preserve"> ‌</w:t>
      </w:r>
    </w:p>
    <w:p w:rsidR="008A74EB" w:rsidRPr="00C9040A" w:rsidRDefault="008A74EB" w:rsidP="008A74EB">
      <w:pPr>
        <w:pStyle w:val="libNormal"/>
        <w:rPr>
          <w:rtl/>
          <w:lang w:bidi="fa-IR"/>
        </w:rPr>
      </w:pPr>
      <w:r w:rsidRPr="00695E2A">
        <w:rPr>
          <w:rtl/>
        </w:rPr>
        <w:t>2615</w:t>
      </w:r>
      <w:r w:rsidRPr="00261CB0">
        <w:rPr>
          <w:rStyle w:val="libBold2Char"/>
          <w:rtl/>
        </w:rPr>
        <w:t xml:space="preserve"> / 2.</w:t>
      </w:r>
      <w:r w:rsidRPr="00C9040A">
        <w:rPr>
          <w:rtl/>
          <w:lang w:bidi="fa-IR"/>
        </w:rPr>
        <w:t xml:space="preserve"> مُحَمَّدُ بْنُ يَحْيى ، عَنْ أَحْمَدَ بْنِ مُحَمَّدِ بْنِ عِيسى ، عَنْ بَعْضِ أَصْحَابِهِ ، عَنْ أَبِي الْمَغْرَاءِ ، عَنِ الْحَلَبِيِّ :</w:t>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لَا تَسْفَهُوا </w:t>
      </w:r>
      <w:r w:rsidR="006C577F" w:rsidRPr="006C577F">
        <w:rPr>
          <w:rStyle w:val="libFootnotenumChar"/>
          <w:rtl/>
        </w:rPr>
        <w:t>(9)</w:t>
      </w:r>
      <w:r w:rsidRPr="00C9040A">
        <w:rPr>
          <w:rtl/>
          <w:lang w:bidi="fa-IR"/>
        </w:rPr>
        <w:t xml:space="preserve"> ؛ فَإِنَّ أَئِمَّتَكُمْ لَيْسُوا بِسُفَهَاءَ »</w:t>
      </w:r>
      <w:r>
        <w:rPr>
          <w:rtl/>
          <w:lang w:bidi="fa-IR"/>
        </w:rPr>
        <w:t>.</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 بس » </w:t>
      </w:r>
      <w:r w:rsidR="008A74EB">
        <w:rPr>
          <w:rtl/>
        </w:rPr>
        <w:t xml:space="preserve">: </w:t>
      </w:r>
      <w:r w:rsidR="0084262C">
        <w:rPr>
          <w:rtl/>
        </w:rPr>
        <w:t>-</w:t>
      </w:r>
      <w:r w:rsidR="008A74EB" w:rsidRPr="00C9040A">
        <w:rPr>
          <w:rtl/>
        </w:rPr>
        <w:t xml:space="preserve"> « بن خالد »</w:t>
      </w:r>
      <w:r w:rsidR="008A74EB">
        <w:rPr>
          <w:rtl/>
        </w:rPr>
        <w:t>.</w:t>
      </w:r>
    </w:p>
    <w:p w:rsidR="008A74EB" w:rsidRPr="00C9040A" w:rsidRDefault="006C577F" w:rsidP="004A4E41">
      <w:pPr>
        <w:pStyle w:val="libFootnote0"/>
        <w:rPr>
          <w:rtl/>
          <w:lang w:bidi="fa-IR"/>
        </w:rPr>
      </w:pPr>
      <w:r>
        <w:rPr>
          <w:rtl/>
        </w:rPr>
        <w:t>(2).</w:t>
      </w:r>
      <w:r w:rsidR="008A74EB">
        <w:rPr>
          <w:rtl/>
        </w:rPr>
        <w:t xml:space="preserve"> </w:t>
      </w:r>
      <w:r w:rsidR="008A74EB" w:rsidRPr="00C9040A">
        <w:rPr>
          <w:rtl/>
        </w:rPr>
        <w:t>هكذا في « ز ، جر » والوافي والوسائل والبحار. وفي سائر النسخ والمطبوع : « الفضل بن أبي غرّة »</w:t>
      </w:r>
      <w:r w:rsidR="008A74EB">
        <w:rPr>
          <w:rtl/>
        </w:rPr>
        <w:t>.</w:t>
      </w:r>
      <w:r w:rsidR="008A74EB" w:rsidRPr="00C9040A">
        <w:rPr>
          <w:rtl/>
        </w:rPr>
        <w:t xml:space="preserve"> والمذكور في مصادرنا الرجاليّة هو الفضل بن أبي قرّة. راجع : </w:t>
      </w:r>
      <w:r w:rsidR="008A74EB" w:rsidRPr="00993B55">
        <w:rPr>
          <w:rStyle w:val="libFootnoteBoldChar"/>
          <w:rtl/>
        </w:rPr>
        <w:t>رجال النجاشي</w:t>
      </w:r>
      <w:r w:rsidR="008A74EB" w:rsidRPr="00C9040A">
        <w:rPr>
          <w:rtl/>
        </w:rPr>
        <w:t xml:space="preserve"> ، ص 308 ، الرقم 842 ؛ </w:t>
      </w:r>
      <w:r w:rsidR="008A74EB" w:rsidRPr="0034021D">
        <w:rPr>
          <w:rStyle w:val="libFootnoteBoldChar"/>
          <w:rtl/>
        </w:rPr>
        <w:t>الفهرست للطوسي</w:t>
      </w:r>
      <w:r w:rsidR="008A74EB" w:rsidRPr="00C9040A">
        <w:rPr>
          <w:rtl/>
        </w:rPr>
        <w:t xml:space="preserve"> ، ص 364 ، الرقم 569 ؛ </w:t>
      </w:r>
      <w:r w:rsidR="008A74EB" w:rsidRPr="00993B55">
        <w:rPr>
          <w:rStyle w:val="libFootnoteBoldChar"/>
          <w:rtl/>
        </w:rPr>
        <w:t>رجال الطوسي</w:t>
      </w:r>
      <w:r w:rsidR="008A74EB" w:rsidRPr="00C9040A">
        <w:rPr>
          <w:rtl/>
        </w:rPr>
        <w:t xml:space="preserve"> ، ص 269 ، الرقم 3865 ؛ </w:t>
      </w:r>
      <w:r w:rsidR="008A74EB" w:rsidRPr="00993B55">
        <w:rPr>
          <w:rStyle w:val="libFootnoteBoldChar"/>
          <w:rtl/>
        </w:rPr>
        <w:t>رجال البرقي</w:t>
      </w:r>
      <w:r w:rsidR="008A74EB" w:rsidRPr="00C9040A">
        <w:rPr>
          <w:rtl/>
        </w:rPr>
        <w:t xml:space="preserve"> ، ص 34.</w:t>
      </w:r>
    </w:p>
    <w:p w:rsidR="008A74EB" w:rsidRPr="00C9040A" w:rsidRDefault="006C577F" w:rsidP="004A4E41">
      <w:pPr>
        <w:pStyle w:val="libFootnote0"/>
        <w:rPr>
          <w:rtl/>
          <w:lang w:bidi="fa-IR"/>
        </w:rPr>
      </w:pPr>
      <w:r>
        <w:rPr>
          <w:rtl/>
        </w:rPr>
        <w:t>(3).</w:t>
      </w:r>
      <w:r w:rsidR="008A74EB" w:rsidRPr="00C9040A">
        <w:rPr>
          <w:rtl/>
        </w:rPr>
        <w:t xml:space="preserve"> « السفه » في الأصل : الخِفَّة والطِّيش. وسَفِهَ فلان رأيه : إذا كان مضطرباً لا استقامة له. </w:t>
      </w:r>
      <w:r w:rsidR="008A74EB">
        <w:rPr>
          <w:rtl/>
        </w:rPr>
        <w:t>و «</w:t>
      </w:r>
      <w:r w:rsidR="008A74EB" w:rsidRPr="00C9040A">
        <w:rPr>
          <w:rtl/>
        </w:rPr>
        <w:t xml:space="preserve"> السفيه » : الجاهل. </w:t>
      </w:r>
      <w:r w:rsidR="008A74EB">
        <w:rPr>
          <w:rtl/>
        </w:rPr>
        <w:t>و «</w:t>
      </w:r>
      <w:r w:rsidR="008A74EB" w:rsidRPr="00C9040A">
        <w:rPr>
          <w:rtl/>
        </w:rPr>
        <w:t xml:space="preserve"> السَّفَه » : نقيض الحلم. وسَفِه الرجل : صار سفيهاً. وسفه حِلمه ورأيه ونفسه : إذا حملها على‌أمر خطأ. </w:t>
      </w:r>
      <w:r w:rsidR="008A74EB" w:rsidRPr="00993B55">
        <w:rPr>
          <w:rStyle w:val="libFootnoteBoldChar"/>
          <w:rtl/>
        </w:rPr>
        <w:t>النهاية</w:t>
      </w:r>
      <w:r w:rsidR="008A74EB" w:rsidRPr="00C9040A">
        <w:rPr>
          <w:rtl/>
        </w:rPr>
        <w:t xml:space="preserve"> ، ج 2 ، ص 376 ؛ </w:t>
      </w:r>
      <w:r w:rsidR="008A74EB" w:rsidRPr="00993B55">
        <w:rPr>
          <w:rStyle w:val="libFootnoteBoldChar"/>
          <w:rtl/>
        </w:rPr>
        <w:t>ترتيب كتاب العين</w:t>
      </w:r>
      <w:r w:rsidR="008A74EB" w:rsidRPr="00C9040A">
        <w:rPr>
          <w:rtl/>
        </w:rPr>
        <w:t xml:space="preserve"> ، ج 2 ، ص 831 ( سفه )</w:t>
      </w:r>
      <w:r w:rsidR="008A74EB">
        <w:rPr>
          <w:rtl/>
        </w:rPr>
        <w:t>.</w:t>
      </w:r>
    </w:p>
    <w:p w:rsidR="008A74EB" w:rsidRPr="00C9040A" w:rsidRDefault="006C577F" w:rsidP="004A4E41">
      <w:pPr>
        <w:pStyle w:val="libFootnote0"/>
        <w:rPr>
          <w:rtl/>
          <w:lang w:bidi="fa-IR"/>
        </w:rPr>
      </w:pPr>
      <w:r>
        <w:rPr>
          <w:rtl/>
        </w:rPr>
        <w:t>(4).</w:t>
      </w:r>
      <w:r w:rsidR="008A74EB" w:rsidRPr="00C9040A">
        <w:rPr>
          <w:rtl/>
        </w:rPr>
        <w:t xml:space="preserve"> في « ص » : « خَلق » بفتح الخاء. وقال في </w:t>
      </w:r>
      <w:r w:rsidR="008A74EB" w:rsidRPr="00993B55">
        <w:rPr>
          <w:rStyle w:val="libFootnoteBoldChar"/>
          <w:rtl/>
        </w:rPr>
        <w:t>مرآة العقول</w:t>
      </w:r>
      <w:r w:rsidR="008A74EB" w:rsidRPr="00C9040A">
        <w:rPr>
          <w:rtl/>
        </w:rPr>
        <w:t xml:space="preserve"> ، ج 10 ، ص 262 : « قوله : خلق لئيم ، بضمّ الخاء وجرّ لئيم بالإضافة ، فالوصفان بعد للئيم. ويمكن أن يقرأ « لئيم » بالرفع على التوصيف ، فيمكن أن يقرأ بكسر الفاء وفتحها وضمّ الخاء وفتحها ، فالإسناد على أكثر التقادير في الأوصاف على التوسّع والمجاز. أو يقدّر مضاف في السفه على بعض التقادير. أو فاعل لقوله : يستطيل ، أي صاحبه ، فتفطّن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 يستطيل » ، أي يترفّع أو يغلب ، يقال : طال عليه واستطال وتطاول : إذا علاه وترفّع عليه ، أو قهره وغلب عليه. راجع : </w:t>
      </w:r>
      <w:r w:rsidR="008A74EB" w:rsidRPr="00993B55">
        <w:rPr>
          <w:rStyle w:val="libFootnoteBoldChar"/>
          <w:rtl/>
        </w:rPr>
        <w:t>النهاية</w:t>
      </w:r>
      <w:r w:rsidR="008A74EB" w:rsidRPr="00C9040A">
        <w:rPr>
          <w:rtl/>
        </w:rPr>
        <w:t xml:space="preserve"> ، ج 3 ، ص 145 ؛ </w:t>
      </w:r>
      <w:r w:rsidR="008A74EB" w:rsidRPr="00993B55">
        <w:rPr>
          <w:rStyle w:val="libFootnoteBoldChar"/>
          <w:rtl/>
        </w:rPr>
        <w:t>المصباح المنير</w:t>
      </w:r>
      <w:r w:rsidR="008A74EB" w:rsidRPr="00C9040A">
        <w:rPr>
          <w:rtl/>
        </w:rPr>
        <w:t xml:space="preserve"> ، ص 382 ( طول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 xml:space="preserve">في « ب ، ج ، د ، ز ، بس » وشرح المازندراني والوسائل والبحار </w:t>
      </w:r>
      <w:r w:rsidR="008A74EB">
        <w:rPr>
          <w:rtl/>
        </w:rPr>
        <w:t xml:space="preserve">: </w:t>
      </w:r>
      <w:r w:rsidR="0084262C">
        <w:rPr>
          <w:rtl/>
        </w:rPr>
        <w:t>-</w:t>
      </w:r>
      <w:r w:rsidR="008A74EB" w:rsidRPr="00C9040A">
        <w:rPr>
          <w:rtl/>
        </w:rPr>
        <w:t xml:space="preserve"> « هو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في « ب ، د ، ز ، بس » وشرح المازندراني والوسائل والبحار </w:t>
      </w:r>
      <w:r w:rsidR="008A74EB">
        <w:rPr>
          <w:rtl/>
        </w:rPr>
        <w:t xml:space="preserve">: </w:t>
      </w:r>
      <w:r w:rsidR="0084262C">
        <w:rPr>
          <w:rtl/>
        </w:rPr>
        <w:t>-</w:t>
      </w:r>
      <w:r w:rsidR="008A74EB" w:rsidRPr="00C9040A">
        <w:rPr>
          <w:rtl/>
        </w:rPr>
        <w:t xml:space="preserve"> « هو »</w:t>
      </w:r>
      <w:r w:rsidR="008A74EB">
        <w:rPr>
          <w:rtl/>
        </w:rPr>
        <w:t>.</w:t>
      </w:r>
    </w:p>
    <w:p w:rsidR="008A74EB" w:rsidRPr="00C9040A" w:rsidRDefault="006C577F" w:rsidP="004A4E41">
      <w:pPr>
        <w:pStyle w:val="libFootnote0"/>
        <w:rPr>
          <w:rtl/>
          <w:lang w:bidi="fa-IR"/>
        </w:rPr>
      </w:pPr>
      <w:r>
        <w:rPr>
          <w:rtl/>
        </w:rPr>
        <w:t>(8).</w:t>
      </w:r>
      <w:r w:rsidR="008A74EB" w:rsidRPr="00C9040A">
        <w:rPr>
          <w:rtl/>
        </w:rPr>
        <w:t xml:space="preserve"> </w:t>
      </w:r>
      <w:r w:rsidR="008A74EB" w:rsidRPr="00993B55">
        <w:rPr>
          <w:rStyle w:val="libFootnoteBoldChar"/>
          <w:rtl/>
        </w:rPr>
        <w:t>الوافي</w:t>
      </w:r>
      <w:r w:rsidR="008A74EB" w:rsidRPr="00C9040A">
        <w:rPr>
          <w:rtl/>
        </w:rPr>
        <w:t xml:space="preserve"> ، ج 5 ، ص 949 ، ح 3339 ؛ </w:t>
      </w:r>
      <w:r w:rsidR="008A74EB" w:rsidRPr="00993B55">
        <w:rPr>
          <w:rStyle w:val="libFootnoteBoldChar"/>
          <w:rtl/>
        </w:rPr>
        <w:t>الوسائل</w:t>
      </w:r>
      <w:r w:rsidR="008A74EB" w:rsidRPr="00C9040A">
        <w:rPr>
          <w:rtl/>
        </w:rPr>
        <w:t xml:space="preserve"> ، ج 16 ، ص 30 ، ح 20886 ؛ </w:t>
      </w:r>
      <w:r w:rsidR="008A74EB" w:rsidRPr="00993B55">
        <w:rPr>
          <w:rStyle w:val="libFootnoteBoldChar"/>
          <w:rtl/>
        </w:rPr>
        <w:t>البحار</w:t>
      </w:r>
      <w:r w:rsidR="008A74EB" w:rsidRPr="00C9040A">
        <w:rPr>
          <w:rtl/>
        </w:rPr>
        <w:t xml:space="preserve"> ، ج 75 ، ص 293 ، ح 1.</w:t>
      </w:r>
    </w:p>
    <w:p w:rsidR="008A74EB" w:rsidRPr="00C9040A" w:rsidRDefault="006C577F" w:rsidP="004A4E41">
      <w:pPr>
        <w:pStyle w:val="libFootnote0"/>
        <w:rPr>
          <w:rtl/>
          <w:lang w:bidi="fa-IR"/>
        </w:rPr>
      </w:pPr>
      <w:r>
        <w:rPr>
          <w:rtl/>
        </w:rPr>
        <w:t>(9).</w:t>
      </w:r>
      <w:r w:rsidR="008A74EB" w:rsidRPr="00C9040A">
        <w:rPr>
          <w:rtl/>
        </w:rPr>
        <w:t xml:space="preserve"> في « ص » : « لاتسفّهوا » ، بتشديد الفاء على بناء التفعّل. وقال في </w:t>
      </w:r>
      <w:r w:rsidR="008A74EB" w:rsidRPr="00993B55">
        <w:rPr>
          <w:rStyle w:val="libFootnoteBoldChar"/>
          <w:rtl/>
        </w:rPr>
        <w:t>شرح المازندراني</w:t>
      </w:r>
      <w:r w:rsidR="008D3B11">
        <w:rPr>
          <w:rtl/>
        </w:rPr>
        <w:t xml:space="preserve"> ، ج 9 ، ص 337؛</w:t>
      </w:r>
      <w:r w:rsidR="008D3B11">
        <w:rPr>
          <w:rFonts w:hint="cs"/>
          <w:rtl/>
        </w:rPr>
        <w:t>=</w:t>
      </w:r>
    </w:p>
    <w:p w:rsidR="004B7F34" w:rsidRDefault="004B7F34" w:rsidP="004B7F34">
      <w:pPr>
        <w:pStyle w:val="libNormal"/>
        <w:rPr>
          <w:rtl/>
          <w:lang w:bidi="fa-IR"/>
        </w:rPr>
      </w:pPr>
      <w:r>
        <w:rPr>
          <w:rtl/>
          <w:lang w:bidi="fa-IR"/>
        </w:rPr>
        <w:br w:type="page"/>
      </w:r>
    </w:p>
    <w:p w:rsidR="008A74EB" w:rsidRPr="00C9040A" w:rsidRDefault="008D3B11" w:rsidP="008A74EB">
      <w:pPr>
        <w:pStyle w:val="libNormal"/>
        <w:rPr>
          <w:rtl/>
          <w:lang w:bidi="fa-IR"/>
        </w:rPr>
      </w:pPr>
      <w:r>
        <w:rPr>
          <w:rFonts w:hint="cs"/>
          <w:rtl/>
          <w:lang w:bidi="fa-IR"/>
        </w:rPr>
        <w:t xml:space="preserve">* </w:t>
      </w:r>
      <w:r w:rsidR="008A74EB" w:rsidRPr="00C9040A">
        <w:rPr>
          <w:rtl/>
          <w:lang w:bidi="fa-IR"/>
        </w:rPr>
        <w:t xml:space="preserve">وَقَالَ </w:t>
      </w:r>
      <w:r w:rsidR="006C577F" w:rsidRPr="006C577F">
        <w:rPr>
          <w:rStyle w:val="libFootnotenumChar"/>
          <w:rtl/>
        </w:rPr>
        <w:t>(1)</w:t>
      </w:r>
      <w:r w:rsidR="008A74EB" w:rsidRPr="00C9040A">
        <w:rPr>
          <w:rtl/>
          <w:lang w:bidi="fa-IR"/>
        </w:rPr>
        <w:t xml:space="preserve"> أَبُو عَبْدِ اللهِ </w:t>
      </w:r>
      <w:r w:rsidR="008A74EB" w:rsidRPr="0003660B">
        <w:rPr>
          <w:rStyle w:val="libAlaemChar"/>
          <w:rtl/>
        </w:rPr>
        <w:t>عليه‌السلام</w:t>
      </w:r>
      <w:r w:rsidR="008A74EB" w:rsidRPr="00C9040A">
        <w:rPr>
          <w:rtl/>
          <w:lang w:bidi="fa-IR"/>
        </w:rPr>
        <w:t xml:space="preserve"> : « مَنْ كَافَأَ </w:t>
      </w:r>
      <w:r w:rsidR="006C577F" w:rsidRPr="006C577F">
        <w:rPr>
          <w:rStyle w:val="libFootnotenumChar"/>
          <w:rtl/>
        </w:rPr>
        <w:t>(2)</w:t>
      </w:r>
      <w:r w:rsidR="008A74EB" w:rsidRPr="00C9040A">
        <w:rPr>
          <w:rtl/>
          <w:lang w:bidi="fa-IR"/>
        </w:rPr>
        <w:t xml:space="preserve"> السَّفِيهَ بِالسَّفَهِ ، فَقَدْ رَضِيَ بِمَا </w:t>
      </w:r>
      <w:r w:rsidR="006C577F" w:rsidRPr="006C577F">
        <w:rPr>
          <w:rStyle w:val="libFootnotenumChar"/>
          <w:rtl/>
        </w:rPr>
        <w:t>(3)</w:t>
      </w:r>
      <w:r w:rsidR="008A74EB" w:rsidRPr="00C9040A">
        <w:rPr>
          <w:rtl/>
          <w:lang w:bidi="fa-IR"/>
        </w:rPr>
        <w:t xml:space="preserve"> أَتى </w:t>
      </w:r>
      <w:r w:rsidR="006C577F" w:rsidRPr="006C577F">
        <w:rPr>
          <w:rStyle w:val="libFootnotenumChar"/>
          <w:rtl/>
        </w:rPr>
        <w:t>(4)</w:t>
      </w:r>
      <w:r w:rsidR="008A74EB" w:rsidRPr="00C9040A">
        <w:rPr>
          <w:rtl/>
          <w:lang w:bidi="fa-IR"/>
        </w:rPr>
        <w:t xml:space="preserve"> إِلَيْهِ حَيْثُ </w:t>
      </w:r>
      <w:r w:rsidR="006C577F" w:rsidRPr="006C577F">
        <w:rPr>
          <w:rStyle w:val="libFootnotenumChar"/>
          <w:rtl/>
        </w:rPr>
        <w:t>(5)</w:t>
      </w:r>
      <w:r w:rsidR="008A74EB" w:rsidRPr="00C9040A">
        <w:rPr>
          <w:rtl/>
          <w:lang w:bidi="fa-IR"/>
        </w:rPr>
        <w:t xml:space="preserve"> احْتَذى </w:t>
      </w:r>
      <w:r w:rsidR="006C577F" w:rsidRPr="006C577F">
        <w:rPr>
          <w:rStyle w:val="libFootnotenumChar"/>
          <w:rtl/>
        </w:rPr>
        <w:t>(6)</w:t>
      </w:r>
      <w:r w:rsidR="008A74EB" w:rsidRPr="005B567D">
        <w:rPr>
          <w:rStyle w:val="libFootnotenumChar"/>
          <w:rtl/>
        </w:rPr>
        <w:t xml:space="preserve"> </w:t>
      </w:r>
      <w:r w:rsidR="008A74EB" w:rsidRPr="00C9040A">
        <w:rPr>
          <w:rtl/>
          <w:lang w:bidi="fa-IR"/>
        </w:rPr>
        <w:t>مِثَالَهُ »</w:t>
      </w:r>
      <w:r w:rsidR="008A74EB">
        <w:rPr>
          <w:rtl/>
          <w:lang w:bidi="fa-IR"/>
        </w:rPr>
        <w:t>.</w:t>
      </w:r>
      <w:r w:rsidR="008A74EB" w:rsidRPr="00C9040A">
        <w:rPr>
          <w:rtl/>
          <w:lang w:bidi="fa-IR"/>
        </w:rPr>
        <w:t xml:space="preserve"> </w:t>
      </w:r>
      <w:r w:rsidR="006C577F" w:rsidRPr="006C577F">
        <w:rPr>
          <w:rStyle w:val="libFootnotenumChar"/>
          <w:rtl/>
        </w:rPr>
        <w:t>(7)</w:t>
      </w:r>
      <w:r w:rsidR="008A74EB" w:rsidRPr="00C9040A">
        <w:rPr>
          <w:rtl/>
          <w:lang w:bidi="fa-IR"/>
        </w:rPr>
        <w:t xml:space="preserve"> ‌</w:t>
      </w:r>
    </w:p>
    <w:p w:rsidR="008A74EB" w:rsidRPr="00C9040A" w:rsidRDefault="008A74EB" w:rsidP="008A74EB">
      <w:pPr>
        <w:pStyle w:val="libNormal"/>
        <w:rPr>
          <w:rtl/>
          <w:lang w:bidi="fa-IR"/>
        </w:rPr>
      </w:pPr>
      <w:r w:rsidRPr="00695E2A">
        <w:rPr>
          <w:rtl/>
        </w:rPr>
        <w:t>2616</w:t>
      </w:r>
      <w:r w:rsidRPr="00261CB0">
        <w:rPr>
          <w:rStyle w:val="libBold2Char"/>
          <w:rtl/>
        </w:rPr>
        <w:t xml:space="preserve"> / 3.</w:t>
      </w:r>
      <w:r w:rsidRPr="00C9040A">
        <w:rPr>
          <w:rtl/>
          <w:lang w:bidi="fa-IR"/>
        </w:rPr>
        <w:t xml:space="preserve"> عَلِيُّ بْنُ إِبْرَاهِيمَ ، عَنْ أَبِيهِ ، عَنِ ابْنِ مَحْبُوبٍ ، عَنْ عَبْدِ الرَّحْمنِ بْنِ الْحَجَّاجِ :</w:t>
      </w:r>
    </w:p>
    <w:p w:rsidR="008A74EB" w:rsidRPr="00C9040A" w:rsidRDefault="008A74EB" w:rsidP="008A74EB">
      <w:pPr>
        <w:pStyle w:val="libNormal"/>
        <w:rPr>
          <w:rtl/>
          <w:lang w:bidi="fa-IR"/>
        </w:rPr>
      </w:pPr>
      <w:r w:rsidRPr="00C9040A">
        <w:rPr>
          <w:rtl/>
          <w:lang w:bidi="fa-IR"/>
        </w:rPr>
        <w:t xml:space="preserve">عَنْ أَبِي الْحَسَنِ مُوسى </w:t>
      </w:r>
      <w:r w:rsidRPr="0003660B">
        <w:rPr>
          <w:rStyle w:val="libAlaemChar"/>
          <w:rtl/>
        </w:rPr>
        <w:t>عليه‌السلام</w:t>
      </w:r>
      <w:r w:rsidRPr="00C9040A">
        <w:rPr>
          <w:rtl/>
          <w:lang w:bidi="fa-IR"/>
        </w:rPr>
        <w:t xml:space="preserve"> فِي رَجُلَيْنِ يَتَسَابَّانِ ، فَقَالَ </w:t>
      </w:r>
      <w:r w:rsidR="006C577F" w:rsidRPr="006C577F">
        <w:rPr>
          <w:rStyle w:val="libFootnotenumChar"/>
          <w:rtl/>
        </w:rPr>
        <w:t>(8)</w:t>
      </w:r>
      <w:r w:rsidRPr="00C9040A">
        <w:rPr>
          <w:rtl/>
          <w:lang w:bidi="fa-IR"/>
        </w:rPr>
        <w:t xml:space="preserve"> : « الْبَادِئُ مِنْهُمَا أَظْلَمُ ، وَوِزْرُهُ وَ</w:t>
      </w:r>
      <w:r w:rsidR="008D3B11">
        <w:rPr>
          <w:rFonts w:hint="cs"/>
          <w:rtl/>
          <w:lang w:bidi="fa-IR"/>
        </w:rPr>
        <w:t xml:space="preserve"> </w:t>
      </w:r>
      <w:r w:rsidRPr="00C9040A">
        <w:rPr>
          <w:rtl/>
          <w:lang w:bidi="fa-IR"/>
        </w:rPr>
        <w:t xml:space="preserve">وِزْرُ صَاحِبِهِ عَلَيْهِ مَا لَمْ يَتَعَدَّ الْمَظْلُومُ </w:t>
      </w:r>
      <w:r w:rsidR="006C577F" w:rsidRPr="006C577F">
        <w:rPr>
          <w:rStyle w:val="libFootnotenumChar"/>
          <w:rtl/>
        </w:rPr>
        <w:t>(9)</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(10)</w:t>
      </w:r>
      <w:r w:rsidRPr="00C9040A">
        <w:rPr>
          <w:rtl/>
          <w:lang w:bidi="fa-IR"/>
        </w:rPr>
        <w:t xml:space="preserve"> ‌</w:t>
      </w:r>
    </w:p>
    <w:p w:rsidR="008A74EB" w:rsidRPr="00C9040A" w:rsidRDefault="008A74EB" w:rsidP="008A74EB">
      <w:pPr>
        <w:pStyle w:val="libNormal"/>
        <w:rPr>
          <w:rtl/>
          <w:lang w:bidi="fa-IR"/>
        </w:rPr>
      </w:pPr>
      <w:r w:rsidRPr="00695E2A">
        <w:rPr>
          <w:rtl/>
        </w:rPr>
        <w:t>2617</w:t>
      </w:r>
      <w:r w:rsidRPr="00261CB0">
        <w:rPr>
          <w:rStyle w:val="libBold2Char"/>
          <w:rtl/>
        </w:rPr>
        <w:t xml:space="preserve"> / 4.</w:t>
      </w:r>
      <w:r w:rsidRPr="00C9040A">
        <w:rPr>
          <w:rtl/>
          <w:lang w:bidi="fa-IR"/>
        </w:rPr>
        <w:t xml:space="preserve"> عِدَّةٌ مِنْ أَصْحَابِنَا ، عَنْ سَهْلِ بْنِ زِيَادٍ ، عَنْ صَفْوَانَ بْنِ يَحْيى </w:t>
      </w:r>
      <w:r w:rsidR="006C577F" w:rsidRPr="006C577F">
        <w:rPr>
          <w:rStyle w:val="libFootnotenumChar"/>
          <w:rtl/>
        </w:rPr>
        <w:t>(11)</w:t>
      </w:r>
      <w:r w:rsidRPr="00C9040A">
        <w:rPr>
          <w:rtl/>
          <w:lang w:bidi="fa-IR"/>
        </w:rPr>
        <w:t xml:space="preserve"> ، عَنْ عِيصِ بْنِ الْقَاسِمِ :</w:t>
      </w:r>
    </w:p>
    <w:p w:rsidR="008A74EB" w:rsidRPr="00C9040A" w:rsidRDefault="008A74EB" w:rsidP="008A74EB">
      <w:pPr>
        <w:pStyle w:val="libLine"/>
        <w:rPr>
          <w:rtl/>
          <w:lang w:bidi="fa-IR"/>
        </w:rPr>
      </w:pPr>
      <w:r w:rsidRPr="00C9040A">
        <w:rPr>
          <w:rtl/>
          <w:lang w:bidi="fa-IR"/>
        </w:rPr>
        <w:t>__________________</w:t>
      </w:r>
    </w:p>
    <w:p w:rsidR="008A74EB" w:rsidRPr="00C9040A" w:rsidRDefault="008D3B11" w:rsidP="004A4E41">
      <w:pPr>
        <w:pStyle w:val="libFootnote0"/>
        <w:rPr>
          <w:rtl/>
          <w:lang w:bidi="fa-IR"/>
        </w:rPr>
      </w:pPr>
      <w:r>
        <w:rPr>
          <w:rFonts w:hint="cs"/>
          <w:rtl/>
        </w:rPr>
        <w:t xml:space="preserve">= </w:t>
      </w:r>
      <w:r w:rsidR="008A74EB" w:rsidRPr="008D3B11">
        <w:rPr>
          <w:rStyle w:val="libFootnoteBoldChar"/>
          <w:rtl/>
        </w:rPr>
        <w:t>و</w:t>
      </w:r>
      <w:r w:rsidR="008A74EB" w:rsidRPr="00993B55">
        <w:rPr>
          <w:rStyle w:val="libFootnoteBoldChar"/>
          <w:rtl/>
        </w:rPr>
        <w:t>مرآة العقول</w:t>
      </w:r>
      <w:r w:rsidR="008A74EB" w:rsidRPr="00C9040A">
        <w:rPr>
          <w:rtl/>
        </w:rPr>
        <w:t xml:space="preserve"> ، ج 10 ، ص 263 : « نقل عن المبرّد وتغلب أنّ سفه بالكسر متعدّ ، وبالضمّ لازم. فإن كسرت الفاء هنا كان المفعول محذوفاً ، أي لاتسفهوا أنفسكم »</w:t>
      </w:r>
      <w:r w:rsidR="008A74EB">
        <w:rPr>
          <w:rtl/>
        </w:rPr>
        <w:t>.</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قوله : « قال » الظاهر أنّها رواية ا</w:t>
      </w:r>
      <w:r w:rsidR="008D3B11">
        <w:rPr>
          <w:rFonts w:hint="cs"/>
          <w:rtl/>
        </w:rPr>
        <w:t>ُ</w:t>
      </w:r>
      <w:r w:rsidR="008A74EB" w:rsidRPr="00C9040A">
        <w:rPr>
          <w:rtl/>
        </w:rPr>
        <w:t>خرى مرسلة محذوفة الإسناد ، كما قاله المازندراني في شرحه. أو من‌تتمّة</w:t>
      </w:r>
      <w:r w:rsidR="008D3B11">
        <w:rPr>
          <w:rFonts w:hint="cs"/>
          <w:rtl/>
        </w:rPr>
        <w:t xml:space="preserve"> </w:t>
      </w:r>
      <w:r w:rsidR="008A74EB" w:rsidRPr="00C9040A">
        <w:rPr>
          <w:rtl/>
        </w:rPr>
        <w:t xml:space="preserve">الخبر السابق ، كما قاله المجلسي في </w:t>
      </w:r>
      <w:r w:rsidR="008A74EB" w:rsidRPr="00993B55">
        <w:rPr>
          <w:rStyle w:val="libFootnoteBoldChar"/>
          <w:rtl/>
        </w:rPr>
        <w:t>مرآة العقول</w:t>
      </w:r>
      <w:r w:rsidR="008A74EB" w:rsidRPr="00C9040A">
        <w:rPr>
          <w:rtl/>
        </w:rPr>
        <w:t xml:space="preserve"> وإن احتمل الأوّل أيضاً.</w:t>
      </w:r>
    </w:p>
    <w:tbl>
      <w:tblPr>
        <w:tblStyle w:val="TableGrid"/>
        <w:bidiVisual/>
        <w:tblW w:w="0" w:type="auto"/>
        <w:tblLook w:val="04A0" w:firstRow="1" w:lastRow="0" w:firstColumn="1" w:lastColumn="0" w:noHBand="0" w:noVBand="1"/>
      </w:tblPr>
      <w:tblGrid>
        <w:gridCol w:w="4006"/>
        <w:gridCol w:w="4006"/>
      </w:tblGrid>
      <w:tr w:rsidR="008D3B11" w:rsidTr="008D3B11">
        <w:tc>
          <w:tcPr>
            <w:tcW w:w="4006" w:type="dxa"/>
          </w:tcPr>
          <w:p w:rsidR="008D3B11" w:rsidRDefault="008D3B11" w:rsidP="004A4E41">
            <w:pPr>
              <w:pStyle w:val="libFootnote0"/>
              <w:rPr>
                <w:rtl/>
              </w:rPr>
            </w:pPr>
            <w:r>
              <w:rPr>
                <w:rtl/>
              </w:rPr>
              <w:t xml:space="preserve">(2). </w:t>
            </w:r>
            <w:r w:rsidRPr="00C9040A">
              <w:rPr>
                <w:rtl/>
              </w:rPr>
              <w:t>في الوافي : « كافى » بتخفيف الهمزة بقلبها ياءً.</w:t>
            </w:r>
          </w:p>
        </w:tc>
        <w:tc>
          <w:tcPr>
            <w:tcW w:w="4006" w:type="dxa"/>
          </w:tcPr>
          <w:p w:rsidR="008D3B11" w:rsidRDefault="00DD63CD" w:rsidP="004A4E41">
            <w:pPr>
              <w:pStyle w:val="libFootnote0"/>
              <w:rPr>
                <w:rtl/>
              </w:rPr>
            </w:pPr>
            <w:r>
              <w:rPr>
                <w:rtl/>
              </w:rPr>
              <w:t>(3).</w:t>
            </w:r>
            <w:r w:rsidRPr="00C9040A">
              <w:rPr>
                <w:rtl/>
              </w:rPr>
              <w:t xml:space="preserve"> في الوسائل : « بمثل ما »</w:t>
            </w:r>
            <w:r>
              <w:rPr>
                <w:rtl/>
              </w:rPr>
              <w:t>.</w:t>
            </w:r>
          </w:p>
        </w:tc>
      </w:tr>
    </w:tbl>
    <w:p w:rsidR="008A74EB" w:rsidRPr="00C9040A" w:rsidRDefault="006C577F" w:rsidP="004A4E41">
      <w:pPr>
        <w:pStyle w:val="libFootnote0"/>
        <w:rPr>
          <w:rtl/>
          <w:lang w:bidi="fa-IR"/>
        </w:rPr>
      </w:pPr>
      <w:r>
        <w:rPr>
          <w:rtl/>
        </w:rPr>
        <w:t>(4).</w:t>
      </w:r>
      <w:r w:rsidR="008A74EB" w:rsidRPr="00C9040A">
        <w:rPr>
          <w:rtl/>
        </w:rPr>
        <w:t xml:space="preserve"> في « د ، ص ، بف » : « ا</w:t>
      </w:r>
      <w:r w:rsidR="00DD63CD">
        <w:rPr>
          <w:rFonts w:hint="cs"/>
          <w:rtl/>
        </w:rPr>
        <w:t>ُ</w:t>
      </w:r>
      <w:r w:rsidR="008A74EB" w:rsidRPr="00C9040A">
        <w:rPr>
          <w:rtl/>
        </w:rPr>
        <w:t>تي »</w:t>
      </w:r>
      <w:r w:rsidR="008A74EB">
        <w:rPr>
          <w:rtl/>
        </w:rPr>
        <w:t>.</w:t>
      </w:r>
      <w:r w:rsidR="008A74EB" w:rsidRPr="00C9040A">
        <w:rPr>
          <w:rtl/>
        </w:rPr>
        <w:t xml:space="preserve"> وفي « بف » </w:t>
      </w:r>
      <w:r w:rsidR="008A74EB">
        <w:rPr>
          <w:rtl/>
        </w:rPr>
        <w:t xml:space="preserve">: </w:t>
      </w:r>
      <w:r w:rsidR="0084262C">
        <w:rPr>
          <w:rtl/>
        </w:rPr>
        <w:t>-</w:t>
      </w:r>
      <w:r w:rsidR="008A74EB" w:rsidRPr="00C9040A">
        <w:rPr>
          <w:rtl/>
        </w:rPr>
        <w:t xml:space="preserve"> « أتى »</w:t>
      </w:r>
      <w:r w:rsidR="008A74EB">
        <w:rPr>
          <w:rtl/>
        </w:rPr>
        <w:t>.</w:t>
      </w:r>
      <w:r w:rsidR="008A74EB" w:rsidRPr="00C9040A">
        <w:rPr>
          <w:rtl/>
        </w:rPr>
        <w:t xml:space="preserve"> وقرأه المازندراني : « آتى »</w:t>
      </w:r>
      <w:r w:rsidR="008A74EB">
        <w:rPr>
          <w:rtl/>
        </w:rPr>
        <w:t>.</w:t>
      </w:r>
      <w:r w:rsidR="008A74EB" w:rsidRPr="00C9040A">
        <w:rPr>
          <w:rtl/>
        </w:rPr>
        <w:t xml:space="preserve"> وقال المجلسي : « بما أتى إليه ، على بناء المجرّد ، أي جاء إليه من قبل خصمه</w:t>
      </w:r>
      <w:r w:rsidR="008A74EB">
        <w:rPr>
          <w:rtl/>
        </w:rPr>
        <w:t xml:space="preserve"> ..</w:t>
      </w:r>
      <w:r w:rsidR="008A74EB" w:rsidRPr="00C9040A">
        <w:rPr>
          <w:rtl/>
        </w:rPr>
        <w:t>. وقد يقرأ آتى ، على بناء الإفعال أو المفاعلة »</w:t>
      </w:r>
      <w:r w:rsidR="008A74EB">
        <w:rPr>
          <w:rtl/>
        </w:rPr>
        <w:t>.</w:t>
      </w:r>
    </w:p>
    <w:p w:rsidR="008A74EB" w:rsidRPr="00C9040A" w:rsidRDefault="006C577F" w:rsidP="004A4E41">
      <w:pPr>
        <w:pStyle w:val="libFootnote0"/>
        <w:rPr>
          <w:rtl/>
          <w:lang w:bidi="fa-IR"/>
        </w:rPr>
      </w:pPr>
      <w:r>
        <w:rPr>
          <w:rtl/>
        </w:rPr>
        <w:t>(5).</w:t>
      </w:r>
      <w:r w:rsidR="008A74EB" w:rsidRPr="00C9040A">
        <w:rPr>
          <w:rtl/>
        </w:rPr>
        <w:t xml:space="preserve"> في « </w:t>
      </w:r>
      <w:r w:rsidR="006D3162">
        <w:rPr>
          <w:rtl/>
        </w:rPr>
        <w:t xml:space="preserve">ه </w:t>
      </w:r>
      <w:r w:rsidR="008A74EB" w:rsidRPr="00C9040A">
        <w:rPr>
          <w:rtl/>
        </w:rPr>
        <w:t>» : « حتّى »</w:t>
      </w:r>
      <w:r w:rsidR="008A74EB">
        <w:rPr>
          <w:rtl/>
        </w:rPr>
        <w:t>.</w:t>
      </w:r>
    </w:p>
    <w:p w:rsidR="008A74EB" w:rsidRPr="00C9040A" w:rsidRDefault="006C577F" w:rsidP="004A4E41">
      <w:pPr>
        <w:pStyle w:val="libFootnote0"/>
        <w:rPr>
          <w:rtl/>
          <w:lang w:bidi="fa-IR"/>
        </w:rPr>
      </w:pPr>
      <w:r>
        <w:rPr>
          <w:rtl/>
        </w:rPr>
        <w:t>(6).</w:t>
      </w:r>
      <w:r w:rsidR="008A74EB">
        <w:rPr>
          <w:rtl/>
        </w:rPr>
        <w:t xml:space="preserve"> </w:t>
      </w:r>
      <w:r w:rsidR="008A74EB" w:rsidRPr="00C9040A">
        <w:rPr>
          <w:rtl/>
        </w:rPr>
        <w:t>في « ز » : « احتذر »</w:t>
      </w:r>
      <w:r w:rsidR="008A74EB">
        <w:rPr>
          <w:rtl/>
        </w:rPr>
        <w:t>.</w:t>
      </w:r>
      <w:r w:rsidR="008A74EB" w:rsidRPr="00C9040A">
        <w:rPr>
          <w:rtl/>
        </w:rPr>
        <w:t xml:space="preserve"> واحتذيتُ به : اقتديتُ به في ا</w:t>
      </w:r>
      <w:r w:rsidR="00DD63CD">
        <w:rPr>
          <w:rFonts w:hint="cs"/>
          <w:rtl/>
        </w:rPr>
        <w:t>ُ</w:t>
      </w:r>
      <w:r w:rsidR="008A74EB" w:rsidRPr="00C9040A">
        <w:rPr>
          <w:rtl/>
        </w:rPr>
        <w:t xml:space="preserve">موره. </w:t>
      </w:r>
      <w:r w:rsidR="008A74EB" w:rsidRPr="00993B55">
        <w:rPr>
          <w:rStyle w:val="libFootnoteBoldChar"/>
          <w:rtl/>
        </w:rPr>
        <w:t>المصباح المنير</w:t>
      </w:r>
      <w:r w:rsidR="008A74EB" w:rsidRPr="00C9040A">
        <w:rPr>
          <w:rtl/>
        </w:rPr>
        <w:t xml:space="preserve"> ، ص 126 ( حذف )</w:t>
      </w:r>
      <w:r w:rsidR="008A74EB">
        <w:rPr>
          <w:rtl/>
        </w:rPr>
        <w:t>.</w:t>
      </w:r>
    </w:p>
    <w:p w:rsidR="008A74EB" w:rsidRPr="00C9040A" w:rsidRDefault="006C577F" w:rsidP="004A4E41">
      <w:pPr>
        <w:pStyle w:val="libFootnote0"/>
        <w:rPr>
          <w:rtl/>
          <w:lang w:bidi="fa-IR"/>
        </w:rPr>
      </w:pPr>
      <w:r>
        <w:rPr>
          <w:rtl/>
        </w:rPr>
        <w:t>(7).</w:t>
      </w:r>
      <w:r w:rsidR="008A74EB" w:rsidRPr="00C9040A">
        <w:rPr>
          <w:rtl/>
        </w:rPr>
        <w:t xml:space="preserve"> </w:t>
      </w:r>
      <w:r w:rsidR="008A74EB" w:rsidRPr="00993B55">
        <w:rPr>
          <w:rStyle w:val="libFootnoteBoldChar"/>
          <w:rtl/>
        </w:rPr>
        <w:t>الاختصاص</w:t>
      </w:r>
      <w:r w:rsidR="008A74EB" w:rsidRPr="00C9040A">
        <w:rPr>
          <w:rtl/>
        </w:rPr>
        <w:t xml:space="preserve"> ، ص 241 ، مرسلاً ، وفيه : « لاتسفهوا ، فإنّ أئمّتكم ليسوا بسفهاء » مع زيادة في أوّله </w:t>
      </w:r>
      <w:r w:rsidR="00DD63CD">
        <w:rPr>
          <w:rFonts w:hint="cs"/>
          <w:rtl/>
        </w:rPr>
        <w:t>.</w:t>
      </w:r>
      <w:r w:rsidR="008A74EB" w:rsidRPr="00993B55">
        <w:rPr>
          <w:rStyle w:val="libFootnoteBoldChar"/>
          <w:rtl/>
        </w:rPr>
        <w:t>الوافي</w:t>
      </w:r>
      <w:r w:rsidR="008A74EB" w:rsidRPr="00C9040A">
        <w:rPr>
          <w:rtl/>
        </w:rPr>
        <w:t xml:space="preserve"> ، ج 5 ، ص 949 ، ح 3340 ؛ </w:t>
      </w:r>
      <w:r w:rsidR="008A74EB" w:rsidRPr="00993B55">
        <w:rPr>
          <w:rStyle w:val="libFootnoteBoldChar"/>
          <w:rtl/>
        </w:rPr>
        <w:t>الوسائل</w:t>
      </w:r>
      <w:r w:rsidR="008A74EB" w:rsidRPr="00C9040A">
        <w:rPr>
          <w:rtl/>
        </w:rPr>
        <w:t xml:space="preserve"> ، ج 16 ، ص 30 ، ح 20884 ؛ </w:t>
      </w:r>
      <w:r w:rsidR="008A74EB" w:rsidRPr="00993B55">
        <w:rPr>
          <w:rStyle w:val="libFootnoteBoldChar"/>
          <w:rtl/>
        </w:rPr>
        <w:t>البحار</w:t>
      </w:r>
      <w:r w:rsidR="008A74EB" w:rsidRPr="00C9040A">
        <w:rPr>
          <w:rtl/>
        </w:rPr>
        <w:t xml:space="preserve"> ، ج 75 ، ص 299 ، ح 3.</w:t>
      </w:r>
    </w:p>
    <w:p w:rsidR="008A74EB" w:rsidRPr="00C9040A" w:rsidRDefault="006C577F" w:rsidP="004A4E41">
      <w:pPr>
        <w:pStyle w:val="libFootnote0"/>
        <w:rPr>
          <w:rtl/>
          <w:lang w:bidi="fa-IR"/>
        </w:rPr>
      </w:pPr>
      <w:r>
        <w:rPr>
          <w:rtl/>
        </w:rPr>
        <w:t>(8).</w:t>
      </w:r>
      <w:r w:rsidR="008A74EB" w:rsidRPr="00C9040A">
        <w:rPr>
          <w:rtl/>
        </w:rPr>
        <w:t xml:space="preserve"> في الكافي ، ح 2771 : « قال »</w:t>
      </w:r>
      <w:r w:rsidR="008A74EB">
        <w:rPr>
          <w:rtl/>
        </w:rPr>
        <w:t>.</w:t>
      </w:r>
    </w:p>
    <w:p w:rsidR="008A74EB" w:rsidRPr="00C9040A" w:rsidRDefault="006C577F" w:rsidP="004A4E41">
      <w:pPr>
        <w:pStyle w:val="libFootnote0"/>
        <w:rPr>
          <w:rtl/>
          <w:lang w:bidi="fa-IR"/>
        </w:rPr>
      </w:pPr>
      <w:r>
        <w:rPr>
          <w:rtl/>
        </w:rPr>
        <w:t>(9).</w:t>
      </w:r>
      <w:r w:rsidR="008A74EB" w:rsidRPr="00C9040A">
        <w:rPr>
          <w:rtl/>
        </w:rPr>
        <w:t xml:space="preserve"> في الكافي ، ح 2771 : « مالم يعتذر إلى المظلوم » بدل « ما لم يتعدّ المظلوم »</w:t>
      </w:r>
      <w:r w:rsidR="008A74EB">
        <w:rPr>
          <w:rtl/>
        </w:rPr>
        <w:t>.</w:t>
      </w:r>
    </w:p>
    <w:p w:rsidR="008A74EB" w:rsidRPr="00C9040A" w:rsidRDefault="006C577F" w:rsidP="00DD63CD">
      <w:pPr>
        <w:pStyle w:val="libFootnote0"/>
        <w:rPr>
          <w:rtl/>
          <w:lang w:bidi="fa-IR"/>
        </w:rPr>
      </w:pPr>
      <w:r>
        <w:rPr>
          <w:rtl/>
        </w:rPr>
        <w:t>(10).</w:t>
      </w:r>
      <w:r w:rsidR="008A74EB" w:rsidRPr="00C9040A">
        <w:rPr>
          <w:rtl/>
        </w:rPr>
        <w:t xml:space="preserve"> </w:t>
      </w:r>
      <w:r w:rsidR="008A74EB" w:rsidRPr="00993B55">
        <w:rPr>
          <w:rStyle w:val="libFootnoteBoldChar"/>
          <w:rtl/>
        </w:rPr>
        <w:t>الكافي</w:t>
      </w:r>
      <w:r w:rsidR="008A74EB" w:rsidRPr="00C9040A">
        <w:rPr>
          <w:rtl/>
        </w:rPr>
        <w:t xml:space="preserve"> ، كتاب الإيمان والكفر ، باب السباب ، ح 2771 ، بسنده عن ابن محبوب. </w:t>
      </w:r>
      <w:r w:rsidR="008A74EB" w:rsidRPr="00993B55">
        <w:rPr>
          <w:rStyle w:val="libFootnoteBoldChar"/>
          <w:rtl/>
        </w:rPr>
        <w:t>تحف العقول</w:t>
      </w:r>
      <w:r w:rsidR="008A74EB" w:rsidRPr="00C9040A">
        <w:rPr>
          <w:rtl/>
        </w:rPr>
        <w:t xml:space="preserve"> ، ص 412 ، مرسلاً عن الكاظم </w:t>
      </w:r>
      <w:r w:rsidR="00117575" w:rsidRPr="00117575">
        <w:rPr>
          <w:rStyle w:val="libFootnoteAlaemChar"/>
          <w:rtl/>
        </w:rPr>
        <w:t xml:space="preserve">عليه‌السلام </w:t>
      </w:r>
      <w:r w:rsidR="00DD63CD">
        <w:rPr>
          <w:rFonts w:hint="cs"/>
          <w:rtl/>
        </w:rPr>
        <w:t>.</w:t>
      </w:r>
      <w:r w:rsidR="008A74EB" w:rsidRPr="00993B55">
        <w:rPr>
          <w:rStyle w:val="libFootnoteBoldChar"/>
          <w:rtl/>
        </w:rPr>
        <w:t>الوافي</w:t>
      </w:r>
      <w:r w:rsidR="008A74EB" w:rsidRPr="00C9040A">
        <w:rPr>
          <w:rtl/>
        </w:rPr>
        <w:t xml:space="preserve"> ، ج 5 ، ص 949 ، ح 3342 ؛ </w:t>
      </w:r>
      <w:r w:rsidR="008A74EB" w:rsidRPr="00993B55">
        <w:rPr>
          <w:rStyle w:val="libFootnoteBoldChar"/>
          <w:rtl/>
        </w:rPr>
        <w:t>الوسائل</w:t>
      </w:r>
      <w:r w:rsidR="008A74EB" w:rsidRPr="00C9040A">
        <w:rPr>
          <w:rtl/>
        </w:rPr>
        <w:t xml:space="preserve"> ، ج 16 ، ص 29 ، ح 20883 ؛ </w:t>
      </w:r>
      <w:r w:rsidR="008A74EB" w:rsidRPr="00993B55">
        <w:rPr>
          <w:rStyle w:val="libFootnoteBoldChar"/>
          <w:rtl/>
        </w:rPr>
        <w:t>البحار</w:t>
      </w:r>
      <w:r w:rsidR="008A74EB" w:rsidRPr="00C9040A">
        <w:rPr>
          <w:rtl/>
        </w:rPr>
        <w:t xml:space="preserve"> ، ج 75 ، ص 294 ، ح 2.</w:t>
      </w:r>
    </w:p>
    <w:p w:rsidR="008A74EB" w:rsidRPr="00C9040A" w:rsidRDefault="006C577F" w:rsidP="004A4E41">
      <w:pPr>
        <w:pStyle w:val="libFootnote0"/>
        <w:rPr>
          <w:rtl/>
          <w:lang w:bidi="fa-IR"/>
        </w:rPr>
      </w:pPr>
      <w:r>
        <w:rPr>
          <w:rtl/>
        </w:rPr>
        <w:t>(11).</w:t>
      </w:r>
      <w:r w:rsidR="008A74EB" w:rsidRPr="00C9040A">
        <w:rPr>
          <w:rtl/>
        </w:rPr>
        <w:t xml:space="preserve"> هكذا في « ج ، د ، ز ، </w:t>
      </w:r>
      <w:r w:rsidR="006D3162">
        <w:rPr>
          <w:rtl/>
        </w:rPr>
        <w:t xml:space="preserve">ه </w:t>
      </w:r>
      <w:r w:rsidR="008A74EB" w:rsidRPr="00C9040A">
        <w:rPr>
          <w:rtl/>
        </w:rPr>
        <w:t>، بر ، بف ، جر »</w:t>
      </w:r>
      <w:r w:rsidR="008A74EB">
        <w:rPr>
          <w:rtl/>
        </w:rPr>
        <w:t>.</w:t>
      </w:r>
      <w:r w:rsidR="008A74EB" w:rsidRPr="00C9040A">
        <w:rPr>
          <w:rtl/>
        </w:rPr>
        <w:t xml:space="preserve"> وفي « ب ، بس » والمطبوع </w:t>
      </w:r>
      <w:r w:rsidR="008A74EB">
        <w:rPr>
          <w:rtl/>
        </w:rPr>
        <w:t xml:space="preserve">: </w:t>
      </w:r>
      <w:r w:rsidR="0084262C">
        <w:rPr>
          <w:rtl/>
        </w:rPr>
        <w:t>-</w:t>
      </w:r>
      <w:r w:rsidR="008A74EB" w:rsidRPr="00C9040A">
        <w:rPr>
          <w:rtl/>
        </w:rPr>
        <w:t xml:space="preserve"> « بن يحيى »</w:t>
      </w:r>
      <w:r w:rsidR="008A74EB">
        <w:rPr>
          <w:rtl/>
        </w:rPr>
        <w:t>.</w:t>
      </w:r>
      <w:r w:rsidR="008A74EB" w:rsidRPr="00C9040A">
        <w:rPr>
          <w:rtl/>
        </w:rPr>
        <w:t xml:space="preserve"> هذا ، وقد روى صفوان بن‌يحيى كتاب العيص بن القاسم وأكثر من الرواية عنه في الأسناد. راجع : </w:t>
      </w:r>
      <w:r w:rsidR="008A74EB" w:rsidRPr="00993B55">
        <w:rPr>
          <w:rStyle w:val="libFootnoteBoldChar"/>
          <w:rtl/>
        </w:rPr>
        <w:t>رجال النجاشي</w:t>
      </w:r>
      <w:r w:rsidR="008A74EB" w:rsidRPr="00C9040A">
        <w:rPr>
          <w:rtl/>
        </w:rPr>
        <w:t xml:space="preserve"> ، ص 302 ، الرقم 824 ؛ </w:t>
      </w:r>
      <w:r w:rsidR="008A74EB" w:rsidRPr="00993B55">
        <w:rPr>
          <w:rStyle w:val="libFootnoteBoldChar"/>
          <w:rtl/>
        </w:rPr>
        <w:t>معجم رجال الحديث</w:t>
      </w:r>
      <w:r w:rsidR="008A74EB" w:rsidRPr="00C9040A">
        <w:rPr>
          <w:rtl/>
        </w:rPr>
        <w:t xml:space="preserve"> ، ج 13 ، ص 418</w:t>
      </w:r>
      <w:r w:rsidR="008A74EB">
        <w:rPr>
          <w:rtl/>
        </w:rPr>
        <w:t xml:space="preserve"> </w:t>
      </w:r>
      <w:r w:rsidR="0084262C">
        <w:rPr>
          <w:rtl/>
        </w:rPr>
        <w:t>-</w:t>
      </w:r>
      <w:r w:rsidR="008A74EB">
        <w:rPr>
          <w:rtl/>
        </w:rPr>
        <w:t xml:space="preserve"> </w:t>
      </w:r>
      <w:r w:rsidR="008A74EB" w:rsidRPr="00C9040A">
        <w:rPr>
          <w:rtl/>
        </w:rPr>
        <w:t>421.</w:t>
      </w:r>
    </w:p>
    <w:p w:rsidR="004B7F34" w:rsidRDefault="004B7F34" w:rsidP="004B7F34">
      <w:pPr>
        <w:pStyle w:val="libNormal"/>
        <w:rPr>
          <w:rtl/>
          <w:lang w:bidi="fa-IR"/>
        </w:rPr>
      </w:pPr>
      <w:r>
        <w:rPr>
          <w:rtl/>
          <w:lang w:bidi="fa-IR"/>
        </w:rPr>
        <w:br w:type="page"/>
      </w:r>
    </w:p>
    <w:p w:rsidR="008A74EB" w:rsidRPr="00C9040A" w:rsidRDefault="008A74EB" w:rsidP="008A74EB">
      <w:pPr>
        <w:pStyle w:val="libNormal"/>
        <w:rPr>
          <w:rtl/>
          <w:lang w:bidi="fa-IR"/>
        </w:rPr>
      </w:pPr>
      <w:r w:rsidRPr="00C9040A">
        <w:rPr>
          <w:rtl/>
          <w:lang w:bidi="fa-IR"/>
        </w:rPr>
        <w:t xml:space="preserve">عَنْ أَبِي عَبْدِ اللهِ </w:t>
      </w:r>
      <w:r w:rsidRPr="0003660B">
        <w:rPr>
          <w:rStyle w:val="libAlaemChar"/>
          <w:rtl/>
        </w:rPr>
        <w:t>عليه‌السلام</w:t>
      </w:r>
      <w:r w:rsidRPr="00C9040A">
        <w:rPr>
          <w:rtl/>
          <w:lang w:bidi="fa-IR"/>
        </w:rPr>
        <w:t xml:space="preserve"> ، قَالَ : « إِنَّ أَبْغَضَ خَلْقِ اللهِ عَبْدٌ اتَّقَى النَّاسُ لِسَانَهُ </w:t>
      </w:r>
      <w:r w:rsidR="006C577F" w:rsidRPr="006C577F">
        <w:rPr>
          <w:rStyle w:val="libFootnotenumChar"/>
          <w:rtl/>
        </w:rPr>
        <w:t>(1)</w:t>
      </w:r>
      <w:r w:rsidRPr="00C9040A">
        <w:rPr>
          <w:rtl/>
          <w:lang w:bidi="fa-IR"/>
        </w:rPr>
        <w:t xml:space="preserve"> »</w:t>
      </w:r>
      <w:r>
        <w:rPr>
          <w:rtl/>
          <w:lang w:bidi="fa-IR"/>
        </w:rPr>
        <w:t>.</w:t>
      </w:r>
      <w:r w:rsidRPr="00C9040A">
        <w:rPr>
          <w:rtl/>
          <w:lang w:bidi="fa-IR"/>
        </w:rPr>
        <w:t xml:space="preserve"> </w:t>
      </w:r>
      <w:r w:rsidR="006C577F" w:rsidRPr="006C577F">
        <w:rPr>
          <w:rStyle w:val="libFootnotenumChar"/>
          <w:rtl/>
        </w:rPr>
        <w:t>(2)</w:t>
      </w:r>
      <w:r w:rsidRPr="00C9040A">
        <w:rPr>
          <w:rtl/>
          <w:lang w:bidi="fa-IR"/>
        </w:rPr>
        <w:t xml:space="preserve"> ‌</w:t>
      </w:r>
    </w:p>
    <w:p w:rsidR="008A74EB" w:rsidRPr="00C9040A" w:rsidRDefault="008A74EB" w:rsidP="008A74EB">
      <w:pPr>
        <w:pStyle w:val="libCenter"/>
        <w:rPr>
          <w:rtl/>
          <w:lang w:bidi="fa-IR"/>
        </w:rPr>
      </w:pPr>
      <w:r w:rsidRPr="00C9040A">
        <w:rPr>
          <w:rtl/>
          <w:lang w:bidi="fa-IR"/>
        </w:rPr>
        <w:t>[ تَمَّ الْمُجَلَّدُ الثَّالِثُ مِنْ هذهِ الطَّبْعَةِ ، وَيَليْهِ الْمُجَلَّدُ الرَّابِعِ إنْ شَاءَ الله تَعَالى ، وَفِيهِ ]</w:t>
      </w:r>
    </w:p>
    <w:p w:rsidR="008A74EB" w:rsidRPr="00C9040A" w:rsidRDefault="008A74EB" w:rsidP="008A74EB">
      <w:pPr>
        <w:pStyle w:val="libCenter"/>
        <w:rPr>
          <w:rtl/>
          <w:lang w:bidi="fa-IR"/>
        </w:rPr>
      </w:pPr>
      <w:r w:rsidRPr="00C9040A">
        <w:rPr>
          <w:rtl/>
          <w:lang w:bidi="fa-IR"/>
        </w:rPr>
        <w:t>[ تَتِمَّةُ كِتَابِ الْإيمَانِ وَالْكُفْرِ وَكِتابُ الدُّعَاءِ وَفَضْلِ الْقُرآنِ وَالْعِشْرَةِ ]</w:t>
      </w:r>
    </w:p>
    <w:p w:rsidR="008A74EB" w:rsidRPr="00C9040A" w:rsidRDefault="008A74EB" w:rsidP="008A74EB">
      <w:pPr>
        <w:pStyle w:val="libLine"/>
        <w:rPr>
          <w:rtl/>
          <w:lang w:bidi="fa-IR"/>
        </w:rPr>
      </w:pPr>
      <w:r w:rsidRPr="00C9040A">
        <w:rPr>
          <w:rtl/>
          <w:lang w:bidi="fa-IR"/>
        </w:rPr>
        <w:t>__________________</w:t>
      </w:r>
    </w:p>
    <w:p w:rsidR="008A74EB" w:rsidRPr="00C9040A" w:rsidRDefault="006C577F" w:rsidP="004A4E41">
      <w:pPr>
        <w:pStyle w:val="libFootnote0"/>
        <w:rPr>
          <w:rtl/>
          <w:lang w:bidi="fa-IR"/>
        </w:rPr>
      </w:pPr>
      <w:r>
        <w:rPr>
          <w:rtl/>
        </w:rPr>
        <w:t>(1).</w:t>
      </w:r>
      <w:r w:rsidR="008A74EB">
        <w:rPr>
          <w:rtl/>
        </w:rPr>
        <w:t xml:space="preserve"> </w:t>
      </w:r>
      <w:r w:rsidR="008A74EB" w:rsidRPr="00C9040A">
        <w:rPr>
          <w:rtl/>
        </w:rPr>
        <w:t xml:space="preserve">في </w:t>
      </w:r>
      <w:r w:rsidR="008A74EB" w:rsidRPr="00993B55">
        <w:rPr>
          <w:rStyle w:val="libFootnoteBoldChar"/>
          <w:rtl/>
        </w:rPr>
        <w:t>شرح المازندراني</w:t>
      </w:r>
      <w:r w:rsidR="008A74EB" w:rsidRPr="00C9040A">
        <w:rPr>
          <w:rtl/>
        </w:rPr>
        <w:t xml:space="preserve"> : « ذكر هذا الحديث في باب « من يتّقى شرّه » أنسب ، ولعلّ ذكره في هذا الباب باعتبار أنّه مبدؤه السفه »</w:t>
      </w:r>
      <w:r w:rsidR="008A74EB">
        <w:rPr>
          <w:rtl/>
        </w:rPr>
        <w:t>.</w:t>
      </w:r>
      <w:r w:rsidR="008A74EB" w:rsidRPr="00C9040A">
        <w:rPr>
          <w:rtl/>
        </w:rPr>
        <w:t xml:space="preserve"> وقريب منه في </w:t>
      </w:r>
      <w:r w:rsidR="008A74EB" w:rsidRPr="00DD63CD">
        <w:rPr>
          <w:rStyle w:val="libFootnoteBoldChar"/>
          <w:rtl/>
        </w:rPr>
        <w:t>مرآة العقول</w:t>
      </w:r>
      <w:r w:rsidR="008A74EB" w:rsidRPr="00C9040A">
        <w:rPr>
          <w:rtl/>
        </w:rPr>
        <w:t>.</w:t>
      </w:r>
    </w:p>
    <w:p w:rsidR="008A74EB" w:rsidRDefault="006C577F" w:rsidP="004A4E41">
      <w:pPr>
        <w:pStyle w:val="libFootnote0"/>
        <w:rPr>
          <w:rtl/>
          <w:lang w:bidi="fa-IR"/>
        </w:rPr>
      </w:pPr>
      <w:r>
        <w:rPr>
          <w:rtl/>
        </w:rPr>
        <w:t>(2).</w:t>
      </w:r>
      <w:r w:rsidR="008A74EB">
        <w:rPr>
          <w:rtl/>
        </w:rPr>
        <w:t xml:space="preserve"> </w:t>
      </w:r>
      <w:r w:rsidR="008A74EB" w:rsidRPr="00993B55">
        <w:rPr>
          <w:rStyle w:val="libFootnoteBoldChar"/>
          <w:rtl/>
        </w:rPr>
        <w:t>الكافي</w:t>
      </w:r>
      <w:r w:rsidR="008A74EB" w:rsidRPr="00C9040A">
        <w:rPr>
          <w:rtl/>
        </w:rPr>
        <w:t xml:space="preserve"> ، كتاب الإيمان والكفر ، باب من يتّقى شرّه ، ح 2635 ، بسند آخر ، وتمام الرواية : « من خاف الناس لسانه ، فهو في النار » ؛ </w:t>
      </w:r>
      <w:r w:rsidR="008A74EB" w:rsidRPr="00993B55">
        <w:rPr>
          <w:rStyle w:val="libFootnoteBoldChar"/>
          <w:rtl/>
        </w:rPr>
        <w:t>الفقيه</w:t>
      </w:r>
      <w:r w:rsidR="008A74EB" w:rsidRPr="00C9040A">
        <w:rPr>
          <w:rtl/>
        </w:rPr>
        <w:t xml:space="preserve"> ، ج 4 ، ص 352 ، ضمن الحديث الطويل 5762 ، بسند آخر عن جعفر بن محمّد ، عن آبائه </w:t>
      </w:r>
      <w:r w:rsidR="00117575" w:rsidRPr="00117575">
        <w:rPr>
          <w:rStyle w:val="libFootnoteAlaemChar"/>
          <w:rtl/>
        </w:rPr>
        <w:t>عليهم‌السلام</w:t>
      </w:r>
      <w:r w:rsidR="008A74EB" w:rsidRPr="00C9040A">
        <w:rPr>
          <w:rtl/>
        </w:rPr>
        <w:t xml:space="preserve"> عن النبيّ </w:t>
      </w:r>
      <w:r w:rsidR="004A4E41" w:rsidRPr="00DD63CD">
        <w:rPr>
          <w:rStyle w:val="libFootnoteAlaemChar"/>
          <w:rtl/>
        </w:rPr>
        <w:t>صلى‌الله‌عليه‌وآله</w:t>
      </w:r>
      <w:r w:rsidR="008A74EB" w:rsidRPr="00C9040A">
        <w:rPr>
          <w:rtl/>
        </w:rPr>
        <w:t xml:space="preserve"> ، وفيه : « من خاف الناس لسانه ، فهو من أهل النار » </w:t>
      </w:r>
      <w:r w:rsidR="00DD63CD">
        <w:rPr>
          <w:rFonts w:hint="cs"/>
          <w:rtl/>
        </w:rPr>
        <w:t>.</w:t>
      </w:r>
      <w:r w:rsidR="008A74EB" w:rsidRPr="00993B55">
        <w:rPr>
          <w:rStyle w:val="libFootnoteBoldChar"/>
          <w:rtl/>
        </w:rPr>
        <w:t>الوافي</w:t>
      </w:r>
      <w:r w:rsidR="008A74EB" w:rsidRPr="00C9040A">
        <w:rPr>
          <w:rtl/>
        </w:rPr>
        <w:t xml:space="preserve"> ، ج 5 ، ص 956 ، ح 3360 ؛ </w:t>
      </w:r>
      <w:r w:rsidR="008A74EB" w:rsidRPr="00993B55">
        <w:rPr>
          <w:rStyle w:val="libFootnoteBoldChar"/>
          <w:rtl/>
        </w:rPr>
        <w:t>الوسائل</w:t>
      </w:r>
      <w:r w:rsidR="008A74EB" w:rsidRPr="00C9040A">
        <w:rPr>
          <w:rtl/>
        </w:rPr>
        <w:t xml:space="preserve"> ، ج 16 ، ص 30 ، ح 20888.</w:t>
      </w:r>
    </w:p>
    <w:p w:rsidR="00B866D3" w:rsidRDefault="00B866D3" w:rsidP="00B866D3">
      <w:pPr>
        <w:pStyle w:val="libNormal"/>
        <w:rPr>
          <w:rtl/>
          <w:lang w:bidi="fa-IR"/>
        </w:rPr>
      </w:pPr>
      <w:r>
        <w:rPr>
          <w:rtl/>
          <w:lang w:bidi="fa-IR"/>
        </w:rPr>
        <w:br w:type="page"/>
      </w:r>
    </w:p>
    <w:p w:rsidR="004B7F34" w:rsidRDefault="00C822D0" w:rsidP="00C822D0">
      <w:pPr>
        <w:pStyle w:val="Heading2Center"/>
        <w:rPr>
          <w:rtl/>
          <w:lang w:bidi="fa-IR"/>
        </w:rPr>
      </w:pPr>
      <w:bookmarkStart w:id="403" w:name="_Toc35348752"/>
      <w:r>
        <w:rPr>
          <w:rFonts w:hint="cs"/>
          <w:rtl/>
          <w:lang w:bidi="fa-IR"/>
        </w:rPr>
        <w:t>الفهرس</w:t>
      </w:r>
      <w:bookmarkEnd w:id="403"/>
    </w:p>
    <w:sdt>
      <w:sdtPr>
        <w:rPr>
          <w:rFonts w:ascii="Times New Roman" w:eastAsia="Times New Roman" w:hAnsi="Times New Roman" w:cs="Traditional Arabic"/>
          <w:b w:val="0"/>
          <w:bCs w:val="0"/>
          <w:color w:val="000000"/>
          <w:sz w:val="24"/>
          <w:szCs w:val="32"/>
        </w:rPr>
        <w:id w:val="3255273"/>
        <w:docPartObj>
          <w:docPartGallery w:val="Table of Contents"/>
          <w:docPartUnique/>
        </w:docPartObj>
      </w:sdtPr>
      <w:sdtEndPr>
        <w:rPr>
          <w:rtl/>
        </w:rPr>
      </w:sdtEndPr>
      <w:sdtContent>
        <w:p w:rsidR="00C822D0" w:rsidRDefault="00C822D0" w:rsidP="00C822D0">
          <w:pPr>
            <w:pStyle w:val="TOCHeading"/>
          </w:pPr>
        </w:p>
        <w:p w:rsidR="00C822D0" w:rsidRDefault="00C822D0" w:rsidP="00C822D0">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35348617" w:history="1">
            <w:r w:rsidRPr="00422DB2">
              <w:rPr>
                <w:rStyle w:val="Hyperlink"/>
                <w:noProof/>
                <w:rtl/>
              </w:rPr>
              <w:t>(5)</w:t>
            </w:r>
            <w:r>
              <w:rPr>
                <w:noProof/>
                <w:webHidden/>
                <w:rtl/>
              </w:rPr>
              <w:t xml:space="preserve"> </w:t>
            </w:r>
          </w:hyperlink>
          <w:r>
            <w:rPr>
              <w:rStyle w:val="Hyperlink"/>
              <w:rFonts w:hint="cs"/>
              <w:noProof/>
              <w:rtl/>
            </w:rPr>
            <w:t xml:space="preserve"> </w:t>
          </w:r>
          <w:hyperlink w:anchor="_Toc35348618" w:history="1">
            <w:r w:rsidRPr="00422DB2">
              <w:rPr>
                <w:rStyle w:val="Hyperlink"/>
                <w:rFonts w:hint="eastAsia"/>
                <w:noProof/>
                <w:rtl/>
              </w:rPr>
              <w:t>كتاب</w:t>
            </w:r>
            <w:r w:rsidRPr="00422DB2">
              <w:rPr>
                <w:rStyle w:val="Hyperlink"/>
                <w:noProof/>
                <w:rtl/>
              </w:rPr>
              <w:t xml:space="preserve"> </w:t>
            </w:r>
            <w:r w:rsidRPr="00422DB2">
              <w:rPr>
                <w:rStyle w:val="Hyperlink"/>
                <w:rFonts w:hint="eastAsia"/>
                <w:noProof/>
                <w:rtl/>
              </w:rPr>
              <w:t>الإيمان</w:t>
            </w:r>
            <w:r w:rsidRPr="00422DB2">
              <w:rPr>
                <w:rStyle w:val="Hyperlink"/>
                <w:noProof/>
                <w:rtl/>
              </w:rPr>
              <w:t xml:space="preserve"> </w:t>
            </w:r>
            <w:r w:rsidRPr="00422DB2">
              <w:rPr>
                <w:rStyle w:val="Hyperlink"/>
                <w:rFonts w:hint="eastAsia"/>
                <w:noProof/>
                <w:rtl/>
              </w:rPr>
              <w:t>والكفر</w:t>
            </w:r>
            <w:r w:rsidRPr="00422DB2">
              <w:rPr>
                <w:rStyle w:val="Hyperlink"/>
                <w:rFonts w:hint="eastAsia"/>
                <w:noProof/>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35348618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C822D0" w:rsidRDefault="00ED771C" w:rsidP="00C822D0">
          <w:pPr>
            <w:pStyle w:val="TOC1"/>
            <w:rPr>
              <w:rFonts w:asciiTheme="minorHAnsi" w:eastAsiaTheme="minorEastAsia" w:hAnsiTheme="minorHAnsi" w:cstheme="minorBidi"/>
              <w:noProof/>
              <w:color w:val="auto"/>
              <w:sz w:val="22"/>
              <w:szCs w:val="22"/>
              <w:rtl/>
            </w:rPr>
          </w:pPr>
          <w:hyperlink w:anchor="_Toc35348619" w:history="1">
            <w:r w:rsidR="00C822D0" w:rsidRPr="00422DB2">
              <w:rPr>
                <w:rStyle w:val="Hyperlink"/>
                <w:noProof/>
                <w:rtl/>
              </w:rPr>
              <w:t>[5]</w:t>
            </w:r>
            <w:r w:rsidR="00C822D0">
              <w:rPr>
                <w:noProof/>
                <w:webHidden/>
                <w:rtl/>
              </w:rPr>
              <w:t xml:space="preserve"> </w:t>
            </w:r>
          </w:hyperlink>
          <w:r w:rsidR="00C822D0">
            <w:rPr>
              <w:rStyle w:val="Hyperlink"/>
              <w:rFonts w:hint="cs"/>
              <w:noProof/>
              <w:rtl/>
            </w:rPr>
            <w:t xml:space="preserve"> </w:t>
          </w:r>
          <w:hyperlink w:anchor="_Toc35348620" w:history="1">
            <w:r w:rsidR="00C822D0" w:rsidRPr="00422DB2">
              <w:rPr>
                <w:rStyle w:val="Hyperlink"/>
                <w:rFonts w:hint="eastAsia"/>
                <w:noProof/>
                <w:rtl/>
              </w:rPr>
              <w:t>كِتَابُ</w:t>
            </w:r>
            <w:r w:rsidR="00C822D0" w:rsidRPr="00422DB2">
              <w:rPr>
                <w:rStyle w:val="Hyperlink"/>
                <w:noProof/>
                <w:rtl/>
              </w:rPr>
              <w:t xml:space="preserve"> </w:t>
            </w:r>
            <w:r w:rsidR="00C822D0" w:rsidRPr="00422DB2">
              <w:rPr>
                <w:rStyle w:val="Hyperlink"/>
                <w:rFonts w:hint="eastAsia"/>
                <w:noProof/>
                <w:rtl/>
              </w:rPr>
              <w:t>الْإِيمَانِ</w:t>
            </w:r>
            <w:r w:rsidR="00C822D0" w:rsidRPr="00422DB2">
              <w:rPr>
                <w:rStyle w:val="Hyperlink"/>
                <w:noProof/>
                <w:rtl/>
              </w:rPr>
              <w:t xml:space="preserve"> </w:t>
            </w:r>
            <w:r w:rsidR="00C822D0" w:rsidRPr="00422DB2">
              <w:rPr>
                <w:rStyle w:val="Hyperlink"/>
                <w:rFonts w:hint="eastAsia"/>
                <w:noProof/>
                <w:rtl/>
              </w:rPr>
              <w:t>وَالْكُفْرِ‌</w:t>
            </w:r>
          </w:hyperlink>
          <w:r w:rsidR="00C822D0">
            <w:rPr>
              <w:rStyle w:val="Hyperlink"/>
              <w:rFonts w:hint="cs"/>
              <w:noProof/>
              <w:rtl/>
            </w:rPr>
            <w:t xml:space="preserve"> </w:t>
          </w:r>
          <w:hyperlink w:anchor="_Toc35348621" w:history="1">
            <w:r w:rsidR="00C822D0" w:rsidRPr="00422DB2">
              <w:rPr>
                <w:rStyle w:val="Hyperlink"/>
                <w:noProof/>
                <w:rtl/>
                <w:lang w:bidi="fa-IR"/>
              </w:rPr>
              <w:t xml:space="preserve">1 -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طِينَةِ</w:t>
            </w:r>
            <w:r w:rsidR="00C822D0" w:rsidRPr="00422DB2">
              <w:rPr>
                <w:rStyle w:val="Hyperlink"/>
                <w:noProof/>
                <w:rtl/>
                <w:lang w:bidi="fa-IR"/>
              </w:rPr>
              <w:t xml:space="preserve"> </w:t>
            </w:r>
            <w:r w:rsidR="00C822D0" w:rsidRPr="00422DB2">
              <w:rPr>
                <w:rStyle w:val="Hyperlink"/>
                <w:rFonts w:hint="eastAsia"/>
                <w:noProof/>
                <w:rtl/>
                <w:lang w:bidi="fa-IR"/>
              </w:rPr>
              <w:t>الْمُؤْمِنِ</w:t>
            </w:r>
            <w:r w:rsidR="00C822D0" w:rsidRPr="00422DB2">
              <w:rPr>
                <w:rStyle w:val="Hyperlink"/>
                <w:noProof/>
                <w:rtl/>
                <w:lang w:bidi="fa-IR"/>
              </w:rPr>
              <w:t xml:space="preserve"> </w:t>
            </w:r>
            <w:r w:rsidR="00C822D0" w:rsidRPr="00422DB2">
              <w:rPr>
                <w:rStyle w:val="Hyperlink"/>
                <w:rFonts w:hint="eastAsia"/>
                <w:noProof/>
                <w:rtl/>
                <w:lang w:bidi="fa-IR"/>
              </w:rPr>
              <w:t>وَالْكَافِرِ</w:t>
            </w:r>
            <w:r w:rsidR="00C822D0" w:rsidRPr="00422DB2">
              <w:rPr>
                <w:rStyle w:val="Hyperlink"/>
                <w:noProof/>
                <w:rtl/>
                <w:lang w:bidi="fa-IR"/>
              </w:rPr>
              <w:t xml:space="preserve"> </w:t>
            </w:r>
            <w:r w:rsidR="00C822D0" w:rsidRPr="00422DB2">
              <w:rPr>
                <w:rStyle w:val="Hyperlink"/>
                <w:noProof/>
                <w:vertAlign w:val="superscript"/>
                <w:rtl/>
              </w:rPr>
              <w:t>(1)</w:t>
            </w:r>
            <w:r w:rsidR="00C822D0" w:rsidRPr="00422DB2">
              <w:rPr>
                <w:rStyle w:val="Hyperlink"/>
                <w:rFonts w:hint="eastAsia"/>
                <w:noProof/>
                <w:lang w:bidi="fa-IR"/>
              </w:rPr>
              <w:t>‌</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35348621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7</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22" w:history="1">
            <w:r w:rsidR="00C822D0" w:rsidRPr="00422DB2">
              <w:rPr>
                <w:rStyle w:val="Hyperlink"/>
                <w:noProof/>
                <w:rtl/>
                <w:lang w:bidi="fa-IR"/>
              </w:rPr>
              <w:t xml:space="preserve">2 -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آخَرُ</w:t>
            </w:r>
            <w:r w:rsidR="00C822D0" w:rsidRPr="00422DB2">
              <w:rPr>
                <w:rStyle w:val="Hyperlink"/>
                <w:noProof/>
                <w:rtl/>
                <w:lang w:bidi="fa-IR"/>
              </w:rPr>
              <w:t xml:space="preserve"> </w:t>
            </w:r>
            <w:r w:rsidR="00C822D0" w:rsidRPr="00422DB2">
              <w:rPr>
                <w:rStyle w:val="Hyperlink"/>
                <w:rFonts w:hint="eastAsia"/>
                <w:noProof/>
                <w:rtl/>
                <w:lang w:bidi="fa-IR"/>
              </w:rPr>
              <w:t>مِنْهُ</w:t>
            </w:r>
            <w:r w:rsidR="00C822D0" w:rsidRPr="00422DB2">
              <w:rPr>
                <w:rStyle w:val="Hyperlink"/>
                <w:noProof/>
                <w:rtl/>
                <w:lang w:bidi="fa-IR"/>
              </w:rPr>
              <w:t xml:space="preserve"> </w:t>
            </w:r>
            <w:r w:rsidR="00C822D0" w:rsidRPr="00422DB2">
              <w:rPr>
                <w:rStyle w:val="Hyperlink"/>
                <w:rFonts w:hint="eastAsia"/>
                <w:noProof/>
                <w:rtl/>
                <w:lang w:bidi="fa-IR"/>
              </w:rPr>
              <w:t>،</w:t>
            </w:r>
            <w:r w:rsidR="00C822D0" w:rsidRPr="00422DB2">
              <w:rPr>
                <w:rStyle w:val="Hyperlink"/>
                <w:noProof/>
                <w:rtl/>
                <w:lang w:bidi="fa-IR"/>
              </w:rPr>
              <w:t xml:space="preserve"> </w:t>
            </w:r>
            <w:r w:rsidR="00C822D0" w:rsidRPr="00422DB2">
              <w:rPr>
                <w:rStyle w:val="Hyperlink"/>
                <w:rFonts w:hint="eastAsia"/>
                <w:noProof/>
                <w:rtl/>
                <w:lang w:bidi="fa-IR"/>
              </w:rPr>
              <w:t>وَفِيهِ</w:t>
            </w:r>
            <w:r w:rsidR="00C822D0" w:rsidRPr="00422DB2">
              <w:rPr>
                <w:rStyle w:val="Hyperlink"/>
                <w:noProof/>
                <w:rtl/>
                <w:lang w:bidi="fa-IR"/>
              </w:rPr>
              <w:t xml:space="preserve"> </w:t>
            </w:r>
            <w:r w:rsidR="00C822D0" w:rsidRPr="00422DB2">
              <w:rPr>
                <w:rStyle w:val="Hyperlink"/>
                <w:rFonts w:hint="eastAsia"/>
                <w:noProof/>
                <w:rtl/>
                <w:lang w:bidi="fa-IR"/>
              </w:rPr>
              <w:t>زِيَادَةُ</w:t>
            </w:r>
            <w:r w:rsidR="00C822D0" w:rsidRPr="00422DB2">
              <w:rPr>
                <w:rStyle w:val="Hyperlink"/>
                <w:noProof/>
                <w:rtl/>
                <w:lang w:bidi="fa-IR"/>
              </w:rPr>
              <w:t xml:space="preserve"> </w:t>
            </w:r>
            <w:r w:rsidR="00C822D0" w:rsidRPr="00422DB2">
              <w:rPr>
                <w:rStyle w:val="Hyperlink"/>
                <w:rFonts w:hint="eastAsia"/>
                <w:noProof/>
                <w:rtl/>
                <w:lang w:bidi="fa-IR"/>
              </w:rPr>
              <w:t>وُقُوعِ</w:t>
            </w:r>
            <w:r w:rsidR="00C822D0" w:rsidRPr="00422DB2">
              <w:rPr>
                <w:rStyle w:val="Hyperlink"/>
                <w:noProof/>
                <w:rtl/>
                <w:lang w:bidi="fa-IR"/>
              </w:rPr>
              <w:t xml:space="preserve"> </w:t>
            </w:r>
            <w:r w:rsidR="00C822D0" w:rsidRPr="00422DB2">
              <w:rPr>
                <w:rStyle w:val="Hyperlink"/>
                <w:rFonts w:hint="eastAsia"/>
                <w:noProof/>
                <w:rtl/>
                <w:lang w:bidi="fa-IR"/>
              </w:rPr>
              <w:t>التَّكْلِيفِ</w:t>
            </w:r>
            <w:r w:rsidR="00C822D0" w:rsidRPr="00422DB2">
              <w:rPr>
                <w:rStyle w:val="Hyperlink"/>
                <w:noProof/>
                <w:rtl/>
                <w:lang w:bidi="fa-IR"/>
              </w:rPr>
              <w:t xml:space="preserve"> </w:t>
            </w:r>
            <w:r w:rsidR="00C822D0" w:rsidRPr="00422DB2">
              <w:rPr>
                <w:rStyle w:val="Hyperlink"/>
                <w:rFonts w:hint="eastAsia"/>
                <w:noProof/>
                <w:rtl/>
                <w:lang w:bidi="fa-IR"/>
              </w:rPr>
              <w:t>الْأَوَّلِ</w:t>
            </w:r>
            <w:r w:rsidR="00C822D0" w:rsidRPr="00422DB2">
              <w:rPr>
                <w:rStyle w:val="Hyperlink"/>
                <w:noProof/>
                <w:rtl/>
                <w:lang w:bidi="fa-IR"/>
              </w:rPr>
              <w:t xml:space="preserve"> </w:t>
            </w:r>
            <w:r w:rsidR="00C822D0" w:rsidRPr="00422DB2">
              <w:rPr>
                <w:rStyle w:val="Hyperlink"/>
                <w:noProof/>
                <w:vertAlign w:val="superscript"/>
                <w:rtl/>
              </w:rPr>
              <w:t>(11)</w:t>
            </w:r>
            <w:r w:rsidR="00C822D0" w:rsidRPr="00422DB2">
              <w:rPr>
                <w:rStyle w:val="Hyperlink"/>
                <w:noProof/>
                <w:rtl/>
                <w:lang w:bidi="fa-IR"/>
              </w:rPr>
              <w:t xml:space="preserve"> ‌</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35348622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19</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23" w:history="1">
            <w:r w:rsidR="00C822D0" w:rsidRPr="00422DB2">
              <w:rPr>
                <w:rStyle w:val="Hyperlink"/>
                <w:noProof/>
                <w:rtl/>
                <w:lang w:bidi="fa-IR"/>
              </w:rPr>
              <w:t xml:space="preserve">3 -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آخَرُ</w:t>
            </w:r>
            <w:r w:rsidR="00C822D0" w:rsidRPr="00422DB2">
              <w:rPr>
                <w:rStyle w:val="Hyperlink"/>
                <w:noProof/>
                <w:rtl/>
                <w:lang w:bidi="fa-IR"/>
              </w:rPr>
              <w:t xml:space="preserve"> </w:t>
            </w:r>
            <w:r w:rsidR="00C822D0" w:rsidRPr="00422DB2">
              <w:rPr>
                <w:rStyle w:val="Hyperlink"/>
                <w:rFonts w:hint="eastAsia"/>
                <w:noProof/>
                <w:rtl/>
                <w:lang w:bidi="fa-IR"/>
              </w:rPr>
              <w:t>مِنْهُ‌</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35348623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23</w:t>
            </w:r>
            <w:r w:rsidR="00C822D0">
              <w:rPr>
                <w:noProof/>
                <w:webHidden/>
                <w:rtl/>
              </w:rPr>
              <w:fldChar w:fldCharType="end"/>
            </w:r>
          </w:hyperlink>
        </w:p>
        <w:p w:rsidR="00C822D0" w:rsidRDefault="00ED771C" w:rsidP="00C822D0">
          <w:pPr>
            <w:pStyle w:val="TOC2"/>
            <w:tabs>
              <w:tab w:val="right" w:leader="dot" w:pos="7786"/>
            </w:tabs>
            <w:rPr>
              <w:rFonts w:asciiTheme="minorHAnsi" w:eastAsiaTheme="minorEastAsia" w:hAnsiTheme="minorHAnsi" w:cstheme="minorBidi"/>
              <w:noProof/>
              <w:color w:val="auto"/>
              <w:sz w:val="22"/>
              <w:szCs w:val="22"/>
              <w:rtl/>
            </w:rPr>
          </w:pPr>
          <w:hyperlink w:anchor="_Toc35348624" w:history="1">
            <w:r w:rsidR="00C822D0" w:rsidRPr="00422DB2">
              <w:rPr>
                <w:rStyle w:val="Hyperlink"/>
                <w:noProof/>
                <w:rtl/>
                <w:lang w:bidi="fa-IR"/>
              </w:rPr>
              <w:t xml:space="preserve">4 -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أَنَّ</w:t>
            </w:r>
            <w:r w:rsidR="00C822D0" w:rsidRPr="00422DB2">
              <w:rPr>
                <w:rStyle w:val="Hyperlink"/>
                <w:noProof/>
                <w:rtl/>
                <w:lang w:bidi="fa-IR"/>
              </w:rPr>
              <w:t xml:space="preserve"> </w:t>
            </w:r>
            <w:r w:rsidR="00C822D0" w:rsidRPr="00422DB2">
              <w:rPr>
                <w:rStyle w:val="Hyperlink"/>
                <w:rFonts w:hint="eastAsia"/>
                <w:noProof/>
                <w:rtl/>
                <w:lang w:bidi="fa-IR"/>
              </w:rPr>
              <w:t>رَسُولَ</w:t>
            </w:r>
            <w:r w:rsidR="00C822D0" w:rsidRPr="00422DB2">
              <w:rPr>
                <w:rStyle w:val="Hyperlink"/>
                <w:noProof/>
                <w:rtl/>
                <w:lang w:bidi="fa-IR"/>
              </w:rPr>
              <w:t xml:space="preserve"> </w:t>
            </w:r>
            <w:r w:rsidR="00C822D0" w:rsidRPr="00422DB2">
              <w:rPr>
                <w:rStyle w:val="Hyperlink"/>
                <w:rFonts w:hint="eastAsia"/>
                <w:noProof/>
                <w:rtl/>
                <w:lang w:bidi="fa-IR"/>
              </w:rPr>
              <w:t>اللهِ</w:t>
            </w:r>
            <w:r w:rsidR="00C822D0" w:rsidRPr="00422DB2">
              <w:rPr>
                <w:rStyle w:val="Hyperlink"/>
                <w:noProof/>
                <w:rtl/>
                <w:lang w:bidi="fa-IR"/>
              </w:rPr>
              <w:t xml:space="preserve"> </w:t>
            </w:r>
            <w:r w:rsidR="00C822D0" w:rsidRPr="00422DB2">
              <w:rPr>
                <w:rStyle w:val="Hyperlink"/>
                <w:rFonts w:eastAsiaTheme="minorHAnsi" w:cs="Rafed Alaem" w:hint="eastAsia"/>
                <w:noProof/>
                <w:rtl/>
              </w:rPr>
              <w:t>صلى‌الله‌عليه‌وآله</w:t>
            </w:r>
            <w:r w:rsidR="00C822D0" w:rsidRPr="00422DB2">
              <w:rPr>
                <w:rStyle w:val="Hyperlink"/>
                <w:noProof/>
                <w:rtl/>
                <w:lang w:bidi="fa-IR"/>
              </w:rPr>
              <w:t xml:space="preserve"> </w:t>
            </w:r>
            <w:r w:rsidR="00C822D0" w:rsidRPr="00422DB2">
              <w:rPr>
                <w:rStyle w:val="Hyperlink"/>
                <w:rFonts w:hint="eastAsia"/>
                <w:noProof/>
                <w:rtl/>
                <w:lang w:bidi="fa-IR"/>
              </w:rPr>
              <w:t>أَوَّلُ</w:t>
            </w:r>
            <w:r w:rsidR="00C822D0" w:rsidRPr="00422DB2">
              <w:rPr>
                <w:rStyle w:val="Hyperlink"/>
                <w:noProof/>
                <w:rtl/>
                <w:lang w:bidi="fa-IR"/>
              </w:rPr>
              <w:t xml:space="preserve"> </w:t>
            </w:r>
            <w:r w:rsidR="00C822D0" w:rsidRPr="00422DB2">
              <w:rPr>
                <w:rStyle w:val="Hyperlink"/>
                <w:rFonts w:hint="eastAsia"/>
                <w:noProof/>
                <w:rtl/>
                <w:lang w:bidi="fa-IR"/>
              </w:rPr>
              <w:t>مَنْ</w:t>
            </w:r>
            <w:r w:rsidR="00C822D0" w:rsidRPr="00422DB2">
              <w:rPr>
                <w:rStyle w:val="Hyperlink"/>
                <w:noProof/>
                <w:rtl/>
                <w:lang w:bidi="fa-IR"/>
              </w:rPr>
              <w:t xml:space="preserve"> </w:t>
            </w:r>
            <w:r w:rsidR="00C822D0" w:rsidRPr="00422DB2">
              <w:rPr>
                <w:rStyle w:val="Hyperlink"/>
                <w:rFonts w:hint="eastAsia"/>
                <w:noProof/>
                <w:rtl/>
                <w:lang w:bidi="fa-IR"/>
              </w:rPr>
              <w:t>أَجَابَ</w:t>
            </w:r>
          </w:hyperlink>
          <w:r w:rsidR="00C822D0">
            <w:rPr>
              <w:rStyle w:val="Hyperlink"/>
              <w:rFonts w:hint="cs"/>
              <w:noProof/>
              <w:rtl/>
            </w:rPr>
            <w:t xml:space="preserve"> </w:t>
          </w:r>
          <w:hyperlink w:anchor="_Toc35348625" w:history="1">
            <w:r w:rsidR="00C822D0" w:rsidRPr="00422DB2">
              <w:rPr>
                <w:rStyle w:val="Hyperlink"/>
                <w:rFonts w:hint="eastAsia"/>
                <w:noProof/>
                <w:rtl/>
                <w:lang w:bidi="fa-IR"/>
              </w:rPr>
              <w:t>وَأَقَرَّ</w:t>
            </w:r>
            <w:r w:rsidR="00C822D0" w:rsidRPr="00422DB2">
              <w:rPr>
                <w:rStyle w:val="Hyperlink"/>
                <w:noProof/>
                <w:rtl/>
                <w:lang w:bidi="fa-IR"/>
              </w:rPr>
              <w:t xml:space="preserve"> </w:t>
            </w:r>
            <w:r w:rsidR="00C822D0" w:rsidRPr="00422DB2">
              <w:rPr>
                <w:rStyle w:val="Hyperlink"/>
                <w:noProof/>
                <w:vertAlign w:val="superscript"/>
                <w:rtl/>
              </w:rPr>
              <w:t>(14)</w:t>
            </w:r>
            <w:r w:rsidR="00C822D0" w:rsidRPr="00422DB2">
              <w:rPr>
                <w:rStyle w:val="Hyperlink"/>
                <w:noProof/>
                <w:rtl/>
                <w:lang w:bidi="fa-IR"/>
              </w:rPr>
              <w:t xml:space="preserve"> </w:t>
            </w:r>
            <w:r w:rsidR="00C822D0" w:rsidRPr="00422DB2">
              <w:rPr>
                <w:rStyle w:val="Hyperlink"/>
                <w:rFonts w:hint="eastAsia"/>
                <w:noProof/>
                <w:rtl/>
                <w:lang w:bidi="fa-IR"/>
              </w:rPr>
              <w:t>لِلّهِ</w:t>
            </w:r>
            <w:r w:rsidR="00C822D0" w:rsidRPr="00422DB2">
              <w:rPr>
                <w:rStyle w:val="Hyperlink"/>
                <w:noProof/>
                <w:rtl/>
                <w:lang w:bidi="fa-IR"/>
              </w:rPr>
              <w:t xml:space="preserve"> </w:t>
            </w:r>
            <w:r w:rsidR="00C822D0" w:rsidRPr="00422DB2">
              <w:rPr>
                <w:rStyle w:val="Hyperlink"/>
                <w:rFonts w:hint="eastAsia"/>
                <w:noProof/>
                <w:rtl/>
                <w:lang w:bidi="fa-IR"/>
              </w:rPr>
              <w:t>عَزَّ</w:t>
            </w:r>
            <w:r w:rsidR="00C822D0" w:rsidRPr="00422DB2">
              <w:rPr>
                <w:rStyle w:val="Hyperlink"/>
                <w:noProof/>
                <w:rtl/>
                <w:lang w:bidi="fa-IR"/>
              </w:rPr>
              <w:t xml:space="preserve"> </w:t>
            </w:r>
            <w:r w:rsidR="00C822D0" w:rsidRPr="00422DB2">
              <w:rPr>
                <w:rStyle w:val="Hyperlink"/>
                <w:rFonts w:hint="eastAsia"/>
                <w:noProof/>
                <w:rtl/>
                <w:lang w:bidi="fa-IR"/>
              </w:rPr>
              <w:t>وَجَلَّ</w:t>
            </w:r>
            <w:r w:rsidR="00C822D0" w:rsidRPr="00422DB2">
              <w:rPr>
                <w:rStyle w:val="Hyperlink"/>
                <w:noProof/>
                <w:rtl/>
                <w:lang w:bidi="fa-IR"/>
              </w:rPr>
              <w:t xml:space="preserve"> </w:t>
            </w:r>
            <w:r w:rsidR="00C822D0" w:rsidRPr="00422DB2">
              <w:rPr>
                <w:rStyle w:val="Hyperlink"/>
                <w:rFonts w:hint="eastAsia"/>
                <w:noProof/>
                <w:rtl/>
                <w:lang w:bidi="fa-IR"/>
              </w:rPr>
              <w:t>بِالرُّبُوبِيَّةِ‌</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35348625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29</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26" w:history="1">
            <w:r w:rsidR="00C822D0" w:rsidRPr="00422DB2">
              <w:rPr>
                <w:rStyle w:val="Hyperlink"/>
                <w:noProof/>
                <w:rtl/>
                <w:lang w:bidi="fa-IR"/>
              </w:rPr>
              <w:t xml:space="preserve">5 -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كَيْفَ</w:t>
            </w:r>
            <w:r w:rsidR="00C822D0" w:rsidRPr="00422DB2">
              <w:rPr>
                <w:rStyle w:val="Hyperlink"/>
                <w:noProof/>
                <w:rtl/>
                <w:lang w:bidi="fa-IR"/>
              </w:rPr>
              <w:t xml:space="preserve"> </w:t>
            </w:r>
            <w:r w:rsidR="00C822D0" w:rsidRPr="00422DB2">
              <w:rPr>
                <w:rStyle w:val="Hyperlink"/>
                <w:rFonts w:hint="eastAsia"/>
                <w:noProof/>
                <w:rtl/>
                <w:lang w:bidi="fa-IR"/>
              </w:rPr>
              <w:t>أَجَابُوا</w:t>
            </w:r>
            <w:r w:rsidR="00C822D0" w:rsidRPr="00422DB2">
              <w:rPr>
                <w:rStyle w:val="Hyperlink"/>
                <w:noProof/>
                <w:rtl/>
                <w:lang w:bidi="fa-IR"/>
              </w:rPr>
              <w:t xml:space="preserve"> </w:t>
            </w:r>
            <w:r w:rsidR="00C822D0" w:rsidRPr="00422DB2">
              <w:rPr>
                <w:rStyle w:val="Hyperlink"/>
                <w:rFonts w:hint="eastAsia"/>
                <w:noProof/>
                <w:rtl/>
                <w:lang w:bidi="fa-IR"/>
              </w:rPr>
              <w:t>وَهُمْ</w:t>
            </w:r>
            <w:r w:rsidR="00C822D0" w:rsidRPr="00422DB2">
              <w:rPr>
                <w:rStyle w:val="Hyperlink"/>
                <w:noProof/>
                <w:rtl/>
                <w:lang w:bidi="fa-IR"/>
              </w:rPr>
              <w:t xml:space="preserve"> </w:t>
            </w:r>
            <w:r w:rsidR="00C822D0" w:rsidRPr="00422DB2">
              <w:rPr>
                <w:rStyle w:val="Hyperlink"/>
                <w:rFonts w:hint="eastAsia"/>
                <w:noProof/>
                <w:rtl/>
                <w:lang w:bidi="fa-IR"/>
              </w:rPr>
              <w:t>ذَرٌّ</w:t>
            </w:r>
            <w:r w:rsidR="00C822D0" w:rsidRPr="00422DB2">
              <w:rPr>
                <w:rStyle w:val="Hyperlink"/>
                <w:noProof/>
                <w:rtl/>
                <w:lang w:bidi="fa-IR"/>
              </w:rPr>
              <w:t xml:space="preserve"> </w:t>
            </w:r>
            <w:r w:rsidR="00C822D0" w:rsidRPr="00422DB2">
              <w:rPr>
                <w:rStyle w:val="Hyperlink"/>
                <w:noProof/>
                <w:vertAlign w:val="superscript"/>
                <w:rtl/>
              </w:rPr>
              <w:t>(7)</w:t>
            </w:r>
            <w:r w:rsidR="00C822D0" w:rsidRPr="00422DB2">
              <w:rPr>
                <w:rStyle w:val="Hyperlink"/>
                <w:noProof/>
                <w:rtl/>
                <w:lang w:bidi="fa-IR"/>
              </w:rPr>
              <w:t xml:space="preserve"> ‌</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35348626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33</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27" w:history="1">
            <w:r w:rsidR="00C822D0" w:rsidRPr="00422DB2">
              <w:rPr>
                <w:rStyle w:val="Hyperlink"/>
                <w:noProof/>
                <w:rtl/>
                <w:lang w:bidi="fa-IR"/>
              </w:rPr>
              <w:t xml:space="preserve">6 -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فِطْرَةِ</w:t>
            </w:r>
            <w:r w:rsidR="00C822D0" w:rsidRPr="00422DB2">
              <w:rPr>
                <w:rStyle w:val="Hyperlink"/>
                <w:noProof/>
                <w:rtl/>
                <w:lang w:bidi="fa-IR"/>
              </w:rPr>
              <w:t xml:space="preserve"> </w:t>
            </w:r>
            <w:r w:rsidR="00C822D0" w:rsidRPr="00422DB2">
              <w:rPr>
                <w:rStyle w:val="Hyperlink"/>
                <w:rFonts w:hint="eastAsia"/>
                <w:noProof/>
                <w:rtl/>
                <w:lang w:bidi="fa-IR"/>
              </w:rPr>
              <w:t>الْخَلْقِ</w:t>
            </w:r>
            <w:r w:rsidR="00C822D0" w:rsidRPr="00422DB2">
              <w:rPr>
                <w:rStyle w:val="Hyperlink"/>
                <w:noProof/>
                <w:rtl/>
                <w:lang w:bidi="fa-IR"/>
              </w:rPr>
              <w:t xml:space="preserve"> </w:t>
            </w:r>
            <w:r w:rsidR="00C822D0" w:rsidRPr="00422DB2">
              <w:rPr>
                <w:rStyle w:val="Hyperlink"/>
                <w:rFonts w:hint="eastAsia"/>
                <w:noProof/>
                <w:rtl/>
                <w:lang w:bidi="fa-IR"/>
              </w:rPr>
              <w:t>عَلَى</w:t>
            </w:r>
            <w:r w:rsidR="00C822D0" w:rsidRPr="00422DB2">
              <w:rPr>
                <w:rStyle w:val="Hyperlink"/>
                <w:noProof/>
                <w:rtl/>
                <w:lang w:bidi="fa-IR"/>
              </w:rPr>
              <w:t xml:space="preserve"> </w:t>
            </w:r>
            <w:r w:rsidR="00C822D0" w:rsidRPr="00422DB2">
              <w:rPr>
                <w:rStyle w:val="Hyperlink"/>
                <w:rFonts w:hint="eastAsia"/>
                <w:noProof/>
                <w:rtl/>
                <w:lang w:bidi="fa-IR"/>
              </w:rPr>
              <w:t>التَّوْحِيدِ‌</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35348627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34</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28" w:history="1">
            <w:r w:rsidR="00C822D0" w:rsidRPr="00422DB2">
              <w:rPr>
                <w:rStyle w:val="Hyperlink"/>
                <w:noProof/>
                <w:rtl/>
                <w:lang w:bidi="fa-IR"/>
              </w:rPr>
              <w:t xml:space="preserve">7 -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كَوْنِ</w:t>
            </w:r>
            <w:r w:rsidR="00C822D0" w:rsidRPr="00422DB2">
              <w:rPr>
                <w:rStyle w:val="Hyperlink"/>
                <w:noProof/>
                <w:rtl/>
                <w:lang w:bidi="fa-IR"/>
              </w:rPr>
              <w:t xml:space="preserve"> </w:t>
            </w:r>
            <w:r w:rsidR="00C822D0" w:rsidRPr="00422DB2">
              <w:rPr>
                <w:rStyle w:val="Hyperlink"/>
                <w:rFonts w:hint="eastAsia"/>
                <w:noProof/>
                <w:rtl/>
                <w:lang w:bidi="fa-IR"/>
              </w:rPr>
              <w:t>الْمُؤْمِنِ</w:t>
            </w:r>
            <w:r w:rsidR="00C822D0" w:rsidRPr="00422DB2">
              <w:rPr>
                <w:rStyle w:val="Hyperlink"/>
                <w:noProof/>
                <w:rtl/>
                <w:lang w:bidi="fa-IR"/>
              </w:rPr>
              <w:t xml:space="preserve"> </w:t>
            </w:r>
            <w:r w:rsidR="00C822D0" w:rsidRPr="00422DB2">
              <w:rPr>
                <w:rStyle w:val="Hyperlink"/>
                <w:rFonts w:hint="eastAsia"/>
                <w:noProof/>
                <w:rtl/>
                <w:lang w:bidi="fa-IR"/>
              </w:rPr>
              <w:t>فِي</w:t>
            </w:r>
            <w:r w:rsidR="00C822D0" w:rsidRPr="00422DB2">
              <w:rPr>
                <w:rStyle w:val="Hyperlink"/>
                <w:noProof/>
                <w:rtl/>
                <w:lang w:bidi="fa-IR"/>
              </w:rPr>
              <w:t xml:space="preserve"> </w:t>
            </w:r>
            <w:r w:rsidR="00C822D0" w:rsidRPr="00422DB2">
              <w:rPr>
                <w:rStyle w:val="Hyperlink"/>
                <w:rFonts w:hint="eastAsia"/>
                <w:noProof/>
                <w:rtl/>
                <w:lang w:bidi="fa-IR"/>
              </w:rPr>
              <w:t>صُلْبِ</w:t>
            </w:r>
            <w:r w:rsidR="00C822D0" w:rsidRPr="00422DB2">
              <w:rPr>
                <w:rStyle w:val="Hyperlink"/>
                <w:noProof/>
                <w:rtl/>
                <w:lang w:bidi="fa-IR"/>
              </w:rPr>
              <w:t xml:space="preserve"> </w:t>
            </w:r>
            <w:r w:rsidR="00C822D0" w:rsidRPr="00422DB2">
              <w:rPr>
                <w:rStyle w:val="Hyperlink"/>
                <w:rFonts w:hint="eastAsia"/>
                <w:noProof/>
                <w:rtl/>
                <w:lang w:bidi="fa-IR"/>
              </w:rPr>
              <w:t>الْكَافِرِ‌</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35348628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36</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29" w:history="1">
            <w:r w:rsidR="00C822D0" w:rsidRPr="00422DB2">
              <w:rPr>
                <w:rStyle w:val="Hyperlink"/>
                <w:noProof/>
                <w:rtl/>
                <w:lang w:bidi="fa-IR"/>
              </w:rPr>
              <w:t xml:space="preserve">8 -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إِذَا</w:t>
            </w:r>
            <w:r w:rsidR="00C822D0" w:rsidRPr="00422DB2">
              <w:rPr>
                <w:rStyle w:val="Hyperlink"/>
                <w:noProof/>
                <w:rtl/>
                <w:lang w:bidi="fa-IR"/>
              </w:rPr>
              <w:t xml:space="preserve"> </w:t>
            </w:r>
            <w:r w:rsidR="00C822D0" w:rsidRPr="00422DB2">
              <w:rPr>
                <w:rStyle w:val="Hyperlink"/>
                <w:rFonts w:hint="eastAsia"/>
                <w:noProof/>
                <w:rtl/>
                <w:lang w:bidi="fa-IR"/>
              </w:rPr>
              <w:t>أَرَادَ</w:t>
            </w:r>
            <w:r w:rsidR="00C822D0" w:rsidRPr="00422DB2">
              <w:rPr>
                <w:rStyle w:val="Hyperlink"/>
                <w:noProof/>
                <w:rtl/>
                <w:lang w:bidi="fa-IR"/>
              </w:rPr>
              <w:t xml:space="preserve"> </w:t>
            </w:r>
            <w:r w:rsidR="00C822D0" w:rsidRPr="00422DB2">
              <w:rPr>
                <w:rStyle w:val="Hyperlink"/>
                <w:rFonts w:hint="eastAsia"/>
                <w:noProof/>
                <w:rtl/>
                <w:lang w:bidi="fa-IR"/>
              </w:rPr>
              <w:t>اللهُ</w:t>
            </w:r>
            <w:r w:rsidR="00C822D0" w:rsidRPr="00422DB2">
              <w:rPr>
                <w:rStyle w:val="Hyperlink"/>
                <w:noProof/>
                <w:rtl/>
                <w:lang w:bidi="fa-IR"/>
              </w:rPr>
              <w:t xml:space="preserve"> </w:t>
            </w:r>
            <w:r w:rsidR="00C822D0" w:rsidRPr="00422DB2">
              <w:rPr>
                <w:rStyle w:val="Hyperlink"/>
                <w:rFonts w:hint="eastAsia"/>
                <w:noProof/>
                <w:rtl/>
                <w:lang w:bidi="fa-IR"/>
              </w:rPr>
              <w:t>عَزَّ</w:t>
            </w:r>
            <w:r w:rsidR="00C822D0" w:rsidRPr="00422DB2">
              <w:rPr>
                <w:rStyle w:val="Hyperlink"/>
                <w:noProof/>
                <w:rtl/>
                <w:lang w:bidi="fa-IR"/>
              </w:rPr>
              <w:t xml:space="preserve"> </w:t>
            </w:r>
            <w:r w:rsidR="00C822D0" w:rsidRPr="00422DB2">
              <w:rPr>
                <w:rStyle w:val="Hyperlink"/>
                <w:rFonts w:hint="eastAsia"/>
                <w:noProof/>
                <w:rtl/>
                <w:lang w:bidi="fa-IR"/>
              </w:rPr>
              <w:t>وَجَلَّ</w:t>
            </w:r>
            <w:r w:rsidR="00C822D0" w:rsidRPr="00422DB2">
              <w:rPr>
                <w:rStyle w:val="Hyperlink"/>
                <w:noProof/>
                <w:rtl/>
                <w:lang w:bidi="fa-IR"/>
              </w:rPr>
              <w:t xml:space="preserve"> </w:t>
            </w:r>
            <w:r w:rsidR="00C822D0" w:rsidRPr="00422DB2">
              <w:rPr>
                <w:rStyle w:val="Hyperlink"/>
                <w:rFonts w:hint="eastAsia"/>
                <w:noProof/>
                <w:rtl/>
                <w:lang w:bidi="fa-IR"/>
              </w:rPr>
              <w:t>أَنْ</w:t>
            </w:r>
            <w:r w:rsidR="00C822D0" w:rsidRPr="00422DB2">
              <w:rPr>
                <w:rStyle w:val="Hyperlink"/>
                <w:noProof/>
                <w:rtl/>
                <w:lang w:bidi="fa-IR"/>
              </w:rPr>
              <w:t xml:space="preserve"> </w:t>
            </w:r>
            <w:r w:rsidR="00C822D0" w:rsidRPr="00422DB2">
              <w:rPr>
                <w:rStyle w:val="Hyperlink"/>
                <w:rFonts w:hint="eastAsia"/>
                <w:noProof/>
                <w:rtl/>
                <w:lang w:bidi="fa-IR"/>
              </w:rPr>
              <w:t>يَخْلُقَ</w:t>
            </w:r>
            <w:r w:rsidR="00C822D0" w:rsidRPr="00422DB2">
              <w:rPr>
                <w:rStyle w:val="Hyperlink"/>
                <w:noProof/>
                <w:rtl/>
                <w:lang w:bidi="fa-IR"/>
              </w:rPr>
              <w:t xml:space="preserve"> </w:t>
            </w:r>
            <w:r w:rsidR="00C822D0" w:rsidRPr="00422DB2">
              <w:rPr>
                <w:rStyle w:val="Hyperlink"/>
                <w:rFonts w:hint="eastAsia"/>
                <w:noProof/>
                <w:rtl/>
                <w:lang w:bidi="fa-IR"/>
              </w:rPr>
              <w:t>الْمُؤْمِنَ</w:t>
            </w:r>
            <w:r w:rsidR="00C822D0" w:rsidRPr="00422DB2">
              <w:rPr>
                <w:rStyle w:val="Hyperlink"/>
                <w:noProof/>
                <w:rtl/>
                <w:lang w:bidi="fa-IR"/>
              </w:rPr>
              <w:t xml:space="preserve"> </w:t>
            </w:r>
            <w:r w:rsidR="00C822D0" w:rsidRPr="00422DB2">
              <w:rPr>
                <w:rStyle w:val="Hyperlink"/>
                <w:noProof/>
                <w:vertAlign w:val="superscript"/>
                <w:rtl/>
              </w:rPr>
              <w:t>(5)</w:t>
            </w:r>
            <w:r w:rsidR="00C822D0" w:rsidRPr="00422DB2">
              <w:rPr>
                <w:rStyle w:val="Hyperlink"/>
                <w:noProof/>
                <w:rtl/>
                <w:lang w:bidi="fa-IR"/>
              </w:rPr>
              <w:t xml:space="preserve"> ‌</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35348629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38</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30" w:history="1">
            <w:r w:rsidR="00C822D0" w:rsidRPr="00422DB2">
              <w:rPr>
                <w:rStyle w:val="Hyperlink"/>
                <w:noProof/>
                <w:rtl/>
                <w:lang w:bidi="fa-IR"/>
              </w:rPr>
              <w:t xml:space="preserve">9 -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فِي</w:t>
            </w:r>
            <w:r w:rsidR="00C822D0" w:rsidRPr="00422DB2">
              <w:rPr>
                <w:rStyle w:val="Hyperlink"/>
                <w:noProof/>
                <w:rtl/>
                <w:lang w:bidi="fa-IR"/>
              </w:rPr>
              <w:t xml:space="preserve"> </w:t>
            </w:r>
            <w:r w:rsidR="00C822D0" w:rsidRPr="00422DB2">
              <w:rPr>
                <w:rStyle w:val="Hyperlink"/>
                <w:noProof/>
                <w:vertAlign w:val="superscript"/>
                <w:rtl/>
              </w:rPr>
              <w:t>(3)</w:t>
            </w:r>
            <w:r w:rsidR="00C822D0" w:rsidRPr="00422DB2">
              <w:rPr>
                <w:rStyle w:val="Hyperlink"/>
                <w:noProof/>
                <w:rtl/>
              </w:rPr>
              <w:t xml:space="preserve"> </w:t>
            </w:r>
            <w:r w:rsidR="00C822D0" w:rsidRPr="00422DB2">
              <w:rPr>
                <w:rStyle w:val="Hyperlink"/>
                <w:rFonts w:hint="eastAsia"/>
                <w:noProof/>
                <w:rtl/>
                <w:lang w:bidi="fa-IR"/>
              </w:rPr>
              <w:t>أَنَّ</w:t>
            </w:r>
            <w:r w:rsidR="00C822D0" w:rsidRPr="00422DB2">
              <w:rPr>
                <w:rStyle w:val="Hyperlink"/>
                <w:noProof/>
                <w:rtl/>
                <w:lang w:bidi="fa-IR"/>
              </w:rPr>
              <w:t xml:space="preserve"> </w:t>
            </w:r>
            <w:r w:rsidR="00C822D0" w:rsidRPr="00422DB2">
              <w:rPr>
                <w:rStyle w:val="Hyperlink"/>
                <w:rFonts w:hint="eastAsia"/>
                <w:noProof/>
                <w:rtl/>
                <w:lang w:bidi="fa-IR"/>
              </w:rPr>
              <w:t>الصِّبْغَةَ</w:t>
            </w:r>
            <w:r w:rsidR="00C822D0" w:rsidRPr="00422DB2">
              <w:rPr>
                <w:rStyle w:val="Hyperlink"/>
                <w:noProof/>
                <w:rtl/>
                <w:lang w:bidi="fa-IR"/>
              </w:rPr>
              <w:t xml:space="preserve"> </w:t>
            </w:r>
            <w:r w:rsidR="00C822D0" w:rsidRPr="00422DB2">
              <w:rPr>
                <w:rStyle w:val="Hyperlink"/>
                <w:rFonts w:hint="eastAsia"/>
                <w:noProof/>
                <w:rtl/>
                <w:lang w:bidi="fa-IR"/>
              </w:rPr>
              <w:t>هِيَ</w:t>
            </w:r>
            <w:r w:rsidR="00C822D0" w:rsidRPr="00422DB2">
              <w:rPr>
                <w:rStyle w:val="Hyperlink"/>
                <w:noProof/>
                <w:rtl/>
                <w:lang w:bidi="fa-IR"/>
              </w:rPr>
              <w:t xml:space="preserve"> </w:t>
            </w:r>
            <w:r w:rsidR="00C822D0" w:rsidRPr="00422DB2">
              <w:rPr>
                <w:rStyle w:val="Hyperlink"/>
                <w:rFonts w:hint="eastAsia"/>
                <w:noProof/>
                <w:rtl/>
                <w:lang w:bidi="fa-IR"/>
              </w:rPr>
              <w:t>الْإِسْلَامُ‌</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35348630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40</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31" w:history="1">
            <w:r w:rsidR="00C822D0" w:rsidRPr="00422DB2">
              <w:rPr>
                <w:rStyle w:val="Hyperlink"/>
                <w:noProof/>
                <w:rtl/>
                <w:lang w:bidi="fa-IR"/>
              </w:rPr>
              <w:t xml:space="preserve">10 -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فِي</w:t>
            </w:r>
            <w:r w:rsidR="00C822D0" w:rsidRPr="00422DB2">
              <w:rPr>
                <w:rStyle w:val="Hyperlink"/>
                <w:noProof/>
                <w:rtl/>
                <w:lang w:bidi="fa-IR"/>
              </w:rPr>
              <w:t xml:space="preserve"> </w:t>
            </w:r>
            <w:r w:rsidR="00C822D0" w:rsidRPr="00422DB2">
              <w:rPr>
                <w:rStyle w:val="Hyperlink"/>
                <w:noProof/>
                <w:vertAlign w:val="superscript"/>
                <w:rtl/>
              </w:rPr>
              <w:t>(2)</w:t>
            </w:r>
            <w:r w:rsidR="00C822D0" w:rsidRPr="00422DB2">
              <w:rPr>
                <w:rStyle w:val="Hyperlink"/>
                <w:noProof/>
                <w:rtl/>
              </w:rPr>
              <w:t xml:space="preserve"> </w:t>
            </w:r>
            <w:r w:rsidR="00C822D0" w:rsidRPr="00422DB2">
              <w:rPr>
                <w:rStyle w:val="Hyperlink"/>
                <w:rFonts w:hint="eastAsia"/>
                <w:noProof/>
                <w:rtl/>
                <w:lang w:bidi="fa-IR"/>
              </w:rPr>
              <w:t>أَنَّ</w:t>
            </w:r>
            <w:r w:rsidR="00C822D0" w:rsidRPr="00422DB2">
              <w:rPr>
                <w:rStyle w:val="Hyperlink"/>
                <w:noProof/>
                <w:rtl/>
                <w:lang w:bidi="fa-IR"/>
              </w:rPr>
              <w:t xml:space="preserve"> </w:t>
            </w:r>
            <w:r w:rsidR="00C822D0" w:rsidRPr="00422DB2">
              <w:rPr>
                <w:rStyle w:val="Hyperlink"/>
                <w:rFonts w:hint="eastAsia"/>
                <w:noProof/>
                <w:rtl/>
                <w:lang w:bidi="fa-IR"/>
              </w:rPr>
              <w:t>السَّكِينَةَ</w:t>
            </w:r>
            <w:r w:rsidR="00C822D0" w:rsidRPr="00422DB2">
              <w:rPr>
                <w:rStyle w:val="Hyperlink"/>
                <w:noProof/>
                <w:rtl/>
                <w:lang w:bidi="fa-IR"/>
              </w:rPr>
              <w:t xml:space="preserve"> </w:t>
            </w:r>
            <w:r w:rsidR="00C822D0" w:rsidRPr="00422DB2">
              <w:rPr>
                <w:rStyle w:val="Hyperlink"/>
                <w:rFonts w:hint="eastAsia"/>
                <w:noProof/>
                <w:rtl/>
                <w:lang w:bidi="fa-IR"/>
              </w:rPr>
              <w:t>هِيَ</w:t>
            </w:r>
            <w:r w:rsidR="00C822D0" w:rsidRPr="00422DB2">
              <w:rPr>
                <w:rStyle w:val="Hyperlink"/>
                <w:noProof/>
                <w:rtl/>
                <w:lang w:bidi="fa-IR"/>
              </w:rPr>
              <w:t xml:space="preserve"> </w:t>
            </w:r>
            <w:r w:rsidR="00C822D0" w:rsidRPr="00422DB2">
              <w:rPr>
                <w:rStyle w:val="Hyperlink"/>
                <w:rFonts w:hint="eastAsia"/>
                <w:noProof/>
                <w:rtl/>
                <w:lang w:bidi="fa-IR"/>
              </w:rPr>
              <w:t>الْإِيمَانُ‌</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35348631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42</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32" w:history="1">
            <w:r w:rsidR="00C822D0" w:rsidRPr="00422DB2">
              <w:rPr>
                <w:rStyle w:val="Hyperlink"/>
                <w:noProof/>
                <w:rtl/>
                <w:lang w:bidi="fa-IR"/>
              </w:rPr>
              <w:t xml:space="preserve">11 -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الْإِخْلَاصِ‌</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35348632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44</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33" w:history="1">
            <w:r w:rsidR="00C822D0" w:rsidRPr="00422DB2">
              <w:rPr>
                <w:rStyle w:val="Hyperlink"/>
                <w:noProof/>
                <w:rtl/>
                <w:lang w:bidi="fa-IR"/>
              </w:rPr>
              <w:t xml:space="preserve">12 -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الشَّرَائِعِ‌</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35348633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48</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34" w:history="1">
            <w:r w:rsidR="00C822D0" w:rsidRPr="00422DB2">
              <w:rPr>
                <w:rStyle w:val="Hyperlink"/>
                <w:noProof/>
                <w:rtl/>
                <w:lang w:bidi="fa-IR"/>
              </w:rPr>
              <w:t xml:space="preserve">13 -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دَعَائِمِ</w:t>
            </w:r>
            <w:r w:rsidR="00C822D0" w:rsidRPr="00422DB2">
              <w:rPr>
                <w:rStyle w:val="Hyperlink"/>
                <w:noProof/>
                <w:rtl/>
                <w:lang w:bidi="fa-IR"/>
              </w:rPr>
              <w:t xml:space="preserve"> </w:t>
            </w:r>
            <w:r w:rsidR="00C822D0" w:rsidRPr="00422DB2">
              <w:rPr>
                <w:rStyle w:val="Hyperlink"/>
                <w:rFonts w:hint="eastAsia"/>
                <w:noProof/>
                <w:rtl/>
                <w:lang w:bidi="fa-IR"/>
              </w:rPr>
              <w:t>الْإِسْلَامِ‌</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35348634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51</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35" w:history="1">
            <w:r w:rsidR="00C822D0" w:rsidRPr="00422DB2">
              <w:rPr>
                <w:rStyle w:val="Hyperlink"/>
                <w:noProof/>
                <w:rtl/>
                <w:lang w:bidi="fa-IR"/>
              </w:rPr>
              <w:t xml:space="preserve">14 -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أَنَّ</w:t>
            </w:r>
            <w:r w:rsidR="00C822D0" w:rsidRPr="00422DB2">
              <w:rPr>
                <w:rStyle w:val="Hyperlink"/>
                <w:noProof/>
                <w:rtl/>
                <w:lang w:bidi="fa-IR"/>
              </w:rPr>
              <w:t xml:space="preserve"> </w:t>
            </w:r>
            <w:r w:rsidR="00C822D0" w:rsidRPr="00422DB2">
              <w:rPr>
                <w:rStyle w:val="Hyperlink"/>
                <w:rFonts w:hint="eastAsia"/>
                <w:noProof/>
                <w:rtl/>
                <w:lang w:bidi="fa-IR"/>
              </w:rPr>
              <w:t>الْإِسْلَامَ</w:t>
            </w:r>
            <w:r w:rsidR="00C822D0" w:rsidRPr="00422DB2">
              <w:rPr>
                <w:rStyle w:val="Hyperlink"/>
                <w:noProof/>
                <w:rtl/>
                <w:lang w:bidi="fa-IR"/>
              </w:rPr>
              <w:t xml:space="preserve"> </w:t>
            </w:r>
            <w:r w:rsidR="00C822D0" w:rsidRPr="00422DB2">
              <w:rPr>
                <w:rStyle w:val="Hyperlink"/>
                <w:rFonts w:hint="eastAsia"/>
                <w:noProof/>
                <w:rtl/>
                <w:lang w:bidi="fa-IR"/>
              </w:rPr>
              <w:t>يُحْقَنُ</w:t>
            </w:r>
            <w:r w:rsidR="00C822D0" w:rsidRPr="00422DB2">
              <w:rPr>
                <w:rStyle w:val="Hyperlink"/>
                <w:noProof/>
                <w:rtl/>
                <w:lang w:bidi="fa-IR"/>
              </w:rPr>
              <w:t xml:space="preserve"> </w:t>
            </w:r>
            <w:r w:rsidR="00C822D0" w:rsidRPr="00422DB2">
              <w:rPr>
                <w:rStyle w:val="Hyperlink"/>
                <w:rFonts w:hint="eastAsia"/>
                <w:noProof/>
                <w:rtl/>
                <w:lang w:bidi="fa-IR"/>
              </w:rPr>
              <w:t>بِهِ</w:t>
            </w:r>
            <w:r w:rsidR="00C822D0" w:rsidRPr="00422DB2">
              <w:rPr>
                <w:rStyle w:val="Hyperlink"/>
                <w:noProof/>
                <w:rtl/>
                <w:lang w:bidi="fa-IR"/>
              </w:rPr>
              <w:t xml:space="preserve"> </w:t>
            </w:r>
            <w:r w:rsidR="00C822D0" w:rsidRPr="00422DB2">
              <w:rPr>
                <w:rStyle w:val="Hyperlink"/>
                <w:rFonts w:hint="eastAsia"/>
                <w:noProof/>
                <w:rtl/>
                <w:lang w:bidi="fa-IR"/>
              </w:rPr>
              <w:t>الدَّمُ</w:t>
            </w:r>
            <w:r w:rsidR="00C822D0" w:rsidRPr="00422DB2">
              <w:rPr>
                <w:rStyle w:val="Hyperlink"/>
                <w:noProof/>
                <w:rtl/>
                <w:lang w:bidi="fa-IR"/>
              </w:rPr>
              <w:t xml:space="preserve"> </w:t>
            </w:r>
            <w:r w:rsidR="00C822D0" w:rsidRPr="00422DB2">
              <w:rPr>
                <w:rStyle w:val="Hyperlink"/>
                <w:noProof/>
                <w:vertAlign w:val="superscript"/>
                <w:rtl/>
              </w:rPr>
              <w:t>(8)</w:t>
            </w:r>
            <w:r w:rsidR="00C822D0" w:rsidRPr="00422DB2">
              <w:rPr>
                <w:rStyle w:val="Hyperlink"/>
                <w:noProof/>
                <w:rtl/>
              </w:rPr>
              <w:t xml:space="preserve"> </w:t>
            </w:r>
            <w:r w:rsidR="00C822D0" w:rsidRPr="00422DB2">
              <w:rPr>
                <w:rStyle w:val="Hyperlink"/>
                <w:rFonts w:hint="eastAsia"/>
                <w:noProof/>
                <w:rtl/>
                <w:lang w:bidi="fa-IR"/>
              </w:rPr>
              <w:t>وَأَنَّ</w:t>
            </w:r>
            <w:r w:rsidR="00C822D0" w:rsidRPr="00422DB2">
              <w:rPr>
                <w:rStyle w:val="Hyperlink"/>
                <w:noProof/>
                <w:rtl/>
                <w:lang w:bidi="fa-IR"/>
              </w:rPr>
              <w:t xml:space="preserve"> </w:t>
            </w:r>
            <w:r w:rsidR="00C822D0" w:rsidRPr="00422DB2">
              <w:rPr>
                <w:rStyle w:val="Hyperlink"/>
                <w:rFonts w:hint="eastAsia"/>
                <w:noProof/>
                <w:rtl/>
                <w:lang w:bidi="fa-IR"/>
              </w:rPr>
              <w:t>الثَّوَابَ</w:t>
            </w:r>
            <w:r w:rsidR="00C822D0" w:rsidRPr="00422DB2">
              <w:rPr>
                <w:rStyle w:val="Hyperlink"/>
                <w:noProof/>
                <w:rtl/>
                <w:lang w:bidi="fa-IR"/>
              </w:rPr>
              <w:t xml:space="preserve"> </w:t>
            </w:r>
            <w:r w:rsidR="00C822D0" w:rsidRPr="00422DB2">
              <w:rPr>
                <w:rStyle w:val="Hyperlink"/>
                <w:rFonts w:hint="eastAsia"/>
                <w:noProof/>
                <w:rtl/>
                <w:lang w:bidi="fa-IR"/>
              </w:rPr>
              <w:t>عَلَى</w:t>
            </w:r>
            <w:r w:rsidR="00C822D0" w:rsidRPr="00422DB2">
              <w:rPr>
                <w:rStyle w:val="Hyperlink"/>
                <w:noProof/>
                <w:rtl/>
                <w:lang w:bidi="fa-IR"/>
              </w:rPr>
              <w:t xml:space="preserve"> </w:t>
            </w:r>
            <w:r w:rsidR="00C822D0" w:rsidRPr="00422DB2">
              <w:rPr>
                <w:rStyle w:val="Hyperlink"/>
                <w:rFonts w:hint="eastAsia"/>
                <w:noProof/>
                <w:rtl/>
                <w:lang w:bidi="fa-IR"/>
              </w:rPr>
              <w:t>الْإِيمَانِ‌</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35348635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68</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36" w:history="1">
            <w:r w:rsidR="00C822D0" w:rsidRPr="00422DB2">
              <w:rPr>
                <w:rStyle w:val="Hyperlink"/>
                <w:noProof/>
                <w:rtl/>
                <w:lang w:bidi="fa-IR"/>
              </w:rPr>
              <w:t xml:space="preserve">15 -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أَنَّ</w:t>
            </w:r>
            <w:r w:rsidR="00C822D0" w:rsidRPr="00422DB2">
              <w:rPr>
                <w:rStyle w:val="Hyperlink"/>
                <w:noProof/>
                <w:rtl/>
                <w:lang w:bidi="fa-IR"/>
              </w:rPr>
              <w:t xml:space="preserve"> </w:t>
            </w:r>
            <w:r w:rsidR="00C822D0" w:rsidRPr="00422DB2">
              <w:rPr>
                <w:rStyle w:val="Hyperlink"/>
                <w:rFonts w:hint="eastAsia"/>
                <w:noProof/>
                <w:rtl/>
                <w:lang w:bidi="fa-IR"/>
              </w:rPr>
              <w:t>الْإِيمَانَ</w:t>
            </w:r>
            <w:r w:rsidR="00C822D0" w:rsidRPr="00422DB2">
              <w:rPr>
                <w:rStyle w:val="Hyperlink"/>
                <w:noProof/>
                <w:rtl/>
                <w:lang w:bidi="fa-IR"/>
              </w:rPr>
              <w:t xml:space="preserve"> </w:t>
            </w:r>
            <w:r w:rsidR="00C822D0" w:rsidRPr="00422DB2">
              <w:rPr>
                <w:rStyle w:val="Hyperlink"/>
                <w:rFonts w:hint="eastAsia"/>
                <w:noProof/>
                <w:rtl/>
                <w:lang w:bidi="fa-IR"/>
              </w:rPr>
              <w:t>يَشْرَكُ</w:t>
            </w:r>
            <w:r w:rsidR="00C822D0" w:rsidRPr="00422DB2">
              <w:rPr>
                <w:rStyle w:val="Hyperlink"/>
                <w:noProof/>
                <w:rtl/>
                <w:lang w:bidi="fa-IR"/>
              </w:rPr>
              <w:t xml:space="preserve"> </w:t>
            </w:r>
            <w:r w:rsidR="00C822D0" w:rsidRPr="00422DB2">
              <w:rPr>
                <w:rStyle w:val="Hyperlink"/>
                <w:rFonts w:hint="eastAsia"/>
                <w:noProof/>
                <w:rtl/>
                <w:lang w:bidi="fa-IR"/>
              </w:rPr>
              <w:t>الْإِسْلَامَ</w:t>
            </w:r>
            <w:r w:rsidR="00C822D0" w:rsidRPr="00422DB2">
              <w:rPr>
                <w:rStyle w:val="Hyperlink"/>
                <w:noProof/>
                <w:rtl/>
                <w:lang w:bidi="fa-IR"/>
              </w:rPr>
              <w:t xml:space="preserve"> </w:t>
            </w:r>
            <w:r w:rsidR="00C822D0" w:rsidRPr="00422DB2">
              <w:rPr>
                <w:rStyle w:val="Hyperlink"/>
                <w:rFonts w:hint="eastAsia"/>
                <w:noProof/>
                <w:rtl/>
                <w:lang w:bidi="fa-IR"/>
              </w:rPr>
              <w:t>،</w:t>
            </w:r>
            <w:r w:rsidR="00C822D0" w:rsidRPr="00422DB2">
              <w:rPr>
                <w:rStyle w:val="Hyperlink"/>
                <w:noProof/>
                <w:rtl/>
                <w:lang w:bidi="fa-IR"/>
              </w:rPr>
              <w:t xml:space="preserve"> </w:t>
            </w:r>
            <w:r w:rsidR="00C822D0" w:rsidRPr="00422DB2">
              <w:rPr>
                <w:rStyle w:val="Hyperlink"/>
                <w:rFonts w:hint="eastAsia"/>
                <w:noProof/>
                <w:rtl/>
                <w:lang w:bidi="fa-IR"/>
              </w:rPr>
              <w:t>وَالْإِسْلَامَ</w:t>
            </w:r>
            <w:r w:rsidR="00C822D0" w:rsidRPr="00422DB2">
              <w:rPr>
                <w:rStyle w:val="Hyperlink"/>
                <w:noProof/>
                <w:rtl/>
                <w:lang w:bidi="fa-IR"/>
              </w:rPr>
              <w:t xml:space="preserve"> </w:t>
            </w:r>
            <w:r w:rsidR="00C822D0" w:rsidRPr="00422DB2">
              <w:rPr>
                <w:rStyle w:val="Hyperlink"/>
                <w:rFonts w:hint="eastAsia"/>
                <w:noProof/>
                <w:rtl/>
                <w:lang w:bidi="fa-IR"/>
              </w:rPr>
              <w:t>لَايَشْرَكُ</w:t>
            </w:r>
            <w:r w:rsidR="00C822D0" w:rsidRPr="00422DB2">
              <w:rPr>
                <w:rStyle w:val="Hyperlink"/>
                <w:noProof/>
                <w:rtl/>
                <w:lang w:bidi="fa-IR"/>
              </w:rPr>
              <w:t xml:space="preserve"> </w:t>
            </w:r>
            <w:r w:rsidR="00C822D0" w:rsidRPr="00422DB2">
              <w:rPr>
                <w:rStyle w:val="Hyperlink"/>
                <w:rFonts w:hint="eastAsia"/>
                <w:noProof/>
                <w:rtl/>
                <w:lang w:bidi="fa-IR"/>
              </w:rPr>
              <w:t>الْإِيمَانَ‌</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35348636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72</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37" w:history="1">
            <w:r w:rsidR="00C822D0" w:rsidRPr="00422DB2">
              <w:rPr>
                <w:rStyle w:val="Hyperlink"/>
                <w:noProof/>
                <w:rtl/>
                <w:lang w:bidi="fa-IR"/>
              </w:rPr>
              <w:t xml:space="preserve">16 -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آخَرُ</w:t>
            </w:r>
            <w:r w:rsidR="00C822D0" w:rsidRPr="00422DB2">
              <w:rPr>
                <w:rStyle w:val="Hyperlink"/>
                <w:noProof/>
                <w:rtl/>
                <w:lang w:bidi="fa-IR"/>
              </w:rPr>
              <w:t xml:space="preserve"> </w:t>
            </w:r>
            <w:r w:rsidR="00C822D0" w:rsidRPr="00422DB2">
              <w:rPr>
                <w:rStyle w:val="Hyperlink"/>
                <w:rFonts w:hint="eastAsia"/>
                <w:noProof/>
                <w:rtl/>
                <w:lang w:bidi="fa-IR"/>
              </w:rPr>
              <w:t>مِنْهُ</w:t>
            </w:r>
            <w:r w:rsidR="00C822D0" w:rsidRPr="00422DB2">
              <w:rPr>
                <w:rStyle w:val="Hyperlink"/>
                <w:noProof/>
                <w:rtl/>
                <w:lang w:bidi="fa-IR"/>
              </w:rPr>
              <w:t xml:space="preserve"> </w:t>
            </w:r>
            <w:r w:rsidR="00C822D0" w:rsidRPr="00422DB2">
              <w:rPr>
                <w:rStyle w:val="Hyperlink"/>
                <w:rFonts w:hint="eastAsia"/>
                <w:noProof/>
                <w:rtl/>
                <w:lang w:bidi="fa-IR"/>
              </w:rPr>
              <w:t>وَفِيهِ</w:t>
            </w:r>
            <w:r w:rsidR="00C822D0" w:rsidRPr="00422DB2">
              <w:rPr>
                <w:rStyle w:val="Hyperlink"/>
                <w:noProof/>
                <w:rtl/>
                <w:lang w:bidi="fa-IR"/>
              </w:rPr>
              <w:t xml:space="preserve"> </w:t>
            </w:r>
            <w:r w:rsidR="00C822D0" w:rsidRPr="00422DB2">
              <w:rPr>
                <w:rStyle w:val="Hyperlink"/>
                <w:rFonts w:hint="eastAsia"/>
                <w:noProof/>
                <w:rtl/>
                <w:lang w:bidi="fa-IR"/>
              </w:rPr>
              <w:t>أَنَّ</w:t>
            </w:r>
            <w:r w:rsidR="00C822D0" w:rsidRPr="00422DB2">
              <w:rPr>
                <w:rStyle w:val="Hyperlink"/>
                <w:noProof/>
                <w:rtl/>
                <w:lang w:bidi="fa-IR"/>
              </w:rPr>
              <w:t xml:space="preserve"> </w:t>
            </w:r>
            <w:r w:rsidR="00C822D0" w:rsidRPr="00422DB2">
              <w:rPr>
                <w:rStyle w:val="Hyperlink"/>
                <w:rFonts w:hint="eastAsia"/>
                <w:noProof/>
                <w:rtl/>
                <w:lang w:bidi="fa-IR"/>
              </w:rPr>
              <w:t>الْإِسْلَامَ</w:t>
            </w:r>
            <w:r w:rsidR="00C822D0" w:rsidRPr="00422DB2">
              <w:rPr>
                <w:rStyle w:val="Hyperlink"/>
                <w:noProof/>
                <w:rtl/>
                <w:lang w:bidi="fa-IR"/>
              </w:rPr>
              <w:t xml:space="preserve"> </w:t>
            </w:r>
            <w:r w:rsidR="00C822D0" w:rsidRPr="00422DB2">
              <w:rPr>
                <w:rStyle w:val="Hyperlink"/>
                <w:rFonts w:hint="eastAsia"/>
                <w:noProof/>
                <w:rtl/>
                <w:lang w:bidi="fa-IR"/>
              </w:rPr>
              <w:t>قَبْلَ</w:t>
            </w:r>
            <w:r w:rsidR="00C822D0" w:rsidRPr="00422DB2">
              <w:rPr>
                <w:rStyle w:val="Hyperlink"/>
                <w:noProof/>
                <w:rtl/>
                <w:lang w:bidi="fa-IR"/>
              </w:rPr>
              <w:t xml:space="preserve"> </w:t>
            </w:r>
            <w:r w:rsidR="00C822D0" w:rsidRPr="00422DB2">
              <w:rPr>
                <w:rStyle w:val="Hyperlink"/>
                <w:rFonts w:hint="eastAsia"/>
                <w:noProof/>
                <w:rtl/>
                <w:lang w:bidi="fa-IR"/>
              </w:rPr>
              <w:t>الْإِيمَانِ‌</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35348637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76</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38" w:history="1">
            <w:r w:rsidR="00C822D0" w:rsidRPr="00422DB2">
              <w:rPr>
                <w:rStyle w:val="Hyperlink"/>
                <w:noProof/>
                <w:rtl/>
                <w:lang w:bidi="fa-IR"/>
              </w:rPr>
              <w:t xml:space="preserve">17 -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noProof/>
                <w:vertAlign w:val="superscript"/>
                <w:rtl/>
              </w:rPr>
              <w:t>(7)</w:t>
            </w:r>
            <w:r w:rsidR="00C822D0" w:rsidRPr="00422DB2">
              <w:rPr>
                <w:rStyle w:val="Hyperlink"/>
                <w:rFonts w:hint="eastAsia"/>
                <w:noProof/>
                <w:lang w:bidi="fa-IR"/>
              </w:rPr>
              <w:t>‌</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35348638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79</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39" w:history="1">
            <w:r w:rsidR="00C822D0" w:rsidRPr="00422DB2">
              <w:rPr>
                <w:rStyle w:val="Hyperlink"/>
                <w:noProof/>
                <w:rtl/>
                <w:lang w:bidi="fa-IR"/>
              </w:rPr>
              <w:t xml:space="preserve">18 -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noProof/>
                <w:vertAlign w:val="superscript"/>
                <w:rtl/>
              </w:rPr>
              <w:t>(5)</w:t>
            </w:r>
            <w:r w:rsidR="00C822D0" w:rsidRPr="00422DB2">
              <w:rPr>
                <w:rStyle w:val="Hyperlink"/>
                <w:noProof/>
                <w:rtl/>
              </w:rPr>
              <w:t xml:space="preserve"> </w:t>
            </w:r>
            <w:r w:rsidR="00C822D0" w:rsidRPr="00422DB2">
              <w:rPr>
                <w:rStyle w:val="Hyperlink"/>
                <w:rFonts w:hint="eastAsia"/>
                <w:noProof/>
                <w:rtl/>
                <w:lang w:bidi="fa-IR"/>
              </w:rPr>
              <w:t>فِي</w:t>
            </w:r>
            <w:r w:rsidR="00C822D0" w:rsidRPr="00422DB2">
              <w:rPr>
                <w:rStyle w:val="Hyperlink"/>
                <w:noProof/>
                <w:rtl/>
                <w:lang w:bidi="fa-IR"/>
              </w:rPr>
              <w:t xml:space="preserve"> </w:t>
            </w:r>
            <w:r w:rsidR="00C822D0" w:rsidRPr="00422DB2">
              <w:rPr>
                <w:rStyle w:val="Hyperlink"/>
                <w:rFonts w:hint="eastAsia"/>
                <w:noProof/>
                <w:rtl/>
                <w:lang w:bidi="fa-IR"/>
              </w:rPr>
              <w:t>أَنَّ</w:t>
            </w:r>
            <w:r w:rsidR="00C822D0" w:rsidRPr="00422DB2">
              <w:rPr>
                <w:rStyle w:val="Hyperlink"/>
                <w:noProof/>
                <w:rtl/>
                <w:lang w:bidi="fa-IR"/>
              </w:rPr>
              <w:t xml:space="preserve"> </w:t>
            </w:r>
            <w:r w:rsidR="00C822D0" w:rsidRPr="00422DB2">
              <w:rPr>
                <w:rStyle w:val="Hyperlink"/>
                <w:rFonts w:hint="eastAsia"/>
                <w:noProof/>
                <w:rtl/>
                <w:lang w:bidi="fa-IR"/>
              </w:rPr>
              <w:t>الْإِيمَانَ</w:t>
            </w:r>
            <w:r w:rsidR="00C822D0" w:rsidRPr="00422DB2">
              <w:rPr>
                <w:rStyle w:val="Hyperlink"/>
                <w:noProof/>
                <w:rtl/>
                <w:lang w:bidi="fa-IR"/>
              </w:rPr>
              <w:t xml:space="preserve"> </w:t>
            </w:r>
            <w:r w:rsidR="00C822D0" w:rsidRPr="00422DB2">
              <w:rPr>
                <w:rStyle w:val="Hyperlink"/>
                <w:rFonts w:hint="eastAsia"/>
                <w:noProof/>
                <w:rtl/>
                <w:lang w:bidi="fa-IR"/>
              </w:rPr>
              <w:t>مَبْثُوثٌ</w:t>
            </w:r>
            <w:r w:rsidR="00C822D0" w:rsidRPr="00422DB2">
              <w:rPr>
                <w:rStyle w:val="Hyperlink"/>
                <w:noProof/>
                <w:rtl/>
                <w:lang w:bidi="fa-IR"/>
              </w:rPr>
              <w:t xml:space="preserve"> </w:t>
            </w:r>
            <w:r w:rsidR="00C822D0" w:rsidRPr="00422DB2">
              <w:rPr>
                <w:rStyle w:val="Hyperlink"/>
                <w:noProof/>
                <w:vertAlign w:val="superscript"/>
                <w:rtl/>
              </w:rPr>
              <w:t xml:space="preserve">(6) </w:t>
            </w:r>
            <w:r w:rsidR="00C822D0" w:rsidRPr="00422DB2">
              <w:rPr>
                <w:rStyle w:val="Hyperlink"/>
                <w:rFonts w:hint="eastAsia"/>
                <w:noProof/>
                <w:rtl/>
                <w:lang w:bidi="fa-IR"/>
              </w:rPr>
              <w:t>لِجَوَارِحِ</w:t>
            </w:r>
            <w:r w:rsidR="00C822D0" w:rsidRPr="00422DB2">
              <w:rPr>
                <w:rStyle w:val="Hyperlink"/>
                <w:noProof/>
                <w:rtl/>
                <w:lang w:bidi="fa-IR"/>
              </w:rPr>
              <w:t xml:space="preserve"> </w:t>
            </w:r>
            <w:r w:rsidR="00C822D0" w:rsidRPr="00422DB2">
              <w:rPr>
                <w:rStyle w:val="Hyperlink"/>
                <w:noProof/>
                <w:vertAlign w:val="superscript"/>
                <w:rtl/>
              </w:rPr>
              <w:t>(7)</w:t>
            </w:r>
            <w:r w:rsidR="00C822D0" w:rsidRPr="00422DB2">
              <w:rPr>
                <w:rStyle w:val="Hyperlink"/>
                <w:noProof/>
                <w:rtl/>
              </w:rPr>
              <w:t xml:space="preserve"> </w:t>
            </w:r>
            <w:r w:rsidR="00C822D0" w:rsidRPr="00422DB2">
              <w:rPr>
                <w:rStyle w:val="Hyperlink"/>
                <w:rFonts w:hint="eastAsia"/>
                <w:noProof/>
                <w:rtl/>
                <w:lang w:bidi="fa-IR"/>
              </w:rPr>
              <w:t>الْبَدَنِ</w:t>
            </w:r>
            <w:r w:rsidR="00C822D0" w:rsidRPr="00422DB2">
              <w:rPr>
                <w:rStyle w:val="Hyperlink"/>
                <w:noProof/>
                <w:rtl/>
                <w:lang w:bidi="fa-IR"/>
              </w:rPr>
              <w:t xml:space="preserve"> </w:t>
            </w:r>
            <w:r w:rsidR="00C822D0" w:rsidRPr="00422DB2">
              <w:rPr>
                <w:rStyle w:val="Hyperlink"/>
                <w:rFonts w:hint="eastAsia"/>
                <w:noProof/>
                <w:rtl/>
                <w:lang w:bidi="fa-IR"/>
              </w:rPr>
              <w:t>كُلِّهَا‌</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35348639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90</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40" w:history="1">
            <w:r w:rsidR="00C822D0" w:rsidRPr="00422DB2">
              <w:rPr>
                <w:rStyle w:val="Hyperlink"/>
                <w:noProof/>
                <w:rtl/>
                <w:lang w:bidi="fa-IR"/>
              </w:rPr>
              <w:t xml:space="preserve">19 -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السَّبْقِ</w:t>
            </w:r>
            <w:r w:rsidR="00C822D0" w:rsidRPr="00422DB2">
              <w:rPr>
                <w:rStyle w:val="Hyperlink"/>
                <w:noProof/>
                <w:rtl/>
                <w:lang w:bidi="fa-IR"/>
              </w:rPr>
              <w:t xml:space="preserve"> </w:t>
            </w:r>
            <w:r w:rsidR="00C822D0" w:rsidRPr="00422DB2">
              <w:rPr>
                <w:rStyle w:val="Hyperlink"/>
                <w:rFonts w:hint="eastAsia"/>
                <w:noProof/>
                <w:rtl/>
                <w:lang w:bidi="fa-IR"/>
              </w:rPr>
              <w:t>إِلَى</w:t>
            </w:r>
            <w:r w:rsidR="00C822D0" w:rsidRPr="00422DB2">
              <w:rPr>
                <w:rStyle w:val="Hyperlink"/>
                <w:noProof/>
                <w:rtl/>
                <w:lang w:bidi="fa-IR"/>
              </w:rPr>
              <w:t xml:space="preserve"> </w:t>
            </w:r>
            <w:r w:rsidR="00C822D0" w:rsidRPr="00422DB2">
              <w:rPr>
                <w:rStyle w:val="Hyperlink"/>
                <w:rFonts w:hint="eastAsia"/>
                <w:noProof/>
                <w:rtl/>
                <w:lang w:bidi="fa-IR"/>
              </w:rPr>
              <w:t>الْإِيمَانِ‌</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35348640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105</w:t>
            </w:r>
            <w:r w:rsidR="00C822D0">
              <w:rPr>
                <w:noProof/>
                <w:webHidden/>
                <w:rtl/>
              </w:rPr>
              <w:fldChar w:fldCharType="end"/>
            </w:r>
          </w:hyperlink>
        </w:p>
        <w:p w:rsidR="008C1E92" w:rsidRDefault="008C1E92" w:rsidP="00405F62">
          <w:pPr>
            <w:pStyle w:val="libNormal"/>
            <w:rPr>
              <w:rStyle w:val="Hyperlink"/>
              <w:noProof/>
            </w:rPr>
          </w:pPr>
          <w:r>
            <w:rPr>
              <w:rStyle w:val="Hyperlink"/>
              <w:noProof/>
            </w:rPr>
            <w:br w:type="page"/>
          </w:r>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41" w:history="1">
            <w:r w:rsidR="00C822D0" w:rsidRPr="00422DB2">
              <w:rPr>
                <w:rStyle w:val="Hyperlink"/>
                <w:noProof/>
                <w:rtl/>
                <w:lang w:bidi="fa-IR"/>
              </w:rPr>
              <w:t xml:space="preserve">20 -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دَرَجَاتِ</w:t>
            </w:r>
            <w:r w:rsidR="00C822D0" w:rsidRPr="00422DB2">
              <w:rPr>
                <w:rStyle w:val="Hyperlink"/>
                <w:noProof/>
                <w:rtl/>
                <w:lang w:bidi="fa-IR"/>
              </w:rPr>
              <w:t xml:space="preserve"> </w:t>
            </w:r>
            <w:r w:rsidR="00C822D0" w:rsidRPr="00422DB2">
              <w:rPr>
                <w:rStyle w:val="Hyperlink"/>
                <w:rFonts w:hint="eastAsia"/>
                <w:noProof/>
                <w:rtl/>
                <w:lang w:bidi="fa-IR"/>
              </w:rPr>
              <w:t>الْإِيمَانِ‌</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35348641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109</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42" w:history="1">
            <w:r w:rsidR="00C822D0" w:rsidRPr="00422DB2">
              <w:rPr>
                <w:rStyle w:val="Hyperlink"/>
                <w:noProof/>
                <w:rtl/>
                <w:lang w:bidi="fa-IR"/>
              </w:rPr>
              <w:t xml:space="preserve">21 -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آخَرُ</w:t>
            </w:r>
            <w:r w:rsidR="00C822D0" w:rsidRPr="00422DB2">
              <w:rPr>
                <w:rStyle w:val="Hyperlink"/>
                <w:noProof/>
                <w:rtl/>
                <w:lang w:bidi="fa-IR"/>
              </w:rPr>
              <w:t xml:space="preserve"> </w:t>
            </w:r>
            <w:r w:rsidR="00C822D0" w:rsidRPr="00422DB2">
              <w:rPr>
                <w:rStyle w:val="Hyperlink"/>
                <w:rFonts w:hint="eastAsia"/>
                <w:noProof/>
                <w:rtl/>
                <w:lang w:bidi="fa-IR"/>
              </w:rPr>
              <w:t>مِنْهُ‌</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35348642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113</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43" w:history="1">
            <w:r w:rsidR="00C822D0" w:rsidRPr="00422DB2">
              <w:rPr>
                <w:rStyle w:val="Hyperlink"/>
                <w:noProof/>
                <w:rtl/>
                <w:lang w:bidi="fa-IR"/>
              </w:rPr>
              <w:t xml:space="preserve">22 -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نِسْبَةِ</w:t>
            </w:r>
            <w:r w:rsidR="00C822D0" w:rsidRPr="00422DB2">
              <w:rPr>
                <w:rStyle w:val="Hyperlink"/>
                <w:noProof/>
                <w:rtl/>
                <w:lang w:bidi="fa-IR"/>
              </w:rPr>
              <w:t xml:space="preserve"> </w:t>
            </w:r>
            <w:r w:rsidR="00C822D0" w:rsidRPr="00422DB2">
              <w:rPr>
                <w:rStyle w:val="Hyperlink"/>
                <w:rFonts w:hint="eastAsia"/>
                <w:noProof/>
                <w:rtl/>
                <w:lang w:bidi="fa-IR"/>
              </w:rPr>
              <w:t>الْإِسْلَامِ‌</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35348643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117</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44" w:history="1">
            <w:r w:rsidR="00C822D0" w:rsidRPr="00422DB2">
              <w:rPr>
                <w:rStyle w:val="Hyperlink"/>
                <w:noProof/>
                <w:rtl/>
                <w:lang w:bidi="fa-IR"/>
              </w:rPr>
              <w:t xml:space="preserve">23 -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noProof/>
                <w:vertAlign w:val="superscript"/>
                <w:rtl/>
              </w:rPr>
              <w:t>(1)</w:t>
            </w:r>
            <w:r w:rsidR="00C822D0" w:rsidRPr="00422DB2">
              <w:rPr>
                <w:rStyle w:val="Hyperlink"/>
                <w:rFonts w:hint="eastAsia"/>
                <w:noProof/>
                <w:lang w:bidi="fa-IR"/>
              </w:rPr>
              <w:t>‌</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35348644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120</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45" w:history="1">
            <w:r w:rsidR="00C822D0" w:rsidRPr="00422DB2">
              <w:rPr>
                <w:rStyle w:val="Hyperlink"/>
                <w:noProof/>
                <w:rtl/>
                <w:lang w:bidi="fa-IR"/>
              </w:rPr>
              <w:t xml:space="preserve">24 -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noProof/>
                <w:vertAlign w:val="superscript"/>
                <w:rtl/>
              </w:rPr>
              <w:t>(7)</w:t>
            </w:r>
            <w:r w:rsidR="00C822D0" w:rsidRPr="00422DB2">
              <w:rPr>
                <w:rStyle w:val="Hyperlink"/>
                <w:noProof/>
                <w:rtl/>
                <w:lang w:bidi="fa-IR"/>
              </w:rPr>
              <w:t xml:space="preserve"> ‌</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35348645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126</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46" w:history="1">
            <w:r w:rsidR="00C822D0" w:rsidRPr="00422DB2">
              <w:rPr>
                <w:rStyle w:val="Hyperlink"/>
                <w:noProof/>
                <w:rtl/>
                <w:lang w:bidi="fa-IR"/>
              </w:rPr>
              <w:t xml:space="preserve">25 -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صِفَةِ</w:t>
            </w:r>
            <w:r w:rsidR="00C822D0" w:rsidRPr="00422DB2">
              <w:rPr>
                <w:rStyle w:val="Hyperlink"/>
                <w:noProof/>
                <w:rtl/>
                <w:lang w:bidi="fa-IR"/>
              </w:rPr>
              <w:t xml:space="preserve"> </w:t>
            </w:r>
            <w:r w:rsidR="00C822D0" w:rsidRPr="00422DB2">
              <w:rPr>
                <w:rStyle w:val="Hyperlink"/>
                <w:rFonts w:hint="eastAsia"/>
                <w:noProof/>
                <w:rtl/>
                <w:lang w:bidi="fa-IR"/>
              </w:rPr>
              <w:t>الْإِيمَانِ‌</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35348646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130</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47" w:history="1">
            <w:r w:rsidR="00C822D0" w:rsidRPr="00422DB2">
              <w:rPr>
                <w:rStyle w:val="Hyperlink"/>
                <w:noProof/>
                <w:rtl/>
                <w:lang w:bidi="fa-IR"/>
              </w:rPr>
              <w:t xml:space="preserve">26 -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فَضْلِ</w:t>
            </w:r>
            <w:r w:rsidR="00C822D0" w:rsidRPr="00422DB2">
              <w:rPr>
                <w:rStyle w:val="Hyperlink"/>
                <w:noProof/>
                <w:rtl/>
                <w:lang w:bidi="fa-IR"/>
              </w:rPr>
              <w:t xml:space="preserve"> </w:t>
            </w:r>
            <w:r w:rsidR="00C822D0" w:rsidRPr="00422DB2">
              <w:rPr>
                <w:rStyle w:val="Hyperlink"/>
                <w:rFonts w:hint="eastAsia"/>
                <w:noProof/>
                <w:rtl/>
                <w:lang w:bidi="fa-IR"/>
              </w:rPr>
              <w:t>الْإِيمَانِ</w:t>
            </w:r>
            <w:r w:rsidR="00C822D0" w:rsidRPr="00422DB2">
              <w:rPr>
                <w:rStyle w:val="Hyperlink"/>
                <w:noProof/>
                <w:rtl/>
                <w:lang w:bidi="fa-IR"/>
              </w:rPr>
              <w:t xml:space="preserve"> </w:t>
            </w:r>
            <w:r w:rsidR="00C822D0" w:rsidRPr="00422DB2">
              <w:rPr>
                <w:rStyle w:val="Hyperlink"/>
                <w:rFonts w:hint="eastAsia"/>
                <w:noProof/>
                <w:rtl/>
                <w:lang w:bidi="fa-IR"/>
              </w:rPr>
              <w:t>عَلَى</w:t>
            </w:r>
            <w:r w:rsidR="00C822D0" w:rsidRPr="00422DB2">
              <w:rPr>
                <w:rStyle w:val="Hyperlink"/>
                <w:noProof/>
                <w:rtl/>
                <w:lang w:bidi="fa-IR"/>
              </w:rPr>
              <w:t xml:space="preserve"> </w:t>
            </w:r>
            <w:r w:rsidR="00C822D0" w:rsidRPr="00422DB2">
              <w:rPr>
                <w:rStyle w:val="Hyperlink"/>
                <w:rFonts w:hint="eastAsia"/>
                <w:noProof/>
                <w:rtl/>
                <w:lang w:bidi="fa-IR"/>
              </w:rPr>
              <w:t>الْإِسْلَامِ</w:t>
            </w:r>
            <w:r w:rsidR="00C822D0" w:rsidRPr="00422DB2">
              <w:rPr>
                <w:rStyle w:val="Hyperlink"/>
                <w:noProof/>
                <w:rtl/>
                <w:lang w:bidi="fa-IR"/>
              </w:rPr>
              <w:t xml:space="preserve"> </w:t>
            </w:r>
            <w:r w:rsidR="00C822D0" w:rsidRPr="00422DB2">
              <w:rPr>
                <w:rStyle w:val="Hyperlink"/>
                <w:rFonts w:hint="eastAsia"/>
                <w:noProof/>
                <w:rtl/>
                <w:lang w:bidi="fa-IR"/>
              </w:rPr>
              <w:t>وَالْيَقِينِ</w:t>
            </w:r>
            <w:r w:rsidR="00C822D0" w:rsidRPr="00422DB2">
              <w:rPr>
                <w:rStyle w:val="Hyperlink"/>
                <w:noProof/>
                <w:rtl/>
                <w:lang w:bidi="fa-IR"/>
              </w:rPr>
              <w:t xml:space="preserve"> </w:t>
            </w:r>
            <w:r w:rsidR="00C822D0" w:rsidRPr="00422DB2">
              <w:rPr>
                <w:rStyle w:val="Hyperlink"/>
                <w:rFonts w:hint="eastAsia"/>
                <w:noProof/>
                <w:rtl/>
                <w:lang w:bidi="fa-IR"/>
              </w:rPr>
              <w:t>عَلَى</w:t>
            </w:r>
            <w:r w:rsidR="00C822D0" w:rsidRPr="00422DB2">
              <w:rPr>
                <w:rStyle w:val="Hyperlink"/>
                <w:noProof/>
                <w:rtl/>
                <w:lang w:bidi="fa-IR"/>
              </w:rPr>
              <w:t xml:space="preserve"> </w:t>
            </w:r>
            <w:r w:rsidR="00C822D0" w:rsidRPr="00422DB2">
              <w:rPr>
                <w:rStyle w:val="Hyperlink"/>
                <w:rFonts w:hint="eastAsia"/>
                <w:noProof/>
                <w:rtl/>
                <w:lang w:bidi="fa-IR"/>
              </w:rPr>
              <w:t>الْإِيمَانِ‌</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35348647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133</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48" w:history="1">
            <w:r w:rsidR="00C822D0" w:rsidRPr="00422DB2">
              <w:rPr>
                <w:rStyle w:val="Hyperlink"/>
                <w:noProof/>
                <w:rtl/>
                <w:lang w:bidi="fa-IR"/>
              </w:rPr>
              <w:t xml:space="preserve">27 -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حَقِيقَةِ</w:t>
            </w:r>
            <w:r w:rsidR="00C822D0" w:rsidRPr="00422DB2">
              <w:rPr>
                <w:rStyle w:val="Hyperlink"/>
                <w:noProof/>
                <w:rtl/>
                <w:lang w:bidi="fa-IR"/>
              </w:rPr>
              <w:t xml:space="preserve"> </w:t>
            </w:r>
            <w:r w:rsidR="00C822D0" w:rsidRPr="00422DB2">
              <w:rPr>
                <w:rStyle w:val="Hyperlink"/>
                <w:rFonts w:hint="eastAsia"/>
                <w:noProof/>
                <w:rtl/>
                <w:lang w:bidi="fa-IR"/>
              </w:rPr>
              <w:t>الْإِيمَانِ</w:t>
            </w:r>
            <w:r w:rsidR="00C822D0" w:rsidRPr="00422DB2">
              <w:rPr>
                <w:rStyle w:val="Hyperlink"/>
                <w:noProof/>
                <w:rtl/>
                <w:lang w:bidi="fa-IR"/>
              </w:rPr>
              <w:t xml:space="preserve"> </w:t>
            </w:r>
            <w:r w:rsidR="00C822D0" w:rsidRPr="00422DB2">
              <w:rPr>
                <w:rStyle w:val="Hyperlink"/>
                <w:rFonts w:hint="eastAsia"/>
                <w:noProof/>
                <w:rtl/>
                <w:lang w:bidi="fa-IR"/>
              </w:rPr>
              <w:t>وَالْيَقِينِ‌</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35348648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135</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49" w:history="1">
            <w:r w:rsidR="00C822D0" w:rsidRPr="00422DB2">
              <w:rPr>
                <w:rStyle w:val="Hyperlink"/>
                <w:noProof/>
                <w:rtl/>
                <w:lang w:bidi="fa-IR"/>
              </w:rPr>
              <w:t xml:space="preserve">28 -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التَّفَكُّرِ‌</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35348649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140</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50" w:history="1">
            <w:r w:rsidR="00C822D0" w:rsidRPr="00422DB2">
              <w:rPr>
                <w:rStyle w:val="Hyperlink"/>
                <w:noProof/>
                <w:rtl/>
                <w:lang w:bidi="fa-IR"/>
              </w:rPr>
              <w:t xml:space="preserve">29 -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الْمَكَارِمِ‌</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35348650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142</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51" w:history="1">
            <w:r w:rsidR="00C822D0" w:rsidRPr="00422DB2">
              <w:rPr>
                <w:rStyle w:val="Hyperlink"/>
                <w:noProof/>
                <w:rtl/>
                <w:lang w:bidi="fa-IR"/>
              </w:rPr>
              <w:t xml:space="preserve">30 -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فَضْلِ</w:t>
            </w:r>
            <w:r w:rsidR="00C822D0" w:rsidRPr="00422DB2">
              <w:rPr>
                <w:rStyle w:val="Hyperlink"/>
                <w:noProof/>
                <w:rtl/>
                <w:lang w:bidi="fa-IR"/>
              </w:rPr>
              <w:t xml:space="preserve"> </w:t>
            </w:r>
            <w:r w:rsidR="00C822D0" w:rsidRPr="00422DB2">
              <w:rPr>
                <w:rStyle w:val="Hyperlink"/>
                <w:rFonts w:hint="eastAsia"/>
                <w:noProof/>
                <w:rtl/>
                <w:lang w:bidi="fa-IR"/>
              </w:rPr>
              <w:t>الْيَقِينِ‌</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35348651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148</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52" w:history="1">
            <w:r w:rsidR="00C822D0" w:rsidRPr="00422DB2">
              <w:rPr>
                <w:rStyle w:val="Hyperlink"/>
                <w:noProof/>
                <w:rtl/>
                <w:lang w:bidi="fa-IR"/>
              </w:rPr>
              <w:t xml:space="preserve">31 -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الرِّضَا</w:t>
            </w:r>
            <w:r w:rsidR="00C822D0" w:rsidRPr="00422DB2">
              <w:rPr>
                <w:rStyle w:val="Hyperlink"/>
                <w:noProof/>
                <w:rtl/>
                <w:lang w:bidi="fa-IR"/>
              </w:rPr>
              <w:t xml:space="preserve"> </w:t>
            </w:r>
            <w:r w:rsidR="00C822D0" w:rsidRPr="00422DB2">
              <w:rPr>
                <w:rStyle w:val="Hyperlink"/>
                <w:rFonts w:hint="eastAsia"/>
                <w:noProof/>
                <w:rtl/>
                <w:lang w:bidi="fa-IR"/>
              </w:rPr>
              <w:t>بِالْقَضَاءِ‌</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35348652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155</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53" w:history="1">
            <w:r w:rsidR="00C822D0" w:rsidRPr="00422DB2">
              <w:rPr>
                <w:rStyle w:val="Hyperlink"/>
                <w:noProof/>
                <w:rtl/>
                <w:lang w:bidi="fa-IR"/>
              </w:rPr>
              <w:t xml:space="preserve">32 -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التَّفْوِيضِ</w:t>
            </w:r>
            <w:r w:rsidR="00C822D0" w:rsidRPr="00422DB2">
              <w:rPr>
                <w:rStyle w:val="Hyperlink"/>
                <w:noProof/>
                <w:rtl/>
                <w:lang w:bidi="fa-IR"/>
              </w:rPr>
              <w:t xml:space="preserve"> </w:t>
            </w:r>
            <w:r w:rsidR="00C822D0" w:rsidRPr="00422DB2">
              <w:rPr>
                <w:rStyle w:val="Hyperlink"/>
                <w:rFonts w:hint="eastAsia"/>
                <w:noProof/>
                <w:rtl/>
                <w:lang w:bidi="fa-IR"/>
              </w:rPr>
              <w:t>إِلَى</w:t>
            </w:r>
            <w:r w:rsidR="00C822D0" w:rsidRPr="00422DB2">
              <w:rPr>
                <w:rStyle w:val="Hyperlink"/>
                <w:noProof/>
                <w:rtl/>
                <w:lang w:bidi="fa-IR"/>
              </w:rPr>
              <w:t xml:space="preserve"> </w:t>
            </w:r>
            <w:r w:rsidR="00C822D0" w:rsidRPr="00422DB2">
              <w:rPr>
                <w:rStyle w:val="Hyperlink"/>
                <w:rFonts w:hint="eastAsia"/>
                <w:noProof/>
                <w:rtl/>
                <w:lang w:bidi="fa-IR"/>
              </w:rPr>
              <w:t>اللهِ</w:t>
            </w:r>
            <w:r w:rsidR="00C822D0" w:rsidRPr="00422DB2">
              <w:rPr>
                <w:rStyle w:val="Hyperlink"/>
                <w:noProof/>
                <w:rtl/>
                <w:lang w:bidi="fa-IR"/>
              </w:rPr>
              <w:t xml:space="preserve"> </w:t>
            </w:r>
            <w:r w:rsidR="00C822D0" w:rsidRPr="00422DB2">
              <w:rPr>
                <w:rStyle w:val="Hyperlink"/>
                <w:rFonts w:hint="eastAsia"/>
                <w:noProof/>
                <w:rtl/>
                <w:lang w:bidi="fa-IR"/>
              </w:rPr>
              <w:t>وَالتَّوَكُّلِ</w:t>
            </w:r>
            <w:r w:rsidR="00C822D0" w:rsidRPr="00422DB2">
              <w:rPr>
                <w:rStyle w:val="Hyperlink"/>
                <w:noProof/>
                <w:rtl/>
                <w:lang w:bidi="fa-IR"/>
              </w:rPr>
              <w:t xml:space="preserve"> </w:t>
            </w:r>
            <w:r w:rsidR="00C822D0" w:rsidRPr="00422DB2">
              <w:rPr>
                <w:rStyle w:val="Hyperlink"/>
                <w:rFonts w:hint="eastAsia"/>
                <w:noProof/>
                <w:rtl/>
                <w:lang w:bidi="fa-IR"/>
              </w:rPr>
              <w:t>عَلَيْهِ‌</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35348653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164</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54" w:history="1">
            <w:r w:rsidR="00C822D0" w:rsidRPr="00422DB2">
              <w:rPr>
                <w:rStyle w:val="Hyperlink"/>
                <w:noProof/>
                <w:rtl/>
                <w:lang w:bidi="fa-IR"/>
              </w:rPr>
              <w:t xml:space="preserve">33 -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الْخَوْفِ</w:t>
            </w:r>
            <w:r w:rsidR="00C822D0" w:rsidRPr="00422DB2">
              <w:rPr>
                <w:rStyle w:val="Hyperlink"/>
                <w:noProof/>
                <w:rtl/>
                <w:lang w:bidi="fa-IR"/>
              </w:rPr>
              <w:t xml:space="preserve"> </w:t>
            </w:r>
            <w:r w:rsidR="00C822D0" w:rsidRPr="00422DB2">
              <w:rPr>
                <w:rStyle w:val="Hyperlink"/>
                <w:rFonts w:hint="eastAsia"/>
                <w:noProof/>
                <w:rtl/>
                <w:lang w:bidi="fa-IR"/>
              </w:rPr>
              <w:t>وَالرَّجَاءِ‌</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35348654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173</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55" w:history="1">
            <w:r w:rsidR="00C822D0" w:rsidRPr="00422DB2">
              <w:rPr>
                <w:rStyle w:val="Hyperlink"/>
                <w:noProof/>
                <w:rtl/>
                <w:lang w:bidi="fa-IR"/>
              </w:rPr>
              <w:t xml:space="preserve">34 -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حُسْنِ</w:t>
            </w:r>
            <w:r w:rsidR="00C822D0" w:rsidRPr="00422DB2">
              <w:rPr>
                <w:rStyle w:val="Hyperlink"/>
                <w:noProof/>
                <w:rtl/>
                <w:lang w:bidi="fa-IR"/>
              </w:rPr>
              <w:t xml:space="preserve"> </w:t>
            </w:r>
            <w:r w:rsidR="00C822D0" w:rsidRPr="00422DB2">
              <w:rPr>
                <w:rStyle w:val="Hyperlink"/>
                <w:rFonts w:hint="eastAsia"/>
                <w:noProof/>
                <w:rtl/>
                <w:lang w:bidi="fa-IR"/>
              </w:rPr>
              <w:t>الظَّنِّ</w:t>
            </w:r>
            <w:r w:rsidR="00C822D0" w:rsidRPr="00422DB2">
              <w:rPr>
                <w:rStyle w:val="Hyperlink"/>
                <w:noProof/>
                <w:rtl/>
                <w:lang w:bidi="fa-IR"/>
              </w:rPr>
              <w:t xml:space="preserve"> </w:t>
            </w:r>
            <w:r w:rsidR="00C822D0" w:rsidRPr="00422DB2">
              <w:rPr>
                <w:rStyle w:val="Hyperlink"/>
                <w:rFonts w:hint="eastAsia"/>
                <w:noProof/>
                <w:rtl/>
                <w:lang w:bidi="fa-IR"/>
              </w:rPr>
              <w:t>بِاللهِ</w:t>
            </w:r>
            <w:r w:rsidR="00C822D0" w:rsidRPr="00422DB2">
              <w:rPr>
                <w:rStyle w:val="Hyperlink"/>
                <w:noProof/>
                <w:rtl/>
                <w:lang w:bidi="fa-IR"/>
              </w:rPr>
              <w:t xml:space="preserve"> </w:t>
            </w:r>
            <w:r w:rsidR="00C822D0" w:rsidRPr="00422DB2">
              <w:rPr>
                <w:rStyle w:val="Hyperlink"/>
                <w:rFonts w:hint="eastAsia"/>
                <w:noProof/>
                <w:rtl/>
                <w:lang w:bidi="fa-IR"/>
              </w:rPr>
              <w:t>عَزَّ</w:t>
            </w:r>
            <w:r w:rsidR="00C822D0" w:rsidRPr="00422DB2">
              <w:rPr>
                <w:rStyle w:val="Hyperlink"/>
                <w:noProof/>
                <w:rtl/>
                <w:lang w:bidi="fa-IR"/>
              </w:rPr>
              <w:t xml:space="preserve"> </w:t>
            </w:r>
            <w:r w:rsidR="00C822D0" w:rsidRPr="00422DB2">
              <w:rPr>
                <w:rStyle w:val="Hyperlink"/>
                <w:rFonts w:hint="eastAsia"/>
                <w:noProof/>
                <w:rtl/>
                <w:lang w:bidi="fa-IR"/>
              </w:rPr>
              <w:t>وَجَلَّ‌</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35348655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182</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56" w:history="1">
            <w:r w:rsidR="00C822D0" w:rsidRPr="00422DB2">
              <w:rPr>
                <w:rStyle w:val="Hyperlink"/>
                <w:noProof/>
                <w:rtl/>
                <w:lang w:bidi="fa-IR"/>
              </w:rPr>
              <w:t xml:space="preserve">35 -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الِاعْتِرَافِ</w:t>
            </w:r>
            <w:r w:rsidR="00C822D0" w:rsidRPr="00422DB2">
              <w:rPr>
                <w:rStyle w:val="Hyperlink"/>
                <w:noProof/>
                <w:rtl/>
                <w:lang w:bidi="fa-IR"/>
              </w:rPr>
              <w:t xml:space="preserve"> </w:t>
            </w:r>
            <w:r w:rsidR="00C822D0" w:rsidRPr="00422DB2">
              <w:rPr>
                <w:rStyle w:val="Hyperlink"/>
                <w:rFonts w:hint="eastAsia"/>
                <w:noProof/>
                <w:rtl/>
                <w:lang w:bidi="fa-IR"/>
              </w:rPr>
              <w:t>بِالتَّقْصِيرِ‌</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35348656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185</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57" w:history="1">
            <w:r w:rsidR="00C822D0" w:rsidRPr="00422DB2">
              <w:rPr>
                <w:rStyle w:val="Hyperlink"/>
                <w:noProof/>
                <w:rtl/>
                <w:lang w:bidi="fa-IR"/>
              </w:rPr>
              <w:t xml:space="preserve">36 -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الطَّاعَةِ</w:t>
            </w:r>
            <w:r w:rsidR="00C822D0" w:rsidRPr="00422DB2">
              <w:rPr>
                <w:rStyle w:val="Hyperlink"/>
                <w:noProof/>
                <w:rtl/>
                <w:lang w:bidi="fa-IR"/>
              </w:rPr>
              <w:t xml:space="preserve"> </w:t>
            </w:r>
            <w:r w:rsidR="00C822D0" w:rsidRPr="00422DB2">
              <w:rPr>
                <w:rStyle w:val="Hyperlink"/>
                <w:rFonts w:hint="eastAsia"/>
                <w:noProof/>
                <w:rtl/>
                <w:lang w:bidi="fa-IR"/>
              </w:rPr>
              <w:t>وَالتَّقْوى‌</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35348657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187</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58" w:history="1">
            <w:r w:rsidR="00C822D0" w:rsidRPr="00422DB2">
              <w:rPr>
                <w:rStyle w:val="Hyperlink"/>
                <w:noProof/>
                <w:rtl/>
                <w:lang w:bidi="fa-IR"/>
              </w:rPr>
              <w:t xml:space="preserve">37 -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الْوَرَعِ‌</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35348658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195</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59" w:history="1">
            <w:r w:rsidR="00C822D0" w:rsidRPr="00422DB2">
              <w:rPr>
                <w:rStyle w:val="Hyperlink"/>
                <w:noProof/>
                <w:rtl/>
                <w:lang w:bidi="fa-IR"/>
              </w:rPr>
              <w:t xml:space="preserve">38 -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الْعِفَّةِ‌</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35348659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203</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60" w:history="1">
            <w:r w:rsidR="00C822D0" w:rsidRPr="00422DB2">
              <w:rPr>
                <w:rStyle w:val="Hyperlink"/>
                <w:noProof/>
                <w:rtl/>
                <w:lang w:bidi="fa-IR"/>
              </w:rPr>
              <w:t xml:space="preserve">39 -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اجْتِنَابِ</w:t>
            </w:r>
            <w:r w:rsidR="00C822D0" w:rsidRPr="00422DB2">
              <w:rPr>
                <w:rStyle w:val="Hyperlink"/>
                <w:noProof/>
                <w:rtl/>
                <w:lang w:bidi="fa-IR"/>
              </w:rPr>
              <w:t xml:space="preserve"> </w:t>
            </w:r>
            <w:r w:rsidR="00C822D0" w:rsidRPr="00422DB2">
              <w:rPr>
                <w:rStyle w:val="Hyperlink"/>
                <w:rFonts w:hint="eastAsia"/>
                <w:noProof/>
                <w:rtl/>
                <w:lang w:bidi="fa-IR"/>
              </w:rPr>
              <w:t>الْمَحَارِمِ‌</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35348660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206</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61" w:history="1">
            <w:r w:rsidR="00C822D0" w:rsidRPr="00422DB2">
              <w:rPr>
                <w:rStyle w:val="Hyperlink"/>
                <w:noProof/>
                <w:rtl/>
                <w:lang w:bidi="fa-IR"/>
              </w:rPr>
              <w:t xml:space="preserve">40 -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أَدَاءِ</w:t>
            </w:r>
            <w:r w:rsidR="00C822D0" w:rsidRPr="00422DB2">
              <w:rPr>
                <w:rStyle w:val="Hyperlink"/>
                <w:noProof/>
                <w:rtl/>
                <w:lang w:bidi="fa-IR"/>
              </w:rPr>
              <w:t xml:space="preserve"> </w:t>
            </w:r>
            <w:r w:rsidR="00C822D0" w:rsidRPr="00422DB2">
              <w:rPr>
                <w:rStyle w:val="Hyperlink"/>
                <w:rFonts w:hint="eastAsia"/>
                <w:noProof/>
                <w:rtl/>
                <w:lang w:bidi="fa-IR"/>
              </w:rPr>
              <w:t>الْفَرَائِضِ‌</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35348661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209</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62" w:history="1">
            <w:r w:rsidR="00C822D0" w:rsidRPr="00422DB2">
              <w:rPr>
                <w:rStyle w:val="Hyperlink"/>
                <w:noProof/>
                <w:rtl/>
                <w:lang w:bidi="fa-IR"/>
              </w:rPr>
              <w:t xml:space="preserve">41 -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اسْتِوَاءِ</w:t>
            </w:r>
            <w:r w:rsidR="00C822D0" w:rsidRPr="00422DB2">
              <w:rPr>
                <w:rStyle w:val="Hyperlink"/>
                <w:noProof/>
                <w:rtl/>
                <w:lang w:bidi="fa-IR"/>
              </w:rPr>
              <w:t xml:space="preserve"> </w:t>
            </w:r>
            <w:r w:rsidR="00C822D0" w:rsidRPr="00422DB2">
              <w:rPr>
                <w:rStyle w:val="Hyperlink"/>
                <w:rFonts w:hint="eastAsia"/>
                <w:noProof/>
                <w:rtl/>
                <w:lang w:bidi="fa-IR"/>
              </w:rPr>
              <w:t>الْعَمَلِ</w:t>
            </w:r>
            <w:r w:rsidR="00C822D0" w:rsidRPr="00422DB2">
              <w:rPr>
                <w:rStyle w:val="Hyperlink"/>
                <w:noProof/>
                <w:rtl/>
                <w:lang w:bidi="fa-IR"/>
              </w:rPr>
              <w:t xml:space="preserve"> </w:t>
            </w:r>
            <w:r w:rsidR="00C822D0" w:rsidRPr="00422DB2">
              <w:rPr>
                <w:rStyle w:val="Hyperlink"/>
                <w:rFonts w:hint="eastAsia"/>
                <w:noProof/>
                <w:rtl/>
                <w:lang w:bidi="fa-IR"/>
              </w:rPr>
              <w:t>وَالْمُدَاوَمَةِ</w:t>
            </w:r>
            <w:r w:rsidR="00C822D0" w:rsidRPr="00422DB2">
              <w:rPr>
                <w:rStyle w:val="Hyperlink"/>
                <w:noProof/>
                <w:rtl/>
                <w:lang w:bidi="fa-IR"/>
              </w:rPr>
              <w:t xml:space="preserve"> </w:t>
            </w:r>
            <w:r w:rsidR="00C822D0" w:rsidRPr="00422DB2">
              <w:rPr>
                <w:rStyle w:val="Hyperlink"/>
                <w:rFonts w:hint="eastAsia"/>
                <w:noProof/>
                <w:rtl/>
                <w:lang w:bidi="fa-IR"/>
              </w:rPr>
              <w:t>عَلَيْهِ‌</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35348662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211</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63" w:history="1">
            <w:r w:rsidR="00C822D0" w:rsidRPr="00422DB2">
              <w:rPr>
                <w:rStyle w:val="Hyperlink"/>
                <w:noProof/>
                <w:rtl/>
                <w:lang w:bidi="fa-IR"/>
              </w:rPr>
              <w:t xml:space="preserve">42 -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الْعِبَادَةِ‌</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35348663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214</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64" w:history="1">
            <w:r w:rsidR="00C822D0" w:rsidRPr="00422DB2">
              <w:rPr>
                <w:rStyle w:val="Hyperlink"/>
                <w:noProof/>
                <w:rtl/>
                <w:lang w:bidi="fa-IR"/>
              </w:rPr>
              <w:t xml:space="preserve">43 -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النِّيَّةِ‌</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35348664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218</w:t>
            </w:r>
            <w:r w:rsidR="00C822D0">
              <w:rPr>
                <w:noProof/>
                <w:webHidden/>
                <w:rtl/>
              </w:rPr>
              <w:fldChar w:fldCharType="end"/>
            </w:r>
          </w:hyperlink>
        </w:p>
        <w:p w:rsidR="008C1E92" w:rsidRDefault="008C1E92" w:rsidP="00405F62">
          <w:pPr>
            <w:pStyle w:val="libNormal"/>
            <w:rPr>
              <w:rStyle w:val="Hyperlink"/>
              <w:noProof/>
            </w:rPr>
          </w:pPr>
          <w:r>
            <w:rPr>
              <w:rStyle w:val="Hyperlink"/>
              <w:noProof/>
            </w:rPr>
            <w:br w:type="page"/>
          </w:r>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65" w:history="1">
            <w:r w:rsidR="00C822D0" w:rsidRPr="00422DB2">
              <w:rPr>
                <w:rStyle w:val="Hyperlink"/>
                <w:noProof/>
                <w:rtl/>
                <w:lang w:bidi="fa-IR"/>
              </w:rPr>
              <w:t xml:space="preserve">44 - </w:t>
            </w:r>
            <w:r w:rsidR="00C822D0" w:rsidRPr="00422DB2">
              <w:rPr>
                <w:rStyle w:val="Hyperlink"/>
                <w:rFonts w:hint="eastAsia"/>
                <w:noProof/>
                <w:rtl/>
                <w:lang w:bidi="fa-IR"/>
              </w:rPr>
              <w:t>بَابٌ‌</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35348665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221</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66" w:history="1">
            <w:r w:rsidR="00C822D0" w:rsidRPr="00422DB2">
              <w:rPr>
                <w:rStyle w:val="Hyperlink"/>
                <w:noProof/>
                <w:rtl/>
                <w:lang w:bidi="fa-IR"/>
              </w:rPr>
              <w:t xml:space="preserve">45 -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الِاقْتِصَادِ</w:t>
            </w:r>
            <w:r w:rsidR="00C822D0" w:rsidRPr="00422DB2">
              <w:rPr>
                <w:rStyle w:val="Hyperlink"/>
                <w:noProof/>
                <w:rtl/>
                <w:lang w:bidi="fa-IR"/>
              </w:rPr>
              <w:t xml:space="preserve"> </w:t>
            </w:r>
            <w:r w:rsidR="00C822D0" w:rsidRPr="00422DB2">
              <w:rPr>
                <w:rStyle w:val="Hyperlink"/>
                <w:rFonts w:hint="eastAsia"/>
                <w:noProof/>
                <w:rtl/>
                <w:lang w:bidi="fa-IR"/>
              </w:rPr>
              <w:t>فِي</w:t>
            </w:r>
            <w:r w:rsidR="00C822D0" w:rsidRPr="00422DB2">
              <w:rPr>
                <w:rStyle w:val="Hyperlink"/>
                <w:noProof/>
                <w:rtl/>
                <w:lang w:bidi="fa-IR"/>
              </w:rPr>
              <w:t xml:space="preserve"> </w:t>
            </w:r>
            <w:r w:rsidR="00C822D0" w:rsidRPr="00422DB2">
              <w:rPr>
                <w:rStyle w:val="Hyperlink"/>
                <w:rFonts w:hint="eastAsia"/>
                <w:noProof/>
                <w:rtl/>
                <w:lang w:bidi="fa-IR"/>
              </w:rPr>
              <w:t>الْعِبَادَةِ‌</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35348666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222</w:t>
            </w:r>
            <w:r w:rsidR="00C822D0">
              <w:rPr>
                <w:noProof/>
                <w:webHidden/>
                <w:rtl/>
              </w:rPr>
              <w:fldChar w:fldCharType="end"/>
            </w:r>
          </w:hyperlink>
        </w:p>
        <w:p w:rsidR="00C822D0" w:rsidRDefault="00ED771C" w:rsidP="00C822D0">
          <w:pPr>
            <w:pStyle w:val="TOC2"/>
            <w:tabs>
              <w:tab w:val="right" w:leader="dot" w:pos="7786"/>
            </w:tabs>
            <w:rPr>
              <w:rFonts w:asciiTheme="minorHAnsi" w:eastAsiaTheme="minorEastAsia" w:hAnsiTheme="minorHAnsi" w:cstheme="minorBidi"/>
              <w:noProof/>
              <w:color w:val="auto"/>
              <w:sz w:val="22"/>
              <w:szCs w:val="22"/>
              <w:rtl/>
            </w:rPr>
          </w:pPr>
          <w:hyperlink w:anchor="_Toc35348667" w:history="1">
            <w:r w:rsidR="00C822D0" w:rsidRPr="00422DB2">
              <w:rPr>
                <w:rStyle w:val="Hyperlink"/>
                <w:noProof/>
                <w:rtl/>
                <w:lang w:bidi="fa-IR"/>
              </w:rPr>
              <w:t xml:space="preserve">46 -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مَنْ</w:t>
            </w:r>
            <w:r w:rsidR="00C822D0" w:rsidRPr="00422DB2">
              <w:rPr>
                <w:rStyle w:val="Hyperlink"/>
                <w:noProof/>
                <w:rtl/>
                <w:lang w:bidi="fa-IR"/>
              </w:rPr>
              <w:t xml:space="preserve"> </w:t>
            </w:r>
            <w:r w:rsidR="00C822D0" w:rsidRPr="00422DB2">
              <w:rPr>
                <w:rStyle w:val="Hyperlink"/>
                <w:rFonts w:hint="eastAsia"/>
                <w:noProof/>
                <w:rtl/>
                <w:lang w:bidi="fa-IR"/>
              </w:rPr>
              <w:t>بَلَغَهُ</w:t>
            </w:r>
            <w:r w:rsidR="00C822D0" w:rsidRPr="00422DB2">
              <w:rPr>
                <w:rStyle w:val="Hyperlink"/>
                <w:noProof/>
                <w:rtl/>
                <w:lang w:bidi="fa-IR"/>
              </w:rPr>
              <w:t xml:space="preserve"> </w:t>
            </w:r>
            <w:r w:rsidR="00C822D0" w:rsidRPr="00422DB2">
              <w:rPr>
                <w:rStyle w:val="Hyperlink"/>
                <w:rFonts w:hint="eastAsia"/>
                <w:noProof/>
                <w:rtl/>
                <w:lang w:bidi="fa-IR"/>
              </w:rPr>
              <w:t>ثَوَابٌ</w:t>
            </w:r>
            <w:r w:rsidR="00C822D0" w:rsidRPr="00422DB2">
              <w:rPr>
                <w:rStyle w:val="Hyperlink"/>
                <w:noProof/>
                <w:rtl/>
                <w:lang w:bidi="fa-IR"/>
              </w:rPr>
              <w:t xml:space="preserve"> </w:t>
            </w:r>
            <w:r w:rsidR="00C822D0" w:rsidRPr="00422DB2">
              <w:rPr>
                <w:rStyle w:val="Hyperlink"/>
                <w:rFonts w:hint="eastAsia"/>
                <w:noProof/>
                <w:rtl/>
                <w:lang w:bidi="fa-IR"/>
              </w:rPr>
              <w:t>مِنَ</w:t>
            </w:r>
            <w:r w:rsidR="00C822D0" w:rsidRPr="00422DB2">
              <w:rPr>
                <w:rStyle w:val="Hyperlink"/>
                <w:noProof/>
                <w:rtl/>
                <w:lang w:bidi="fa-IR"/>
              </w:rPr>
              <w:t xml:space="preserve"> </w:t>
            </w:r>
            <w:r w:rsidR="00C822D0" w:rsidRPr="00422DB2">
              <w:rPr>
                <w:rStyle w:val="Hyperlink"/>
                <w:rFonts w:hint="eastAsia"/>
                <w:noProof/>
                <w:rtl/>
                <w:lang w:bidi="fa-IR"/>
              </w:rPr>
              <w:t>اللهِ</w:t>
            </w:r>
            <w:r w:rsidR="00C822D0" w:rsidRPr="00422DB2">
              <w:rPr>
                <w:rStyle w:val="Hyperlink"/>
                <w:noProof/>
                <w:rtl/>
                <w:lang w:bidi="fa-IR"/>
              </w:rPr>
              <w:t xml:space="preserve"> </w:t>
            </w:r>
            <w:r w:rsidR="00C822D0" w:rsidRPr="00422DB2">
              <w:rPr>
                <w:rStyle w:val="Hyperlink"/>
                <w:rFonts w:hint="eastAsia"/>
                <w:noProof/>
                <w:rtl/>
                <w:lang w:bidi="fa-IR"/>
              </w:rPr>
              <w:t>عَلى</w:t>
            </w:r>
            <w:r w:rsidR="00C822D0" w:rsidRPr="00422DB2">
              <w:rPr>
                <w:rStyle w:val="Hyperlink"/>
                <w:noProof/>
                <w:rtl/>
                <w:lang w:bidi="fa-IR"/>
              </w:rPr>
              <w:t xml:space="preserve"> </w:t>
            </w:r>
            <w:r w:rsidR="00C822D0" w:rsidRPr="00422DB2">
              <w:rPr>
                <w:rStyle w:val="Hyperlink"/>
                <w:rFonts w:hint="eastAsia"/>
                <w:noProof/>
                <w:rtl/>
                <w:lang w:bidi="fa-IR"/>
              </w:rPr>
              <w:t>عَمَلٍ</w:t>
            </w:r>
          </w:hyperlink>
          <w:r w:rsidR="00C822D0">
            <w:rPr>
              <w:rStyle w:val="Hyperlink"/>
              <w:rFonts w:hint="cs"/>
              <w:noProof/>
              <w:rtl/>
            </w:rPr>
            <w:t xml:space="preserve"> </w:t>
          </w:r>
          <w:hyperlink w:anchor="_Toc35348668" w:history="1">
            <w:r w:rsidR="00C822D0" w:rsidRPr="00422DB2">
              <w:rPr>
                <w:rStyle w:val="Hyperlink"/>
                <w:noProof/>
                <w:rtl/>
                <w:lang w:bidi="fa-IR"/>
              </w:rPr>
              <w:t xml:space="preserve">47 -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الصَّبْرِ‌</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35348668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225</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69" w:history="1">
            <w:r w:rsidR="00C822D0" w:rsidRPr="00422DB2">
              <w:rPr>
                <w:rStyle w:val="Hyperlink"/>
                <w:noProof/>
                <w:rtl/>
                <w:lang w:bidi="fa-IR"/>
              </w:rPr>
              <w:t xml:space="preserve">48 -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الشُّكْرِ‌</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35348669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242</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70" w:history="1">
            <w:r w:rsidR="00C822D0" w:rsidRPr="00422DB2">
              <w:rPr>
                <w:rStyle w:val="Hyperlink"/>
                <w:noProof/>
                <w:rtl/>
                <w:lang w:bidi="fa-IR"/>
              </w:rPr>
              <w:t xml:space="preserve">49 -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حُسْنِ</w:t>
            </w:r>
            <w:r w:rsidR="00C822D0" w:rsidRPr="00422DB2">
              <w:rPr>
                <w:rStyle w:val="Hyperlink"/>
                <w:noProof/>
                <w:rtl/>
                <w:lang w:bidi="fa-IR"/>
              </w:rPr>
              <w:t xml:space="preserve"> </w:t>
            </w:r>
            <w:r w:rsidR="00C822D0" w:rsidRPr="00422DB2">
              <w:rPr>
                <w:rStyle w:val="Hyperlink"/>
                <w:rFonts w:hint="eastAsia"/>
                <w:noProof/>
                <w:rtl/>
                <w:lang w:bidi="fa-IR"/>
              </w:rPr>
              <w:t>الْخُلُقِ‌</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35348670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255</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71" w:history="1">
            <w:r w:rsidR="00C822D0" w:rsidRPr="00422DB2">
              <w:rPr>
                <w:rStyle w:val="Hyperlink"/>
                <w:noProof/>
                <w:rtl/>
                <w:lang w:bidi="fa-IR"/>
              </w:rPr>
              <w:t xml:space="preserve">50 -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حُسْنِ</w:t>
            </w:r>
            <w:r w:rsidR="00C822D0" w:rsidRPr="00422DB2">
              <w:rPr>
                <w:rStyle w:val="Hyperlink"/>
                <w:noProof/>
                <w:rtl/>
                <w:lang w:bidi="fa-IR"/>
              </w:rPr>
              <w:t xml:space="preserve"> </w:t>
            </w:r>
            <w:r w:rsidR="00C822D0" w:rsidRPr="00422DB2">
              <w:rPr>
                <w:rStyle w:val="Hyperlink"/>
                <w:rFonts w:hint="eastAsia"/>
                <w:noProof/>
                <w:rtl/>
                <w:lang w:bidi="fa-IR"/>
              </w:rPr>
              <w:t>الْبِشْرِ‌</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35348671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266</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72" w:history="1">
            <w:r w:rsidR="00C822D0" w:rsidRPr="00422DB2">
              <w:rPr>
                <w:rStyle w:val="Hyperlink"/>
                <w:noProof/>
                <w:rtl/>
                <w:lang w:bidi="fa-IR"/>
              </w:rPr>
              <w:t xml:space="preserve">51 -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الصِّدْقِ</w:t>
            </w:r>
            <w:r w:rsidR="00C822D0" w:rsidRPr="00422DB2">
              <w:rPr>
                <w:rStyle w:val="Hyperlink"/>
                <w:noProof/>
                <w:rtl/>
                <w:lang w:bidi="fa-IR"/>
              </w:rPr>
              <w:t xml:space="preserve"> </w:t>
            </w:r>
            <w:r w:rsidR="00C822D0" w:rsidRPr="00422DB2">
              <w:rPr>
                <w:rStyle w:val="Hyperlink"/>
                <w:rFonts w:hint="eastAsia"/>
                <w:noProof/>
                <w:rtl/>
                <w:lang w:bidi="fa-IR"/>
              </w:rPr>
              <w:t>وَأَدَاءِ</w:t>
            </w:r>
            <w:r w:rsidR="00C822D0" w:rsidRPr="00422DB2">
              <w:rPr>
                <w:rStyle w:val="Hyperlink"/>
                <w:noProof/>
                <w:rtl/>
                <w:lang w:bidi="fa-IR"/>
              </w:rPr>
              <w:t xml:space="preserve"> </w:t>
            </w:r>
            <w:r w:rsidR="00C822D0" w:rsidRPr="00422DB2">
              <w:rPr>
                <w:rStyle w:val="Hyperlink"/>
                <w:rFonts w:hint="eastAsia"/>
                <w:noProof/>
                <w:rtl/>
                <w:lang w:bidi="fa-IR"/>
              </w:rPr>
              <w:t>الْأَمَانَةِ‌</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35348672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269</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73" w:history="1">
            <w:r w:rsidR="00C822D0" w:rsidRPr="00422DB2">
              <w:rPr>
                <w:rStyle w:val="Hyperlink"/>
                <w:noProof/>
                <w:rtl/>
                <w:lang w:bidi="fa-IR"/>
              </w:rPr>
              <w:t xml:space="preserve">52 -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الْحَيَاءِ‌</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35348673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274</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74" w:history="1">
            <w:r w:rsidR="00C822D0" w:rsidRPr="00422DB2">
              <w:rPr>
                <w:rStyle w:val="Hyperlink"/>
                <w:noProof/>
                <w:rtl/>
                <w:lang w:bidi="fa-IR"/>
              </w:rPr>
              <w:t xml:space="preserve">53 -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الْعَفْوِ‌</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35348674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277</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75" w:history="1">
            <w:r w:rsidR="00C822D0" w:rsidRPr="00422DB2">
              <w:rPr>
                <w:rStyle w:val="Hyperlink"/>
                <w:noProof/>
                <w:rtl/>
                <w:lang w:bidi="fa-IR"/>
              </w:rPr>
              <w:t xml:space="preserve">54 -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كَظْمِ</w:t>
            </w:r>
            <w:r w:rsidR="00C822D0" w:rsidRPr="00422DB2">
              <w:rPr>
                <w:rStyle w:val="Hyperlink"/>
                <w:noProof/>
                <w:rtl/>
                <w:lang w:bidi="fa-IR"/>
              </w:rPr>
              <w:t xml:space="preserve"> </w:t>
            </w:r>
            <w:r w:rsidR="00C822D0" w:rsidRPr="00422DB2">
              <w:rPr>
                <w:rStyle w:val="Hyperlink"/>
                <w:rFonts w:hint="eastAsia"/>
                <w:noProof/>
                <w:rtl/>
                <w:lang w:bidi="fa-IR"/>
              </w:rPr>
              <w:t>الْغَيْظِ‌</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35348675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282</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76" w:history="1">
            <w:r w:rsidR="00C822D0" w:rsidRPr="00422DB2">
              <w:rPr>
                <w:rStyle w:val="Hyperlink"/>
                <w:noProof/>
                <w:rtl/>
                <w:lang w:bidi="fa-IR"/>
              </w:rPr>
              <w:t xml:space="preserve">55 -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الْحِلْمِ‌</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35348676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288</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77" w:history="1">
            <w:r w:rsidR="00C822D0" w:rsidRPr="00422DB2">
              <w:rPr>
                <w:rStyle w:val="Hyperlink"/>
                <w:noProof/>
                <w:rtl/>
                <w:lang w:bidi="fa-IR"/>
              </w:rPr>
              <w:t xml:space="preserve">56 -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الصَّمْتِ</w:t>
            </w:r>
            <w:r w:rsidR="00C822D0" w:rsidRPr="00422DB2">
              <w:rPr>
                <w:rStyle w:val="Hyperlink"/>
                <w:noProof/>
                <w:rtl/>
                <w:lang w:bidi="fa-IR"/>
              </w:rPr>
              <w:t xml:space="preserve"> </w:t>
            </w:r>
            <w:r w:rsidR="00C822D0" w:rsidRPr="00422DB2">
              <w:rPr>
                <w:rStyle w:val="Hyperlink"/>
                <w:rFonts w:hint="eastAsia"/>
                <w:noProof/>
                <w:rtl/>
                <w:lang w:bidi="fa-IR"/>
              </w:rPr>
              <w:t>وَحِفْظِ</w:t>
            </w:r>
            <w:r w:rsidR="00C822D0" w:rsidRPr="00422DB2">
              <w:rPr>
                <w:rStyle w:val="Hyperlink"/>
                <w:noProof/>
                <w:rtl/>
                <w:lang w:bidi="fa-IR"/>
              </w:rPr>
              <w:t xml:space="preserve"> </w:t>
            </w:r>
            <w:r w:rsidR="00C822D0" w:rsidRPr="00422DB2">
              <w:rPr>
                <w:rStyle w:val="Hyperlink"/>
                <w:rFonts w:hint="eastAsia"/>
                <w:noProof/>
                <w:rtl/>
                <w:lang w:bidi="fa-IR"/>
              </w:rPr>
              <w:t>اللِّسَانِ‌</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35348677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292</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78" w:history="1">
            <w:r w:rsidR="00C822D0" w:rsidRPr="00422DB2">
              <w:rPr>
                <w:rStyle w:val="Hyperlink"/>
                <w:noProof/>
                <w:rtl/>
                <w:lang w:bidi="fa-IR"/>
              </w:rPr>
              <w:t xml:space="preserve">57 -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الْمُدَارَاةِ</w:t>
            </w:r>
            <w:r w:rsidR="00C822D0" w:rsidRPr="00422DB2">
              <w:rPr>
                <w:rStyle w:val="Hyperlink"/>
                <w:noProof/>
                <w:rtl/>
                <w:lang w:bidi="fa-IR"/>
              </w:rPr>
              <w:t xml:space="preserve"> </w:t>
            </w:r>
            <w:r w:rsidR="00C822D0" w:rsidRPr="00422DB2">
              <w:rPr>
                <w:rStyle w:val="Hyperlink"/>
                <w:noProof/>
                <w:vertAlign w:val="superscript"/>
                <w:rtl/>
              </w:rPr>
              <w:t>(7)</w:t>
            </w:r>
            <w:r w:rsidR="00C822D0" w:rsidRPr="00422DB2">
              <w:rPr>
                <w:rStyle w:val="Hyperlink"/>
                <w:noProof/>
                <w:rtl/>
                <w:lang w:bidi="fa-IR"/>
              </w:rPr>
              <w:t xml:space="preserve"> ‌</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35348678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302</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79" w:history="1">
            <w:r w:rsidR="00C822D0" w:rsidRPr="00422DB2">
              <w:rPr>
                <w:rStyle w:val="Hyperlink"/>
                <w:noProof/>
                <w:rtl/>
                <w:lang w:bidi="fa-IR"/>
              </w:rPr>
              <w:t xml:space="preserve">58 -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الرِّفْقِ‌</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35348679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306</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80" w:history="1">
            <w:r w:rsidR="00C822D0" w:rsidRPr="00422DB2">
              <w:rPr>
                <w:rStyle w:val="Hyperlink"/>
                <w:noProof/>
                <w:rtl/>
                <w:lang w:bidi="fa-IR"/>
              </w:rPr>
              <w:t xml:space="preserve">59 -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التَّوَاضُعِ‌</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35348680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313</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81" w:history="1">
            <w:r w:rsidR="00C822D0" w:rsidRPr="00422DB2">
              <w:rPr>
                <w:rStyle w:val="Hyperlink"/>
                <w:noProof/>
                <w:rtl/>
                <w:lang w:bidi="fa-IR"/>
              </w:rPr>
              <w:t xml:space="preserve">60 -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الْحُبِّ</w:t>
            </w:r>
            <w:r w:rsidR="00C822D0" w:rsidRPr="00422DB2">
              <w:rPr>
                <w:rStyle w:val="Hyperlink"/>
                <w:noProof/>
                <w:rtl/>
                <w:lang w:bidi="fa-IR"/>
              </w:rPr>
              <w:t xml:space="preserve"> </w:t>
            </w:r>
            <w:r w:rsidR="00C822D0" w:rsidRPr="00422DB2">
              <w:rPr>
                <w:rStyle w:val="Hyperlink"/>
                <w:rFonts w:hint="eastAsia"/>
                <w:noProof/>
                <w:rtl/>
                <w:lang w:bidi="fa-IR"/>
              </w:rPr>
              <w:t>فِي</w:t>
            </w:r>
            <w:r w:rsidR="00C822D0" w:rsidRPr="00422DB2">
              <w:rPr>
                <w:rStyle w:val="Hyperlink"/>
                <w:noProof/>
                <w:rtl/>
                <w:lang w:bidi="fa-IR"/>
              </w:rPr>
              <w:t xml:space="preserve"> </w:t>
            </w:r>
            <w:r w:rsidR="00C822D0" w:rsidRPr="00422DB2">
              <w:rPr>
                <w:rStyle w:val="Hyperlink"/>
                <w:rFonts w:hint="eastAsia"/>
                <w:noProof/>
                <w:rtl/>
                <w:lang w:bidi="fa-IR"/>
              </w:rPr>
              <w:t>اللهِ</w:t>
            </w:r>
            <w:r w:rsidR="00C822D0" w:rsidRPr="00422DB2">
              <w:rPr>
                <w:rStyle w:val="Hyperlink"/>
                <w:noProof/>
                <w:rtl/>
                <w:lang w:bidi="fa-IR"/>
              </w:rPr>
              <w:t xml:space="preserve"> </w:t>
            </w:r>
            <w:r w:rsidR="00C822D0" w:rsidRPr="00422DB2">
              <w:rPr>
                <w:rStyle w:val="Hyperlink"/>
                <w:rFonts w:hint="eastAsia"/>
                <w:noProof/>
                <w:rtl/>
                <w:lang w:bidi="fa-IR"/>
              </w:rPr>
              <w:t>وَالْبُغْضِ</w:t>
            </w:r>
            <w:r w:rsidR="00C822D0" w:rsidRPr="00422DB2">
              <w:rPr>
                <w:rStyle w:val="Hyperlink"/>
                <w:noProof/>
                <w:rtl/>
                <w:lang w:bidi="fa-IR"/>
              </w:rPr>
              <w:t xml:space="preserve"> </w:t>
            </w:r>
            <w:r w:rsidR="00C822D0" w:rsidRPr="00422DB2">
              <w:rPr>
                <w:rStyle w:val="Hyperlink"/>
                <w:rFonts w:hint="eastAsia"/>
                <w:noProof/>
                <w:rtl/>
                <w:lang w:bidi="fa-IR"/>
              </w:rPr>
              <w:t>فِي</w:t>
            </w:r>
            <w:r w:rsidR="00C822D0" w:rsidRPr="00422DB2">
              <w:rPr>
                <w:rStyle w:val="Hyperlink"/>
                <w:noProof/>
                <w:rtl/>
                <w:lang w:bidi="fa-IR"/>
              </w:rPr>
              <w:t xml:space="preserve"> </w:t>
            </w:r>
            <w:r w:rsidR="00C822D0" w:rsidRPr="00422DB2">
              <w:rPr>
                <w:rStyle w:val="Hyperlink"/>
                <w:rFonts w:hint="eastAsia"/>
                <w:noProof/>
                <w:rtl/>
                <w:lang w:bidi="fa-IR"/>
              </w:rPr>
              <w:t>اللهِ‌</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35348681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322</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82" w:history="1">
            <w:r w:rsidR="00C822D0" w:rsidRPr="00422DB2">
              <w:rPr>
                <w:rStyle w:val="Hyperlink"/>
                <w:noProof/>
                <w:rtl/>
                <w:lang w:bidi="fa-IR"/>
              </w:rPr>
              <w:t xml:space="preserve">61 -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ذَمِّ</w:t>
            </w:r>
            <w:r w:rsidR="00C822D0" w:rsidRPr="00422DB2">
              <w:rPr>
                <w:rStyle w:val="Hyperlink"/>
                <w:noProof/>
                <w:rtl/>
                <w:lang w:bidi="fa-IR"/>
              </w:rPr>
              <w:t xml:space="preserve"> </w:t>
            </w:r>
            <w:r w:rsidR="00C822D0" w:rsidRPr="00422DB2">
              <w:rPr>
                <w:rStyle w:val="Hyperlink"/>
                <w:rFonts w:hint="eastAsia"/>
                <w:noProof/>
                <w:rtl/>
                <w:lang w:bidi="fa-IR"/>
              </w:rPr>
              <w:t>الدُّنْيَا</w:t>
            </w:r>
            <w:r w:rsidR="00C822D0" w:rsidRPr="00422DB2">
              <w:rPr>
                <w:rStyle w:val="Hyperlink"/>
                <w:noProof/>
                <w:rtl/>
                <w:lang w:bidi="fa-IR"/>
              </w:rPr>
              <w:t xml:space="preserve"> </w:t>
            </w:r>
            <w:r w:rsidR="00C822D0" w:rsidRPr="00422DB2">
              <w:rPr>
                <w:rStyle w:val="Hyperlink"/>
                <w:rFonts w:hint="eastAsia"/>
                <w:noProof/>
                <w:rtl/>
                <w:lang w:bidi="fa-IR"/>
              </w:rPr>
              <w:t>وَالزُّهْدِ</w:t>
            </w:r>
            <w:r w:rsidR="00C822D0" w:rsidRPr="00422DB2">
              <w:rPr>
                <w:rStyle w:val="Hyperlink"/>
                <w:noProof/>
                <w:rtl/>
                <w:lang w:bidi="fa-IR"/>
              </w:rPr>
              <w:t xml:space="preserve"> </w:t>
            </w:r>
            <w:r w:rsidR="00C822D0" w:rsidRPr="00422DB2">
              <w:rPr>
                <w:rStyle w:val="Hyperlink"/>
                <w:rFonts w:hint="eastAsia"/>
                <w:noProof/>
                <w:rtl/>
                <w:lang w:bidi="fa-IR"/>
              </w:rPr>
              <w:t>فِيهَا‌</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35348682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331</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83" w:history="1">
            <w:r w:rsidR="00C822D0" w:rsidRPr="00422DB2">
              <w:rPr>
                <w:rStyle w:val="Hyperlink"/>
                <w:noProof/>
                <w:rtl/>
                <w:lang w:bidi="fa-IR"/>
              </w:rPr>
              <w:t xml:space="preserve">62 -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noProof/>
                <w:vertAlign w:val="superscript"/>
                <w:rtl/>
              </w:rPr>
              <w:t>(1)</w:t>
            </w:r>
            <w:r w:rsidR="00C822D0" w:rsidRPr="00422DB2">
              <w:rPr>
                <w:rStyle w:val="Hyperlink"/>
                <w:noProof/>
                <w:rtl/>
                <w:lang w:bidi="fa-IR"/>
              </w:rPr>
              <w:t xml:space="preserve"> ‌</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35348683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353</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84" w:history="1">
            <w:r w:rsidR="00C822D0" w:rsidRPr="00422DB2">
              <w:rPr>
                <w:rStyle w:val="Hyperlink"/>
                <w:noProof/>
                <w:rtl/>
                <w:lang w:bidi="fa-IR"/>
              </w:rPr>
              <w:t xml:space="preserve">63 -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الْقَنَاعَةِ‌</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35348684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354</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85" w:history="1">
            <w:r w:rsidR="00C822D0" w:rsidRPr="00422DB2">
              <w:rPr>
                <w:rStyle w:val="Hyperlink"/>
                <w:noProof/>
                <w:rtl/>
                <w:lang w:bidi="fa-IR"/>
              </w:rPr>
              <w:t xml:space="preserve">64 -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الْكَفَافِ</w:t>
            </w:r>
            <w:r w:rsidR="00C822D0" w:rsidRPr="00422DB2">
              <w:rPr>
                <w:rStyle w:val="Hyperlink"/>
                <w:noProof/>
                <w:rtl/>
                <w:lang w:bidi="fa-IR"/>
              </w:rPr>
              <w:t xml:space="preserve"> </w:t>
            </w:r>
            <w:r w:rsidR="00C822D0" w:rsidRPr="00422DB2">
              <w:rPr>
                <w:rStyle w:val="Hyperlink"/>
                <w:noProof/>
                <w:vertAlign w:val="superscript"/>
                <w:rtl/>
              </w:rPr>
              <w:t xml:space="preserve">(6) </w:t>
            </w:r>
            <w:r w:rsidR="00C822D0" w:rsidRPr="00422DB2">
              <w:rPr>
                <w:rStyle w:val="Hyperlink"/>
                <w:rFonts w:hint="eastAsia"/>
                <w:noProof/>
                <w:lang w:bidi="fa-IR"/>
              </w:rPr>
              <w:t>‌</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35348685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361</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86" w:history="1">
            <w:r w:rsidR="00C822D0" w:rsidRPr="00422DB2">
              <w:rPr>
                <w:rStyle w:val="Hyperlink"/>
                <w:noProof/>
                <w:rtl/>
                <w:lang w:bidi="fa-IR"/>
              </w:rPr>
              <w:t xml:space="preserve">65 -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noProof/>
                <w:vertAlign w:val="superscript"/>
                <w:rtl/>
              </w:rPr>
              <w:t>(7)</w:t>
            </w:r>
            <w:r w:rsidR="00C822D0" w:rsidRPr="00422DB2">
              <w:rPr>
                <w:rStyle w:val="Hyperlink"/>
                <w:noProof/>
                <w:rtl/>
              </w:rPr>
              <w:t xml:space="preserve"> </w:t>
            </w:r>
            <w:r w:rsidR="00C822D0" w:rsidRPr="00422DB2">
              <w:rPr>
                <w:rStyle w:val="Hyperlink"/>
                <w:rFonts w:hint="eastAsia"/>
                <w:noProof/>
                <w:rtl/>
                <w:lang w:bidi="fa-IR"/>
              </w:rPr>
              <w:t>تَعْجِيلِ</w:t>
            </w:r>
            <w:r w:rsidR="00C822D0" w:rsidRPr="00422DB2">
              <w:rPr>
                <w:rStyle w:val="Hyperlink"/>
                <w:noProof/>
                <w:rtl/>
                <w:lang w:bidi="fa-IR"/>
              </w:rPr>
              <w:t xml:space="preserve"> </w:t>
            </w:r>
            <w:r w:rsidR="00C822D0" w:rsidRPr="00422DB2">
              <w:rPr>
                <w:rStyle w:val="Hyperlink"/>
                <w:rFonts w:hint="eastAsia"/>
                <w:noProof/>
                <w:rtl/>
                <w:lang w:bidi="fa-IR"/>
              </w:rPr>
              <w:t>فِعْلِ</w:t>
            </w:r>
            <w:r w:rsidR="00C822D0" w:rsidRPr="00422DB2">
              <w:rPr>
                <w:rStyle w:val="Hyperlink"/>
                <w:noProof/>
                <w:rtl/>
                <w:lang w:bidi="fa-IR"/>
              </w:rPr>
              <w:t xml:space="preserve"> </w:t>
            </w:r>
            <w:r w:rsidR="00C822D0" w:rsidRPr="00422DB2">
              <w:rPr>
                <w:rStyle w:val="Hyperlink"/>
                <w:rFonts w:hint="eastAsia"/>
                <w:noProof/>
                <w:rtl/>
                <w:lang w:bidi="fa-IR"/>
              </w:rPr>
              <w:t>الْخَيْرِ‌</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35348686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365</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87" w:history="1">
            <w:r w:rsidR="00C822D0" w:rsidRPr="00422DB2">
              <w:rPr>
                <w:rStyle w:val="Hyperlink"/>
                <w:noProof/>
                <w:rtl/>
                <w:lang w:bidi="fa-IR"/>
              </w:rPr>
              <w:t xml:space="preserve">66 -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الْإِنْصَافِ</w:t>
            </w:r>
            <w:r w:rsidR="00C822D0" w:rsidRPr="00422DB2">
              <w:rPr>
                <w:rStyle w:val="Hyperlink"/>
                <w:noProof/>
                <w:rtl/>
                <w:lang w:bidi="fa-IR"/>
              </w:rPr>
              <w:t xml:space="preserve"> </w:t>
            </w:r>
            <w:r w:rsidR="00C822D0" w:rsidRPr="00422DB2">
              <w:rPr>
                <w:rStyle w:val="Hyperlink"/>
                <w:rFonts w:hint="eastAsia"/>
                <w:noProof/>
                <w:rtl/>
                <w:lang w:bidi="fa-IR"/>
              </w:rPr>
              <w:t>وَالْعَدْلِ‌</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35348687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369</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88" w:history="1">
            <w:r w:rsidR="00C822D0" w:rsidRPr="00422DB2">
              <w:rPr>
                <w:rStyle w:val="Hyperlink"/>
                <w:noProof/>
                <w:rtl/>
                <w:lang w:bidi="fa-IR"/>
              </w:rPr>
              <w:t xml:space="preserve">67 -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rPr>
              <w:t>الِاسْتِغْنَاءِ</w:t>
            </w:r>
            <w:r w:rsidR="00C822D0" w:rsidRPr="00422DB2">
              <w:rPr>
                <w:rStyle w:val="Hyperlink"/>
                <w:noProof/>
                <w:rtl/>
                <w:lang w:bidi="fa-IR"/>
              </w:rPr>
              <w:t xml:space="preserve"> </w:t>
            </w:r>
            <w:r w:rsidR="00C822D0" w:rsidRPr="00422DB2">
              <w:rPr>
                <w:rStyle w:val="Hyperlink"/>
                <w:rFonts w:hint="eastAsia"/>
                <w:noProof/>
                <w:rtl/>
                <w:lang w:bidi="fa-IR"/>
              </w:rPr>
              <w:t>عَنِ</w:t>
            </w:r>
            <w:r w:rsidR="00C822D0" w:rsidRPr="00422DB2">
              <w:rPr>
                <w:rStyle w:val="Hyperlink"/>
                <w:noProof/>
                <w:rtl/>
                <w:lang w:bidi="fa-IR"/>
              </w:rPr>
              <w:t xml:space="preserve"> </w:t>
            </w:r>
            <w:r w:rsidR="00C822D0" w:rsidRPr="00422DB2">
              <w:rPr>
                <w:rStyle w:val="Hyperlink"/>
                <w:rFonts w:hint="eastAsia"/>
                <w:noProof/>
                <w:rtl/>
                <w:lang w:bidi="fa-IR"/>
              </w:rPr>
              <w:t>النَّاسِ‌</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35348688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381</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89" w:history="1">
            <w:r w:rsidR="00C822D0" w:rsidRPr="00422DB2">
              <w:rPr>
                <w:rStyle w:val="Hyperlink"/>
                <w:noProof/>
                <w:rtl/>
                <w:lang w:bidi="fa-IR"/>
              </w:rPr>
              <w:t xml:space="preserve">68 -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صِلَةِ</w:t>
            </w:r>
            <w:r w:rsidR="00C822D0" w:rsidRPr="00422DB2">
              <w:rPr>
                <w:rStyle w:val="Hyperlink"/>
                <w:noProof/>
                <w:rtl/>
                <w:lang w:bidi="fa-IR"/>
              </w:rPr>
              <w:t xml:space="preserve"> </w:t>
            </w:r>
            <w:r w:rsidR="00C822D0" w:rsidRPr="00422DB2">
              <w:rPr>
                <w:rStyle w:val="Hyperlink"/>
                <w:rFonts w:hint="eastAsia"/>
                <w:noProof/>
                <w:rtl/>
                <w:lang w:bidi="fa-IR"/>
              </w:rPr>
              <w:t>الرَّحِمِ‌</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35348689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385</w:t>
            </w:r>
            <w:r w:rsidR="00C822D0">
              <w:rPr>
                <w:noProof/>
                <w:webHidden/>
                <w:rtl/>
              </w:rPr>
              <w:fldChar w:fldCharType="end"/>
            </w:r>
          </w:hyperlink>
        </w:p>
        <w:p w:rsidR="008C1E92" w:rsidRDefault="008C1E92" w:rsidP="00405F62">
          <w:pPr>
            <w:pStyle w:val="libNormal"/>
            <w:rPr>
              <w:rStyle w:val="Hyperlink"/>
              <w:noProof/>
            </w:rPr>
          </w:pPr>
          <w:r>
            <w:rPr>
              <w:rStyle w:val="Hyperlink"/>
              <w:noProof/>
            </w:rPr>
            <w:br w:type="page"/>
          </w:r>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90" w:history="1">
            <w:r w:rsidR="00C822D0" w:rsidRPr="00422DB2">
              <w:rPr>
                <w:rStyle w:val="Hyperlink"/>
                <w:noProof/>
                <w:rtl/>
                <w:lang w:bidi="fa-IR"/>
              </w:rPr>
              <w:t xml:space="preserve">69 -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الْبِرِّ</w:t>
            </w:r>
            <w:r w:rsidR="00C822D0" w:rsidRPr="00422DB2">
              <w:rPr>
                <w:rStyle w:val="Hyperlink"/>
                <w:noProof/>
                <w:rtl/>
                <w:lang w:bidi="fa-IR"/>
              </w:rPr>
              <w:t xml:space="preserve"> </w:t>
            </w:r>
            <w:r w:rsidR="00C822D0" w:rsidRPr="00422DB2">
              <w:rPr>
                <w:rStyle w:val="Hyperlink"/>
                <w:rFonts w:hint="eastAsia"/>
                <w:noProof/>
                <w:rtl/>
                <w:lang w:bidi="fa-IR"/>
              </w:rPr>
              <w:t>بِالْوَالِدَيْنِ‌</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35348690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403</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91" w:history="1">
            <w:r w:rsidR="00C822D0" w:rsidRPr="00422DB2">
              <w:rPr>
                <w:rStyle w:val="Hyperlink"/>
                <w:noProof/>
                <w:rtl/>
                <w:lang w:bidi="fa-IR"/>
              </w:rPr>
              <w:t xml:space="preserve">70 -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الِاهْتِمَامِ</w:t>
            </w:r>
            <w:r w:rsidR="00C822D0" w:rsidRPr="00422DB2">
              <w:rPr>
                <w:rStyle w:val="Hyperlink"/>
                <w:noProof/>
                <w:rtl/>
                <w:lang w:bidi="fa-IR"/>
              </w:rPr>
              <w:t xml:space="preserve"> </w:t>
            </w:r>
            <w:r w:rsidR="00C822D0" w:rsidRPr="00422DB2">
              <w:rPr>
                <w:rStyle w:val="Hyperlink"/>
                <w:rFonts w:hint="eastAsia"/>
                <w:noProof/>
                <w:rtl/>
                <w:lang w:bidi="fa-IR"/>
              </w:rPr>
              <w:t>بِأُمُورِ</w:t>
            </w:r>
            <w:r w:rsidR="00C822D0" w:rsidRPr="00422DB2">
              <w:rPr>
                <w:rStyle w:val="Hyperlink"/>
                <w:noProof/>
                <w:rtl/>
                <w:lang w:bidi="fa-IR"/>
              </w:rPr>
              <w:t xml:space="preserve"> </w:t>
            </w:r>
            <w:r w:rsidR="00C822D0" w:rsidRPr="00422DB2">
              <w:rPr>
                <w:rStyle w:val="Hyperlink"/>
                <w:noProof/>
                <w:vertAlign w:val="superscript"/>
                <w:rtl/>
              </w:rPr>
              <w:t>(7)</w:t>
            </w:r>
            <w:r w:rsidR="00C822D0" w:rsidRPr="00422DB2">
              <w:rPr>
                <w:rStyle w:val="Hyperlink"/>
                <w:noProof/>
                <w:rtl/>
              </w:rPr>
              <w:t xml:space="preserve"> </w:t>
            </w:r>
            <w:r w:rsidR="00C822D0" w:rsidRPr="00422DB2">
              <w:rPr>
                <w:rStyle w:val="Hyperlink"/>
                <w:rFonts w:hint="eastAsia"/>
                <w:noProof/>
                <w:rtl/>
                <w:lang w:bidi="fa-IR"/>
              </w:rPr>
              <w:t>الْمُسْلِمِينَ</w:t>
            </w:r>
            <w:r w:rsidR="00C822D0" w:rsidRPr="00422DB2">
              <w:rPr>
                <w:rStyle w:val="Hyperlink"/>
                <w:noProof/>
                <w:rtl/>
                <w:lang w:bidi="fa-IR"/>
              </w:rPr>
              <w:t xml:space="preserve"> </w:t>
            </w:r>
            <w:r w:rsidR="00C822D0" w:rsidRPr="00422DB2">
              <w:rPr>
                <w:rStyle w:val="Hyperlink"/>
                <w:rFonts w:hint="eastAsia"/>
                <w:noProof/>
                <w:rtl/>
                <w:lang w:bidi="fa-IR"/>
              </w:rPr>
              <w:t>وَالنَّصِيحَةِ</w:t>
            </w:r>
            <w:r w:rsidR="00C822D0" w:rsidRPr="00422DB2">
              <w:rPr>
                <w:rStyle w:val="Hyperlink"/>
                <w:noProof/>
                <w:rtl/>
                <w:lang w:bidi="fa-IR"/>
              </w:rPr>
              <w:t xml:space="preserve"> </w:t>
            </w:r>
            <w:r w:rsidR="00C822D0" w:rsidRPr="00422DB2">
              <w:rPr>
                <w:rStyle w:val="Hyperlink"/>
                <w:rFonts w:hint="eastAsia"/>
                <w:noProof/>
                <w:rtl/>
                <w:lang w:bidi="fa-IR"/>
              </w:rPr>
              <w:t>لَهُمْ</w:t>
            </w:r>
            <w:r w:rsidR="00C822D0" w:rsidRPr="00422DB2">
              <w:rPr>
                <w:rStyle w:val="Hyperlink"/>
                <w:noProof/>
                <w:rtl/>
                <w:lang w:bidi="fa-IR"/>
              </w:rPr>
              <w:t xml:space="preserve"> </w:t>
            </w:r>
            <w:r w:rsidR="00C822D0" w:rsidRPr="00422DB2">
              <w:rPr>
                <w:rStyle w:val="Hyperlink"/>
                <w:rFonts w:hint="eastAsia"/>
                <w:noProof/>
                <w:rtl/>
                <w:lang w:bidi="fa-IR"/>
              </w:rPr>
              <w:t>وَنَفْعِهِمْ‌</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35348691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417</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92" w:history="1">
            <w:r w:rsidR="00C822D0" w:rsidRPr="00422DB2">
              <w:rPr>
                <w:rStyle w:val="Hyperlink"/>
                <w:noProof/>
                <w:rtl/>
                <w:lang w:bidi="fa-IR"/>
              </w:rPr>
              <w:t xml:space="preserve">71 -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إِجْلَالِ</w:t>
            </w:r>
            <w:r w:rsidR="00C822D0" w:rsidRPr="00422DB2">
              <w:rPr>
                <w:rStyle w:val="Hyperlink"/>
                <w:noProof/>
                <w:rtl/>
                <w:lang w:bidi="fa-IR"/>
              </w:rPr>
              <w:t xml:space="preserve"> </w:t>
            </w:r>
            <w:r w:rsidR="00C822D0" w:rsidRPr="00422DB2">
              <w:rPr>
                <w:rStyle w:val="Hyperlink"/>
                <w:rFonts w:hint="eastAsia"/>
                <w:noProof/>
                <w:rtl/>
                <w:lang w:bidi="fa-IR"/>
              </w:rPr>
              <w:t>الْكَبِيرِ‌</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35348692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421</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93" w:history="1">
            <w:r w:rsidR="00C822D0" w:rsidRPr="00422DB2">
              <w:rPr>
                <w:rStyle w:val="Hyperlink"/>
                <w:noProof/>
                <w:rtl/>
                <w:lang w:bidi="fa-IR"/>
              </w:rPr>
              <w:t xml:space="preserve">72 -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أُخُوَّةِ</w:t>
            </w:r>
            <w:r w:rsidR="00C822D0" w:rsidRPr="00422DB2">
              <w:rPr>
                <w:rStyle w:val="Hyperlink"/>
                <w:noProof/>
                <w:rtl/>
                <w:lang w:bidi="fa-IR"/>
              </w:rPr>
              <w:t xml:space="preserve"> </w:t>
            </w:r>
            <w:r w:rsidR="00C822D0" w:rsidRPr="00422DB2">
              <w:rPr>
                <w:rStyle w:val="Hyperlink"/>
                <w:rFonts w:hint="eastAsia"/>
                <w:noProof/>
                <w:rtl/>
                <w:lang w:bidi="fa-IR"/>
              </w:rPr>
              <w:t>الْمُؤْمِنِينَ</w:t>
            </w:r>
            <w:r w:rsidR="00C822D0" w:rsidRPr="00422DB2">
              <w:rPr>
                <w:rStyle w:val="Hyperlink"/>
                <w:noProof/>
                <w:rtl/>
                <w:lang w:bidi="fa-IR"/>
              </w:rPr>
              <w:t xml:space="preserve"> </w:t>
            </w:r>
            <w:r w:rsidR="00C822D0" w:rsidRPr="00422DB2">
              <w:rPr>
                <w:rStyle w:val="Hyperlink"/>
                <w:rFonts w:hint="eastAsia"/>
                <w:noProof/>
                <w:rtl/>
                <w:lang w:bidi="fa-IR"/>
              </w:rPr>
              <w:t>بَعْضِهِمْ</w:t>
            </w:r>
            <w:r w:rsidR="00C822D0" w:rsidRPr="00422DB2">
              <w:rPr>
                <w:rStyle w:val="Hyperlink"/>
                <w:noProof/>
                <w:rtl/>
                <w:lang w:bidi="fa-IR"/>
              </w:rPr>
              <w:t xml:space="preserve"> </w:t>
            </w:r>
            <w:r w:rsidR="00C822D0" w:rsidRPr="00422DB2">
              <w:rPr>
                <w:rStyle w:val="Hyperlink"/>
                <w:rFonts w:hint="eastAsia"/>
                <w:noProof/>
                <w:rtl/>
                <w:lang w:bidi="fa-IR"/>
              </w:rPr>
              <w:t>لِبَعْضٍ</w:t>
            </w:r>
            <w:r w:rsidR="00C822D0" w:rsidRPr="00422DB2">
              <w:rPr>
                <w:rStyle w:val="Hyperlink"/>
                <w:noProof/>
                <w:rtl/>
                <w:lang w:bidi="fa-IR"/>
              </w:rPr>
              <w:t xml:space="preserve"> </w:t>
            </w:r>
            <w:r w:rsidR="00C822D0" w:rsidRPr="00422DB2">
              <w:rPr>
                <w:rStyle w:val="Hyperlink"/>
                <w:noProof/>
                <w:vertAlign w:val="superscript"/>
                <w:rtl/>
              </w:rPr>
              <w:t>(3)</w:t>
            </w:r>
            <w:r w:rsidR="00C822D0" w:rsidRPr="00422DB2">
              <w:rPr>
                <w:rStyle w:val="Hyperlink"/>
                <w:noProof/>
                <w:rtl/>
                <w:lang w:bidi="fa-IR"/>
              </w:rPr>
              <w:t xml:space="preserve"> ‌</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35348693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423</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94" w:history="1">
            <w:r w:rsidR="00C822D0" w:rsidRPr="00422DB2">
              <w:rPr>
                <w:rStyle w:val="Hyperlink"/>
                <w:noProof/>
                <w:rtl/>
                <w:lang w:bidi="fa-IR"/>
              </w:rPr>
              <w:t xml:space="preserve">73 -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فِيمَا</w:t>
            </w:r>
            <w:r w:rsidR="00C822D0" w:rsidRPr="00422DB2">
              <w:rPr>
                <w:rStyle w:val="Hyperlink"/>
                <w:noProof/>
                <w:rtl/>
                <w:lang w:bidi="fa-IR"/>
              </w:rPr>
              <w:t xml:space="preserve"> </w:t>
            </w:r>
            <w:r w:rsidR="00C822D0" w:rsidRPr="00422DB2">
              <w:rPr>
                <w:rStyle w:val="Hyperlink"/>
                <w:rFonts w:hint="eastAsia"/>
                <w:noProof/>
                <w:rtl/>
                <w:lang w:bidi="fa-IR"/>
              </w:rPr>
              <w:t>يُوجِبُ</w:t>
            </w:r>
            <w:r w:rsidR="00C822D0" w:rsidRPr="00422DB2">
              <w:rPr>
                <w:rStyle w:val="Hyperlink"/>
                <w:noProof/>
                <w:rtl/>
                <w:lang w:bidi="fa-IR"/>
              </w:rPr>
              <w:t xml:space="preserve"> </w:t>
            </w:r>
            <w:r w:rsidR="00C822D0" w:rsidRPr="00422DB2">
              <w:rPr>
                <w:rStyle w:val="Hyperlink"/>
                <w:rFonts w:hint="eastAsia"/>
                <w:noProof/>
                <w:rtl/>
                <w:lang w:bidi="fa-IR"/>
              </w:rPr>
              <w:t>الْحَقَّ</w:t>
            </w:r>
            <w:r w:rsidR="00C822D0" w:rsidRPr="00422DB2">
              <w:rPr>
                <w:rStyle w:val="Hyperlink"/>
                <w:noProof/>
                <w:rtl/>
                <w:lang w:bidi="fa-IR"/>
              </w:rPr>
              <w:t xml:space="preserve"> </w:t>
            </w:r>
            <w:r w:rsidR="00C822D0" w:rsidRPr="00422DB2">
              <w:rPr>
                <w:rStyle w:val="Hyperlink"/>
                <w:rFonts w:hint="eastAsia"/>
                <w:noProof/>
                <w:rtl/>
                <w:lang w:bidi="fa-IR"/>
              </w:rPr>
              <w:t>لِمَنِ</w:t>
            </w:r>
            <w:r w:rsidR="00C822D0" w:rsidRPr="00422DB2">
              <w:rPr>
                <w:rStyle w:val="Hyperlink"/>
                <w:noProof/>
                <w:rtl/>
                <w:lang w:bidi="fa-IR"/>
              </w:rPr>
              <w:t xml:space="preserve"> </w:t>
            </w:r>
            <w:r w:rsidR="00C822D0" w:rsidRPr="00422DB2">
              <w:rPr>
                <w:rStyle w:val="Hyperlink"/>
                <w:rFonts w:hint="eastAsia"/>
                <w:noProof/>
                <w:rtl/>
                <w:lang w:bidi="fa-IR"/>
              </w:rPr>
              <w:t>انْتَحَلَ</w:t>
            </w:r>
            <w:r w:rsidR="00C822D0" w:rsidRPr="00422DB2">
              <w:rPr>
                <w:rStyle w:val="Hyperlink"/>
                <w:noProof/>
                <w:rtl/>
                <w:lang w:bidi="fa-IR"/>
              </w:rPr>
              <w:t xml:space="preserve"> </w:t>
            </w:r>
            <w:r w:rsidR="00C822D0" w:rsidRPr="00422DB2">
              <w:rPr>
                <w:rStyle w:val="Hyperlink"/>
                <w:rFonts w:hint="eastAsia"/>
                <w:noProof/>
                <w:rtl/>
                <w:lang w:bidi="fa-IR"/>
              </w:rPr>
              <w:t>الْإِيمَانَ</w:t>
            </w:r>
            <w:r w:rsidR="00C822D0" w:rsidRPr="00422DB2">
              <w:rPr>
                <w:rStyle w:val="Hyperlink"/>
                <w:noProof/>
                <w:rtl/>
                <w:lang w:bidi="fa-IR"/>
              </w:rPr>
              <w:t xml:space="preserve"> </w:t>
            </w:r>
            <w:r w:rsidR="00C822D0" w:rsidRPr="00422DB2">
              <w:rPr>
                <w:rStyle w:val="Hyperlink"/>
                <w:rFonts w:hint="eastAsia"/>
                <w:noProof/>
                <w:rtl/>
                <w:lang w:bidi="fa-IR"/>
              </w:rPr>
              <w:t>وَيَنْقُضُهُ</w:t>
            </w:r>
            <w:r w:rsidR="00C822D0" w:rsidRPr="00422DB2">
              <w:rPr>
                <w:rStyle w:val="Hyperlink"/>
                <w:noProof/>
                <w:rtl/>
                <w:lang w:bidi="fa-IR"/>
              </w:rPr>
              <w:t xml:space="preserve"> </w:t>
            </w:r>
            <w:r w:rsidR="00C822D0" w:rsidRPr="00422DB2">
              <w:rPr>
                <w:rStyle w:val="Hyperlink"/>
                <w:noProof/>
                <w:vertAlign w:val="superscript"/>
                <w:rtl/>
              </w:rPr>
              <w:t xml:space="preserve">(6) </w:t>
            </w:r>
            <w:r w:rsidR="00C822D0" w:rsidRPr="00422DB2">
              <w:rPr>
                <w:rStyle w:val="Hyperlink"/>
                <w:rFonts w:hint="eastAsia"/>
                <w:noProof/>
                <w:lang w:bidi="fa-IR"/>
              </w:rPr>
              <w:t>‌</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35348694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430</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95" w:history="1">
            <w:r w:rsidR="00C822D0" w:rsidRPr="00422DB2">
              <w:rPr>
                <w:rStyle w:val="Hyperlink"/>
                <w:noProof/>
                <w:rtl/>
                <w:lang w:bidi="fa-IR"/>
              </w:rPr>
              <w:t xml:space="preserve">74 -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فِي</w:t>
            </w:r>
            <w:r w:rsidR="00C822D0" w:rsidRPr="00422DB2">
              <w:rPr>
                <w:rStyle w:val="Hyperlink"/>
                <w:noProof/>
                <w:rtl/>
                <w:lang w:bidi="fa-IR"/>
              </w:rPr>
              <w:t xml:space="preserve"> </w:t>
            </w:r>
            <w:r w:rsidR="00C822D0" w:rsidRPr="00422DB2">
              <w:rPr>
                <w:rStyle w:val="Hyperlink"/>
                <w:rFonts w:hint="eastAsia"/>
                <w:noProof/>
                <w:rtl/>
                <w:lang w:bidi="fa-IR"/>
              </w:rPr>
              <w:t>أَنَّ</w:t>
            </w:r>
            <w:r w:rsidR="00C822D0" w:rsidRPr="00422DB2">
              <w:rPr>
                <w:rStyle w:val="Hyperlink"/>
                <w:noProof/>
                <w:rtl/>
                <w:lang w:bidi="fa-IR"/>
              </w:rPr>
              <w:t xml:space="preserve"> </w:t>
            </w:r>
            <w:r w:rsidR="00C822D0" w:rsidRPr="00422DB2">
              <w:rPr>
                <w:rStyle w:val="Hyperlink"/>
                <w:rFonts w:hint="eastAsia"/>
                <w:noProof/>
                <w:rtl/>
                <w:lang w:bidi="fa-IR"/>
              </w:rPr>
              <w:t>التَّوَاخِيَ</w:t>
            </w:r>
            <w:r w:rsidR="00C822D0" w:rsidRPr="00422DB2">
              <w:rPr>
                <w:rStyle w:val="Hyperlink"/>
                <w:noProof/>
                <w:rtl/>
                <w:lang w:bidi="fa-IR"/>
              </w:rPr>
              <w:t xml:space="preserve"> </w:t>
            </w:r>
            <w:r w:rsidR="00C822D0" w:rsidRPr="00422DB2">
              <w:rPr>
                <w:rStyle w:val="Hyperlink"/>
                <w:rFonts w:hint="eastAsia"/>
                <w:noProof/>
                <w:rtl/>
                <w:lang w:bidi="fa-IR"/>
              </w:rPr>
              <w:t>لَمْ</w:t>
            </w:r>
            <w:r w:rsidR="00C822D0" w:rsidRPr="00422DB2">
              <w:rPr>
                <w:rStyle w:val="Hyperlink"/>
                <w:noProof/>
                <w:rtl/>
                <w:lang w:bidi="fa-IR"/>
              </w:rPr>
              <w:t xml:space="preserve"> </w:t>
            </w:r>
            <w:r w:rsidR="00C822D0" w:rsidRPr="00422DB2">
              <w:rPr>
                <w:rStyle w:val="Hyperlink"/>
                <w:rFonts w:hint="eastAsia"/>
                <w:noProof/>
                <w:rtl/>
                <w:lang w:bidi="fa-IR"/>
              </w:rPr>
              <w:t>يَقَعْ</w:t>
            </w:r>
            <w:r w:rsidR="00C822D0" w:rsidRPr="00422DB2">
              <w:rPr>
                <w:rStyle w:val="Hyperlink"/>
                <w:noProof/>
                <w:rtl/>
                <w:lang w:bidi="fa-IR"/>
              </w:rPr>
              <w:t xml:space="preserve"> </w:t>
            </w:r>
            <w:r w:rsidR="00C822D0" w:rsidRPr="00422DB2">
              <w:rPr>
                <w:rStyle w:val="Hyperlink"/>
                <w:rFonts w:hint="eastAsia"/>
                <w:noProof/>
                <w:rtl/>
                <w:lang w:bidi="fa-IR"/>
              </w:rPr>
              <w:t>عَلَى</w:t>
            </w:r>
            <w:r w:rsidR="00C822D0" w:rsidRPr="00422DB2">
              <w:rPr>
                <w:rStyle w:val="Hyperlink"/>
                <w:noProof/>
                <w:rtl/>
                <w:lang w:bidi="fa-IR"/>
              </w:rPr>
              <w:t xml:space="preserve"> </w:t>
            </w:r>
            <w:r w:rsidR="00C822D0" w:rsidRPr="00422DB2">
              <w:rPr>
                <w:rStyle w:val="Hyperlink"/>
                <w:rFonts w:hint="eastAsia"/>
                <w:noProof/>
                <w:rtl/>
                <w:lang w:bidi="fa-IR"/>
              </w:rPr>
              <w:t>الدِّينِ</w:t>
            </w:r>
            <w:r w:rsidR="00C822D0" w:rsidRPr="00422DB2">
              <w:rPr>
                <w:rStyle w:val="Hyperlink"/>
                <w:noProof/>
                <w:rtl/>
                <w:lang w:bidi="fa-IR"/>
              </w:rPr>
              <w:t xml:space="preserve"> </w:t>
            </w:r>
            <w:r w:rsidR="00C822D0" w:rsidRPr="00422DB2">
              <w:rPr>
                <w:rStyle w:val="Hyperlink"/>
                <w:rFonts w:hint="eastAsia"/>
                <w:noProof/>
                <w:rtl/>
                <w:lang w:bidi="fa-IR"/>
              </w:rPr>
              <w:t>وَإِنَّمَا</w:t>
            </w:r>
            <w:r w:rsidR="00C822D0" w:rsidRPr="00422DB2">
              <w:rPr>
                <w:rStyle w:val="Hyperlink"/>
                <w:noProof/>
                <w:rtl/>
                <w:lang w:bidi="fa-IR"/>
              </w:rPr>
              <w:t xml:space="preserve"> </w:t>
            </w:r>
            <w:r w:rsidR="00C822D0" w:rsidRPr="00422DB2">
              <w:rPr>
                <w:rStyle w:val="Hyperlink"/>
                <w:rFonts w:hint="eastAsia"/>
                <w:noProof/>
                <w:rtl/>
                <w:lang w:bidi="fa-IR"/>
              </w:rPr>
              <w:t>هُوَ</w:t>
            </w:r>
            <w:r w:rsidR="00C822D0" w:rsidRPr="00422DB2">
              <w:rPr>
                <w:rStyle w:val="Hyperlink"/>
                <w:noProof/>
                <w:rtl/>
                <w:lang w:bidi="fa-IR"/>
              </w:rPr>
              <w:t xml:space="preserve"> </w:t>
            </w:r>
            <w:r w:rsidR="00C822D0" w:rsidRPr="00422DB2">
              <w:rPr>
                <w:rStyle w:val="Hyperlink"/>
                <w:rFonts w:hint="eastAsia"/>
                <w:noProof/>
                <w:rtl/>
                <w:lang w:bidi="fa-IR"/>
              </w:rPr>
              <w:t>التَّعَارُفُ</w:t>
            </w:r>
            <w:r w:rsidR="00C822D0" w:rsidRPr="00422DB2">
              <w:rPr>
                <w:rStyle w:val="Hyperlink"/>
                <w:noProof/>
                <w:rtl/>
                <w:lang w:bidi="fa-IR"/>
              </w:rPr>
              <w:t xml:space="preserve"> </w:t>
            </w:r>
            <w:r w:rsidR="00C822D0" w:rsidRPr="00422DB2">
              <w:rPr>
                <w:rStyle w:val="Hyperlink"/>
                <w:noProof/>
                <w:vertAlign w:val="superscript"/>
                <w:rtl/>
              </w:rPr>
              <w:t>(13)</w:t>
            </w:r>
            <w:r w:rsidR="00C822D0" w:rsidRPr="00422DB2">
              <w:rPr>
                <w:rStyle w:val="Hyperlink"/>
                <w:noProof/>
                <w:rtl/>
                <w:lang w:bidi="fa-IR"/>
              </w:rPr>
              <w:t xml:space="preserve"> ‌</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35348695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431</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96" w:history="1">
            <w:r w:rsidR="00C822D0" w:rsidRPr="00422DB2">
              <w:rPr>
                <w:rStyle w:val="Hyperlink"/>
                <w:noProof/>
                <w:rtl/>
                <w:lang w:bidi="fa-IR"/>
              </w:rPr>
              <w:t xml:space="preserve">75 -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حَقِّ</w:t>
            </w:r>
            <w:r w:rsidR="00C822D0" w:rsidRPr="00422DB2">
              <w:rPr>
                <w:rStyle w:val="Hyperlink"/>
                <w:noProof/>
                <w:rtl/>
                <w:lang w:bidi="fa-IR"/>
              </w:rPr>
              <w:t xml:space="preserve"> </w:t>
            </w:r>
            <w:r w:rsidR="00C822D0" w:rsidRPr="00422DB2">
              <w:rPr>
                <w:rStyle w:val="Hyperlink"/>
                <w:rFonts w:hint="eastAsia"/>
                <w:noProof/>
                <w:rtl/>
                <w:lang w:bidi="fa-IR"/>
              </w:rPr>
              <w:t>الْمُؤْمِنِ</w:t>
            </w:r>
            <w:r w:rsidR="00C822D0" w:rsidRPr="00422DB2">
              <w:rPr>
                <w:rStyle w:val="Hyperlink"/>
                <w:noProof/>
                <w:rtl/>
                <w:lang w:bidi="fa-IR"/>
              </w:rPr>
              <w:t xml:space="preserve"> </w:t>
            </w:r>
            <w:r w:rsidR="00C822D0" w:rsidRPr="00422DB2">
              <w:rPr>
                <w:rStyle w:val="Hyperlink"/>
                <w:rFonts w:hint="eastAsia"/>
                <w:noProof/>
                <w:rtl/>
                <w:lang w:bidi="fa-IR"/>
              </w:rPr>
              <w:t>عَلى</w:t>
            </w:r>
            <w:r w:rsidR="00C822D0" w:rsidRPr="00422DB2">
              <w:rPr>
                <w:rStyle w:val="Hyperlink"/>
                <w:noProof/>
                <w:rtl/>
                <w:lang w:bidi="fa-IR"/>
              </w:rPr>
              <w:t xml:space="preserve"> </w:t>
            </w:r>
            <w:r w:rsidR="00C822D0" w:rsidRPr="00422DB2">
              <w:rPr>
                <w:rStyle w:val="Hyperlink"/>
                <w:rFonts w:hint="eastAsia"/>
                <w:noProof/>
                <w:rtl/>
                <w:lang w:bidi="fa-IR"/>
              </w:rPr>
              <w:t>أَخِيهِ</w:t>
            </w:r>
            <w:r w:rsidR="00C822D0" w:rsidRPr="00422DB2">
              <w:rPr>
                <w:rStyle w:val="Hyperlink"/>
                <w:noProof/>
                <w:rtl/>
                <w:lang w:bidi="fa-IR"/>
              </w:rPr>
              <w:t xml:space="preserve"> </w:t>
            </w:r>
            <w:r w:rsidR="00C822D0" w:rsidRPr="00422DB2">
              <w:rPr>
                <w:rStyle w:val="Hyperlink"/>
                <w:rFonts w:hint="eastAsia"/>
                <w:noProof/>
                <w:rtl/>
                <w:lang w:bidi="fa-IR"/>
              </w:rPr>
              <w:t>وَأَدَاءِ</w:t>
            </w:r>
            <w:r w:rsidR="00C822D0" w:rsidRPr="00422DB2">
              <w:rPr>
                <w:rStyle w:val="Hyperlink"/>
                <w:noProof/>
                <w:rtl/>
                <w:lang w:bidi="fa-IR"/>
              </w:rPr>
              <w:t xml:space="preserve"> </w:t>
            </w:r>
            <w:r w:rsidR="00C822D0" w:rsidRPr="00422DB2">
              <w:rPr>
                <w:rStyle w:val="Hyperlink"/>
                <w:rFonts w:hint="eastAsia"/>
                <w:noProof/>
                <w:rtl/>
                <w:lang w:bidi="fa-IR"/>
              </w:rPr>
              <w:t>حَقِّهِ‌</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35348696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432</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97" w:history="1">
            <w:r w:rsidR="00C822D0" w:rsidRPr="00422DB2">
              <w:rPr>
                <w:rStyle w:val="Hyperlink"/>
                <w:noProof/>
                <w:rtl/>
                <w:lang w:bidi="fa-IR"/>
              </w:rPr>
              <w:t xml:space="preserve">76 -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التَّرَاحُمِ</w:t>
            </w:r>
            <w:r w:rsidR="00C822D0" w:rsidRPr="00422DB2">
              <w:rPr>
                <w:rStyle w:val="Hyperlink"/>
                <w:noProof/>
                <w:rtl/>
                <w:lang w:bidi="fa-IR"/>
              </w:rPr>
              <w:t xml:space="preserve"> </w:t>
            </w:r>
            <w:r w:rsidR="00C822D0" w:rsidRPr="00422DB2">
              <w:rPr>
                <w:rStyle w:val="Hyperlink"/>
                <w:noProof/>
                <w:vertAlign w:val="superscript"/>
                <w:rtl/>
              </w:rPr>
              <w:t>(1)</w:t>
            </w:r>
            <w:r w:rsidR="00C822D0" w:rsidRPr="00422DB2">
              <w:rPr>
                <w:rStyle w:val="Hyperlink"/>
                <w:noProof/>
                <w:rtl/>
              </w:rPr>
              <w:t xml:space="preserve"> </w:t>
            </w:r>
            <w:r w:rsidR="00C822D0" w:rsidRPr="00422DB2">
              <w:rPr>
                <w:rStyle w:val="Hyperlink"/>
                <w:rFonts w:hint="eastAsia"/>
                <w:noProof/>
                <w:rtl/>
                <w:lang w:bidi="fa-IR"/>
              </w:rPr>
              <w:t>وَالتَّعَاطُفِ‌</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35348697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448</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98" w:history="1">
            <w:r w:rsidR="00C822D0" w:rsidRPr="00422DB2">
              <w:rPr>
                <w:rStyle w:val="Hyperlink"/>
                <w:noProof/>
                <w:rtl/>
                <w:lang w:bidi="fa-IR"/>
              </w:rPr>
              <w:t xml:space="preserve">77 -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زِيَارَةِ</w:t>
            </w:r>
            <w:r w:rsidR="00C822D0" w:rsidRPr="00422DB2">
              <w:rPr>
                <w:rStyle w:val="Hyperlink"/>
                <w:noProof/>
                <w:rtl/>
                <w:lang w:bidi="fa-IR"/>
              </w:rPr>
              <w:t xml:space="preserve"> </w:t>
            </w:r>
            <w:r w:rsidR="00C822D0" w:rsidRPr="00422DB2">
              <w:rPr>
                <w:rStyle w:val="Hyperlink"/>
                <w:rFonts w:hint="eastAsia"/>
                <w:noProof/>
                <w:rtl/>
                <w:lang w:bidi="fa-IR"/>
              </w:rPr>
              <w:t>الْإِخْوَانِ‌</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35348698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449</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699" w:history="1">
            <w:r w:rsidR="00C822D0" w:rsidRPr="00422DB2">
              <w:rPr>
                <w:rStyle w:val="Hyperlink"/>
                <w:noProof/>
                <w:rtl/>
                <w:lang w:bidi="fa-IR"/>
              </w:rPr>
              <w:t xml:space="preserve">78 -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الْمُصَافَحَةِ‌</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35348699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458</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700" w:history="1">
            <w:r w:rsidR="00C822D0" w:rsidRPr="00422DB2">
              <w:rPr>
                <w:rStyle w:val="Hyperlink"/>
                <w:noProof/>
                <w:rtl/>
                <w:lang w:bidi="fa-IR"/>
              </w:rPr>
              <w:t xml:space="preserve">79 -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الْمُعَانَقَةِ‌</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35348700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469</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701" w:history="1">
            <w:r w:rsidR="00C822D0" w:rsidRPr="00422DB2">
              <w:rPr>
                <w:rStyle w:val="Hyperlink"/>
                <w:noProof/>
                <w:rtl/>
                <w:lang w:bidi="fa-IR"/>
              </w:rPr>
              <w:t xml:space="preserve">80 -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التَّقْبِيلِ‌</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35348701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472</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702" w:history="1">
            <w:r w:rsidR="00C822D0" w:rsidRPr="00422DB2">
              <w:rPr>
                <w:rStyle w:val="Hyperlink"/>
                <w:noProof/>
                <w:rtl/>
                <w:lang w:bidi="fa-IR"/>
              </w:rPr>
              <w:t xml:space="preserve">81 -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تَذَاكُرِ</w:t>
            </w:r>
            <w:r w:rsidR="00C822D0" w:rsidRPr="00422DB2">
              <w:rPr>
                <w:rStyle w:val="Hyperlink"/>
                <w:noProof/>
                <w:rtl/>
                <w:lang w:bidi="fa-IR"/>
              </w:rPr>
              <w:t xml:space="preserve"> </w:t>
            </w:r>
            <w:r w:rsidR="00C822D0" w:rsidRPr="00422DB2">
              <w:rPr>
                <w:rStyle w:val="Hyperlink"/>
                <w:noProof/>
                <w:vertAlign w:val="superscript"/>
                <w:rtl/>
              </w:rPr>
              <w:t>(4)</w:t>
            </w:r>
            <w:r w:rsidR="00C822D0" w:rsidRPr="00422DB2">
              <w:rPr>
                <w:rStyle w:val="Hyperlink"/>
                <w:noProof/>
                <w:rtl/>
              </w:rPr>
              <w:t xml:space="preserve"> </w:t>
            </w:r>
            <w:r w:rsidR="00C822D0" w:rsidRPr="00422DB2">
              <w:rPr>
                <w:rStyle w:val="Hyperlink"/>
                <w:rFonts w:hint="eastAsia"/>
                <w:noProof/>
                <w:rtl/>
                <w:lang w:bidi="fa-IR"/>
              </w:rPr>
              <w:t>الْإِخْوَانِ‌</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35348702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475</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703" w:history="1">
            <w:r w:rsidR="00C822D0" w:rsidRPr="00422DB2">
              <w:rPr>
                <w:rStyle w:val="Hyperlink"/>
                <w:noProof/>
                <w:rtl/>
                <w:lang w:bidi="fa-IR"/>
              </w:rPr>
              <w:t xml:space="preserve">82 -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إِدْخَالِ</w:t>
            </w:r>
            <w:r w:rsidR="00C822D0" w:rsidRPr="00422DB2">
              <w:rPr>
                <w:rStyle w:val="Hyperlink"/>
                <w:noProof/>
                <w:rtl/>
                <w:lang w:bidi="fa-IR"/>
              </w:rPr>
              <w:t xml:space="preserve"> </w:t>
            </w:r>
            <w:r w:rsidR="00C822D0" w:rsidRPr="00422DB2">
              <w:rPr>
                <w:rStyle w:val="Hyperlink"/>
                <w:rFonts w:hint="eastAsia"/>
                <w:noProof/>
                <w:rtl/>
                <w:lang w:bidi="fa-IR"/>
              </w:rPr>
              <w:t>السُّرُورِ</w:t>
            </w:r>
            <w:r w:rsidR="00C822D0" w:rsidRPr="00422DB2">
              <w:rPr>
                <w:rStyle w:val="Hyperlink"/>
                <w:noProof/>
                <w:rtl/>
                <w:lang w:bidi="fa-IR"/>
              </w:rPr>
              <w:t xml:space="preserve"> </w:t>
            </w:r>
            <w:r w:rsidR="00C822D0" w:rsidRPr="00422DB2">
              <w:rPr>
                <w:rStyle w:val="Hyperlink"/>
                <w:rFonts w:hint="eastAsia"/>
                <w:noProof/>
                <w:rtl/>
                <w:lang w:bidi="fa-IR"/>
              </w:rPr>
              <w:t>عَلَى</w:t>
            </w:r>
            <w:r w:rsidR="00C822D0" w:rsidRPr="00422DB2">
              <w:rPr>
                <w:rStyle w:val="Hyperlink"/>
                <w:noProof/>
                <w:rtl/>
                <w:lang w:bidi="fa-IR"/>
              </w:rPr>
              <w:t xml:space="preserve"> </w:t>
            </w:r>
            <w:r w:rsidR="00C822D0" w:rsidRPr="00422DB2">
              <w:rPr>
                <w:rStyle w:val="Hyperlink"/>
                <w:rFonts w:hint="eastAsia"/>
                <w:noProof/>
                <w:rtl/>
                <w:lang w:bidi="fa-IR"/>
              </w:rPr>
              <w:t>الْمُؤْمِنِ</w:t>
            </w:r>
            <w:r w:rsidR="00C822D0" w:rsidRPr="00422DB2">
              <w:rPr>
                <w:rStyle w:val="Hyperlink"/>
                <w:noProof/>
                <w:rtl/>
                <w:lang w:bidi="fa-IR"/>
              </w:rPr>
              <w:t xml:space="preserve"> </w:t>
            </w:r>
            <w:r w:rsidR="00C822D0" w:rsidRPr="00422DB2">
              <w:rPr>
                <w:rStyle w:val="Hyperlink"/>
                <w:noProof/>
                <w:vertAlign w:val="superscript"/>
                <w:rtl/>
              </w:rPr>
              <w:t>(10)</w:t>
            </w:r>
            <w:r w:rsidR="00C822D0" w:rsidRPr="00422DB2">
              <w:rPr>
                <w:rStyle w:val="Hyperlink"/>
                <w:noProof/>
                <w:rtl/>
                <w:lang w:bidi="fa-IR"/>
              </w:rPr>
              <w:t xml:space="preserve"> ‌</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35348703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481</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704" w:history="1">
            <w:r w:rsidR="00C822D0" w:rsidRPr="00422DB2">
              <w:rPr>
                <w:rStyle w:val="Hyperlink"/>
                <w:noProof/>
                <w:rtl/>
                <w:lang w:bidi="fa-IR"/>
              </w:rPr>
              <w:t xml:space="preserve">83 -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قَضَاءِ</w:t>
            </w:r>
            <w:r w:rsidR="00C822D0" w:rsidRPr="00422DB2">
              <w:rPr>
                <w:rStyle w:val="Hyperlink"/>
                <w:noProof/>
                <w:rtl/>
                <w:lang w:bidi="fa-IR"/>
              </w:rPr>
              <w:t xml:space="preserve"> </w:t>
            </w:r>
            <w:r w:rsidR="00C822D0" w:rsidRPr="00422DB2">
              <w:rPr>
                <w:rStyle w:val="Hyperlink"/>
                <w:rFonts w:hint="eastAsia"/>
                <w:noProof/>
                <w:rtl/>
                <w:lang w:bidi="fa-IR"/>
              </w:rPr>
              <w:t>حَاجَةِ</w:t>
            </w:r>
            <w:r w:rsidR="00C822D0" w:rsidRPr="00422DB2">
              <w:rPr>
                <w:rStyle w:val="Hyperlink"/>
                <w:noProof/>
                <w:rtl/>
                <w:lang w:bidi="fa-IR"/>
              </w:rPr>
              <w:t xml:space="preserve"> </w:t>
            </w:r>
            <w:r w:rsidR="00C822D0" w:rsidRPr="00422DB2">
              <w:rPr>
                <w:rStyle w:val="Hyperlink"/>
                <w:rFonts w:hint="eastAsia"/>
                <w:noProof/>
                <w:rtl/>
                <w:lang w:bidi="fa-IR"/>
              </w:rPr>
              <w:t>الْمُؤْمِنِ‌</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35348704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492</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705" w:history="1">
            <w:r w:rsidR="00C822D0" w:rsidRPr="00422DB2">
              <w:rPr>
                <w:rStyle w:val="Hyperlink"/>
                <w:noProof/>
                <w:rtl/>
                <w:lang w:bidi="fa-IR"/>
              </w:rPr>
              <w:t xml:space="preserve">84 -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السَّعْيِ</w:t>
            </w:r>
            <w:r w:rsidR="00C822D0" w:rsidRPr="00422DB2">
              <w:rPr>
                <w:rStyle w:val="Hyperlink"/>
                <w:noProof/>
                <w:rtl/>
                <w:lang w:bidi="fa-IR"/>
              </w:rPr>
              <w:t xml:space="preserve"> </w:t>
            </w:r>
            <w:r w:rsidR="00C822D0" w:rsidRPr="00422DB2">
              <w:rPr>
                <w:rStyle w:val="Hyperlink"/>
                <w:rFonts w:hint="eastAsia"/>
                <w:noProof/>
                <w:rtl/>
                <w:lang w:bidi="fa-IR"/>
              </w:rPr>
              <w:t>فِي</w:t>
            </w:r>
            <w:r w:rsidR="00C822D0" w:rsidRPr="00422DB2">
              <w:rPr>
                <w:rStyle w:val="Hyperlink"/>
                <w:noProof/>
                <w:rtl/>
                <w:lang w:bidi="fa-IR"/>
              </w:rPr>
              <w:t xml:space="preserve"> </w:t>
            </w:r>
            <w:r w:rsidR="00C822D0" w:rsidRPr="00422DB2">
              <w:rPr>
                <w:rStyle w:val="Hyperlink"/>
                <w:rFonts w:hint="eastAsia"/>
                <w:noProof/>
                <w:rtl/>
                <w:lang w:bidi="fa-IR"/>
              </w:rPr>
              <w:t>حَاجَةِ</w:t>
            </w:r>
            <w:r w:rsidR="00C822D0" w:rsidRPr="00422DB2">
              <w:rPr>
                <w:rStyle w:val="Hyperlink"/>
                <w:noProof/>
                <w:rtl/>
                <w:lang w:bidi="fa-IR"/>
              </w:rPr>
              <w:t xml:space="preserve"> </w:t>
            </w:r>
            <w:r w:rsidR="00C822D0" w:rsidRPr="00422DB2">
              <w:rPr>
                <w:rStyle w:val="Hyperlink"/>
                <w:rFonts w:hint="eastAsia"/>
                <w:noProof/>
                <w:rtl/>
                <w:lang w:bidi="fa-IR"/>
              </w:rPr>
              <w:t>الْمُؤْمِنِ‌</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35348705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502</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706" w:history="1">
            <w:r w:rsidR="00C822D0" w:rsidRPr="00422DB2">
              <w:rPr>
                <w:rStyle w:val="Hyperlink"/>
                <w:noProof/>
                <w:rtl/>
                <w:lang w:bidi="fa-IR"/>
              </w:rPr>
              <w:t xml:space="preserve">85 -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تَفْرِيجِ</w:t>
            </w:r>
            <w:r w:rsidR="00C822D0" w:rsidRPr="00422DB2">
              <w:rPr>
                <w:rStyle w:val="Hyperlink"/>
                <w:noProof/>
                <w:rtl/>
                <w:lang w:bidi="fa-IR"/>
              </w:rPr>
              <w:t xml:space="preserve"> </w:t>
            </w:r>
            <w:r w:rsidR="00C822D0" w:rsidRPr="00422DB2">
              <w:rPr>
                <w:rStyle w:val="Hyperlink"/>
                <w:rFonts w:hint="eastAsia"/>
                <w:noProof/>
                <w:rtl/>
                <w:lang w:bidi="fa-IR"/>
              </w:rPr>
              <w:t>كَرْبِ</w:t>
            </w:r>
            <w:r w:rsidR="00C822D0" w:rsidRPr="00422DB2">
              <w:rPr>
                <w:rStyle w:val="Hyperlink"/>
                <w:noProof/>
                <w:rtl/>
                <w:lang w:bidi="fa-IR"/>
              </w:rPr>
              <w:t xml:space="preserve"> </w:t>
            </w:r>
            <w:r w:rsidR="00C822D0" w:rsidRPr="00422DB2">
              <w:rPr>
                <w:rStyle w:val="Hyperlink"/>
                <w:rFonts w:hint="eastAsia"/>
                <w:noProof/>
                <w:rtl/>
                <w:lang w:bidi="fa-IR"/>
              </w:rPr>
              <w:t>الْمُؤْمِنِ</w:t>
            </w:r>
            <w:r w:rsidR="00C822D0" w:rsidRPr="00422DB2">
              <w:rPr>
                <w:rStyle w:val="Hyperlink"/>
                <w:noProof/>
                <w:rtl/>
                <w:lang w:bidi="fa-IR"/>
              </w:rPr>
              <w:t xml:space="preserve"> </w:t>
            </w:r>
            <w:r w:rsidR="00C822D0" w:rsidRPr="00422DB2">
              <w:rPr>
                <w:rStyle w:val="Hyperlink"/>
                <w:noProof/>
                <w:vertAlign w:val="superscript"/>
                <w:rtl/>
              </w:rPr>
              <w:t>(6)</w:t>
            </w:r>
            <w:r w:rsidR="00C822D0" w:rsidRPr="00422DB2">
              <w:rPr>
                <w:rStyle w:val="Hyperlink"/>
                <w:rFonts w:hint="eastAsia"/>
                <w:noProof/>
                <w:lang w:bidi="fa-IR"/>
              </w:rPr>
              <w:t>‌</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35348706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508</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707" w:history="1">
            <w:r w:rsidR="00C822D0" w:rsidRPr="00422DB2">
              <w:rPr>
                <w:rStyle w:val="Hyperlink"/>
                <w:noProof/>
                <w:rtl/>
                <w:lang w:bidi="fa-IR"/>
              </w:rPr>
              <w:t xml:space="preserve">86 -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إِطْعَامِ</w:t>
            </w:r>
            <w:r w:rsidR="00C822D0" w:rsidRPr="00422DB2">
              <w:rPr>
                <w:rStyle w:val="Hyperlink"/>
                <w:noProof/>
                <w:rtl/>
                <w:lang w:bidi="fa-IR"/>
              </w:rPr>
              <w:t xml:space="preserve"> </w:t>
            </w:r>
            <w:r w:rsidR="00C822D0" w:rsidRPr="00422DB2">
              <w:rPr>
                <w:rStyle w:val="Hyperlink"/>
                <w:rFonts w:hint="eastAsia"/>
                <w:noProof/>
                <w:rtl/>
                <w:lang w:bidi="fa-IR"/>
              </w:rPr>
              <w:t>الْمُؤْمِنِ‌</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35348707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511</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708" w:history="1">
            <w:r w:rsidR="00C822D0" w:rsidRPr="00422DB2">
              <w:rPr>
                <w:rStyle w:val="Hyperlink"/>
                <w:noProof/>
                <w:rtl/>
                <w:lang w:bidi="fa-IR"/>
              </w:rPr>
              <w:t xml:space="preserve">87 -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مَنْ</w:t>
            </w:r>
            <w:r w:rsidR="00C822D0" w:rsidRPr="00422DB2">
              <w:rPr>
                <w:rStyle w:val="Hyperlink"/>
                <w:noProof/>
                <w:rtl/>
                <w:lang w:bidi="fa-IR"/>
              </w:rPr>
              <w:t xml:space="preserve"> </w:t>
            </w:r>
            <w:r w:rsidR="00C822D0" w:rsidRPr="00422DB2">
              <w:rPr>
                <w:rStyle w:val="Hyperlink"/>
                <w:rFonts w:hint="eastAsia"/>
                <w:noProof/>
                <w:rtl/>
                <w:lang w:bidi="fa-IR"/>
              </w:rPr>
              <w:t>كَسَا</w:t>
            </w:r>
            <w:r w:rsidR="00C822D0" w:rsidRPr="00422DB2">
              <w:rPr>
                <w:rStyle w:val="Hyperlink"/>
                <w:noProof/>
                <w:rtl/>
                <w:lang w:bidi="fa-IR"/>
              </w:rPr>
              <w:t xml:space="preserve"> </w:t>
            </w:r>
            <w:r w:rsidR="00C822D0" w:rsidRPr="00422DB2">
              <w:rPr>
                <w:rStyle w:val="Hyperlink"/>
                <w:rFonts w:hint="eastAsia"/>
                <w:noProof/>
                <w:rtl/>
                <w:lang w:bidi="fa-IR"/>
              </w:rPr>
              <w:t>مُؤْمِناً‌</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35348708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521</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709" w:history="1">
            <w:r w:rsidR="00C822D0" w:rsidRPr="00422DB2">
              <w:rPr>
                <w:rStyle w:val="Hyperlink"/>
                <w:noProof/>
                <w:rtl/>
                <w:lang w:bidi="fa-IR"/>
              </w:rPr>
              <w:t xml:space="preserve">88 -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فِي</w:t>
            </w:r>
            <w:r w:rsidR="00C822D0" w:rsidRPr="00422DB2">
              <w:rPr>
                <w:rStyle w:val="Hyperlink"/>
                <w:noProof/>
                <w:rtl/>
                <w:lang w:bidi="fa-IR"/>
              </w:rPr>
              <w:t xml:space="preserve"> </w:t>
            </w:r>
            <w:r w:rsidR="00C822D0" w:rsidRPr="00422DB2">
              <w:rPr>
                <w:rStyle w:val="Hyperlink"/>
                <w:rFonts w:hint="eastAsia"/>
                <w:noProof/>
                <w:rtl/>
                <w:lang w:bidi="fa-IR"/>
              </w:rPr>
              <w:t>إِلْطَافِ</w:t>
            </w:r>
            <w:r w:rsidR="00C822D0" w:rsidRPr="00422DB2">
              <w:rPr>
                <w:rStyle w:val="Hyperlink"/>
                <w:noProof/>
                <w:rtl/>
                <w:lang w:bidi="fa-IR"/>
              </w:rPr>
              <w:t xml:space="preserve"> </w:t>
            </w:r>
            <w:r w:rsidR="00C822D0" w:rsidRPr="00422DB2">
              <w:rPr>
                <w:rStyle w:val="Hyperlink"/>
                <w:rFonts w:hint="eastAsia"/>
                <w:noProof/>
                <w:rtl/>
                <w:lang w:bidi="fa-IR"/>
              </w:rPr>
              <w:t>الْمُؤْمِنِ</w:t>
            </w:r>
            <w:r w:rsidR="00C822D0" w:rsidRPr="00422DB2">
              <w:rPr>
                <w:rStyle w:val="Hyperlink"/>
                <w:noProof/>
                <w:rtl/>
                <w:lang w:bidi="fa-IR"/>
              </w:rPr>
              <w:t xml:space="preserve"> </w:t>
            </w:r>
            <w:r w:rsidR="00C822D0" w:rsidRPr="00422DB2">
              <w:rPr>
                <w:rStyle w:val="Hyperlink"/>
                <w:rFonts w:hint="eastAsia"/>
                <w:noProof/>
                <w:rtl/>
                <w:lang w:bidi="fa-IR"/>
              </w:rPr>
              <w:t>وَإِكْرَامِهِ‌</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35348709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524</w:t>
            </w:r>
            <w:r w:rsidR="00C822D0">
              <w:rPr>
                <w:noProof/>
                <w:webHidden/>
                <w:rtl/>
              </w:rPr>
              <w:fldChar w:fldCharType="end"/>
            </w:r>
          </w:hyperlink>
        </w:p>
        <w:p w:rsidR="00C822D0" w:rsidRDefault="00ED771C" w:rsidP="00C822D0">
          <w:pPr>
            <w:pStyle w:val="TOC2"/>
            <w:tabs>
              <w:tab w:val="right" w:leader="dot" w:pos="7786"/>
            </w:tabs>
            <w:rPr>
              <w:rFonts w:asciiTheme="minorHAnsi" w:eastAsiaTheme="minorEastAsia" w:hAnsiTheme="minorHAnsi" w:cstheme="minorBidi"/>
              <w:noProof/>
              <w:color w:val="auto"/>
              <w:sz w:val="22"/>
              <w:szCs w:val="22"/>
              <w:rtl/>
            </w:rPr>
          </w:pPr>
          <w:hyperlink w:anchor="_Toc35348710" w:history="1">
            <w:r w:rsidR="00C822D0" w:rsidRPr="00422DB2">
              <w:rPr>
                <w:rStyle w:val="Hyperlink"/>
                <w:noProof/>
                <w:rtl/>
                <w:lang w:bidi="fa-IR"/>
              </w:rPr>
              <w:t xml:space="preserve">89 -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فِي</w:t>
            </w:r>
            <w:r w:rsidR="00C822D0" w:rsidRPr="00422DB2">
              <w:rPr>
                <w:rStyle w:val="Hyperlink"/>
                <w:noProof/>
                <w:rtl/>
                <w:lang w:bidi="fa-IR"/>
              </w:rPr>
              <w:t xml:space="preserve"> </w:t>
            </w:r>
            <w:r w:rsidR="00C822D0" w:rsidRPr="00422DB2">
              <w:rPr>
                <w:rStyle w:val="Hyperlink"/>
                <w:rFonts w:hint="eastAsia"/>
                <w:noProof/>
                <w:rtl/>
                <w:lang w:bidi="fa-IR"/>
              </w:rPr>
              <w:t>خِدْمَتِهِ</w:t>
            </w:r>
            <w:r w:rsidR="00C822D0" w:rsidRPr="00422DB2">
              <w:rPr>
                <w:rStyle w:val="Hyperlink"/>
                <w:noProof/>
                <w:rtl/>
                <w:lang w:bidi="fa-IR"/>
              </w:rPr>
              <w:t xml:space="preserve"> </w:t>
            </w:r>
            <w:r w:rsidR="00C822D0" w:rsidRPr="00422DB2">
              <w:rPr>
                <w:rStyle w:val="Hyperlink"/>
                <w:noProof/>
                <w:vertAlign w:val="superscript"/>
                <w:rtl/>
              </w:rPr>
              <w:t>(1)</w:t>
            </w:r>
            <w:r w:rsidR="00C822D0" w:rsidRPr="00422DB2">
              <w:rPr>
                <w:rStyle w:val="Hyperlink"/>
                <w:noProof/>
                <w:rtl/>
                <w:lang w:bidi="fa-IR"/>
              </w:rPr>
              <w:t xml:space="preserve"> ‌</w:t>
            </w:r>
          </w:hyperlink>
          <w:r w:rsidR="00C822D0">
            <w:rPr>
              <w:rStyle w:val="Hyperlink"/>
              <w:rFonts w:hint="cs"/>
              <w:noProof/>
              <w:rtl/>
            </w:rPr>
            <w:t xml:space="preserve"> </w:t>
          </w:r>
          <w:hyperlink w:anchor="_Toc35348711" w:history="1">
            <w:r w:rsidR="00C822D0" w:rsidRPr="00422DB2">
              <w:rPr>
                <w:rStyle w:val="Hyperlink"/>
                <w:noProof/>
                <w:rtl/>
                <w:lang w:bidi="fa-IR"/>
              </w:rPr>
              <w:t xml:space="preserve">90 -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نَصِيحَةِ</w:t>
            </w:r>
            <w:r w:rsidR="00C822D0" w:rsidRPr="00422DB2">
              <w:rPr>
                <w:rStyle w:val="Hyperlink"/>
                <w:noProof/>
                <w:rtl/>
                <w:lang w:bidi="fa-IR"/>
              </w:rPr>
              <w:t xml:space="preserve"> </w:t>
            </w:r>
            <w:r w:rsidR="00C822D0" w:rsidRPr="00422DB2">
              <w:rPr>
                <w:rStyle w:val="Hyperlink"/>
                <w:rFonts w:hint="eastAsia"/>
                <w:noProof/>
                <w:rtl/>
                <w:lang w:bidi="fa-IR"/>
              </w:rPr>
              <w:t>الْمُؤْمِنِ‌</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35348711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529</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712" w:history="1">
            <w:r w:rsidR="00C822D0" w:rsidRPr="00422DB2">
              <w:rPr>
                <w:rStyle w:val="Hyperlink"/>
                <w:noProof/>
                <w:rtl/>
                <w:lang w:bidi="fa-IR"/>
              </w:rPr>
              <w:t xml:space="preserve">91 -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الْإِصْلَاحِ</w:t>
            </w:r>
            <w:r w:rsidR="00C822D0" w:rsidRPr="00422DB2">
              <w:rPr>
                <w:rStyle w:val="Hyperlink"/>
                <w:noProof/>
                <w:rtl/>
                <w:lang w:bidi="fa-IR"/>
              </w:rPr>
              <w:t xml:space="preserve"> </w:t>
            </w:r>
            <w:r w:rsidR="00C822D0" w:rsidRPr="00422DB2">
              <w:rPr>
                <w:rStyle w:val="Hyperlink"/>
                <w:rFonts w:hint="eastAsia"/>
                <w:noProof/>
                <w:rtl/>
                <w:lang w:bidi="fa-IR"/>
              </w:rPr>
              <w:t>بَيْنَ</w:t>
            </w:r>
            <w:r w:rsidR="00C822D0" w:rsidRPr="00422DB2">
              <w:rPr>
                <w:rStyle w:val="Hyperlink"/>
                <w:noProof/>
                <w:rtl/>
                <w:lang w:bidi="fa-IR"/>
              </w:rPr>
              <w:t xml:space="preserve"> </w:t>
            </w:r>
            <w:r w:rsidR="00C822D0" w:rsidRPr="00422DB2">
              <w:rPr>
                <w:rStyle w:val="Hyperlink"/>
                <w:rFonts w:hint="eastAsia"/>
                <w:noProof/>
                <w:rtl/>
                <w:lang w:bidi="fa-IR"/>
              </w:rPr>
              <w:t>النَّاسِ‌</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35348712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531</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713" w:history="1">
            <w:r w:rsidR="00C822D0" w:rsidRPr="00422DB2">
              <w:rPr>
                <w:rStyle w:val="Hyperlink"/>
                <w:noProof/>
                <w:rtl/>
                <w:lang w:bidi="fa-IR"/>
              </w:rPr>
              <w:t xml:space="preserve">92 -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فِي</w:t>
            </w:r>
            <w:r w:rsidR="00C822D0" w:rsidRPr="00422DB2">
              <w:rPr>
                <w:rStyle w:val="Hyperlink"/>
                <w:noProof/>
                <w:rtl/>
                <w:lang w:bidi="fa-IR"/>
              </w:rPr>
              <w:t xml:space="preserve"> </w:t>
            </w:r>
            <w:r w:rsidR="00C822D0" w:rsidRPr="00422DB2">
              <w:rPr>
                <w:rStyle w:val="Hyperlink"/>
                <w:rFonts w:hint="eastAsia"/>
                <w:noProof/>
                <w:rtl/>
                <w:lang w:bidi="fa-IR"/>
              </w:rPr>
              <w:t>إِحْيَاءِ</w:t>
            </w:r>
            <w:r w:rsidR="00C822D0" w:rsidRPr="00422DB2">
              <w:rPr>
                <w:rStyle w:val="Hyperlink"/>
                <w:noProof/>
                <w:rtl/>
                <w:lang w:bidi="fa-IR"/>
              </w:rPr>
              <w:t xml:space="preserve"> </w:t>
            </w:r>
            <w:r w:rsidR="00C822D0" w:rsidRPr="00422DB2">
              <w:rPr>
                <w:rStyle w:val="Hyperlink"/>
                <w:rFonts w:hint="eastAsia"/>
                <w:noProof/>
                <w:rtl/>
                <w:lang w:bidi="fa-IR"/>
              </w:rPr>
              <w:t>الْمُؤْمِنِ‌</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35348713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534</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714" w:history="1">
            <w:r w:rsidR="00C822D0" w:rsidRPr="00422DB2">
              <w:rPr>
                <w:rStyle w:val="Hyperlink"/>
                <w:noProof/>
                <w:rtl/>
                <w:lang w:bidi="fa-IR"/>
              </w:rPr>
              <w:t xml:space="preserve">93 -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فِي</w:t>
            </w:r>
            <w:r w:rsidR="00C822D0" w:rsidRPr="00422DB2">
              <w:rPr>
                <w:rStyle w:val="Hyperlink"/>
                <w:noProof/>
                <w:rtl/>
                <w:lang w:bidi="fa-IR"/>
              </w:rPr>
              <w:t xml:space="preserve"> </w:t>
            </w:r>
            <w:r w:rsidR="00C822D0" w:rsidRPr="00422DB2">
              <w:rPr>
                <w:rStyle w:val="Hyperlink"/>
                <w:noProof/>
                <w:vertAlign w:val="superscript"/>
                <w:rtl/>
              </w:rPr>
              <w:t>(12)</w:t>
            </w:r>
            <w:r w:rsidR="00C822D0" w:rsidRPr="00422DB2">
              <w:rPr>
                <w:rStyle w:val="Hyperlink"/>
                <w:noProof/>
                <w:rtl/>
              </w:rPr>
              <w:t xml:space="preserve"> </w:t>
            </w:r>
            <w:r w:rsidR="00C822D0" w:rsidRPr="00422DB2">
              <w:rPr>
                <w:rStyle w:val="Hyperlink"/>
                <w:rFonts w:hint="eastAsia"/>
                <w:noProof/>
                <w:rtl/>
                <w:lang w:bidi="fa-IR"/>
              </w:rPr>
              <w:t>الدُّعَاءِ</w:t>
            </w:r>
            <w:r w:rsidR="00C822D0" w:rsidRPr="00422DB2">
              <w:rPr>
                <w:rStyle w:val="Hyperlink"/>
                <w:noProof/>
                <w:rtl/>
                <w:lang w:bidi="fa-IR"/>
              </w:rPr>
              <w:t xml:space="preserve"> </w:t>
            </w:r>
            <w:r w:rsidR="00C822D0" w:rsidRPr="00422DB2">
              <w:rPr>
                <w:rStyle w:val="Hyperlink"/>
                <w:rFonts w:hint="eastAsia"/>
                <w:noProof/>
                <w:rtl/>
                <w:lang w:bidi="fa-IR"/>
              </w:rPr>
              <w:t>لِلْأَهْلِ</w:t>
            </w:r>
            <w:r w:rsidR="00C822D0" w:rsidRPr="00422DB2">
              <w:rPr>
                <w:rStyle w:val="Hyperlink"/>
                <w:noProof/>
                <w:rtl/>
                <w:lang w:bidi="fa-IR"/>
              </w:rPr>
              <w:t xml:space="preserve"> </w:t>
            </w:r>
            <w:r w:rsidR="00C822D0" w:rsidRPr="00422DB2">
              <w:rPr>
                <w:rStyle w:val="Hyperlink"/>
                <w:rFonts w:hint="eastAsia"/>
                <w:noProof/>
                <w:rtl/>
                <w:lang w:bidi="fa-IR"/>
              </w:rPr>
              <w:t>إِلَى</w:t>
            </w:r>
            <w:r w:rsidR="00C822D0" w:rsidRPr="00422DB2">
              <w:rPr>
                <w:rStyle w:val="Hyperlink"/>
                <w:noProof/>
                <w:rtl/>
                <w:lang w:bidi="fa-IR"/>
              </w:rPr>
              <w:t xml:space="preserve"> </w:t>
            </w:r>
            <w:r w:rsidR="00C822D0" w:rsidRPr="00422DB2">
              <w:rPr>
                <w:rStyle w:val="Hyperlink"/>
                <w:rFonts w:hint="eastAsia"/>
                <w:noProof/>
                <w:rtl/>
                <w:lang w:bidi="fa-IR"/>
              </w:rPr>
              <w:t>الْإِيمَانِ‌</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35348714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536</w:t>
            </w:r>
            <w:r w:rsidR="00C822D0">
              <w:rPr>
                <w:noProof/>
                <w:webHidden/>
                <w:rtl/>
              </w:rPr>
              <w:fldChar w:fldCharType="end"/>
            </w:r>
          </w:hyperlink>
        </w:p>
        <w:p w:rsidR="008C1E92" w:rsidRDefault="008C1E92" w:rsidP="00405F62">
          <w:pPr>
            <w:pStyle w:val="libNormal"/>
            <w:rPr>
              <w:rStyle w:val="Hyperlink"/>
              <w:noProof/>
            </w:rPr>
          </w:pPr>
          <w:r>
            <w:rPr>
              <w:rStyle w:val="Hyperlink"/>
              <w:noProof/>
            </w:rPr>
            <w:br w:type="page"/>
          </w:r>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715" w:history="1">
            <w:r w:rsidR="00C822D0" w:rsidRPr="00422DB2">
              <w:rPr>
                <w:rStyle w:val="Hyperlink"/>
                <w:noProof/>
                <w:rtl/>
                <w:lang w:bidi="fa-IR"/>
              </w:rPr>
              <w:t xml:space="preserve">94 -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فِي</w:t>
            </w:r>
            <w:r w:rsidR="00C822D0" w:rsidRPr="00422DB2">
              <w:rPr>
                <w:rStyle w:val="Hyperlink"/>
                <w:noProof/>
                <w:rtl/>
                <w:lang w:bidi="fa-IR"/>
              </w:rPr>
              <w:t xml:space="preserve"> </w:t>
            </w:r>
            <w:r w:rsidR="00C822D0" w:rsidRPr="00422DB2">
              <w:rPr>
                <w:rStyle w:val="Hyperlink"/>
                <w:noProof/>
                <w:vertAlign w:val="superscript"/>
                <w:rtl/>
              </w:rPr>
              <w:t>(4)</w:t>
            </w:r>
            <w:r w:rsidR="00C822D0" w:rsidRPr="00422DB2">
              <w:rPr>
                <w:rStyle w:val="Hyperlink"/>
                <w:noProof/>
                <w:rtl/>
              </w:rPr>
              <w:t xml:space="preserve"> </w:t>
            </w:r>
            <w:r w:rsidR="00C822D0" w:rsidRPr="00422DB2">
              <w:rPr>
                <w:rStyle w:val="Hyperlink"/>
                <w:rFonts w:hint="eastAsia"/>
                <w:noProof/>
                <w:rtl/>
                <w:lang w:bidi="fa-IR"/>
              </w:rPr>
              <w:t>تَرْكِ</w:t>
            </w:r>
            <w:r w:rsidR="00C822D0" w:rsidRPr="00422DB2">
              <w:rPr>
                <w:rStyle w:val="Hyperlink"/>
                <w:noProof/>
                <w:rtl/>
                <w:lang w:bidi="fa-IR"/>
              </w:rPr>
              <w:t xml:space="preserve"> </w:t>
            </w:r>
            <w:r w:rsidR="00C822D0" w:rsidRPr="00422DB2">
              <w:rPr>
                <w:rStyle w:val="Hyperlink"/>
                <w:rFonts w:hint="eastAsia"/>
                <w:noProof/>
                <w:rtl/>
                <w:lang w:bidi="fa-IR"/>
              </w:rPr>
              <w:t>دُعَاءِ</w:t>
            </w:r>
            <w:r w:rsidR="00C822D0" w:rsidRPr="00422DB2">
              <w:rPr>
                <w:rStyle w:val="Hyperlink"/>
                <w:noProof/>
                <w:rtl/>
                <w:lang w:bidi="fa-IR"/>
              </w:rPr>
              <w:t xml:space="preserve"> </w:t>
            </w:r>
            <w:r w:rsidR="00C822D0" w:rsidRPr="00422DB2">
              <w:rPr>
                <w:rStyle w:val="Hyperlink"/>
                <w:rFonts w:hint="eastAsia"/>
                <w:noProof/>
                <w:rtl/>
                <w:lang w:bidi="fa-IR"/>
              </w:rPr>
              <w:t>النَّاسِ‌</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35348715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537</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716" w:history="1">
            <w:r w:rsidR="00C822D0" w:rsidRPr="00422DB2">
              <w:rPr>
                <w:rStyle w:val="Hyperlink"/>
                <w:noProof/>
                <w:rtl/>
                <w:lang w:bidi="fa-IR"/>
              </w:rPr>
              <w:t xml:space="preserve">95 -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أَنَّ</w:t>
            </w:r>
            <w:r w:rsidR="00C822D0" w:rsidRPr="00422DB2">
              <w:rPr>
                <w:rStyle w:val="Hyperlink"/>
                <w:noProof/>
                <w:rtl/>
                <w:lang w:bidi="fa-IR"/>
              </w:rPr>
              <w:t xml:space="preserve"> </w:t>
            </w:r>
            <w:r w:rsidR="00C822D0" w:rsidRPr="00422DB2">
              <w:rPr>
                <w:rStyle w:val="Hyperlink"/>
                <w:rFonts w:hint="eastAsia"/>
                <w:noProof/>
                <w:rtl/>
                <w:lang w:bidi="fa-IR"/>
              </w:rPr>
              <w:t>اللهَ</w:t>
            </w:r>
            <w:r w:rsidR="00C822D0" w:rsidRPr="00422DB2">
              <w:rPr>
                <w:rStyle w:val="Hyperlink"/>
                <w:noProof/>
                <w:rtl/>
                <w:lang w:bidi="fa-IR"/>
              </w:rPr>
              <w:t xml:space="preserve"> </w:t>
            </w:r>
            <w:r w:rsidR="00C822D0" w:rsidRPr="00422DB2">
              <w:rPr>
                <w:rStyle w:val="Hyperlink"/>
                <w:rFonts w:hint="eastAsia"/>
                <w:noProof/>
                <w:rtl/>
                <w:lang w:bidi="fa-IR"/>
              </w:rPr>
              <w:t>إِنَّمَا</w:t>
            </w:r>
            <w:r w:rsidR="00C822D0" w:rsidRPr="00422DB2">
              <w:rPr>
                <w:rStyle w:val="Hyperlink"/>
                <w:noProof/>
                <w:rtl/>
                <w:lang w:bidi="fa-IR"/>
              </w:rPr>
              <w:t xml:space="preserve"> </w:t>
            </w:r>
            <w:r w:rsidR="00C822D0" w:rsidRPr="00422DB2">
              <w:rPr>
                <w:rStyle w:val="Hyperlink"/>
                <w:rFonts w:hint="eastAsia"/>
                <w:noProof/>
                <w:rtl/>
                <w:lang w:bidi="fa-IR"/>
              </w:rPr>
              <w:t>يُعْطِي</w:t>
            </w:r>
            <w:r w:rsidR="00C822D0" w:rsidRPr="00422DB2">
              <w:rPr>
                <w:rStyle w:val="Hyperlink"/>
                <w:noProof/>
                <w:rtl/>
                <w:lang w:bidi="fa-IR"/>
              </w:rPr>
              <w:t xml:space="preserve"> </w:t>
            </w:r>
            <w:r w:rsidR="00C822D0" w:rsidRPr="00422DB2">
              <w:rPr>
                <w:rStyle w:val="Hyperlink"/>
                <w:rFonts w:hint="eastAsia"/>
                <w:noProof/>
                <w:rtl/>
                <w:lang w:bidi="fa-IR"/>
              </w:rPr>
              <w:t>الدِّينَ</w:t>
            </w:r>
            <w:r w:rsidR="00C822D0" w:rsidRPr="00422DB2">
              <w:rPr>
                <w:rStyle w:val="Hyperlink"/>
                <w:noProof/>
                <w:rtl/>
                <w:lang w:bidi="fa-IR"/>
              </w:rPr>
              <w:t xml:space="preserve"> </w:t>
            </w:r>
            <w:r w:rsidR="00C822D0" w:rsidRPr="00422DB2">
              <w:rPr>
                <w:rStyle w:val="Hyperlink"/>
                <w:noProof/>
                <w:vertAlign w:val="superscript"/>
                <w:rtl/>
              </w:rPr>
              <w:t>(1)</w:t>
            </w:r>
            <w:r w:rsidR="00C822D0" w:rsidRPr="00422DB2">
              <w:rPr>
                <w:rStyle w:val="Hyperlink"/>
                <w:noProof/>
                <w:rtl/>
              </w:rPr>
              <w:t xml:space="preserve"> </w:t>
            </w:r>
            <w:r w:rsidR="00C822D0" w:rsidRPr="00422DB2">
              <w:rPr>
                <w:rStyle w:val="Hyperlink"/>
                <w:rFonts w:hint="eastAsia"/>
                <w:noProof/>
                <w:rtl/>
                <w:lang w:bidi="fa-IR"/>
              </w:rPr>
              <w:t>مَنْ</w:t>
            </w:r>
            <w:r w:rsidR="00C822D0" w:rsidRPr="00422DB2">
              <w:rPr>
                <w:rStyle w:val="Hyperlink"/>
                <w:noProof/>
                <w:rtl/>
                <w:lang w:bidi="fa-IR"/>
              </w:rPr>
              <w:t xml:space="preserve"> </w:t>
            </w:r>
            <w:r w:rsidR="00C822D0" w:rsidRPr="00422DB2">
              <w:rPr>
                <w:rStyle w:val="Hyperlink"/>
                <w:rFonts w:hint="eastAsia"/>
                <w:noProof/>
                <w:rtl/>
                <w:lang w:bidi="fa-IR"/>
              </w:rPr>
              <w:t>يُحِبُّهُ‌</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35348716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543</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717" w:history="1">
            <w:r w:rsidR="00C822D0" w:rsidRPr="00422DB2">
              <w:rPr>
                <w:rStyle w:val="Hyperlink"/>
                <w:noProof/>
                <w:rtl/>
                <w:lang w:bidi="fa-IR"/>
              </w:rPr>
              <w:t xml:space="preserve">96 -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سَلَامَةِ</w:t>
            </w:r>
            <w:r w:rsidR="00C822D0" w:rsidRPr="00422DB2">
              <w:rPr>
                <w:rStyle w:val="Hyperlink"/>
                <w:noProof/>
                <w:rtl/>
                <w:lang w:bidi="fa-IR"/>
              </w:rPr>
              <w:t xml:space="preserve"> </w:t>
            </w:r>
            <w:r w:rsidR="00C822D0" w:rsidRPr="00422DB2">
              <w:rPr>
                <w:rStyle w:val="Hyperlink"/>
                <w:rFonts w:hint="eastAsia"/>
                <w:noProof/>
                <w:rtl/>
                <w:lang w:bidi="fa-IR"/>
              </w:rPr>
              <w:t>الدِّينِ‌</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35348717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545</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718" w:history="1">
            <w:r w:rsidR="00C822D0" w:rsidRPr="00422DB2">
              <w:rPr>
                <w:rStyle w:val="Hyperlink"/>
                <w:noProof/>
                <w:rtl/>
                <w:lang w:bidi="fa-IR"/>
              </w:rPr>
              <w:t xml:space="preserve">97 -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التَّقِيَّةِ‌</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35348718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548</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719" w:history="1">
            <w:r w:rsidR="00C822D0" w:rsidRPr="00422DB2">
              <w:rPr>
                <w:rStyle w:val="Hyperlink"/>
                <w:noProof/>
                <w:rtl/>
                <w:lang w:bidi="fa-IR"/>
              </w:rPr>
              <w:t xml:space="preserve">98 -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الْكِتْمَانِ‌</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35348719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561</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720" w:history="1">
            <w:r w:rsidR="00C822D0" w:rsidRPr="00422DB2">
              <w:rPr>
                <w:rStyle w:val="Hyperlink"/>
                <w:noProof/>
                <w:rtl/>
                <w:lang w:bidi="fa-IR"/>
              </w:rPr>
              <w:t xml:space="preserve">99 -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الْمُؤْمِنِ</w:t>
            </w:r>
            <w:r w:rsidR="00C822D0" w:rsidRPr="00422DB2">
              <w:rPr>
                <w:rStyle w:val="Hyperlink"/>
                <w:noProof/>
                <w:rtl/>
                <w:lang w:bidi="fa-IR"/>
              </w:rPr>
              <w:t xml:space="preserve"> </w:t>
            </w:r>
            <w:r w:rsidR="00C822D0" w:rsidRPr="00422DB2">
              <w:rPr>
                <w:rStyle w:val="Hyperlink"/>
                <w:rFonts w:hint="eastAsia"/>
                <w:noProof/>
                <w:rtl/>
                <w:lang w:bidi="fa-IR"/>
              </w:rPr>
              <w:t>وَعَلَامَاتِهِ</w:t>
            </w:r>
            <w:r w:rsidR="00C822D0" w:rsidRPr="00422DB2">
              <w:rPr>
                <w:rStyle w:val="Hyperlink"/>
                <w:noProof/>
                <w:rtl/>
                <w:lang w:bidi="fa-IR"/>
              </w:rPr>
              <w:t xml:space="preserve"> </w:t>
            </w:r>
            <w:r w:rsidR="00C822D0" w:rsidRPr="00422DB2">
              <w:rPr>
                <w:rStyle w:val="Hyperlink"/>
                <w:rFonts w:hint="eastAsia"/>
                <w:noProof/>
                <w:rtl/>
                <w:lang w:bidi="fa-IR"/>
              </w:rPr>
              <w:t>وَصِفَاتِهِ</w:t>
            </w:r>
            <w:r w:rsidR="00C822D0" w:rsidRPr="00422DB2">
              <w:rPr>
                <w:rStyle w:val="Hyperlink"/>
                <w:noProof/>
                <w:rtl/>
                <w:lang w:bidi="fa-IR"/>
              </w:rPr>
              <w:t xml:space="preserve"> </w:t>
            </w:r>
            <w:r w:rsidR="00C822D0" w:rsidRPr="00422DB2">
              <w:rPr>
                <w:rStyle w:val="Hyperlink"/>
                <w:noProof/>
                <w:vertAlign w:val="superscript"/>
                <w:rtl/>
              </w:rPr>
              <w:t>(1)</w:t>
            </w:r>
            <w:r w:rsidR="00C822D0" w:rsidRPr="00422DB2">
              <w:rPr>
                <w:rStyle w:val="Hyperlink"/>
                <w:noProof/>
                <w:rtl/>
                <w:lang w:bidi="fa-IR"/>
              </w:rPr>
              <w:t xml:space="preserve"> ‌</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35348720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573</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721" w:history="1">
            <w:r w:rsidR="00C822D0" w:rsidRPr="00422DB2">
              <w:rPr>
                <w:rStyle w:val="Hyperlink"/>
                <w:noProof/>
                <w:rtl/>
                <w:lang w:bidi="fa-IR"/>
              </w:rPr>
              <w:t xml:space="preserve">100 -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فِي</w:t>
            </w:r>
            <w:r w:rsidR="00C822D0" w:rsidRPr="00422DB2">
              <w:rPr>
                <w:rStyle w:val="Hyperlink"/>
                <w:noProof/>
                <w:rtl/>
                <w:lang w:bidi="fa-IR"/>
              </w:rPr>
              <w:t xml:space="preserve"> </w:t>
            </w:r>
            <w:r w:rsidR="00C822D0" w:rsidRPr="00422DB2">
              <w:rPr>
                <w:rStyle w:val="Hyperlink"/>
                <w:noProof/>
                <w:vertAlign w:val="superscript"/>
                <w:rtl/>
              </w:rPr>
              <w:t>(1)</w:t>
            </w:r>
            <w:r w:rsidR="00C822D0" w:rsidRPr="00422DB2">
              <w:rPr>
                <w:rStyle w:val="Hyperlink"/>
                <w:noProof/>
                <w:rtl/>
              </w:rPr>
              <w:t xml:space="preserve"> </w:t>
            </w:r>
            <w:r w:rsidR="00C822D0" w:rsidRPr="00422DB2">
              <w:rPr>
                <w:rStyle w:val="Hyperlink"/>
                <w:rFonts w:hint="eastAsia"/>
                <w:noProof/>
                <w:rtl/>
                <w:lang w:bidi="fa-IR"/>
              </w:rPr>
              <w:t>قِلَّةِ</w:t>
            </w:r>
            <w:r w:rsidR="00C822D0" w:rsidRPr="00422DB2">
              <w:rPr>
                <w:rStyle w:val="Hyperlink"/>
                <w:noProof/>
                <w:rtl/>
                <w:lang w:bidi="fa-IR"/>
              </w:rPr>
              <w:t xml:space="preserve"> </w:t>
            </w:r>
            <w:r w:rsidR="00C822D0" w:rsidRPr="00422DB2">
              <w:rPr>
                <w:rStyle w:val="Hyperlink"/>
                <w:rFonts w:hint="eastAsia"/>
                <w:noProof/>
                <w:rtl/>
                <w:lang w:bidi="fa-IR"/>
              </w:rPr>
              <w:t>عَدَدِ</w:t>
            </w:r>
            <w:r w:rsidR="00C822D0" w:rsidRPr="00422DB2">
              <w:rPr>
                <w:rStyle w:val="Hyperlink"/>
                <w:noProof/>
                <w:rtl/>
                <w:lang w:bidi="fa-IR"/>
              </w:rPr>
              <w:t xml:space="preserve"> </w:t>
            </w:r>
            <w:r w:rsidR="00C822D0" w:rsidRPr="00422DB2">
              <w:rPr>
                <w:rStyle w:val="Hyperlink"/>
                <w:rFonts w:hint="eastAsia"/>
                <w:noProof/>
                <w:rtl/>
                <w:lang w:bidi="fa-IR"/>
              </w:rPr>
              <w:t>الْمُؤْمِنِينَ</w:t>
            </w:r>
            <w:r w:rsidR="00C822D0" w:rsidRPr="00422DB2">
              <w:rPr>
                <w:rStyle w:val="Hyperlink"/>
                <w:noProof/>
                <w:rtl/>
                <w:lang w:bidi="fa-IR"/>
              </w:rPr>
              <w:t xml:space="preserve"> </w:t>
            </w:r>
            <w:r w:rsidR="00C822D0" w:rsidRPr="00422DB2">
              <w:rPr>
                <w:rStyle w:val="Hyperlink"/>
                <w:noProof/>
                <w:vertAlign w:val="superscript"/>
                <w:rtl/>
              </w:rPr>
              <w:t>(2)</w:t>
            </w:r>
            <w:r w:rsidR="00C822D0" w:rsidRPr="00422DB2">
              <w:rPr>
                <w:rStyle w:val="Hyperlink"/>
                <w:noProof/>
                <w:rtl/>
                <w:lang w:bidi="fa-IR"/>
              </w:rPr>
              <w:t xml:space="preserve"> ‌</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35348721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614</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722" w:history="1">
            <w:r w:rsidR="00C822D0" w:rsidRPr="00422DB2">
              <w:rPr>
                <w:rStyle w:val="Hyperlink"/>
                <w:noProof/>
                <w:rtl/>
                <w:lang w:bidi="fa-IR"/>
              </w:rPr>
              <w:t xml:space="preserve">101 -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rPr>
              <w:t>الرِّضَا</w:t>
            </w:r>
            <w:r w:rsidR="00C822D0" w:rsidRPr="00422DB2">
              <w:rPr>
                <w:rStyle w:val="Hyperlink"/>
                <w:noProof/>
                <w:rtl/>
                <w:lang w:bidi="fa-IR"/>
              </w:rPr>
              <w:t xml:space="preserve"> </w:t>
            </w:r>
            <w:r w:rsidR="00C822D0" w:rsidRPr="00422DB2">
              <w:rPr>
                <w:rStyle w:val="Hyperlink"/>
                <w:rFonts w:hint="eastAsia"/>
                <w:noProof/>
                <w:rtl/>
                <w:lang w:bidi="fa-IR"/>
              </w:rPr>
              <w:t>بِمَوْهِبَةِ</w:t>
            </w:r>
            <w:r w:rsidR="00C822D0" w:rsidRPr="00422DB2">
              <w:rPr>
                <w:rStyle w:val="Hyperlink"/>
                <w:noProof/>
                <w:rtl/>
                <w:lang w:bidi="fa-IR"/>
              </w:rPr>
              <w:t xml:space="preserve"> </w:t>
            </w:r>
            <w:r w:rsidR="00C822D0" w:rsidRPr="00422DB2">
              <w:rPr>
                <w:rStyle w:val="Hyperlink"/>
                <w:rFonts w:hint="eastAsia"/>
                <w:noProof/>
                <w:rtl/>
                <w:lang w:bidi="fa-IR"/>
              </w:rPr>
              <w:t>الْإِيمَانِ</w:t>
            </w:r>
            <w:r w:rsidR="00C822D0" w:rsidRPr="00422DB2">
              <w:rPr>
                <w:rStyle w:val="Hyperlink"/>
                <w:noProof/>
                <w:rtl/>
                <w:lang w:bidi="fa-IR"/>
              </w:rPr>
              <w:t xml:space="preserve"> </w:t>
            </w:r>
            <w:r w:rsidR="00C822D0" w:rsidRPr="00422DB2">
              <w:rPr>
                <w:rStyle w:val="Hyperlink"/>
                <w:rFonts w:hint="eastAsia"/>
                <w:noProof/>
                <w:rtl/>
                <w:lang w:bidi="fa-IR"/>
              </w:rPr>
              <w:t>وَالصَّبْرِ</w:t>
            </w:r>
            <w:r w:rsidR="00C822D0" w:rsidRPr="00422DB2">
              <w:rPr>
                <w:rStyle w:val="Hyperlink"/>
                <w:noProof/>
                <w:rtl/>
                <w:lang w:bidi="fa-IR"/>
              </w:rPr>
              <w:t xml:space="preserve"> </w:t>
            </w:r>
            <w:r w:rsidR="00C822D0" w:rsidRPr="00422DB2">
              <w:rPr>
                <w:rStyle w:val="Hyperlink"/>
                <w:rFonts w:hint="eastAsia"/>
                <w:noProof/>
                <w:rtl/>
                <w:lang w:bidi="fa-IR"/>
              </w:rPr>
              <w:t>عَلى</w:t>
            </w:r>
            <w:r w:rsidR="00C822D0" w:rsidRPr="00422DB2">
              <w:rPr>
                <w:rStyle w:val="Hyperlink"/>
                <w:noProof/>
                <w:rtl/>
                <w:lang w:bidi="fa-IR"/>
              </w:rPr>
              <w:t xml:space="preserve"> </w:t>
            </w:r>
            <w:r w:rsidR="00C822D0" w:rsidRPr="00422DB2">
              <w:rPr>
                <w:rStyle w:val="Hyperlink"/>
                <w:rFonts w:hint="eastAsia"/>
                <w:noProof/>
                <w:rtl/>
                <w:lang w:bidi="fa-IR"/>
              </w:rPr>
              <w:t>كُلِّ</w:t>
            </w:r>
            <w:r w:rsidR="00C822D0" w:rsidRPr="00422DB2">
              <w:rPr>
                <w:rStyle w:val="Hyperlink"/>
                <w:noProof/>
                <w:rtl/>
                <w:lang w:bidi="fa-IR"/>
              </w:rPr>
              <w:t xml:space="preserve"> </w:t>
            </w:r>
            <w:r w:rsidR="00C822D0" w:rsidRPr="00422DB2">
              <w:rPr>
                <w:rStyle w:val="Hyperlink"/>
                <w:rFonts w:hint="eastAsia"/>
                <w:noProof/>
                <w:rtl/>
                <w:lang w:bidi="fa-IR"/>
              </w:rPr>
              <w:t>شَيْ‌ءٍ</w:t>
            </w:r>
            <w:r w:rsidR="00C822D0" w:rsidRPr="00422DB2">
              <w:rPr>
                <w:rStyle w:val="Hyperlink"/>
                <w:noProof/>
                <w:rtl/>
                <w:lang w:bidi="fa-IR"/>
              </w:rPr>
              <w:t xml:space="preserve"> </w:t>
            </w:r>
            <w:r w:rsidR="00C822D0" w:rsidRPr="00422DB2">
              <w:rPr>
                <w:rStyle w:val="Hyperlink"/>
                <w:rFonts w:hint="eastAsia"/>
                <w:noProof/>
                <w:rtl/>
                <w:lang w:bidi="fa-IR"/>
              </w:rPr>
              <w:t>بَعْدَهُ‌</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35348722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619</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723" w:history="1">
            <w:r w:rsidR="00C822D0" w:rsidRPr="00422DB2">
              <w:rPr>
                <w:rStyle w:val="Hyperlink"/>
                <w:noProof/>
                <w:rtl/>
                <w:lang w:bidi="fa-IR"/>
              </w:rPr>
              <w:t xml:space="preserve">102 -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فِي</w:t>
            </w:r>
            <w:r w:rsidR="00C822D0" w:rsidRPr="00422DB2">
              <w:rPr>
                <w:rStyle w:val="Hyperlink"/>
                <w:noProof/>
                <w:rtl/>
                <w:lang w:bidi="fa-IR"/>
              </w:rPr>
              <w:t xml:space="preserve"> </w:t>
            </w:r>
            <w:r w:rsidR="00C822D0" w:rsidRPr="00422DB2">
              <w:rPr>
                <w:rStyle w:val="Hyperlink"/>
                <w:rFonts w:hint="eastAsia"/>
                <w:noProof/>
                <w:rtl/>
                <w:lang w:bidi="fa-IR"/>
              </w:rPr>
              <w:t>سُكُونِ</w:t>
            </w:r>
            <w:r w:rsidR="00C822D0" w:rsidRPr="00422DB2">
              <w:rPr>
                <w:rStyle w:val="Hyperlink"/>
                <w:noProof/>
                <w:rtl/>
                <w:lang w:bidi="fa-IR"/>
              </w:rPr>
              <w:t xml:space="preserve"> </w:t>
            </w:r>
            <w:r w:rsidR="00C822D0" w:rsidRPr="00422DB2">
              <w:rPr>
                <w:rStyle w:val="Hyperlink"/>
                <w:rFonts w:hint="eastAsia"/>
                <w:noProof/>
                <w:rtl/>
                <w:lang w:bidi="fa-IR"/>
              </w:rPr>
              <w:t>الْمُؤْمِنِ</w:t>
            </w:r>
            <w:r w:rsidR="00C822D0" w:rsidRPr="00422DB2">
              <w:rPr>
                <w:rStyle w:val="Hyperlink"/>
                <w:noProof/>
                <w:rtl/>
                <w:lang w:bidi="fa-IR"/>
              </w:rPr>
              <w:t xml:space="preserve"> </w:t>
            </w:r>
            <w:r w:rsidR="00C822D0" w:rsidRPr="00422DB2">
              <w:rPr>
                <w:rStyle w:val="Hyperlink"/>
                <w:rFonts w:hint="eastAsia"/>
                <w:noProof/>
                <w:rtl/>
                <w:lang w:bidi="fa-IR"/>
              </w:rPr>
              <w:t>إِلَى</w:t>
            </w:r>
            <w:r w:rsidR="00C822D0" w:rsidRPr="00422DB2">
              <w:rPr>
                <w:rStyle w:val="Hyperlink"/>
                <w:noProof/>
                <w:rtl/>
                <w:lang w:bidi="fa-IR"/>
              </w:rPr>
              <w:t xml:space="preserve"> </w:t>
            </w:r>
            <w:r w:rsidR="00C822D0" w:rsidRPr="00422DB2">
              <w:rPr>
                <w:rStyle w:val="Hyperlink"/>
                <w:rFonts w:hint="eastAsia"/>
                <w:noProof/>
                <w:rtl/>
                <w:lang w:bidi="fa-IR"/>
              </w:rPr>
              <w:t>الْمُؤْمِنِ‌</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35348723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623</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724" w:history="1">
            <w:r w:rsidR="00C822D0" w:rsidRPr="00422DB2">
              <w:rPr>
                <w:rStyle w:val="Hyperlink"/>
                <w:noProof/>
                <w:rtl/>
                <w:lang w:bidi="fa-IR"/>
              </w:rPr>
              <w:t xml:space="preserve">103 -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فِيمَا</w:t>
            </w:r>
            <w:r w:rsidR="00C822D0" w:rsidRPr="00422DB2">
              <w:rPr>
                <w:rStyle w:val="Hyperlink"/>
                <w:noProof/>
                <w:rtl/>
                <w:lang w:bidi="fa-IR"/>
              </w:rPr>
              <w:t xml:space="preserve"> </w:t>
            </w:r>
            <w:r w:rsidR="00C822D0" w:rsidRPr="00422DB2">
              <w:rPr>
                <w:rStyle w:val="Hyperlink"/>
                <w:rFonts w:hint="eastAsia"/>
                <w:noProof/>
                <w:rtl/>
                <w:lang w:bidi="fa-IR"/>
              </w:rPr>
              <w:t>يَدْفَعُ</w:t>
            </w:r>
            <w:r w:rsidR="00C822D0" w:rsidRPr="00422DB2">
              <w:rPr>
                <w:rStyle w:val="Hyperlink"/>
                <w:noProof/>
                <w:rtl/>
                <w:lang w:bidi="fa-IR"/>
              </w:rPr>
              <w:t xml:space="preserve"> </w:t>
            </w:r>
            <w:r w:rsidR="00C822D0" w:rsidRPr="00422DB2">
              <w:rPr>
                <w:rStyle w:val="Hyperlink"/>
                <w:rFonts w:hint="eastAsia"/>
                <w:noProof/>
                <w:rtl/>
                <w:lang w:bidi="fa-IR"/>
              </w:rPr>
              <w:t>اللهُ</w:t>
            </w:r>
            <w:r w:rsidR="00C822D0" w:rsidRPr="00422DB2">
              <w:rPr>
                <w:rStyle w:val="Hyperlink"/>
                <w:noProof/>
                <w:rtl/>
                <w:lang w:bidi="fa-IR"/>
              </w:rPr>
              <w:t xml:space="preserve"> </w:t>
            </w:r>
            <w:r w:rsidR="00C822D0" w:rsidRPr="00422DB2">
              <w:rPr>
                <w:rStyle w:val="Hyperlink"/>
                <w:rFonts w:hint="eastAsia"/>
                <w:noProof/>
                <w:rtl/>
                <w:lang w:bidi="fa-IR"/>
              </w:rPr>
              <w:t>بِالْمُؤْمِنِ‌</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35348724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623</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725" w:history="1">
            <w:r w:rsidR="00C822D0" w:rsidRPr="00422DB2">
              <w:rPr>
                <w:rStyle w:val="Hyperlink"/>
                <w:noProof/>
                <w:rtl/>
                <w:lang w:bidi="fa-IR"/>
              </w:rPr>
              <w:t xml:space="preserve">104 -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فِي</w:t>
            </w:r>
            <w:r w:rsidR="00C822D0" w:rsidRPr="00422DB2">
              <w:rPr>
                <w:rStyle w:val="Hyperlink"/>
                <w:noProof/>
                <w:rtl/>
                <w:lang w:bidi="fa-IR"/>
              </w:rPr>
              <w:t xml:space="preserve"> </w:t>
            </w:r>
            <w:r w:rsidR="00C822D0" w:rsidRPr="00422DB2">
              <w:rPr>
                <w:rStyle w:val="Hyperlink"/>
                <w:rFonts w:hint="eastAsia"/>
                <w:noProof/>
                <w:rtl/>
                <w:lang w:bidi="fa-IR"/>
              </w:rPr>
              <w:t>أَنَّ</w:t>
            </w:r>
            <w:r w:rsidR="00C822D0" w:rsidRPr="00422DB2">
              <w:rPr>
                <w:rStyle w:val="Hyperlink"/>
                <w:noProof/>
                <w:rtl/>
                <w:lang w:bidi="fa-IR"/>
              </w:rPr>
              <w:t xml:space="preserve"> </w:t>
            </w:r>
            <w:r w:rsidR="00C822D0" w:rsidRPr="00422DB2">
              <w:rPr>
                <w:rStyle w:val="Hyperlink"/>
                <w:rFonts w:hint="eastAsia"/>
                <w:noProof/>
                <w:rtl/>
                <w:lang w:bidi="fa-IR"/>
              </w:rPr>
              <w:t>الْمُؤْمِنَ</w:t>
            </w:r>
            <w:r w:rsidR="00C822D0" w:rsidRPr="00422DB2">
              <w:rPr>
                <w:rStyle w:val="Hyperlink"/>
                <w:noProof/>
                <w:rtl/>
                <w:lang w:bidi="fa-IR"/>
              </w:rPr>
              <w:t xml:space="preserve"> </w:t>
            </w:r>
            <w:r w:rsidR="00C822D0" w:rsidRPr="00422DB2">
              <w:rPr>
                <w:rStyle w:val="Hyperlink"/>
                <w:noProof/>
                <w:vertAlign w:val="superscript"/>
                <w:rtl/>
              </w:rPr>
              <w:t>(5)</w:t>
            </w:r>
            <w:r w:rsidR="00C822D0" w:rsidRPr="00422DB2">
              <w:rPr>
                <w:rStyle w:val="Hyperlink"/>
                <w:noProof/>
                <w:rtl/>
              </w:rPr>
              <w:t xml:space="preserve"> </w:t>
            </w:r>
            <w:r w:rsidR="00C822D0" w:rsidRPr="00422DB2">
              <w:rPr>
                <w:rStyle w:val="Hyperlink"/>
                <w:rFonts w:hint="eastAsia"/>
                <w:noProof/>
                <w:rtl/>
                <w:lang w:bidi="fa-IR"/>
              </w:rPr>
              <w:t>صِنْفَانِ‌</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35348725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624</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726" w:history="1">
            <w:r w:rsidR="00C822D0" w:rsidRPr="00422DB2">
              <w:rPr>
                <w:rStyle w:val="Hyperlink"/>
                <w:noProof/>
                <w:rtl/>
                <w:lang w:bidi="fa-IR"/>
              </w:rPr>
              <w:t xml:space="preserve">105 -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مَا</w:t>
            </w:r>
            <w:r w:rsidR="00C822D0" w:rsidRPr="00422DB2">
              <w:rPr>
                <w:rStyle w:val="Hyperlink"/>
                <w:noProof/>
                <w:rtl/>
                <w:lang w:bidi="fa-IR"/>
              </w:rPr>
              <w:t xml:space="preserve"> </w:t>
            </w:r>
            <w:r w:rsidR="00C822D0" w:rsidRPr="00422DB2">
              <w:rPr>
                <w:rStyle w:val="Hyperlink"/>
                <w:rFonts w:hint="eastAsia"/>
                <w:noProof/>
                <w:rtl/>
                <w:lang w:bidi="fa-IR"/>
              </w:rPr>
              <w:t>أَخَذَهُ</w:t>
            </w:r>
            <w:r w:rsidR="00C822D0" w:rsidRPr="00422DB2">
              <w:rPr>
                <w:rStyle w:val="Hyperlink"/>
                <w:noProof/>
                <w:rtl/>
                <w:lang w:bidi="fa-IR"/>
              </w:rPr>
              <w:t xml:space="preserve"> </w:t>
            </w:r>
            <w:r w:rsidR="00C822D0" w:rsidRPr="00422DB2">
              <w:rPr>
                <w:rStyle w:val="Hyperlink"/>
                <w:rFonts w:hint="eastAsia"/>
                <w:noProof/>
                <w:rtl/>
                <w:lang w:bidi="fa-IR"/>
              </w:rPr>
              <w:t>اللهُ</w:t>
            </w:r>
            <w:r w:rsidR="00C822D0" w:rsidRPr="00422DB2">
              <w:rPr>
                <w:rStyle w:val="Hyperlink"/>
                <w:noProof/>
                <w:rtl/>
                <w:lang w:bidi="fa-IR"/>
              </w:rPr>
              <w:t xml:space="preserve"> </w:t>
            </w:r>
            <w:r w:rsidR="00C822D0" w:rsidRPr="00422DB2">
              <w:rPr>
                <w:rStyle w:val="Hyperlink"/>
                <w:rFonts w:hint="eastAsia"/>
                <w:noProof/>
                <w:rtl/>
                <w:lang w:bidi="fa-IR"/>
              </w:rPr>
              <w:t>عَلَى</w:t>
            </w:r>
            <w:r w:rsidR="00C822D0" w:rsidRPr="00422DB2">
              <w:rPr>
                <w:rStyle w:val="Hyperlink"/>
                <w:noProof/>
                <w:rtl/>
                <w:lang w:bidi="fa-IR"/>
              </w:rPr>
              <w:t xml:space="preserve"> </w:t>
            </w:r>
            <w:r w:rsidR="00C822D0" w:rsidRPr="00422DB2">
              <w:rPr>
                <w:rStyle w:val="Hyperlink"/>
                <w:rFonts w:hint="eastAsia"/>
                <w:noProof/>
                <w:rtl/>
                <w:lang w:bidi="fa-IR"/>
              </w:rPr>
              <w:t>الْمُؤْمِنِ</w:t>
            </w:r>
            <w:r w:rsidR="00C822D0" w:rsidRPr="00422DB2">
              <w:rPr>
                <w:rStyle w:val="Hyperlink"/>
                <w:noProof/>
                <w:rtl/>
                <w:lang w:bidi="fa-IR"/>
              </w:rPr>
              <w:t xml:space="preserve"> </w:t>
            </w:r>
            <w:r w:rsidR="00C822D0" w:rsidRPr="00422DB2">
              <w:rPr>
                <w:rStyle w:val="Hyperlink"/>
                <w:rFonts w:hint="eastAsia"/>
                <w:noProof/>
                <w:rtl/>
                <w:lang w:bidi="fa-IR"/>
              </w:rPr>
              <w:t>مِنَ</w:t>
            </w:r>
            <w:r w:rsidR="00C822D0" w:rsidRPr="00422DB2">
              <w:rPr>
                <w:rStyle w:val="Hyperlink"/>
                <w:noProof/>
                <w:rtl/>
                <w:lang w:bidi="fa-IR"/>
              </w:rPr>
              <w:t xml:space="preserve"> </w:t>
            </w:r>
            <w:r w:rsidR="00C822D0" w:rsidRPr="00422DB2">
              <w:rPr>
                <w:rStyle w:val="Hyperlink"/>
                <w:rFonts w:hint="eastAsia"/>
                <w:noProof/>
                <w:rtl/>
                <w:lang w:bidi="fa-IR"/>
              </w:rPr>
              <w:t>الصَّبْرِ</w:t>
            </w:r>
            <w:r w:rsidR="00C822D0" w:rsidRPr="00422DB2">
              <w:rPr>
                <w:rStyle w:val="Hyperlink"/>
                <w:noProof/>
                <w:rtl/>
                <w:lang w:bidi="fa-IR"/>
              </w:rPr>
              <w:t xml:space="preserve"> </w:t>
            </w:r>
            <w:r w:rsidR="00C822D0" w:rsidRPr="00422DB2">
              <w:rPr>
                <w:rStyle w:val="Hyperlink"/>
                <w:rFonts w:hint="eastAsia"/>
                <w:noProof/>
                <w:rtl/>
                <w:lang w:bidi="fa-IR"/>
              </w:rPr>
              <w:t>عَلى</w:t>
            </w:r>
            <w:r w:rsidR="00C822D0" w:rsidRPr="00422DB2">
              <w:rPr>
                <w:rStyle w:val="Hyperlink"/>
                <w:noProof/>
                <w:rtl/>
                <w:lang w:bidi="fa-IR"/>
              </w:rPr>
              <w:t xml:space="preserve"> </w:t>
            </w:r>
            <w:r w:rsidR="00C822D0" w:rsidRPr="00422DB2">
              <w:rPr>
                <w:rStyle w:val="Hyperlink"/>
                <w:rFonts w:hint="eastAsia"/>
                <w:noProof/>
                <w:rtl/>
                <w:lang w:bidi="fa-IR"/>
              </w:rPr>
              <w:t>مَا</w:t>
            </w:r>
            <w:r w:rsidR="00C822D0" w:rsidRPr="00422DB2">
              <w:rPr>
                <w:rStyle w:val="Hyperlink"/>
                <w:noProof/>
                <w:rtl/>
                <w:lang w:bidi="fa-IR"/>
              </w:rPr>
              <w:t xml:space="preserve"> </w:t>
            </w:r>
            <w:r w:rsidR="00C822D0" w:rsidRPr="00422DB2">
              <w:rPr>
                <w:rStyle w:val="Hyperlink"/>
                <w:rFonts w:hint="eastAsia"/>
                <w:noProof/>
                <w:rtl/>
                <w:lang w:bidi="fa-IR"/>
              </w:rPr>
              <w:t>يَلْحَقُهُ</w:t>
            </w:r>
            <w:r w:rsidR="00C822D0" w:rsidRPr="00422DB2">
              <w:rPr>
                <w:rStyle w:val="Hyperlink"/>
                <w:noProof/>
                <w:rtl/>
                <w:lang w:bidi="fa-IR"/>
              </w:rPr>
              <w:t xml:space="preserve"> </w:t>
            </w:r>
            <w:r w:rsidR="00C822D0" w:rsidRPr="00422DB2">
              <w:rPr>
                <w:rStyle w:val="Hyperlink"/>
                <w:rFonts w:hint="eastAsia"/>
                <w:noProof/>
                <w:rtl/>
                <w:lang w:bidi="fa-IR"/>
              </w:rPr>
              <w:t>فِيمَا</w:t>
            </w:r>
            <w:r w:rsidR="00C822D0" w:rsidRPr="00422DB2">
              <w:rPr>
                <w:rStyle w:val="Hyperlink"/>
                <w:noProof/>
                <w:rtl/>
                <w:lang w:bidi="fa-IR"/>
              </w:rPr>
              <w:t xml:space="preserve"> </w:t>
            </w:r>
            <w:r w:rsidR="00C822D0" w:rsidRPr="00422DB2">
              <w:rPr>
                <w:rStyle w:val="Hyperlink"/>
                <w:rFonts w:hint="eastAsia"/>
                <w:noProof/>
                <w:rtl/>
                <w:lang w:bidi="fa-IR"/>
              </w:rPr>
              <w:t>ابْتُلِيَ</w:t>
            </w:r>
            <w:r w:rsidR="00C822D0" w:rsidRPr="00422DB2">
              <w:rPr>
                <w:rStyle w:val="Hyperlink"/>
                <w:noProof/>
                <w:rtl/>
                <w:lang w:bidi="fa-IR"/>
              </w:rPr>
              <w:t xml:space="preserve"> </w:t>
            </w:r>
            <w:r w:rsidR="00C822D0" w:rsidRPr="00422DB2">
              <w:rPr>
                <w:rStyle w:val="Hyperlink"/>
                <w:rFonts w:hint="eastAsia"/>
                <w:noProof/>
                <w:rtl/>
                <w:lang w:bidi="fa-IR"/>
              </w:rPr>
              <w:t>بِهِ</w:t>
            </w:r>
            <w:r w:rsidR="00C822D0" w:rsidRPr="00422DB2">
              <w:rPr>
                <w:rStyle w:val="Hyperlink"/>
                <w:noProof/>
                <w:rtl/>
                <w:lang w:bidi="fa-IR"/>
              </w:rPr>
              <w:t xml:space="preserve"> </w:t>
            </w:r>
            <w:r w:rsidR="00C822D0" w:rsidRPr="00422DB2">
              <w:rPr>
                <w:rStyle w:val="Hyperlink"/>
                <w:noProof/>
                <w:vertAlign w:val="superscript"/>
                <w:rtl/>
              </w:rPr>
              <w:t>(1)</w:t>
            </w:r>
            <w:r w:rsidR="00C822D0" w:rsidRPr="00422DB2">
              <w:rPr>
                <w:rStyle w:val="Hyperlink"/>
                <w:noProof/>
                <w:rtl/>
                <w:lang w:bidi="fa-IR"/>
              </w:rPr>
              <w:t xml:space="preserve"> ‌</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35348726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627</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727" w:history="1">
            <w:r w:rsidR="00C822D0" w:rsidRPr="00422DB2">
              <w:rPr>
                <w:rStyle w:val="Hyperlink"/>
                <w:noProof/>
                <w:rtl/>
                <w:lang w:bidi="fa-IR"/>
              </w:rPr>
              <w:t xml:space="preserve">106 -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شِدَّةِ</w:t>
            </w:r>
            <w:r w:rsidR="00C822D0" w:rsidRPr="00422DB2">
              <w:rPr>
                <w:rStyle w:val="Hyperlink"/>
                <w:noProof/>
                <w:rtl/>
                <w:lang w:bidi="fa-IR"/>
              </w:rPr>
              <w:t xml:space="preserve"> </w:t>
            </w:r>
            <w:r w:rsidR="00C822D0" w:rsidRPr="00422DB2">
              <w:rPr>
                <w:rStyle w:val="Hyperlink"/>
                <w:noProof/>
                <w:vertAlign w:val="superscript"/>
                <w:rtl/>
              </w:rPr>
              <w:t>(1)</w:t>
            </w:r>
            <w:r w:rsidR="00C822D0" w:rsidRPr="00422DB2">
              <w:rPr>
                <w:rStyle w:val="Hyperlink"/>
                <w:noProof/>
                <w:rtl/>
              </w:rPr>
              <w:t xml:space="preserve"> </w:t>
            </w:r>
            <w:r w:rsidR="00C822D0" w:rsidRPr="00422DB2">
              <w:rPr>
                <w:rStyle w:val="Hyperlink"/>
                <w:rFonts w:hint="eastAsia"/>
                <w:noProof/>
                <w:rtl/>
                <w:lang w:bidi="fa-IR"/>
              </w:rPr>
              <w:t>ابْتِلَاءِ</w:t>
            </w:r>
            <w:r w:rsidR="00C822D0" w:rsidRPr="00422DB2">
              <w:rPr>
                <w:rStyle w:val="Hyperlink"/>
                <w:noProof/>
                <w:rtl/>
                <w:lang w:bidi="fa-IR"/>
              </w:rPr>
              <w:t xml:space="preserve"> </w:t>
            </w:r>
            <w:r w:rsidR="00C822D0" w:rsidRPr="00422DB2">
              <w:rPr>
                <w:rStyle w:val="Hyperlink"/>
                <w:noProof/>
                <w:vertAlign w:val="superscript"/>
                <w:rtl/>
              </w:rPr>
              <w:t>(2)</w:t>
            </w:r>
            <w:r w:rsidR="00C822D0" w:rsidRPr="00422DB2">
              <w:rPr>
                <w:rStyle w:val="Hyperlink"/>
                <w:noProof/>
                <w:rtl/>
              </w:rPr>
              <w:t xml:space="preserve"> </w:t>
            </w:r>
            <w:r w:rsidR="00C822D0" w:rsidRPr="00422DB2">
              <w:rPr>
                <w:rStyle w:val="Hyperlink"/>
                <w:rFonts w:hint="eastAsia"/>
                <w:noProof/>
                <w:rtl/>
                <w:lang w:bidi="fa-IR"/>
              </w:rPr>
              <w:t>الْمُؤْمِنِ‌</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35348727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633</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728" w:history="1">
            <w:r w:rsidR="00C822D0" w:rsidRPr="00422DB2">
              <w:rPr>
                <w:rStyle w:val="Hyperlink"/>
                <w:noProof/>
                <w:rtl/>
                <w:lang w:bidi="fa-IR"/>
              </w:rPr>
              <w:t xml:space="preserve">107 -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فَضْلِ</w:t>
            </w:r>
            <w:r w:rsidR="00C822D0" w:rsidRPr="00422DB2">
              <w:rPr>
                <w:rStyle w:val="Hyperlink"/>
                <w:noProof/>
                <w:rtl/>
                <w:lang w:bidi="fa-IR"/>
              </w:rPr>
              <w:t xml:space="preserve"> </w:t>
            </w:r>
            <w:r w:rsidR="00C822D0" w:rsidRPr="00422DB2">
              <w:rPr>
                <w:rStyle w:val="Hyperlink"/>
                <w:rFonts w:hint="eastAsia"/>
                <w:noProof/>
                <w:rtl/>
                <w:lang w:bidi="fa-IR"/>
              </w:rPr>
              <w:t>فُقَرَاءِ</w:t>
            </w:r>
            <w:r w:rsidR="00C822D0" w:rsidRPr="00422DB2">
              <w:rPr>
                <w:rStyle w:val="Hyperlink"/>
                <w:noProof/>
                <w:rtl/>
                <w:lang w:bidi="fa-IR"/>
              </w:rPr>
              <w:t xml:space="preserve"> </w:t>
            </w:r>
            <w:r w:rsidR="00C822D0" w:rsidRPr="00422DB2">
              <w:rPr>
                <w:rStyle w:val="Hyperlink"/>
                <w:rFonts w:hint="eastAsia"/>
                <w:noProof/>
                <w:rtl/>
                <w:lang w:bidi="fa-IR"/>
              </w:rPr>
              <w:t>الْمُسْلِمِينَ‌</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35348728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650</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729" w:history="1">
            <w:r w:rsidR="00C822D0" w:rsidRPr="00422DB2">
              <w:rPr>
                <w:rStyle w:val="Hyperlink"/>
                <w:noProof/>
                <w:rtl/>
                <w:lang w:bidi="fa-IR"/>
              </w:rPr>
              <w:t xml:space="preserve">108 -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noProof/>
                <w:vertAlign w:val="superscript"/>
                <w:rtl/>
              </w:rPr>
              <w:t>(1)</w:t>
            </w:r>
            <w:r w:rsidR="00C822D0" w:rsidRPr="00422DB2">
              <w:rPr>
                <w:rStyle w:val="Hyperlink"/>
                <w:noProof/>
                <w:rtl/>
                <w:lang w:bidi="fa-IR"/>
              </w:rPr>
              <w:t xml:space="preserve"> ‌</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35348729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662</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730" w:history="1">
            <w:r w:rsidR="00C822D0" w:rsidRPr="00422DB2">
              <w:rPr>
                <w:rStyle w:val="Hyperlink"/>
                <w:noProof/>
                <w:rtl/>
                <w:lang w:bidi="fa-IR"/>
              </w:rPr>
              <w:t xml:space="preserve">109 -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أَنَّ</w:t>
            </w:r>
            <w:r w:rsidR="00C822D0" w:rsidRPr="00422DB2">
              <w:rPr>
                <w:rStyle w:val="Hyperlink"/>
                <w:noProof/>
                <w:rtl/>
                <w:lang w:bidi="fa-IR"/>
              </w:rPr>
              <w:t xml:space="preserve"> </w:t>
            </w:r>
            <w:r w:rsidR="00C822D0" w:rsidRPr="00422DB2">
              <w:rPr>
                <w:rStyle w:val="Hyperlink"/>
                <w:rFonts w:hint="eastAsia"/>
                <w:noProof/>
                <w:rtl/>
                <w:lang w:bidi="fa-IR"/>
              </w:rPr>
              <w:t>لِلْقَلْبِ</w:t>
            </w:r>
            <w:r w:rsidR="00C822D0" w:rsidRPr="00422DB2">
              <w:rPr>
                <w:rStyle w:val="Hyperlink"/>
                <w:noProof/>
                <w:rtl/>
                <w:lang w:bidi="fa-IR"/>
              </w:rPr>
              <w:t xml:space="preserve"> </w:t>
            </w:r>
            <w:r w:rsidR="00C822D0" w:rsidRPr="00422DB2">
              <w:rPr>
                <w:rStyle w:val="Hyperlink"/>
                <w:rFonts w:hint="eastAsia"/>
                <w:noProof/>
                <w:rtl/>
                <w:lang w:bidi="fa-IR"/>
              </w:rPr>
              <w:t>أُذُنَيْنِ</w:t>
            </w:r>
            <w:r w:rsidR="00C822D0" w:rsidRPr="00422DB2">
              <w:rPr>
                <w:rStyle w:val="Hyperlink"/>
                <w:noProof/>
                <w:rtl/>
                <w:lang w:bidi="fa-IR"/>
              </w:rPr>
              <w:t xml:space="preserve"> </w:t>
            </w:r>
            <w:r w:rsidR="00C822D0" w:rsidRPr="00422DB2">
              <w:rPr>
                <w:rStyle w:val="Hyperlink"/>
                <w:rFonts w:hint="eastAsia"/>
                <w:noProof/>
                <w:rtl/>
                <w:lang w:bidi="fa-IR"/>
              </w:rPr>
              <w:t>يَنْفُثُ</w:t>
            </w:r>
            <w:r w:rsidR="00C822D0" w:rsidRPr="00422DB2">
              <w:rPr>
                <w:rStyle w:val="Hyperlink"/>
                <w:noProof/>
                <w:rtl/>
                <w:lang w:bidi="fa-IR"/>
              </w:rPr>
              <w:t xml:space="preserve"> </w:t>
            </w:r>
            <w:r w:rsidR="00C822D0" w:rsidRPr="00422DB2">
              <w:rPr>
                <w:rStyle w:val="Hyperlink"/>
                <w:rFonts w:hint="eastAsia"/>
                <w:noProof/>
                <w:rtl/>
                <w:lang w:bidi="fa-IR"/>
              </w:rPr>
              <w:t>فِيهِمَا</w:t>
            </w:r>
            <w:r w:rsidR="00C822D0" w:rsidRPr="00422DB2">
              <w:rPr>
                <w:rStyle w:val="Hyperlink"/>
                <w:noProof/>
                <w:rtl/>
                <w:lang w:bidi="fa-IR"/>
              </w:rPr>
              <w:t xml:space="preserve"> </w:t>
            </w:r>
            <w:r w:rsidR="00C822D0" w:rsidRPr="00422DB2">
              <w:rPr>
                <w:rStyle w:val="Hyperlink"/>
                <w:rFonts w:hint="eastAsia"/>
                <w:noProof/>
                <w:rtl/>
                <w:lang w:bidi="fa-IR"/>
              </w:rPr>
              <w:t>الْمَلَكُ</w:t>
            </w:r>
            <w:r w:rsidR="00C822D0" w:rsidRPr="00422DB2">
              <w:rPr>
                <w:rStyle w:val="Hyperlink"/>
                <w:noProof/>
                <w:rtl/>
                <w:lang w:bidi="fa-IR"/>
              </w:rPr>
              <w:t xml:space="preserve"> </w:t>
            </w:r>
            <w:r w:rsidR="00C822D0" w:rsidRPr="00422DB2">
              <w:rPr>
                <w:rStyle w:val="Hyperlink"/>
                <w:rFonts w:hint="eastAsia"/>
                <w:noProof/>
                <w:rtl/>
                <w:lang w:bidi="fa-IR"/>
              </w:rPr>
              <w:t>وَالشَّيْطَانُ</w:t>
            </w:r>
            <w:r w:rsidR="00C822D0" w:rsidRPr="00422DB2">
              <w:rPr>
                <w:rStyle w:val="Hyperlink"/>
                <w:noProof/>
                <w:rtl/>
                <w:lang w:bidi="fa-IR"/>
              </w:rPr>
              <w:t xml:space="preserve"> </w:t>
            </w:r>
            <w:r w:rsidR="00C822D0" w:rsidRPr="00422DB2">
              <w:rPr>
                <w:rStyle w:val="Hyperlink"/>
                <w:noProof/>
                <w:vertAlign w:val="superscript"/>
                <w:rtl/>
              </w:rPr>
              <w:t>(5)</w:t>
            </w:r>
            <w:r w:rsidR="00C822D0" w:rsidRPr="00422DB2">
              <w:rPr>
                <w:rStyle w:val="Hyperlink"/>
                <w:noProof/>
                <w:rtl/>
                <w:lang w:bidi="fa-IR"/>
              </w:rPr>
              <w:t xml:space="preserve"> ‌</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35348730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663</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731" w:history="1">
            <w:r w:rsidR="00C822D0" w:rsidRPr="00422DB2">
              <w:rPr>
                <w:rStyle w:val="Hyperlink"/>
                <w:noProof/>
                <w:rtl/>
                <w:lang w:bidi="fa-IR"/>
              </w:rPr>
              <w:t xml:space="preserve">110 -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الرُّوحِ</w:t>
            </w:r>
            <w:r w:rsidR="00C822D0" w:rsidRPr="00422DB2">
              <w:rPr>
                <w:rStyle w:val="Hyperlink"/>
                <w:noProof/>
                <w:rtl/>
                <w:lang w:bidi="fa-IR"/>
              </w:rPr>
              <w:t xml:space="preserve"> </w:t>
            </w:r>
            <w:r w:rsidR="00C822D0" w:rsidRPr="00422DB2">
              <w:rPr>
                <w:rStyle w:val="Hyperlink"/>
                <w:rFonts w:hint="eastAsia"/>
                <w:noProof/>
                <w:rtl/>
                <w:lang w:bidi="fa-IR"/>
              </w:rPr>
              <w:t>الَّذِي</w:t>
            </w:r>
            <w:r w:rsidR="00C822D0" w:rsidRPr="00422DB2">
              <w:rPr>
                <w:rStyle w:val="Hyperlink"/>
                <w:noProof/>
                <w:rtl/>
                <w:lang w:bidi="fa-IR"/>
              </w:rPr>
              <w:t xml:space="preserve"> </w:t>
            </w:r>
            <w:r w:rsidR="00C822D0" w:rsidRPr="00422DB2">
              <w:rPr>
                <w:rStyle w:val="Hyperlink"/>
                <w:rFonts w:hint="eastAsia"/>
                <w:noProof/>
                <w:rtl/>
                <w:lang w:bidi="fa-IR"/>
              </w:rPr>
              <w:t>أُيِّدَ</w:t>
            </w:r>
            <w:r w:rsidR="00C822D0" w:rsidRPr="00422DB2">
              <w:rPr>
                <w:rStyle w:val="Hyperlink"/>
                <w:noProof/>
                <w:rtl/>
                <w:lang w:bidi="fa-IR"/>
              </w:rPr>
              <w:t xml:space="preserve"> </w:t>
            </w:r>
            <w:r w:rsidR="00C822D0" w:rsidRPr="00422DB2">
              <w:rPr>
                <w:rStyle w:val="Hyperlink"/>
                <w:rFonts w:hint="eastAsia"/>
                <w:noProof/>
                <w:rtl/>
                <w:lang w:bidi="fa-IR"/>
              </w:rPr>
              <w:t>بِهِ</w:t>
            </w:r>
            <w:r w:rsidR="00C822D0" w:rsidRPr="00422DB2">
              <w:rPr>
                <w:rStyle w:val="Hyperlink"/>
                <w:noProof/>
                <w:rtl/>
                <w:lang w:bidi="fa-IR"/>
              </w:rPr>
              <w:t xml:space="preserve"> </w:t>
            </w:r>
            <w:r w:rsidR="00C822D0" w:rsidRPr="00422DB2">
              <w:rPr>
                <w:rStyle w:val="Hyperlink"/>
                <w:rFonts w:hint="eastAsia"/>
                <w:noProof/>
                <w:rtl/>
                <w:lang w:bidi="fa-IR"/>
              </w:rPr>
              <w:t>الْمُؤْمِنُ</w:t>
            </w:r>
            <w:r w:rsidR="00C822D0" w:rsidRPr="00422DB2">
              <w:rPr>
                <w:rStyle w:val="Hyperlink"/>
                <w:noProof/>
                <w:rtl/>
                <w:lang w:bidi="fa-IR"/>
              </w:rPr>
              <w:t xml:space="preserve"> </w:t>
            </w:r>
            <w:r w:rsidR="00C822D0" w:rsidRPr="00422DB2">
              <w:rPr>
                <w:rStyle w:val="Hyperlink"/>
                <w:noProof/>
                <w:vertAlign w:val="superscript"/>
                <w:rtl/>
              </w:rPr>
              <w:t>(5)</w:t>
            </w:r>
            <w:r w:rsidR="00C822D0" w:rsidRPr="00422DB2">
              <w:rPr>
                <w:rStyle w:val="Hyperlink"/>
                <w:noProof/>
                <w:rtl/>
                <w:lang w:bidi="fa-IR"/>
              </w:rPr>
              <w:t xml:space="preserve"> ‌</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35348731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665</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732" w:history="1">
            <w:r w:rsidR="00C822D0" w:rsidRPr="00422DB2">
              <w:rPr>
                <w:rStyle w:val="Hyperlink"/>
                <w:noProof/>
                <w:rtl/>
                <w:lang w:bidi="fa-IR"/>
              </w:rPr>
              <w:t xml:space="preserve">111 -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الذُّنُوبِ‌</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35348732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667</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733" w:history="1">
            <w:r w:rsidR="00C822D0" w:rsidRPr="00422DB2">
              <w:rPr>
                <w:rStyle w:val="Hyperlink"/>
                <w:noProof/>
                <w:rtl/>
                <w:lang w:bidi="fa-IR"/>
              </w:rPr>
              <w:t xml:space="preserve">112 -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الْكَبَائِرِ‌</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35348733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683</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734" w:history="1">
            <w:r w:rsidR="00C822D0" w:rsidRPr="00422DB2">
              <w:rPr>
                <w:rStyle w:val="Hyperlink"/>
                <w:noProof/>
                <w:rtl/>
                <w:lang w:bidi="fa-IR"/>
              </w:rPr>
              <w:t xml:space="preserve">113 -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اسْتِصْغَارِ</w:t>
            </w:r>
            <w:r w:rsidR="00C822D0" w:rsidRPr="00422DB2">
              <w:rPr>
                <w:rStyle w:val="Hyperlink"/>
                <w:noProof/>
                <w:rtl/>
                <w:lang w:bidi="fa-IR"/>
              </w:rPr>
              <w:t xml:space="preserve"> </w:t>
            </w:r>
            <w:r w:rsidR="00C822D0" w:rsidRPr="00422DB2">
              <w:rPr>
                <w:rStyle w:val="Hyperlink"/>
                <w:rFonts w:hint="eastAsia"/>
                <w:noProof/>
                <w:rtl/>
                <w:lang w:bidi="fa-IR"/>
              </w:rPr>
              <w:t>الذَّنْبِ‌</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35348734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705</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735" w:history="1">
            <w:r w:rsidR="00C822D0" w:rsidRPr="00422DB2">
              <w:rPr>
                <w:rStyle w:val="Hyperlink"/>
                <w:noProof/>
                <w:rtl/>
                <w:lang w:bidi="fa-IR"/>
              </w:rPr>
              <w:t xml:space="preserve">114 -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الْإِصْرَارِ</w:t>
            </w:r>
            <w:r w:rsidR="00C822D0" w:rsidRPr="00422DB2">
              <w:rPr>
                <w:rStyle w:val="Hyperlink"/>
                <w:noProof/>
                <w:rtl/>
                <w:lang w:bidi="fa-IR"/>
              </w:rPr>
              <w:t xml:space="preserve"> </w:t>
            </w:r>
            <w:r w:rsidR="00C822D0" w:rsidRPr="00422DB2">
              <w:rPr>
                <w:rStyle w:val="Hyperlink"/>
                <w:rFonts w:hint="eastAsia"/>
                <w:noProof/>
                <w:rtl/>
                <w:lang w:bidi="fa-IR"/>
              </w:rPr>
              <w:t>عَلَى</w:t>
            </w:r>
            <w:r w:rsidR="00C822D0" w:rsidRPr="00422DB2">
              <w:rPr>
                <w:rStyle w:val="Hyperlink"/>
                <w:noProof/>
                <w:rtl/>
                <w:lang w:bidi="fa-IR"/>
              </w:rPr>
              <w:t xml:space="preserve"> </w:t>
            </w:r>
            <w:r w:rsidR="00C822D0" w:rsidRPr="00422DB2">
              <w:rPr>
                <w:rStyle w:val="Hyperlink"/>
                <w:rFonts w:hint="eastAsia"/>
                <w:noProof/>
                <w:rtl/>
                <w:lang w:bidi="fa-IR"/>
              </w:rPr>
              <w:t>الذَّنْبِ‌</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35348735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707</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736" w:history="1">
            <w:r w:rsidR="00C822D0" w:rsidRPr="00422DB2">
              <w:rPr>
                <w:rStyle w:val="Hyperlink"/>
                <w:noProof/>
                <w:rtl/>
                <w:lang w:bidi="fa-IR"/>
              </w:rPr>
              <w:t xml:space="preserve">115 -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فِي</w:t>
            </w:r>
            <w:r w:rsidR="00C822D0" w:rsidRPr="00422DB2">
              <w:rPr>
                <w:rStyle w:val="Hyperlink"/>
                <w:noProof/>
                <w:rtl/>
                <w:lang w:bidi="fa-IR"/>
              </w:rPr>
              <w:t xml:space="preserve"> </w:t>
            </w:r>
            <w:r w:rsidR="00C822D0" w:rsidRPr="00422DB2">
              <w:rPr>
                <w:rStyle w:val="Hyperlink"/>
                <w:rFonts w:hint="eastAsia"/>
                <w:noProof/>
                <w:rtl/>
                <w:lang w:bidi="fa-IR"/>
              </w:rPr>
              <w:t>أُصُولِ</w:t>
            </w:r>
            <w:r w:rsidR="00C822D0" w:rsidRPr="00422DB2">
              <w:rPr>
                <w:rStyle w:val="Hyperlink"/>
                <w:noProof/>
                <w:rtl/>
                <w:lang w:bidi="fa-IR"/>
              </w:rPr>
              <w:t xml:space="preserve"> </w:t>
            </w:r>
            <w:r w:rsidR="00C822D0" w:rsidRPr="00422DB2">
              <w:rPr>
                <w:rStyle w:val="Hyperlink"/>
                <w:rFonts w:hint="eastAsia"/>
                <w:noProof/>
                <w:rtl/>
                <w:lang w:bidi="fa-IR"/>
              </w:rPr>
              <w:t>الْكُفْرِ</w:t>
            </w:r>
            <w:r w:rsidR="00C822D0" w:rsidRPr="00422DB2">
              <w:rPr>
                <w:rStyle w:val="Hyperlink"/>
                <w:noProof/>
                <w:rtl/>
                <w:lang w:bidi="fa-IR"/>
              </w:rPr>
              <w:t xml:space="preserve"> </w:t>
            </w:r>
            <w:r w:rsidR="00C822D0" w:rsidRPr="00422DB2">
              <w:rPr>
                <w:rStyle w:val="Hyperlink"/>
                <w:rFonts w:hint="eastAsia"/>
                <w:noProof/>
                <w:rtl/>
                <w:lang w:bidi="fa-IR"/>
              </w:rPr>
              <w:t>وَأَرْكَانِهِ‌</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35348736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709</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737" w:history="1">
            <w:r w:rsidR="00C822D0" w:rsidRPr="00422DB2">
              <w:rPr>
                <w:rStyle w:val="Hyperlink"/>
                <w:noProof/>
                <w:rtl/>
                <w:lang w:bidi="fa-IR"/>
              </w:rPr>
              <w:t xml:space="preserve">116 -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الرِّيَاءِ‌</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35348737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717</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738" w:history="1">
            <w:r w:rsidR="00C822D0" w:rsidRPr="00422DB2">
              <w:rPr>
                <w:rStyle w:val="Hyperlink"/>
                <w:noProof/>
                <w:rtl/>
                <w:lang w:bidi="fa-IR"/>
              </w:rPr>
              <w:t xml:space="preserve">117 -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طَلَبِ</w:t>
            </w:r>
            <w:r w:rsidR="00C822D0" w:rsidRPr="00422DB2">
              <w:rPr>
                <w:rStyle w:val="Hyperlink"/>
                <w:noProof/>
                <w:rtl/>
                <w:lang w:bidi="fa-IR"/>
              </w:rPr>
              <w:t xml:space="preserve"> </w:t>
            </w:r>
            <w:r w:rsidR="00C822D0" w:rsidRPr="00422DB2">
              <w:rPr>
                <w:rStyle w:val="Hyperlink"/>
                <w:rFonts w:hint="eastAsia"/>
                <w:noProof/>
                <w:rtl/>
                <w:lang w:bidi="fa-IR"/>
              </w:rPr>
              <w:t>الرِّئَاسَةِ‌</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35348738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726</w:t>
            </w:r>
            <w:r w:rsidR="00C822D0">
              <w:rPr>
                <w:noProof/>
                <w:webHidden/>
                <w:rtl/>
              </w:rPr>
              <w:fldChar w:fldCharType="end"/>
            </w:r>
          </w:hyperlink>
        </w:p>
        <w:p w:rsidR="008C1E92" w:rsidRDefault="008C1E92" w:rsidP="00405F62">
          <w:pPr>
            <w:pStyle w:val="libNormal"/>
            <w:rPr>
              <w:rStyle w:val="Hyperlink"/>
              <w:noProof/>
            </w:rPr>
          </w:pPr>
          <w:r>
            <w:rPr>
              <w:rStyle w:val="Hyperlink"/>
              <w:noProof/>
            </w:rPr>
            <w:br w:type="page"/>
          </w:r>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739" w:history="1">
            <w:r w:rsidR="00C822D0" w:rsidRPr="00422DB2">
              <w:rPr>
                <w:rStyle w:val="Hyperlink"/>
                <w:noProof/>
                <w:rtl/>
                <w:lang w:bidi="fa-IR"/>
              </w:rPr>
              <w:t xml:space="preserve">118 -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اخْتِتَالِ</w:t>
            </w:r>
            <w:r w:rsidR="00C822D0" w:rsidRPr="00422DB2">
              <w:rPr>
                <w:rStyle w:val="Hyperlink"/>
                <w:noProof/>
                <w:rtl/>
                <w:lang w:bidi="fa-IR"/>
              </w:rPr>
              <w:t xml:space="preserve"> </w:t>
            </w:r>
            <w:r w:rsidR="00C822D0" w:rsidRPr="00422DB2">
              <w:rPr>
                <w:rStyle w:val="Hyperlink"/>
                <w:noProof/>
                <w:vertAlign w:val="superscript"/>
                <w:rtl/>
              </w:rPr>
              <w:t>(7)</w:t>
            </w:r>
            <w:r w:rsidR="00C822D0" w:rsidRPr="00422DB2">
              <w:rPr>
                <w:rStyle w:val="Hyperlink"/>
                <w:noProof/>
                <w:rtl/>
              </w:rPr>
              <w:t xml:space="preserve"> </w:t>
            </w:r>
            <w:r w:rsidR="00C822D0" w:rsidRPr="00422DB2">
              <w:rPr>
                <w:rStyle w:val="Hyperlink"/>
                <w:rFonts w:hint="eastAsia"/>
                <w:noProof/>
                <w:rtl/>
                <w:lang w:bidi="fa-IR"/>
              </w:rPr>
              <w:t>الدُّنْيَا</w:t>
            </w:r>
            <w:r w:rsidR="00C822D0" w:rsidRPr="00422DB2">
              <w:rPr>
                <w:rStyle w:val="Hyperlink"/>
                <w:noProof/>
                <w:rtl/>
                <w:lang w:bidi="fa-IR"/>
              </w:rPr>
              <w:t xml:space="preserve"> </w:t>
            </w:r>
            <w:r w:rsidR="00C822D0" w:rsidRPr="00422DB2">
              <w:rPr>
                <w:rStyle w:val="Hyperlink"/>
                <w:rFonts w:hint="eastAsia"/>
                <w:noProof/>
                <w:rtl/>
                <w:lang w:bidi="fa-IR"/>
              </w:rPr>
              <w:t>بِالدِّينِ‌</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35348739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730</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740" w:history="1">
            <w:r w:rsidR="00C822D0" w:rsidRPr="00422DB2">
              <w:rPr>
                <w:rStyle w:val="Hyperlink"/>
                <w:noProof/>
                <w:rtl/>
                <w:lang w:bidi="fa-IR"/>
              </w:rPr>
              <w:t xml:space="preserve">119 -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مَنْ</w:t>
            </w:r>
            <w:r w:rsidR="00C822D0" w:rsidRPr="00422DB2">
              <w:rPr>
                <w:rStyle w:val="Hyperlink"/>
                <w:noProof/>
                <w:rtl/>
                <w:lang w:bidi="fa-IR"/>
              </w:rPr>
              <w:t xml:space="preserve"> </w:t>
            </w:r>
            <w:r w:rsidR="00C822D0" w:rsidRPr="00422DB2">
              <w:rPr>
                <w:rStyle w:val="Hyperlink"/>
                <w:rFonts w:hint="eastAsia"/>
                <w:noProof/>
                <w:rtl/>
                <w:lang w:bidi="fa-IR"/>
              </w:rPr>
              <w:t>وَصَفَ</w:t>
            </w:r>
            <w:r w:rsidR="00C822D0" w:rsidRPr="00422DB2">
              <w:rPr>
                <w:rStyle w:val="Hyperlink"/>
                <w:noProof/>
                <w:rtl/>
                <w:lang w:bidi="fa-IR"/>
              </w:rPr>
              <w:t xml:space="preserve"> </w:t>
            </w:r>
            <w:r w:rsidR="00C822D0" w:rsidRPr="00422DB2">
              <w:rPr>
                <w:rStyle w:val="Hyperlink"/>
                <w:rFonts w:hint="eastAsia"/>
                <w:noProof/>
                <w:rtl/>
                <w:lang w:bidi="fa-IR"/>
              </w:rPr>
              <w:t>عَدْلاً</w:t>
            </w:r>
            <w:r w:rsidR="00C822D0" w:rsidRPr="00422DB2">
              <w:rPr>
                <w:rStyle w:val="Hyperlink"/>
                <w:noProof/>
                <w:rtl/>
                <w:lang w:bidi="fa-IR"/>
              </w:rPr>
              <w:t xml:space="preserve"> </w:t>
            </w:r>
            <w:r w:rsidR="00C822D0" w:rsidRPr="00422DB2">
              <w:rPr>
                <w:rStyle w:val="Hyperlink"/>
                <w:rFonts w:hint="eastAsia"/>
                <w:noProof/>
                <w:rtl/>
                <w:lang w:bidi="fa-IR"/>
              </w:rPr>
              <w:t>وَعَمِلَ</w:t>
            </w:r>
            <w:r w:rsidR="00C822D0" w:rsidRPr="00422DB2">
              <w:rPr>
                <w:rStyle w:val="Hyperlink"/>
                <w:noProof/>
                <w:rtl/>
                <w:lang w:bidi="fa-IR"/>
              </w:rPr>
              <w:t xml:space="preserve"> </w:t>
            </w:r>
            <w:r w:rsidR="00C822D0" w:rsidRPr="00422DB2">
              <w:rPr>
                <w:rStyle w:val="Hyperlink"/>
                <w:rFonts w:hint="eastAsia"/>
                <w:noProof/>
                <w:rtl/>
                <w:lang w:bidi="fa-IR"/>
              </w:rPr>
              <w:t>بِغَيْرِهِ‌</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35348740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731</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741" w:history="1">
            <w:r w:rsidR="00C822D0" w:rsidRPr="00422DB2">
              <w:rPr>
                <w:rStyle w:val="Hyperlink"/>
                <w:noProof/>
                <w:rtl/>
                <w:lang w:bidi="fa-IR"/>
              </w:rPr>
              <w:t xml:space="preserve">120 -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الْمِرَاءِ</w:t>
            </w:r>
            <w:r w:rsidR="00C822D0" w:rsidRPr="00422DB2">
              <w:rPr>
                <w:rStyle w:val="Hyperlink"/>
                <w:noProof/>
                <w:rtl/>
                <w:lang w:bidi="fa-IR"/>
              </w:rPr>
              <w:t xml:space="preserve"> </w:t>
            </w:r>
            <w:r w:rsidR="00C822D0" w:rsidRPr="00422DB2">
              <w:rPr>
                <w:rStyle w:val="Hyperlink"/>
                <w:rFonts w:hint="eastAsia"/>
                <w:noProof/>
                <w:rtl/>
                <w:lang w:bidi="fa-IR"/>
              </w:rPr>
              <w:t>وَالْخُصُومَةِ</w:t>
            </w:r>
            <w:r w:rsidR="00C822D0" w:rsidRPr="00422DB2">
              <w:rPr>
                <w:rStyle w:val="Hyperlink"/>
                <w:noProof/>
                <w:rtl/>
                <w:lang w:bidi="fa-IR"/>
              </w:rPr>
              <w:t xml:space="preserve"> </w:t>
            </w:r>
            <w:r w:rsidR="00C822D0" w:rsidRPr="00422DB2">
              <w:rPr>
                <w:rStyle w:val="Hyperlink"/>
                <w:noProof/>
                <w:vertAlign w:val="superscript"/>
                <w:rtl/>
              </w:rPr>
              <w:t>(10)</w:t>
            </w:r>
            <w:r w:rsidR="00C822D0" w:rsidRPr="00422DB2">
              <w:rPr>
                <w:rStyle w:val="Hyperlink"/>
                <w:noProof/>
                <w:rtl/>
              </w:rPr>
              <w:t xml:space="preserve"> </w:t>
            </w:r>
            <w:r w:rsidR="00C822D0" w:rsidRPr="00422DB2">
              <w:rPr>
                <w:rStyle w:val="Hyperlink"/>
                <w:rFonts w:hint="eastAsia"/>
                <w:noProof/>
                <w:rtl/>
                <w:lang w:bidi="fa-IR"/>
              </w:rPr>
              <w:t>وَمُعَادَاةِ</w:t>
            </w:r>
            <w:r w:rsidR="00C822D0" w:rsidRPr="00422DB2">
              <w:rPr>
                <w:rStyle w:val="Hyperlink"/>
                <w:noProof/>
                <w:rtl/>
                <w:lang w:bidi="fa-IR"/>
              </w:rPr>
              <w:t xml:space="preserve"> </w:t>
            </w:r>
            <w:r w:rsidR="00C822D0" w:rsidRPr="00422DB2">
              <w:rPr>
                <w:rStyle w:val="Hyperlink"/>
                <w:rFonts w:hint="eastAsia"/>
                <w:noProof/>
                <w:rtl/>
                <w:lang w:bidi="fa-IR"/>
              </w:rPr>
              <w:t>الرِّجَالِ‌</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35348741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733</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742" w:history="1">
            <w:r w:rsidR="00C822D0" w:rsidRPr="00422DB2">
              <w:rPr>
                <w:rStyle w:val="Hyperlink"/>
                <w:noProof/>
                <w:rtl/>
                <w:lang w:bidi="fa-IR"/>
              </w:rPr>
              <w:t xml:space="preserve">121 -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الْغَضَبِ‌</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35348742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738</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743" w:history="1">
            <w:r w:rsidR="00C822D0" w:rsidRPr="00422DB2">
              <w:rPr>
                <w:rStyle w:val="Hyperlink"/>
                <w:noProof/>
                <w:rtl/>
                <w:lang w:bidi="fa-IR"/>
              </w:rPr>
              <w:t xml:space="preserve">122 -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الْحَسَدِ‌</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35348743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746</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744" w:history="1">
            <w:r w:rsidR="00C822D0" w:rsidRPr="00422DB2">
              <w:rPr>
                <w:rStyle w:val="Hyperlink"/>
                <w:noProof/>
                <w:rtl/>
                <w:lang w:bidi="fa-IR"/>
              </w:rPr>
              <w:t xml:space="preserve">123 -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الْعَصَبِيَّةِ‌</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35348744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749</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745" w:history="1">
            <w:r w:rsidR="00C822D0" w:rsidRPr="00422DB2">
              <w:rPr>
                <w:rStyle w:val="Hyperlink"/>
                <w:noProof/>
                <w:rtl/>
                <w:lang w:bidi="fa-IR"/>
              </w:rPr>
              <w:t xml:space="preserve">124 -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الْكِبْرِ‌</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35348745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752</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746" w:history="1">
            <w:r w:rsidR="00C822D0" w:rsidRPr="00422DB2">
              <w:rPr>
                <w:rStyle w:val="Hyperlink"/>
                <w:noProof/>
                <w:rtl/>
                <w:lang w:bidi="fa-IR"/>
              </w:rPr>
              <w:t xml:space="preserve">125 -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الْعُجْبِ‌</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35348746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761</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747" w:history="1">
            <w:r w:rsidR="00C822D0" w:rsidRPr="00422DB2">
              <w:rPr>
                <w:rStyle w:val="Hyperlink"/>
                <w:noProof/>
                <w:rtl/>
                <w:lang w:bidi="fa-IR"/>
              </w:rPr>
              <w:t xml:space="preserve">126 -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حُبِّ</w:t>
            </w:r>
            <w:r w:rsidR="00C822D0" w:rsidRPr="00422DB2">
              <w:rPr>
                <w:rStyle w:val="Hyperlink"/>
                <w:noProof/>
                <w:rtl/>
                <w:lang w:bidi="fa-IR"/>
              </w:rPr>
              <w:t xml:space="preserve"> </w:t>
            </w:r>
            <w:r w:rsidR="00C822D0" w:rsidRPr="00422DB2">
              <w:rPr>
                <w:rStyle w:val="Hyperlink"/>
                <w:rFonts w:hint="eastAsia"/>
                <w:noProof/>
                <w:rtl/>
                <w:lang w:bidi="fa-IR"/>
              </w:rPr>
              <w:t>الدُّنْيَا</w:t>
            </w:r>
            <w:r w:rsidR="00C822D0" w:rsidRPr="00422DB2">
              <w:rPr>
                <w:rStyle w:val="Hyperlink"/>
                <w:noProof/>
                <w:rtl/>
                <w:lang w:bidi="fa-IR"/>
              </w:rPr>
              <w:t xml:space="preserve"> </w:t>
            </w:r>
            <w:r w:rsidR="00C822D0" w:rsidRPr="00422DB2">
              <w:rPr>
                <w:rStyle w:val="Hyperlink"/>
                <w:rFonts w:hint="eastAsia"/>
                <w:noProof/>
                <w:rtl/>
                <w:lang w:bidi="fa-IR"/>
              </w:rPr>
              <w:t>وَالْحِرْصِ</w:t>
            </w:r>
            <w:r w:rsidR="00C822D0" w:rsidRPr="00422DB2">
              <w:rPr>
                <w:rStyle w:val="Hyperlink"/>
                <w:noProof/>
                <w:rtl/>
                <w:lang w:bidi="fa-IR"/>
              </w:rPr>
              <w:t xml:space="preserve"> </w:t>
            </w:r>
            <w:r w:rsidR="00C822D0" w:rsidRPr="00422DB2">
              <w:rPr>
                <w:rStyle w:val="Hyperlink"/>
                <w:rFonts w:hint="eastAsia"/>
                <w:noProof/>
                <w:rtl/>
                <w:lang w:bidi="fa-IR"/>
              </w:rPr>
              <w:t>عَلَيْهَا‌</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35348747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766</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748" w:history="1">
            <w:r w:rsidR="00C822D0" w:rsidRPr="00422DB2">
              <w:rPr>
                <w:rStyle w:val="Hyperlink"/>
                <w:noProof/>
                <w:rtl/>
                <w:lang w:bidi="fa-IR"/>
              </w:rPr>
              <w:t xml:space="preserve">127 -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الطَّمَعِ‌</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35348748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778</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749" w:history="1">
            <w:r w:rsidR="00C822D0" w:rsidRPr="00422DB2">
              <w:rPr>
                <w:rStyle w:val="Hyperlink"/>
                <w:noProof/>
                <w:rtl/>
                <w:lang w:bidi="fa-IR"/>
              </w:rPr>
              <w:t xml:space="preserve">128 -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الْخُرْقِ‌</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35348749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779</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750" w:history="1">
            <w:r w:rsidR="00C822D0" w:rsidRPr="00422DB2">
              <w:rPr>
                <w:rStyle w:val="Hyperlink"/>
                <w:noProof/>
                <w:rtl/>
                <w:lang w:bidi="fa-IR"/>
              </w:rPr>
              <w:t xml:space="preserve">129 -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سُوءِ</w:t>
            </w:r>
            <w:r w:rsidR="00C822D0" w:rsidRPr="00422DB2">
              <w:rPr>
                <w:rStyle w:val="Hyperlink"/>
                <w:noProof/>
                <w:rtl/>
                <w:lang w:bidi="fa-IR"/>
              </w:rPr>
              <w:t xml:space="preserve"> </w:t>
            </w:r>
            <w:r w:rsidR="00C822D0" w:rsidRPr="00422DB2">
              <w:rPr>
                <w:rStyle w:val="Hyperlink"/>
                <w:rFonts w:hint="eastAsia"/>
                <w:noProof/>
                <w:rtl/>
                <w:lang w:bidi="fa-IR"/>
              </w:rPr>
              <w:t>الْخُلُقِ‌</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35348750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780</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751" w:history="1">
            <w:r w:rsidR="00C822D0" w:rsidRPr="00422DB2">
              <w:rPr>
                <w:rStyle w:val="Hyperlink"/>
                <w:noProof/>
                <w:rtl/>
                <w:lang w:bidi="fa-IR"/>
              </w:rPr>
              <w:t xml:space="preserve">130 - </w:t>
            </w:r>
            <w:r w:rsidR="00C822D0" w:rsidRPr="00422DB2">
              <w:rPr>
                <w:rStyle w:val="Hyperlink"/>
                <w:rFonts w:hint="eastAsia"/>
                <w:noProof/>
                <w:rtl/>
                <w:lang w:bidi="fa-IR"/>
              </w:rPr>
              <w:t>بَابُ</w:t>
            </w:r>
            <w:r w:rsidR="00C822D0" w:rsidRPr="00422DB2">
              <w:rPr>
                <w:rStyle w:val="Hyperlink"/>
                <w:noProof/>
                <w:rtl/>
                <w:lang w:bidi="fa-IR"/>
              </w:rPr>
              <w:t xml:space="preserve"> </w:t>
            </w:r>
            <w:r w:rsidR="00C822D0" w:rsidRPr="00422DB2">
              <w:rPr>
                <w:rStyle w:val="Hyperlink"/>
                <w:rFonts w:hint="eastAsia"/>
                <w:noProof/>
                <w:rtl/>
                <w:lang w:bidi="fa-IR"/>
              </w:rPr>
              <w:t>السَّفَهِ‌</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35348751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782</w:t>
            </w:r>
            <w:r w:rsidR="00C822D0">
              <w:rPr>
                <w:noProof/>
                <w:webHidden/>
                <w:rtl/>
              </w:rPr>
              <w:fldChar w:fldCharType="end"/>
            </w:r>
          </w:hyperlink>
        </w:p>
        <w:p w:rsidR="00C822D0" w:rsidRDefault="00ED771C">
          <w:pPr>
            <w:pStyle w:val="TOC2"/>
            <w:tabs>
              <w:tab w:val="right" w:leader="dot" w:pos="7786"/>
            </w:tabs>
            <w:rPr>
              <w:rFonts w:asciiTheme="minorHAnsi" w:eastAsiaTheme="minorEastAsia" w:hAnsiTheme="minorHAnsi" w:cstheme="minorBidi"/>
              <w:noProof/>
              <w:color w:val="auto"/>
              <w:sz w:val="22"/>
              <w:szCs w:val="22"/>
              <w:rtl/>
            </w:rPr>
          </w:pPr>
          <w:hyperlink w:anchor="_Toc35348752" w:history="1">
            <w:r w:rsidR="00C822D0" w:rsidRPr="00422DB2">
              <w:rPr>
                <w:rStyle w:val="Hyperlink"/>
                <w:rFonts w:hint="eastAsia"/>
                <w:noProof/>
                <w:rtl/>
                <w:lang w:bidi="fa-IR"/>
              </w:rPr>
              <w:t>الفهرس</w:t>
            </w:r>
            <w:r w:rsidR="00C822D0">
              <w:rPr>
                <w:noProof/>
                <w:webHidden/>
                <w:rtl/>
              </w:rPr>
              <w:tab/>
            </w:r>
            <w:r w:rsidR="00C822D0">
              <w:rPr>
                <w:noProof/>
                <w:webHidden/>
                <w:rtl/>
              </w:rPr>
              <w:fldChar w:fldCharType="begin"/>
            </w:r>
            <w:r w:rsidR="00C822D0">
              <w:rPr>
                <w:noProof/>
                <w:webHidden/>
                <w:rtl/>
              </w:rPr>
              <w:instrText xml:space="preserve"> </w:instrText>
            </w:r>
            <w:r w:rsidR="00C822D0">
              <w:rPr>
                <w:noProof/>
                <w:webHidden/>
              </w:rPr>
              <w:instrText>PAGEREF</w:instrText>
            </w:r>
            <w:r w:rsidR="00C822D0">
              <w:rPr>
                <w:noProof/>
                <w:webHidden/>
                <w:rtl/>
              </w:rPr>
              <w:instrText xml:space="preserve"> _</w:instrText>
            </w:r>
            <w:r w:rsidR="00C822D0">
              <w:rPr>
                <w:noProof/>
                <w:webHidden/>
              </w:rPr>
              <w:instrText>Toc</w:instrText>
            </w:r>
            <w:r w:rsidR="00C822D0">
              <w:rPr>
                <w:noProof/>
                <w:webHidden/>
                <w:rtl/>
              </w:rPr>
              <w:instrText xml:space="preserve">35348752 </w:instrText>
            </w:r>
            <w:r w:rsidR="00C822D0">
              <w:rPr>
                <w:noProof/>
                <w:webHidden/>
              </w:rPr>
              <w:instrText>\h</w:instrText>
            </w:r>
            <w:r w:rsidR="00C822D0">
              <w:rPr>
                <w:noProof/>
                <w:webHidden/>
                <w:rtl/>
              </w:rPr>
              <w:instrText xml:space="preserve"> </w:instrText>
            </w:r>
            <w:r w:rsidR="00C822D0">
              <w:rPr>
                <w:noProof/>
                <w:webHidden/>
                <w:rtl/>
              </w:rPr>
            </w:r>
            <w:r w:rsidR="00C822D0">
              <w:rPr>
                <w:noProof/>
                <w:webHidden/>
                <w:rtl/>
              </w:rPr>
              <w:fldChar w:fldCharType="separate"/>
            </w:r>
            <w:r w:rsidR="00C822D0">
              <w:rPr>
                <w:noProof/>
                <w:webHidden/>
                <w:rtl/>
              </w:rPr>
              <w:t>785</w:t>
            </w:r>
            <w:r w:rsidR="00C822D0">
              <w:rPr>
                <w:noProof/>
                <w:webHidden/>
                <w:rtl/>
              </w:rPr>
              <w:fldChar w:fldCharType="end"/>
            </w:r>
          </w:hyperlink>
        </w:p>
        <w:p w:rsidR="00C822D0" w:rsidRDefault="00C822D0" w:rsidP="00C822D0">
          <w:pPr>
            <w:pStyle w:val="libNormal"/>
          </w:pPr>
          <w:r>
            <w:fldChar w:fldCharType="end"/>
          </w:r>
        </w:p>
      </w:sdtContent>
    </w:sdt>
    <w:sectPr w:rsidR="00C822D0"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5564" w:rsidRDefault="00F65564">
      <w:r>
        <w:separator/>
      </w:r>
    </w:p>
  </w:endnote>
  <w:endnote w:type="continuationSeparator" w:id="0">
    <w:p w:rsidR="00F65564" w:rsidRDefault="00F65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57B5" w:rsidRPr="00460435" w:rsidRDefault="005C57B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D771C">
      <w:rPr>
        <w:rFonts w:ascii="Traditional Arabic" w:hAnsi="Traditional Arabic"/>
        <w:noProof/>
        <w:sz w:val="28"/>
        <w:szCs w:val="28"/>
        <w:rtl/>
      </w:rPr>
      <w:t>2</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57B5" w:rsidRPr="00460435" w:rsidRDefault="005C57B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D771C">
      <w:rPr>
        <w:rFonts w:ascii="Traditional Arabic" w:hAnsi="Traditional Arabic"/>
        <w:noProof/>
        <w:sz w:val="28"/>
        <w:szCs w:val="28"/>
        <w:rtl/>
      </w:rPr>
      <w:t>185</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57B5" w:rsidRPr="00460435" w:rsidRDefault="005C57B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D771C">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5564" w:rsidRDefault="00F65564">
      <w:r>
        <w:separator/>
      </w:r>
    </w:p>
  </w:footnote>
  <w:footnote w:type="continuationSeparator" w:id="0">
    <w:p w:rsidR="00F65564" w:rsidRDefault="00F655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2"/>
  </w:compat>
  <w:rsids>
    <w:rsidRoot w:val="0076216E"/>
    <w:rsid w:val="00000AB4"/>
    <w:rsid w:val="00000B48"/>
    <w:rsid w:val="0000275D"/>
    <w:rsid w:val="00005A19"/>
    <w:rsid w:val="0000667C"/>
    <w:rsid w:val="00011A48"/>
    <w:rsid w:val="000150F5"/>
    <w:rsid w:val="00015E58"/>
    <w:rsid w:val="00016024"/>
    <w:rsid w:val="00016E77"/>
    <w:rsid w:val="00017448"/>
    <w:rsid w:val="000174F5"/>
    <w:rsid w:val="00020839"/>
    <w:rsid w:val="000221A3"/>
    <w:rsid w:val="000222BA"/>
    <w:rsid w:val="00023796"/>
    <w:rsid w:val="000248CF"/>
    <w:rsid w:val="00024DBC"/>
    <w:rsid w:val="000267FE"/>
    <w:rsid w:val="00026A02"/>
    <w:rsid w:val="000270DC"/>
    <w:rsid w:val="000272BD"/>
    <w:rsid w:val="00030766"/>
    <w:rsid w:val="000307E4"/>
    <w:rsid w:val="00030B21"/>
    <w:rsid w:val="0003145C"/>
    <w:rsid w:val="00032399"/>
    <w:rsid w:val="0003318C"/>
    <w:rsid w:val="00033672"/>
    <w:rsid w:val="00034A59"/>
    <w:rsid w:val="00034DB7"/>
    <w:rsid w:val="00035176"/>
    <w:rsid w:val="0004027D"/>
    <w:rsid w:val="00040638"/>
    <w:rsid w:val="00040798"/>
    <w:rsid w:val="00041B29"/>
    <w:rsid w:val="00042F45"/>
    <w:rsid w:val="00043023"/>
    <w:rsid w:val="00043A2F"/>
    <w:rsid w:val="00043E9F"/>
    <w:rsid w:val="000443D6"/>
    <w:rsid w:val="00050654"/>
    <w:rsid w:val="00050AB0"/>
    <w:rsid w:val="00052457"/>
    <w:rsid w:val="000527ED"/>
    <w:rsid w:val="00052FDA"/>
    <w:rsid w:val="0005308F"/>
    <w:rsid w:val="00054406"/>
    <w:rsid w:val="00054632"/>
    <w:rsid w:val="00054696"/>
    <w:rsid w:val="00056510"/>
    <w:rsid w:val="00057377"/>
    <w:rsid w:val="00060C16"/>
    <w:rsid w:val="00061F33"/>
    <w:rsid w:val="00062083"/>
    <w:rsid w:val="0006216A"/>
    <w:rsid w:val="00062B67"/>
    <w:rsid w:val="00063F1F"/>
    <w:rsid w:val="000651BB"/>
    <w:rsid w:val="00066C43"/>
    <w:rsid w:val="000675D9"/>
    <w:rsid w:val="00067DA5"/>
    <w:rsid w:val="00067F84"/>
    <w:rsid w:val="00071C97"/>
    <w:rsid w:val="00072558"/>
    <w:rsid w:val="00073462"/>
    <w:rsid w:val="00073675"/>
    <w:rsid w:val="00073A6B"/>
    <w:rsid w:val="0007613C"/>
    <w:rsid w:val="000761F7"/>
    <w:rsid w:val="000766BC"/>
    <w:rsid w:val="00076A3A"/>
    <w:rsid w:val="00077163"/>
    <w:rsid w:val="00077244"/>
    <w:rsid w:val="00077E3A"/>
    <w:rsid w:val="000817DD"/>
    <w:rsid w:val="00082D69"/>
    <w:rsid w:val="00084388"/>
    <w:rsid w:val="00085704"/>
    <w:rsid w:val="000858BB"/>
    <w:rsid w:val="00085C4F"/>
    <w:rsid w:val="00087924"/>
    <w:rsid w:val="00090987"/>
    <w:rsid w:val="000922B1"/>
    <w:rsid w:val="00092805"/>
    <w:rsid w:val="00092A0C"/>
    <w:rsid w:val="000944EB"/>
    <w:rsid w:val="00094B9B"/>
    <w:rsid w:val="00094F71"/>
    <w:rsid w:val="0009525A"/>
    <w:rsid w:val="00095BA6"/>
    <w:rsid w:val="000960B2"/>
    <w:rsid w:val="00096241"/>
    <w:rsid w:val="00097B33"/>
    <w:rsid w:val="000A0863"/>
    <w:rsid w:val="000A1883"/>
    <w:rsid w:val="000A19D8"/>
    <w:rsid w:val="000A2999"/>
    <w:rsid w:val="000A2F0E"/>
    <w:rsid w:val="000A5256"/>
    <w:rsid w:val="000A7750"/>
    <w:rsid w:val="000A795E"/>
    <w:rsid w:val="000A7D39"/>
    <w:rsid w:val="000B051B"/>
    <w:rsid w:val="000B06C1"/>
    <w:rsid w:val="000B138E"/>
    <w:rsid w:val="000B26CE"/>
    <w:rsid w:val="000B2E78"/>
    <w:rsid w:val="000B3A56"/>
    <w:rsid w:val="000B4661"/>
    <w:rsid w:val="000B5CCC"/>
    <w:rsid w:val="000B6131"/>
    <w:rsid w:val="000B7200"/>
    <w:rsid w:val="000C0A89"/>
    <w:rsid w:val="000C0C98"/>
    <w:rsid w:val="000C0FB9"/>
    <w:rsid w:val="000C1D48"/>
    <w:rsid w:val="000C3DFF"/>
    <w:rsid w:val="000C4E70"/>
    <w:rsid w:val="000C7722"/>
    <w:rsid w:val="000C7C25"/>
    <w:rsid w:val="000D0651"/>
    <w:rsid w:val="000D0932"/>
    <w:rsid w:val="000D0A44"/>
    <w:rsid w:val="000D1578"/>
    <w:rsid w:val="000D1BDF"/>
    <w:rsid w:val="000D1D13"/>
    <w:rsid w:val="000D3814"/>
    <w:rsid w:val="000D38A1"/>
    <w:rsid w:val="000D4AED"/>
    <w:rsid w:val="000D71B7"/>
    <w:rsid w:val="000D75B3"/>
    <w:rsid w:val="000E0153"/>
    <w:rsid w:val="000E04FA"/>
    <w:rsid w:val="000E19B7"/>
    <w:rsid w:val="000E1D61"/>
    <w:rsid w:val="000E2829"/>
    <w:rsid w:val="000E3555"/>
    <w:rsid w:val="000E39AF"/>
    <w:rsid w:val="000E3F3D"/>
    <w:rsid w:val="000E4568"/>
    <w:rsid w:val="000E46E9"/>
    <w:rsid w:val="000E513B"/>
    <w:rsid w:val="000E6824"/>
    <w:rsid w:val="000E6953"/>
    <w:rsid w:val="000E6C04"/>
    <w:rsid w:val="000E77FC"/>
    <w:rsid w:val="000F0AF8"/>
    <w:rsid w:val="000F0E72"/>
    <w:rsid w:val="000F2397"/>
    <w:rsid w:val="000F274B"/>
    <w:rsid w:val="000F30C1"/>
    <w:rsid w:val="000F30D6"/>
    <w:rsid w:val="000F32CA"/>
    <w:rsid w:val="000F3AFE"/>
    <w:rsid w:val="000F43CB"/>
    <w:rsid w:val="000F5056"/>
    <w:rsid w:val="000F50C8"/>
    <w:rsid w:val="000F718E"/>
    <w:rsid w:val="00100259"/>
    <w:rsid w:val="0010049D"/>
    <w:rsid w:val="001012C1"/>
    <w:rsid w:val="00101696"/>
    <w:rsid w:val="001027B0"/>
    <w:rsid w:val="00103118"/>
    <w:rsid w:val="0010315B"/>
    <w:rsid w:val="001031F9"/>
    <w:rsid w:val="00103239"/>
    <w:rsid w:val="001033B6"/>
    <w:rsid w:val="00103495"/>
    <w:rsid w:val="00103C79"/>
    <w:rsid w:val="00104885"/>
    <w:rsid w:val="00104C96"/>
    <w:rsid w:val="00105A3C"/>
    <w:rsid w:val="00106C58"/>
    <w:rsid w:val="0010728F"/>
    <w:rsid w:val="00107A6B"/>
    <w:rsid w:val="001106A5"/>
    <w:rsid w:val="00110B61"/>
    <w:rsid w:val="001119EE"/>
    <w:rsid w:val="00111AE3"/>
    <w:rsid w:val="00112DEB"/>
    <w:rsid w:val="001133F5"/>
    <w:rsid w:val="0011352E"/>
    <w:rsid w:val="00113A82"/>
    <w:rsid w:val="00113B0B"/>
    <w:rsid w:val="00113CCC"/>
    <w:rsid w:val="00114E72"/>
    <w:rsid w:val="00115473"/>
    <w:rsid w:val="00115A71"/>
    <w:rsid w:val="00116290"/>
    <w:rsid w:val="001162C9"/>
    <w:rsid w:val="001163B5"/>
    <w:rsid w:val="00117575"/>
    <w:rsid w:val="0012064D"/>
    <w:rsid w:val="0012108D"/>
    <w:rsid w:val="001212BF"/>
    <w:rsid w:val="001218CE"/>
    <w:rsid w:val="00121A84"/>
    <w:rsid w:val="00122468"/>
    <w:rsid w:val="0012268F"/>
    <w:rsid w:val="00122922"/>
    <w:rsid w:val="00122CAB"/>
    <w:rsid w:val="0012315E"/>
    <w:rsid w:val="00124126"/>
    <w:rsid w:val="001243ED"/>
    <w:rsid w:val="00126371"/>
    <w:rsid w:val="00126471"/>
    <w:rsid w:val="001275A8"/>
    <w:rsid w:val="00127D06"/>
    <w:rsid w:val="00132143"/>
    <w:rsid w:val="001332AF"/>
    <w:rsid w:val="00133AA6"/>
    <w:rsid w:val="00134FB3"/>
    <w:rsid w:val="001350DB"/>
    <w:rsid w:val="00135E90"/>
    <w:rsid w:val="00136268"/>
    <w:rsid w:val="0013687E"/>
    <w:rsid w:val="00136E6F"/>
    <w:rsid w:val="00136FE7"/>
    <w:rsid w:val="00143092"/>
    <w:rsid w:val="0014341C"/>
    <w:rsid w:val="00143714"/>
    <w:rsid w:val="00143E52"/>
    <w:rsid w:val="00143EEA"/>
    <w:rsid w:val="0014436A"/>
    <w:rsid w:val="00145D89"/>
    <w:rsid w:val="001474C5"/>
    <w:rsid w:val="00147822"/>
    <w:rsid w:val="00147ED8"/>
    <w:rsid w:val="0015014A"/>
    <w:rsid w:val="00150E50"/>
    <w:rsid w:val="00151BC5"/>
    <w:rsid w:val="00151C03"/>
    <w:rsid w:val="00151C41"/>
    <w:rsid w:val="00151DE8"/>
    <w:rsid w:val="00152319"/>
    <w:rsid w:val="001531AC"/>
    <w:rsid w:val="00153917"/>
    <w:rsid w:val="00157306"/>
    <w:rsid w:val="001573A6"/>
    <w:rsid w:val="00160D51"/>
    <w:rsid w:val="00160E32"/>
    <w:rsid w:val="00160F76"/>
    <w:rsid w:val="001611AC"/>
    <w:rsid w:val="001626A3"/>
    <w:rsid w:val="00162C56"/>
    <w:rsid w:val="00162D9D"/>
    <w:rsid w:val="00162EF1"/>
    <w:rsid w:val="00163A74"/>
    <w:rsid w:val="00163D83"/>
    <w:rsid w:val="00164036"/>
    <w:rsid w:val="00164767"/>
    <w:rsid w:val="00164810"/>
    <w:rsid w:val="00165BB2"/>
    <w:rsid w:val="00167ADA"/>
    <w:rsid w:val="001712E1"/>
    <w:rsid w:val="0017223E"/>
    <w:rsid w:val="001732D6"/>
    <w:rsid w:val="00173FCB"/>
    <w:rsid w:val="00176640"/>
    <w:rsid w:val="001767EE"/>
    <w:rsid w:val="00176A24"/>
    <w:rsid w:val="00177F88"/>
    <w:rsid w:val="00180BB7"/>
    <w:rsid w:val="001817DA"/>
    <w:rsid w:val="00182258"/>
    <w:rsid w:val="00182CD3"/>
    <w:rsid w:val="0018664D"/>
    <w:rsid w:val="00186890"/>
    <w:rsid w:val="00186C97"/>
    <w:rsid w:val="00187017"/>
    <w:rsid w:val="001871AF"/>
    <w:rsid w:val="00187246"/>
    <w:rsid w:val="001903C8"/>
    <w:rsid w:val="0019181B"/>
    <w:rsid w:val="001919B8"/>
    <w:rsid w:val="001922CB"/>
    <w:rsid w:val="00192CD8"/>
    <w:rsid w:val="001937F7"/>
    <w:rsid w:val="00194F1D"/>
    <w:rsid w:val="00195052"/>
    <w:rsid w:val="001954F2"/>
    <w:rsid w:val="0019610D"/>
    <w:rsid w:val="001961C3"/>
    <w:rsid w:val="00197022"/>
    <w:rsid w:val="001A0DAA"/>
    <w:rsid w:val="001A1408"/>
    <w:rsid w:val="001A2154"/>
    <w:rsid w:val="001A284B"/>
    <w:rsid w:val="001A3110"/>
    <w:rsid w:val="001A3547"/>
    <w:rsid w:val="001A4C37"/>
    <w:rsid w:val="001A4C66"/>
    <w:rsid w:val="001A4D9B"/>
    <w:rsid w:val="001A5012"/>
    <w:rsid w:val="001A6EC0"/>
    <w:rsid w:val="001A7C25"/>
    <w:rsid w:val="001B07B7"/>
    <w:rsid w:val="001B0B01"/>
    <w:rsid w:val="001B10B6"/>
    <w:rsid w:val="001B16FD"/>
    <w:rsid w:val="001B1838"/>
    <w:rsid w:val="001B2898"/>
    <w:rsid w:val="001B3843"/>
    <w:rsid w:val="001B3AB2"/>
    <w:rsid w:val="001B4DFF"/>
    <w:rsid w:val="001B5182"/>
    <w:rsid w:val="001B577F"/>
    <w:rsid w:val="001B67EA"/>
    <w:rsid w:val="001B6B73"/>
    <w:rsid w:val="001B702D"/>
    <w:rsid w:val="001B7407"/>
    <w:rsid w:val="001B7A0B"/>
    <w:rsid w:val="001B7BBF"/>
    <w:rsid w:val="001C3D8D"/>
    <w:rsid w:val="001C40F0"/>
    <w:rsid w:val="001C450B"/>
    <w:rsid w:val="001C4C96"/>
    <w:rsid w:val="001C5EDB"/>
    <w:rsid w:val="001C7A8C"/>
    <w:rsid w:val="001D0716"/>
    <w:rsid w:val="001D0D32"/>
    <w:rsid w:val="001D0D44"/>
    <w:rsid w:val="001D320D"/>
    <w:rsid w:val="001D3568"/>
    <w:rsid w:val="001D4022"/>
    <w:rsid w:val="001D41A1"/>
    <w:rsid w:val="001D41F1"/>
    <w:rsid w:val="001D4B62"/>
    <w:rsid w:val="001D5007"/>
    <w:rsid w:val="001D500A"/>
    <w:rsid w:val="001D6B85"/>
    <w:rsid w:val="001E016E"/>
    <w:rsid w:val="001E0247"/>
    <w:rsid w:val="001E1159"/>
    <w:rsid w:val="001E1D45"/>
    <w:rsid w:val="001E25DC"/>
    <w:rsid w:val="001E2A42"/>
    <w:rsid w:val="001E31AA"/>
    <w:rsid w:val="001E3867"/>
    <w:rsid w:val="001E38A2"/>
    <w:rsid w:val="001E52D6"/>
    <w:rsid w:val="001E594A"/>
    <w:rsid w:val="001E5CE7"/>
    <w:rsid w:val="001E63FB"/>
    <w:rsid w:val="001E6ED2"/>
    <w:rsid w:val="001E7B88"/>
    <w:rsid w:val="001F0326"/>
    <w:rsid w:val="001F0412"/>
    <w:rsid w:val="001F0713"/>
    <w:rsid w:val="001F0A6F"/>
    <w:rsid w:val="001F3DB4"/>
    <w:rsid w:val="001F4FFD"/>
    <w:rsid w:val="001F50A6"/>
    <w:rsid w:val="001F6347"/>
    <w:rsid w:val="001F6AB4"/>
    <w:rsid w:val="00200E9A"/>
    <w:rsid w:val="00201739"/>
    <w:rsid w:val="00201D76"/>
    <w:rsid w:val="00202C7B"/>
    <w:rsid w:val="002037CD"/>
    <w:rsid w:val="002045CF"/>
    <w:rsid w:val="002054C5"/>
    <w:rsid w:val="0020569C"/>
    <w:rsid w:val="002057D0"/>
    <w:rsid w:val="00206D68"/>
    <w:rsid w:val="00207B88"/>
    <w:rsid w:val="00211540"/>
    <w:rsid w:val="0021182F"/>
    <w:rsid w:val="00211E21"/>
    <w:rsid w:val="00212C3F"/>
    <w:rsid w:val="002139CB"/>
    <w:rsid w:val="00214077"/>
    <w:rsid w:val="002141C7"/>
    <w:rsid w:val="0021424B"/>
    <w:rsid w:val="00214801"/>
    <w:rsid w:val="00214C09"/>
    <w:rsid w:val="00214F6D"/>
    <w:rsid w:val="0021619D"/>
    <w:rsid w:val="0021736B"/>
    <w:rsid w:val="00221675"/>
    <w:rsid w:val="00221783"/>
    <w:rsid w:val="00222199"/>
    <w:rsid w:val="002225BE"/>
    <w:rsid w:val="00223257"/>
    <w:rsid w:val="00224964"/>
    <w:rsid w:val="00224D00"/>
    <w:rsid w:val="00226098"/>
    <w:rsid w:val="002267C7"/>
    <w:rsid w:val="00226B8B"/>
    <w:rsid w:val="0022730F"/>
    <w:rsid w:val="002279EC"/>
    <w:rsid w:val="00227FEE"/>
    <w:rsid w:val="002306F8"/>
    <w:rsid w:val="002307AF"/>
    <w:rsid w:val="00230883"/>
    <w:rsid w:val="0023118A"/>
    <w:rsid w:val="00231662"/>
    <w:rsid w:val="00234BA2"/>
    <w:rsid w:val="00235AD0"/>
    <w:rsid w:val="00236DED"/>
    <w:rsid w:val="00237C0B"/>
    <w:rsid w:val="0024075B"/>
    <w:rsid w:val="00241F59"/>
    <w:rsid w:val="0024265C"/>
    <w:rsid w:val="00243D20"/>
    <w:rsid w:val="002440BE"/>
    <w:rsid w:val="002441F1"/>
    <w:rsid w:val="00244C2E"/>
    <w:rsid w:val="00246F17"/>
    <w:rsid w:val="00247D36"/>
    <w:rsid w:val="0025037C"/>
    <w:rsid w:val="00250E0A"/>
    <w:rsid w:val="00251609"/>
    <w:rsid w:val="00251E02"/>
    <w:rsid w:val="00251FB8"/>
    <w:rsid w:val="00254BBF"/>
    <w:rsid w:val="002568AF"/>
    <w:rsid w:val="002568DF"/>
    <w:rsid w:val="00257657"/>
    <w:rsid w:val="002603D8"/>
    <w:rsid w:val="002611E6"/>
    <w:rsid w:val="00261F33"/>
    <w:rsid w:val="00263F56"/>
    <w:rsid w:val="002652B3"/>
    <w:rsid w:val="0026622D"/>
    <w:rsid w:val="002662FE"/>
    <w:rsid w:val="0026738C"/>
    <w:rsid w:val="00267E87"/>
    <w:rsid w:val="00271B02"/>
    <w:rsid w:val="002720F3"/>
    <w:rsid w:val="00272450"/>
    <w:rsid w:val="00272F51"/>
    <w:rsid w:val="0027369F"/>
    <w:rsid w:val="00276AF9"/>
    <w:rsid w:val="00276F64"/>
    <w:rsid w:val="00277053"/>
    <w:rsid w:val="002812DC"/>
    <w:rsid w:val="002818EF"/>
    <w:rsid w:val="00281A4E"/>
    <w:rsid w:val="00282543"/>
    <w:rsid w:val="0028271F"/>
    <w:rsid w:val="0028272B"/>
    <w:rsid w:val="002827BC"/>
    <w:rsid w:val="00282A2A"/>
    <w:rsid w:val="00285397"/>
    <w:rsid w:val="0028771C"/>
    <w:rsid w:val="00287E79"/>
    <w:rsid w:val="002913F0"/>
    <w:rsid w:val="002927F9"/>
    <w:rsid w:val="00293711"/>
    <w:rsid w:val="00293D19"/>
    <w:rsid w:val="00293E3B"/>
    <w:rsid w:val="00296E4F"/>
    <w:rsid w:val="00297A9E"/>
    <w:rsid w:val="00297B80"/>
    <w:rsid w:val="002A0284"/>
    <w:rsid w:val="002A051C"/>
    <w:rsid w:val="002A1851"/>
    <w:rsid w:val="002A2068"/>
    <w:rsid w:val="002A22A5"/>
    <w:rsid w:val="002A2F34"/>
    <w:rsid w:val="002A338C"/>
    <w:rsid w:val="002A4758"/>
    <w:rsid w:val="002A5096"/>
    <w:rsid w:val="002A5612"/>
    <w:rsid w:val="002A69AC"/>
    <w:rsid w:val="002A717D"/>
    <w:rsid w:val="002A73D7"/>
    <w:rsid w:val="002B1135"/>
    <w:rsid w:val="002B18C3"/>
    <w:rsid w:val="002B253C"/>
    <w:rsid w:val="002B2B15"/>
    <w:rsid w:val="002B4FD3"/>
    <w:rsid w:val="002B5497"/>
    <w:rsid w:val="002B5911"/>
    <w:rsid w:val="002B71A8"/>
    <w:rsid w:val="002B7794"/>
    <w:rsid w:val="002B7989"/>
    <w:rsid w:val="002C15F0"/>
    <w:rsid w:val="002C20F0"/>
    <w:rsid w:val="002C3E3A"/>
    <w:rsid w:val="002C46B7"/>
    <w:rsid w:val="002C5C66"/>
    <w:rsid w:val="002C5F67"/>
    <w:rsid w:val="002C5F85"/>
    <w:rsid w:val="002C6427"/>
    <w:rsid w:val="002D01EF"/>
    <w:rsid w:val="002D0A10"/>
    <w:rsid w:val="002D19A9"/>
    <w:rsid w:val="002D2485"/>
    <w:rsid w:val="002D45D1"/>
    <w:rsid w:val="002D580E"/>
    <w:rsid w:val="002D6DF3"/>
    <w:rsid w:val="002E0209"/>
    <w:rsid w:val="002E0927"/>
    <w:rsid w:val="002E12AD"/>
    <w:rsid w:val="002E19EE"/>
    <w:rsid w:val="002E1FAF"/>
    <w:rsid w:val="002E244B"/>
    <w:rsid w:val="002E4976"/>
    <w:rsid w:val="002E4D3D"/>
    <w:rsid w:val="002E5CA1"/>
    <w:rsid w:val="002E6022"/>
    <w:rsid w:val="002E775C"/>
    <w:rsid w:val="002F00FD"/>
    <w:rsid w:val="002F0D83"/>
    <w:rsid w:val="002F12EA"/>
    <w:rsid w:val="002F1965"/>
    <w:rsid w:val="002F1F36"/>
    <w:rsid w:val="002F2567"/>
    <w:rsid w:val="002F3626"/>
    <w:rsid w:val="002F363E"/>
    <w:rsid w:val="002F42E5"/>
    <w:rsid w:val="002F4546"/>
    <w:rsid w:val="002F5788"/>
    <w:rsid w:val="002F5C8C"/>
    <w:rsid w:val="002F65B9"/>
    <w:rsid w:val="002F6A1C"/>
    <w:rsid w:val="002F6C62"/>
    <w:rsid w:val="0030004B"/>
    <w:rsid w:val="003007FF"/>
    <w:rsid w:val="0030106A"/>
    <w:rsid w:val="00301A31"/>
    <w:rsid w:val="00301C3F"/>
    <w:rsid w:val="00301EBF"/>
    <w:rsid w:val="003027A7"/>
    <w:rsid w:val="00302B8F"/>
    <w:rsid w:val="003041D8"/>
    <w:rsid w:val="00306C0C"/>
    <w:rsid w:val="0030729F"/>
    <w:rsid w:val="00307C3A"/>
    <w:rsid w:val="00310762"/>
    <w:rsid w:val="00310A38"/>
    <w:rsid w:val="00310D1D"/>
    <w:rsid w:val="003115B3"/>
    <w:rsid w:val="003115C4"/>
    <w:rsid w:val="003129CD"/>
    <w:rsid w:val="0031438D"/>
    <w:rsid w:val="0031509B"/>
    <w:rsid w:val="00316775"/>
    <w:rsid w:val="00317BEB"/>
    <w:rsid w:val="00317E22"/>
    <w:rsid w:val="00320644"/>
    <w:rsid w:val="00322466"/>
    <w:rsid w:val="00323A39"/>
    <w:rsid w:val="003247E7"/>
    <w:rsid w:val="00324B78"/>
    <w:rsid w:val="00325398"/>
    <w:rsid w:val="00325A62"/>
    <w:rsid w:val="00326131"/>
    <w:rsid w:val="00327F2C"/>
    <w:rsid w:val="003300D4"/>
    <w:rsid w:val="00330D70"/>
    <w:rsid w:val="00331375"/>
    <w:rsid w:val="00331A17"/>
    <w:rsid w:val="0033317B"/>
    <w:rsid w:val="00333763"/>
    <w:rsid w:val="003339D0"/>
    <w:rsid w:val="00334AF7"/>
    <w:rsid w:val="00335249"/>
    <w:rsid w:val="003353BB"/>
    <w:rsid w:val="0033620A"/>
    <w:rsid w:val="003369D7"/>
    <w:rsid w:val="00340187"/>
    <w:rsid w:val="0034021D"/>
    <w:rsid w:val="003418A6"/>
    <w:rsid w:val="0034239A"/>
    <w:rsid w:val="00342883"/>
    <w:rsid w:val="00344733"/>
    <w:rsid w:val="00344FAD"/>
    <w:rsid w:val="00345157"/>
    <w:rsid w:val="00345499"/>
    <w:rsid w:val="003463F4"/>
    <w:rsid w:val="003465FB"/>
    <w:rsid w:val="00347187"/>
    <w:rsid w:val="003533F1"/>
    <w:rsid w:val="00353407"/>
    <w:rsid w:val="0035368E"/>
    <w:rsid w:val="003537F9"/>
    <w:rsid w:val="0035380D"/>
    <w:rsid w:val="00354493"/>
    <w:rsid w:val="0035450F"/>
    <w:rsid w:val="003557B4"/>
    <w:rsid w:val="00355C40"/>
    <w:rsid w:val="00357763"/>
    <w:rsid w:val="00357DE8"/>
    <w:rsid w:val="0036062A"/>
    <w:rsid w:val="00360764"/>
    <w:rsid w:val="00360A5F"/>
    <w:rsid w:val="003618AA"/>
    <w:rsid w:val="00361B80"/>
    <w:rsid w:val="00362BF7"/>
    <w:rsid w:val="00362F97"/>
    <w:rsid w:val="0036371E"/>
    <w:rsid w:val="00363C94"/>
    <w:rsid w:val="0036400D"/>
    <w:rsid w:val="00364867"/>
    <w:rsid w:val="00366866"/>
    <w:rsid w:val="00370223"/>
    <w:rsid w:val="0037046F"/>
    <w:rsid w:val="00370AB4"/>
    <w:rsid w:val="00370D13"/>
    <w:rsid w:val="00372751"/>
    <w:rsid w:val="00373085"/>
    <w:rsid w:val="00373240"/>
    <w:rsid w:val="0037456C"/>
    <w:rsid w:val="003750E3"/>
    <w:rsid w:val="00375DA9"/>
    <w:rsid w:val="003771B6"/>
    <w:rsid w:val="00377307"/>
    <w:rsid w:val="00380013"/>
    <w:rsid w:val="00380674"/>
    <w:rsid w:val="00380C81"/>
    <w:rsid w:val="0038373C"/>
    <w:rsid w:val="003839B8"/>
    <w:rsid w:val="0038683D"/>
    <w:rsid w:val="0038794C"/>
    <w:rsid w:val="00387DAE"/>
    <w:rsid w:val="00387F48"/>
    <w:rsid w:val="00391F75"/>
    <w:rsid w:val="00394A07"/>
    <w:rsid w:val="0039539B"/>
    <w:rsid w:val="00395C35"/>
    <w:rsid w:val="00396237"/>
    <w:rsid w:val="003963F3"/>
    <w:rsid w:val="0039686B"/>
    <w:rsid w:val="0039787F"/>
    <w:rsid w:val="003A0AF2"/>
    <w:rsid w:val="003A0C25"/>
    <w:rsid w:val="003A1475"/>
    <w:rsid w:val="003A197A"/>
    <w:rsid w:val="003A1C20"/>
    <w:rsid w:val="003A2EF1"/>
    <w:rsid w:val="003A2F3C"/>
    <w:rsid w:val="003A3298"/>
    <w:rsid w:val="003A3816"/>
    <w:rsid w:val="003A4587"/>
    <w:rsid w:val="003A4CEA"/>
    <w:rsid w:val="003A4EAE"/>
    <w:rsid w:val="003A533A"/>
    <w:rsid w:val="003A55ED"/>
    <w:rsid w:val="003A657A"/>
    <w:rsid w:val="003A661E"/>
    <w:rsid w:val="003A6BAC"/>
    <w:rsid w:val="003B0913"/>
    <w:rsid w:val="003B1489"/>
    <w:rsid w:val="003B20C5"/>
    <w:rsid w:val="003B28CA"/>
    <w:rsid w:val="003B36FD"/>
    <w:rsid w:val="003B5031"/>
    <w:rsid w:val="003B5895"/>
    <w:rsid w:val="003B63EE"/>
    <w:rsid w:val="003B6720"/>
    <w:rsid w:val="003B6A3E"/>
    <w:rsid w:val="003B72F0"/>
    <w:rsid w:val="003B7564"/>
    <w:rsid w:val="003B775B"/>
    <w:rsid w:val="003B7B5E"/>
    <w:rsid w:val="003B7F49"/>
    <w:rsid w:val="003B7FA9"/>
    <w:rsid w:val="003C0D33"/>
    <w:rsid w:val="003C247E"/>
    <w:rsid w:val="003C44F8"/>
    <w:rsid w:val="003C55A2"/>
    <w:rsid w:val="003C5E72"/>
    <w:rsid w:val="003C6753"/>
    <w:rsid w:val="003C677A"/>
    <w:rsid w:val="003C6EB9"/>
    <w:rsid w:val="003C7C08"/>
    <w:rsid w:val="003C7EA9"/>
    <w:rsid w:val="003C7F55"/>
    <w:rsid w:val="003D0700"/>
    <w:rsid w:val="003D0950"/>
    <w:rsid w:val="003D0CDF"/>
    <w:rsid w:val="003D0E9A"/>
    <w:rsid w:val="003D2459"/>
    <w:rsid w:val="003D28ED"/>
    <w:rsid w:val="003D3107"/>
    <w:rsid w:val="003D33CD"/>
    <w:rsid w:val="003D4E14"/>
    <w:rsid w:val="003D5C37"/>
    <w:rsid w:val="003D6865"/>
    <w:rsid w:val="003D7538"/>
    <w:rsid w:val="003D7AED"/>
    <w:rsid w:val="003E01F8"/>
    <w:rsid w:val="003E0CEF"/>
    <w:rsid w:val="003E148D"/>
    <w:rsid w:val="003E159E"/>
    <w:rsid w:val="003E173A"/>
    <w:rsid w:val="003E2506"/>
    <w:rsid w:val="003E2C16"/>
    <w:rsid w:val="003E2F6C"/>
    <w:rsid w:val="003E30A7"/>
    <w:rsid w:val="003E3171"/>
    <w:rsid w:val="003E3600"/>
    <w:rsid w:val="003E3CD0"/>
    <w:rsid w:val="003E4001"/>
    <w:rsid w:val="003E48F8"/>
    <w:rsid w:val="003E4978"/>
    <w:rsid w:val="003E64BF"/>
    <w:rsid w:val="003F0F39"/>
    <w:rsid w:val="003F10CB"/>
    <w:rsid w:val="003F133B"/>
    <w:rsid w:val="003F1F5E"/>
    <w:rsid w:val="003F20A1"/>
    <w:rsid w:val="003F2863"/>
    <w:rsid w:val="003F33DE"/>
    <w:rsid w:val="003F3723"/>
    <w:rsid w:val="003F4F5F"/>
    <w:rsid w:val="003F5979"/>
    <w:rsid w:val="004006C8"/>
    <w:rsid w:val="0040072C"/>
    <w:rsid w:val="00401459"/>
    <w:rsid w:val="00401C2F"/>
    <w:rsid w:val="0040243A"/>
    <w:rsid w:val="00402B37"/>
    <w:rsid w:val="00402C65"/>
    <w:rsid w:val="00403333"/>
    <w:rsid w:val="00403FE9"/>
    <w:rsid w:val="00404EB7"/>
    <w:rsid w:val="00405827"/>
    <w:rsid w:val="00405E72"/>
    <w:rsid w:val="00405F62"/>
    <w:rsid w:val="0040613C"/>
    <w:rsid w:val="00407D56"/>
    <w:rsid w:val="00407D6C"/>
    <w:rsid w:val="00411D58"/>
    <w:rsid w:val="004121AE"/>
    <w:rsid w:val="004142DF"/>
    <w:rsid w:val="004146B4"/>
    <w:rsid w:val="00415145"/>
    <w:rsid w:val="00416BF3"/>
    <w:rsid w:val="00416E2B"/>
    <w:rsid w:val="004170C4"/>
    <w:rsid w:val="004209BA"/>
    <w:rsid w:val="00420C44"/>
    <w:rsid w:val="004247BB"/>
    <w:rsid w:val="00424D5B"/>
    <w:rsid w:val="0042502E"/>
    <w:rsid w:val="00425BED"/>
    <w:rsid w:val="004264B1"/>
    <w:rsid w:val="004271BF"/>
    <w:rsid w:val="00430581"/>
    <w:rsid w:val="00430710"/>
    <w:rsid w:val="00431758"/>
    <w:rsid w:val="00431D92"/>
    <w:rsid w:val="00432566"/>
    <w:rsid w:val="004329CD"/>
    <w:rsid w:val="0043318F"/>
    <w:rsid w:val="0043354F"/>
    <w:rsid w:val="0043499A"/>
    <w:rsid w:val="00434A97"/>
    <w:rsid w:val="004350B1"/>
    <w:rsid w:val="00435D55"/>
    <w:rsid w:val="004360A3"/>
    <w:rsid w:val="0043638F"/>
    <w:rsid w:val="00436405"/>
    <w:rsid w:val="00437035"/>
    <w:rsid w:val="0043708F"/>
    <w:rsid w:val="00440C62"/>
    <w:rsid w:val="00441A2E"/>
    <w:rsid w:val="00441AF6"/>
    <w:rsid w:val="00441C33"/>
    <w:rsid w:val="0044427E"/>
    <w:rsid w:val="00446BBA"/>
    <w:rsid w:val="00451C56"/>
    <w:rsid w:val="00451F46"/>
    <w:rsid w:val="00452805"/>
    <w:rsid w:val="004537CB"/>
    <w:rsid w:val="004538D5"/>
    <w:rsid w:val="00453C50"/>
    <w:rsid w:val="004545B5"/>
    <w:rsid w:val="00455345"/>
    <w:rsid w:val="00455A59"/>
    <w:rsid w:val="00460182"/>
    <w:rsid w:val="00460435"/>
    <w:rsid w:val="00461FFF"/>
    <w:rsid w:val="00462E82"/>
    <w:rsid w:val="00463CD0"/>
    <w:rsid w:val="00463DFD"/>
    <w:rsid w:val="00464B21"/>
    <w:rsid w:val="00464ED8"/>
    <w:rsid w:val="00465F38"/>
    <w:rsid w:val="0046634E"/>
    <w:rsid w:val="00467E54"/>
    <w:rsid w:val="00470378"/>
    <w:rsid w:val="004715A3"/>
    <w:rsid w:val="004722F9"/>
    <w:rsid w:val="00472731"/>
    <w:rsid w:val="004745F8"/>
    <w:rsid w:val="00474D1E"/>
    <w:rsid w:val="004753FB"/>
    <w:rsid w:val="00475B50"/>
    <w:rsid w:val="00475E99"/>
    <w:rsid w:val="0048040A"/>
    <w:rsid w:val="00481D03"/>
    <w:rsid w:val="00481E7D"/>
    <w:rsid w:val="00481FD0"/>
    <w:rsid w:val="0048221F"/>
    <w:rsid w:val="00484B14"/>
    <w:rsid w:val="00484D30"/>
    <w:rsid w:val="004850DD"/>
    <w:rsid w:val="004866A7"/>
    <w:rsid w:val="004877C0"/>
    <w:rsid w:val="0049103A"/>
    <w:rsid w:val="004919C3"/>
    <w:rsid w:val="0049277F"/>
    <w:rsid w:val="00492D9B"/>
    <w:rsid w:val="004930C0"/>
    <w:rsid w:val="004953C3"/>
    <w:rsid w:val="00496AEC"/>
    <w:rsid w:val="00497042"/>
    <w:rsid w:val="00497494"/>
    <w:rsid w:val="004975EE"/>
    <w:rsid w:val="004A0245"/>
    <w:rsid w:val="004A0866"/>
    <w:rsid w:val="004A0AF4"/>
    <w:rsid w:val="004A0B9D"/>
    <w:rsid w:val="004A11DE"/>
    <w:rsid w:val="004A1649"/>
    <w:rsid w:val="004A1F9C"/>
    <w:rsid w:val="004A2D6C"/>
    <w:rsid w:val="004A2D9D"/>
    <w:rsid w:val="004A309D"/>
    <w:rsid w:val="004A4E41"/>
    <w:rsid w:val="004A4FB3"/>
    <w:rsid w:val="004A5141"/>
    <w:rsid w:val="004A6EEC"/>
    <w:rsid w:val="004A6FE9"/>
    <w:rsid w:val="004A7A89"/>
    <w:rsid w:val="004B0682"/>
    <w:rsid w:val="004B06B3"/>
    <w:rsid w:val="004B0C07"/>
    <w:rsid w:val="004B0DF1"/>
    <w:rsid w:val="004B17F4"/>
    <w:rsid w:val="004B2636"/>
    <w:rsid w:val="004B3F28"/>
    <w:rsid w:val="004B50F2"/>
    <w:rsid w:val="004B653D"/>
    <w:rsid w:val="004B7F34"/>
    <w:rsid w:val="004C0461"/>
    <w:rsid w:val="004C08A9"/>
    <w:rsid w:val="004C0AA0"/>
    <w:rsid w:val="004C12C2"/>
    <w:rsid w:val="004C21DA"/>
    <w:rsid w:val="004C262E"/>
    <w:rsid w:val="004C3E90"/>
    <w:rsid w:val="004C4336"/>
    <w:rsid w:val="004C4E66"/>
    <w:rsid w:val="004C57A5"/>
    <w:rsid w:val="004C5B35"/>
    <w:rsid w:val="004C5EED"/>
    <w:rsid w:val="004C693A"/>
    <w:rsid w:val="004C77B5"/>
    <w:rsid w:val="004C77BF"/>
    <w:rsid w:val="004C7AA7"/>
    <w:rsid w:val="004D0D07"/>
    <w:rsid w:val="004D55EF"/>
    <w:rsid w:val="004D67F7"/>
    <w:rsid w:val="004D6F35"/>
    <w:rsid w:val="004D7678"/>
    <w:rsid w:val="004D7CD7"/>
    <w:rsid w:val="004E0CFE"/>
    <w:rsid w:val="004E1A53"/>
    <w:rsid w:val="004E2F79"/>
    <w:rsid w:val="004E3613"/>
    <w:rsid w:val="004E5871"/>
    <w:rsid w:val="004E5B41"/>
    <w:rsid w:val="004E6E95"/>
    <w:rsid w:val="004E759F"/>
    <w:rsid w:val="004E7BA2"/>
    <w:rsid w:val="004E7D30"/>
    <w:rsid w:val="004F58BA"/>
    <w:rsid w:val="004F6137"/>
    <w:rsid w:val="004F6BBC"/>
    <w:rsid w:val="004F7300"/>
    <w:rsid w:val="004F742D"/>
    <w:rsid w:val="004F7FCB"/>
    <w:rsid w:val="00501830"/>
    <w:rsid w:val="00501F41"/>
    <w:rsid w:val="005022E5"/>
    <w:rsid w:val="00502BB5"/>
    <w:rsid w:val="0050390B"/>
    <w:rsid w:val="00504A4C"/>
    <w:rsid w:val="00504A7D"/>
    <w:rsid w:val="00505380"/>
    <w:rsid w:val="00505A04"/>
    <w:rsid w:val="00505F89"/>
    <w:rsid w:val="00511ADE"/>
    <w:rsid w:val="00511B0E"/>
    <w:rsid w:val="00511B14"/>
    <w:rsid w:val="00511B9B"/>
    <w:rsid w:val="005137F9"/>
    <w:rsid w:val="00514000"/>
    <w:rsid w:val="00514B2B"/>
    <w:rsid w:val="00517FAC"/>
    <w:rsid w:val="0052006A"/>
    <w:rsid w:val="00520114"/>
    <w:rsid w:val="005205EA"/>
    <w:rsid w:val="00520E37"/>
    <w:rsid w:val="00523492"/>
    <w:rsid w:val="00523559"/>
    <w:rsid w:val="0052482E"/>
    <w:rsid w:val="005254BC"/>
    <w:rsid w:val="00525AA7"/>
    <w:rsid w:val="00526542"/>
    <w:rsid w:val="00526724"/>
    <w:rsid w:val="005306F3"/>
    <w:rsid w:val="00531199"/>
    <w:rsid w:val="00532CC5"/>
    <w:rsid w:val="00534F43"/>
    <w:rsid w:val="005377F0"/>
    <w:rsid w:val="00540F36"/>
    <w:rsid w:val="00541189"/>
    <w:rsid w:val="0054157A"/>
    <w:rsid w:val="00542EEF"/>
    <w:rsid w:val="005431A4"/>
    <w:rsid w:val="0054433F"/>
    <w:rsid w:val="00545A65"/>
    <w:rsid w:val="00546458"/>
    <w:rsid w:val="005469EC"/>
    <w:rsid w:val="005474FF"/>
    <w:rsid w:val="00550B2F"/>
    <w:rsid w:val="00551712"/>
    <w:rsid w:val="00551E02"/>
    <w:rsid w:val="005524D4"/>
    <w:rsid w:val="005529FE"/>
    <w:rsid w:val="00552C63"/>
    <w:rsid w:val="00552CA8"/>
    <w:rsid w:val="00553E73"/>
    <w:rsid w:val="00553E8E"/>
    <w:rsid w:val="0055405D"/>
    <w:rsid w:val="005540AB"/>
    <w:rsid w:val="005549DE"/>
    <w:rsid w:val="00555323"/>
    <w:rsid w:val="005554BD"/>
    <w:rsid w:val="00556DA9"/>
    <w:rsid w:val="005573CD"/>
    <w:rsid w:val="00557500"/>
    <w:rsid w:val="00557F70"/>
    <w:rsid w:val="00557FB6"/>
    <w:rsid w:val="00560282"/>
    <w:rsid w:val="00560A5D"/>
    <w:rsid w:val="00561C58"/>
    <w:rsid w:val="0056257C"/>
    <w:rsid w:val="00562ADB"/>
    <w:rsid w:val="00562EED"/>
    <w:rsid w:val="00565ADE"/>
    <w:rsid w:val="00566916"/>
    <w:rsid w:val="00566F14"/>
    <w:rsid w:val="005673A9"/>
    <w:rsid w:val="0057006C"/>
    <w:rsid w:val="00570DDD"/>
    <w:rsid w:val="0057195F"/>
    <w:rsid w:val="00571BF1"/>
    <w:rsid w:val="0057326C"/>
    <w:rsid w:val="00574C66"/>
    <w:rsid w:val="005757AD"/>
    <w:rsid w:val="005759BB"/>
    <w:rsid w:val="00575DB9"/>
    <w:rsid w:val="0057612B"/>
    <w:rsid w:val="005772C4"/>
    <w:rsid w:val="00577577"/>
    <w:rsid w:val="0058016D"/>
    <w:rsid w:val="0058112A"/>
    <w:rsid w:val="005811DD"/>
    <w:rsid w:val="00581743"/>
    <w:rsid w:val="00581EA4"/>
    <w:rsid w:val="00582B04"/>
    <w:rsid w:val="00582EA6"/>
    <w:rsid w:val="005832AA"/>
    <w:rsid w:val="00584801"/>
    <w:rsid w:val="00584ABA"/>
    <w:rsid w:val="00584F6A"/>
    <w:rsid w:val="00585173"/>
    <w:rsid w:val="00585B8F"/>
    <w:rsid w:val="00585CC4"/>
    <w:rsid w:val="00587C25"/>
    <w:rsid w:val="00590129"/>
    <w:rsid w:val="00590571"/>
    <w:rsid w:val="005918CA"/>
    <w:rsid w:val="005923FF"/>
    <w:rsid w:val="005930AC"/>
    <w:rsid w:val="00593266"/>
    <w:rsid w:val="00594209"/>
    <w:rsid w:val="0059466C"/>
    <w:rsid w:val="00595236"/>
    <w:rsid w:val="00596039"/>
    <w:rsid w:val="005960AA"/>
    <w:rsid w:val="0059610C"/>
    <w:rsid w:val="00597B34"/>
    <w:rsid w:val="005A00BB"/>
    <w:rsid w:val="005A1072"/>
    <w:rsid w:val="005A1446"/>
    <w:rsid w:val="005A1C39"/>
    <w:rsid w:val="005A24A4"/>
    <w:rsid w:val="005A3D79"/>
    <w:rsid w:val="005A43ED"/>
    <w:rsid w:val="005A4A76"/>
    <w:rsid w:val="005A5536"/>
    <w:rsid w:val="005A6C74"/>
    <w:rsid w:val="005A7E57"/>
    <w:rsid w:val="005B13B6"/>
    <w:rsid w:val="005B2DE4"/>
    <w:rsid w:val="005B2F2C"/>
    <w:rsid w:val="005B49BB"/>
    <w:rsid w:val="005B4F82"/>
    <w:rsid w:val="005B56BE"/>
    <w:rsid w:val="005B636A"/>
    <w:rsid w:val="005B68D5"/>
    <w:rsid w:val="005C0017"/>
    <w:rsid w:val="005C07D9"/>
    <w:rsid w:val="005C0E2F"/>
    <w:rsid w:val="005C1EDA"/>
    <w:rsid w:val="005C261E"/>
    <w:rsid w:val="005C40F4"/>
    <w:rsid w:val="005C4399"/>
    <w:rsid w:val="005C4691"/>
    <w:rsid w:val="005C57B5"/>
    <w:rsid w:val="005C58BE"/>
    <w:rsid w:val="005C6F61"/>
    <w:rsid w:val="005C7719"/>
    <w:rsid w:val="005D2C72"/>
    <w:rsid w:val="005D2F97"/>
    <w:rsid w:val="005D345B"/>
    <w:rsid w:val="005D38CD"/>
    <w:rsid w:val="005D3F88"/>
    <w:rsid w:val="005D4332"/>
    <w:rsid w:val="005D729C"/>
    <w:rsid w:val="005D7BF0"/>
    <w:rsid w:val="005E0FC6"/>
    <w:rsid w:val="005E1616"/>
    <w:rsid w:val="005E2913"/>
    <w:rsid w:val="005E399F"/>
    <w:rsid w:val="005E3F86"/>
    <w:rsid w:val="005E4320"/>
    <w:rsid w:val="005E5D2F"/>
    <w:rsid w:val="005E6836"/>
    <w:rsid w:val="005E6A3C"/>
    <w:rsid w:val="005E6E3A"/>
    <w:rsid w:val="005F0045"/>
    <w:rsid w:val="005F0428"/>
    <w:rsid w:val="005F0761"/>
    <w:rsid w:val="005F0D44"/>
    <w:rsid w:val="005F15C3"/>
    <w:rsid w:val="005F1BD6"/>
    <w:rsid w:val="005F2E2D"/>
    <w:rsid w:val="005F2F00"/>
    <w:rsid w:val="005F62CC"/>
    <w:rsid w:val="005F730A"/>
    <w:rsid w:val="005F7933"/>
    <w:rsid w:val="005F7C44"/>
    <w:rsid w:val="00600735"/>
    <w:rsid w:val="00600E66"/>
    <w:rsid w:val="0060102D"/>
    <w:rsid w:val="006013DF"/>
    <w:rsid w:val="006026C2"/>
    <w:rsid w:val="0060295E"/>
    <w:rsid w:val="00603235"/>
    <w:rsid w:val="00603583"/>
    <w:rsid w:val="00603605"/>
    <w:rsid w:val="006039D8"/>
    <w:rsid w:val="006041A3"/>
    <w:rsid w:val="006051ED"/>
    <w:rsid w:val="006113D5"/>
    <w:rsid w:val="006139A1"/>
    <w:rsid w:val="00613BD1"/>
    <w:rsid w:val="00614301"/>
    <w:rsid w:val="00615FA8"/>
    <w:rsid w:val="006168BF"/>
    <w:rsid w:val="00616EA6"/>
    <w:rsid w:val="00620867"/>
    <w:rsid w:val="00620B12"/>
    <w:rsid w:val="00620D92"/>
    <w:rsid w:val="006210F4"/>
    <w:rsid w:val="00621DEA"/>
    <w:rsid w:val="00624B9F"/>
    <w:rsid w:val="00625C71"/>
    <w:rsid w:val="00626383"/>
    <w:rsid w:val="00626772"/>
    <w:rsid w:val="00627316"/>
    <w:rsid w:val="006273E9"/>
    <w:rsid w:val="00627A60"/>
    <w:rsid w:val="00627A7B"/>
    <w:rsid w:val="00630459"/>
    <w:rsid w:val="0063099B"/>
    <w:rsid w:val="00630F60"/>
    <w:rsid w:val="00631102"/>
    <w:rsid w:val="006320D5"/>
    <w:rsid w:val="00633FB4"/>
    <w:rsid w:val="00633FC5"/>
    <w:rsid w:val="00635263"/>
    <w:rsid w:val="006357C1"/>
    <w:rsid w:val="00635BA7"/>
    <w:rsid w:val="006365EA"/>
    <w:rsid w:val="0063712C"/>
    <w:rsid w:val="00637374"/>
    <w:rsid w:val="00637C66"/>
    <w:rsid w:val="00640BB2"/>
    <w:rsid w:val="00641A2D"/>
    <w:rsid w:val="00641C0E"/>
    <w:rsid w:val="00643700"/>
    <w:rsid w:val="00643F5E"/>
    <w:rsid w:val="006449AF"/>
    <w:rsid w:val="00645ECF"/>
    <w:rsid w:val="006466B3"/>
    <w:rsid w:val="00646D08"/>
    <w:rsid w:val="00651640"/>
    <w:rsid w:val="00651ADF"/>
    <w:rsid w:val="00651E74"/>
    <w:rsid w:val="00652B42"/>
    <w:rsid w:val="00653720"/>
    <w:rsid w:val="00654275"/>
    <w:rsid w:val="00656572"/>
    <w:rsid w:val="006574EA"/>
    <w:rsid w:val="006622AF"/>
    <w:rsid w:val="006625E2"/>
    <w:rsid w:val="00663284"/>
    <w:rsid w:val="0066396C"/>
    <w:rsid w:val="00663B63"/>
    <w:rsid w:val="00665B79"/>
    <w:rsid w:val="00665BD7"/>
    <w:rsid w:val="00666222"/>
    <w:rsid w:val="00666F32"/>
    <w:rsid w:val="00666FBC"/>
    <w:rsid w:val="006701B6"/>
    <w:rsid w:val="00670214"/>
    <w:rsid w:val="00671CA2"/>
    <w:rsid w:val="006726F6"/>
    <w:rsid w:val="00672E5A"/>
    <w:rsid w:val="0067328C"/>
    <w:rsid w:val="0067330C"/>
    <w:rsid w:val="00675285"/>
    <w:rsid w:val="00675829"/>
    <w:rsid w:val="006769FD"/>
    <w:rsid w:val="00676B9C"/>
    <w:rsid w:val="0068115C"/>
    <w:rsid w:val="006817A0"/>
    <w:rsid w:val="00682902"/>
    <w:rsid w:val="00683F3A"/>
    <w:rsid w:val="00684527"/>
    <w:rsid w:val="0068652E"/>
    <w:rsid w:val="00687928"/>
    <w:rsid w:val="00690216"/>
    <w:rsid w:val="0069163F"/>
    <w:rsid w:val="00691DBB"/>
    <w:rsid w:val="00692417"/>
    <w:rsid w:val="00696177"/>
    <w:rsid w:val="006A09A5"/>
    <w:rsid w:val="006A1E44"/>
    <w:rsid w:val="006A5872"/>
    <w:rsid w:val="006A745B"/>
    <w:rsid w:val="006A79E7"/>
    <w:rsid w:val="006A7D4D"/>
    <w:rsid w:val="006B0E41"/>
    <w:rsid w:val="006B0F8B"/>
    <w:rsid w:val="006B10C4"/>
    <w:rsid w:val="006B3031"/>
    <w:rsid w:val="006B4B10"/>
    <w:rsid w:val="006B5C71"/>
    <w:rsid w:val="006B675F"/>
    <w:rsid w:val="006B6C4C"/>
    <w:rsid w:val="006B7220"/>
    <w:rsid w:val="006B7F0E"/>
    <w:rsid w:val="006C0E2A"/>
    <w:rsid w:val="006C1CAA"/>
    <w:rsid w:val="006C40EB"/>
    <w:rsid w:val="006C46C5"/>
    <w:rsid w:val="006C4B43"/>
    <w:rsid w:val="006C577F"/>
    <w:rsid w:val="006C5BA1"/>
    <w:rsid w:val="006C6E61"/>
    <w:rsid w:val="006D0111"/>
    <w:rsid w:val="006D0D07"/>
    <w:rsid w:val="006D0E2A"/>
    <w:rsid w:val="006D2D04"/>
    <w:rsid w:val="006D3162"/>
    <w:rsid w:val="006D36EC"/>
    <w:rsid w:val="006D3C3E"/>
    <w:rsid w:val="006D45D9"/>
    <w:rsid w:val="006D6567"/>
    <w:rsid w:val="006D6879"/>
    <w:rsid w:val="006D6D98"/>
    <w:rsid w:val="006D6DC1"/>
    <w:rsid w:val="006D6F69"/>
    <w:rsid w:val="006D6F9A"/>
    <w:rsid w:val="006E0F1D"/>
    <w:rsid w:val="006E185C"/>
    <w:rsid w:val="006E2C8E"/>
    <w:rsid w:val="006E446F"/>
    <w:rsid w:val="006E5164"/>
    <w:rsid w:val="006E51D9"/>
    <w:rsid w:val="006E6291"/>
    <w:rsid w:val="006E6369"/>
    <w:rsid w:val="006E6FEE"/>
    <w:rsid w:val="006F0C32"/>
    <w:rsid w:val="006F0E83"/>
    <w:rsid w:val="006F2685"/>
    <w:rsid w:val="006F2992"/>
    <w:rsid w:val="006F309C"/>
    <w:rsid w:val="006F4F5B"/>
    <w:rsid w:val="006F5366"/>
    <w:rsid w:val="006F53F5"/>
    <w:rsid w:val="006F5544"/>
    <w:rsid w:val="006F65B2"/>
    <w:rsid w:val="006F7467"/>
    <w:rsid w:val="006F7769"/>
    <w:rsid w:val="006F7A30"/>
    <w:rsid w:val="006F7CE8"/>
    <w:rsid w:val="006F7D34"/>
    <w:rsid w:val="0070028F"/>
    <w:rsid w:val="007004A5"/>
    <w:rsid w:val="007012E5"/>
    <w:rsid w:val="00701353"/>
    <w:rsid w:val="007045E7"/>
    <w:rsid w:val="007046D8"/>
    <w:rsid w:val="0070524C"/>
    <w:rsid w:val="00705872"/>
    <w:rsid w:val="007069EE"/>
    <w:rsid w:val="00706EC4"/>
    <w:rsid w:val="0070724A"/>
    <w:rsid w:val="00710619"/>
    <w:rsid w:val="007124F1"/>
    <w:rsid w:val="00713964"/>
    <w:rsid w:val="007148AF"/>
    <w:rsid w:val="00715F3D"/>
    <w:rsid w:val="007171EB"/>
    <w:rsid w:val="007177C5"/>
    <w:rsid w:val="00717AB1"/>
    <w:rsid w:val="00717C64"/>
    <w:rsid w:val="0072093C"/>
    <w:rsid w:val="007216F4"/>
    <w:rsid w:val="00721FA0"/>
    <w:rsid w:val="007229A6"/>
    <w:rsid w:val="00722AAD"/>
    <w:rsid w:val="00722C1C"/>
    <w:rsid w:val="00722FA2"/>
    <w:rsid w:val="0072309E"/>
    <w:rsid w:val="00723455"/>
    <w:rsid w:val="00723983"/>
    <w:rsid w:val="00723D07"/>
    <w:rsid w:val="00723D2E"/>
    <w:rsid w:val="00724F55"/>
    <w:rsid w:val="00725377"/>
    <w:rsid w:val="00725E4F"/>
    <w:rsid w:val="0072630E"/>
    <w:rsid w:val="00726FAE"/>
    <w:rsid w:val="0072716C"/>
    <w:rsid w:val="0073042E"/>
    <w:rsid w:val="00730E45"/>
    <w:rsid w:val="007316A8"/>
    <w:rsid w:val="00731AD7"/>
    <w:rsid w:val="00732695"/>
    <w:rsid w:val="0073350F"/>
    <w:rsid w:val="007345C8"/>
    <w:rsid w:val="00740CF1"/>
    <w:rsid w:val="00740E80"/>
    <w:rsid w:val="00741082"/>
    <w:rsid w:val="00741184"/>
    <w:rsid w:val="00741375"/>
    <w:rsid w:val="00743D6E"/>
    <w:rsid w:val="00744215"/>
    <w:rsid w:val="0074517B"/>
    <w:rsid w:val="0074527D"/>
    <w:rsid w:val="00745E33"/>
    <w:rsid w:val="00746760"/>
    <w:rsid w:val="00747A44"/>
    <w:rsid w:val="007503D0"/>
    <w:rsid w:val="007513E9"/>
    <w:rsid w:val="00755B18"/>
    <w:rsid w:val="007565A3"/>
    <w:rsid w:val="00757016"/>
    <w:rsid w:val="007571E2"/>
    <w:rsid w:val="00757A95"/>
    <w:rsid w:val="007602DC"/>
    <w:rsid w:val="00760354"/>
    <w:rsid w:val="00760E91"/>
    <w:rsid w:val="0076130F"/>
    <w:rsid w:val="0076216E"/>
    <w:rsid w:val="00763F8F"/>
    <w:rsid w:val="00764350"/>
    <w:rsid w:val="00764394"/>
    <w:rsid w:val="007648A3"/>
    <w:rsid w:val="00765430"/>
    <w:rsid w:val="007655FC"/>
    <w:rsid w:val="00765BEF"/>
    <w:rsid w:val="00770A9D"/>
    <w:rsid w:val="007713C6"/>
    <w:rsid w:val="00771A54"/>
    <w:rsid w:val="00773080"/>
    <w:rsid w:val="007735AB"/>
    <w:rsid w:val="00773927"/>
    <w:rsid w:val="00773E4E"/>
    <w:rsid w:val="00773EB7"/>
    <w:rsid w:val="0077555E"/>
    <w:rsid w:val="00775FFA"/>
    <w:rsid w:val="00776714"/>
    <w:rsid w:val="007777FC"/>
    <w:rsid w:val="00777AC5"/>
    <w:rsid w:val="00780989"/>
    <w:rsid w:val="0078207A"/>
    <w:rsid w:val="0078259F"/>
    <w:rsid w:val="00782872"/>
    <w:rsid w:val="00784244"/>
    <w:rsid w:val="00784287"/>
    <w:rsid w:val="00785A88"/>
    <w:rsid w:val="0078670E"/>
    <w:rsid w:val="00786C49"/>
    <w:rsid w:val="00786D7B"/>
    <w:rsid w:val="0079005A"/>
    <w:rsid w:val="0079118C"/>
    <w:rsid w:val="007911EE"/>
    <w:rsid w:val="00791A39"/>
    <w:rsid w:val="00791A7E"/>
    <w:rsid w:val="00792322"/>
    <w:rsid w:val="00793999"/>
    <w:rsid w:val="00794EF3"/>
    <w:rsid w:val="00796607"/>
    <w:rsid w:val="00796941"/>
    <w:rsid w:val="00796AAA"/>
    <w:rsid w:val="00797772"/>
    <w:rsid w:val="00797AE9"/>
    <w:rsid w:val="007A0796"/>
    <w:rsid w:val="007A0A2E"/>
    <w:rsid w:val="007A11E8"/>
    <w:rsid w:val="007A33B2"/>
    <w:rsid w:val="007A4315"/>
    <w:rsid w:val="007A5133"/>
    <w:rsid w:val="007A5456"/>
    <w:rsid w:val="007A6185"/>
    <w:rsid w:val="007A64D1"/>
    <w:rsid w:val="007A71D5"/>
    <w:rsid w:val="007B031F"/>
    <w:rsid w:val="007B10B3"/>
    <w:rsid w:val="007B1D12"/>
    <w:rsid w:val="007B286C"/>
    <w:rsid w:val="007B2F17"/>
    <w:rsid w:val="007B46B3"/>
    <w:rsid w:val="007B50F2"/>
    <w:rsid w:val="007B52A4"/>
    <w:rsid w:val="007B5BE8"/>
    <w:rsid w:val="007B5C49"/>
    <w:rsid w:val="007B5CD8"/>
    <w:rsid w:val="007B5E69"/>
    <w:rsid w:val="007B602B"/>
    <w:rsid w:val="007B6D51"/>
    <w:rsid w:val="007B6E93"/>
    <w:rsid w:val="007B6ED7"/>
    <w:rsid w:val="007C14A4"/>
    <w:rsid w:val="007C2153"/>
    <w:rsid w:val="007C2F44"/>
    <w:rsid w:val="007C3DC9"/>
    <w:rsid w:val="007C3F88"/>
    <w:rsid w:val="007C4319"/>
    <w:rsid w:val="007C46CD"/>
    <w:rsid w:val="007C561F"/>
    <w:rsid w:val="007C6058"/>
    <w:rsid w:val="007C65FE"/>
    <w:rsid w:val="007C66DC"/>
    <w:rsid w:val="007D0879"/>
    <w:rsid w:val="007D1D2B"/>
    <w:rsid w:val="007D3D61"/>
    <w:rsid w:val="007D4592"/>
    <w:rsid w:val="007D4FEB"/>
    <w:rsid w:val="007D5FD1"/>
    <w:rsid w:val="007D65A2"/>
    <w:rsid w:val="007E1057"/>
    <w:rsid w:val="007E1A32"/>
    <w:rsid w:val="007E2EBF"/>
    <w:rsid w:val="007E43EF"/>
    <w:rsid w:val="007E47E8"/>
    <w:rsid w:val="007E4854"/>
    <w:rsid w:val="007E48A7"/>
    <w:rsid w:val="007E51B4"/>
    <w:rsid w:val="007E5864"/>
    <w:rsid w:val="007E6CAA"/>
    <w:rsid w:val="007E6DD9"/>
    <w:rsid w:val="007F1913"/>
    <w:rsid w:val="007F21C0"/>
    <w:rsid w:val="007F2CF3"/>
    <w:rsid w:val="007F4190"/>
    <w:rsid w:val="007F4E53"/>
    <w:rsid w:val="007F5ABC"/>
    <w:rsid w:val="007F6601"/>
    <w:rsid w:val="007F6EB0"/>
    <w:rsid w:val="00800121"/>
    <w:rsid w:val="008018D9"/>
    <w:rsid w:val="00802861"/>
    <w:rsid w:val="00802949"/>
    <w:rsid w:val="008046C8"/>
    <w:rsid w:val="00804F51"/>
    <w:rsid w:val="008051D9"/>
    <w:rsid w:val="00805D18"/>
    <w:rsid w:val="00806335"/>
    <w:rsid w:val="008064D0"/>
    <w:rsid w:val="0081040D"/>
    <w:rsid w:val="008105E2"/>
    <w:rsid w:val="00810634"/>
    <w:rsid w:val="008110DA"/>
    <w:rsid w:val="008118CB"/>
    <w:rsid w:val="00811AA6"/>
    <w:rsid w:val="00812268"/>
    <w:rsid w:val="008126F2"/>
    <w:rsid w:val="008128CA"/>
    <w:rsid w:val="00813440"/>
    <w:rsid w:val="0081478B"/>
    <w:rsid w:val="00814FBB"/>
    <w:rsid w:val="00815F46"/>
    <w:rsid w:val="00816477"/>
    <w:rsid w:val="00820165"/>
    <w:rsid w:val="00821493"/>
    <w:rsid w:val="00822733"/>
    <w:rsid w:val="00823218"/>
    <w:rsid w:val="00823380"/>
    <w:rsid w:val="00823B45"/>
    <w:rsid w:val="00824BE2"/>
    <w:rsid w:val="008256C9"/>
    <w:rsid w:val="00825CDD"/>
    <w:rsid w:val="00826B87"/>
    <w:rsid w:val="00827BE6"/>
    <w:rsid w:val="00827EFD"/>
    <w:rsid w:val="0083003C"/>
    <w:rsid w:val="00830C6F"/>
    <w:rsid w:val="00831914"/>
    <w:rsid w:val="00831B8F"/>
    <w:rsid w:val="00831FEB"/>
    <w:rsid w:val="00833314"/>
    <w:rsid w:val="00833F48"/>
    <w:rsid w:val="00834371"/>
    <w:rsid w:val="008346EA"/>
    <w:rsid w:val="00836495"/>
    <w:rsid w:val="00837259"/>
    <w:rsid w:val="008408C7"/>
    <w:rsid w:val="00841086"/>
    <w:rsid w:val="008414EC"/>
    <w:rsid w:val="00841F42"/>
    <w:rsid w:val="008420F8"/>
    <w:rsid w:val="00842262"/>
    <w:rsid w:val="0084238B"/>
    <w:rsid w:val="0084262C"/>
    <w:rsid w:val="008430A5"/>
    <w:rsid w:val="0084318E"/>
    <w:rsid w:val="0084496F"/>
    <w:rsid w:val="008452ED"/>
    <w:rsid w:val="00845BB2"/>
    <w:rsid w:val="00846E3F"/>
    <w:rsid w:val="008477B2"/>
    <w:rsid w:val="00850983"/>
    <w:rsid w:val="00850D75"/>
    <w:rsid w:val="008512FA"/>
    <w:rsid w:val="00851522"/>
    <w:rsid w:val="00852965"/>
    <w:rsid w:val="00852998"/>
    <w:rsid w:val="00852BB4"/>
    <w:rsid w:val="00852F07"/>
    <w:rsid w:val="00853EAF"/>
    <w:rsid w:val="00855B90"/>
    <w:rsid w:val="00856166"/>
    <w:rsid w:val="00856941"/>
    <w:rsid w:val="00857858"/>
    <w:rsid w:val="00857A7C"/>
    <w:rsid w:val="0086116B"/>
    <w:rsid w:val="00861FB5"/>
    <w:rsid w:val="0086218A"/>
    <w:rsid w:val="00862B29"/>
    <w:rsid w:val="00862F0F"/>
    <w:rsid w:val="00864864"/>
    <w:rsid w:val="00864E38"/>
    <w:rsid w:val="0086546A"/>
    <w:rsid w:val="008656C7"/>
    <w:rsid w:val="00866317"/>
    <w:rsid w:val="00866C13"/>
    <w:rsid w:val="008703F4"/>
    <w:rsid w:val="0087092F"/>
    <w:rsid w:val="00870D4D"/>
    <w:rsid w:val="00871E87"/>
    <w:rsid w:val="00872138"/>
    <w:rsid w:val="00872A76"/>
    <w:rsid w:val="00873D57"/>
    <w:rsid w:val="00874112"/>
    <w:rsid w:val="0087580F"/>
    <w:rsid w:val="008777DC"/>
    <w:rsid w:val="008778B5"/>
    <w:rsid w:val="008805FE"/>
    <w:rsid w:val="00880BCE"/>
    <w:rsid w:val="008810AF"/>
    <w:rsid w:val="008812EC"/>
    <w:rsid w:val="008819E4"/>
    <w:rsid w:val="00881A15"/>
    <w:rsid w:val="00882132"/>
    <w:rsid w:val="008830EF"/>
    <w:rsid w:val="00884773"/>
    <w:rsid w:val="00885077"/>
    <w:rsid w:val="008933CF"/>
    <w:rsid w:val="0089341B"/>
    <w:rsid w:val="008935A1"/>
    <w:rsid w:val="00893E43"/>
    <w:rsid w:val="00894A08"/>
    <w:rsid w:val="00895036"/>
    <w:rsid w:val="008952D3"/>
    <w:rsid w:val="00895362"/>
    <w:rsid w:val="008957EE"/>
    <w:rsid w:val="008972B2"/>
    <w:rsid w:val="00897A88"/>
    <w:rsid w:val="008A02EC"/>
    <w:rsid w:val="008A225D"/>
    <w:rsid w:val="008A2F70"/>
    <w:rsid w:val="008A4630"/>
    <w:rsid w:val="008A472A"/>
    <w:rsid w:val="008A74EB"/>
    <w:rsid w:val="008B0D4B"/>
    <w:rsid w:val="008B12B5"/>
    <w:rsid w:val="008B5AE2"/>
    <w:rsid w:val="008B5B7E"/>
    <w:rsid w:val="008B61DA"/>
    <w:rsid w:val="008B69A0"/>
    <w:rsid w:val="008B7692"/>
    <w:rsid w:val="008B7A39"/>
    <w:rsid w:val="008B7A50"/>
    <w:rsid w:val="008C05BB"/>
    <w:rsid w:val="008C0DB1"/>
    <w:rsid w:val="008C1B53"/>
    <w:rsid w:val="008C1E92"/>
    <w:rsid w:val="008C3327"/>
    <w:rsid w:val="008C460C"/>
    <w:rsid w:val="008C4E08"/>
    <w:rsid w:val="008C510F"/>
    <w:rsid w:val="008C6168"/>
    <w:rsid w:val="008C6CA6"/>
    <w:rsid w:val="008C7406"/>
    <w:rsid w:val="008C78B3"/>
    <w:rsid w:val="008D10B2"/>
    <w:rsid w:val="008D1374"/>
    <w:rsid w:val="008D3B11"/>
    <w:rsid w:val="008D5874"/>
    <w:rsid w:val="008D5882"/>
    <w:rsid w:val="008D5B4E"/>
    <w:rsid w:val="008D5FE6"/>
    <w:rsid w:val="008D6657"/>
    <w:rsid w:val="008D7A15"/>
    <w:rsid w:val="008E105C"/>
    <w:rsid w:val="008E1FA7"/>
    <w:rsid w:val="008E2474"/>
    <w:rsid w:val="008E2A07"/>
    <w:rsid w:val="008E2B37"/>
    <w:rsid w:val="008E4C0B"/>
    <w:rsid w:val="008E4D2E"/>
    <w:rsid w:val="008E52ED"/>
    <w:rsid w:val="008E5EA9"/>
    <w:rsid w:val="008F06CA"/>
    <w:rsid w:val="008F1A98"/>
    <w:rsid w:val="008F258C"/>
    <w:rsid w:val="008F3BB8"/>
    <w:rsid w:val="008F4513"/>
    <w:rsid w:val="008F4A9C"/>
    <w:rsid w:val="008F4BAD"/>
    <w:rsid w:val="008F5B45"/>
    <w:rsid w:val="008F72BE"/>
    <w:rsid w:val="008F7AC9"/>
    <w:rsid w:val="00900631"/>
    <w:rsid w:val="009006DA"/>
    <w:rsid w:val="00900D4D"/>
    <w:rsid w:val="00901417"/>
    <w:rsid w:val="00901DC7"/>
    <w:rsid w:val="009046DF"/>
    <w:rsid w:val="00904953"/>
    <w:rsid w:val="00905288"/>
    <w:rsid w:val="00906A18"/>
    <w:rsid w:val="00906A27"/>
    <w:rsid w:val="009073BC"/>
    <w:rsid w:val="009076D1"/>
    <w:rsid w:val="00910541"/>
    <w:rsid w:val="00910777"/>
    <w:rsid w:val="00910C78"/>
    <w:rsid w:val="00911C81"/>
    <w:rsid w:val="00913DE1"/>
    <w:rsid w:val="00913EB9"/>
    <w:rsid w:val="00914562"/>
    <w:rsid w:val="009151B8"/>
    <w:rsid w:val="009153D9"/>
    <w:rsid w:val="0091581F"/>
    <w:rsid w:val="0091682D"/>
    <w:rsid w:val="00920773"/>
    <w:rsid w:val="00920A88"/>
    <w:rsid w:val="009213A8"/>
    <w:rsid w:val="009213DB"/>
    <w:rsid w:val="00922370"/>
    <w:rsid w:val="00922534"/>
    <w:rsid w:val="0092289B"/>
    <w:rsid w:val="0092388A"/>
    <w:rsid w:val="00924C9F"/>
    <w:rsid w:val="00924CF9"/>
    <w:rsid w:val="00925BE7"/>
    <w:rsid w:val="0092736D"/>
    <w:rsid w:val="00927D62"/>
    <w:rsid w:val="00932192"/>
    <w:rsid w:val="009337A9"/>
    <w:rsid w:val="00936731"/>
    <w:rsid w:val="0093677E"/>
    <w:rsid w:val="00940AA8"/>
    <w:rsid w:val="00940B6B"/>
    <w:rsid w:val="00940BEC"/>
    <w:rsid w:val="00941979"/>
    <w:rsid w:val="00943412"/>
    <w:rsid w:val="00943B2E"/>
    <w:rsid w:val="00944FF2"/>
    <w:rsid w:val="0094536C"/>
    <w:rsid w:val="00945B40"/>
    <w:rsid w:val="00945D11"/>
    <w:rsid w:val="009472D2"/>
    <w:rsid w:val="009503E2"/>
    <w:rsid w:val="009508E8"/>
    <w:rsid w:val="00950917"/>
    <w:rsid w:val="009529B5"/>
    <w:rsid w:val="009557F9"/>
    <w:rsid w:val="0095615F"/>
    <w:rsid w:val="00956259"/>
    <w:rsid w:val="0095721A"/>
    <w:rsid w:val="00960F67"/>
    <w:rsid w:val="00961CD2"/>
    <w:rsid w:val="00962B76"/>
    <w:rsid w:val="00963595"/>
    <w:rsid w:val="00965D72"/>
    <w:rsid w:val="009668BF"/>
    <w:rsid w:val="00967611"/>
    <w:rsid w:val="0097061F"/>
    <w:rsid w:val="00970E5B"/>
    <w:rsid w:val="00971CF8"/>
    <w:rsid w:val="00972C70"/>
    <w:rsid w:val="00974224"/>
    <w:rsid w:val="00974792"/>
    <w:rsid w:val="00974F8D"/>
    <w:rsid w:val="00974FF1"/>
    <w:rsid w:val="00975874"/>
    <w:rsid w:val="00975D34"/>
    <w:rsid w:val="009767D3"/>
    <w:rsid w:val="00977B4C"/>
    <w:rsid w:val="00977E3C"/>
    <w:rsid w:val="009819FB"/>
    <w:rsid w:val="00981B47"/>
    <w:rsid w:val="00982BF2"/>
    <w:rsid w:val="00983935"/>
    <w:rsid w:val="00983E48"/>
    <w:rsid w:val="009846F6"/>
    <w:rsid w:val="00985119"/>
    <w:rsid w:val="00986F27"/>
    <w:rsid w:val="00987873"/>
    <w:rsid w:val="00987E67"/>
    <w:rsid w:val="00991554"/>
    <w:rsid w:val="00991559"/>
    <w:rsid w:val="00991FBE"/>
    <w:rsid w:val="00992A97"/>
    <w:rsid w:val="00992AFE"/>
    <w:rsid w:val="00992E31"/>
    <w:rsid w:val="0099421A"/>
    <w:rsid w:val="00995959"/>
    <w:rsid w:val="009A09AA"/>
    <w:rsid w:val="009A0E53"/>
    <w:rsid w:val="009A53CC"/>
    <w:rsid w:val="009A5E3A"/>
    <w:rsid w:val="009A7001"/>
    <w:rsid w:val="009A767F"/>
    <w:rsid w:val="009A7CD5"/>
    <w:rsid w:val="009A7DA5"/>
    <w:rsid w:val="009B01D4"/>
    <w:rsid w:val="009B064E"/>
    <w:rsid w:val="009B0C22"/>
    <w:rsid w:val="009B2452"/>
    <w:rsid w:val="009B2B08"/>
    <w:rsid w:val="009B3464"/>
    <w:rsid w:val="009B36E8"/>
    <w:rsid w:val="009B3913"/>
    <w:rsid w:val="009B3E43"/>
    <w:rsid w:val="009B4F93"/>
    <w:rsid w:val="009B54B4"/>
    <w:rsid w:val="009B5B40"/>
    <w:rsid w:val="009B637A"/>
    <w:rsid w:val="009B7253"/>
    <w:rsid w:val="009C20CA"/>
    <w:rsid w:val="009C2CF2"/>
    <w:rsid w:val="009C2D07"/>
    <w:rsid w:val="009C2E28"/>
    <w:rsid w:val="009C3467"/>
    <w:rsid w:val="009C38C0"/>
    <w:rsid w:val="009C5743"/>
    <w:rsid w:val="009C61D1"/>
    <w:rsid w:val="009C645E"/>
    <w:rsid w:val="009C77CE"/>
    <w:rsid w:val="009D1E07"/>
    <w:rsid w:val="009D3969"/>
    <w:rsid w:val="009D431B"/>
    <w:rsid w:val="009D4F53"/>
    <w:rsid w:val="009D6531"/>
    <w:rsid w:val="009D6CB0"/>
    <w:rsid w:val="009E0109"/>
    <w:rsid w:val="009E03BE"/>
    <w:rsid w:val="009E07BB"/>
    <w:rsid w:val="009E2399"/>
    <w:rsid w:val="009E23A8"/>
    <w:rsid w:val="009E298E"/>
    <w:rsid w:val="009E4820"/>
    <w:rsid w:val="009E4824"/>
    <w:rsid w:val="009E593B"/>
    <w:rsid w:val="009E67C9"/>
    <w:rsid w:val="009E6DE8"/>
    <w:rsid w:val="009E7AB9"/>
    <w:rsid w:val="009E7F9B"/>
    <w:rsid w:val="009F0F5B"/>
    <w:rsid w:val="009F2C77"/>
    <w:rsid w:val="009F3BF9"/>
    <w:rsid w:val="009F4224"/>
    <w:rsid w:val="009F4A72"/>
    <w:rsid w:val="009F5327"/>
    <w:rsid w:val="009F5E0B"/>
    <w:rsid w:val="009F6DDF"/>
    <w:rsid w:val="009F7479"/>
    <w:rsid w:val="00A005BC"/>
    <w:rsid w:val="00A005D3"/>
    <w:rsid w:val="00A00A9C"/>
    <w:rsid w:val="00A00B94"/>
    <w:rsid w:val="00A017E7"/>
    <w:rsid w:val="00A02923"/>
    <w:rsid w:val="00A0400A"/>
    <w:rsid w:val="00A0536C"/>
    <w:rsid w:val="00A05670"/>
    <w:rsid w:val="00A05A08"/>
    <w:rsid w:val="00A05A22"/>
    <w:rsid w:val="00A05F81"/>
    <w:rsid w:val="00A0608C"/>
    <w:rsid w:val="00A068A7"/>
    <w:rsid w:val="00A070AD"/>
    <w:rsid w:val="00A072CA"/>
    <w:rsid w:val="00A0782D"/>
    <w:rsid w:val="00A10C87"/>
    <w:rsid w:val="00A10D70"/>
    <w:rsid w:val="00A117E2"/>
    <w:rsid w:val="00A12216"/>
    <w:rsid w:val="00A12548"/>
    <w:rsid w:val="00A125C6"/>
    <w:rsid w:val="00A12D37"/>
    <w:rsid w:val="00A1489B"/>
    <w:rsid w:val="00A1524B"/>
    <w:rsid w:val="00A1599B"/>
    <w:rsid w:val="00A16415"/>
    <w:rsid w:val="00A164D5"/>
    <w:rsid w:val="00A16BE2"/>
    <w:rsid w:val="00A17E8C"/>
    <w:rsid w:val="00A2056F"/>
    <w:rsid w:val="00A209AB"/>
    <w:rsid w:val="00A20F50"/>
    <w:rsid w:val="00A21090"/>
    <w:rsid w:val="00A220E9"/>
    <w:rsid w:val="00A22363"/>
    <w:rsid w:val="00A2310F"/>
    <w:rsid w:val="00A23A1B"/>
    <w:rsid w:val="00A23B1A"/>
    <w:rsid w:val="00A24090"/>
    <w:rsid w:val="00A25D3B"/>
    <w:rsid w:val="00A2642A"/>
    <w:rsid w:val="00A2695F"/>
    <w:rsid w:val="00A26AD5"/>
    <w:rsid w:val="00A27B1B"/>
    <w:rsid w:val="00A27CFB"/>
    <w:rsid w:val="00A30B6B"/>
    <w:rsid w:val="00A30E21"/>
    <w:rsid w:val="00A30F05"/>
    <w:rsid w:val="00A317DB"/>
    <w:rsid w:val="00A336FA"/>
    <w:rsid w:val="00A35809"/>
    <w:rsid w:val="00A35EDE"/>
    <w:rsid w:val="00A35FD9"/>
    <w:rsid w:val="00A3615C"/>
    <w:rsid w:val="00A36C76"/>
    <w:rsid w:val="00A36CA9"/>
    <w:rsid w:val="00A36F91"/>
    <w:rsid w:val="00A36F95"/>
    <w:rsid w:val="00A37D34"/>
    <w:rsid w:val="00A40AE4"/>
    <w:rsid w:val="00A42A3A"/>
    <w:rsid w:val="00A42FC1"/>
    <w:rsid w:val="00A43A6C"/>
    <w:rsid w:val="00A44704"/>
    <w:rsid w:val="00A45290"/>
    <w:rsid w:val="00A478DC"/>
    <w:rsid w:val="00A47D86"/>
    <w:rsid w:val="00A50FBD"/>
    <w:rsid w:val="00A510E4"/>
    <w:rsid w:val="00A51FCA"/>
    <w:rsid w:val="00A532FF"/>
    <w:rsid w:val="00A53BD5"/>
    <w:rsid w:val="00A53EE1"/>
    <w:rsid w:val="00A54D62"/>
    <w:rsid w:val="00A54EBE"/>
    <w:rsid w:val="00A5682E"/>
    <w:rsid w:val="00A57DF8"/>
    <w:rsid w:val="00A6076B"/>
    <w:rsid w:val="00A60B19"/>
    <w:rsid w:val="00A60E2C"/>
    <w:rsid w:val="00A62C82"/>
    <w:rsid w:val="00A639AD"/>
    <w:rsid w:val="00A6486D"/>
    <w:rsid w:val="00A648C5"/>
    <w:rsid w:val="00A657DB"/>
    <w:rsid w:val="00A667E6"/>
    <w:rsid w:val="00A668D6"/>
    <w:rsid w:val="00A66D77"/>
    <w:rsid w:val="00A67A8E"/>
    <w:rsid w:val="00A67F41"/>
    <w:rsid w:val="00A70000"/>
    <w:rsid w:val="00A7111B"/>
    <w:rsid w:val="00A716DD"/>
    <w:rsid w:val="00A72994"/>
    <w:rsid w:val="00A72F8E"/>
    <w:rsid w:val="00A73195"/>
    <w:rsid w:val="00A745EB"/>
    <w:rsid w:val="00A749A9"/>
    <w:rsid w:val="00A751DD"/>
    <w:rsid w:val="00A766B4"/>
    <w:rsid w:val="00A776F2"/>
    <w:rsid w:val="00A80A89"/>
    <w:rsid w:val="00A84603"/>
    <w:rsid w:val="00A84D24"/>
    <w:rsid w:val="00A84E9B"/>
    <w:rsid w:val="00A850A5"/>
    <w:rsid w:val="00A862A3"/>
    <w:rsid w:val="00A86979"/>
    <w:rsid w:val="00A86CDD"/>
    <w:rsid w:val="00A87799"/>
    <w:rsid w:val="00A877AD"/>
    <w:rsid w:val="00A87F01"/>
    <w:rsid w:val="00A91F7E"/>
    <w:rsid w:val="00A92572"/>
    <w:rsid w:val="00A93200"/>
    <w:rsid w:val="00A9330B"/>
    <w:rsid w:val="00A940EB"/>
    <w:rsid w:val="00A94397"/>
    <w:rsid w:val="00A948BA"/>
    <w:rsid w:val="00A96768"/>
    <w:rsid w:val="00A96AB4"/>
    <w:rsid w:val="00A971B5"/>
    <w:rsid w:val="00A97C80"/>
    <w:rsid w:val="00A97E4E"/>
    <w:rsid w:val="00AA06AF"/>
    <w:rsid w:val="00AA0CDF"/>
    <w:rsid w:val="00AA18B0"/>
    <w:rsid w:val="00AA19AD"/>
    <w:rsid w:val="00AA2564"/>
    <w:rsid w:val="00AA378D"/>
    <w:rsid w:val="00AA532F"/>
    <w:rsid w:val="00AA56FE"/>
    <w:rsid w:val="00AA5FDB"/>
    <w:rsid w:val="00AA6A82"/>
    <w:rsid w:val="00AA6EB9"/>
    <w:rsid w:val="00AA778C"/>
    <w:rsid w:val="00AB17EC"/>
    <w:rsid w:val="00AB1F96"/>
    <w:rsid w:val="00AB20BF"/>
    <w:rsid w:val="00AB2CC4"/>
    <w:rsid w:val="00AB307D"/>
    <w:rsid w:val="00AB34E9"/>
    <w:rsid w:val="00AB3FD3"/>
    <w:rsid w:val="00AB492E"/>
    <w:rsid w:val="00AB49D2"/>
    <w:rsid w:val="00AB49D8"/>
    <w:rsid w:val="00AB5313"/>
    <w:rsid w:val="00AB5AFC"/>
    <w:rsid w:val="00AB5B22"/>
    <w:rsid w:val="00AB5D10"/>
    <w:rsid w:val="00AB6833"/>
    <w:rsid w:val="00AB7085"/>
    <w:rsid w:val="00AB7A78"/>
    <w:rsid w:val="00AC1627"/>
    <w:rsid w:val="00AC1A71"/>
    <w:rsid w:val="00AC271A"/>
    <w:rsid w:val="00AC28CD"/>
    <w:rsid w:val="00AC2C70"/>
    <w:rsid w:val="00AC2E2F"/>
    <w:rsid w:val="00AC3A2F"/>
    <w:rsid w:val="00AC3E9F"/>
    <w:rsid w:val="00AC41E0"/>
    <w:rsid w:val="00AC5626"/>
    <w:rsid w:val="00AC566A"/>
    <w:rsid w:val="00AC6146"/>
    <w:rsid w:val="00AC64A5"/>
    <w:rsid w:val="00AC6EC2"/>
    <w:rsid w:val="00AD0726"/>
    <w:rsid w:val="00AD2964"/>
    <w:rsid w:val="00AD365B"/>
    <w:rsid w:val="00AD3A02"/>
    <w:rsid w:val="00AD4936"/>
    <w:rsid w:val="00AD5195"/>
    <w:rsid w:val="00AD59C1"/>
    <w:rsid w:val="00AD5C3C"/>
    <w:rsid w:val="00AD6CDA"/>
    <w:rsid w:val="00AD7400"/>
    <w:rsid w:val="00AD7A70"/>
    <w:rsid w:val="00AE0745"/>
    <w:rsid w:val="00AE0778"/>
    <w:rsid w:val="00AE1BE3"/>
    <w:rsid w:val="00AE1E35"/>
    <w:rsid w:val="00AE1F91"/>
    <w:rsid w:val="00AE270B"/>
    <w:rsid w:val="00AE3FBE"/>
    <w:rsid w:val="00AE451B"/>
    <w:rsid w:val="00AE47CB"/>
    <w:rsid w:val="00AE4942"/>
    <w:rsid w:val="00AE4D35"/>
    <w:rsid w:val="00AE5DAC"/>
    <w:rsid w:val="00AE5FC8"/>
    <w:rsid w:val="00AE6117"/>
    <w:rsid w:val="00AE61DF"/>
    <w:rsid w:val="00AE64FD"/>
    <w:rsid w:val="00AE6ED7"/>
    <w:rsid w:val="00AE6F06"/>
    <w:rsid w:val="00AE7143"/>
    <w:rsid w:val="00AE7C40"/>
    <w:rsid w:val="00AF00DF"/>
    <w:rsid w:val="00AF04CD"/>
    <w:rsid w:val="00AF0752"/>
    <w:rsid w:val="00AF0A2F"/>
    <w:rsid w:val="00AF1664"/>
    <w:rsid w:val="00AF2112"/>
    <w:rsid w:val="00AF217C"/>
    <w:rsid w:val="00AF22A6"/>
    <w:rsid w:val="00AF33DF"/>
    <w:rsid w:val="00AF345E"/>
    <w:rsid w:val="00AF5F67"/>
    <w:rsid w:val="00B00A2C"/>
    <w:rsid w:val="00B01257"/>
    <w:rsid w:val="00B03927"/>
    <w:rsid w:val="00B03D64"/>
    <w:rsid w:val="00B05B01"/>
    <w:rsid w:val="00B05E59"/>
    <w:rsid w:val="00B1002E"/>
    <w:rsid w:val="00B107E2"/>
    <w:rsid w:val="00B11AF5"/>
    <w:rsid w:val="00B11CE3"/>
    <w:rsid w:val="00B120D5"/>
    <w:rsid w:val="00B12ED2"/>
    <w:rsid w:val="00B136F6"/>
    <w:rsid w:val="00B13882"/>
    <w:rsid w:val="00B14CE7"/>
    <w:rsid w:val="00B15B7D"/>
    <w:rsid w:val="00B164A1"/>
    <w:rsid w:val="00B16DF4"/>
    <w:rsid w:val="00B17010"/>
    <w:rsid w:val="00B171D4"/>
    <w:rsid w:val="00B1727E"/>
    <w:rsid w:val="00B2067B"/>
    <w:rsid w:val="00B21A4A"/>
    <w:rsid w:val="00B23799"/>
    <w:rsid w:val="00B241CE"/>
    <w:rsid w:val="00B24ABA"/>
    <w:rsid w:val="00B24EC2"/>
    <w:rsid w:val="00B306D1"/>
    <w:rsid w:val="00B309F0"/>
    <w:rsid w:val="00B30C80"/>
    <w:rsid w:val="00B31CA7"/>
    <w:rsid w:val="00B325FE"/>
    <w:rsid w:val="00B329DF"/>
    <w:rsid w:val="00B337B6"/>
    <w:rsid w:val="00B33F52"/>
    <w:rsid w:val="00B35385"/>
    <w:rsid w:val="00B36C5D"/>
    <w:rsid w:val="00B376D8"/>
    <w:rsid w:val="00B37FEA"/>
    <w:rsid w:val="00B404F5"/>
    <w:rsid w:val="00B4064C"/>
    <w:rsid w:val="00B419F2"/>
    <w:rsid w:val="00B41B2B"/>
    <w:rsid w:val="00B426ED"/>
    <w:rsid w:val="00B42E0C"/>
    <w:rsid w:val="00B45F7B"/>
    <w:rsid w:val="00B47827"/>
    <w:rsid w:val="00B47954"/>
    <w:rsid w:val="00B47D33"/>
    <w:rsid w:val="00B47D6C"/>
    <w:rsid w:val="00B47FE1"/>
    <w:rsid w:val="00B506FA"/>
    <w:rsid w:val="00B51DB8"/>
    <w:rsid w:val="00B5273E"/>
    <w:rsid w:val="00B537AD"/>
    <w:rsid w:val="00B538E9"/>
    <w:rsid w:val="00B53E83"/>
    <w:rsid w:val="00B545D1"/>
    <w:rsid w:val="00B5477C"/>
    <w:rsid w:val="00B54A4C"/>
    <w:rsid w:val="00B56365"/>
    <w:rsid w:val="00B5696B"/>
    <w:rsid w:val="00B6038B"/>
    <w:rsid w:val="00B60990"/>
    <w:rsid w:val="00B623A0"/>
    <w:rsid w:val="00B62755"/>
    <w:rsid w:val="00B629FE"/>
    <w:rsid w:val="00B63728"/>
    <w:rsid w:val="00B637B2"/>
    <w:rsid w:val="00B65134"/>
    <w:rsid w:val="00B658B0"/>
    <w:rsid w:val="00B659B6"/>
    <w:rsid w:val="00B67A26"/>
    <w:rsid w:val="00B70AEE"/>
    <w:rsid w:val="00B70E62"/>
    <w:rsid w:val="00B71271"/>
    <w:rsid w:val="00B7160F"/>
    <w:rsid w:val="00B7199B"/>
    <w:rsid w:val="00B71ADF"/>
    <w:rsid w:val="00B72459"/>
    <w:rsid w:val="00B72A58"/>
    <w:rsid w:val="00B72C98"/>
    <w:rsid w:val="00B72F40"/>
    <w:rsid w:val="00B73110"/>
    <w:rsid w:val="00B731F9"/>
    <w:rsid w:val="00B7501C"/>
    <w:rsid w:val="00B76247"/>
    <w:rsid w:val="00B76530"/>
    <w:rsid w:val="00B76B70"/>
    <w:rsid w:val="00B77A65"/>
    <w:rsid w:val="00B77EF4"/>
    <w:rsid w:val="00B81EF6"/>
    <w:rsid w:val="00B81F23"/>
    <w:rsid w:val="00B82A3A"/>
    <w:rsid w:val="00B8351D"/>
    <w:rsid w:val="00B866D3"/>
    <w:rsid w:val="00B870E8"/>
    <w:rsid w:val="00B87229"/>
    <w:rsid w:val="00B87355"/>
    <w:rsid w:val="00B90A19"/>
    <w:rsid w:val="00B92EA4"/>
    <w:rsid w:val="00B931B4"/>
    <w:rsid w:val="00B9360D"/>
    <w:rsid w:val="00B936D7"/>
    <w:rsid w:val="00B93AB6"/>
    <w:rsid w:val="00B93D29"/>
    <w:rsid w:val="00B94DA9"/>
    <w:rsid w:val="00B94E2B"/>
    <w:rsid w:val="00B955A3"/>
    <w:rsid w:val="00B957AD"/>
    <w:rsid w:val="00B957ED"/>
    <w:rsid w:val="00B96755"/>
    <w:rsid w:val="00BA0746"/>
    <w:rsid w:val="00BA0C68"/>
    <w:rsid w:val="00BA1D16"/>
    <w:rsid w:val="00BA20DE"/>
    <w:rsid w:val="00BA2AB1"/>
    <w:rsid w:val="00BA2E68"/>
    <w:rsid w:val="00BA31A8"/>
    <w:rsid w:val="00BA657A"/>
    <w:rsid w:val="00BA6697"/>
    <w:rsid w:val="00BA6C34"/>
    <w:rsid w:val="00BA6C54"/>
    <w:rsid w:val="00BA6F3E"/>
    <w:rsid w:val="00BB099C"/>
    <w:rsid w:val="00BB0DF4"/>
    <w:rsid w:val="00BB3CFF"/>
    <w:rsid w:val="00BB4CB4"/>
    <w:rsid w:val="00BB4CCD"/>
    <w:rsid w:val="00BB5951"/>
    <w:rsid w:val="00BB5C83"/>
    <w:rsid w:val="00BB643C"/>
    <w:rsid w:val="00BC01CC"/>
    <w:rsid w:val="00BC072C"/>
    <w:rsid w:val="00BC0948"/>
    <w:rsid w:val="00BC09E8"/>
    <w:rsid w:val="00BC1CA6"/>
    <w:rsid w:val="00BC2D19"/>
    <w:rsid w:val="00BC3000"/>
    <w:rsid w:val="00BC4567"/>
    <w:rsid w:val="00BC499A"/>
    <w:rsid w:val="00BC6A69"/>
    <w:rsid w:val="00BC6FA5"/>
    <w:rsid w:val="00BC717E"/>
    <w:rsid w:val="00BC73C5"/>
    <w:rsid w:val="00BD1CB7"/>
    <w:rsid w:val="00BD2F54"/>
    <w:rsid w:val="00BD4466"/>
    <w:rsid w:val="00BD4DFE"/>
    <w:rsid w:val="00BD593F"/>
    <w:rsid w:val="00BD64BE"/>
    <w:rsid w:val="00BD6706"/>
    <w:rsid w:val="00BD67AE"/>
    <w:rsid w:val="00BE0D08"/>
    <w:rsid w:val="00BE1BEF"/>
    <w:rsid w:val="00BE1DDD"/>
    <w:rsid w:val="00BE234B"/>
    <w:rsid w:val="00BE2CF0"/>
    <w:rsid w:val="00BE5EBB"/>
    <w:rsid w:val="00BE630D"/>
    <w:rsid w:val="00BE6BED"/>
    <w:rsid w:val="00BE76C9"/>
    <w:rsid w:val="00BE7ED8"/>
    <w:rsid w:val="00BF2B13"/>
    <w:rsid w:val="00BF3198"/>
    <w:rsid w:val="00BF36F6"/>
    <w:rsid w:val="00BF46AC"/>
    <w:rsid w:val="00BF4A21"/>
    <w:rsid w:val="00BF5947"/>
    <w:rsid w:val="00BF6491"/>
    <w:rsid w:val="00BF70F8"/>
    <w:rsid w:val="00C003D0"/>
    <w:rsid w:val="00C0049F"/>
    <w:rsid w:val="00C0223E"/>
    <w:rsid w:val="00C02B19"/>
    <w:rsid w:val="00C0464A"/>
    <w:rsid w:val="00C04967"/>
    <w:rsid w:val="00C06B00"/>
    <w:rsid w:val="00C0704C"/>
    <w:rsid w:val="00C076B2"/>
    <w:rsid w:val="00C07FBF"/>
    <w:rsid w:val="00C13127"/>
    <w:rsid w:val="00C13562"/>
    <w:rsid w:val="00C1570C"/>
    <w:rsid w:val="00C20752"/>
    <w:rsid w:val="00C20924"/>
    <w:rsid w:val="00C20937"/>
    <w:rsid w:val="00C2177F"/>
    <w:rsid w:val="00C22361"/>
    <w:rsid w:val="00C22C9D"/>
    <w:rsid w:val="00C23985"/>
    <w:rsid w:val="00C23BD0"/>
    <w:rsid w:val="00C2419C"/>
    <w:rsid w:val="00C24C26"/>
    <w:rsid w:val="00C25638"/>
    <w:rsid w:val="00C25B22"/>
    <w:rsid w:val="00C26B8C"/>
    <w:rsid w:val="00C26D89"/>
    <w:rsid w:val="00C2783E"/>
    <w:rsid w:val="00C27C0B"/>
    <w:rsid w:val="00C315AB"/>
    <w:rsid w:val="00C31833"/>
    <w:rsid w:val="00C33018"/>
    <w:rsid w:val="00C33B4D"/>
    <w:rsid w:val="00C33FF8"/>
    <w:rsid w:val="00C35A49"/>
    <w:rsid w:val="00C35AB9"/>
    <w:rsid w:val="00C366C9"/>
    <w:rsid w:val="00C36AF1"/>
    <w:rsid w:val="00C37458"/>
    <w:rsid w:val="00C37AF7"/>
    <w:rsid w:val="00C37DB0"/>
    <w:rsid w:val="00C4164A"/>
    <w:rsid w:val="00C43042"/>
    <w:rsid w:val="00C433FE"/>
    <w:rsid w:val="00C437B6"/>
    <w:rsid w:val="00C438F6"/>
    <w:rsid w:val="00C44735"/>
    <w:rsid w:val="00C45E29"/>
    <w:rsid w:val="00C4732C"/>
    <w:rsid w:val="00C478FD"/>
    <w:rsid w:val="00C50118"/>
    <w:rsid w:val="00C5084D"/>
    <w:rsid w:val="00C51E84"/>
    <w:rsid w:val="00C53C02"/>
    <w:rsid w:val="00C56D85"/>
    <w:rsid w:val="00C5759D"/>
    <w:rsid w:val="00C576CA"/>
    <w:rsid w:val="00C617E5"/>
    <w:rsid w:val="00C61ECC"/>
    <w:rsid w:val="00C61F67"/>
    <w:rsid w:val="00C62B77"/>
    <w:rsid w:val="00C64A46"/>
    <w:rsid w:val="00C64E6A"/>
    <w:rsid w:val="00C65ABA"/>
    <w:rsid w:val="00C6608F"/>
    <w:rsid w:val="00C6652F"/>
    <w:rsid w:val="00C667E4"/>
    <w:rsid w:val="00C67817"/>
    <w:rsid w:val="00C702B9"/>
    <w:rsid w:val="00C70D9D"/>
    <w:rsid w:val="00C71060"/>
    <w:rsid w:val="00C72391"/>
    <w:rsid w:val="00C7280C"/>
    <w:rsid w:val="00C72C20"/>
    <w:rsid w:val="00C73D3E"/>
    <w:rsid w:val="00C75AE8"/>
    <w:rsid w:val="00C75D9F"/>
    <w:rsid w:val="00C76A9C"/>
    <w:rsid w:val="00C77054"/>
    <w:rsid w:val="00C80492"/>
    <w:rsid w:val="00C81675"/>
    <w:rsid w:val="00C81C96"/>
    <w:rsid w:val="00C822D0"/>
    <w:rsid w:val="00C84190"/>
    <w:rsid w:val="00C849B1"/>
    <w:rsid w:val="00C85450"/>
    <w:rsid w:val="00C85880"/>
    <w:rsid w:val="00C86EE3"/>
    <w:rsid w:val="00C8734B"/>
    <w:rsid w:val="00C9021F"/>
    <w:rsid w:val="00C9028D"/>
    <w:rsid w:val="00C902AD"/>
    <w:rsid w:val="00C906FE"/>
    <w:rsid w:val="00C90B23"/>
    <w:rsid w:val="00C96B20"/>
    <w:rsid w:val="00C97DA0"/>
    <w:rsid w:val="00CA2782"/>
    <w:rsid w:val="00CA2801"/>
    <w:rsid w:val="00CA41BF"/>
    <w:rsid w:val="00CA539C"/>
    <w:rsid w:val="00CA77AC"/>
    <w:rsid w:val="00CB0AEF"/>
    <w:rsid w:val="00CB1CB9"/>
    <w:rsid w:val="00CB1E2A"/>
    <w:rsid w:val="00CB22FF"/>
    <w:rsid w:val="00CB245D"/>
    <w:rsid w:val="00CB34B8"/>
    <w:rsid w:val="00CB4647"/>
    <w:rsid w:val="00CB50D5"/>
    <w:rsid w:val="00CB686E"/>
    <w:rsid w:val="00CB7777"/>
    <w:rsid w:val="00CB7D0F"/>
    <w:rsid w:val="00CC0833"/>
    <w:rsid w:val="00CC0D6C"/>
    <w:rsid w:val="00CC156E"/>
    <w:rsid w:val="00CC32AF"/>
    <w:rsid w:val="00CC3AC1"/>
    <w:rsid w:val="00CC4974"/>
    <w:rsid w:val="00CC4E25"/>
    <w:rsid w:val="00CC5372"/>
    <w:rsid w:val="00CC546F"/>
    <w:rsid w:val="00CC5E61"/>
    <w:rsid w:val="00CD0213"/>
    <w:rsid w:val="00CD18A6"/>
    <w:rsid w:val="00CD1D6F"/>
    <w:rsid w:val="00CD1DAA"/>
    <w:rsid w:val="00CD3BD1"/>
    <w:rsid w:val="00CD71A0"/>
    <w:rsid w:val="00CD72D4"/>
    <w:rsid w:val="00CD77AC"/>
    <w:rsid w:val="00CE0197"/>
    <w:rsid w:val="00CE0DF9"/>
    <w:rsid w:val="00CE0E80"/>
    <w:rsid w:val="00CE26EA"/>
    <w:rsid w:val="00CE2B77"/>
    <w:rsid w:val="00CE2BF9"/>
    <w:rsid w:val="00CE2CD3"/>
    <w:rsid w:val="00CE30CD"/>
    <w:rsid w:val="00CE36CE"/>
    <w:rsid w:val="00CE3C0E"/>
    <w:rsid w:val="00CE5251"/>
    <w:rsid w:val="00CE6267"/>
    <w:rsid w:val="00CE730B"/>
    <w:rsid w:val="00CF047E"/>
    <w:rsid w:val="00CF06A5"/>
    <w:rsid w:val="00CF0F79"/>
    <w:rsid w:val="00CF137D"/>
    <w:rsid w:val="00CF13F0"/>
    <w:rsid w:val="00CF254B"/>
    <w:rsid w:val="00CF2B26"/>
    <w:rsid w:val="00CF2B2B"/>
    <w:rsid w:val="00CF4DEF"/>
    <w:rsid w:val="00CF5CD3"/>
    <w:rsid w:val="00CF785A"/>
    <w:rsid w:val="00D00008"/>
    <w:rsid w:val="00D01104"/>
    <w:rsid w:val="00D011FD"/>
    <w:rsid w:val="00D01E62"/>
    <w:rsid w:val="00D032B6"/>
    <w:rsid w:val="00D04DBF"/>
    <w:rsid w:val="00D05A39"/>
    <w:rsid w:val="00D05C36"/>
    <w:rsid w:val="00D065ED"/>
    <w:rsid w:val="00D10971"/>
    <w:rsid w:val="00D10F86"/>
    <w:rsid w:val="00D11508"/>
    <w:rsid w:val="00D11686"/>
    <w:rsid w:val="00D11AFF"/>
    <w:rsid w:val="00D11C7F"/>
    <w:rsid w:val="00D11ED0"/>
    <w:rsid w:val="00D12101"/>
    <w:rsid w:val="00D1225E"/>
    <w:rsid w:val="00D135DA"/>
    <w:rsid w:val="00D15D67"/>
    <w:rsid w:val="00D20234"/>
    <w:rsid w:val="00D20794"/>
    <w:rsid w:val="00D208D0"/>
    <w:rsid w:val="00D20EAE"/>
    <w:rsid w:val="00D212D5"/>
    <w:rsid w:val="00D22E64"/>
    <w:rsid w:val="00D230D8"/>
    <w:rsid w:val="00D24B24"/>
    <w:rsid w:val="00D24EB0"/>
    <w:rsid w:val="00D25987"/>
    <w:rsid w:val="00D259EA"/>
    <w:rsid w:val="00D26107"/>
    <w:rsid w:val="00D26EA2"/>
    <w:rsid w:val="00D272C3"/>
    <w:rsid w:val="00D27724"/>
    <w:rsid w:val="00D302D7"/>
    <w:rsid w:val="00D31815"/>
    <w:rsid w:val="00D322FA"/>
    <w:rsid w:val="00D33A32"/>
    <w:rsid w:val="00D340B6"/>
    <w:rsid w:val="00D34AF5"/>
    <w:rsid w:val="00D34FAC"/>
    <w:rsid w:val="00D350E6"/>
    <w:rsid w:val="00D36DE8"/>
    <w:rsid w:val="00D37522"/>
    <w:rsid w:val="00D401B7"/>
    <w:rsid w:val="00D40219"/>
    <w:rsid w:val="00D40B45"/>
    <w:rsid w:val="00D438C6"/>
    <w:rsid w:val="00D438E7"/>
    <w:rsid w:val="00D442C2"/>
    <w:rsid w:val="00D444E0"/>
    <w:rsid w:val="00D44DA8"/>
    <w:rsid w:val="00D45034"/>
    <w:rsid w:val="00D450B4"/>
    <w:rsid w:val="00D4634C"/>
    <w:rsid w:val="00D46C32"/>
    <w:rsid w:val="00D471AE"/>
    <w:rsid w:val="00D50BA1"/>
    <w:rsid w:val="00D50EE9"/>
    <w:rsid w:val="00D52EC6"/>
    <w:rsid w:val="00D53C02"/>
    <w:rsid w:val="00D54728"/>
    <w:rsid w:val="00D557A4"/>
    <w:rsid w:val="00D56DF2"/>
    <w:rsid w:val="00D615FF"/>
    <w:rsid w:val="00D6188A"/>
    <w:rsid w:val="00D61ABE"/>
    <w:rsid w:val="00D61D75"/>
    <w:rsid w:val="00D6224B"/>
    <w:rsid w:val="00D622B0"/>
    <w:rsid w:val="00D62B15"/>
    <w:rsid w:val="00D63819"/>
    <w:rsid w:val="00D64E81"/>
    <w:rsid w:val="00D65079"/>
    <w:rsid w:val="00D65B5E"/>
    <w:rsid w:val="00D65C21"/>
    <w:rsid w:val="00D6686B"/>
    <w:rsid w:val="00D66EE9"/>
    <w:rsid w:val="00D67101"/>
    <w:rsid w:val="00D671FA"/>
    <w:rsid w:val="00D67E3F"/>
    <w:rsid w:val="00D70010"/>
    <w:rsid w:val="00D703B8"/>
    <w:rsid w:val="00D70D85"/>
    <w:rsid w:val="00D70EE6"/>
    <w:rsid w:val="00D718B1"/>
    <w:rsid w:val="00D71BAC"/>
    <w:rsid w:val="00D73229"/>
    <w:rsid w:val="00D7331A"/>
    <w:rsid w:val="00D742E7"/>
    <w:rsid w:val="00D7499D"/>
    <w:rsid w:val="00D74B1B"/>
    <w:rsid w:val="00D74C04"/>
    <w:rsid w:val="00D767F5"/>
    <w:rsid w:val="00D76BB0"/>
    <w:rsid w:val="00D80858"/>
    <w:rsid w:val="00D82E6B"/>
    <w:rsid w:val="00D83B03"/>
    <w:rsid w:val="00D84145"/>
    <w:rsid w:val="00D84231"/>
    <w:rsid w:val="00D847FC"/>
    <w:rsid w:val="00D84ECA"/>
    <w:rsid w:val="00D854D7"/>
    <w:rsid w:val="00D874A8"/>
    <w:rsid w:val="00D87713"/>
    <w:rsid w:val="00D91A3F"/>
    <w:rsid w:val="00D91B67"/>
    <w:rsid w:val="00D91E1A"/>
    <w:rsid w:val="00D923B6"/>
    <w:rsid w:val="00D924A3"/>
    <w:rsid w:val="00D92CDF"/>
    <w:rsid w:val="00D93A4F"/>
    <w:rsid w:val="00D9522A"/>
    <w:rsid w:val="00D954AE"/>
    <w:rsid w:val="00D97687"/>
    <w:rsid w:val="00DA14A9"/>
    <w:rsid w:val="00DA17E5"/>
    <w:rsid w:val="00DA22D8"/>
    <w:rsid w:val="00DA32DF"/>
    <w:rsid w:val="00DA363D"/>
    <w:rsid w:val="00DA5931"/>
    <w:rsid w:val="00DA5F05"/>
    <w:rsid w:val="00DA722B"/>
    <w:rsid w:val="00DA76C9"/>
    <w:rsid w:val="00DA7F49"/>
    <w:rsid w:val="00DB09C9"/>
    <w:rsid w:val="00DB1F0E"/>
    <w:rsid w:val="00DB2421"/>
    <w:rsid w:val="00DB2424"/>
    <w:rsid w:val="00DB2A90"/>
    <w:rsid w:val="00DB3E84"/>
    <w:rsid w:val="00DB4E6A"/>
    <w:rsid w:val="00DB6128"/>
    <w:rsid w:val="00DB764E"/>
    <w:rsid w:val="00DC00F5"/>
    <w:rsid w:val="00DC02A0"/>
    <w:rsid w:val="00DC0B08"/>
    <w:rsid w:val="00DC0CD2"/>
    <w:rsid w:val="00DC0E27"/>
    <w:rsid w:val="00DC1000"/>
    <w:rsid w:val="00DC3D3E"/>
    <w:rsid w:val="00DC68C0"/>
    <w:rsid w:val="00DC6AE1"/>
    <w:rsid w:val="00DC7241"/>
    <w:rsid w:val="00DD083D"/>
    <w:rsid w:val="00DD1953"/>
    <w:rsid w:val="00DD1BB4"/>
    <w:rsid w:val="00DD2BD1"/>
    <w:rsid w:val="00DD469A"/>
    <w:rsid w:val="00DD63CD"/>
    <w:rsid w:val="00DD6547"/>
    <w:rsid w:val="00DD78A5"/>
    <w:rsid w:val="00DD7CE5"/>
    <w:rsid w:val="00DE1333"/>
    <w:rsid w:val="00DE1960"/>
    <w:rsid w:val="00DE2616"/>
    <w:rsid w:val="00DE4300"/>
    <w:rsid w:val="00DE4448"/>
    <w:rsid w:val="00DE49C9"/>
    <w:rsid w:val="00DE58FB"/>
    <w:rsid w:val="00DE6957"/>
    <w:rsid w:val="00DE6C17"/>
    <w:rsid w:val="00DE6C67"/>
    <w:rsid w:val="00DF00E8"/>
    <w:rsid w:val="00DF2638"/>
    <w:rsid w:val="00DF5E1E"/>
    <w:rsid w:val="00DF6442"/>
    <w:rsid w:val="00DF67A3"/>
    <w:rsid w:val="00DF720D"/>
    <w:rsid w:val="00DF7A42"/>
    <w:rsid w:val="00DF7C4C"/>
    <w:rsid w:val="00E003C5"/>
    <w:rsid w:val="00E01CAE"/>
    <w:rsid w:val="00E022DC"/>
    <w:rsid w:val="00E0236D"/>
    <w:rsid w:val="00E024D3"/>
    <w:rsid w:val="00E028AE"/>
    <w:rsid w:val="00E02A75"/>
    <w:rsid w:val="00E0487B"/>
    <w:rsid w:val="00E057DB"/>
    <w:rsid w:val="00E07A7B"/>
    <w:rsid w:val="00E07F95"/>
    <w:rsid w:val="00E11951"/>
    <w:rsid w:val="00E121F2"/>
    <w:rsid w:val="00E138BD"/>
    <w:rsid w:val="00E139FC"/>
    <w:rsid w:val="00E143E2"/>
    <w:rsid w:val="00E14435"/>
    <w:rsid w:val="00E16507"/>
    <w:rsid w:val="00E16B08"/>
    <w:rsid w:val="00E206F5"/>
    <w:rsid w:val="00E21598"/>
    <w:rsid w:val="00E21A43"/>
    <w:rsid w:val="00E2508E"/>
    <w:rsid w:val="00E259BC"/>
    <w:rsid w:val="00E264A4"/>
    <w:rsid w:val="00E269B5"/>
    <w:rsid w:val="00E27322"/>
    <w:rsid w:val="00E27332"/>
    <w:rsid w:val="00E27BA7"/>
    <w:rsid w:val="00E27BB6"/>
    <w:rsid w:val="00E312FC"/>
    <w:rsid w:val="00E3153B"/>
    <w:rsid w:val="00E31D4C"/>
    <w:rsid w:val="00E32E9A"/>
    <w:rsid w:val="00E33773"/>
    <w:rsid w:val="00E34238"/>
    <w:rsid w:val="00E347E6"/>
    <w:rsid w:val="00E36EBF"/>
    <w:rsid w:val="00E40280"/>
    <w:rsid w:val="00E40CD0"/>
    <w:rsid w:val="00E40FCC"/>
    <w:rsid w:val="00E42EFA"/>
    <w:rsid w:val="00E43122"/>
    <w:rsid w:val="00E44003"/>
    <w:rsid w:val="00E456A5"/>
    <w:rsid w:val="00E46ACB"/>
    <w:rsid w:val="00E470B1"/>
    <w:rsid w:val="00E50890"/>
    <w:rsid w:val="00E5110E"/>
    <w:rsid w:val="00E51546"/>
    <w:rsid w:val="00E51877"/>
    <w:rsid w:val="00E51F94"/>
    <w:rsid w:val="00E53B29"/>
    <w:rsid w:val="00E54E2B"/>
    <w:rsid w:val="00E5512D"/>
    <w:rsid w:val="00E55AAF"/>
    <w:rsid w:val="00E564F8"/>
    <w:rsid w:val="00E5654C"/>
    <w:rsid w:val="00E574E5"/>
    <w:rsid w:val="00E60EA7"/>
    <w:rsid w:val="00E61297"/>
    <w:rsid w:val="00E61AD1"/>
    <w:rsid w:val="00E62E47"/>
    <w:rsid w:val="00E63A74"/>
    <w:rsid w:val="00E63C51"/>
    <w:rsid w:val="00E6432D"/>
    <w:rsid w:val="00E64965"/>
    <w:rsid w:val="00E6573C"/>
    <w:rsid w:val="00E6671A"/>
    <w:rsid w:val="00E66C72"/>
    <w:rsid w:val="00E6747A"/>
    <w:rsid w:val="00E7021A"/>
    <w:rsid w:val="00E70BDA"/>
    <w:rsid w:val="00E71139"/>
    <w:rsid w:val="00E726C3"/>
    <w:rsid w:val="00E744F5"/>
    <w:rsid w:val="00E74F63"/>
    <w:rsid w:val="00E7602E"/>
    <w:rsid w:val="00E7712C"/>
    <w:rsid w:val="00E7773E"/>
    <w:rsid w:val="00E77F65"/>
    <w:rsid w:val="00E801AD"/>
    <w:rsid w:val="00E81072"/>
    <w:rsid w:val="00E82E08"/>
    <w:rsid w:val="00E84B9D"/>
    <w:rsid w:val="00E85013"/>
    <w:rsid w:val="00E85B2F"/>
    <w:rsid w:val="00E86030"/>
    <w:rsid w:val="00E86645"/>
    <w:rsid w:val="00E86A64"/>
    <w:rsid w:val="00E879AF"/>
    <w:rsid w:val="00E87CD4"/>
    <w:rsid w:val="00E87FF7"/>
    <w:rsid w:val="00E90664"/>
    <w:rsid w:val="00E92065"/>
    <w:rsid w:val="00E94918"/>
    <w:rsid w:val="00E95DAA"/>
    <w:rsid w:val="00E96A1F"/>
    <w:rsid w:val="00E96C86"/>
    <w:rsid w:val="00E96F05"/>
    <w:rsid w:val="00E972DA"/>
    <w:rsid w:val="00EA09F9"/>
    <w:rsid w:val="00EA1952"/>
    <w:rsid w:val="00EA213E"/>
    <w:rsid w:val="00EA21BD"/>
    <w:rsid w:val="00EA2758"/>
    <w:rsid w:val="00EA340E"/>
    <w:rsid w:val="00EA3B1F"/>
    <w:rsid w:val="00EA40AA"/>
    <w:rsid w:val="00EA71FE"/>
    <w:rsid w:val="00EA735C"/>
    <w:rsid w:val="00EA7504"/>
    <w:rsid w:val="00EB0A75"/>
    <w:rsid w:val="00EB2272"/>
    <w:rsid w:val="00EB22D5"/>
    <w:rsid w:val="00EB2506"/>
    <w:rsid w:val="00EB274A"/>
    <w:rsid w:val="00EB2B50"/>
    <w:rsid w:val="00EB3123"/>
    <w:rsid w:val="00EB3292"/>
    <w:rsid w:val="00EB47AD"/>
    <w:rsid w:val="00EB55D0"/>
    <w:rsid w:val="00EB5646"/>
    <w:rsid w:val="00EB5ADB"/>
    <w:rsid w:val="00EB66EE"/>
    <w:rsid w:val="00EB739E"/>
    <w:rsid w:val="00EC0F78"/>
    <w:rsid w:val="00EC18CB"/>
    <w:rsid w:val="00EC1A32"/>
    <w:rsid w:val="00EC1A39"/>
    <w:rsid w:val="00EC217E"/>
    <w:rsid w:val="00EC25D5"/>
    <w:rsid w:val="00EC2829"/>
    <w:rsid w:val="00EC2BED"/>
    <w:rsid w:val="00EC3136"/>
    <w:rsid w:val="00EC3D3F"/>
    <w:rsid w:val="00EC5C01"/>
    <w:rsid w:val="00EC682C"/>
    <w:rsid w:val="00EC6F8A"/>
    <w:rsid w:val="00EC766D"/>
    <w:rsid w:val="00EC7C7C"/>
    <w:rsid w:val="00EC7E34"/>
    <w:rsid w:val="00ED025D"/>
    <w:rsid w:val="00ED0B73"/>
    <w:rsid w:val="00ED3DFD"/>
    <w:rsid w:val="00ED3F21"/>
    <w:rsid w:val="00ED47EF"/>
    <w:rsid w:val="00ED5FE9"/>
    <w:rsid w:val="00ED63FC"/>
    <w:rsid w:val="00ED771C"/>
    <w:rsid w:val="00ED77FF"/>
    <w:rsid w:val="00EE17C3"/>
    <w:rsid w:val="00EE1BF8"/>
    <w:rsid w:val="00EE260F"/>
    <w:rsid w:val="00EE34ED"/>
    <w:rsid w:val="00EE3965"/>
    <w:rsid w:val="00EE45FD"/>
    <w:rsid w:val="00EE56E1"/>
    <w:rsid w:val="00EE604B"/>
    <w:rsid w:val="00EE6B33"/>
    <w:rsid w:val="00EE6F05"/>
    <w:rsid w:val="00EE6F87"/>
    <w:rsid w:val="00EF0462"/>
    <w:rsid w:val="00EF258E"/>
    <w:rsid w:val="00EF3655"/>
    <w:rsid w:val="00EF3706"/>
    <w:rsid w:val="00EF3F9B"/>
    <w:rsid w:val="00EF4C8B"/>
    <w:rsid w:val="00EF5037"/>
    <w:rsid w:val="00EF63C3"/>
    <w:rsid w:val="00EF6505"/>
    <w:rsid w:val="00EF7A6F"/>
    <w:rsid w:val="00F0177E"/>
    <w:rsid w:val="00F02184"/>
    <w:rsid w:val="00F024C8"/>
    <w:rsid w:val="00F02C57"/>
    <w:rsid w:val="00F031B8"/>
    <w:rsid w:val="00F03490"/>
    <w:rsid w:val="00F03FC6"/>
    <w:rsid w:val="00F04A33"/>
    <w:rsid w:val="00F05C0D"/>
    <w:rsid w:val="00F070E5"/>
    <w:rsid w:val="00F071CA"/>
    <w:rsid w:val="00F11F50"/>
    <w:rsid w:val="00F13E3D"/>
    <w:rsid w:val="00F14194"/>
    <w:rsid w:val="00F14525"/>
    <w:rsid w:val="00F1517E"/>
    <w:rsid w:val="00F15628"/>
    <w:rsid w:val="00F16678"/>
    <w:rsid w:val="00F1709B"/>
    <w:rsid w:val="00F20C0A"/>
    <w:rsid w:val="00F20EC3"/>
    <w:rsid w:val="00F22AC4"/>
    <w:rsid w:val="00F22C57"/>
    <w:rsid w:val="00F23311"/>
    <w:rsid w:val="00F238DB"/>
    <w:rsid w:val="00F23A25"/>
    <w:rsid w:val="00F2453A"/>
    <w:rsid w:val="00F26388"/>
    <w:rsid w:val="00F27193"/>
    <w:rsid w:val="00F27419"/>
    <w:rsid w:val="00F31BE3"/>
    <w:rsid w:val="00F32DA2"/>
    <w:rsid w:val="00F33344"/>
    <w:rsid w:val="00F34B21"/>
    <w:rsid w:val="00F34CA5"/>
    <w:rsid w:val="00F3743D"/>
    <w:rsid w:val="00F41DEE"/>
    <w:rsid w:val="00F41E90"/>
    <w:rsid w:val="00F41E91"/>
    <w:rsid w:val="00F428B8"/>
    <w:rsid w:val="00F436BF"/>
    <w:rsid w:val="00F44D53"/>
    <w:rsid w:val="00F5014A"/>
    <w:rsid w:val="00F505BC"/>
    <w:rsid w:val="00F5075B"/>
    <w:rsid w:val="00F5203C"/>
    <w:rsid w:val="00F52B43"/>
    <w:rsid w:val="00F53B56"/>
    <w:rsid w:val="00F54441"/>
    <w:rsid w:val="00F54A49"/>
    <w:rsid w:val="00F54AD8"/>
    <w:rsid w:val="00F55BC3"/>
    <w:rsid w:val="00F568F6"/>
    <w:rsid w:val="00F571FE"/>
    <w:rsid w:val="00F62286"/>
    <w:rsid w:val="00F62397"/>
    <w:rsid w:val="00F62649"/>
    <w:rsid w:val="00F62C96"/>
    <w:rsid w:val="00F6303C"/>
    <w:rsid w:val="00F638A5"/>
    <w:rsid w:val="00F64E82"/>
    <w:rsid w:val="00F64E9D"/>
    <w:rsid w:val="00F65564"/>
    <w:rsid w:val="00F6595B"/>
    <w:rsid w:val="00F65C1F"/>
    <w:rsid w:val="00F65E7F"/>
    <w:rsid w:val="00F6624C"/>
    <w:rsid w:val="00F66FDF"/>
    <w:rsid w:val="00F673C2"/>
    <w:rsid w:val="00F70D2F"/>
    <w:rsid w:val="00F715FC"/>
    <w:rsid w:val="00F71859"/>
    <w:rsid w:val="00F7279B"/>
    <w:rsid w:val="00F74AEE"/>
    <w:rsid w:val="00F74FDC"/>
    <w:rsid w:val="00F7566A"/>
    <w:rsid w:val="00F77F26"/>
    <w:rsid w:val="00F801F9"/>
    <w:rsid w:val="00F80602"/>
    <w:rsid w:val="00F813FB"/>
    <w:rsid w:val="00F81746"/>
    <w:rsid w:val="00F82A57"/>
    <w:rsid w:val="00F830DA"/>
    <w:rsid w:val="00F83A2C"/>
    <w:rsid w:val="00F83AF9"/>
    <w:rsid w:val="00F83E4C"/>
    <w:rsid w:val="00F83E9D"/>
    <w:rsid w:val="00F85C9E"/>
    <w:rsid w:val="00F86C5B"/>
    <w:rsid w:val="00F8708E"/>
    <w:rsid w:val="00F90AFE"/>
    <w:rsid w:val="00F922B8"/>
    <w:rsid w:val="00F935C1"/>
    <w:rsid w:val="00F9393C"/>
    <w:rsid w:val="00F9396B"/>
    <w:rsid w:val="00F93C77"/>
    <w:rsid w:val="00F94877"/>
    <w:rsid w:val="00F961A0"/>
    <w:rsid w:val="00F96897"/>
    <w:rsid w:val="00F97A32"/>
    <w:rsid w:val="00FA06A6"/>
    <w:rsid w:val="00FA1610"/>
    <w:rsid w:val="00FA2887"/>
    <w:rsid w:val="00FA3B58"/>
    <w:rsid w:val="00FA490B"/>
    <w:rsid w:val="00FA5484"/>
    <w:rsid w:val="00FA6127"/>
    <w:rsid w:val="00FA6B87"/>
    <w:rsid w:val="00FA7F65"/>
    <w:rsid w:val="00FB0912"/>
    <w:rsid w:val="00FB1103"/>
    <w:rsid w:val="00FB126F"/>
    <w:rsid w:val="00FB12A6"/>
    <w:rsid w:val="00FB1CFE"/>
    <w:rsid w:val="00FB2092"/>
    <w:rsid w:val="00FB2C57"/>
    <w:rsid w:val="00FB2FEB"/>
    <w:rsid w:val="00FB329A"/>
    <w:rsid w:val="00FB343F"/>
    <w:rsid w:val="00FB3EBB"/>
    <w:rsid w:val="00FB4974"/>
    <w:rsid w:val="00FB546A"/>
    <w:rsid w:val="00FB5A96"/>
    <w:rsid w:val="00FB7CFB"/>
    <w:rsid w:val="00FC002F"/>
    <w:rsid w:val="00FC2B4A"/>
    <w:rsid w:val="00FC46B0"/>
    <w:rsid w:val="00FC55F6"/>
    <w:rsid w:val="00FD04E0"/>
    <w:rsid w:val="00FD37A9"/>
    <w:rsid w:val="00FD401B"/>
    <w:rsid w:val="00FD59E9"/>
    <w:rsid w:val="00FD67A7"/>
    <w:rsid w:val="00FD7249"/>
    <w:rsid w:val="00FD7A07"/>
    <w:rsid w:val="00FE00F6"/>
    <w:rsid w:val="00FE0BFA"/>
    <w:rsid w:val="00FE0D85"/>
    <w:rsid w:val="00FE0DC9"/>
    <w:rsid w:val="00FE23A4"/>
    <w:rsid w:val="00FE2A56"/>
    <w:rsid w:val="00FE2EA4"/>
    <w:rsid w:val="00FE57BE"/>
    <w:rsid w:val="00FE5D4A"/>
    <w:rsid w:val="00FE5F29"/>
    <w:rsid w:val="00FE5FEC"/>
    <w:rsid w:val="00FE6F09"/>
    <w:rsid w:val="00FE7204"/>
    <w:rsid w:val="00FE77A8"/>
    <w:rsid w:val="00FF0104"/>
    <w:rsid w:val="00FF08F6"/>
    <w:rsid w:val="00FF095B"/>
    <w:rsid w:val="00FF0A8C"/>
    <w:rsid w:val="00FF11FE"/>
    <w:rsid w:val="00FF21EB"/>
    <w:rsid w:val="00FF226F"/>
    <w:rsid w:val="00FF4061"/>
    <w:rsid w:val="00FF5C6C"/>
    <w:rsid w:val="00FF5CC7"/>
    <w:rsid w:val="00FF62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A0DCB46-357F-4FB7-B746-2D7ADA3CB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74EB"/>
    <w:pPr>
      <w:bidi/>
      <w:ind w:firstLine="567"/>
    </w:pPr>
    <w:rPr>
      <w:rFonts w:cs="Traditional Arabic"/>
      <w:color w:val="000000"/>
      <w:sz w:val="24"/>
      <w:szCs w:val="30"/>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BalloonText">
    <w:name w:val="Balloon Text"/>
    <w:basedOn w:val="Normal"/>
    <w:link w:val="BalloonTextChar"/>
    <w:uiPriority w:val="99"/>
    <w:rsid w:val="008A74EB"/>
    <w:rPr>
      <w:rFonts w:ascii="Tahoma" w:hAnsi="Tahoma" w:cs="Tahoma"/>
      <w:sz w:val="16"/>
      <w:szCs w:val="16"/>
    </w:rPr>
  </w:style>
  <w:style w:type="character" w:customStyle="1" w:styleId="BalloonTextChar">
    <w:name w:val="Balloon Text Char"/>
    <w:basedOn w:val="DefaultParagraphFont"/>
    <w:link w:val="BalloonText"/>
    <w:uiPriority w:val="99"/>
    <w:rsid w:val="008A74EB"/>
    <w:rPr>
      <w:rFonts w:ascii="Tahoma" w:hAnsi="Tahoma" w:cs="Tahoma"/>
      <w:color w:val="000000"/>
      <w:sz w:val="16"/>
      <w:szCs w:val="16"/>
      <w:lang w:bidi="ar-SA"/>
    </w:rPr>
  </w:style>
  <w:style w:type="paragraph" w:styleId="Footer">
    <w:name w:val="footer"/>
    <w:basedOn w:val="Normal"/>
    <w:link w:val="FooterChar"/>
    <w:rsid w:val="008A74EB"/>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8A74EB"/>
    <w:rPr>
      <w:rFonts w:cs="Traditional Arabic"/>
      <w:color w:val="000000"/>
      <w:sz w:val="26"/>
      <w:szCs w:val="26"/>
      <w:lang w:bidi="ar-SA"/>
    </w:rPr>
  </w:style>
  <w:style w:type="paragraph" w:styleId="Header">
    <w:name w:val="header"/>
    <w:basedOn w:val="Normal"/>
    <w:link w:val="HeaderChar"/>
    <w:uiPriority w:val="99"/>
    <w:rsid w:val="008A74EB"/>
    <w:pPr>
      <w:tabs>
        <w:tab w:val="center" w:pos="4153"/>
        <w:tab w:val="right" w:pos="8306"/>
      </w:tabs>
      <w:ind w:firstLine="0"/>
    </w:pPr>
    <w:rPr>
      <w:sz w:val="26"/>
      <w:szCs w:val="26"/>
    </w:rPr>
  </w:style>
  <w:style w:type="character" w:customStyle="1" w:styleId="HeaderChar">
    <w:name w:val="Header Char"/>
    <w:basedOn w:val="DefaultParagraphFont"/>
    <w:link w:val="Header"/>
    <w:uiPriority w:val="99"/>
    <w:rsid w:val="008A74EB"/>
    <w:rPr>
      <w:rFonts w:cs="Traditional Arabic"/>
      <w:color w:val="000000"/>
      <w:sz w:val="26"/>
      <w:szCs w:val="26"/>
      <w:lang w:bidi="ar-SA"/>
    </w:rPr>
  </w:style>
  <w:style w:type="character" w:styleId="CommentReference">
    <w:name w:val="annotation reference"/>
    <w:basedOn w:val="DefaultParagraphFont"/>
    <w:rsid w:val="004930C0"/>
    <w:rPr>
      <w:sz w:val="16"/>
      <w:szCs w:val="16"/>
    </w:rPr>
  </w:style>
  <w:style w:type="paragraph" w:styleId="CommentText">
    <w:name w:val="annotation text"/>
    <w:basedOn w:val="Normal"/>
    <w:link w:val="CommentTextChar"/>
    <w:rsid w:val="004930C0"/>
    <w:rPr>
      <w:sz w:val="20"/>
      <w:szCs w:val="20"/>
    </w:rPr>
  </w:style>
  <w:style w:type="character" w:customStyle="1" w:styleId="CommentTextChar">
    <w:name w:val="Comment Text Char"/>
    <w:basedOn w:val="DefaultParagraphFont"/>
    <w:link w:val="CommentText"/>
    <w:rsid w:val="004930C0"/>
    <w:rPr>
      <w:rFonts w:cs="Traditional Arabic"/>
      <w:color w:val="000000"/>
      <w:lang w:bidi="ar-SA"/>
    </w:rPr>
  </w:style>
  <w:style w:type="paragraph" w:styleId="CommentSubject">
    <w:name w:val="annotation subject"/>
    <w:basedOn w:val="CommentText"/>
    <w:next w:val="CommentText"/>
    <w:link w:val="CommentSubjectChar"/>
    <w:rsid w:val="004930C0"/>
    <w:rPr>
      <w:b/>
      <w:bCs/>
    </w:rPr>
  </w:style>
  <w:style w:type="character" w:customStyle="1" w:styleId="CommentSubjectChar">
    <w:name w:val="Comment Subject Char"/>
    <w:basedOn w:val="CommentTextChar"/>
    <w:link w:val="CommentSubject"/>
    <w:rsid w:val="004930C0"/>
    <w:rPr>
      <w:rFonts w:cs="Traditional Arabic"/>
      <w:b/>
      <w:bCs/>
      <w:color w:val="000000"/>
      <w:lang w:bidi="ar-SA"/>
    </w:rPr>
  </w:style>
  <w:style w:type="paragraph" w:styleId="ListParagraph">
    <w:name w:val="List Paragraph"/>
    <w:basedOn w:val="Normal"/>
    <w:uiPriority w:val="34"/>
    <w:rsid w:val="00FC2B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C33AA9-4185-47B3-8292-D13339CCE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Template>
  <TotalTime>8269</TotalTime>
  <Pages>186</Pages>
  <Words>260908</Words>
  <Characters>1487180</Characters>
  <Application>Microsoft Office Word</Application>
  <DocSecurity>0</DocSecurity>
  <Lines>12393</Lines>
  <Paragraphs>3489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1744599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mohsn</dc:creator>
  <cp:lastModifiedBy>hamed</cp:lastModifiedBy>
  <cp:revision>1427</cp:revision>
  <cp:lastPrinted>2014-01-25T18:18:00Z</cp:lastPrinted>
  <dcterms:created xsi:type="dcterms:W3CDTF">2020-02-18T23:40:00Z</dcterms:created>
  <dcterms:modified xsi:type="dcterms:W3CDTF">2020-04-11T10:03:00Z</dcterms:modified>
</cp:coreProperties>
</file>